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665F28" w14:textId="77777777" w:rsidR="00BD462C" w:rsidRDefault="00033D0F">
      <w:pPr>
        <w:spacing w:before="7" w:line="386" w:lineRule="auto"/>
        <w:ind w:left="2210" w:right="2994"/>
        <w:jc w:val="center"/>
        <w:rPr>
          <w:b/>
          <w:sz w:val="32"/>
        </w:rPr>
      </w:pPr>
      <w:bookmarkStart w:id="0" w:name="_Hlk137651239"/>
      <w:r>
        <w:rPr>
          <w:b/>
          <w:sz w:val="32"/>
        </w:rPr>
        <w:t>Before</w:t>
      </w:r>
      <w:r>
        <w:rPr>
          <w:b/>
          <w:spacing w:val="-7"/>
          <w:sz w:val="32"/>
        </w:rPr>
        <w:t xml:space="preserve"> </w:t>
      </w:r>
      <w:r>
        <w:rPr>
          <w:b/>
          <w:sz w:val="32"/>
        </w:rPr>
        <w:t>the</w:t>
      </w:r>
      <w:r>
        <w:rPr>
          <w:b/>
          <w:spacing w:val="-12"/>
          <w:sz w:val="32"/>
        </w:rPr>
        <w:t xml:space="preserve"> </w:t>
      </w:r>
      <w:r>
        <w:rPr>
          <w:b/>
          <w:sz w:val="32"/>
        </w:rPr>
        <w:t>World</w:t>
      </w:r>
      <w:r>
        <w:rPr>
          <w:b/>
          <w:spacing w:val="-8"/>
          <w:sz w:val="32"/>
        </w:rPr>
        <w:t xml:space="preserve"> </w:t>
      </w:r>
      <w:r>
        <w:rPr>
          <w:b/>
          <w:sz w:val="32"/>
        </w:rPr>
        <w:t>Trade</w:t>
      </w:r>
      <w:r>
        <w:rPr>
          <w:b/>
          <w:spacing w:val="-7"/>
          <w:sz w:val="32"/>
        </w:rPr>
        <w:t xml:space="preserve"> </w:t>
      </w:r>
      <w:r>
        <w:rPr>
          <w:b/>
          <w:sz w:val="32"/>
        </w:rPr>
        <w:t>Organization Panel Proceedings</w:t>
      </w:r>
    </w:p>
    <w:p w14:paraId="625D5513" w14:textId="77777777" w:rsidR="00BD462C" w:rsidRDefault="00BD462C">
      <w:pPr>
        <w:pStyle w:val="BodyText"/>
        <w:rPr>
          <w:b/>
          <w:sz w:val="32"/>
        </w:rPr>
      </w:pPr>
    </w:p>
    <w:p w14:paraId="3195A80C" w14:textId="77777777" w:rsidR="00BD462C" w:rsidRDefault="00BD462C">
      <w:pPr>
        <w:pStyle w:val="BodyText"/>
        <w:rPr>
          <w:b/>
          <w:sz w:val="32"/>
        </w:rPr>
      </w:pPr>
    </w:p>
    <w:p w14:paraId="555CAEA6" w14:textId="77777777" w:rsidR="00BD462C" w:rsidRDefault="00BD462C">
      <w:pPr>
        <w:pStyle w:val="BodyText"/>
        <w:rPr>
          <w:b/>
          <w:sz w:val="32"/>
        </w:rPr>
      </w:pPr>
    </w:p>
    <w:p w14:paraId="5FA4EB6C" w14:textId="77777777" w:rsidR="00BD462C" w:rsidRDefault="00BD462C">
      <w:pPr>
        <w:pStyle w:val="BodyText"/>
        <w:rPr>
          <w:b/>
          <w:sz w:val="32"/>
        </w:rPr>
      </w:pPr>
    </w:p>
    <w:p w14:paraId="54E87543" w14:textId="77777777" w:rsidR="00BD462C" w:rsidRDefault="00BD462C">
      <w:pPr>
        <w:pStyle w:val="BodyText"/>
        <w:rPr>
          <w:b/>
          <w:sz w:val="32"/>
        </w:rPr>
      </w:pPr>
    </w:p>
    <w:p w14:paraId="74E75BCF" w14:textId="77777777" w:rsidR="00BD462C" w:rsidRDefault="00BD462C">
      <w:pPr>
        <w:pStyle w:val="BodyText"/>
        <w:rPr>
          <w:b/>
          <w:sz w:val="32"/>
        </w:rPr>
      </w:pPr>
    </w:p>
    <w:p w14:paraId="6ABA178C" w14:textId="77777777" w:rsidR="00BD462C" w:rsidRDefault="00BD462C">
      <w:pPr>
        <w:pStyle w:val="BodyText"/>
        <w:rPr>
          <w:b/>
          <w:sz w:val="32"/>
        </w:rPr>
      </w:pPr>
    </w:p>
    <w:p w14:paraId="00263FBD" w14:textId="77777777" w:rsidR="00BD462C" w:rsidRDefault="00BD462C">
      <w:pPr>
        <w:pStyle w:val="BodyText"/>
        <w:spacing w:before="2"/>
        <w:rPr>
          <w:b/>
          <w:sz w:val="31"/>
        </w:rPr>
      </w:pPr>
    </w:p>
    <w:p w14:paraId="5667DC06" w14:textId="04D939B6" w:rsidR="00BD462C" w:rsidRDefault="003E596D">
      <w:pPr>
        <w:pStyle w:val="Title"/>
        <w:spacing w:line="237" w:lineRule="auto"/>
      </w:pPr>
      <w:r>
        <w:rPr>
          <w:smallCaps/>
        </w:rPr>
        <w:t>CHINA</w:t>
      </w:r>
      <w:r>
        <w:rPr>
          <w:smallCaps/>
          <w:spacing w:val="-1"/>
        </w:rPr>
        <w:t xml:space="preserve"> </w:t>
      </w:r>
      <w:r>
        <w:rPr>
          <w:smallCaps/>
        </w:rPr>
        <w:t>–</w:t>
      </w:r>
      <w:r>
        <w:rPr>
          <w:smallCaps/>
          <w:spacing w:val="-21"/>
        </w:rPr>
        <w:t xml:space="preserve"> </w:t>
      </w:r>
      <w:r>
        <w:rPr>
          <w:smallCaps/>
        </w:rPr>
        <w:t>ANTI-DUMPING AND</w:t>
      </w:r>
      <w:r>
        <w:rPr>
          <w:smallCaps/>
          <w:spacing w:val="-3"/>
        </w:rPr>
        <w:t xml:space="preserve"> </w:t>
      </w:r>
      <w:r>
        <w:rPr>
          <w:smallCaps/>
        </w:rPr>
        <w:t>COUNTERVAILING DUTY MEASURES ON WINE FROM AUSTRALIA</w:t>
      </w:r>
    </w:p>
    <w:p w14:paraId="6970AC05" w14:textId="77777777" w:rsidR="00BD462C" w:rsidRDefault="00033D0F">
      <w:pPr>
        <w:pStyle w:val="BodyText"/>
        <w:spacing w:before="2"/>
        <w:ind w:left="2210" w:right="2992"/>
        <w:jc w:val="center"/>
      </w:pPr>
      <w:r>
        <w:rPr>
          <w:spacing w:val="-2"/>
        </w:rPr>
        <w:t>(DS602)</w:t>
      </w:r>
    </w:p>
    <w:p w14:paraId="22841BE0" w14:textId="77777777" w:rsidR="00BD462C" w:rsidRDefault="00BD462C">
      <w:pPr>
        <w:pStyle w:val="BodyText"/>
      </w:pPr>
    </w:p>
    <w:p w14:paraId="412E34F8" w14:textId="77777777" w:rsidR="00BD462C" w:rsidRDefault="00BD462C">
      <w:pPr>
        <w:pStyle w:val="BodyText"/>
      </w:pPr>
    </w:p>
    <w:p w14:paraId="24B2EAB5" w14:textId="77777777" w:rsidR="00BD462C" w:rsidRDefault="00BD462C">
      <w:pPr>
        <w:pStyle w:val="BodyText"/>
      </w:pPr>
    </w:p>
    <w:p w14:paraId="7EE2E8B5" w14:textId="77777777" w:rsidR="00BD462C" w:rsidRDefault="00BD462C">
      <w:pPr>
        <w:pStyle w:val="BodyText"/>
      </w:pPr>
    </w:p>
    <w:p w14:paraId="6206687B" w14:textId="77777777" w:rsidR="00BD462C" w:rsidRDefault="00BD462C">
      <w:pPr>
        <w:pStyle w:val="BodyText"/>
      </w:pPr>
    </w:p>
    <w:p w14:paraId="2AE312EC" w14:textId="77777777" w:rsidR="00BD462C" w:rsidRDefault="00BD462C">
      <w:pPr>
        <w:pStyle w:val="BodyText"/>
      </w:pPr>
    </w:p>
    <w:p w14:paraId="6459B236" w14:textId="77777777" w:rsidR="00BD462C" w:rsidRDefault="00BD462C">
      <w:pPr>
        <w:pStyle w:val="BodyText"/>
      </w:pPr>
    </w:p>
    <w:p w14:paraId="6016B096" w14:textId="77777777" w:rsidR="00BD462C" w:rsidRDefault="00BD462C">
      <w:pPr>
        <w:pStyle w:val="BodyText"/>
      </w:pPr>
    </w:p>
    <w:p w14:paraId="618144B4" w14:textId="77777777" w:rsidR="00BD462C" w:rsidRDefault="00BD462C">
      <w:pPr>
        <w:pStyle w:val="BodyText"/>
      </w:pPr>
    </w:p>
    <w:p w14:paraId="3735A1E8" w14:textId="77777777" w:rsidR="00BD462C" w:rsidRDefault="00BD462C">
      <w:pPr>
        <w:pStyle w:val="BodyText"/>
        <w:spacing w:before="5"/>
        <w:rPr>
          <w:sz w:val="20"/>
        </w:rPr>
      </w:pPr>
    </w:p>
    <w:p w14:paraId="1F910611" w14:textId="6B28DECB" w:rsidR="00BD462C" w:rsidRDefault="00033D0F">
      <w:pPr>
        <w:ind w:left="1856" w:right="2640"/>
        <w:jc w:val="center"/>
        <w:rPr>
          <w:b/>
          <w:smallCaps/>
          <w:spacing w:val="-2"/>
          <w:sz w:val="36"/>
        </w:rPr>
      </w:pPr>
      <w:r>
        <w:rPr>
          <w:b/>
          <w:smallCaps/>
          <w:sz w:val="36"/>
        </w:rPr>
        <w:t>Australia's</w:t>
      </w:r>
      <w:r>
        <w:rPr>
          <w:b/>
          <w:smallCaps/>
          <w:spacing w:val="-9"/>
          <w:sz w:val="36"/>
        </w:rPr>
        <w:t xml:space="preserve"> </w:t>
      </w:r>
      <w:r>
        <w:rPr>
          <w:b/>
          <w:smallCaps/>
          <w:sz w:val="36"/>
        </w:rPr>
        <w:t>Second</w:t>
      </w:r>
      <w:r>
        <w:rPr>
          <w:b/>
          <w:smallCaps/>
          <w:spacing w:val="-7"/>
          <w:sz w:val="36"/>
        </w:rPr>
        <w:t xml:space="preserve"> </w:t>
      </w:r>
      <w:r>
        <w:rPr>
          <w:b/>
          <w:smallCaps/>
          <w:sz w:val="36"/>
        </w:rPr>
        <w:t>Written</w:t>
      </w:r>
      <w:r>
        <w:rPr>
          <w:b/>
          <w:smallCaps/>
          <w:spacing w:val="-4"/>
          <w:sz w:val="36"/>
        </w:rPr>
        <w:t xml:space="preserve"> </w:t>
      </w:r>
      <w:r>
        <w:rPr>
          <w:b/>
          <w:smallCaps/>
          <w:spacing w:val="-2"/>
          <w:sz w:val="36"/>
        </w:rPr>
        <w:t>Submission</w:t>
      </w:r>
    </w:p>
    <w:p w14:paraId="58ED1607" w14:textId="77777777" w:rsidR="00BF2951" w:rsidRDefault="00BF2951" w:rsidP="00BF2951">
      <w:pPr>
        <w:spacing w:before="72"/>
        <w:ind w:left="1934" w:right="1940"/>
        <w:jc w:val="center"/>
        <w:rPr>
          <w:b/>
          <w:sz w:val="24"/>
        </w:rPr>
      </w:pPr>
      <w:r>
        <w:rPr>
          <w:b/>
          <w:sz w:val="24"/>
        </w:rPr>
        <w:t>Business</w:t>
      </w:r>
      <w:r>
        <w:rPr>
          <w:b/>
          <w:spacing w:val="-6"/>
          <w:sz w:val="24"/>
        </w:rPr>
        <w:t xml:space="preserve"> </w:t>
      </w:r>
      <w:r>
        <w:rPr>
          <w:b/>
          <w:sz w:val="24"/>
        </w:rPr>
        <w:t>Confidential</w:t>
      </w:r>
      <w:r>
        <w:rPr>
          <w:b/>
          <w:spacing w:val="-5"/>
          <w:sz w:val="24"/>
        </w:rPr>
        <w:t xml:space="preserve"> </w:t>
      </w:r>
      <w:r>
        <w:rPr>
          <w:b/>
          <w:sz w:val="24"/>
        </w:rPr>
        <w:t>Information</w:t>
      </w:r>
      <w:r>
        <w:rPr>
          <w:b/>
          <w:spacing w:val="-5"/>
          <w:sz w:val="24"/>
        </w:rPr>
        <w:t xml:space="preserve"> </w:t>
      </w:r>
      <w:r>
        <w:rPr>
          <w:b/>
          <w:spacing w:val="-2"/>
          <w:sz w:val="24"/>
        </w:rPr>
        <w:t>Redacted</w:t>
      </w:r>
    </w:p>
    <w:p w14:paraId="19F7F7E0" w14:textId="77777777" w:rsidR="00BF2951" w:rsidRDefault="00BF2951">
      <w:pPr>
        <w:ind w:left="1856" w:right="2640"/>
        <w:jc w:val="center"/>
        <w:rPr>
          <w:b/>
          <w:sz w:val="36"/>
        </w:rPr>
      </w:pPr>
    </w:p>
    <w:p w14:paraId="19A28A47" w14:textId="77777777" w:rsidR="00BD462C" w:rsidRDefault="00BD462C">
      <w:pPr>
        <w:pStyle w:val="BodyText"/>
        <w:rPr>
          <w:b/>
          <w:sz w:val="20"/>
        </w:rPr>
      </w:pPr>
    </w:p>
    <w:p w14:paraId="0B9F7FF1" w14:textId="77777777" w:rsidR="00BD462C" w:rsidRDefault="00BD462C">
      <w:pPr>
        <w:pStyle w:val="BodyText"/>
        <w:rPr>
          <w:b/>
          <w:sz w:val="20"/>
        </w:rPr>
      </w:pPr>
    </w:p>
    <w:p w14:paraId="00FBF23B" w14:textId="77777777" w:rsidR="00BD462C" w:rsidRDefault="00BD462C">
      <w:pPr>
        <w:pStyle w:val="BodyText"/>
        <w:rPr>
          <w:b/>
          <w:sz w:val="20"/>
        </w:rPr>
      </w:pPr>
    </w:p>
    <w:p w14:paraId="5C888551" w14:textId="47DDD0AD" w:rsidR="00BD462C" w:rsidRDefault="00BD462C">
      <w:pPr>
        <w:pStyle w:val="BodyText"/>
        <w:spacing w:before="6"/>
        <w:rPr>
          <w:b/>
          <w:sz w:val="15"/>
        </w:rPr>
      </w:pPr>
    </w:p>
    <w:p w14:paraId="7C6F63FE" w14:textId="77777777" w:rsidR="00BD462C" w:rsidRDefault="00033D0F">
      <w:pPr>
        <w:spacing w:before="269"/>
        <w:ind w:left="2210" w:right="2988"/>
        <w:jc w:val="center"/>
        <w:rPr>
          <w:sz w:val="32"/>
        </w:rPr>
      </w:pPr>
      <w:r>
        <w:rPr>
          <w:sz w:val="32"/>
        </w:rPr>
        <w:t>28</w:t>
      </w:r>
      <w:r>
        <w:rPr>
          <w:spacing w:val="-8"/>
          <w:sz w:val="32"/>
        </w:rPr>
        <w:t xml:space="preserve"> </w:t>
      </w:r>
      <w:r>
        <w:rPr>
          <w:sz w:val="32"/>
        </w:rPr>
        <w:t>November</w:t>
      </w:r>
      <w:r>
        <w:rPr>
          <w:spacing w:val="-7"/>
          <w:sz w:val="32"/>
        </w:rPr>
        <w:t xml:space="preserve"> </w:t>
      </w:r>
      <w:r>
        <w:rPr>
          <w:spacing w:val="-4"/>
          <w:sz w:val="32"/>
        </w:rPr>
        <w:t>2022</w:t>
      </w:r>
    </w:p>
    <w:p w14:paraId="585BFE55" w14:textId="77777777" w:rsidR="00BD462C" w:rsidRDefault="00BD462C">
      <w:pPr>
        <w:jc w:val="center"/>
        <w:rPr>
          <w:sz w:val="32"/>
        </w:rPr>
        <w:sectPr w:rsidR="00BD462C">
          <w:footerReference w:type="default" r:id="rId8"/>
          <w:type w:val="continuous"/>
          <w:pgSz w:w="11910" w:h="16840"/>
          <w:pgMar w:top="1700" w:right="500" w:bottom="280" w:left="1280" w:header="720" w:footer="720" w:gutter="0"/>
          <w:cols w:space="720"/>
        </w:sectPr>
      </w:pPr>
    </w:p>
    <w:p w14:paraId="5C38F4D8"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1015E6E0"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3346E223"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415E2C7C" w14:textId="77777777" w:rsidR="00BD462C" w:rsidRDefault="00033D0F">
      <w:pPr>
        <w:pStyle w:val="Heading3"/>
        <w:spacing w:before="126"/>
        <w:ind w:left="1856" w:right="2635" w:firstLine="0"/>
        <w:jc w:val="center"/>
      </w:pPr>
      <w:r>
        <w:t>TABLE</w:t>
      </w:r>
      <w:r>
        <w:rPr>
          <w:spacing w:val="-6"/>
        </w:rPr>
        <w:t xml:space="preserve"> </w:t>
      </w:r>
      <w:r>
        <w:t>OF</w:t>
      </w:r>
      <w:r>
        <w:rPr>
          <w:spacing w:val="-3"/>
        </w:rPr>
        <w:t xml:space="preserve"> </w:t>
      </w:r>
      <w:r>
        <w:rPr>
          <w:spacing w:val="-2"/>
        </w:rPr>
        <w:t>CONTENTS</w:t>
      </w:r>
    </w:p>
    <w:p w14:paraId="54DD6DBB" w14:textId="77777777" w:rsidR="00BD462C" w:rsidRDefault="00BD462C">
      <w:pPr>
        <w:jc w:val="center"/>
        <w:sectPr w:rsidR="00BD462C">
          <w:headerReference w:type="default" r:id="rId9"/>
          <w:footerReference w:type="default" r:id="rId10"/>
          <w:pgSz w:w="11910" w:h="16840"/>
          <w:pgMar w:top="860" w:right="500" w:bottom="1499" w:left="1280" w:header="566" w:footer="590" w:gutter="0"/>
          <w:pgNumType w:start="2"/>
          <w:cols w:space="720"/>
        </w:sectPr>
      </w:pPr>
    </w:p>
    <w:sdt>
      <w:sdtPr>
        <w:rPr>
          <w:b w:val="0"/>
          <w:bCs w:val="0"/>
        </w:rPr>
        <w:id w:val="663352536"/>
        <w:docPartObj>
          <w:docPartGallery w:val="Table of Contents"/>
          <w:docPartUnique/>
        </w:docPartObj>
      </w:sdtPr>
      <w:sdtContent>
        <w:p w14:paraId="4DC79339" w14:textId="77777777" w:rsidR="00BD462C" w:rsidRDefault="00000000">
          <w:pPr>
            <w:pStyle w:val="TOC2"/>
            <w:tabs>
              <w:tab w:val="left" w:leader="dot" w:pos="9078"/>
            </w:tabs>
            <w:spacing w:before="183"/>
            <w:ind w:left="136" w:firstLine="0"/>
          </w:pPr>
          <w:hyperlink w:anchor="_bookmark0" w:history="1">
            <w:r w:rsidR="00033D0F">
              <w:t>LIST</w:t>
            </w:r>
            <w:r w:rsidR="00033D0F">
              <w:rPr>
                <w:spacing w:val="-2"/>
              </w:rPr>
              <w:t xml:space="preserve"> </w:t>
            </w:r>
            <w:r w:rsidR="00033D0F">
              <w:t>OF</w:t>
            </w:r>
            <w:r w:rsidR="00033D0F">
              <w:rPr>
                <w:spacing w:val="-3"/>
              </w:rPr>
              <w:t xml:space="preserve"> </w:t>
            </w:r>
            <w:r w:rsidR="00033D0F">
              <w:rPr>
                <w:spacing w:val="-2"/>
              </w:rPr>
              <w:t>TABLES</w:t>
            </w:r>
            <w:r w:rsidR="00033D0F">
              <w:tab/>
            </w:r>
            <w:r w:rsidR="00033D0F">
              <w:rPr>
                <w:spacing w:val="-10"/>
              </w:rPr>
              <w:t>8</w:t>
            </w:r>
          </w:hyperlink>
        </w:p>
        <w:p w14:paraId="7C67C7F2" w14:textId="77777777" w:rsidR="00BD462C" w:rsidRDefault="00000000">
          <w:pPr>
            <w:pStyle w:val="TOC2"/>
            <w:tabs>
              <w:tab w:val="left" w:leader="dot" w:pos="9078"/>
            </w:tabs>
            <w:spacing w:before="177"/>
            <w:ind w:left="135" w:firstLine="0"/>
          </w:pPr>
          <w:hyperlink w:anchor="_bookmark1" w:history="1">
            <w:r w:rsidR="00033D0F">
              <w:t>TABLE</w:t>
            </w:r>
            <w:r w:rsidR="00033D0F">
              <w:rPr>
                <w:spacing w:val="-8"/>
              </w:rPr>
              <w:t xml:space="preserve"> </w:t>
            </w:r>
            <w:r w:rsidR="00033D0F">
              <w:t>OF</w:t>
            </w:r>
            <w:r w:rsidR="00033D0F">
              <w:rPr>
                <w:spacing w:val="-3"/>
              </w:rPr>
              <w:t xml:space="preserve"> </w:t>
            </w:r>
            <w:r w:rsidR="00033D0F">
              <w:rPr>
                <w:spacing w:val="-2"/>
              </w:rPr>
              <w:t>CASES</w:t>
            </w:r>
            <w:r w:rsidR="00033D0F">
              <w:tab/>
            </w:r>
            <w:r w:rsidR="00033D0F">
              <w:rPr>
                <w:spacing w:val="-10"/>
              </w:rPr>
              <w:t>8</w:t>
            </w:r>
          </w:hyperlink>
        </w:p>
        <w:p w14:paraId="346E91BD" w14:textId="77777777" w:rsidR="00BD462C" w:rsidRDefault="00000000">
          <w:pPr>
            <w:pStyle w:val="TOC1"/>
            <w:tabs>
              <w:tab w:val="left" w:leader="dot" w:pos="8817"/>
            </w:tabs>
          </w:pPr>
          <w:hyperlink w:anchor="_bookmark2" w:history="1">
            <w:r w:rsidR="00033D0F">
              <w:t>LIST</w:t>
            </w:r>
            <w:r w:rsidR="00033D0F">
              <w:rPr>
                <w:spacing w:val="-4"/>
              </w:rPr>
              <w:t xml:space="preserve"> </w:t>
            </w:r>
            <w:r w:rsidR="00033D0F">
              <w:t>OF</w:t>
            </w:r>
            <w:r w:rsidR="00033D0F">
              <w:rPr>
                <w:spacing w:val="-5"/>
              </w:rPr>
              <w:t xml:space="preserve"> </w:t>
            </w:r>
            <w:r w:rsidR="00033D0F">
              <w:t>ACRONYMS,</w:t>
            </w:r>
            <w:r w:rsidR="00033D0F">
              <w:rPr>
                <w:spacing w:val="-3"/>
              </w:rPr>
              <w:t xml:space="preserve"> </w:t>
            </w:r>
            <w:r w:rsidR="00033D0F">
              <w:t>ABBREVIATIONS</w:t>
            </w:r>
            <w:r w:rsidR="00033D0F">
              <w:rPr>
                <w:spacing w:val="-3"/>
              </w:rPr>
              <w:t xml:space="preserve"> </w:t>
            </w:r>
            <w:r w:rsidR="00033D0F">
              <w:t>AND</w:t>
            </w:r>
            <w:r w:rsidR="00033D0F">
              <w:rPr>
                <w:spacing w:val="-2"/>
              </w:rPr>
              <w:t xml:space="preserve"> </w:t>
            </w:r>
            <w:r w:rsidR="00033D0F">
              <w:t>SHORT</w:t>
            </w:r>
            <w:r w:rsidR="00033D0F">
              <w:rPr>
                <w:spacing w:val="-3"/>
              </w:rPr>
              <w:t xml:space="preserve"> </w:t>
            </w:r>
            <w:r w:rsidR="00033D0F">
              <w:rPr>
                <w:spacing w:val="-2"/>
              </w:rPr>
              <w:t>FORMS</w:t>
            </w:r>
            <w:r w:rsidR="00033D0F">
              <w:tab/>
            </w:r>
            <w:r w:rsidR="00033D0F">
              <w:rPr>
                <w:spacing w:val="-5"/>
              </w:rPr>
              <w:t>16</w:t>
            </w:r>
          </w:hyperlink>
        </w:p>
        <w:p w14:paraId="10D9DF32" w14:textId="77777777" w:rsidR="00BD462C" w:rsidRDefault="00000000">
          <w:pPr>
            <w:pStyle w:val="TOC2"/>
            <w:tabs>
              <w:tab w:val="left" w:leader="dot" w:pos="8953"/>
            </w:tabs>
            <w:spacing w:before="178"/>
            <w:ind w:left="135" w:firstLine="0"/>
          </w:pPr>
          <w:hyperlink w:anchor="_bookmark3" w:history="1">
            <w:r w:rsidR="00033D0F">
              <w:t>LIST</w:t>
            </w:r>
            <w:r w:rsidR="00033D0F">
              <w:rPr>
                <w:spacing w:val="-2"/>
              </w:rPr>
              <w:t xml:space="preserve"> </w:t>
            </w:r>
            <w:r w:rsidR="00033D0F">
              <w:t>OF</w:t>
            </w:r>
            <w:r w:rsidR="00033D0F">
              <w:rPr>
                <w:spacing w:val="-3"/>
              </w:rPr>
              <w:t xml:space="preserve"> </w:t>
            </w:r>
            <w:r w:rsidR="00033D0F">
              <w:rPr>
                <w:spacing w:val="-2"/>
              </w:rPr>
              <w:t>EXHIBITS</w:t>
            </w:r>
            <w:r w:rsidR="00033D0F">
              <w:tab/>
            </w:r>
            <w:r w:rsidR="00033D0F">
              <w:rPr>
                <w:spacing w:val="-5"/>
              </w:rPr>
              <w:t>18</w:t>
            </w:r>
          </w:hyperlink>
        </w:p>
        <w:p w14:paraId="11544B59" w14:textId="77777777" w:rsidR="00BD462C" w:rsidRDefault="00000000">
          <w:pPr>
            <w:pStyle w:val="TOC2"/>
            <w:numPr>
              <w:ilvl w:val="0"/>
              <w:numId w:val="67"/>
            </w:numPr>
            <w:tabs>
              <w:tab w:val="left" w:pos="985"/>
              <w:tab w:val="left" w:pos="986"/>
              <w:tab w:val="left" w:leader="dot" w:pos="8953"/>
            </w:tabs>
            <w:ind w:hanging="851"/>
          </w:pPr>
          <w:hyperlink w:anchor="_bookmark4" w:history="1">
            <w:r w:rsidR="00033D0F">
              <w:rPr>
                <w:spacing w:val="-2"/>
              </w:rPr>
              <w:t>INTRODUCTION</w:t>
            </w:r>
            <w:r w:rsidR="00033D0F">
              <w:tab/>
            </w:r>
            <w:r w:rsidR="00033D0F">
              <w:rPr>
                <w:spacing w:val="-5"/>
              </w:rPr>
              <w:t>20</w:t>
            </w:r>
          </w:hyperlink>
        </w:p>
        <w:p w14:paraId="69DB4210" w14:textId="77777777" w:rsidR="00BD462C" w:rsidRDefault="00000000">
          <w:pPr>
            <w:pStyle w:val="TOC2"/>
            <w:numPr>
              <w:ilvl w:val="0"/>
              <w:numId w:val="67"/>
            </w:numPr>
            <w:tabs>
              <w:tab w:val="left" w:pos="985"/>
              <w:tab w:val="left" w:pos="986"/>
              <w:tab w:val="left" w:leader="dot" w:pos="8953"/>
            </w:tabs>
            <w:spacing w:before="177"/>
            <w:ind w:hanging="851"/>
          </w:pPr>
          <w:hyperlink w:anchor="_bookmark5" w:history="1">
            <w:r w:rsidR="00033D0F">
              <w:t>ISSUES</w:t>
            </w:r>
            <w:r w:rsidR="00033D0F">
              <w:rPr>
                <w:spacing w:val="-1"/>
              </w:rPr>
              <w:t xml:space="preserve"> </w:t>
            </w:r>
            <w:r w:rsidR="00033D0F">
              <w:t>CONCERNING</w:t>
            </w:r>
            <w:r w:rsidR="00033D0F">
              <w:rPr>
                <w:spacing w:val="-2"/>
              </w:rPr>
              <w:t xml:space="preserve"> </w:t>
            </w:r>
            <w:r w:rsidR="00033D0F">
              <w:t>THE</w:t>
            </w:r>
            <w:r w:rsidR="00033D0F">
              <w:rPr>
                <w:spacing w:val="-5"/>
              </w:rPr>
              <w:t xml:space="preserve"> </w:t>
            </w:r>
            <w:r w:rsidR="00033D0F">
              <w:t>CONDUCT</w:t>
            </w:r>
            <w:r w:rsidR="00033D0F">
              <w:rPr>
                <w:spacing w:val="-1"/>
              </w:rPr>
              <w:t xml:space="preserve"> </w:t>
            </w:r>
            <w:r w:rsidR="00033D0F">
              <w:t>OF</w:t>
            </w:r>
            <w:r w:rsidR="00033D0F">
              <w:rPr>
                <w:spacing w:val="-3"/>
              </w:rPr>
              <w:t xml:space="preserve"> </w:t>
            </w:r>
            <w:r w:rsidR="00033D0F">
              <w:t>THE</w:t>
            </w:r>
            <w:r w:rsidR="00033D0F">
              <w:rPr>
                <w:spacing w:val="-4"/>
              </w:rPr>
              <w:t xml:space="preserve"> </w:t>
            </w:r>
            <w:r w:rsidR="00033D0F">
              <w:rPr>
                <w:spacing w:val="-2"/>
              </w:rPr>
              <w:t>DISPUTE</w:t>
            </w:r>
            <w:r w:rsidR="00033D0F">
              <w:tab/>
            </w:r>
            <w:r w:rsidR="00033D0F">
              <w:rPr>
                <w:spacing w:val="-5"/>
              </w:rPr>
              <w:t>21</w:t>
            </w:r>
          </w:hyperlink>
        </w:p>
        <w:p w14:paraId="1B824A83" w14:textId="77777777" w:rsidR="00BD462C" w:rsidRDefault="00000000">
          <w:pPr>
            <w:pStyle w:val="TOC7"/>
            <w:numPr>
              <w:ilvl w:val="1"/>
              <w:numId w:val="67"/>
            </w:numPr>
            <w:tabs>
              <w:tab w:val="left" w:pos="1412"/>
              <w:tab w:val="left" w:pos="1413"/>
              <w:tab w:val="left" w:leader="dot" w:pos="8953"/>
            </w:tabs>
          </w:pPr>
          <w:hyperlink w:anchor="_bookmark6" w:history="1">
            <w:r w:rsidR="00033D0F">
              <w:rPr>
                <w:smallCaps/>
              </w:rPr>
              <w:t>China</w:t>
            </w:r>
            <w:r w:rsidR="00033D0F">
              <w:rPr>
                <w:smallCaps/>
                <w:spacing w:val="-2"/>
              </w:rPr>
              <w:t xml:space="preserve"> </w:t>
            </w:r>
            <w:r w:rsidR="00033D0F">
              <w:rPr>
                <w:smallCaps/>
              </w:rPr>
              <w:t>improperly attempts</w:t>
            </w:r>
            <w:r w:rsidR="00033D0F">
              <w:rPr>
                <w:smallCaps/>
                <w:spacing w:val="-5"/>
              </w:rPr>
              <w:t xml:space="preserve"> </w:t>
            </w:r>
            <w:r w:rsidR="00033D0F">
              <w:rPr>
                <w:smallCaps/>
              </w:rPr>
              <w:t>to</w:t>
            </w:r>
            <w:r w:rsidR="00033D0F">
              <w:rPr>
                <w:smallCaps/>
                <w:spacing w:val="-1"/>
              </w:rPr>
              <w:t xml:space="preserve"> </w:t>
            </w:r>
            <w:r w:rsidR="00033D0F">
              <w:rPr>
                <w:smallCaps/>
              </w:rPr>
              <w:t>narrow</w:t>
            </w:r>
            <w:r w:rsidR="00033D0F">
              <w:rPr>
                <w:smallCaps/>
                <w:spacing w:val="-1"/>
              </w:rPr>
              <w:t xml:space="preserve"> </w:t>
            </w:r>
            <w:r w:rsidR="00033D0F">
              <w:rPr>
                <w:smallCaps/>
              </w:rPr>
              <w:t>the</w:t>
            </w:r>
            <w:r w:rsidR="00033D0F">
              <w:rPr>
                <w:smallCaps/>
                <w:spacing w:val="-4"/>
              </w:rPr>
              <w:t xml:space="preserve"> </w:t>
            </w:r>
            <w:r w:rsidR="00033D0F">
              <w:rPr>
                <w:smallCaps/>
              </w:rPr>
              <w:t>Panel's</w:t>
            </w:r>
            <w:r w:rsidR="00033D0F">
              <w:rPr>
                <w:smallCaps/>
                <w:spacing w:val="-5"/>
              </w:rPr>
              <w:t xml:space="preserve"> </w:t>
            </w:r>
            <w:r w:rsidR="00033D0F">
              <w:rPr>
                <w:smallCaps/>
              </w:rPr>
              <w:t>terms</w:t>
            </w:r>
            <w:r w:rsidR="00033D0F">
              <w:rPr>
                <w:smallCaps/>
                <w:spacing w:val="-6"/>
              </w:rPr>
              <w:t xml:space="preserve"> </w:t>
            </w:r>
            <w:r w:rsidR="00033D0F">
              <w:rPr>
                <w:smallCaps/>
              </w:rPr>
              <w:t>of</w:t>
            </w:r>
            <w:r w:rsidR="00033D0F">
              <w:rPr>
                <w:smallCaps/>
                <w:spacing w:val="-2"/>
              </w:rPr>
              <w:t xml:space="preserve"> reference</w:t>
            </w:r>
            <w:r w:rsidR="00033D0F">
              <w:rPr>
                <w:smallCaps/>
              </w:rPr>
              <w:tab/>
            </w:r>
            <w:r w:rsidR="00033D0F">
              <w:rPr>
                <w:smallCaps/>
                <w:spacing w:val="-5"/>
              </w:rPr>
              <w:t>21</w:t>
            </w:r>
          </w:hyperlink>
        </w:p>
        <w:p w14:paraId="7071503D" w14:textId="77777777" w:rsidR="00BD462C" w:rsidRDefault="00000000">
          <w:pPr>
            <w:pStyle w:val="TOC8"/>
            <w:numPr>
              <w:ilvl w:val="2"/>
              <w:numId w:val="67"/>
            </w:numPr>
            <w:tabs>
              <w:tab w:val="left" w:pos="1835"/>
              <w:tab w:val="left" w:pos="1836"/>
              <w:tab w:val="left" w:leader="dot" w:pos="8953"/>
            </w:tabs>
            <w:ind w:hanging="851"/>
          </w:pPr>
          <w:hyperlink w:anchor="_bookmark7" w:history="1">
            <w:r w:rsidR="00033D0F">
              <w:t>Legal</w:t>
            </w:r>
            <w:r w:rsidR="00033D0F">
              <w:rPr>
                <w:spacing w:val="-3"/>
              </w:rPr>
              <w:t xml:space="preserve"> </w:t>
            </w:r>
            <w:r w:rsidR="00033D0F">
              <w:rPr>
                <w:spacing w:val="-2"/>
              </w:rPr>
              <w:t>framework</w:t>
            </w:r>
            <w:r w:rsidR="00033D0F">
              <w:tab/>
            </w:r>
            <w:r w:rsidR="00033D0F">
              <w:rPr>
                <w:spacing w:val="-5"/>
              </w:rPr>
              <w:t>22</w:t>
            </w:r>
          </w:hyperlink>
        </w:p>
        <w:p w14:paraId="46202D65" w14:textId="77777777" w:rsidR="00BD462C" w:rsidRDefault="00000000">
          <w:pPr>
            <w:pStyle w:val="TOC8"/>
            <w:numPr>
              <w:ilvl w:val="2"/>
              <w:numId w:val="67"/>
            </w:numPr>
            <w:tabs>
              <w:tab w:val="left" w:pos="1835"/>
              <w:tab w:val="left" w:pos="1836"/>
              <w:tab w:val="left" w:leader="dot" w:pos="8953"/>
            </w:tabs>
            <w:ind w:hanging="851"/>
          </w:pPr>
          <w:hyperlink w:anchor="_bookmark60" w:history="1">
            <w:r w:rsidR="00033D0F">
              <w:t>Australia</w:t>
            </w:r>
            <w:r w:rsidR="00033D0F">
              <w:rPr>
                <w:spacing w:val="-3"/>
              </w:rPr>
              <w:t xml:space="preserve"> </w:t>
            </w:r>
            <w:r w:rsidR="00033D0F">
              <w:t>complied</w:t>
            </w:r>
            <w:r w:rsidR="00033D0F">
              <w:rPr>
                <w:spacing w:val="-4"/>
              </w:rPr>
              <w:t xml:space="preserve"> </w:t>
            </w:r>
            <w:r w:rsidR="00033D0F">
              <w:t>with</w:t>
            </w:r>
            <w:r w:rsidR="00033D0F">
              <w:rPr>
                <w:spacing w:val="1"/>
              </w:rPr>
              <w:t xml:space="preserve"> </w:t>
            </w:r>
            <w:r w:rsidR="00033D0F">
              <w:t>the</w:t>
            </w:r>
            <w:r w:rsidR="00033D0F">
              <w:rPr>
                <w:spacing w:val="-6"/>
              </w:rPr>
              <w:t xml:space="preserve"> </w:t>
            </w:r>
            <w:r w:rsidR="00033D0F">
              <w:t>legal</w:t>
            </w:r>
            <w:r w:rsidR="00033D0F">
              <w:rPr>
                <w:spacing w:val="-5"/>
              </w:rPr>
              <w:t xml:space="preserve"> </w:t>
            </w:r>
            <w:r w:rsidR="00033D0F">
              <w:rPr>
                <w:spacing w:val="-2"/>
              </w:rPr>
              <w:t>framework</w:t>
            </w:r>
            <w:r w:rsidR="00033D0F">
              <w:tab/>
            </w:r>
            <w:r w:rsidR="00033D0F">
              <w:rPr>
                <w:spacing w:val="-5"/>
              </w:rPr>
              <w:t>28</w:t>
            </w:r>
          </w:hyperlink>
        </w:p>
        <w:p w14:paraId="5B7A51A2" w14:textId="77777777" w:rsidR="00BD462C" w:rsidRDefault="00000000">
          <w:pPr>
            <w:pStyle w:val="TOC7"/>
            <w:numPr>
              <w:ilvl w:val="1"/>
              <w:numId w:val="67"/>
            </w:numPr>
            <w:tabs>
              <w:tab w:val="left" w:pos="1412"/>
              <w:tab w:val="left" w:pos="1413"/>
              <w:tab w:val="left" w:leader="dot" w:pos="8953"/>
            </w:tabs>
          </w:pPr>
          <w:hyperlink w:anchor="_bookmark91" w:history="1">
            <w:r w:rsidR="00033D0F">
              <w:rPr>
                <w:smallCaps/>
              </w:rPr>
              <w:t>Australia</w:t>
            </w:r>
            <w:r w:rsidR="00033D0F">
              <w:rPr>
                <w:smallCaps/>
                <w:spacing w:val="-2"/>
              </w:rPr>
              <w:t xml:space="preserve"> </w:t>
            </w:r>
            <w:r w:rsidR="00033D0F">
              <w:rPr>
                <w:smallCaps/>
              </w:rPr>
              <w:t>has</w:t>
            </w:r>
            <w:r w:rsidR="00033D0F">
              <w:rPr>
                <w:smallCaps/>
                <w:spacing w:val="-6"/>
              </w:rPr>
              <w:t xml:space="preserve"> </w:t>
            </w:r>
            <w:r w:rsidR="00033D0F">
              <w:rPr>
                <w:smallCaps/>
              </w:rPr>
              <w:t>made</w:t>
            </w:r>
            <w:r w:rsidR="00033D0F">
              <w:rPr>
                <w:smallCaps/>
                <w:spacing w:val="2"/>
              </w:rPr>
              <w:t xml:space="preserve"> </w:t>
            </w:r>
            <w:r w:rsidR="00033D0F">
              <w:rPr>
                <w:smallCaps/>
              </w:rPr>
              <w:t>out a</w:t>
            </w:r>
            <w:r w:rsidR="00033D0F">
              <w:rPr>
                <w:smallCaps/>
                <w:spacing w:val="-1"/>
              </w:rPr>
              <w:t xml:space="preserve"> </w:t>
            </w:r>
            <w:r w:rsidR="00033D0F">
              <w:rPr>
                <w:smallCaps/>
              </w:rPr>
              <w:t>prima</w:t>
            </w:r>
            <w:r w:rsidR="00033D0F">
              <w:rPr>
                <w:smallCaps/>
                <w:spacing w:val="-2"/>
              </w:rPr>
              <w:t xml:space="preserve"> </w:t>
            </w:r>
            <w:r w:rsidR="00033D0F">
              <w:rPr>
                <w:smallCaps/>
              </w:rPr>
              <w:t>facie</w:t>
            </w:r>
            <w:r w:rsidR="00033D0F">
              <w:rPr>
                <w:smallCaps/>
                <w:spacing w:val="1"/>
              </w:rPr>
              <w:t xml:space="preserve"> </w:t>
            </w:r>
            <w:r w:rsidR="00033D0F">
              <w:rPr>
                <w:smallCaps/>
              </w:rPr>
              <w:t>case</w:t>
            </w:r>
            <w:r w:rsidR="00033D0F">
              <w:rPr>
                <w:smallCaps/>
                <w:spacing w:val="-3"/>
              </w:rPr>
              <w:t xml:space="preserve"> </w:t>
            </w:r>
            <w:r w:rsidR="00033D0F">
              <w:rPr>
                <w:smallCaps/>
              </w:rPr>
              <w:t>with</w:t>
            </w:r>
            <w:r w:rsidR="00033D0F">
              <w:rPr>
                <w:smallCaps/>
                <w:spacing w:val="-7"/>
              </w:rPr>
              <w:t xml:space="preserve"> </w:t>
            </w:r>
            <w:r w:rsidR="00033D0F">
              <w:rPr>
                <w:smallCaps/>
              </w:rPr>
              <w:t>respect</w:t>
            </w:r>
            <w:r w:rsidR="00033D0F">
              <w:rPr>
                <w:smallCaps/>
                <w:spacing w:val="1"/>
              </w:rPr>
              <w:t xml:space="preserve"> </w:t>
            </w:r>
            <w:r w:rsidR="00033D0F">
              <w:rPr>
                <w:smallCaps/>
              </w:rPr>
              <w:t>to</w:t>
            </w:r>
            <w:r w:rsidR="00033D0F">
              <w:rPr>
                <w:smallCaps/>
                <w:spacing w:val="-6"/>
              </w:rPr>
              <w:t xml:space="preserve"> </w:t>
            </w:r>
            <w:r w:rsidR="00033D0F">
              <w:rPr>
                <w:smallCaps/>
              </w:rPr>
              <w:t xml:space="preserve">its </w:t>
            </w:r>
            <w:r w:rsidR="00033D0F">
              <w:rPr>
                <w:smallCaps/>
                <w:spacing w:val="-2"/>
              </w:rPr>
              <w:t>claims</w:t>
            </w:r>
            <w:r w:rsidR="00033D0F">
              <w:rPr>
                <w:smallCaps/>
              </w:rPr>
              <w:tab/>
            </w:r>
            <w:r w:rsidR="00033D0F">
              <w:rPr>
                <w:smallCaps/>
                <w:spacing w:val="-5"/>
              </w:rPr>
              <w:t>32</w:t>
            </w:r>
          </w:hyperlink>
        </w:p>
        <w:p w14:paraId="7E9A9ACD" w14:textId="77777777" w:rsidR="00BD462C" w:rsidRDefault="00000000">
          <w:pPr>
            <w:pStyle w:val="TOC8"/>
            <w:numPr>
              <w:ilvl w:val="2"/>
              <w:numId w:val="67"/>
            </w:numPr>
            <w:tabs>
              <w:tab w:val="left" w:pos="1835"/>
              <w:tab w:val="left" w:pos="1836"/>
              <w:tab w:val="left" w:leader="dot" w:pos="8953"/>
            </w:tabs>
            <w:ind w:hanging="851"/>
          </w:pPr>
          <w:hyperlink w:anchor="_bookmark92" w:history="1">
            <w:r w:rsidR="00033D0F">
              <w:t>Legal</w:t>
            </w:r>
            <w:r w:rsidR="00033D0F">
              <w:rPr>
                <w:spacing w:val="-3"/>
              </w:rPr>
              <w:t xml:space="preserve"> </w:t>
            </w:r>
            <w:r w:rsidR="00033D0F">
              <w:rPr>
                <w:spacing w:val="-2"/>
              </w:rPr>
              <w:t>framework</w:t>
            </w:r>
            <w:r w:rsidR="00033D0F">
              <w:tab/>
            </w:r>
            <w:r w:rsidR="00033D0F">
              <w:rPr>
                <w:spacing w:val="-5"/>
              </w:rPr>
              <w:t>32</w:t>
            </w:r>
          </w:hyperlink>
        </w:p>
        <w:p w14:paraId="0C319A58" w14:textId="77777777" w:rsidR="00BD462C" w:rsidRDefault="00000000">
          <w:pPr>
            <w:pStyle w:val="TOC8"/>
            <w:numPr>
              <w:ilvl w:val="2"/>
              <w:numId w:val="67"/>
            </w:numPr>
            <w:tabs>
              <w:tab w:val="left" w:pos="1835"/>
              <w:tab w:val="left" w:pos="1836"/>
              <w:tab w:val="left" w:leader="dot" w:pos="8953"/>
            </w:tabs>
            <w:spacing w:before="119"/>
            <w:ind w:hanging="851"/>
          </w:pPr>
          <w:hyperlink w:anchor="_bookmark104" w:history="1">
            <w:r w:rsidR="00033D0F">
              <w:t>Australia</w:t>
            </w:r>
            <w:r w:rsidR="00033D0F">
              <w:rPr>
                <w:spacing w:val="-3"/>
              </w:rPr>
              <w:t xml:space="preserve"> </w:t>
            </w:r>
            <w:r w:rsidR="00033D0F">
              <w:t>complied</w:t>
            </w:r>
            <w:r w:rsidR="00033D0F">
              <w:rPr>
                <w:spacing w:val="-4"/>
              </w:rPr>
              <w:t xml:space="preserve"> </w:t>
            </w:r>
            <w:r w:rsidR="00033D0F">
              <w:t>with</w:t>
            </w:r>
            <w:r w:rsidR="00033D0F">
              <w:rPr>
                <w:spacing w:val="1"/>
              </w:rPr>
              <w:t xml:space="preserve"> </w:t>
            </w:r>
            <w:r w:rsidR="00033D0F">
              <w:t>the</w:t>
            </w:r>
            <w:r w:rsidR="00033D0F">
              <w:rPr>
                <w:spacing w:val="-6"/>
              </w:rPr>
              <w:t xml:space="preserve"> </w:t>
            </w:r>
            <w:r w:rsidR="00033D0F">
              <w:t>legal</w:t>
            </w:r>
            <w:r w:rsidR="00033D0F">
              <w:rPr>
                <w:spacing w:val="-5"/>
              </w:rPr>
              <w:t xml:space="preserve"> </w:t>
            </w:r>
            <w:r w:rsidR="00033D0F">
              <w:rPr>
                <w:spacing w:val="-2"/>
              </w:rPr>
              <w:t>framework</w:t>
            </w:r>
            <w:r w:rsidR="00033D0F">
              <w:tab/>
            </w:r>
            <w:r w:rsidR="00033D0F">
              <w:rPr>
                <w:spacing w:val="-5"/>
              </w:rPr>
              <w:t>34</w:t>
            </w:r>
          </w:hyperlink>
        </w:p>
        <w:p w14:paraId="65FADCC9" w14:textId="77777777" w:rsidR="00BD462C" w:rsidRDefault="00000000">
          <w:pPr>
            <w:pStyle w:val="TOC7"/>
            <w:numPr>
              <w:ilvl w:val="1"/>
              <w:numId w:val="67"/>
            </w:numPr>
            <w:tabs>
              <w:tab w:val="left" w:pos="1412"/>
              <w:tab w:val="left" w:pos="1413"/>
              <w:tab w:val="left" w:leader="dot" w:pos="8953"/>
            </w:tabs>
          </w:pPr>
          <w:hyperlink w:anchor="_bookmark105" w:history="1">
            <w:r w:rsidR="00033D0F">
              <w:rPr>
                <w:smallCaps/>
              </w:rPr>
              <w:t>China's</w:t>
            </w:r>
            <w:r w:rsidR="00033D0F">
              <w:rPr>
                <w:smallCaps/>
                <w:spacing w:val="-4"/>
              </w:rPr>
              <w:t xml:space="preserve"> </w:t>
            </w:r>
            <w:r w:rsidR="00033D0F">
              <w:rPr>
                <w:smallCaps/>
              </w:rPr>
              <w:t>allegations</w:t>
            </w:r>
            <w:r w:rsidR="00033D0F">
              <w:rPr>
                <w:smallCaps/>
                <w:spacing w:val="-3"/>
              </w:rPr>
              <w:t xml:space="preserve"> </w:t>
            </w:r>
            <w:r w:rsidR="00033D0F">
              <w:rPr>
                <w:smallCaps/>
              </w:rPr>
              <w:t>of</w:t>
            </w:r>
            <w:r w:rsidR="00033D0F">
              <w:rPr>
                <w:smallCaps/>
                <w:spacing w:val="-5"/>
              </w:rPr>
              <w:t xml:space="preserve"> </w:t>
            </w:r>
            <w:r w:rsidR="00033D0F">
              <w:rPr>
                <w:smallCaps/>
              </w:rPr>
              <w:t>abandoned</w:t>
            </w:r>
            <w:r w:rsidR="00033D0F">
              <w:rPr>
                <w:smallCaps/>
                <w:spacing w:val="-4"/>
              </w:rPr>
              <w:t xml:space="preserve"> </w:t>
            </w:r>
            <w:r w:rsidR="00033D0F">
              <w:rPr>
                <w:smallCaps/>
                <w:spacing w:val="-2"/>
              </w:rPr>
              <w:t>claims</w:t>
            </w:r>
            <w:r w:rsidR="00033D0F">
              <w:rPr>
                <w:smallCaps/>
              </w:rPr>
              <w:tab/>
            </w:r>
            <w:r w:rsidR="00033D0F">
              <w:rPr>
                <w:smallCaps/>
                <w:spacing w:val="-5"/>
              </w:rPr>
              <w:t>34</w:t>
            </w:r>
          </w:hyperlink>
        </w:p>
        <w:p w14:paraId="63F4FB69" w14:textId="77777777" w:rsidR="00BD462C" w:rsidRDefault="00000000">
          <w:pPr>
            <w:pStyle w:val="TOC7"/>
            <w:numPr>
              <w:ilvl w:val="1"/>
              <w:numId w:val="67"/>
            </w:numPr>
            <w:tabs>
              <w:tab w:val="left" w:pos="1412"/>
              <w:tab w:val="left" w:pos="1413"/>
              <w:tab w:val="left" w:leader="dot" w:pos="8953"/>
            </w:tabs>
          </w:pPr>
          <w:hyperlink w:anchor="_bookmark114" w:history="1">
            <w:r w:rsidR="00033D0F">
              <w:rPr>
                <w:smallCaps/>
              </w:rPr>
              <w:t>Judicial</w:t>
            </w:r>
            <w:r w:rsidR="00033D0F">
              <w:rPr>
                <w:smallCaps/>
                <w:spacing w:val="-6"/>
              </w:rPr>
              <w:t xml:space="preserve"> </w:t>
            </w:r>
            <w:r w:rsidR="00033D0F">
              <w:rPr>
                <w:smallCaps/>
                <w:spacing w:val="-2"/>
              </w:rPr>
              <w:t>economy</w:t>
            </w:r>
            <w:r w:rsidR="00033D0F">
              <w:rPr>
                <w:smallCaps/>
              </w:rPr>
              <w:tab/>
            </w:r>
            <w:r w:rsidR="00033D0F">
              <w:rPr>
                <w:smallCaps/>
                <w:spacing w:val="-5"/>
              </w:rPr>
              <w:t>35</w:t>
            </w:r>
          </w:hyperlink>
        </w:p>
        <w:p w14:paraId="485DD6AB" w14:textId="77777777" w:rsidR="00BD462C" w:rsidRDefault="00000000">
          <w:pPr>
            <w:pStyle w:val="TOC7"/>
            <w:numPr>
              <w:ilvl w:val="1"/>
              <w:numId w:val="67"/>
            </w:numPr>
            <w:tabs>
              <w:tab w:val="left" w:pos="1412"/>
              <w:tab w:val="left" w:pos="1413"/>
            </w:tabs>
          </w:pPr>
          <w:hyperlink w:anchor="_bookmark115" w:history="1">
            <w:r w:rsidR="00033D0F">
              <w:rPr>
                <w:smallCaps/>
              </w:rPr>
              <w:t>China's</w:t>
            </w:r>
            <w:r w:rsidR="00033D0F">
              <w:rPr>
                <w:smallCaps/>
                <w:spacing w:val="12"/>
              </w:rPr>
              <w:t xml:space="preserve"> </w:t>
            </w:r>
            <w:r w:rsidR="00033D0F">
              <w:rPr>
                <w:smallCaps/>
              </w:rPr>
              <w:t>reliance</w:t>
            </w:r>
            <w:r w:rsidR="00033D0F">
              <w:rPr>
                <w:smallCaps/>
                <w:spacing w:val="9"/>
              </w:rPr>
              <w:t xml:space="preserve"> </w:t>
            </w:r>
            <w:r w:rsidR="00033D0F">
              <w:rPr>
                <w:smallCaps/>
              </w:rPr>
              <w:t>on</w:t>
            </w:r>
            <w:r w:rsidR="00033D0F">
              <w:rPr>
                <w:smallCaps/>
                <w:spacing w:val="10"/>
              </w:rPr>
              <w:t xml:space="preserve"> </w:t>
            </w:r>
            <w:r w:rsidR="00033D0F">
              <w:rPr>
                <w:smallCaps/>
              </w:rPr>
              <w:t>domestic</w:t>
            </w:r>
            <w:r w:rsidR="00033D0F">
              <w:rPr>
                <w:smallCaps/>
                <w:spacing w:val="10"/>
              </w:rPr>
              <w:t xml:space="preserve"> </w:t>
            </w:r>
            <w:r w:rsidR="00033D0F">
              <w:rPr>
                <w:smallCaps/>
              </w:rPr>
              <w:t>confidentiality</w:t>
            </w:r>
            <w:r w:rsidR="00033D0F">
              <w:rPr>
                <w:smallCaps/>
                <w:spacing w:val="12"/>
              </w:rPr>
              <w:t xml:space="preserve"> </w:t>
            </w:r>
            <w:r w:rsidR="00033D0F">
              <w:rPr>
                <w:smallCaps/>
              </w:rPr>
              <w:t>obligations</w:t>
            </w:r>
            <w:r w:rsidR="00033D0F">
              <w:rPr>
                <w:smallCaps/>
                <w:spacing w:val="8"/>
              </w:rPr>
              <w:t xml:space="preserve"> </w:t>
            </w:r>
            <w:r w:rsidR="00033D0F">
              <w:rPr>
                <w:smallCaps/>
              </w:rPr>
              <w:t>to</w:t>
            </w:r>
            <w:r w:rsidR="00033D0F">
              <w:rPr>
                <w:smallCaps/>
                <w:spacing w:val="11"/>
              </w:rPr>
              <w:t xml:space="preserve"> </w:t>
            </w:r>
            <w:r w:rsidR="00033D0F">
              <w:rPr>
                <w:smallCaps/>
              </w:rPr>
              <w:t>withhold</w:t>
            </w:r>
            <w:r w:rsidR="00033D0F">
              <w:rPr>
                <w:smallCaps/>
                <w:spacing w:val="10"/>
              </w:rPr>
              <w:t xml:space="preserve"> </w:t>
            </w:r>
            <w:r w:rsidR="00033D0F">
              <w:rPr>
                <w:smallCaps/>
                <w:spacing w:val="-2"/>
              </w:rPr>
              <w:t>information</w:t>
            </w:r>
          </w:hyperlink>
        </w:p>
        <w:p w14:paraId="53012AB2" w14:textId="77777777" w:rsidR="00BD462C" w:rsidRDefault="00000000">
          <w:pPr>
            <w:tabs>
              <w:tab w:val="left" w:leader="dot" w:pos="8953"/>
            </w:tabs>
            <w:ind w:left="1465"/>
            <w:rPr>
              <w:b/>
              <w:sz w:val="24"/>
            </w:rPr>
          </w:pPr>
          <w:hyperlink w:anchor="_bookmark115" w:history="1">
            <w:r w:rsidR="00033D0F">
              <w:rPr>
                <w:b/>
                <w:spacing w:val="-10"/>
                <w:sz w:val="24"/>
              </w:rPr>
              <w:t>.</w:t>
            </w:r>
            <w:r w:rsidR="00033D0F">
              <w:rPr>
                <w:b/>
                <w:sz w:val="24"/>
              </w:rPr>
              <w:tab/>
            </w:r>
            <w:r w:rsidR="00033D0F">
              <w:rPr>
                <w:b/>
                <w:spacing w:val="-5"/>
                <w:sz w:val="24"/>
              </w:rPr>
              <w:t>35</w:t>
            </w:r>
          </w:hyperlink>
        </w:p>
        <w:p w14:paraId="6ECFE0ED" w14:textId="77777777" w:rsidR="00BD462C" w:rsidRDefault="00000000">
          <w:pPr>
            <w:pStyle w:val="TOC7"/>
            <w:numPr>
              <w:ilvl w:val="1"/>
              <w:numId w:val="67"/>
            </w:numPr>
            <w:tabs>
              <w:tab w:val="left" w:pos="1412"/>
              <w:tab w:val="left" w:pos="1413"/>
              <w:tab w:val="left" w:leader="dot" w:pos="8953"/>
            </w:tabs>
            <w:spacing w:before="119"/>
          </w:pPr>
          <w:hyperlink w:anchor="_bookmark122" w:history="1">
            <w:r w:rsidR="00033D0F">
              <w:rPr>
                <w:smallCaps/>
                <w:spacing w:val="-2"/>
              </w:rPr>
              <w:t>Translations</w:t>
            </w:r>
            <w:r w:rsidR="00033D0F">
              <w:rPr>
                <w:smallCaps/>
              </w:rPr>
              <w:tab/>
            </w:r>
            <w:r w:rsidR="00033D0F">
              <w:rPr>
                <w:smallCaps/>
                <w:spacing w:val="-5"/>
              </w:rPr>
              <w:t>38</w:t>
            </w:r>
          </w:hyperlink>
        </w:p>
        <w:p w14:paraId="37F4E460" w14:textId="77777777" w:rsidR="00BD462C" w:rsidRDefault="00000000">
          <w:pPr>
            <w:pStyle w:val="TOC2"/>
            <w:numPr>
              <w:ilvl w:val="0"/>
              <w:numId w:val="67"/>
            </w:numPr>
            <w:tabs>
              <w:tab w:val="left" w:pos="985"/>
              <w:tab w:val="left" w:pos="986"/>
              <w:tab w:val="left" w:leader="dot" w:pos="8953"/>
            </w:tabs>
            <w:spacing w:before="183"/>
            <w:ind w:hanging="851"/>
          </w:pPr>
          <w:hyperlink w:anchor="_bookmark123" w:history="1">
            <w:r w:rsidR="00033D0F">
              <w:t>AUSTRALIA'S</w:t>
            </w:r>
            <w:r w:rsidR="00033D0F">
              <w:rPr>
                <w:spacing w:val="-5"/>
              </w:rPr>
              <w:t xml:space="preserve"> </w:t>
            </w:r>
            <w:r w:rsidR="00033D0F">
              <w:t>CLAIMS</w:t>
            </w:r>
            <w:r w:rsidR="00033D0F">
              <w:rPr>
                <w:spacing w:val="-3"/>
              </w:rPr>
              <w:t xml:space="preserve"> </w:t>
            </w:r>
            <w:r w:rsidR="00033D0F">
              <w:t>CONCERNING</w:t>
            </w:r>
            <w:r w:rsidR="00033D0F">
              <w:rPr>
                <w:spacing w:val="-3"/>
              </w:rPr>
              <w:t xml:space="preserve"> </w:t>
            </w:r>
            <w:r w:rsidR="00033D0F">
              <w:t>THE</w:t>
            </w:r>
            <w:r w:rsidR="00033D0F">
              <w:rPr>
                <w:spacing w:val="-7"/>
              </w:rPr>
              <w:t xml:space="preserve"> </w:t>
            </w:r>
            <w:r w:rsidR="00033D0F">
              <w:t>DUMPING</w:t>
            </w:r>
            <w:r w:rsidR="00033D0F">
              <w:rPr>
                <w:spacing w:val="-3"/>
              </w:rPr>
              <w:t xml:space="preserve"> </w:t>
            </w:r>
            <w:r w:rsidR="00033D0F">
              <w:rPr>
                <w:spacing w:val="-2"/>
              </w:rPr>
              <w:t>DETERMINATION</w:t>
            </w:r>
            <w:r w:rsidR="00033D0F">
              <w:tab/>
            </w:r>
            <w:r w:rsidR="00033D0F">
              <w:rPr>
                <w:spacing w:val="-5"/>
              </w:rPr>
              <w:t>38</w:t>
            </w:r>
          </w:hyperlink>
        </w:p>
        <w:p w14:paraId="48EA0F84" w14:textId="77777777" w:rsidR="00BD462C" w:rsidRDefault="00000000">
          <w:pPr>
            <w:pStyle w:val="TOC7"/>
            <w:numPr>
              <w:ilvl w:val="1"/>
              <w:numId w:val="67"/>
            </w:numPr>
            <w:tabs>
              <w:tab w:val="left" w:pos="1412"/>
              <w:tab w:val="left" w:pos="1413"/>
              <w:tab w:val="left" w:leader="dot" w:pos="8953"/>
            </w:tabs>
          </w:pPr>
          <w:hyperlink w:anchor="_bookmark124" w:history="1">
            <w:r w:rsidR="00033D0F">
              <w:rPr>
                <w:smallCaps/>
                <w:spacing w:val="-2"/>
              </w:rPr>
              <w:t>Introduction</w:t>
            </w:r>
            <w:r w:rsidR="00033D0F">
              <w:rPr>
                <w:smallCaps/>
              </w:rPr>
              <w:tab/>
            </w:r>
            <w:r w:rsidR="00033D0F">
              <w:rPr>
                <w:smallCaps/>
                <w:spacing w:val="-5"/>
              </w:rPr>
              <w:t>38</w:t>
            </w:r>
          </w:hyperlink>
        </w:p>
        <w:p w14:paraId="56621038" w14:textId="77777777" w:rsidR="00BD462C" w:rsidRDefault="00000000">
          <w:pPr>
            <w:pStyle w:val="TOC7"/>
            <w:numPr>
              <w:ilvl w:val="1"/>
              <w:numId w:val="67"/>
            </w:numPr>
            <w:tabs>
              <w:tab w:val="left" w:pos="1412"/>
              <w:tab w:val="left" w:pos="1413"/>
              <w:tab w:val="left" w:leader="dot" w:pos="8953"/>
            </w:tabs>
            <w:spacing w:before="119"/>
            <w:ind w:right="908"/>
          </w:pPr>
          <w:hyperlink w:anchor="_bookmark126" w:history="1">
            <w:r w:rsidR="00033D0F">
              <w:rPr>
                <w:smallCaps/>
              </w:rPr>
              <w:t>MOFCOM</w:t>
            </w:r>
            <w:r w:rsidR="00033D0F">
              <w:rPr>
                <w:smallCaps/>
                <w:spacing w:val="-5"/>
              </w:rPr>
              <w:t xml:space="preserve"> </w:t>
            </w:r>
            <w:r w:rsidR="00033D0F">
              <w:rPr>
                <w:smallCaps/>
              </w:rPr>
              <w:t>did not undertake a "holistic analysis"</w:t>
            </w:r>
            <w:r w:rsidR="00033D0F">
              <w:rPr>
                <w:smallCaps/>
                <w:spacing w:val="-6"/>
              </w:rPr>
              <w:t xml:space="preserve"> </w:t>
            </w:r>
            <w:r w:rsidR="00033D0F">
              <w:rPr>
                <w:smallCaps/>
              </w:rPr>
              <w:t>in</w:t>
            </w:r>
            <w:r w:rsidR="00033D0F">
              <w:rPr>
                <w:smallCaps/>
                <w:spacing w:val="-1"/>
              </w:rPr>
              <w:t xml:space="preserve"> </w:t>
            </w:r>
            <w:r w:rsidR="00033D0F">
              <w:rPr>
                <w:smallCaps/>
              </w:rPr>
              <w:t>deciding whether to resort to</w:t>
            </w:r>
          </w:hyperlink>
          <w:r w:rsidR="00033D0F">
            <w:rPr>
              <w:smallCaps/>
            </w:rPr>
            <w:t xml:space="preserve"> </w:t>
          </w:r>
          <w:hyperlink w:anchor="_bookmark126" w:history="1">
            <w:r w:rsidR="00033D0F">
              <w:rPr>
                <w:smallCaps/>
              </w:rPr>
              <w:t>facts available</w:t>
            </w:r>
            <w:r w:rsidR="00033D0F">
              <w:rPr>
                <w:smallCaps/>
              </w:rPr>
              <w:tab/>
            </w:r>
            <w:r w:rsidR="00033D0F">
              <w:rPr>
                <w:smallCaps/>
                <w:spacing w:val="-6"/>
              </w:rPr>
              <w:t>39</w:t>
            </w:r>
          </w:hyperlink>
        </w:p>
        <w:p w14:paraId="0B15294F" w14:textId="77777777" w:rsidR="00BD462C" w:rsidRDefault="00000000">
          <w:pPr>
            <w:pStyle w:val="TOC9"/>
            <w:numPr>
              <w:ilvl w:val="2"/>
              <w:numId w:val="67"/>
            </w:numPr>
            <w:tabs>
              <w:tab w:val="left" w:pos="1835"/>
              <w:tab w:val="left" w:pos="1836"/>
              <w:tab w:val="left" w:leader="dot" w:pos="8953"/>
            </w:tabs>
            <w:ind w:hanging="851"/>
            <w:rPr>
              <w:i w:val="0"/>
              <w:sz w:val="24"/>
            </w:rPr>
          </w:pPr>
          <w:hyperlink w:anchor="_bookmark135" w:history="1">
            <w:r w:rsidR="00033D0F">
              <w:rPr>
                <w:sz w:val="24"/>
              </w:rPr>
              <w:t>US</w:t>
            </w:r>
            <w:r w:rsidR="00033D0F">
              <w:rPr>
                <w:spacing w:val="-5"/>
                <w:sz w:val="24"/>
              </w:rPr>
              <w:t xml:space="preserve"> </w:t>
            </w:r>
            <w:r w:rsidR="00033D0F">
              <w:rPr>
                <w:sz w:val="24"/>
              </w:rPr>
              <w:t>–</w:t>
            </w:r>
            <w:r w:rsidR="00033D0F">
              <w:rPr>
                <w:spacing w:val="-2"/>
                <w:sz w:val="24"/>
              </w:rPr>
              <w:t xml:space="preserve"> </w:t>
            </w:r>
            <w:r w:rsidR="00033D0F">
              <w:rPr>
                <w:sz w:val="24"/>
              </w:rPr>
              <w:t>Steel</w:t>
            </w:r>
            <w:r w:rsidR="00033D0F">
              <w:rPr>
                <w:spacing w:val="-4"/>
                <w:sz w:val="24"/>
              </w:rPr>
              <w:t xml:space="preserve"> </w:t>
            </w:r>
            <w:r w:rsidR="00033D0F">
              <w:rPr>
                <w:sz w:val="24"/>
              </w:rPr>
              <w:t>Plate</w:t>
            </w:r>
            <w:r w:rsidR="00033D0F">
              <w:rPr>
                <w:spacing w:val="-2"/>
                <w:sz w:val="24"/>
              </w:rPr>
              <w:t xml:space="preserve"> </w:t>
            </w:r>
            <w:r w:rsidR="00033D0F">
              <w:rPr>
                <w:i w:val="0"/>
                <w:sz w:val="24"/>
              </w:rPr>
              <w:t>does</w:t>
            </w:r>
            <w:r w:rsidR="00033D0F">
              <w:rPr>
                <w:i w:val="0"/>
                <w:spacing w:val="-3"/>
                <w:sz w:val="24"/>
              </w:rPr>
              <w:t xml:space="preserve"> </w:t>
            </w:r>
            <w:r w:rsidR="00033D0F">
              <w:rPr>
                <w:i w:val="0"/>
                <w:sz w:val="24"/>
              </w:rPr>
              <w:t>not</w:t>
            </w:r>
            <w:r w:rsidR="00033D0F">
              <w:rPr>
                <w:i w:val="0"/>
                <w:spacing w:val="-1"/>
                <w:sz w:val="24"/>
              </w:rPr>
              <w:t xml:space="preserve"> </w:t>
            </w:r>
            <w:r w:rsidR="00033D0F">
              <w:rPr>
                <w:i w:val="0"/>
                <w:sz w:val="24"/>
              </w:rPr>
              <w:t>support</w:t>
            </w:r>
            <w:r w:rsidR="00033D0F">
              <w:rPr>
                <w:i w:val="0"/>
                <w:spacing w:val="-5"/>
                <w:sz w:val="24"/>
              </w:rPr>
              <w:t xml:space="preserve"> </w:t>
            </w:r>
            <w:r w:rsidR="00033D0F">
              <w:rPr>
                <w:i w:val="0"/>
                <w:sz w:val="24"/>
              </w:rPr>
              <w:t>a</w:t>
            </w:r>
            <w:r w:rsidR="00033D0F">
              <w:rPr>
                <w:i w:val="0"/>
                <w:spacing w:val="-1"/>
                <w:sz w:val="24"/>
              </w:rPr>
              <w:t xml:space="preserve"> </w:t>
            </w:r>
            <w:r w:rsidR="00033D0F">
              <w:rPr>
                <w:i w:val="0"/>
                <w:sz w:val="24"/>
              </w:rPr>
              <w:t>"holistic</w:t>
            </w:r>
            <w:r w:rsidR="00033D0F">
              <w:rPr>
                <w:i w:val="0"/>
                <w:spacing w:val="-3"/>
                <w:sz w:val="24"/>
              </w:rPr>
              <w:t xml:space="preserve"> </w:t>
            </w:r>
            <w:r w:rsidR="00033D0F">
              <w:rPr>
                <w:i w:val="0"/>
                <w:spacing w:val="-2"/>
                <w:sz w:val="24"/>
              </w:rPr>
              <w:t>analysis"</w:t>
            </w:r>
            <w:r w:rsidR="00033D0F">
              <w:rPr>
                <w:i w:val="0"/>
                <w:sz w:val="24"/>
              </w:rPr>
              <w:tab/>
            </w:r>
            <w:r w:rsidR="00033D0F">
              <w:rPr>
                <w:i w:val="0"/>
                <w:spacing w:val="-5"/>
                <w:sz w:val="24"/>
              </w:rPr>
              <w:t>40</w:t>
            </w:r>
          </w:hyperlink>
        </w:p>
        <w:p w14:paraId="45DE83EE" w14:textId="77777777" w:rsidR="00BD462C" w:rsidRDefault="00000000">
          <w:pPr>
            <w:pStyle w:val="TOC8"/>
            <w:numPr>
              <w:ilvl w:val="2"/>
              <w:numId w:val="67"/>
            </w:numPr>
            <w:tabs>
              <w:tab w:val="left" w:pos="1835"/>
              <w:tab w:val="left" w:pos="1836"/>
              <w:tab w:val="left" w:leader="dot" w:pos="8953"/>
            </w:tabs>
            <w:ind w:hanging="851"/>
          </w:pPr>
          <w:hyperlink w:anchor="_bookmark150" w:history="1">
            <w:r w:rsidR="00033D0F">
              <w:t>There</w:t>
            </w:r>
            <w:r w:rsidR="00033D0F">
              <w:rPr>
                <w:spacing w:val="-4"/>
              </w:rPr>
              <w:t xml:space="preserve"> </w:t>
            </w:r>
            <w:r w:rsidR="00033D0F">
              <w:t>is</w:t>
            </w:r>
            <w:r w:rsidR="00033D0F">
              <w:rPr>
                <w:spacing w:val="-3"/>
              </w:rPr>
              <w:t xml:space="preserve"> </w:t>
            </w:r>
            <w:r w:rsidR="00033D0F">
              <w:t>no</w:t>
            </w:r>
            <w:r w:rsidR="00033D0F">
              <w:rPr>
                <w:spacing w:val="-2"/>
              </w:rPr>
              <w:t xml:space="preserve"> </w:t>
            </w:r>
            <w:r w:rsidR="00033D0F">
              <w:t>evidence</w:t>
            </w:r>
            <w:r w:rsidR="00033D0F">
              <w:rPr>
                <w:spacing w:val="-4"/>
              </w:rPr>
              <w:t xml:space="preserve"> </w:t>
            </w:r>
            <w:r w:rsidR="00033D0F">
              <w:t>on</w:t>
            </w:r>
            <w:r w:rsidR="00033D0F">
              <w:rPr>
                <w:spacing w:val="-1"/>
              </w:rPr>
              <w:t xml:space="preserve"> </w:t>
            </w:r>
            <w:r w:rsidR="00033D0F">
              <w:t>the</w:t>
            </w:r>
            <w:r w:rsidR="00033D0F">
              <w:rPr>
                <w:spacing w:val="-4"/>
              </w:rPr>
              <w:t xml:space="preserve"> </w:t>
            </w:r>
            <w:r w:rsidR="00033D0F">
              <w:t>record</w:t>
            </w:r>
            <w:r w:rsidR="00033D0F">
              <w:rPr>
                <w:spacing w:val="-2"/>
              </w:rPr>
              <w:t xml:space="preserve"> </w:t>
            </w:r>
            <w:r w:rsidR="00033D0F">
              <w:t>of</w:t>
            </w:r>
            <w:r w:rsidR="00033D0F">
              <w:rPr>
                <w:spacing w:val="-2"/>
              </w:rPr>
              <w:t xml:space="preserve"> </w:t>
            </w:r>
            <w:r w:rsidR="00033D0F">
              <w:t>a</w:t>
            </w:r>
            <w:r w:rsidR="00033D0F">
              <w:rPr>
                <w:spacing w:val="-1"/>
              </w:rPr>
              <w:t xml:space="preserve"> </w:t>
            </w:r>
            <w:r w:rsidR="00033D0F">
              <w:t>"holistic</w:t>
            </w:r>
            <w:r w:rsidR="00033D0F">
              <w:rPr>
                <w:spacing w:val="3"/>
              </w:rPr>
              <w:t xml:space="preserve"> </w:t>
            </w:r>
            <w:r w:rsidR="00033D0F">
              <w:rPr>
                <w:spacing w:val="-2"/>
              </w:rPr>
              <w:t>analysis"</w:t>
            </w:r>
            <w:r w:rsidR="00033D0F">
              <w:tab/>
            </w:r>
            <w:r w:rsidR="00033D0F">
              <w:rPr>
                <w:spacing w:val="-5"/>
              </w:rPr>
              <w:t>43</w:t>
            </w:r>
          </w:hyperlink>
        </w:p>
        <w:p w14:paraId="04781F33" w14:textId="77777777" w:rsidR="00BD462C" w:rsidRDefault="00000000">
          <w:pPr>
            <w:pStyle w:val="TOC8"/>
            <w:numPr>
              <w:ilvl w:val="2"/>
              <w:numId w:val="67"/>
            </w:numPr>
            <w:tabs>
              <w:tab w:val="left" w:pos="1835"/>
              <w:tab w:val="left" w:pos="1836"/>
              <w:tab w:val="left" w:leader="dot" w:pos="8953"/>
            </w:tabs>
            <w:ind w:left="1840" w:right="917" w:hanging="855"/>
          </w:pPr>
          <w:hyperlink w:anchor="_bookmark164" w:history="1">
            <w:r w:rsidR="00033D0F">
              <w:t>A</w:t>
            </w:r>
            <w:r w:rsidR="00033D0F">
              <w:rPr>
                <w:spacing w:val="-4"/>
              </w:rPr>
              <w:t xml:space="preserve"> </w:t>
            </w:r>
            <w:r w:rsidR="00033D0F">
              <w:t>flaw in</w:t>
            </w:r>
            <w:r w:rsidR="00033D0F">
              <w:rPr>
                <w:spacing w:val="-2"/>
              </w:rPr>
              <w:t xml:space="preserve"> </w:t>
            </w:r>
            <w:r w:rsidR="00033D0F">
              <w:t>any</w:t>
            </w:r>
            <w:r w:rsidR="00033D0F">
              <w:rPr>
                <w:spacing w:val="-1"/>
              </w:rPr>
              <w:t xml:space="preserve"> </w:t>
            </w:r>
            <w:r w:rsidR="00033D0F">
              <w:t>part</w:t>
            </w:r>
            <w:r w:rsidR="00033D0F">
              <w:rPr>
                <w:spacing w:val="-5"/>
              </w:rPr>
              <w:t xml:space="preserve"> </w:t>
            </w:r>
            <w:r w:rsidR="00033D0F">
              <w:t>of</w:t>
            </w:r>
            <w:r w:rsidR="00033D0F">
              <w:rPr>
                <w:spacing w:val="-2"/>
              </w:rPr>
              <w:t xml:space="preserve"> </w:t>
            </w:r>
            <w:r w:rsidR="00033D0F">
              <w:t>the "holistic</w:t>
            </w:r>
            <w:r w:rsidR="00033D0F">
              <w:rPr>
                <w:spacing w:val="-3"/>
              </w:rPr>
              <w:t xml:space="preserve"> </w:t>
            </w:r>
            <w:r w:rsidR="00033D0F">
              <w:t>analysis"</w:t>
            </w:r>
            <w:r w:rsidR="00033D0F">
              <w:rPr>
                <w:spacing w:val="-3"/>
              </w:rPr>
              <w:t xml:space="preserve"> </w:t>
            </w:r>
            <w:r w:rsidR="00033D0F">
              <w:t>undermines</w:t>
            </w:r>
            <w:r w:rsidR="00033D0F">
              <w:rPr>
                <w:spacing w:val="-3"/>
              </w:rPr>
              <w:t xml:space="preserve"> </w:t>
            </w:r>
            <w:r w:rsidR="00033D0F">
              <w:t>the</w:t>
            </w:r>
            <w:r w:rsidR="00033D0F">
              <w:rPr>
                <w:spacing w:val="-4"/>
              </w:rPr>
              <w:t xml:space="preserve"> </w:t>
            </w:r>
            <w:r w:rsidR="00033D0F">
              <w:t>entirety</w:t>
            </w:r>
            <w:r w:rsidR="00033D0F">
              <w:rPr>
                <w:spacing w:val="-1"/>
              </w:rPr>
              <w:t xml:space="preserve"> </w:t>
            </w:r>
            <w:r w:rsidR="00033D0F">
              <w:t>of the</w:t>
            </w:r>
          </w:hyperlink>
          <w:r w:rsidR="00033D0F">
            <w:t xml:space="preserve"> </w:t>
          </w:r>
          <w:hyperlink w:anchor="_bookmark164" w:history="1">
            <w:r w:rsidR="00033D0F">
              <w:rPr>
                <w:spacing w:val="-2"/>
              </w:rPr>
              <w:t>analysis</w:t>
            </w:r>
            <w:r w:rsidR="00033D0F">
              <w:tab/>
            </w:r>
            <w:r w:rsidR="00033D0F">
              <w:rPr>
                <w:spacing w:val="-5"/>
              </w:rPr>
              <w:t>45</w:t>
            </w:r>
          </w:hyperlink>
        </w:p>
        <w:p w14:paraId="0F51A3EC" w14:textId="77777777" w:rsidR="00BD462C" w:rsidRDefault="00000000">
          <w:pPr>
            <w:pStyle w:val="TOC8"/>
            <w:numPr>
              <w:ilvl w:val="2"/>
              <w:numId w:val="67"/>
            </w:numPr>
            <w:tabs>
              <w:tab w:val="left" w:pos="1835"/>
              <w:tab w:val="left" w:pos="1836"/>
              <w:tab w:val="left" w:leader="dot" w:pos="8953"/>
            </w:tabs>
            <w:spacing w:before="119"/>
            <w:ind w:hanging="851"/>
          </w:pPr>
          <w:hyperlink w:anchor="_bookmark165" w:history="1">
            <w:r w:rsidR="00033D0F">
              <w:rPr>
                <w:spacing w:val="-2"/>
              </w:rPr>
              <w:t>Conclusion</w:t>
            </w:r>
            <w:r w:rsidR="00033D0F">
              <w:tab/>
            </w:r>
            <w:r w:rsidR="00033D0F">
              <w:rPr>
                <w:spacing w:val="-5"/>
              </w:rPr>
              <w:t>45</w:t>
            </w:r>
          </w:hyperlink>
        </w:p>
        <w:p w14:paraId="4A0A57A5" w14:textId="77777777" w:rsidR="00BD462C" w:rsidRDefault="00000000">
          <w:pPr>
            <w:pStyle w:val="TOC7"/>
            <w:numPr>
              <w:ilvl w:val="1"/>
              <w:numId w:val="67"/>
            </w:numPr>
            <w:tabs>
              <w:tab w:val="left" w:pos="1412"/>
              <w:tab w:val="left" w:pos="1413"/>
              <w:tab w:val="left" w:leader="dot" w:pos="8953"/>
            </w:tabs>
            <w:ind w:right="916"/>
          </w:pPr>
          <w:hyperlink w:anchor="_bookmark166" w:history="1">
            <w:r w:rsidR="00033D0F">
              <w:rPr>
                <w:smallCaps/>
              </w:rPr>
              <w:t>MOFCOM</w:t>
            </w:r>
            <w:r w:rsidR="00033D0F">
              <w:rPr>
                <w:smallCaps/>
                <w:spacing w:val="-11"/>
              </w:rPr>
              <w:t xml:space="preserve"> </w:t>
            </w:r>
            <w:r w:rsidR="00033D0F">
              <w:rPr>
                <w:smallCaps/>
              </w:rPr>
              <w:t>failed</w:t>
            </w:r>
            <w:r w:rsidR="00033D0F">
              <w:rPr>
                <w:smallCaps/>
                <w:spacing w:val="-3"/>
              </w:rPr>
              <w:t xml:space="preserve"> </w:t>
            </w:r>
            <w:r w:rsidR="00033D0F">
              <w:rPr>
                <w:smallCaps/>
              </w:rPr>
              <w:t>to</w:t>
            </w:r>
            <w:r w:rsidR="00033D0F">
              <w:rPr>
                <w:smallCaps/>
                <w:spacing w:val="-2"/>
              </w:rPr>
              <w:t xml:space="preserve"> </w:t>
            </w:r>
            <w:r w:rsidR="00033D0F">
              <w:rPr>
                <w:smallCaps/>
              </w:rPr>
              <w:t>make a</w:t>
            </w:r>
            <w:r w:rsidR="00033D0F">
              <w:rPr>
                <w:smallCaps/>
                <w:spacing w:val="-3"/>
              </w:rPr>
              <w:t xml:space="preserve"> </w:t>
            </w:r>
            <w:r w:rsidR="00033D0F">
              <w:rPr>
                <w:smallCaps/>
              </w:rPr>
              <w:t>fair comparison</w:t>
            </w:r>
            <w:r w:rsidR="00033D0F">
              <w:rPr>
                <w:smallCaps/>
                <w:spacing w:val="-4"/>
              </w:rPr>
              <w:t xml:space="preserve"> </w:t>
            </w:r>
            <w:r w:rsidR="00033D0F">
              <w:rPr>
                <w:smallCaps/>
              </w:rPr>
              <w:t>between</w:t>
            </w:r>
            <w:r w:rsidR="00033D0F">
              <w:rPr>
                <w:smallCaps/>
                <w:spacing w:val="-9"/>
              </w:rPr>
              <w:t xml:space="preserve"> </w:t>
            </w:r>
            <w:r w:rsidR="00033D0F">
              <w:rPr>
                <w:smallCaps/>
              </w:rPr>
              <w:t>export</w:t>
            </w:r>
            <w:r w:rsidR="00033D0F">
              <w:rPr>
                <w:smallCaps/>
                <w:spacing w:val="-1"/>
              </w:rPr>
              <w:t xml:space="preserve"> </w:t>
            </w:r>
            <w:r w:rsidR="00033D0F">
              <w:rPr>
                <w:smallCaps/>
              </w:rPr>
              <w:t>price and</w:t>
            </w:r>
            <w:r w:rsidR="00033D0F">
              <w:rPr>
                <w:smallCaps/>
                <w:spacing w:val="-3"/>
              </w:rPr>
              <w:t xml:space="preserve"> </w:t>
            </w:r>
            <w:r w:rsidR="00033D0F">
              <w:rPr>
                <w:smallCaps/>
              </w:rPr>
              <w:t>normal</w:t>
            </w:r>
            <w:r w:rsidR="00033D0F">
              <w:rPr>
                <w:smallCaps/>
                <w:spacing w:val="-2"/>
              </w:rPr>
              <w:t xml:space="preserve"> </w:t>
            </w:r>
            <w:r w:rsidR="00033D0F">
              <w:rPr>
                <w:smallCaps/>
              </w:rPr>
              <w:t>value</w:t>
            </w:r>
          </w:hyperlink>
          <w:r w:rsidR="00033D0F">
            <w:rPr>
              <w:smallCaps/>
            </w:rPr>
            <w:t xml:space="preserve"> </w:t>
          </w:r>
          <w:hyperlink w:anchor="_bookmark166" w:history="1">
            <w:r w:rsidR="00033D0F">
              <w:rPr>
                <w:smallCaps/>
              </w:rPr>
              <w:t>for the sampled companies under Article 2.4</w:t>
            </w:r>
            <w:r w:rsidR="00033D0F">
              <w:rPr>
                <w:smallCaps/>
              </w:rPr>
              <w:tab/>
            </w:r>
            <w:r w:rsidR="00033D0F">
              <w:rPr>
                <w:smallCaps/>
                <w:spacing w:val="-6"/>
              </w:rPr>
              <w:t>46</w:t>
            </w:r>
          </w:hyperlink>
        </w:p>
        <w:p w14:paraId="09D136A7" w14:textId="77777777" w:rsidR="00BD462C" w:rsidRDefault="00000000">
          <w:pPr>
            <w:pStyle w:val="TOC8"/>
            <w:numPr>
              <w:ilvl w:val="2"/>
              <w:numId w:val="67"/>
            </w:numPr>
            <w:tabs>
              <w:tab w:val="left" w:pos="1835"/>
              <w:tab w:val="left" w:pos="1836"/>
              <w:tab w:val="left" w:leader="dot" w:pos="8953"/>
            </w:tabs>
            <w:ind w:left="1840" w:right="914" w:hanging="855"/>
          </w:pPr>
          <w:hyperlink w:anchor="_bookmark175" w:history="1">
            <w:r w:rsidR="00033D0F">
              <w:t>MOFCOM's</w:t>
            </w:r>
            <w:r w:rsidR="00033D0F">
              <w:rPr>
                <w:spacing w:val="40"/>
              </w:rPr>
              <w:t xml:space="preserve"> </w:t>
            </w:r>
            <w:r w:rsidR="00033D0F">
              <w:t>procedural</w:t>
            </w:r>
            <w:r w:rsidR="00033D0F">
              <w:rPr>
                <w:spacing w:val="40"/>
              </w:rPr>
              <w:t xml:space="preserve"> </w:t>
            </w:r>
            <w:r w:rsidR="00033D0F">
              <w:t>errors</w:t>
            </w:r>
            <w:r w:rsidR="00033D0F">
              <w:rPr>
                <w:spacing w:val="40"/>
              </w:rPr>
              <w:t xml:space="preserve"> </w:t>
            </w:r>
            <w:r w:rsidR="00033D0F">
              <w:t>precluded</w:t>
            </w:r>
            <w:r w:rsidR="00033D0F">
              <w:rPr>
                <w:spacing w:val="40"/>
              </w:rPr>
              <w:t xml:space="preserve"> </w:t>
            </w:r>
            <w:r w:rsidR="00033D0F">
              <w:t>the</w:t>
            </w:r>
            <w:r w:rsidR="00033D0F">
              <w:rPr>
                <w:spacing w:val="40"/>
              </w:rPr>
              <w:t xml:space="preserve"> </w:t>
            </w:r>
            <w:r w:rsidR="00033D0F">
              <w:t>sampled</w:t>
            </w:r>
            <w:r w:rsidR="00033D0F">
              <w:rPr>
                <w:spacing w:val="40"/>
              </w:rPr>
              <w:t xml:space="preserve"> </w:t>
            </w:r>
            <w:r w:rsidR="00033D0F">
              <w:t>exporters</w:t>
            </w:r>
            <w:r w:rsidR="00033D0F">
              <w:rPr>
                <w:spacing w:val="40"/>
              </w:rPr>
              <w:t xml:space="preserve"> </w:t>
            </w:r>
            <w:r w:rsidR="00033D0F">
              <w:t>from</w:t>
            </w:r>
          </w:hyperlink>
          <w:r w:rsidR="00033D0F">
            <w:rPr>
              <w:spacing w:val="40"/>
            </w:rPr>
            <w:t xml:space="preserve"> </w:t>
          </w:r>
          <w:hyperlink w:anchor="_bookmark175" w:history="1">
            <w:r w:rsidR="00033D0F">
              <w:t>requesting adjustments to ensure a fair comparison</w:t>
            </w:r>
            <w:r w:rsidR="00033D0F">
              <w:tab/>
            </w:r>
            <w:r w:rsidR="00033D0F">
              <w:rPr>
                <w:spacing w:val="-6"/>
              </w:rPr>
              <w:t>47</w:t>
            </w:r>
          </w:hyperlink>
        </w:p>
        <w:p w14:paraId="3A2A52C0" w14:textId="77777777" w:rsidR="00BD462C" w:rsidRDefault="00000000">
          <w:pPr>
            <w:pStyle w:val="TOC8"/>
            <w:numPr>
              <w:ilvl w:val="2"/>
              <w:numId w:val="67"/>
            </w:numPr>
            <w:tabs>
              <w:tab w:val="left" w:pos="1835"/>
              <w:tab w:val="left" w:pos="1836"/>
              <w:tab w:val="left" w:leader="dot" w:pos="8953"/>
            </w:tabs>
            <w:spacing w:after="240"/>
            <w:ind w:left="1840" w:right="913" w:hanging="855"/>
          </w:pPr>
          <w:hyperlink w:anchor="_bookmark190" w:history="1">
            <w:r w:rsidR="00033D0F">
              <w:t>MOFCOM was still obliged to make a fair comparison where differences</w:t>
            </w:r>
          </w:hyperlink>
          <w:r w:rsidR="00033D0F">
            <w:t xml:space="preserve"> </w:t>
          </w:r>
          <w:hyperlink w:anchor="_bookmark190" w:history="1">
            <w:r w:rsidR="00033D0F">
              <w:t>affecting price comparability resulted from its methodology</w:t>
            </w:r>
            <w:r w:rsidR="00033D0F">
              <w:tab/>
            </w:r>
            <w:r w:rsidR="00033D0F">
              <w:rPr>
                <w:spacing w:val="-6"/>
              </w:rPr>
              <w:t>49</w:t>
            </w:r>
          </w:hyperlink>
        </w:p>
        <w:p w14:paraId="04B55E6E" w14:textId="77777777" w:rsidR="00BD462C" w:rsidRDefault="00033D0F">
          <w:pPr>
            <w:pStyle w:val="TOC6"/>
            <w:tabs>
              <w:tab w:val="left" w:pos="6087"/>
            </w:tabs>
            <w:rPr>
              <w:b w:val="0"/>
              <w:i w:val="0"/>
              <w:sz w:val="20"/>
            </w:rPr>
          </w:pPr>
          <w:r>
            <w:rPr>
              <w:b w:val="0"/>
              <w:sz w:val="20"/>
            </w:rPr>
            <w:lastRenderedPageBreak/>
            <w:t>China</w:t>
          </w:r>
          <w:r>
            <w:rPr>
              <w:b w:val="0"/>
              <w:spacing w:val="-9"/>
              <w:sz w:val="20"/>
            </w:rPr>
            <w:t xml:space="preserve"> </w:t>
          </w:r>
          <w:r>
            <w:rPr>
              <w:b w:val="0"/>
              <w:sz w:val="20"/>
            </w:rPr>
            <w:t>–</w:t>
          </w:r>
          <w:r>
            <w:rPr>
              <w:b w:val="0"/>
              <w:spacing w:val="-10"/>
              <w:sz w:val="20"/>
            </w:rPr>
            <w:t xml:space="preserve"> </w:t>
          </w:r>
          <w:r>
            <w:rPr>
              <w:b w:val="0"/>
              <w:sz w:val="20"/>
            </w:rPr>
            <w:t>Anti-Dumping</w:t>
          </w:r>
          <w:r>
            <w:rPr>
              <w:b w:val="0"/>
              <w:spacing w:val="-8"/>
              <w:sz w:val="20"/>
            </w:rPr>
            <w:t xml:space="preserve"> </w:t>
          </w:r>
          <w:r>
            <w:rPr>
              <w:b w:val="0"/>
              <w:sz w:val="20"/>
            </w:rPr>
            <w:t>and</w:t>
          </w:r>
          <w:r>
            <w:rPr>
              <w:b w:val="0"/>
              <w:spacing w:val="-5"/>
              <w:sz w:val="20"/>
            </w:rPr>
            <w:t xml:space="preserve"> </w:t>
          </w:r>
          <w:r>
            <w:rPr>
              <w:b w:val="0"/>
              <w:sz w:val="20"/>
            </w:rPr>
            <w:t>Countervailing</w:t>
          </w:r>
          <w:r>
            <w:rPr>
              <w:b w:val="0"/>
              <w:spacing w:val="-9"/>
              <w:sz w:val="20"/>
            </w:rPr>
            <w:t xml:space="preserve"> </w:t>
          </w:r>
          <w:r>
            <w:rPr>
              <w:b w:val="0"/>
              <w:sz w:val="20"/>
            </w:rPr>
            <w:t>Duty</w:t>
          </w:r>
          <w:r>
            <w:rPr>
              <w:b w:val="0"/>
              <w:spacing w:val="-8"/>
              <w:sz w:val="20"/>
            </w:rPr>
            <w:t xml:space="preserve"> </w:t>
          </w:r>
          <w:r>
            <w:rPr>
              <w:b w:val="0"/>
              <w:spacing w:val="-2"/>
              <w:sz w:val="20"/>
            </w:rPr>
            <w:t>Measures</w:t>
          </w:r>
          <w:r>
            <w:rPr>
              <w:b w:val="0"/>
              <w:sz w:val="20"/>
            </w:rPr>
            <w:tab/>
          </w:r>
          <w:r>
            <w:rPr>
              <w:b w:val="0"/>
              <w:i w:val="0"/>
              <w:sz w:val="20"/>
            </w:rPr>
            <w:t>Australia's</w:t>
          </w:r>
          <w:r>
            <w:rPr>
              <w:b w:val="0"/>
              <w:i w:val="0"/>
              <w:spacing w:val="-11"/>
              <w:sz w:val="20"/>
            </w:rPr>
            <w:t xml:space="preserve"> </w:t>
          </w:r>
          <w:r>
            <w:rPr>
              <w:b w:val="0"/>
              <w:i w:val="0"/>
              <w:sz w:val="20"/>
            </w:rPr>
            <w:t>Second</w:t>
          </w:r>
          <w:r>
            <w:rPr>
              <w:b w:val="0"/>
              <w:i w:val="0"/>
              <w:spacing w:val="-10"/>
              <w:sz w:val="20"/>
            </w:rPr>
            <w:t xml:space="preserve"> </w:t>
          </w:r>
          <w:r>
            <w:rPr>
              <w:b w:val="0"/>
              <w:i w:val="0"/>
              <w:sz w:val="20"/>
            </w:rPr>
            <w:t>Written</w:t>
          </w:r>
          <w:r>
            <w:rPr>
              <w:b w:val="0"/>
              <w:i w:val="0"/>
              <w:spacing w:val="-10"/>
              <w:sz w:val="20"/>
            </w:rPr>
            <w:t xml:space="preserve"> </w:t>
          </w:r>
          <w:r>
            <w:rPr>
              <w:b w:val="0"/>
              <w:i w:val="0"/>
              <w:spacing w:val="-2"/>
              <w:sz w:val="20"/>
            </w:rPr>
            <w:t>Submission</w:t>
          </w:r>
        </w:p>
        <w:p w14:paraId="3CF44ACC" w14:textId="77777777" w:rsidR="00BD462C" w:rsidRDefault="00033D0F">
          <w:pPr>
            <w:pStyle w:val="TOC5"/>
          </w:pPr>
          <w:r>
            <w:t>On</w:t>
          </w:r>
          <w:r>
            <w:rPr>
              <w:spacing w:val="-2"/>
            </w:rPr>
            <w:t xml:space="preserve"> </w:t>
          </w:r>
          <w:r>
            <w:t>Wine</w:t>
          </w:r>
          <w:r>
            <w:rPr>
              <w:spacing w:val="-4"/>
            </w:rPr>
            <w:t xml:space="preserve"> </w:t>
          </w:r>
          <w:r>
            <w:t>from</w:t>
          </w:r>
          <w:r>
            <w:rPr>
              <w:spacing w:val="-4"/>
            </w:rPr>
            <w:t xml:space="preserve"> </w:t>
          </w:r>
          <w:r>
            <w:rPr>
              <w:spacing w:val="-2"/>
            </w:rPr>
            <w:t>Australia</w:t>
          </w:r>
        </w:p>
        <w:p w14:paraId="02E64DBA" w14:textId="77777777" w:rsidR="00BD462C" w:rsidRDefault="00033D0F">
          <w:pPr>
            <w:pStyle w:val="TOC4"/>
            <w:tabs>
              <w:tab w:val="left" w:pos="7652"/>
            </w:tabs>
          </w:pPr>
          <w:r>
            <w:rPr>
              <w:spacing w:val="-2"/>
            </w:rPr>
            <w:t>(DS602)</w:t>
          </w:r>
          <w:r>
            <w:tab/>
            <w:t>28</w:t>
          </w:r>
          <w:r>
            <w:rPr>
              <w:spacing w:val="-8"/>
            </w:rPr>
            <w:t xml:space="preserve"> </w:t>
          </w:r>
          <w:r>
            <w:t>November</w:t>
          </w:r>
          <w:r>
            <w:rPr>
              <w:spacing w:val="-2"/>
            </w:rPr>
            <w:t xml:space="preserve"> </w:t>
          </w:r>
          <w:r>
            <w:rPr>
              <w:spacing w:val="-4"/>
            </w:rPr>
            <w:t>2022</w:t>
          </w:r>
        </w:p>
        <w:p w14:paraId="58409556" w14:textId="77777777" w:rsidR="00BD462C" w:rsidRDefault="00000000">
          <w:pPr>
            <w:pStyle w:val="TOC8"/>
            <w:numPr>
              <w:ilvl w:val="2"/>
              <w:numId w:val="67"/>
            </w:numPr>
            <w:tabs>
              <w:tab w:val="left" w:pos="1835"/>
              <w:tab w:val="left" w:pos="1836"/>
              <w:tab w:val="left" w:leader="dot" w:pos="8953"/>
            </w:tabs>
            <w:spacing w:before="98" w:line="244" w:lineRule="auto"/>
            <w:ind w:left="1840" w:right="919" w:hanging="855"/>
          </w:pPr>
          <w:hyperlink w:anchor="_bookmark202" w:history="1">
            <w:r w:rsidR="00033D0F">
              <w:t>MOFCOM did not compare sales made at the "same level of trade" or "as</w:t>
            </w:r>
          </w:hyperlink>
          <w:r w:rsidR="00033D0F">
            <w:t xml:space="preserve"> </w:t>
          </w:r>
          <w:hyperlink w:anchor="_bookmark202" w:history="1">
            <w:r w:rsidR="00033D0F">
              <w:t>nearly as possible the same time"</w:t>
            </w:r>
            <w:r w:rsidR="00033D0F">
              <w:tab/>
            </w:r>
            <w:r w:rsidR="00033D0F">
              <w:rPr>
                <w:spacing w:val="-6"/>
              </w:rPr>
              <w:t>51</w:t>
            </w:r>
          </w:hyperlink>
        </w:p>
        <w:p w14:paraId="40ADE9FF" w14:textId="77777777" w:rsidR="00BD462C" w:rsidRDefault="00000000">
          <w:pPr>
            <w:pStyle w:val="TOC8"/>
            <w:numPr>
              <w:ilvl w:val="2"/>
              <w:numId w:val="67"/>
            </w:numPr>
            <w:tabs>
              <w:tab w:val="left" w:pos="1835"/>
              <w:tab w:val="left" w:pos="1836"/>
              <w:tab w:val="left" w:leader="dot" w:pos="8953"/>
            </w:tabs>
            <w:spacing w:before="108"/>
            <w:ind w:hanging="851"/>
          </w:pPr>
          <w:hyperlink w:anchor="_bookmark217" w:history="1">
            <w:r w:rsidR="00033D0F">
              <w:t>MOFCOM</w:t>
            </w:r>
            <w:r w:rsidR="00033D0F">
              <w:rPr>
                <w:spacing w:val="-3"/>
              </w:rPr>
              <w:t xml:space="preserve"> </w:t>
            </w:r>
            <w:r w:rsidR="00033D0F">
              <w:t>did</w:t>
            </w:r>
            <w:r w:rsidR="00033D0F">
              <w:rPr>
                <w:spacing w:val="-3"/>
              </w:rPr>
              <w:t xml:space="preserve"> </w:t>
            </w:r>
            <w:r w:rsidR="00033D0F">
              <w:t>not</w:t>
            </w:r>
            <w:r w:rsidR="00033D0F">
              <w:rPr>
                <w:spacing w:val="-6"/>
              </w:rPr>
              <w:t xml:space="preserve"> </w:t>
            </w:r>
            <w:r w:rsidR="00033D0F">
              <w:t>engage</w:t>
            </w:r>
            <w:r w:rsidR="00033D0F">
              <w:rPr>
                <w:spacing w:val="-4"/>
              </w:rPr>
              <w:t xml:space="preserve"> </w:t>
            </w:r>
            <w:r w:rsidR="00033D0F">
              <w:t>in</w:t>
            </w:r>
            <w:r w:rsidR="00033D0F">
              <w:rPr>
                <w:spacing w:val="-3"/>
              </w:rPr>
              <w:t xml:space="preserve"> </w:t>
            </w:r>
            <w:r w:rsidR="00033D0F">
              <w:t>dialogue</w:t>
            </w:r>
            <w:r w:rsidR="00033D0F">
              <w:rPr>
                <w:spacing w:val="-5"/>
              </w:rPr>
              <w:t xml:space="preserve"> </w:t>
            </w:r>
            <w:r w:rsidR="00033D0F">
              <w:t>to</w:t>
            </w:r>
            <w:r w:rsidR="00033D0F">
              <w:rPr>
                <w:spacing w:val="-3"/>
              </w:rPr>
              <w:t xml:space="preserve"> </w:t>
            </w:r>
            <w:r w:rsidR="00033D0F">
              <w:t>facilitate fair</w:t>
            </w:r>
            <w:r w:rsidR="00033D0F">
              <w:rPr>
                <w:spacing w:val="-2"/>
              </w:rPr>
              <w:t xml:space="preserve"> comparison</w:t>
            </w:r>
            <w:r w:rsidR="00033D0F">
              <w:tab/>
            </w:r>
            <w:r w:rsidR="00033D0F">
              <w:rPr>
                <w:spacing w:val="-5"/>
              </w:rPr>
              <w:t>53</w:t>
            </w:r>
          </w:hyperlink>
        </w:p>
        <w:p w14:paraId="6AF6BFBD" w14:textId="77777777" w:rsidR="00BD462C" w:rsidRDefault="00000000">
          <w:pPr>
            <w:pStyle w:val="TOC8"/>
            <w:numPr>
              <w:ilvl w:val="2"/>
              <w:numId w:val="67"/>
            </w:numPr>
            <w:tabs>
              <w:tab w:val="left" w:pos="1835"/>
              <w:tab w:val="left" w:pos="1836"/>
              <w:tab w:val="left" w:leader="dot" w:pos="8953"/>
            </w:tabs>
            <w:spacing w:before="124"/>
            <w:ind w:left="1840" w:right="916" w:hanging="855"/>
          </w:pPr>
          <w:hyperlink w:anchor="_bookmark233" w:history="1">
            <w:r w:rsidR="00033D0F">
              <w:t>Obligation</w:t>
            </w:r>
            <w:r w:rsidR="00033D0F">
              <w:rPr>
                <w:spacing w:val="40"/>
              </w:rPr>
              <w:t xml:space="preserve"> </w:t>
            </w:r>
            <w:r w:rsidR="00033D0F">
              <w:t>to</w:t>
            </w:r>
            <w:r w:rsidR="00033D0F">
              <w:rPr>
                <w:spacing w:val="40"/>
              </w:rPr>
              <w:t xml:space="preserve"> </w:t>
            </w:r>
            <w:r w:rsidR="00033D0F">
              <w:t>"not</w:t>
            </w:r>
            <w:r w:rsidR="00033D0F">
              <w:rPr>
                <w:spacing w:val="40"/>
              </w:rPr>
              <w:t xml:space="preserve"> </w:t>
            </w:r>
            <w:r w:rsidR="00033D0F">
              <w:t>impose</w:t>
            </w:r>
            <w:r w:rsidR="00033D0F">
              <w:rPr>
                <w:spacing w:val="40"/>
              </w:rPr>
              <w:t xml:space="preserve"> </w:t>
            </w:r>
            <w:r w:rsidR="00033D0F">
              <w:t>an</w:t>
            </w:r>
            <w:r w:rsidR="00033D0F">
              <w:rPr>
                <w:spacing w:val="40"/>
              </w:rPr>
              <w:t xml:space="preserve"> </w:t>
            </w:r>
            <w:r w:rsidR="00033D0F">
              <w:t>unreasonable</w:t>
            </w:r>
            <w:r w:rsidR="00033D0F">
              <w:rPr>
                <w:spacing w:val="40"/>
              </w:rPr>
              <w:t xml:space="preserve"> </w:t>
            </w:r>
            <w:r w:rsidR="00033D0F">
              <w:t>burden</w:t>
            </w:r>
            <w:r w:rsidR="00033D0F">
              <w:rPr>
                <w:spacing w:val="40"/>
              </w:rPr>
              <w:t xml:space="preserve"> </w:t>
            </w:r>
            <w:r w:rsidR="00033D0F">
              <w:t>of</w:t>
            </w:r>
            <w:r w:rsidR="00033D0F">
              <w:rPr>
                <w:spacing w:val="40"/>
              </w:rPr>
              <w:t xml:space="preserve"> </w:t>
            </w:r>
            <w:r w:rsidR="00033D0F">
              <w:t>proof</w:t>
            </w:r>
            <w:r w:rsidR="00033D0F">
              <w:rPr>
                <w:spacing w:val="40"/>
              </w:rPr>
              <w:t xml:space="preserve"> </w:t>
            </w:r>
            <w:r w:rsidR="00033D0F">
              <w:t>on</w:t>
            </w:r>
            <w:r w:rsidR="00033D0F">
              <w:rPr>
                <w:spacing w:val="40"/>
              </w:rPr>
              <w:t xml:space="preserve"> </w:t>
            </w:r>
            <w:r w:rsidR="00033D0F">
              <w:t>those</w:t>
            </w:r>
          </w:hyperlink>
          <w:r w:rsidR="00033D0F">
            <w:t xml:space="preserve"> </w:t>
          </w:r>
          <w:hyperlink w:anchor="_bookmark233" w:history="1">
            <w:r w:rsidR="00033D0F">
              <w:rPr>
                <w:spacing w:val="-2"/>
              </w:rPr>
              <w:t>parties"</w:t>
            </w:r>
            <w:r w:rsidR="00033D0F">
              <w:tab/>
            </w:r>
            <w:r w:rsidR="00033D0F">
              <w:rPr>
                <w:spacing w:val="-5"/>
              </w:rPr>
              <w:t>55</w:t>
            </w:r>
          </w:hyperlink>
        </w:p>
        <w:p w14:paraId="1726A947" w14:textId="77777777" w:rsidR="00BD462C" w:rsidRDefault="00000000">
          <w:pPr>
            <w:pStyle w:val="TOC8"/>
            <w:numPr>
              <w:ilvl w:val="2"/>
              <w:numId w:val="67"/>
            </w:numPr>
            <w:tabs>
              <w:tab w:val="left" w:pos="1835"/>
              <w:tab w:val="left" w:pos="1836"/>
              <w:tab w:val="left" w:leader="dot" w:pos="8953"/>
            </w:tabs>
            <w:ind w:hanging="851"/>
          </w:pPr>
          <w:hyperlink w:anchor="_bookmark235" w:history="1">
            <w:r w:rsidR="00033D0F">
              <w:rPr>
                <w:spacing w:val="-2"/>
              </w:rPr>
              <w:t>Conclusion</w:t>
            </w:r>
            <w:r w:rsidR="00033D0F">
              <w:tab/>
            </w:r>
            <w:r w:rsidR="00033D0F">
              <w:rPr>
                <w:spacing w:val="-5"/>
              </w:rPr>
              <w:t>55</w:t>
            </w:r>
          </w:hyperlink>
        </w:p>
        <w:p w14:paraId="4138C6C2" w14:textId="77777777" w:rsidR="00BD462C" w:rsidRDefault="00000000">
          <w:pPr>
            <w:pStyle w:val="TOC7"/>
            <w:numPr>
              <w:ilvl w:val="1"/>
              <w:numId w:val="67"/>
            </w:numPr>
            <w:tabs>
              <w:tab w:val="left" w:pos="1412"/>
              <w:tab w:val="left" w:pos="1413"/>
              <w:tab w:val="left" w:leader="dot" w:pos="8953"/>
            </w:tabs>
          </w:pPr>
          <w:hyperlink w:anchor="_bookmark237" w:history="1">
            <w:r w:rsidR="00033D0F">
              <w:rPr>
                <w:smallCaps/>
              </w:rPr>
              <w:t>Treasury</w:t>
            </w:r>
            <w:r w:rsidR="00033D0F">
              <w:rPr>
                <w:smallCaps/>
                <w:spacing w:val="2"/>
              </w:rPr>
              <w:t xml:space="preserve"> </w:t>
            </w:r>
            <w:r w:rsidR="00033D0F">
              <w:rPr>
                <w:smallCaps/>
                <w:spacing w:val="-2"/>
              </w:rPr>
              <w:t>Wines</w:t>
            </w:r>
            <w:r w:rsidR="00033D0F">
              <w:rPr>
                <w:smallCaps/>
              </w:rPr>
              <w:tab/>
            </w:r>
            <w:r w:rsidR="00033D0F">
              <w:rPr>
                <w:smallCaps/>
                <w:spacing w:val="-5"/>
              </w:rPr>
              <w:t>55</w:t>
            </w:r>
          </w:hyperlink>
        </w:p>
        <w:p w14:paraId="3A2DE2A2" w14:textId="77777777" w:rsidR="00BD462C" w:rsidRDefault="00000000">
          <w:pPr>
            <w:pStyle w:val="TOC8"/>
            <w:numPr>
              <w:ilvl w:val="2"/>
              <w:numId w:val="67"/>
            </w:numPr>
            <w:tabs>
              <w:tab w:val="left" w:pos="1835"/>
              <w:tab w:val="left" w:pos="1836"/>
              <w:tab w:val="left" w:leader="dot" w:pos="8953"/>
            </w:tabs>
            <w:spacing w:before="119"/>
            <w:ind w:hanging="851"/>
          </w:pPr>
          <w:hyperlink w:anchor="_bookmark239" w:history="1">
            <w:r w:rsidR="00033D0F">
              <w:t>The</w:t>
            </w:r>
            <w:r w:rsidR="00033D0F">
              <w:rPr>
                <w:spacing w:val="-7"/>
              </w:rPr>
              <w:t xml:space="preserve"> </w:t>
            </w:r>
            <w:r w:rsidR="00033D0F">
              <w:t>principal</w:t>
            </w:r>
            <w:r w:rsidR="00033D0F">
              <w:rPr>
                <w:spacing w:val="-4"/>
              </w:rPr>
              <w:t xml:space="preserve"> </w:t>
            </w:r>
            <w:r w:rsidR="00033D0F">
              <w:t>basis</w:t>
            </w:r>
            <w:r w:rsidR="00033D0F">
              <w:rPr>
                <w:spacing w:val="-3"/>
              </w:rPr>
              <w:t xml:space="preserve"> </w:t>
            </w:r>
            <w:r w:rsidR="00033D0F">
              <w:t>for</w:t>
            </w:r>
            <w:r w:rsidR="00033D0F">
              <w:rPr>
                <w:spacing w:val="-2"/>
              </w:rPr>
              <w:t xml:space="preserve"> </w:t>
            </w:r>
            <w:r w:rsidR="00033D0F">
              <w:t>MOFCOM</w:t>
            </w:r>
            <w:r w:rsidR="00033D0F">
              <w:rPr>
                <w:spacing w:val="-3"/>
              </w:rPr>
              <w:t xml:space="preserve"> </w:t>
            </w:r>
            <w:r w:rsidR="00033D0F">
              <w:t>resorting</w:t>
            </w:r>
            <w:r w:rsidR="00033D0F">
              <w:rPr>
                <w:spacing w:val="-2"/>
              </w:rPr>
              <w:t xml:space="preserve"> </w:t>
            </w:r>
            <w:r w:rsidR="00033D0F">
              <w:t>to</w:t>
            </w:r>
            <w:r w:rsidR="00033D0F">
              <w:rPr>
                <w:spacing w:val="-2"/>
              </w:rPr>
              <w:t xml:space="preserve"> </w:t>
            </w:r>
            <w:r w:rsidR="00033D0F">
              <w:t>facts</w:t>
            </w:r>
            <w:r w:rsidR="00033D0F">
              <w:rPr>
                <w:spacing w:val="-3"/>
              </w:rPr>
              <w:t xml:space="preserve"> </w:t>
            </w:r>
            <w:r w:rsidR="00033D0F">
              <w:rPr>
                <w:spacing w:val="-2"/>
              </w:rPr>
              <w:t>available</w:t>
            </w:r>
            <w:r w:rsidR="00033D0F">
              <w:tab/>
            </w:r>
            <w:r w:rsidR="00033D0F">
              <w:rPr>
                <w:spacing w:val="-5"/>
              </w:rPr>
              <w:t>55</w:t>
            </w:r>
          </w:hyperlink>
        </w:p>
        <w:p w14:paraId="0D5C38BF" w14:textId="77777777" w:rsidR="00BD462C" w:rsidRDefault="00000000">
          <w:pPr>
            <w:pStyle w:val="TOC8"/>
            <w:numPr>
              <w:ilvl w:val="2"/>
              <w:numId w:val="67"/>
            </w:numPr>
            <w:tabs>
              <w:tab w:val="left" w:pos="1835"/>
              <w:tab w:val="left" w:pos="1836"/>
              <w:tab w:val="left" w:leader="dot" w:pos="8953"/>
            </w:tabs>
            <w:ind w:left="1840" w:right="915" w:hanging="855"/>
          </w:pPr>
          <w:hyperlink w:anchor="_bookmark267" w:history="1">
            <w:r w:rsidR="00033D0F">
              <w:t>Treasury Wines provided the requested data for Forms 6-3 and 6-4 in a</w:t>
            </w:r>
          </w:hyperlink>
          <w:r w:rsidR="00033D0F">
            <w:rPr>
              <w:spacing w:val="80"/>
            </w:rPr>
            <w:t xml:space="preserve"> </w:t>
          </w:r>
          <w:hyperlink w:anchor="_bookmark267" w:history="1">
            <w:r w:rsidR="00033D0F">
              <w:t>reasonable manner and did not "sample" or "self-select"</w:t>
            </w:r>
            <w:r w:rsidR="00033D0F">
              <w:tab/>
            </w:r>
            <w:r w:rsidR="00033D0F">
              <w:rPr>
                <w:spacing w:val="-6"/>
              </w:rPr>
              <w:t>61</w:t>
            </w:r>
          </w:hyperlink>
        </w:p>
        <w:p w14:paraId="25F9AD56" w14:textId="77777777" w:rsidR="00BD462C" w:rsidRDefault="00000000">
          <w:pPr>
            <w:pStyle w:val="TOC8"/>
            <w:numPr>
              <w:ilvl w:val="2"/>
              <w:numId w:val="67"/>
            </w:numPr>
            <w:tabs>
              <w:tab w:val="left" w:pos="1835"/>
              <w:tab w:val="left" w:pos="1836"/>
              <w:tab w:val="left" w:leader="dot" w:pos="8953"/>
            </w:tabs>
            <w:ind w:hanging="851"/>
          </w:pPr>
          <w:hyperlink w:anchor="_bookmark278" w:history="1">
            <w:r w:rsidR="00033D0F">
              <w:t>There</w:t>
            </w:r>
            <w:r w:rsidR="00033D0F">
              <w:rPr>
                <w:spacing w:val="-5"/>
              </w:rPr>
              <w:t xml:space="preserve"> </w:t>
            </w:r>
            <w:r w:rsidR="00033D0F">
              <w:t>was</w:t>
            </w:r>
            <w:r w:rsidR="00033D0F">
              <w:rPr>
                <w:spacing w:val="-4"/>
              </w:rPr>
              <w:t xml:space="preserve"> </w:t>
            </w:r>
            <w:r w:rsidR="00033D0F">
              <w:t>no</w:t>
            </w:r>
            <w:r w:rsidR="00033D0F">
              <w:rPr>
                <w:spacing w:val="-3"/>
              </w:rPr>
              <w:t xml:space="preserve"> </w:t>
            </w:r>
            <w:r w:rsidR="00033D0F">
              <w:t>necessary</w:t>
            </w:r>
            <w:r w:rsidR="00033D0F">
              <w:rPr>
                <w:spacing w:val="-2"/>
              </w:rPr>
              <w:t xml:space="preserve"> </w:t>
            </w:r>
            <w:r w:rsidR="00033D0F">
              <w:t>information</w:t>
            </w:r>
            <w:r w:rsidR="00033D0F">
              <w:rPr>
                <w:spacing w:val="-3"/>
              </w:rPr>
              <w:t xml:space="preserve"> </w:t>
            </w:r>
            <w:r w:rsidR="00033D0F">
              <w:t>missing</w:t>
            </w:r>
            <w:r w:rsidR="00033D0F">
              <w:rPr>
                <w:spacing w:val="-3"/>
              </w:rPr>
              <w:t xml:space="preserve"> </w:t>
            </w:r>
            <w:r w:rsidR="00033D0F">
              <w:t>from</w:t>
            </w:r>
            <w:r w:rsidR="00033D0F">
              <w:rPr>
                <w:spacing w:val="-2"/>
              </w:rPr>
              <w:t xml:space="preserve"> </w:t>
            </w:r>
            <w:r w:rsidR="00033D0F">
              <w:t>the</w:t>
            </w:r>
            <w:r w:rsidR="00033D0F">
              <w:rPr>
                <w:spacing w:val="-4"/>
              </w:rPr>
              <w:t xml:space="preserve"> </w:t>
            </w:r>
            <w:r w:rsidR="00033D0F">
              <w:rPr>
                <w:spacing w:val="-2"/>
              </w:rPr>
              <w:t>record</w:t>
            </w:r>
            <w:r w:rsidR="00033D0F">
              <w:tab/>
            </w:r>
            <w:r w:rsidR="00033D0F">
              <w:rPr>
                <w:spacing w:val="-5"/>
              </w:rPr>
              <w:t>63</w:t>
            </w:r>
          </w:hyperlink>
        </w:p>
        <w:p w14:paraId="767B8DB0" w14:textId="77777777" w:rsidR="00BD462C" w:rsidRDefault="00000000">
          <w:pPr>
            <w:pStyle w:val="TOC8"/>
            <w:numPr>
              <w:ilvl w:val="2"/>
              <w:numId w:val="67"/>
            </w:numPr>
            <w:tabs>
              <w:tab w:val="left" w:pos="1835"/>
              <w:tab w:val="left" w:pos="1836"/>
              <w:tab w:val="left" w:leader="dot" w:pos="8953"/>
            </w:tabs>
            <w:ind w:hanging="851"/>
          </w:pPr>
          <w:hyperlink w:anchor="_bookmark281" w:history="1">
            <w:r w:rsidR="00033D0F">
              <w:t>MOFCOM</w:t>
            </w:r>
            <w:r w:rsidR="00033D0F">
              <w:rPr>
                <w:spacing w:val="-4"/>
              </w:rPr>
              <w:t xml:space="preserve"> </w:t>
            </w:r>
            <w:r w:rsidR="00033D0F">
              <w:t>acted</w:t>
            </w:r>
            <w:r w:rsidR="00033D0F">
              <w:rPr>
                <w:spacing w:val="-3"/>
              </w:rPr>
              <w:t xml:space="preserve"> </w:t>
            </w:r>
            <w:r w:rsidR="00033D0F">
              <w:t>inconsistently</w:t>
            </w:r>
            <w:r w:rsidR="00033D0F">
              <w:rPr>
                <w:spacing w:val="-2"/>
              </w:rPr>
              <w:t xml:space="preserve"> </w:t>
            </w:r>
            <w:r w:rsidR="00033D0F">
              <w:t>with</w:t>
            </w:r>
            <w:r w:rsidR="00033D0F">
              <w:rPr>
                <w:spacing w:val="-3"/>
              </w:rPr>
              <w:t xml:space="preserve"> </w:t>
            </w:r>
            <w:r w:rsidR="00033D0F">
              <w:t>paragraph</w:t>
            </w:r>
            <w:r w:rsidR="00033D0F">
              <w:rPr>
                <w:spacing w:val="-3"/>
              </w:rPr>
              <w:t xml:space="preserve"> </w:t>
            </w:r>
            <w:r w:rsidR="00033D0F">
              <w:t>1</w:t>
            </w:r>
            <w:r w:rsidR="00033D0F">
              <w:rPr>
                <w:spacing w:val="-6"/>
              </w:rPr>
              <w:t xml:space="preserve"> </w:t>
            </w:r>
            <w:r w:rsidR="00033D0F">
              <w:t>of</w:t>
            </w:r>
            <w:r w:rsidR="00033D0F">
              <w:rPr>
                <w:spacing w:val="-3"/>
              </w:rPr>
              <w:t xml:space="preserve"> </w:t>
            </w:r>
            <w:r w:rsidR="00033D0F">
              <w:t>Annex</w:t>
            </w:r>
            <w:r w:rsidR="00033D0F">
              <w:rPr>
                <w:spacing w:val="-4"/>
              </w:rPr>
              <w:t xml:space="preserve"> </w:t>
            </w:r>
            <w:r w:rsidR="00033D0F">
              <w:rPr>
                <w:spacing w:val="-5"/>
              </w:rPr>
              <w:t>II</w:t>
            </w:r>
            <w:r w:rsidR="00033D0F">
              <w:tab/>
            </w:r>
            <w:r w:rsidR="00033D0F">
              <w:rPr>
                <w:spacing w:val="-5"/>
              </w:rPr>
              <w:t>64</w:t>
            </w:r>
          </w:hyperlink>
        </w:p>
        <w:p w14:paraId="7CF783C8" w14:textId="77777777" w:rsidR="00BD462C" w:rsidRDefault="00000000">
          <w:pPr>
            <w:pStyle w:val="TOC8"/>
            <w:numPr>
              <w:ilvl w:val="2"/>
              <w:numId w:val="67"/>
            </w:numPr>
            <w:tabs>
              <w:tab w:val="left" w:pos="1835"/>
              <w:tab w:val="left" w:pos="1836"/>
              <w:tab w:val="left" w:leader="dot" w:pos="8953"/>
            </w:tabs>
            <w:ind w:hanging="851"/>
          </w:pPr>
          <w:hyperlink w:anchor="_bookmark282" w:history="1">
            <w:r w:rsidR="00033D0F">
              <w:t>MOFCOM</w:t>
            </w:r>
            <w:r w:rsidR="00033D0F">
              <w:rPr>
                <w:spacing w:val="-3"/>
              </w:rPr>
              <w:t xml:space="preserve"> </w:t>
            </w:r>
            <w:r w:rsidR="00033D0F">
              <w:t>acted</w:t>
            </w:r>
            <w:r w:rsidR="00033D0F">
              <w:rPr>
                <w:spacing w:val="-3"/>
              </w:rPr>
              <w:t xml:space="preserve"> </w:t>
            </w:r>
            <w:r w:rsidR="00033D0F">
              <w:t>inconsistently</w:t>
            </w:r>
            <w:r w:rsidR="00033D0F">
              <w:rPr>
                <w:spacing w:val="-1"/>
              </w:rPr>
              <w:t xml:space="preserve"> </w:t>
            </w:r>
            <w:r w:rsidR="00033D0F">
              <w:t>with</w:t>
            </w:r>
            <w:r w:rsidR="00033D0F">
              <w:rPr>
                <w:spacing w:val="-3"/>
              </w:rPr>
              <w:t xml:space="preserve"> </w:t>
            </w:r>
            <w:r w:rsidR="00033D0F">
              <w:t>paragraphs</w:t>
            </w:r>
            <w:r w:rsidR="00033D0F">
              <w:rPr>
                <w:spacing w:val="-3"/>
              </w:rPr>
              <w:t xml:space="preserve"> </w:t>
            </w:r>
            <w:r w:rsidR="00033D0F">
              <w:t>3</w:t>
            </w:r>
            <w:r w:rsidR="00033D0F">
              <w:rPr>
                <w:spacing w:val="-6"/>
              </w:rPr>
              <w:t xml:space="preserve"> </w:t>
            </w:r>
            <w:r w:rsidR="00033D0F">
              <w:t>and</w:t>
            </w:r>
            <w:r w:rsidR="00033D0F">
              <w:rPr>
                <w:spacing w:val="-2"/>
              </w:rPr>
              <w:t xml:space="preserve"> </w:t>
            </w:r>
            <w:r w:rsidR="00033D0F">
              <w:t>5</w:t>
            </w:r>
            <w:r w:rsidR="00033D0F">
              <w:rPr>
                <w:spacing w:val="-6"/>
              </w:rPr>
              <w:t xml:space="preserve"> </w:t>
            </w:r>
            <w:r w:rsidR="00033D0F">
              <w:t>of</w:t>
            </w:r>
            <w:r w:rsidR="00033D0F">
              <w:rPr>
                <w:spacing w:val="-2"/>
              </w:rPr>
              <w:t xml:space="preserve"> </w:t>
            </w:r>
            <w:r w:rsidR="00033D0F">
              <w:t>Annex</w:t>
            </w:r>
            <w:r w:rsidR="00033D0F">
              <w:rPr>
                <w:spacing w:val="-4"/>
              </w:rPr>
              <w:t xml:space="preserve"> </w:t>
            </w:r>
            <w:r w:rsidR="00033D0F">
              <w:rPr>
                <w:spacing w:val="-5"/>
              </w:rPr>
              <w:t>II</w:t>
            </w:r>
            <w:r w:rsidR="00033D0F">
              <w:tab/>
            </w:r>
            <w:r w:rsidR="00033D0F">
              <w:rPr>
                <w:spacing w:val="-5"/>
              </w:rPr>
              <w:t>64</w:t>
            </w:r>
          </w:hyperlink>
        </w:p>
        <w:p w14:paraId="3E8790C2" w14:textId="77777777" w:rsidR="00BD462C" w:rsidRDefault="00000000">
          <w:pPr>
            <w:pStyle w:val="TOC8"/>
            <w:numPr>
              <w:ilvl w:val="2"/>
              <w:numId w:val="67"/>
            </w:numPr>
            <w:tabs>
              <w:tab w:val="left" w:pos="1835"/>
              <w:tab w:val="left" w:pos="1836"/>
              <w:tab w:val="left" w:leader="dot" w:pos="8953"/>
            </w:tabs>
            <w:spacing w:before="119"/>
            <w:ind w:hanging="851"/>
          </w:pPr>
          <w:hyperlink w:anchor="_bookmark312" w:history="1">
            <w:r w:rsidR="00033D0F">
              <w:t>MOFCOM</w:t>
            </w:r>
            <w:r w:rsidR="00033D0F">
              <w:rPr>
                <w:spacing w:val="-4"/>
              </w:rPr>
              <w:t xml:space="preserve"> </w:t>
            </w:r>
            <w:r w:rsidR="00033D0F">
              <w:t>acted</w:t>
            </w:r>
            <w:r w:rsidR="00033D0F">
              <w:rPr>
                <w:spacing w:val="-3"/>
              </w:rPr>
              <w:t xml:space="preserve"> </w:t>
            </w:r>
            <w:r w:rsidR="00033D0F">
              <w:t>inconsistently</w:t>
            </w:r>
            <w:r w:rsidR="00033D0F">
              <w:rPr>
                <w:spacing w:val="-2"/>
              </w:rPr>
              <w:t xml:space="preserve"> </w:t>
            </w:r>
            <w:r w:rsidR="00033D0F">
              <w:t>with</w:t>
            </w:r>
            <w:r w:rsidR="00033D0F">
              <w:rPr>
                <w:spacing w:val="-3"/>
              </w:rPr>
              <w:t xml:space="preserve"> </w:t>
            </w:r>
            <w:r w:rsidR="00033D0F">
              <w:t>paragraph</w:t>
            </w:r>
            <w:r w:rsidR="00033D0F">
              <w:rPr>
                <w:spacing w:val="-3"/>
              </w:rPr>
              <w:t xml:space="preserve"> </w:t>
            </w:r>
            <w:r w:rsidR="00033D0F">
              <w:t>6</w:t>
            </w:r>
            <w:r w:rsidR="00033D0F">
              <w:rPr>
                <w:spacing w:val="-6"/>
              </w:rPr>
              <w:t xml:space="preserve"> </w:t>
            </w:r>
            <w:r w:rsidR="00033D0F">
              <w:t>of</w:t>
            </w:r>
            <w:r w:rsidR="00033D0F">
              <w:rPr>
                <w:spacing w:val="-3"/>
              </w:rPr>
              <w:t xml:space="preserve"> </w:t>
            </w:r>
            <w:r w:rsidR="00033D0F">
              <w:t>Annex</w:t>
            </w:r>
            <w:r w:rsidR="00033D0F">
              <w:rPr>
                <w:spacing w:val="-4"/>
              </w:rPr>
              <w:t xml:space="preserve"> </w:t>
            </w:r>
            <w:r w:rsidR="00033D0F">
              <w:rPr>
                <w:spacing w:val="-5"/>
              </w:rPr>
              <w:t>II</w:t>
            </w:r>
            <w:r w:rsidR="00033D0F">
              <w:tab/>
            </w:r>
            <w:r w:rsidR="00033D0F">
              <w:rPr>
                <w:spacing w:val="-5"/>
              </w:rPr>
              <w:t>70</w:t>
            </w:r>
          </w:hyperlink>
        </w:p>
        <w:p w14:paraId="71C93B1D" w14:textId="77777777" w:rsidR="00BD462C" w:rsidRDefault="00000000">
          <w:pPr>
            <w:pStyle w:val="TOC8"/>
            <w:numPr>
              <w:ilvl w:val="2"/>
              <w:numId w:val="67"/>
            </w:numPr>
            <w:tabs>
              <w:tab w:val="left" w:pos="1835"/>
              <w:tab w:val="left" w:pos="1836"/>
              <w:tab w:val="left" w:leader="dot" w:pos="8953"/>
            </w:tabs>
            <w:ind w:left="1840" w:right="917" w:hanging="855"/>
          </w:pPr>
          <w:hyperlink w:anchor="_bookmark325" w:history="1">
            <w:r w:rsidR="00033D0F">
              <w:t>MOFCOM's selection of facts was not a reasonable replacement for the</w:t>
            </w:r>
          </w:hyperlink>
          <w:r w:rsidR="00033D0F">
            <w:rPr>
              <w:spacing w:val="40"/>
            </w:rPr>
            <w:t xml:space="preserve"> </w:t>
          </w:r>
          <w:hyperlink w:anchor="_bookmark325" w:history="1">
            <w:r w:rsidR="00033D0F">
              <w:t>missing</w:t>
            </w:r>
            <w:r w:rsidR="00033D0F">
              <w:rPr>
                <w:spacing w:val="-3"/>
              </w:rPr>
              <w:t xml:space="preserve"> </w:t>
            </w:r>
            <w:r w:rsidR="00033D0F">
              <w:t>necessary</w:t>
            </w:r>
            <w:r w:rsidR="00033D0F">
              <w:rPr>
                <w:spacing w:val="-1"/>
              </w:rPr>
              <w:t xml:space="preserve"> </w:t>
            </w:r>
            <w:r w:rsidR="00033D0F">
              <w:rPr>
                <w:spacing w:val="-2"/>
              </w:rPr>
              <w:t>information</w:t>
            </w:r>
            <w:r w:rsidR="00033D0F">
              <w:tab/>
            </w:r>
            <w:r w:rsidR="00033D0F">
              <w:rPr>
                <w:spacing w:val="-5"/>
              </w:rPr>
              <w:t>73</w:t>
            </w:r>
          </w:hyperlink>
        </w:p>
        <w:p w14:paraId="4FEDC32B" w14:textId="77777777" w:rsidR="00BD462C" w:rsidRDefault="00000000">
          <w:pPr>
            <w:pStyle w:val="TOC8"/>
            <w:numPr>
              <w:ilvl w:val="2"/>
              <w:numId w:val="67"/>
            </w:numPr>
            <w:tabs>
              <w:tab w:val="left" w:pos="1835"/>
              <w:tab w:val="left" w:pos="1836"/>
              <w:tab w:val="left" w:leader="dot" w:pos="8953"/>
            </w:tabs>
            <w:ind w:hanging="851"/>
          </w:pPr>
          <w:hyperlink w:anchor="_bookmark350" w:history="1">
            <w:r w:rsidR="00033D0F">
              <w:t>Articles</w:t>
            </w:r>
            <w:r w:rsidR="00033D0F">
              <w:rPr>
                <w:spacing w:val="-1"/>
              </w:rPr>
              <w:t xml:space="preserve"> </w:t>
            </w:r>
            <w:r w:rsidR="00033D0F">
              <w:t>2.1,</w:t>
            </w:r>
            <w:r w:rsidR="00033D0F">
              <w:rPr>
                <w:spacing w:val="-1"/>
              </w:rPr>
              <w:t xml:space="preserve"> </w:t>
            </w:r>
            <w:r w:rsidR="00033D0F">
              <w:t>2.2,</w:t>
            </w:r>
            <w:r w:rsidR="00033D0F">
              <w:rPr>
                <w:spacing w:val="-4"/>
              </w:rPr>
              <w:t xml:space="preserve"> </w:t>
            </w:r>
            <w:r w:rsidR="00033D0F">
              <w:t>2.2.1</w:t>
            </w:r>
            <w:r w:rsidR="00033D0F">
              <w:rPr>
                <w:spacing w:val="-2"/>
              </w:rPr>
              <w:t xml:space="preserve"> </w:t>
            </w:r>
            <w:r w:rsidR="00033D0F">
              <w:t>and</w:t>
            </w:r>
            <w:r w:rsidR="00033D0F">
              <w:rPr>
                <w:spacing w:val="-4"/>
              </w:rPr>
              <w:t xml:space="preserve"> </w:t>
            </w:r>
            <w:r w:rsidR="00033D0F">
              <w:rPr>
                <w:spacing w:val="-2"/>
              </w:rPr>
              <w:t>2.2.1.1</w:t>
            </w:r>
            <w:r w:rsidR="00033D0F">
              <w:tab/>
            </w:r>
            <w:r w:rsidR="00033D0F">
              <w:rPr>
                <w:spacing w:val="-5"/>
              </w:rPr>
              <w:t>79</w:t>
            </w:r>
          </w:hyperlink>
        </w:p>
        <w:p w14:paraId="6F65175E" w14:textId="77777777" w:rsidR="00BD462C" w:rsidRDefault="00000000">
          <w:pPr>
            <w:pStyle w:val="TOC8"/>
            <w:numPr>
              <w:ilvl w:val="2"/>
              <w:numId w:val="67"/>
            </w:numPr>
            <w:tabs>
              <w:tab w:val="left" w:pos="1835"/>
              <w:tab w:val="left" w:pos="1836"/>
              <w:tab w:val="left" w:leader="dot" w:pos="8953"/>
            </w:tabs>
            <w:ind w:hanging="851"/>
          </w:pPr>
          <w:hyperlink w:anchor="_bookmark353" w:history="1">
            <w:r w:rsidR="00033D0F">
              <w:t>MOFCOM</w:t>
            </w:r>
            <w:r w:rsidR="00033D0F">
              <w:rPr>
                <w:spacing w:val="-3"/>
              </w:rPr>
              <w:t xml:space="preserve"> </w:t>
            </w:r>
            <w:r w:rsidR="00033D0F">
              <w:t>did</w:t>
            </w:r>
            <w:r w:rsidR="00033D0F">
              <w:rPr>
                <w:spacing w:val="-2"/>
              </w:rPr>
              <w:t xml:space="preserve"> </w:t>
            </w:r>
            <w:r w:rsidR="00033D0F">
              <w:t>not</w:t>
            </w:r>
            <w:r w:rsidR="00033D0F">
              <w:rPr>
                <w:spacing w:val="-6"/>
              </w:rPr>
              <w:t xml:space="preserve"> </w:t>
            </w:r>
            <w:r w:rsidR="00033D0F">
              <w:t>make</w:t>
            </w:r>
            <w:r w:rsidR="00033D0F">
              <w:rPr>
                <w:spacing w:val="-4"/>
              </w:rPr>
              <w:t xml:space="preserve"> </w:t>
            </w:r>
            <w:r w:rsidR="00033D0F">
              <w:t>a</w:t>
            </w:r>
            <w:r w:rsidR="00033D0F">
              <w:rPr>
                <w:spacing w:val="-2"/>
              </w:rPr>
              <w:t xml:space="preserve"> </w:t>
            </w:r>
            <w:r w:rsidR="00033D0F">
              <w:t>fair</w:t>
            </w:r>
            <w:r w:rsidR="00033D0F">
              <w:rPr>
                <w:spacing w:val="-2"/>
              </w:rPr>
              <w:t xml:space="preserve"> </w:t>
            </w:r>
            <w:r w:rsidR="00033D0F">
              <w:t>comparison</w:t>
            </w:r>
            <w:r w:rsidR="00033D0F">
              <w:rPr>
                <w:spacing w:val="-3"/>
              </w:rPr>
              <w:t xml:space="preserve"> </w:t>
            </w:r>
            <w:r w:rsidR="00033D0F">
              <w:t>under</w:t>
            </w:r>
            <w:r w:rsidR="00033D0F">
              <w:rPr>
                <w:spacing w:val="-2"/>
              </w:rPr>
              <w:t xml:space="preserve"> </w:t>
            </w:r>
            <w:r w:rsidR="00033D0F">
              <w:t>Article</w:t>
            </w:r>
            <w:r w:rsidR="00033D0F">
              <w:rPr>
                <w:spacing w:val="1"/>
              </w:rPr>
              <w:t xml:space="preserve"> </w:t>
            </w:r>
            <w:r w:rsidR="00033D0F">
              <w:rPr>
                <w:spacing w:val="-5"/>
              </w:rPr>
              <w:t>2.4</w:t>
            </w:r>
            <w:r w:rsidR="00033D0F">
              <w:tab/>
            </w:r>
            <w:r w:rsidR="00033D0F">
              <w:rPr>
                <w:spacing w:val="-5"/>
              </w:rPr>
              <w:t>80</w:t>
            </w:r>
          </w:hyperlink>
        </w:p>
        <w:p w14:paraId="143E6DAF" w14:textId="77777777" w:rsidR="00BD462C" w:rsidRDefault="00000000">
          <w:pPr>
            <w:pStyle w:val="TOC7"/>
            <w:numPr>
              <w:ilvl w:val="1"/>
              <w:numId w:val="67"/>
            </w:numPr>
            <w:tabs>
              <w:tab w:val="left" w:pos="1412"/>
              <w:tab w:val="left" w:pos="1413"/>
              <w:tab w:val="left" w:leader="dot" w:pos="8953"/>
            </w:tabs>
          </w:pPr>
          <w:hyperlink w:anchor="_bookmark415" w:history="1">
            <w:r w:rsidR="00033D0F">
              <w:rPr>
                <w:smallCaps/>
              </w:rPr>
              <w:t>Casella</w:t>
            </w:r>
            <w:r w:rsidR="00033D0F">
              <w:rPr>
                <w:smallCaps/>
                <w:spacing w:val="1"/>
              </w:rPr>
              <w:t xml:space="preserve"> </w:t>
            </w:r>
            <w:r w:rsidR="00033D0F">
              <w:rPr>
                <w:smallCaps/>
                <w:spacing w:val="-2"/>
              </w:rPr>
              <w:t>Wines</w:t>
            </w:r>
            <w:r w:rsidR="00033D0F">
              <w:rPr>
                <w:smallCaps/>
              </w:rPr>
              <w:tab/>
            </w:r>
            <w:r w:rsidR="00033D0F">
              <w:rPr>
                <w:smallCaps/>
                <w:spacing w:val="-5"/>
              </w:rPr>
              <w:t>87</w:t>
            </w:r>
          </w:hyperlink>
        </w:p>
        <w:p w14:paraId="3A0281DB" w14:textId="77777777" w:rsidR="00BD462C" w:rsidRDefault="00000000">
          <w:pPr>
            <w:pStyle w:val="TOC8"/>
            <w:numPr>
              <w:ilvl w:val="2"/>
              <w:numId w:val="67"/>
            </w:numPr>
            <w:tabs>
              <w:tab w:val="left" w:pos="1835"/>
              <w:tab w:val="left" w:pos="1836"/>
              <w:tab w:val="left" w:leader="dot" w:pos="8953"/>
            </w:tabs>
            <w:spacing w:before="119"/>
            <w:ind w:hanging="851"/>
          </w:pPr>
          <w:hyperlink w:anchor="_bookmark419" w:history="1">
            <w:r w:rsidR="00033D0F">
              <w:t>MOFCOM's</w:t>
            </w:r>
            <w:r w:rsidR="00033D0F">
              <w:rPr>
                <w:spacing w:val="-5"/>
              </w:rPr>
              <w:t xml:space="preserve"> </w:t>
            </w:r>
            <w:r w:rsidR="00033D0F">
              <w:t>recourse</w:t>
            </w:r>
            <w:r w:rsidR="00033D0F">
              <w:rPr>
                <w:spacing w:val="-4"/>
              </w:rPr>
              <w:t xml:space="preserve"> </w:t>
            </w:r>
            <w:r w:rsidR="00033D0F">
              <w:t>to</w:t>
            </w:r>
            <w:r w:rsidR="00033D0F">
              <w:rPr>
                <w:spacing w:val="-2"/>
              </w:rPr>
              <w:t xml:space="preserve"> </w:t>
            </w:r>
            <w:r w:rsidR="00033D0F">
              <w:t>facts</w:t>
            </w:r>
            <w:r w:rsidR="00033D0F">
              <w:rPr>
                <w:spacing w:val="-3"/>
              </w:rPr>
              <w:t xml:space="preserve"> </w:t>
            </w:r>
            <w:r w:rsidR="00033D0F">
              <w:t>available</w:t>
            </w:r>
            <w:r w:rsidR="00033D0F">
              <w:rPr>
                <w:spacing w:val="-4"/>
              </w:rPr>
              <w:t xml:space="preserve"> </w:t>
            </w:r>
            <w:r w:rsidR="00033D0F">
              <w:t>had</w:t>
            </w:r>
            <w:r w:rsidR="00033D0F">
              <w:rPr>
                <w:spacing w:val="-2"/>
              </w:rPr>
              <w:t xml:space="preserve"> </w:t>
            </w:r>
            <w:r w:rsidR="00033D0F">
              <w:t>no</w:t>
            </w:r>
            <w:r w:rsidR="00033D0F">
              <w:rPr>
                <w:spacing w:val="-2"/>
              </w:rPr>
              <w:t xml:space="preserve"> </w:t>
            </w:r>
            <w:r w:rsidR="00033D0F">
              <w:t>proper</w:t>
            </w:r>
            <w:r w:rsidR="00033D0F">
              <w:rPr>
                <w:spacing w:val="-1"/>
              </w:rPr>
              <w:t xml:space="preserve"> </w:t>
            </w:r>
            <w:r w:rsidR="00033D0F">
              <w:rPr>
                <w:spacing w:val="-2"/>
              </w:rPr>
              <w:t>basis</w:t>
            </w:r>
            <w:r w:rsidR="00033D0F">
              <w:tab/>
            </w:r>
            <w:r w:rsidR="00033D0F">
              <w:rPr>
                <w:spacing w:val="-5"/>
              </w:rPr>
              <w:t>88</w:t>
            </w:r>
          </w:hyperlink>
        </w:p>
        <w:p w14:paraId="0D3C79A4" w14:textId="77777777" w:rsidR="00BD462C" w:rsidRDefault="00000000">
          <w:pPr>
            <w:pStyle w:val="TOC8"/>
            <w:numPr>
              <w:ilvl w:val="2"/>
              <w:numId w:val="67"/>
            </w:numPr>
            <w:tabs>
              <w:tab w:val="left" w:pos="1835"/>
              <w:tab w:val="left" w:pos="1836"/>
              <w:tab w:val="left" w:leader="dot" w:pos="8953"/>
            </w:tabs>
            <w:ind w:hanging="851"/>
          </w:pPr>
          <w:hyperlink w:anchor="_bookmark420" w:history="1">
            <w:r w:rsidR="00033D0F">
              <w:t>There</w:t>
            </w:r>
            <w:r w:rsidR="00033D0F">
              <w:rPr>
                <w:spacing w:val="-5"/>
              </w:rPr>
              <w:t xml:space="preserve"> </w:t>
            </w:r>
            <w:r w:rsidR="00033D0F">
              <w:t>was</w:t>
            </w:r>
            <w:r w:rsidR="00033D0F">
              <w:rPr>
                <w:spacing w:val="-4"/>
              </w:rPr>
              <w:t xml:space="preserve"> </w:t>
            </w:r>
            <w:r w:rsidR="00033D0F">
              <w:t>no</w:t>
            </w:r>
            <w:r w:rsidR="00033D0F">
              <w:rPr>
                <w:spacing w:val="-3"/>
              </w:rPr>
              <w:t xml:space="preserve"> </w:t>
            </w:r>
            <w:r w:rsidR="00033D0F">
              <w:t>necessary</w:t>
            </w:r>
            <w:r w:rsidR="00033D0F">
              <w:rPr>
                <w:spacing w:val="-2"/>
              </w:rPr>
              <w:t xml:space="preserve"> </w:t>
            </w:r>
            <w:r w:rsidR="00033D0F">
              <w:t>information</w:t>
            </w:r>
            <w:r w:rsidR="00033D0F">
              <w:rPr>
                <w:spacing w:val="-3"/>
              </w:rPr>
              <w:t xml:space="preserve"> </w:t>
            </w:r>
            <w:r w:rsidR="00033D0F">
              <w:t>missing</w:t>
            </w:r>
            <w:r w:rsidR="00033D0F">
              <w:rPr>
                <w:spacing w:val="-3"/>
              </w:rPr>
              <w:t xml:space="preserve"> </w:t>
            </w:r>
            <w:r w:rsidR="00033D0F">
              <w:t>from</w:t>
            </w:r>
            <w:r w:rsidR="00033D0F">
              <w:rPr>
                <w:spacing w:val="-2"/>
              </w:rPr>
              <w:t xml:space="preserve"> </w:t>
            </w:r>
            <w:r w:rsidR="00033D0F">
              <w:t>the</w:t>
            </w:r>
            <w:r w:rsidR="00033D0F">
              <w:rPr>
                <w:spacing w:val="-4"/>
              </w:rPr>
              <w:t xml:space="preserve"> </w:t>
            </w:r>
            <w:r w:rsidR="00033D0F">
              <w:rPr>
                <w:spacing w:val="-2"/>
              </w:rPr>
              <w:t>record</w:t>
            </w:r>
            <w:r w:rsidR="00033D0F">
              <w:tab/>
            </w:r>
            <w:r w:rsidR="00033D0F">
              <w:rPr>
                <w:spacing w:val="-5"/>
              </w:rPr>
              <w:t>88</w:t>
            </w:r>
          </w:hyperlink>
        </w:p>
        <w:p w14:paraId="64133C34" w14:textId="77777777" w:rsidR="00BD462C" w:rsidRDefault="00000000">
          <w:pPr>
            <w:pStyle w:val="TOC8"/>
            <w:numPr>
              <w:ilvl w:val="2"/>
              <w:numId w:val="67"/>
            </w:numPr>
            <w:tabs>
              <w:tab w:val="left" w:pos="1835"/>
              <w:tab w:val="left" w:pos="1836"/>
              <w:tab w:val="left" w:leader="dot" w:pos="8953"/>
            </w:tabs>
            <w:ind w:hanging="851"/>
          </w:pPr>
          <w:hyperlink w:anchor="_bookmark450" w:history="1">
            <w:r w:rsidR="00033D0F">
              <w:t>MOFCOM</w:t>
            </w:r>
            <w:r w:rsidR="00033D0F">
              <w:rPr>
                <w:spacing w:val="-4"/>
              </w:rPr>
              <w:t xml:space="preserve"> </w:t>
            </w:r>
            <w:r w:rsidR="00033D0F">
              <w:t>acted</w:t>
            </w:r>
            <w:r w:rsidR="00033D0F">
              <w:rPr>
                <w:spacing w:val="-3"/>
              </w:rPr>
              <w:t xml:space="preserve"> </w:t>
            </w:r>
            <w:r w:rsidR="00033D0F">
              <w:t>inconsistently</w:t>
            </w:r>
            <w:r w:rsidR="00033D0F">
              <w:rPr>
                <w:spacing w:val="-2"/>
              </w:rPr>
              <w:t xml:space="preserve"> </w:t>
            </w:r>
            <w:r w:rsidR="00033D0F">
              <w:t>with</w:t>
            </w:r>
            <w:r w:rsidR="00033D0F">
              <w:rPr>
                <w:spacing w:val="-3"/>
              </w:rPr>
              <w:t xml:space="preserve"> </w:t>
            </w:r>
            <w:r w:rsidR="00033D0F">
              <w:t>paragraph</w:t>
            </w:r>
            <w:r w:rsidR="00033D0F">
              <w:rPr>
                <w:spacing w:val="-3"/>
              </w:rPr>
              <w:t xml:space="preserve"> </w:t>
            </w:r>
            <w:r w:rsidR="00033D0F">
              <w:t>1</w:t>
            </w:r>
            <w:r w:rsidR="00033D0F">
              <w:rPr>
                <w:spacing w:val="-5"/>
              </w:rPr>
              <w:t xml:space="preserve"> </w:t>
            </w:r>
            <w:r w:rsidR="00033D0F">
              <w:t>of</w:t>
            </w:r>
            <w:r w:rsidR="00033D0F">
              <w:rPr>
                <w:spacing w:val="-4"/>
              </w:rPr>
              <w:t xml:space="preserve"> </w:t>
            </w:r>
            <w:r w:rsidR="00033D0F">
              <w:t>Annex</w:t>
            </w:r>
            <w:r w:rsidR="00033D0F">
              <w:rPr>
                <w:spacing w:val="-3"/>
              </w:rPr>
              <w:t xml:space="preserve"> </w:t>
            </w:r>
            <w:r w:rsidR="00033D0F">
              <w:rPr>
                <w:spacing w:val="-5"/>
              </w:rPr>
              <w:t>II</w:t>
            </w:r>
            <w:r w:rsidR="00033D0F">
              <w:tab/>
            </w:r>
            <w:r w:rsidR="00033D0F">
              <w:rPr>
                <w:spacing w:val="-5"/>
              </w:rPr>
              <w:t>95</w:t>
            </w:r>
          </w:hyperlink>
        </w:p>
        <w:p w14:paraId="50F97680" w14:textId="77777777" w:rsidR="00BD462C" w:rsidRDefault="00000000">
          <w:pPr>
            <w:pStyle w:val="TOC8"/>
            <w:numPr>
              <w:ilvl w:val="2"/>
              <w:numId w:val="67"/>
            </w:numPr>
            <w:tabs>
              <w:tab w:val="left" w:pos="1835"/>
              <w:tab w:val="left" w:pos="1836"/>
              <w:tab w:val="left" w:leader="dot" w:pos="8953"/>
            </w:tabs>
            <w:ind w:hanging="851"/>
          </w:pPr>
          <w:hyperlink w:anchor="_bookmark451" w:history="1">
            <w:r w:rsidR="00033D0F">
              <w:t>MOFCOM</w:t>
            </w:r>
            <w:r w:rsidR="00033D0F">
              <w:rPr>
                <w:spacing w:val="-3"/>
              </w:rPr>
              <w:t xml:space="preserve"> </w:t>
            </w:r>
            <w:r w:rsidR="00033D0F">
              <w:t>acted</w:t>
            </w:r>
            <w:r w:rsidR="00033D0F">
              <w:rPr>
                <w:spacing w:val="-3"/>
              </w:rPr>
              <w:t xml:space="preserve"> </w:t>
            </w:r>
            <w:r w:rsidR="00033D0F">
              <w:t>inconsistently</w:t>
            </w:r>
            <w:r w:rsidR="00033D0F">
              <w:rPr>
                <w:spacing w:val="-1"/>
              </w:rPr>
              <w:t xml:space="preserve"> </w:t>
            </w:r>
            <w:r w:rsidR="00033D0F">
              <w:t>with</w:t>
            </w:r>
            <w:r w:rsidR="00033D0F">
              <w:rPr>
                <w:spacing w:val="-3"/>
              </w:rPr>
              <w:t xml:space="preserve"> </w:t>
            </w:r>
            <w:r w:rsidR="00033D0F">
              <w:t>paragraphs</w:t>
            </w:r>
            <w:r w:rsidR="00033D0F">
              <w:rPr>
                <w:spacing w:val="-3"/>
              </w:rPr>
              <w:t xml:space="preserve"> </w:t>
            </w:r>
            <w:r w:rsidR="00033D0F">
              <w:t>3</w:t>
            </w:r>
            <w:r w:rsidR="00033D0F">
              <w:rPr>
                <w:spacing w:val="-6"/>
              </w:rPr>
              <w:t xml:space="preserve"> </w:t>
            </w:r>
            <w:r w:rsidR="00033D0F">
              <w:t>and</w:t>
            </w:r>
            <w:r w:rsidR="00033D0F">
              <w:rPr>
                <w:spacing w:val="-2"/>
              </w:rPr>
              <w:t xml:space="preserve"> </w:t>
            </w:r>
            <w:r w:rsidR="00033D0F">
              <w:t>5</w:t>
            </w:r>
            <w:r w:rsidR="00033D0F">
              <w:rPr>
                <w:spacing w:val="-6"/>
              </w:rPr>
              <w:t xml:space="preserve"> </w:t>
            </w:r>
            <w:r w:rsidR="00033D0F">
              <w:t>of</w:t>
            </w:r>
            <w:r w:rsidR="00033D0F">
              <w:rPr>
                <w:spacing w:val="-2"/>
              </w:rPr>
              <w:t xml:space="preserve"> </w:t>
            </w:r>
            <w:r w:rsidR="00033D0F">
              <w:t>Annex</w:t>
            </w:r>
            <w:r w:rsidR="00033D0F">
              <w:rPr>
                <w:spacing w:val="-4"/>
              </w:rPr>
              <w:t xml:space="preserve"> </w:t>
            </w:r>
            <w:r w:rsidR="00033D0F">
              <w:rPr>
                <w:spacing w:val="-5"/>
              </w:rPr>
              <w:t>II</w:t>
            </w:r>
            <w:r w:rsidR="00033D0F">
              <w:tab/>
            </w:r>
            <w:r w:rsidR="00033D0F">
              <w:rPr>
                <w:spacing w:val="-5"/>
              </w:rPr>
              <w:t>95</w:t>
            </w:r>
          </w:hyperlink>
        </w:p>
        <w:p w14:paraId="0D43DDA7" w14:textId="77777777" w:rsidR="00BD462C" w:rsidRDefault="00000000">
          <w:pPr>
            <w:pStyle w:val="TOC8"/>
            <w:numPr>
              <w:ilvl w:val="2"/>
              <w:numId w:val="67"/>
            </w:numPr>
            <w:tabs>
              <w:tab w:val="left" w:pos="1835"/>
              <w:tab w:val="left" w:pos="1836"/>
              <w:tab w:val="left" w:leader="dot" w:pos="8953"/>
            </w:tabs>
            <w:ind w:hanging="851"/>
          </w:pPr>
          <w:hyperlink w:anchor="_bookmark460" w:history="1">
            <w:r w:rsidR="00033D0F">
              <w:t>MOFCOM</w:t>
            </w:r>
            <w:r w:rsidR="00033D0F">
              <w:rPr>
                <w:spacing w:val="-4"/>
              </w:rPr>
              <w:t xml:space="preserve"> </w:t>
            </w:r>
            <w:r w:rsidR="00033D0F">
              <w:t>acted</w:t>
            </w:r>
            <w:r w:rsidR="00033D0F">
              <w:rPr>
                <w:spacing w:val="-3"/>
              </w:rPr>
              <w:t xml:space="preserve"> </w:t>
            </w:r>
            <w:r w:rsidR="00033D0F">
              <w:t>inconsistently</w:t>
            </w:r>
            <w:r w:rsidR="00033D0F">
              <w:rPr>
                <w:spacing w:val="-2"/>
              </w:rPr>
              <w:t xml:space="preserve"> </w:t>
            </w:r>
            <w:r w:rsidR="00033D0F">
              <w:t>with</w:t>
            </w:r>
            <w:r w:rsidR="00033D0F">
              <w:rPr>
                <w:spacing w:val="-3"/>
              </w:rPr>
              <w:t xml:space="preserve"> </w:t>
            </w:r>
            <w:r w:rsidR="00033D0F">
              <w:t>paragraph</w:t>
            </w:r>
            <w:r w:rsidR="00033D0F">
              <w:rPr>
                <w:spacing w:val="-3"/>
              </w:rPr>
              <w:t xml:space="preserve"> </w:t>
            </w:r>
            <w:r w:rsidR="00033D0F">
              <w:t>6</w:t>
            </w:r>
            <w:r w:rsidR="00033D0F">
              <w:rPr>
                <w:spacing w:val="-6"/>
              </w:rPr>
              <w:t xml:space="preserve"> </w:t>
            </w:r>
            <w:r w:rsidR="00033D0F">
              <w:t>of</w:t>
            </w:r>
            <w:r w:rsidR="00033D0F">
              <w:rPr>
                <w:spacing w:val="-3"/>
              </w:rPr>
              <w:t xml:space="preserve"> </w:t>
            </w:r>
            <w:r w:rsidR="00033D0F">
              <w:t>Annex</w:t>
            </w:r>
            <w:r w:rsidR="00033D0F">
              <w:rPr>
                <w:spacing w:val="-4"/>
              </w:rPr>
              <w:t xml:space="preserve"> </w:t>
            </w:r>
            <w:r w:rsidR="00033D0F">
              <w:rPr>
                <w:spacing w:val="-5"/>
              </w:rPr>
              <w:t>II</w:t>
            </w:r>
            <w:r w:rsidR="00033D0F">
              <w:tab/>
            </w:r>
            <w:r w:rsidR="00033D0F">
              <w:rPr>
                <w:spacing w:val="-5"/>
              </w:rPr>
              <w:t>98</w:t>
            </w:r>
          </w:hyperlink>
        </w:p>
        <w:p w14:paraId="7F9AF847" w14:textId="77777777" w:rsidR="00BD462C" w:rsidRDefault="00000000">
          <w:pPr>
            <w:pStyle w:val="TOC8"/>
            <w:numPr>
              <w:ilvl w:val="2"/>
              <w:numId w:val="67"/>
            </w:numPr>
            <w:tabs>
              <w:tab w:val="left" w:pos="1835"/>
              <w:tab w:val="left" w:pos="1836"/>
              <w:tab w:val="left" w:leader="dot" w:pos="8833"/>
            </w:tabs>
            <w:ind w:left="1840" w:right="917" w:hanging="855"/>
          </w:pPr>
          <w:hyperlink w:anchor="_bookmark489" w:history="1">
            <w:r w:rsidR="00033D0F">
              <w:t>MOFCOM's selection of facts was not a reasonable replacement for the</w:t>
            </w:r>
          </w:hyperlink>
          <w:r w:rsidR="00033D0F">
            <w:rPr>
              <w:spacing w:val="40"/>
            </w:rPr>
            <w:t xml:space="preserve"> </w:t>
          </w:r>
          <w:hyperlink w:anchor="_bookmark489" w:history="1">
            <w:r w:rsidR="00033D0F">
              <w:t>missing</w:t>
            </w:r>
            <w:r w:rsidR="00033D0F">
              <w:rPr>
                <w:spacing w:val="-3"/>
              </w:rPr>
              <w:t xml:space="preserve"> </w:t>
            </w:r>
            <w:r w:rsidR="00033D0F">
              <w:t>necessary</w:t>
            </w:r>
            <w:r w:rsidR="00033D0F">
              <w:rPr>
                <w:spacing w:val="-1"/>
              </w:rPr>
              <w:t xml:space="preserve"> </w:t>
            </w:r>
            <w:r w:rsidR="00033D0F">
              <w:rPr>
                <w:spacing w:val="-2"/>
              </w:rPr>
              <w:t>information</w:t>
            </w:r>
            <w:r w:rsidR="00033D0F">
              <w:tab/>
            </w:r>
            <w:r w:rsidR="00033D0F">
              <w:rPr>
                <w:spacing w:val="-5"/>
              </w:rPr>
              <w:t>103</w:t>
            </w:r>
          </w:hyperlink>
        </w:p>
        <w:p w14:paraId="7733A6DD" w14:textId="77777777" w:rsidR="00BD462C" w:rsidRDefault="00000000">
          <w:pPr>
            <w:pStyle w:val="TOC8"/>
            <w:numPr>
              <w:ilvl w:val="2"/>
              <w:numId w:val="67"/>
            </w:numPr>
            <w:tabs>
              <w:tab w:val="left" w:pos="1835"/>
              <w:tab w:val="left" w:pos="1836"/>
              <w:tab w:val="left" w:leader="dot" w:pos="8833"/>
            </w:tabs>
            <w:spacing w:before="119"/>
            <w:ind w:hanging="851"/>
          </w:pPr>
          <w:hyperlink w:anchor="_bookmark507" w:history="1">
            <w:r w:rsidR="00033D0F">
              <w:t>Articles</w:t>
            </w:r>
            <w:r w:rsidR="00033D0F">
              <w:rPr>
                <w:spacing w:val="-3"/>
              </w:rPr>
              <w:t xml:space="preserve"> </w:t>
            </w:r>
            <w:r w:rsidR="00033D0F">
              <w:t>2.1</w:t>
            </w:r>
            <w:r w:rsidR="00033D0F">
              <w:rPr>
                <w:spacing w:val="-3"/>
              </w:rPr>
              <w:t xml:space="preserve"> </w:t>
            </w:r>
            <w:r w:rsidR="00033D0F">
              <w:t>and</w:t>
            </w:r>
            <w:r w:rsidR="00033D0F">
              <w:rPr>
                <w:spacing w:val="-4"/>
              </w:rPr>
              <w:t xml:space="preserve"> </w:t>
            </w:r>
            <w:r w:rsidR="00033D0F">
              <w:rPr>
                <w:spacing w:val="-5"/>
              </w:rPr>
              <w:t>2.2</w:t>
            </w:r>
            <w:r w:rsidR="00033D0F">
              <w:tab/>
            </w:r>
            <w:r w:rsidR="00033D0F">
              <w:rPr>
                <w:spacing w:val="-5"/>
              </w:rPr>
              <w:t>109</w:t>
            </w:r>
          </w:hyperlink>
        </w:p>
        <w:p w14:paraId="13955BDB" w14:textId="77777777" w:rsidR="00BD462C" w:rsidRDefault="00000000">
          <w:pPr>
            <w:pStyle w:val="TOC8"/>
            <w:numPr>
              <w:ilvl w:val="2"/>
              <w:numId w:val="67"/>
            </w:numPr>
            <w:tabs>
              <w:tab w:val="left" w:pos="1835"/>
              <w:tab w:val="left" w:pos="1836"/>
              <w:tab w:val="left" w:leader="dot" w:pos="8833"/>
            </w:tabs>
            <w:ind w:hanging="851"/>
          </w:pPr>
          <w:hyperlink w:anchor="_bookmark508" w:history="1">
            <w:r w:rsidR="00033D0F">
              <w:t>MOFCOM</w:t>
            </w:r>
            <w:r w:rsidR="00033D0F">
              <w:rPr>
                <w:spacing w:val="-3"/>
              </w:rPr>
              <w:t xml:space="preserve"> </w:t>
            </w:r>
            <w:r w:rsidR="00033D0F">
              <w:t>did</w:t>
            </w:r>
            <w:r w:rsidR="00033D0F">
              <w:rPr>
                <w:spacing w:val="-2"/>
              </w:rPr>
              <w:t xml:space="preserve"> </w:t>
            </w:r>
            <w:r w:rsidR="00033D0F">
              <w:t>not</w:t>
            </w:r>
            <w:r w:rsidR="00033D0F">
              <w:rPr>
                <w:spacing w:val="-6"/>
              </w:rPr>
              <w:t xml:space="preserve"> </w:t>
            </w:r>
            <w:r w:rsidR="00033D0F">
              <w:t>make</w:t>
            </w:r>
            <w:r w:rsidR="00033D0F">
              <w:rPr>
                <w:spacing w:val="-4"/>
              </w:rPr>
              <w:t xml:space="preserve"> </w:t>
            </w:r>
            <w:r w:rsidR="00033D0F">
              <w:t>a</w:t>
            </w:r>
            <w:r w:rsidR="00033D0F">
              <w:rPr>
                <w:spacing w:val="-2"/>
              </w:rPr>
              <w:t xml:space="preserve"> </w:t>
            </w:r>
            <w:r w:rsidR="00033D0F">
              <w:t>fair</w:t>
            </w:r>
            <w:r w:rsidR="00033D0F">
              <w:rPr>
                <w:spacing w:val="-2"/>
              </w:rPr>
              <w:t xml:space="preserve"> </w:t>
            </w:r>
            <w:r w:rsidR="00033D0F">
              <w:t>comparison</w:t>
            </w:r>
            <w:r w:rsidR="00033D0F">
              <w:rPr>
                <w:spacing w:val="-3"/>
              </w:rPr>
              <w:t xml:space="preserve"> </w:t>
            </w:r>
            <w:r w:rsidR="00033D0F">
              <w:t>under</w:t>
            </w:r>
            <w:r w:rsidR="00033D0F">
              <w:rPr>
                <w:spacing w:val="-2"/>
              </w:rPr>
              <w:t xml:space="preserve"> </w:t>
            </w:r>
            <w:r w:rsidR="00033D0F">
              <w:t>Article</w:t>
            </w:r>
            <w:r w:rsidR="00033D0F">
              <w:rPr>
                <w:spacing w:val="1"/>
              </w:rPr>
              <w:t xml:space="preserve"> </w:t>
            </w:r>
            <w:r w:rsidR="00033D0F">
              <w:rPr>
                <w:spacing w:val="-5"/>
              </w:rPr>
              <w:t>2.4</w:t>
            </w:r>
            <w:r w:rsidR="00033D0F">
              <w:tab/>
            </w:r>
            <w:r w:rsidR="00033D0F">
              <w:rPr>
                <w:spacing w:val="-5"/>
              </w:rPr>
              <w:t>109</w:t>
            </w:r>
          </w:hyperlink>
        </w:p>
        <w:p w14:paraId="63F1A5DE" w14:textId="77777777" w:rsidR="00BD462C" w:rsidRDefault="00000000">
          <w:pPr>
            <w:pStyle w:val="TOC7"/>
            <w:numPr>
              <w:ilvl w:val="1"/>
              <w:numId w:val="67"/>
            </w:numPr>
            <w:tabs>
              <w:tab w:val="left" w:pos="1412"/>
              <w:tab w:val="left" w:pos="1413"/>
              <w:tab w:val="left" w:leader="dot" w:pos="8833"/>
            </w:tabs>
          </w:pPr>
          <w:hyperlink w:anchor="_bookmark532" w:history="1">
            <w:r w:rsidR="00033D0F">
              <w:rPr>
                <w:smallCaps/>
              </w:rPr>
              <w:t>Swan</w:t>
            </w:r>
            <w:r w:rsidR="00033D0F">
              <w:rPr>
                <w:smallCaps/>
                <w:spacing w:val="-1"/>
              </w:rPr>
              <w:t xml:space="preserve"> </w:t>
            </w:r>
            <w:r w:rsidR="00033D0F">
              <w:rPr>
                <w:smallCaps/>
                <w:spacing w:val="-2"/>
              </w:rPr>
              <w:t>Vintage</w:t>
            </w:r>
            <w:r w:rsidR="00033D0F">
              <w:rPr>
                <w:smallCaps/>
              </w:rPr>
              <w:tab/>
            </w:r>
            <w:r w:rsidR="00033D0F">
              <w:rPr>
                <w:smallCaps/>
                <w:spacing w:val="-5"/>
              </w:rPr>
              <w:t>112</w:t>
            </w:r>
          </w:hyperlink>
        </w:p>
        <w:p w14:paraId="48751029" w14:textId="77777777" w:rsidR="00BD462C" w:rsidRDefault="00000000">
          <w:pPr>
            <w:pStyle w:val="TOC8"/>
            <w:numPr>
              <w:ilvl w:val="2"/>
              <w:numId w:val="67"/>
            </w:numPr>
            <w:tabs>
              <w:tab w:val="left" w:pos="1835"/>
              <w:tab w:val="left" w:pos="1836"/>
              <w:tab w:val="left" w:leader="dot" w:pos="8833"/>
            </w:tabs>
            <w:ind w:hanging="851"/>
          </w:pPr>
          <w:hyperlink w:anchor="_bookmark533" w:history="1">
            <w:r w:rsidR="00033D0F">
              <w:t>MOFCOM's</w:t>
            </w:r>
            <w:r w:rsidR="00033D0F">
              <w:rPr>
                <w:spacing w:val="-5"/>
              </w:rPr>
              <w:t xml:space="preserve"> </w:t>
            </w:r>
            <w:r w:rsidR="00033D0F">
              <w:t>recourse</w:t>
            </w:r>
            <w:r w:rsidR="00033D0F">
              <w:rPr>
                <w:spacing w:val="-4"/>
              </w:rPr>
              <w:t xml:space="preserve"> </w:t>
            </w:r>
            <w:r w:rsidR="00033D0F">
              <w:t>to</w:t>
            </w:r>
            <w:r w:rsidR="00033D0F">
              <w:rPr>
                <w:spacing w:val="-2"/>
              </w:rPr>
              <w:t xml:space="preserve"> </w:t>
            </w:r>
            <w:r w:rsidR="00033D0F">
              <w:t>facts</w:t>
            </w:r>
            <w:r w:rsidR="00033D0F">
              <w:rPr>
                <w:spacing w:val="-3"/>
              </w:rPr>
              <w:t xml:space="preserve"> </w:t>
            </w:r>
            <w:r w:rsidR="00033D0F">
              <w:t>available</w:t>
            </w:r>
            <w:r w:rsidR="00033D0F">
              <w:rPr>
                <w:spacing w:val="-4"/>
              </w:rPr>
              <w:t xml:space="preserve"> </w:t>
            </w:r>
            <w:r w:rsidR="00033D0F">
              <w:t>had</w:t>
            </w:r>
            <w:r w:rsidR="00033D0F">
              <w:rPr>
                <w:spacing w:val="-2"/>
              </w:rPr>
              <w:t xml:space="preserve"> </w:t>
            </w:r>
            <w:r w:rsidR="00033D0F">
              <w:t>no</w:t>
            </w:r>
            <w:r w:rsidR="00033D0F">
              <w:rPr>
                <w:spacing w:val="-2"/>
              </w:rPr>
              <w:t xml:space="preserve"> </w:t>
            </w:r>
            <w:r w:rsidR="00033D0F">
              <w:t>proper</w:t>
            </w:r>
            <w:r w:rsidR="00033D0F">
              <w:rPr>
                <w:spacing w:val="-1"/>
              </w:rPr>
              <w:t xml:space="preserve"> </w:t>
            </w:r>
            <w:r w:rsidR="00033D0F">
              <w:rPr>
                <w:spacing w:val="-2"/>
              </w:rPr>
              <w:t>basis</w:t>
            </w:r>
            <w:r w:rsidR="00033D0F">
              <w:tab/>
            </w:r>
            <w:r w:rsidR="00033D0F">
              <w:rPr>
                <w:spacing w:val="-5"/>
              </w:rPr>
              <w:t>112</w:t>
            </w:r>
          </w:hyperlink>
        </w:p>
        <w:p w14:paraId="4DF9DEEB" w14:textId="77777777" w:rsidR="00BD462C" w:rsidRDefault="00000000">
          <w:pPr>
            <w:pStyle w:val="TOC8"/>
            <w:numPr>
              <w:ilvl w:val="2"/>
              <w:numId w:val="67"/>
            </w:numPr>
            <w:tabs>
              <w:tab w:val="left" w:pos="1835"/>
              <w:tab w:val="left" w:pos="1836"/>
              <w:tab w:val="left" w:leader="dot" w:pos="8833"/>
            </w:tabs>
            <w:ind w:hanging="851"/>
          </w:pPr>
          <w:hyperlink w:anchor="_bookmark542" w:history="1">
            <w:r w:rsidR="00033D0F">
              <w:t>There</w:t>
            </w:r>
            <w:r w:rsidR="00033D0F">
              <w:rPr>
                <w:spacing w:val="-5"/>
              </w:rPr>
              <w:t xml:space="preserve"> </w:t>
            </w:r>
            <w:r w:rsidR="00033D0F">
              <w:t>was</w:t>
            </w:r>
            <w:r w:rsidR="00033D0F">
              <w:rPr>
                <w:spacing w:val="-4"/>
              </w:rPr>
              <w:t xml:space="preserve"> </w:t>
            </w:r>
            <w:r w:rsidR="00033D0F">
              <w:t>no</w:t>
            </w:r>
            <w:r w:rsidR="00033D0F">
              <w:rPr>
                <w:spacing w:val="-3"/>
              </w:rPr>
              <w:t xml:space="preserve"> </w:t>
            </w:r>
            <w:r w:rsidR="00033D0F">
              <w:t>necessary</w:t>
            </w:r>
            <w:r w:rsidR="00033D0F">
              <w:rPr>
                <w:spacing w:val="-2"/>
              </w:rPr>
              <w:t xml:space="preserve"> </w:t>
            </w:r>
            <w:r w:rsidR="00033D0F">
              <w:t>information</w:t>
            </w:r>
            <w:r w:rsidR="00033D0F">
              <w:rPr>
                <w:spacing w:val="-3"/>
              </w:rPr>
              <w:t xml:space="preserve"> </w:t>
            </w:r>
            <w:r w:rsidR="00033D0F">
              <w:t>missing</w:t>
            </w:r>
            <w:r w:rsidR="00033D0F">
              <w:rPr>
                <w:spacing w:val="-3"/>
              </w:rPr>
              <w:t xml:space="preserve"> </w:t>
            </w:r>
            <w:r w:rsidR="00033D0F">
              <w:t>from</w:t>
            </w:r>
            <w:r w:rsidR="00033D0F">
              <w:rPr>
                <w:spacing w:val="-2"/>
              </w:rPr>
              <w:t xml:space="preserve"> </w:t>
            </w:r>
            <w:r w:rsidR="00033D0F">
              <w:t>the</w:t>
            </w:r>
            <w:r w:rsidR="00033D0F">
              <w:rPr>
                <w:spacing w:val="-4"/>
              </w:rPr>
              <w:t xml:space="preserve"> </w:t>
            </w:r>
            <w:r w:rsidR="00033D0F">
              <w:rPr>
                <w:spacing w:val="-2"/>
              </w:rPr>
              <w:t>record</w:t>
            </w:r>
            <w:r w:rsidR="00033D0F">
              <w:tab/>
            </w:r>
            <w:r w:rsidR="00033D0F">
              <w:rPr>
                <w:spacing w:val="-5"/>
              </w:rPr>
              <w:t>114</w:t>
            </w:r>
          </w:hyperlink>
        </w:p>
        <w:p w14:paraId="05E9B80A" w14:textId="77777777" w:rsidR="00BD462C" w:rsidRDefault="00000000">
          <w:pPr>
            <w:pStyle w:val="TOC8"/>
            <w:numPr>
              <w:ilvl w:val="2"/>
              <w:numId w:val="67"/>
            </w:numPr>
            <w:tabs>
              <w:tab w:val="left" w:pos="1835"/>
              <w:tab w:val="left" w:pos="1836"/>
              <w:tab w:val="left" w:leader="dot" w:pos="8833"/>
            </w:tabs>
            <w:spacing w:before="124"/>
            <w:ind w:hanging="851"/>
          </w:pPr>
          <w:hyperlink w:anchor="_bookmark573" w:history="1">
            <w:r w:rsidR="00033D0F">
              <w:t>Paragraphs</w:t>
            </w:r>
            <w:r w:rsidR="00033D0F">
              <w:rPr>
                <w:spacing w:val="-3"/>
              </w:rPr>
              <w:t xml:space="preserve"> </w:t>
            </w:r>
            <w:r w:rsidR="00033D0F">
              <w:t>3</w:t>
            </w:r>
            <w:r w:rsidR="00033D0F">
              <w:rPr>
                <w:spacing w:val="-5"/>
              </w:rPr>
              <w:t xml:space="preserve"> </w:t>
            </w:r>
            <w:r w:rsidR="00033D0F">
              <w:t>and</w:t>
            </w:r>
            <w:r w:rsidR="00033D0F">
              <w:rPr>
                <w:spacing w:val="-1"/>
              </w:rPr>
              <w:t xml:space="preserve"> </w:t>
            </w:r>
            <w:r w:rsidR="00033D0F">
              <w:t>5</w:t>
            </w:r>
            <w:r w:rsidR="00033D0F">
              <w:rPr>
                <w:spacing w:val="-5"/>
              </w:rPr>
              <w:t xml:space="preserve"> </w:t>
            </w:r>
            <w:r w:rsidR="00033D0F">
              <w:t>of</w:t>
            </w:r>
            <w:r w:rsidR="00033D0F">
              <w:rPr>
                <w:spacing w:val="-2"/>
              </w:rPr>
              <w:t xml:space="preserve"> </w:t>
            </w:r>
            <w:r w:rsidR="00033D0F">
              <w:t>Annex</w:t>
            </w:r>
            <w:r w:rsidR="00033D0F">
              <w:rPr>
                <w:spacing w:val="-2"/>
              </w:rPr>
              <w:t xml:space="preserve"> </w:t>
            </w:r>
            <w:r w:rsidR="00033D0F">
              <w:rPr>
                <w:spacing w:val="-5"/>
              </w:rPr>
              <w:t>II</w:t>
            </w:r>
            <w:r w:rsidR="00033D0F">
              <w:tab/>
            </w:r>
            <w:r w:rsidR="00033D0F">
              <w:rPr>
                <w:spacing w:val="-5"/>
              </w:rPr>
              <w:t>122</w:t>
            </w:r>
          </w:hyperlink>
        </w:p>
        <w:p w14:paraId="724602DD" w14:textId="77777777" w:rsidR="00BD462C" w:rsidRDefault="00000000">
          <w:pPr>
            <w:pStyle w:val="TOC8"/>
            <w:numPr>
              <w:ilvl w:val="2"/>
              <w:numId w:val="67"/>
            </w:numPr>
            <w:tabs>
              <w:tab w:val="left" w:pos="1835"/>
              <w:tab w:val="left" w:pos="1836"/>
              <w:tab w:val="left" w:leader="dot" w:pos="8833"/>
            </w:tabs>
            <w:ind w:hanging="851"/>
          </w:pPr>
          <w:hyperlink w:anchor="_bookmark578" w:history="1">
            <w:r w:rsidR="00033D0F">
              <w:t>MOFCOM</w:t>
            </w:r>
            <w:r w:rsidR="00033D0F">
              <w:rPr>
                <w:spacing w:val="-4"/>
              </w:rPr>
              <w:t xml:space="preserve"> </w:t>
            </w:r>
            <w:r w:rsidR="00033D0F">
              <w:t>acted</w:t>
            </w:r>
            <w:r w:rsidR="00033D0F">
              <w:rPr>
                <w:spacing w:val="-3"/>
              </w:rPr>
              <w:t xml:space="preserve"> </w:t>
            </w:r>
            <w:r w:rsidR="00033D0F">
              <w:t>inconsistently</w:t>
            </w:r>
            <w:r w:rsidR="00033D0F">
              <w:rPr>
                <w:spacing w:val="-2"/>
              </w:rPr>
              <w:t xml:space="preserve"> </w:t>
            </w:r>
            <w:r w:rsidR="00033D0F">
              <w:t>with</w:t>
            </w:r>
            <w:r w:rsidR="00033D0F">
              <w:rPr>
                <w:spacing w:val="-3"/>
              </w:rPr>
              <w:t xml:space="preserve"> </w:t>
            </w:r>
            <w:r w:rsidR="00033D0F">
              <w:t>paragraph</w:t>
            </w:r>
            <w:r w:rsidR="00033D0F">
              <w:rPr>
                <w:spacing w:val="-3"/>
              </w:rPr>
              <w:t xml:space="preserve"> </w:t>
            </w:r>
            <w:r w:rsidR="00033D0F">
              <w:t>6</w:t>
            </w:r>
            <w:r w:rsidR="00033D0F">
              <w:rPr>
                <w:spacing w:val="-6"/>
              </w:rPr>
              <w:t xml:space="preserve"> </w:t>
            </w:r>
            <w:r w:rsidR="00033D0F">
              <w:t>of</w:t>
            </w:r>
            <w:r w:rsidR="00033D0F">
              <w:rPr>
                <w:spacing w:val="-3"/>
              </w:rPr>
              <w:t xml:space="preserve"> </w:t>
            </w:r>
            <w:r w:rsidR="00033D0F">
              <w:t>Annex</w:t>
            </w:r>
            <w:r w:rsidR="00033D0F">
              <w:rPr>
                <w:spacing w:val="-4"/>
              </w:rPr>
              <w:t xml:space="preserve"> </w:t>
            </w:r>
            <w:r w:rsidR="00033D0F">
              <w:rPr>
                <w:spacing w:val="-5"/>
              </w:rPr>
              <w:t>II</w:t>
            </w:r>
            <w:r w:rsidR="00033D0F">
              <w:tab/>
            </w:r>
            <w:r w:rsidR="00033D0F">
              <w:rPr>
                <w:spacing w:val="-5"/>
              </w:rPr>
              <w:t>123</w:t>
            </w:r>
          </w:hyperlink>
        </w:p>
        <w:p w14:paraId="02E8D113" w14:textId="77777777" w:rsidR="00BD462C" w:rsidRDefault="00000000">
          <w:pPr>
            <w:pStyle w:val="TOC8"/>
            <w:numPr>
              <w:ilvl w:val="2"/>
              <w:numId w:val="67"/>
            </w:numPr>
            <w:tabs>
              <w:tab w:val="left" w:pos="1835"/>
              <w:tab w:val="left" w:pos="1836"/>
              <w:tab w:val="left" w:leader="dot" w:pos="8833"/>
            </w:tabs>
            <w:spacing w:after="20"/>
            <w:ind w:left="1840" w:right="917" w:hanging="855"/>
          </w:pPr>
          <w:hyperlink w:anchor="_bookmark582" w:history="1">
            <w:r w:rsidR="00033D0F">
              <w:t>MOFCOM's selection of facts was not a reasonable replacement for the</w:t>
            </w:r>
          </w:hyperlink>
          <w:r w:rsidR="00033D0F">
            <w:rPr>
              <w:spacing w:val="40"/>
            </w:rPr>
            <w:t xml:space="preserve"> </w:t>
          </w:r>
          <w:hyperlink w:anchor="_bookmark582" w:history="1">
            <w:r w:rsidR="00033D0F">
              <w:t>missing necessary information</w:t>
            </w:r>
            <w:r w:rsidR="00033D0F">
              <w:tab/>
            </w:r>
            <w:r w:rsidR="00033D0F">
              <w:rPr>
                <w:spacing w:val="-4"/>
              </w:rPr>
              <w:t>124</w:t>
            </w:r>
          </w:hyperlink>
        </w:p>
        <w:p w14:paraId="38A971E3" w14:textId="77777777" w:rsidR="00BD462C" w:rsidRDefault="00033D0F">
          <w:pPr>
            <w:pStyle w:val="TOC6"/>
            <w:tabs>
              <w:tab w:val="left" w:pos="6087"/>
            </w:tabs>
            <w:rPr>
              <w:b w:val="0"/>
              <w:i w:val="0"/>
              <w:sz w:val="20"/>
            </w:rPr>
          </w:pPr>
          <w:r>
            <w:rPr>
              <w:b w:val="0"/>
              <w:sz w:val="20"/>
            </w:rPr>
            <w:lastRenderedPageBreak/>
            <w:t>China</w:t>
          </w:r>
          <w:r>
            <w:rPr>
              <w:b w:val="0"/>
              <w:spacing w:val="-9"/>
              <w:sz w:val="20"/>
            </w:rPr>
            <w:t xml:space="preserve"> </w:t>
          </w:r>
          <w:r>
            <w:rPr>
              <w:b w:val="0"/>
              <w:sz w:val="20"/>
            </w:rPr>
            <w:t>–</w:t>
          </w:r>
          <w:r>
            <w:rPr>
              <w:b w:val="0"/>
              <w:spacing w:val="-10"/>
              <w:sz w:val="20"/>
            </w:rPr>
            <w:t xml:space="preserve"> </w:t>
          </w:r>
          <w:r>
            <w:rPr>
              <w:b w:val="0"/>
              <w:sz w:val="20"/>
            </w:rPr>
            <w:t>Anti-Dumping</w:t>
          </w:r>
          <w:r>
            <w:rPr>
              <w:b w:val="0"/>
              <w:spacing w:val="-8"/>
              <w:sz w:val="20"/>
            </w:rPr>
            <w:t xml:space="preserve"> </w:t>
          </w:r>
          <w:r>
            <w:rPr>
              <w:b w:val="0"/>
              <w:sz w:val="20"/>
            </w:rPr>
            <w:t>and</w:t>
          </w:r>
          <w:r>
            <w:rPr>
              <w:b w:val="0"/>
              <w:spacing w:val="-5"/>
              <w:sz w:val="20"/>
            </w:rPr>
            <w:t xml:space="preserve"> </w:t>
          </w:r>
          <w:r>
            <w:rPr>
              <w:b w:val="0"/>
              <w:sz w:val="20"/>
            </w:rPr>
            <w:t>Countervailing</w:t>
          </w:r>
          <w:r>
            <w:rPr>
              <w:b w:val="0"/>
              <w:spacing w:val="-9"/>
              <w:sz w:val="20"/>
            </w:rPr>
            <w:t xml:space="preserve"> </w:t>
          </w:r>
          <w:r>
            <w:rPr>
              <w:b w:val="0"/>
              <w:sz w:val="20"/>
            </w:rPr>
            <w:t>Duty</w:t>
          </w:r>
          <w:r>
            <w:rPr>
              <w:b w:val="0"/>
              <w:spacing w:val="-8"/>
              <w:sz w:val="20"/>
            </w:rPr>
            <w:t xml:space="preserve"> </w:t>
          </w:r>
          <w:r>
            <w:rPr>
              <w:b w:val="0"/>
              <w:spacing w:val="-2"/>
              <w:sz w:val="20"/>
            </w:rPr>
            <w:t>Measures</w:t>
          </w:r>
          <w:r>
            <w:rPr>
              <w:b w:val="0"/>
              <w:sz w:val="20"/>
            </w:rPr>
            <w:tab/>
          </w:r>
          <w:r>
            <w:rPr>
              <w:b w:val="0"/>
              <w:i w:val="0"/>
              <w:sz w:val="20"/>
            </w:rPr>
            <w:t>Australia's</w:t>
          </w:r>
          <w:r>
            <w:rPr>
              <w:b w:val="0"/>
              <w:i w:val="0"/>
              <w:spacing w:val="-11"/>
              <w:sz w:val="20"/>
            </w:rPr>
            <w:t xml:space="preserve"> </w:t>
          </w:r>
          <w:r>
            <w:rPr>
              <w:b w:val="0"/>
              <w:i w:val="0"/>
              <w:sz w:val="20"/>
            </w:rPr>
            <w:t>Second</w:t>
          </w:r>
          <w:r>
            <w:rPr>
              <w:b w:val="0"/>
              <w:i w:val="0"/>
              <w:spacing w:val="-10"/>
              <w:sz w:val="20"/>
            </w:rPr>
            <w:t xml:space="preserve"> </w:t>
          </w:r>
          <w:r>
            <w:rPr>
              <w:b w:val="0"/>
              <w:i w:val="0"/>
              <w:sz w:val="20"/>
            </w:rPr>
            <w:t>Written</w:t>
          </w:r>
          <w:r>
            <w:rPr>
              <w:b w:val="0"/>
              <w:i w:val="0"/>
              <w:spacing w:val="-10"/>
              <w:sz w:val="20"/>
            </w:rPr>
            <w:t xml:space="preserve"> </w:t>
          </w:r>
          <w:r>
            <w:rPr>
              <w:b w:val="0"/>
              <w:i w:val="0"/>
              <w:spacing w:val="-2"/>
              <w:sz w:val="20"/>
            </w:rPr>
            <w:t>Submission</w:t>
          </w:r>
        </w:p>
        <w:p w14:paraId="5782DCD8" w14:textId="77777777" w:rsidR="00BD462C" w:rsidRDefault="00033D0F">
          <w:pPr>
            <w:pStyle w:val="TOC5"/>
          </w:pPr>
          <w:r>
            <w:t>On</w:t>
          </w:r>
          <w:r>
            <w:rPr>
              <w:spacing w:val="-2"/>
            </w:rPr>
            <w:t xml:space="preserve"> </w:t>
          </w:r>
          <w:r>
            <w:t>Wine</w:t>
          </w:r>
          <w:r>
            <w:rPr>
              <w:spacing w:val="-4"/>
            </w:rPr>
            <w:t xml:space="preserve"> </w:t>
          </w:r>
          <w:r>
            <w:t>from</w:t>
          </w:r>
          <w:r>
            <w:rPr>
              <w:spacing w:val="-4"/>
            </w:rPr>
            <w:t xml:space="preserve"> </w:t>
          </w:r>
          <w:r>
            <w:rPr>
              <w:spacing w:val="-2"/>
            </w:rPr>
            <w:t>Australia</w:t>
          </w:r>
        </w:p>
        <w:p w14:paraId="525F30F8" w14:textId="77777777" w:rsidR="00BD462C" w:rsidRDefault="00033D0F">
          <w:pPr>
            <w:pStyle w:val="TOC4"/>
            <w:tabs>
              <w:tab w:val="left" w:pos="7652"/>
            </w:tabs>
          </w:pPr>
          <w:r>
            <w:rPr>
              <w:spacing w:val="-2"/>
            </w:rPr>
            <w:t>(DS602)</w:t>
          </w:r>
          <w:r>
            <w:tab/>
            <w:t>28</w:t>
          </w:r>
          <w:r>
            <w:rPr>
              <w:spacing w:val="-8"/>
            </w:rPr>
            <w:t xml:space="preserve"> </w:t>
          </w:r>
          <w:r>
            <w:t>November</w:t>
          </w:r>
          <w:r>
            <w:rPr>
              <w:spacing w:val="-2"/>
            </w:rPr>
            <w:t xml:space="preserve"> </w:t>
          </w:r>
          <w:r>
            <w:rPr>
              <w:spacing w:val="-4"/>
            </w:rPr>
            <w:t>2022</w:t>
          </w:r>
        </w:p>
        <w:p w14:paraId="28E68684" w14:textId="77777777" w:rsidR="00BD462C" w:rsidRDefault="00000000">
          <w:pPr>
            <w:pStyle w:val="TOC8"/>
            <w:numPr>
              <w:ilvl w:val="2"/>
              <w:numId w:val="67"/>
            </w:numPr>
            <w:tabs>
              <w:tab w:val="left" w:pos="1835"/>
              <w:tab w:val="left" w:pos="1836"/>
              <w:tab w:val="left" w:leader="dot" w:pos="8833"/>
            </w:tabs>
            <w:spacing w:before="98"/>
            <w:ind w:hanging="851"/>
          </w:pPr>
          <w:hyperlink w:anchor="_bookmark586" w:history="1">
            <w:r w:rsidR="00033D0F">
              <w:t>Articles</w:t>
            </w:r>
            <w:r w:rsidR="00033D0F">
              <w:rPr>
                <w:spacing w:val="-1"/>
              </w:rPr>
              <w:t xml:space="preserve"> </w:t>
            </w:r>
            <w:r w:rsidR="00033D0F">
              <w:t>2.1, 2.2</w:t>
            </w:r>
            <w:r w:rsidR="00033D0F">
              <w:rPr>
                <w:spacing w:val="-7"/>
              </w:rPr>
              <w:t xml:space="preserve"> </w:t>
            </w:r>
            <w:r w:rsidR="00033D0F">
              <w:t>and</w:t>
            </w:r>
            <w:r w:rsidR="00033D0F">
              <w:rPr>
                <w:spacing w:val="-3"/>
              </w:rPr>
              <w:t xml:space="preserve"> </w:t>
            </w:r>
            <w:r w:rsidR="00033D0F">
              <w:rPr>
                <w:spacing w:val="-2"/>
              </w:rPr>
              <w:t>2.2.1.1</w:t>
            </w:r>
            <w:r w:rsidR="00033D0F">
              <w:tab/>
            </w:r>
            <w:r w:rsidR="00033D0F">
              <w:rPr>
                <w:spacing w:val="-5"/>
              </w:rPr>
              <w:t>125</w:t>
            </w:r>
          </w:hyperlink>
        </w:p>
        <w:p w14:paraId="2EC3496D" w14:textId="77777777" w:rsidR="00BD462C" w:rsidRDefault="00000000">
          <w:pPr>
            <w:pStyle w:val="TOC8"/>
            <w:numPr>
              <w:ilvl w:val="2"/>
              <w:numId w:val="67"/>
            </w:numPr>
            <w:tabs>
              <w:tab w:val="left" w:pos="1835"/>
              <w:tab w:val="left" w:pos="1836"/>
              <w:tab w:val="left" w:leader="dot" w:pos="8833"/>
            </w:tabs>
            <w:spacing w:before="119"/>
            <w:ind w:hanging="851"/>
          </w:pPr>
          <w:hyperlink w:anchor="_bookmark587" w:history="1">
            <w:r w:rsidR="00033D0F">
              <w:t>MOFCOM</w:t>
            </w:r>
            <w:r w:rsidR="00033D0F">
              <w:rPr>
                <w:spacing w:val="-3"/>
              </w:rPr>
              <w:t xml:space="preserve"> </w:t>
            </w:r>
            <w:r w:rsidR="00033D0F">
              <w:t>did</w:t>
            </w:r>
            <w:r w:rsidR="00033D0F">
              <w:rPr>
                <w:spacing w:val="-2"/>
              </w:rPr>
              <w:t xml:space="preserve"> </w:t>
            </w:r>
            <w:r w:rsidR="00033D0F">
              <w:t>not</w:t>
            </w:r>
            <w:r w:rsidR="00033D0F">
              <w:rPr>
                <w:spacing w:val="-6"/>
              </w:rPr>
              <w:t xml:space="preserve"> </w:t>
            </w:r>
            <w:r w:rsidR="00033D0F">
              <w:t>make</w:t>
            </w:r>
            <w:r w:rsidR="00033D0F">
              <w:rPr>
                <w:spacing w:val="-4"/>
              </w:rPr>
              <w:t xml:space="preserve"> </w:t>
            </w:r>
            <w:r w:rsidR="00033D0F">
              <w:t>a</w:t>
            </w:r>
            <w:r w:rsidR="00033D0F">
              <w:rPr>
                <w:spacing w:val="-2"/>
              </w:rPr>
              <w:t xml:space="preserve"> </w:t>
            </w:r>
            <w:r w:rsidR="00033D0F">
              <w:t>fair</w:t>
            </w:r>
            <w:r w:rsidR="00033D0F">
              <w:rPr>
                <w:spacing w:val="-2"/>
              </w:rPr>
              <w:t xml:space="preserve"> </w:t>
            </w:r>
            <w:r w:rsidR="00033D0F">
              <w:t>comparison</w:t>
            </w:r>
            <w:r w:rsidR="00033D0F">
              <w:rPr>
                <w:spacing w:val="-3"/>
              </w:rPr>
              <w:t xml:space="preserve"> </w:t>
            </w:r>
            <w:r w:rsidR="00033D0F">
              <w:t>under</w:t>
            </w:r>
            <w:r w:rsidR="00033D0F">
              <w:rPr>
                <w:spacing w:val="-2"/>
              </w:rPr>
              <w:t xml:space="preserve"> </w:t>
            </w:r>
            <w:r w:rsidR="00033D0F">
              <w:t>Article</w:t>
            </w:r>
            <w:r w:rsidR="00033D0F">
              <w:rPr>
                <w:spacing w:val="1"/>
              </w:rPr>
              <w:t xml:space="preserve"> </w:t>
            </w:r>
            <w:r w:rsidR="00033D0F">
              <w:rPr>
                <w:spacing w:val="-5"/>
              </w:rPr>
              <w:t>2.4</w:t>
            </w:r>
            <w:r w:rsidR="00033D0F">
              <w:tab/>
            </w:r>
            <w:r w:rsidR="00033D0F">
              <w:rPr>
                <w:spacing w:val="-5"/>
              </w:rPr>
              <w:t>125</w:t>
            </w:r>
          </w:hyperlink>
        </w:p>
        <w:p w14:paraId="14E49B6A" w14:textId="77777777" w:rsidR="00BD462C" w:rsidRDefault="00000000">
          <w:pPr>
            <w:pStyle w:val="TOC7"/>
            <w:numPr>
              <w:ilvl w:val="1"/>
              <w:numId w:val="67"/>
            </w:numPr>
            <w:tabs>
              <w:tab w:val="left" w:pos="1412"/>
              <w:tab w:val="left" w:pos="1413"/>
              <w:tab w:val="left" w:leader="dot" w:pos="8833"/>
            </w:tabs>
          </w:pPr>
          <w:hyperlink w:anchor="_bookmark621" w:history="1">
            <w:r w:rsidR="00033D0F">
              <w:rPr>
                <w:smallCaps/>
              </w:rPr>
              <w:t>Other</w:t>
            </w:r>
            <w:r w:rsidR="00033D0F">
              <w:rPr>
                <w:smallCaps/>
                <w:spacing w:val="-1"/>
              </w:rPr>
              <w:t xml:space="preserve"> </w:t>
            </w:r>
            <w:r w:rsidR="00033D0F">
              <w:rPr>
                <w:smallCaps/>
              </w:rPr>
              <w:t>named</w:t>
            </w:r>
            <w:r w:rsidR="00033D0F">
              <w:rPr>
                <w:smallCaps/>
                <w:spacing w:val="-2"/>
              </w:rPr>
              <w:t xml:space="preserve"> </w:t>
            </w:r>
            <w:r w:rsidR="00033D0F">
              <w:rPr>
                <w:smallCaps/>
              </w:rPr>
              <w:t>Australian</w:t>
            </w:r>
            <w:r w:rsidR="00033D0F">
              <w:rPr>
                <w:smallCaps/>
                <w:spacing w:val="-9"/>
              </w:rPr>
              <w:t xml:space="preserve"> </w:t>
            </w:r>
            <w:r w:rsidR="00033D0F">
              <w:rPr>
                <w:smallCaps/>
                <w:spacing w:val="-2"/>
              </w:rPr>
              <w:t>exporters</w:t>
            </w:r>
            <w:r w:rsidR="00033D0F">
              <w:rPr>
                <w:smallCaps/>
              </w:rPr>
              <w:tab/>
            </w:r>
            <w:r w:rsidR="00033D0F">
              <w:rPr>
                <w:smallCaps/>
                <w:spacing w:val="-5"/>
              </w:rPr>
              <w:t>129</w:t>
            </w:r>
          </w:hyperlink>
        </w:p>
        <w:p w14:paraId="212AE98E" w14:textId="77777777" w:rsidR="00BD462C" w:rsidRDefault="00000000">
          <w:pPr>
            <w:pStyle w:val="TOC7"/>
            <w:numPr>
              <w:ilvl w:val="1"/>
              <w:numId w:val="67"/>
            </w:numPr>
            <w:tabs>
              <w:tab w:val="left" w:pos="1412"/>
              <w:tab w:val="left" w:pos="1413"/>
              <w:tab w:val="left" w:leader="dot" w:pos="8833"/>
            </w:tabs>
            <w:spacing w:before="125"/>
          </w:pPr>
          <w:hyperlink w:anchor="_bookmark622" w:history="1">
            <w:r w:rsidR="00033D0F">
              <w:rPr>
                <w:smallCaps/>
              </w:rPr>
              <w:t>All</w:t>
            </w:r>
            <w:r w:rsidR="00033D0F">
              <w:rPr>
                <w:smallCaps/>
                <w:spacing w:val="-1"/>
              </w:rPr>
              <w:t xml:space="preserve"> </w:t>
            </w:r>
            <w:r w:rsidR="00033D0F">
              <w:rPr>
                <w:smallCaps/>
                <w:spacing w:val="-2"/>
              </w:rPr>
              <w:t>others</w:t>
            </w:r>
            <w:r w:rsidR="00033D0F">
              <w:rPr>
                <w:smallCaps/>
              </w:rPr>
              <w:tab/>
            </w:r>
            <w:r w:rsidR="00033D0F">
              <w:rPr>
                <w:smallCaps/>
                <w:spacing w:val="-5"/>
              </w:rPr>
              <w:t>129</w:t>
            </w:r>
          </w:hyperlink>
        </w:p>
        <w:p w14:paraId="064EC155" w14:textId="77777777" w:rsidR="00BD462C" w:rsidRDefault="00000000">
          <w:pPr>
            <w:pStyle w:val="TOC7"/>
            <w:numPr>
              <w:ilvl w:val="1"/>
              <w:numId w:val="67"/>
            </w:numPr>
            <w:tabs>
              <w:tab w:val="left" w:pos="1412"/>
              <w:tab w:val="left" w:pos="1413"/>
              <w:tab w:val="left" w:leader="dot" w:pos="8833"/>
            </w:tabs>
            <w:ind w:right="922"/>
          </w:pPr>
          <w:hyperlink w:anchor="_bookmark626" w:history="1">
            <w:proofErr w:type="gramStart"/>
            <w:r w:rsidR="00033D0F">
              <w:rPr>
                <w:smallCaps/>
              </w:rPr>
              <w:t>Australia  claims</w:t>
            </w:r>
            <w:proofErr w:type="gramEnd"/>
            <w:r w:rsidR="00033D0F">
              <w:rPr>
                <w:smallCaps/>
              </w:rPr>
              <w:t xml:space="preserve">  under  Articles  1, </w:t>
            </w:r>
            <w:r w:rsidR="00033D0F">
              <w:rPr>
                <w:smallCaps/>
                <w:spacing w:val="-16"/>
              </w:rPr>
              <w:t xml:space="preserve"> </w:t>
            </w:r>
            <w:r w:rsidR="00033D0F">
              <w:rPr>
                <w:smallCaps/>
              </w:rPr>
              <w:t xml:space="preserve">9.1, </w:t>
            </w:r>
            <w:r w:rsidR="00033D0F">
              <w:rPr>
                <w:smallCaps/>
                <w:spacing w:val="-16"/>
              </w:rPr>
              <w:t xml:space="preserve"> </w:t>
            </w:r>
            <w:r w:rsidR="00033D0F">
              <w:rPr>
                <w:smallCaps/>
              </w:rPr>
              <w:t xml:space="preserve">9.2, </w:t>
            </w:r>
            <w:r w:rsidR="00033D0F">
              <w:rPr>
                <w:smallCaps/>
                <w:spacing w:val="-16"/>
              </w:rPr>
              <w:t xml:space="preserve"> </w:t>
            </w:r>
            <w:r w:rsidR="00033D0F">
              <w:rPr>
                <w:smallCaps/>
              </w:rPr>
              <w:t xml:space="preserve">9.3 </w:t>
            </w:r>
            <w:r w:rsidR="00033D0F">
              <w:rPr>
                <w:smallCaps/>
                <w:spacing w:val="-19"/>
              </w:rPr>
              <w:t xml:space="preserve"> </w:t>
            </w:r>
            <w:r w:rsidR="00033D0F">
              <w:rPr>
                <w:smallCaps/>
              </w:rPr>
              <w:t xml:space="preserve">and  18.1 </w:t>
            </w:r>
            <w:r w:rsidR="00033D0F">
              <w:rPr>
                <w:smallCaps/>
                <w:spacing w:val="-19"/>
              </w:rPr>
              <w:t xml:space="preserve"> </w:t>
            </w:r>
            <w:r w:rsidR="00033D0F">
              <w:rPr>
                <w:smallCaps/>
              </w:rPr>
              <w:t>of  the  Anti-Dumping</w:t>
            </w:r>
          </w:hyperlink>
          <w:r w:rsidR="00033D0F">
            <w:rPr>
              <w:smallCaps/>
            </w:rPr>
            <w:t xml:space="preserve"> </w:t>
          </w:r>
          <w:hyperlink w:anchor="_bookmark626" w:history="1">
            <w:r w:rsidR="00033D0F">
              <w:rPr>
                <w:smallCaps/>
              </w:rPr>
              <w:t>Agreement and Article VI:2 of the GATT 1994</w:t>
            </w:r>
            <w:r w:rsidR="00033D0F">
              <w:rPr>
                <w:smallCaps/>
              </w:rPr>
              <w:tab/>
            </w:r>
            <w:r w:rsidR="00033D0F">
              <w:rPr>
                <w:smallCaps/>
                <w:spacing w:val="-4"/>
              </w:rPr>
              <w:t>130</w:t>
            </w:r>
          </w:hyperlink>
        </w:p>
        <w:p w14:paraId="165B9E11" w14:textId="77777777" w:rsidR="00BD462C" w:rsidRDefault="00000000">
          <w:pPr>
            <w:pStyle w:val="TOC2"/>
            <w:numPr>
              <w:ilvl w:val="0"/>
              <w:numId w:val="67"/>
            </w:numPr>
            <w:tabs>
              <w:tab w:val="left" w:pos="985"/>
              <w:tab w:val="left" w:pos="986"/>
              <w:tab w:val="left" w:leader="dot" w:pos="8833"/>
            </w:tabs>
            <w:spacing w:before="177"/>
            <w:ind w:right="917"/>
          </w:pPr>
          <w:hyperlink w:anchor="_bookmark649" w:history="1">
            <w:r w:rsidR="00033D0F">
              <w:t>AUSTRALIA'S</w:t>
            </w:r>
            <w:r w:rsidR="00033D0F">
              <w:rPr>
                <w:spacing w:val="80"/>
                <w:w w:val="150"/>
              </w:rPr>
              <w:t xml:space="preserve"> </w:t>
            </w:r>
            <w:r w:rsidR="00033D0F">
              <w:t>CLAIMS</w:t>
            </w:r>
            <w:r w:rsidR="00033D0F">
              <w:rPr>
                <w:spacing w:val="80"/>
                <w:w w:val="150"/>
              </w:rPr>
              <w:t xml:space="preserve"> </w:t>
            </w:r>
            <w:r w:rsidR="00033D0F">
              <w:t>CONCERNING</w:t>
            </w:r>
            <w:r w:rsidR="00033D0F">
              <w:rPr>
                <w:spacing w:val="80"/>
              </w:rPr>
              <w:t xml:space="preserve"> </w:t>
            </w:r>
            <w:r w:rsidR="00033D0F">
              <w:t>MOFCOM'S</w:t>
            </w:r>
            <w:r w:rsidR="00033D0F">
              <w:rPr>
                <w:spacing w:val="80"/>
              </w:rPr>
              <w:t xml:space="preserve"> </w:t>
            </w:r>
            <w:r w:rsidR="00033D0F">
              <w:t>DEFINITION</w:t>
            </w:r>
            <w:r w:rsidR="00033D0F">
              <w:rPr>
                <w:spacing w:val="80"/>
              </w:rPr>
              <w:t xml:space="preserve"> </w:t>
            </w:r>
            <w:r w:rsidR="00033D0F">
              <w:t>OF</w:t>
            </w:r>
            <w:r w:rsidR="00033D0F">
              <w:rPr>
                <w:spacing w:val="80"/>
              </w:rPr>
              <w:t xml:space="preserve"> </w:t>
            </w:r>
            <w:r w:rsidR="00033D0F">
              <w:t>DOMESTIC</w:t>
            </w:r>
          </w:hyperlink>
          <w:r w:rsidR="00033D0F">
            <w:rPr>
              <w:spacing w:val="80"/>
            </w:rPr>
            <w:t xml:space="preserve"> </w:t>
          </w:r>
          <w:hyperlink w:anchor="_bookmark649" w:history="1">
            <w:r w:rsidR="00033D0F">
              <w:rPr>
                <w:spacing w:val="-2"/>
              </w:rPr>
              <w:t>INDUSTRY</w:t>
            </w:r>
            <w:r w:rsidR="00033D0F">
              <w:tab/>
            </w:r>
            <w:r w:rsidR="00033D0F">
              <w:rPr>
                <w:spacing w:val="-5"/>
              </w:rPr>
              <w:t>134</w:t>
            </w:r>
          </w:hyperlink>
        </w:p>
        <w:p w14:paraId="53CBB0E4" w14:textId="77777777" w:rsidR="00BD462C" w:rsidRDefault="00000000">
          <w:pPr>
            <w:pStyle w:val="TOC7"/>
            <w:numPr>
              <w:ilvl w:val="1"/>
              <w:numId w:val="67"/>
            </w:numPr>
            <w:tabs>
              <w:tab w:val="left" w:pos="1412"/>
              <w:tab w:val="left" w:pos="1413"/>
              <w:tab w:val="left" w:leader="dot" w:pos="8833"/>
            </w:tabs>
          </w:pPr>
          <w:hyperlink w:anchor="_bookmark650" w:history="1">
            <w:r w:rsidR="00033D0F">
              <w:rPr>
                <w:smallCaps/>
              </w:rPr>
              <w:t>China</w:t>
            </w:r>
            <w:r w:rsidR="00033D0F">
              <w:rPr>
                <w:smallCaps/>
                <w:spacing w:val="-5"/>
              </w:rPr>
              <w:t xml:space="preserve"> </w:t>
            </w:r>
            <w:r w:rsidR="00033D0F">
              <w:rPr>
                <w:smallCaps/>
              </w:rPr>
              <w:t>has</w:t>
            </w:r>
            <w:r w:rsidR="00033D0F">
              <w:rPr>
                <w:smallCaps/>
                <w:spacing w:val="-3"/>
              </w:rPr>
              <w:t xml:space="preserve"> </w:t>
            </w:r>
            <w:r w:rsidR="00033D0F">
              <w:rPr>
                <w:smallCaps/>
              </w:rPr>
              <w:t>breached</w:t>
            </w:r>
            <w:r w:rsidR="00033D0F">
              <w:rPr>
                <w:smallCaps/>
                <w:spacing w:val="-8"/>
              </w:rPr>
              <w:t xml:space="preserve"> </w:t>
            </w:r>
            <w:r w:rsidR="00033D0F">
              <w:rPr>
                <w:smallCaps/>
              </w:rPr>
              <w:t>Article 4.1</w:t>
            </w:r>
            <w:r w:rsidR="00033D0F">
              <w:rPr>
                <w:smallCaps/>
                <w:spacing w:val="-13"/>
              </w:rPr>
              <w:t xml:space="preserve"> </w:t>
            </w:r>
            <w:r w:rsidR="00033D0F">
              <w:rPr>
                <w:smallCaps/>
              </w:rPr>
              <w:t>of</w:t>
            </w:r>
            <w:r w:rsidR="00033D0F">
              <w:rPr>
                <w:smallCaps/>
                <w:spacing w:val="-4"/>
              </w:rPr>
              <w:t xml:space="preserve"> </w:t>
            </w:r>
            <w:r w:rsidR="00033D0F">
              <w:rPr>
                <w:smallCaps/>
              </w:rPr>
              <w:t>the Anti-Dumping</w:t>
            </w:r>
            <w:r w:rsidR="00033D0F">
              <w:rPr>
                <w:smallCaps/>
                <w:spacing w:val="-6"/>
              </w:rPr>
              <w:t xml:space="preserve"> </w:t>
            </w:r>
            <w:r w:rsidR="00033D0F">
              <w:rPr>
                <w:smallCaps/>
                <w:spacing w:val="-2"/>
              </w:rPr>
              <w:t>Agreement</w:t>
            </w:r>
            <w:r w:rsidR="00033D0F">
              <w:rPr>
                <w:smallCaps/>
              </w:rPr>
              <w:tab/>
            </w:r>
            <w:r w:rsidR="00033D0F">
              <w:rPr>
                <w:smallCaps/>
                <w:spacing w:val="-5"/>
              </w:rPr>
              <w:t>134</w:t>
            </w:r>
          </w:hyperlink>
        </w:p>
        <w:p w14:paraId="484DF5F1" w14:textId="77777777" w:rsidR="00BD462C" w:rsidRDefault="00000000">
          <w:pPr>
            <w:pStyle w:val="TOC8"/>
            <w:numPr>
              <w:ilvl w:val="2"/>
              <w:numId w:val="67"/>
            </w:numPr>
            <w:tabs>
              <w:tab w:val="left" w:pos="1835"/>
              <w:tab w:val="left" w:pos="1836"/>
              <w:tab w:val="left" w:leader="dot" w:pos="8833"/>
            </w:tabs>
            <w:spacing w:before="119"/>
            <w:ind w:hanging="851"/>
          </w:pPr>
          <w:hyperlink w:anchor="_bookmark651" w:history="1">
            <w:r w:rsidR="00033D0F">
              <w:rPr>
                <w:spacing w:val="-2"/>
              </w:rPr>
              <w:t>Introduction</w:t>
            </w:r>
            <w:r w:rsidR="00033D0F">
              <w:tab/>
            </w:r>
            <w:r w:rsidR="00033D0F">
              <w:rPr>
                <w:spacing w:val="-5"/>
              </w:rPr>
              <w:t>134</w:t>
            </w:r>
          </w:hyperlink>
        </w:p>
        <w:p w14:paraId="71E0F397" w14:textId="77777777" w:rsidR="00BD462C" w:rsidRDefault="00000000">
          <w:pPr>
            <w:pStyle w:val="TOC8"/>
            <w:numPr>
              <w:ilvl w:val="2"/>
              <w:numId w:val="67"/>
            </w:numPr>
            <w:tabs>
              <w:tab w:val="left" w:pos="1835"/>
              <w:tab w:val="left" w:pos="1836"/>
              <w:tab w:val="left" w:leader="dot" w:pos="8833"/>
            </w:tabs>
            <w:ind w:hanging="851"/>
          </w:pPr>
          <w:hyperlink w:anchor="_bookmark652" w:history="1">
            <w:r w:rsidR="00033D0F">
              <w:t>The</w:t>
            </w:r>
            <w:r w:rsidR="00033D0F">
              <w:rPr>
                <w:spacing w:val="-7"/>
              </w:rPr>
              <w:t xml:space="preserve"> </w:t>
            </w:r>
            <w:r w:rsidR="00033D0F">
              <w:t>interpretation</w:t>
            </w:r>
            <w:r w:rsidR="00033D0F">
              <w:rPr>
                <w:spacing w:val="-3"/>
              </w:rPr>
              <w:t xml:space="preserve"> </w:t>
            </w:r>
            <w:r w:rsidR="00033D0F">
              <w:t>of</w:t>
            </w:r>
            <w:r w:rsidR="00033D0F">
              <w:rPr>
                <w:spacing w:val="-3"/>
              </w:rPr>
              <w:t xml:space="preserve"> </w:t>
            </w:r>
            <w:r w:rsidR="00033D0F">
              <w:t>a</w:t>
            </w:r>
            <w:r w:rsidR="00033D0F">
              <w:rPr>
                <w:spacing w:val="-2"/>
              </w:rPr>
              <w:t xml:space="preserve"> </w:t>
            </w:r>
            <w:r w:rsidR="00033D0F">
              <w:t>"major</w:t>
            </w:r>
            <w:r w:rsidR="00033D0F">
              <w:rPr>
                <w:spacing w:val="-3"/>
              </w:rPr>
              <w:t xml:space="preserve"> </w:t>
            </w:r>
            <w:r w:rsidR="00033D0F">
              <w:t>proportion"</w:t>
            </w:r>
            <w:r w:rsidR="00033D0F">
              <w:rPr>
                <w:spacing w:val="-4"/>
              </w:rPr>
              <w:t xml:space="preserve"> </w:t>
            </w:r>
            <w:r w:rsidR="00033D0F">
              <w:t>of</w:t>
            </w:r>
            <w:r w:rsidR="00033D0F">
              <w:rPr>
                <w:spacing w:val="-3"/>
              </w:rPr>
              <w:t xml:space="preserve"> </w:t>
            </w:r>
            <w:r w:rsidR="00033D0F">
              <w:t>domestic</w:t>
            </w:r>
            <w:r w:rsidR="00033D0F">
              <w:rPr>
                <w:spacing w:val="-3"/>
              </w:rPr>
              <w:t xml:space="preserve"> </w:t>
            </w:r>
            <w:r w:rsidR="00033D0F">
              <w:rPr>
                <w:spacing w:val="-2"/>
              </w:rPr>
              <w:t>industry</w:t>
            </w:r>
            <w:r w:rsidR="00033D0F">
              <w:tab/>
            </w:r>
            <w:r w:rsidR="00033D0F">
              <w:rPr>
                <w:spacing w:val="-5"/>
              </w:rPr>
              <w:t>134</w:t>
            </w:r>
          </w:hyperlink>
        </w:p>
        <w:p w14:paraId="5DEDEE46" w14:textId="77777777" w:rsidR="00BD462C" w:rsidRDefault="00000000">
          <w:pPr>
            <w:pStyle w:val="TOC8"/>
            <w:numPr>
              <w:ilvl w:val="2"/>
              <w:numId w:val="67"/>
            </w:numPr>
            <w:tabs>
              <w:tab w:val="left" w:pos="1835"/>
              <w:tab w:val="left" w:pos="1836"/>
              <w:tab w:val="left" w:leader="dot" w:pos="8833"/>
            </w:tabs>
            <w:spacing w:line="244" w:lineRule="auto"/>
            <w:ind w:left="1840" w:right="918" w:hanging="855"/>
          </w:pPr>
          <w:hyperlink w:anchor="_bookmark656" w:history="1">
            <w:r w:rsidR="00033D0F">
              <w:t>MOFCOM's</w:t>
            </w:r>
            <w:r w:rsidR="00033D0F">
              <w:rPr>
                <w:spacing w:val="40"/>
              </w:rPr>
              <w:t xml:space="preserve"> </w:t>
            </w:r>
            <w:r w:rsidR="00033D0F">
              <w:t>estimate</w:t>
            </w:r>
            <w:r w:rsidR="00033D0F">
              <w:rPr>
                <w:spacing w:val="40"/>
              </w:rPr>
              <w:t xml:space="preserve"> </w:t>
            </w:r>
            <w:r w:rsidR="00033D0F">
              <w:t>of</w:t>
            </w:r>
            <w:r w:rsidR="00033D0F">
              <w:rPr>
                <w:spacing w:val="40"/>
              </w:rPr>
              <w:t xml:space="preserve"> </w:t>
            </w:r>
            <w:r w:rsidR="00033D0F">
              <w:t>total</w:t>
            </w:r>
            <w:r w:rsidR="00033D0F">
              <w:rPr>
                <w:spacing w:val="40"/>
              </w:rPr>
              <w:t xml:space="preserve"> </w:t>
            </w:r>
            <w:r w:rsidR="00033D0F">
              <w:t>domestic</w:t>
            </w:r>
            <w:r w:rsidR="00033D0F">
              <w:rPr>
                <w:spacing w:val="40"/>
              </w:rPr>
              <w:t xml:space="preserve"> </w:t>
            </w:r>
            <w:r w:rsidR="00033D0F">
              <w:t>production</w:t>
            </w:r>
            <w:r w:rsidR="00033D0F">
              <w:rPr>
                <w:spacing w:val="40"/>
              </w:rPr>
              <w:t xml:space="preserve"> </w:t>
            </w:r>
            <w:r w:rsidR="00033D0F">
              <w:t>does</w:t>
            </w:r>
            <w:r w:rsidR="00033D0F">
              <w:rPr>
                <w:spacing w:val="40"/>
              </w:rPr>
              <w:t xml:space="preserve"> </w:t>
            </w:r>
            <w:r w:rsidR="00033D0F">
              <w:t>not</w:t>
            </w:r>
            <w:r w:rsidR="00033D0F">
              <w:rPr>
                <w:spacing w:val="40"/>
              </w:rPr>
              <w:t xml:space="preserve"> </w:t>
            </w:r>
            <w:r w:rsidR="00033D0F">
              <w:t>constitute</w:t>
            </w:r>
          </w:hyperlink>
          <w:r w:rsidR="00033D0F">
            <w:t xml:space="preserve"> </w:t>
          </w:r>
          <w:hyperlink w:anchor="_bookmark656" w:history="1">
            <w:r w:rsidR="00033D0F">
              <w:t>positive evidence</w:t>
            </w:r>
            <w:r w:rsidR="00033D0F">
              <w:tab/>
            </w:r>
            <w:r w:rsidR="00033D0F">
              <w:rPr>
                <w:spacing w:val="-4"/>
              </w:rPr>
              <w:t>135</w:t>
            </w:r>
          </w:hyperlink>
        </w:p>
        <w:p w14:paraId="0BDAEE8A" w14:textId="77777777" w:rsidR="00BD462C" w:rsidRDefault="00000000">
          <w:pPr>
            <w:pStyle w:val="TOC8"/>
            <w:numPr>
              <w:ilvl w:val="2"/>
              <w:numId w:val="67"/>
            </w:numPr>
            <w:tabs>
              <w:tab w:val="left" w:pos="1835"/>
              <w:tab w:val="left" w:pos="1836"/>
              <w:tab w:val="left" w:leader="dot" w:pos="8833"/>
            </w:tabs>
            <w:spacing w:before="108" w:line="244" w:lineRule="auto"/>
            <w:ind w:left="1840" w:right="918" w:hanging="855"/>
          </w:pPr>
          <w:hyperlink w:anchor="_bookmark677" w:history="1">
            <w:r w:rsidR="00033D0F">
              <w:t>MOFCOM's</w:t>
            </w:r>
            <w:r w:rsidR="00033D0F">
              <w:rPr>
                <w:spacing w:val="-8"/>
              </w:rPr>
              <w:t xml:space="preserve"> </w:t>
            </w:r>
            <w:r w:rsidR="00033D0F">
              <w:t>process</w:t>
            </w:r>
            <w:r w:rsidR="00033D0F">
              <w:rPr>
                <w:spacing w:val="-8"/>
              </w:rPr>
              <w:t xml:space="preserve"> </w:t>
            </w:r>
            <w:r w:rsidR="00033D0F">
              <w:t>to</w:t>
            </w:r>
            <w:r w:rsidR="00033D0F">
              <w:rPr>
                <w:spacing w:val="-8"/>
              </w:rPr>
              <w:t xml:space="preserve"> </w:t>
            </w:r>
            <w:r w:rsidR="00033D0F">
              <w:t>define</w:t>
            </w:r>
            <w:r w:rsidR="00033D0F">
              <w:rPr>
                <w:spacing w:val="-10"/>
              </w:rPr>
              <w:t xml:space="preserve"> </w:t>
            </w:r>
            <w:r w:rsidR="00033D0F">
              <w:t>domestic</w:t>
            </w:r>
            <w:r w:rsidR="00033D0F">
              <w:rPr>
                <w:spacing w:val="-8"/>
              </w:rPr>
              <w:t xml:space="preserve"> </w:t>
            </w:r>
            <w:r w:rsidR="00033D0F">
              <w:t>industry</w:t>
            </w:r>
            <w:r w:rsidR="00033D0F">
              <w:rPr>
                <w:spacing w:val="-7"/>
              </w:rPr>
              <w:t xml:space="preserve"> </w:t>
            </w:r>
            <w:r w:rsidR="00033D0F">
              <w:t>gave</w:t>
            </w:r>
            <w:r w:rsidR="00033D0F">
              <w:rPr>
                <w:spacing w:val="-10"/>
              </w:rPr>
              <w:t xml:space="preserve"> </w:t>
            </w:r>
            <w:r w:rsidR="00033D0F">
              <w:t>rise</w:t>
            </w:r>
            <w:r w:rsidR="00033D0F">
              <w:rPr>
                <w:spacing w:val="-10"/>
              </w:rPr>
              <w:t xml:space="preserve"> </w:t>
            </w:r>
            <w:r w:rsidR="00033D0F">
              <w:t>to</w:t>
            </w:r>
            <w:r w:rsidR="00033D0F">
              <w:rPr>
                <w:spacing w:val="-8"/>
              </w:rPr>
              <w:t xml:space="preserve"> </w:t>
            </w:r>
            <w:r w:rsidR="00033D0F">
              <w:t>a</w:t>
            </w:r>
            <w:r w:rsidR="00033D0F">
              <w:rPr>
                <w:spacing w:val="-7"/>
              </w:rPr>
              <w:t xml:space="preserve"> </w:t>
            </w:r>
            <w:r w:rsidR="00033D0F">
              <w:t>material</w:t>
            </w:r>
            <w:r w:rsidR="00033D0F">
              <w:rPr>
                <w:spacing w:val="-10"/>
              </w:rPr>
              <w:t xml:space="preserve"> </w:t>
            </w:r>
            <w:r w:rsidR="00033D0F">
              <w:t>risk</w:t>
            </w:r>
          </w:hyperlink>
          <w:r w:rsidR="00033D0F">
            <w:t xml:space="preserve"> </w:t>
          </w:r>
          <w:hyperlink w:anchor="_bookmark677" w:history="1">
            <w:r w:rsidR="00033D0F">
              <w:t>of distortion</w:t>
            </w:r>
            <w:r w:rsidR="00033D0F">
              <w:tab/>
            </w:r>
            <w:r w:rsidR="00033D0F">
              <w:rPr>
                <w:spacing w:val="-4"/>
              </w:rPr>
              <w:t>139</w:t>
            </w:r>
          </w:hyperlink>
        </w:p>
        <w:p w14:paraId="68FDE851" w14:textId="77777777" w:rsidR="00BD462C" w:rsidRDefault="00000000">
          <w:pPr>
            <w:pStyle w:val="TOC8"/>
            <w:numPr>
              <w:ilvl w:val="2"/>
              <w:numId w:val="67"/>
            </w:numPr>
            <w:tabs>
              <w:tab w:val="left" w:pos="1835"/>
              <w:tab w:val="left" w:pos="1836"/>
            </w:tabs>
            <w:spacing w:before="108"/>
            <w:ind w:hanging="851"/>
            <w:rPr>
              <w:i/>
            </w:rPr>
          </w:pPr>
          <w:hyperlink w:anchor="_bookmark702" w:history="1">
            <w:r w:rsidR="00033D0F">
              <w:t>China's</w:t>
            </w:r>
            <w:r w:rsidR="00033D0F">
              <w:rPr>
                <w:spacing w:val="4"/>
              </w:rPr>
              <w:t xml:space="preserve"> </w:t>
            </w:r>
            <w:r w:rsidR="00033D0F">
              <w:t>argument</w:t>
            </w:r>
            <w:r w:rsidR="00033D0F">
              <w:rPr>
                <w:spacing w:val="9"/>
              </w:rPr>
              <w:t xml:space="preserve"> </w:t>
            </w:r>
            <w:r w:rsidR="00033D0F">
              <w:t>that</w:t>
            </w:r>
            <w:r w:rsidR="00033D0F">
              <w:rPr>
                <w:spacing w:val="10"/>
              </w:rPr>
              <w:t xml:space="preserve"> </w:t>
            </w:r>
            <w:r w:rsidR="00033D0F">
              <w:t>the</w:t>
            </w:r>
            <w:r w:rsidR="00033D0F">
              <w:rPr>
                <w:spacing w:val="10"/>
              </w:rPr>
              <w:t xml:space="preserve"> </w:t>
            </w:r>
            <w:r w:rsidR="00033D0F">
              <w:t>wine</w:t>
            </w:r>
            <w:r w:rsidR="00033D0F">
              <w:rPr>
                <w:spacing w:val="10"/>
              </w:rPr>
              <w:t xml:space="preserve"> </w:t>
            </w:r>
            <w:r w:rsidR="00033D0F">
              <w:t>industry</w:t>
            </w:r>
            <w:r w:rsidR="00033D0F">
              <w:rPr>
                <w:spacing w:val="13"/>
              </w:rPr>
              <w:t xml:space="preserve"> </w:t>
            </w:r>
            <w:r w:rsidR="00033D0F">
              <w:t>was</w:t>
            </w:r>
            <w:r w:rsidR="00033D0F">
              <w:rPr>
                <w:spacing w:val="11"/>
              </w:rPr>
              <w:t xml:space="preserve"> </w:t>
            </w:r>
            <w:r w:rsidR="00033D0F">
              <w:t>fragmented</w:t>
            </w:r>
            <w:r w:rsidR="00033D0F">
              <w:rPr>
                <w:spacing w:val="11"/>
              </w:rPr>
              <w:t xml:space="preserve"> </w:t>
            </w:r>
            <w:r w:rsidR="00033D0F">
              <w:t>is</w:t>
            </w:r>
            <w:r w:rsidR="00033D0F">
              <w:rPr>
                <w:spacing w:val="12"/>
              </w:rPr>
              <w:t xml:space="preserve"> </w:t>
            </w:r>
            <w:r w:rsidR="00033D0F">
              <w:rPr>
                <w:i/>
              </w:rPr>
              <w:t>ex</w:t>
            </w:r>
            <w:r w:rsidR="00033D0F">
              <w:rPr>
                <w:i/>
                <w:spacing w:val="11"/>
              </w:rPr>
              <w:t xml:space="preserve"> </w:t>
            </w:r>
            <w:r w:rsidR="00033D0F">
              <w:rPr>
                <w:i/>
              </w:rPr>
              <w:t>post</w:t>
            </w:r>
            <w:r w:rsidR="00033D0F">
              <w:rPr>
                <w:i/>
                <w:spacing w:val="10"/>
              </w:rPr>
              <w:t xml:space="preserve"> </w:t>
            </w:r>
            <w:r w:rsidR="00033D0F">
              <w:rPr>
                <w:i/>
                <w:spacing w:val="-2"/>
              </w:rPr>
              <w:t>facto</w:t>
            </w:r>
          </w:hyperlink>
        </w:p>
        <w:p w14:paraId="6FC65080" w14:textId="77777777" w:rsidR="00BD462C" w:rsidRDefault="00000000">
          <w:pPr>
            <w:tabs>
              <w:tab w:val="left" w:leader="dot" w:pos="8833"/>
            </w:tabs>
            <w:spacing w:before="5"/>
            <w:ind w:left="1840"/>
            <w:rPr>
              <w:b/>
              <w:sz w:val="24"/>
            </w:rPr>
          </w:pPr>
          <w:hyperlink w:anchor="_bookmark702" w:history="1">
            <w:proofErr w:type="spellStart"/>
            <w:r w:rsidR="00033D0F">
              <w:rPr>
                <w:b/>
                <w:sz w:val="24"/>
              </w:rPr>
              <w:t>rationalisation</w:t>
            </w:r>
            <w:proofErr w:type="spellEnd"/>
            <w:r w:rsidR="00033D0F">
              <w:rPr>
                <w:b/>
                <w:spacing w:val="-4"/>
                <w:sz w:val="24"/>
              </w:rPr>
              <w:t xml:space="preserve"> </w:t>
            </w:r>
            <w:r w:rsidR="00033D0F">
              <w:rPr>
                <w:b/>
                <w:sz w:val="24"/>
              </w:rPr>
              <w:t>and</w:t>
            </w:r>
            <w:r w:rsidR="00033D0F">
              <w:rPr>
                <w:b/>
                <w:spacing w:val="-3"/>
                <w:sz w:val="24"/>
              </w:rPr>
              <w:t xml:space="preserve"> </w:t>
            </w:r>
            <w:r w:rsidR="00033D0F">
              <w:rPr>
                <w:b/>
                <w:sz w:val="24"/>
              </w:rPr>
              <w:t>should</w:t>
            </w:r>
            <w:r w:rsidR="00033D0F">
              <w:rPr>
                <w:b/>
                <w:spacing w:val="-3"/>
                <w:sz w:val="24"/>
              </w:rPr>
              <w:t xml:space="preserve"> </w:t>
            </w:r>
            <w:r w:rsidR="00033D0F">
              <w:rPr>
                <w:b/>
                <w:sz w:val="24"/>
              </w:rPr>
              <w:t>be</w:t>
            </w:r>
            <w:r w:rsidR="00033D0F">
              <w:rPr>
                <w:b/>
                <w:spacing w:val="-4"/>
                <w:sz w:val="24"/>
              </w:rPr>
              <w:t xml:space="preserve"> </w:t>
            </w:r>
            <w:r w:rsidR="00033D0F">
              <w:rPr>
                <w:b/>
                <w:sz w:val="24"/>
              </w:rPr>
              <w:t>rejected</w:t>
            </w:r>
            <w:r w:rsidR="00033D0F">
              <w:rPr>
                <w:b/>
                <w:spacing w:val="-3"/>
                <w:sz w:val="24"/>
              </w:rPr>
              <w:t xml:space="preserve"> </w:t>
            </w:r>
            <w:r w:rsidR="00033D0F">
              <w:rPr>
                <w:b/>
                <w:sz w:val="24"/>
              </w:rPr>
              <w:t>by</w:t>
            </w:r>
            <w:r w:rsidR="00033D0F">
              <w:rPr>
                <w:b/>
                <w:spacing w:val="-3"/>
                <w:sz w:val="24"/>
              </w:rPr>
              <w:t xml:space="preserve"> </w:t>
            </w:r>
            <w:r w:rsidR="00033D0F">
              <w:rPr>
                <w:b/>
                <w:sz w:val="24"/>
              </w:rPr>
              <w:t>the</w:t>
            </w:r>
            <w:r w:rsidR="00033D0F">
              <w:rPr>
                <w:b/>
                <w:spacing w:val="-4"/>
                <w:sz w:val="24"/>
              </w:rPr>
              <w:t xml:space="preserve"> Panel</w:t>
            </w:r>
            <w:r w:rsidR="00033D0F">
              <w:rPr>
                <w:b/>
                <w:sz w:val="24"/>
              </w:rPr>
              <w:tab/>
            </w:r>
            <w:r w:rsidR="00033D0F">
              <w:rPr>
                <w:b/>
                <w:spacing w:val="-5"/>
                <w:sz w:val="24"/>
              </w:rPr>
              <w:t>144</w:t>
            </w:r>
          </w:hyperlink>
        </w:p>
        <w:p w14:paraId="260B3FFA" w14:textId="77777777" w:rsidR="00BD462C" w:rsidRDefault="00000000">
          <w:pPr>
            <w:pStyle w:val="TOC7"/>
            <w:numPr>
              <w:ilvl w:val="1"/>
              <w:numId w:val="67"/>
            </w:numPr>
            <w:tabs>
              <w:tab w:val="left" w:pos="1412"/>
              <w:tab w:val="left" w:pos="1413"/>
              <w:tab w:val="left" w:leader="dot" w:pos="8833"/>
            </w:tabs>
            <w:spacing w:before="119"/>
          </w:pPr>
          <w:hyperlink w:anchor="_bookmark703" w:history="1">
            <w:r w:rsidR="00033D0F">
              <w:rPr>
                <w:smallCaps/>
                <w:spacing w:val="-2"/>
              </w:rPr>
              <w:t>Conclusion</w:t>
            </w:r>
            <w:r w:rsidR="00033D0F">
              <w:rPr>
                <w:smallCaps/>
              </w:rPr>
              <w:tab/>
            </w:r>
            <w:r w:rsidR="00033D0F">
              <w:rPr>
                <w:smallCaps/>
                <w:spacing w:val="-5"/>
              </w:rPr>
              <w:t>144</w:t>
            </w:r>
          </w:hyperlink>
        </w:p>
        <w:p w14:paraId="18A22EDE" w14:textId="77777777" w:rsidR="00BD462C" w:rsidRDefault="00000000">
          <w:pPr>
            <w:pStyle w:val="TOC2"/>
            <w:numPr>
              <w:ilvl w:val="0"/>
              <w:numId w:val="67"/>
            </w:numPr>
            <w:tabs>
              <w:tab w:val="left" w:pos="985"/>
              <w:tab w:val="left" w:pos="986"/>
            </w:tabs>
            <w:spacing w:before="178"/>
            <w:ind w:hanging="851"/>
          </w:pPr>
          <w:hyperlink w:anchor="_bookmark709" w:history="1">
            <w:r w:rsidR="00033D0F">
              <w:t>AUSTRALIA'S</w:t>
            </w:r>
            <w:r w:rsidR="00033D0F">
              <w:rPr>
                <w:spacing w:val="-12"/>
              </w:rPr>
              <w:t xml:space="preserve"> </w:t>
            </w:r>
            <w:r w:rsidR="00033D0F">
              <w:t>CLAIMS</w:t>
            </w:r>
            <w:r w:rsidR="00033D0F">
              <w:rPr>
                <w:spacing w:val="-9"/>
              </w:rPr>
              <w:t xml:space="preserve"> </w:t>
            </w:r>
            <w:r w:rsidR="00033D0F">
              <w:t>CONCERNING</w:t>
            </w:r>
            <w:r w:rsidR="00033D0F">
              <w:rPr>
                <w:spacing w:val="-10"/>
              </w:rPr>
              <w:t xml:space="preserve"> </w:t>
            </w:r>
            <w:r w:rsidR="00033D0F">
              <w:t>THE</w:t>
            </w:r>
            <w:r w:rsidR="00033D0F">
              <w:rPr>
                <w:spacing w:val="-13"/>
              </w:rPr>
              <w:t xml:space="preserve"> </w:t>
            </w:r>
            <w:r w:rsidR="00033D0F">
              <w:t>INJURY</w:t>
            </w:r>
            <w:r w:rsidR="00033D0F">
              <w:rPr>
                <w:spacing w:val="-11"/>
              </w:rPr>
              <w:t xml:space="preserve"> </w:t>
            </w:r>
            <w:r w:rsidR="00033D0F">
              <w:t>AND</w:t>
            </w:r>
            <w:r w:rsidR="00033D0F">
              <w:rPr>
                <w:spacing w:val="-8"/>
              </w:rPr>
              <w:t xml:space="preserve"> </w:t>
            </w:r>
            <w:r w:rsidR="00033D0F">
              <w:t>CAUSATION</w:t>
            </w:r>
            <w:r w:rsidR="00033D0F">
              <w:rPr>
                <w:spacing w:val="-10"/>
              </w:rPr>
              <w:t xml:space="preserve"> </w:t>
            </w:r>
            <w:r w:rsidR="00033D0F">
              <w:rPr>
                <w:spacing w:val="-2"/>
              </w:rPr>
              <w:t>DETERMINATION</w:t>
            </w:r>
          </w:hyperlink>
        </w:p>
        <w:p w14:paraId="20ECB458" w14:textId="77777777" w:rsidR="00BD462C" w:rsidRDefault="00000000">
          <w:pPr>
            <w:tabs>
              <w:tab w:val="left" w:leader="dot" w:pos="8833"/>
            </w:tabs>
            <w:ind w:left="1028"/>
            <w:rPr>
              <w:b/>
              <w:sz w:val="24"/>
            </w:rPr>
          </w:pPr>
          <w:hyperlink w:anchor="_bookmark709" w:history="1">
            <w:r w:rsidR="00033D0F">
              <w:rPr>
                <w:b/>
                <w:spacing w:val="-10"/>
                <w:sz w:val="24"/>
              </w:rPr>
              <w:t>.</w:t>
            </w:r>
            <w:r w:rsidR="00033D0F">
              <w:rPr>
                <w:b/>
                <w:sz w:val="24"/>
              </w:rPr>
              <w:tab/>
            </w:r>
            <w:r w:rsidR="00033D0F">
              <w:rPr>
                <w:b/>
                <w:spacing w:val="-5"/>
                <w:sz w:val="24"/>
              </w:rPr>
              <w:t>145</w:t>
            </w:r>
          </w:hyperlink>
        </w:p>
        <w:p w14:paraId="33CF6890" w14:textId="77777777" w:rsidR="00BD462C" w:rsidRDefault="00000000">
          <w:pPr>
            <w:pStyle w:val="TOC7"/>
            <w:numPr>
              <w:ilvl w:val="1"/>
              <w:numId w:val="67"/>
            </w:numPr>
            <w:tabs>
              <w:tab w:val="left" w:pos="1412"/>
              <w:tab w:val="left" w:pos="1413"/>
              <w:tab w:val="left" w:leader="dot" w:pos="8833"/>
            </w:tabs>
          </w:pPr>
          <w:hyperlink w:anchor="_bookmark710" w:history="1">
            <w:r w:rsidR="00033D0F">
              <w:rPr>
                <w:smallCaps/>
                <w:spacing w:val="-2"/>
              </w:rPr>
              <w:t>Introduction</w:t>
            </w:r>
            <w:r w:rsidR="00033D0F">
              <w:rPr>
                <w:smallCaps/>
              </w:rPr>
              <w:tab/>
            </w:r>
            <w:r w:rsidR="00033D0F">
              <w:rPr>
                <w:smallCaps/>
                <w:spacing w:val="-5"/>
              </w:rPr>
              <w:t>145</w:t>
            </w:r>
          </w:hyperlink>
        </w:p>
        <w:p w14:paraId="36EB38ED" w14:textId="77777777" w:rsidR="00BD462C" w:rsidRDefault="00000000">
          <w:pPr>
            <w:pStyle w:val="TOC7"/>
            <w:numPr>
              <w:ilvl w:val="1"/>
              <w:numId w:val="67"/>
            </w:numPr>
            <w:tabs>
              <w:tab w:val="left" w:pos="1412"/>
              <w:tab w:val="left" w:pos="1413"/>
              <w:tab w:val="left" w:leader="dot" w:pos="8833"/>
            </w:tabs>
            <w:spacing w:before="119"/>
            <w:ind w:right="922"/>
          </w:pPr>
          <w:hyperlink w:anchor="_bookmark717" w:history="1">
            <w:proofErr w:type="gramStart"/>
            <w:r w:rsidR="00033D0F">
              <w:rPr>
                <w:smallCaps/>
              </w:rPr>
              <w:t>China</w:t>
            </w:r>
            <w:r w:rsidR="00033D0F">
              <w:rPr>
                <w:smallCaps/>
                <w:spacing w:val="-4"/>
              </w:rPr>
              <w:t xml:space="preserve"> </w:t>
            </w:r>
            <w:r w:rsidR="00033D0F">
              <w:rPr>
                <w:smallCaps/>
                <w:spacing w:val="-16"/>
              </w:rPr>
              <w:t xml:space="preserve"> </w:t>
            </w:r>
            <w:r w:rsidR="00033D0F">
              <w:rPr>
                <w:smallCaps/>
              </w:rPr>
              <w:t>acted</w:t>
            </w:r>
            <w:proofErr w:type="gramEnd"/>
            <w:r w:rsidR="00033D0F">
              <w:rPr>
                <w:smallCaps/>
                <w:spacing w:val="-1"/>
              </w:rPr>
              <w:t xml:space="preserve"> </w:t>
            </w:r>
            <w:r w:rsidR="00033D0F">
              <w:rPr>
                <w:smallCaps/>
                <w:spacing w:val="-20"/>
              </w:rPr>
              <w:t xml:space="preserve"> </w:t>
            </w:r>
            <w:r w:rsidR="00033D0F">
              <w:rPr>
                <w:smallCaps/>
              </w:rPr>
              <w:t>inconsistently</w:t>
            </w:r>
            <w:r w:rsidR="00033D0F">
              <w:rPr>
                <w:smallCaps/>
                <w:spacing w:val="-1"/>
              </w:rPr>
              <w:t xml:space="preserve"> </w:t>
            </w:r>
            <w:r w:rsidR="00033D0F">
              <w:rPr>
                <w:smallCaps/>
                <w:spacing w:val="-13"/>
              </w:rPr>
              <w:t xml:space="preserve"> </w:t>
            </w:r>
            <w:r w:rsidR="00033D0F">
              <w:rPr>
                <w:smallCaps/>
              </w:rPr>
              <w:t>with</w:t>
            </w:r>
            <w:r w:rsidR="00033D0F">
              <w:rPr>
                <w:smallCaps/>
                <w:spacing w:val="-1"/>
              </w:rPr>
              <w:t xml:space="preserve"> </w:t>
            </w:r>
            <w:r w:rsidR="00033D0F">
              <w:rPr>
                <w:smallCaps/>
                <w:spacing w:val="-20"/>
              </w:rPr>
              <w:t xml:space="preserve"> </w:t>
            </w:r>
            <w:r w:rsidR="00033D0F">
              <w:rPr>
                <w:smallCaps/>
              </w:rPr>
              <w:t>Article</w:t>
            </w:r>
            <w:r w:rsidR="00033D0F">
              <w:rPr>
                <w:smallCaps/>
                <w:spacing w:val="-1"/>
              </w:rPr>
              <w:t xml:space="preserve"> </w:t>
            </w:r>
            <w:r w:rsidR="00033D0F">
              <w:rPr>
                <w:smallCaps/>
                <w:spacing w:val="-12"/>
              </w:rPr>
              <w:t xml:space="preserve"> </w:t>
            </w:r>
            <w:r w:rsidR="00033D0F">
              <w:rPr>
                <w:smallCaps/>
              </w:rPr>
              <w:t>3.1</w:t>
            </w:r>
            <w:r w:rsidR="00033D0F">
              <w:rPr>
                <w:smallCaps/>
                <w:spacing w:val="15"/>
              </w:rPr>
              <w:t xml:space="preserve"> </w:t>
            </w:r>
            <w:r w:rsidR="00033D0F">
              <w:rPr>
                <w:smallCaps/>
              </w:rPr>
              <w:t>and</w:t>
            </w:r>
            <w:r w:rsidR="00033D0F">
              <w:rPr>
                <w:smallCaps/>
                <w:spacing w:val="-1"/>
              </w:rPr>
              <w:t xml:space="preserve"> </w:t>
            </w:r>
            <w:r w:rsidR="00033D0F">
              <w:rPr>
                <w:smallCaps/>
                <w:spacing w:val="-15"/>
              </w:rPr>
              <w:t xml:space="preserve"> </w:t>
            </w:r>
            <w:r w:rsidR="00033D0F">
              <w:rPr>
                <w:smallCaps/>
              </w:rPr>
              <w:t>Article</w:t>
            </w:r>
            <w:r w:rsidR="00033D0F">
              <w:rPr>
                <w:smallCaps/>
                <w:spacing w:val="-1"/>
              </w:rPr>
              <w:t xml:space="preserve"> </w:t>
            </w:r>
            <w:r w:rsidR="00033D0F">
              <w:rPr>
                <w:smallCaps/>
                <w:spacing w:val="-12"/>
              </w:rPr>
              <w:t xml:space="preserve"> </w:t>
            </w:r>
            <w:r w:rsidR="00033D0F">
              <w:rPr>
                <w:smallCaps/>
              </w:rPr>
              <w:t>3.2</w:t>
            </w:r>
            <w:r w:rsidR="00033D0F">
              <w:rPr>
                <w:smallCaps/>
                <w:spacing w:val="15"/>
              </w:rPr>
              <w:t xml:space="preserve"> </w:t>
            </w:r>
            <w:r w:rsidR="00033D0F">
              <w:rPr>
                <w:smallCaps/>
              </w:rPr>
              <w:t>of</w:t>
            </w:r>
            <w:r w:rsidR="00033D0F">
              <w:rPr>
                <w:smallCaps/>
                <w:spacing w:val="-1"/>
              </w:rPr>
              <w:t xml:space="preserve"> </w:t>
            </w:r>
            <w:r w:rsidR="00033D0F">
              <w:rPr>
                <w:smallCaps/>
                <w:spacing w:val="-16"/>
              </w:rPr>
              <w:t xml:space="preserve"> </w:t>
            </w:r>
            <w:r w:rsidR="00033D0F">
              <w:rPr>
                <w:smallCaps/>
              </w:rPr>
              <w:t>the</w:t>
            </w:r>
            <w:r w:rsidR="00033D0F">
              <w:rPr>
                <w:smallCaps/>
                <w:spacing w:val="-1"/>
              </w:rPr>
              <w:t xml:space="preserve"> </w:t>
            </w:r>
            <w:r w:rsidR="00033D0F">
              <w:rPr>
                <w:smallCaps/>
                <w:spacing w:val="-12"/>
              </w:rPr>
              <w:t xml:space="preserve"> </w:t>
            </w:r>
            <w:r w:rsidR="00033D0F">
              <w:rPr>
                <w:smallCaps/>
              </w:rPr>
              <w:t>Anti-Dumping</w:t>
            </w:r>
          </w:hyperlink>
          <w:r w:rsidR="00033D0F">
            <w:rPr>
              <w:smallCaps/>
            </w:rPr>
            <w:t xml:space="preserve"> </w:t>
          </w:r>
          <w:hyperlink w:anchor="_bookmark717" w:history="1">
            <w:r w:rsidR="00033D0F">
              <w:rPr>
                <w:smallCaps/>
                <w:spacing w:val="-2"/>
              </w:rPr>
              <w:t>Agreement</w:t>
            </w:r>
            <w:r w:rsidR="00033D0F">
              <w:rPr>
                <w:smallCaps/>
              </w:rPr>
              <w:tab/>
            </w:r>
            <w:r w:rsidR="00033D0F">
              <w:rPr>
                <w:smallCaps/>
                <w:spacing w:val="-5"/>
              </w:rPr>
              <w:t>147</w:t>
            </w:r>
          </w:hyperlink>
        </w:p>
        <w:p w14:paraId="78F3A30D" w14:textId="77777777" w:rsidR="00BD462C" w:rsidRDefault="00000000">
          <w:pPr>
            <w:pStyle w:val="TOC8"/>
            <w:numPr>
              <w:ilvl w:val="2"/>
              <w:numId w:val="67"/>
            </w:numPr>
            <w:tabs>
              <w:tab w:val="left" w:pos="1835"/>
              <w:tab w:val="left" w:pos="1836"/>
              <w:tab w:val="left" w:leader="dot" w:pos="8833"/>
            </w:tabs>
            <w:ind w:hanging="851"/>
          </w:pPr>
          <w:hyperlink w:anchor="_bookmark718" w:history="1">
            <w:r w:rsidR="00033D0F">
              <w:rPr>
                <w:spacing w:val="-2"/>
              </w:rPr>
              <w:t>Introduction</w:t>
            </w:r>
            <w:r w:rsidR="00033D0F">
              <w:tab/>
            </w:r>
            <w:r w:rsidR="00033D0F">
              <w:rPr>
                <w:spacing w:val="-5"/>
              </w:rPr>
              <w:t>147</w:t>
            </w:r>
          </w:hyperlink>
        </w:p>
        <w:p w14:paraId="35C32A73" w14:textId="77777777" w:rsidR="00BD462C" w:rsidRDefault="00000000">
          <w:pPr>
            <w:pStyle w:val="TOC8"/>
            <w:numPr>
              <w:ilvl w:val="2"/>
              <w:numId w:val="67"/>
            </w:numPr>
            <w:tabs>
              <w:tab w:val="left" w:pos="1835"/>
              <w:tab w:val="left" w:pos="1836"/>
              <w:tab w:val="left" w:leader="dot" w:pos="8833"/>
            </w:tabs>
            <w:ind w:hanging="851"/>
          </w:pPr>
          <w:hyperlink w:anchor="_bookmark722" w:history="1">
            <w:r w:rsidR="00033D0F">
              <w:t>MOFCOM</w:t>
            </w:r>
            <w:r w:rsidR="00033D0F">
              <w:rPr>
                <w:spacing w:val="-5"/>
              </w:rPr>
              <w:t xml:space="preserve"> </w:t>
            </w:r>
            <w:r w:rsidR="00033D0F">
              <w:t>calculated</w:t>
            </w:r>
            <w:r w:rsidR="00033D0F">
              <w:rPr>
                <w:spacing w:val="-2"/>
              </w:rPr>
              <w:t xml:space="preserve"> </w:t>
            </w:r>
            <w:r w:rsidR="00033D0F">
              <w:t>and</w:t>
            </w:r>
            <w:r w:rsidR="00033D0F">
              <w:rPr>
                <w:spacing w:val="-2"/>
              </w:rPr>
              <w:t xml:space="preserve"> </w:t>
            </w:r>
            <w:r w:rsidR="00033D0F">
              <w:t>compared</w:t>
            </w:r>
            <w:r w:rsidR="00033D0F">
              <w:rPr>
                <w:spacing w:val="-2"/>
              </w:rPr>
              <w:t xml:space="preserve"> </w:t>
            </w:r>
            <w:r w:rsidR="00033D0F">
              <w:t>prices</w:t>
            </w:r>
            <w:r w:rsidR="00033D0F">
              <w:rPr>
                <w:spacing w:val="-3"/>
              </w:rPr>
              <w:t xml:space="preserve"> </w:t>
            </w:r>
            <w:r w:rsidR="00033D0F">
              <w:t>that</w:t>
            </w:r>
            <w:r w:rsidR="00033D0F">
              <w:rPr>
                <w:spacing w:val="-5"/>
              </w:rPr>
              <w:t xml:space="preserve"> </w:t>
            </w:r>
            <w:r w:rsidR="00033D0F">
              <w:t>were</w:t>
            </w:r>
            <w:r w:rsidR="00033D0F">
              <w:rPr>
                <w:spacing w:val="-4"/>
              </w:rPr>
              <w:t xml:space="preserve"> </w:t>
            </w:r>
            <w:r w:rsidR="00033D0F">
              <w:t>not</w:t>
            </w:r>
            <w:r w:rsidR="00033D0F">
              <w:rPr>
                <w:spacing w:val="-4"/>
              </w:rPr>
              <w:t xml:space="preserve"> </w:t>
            </w:r>
            <w:r w:rsidR="00033D0F">
              <w:rPr>
                <w:spacing w:val="-2"/>
              </w:rPr>
              <w:t>comparable</w:t>
            </w:r>
            <w:r w:rsidR="00033D0F">
              <w:tab/>
            </w:r>
            <w:r w:rsidR="00033D0F">
              <w:rPr>
                <w:spacing w:val="-5"/>
              </w:rPr>
              <w:t>148</w:t>
            </w:r>
          </w:hyperlink>
        </w:p>
        <w:p w14:paraId="1B405A04" w14:textId="77777777" w:rsidR="00BD462C" w:rsidRDefault="00000000">
          <w:pPr>
            <w:pStyle w:val="TOC8"/>
            <w:numPr>
              <w:ilvl w:val="2"/>
              <w:numId w:val="67"/>
            </w:numPr>
            <w:tabs>
              <w:tab w:val="left" w:pos="1835"/>
              <w:tab w:val="left" w:pos="1836"/>
              <w:tab w:val="left" w:leader="dot" w:pos="8833"/>
            </w:tabs>
            <w:ind w:left="1840" w:right="919" w:hanging="855"/>
          </w:pPr>
          <w:hyperlink w:anchor="_bookmark817" w:history="1">
            <w:r w:rsidR="00033D0F">
              <w:t>MOFCOM</w:t>
            </w:r>
            <w:r w:rsidR="00033D0F">
              <w:rPr>
                <w:spacing w:val="-7"/>
              </w:rPr>
              <w:t xml:space="preserve"> </w:t>
            </w:r>
            <w:r w:rsidR="00033D0F">
              <w:t>did</w:t>
            </w:r>
            <w:r w:rsidR="00033D0F">
              <w:rPr>
                <w:spacing w:val="-8"/>
              </w:rPr>
              <w:t xml:space="preserve"> </w:t>
            </w:r>
            <w:r w:rsidR="00033D0F">
              <w:t>not</w:t>
            </w:r>
            <w:r w:rsidR="00033D0F">
              <w:rPr>
                <w:spacing w:val="-10"/>
              </w:rPr>
              <w:t xml:space="preserve"> </w:t>
            </w:r>
            <w:r w:rsidR="00033D0F">
              <w:t>consider</w:t>
            </w:r>
            <w:r w:rsidR="00033D0F">
              <w:rPr>
                <w:spacing w:val="-3"/>
              </w:rPr>
              <w:t xml:space="preserve"> </w:t>
            </w:r>
            <w:r w:rsidR="00033D0F">
              <w:t>whether</w:t>
            </w:r>
            <w:r w:rsidR="00033D0F">
              <w:rPr>
                <w:spacing w:val="-3"/>
              </w:rPr>
              <w:t xml:space="preserve"> </w:t>
            </w:r>
            <w:r w:rsidR="00033D0F">
              <w:t>the</w:t>
            </w:r>
            <w:r w:rsidR="00033D0F">
              <w:rPr>
                <w:spacing w:val="-5"/>
              </w:rPr>
              <w:t xml:space="preserve"> </w:t>
            </w:r>
            <w:r w:rsidR="00033D0F">
              <w:t>price</w:t>
            </w:r>
            <w:r w:rsidR="00033D0F">
              <w:rPr>
                <w:spacing w:val="-10"/>
              </w:rPr>
              <w:t xml:space="preserve"> </w:t>
            </w:r>
            <w:r w:rsidR="00033D0F">
              <w:t>suppression</w:t>
            </w:r>
            <w:r w:rsidR="00033D0F">
              <w:rPr>
                <w:spacing w:val="-8"/>
              </w:rPr>
              <w:t xml:space="preserve"> </w:t>
            </w:r>
            <w:r w:rsidR="00033D0F">
              <w:t>it</w:t>
            </w:r>
            <w:r w:rsidR="00033D0F">
              <w:rPr>
                <w:spacing w:val="-6"/>
              </w:rPr>
              <w:t xml:space="preserve"> </w:t>
            </w:r>
            <w:r w:rsidR="00033D0F">
              <w:t>identified</w:t>
            </w:r>
            <w:r w:rsidR="00033D0F">
              <w:rPr>
                <w:spacing w:val="-8"/>
              </w:rPr>
              <w:t xml:space="preserve"> </w:t>
            </w:r>
            <w:r w:rsidR="00033D0F">
              <w:t>was</w:t>
            </w:r>
          </w:hyperlink>
          <w:r w:rsidR="00033D0F">
            <w:t xml:space="preserve"> </w:t>
          </w:r>
          <w:hyperlink w:anchor="_bookmark817" w:history="1">
            <w:r w:rsidR="00033D0F">
              <w:rPr>
                <w:spacing w:val="-2"/>
              </w:rPr>
              <w:t>significant</w:t>
            </w:r>
            <w:r w:rsidR="00033D0F">
              <w:tab/>
            </w:r>
            <w:r w:rsidR="00033D0F">
              <w:rPr>
                <w:spacing w:val="-4"/>
              </w:rPr>
              <w:t>165</w:t>
            </w:r>
          </w:hyperlink>
        </w:p>
        <w:p w14:paraId="0ECA15EF" w14:textId="77777777" w:rsidR="00BD462C" w:rsidRDefault="00000000">
          <w:pPr>
            <w:pStyle w:val="TOC8"/>
            <w:numPr>
              <w:ilvl w:val="2"/>
              <w:numId w:val="67"/>
            </w:numPr>
            <w:tabs>
              <w:tab w:val="left" w:pos="1835"/>
              <w:tab w:val="left" w:pos="1836"/>
              <w:tab w:val="left" w:leader="dot" w:pos="8833"/>
            </w:tabs>
            <w:spacing w:before="119" w:line="244" w:lineRule="auto"/>
            <w:ind w:left="1840" w:right="914" w:hanging="855"/>
          </w:pPr>
          <w:hyperlink w:anchor="_bookmark822" w:history="1">
            <w:r w:rsidR="00033D0F">
              <w:t>MOFCOM</w:t>
            </w:r>
            <w:r w:rsidR="00033D0F">
              <w:rPr>
                <w:spacing w:val="-2"/>
              </w:rPr>
              <w:t xml:space="preserve"> </w:t>
            </w:r>
            <w:r w:rsidR="00033D0F">
              <w:t>did</w:t>
            </w:r>
            <w:r w:rsidR="00033D0F">
              <w:rPr>
                <w:spacing w:val="-2"/>
              </w:rPr>
              <w:t xml:space="preserve"> </w:t>
            </w:r>
            <w:r w:rsidR="00033D0F">
              <w:t>not</w:t>
            </w:r>
            <w:r w:rsidR="00033D0F">
              <w:rPr>
                <w:spacing w:val="-5"/>
              </w:rPr>
              <w:t xml:space="preserve"> </w:t>
            </w:r>
            <w:r w:rsidR="00033D0F">
              <w:t>establish</w:t>
            </w:r>
            <w:r w:rsidR="00033D0F">
              <w:rPr>
                <w:spacing w:val="-2"/>
              </w:rPr>
              <w:t xml:space="preserve"> </w:t>
            </w:r>
            <w:r w:rsidR="00033D0F">
              <w:t>that subject imports had</w:t>
            </w:r>
            <w:r w:rsidR="00033D0F">
              <w:rPr>
                <w:spacing w:val="-2"/>
              </w:rPr>
              <w:t xml:space="preserve"> </w:t>
            </w:r>
            <w:r w:rsidR="00033D0F">
              <w:t>explanatory</w:t>
            </w:r>
            <w:r w:rsidR="00033D0F">
              <w:rPr>
                <w:spacing w:val="-1"/>
              </w:rPr>
              <w:t xml:space="preserve"> </w:t>
            </w:r>
            <w:r w:rsidR="00033D0F">
              <w:t>force</w:t>
            </w:r>
            <w:r w:rsidR="00033D0F">
              <w:rPr>
                <w:spacing w:val="-4"/>
              </w:rPr>
              <w:t xml:space="preserve"> </w:t>
            </w:r>
            <w:r w:rsidR="00033D0F">
              <w:t>for</w:t>
            </w:r>
          </w:hyperlink>
          <w:r w:rsidR="00033D0F">
            <w:t xml:space="preserve"> </w:t>
          </w:r>
          <w:hyperlink w:anchor="_bookmark822" w:history="1">
            <w:r w:rsidR="00033D0F">
              <w:t>the alleged price suppression</w:t>
            </w:r>
            <w:r w:rsidR="00033D0F">
              <w:tab/>
            </w:r>
            <w:r w:rsidR="00033D0F">
              <w:rPr>
                <w:spacing w:val="-4"/>
              </w:rPr>
              <w:t>166</w:t>
            </w:r>
          </w:hyperlink>
        </w:p>
        <w:p w14:paraId="79B83A6D" w14:textId="77777777" w:rsidR="00BD462C" w:rsidRDefault="00000000">
          <w:pPr>
            <w:pStyle w:val="TOC8"/>
            <w:numPr>
              <w:ilvl w:val="2"/>
              <w:numId w:val="67"/>
            </w:numPr>
            <w:tabs>
              <w:tab w:val="left" w:pos="1835"/>
              <w:tab w:val="left" w:pos="1836"/>
              <w:tab w:val="left" w:leader="dot" w:pos="8833"/>
            </w:tabs>
            <w:spacing w:before="108" w:line="244" w:lineRule="auto"/>
            <w:ind w:left="1840" w:right="919" w:hanging="855"/>
          </w:pPr>
          <w:hyperlink w:anchor="_bookmark865" w:history="1">
            <w:r w:rsidR="00033D0F">
              <w:t>The</w:t>
            </w:r>
            <w:r w:rsidR="00033D0F">
              <w:rPr>
                <w:spacing w:val="-8"/>
              </w:rPr>
              <w:t xml:space="preserve"> </w:t>
            </w:r>
            <w:r w:rsidR="00033D0F">
              <w:t>annual</w:t>
            </w:r>
            <w:r w:rsidR="00033D0F">
              <w:rPr>
                <w:spacing w:val="-9"/>
              </w:rPr>
              <w:t xml:space="preserve"> </w:t>
            </w:r>
            <w:r w:rsidR="00033D0F">
              <w:t>average</w:t>
            </w:r>
            <w:r w:rsidR="00033D0F">
              <w:rPr>
                <w:spacing w:val="-9"/>
              </w:rPr>
              <w:t xml:space="preserve"> </w:t>
            </w:r>
            <w:r w:rsidR="00033D0F">
              <w:t>unit</w:t>
            </w:r>
            <w:r w:rsidR="00033D0F">
              <w:rPr>
                <w:spacing w:val="-9"/>
              </w:rPr>
              <w:t xml:space="preserve"> </w:t>
            </w:r>
            <w:r w:rsidR="00033D0F">
              <w:t>values</w:t>
            </w:r>
            <w:r w:rsidR="00033D0F">
              <w:rPr>
                <w:spacing w:val="-7"/>
              </w:rPr>
              <w:t xml:space="preserve"> </w:t>
            </w:r>
            <w:r w:rsidR="00033D0F">
              <w:t>calculated</w:t>
            </w:r>
            <w:r w:rsidR="00033D0F">
              <w:rPr>
                <w:spacing w:val="-7"/>
              </w:rPr>
              <w:t xml:space="preserve"> </w:t>
            </w:r>
            <w:r w:rsidR="00033D0F">
              <w:t>by</w:t>
            </w:r>
            <w:r w:rsidR="00033D0F">
              <w:rPr>
                <w:spacing w:val="-6"/>
              </w:rPr>
              <w:t xml:space="preserve"> </w:t>
            </w:r>
            <w:r w:rsidR="00033D0F">
              <w:t>MOFCOM</w:t>
            </w:r>
            <w:r w:rsidR="00033D0F">
              <w:rPr>
                <w:spacing w:val="-6"/>
              </w:rPr>
              <w:t xml:space="preserve"> </w:t>
            </w:r>
            <w:r w:rsidR="00033D0F">
              <w:t>were</w:t>
            </w:r>
            <w:r w:rsidR="00033D0F">
              <w:rPr>
                <w:spacing w:val="-9"/>
              </w:rPr>
              <w:t xml:space="preserve"> </w:t>
            </w:r>
            <w:r w:rsidR="00033D0F">
              <w:t>not</w:t>
            </w:r>
            <w:r w:rsidR="00033D0F">
              <w:rPr>
                <w:spacing w:val="-9"/>
              </w:rPr>
              <w:t xml:space="preserve"> </w:t>
            </w:r>
            <w:r w:rsidR="00033D0F">
              <w:t>based</w:t>
            </w:r>
            <w:r w:rsidR="00033D0F">
              <w:rPr>
                <w:spacing w:val="-7"/>
              </w:rPr>
              <w:t xml:space="preserve"> </w:t>
            </w:r>
            <w:r w:rsidR="00033D0F">
              <w:t>on</w:t>
            </w:r>
          </w:hyperlink>
          <w:r w:rsidR="00033D0F">
            <w:t xml:space="preserve"> </w:t>
          </w:r>
          <w:hyperlink w:anchor="_bookmark865" w:history="1">
            <w:r w:rsidR="00033D0F">
              <w:t>positive</w:t>
            </w:r>
            <w:r w:rsidR="00033D0F">
              <w:rPr>
                <w:spacing w:val="-8"/>
              </w:rPr>
              <w:t xml:space="preserve"> </w:t>
            </w:r>
            <w:r w:rsidR="00033D0F">
              <w:rPr>
                <w:spacing w:val="-2"/>
              </w:rPr>
              <w:t>evidence</w:t>
            </w:r>
            <w:r w:rsidR="00033D0F">
              <w:tab/>
            </w:r>
            <w:r w:rsidR="00033D0F">
              <w:rPr>
                <w:spacing w:val="-5"/>
              </w:rPr>
              <w:t>174</w:t>
            </w:r>
          </w:hyperlink>
        </w:p>
        <w:p w14:paraId="2BA6682D" w14:textId="77777777" w:rsidR="00BD462C" w:rsidRDefault="00000000">
          <w:pPr>
            <w:pStyle w:val="TOC8"/>
            <w:numPr>
              <w:ilvl w:val="2"/>
              <w:numId w:val="67"/>
            </w:numPr>
            <w:tabs>
              <w:tab w:val="left" w:pos="1835"/>
              <w:tab w:val="left" w:pos="1836"/>
              <w:tab w:val="left" w:leader="dot" w:pos="8833"/>
            </w:tabs>
            <w:spacing w:before="113"/>
            <w:ind w:hanging="851"/>
          </w:pPr>
          <w:hyperlink w:anchor="_bookmark878" w:history="1">
            <w:r w:rsidR="00033D0F">
              <w:rPr>
                <w:spacing w:val="-2"/>
              </w:rPr>
              <w:t>Conclusion</w:t>
            </w:r>
            <w:r w:rsidR="00033D0F">
              <w:tab/>
            </w:r>
            <w:r w:rsidR="00033D0F">
              <w:rPr>
                <w:spacing w:val="-5"/>
              </w:rPr>
              <w:t>177</w:t>
            </w:r>
          </w:hyperlink>
        </w:p>
        <w:p w14:paraId="29F75480" w14:textId="77777777" w:rsidR="00BD462C" w:rsidRDefault="00000000">
          <w:pPr>
            <w:pStyle w:val="TOC7"/>
            <w:numPr>
              <w:ilvl w:val="1"/>
              <w:numId w:val="67"/>
            </w:numPr>
            <w:tabs>
              <w:tab w:val="left" w:pos="1412"/>
              <w:tab w:val="left" w:pos="1413"/>
              <w:tab w:val="left" w:leader="dot" w:pos="8833"/>
            </w:tabs>
            <w:ind w:right="922"/>
          </w:pPr>
          <w:hyperlink w:anchor="_bookmark879" w:history="1">
            <w:proofErr w:type="gramStart"/>
            <w:r w:rsidR="00033D0F">
              <w:rPr>
                <w:smallCaps/>
              </w:rPr>
              <w:t>China</w:t>
            </w:r>
            <w:r w:rsidR="00033D0F">
              <w:rPr>
                <w:smallCaps/>
                <w:spacing w:val="40"/>
              </w:rPr>
              <w:t xml:space="preserve"> </w:t>
            </w:r>
            <w:r w:rsidR="00033D0F">
              <w:rPr>
                <w:smallCaps/>
                <w:spacing w:val="5"/>
              </w:rPr>
              <w:t xml:space="preserve"> </w:t>
            </w:r>
            <w:r w:rsidR="00033D0F">
              <w:rPr>
                <w:smallCaps/>
              </w:rPr>
              <w:t>acted</w:t>
            </w:r>
            <w:proofErr w:type="gramEnd"/>
            <w:r w:rsidR="00033D0F">
              <w:rPr>
                <w:smallCaps/>
                <w:spacing w:val="40"/>
              </w:rPr>
              <w:t xml:space="preserve"> </w:t>
            </w:r>
            <w:r w:rsidR="00033D0F">
              <w:rPr>
                <w:smallCaps/>
                <w:spacing w:val="5"/>
              </w:rPr>
              <w:t xml:space="preserve"> </w:t>
            </w:r>
            <w:r w:rsidR="00033D0F">
              <w:rPr>
                <w:smallCaps/>
              </w:rPr>
              <w:t>inconsistently</w:t>
            </w:r>
            <w:r w:rsidR="00033D0F">
              <w:rPr>
                <w:smallCaps/>
                <w:spacing w:val="40"/>
              </w:rPr>
              <w:t xml:space="preserve"> </w:t>
            </w:r>
            <w:r w:rsidR="00033D0F">
              <w:rPr>
                <w:smallCaps/>
                <w:spacing w:val="7"/>
              </w:rPr>
              <w:t xml:space="preserve"> </w:t>
            </w:r>
            <w:r w:rsidR="00033D0F">
              <w:rPr>
                <w:smallCaps/>
              </w:rPr>
              <w:t>with</w:t>
            </w:r>
            <w:r w:rsidR="00033D0F">
              <w:rPr>
                <w:smallCaps/>
                <w:spacing w:val="40"/>
              </w:rPr>
              <w:t xml:space="preserve"> </w:t>
            </w:r>
            <w:r w:rsidR="00033D0F">
              <w:rPr>
                <w:smallCaps/>
                <w:spacing w:val="9"/>
              </w:rPr>
              <w:t xml:space="preserve"> </w:t>
            </w:r>
            <w:r w:rsidR="00033D0F">
              <w:rPr>
                <w:smallCaps/>
              </w:rPr>
              <w:t>Articles</w:t>
            </w:r>
            <w:r w:rsidR="00033D0F">
              <w:rPr>
                <w:smallCaps/>
                <w:spacing w:val="40"/>
              </w:rPr>
              <w:t xml:space="preserve"> </w:t>
            </w:r>
            <w:r w:rsidR="00033D0F">
              <w:rPr>
                <w:smallCaps/>
                <w:spacing w:val="11"/>
              </w:rPr>
              <w:t xml:space="preserve"> </w:t>
            </w:r>
            <w:r w:rsidR="00033D0F">
              <w:rPr>
                <w:smallCaps/>
              </w:rPr>
              <w:t>3.1</w:t>
            </w:r>
            <w:r w:rsidR="00033D0F">
              <w:rPr>
                <w:smallCaps/>
                <w:spacing w:val="40"/>
              </w:rPr>
              <w:t xml:space="preserve"> </w:t>
            </w:r>
            <w:r w:rsidR="00033D0F">
              <w:rPr>
                <w:smallCaps/>
                <w:spacing w:val="-26"/>
              </w:rPr>
              <w:t xml:space="preserve"> </w:t>
            </w:r>
            <w:r w:rsidR="00033D0F">
              <w:rPr>
                <w:smallCaps/>
              </w:rPr>
              <w:t>and</w:t>
            </w:r>
            <w:r w:rsidR="00033D0F">
              <w:rPr>
                <w:smallCaps/>
                <w:spacing w:val="40"/>
              </w:rPr>
              <w:t xml:space="preserve"> </w:t>
            </w:r>
            <w:r w:rsidR="00033D0F">
              <w:rPr>
                <w:smallCaps/>
                <w:spacing w:val="10"/>
              </w:rPr>
              <w:t xml:space="preserve"> </w:t>
            </w:r>
            <w:r w:rsidR="00033D0F">
              <w:rPr>
                <w:smallCaps/>
              </w:rPr>
              <w:t>3.4</w:t>
            </w:r>
            <w:r w:rsidR="00033D0F">
              <w:rPr>
                <w:smallCaps/>
                <w:spacing w:val="40"/>
              </w:rPr>
              <w:t xml:space="preserve"> </w:t>
            </w:r>
            <w:r w:rsidR="00033D0F">
              <w:rPr>
                <w:smallCaps/>
                <w:spacing w:val="-26"/>
              </w:rPr>
              <w:t xml:space="preserve"> </w:t>
            </w:r>
            <w:r w:rsidR="00033D0F">
              <w:rPr>
                <w:smallCaps/>
              </w:rPr>
              <w:t>of</w:t>
            </w:r>
            <w:r w:rsidR="00033D0F">
              <w:rPr>
                <w:smallCaps/>
                <w:spacing w:val="40"/>
              </w:rPr>
              <w:t xml:space="preserve"> </w:t>
            </w:r>
            <w:r w:rsidR="00033D0F">
              <w:rPr>
                <w:smallCaps/>
                <w:spacing w:val="9"/>
              </w:rPr>
              <w:t xml:space="preserve"> </w:t>
            </w:r>
            <w:r w:rsidR="00033D0F">
              <w:rPr>
                <w:smallCaps/>
              </w:rPr>
              <w:t>the</w:t>
            </w:r>
            <w:r w:rsidR="00033D0F">
              <w:rPr>
                <w:smallCaps/>
                <w:spacing w:val="40"/>
              </w:rPr>
              <w:t xml:space="preserve"> </w:t>
            </w:r>
            <w:r w:rsidR="00033D0F">
              <w:rPr>
                <w:smallCaps/>
                <w:spacing w:val="13"/>
              </w:rPr>
              <w:t xml:space="preserve"> </w:t>
            </w:r>
            <w:r w:rsidR="00033D0F">
              <w:rPr>
                <w:smallCaps/>
              </w:rPr>
              <w:t>Anti-Dumping</w:t>
            </w:r>
          </w:hyperlink>
          <w:r w:rsidR="00033D0F">
            <w:rPr>
              <w:smallCaps/>
            </w:rPr>
            <w:t xml:space="preserve"> </w:t>
          </w:r>
          <w:hyperlink w:anchor="_bookmark879" w:history="1">
            <w:r w:rsidR="00033D0F">
              <w:rPr>
                <w:smallCaps/>
                <w:spacing w:val="-2"/>
              </w:rPr>
              <w:t>Agreement</w:t>
            </w:r>
            <w:r w:rsidR="00033D0F">
              <w:rPr>
                <w:smallCaps/>
              </w:rPr>
              <w:tab/>
            </w:r>
            <w:r w:rsidR="00033D0F">
              <w:rPr>
                <w:smallCaps/>
                <w:spacing w:val="-5"/>
              </w:rPr>
              <w:t>177</w:t>
            </w:r>
          </w:hyperlink>
        </w:p>
        <w:p w14:paraId="1071774A" w14:textId="77777777" w:rsidR="00BD462C" w:rsidRDefault="00000000">
          <w:pPr>
            <w:pStyle w:val="TOC8"/>
            <w:numPr>
              <w:ilvl w:val="2"/>
              <w:numId w:val="67"/>
            </w:numPr>
            <w:tabs>
              <w:tab w:val="left" w:pos="1835"/>
              <w:tab w:val="left" w:pos="1836"/>
              <w:tab w:val="left" w:leader="dot" w:pos="8833"/>
            </w:tabs>
            <w:ind w:hanging="851"/>
          </w:pPr>
          <w:hyperlink w:anchor="_bookmark880" w:history="1">
            <w:r w:rsidR="00033D0F">
              <w:rPr>
                <w:spacing w:val="-2"/>
              </w:rPr>
              <w:t>Introduction</w:t>
            </w:r>
            <w:r w:rsidR="00033D0F">
              <w:tab/>
            </w:r>
            <w:r w:rsidR="00033D0F">
              <w:rPr>
                <w:spacing w:val="-5"/>
              </w:rPr>
              <w:t>177</w:t>
            </w:r>
          </w:hyperlink>
        </w:p>
        <w:p w14:paraId="6BF9FB9E" w14:textId="77777777" w:rsidR="00BD462C" w:rsidRDefault="00000000">
          <w:pPr>
            <w:pStyle w:val="TOC8"/>
            <w:numPr>
              <w:ilvl w:val="2"/>
              <w:numId w:val="67"/>
            </w:numPr>
            <w:tabs>
              <w:tab w:val="left" w:pos="1835"/>
              <w:tab w:val="left" w:pos="1836"/>
              <w:tab w:val="left" w:leader="dot" w:pos="8833"/>
            </w:tabs>
            <w:spacing w:before="119" w:after="87"/>
            <w:ind w:hanging="851"/>
          </w:pPr>
          <w:hyperlink w:anchor="_bookmark885" w:history="1">
            <w:r w:rsidR="00033D0F">
              <w:t>The</w:t>
            </w:r>
            <w:r w:rsidR="00033D0F">
              <w:rPr>
                <w:spacing w:val="-6"/>
              </w:rPr>
              <w:t xml:space="preserve"> </w:t>
            </w:r>
            <w:r w:rsidR="00033D0F">
              <w:t>domestic</w:t>
            </w:r>
            <w:r w:rsidR="00033D0F">
              <w:rPr>
                <w:spacing w:val="-4"/>
              </w:rPr>
              <w:t xml:space="preserve"> </w:t>
            </w:r>
            <w:r w:rsidR="00033D0F">
              <w:t>industry</w:t>
            </w:r>
            <w:r w:rsidR="00033D0F">
              <w:rPr>
                <w:spacing w:val="-3"/>
              </w:rPr>
              <w:t xml:space="preserve"> </w:t>
            </w:r>
            <w:r w:rsidR="00033D0F">
              <w:t>was</w:t>
            </w:r>
            <w:r w:rsidR="00033D0F">
              <w:rPr>
                <w:spacing w:val="-4"/>
              </w:rPr>
              <w:t xml:space="preserve"> </w:t>
            </w:r>
            <w:r w:rsidR="00033D0F">
              <w:t>incorrectly</w:t>
            </w:r>
            <w:r w:rsidR="00033D0F">
              <w:rPr>
                <w:spacing w:val="-2"/>
              </w:rPr>
              <w:t xml:space="preserve"> defined</w:t>
            </w:r>
            <w:r w:rsidR="00033D0F">
              <w:tab/>
            </w:r>
            <w:r w:rsidR="00033D0F">
              <w:rPr>
                <w:spacing w:val="-5"/>
              </w:rPr>
              <w:t>178</w:t>
            </w:r>
          </w:hyperlink>
        </w:p>
        <w:p w14:paraId="7036BCE7" w14:textId="77777777" w:rsidR="00BD462C" w:rsidRDefault="00033D0F">
          <w:pPr>
            <w:pStyle w:val="TOC6"/>
            <w:tabs>
              <w:tab w:val="left" w:pos="6087"/>
            </w:tabs>
            <w:rPr>
              <w:b w:val="0"/>
              <w:i w:val="0"/>
              <w:sz w:val="20"/>
            </w:rPr>
          </w:pPr>
          <w:r>
            <w:rPr>
              <w:b w:val="0"/>
              <w:sz w:val="20"/>
            </w:rPr>
            <w:lastRenderedPageBreak/>
            <w:t>China</w:t>
          </w:r>
          <w:r>
            <w:rPr>
              <w:b w:val="0"/>
              <w:spacing w:val="-9"/>
              <w:sz w:val="20"/>
            </w:rPr>
            <w:t xml:space="preserve"> </w:t>
          </w:r>
          <w:r>
            <w:rPr>
              <w:b w:val="0"/>
              <w:sz w:val="20"/>
            </w:rPr>
            <w:t>–</w:t>
          </w:r>
          <w:r>
            <w:rPr>
              <w:b w:val="0"/>
              <w:spacing w:val="-10"/>
              <w:sz w:val="20"/>
            </w:rPr>
            <w:t xml:space="preserve"> </w:t>
          </w:r>
          <w:r>
            <w:rPr>
              <w:b w:val="0"/>
              <w:sz w:val="20"/>
            </w:rPr>
            <w:t>Anti-Dumping</w:t>
          </w:r>
          <w:r>
            <w:rPr>
              <w:b w:val="0"/>
              <w:spacing w:val="-8"/>
              <w:sz w:val="20"/>
            </w:rPr>
            <w:t xml:space="preserve"> </w:t>
          </w:r>
          <w:r>
            <w:rPr>
              <w:b w:val="0"/>
              <w:sz w:val="20"/>
            </w:rPr>
            <w:t>and</w:t>
          </w:r>
          <w:r>
            <w:rPr>
              <w:b w:val="0"/>
              <w:spacing w:val="-5"/>
              <w:sz w:val="20"/>
            </w:rPr>
            <w:t xml:space="preserve"> </w:t>
          </w:r>
          <w:r>
            <w:rPr>
              <w:b w:val="0"/>
              <w:sz w:val="20"/>
            </w:rPr>
            <w:t>Countervailing</w:t>
          </w:r>
          <w:r>
            <w:rPr>
              <w:b w:val="0"/>
              <w:spacing w:val="-9"/>
              <w:sz w:val="20"/>
            </w:rPr>
            <w:t xml:space="preserve"> </w:t>
          </w:r>
          <w:r>
            <w:rPr>
              <w:b w:val="0"/>
              <w:sz w:val="20"/>
            </w:rPr>
            <w:t>Duty</w:t>
          </w:r>
          <w:r>
            <w:rPr>
              <w:b w:val="0"/>
              <w:spacing w:val="-8"/>
              <w:sz w:val="20"/>
            </w:rPr>
            <w:t xml:space="preserve"> </w:t>
          </w:r>
          <w:r>
            <w:rPr>
              <w:b w:val="0"/>
              <w:spacing w:val="-2"/>
              <w:sz w:val="20"/>
            </w:rPr>
            <w:t>Measures</w:t>
          </w:r>
          <w:r>
            <w:rPr>
              <w:b w:val="0"/>
              <w:sz w:val="20"/>
            </w:rPr>
            <w:tab/>
          </w:r>
          <w:r>
            <w:rPr>
              <w:b w:val="0"/>
              <w:i w:val="0"/>
              <w:sz w:val="20"/>
            </w:rPr>
            <w:t>Australia's</w:t>
          </w:r>
          <w:r>
            <w:rPr>
              <w:b w:val="0"/>
              <w:i w:val="0"/>
              <w:spacing w:val="-11"/>
              <w:sz w:val="20"/>
            </w:rPr>
            <w:t xml:space="preserve"> </w:t>
          </w:r>
          <w:r>
            <w:rPr>
              <w:b w:val="0"/>
              <w:i w:val="0"/>
              <w:sz w:val="20"/>
            </w:rPr>
            <w:t>Second</w:t>
          </w:r>
          <w:r>
            <w:rPr>
              <w:b w:val="0"/>
              <w:i w:val="0"/>
              <w:spacing w:val="-10"/>
              <w:sz w:val="20"/>
            </w:rPr>
            <w:t xml:space="preserve"> </w:t>
          </w:r>
          <w:r>
            <w:rPr>
              <w:b w:val="0"/>
              <w:i w:val="0"/>
              <w:sz w:val="20"/>
            </w:rPr>
            <w:t>Written</w:t>
          </w:r>
          <w:r>
            <w:rPr>
              <w:b w:val="0"/>
              <w:i w:val="0"/>
              <w:spacing w:val="-10"/>
              <w:sz w:val="20"/>
            </w:rPr>
            <w:t xml:space="preserve"> </w:t>
          </w:r>
          <w:r>
            <w:rPr>
              <w:b w:val="0"/>
              <w:i w:val="0"/>
              <w:spacing w:val="-2"/>
              <w:sz w:val="20"/>
            </w:rPr>
            <w:t>Submission</w:t>
          </w:r>
        </w:p>
        <w:p w14:paraId="7EF9E852" w14:textId="77777777" w:rsidR="00BD462C" w:rsidRDefault="00033D0F">
          <w:pPr>
            <w:pStyle w:val="TOC5"/>
          </w:pPr>
          <w:r>
            <w:t>On</w:t>
          </w:r>
          <w:r>
            <w:rPr>
              <w:spacing w:val="-2"/>
            </w:rPr>
            <w:t xml:space="preserve"> </w:t>
          </w:r>
          <w:r>
            <w:t>Wine</w:t>
          </w:r>
          <w:r>
            <w:rPr>
              <w:spacing w:val="-4"/>
            </w:rPr>
            <w:t xml:space="preserve"> </w:t>
          </w:r>
          <w:r>
            <w:t>from</w:t>
          </w:r>
          <w:r>
            <w:rPr>
              <w:spacing w:val="-4"/>
            </w:rPr>
            <w:t xml:space="preserve"> </w:t>
          </w:r>
          <w:r>
            <w:rPr>
              <w:spacing w:val="-2"/>
            </w:rPr>
            <w:t>Australia</w:t>
          </w:r>
        </w:p>
        <w:p w14:paraId="54527C1D" w14:textId="77777777" w:rsidR="00BD462C" w:rsidRDefault="00033D0F">
          <w:pPr>
            <w:pStyle w:val="TOC4"/>
            <w:tabs>
              <w:tab w:val="left" w:pos="7652"/>
            </w:tabs>
          </w:pPr>
          <w:r>
            <w:rPr>
              <w:spacing w:val="-2"/>
            </w:rPr>
            <w:t>(DS602)</w:t>
          </w:r>
          <w:r>
            <w:tab/>
            <w:t>28</w:t>
          </w:r>
          <w:r>
            <w:rPr>
              <w:spacing w:val="-8"/>
            </w:rPr>
            <w:t xml:space="preserve"> </w:t>
          </w:r>
          <w:r>
            <w:t>November</w:t>
          </w:r>
          <w:r>
            <w:rPr>
              <w:spacing w:val="-2"/>
            </w:rPr>
            <w:t xml:space="preserve"> </w:t>
          </w:r>
          <w:r>
            <w:rPr>
              <w:spacing w:val="-4"/>
            </w:rPr>
            <w:t>2022</w:t>
          </w:r>
        </w:p>
        <w:p w14:paraId="7B7034C8" w14:textId="77777777" w:rsidR="00BD462C" w:rsidRDefault="00000000">
          <w:pPr>
            <w:pStyle w:val="TOC8"/>
            <w:numPr>
              <w:ilvl w:val="2"/>
              <w:numId w:val="67"/>
            </w:numPr>
            <w:tabs>
              <w:tab w:val="left" w:pos="1835"/>
              <w:tab w:val="left" w:pos="1836"/>
              <w:tab w:val="left" w:leader="dot" w:pos="8833"/>
            </w:tabs>
            <w:spacing w:before="98" w:line="244" w:lineRule="auto"/>
            <w:ind w:left="1840" w:right="917" w:hanging="855"/>
          </w:pPr>
          <w:hyperlink w:anchor="_bookmark887" w:history="1">
            <w:r w:rsidR="00033D0F">
              <w:t>MOFCOM's</w:t>
            </w:r>
            <w:r w:rsidR="00033D0F">
              <w:rPr>
                <w:spacing w:val="-9"/>
              </w:rPr>
              <w:t xml:space="preserve"> </w:t>
            </w:r>
            <w:r w:rsidR="00033D0F">
              <w:t>evaluation</w:t>
            </w:r>
            <w:r w:rsidR="00033D0F">
              <w:rPr>
                <w:spacing w:val="-9"/>
              </w:rPr>
              <w:t xml:space="preserve"> </w:t>
            </w:r>
            <w:r w:rsidR="00033D0F">
              <w:t>of</w:t>
            </w:r>
            <w:r w:rsidR="00033D0F">
              <w:rPr>
                <w:spacing w:val="-9"/>
              </w:rPr>
              <w:t xml:space="preserve"> </w:t>
            </w:r>
            <w:r w:rsidR="00033D0F">
              <w:t>the</w:t>
            </w:r>
            <w:r w:rsidR="00033D0F">
              <w:rPr>
                <w:spacing w:val="-10"/>
              </w:rPr>
              <w:t xml:space="preserve"> </w:t>
            </w:r>
            <w:r w:rsidR="00033D0F">
              <w:t>domestic</w:t>
            </w:r>
            <w:r w:rsidR="00033D0F">
              <w:rPr>
                <w:spacing w:val="-9"/>
              </w:rPr>
              <w:t xml:space="preserve"> </w:t>
            </w:r>
            <w:r w:rsidR="00033D0F">
              <w:t>industry</w:t>
            </w:r>
            <w:r w:rsidR="00033D0F">
              <w:rPr>
                <w:spacing w:val="-3"/>
              </w:rPr>
              <w:t xml:space="preserve"> </w:t>
            </w:r>
            <w:r w:rsidR="00033D0F">
              <w:t>was</w:t>
            </w:r>
            <w:r w:rsidR="00033D0F">
              <w:rPr>
                <w:spacing w:val="-9"/>
              </w:rPr>
              <w:t xml:space="preserve"> </w:t>
            </w:r>
            <w:r w:rsidR="00033D0F">
              <w:t>a</w:t>
            </w:r>
            <w:r w:rsidR="00033D0F">
              <w:rPr>
                <w:spacing w:val="-8"/>
              </w:rPr>
              <w:t xml:space="preserve"> </w:t>
            </w:r>
            <w:r w:rsidR="00033D0F">
              <w:t>mechanical</w:t>
            </w:r>
            <w:r w:rsidR="00033D0F">
              <w:rPr>
                <w:spacing w:val="-10"/>
              </w:rPr>
              <w:t xml:space="preserve"> </w:t>
            </w:r>
            <w:r w:rsidR="00033D0F">
              <w:t>exercise</w:t>
            </w:r>
          </w:hyperlink>
          <w:r w:rsidR="00033D0F">
            <w:t xml:space="preserve"> </w:t>
          </w:r>
          <w:hyperlink w:anchor="_bookmark887" w:history="1">
            <w:r w:rsidR="00033D0F">
              <w:t>that did not examine explanatory force</w:t>
            </w:r>
            <w:r w:rsidR="00033D0F">
              <w:tab/>
            </w:r>
            <w:r w:rsidR="00033D0F">
              <w:rPr>
                <w:spacing w:val="-4"/>
              </w:rPr>
              <w:t>179</w:t>
            </w:r>
          </w:hyperlink>
        </w:p>
        <w:p w14:paraId="1AA5CB1A" w14:textId="77777777" w:rsidR="00BD462C" w:rsidRDefault="00000000">
          <w:pPr>
            <w:pStyle w:val="TOC8"/>
            <w:numPr>
              <w:ilvl w:val="2"/>
              <w:numId w:val="67"/>
            </w:numPr>
            <w:tabs>
              <w:tab w:val="left" w:pos="1835"/>
              <w:tab w:val="left" w:pos="1836"/>
              <w:tab w:val="left" w:leader="dot" w:pos="8833"/>
            </w:tabs>
            <w:spacing w:before="108"/>
            <w:ind w:hanging="851"/>
          </w:pPr>
          <w:hyperlink w:anchor="_bookmark926" w:history="1">
            <w:r w:rsidR="00033D0F">
              <w:t>MOFCOM</w:t>
            </w:r>
            <w:r w:rsidR="00033D0F">
              <w:rPr>
                <w:spacing w:val="-6"/>
              </w:rPr>
              <w:t xml:space="preserve"> </w:t>
            </w:r>
            <w:r w:rsidR="00033D0F">
              <w:t>did</w:t>
            </w:r>
            <w:r w:rsidR="00033D0F">
              <w:rPr>
                <w:spacing w:val="-4"/>
              </w:rPr>
              <w:t xml:space="preserve"> </w:t>
            </w:r>
            <w:r w:rsidR="00033D0F">
              <w:t>not</w:t>
            </w:r>
            <w:r w:rsidR="00033D0F">
              <w:rPr>
                <w:spacing w:val="-6"/>
              </w:rPr>
              <w:t xml:space="preserve"> </w:t>
            </w:r>
            <w:r w:rsidR="00033D0F">
              <w:t>evaluate</w:t>
            </w:r>
            <w:r w:rsidR="00033D0F">
              <w:rPr>
                <w:spacing w:val="-6"/>
              </w:rPr>
              <w:t xml:space="preserve"> </w:t>
            </w:r>
            <w:r w:rsidR="00033D0F">
              <w:t>"factors</w:t>
            </w:r>
            <w:r w:rsidR="00033D0F">
              <w:rPr>
                <w:spacing w:val="-4"/>
              </w:rPr>
              <w:t xml:space="preserve"> </w:t>
            </w:r>
            <w:r w:rsidR="00033D0F">
              <w:t>affecting</w:t>
            </w:r>
            <w:r w:rsidR="00033D0F">
              <w:rPr>
                <w:spacing w:val="-4"/>
              </w:rPr>
              <w:t xml:space="preserve"> </w:t>
            </w:r>
            <w:r w:rsidR="00033D0F">
              <w:t>domestic</w:t>
            </w:r>
            <w:r w:rsidR="00033D0F">
              <w:rPr>
                <w:spacing w:val="-3"/>
              </w:rPr>
              <w:t xml:space="preserve"> </w:t>
            </w:r>
            <w:r w:rsidR="00033D0F">
              <w:rPr>
                <w:spacing w:val="-2"/>
              </w:rPr>
              <w:t>prices"</w:t>
            </w:r>
            <w:r w:rsidR="00033D0F">
              <w:tab/>
            </w:r>
            <w:r w:rsidR="00033D0F">
              <w:rPr>
                <w:spacing w:val="-5"/>
              </w:rPr>
              <w:t>184</w:t>
            </w:r>
          </w:hyperlink>
        </w:p>
        <w:p w14:paraId="656D7464" w14:textId="77777777" w:rsidR="00BD462C" w:rsidRDefault="00000000">
          <w:pPr>
            <w:pStyle w:val="TOC8"/>
            <w:numPr>
              <w:ilvl w:val="2"/>
              <w:numId w:val="67"/>
            </w:numPr>
            <w:tabs>
              <w:tab w:val="left" w:pos="1835"/>
              <w:tab w:val="left" w:pos="1836"/>
              <w:tab w:val="left" w:leader="dot" w:pos="8833"/>
            </w:tabs>
            <w:spacing w:before="124"/>
            <w:ind w:left="1840" w:right="916" w:hanging="855"/>
          </w:pPr>
          <w:hyperlink w:anchor="_bookmark955" w:history="1">
            <w:r w:rsidR="00033D0F">
              <w:t>The errors and omissions in MOFCOM's evaluation mean that it has not</w:t>
            </w:r>
          </w:hyperlink>
          <w:r w:rsidR="00033D0F">
            <w:rPr>
              <w:spacing w:val="40"/>
            </w:rPr>
            <w:t xml:space="preserve"> </w:t>
          </w:r>
          <w:hyperlink w:anchor="_bookmark955" w:history="1">
            <w:r w:rsidR="00033D0F">
              <w:t>established</w:t>
            </w:r>
            <w:r w:rsidR="00033D0F">
              <w:rPr>
                <w:spacing w:val="-6"/>
              </w:rPr>
              <w:t xml:space="preserve"> </w:t>
            </w:r>
            <w:r w:rsidR="00033D0F">
              <w:t>explanatory</w:t>
            </w:r>
            <w:r w:rsidR="00033D0F">
              <w:rPr>
                <w:spacing w:val="-4"/>
              </w:rPr>
              <w:t xml:space="preserve"> force</w:t>
            </w:r>
            <w:r w:rsidR="00033D0F">
              <w:tab/>
            </w:r>
            <w:r w:rsidR="00033D0F">
              <w:rPr>
                <w:spacing w:val="-5"/>
              </w:rPr>
              <w:t>189</w:t>
            </w:r>
          </w:hyperlink>
        </w:p>
        <w:p w14:paraId="33171943" w14:textId="77777777" w:rsidR="00BD462C" w:rsidRDefault="00000000">
          <w:pPr>
            <w:pStyle w:val="TOC8"/>
            <w:numPr>
              <w:ilvl w:val="2"/>
              <w:numId w:val="67"/>
            </w:numPr>
            <w:tabs>
              <w:tab w:val="left" w:pos="1835"/>
              <w:tab w:val="left" w:pos="1836"/>
              <w:tab w:val="left" w:leader="dot" w:pos="8833"/>
            </w:tabs>
            <w:ind w:hanging="851"/>
          </w:pPr>
          <w:hyperlink w:anchor="_bookmark985" w:history="1">
            <w:r w:rsidR="00033D0F">
              <w:rPr>
                <w:spacing w:val="-2"/>
              </w:rPr>
              <w:t>Conclusion</w:t>
            </w:r>
            <w:r w:rsidR="00033D0F">
              <w:tab/>
            </w:r>
            <w:r w:rsidR="00033D0F">
              <w:rPr>
                <w:spacing w:val="-5"/>
              </w:rPr>
              <w:t>194</w:t>
            </w:r>
          </w:hyperlink>
        </w:p>
        <w:p w14:paraId="1830FFA0" w14:textId="77777777" w:rsidR="00BD462C" w:rsidRDefault="00000000">
          <w:pPr>
            <w:pStyle w:val="TOC7"/>
            <w:numPr>
              <w:ilvl w:val="1"/>
              <w:numId w:val="67"/>
            </w:numPr>
            <w:tabs>
              <w:tab w:val="left" w:pos="1412"/>
              <w:tab w:val="left" w:pos="1413"/>
              <w:tab w:val="left" w:leader="dot" w:pos="8833"/>
            </w:tabs>
            <w:ind w:right="922"/>
          </w:pPr>
          <w:hyperlink w:anchor="_bookmark986" w:history="1">
            <w:proofErr w:type="gramStart"/>
            <w:r w:rsidR="00033D0F">
              <w:rPr>
                <w:smallCaps/>
              </w:rPr>
              <w:t>China</w:t>
            </w:r>
            <w:r w:rsidR="00033D0F">
              <w:rPr>
                <w:smallCaps/>
                <w:spacing w:val="40"/>
              </w:rPr>
              <w:t xml:space="preserve"> </w:t>
            </w:r>
            <w:r w:rsidR="00033D0F">
              <w:rPr>
                <w:smallCaps/>
                <w:spacing w:val="5"/>
              </w:rPr>
              <w:t xml:space="preserve"> </w:t>
            </w:r>
            <w:r w:rsidR="00033D0F">
              <w:rPr>
                <w:smallCaps/>
              </w:rPr>
              <w:t>acted</w:t>
            </w:r>
            <w:proofErr w:type="gramEnd"/>
            <w:r w:rsidR="00033D0F">
              <w:rPr>
                <w:smallCaps/>
                <w:spacing w:val="40"/>
              </w:rPr>
              <w:t xml:space="preserve"> </w:t>
            </w:r>
            <w:r w:rsidR="00033D0F">
              <w:rPr>
                <w:smallCaps/>
                <w:spacing w:val="5"/>
              </w:rPr>
              <w:t xml:space="preserve"> </w:t>
            </w:r>
            <w:r w:rsidR="00033D0F">
              <w:rPr>
                <w:smallCaps/>
              </w:rPr>
              <w:t>inconsistently</w:t>
            </w:r>
            <w:r w:rsidR="00033D0F">
              <w:rPr>
                <w:smallCaps/>
                <w:spacing w:val="40"/>
              </w:rPr>
              <w:t xml:space="preserve"> </w:t>
            </w:r>
            <w:r w:rsidR="00033D0F">
              <w:rPr>
                <w:smallCaps/>
                <w:spacing w:val="7"/>
              </w:rPr>
              <w:t xml:space="preserve"> </w:t>
            </w:r>
            <w:r w:rsidR="00033D0F">
              <w:rPr>
                <w:smallCaps/>
              </w:rPr>
              <w:t>with</w:t>
            </w:r>
            <w:r w:rsidR="00033D0F">
              <w:rPr>
                <w:smallCaps/>
                <w:spacing w:val="40"/>
              </w:rPr>
              <w:t xml:space="preserve"> </w:t>
            </w:r>
            <w:r w:rsidR="00033D0F">
              <w:rPr>
                <w:smallCaps/>
                <w:spacing w:val="9"/>
              </w:rPr>
              <w:t xml:space="preserve"> </w:t>
            </w:r>
            <w:r w:rsidR="00033D0F">
              <w:rPr>
                <w:smallCaps/>
              </w:rPr>
              <w:t>Articles</w:t>
            </w:r>
            <w:r w:rsidR="00033D0F">
              <w:rPr>
                <w:smallCaps/>
                <w:spacing w:val="40"/>
              </w:rPr>
              <w:t xml:space="preserve"> </w:t>
            </w:r>
            <w:r w:rsidR="00033D0F">
              <w:rPr>
                <w:smallCaps/>
                <w:spacing w:val="11"/>
              </w:rPr>
              <w:t xml:space="preserve"> </w:t>
            </w:r>
            <w:r w:rsidR="00033D0F">
              <w:rPr>
                <w:smallCaps/>
              </w:rPr>
              <w:t>3.1</w:t>
            </w:r>
            <w:r w:rsidR="00033D0F">
              <w:rPr>
                <w:smallCaps/>
                <w:spacing w:val="40"/>
              </w:rPr>
              <w:t xml:space="preserve"> </w:t>
            </w:r>
            <w:r w:rsidR="00033D0F">
              <w:rPr>
                <w:smallCaps/>
                <w:spacing w:val="-26"/>
              </w:rPr>
              <w:t xml:space="preserve"> </w:t>
            </w:r>
            <w:r w:rsidR="00033D0F">
              <w:rPr>
                <w:smallCaps/>
              </w:rPr>
              <w:t>and</w:t>
            </w:r>
            <w:r w:rsidR="00033D0F">
              <w:rPr>
                <w:smallCaps/>
                <w:spacing w:val="40"/>
              </w:rPr>
              <w:t xml:space="preserve"> </w:t>
            </w:r>
            <w:r w:rsidR="00033D0F">
              <w:rPr>
                <w:smallCaps/>
                <w:spacing w:val="10"/>
              </w:rPr>
              <w:t xml:space="preserve"> </w:t>
            </w:r>
            <w:r w:rsidR="00033D0F">
              <w:rPr>
                <w:smallCaps/>
              </w:rPr>
              <w:t>3.5</w:t>
            </w:r>
            <w:r w:rsidR="00033D0F">
              <w:rPr>
                <w:smallCaps/>
                <w:spacing w:val="40"/>
              </w:rPr>
              <w:t xml:space="preserve"> </w:t>
            </w:r>
            <w:r w:rsidR="00033D0F">
              <w:rPr>
                <w:smallCaps/>
                <w:spacing w:val="-26"/>
              </w:rPr>
              <w:t xml:space="preserve"> </w:t>
            </w:r>
            <w:r w:rsidR="00033D0F">
              <w:rPr>
                <w:smallCaps/>
              </w:rPr>
              <w:t>of</w:t>
            </w:r>
            <w:r w:rsidR="00033D0F">
              <w:rPr>
                <w:smallCaps/>
                <w:spacing w:val="40"/>
              </w:rPr>
              <w:t xml:space="preserve"> </w:t>
            </w:r>
            <w:r w:rsidR="00033D0F">
              <w:rPr>
                <w:smallCaps/>
                <w:spacing w:val="9"/>
              </w:rPr>
              <w:t xml:space="preserve"> </w:t>
            </w:r>
            <w:r w:rsidR="00033D0F">
              <w:rPr>
                <w:smallCaps/>
              </w:rPr>
              <w:t>the</w:t>
            </w:r>
            <w:r w:rsidR="00033D0F">
              <w:rPr>
                <w:smallCaps/>
                <w:spacing w:val="40"/>
              </w:rPr>
              <w:t xml:space="preserve"> </w:t>
            </w:r>
            <w:r w:rsidR="00033D0F">
              <w:rPr>
                <w:smallCaps/>
                <w:spacing w:val="13"/>
              </w:rPr>
              <w:t xml:space="preserve"> </w:t>
            </w:r>
            <w:r w:rsidR="00033D0F">
              <w:rPr>
                <w:smallCaps/>
              </w:rPr>
              <w:t>Anti-Dumping</w:t>
            </w:r>
          </w:hyperlink>
          <w:r w:rsidR="00033D0F">
            <w:rPr>
              <w:smallCaps/>
            </w:rPr>
            <w:t xml:space="preserve"> </w:t>
          </w:r>
          <w:hyperlink w:anchor="_bookmark986" w:history="1">
            <w:r w:rsidR="00033D0F">
              <w:rPr>
                <w:smallCaps/>
                <w:spacing w:val="-2"/>
              </w:rPr>
              <w:t>Agreement</w:t>
            </w:r>
            <w:r w:rsidR="00033D0F">
              <w:rPr>
                <w:smallCaps/>
              </w:rPr>
              <w:tab/>
            </w:r>
            <w:r w:rsidR="00033D0F">
              <w:rPr>
                <w:smallCaps/>
                <w:spacing w:val="-5"/>
              </w:rPr>
              <w:t>194</w:t>
            </w:r>
          </w:hyperlink>
        </w:p>
        <w:p w14:paraId="2ACB6043" w14:textId="77777777" w:rsidR="00BD462C" w:rsidRDefault="00000000">
          <w:pPr>
            <w:pStyle w:val="TOC8"/>
            <w:numPr>
              <w:ilvl w:val="2"/>
              <w:numId w:val="67"/>
            </w:numPr>
            <w:tabs>
              <w:tab w:val="left" w:pos="1835"/>
              <w:tab w:val="left" w:pos="1836"/>
              <w:tab w:val="left" w:leader="dot" w:pos="8833"/>
            </w:tabs>
            <w:spacing w:before="119"/>
            <w:ind w:hanging="851"/>
          </w:pPr>
          <w:hyperlink w:anchor="_bookmark987" w:history="1">
            <w:r w:rsidR="00033D0F">
              <w:rPr>
                <w:spacing w:val="-2"/>
              </w:rPr>
              <w:t>Introduction</w:t>
            </w:r>
            <w:r w:rsidR="00033D0F">
              <w:tab/>
            </w:r>
            <w:r w:rsidR="00033D0F">
              <w:rPr>
                <w:spacing w:val="-5"/>
              </w:rPr>
              <w:t>194</w:t>
            </w:r>
          </w:hyperlink>
        </w:p>
        <w:p w14:paraId="5738BA96" w14:textId="77777777" w:rsidR="00BD462C" w:rsidRDefault="00000000">
          <w:pPr>
            <w:pStyle w:val="TOC8"/>
            <w:numPr>
              <w:ilvl w:val="2"/>
              <w:numId w:val="67"/>
            </w:numPr>
            <w:tabs>
              <w:tab w:val="left" w:pos="1835"/>
              <w:tab w:val="left" w:pos="1836"/>
              <w:tab w:val="left" w:leader="dot" w:pos="8833"/>
            </w:tabs>
            <w:ind w:left="1840" w:right="911" w:hanging="855"/>
          </w:pPr>
          <w:hyperlink w:anchor="_bookmark991" w:history="1">
            <w:r w:rsidR="00033D0F">
              <w:t>Errors</w:t>
            </w:r>
            <w:r w:rsidR="00033D0F">
              <w:rPr>
                <w:spacing w:val="40"/>
              </w:rPr>
              <w:t xml:space="preserve"> </w:t>
            </w:r>
            <w:r w:rsidR="00033D0F">
              <w:t>in</w:t>
            </w:r>
            <w:r w:rsidR="00033D0F">
              <w:rPr>
                <w:spacing w:val="40"/>
              </w:rPr>
              <w:t xml:space="preserve"> </w:t>
            </w:r>
            <w:r w:rsidR="00033D0F">
              <w:t>MOFCOM's</w:t>
            </w:r>
            <w:r w:rsidR="00033D0F">
              <w:rPr>
                <w:spacing w:val="40"/>
              </w:rPr>
              <w:t xml:space="preserve"> </w:t>
            </w:r>
            <w:r w:rsidR="00033D0F">
              <w:t>Article</w:t>
            </w:r>
            <w:r w:rsidR="00033D0F">
              <w:rPr>
                <w:spacing w:val="40"/>
              </w:rPr>
              <w:t xml:space="preserve"> </w:t>
            </w:r>
            <w:r w:rsidR="00033D0F">
              <w:t>3.2</w:t>
            </w:r>
            <w:r w:rsidR="00033D0F">
              <w:rPr>
                <w:spacing w:val="40"/>
              </w:rPr>
              <w:t xml:space="preserve"> </w:t>
            </w:r>
            <w:r w:rsidR="00033D0F">
              <w:t>and</w:t>
            </w:r>
            <w:r w:rsidR="00033D0F">
              <w:rPr>
                <w:spacing w:val="40"/>
              </w:rPr>
              <w:t xml:space="preserve"> </w:t>
            </w:r>
            <w:r w:rsidR="00033D0F">
              <w:t>3.4</w:t>
            </w:r>
            <w:r w:rsidR="00033D0F">
              <w:rPr>
                <w:spacing w:val="40"/>
              </w:rPr>
              <w:t xml:space="preserve"> </w:t>
            </w:r>
            <w:r w:rsidR="00033D0F">
              <w:t>examinations</w:t>
            </w:r>
            <w:r w:rsidR="00033D0F">
              <w:rPr>
                <w:spacing w:val="40"/>
              </w:rPr>
              <w:t xml:space="preserve"> </w:t>
            </w:r>
            <w:r w:rsidR="00033D0F">
              <w:t>undermine</w:t>
            </w:r>
            <w:r w:rsidR="00033D0F">
              <w:rPr>
                <w:spacing w:val="40"/>
              </w:rPr>
              <w:t xml:space="preserve"> </w:t>
            </w:r>
            <w:r w:rsidR="00033D0F">
              <w:t>the</w:t>
            </w:r>
          </w:hyperlink>
          <w:r w:rsidR="00033D0F">
            <w:t xml:space="preserve"> </w:t>
          </w:r>
          <w:hyperlink w:anchor="_bookmark991" w:history="1">
            <w:r w:rsidR="00033D0F">
              <w:t>causation determination</w:t>
            </w:r>
            <w:r w:rsidR="00033D0F">
              <w:tab/>
            </w:r>
            <w:r w:rsidR="00033D0F">
              <w:rPr>
                <w:spacing w:val="-4"/>
              </w:rPr>
              <w:t>195</w:t>
            </w:r>
          </w:hyperlink>
        </w:p>
        <w:p w14:paraId="365AFAF0" w14:textId="77777777" w:rsidR="00BD462C" w:rsidRDefault="00000000">
          <w:pPr>
            <w:pStyle w:val="TOC8"/>
            <w:numPr>
              <w:ilvl w:val="2"/>
              <w:numId w:val="67"/>
            </w:numPr>
            <w:tabs>
              <w:tab w:val="left" w:pos="1835"/>
              <w:tab w:val="left" w:pos="1836"/>
              <w:tab w:val="left" w:leader="dot" w:pos="8833"/>
            </w:tabs>
            <w:ind w:left="1840" w:right="918" w:hanging="855"/>
          </w:pPr>
          <w:hyperlink w:anchor="_bookmark996" w:history="1">
            <w:r w:rsidR="00033D0F">
              <w:t>MOFCOM did not establish that</w:t>
            </w:r>
            <w:r w:rsidR="00033D0F">
              <w:rPr>
                <w:spacing w:val="-1"/>
              </w:rPr>
              <w:t xml:space="preserve"> </w:t>
            </w:r>
            <w:r w:rsidR="00033D0F">
              <w:t>subject imports caused material injury to</w:t>
            </w:r>
          </w:hyperlink>
          <w:r w:rsidR="00033D0F">
            <w:t xml:space="preserve"> </w:t>
          </w:r>
          <w:hyperlink w:anchor="_bookmark996" w:history="1">
            <w:r w:rsidR="00033D0F">
              <w:t>the</w:t>
            </w:r>
            <w:r w:rsidR="00033D0F">
              <w:rPr>
                <w:spacing w:val="-6"/>
              </w:rPr>
              <w:t xml:space="preserve"> </w:t>
            </w:r>
            <w:r w:rsidR="00033D0F">
              <w:t>domestic</w:t>
            </w:r>
            <w:r w:rsidR="00033D0F">
              <w:rPr>
                <w:spacing w:val="-5"/>
              </w:rPr>
              <w:t xml:space="preserve"> </w:t>
            </w:r>
            <w:r w:rsidR="00033D0F">
              <w:rPr>
                <w:spacing w:val="-2"/>
              </w:rPr>
              <w:t>industry</w:t>
            </w:r>
            <w:r w:rsidR="00033D0F">
              <w:tab/>
            </w:r>
            <w:r w:rsidR="00033D0F">
              <w:rPr>
                <w:spacing w:val="-5"/>
              </w:rPr>
              <w:t>196</w:t>
            </w:r>
          </w:hyperlink>
        </w:p>
        <w:p w14:paraId="5B5998FC" w14:textId="77777777" w:rsidR="00BD462C" w:rsidRDefault="00000000">
          <w:pPr>
            <w:pStyle w:val="TOC8"/>
            <w:numPr>
              <w:ilvl w:val="2"/>
              <w:numId w:val="67"/>
            </w:numPr>
            <w:tabs>
              <w:tab w:val="left" w:pos="1835"/>
              <w:tab w:val="left" w:pos="1836"/>
              <w:tab w:val="left" w:leader="dot" w:pos="8833"/>
            </w:tabs>
            <w:spacing w:before="119"/>
            <w:ind w:left="1840" w:right="919" w:hanging="855"/>
          </w:pPr>
          <w:hyperlink w:anchor="_bookmark1048" w:history="1">
            <w:r w:rsidR="00033D0F">
              <w:t>MOFCOM did not conduct a non-attribution analysis in relation to known</w:t>
            </w:r>
          </w:hyperlink>
          <w:r w:rsidR="00033D0F">
            <w:t xml:space="preserve"> </w:t>
          </w:r>
          <w:hyperlink w:anchor="_bookmark1048" w:history="1">
            <w:r w:rsidR="00033D0F">
              <w:rPr>
                <w:spacing w:val="-2"/>
              </w:rPr>
              <w:t>factors</w:t>
            </w:r>
            <w:r w:rsidR="00033D0F">
              <w:tab/>
            </w:r>
            <w:r w:rsidR="00033D0F">
              <w:rPr>
                <w:spacing w:val="-5"/>
              </w:rPr>
              <w:t>205</w:t>
            </w:r>
          </w:hyperlink>
        </w:p>
        <w:p w14:paraId="174EE68C" w14:textId="77777777" w:rsidR="00BD462C" w:rsidRDefault="00000000">
          <w:pPr>
            <w:pStyle w:val="TOC8"/>
            <w:numPr>
              <w:ilvl w:val="2"/>
              <w:numId w:val="67"/>
            </w:numPr>
            <w:tabs>
              <w:tab w:val="left" w:pos="1835"/>
              <w:tab w:val="left" w:pos="1836"/>
              <w:tab w:val="left" w:leader="dot" w:pos="8833"/>
            </w:tabs>
            <w:ind w:hanging="851"/>
          </w:pPr>
          <w:hyperlink w:anchor="_bookmark1111" w:history="1">
            <w:r w:rsidR="00033D0F">
              <w:rPr>
                <w:spacing w:val="-2"/>
              </w:rPr>
              <w:t>Conclusion</w:t>
            </w:r>
            <w:r w:rsidR="00033D0F">
              <w:tab/>
            </w:r>
            <w:r w:rsidR="00033D0F">
              <w:rPr>
                <w:spacing w:val="-5"/>
              </w:rPr>
              <w:t>216</w:t>
            </w:r>
          </w:hyperlink>
        </w:p>
        <w:p w14:paraId="48EF4B05" w14:textId="77777777" w:rsidR="00BD462C" w:rsidRDefault="00000000">
          <w:pPr>
            <w:pStyle w:val="TOC2"/>
            <w:numPr>
              <w:ilvl w:val="0"/>
              <w:numId w:val="67"/>
            </w:numPr>
            <w:tabs>
              <w:tab w:val="left" w:pos="985"/>
              <w:tab w:val="left" w:pos="986"/>
              <w:tab w:val="left" w:leader="dot" w:pos="8833"/>
            </w:tabs>
            <w:ind w:hanging="851"/>
          </w:pPr>
          <w:hyperlink w:anchor="_bookmark1112" w:history="1">
            <w:r w:rsidR="00033D0F">
              <w:t>AUSTRALIA'S</w:t>
            </w:r>
            <w:r w:rsidR="00033D0F">
              <w:rPr>
                <w:spacing w:val="-3"/>
              </w:rPr>
              <w:t xml:space="preserve"> </w:t>
            </w:r>
            <w:r w:rsidR="00033D0F">
              <w:t>CLAIMS</w:t>
            </w:r>
            <w:r w:rsidR="00033D0F">
              <w:rPr>
                <w:spacing w:val="-1"/>
              </w:rPr>
              <w:t xml:space="preserve"> </w:t>
            </w:r>
            <w:r w:rsidR="00033D0F">
              <w:t>CONCERNING</w:t>
            </w:r>
            <w:r w:rsidR="00033D0F">
              <w:rPr>
                <w:spacing w:val="-2"/>
              </w:rPr>
              <w:t xml:space="preserve"> </w:t>
            </w:r>
            <w:r w:rsidR="00033D0F">
              <w:t>THE</w:t>
            </w:r>
            <w:r w:rsidR="00033D0F">
              <w:rPr>
                <w:spacing w:val="-5"/>
              </w:rPr>
              <w:t xml:space="preserve"> </w:t>
            </w:r>
            <w:r w:rsidR="00033D0F">
              <w:t>INITIATION</w:t>
            </w:r>
            <w:r w:rsidR="00033D0F">
              <w:rPr>
                <w:spacing w:val="-3"/>
              </w:rPr>
              <w:t xml:space="preserve"> </w:t>
            </w:r>
            <w:r w:rsidR="00033D0F">
              <w:t>OF</w:t>
            </w:r>
            <w:r w:rsidR="00033D0F">
              <w:rPr>
                <w:spacing w:val="-3"/>
              </w:rPr>
              <w:t xml:space="preserve"> </w:t>
            </w:r>
            <w:r w:rsidR="00033D0F">
              <w:t>THE</w:t>
            </w:r>
            <w:r w:rsidR="00033D0F">
              <w:rPr>
                <w:spacing w:val="-4"/>
              </w:rPr>
              <w:t xml:space="preserve"> </w:t>
            </w:r>
            <w:r w:rsidR="00033D0F">
              <w:rPr>
                <w:spacing w:val="-2"/>
              </w:rPr>
              <w:t>INVESTIGATION</w:t>
            </w:r>
            <w:r w:rsidR="00033D0F">
              <w:tab/>
            </w:r>
            <w:r w:rsidR="00033D0F">
              <w:rPr>
                <w:spacing w:val="-5"/>
              </w:rPr>
              <w:t>216</w:t>
            </w:r>
          </w:hyperlink>
        </w:p>
        <w:p w14:paraId="1F1DE792" w14:textId="77777777" w:rsidR="00BD462C" w:rsidRDefault="00000000">
          <w:pPr>
            <w:pStyle w:val="TOC7"/>
            <w:numPr>
              <w:ilvl w:val="1"/>
              <w:numId w:val="67"/>
            </w:numPr>
            <w:tabs>
              <w:tab w:val="left" w:pos="1412"/>
              <w:tab w:val="left" w:pos="1413"/>
              <w:tab w:val="left" w:leader="dot" w:pos="8833"/>
            </w:tabs>
          </w:pPr>
          <w:hyperlink w:anchor="_bookmark1113" w:history="1">
            <w:r w:rsidR="00033D0F">
              <w:rPr>
                <w:smallCaps/>
                <w:spacing w:val="-2"/>
              </w:rPr>
              <w:t>Introduction</w:t>
            </w:r>
            <w:r w:rsidR="00033D0F">
              <w:rPr>
                <w:smallCaps/>
              </w:rPr>
              <w:tab/>
            </w:r>
            <w:r w:rsidR="00033D0F">
              <w:rPr>
                <w:smallCaps/>
                <w:spacing w:val="-5"/>
              </w:rPr>
              <w:t>216</w:t>
            </w:r>
          </w:hyperlink>
        </w:p>
        <w:p w14:paraId="59497CF7" w14:textId="77777777" w:rsidR="00BD462C" w:rsidRDefault="00000000">
          <w:pPr>
            <w:pStyle w:val="TOC7"/>
            <w:numPr>
              <w:ilvl w:val="1"/>
              <w:numId w:val="67"/>
            </w:numPr>
            <w:tabs>
              <w:tab w:val="left" w:pos="1412"/>
              <w:tab w:val="left" w:pos="1413"/>
              <w:tab w:val="left" w:leader="dot" w:pos="8833"/>
            </w:tabs>
            <w:ind w:right="915"/>
          </w:pPr>
          <w:hyperlink w:anchor="_bookmark1119" w:history="1">
            <w:proofErr w:type="gramStart"/>
            <w:r w:rsidR="00033D0F">
              <w:rPr>
                <w:smallCaps/>
              </w:rPr>
              <w:t>The</w:t>
            </w:r>
            <w:r w:rsidR="00033D0F">
              <w:rPr>
                <w:smallCaps/>
                <w:spacing w:val="-9"/>
              </w:rPr>
              <w:t xml:space="preserve"> </w:t>
            </w:r>
            <w:r w:rsidR="00033D0F">
              <w:rPr>
                <w:smallCaps/>
                <w:spacing w:val="-12"/>
              </w:rPr>
              <w:t xml:space="preserve"> </w:t>
            </w:r>
            <w:r w:rsidR="00033D0F">
              <w:rPr>
                <w:smallCaps/>
              </w:rPr>
              <w:t>Application</w:t>
            </w:r>
            <w:proofErr w:type="gramEnd"/>
            <w:r w:rsidR="00033D0F">
              <w:rPr>
                <w:smallCaps/>
                <w:spacing w:val="-1"/>
              </w:rPr>
              <w:t xml:space="preserve"> </w:t>
            </w:r>
            <w:r w:rsidR="00033D0F">
              <w:rPr>
                <w:smallCaps/>
                <w:spacing w:val="-16"/>
              </w:rPr>
              <w:t xml:space="preserve"> </w:t>
            </w:r>
            <w:r w:rsidR="00033D0F">
              <w:rPr>
                <w:smallCaps/>
              </w:rPr>
              <w:t>was</w:t>
            </w:r>
            <w:r w:rsidR="00033D0F">
              <w:rPr>
                <w:smallCaps/>
                <w:spacing w:val="-1"/>
              </w:rPr>
              <w:t xml:space="preserve"> </w:t>
            </w:r>
            <w:r w:rsidR="00033D0F">
              <w:rPr>
                <w:smallCaps/>
                <w:spacing w:val="-14"/>
              </w:rPr>
              <w:t xml:space="preserve"> </w:t>
            </w:r>
            <w:r w:rsidR="00033D0F">
              <w:rPr>
                <w:smallCaps/>
              </w:rPr>
              <w:t>not</w:t>
            </w:r>
            <w:r w:rsidR="00033D0F">
              <w:rPr>
                <w:smallCaps/>
                <w:spacing w:val="-1"/>
              </w:rPr>
              <w:t xml:space="preserve"> </w:t>
            </w:r>
            <w:r w:rsidR="00033D0F">
              <w:rPr>
                <w:smallCaps/>
                <w:spacing w:val="-13"/>
              </w:rPr>
              <w:t xml:space="preserve"> </w:t>
            </w:r>
            <w:r w:rsidR="00033D0F">
              <w:rPr>
                <w:smallCaps/>
              </w:rPr>
              <w:t>made</w:t>
            </w:r>
            <w:r w:rsidR="00033D0F">
              <w:rPr>
                <w:smallCaps/>
                <w:spacing w:val="-1"/>
              </w:rPr>
              <w:t xml:space="preserve"> </w:t>
            </w:r>
            <w:r w:rsidR="00033D0F">
              <w:rPr>
                <w:smallCaps/>
                <w:spacing w:val="-12"/>
              </w:rPr>
              <w:t xml:space="preserve"> </w:t>
            </w:r>
            <w:r w:rsidR="00033D0F">
              <w:rPr>
                <w:smallCaps/>
              </w:rPr>
              <w:t>by</w:t>
            </w:r>
            <w:r w:rsidR="00033D0F">
              <w:rPr>
                <w:smallCaps/>
                <w:spacing w:val="-1"/>
              </w:rPr>
              <w:t xml:space="preserve"> </w:t>
            </w:r>
            <w:r w:rsidR="00033D0F">
              <w:rPr>
                <w:smallCaps/>
                <w:spacing w:val="-13"/>
              </w:rPr>
              <w:t xml:space="preserve"> </w:t>
            </w:r>
            <w:r w:rsidR="00033D0F">
              <w:rPr>
                <w:smallCaps/>
              </w:rPr>
              <w:t>or</w:t>
            </w:r>
            <w:r w:rsidR="00033D0F">
              <w:rPr>
                <w:smallCaps/>
                <w:spacing w:val="-1"/>
              </w:rPr>
              <w:t xml:space="preserve"> </w:t>
            </w:r>
            <w:r w:rsidR="00033D0F">
              <w:rPr>
                <w:smallCaps/>
                <w:spacing w:val="-12"/>
              </w:rPr>
              <w:t xml:space="preserve"> </w:t>
            </w:r>
            <w:r w:rsidR="00033D0F">
              <w:rPr>
                <w:smallCaps/>
              </w:rPr>
              <w:t>on</w:t>
            </w:r>
            <w:r w:rsidR="00033D0F">
              <w:rPr>
                <w:smallCaps/>
                <w:spacing w:val="-1"/>
              </w:rPr>
              <w:t xml:space="preserve"> </w:t>
            </w:r>
            <w:r w:rsidR="00033D0F">
              <w:rPr>
                <w:smallCaps/>
                <w:spacing w:val="-16"/>
              </w:rPr>
              <w:t xml:space="preserve"> </w:t>
            </w:r>
            <w:r w:rsidR="00033D0F">
              <w:rPr>
                <w:smallCaps/>
              </w:rPr>
              <w:t>behalf</w:t>
            </w:r>
            <w:r w:rsidR="00033D0F">
              <w:rPr>
                <w:smallCaps/>
                <w:spacing w:val="-1"/>
              </w:rPr>
              <w:t xml:space="preserve"> </w:t>
            </w:r>
            <w:r w:rsidR="00033D0F">
              <w:rPr>
                <w:smallCaps/>
                <w:spacing w:val="-16"/>
              </w:rPr>
              <w:t xml:space="preserve"> </w:t>
            </w:r>
            <w:r w:rsidR="00033D0F">
              <w:rPr>
                <w:smallCaps/>
              </w:rPr>
              <w:t>of</w:t>
            </w:r>
            <w:r w:rsidR="00033D0F">
              <w:rPr>
                <w:smallCaps/>
                <w:spacing w:val="-1"/>
              </w:rPr>
              <w:t xml:space="preserve"> </w:t>
            </w:r>
            <w:r w:rsidR="00033D0F">
              <w:rPr>
                <w:smallCaps/>
                <w:spacing w:val="-21"/>
              </w:rPr>
              <w:t xml:space="preserve"> </w:t>
            </w:r>
            <w:r w:rsidR="00033D0F">
              <w:rPr>
                <w:smallCaps/>
              </w:rPr>
              <w:t>the</w:t>
            </w:r>
            <w:r w:rsidR="00033D0F">
              <w:rPr>
                <w:smallCaps/>
                <w:spacing w:val="-1"/>
              </w:rPr>
              <w:t xml:space="preserve"> </w:t>
            </w:r>
            <w:r w:rsidR="00033D0F">
              <w:rPr>
                <w:smallCaps/>
                <w:spacing w:val="-12"/>
              </w:rPr>
              <w:t xml:space="preserve"> </w:t>
            </w:r>
            <w:r w:rsidR="00033D0F">
              <w:rPr>
                <w:smallCaps/>
              </w:rPr>
              <w:t>domestic</w:t>
            </w:r>
            <w:r w:rsidR="00033D0F">
              <w:rPr>
                <w:smallCaps/>
                <w:spacing w:val="-1"/>
              </w:rPr>
              <w:t xml:space="preserve"> </w:t>
            </w:r>
            <w:r w:rsidR="00033D0F">
              <w:rPr>
                <w:smallCaps/>
                <w:spacing w:val="-15"/>
              </w:rPr>
              <w:t xml:space="preserve"> </w:t>
            </w:r>
            <w:r w:rsidR="00033D0F">
              <w:rPr>
                <w:smallCaps/>
              </w:rPr>
              <w:t>industry</w:t>
            </w:r>
            <w:r w:rsidR="00033D0F">
              <w:rPr>
                <w:smallCaps/>
                <w:spacing w:val="-1"/>
              </w:rPr>
              <w:t xml:space="preserve"> </w:t>
            </w:r>
            <w:r w:rsidR="00033D0F">
              <w:rPr>
                <w:smallCaps/>
                <w:spacing w:val="-13"/>
              </w:rPr>
              <w:t xml:space="preserve"> </w:t>
            </w:r>
            <w:r w:rsidR="00033D0F">
              <w:rPr>
                <w:smallCaps/>
              </w:rPr>
              <w:t>and</w:t>
            </w:r>
            <w:r w:rsidR="00033D0F">
              <w:rPr>
                <w:smallCaps/>
                <w:spacing w:val="-1"/>
              </w:rPr>
              <w:t xml:space="preserve"> </w:t>
            </w:r>
            <w:r w:rsidR="00033D0F">
              <w:rPr>
                <w:smallCaps/>
                <w:spacing w:val="-15"/>
              </w:rPr>
              <w:t xml:space="preserve"> </w:t>
            </w:r>
            <w:r w:rsidR="00033D0F">
              <w:rPr>
                <w:smallCaps/>
              </w:rPr>
              <w:t>the</w:t>
            </w:r>
          </w:hyperlink>
          <w:r w:rsidR="00033D0F">
            <w:rPr>
              <w:smallCaps/>
            </w:rPr>
            <w:t xml:space="preserve"> </w:t>
          </w:r>
          <w:hyperlink w:anchor="_bookmark1119" w:history="1">
            <w:r w:rsidR="00033D0F">
              <w:rPr>
                <w:smallCaps/>
              </w:rPr>
              <w:t>applicant did not have standing</w:t>
            </w:r>
            <w:r w:rsidR="00033D0F">
              <w:rPr>
                <w:smallCaps/>
              </w:rPr>
              <w:tab/>
            </w:r>
            <w:r w:rsidR="00033D0F">
              <w:rPr>
                <w:smallCaps/>
                <w:spacing w:val="-4"/>
              </w:rPr>
              <w:t>217</w:t>
            </w:r>
          </w:hyperlink>
        </w:p>
        <w:p w14:paraId="734C0105" w14:textId="77777777" w:rsidR="00BD462C" w:rsidRDefault="00000000">
          <w:pPr>
            <w:pStyle w:val="TOC8"/>
            <w:numPr>
              <w:ilvl w:val="2"/>
              <w:numId w:val="67"/>
            </w:numPr>
            <w:tabs>
              <w:tab w:val="left" w:pos="1835"/>
              <w:tab w:val="left" w:pos="1836"/>
              <w:tab w:val="left" w:leader="dot" w:pos="8833"/>
            </w:tabs>
            <w:ind w:left="1840" w:right="918" w:hanging="855"/>
          </w:pPr>
          <w:hyperlink w:anchor="_bookmark1120" w:history="1">
            <w:r w:rsidR="00033D0F">
              <w:t>MOFCOM's examination of the degree of support for the application was</w:t>
            </w:r>
          </w:hyperlink>
          <w:r w:rsidR="00033D0F">
            <w:t xml:space="preserve"> </w:t>
          </w:r>
          <w:hyperlink w:anchor="_bookmark1120" w:history="1">
            <w:r w:rsidR="00033D0F">
              <w:rPr>
                <w:spacing w:val="-2"/>
              </w:rPr>
              <w:t>flawed</w:t>
            </w:r>
            <w:r w:rsidR="00033D0F">
              <w:tab/>
            </w:r>
            <w:r w:rsidR="00033D0F">
              <w:rPr>
                <w:spacing w:val="-4"/>
              </w:rPr>
              <w:t>217</w:t>
            </w:r>
          </w:hyperlink>
        </w:p>
        <w:p w14:paraId="45D00F3B" w14:textId="77777777" w:rsidR="00BD462C" w:rsidRDefault="00000000">
          <w:pPr>
            <w:pStyle w:val="TOC8"/>
            <w:numPr>
              <w:ilvl w:val="2"/>
              <w:numId w:val="67"/>
            </w:numPr>
            <w:tabs>
              <w:tab w:val="left" w:pos="1835"/>
              <w:tab w:val="left" w:pos="1836"/>
              <w:tab w:val="left" w:leader="dot" w:pos="8833"/>
            </w:tabs>
            <w:spacing w:before="119"/>
            <w:ind w:left="1840" w:right="918" w:hanging="855"/>
          </w:pPr>
          <w:hyperlink w:anchor="_bookmark1134" w:history="1">
            <w:r w:rsidR="00033D0F">
              <w:t>China</w:t>
            </w:r>
            <w:r w:rsidR="00033D0F">
              <w:rPr>
                <w:spacing w:val="80"/>
              </w:rPr>
              <w:t xml:space="preserve"> </w:t>
            </w:r>
            <w:r w:rsidR="00033D0F">
              <w:t>relies</w:t>
            </w:r>
            <w:r w:rsidR="00033D0F">
              <w:rPr>
                <w:spacing w:val="79"/>
              </w:rPr>
              <w:t xml:space="preserve"> </w:t>
            </w:r>
            <w:r w:rsidR="00033D0F">
              <w:t>on</w:t>
            </w:r>
            <w:r w:rsidR="00033D0F">
              <w:rPr>
                <w:spacing w:val="79"/>
              </w:rPr>
              <w:t xml:space="preserve"> </w:t>
            </w:r>
            <w:r w:rsidR="00033D0F">
              <w:t>documents</w:t>
            </w:r>
            <w:r w:rsidR="00033D0F">
              <w:rPr>
                <w:spacing w:val="80"/>
              </w:rPr>
              <w:t xml:space="preserve"> </w:t>
            </w:r>
            <w:r w:rsidR="00033D0F">
              <w:t>that</w:t>
            </w:r>
            <w:r w:rsidR="00033D0F">
              <w:rPr>
                <w:spacing w:val="77"/>
              </w:rPr>
              <w:t xml:space="preserve"> </w:t>
            </w:r>
            <w:r w:rsidR="00033D0F">
              <w:t>it</w:t>
            </w:r>
            <w:r w:rsidR="00033D0F">
              <w:rPr>
                <w:spacing w:val="77"/>
              </w:rPr>
              <w:t xml:space="preserve"> </w:t>
            </w:r>
            <w:r w:rsidR="00033D0F">
              <w:t>has</w:t>
            </w:r>
            <w:r w:rsidR="00033D0F">
              <w:rPr>
                <w:spacing w:val="79"/>
              </w:rPr>
              <w:t xml:space="preserve"> </w:t>
            </w:r>
            <w:r w:rsidR="00033D0F">
              <w:t>not</w:t>
            </w:r>
            <w:r w:rsidR="00033D0F">
              <w:rPr>
                <w:spacing w:val="80"/>
              </w:rPr>
              <w:t xml:space="preserve"> </w:t>
            </w:r>
            <w:r w:rsidR="00033D0F">
              <w:t>disclosed</w:t>
            </w:r>
            <w:r w:rsidR="00033D0F">
              <w:rPr>
                <w:spacing w:val="79"/>
              </w:rPr>
              <w:t xml:space="preserve"> </w:t>
            </w:r>
            <w:r w:rsidR="00033D0F">
              <w:t>to</w:t>
            </w:r>
            <w:r w:rsidR="00033D0F">
              <w:rPr>
                <w:spacing w:val="79"/>
              </w:rPr>
              <w:t xml:space="preserve"> </w:t>
            </w:r>
            <w:r w:rsidR="00033D0F">
              <w:t>support</w:t>
            </w:r>
            <w:r w:rsidR="00033D0F">
              <w:rPr>
                <w:spacing w:val="80"/>
              </w:rPr>
              <w:t xml:space="preserve"> </w:t>
            </w:r>
            <w:r w:rsidR="00033D0F">
              <w:t>its</w:t>
            </w:r>
          </w:hyperlink>
          <w:r w:rsidR="00033D0F">
            <w:t xml:space="preserve"> </w:t>
          </w:r>
          <w:hyperlink w:anchor="_bookmark1134" w:history="1">
            <w:r w:rsidR="00033D0F">
              <w:rPr>
                <w:spacing w:val="-2"/>
              </w:rPr>
              <w:t>arguments</w:t>
            </w:r>
            <w:r w:rsidR="00033D0F">
              <w:tab/>
            </w:r>
            <w:r w:rsidR="00033D0F">
              <w:rPr>
                <w:spacing w:val="-4"/>
              </w:rPr>
              <w:t>220</w:t>
            </w:r>
          </w:hyperlink>
        </w:p>
        <w:p w14:paraId="59E5325C" w14:textId="77777777" w:rsidR="00BD462C" w:rsidRDefault="00000000">
          <w:pPr>
            <w:pStyle w:val="TOC8"/>
            <w:numPr>
              <w:ilvl w:val="2"/>
              <w:numId w:val="67"/>
            </w:numPr>
            <w:tabs>
              <w:tab w:val="left" w:pos="1835"/>
              <w:tab w:val="left" w:pos="1836"/>
              <w:tab w:val="left" w:leader="dot" w:pos="8833"/>
            </w:tabs>
            <w:ind w:left="1840" w:right="914" w:hanging="855"/>
          </w:pPr>
          <w:hyperlink w:anchor="_bookmark1140" w:history="1">
            <w:r w:rsidR="00033D0F">
              <w:t>CADA's domestic production data was unreliable for MOFCOM's standing</w:t>
            </w:r>
          </w:hyperlink>
          <w:r w:rsidR="00033D0F">
            <w:t xml:space="preserve"> </w:t>
          </w:r>
          <w:hyperlink w:anchor="_bookmark1140" w:history="1">
            <w:r w:rsidR="00033D0F">
              <w:rPr>
                <w:spacing w:val="-2"/>
              </w:rPr>
              <w:t>determination</w:t>
            </w:r>
            <w:r w:rsidR="00033D0F">
              <w:tab/>
            </w:r>
            <w:r w:rsidR="00033D0F">
              <w:rPr>
                <w:spacing w:val="-5"/>
              </w:rPr>
              <w:t>221</w:t>
            </w:r>
          </w:hyperlink>
        </w:p>
        <w:p w14:paraId="48C9CACA" w14:textId="77777777" w:rsidR="00BD462C" w:rsidRDefault="00000000">
          <w:pPr>
            <w:pStyle w:val="TOC8"/>
            <w:numPr>
              <w:ilvl w:val="2"/>
              <w:numId w:val="67"/>
            </w:numPr>
            <w:tabs>
              <w:tab w:val="left" w:pos="1835"/>
              <w:tab w:val="left" w:pos="1836"/>
              <w:tab w:val="left" w:leader="dot" w:pos="8833"/>
            </w:tabs>
            <w:ind w:left="1840" w:right="918" w:hanging="855"/>
          </w:pPr>
          <w:hyperlink w:anchor="_bookmark1146" w:history="1">
            <w:r w:rsidR="00033D0F">
              <w:t>China</w:t>
            </w:r>
            <w:r w:rsidR="00033D0F">
              <w:rPr>
                <w:spacing w:val="40"/>
              </w:rPr>
              <w:t xml:space="preserve"> </w:t>
            </w:r>
            <w:r w:rsidR="00033D0F">
              <w:t>failed</w:t>
            </w:r>
            <w:r w:rsidR="00033D0F">
              <w:rPr>
                <w:spacing w:val="40"/>
              </w:rPr>
              <w:t xml:space="preserve"> </w:t>
            </w:r>
            <w:r w:rsidR="00033D0F">
              <w:t>to</w:t>
            </w:r>
            <w:r w:rsidR="00033D0F">
              <w:rPr>
                <w:spacing w:val="40"/>
              </w:rPr>
              <w:t xml:space="preserve"> </w:t>
            </w:r>
            <w:r w:rsidR="00033D0F">
              <w:t>require</w:t>
            </w:r>
            <w:r w:rsidR="00033D0F">
              <w:rPr>
                <w:spacing w:val="40"/>
              </w:rPr>
              <w:t xml:space="preserve"> </w:t>
            </w:r>
            <w:r w:rsidR="00033D0F">
              <w:t>CADA</w:t>
            </w:r>
            <w:r w:rsidR="00033D0F">
              <w:rPr>
                <w:spacing w:val="40"/>
              </w:rPr>
              <w:t xml:space="preserve"> </w:t>
            </w:r>
            <w:r w:rsidR="00033D0F">
              <w:t>to</w:t>
            </w:r>
            <w:r w:rsidR="00033D0F">
              <w:rPr>
                <w:spacing w:val="40"/>
              </w:rPr>
              <w:t xml:space="preserve"> </w:t>
            </w:r>
            <w:r w:rsidR="00033D0F">
              <w:t>provide</w:t>
            </w:r>
            <w:r w:rsidR="00033D0F">
              <w:rPr>
                <w:spacing w:val="40"/>
              </w:rPr>
              <w:t xml:space="preserve"> </w:t>
            </w:r>
            <w:r w:rsidR="00033D0F">
              <w:t>a</w:t>
            </w:r>
            <w:r w:rsidR="00033D0F">
              <w:rPr>
                <w:spacing w:val="40"/>
              </w:rPr>
              <w:t xml:space="preserve"> </w:t>
            </w:r>
            <w:r w:rsidR="00033D0F">
              <w:t>list</w:t>
            </w:r>
            <w:r w:rsidR="00033D0F">
              <w:rPr>
                <w:spacing w:val="40"/>
              </w:rPr>
              <w:t xml:space="preserve"> </w:t>
            </w:r>
            <w:r w:rsidR="00033D0F">
              <w:t>of</w:t>
            </w:r>
            <w:r w:rsidR="00033D0F">
              <w:rPr>
                <w:spacing w:val="40"/>
              </w:rPr>
              <w:t xml:space="preserve"> </w:t>
            </w:r>
            <w:r w:rsidR="00033D0F">
              <w:t>all</w:t>
            </w:r>
            <w:r w:rsidR="00033D0F">
              <w:rPr>
                <w:spacing w:val="40"/>
              </w:rPr>
              <w:t xml:space="preserve"> </w:t>
            </w:r>
            <w:r w:rsidR="00033D0F">
              <w:t>known</w:t>
            </w:r>
            <w:r w:rsidR="00033D0F">
              <w:rPr>
                <w:spacing w:val="40"/>
              </w:rPr>
              <w:t xml:space="preserve"> </w:t>
            </w:r>
            <w:r w:rsidR="00033D0F">
              <w:t>domestic</w:t>
            </w:r>
          </w:hyperlink>
          <w:r w:rsidR="00033D0F">
            <w:t xml:space="preserve"> </w:t>
          </w:r>
          <w:hyperlink w:anchor="_bookmark1146" w:history="1">
            <w:r w:rsidR="00033D0F">
              <w:rPr>
                <w:spacing w:val="-2"/>
              </w:rPr>
              <w:t>producers</w:t>
            </w:r>
            <w:r w:rsidR="00033D0F">
              <w:tab/>
            </w:r>
            <w:r w:rsidR="00033D0F">
              <w:rPr>
                <w:spacing w:val="-5"/>
              </w:rPr>
              <w:t>222</w:t>
            </w:r>
          </w:hyperlink>
        </w:p>
        <w:p w14:paraId="00757949" w14:textId="77777777" w:rsidR="00BD462C" w:rsidRDefault="00000000">
          <w:pPr>
            <w:pStyle w:val="TOC7"/>
            <w:numPr>
              <w:ilvl w:val="1"/>
              <w:numId w:val="67"/>
            </w:numPr>
            <w:tabs>
              <w:tab w:val="left" w:pos="1412"/>
              <w:tab w:val="left" w:pos="1413"/>
            </w:tabs>
            <w:spacing w:before="119"/>
          </w:pPr>
          <w:hyperlink w:anchor="_bookmark1157" w:history="1">
            <w:r w:rsidR="00033D0F">
              <w:rPr>
                <w:smallCaps/>
              </w:rPr>
              <w:t>CADA's</w:t>
            </w:r>
            <w:r w:rsidR="00033D0F">
              <w:rPr>
                <w:smallCaps/>
                <w:spacing w:val="-2"/>
              </w:rPr>
              <w:t xml:space="preserve"> </w:t>
            </w:r>
            <w:r w:rsidR="00033D0F">
              <w:rPr>
                <w:smallCaps/>
              </w:rPr>
              <w:t>written</w:t>
            </w:r>
            <w:r w:rsidR="00033D0F">
              <w:rPr>
                <w:smallCaps/>
                <w:spacing w:val="-3"/>
              </w:rPr>
              <w:t xml:space="preserve"> </w:t>
            </w:r>
            <w:r w:rsidR="00033D0F">
              <w:rPr>
                <w:smallCaps/>
              </w:rPr>
              <w:t>application</w:t>
            </w:r>
            <w:r w:rsidR="00033D0F">
              <w:rPr>
                <w:smallCaps/>
                <w:spacing w:val="-3"/>
              </w:rPr>
              <w:t xml:space="preserve"> </w:t>
            </w:r>
            <w:r w:rsidR="00033D0F">
              <w:rPr>
                <w:smallCaps/>
              </w:rPr>
              <w:t>contained</w:t>
            </w:r>
            <w:r w:rsidR="00033D0F">
              <w:rPr>
                <w:smallCaps/>
                <w:spacing w:val="-2"/>
              </w:rPr>
              <w:t xml:space="preserve"> </w:t>
            </w:r>
            <w:r w:rsidR="00033D0F">
              <w:rPr>
                <w:smallCaps/>
              </w:rPr>
              <w:t>insufficient evidence</w:t>
            </w:r>
            <w:r w:rsidR="00033D0F">
              <w:rPr>
                <w:smallCaps/>
                <w:spacing w:val="2"/>
              </w:rPr>
              <w:t xml:space="preserve"> </w:t>
            </w:r>
            <w:r w:rsidR="00033D0F">
              <w:rPr>
                <w:smallCaps/>
              </w:rPr>
              <w:t>of</w:t>
            </w:r>
            <w:r w:rsidR="00033D0F">
              <w:rPr>
                <w:smallCaps/>
                <w:spacing w:val="-3"/>
              </w:rPr>
              <w:t xml:space="preserve"> </w:t>
            </w:r>
            <w:proofErr w:type="gramStart"/>
            <w:r w:rsidR="00033D0F">
              <w:rPr>
                <w:smallCaps/>
              </w:rPr>
              <w:t>Dumping,</w:t>
            </w:r>
            <w:proofErr w:type="gramEnd"/>
            <w:r w:rsidR="00033D0F">
              <w:rPr>
                <w:smallCaps/>
                <w:spacing w:val="-11"/>
              </w:rPr>
              <w:t xml:space="preserve"> </w:t>
            </w:r>
            <w:r w:rsidR="00033D0F">
              <w:rPr>
                <w:smallCaps/>
              </w:rPr>
              <w:t xml:space="preserve">Injury </w:t>
            </w:r>
            <w:r w:rsidR="00033D0F">
              <w:rPr>
                <w:smallCaps/>
                <w:spacing w:val="-5"/>
              </w:rPr>
              <w:t>and</w:t>
            </w:r>
          </w:hyperlink>
        </w:p>
        <w:p w14:paraId="35BA8717" w14:textId="77777777" w:rsidR="00BD462C" w:rsidRDefault="00000000">
          <w:pPr>
            <w:tabs>
              <w:tab w:val="left" w:leader="dot" w:pos="8833"/>
            </w:tabs>
            <w:ind w:left="1412"/>
            <w:rPr>
              <w:b/>
              <w:sz w:val="24"/>
            </w:rPr>
          </w:pPr>
          <w:hyperlink w:anchor="_bookmark1157" w:history="1">
            <w:r w:rsidR="00033D0F">
              <w:rPr>
                <w:b/>
                <w:smallCaps/>
                <w:sz w:val="24"/>
              </w:rPr>
              <w:t>Causation</w:t>
            </w:r>
            <w:r w:rsidR="00033D0F">
              <w:rPr>
                <w:b/>
                <w:smallCaps/>
                <w:spacing w:val="-4"/>
                <w:sz w:val="24"/>
              </w:rPr>
              <w:t xml:space="preserve"> </w:t>
            </w:r>
            <w:r w:rsidR="00033D0F">
              <w:rPr>
                <w:b/>
                <w:smallCaps/>
                <w:sz w:val="24"/>
              </w:rPr>
              <w:t>for the purposes</w:t>
            </w:r>
            <w:r w:rsidR="00033D0F">
              <w:rPr>
                <w:b/>
                <w:smallCaps/>
                <w:spacing w:val="-7"/>
                <w:sz w:val="24"/>
              </w:rPr>
              <w:t xml:space="preserve"> </w:t>
            </w:r>
            <w:r w:rsidR="00033D0F">
              <w:rPr>
                <w:b/>
                <w:smallCaps/>
                <w:sz w:val="24"/>
              </w:rPr>
              <w:t>of</w:t>
            </w:r>
            <w:r w:rsidR="00033D0F">
              <w:rPr>
                <w:b/>
                <w:smallCaps/>
                <w:spacing w:val="-3"/>
                <w:sz w:val="24"/>
              </w:rPr>
              <w:t xml:space="preserve"> </w:t>
            </w:r>
            <w:r w:rsidR="00033D0F">
              <w:rPr>
                <w:b/>
                <w:smallCaps/>
                <w:spacing w:val="-2"/>
                <w:sz w:val="24"/>
              </w:rPr>
              <w:t>Initiation</w:t>
            </w:r>
            <w:r w:rsidR="00033D0F">
              <w:rPr>
                <w:b/>
                <w:smallCaps/>
                <w:sz w:val="24"/>
              </w:rPr>
              <w:tab/>
            </w:r>
            <w:r w:rsidR="00033D0F">
              <w:rPr>
                <w:b/>
                <w:smallCaps/>
                <w:spacing w:val="-5"/>
                <w:sz w:val="24"/>
              </w:rPr>
              <w:t>224</w:t>
            </w:r>
          </w:hyperlink>
        </w:p>
        <w:p w14:paraId="4FDD3F38" w14:textId="77777777" w:rsidR="00BD462C" w:rsidRDefault="00000000">
          <w:pPr>
            <w:pStyle w:val="TOC8"/>
            <w:numPr>
              <w:ilvl w:val="2"/>
              <w:numId w:val="67"/>
            </w:numPr>
            <w:tabs>
              <w:tab w:val="left" w:pos="1835"/>
              <w:tab w:val="left" w:pos="1836"/>
              <w:tab w:val="left" w:leader="dot" w:pos="8833"/>
            </w:tabs>
            <w:ind w:left="1840" w:right="914" w:hanging="855"/>
          </w:pPr>
          <w:hyperlink w:anchor="_bookmark1158" w:history="1">
            <w:r w:rsidR="00033D0F">
              <w:t>Australia</w:t>
            </w:r>
            <w:r w:rsidR="00033D0F">
              <w:rPr>
                <w:spacing w:val="-11"/>
              </w:rPr>
              <w:t xml:space="preserve"> </w:t>
            </w:r>
            <w:r w:rsidR="00033D0F">
              <w:t>and</w:t>
            </w:r>
            <w:r w:rsidR="00033D0F">
              <w:rPr>
                <w:spacing w:val="-12"/>
              </w:rPr>
              <w:t xml:space="preserve"> </w:t>
            </w:r>
            <w:r w:rsidR="00033D0F">
              <w:t>China</w:t>
            </w:r>
            <w:r w:rsidR="00033D0F">
              <w:rPr>
                <w:spacing w:val="-11"/>
              </w:rPr>
              <w:t xml:space="preserve"> </w:t>
            </w:r>
            <w:r w:rsidR="00033D0F">
              <w:t>appear</w:t>
            </w:r>
            <w:r w:rsidR="00033D0F">
              <w:rPr>
                <w:spacing w:val="-11"/>
              </w:rPr>
              <w:t xml:space="preserve"> </w:t>
            </w:r>
            <w:r w:rsidR="00033D0F">
              <w:t>to</w:t>
            </w:r>
            <w:r w:rsidR="00033D0F">
              <w:rPr>
                <w:spacing w:val="-12"/>
              </w:rPr>
              <w:t xml:space="preserve"> </w:t>
            </w:r>
            <w:r w:rsidR="00033D0F">
              <w:t>agree</w:t>
            </w:r>
            <w:r w:rsidR="00033D0F">
              <w:rPr>
                <w:spacing w:val="-13"/>
              </w:rPr>
              <w:t xml:space="preserve"> </w:t>
            </w:r>
            <w:r w:rsidR="00033D0F">
              <w:t>on</w:t>
            </w:r>
            <w:r w:rsidR="00033D0F">
              <w:rPr>
                <w:spacing w:val="-12"/>
              </w:rPr>
              <w:t xml:space="preserve"> </w:t>
            </w:r>
            <w:r w:rsidR="00033D0F">
              <w:t>the</w:t>
            </w:r>
            <w:r w:rsidR="00033D0F">
              <w:rPr>
                <w:spacing w:val="-8"/>
              </w:rPr>
              <w:t xml:space="preserve"> </w:t>
            </w:r>
            <w:r w:rsidR="00033D0F">
              <w:t>legal</w:t>
            </w:r>
            <w:r w:rsidR="00033D0F">
              <w:rPr>
                <w:spacing w:val="-14"/>
              </w:rPr>
              <w:t xml:space="preserve"> </w:t>
            </w:r>
            <w:r w:rsidR="00033D0F">
              <w:t>standard</w:t>
            </w:r>
            <w:r w:rsidR="00033D0F">
              <w:rPr>
                <w:spacing w:val="-11"/>
              </w:rPr>
              <w:t xml:space="preserve"> </w:t>
            </w:r>
            <w:r w:rsidR="00033D0F">
              <w:t>applicable</w:t>
            </w:r>
            <w:r w:rsidR="00033D0F">
              <w:rPr>
                <w:spacing w:val="-13"/>
              </w:rPr>
              <w:t xml:space="preserve"> </w:t>
            </w:r>
            <w:r w:rsidR="00033D0F">
              <w:t>under</w:t>
            </w:r>
          </w:hyperlink>
          <w:r w:rsidR="00033D0F">
            <w:t xml:space="preserve"> </w:t>
          </w:r>
          <w:hyperlink w:anchor="_bookmark1158" w:history="1">
            <w:r w:rsidR="00033D0F">
              <w:t>Articles 5.2 and 5.3 of the Anti-Dumping Agreement</w:t>
            </w:r>
            <w:r w:rsidR="00033D0F">
              <w:tab/>
            </w:r>
            <w:r w:rsidR="00033D0F">
              <w:rPr>
                <w:spacing w:val="-4"/>
              </w:rPr>
              <w:t>224</w:t>
            </w:r>
          </w:hyperlink>
        </w:p>
        <w:p w14:paraId="75CF1FAE" w14:textId="77777777" w:rsidR="00BD462C" w:rsidRDefault="00000000">
          <w:pPr>
            <w:pStyle w:val="TOC8"/>
            <w:numPr>
              <w:ilvl w:val="2"/>
              <w:numId w:val="67"/>
            </w:numPr>
            <w:tabs>
              <w:tab w:val="left" w:pos="1835"/>
              <w:tab w:val="left" w:pos="1836"/>
            </w:tabs>
            <w:ind w:hanging="851"/>
          </w:pPr>
          <w:hyperlink w:anchor="_bookmark1163" w:history="1">
            <w:r w:rsidR="00033D0F">
              <w:t>CADA's</w:t>
            </w:r>
            <w:r w:rsidR="00033D0F">
              <w:rPr>
                <w:spacing w:val="41"/>
              </w:rPr>
              <w:t xml:space="preserve"> </w:t>
            </w:r>
            <w:r w:rsidR="00033D0F">
              <w:t>written</w:t>
            </w:r>
            <w:r w:rsidR="00033D0F">
              <w:rPr>
                <w:spacing w:val="43"/>
              </w:rPr>
              <w:t xml:space="preserve"> </w:t>
            </w:r>
            <w:r w:rsidR="00033D0F">
              <w:t>application</w:t>
            </w:r>
            <w:r w:rsidR="00033D0F">
              <w:rPr>
                <w:spacing w:val="42"/>
              </w:rPr>
              <w:t xml:space="preserve"> </w:t>
            </w:r>
            <w:r w:rsidR="00033D0F">
              <w:t>contained</w:t>
            </w:r>
            <w:r w:rsidR="00033D0F">
              <w:rPr>
                <w:spacing w:val="43"/>
              </w:rPr>
              <w:t xml:space="preserve"> </w:t>
            </w:r>
            <w:r w:rsidR="00033D0F">
              <w:t>insufficient</w:t>
            </w:r>
            <w:r w:rsidR="00033D0F">
              <w:rPr>
                <w:spacing w:val="39"/>
              </w:rPr>
              <w:t xml:space="preserve"> </w:t>
            </w:r>
            <w:r w:rsidR="00033D0F">
              <w:t>evidence</w:t>
            </w:r>
            <w:r w:rsidR="00033D0F">
              <w:rPr>
                <w:spacing w:val="41"/>
              </w:rPr>
              <w:t xml:space="preserve"> </w:t>
            </w:r>
            <w:r w:rsidR="00033D0F">
              <w:t>of</w:t>
            </w:r>
            <w:r w:rsidR="00033D0F">
              <w:rPr>
                <w:spacing w:val="43"/>
              </w:rPr>
              <w:t xml:space="preserve"> </w:t>
            </w:r>
            <w:r w:rsidR="00033D0F">
              <w:rPr>
                <w:spacing w:val="-2"/>
              </w:rPr>
              <w:t>dumping</w:t>
            </w:r>
          </w:hyperlink>
        </w:p>
        <w:p w14:paraId="25FF5C56" w14:textId="77777777" w:rsidR="00BD462C" w:rsidRDefault="00000000">
          <w:pPr>
            <w:tabs>
              <w:tab w:val="left" w:leader="dot" w:pos="8833"/>
            </w:tabs>
            <w:ind w:left="1840"/>
            <w:rPr>
              <w:b/>
              <w:sz w:val="24"/>
            </w:rPr>
          </w:pPr>
          <w:hyperlink w:anchor="_bookmark1163" w:history="1">
            <w:r w:rsidR="00033D0F">
              <w:rPr>
                <w:b/>
                <w:spacing w:val="-10"/>
                <w:sz w:val="24"/>
              </w:rPr>
              <w:t>.</w:t>
            </w:r>
            <w:r w:rsidR="00033D0F">
              <w:rPr>
                <w:b/>
                <w:sz w:val="24"/>
              </w:rPr>
              <w:tab/>
            </w:r>
            <w:r w:rsidR="00033D0F">
              <w:rPr>
                <w:b/>
                <w:spacing w:val="-5"/>
                <w:sz w:val="24"/>
              </w:rPr>
              <w:t>225</w:t>
            </w:r>
          </w:hyperlink>
        </w:p>
        <w:p w14:paraId="5086081D" w14:textId="77777777" w:rsidR="00BD462C" w:rsidRDefault="00000000">
          <w:pPr>
            <w:pStyle w:val="TOC8"/>
            <w:numPr>
              <w:ilvl w:val="2"/>
              <w:numId w:val="67"/>
            </w:numPr>
            <w:tabs>
              <w:tab w:val="left" w:pos="1835"/>
              <w:tab w:val="left" w:pos="1836"/>
              <w:tab w:val="left" w:leader="dot" w:pos="8833"/>
            </w:tabs>
            <w:spacing w:before="119"/>
            <w:ind w:left="1840" w:right="912" w:hanging="855"/>
          </w:pPr>
          <w:hyperlink w:anchor="_bookmark1179" w:history="1">
            <w:r w:rsidR="00033D0F">
              <w:t>CADA's written application contained insufficient evidence of injury and</w:t>
            </w:r>
          </w:hyperlink>
          <w:r w:rsidR="00033D0F">
            <w:t xml:space="preserve"> </w:t>
          </w:r>
          <w:hyperlink w:anchor="_bookmark1179" w:history="1">
            <w:r w:rsidR="00033D0F">
              <w:rPr>
                <w:spacing w:val="-2"/>
              </w:rPr>
              <w:t>causation</w:t>
            </w:r>
            <w:r w:rsidR="00033D0F">
              <w:tab/>
            </w:r>
            <w:r w:rsidR="00033D0F">
              <w:rPr>
                <w:spacing w:val="-5"/>
              </w:rPr>
              <w:t>228</w:t>
            </w:r>
          </w:hyperlink>
        </w:p>
        <w:p w14:paraId="40F21534" w14:textId="77777777" w:rsidR="00BD462C" w:rsidRDefault="00000000">
          <w:pPr>
            <w:pStyle w:val="TOC8"/>
            <w:numPr>
              <w:ilvl w:val="2"/>
              <w:numId w:val="67"/>
            </w:numPr>
            <w:tabs>
              <w:tab w:val="left" w:pos="1835"/>
              <w:tab w:val="left" w:pos="1836"/>
              <w:tab w:val="left" w:leader="dot" w:pos="8833"/>
            </w:tabs>
            <w:spacing w:after="216"/>
            <w:ind w:hanging="851"/>
          </w:pPr>
          <w:hyperlink w:anchor="_bookmark1184" w:history="1">
            <w:r w:rsidR="00033D0F">
              <w:t>The</w:t>
            </w:r>
            <w:r w:rsidR="00033D0F">
              <w:rPr>
                <w:spacing w:val="-5"/>
              </w:rPr>
              <w:t xml:space="preserve"> </w:t>
            </w:r>
            <w:r w:rsidR="00033D0F">
              <w:t>application</w:t>
            </w:r>
            <w:r w:rsidR="00033D0F">
              <w:rPr>
                <w:spacing w:val="-2"/>
              </w:rPr>
              <w:t xml:space="preserve"> </w:t>
            </w:r>
            <w:r w:rsidR="00033D0F">
              <w:t>should</w:t>
            </w:r>
            <w:r w:rsidR="00033D0F">
              <w:rPr>
                <w:spacing w:val="-3"/>
              </w:rPr>
              <w:t xml:space="preserve"> </w:t>
            </w:r>
            <w:r w:rsidR="00033D0F">
              <w:t>have</w:t>
            </w:r>
            <w:r w:rsidR="00033D0F">
              <w:rPr>
                <w:spacing w:val="-4"/>
              </w:rPr>
              <w:t xml:space="preserve"> </w:t>
            </w:r>
            <w:r w:rsidR="00033D0F">
              <w:t>been</w:t>
            </w:r>
            <w:r w:rsidR="00033D0F">
              <w:rPr>
                <w:spacing w:val="-2"/>
              </w:rPr>
              <w:t xml:space="preserve"> rejected</w:t>
            </w:r>
            <w:r w:rsidR="00033D0F">
              <w:tab/>
            </w:r>
            <w:r w:rsidR="00033D0F">
              <w:rPr>
                <w:spacing w:val="-5"/>
              </w:rPr>
              <w:t>229</w:t>
            </w:r>
          </w:hyperlink>
        </w:p>
        <w:p w14:paraId="22244F79" w14:textId="77777777" w:rsidR="00BD462C" w:rsidRDefault="00033D0F">
          <w:pPr>
            <w:pStyle w:val="TOC6"/>
            <w:tabs>
              <w:tab w:val="left" w:pos="6087"/>
            </w:tabs>
            <w:rPr>
              <w:b w:val="0"/>
              <w:i w:val="0"/>
              <w:sz w:val="20"/>
            </w:rPr>
          </w:pPr>
          <w:r>
            <w:rPr>
              <w:b w:val="0"/>
              <w:sz w:val="20"/>
            </w:rPr>
            <w:lastRenderedPageBreak/>
            <w:t>China</w:t>
          </w:r>
          <w:r>
            <w:rPr>
              <w:b w:val="0"/>
              <w:spacing w:val="-9"/>
              <w:sz w:val="20"/>
            </w:rPr>
            <w:t xml:space="preserve"> </w:t>
          </w:r>
          <w:r>
            <w:rPr>
              <w:b w:val="0"/>
              <w:sz w:val="20"/>
            </w:rPr>
            <w:t>–</w:t>
          </w:r>
          <w:r>
            <w:rPr>
              <w:b w:val="0"/>
              <w:spacing w:val="-10"/>
              <w:sz w:val="20"/>
            </w:rPr>
            <w:t xml:space="preserve"> </w:t>
          </w:r>
          <w:r>
            <w:rPr>
              <w:b w:val="0"/>
              <w:sz w:val="20"/>
            </w:rPr>
            <w:t>Anti-Dumping</w:t>
          </w:r>
          <w:r>
            <w:rPr>
              <w:b w:val="0"/>
              <w:spacing w:val="-8"/>
              <w:sz w:val="20"/>
            </w:rPr>
            <w:t xml:space="preserve"> </w:t>
          </w:r>
          <w:r>
            <w:rPr>
              <w:b w:val="0"/>
              <w:sz w:val="20"/>
            </w:rPr>
            <w:t>and</w:t>
          </w:r>
          <w:r>
            <w:rPr>
              <w:b w:val="0"/>
              <w:spacing w:val="-5"/>
              <w:sz w:val="20"/>
            </w:rPr>
            <w:t xml:space="preserve"> </w:t>
          </w:r>
          <w:r>
            <w:rPr>
              <w:b w:val="0"/>
              <w:sz w:val="20"/>
            </w:rPr>
            <w:t>Countervailing</w:t>
          </w:r>
          <w:r>
            <w:rPr>
              <w:b w:val="0"/>
              <w:spacing w:val="-9"/>
              <w:sz w:val="20"/>
            </w:rPr>
            <w:t xml:space="preserve"> </w:t>
          </w:r>
          <w:r>
            <w:rPr>
              <w:b w:val="0"/>
              <w:sz w:val="20"/>
            </w:rPr>
            <w:t>Duty</w:t>
          </w:r>
          <w:r>
            <w:rPr>
              <w:b w:val="0"/>
              <w:spacing w:val="-8"/>
              <w:sz w:val="20"/>
            </w:rPr>
            <w:t xml:space="preserve"> </w:t>
          </w:r>
          <w:r>
            <w:rPr>
              <w:b w:val="0"/>
              <w:spacing w:val="-2"/>
              <w:sz w:val="20"/>
            </w:rPr>
            <w:t>Measures</w:t>
          </w:r>
          <w:r>
            <w:rPr>
              <w:b w:val="0"/>
              <w:sz w:val="20"/>
            </w:rPr>
            <w:tab/>
          </w:r>
          <w:r>
            <w:rPr>
              <w:b w:val="0"/>
              <w:i w:val="0"/>
              <w:sz w:val="20"/>
            </w:rPr>
            <w:t>Australia's</w:t>
          </w:r>
          <w:r>
            <w:rPr>
              <w:b w:val="0"/>
              <w:i w:val="0"/>
              <w:spacing w:val="-11"/>
              <w:sz w:val="20"/>
            </w:rPr>
            <w:t xml:space="preserve"> </w:t>
          </w:r>
          <w:r>
            <w:rPr>
              <w:b w:val="0"/>
              <w:i w:val="0"/>
              <w:sz w:val="20"/>
            </w:rPr>
            <w:t>Second</w:t>
          </w:r>
          <w:r>
            <w:rPr>
              <w:b w:val="0"/>
              <w:i w:val="0"/>
              <w:spacing w:val="-10"/>
              <w:sz w:val="20"/>
            </w:rPr>
            <w:t xml:space="preserve"> </w:t>
          </w:r>
          <w:r>
            <w:rPr>
              <w:b w:val="0"/>
              <w:i w:val="0"/>
              <w:sz w:val="20"/>
            </w:rPr>
            <w:t>Written</w:t>
          </w:r>
          <w:r>
            <w:rPr>
              <w:b w:val="0"/>
              <w:i w:val="0"/>
              <w:spacing w:val="-10"/>
              <w:sz w:val="20"/>
            </w:rPr>
            <w:t xml:space="preserve"> </w:t>
          </w:r>
          <w:r>
            <w:rPr>
              <w:b w:val="0"/>
              <w:i w:val="0"/>
              <w:spacing w:val="-2"/>
              <w:sz w:val="20"/>
            </w:rPr>
            <w:t>Submission</w:t>
          </w:r>
        </w:p>
        <w:p w14:paraId="660997CB" w14:textId="77777777" w:rsidR="00BD462C" w:rsidRDefault="00033D0F">
          <w:pPr>
            <w:pStyle w:val="TOC5"/>
          </w:pPr>
          <w:r>
            <w:t>On</w:t>
          </w:r>
          <w:r>
            <w:rPr>
              <w:spacing w:val="-2"/>
            </w:rPr>
            <w:t xml:space="preserve"> </w:t>
          </w:r>
          <w:r>
            <w:t>Wine</w:t>
          </w:r>
          <w:r>
            <w:rPr>
              <w:spacing w:val="-4"/>
            </w:rPr>
            <w:t xml:space="preserve"> </w:t>
          </w:r>
          <w:r>
            <w:t>from</w:t>
          </w:r>
          <w:r>
            <w:rPr>
              <w:spacing w:val="-4"/>
            </w:rPr>
            <w:t xml:space="preserve"> </w:t>
          </w:r>
          <w:r>
            <w:rPr>
              <w:spacing w:val="-2"/>
            </w:rPr>
            <w:t>Australia</w:t>
          </w:r>
        </w:p>
        <w:p w14:paraId="1911217D" w14:textId="77777777" w:rsidR="00BD462C" w:rsidRDefault="00033D0F">
          <w:pPr>
            <w:pStyle w:val="TOC4"/>
            <w:tabs>
              <w:tab w:val="left" w:pos="7652"/>
            </w:tabs>
          </w:pPr>
          <w:r>
            <w:rPr>
              <w:spacing w:val="-2"/>
            </w:rPr>
            <w:t>(DS602)</w:t>
          </w:r>
          <w:r>
            <w:tab/>
            <w:t>28</w:t>
          </w:r>
          <w:r>
            <w:rPr>
              <w:spacing w:val="-8"/>
            </w:rPr>
            <w:t xml:space="preserve"> </w:t>
          </w:r>
          <w:r>
            <w:t>November</w:t>
          </w:r>
          <w:r>
            <w:rPr>
              <w:spacing w:val="-2"/>
            </w:rPr>
            <w:t xml:space="preserve"> </w:t>
          </w:r>
          <w:r>
            <w:rPr>
              <w:spacing w:val="-4"/>
            </w:rPr>
            <w:t>2022</w:t>
          </w:r>
        </w:p>
        <w:p w14:paraId="413E6A9D" w14:textId="77777777" w:rsidR="00BD462C" w:rsidRDefault="00000000">
          <w:pPr>
            <w:pStyle w:val="TOC7"/>
            <w:numPr>
              <w:ilvl w:val="1"/>
              <w:numId w:val="67"/>
            </w:numPr>
            <w:tabs>
              <w:tab w:val="left" w:pos="1412"/>
              <w:tab w:val="left" w:pos="1413"/>
              <w:tab w:val="left" w:leader="dot" w:pos="8833"/>
            </w:tabs>
            <w:spacing w:before="98"/>
          </w:pPr>
          <w:hyperlink w:anchor="_bookmark1185" w:history="1">
            <w:r w:rsidR="00033D0F">
              <w:rPr>
                <w:smallCaps/>
                <w:spacing w:val="-2"/>
              </w:rPr>
              <w:t>Conclusion</w:t>
            </w:r>
            <w:r w:rsidR="00033D0F">
              <w:rPr>
                <w:smallCaps/>
              </w:rPr>
              <w:tab/>
            </w:r>
            <w:r w:rsidR="00033D0F">
              <w:rPr>
                <w:smallCaps/>
                <w:spacing w:val="-5"/>
              </w:rPr>
              <w:t>229</w:t>
            </w:r>
          </w:hyperlink>
        </w:p>
        <w:p w14:paraId="128CD757" w14:textId="77777777" w:rsidR="00BD462C" w:rsidRDefault="00000000">
          <w:pPr>
            <w:pStyle w:val="TOC2"/>
            <w:numPr>
              <w:ilvl w:val="0"/>
              <w:numId w:val="67"/>
            </w:numPr>
            <w:tabs>
              <w:tab w:val="left" w:pos="985"/>
              <w:tab w:val="left" w:pos="986"/>
              <w:tab w:val="left" w:leader="dot" w:pos="8833"/>
            </w:tabs>
            <w:ind w:right="913"/>
          </w:pPr>
          <w:hyperlink w:anchor="_bookmark1192" w:history="1">
            <w:r w:rsidR="00033D0F">
              <w:t>AUSTRALIA'S</w:t>
            </w:r>
            <w:r w:rsidR="00033D0F">
              <w:rPr>
                <w:spacing w:val="-13"/>
              </w:rPr>
              <w:t xml:space="preserve"> </w:t>
            </w:r>
            <w:r w:rsidR="00033D0F">
              <w:t>CLAIMS</w:t>
            </w:r>
            <w:r w:rsidR="00033D0F">
              <w:rPr>
                <w:spacing w:val="-13"/>
              </w:rPr>
              <w:t xml:space="preserve"> </w:t>
            </w:r>
            <w:r w:rsidR="00033D0F">
              <w:t>CONCERNING</w:t>
            </w:r>
            <w:r w:rsidR="00033D0F">
              <w:rPr>
                <w:spacing w:val="-14"/>
              </w:rPr>
              <w:t xml:space="preserve"> </w:t>
            </w:r>
            <w:r w:rsidR="00033D0F">
              <w:t>MOFCOM'S</w:t>
            </w:r>
            <w:r w:rsidR="00033D0F">
              <w:rPr>
                <w:spacing w:val="-13"/>
              </w:rPr>
              <w:t xml:space="preserve"> </w:t>
            </w:r>
            <w:r w:rsidR="00033D0F">
              <w:t>CONDUCT</w:t>
            </w:r>
            <w:r w:rsidR="00033D0F">
              <w:rPr>
                <w:spacing w:val="-13"/>
              </w:rPr>
              <w:t xml:space="preserve"> </w:t>
            </w:r>
            <w:r w:rsidR="00033D0F">
              <w:t>AND</w:t>
            </w:r>
            <w:r w:rsidR="00033D0F">
              <w:rPr>
                <w:spacing w:val="-12"/>
              </w:rPr>
              <w:t xml:space="preserve"> </w:t>
            </w:r>
            <w:r w:rsidR="00033D0F">
              <w:t>TRANSPARENCY</w:t>
            </w:r>
            <w:r w:rsidR="00033D0F">
              <w:rPr>
                <w:spacing w:val="-14"/>
              </w:rPr>
              <w:t xml:space="preserve"> </w:t>
            </w:r>
            <w:r w:rsidR="00033D0F">
              <w:t>OF</w:t>
            </w:r>
          </w:hyperlink>
          <w:r w:rsidR="00033D0F">
            <w:t xml:space="preserve"> </w:t>
          </w:r>
          <w:hyperlink w:anchor="_bookmark1192" w:history="1">
            <w:r w:rsidR="00033D0F">
              <w:t>THE</w:t>
            </w:r>
            <w:r w:rsidR="00033D0F">
              <w:rPr>
                <w:spacing w:val="-1"/>
              </w:rPr>
              <w:t xml:space="preserve"> </w:t>
            </w:r>
            <w:r w:rsidR="00033D0F">
              <w:rPr>
                <w:spacing w:val="-2"/>
              </w:rPr>
              <w:t>INVESTIGATION</w:t>
            </w:r>
            <w:r w:rsidR="00033D0F">
              <w:tab/>
            </w:r>
            <w:r w:rsidR="00033D0F">
              <w:rPr>
                <w:spacing w:val="-5"/>
              </w:rPr>
              <w:t>230</w:t>
            </w:r>
          </w:hyperlink>
        </w:p>
        <w:p w14:paraId="402DD0F7" w14:textId="77777777" w:rsidR="00BD462C" w:rsidRDefault="00000000">
          <w:pPr>
            <w:pStyle w:val="TOC7"/>
            <w:numPr>
              <w:ilvl w:val="1"/>
              <w:numId w:val="67"/>
            </w:numPr>
            <w:tabs>
              <w:tab w:val="left" w:pos="1412"/>
              <w:tab w:val="left" w:pos="1413"/>
              <w:tab w:val="left" w:leader="dot" w:pos="8833"/>
            </w:tabs>
            <w:spacing w:before="119"/>
          </w:pPr>
          <w:hyperlink w:anchor="_bookmark1193" w:history="1">
            <w:r w:rsidR="00033D0F">
              <w:rPr>
                <w:smallCaps/>
                <w:spacing w:val="-2"/>
              </w:rPr>
              <w:t>Introduction</w:t>
            </w:r>
            <w:r w:rsidR="00033D0F">
              <w:rPr>
                <w:smallCaps/>
              </w:rPr>
              <w:tab/>
            </w:r>
            <w:r w:rsidR="00033D0F">
              <w:rPr>
                <w:smallCaps/>
                <w:spacing w:val="-5"/>
              </w:rPr>
              <w:t>230</w:t>
            </w:r>
          </w:hyperlink>
        </w:p>
        <w:p w14:paraId="38B65B96" w14:textId="77777777" w:rsidR="00BD462C" w:rsidRDefault="00000000">
          <w:pPr>
            <w:pStyle w:val="TOC7"/>
            <w:numPr>
              <w:ilvl w:val="1"/>
              <w:numId w:val="67"/>
            </w:numPr>
            <w:tabs>
              <w:tab w:val="left" w:pos="1412"/>
              <w:tab w:val="left" w:pos="1413"/>
            </w:tabs>
            <w:ind w:right="909"/>
            <w:jc w:val="both"/>
          </w:pPr>
          <w:hyperlink w:anchor="_bookmark1194" w:history="1">
            <w:r w:rsidR="00033D0F">
              <w:rPr>
                <w:smallCaps/>
              </w:rPr>
              <w:t>China</w:t>
            </w:r>
            <w:r w:rsidR="00033D0F">
              <w:rPr>
                <w:smallCaps/>
                <w:spacing w:val="-11"/>
              </w:rPr>
              <w:t xml:space="preserve">  </w:t>
            </w:r>
            <w:r w:rsidR="00033D0F">
              <w:rPr>
                <w:smallCaps/>
              </w:rPr>
              <w:t>failed</w:t>
            </w:r>
            <w:r w:rsidR="00033D0F">
              <w:rPr>
                <w:smallCaps/>
                <w:spacing w:val="-11"/>
              </w:rPr>
              <w:t xml:space="preserve"> </w:t>
            </w:r>
            <w:r w:rsidR="00033D0F">
              <w:rPr>
                <w:smallCaps/>
                <w:spacing w:val="-10"/>
              </w:rPr>
              <w:t xml:space="preserve"> </w:t>
            </w:r>
            <w:r w:rsidR="00033D0F">
              <w:rPr>
                <w:smallCaps/>
              </w:rPr>
              <w:t>to</w:t>
            </w:r>
            <w:r w:rsidR="00033D0F">
              <w:rPr>
                <w:smallCaps/>
                <w:spacing w:val="-11"/>
              </w:rPr>
              <w:t xml:space="preserve">  </w:t>
            </w:r>
            <w:r w:rsidR="00033D0F">
              <w:rPr>
                <w:smallCaps/>
              </w:rPr>
              <w:t>objectively</w:t>
            </w:r>
            <w:r w:rsidR="00033D0F">
              <w:rPr>
                <w:smallCaps/>
                <w:spacing w:val="-11"/>
              </w:rPr>
              <w:t xml:space="preserve"> </w:t>
            </w:r>
            <w:r w:rsidR="00033D0F">
              <w:rPr>
                <w:smallCaps/>
                <w:spacing w:val="-10"/>
              </w:rPr>
              <w:t xml:space="preserve"> </w:t>
            </w:r>
            <w:r w:rsidR="00033D0F">
              <w:rPr>
                <w:smallCaps/>
              </w:rPr>
              <w:t>assess</w:t>
            </w:r>
            <w:r w:rsidR="00033D0F">
              <w:rPr>
                <w:smallCaps/>
                <w:spacing w:val="-11"/>
              </w:rPr>
              <w:t xml:space="preserve">  </w:t>
            </w:r>
            <w:r w:rsidR="00033D0F">
              <w:rPr>
                <w:smallCaps/>
              </w:rPr>
              <w:t>"good</w:t>
            </w:r>
            <w:r w:rsidR="00033D0F">
              <w:rPr>
                <w:smallCaps/>
                <w:spacing w:val="-11"/>
              </w:rPr>
              <w:t xml:space="preserve"> </w:t>
            </w:r>
            <w:r w:rsidR="00033D0F">
              <w:rPr>
                <w:smallCaps/>
                <w:spacing w:val="-10"/>
              </w:rPr>
              <w:t xml:space="preserve"> </w:t>
            </w:r>
            <w:r w:rsidR="00033D0F">
              <w:rPr>
                <w:smallCaps/>
              </w:rPr>
              <w:t>cause"</w:t>
            </w:r>
            <w:r w:rsidR="00033D0F">
              <w:rPr>
                <w:smallCaps/>
                <w:spacing w:val="-1"/>
              </w:rPr>
              <w:t xml:space="preserve"> </w:t>
            </w:r>
            <w:r w:rsidR="00033D0F">
              <w:rPr>
                <w:smallCaps/>
              </w:rPr>
              <w:t xml:space="preserve">for </w:t>
            </w:r>
            <w:r w:rsidR="00033D0F">
              <w:rPr>
                <w:smallCaps/>
                <w:spacing w:val="-11"/>
              </w:rPr>
              <w:t xml:space="preserve"> </w:t>
            </w:r>
            <w:r w:rsidR="00033D0F">
              <w:rPr>
                <w:smallCaps/>
              </w:rPr>
              <w:t xml:space="preserve">claims </w:t>
            </w:r>
            <w:r w:rsidR="00033D0F">
              <w:rPr>
                <w:smallCaps/>
                <w:spacing w:val="-11"/>
              </w:rPr>
              <w:t xml:space="preserve"> </w:t>
            </w:r>
            <w:r w:rsidR="00033D0F">
              <w:rPr>
                <w:smallCaps/>
              </w:rPr>
              <w:t xml:space="preserve">of </w:t>
            </w:r>
            <w:r w:rsidR="00033D0F">
              <w:rPr>
                <w:smallCaps/>
                <w:spacing w:val="-11"/>
              </w:rPr>
              <w:t xml:space="preserve"> </w:t>
            </w:r>
            <w:r w:rsidR="00033D0F">
              <w:rPr>
                <w:smallCaps/>
              </w:rPr>
              <w:t xml:space="preserve">confidentiality </w:t>
            </w:r>
            <w:r w:rsidR="00033D0F">
              <w:rPr>
                <w:smallCaps/>
                <w:spacing w:val="-11"/>
              </w:rPr>
              <w:t xml:space="preserve"> </w:t>
            </w:r>
            <w:r w:rsidR="00033D0F">
              <w:rPr>
                <w:smallCaps/>
              </w:rPr>
              <w:t>and</w:t>
            </w:r>
          </w:hyperlink>
          <w:r w:rsidR="00033D0F">
            <w:rPr>
              <w:smallCaps/>
            </w:rPr>
            <w:t xml:space="preserve"> </w:t>
          </w:r>
          <w:hyperlink w:anchor="_bookmark1194" w:history="1">
            <w:r w:rsidR="00033D0F">
              <w:rPr>
                <w:smallCaps/>
              </w:rPr>
              <w:t>failed</w:t>
            </w:r>
            <w:r w:rsidR="00033D0F">
              <w:rPr>
                <w:smallCaps/>
                <w:spacing w:val="40"/>
              </w:rPr>
              <w:t xml:space="preserve"> </w:t>
            </w:r>
            <w:r w:rsidR="00033D0F">
              <w:rPr>
                <w:smallCaps/>
                <w:spacing w:val="-11"/>
              </w:rPr>
              <w:t xml:space="preserve"> </w:t>
            </w:r>
            <w:r w:rsidR="00033D0F">
              <w:rPr>
                <w:smallCaps/>
              </w:rPr>
              <w:t>to</w:t>
            </w:r>
            <w:r w:rsidR="00033D0F">
              <w:rPr>
                <w:smallCaps/>
                <w:spacing w:val="40"/>
              </w:rPr>
              <w:t xml:space="preserve"> </w:t>
            </w:r>
            <w:r w:rsidR="00033D0F">
              <w:rPr>
                <w:smallCaps/>
                <w:spacing w:val="-11"/>
              </w:rPr>
              <w:t xml:space="preserve"> </w:t>
            </w:r>
            <w:r w:rsidR="00033D0F">
              <w:rPr>
                <w:smallCaps/>
              </w:rPr>
              <w:t>require</w:t>
            </w:r>
            <w:r w:rsidR="00033D0F">
              <w:rPr>
                <w:smallCaps/>
                <w:spacing w:val="40"/>
              </w:rPr>
              <w:t xml:space="preserve"> </w:t>
            </w:r>
            <w:r w:rsidR="00033D0F">
              <w:rPr>
                <w:smallCaps/>
                <w:spacing w:val="-11"/>
              </w:rPr>
              <w:t xml:space="preserve"> </w:t>
            </w:r>
            <w:r w:rsidR="00033D0F">
              <w:rPr>
                <w:smallCaps/>
              </w:rPr>
              <w:t>interested</w:t>
            </w:r>
            <w:r w:rsidR="00033D0F">
              <w:rPr>
                <w:smallCaps/>
                <w:spacing w:val="40"/>
              </w:rPr>
              <w:t xml:space="preserve"> </w:t>
            </w:r>
            <w:r w:rsidR="00033D0F">
              <w:rPr>
                <w:smallCaps/>
                <w:spacing w:val="-11"/>
              </w:rPr>
              <w:t xml:space="preserve"> </w:t>
            </w:r>
            <w:r w:rsidR="00033D0F">
              <w:rPr>
                <w:smallCaps/>
              </w:rPr>
              <w:t>parties</w:t>
            </w:r>
            <w:r w:rsidR="00033D0F">
              <w:rPr>
                <w:smallCaps/>
                <w:spacing w:val="40"/>
              </w:rPr>
              <w:t xml:space="preserve"> </w:t>
            </w:r>
            <w:r w:rsidR="00033D0F">
              <w:rPr>
                <w:smallCaps/>
                <w:spacing w:val="-11"/>
              </w:rPr>
              <w:t xml:space="preserve"> </w:t>
            </w:r>
            <w:r w:rsidR="00033D0F">
              <w:rPr>
                <w:smallCaps/>
              </w:rPr>
              <w:t>to</w:t>
            </w:r>
            <w:r w:rsidR="00033D0F">
              <w:rPr>
                <w:smallCaps/>
                <w:spacing w:val="40"/>
              </w:rPr>
              <w:t xml:space="preserve"> </w:t>
            </w:r>
            <w:r w:rsidR="00033D0F">
              <w:rPr>
                <w:smallCaps/>
                <w:spacing w:val="-11"/>
              </w:rPr>
              <w:t xml:space="preserve"> </w:t>
            </w:r>
            <w:r w:rsidR="00033D0F">
              <w:rPr>
                <w:smallCaps/>
              </w:rPr>
              <w:t>furnish</w:t>
            </w:r>
            <w:r w:rsidR="00033D0F">
              <w:rPr>
                <w:smallCaps/>
                <w:spacing w:val="40"/>
              </w:rPr>
              <w:t xml:space="preserve"> </w:t>
            </w:r>
            <w:r w:rsidR="00033D0F">
              <w:rPr>
                <w:smallCaps/>
                <w:spacing w:val="-11"/>
              </w:rPr>
              <w:t xml:space="preserve"> </w:t>
            </w:r>
            <w:r w:rsidR="00033D0F">
              <w:rPr>
                <w:smallCaps/>
              </w:rPr>
              <w:t>adequate</w:t>
            </w:r>
            <w:r w:rsidR="00033D0F">
              <w:rPr>
                <w:smallCaps/>
                <w:spacing w:val="40"/>
              </w:rPr>
              <w:t xml:space="preserve"> </w:t>
            </w:r>
            <w:r w:rsidR="00033D0F">
              <w:rPr>
                <w:smallCaps/>
                <w:spacing w:val="-11"/>
              </w:rPr>
              <w:t xml:space="preserve"> </w:t>
            </w:r>
            <w:r w:rsidR="00033D0F">
              <w:rPr>
                <w:smallCaps/>
              </w:rPr>
              <w:t>non-confidential</w:t>
            </w:r>
          </w:hyperlink>
          <w:r w:rsidR="00033D0F">
            <w:rPr>
              <w:smallCaps/>
            </w:rPr>
            <w:t xml:space="preserve"> </w:t>
          </w:r>
          <w:hyperlink w:anchor="_bookmark1194" w:history="1">
            <w:r w:rsidR="00033D0F">
              <w:rPr>
                <w:smallCaps/>
              </w:rPr>
              <w:t>summaries</w:t>
            </w:r>
            <w:r w:rsidR="00033D0F">
              <w:rPr>
                <w:smallCaps/>
                <w:spacing w:val="-3"/>
              </w:rPr>
              <w:t xml:space="preserve"> </w:t>
            </w:r>
            <w:r w:rsidR="00033D0F">
              <w:rPr>
                <w:smallCaps/>
              </w:rPr>
              <w:t>in breach</w:t>
            </w:r>
            <w:r w:rsidR="00033D0F">
              <w:rPr>
                <w:smallCaps/>
                <w:spacing w:val="-4"/>
              </w:rPr>
              <w:t xml:space="preserve"> </w:t>
            </w:r>
            <w:r w:rsidR="00033D0F">
              <w:rPr>
                <w:smallCaps/>
              </w:rPr>
              <w:t>of Articles 6.5</w:t>
            </w:r>
            <w:r w:rsidR="00033D0F">
              <w:rPr>
                <w:smallCaps/>
                <w:spacing w:val="-11"/>
              </w:rPr>
              <w:t xml:space="preserve"> </w:t>
            </w:r>
            <w:r w:rsidR="00033D0F">
              <w:rPr>
                <w:smallCaps/>
              </w:rPr>
              <w:t>and 6.5.1</w:t>
            </w:r>
            <w:r w:rsidR="00033D0F">
              <w:rPr>
                <w:smallCaps/>
                <w:spacing w:val="-11"/>
              </w:rPr>
              <w:t xml:space="preserve"> </w:t>
            </w:r>
            <w:r w:rsidR="00033D0F">
              <w:rPr>
                <w:smallCaps/>
              </w:rPr>
              <w:t>of the Anti-Dumping Agreement</w:t>
            </w:r>
            <w:r w:rsidR="00033D0F">
              <w:rPr>
                <w:smallCaps/>
                <w:spacing w:val="-7"/>
              </w:rPr>
              <w:t xml:space="preserve"> </w:t>
            </w:r>
            <w:r w:rsidR="00033D0F">
              <w:rPr>
                <w:smallCaps/>
              </w:rPr>
              <w:t>.230</w:t>
            </w:r>
          </w:hyperlink>
        </w:p>
        <w:p w14:paraId="46E46AC0" w14:textId="77777777" w:rsidR="00BD462C" w:rsidRDefault="00000000">
          <w:pPr>
            <w:pStyle w:val="TOC8"/>
            <w:numPr>
              <w:ilvl w:val="2"/>
              <w:numId w:val="67"/>
            </w:numPr>
            <w:tabs>
              <w:tab w:val="left" w:pos="1835"/>
              <w:tab w:val="left" w:pos="1836"/>
            </w:tabs>
            <w:ind w:hanging="851"/>
          </w:pPr>
          <w:hyperlink w:anchor="_bookmark1197" w:history="1">
            <w:r w:rsidR="00033D0F">
              <w:t>The</w:t>
            </w:r>
            <w:r w:rsidR="00033D0F">
              <w:rPr>
                <w:spacing w:val="-6"/>
              </w:rPr>
              <w:t xml:space="preserve"> </w:t>
            </w:r>
            <w:r w:rsidR="00033D0F">
              <w:t>legal</w:t>
            </w:r>
            <w:r w:rsidR="00033D0F">
              <w:rPr>
                <w:spacing w:val="-3"/>
              </w:rPr>
              <w:t xml:space="preserve"> </w:t>
            </w:r>
            <w:r w:rsidR="00033D0F">
              <w:t>framework</w:t>
            </w:r>
            <w:r w:rsidR="00033D0F">
              <w:rPr>
                <w:spacing w:val="-2"/>
              </w:rPr>
              <w:t xml:space="preserve"> </w:t>
            </w:r>
            <w:r w:rsidR="00033D0F">
              <w:t>for</w:t>
            </w:r>
            <w:r w:rsidR="00033D0F">
              <w:rPr>
                <w:spacing w:val="3"/>
              </w:rPr>
              <w:t xml:space="preserve"> </w:t>
            </w:r>
            <w:r w:rsidR="00033D0F">
              <w:t>the</w:t>
            </w:r>
            <w:r w:rsidR="00033D0F">
              <w:rPr>
                <w:spacing w:val="-3"/>
              </w:rPr>
              <w:t xml:space="preserve"> </w:t>
            </w:r>
            <w:r w:rsidR="00033D0F">
              <w:t>assessment</w:t>
            </w:r>
            <w:r w:rsidR="00033D0F">
              <w:rPr>
                <w:spacing w:val="1"/>
              </w:rPr>
              <w:t xml:space="preserve"> </w:t>
            </w:r>
            <w:r w:rsidR="00033D0F">
              <w:t>of</w:t>
            </w:r>
            <w:r w:rsidR="00033D0F">
              <w:rPr>
                <w:spacing w:val="-1"/>
              </w:rPr>
              <w:t xml:space="preserve"> </w:t>
            </w:r>
            <w:r w:rsidR="00033D0F">
              <w:t>"good</w:t>
            </w:r>
            <w:r w:rsidR="00033D0F">
              <w:rPr>
                <w:spacing w:val="-2"/>
              </w:rPr>
              <w:t xml:space="preserve"> </w:t>
            </w:r>
            <w:r w:rsidR="00033D0F">
              <w:t>cause"</w:t>
            </w:r>
            <w:r w:rsidR="00033D0F">
              <w:rPr>
                <w:spacing w:val="-2"/>
              </w:rPr>
              <w:t xml:space="preserve"> </w:t>
            </w:r>
            <w:r w:rsidR="00033D0F">
              <w:t>under</w:t>
            </w:r>
            <w:r w:rsidR="00033D0F">
              <w:rPr>
                <w:spacing w:val="-1"/>
              </w:rPr>
              <w:t xml:space="preserve"> </w:t>
            </w:r>
            <w:r w:rsidR="00033D0F">
              <w:t>Article</w:t>
            </w:r>
            <w:r w:rsidR="00033D0F">
              <w:rPr>
                <w:spacing w:val="2"/>
              </w:rPr>
              <w:t xml:space="preserve"> </w:t>
            </w:r>
            <w:r w:rsidR="00033D0F">
              <w:rPr>
                <w:spacing w:val="-5"/>
              </w:rPr>
              <w:t>6.5</w:t>
            </w:r>
          </w:hyperlink>
        </w:p>
        <w:p w14:paraId="43E018BF" w14:textId="77777777" w:rsidR="00BD462C" w:rsidRDefault="00000000">
          <w:pPr>
            <w:tabs>
              <w:tab w:val="left" w:leader="dot" w:pos="8833"/>
            </w:tabs>
            <w:ind w:left="1840"/>
            <w:rPr>
              <w:b/>
              <w:sz w:val="24"/>
            </w:rPr>
          </w:pPr>
          <w:hyperlink w:anchor="_bookmark1197" w:history="1">
            <w:r w:rsidR="00033D0F">
              <w:rPr>
                <w:b/>
                <w:spacing w:val="-10"/>
                <w:sz w:val="24"/>
              </w:rPr>
              <w:t>.</w:t>
            </w:r>
            <w:r w:rsidR="00033D0F">
              <w:rPr>
                <w:b/>
                <w:sz w:val="24"/>
              </w:rPr>
              <w:tab/>
            </w:r>
            <w:r w:rsidR="00033D0F">
              <w:rPr>
                <w:b/>
                <w:spacing w:val="-5"/>
                <w:sz w:val="24"/>
              </w:rPr>
              <w:t>231</w:t>
            </w:r>
          </w:hyperlink>
        </w:p>
        <w:p w14:paraId="07223ECB" w14:textId="77777777" w:rsidR="00BD462C" w:rsidRDefault="00000000">
          <w:pPr>
            <w:pStyle w:val="TOC8"/>
            <w:numPr>
              <w:ilvl w:val="2"/>
              <w:numId w:val="67"/>
            </w:numPr>
            <w:tabs>
              <w:tab w:val="left" w:pos="1835"/>
              <w:tab w:val="left" w:pos="1836"/>
              <w:tab w:val="left" w:leader="dot" w:pos="8833"/>
            </w:tabs>
            <w:spacing w:before="119"/>
            <w:ind w:left="1840" w:right="911" w:hanging="855"/>
            <w:jc w:val="both"/>
          </w:pPr>
          <w:hyperlink w:anchor="_bookmark1212" w:history="1">
            <w:r w:rsidR="00033D0F">
              <w:t>The legal framework for the requirement to provide a summary in</w:t>
            </w:r>
          </w:hyperlink>
          <w:r w:rsidR="00033D0F">
            <w:t xml:space="preserve"> </w:t>
          </w:r>
          <w:hyperlink w:anchor="_bookmark1212" w:history="1">
            <w:r w:rsidR="00033D0F">
              <w:t>sufficient</w:t>
            </w:r>
            <w:r w:rsidR="00033D0F">
              <w:rPr>
                <w:spacing w:val="-1"/>
              </w:rPr>
              <w:t xml:space="preserve"> </w:t>
            </w:r>
            <w:r w:rsidR="00033D0F">
              <w:t>detail or a statement</w:t>
            </w:r>
            <w:r w:rsidR="00033D0F">
              <w:rPr>
                <w:spacing w:val="-1"/>
              </w:rPr>
              <w:t xml:space="preserve"> </w:t>
            </w:r>
            <w:r w:rsidR="00033D0F">
              <w:t xml:space="preserve">of reasons as to why </w:t>
            </w:r>
            <w:proofErr w:type="spellStart"/>
            <w:r w:rsidR="00033D0F">
              <w:t>summarisation</w:t>
            </w:r>
            <w:proofErr w:type="spellEnd"/>
            <w:r w:rsidR="00033D0F">
              <w:t xml:space="preserve"> is not</w:t>
            </w:r>
          </w:hyperlink>
          <w:r w:rsidR="00033D0F">
            <w:t xml:space="preserve"> </w:t>
          </w:r>
          <w:hyperlink w:anchor="_bookmark1212" w:history="1">
            <w:r w:rsidR="00033D0F">
              <w:rPr>
                <w:spacing w:val="-2"/>
              </w:rPr>
              <w:t>possible</w:t>
            </w:r>
            <w:r w:rsidR="00033D0F">
              <w:tab/>
            </w:r>
            <w:r w:rsidR="00033D0F">
              <w:rPr>
                <w:spacing w:val="-5"/>
              </w:rPr>
              <w:t>234</w:t>
            </w:r>
          </w:hyperlink>
        </w:p>
        <w:p w14:paraId="47CF9856" w14:textId="77777777" w:rsidR="00BD462C" w:rsidRDefault="00000000">
          <w:pPr>
            <w:pStyle w:val="TOC8"/>
            <w:numPr>
              <w:ilvl w:val="2"/>
              <w:numId w:val="67"/>
            </w:numPr>
            <w:tabs>
              <w:tab w:val="left" w:pos="1835"/>
              <w:tab w:val="left" w:pos="1836"/>
              <w:tab w:val="left" w:leader="dot" w:pos="8833"/>
            </w:tabs>
            <w:ind w:hanging="851"/>
            <w:jc w:val="both"/>
          </w:pPr>
          <w:hyperlink w:anchor="_bookmark1220" w:history="1">
            <w:r w:rsidR="00033D0F">
              <w:t>China</w:t>
            </w:r>
            <w:r w:rsidR="00033D0F">
              <w:rPr>
                <w:spacing w:val="-3"/>
              </w:rPr>
              <w:t xml:space="preserve"> </w:t>
            </w:r>
            <w:r w:rsidR="00033D0F">
              <w:t>misrepresents</w:t>
            </w:r>
            <w:r w:rsidR="00033D0F">
              <w:rPr>
                <w:spacing w:val="-5"/>
              </w:rPr>
              <w:t xml:space="preserve"> </w:t>
            </w:r>
            <w:r w:rsidR="00033D0F">
              <w:t>Australia's</w:t>
            </w:r>
            <w:r w:rsidR="00033D0F">
              <w:rPr>
                <w:spacing w:val="-4"/>
              </w:rPr>
              <w:t xml:space="preserve"> </w:t>
            </w:r>
            <w:r w:rsidR="00033D0F">
              <w:rPr>
                <w:spacing w:val="-2"/>
              </w:rPr>
              <w:t>arguments</w:t>
            </w:r>
            <w:r w:rsidR="00033D0F">
              <w:tab/>
            </w:r>
            <w:r w:rsidR="00033D0F">
              <w:rPr>
                <w:spacing w:val="-5"/>
              </w:rPr>
              <w:t>236</w:t>
            </w:r>
          </w:hyperlink>
        </w:p>
        <w:p w14:paraId="0213E3A1" w14:textId="77777777" w:rsidR="00BD462C" w:rsidRDefault="00000000">
          <w:pPr>
            <w:pStyle w:val="TOC8"/>
            <w:numPr>
              <w:ilvl w:val="2"/>
              <w:numId w:val="67"/>
            </w:numPr>
            <w:tabs>
              <w:tab w:val="left" w:pos="1835"/>
              <w:tab w:val="left" w:pos="1836"/>
              <w:tab w:val="left" w:leader="dot" w:pos="8833"/>
            </w:tabs>
            <w:ind w:hanging="851"/>
            <w:jc w:val="both"/>
          </w:pPr>
          <w:hyperlink w:anchor="_bookmark1230" w:history="1">
            <w:r w:rsidR="00033D0F">
              <w:t>The</w:t>
            </w:r>
            <w:r w:rsidR="00033D0F">
              <w:rPr>
                <w:spacing w:val="-3"/>
              </w:rPr>
              <w:t xml:space="preserve"> </w:t>
            </w:r>
            <w:r w:rsidR="00033D0F">
              <w:t>body</w:t>
            </w:r>
            <w:r w:rsidR="00033D0F">
              <w:rPr>
                <w:spacing w:val="1"/>
              </w:rPr>
              <w:t xml:space="preserve"> </w:t>
            </w:r>
            <w:r w:rsidR="00033D0F">
              <w:t>of</w:t>
            </w:r>
            <w:r w:rsidR="00033D0F">
              <w:rPr>
                <w:spacing w:val="-1"/>
              </w:rPr>
              <w:t xml:space="preserve"> </w:t>
            </w:r>
            <w:r w:rsidR="00033D0F">
              <w:t>CADA's</w:t>
            </w:r>
            <w:r w:rsidR="00033D0F">
              <w:rPr>
                <w:spacing w:val="-1"/>
              </w:rPr>
              <w:t xml:space="preserve"> </w:t>
            </w:r>
            <w:r w:rsidR="00033D0F">
              <w:rPr>
                <w:spacing w:val="-2"/>
              </w:rPr>
              <w:t>application</w:t>
            </w:r>
            <w:r w:rsidR="00033D0F">
              <w:tab/>
            </w:r>
            <w:r w:rsidR="00033D0F">
              <w:rPr>
                <w:spacing w:val="-5"/>
              </w:rPr>
              <w:t>238</w:t>
            </w:r>
          </w:hyperlink>
        </w:p>
        <w:p w14:paraId="5010366F" w14:textId="77777777" w:rsidR="00BD462C" w:rsidRDefault="00000000">
          <w:pPr>
            <w:pStyle w:val="TOC8"/>
            <w:numPr>
              <w:ilvl w:val="2"/>
              <w:numId w:val="67"/>
            </w:numPr>
            <w:tabs>
              <w:tab w:val="left" w:pos="1835"/>
              <w:tab w:val="left" w:pos="1836"/>
              <w:tab w:val="left" w:leader="dot" w:pos="8833"/>
            </w:tabs>
            <w:ind w:hanging="851"/>
            <w:jc w:val="both"/>
          </w:pPr>
          <w:hyperlink w:anchor="_bookmark1236" w:history="1">
            <w:r w:rsidR="00033D0F">
              <w:t>Annex</w:t>
            </w:r>
            <w:r w:rsidR="00033D0F">
              <w:rPr>
                <w:spacing w:val="-3"/>
              </w:rPr>
              <w:t xml:space="preserve"> </w:t>
            </w:r>
            <w:r w:rsidR="00033D0F">
              <w:t>3</w:t>
            </w:r>
            <w:r w:rsidR="00033D0F">
              <w:rPr>
                <w:spacing w:val="-5"/>
              </w:rPr>
              <w:t xml:space="preserve"> </w:t>
            </w:r>
            <w:r w:rsidR="00033D0F">
              <w:t>to</w:t>
            </w:r>
            <w:r w:rsidR="00033D0F">
              <w:rPr>
                <w:spacing w:val="1"/>
              </w:rPr>
              <w:t xml:space="preserve"> </w:t>
            </w:r>
            <w:r w:rsidR="00033D0F">
              <w:t>CADA's</w:t>
            </w:r>
            <w:r w:rsidR="00033D0F">
              <w:rPr>
                <w:spacing w:val="-2"/>
              </w:rPr>
              <w:t xml:space="preserve"> application</w:t>
            </w:r>
            <w:r w:rsidR="00033D0F">
              <w:tab/>
            </w:r>
            <w:r w:rsidR="00033D0F">
              <w:rPr>
                <w:spacing w:val="-5"/>
              </w:rPr>
              <w:t>239</w:t>
            </w:r>
          </w:hyperlink>
        </w:p>
        <w:p w14:paraId="19051AD8" w14:textId="77777777" w:rsidR="00BD462C" w:rsidRDefault="00000000">
          <w:pPr>
            <w:pStyle w:val="TOC8"/>
            <w:numPr>
              <w:ilvl w:val="2"/>
              <w:numId w:val="67"/>
            </w:numPr>
            <w:tabs>
              <w:tab w:val="left" w:pos="1835"/>
              <w:tab w:val="left" w:pos="1836"/>
              <w:tab w:val="left" w:leader="dot" w:pos="8833"/>
            </w:tabs>
            <w:spacing w:before="119"/>
            <w:ind w:hanging="851"/>
            <w:jc w:val="both"/>
          </w:pPr>
          <w:hyperlink w:anchor="_bookmark1259" w:history="1">
            <w:r w:rsidR="00033D0F">
              <w:t>The</w:t>
            </w:r>
            <w:r w:rsidR="00033D0F">
              <w:rPr>
                <w:spacing w:val="-4"/>
              </w:rPr>
              <w:t xml:space="preserve"> </w:t>
            </w:r>
            <w:r w:rsidR="00033D0F">
              <w:t>responses</w:t>
            </w:r>
            <w:r w:rsidR="00033D0F">
              <w:rPr>
                <w:spacing w:val="-3"/>
              </w:rPr>
              <w:t xml:space="preserve"> </w:t>
            </w:r>
            <w:r w:rsidR="00033D0F">
              <w:t>to</w:t>
            </w:r>
            <w:r w:rsidR="00033D0F">
              <w:rPr>
                <w:spacing w:val="-2"/>
              </w:rPr>
              <w:t xml:space="preserve"> </w:t>
            </w:r>
            <w:r w:rsidR="00033D0F">
              <w:t>domestic</w:t>
            </w:r>
            <w:r w:rsidR="00033D0F">
              <w:rPr>
                <w:spacing w:val="-3"/>
              </w:rPr>
              <w:t xml:space="preserve"> </w:t>
            </w:r>
            <w:r w:rsidR="00033D0F">
              <w:t>producers'</w:t>
            </w:r>
            <w:r w:rsidR="00033D0F">
              <w:rPr>
                <w:spacing w:val="-1"/>
              </w:rPr>
              <w:t xml:space="preserve"> </w:t>
            </w:r>
            <w:r w:rsidR="00033D0F">
              <w:rPr>
                <w:spacing w:val="-2"/>
              </w:rPr>
              <w:t>questionnaires</w:t>
            </w:r>
            <w:r w:rsidR="00033D0F">
              <w:tab/>
            </w:r>
            <w:r w:rsidR="00033D0F">
              <w:rPr>
                <w:spacing w:val="-5"/>
              </w:rPr>
              <w:t>244</w:t>
            </w:r>
          </w:hyperlink>
        </w:p>
        <w:p w14:paraId="73E384C4" w14:textId="77777777" w:rsidR="00BD462C" w:rsidRDefault="00000000">
          <w:pPr>
            <w:pStyle w:val="TOC8"/>
            <w:numPr>
              <w:ilvl w:val="2"/>
              <w:numId w:val="67"/>
            </w:numPr>
            <w:tabs>
              <w:tab w:val="left" w:pos="1835"/>
              <w:tab w:val="left" w:pos="1836"/>
            </w:tabs>
            <w:ind w:hanging="851"/>
            <w:jc w:val="both"/>
          </w:pPr>
          <w:hyperlink w:anchor="_bookmark1274" w:history="1">
            <w:r w:rsidR="00033D0F">
              <w:t>The</w:t>
            </w:r>
            <w:r w:rsidR="00033D0F">
              <w:rPr>
                <w:spacing w:val="-5"/>
              </w:rPr>
              <w:t xml:space="preserve"> </w:t>
            </w:r>
            <w:r w:rsidR="00033D0F">
              <w:t>responses</w:t>
            </w:r>
            <w:r w:rsidR="00033D0F">
              <w:rPr>
                <w:spacing w:val="-3"/>
              </w:rPr>
              <w:t xml:space="preserve"> </w:t>
            </w:r>
            <w:r w:rsidR="00033D0F">
              <w:t>to</w:t>
            </w:r>
            <w:r w:rsidR="00033D0F">
              <w:rPr>
                <w:spacing w:val="-3"/>
              </w:rPr>
              <w:t xml:space="preserve"> </w:t>
            </w:r>
            <w:r w:rsidR="00033D0F">
              <w:t>the</w:t>
            </w:r>
            <w:r w:rsidR="00033D0F">
              <w:rPr>
                <w:spacing w:val="-4"/>
              </w:rPr>
              <w:t xml:space="preserve"> </w:t>
            </w:r>
            <w:r w:rsidR="00033D0F">
              <w:t>notices</w:t>
            </w:r>
            <w:r w:rsidR="00033D0F">
              <w:rPr>
                <w:spacing w:val="2"/>
              </w:rPr>
              <w:t xml:space="preserve"> </w:t>
            </w:r>
            <w:r w:rsidR="00033D0F">
              <w:t>of</w:t>
            </w:r>
            <w:r w:rsidR="00033D0F">
              <w:rPr>
                <w:spacing w:val="-3"/>
              </w:rPr>
              <w:t xml:space="preserve"> </w:t>
            </w:r>
            <w:r w:rsidR="00033D0F">
              <w:t>verification</w:t>
            </w:r>
            <w:r w:rsidR="00033D0F">
              <w:rPr>
                <w:spacing w:val="-2"/>
              </w:rPr>
              <w:t xml:space="preserve"> </w:t>
            </w:r>
            <w:r w:rsidR="00033D0F">
              <w:t>from</w:t>
            </w:r>
            <w:r w:rsidR="00033D0F">
              <w:rPr>
                <w:spacing w:val="-2"/>
              </w:rPr>
              <w:t xml:space="preserve"> </w:t>
            </w:r>
            <w:r w:rsidR="00033D0F">
              <w:t>domestic</w:t>
            </w:r>
            <w:r w:rsidR="00033D0F">
              <w:rPr>
                <w:spacing w:val="-3"/>
              </w:rPr>
              <w:t xml:space="preserve"> </w:t>
            </w:r>
            <w:proofErr w:type="gramStart"/>
            <w:r w:rsidR="00033D0F">
              <w:t>industry</w:t>
            </w:r>
            <w:r w:rsidR="00033D0F">
              <w:rPr>
                <w:spacing w:val="75"/>
                <w:w w:val="150"/>
              </w:rPr>
              <w:t xml:space="preserve">  </w:t>
            </w:r>
            <w:r w:rsidR="00033D0F">
              <w:rPr>
                <w:spacing w:val="-5"/>
              </w:rPr>
              <w:t>248</w:t>
            </w:r>
            <w:proofErr w:type="gramEnd"/>
          </w:hyperlink>
        </w:p>
        <w:p w14:paraId="7A694B29" w14:textId="77777777" w:rsidR="00BD462C" w:rsidRDefault="00000000">
          <w:pPr>
            <w:pStyle w:val="TOC8"/>
            <w:numPr>
              <w:ilvl w:val="2"/>
              <w:numId w:val="67"/>
            </w:numPr>
            <w:tabs>
              <w:tab w:val="left" w:pos="1835"/>
              <w:tab w:val="left" w:pos="1836"/>
              <w:tab w:val="left" w:leader="dot" w:pos="8833"/>
            </w:tabs>
            <w:spacing w:before="125"/>
            <w:ind w:left="1840" w:right="918" w:hanging="855"/>
          </w:pPr>
          <w:hyperlink w:anchor="_bookmark1281" w:history="1">
            <w:r w:rsidR="00033D0F">
              <w:t>The</w:t>
            </w:r>
            <w:r w:rsidR="00033D0F">
              <w:rPr>
                <w:spacing w:val="80"/>
              </w:rPr>
              <w:t xml:space="preserve"> </w:t>
            </w:r>
            <w:r w:rsidR="00033D0F">
              <w:t>significance</w:t>
            </w:r>
            <w:r w:rsidR="00033D0F">
              <w:rPr>
                <w:spacing w:val="80"/>
              </w:rPr>
              <w:t xml:space="preserve"> </w:t>
            </w:r>
            <w:r w:rsidR="00033D0F">
              <w:t>of</w:t>
            </w:r>
            <w:r w:rsidR="00033D0F">
              <w:rPr>
                <w:spacing w:val="80"/>
              </w:rPr>
              <w:t xml:space="preserve"> </w:t>
            </w:r>
            <w:r w:rsidR="00033D0F">
              <w:t>the</w:t>
            </w:r>
            <w:r w:rsidR="00033D0F">
              <w:rPr>
                <w:spacing w:val="80"/>
              </w:rPr>
              <w:t xml:space="preserve"> </w:t>
            </w:r>
            <w:r w:rsidR="00033D0F">
              <w:t>verbatim</w:t>
            </w:r>
            <w:r w:rsidR="00033D0F">
              <w:rPr>
                <w:spacing w:val="80"/>
              </w:rPr>
              <w:t xml:space="preserve"> </w:t>
            </w:r>
            <w:r w:rsidR="00033D0F">
              <w:t>identical</w:t>
            </w:r>
            <w:r w:rsidR="00033D0F">
              <w:rPr>
                <w:spacing w:val="80"/>
              </w:rPr>
              <w:t xml:space="preserve"> </w:t>
            </w:r>
            <w:r w:rsidR="00033D0F">
              <w:t>requests</w:t>
            </w:r>
            <w:r w:rsidR="00033D0F">
              <w:rPr>
                <w:spacing w:val="80"/>
              </w:rPr>
              <w:t xml:space="preserve"> </w:t>
            </w:r>
            <w:r w:rsidR="00033D0F">
              <w:t>from</w:t>
            </w:r>
            <w:r w:rsidR="00033D0F">
              <w:rPr>
                <w:spacing w:val="80"/>
              </w:rPr>
              <w:t xml:space="preserve"> </w:t>
            </w:r>
            <w:r w:rsidR="00033D0F">
              <w:t>domestic</w:t>
            </w:r>
          </w:hyperlink>
          <w:r w:rsidR="00033D0F">
            <w:t xml:space="preserve"> </w:t>
          </w:r>
          <w:hyperlink w:anchor="_bookmark1281" w:history="1">
            <w:r w:rsidR="00033D0F">
              <w:rPr>
                <w:spacing w:val="-2"/>
              </w:rPr>
              <w:t>producers</w:t>
            </w:r>
            <w:r w:rsidR="00033D0F">
              <w:tab/>
            </w:r>
            <w:r w:rsidR="00033D0F">
              <w:rPr>
                <w:spacing w:val="-4"/>
              </w:rPr>
              <w:t>250</w:t>
            </w:r>
          </w:hyperlink>
        </w:p>
        <w:p w14:paraId="34755CC1" w14:textId="77777777" w:rsidR="00BD462C" w:rsidRDefault="00000000">
          <w:pPr>
            <w:pStyle w:val="TOC8"/>
            <w:numPr>
              <w:ilvl w:val="2"/>
              <w:numId w:val="67"/>
            </w:numPr>
            <w:tabs>
              <w:tab w:val="left" w:pos="1835"/>
              <w:tab w:val="left" w:pos="1836"/>
              <w:tab w:val="left" w:leader="dot" w:pos="8833"/>
            </w:tabs>
            <w:ind w:left="1840" w:right="916" w:hanging="855"/>
          </w:pPr>
          <w:hyperlink w:anchor="_bookmark1286" w:history="1">
            <w:r w:rsidR="00033D0F">
              <w:t>The</w:t>
            </w:r>
            <w:r w:rsidR="00033D0F">
              <w:rPr>
                <w:spacing w:val="40"/>
              </w:rPr>
              <w:t xml:space="preserve"> </w:t>
            </w:r>
            <w:r w:rsidR="00033D0F">
              <w:t>authoritative</w:t>
            </w:r>
            <w:r w:rsidR="00033D0F">
              <w:rPr>
                <w:spacing w:val="40"/>
              </w:rPr>
              <w:t xml:space="preserve"> </w:t>
            </w:r>
            <w:r w:rsidR="00033D0F">
              <w:t>domestic</w:t>
            </w:r>
            <w:r w:rsidR="00033D0F">
              <w:rPr>
                <w:spacing w:val="40"/>
              </w:rPr>
              <w:t xml:space="preserve"> </w:t>
            </w:r>
            <w:proofErr w:type="spellStart"/>
            <w:r w:rsidR="00033D0F">
              <w:t>organisation's</w:t>
            </w:r>
            <w:proofErr w:type="spellEnd"/>
            <w:r w:rsidR="00033D0F">
              <w:rPr>
                <w:spacing w:val="40"/>
              </w:rPr>
              <w:t xml:space="preserve"> </w:t>
            </w:r>
            <w:r w:rsidR="00033D0F">
              <w:t>information</w:t>
            </w:r>
            <w:r w:rsidR="00033D0F">
              <w:rPr>
                <w:spacing w:val="40"/>
              </w:rPr>
              <w:t xml:space="preserve"> </w:t>
            </w:r>
            <w:r w:rsidR="00033D0F">
              <w:t>about</w:t>
            </w:r>
            <w:r w:rsidR="00033D0F">
              <w:rPr>
                <w:spacing w:val="40"/>
              </w:rPr>
              <w:t xml:space="preserve"> </w:t>
            </w:r>
            <w:r w:rsidR="00033D0F">
              <w:t>the</w:t>
            </w:r>
            <w:r w:rsidR="00033D0F">
              <w:rPr>
                <w:spacing w:val="40"/>
              </w:rPr>
              <w:t xml:space="preserve"> </w:t>
            </w:r>
            <w:r w:rsidR="00033D0F">
              <w:t>total</w:t>
            </w:r>
          </w:hyperlink>
          <w:r w:rsidR="00033D0F">
            <w:t xml:space="preserve"> </w:t>
          </w:r>
          <w:hyperlink w:anchor="_bookmark1286" w:history="1">
            <w:r w:rsidR="00033D0F">
              <w:t>output</w:t>
            </w:r>
            <w:r w:rsidR="00033D0F">
              <w:rPr>
                <w:spacing w:val="-6"/>
              </w:rPr>
              <w:t xml:space="preserve"> </w:t>
            </w:r>
            <w:r w:rsidR="00033D0F">
              <w:t>of</w:t>
            </w:r>
            <w:r w:rsidR="00033D0F">
              <w:rPr>
                <w:spacing w:val="-2"/>
              </w:rPr>
              <w:t xml:space="preserve"> </w:t>
            </w:r>
            <w:r w:rsidR="00033D0F">
              <w:t>the</w:t>
            </w:r>
            <w:r w:rsidR="00033D0F">
              <w:rPr>
                <w:spacing w:val="-4"/>
              </w:rPr>
              <w:t xml:space="preserve"> </w:t>
            </w:r>
            <w:r w:rsidR="00033D0F">
              <w:t>Chinese</w:t>
            </w:r>
            <w:r w:rsidR="00033D0F">
              <w:rPr>
                <w:spacing w:val="-5"/>
              </w:rPr>
              <w:t xml:space="preserve"> </w:t>
            </w:r>
            <w:r w:rsidR="00033D0F">
              <w:t>domestic</w:t>
            </w:r>
            <w:r w:rsidR="00033D0F">
              <w:rPr>
                <w:spacing w:val="-3"/>
              </w:rPr>
              <w:t xml:space="preserve"> </w:t>
            </w:r>
            <w:r w:rsidR="00033D0F">
              <w:t>wine</w:t>
            </w:r>
            <w:r w:rsidR="00033D0F">
              <w:rPr>
                <w:spacing w:val="-4"/>
              </w:rPr>
              <w:t xml:space="preserve"> </w:t>
            </w:r>
            <w:r w:rsidR="00033D0F">
              <w:rPr>
                <w:spacing w:val="-2"/>
              </w:rPr>
              <w:t>industry</w:t>
            </w:r>
            <w:r w:rsidR="00033D0F">
              <w:tab/>
            </w:r>
            <w:r w:rsidR="00033D0F">
              <w:rPr>
                <w:spacing w:val="-5"/>
              </w:rPr>
              <w:t>251</w:t>
            </w:r>
          </w:hyperlink>
        </w:p>
        <w:p w14:paraId="15743181" w14:textId="77777777" w:rsidR="00BD462C" w:rsidRDefault="00000000">
          <w:pPr>
            <w:pStyle w:val="TOC8"/>
            <w:numPr>
              <w:ilvl w:val="2"/>
              <w:numId w:val="67"/>
            </w:numPr>
            <w:tabs>
              <w:tab w:val="left" w:pos="1835"/>
              <w:tab w:val="left" w:pos="1836"/>
              <w:tab w:val="left" w:leader="dot" w:pos="8833"/>
            </w:tabs>
            <w:spacing w:before="119"/>
            <w:ind w:hanging="851"/>
          </w:pPr>
          <w:hyperlink w:anchor="_bookmark1298" w:history="1">
            <w:r w:rsidR="00033D0F">
              <w:rPr>
                <w:spacing w:val="-2"/>
              </w:rPr>
              <w:t>Conclusion</w:t>
            </w:r>
            <w:r w:rsidR="00033D0F">
              <w:tab/>
            </w:r>
            <w:r w:rsidR="00033D0F">
              <w:rPr>
                <w:spacing w:val="-5"/>
              </w:rPr>
              <w:t>255</w:t>
            </w:r>
          </w:hyperlink>
        </w:p>
        <w:p w14:paraId="259BF017" w14:textId="77777777" w:rsidR="00BD462C" w:rsidRDefault="00000000">
          <w:pPr>
            <w:pStyle w:val="TOC7"/>
            <w:numPr>
              <w:ilvl w:val="1"/>
              <w:numId w:val="67"/>
            </w:numPr>
            <w:tabs>
              <w:tab w:val="left" w:pos="1412"/>
              <w:tab w:val="left" w:pos="1413"/>
            </w:tabs>
          </w:pPr>
          <w:hyperlink w:anchor="_bookmark1299" w:history="1">
            <w:r w:rsidR="00033D0F">
              <w:rPr>
                <w:smallCaps/>
              </w:rPr>
              <w:t>MOFCOM's</w:t>
            </w:r>
            <w:r w:rsidR="00033D0F">
              <w:rPr>
                <w:smallCaps/>
                <w:spacing w:val="3"/>
              </w:rPr>
              <w:t xml:space="preserve"> </w:t>
            </w:r>
            <w:r w:rsidR="00033D0F">
              <w:rPr>
                <w:smallCaps/>
              </w:rPr>
              <w:t>failure</w:t>
            </w:r>
            <w:r w:rsidR="00033D0F">
              <w:rPr>
                <w:smallCaps/>
                <w:spacing w:val="6"/>
              </w:rPr>
              <w:t xml:space="preserve"> </w:t>
            </w:r>
            <w:r w:rsidR="00033D0F">
              <w:rPr>
                <w:smallCaps/>
              </w:rPr>
              <w:t>to</w:t>
            </w:r>
            <w:r w:rsidR="00033D0F">
              <w:rPr>
                <w:smallCaps/>
                <w:spacing w:val="8"/>
              </w:rPr>
              <w:t xml:space="preserve"> </w:t>
            </w:r>
            <w:r w:rsidR="00033D0F">
              <w:rPr>
                <w:smallCaps/>
              </w:rPr>
              <w:t>construct</w:t>
            </w:r>
            <w:r w:rsidR="00033D0F">
              <w:rPr>
                <w:smallCaps/>
                <w:spacing w:val="4"/>
              </w:rPr>
              <w:t xml:space="preserve"> </w:t>
            </w:r>
            <w:r w:rsidR="00033D0F">
              <w:rPr>
                <w:smallCaps/>
              </w:rPr>
              <w:t>a</w:t>
            </w:r>
            <w:r w:rsidR="00033D0F">
              <w:rPr>
                <w:smallCaps/>
                <w:spacing w:val="2"/>
              </w:rPr>
              <w:t xml:space="preserve"> </w:t>
            </w:r>
            <w:r w:rsidR="00033D0F">
              <w:rPr>
                <w:smallCaps/>
              </w:rPr>
              <w:t>sample</w:t>
            </w:r>
            <w:r w:rsidR="00033D0F">
              <w:rPr>
                <w:smallCaps/>
                <w:spacing w:val="6"/>
              </w:rPr>
              <w:t xml:space="preserve"> </w:t>
            </w:r>
            <w:r w:rsidR="00033D0F">
              <w:rPr>
                <w:smallCaps/>
              </w:rPr>
              <w:t>using</w:t>
            </w:r>
            <w:r w:rsidR="00033D0F">
              <w:rPr>
                <w:smallCaps/>
                <w:spacing w:val="10"/>
              </w:rPr>
              <w:t xml:space="preserve"> </w:t>
            </w:r>
            <w:r w:rsidR="00033D0F">
              <w:rPr>
                <w:smallCaps/>
              </w:rPr>
              <w:t>a</w:t>
            </w:r>
            <w:r w:rsidR="00033D0F">
              <w:rPr>
                <w:smallCaps/>
                <w:spacing w:val="2"/>
              </w:rPr>
              <w:t xml:space="preserve"> </w:t>
            </w:r>
            <w:r w:rsidR="00033D0F">
              <w:rPr>
                <w:smallCaps/>
              </w:rPr>
              <w:t>permitted</w:t>
            </w:r>
            <w:r w:rsidR="00033D0F">
              <w:rPr>
                <w:smallCaps/>
                <w:spacing w:val="3"/>
              </w:rPr>
              <w:t xml:space="preserve"> </w:t>
            </w:r>
            <w:r w:rsidR="00033D0F">
              <w:rPr>
                <w:smallCaps/>
              </w:rPr>
              <w:t>method</w:t>
            </w:r>
            <w:r w:rsidR="00033D0F">
              <w:rPr>
                <w:smallCaps/>
                <w:spacing w:val="3"/>
              </w:rPr>
              <w:t xml:space="preserve"> </w:t>
            </w:r>
            <w:r w:rsidR="00033D0F">
              <w:rPr>
                <w:smallCaps/>
              </w:rPr>
              <w:t>under</w:t>
            </w:r>
            <w:r w:rsidR="00033D0F">
              <w:rPr>
                <w:smallCaps/>
                <w:spacing w:val="10"/>
              </w:rPr>
              <w:t xml:space="preserve"> </w:t>
            </w:r>
            <w:r w:rsidR="00033D0F">
              <w:rPr>
                <w:smallCaps/>
                <w:spacing w:val="-2"/>
              </w:rPr>
              <w:t>Article</w:t>
            </w:r>
          </w:hyperlink>
        </w:p>
        <w:p w14:paraId="6A566E1B" w14:textId="77777777" w:rsidR="00BD462C" w:rsidRDefault="00000000">
          <w:pPr>
            <w:tabs>
              <w:tab w:val="left" w:leader="dot" w:pos="8833"/>
            </w:tabs>
            <w:ind w:left="1412"/>
            <w:rPr>
              <w:b/>
              <w:sz w:val="24"/>
            </w:rPr>
          </w:pPr>
          <w:hyperlink w:anchor="_bookmark1299" w:history="1">
            <w:r w:rsidR="00033D0F">
              <w:rPr>
                <w:b/>
                <w:smallCaps/>
                <w:sz w:val="24"/>
              </w:rPr>
              <w:t>6.10</w:t>
            </w:r>
            <w:r w:rsidR="00033D0F">
              <w:rPr>
                <w:b/>
                <w:smallCaps/>
                <w:spacing w:val="-13"/>
                <w:sz w:val="24"/>
              </w:rPr>
              <w:t xml:space="preserve"> </w:t>
            </w:r>
            <w:r w:rsidR="00033D0F">
              <w:rPr>
                <w:b/>
                <w:smallCaps/>
                <w:sz w:val="24"/>
              </w:rPr>
              <w:t>of</w:t>
            </w:r>
            <w:r w:rsidR="00033D0F">
              <w:rPr>
                <w:b/>
                <w:smallCaps/>
                <w:spacing w:val="-5"/>
                <w:sz w:val="24"/>
              </w:rPr>
              <w:t xml:space="preserve"> </w:t>
            </w:r>
            <w:r w:rsidR="00033D0F">
              <w:rPr>
                <w:b/>
                <w:smallCaps/>
                <w:sz w:val="24"/>
              </w:rPr>
              <w:t>the</w:t>
            </w:r>
            <w:r w:rsidR="00033D0F">
              <w:rPr>
                <w:b/>
                <w:smallCaps/>
                <w:spacing w:val="1"/>
                <w:sz w:val="24"/>
              </w:rPr>
              <w:t xml:space="preserve"> </w:t>
            </w:r>
            <w:r w:rsidR="00033D0F">
              <w:rPr>
                <w:b/>
                <w:smallCaps/>
                <w:sz w:val="24"/>
              </w:rPr>
              <w:t xml:space="preserve">Anti-Dumping </w:t>
            </w:r>
            <w:r w:rsidR="00033D0F">
              <w:rPr>
                <w:b/>
                <w:smallCaps/>
                <w:spacing w:val="-2"/>
                <w:sz w:val="24"/>
              </w:rPr>
              <w:t>Agreement</w:t>
            </w:r>
            <w:r w:rsidR="00033D0F">
              <w:rPr>
                <w:b/>
                <w:smallCaps/>
                <w:sz w:val="24"/>
              </w:rPr>
              <w:tab/>
            </w:r>
            <w:r w:rsidR="00033D0F">
              <w:rPr>
                <w:b/>
                <w:smallCaps/>
                <w:spacing w:val="-5"/>
                <w:sz w:val="24"/>
              </w:rPr>
              <w:t>255</w:t>
            </w:r>
          </w:hyperlink>
        </w:p>
        <w:p w14:paraId="10CAF427" w14:textId="77777777" w:rsidR="00BD462C" w:rsidRDefault="00000000">
          <w:pPr>
            <w:pStyle w:val="TOC8"/>
            <w:numPr>
              <w:ilvl w:val="2"/>
              <w:numId w:val="67"/>
            </w:numPr>
            <w:tabs>
              <w:tab w:val="left" w:pos="1835"/>
              <w:tab w:val="left" w:pos="1836"/>
              <w:tab w:val="left" w:leader="dot" w:pos="8833"/>
            </w:tabs>
            <w:ind w:left="1840" w:right="918" w:hanging="855"/>
          </w:pPr>
          <w:hyperlink w:anchor="_bookmark1301" w:history="1">
            <w:r w:rsidR="00033D0F">
              <w:t>MOFCOM</w:t>
            </w:r>
            <w:r w:rsidR="00033D0F">
              <w:rPr>
                <w:spacing w:val="40"/>
              </w:rPr>
              <w:t xml:space="preserve"> </w:t>
            </w:r>
            <w:r w:rsidR="00033D0F">
              <w:t>impermissibly</w:t>
            </w:r>
            <w:r w:rsidR="00033D0F">
              <w:rPr>
                <w:spacing w:val="40"/>
              </w:rPr>
              <w:t xml:space="preserve"> </w:t>
            </w:r>
            <w:r w:rsidR="00033D0F">
              <w:t>failed</w:t>
            </w:r>
            <w:r w:rsidR="00033D0F">
              <w:rPr>
                <w:spacing w:val="40"/>
              </w:rPr>
              <w:t xml:space="preserve"> </w:t>
            </w:r>
            <w:r w:rsidR="00033D0F">
              <w:t>to</w:t>
            </w:r>
            <w:r w:rsidR="00033D0F">
              <w:rPr>
                <w:spacing w:val="40"/>
              </w:rPr>
              <w:t xml:space="preserve"> </w:t>
            </w:r>
            <w:r w:rsidR="00033D0F">
              <w:t>act</w:t>
            </w:r>
            <w:r w:rsidR="00033D0F">
              <w:rPr>
                <w:spacing w:val="40"/>
              </w:rPr>
              <w:t xml:space="preserve"> </w:t>
            </w:r>
            <w:r w:rsidR="00033D0F">
              <w:t>in</w:t>
            </w:r>
            <w:r w:rsidR="00033D0F">
              <w:rPr>
                <w:spacing w:val="40"/>
              </w:rPr>
              <w:t xml:space="preserve"> </w:t>
            </w:r>
            <w:r w:rsidR="00033D0F">
              <w:t>response</w:t>
            </w:r>
            <w:r w:rsidR="00033D0F">
              <w:rPr>
                <w:spacing w:val="40"/>
              </w:rPr>
              <w:t xml:space="preserve"> </w:t>
            </w:r>
            <w:r w:rsidR="00033D0F">
              <w:t>to</w:t>
            </w:r>
            <w:r w:rsidR="00033D0F">
              <w:rPr>
                <w:spacing w:val="40"/>
              </w:rPr>
              <w:t xml:space="preserve"> </w:t>
            </w:r>
            <w:r w:rsidR="00033D0F">
              <w:t>Pernod</w:t>
            </w:r>
            <w:r w:rsidR="00033D0F">
              <w:rPr>
                <w:spacing w:val="40"/>
              </w:rPr>
              <w:t xml:space="preserve"> </w:t>
            </w:r>
            <w:r w:rsidR="00033D0F">
              <w:t>Ricard's</w:t>
            </w:r>
          </w:hyperlink>
          <w:r w:rsidR="00033D0F">
            <w:rPr>
              <w:spacing w:val="40"/>
            </w:rPr>
            <w:t xml:space="preserve"> </w:t>
          </w:r>
          <w:hyperlink w:anchor="_bookmark1301" w:history="1">
            <w:r w:rsidR="00033D0F">
              <w:t>submission that there were errors in the sample data</w:t>
            </w:r>
            <w:r w:rsidR="00033D0F">
              <w:tab/>
            </w:r>
            <w:r w:rsidR="00033D0F">
              <w:rPr>
                <w:spacing w:val="-4"/>
              </w:rPr>
              <w:t>256</w:t>
            </w:r>
          </w:hyperlink>
        </w:p>
        <w:p w14:paraId="550536B0" w14:textId="77777777" w:rsidR="00BD462C" w:rsidRDefault="00000000">
          <w:pPr>
            <w:pStyle w:val="TOC8"/>
            <w:numPr>
              <w:ilvl w:val="2"/>
              <w:numId w:val="67"/>
            </w:numPr>
            <w:tabs>
              <w:tab w:val="left" w:pos="1835"/>
              <w:tab w:val="left" w:pos="1836"/>
              <w:tab w:val="left" w:leader="dot" w:pos="8833"/>
            </w:tabs>
            <w:spacing w:before="119"/>
            <w:ind w:left="1840" w:right="913" w:hanging="855"/>
          </w:pPr>
          <w:hyperlink w:anchor="_bookmark1311" w:history="1">
            <w:r w:rsidR="00033D0F">
              <w:t>Australia</w:t>
            </w:r>
            <w:r w:rsidR="00033D0F">
              <w:rPr>
                <w:spacing w:val="30"/>
              </w:rPr>
              <w:t xml:space="preserve"> </w:t>
            </w:r>
            <w:r w:rsidR="00033D0F">
              <w:t>is</w:t>
            </w:r>
            <w:r w:rsidR="00033D0F">
              <w:rPr>
                <w:spacing w:val="29"/>
              </w:rPr>
              <w:t xml:space="preserve"> </w:t>
            </w:r>
            <w:r w:rsidR="00033D0F">
              <w:t>not</w:t>
            </w:r>
            <w:r w:rsidR="00033D0F">
              <w:rPr>
                <w:spacing w:val="27"/>
              </w:rPr>
              <w:t xml:space="preserve"> </w:t>
            </w:r>
            <w:r w:rsidR="00033D0F">
              <w:t>required</w:t>
            </w:r>
            <w:r w:rsidR="00033D0F">
              <w:rPr>
                <w:spacing w:val="29"/>
              </w:rPr>
              <w:t xml:space="preserve"> </w:t>
            </w:r>
            <w:r w:rsidR="00033D0F">
              <w:t>to</w:t>
            </w:r>
            <w:r w:rsidR="00033D0F">
              <w:rPr>
                <w:spacing w:val="29"/>
              </w:rPr>
              <w:t xml:space="preserve"> </w:t>
            </w:r>
            <w:r w:rsidR="00033D0F">
              <w:t>submit</w:t>
            </w:r>
            <w:r w:rsidR="00033D0F">
              <w:rPr>
                <w:spacing w:val="27"/>
              </w:rPr>
              <w:t xml:space="preserve"> </w:t>
            </w:r>
            <w:r w:rsidR="00033D0F">
              <w:t>copies</w:t>
            </w:r>
            <w:r w:rsidR="00033D0F">
              <w:rPr>
                <w:spacing w:val="29"/>
              </w:rPr>
              <w:t xml:space="preserve"> </w:t>
            </w:r>
            <w:r w:rsidR="00033D0F">
              <w:t>of the</w:t>
            </w:r>
            <w:r w:rsidR="00033D0F">
              <w:rPr>
                <w:spacing w:val="28"/>
              </w:rPr>
              <w:t xml:space="preserve"> </w:t>
            </w:r>
            <w:r w:rsidR="00033D0F">
              <w:t>confidential</w:t>
            </w:r>
            <w:r w:rsidR="00033D0F">
              <w:rPr>
                <w:spacing w:val="27"/>
              </w:rPr>
              <w:t xml:space="preserve"> </w:t>
            </w:r>
            <w:r w:rsidR="00033D0F">
              <w:t>responses</w:t>
            </w:r>
          </w:hyperlink>
          <w:r w:rsidR="00033D0F">
            <w:t xml:space="preserve"> </w:t>
          </w:r>
          <w:hyperlink w:anchor="_bookmark1311" w:history="1">
            <w:r w:rsidR="00033D0F">
              <w:t>from</w:t>
            </w:r>
            <w:r w:rsidR="00033D0F">
              <w:rPr>
                <w:spacing w:val="-1"/>
              </w:rPr>
              <w:t xml:space="preserve"> </w:t>
            </w:r>
            <w:r w:rsidR="00033D0F">
              <w:t>the</w:t>
            </w:r>
            <w:r w:rsidR="00033D0F">
              <w:rPr>
                <w:spacing w:val="-4"/>
              </w:rPr>
              <w:t xml:space="preserve"> </w:t>
            </w:r>
            <w:r w:rsidR="00033D0F">
              <w:t>sampled</w:t>
            </w:r>
            <w:r w:rsidR="00033D0F">
              <w:rPr>
                <w:spacing w:val="-1"/>
              </w:rPr>
              <w:t xml:space="preserve"> </w:t>
            </w:r>
            <w:r w:rsidR="00033D0F">
              <w:rPr>
                <w:spacing w:val="-2"/>
              </w:rPr>
              <w:t>companies</w:t>
            </w:r>
            <w:r w:rsidR="00033D0F">
              <w:tab/>
            </w:r>
            <w:r w:rsidR="00033D0F">
              <w:rPr>
                <w:spacing w:val="-5"/>
              </w:rPr>
              <w:t>258</w:t>
            </w:r>
          </w:hyperlink>
        </w:p>
        <w:p w14:paraId="440FD275" w14:textId="77777777" w:rsidR="00BD462C" w:rsidRDefault="00000000">
          <w:pPr>
            <w:pStyle w:val="TOC8"/>
            <w:numPr>
              <w:ilvl w:val="2"/>
              <w:numId w:val="67"/>
            </w:numPr>
            <w:tabs>
              <w:tab w:val="left" w:pos="1835"/>
              <w:tab w:val="left" w:pos="1836"/>
              <w:tab w:val="left" w:leader="dot" w:pos="8833"/>
            </w:tabs>
            <w:ind w:hanging="851"/>
          </w:pPr>
          <w:hyperlink w:anchor="_bookmark1316" w:history="1">
            <w:r w:rsidR="00033D0F">
              <w:rPr>
                <w:spacing w:val="-2"/>
              </w:rPr>
              <w:t>Conclusion</w:t>
            </w:r>
            <w:r w:rsidR="00033D0F">
              <w:tab/>
            </w:r>
            <w:r w:rsidR="00033D0F">
              <w:rPr>
                <w:spacing w:val="-5"/>
              </w:rPr>
              <w:t>259</w:t>
            </w:r>
          </w:hyperlink>
        </w:p>
        <w:p w14:paraId="2E09A826" w14:textId="77777777" w:rsidR="00BD462C" w:rsidRDefault="00000000">
          <w:pPr>
            <w:pStyle w:val="TOC7"/>
            <w:numPr>
              <w:ilvl w:val="1"/>
              <w:numId w:val="67"/>
            </w:numPr>
            <w:tabs>
              <w:tab w:val="left" w:pos="1412"/>
              <w:tab w:val="left" w:pos="1413"/>
              <w:tab w:val="left" w:leader="dot" w:pos="8833"/>
            </w:tabs>
            <w:ind w:right="909"/>
            <w:jc w:val="both"/>
          </w:pPr>
          <w:hyperlink w:anchor="_bookmark1319" w:history="1">
            <w:r w:rsidR="00033D0F">
              <w:rPr>
                <w:smallCaps/>
              </w:rPr>
              <w:t>MOFCOM</w:t>
            </w:r>
            <w:r w:rsidR="00033D0F">
              <w:rPr>
                <w:smallCaps/>
                <w:spacing w:val="-1"/>
              </w:rPr>
              <w:t xml:space="preserve"> </w:t>
            </w:r>
            <w:r w:rsidR="00033D0F">
              <w:rPr>
                <w:smallCaps/>
              </w:rPr>
              <w:t>failed to provide interested parties with ample opportunities to present</w:t>
            </w:r>
          </w:hyperlink>
          <w:r w:rsidR="00033D0F">
            <w:rPr>
              <w:smallCaps/>
            </w:rPr>
            <w:t xml:space="preserve"> </w:t>
          </w:r>
          <w:hyperlink w:anchor="_bookmark1319" w:history="1">
            <w:r w:rsidR="00033D0F">
              <w:rPr>
                <w:smallCaps/>
              </w:rPr>
              <w:t>evidence they considered relevant,</w:t>
            </w:r>
            <w:r w:rsidR="00033D0F">
              <w:rPr>
                <w:smallCaps/>
                <w:spacing w:val="-1"/>
              </w:rPr>
              <w:t xml:space="preserve"> </w:t>
            </w:r>
            <w:r w:rsidR="00033D0F">
              <w:rPr>
                <w:smallCaps/>
              </w:rPr>
              <w:t>in breach of China's obligations under Articles</w:t>
            </w:r>
          </w:hyperlink>
          <w:r w:rsidR="00033D0F">
            <w:rPr>
              <w:smallCaps/>
            </w:rPr>
            <w:t xml:space="preserve"> </w:t>
          </w:r>
          <w:hyperlink w:anchor="_bookmark1319" w:history="1">
            <w:r w:rsidR="00033D0F">
              <w:rPr>
                <w:smallCaps/>
              </w:rPr>
              <w:t>6.1,</w:t>
            </w:r>
            <w:r w:rsidR="00033D0F">
              <w:rPr>
                <w:smallCaps/>
                <w:spacing w:val="-11"/>
              </w:rPr>
              <w:t xml:space="preserve"> </w:t>
            </w:r>
            <w:r w:rsidR="00033D0F">
              <w:rPr>
                <w:smallCaps/>
              </w:rPr>
              <w:t>6.1.1,</w:t>
            </w:r>
            <w:r w:rsidR="00033D0F">
              <w:rPr>
                <w:smallCaps/>
                <w:spacing w:val="-11"/>
              </w:rPr>
              <w:t xml:space="preserve"> </w:t>
            </w:r>
            <w:r w:rsidR="00033D0F">
              <w:rPr>
                <w:smallCaps/>
              </w:rPr>
              <w:t>6.1.2</w:t>
            </w:r>
            <w:r w:rsidR="00033D0F">
              <w:rPr>
                <w:smallCaps/>
                <w:spacing w:val="-13"/>
              </w:rPr>
              <w:t xml:space="preserve"> </w:t>
            </w:r>
            <w:r w:rsidR="00033D0F">
              <w:rPr>
                <w:smallCaps/>
              </w:rPr>
              <w:t>and</w:t>
            </w:r>
            <w:r w:rsidR="00033D0F">
              <w:rPr>
                <w:smallCaps/>
                <w:spacing w:val="-11"/>
              </w:rPr>
              <w:t xml:space="preserve"> </w:t>
            </w:r>
            <w:r w:rsidR="00033D0F">
              <w:rPr>
                <w:smallCaps/>
                <w:spacing w:val="-5"/>
              </w:rPr>
              <w:t>6.2</w:t>
            </w:r>
            <w:r w:rsidR="00033D0F">
              <w:rPr>
                <w:smallCaps/>
              </w:rPr>
              <w:tab/>
            </w:r>
            <w:r w:rsidR="00033D0F">
              <w:rPr>
                <w:smallCaps/>
                <w:spacing w:val="-5"/>
              </w:rPr>
              <w:t>260</w:t>
            </w:r>
          </w:hyperlink>
        </w:p>
        <w:p w14:paraId="438484E2" w14:textId="77777777" w:rsidR="00BD462C" w:rsidRDefault="00000000">
          <w:pPr>
            <w:pStyle w:val="TOC8"/>
            <w:numPr>
              <w:ilvl w:val="2"/>
              <w:numId w:val="67"/>
            </w:numPr>
            <w:tabs>
              <w:tab w:val="left" w:pos="1835"/>
              <w:tab w:val="left" w:pos="1836"/>
              <w:tab w:val="left" w:leader="dot" w:pos="8833"/>
            </w:tabs>
            <w:spacing w:before="119"/>
            <w:ind w:hanging="851"/>
          </w:pPr>
          <w:hyperlink w:anchor="_bookmark1320" w:history="1">
            <w:r w:rsidR="00033D0F">
              <w:rPr>
                <w:spacing w:val="-2"/>
              </w:rPr>
              <w:t>Introduction</w:t>
            </w:r>
            <w:r w:rsidR="00033D0F">
              <w:tab/>
            </w:r>
            <w:r w:rsidR="00033D0F">
              <w:rPr>
                <w:spacing w:val="-5"/>
              </w:rPr>
              <w:t>260</w:t>
            </w:r>
          </w:hyperlink>
        </w:p>
        <w:p w14:paraId="4DEAAC17" w14:textId="77777777" w:rsidR="00BD462C" w:rsidRDefault="00000000">
          <w:pPr>
            <w:pStyle w:val="TOC8"/>
            <w:numPr>
              <w:ilvl w:val="2"/>
              <w:numId w:val="67"/>
            </w:numPr>
            <w:tabs>
              <w:tab w:val="left" w:pos="1835"/>
              <w:tab w:val="left" w:pos="1836"/>
              <w:tab w:val="left" w:leader="dot" w:pos="8833"/>
            </w:tabs>
            <w:ind w:left="1840" w:right="921" w:hanging="855"/>
          </w:pPr>
          <w:hyperlink w:anchor="_bookmark1321" w:history="1">
            <w:r w:rsidR="00033D0F">
              <w:t>China's assertion that Australia abandoned its claim regarding Article 6.1</w:t>
            </w:r>
          </w:hyperlink>
          <w:r w:rsidR="00033D0F">
            <w:t xml:space="preserve"> </w:t>
          </w:r>
          <w:hyperlink w:anchor="_bookmark1321" w:history="1">
            <w:r w:rsidR="00033D0F">
              <w:t>is</w:t>
            </w:r>
            <w:r w:rsidR="00033D0F">
              <w:rPr>
                <w:spacing w:val="-8"/>
              </w:rPr>
              <w:t xml:space="preserve"> </w:t>
            </w:r>
            <w:r w:rsidR="00033D0F">
              <w:t>without</w:t>
            </w:r>
            <w:r w:rsidR="00033D0F">
              <w:rPr>
                <w:spacing w:val="-3"/>
              </w:rPr>
              <w:t xml:space="preserve"> </w:t>
            </w:r>
            <w:r w:rsidR="00033D0F">
              <w:rPr>
                <w:spacing w:val="-2"/>
              </w:rPr>
              <w:t>merit</w:t>
            </w:r>
            <w:r w:rsidR="00033D0F">
              <w:tab/>
            </w:r>
            <w:r w:rsidR="00033D0F">
              <w:rPr>
                <w:spacing w:val="-5"/>
              </w:rPr>
              <w:t>260</w:t>
            </w:r>
          </w:hyperlink>
        </w:p>
        <w:p w14:paraId="3ED8CDF7" w14:textId="77777777" w:rsidR="00BD462C" w:rsidRDefault="00000000">
          <w:pPr>
            <w:pStyle w:val="TOC8"/>
            <w:numPr>
              <w:ilvl w:val="2"/>
              <w:numId w:val="67"/>
            </w:numPr>
            <w:tabs>
              <w:tab w:val="left" w:pos="1835"/>
              <w:tab w:val="left" w:pos="1836"/>
              <w:tab w:val="left" w:leader="dot" w:pos="8833"/>
            </w:tabs>
            <w:spacing w:after="240"/>
            <w:ind w:hanging="851"/>
          </w:pPr>
          <w:hyperlink w:anchor="_bookmark1332" w:history="1">
            <w:r w:rsidR="00033D0F">
              <w:t>Legal</w:t>
            </w:r>
            <w:r w:rsidR="00033D0F">
              <w:rPr>
                <w:spacing w:val="-3"/>
              </w:rPr>
              <w:t xml:space="preserve"> </w:t>
            </w:r>
            <w:r w:rsidR="00033D0F">
              <w:rPr>
                <w:spacing w:val="-2"/>
              </w:rPr>
              <w:t>framework</w:t>
            </w:r>
            <w:r w:rsidR="00033D0F">
              <w:tab/>
            </w:r>
            <w:r w:rsidR="00033D0F">
              <w:rPr>
                <w:spacing w:val="-5"/>
              </w:rPr>
              <w:t>262</w:t>
            </w:r>
          </w:hyperlink>
        </w:p>
        <w:p w14:paraId="688F7070" w14:textId="77777777" w:rsidR="00B472DD" w:rsidRDefault="00B472DD">
          <w:pPr>
            <w:pStyle w:val="TOC6"/>
            <w:tabs>
              <w:tab w:val="left" w:pos="6087"/>
            </w:tabs>
            <w:rPr>
              <w:b w:val="0"/>
              <w:sz w:val="20"/>
            </w:rPr>
          </w:pPr>
        </w:p>
        <w:p w14:paraId="1E624DE1" w14:textId="0030BB56" w:rsidR="00BD462C" w:rsidRDefault="00033D0F">
          <w:pPr>
            <w:pStyle w:val="TOC6"/>
            <w:tabs>
              <w:tab w:val="left" w:pos="6087"/>
            </w:tabs>
            <w:rPr>
              <w:b w:val="0"/>
              <w:i w:val="0"/>
              <w:sz w:val="20"/>
            </w:rPr>
          </w:pPr>
          <w:r>
            <w:rPr>
              <w:b w:val="0"/>
              <w:sz w:val="20"/>
            </w:rPr>
            <w:lastRenderedPageBreak/>
            <w:t>China</w:t>
          </w:r>
          <w:r>
            <w:rPr>
              <w:b w:val="0"/>
              <w:spacing w:val="-9"/>
              <w:sz w:val="20"/>
            </w:rPr>
            <w:t xml:space="preserve"> </w:t>
          </w:r>
          <w:r>
            <w:rPr>
              <w:b w:val="0"/>
              <w:sz w:val="20"/>
            </w:rPr>
            <w:t>–</w:t>
          </w:r>
          <w:r>
            <w:rPr>
              <w:b w:val="0"/>
              <w:spacing w:val="-10"/>
              <w:sz w:val="20"/>
            </w:rPr>
            <w:t xml:space="preserve"> </w:t>
          </w:r>
          <w:r>
            <w:rPr>
              <w:b w:val="0"/>
              <w:sz w:val="20"/>
            </w:rPr>
            <w:t>Anti-Dumping</w:t>
          </w:r>
          <w:r>
            <w:rPr>
              <w:b w:val="0"/>
              <w:spacing w:val="-8"/>
              <w:sz w:val="20"/>
            </w:rPr>
            <w:t xml:space="preserve"> </w:t>
          </w:r>
          <w:r>
            <w:rPr>
              <w:b w:val="0"/>
              <w:sz w:val="20"/>
            </w:rPr>
            <w:t>and</w:t>
          </w:r>
          <w:r>
            <w:rPr>
              <w:b w:val="0"/>
              <w:spacing w:val="-5"/>
              <w:sz w:val="20"/>
            </w:rPr>
            <w:t xml:space="preserve"> </w:t>
          </w:r>
          <w:r>
            <w:rPr>
              <w:b w:val="0"/>
              <w:sz w:val="20"/>
            </w:rPr>
            <w:t>Countervailing</w:t>
          </w:r>
          <w:r>
            <w:rPr>
              <w:b w:val="0"/>
              <w:spacing w:val="-9"/>
              <w:sz w:val="20"/>
            </w:rPr>
            <w:t xml:space="preserve"> </w:t>
          </w:r>
          <w:r>
            <w:rPr>
              <w:b w:val="0"/>
              <w:sz w:val="20"/>
            </w:rPr>
            <w:t>Duty</w:t>
          </w:r>
          <w:r>
            <w:rPr>
              <w:b w:val="0"/>
              <w:spacing w:val="-8"/>
              <w:sz w:val="20"/>
            </w:rPr>
            <w:t xml:space="preserve"> </w:t>
          </w:r>
          <w:r>
            <w:rPr>
              <w:b w:val="0"/>
              <w:spacing w:val="-2"/>
              <w:sz w:val="20"/>
            </w:rPr>
            <w:t>Measures</w:t>
          </w:r>
          <w:r>
            <w:rPr>
              <w:b w:val="0"/>
              <w:sz w:val="20"/>
            </w:rPr>
            <w:tab/>
          </w:r>
          <w:r>
            <w:rPr>
              <w:b w:val="0"/>
              <w:i w:val="0"/>
              <w:sz w:val="20"/>
            </w:rPr>
            <w:t>Australia's</w:t>
          </w:r>
          <w:r>
            <w:rPr>
              <w:b w:val="0"/>
              <w:i w:val="0"/>
              <w:spacing w:val="-11"/>
              <w:sz w:val="20"/>
            </w:rPr>
            <w:t xml:space="preserve"> </w:t>
          </w:r>
          <w:r>
            <w:rPr>
              <w:b w:val="0"/>
              <w:i w:val="0"/>
              <w:sz w:val="20"/>
            </w:rPr>
            <w:t>Second</w:t>
          </w:r>
          <w:r>
            <w:rPr>
              <w:b w:val="0"/>
              <w:i w:val="0"/>
              <w:spacing w:val="-10"/>
              <w:sz w:val="20"/>
            </w:rPr>
            <w:t xml:space="preserve"> </w:t>
          </w:r>
          <w:r>
            <w:rPr>
              <w:b w:val="0"/>
              <w:i w:val="0"/>
              <w:sz w:val="20"/>
            </w:rPr>
            <w:t>Written</w:t>
          </w:r>
          <w:r>
            <w:rPr>
              <w:b w:val="0"/>
              <w:i w:val="0"/>
              <w:spacing w:val="-10"/>
              <w:sz w:val="20"/>
            </w:rPr>
            <w:t xml:space="preserve"> </w:t>
          </w:r>
          <w:r>
            <w:rPr>
              <w:b w:val="0"/>
              <w:i w:val="0"/>
              <w:spacing w:val="-2"/>
              <w:sz w:val="20"/>
            </w:rPr>
            <w:t>Submission</w:t>
          </w:r>
        </w:p>
        <w:p w14:paraId="3C527FB7" w14:textId="77777777" w:rsidR="00BD462C" w:rsidRDefault="00033D0F">
          <w:pPr>
            <w:pStyle w:val="TOC5"/>
          </w:pPr>
          <w:r>
            <w:t>On</w:t>
          </w:r>
          <w:r>
            <w:rPr>
              <w:spacing w:val="-2"/>
            </w:rPr>
            <w:t xml:space="preserve"> </w:t>
          </w:r>
          <w:r>
            <w:t>Wine</w:t>
          </w:r>
          <w:r>
            <w:rPr>
              <w:spacing w:val="-4"/>
            </w:rPr>
            <w:t xml:space="preserve"> </w:t>
          </w:r>
          <w:r>
            <w:t>from</w:t>
          </w:r>
          <w:r>
            <w:rPr>
              <w:spacing w:val="-4"/>
            </w:rPr>
            <w:t xml:space="preserve"> </w:t>
          </w:r>
          <w:r>
            <w:rPr>
              <w:spacing w:val="-2"/>
            </w:rPr>
            <w:t>Australia</w:t>
          </w:r>
        </w:p>
        <w:p w14:paraId="43FA5431" w14:textId="77777777" w:rsidR="00BD462C" w:rsidRDefault="00033D0F">
          <w:pPr>
            <w:pStyle w:val="TOC4"/>
            <w:tabs>
              <w:tab w:val="left" w:pos="7652"/>
            </w:tabs>
          </w:pPr>
          <w:r>
            <w:rPr>
              <w:spacing w:val="-2"/>
            </w:rPr>
            <w:t>(DS602)</w:t>
          </w:r>
          <w:r>
            <w:tab/>
            <w:t>28</w:t>
          </w:r>
          <w:r>
            <w:rPr>
              <w:spacing w:val="-8"/>
            </w:rPr>
            <w:t xml:space="preserve"> </w:t>
          </w:r>
          <w:r>
            <w:t>November</w:t>
          </w:r>
          <w:r>
            <w:rPr>
              <w:spacing w:val="-2"/>
            </w:rPr>
            <w:t xml:space="preserve"> </w:t>
          </w:r>
          <w:r>
            <w:rPr>
              <w:spacing w:val="-4"/>
            </w:rPr>
            <w:t>2022</w:t>
          </w:r>
        </w:p>
        <w:p w14:paraId="757CA4EE" w14:textId="77777777" w:rsidR="00BD462C" w:rsidRDefault="00000000">
          <w:pPr>
            <w:pStyle w:val="TOC8"/>
            <w:numPr>
              <w:ilvl w:val="2"/>
              <w:numId w:val="67"/>
            </w:numPr>
            <w:tabs>
              <w:tab w:val="left" w:pos="1835"/>
              <w:tab w:val="left" w:pos="1836"/>
              <w:tab w:val="left" w:leader="dot" w:pos="8833"/>
            </w:tabs>
            <w:spacing w:before="98" w:line="244" w:lineRule="auto"/>
            <w:ind w:left="1840" w:right="916" w:hanging="855"/>
          </w:pPr>
          <w:hyperlink w:anchor="_bookmark1362" w:history="1">
            <w:r w:rsidR="00033D0F">
              <w:t>MOFCOM</w:t>
            </w:r>
            <w:r w:rsidR="00033D0F">
              <w:rPr>
                <w:spacing w:val="-15"/>
              </w:rPr>
              <w:t xml:space="preserve"> </w:t>
            </w:r>
            <w:r w:rsidR="00033D0F">
              <w:t>failed</w:t>
            </w:r>
            <w:r w:rsidR="00033D0F">
              <w:rPr>
                <w:spacing w:val="-15"/>
              </w:rPr>
              <w:t xml:space="preserve"> </w:t>
            </w:r>
            <w:r w:rsidR="00033D0F">
              <w:t>to</w:t>
            </w:r>
            <w:r w:rsidR="00033D0F">
              <w:rPr>
                <w:spacing w:val="-14"/>
              </w:rPr>
              <w:t xml:space="preserve"> </w:t>
            </w:r>
            <w:r w:rsidR="00033D0F">
              <w:t>give</w:t>
            </w:r>
            <w:r w:rsidR="00033D0F">
              <w:rPr>
                <w:spacing w:val="-17"/>
              </w:rPr>
              <w:t xml:space="preserve"> </w:t>
            </w:r>
            <w:r w:rsidR="00033D0F">
              <w:t>due</w:t>
            </w:r>
            <w:r w:rsidR="00033D0F">
              <w:rPr>
                <w:spacing w:val="-14"/>
              </w:rPr>
              <w:t xml:space="preserve"> </w:t>
            </w:r>
            <w:r w:rsidR="00033D0F">
              <w:t>consideration</w:t>
            </w:r>
            <w:r w:rsidR="00033D0F">
              <w:rPr>
                <w:spacing w:val="-15"/>
              </w:rPr>
              <w:t xml:space="preserve"> </w:t>
            </w:r>
            <w:r w:rsidR="00033D0F">
              <w:t>to</w:t>
            </w:r>
            <w:r w:rsidR="00033D0F">
              <w:rPr>
                <w:spacing w:val="-13"/>
              </w:rPr>
              <w:t xml:space="preserve"> </w:t>
            </w:r>
            <w:r w:rsidR="00033D0F">
              <w:t>extension</w:t>
            </w:r>
            <w:r w:rsidR="00033D0F">
              <w:rPr>
                <w:spacing w:val="-15"/>
              </w:rPr>
              <w:t xml:space="preserve"> </w:t>
            </w:r>
            <w:r w:rsidR="00033D0F">
              <w:t>requests</w:t>
            </w:r>
            <w:r w:rsidR="00033D0F">
              <w:rPr>
                <w:spacing w:val="-16"/>
              </w:rPr>
              <w:t xml:space="preserve"> </w:t>
            </w:r>
            <w:r w:rsidR="00033D0F">
              <w:t>or</w:t>
            </w:r>
            <w:r w:rsidR="00033D0F">
              <w:rPr>
                <w:spacing w:val="-14"/>
              </w:rPr>
              <w:t xml:space="preserve"> </w:t>
            </w:r>
            <w:r w:rsidR="00033D0F">
              <w:t>to</w:t>
            </w:r>
            <w:r w:rsidR="00033D0F">
              <w:rPr>
                <w:spacing w:val="-16"/>
              </w:rPr>
              <w:t xml:space="preserve"> </w:t>
            </w:r>
            <w:r w:rsidR="00033D0F">
              <w:t>grant</w:t>
            </w:r>
          </w:hyperlink>
          <w:r w:rsidR="00033D0F">
            <w:t xml:space="preserve"> </w:t>
          </w:r>
          <w:hyperlink w:anchor="_bookmark1362" w:history="1">
            <w:r w:rsidR="00033D0F">
              <w:t>extensions whenever practicable</w:t>
            </w:r>
            <w:r w:rsidR="00033D0F">
              <w:tab/>
            </w:r>
            <w:r w:rsidR="00033D0F">
              <w:rPr>
                <w:spacing w:val="-4"/>
              </w:rPr>
              <w:t>268</w:t>
            </w:r>
          </w:hyperlink>
        </w:p>
        <w:p w14:paraId="49D02317" w14:textId="77777777" w:rsidR="00BD462C" w:rsidRDefault="00000000">
          <w:pPr>
            <w:pStyle w:val="TOC8"/>
            <w:numPr>
              <w:ilvl w:val="2"/>
              <w:numId w:val="67"/>
            </w:numPr>
            <w:tabs>
              <w:tab w:val="left" w:pos="1835"/>
              <w:tab w:val="left" w:pos="1836"/>
              <w:tab w:val="left" w:leader="dot" w:pos="8833"/>
            </w:tabs>
            <w:spacing w:before="108" w:line="244" w:lineRule="auto"/>
            <w:ind w:left="1840" w:right="920" w:hanging="855"/>
          </w:pPr>
          <w:hyperlink w:anchor="_bookmark1378" w:history="1">
            <w:r w:rsidR="00033D0F">
              <w:t>MOFCOM's</w:t>
            </w:r>
            <w:r w:rsidR="00033D0F">
              <w:rPr>
                <w:spacing w:val="40"/>
              </w:rPr>
              <w:t xml:space="preserve"> </w:t>
            </w:r>
            <w:r w:rsidR="00033D0F">
              <w:t>treatment</w:t>
            </w:r>
            <w:r w:rsidR="00033D0F">
              <w:rPr>
                <w:spacing w:val="40"/>
              </w:rPr>
              <w:t xml:space="preserve"> </w:t>
            </w:r>
            <w:r w:rsidR="00033D0F">
              <w:t>of</w:t>
            </w:r>
            <w:r w:rsidR="00033D0F">
              <w:rPr>
                <w:spacing w:val="40"/>
              </w:rPr>
              <w:t xml:space="preserve"> </w:t>
            </w:r>
            <w:r w:rsidR="00033D0F">
              <w:t>Casella</w:t>
            </w:r>
            <w:r w:rsidR="00033D0F">
              <w:rPr>
                <w:spacing w:val="40"/>
              </w:rPr>
              <w:t xml:space="preserve"> </w:t>
            </w:r>
            <w:r w:rsidR="00033D0F">
              <w:t>Wines</w:t>
            </w:r>
            <w:r w:rsidR="00033D0F">
              <w:rPr>
                <w:spacing w:val="40"/>
              </w:rPr>
              <w:t xml:space="preserve"> </w:t>
            </w:r>
            <w:r w:rsidR="00033D0F">
              <w:t>denied</w:t>
            </w:r>
            <w:r w:rsidR="00033D0F">
              <w:rPr>
                <w:spacing w:val="40"/>
              </w:rPr>
              <w:t xml:space="preserve"> </w:t>
            </w:r>
            <w:r w:rsidR="00033D0F">
              <w:t>it</w:t>
            </w:r>
            <w:r w:rsidR="00033D0F">
              <w:rPr>
                <w:spacing w:val="40"/>
              </w:rPr>
              <w:t xml:space="preserve"> </w:t>
            </w:r>
            <w:r w:rsidR="00033D0F">
              <w:t>a</w:t>
            </w:r>
            <w:r w:rsidR="00033D0F">
              <w:rPr>
                <w:spacing w:val="40"/>
              </w:rPr>
              <w:t xml:space="preserve"> </w:t>
            </w:r>
            <w:r w:rsidR="00033D0F">
              <w:t>full</w:t>
            </w:r>
            <w:r w:rsidR="00033D0F">
              <w:rPr>
                <w:spacing w:val="40"/>
              </w:rPr>
              <w:t xml:space="preserve"> </w:t>
            </w:r>
            <w:proofErr w:type="spellStart"/>
            <w:r w:rsidR="00033D0F">
              <w:t>defence</w:t>
            </w:r>
            <w:proofErr w:type="spellEnd"/>
            <w:r w:rsidR="00033D0F">
              <w:rPr>
                <w:spacing w:val="40"/>
              </w:rPr>
              <w:t xml:space="preserve"> </w:t>
            </w:r>
            <w:r w:rsidR="00033D0F">
              <w:t>of</w:t>
            </w:r>
            <w:r w:rsidR="00033D0F">
              <w:rPr>
                <w:spacing w:val="40"/>
              </w:rPr>
              <w:t xml:space="preserve"> </w:t>
            </w:r>
            <w:r w:rsidR="00033D0F">
              <w:t>its</w:t>
            </w:r>
          </w:hyperlink>
          <w:r w:rsidR="00033D0F">
            <w:t xml:space="preserve"> </w:t>
          </w:r>
          <w:hyperlink w:anchor="_bookmark1378" w:history="1">
            <w:r w:rsidR="00033D0F">
              <w:rPr>
                <w:spacing w:val="-2"/>
              </w:rPr>
              <w:t>interests</w:t>
            </w:r>
            <w:r w:rsidR="00033D0F">
              <w:tab/>
            </w:r>
            <w:r w:rsidR="00033D0F">
              <w:rPr>
                <w:spacing w:val="-5"/>
              </w:rPr>
              <w:t>272</w:t>
            </w:r>
          </w:hyperlink>
        </w:p>
        <w:p w14:paraId="50DF0119" w14:textId="77777777" w:rsidR="00BD462C" w:rsidRDefault="00000000">
          <w:pPr>
            <w:pStyle w:val="TOC8"/>
            <w:numPr>
              <w:ilvl w:val="2"/>
              <w:numId w:val="67"/>
            </w:numPr>
            <w:tabs>
              <w:tab w:val="left" w:pos="1835"/>
              <w:tab w:val="left" w:pos="1836"/>
              <w:tab w:val="left" w:leader="dot" w:pos="8833"/>
            </w:tabs>
            <w:spacing w:before="112"/>
            <w:ind w:hanging="851"/>
          </w:pPr>
          <w:hyperlink w:anchor="_bookmark1385" w:history="1">
            <w:r w:rsidR="00033D0F">
              <w:rPr>
                <w:spacing w:val="-2"/>
              </w:rPr>
              <w:t>Conclusion</w:t>
            </w:r>
            <w:r w:rsidR="00033D0F">
              <w:tab/>
            </w:r>
            <w:r w:rsidR="00033D0F">
              <w:rPr>
                <w:spacing w:val="-5"/>
              </w:rPr>
              <w:t>274</w:t>
            </w:r>
          </w:hyperlink>
        </w:p>
        <w:p w14:paraId="1639EA76" w14:textId="77777777" w:rsidR="00BD462C" w:rsidRDefault="00000000">
          <w:pPr>
            <w:pStyle w:val="TOC7"/>
            <w:numPr>
              <w:ilvl w:val="1"/>
              <w:numId w:val="67"/>
            </w:numPr>
            <w:tabs>
              <w:tab w:val="left" w:pos="1412"/>
              <w:tab w:val="left" w:pos="1413"/>
            </w:tabs>
          </w:pPr>
          <w:hyperlink w:anchor="_bookmark1386" w:history="1">
            <w:proofErr w:type="gramStart"/>
            <w:r w:rsidR="00033D0F">
              <w:rPr>
                <w:smallCaps/>
              </w:rPr>
              <w:t>MOFCOM's</w:t>
            </w:r>
            <w:r w:rsidR="00033D0F">
              <w:rPr>
                <w:smallCaps/>
                <w:spacing w:val="-1"/>
              </w:rPr>
              <w:t xml:space="preserve"> </w:t>
            </w:r>
            <w:r w:rsidR="00033D0F">
              <w:rPr>
                <w:smallCaps/>
                <w:spacing w:val="-14"/>
              </w:rPr>
              <w:t xml:space="preserve"> </w:t>
            </w:r>
            <w:r w:rsidR="00033D0F">
              <w:rPr>
                <w:smallCaps/>
              </w:rPr>
              <w:t>failure</w:t>
            </w:r>
            <w:proofErr w:type="gramEnd"/>
            <w:r w:rsidR="00033D0F">
              <w:rPr>
                <w:smallCaps/>
                <w:spacing w:val="-1"/>
              </w:rPr>
              <w:t xml:space="preserve"> </w:t>
            </w:r>
            <w:r w:rsidR="00033D0F">
              <w:rPr>
                <w:smallCaps/>
                <w:spacing w:val="-12"/>
              </w:rPr>
              <w:t xml:space="preserve"> </w:t>
            </w:r>
            <w:r w:rsidR="00033D0F">
              <w:rPr>
                <w:smallCaps/>
              </w:rPr>
              <w:t xml:space="preserve">to </w:t>
            </w:r>
            <w:r w:rsidR="00033D0F">
              <w:rPr>
                <w:smallCaps/>
                <w:spacing w:val="-15"/>
              </w:rPr>
              <w:t xml:space="preserve"> </w:t>
            </w:r>
            <w:r w:rsidR="00033D0F">
              <w:rPr>
                <w:smallCaps/>
              </w:rPr>
              <w:t xml:space="preserve">satisfy </w:t>
            </w:r>
            <w:r w:rsidR="00033D0F">
              <w:rPr>
                <w:smallCaps/>
                <w:spacing w:val="-13"/>
              </w:rPr>
              <w:t xml:space="preserve"> </w:t>
            </w:r>
            <w:r w:rsidR="00033D0F">
              <w:rPr>
                <w:smallCaps/>
              </w:rPr>
              <w:t xml:space="preserve">itself </w:t>
            </w:r>
            <w:r w:rsidR="00033D0F">
              <w:rPr>
                <w:smallCaps/>
                <w:spacing w:val="-16"/>
              </w:rPr>
              <w:t xml:space="preserve"> </w:t>
            </w:r>
            <w:r w:rsidR="00033D0F">
              <w:rPr>
                <w:smallCaps/>
              </w:rPr>
              <w:t xml:space="preserve">as </w:t>
            </w:r>
            <w:r w:rsidR="00033D0F">
              <w:rPr>
                <w:smallCaps/>
                <w:spacing w:val="-14"/>
              </w:rPr>
              <w:t xml:space="preserve"> </w:t>
            </w:r>
            <w:r w:rsidR="00033D0F">
              <w:rPr>
                <w:smallCaps/>
              </w:rPr>
              <w:t xml:space="preserve">to </w:t>
            </w:r>
            <w:r w:rsidR="00033D0F">
              <w:rPr>
                <w:smallCaps/>
                <w:spacing w:val="-15"/>
              </w:rPr>
              <w:t xml:space="preserve"> </w:t>
            </w:r>
            <w:r w:rsidR="00033D0F">
              <w:rPr>
                <w:smallCaps/>
              </w:rPr>
              <w:t xml:space="preserve">the </w:t>
            </w:r>
            <w:r w:rsidR="00033D0F">
              <w:rPr>
                <w:smallCaps/>
                <w:spacing w:val="-7"/>
              </w:rPr>
              <w:t xml:space="preserve"> </w:t>
            </w:r>
            <w:r w:rsidR="00033D0F">
              <w:rPr>
                <w:smallCaps/>
              </w:rPr>
              <w:t xml:space="preserve">accuracy </w:t>
            </w:r>
            <w:r w:rsidR="00033D0F">
              <w:rPr>
                <w:smallCaps/>
                <w:spacing w:val="-13"/>
              </w:rPr>
              <w:t xml:space="preserve"> </w:t>
            </w:r>
            <w:r w:rsidR="00033D0F">
              <w:rPr>
                <w:smallCaps/>
              </w:rPr>
              <w:t>of</w:t>
            </w:r>
            <w:r w:rsidR="00033D0F">
              <w:rPr>
                <w:smallCaps/>
                <w:spacing w:val="-1"/>
              </w:rPr>
              <w:t xml:space="preserve"> </w:t>
            </w:r>
            <w:r w:rsidR="00033D0F">
              <w:rPr>
                <w:smallCaps/>
                <w:spacing w:val="-16"/>
              </w:rPr>
              <w:t xml:space="preserve"> </w:t>
            </w:r>
            <w:r w:rsidR="00033D0F">
              <w:rPr>
                <w:smallCaps/>
              </w:rPr>
              <w:t xml:space="preserve">information </w:t>
            </w:r>
            <w:r w:rsidR="00033D0F">
              <w:rPr>
                <w:smallCaps/>
                <w:spacing w:val="-11"/>
              </w:rPr>
              <w:t xml:space="preserve"> </w:t>
            </w:r>
            <w:r w:rsidR="00033D0F">
              <w:rPr>
                <w:smallCaps/>
                <w:spacing w:val="-2"/>
              </w:rPr>
              <w:t>breached</w:t>
            </w:r>
          </w:hyperlink>
        </w:p>
        <w:p w14:paraId="46E46431" w14:textId="77777777" w:rsidR="00BD462C" w:rsidRDefault="00000000">
          <w:pPr>
            <w:tabs>
              <w:tab w:val="left" w:leader="dot" w:pos="8833"/>
            </w:tabs>
            <w:ind w:left="1412"/>
            <w:rPr>
              <w:b/>
              <w:sz w:val="24"/>
            </w:rPr>
          </w:pPr>
          <w:hyperlink w:anchor="_bookmark1386" w:history="1">
            <w:r w:rsidR="00033D0F">
              <w:rPr>
                <w:b/>
                <w:smallCaps/>
                <w:sz w:val="24"/>
              </w:rPr>
              <w:t>China's</w:t>
            </w:r>
            <w:r w:rsidR="00033D0F">
              <w:rPr>
                <w:b/>
                <w:smallCaps/>
                <w:spacing w:val="-8"/>
                <w:sz w:val="24"/>
              </w:rPr>
              <w:t xml:space="preserve"> </w:t>
            </w:r>
            <w:r w:rsidR="00033D0F">
              <w:rPr>
                <w:b/>
                <w:smallCaps/>
                <w:sz w:val="24"/>
              </w:rPr>
              <w:t>obligations</w:t>
            </w:r>
            <w:r w:rsidR="00033D0F">
              <w:rPr>
                <w:b/>
                <w:smallCaps/>
                <w:spacing w:val="-4"/>
                <w:sz w:val="24"/>
              </w:rPr>
              <w:t xml:space="preserve"> </w:t>
            </w:r>
            <w:r w:rsidR="00033D0F">
              <w:rPr>
                <w:b/>
                <w:smallCaps/>
                <w:sz w:val="24"/>
              </w:rPr>
              <w:t>under</w:t>
            </w:r>
            <w:r w:rsidR="00033D0F">
              <w:rPr>
                <w:b/>
                <w:smallCaps/>
                <w:spacing w:val="-2"/>
                <w:sz w:val="24"/>
              </w:rPr>
              <w:t xml:space="preserve"> </w:t>
            </w:r>
            <w:r w:rsidR="00033D0F">
              <w:rPr>
                <w:b/>
                <w:smallCaps/>
                <w:sz w:val="24"/>
              </w:rPr>
              <w:t>Article</w:t>
            </w:r>
            <w:r w:rsidR="00033D0F">
              <w:rPr>
                <w:b/>
                <w:smallCaps/>
                <w:spacing w:val="-7"/>
                <w:sz w:val="24"/>
              </w:rPr>
              <w:t xml:space="preserve"> </w:t>
            </w:r>
            <w:r w:rsidR="00033D0F">
              <w:rPr>
                <w:b/>
                <w:smallCaps/>
                <w:sz w:val="24"/>
              </w:rPr>
              <w:t>6.6</w:t>
            </w:r>
            <w:r w:rsidR="00033D0F">
              <w:rPr>
                <w:b/>
                <w:smallCaps/>
                <w:spacing w:val="-13"/>
                <w:sz w:val="24"/>
              </w:rPr>
              <w:t xml:space="preserve"> </w:t>
            </w:r>
            <w:r w:rsidR="00033D0F">
              <w:rPr>
                <w:b/>
                <w:smallCaps/>
                <w:sz w:val="24"/>
              </w:rPr>
              <w:t>of</w:t>
            </w:r>
            <w:r w:rsidR="00033D0F">
              <w:rPr>
                <w:b/>
                <w:smallCaps/>
                <w:spacing w:val="-6"/>
                <w:sz w:val="24"/>
              </w:rPr>
              <w:t xml:space="preserve"> </w:t>
            </w:r>
            <w:r w:rsidR="00033D0F">
              <w:rPr>
                <w:b/>
                <w:smallCaps/>
                <w:sz w:val="24"/>
              </w:rPr>
              <w:t>the</w:t>
            </w:r>
            <w:r w:rsidR="00033D0F">
              <w:rPr>
                <w:b/>
                <w:smallCaps/>
                <w:spacing w:val="-2"/>
                <w:sz w:val="24"/>
              </w:rPr>
              <w:t xml:space="preserve"> </w:t>
            </w:r>
            <w:r w:rsidR="00033D0F">
              <w:rPr>
                <w:b/>
                <w:smallCaps/>
                <w:sz w:val="24"/>
              </w:rPr>
              <w:t>anti-dumping</w:t>
            </w:r>
            <w:r w:rsidR="00033D0F">
              <w:rPr>
                <w:b/>
                <w:smallCaps/>
                <w:spacing w:val="-2"/>
                <w:sz w:val="24"/>
              </w:rPr>
              <w:t xml:space="preserve"> agreement</w:t>
            </w:r>
            <w:r w:rsidR="00033D0F">
              <w:rPr>
                <w:b/>
                <w:smallCaps/>
                <w:sz w:val="24"/>
              </w:rPr>
              <w:tab/>
            </w:r>
            <w:r w:rsidR="00033D0F">
              <w:rPr>
                <w:b/>
                <w:smallCaps/>
                <w:spacing w:val="-5"/>
                <w:sz w:val="24"/>
              </w:rPr>
              <w:t>274</w:t>
            </w:r>
          </w:hyperlink>
        </w:p>
        <w:p w14:paraId="42E495E6" w14:textId="77777777" w:rsidR="00BD462C" w:rsidRDefault="00000000">
          <w:pPr>
            <w:pStyle w:val="TOC8"/>
            <w:numPr>
              <w:ilvl w:val="2"/>
              <w:numId w:val="67"/>
            </w:numPr>
            <w:tabs>
              <w:tab w:val="left" w:pos="1835"/>
              <w:tab w:val="left" w:pos="1836"/>
              <w:tab w:val="left" w:leader="dot" w:pos="8833"/>
            </w:tabs>
            <w:ind w:hanging="851"/>
          </w:pPr>
          <w:hyperlink w:anchor="_bookmark1387" w:history="1">
            <w:r w:rsidR="00033D0F">
              <w:t>China's</w:t>
            </w:r>
            <w:r w:rsidR="00033D0F">
              <w:rPr>
                <w:spacing w:val="-6"/>
              </w:rPr>
              <w:t xml:space="preserve"> </w:t>
            </w:r>
            <w:r w:rsidR="00033D0F">
              <w:t>mistaken</w:t>
            </w:r>
            <w:r w:rsidR="00033D0F">
              <w:rPr>
                <w:spacing w:val="-3"/>
              </w:rPr>
              <w:t xml:space="preserve"> </w:t>
            </w:r>
            <w:r w:rsidR="00033D0F">
              <w:t>assertion</w:t>
            </w:r>
            <w:r w:rsidR="00033D0F">
              <w:rPr>
                <w:spacing w:val="-3"/>
              </w:rPr>
              <w:t xml:space="preserve"> </w:t>
            </w:r>
            <w:r w:rsidR="00033D0F">
              <w:t>that</w:t>
            </w:r>
            <w:r w:rsidR="00033D0F">
              <w:rPr>
                <w:spacing w:val="-6"/>
              </w:rPr>
              <w:t xml:space="preserve"> </w:t>
            </w:r>
            <w:r w:rsidR="00033D0F">
              <w:t>Australia</w:t>
            </w:r>
            <w:r w:rsidR="00033D0F">
              <w:rPr>
                <w:spacing w:val="-2"/>
              </w:rPr>
              <w:t xml:space="preserve"> </w:t>
            </w:r>
            <w:r w:rsidR="00033D0F">
              <w:t>abandoned</w:t>
            </w:r>
            <w:r w:rsidR="00033D0F">
              <w:rPr>
                <w:spacing w:val="-3"/>
              </w:rPr>
              <w:t xml:space="preserve"> </w:t>
            </w:r>
            <w:r w:rsidR="00033D0F">
              <w:t>part</w:t>
            </w:r>
            <w:r w:rsidR="00033D0F">
              <w:rPr>
                <w:spacing w:val="-6"/>
              </w:rPr>
              <w:t xml:space="preserve"> </w:t>
            </w:r>
            <w:r w:rsidR="00033D0F">
              <w:t>of</w:t>
            </w:r>
            <w:r w:rsidR="00033D0F">
              <w:rPr>
                <w:spacing w:val="-3"/>
              </w:rPr>
              <w:t xml:space="preserve"> </w:t>
            </w:r>
            <w:r w:rsidR="00033D0F">
              <w:t>its</w:t>
            </w:r>
            <w:r w:rsidR="00033D0F">
              <w:rPr>
                <w:spacing w:val="-3"/>
              </w:rPr>
              <w:t xml:space="preserve"> </w:t>
            </w:r>
            <w:r w:rsidR="00033D0F">
              <w:rPr>
                <w:spacing w:val="-2"/>
              </w:rPr>
              <w:t>claim</w:t>
            </w:r>
            <w:r w:rsidR="00033D0F">
              <w:tab/>
            </w:r>
            <w:r w:rsidR="00033D0F">
              <w:rPr>
                <w:spacing w:val="-5"/>
              </w:rPr>
              <w:t>274</w:t>
            </w:r>
          </w:hyperlink>
        </w:p>
        <w:p w14:paraId="56577A2F" w14:textId="77777777" w:rsidR="00BD462C" w:rsidRDefault="00000000">
          <w:pPr>
            <w:pStyle w:val="TOC8"/>
            <w:numPr>
              <w:ilvl w:val="2"/>
              <w:numId w:val="67"/>
            </w:numPr>
            <w:tabs>
              <w:tab w:val="left" w:pos="1835"/>
              <w:tab w:val="left" w:pos="1836"/>
              <w:tab w:val="left" w:leader="dot" w:pos="8833"/>
            </w:tabs>
            <w:ind w:hanging="851"/>
          </w:pPr>
          <w:hyperlink w:anchor="_bookmark1392" w:history="1">
            <w:r w:rsidR="00033D0F">
              <w:t>Legal</w:t>
            </w:r>
            <w:r w:rsidR="00033D0F">
              <w:rPr>
                <w:spacing w:val="-3"/>
              </w:rPr>
              <w:t xml:space="preserve"> </w:t>
            </w:r>
            <w:r w:rsidR="00033D0F">
              <w:rPr>
                <w:spacing w:val="-2"/>
              </w:rPr>
              <w:t>framework</w:t>
            </w:r>
            <w:r w:rsidR="00033D0F">
              <w:tab/>
            </w:r>
            <w:r w:rsidR="00033D0F">
              <w:rPr>
                <w:spacing w:val="-5"/>
              </w:rPr>
              <w:t>275</w:t>
            </w:r>
          </w:hyperlink>
        </w:p>
        <w:p w14:paraId="74F750E9" w14:textId="77777777" w:rsidR="00BD462C" w:rsidRDefault="00000000">
          <w:pPr>
            <w:pStyle w:val="TOC8"/>
            <w:numPr>
              <w:ilvl w:val="2"/>
              <w:numId w:val="67"/>
            </w:numPr>
            <w:tabs>
              <w:tab w:val="left" w:pos="1835"/>
              <w:tab w:val="left" w:pos="1836"/>
              <w:tab w:val="left" w:leader="dot" w:pos="8833"/>
            </w:tabs>
            <w:spacing w:before="119"/>
            <w:ind w:hanging="851"/>
          </w:pPr>
          <w:hyperlink w:anchor="_bookmark1403" w:history="1">
            <w:r w:rsidR="00033D0F">
              <w:t>MOFCOM's</w:t>
            </w:r>
            <w:r w:rsidR="00033D0F">
              <w:rPr>
                <w:spacing w:val="-5"/>
              </w:rPr>
              <w:t xml:space="preserve"> </w:t>
            </w:r>
            <w:r w:rsidR="00033D0F">
              <w:t>calculation</w:t>
            </w:r>
            <w:r w:rsidR="00033D0F">
              <w:rPr>
                <w:spacing w:val="-3"/>
              </w:rPr>
              <w:t xml:space="preserve"> </w:t>
            </w:r>
            <w:r w:rsidR="00033D0F">
              <w:t>of</w:t>
            </w:r>
            <w:r w:rsidR="00033D0F">
              <w:rPr>
                <w:spacing w:val="-4"/>
              </w:rPr>
              <w:t xml:space="preserve"> </w:t>
            </w:r>
            <w:r w:rsidR="00033D0F">
              <w:t>total</w:t>
            </w:r>
            <w:r w:rsidR="00033D0F">
              <w:rPr>
                <w:spacing w:val="-5"/>
              </w:rPr>
              <w:t xml:space="preserve"> </w:t>
            </w:r>
            <w:r w:rsidR="00033D0F">
              <w:t>domestic</w:t>
            </w:r>
            <w:r w:rsidR="00033D0F">
              <w:rPr>
                <w:spacing w:val="-4"/>
              </w:rPr>
              <w:t xml:space="preserve"> </w:t>
            </w:r>
            <w:r w:rsidR="00033D0F">
              <w:rPr>
                <w:spacing w:val="-2"/>
              </w:rPr>
              <w:t>output</w:t>
            </w:r>
            <w:r w:rsidR="00033D0F">
              <w:tab/>
            </w:r>
            <w:r w:rsidR="00033D0F">
              <w:rPr>
                <w:spacing w:val="-5"/>
              </w:rPr>
              <w:t>277</w:t>
            </w:r>
          </w:hyperlink>
        </w:p>
        <w:p w14:paraId="4EE7F3CE" w14:textId="77777777" w:rsidR="00BD462C" w:rsidRDefault="00000000">
          <w:pPr>
            <w:pStyle w:val="TOC8"/>
            <w:numPr>
              <w:ilvl w:val="2"/>
              <w:numId w:val="67"/>
            </w:numPr>
            <w:tabs>
              <w:tab w:val="left" w:pos="1835"/>
              <w:tab w:val="left" w:pos="1836"/>
              <w:tab w:val="left" w:leader="dot" w:pos="8833"/>
            </w:tabs>
            <w:ind w:hanging="851"/>
          </w:pPr>
          <w:hyperlink w:anchor="_bookmark1409" w:history="1">
            <w:r w:rsidR="00033D0F">
              <w:t>Responses</w:t>
            </w:r>
            <w:r w:rsidR="00033D0F">
              <w:rPr>
                <w:spacing w:val="-5"/>
              </w:rPr>
              <w:t xml:space="preserve"> </w:t>
            </w:r>
            <w:r w:rsidR="00033D0F">
              <w:t>to</w:t>
            </w:r>
            <w:r w:rsidR="00033D0F">
              <w:rPr>
                <w:spacing w:val="-3"/>
              </w:rPr>
              <w:t xml:space="preserve"> </w:t>
            </w:r>
            <w:r w:rsidR="00033D0F">
              <w:t>the</w:t>
            </w:r>
            <w:r w:rsidR="00033D0F">
              <w:rPr>
                <w:spacing w:val="-5"/>
              </w:rPr>
              <w:t xml:space="preserve"> </w:t>
            </w:r>
            <w:r w:rsidR="00033D0F">
              <w:t>domestic</w:t>
            </w:r>
            <w:r w:rsidR="00033D0F">
              <w:rPr>
                <w:spacing w:val="1"/>
              </w:rPr>
              <w:t xml:space="preserve"> </w:t>
            </w:r>
            <w:r w:rsidR="00033D0F">
              <w:t>producer</w:t>
            </w:r>
            <w:r w:rsidR="00033D0F">
              <w:rPr>
                <w:spacing w:val="-3"/>
              </w:rPr>
              <w:t xml:space="preserve"> </w:t>
            </w:r>
            <w:r w:rsidR="00033D0F">
              <w:rPr>
                <w:spacing w:val="-2"/>
              </w:rPr>
              <w:t>questionnaires</w:t>
            </w:r>
            <w:r w:rsidR="00033D0F">
              <w:tab/>
            </w:r>
            <w:r w:rsidR="00033D0F">
              <w:rPr>
                <w:spacing w:val="-5"/>
              </w:rPr>
              <w:t>278</w:t>
            </w:r>
          </w:hyperlink>
        </w:p>
        <w:p w14:paraId="3380F4BD" w14:textId="77777777" w:rsidR="00BD462C" w:rsidRDefault="00000000">
          <w:pPr>
            <w:pStyle w:val="TOC8"/>
            <w:numPr>
              <w:ilvl w:val="2"/>
              <w:numId w:val="67"/>
            </w:numPr>
            <w:tabs>
              <w:tab w:val="left" w:pos="1835"/>
              <w:tab w:val="left" w:pos="1836"/>
              <w:tab w:val="left" w:leader="dot" w:pos="8833"/>
            </w:tabs>
            <w:ind w:hanging="851"/>
          </w:pPr>
          <w:hyperlink w:anchor="_bookmark1418" w:history="1">
            <w:r w:rsidR="00033D0F">
              <w:t>The</w:t>
            </w:r>
            <w:r w:rsidR="00033D0F">
              <w:rPr>
                <w:spacing w:val="-4"/>
              </w:rPr>
              <w:t xml:space="preserve"> </w:t>
            </w:r>
            <w:r w:rsidR="00033D0F">
              <w:t xml:space="preserve">sampling </w:t>
            </w:r>
            <w:r w:rsidR="00033D0F">
              <w:rPr>
                <w:spacing w:val="-2"/>
              </w:rPr>
              <w:t>questionnaire</w:t>
            </w:r>
            <w:r w:rsidR="00033D0F">
              <w:tab/>
            </w:r>
            <w:r w:rsidR="00033D0F">
              <w:rPr>
                <w:spacing w:val="-5"/>
              </w:rPr>
              <w:t>281</w:t>
            </w:r>
          </w:hyperlink>
        </w:p>
        <w:p w14:paraId="7539B466" w14:textId="77777777" w:rsidR="00BD462C" w:rsidRDefault="00000000">
          <w:pPr>
            <w:pStyle w:val="TOC8"/>
            <w:numPr>
              <w:ilvl w:val="2"/>
              <w:numId w:val="67"/>
            </w:numPr>
            <w:tabs>
              <w:tab w:val="left" w:pos="1835"/>
              <w:tab w:val="left" w:pos="1836"/>
              <w:tab w:val="left" w:leader="dot" w:pos="8833"/>
            </w:tabs>
            <w:ind w:hanging="851"/>
          </w:pPr>
          <w:hyperlink w:anchor="_bookmark1431" w:history="1">
            <w:r w:rsidR="00033D0F">
              <w:t>Defective</w:t>
            </w:r>
            <w:r w:rsidR="00033D0F">
              <w:rPr>
                <w:spacing w:val="-6"/>
              </w:rPr>
              <w:t xml:space="preserve"> </w:t>
            </w:r>
            <w:r w:rsidR="00033D0F">
              <w:t>assessment</w:t>
            </w:r>
            <w:r w:rsidR="00033D0F">
              <w:rPr>
                <w:spacing w:val="-5"/>
              </w:rPr>
              <w:t xml:space="preserve"> </w:t>
            </w:r>
            <w:r w:rsidR="00033D0F">
              <w:t>of</w:t>
            </w:r>
            <w:r w:rsidR="00033D0F">
              <w:rPr>
                <w:spacing w:val="-2"/>
              </w:rPr>
              <w:t xml:space="preserve"> </w:t>
            </w:r>
            <w:r w:rsidR="00033D0F">
              <w:t>the</w:t>
            </w:r>
            <w:r w:rsidR="00033D0F">
              <w:rPr>
                <w:spacing w:val="-4"/>
              </w:rPr>
              <w:t xml:space="preserve"> </w:t>
            </w:r>
            <w:r w:rsidR="00033D0F">
              <w:t>responses</w:t>
            </w:r>
            <w:r w:rsidR="00033D0F">
              <w:rPr>
                <w:spacing w:val="-3"/>
              </w:rPr>
              <w:t xml:space="preserve"> </w:t>
            </w:r>
            <w:r w:rsidR="00033D0F">
              <w:t>from</w:t>
            </w:r>
            <w:r w:rsidR="00033D0F">
              <w:rPr>
                <w:spacing w:val="-1"/>
              </w:rPr>
              <w:t xml:space="preserve"> </w:t>
            </w:r>
            <w:r w:rsidR="00033D0F">
              <w:t>the</w:t>
            </w:r>
            <w:r w:rsidR="00033D0F">
              <w:rPr>
                <w:spacing w:val="1"/>
              </w:rPr>
              <w:t xml:space="preserve"> </w:t>
            </w:r>
            <w:r w:rsidR="00033D0F">
              <w:t>sampled</w:t>
            </w:r>
            <w:r w:rsidR="00033D0F">
              <w:rPr>
                <w:spacing w:val="-2"/>
              </w:rPr>
              <w:t xml:space="preserve"> companies</w:t>
            </w:r>
            <w:r w:rsidR="00033D0F">
              <w:tab/>
            </w:r>
            <w:r w:rsidR="00033D0F">
              <w:rPr>
                <w:spacing w:val="-5"/>
              </w:rPr>
              <w:t>283</w:t>
            </w:r>
          </w:hyperlink>
        </w:p>
        <w:p w14:paraId="41CAA0AB" w14:textId="77777777" w:rsidR="00BD462C" w:rsidRDefault="00000000">
          <w:pPr>
            <w:pStyle w:val="TOC8"/>
            <w:numPr>
              <w:ilvl w:val="2"/>
              <w:numId w:val="67"/>
            </w:numPr>
            <w:tabs>
              <w:tab w:val="left" w:pos="1835"/>
              <w:tab w:val="left" w:pos="1836"/>
              <w:tab w:val="left" w:leader="dot" w:pos="8833"/>
            </w:tabs>
            <w:ind w:hanging="851"/>
          </w:pPr>
          <w:hyperlink w:anchor="_bookmark1432" w:history="1">
            <w:r w:rsidR="00033D0F">
              <w:rPr>
                <w:spacing w:val="-2"/>
              </w:rPr>
              <w:t>Conclusion</w:t>
            </w:r>
            <w:r w:rsidR="00033D0F">
              <w:tab/>
            </w:r>
            <w:r w:rsidR="00033D0F">
              <w:rPr>
                <w:spacing w:val="-5"/>
              </w:rPr>
              <w:t>283</w:t>
            </w:r>
          </w:hyperlink>
        </w:p>
        <w:p w14:paraId="1582A474" w14:textId="77777777" w:rsidR="00BD462C" w:rsidRDefault="00000000">
          <w:pPr>
            <w:pStyle w:val="TOC7"/>
            <w:numPr>
              <w:ilvl w:val="1"/>
              <w:numId w:val="67"/>
            </w:numPr>
            <w:tabs>
              <w:tab w:val="left" w:pos="1412"/>
              <w:tab w:val="left" w:pos="1413"/>
              <w:tab w:val="left" w:leader="dot" w:pos="8833"/>
            </w:tabs>
            <w:ind w:right="911"/>
            <w:jc w:val="both"/>
          </w:pPr>
          <w:hyperlink w:anchor="_bookmark1435" w:history="1">
            <w:proofErr w:type="gramStart"/>
            <w:r w:rsidR="00033D0F">
              <w:rPr>
                <w:smallCaps/>
              </w:rPr>
              <w:t>MOFCOM's</w:t>
            </w:r>
            <w:r w:rsidR="00033D0F">
              <w:rPr>
                <w:smallCaps/>
                <w:spacing w:val="-1"/>
              </w:rPr>
              <w:t xml:space="preserve"> </w:t>
            </w:r>
            <w:r w:rsidR="00033D0F">
              <w:rPr>
                <w:smallCaps/>
                <w:spacing w:val="-5"/>
              </w:rPr>
              <w:t xml:space="preserve"> </w:t>
            </w:r>
            <w:r w:rsidR="00033D0F">
              <w:rPr>
                <w:smallCaps/>
              </w:rPr>
              <w:t>failure</w:t>
            </w:r>
            <w:proofErr w:type="gramEnd"/>
            <w:r w:rsidR="00033D0F">
              <w:rPr>
                <w:smallCaps/>
                <w:spacing w:val="-1"/>
              </w:rPr>
              <w:t xml:space="preserve"> </w:t>
            </w:r>
            <w:r w:rsidR="00033D0F">
              <w:rPr>
                <w:smallCaps/>
                <w:spacing w:val="-3"/>
              </w:rPr>
              <w:t xml:space="preserve"> </w:t>
            </w:r>
            <w:r w:rsidR="00033D0F">
              <w:rPr>
                <w:smallCaps/>
              </w:rPr>
              <w:t>to</w:t>
            </w:r>
            <w:r w:rsidR="00033D0F">
              <w:rPr>
                <w:smallCaps/>
                <w:spacing w:val="-1"/>
              </w:rPr>
              <w:t xml:space="preserve"> </w:t>
            </w:r>
            <w:r w:rsidR="00033D0F">
              <w:rPr>
                <w:smallCaps/>
                <w:spacing w:val="-6"/>
              </w:rPr>
              <w:t xml:space="preserve"> </w:t>
            </w:r>
            <w:r w:rsidR="00033D0F">
              <w:rPr>
                <w:smallCaps/>
              </w:rPr>
              <w:t>provide</w:t>
            </w:r>
            <w:r w:rsidR="00033D0F">
              <w:rPr>
                <w:smallCaps/>
                <w:spacing w:val="-1"/>
              </w:rPr>
              <w:t xml:space="preserve"> </w:t>
            </w:r>
            <w:r w:rsidR="00033D0F">
              <w:rPr>
                <w:smallCaps/>
                <w:spacing w:val="-8"/>
              </w:rPr>
              <w:t xml:space="preserve"> </w:t>
            </w:r>
            <w:r w:rsidR="00033D0F">
              <w:rPr>
                <w:smallCaps/>
              </w:rPr>
              <w:t>interested</w:t>
            </w:r>
            <w:r w:rsidR="00033D0F">
              <w:rPr>
                <w:smallCaps/>
                <w:spacing w:val="-1"/>
              </w:rPr>
              <w:t xml:space="preserve"> </w:t>
            </w:r>
            <w:r w:rsidR="00033D0F">
              <w:rPr>
                <w:smallCaps/>
                <w:spacing w:val="-7"/>
              </w:rPr>
              <w:t xml:space="preserve"> </w:t>
            </w:r>
            <w:r w:rsidR="00033D0F">
              <w:rPr>
                <w:smallCaps/>
              </w:rPr>
              <w:t>parties</w:t>
            </w:r>
            <w:r w:rsidR="00033D0F">
              <w:rPr>
                <w:smallCaps/>
                <w:spacing w:val="-1"/>
              </w:rPr>
              <w:t xml:space="preserve"> </w:t>
            </w:r>
            <w:r w:rsidR="00033D0F">
              <w:rPr>
                <w:smallCaps/>
                <w:spacing w:val="-10"/>
              </w:rPr>
              <w:t xml:space="preserve"> </w:t>
            </w:r>
            <w:r w:rsidR="00033D0F">
              <w:rPr>
                <w:smallCaps/>
              </w:rPr>
              <w:t>timely</w:t>
            </w:r>
            <w:r w:rsidR="00033D0F">
              <w:rPr>
                <w:smallCaps/>
                <w:spacing w:val="-1"/>
              </w:rPr>
              <w:t xml:space="preserve"> </w:t>
            </w:r>
            <w:r w:rsidR="00033D0F">
              <w:rPr>
                <w:smallCaps/>
                <w:spacing w:val="-5"/>
              </w:rPr>
              <w:t xml:space="preserve"> </w:t>
            </w:r>
            <w:r w:rsidR="00033D0F">
              <w:rPr>
                <w:smallCaps/>
              </w:rPr>
              <w:t>opportunities</w:t>
            </w:r>
            <w:r w:rsidR="00033D0F">
              <w:rPr>
                <w:smallCaps/>
                <w:spacing w:val="-1"/>
              </w:rPr>
              <w:t xml:space="preserve"> </w:t>
            </w:r>
            <w:r w:rsidR="00033D0F">
              <w:rPr>
                <w:smallCaps/>
                <w:spacing w:val="-10"/>
              </w:rPr>
              <w:t xml:space="preserve"> </w:t>
            </w:r>
            <w:r w:rsidR="00033D0F">
              <w:rPr>
                <w:smallCaps/>
              </w:rPr>
              <w:t>to</w:t>
            </w:r>
            <w:r w:rsidR="00033D0F">
              <w:rPr>
                <w:smallCaps/>
                <w:spacing w:val="-1"/>
              </w:rPr>
              <w:t xml:space="preserve"> </w:t>
            </w:r>
            <w:r w:rsidR="00033D0F">
              <w:rPr>
                <w:smallCaps/>
                <w:spacing w:val="-6"/>
              </w:rPr>
              <w:t xml:space="preserve"> </w:t>
            </w:r>
            <w:r w:rsidR="00033D0F">
              <w:rPr>
                <w:smallCaps/>
              </w:rPr>
              <w:t>see</w:t>
            </w:r>
            <w:r w:rsidR="00033D0F">
              <w:rPr>
                <w:smallCaps/>
                <w:spacing w:val="-1"/>
              </w:rPr>
              <w:t xml:space="preserve"> </w:t>
            </w:r>
            <w:r w:rsidR="00033D0F">
              <w:rPr>
                <w:smallCaps/>
                <w:spacing w:val="-3"/>
              </w:rPr>
              <w:t xml:space="preserve"> </w:t>
            </w:r>
            <w:r w:rsidR="00033D0F">
              <w:rPr>
                <w:smallCaps/>
              </w:rPr>
              <w:t>all</w:t>
            </w:r>
          </w:hyperlink>
          <w:r w:rsidR="00033D0F">
            <w:rPr>
              <w:smallCaps/>
            </w:rPr>
            <w:t xml:space="preserve"> </w:t>
          </w:r>
          <w:hyperlink w:anchor="_bookmark1435" w:history="1">
            <w:r w:rsidR="00033D0F">
              <w:rPr>
                <w:smallCaps/>
              </w:rPr>
              <w:t>information</w:t>
            </w:r>
            <w:r w:rsidR="00033D0F">
              <w:rPr>
                <w:smallCaps/>
                <w:spacing w:val="-11"/>
              </w:rPr>
              <w:t xml:space="preserve">  </w:t>
            </w:r>
            <w:r w:rsidR="00033D0F">
              <w:rPr>
                <w:smallCaps/>
              </w:rPr>
              <w:t>breached</w:t>
            </w:r>
            <w:r w:rsidR="00033D0F">
              <w:rPr>
                <w:smallCaps/>
                <w:spacing w:val="-11"/>
              </w:rPr>
              <w:t xml:space="preserve"> </w:t>
            </w:r>
            <w:r w:rsidR="00033D0F">
              <w:rPr>
                <w:smallCaps/>
              </w:rPr>
              <w:t>China's</w:t>
            </w:r>
            <w:r w:rsidR="00033D0F">
              <w:rPr>
                <w:smallCaps/>
                <w:spacing w:val="13"/>
              </w:rPr>
              <w:t xml:space="preserve"> </w:t>
            </w:r>
            <w:r w:rsidR="00033D0F">
              <w:rPr>
                <w:smallCaps/>
              </w:rPr>
              <w:t>obligations</w:t>
            </w:r>
            <w:r w:rsidR="00033D0F">
              <w:rPr>
                <w:smallCaps/>
                <w:spacing w:val="17"/>
              </w:rPr>
              <w:t xml:space="preserve"> </w:t>
            </w:r>
            <w:r w:rsidR="00033D0F">
              <w:rPr>
                <w:smallCaps/>
              </w:rPr>
              <w:t>under</w:t>
            </w:r>
            <w:r w:rsidR="00033D0F">
              <w:rPr>
                <w:smallCaps/>
                <w:spacing w:val="-1"/>
              </w:rPr>
              <w:t xml:space="preserve"> </w:t>
            </w:r>
            <w:r w:rsidR="00033D0F">
              <w:rPr>
                <w:smallCaps/>
                <w:spacing w:val="-11"/>
              </w:rPr>
              <w:t xml:space="preserve"> </w:t>
            </w:r>
            <w:r w:rsidR="00033D0F">
              <w:rPr>
                <w:smallCaps/>
              </w:rPr>
              <w:t>Article</w:t>
            </w:r>
            <w:r w:rsidR="00033D0F">
              <w:rPr>
                <w:smallCaps/>
                <w:spacing w:val="-1"/>
              </w:rPr>
              <w:t xml:space="preserve"> </w:t>
            </w:r>
            <w:r w:rsidR="00033D0F">
              <w:rPr>
                <w:smallCaps/>
                <w:spacing w:val="-11"/>
              </w:rPr>
              <w:t xml:space="preserve"> </w:t>
            </w:r>
            <w:r w:rsidR="00033D0F">
              <w:rPr>
                <w:smallCaps/>
              </w:rPr>
              <w:t>6.4 of</w:t>
            </w:r>
            <w:r w:rsidR="00033D0F">
              <w:rPr>
                <w:smallCaps/>
                <w:spacing w:val="-1"/>
              </w:rPr>
              <w:t xml:space="preserve"> </w:t>
            </w:r>
            <w:r w:rsidR="00033D0F">
              <w:rPr>
                <w:smallCaps/>
                <w:spacing w:val="-11"/>
              </w:rPr>
              <w:t xml:space="preserve"> </w:t>
            </w:r>
            <w:r w:rsidR="00033D0F">
              <w:rPr>
                <w:smallCaps/>
              </w:rPr>
              <w:t>the</w:t>
            </w:r>
            <w:r w:rsidR="00033D0F">
              <w:rPr>
                <w:smallCaps/>
                <w:spacing w:val="-1"/>
              </w:rPr>
              <w:t xml:space="preserve"> </w:t>
            </w:r>
            <w:r w:rsidR="00033D0F">
              <w:rPr>
                <w:smallCaps/>
                <w:spacing w:val="-11"/>
              </w:rPr>
              <w:t xml:space="preserve"> </w:t>
            </w:r>
            <w:r w:rsidR="00033D0F">
              <w:rPr>
                <w:smallCaps/>
              </w:rPr>
              <w:t>Anti-Dumping</w:t>
            </w:r>
          </w:hyperlink>
          <w:r w:rsidR="00033D0F">
            <w:rPr>
              <w:smallCaps/>
            </w:rPr>
            <w:t xml:space="preserve"> </w:t>
          </w:r>
          <w:hyperlink w:anchor="_bookmark1435" w:history="1">
            <w:r w:rsidR="00033D0F">
              <w:rPr>
                <w:smallCaps/>
                <w:spacing w:val="-2"/>
              </w:rPr>
              <w:t>Agreement</w:t>
            </w:r>
            <w:r w:rsidR="00033D0F">
              <w:rPr>
                <w:smallCaps/>
              </w:rPr>
              <w:tab/>
            </w:r>
            <w:r w:rsidR="00033D0F">
              <w:rPr>
                <w:smallCaps/>
                <w:spacing w:val="-5"/>
              </w:rPr>
              <w:t>284</w:t>
            </w:r>
          </w:hyperlink>
        </w:p>
        <w:p w14:paraId="4FEBB1EF" w14:textId="77777777" w:rsidR="00BD462C" w:rsidRDefault="00000000">
          <w:pPr>
            <w:pStyle w:val="TOC8"/>
            <w:numPr>
              <w:ilvl w:val="2"/>
              <w:numId w:val="67"/>
            </w:numPr>
            <w:tabs>
              <w:tab w:val="left" w:pos="1835"/>
              <w:tab w:val="left" w:pos="1836"/>
              <w:tab w:val="left" w:leader="dot" w:pos="8833"/>
            </w:tabs>
            <w:spacing w:before="119"/>
            <w:ind w:hanging="851"/>
            <w:jc w:val="both"/>
          </w:pPr>
          <w:hyperlink w:anchor="_bookmark1436" w:history="1">
            <w:r w:rsidR="00033D0F">
              <w:rPr>
                <w:spacing w:val="-2"/>
              </w:rPr>
              <w:t>Introduction</w:t>
            </w:r>
            <w:r w:rsidR="00033D0F">
              <w:tab/>
            </w:r>
            <w:r w:rsidR="00033D0F">
              <w:rPr>
                <w:spacing w:val="-5"/>
              </w:rPr>
              <w:t>284</w:t>
            </w:r>
          </w:hyperlink>
        </w:p>
        <w:p w14:paraId="2015F5B8" w14:textId="77777777" w:rsidR="00BD462C" w:rsidRDefault="00000000">
          <w:pPr>
            <w:pStyle w:val="TOC8"/>
            <w:numPr>
              <w:ilvl w:val="2"/>
              <w:numId w:val="67"/>
            </w:numPr>
            <w:tabs>
              <w:tab w:val="left" w:pos="1835"/>
              <w:tab w:val="left" w:pos="1836"/>
              <w:tab w:val="left" w:leader="dot" w:pos="8833"/>
            </w:tabs>
            <w:ind w:hanging="851"/>
            <w:jc w:val="both"/>
          </w:pPr>
          <w:hyperlink w:anchor="_bookmark1437" w:history="1">
            <w:r w:rsidR="00033D0F">
              <w:t>Legal</w:t>
            </w:r>
            <w:r w:rsidR="00033D0F">
              <w:rPr>
                <w:spacing w:val="-3"/>
              </w:rPr>
              <w:t xml:space="preserve"> </w:t>
            </w:r>
            <w:r w:rsidR="00033D0F">
              <w:rPr>
                <w:spacing w:val="-2"/>
              </w:rPr>
              <w:t>framework</w:t>
            </w:r>
            <w:r w:rsidR="00033D0F">
              <w:tab/>
            </w:r>
            <w:r w:rsidR="00033D0F">
              <w:rPr>
                <w:spacing w:val="-5"/>
              </w:rPr>
              <w:t>284</w:t>
            </w:r>
          </w:hyperlink>
        </w:p>
        <w:p w14:paraId="058049CC" w14:textId="77777777" w:rsidR="00BD462C" w:rsidRDefault="00000000">
          <w:pPr>
            <w:pStyle w:val="TOC8"/>
            <w:numPr>
              <w:ilvl w:val="2"/>
              <w:numId w:val="67"/>
            </w:numPr>
            <w:tabs>
              <w:tab w:val="left" w:pos="1835"/>
              <w:tab w:val="left" w:pos="1836"/>
              <w:tab w:val="left" w:leader="dot" w:pos="8833"/>
            </w:tabs>
            <w:ind w:left="1840" w:right="917" w:hanging="855"/>
            <w:jc w:val="both"/>
          </w:pPr>
          <w:hyperlink w:anchor="_bookmark1484" w:history="1">
            <w:r w:rsidR="00033D0F">
              <w:t>MOFCOM failed to provide opportunities for interested parties to see</w:t>
            </w:r>
          </w:hyperlink>
          <w:r w:rsidR="00033D0F">
            <w:t xml:space="preserve"> </w:t>
          </w:r>
          <w:hyperlink w:anchor="_bookmark1484" w:history="1">
            <w:r w:rsidR="00033D0F">
              <w:t>information</w:t>
            </w:r>
            <w:r w:rsidR="00033D0F">
              <w:rPr>
                <w:spacing w:val="-4"/>
              </w:rPr>
              <w:t xml:space="preserve"> </w:t>
            </w:r>
            <w:r w:rsidR="00033D0F">
              <w:t>relevant</w:t>
            </w:r>
            <w:r w:rsidR="00033D0F">
              <w:rPr>
                <w:spacing w:val="-6"/>
              </w:rPr>
              <w:t xml:space="preserve"> </w:t>
            </w:r>
            <w:r w:rsidR="00033D0F">
              <w:t>to</w:t>
            </w:r>
            <w:r w:rsidR="00033D0F">
              <w:rPr>
                <w:spacing w:val="-4"/>
              </w:rPr>
              <w:t xml:space="preserve"> </w:t>
            </w:r>
            <w:r w:rsidR="00033D0F">
              <w:t>their</w:t>
            </w:r>
            <w:r w:rsidR="00033D0F">
              <w:rPr>
                <w:spacing w:val="-3"/>
              </w:rPr>
              <w:t xml:space="preserve"> </w:t>
            </w:r>
            <w:r w:rsidR="00033D0F">
              <w:rPr>
                <w:spacing w:val="-4"/>
              </w:rPr>
              <w:t>cases</w:t>
            </w:r>
            <w:r w:rsidR="00033D0F">
              <w:tab/>
            </w:r>
            <w:r w:rsidR="00033D0F">
              <w:rPr>
                <w:spacing w:val="-5"/>
              </w:rPr>
              <w:t>297</w:t>
            </w:r>
          </w:hyperlink>
        </w:p>
        <w:p w14:paraId="259BC232" w14:textId="77777777" w:rsidR="00BD462C" w:rsidRDefault="00000000">
          <w:pPr>
            <w:pStyle w:val="TOC8"/>
            <w:numPr>
              <w:ilvl w:val="2"/>
              <w:numId w:val="67"/>
            </w:numPr>
            <w:tabs>
              <w:tab w:val="left" w:pos="1835"/>
              <w:tab w:val="left" w:pos="1836"/>
              <w:tab w:val="left" w:leader="dot" w:pos="8833"/>
            </w:tabs>
            <w:spacing w:before="119"/>
            <w:ind w:hanging="851"/>
            <w:jc w:val="both"/>
          </w:pPr>
          <w:hyperlink w:anchor="_bookmark1522" w:history="1">
            <w:r w:rsidR="00033D0F">
              <w:rPr>
                <w:spacing w:val="-2"/>
              </w:rPr>
              <w:t>Conclusion</w:t>
            </w:r>
            <w:r w:rsidR="00033D0F">
              <w:tab/>
            </w:r>
            <w:r w:rsidR="00033D0F">
              <w:rPr>
                <w:spacing w:val="-5"/>
              </w:rPr>
              <w:t>306</w:t>
            </w:r>
          </w:hyperlink>
        </w:p>
        <w:p w14:paraId="6375BCA6" w14:textId="77777777" w:rsidR="00BD462C" w:rsidRDefault="00000000">
          <w:pPr>
            <w:pStyle w:val="TOC7"/>
            <w:numPr>
              <w:ilvl w:val="1"/>
              <w:numId w:val="67"/>
            </w:numPr>
            <w:tabs>
              <w:tab w:val="left" w:pos="1412"/>
              <w:tab w:val="left" w:pos="1413"/>
            </w:tabs>
          </w:pPr>
          <w:hyperlink w:anchor="_bookmark1525" w:history="1">
            <w:proofErr w:type="gramStart"/>
            <w:r w:rsidR="00033D0F">
              <w:rPr>
                <w:smallCaps/>
              </w:rPr>
              <w:t>MOFCOM's</w:t>
            </w:r>
            <w:r w:rsidR="00033D0F">
              <w:rPr>
                <w:smallCaps/>
                <w:spacing w:val="-5"/>
              </w:rPr>
              <w:t xml:space="preserve"> </w:t>
            </w:r>
            <w:r w:rsidR="00033D0F">
              <w:rPr>
                <w:smallCaps/>
                <w:spacing w:val="-14"/>
              </w:rPr>
              <w:t xml:space="preserve"> </w:t>
            </w:r>
            <w:r w:rsidR="00033D0F">
              <w:rPr>
                <w:smallCaps/>
              </w:rPr>
              <w:t>failure</w:t>
            </w:r>
            <w:proofErr w:type="gramEnd"/>
            <w:r w:rsidR="00033D0F">
              <w:rPr>
                <w:smallCaps/>
                <w:spacing w:val="-1"/>
              </w:rPr>
              <w:t xml:space="preserve"> </w:t>
            </w:r>
            <w:r w:rsidR="00033D0F">
              <w:rPr>
                <w:smallCaps/>
                <w:spacing w:val="-12"/>
              </w:rPr>
              <w:t xml:space="preserve"> </w:t>
            </w:r>
            <w:r w:rsidR="00033D0F">
              <w:rPr>
                <w:smallCaps/>
              </w:rPr>
              <w:t xml:space="preserve">to </w:t>
            </w:r>
            <w:r w:rsidR="00033D0F">
              <w:rPr>
                <w:smallCaps/>
                <w:spacing w:val="-15"/>
              </w:rPr>
              <w:t xml:space="preserve"> </w:t>
            </w:r>
            <w:r w:rsidR="00033D0F">
              <w:rPr>
                <w:smallCaps/>
              </w:rPr>
              <w:t>disclose</w:t>
            </w:r>
            <w:r w:rsidR="00033D0F">
              <w:rPr>
                <w:smallCaps/>
                <w:spacing w:val="-1"/>
              </w:rPr>
              <w:t xml:space="preserve"> </w:t>
            </w:r>
            <w:r w:rsidR="00033D0F">
              <w:rPr>
                <w:smallCaps/>
                <w:spacing w:val="-17"/>
              </w:rPr>
              <w:t xml:space="preserve"> </w:t>
            </w:r>
            <w:r w:rsidR="00033D0F">
              <w:rPr>
                <w:smallCaps/>
              </w:rPr>
              <w:t xml:space="preserve">the </w:t>
            </w:r>
            <w:r w:rsidR="00033D0F">
              <w:rPr>
                <w:smallCaps/>
                <w:spacing w:val="-17"/>
              </w:rPr>
              <w:t xml:space="preserve"> </w:t>
            </w:r>
            <w:r w:rsidR="00033D0F">
              <w:rPr>
                <w:smallCaps/>
              </w:rPr>
              <w:t>essential</w:t>
            </w:r>
            <w:r w:rsidR="00033D0F">
              <w:rPr>
                <w:smallCaps/>
                <w:spacing w:val="-1"/>
              </w:rPr>
              <w:t xml:space="preserve"> </w:t>
            </w:r>
            <w:r w:rsidR="00033D0F">
              <w:rPr>
                <w:smallCaps/>
                <w:spacing w:val="-14"/>
              </w:rPr>
              <w:t xml:space="preserve"> </w:t>
            </w:r>
            <w:r w:rsidR="00033D0F">
              <w:rPr>
                <w:smallCaps/>
              </w:rPr>
              <w:t>facts</w:t>
            </w:r>
            <w:r w:rsidR="00033D0F">
              <w:rPr>
                <w:smallCaps/>
                <w:spacing w:val="-1"/>
              </w:rPr>
              <w:t xml:space="preserve"> </w:t>
            </w:r>
            <w:r w:rsidR="00033D0F">
              <w:rPr>
                <w:smallCaps/>
                <w:spacing w:val="-19"/>
              </w:rPr>
              <w:t xml:space="preserve"> </w:t>
            </w:r>
            <w:r w:rsidR="00033D0F">
              <w:rPr>
                <w:smallCaps/>
              </w:rPr>
              <w:t xml:space="preserve">under </w:t>
            </w:r>
            <w:r w:rsidR="00033D0F">
              <w:rPr>
                <w:smallCaps/>
                <w:spacing w:val="-12"/>
              </w:rPr>
              <w:t xml:space="preserve"> </w:t>
            </w:r>
            <w:r w:rsidR="00033D0F">
              <w:rPr>
                <w:smallCaps/>
              </w:rPr>
              <w:t>consideration</w:t>
            </w:r>
            <w:r w:rsidR="00033D0F">
              <w:rPr>
                <w:smallCaps/>
                <w:spacing w:val="-1"/>
              </w:rPr>
              <w:t xml:space="preserve"> </w:t>
            </w:r>
            <w:r w:rsidR="00033D0F">
              <w:rPr>
                <w:smallCaps/>
                <w:spacing w:val="-16"/>
              </w:rPr>
              <w:t xml:space="preserve"> </w:t>
            </w:r>
            <w:r w:rsidR="00033D0F">
              <w:rPr>
                <w:smallCaps/>
                <w:spacing w:val="-2"/>
              </w:rPr>
              <w:t>breached</w:t>
            </w:r>
          </w:hyperlink>
        </w:p>
        <w:p w14:paraId="36D306E5" w14:textId="77777777" w:rsidR="00BD462C" w:rsidRDefault="00000000">
          <w:pPr>
            <w:tabs>
              <w:tab w:val="left" w:leader="dot" w:pos="8833"/>
            </w:tabs>
            <w:ind w:left="1412"/>
            <w:rPr>
              <w:b/>
              <w:sz w:val="24"/>
            </w:rPr>
          </w:pPr>
          <w:hyperlink w:anchor="_bookmark1525" w:history="1">
            <w:r w:rsidR="00033D0F">
              <w:rPr>
                <w:b/>
                <w:smallCaps/>
                <w:sz w:val="24"/>
              </w:rPr>
              <w:t>China's</w:t>
            </w:r>
            <w:r w:rsidR="00033D0F">
              <w:rPr>
                <w:b/>
                <w:smallCaps/>
                <w:spacing w:val="-7"/>
                <w:sz w:val="24"/>
              </w:rPr>
              <w:t xml:space="preserve"> </w:t>
            </w:r>
            <w:r w:rsidR="00033D0F">
              <w:rPr>
                <w:b/>
                <w:smallCaps/>
                <w:sz w:val="24"/>
              </w:rPr>
              <w:t>obligations</w:t>
            </w:r>
            <w:r w:rsidR="00033D0F">
              <w:rPr>
                <w:b/>
                <w:smallCaps/>
                <w:spacing w:val="-4"/>
                <w:sz w:val="24"/>
              </w:rPr>
              <w:t xml:space="preserve"> </w:t>
            </w:r>
            <w:r w:rsidR="00033D0F">
              <w:rPr>
                <w:b/>
                <w:smallCaps/>
                <w:sz w:val="24"/>
              </w:rPr>
              <w:t>under</w:t>
            </w:r>
            <w:r w:rsidR="00033D0F">
              <w:rPr>
                <w:b/>
                <w:smallCaps/>
                <w:spacing w:val="-2"/>
                <w:sz w:val="24"/>
              </w:rPr>
              <w:t xml:space="preserve"> </w:t>
            </w:r>
            <w:r w:rsidR="00033D0F">
              <w:rPr>
                <w:b/>
                <w:smallCaps/>
                <w:sz w:val="24"/>
              </w:rPr>
              <w:t>Article</w:t>
            </w:r>
            <w:r w:rsidR="00033D0F">
              <w:rPr>
                <w:b/>
                <w:smallCaps/>
                <w:spacing w:val="-7"/>
                <w:sz w:val="24"/>
              </w:rPr>
              <w:t xml:space="preserve"> </w:t>
            </w:r>
            <w:r w:rsidR="00033D0F">
              <w:rPr>
                <w:b/>
                <w:smallCaps/>
                <w:sz w:val="24"/>
              </w:rPr>
              <w:t>6.9</w:t>
            </w:r>
            <w:r w:rsidR="00033D0F">
              <w:rPr>
                <w:b/>
                <w:smallCaps/>
                <w:spacing w:val="-13"/>
                <w:sz w:val="24"/>
              </w:rPr>
              <w:t xml:space="preserve"> </w:t>
            </w:r>
            <w:r w:rsidR="00033D0F">
              <w:rPr>
                <w:b/>
                <w:smallCaps/>
                <w:sz w:val="24"/>
              </w:rPr>
              <w:t>of</w:t>
            </w:r>
            <w:r w:rsidR="00033D0F">
              <w:rPr>
                <w:b/>
                <w:smallCaps/>
                <w:spacing w:val="-6"/>
                <w:sz w:val="24"/>
              </w:rPr>
              <w:t xml:space="preserve"> </w:t>
            </w:r>
            <w:r w:rsidR="00033D0F">
              <w:rPr>
                <w:b/>
                <w:smallCaps/>
                <w:sz w:val="24"/>
              </w:rPr>
              <w:t>the</w:t>
            </w:r>
            <w:r w:rsidR="00033D0F">
              <w:rPr>
                <w:b/>
                <w:smallCaps/>
                <w:spacing w:val="-2"/>
                <w:sz w:val="24"/>
              </w:rPr>
              <w:t xml:space="preserve"> </w:t>
            </w:r>
            <w:r w:rsidR="00033D0F">
              <w:rPr>
                <w:b/>
                <w:smallCaps/>
                <w:sz w:val="24"/>
              </w:rPr>
              <w:t>Anti-Dumping</w:t>
            </w:r>
            <w:r w:rsidR="00033D0F">
              <w:rPr>
                <w:b/>
                <w:smallCaps/>
                <w:spacing w:val="-2"/>
                <w:sz w:val="24"/>
              </w:rPr>
              <w:t xml:space="preserve"> Agreement</w:t>
            </w:r>
            <w:r w:rsidR="00033D0F">
              <w:rPr>
                <w:b/>
                <w:smallCaps/>
                <w:sz w:val="24"/>
              </w:rPr>
              <w:tab/>
            </w:r>
            <w:r w:rsidR="00033D0F">
              <w:rPr>
                <w:b/>
                <w:smallCaps/>
                <w:spacing w:val="-5"/>
                <w:sz w:val="24"/>
              </w:rPr>
              <w:t>307</w:t>
            </w:r>
          </w:hyperlink>
        </w:p>
        <w:p w14:paraId="58BC49D2" w14:textId="77777777" w:rsidR="00BD462C" w:rsidRDefault="00000000">
          <w:pPr>
            <w:pStyle w:val="TOC8"/>
            <w:numPr>
              <w:ilvl w:val="2"/>
              <w:numId w:val="67"/>
            </w:numPr>
            <w:tabs>
              <w:tab w:val="left" w:pos="1835"/>
              <w:tab w:val="left" w:pos="1836"/>
              <w:tab w:val="left" w:leader="dot" w:pos="8833"/>
            </w:tabs>
            <w:ind w:hanging="851"/>
          </w:pPr>
          <w:hyperlink w:anchor="_bookmark1526" w:history="1">
            <w:r w:rsidR="00033D0F">
              <w:rPr>
                <w:spacing w:val="-2"/>
              </w:rPr>
              <w:t>Introduction</w:t>
            </w:r>
            <w:r w:rsidR="00033D0F">
              <w:tab/>
            </w:r>
            <w:r w:rsidR="00033D0F">
              <w:rPr>
                <w:spacing w:val="-5"/>
              </w:rPr>
              <w:t>307</w:t>
            </w:r>
          </w:hyperlink>
        </w:p>
        <w:p w14:paraId="4A68D3D5" w14:textId="77777777" w:rsidR="00BD462C" w:rsidRDefault="00000000">
          <w:pPr>
            <w:pStyle w:val="TOC8"/>
            <w:numPr>
              <w:ilvl w:val="2"/>
              <w:numId w:val="67"/>
            </w:numPr>
            <w:tabs>
              <w:tab w:val="left" w:pos="1835"/>
              <w:tab w:val="left" w:pos="1836"/>
              <w:tab w:val="left" w:leader="dot" w:pos="8833"/>
            </w:tabs>
            <w:ind w:hanging="851"/>
          </w:pPr>
          <w:hyperlink w:anchor="_bookmark1531" w:history="1">
            <w:r w:rsidR="00033D0F">
              <w:t>Legal</w:t>
            </w:r>
            <w:r w:rsidR="00033D0F">
              <w:rPr>
                <w:spacing w:val="-3"/>
              </w:rPr>
              <w:t xml:space="preserve"> </w:t>
            </w:r>
            <w:r w:rsidR="00033D0F">
              <w:rPr>
                <w:spacing w:val="-2"/>
              </w:rPr>
              <w:t>framework</w:t>
            </w:r>
            <w:r w:rsidR="00033D0F">
              <w:tab/>
            </w:r>
            <w:r w:rsidR="00033D0F">
              <w:rPr>
                <w:spacing w:val="-5"/>
              </w:rPr>
              <w:t>308</w:t>
            </w:r>
          </w:hyperlink>
        </w:p>
        <w:p w14:paraId="3293645A" w14:textId="77777777" w:rsidR="00BD462C" w:rsidRDefault="00000000">
          <w:pPr>
            <w:pStyle w:val="TOC8"/>
            <w:numPr>
              <w:ilvl w:val="2"/>
              <w:numId w:val="67"/>
            </w:numPr>
            <w:tabs>
              <w:tab w:val="left" w:pos="1835"/>
              <w:tab w:val="left" w:pos="1836"/>
              <w:tab w:val="left" w:leader="dot" w:pos="8833"/>
            </w:tabs>
            <w:ind w:hanging="851"/>
          </w:pPr>
          <w:hyperlink w:anchor="_bookmark1556" w:history="1">
            <w:r w:rsidR="00033D0F">
              <w:t>MOFCOM</w:t>
            </w:r>
            <w:r w:rsidR="00033D0F">
              <w:rPr>
                <w:spacing w:val="-6"/>
              </w:rPr>
              <w:t xml:space="preserve"> </w:t>
            </w:r>
            <w:r w:rsidR="00033D0F">
              <w:t>failed</w:t>
            </w:r>
            <w:r w:rsidR="00033D0F">
              <w:rPr>
                <w:spacing w:val="-3"/>
              </w:rPr>
              <w:t xml:space="preserve"> </w:t>
            </w:r>
            <w:r w:rsidR="00033D0F">
              <w:t>to</w:t>
            </w:r>
            <w:r w:rsidR="00033D0F">
              <w:rPr>
                <w:spacing w:val="-4"/>
              </w:rPr>
              <w:t xml:space="preserve"> </w:t>
            </w:r>
            <w:r w:rsidR="00033D0F">
              <w:t>disclose</w:t>
            </w:r>
            <w:r w:rsidR="00033D0F">
              <w:rPr>
                <w:spacing w:val="-5"/>
              </w:rPr>
              <w:t xml:space="preserve"> </w:t>
            </w:r>
            <w:r w:rsidR="00033D0F">
              <w:t>all essential</w:t>
            </w:r>
            <w:r w:rsidR="00033D0F">
              <w:rPr>
                <w:spacing w:val="-1"/>
              </w:rPr>
              <w:t xml:space="preserve"> </w:t>
            </w:r>
            <w:r w:rsidR="00033D0F">
              <w:t>facts</w:t>
            </w:r>
            <w:r w:rsidR="00033D0F">
              <w:rPr>
                <w:spacing w:val="-4"/>
              </w:rPr>
              <w:t xml:space="preserve"> </w:t>
            </w:r>
            <w:r w:rsidR="00033D0F">
              <w:t>under</w:t>
            </w:r>
            <w:r w:rsidR="00033D0F">
              <w:rPr>
                <w:spacing w:val="-3"/>
              </w:rPr>
              <w:t xml:space="preserve"> </w:t>
            </w:r>
            <w:r w:rsidR="00033D0F">
              <w:rPr>
                <w:spacing w:val="-2"/>
              </w:rPr>
              <w:t>consideration</w:t>
            </w:r>
            <w:r w:rsidR="00033D0F">
              <w:tab/>
            </w:r>
            <w:r w:rsidR="00033D0F">
              <w:rPr>
                <w:spacing w:val="-5"/>
              </w:rPr>
              <w:t>312</w:t>
            </w:r>
          </w:hyperlink>
        </w:p>
        <w:p w14:paraId="5B7D9F98" w14:textId="77777777" w:rsidR="00BD462C" w:rsidRDefault="00000000">
          <w:pPr>
            <w:pStyle w:val="TOC8"/>
            <w:numPr>
              <w:ilvl w:val="2"/>
              <w:numId w:val="67"/>
            </w:numPr>
            <w:tabs>
              <w:tab w:val="left" w:pos="1835"/>
              <w:tab w:val="left" w:pos="1836"/>
              <w:tab w:val="left" w:leader="dot" w:pos="8833"/>
            </w:tabs>
            <w:spacing w:before="119"/>
            <w:ind w:hanging="851"/>
          </w:pPr>
          <w:hyperlink w:anchor="_bookmark1609" w:history="1">
            <w:r w:rsidR="00033D0F">
              <w:rPr>
                <w:spacing w:val="-2"/>
              </w:rPr>
              <w:t>Conclusion</w:t>
            </w:r>
            <w:r w:rsidR="00033D0F">
              <w:tab/>
            </w:r>
            <w:r w:rsidR="00033D0F">
              <w:rPr>
                <w:spacing w:val="-5"/>
              </w:rPr>
              <w:t>322</w:t>
            </w:r>
          </w:hyperlink>
        </w:p>
        <w:p w14:paraId="7D606E52" w14:textId="77777777" w:rsidR="00BD462C" w:rsidRDefault="00000000">
          <w:pPr>
            <w:pStyle w:val="TOC7"/>
            <w:numPr>
              <w:ilvl w:val="1"/>
              <w:numId w:val="67"/>
            </w:numPr>
            <w:tabs>
              <w:tab w:val="left" w:pos="1412"/>
              <w:tab w:val="left" w:pos="1413"/>
              <w:tab w:val="left" w:leader="dot" w:pos="8833"/>
            </w:tabs>
            <w:spacing w:line="244" w:lineRule="auto"/>
            <w:ind w:right="909"/>
          </w:pPr>
          <w:hyperlink w:anchor="_bookmark1615" w:history="1">
            <w:r w:rsidR="00033D0F">
              <w:rPr>
                <w:smallCaps/>
              </w:rPr>
              <w:t>MOFCOM's public notice of initiation failed to contain a summary of the factors</w:t>
            </w:r>
          </w:hyperlink>
          <w:r w:rsidR="00033D0F">
            <w:rPr>
              <w:smallCaps/>
            </w:rPr>
            <w:t xml:space="preserve"> </w:t>
          </w:r>
          <w:hyperlink w:anchor="_bookmark1615" w:history="1">
            <w:r w:rsidR="00033D0F">
              <w:rPr>
                <w:smallCaps/>
              </w:rPr>
              <w:t>on</w:t>
            </w:r>
            <w:r w:rsidR="00033D0F">
              <w:rPr>
                <w:smallCaps/>
                <w:spacing w:val="-3"/>
              </w:rPr>
              <w:t xml:space="preserve"> </w:t>
            </w:r>
            <w:r w:rsidR="00033D0F">
              <w:rPr>
                <w:smallCaps/>
              </w:rPr>
              <w:t>which</w:t>
            </w:r>
            <w:r w:rsidR="00033D0F">
              <w:rPr>
                <w:smallCaps/>
                <w:spacing w:val="-2"/>
              </w:rPr>
              <w:t xml:space="preserve"> </w:t>
            </w:r>
            <w:r w:rsidR="00033D0F">
              <w:rPr>
                <w:smallCaps/>
              </w:rPr>
              <w:t>the</w:t>
            </w:r>
            <w:r w:rsidR="00033D0F">
              <w:rPr>
                <w:smallCaps/>
                <w:spacing w:val="1"/>
              </w:rPr>
              <w:t xml:space="preserve"> </w:t>
            </w:r>
            <w:r w:rsidR="00033D0F">
              <w:rPr>
                <w:smallCaps/>
              </w:rPr>
              <w:t>allegation</w:t>
            </w:r>
            <w:r w:rsidR="00033D0F">
              <w:rPr>
                <w:smallCaps/>
                <w:spacing w:val="-8"/>
              </w:rPr>
              <w:t xml:space="preserve"> </w:t>
            </w:r>
            <w:r w:rsidR="00033D0F">
              <w:rPr>
                <w:smallCaps/>
              </w:rPr>
              <w:t>of</w:t>
            </w:r>
            <w:r w:rsidR="00033D0F">
              <w:rPr>
                <w:smallCaps/>
                <w:spacing w:val="-3"/>
              </w:rPr>
              <w:t xml:space="preserve"> </w:t>
            </w:r>
            <w:r w:rsidR="00033D0F">
              <w:rPr>
                <w:smallCaps/>
              </w:rPr>
              <w:t>injury is</w:t>
            </w:r>
            <w:r w:rsidR="00033D0F">
              <w:rPr>
                <w:smallCaps/>
                <w:spacing w:val="-1"/>
              </w:rPr>
              <w:t xml:space="preserve"> </w:t>
            </w:r>
            <w:r w:rsidR="00033D0F">
              <w:rPr>
                <w:smallCaps/>
                <w:spacing w:val="-4"/>
              </w:rPr>
              <w:t>based</w:t>
            </w:r>
            <w:r w:rsidR="00033D0F">
              <w:rPr>
                <w:smallCaps/>
              </w:rPr>
              <w:tab/>
            </w:r>
            <w:r w:rsidR="00033D0F">
              <w:rPr>
                <w:smallCaps/>
                <w:spacing w:val="-5"/>
              </w:rPr>
              <w:t>323</w:t>
            </w:r>
          </w:hyperlink>
        </w:p>
        <w:p w14:paraId="77753366" w14:textId="77777777" w:rsidR="00BD462C" w:rsidRDefault="00000000">
          <w:pPr>
            <w:pStyle w:val="TOC7"/>
            <w:numPr>
              <w:ilvl w:val="1"/>
              <w:numId w:val="67"/>
            </w:numPr>
            <w:tabs>
              <w:tab w:val="left" w:pos="1412"/>
              <w:tab w:val="left" w:pos="1413"/>
            </w:tabs>
            <w:spacing w:before="108"/>
          </w:pPr>
          <w:hyperlink w:anchor="_bookmark1616" w:history="1">
            <w:proofErr w:type="gramStart"/>
            <w:r w:rsidR="00033D0F">
              <w:rPr>
                <w:smallCaps/>
              </w:rPr>
              <w:t>China</w:t>
            </w:r>
            <w:r w:rsidR="00033D0F">
              <w:rPr>
                <w:smallCaps/>
                <w:spacing w:val="-6"/>
              </w:rPr>
              <w:t xml:space="preserve"> </w:t>
            </w:r>
            <w:r w:rsidR="00033D0F">
              <w:rPr>
                <w:smallCaps/>
                <w:spacing w:val="-20"/>
              </w:rPr>
              <w:t xml:space="preserve"> </w:t>
            </w:r>
            <w:r w:rsidR="00033D0F">
              <w:rPr>
                <w:smallCaps/>
              </w:rPr>
              <w:t>violated</w:t>
            </w:r>
            <w:proofErr w:type="gramEnd"/>
            <w:r w:rsidR="00033D0F">
              <w:rPr>
                <w:smallCaps/>
                <w:spacing w:val="-1"/>
              </w:rPr>
              <w:t xml:space="preserve"> </w:t>
            </w:r>
            <w:r w:rsidR="00033D0F">
              <w:rPr>
                <w:smallCaps/>
                <w:spacing w:val="-15"/>
              </w:rPr>
              <w:t xml:space="preserve"> </w:t>
            </w:r>
            <w:r w:rsidR="00033D0F">
              <w:rPr>
                <w:smallCaps/>
              </w:rPr>
              <w:t>Articles</w:t>
            </w:r>
            <w:r w:rsidR="00033D0F">
              <w:rPr>
                <w:smallCaps/>
                <w:spacing w:val="-1"/>
              </w:rPr>
              <w:t xml:space="preserve"> </w:t>
            </w:r>
            <w:r w:rsidR="00033D0F">
              <w:rPr>
                <w:smallCaps/>
                <w:spacing w:val="-14"/>
              </w:rPr>
              <w:t xml:space="preserve"> </w:t>
            </w:r>
            <w:r w:rsidR="00033D0F">
              <w:rPr>
                <w:smallCaps/>
              </w:rPr>
              <w:t>12.2</w:t>
            </w:r>
            <w:r w:rsidR="00033D0F">
              <w:rPr>
                <w:smallCaps/>
                <w:spacing w:val="15"/>
              </w:rPr>
              <w:t xml:space="preserve"> </w:t>
            </w:r>
            <w:r w:rsidR="00033D0F">
              <w:rPr>
                <w:smallCaps/>
              </w:rPr>
              <w:t>and</w:t>
            </w:r>
            <w:r w:rsidR="00033D0F">
              <w:rPr>
                <w:smallCaps/>
                <w:spacing w:val="-1"/>
              </w:rPr>
              <w:t xml:space="preserve"> </w:t>
            </w:r>
            <w:r w:rsidR="00033D0F">
              <w:rPr>
                <w:smallCaps/>
                <w:spacing w:val="-15"/>
              </w:rPr>
              <w:t xml:space="preserve"> </w:t>
            </w:r>
            <w:r w:rsidR="00033D0F">
              <w:rPr>
                <w:smallCaps/>
              </w:rPr>
              <w:t>12.2.2</w:t>
            </w:r>
            <w:r w:rsidR="00033D0F">
              <w:rPr>
                <w:smallCaps/>
                <w:spacing w:val="14"/>
              </w:rPr>
              <w:t xml:space="preserve"> </w:t>
            </w:r>
            <w:r w:rsidR="00033D0F">
              <w:rPr>
                <w:smallCaps/>
              </w:rPr>
              <w:t>because</w:t>
            </w:r>
            <w:r w:rsidR="00033D0F">
              <w:rPr>
                <w:smallCaps/>
                <w:spacing w:val="-1"/>
              </w:rPr>
              <w:t xml:space="preserve"> </w:t>
            </w:r>
            <w:r w:rsidR="00033D0F">
              <w:rPr>
                <w:smallCaps/>
                <w:spacing w:val="-17"/>
              </w:rPr>
              <w:t xml:space="preserve"> </w:t>
            </w:r>
            <w:r w:rsidR="00033D0F">
              <w:rPr>
                <w:smallCaps/>
              </w:rPr>
              <w:t xml:space="preserve">MOFCOM's </w:t>
            </w:r>
            <w:r w:rsidR="00033D0F">
              <w:rPr>
                <w:smallCaps/>
                <w:spacing w:val="-19"/>
              </w:rPr>
              <w:t xml:space="preserve"> </w:t>
            </w:r>
            <w:r w:rsidR="00033D0F">
              <w:rPr>
                <w:smallCaps/>
              </w:rPr>
              <w:t>public</w:t>
            </w:r>
            <w:r w:rsidR="00033D0F">
              <w:rPr>
                <w:smallCaps/>
                <w:spacing w:val="-1"/>
              </w:rPr>
              <w:t xml:space="preserve"> </w:t>
            </w:r>
            <w:r w:rsidR="00033D0F">
              <w:rPr>
                <w:smallCaps/>
                <w:spacing w:val="-20"/>
              </w:rPr>
              <w:t xml:space="preserve"> </w:t>
            </w:r>
            <w:r w:rsidR="00033D0F">
              <w:rPr>
                <w:smallCaps/>
              </w:rPr>
              <w:t>notice</w:t>
            </w:r>
            <w:r w:rsidR="00033D0F">
              <w:rPr>
                <w:smallCaps/>
                <w:spacing w:val="-1"/>
              </w:rPr>
              <w:t xml:space="preserve"> </w:t>
            </w:r>
            <w:r w:rsidR="00033D0F">
              <w:rPr>
                <w:smallCaps/>
                <w:spacing w:val="-17"/>
              </w:rPr>
              <w:t xml:space="preserve"> </w:t>
            </w:r>
            <w:r w:rsidR="00033D0F">
              <w:rPr>
                <w:smallCaps/>
              </w:rPr>
              <w:t>of</w:t>
            </w:r>
            <w:r w:rsidR="00033D0F">
              <w:rPr>
                <w:smallCaps/>
                <w:spacing w:val="-1"/>
              </w:rPr>
              <w:t xml:space="preserve"> </w:t>
            </w:r>
            <w:r w:rsidR="00033D0F">
              <w:rPr>
                <w:smallCaps/>
                <w:spacing w:val="-21"/>
              </w:rPr>
              <w:t xml:space="preserve"> </w:t>
            </w:r>
            <w:r w:rsidR="00033D0F">
              <w:rPr>
                <w:smallCaps/>
                <w:spacing w:val="-5"/>
              </w:rPr>
              <w:t>the</w:t>
            </w:r>
          </w:hyperlink>
        </w:p>
        <w:p w14:paraId="6641DABF" w14:textId="77777777" w:rsidR="00BD462C" w:rsidRDefault="00000000">
          <w:pPr>
            <w:tabs>
              <w:tab w:val="left" w:leader="dot" w:pos="8833"/>
            </w:tabs>
            <w:spacing w:before="5"/>
            <w:ind w:left="1412"/>
            <w:rPr>
              <w:b/>
              <w:sz w:val="24"/>
            </w:rPr>
          </w:pPr>
          <w:hyperlink w:anchor="_bookmark1616" w:history="1">
            <w:r w:rsidR="00033D0F">
              <w:rPr>
                <w:b/>
                <w:smallCaps/>
                <w:sz w:val="24"/>
              </w:rPr>
              <w:t>Final</w:t>
            </w:r>
            <w:r w:rsidR="00033D0F">
              <w:rPr>
                <w:b/>
                <w:smallCaps/>
                <w:spacing w:val="-2"/>
                <w:sz w:val="24"/>
              </w:rPr>
              <w:t xml:space="preserve"> </w:t>
            </w:r>
            <w:r w:rsidR="00033D0F">
              <w:rPr>
                <w:b/>
                <w:smallCaps/>
                <w:sz w:val="24"/>
              </w:rPr>
              <w:t>Determination</w:t>
            </w:r>
            <w:r w:rsidR="00033D0F">
              <w:rPr>
                <w:b/>
                <w:smallCaps/>
                <w:spacing w:val="-4"/>
                <w:sz w:val="24"/>
              </w:rPr>
              <w:t xml:space="preserve"> </w:t>
            </w:r>
            <w:r w:rsidR="00033D0F">
              <w:rPr>
                <w:b/>
                <w:smallCaps/>
                <w:sz w:val="24"/>
              </w:rPr>
              <w:t>failed</w:t>
            </w:r>
            <w:r w:rsidR="00033D0F">
              <w:rPr>
                <w:b/>
                <w:smallCaps/>
                <w:spacing w:val="-3"/>
                <w:sz w:val="24"/>
              </w:rPr>
              <w:t xml:space="preserve"> </w:t>
            </w:r>
            <w:r w:rsidR="00033D0F">
              <w:rPr>
                <w:b/>
                <w:smallCaps/>
                <w:sz w:val="24"/>
              </w:rPr>
              <w:t>to</w:t>
            </w:r>
            <w:r w:rsidR="00033D0F">
              <w:rPr>
                <w:b/>
                <w:smallCaps/>
                <w:spacing w:val="-1"/>
                <w:sz w:val="24"/>
              </w:rPr>
              <w:t xml:space="preserve"> </w:t>
            </w:r>
            <w:r w:rsidR="00033D0F">
              <w:rPr>
                <w:b/>
                <w:smallCaps/>
                <w:sz w:val="24"/>
              </w:rPr>
              <w:t>contain</w:t>
            </w:r>
            <w:r w:rsidR="00033D0F">
              <w:rPr>
                <w:b/>
                <w:smallCaps/>
                <w:spacing w:val="-4"/>
                <w:sz w:val="24"/>
              </w:rPr>
              <w:t xml:space="preserve"> </w:t>
            </w:r>
            <w:r w:rsidR="00033D0F">
              <w:rPr>
                <w:b/>
                <w:smallCaps/>
                <w:sz w:val="24"/>
              </w:rPr>
              <w:t>all</w:t>
            </w:r>
            <w:r w:rsidR="00033D0F">
              <w:rPr>
                <w:b/>
                <w:smallCaps/>
                <w:spacing w:val="-7"/>
                <w:sz w:val="24"/>
              </w:rPr>
              <w:t xml:space="preserve"> </w:t>
            </w:r>
            <w:r w:rsidR="00033D0F">
              <w:rPr>
                <w:b/>
                <w:smallCaps/>
                <w:sz w:val="24"/>
              </w:rPr>
              <w:t xml:space="preserve">relevant </w:t>
            </w:r>
            <w:r w:rsidR="00033D0F">
              <w:rPr>
                <w:b/>
                <w:smallCaps/>
                <w:spacing w:val="-2"/>
                <w:sz w:val="24"/>
              </w:rPr>
              <w:t>information</w:t>
            </w:r>
            <w:r w:rsidR="00033D0F">
              <w:rPr>
                <w:b/>
                <w:smallCaps/>
                <w:sz w:val="24"/>
              </w:rPr>
              <w:tab/>
            </w:r>
            <w:r w:rsidR="00033D0F">
              <w:rPr>
                <w:b/>
                <w:smallCaps/>
                <w:spacing w:val="-5"/>
                <w:sz w:val="24"/>
              </w:rPr>
              <w:t>323</w:t>
            </w:r>
          </w:hyperlink>
        </w:p>
        <w:p w14:paraId="0771B39F" w14:textId="77777777" w:rsidR="00BD462C" w:rsidRDefault="00000000">
          <w:pPr>
            <w:pStyle w:val="TOC8"/>
            <w:numPr>
              <w:ilvl w:val="2"/>
              <w:numId w:val="67"/>
            </w:numPr>
            <w:tabs>
              <w:tab w:val="left" w:pos="1835"/>
              <w:tab w:val="left" w:pos="1836"/>
              <w:tab w:val="left" w:leader="dot" w:pos="8833"/>
            </w:tabs>
            <w:ind w:hanging="851"/>
          </w:pPr>
          <w:hyperlink w:anchor="_bookmark1617" w:history="1">
            <w:r w:rsidR="00033D0F">
              <w:rPr>
                <w:spacing w:val="-2"/>
              </w:rPr>
              <w:t>Introduction</w:t>
            </w:r>
            <w:r w:rsidR="00033D0F">
              <w:tab/>
            </w:r>
            <w:r w:rsidR="00033D0F">
              <w:rPr>
                <w:spacing w:val="-5"/>
              </w:rPr>
              <w:t>323</w:t>
            </w:r>
          </w:hyperlink>
        </w:p>
        <w:p w14:paraId="30049342" w14:textId="77777777" w:rsidR="00BD462C" w:rsidRDefault="00000000">
          <w:pPr>
            <w:pStyle w:val="TOC8"/>
            <w:numPr>
              <w:ilvl w:val="2"/>
              <w:numId w:val="67"/>
            </w:numPr>
            <w:tabs>
              <w:tab w:val="left" w:pos="1835"/>
              <w:tab w:val="left" w:pos="1836"/>
              <w:tab w:val="left" w:leader="dot" w:pos="8833"/>
            </w:tabs>
            <w:spacing w:before="119"/>
            <w:ind w:hanging="851"/>
          </w:pPr>
          <w:hyperlink w:anchor="_bookmark1621" w:history="1">
            <w:r w:rsidR="00033D0F">
              <w:t>Legal</w:t>
            </w:r>
            <w:r w:rsidR="00033D0F">
              <w:rPr>
                <w:spacing w:val="-3"/>
              </w:rPr>
              <w:t xml:space="preserve"> </w:t>
            </w:r>
            <w:r w:rsidR="00033D0F">
              <w:rPr>
                <w:spacing w:val="-2"/>
              </w:rPr>
              <w:t>Framework</w:t>
            </w:r>
            <w:r w:rsidR="00033D0F">
              <w:tab/>
            </w:r>
            <w:r w:rsidR="00033D0F">
              <w:rPr>
                <w:spacing w:val="-5"/>
              </w:rPr>
              <w:t>324</w:t>
            </w:r>
          </w:hyperlink>
        </w:p>
        <w:p w14:paraId="3A92232B" w14:textId="77777777" w:rsidR="00BD462C" w:rsidRDefault="00000000">
          <w:pPr>
            <w:pStyle w:val="TOC8"/>
            <w:numPr>
              <w:ilvl w:val="2"/>
              <w:numId w:val="67"/>
            </w:numPr>
            <w:tabs>
              <w:tab w:val="left" w:pos="1835"/>
              <w:tab w:val="left" w:pos="1836"/>
              <w:tab w:val="left" w:leader="dot" w:pos="8833"/>
            </w:tabs>
            <w:spacing w:after="87"/>
            <w:ind w:left="1840" w:right="917" w:hanging="855"/>
          </w:pPr>
          <w:hyperlink w:anchor="_bookmark1635" w:history="1">
            <w:r w:rsidR="00033D0F">
              <w:t>MOFCOM's public notice of the Final Determination failed to contain all</w:t>
            </w:r>
          </w:hyperlink>
          <w:r w:rsidR="00033D0F">
            <w:t xml:space="preserve"> </w:t>
          </w:r>
          <w:hyperlink w:anchor="_bookmark1635" w:history="1">
            <w:r w:rsidR="00033D0F">
              <w:t>relevant information</w:t>
            </w:r>
            <w:r w:rsidR="00033D0F">
              <w:tab/>
            </w:r>
            <w:r w:rsidR="00033D0F">
              <w:rPr>
                <w:spacing w:val="-4"/>
              </w:rPr>
              <w:t>327</w:t>
            </w:r>
          </w:hyperlink>
        </w:p>
        <w:p w14:paraId="7EBEFE5A" w14:textId="77777777" w:rsidR="00B472DD" w:rsidRDefault="00B472DD">
          <w:pPr>
            <w:pStyle w:val="TOC6"/>
            <w:tabs>
              <w:tab w:val="left" w:pos="6087"/>
            </w:tabs>
            <w:rPr>
              <w:b w:val="0"/>
              <w:sz w:val="20"/>
            </w:rPr>
          </w:pPr>
        </w:p>
        <w:p w14:paraId="135BFA72" w14:textId="30566DCC" w:rsidR="00BD462C" w:rsidRDefault="00033D0F">
          <w:pPr>
            <w:pStyle w:val="TOC6"/>
            <w:tabs>
              <w:tab w:val="left" w:pos="6087"/>
            </w:tabs>
            <w:rPr>
              <w:b w:val="0"/>
              <w:i w:val="0"/>
              <w:sz w:val="20"/>
            </w:rPr>
          </w:pPr>
          <w:r>
            <w:rPr>
              <w:b w:val="0"/>
              <w:sz w:val="20"/>
            </w:rPr>
            <w:t>China</w:t>
          </w:r>
          <w:r>
            <w:rPr>
              <w:b w:val="0"/>
              <w:spacing w:val="-9"/>
              <w:sz w:val="20"/>
            </w:rPr>
            <w:t xml:space="preserve"> </w:t>
          </w:r>
          <w:r>
            <w:rPr>
              <w:b w:val="0"/>
              <w:sz w:val="20"/>
            </w:rPr>
            <w:t>–</w:t>
          </w:r>
          <w:r>
            <w:rPr>
              <w:b w:val="0"/>
              <w:spacing w:val="-10"/>
              <w:sz w:val="20"/>
            </w:rPr>
            <w:t xml:space="preserve"> </w:t>
          </w:r>
          <w:r>
            <w:rPr>
              <w:b w:val="0"/>
              <w:sz w:val="20"/>
            </w:rPr>
            <w:t>Anti-Dumping</w:t>
          </w:r>
          <w:r>
            <w:rPr>
              <w:b w:val="0"/>
              <w:spacing w:val="-8"/>
              <w:sz w:val="20"/>
            </w:rPr>
            <w:t xml:space="preserve"> </w:t>
          </w:r>
          <w:r>
            <w:rPr>
              <w:b w:val="0"/>
              <w:sz w:val="20"/>
            </w:rPr>
            <w:t>and</w:t>
          </w:r>
          <w:r>
            <w:rPr>
              <w:b w:val="0"/>
              <w:spacing w:val="-5"/>
              <w:sz w:val="20"/>
            </w:rPr>
            <w:t xml:space="preserve"> </w:t>
          </w:r>
          <w:r>
            <w:rPr>
              <w:b w:val="0"/>
              <w:sz w:val="20"/>
            </w:rPr>
            <w:t>Countervailing</w:t>
          </w:r>
          <w:r>
            <w:rPr>
              <w:b w:val="0"/>
              <w:spacing w:val="-9"/>
              <w:sz w:val="20"/>
            </w:rPr>
            <w:t xml:space="preserve"> </w:t>
          </w:r>
          <w:r>
            <w:rPr>
              <w:b w:val="0"/>
              <w:sz w:val="20"/>
            </w:rPr>
            <w:t>Duty</w:t>
          </w:r>
          <w:r>
            <w:rPr>
              <w:b w:val="0"/>
              <w:spacing w:val="-8"/>
              <w:sz w:val="20"/>
            </w:rPr>
            <w:t xml:space="preserve"> </w:t>
          </w:r>
          <w:r>
            <w:rPr>
              <w:b w:val="0"/>
              <w:spacing w:val="-2"/>
              <w:sz w:val="20"/>
            </w:rPr>
            <w:t>Measures</w:t>
          </w:r>
          <w:r>
            <w:rPr>
              <w:b w:val="0"/>
              <w:sz w:val="20"/>
            </w:rPr>
            <w:tab/>
          </w:r>
          <w:r>
            <w:rPr>
              <w:b w:val="0"/>
              <w:i w:val="0"/>
              <w:sz w:val="20"/>
            </w:rPr>
            <w:t>Australia's</w:t>
          </w:r>
          <w:r>
            <w:rPr>
              <w:b w:val="0"/>
              <w:i w:val="0"/>
              <w:spacing w:val="-11"/>
              <w:sz w:val="20"/>
            </w:rPr>
            <w:t xml:space="preserve"> </w:t>
          </w:r>
          <w:r>
            <w:rPr>
              <w:b w:val="0"/>
              <w:i w:val="0"/>
              <w:sz w:val="20"/>
            </w:rPr>
            <w:t>Second</w:t>
          </w:r>
          <w:r>
            <w:rPr>
              <w:b w:val="0"/>
              <w:i w:val="0"/>
              <w:spacing w:val="-10"/>
              <w:sz w:val="20"/>
            </w:rPr>
            <w:t xml:space="preserve"> </w:t>
          </w:r>
          <w:r>
            <w:rPr>
              <w:b w:val="0"/>
              <w:i w:val="0"/>
              <w:sz w:val="20"/>
            </w:rPr>
            <w:t>Written</w:t>
          </w:r>
          <w:r>
            <w:rPr>
              <w:b w:val="0"/>
              <w:i w:val="0"/>
              <w:spacing w:val="-10"/>
              <w:sz w:val="20"/>
            </w:rPr>
            <w:t xml:space="preserve"> </w:t>
          </w:r>
          <w:r>
            <w:rPr>
              <w:b w:val="0"/>
              <w:i w:val="0"/>
              <w:spacing w:val="-2"/>
              <w:sz w:val="20"/>
            </w:rPr>
            <w:t>Submission</w:t>
          </w:r>
        </w:p>
        <w:p w14:paraId="4AA3A860" w14:textId="77777777" w:rsidR="00BD462C" w:rsidRDefault="00033D0F">
          <w:pPr>
            <w:pStyle w:val="TOC5"/>
          </w:pPr>
          <w:r>
            <w:t>On</w:t>
          </w:r>
          <w:r>
            <w:rPr>
              <w:spacing w:val="-2"/>
            </w:rPr>
            <w:t xml:space="preserve"> </w:t>
          </w:r>
          <w:r>
            <w:t>Wine</w:t>
          </w:r>
          <w:r>
            <w:rPr>
              <w:spacing w:val="-4"/>
            </w:rPr>
            <w:t xml:space="preserve"> </w:t>
          </w:r>
          <w:r>
            <w:t>from</w:t>
          </w:r>
          <w:r>
            <w:rPr>
              <w:spacing w:val="-4"/>
            </w:rPr>
            <w:t xml:space="preserve"> </w:t>
          </w:r>
          <w:r>
            <w:rPr>
              <w:spacing w:val="-2"/>
            </w:rPr>
            <w:t>Australia</w:t>
          </w:r>
        </w:p>
        <w:p w14:paraId="037F573A" w14:textId="77777777" w:rsidR="00BD462C" w:rsidRDefault="00033D0F">
          <w:pPr>
            <w:pStyle w:val="TOC4"/>
            <w:tabs>
              <w:tab w:val="left" w:pos="7652"/>
            </w:tabs>
          </w:pPr>
          <w:r>
            <w:rPr>
              <w:spacing w:val="-2"/>
            </w:rPr>
            <w:t>(DS602)</w:t>
          </w:r>
          <w:r>
            <w:tab/>
            <w:t>28</w:t>
          </w:r>
          <w:r>
            <w:rPr>
              <w:spacing w:val="-8"/>
            </w:rPr>
            <w:t xml:space="preserve"> </w:t>
          </w:r>
          <w:r>
            <w:t>November</w:t>
          </w:r>
          <w:r>
            <w:rPr>
              <w:spacing w:val="-2"/>
            </w:rPr>
            <w:t xml:space="preserve"> </w:t>
          </w:r>
          <w:r>
            <w:rPr>
              <w:spacing w:val="-4"/>
            </w:rPr>
            <w:t>2022</w:t>
          </w:r>
        </w:p>
        <w:p w14:paraId="4741F235" w14:textId="77777777" w:rsidR="00BD462C" w:rsidRDefault="00000000">
          <w:pPr>
            <w:pStyle w:val="TOC8"/>
            <w:numPr>
              <w:ilvl w:val="2"/>
              <w:numId w:val="67"/>
            </w:numPr>
            <w:tabs>
              <w:tab w:val="left" w:pos="1835"/>
              <w:tab w:val="left" w:pos="1836"/>
              <w:tab w:val="left" w:leader="dot" w:pos="8833"/>
            </w:tabs>
            <w:spacing w:before="98"/>
            <w:ind w:hanging="851"/>
          </w:pPr>
          <w:hyperlink w:anchor="_bookmark1697" w:history="1">
            <w:r w:rsidR="00033D0F">
              <w:rPr>
                <w:spacing w:val="-2"/>
              </w:rPr>
              <w:t>Conclusion</w:t>
            </w:r>
            <w:r w:rsidR="00033D0F">
              <w:tab/>
            </w:r>
            <w:r w:rsidR="00033D0F">
              <w:rPr>
                <w:spacing w:val="-5"/>
              </w:rPr>
              <w:t>340</w:t>
            </w:r>
          </w:hyperlink>
        </w:p>
        <w:p w14:paraId="47F5C68D" w14:textId="77777777" w:rsidR="00BD462C" w:rsidRDefault="00000000">
          <w:pPr>
            <w:pStyle w:val="TOC2"/>
            <w:numPr>
              <w:ilvl w:val="0"/>
              <w:numId w:val="67"/>
            </w:numPr>
            <w:tabs>
              <w:tab w:val="left" w:pos="985"/>
              <w:tab w:val="left" w:pos="986"/>
              <w:tab w:val="left" w:leader="dot" w:pos="8833"/>
            </w:tabs>
            <w:ind w:hanging="851"/>
          </w:pPr>
          <w:hyperlink w:anchor="_bookmark1698" w:history="1">
            <w:r w:rsidR="00033D0F">
              <w:t>SUMMARY</w:t>
            </w:r>
            <w:r w:rsidR="00033D0F">
              <w:rPr>
                <w:spacing w:val="-4"/>
              </w:rPr>
              <w:t xml:space="preserve"> </w:t>
            </w:r>
            <w:r w:rsidR="00033D0F">
              <w:t>OF</w:t>
            </w:r>
            <w:r w:rsidR="00033D0F">
              <w:rPr>
                <w:spacing w:val="-4"/>
              </w:rPr>
              <w:t xml:space="preserve"> </w:t>
            </w:r>
            <w:r w:rsidR="00033D0F">
              <w:t>REQUESTED</w:t>
            </w:r>
            <w:r w:rsidR="00033D0F">
              <w:rPr>
                <w:spacing w:val="-1"/>
              </w:rPr>
              <w:t xml:space="preserve"> </w:t>
            </w:r>
            <w:r w:rsidR="00033D0F">
              <w:rPr>
                <w:spacing w:val="-2"/>
              </w:rPr>
              <w:t>FINDINGS</w:t>
            </w:r>
            <w:r w:rsidR="00033D0F">
              <w:tab/>
            </w:r>
            <w:r w:rsidR="00033D0F">
              <w:rPr>
                <w:spacing w:val="-5"/>
              </w:rPr>
              <w:t>340</w:t>
            </w:r>
          </w:hyperlink>
        </w:p>
        <w:p w14:paraId="3ACEED42" w14:textId="77777777" w:rsidR="00BD462C" w:rsidRDefault="00000000">
          <w:pPr>
            <w:pStyle w:val="TOC2"/>
            <w:tabs>
              <w:tab w:val="left" w:pos="1412"/>
              <w:tab w:val="left" w:leader="dot" w:pos="9078"/>
            </w:tabs>
            <w:ind w:left="135" w:firstLine="0"/>
          </w:pPr>
          <w:hyperlink w:anchor="_bookmark1704" w:history="1">
            <w:r w:rsidR="00033D0F">
              <w:t>ANNEX</w:t>
            </w:r>
            <w:r w:rsidR="00033D0F">
              <w:rPr>
                <w:spacing w:val="-4"/>
              </w:rPr>
              <w:t xml:space="preserve"> </w:t>
            </w:r>
            <w:r w:rsidR="00033D0F">
              <w:rPr>
                <w:spacing w:val="-10"/>
              </w:rPr>
              <w:t>A</w:t>
            </w:r>
            <w:r w:rsidR="00033D0F">
              <w:tab/>
              <w:t>TERMS</w:t>
            </w:r>
            <w:r w:rsidR="00033D0F">
              <w:rPr>
                <w:spacing w:val="-1"/>
              </w:rPr>
              <w:t xml:space="preserve"> </w:t>
            </w:r>
            <w:r w:rsidR="00033D0F">
              <w:t>OF</w:t>
            </w:r>
            <w:r w:rsidR="00033D0F">
              <w:rPr>
                <w:spacing w:val="-2"/>
              </w:rPr>
              <w:t xml:space="preserve"> REFERENCE</w:t>
            </w:r>
            <w:r w:rsidR="00033D0F">
              <w:tab/>
            </w:r>
            <w:r w:rsidR="00033D0F">
              <w:rPr>
                <w:spacing w:val="-10"/>
              </w:rPr>
              <w:t>1</w:t>
            </w:r>
          </w:hyperlink>
        </w:p>
        <w:p w14:paraId="2F70D53E" w14:textId="77777777" w:rsidR="00BD462C" w:rsidRDefault="00000000">
          <w:pPr>
            <w:pStyle w:val="TOC2"/>
            <w:tabs>
              <w:tab w:val="left" w:pos="1412"/>
              <w:tab w:val="left" w:leader="dot" w:pos="8953"/>
            </w:tabs>
            <w:spacing w:before="177"/>
            <w:ind w:right="916" w:hanging="850"/>
          </w:pPr>
          <w:hyperlink w:anchor="_bookmark1829" w:history="1">
            <w:r w:rsidR="00033D0F">
              <w:t>ANNEX B</w:t>
            </w:r>
            <w:r w:rsidR="00033D0F">
              <w:tab/>
              <w:t>ITEMISED RESPONSES TO THE TABLE CHINA PROVIDED AT PARAGRAPH 2455</w:t>
            </w:r>
          </w:hyperlink>
          <w:r w:rsidR="00033D0F">
            <w:t xml:space="preserve"> </w:t>
          </w:r>
          <w:hyperlink w:anchor="_bookmark1829" w:history="1">
            <w:r w:rsidR="00033D0F">
              <w:t>OF</w:t>
            </w:r>
            <w:r w:rsidR="00033D0F">
              <w:rPr>
                <w:spacing w:val="-4"/>
              </w:rPr>
              <w:t xml:space="preserve"> </w:t>
            </w:r>
            <w:r w:rsidR="00033D0F">
              <w:t>ITS</w:t>
            </w:r>
            <w:r w:rsidR="00033D0F">
              <w:rPr>
                <w:spacing w:val="-3"/>
              </w:rPr>
              <w:t xml:space="preserve"> </w:t>
            </w:r>
            <w:r w:rsidR="00033D0F">
              <w:t>FIRST</w:t>
            </w:r>
            <w:r w:rsidR="00033D0F">
              <w:rPr>
                <w:spacing w:val="-3"/>
              </w:rPr>
              <w:t xml:space="preserve"> </w:t>
            </w:r>
            <w:r w:rsidR="00033D0F">
              <w:t>WRITTEN</w:t>
            </w:r>
            <w:r w:rsidR="00033D0F">
              <w:rPr>
                <w:spacing w:val="-3"/>
              </w:rPr>
              <w:t xml:space="preserve"> </w:t>
            </w:r>
            <w:r w:rsidR="00033D0F">
              <w:rPr>
                <w:spacing w:val="-2"/>
              </w:rPr>
              <w:t>SUBMISSION</w:t>
            </w:r>
            <w:r w:rsidR="00033D0F">
              <w:tab/>
            </w:r>
            <w:r w:rsidR="00033D0F">
              <w:rPr>
                <w:spacing w:val="-5"/>
              </w:rPr>
              <w:t>19</w:t>
            </w:r>
          </w:hyperlink>
        </w:p>
        <w:p w14:paraId="16B18451" w14:textId="77777777" w:rsidR="00BD462C" w:rsidRDefault="00033D0F">
          <w:pPr>
            <w:spacing w:before="538"/>
            <w:ind w:left="2210" w:right="2991"/>
            <w:jc w:val="center"/>
            <w:rPr>
              <w:b/>
              <w:sz w:val="24"/>
            </w:rPr>
          </w:pPr>
          <w:bookmarkStart w:id="1" w:name="List_of_Tables"/>
          <w:bookmarkStart w:id="2" w:name="_bookmark0"/>
          <w:bookmarkEnd w:id="1"/>
          <w:bookmarkEnd w:id="2"/>
          <w:r>
            <w:rPr>
              <w:b/>
              <w:sz w:val="24"/>
            </w:rPr>
            <w:t>LIST</w:t>
          </w:r>
          <w:r>
            <w:rPr>
              <w:b/>
              <w:spacing w:val="-4"/>
              <w:sz w:val="24"/>
            </w:rPr>
            <w:t xml:space="preserve"> </w:t>
          </w:r>
          <w:r>
            <w:rPr>
              <w:b/>
              <w:sz w:val="24"/>
            </w:rPr>
            <w:t>OF</w:t>
          </w:r>
          <w:r>
            <w:rPr>
              <w:b/>
              <w:spacing w:val="-3"/>
              <w:sz w:val="24"/>
            </w:rPr>
            <w:t xml:space="preserve"> </w:t>
          </w:r>
          <w:r>
            <w:rPr>
              <w:b/>
              <w:spacing w:val="-2"/>
              <w:sz w:val="24"/>
            </w:rPr>
            <w:t>TABLES</w:t>
          </w:r>
        </w:p>
        <w:p w14:paraId="332DD445" w14:textId="77777777" w:rsidR="00BD462C" w:rsidRDefault="00000000">
          <w:pPr>
            <w:pStyle w:val="TOC3"/>
            <w:tabs>
              <w:tab w:val="left" w:pos="1268"/>
              <w:tab w:val="left" w:leader="dot" w:pos="8833"/>
            </w:tabs>
            <w:spacing w:before="264"/>
            <w:ind w:left="136"/>
          </w:pPr>
          <w:hyperlink w:anchor="_bookmark672" w:history="1">
            <w:r w:rsidR="00033D0F">
              <w:t>Table</w:t>
            </w:r>
            <w:r w:rsidR="00033D0F">
              <w:rPr>
                <w:spacing w:val="-3"/>
              </w:rPr>
              <w:t xml:space="preserve"> </w:t>
            </w:r>
            <w:r w:rsidR="00033D0F">
              <w:rPr>
                <w:spacing w:val="-10"/>
              </w:rPr>
              <w:t>1</w:t>
            </w:r>
            <w:r w:rsidR="00033D0F">
              <w:tab/>
              <w:t>Variances</w:t>
            </w:r>
            <w:r w:rsidR="00033D0F">
              <w:rPr>
                <w:spacing w:val="-3"/>
              </w:rPr>
              <w:t xml:space="preserve"> </w:t>
            </w:r>
            <w:r w:rsidR="00033D0F">
              <w:t>between</w:t>
            </w:r>
            <w:r w:rsidR="00033D0F">
              <w:rPr>
                <w:spacing w:val="-4"/>
              </w:rPr>
              <w:t xml:space="preserve"> </w:t>
            </w:r>
            <w:r w:rsidR="00033D0F">
              <w:t>MOFCOM</w:t>
            </w:r>
            <w:r w:rsidR="00033D0F">
              <w:rPr>
                <w:spacing w:val="-2"/>
              </w:rPr>
              <w:t xml:space="preserve"> </w:t>
            </w:r>
            <w:r w:rsidR="00033D0F">
              <w:t>and</w:t>
            </w:r>
            <w:r w:rsidR="00033D0F">
              <w:rPr>
                <w:spacing w:val="-4"/>
              </w:rPr>
              <w:t xml:space="preserve"> </w:t>
            </w:r>
            <w:r w:rsidR="00033D0F">
              <w:t>CADA's</w:t>
            </w:r>
            <w:r w:rsidR="00033D0F">
              <w:rPr>
                <w:spacing w:val="-1"/>
              </w:rPr>
              <w:t xml:space="preserve"> </w:t>
            </w:r>
            <w:r w:rsidR="00033D0F">
              <w:t>Total Domestic</w:t>
            </w:r>
            <w:r w:rsidR="00033D0F">
              <w:rPr>
                <w:spacing w:val="-3"/>
              </w:rPr>
              <w:t xml:space="preserve"> </w:t>
            </w:r>
            <w:r w:rsidR="00033D0F">
              <w:rPr>
                <w:spacing w:val="-2"/>
              </w:rPr>
              <w:t>Production</w:t>
            </w:r>
            <w:r w:rsidR="00033D0F">
              <w:tab/>
            </w:r>
            <w:r w:rsidR="00033D0F">
              <w:rPr>
                <w:spacing w:val="-5"/>
              </w:rPr>
              <w:t>138</w:t>
            </w:r>
          </w:hyperlink>
        </w:p>
        <w:p w14:paraId="0035216E" w14:textId="77777777" w:rsidR="00BD462C" w:rsidRDefault="00000000">
          <w:pPr>
            <w:pStyle w:val="TOC3"/>
            <w:tabs>
              <w:tab w:val="left" w:pos="1268"/>
              <w:tab w:val="left" w:leader="dot" w:pos="8833"/>
            </w:tabs>
            <w:spacing w:before="119"/>
          </w:pPr>
          <w:hyperlink w:anchor="_bookmark852" w:history="1">
            <w:r w:rsidR="00033D0F">
              <w:t>Table</w:t>
            </w:r>
            <w:r w:rsidR="00033D0F">
              <w:rPr>
                <w:spacing w:val="-3"/>
              </w:rPr>
              <w:t xml:space="preserve"> </w:t>
            </w:r>
            <w:r w:rsidR="00033D0F">
              <w:rPr>
                <w:spacing w:val="-10"/>
              </w:rPr>
              <w:t>2</w:t>
            </w:r>
            <w:r w:rsidR="00033D0F">
              <w:tab/>
              <w:t>Volume</w:t>
            </w:r>
            <w:r w:rsidR="00033D0F">
              <w:rPr>
                <w:spacing w:val="-3"/>
              </w:rPr>
              <w:t xml:space="preserve"> </w:t>
            </w:r>
            <w:r w:rsidR="00033D0F">
              <w:t>comparison</w:t>
            </w:r>
            <w:r w:rsidR="00033D0F">
              <w:rPr>
                <w:spacing w:val="-5"/>
              </w:rPr>
              <w:t xml:space="preserve"> </w:t>
            </w:r>
            <w:r w:rsidR="00033D0F">
              <w:t>over</w:t>
            </w:r>
            <w:r w:rsidR="00033D0F">
              <w:rPr>
                <w:spacing w:val="-6"/>
              </w:rPr>
              <w:t xml:space="preserve"> </w:t>
            </w:r>
            <w:r w:rsidR="00033D0F">
              <w:t>Injury</w:t>
            </w:r>
            <w:r w:rsidR="00033D0F">
              <w:rPr>
                <w:spacing w:val="-1"/>
              </w:rPr>
              <w:t xml:space="preserve"> </w:t>
            </w:r>
            <w:r w:rsidR="00033D0F">
              <w:rPr>
                <w:spacing w:val="-5"/>
              </w:rPr>
              <w:t>POI</w:t>
            </w:r>
            <w:r w:rsidR="00033D0F">
              <w:tab/>
            </w:r>
            <w:r w:rsidR="00033D0F">
              <w:rPr>
                <w:spacing w:val="-5"/>
              </w:rPr>
              <w:t>172</w:t>
            </w:r>
          </w:hyperlink>
        </w:p>
        <w:p w14:paraId="11501B95" w14:textId="77777777" w:rsidR="00BD462C" w:rsidRDefault="00000000">
          <w:pPr>
            <w:pStyle w:val="TOC3"/>
            <w:tabs>
              <w:tab w:val="left" w:pos="1268"/>
              <w:tab w:val="left" w:leader="dot" w:pos="8833"/>
            </w:tabs>
          </w:pPr>
          <w:hyperlink w:anchor="_bookmark1029" w:history="1">
            <w:r w:rsidR="00033D0F">
              <w:t>Table</w:t>
            </w:r>
            <w:r w:rsidR="00033D0F">
              <w:rPr>
                <w:spacing w:val="-3"/>
              </w:rPr>
              <w:t xml:space="preserve"> </w:t>
            </w:r>
            <w:r w:rsidR="00033D0F">
              <w:rPr>
                <w:spacing w:val="-10"/>
              </w:rPr>
              <w:t>3</w:t>
            </w:r>
            <w:r w:rsidR="00033D0F">
              <w:tab/>
              <w:t>Market</w:t>
            </w:r>
            <w:r w:rsidR="00033D0F">
              <w:rPr>
                <w:spacing w:val="-5"/>
              </w:rPr>
              <w:t xml:space="preserve"> </w:t>
            </w:r>
            <w:r w:rsidR="00033D0F">
              <w:t>volumes</w:t>
            </w:r>
            <w:r w:rsidR="00033D0F">
              <w:rPr>
                <w:spacing w:val="-3"/>
              </w:rPr>
              <w:t xml:space="preserve"> </w:t>
            </w:r>
            <w:r w:rsidR="00033D0F">
              <w:t>during</w:t>
            </w:r>
            <w:r w:rsidR="00033D0F">
              <w:rPr>
                <w:spacing w:val="-4"/>
              </w:rPr>
              <w:t xml:space="preserve"> </w:t>
            </w:r>
            <w:r w:rsidR="00033D0F">
              <w:t>Injury</w:t>
            </w:r>
            <w:r w:rsidR="00033D0F">
              <w:rPr>
                <w:spacing w:val="-3"/>
              </w:rPr>
              <w:t xml:space="preserve"> </w:t>
            </w:r>
            <w:r w:rsidR="00033D0F">
              <w:rPr>
                <w:spacing w:val="-5"/>
              </w:rPr>
              <w:t>POI</w:t>
            </w:r>
            <w:r w:rsidR="00033D0F">
              <w:tab/>
            </w:r>
            <w:r w:rsidR="00033D0F">
              <w:rPr>
                <w:spacing w:val="-5"/>
              </w:rPr>
              <w:t>202</w:t>
            </w:r>
          </w:hyperlink>
        </w:p>
        <w:p w14:paraId="493ED375" w14:textId="77777777" w:rsidR="00BD462C" w:rsidRDefault="00000000">
          <w:pPr>
            <w:pStyle w:val="TOC3"/>
            <w:tabs>
              <w:tab w:val="left" w:pos="1268"/>
              <w:tab w:val="left" w:leader="dot" w:pos="8833"/>
            </w:tabs>
          </w:pPr>
          <w:hyperlink w:anchor="_bookmark1064" w:history="1">
            <w:r w:rsidR="00033D0F">
              <w:t>Table</w:t>
            </w:r>
            <w:r w:rsidR="00033D0F">
              <w:rPr>
                <w:spacing w:val="-3"/>
              </w:rPr>
              <w:t xml:space="preserve"> </w:t>
            </w:r>
            <w:r w:rsidR="00033D0F">
              <w:rPr>
                <w:spacing w:val="-10"/>
              </w:rPr>
              <w:t>4</w:t>
            </w:r>
            <w:r w:rsidR="00033D0F">
              <w:tab/>
              <w:t>Comparison</w:t>
            </w:r>
            <w:r w:rsidR="00033D0F">
              <w:rPr>
                <w:spacing w:val="-4"/>
              </w:rPr>
              <w:t xml:space="preserve"> </w:t>
            </w:r>
            <w:r w:rsidR="00033D0F">
              <w:t>of</w:t>
            </w:r>
            <w:r w:rsidR="00033D0F">
              <w:rPr>
                <w:spacing w:val="-4"/>
              </w:rPr>
              <w:t xml:space="preserve"> </w:t>
            </w:r>
            <w:r w:rsidR="00033D0F">
              <w:t>average</w:t>
            </w:r>
            <w:r w:rsidR="00033D0F">
              <w:rPr>
                <w:spacing w:val="-2"/>
              </w:rPr>
              <w:t xml:space="preserve"> </w:t>
            </w:r>
            <w:r w:rsidR="00033D0F">
              <w:t>CIF</w:t>
            </w:r>
            <w:r w:rsidR="00033D0F">
              <w:rPr>
                <w:spacing w:val="-3"/>
              </w:rPr>
              <w:t xml:space="preserve"> </w:t>
            </w:r>
            <w:r w:rsidR="00033D0F">
              <w:t>and</w:t>
            </w:r>
            <w:r w:rsidR="00033D0F">
              <w:rPr>
                <w:spacing w:val="-4"/>
              </w:rPr>
              <w:t xml:space="preserve"> </w:t>
            </w:r>
            <w:r w:rsidR="00033D0F">
              <w:t>CIF</w:t>
            </w:r>
            <w:r w:rsidR="00033D0F">
              <w:rPr>
                <w:spacing w:val="-3"/>
              </w:rPr>
              <w:t xml:space="preserve"> </w:t>
            </w:r>
            <w:r w:rsidR="00033D0F">
              <w:t>+</w:t>
            </w:r>
            <w:r w:rsidR="00033D0F">
              <w:rPr>
                <w:spacing w:val="-2"/>
              </w:rPr>
              <w:t xml:space="preserve"> </w:t>
            </w:r>
            <w:r w:rsidR="00033D0F">
              <w:t>tariff</w:t>
            </w:r>
            <w:r w:rsidR="00033D0F">
              <w:rPr>
                <w:spacing w:val="1"/>
              </w:rPr>
              <w:t xml:space="preserve"> </w:t>
            </w:r>
            <w:r w:rsidR="00033D0F">
              <w:t>prices</w:t>
            </w:r>
            <w:r w:rsidR="00033D0F">
              <w:rPr>
                <w:spacing w:val="-1"/>
              </w:rPr>
              <w:t xml:space="preserve"> </w:t>
            </w:r>
            <w:r w:rsidR="00033D0F">
              <w:t>over</w:t>
            </w:r>
            <w:r w:rsidR="00033D0F">
              <w:rPr>
                <w:spacing w:val="-5"/>
              </w:rPr>
              <w:t xml:space="preserve"> </w:t>
            </w:r>
            <w:r w:rsidR="00033D0F">
              <w:t xml:space="preserve">Injury </w:t>
            </w:r>
            <w:r w:rsidR="00033D0F">
              <w:rPr>
                <w:spacing w:val="-5"/>
              </w:rPr>
              <w:t>POI</w:t>
            </w:r>
            <w:r w:rsidR="00033D0F">
              <w:tab/>
            </w:r>
            <w:r w:rsidR="00033D0F">
              <w:rPr>
                <w:spacing w:val="-5"/>
              </w:rPr>
              <w:t>208</w:t>
            </w:r>
          </w:hyperlink>
        </w:p>
      </w:sdtContent>
    </w:sdt>
    <w:p w14:paraId="0A431DC9" w14:textId="77777777" w:rsidR="00BD462C" w:rsidRDefault="00BD462C">
      <w:pPr>
        <w:sectPr w:rsidR="00BD462C">
          <w:type w:val="continuous"/>
          <w:pgSz w:w="11910" w:h="16840"/>
          <w:pgMar w:top="850" w:right="500" w:bottom="1499" w:left="1280" w:header="566" w:footer="590" w:gutter="0"/>
          <w:cols w:space="720"/>
        </w:sectPr>
      </w:pPr>
    </w:p>
    <w:p w14:paraId="4BDA4B63" w14:textId="239B46E1" w:rsidR="00BD462C" w:rsidRDefault="00033D0F">
      <w:pPr>
        <w:pStyle w:val="Heading3"/>
        <w:spacing w:before="441"/>
        <w:ind w:left="2210" w:right="2991" w:firstLine="0"/>
        <w:jc w:val="center"/>
        <w:rPr>
          <w:spacing w:val="-2"/>
        </w:rPr>
      </w:pPr>
      <w:bookmarkStart w:id="3" w:name="Table_of_Cases"/>
      <w:bookmarkStart w:id="4" w:name="_bookmark1"/>
      <w:bookmarkEnd w:id="3"/>
      <w:bookmarkEnd w:id="4"/>
      <w:r>
        <w:t>TABLE</w:t>
      </w:r>
      <w:r>
        <w:rPr>
          <w:spacing w:val="-8"/>
        </w:rPr>
        <w:t xml:space="preserve"> </w:t>
      </w:r>
      <w:r>
        <w:t>OF</w:t>
      </w:r>
      <w:r>
        <w:rPr>
          <w:spacing w:val="-3"/>
        </w:rPr>
        <w:t xml:space="preserve"> </w:t>
      </w:r>
      <w:r>
        <w:rPr>
          <w:spacing w:val="-2"/>
        </w:rPr>
        <w:t>CASES</w:t>
      </w:r>
    </w:p>
    <w:tbl>
      <w:tblPr>
        <w:tblStyle w:val="TableGrid"/>
        <w:tblW w:w="0" w:type="auto"/>
        <w:tblLook w:val="04A0" w:firstRow="1" w:lastRow="0" w:firstColumn="1" w:lastColumn="0" w:noHBand="0" w:noVBand="1"/>
      </w:tblPr>
      <w:tblGrid>
        <w:gridCol w:w="2903"/>
        <w:gridCol w:w="7217"/>
      </w:tblGrid>
      <w:tr w:rsidR="00BF2951" w:rsidRPr="00BF2951" w14:paraId="08F1EEE6" w14:textId="77777777" w:rsidTr="00BF2951">
        <w:trPr>
          <w:tblHeader/>
        </w:trPr>
        <w:tc>
          <w:tcPr>
            <w:tcW w:w="2943" w:type="dxa"/>
          </w:tcPr>
          <w:p w14:paraId="11DDEE92" w14:textId="1665F5E5" w:rsidR="00BF2951" w:rsidRPr="00BF2951" w:rsidRDefault="00BF2951" w:rsidP="00BF2951">
            <w:pPr>
              <w:jc w:val="center"/>
            </w:pPr>
            <w:r>
              <w:rPr>
                <w:b/>
                <w:sz w:val="24"/>
              </w:rPr>
              <w:t>Short</w:t>
            </w:r>
            <w:r>
              <w:rPr>
                <w:b/>
                <w:spacing w:val="-1"/>
                <w:sz w:val="24"/>
              </w:rPr>
              <w:t xml:space="preserve"> </w:t>
            </w:r>
            <w:r>
              <w:rPr>
                <w:b/>
                <w:spacing w:val="-2"/>
                <w:sz w:val="24"/>
              </w:rPr>
              <w:t>Title</w:t>
            </w:r>
          </w:p>
        </w:tc>
        <w:tc>
          <w:tcPr>
            <w:tcW w:w="7403" w:type="dxa"/>
          </w:tcPr>
          <w:p w14:paraId="0A15FF5B" w14:textId="60971D58" w:rsidR="00BF2951" w:rsidRPr="00BF2951" w:rsidRDefault="00BF2951" w:rsidP="00BF2951">
            <w:pPr>
              <w:jc w:val="center"/>
            </w:pPr>
            <w:r>
              <w:rPr>
                <w:b/>
                <w:sz w:val="24"/>
              </w:rPr>
              <w:t>Full</w:t>
            </w:r>
            <w:r>
              <w:rPr>
                <w:b/>
                <w:spacing w:val="-4"/>
                <w:sz w:val="24"/>
              </w:rPr>
              <w:t xml:space="preserve"> </w:t>
            </w:r>
            <w:r>
              <w:rPr>
                <w:b/>
                <w:sz w:val="24"/>
              </w:rPr>
              <w:t>Case</w:t>
            </w:r>
            <w:r>
              <w:rPr>
                <w:b/>
                <w:spacing w:val="-4"/>
                <w:sz w:val="24"/>
              </w:rPr>
              <w:t xml:space="preserve"> </w:t>
            </w:r>
            <w:r>
              <w:rPr>
                <w:b/>
                <w:sz w:val="24"/>
              </w:rPr>
              <w:t>Title</w:t>
            </w:r>
            <w:r>
              <w:rPr>
                <w:b/>
                <w:spacing w:val="-4"/>
                <w:sz w:val="24"/>
              </w:rPr>
              <w:t xml:space="preserve"> </w:t>
            </w:r>
            <w:r>
              <w:rPr>
                <w:b/>
                <w:sz w:val="24"/>
              </w:rPr>
              <w:t>and</w:t>
            </w:r>
            <w:r>
              <w:rPr>
                <w:b/>
                <w:spacing w:val="-1"/>
                <w:sz w:val="24"/>
              </w:rPr>
              <w:t xml:space="preserve"> </w:t>
            </w:r>
            <w:r>
              <w:rPr>
                <w:b/>
                <w:spacing w:val="-2"/>
                <w:sz w:val="24"/>
              </w:rPr>
              <w:t>Citation</w:t>
            </w:r>
          </w:p>
        </w:tc>
      </w:tr>
      <w:tr w:rsidR="00BF2951" w:rsidRPr="00BF2951" w14:paraId="5170A67B" w14:textId="77777777" w:rsidTr="00BF2951">
        <w:tc>
          <w:tcPr>
            <w:tcW w:w="2943" w:type="dxa"/>
          </w:tcPr>
          <w:p w14:paraId="4466A0CE" w14:textId="65CABD8F" w:rsidR="00BF2951" w:rsidRPr="00BF2951" w:rsidRDefault="00BF2951" w:rsidP="00BF2951">
            <w:r>
              <w:rPr>
                <w:i/>
                <w:sz w:val="24"/>
              </w:rPr>
              <w:t>Argentina</w:t>
            </w:r>
            <w:r>
              <w:rPr>
                <w:i/>
                <w:spacing w:val="-14"/>
                <w:sz w:val="24"/>
              </w:rPr>
              <w:t xml:space="preserve"> </w:t>
            </w:r>
            <w:r>
              <w:rPr>
                <w:i/>
                <w:sz w:val="24"/>
              </w:rPr>
              <w:t>–</w:t>
            </w:r>
            <w:r>
              <w:rPr>
                <w:i/>
                <w:spacing w:val="-14"/>
                <w:sz w:val="24"/>
              </w:rPr>
              <w:t xml:space="preserve"> </w:t>
            </w:r>
            <w:r>
              <w:rPr>
                <w:i/>
                <w:sz w:val="24"/>
              </w:rPr>
              <w:t xml:space="preserve">Ceramic </w:t>
            </w:r>
            <w:r>
              <w:rPr>
                <w:i/>
                <w:spacing w:val="-2"/>
                <w:sz w:val="24"/>
              </w:rPr>
              <w:t>Tiles</w:t>
            </w:r>
          </w:p>
        </w:tc>
        <w:tc>
          <w:tcPr>
            <w:tcW w:w="7403" w:type="dxa"/>
          </w:tcPr>
          <w:p w14:paraId="3033E1F8" w14:textId="2DD70FCF" w:rsidR="00BF2951" w:rsidRPr="00BF2951" w:rsidRDefault="00BF2951" w:rsidP="00BF2951">
            <w:r>
              <w:rPr>
                <w:sz w:val="24"/>
              </w:rPr>
              <w:t>Panel</w:t>
            </w:r>
            <w:r>
              <w:rPr>
                <w:spacing w:val="-4"/>
                <w:sz w:val="24"/>
              </w:rPr>
              <w:t xml:space="preserve"> </w:t>
            </w:r>
            <w:r>
              <w:rPr>
                <w:sz w:val="24"/>
              </w:rPr>
              <w:t>Report,</w:t>
            </w:r>
            <w:r>
              <w:rPr>
                <w:spacing w:val="-4"/>
                <w:sz w:val="24"/>
              </w:rPr>
              <w:t xml:space="preserve"> </w:t>
            </w:r>
            <w:r>
              <w:rPr>
                <w:i/>
                <w:sz w:val="24"/>
              </w:rPr>
              <w:t>Argentina</w:t>
            </w:r>
            <w:r>
              <w:rPr>
                <w:i/>
                <w:spacing w:val="-5"/>
                <w:sz w:val="24"/>
              </w:rPr>
              <w:t xml:space="preserve"> </w:t>
            </w:r>
            <w:r>
              <w:rPr>
                <w:i/>
                <w:sz w:val="24"/>
              </w:rPr>
              <w:t>–</w:t>
            </w:r>
            <w:r>
              <w:rPr>
                <w:i/>
                <w:spacing w:val="-6"/>
                <w:sz w:val="24"/>
              </w:rPr>
              <w:t xml:space="preserve"> </w:t>
            </w:r>
            <w:r>
              <w:rPr>
                <w:i/>
                <w:sz w:val="24"/>
              </w:rPr>
              <w:t>Definitive</w:t>
            </w:r>
            <w:r>
              <w:rPr>
                <w:i/>
                <w:spacing w:val="-6"/>
                <w:sz w:val="24"/>
              </w:rPr>
              <w:t xml:space="preserve"> </w:t>
            </w:r>
            <w:r>
              <w:rPr>
                <w:i/>
                <w:sz w:val="24"/>
              </w:rPr>
              <w:t>Anti-Dumping</w:t>
            </w:r>
            <w:r>
              <w:rPr>
                <w:i/>
                <w:spacing w:val="-9"/>
                <w:sz w:val="24"/>
              </w:rPr>
              <w:t xml:space="preserve"> </w:t>
            </w:r>
            <w:r>
              <w:rPr>
                <w:i/>
                <w:sz w:val="24"/>
              </w:rPr>
              <w:t>Measures</w:t>
            </w:r>
            <w:r>
              <w:rPr>
                <w:i/>
                <w:spacing w:val="-8"/>
                <w:sz w:val="24"/>
              </w:rPr>
              <w:t xml:space="preserve"> </w:t>
            </w:r>
            <w:r>
              <w:rPr>
                <w:i/>
                <w:sz w:val="24"/>
              </w:rPr>
              <w:t>on Imports</w:t>
            </w:r>
            <w:r>
              <w:rPr>
                <w:i/>
                <w:spacing w:val="-6"/>
                <w:sz w:val="24"/>
              </w:rPr>
              <w:t xml:space="preserve"> </w:t>
            </w:r>
            <w:r>
              <w:rPr>
                <w:i/>
                <w:sz w:val="24"/>
              </w:rPr>
              <w:t>of</w:t>
            </w:r>
            <w:r>
              <w:rPr>
                <w:i/>
                <w:spacing w:val="-5"/>
                <w:sz w:val="24"/>
              </w:rPr>
              <w:t xml:space="preserve"> </w:t>
            </w:r>
            <w:r>
              <w:rPr>
                <w:i/>
                <w:sz w:val="24"/>
              </w:rPr>
              <w:t>Ceramic</w:t>
            </w:r>
            <w:r>
              <w:rPr>
                <w:i/>
                <w:spacing w:val="-3"/>
                <w:sz w:val="24"/>
              </w:rPr>
              <w:t xml:space="preserve"> </w:t>
            </w:r>
            <w:r>
              <w:rPr>
                <w:i/>
                <w:sz w:val="24"/>
              </w:rPr>
              <w:t>Floor</w:t>
            </w:r>
            <w:r>
              <w:rPr>
                <w:i/>
                <w:spacing w:val="-5"/>
                <w:sz w:val="24"/>
              </w:rPr>
              <w:t xml:space="preserve"> </w:t>
            </w:r>
            <w:r>
              <w:rPr>
                <w:i/>
                <w:sz w:val="24"/>
              </w:rPr>
              <w:t>Tiles</w:t>
            </w:r>
            <w:r>
              <w:rPr>
                <w:i/>
                <w:spacing w:val="-6"/>
                <w:sz w:val="24"/>
              </w:rPr>
              <w:t xml:space="preserve"> </w:t>
            </w:r>
            <w:r>
              <w:rPr>
                <w:i/>
                <w:sz w:val="24"/>
              </w:rPr>
              <w:t>from</w:t>
            </w:r>
            <w:r>
              <w:rPr>
                <w:i/>
                <w:spacing w:val="-3"/>
                <w:sz w:val="24"/>
              </w:rPr>
              <w:t xml:space="preserve"> </w:t>
            </w:r>
            <w:r>
              <w:rPr>
                <w:i/>
                <w:sz w:val="24"/>
              </w:rPr>
              <w:t>Italy</w:t>
            </w:r>
            <w:r>
              <w:rPr>
                <w:sz w:val="24"/>
              </w:rPr>
              <w:t>,</w:t>
            </w:r>
            <w:r>
              <w:rPr>
                <w:spacing w:val="-6"/>
                <w:sz w:val="24"/>
              </w:rPr>
              <w:t xml:space="preserve"> </w:t>
            </w:r>
            <w:r>
              <w:rPr>
                <w:sz w:val="24"/>
              </w:rPr>
              <w:t>WT/DS189/R,</w:t>
            </w:r>
            <w:r>
              <w:rPr>
                <w:spacing w:val="-2"/>
                <w:sz w:val="24"/>
              </w:rPr>
              <w:t xml:space="preserve"> </w:t>
            </w:r>
            <w:r>
              <w:rPr>
                <w:sz w:val="24"/>
              </w:rPr>
              <w:t xml:space="preserve">adopted 5 November 2001, DSR </w:t>
            </w:r>
            <w:proofErr w:type="gramStart"/>
            <w:r>
              <w:rPr>
                <w:sz w:val="24"/>
              </w:rPr>
              <w:t>2001:XII</w:t>
            </w:r>
            <w:proofErr w:type="gramEnd"/>
            <w:r>
              <w:rPr>
                <w:sz w:val="24"/>
              </w:rPr>
              <w:t>, p. 6241</w:t>
            </w:r>
          </w:p>
        </w:tc>
      </w:tr>
      <w:tr w:rsidR="00BF2951" w:rsidRPr="00BF2951" w14:paraId="30DE20B1" w14:textId="77777777" w:rsidTr="00BF2951">
        <w:tc>
          <w:tcPr>
            <w:tcW w:w="2943" w:type="dxa"/>
          </w:tcPr>
          <w:p w14:paraId="69AFB025" w14:textId="2E865184" w:rsidR="00BF2951" w:rsidRPr="00BF2951" w:rsidRDefault="00BF2951" w:rsidP="00BF2951">
            <w:r>
              <w:rPr>
                <w:i/>
                <w:sz w:val="24"/>
              </w:rPr>
              <w:t>Argentina</w:t>
            </w:r>
            <w:r>
              <w:rPr>
                <w:i/>
                <w:spacing w:val="-14"/>
                <w:sz w:val="24"/>
              </w:rPr>
              <w:t xml:space="preserve"> </w:t>
            </w:r>
            <w:r>
              <w:rPr>
                <w:i/>
                <w:sz w:val="24"/>
              </w:rPr>
              <w:t>–</w:t>
            </w:r>
            <w:r>
              <w:rPr>
                <w:i/>
                <w:spacing w:val="-14"/>
                <w:sz w:val="24"/>
              </w:rPr>
              <w:t xml:space="preserve"> </w:t>
            </w:r>
            <w:r>
              <w:rPr>
                <w:i/>
                <w:sz w:val="24"/>
              </w:rPr>
              <w:t xml:space="preserve">Import </w:t>
            </w:r>
            <w:r>
              <w:rPr>
                <w:i/>
                <w:spacing w:val="-2"/>
                <w:sz w:val="24"/>
              </w:rPr>
              <w:t>Measures</w:t>
            </w:r>
          </w:p>
        </w:tc>
        <w:tc>
          <w:tcPr>
            <w:tcW w:w="7403" w:type="dxa"/>
          </w:tcPr>
          <w:p w14:paraId="14057820" w14:textId="71F1FC35" w:rsidR="00BF2951" w:rsidRPr="00BF2951" w:rsidRDefault="00BF2951" w:rsidP="00BF2951">
            <w:r>
              <w:rPr>
                <w:sz w:val="24"/>
              </w:rPr>
              <w:t xml:space="preserve">Appellate Body Reports, </w:t>
            </w:r>
            <w:r>
              <w:rPr>
                <w:i/>
                <w:sz w:val="24"/>
              </w:rPr>
              <w:t>Argentina – Measures Affecting the Importation of Goods</w:t>
            </w:r>
            <w:r>
              <w:rPr>
                <w:sz w:val="24"/>
              </w:rPr>
              <w:t>, WT/DS438/AB/R / WT/DS444/AB/R / WT/DS445/AB/R,</w:t>
            </w:r>
            <w:r>
              <w:rPr>
                <w:spacing w:val="-5"/>
                <w:sz w:val="24"/>
              </w:rPr>
              <w:t xml:space="preserve"> </w:t>
            </w:r>
            <w:r>
              <w:rPr>
                <w:sz w:val="24"/>
              </w:rPr>
              <w:t>adopted</w:t>
            </w:r>
            <w:r>
              <w:rPr>
                <w:spacing w:val="-4"/>
                <w:sz w:val="24"/>
              </w:rPr>
              <w:t xml:space="preserve"> </w:t>
            </w:r>
            <w:r>
              <w:rPr>
                <w:sz w:val="24"/>
              </w:rPr>
              <w:t>26</w:t>
            </w:r>
            <w:r>
              <w:rPr>
                <w:spacing w:val="-5"/>
                <w:sz w:val="24"/>
              </w:rPr>
              <w:t xml:space="preserve"> </w:t>
            </w:r>
            <w:r>
              <w:rPr>
                <w:sz w:val="24"/>
              </w:rPr>
              <w:t>January</w:t>
            </w:r>
            <w:r>
              <w:rPr>
                <w:spacing w:val="-2"/>
                <w:sz w:val="24"/>
              </w:rPr>
              <w:t xml:space="preserve"> </w:t>
            </w:r>
            <w:r>
              <w:rPr>
                <w:sz w:val="24"/>
              </w:rPr>
              <w:t>2015,</w:t>
            </w:r>
            <w:r>
              <w:rPr>
                <w:spacing w:val="-6"/>
                <w:sz w:val="24"/>
              </w:rPr>
              <w:t xml:space="preserve"> </w:t>
            </w:r>
            <w:r>
              <w:rPr>
                <w:sz w:val="24"/>
              </w:rPr>
              <w:t>DSR</w:t>
            </w:r>
            <w:r>
              <w:rPr>
                <w:spacing w:val="-9"/>
                <w:sz w:val="24"/>
              </w:rPr>
              <w:t xml:space="preserve"> </w:t>
            </w:r>
            <w:proofErr w:type="gramStart"/>
            <w:r>
              <w:rPr>
                <w:sz w:val="24"/>
              </w:rPr>
              <w:t>2015:II</w:t>
            </w:r>
            <w:proofErr w:type="gramEnd"/>
            <w:r>
              <w:rPr>
                <w:sz w:val="24"/>
              </w:rPr>
              <w:t>,</w:t>
            </w:r>
            <w:r>
              <w:rPr>
                <w:spacing w:val="-5"/>
                <w:sz w:val="24"/>
              </w:rPr>
              <w:t xml:space="preserve"> </w:t>
            </w:r>
            <w:r>
              <w:rPr>
                <w:sz w:val="24"/>
              </w:rPr>
              <w:t>p.</w:t>
            </w:r>
            <w:r>
              <w:rPr>
                <w:spacing w:val="-6"/>
                <w:sz w:val="24"/>
              </w:rPr>
              <w:t xml:space="preserve"> </w:t>
            </w:r>
            <w:r>
              <w:rPr>
                <w:sz w:val="24"/>
              </w:rPr>
              <w:t>579</w:t>
            </w:r>
          </w:p>
        </w:tc>
      </w:tr>
      <w:tr w:rsidR="00BF2951" w:rsidRPr="00BF2951" w14:paraId="35261910" w14:textId="77777777" w:rsidTr="00BF2951">
        <w:tc>
          <w:tcPr>
            <w:tcW w:w="2943" w:type="dxa"/>
          </w:tcPr>
          <w:p w14:paraId="54990190" w14:textId="6B65737D" w:rsidR="00BF2951" w:rsidRPr="00BF2951" w:rsidRDefault="00BF2951" w:rsidP="00BF2951">
            <w:r>
              <w:rPr>
                <w:i/>
                <w:sz w:val="24"/>
              </w:rPr>
              <w:t>Australia</w:t>
            </w:r>
            <w:r>
              <w:rPr>
                <w:i/>
                <w:spacing w:val="-2"/>
                <w:sz w:val="24"/>
              </w:rPr>
              <w:t xml:space="preserve"> </w:t>
            </w:r>
            <w:r>
              <w:rPr>
                <w:i/>
                <w:sz w:val="24"/>
              </w:rPr>
              <w:t>–</w:t>
            </w:r>
            <w:r>
              <w:rPr>
                <w:i/>
                <w:spacing w:val="-2"/>
                <w:sz w:val="24"/>
              </w:rPr>
              <w:t xml:space="preserve"> Apples</w:t>
            </w:r>
          </w:p>
        </w:tc>
        <w:tc>
          <w:tcPr>
            <w:tcW w:w="7403" w:type="dxa"/>
          </w:tcPr>
          <w:p w14:paraId="0CDDD44C" w14:textId="2E0C7487" w:rsidR="00BF2951" w:rsidRPr="00BF2951" w:rsidRDefault="00BF2951" w:rsidP="00BF2951">
            <w:r>
              <w:rPr>
                <w:sz w:val="24"/>
              </w:rPr>
              <w:t>Panel</w:t>
            </w:r>
            <w:r>
              <w:rPr>
                <w:spacing w:val="-3"/>
                <w:sz w:val="24"/>
              </w:rPr>
              <w:t xml:space="preserve"> </w:t>
            </w:r>
            <w:r>
              <w:rPr>
                <w:sz w:val="24"/>
              </w:rPr>
              <w:t>Report,</w:t>
            </w:r>
            <w:r>
              <w:rPr>
                <w:spacing w:val="-3"/>
                <w:sz w:val="24"/>
              </w:rPr>
              <w:t xml:space="preserve"> </w:t>
            </w:r>
            <w:r>
              <w:rPr>
                <w:i/>
                <w:sz w:val="24"/>
              </w:rPr>
              <w:t>Australia</w:t>
            </w:r>
            <w:r>
              <w:rPr>
                <w:i/>
                <w:spacing w:val="-4"/>
                <w:sz w:val="24"/>
              </w:rPr>
              <w:t xml:space="preserve"> </w:t>
            </w:r>
            <w:r>
              <w:rPr>
                <w:i/>
                <w:sz w:val="24"/>
              </w:rPr>
              <w:t>–</w:t>
            </w:r>
            <w:r>
              <w:rPr>
                <w:i/>
                <w:spacing w:val="-5"/>
                <w:sz w:val="24"/>
              </w:rPr>
              <w:t xml:space="preserve"> </w:t>
            </w:r>
            <w:r>
              <w:rPr>
                <w:i/>
                <w:sz w:val="24"/>
              </w:rPr>
              <w:t>Measures</w:t>
            </w:r>
            <w:r>
              <w:rPr>
                <w:i/>
                <w:spacing w:val="-7"/>
                <w:sz w:val="24"/>
              </w:rPr>
              <w:t xml:space="preserve"> </w:t>
            </w:r>
            <w:r>
              <w:rPr>
                <w:i/>
                <w:sz w:val="24"/>
              </w:rPr>
              <w:t>Affecting</w:t>
            </w:r>
            <w:r>
              <w:rPr>
                <w:i/>
                <w:spacing w:val="-5"/>
                <w:sz w:val="24"/>
              </w:rPr>
              <w:t xml:space="preserve"> </w:t>
            </w:r>
            <w:r>
              <w:rPr>
                <w:i/>
                <w:sz w:val="24"/>
              </w:rPr>
              <w:t>the</w:t>
            </w:r>
            <w:r>
              <w:rPr>
                <w:i/>
                <w:spacing w:val="-6"/>
                <w:sz w:val="24"/>
              </w:rPr>
              <w:t xml:space="preserve"> </w:t>
            </w:r>
            <w:r>
              <w:rPr>
                <w:i/>
                <w:sz w:val="24"/>
              </w:rPr>
              <w:t>Importation</w:t>
            </w:r>
            <w:r>
              <w:rPr>
                <w:i/>
                <w:spacing w:val="-5"/>
                <w:sz w:val="24"/>
              </w:rPr>
              <w:t xml:space="preserve"> </w:t>
            </w:r>
            <w:r>
              <w:rPr>
                <w:i/>
                <w:sz w:val="24"/>
              </w:rPr>
              <w:t>of Apples</w:t>
            </w:r>
            <w:r>
              <w:rPr>
                <w:i/>
                <w:spacing w:val="-3"/>
                <w:sz w:val="24"/>
              </w:rPr>
              <w:t xml:space="preserve"> </w:t>
            </w:r>
            <w:r>
              <w:rPr>
                <w:i/>
                <w:sz w:val="24"/>
              </w:rPr>
              <w:t>from New Zealand</w:t>
            </w:r>
            <w:r>
              <w:rPr>
                <w:sz w:val="24"/>
              </w:rPr>
              <w:t>,</w:t>
            </w:r>
            <w:r>
              <w:rPr>
                <w:spacing w:val="-3"/>
                <w:sz w:val="24"/>
              </w:rPr>
              <w:t xml:space="preserve"> </w:t>
            </w:r>
            <w:r>
              <w:rPr>
                <w:sz w:val="24"/>
              </w:rPr>
              <w:t>WT/DS367/R, adopted 17</w:t>
            </w:r>
            <w:r>
              <w:rPr>
                <w:spacing w:val="-3"/>
                <w:sz w:val="24"/>
              </w:rPr>
              <w:t xml:space="preserve"> </w:t>
            </w:r>
            <w:r>
              <w:rPr>
                <w:sz w:val="24"/>
              </w:rPr>
              <w:t>December 2010, as modified by Appellate Body Report WT/DS367/AB/R, DSR 2010:VI, p. 2371</w:t>
            </w:r>
          </w:p>
        </w:tc>
      </w:tr>
      <w:tr w:rsidR="00BF2951" w:rsidRPr="00BF2951" w14:paraId="272A7D8F" w14:textId="77777777" w:rsidTr="00BF2951">
        <w:tc>
          <w:tcPr>
            <w:tcW w:w="2943" w:type="dxa"/>
          </w:tcPr>
          <w:p w14:paraId="119C5029" w14:textId="2EDF2B19" w:rsidR="00BF2951" w:rsidRPr="00BF2951" w:rsidRDefault="00BF2951" w:rsidP="00BF2951">
            <w:r>
              <w:rPr>
                <w:i/>
                <w:sz w:val="24"/>
              </w:rPr>
              <w:t>Brazil</w:t>
            </w:r>
            <w:r>
              <w:rPr>
                <w:i/>
                <w:spacing w:val="-14"/>
                <w:sz w:val="24"/>
              </w:rPr>
              <w:t xml:space="preserve"> </w:t>
            </w:r>
            <w:r>
              <w:rPr>
                <w:i/>
                <w:sz w:val="24"/>
              </w:rPr>
              <w:t>—</w:t>
            </w:r>
            <w:r>
              <w:rPr>
                <w:i/>
                <w:spacing w:val="-14"/>
                <w:sz w:val="24"/>
              </w:rPr>
              <w:t xml:space="preserve"> </w:t>
            </w:r>
            <w:r>
              <w:rPr>
                <w:i/>
                <w:sz w:val="24"/>
              </w:rPr>
              <w:t xml:space="preserve">Retreaded </w:t>
            </w:r>
            <w:proofErr w:type="spellStart"/>
            <w:r>
              <w:rPr>
                <w:i/>
                <w:spacing w:val="-2"/>
                <w:sz w:val="24"/>
              </w:rPr>
              <w:t>Tyres</w:t>
            </w:r>
            <w:proofErr w:type="spellEnd"/>
          </w:p>
        </w:tc>
        <w:tc>
          <w:tcPr>
            <w:tcW w:w="7403" w:type="dxa"/>
          </w:tcPr>
          <w:p w14:paraId="34BBE41A" w14:textId="42851F92" w:rsidR="00BF2951" w:rsidRPr="00BF2951" w:rsidRDefault="00BF2951" w:rsidP="00BF2951">
            <w:r>
              <w:rPr>
                <w:sz w:val="24"/>
              </w:rPr>
              <w:t xml:space="preserve">Appellate Body Report, </w:t>
            </w:r>
            <w:r>
              <w:rPr>
                <w:i/>
                <w:sz w:val="24"/>
              </w:rPr>
              <w:t>Brazil – Measures Affecting Imports of Retreaded</w:t>
            </w:r>
            <w:r>
              <w:rPr>
                <w:i/>
                <w:spacing w:val="-9"/>
                <w:sz w:val="24"/>
              </w:rPr>
              <w:t xml:space="preserve"> </w:t>
            </w:r>
            <w:proofErr w:type="spellStart"/>
            <w:r>
              <w:rPr>
                <w:i/>
                <w:sz w:val="24"/>
              </w:rPr>
              <w:t>Tyres</w:t>
            </w:r>
            <w:proofErr w:type="spellEnd"/>
            <w:r>
              <w:rPr>
                <w:i/>
                <w:sz w:val="24"/>
              </w:rPr>
              <w:t>,</w:t>
            </w:r>
            <w:r>
              <w:rPr>
                <w:i/>
                <w:spacing w:val="-7"/>
                <w:sz w:val="24"/>
              </w:rPr>
              <w:t xml:space="preserve"> </w:t>
            </w:r>
            <w:r>
              <w:rPr>
                <w:sz w:val="24"/>
              </w:rPr>
              <w:t>WT/DS332/AB/R,</w:t>
            </w:r>
            <w:r>
              <w:rPr>
                <w:spacing w:val="-7"/>
                <w:sz w:val="24"/>
              </w:rPr>
              <w:t xml:space="preserve"> </w:t>
            </w:r>
            <w:r>
              <w:rPr>
                <w:sz w:val="24"/>
              </w:rPr>
              <w:t>adopted</w:t>
            </w:r>
            <w:r>
              <w:rPr>
                <w:spacing w:val="-7"/>
                <w:sz w:val="24"/>
              </w:rPr>
              <w:t xml:space="preserve"> </w:t>
            </w:r>
            <w:r>
              <w:rPr>
                <w:sz w:val="24"/>
              </w:rPr>
              <w:t>17</w:t>
            </w:r>
            <w:r>
              <w:rPr>
                <w:spacing w:val="-7"/>
                <w:sz w:val="24"/>
              </w:rPr>
              <w:t xml:space="preserve"> </w:t>
            </w:r>
            <w:r>
              <w:rPr>
                <w:sz w:val="24"/>
              </w:rPr>
              <w:t>December</w:t>
            </w:r>
            <w:r>
              <w:rPr>
                <w:spacing w:val="-12"/>
                <w:sz w:val="24"/>
              </w:rPr>
              <w:t xml:space="preserve"> </w:t>
            </w:r>
            <w:r>
              <w:rPr>
                <w:sz w:val="24"/>
              </w:rPr>
              <w:t xml:space="preserve">2007, DSR </w:t>
            </w:r>
            <w:proofErr w:type="gramStart"/>
            <w:r>
              <w:rPr>
                <w:sz w:val="24"/>
              </w:rPr>
              <w:t>2007:IV</w:t>
            </w:r>
            <w:proofErr w:type="gramEnd"/>
            <w:r>
              <w:rPr>
                <w:sz w:val="24"/>
              </w:rPr>
              <w:t>, p. 1527</w:t>
            </w:r>
          </w:p>
        </w:tc>
      </w:tr>
      <w:tr w:rsidR="00BF2951" w:rsidRPr="00BF2951" w14:paraId="71CB4939" w14:textId="77777777" w:rsidTr="00BF2951">
        <w:tc>
          <w:tcPr>
            <w:tcW w:w="2943" w:type="dxa"/>
          </w:tcPr>
          <w:p w14:paraId="241F8EB3" w14:textId="14B7587C" w:rsidR="00BF2951" w:rsidRPr="00BF2951" w:rsidRDefault="00BF2951" w:rsidP="00BF2951">
            <w:r>
              <w:rPr>
                <w:i/>
                <w:sz w:val="24"/>
              </w:rPr>
              <w:t>Canada</w:t>
            </w:r>
            <w:r>
              <w:rPr>
                <w:i/>
                <w:spacing w:val="1"/>
                <w:sz w:val="24"/>
              </w:rPr>
              <w:t xml:space="preserve"> </w:t>
            </w:r>
            <w:r>
              <w:rPr>
                <w:i/>
                <w:sz w:val="24"/>
              </w:rPr>
              <w:t>—</w:t>
            </w:r>
            <w:r>
              <w:rPr>
                <w:i/>
                <w:spacing w:val="-1"/>
                <w:sz w:val="24"/>
              </w:rPr>
              <w:t xml:space="preserve"> </w:t>
            </w:r>
            <w:r>
              <w:rPr>
                <w:i/>
                <w:spacing w:val="-2"/>
                <w:sz w:val="24"/>
              </w:rPr>
              <w:t>Aircraft</w:t>
            </w:r>
          </w:p>
        </w:tc>
        <w:tc>
          <w:tcPr>
            <w:tcW w:w="7403" w:type="dxa"/>
          </w:tcPr>
          <w:p w14:paraId="69B221E5" w14:textId="58CA55CD" w:rsidR="00BF2951" w:rsidRPr="00BF2951" w:rsidRDefault="00BF2951" w:rsidP="00BF2951">
            <w:r>
              <w:rPr>
                <w:sz w:val="24"/>
              </w:rPr>
              <w:t xml:space="preserve">Appellate Body Report, </w:t>
            </w:r>
            <w:r>
              <w:rPr>
                <w:i/>
                <w:sz w:val="24"/>
              </w:rPr>
              <w:t>Canada – Measures Affecting the Export of</w:t>
            </w:r>
            <w:r>
              <w:rPr>
                <w:i/>
                <w:spacing w:val="-8"/>
                <w:sz w:val="24"/>
              </w:rPr>
              <w:t xml:space="preserve"> </w:t>
            </w:r>
            <w:r>
              <w:rPr>
                <w:i/>
                <w:sz w:val="24"/>
              </w:rPr>
              <w:t>Civilian</w:t>
            </w:r>
            <w:r>
              <w:rPr>
                <w:i/>
                <w:spacing w:val="-6"/>
                <w:sz w:val="24"/>
              </w:rPr>
              <w:t xml:space="preserve"> </w:t>
            </w:r>
            <w:r>
              <w:rPr>
                <w:i/>
                <w:sz w:val="24"/>
              </w:rPr>
              <w:t>Aircraft</w:t>
            </w:r>
            <w:r>
              <w:rPr>
                <w:sz w:val="24"/>
              </w:rPr>
              <w:t>,</w:t>
            </w:r>
            <w:r>
              <w:rPr>
                <w:spacing w:val="-4"/>
                <w:sz w:val="24"/>
              </w:rPr>
              <w:t xml:space="preserve"> </w:t>
            </w:r>
            <w:r>
              <w:rPr>
                <w:sz w:val="24"/>
              </w:rPr>
              <w:t>WT/DS70/AB/R,</w:t>
            </w:r>
            <w:r>
              <w:rPr>
                <w:spacing w:val="-4"/>
                <w:sz w:val="24"/>
              </w:rPr>
              <w:t xml:space="preserve"> </w:t>
            </w:r>
            <w:r>
              <w:rPr>
                <w:sz w:val="24"/>
              </w:rPr>
              <w:t>adopted</w:t>
            </w:r>
            <w:r>
              <w:rPr>
                <w:spacing w:val="-3"/>
                <w:sz w:val="24"/>
              </w:rPr>
              <w:t xml:space="preserve"> </w:t>
            </w:r>
            <w:r>
              <w:rPr>
                <w:sz w:val="24"/>
              </w:rPr>
              <w:t>20</w:t>
            </w:r>
            <w:r>
              <w:rPr>
                <w:spacing w:val="-9"/>
                <w:sz w:val="24"/>
              </w:rPr>
              <w:t xml:space="preserve"> </w:t>
            </w:r>
            <w:r>
              <w:rPr>
                <w:sz w:val="24"/>
              </w:rPr>
              <w:t>August</w:t>
            </w:r>
            <w:r>
              <w:rPr>
                <w:spacing w:val="-6"/>
                <w:sz w:val="24"/>
              </w:rPr>
              <w:t xml:space="preserve"> </w:t>
            </w:r>
            <w:r>
              <w:rPr>
                <w:sz w:val="24"/>
              </w:rPr>
              <w:t>1999,</w:t>
            </w:r>
            <w:r>
              <w:rPr>
                <w:spacing w:val="-5"/>
                <w:sz w:val="24"/>
              </w:rPr>
              <w:t xml:space="preserve"> </w:t>
            </w:r>
            <w:r>
              <w:rPr>
                <w:sz w:val="24"/>
              </w:rPr>
              <w:t xml:space="preserve">DSR </w:t>
            </w:r>
            <w:proofErr w:type="gramStart"/>
            <w:r>
              <w:rPr>
                <w:sz w:val="24"/>
              </w:rPr>
              <w:t>1999:III</w:t>
            </w:r>
            <w:proofErr w:type="gramEnd"/>
            <w:r>
              <w:rPr>
                <w:sz w:val="24"/>
              </w:rPr>
              <w:t>, p. 1377</w:t>
            </w:r>
          </w:p>
        </w:tc>
      </w:tr>
      <w:tr w:rsidR="00BF2951" w:rsidRPr="00BF2951" w14:paraId="5A14ED74" w14:textId="77777777" w:rsidTr="00BF2951">
        <w:tc>
          <w:tcPr>
            <w:tcW w:w="2943" w:type="dxa"/>
          </w:tcPr>
          <w:p w14:paraId="1EC4F34A" w14:textId="654A819F" w:rsidR="00BF2951" w:rsidRPr="00BF2951" w:rsidRDefault="00BF2951" w:rsidP="00BF2951">
            <w:r>
              <w:rPr>
                <w:i/>
                <w:sz w:val="24"/>
              </w:rPr>
              <w:t>Canada — Renewable</w:t>
            </w:r>
            <w:r>
              <w:rPr>
                <w:i/>
                <w:spacing w:val="-14"/>
                <w:sz w:val="24"/>
              </w:rPr>
              <w:t xml:space="preserve"> </w:t>
            </w:r>
            <w:r>
              <w:rPr>
                <w:i/>
                <w:sz w:val="24"/>
              </w:rPr>
              <w:t>Energy</w:t>
            </w:r>
            <w:r>
              <w:rPr>
                <w:i/>
                <w:spacing w:val="-14"/>
                <w:sz w:val="24"/>
              </w:rPr>
              <w:t xml:space="preserve"> </w:t>
            </w:r>
            <w:r>
              <w:rPr>
                <w:i/>
                <w:sz w:val="24"/>
              </w:rPr>
              <w:t>/ Canada — Feed-in Tariff Program</w:t>
            </w:r>
          </w:p>
        </w:tc>
        <w:tc>
          <w:tcPr>
            <w:tcW w:w="7403" w:type="dxa"/>
          </w:tcPr>
          <w:p w14:paraId="04B620CC" w14:textId="765B9D08" w:rsidR="00BF2951" w:rsidRPr="00BF2951" w:rsidRDefault="00BF2951" w:rsidP="00BF2951">
            <w:r>
              <w:rPr>
                <w:sz w:val="24"/>
              </w:rPr>
              <w:t xml:space="preserve">Appellate Body Reports, </w:t>
            </w:r>
            <w:r>
              <w:rPr>
                <w:i/>
                <w:sz w:val="24"/>
              </w:rPr>
              <w:t>Canada – Certain Measures Affecting the</w:t>
            </w:r>
            <w:r>
              <w:rPr>
                <w:i/>
                <w:spacing w:val="-5"/>
                <w:sz w:val="24"/>
              </w:rPr>
              <w:t xml:space="preserve"> </w:t>
            </w:r>
            <w:r>
              <w:rPr>
                <w:i/>
                <w:sz w:val="24"/>
              </w:rPr>
              <w:t>Renewable</w:t>
            </w:r>
            <w:r>
              <w:rPr>
                <w:i/>
                <w:spacing w:val="-4"/>
                <w:sz w:val="24"/>
              </w:rPr>
              <w:t xml:space="preserve"> </w:t>
            </w:r>
            <w:r>
              <w:rPr>
                <w:i/>
                <w:sz w:val="24"/>
              </w:rPr>
              <w:t>Energy</w:t>
            </w:r>
            <w:r>
              <w:rPr>
                <w:i/>
                <w:spacing w:val="-7"/>
                <w:sz w:val="24"/>
              </w:rPr>
              <w:t xml:space="preserve"> </w:t>
            </w:r>
            <w:r>
              <w:rPr>
                <w:i/>
                <w:sz w:val="24"/>
              </w:rPr>
              <w:t>Generation</w:t>
            </w:r>
            <w:r>
              <w:rPr>
                <w:i/>
                <w:spacing w:val="-4"/>
                <w:sz w:val="24"/>
              </w:rPr>
              <w:t xml:space="preserve"> </w:t>
            </w:r>
            <w:r>
              <w:rPr>
                <w:i/>
                <w:sz w:val="24"/>
              </w:rPr>
              <w:t>Sector</w:t>
            </w:r>
            <w:r>
              <w:rPr>
                <w:i/>
                <w:spacing w:val="-6"/>
                <w:sz w:val="24"/>
              </w:rPr>
              <w:t xml:space="preserve"> </w:t>
            </w:r>
            <w:r>
              <w:rPr>
                <w:i/>
                <w:sz w:val="24"/>
              </w:rPr>
              <w:t>/</w:t>
            </w:r>
            <w:r>
              <w:rPr>
                <w:i/>
                <w:spacing w:val="-7"/>
                <w:sz w:val="24"/>
              </w:rPr>
              <w:t xml:space="preserve"> </w:t>
            </w:r>
            <w:r>
              <w:rPr>
                <w:i/>
                <w:sz w:val="24"/>
              </w:rPr>
              <w:t>Canada</w:t>
            </w:r>
            <w:r>
              <w:rPr>
                <w:i/>
                <w:spacing w:val="-4"/>
                <w:sz w:val="24"/>
              </w:rPr>
              <w:t xml:space="preserve"> </w:t>
            </w:r>
            <w:r>
              <w:rPr>
                <w:i/>
                <w:sz w:val="24"/>
              </w:rPr>
              <w:t>–</w:t>
            </w:r>
            <w:r>
              <w:rPr>
                <w:i/>
                <w:spacing w:val="-4"/>
                <w:sz w:val="24"/>
              </w:rPr>
              <w:t xml:space="preserve"> </w:t>
            </w:r>
            <w:r>
              <w:rPr>
                <w:i/>
                <w:sz w:val="24"/>
              </w:rPr>
              <w:t>Measures Relating to the Feed-in Tariff Program</w:t>
            </w:r>
            <w:r>
              <w:rPr>
                <w:sz w:val="24"/>
              </w:rPr>
              <w:t xml:space="preserve">, WT/DS412/AB/R / WT/DS426/AB/R, adopted 24 May 2013, DSR </w:t>
            </w:r>
            <w:proofErr w:type="gramStart"/>
            <w:r>
              <w:rPr>
                <w:sz w:val="24"/>
              </w:rPr>
              <w:t>2013:I</w:t>
            </w:r>
            <w:proofErr w:type="gramEnd"/>
            <w:r>
              <w:rPr>
                <w:sz w:val="24"/>
              </w:rPr>
              <w:t>, p. 7</w:t>
            </w:r>
          </w:p>
        </w:tc>
      </w:tr>
      <w:tr w:rsidR="00BF2951" w:rsidRPr="00BF2951" w14:paraId="08E1CCF9" w14:textId="77777777" w:rsidTr="00BF2951">
        <w:tc>
          <w:tcPr>
            <w:tcW w:w="2943" w:type="dxa"/>
          </w:tcPr>
          <w:p w14:paraId="6FE64F95" w14:textId="33A427CE" w:rsidR="00BF2951" w:rsidRPr="00BF2951" w:rsidRDefault="00BF2951" w:rsidP="00BF2951">
            <w:r>
              <w:rPr>
                <w:i/>
                <w:sz w:val="24"/>
              </w:rPr>
              <w:t>Chile</w:t>
            </w:r>
            <w:r>
              <w:rPr>
                <w:i/>
                <w:spacing w:val="-11"/>
                <w:sz w:val="24"/>
              </w:rPr>
              <w:t xml:space="preserve"> </w:t>
            </w:r>
            <w:r>
              <w:rPr>
                <w:i/>
                <w:sz w:val="24"/>
              </w:rPr>
              <w:t>–</w:t>
            </w:r>
            <w:r>
              <w:rPr>
                <w:i/>
                <w:spacing w:val="-11"/>
                <w:sz w:val="24"/>
              </w:rPr>
              <w:t xml:space="preserve"> </w:t>
            </w:r>
            <w:r>
              <w:rPr>
                <w:i/>
                <w:sz w:val="24"/>
              </w:rPr>
              <w:t>Price</w:t>
            </w:r>
            <w:r>
              <w:rPr>
                <w:i/>
                <w:spacing w:val="-11"/>
                <w:sz w:val="24"/>
              </w:rPr>
              <w:t xml:space="preserve"> </w:t>
            </w:r>
            <w:r>
              <w:rPr>
                <w:i/>
                <w:sz w:val="24"/>
              </w:rPr>
              <w:t xml:space="preserve">Band </w:t>
            </w:r>
            <w:r>
              <w:rPr>
                <w:i/>
                <w:spacing w:val="-2"/>
                <w:sz w:val="24"/>
              </w:rPr>
              <w:t>System</w:t>
            </w:r>
          </w:p>
        </w:tc>
        <w:tc>
          <w:tcPr>
            <w:tcW w:w="7403" w:type="dxa"/>
          </w:tcPr>
          <w:p w14:paraId="7187FC2A" w14:textId="3B97D2E4" w:rsidR="00BF2951" w:rsidRPr="00BF2951" w:rsidRDefault="00BF2951" w:rsidP="00BF2951">
            <w:r>
              <w:rPr>
                <w:sz w:val="24"/>
              </w:rPr>
              <w:t>Appellate</w:t>
            </w:r>
            <w:r>
              <w:rPr>
                <w:spacing w:val="-4"/>
                <w:sz w:val="24"/>
              </w:rPr>
              <w:t xml:space="preserve"> </w:t>
            </w:r>
            <w:r>
              <w:rPr>
                <w:sz w:val="24"/>
              </w:rPr>
              <w:t>Body</w:t>
            </w:r>
            <w:r>
              <w:rPr>
                <w:spacing w:val="-3"/>
                <w:sz w:val="24"/>
              </w:rPr>
              <w:t xml:space="preserve"> </w:t>
            </w:r>
            <w:r>
              <w:rPr>
                <w:sz w:val="24"/>
              </w:rPr>
              <w:t>Report,</w:t>
            </w:r>
            <w:r>
              <w:rPr>
                <w:spacing w:val="-3"/>
                <w:sz w:val="24"/>
              </w:rPr>
              <w:t xml:space="preserve"> </w:t>
            </w:r>
            <w:r>
              <w:rPr>
                <w:i/>
                <w:sz w:val="24"/>
              </w:rPr>
              <w:t>Chile</w:t>
            </w:r>
            <w:r>
              <w:rPr>
                <w:i/>
                <w:spacing w:val="-4"/>
                <w:sz w:val="24"/>
              </w:rPr>
              <w:t xml:space="preserve"> </w:t>
            </w:r>
            <w:r>
              <w:rPr>
                <w:i/>
                <w:sz w:val="24"/>
              </w:rPr>
              <w:t>–</w:t>
            </w:r>
            <w:r>
              <w:rPr>
                <w:i/>
                <w:spacing w:val="-4"/>
                <w:sz w:val="24"/>
              </w:rPr>
              <w:t xml:space="preserve"> </w:t>
            </w:r>
            <w:r>
              <w:rPr>
                <w:i/>
                <w:sz w:val="24"/>
              </w:rPr>
              <w:t>Price</w:t>
            </w:r>
            <w:r>
              <w:rPr>
                <w:i/>
                <w:spacing w:val="-4"/>
                <w:sz w:val="24"/>
              </w:rPr>
              <w:t xml:space="preserve"> </w:t>
            </w:r>
            <w:r>
              <w:rPr>
                <w:i/>
                <w:sz w:val="24"/>
              </w:rPr>
              <w:t>Band</w:t>
            </w:r>
            <w:r>
              <w:rPr>
                <w:i/>
                <w:spacing w:val="-4"/>
                <w:sz w:val="24"/>
              </w:rPr>
              <w:t xml:space="preserve"> </w:t>
            </w:r>
            <w:r>
              <w:rPr>
                <w:i/>
                <w:sz w:val="24"/>
              </w:rPr>
              <w:t>System</w:t>
            </w:r>
            <w:r>
              <w:rPr>
                <w:i/>
                <w:spacing w:val="-3"/>
                <w:sz w:val="24"/>
              </w:rPr>
              <w:t xml:space="preserve"> </w:t>
            </w:r>
            <w:r>
              <w:rPr>
                <w:i/>
                <w:sz w:val="24"/>
              </w:rPr>
              <w:t>and</w:t>
            </w:r>
            <w:r>
              <w:rPr>
                <w:i/>
                <w:spacing w:val="-4"/>
                <w:sz w:val="24"/>
              </w:rPr>
              <w:t xml:space="preserve"> </w:t>
            </w:r>
            <w:r>
              <w:rPr>
                <w:i/>
                <w:sz w:val="24"/>
              </w:rPr>
              <w:t>Safeguard Measures Relating to Certain Agricultural Products</w:t>
            </w:r>
            <w:r>
              <w:rPr>
                <w:sz w:val="24"/>
              </w:rPr>
              <w:t xml:space="preserve">, WT/DS207/AB/R, 23 October 2002, DSR </w:t>
            </w:r>
            <w:proofErr w:type="gramStart"/>
            <w:r>
              <w:rPr>
                <w:sz w:val="24"/>
              </w:rPr>
              <w:t>2002:VIII</w:t>
            </w:r>
            <w:proofErr w:type="gramEnd"/>
            <w:r>
              <w:rPr>
                <w:sz w:val="24"/>
              </w:rPr>
              <w:t>, p. 3045 (Corr.1, DSR 2006:XII, p. 5473)</w:t>
            </w:r>
          </w:p>
        </w:tc>
      </w:tr>
      <w:tr w:rsidR="00BF2951" w:rsidRPr="00BF2951" w14:paraId="67483D1F" w14:textId="77777777" w:rsidTr="00BF2951">
        <w:tc>
          <w:tcPr>
            <w:tcW w:w="2943" w:type="dxa"/>
          </w:tcPr>
          <w:p w14:paraId="0AD4A890" w14:textId="56B5CA8F" w:rsidR="00BF2951" w:rsidRDefault="00BF2951" w:rsidP="00BF2951">
            <w:pPr>
              <w:rPr>
                <w:i/>
                <w:sz w:val="24"/>
              </w:rPr>
            </w:pPr>
            <w:r>
              <w:rPr>
                <w:sz w:val="24"/>
              </w:rPr>
              <w:t>C</w:t>
            </w:r>
            <w:r>
              <w:rPr>
                <w:i/>
                <w:sz w:val="24"/>
              </w:rPr>
              <w:t>hile – Price Band System</w:t>
            </w:r>
            <w:r>
              <w:rPr>
                <w:i/>
                <w:spacing w:val="-14"/>
                <w:sz w:val="24"/>
              </w:rPr>
              <w:t xml:space="preserve"> </w:t>
            </w:r>
            <w:r>
              <w:rPr>
                <w:i/>
                <w:sz w:val="24"/>
              </w:rPr>
              <w:t>(Article</w:t>
            </w:r>
            <w:r>
              <w:rPr>
                <w:i/>
                <w:spacing w:val="-14"/>
                <w:sz w:val="24"/>
              </w:rPr>
              <w:t xml:space="preserve"> </w:t>
            </w:r>
            <w:r>
              <w:rPr>
                <w:i/>
                <w:sz w:val="24"/>
              </w:rPr>
              <w:t>21.5 – Argentina)</w:t>
            </w:r>
          </w:p>
        </w:tc>
        <w:tc>
          <w:tcPr>
            <w:tcW w:w="7403" w:type="dxa"/>
          </w:tcPr>
          <w:p w14:paraId="1B535749" w14:textId="1728A333" w:rsidR="00BF2951" w:rsidRDefault="00BF2951" w:rsidP="00BF2951">
            <w:pPr>
              <w:rPr>
                <w:sz w:val="24"/>
              </w:rPr>
            </w:pPr>
            <w:r>
              <w:rPr>
                <w:sz w:val="24"/>
              </w:rPr>
              <w:t>Appellate</w:t>
            </w:r>
            <w:r>
              <w:rPr>
                <w:spacing w:val="-3"/>
                <w:sz w:val="24"/>
              </w:rPr>
              <w:t xml:space="preserve"> </w:t>
            </w:r>
            <w:r>
              <w:rPr>
                <w:sz w:val="24"/>
              </w:rPr>
              <w:t>Body</w:t>
            </w:r>
            <w:r>
              <w:rPr>
                <w:spacing w:val="-2"/>
                <w:sz w:val="24"/>
              </w:rPr>
              <w:t xml:space="preserve"> </w:t>
            </w:r>
            <w:r>
              <w:rPr>
                <w:sz w:val="24"/>
              </w:rPr>
              <w:t>Report,</w:t>
            </w:r>
            <w:r>
              <w:rPr>
                <w:spacing w:val="-1"/>
                <w:sz w:val="24"/>
              </w:rPr>
              <w:t xml:space="preserve"> </w:t>
            </w:r>
            <w:r>
              <w:rPr>
                <w:i/>
                <w:sz w:val="24"/>
              </w:rPr>
              <w:t>Chile</w:t>
            </w:r>
            <w:r>
              <w:rPr>
                <w:i/>
                <w:spacing w:val="-3"/>
                <w:sz w:val="24"/>
              </w:rPr>
              <w:t xml:space="preserve"> </w:t>
            </w:r>
            <w:r>
              <w:rPr>
                <w:i/>
                <w:sz w:val="24"/>
              </w:rPr>
              <w:t>–</w:t>
            </w:r>
            <w:r>
              <w:rPr>
                <w:i/>
                <w:spacing w:val="-3"/>
                <w:sz w:val="24"/>
              </w:rPr>
              <w:t xml:space="preserve"> </w:t>
            </w:r>
            <w:r>
              <w:rPr>
                <w:i/>
                <w:sz w:val="24"/>
              </w:rPr>
              <w:t>Price</w:t>
            </w:r>
            <w:r>
              <w:rPr>
                <w:i/>
                <w:spacing w:val="-3"/>
                <w:sz w:val="24"/>
              </w:rPr>
              <w:t xml:space="preserve"> </w:t>
            </w:r>
            <w:r>
              <w:rPr>
                <w:i/>
                <w:sz w:val="24"/>
              </w:rPr>
              <w:t>Band</w:t>
            </w:r>
            <w:r>
              <w:rPr>
                <w:i/>
                <w:spacing w:val="-3"/>
                <w:sz w:val="24"/>
              </w:rPr>
              <w:t xml:space="preserve"> </w:t>
            </w:r>
            <w:r>
              <w:rPr>
                <w:i/>
                <w:sz w:val="24"/>
              </w:rPr>
              <w:t>System</w:t>
            </w:r>
            <w:r>
              <w:rPr>
                <w:i/>
                <w:spacing w:val="-2"/>
                <w:sz w:val="24"/>
              </w:rPr>
              <w:t xml:space="preserve"> </w:t>
            </w:r>
            <w:r>
              <w:rPr>
                <w:i/>
                <w:sz w:val="24"/>
              </w:rPr>
              <w:t>and</w:t>
            </w:r>
            <w:r>
              <w:rPr>
                <w:i/>
                <w:spacing w:val="-3"/>
                <w:sz w:val="24"/>
              </w:rPr>
              <w:t xml:space="preserve"> </w:t>
            </w:r>
            <w:r>
              <w:rPr>
                <w:i/>
                <w:sz w:val="24"/>
              </w:rPr>
              <w:t>Safeguard Measures</w:t>
            </w:r>
            <w:r>
              <w:rPr>
                <w:i/>
                <w:spacing w:val="-8"/>
                <w:sz w:val="24"/>
              </w:rPr>
              <w:t xml:space="preserve"> </w:t>
            </w:r>
            <w:r>
              <w:rPr>
                <w:i/>
                <w:sz w:val="24"/>
              </w:rPr>
              <w:t>Relating</w:t>
            </w:r>
            <w:r>
              <w:rPr>
                <w:i/>
                <w:spacing w:val="-5"/>
                <w:sz w:val="24"/>
              </w:rPr>
              <w:t xml:space="preserve"> </w:t>
            </w:r>
            <w:r>
              <w:rPr>
                <w:i/>
                <w:sz w:val="24"/>
              </w:rPr>
              <w:t>to</w:t>
            </w:r>
            <w:r>
              <w:rPr>
                <w:i/>
                <w:spacing w:val="-4"/>
                <w:sz w:val="24"/>
              </w:rPr>
              <w:t xml:space="preserve"> </w:t>
            </w:r>
            <w:r>
              <w:rPr>
                <w:i/>
                <w:sz w:val="24"/>
              </w:rPr>
              <w:t>Certain</w:t>
            </w:r>
            <w:r>
              <w:rPr>
                <w:i/>
                <w:spacing w:val="-5"/>
                <w:sz w:val="24"/>
              </w:rPr>
              <w:t xml:space="preserve"> </w:t>
            </w:r>
            <w:r>
              <w:rPr>
                <w:i/>
                <w:sz w:val="24"/>
              </w:rPr>
              <w:t>Agricultural</w:t>
            </w:r>
            <w:r>
              <w:rPr>
                <w:i/>
                <w:spacing w:val="-3"/>
                <w:sz w:val="24"/>
              </w:rPr>
              <w:t xml:space="preserve"> </w:t>
            </w:r>
            <w:r>
              <w:rPr>
                <w:i/>
                <w:sz w:val="24"/>
              </w:rPr>
              <w:t>Products</w:t>
            </w:r>
            <w:r>
              <w:rPr>
                <w:i/>
                <w:spacing w:val="-8"/>
                <w:sz w:val="24"/>
              </w:rPr>
              <w:t xml:space="preserve"> </w:t>
            </w:r>
            <w:r>
              <w:rPr>
                <w:i/>
                <w:sz w:val="24"/>
              </w:rPr>
              <w:t>–</w:t>
            </w:r>
            <w:r>
              <w:rPr>
                <w:i/>
                <w:spacing w:val="-5"/>
                <w:sz w:val="24"/>
              </w:rPr>
              <w:t xml:space="preserve"> </w:t>
            </w:r>
            <w:r>
              <w:rPr>
                <w:i/>
                <w:sz w:val="24"/>
              </w:rPr>
              <w:t>Recourse</w:t>
            </w:r>
            <w:r>
              <w:rPr>
                <w:i/>
                <w:spacing w:val="-5"/>
                <w:sz w:val="24"/>
              </w:rPr>
              <w:t xml:space="preserve"> </w:t>
            </w:r>
            <w:r>
              <w:rPr>
                <w:i/>
                <w:sz w:val="24"/>
              </w:rPr>
              <w:t>to Article 21.5 of the DSU by Argentina</w:t>
            </w:r>
            <w:r>
              <w:rPr>
                <w:sz w:val="24"/>
              </w:rPr>
              <w:t>, WT/DS207/AB</w:t>
            </w:r>
          </w:p>
        </w:tc>
      </w:tr>
      <w:tr w:rsidR="00BF2951" w:rsidRPr="00BF2951" w14:paraId="5986D983" w14:textId="77777777" w:rsidTr="00BF2951">
        <w:tc>
          <w:tcPr>
            <w:tcW w:w="2943" w:type="dxa"/>
          </w:tcPr>
          <w:p w14:paraId="595DB18A" w14:textId="0D098770" w:rsidR="00BF2951" w:rsidRDefault="00BF2951" w:rsidP="00BF2951">
            <w:pPr>
              <w:rPr>
                <w:i/>
                <w:sz w:val="24"/>
              </w:rPr>
            </w:pPr>
            <w:r>
              <w:rPr>
                <w:i/>
                <w:sz w:val="24"/>
              </w:rPr>
              <w:lastRenderedPageBreak/>
              <w:t>China</w:t>
            </w:r>
            <w:r>
              <w:rPr>
                <w:i/>
                <w:spacing w:val="-1"/>
                <w:sz w:val="24"/>
              </w:rPr>
              <w:t xml:space="preserve"> </w:t>
            </w:r>
            <w:r>
              <w:rPr>
                <w:i/>
                <w:sz w:val="24"/>
              </w:rPr>
              <w:t>-</w:t>
            </w:r>
            <w:r>
              <w:rPr>
                <w:i/>
                <w:spacing w:val="-1"/>
                <w:sz w:val="24"/>
              </w:rPr>
              <w:t xml:space="preserve"> </w:t>
            </w:r>
            <w:r>
              <w:rPr>
                <w:i/>
                <w:sz w:val="24"/>
              </w:rPr>
              <w:t>Autos</w:t>
            </w:r>
            <w:r>
              <w:rPr>
                <w:i/>
                <w:spacing w:val="-2"/>
                <w:sz w:val="24"/>
              </w:rPr>
              <w:t xml:space="preserve"> </w:t>
            </w:r>
            <w:r>
              <w:rPr>
                <w:i/>
                <w:spacing w:val="-4"/>
                <w:sz w:val="24"/>
              </w:rPr>
              <w:t>(US)</w:t>
            </w:r>
          </w:p>
        </w:tc>
        <w:tc>
          <w:tcPr>
            <w:tcW w:w="7403" w:type="dxa"/>
          </w:tcPr>
          <w:p w14:paraId="7A70EED2" w14:textId="419D9819" w:rsidR="00BF2951" w:rsidRDefault="00BF2951" w:rsidP="00BF2951">
            <w:pPr>
              <w:rPr>
                <w:sz w:val="24"/>
              </w:rPr>
            </w:pPr>
            <w:r>
              <w:rPr>
                <w:sz w:val="24"/>
              </w:rPr>
              <w:t>Panel</w:t>
            </w:r>
            <w:r>
              <w:rPr>
                <w:spacing w:val="-4"/>
                <w:sz w:val="24"/>
              </w:rPr>
              <w:t xml:space="preserve"> </w:t>
            </w:r>
            <w:r>
              <w:rPr>
                <w:sz w:val="24"/>
              </w:rPr>
              <w:t>Report,</w:t>
            </w:r>
            <w:r>
              <w:rPr>
                <w:spacing w:val="-4"/>
                <w:sz w:val="24"/>
              </w:rPr>
              <w:t xml:space="preserve"> </w:t>
            </w:r>
            <w:r>
              <w:rPr>
                <w:i/>
                <w:sz w:val="24"/>
              </w:rPr>
              <w:t>China</w:t>
            </w:r>
            <w:r>
              <w:rPr>
                <w:i/>
                <w:spacing w:val="-5"/>
                <w:sz w:val="24"/>
              </w:rPr>
              <w:t xml:space="preserve"> </w:t>
            </w:r>
            <w:r>
              <w:rPr>
                <w:i/>
                <w:sz w:val="24"/>
              </w:rPr>
              <w:t>–</w:t>
            </w:r>
            <w:r>
              <w:rPr>
                <w:i/>
                <w:spacing w:val="-5"/>
                <w:sz w:val="24"/>
              </w:rPr>
              <w:t xml:space="preserve"> </w:t>
            </w:r>
            <w:r>
              <w:rPr>
                <w:i/>
                <w:sz w:val="24"/>
              </w:rPr>
              <w:t>Anti-Dumping</w:t>
            </w:r>
            <w:r>
              <w:rPr>
                <w:i/>
                <w:spacing w:val="-5"/>
                <w:sz w:val="24"/>
              </w:rPr>
              <w:t xml:space="preserve"> </w:t>
            </w:r>
            <w:r>
              <w:rPr>
                <w:i/>
                <w:sz w:val="24"/>
              </w:rPr>
              <w:t>and</w:t>
            </w:r>
            <w:r>
              <w:rPr>
                <w:i/>
                <w:spacing w:val="-5"/>
                <w:sz w:val="24"/>
              </w:rPr>
              <w:t xml:space="preserve"> </w:t>
            </w:r>
            <w:r>
              <w:rPr>
                <w:i/>
                <w:sz w:val="24"/>
              </w:rPr>
              <w:t>Countervailing</w:t>
            </w:r>
            <w:r>
              <w:rPr>
                <w:i/>
                <w:spacing w:val="-5"/>
                <w:sz w:val="24"/>
              </w:rPr>
              <w:t xml:space="preserve"> </w:t>
            </w:r>
            <w:r>
              <w:rPr>
                <w:i/>
                <w:sz w:val="24"/>
              </w:rPr>
              <w:t>Duties</w:t>
            </w:r>
            <w:r>
              <w:rPr>
                <w:i/>
                <w:spacing w:val="-8"/>
                <w:sz w:val="24"/>
              </w:rPr>
              <w:t xml:space="preserve"> </w:t>
            </w:r>
            <w:r>
              <w:rPr>
                <w:i/>
                <w:sz w:val="24"/>
              </w:rPr>
              <w:t>on Certain Automobiles from the United States</w:t>
            </w:r>
            <w:r>
              <w:rPr>
                <w:sz w:val="24"/>
              </w:rPr>
              <w:t xml:space="preserve">, WT/DS440/R and Add.1, adopted 18 June 2014, DSR </w:t>
            </w:r>
            <w:proofErr w:type="gramStart"/>
            <w:r>
              <w:rPr>
                <w:sz w:val="24"/>
              </w:rPr>
              <w:t>2014:VII</w:t>
            </w:r>
            <w:proofErr w:type="gramEnd"/>
            <w:r>
              <w:rPr>
                <w:sz w:val="24"/>
              </w:rPr>
              <w:t>, p. 2655</w:t>
            </w:r>
          </w:p>
        </w:tc>
      </w:tr>
      <w:tr w:rsidR="00BF2951" w:rsidRPr="00BF2951" w14:paraId="4CCB052D" w14:textId="77777777" w:rsidTr="00BF2951">
        <w:tc>
          <w:tcPr>
            <w:tcW w:w="2943" w:type="dxa"/>
          </w:tcPr>
          <w:p w14:paraId="25534DBC" w14:textId="55E0CAB3" w:rsidR="00BF2951" w:rsidRDefault="00BF2951" w:rsidP="00BF2951">
            <w:pPr>
              <w:rPr>
                <w:i/>
                <w:sz w:val="24"/>
              </w:rPr>
            </w:pPr>
            <w:r>
              <w:rPr>
                <w:i/>
                <w:sz w:val="24"/>
              </w:rPr>
              <w:t>China</w:t>
            </w:r>
            <w:r>
              <w:rPr>
                <w:i/>
                <w:spacing w:val="-14"/>
                <w:sz w:val="24"/>
              </w:rPr>
              <w:t xml:space="preserve"> </w:t>
            </w:r>
            <w:r>
              <w:rPr>
                <w:i/>
                <w:sz w:val="24"/>
              </w:rPr>
              <w:t>–</w:t>
            </w:r>
            <w:r>
              <w:rPr>
                <w:i/>
                <w:spacing w:val="-14"/>
                <w:sz w:val="24"/>
              </w:rPr>
              <w:t xml:space="preserve"> </w:t>
            </w:r>
            <w:r>
              <w:rPr>
                <w:i/>
                <w:sz w:val="24"/>
              </w:rPr>
              <w:t xml:space="preserve">Broiler </w:t>
            </w:r>
            <w:r>
              <w:rPr>
                <w:i/>
                <w:spacing w:val="-2"/>
                <w:sz w:val="24"/>
              </w:rPr>
              <w:t>Products</w:t>
            </w:r>
          </w:p>
        </w:tc>
        <w:tc>
          <w:tcPr>
            <w:tcW w:w="7403" w:type="dxa"/>
          </w:tcPr>
          <w:p w14:paraId="07D9E24B" w14:textId="2BCD2A24" w:rsidR="00BF2951" w:rsidRDefault="00BF2951" w:rsidP="00BF2951">
            <w:pPr>
              <w:rPr>
                <w:sz w:val="24"/>
              </w:rPr>
            </w:pPr>
            <w:r>
              <w:rPr>
                <w:sz w:val="24"/>
              </w:rPr>
              <w:t>Panel</w:t>
            </w:r>
            <w:r>
              <w:rPr>
                <w:spacing w:val="-4"/>
                <w:sz w:val="24"/>
              </w:rPr>
              <w:t xml:space="preserve"> </w:t>
            </w:r>
            <w:r>
              <w:rPr>
                <w:sz w:val="24"/>
              </w:rPr>
              <w:t>Report,</w:t>
            </w:r>
            <w:r>
              <w:rPr>
                <w:spacing w:val="-4"/>
                <w:sz w:val="24"/>
              </w:rPr>
              <w:t xml:space="preserve"> </w:t>
            </w:r>
            <w:r>
              <w:rPr>
                <w:i/>
                <w:sz w:val="24"/>
              </w:rPr>
              <w:t>China</w:t>
            </w:r>
            <w:r>
              <w:rPr>
                <w:i/>
                <w:spacing w:val="-6"/>
                <w:sz w:val="24"/>
              </w:rPr>
              <w:t xml:space="preserve"> </w:t>
            </w:r>
            <w:r>
              <w:rPr>
                <w:i/>
                <w:sz w:val="24"/>
              </w:rPr>
              <w:t>−</w:t>
            </w:r>
            <w:r>
              <w:rPr>
                <w:i/>
                <w:spacing w:val="-6"/>
                <w:sz w:val="24"/>
              </w:rPr>
              <w:t xml:space="preserve"> </w:t>
            </w:r>
            <w:r>
              <w:rPr>
                <w:i/>
                <w:sz w:val="24"/>
              </w:rPr>
              <w:t>Anti-Dumping</w:t>
            </w:r>
            <w:r>
              <w:rPr>
                <w:i/>
                <w:spacing w:val="-6"/>
                <w:sz w:val="24"/>
              </w:rPr>
              <w:t xml:space="preserve"> </w:t>
            </w:r>
            <w:r>
              <w:rPr>
                <w:i/>
                <w:sz w:val="24"/>
              </w:rPr>
              <w:t>and</w:t>
            </w:r>
            <w:r>
              <w:rPr>
                <w:i/>
                <w:spacing w:val="-6"/>
                <w:sz w:val="24"/>
              </w:rPr>
              <w:t xml:space="preserve"> </w:t>
            </w:r>
            <w:r>
              <w:rPr>
                <w:i/>
                <w:sz w:val="24"/>
              </w:rPr>
              <w:t>Countervailing</w:t>
            </w:r>
            <w:r>
              <w:rPr>
                <w:i/>
                <w:spacing w:val="-6"/>
                <w:sz w:val="24"/>
              </w:rPr>
              <w:t xml:space="preserve"> </w:t>
            </w:r>
            <w:r>
              <w:rPr>
                <w:i/>
                <w:sz w:val="24"/>
              </w:rPr>
              <w:t>Duty Measures on Broiler Products from the United States</w:t>
            </w:r>
            <w:r>
              <w:rPr>
                <w:sz w:val="24"/>
              </w:rPr>
              <w:t xml:space="preserve">, WT/DS427/R and Add.1, adopted 25 September 2013, DSR </w:t>
            </w:r>
            <w:proofErr w:type="gramStart"/>
            <w:r>
              <w:rPr>
                <w:sz w:val="24"/>
              </w:rPr>
              <w:t>2013:IV</w:t>
            </w:r>
            <w:proofErr w:type="gramEnd"/>
            <w:r>
              <w:rPr>
                <w:sz w:val="24"/>
              </w:rPr>
              <w:t>, p. 1041</w:t>
            </w:r>
          </w:p>
        </w:tc>
      </w:tr>
      <w:tr w:rsidR="00BF2951" w:rsidRPr="00BF2951" w14:paraId="04F0CA36" w14:textId="77777777" w:rsidTr="00BF2951">
        <w:tc>
          <w:tcPr>
            <w:tcW w:w="2943" w:type="dxa"/>
          </w:tcPr>
          <w:p w14:paraId="23927673" w14:textId="78D67D3E" w:rsidR="00BF2951" w:rsidRDefault="00BF2951" w:rsidP="00BF2951">
            <w:pPr>
              <w:rPr>
                <w:i/>
                <w:sz w:val="24"/>
              </w:rPr>
            </w:pPr>
            <w:r>
              <w:rPr>
                <w:i/>
                <w:sz w:val="24"/>
              </w:rPr>
              <w:t>China – Broiler Products</w:t>
            </w:r>
            <w:r>
              <w:rPr>
                <w:i/>
                <w:spacing w:val="-14"/>
                <w:sz w:val="24"/>
              </w:rPr>
              <w:t xml:space="preserve"> </w:t>
            </w:r>
            <w:r>
              <w:rPr>
                <w:i/>
                <w:sz w:val="24"/>
              </w:rPr>
              <w:t>(Article 21.5 - US)</w:t>
            </w:r>
          </w:p>
        </w:tc>
        <w:tc>
          <w:tcPr>
            <w:tcW w:w="7403" w:type="dxa"/>
          </w:tcPr>
          <w:p w14:paraId="44D6F138" w14:textId="578FAF61" w:rsidR="00BF2951" w:rsidRDefault="00BF2951" w:rsidP="00BF2951">
            <w:pPr>
              <w:rPr>
                <w:sz w:val="24"/>
              </w:rPr>
            </w:pPr>
            <w:r>
              <w:rPr>
                <w:sz w:val="24"/>
              </w:rPr>
              <w:t xml:space="preserve">Panel Report, </w:t>
            </w:r>
            <w:r>
              <w:rPr>
                <w:i/>
                <w:sz w:val="24"/>
              </w:rPr>
              <w:t>China − Anti-Dumping and Countervailing Duty Measures</w:t>
            </w:r>
            <w:r>
              <w:rPr>
                <w:i/>
                <w:spacing w:val="-6"/>
                <w:sz w:val="24"/>
              </w:rPr>
              <w:t xml:space="preserve"> </w:t>
            </w:r>
            <w:r>
              <w:rPr>
                <w:i/>
                <w:sz w:val="24"/>
              </w:rPr>
              <w:t>on</w:t>
            </w:r>
            <w:r>
              <w:rPr>
                <w:i/>
                <w:spacing w:val="-3"/>
                <w:sz w:val="24"/>
              </w:rPr>
              <w:t xml:space="preserve"> </w:t>
            </w:r>
            <w:r>
              <w:rPr>
                <w:i/>
                <w:sz w:val="24"/>
              </w:rPr>
              <w:t>Broiler</w:t>
            </w:r>
            <w:r>
              <w:rPr>
                <w:i/>
                <w:spacing w:val="-5"/>
                <w:sz w:val="24"/>
              </w:rPr>
              <w:t xml:space="preserve"> </w:t>
            </w:r>
            <w:r>
              <w:rPr>
                <w:i/>
                <w:sz w:val="24"/>
              </w:rPr>
              <w:t>Products</w:t>
            </w:r>
            <w:r>
              <w:rPr>
                <w:i/>
                <w:spacing w:val="-6"/>
                <w:sz w:val="24"/>
              </w:rPr>
              <w:t xml:space="preserve"> </w:t>
            </w:r>
            <w:r>
              <w:rPr>
                <w:i/>
                <w:sz w:val="24"/>
              </w:rPr>
              <w:t>from</w:t>
            </w:r>
            <w:r>
              <w:rPr>
                <w:i/>
                <w:spacing w:val="-2"/>
                <w:sz w:val="24"/>
              </w:rPr>
              <w:t xml:space="preserve"> </w:t>
            </w:r>
            <w:r>
              <w:rPr>
                <w:i/>
                <w:sz w:val="24"/>
              </w:rPr>
              <w:t>the</w:t>
            </w:r>
            <w:r>
              <w:rPr>
                <w:i/>
                <w:spacing w:val="-4"/>
                <w:sz w:val="24"/>
              </w:rPr>
              <w:t xml:space="preserve"> </w:t>
            </w:r>
            <w:r>
              <w:rPr>
                <w:i/>
                <w:sz w:val="24"/>
              </w:rPr>
              <w:t>United</w:t>
            </w:r>
            <w:r>
              <w:rPr>
                <w:i/>
                <w:spacing w:val="-7"/>
                <w:sz w:val="24"/>
              </w:rPr>
              <w:t xml:space="preserve"> </w:t>
            </w:r>
            <w:r>
              <w:rPr>
                <w:i/>
                <w:sz w:val="24"/>
              </w:rPr>
              <w:t>States</w:t>
            </w:r>
            <w:r>
              <w:rPr>
                <w:i/>
                <w:spacing w:val="-6"/>
                <w:sz w:val="24"/>
              </w:rPr>
              <w:t xml:space="preserve"> </w:t>
            </w:r>
            <w:r>
              <w:rPr>
                <w:i/>
                <w:sz w:val="24"/>
              </w:rPr>
              <w:t>–</w:t>
            </w:r>
            <w:r>
              <w:rPr>
                <w:i/>
                <w:spacing w:val="-3"/>
                <w:sz w:val="24"/>
              </w:rPr>
              <w:t xml:space="preserve"> </w:t>
            </w:r>
            <w:r>
              <w:rPr>
                <w:i/>
                <w:sz w:val="24"/>
              </w:rPr>
              <w:t>Recourse to Article 21.5 of the DSU by the United States</w:t>
            </w:r>
            <w:r>
              <w:rPr>
                <w:sz w:val="24"/>
              </w:rPr>
              <w:t xml:space="preserve">, WT/DS427/RW and Add.1, adopted 28 February 2018, DSR </w:t>
            </w:r>
            <w:proofErr w:type="gramStart"/>
            <w:r>
              <w:rPr>
                <w:sz w:val="24"/>
              </w:rPr>
              <w:t>2018:II</w:t>
            </w:r>
            <w:proofErr w:type="gramEnd"/>
            <w:r>
              <w:rPr>
                <w:sz w:val="24"/>
              </w:rPr>
              <w:t>, p. 839</w:t>
            </w:r>
          </w:p>
        </w:tc>
      </w:tr>
      <w:tr w:rsidR="00BF2951" w:rsidRPr="00BF2951" w14:paraId="0E7AD8E3" w14:textId="77777777" w:rsidTr="00BF2951">
        <w:tc>
          <w:tcPr>
            <w:tcW w:w="2943" w:type="dxa"/>
          </w:tcPr>
          <w:p w14:paraId="248A3D6E" w14:textId="3E47FFD2" w:rsidR="00BF2951" w:rsidRDefault="00BF2951" w:rsidP="00BF2951">
            <w:pPr>
              <w:rPr>
                <w:i/>
                <w:sz w:val="24"/>
              </w:rPr>
            </w:pPr>
            <w:r>
              <w:rPr>
                <w:i/>
                <w:sz w:val="24"/>
              </w:rPr>
              <w:t>China</w:t>
            </w:r>
            <w:r>
              <w:rPr>
                <w:i/>
                <w:spacing w:val="-14"/>
                <w:sz w:val="24"/>
              </w:rPr>
              <w:t xml:space="preserve"> </w:t>
            </w:r>
            <w:r>
              <w:rPr>
                <w:i/>
                <w:sz w:val="24"/>
              </w:rPr>
              <w:t>-</w:t>
            </w:r>
            <w:r>
              <w:rPr>
                <w:i/>
                <w:spacing w:val="-14"/>
                <w:sz w:val="24"/>
              </w:rPr>
              <w:t xml:space="preserve"> </w:t>
            </w:r>
            <w:r>
              <w:rPr>
                <w:i/>
                <w:sz w:val="24"/>
              </w:rPr>
              <w:t xml:space="preserve">Cellulose </w:t>
            </w:r>
            <w:r>
              <w:rPr>
                <w:i/>
                <w:spacing w:val="-4"/>
                <w:sz w:val="24"/>
              </w:rPr>
              <w:t>Pulp</w:t>
            </w:r>
          </w:p>
        </w:tc>
        <w:tc>
          <w:tcPr>
            <w:tcW w:w="7403" w:type="dxa"/>
          </w:tcPr>
          <w:p w14:paraId="66636732" w14:textId="6B2DDE1F" w:rsidR="00BF2951" w:rsidRDefault="00BF2951" w:rsidP="00BF2951">
            <w:pPr>
              <w:rPr>
                <w:sz w:val="24"/>
              </w:rPr>
            </w:pPr>
            <w:r>
              <w:rPr>
                <w:sz w:val="24"/>
              </w:rPr>
              <w:t xml:space="preserve">Panel Report, </w:t>
            </w:r>
            <w:r>
              <w:rPr>
                <w:i/>
                <w:sz w:val="24"/>
              </w:rPr>
              <w:t>China – Anti-Dumping Measures on Imports of Cellulose</w:t>
            </w:r>
            <w:r>
              <w:rPr>
                <w:i/>
                <w:spacing w:val="-6"/>
                <w:sz w:val="24"/>
              </w:rPr>
              <w:t xml:space="preserve"> </w:t>
            </w:r>
            <w:r>
              <w:rPr>
                <w:i/>
                <w:sz w:val="24"/>
              </w:rPr>
              <w:t>Pulp</w:t>
            </w:r>
            <w:r>
              <w:rPr>
                <w:i/>
                <w:spacing w:val="-6"/>
                <w:sz w:val="24"/>
              </w:rPr>
              <w:t xml:space="preserve"> </w:t>
            </w:r>
            <w:r>
              <w:rPr>
                <w:i/>
                <w:sz w:val="24"/>
              </w:rPr>
              <w:t>from</w:t>
            </w:r>
            <w:r>
              <w:rPr>
                <w:i/>
                <w:spacing w:val="-5"/>
                <w:sz w:val="24"/>
              </w:rPr>
              <w:t xml:space="preserve"> </w:t>
            </w:r>
            <w:r>
              <w:rPr>
                <w:i/>
                <w:sz w:val="24"/>
              </w:rPr>
              <w:t>Canada</w:t>
            </w:r>
            <w:r>
              <w:rPr>
                <w:sz w:val="24"/>
              </w:rPr>
              <w:t>,</w:t>
            </w:r>
            <w:r>
              <w:rPr>
                <w:spacing w:val="-4"/>
                <w:sz w:val="24"/>
              </w:rPr>
              <w:t xml:space="preserve"> </w:t>
            </w:r>
            <w:r>
              <w:rPr>
                <w:sz w:val="24"/>
              </w:rPr>
              <w:t>WT/DS483/R</w:t>
            </w:r>
            <w:r>
              <w:rPr>
                <w:spacing w:val="-7"/>
                <w:sz w:val="24"/>
              </w:rPr>
              <w:t xml:space="preserve"> </w:t>
            </w:r>
            <w:r>
              <w:rPr>
                <w:sz w:val="24"/>
              </w:rPr>
              <w:t>and</w:t>
            </w:r>
            <w:r>
              <w:rPr>
                <w:spacing w:val="-7"/>
                <w:sz w:val="24"/>
              </w:rPr>
              <w:t xml:space="preserve"> </w:t>
            </w:r>
            <w:r>
              <w:rPr>
                <w:sz w:val="24"/>
              </w:rPr>
              <w:t>Add.1,</w:t>
            </w:r>
            <w:r>
              <w:rPr>
                <w:spacing w:val="-5"/>
                <w:sz w:val="24"/>
              </w:rPr>
              <w:t xml:space="preserve"> </w:t>
            </w:r>
            <w:r>
              <w:rPr>
                <w:sz w:val="24"/>
              </w:rPr>
              <w:t>adopted</w:t>
            </w:r>
            <w:r>
              <w:rPr>
                <w:spacing w:val="-7"/>
                <w:sz w:val="24"/>
              </w:rPr>
              <w:t xml:space="preserve"> </w:t>
            </w:r>
            <w:r>
              <w:rPr>
                <w:sz w:val="24"/>
              </w:rPr>
              <w:t xml:space="preserve">22 May 2017, DSR </w:t>
            </w:r>
            <w:proofErr w:type="gramStart"/>
            <w:r>
              <w:rPr>
                <w:sz w:val="24"/>
              </w:rPr>
              <w:t>2017:IV</w:t>
            </w:r>
            <w:proofErr w:type="gramEnd"/>
            <w:r>
              <w:rPr>
                <w:sz w:val="24"/>
              </w:rPr>
              <w:t>, p. 1961</w:t>
            </w:r>
          </w:p>
        </w:tc>
      </w:tr>
      <w:tr w:rsidR="00BF2951" w:rsidRPr="00BF2951" w14:paraId="0FCA4DD5" w14:textId="77777777" w:rsidTr="00BF2951">
        <w:tc>
          <w:tcPr>
            <w:tcW w:w="2943" w:type="dxa"/>
          </w:tcPr>
          <w:p w14:paraId="19DF2946" w14:textId="59AF4C5D" w:rsidR="00BF2951" w:rsidRDefault="00BF2951" w:rsidP="00BF2951">
            <w:pPr>
              <w:rPr>
                <w:i/>
                <w:sz w:val="24"/>
              </w:rPr>
            </w:pPr>
            <w:r>
              <w:rPr>
                <w:i/>
                <w:sz w:val="24"/>
              </w:rPr>
              <w:t>China</w:t>
            </w:r>
            <w:r>
              <w:rPr>
                <w:i/>
                <w:spacing w:val="-2"/>
                <w:sz w:val="24"/>
              </w:rPr>
              <w:t xml:space="preserve"> </w:t>
            </w:r>
            <w:r>
              <w:rPr>
                <w:i/>
                <w:sz w:val="24"/>
              </w:rPr>
              <w:t>–</w:t>
            </w:r>
            <w:r>
              <w:rPr>
                <w:i/>
                <w:spacing w:val="1"/>
                <w:sz w:val="24"/>
              </w:rPr>
              <w:t xml:space="preserve"> </w:t>
            </w:r>
            <w:r>
              <w:rPr>
                <w:i/>
                <w:spacing w:val="-4"/>
                <w:sz w:val="24"/>
              </w:rPr>
              <w:t>GOES</w:t>
            </w:r>
          </w:p>
        </w:tc>
        <w:tc>
          <w:tcPr>
            <w:tcW w:w="7403" w:type="dxa"/>
          </w:tcPr>
          <w:p w14:paraId="213F2DBC" w14:textId="3511646D" w:rsidR="00BF2951" w:rsidRDefault="00BF2951" w:rsidP="00BF2951">
            <w:pPr>
              <w:rPr>
                <w:sz w:val="24"/>
              </w:rPr>
            </w:pPr>
            <w:r>
              <w:rPr>
                <w:sz w:val="24"/>
              </w:rPr>
              <w:t>Appellate</w:t>
            </w:r>
            <w:r>
              <w:rPr>
                <w:spacing w:val="-6"/>
                <w:sz w:val="24"/>
              </w:rPr>
              <w:t xml:space="preserve"> </w:t>
            </w:r>
            <w:r>
              <w:rPr>
                <w:sz w:val="24"/>
              </w:rPr>
              <w:t>Body</w:t>
            </w:r>
            <w:r>
              <w:rPr>
                <w:spacing w:val="-5"/>
                <w:sz w:val="24"/>
              </w:rPr>
              <w:t xml:space="preserve"> </w:t>
            </w:r>
            <w:r>
              <w:rPr>
                <w:sz w:val="24"/>
              </w:rPr>
              <w:t>Report,</w:t>
            </w:r>
            <w:r>
              <w:rPr>
                <w:spacing w:val="-4"/>
                <w:sz w:val="24"/>
              </w:rPr>
              <w:t xml:space="preserve"> </w:t>
            </w:r>
            <w:r>
              <w:rPr>
                <w:i/>
                <w:sz w:val="24"/>
              </w:rPr>
              <w:t>China</w:t>
            </w:r>
            <w:r>
              <w:rPr>
                <w:i/>
                <w:spacing w:val="-5"/>
                <w:sz w:val="24"/>
              </w:rPr>
              <w:t xml:space="preserve"> </w:t>
            </w:r>
            <w:r>
              <w:rPr>
                <w:i/>
                <w:sz w:val="24"/>
              </w:rPr>
              <w:t>–</w:t>
            </w:r>
            <w:r>
              <w:rPr>
                <w:i/>
                <w:spacing w:val="-6"/>
                <w:sz w:val="24"/>
              </w:rPr>
              <w:t xml:space="preserve"> </w:t>
            </w:r>
            <w:r>
              <w:rPr>
                <w:i/>
                <w:sz w:val="24"/>
              </w:rPr>
              <w:t>Countervailing</w:t>
            </w:r>
            <w:r>
              <w:rPr>
                <w:i/>
                <w:spacing w:val="-6"/>
                <w:sz w:val="24"/>
              </w:rPr>
              <w:t xml:space="preserve"> </w:t>
            </w:r>
            <w:r>
              <w:rPr>
                <w:i/>
                <w:sz w:val="24"/>
              </w:rPr>
              <w:t>and</w:t>
            </w:r>
            <w:r>
              <w:rPr>
                <w:i/>
                <w:spacing w:val="-6"/>
                <w:sz w:val="24"/>
              </w:rPr>
              <w:t xml:space="preserve"> </w:t>
            </w:r>
            <w:r>
              <w:rPr>
                <w:i/>
                <w:sz w:val="24"/>
              </w:rPr>
              <w:t>Anti-Dumping Duties on Grain Oriented Flat-Rolled Electrical Steel from the United States</w:t>
            </w:r>
            <w:r>
              <w:rPr>
                <w:sz w:val="24"/>
              </w:rPr>
              <w:t xml:space="preserve">, WT/DS414/AB/R, adopted 16 November 2012, DSR </w:t>
            </w:r>
            <w:proofErr w:type="gramStart"/>
            <w:r>
              <w:rPr>
                <w:sz w:val="24"/>
              </w:rPr>
              <w:t>2012:XII</w:t>
            </w:r>
            <w:proofErr w:type="gramEnd"/>
            <w:r>
              <w:rPr>
                <w:sz w:val="24"/>
              </w:rPr>
              <w:t>, p. 6251</w:t>
            </w:r>
          </w:p>
        </w:tc>
      </w:tr>
      <w:tr w:rsidR="00BF2951" w:rsidRPr="00BF2951" w14:paraId="53711072" w14:textId="77777777" w:rsidTr="00BF2951">
        <w:tc>
          <w:tcPr>
            <w:tcW w:w="2943" w:type="dxa"/>
          </w:tcPr>
          <w:p w14:paraId="5F189142" w14:textId="77467EDD" w:rsidR="00BF2951" w:rsidRDefault="00BF2951" w:rsidP="00BF2951">
            <w:pPr>
              <w:rPr>
                <w:i/>
                <w:sz w:val="24"/>
              </w:rPr>
            </w:pPr>
            <w:r>
              <w:rPr>
                <w:i/>
                <w:sz w:val="24"/>
              </w:rPr>
              <w:t>China</w:t>
            </w:r>
            <w:r>
              <w:rPr>
                <w:i/>
                <w:spacing w:val="-11"/>
                <w:sz w:val="24"/>
              </w:rPr>
              <w:t xml:space="preserve"> </w:t>
            </w:r>
            <w:r>
              <w:rPr>
                <w:i/>
                <w:sz w:val="24"/>
              </w:rPr>
              <w:t>-</w:t>
            </w:r>
            <w:r>
              <w:rPr>
                <w:i/>
                <w:spacing w:val="-13"/>
                <w:sz w:val="24"/>
              </w:rPr>
              <w:t xml:space="preserve"> </w:t>
            </w:r>
            <w:r>
              <w:rPr>
                <w:i/>
                <w:sz w:val="24"/>
              </w:rPr>
              <w:t>GOES</w:t>
            </w:r>
            <w:r>
              <w:rPr>
                <w:i/>
                <w:spacing w:val="-10"/>
                <w:sz w:val="24"/>
              </w:rPr>
              <w:t xml:space="preserve"> </w:t>
            </w:r>
            <w:r>
              <w:rPr>
                <w:i/>
                <w:sz w:val="24"/>
              </w:rPr>
              <w:t>(Article 21.5 - US)</w:t>
            </w:r>
          </w:p>
        </w:tc>
        <w:tc>
          <w:tcPr>
            <w:tcW w:w="7403" w:type="dxa"/>
          </w:tcPr>
          <w:p w14:paraId="4C89899C" w14:textId="667DD93F" w:rsidR="00BF2951" w:rsidRDefault="00BF2951" w:rsidP="00BF2951">
            <w:pPr>
              <w:rPr>
                <w:sz w:val="24"/>
              </w:rPr>
            </w:pPr>
            <w:r>
              <w:rPr>
                <w:sz w:val="24"/>
              </w:rPr>
              <w:t>Panel</w:t>
            </w:r>
            <w:r>
              <w:rPr>
                <w:spacing w:val="-3"/>
                <w:sz w:val="24"/>
              </w:rPr>
              <w:t xml:space="preserve"> </w:t>
            </w:r>
            <w:r>
              <w:rPr>
                <w:sz w:val="24"/>
              </w:rPr>
              <w:t>Report,</w:t>
            </w:r>
            <w:r>
              <w:rPr>
                <w:spacing w:val="-3"/>
                <w:sz w:val="24"/>
              </w:rPr>
              <w:t xml:space="preserve"> </w:t>
            </w:r>
            <w:r>
              <w:rPr>
                <w:i/>
                <w:sz w:val="24"/>
              </w:rPr>
              <w:t>China</w:t>
            </w:r>
            <w:r>
              <w:rPr>
                <w:i/>
                <w:spacing w:val="-4"/>
                <w:sz w:val="24"/>
              </w:rPr>
              <w:t xml:space="preserve"> </w:t>
            </w:r>
            <w:r>
              <w:rPr>
                <w:i/>
                <w:sz w:val="24"/>
              </w:rPr>
              <w:t>–</w:t>
            </w:r>
            <w:r>
              <w:rPr>
                <w:i/>
                <w:spacing w:val="-5"/>
                <w:sz w:val="24"/>
              </w:rPr>
              <w:t xml:space="preserve"> </w:t>
            </w:r>
            <w:r>
              <w:rPr>
                <w:i/>
                <w:sz w:val="24"/>
              </w:rPr>
              <w:t>Countervailing</w:t>
            </w:r>
            <w:r>
              <w:rPr>
                <w:i/>
                <w:spacing w:val="-5"/>
                <w:sz w:val="24"/>
              </w:rPr>
              <w:t xml:space="preserve"> </w:t>
            </w:r>
            <w:r>
              <w:rPr>
                <w:i/>
                <w:sz w:val="24"/>
              </w:rPr>
              <w:t>and</w:t>
            </w:r>
            <w:r>
              <w:rPr>
                <w:i/>
                <w:spacing w:val="-5"/>
                <w:sz w:val="24"/>
              </w:rPr>
              <w:t xml:space="preserve"> </w:t>
            </w:r>
            <w:r>
              <w:rPr>
                <w:i/>
                <w:sz w:val="24"/>
              </w:rPr>
              <w:t>Anti-Dumping</w:t>
            </w:r>
            <w:r>
              <w:rPr>
                <w:i/>
                <w:spacing w:val="-5"/>
                <w:sz w:val="24"/>
              </w:rPr>
              <w:t xml:space="preserve"> </w:t>
            </w:r>
            <w:r>
              <w:rPr>
                <w:i/>
                <w:sz w:val="24"/>
              </w:rPr>
              <w:t>Duties</w:t>
            </w:r>
            <w:r>
              <w:rPr>
                <w:i/>
                <w:spacing w:val="-8"/>
                <w:sz w:val="24"/>
              </w:rPr>
              <w:t xml:space="preserve"> </w:t>
            </w:r>
            <w:r>
              <w:rPr>
                <w:i/>
                <w:sz w:val="24"/>
              </w:rPr>
              <w:t>on Grain Oriented Flat-Rolled Electrical Steel from the United States – Recourse to Article 21.5 of the DSU by the United States</w:t>
            </w:r>
            <w:r>
              <w:rPr>
                <w:sz w:val="24"/>
              </w:rPr>
              <w:t xml:space="preserve">, WT/DS414/RW and Add.1, adopted 31 August 2015, DSR </w:t>
            </w:r>
            <w:proofErr w:type="gramStart"/>
            <w:r>
              <w:rPr>
                <w:sz w:val="24"/>
              </w:rPr>
              <w:t>2015:VII</w:t>
            </w:r>
            <w:proofErr w:type="gramEnd"/>
            <w:r>
              <w:rPr>
                <w:sz w:val="24"/>
              </w:rPr>
              <w:t>, p. 3865</w:t>
            </w:r>
          </w:p>
        </w:tc>
      </w:tr>
      <w:tr w:rsidR="00BF2951" w:rsidRPr="00BF2951" w14:paraId="65585EFB" w14:textId="77777777" w:rsidTr="00BF2951">
        <w:tc>
          <w:tcPr>
            <w:tcW w:w="2943" w:type="dxa"/>
          </w:tcPr>
          <w:p w14:paraId="3390B909" w14:textId="0504348F" w:rsidR="00BF2951" w:rsidRDefault="00BF2951" w:rsidP="00BF2951">
            <w:pPr>
              <w:rPr>
                <w:i/>
                <w:sz w:val="24"/>
              </w:rPr>
            </w:pPr>
            <w:r>
              <w:rPr>
                <w:i/>
                <w:sz w:val="24"/>
              </w:rPr>
              <w:t>China - HP-SSST (Japan)</w:t>
            </w:r>
            <w:r>
              <w:rPr>
                <w:i/>
                <w:spacing w:val="-12"/>
                <w:sz w:val="24"/>
              </w:rPr>
              <w:t xml:space="preserve"> </w:t>
            </w:r>
            <w:r>
              <w:rPr>
                <w:i/>
                <w:sz w:val="24"/>
              </w:rPr>
              <w:t>/</w:t>
            </w:r>
            <w:r>
              <w:rPr>
                <w:i/>
                <w:spacing w:val="-13"/>
                <w:sz w:val="24"/>
              </w:rPr>
              <w:t xml:space="preserve"> </w:t>
            </w:r>
            <w:r>
              <w:rPr>
                <w:i/>
                <w:sz w:val="24"/>
              </w:rPr>
              <w:t>China</w:t>
            </w:r>
            <w:r>
              <w:rPr>
                <w:i/>
                <w:spacing w:val="-10"/>
                <w:sz w:val="24"/>
              </w:rPr>
              <w:t xml:space="preserve"> </w:t>
            </w:r>
            <w:r>
              <w:rPr>
                <w:i/>
                <w:sz w:val="24"/>
              </w:rPr>
              <w:t>– HP-SSST (EU)</w:t>
            </w:r>
          </w:p>
        </w:tc>
        <w:tc>
          <w:tcPr>
            <w:tcW w:w="7403" w:type="dxa"/>
          </w:tcPr>
          <w:p w14:paraId="52175D05" w14:textId="0D61104B" w:rsidR="00BF2951" w:rsidRDefault="00BF2951" w:rsidP="00BF2951">
            <w:pPr>
              <w:rPr>
                <w:sz w:val="24"/>
              </w:rPr>
            </w:pPr>
            <w:r>
              <w:rPr>
                <w:sz w:val="24"/>
              </w:rPr>
              <w:t xml:space="preserve">Panel Reports, </w:t>
            </w:r>
            <w:r>
              <w:rPr>
                <w:i/>
                <w:sz w:val="24"/>
              </w:rPr>
              <w:t>China – Measures Imposing Anti-Dumping Duties on High-Performance Stainless Steel Seamless Tubes ("HP-SSST") from</w:t>
            </w:r>
            <w:r>
              <w:rPr>
                <w:i/>
                <w:spacing w:val="-2"/>
                <w:sz w:val="24"/>
              </w:rPr>
              <w:t xml:space="preserve"> </w:t>
            </w:r>
            <w:r>
              <w:rPr>
                <w:i/>
                <w:sz w:val="24"/>
              </w:rPr>
              <w:t>Japan</w:t>
            </w:r>
            <w:r>
              <w:rPr>
                <w:i/>
                <w:spacing w:val="-3"/>
                <w:sz w:val="24"/>
              </w:rPr>
              <w:t xml:space="preserve"> </w:t>
            </w:r>
            <w:r>
              <w:rPr>
                <w:i/>
                <w:sz w:val="24"/>
              </w:rPr>
              <w:t>/</w:t>
            </w:r>
            <w:r>
              <w:rPr>
                <w:i/>
                <w:spacing w:val="-6"/>
                <w:sz w:val="24"/>
              </w:rPr>
              <w:t xml:space="preserve"> </w:t>
            </w:r>
            <w:r>
              <w:rPr>
                <w:i/>
                <w:sz w:val="24"/>
              </w:rPr>
              <w:t>China</w:t>
            </w:r>
            <w:r>
              <w:rPr>
                <w:i/>
                <w:spacing w:val="-3"/>
                <w:sz w:val="24"/>
              </w:rPr>
              <w:t xml:space="preserve"> </w:t>
            </w:r>
            <w:r>
              <w:rPr>
                <w:i/>
                <w:sz w:val="24"/>
              </w:rPr>
              <w:t>–</w:t>
            </w:r>
            <w:r>
              <w:rPr>
                <w:i/>
                <w:spacing w:val="-3"/>
                <w:sz w:val="24"/>
              </w:rPr>
              <w:t xml:space="preserve"> </w:t>
            </w:r>
            <w:r>
              <w:rPr>
                <w:i/>
                <w:sz w:val="24"/>
              </w:rPr>
              <w:t>Measures</w:t>
            </w:r>
            <w:r>
              <w:rPr>
                <w:i/>
                <w:spacing w:val="-6"/>
                <w:sz w:val="24"/>
              </w:rPr>
              <w:t xml:space="preserve"> </w:t>
            </w:r>
            <w:r>
              <w:rPr>
                <w:i/>
                <w:sz w:val="24"/>
              </w:rPr>
              <w:t>Imposing</w:t>
            </w:r>
            <w:r>
              <w:rPr>
                <w:i/>
                <w:spacing w:val="-3"/>
                <w:sz w:val="24"/>
              </w:rPr>
              <w:t xml:space="preserve"> </w:t>
            </w:r>
            <w:r>
              <w:rPr>
                <w:i/>
                <w:sz w:val="24"/>
              </w:rPr>
              <w:t>Anti-Dumping</w:t>
            </w:r>
            <w:r>
              <w:rPr>
                <w:i/>
                <w:spacing w:val="-3"/>
                <w:sz w:val="24"/>
              </w:rPr>
              <w:t xml:space="preserve"> </w:t>
            </w:r>
            <w:r>
              <w:rPr>
                <w:i/>
                <w:sz w:val="24"/>
              </w:rPr>
              <w:t>Duties</w:t>
            </w:r>
            <w:r>
              <w:rPr>
                <w:i/>
                <w:spacing w:val="-6"/>
                <w:sz w:val="24"/>
              </w:rPr>
              <w:t xml:space="preserve"> </w:t>
            </w:r>
            <w:r>
              <w:rPr>
                <w:i/>
                <w:sz w:val="24"/>
              </w:rPr>
              <w:t>on High-Performance Stainless Steel Seamless Tubes ("HP-SSST") from the European Union</w:t>
            </w:r>
            <w:r>
              <w:rPr>
                <w:sz w:val="24"/>
              </w:rPr>
              <w:t>, WT/DS454/R and Add.1 / WT/DS460/R, Add.1 and Corr.1, adopted 28 October 2015, as modified by Appellate Body Reports WT/DS454/AB/R / WT/DS460/AB/R, DSR 2015:IX, p. 4789</w:t>
            </w:r>
          </w:p>
        </w:tc>
      </w:tr>
      <w:tr w:rsidR="00BF2951" w:rsidRPr="00BF2951" w14:paraId="5F2BEC59" w14:textId="77777777" w:rsidTr="00BF2951">
        <w:tc>
          <w:tcPr>
            <w:tcW w:w="2943" w:type="dxa"/>
          </w:tcPr>
          <w:p w14:paraId="585FEC21" w14:textId="3316F65D" w:rsidR="00BF2951" w:rsidRDefault="00BF2951" w:rsidP="00BF2951">
            <w:pPr>
              <w:rPr>
                <w:i/>
                <w:sz w:val="24"/>
              </w:rPr>
            </w:pPr>
            <w:r>
              <w:rPr>
                <w:i/>
                <w:sz w:val="24"/>
              </w:rPr>
              <w:t>China – HP-SSST (Japan)</w:t>
            </w:r>
            <w:r>
              <w:rPr>
                <w:i/>
                <w:spacing w:val="-12"/>
                <w:sz w:val="24"/>
              </w:rPr>
              <w:t xml:space="preserve"> </w:t>
            </w:r>
            <w:r>
              <w:rPr>
                <w:i/>
                <w:sz w:val="24"/>
              </w:rPr>
              <w:t>/</w:t>
            </w:r>
            <w:r>
              <w:rPr>
                <w:i/>
                <w:spacing w:val="-13"/>
                <w:sz w:val="24"/>
              </w:rPr>
              <w:t xml:space="preserve"> </w:t>
            </w:r>
            <w:r>
              <w:rPr>
                <w:i/>
                <w:sz w:val="24"/>
              </w:rPr>
              <w:t>China</w:t>
            </w:r>
            <w:r>
              <w:rPr>
                <w:i/>
                <w:spacing w:val="-10"/>
                <w:sz w:val="24"/>
              </w:rPr>
              <w:t xml:space="preserve"> </w:t>
            </w:r>
            <w:r>
              <w:rPr>
                <w:i/>
                <w:sz w:val="24"/>
              </w:rPr>
              <w:t>– HP-SSST (EU)</w:t>
            </w:r>
          </w:p>
        </w:tc>
        <w:tc>
          <w:tcPr>
            <w:tcW w:w="7403" w:type="dxa"/>
          </w:tcPr>
          <w:p w14:paraId="72F29430" w14:textId="12F61412" w:rsidR="00BF2951" w:rsidRDefault="00BF2951" w:rsidP="00BF2951">
            <w:pPr>
              <w:rPr>
                <w:sz w:val="24"/>
              </w:rPr>
            </w:pPr>
            <w:r>
              <w:rPr>
                <w:sz w:val="24"/>
              </w:rPr>
              <w:t xml:space="preserve">Appellate Body Reports, </w:t>
            </w:r>
            <w:r>
              <w:rPr>
                <w:i/>
                <w:sz w:val="24"/>
              </w:rPr>
              <w:t>China – Measures Imposing Anti- Dumping Duties on High-Performance Stainless Steel Seamless Tubes</w:t>
            </w:r>
            <w:r>
              <w:rPr>
                <w:i/>
                <w:spacing w:val="-6"/>
                <w:sz w:val="24"/>
              </w:rPr>
              <w:t xml:space="preserve"> </w:t>
            </w:r>
            <w:r>
              <w:rPr>
                <w:i/>
                <w:sz w:val="24"/>
              </w:rPr>
              <w:t>("HP-SSST")</w:t>
            </w:r>
            <w:r>
              <w:rPr>
                <w:i/>
                <w:spacing w:val="-5"/>
                <w:sz w:val="24"/>
              </w:rPr>
              <w:t xml:space="preserve"> </w:t>
            </w:r>
            <w:r>
              <w:rPr>
                <w:i/>
                <w:sz w:val="24"/>
              </w:rPr>
              <w:t>from</w:t>
            </w:r>
            <w:r>
              <w:rPr>
                <w:i/>
                <w:spacing w:val="-2"/>
                <w:sz w:val="24"/>
              </w:rPr>
              <w:t xml:space="preserve"> </w:t>
            </w:r>
            <w:r>
              <w:rPr>
                <w:i/>
                <w:sz w:val="24"/>
              </w:rPr>
              <w:t>Japan</w:t>
            </w:r>
            <w:r>
              <w:rPr>
                <w:i/>
                <w:spacing w:val="-3"/>
                <w:sz w:val="24"/>
              </w:rPr>
              <w:t xml:space="preserve"> </w:t>
            </w:r>
            <w:r>
              <w:rPr>
                <w:i/>
                <w:sz w:val="24"/>
              </w:rPr>
              <w:t>/</w:t>
            </w:r>
            <w:r>
              <w:rPr>
                <w:i/>
                <w:spacing w:val="-6"/>
                <w:sz w:val="24"/>
              </w:rPr>
              <w:t xml:space="preserve"> </w:t>
            </w:r>
            <w:r>
              <w:rPr>
                <w:i/>
                <w:sz w:val="24"/>
              </w:rPr>
              <w:t>China</w:t>
            </w:r>
            <w:r>
              <w:rPr>
                <w:i/>
                <w:spacing w:val="-3"/>
                <w:sz w:val="24"/>
              </w:rPr>
              <w:t xml:space="preserve"> </w:t>
            </w:r>
            <w:r>
              <w:rPr>
                <w:i/>
                <w:sz w:val="24"/>
              </w:rPr>
              <w:t>–</w:t>
            </w:r>
            <w:r>
              <w:rPr>
                <w:i/>
                <w:spacing w:val="-3"/>
                <w:sz w:val="24"/>
              </w:rPr>
              <w:t xml:space="preserve"> </w:t>
            </w:r>
            <w:r>
              <w:rPr>
                <w:i/>
                <w:sz w:val="24"/>
              </w:rPr>
              <w:t>Measures</w:t>
            </w:r>
            <w:r>
              <w:rPr>
                <w:i/>
                <w:spacing w:val="-6"/>
                <w:sz w:val="24"/>
              </w:rPr>
              <w:t xml:space="preserve"> </w:t>
            </w:r>
            <w:r>
              <w:rPr>
                <w:i/>
                <w:sz w:val="24"/>
              </w:rPr>
              <w:t>Imposing</w:t>
            </w:r>
            <w:r>
              <w:rPr>
                <w:i/>
                <w:spacing w:val="-3"/>
                <w:sz w:val="24"/>
              </w:rPr>
              <w:t xml:space="preserve"> </w:t>
            </w:r>
            <w:r>
              <w:rPr>
                <w:i/>
                <w:sz w:val="24"/>
              </w:rPr>
              <w:t>Anti- Dumping Duties on High-Performance Stainless Steel Seamless Tubes ("HP-SSST") from the European Union</w:t>
            </w:r>
            <w:r>
              <w:rPr>
                <w:sz w:val="24"/>
              </w:rPr>
              <w:t xml:space="preserve">, WT/DS454/AB/R and Add.1 / WT/DS460/AB/R and Add.1, adopted 28 October 2015, DSR </w:t>
            </w:r>
            <w:proofErr w:type="gramStart"/>
            <w:r>
              <w:rPr>
                <w:sz w:val="24"/>
              </w:rPr>
              <w:t>2015:IX</w:t>
            </w:r>
            <w:proofErr w:type="gramEnd"/>
            <w:r>
              <w:rPr>
                <w:sz w:val="24"/>
              </w:rPr>
              <w:t>, p. 4573</w:t>
            </w:r>
          </w:p>
        </w:tc>
      </w:tr>
      <w:tr w:rsidR="00BF2951" w:rsidRPr="00BF2951" w14:paraId="6ED5ED8C" w14:textId="77777777" w:rsidTr="00BF2951">
        <w:tc>
          <w:tcPr>
            <w:tcW w:w="2943" w:type="dxa"/>
          </w:tcPr>
          <w:p w14:paraId="50033CCD" w14:textId="77DEFCE0" w:rsidR="00BF2951" w:rsidRDefault="00BF2951" w:rsidP="00BF2951">
            <w:pPr>
              <w:rPr>
                <w:i/>
                <w:sz w:val="24"/>
              </w:rPr>
            </w:pPr>
            <w:r>
              <w:rPr>
                <w:sz w:val="24"/>
              </w:rPr>
              <w:t>Panel</w:t>
            </w:r>
            <w:r>
              <w:rPr>
                <w:spacing w:val="-14"/>
                <w:sz w:val="24"/>
              </w:rPr>
              <w:t xml:space="preserve"> </w:t>
            </w:r>
            <w:r>
              <w:rPr>
                <w:sz w:val="24"/>
              </w:rPr>
              <w:t>Reports,</w:t>
            </w:r>
            <w:r>
              <w:rPr>
                <w:spacing w:val="-14"/>
                <w:sz w:val="24"/>
              </w:rPr>
              <w:t xml:space="preserve"> </w:t>
            </w:r>
            <w:r>
              <w:rPr>
                <w:i/>
                <w:sz w:val="24"/>
              </w:rPr>
              <w:t>China – Publications and Audiovisual</w:t>
            </w:r>
            <w:r>
              <w:rPr>
                <w:i/>
                <w:spacing w:val="-14"/>
                <w:sz w:val="24"/>
              </w:rPr>
              <w:t xml:space="preserve"> </w:t>
            </w:r>
            <w:r>
              <w:rPr>
                <w:i/>
                <w:sz w:val="24"/>
              </w:rPr>
              <w:t>Products</w:t>
            </w:r>
          </w:p>
        </w:tc>
        <w:tc>
          <w:tcPr>
            <w:tcW w:w="7403" w:type="dxa"/>
          </w:tcPr>
          <w:p w14:paraId="27407504" w14:textId="40981916" w:rsidR="00BF2951" w:rsidRDefault="00BF2951" w:rsidP="00BF2951">
            <w:pPr>
              <w:rPr>
                <w:sz w:val="24"/>
              </w:rPr>
            </w:pPr>
            <w:r>
              <w:rPr>
                <w:sz w:val="24"/>
              </w:rPr>
              <w:t xml:space="preserve">Panel Report, </w:t>
            </w:r>
            <w:r>
              <w:rPr>
                <w:i/>
                <w:sz w:val="24"/>
              </w:rPr>
              <w:t>China – Measures Affecting Trading Rights and Distribution Services for Certain Publications and Audiovisual Entertainment</w:t>
            </w:r>
            <w:r>
              <w:rPr>
                <w:i/>
                <w:spacing w:val="-7"/>
                <w:sz w:val="24"/>
              </w:rPr>
              <w:t xml:space="preserve"> </w:t>
            </w:r>
            <w:r>
              <w:rPr>
                <w:i/>
                <w:sz w:val="24"/>
              </w:rPr>
              <w:t>Products</w:t>
            </w:r>
            <w:r>
              <w:rPr>
                <w:sz w:val="24"/>
              </w:rPr>
              <w:t>,</w:t>
            </w:r>
            <w:r>
              <w:rPr>
                <w:spacing w:val="-5"/>
                <w:sz w:val="24"/>
              </w:rPr>
              <w:t xml:space="preserve"> </w:t>
            </w:r>
            <w:r>
              <w:rPr>
                <w:sz w:val="24"/>
              </w:rPr>
              <w:t>WT/DS363/R</w:t>
            </w:r>
            <w:r>
              <w:rPr>
                <w:spacing w:val="-9"/>
                <w:sz w:val="24"/>
              </w:rPr>
              <w:t xml:space="preserve"> </w:t>
            </w:r>
            <w:r>
              <w:rPr>
                <w:sz w:val="24"/>
              </w:rPr>
              <w:t>and</w:t>
            </w:r>
            <w:r>
              <w:rPr>
                <w:spacing w:val="-9"/>
                <w:sz w:val="24"/>
              </w:rPr>
              <w:t xml:space="preserve"> </w:t>
            </w:r>
            <w:r>
              <w:rPr>
                <w:sz w:val="24"/>
              </w:rPr>
              <w:t>Corr.1,</w:t>
            </w:r>
            <w:r>
              <w:rPr>
                <w:spacing w:val="-6"/>
                <w:sz w:val="24"/>
              </w:rPr>
              <w:t xml:space="preserve"> </w:t>
            </w:r>
            <w:r>
              <w:rPr>
                <w:sz w:val="24"/>
              </w:rPr>
              <w:t>adopted</w:t>
            </w:r>
            <w:r>
              <w:rPr>
                <w:spacing w:val="-9"/>
                <w:sz w:val="24"/>
              </w:rPr>
              <w:t xml:space="preserve"> </w:t>
            </w:r>
            <w:r>
              <w:rPr>
                <w:sz w:val="24"/>
              </w:rPr>
              <w:t xml:space="preserve">19 January 2010, as modified by Appellate Body Report WT/DS363/AB/R, DSR </w:t>
            </w:r>
            <w:proofErr w:type="gramStart"/>
            <w:r>
              <w:rPr>
                <w:sz w:val="24"/>
              </w:rPr>
              <w:t>2010:II</w:t>
            </w:r>
            <w:proofErr w:type="gramEnd"/>
            <w:r>
              <w:rPr>
                <w:sz w:val="24"/>
              </w:rPr>
              <w:t>, p. 261</w:t>
            </w:r>
          </w:p>
        </w:tc>
      </w:tr>
      <w:tr w:rsidR="00BF2951" w:rsidRPr="00BF2951" w14:paraId="5C3266D1" w14:textId="77777777" w:rsidTr="00BF2951">
        <w:tc>
          <w:tcPr>
            <w:tcW w:w="2943" w:type="dxa"/>
          </w:tcPr>
          <w:p w14:paraId="2006FE8F" w14:textId="26072734" w:rsidR="00BF2951" w:rsidRDefault="00BF2951" w:rsidP="00BF2951">
            <w:pPr>
              <w:rPr>
                <w:i/>
                <w:sz w:val="24"/>
              </w:rPr>
            </w:pPr>
            <w:r>
              <w:rPr>
                <w:i/>
                <w:sz w:val="24"/>
              </w:rPr>
              <w:t>China</w:t>
            </w:r>
            <w:r>
              <w:rPr>
                <w:i/>
                <w:spacing w:val="-1"/>
                <w:sz w:val="24"/>
              </w:rPr>
              <w:t xml:space="preserve"> </w:t>
            </w:r>
            <w:r>
              <w:rPr>
                <w:i/>
                <w:sz w:val="24"/>
              </w:rPr>
              <w:t xml:space="preserve">– Rare </w:t>
            </w:r>
            <w:r>
              <w:rPr>
                <w:i/>
                <w:spacing w:val="-2"/>
                <w:sz w:val="24"/>
              </w:rPr>
              <w:t>Earths</w:t>
            </w:r>
          </w:p>
        </w:tc>
        <w:tc>
          <w:tcPr>
            <w:tcW w:w="7403" w:type="dxa"/>
          </w:tcPr>
          <w:p w14:paraId="4760809A" w14:textId="7B77B0EE" w:rsidR="00BF2951" w:rsidRDefault="00BF2951" w:rsidP="00BF2951">
            <w:pPr>
              <w:rPr>
                <w:sz w:val="24"/>
              </w:rPr>
            </w:pPr>
            <w:r>
              <w:rPr>
                <w:sz w:val="24"/>
              </w:rPr>
              <w:t xml:space="preserve">Appellate Body Reports, </w:t>
            </w:r>
            <w:r>
              <w:rPr>
                <w:i/>
                <w:sz w:val="24"/>
              </w:rPr>
              <w:t>China – Measures Related to the Exportation of Rare Earths, Tungsten, and Molybdenum</w:t>
            </w:r>
            <w:r>
              <w:rPr>
                <w:sz w:val="24"/>
              </w:rPr>
              <w:t>, WT/DS431/AB/R</w:t>
            </w:r>
            <w:r>
              <w:rPr>
                <w:spacing w:val="-11"/>
                <w:sz w:val="24"/>
              </w:rPr>
              <w:t xml:space="preserve"> </w:t>
            </w:r>
            <w:r>
              <w:rPr>
                <w:sz w:val="24"/>
              </w:rPr>
              <w:t>/</w:t>
            </w:r>
            <w:r>
              <w:rPr>
                <w:spacing w:val="-7"/>
                <w:sz w:val="24"/>
              </w:rPr>
              <w:t xml:space="preserve"> </w:t>
            </w:r>
            <w:r>
              <w:rPr>
                <w:sz w:val="24"/>
              </w:rPr>
              <w:t>WT/DS432/AB/R</w:t>
            </w:r>
            <w:r>
              <w:rPr>
                <w:spacing w:val="-6"/>
                <w:sz w:val="24"/>
              </w:rPr>
              <w:t xml:space="preserve"> </w:t>
            </w:r>
            <w:r>
              <w:rPr>
                <w:sz w:val="24"/>
              </w:rPr>
              <w:t>/</w:t>
            </w:r>
            <w:r>
              <w:rPr>
                <w:spacing w:val="-11"/>
                <w:sz w:val="24"/>
              </w:rPr>
              <w:t xml:space="preserve"> </w:t>
            </w:r>
            <w:r>
              <w:rPr>
                <w:sz w:val="24"/>
              </w:rPr>
              <w:t>WT/DS433/AB/R,</w:t>
            </w:r>
            <w:r>
              <w:rPr>
                <w:spacing w:val="-7"/>
                <w:sz w:val="24"/>
              </w:rPr>
              <w:t xml:space="preserve"> </w:t>
            </w:r>
            <w:r>
              <w:rPr>
                <w:sz w:val="24"/>
              </w:rPr>
              <w:t xml:space="preserve">adopted 29 August 2014, DSR </w:t>
            </w:r>
            <w:proofErr w:type="gramStart"/>
            <w:r>
              <w:rPr>
                <w:sz w:val="24"/>
              </w:rPr>
              <w:t>2014:III</w:t>
            </w:r>
            <w:proofErr w:type="gramEnd"/>
            <w:r>
              <w:rPr>
                <w:sz w:val="24"/>
              </w:rPr>
              <w:t>, p. 805</w:t>
            </w:r>
          </w:p>
        </w:tc>
      </w:tr>
      <w:tr w:rsidR="00BF2951" w:rsidRPr="00BF2951" w14:paraId="3EE045AB" w14:textId="77777777" w:rsidTr="00BF2951">
        <w:tc>
          <w:tcPr>
            <w:tcW w:w="2943" w:type="dxa"/>
          </w:tcPr>
          <w:p w14:paraId="149F35B9" w14:textId="39CB9FC2" w:rsidR="00BF2951" w:rsidRDefault="00BF2951" w:rsidP="00BF2951">
            <w:pPr>
              <w:rPr>
                <w:i/>
                <w:sz w:val="24"/>
              </w:rPr>
            </w:pPr>
            <w:r>
              <w:rPr>
                <w:sz w:val="24"/>
              </w:rPr>
              <w:t>China</w:t>
            </w:r>
            <w:r>
              <w:rPr>
                <w:spacing w:val="-14"/>
                <w:sz w:val="24"/>
              </w:rPr>
              <w:t xml:space="preserve"> </w:t>
            </w:r>
            <w:r>
              <w:rPr>
                <w:sz w:val="24"/>
              </w:rPr>
              <w:t>–</w:t>
            </w:r>
            <w:r>
              <w:rPr>
                <w:spacing w:val="-14"/>
                <w:sz w:val="24"/>
              </w:rPr>
              <w:t xml:space="preserve"> </w:t>
            </w:r>
            <w:r>
              <w:rPr>
                <w:sz w:val="24"/>
              </w:rPr>
              <w:t xml:space="preserve">Raw </w:t>
            </w:r>
            <w:r>
              <w:rPr>
                <w:spacing w:val="-2"/>
                <w:sz w:val="24"/>
              </w:rPr>
              <w:t>Materials</w:t>
            </w:r>
          </w:p>
        </w:tc>
        <w:tc>
          <w:tcPr>
            <w:tcW w:w="7403" w:type="dxa"/>
          </w:tcPr>
          <w:p w14:paraId="3ADCACDC" w14:textId="53BCB4B6" w:rsidR="00BF2951" w:rsidRDefault="00BF2951" w:rsidP="00BF2951">
            <w:pPr>
              <w:rPr>
                <w:sz w:val="24"/>
              </w:rPr>
            </w:pPr>
            <w:r>
              <w:rPr>
                <w:sz w:val="24"/>
              </w:rPr>
              <w:t xml:space="preserve">Appellate Body Reports, </w:t>
            </w:r>
            <w:r>
              <w:rPr>
                <w:i/>
                <w:sz w:val="24"/>
              </w:rPr>
              <w:t>China – Measures Related to the Exportation of Various Raw Materials</w:t>
            </w:r>
            <w:r>
              <w:rPr>
                <w:sz w:val="24"/>
              </w:rPr>
              <w:t>, WT/DS394/AB/R / WT/DS395/AB/R</w:t>
            </w:r>
            <w:r>
              <w:rPr>
                <w:spacing w:val="-11"/>
                <w:sz w:val="24"/>
              </w:rPr>
              <w:t xml:space="preserve"> </w:t>
            </w:r>
            <w:r>
              <w:rPr>
                <w:sz w:val="24"/>
              </w:rPr>
              <w:t>/</w:t>
            </w:r>
            <w:r>
              <w:rPr>
                <w:spacing w:val="-7"/>
                <w:sz w:val="24"/>
              </w:rPr>
              <w:t xml:space="preserve"> </w:t>
            </w:r>
            <w:r>
              <w:rPr>
                <w:sz w:val="24"/>
              </w:rPr>
              <w:t>WT/DS398/AB/R,</w:t>
            </w:r>
            <w:r>
              <w:rPr>
                <w:spacing w:val="-7"/>
                <w:sz w:val="24"/>
              </w:rPr>
              <w:t xml:space="preserve"> </w:t>
            </w:r>
            <w:r>
              <w:rPr>
                <w:sz w:val="24"/>
              </w:rPr>
              <w:t>adopted</w:t>
            </w:r>
            <w:r>
              <w:rPr>
                <w:spacing w:val="-6"/>
                <w:sz w:val="24"/>
              </w:rPr>
              <w:t xml:space="preserve"> </w:t>
            </w:r>
            <w:r>
              <w:rPr>
                <w:sz w:val="24"/>
              </w:rPr>
              <w:t>22</w:t>
            </w:r>
            <w:r>
              <w:rPr>
                <w:spacing w:val="-11"/>
                <w:sz w:val="24"/>
              </w:rPr>
              <w:t xml:space="preserve"> </w:t>
            </w:r>
            <w:r>
              <w:rPr>
                <w:sz w:val="24"/>
              </w:rPr>
              <w:t>February</w:t>
            </w:r>
            <w:r>
              <w:rPr>
                <w:spacing w:val="-8"/>
                <w:sz w:val="24"/>
              </w:rPr>
              <w:t xml:space="preserve"> </w:t>
            </w:r>
            <w:r>
              <w:rPr>
                <w:sz w:val="24"/>
              </w:rPr>
              <w:t xml:space="preserve">2012, DSR </w:t>
            </w:r>
            <w:proofErr w:type="gramStart"/>
            <w:r>
              <w:rPr>
                <w:sz w:val="24"/>
              </w:rPr>
              <w:t>2012:VII</w:t>
            </w:r>
            <w:proofErr w:type="gramEnd"/>
            <w:r>
              <w:rPr>
                <w:sz w:val="24"/>
              </w:rPr>
              <w:t>, p. 3295</w:t>
            </w:r>
          </w:p>
        </w:tc>
      </w:tr>
      <w:tr w:rsidR="00BF2951" w:rsidRPr="00BF2951" w14:paraId="24D64283" w14:textId="77777777" w:rsidTr="00BF2951">
        <w:tc>
          <w:tcPr>
            <w:tcW w:w="2943" w:type="dxa"/>
          </w:tcPr>
          <w:p w14:paraId="3CDD917B" w14:textId="096D7ECA" w:rsidR="00BF2951" w:rsidRDefault="00BF2951" w:rsidP="00BF2951">
            <w:pPr>
              <w:rPr>
                <w:i/>
                <w:sz w:val="24"/>
              </w:rPr>
            </w:pPr>
            <w:r>
              <w:rPr>
                <w:i/>
                <w:sz w:val="24"/>
              </w:rPr>
              <w:t>China</w:t>
            </w:r>
            <w:r>
              <w:rPr>
                <w:i/>
                <w:spacing w:val="-14"/>
                <w:sz w:val="24"/>
              </w:rPr>
              <w:t xml:space="preserve"> </w:t>
            </w:r>
            <w:r>
              <w:rPr>
                <w:i/>
                <w:sz w:val="24"/>
              </w:rPr>
              <w:t>–</w:t>
            </w:r>
            <w:r>
              <w:rPr>
                <w:i/>
                <w:spacing w:val="-14"/>
                <w:sz w:val="24"/>
              </w:rPr>
              <w:t xml:space="preserve"> </w:t>
            </w:r>
            <w:r>
              <w:rPr>
                <w:i/>
                <w:sz w:val="24"/>
              </w:rPr>
              <w:t xml:space="preserve">X-Ray </w:t>
            </w:r>
            <w:r>
              <w:rPr>
                <w:i/>
                <w:spacing w:val="-2"/>
                <w:sz w:val="24"/>
              </w:rPr>
              <w:t>Equipment</w:t>
            </w:r>
          </w:p>
        </w:tc>
        <w:tc>
          <w:tcPr>
            <w:tcW w:w="7403" w:type="dxa"/>
          </w:tcPr>
          <w:p w14:paraId="1B22E5CA" w14:textId="48A5C899" w:rsidR="00BF2951" w:rsidRDefault="00BF2951" w:rsidP="00BF2951">
            <w:pPr>
              <w:rPr>
                <w:sz w:val="24"/>
              </w:rPr>
            </w:pPr>
            <w:r>
              <w:rPr>
                <w:sz w:val="24"/>
              </w:rPr>
              <w:t xml:space="preserve">Panel Report, </w:t>
            </w:r>
            <w:r>
              <w:rPr>
                <w:i/>
                <w:sz w:val="24"/>
              </w:rPr>
              <w:t>China – Definitive Anti-Dumping Duties on X-Ray Security Inspection Equipment from the European Union</w:t>
            </w:r>
            <w:r>
              <w:rPr>
                <w:sz w:val="24"/>
              </w:rPr>
              <w:t>, WT/DS425/R</w:t>
            </w:r>
            <w:r>
              <w:rPr>
                <w:spacing w:val="-3"/>
                <w:sz w:val="24"/>
              </w:rPr>
              <w:t xml:space="preserve"> </w:t>
            </w:r>
            <w:r>
              <w:rPr>
                <w:sz w:val="24"/>
              </w:rPr>
              <w:t>and</w:t>
            </w:r>
            <w:r>
              <w:rPr>
                <w:spacing w:val="-8"/>
                <w:sz w:val="24"/>
              </w:rPr>
              <w:t xml:space="preserve"> </w:t>
            </w:r>
            <w:r>
              <w:rPr>
                <w:sz w:val="24"/>
              </w:rPr>
              <w:t>Add.1,</w:t>
            </w:r>
            <w:r>
              <w:rPr>
                <w:spacing w:val="-5"/>
                <w:sz w:val="24"/>
              </w:rPr>
              <w:t xml:space="preserve"> </w:t>
            </w:r>
            <w:r>
              <w:rPr>
                <w:sz w:val="24"/>
              </w:rPr>
              <w:t>adopted</w:t>
            </w:r>
            <w:r>
              <w:rPr>
                <w:spacing w:val="-3"/>
                <w:sz w:val="24"/>
              </w:rPr>
              <w:t xml:space="preserve"> </w:t>
            </w:r>
            <w:r>
              <w:rPr>
                <w:sz w:val="24"/>
              </w:rPr>
              <w:t>24</w:t>
            </w:r>
            <w:r>
              <w:rPr>
                <w:spacing w:val="-4"/>
                <w:sz w:val="24"/>
              </w:rPr>
              <w:t xml:space="preserve"> </w:t>
            </w:r>
            <w:r>
              <w:rPr>
                <w:sz w:val="24"/>
              </w:rPr>
              <w:t>April</w:t>
            </w:r>
            <w:r>
              <w:rPr>
                <w:spacing w:val="-4"/>
                <w:sz w:val="24"/>
              </w:rPr>
              <w:t xml:space="preserve"> </w:t>
            </w:r>
            <w:r>
              <w:rPr>
                <w:sz w:val="24"/>
              </w:rPr>
              <w:t>2013,</w:t>
            </w:r>
            <w:r>
              <w:rPr>
                <w:spacing w:val="-5"/>
                <w:sz w:val="24"/>
              </w:rPr>
              <w:t xml:space="preserve"> </w:t>
            </w:r>
            <w:r>
              <w:rPr>
                <w:sz w:val="24"/>
              </w:rPr>
              <w:t>DSR</w:t>
            </w:r>
            <w:r>
              <w:rPr>
                <w:spacing w:val="-8"/>
                <w:sz w:val="24"/>
              </w:rPr>
              <w:t xml:space="preserve"> </w:t>
            </w:r>
            <w:proofErr w:type="gramStart"/>
            <w:r>
              <w:rPr>
                <w:sz w:val="24"/>
              </w:rPr>
              <w:t>2013:III</w:t>
            </w:r>
            <w:proofErr w:type="gramEnd"/>
            <w:r>
              <w:rPr>
                <w:sz w:val="24"/>
              </w:rPr>
              <w:t>,</w:t>
            </w:r>
            <w:r>
              <w:rPr>
                <w:spacing w:val="-5"/>
                <w:sz w:val="24"/>
              </w:rPr>
              <w:t xml:space="preserve"> </w:t>
            </w:r>
            <w:r>
              <w:rPr>
                <w:sz w:val="24"/>
              </w:rPr>
              <w:t xml:space="preserve">p. </w:t>
            </w:r>
            <w:r>
              <w:rPr>
                <w:spacing w:val="-4"/>
                <w:sz w:val="24"/>
              </w:rPr>
              <w:t>659</w:t>
            </w:r>
          </w:p>
        </w:tc>
      </w:tr>
      <w:tr w:rsidR="00BF2951" w:rsidRPr="00BF2951" w14:paraId="6C76FF9B" w14:textId="77777777" w:rsidTr="00BF2951">
        <w:tc>
          <w:tcPr>
            <w:tcW w:w="2943" w:type="dxa"/>
          </w:tcPr>
          <w:p w14:paraId="4AC2640C" w14:textId="1B0D7EC9" w:rsidR="00BF2951" w:rsidRDefault="00BF2951" w:rsidP="00BF2951">
            <w:pPr>
              <w:rPr>
                <w:i/>
                <w:sz w:val="24"/>
              </w:rPr>
            </w:pPr>
            <w:r>
              <w:rPr>
                <w:i/>
                <w:sz w:val="24"/>
              </w:rPr>
              <w:t>EC</w:t>
            </w:r>
            <w:r>
              <w:rPr>
                <w:i/>
                <w:spacing w:val="-3"/>
                <w:sz w:val="24"/>
              </w:rPr>
              <w:t xml:space="preserve"> </w:t>
            </w:r>
            <w:r>
              <w:rPr>
                <w:i/>
                <w:sz w:val="24"/>
              </w:rPr>
              <w:t>– Bananas</w:t>
            </w:r>
            <w:r>
              <w:rPr>
                <w:i/>
                <w:spacing w:val="-3"/>
                <w:sz w:val="24"/>
              </w:rPr>
              <w:t xml:space="preserve"> </w:t>
            </w:r>
            <w:r>
              <w:rPr>
                <w:i/>
                <w:spacing w:val="-5"/>
                <w:sz w:val="24"/>
              </w:rPr>
              <w:t>III</w:t>
            </w:r>
          </w:p>
        </w:tc>
        <w:tc>
          <w:tcPr>
            <w:tcW w:w="7403" w:type="dxa"/>
          </w:tcPr>
          <w:p w14:paraId="1E84ECA4" w14:textId="6FC59964" w:rsidR="00BF2951" w:rsidRDefault="00BF2951" w:rsidP="00BF2951">
            <w:pPr>
              <w:rPr>
                <w:sz w:val="24"/>
              </w:rPr>
            </w:pPr>
            <w:r>
              <w:rPr>
                <w:sz w:val="24"/>
              </w:rPr>
              <w:t>Appellate</w:t>
            </w:r>
            <w:r>
              <w:rPr>
                <w:spacing w:val="-4"/>
                <w:sz w:val="24"/>
              </w:rPr>
              <w:t xml:space="preserve"> </w:t>
            </w:r>
            <w:r>
              <w:rPr>
                <w:sz w:val="24"/>
              </w:rPr>
              <w:t>Body</w:t>
            </w:r>
            <w:r>
              <w:rPr>
                <w:spacing w:val="-3"/>
                <w:sz w:val="24"/>
              </w:rPr>
              <w:t xml:space="preserve"> </w:t>
            </w:r>
            <w:r>
              <w:rPr>
                <w:sz w:val="24"/>
              </w:rPr>
              <w:t>Report,</w:t>
            </w:r>
            <w:r>
              <w:rPr>
                <w:spacing w:val="-2"/>
                <w:sz w:val="24"/>
              </w:rPr>
              <w:t xml:space="preserve"> </w:t>
            </w:r>
            <w:r>
              <w:rPr>
                <w:i/>
                <w:sz w:val="24"/>
              </w:rPr>
              <w:t>European</w:t>
            </w:r>
            <w:r>
              <w:rPr>
                <w:i/>
                <w:spacing w:val="-4"/>
                <w:sz w:val="24"/>
              </w:rPr>
              <w:t xml:space="preserve"> </w:t>
            </w:r>
            <w:r>
              <w:rPr>
                <w:i/>
                <w:sz w:val="24"/>
              </w:rPr>
              <w:t>Communities</w:t>
            </w:r>
            <w:r>
              <w:rPr>
                <w:i/>
                <w:spacing w:val="-7"/>
                <w:sz w:val="24"/>
              </w:rPr>
              <w:t xml:space="preserve"> </w:t>
            </w:r>
            <w:r>
              <w:rPr>
                <w:i/>
                <w:sz w:val="24"/>
              </w:rPr>
              <w:t>–</w:t>
            </w:r>
            <w:r>
              <w:rPr>
                <w:i/>
                <w:spacing w:val="-9"/>
                <w:sz w:val="24"/>
              </w:rPr>
              <w:t xml:space="preserve"> </w:t>
            </w:r>
            <w:r>
              <w:rPr>
                <w:i/>
                <w:sz w:val="24"/>
              </w:rPr>
              <w:t>Regime</w:t>
            </w:r>
            <w:r>
              <w:rPr>
                <w:i/>
                <w:spacing w:val="-4"/>
                <w:sz w:val="24"/>
              </w:rPr>
              <w:t xml:space="preserve"> </w:t>
            </w:r>
            <w:r>
              <w:rPr>
                <w:i/>
                <w:sz w:val="24"/>
              </w:rPr>
              <w:t>for</w:t>
            </w:r>
            <w:r>
              <w:rPr>
                <w:i/>
                <w:spacing w:val="-6"/>
                <w:sz w:val="24"/>
              </w:rPr>
              <w:t xml:space="preserve"> </w:t>
            </w:r>
            <w:r>
              <w:rPr>
                <w:i/>
                <w:sz w:val="24"/>
              </w:rPr>
              <w:t>the Importation, Sale and Distribution of Bananas</w:t>
            </w:r>
            <w:r>
              <w:rPr>
                <w:sz w:val="24"/>
              </w:rPr>
              <w:t xml:space="preserve">, WT/DS27/AB/R, </w:t>
            </w:r>
            <w:r>
              <w:rPr>
                <w:sz w:val="24"/>
              </w:rPr>
              <w:lastRenderedPageBreak/>
              <w:t xml:space="preserve">adopted 25 September 1997, DSR </w:t>
            </w:r>
            <w:proofErr w:type="gramStart"/>
            <w:r>
              <w:rPr>
                <w:sz w:val="24"/>
              </w:rPr>
              <w:t>1997:II</w:t>
            </w:r>
            <w:proofErr w:type="gramEnd"/>
            <w:r>
              <w:rPr>
                <w:sz w:val="24"/>
              </w:rPr>
              <w:t>, p. 591</w:t>
            </w:r>
          </w:p>
        </w:tc>
      </w:tr>
      <w:tr w:rsidR="00BF2951" w:rsidRPr="00BF2951" w14:paraId="03B6D18D" w14:textId="77777777" w:rsidTr="00BF2951">
        <w:tc>
          <w:tcPr>
            <w:tcW w:w="2943" w:type="dxa"/>
          </w:tcPr>
          <w:p w14:paraId="2C38C7B5" w14:textId="0A9A9043" w:rsidR="00BF2951" w:rsidRDefault="00BF2951" w:rsidP="00BF2951">
            <w:pPr>
              <w:rPr>
                <w:i/>
                <w:sz w:val="24"/>
              </w:rPr>
            </w:pPr>
            <w:r>
              <w:rPr>
                <w:i/>
                <w:sz w:val="24"/>
              </w:rPr>
              <w:lastRenderedPageBreak/>
              <w:t>EC</w:t>
            </w:r>
            <w:r>
              <w:rPr>
                <w:i/>
                <w:spacing w:val="-4"/>
                <w:sz w:val="24"/>
              </w:rPr>
              <w:t xml:space="preserve"> </w:t>
            </w:r>
            <w:r>
              <w:rPr>
                <w:i/>
                <w:sz w:val="24"/>
              </w:rPr>
              <w:t>–</w:t>
            </w:r>
            <w:r>
              <w:rPr>
                <w:i/>
                <w:spacing w:val="-2"/>
                <w:sz w:val="24"/>
              </w:rPr>
              <w:t xml:space="preserve"> </w:t>
            </w:r>
            <w:r>
              <w:rPr>
                <w:i/>
                <w:sz w:val="24"/>
              </w:rPr>
              <w:t>Bed</w:t>
            </w:r>
            <w:r>
              <w:rPr>
                <w:i/>
                <w:spacing w:val="-2"/>
                <w:sz w:val="24"/>
              </w:rPr>
              <w:t xml:space="preserve"> Linen</w:t>
            </w:r>
          </w:p>
        </w:tc>
        <w:tc>
          <w:tcPr>
            <w:tcW w:w="7403" w:type="dxa"/>
          </w:tcPr>
          <w:p w14:paraId="195241E6" w14:textId="669D026D" w:rsidR="00BF2951" w:rsidRDefault="00BF2951" w:rsidP="00BF2951">
            <w:pPr>
              <w:rPr>
                <w:sz w:val="24"/>
              </w:rPr>
            </w:pPr>
            <w:r>
              <w:rPr>
                <w:sz w:val="24"/>
              </w:rPr>
              <w:t>Appellate</w:t>
            </w:r>
            <w:r>
              <w:rPr>
                <w:spacing w:val="-4"/>
                <w:sz w:val="24"/>
              </w:rPr>
              <w:t xml:space="preserve"> </w:t>
            </w:r>
            <w:r>
              <w:rPr>
                <w:sz w:val="24"/>
              </w:rPr>
              <w:t>Body</w:t>
            </w:r>
            <w:r>
              <w:rPr>
                <w:spacing w:val="-3"/>
                <w:sz w:val="24"/>
              </w:rPr>
              <w:t xml:space="preserve"> </w:t>
            </w:r>
            <w:r>
              <w:rPr>
                <w:sz w:val="24"/>
              </w:rPr>
              <w:t>Report,</w:t>
            </w:r>
            <w:r>
              <w:rPr>
                <w:spacing w:val="-2"/>
                <w:sz w:val="24"/>
              </w:rPr>
              <w:t xml:space="preserve"> </w:t>
            </w:r>
            <w:r>
              <w:rPr>
                <w:i/>
                <w:sz w:val="24"/>
              </w:rPr>
              <w:t>European</w:t>
            </w:r>
            <w:r>
              <w:rPr>
                <w:i/>
                <w:spacing w:val="-4"/>
                <w:sz w:val="24"/>
              </w:rPr>
              <w:t xml:space="preserve"> </w:t>
            </w:r>
            <w:r>
              <w:rPr>
                <w:i/>
                <w:sz w:val="24"/>
              </w:rPr>
              <w:t>Communities</w:t>
            </w:r>
            <w:r>
              <w:rPr>
                <w:i/>
                <w:spacing w:val="-7"/>
                <w:sz w:val="24"/>
              </w:rPr>
              <w:t xml:space="preserve"> </w:t>
            </w:r>
            <w:r>
              <w:rPr>
                <w:i/>
                <w:sz w:val="24"/>
              </w:rPr>
              <w:t>–</w:t>
            </w:r>
            <w:r>
              <w:rPr>
                <w:i/>
                <w:spacing w:val="-9"/>
                <w:sz w:val="24"/>
              </w:rPr>
              <w:t xml:space="preserve"> </w:t>
            </w:r>
            <w:r>
              <w:rPr>
                <w:i/>
                <w:sz w:val="24"/>
              </w:rPr>
              <w:t>Anti-Dumping Duties on Imports of Cotton-Type Bed Linen from India</w:t>
            </w:r>
            <w:r>
              <w:rPr>
                <w:sz w:val="24"/>
              </w:rPr>
              <w:t>, WT/DS141/AB/R,</w:t>
            </w:r>
            <w:r>
              <w:rPr>
                <w:spacing w:val="-6"/>
                <w:sz w:val="24"/>
              </w:rPr>
              <w:t xml:space="preserve"> </w:t>
            </w:r>
            <w:r>
              <w:rPr>
                <w:sz w:val="24"/>
              </w:rPr>
              <w:t>adopted</w:t>
            </w:r>
            <w:r>
              <w:rPr>
                <w:spacing w:val="-5"/>
                <w:sz w:val="24"/>
              </w:rPr>
              <w:t xml:space="preserve"> </w:t>
            </w:r>
            <w:r>
              <w:rPr>
                <w:sz w:val="24"/>
              </w:rPr>
              <w:t>12</w:t>
            </w:r>
            <w:r>
              <w:rPr>
                <w:spacing w:val="-6"/>
                <w:sz w:val="24"/>
              </w:rPr>
              <w:t xml:space="preserve"> </w:t>
            </w:r>
            <w:r>
              <w:rPr>
                <w:sz w:val="24"/>
              </w:rPr>
              <w:t>March</w:t>
            </w:r>
            <w:r>
              <w:rPr>
                <w:spacing w:val="-5"/>
                <w:sz w:val="24"/>
              </w:rPr>
              <w:t xml:space="preserve"> </w:t>
            </w:r>
            <w:r>
              <w:rPr>
                <w:sz w:val="24"/>
              </w:rPr>
              <w:t>2001,</w:t>
            </w:r>
            <w:r>
              <w:rPr>
                <w:spacing w:val="-7"/>
                <w:sz w:val="24"/>
              </w:rPr>
              <w:t xml:space="preserve"> </w:t>
            </w:r>
            <w:r>
              <w:rPr>
                <w:sz w:val="24"/>
              </w:rPr>
              <w:t>DSR</w:t>
            </w:r>
            <w:r>
              <w:rPr>
                <w:spacing w:val="-9"/>
                <w:sz w:val="24"/>
              </w:rPr>
              <w:t xml:space="preserve"> </w:t>
            </w:r>
            <w:proofErr w:type="gramStart"/>
            <w:r>
              <w:rPr>
                <w:sz w:val="24"/>
              </w:rPr>
              <w:t>2001:V</w:t>
            </w:r>
            <w:proofErr w:type="gramEnd"/>
            <w:r>
              <w:rPr>
                <w:sz w:val="24"/>
              </w:rPr>
              <w:t>,</w:t>
            </w:r>
            <w:r>
              <w:rPr>
                <w:spacing w:val="-7"/>
                <w:sz w:val="24"/>
              </w:rPr>
              <w:t xml:space="preserve"> </w:t>
            </w:r>
            <w:r>
              <w:rPr>
                <w:sz w:val="24"/>
              </w:rPr>
              <w:t>p.</w:t>
            </w:r>
            <w:r>
              <w:rPr>
                <w:spacing w:val="-2"/>
                <w:sz w:val="24"/>
              </w:rPr>
              <w:t xml:space="preserve"> </w:t>
            </w:r>
            <w:r>
              <w:rPr>
                <w:sz w:val="24"/>
              </w:rPr>
              <w:t>2049</w:t>
            </w:r>
          </w:p>
        </w:tc>
      </w:tr>
      <w:tr w:rsidR="00BF2951" w:rsidRPr="00BF2951" w14:paraId="16792D83" w14:textId="77777777" w:rsidTr="00BF2951">
        <w:tc>
          <w:tcPr>
            <w:tcW w:w="2943" w:type="dxa"/>
          </w:tcPr>
          <w:p w14:paraId="1791BC28" w14:textId="3072F042" w:rsidR="00BF2951" w:rsidRDefault="00BF2951" w:rsidP="00BF2951">
            <w:pPr>
              <w:rPr>
                <w:i/>
                <w:sz w:val="24"/>
              </w:rPr>
            </w:pPr>
            <w:r>
              <w:rPr>
                <w:i/>
                <w:sz w:val="24"/>
              </w:rPr>
              <w:t>EC</w:t>
            </w:r>
            <w:r>
              <w:rPr>
                <w:i/>
                <w:spacing w:val="-4"/>
                <w:sz w:val="24"/>
              </w:rPr>
              <w:t xml:space="preserve"> </w:t>
            </w:r>
            <w:r>
              <w:rPr>
                <w:i/>
                <w:sz w:val="24"/>
              </w:rPr>
              <w:t>–</w:t>
            </w:r>
            <w:r>
              <w:rPr>
                <w:i/>
                <w:spacing w:val="-2"/>
                <w:sz w:val="24"/>
              </w:rPr>
              <w:t xml:space="preserve"> </w:t>
            </w:r>
            <w:r>
              <w:rPr>
                <w:i/>
                <w:sz w:val="24"/>
              </w:rPr>
              <w:t>Bed</w:t>
            </w:r>
            <w:r>
              <w:rPr>
                <w:i/>
                <w:spacing w:val="-2"/>
                <w:sz w:val="24"/>
              </w:rPr>
              <w:t xml:space="preserve"> Linen</w:t>
            </w:r>
          </w:p>
        </w:tc>
        <w:tc>
          <w:tcPr>
            <w:tcW w:w="7403" w:type="dxa"/>
          </w:tcPr>
          <w:p w14:paraId="4CEC0B45" w14:textId="4477D397" w:rsidR="00BF2951" w:rsidRDefault="00BF2951" w:rsidP="00BF2951">
            <w:pPr>
              <w:rPr>
                <w:sz w:val="24"/>
              </w:rPr>
            </w:pPr>
            <w:r>
              <w:rPr>
                <w:sz w:val="24"/>
              </w:rPr>
              <w:t>Panel</w:t>
            </w:r>
            <w:r>
              <w:rPr>
                <w:spacing w:val="-4"/>
                <w:sz w:val="24"/>
              </w:rPr>
              <w:t xml:space="preserve"> </w:t>
            </w:r>
            <w:r>
              <w:rPr>
                <w:sz w:val="24"/>
              </w:rPr>
              <w:t>Report,</w:t>
            </w:r>
            <w:r>
              <w:rPr>
                <w:spacing w:val="-4"/>
                <w:sz w:val="24"/>
              </w:rPr>
              <w:t xml:space="preserve"> </w:t>
            </w:r>
            <w:r>
              <w:rPr>
                <w:i/>
                <w:sz w:val="24"/>
              </w:rPr>
              <w:t>European</w:t>
            </w:r>
            <w:r>
              <w:rPr>
                <w:i/>
                <w:spacing w:val="-6"/>
                <w:sz w:val="24"/>
              </w:rPr>
              <w:t xml:space="preserve"> </w:t>
            </w:r>
            <w:r>
              <w:rPr>
                <w:i/>
                <w:sz w:val="24"/>
              </w:rPr>
              <w:t>Communities</w:t>
            </w:r>
            <w:r>
              <w:rPr>
                <w:i/>
                <w:spacing w:val="-9"/>
                <w:sz w:val="24"/>
              </w:rPr>
              <w:t xml:space="preserve"> </w:t>
            </w:r>
            <w:r>
              <w:rPr>
                <w:i/>
                <w:sz w:val="24"/>
              </w:rPr>
              <w:t>–</w:t>
            </w:r>
            <w:r>
              <w:rPr>
                <w:i/>
                <w:spacing w:val="-6"/>
                <w:sz w:val="24"/>
              </w:rPr>
              <w:t xml:space="preserve"> </w:t>
            </w:r>
            <w:r>
              <w:rPr>
                <w:i/>
                <w:sz w:val="24"/>
              </w:rPr>
              <w:t>Anti-Dumping</w:t>
            </w:r>
            <w:r>
              <w:rPr>
                <w:i/>
                <w:spacing w:val="-6"/>
                <w:sz w:val="24"/>
              </w:rPr>
              <w:t xml:space="preserve"> </w:t>
            </w:r>
            <w:r>
              <w:rPr>
                <w:i/>
                <w:sz w:val="24"/>
              </w:rPr>
              <w:t>Duties</w:t>
            </w:r>
            <w:r>
              <w:rPr>
                <w:i/>
                <w:spacing w:val="-9"/>
                <w:sz w:val="24"/>
              </w:rPr>
              <w:t xml:space="preserve"> </w:t>
            </w:r>
            <w:r>
              <w:rPr>
                <w:i/>
                <w:sz w:val="24"/>
              </w:rPr>
              <w:t>on Imports of Cotton-Type Bed Linen from India</w:t>
            </w:r>
            <w:r>
              <w:rPr>
                <w:sz w:val="24"/>
              </w:rPr>
              <w:t>, WT/DS141/R, adopted</w:t>
            </w:r>
            <w:r>
              <w:rPr>
                <w:spacing w:val="-1"/>
                <w:sz w:val="24"/>
              </w:rPr>
              <w:t xml:space="preserve"> </w:t>
            </w:r>
            <w:r>
              <w:rPr>
                <w:sz w:val="24"/>
              </w:rPr>
              <w:t>12</w:t>
            </w:r>
            <w:r>
              <w:rPr>
                <w:spacing w:val="-2"/>
                <w:sz w:val="24"/>
              </w:rPr>
              <w:t xml:space="preserve"> </w:t>
            </w:r>
            <w:r>
              <w:rPr>
                <w:sz w:val="24"/>
              </w:rPr>
              <w:t>March</w:t>
            </w:r>
            <w:r>
              <w:rPr>
                <w:spacing w:val="-1"/>
                <w:sz w:val="24"/>
              </w:rPr>
              <w:t xml:space="preserve"> </w:t>
            </w:r>
            <w:r>
              <w:rPr>
                <w:sz w:val="24"/>
              </w:rPr>
              <w:t>2001, as modified</w:t>
            </w:r>
            <w:r>
              <w:rPr>
                <w:spacing w:val="-1"/>
                <w:sz w:val="24"/>
              </w:rPr>
              <w:t xml:space="preserve"> </w:t>
            </w:r>
            <w:r>
              <w:rPr>
                <w:sz w:val="24"/>
              </w:rPr>
              <w:t>by Appellate</w:t>
            </w:r>
            <w:r>
              <w:rPr>
                <w:spacing w:val="-4"/>
                <w:sz w:val="24"/>
              </w:rPr>
              <w:t xml:space="preserve"> </w:t>
            </w:r>
            <w:r>
              <w:rPr>
                <w:sz w:val="24"/>
              </w:rPr>
              <w:t>Body Report WT/DS141/AB/R, DSR 2001:VI, p. 2077</w:t>
            </w:r>
          </w:p>
        </w:tc>
      </w:tr>
      <w:tr w:rsidR="00BF2951" w:rsidRPr="00BF2951" w14:paraId="66A664A4" w14:textId="77777777" w:rsidTr="00BF2951">
        <w:tc>
          <w:tcPr>
            <w:tcW w:w="2943" w:type="dxa"/>
          </w:tcPr>
          <w:p w14:paraId="41D3AD17" w14:textId="43FD29DD" w:rsidR="00BF2951" w:rsidRDefault="00BF2951" w:rsidP="00BF2951">
            <w:pPr>
              <w:rPr>
                <w:i/>
                <w:sz w:val="24"/>
              </w:rPr>
            </w:pPr>
            <w:r>
              <w:rPr>
                <w:i/>
                <w:sz w:val="24"/>
              </w:rPr>
              <w:t>EC</w:t>
            </w:r>
            <w:r>
              <w:rPr>
                <w:i/>
                <w:spacing w:val="-12"/>
                <w:sz w:val="24"/>
              </w:rPr>
              <w:t xml:space="preserve"> </w:t>
            </w:r>
            <w:r>
              <w:rPr>
                <w:i/>
                <w:sz w:val="24"/>
              </w:rPr>
              <w:t>–</w:t>
            </w:r>
            <w:r>
              <w:rPr>
                <w:i/>
                <w:spacing w:val="-10"/>
                <w:sz w:val="24"/>
              </w:rPr>
              <w:t xml:space="preserve"> </w:t>
            </w:r>
            <w:r>
              <w:rPr>
                <w:i/>
                <w:sz w:val="24"/>
              </w:rPr>
              <w:t>Bed</w:t>
            </w:r>
            <w:r>
              <w:rPr>
                <w:i/>
                <w:spacing w:val="-10"/>
                <w:sz w:val="24"/>
              </w:rPr>
              <w:t xml:space="preserve"> </w:t>
            </w:r>
            <w:r>
              <w:rPr>
                <w:i/>
                <w:sz w:val="24"/>
              </w:rPr>
              <w:t>Linen</w:t>
            </w:r>
            <w:r>
              <w:rPr>
                <w:i/>
                <w:spacing w:val="-10"/>
                <w:sz w:val="24"/>
              </w:rPr>
              <w:t xml:space="preserve"> </w:t>
            </w:r>
            <w:r>
              <w:rPr>
                <w:i/>
                <w:sz w:val="24"/>
              </w:rPr>
              <w:t>(21.5 – India)</w:t>
            </w:r>
          </w:p>
        </w:tc>
        <w:tc>
          <w:tcPr>
            <w:tcW w:w="7403" w:type="dxa"/>
          </w:tcPr>
          <w:p w14:paraId="623BCD3D" w14:textId="77777777" w:rsidR="00BF2951" w:rsidRDefault="00BF2951" w:rsidP="00BF2951">
            <w:pPr>
              <w:pStyle w:val="TableParagraph"/>
              <w:spacing w:before="40"/>
              <w:ind w:left="105"/>
              <w:rPr>
                <w:i/>
                <w:sz w:val="24"/>
              </w:rPr>
            </w:pPr>
            <w:r>
              <w:rPr>
                <w:sz w:val="24"/>
              </w:rPr>
              <w:t xml:space="preserve">Panel Report, </w:t>
            </w:r>
            <w:r>
              <w:rPr>
                <w:i/>
                <w:sz w:val="24"/>
              </w:rPr>
              <w:t>European Communities – Anti-Dumping Duties on Imports</w:t>
            </w:r>
            <w:r>
              <w:rPr>
                <w:i/>
                <w:spacing w:val="-7"/>
                <w:sz w:val="24"/>
              </w:rPr>
              <w:t xml:space="preserve"> </w:t>
            </w:r>
            <w:r>
              <w:rPr>
                <w:i/>
                <w:sz w:val="24"/>
              </w:rPr>
              <w:t>of</w:t>
            </w:r>
            <w:r>
              <w:rPr>
                <w:i/>
                <w:spacing w:val="-6"/>
                <w:sz w:val="24"/>
              </w:rPr>
              <w:t xml:space="preserve"> </w:t>
            </w:r>
            <w:r>
              <w:rPr>
                <w:i/>
                <w:sz w:val="24"/>
              </w:rPr>
              <w:t>Cotton-Type</w:t>
            </w:r>
            <w:r>
              <w:rPr>
                <w:i/>
                <w:spacing w:val="-5"/>
                <w:sz w:val="24"/>
              </w:rPr>
              <w:t xml:space="preserve"> </w:t>
            </w:r>
            <w:r>
              <w:rPr>
                <w:i/>
                <w:sz w:val="24"/>
              </w:rPr>
              <w:t>Bed</w:t>
            </w:r>
            <w:r>
              <w:rPr>
                <w:i/>
                <w:spacing w:val="-4"/>
                <w:sz w:val="24"/>
              </w:rPr>
              <w:t xml:space="preserve"> </w:t>
            </w:r>
            <w:r>
              <w:rPr>
                <w:i/>
                <w:sz w:val="24"/>
              </w:rPr>
              <w:t>Linen</w:t>
            </w:r>
            <w:r>
              <w:rPr>
                <w:i/>
                <w:spacing w:val="-4"/>
                <w:sz w:val="24"/>
              </w:rPr>
              <w:t xml:space="preserve"> </w:t>
            </w:r>
            <w:r>
              <w:rPr>
                <w:i/>
                <w:sz w:val="24"/>
              </w:rPr>
              <w:t>from</w:t>
            </w:r>
            <w:r>
              <w:rPr>
                <w:i/>
                <w:spacing w:val="-3"/>
                <w:sz w:val="24"/>
              </w:rPr>
              <w:t xml:space="preserve"> </w:t>
            </w:r>
            <w:r>
              <w:rPr>
                <w:i/>
                <w:sz w:val="24"/>
              </w:rPr>
              <w:t>India</w:t>
            </w:r>
            <w:r>
              <w:rPr>
                <w:i/>
                <w:spacing w:val="-4"/>
                <w:sz w:val="24"/>
              </w:rPr>
              <w:t xml:space="preserve"> </w:t>
            </w:r>
            <w:r>
              <w:rPr>
                <w:i/>
                <w:sz w:val="24"/>
              </w:rPr>
              <w:t>–</w:t>
            </w:r>
            <w:r>
              <w:rPr>
                <w:i/>
                <w:spacing w:val="-4"/>
                <w:sz w:val="24"/>
              </w:rPr>
              <w:t xml:space="preserve"> </w:t>
            </w:r>
            <w:r>
              <w:rPr>
                <w:i/>
                <w:sz w:val="24"/>
              </w:rPr>
              <w:t>Recourse</w:t>
            </w:r>
            <w:r>
              <w:rPr>
                <w:i/>
                <w:spacing w:val="-4"/>
                <w:sz w:val="24"/>
              </w:rPr>
              <w:t xml:space="preserve"> </w:t>
            </w:r>
            <w:r>
              <w:rPr>
                <w:i/>
                <w:sz w:val="24"/>
              </w:rPr>
              <w:t>to</w:t>
            </w:r>
            <w:r>
              <w:rPr>
                <w:i/>
                <w:spacing w:val="-3"/>
                <w:sz w:val="24"/>
              </w:rPr>
              <w:t xml:space="preserve"> </w:t>
            </w:r>
            <w:r>
              <w:rPr>
                <w:i/>
                <w:sz w:val="24"/>
              </w:rPr>
              <w:t>Article</w:t>
            </w:r>
          </w:p>
          <w:p w14:paraId="70A43587" w14:textId="2B3D81B7" w:rsidR="00BF2951" w:rsidRDefault="00BF2951" w:rsidP="00BF2951">
            <w:pPr>
              <w:rPr>
                <w:sz w:val="24"/>
              </w:rPr>
            </w:pPr>
            <w:r>
              <w:rPr>
                <w:i/>
                <w:sz w:val="24"/>
              </w:rPr>
              <w:t>21.5</w:t>
            </w:r>
            <w:r>
              <w:rPr>
                <w:i/>
                <w:spacing w:val="-7"/>
                <w:sz w:val="24"/>
              </w:rPr>
              <w:t xml:space="preserve"> </w:t>
            </w:r>
            <w:r>
              <w:rPr>
                <w:i/>
                <w:sz w:val="24"/>
              </w:rPr>
              <w:t>of</w:t>
            </w:r>
            <w:r>
              <w:rPr>
                <w:i/>
                <w:spacing w:val="-6"/>
                <w:sz w:val="24"/>
              </w:rPr>
              <w:t xml:space="preserve"> </w:t>
            </w:r>
            <w:r>
              <w:rPr>
                <w:i/>
                <w:sz w:val="24"/>
              </w:rPr>
              <w:t>the</w:t>
            </w:r>
            <w:r>
              <w:rPr>
                <w:i/>
                <w:spacing w:val="-4"/>
                <w:sz w:val="24"/>
              </w:rPr>
              <w:t xml:space="preserve"> </w:t>
            </w:r>
            <w:r>
              <w:rPr>
                <w:i/>
                <w:sz w:val="24"/>
              </w:rPr>
              <w:t>DSU</w:t>
            </w:r>
            <w:r>
              <w:rPr>
                <w:i/>
                <w:spacing w:val="-5"/>
                <w:sz w:val="24"/>
              </w:rPr>
              <w:t xml:space="preserve"> </w:t>
            </w:r>
            <w:r>
              <w:rPr>
                <w:i/>
                <w:sz w:val="24"/>
              </w:rPr>
              <w:t>by</w:t>
            </w:r>
            <w:r>
              <w:rPr>
                <w:i/>
                <w:spacing w:val="-7"/>
                <w:sz w:val="24"/>
              </w:rPr>
              <w:t xml:space="preserve"> </w:t>
            </w:r>
            <w:r>
              <w:rPr>
                <w:i/>
                <w:sz w:val="24"/>
              </w:rPr>
              <w:t>India</w:t>
            </w:r>
            <w:r>
              <w:rPr>
                <w:sz w:val="24"/>
              </w:rPr>
              <w:t>,</w:t>
            </w:r>
            <w:r>
              <w:rPr>
                <w:spacing w:val="-7"/>
                <w:sz w:val="24"/>
              </w:rPr>
              <w:t xml:space="preserve"> </w:t>
            </w:r>
            <w:r>
              <w:rPr>
                <w:sz w:val="24"/>
              </w:rPr>
              <w:t>WT/DS141/RW,</w:t>
            </w:r>
            <w:r>
              <w:rPr>
                <w:spacing w:val="-3"/>
                <w:sz w:val="24"/>
              </w:rPr>
              <w:t xml:space="preserve"> </w:t>
            </w:r>
            <w:r>
              <w:rPr>
                <w:sz w:val="24"/>
              </w:rPr>
              <w:t>adopted</w:t>
            </w:r>
            <w:r>
              <w:rPr>
                <w:spacing w:val="-2"/>
                <w:sz w:val="24"/>
              </w:rPr>
              <w:t xml:space="preserve"> </w:t>
            </w:r>
            <w:r>
              <w:rPr>
                <w:sz w:val="24"/>
              </w:rPr>
              <w:t>24</w:t>
            </w:r>
            <w:r>
              <w:rPr>
                <w:spacing w:val="-7"/>
                <w:sz w:val="24"/>
              </w:rPr>
              <w:t xml:space="preserve"> </w:t>
            </w:r>
            <w:r>
              <w:rPr>
                <w:sz w:val="24"/>
              </w:rPr>
              <w:t>April</w:t>
            </w:r>
            <w:r>
              <w:rPr>
                <w:spacing w:val="-3"/>
                <w:sz w:val="24"/>
              </w:rPr>
              <w:t xml:space="preserve"> </w:t>
            </w:r>
            <w:r>
              <w:rPr>
                <w:sz w:val="24"/>
              </w:rPr>
              <w:t xml:space="preserve">2003, as modified by Appellate Body Report WT/DS141/AB/RW, DSR </w:t>
            </w:r>
            <w:proofErr w:type="gramStart"/>
            <w:r>
              <w:rPr>
                <w:sz w:val="24"/>
              </w:rPr>
              <w:t>2003:IV</w:t>
            </w:r>
            <w:proofErr w:type="gramEnd"/>
            <w:r>
              <w:rPr>
                <w:sz w:val="24"/>
              </w:rPr>
              <w:t>, p. 1269</w:t>
            </w:r>
          </w:p>
        </w:tc>
      </w:tr>
      <w:tr w:rsidR="00BF2951" w:rsidRPr="00BF2951" w14:paraId="358530F6" w14:textId="77777777" w:rsidTr="00BF2951">
        <w:tc>
          <w:tcPr>
            <w:tcW w:w="2943" w:type="dxa"/>
          </w:tcPr>
          <w:p w14:paraId="186FD74D" w14:textId="71A61A2D" w:rsidR="00BF2951" w:rsidRDefault="00BF2951" w:rsidP="00BF2951">
            <w:pPr>
              <w:rPr>
                <w:i/>
                <w:sz w:val="24"/>
              </w:rPr>
            </w:pPr>
            <w:r>
              <w:rPr>
                <w:i/>
                <w:sz w:val="24"/>
              </w:rPr>
              <w:t>EC</w:t>
            </w:r>
            <w:r>
              <w:rPr>
                <w:i/>
                <w:spacing w:val="-14"/>
                <w:sz w:val="24"/>
              </w:rPr>
              <w:t xml:space="preserve"> </w:t>
            </w:r>
            <w:r>
              <w:rPr>
                <w:i/>
                <w:sz w:val="24"/>
              </w:rPr>
              <w:t>–</w:t>
            </w:r>
            <w:r>
              <w:rPr>
                <w:i/>
                <w:spacing w:val="-14"/>
                <w:sz w:val="24"/>
              </w:rPr>
              <w:t xml:space="preserve"> </w:t>
            </w:r>
            <w:r>
              <w:rPr>
                <w:i/>
                <w:sz w:val="24"/>
              </w:rPr>
              <w:t xml:space="preserve">Fasteners </w:t>
            </w:r>
            <w:r>
              <w:rPr>
                <w:i/>
                <w:spacing w:val="-2"/>
                <w:sz w:val="24"/>
              </w:rPr>
              <w:t>(China)</w:t>
            </w:r>
          </w:p>
        </w:tc>
        <w:tc>
          <w:tcPr>
            <w:tcW w:w="7403" w:type="dxa"/>
          </w:tcPr>
          <w:p w14:paraId="15A351C8" w14:textId="0C47223E" w:rsidR="00BF2951" w:rsidRDefault="00BF2951" w:rsidP="00BF2951">
            <w:pPr>
              <w:rPr>
                <w:sz w:val="24"/>
              </w:rPr>
            </w:pPr>
            <w:r>
              <w:rPr>
                <w:sz w:val="24"/>
              </w:rPr>
              <w:t xml:space="preserve">Appellate Body Report, </w:t>
            </w:r>
            <w:r>
              <w:rPr>
                <w:i/>
                <w:sz w:val="24"/>
              </w:rPr>
              <w:t>European Communities – Definitive Anti- Dumping</w:t>
            </w:r>
            <w:r>
              <w:rPr>
                <w:i/>
                <w:spacing w:val="-3"/>
                <w:sz w:val="24"/>
              </w:rPr>
              <w:t xml:space="preserve"> </w:t>
            </w:r>
            <w:r>
              <w:rPr>
                <w:i/>
                <w:sz w:val="24"/>
              </w:rPr>
              <w:t>Measures</w:t>
            </w:r>
            <w:r>
              <w:rPr>
                <w:i/>
                <w:spacing w:val="-6"/>
                <w:sz w:val="24"/>
              </w:rPr>
              <w:t xml:space="preserve"> </w:t>
            </w:r>
            <w:r>
              <w:rPr>
                <w:i/>
                <w:sz w:val="24"/>
              </w:rPr>
              <w:t>on</w:t>
            </w:r>
            <w:r>
              <w:rPr>
                <w:i/>
                <w:spacing w:val="-3"/>
                <w:sz w:val="24"/>
              </w:rPr>
              <w:t xml:space="preserve"> </w:t>
            </w:r>
            <w:r>
              <w:rPr>
                <w:i/>
                <w:sz w:val="24"/>
              </w:rPr>
              <w:t>Certain</w:t>
            </w:r>
            <w:r>
              <w:rPr>
                <w:i/>
                <w:spacing w:val="-7"/>
                <w:sz w:val="24"/>
              </w:rPr>
              <w:t xml:space="preserve"> </w:t>
            </w:r>
            <w:r>
              <w:rPr>
                <w:i/>
                <w:sz w:val="24"/>
              </w:rPr>
              <w:t>Iron</w:t>
            </w:r>
            <w:r>
              <w:rPr>
                <w:i/>
                <w:spacing w:val="-3"/>
                <w:sz w:val="24"/>
              </w:rPr>
              <w:t xml:space="preserve"> </w:t>
            </w:r>
            <w:r>
              <w:rPr>
                <w:i/>
                <w:sz w:val="24"/>
              </w:rPr>
              <w:t>or</w:t>
            </w:r>
            <w:r>
              <w:rPr>
                <w:i/>
                <w:spacing w:val="-5"/>
                <w:sz w:val="24"/>
              </w:rPr>
              <w:t xml:space="preserve"> </w:t>
            </w:r>
            <w:r>
              <w:rPr>
                <w:i/>
                <w:sz w:val="24"/>
              </w:rPr>
              <w:t>Steel</w:t>
            </w:r>
            <w:r>
              <w:rPr>
                <w:i/>
                <w:spacing w:val="-1"/>
                <w:sz w:val="24"/>
              </w:rPr>
              <w:t xml:space="preserve"> </w:t>
            </w:r>
            <w:r>
              <w:rPr>
                <w:i/>
                <w:sz w:val="24"/>
              </w:rPr>
              <w:t>Fasteners</w:t>
            </w:r>
            <w:r>
              <w:rPr>
                <w:i/>
                <w:spacing w:val="-6"/>
                <w:sz w:val="24"/>
              </w:rPr>
              <w:t xml:space="preserve"> </w:t>
            </w:r>
            <w:r>
              <w:rPr>
                <w:i/>
                <w:sz w:val="24"/>
              </w:rPr>
              <w:t>from</w:t>
            </w:r>
            <w:r>
              <w:rPr>
                <w:i/>
                <w:spacing w:val="-2"/>
                <w:sz w:val="24"/>
              </w:rPr>
              <w:t xml:space="preserve"> </w:t>
            </w:r>
            <w:r>
              <w:rPr>
                <w:i/>
                <w:sz w:val="24"/>
              </w:rPr>
              <w:t>China</w:t>
            </w:r>
            <w:r>
              <w:rPr>
                <w:sz w:val="24"/>
              </w:rPr>
              <w:t xml:space="preserve">, WT/DS397/AB/R, adopted 28 July 2011, DSR </w:t>
            </w:r>
            <w:proofErr w:type="gramStart"/>
            <w:r>
              <w:rPr>
                <w:sz w:val="24"/>
              </w:rPr>
              <w:t>2011:VII</w:t>
            </w:r>
            <w:proofErr w:type="gramEnd"/>
            <w:r>
              <w:rPr>
                <w:sz w:val="24"/>
              </w:rPr>
              <w:t>, p. 3995</w:t>
            </w:r>
          </w:p>
        </w:tc>
      </w:tr>
      <w:tr w:rsidR="00BF2951" w:rsidRPr="00BF2951" w14:paraId="453AE9BE" w14:textId="77777777" w:rsidTr="00BF2951">
        <w:tc>
          <w:tcPr>
            <w:tcW w:w="2943" w:type="dxa"/>
          </w:tcPr>
          <w:p w14:paraId="51B415E6" w14:textId="1FF95B99" w:rsidR="00BF2951" w:rsidRDefault="00BF2951" w:rsidP="00BF2951">
            <w:pPr>
              <w:rPr>
                <w:i/>
                <w:sz w:val="24"/>
              </w:rPr>
            </w:pPr>
            <w:r>
              <w:rPr>
                <w:i/>
                <w:sz w:val="24"/>
              </w:rPr>
              <w:t>EC</w:t>
            </w:r>
            <w:r>
              <w:rPr>
                <w:i/>
                <w:spacing w:val="-14"/>
                <w:sz w:val="24"/>
              </w:rPr>
              <w:t xml:space="preserve"> </w:t>
            </w:r>
            <w:r>
              <w:rPr>
                <w:i/>
                <w:sz w:val="24"/>
              </w:rPr>
              <w:t>–</w:t>
            </w:r>
            <w:r>
              <w:rPr>
                <w:i/>
                <w:spacing w:val="-14"/>
                <w:sz w:val="24"/>
              </w:rPr>
              <w:t xml:space="preserve"> </w:t>
            </w:r>
            <w:r>
              <w:rPr>
                <w:i/>
                <w:sz w:val="24"/>
              </w:rPr>
              <w:t xml:space="preserve">Fasteners </w:t>
            </w:r>
            <w:r>
              <w:rPr>
                <w:i/>
                <w:spacing w:val="-2"/>
                <w:sz w:val="24"/>
              </w:rPr>
              <w:t>(China)</w:t>
            </w:r>
          </w:p>
        </w:tc>
        <w:tc>
          <w:tcPr>
            <w:tcW w:w="7403" w:type="dxa"/>
          </w:tcPr>
          <w:p w14:paraId="04B8EBCE" w14:textId="3C3BC377" w:rsidR="00BF2951" w:rsidRDefault="00BF2951" w:rsidP="00BF2951">
            <w:pPr>
              <w:rPr>
                <w:sz w:val="24"/>
              </w:rPr>
            </w:pPr>
            <w:r>
              <w:rPr>
                <w:sz w:val="24"/>
              </w:rPr>
              <w:t>Panel</w:t>
            </w:r>
            <w:r>
              <w:rPr>
                <w:spacing w:val="-4"/>
                <w:sz w:val="24"/>
              </w:rPr>
              <w:t xml:space="preserve"> </w:t>
            </w:r>
            <w:r>
              <w:rPr>
                <w:sz w:val="24"/>
              </w:rPr>
              <w:t>Report,</w:t>
            </w:r>
            <w:r>
              <w:rPr>
                <w:spacing w:val="-4"/>
                <w:sz w:val="24"/>
              </w:rPr>
              <w:t xml:space="preserve"> </w:t>
            </w:r>
            <w:r>
              <w:rPr>
                <w:i/>
                <w:sz w:val="24"/>
              </w:rPr>
              <w:t>European</w:t>
            </w:r>
            <w:r>
              <w:rPr>
                <w:i/>
                <w:spacing w:val="-6"/>
                <w:sz w:val="24"/>
              </w:rPr>
              <w:t xml:space="preserve"> </w:t>
            </w:r>
            <w:r>
              <w:rPr>
                <w:i/>
                <w:sz w:val="24"/>
              </w:rPr>
              <w:t>Communities</w:t>
            </w:r>
            <w:r>
              <w:rPr>
                <w:i/>
                <w:spacing w:val="-9"/>
                <w:sz w:val="24"/>
              </w:rPr>
              <w:t xml:space="preserve"> </w:t>
            </w:r>
            <w:r>
              <w:rPr>
                <w:i/>
                <w:sz w:val="24"/>
              </w:rPr>
              <w:t>–</w:t>
            </w:r>
            <w:r>
              <w:rPr>
                <w:i/>
                <w:spacing w:val="-6"/>
                <w:sz w:val="24"/>
              </w:rPr>
              <w:t xml:space="preserve"> </w:t>
            </w:r>
            <w:r>
              <w:rPr>
                <w:i/>
                <w:sz w:val="24"/>
              </w:rPr>
              <w:t>Definitive</w:t>
            </w:r>
            <w:r>
              <w:rPr>
                <w:i/>
                <w:spacing w:val="-10"/>
                <w:sz w:val="24"/>
              </w:rPr>
              <w:t xml:space="preserve"> </w:t>
            </w:r>
            <w:r>
              <w:rPr>
                <w:i/>
                <w:sz w:val="24"/>
              </w:rPr>
              <w:t>Anti-Dumping Measures on Certain Iron or Steel Fasteners from China</w:t>
            </w:r>
            <w:r>
              <w:rPr>
                <w:sz w:val="24"/>
              </w:rPr>
              <w:t>, WT/DS397/R and Corr.1, adopted 28 July 2011, as modified by Appellate Body Report WT/DS397/AB/R, DSR</w:t>
            </w:r>
            <w:r>
              <w:rPr>
                <w:spacing w:val="-2"/>
                <w:sz w:val="24"/>
              </w:rPr>
              <w:t xml:space="preserve"> </w:t>
            </w:r>
            <w:proofErr w:type="gramStart"/>
            <w:r>
              <w:rPr>
                <w:sz w:val="24"/>
              </w:rPr>
              <w:t>2011:VIII</w:t>
            </w:r>
            <w:proofErr w:type="gramEnd"/>
            <w:r>
              <w:rPr>
                <w:sz w:val="24"/>
              </w:rPr>
              <w:t>, p. 4289</w:t>
            </w:r>
          </w:p>
        </w:tc>
      </w:tr>
      <w:tr w:rsidR="00BF2951" w:rsidRPr="00BF2951" w14:paraId="275159FE" w14:textId="77777777" w:rsidTr="00BF2951">
        <w:tc>
          <w:tcPr>
            <w:tcW w:w="2943" w:type="dxa"/>
          </w:tcPr>
          <w:p w14:paraId="443D148F" w14:textId="20C47B71" w:rsidR="00BF2951" w:rsidRDefault="00BF2951" w:rsidP="00BF2951">
            <w:pPr>
              <w:rPr>
                <w:i/>
                <w:sz w:val="24"/>
              </w:rPr>
            </w:pPr>
            <w:r>
              <w:rPr>
                <w:i/>
                <w:sz w:val="24"/>
              </w:rPr>
              <w:t>EC – Fasteners (China)</w:t>
            </w:r>
            <w:r>
              <w:rPr>
                <w:i/>
                <w:spacing w:val="-14"/>
                <w:sz w:val="24"/>
              </w:rPr>
              <w:t xml:space="preserve"> </w:t>
            </w:r>
            <w:r>
              <w:rPr>
                <w:i/>
                <w:sz w:val="24"/>
              </w:rPr>
              <w:t>(Article</w:t>
            </w:r>
            <w:r>
              <w:rPr>
                <w:i/>
                <w:spacing w:val="-14"/>
                <w:sz w:val="24"/>
              </w:rPr>
              <w:t xml:space="preserve"> </w:t>
            </w:r>
            <w:r>
              <w:rPr>
                <w:i/>
                <w:sz w:val="24"/>
              </w:rPr>
              <w:t>21.5 – China)</w:t>
            </w:r>
          </w:p>
        </w:tc>
        <w:tc>
          <w:tcPr>
            <w:tcW w:w="7403" w:type="dxa"/>
          </w:tcPr>
          <w:p w14:paraId="764A9C0B" w14:textId="2CC06C47" w:rsidR="00BF2951" w:rsidRDefault="00BF2951" w:rsidP="00BF2951">
            <w:pPr>
              <w:rPr>
                <w:sz w:val="24"/>
              </w:rPr>
            </w:pPr>
            <w:r>
              <w:rPr>
                <w:sz w:val="24"/>
              </w:rPr>
              <w:t xml:space="preserve">Appellate Body Report, </w:t>
            </w:r>
            <w:r>
              <w:rPr>
                <w:i/>
                <w:sz w:val="24"/>
              </w:rPr>
              <w:t>European Communities</w:t>
            </w:r>
            <w:r>
              <w:rPr>
                <w:i/>
                <w:spacing w:val="-1"/>
                <w:sz w:val="24"/>
              </w:rPr>
              <w:t xml:space="preserve"> </w:t>
            </w:r>
            <w:r>
              <w:rPr>
                <w:i/>
                <w:sz w:val="24"/>
              </w:rPr>
              <w:t>–</w:t>
            </w:r>
            <w:r>
              <w:rPr>
                <w:i/>
                <w:spacing w:val="-4"/>
                <w:sz w:val="24"/>
              </w:rPr>
              <w:t xml:space="preserve"> </w:t>
            </w:r>
            <w:r>
              <w:rPr>
                <w:i/>
                <w:sz w:val="24"/>
              </w:rPr>
              <w:t>Definitive Anti- Dumping</w:t>
            </w:r>
            <w:r>
              <w:rPr>
                <w:i/>
                <w:spacing w:val="-3"/>
                <w:sz w:val="24"/>
              </w:rPr>
              <w:t xml:space="preserve"> </w:t>
            </w:r>
            <w:r>
              <w:rPr>
                <w:i/>
                <w:sz w:val="24"/>
              </w:rPr>
              <w:t>Measures</w:t>
            </w:r>
            <w:r>
              <w:rPr>
                <w:i/>
                <w:spacing w:val="-6"/>
                <w:sz w:val="24"/>
              </w:rPr>
              <w:t xml:space="preserve"> </w:t>
            </w:r>
            <w:r>
              <w:rPr>
                <w:i/>
                <w:sz w:val="24"/>
              </w:rPr>
              <w:t>on</w:t>
            </w:r>
            <w:r>
              <w:rPr>
                <w:i/>
                <w:spacing w:val="-3"/>
                <w:sz w:val="24"/>
              </w:rPr>
              <w:t xml:space="preserve"> </w:t>
            </w:r>
            <w:r>
              <w:rPr>
                <w:i/>
                <w:sz w:val="24"/>
              </w:rPr>
              <w:t>Certain</w:t>
            </w:r>
            <w:r>
              <w:rPr>
                <w:i/>
                <w:spacing w:val="-7"/>
                <w:sz w:val="24"/>
              </w:rPr>
              <w:t xml:space="preserve"> </w:t>
            </w:r>
            <w:r>
              <w:rPr>
                <w:i/>
                <w:sz w:val="24"/>
              </w:rPr>
              <w:t>Iron</w:t>
            </w:r>
            <w:r>
              <w:rPr>
                <w:i/>
                <w:spacing w:val="-3"/>
                <w:sz w:val="24"/>
              </w:rPr>
              <w:t xml:space="preserve"> </w:t>
            </w:r>
            <w:r>
              <w:rPr>
                <w:i/>
                <w:sz w:val="24"/>
              </w:rPr>
              <w:t>or</w:t>
            </w:r>
            <w:r>
              <w:rPr>
                <w:i/>
                <w:spacing w:val="-5"/>
                <w:sz w:val="24"/>
              </w:rPr>
              <w:t xml:space="preserve"> </w:t>
            </w:r>
            <w:r>
              <w:rPr>
                <w:i/>
                <w:sz w:val="24"/>
              </w:rPr>
              <w:t>Steel</w:t>
            </w:r>
            <w:r>
              <w:rPr>
                <w:i/>
                <w:spacing w:val="-1"/>
                <w:sz w:val="24"/>
              </w:rPr>
              <w:t xml:space="preserve"> </w:t>
            </w:r>
            <w:r>
              <w:rPr>
                <w:i/>
                <w:sz w:val="24"/>
              </w:rPr>
              <w:t>Fasteners</w:t>
            </w:r>
            <w:r>
              <w:rPr>
                <w:i/>
                <w:spacing w:val="-6"/>
                <w:sz w:val="24"/>
              </w:rPr>
              <w:t xml:space="preserve"> </w:t>
            </w:r>
            <w:r>
              <w:rPr>
                <w:i/>
                <w:sz w:val="24"/>
              </w:rPr>
              <w:t>from</w:t>
            </w:r>
            <w:r>
              <w:rPr>
                <w:i/>
                <w:spacing w:val="-2"/>
                <w:sz w:val="24"/>
              </w:rPr>
              <w:t xml:space="preserve"> </w:t>
            </w:r>
            <w:r>
              <w:rPr>
                <w:i/>
                <w:sz w:val="24"/>
              </w:rPr>
              <w:t>China – Recourse to Article 21.5 of the DSU by China</w:t>
            </w:r>
            <w:r>
              <w:rPr>
                <w:sz w:val="24"/>
              </w:rPr>
              <w:t xml:space="preserve">, WT/DS397/AB/RW and Add.1, adopted 12 February 2016, DSR </w:t>
            </w:r>
            <w:proofErr w:type="gramStart"/>
            <w:r>
              <w:rPr>
                <w:sz w:val="24"/>
              </w:rPr>
              <w:t>2016:I</w:t>
            </w:r>
            <w:proofErr w:type="gramEnd"/>
            <w:r>
              <w:rPr>
                <w:sz w:val="24"/>
              </w:rPr>
              <w:t>, p. 7</w:t>
            </w:r>
          </w:p>
        </w:tc>
      </w:tr>
      <w:tr w:rsidR="00BF2951" w:rsidRPr="00BF2951" w14:paraId="0C4BADBA" w14:textId="77777777" w:rsidTr="00BF2951">
        <w:tc>
          <w:tcPr>
            <w:tcW w:w="2943" w:type="dxa"/>
          </w:tcPr>
          <w:p w14:paraId="76F632D2" w14:textId="6D06AB8B" w:rsidR="00BF2951" w:rsidRDefault="00BF2951" w:rsidP="00BF2951">
            <w:pPr>
              <w:rPr>
                <w:i/>
                <w:sz w:val="24"/>
              </w:rPr>
            </w:pPr>
            <w:r>
              <w:rPr>
                <w:i/>
                <w:sz w:val="24"/>
              </w:rPr>
              <w:t>EC</w:t>
            </w:r>
            <w:r>
              <w:rPr>
                <w:i/>
                <w:spacing w:val="-6"/>
                <w:sz w:val="24"/>
              </w:rPr>
              <w:t xml:space="preserve"> </w:t>
            </w:r>
            <w:r>
              <w:rPr>
                <w:i/>
                <w:sz w:val="24"/>
              </w:rPr>
              <w:t>–</w:t>
            </w:r>
            <w:r>
              <w:rPr>
                <w:i/>
                <w:spacing w:val="-2"/>
                <w:sz w:val="24"/>
              </w:rPr>
              <w:t xml:space="preserve"> Hormones</w:t>
            </w:r>
          </w:p>
        </w:tc>
        <w:tc>
          <w:tcPr>
            <w:tcW w:w="7403" w:type="dxa"/>
          </w:tcPr>
          <w:p w14:paraId="5E08A26A" w14:textId="33EFE5D6" w:rsidR="00BF2951" w:rsidRDefault="00BF2951" w:rsidP="00BF2951">
            <w:pPr>
              <w:rPr>
                <w:sz w:val="24"/>
              </w:rPr>
            </w:pPr>
            <w:r>
              <w:rPr>
                <w:sz w:val="24"/>
              </w:rPr>
              <w:t xml:space="preserve">Appellate Body Report, </w:t>
            </w:r>
            <w:r>
              <w:rPr>
                <w:i/>
                <w:sz w:val="24"/>
              </w:rPr>
              <w:t>European Communities – Measures Concerning Meat and Meat Products (Hormones)</w:t>
            </w:r>
            <w:r>
              <w:rPr>
                <w:sz w:val="24"/>
              </w:rPr>
              <w:t>, WT/DS26/AB/R,</w:t>
            </w:r>
            <w:r>
              <w:rPr>
                <w:spacing w:val="-6"/>
                <w:sz w:val="24"/>
              </w:rPr>
              <w:t xml:space="preserve"> </w:t>
            </w:r>
            <w:r>
              <w:rPr>
                <w:sz w:val="24"/>
              </w:rPr>
              <w:t>WT/DS48/AB/R,</w:t>
            </w:r>
            <w:r>
              <w:rPr>
                <w:spacing w:val="-6"/>
                <w:sz w:val="24"/>
              </w:rPr>
              <w:t xml:space="preserve"> </w:t>
            </w:r>
            <w:r>
              <w:rPr>
                <w:sz w:val="24"/>
              </w:rPr>
              <w:t>adopted</w:t>
            </w:r>
            <w:r>
              <w:rPr>
                <w:spacing w:val="-5"/>
                <w:sz w:val="24"/>
              </w:rPr>
              <w:t xml:space="preserve"> </w:t>
            </w:r>
            <w:r>
              <w:rPr>
                <w:sz w:val="24"/>
              </w:rPr>
              <w:t>13</w:t>
            </w:r>
            <w:r>
              <w:rPr>
                <w:spacing w:val="-11"/>
                <w:sz w:val="24"/>
              </w:rPr>
              <w:t xml:space="preserve"> </w:t>
            </w:r>
            <w:r>
              <w:rPr>
                <w:sz w:val="24"/>
              </w:rPr>
              <w:t>February</w:t>
            </w:r>
            <w:r>
              <w:rPr>
                <w:spacing w:val="-7"/>
                <w:sz w:val="24"/>
              </w:rPr>
              <w:t xml:space="preserve"> </w:t>
            </w:r>
            <w:r>
              <w:rPr>
                <w:sz w:val="24"/>
              </w:rPr>
              <w:t>1998,</w:t>
            </w:r>
            <w:r>
              <w:rPr>
                <w:spacing w:val="-7"/>
                <w:sz w:val="24"/>
              </w:rPr>
              <w:t xml:space="preserve"> </w:t>
            </w:r>
            <w:r>
              <w:rPr>
                <w:sz w:val="24"/>
              </w:rPr>
              <w:t xml:space="preserve">DSR </w:t>
            </w:r>
            <w:proofErr w:type="gramStart"/>
            <w:r>
              <w:rPr>
                <w:sz w:val="24"/>
              </w:rPr>
              <w:t>1998:I</w:t>
            </w:r>
            <w:proofErr w:type="gramEnd"/>
            <w:r>
              <w:rPr>
                <w:sz w:val="24"/>
              </w:rPr>
              <w:t>, p. 135</w:t>
            </w:r>
          </w:p>
        </w:tc>
      </w:tr>
      <w:tr w:rsidR="00BF2951" w:rsidRPr="00BF2951" w14:paraId="3D79729A" w14:textId="77777777" w:rsidTr="00BF2951">
        <w:tc>
          <w:tcPr>
            <w:tcW w:w="2943" w:type="dxa"/>
          </w:tcPr>
          <w:p w14:paraId="4E547DA7" w14:textId="155123C7" w:rsidR="00BF2951" w:rsidRDefault="00BF2951" w:rsidP="00BF2951">
            <w:pPr>
              <w:rPr>
                <w:i/>
                <w:sz w:val="24"/>
              </w:rPr>
            </w:pPr>
            <w:r>
              <w:rPr>
                <w:sz w:val="24"/>
              </w:rPr>
              <w:t>EC</w:t>
            </w:r>
            <w:r>
              <w:rPr>
                <w:spacing w:val="-14"/>
                <w:sz w:val="24"/>
              </w:rPr>
              <w:t xml:space="preserve"> </w:t>
            </w:r>
            <w:r>
              <w:rPr>
                <w:i/>
                <w:sz w:val="24"/>
              </w:rPr>
              <w:t>–</w:t>
            </w:r>
            <w:r>
              <w:rPr>
                <w:i/>
                <w:spacing w:val="-14"/>
                <w:sz w:val="24"/>
              </w:rPr>
              <w:t xml:space="preserve"> </w:t>
            </w:r>
            <w:r>
              <w:rPr>
                <w:i/>
                <w:sz w:val="24"/>
              </w:rPr>
              <w:t xml:space="preserve">Salmon </w:t>
            </w:r>
            <w:r>
              <w:rPr>
                <w:i/>
                <w:spacing w:val="-2"/>
                <w:sz w:val="24"/>
              </w:rPr>
              <w:t>(Norway)</w:t>
            </w:r>
          </w:p>
        </w:tc>
        <w:tc>
          <w:tcPr>
            <w:tcW w:w="7403" w:type="dxa"/>
          </w:tcPr>
          <w:p w14:paraId="1A655BA4" w14:textId="64D64562" w:rsidR="00BF2951" w:rsidRDefault="00BF2951" w:rsidP="00BF2951">
            <w:pPr>
              <w:rPr>
                <w:sz w:val="24"/>
              </w:rPr>
            </w:pPr>
            <w:r>
              <w:rPr>
                <w:sz w:val="24"/>
              </w:rPr>
              <w:t>Panel</w:t>
            </w:r>
            <w:r>
              <w:rPr>
                <w:spacing w:val="-5"/>
                <w:sz w:val="24"/>
              </w:rPr>
              <w:t xml:space="preserve"> </w:t>
            </w:r>
            <w:r>
              <w:rPr>
                <w:sz w:val="24"/>
              </w:rPr>
              <w:t>Report,</w:t>
            </w:r>
            <w:r>
              <w:rPr>
                <w:spacing w:val="-5"/>
                <w:sz w:val="24"/>
              </w:rPr>
              <w:t xml:space="preserve"> </w:t>
            </w:r>
            <w:r>
              <w:rPr>
                <w:i/>
                <w:sz w:val="24"/>
              </w:rPr>
              <w:t>European</w:t>
            </w:r>
            <w:r>
              <w:rPr>
                <w:i/>
                <w:spacing w:val="-7"/>
                <w:sz w:val="24"/>
              </w:rPr>
              <w:t xml:space="preserve"> </w:t>
            </w:r>
            <w:r>
              <w:rPr>
                <w:i/>
                <w:sz w:val="24"/>
              </w:rPr>
              <w:t>Communities</w:t>
            </w:r>
            <w:r>
              <w:rPr>
                <w:i/>
                <w:spacing w:val="-10"/>
                <w:sz w:val="24"/>
              </w:rPr>
              <w:t xml:space="preserve"> </w:t>
            </w:r>
            <w:r>
              <w:rPr>
                <w:i/>
                <w:sz w:val="24"/>
              </w:rPr>
              <w:t>–</w:t>
            </w:r>
            <w:r>
              <w:rPr>
                <w:i/>
                <w:spacing w:val="-7"/>
                <w:sz w:val="24"/>
              </w:rPr>
              <w:t xml:space="preserve"> </w:t>
            </w:r>
            <w:r>
              <w:rPr>
                <w:i/>
                <w:sz w:val="24"/>
              </w:rPr>
              <w:t>Anti-Dumping</w:t>
            </w:r>
            <w:r>
              <w:rPr>
                <w:i/>
                <w:spacing w:val="-7"/>
                <w:sz w:val="24"/>
              </w:rPr>
              <w:t xml:space="preserve"> </w:t>
            </w:r>
            <w:r>
              <w:rPr>
                <w:i/>
                <w:sz w:val="24"/>
              </w:rPr>
              <w:t>Measure on Farmed Salmon from Norway</w:t>
            </w:r>
            <w:r>
              <w:rPr>
                <w:sz w:val="24"/>
              </w:rPr>
              <w:t xml:space="preserve">, WT/DS337/R, adopted 15 January 2008, and Corr.1, DSR </w:t>
            </w:r>
            <w:proofErr w:type="gramStart"/>
            <w:r>
              <w:rPr>
                <w:sz w:val="24"/>
              </w:rPr>
              <w:t>2008:I</w:t>
            </w:r>
            <w:proofErr w:type="gramEnd"/>
            <w:r>
              <w:rPr>
                <w:sz w:val="24"/>
              </w:rPr>
              <w:t>, p. 3</w:t>
            </w:r>
          </w:p>
        </w:tc>
      </w:tr>
      <w:tr w:rsidR="00BF2951" w:rsidRPr="00BF2951" w14:paraId="52E43747" w14:textId="77777777" w:rsidTr="00BF2951">
        <w:tc>
          <w:tcPr>
            <w:tcW w:w="2943" w:type="dxa"/>
          </w:tcPr>
          <w:p w14:paraId="772E577B" w14:textId="0B30B45F" w:rsidR="00BF2951" w:rsidRDefault="00BF2951" w:rsidP="00BF2951">
            <w:pPr>
              <w:rPr>
                <w:i/>
                <w:sz w:val="24"/>
              </w:rPr>
            </w:pPr>
            <w:r>
              <w:rPr>
                <w:i/>
                <w:sz w:val="24"/>
              </w:rPr>
              <w:t>EC – Selected Customs</w:t>
            </w:r>
            <w:r>
              <w:rPr>
                <w:i/>
                <w:spacing w:val="-14"/>
                <w:sz w:val="24"/>
              </w:rPr>
              <w:t xml:space="preserve"> </w:t>
            </w:r>
            <w:r>
              <w:rPr>
                <w:i/>
                <w:sz w:val="24"/>
              </w:rPr>
              <w:t>Matters</w:t>
            </w:r>
          </w:p>
        </w:tc>
        <w:tc>
          <w:tcPr>
            <w:tcW w:w="7403" w:type="dxa"/>
          </w:tcPr>
          <w:p w14:paraId="47DF0C35" w14:textId="668445F9" w:rsidR="00BF2951" w:rsidRDefault="00BF2951" w:rsidP="00BF2951">
            <w:pPr>
              <w:rPr>
                <w:sz w:val="24"/>
              </w:rPr>
            </w:pPr>
            <w:r>
              <w:rPr>
                <w:sz w:val="24"/>
              </w:rPr>
              <w:t xml:space="preserve">Appellate Body Report, </w:t>
            </w:r>
            <w:r>
              <w:rPr>
                <w:i/>
                <w:sz w:val="24"/>
              </w:rPr>
              <w:t>European Communities – Selected Customs</w:t>
            </w:r>
            <w:r>
              <w:rPr>
                <w:i/>
                <w:spacing w:val="-11"/>
                <w:sz w:val="24"/>
              </w:rPr>
              <w:t xml:space="preserve"> </w:t>
            </w:r>
            <w:r>
              <w:rPr>
                <w:i/>
                <w:sz w:val="24"/>
              </w:rPr>
              <w:t>Matters</w:t>
            </w:r>
            <w:r>
              <w:rPr>
                <w:sz w:val="24"/>
              </w:rPr>
              <w:t>,</w:t>
            </w:r>
            <w:r>
              <w:rPr>
                <w:spacing w:val="-6"/>
                <w:sz w:val="24"/>
              </w:rPr>
              <w:t xml:space="preserve"> </w:t>
            </w:r>
            <w:r>
              <w:rPr>
                <w:sz w:val="24"/>
              </w:rPr>
              <w:t>WT/DS315/AB/R,</w:t>
            </w:r>
            <w:r>
              <w:rPr>
                <w:spacing w:val="-6"/>
                <w:sz w:val="24"/>
              </w:rPr>
              <w:t xml:space="preserve"> </w:t>
            </w:r>
            <w:r>
              <w:rPr>
                <w:sz w:val="24"/>
              </w:rPr>
              <w:t>adopted</w:t>
            </w:r>
            <w:r>
              <w:rPr>
                <w:spacing w:val="-10"/>
                <w:sz w:val="24"/>
              </w:rPr>
              <w:t xml:space="preserve"> </w:t>
            </w:r>
            <w:r>
              <w:rPr>
                <w:sz w:val="24"/>
              </w:rPr>
              <w:t>11</w:t>
            </w:r>
            <w:r>
              <w:rPr>
                <w:spacing w:val="-6"/>
                <w:sz w:val="24"/>
              </w:rPr>
              <w:t xml:space="preserve"> </w:t>
            </w:r>
            <w:r>
              <w:rPr>
                <w:sz w:val="24"/>
              </w:rPr>
              <w:t>December</w:t>
            </w:r>
            <w:r>
              <w:rPr>
                <w:spacing w:val="-11"/>
                <w:sz w:val="24"/>
              </w:rPr>
              <w:t xml:space="preserve"> </w:t>
            </w:r>
            <w:r>
              <w:rPr>
                <w:sz w:val="24"/>
              </w:rPr>
              <w:t xml:space="preserve">2006, DSR </w:t>
            </w:r>
            <w:proofErr w:type="gramStart"/>
            <w:r>
              <w:rPr>
                <w:sz w:val="24"/>
              </w:rPr>
              <w:t>2006:IX</w:t>
            </w:r>
            <w:proofErr w:type="gramEnd"/>
            <w:r>
              <w:rPr>
                <w:sz w:val="24"/>
              </w:rPr>
              <w:t>, p. 3791</w:t>
            </w:r>
          </w:p>
        </w:tc>
      </w:tr>
      <w:tr w:rsidR="00BF2951" w:rsidRPr="00BF2951" w14:paraId="54586ADE" w14:textId="77777777" w:rsidTr="00BF2951">
        <w:tc>
          <w:tcPr>
            <w:tcW w:w="2943" w:type="dxa"/>
          </w:tcPr>
          <w:p w14:paraId="18297975" w14:textId="7B7D5AC3" w:rsidR="00BF2951" w:rsidRDefault="00BF2951" w:rsidP="00BF2951">
            <w:pPr>
              <w:rPr>
                <w:i/>
                <w:sz w:val="24"/>
              </w:rPr>
            </w:pPr>
            <w:r>
              <w:rPr>
                <w:i/>
                <w:sz w:val="24"/>
              </w:rPr>
              <w:t>EC</w:t>
            </w:r>
            <w:r>
              <w:rPr>
                <w:i/>
                <w:spacing w:val="-10"/>
                <w:sz w:val="24"/>
              </w:rPr>
              <w:t xml:space="preserve"> </w:t>
            </w:r>
            <w:r>
              <w:rPr>
                <w:i/>
                <w:sz w:val="24"/>
              </w:rPr>
              <w:t>–</w:t>
            </w:r>
            <w:r>
              <w:rPr>
                <w:i/>
                <w:spacing w:val="-8"/>
                <w:sz w:val="24"/>
              </w:rPr>
              <w:t xml:space="preserve"> </w:t>
            </w:r>
            <w:r>
              <w:rPr>
                <w:i/>
                <w:sz w:val="24"/>
              </w:rPr>
              <w:t>Tube</w:t>
            </w:r>
            <w:r>
              <w:rPr>
                <w:i/>
                <w:spacing w:val="-9"/>
                <w:sz w:val="24"/>
              </w:rPr>
              <w:t xml:space="preserve"> </w:t>
            </w:r>
            <w:r>
              <w:rPr>
                <w:i/>
                <w:sz w:val="24"/>
              </w:rPr>
              <w:t>and</w:t>
            </w:r>
            <w:r>
              <w:rPr>
                <w:i/>
                <w:spacing w:val="-8"/>
                <w:sz w:val="24"/>
              </w:rPr>
              <w:t xml:space="preserve"> </w:t>
            </w:r>
            <w:r>
              <w:rPr>
                <w:i/>
                <w:sz w:val="24"/>
              </w:rPr>
              <w:t xml:space="preserve">Pipe </w:t>
            </w:r>
            <w:r>
              <w:rPr>
                <w:i/>
                <w:spacing w:val="-2"/>
                <w:sz w:val="24"/>
              </w:rPr>
              <w:t>Fittings</w:t>
            </w:r>
          </w:p>
        </w:tc>
        <w:tc>
          <w:tcPr>
            <w:tcW w:w="7403" w:type="dxa"/>
          </w:tcPr>
          <w:p w14:paraId="0A254F1B" w14:textId="130FEDF8" w:rsidR="00BF2951" w:rsidRDefault="00BF2951" w:rsidP="00BF2951">
            <w:pPr>
              <w:rPr>
                <w:sz w:val="24"/>
              </w:rPr>
            </w:pPr>
            <w:r>
              <w:rPr>
                <w:sz w:val="24"/>
              </w:rPr>
              <w:t xml:space="preserve">Appellate Body Report, </w:t>
            </w:r>
            <w:r>
              <w:rPr>
                <w:i/>
                <w:sz w:val="24"/>
              </w:rPr>
              <w:t>European Communities – Anti-Dumping Duties on Malleable Cast Iron Tube or Pipe Fittings from Brazil</w:t>
            </w:r>
            <w:r>
              <w:rPr>
                <w:sz w:val="24"/>
              </w:rPr>
              <w:t>, WT/DS219/AB/R,</w:t>
            </w:r>
            <w:r>
              <w:rPr>
                <w:spacing w:val="-5"/>
                <w:sz w:val="24"/>
              </w:rPr>
              <w:t xml:space="preserve"> </w:t>
            </w:r>
            <w:r>
              <w:rPr>
                <w:sz w:val="24"/>
              </w:rPr>
              <w:t>adopted</w:t>
            </w:r>
            <w:r>
              <w:rPr>
                <w:spacing w:val="-4"/>
                <w:sz w:val="24"/>
              </w:rPr>
              <w:t xml:space="preserve"> </w:t>
            </w:r>
            <w:r>
              <w:rPr>
                <w:sz w:val="24"/>
              </w:rPr>
              <w:t>18</w:t>
            </w:r>
            <w:r>
              <w:rPr>
                <w:spacing w:val="-5"/>
                <w:sz w:val="24"/>
              </w:rPr>
              <w:t xml:space="preserve"> </w:t>
            </w:r>
            <w:r>
              <w:rPr>
                <w:sz w:val="24"/>
              </w:rPr>
              <w:t>August</w:t>
            </w:r>
            <w:r>
              <w:rPr>
                <w:spacing w:val="-7"/>
                <w:sz w:val="24"/>
              </w:rPr>
              <w:t xml:space="preserve"> </w:t>
            </w:r>
            <w:r>
              <w:rPr>
                <w:sz w:val="24"/>
              </w:rPr>
              <w:t>2003,</w:t>
            </w:r>
            <w:r>
              <w:rPr>
                <w:spacing w:val="-6"/>
                <w:sz w:val="24"/>
              </w:rPr>
              <w:t xml:space="preserve"> </w:t>
            </w:r>
            <w:r>
              <w:rPr>
                <w:sz w:val="24"/>
              </w:rPr>
              <w:t>DSR</w:t>
            </w:r>
            <w:r>
              <w:rPr>
                <w:spacing w:val="-4"/>
                <w:sz w:val="24"/>
              </w:rPr>
              <w:t xml:space="preserve"> </w:t>
            </w:r>
            <w:r>
              <w:rPr>
                <w:sz w:val="24"/>
              </w:rPr>
              <w:t>2003:VI,</w:t>
            </w:r>
            <w:r>
              <w:rPr>
                <w:spacing w:val="-5"/>
                <w:sz w:val="24"/>
              </w:rPr>
              <w:t xml:space="preserve"> </w:t>
            </w:r>
            <w:r>
              <w:rPr>
                <w:sz w:val="24"/>
              </w:rPr>
              <w:t>p.</w:t>
            </w:r>
            <w:r>
              <w:rPr>
                <w:spacing w:val="-6"/>
                <w:sz w:val="24"/>
              </w:rPr>
              <w:t xml:space="preserve"> </w:t>
            </w:r>
            <w:r>
              <w:rPr>
                <w:sz w:val="24"/>
              </w:rPr>
              <w:t>2613</w:t>
            </w:r>
          </w:p>
        </w:tc>
      </w:tr>
      <w:tr w:rsidR="00BF2951" w:rsidRPr="00BF2951" w14:paraId="6CD87AF3" w14:textId="77777777" w:rsidTr="00BF2951">
        <w:tc>
          <w:tcPr>
            <w:tcW w:w="2943" w:type="dxa"/>
          </w:tcPr>
          <w:p w14:paraId="5F0898FE" w14:textId="6528F1C6" w:rsidR="00BF2951" w:rsidRDefault="00BF2951" w:rsidP="00BF2951">
            <w:pPr>
              <w:rPr>
                <w:i/>
                <w:sz w:val="24"/>
              </w:rPr>
            </w:pPr>
            <w:r>
              <w:rPr>
                <w:i/>
                <w:sz w:val="24"/>
              </w:rPr>
              <w:t>EC</w:t>
            </w:r>
            <w:r>
              <w:rPr>
                <w:i/>
                <w:spacing w:val="-11"/>
                <w:sz w:val="24"/>
              </w:rPr>
              <w:t xml:space="preserve"> </w:t>
            </w:r>
            <w:r>
              <w:rPr>
                <w:i/>
                <w:sz w:val="24"/>
              </w:rPr>
              <w:t>-</w:t>
            </w:r>
            <w:r>
              <w:rPr>
                <w:i/>
                <w:spacing w:val="-7"/>
                <w:sz w:val="24"/>
              </w:rPr>
              <w:t xml:space="preserve"> </w:t>
            </w:r>
            <w:r>
              <w:rPr>
                <w:i/>
                <w:sz w:val="24"/>
              </w:rPr>
              <w:t>Tube</w:t>
            </w:r>
            <w:r>
              <w:rPr>
                <w:i/>
                <w:spacing w:val="-9"/>
                <w:sz w:val="24"/>
              </w:rPr>
              <w:t xml:space="preserve"> </w:t>
            </w:r>
            <w:r>
              <w:rPr>
                <w:i/>
                <w:sz w:val="24"/>
              </w:rPr>
              <w:t>or</w:t>
            </w:r>
            <w:r>
              <w:rPr>
                <w:i/>
                <w:spacing w:val="-11"/>
                <w:sz w:val="24"/>
              </w:rPr>
              <w:t xml:space="preserve"> </w:t>
            </w:r>
            <w:r>
              <w:rPr>
                <w:i/>
                <w:sz w:val="24"/>
              </w:rPr>
              <w:t xml:space="preserve">Pipe </w:t>
            </w:r>
            <w:r>
              <w:rPr>
                <w:i/>
                <w:spacing w:val="-2"/>
                <w:sz w:val="24"/>
              </w:rPr>
              <w:t>Fittings</w:t>
            </w:r>
          </w:p>
        </w:tc>
        <w:tc>
          <w:tcPr>
            <w:tcW w:w="7403" w:type="dxa"/>
          </w:tcPr>
          <w:p w14:paraId="67E23A03" w14:textId="6ED018FC" w:rsidR="00BF2951" w:rsidRDefault="00BF2951" w:rsidP="00BF2951">
            <w:pPr>
              <w:rPr>
                <w:sz w:val="24"/>
              </w:rPr>
            </w:pPr>
            <w:r>
              <w:rPr>
                <w:sz w:val="24"/>
              </w:rPr>
              <w:t xml:space="preserve">Panel Report, </w:t>
            </w:r>
            <w:r>
              <w:rPr>
                <w:i/>
                <w:sz w:val="24"/>
              </w:rPr>
              <w:t>European Communities – Anti-Dumping Duties on Malleable Cast Iron Tube or Pipe Fittings from Brazil</w:t>
            </w:r>
            <w:r>
              <w:rPr>
                <w:sz w:val="24"/>
              </w:rPr>
              <w:t>, WT/DS219/R,</w:t>
            </w:r>
            <w:r>
              <w:rPr>
                <w:spacing w:val="-3"/>
                <w:sz w:val="24"/>
              </w:rPr>
              <w:t xml:space="preserve"> </w:t>
            </w:r>
            <w:r>
              <w:rPr>
                <w:sz w:val="24"/>
              </w:rPr>
              <w:t>adopted</w:t>
            </w:r>
            <w:r>
              <w:rPr>
                <w:spacing w:val="-7"/>
                <w:sz w:val="24"/>
              </w:rPr>
              <w:t xml:space="preserve"> </w:t>
            </w:r>
            <w:r>
              <w:rPr>
                <w:sz w:val="24"/>
              </w:rPr>
              <w:t>18</w:t>
            </w:r>
            <w:r>
              <w:rPr>
                <w:spacing w:val="-8"/>
                <w:sz w:val="24"/>
              </w:rPr>
              <w:t xml:space="preserve"> </w:t>
            </w:r>
            <w:r>
              <w:rPr>
                <w:sz w:val="24"/>
              </w:rPr>
              <w:t>August</w:t>
            </w:r>
            <w:r>
              <w:rPr>
                <w:spacing w:val="-5"/>
                <w:sz w:val="24"/>
              </w:rPr>
              <w:t xml:space="preserve"> </w:t>
            </w:r>
            <w:r>
              <w:rPr>
                <w:sz w:val="24"/>
              </w:rPr>
              <w:t>2003,</w:t>
            </w:r>
            <w:r>
              <w:rPr>
                <w:spacing w:val="-4"/>
                <w:sz w:val="24"/>
              </w:rPr>
              <w:t xml:space="preserve"> </w:t>
            </w:r>
            <w:r>
              <w:rPr>
                <w:sz w:val="24"/>
              </w:rPr>
              <w:t>as</w:t>
            </w:r>
            <w:r>
              <w:rPr>
                <w:spacing w:val="-4"/>
                <w:sz w:val="24"/>
              </w:rPr>
              <w:t xml:space="preserve"> </w:t>
            </w:r>
            <w:r>
              <w:rPr>
                <w:sz w:val="24"/>
              </w:rPr>
              <w:t>modified</w:t>
            </w:r>
            <w:r>
              <w:rPr>
                <w:spacing w:val="-7"/>
                <w:sz w:val="24"/>
              </w:rPr>
              <w:t xml:space="preserve"> </w:t>
            </w:r>
            <w:r>
              <w:rPr>
                <w:sz w:val="24"/>
              </w:rPr>
              <w:t>by</w:t>
            </w:r>
            <w:r>
              <w:rPr>
                <w:spacing w:val="-4"/>
                <w:sz w:val="24"/>
              </w:rPr>
              <w:t xml:space="preserve"> </w:t>
            </w:r>
            <w:r>
              <w:rPr>
                <w:sz w:val="24"/>
              </w:rPr>
              <w:t xml:space="preserve">Appellate Body Report WT/DS219/AB/R, DSR </w:t>
            </w:r>
            <w:proofErr w:type="gramStart"/>
            <w:r>
              <w:rPr>
                <w:sz w:val="24"/>
              </w:rPr>
              <w:t>2003:VII</w:t>
            </w:r>
            <w:proofErr w:type="gramEnd"/>
            <w:r>
              <w:rPr>
                <w:sz w:val="24"/>
              </w:rPr>
              <w:t>, p. 2701</w:t>
            </w:r>
          </w:p>
        </w:tc>
      </w:tr>
      <w:tr w:rsidR="00BF2951" w:rsidRPr="00BF2951" w14:paraId="38383216" w14:textId="77777777" w:rsidTr="00BF2951">
        <w:tc>
          <w:tcPr>
            <w:tcW w:w="2943" w:type="dxa"/>
          </w:tcPr>
          <w:p w14:paraId="47F1B1C4" w14:textId="405B7681" w:rsidR="00BF2951" w:rsidRDefault="00BF2951" w:rsidP="00BF2951">
            <w:pPr>
              <w:rPr>
                <w:i/>
                <w:sz w:val="24"/>
              </w:rPr>
            </w:pPr>
            <w:r>
              <w:rPr>
                <w:i/>
                <w:sz w:val="24"/>
              </w:rPr>
              <w:t>Egypt</w:t>
            </w:r>
            <w:r>
              <w:rPr>
                <w:i/>
                <w:spacing w:val="-3"/>
                <w:sz w:val="24"/>
              </w:rPr>
              <w:t xml:space="preserve"> </w:t>
            </w:r>
            <w:r>
              <w:rPr>
                <w:i/>
                <w:sz w:val="24"/>
              </w:rPr>
              <w:t>–</w:t>
            </w:r>
            <w:r>
              <w:rPr>
                <w:i/>
                <w:spacing w:val="-1"/>
                <w:sz w:val="24"/>
              </w:rPr>
              <w:t xml:space="preserve"> </w:t>
            </w:r>
            <w:r>
              <w:rPr>
                <w:i/>
                <w:sz w:val="24"/>
              </w:rPr>
              <w:t>Steel</w:t>
            </w:r>
            <w:r>
              <w:rPr>
                <w:i/>
                <w:spacing w:val="1"/>
                <w:sz w:val="24"/>
              </w:rPr>
              <w:t xml:space="preserve"> </w:t>
            </w:r>
            <w:r>
              <w:rPr>
                <w:i/>
                <w:spacing w:val="-4"/>
                <w:sz w:val="24"/>
              </w:rPr>
              <w:t>Rebar</w:t>
            </w:r>
          </w:p>
        </w:tc>
        <w:tc>
          <w:tcPr>
            <w:tcW w:w="7403" w:type="dxa"/>
          </w:tcPr>
          <w:p w14:paraId="1E3D7EDA" w14:textId="0FDE0F8E" w:rsidR="00BF2951" w:rsidRDefault="00BF2951" w:rsidP="00BF2951">
            <w:pPr>
              <w:rPr>
                <w:sz w:val="24"/>
              </w:rPr>
            </w:pPr>
            <w:r>
              <w:rPr>
                <w:sz w:val="24"/>
              </w:rPr>
              <w:t>Panel</w:t>
            </w:r>
            <w:r>
              <w:rPr>
                <w:spacing w:val="-3"/>
                <w:sz w:val="24"/>
              </w:rPr>
              <w:t xml:space="preserve"> </w:t>
            </w:r>
            <w:r>
              <w:rPr>
                <w:sz w:val="24"/>
              </w:rPr>
              <w:t>Report,</w:t>
            </w:r>
            <w:r>
              <w:rPr>
                <w:spacing w:val="-3"/>
                <w:sz w:val="24"/>
              </w:rPr>
              <w:t xml:space="preserve"> </w:t>
            </w:r>
            <w:r>
              <w:rPr>
                <w:sz w:val="24"/>
              </w:rPr>
              <w:t>Egypt</w:t>
            </w:r>
            <w:r>
              <w:rPr>
                <w:spacing w:val="-5"/>
                <w:sz w:val="24"/>
              </w:rPr>
              <w:t xml:space="preserve"> </w:t>
            </w:r>
            <w:r>
              <w:rPr>
                <w:sz w:val="24"/>
              </w:rPr>
              <w:t>–</w:t>
            </w:r>
            <w:r>
              <w:rPr>
                <w:spacing w:val="-5"/>
                <w:sz w:val="24"/>
              </w:rPr>
              <w:t xml:space="preserve"> </w:t>
            </w:r>
            <w:r>
              <w:rPr>
                <w:i/>
                <w:sz w:val="24"/>
              </w:rPr>
              <w:t>Definitive</w:t>
            </w:r>
            <w:r>
              <w:rPr>
                <w:i/>
                <w:spacing w:val="-5"/>
                <w:sz w:val="24"/>
              </w:rPr>
              <w:t xml:space="preserve"> </w:t>
            </w:r>
            <w:r>
              <w:rPr>
                <w:i/>
                <w:sz w:val="24"/>
              </w:rPr>
              <w:t>Anti-Dumping</w:t>
            </w:r>
            <w:r>
              <w:rPr>
                <w:i/>
                <w:spacing w:val="-5"/>
                <w:sz w:val="24"/>
              </w:rPr>
              <w:t xml:space="preserve"> </w:t>
            </w:r>
            <w:r>
              <w:rPr>
                <w:i/>
                <w:sz w:val="24"/>
              </w:rPr>
              <w:t>Measures</w:t>
            </w:r>
            <w:r>
              <w:rPr>
                <w:i/>
                <w:spacing w:val="-8"/>
                <w:sz w:val="24"/>
              </w:rPr>
              <w:t xml:space="preserve"> </w:t>
            </w:r>
            <w:r>
              <w:rPr>
                <w:i/>
                <w:sz w:val="24"/>
              </w:rPr>
              <w:t>on</w:t>
            </w:r>
            <w:r>
              <w:rPr>
                <w:i/>
                <w:spacing w:val="-5"/>
                <w:sz w:val="24"/>
              </w:rPr>
              <w:t xml:space="preserve"> </w:t>
            </w:r>
            <w:r>
              <w:rPr>
                <w:i/>
                <w:sz w:val="24"/>
              </w:rPr>
              <w:t>Steel Rebar from Turkey</w:t>
            </w:r>
            <w:r>
              <w:rPr>
                <w:sz w:val="24"/>
              </w:rPr>
              <w:t xml:space="preserve">, WT/DS211/R, adopted 1 October 2002, DSR </w:t>
            </w:r>
            <w:proofErr w:type="gramStart"/>
            <w:r>
              <w:rPr>
                <w:sz w:val="24"/>
              </w:rPr>
              <w:t>2002:VII</w:t>
            </w:r>
            <w:proofErr w:type="gramEnd"/>
            <w:r>
              <w:rPr>
                <w:sz w:val="24"/>
              </w:rPr>
              <w:t>, p. 2667</w:t>
            </w:r>
          </w:p>
        </w:tc>
      </w:tr>
      <w:tr w:rsidR="00BF2951" w:rsidRPr="00BF2951" w14:paraId="640C6741" w14:textId="77777777" w:rsidTr="00BF2951">
        <w:tc>
          <w:tcPr>
            <w:tcW w:w="2943" w:type="dxa"/>
          </w:tcPr>
          <w:p w14:paraId="5EE63501" w14:textId="55076226" w:rsidR="00BF2951" w:rsidRDefault="00BF2951" w:rsidP="00BF2951">
            <w:pPr>
              <w:rPr>
                <w:i/>
                <w:sz w:val="24"/>
              </w:rPr>
            </w:pPr>
            <w:r>
              <w:rPr>
                <w:i/>
                <w:sz w:val="24"/>
              </w:rPr>
              <w:t>EU</w:t>
            </w:r>
            <w:r>
              <w:rPr>
                <w:i/>
                <w:spacing w:val="-14"/>
                <w:sz w:val="24"/>
              </w:rPr>
              <w:t xml:space="preserve"> </w:t>
            </w:r>
            <w:r>
              <w:rPr>
                <w:i/>
                <w:sz w:val="24"/>
              </w:rPr>
              <w:t>–</w:t>
            </w:r>
            <w:r>
              <w:rPr>
                <w:i/>
                <w:spacing w:val="-14"/>
                <w:sz w:val="24"/>
              </w:rPr>
              <w:t xml:space="preserve"> </w:t>
            </w:r>
            <w:r>
              <w:rPr>
                <w:i/>
                <w:sz w:val="24"/>
              </w:rPr>
              <w:t xml:space="preserve">Biodiesel </w:t>
            </w:r>
            <w:r>
              <w:rPr>
                <w:i/>
                <w:spacing w:val="-2"/>
                <w:sz w:val="24"/>
              </w:rPr>
              <w:t>(Argentina)</w:t>
            </w:r>
          </w:p>
        </w:tc>
        <w:tc>
          <w:tcPr>
            <w:tcW w:w="7403" w:type="dxa"/>
          </w:tcPr>
          <w:p w14:paraId="408C5E5A" w14:textId="174D220D" w:rsidR="00BF2951" w:rsidRDefault="00BF2951" w:rsidP="00BF2951">
            <w:pPr>
              <w:rPr>
                <w:sz w:val="24"/>
              </w:rPr>
            </w:pPr>
            <w:r>
              <w:rPr>
                <w:sz w:val="24"/>
              </w:rPr>
              <w:t xml:space="preserve">Appellate Body Report, </w:t>
            </w:r>
            <w:r>
              <w:rPr>
                <w:i/>
                <w:sz w:val="24"/>
              </w:rPr>
              <w:t>European Union – Anti-Dumping Measures</w:t>
            </w:r>
            <w:r>
              <w:rPr>
                <w:i/>
                <w:spacing w:val="-9"/>
                <w:sz w:val="24"/>
              </w:rPr>
              <w:t xml:space="preserve"> </w:t>
            </w:r>
            <w:r>
              <w:rPr>
                <w:i/>
                <w:sz w:val="24"/>
              </w:rPr>
              <w:t>on</w:t>
            </w:r>
            <w:r>
              <w:rPr>
                <w:i/>
                <w:spacing w:val="-6"/>
                <w:sz w:val="24"/>
              </w:rPr>
              <w:t xml:space="preserve"> </w:t>
            </w:r>
            <w:r>
              <w:rPr>
                <w:i/>
                <w:sz w:val="24"/>
              </w:rPr>
              <w:t>Biodiesel</w:t>
            </w:r>
            <w:r>
              <w:rPr>
                <w:i/>
                <w:spacing w:val="-4"/>
                <w:sz w:val="24"/>
              </w:rPr>
              <w:t xml:space="preserve"> </w:t>
            </w:r>
            <w:r>
              <w:rPr>
                <w:i/>
                <w:sz w:val="24"/>
              </w:rPr>
              <w:t>from</w:t>
            </w:r>
            <w:r>
              <w:rPr>
                <w:i/>
                <w:spacing w:val="-5"/>
                <w:sz w:val="24"/>
              </w:rPr>
              <w:t xml:space="preserve"> </w:t>
            </w:r>
            <w:r>
              <w:rPr>
                <w:i/>
                <w:sz w:val="24"/>
              </w:rPr>
              <w:t>Argentina</w:t>
            </w:r>
            <w:r>
              <w:rPr>
                <w:sz w:val="24"/>
              </w:rPr>
              <w:t>,</w:t>
            </w:r>
            <w:r>
              <w:rPr>
                <w:spacing w:val="-9"/>
                <w:sz w:val="24"/>
              </w:rPr>
              <w:t xml:space="preserve"> </w:t>
            </w:r>
            <w:r>
              <w:rPr>
                <w:sz w:val="24"/>
              </w:rPr>
              <w:t>WT/DS473/AB/R</w:t>
            </w:r>
            <w:r>
              <w:rPr>
                <w:spacing w:val="-8"/>
                <w:sz w:val="24"/>
              </w:rPr>
              <w:t xml:space="preserve"> </w:t>
            </w:r>
            <w:r>
              <w:rPr>
                <w:sz w:val="24"/>
              </w:rPr>
              <w:t>and Add.1, adopted 26 October 2016, DSR 2016:VI, p. 2871</w:t>
            </w:r>
          </w:p>
        </w:tc>
      </w:tr>
      <w:tr w:rsidR="00BF2951" w:rsidRPr="00BF2951" w14:paraId="73F8B8B0" w14:textId="77777777" w:rsidTr="00BF2951">
        <w:tc>
          <w:tcPr>
            <w:tcW w:w="2943" w:type="dxa"/>
          </w:tcPr>
          <w:p w14:paraId="4AE20A2B" w14:textId="052002D3" w:rsidR="00BF2951" w:rsidRDefault="00BF2951" w:rsidP="00BF2951">
            <w:pPr>
              <w:rPr>
                <w:i/>
                <w:sz w:val="24"/>
              </w:rPr>
            </w:pPr>
            <w:r>
              <w:rPr>
                <w:i/>
                <w:sz w:val="24"/>
              </w:rPr>
              <w:t xml:space="preserve">EU - Cost </w:t>
            </w:r>
            <w:r>
              <w:rPr>
                <w:i/>
                <w:spacing w:val="-2"/>
                <w:sz w:val="24"/>
              </w:rPr>
              <w:t xml:space="preserve">Adjustment </w:t>
            </w:r>
            <w:r>
              <w:rPr>
                <w:i/>
                <w:sz w:val="24"/>
              </w:rPr>
              <w:t>Methodologies</w:t>
            </w:r>
            <w:r>
              <w:rPr>
                <w:i/>
                <w:spacing w:val="-14"/>
                <w:sz w:val="24"/>
              </w:rPr>
              <w:t xml:space="preserve"> </w:t>
            </w:r>
            <w:r>
              <w:rPr>
                <w:i/>
                <w:sz w:val="24"/>
              </w:rPr>
              <w:t xml:space="preserve">II </w:t>
            </w:r>
            <w:r>
              <w:rPr>
                <w:i/>
                <w:spacing w:val="-2"/>
                <w:sz w:val="24"/>
              </w:rPr>
              <w:t>(Russia)</w:t>
            </w:r>
          </w:p>
        </w:tc>
        <w:tc>
          <w:tcPr>
            <w:tcW w:w="7403" w:type="dxa"/>
          </w:tcPr>
          <w:p w14:paraId="5CAD007E" w14:textId="381911AC" w:rsidR="00BF2951" w:rsidRDefault="00BF2951" w:rsidP="00BF2951">
            <w:pPr>
              <w:rPr>
                <w:sz w:val="24"/>
              </w:rPr>
            </w:pPr>
            <w:r>
              <w:rPr>
                <w:sz w:val="24"/>
              </w:rPr>
              <w:t>Panel</w:t>
            </w:r>
            <w:r>
              <w:rPr>
                <w:spacing w:val="-4"/>
                <w:sz w:val="24"/>
              </w:rPr>
              <w:t xml:space="preserve"> </w:t>
            </w:r>
            <w:r>
              <w:rPr>
                <w:sz w:val="24"/>
              </w:rPr>
              <w:t>Report,</w:t>
            </w:r>
            <w:r>
              <w:rPr>
                <w:spacing w:val="-4"/>
                <w:sz w:val="24"/>
              </w:rPr>
              <w:t xml:space="preserve"> </w:t>
            </w:r>
            <w:r>
              <w:rPr>
                <w:i/>
                <w:sz w:val="24"/>
              </w:rPr>
              <w:t>European</w:t>
            </w:r>
            <w:r>
              <w:rPr>
                <w:i/>
                <w:spacing w:val="-6"/>
                <w:sz w:val="24"/>
              </w:rPr>
              <w:t xml:space="preserve"> </w:t>
            </w:r>
            <w:r>
              <w:rPr>
                <w:i/>
                <w:sz w:val="24"/>
              </w:rPr>
              <w:t>Union</w:t>
            </w:r>
            <w:r>
              <w:rPr>
                <w:i/>
                <w:spacing w:val="-6"/>
                <w:sz w:val="24"/>
              </w:rPr>
              <w:t xml:space="preserve"> </w:t>
            </w:r>
            <w:r>
              <w:rPr>
                <w:i/>
                <w:sz w:val="24"/>
              </w:rPr>
              <w:t>–</w:t>
            </w:r>
            <w:r>
              <w:rPr>
                <w:i/>
                <w:spacing w:val="-6"/>
                <w:sz w:val="24"/>
              </w:rPr>
              <w:t xml:space="preserve"> </w:t>
            </w:r>
            <w:r>
              <w:rPr>
                <w:i/>
                <w:sz w:val="24"/>
              </w:rPr>
              <w:t>Cost</w:t>
            </w:r>
            <w:r>
              <w:rPr>
                <w:i/>
                <w:spacing w:val="-6"/>
                <w:sz w:val="24"/>
              </w:rPr>
              <w:t xml:space="preserve"> </w:t>
            </w:r>
            <w:r>
              <w:rPr>
                <w:i/>
                <w:sz w:val="24"/>
              </w:rPr>
              <w:t>Adjustment</w:t>
            </w:r>
            <w:r>
              <w:rPr>
                <w:i/>
                <w:spacing w:val="-6"/>
                <w:sz w:val="24"/>
              </w:rPr>
              <w:t xml:space="preserve"> </w:t>
            </w:r>
            <w:r>
              <w:rPr>
                <w:i/>
                <w:sz w:val="24"/>
              </w:rPr>
              <w:t>Methodologies and Certain Anti-Dumping Measures on Imports from Russia (Second Complaint)</w:t>
            </w:r>
            <w:r>
              <w:rPr>
                <w:sz w:val="24"/>
              </w:rPr>
              <w:t xml:space="preserve">, WT/DS494/R and Add.1, circulated to WTO Members 24 </w:t>
            </w:r>
            <w:r>
              <w:rPr>
                <w:sz w:val="24"/>
              </w:rPr>
              <w:lastRenderedPageBreak/>
              <w:t>July 2020, appealed on 28 August 2020</w:t>
            </w:r>
          </w:p>
        </w:tc>
      </w:tr>
      <w:tr w:rsidR="00BF2951" w:rsidRPr="00BF2951" w14:paraId="6A6535A1" w14:textId="77777777" w:rsidTr="00BF2951">
        <w:tc>
          <w:tcPr>
            <w:tcW w:w="2943" w:type="dxa"/>
          </w:tcPr>
          <w:p w14:paraId="27D22CC1" w14:textId="34C7D617" w:rsidR="00BF2951" w:rsidRDefault="00BF2951" w:rsidP="00BF2951">
            <w:pPr>
              <w:rPr>
                <w:i/>
                <w:sz w:val="24"/>
              </w:rPr>
            </w:pPr>
            <w:r>
              <w:rPr>
                <w:i/>
                <w:sz w:val="24"/>
              </w:rPr>
              <w:lastRenderedPageBreak/>
              <w:t>EU</w:t>
            </w:r>
            <w:r>
              <w:rPr>
                <w:i/>
                <w:spacing w:val="-14"/>
                <w:sz w:val="24"/>
              </w:rPr>
              <w:t xml:space="preserve"> </w:t>
            </w:r>
            <w:r>
              <w:rPr>
                <w:i/>
                <w:sz w:val="24"/>
              </w:rPr>
              <w:t>–</w:t>
            </w:r>
            <w:r>
              <w:rPr>
                <w:i/>
                <w:spacing w:val="-14"/>
                <w:sz w:val="24"/>
              </w:rPr>
              <w:t xml:space="preserve"> </w:t>
            </w:r>
            <w:r>
              <w:rPr>
                <w:i/>
                <w:sz w:val="24"/>
              </w:rPr>
              <w:t xml:space="preserve">Energy </w:t>
            </w:r>
            <w:r>
              <w:rPr>
                <w:i/>
                <w:spacing w:val="-2"/>
                <w:sz w:val="24"/>
              </w:rPr>
              <w:t>Package</w:t>
            </w:r>
          </w:p>
        </w:tc>
        <w:tc>
          <w:tcPr>
            <w:tcW w:w="7403" w:type="dxa"/>
          </w:tcPr>
          <w:p w14:paraId="450BA27C" w14:textId="716D0BB1" w:rsidR="00BF2951" w:rsidRDefault="00BF2951" w:rsidP="00BF2951">
            <w:pPr>
              <w:rPr>
                <w:sz w:val="24"/>
              </w:rPr>
            </w:pPr>
            <w:r>
              <w:rPr>
                <w:sz w:val="24"/>
              </w:rPr>
              <w:t xml:space="preserve">Panel Report, </w:t>
            </w:r>
            <w:r>
              <w:rPr>
                <w:i/>
                <w:sz w:val="24"/>
              </w:rPr>
              <w:t xml:space="preserve">European </w:t>
            </w:r>
            <w:proofErr w:type="gramStart"/>
            <w:r>
              <w:rPr>
                <w:i/>
                <w:sz w:val="24"/>
              </w:rPr>
              <w:t>Union</w:t>
            </w:r>
            <w:proofErr w:type="gramEnd"/>
            <w:r>
              <w:rPr>
                <w:i/>
                <w:sz w:val="24"/>
              </w:rPr>
              <w:t xml:space="preserve"> and its member States – Certain Measures</w:t>
            </w:r>
            <w:r>
              <w:rPr>
                <w:i/>
                <w:spacing w:val="-8"/>
                <w:sz w:val="24"/>
              </w:rPr>
              <w:t xml:space="preserve"> </w:t>
            </w:r>
            <w:r>
              <w:rPr>
                <w:i/>
                <w:sz w:val="24"/>
              </w:rPr>
              <w:t>Relating</w:t>
            </w:r>
            <w:r>
              <w:rPr>
                <w:i/>
                <w:spacing w:val="-6"/>
                <w:sz w:val="24"/>
              </w:rPr>
              <w:t xml:space="preserve"> </w:t>
            </w:r>
            <w:r>
              <w:rPr>
                <w:i/>
                <w:sz w:val="24"/>
              </w:rPr>
              <w:t>to</w:t>
            </w:r>
            <w:r>
              <w:rPr>
                <w:i/>
                <w:spacing w:val="-5"/>
                <w:sz w:val="24"/>
              </w:rPr>
              <w:t xml:space="preserve"> </w:t>
            </w:r>
            <w:r>
              <w:rPr>
                <w:i/>
                <w:sz w:val="24"/>
              </w:rPr>
              <w:t>the</w:t>
            </w:r>
            <w:r>
              <w:rPr>
                <w:i/>
                <w:spacing w:val="-6"/>
                <w:sz w:val="24"/>
              </w:rPr>
              <w:t xml:space="preserve"> </w:t>
            </w:r>
            <w:r>
              <w:rPr>
                <w:i/>
                <w:sz w:val="24"/>
              </w:rPr>
              <w:t>Energy</w:t>
            </w:r>
            <w:r>
              <w:rPr>
                <w:i/>
                <w:spacing w:val="-8"/>
                <w:sz w:val="24"/>
              </w:rPr>
              <w:t xml:space="preserve"> </w:t>
            </w:r>
            <w:r>
              <w:rPr>
                <w:i/>
                <w:sz w:val="24"/>
              </w:rPr>
              <w:t>Sector</w:t>
            </w:r>
            <w:r>
              <w:rPr>
                <w:sz w:val="24"/>
              </w:rPr>
              <w:t>,</w:t>
            </w:r>
            <w:r>
              <w:rPr>
                <w:spacing w:val="-4"/>
                <w:sz w:val="24"/>
              </w:rPr>
              <w:t xml:space="preserve"> </w:t>
            </w:r>
            <w:r>
              <w:rPr>
                <w:sz w:val="24"/>
              </w:rPr>
              <w:t>WT/DS476/R</w:t>
            </w:r>
            <w:r>
              <w:rPr>
                <w:spacing w:val="-7"/>
                <w:sz w:val="24"/>
              </w:rPr>
              <w:t xml:space="preserve"> </w:t>
            </w:r>
            <w:r>
              <w:rPr>
                <w:sz w:val="24"/>
              </w:rPr>
              <w:t>and</w:t>
            </w:r>
            <w:r>
              <w:rPr>
                <w:spacing w:val="-7"/>
                <w:sz w:val="24"/>
              </w:rPr>
              <w:t xml:space="preserve"> </w:t>
            </w:r>
            <w:r>
              <w:rPr>
                <w:sz w:val="24"/>
              </w:rPr>
              <w:t>Add.1, circulated to WTO Members 10 August 2018, appealed on 21 September 2018</w:t>
            </w:r>
          </w:p>
        </w:tc>
      </w:tr>
      <w:tr w:rsidR="00BF2951" w:rsidRPr="00BF2951" w14:paraId="72957BEC" w14:textId="77777777" w:rsidTr="00BF2951">
        <w:tc>
          <w:tcPr>
            <w:tcW w:w="2943" w:type="dxa"/>
          </w:tcPr>
          <w:p w14:paraId="47C73F60" w14:textId="7F666F3F" w:rsidR="00BF2951" w:rsidRDefault="00BF2951" w:rsidP="00BF2951">
            <w:pPr>
              <w:rPr>
                <w:i/>
                <w:sz w:val="24"/>
              </w:rPr>
            </w:pPr>
            <w:r>
              <w:rPr>
                <w:i/>
                <w:sz w:val="24"/>
              </w:rPr>
              <w:t>EU</w:t>
            </w:r>
            <w:r>
              <w:rPr>
                <w:i/>
                <w:spacing w:val="-10"/>
                <w:sz w:val="24"/>
              </w:rPr>
              <w:t xml:space="preserve"> </w:t>
            </w:r>
            <w:r>
              <w:rPr>
                <w:i/>
                <w:sz w:val="24"/>
              </w:rPr>
              <w:t>—</w:t>
            </w:r>
            <w:r>
              <w:rPr>
                <w:i/>
                <w:spacing w:val="-11"/>
                <w:sz w:val="24"/>
              </w:rPr>
              <w:t xml:space="preserve"> </w:t>
            </w:r>
            <w:r>
              <w:rPr>
                <w:i/>
                <w:sz w:val="24"/>
              </w:rPr>
              <w:t>Fatty</w:t>
            </w:r>
            <w:r>
              <w:rPr>
                <w:i/>
                <w:spacing w:val="-12"/>
                <w:sz w:val="24"/>
              </w:rPr>
              <w:t xml:space="preserve"> </w:t>
            </w:r>
            <w:r>
              <w:rPr>
                <w:i/>
                <w:sz w:val="24"/>
              </w:rPr>
              <w:t xml:space="preserve">Alcohols </w:t>
            </w:r>
            <w:r>
              <w:rPr>
                <w:i/>
                <w:spacing w:val="-2"/>
                <w:sz w:val="24"/>
              </w:rPr>
              <w:t>(Indonesia)</w:t>
            </w:r>
          </w:p>
        </w:tc>
        <w:tc>
          <w:tcPr>
            <w:tcW w:w="7403" w:type="dxa"/>
          </w:tcPr>
          <w:p w14:paraId="41D71034" w14:textId="17C6BE19" w:rsidR="00BF2951" w:rsidRDefault="00BF2951" w:rsidP="00BF2951">
            <w:pPr>
              <w:rPr>
                <w:sz w:val="24"/>
              </w:rPr>
            </w:pPr>
            <w:r>
              <w:rPr>
                <w:sz w:val="24"/>
              </w:rPr>
              <w:t xml:space="preserve">Appellate Body Report, </w:t>
            </w:r>
            <w:r>
              <w:rPr>
                <w:i/>
                <w:sz w:val="24"/>
              </w:rPr>
              <w:t>European Union – Anti-Dumping Measures</w:t>
            </w:r>
            <w:r>
              <w:rPr>
                <w:i/>
                <w:spacing w:val="-5"/>
                <w:sz w:val="24"/>
              </w:rPr>
              <w:t xml:space="preserve"> </w:t>
            </w:r>
            <w:r>
              <w:rPr>
                <w:i/>
                <w:sz w:val="24"/>
              </w:rPr>
              <w:t>on</w:t>
            </w:r>
            <w:r>
              <w:rPr>
                <w:i/>
                <w:spacing w:val="-2"/>
                <w:sz w:val="24"/>
              </w:rPr>
              <w:t xml:space="preserve"> </w:t>
            </w:r>
            <w:r>
              <w:rPr>
                <w:i/>
                <w:sz w:val="24"/>
              </w:rPr>
              <w:t>Imports</w:t>
            </w:r>
            <w:r>
              <w:rPr>
                <w:i/>
                <w:spacing w:val="-5"/>
                <w:sz w:val="24"/>
              </w:rPr>
              <w:t xml:space="preserve"> </w:t>
            </w:r>
            <w:r>
              <w:rPr>
                <w:i/>
                <w:sz w:val="24"/>
              </w:rPr>
              <w:t>of</w:t>
            </w:r>
            <w:r>
              <w:rPr>
                <w:i/>
                <w:spacing w:val="-4"/>
                <w:sz w:val="24"/>
              </w:rPr>
              <w:t xml:space="preserve"> </w:t>
            </w:r>
            <w:r>
              <w:rPr>
                <w:i/>
                <w:sz w:val="24"/>
              </w:rPr>
              <w:t>Certain</w:t>
            </w:r>
            <w:r>
              <w:rPr>
                <w:i/>
                <w:spacing w:val="-2"/>
                <w:sz w:val="24"/>
              </w:rPr>
              <w:t xml:space="preserve"> </w:t>
            </w:r>
            <w:r>
              <w:rPr>
                <w:i/>
                <w:sz w:val="24"/>
              </w:rPr>
              <w:t>Fatty</w:t>
            </w:r>
            <w:r>
              <w:rPr>
                <w:i/>
                <w:spacing w:val="-5"/>
                <w:sz w:val="24"/>
              </w:rPr>
              <w:t xml:space="preserve"> </w:t>
            </w:r>
            <w:r>
              <w:rPr>
                <w:i/>
                <w:sz w:val="24"/>
              </w:rPr>
              <w:t>Alcohols</w:t>
            </w:r>
            <w:r>
              <w:rPr>
                <w:i/>
                <w:spacing w:val="-5"/>
                <w:sz w:val="24"/>
              </w:rPr>
              <w:t xml:space="preserve"> </w:t>
            </w:r>
            <w:r>
              <w:rPr>
                <w:i/>
                <w:sz w:val="24"/>
              </w:rPr>
              <w:t>from</w:t>
            </w:r>
            <w:r>
              <w:rPr>
                <w:i/>
                <w:spacing w:val="-1"/>
                <w:sz w:val="24"/>
              </w:rPr>
              <w:t xml:space="preserve"> </w:t>
            </w:r>
            <w:r>
              <w:rPr>
                <w:i/>
                <w:sz w:val="24"/>
              </w:rPr>
              <w:t>Indonesia</w:t>
            </w:r>
            <w:r>
              <w:rPr>
                <w:sz w:val="24"/>
              </w:rPr>
              <w:t>, WT/DS442/AB/R</w:t>
            </w:r>
            <w:r>
              <w:rPr>
                <w:spacing w:val="-7"/>
                <w:sz w:val="24"/>
              </w:rPr>
              <w:t xml:space="preserve"> </w:t>
            </w:r>
            <w:r>
              <w:rPr>
                <w:sz w:val="24"/>
              </w:rPr>
              <w:t>and</w:t>
            </w:r>
            <w:r>
              <w:rPr>
                <w:spacing w:val="-7"/>
                <w:sz w:val="24"/>
              </w:rPr>
              <w:t xml:space="preserve"> </w:t>
            </w:r>
            <w:r>
              <w:rPr>
                <w:sz w:val="24"/>
              </w:rPr>
              <w:t>Add.1,</w:t>
            </w:r>
            <w:r>
              <w:rPr>
                <w:spacing w:val="-4"/>
                <w:sz w:val="24"/>
              </w:rPr>
              <w:t xml:space="preserve"> </w:t>
            </w:r>
            <w:r>
              <w:rPr>
                <w:sz w:val="24"/>
              </w:rPr>
              <w:t>adopted</w:t>
            </w:r>
            <w:r>
              <w:rPr>
                <w:spacing w:val="-7"/>
                <w:sz w:val="24"/>
              </w:rPr>
              <w:t xml:space="preserve"> </w:t>
            </w:r>
            <w:r>
              <w:rPr>
                <w:sz w:val="24"/>
              </w:rPr>
              <w:t>29</w:t>
            </w:r>
            <w:r>
              <w:rPr>
                <w:spacing w:val="-8"/>
                <w:sz w:val="24"/>
              </w:rPr>
              <w:t xml:space="preserve"> </w:t>
            </w:r>
            <w:r>
              <w:rPr>
                <w:sz w:val="24"/>
              </w:rPr>
              <w:t>September</w:t>
            </w:r>
            <w:r>
              <w:rPr>
                <w:spacing w:val="-8"/>
                <w:sz w:val="24"/>
              </w:rPr>
              <w:t xml:space="preserve"> </w:t>
            </w:r>
            <w:r>
              <w:rPr>
                <w:sz w:val="24"/>
              </w:rPr>
              <w:t>2017,</w:t>
            </w:r>
            <w:r>
              <w:rPr>
                <w:spacing w:val="-3"/>
                <w:sz w:val="24"/>
              </w:rPr>
              <w:t xml:space="preserve"> </w:t>
            </w:r>
            <w:r>
              <w:rPr>
                <w:sz w:val="24"/>
              </w:rPr>
              <w:t>DSR 2017:VI, p. 2613</w:t>
            </w:r>
          </w:p>
        </w:tc>
      </w:tr>
      <w:tr w:rsidR="00BF2951" w:rsidRPr="00BF2951" w14:paraId="2CA00CB7" w14:textId="77777777" w:rsidTr="00BF2951">
        <w:tc>
          <w:tcPr>
            <w:tcW w:w="2943" w:type="dxa"/>
          </w:tcPr>
          <w:p w14:paraId="286074C3" w14:textId="3AC9CB2C" w:rsidR="00BF2951" w:rsidRDefault="00BF2951" w:rsidP="00BF2951">
            <w:pPr>
              <w:rPr>
                <w:i/>
                <w:sz w:val="24"/>
              </w:rPr>
            </w:pPr>
            <w:r>
              <w:rPr>
                <w:i/>
                <w:sz w:val="24"/>
              </w:rPr>
              <w:t>EU</w:t>
            </w:r>
            <w:r>
              <w:rPr>
                <w:i/>
                <w:spacing w:val="-14"/>
                <w:sz w:val="24"/>
              </w:rPr>
              <w:t xml:space="preserve"> </w:t>
            </w:r>
            <w:r>
              <w:rPr>
                <w:i/>
                <w:sz w:val="24"/>
              </w:rPr>
              <w:t>–</w:t>
            </w:r>
            <w:r>
              <w:rPr>
                <w:i/>
                <w:spacing w:val="-14"/>
                <w:sz w:val="24"/>
              </w:rPr>
              <w:t xml:space="preserve"> </w:t>
            </w:r>
            <w:r>
              <w:rPr>
                <w:i/>
                <w:sz w:val="24"/>
              </w:rPr>
              <w:t xml:space="preserve">Footwear </w:t>
            </w:r>
            <w:r>
              <w:rPr>
                <w:i/>
                <w:spacing w:val="-2"/>
                <w:sz w:val="24"/>
              </w:rPr>
              <w:t>(China)</w:t>
            </w:r>
          </w:p>
        </w:tc>
        <w:tc>
          <w:tcPr>
            <w:tcW w:w="7403" w:type="dxa"/>
          </w:tcPr>
          <w:p w14:paraId="176C30FD" w14:textId="6A841F23" w:rsidR="00BF2951" w:rsidRDefault="00BF2951" w:rsidP="00BF2951">
            <w:pPr>
              <w:rPr>
                <w:sz w:val="24"/>
              </w:rPr>
            </w:pPr>
            <w:r>
              <w:rPr>
                <w:sz w:val="24"/>
              </w:rPr>
              <w:t xml:space="preserve">Panel Report, </w:t>
            </w:r>
            <w:r>
              <w:rPr>
                <w:i/>
                <w:sz w:val="24"/>
              </w:rPr>
              <w:t>European Union – Anti-Dumping Measures on Certain</w:t>
            </w:r>
            <w:r>
              <w:rPr>
                <w:i/>
                <w:spacing w:val="-6"/>
                <w:sz w:val="24"/>
              </w:rPr>
              <w:t xml:space="preserve"> </w:t>
            </w:r>
            <w:r>
              <w:rPr>
                <w:i/>
                <w:sz w:val="24"/>
              </w:rPr>
              <w:t>Footwear</w:t>
            </w:r>
            <w:r>
              <w:rPr>
                <w:i/>
                <w:spacing w:val="-8"/>
                <w:sz w:val="24"/>
              </w:rPr>
              <w:t xml:space="preserve"> </w:t>
            </w:r>
            <w:r>
              <w:rPr>
                <w:i/>
                <w:sz w:val="24"/>
              </w:rPr>
              <w:t>from</w:t>
            </w:r>
            <w:r>
              <w:rPr>
                <w:i/>
                <w:spacing w:val="-5"/>
                <w:sz w:val="24"/>
              </w:rPr>
              <w:t xml:space="preserve"> </w:t>
            </w:r>
            <w:r>
              <w:rPr>
                <w:i/>
                <w:sz w:val="24"/>
              </w:rPr>
              <w:t>China</w:t>
            </w:r>
            <w:r>
              <w:rPr>
                <w:sz w:val="24"/>
              </w:rPr>
              <w:t>,</w:t>
            </w:r>
            <w:r>
              <w:rPr>
                <w:spacing w:val="-4"/>
                <w:sz w:val="24"/>
              </w:rPr>
              <w:t xml:space="preserve"> </w:t>
            </w:r>
            <w:r>
              <w:rPr>
                <w:sz w:val="24"/>
              </w:rPr>
              <w:t>WT/DS405/R,</w:t>
            </w:r>
            <w:r>
              <w:rPr>
                <w:spacing w:val="-4"/>
                <w:sz w:val="24"/>
              </w:rPr>
              <w:t xml:space="preserve"> </w:t>
            </w:r>
            <w:r>
              <w:rPr>
                <w:sz w:val="24"/>
              </w:rPr>
              <w:t>adopted</w:t>
            </w:r>
            <w:r>
              <w:rPr>
                <w:spacing w:val="-8"/>
                <w:sz w:val="24"/>
              </w:rPr>
              <w:t xml:space="preserve"> </w:t>
            </w:r>
            <w:r>
              <w:rPr>
                <w:sz w:val="24"/>
              </w:rPr>
              <w:t>22</w:t>
            </w:r>
            <w:r>
              <w:rPr>
                <w:spacing w:val="-9"/>
                <w:sz w:val="24"/>
              </w:rPr>
              <w:t xml:space="preserve"> </w:t>
            </w:r>
            <w:r>
              <w:rPr>
                <w:sz w:val="24"/>
              </w:rPr>
              <w:t xml:space="preserve">February 2012, DSR </w:t>
            </w:r>
            <w:proofErr w:type="gramStart"/>
            <w:r>
              <w:rPr>
                <w:sz w:val="24"/>
              </w:rPr>
              <w:t>2012:IX</w:t>
            </w:r>
            <w:proofErr w:type="gramEnd"/>
            <w:r>
              <w:rPr>
                <w:sz w:val="24"/>
              </w:rPr>
              <w:t>, p. 4585</w:t>
            </w:r>
          </w:p>
        </w:tc>
      </w:tr>
      <w:tr w:rsidR="00BF2951" w:rsidRPr="00BF2951" w14:paraId="4EAD04B5" w14:textId="77777777" w:rsidTr="00BF2951">
        <w:tc>
          <w:tcPr>
            <w:tcW w:w="2943" w:type="dxa"/>
          </w:tcPr>
          <w:p w14:paraId="131481CE" w14:textId="69AB7ED8" w:rsidR="00BF2951" w:rsidRDefault="00BF2951" w:rsidP="00BF2951">
            <w:pPr>
              <w:rPr>
                <w:i/>
                <w:sz w:val="24"/>
              </w:rPr>
            </w:pPr>
            <w:r>
              <w:rPr>
                <w:i/>
                <w:sz w:val="24"/>
              </w:rPr>
              <w:t>EU</w:t>
            </w:r>
            <w:r>
              <w:rPr>
                <w:i/>
                <w:spacing w:val="-2"/>
                <w:sz w:val="24"/>
              </w:rPr>
              <w:t xml:space="preserve"> </w:t>
            </w:r>
            <w:r>
              <w:rPr>
                <w:i/>
                <w:sz w:val="24"/>
              </w:rPr>
              <w:t>–</w:t>
            </w:r>
            <w:r>
              <w:rPr>
                <w:i/>
                <w:spacing w:val="-1"/>
                <w:sz w:val="24"/>
              </w:rPr>
              <w:t xml:space="preserve"> </w:t>
            </w:r>
            <w:r>
              <w:rPr>
                <w:i/>
                <w:sz w:val="24"/>
              </w:rPr>
              <w:t>PET</w:t>
            </w:r>
            <w:r>
              <w:rPr>
                <w:i/>
                <w:spacing w:val="-4"/>
                <w:sz w:val="24"/>
              </w:rPr>
              <w:t xml:space="preserve"> </w:t>
            </w:r>
            <w:r>
              <w:rPr>
                <w:i/>
                <w:spacing w:val="-2"/>
                <w:sz w:val="24"/>
              </w:rPr>
              <w:t>(Pakistan)</w:t>
            </w:r>
          </w:p>
        </w:tc>
        <w:tc>
          <w:tcPr>
            <w:tcW w:w="7403" w:type="dxa"/>
          </w:tcPr>
          <w:p w14:paraId="14C46D97" w14:textId="732E0B58" w:rsidR="00BF2951" w:rsidRDefault="00BF2951" w:rsidP="00BF2951">
            <w:pPr>
              <w:rPr>
                <w:sz w:val="24"/>
              </w:rPr>
            </w:pPr>
            <w:r>
              <w:rPr>
                <w:sz w:val="24"/>
              </w:rPr>
              <w:t xml:space="preserve">Panel Report, </w:t>
            </w:r>
            <w:r>
              <w:rPr>
                <w:i/>
                <w:sz w:val="24"/>
              </w:rPr>
              <w:t>European Union – Countervailing Measures on Certain</w:t>
            </w:r>
            <w:r>
              <w:rPr>
                <w:i/>
                <w:spacing w:val="-8"/>
                <w:sz w:val="24"/>
              </w:rPr>
              <w:t xml:space="preserve"> </w:t>
            </w:r>
            <w:r>
              <w:rPr>
                <w:i/>
                <w:sz w:val="24"/>
              </w:rPr>
              <w:t>Polyethylene</w:t>
            </w:r>
            <w:r>
              <w:rPr>
                <w:i/>
                <w:spacing w:val="-8"/>
                <w:sz w:val="24"/>
              </w:rPr>
              <w:t xml:space="preserve"> </w:t>
            </w:r>
            <w:r>
              <w:rPr>
                <w:i/>
                <w:sz w:val="24"/>
              </w:rPr>
              <w:t>Terephthalate</w:t>
            </w:r>
            <w:r>
              <w:rPr>
                <w:i/>
                <w:spacing w:val="-8"/>
                <w:sz w:val="24"/>
              </w:rPr>
              <w:t xml:space="preserve"> </w:t>
            </w:r>
            <w:r>
              <w:rPr>
                <w:i/>
                <w:sz w:val="24"/>
              </w:rPr>
              <w:t>from</w:t>
            </w:r>
            <w:r>
              <w:rPr>
                <w:i/>
                <w:spacing w:val="-7"/>
                <w:sz w:val="24"/>
              </w:rPr>
              <w:t xml:space="preserve"> </w:t>
            </w:r>
            <w:r>
              <w:rPr>
                <w:i/>
                <w:sz w:val="24"/>
              </w:rPr>
              <w:t>Pakistan</w:t>
            </w:r>
            <w:r>
              <w:rPr>
                <w:sz w:val="24"/>
              </w:rPr>
              <w:t>,</w:t>
            </w:r>
            <w:r>
              <w:rPr>
                <w:spacing w:val="-11"/>
                <w:sz w:val="24"/>
              </w:rPr>
              <w:t xml:space="preserve"> </w:t>
            </w:r>
            <w:r>
              <w:rPr>
                <w:sz w:val="24"/>
              </w:rPr>
              <w:t xml:space="preserve">WT/DS486/R, Add.1 and Corr.1, adopted 28 May 2018, as modified by Appellate Body Report WT/DS486/AB/R, DSR </w:t>
            </w:r>
            <w:proofErr w:type="gramStart"/>
            <w:r>
              <w:rPr>
                <w:sz w:val="24"/>
              </w:rPr>
              <w:t>2018:IV</w:t>
            </w:r>
            <w:proofErr w:type="gramEnd"/>
            <w:r>
              <w:rPr>
                <w:sz w:val="24"/>
              </w:rPr>
              <w:t>, p. 1739</w:t>
            </w:r>
          </w:p>
        </w:tc>
      </w:tr>
      <w:tr w:rsidR="00BF2951" w:rsidRPr="00BF2951" w14:paraId="17090587" w14:textId="77777777" w:rsidTr="00BF2951">
        <w:tc>
          <w:tcPr>
            <w:tcW w:w="2943" w:type="dxa"/>
          </w:tcPr>
          <w:p w14:paraId="5E9A7F33" w14:textId="487617DE" w:rsidR="00BF2951" w:rsidRDefault="00BF2951" w:rsidP="00BF2951">
            <w:pPr>
              <w:rPr>
                <w:i/>
                <w:sz w:val="24"/>
              </w:rPr>
            </w:pPr>
            <w:r>
              <w:rPr>
                <w:i/>
                <w:sz w:val="24"/>
              </w:rPr>
              <w:t>EU</w:t>
            </w:r>
            <w:r>
              <w:rPr>
                <w:i/>
                <w:spacing w:val="-2"/>
                <w:sz w:val="24"/>
              </w:rPr>
              <w:t xml:space="preserve"> </w:t>
            </w:r>
            <w:r>
              <w:rPr>
                <w:i/>
                <w:sz w:val="24"/>
              </w:rPr>
              <w:t>–</w:t>
            </w:r>
            <w:r>
              <w:rPr>
                <w:i/>
                <w:spacing w:val="-1"/>
                <w:sz w:val="24"/>
              </w:rPr>
              <w:t xml:space="preserve"> </w:t>
            </w:r>
            <w:r>
              <w:rPr>
                <w:i/>
                <w:sz w:val="24"/>
              </w:rPr>
              <w:t>PET</w:t>
            </w:r>
            <w:r>
              <w:rPr>
                <w:i/>
                <w:spacing w:val="-4"/>
                <w:sz w:val="24"/>
              </w:rPr>
              <w:t xml:space="preserve"> </w:t>
            </w:r>
            <w:r>
              <w:rPr>
                <w:i/>
                <w:spacing w:val="-2"/>
                <w:sz w:val="24"/>
              </w:rPr>
              <w:t>(Pakistan)</w:t>
            </w:r>
          </w:p>
        </w:tc>
        <w:tc>
          <w:tcPr>
            <w:tcW w:w="7403" w:type="dxa"/>
          </w:tcPr>
          <w:p w14:paraId="757E84E0" w14:textId="77777777" w:rsidR="00BF2951" w:rsidRDefault="00BF2951" w:rsidP="00BF2951">
            <w:pPr>
              <w:pStyle w:val="TableParagraph"/>
              <w:spacing w:before="40" w:line="242" w:lineRule="auto"/>
              <w:ind w:left="105" w:right="101"/>
              <w:rPr>
                <w:sz w:val="24"/>
              </w:rPr>
            </w:pPr>
            <w:r>
              <w:rPr>
                <w:sz w:val="24"/>
              </w:rPr>
              <w:t xml:space="preserve">Appellate Body Report, </w:t>
            </w:r>
            <w:r>
              <w:rPr>
                <w:i/>
                <w:sz w:val="24"/>
              </w:rPr>
              <w:t>European Union – Countervailing Measures on Certain Polyethylene Terephthalate from Pakistan</w:t>
            </w:r>
            <w:r>
              <w:rPr>
                <w:sz w:val="24"/>
              </w:rPr>
              <w:t>, WT/DS486/AB/R</w:t>
            </w:r>
            <w:r>
              <w:rPr>
                <w:spacing w:val="-7"/>
                <w:sz w:val="24"/>
              </w:rPr>
              <w:t xml:space="preserve"> </w:t>
            </w:r>
            <w:r>
              <w:rPr>
                <w:sz w:val="24"/>
              </w:rPr>
              <w:t>and</w:t>
            </w:r>
            <w:r>
              <w:rPr>
                <w:spacing w:val="-7"/>
                <w:sz w:val="24"/>
              </w:rPr>
              <w:t xml:space="preserve"> </w:t>
            </w:r>
            <w:r>
              <w:rPr>
                <w:sz w:val="24"/>
              </w:rPr>
              <w:t>Add.1,</w:t>
            </w:r>
            <w:r>
              <w:rPr>
                <w:spacing w:val="-4"/>
                <w:sz w:val="24"/>
              </w:rPr>
              <w:t xml:space="preserve"> </w:t>
            </w:r>
            <w:r>
              <w:rPr>
                <w:sz w:val="24"/>
              </w:rPr>
              <w:t>adopted</w:t>
            </w:r>
            <w:r>
              <w:rPr>
                <w:spacing w:val="-7"/>
                <w:sz w:val="24"/>
              </w:rPr>
              <w:t xml:space="preserve"> </w:t>
            </w:r>
            <w:r>
              <w:rPr>
                <w:sz w:val="24"/>
              </w:rPr>
              <w:t>28</w:t>
            </w:r>
            <w:r>
              <w:rPr>
                <w:spacing w:val="-8"/>
                <w:sz w:val="24"/>
              </w:rPr>
              <w:t xml:space="preserve"> </w:t>
            </w:r>
            <w:r>
              <w:rPr>
                <w:sz w:val="24"/>
              </w:rPr>
              <w:t>May</w:t>
            </w:r>
            <w:r>
              <w:rPr>
                <w:spacing w:val="-4"/>
                <w:sz w:val="24"/>
              </w:rPr>
              <w:t xml:space="preserve"> </w:t>
            </w:r>
            <w:r>
              <w:rPr>
                <w:sz w:val="24"/>
              </w:rPr>
              <w:t>2018,</w:t>
            </w:r>
            <w:r>
              <w:rPr>
                <w:spacing w:val="-4"/>
                <w:sz w:val="24"/>
              </w:rPr>
              <w:t xml:space="preserve"> </w:t>
            </w:r>
            <w:r>
              <w:rPr>
                <w:sz w:val="24"/>
              </w:rPr>
              <w:t>DSR</w:t>
            </w:r>
            <w:r>
              <w:rPr>
                <w:spacing w:val="-7"/>
                <w:sz w:val="24"/>
              </w:rPr>
              <w:t xml:space="preserve"> </w:t>
            </w:r>
            <w:proofErr w:type="gramStart"/>
            <w:r>
              <w:rPr>
                <w:sz w:val="24"/>
              </w:rPr>
              <w:t>2018:IV</w:t>
            </w:r>
            <w:proofErr w:type="gramEnd"/>
            <w:r>
              <w:rPr>
                <w:sz w:val="24"/>
              </w:rPr>
              <w:t>,</w:t>
            </w:r>
          </w:p>
          <w:p w14:paraId="680EB37F" w14:textId="11BC6E6D" w:rsidR="00BF2951" w:rsidRDefault="00BF2951" w:rsidP="00BF2951">
            <w:pPr>
              <w:rPr>
                <w:sz w:val="24"/>
              </w:rPr>
            </w:pPr>
            <w:r>
              <w:rPr>
                <w:sz w:val="24"/>
              </w:rPr>
              <w:t>p.</w:t>
            </w:r>
            <w:r>
              <w:rPr>
                <w:spacing w:val="-2"/>
                <w:sz w:val="24"/>
              </w:rPr>
              <w:t xml:space="preserve"> </w:t>
            </w:r>
            <w:r>
              <w:rPr>
                <w:spacing w:val="-4"/>
                <w:sz w:val="24"/>
              </w:rPr>
              <w:t>1615</w:t>
            </w:r>
          </w:p>
        </w:tc>
      </w:tr>
      <w:tr w:rsidR="00BF2951" w:rsidRPr="00BF2951" w14:paraId="65FE75BC" w14:textId="77777777" w:rsidTr="00BF2951">
        <w:tc>
          <w:tcPr>
            <w:tcW w:w="2943" w:type="dxa"/>
          </w:tcPr>
          <w:p w14:paraId="5025BF38" w14:textId="04E5188E" w:rsidR="00BF2951" w:rsidRDefault="00BF2951" w:rsidP="00BF2951">
            <w:pPr>
              <w:rPr>
                <w:i/>
                <w:sz w:val="24"/>
              </w:rPr>
            </w:pPr>
            <w:r>
              <w:rPr>
                <w:i/>
                <w:sz w:val="24"/>
              </w:rPr>
              <w:t>India</w:t>
            </w:r>
            <w:r>
              <w:rPr>
                <w:i/>
                <w:spacing w:val="-2"/>
                <w:sz w:val="24"/>
              </w:rPr>
              <w:t xml:space="preserve"> </w:t>
            </w:r>
            <w:r>
              <w:rPr>
                <w:i/>
                <w:sz w:val="24"/>
              </w:rPr>
              <w:t>—</w:t>
            </w:r>
            <w:r>
              <w:rPr>
                <w:i/>
                <w:spacing w:val="-2"/>
                <w:sz w:val="24"/>
              </w:rPr>
              <w:t xml:space="preserve"> </w:t>
            </w:r>
            <w:r>
              <w:rPr>
                <w:i/>
                <w:sz w:val="24"/>
              </w:rPr>
              <w:t>Patents</w:t>
            </w:r>
            <w:r>
              <w:rPr>
                <w:i/>
                <w:spacing w:val="-2"/>
                <w:sz w:val="24"/>
              </w:rPr>
              <w:t xml:space="preserve"> </w:t>
            </w:r>
            <w:r>
              <w:rPr>
                <w:i/>
                <w:spacing w:val="-4"/>
                <w:sz w:val="24"/>
              </w:rPr>
              <w:t>(EC)</w:t>
            </w:r>
          </w:p>
        </w:tc>
        <w:tc>
          <w:tcPr>
            <w:tcW w:w="7403" w:type="dxa"/>
          </w:tcPr>
          <w:p w14:paraId="5325A381" w14:textId="63EBA19A" w:rsidR="00BF2951" w:rsidRDefault="00BF2951" w:rsidP="00BF2951">
            <w:pPr>
              <w:rPr>
                <w:sz w:val="24"/>
              </w:rPr>
            </w:pPr>
            <w:r>
              <w:rPr>
                <w:sz w:val="24"/>
              </w:rPr>
              <w:t xml:space="preserve">Panel Report, </w:t>
            </w:r>
            <w:r>
              <w:rPr>
                <w:i/>
                <w:sz w:val="24"/>
              </w:rPr>
              <w:t>India – Patent Protection for Pharmaceutical and Agricultural Chemical Products, Complaint by the European Communities</w:t>
            </w:r>
            <w:r>
              <w:rPr>
                <w:i/>
                <w:spacing w:val="-8"/>
                <w:sz w:val="24"/>
              </w:rPr>
              <w:t xml:space="preserve"> </w:t>
            </w:r>
            <w:r>
              <w:rPr>
                <w:i/>
                <w:sz w:val="24"/>
              </w:rPr>
              <w:t>and</w:t>
            </w:r>
            <w:r>
              <w:rPr>
                <w:i/>
                <w:spacing w:val="-5"/>
                <w:sz w:val="24"/>
              </w:rPr>
              <w:t xml:space="preserve"> </w:t>
            </w:r>
            <w:r>
              <w:rPr>
                <w:i/>
                <w:sz w:val="24"/>
              </w:rPr>
              <w:t>their</w:t>
            </w:r>
            <w:r>
              <w:rPr>
                <w:i/>
                <w:spacing w:val="-7"/>
                <w:sz w:val="24"/>
              </w:rPr>
              <w:t xml:space="preserve"> </w:t>
            </w:r>
            <w:r>
              <w:rPr>
                <w:i/>
                <w:sz w:val="24"/>
              </w:rPr>
              <w:t>member</w:t>
            </w:r>
            <w:r>
              <w:rPr>
                <w:i/>
                <w:spacing w:val="-7"/>
                <w:sz w:val="24"/>
              </w:rPr>
              <w:t xml:space="preserve"> </w:t>
            </w:r>
            <w:r>
              <w:rPr>
                <w:i/>
                <w:sz w:val="24"/>
              </w:rPr>
              <w:t>States</w:t>
            </w:r>
            <w:r>
              <w:rPr>
                <w:sz w:val="24"/>
              </w:rPr>
              <w:t>,</w:t>
            </w:r>
            <w:r>
              <w:rPr>
                <w:spacing w:val="-4"/>
                <w:sz w:val="24"/>
              </w:rPr>
              <w:t xml:space="preserve"> </w:t>
            </w:r>
            <w:r>
              <w:rPr>
                <w:sz w:val="24"/>
              </w:rPr>
              <w:t>WT/DS79/R,</w:t>
            </w:r>
            <w:r>
              <w:rPr>
                <w:spacing w:val="-4"/>
                <w:sz w:val="24"/>
              </w:rPr>
              <w:t xml:space="preserve"> </w:t>
            </w:r>
            <w:r>
              <w:rPr>
                <w:sz w:val="24"/>
              </w:rPr>
              <w:t>adopted</w:t>
            </w:r>
            <w:r>
              <w:rPr>
                <w:spacing w:val="-7"/>
                <w:sz w:val="24"/>
              </w:rPr>
              <w:t xml:space="preserve"> </w:t>
            </w:r>
            <w:r>
              <w:rPr>
                <w:sz w:val="24"/>
              </w:rPr>
              <w:t>22 September 1998, DSR 1998:VI, p. 2661</w:t>
            </w:r>
          </w:p>
        </w:tc>
      </w:tr>
      <w:tr w:rsidR="00BF2951" w:rsidRPr="00BF2951" w14:paraId="18C0E396" w14:textId="77777777" w:rsidTr="00BF2951">
        <w:tc>
          <w:tcPr>
            <w:tcW w:w="2943" w:type="dxa"/>
          </w:tcPr>
          <w:p w14:paraId="6DF7A062" w14:textId="61A37C9E" w:rsidR="00BF2951" w:rsidRDefault="00BF2951" w:rsidP="00BF2951">
            <w:pPr>
              <w:rPr>
                <w:i/>
                <w:sz w:val="24"/>
              </w:rPr>
            </w:pPr>
            <w:r>
              <w:rPr>
                <w:i/>
                <w:sz w:val="24"/>
              </w:rPr>
              <w:t>Japan</w:t>
            </w:r>
            <w:r>
              <w:rPr>
                <w:i/>
                <w:spacing w:val="-14"/>
                <w:sz w:val="24"/>
              </w:rPr>
              <w:t xml:space="preserve"> </w:t>
            </w:r>
            <w:r>
              <w:rPr>
                <w:i/>
                <w:sz w:val="24"/>
              </w:rPr>
              <w:t>–</w:t>
            </w:r>
            <w:r>
              <w:rPr>
                <w:i/>
                <w:spacing w:val="-14"/>
                <w:sz w:val="24"/>
              </w:rPr>
              <w:t xml:space="preserve"> </w:t>
            </w:r>
            <w:r>
              <w:rPr>
                <w:i/>
                <w:sz w:val="24"/>
              </w:rPr>
              <w:t>Alcoholic Beverages II</w:t>
            </w:r>
          </w:p>
        </w:tc>
        <w:tc>
          <w:tcPr>
            <w:tcW w:w="7403" w:type="dxa"/>
          </w:tcPr>
          <w:p w14:paraId="4FD0CFCE" w14:textId="57F093E9" w:rsidR="00BF2951" w:rsidRDefault="00BF2951" w:rsidP="00BF2951">
            <w:pPr>
              <w:rPr>
                <w:sz w:val="24"/>
              </w:rPr>
            </w:pPr>
            <w:r>
              <w:rPr>
                <w:sz w:val="24"/>
              </w:rPr>
              <w:t>Panel</w:t>
            </w:r>
            <w:r>
              <w:rPr>
                <w:spacing w:val="-4"/>
                <w:sz w:val="24"/>
              </w:rPr>
              <w:t xml:space="preserve"> </w:t>
            </w:r>
            <w:r>
              <w:rPr>
                <w:sz w:val="24"/>
              </w:rPr>
              <w:t>Report,</w:t>
            </w:r>
            <w:r>
              <w:rPr>
                <w:spacing w:val="-4"/>
                <w:sz w:val="24"/>
              </w:rPr>
              <w:t xml:space="preserve"> </w:t>
            </w:r>
            <w:r>
              <w:rPr>
                <w:i/>
                <w:sz w:val="24"/>
              </w:rPr>
              <w:t>Japan</w:t>
            </w:r>
            <w:r>
              <w:rPr>
                <w:i/>
                <w:spacing w:val="-5"/>
                <w:sz w:val="24"/>
              </w:rPr>
              <w:t xml:space="preserve"> </w:t>
            </w:r>
            <w:r>
              <w:rPr>
                <w:i/>
                <w:sz w:val="24"/>
              </w:rPr>
              <w:t>–</w:t>
            </w:r>
            <w:r>
              <w:rPr>
                <w:i/>
                <w:spacing w:val="-6"/>
                <w:sz w:val="24"/>
              </w:rPr>
              <w:t xml:space="preserve"> </w:t>
            </w:r>
            <w:r>
              <w:rPr>
                <w:i/>
                <w:sz w:val="24"/>
              </w:rPr>
              <w:t>Taxes</w:t>
            </w:r>
            <w:r>
              <w:rPr>
                <w:i/>
                <w:spacing w:val="-9"/>
                <w:sz w:val="24"/>
              </w:rPr>
              <w:t xml:space="preserve"> </w:t>
            </w:r>
            <w:r>
              <w:rPr>
                <w:i/>
                <w:sz w:val="24"/>
              </w:rPr>
              <w:t>on</w:t>
            </w:r>
            <w:r>
              <w:rPr>
                <w:i/>
                <w:spacing w:val="-6"/>
                <w:sz w:val="24"/>
              </w:rPr>
              <w:t xml:space="preserve"> </w:t>
            </w:r>
            <w:r>
              <w:rPr>
                <w:i/>
                <w:sz w:val="24"/>
              </w:rPr>
              <w:t>Alcoholic</w:t>
            </w:r>
            <w:r>
              <w:rPr>
                <w:i/>
                <w:spacing w:val="-6"/>
                <w:sz w:val="24"/>
              </w:rPr>
              <w:t xml:space="preserve"> </w:t>
            </w:r>
            <w:r>
              <w:rPr>
                <w:i/>
                <w:sz w:val="24"/>
              </w:rPr>
              <w:t>Beverages</w:t>
            </w:r>
            <w:r>
              <w:rPr>
                <w:sz w:val="24"/>
              </w:rPr>
              <w:t>,</w:t>
            </w:r>
            <w:r>
              <w:rPr>
                <w:spacing w:val="-4"/>
                <w:sz w:val="24"/>
              </w:rPr>
              <w:t xml:space="preserve"> </w:t>
            </w:r>
            <w:r>
              <w:rPr>
                <w:sz w:val="24"/>
              </w:rPr>
              <w:t xml:space="preserve">WT/DS8/R, WT/DS10/R, WT/DS11/R, adopted 1 November 1996, as modified by Appellate Body Report WT/DS8/AB/R, WT/DS10/AB/R, WT/DS11/AB/R, DSR </w:t>
            </w:r>
            <w:proofErr w:type="gramStart"/>
            <w:r>
              <w:rPr>
                <w:sz w:val="24"/>
              </w:rPr>
              <w:t>1996:I</w:t>
            </w:r>
            <w:proofErr w:type="gramEnd"/>
            <w:r>
              <w:rPr>
                <w:sz w:val="24"/>
              </w:rPr>
              <w:t>, p. 125</w:t>
            </w:r>
          </w:p>
        </w:tc>
      </w:tr>
      <w:tr w:rsidR="00BF2951" w:rsidRPr="00BF2951" w14:paraId="01762816" w14:textId="77777777" w:rsidTr="00BF2951">
        <w:tc>
          <w:tcPr>
            <w:tcW w:w="2943" w:type="dxa"/>
          </w:tcPr>
          <w:p w14:paraId="3AE7AB7D" w14:textId="43673BAB" w:rsidR="00BF2951" w:rsidRDefault="00BF2951" w:rsidP="00BF2951">
            <w:pPr>
              <w:rPr>
                <w:i/>
                <w:sz w:val="24"/>
              </w:rPr>
            </w:pPr>
            <w:r>
              <w:rPr>
                <w:i/>
                <w:sz w:val="24"/>
              </w:rPr>
              <w:t>Japan</w:t>
            </w:r>
            <w:r>
              <w:rPr>
                <w:i/>
                <w:spacing w:val="-14"/>
                <w:sz w:val="24"/>
              </w:rPr>
              <w:t xml:space="preserve"> </w:t>
            </w:r>
            <w:r>
              <w:rPr>
                <w:i/>
                <w:sz w:val="24"/>
              </w:rPr>
              <w:t>–</w:t>
            </w:r>
            <w:r>
              <w:rPr>
                <w:i/>
                <w:spacing w:val="-14"/>
                <w:sz w:val="24"/>
              </w:rPr>
              <w:t xml:space="preserve"> </w:t>
            </w:r>
            <w:r>
              <w:rPr>
                <w:i/>
                <w:sz w:val="24"/>
              </w:rPr>
              <w:t xml:space="preserve">DRAMs </w:t>
            </w:r>
            <w:r>
              <w:rPr>
                <w:i/>
                <w:spacing w:val="-2"/>
                <w:sz w:val="24"/>
              </w:rPr>
              <w:t>(Korea)</w:t>
            </w:r>
          </w:p>
        </w:tc>
        <w:tc>
          <w:tcPr>
            <w:tcW w:w="7403" w:type="dxa"/>
          </w:tcPr>
          <w:p w14:paraId="64AAA483" w14:textId="6A68E9C8" w:rsidR="00BF2951" w:rsidRDefault="00BF2951" w:rsidP="00BF2951">
            <w:pPr>
              <w:rPr>
                <w:sz w:val="24"/>
              </w:rPr>
            </w:pPr>
            <w:r>
              <w:rPr>
                <w:sz w:val="24"/>
              </w:rPr>
              <w:t xml:space="preserve">Appellate Body Report, </w:t>
            </w:r>
            <w:r>
              <w:rPr>
                <w:i/>
                <w:sz w:val="24"/>
              </w:rPr>
              <w:t>Japan – Countervailing Duties on Dynamic</w:t>
            </w:r>
            <w:r>
              <w:rPr>
                <w:i/>
                <w:spacing w:val="-6"/>
                <w:sz w:val="24"/>
              </w:rPr>
              <w:t xml:space="preserve"> </w:t>
            </w:r>
            <w:r>
              <w:rPr>
                <w:i/>
                <w:sz w:val="24"/>
              </w:rPr>
              <w:t>Random</w:t>
            </w:r>
            <w:r>
              <w:rPr>
                <w:i/>
                <w:spacing w:val="-5"/>
                <w:sz w:val="24"/>
              </w:rPr>
              <w:t xml:space="preserve"> </w:t>
            </w:r>
            <w:r>
              <w:rPr>
                <w:i/>
                <w:sz w:val="24"/>
              </w:rPr>
              <w:t>Access</w:t>
            </w:r>
            <w:r>
              <w:rPr>
                <w:i/>
                <w:spacing w:val="-9"/>
                <w:sz w:val="24"/>
              </w:rPr>
              <w:t xml:space="preserve"> </w:t>
            </w:r>
            <w:r>
              <w:rPr>
                <w:i/>
                <w:sz w:val="24"/>
              </w:rPr>
              <w:t>Memories</w:t>
            </w:r>
            <w:r>
              <w:rPr>
                <w:i/>
                <w:spacing w:val="-9"/>
                <w:sz w:val="24"/>
              </w:rPr>
              <w:t xml:space="preserve"> </w:t>
            </w:r>
            <w:r>
              <w:rPr>
                <w:i/>
                <w:sz w:val="24"/>
              </w:rPr>
              <w:t>from</w:t>
            </w:r>
            <w:r>
              <w:rPr>
                <w:i/>
                <w:spacing w:val="-5"/>
                <w:sz w:val="24"/>
              </w:rPr>
              <w:t xml:space="preserve"> </w:t>
            </w:r>
            <w:r>
              <w:rPr>
                <w:i/>
                <w:sz w:val="24"/>
              </w:rPr>
              <w:t>Korea</w:t>
            </w:r>
            <w:r>
              <w:rPr>
                <w:sz w:val="24"/>
              </w:rPr>
              <w:t>,</w:t>
            </w:r>
            <w:r>
              <w:rPr>
                <w:spacing w:val="-9"/>
                <w:sz w:val="24"/>
              </w:rPr>
              <w:t xml:space="preserve"> </w:t>
            </w:r>
            <w:r>
              <w:rPr>
                <w:sz w:val="24"/>
              </w:rPr>
              <w:t xml:space="preserve">WT/DS336/AB/R and Corr.1, adopted 17 December 2007, DSR </w:t>
            </w:r>
            <w:proofErr w:type="gramStart"/>
            <w:r>
              <w:rPr>
                <w:sz w:val="24"/>
              </w:rPr>
              <w:t>2007:VII</w:t>
            </w:r>
            <w:proofErr w:type="gramEnd"/>
            <w:r>
              <w:rPr>
                <w:sz w:val="24"/>
              </w:rPr>
              <w:t>, p. 2703</w:t>
            </w:r>
          </w:p>
        </w:tc>
      </w:tr>
      <w:tr w:rsidR="00BF2951" w:rsidRPr="00BF2951" w14:paraId="364696F6" w14:textId="77777777" w:rsidTr="00BF2951">
        <w:tc>
          <w:tcPr>
            <w:tcW w:w="2943" w:type="dxa"/>
          </w:tcPr>
          <w:p w14:paraId="2CEC7616" w14:textId="55DD959E" w:rsidR="00BF2951" w:rsidRDefault="00BF2951" w:rsidP="00BF2951">
            <w:pPr>
              <w:rPr>
                <w:i/>
                <w:sz w:val="24"/>
              </w:rPr>
            </w:pPr>
            <w:r>
              <w:rPr>
                <w:i/>
                <w:sz w:val="24"/>
              </w:rPr>
              <w:t>Korea</w:t>
            </w:r>
            <w:r>
              <w:rPr>
                <w:i/>
                <w:spacing w:val="-14"/>
                <w:sz w:val="24"/>
              </w:rPr>
              <w:t xml:space="preserve"> </w:t>
            </w:r>
            <w:r>
              <w:rPr>
                <w:i/>
                <w:sz w:val="24"/>
              </w:rPr>
              <w:t>–</w:t>
            </w:r>
            <w:r>
              <w:rPr>
                <w:i/>
                <w:spacing w:val="-14"/>
                <w:sz w:val="24"/>
              </w:rPr>
              <w:t xml:space="preserve"> </w:t>
            </w:r>
            <w:r>
              <w:rPr>
                <w:i/>
                <w:sz w:val="24"/>
              </w:rPr>
              <w:t xml:space="preserve">Certain </w:t>
            </w:r>
            <w:r>
              <w:rPr>
                <w:i/>
                <w:spacing w:val="-4"/>
                <w:sz w:val="24"/>
              </w:rPr>
              <w:t>Paper</w:t>
            </w:r>
          </w:p>
        </w:tc>
        <w:tc>
          <w:tcPr>
            <w:tcW w:w="7403" w:type="dxa"/>
          </w:tcPr>
          <w:p w14:paraId="067AF646" w14:textId="30C1A0D2" w:rsidR="00BF2951" w:rsidRDefault="00BF2951" w:rsidP="00BF2951">
            <w:pPr>
              <w:rPr>
                <w:sz w:val="24"/>
              </w:rPr>
            </w:pPr>
            <w:r>
              <w:rPr>
                <w:sz w:val="24"/>
              </w:rPr>
              <w:t>Panel</w:t>
            </w:r>
            <w:r>
              <w:rPr>
                <w:spacing w:val="-2"/>
                <w:sz w:val="24"/>
              </w:rPr>
              <w:t xml:space="preserve"> </w:t>
            </w:r>
            <w:r>
              <w:rPr>
                <w:sz w:val="24"/>
              </w:rPr>
              <w:t>Report,</w:t>
            </w:r>
            <w:r>
              <w:rPr>
                <w:spacing w:val="-2"/>
                <w:sz w:val="24"/>
              </w:rPr>
              <w:t xml:space="preserve"> </w:t>
            </w:r>
            <w:r>
              <w:rPr>
                <w:i/>
                <w:sz w:val="24"/>
              </w:rPr>
              <w:t>Korea</w:t>
            </w:r>
            <w:r>
              <w:rPr>
                <w:i/>
                <w:spacing w:val="-3"/>
                <w:sz w:val="24"/>
              </w:rPr>
              <w:t xml:space="preserve"> </w:t>
            </w:r>
            <w:r>
              <w:rPr>
                <w:i/>
                <w:sz w:val="24"/>
              </w:rPr>
              <w:t>–</w:t>
            </w:r>
            <w:r>
              <w:rPr>
                <w:i/>
                <w:spacing w:val="-4"/>
                <w:sz w:val="24"/>
              </w:rPr>
              <w:t xml:space="preserve"> </w:t>
            </w:r>
            <w:r>
              <w:rPr>
                <w:i/>
                <w:sz w:val="24"/>
              </w:rPr>
              <w:t>Anti-Dumping</w:t>
            </w:r>
            <w:r>
              <w:rPr>
                <w:i/>
                <w:spacing w:val="-4"/>
                <w:sz w:val="24"/>
              </w:rPr>
              <w:t xml:space="preserve"> </w:t>
            </w:r>
            <w:r>
              <w:rPr>
                <w:i/>
                <w:sz w:val="24"/>
              </w:rPr>
              <w:t>Duties</w:t>
            </w:r>
            <w:r>
              <w:rPr>
                <w:i/>
                <w:spacing w:val="-7"/>
                <w:sz w:val="24"/>
              </w:rPr>
              <w:t xml:space="preserve"> </w:t>
            </w:r>
            <w:r>
              <w:rPr>
                <w:i/>
                <w:sz w:val="24"/>
              </w:rPr>
              <w:t>on</w:t>
            </w:r>
            <w:r>
              <w:rPr>
                <w:i/>
                <w:spacing w:val="-4"/>
                <w:sz w:val="24"/>
              </w:rPr>
              <w:t xml:space="preserve"> </w:t>
            </w:r>
            <w:r>
              <w:rPr>
                <w:i/>
                <w:sz w:val="24"/>
              </w:rPr>
              <w:t>Imports</w:t>
            </w:r>
            <w:r>
              <w:rPr>
                <w:i/>
                <w:spacing w:val="-7"/>
                <w:sz w:val="24"/>
              </w:rPr>
              <w:t xml:space="preserve"> </w:t>
            </w:r>
            <w:r>
              <w:rPr>
                <w:i/>
                <w:sz w:val="24"/>
              </w:rPr>
              <w:t>of</w:t>
            </w:r>
            <w:r>
              <w:rPr>
                <w:i/>
                <w:spacing w:val="-6"/>
                <w:sz w:val="24"/>
              </w:rPr>
              <w:t xml:space="preserve"> </w:t>
            </w:r>
            <w:r>
              <w:rPr>
                <w:i/>
                <w:sz w:val="24"/>
              </w:rPr>
              <w:t>Certain Paper from Indonesia</w:t>
            </w:r>
            <w:r>
              <w:rPr>
                <w:sz w:val="24"/>
              </w:rPr>
              <w:t xml:space="preserve">, WT/DS312/R, adopted 28 November 2005, DSR </w:t>
            </w:r>
            <w:proofErr w:type="gramStart"/>
            <w:r>
              <w:rPr>
                <w:sz w:val="24"/>
              </w:rPr>
              <w:t>2005:XXII</w:t>
            </w:r>
            <w:proofErr w:type="gramEnd"/>
            <w:r>
              <w:rPr>
                <w:sz w:val="24"/>
              </w:rPr>
              <w:t>, p. 10637</w:t>
            </w:r>
          </w:p>
        </w:tc>
      </w:tr>
      <w:tr w:rsidR="00BF2951" w:rsidRPr="00BF2951" w14:paraId="50F583FE" w14:textId="77777777" w:rsidTr="00BF2951">
        <w:tc>
          <w:tcPr>
            <w:tcW w:w="2943" w:type="dxa"/>
          </w:tcPr>
          <w:p w14:paraId="4D1A2E0D" w14:textId="0F436AA3" w:rsidR="00BF2951" w:rsidRDefault="00BF2951" w:rsidP="00BF2951">
            <w:pPr>
              <w:rPr>
                <w:i/>
                <w:sz w:val="24"/>
              </w:rPr>
            </w:pPr>
            <w:r>
              <w:rPr>
                <w:i/>
                <w:sz w:val="24"/>
              </w:rPr>
              <w:t>Korea – Certain Paper</w:t>
            </w:r>
            <w:r>
              <w:rPr>
                <w:i/>
                <w:spacing w:val="-3"/>
                <w:sz w:val="24"/>
              </w:rPr>
              <w:t xml:space="preserve"> </w:t>
            </w:r>
            <w:r>
              <w:rPr>
                <w:i/>
                <w:sz w:val="24"/>
              </w:rPr>
              <w:t>(Art</w:t>
            </w:r>
            <w:r>
              <w:rPr>
                <w:i/>
                <w:spacing w:val="-1"/>
                <w:sz w:val="24"/>
              </w:rPr>
              <w:t xml:space="preserve"> </w:t>
            </w:r>
            <w:r>
              <w:rPr>
                <w:i/>
                <w:spacing w:val="-2"/>
                <w:sz w:val="24"/>
              </w:rPr>
              <w:t>21.5)</w:t>
            </w:r>
          </w:p>
        </w:tc>
        <w:tc>
          <w:tcPr>
            <w:tcW w:w="7403" w:type="dxa"/>
          </w:tcPr>
          <w:p w14:paraId="0065803E" w14:textId="285EBA98" w:rsidR="00BF2951" w:rsidRDefault="00BF2951" w:rsidP="00BF2951">
            <w:pPr>
              <w:rPr>
                <w:sz w:val="24"/>
              </w:rPr>
            </w:pPr>
            <w:r>
              <w:rPr>
                <w:sz w:val="24"/>
              </w:rPr>
              <w:t>Panel</w:t>
            </w:r>
            <w:r>
              <w:rPr>
                <w:spacing w:val="-2"/>
                <w:sz w:val="24"/>
              </w:rPr>
              <w:t xml:space="preserve"> </w:t>
            </w:r>
            <w:r>
              <w:rPr>
                <w:sz w:val="24"/>
              </w:rPr>
              <w:t>Report,</w:t>
            </w:r>
            <w:r>
              <w:rPr>
                <w:spacing w:val="-2"/>
                <w:sz w:val="24"/>
              </w:rPr>
              <w:t xml:space="preserve"> </w:t>
            </w:r>
            <w:r>
              <w:rPr>
                <w:i/>
                <w:sz w:val="24"/>
              </w:rPr>
              <w:t>Korea</w:t>
            </w:r>
            <w:r>
              <w:rPr>
                <w:i/>
                <w:spacing w:val="-3"/>
                <w:sz w:val="24"/>
              </w:rPr>
              <w:t xml:space="preserve"> </w:t>
            </w:r>
            <w:r>
              <w:rPr>
                <w:i/>
                <w:sz w:val="24"/>
              </w:rPr>
              <w:t>–</w:t>
            </w:r>
            <w:r>
              <w:rPr>
                <w:i/>
                <w:spacing w:val="-4"/>
                <w:sz w:val="24"/>
              </w:rPr>
              <w:t xml:space="preserve"> </w:t>
            </w:r>
            <w:r>
              <w:rPr>
                <w:i/>
                <w:sz w:val="24"/>
              </w:rPr>
              <w:t>Anti-Dumping</w:t>
            </w:r>
            <w:r>
              <w:rPr>
                <w:i/>
                <w:spacing w:val="-4"/>
                <w:sz w:val="24"/>
              </w:rPr>
              <w:t xml:space="preserve"> </w:t>
            </w:r>
            <w:r>
              <w:rPr>
                <w:i/>
                <w:sz w:val="24"/>
              </w:rPr>
              <w:t>Duties</w:t>
            </w:r>
            <w:r>
              <w:rPr>
                <w:i/>
                <w:spacing w:val="-7"/>
                <w:sz w:val="24"/>
              </w:rPr>
              <w:t xml:space="preserve"> </w:t>
            </w:r>
            <w:r>
              <w:rPr>
                <w:i/>
                <w:sz w:val="24"/>
              </w:rPr>
              <w:t>on</w:t>
            </w:r>
            <w:r>
              <w:rPr>
                <w:i/>
                <w:spacing w:val="-4"/>
                <w:sz w:val="24"/>
              </w:rPr>
              <w:t xml:space="preserve"> </w:t>
            </w:r>
            <w:r>
              <w:rPr>
                <w:i/>
                <w:sz w:val="24"/>
              </w:rPr>
              <w:t>Imports</w:t>
            </w:r>
            <w:r>
              <w:rPr>
                <w:i/>
                <w:spacing w:val="-7"/>
                <w:sz w:val="24"/>
              </w:rPr>
              <w:t xml:space="preserve"> </w:t>
            </w:r>
            <w:r>
              <w:rPr>
                <w:i/>
                <w:sz w:val="24"/>
              </w:rPr>
              <w:t>of</w:t>
            </w:r>
            <w:r>
              <w:rPr>
                <w:i/>
                <w:spacing w:val="-6"/>
                <w:sz w:val="24"/>
              </w:rPr>
              <w:t xml:space="preserve"> </w:t>
            </w:r>
            <w:r>
              <w:rPr>
                <w:i/>
                <w:sz w:val="24"/>
              </w:rPr>
              <w:t>Certain Paper from Indonesia – Recourse to Article 21.5 of the DSU by Indonesia</w:t>
            </w:r>
            <w:r>
              <w:rPr>
                <w:sz w:val="24"/>
              </w:rPr>
              <w:t xml:space="preserve">, WT/DS312/RW, adopted 22 October 2007, DSR </w:t>
            </w:r>
            <w:proofErr w:type="gramStart"/>
            <w:r>
              <w:rPr>
                <w:sz w:val="24"/>
              </w:rPr>
              <w:t>2007:VIII</w:t>
            </w:r>
            <w:proofErr w:type="gramEnd"/>
            <w:r>
              <w:rPr>
                <w:sz w:val="24"/>
              </w:rPr>
              <w:t>, p. 3369</w:t>
            </w:r>
          </w:p>
        </w:tc>
      </w:tr>
      <w:tr w:rsidR="00BF2951" w:rsidRPr="00BF2951" w14:paraId="1969A912" w14:textId="77777777" w:rsidTr="00BF2951">
        <w:tc>
          <w:tcPr>
            <w:tcW w:w="2943" w:type="dxa"/>
          </w:tcPr>
          <w:p w14:paraId="75D58D53" w14:textId="552928B7" w:rsidR="00BF2951" w:rsidRDefault="00BF2951" w:rsidP="00BF2951">
            <w:pPr>
              <w:rPr>
                <w:i/>
                <w:sz w:val="24"/>
              </w:rPr>
            </w:pPr>
            <w:r>
              <w:rPr>
                <w:i/>
                <w:sz w:val="24"/>
              </w:rPr>
              <w:t>Korea –</w:t>
            </w:r>
            <w:r>
              <w:rPr>
                <w:i/>
                <w:spacing w:val="-1"/>
                <w:sz w:val="24"/>
              </w:rPr>
              <w:t xml:space="preserve"> </w:t>
            </w:r>
            <w:r>
              <w:rPr>
                <w:i/>
                <w:spacing w:val="-2"/>
                <w:sz w:val="24"/>
              </w:rPr>
              <w:t>Dairy</w:t>
            </w:r>
          </w:p>
        </w:tc>
        <w:tc>
          <w:tcPr>
            <w:tcW w:w="7403" w:type="dxa"/>
          </w:tcPr>
          <w:p w14:paraId="1C9BA084" w14:textId="270BE9F8" w:rsidR="00BF2951" w:rsidRDefault="00BF2951" w:rsidP="00BF2951">
            <w:pPr>
              <w:rPr>
                <w:sz w:val="24"/>
              </w:rPr>
            </w:pPr>
            <w:r>
              <w:rPr>
                <w:sz w:val="24"/>
              </w:rPr>
              <w:t>Appellate</w:t>
            </w:r>
            <w:r>
              <w:rPr>
                <w:spacing w:val="-6"/>
                <w:sz w:val="24"/>
              </w:rPr>
              <w:t xml:space="preserve"> </w:t>
            </w:r>
            <w:r>
              <w:rPr>
                <w:sz w:val="24"/>
              </w:rPr>
              <w:t>Body</w:t>
            </w:r>
            <w:r>
              <w:rPr>
                <w:spacing w:val="-5"/>
                <w:sz w:val="24"/>
              </w:rPr>
              <w:t xml:space="preserve"> </w:t>
            </w:r>
            <w:r>
              <w:rPr>
                <w:sz w:val="24"/>
              </w:rPr>
              <w:t>Report,</w:t>
            </w:r>
            <w:r>
              <w:rPr>
                <w:spacing w:val="-4"/>
                <w:sz w:val="24"/>
              </w:rPr>
              <w:t xml:space="preserve"> </w:t>
            </w:r>
            <w:r>
              <w:rPr>
                <w:i/>
                <w:sz w:val="24"/>
              </w:rPr>
              <w:t>Korea</w:t>
            </w:r>
            <w:r>
              <w:rPr>
                <w:i/>
                <w:spacing w:val="-5"/>
                <w:sz w:val="24"/>
              </w:rPr>
              <w:t xml:space="preserve"> </w:t>
            </w:r>
            <w:r>
              <w:rPr>
                <w:i/>
                <w:sz w:val="24"/>
              </w:rPr>
              <w:t>–</w:t>
            </w:r>
            <w:r>
              <w:rPr>
                <w:i/>
                <w:spacing w:val="-6"/>
                <w:sz w:val="24"/>
              </w:rPr>
              <w:t xml:space="preserve"> </w:t>
            </w:r>
            <w:r>
              <w:rPr>
                <w:i/>
                <w:sz w:val="24"/>
              </w:rPr>
              <w:t>Definitive</w:t>
            </w:r>
            <w:r>
              <w:rPr>
                <w:i/>
                <w:spacing w:val="-6"/>
                <w:sz w:val="24"/>
              </w:rPr>
              <w:t xml:space="preserve"> </w:t>
            </w:r>
            <w:r>
              <w:rPr>
                <w:i/>
                <w:sz w:val="24"/>
              </w:rPr>
              <w:t>Safeguard</w:t>
            </w:r>
            <w:r>
              <w:rPr>
                <w:i/>
                <w:spacing w:val="-6"/>
                <w:sz w:val="24"/>
              </w:rPr>
              <w:t xml:space="preserve"> </w:t>
            </w:r>
            <w:r>
              <w:rPr>
                <w:i/>
                <w:sz w:val="24"/>
              </w:rPr>
              <w:t>Measure</w:t>
            </w:r>
            <w:r>
              <w:rPr>
                <w:i/>
                <w:spacing w:val="-6"/>
                <w:sz w:val="24"/>
              </w:rPr>
              <w:t xml:space="preserve"> </w:t>
            </w:r>
            <w:r>
              <w:rPr>
                <w:i/>
                <w:sz w:val="24"/>
              </w:rPr>
              <w:t>on Imports of Certain Dairy Products</w:t>
            </w:r>
            <w:r>
              <w:rPr>
                <w:sz w:val="24"/>
              </w:rPr>
              <w:t xml:space="preserve">, WT/DS98/AB/R, adopted 12 January 2000, DSR </w:t>
            </w:r>
            <w:proofErr w:type="gramStart"/>
            <w:r>
              <w:rPr>
                <w:sz w:val="24"/>
              </w:rPr>
              <w:t>2000:I</w:t>
            </w:r>
            <w:proofErr w:type="gramEnd"/>
            <w:r>
              <w:rPr>
                <w:sz w:val="24"/>
              </w:rPr>
              <w:t>, p. 3</w:t>
            </w:r>
          </w:p>
        </w:tc>
      </w:tr>
      <w:tr w:rsidR="00BF2951" w:rsidRPr="00BF2951" w14:paraId="729639A6" w14:textId="77777777" w:rsidTr="00BF2951">
        <w:tc>
          <w:tcPr>
            <w:tcW w:w="2943" w:type="dxa"/>
          </w:tcPr>
          <w:p w14:paraId="0587C519" w14:textId="0F1BA1BE" w:rsidR="00BF2951" w:rsidRDefault="00BF2951" w:rsidP="00BF2951">
            <w:pPr>
              <w:rPr>
                <w:i/>
                <w:sz w:val="24"/>
              </w:rPr>
            </w:pPr>
            <w:r>
              <w:rPr>
                <w:i/>
                <w:sz w:val="24"/>
              </w:rPr>
              <w:t>Korea</w:t>
            </w:r>
            <w:r>
              <w:rPr>
                <w:i/>
                <w:spacing w:val="-14"/>
                <w:sz w:val="24"/>
              </w:rPr>
              <w:t xml:space="preserve"> </w:t>
            </w:r>
            <w:r>
              <w:rPr>
                <w:i/>
                <w:sz w:val="24"/>
              </w:rPr>
              <w:t>–</w:t>
            </w:r>
            <w:r>
              <w:rPr>
                <w:i/>
                <w:spacing w:val="-14"/>
                <w:sz w:val="24"/>
              </w:rPr>
              <w:t xml:space="preserve"> </w:t>
            </w:r>
            <w:r>
              <w:rPr>
                <w:i/>
                <w:sz w:val="24"/>
              </w:rPr>
              <w:t>Pneumatic Valves (Japan)</w:t>
            </w:r>
          </w:p>
        </w:tc>
        <w:tc>
          <w:tcPr>
            <w:tcW w:w="7403" w:type="dxa"/>
          </w:tcPr>
          <w:p w14:paraId="44A11457" w14:textId="3218B6EA" w:rsidR="00BF2951" w:rsidRDefault="00BF2951" w:rsidP="00BF2951">
            <w:pPr>
              <w:rPr>
                <w:sz w:val="24"/>
              </w:rPr>
            </w:pPr>
            <w:r>
              <w:rPr>
                <w:sz w:val="24"/>
              </w:rPr>
              <w:t xml:space="preserve">Appellate Body Report, </w:t>
            </w:r>
            <w:r>
              <w:rPr>
                <w:i/>
                <w:sz w:val="24"/>
              </w:rPr>
              <w:t>Korea – Anti-Dumping Duties on Pneumatic</w:t>
            </w:r>
            <w:r>
              <w:rPr>
                <w:i/>
                <w:spacing w:val="-8"/>
                <w:sz w:val="24"/>
              </w:rPr>
              <w:t xml:space="preserve"> </w:t>
            </w:r>
            <w:r>
              <w:rPr>
                <w:i/>
                <w:sz w:val="24"/>
              </w:rPr>
              <w:t>Valves</w:t>
            </w:r>
            <w:r>
              <w:rPr>
                <w:i/>
                <w:spacing w:val="-10"/>
                <w:sz w:val="24"/>
              </w:rPr>
              <w:t xml:space="preserve"> </w:t>
            </w:r>
            <w:r>
              <w:rPr>
                <w:i/>
                <w:sz w:val="24"/>
              </w:rPr>
              <w:t>from</w:t>
            </w:r>
            <w:r>
              <w:rPr>
                <w:i/>
                <w:spacing w:val="-7"/>
                <w:sz w:val="24"/>
              </w:rPr>
              <w:t xml:space="preserve"> </w:t>
            </w:r>
            <w:r>
              <w:rPr>
                <w:i/>
                <w:sz w:val="24"/>
              </w:rPr>
              <w:t>Japan</w:t>
            </w:r>
            <w:r>
              <w:rPr>
                <w:sz w:val="24"/>
              </w:rPr>
              <w:t>,</w:t>
            </w:r>
            <w:r>
              <w:rPr>
                <w:spacing w:val="-6"/>
                <w:sz w:val="24"/>
              </w:rPr>
              <w:t xml:space="preserve"> </w:t>
            </w:r>
            <w:r>
              <w:rPr>
                <w:sz w:val="24"/>
              </w:rPr>
              <w:t>WT/DS504/AB/R</w:t>
            </w:r>
            <w:r>
              <w:rPr>
                <w:spacing w:val="-5"/>
                <w:sz w:val="24"/>
              </w:rPr>
              <w:t xml:space="preserve"> </w:t>
            </w:r>
            <w:r>
              <w:rPr>
                <w:sz w:val="24"/>
              </w:rPr>
              <w:t>and</w:t>
            </w:r>
            <w:r>
              <w:rPr>
                <w:spacing w:val="-10"/>
                <w:sz w:val="24"/>
              </w:rPr>
              <w:t xml:space="preserve"> </w:t>
            </w:r>
            <w:r>
              <w:rPr>
                <w:sz w:val="24"/>
              </w:rPr>
              <w:t xml:space="preserve">Add.1, adopted 30 September 2019, DSR </w:t>
            </w:r>
            <w:proofErr w:type="gramStart"/>
            <w:r>
              <w:rPr>
                <w:sz w:val="24"/>
              </w:rPr>
              <w:t>2019:XI</w:t>
            </w:r>
            <w:proofErr w:type="gramEnd"/>
            <w:r>
              <w:rPr>
                <w:sz w:val="24"/>
              </w:rPr>
              <w:t>, p. 5637</w:t>
            </w:r>
          </w:p>
        </w:tc>
      </w:tr>
      <w:tr w:rsidR="00BF2951" w:rsidRPr="00BF2951" w14:paraId="5E5611F8" w14:textId="77777777" w:rsidTr="00BF2951">
        <w:tc>
          <w:tcPr>
            <w:tcW w:w="2943" w:type="dxa"/>
          </w:tcPr>
          <w:p w14:paraId="082E92AA" w14:textId="792DEE05" w:rsidR="00BF2951" w:rsidRDefault="00BF2951" w:rsidP="00BF2951">
            <w:pPr>
              <w:rPr>
                <w:i/>
                <w:sz w:val="24"/>
              </w:rPr>
            </w:pPr>
            <w:r>
              <w:rPr>
                <w:i/>
                <w:sz w:val="24"/>
              </w:rPr>
              <w:t>Korea</w:t>
            </w:r>
            <w:r>
              <w:rPr>
                <w:i/>
                <w:spacing w:val="-14"/>
                <w:sz w:val="24"/>
              </w:rPr>
              <w:t xml:space="preserve"> </w:t>
            </w:r>
            <w:r>
              <w:rPr>
                <w:i/>
                <w:sz w:val="24"/>
              </w:rPr>
              <w:t>–</w:t>
            </w:r>
            <w:r>
              <w:rPr>
                <w:i/>
                <w:spacing w:val="-14"/>
                <w:sz w:val="24"/>
              </w:rPr>
              <w:t xml:space="preserve"> </w:t>
            </w:r>
            <w:r>
              <w:rPr>
                <w:i/>
                <w:sz w:val="24"/>
              </w:rPr>
              <w:t>Pneumatic Valves (Japan)</w:t>
            </w:r>
          </w:p>
        </w:tc>
        <w:tc>
          <w:tcPr>
            <w:tcW w:w="7403" w:type="dxa"/>
          </w:tcPr>
          <w:p w14:paraId="7DBD32E2" w14:textId="72112CCD" w:rsidR="00BF2951" w:rsidRDefault="00BF2951" w:rsidP="00BF2951">
            <w:pPr>
              <w:rPr>
                <w:sz w:val="24"/>
              </w:rPr>
            </w:pPr>
            <w:r>
              <w:rPr>
                <w:sz w:val="24"/>
              </w:rPr>
              <w:t>Panel</w:t>
            </w:r>
            <w:r>
              <w:rPr>
                <w:spacing w:val="-3"/>
                <w:sz w:val="24"/>
              </w:rPr>
              <w:t xml:space="preserve"> </w:t>
            </w:r>
            <w:r>
              <w:rPr>
                <w:sz w:val="24"/>
              </w:rPr>
              <w:t>Report,</w:t>
            </w:r>
            <w:r>
              <w:rPr>
                <w:spacing w:val="-3"/>
                <w:sz w:val="24"/>
              </w:rPr>
              <w:t xml:space="preserve"> </w:t>
            </w:r>
            <w:r>
              <w:rPr>
                <w:i/>
                <w:sz w:val="24"/>
              </w:rPr>
              <w:t>Korea</w:t>
            </w:r>
            <w:r>
              <w:rPr>
                <w:i/>
                <w:spacing w:val="-4"/>
                <w:sz w:val="24"/>
              </w:rPr>
              <w:t xml:space="preserve"> </w:t>
            </w:r>
            <w:r>
              <w:rPr>
                <w:i/>
                <w:sz w:val="24"/>
              </w:rPr>
              <w:t>–</w:t>
            </w:r>
            <w:r>
              <w:rPr>
                <w:i/>
                <w:spacing w:val="-5"/>
                <w:sz w:val="24"/>
              </w:rPr>
              <w:t xml:space="preserve"> </w:t>
            </w:r>
            <w:r>
              <w:rPr>
                <w:i/>
                <w:sz w:val="24"/>
              </w:rPr>
              <w:t>Anti-Dumping</w:t>
            </w:r>
            <w:r>
              <w:rPr>
                <w:i/>
                <w:spacing w:val="-5"/>
                <w:sz w:val="24"/>
              </w:rPr>
              <w:t xml:space="preserve"> </w:t>
            </w:r>
            <w:r>
              <w:rPr>
                <w:i/>
                <w:sz w:val="24"/>
              </w:rPr>
              <w:t>Duties</w:t>
            </w:r>
            <w:r>
              <w:rPr>
                <w:i/>
                <w:spacing w:val="-7"/>
                <w:sz w:val="24"/>
              </w:rPr>
              <w:t xml:space="preserve"> </w:t>
            </w:r>
            <w:r>
              <w:rPr>
                <w:i/>
                <w:sz w:val="24"/>
              </w:rPr>
              <w:t>on</w:t>
            </w:r>
            <w:r>
              <w:rPr>
                <w:i/>
                <w:spacing w:val="-5"/>
                <w:sz w:val="24"/>
              </w:rPr>
              <w:t xml:space="preserve"> </w:t>
            </w:r>
            <w:r>
              <w:rPr>
                <w:i/>
                <w:sz w:val="24"/>
              </w:rPr>
              <w:t>Pneumatic</w:t>
            </w:r>
            <w:r>
              <w:rPr>
                <w:i/>
                <w:spacing w:val="-5"/>
                <w:sz w:val="24"/>
              </w:rPr>
              <w:t xml:space="preserve"> </w:t>
            </w:r>
            <w:r>
              <w:rPr>
                <w:i/>
                <w:sz w:val="24"/>
              </w:rPr>
              <w:t>Valves from Japan</w:t>
            </w:r>
            <w:r>
              <w:rPr>
                <w:sz w:val="24"/>
              </w:rPr>
              <w:t xml:space="preserve">, WT/DS504/R and Add.1, adopted 30 September 2019, as modified by Appellate Body Report WT/DS504/AB/R, DSR </w:t>
            </w:r>
            <w:proofErr w:type="gramStart"/>
            <w:r>
              <w:rPr>
                <w:sz w:val="24"/>
              </w:rPr>
              <w:t>2019:XI</w:t>
            </w:r>
            <w:proofErr w:type="gramEnd"/>
            <w:r>
              <w:rPr>
                <w:sz w:val="24"/>
              </w:rPr>
              <w:t>, p. 5935</w:t>
            </w:r>
          </w:p>
        </w:tc>
      </w:tr>
      <w:tr w:rsidR="00BF2951" w:rsidRPr="00BF2951" w14:paraId="0E16BF49" w14:textId="77777777" w:rsidTr="00BF2951">
        <w:tc>
          <w:tcPr>
            <w:tcW w:w="2943" w:type="dxa"/>
          </w:tcPr>
          <w:p w14:paraId="26FC3954" w14:textId="5457DE7A" w:rsidR="00BF2951" w:rsidRDefault="00BF2951" w:rsidP="00BF2951">
            <w:pPr>
              <w:rPr>
                <w:i/>
                <w:sz w:val="24"/>
              </w:rPr>
            </w:pPr>
            <w:r>
              <w:rPr>
                <w:i/>
                <w:sz w:val="24"/>
              </w:rPr>
              <w:t xml:space="preserve">Korea – </w:t>
            </w:r>
            <w:r>
              <w:rPr>
                <w:i/>
                <w:spacing w:val="-2"/>
                <w:sz w:val="24"/>
              </w:rPr>
              <w:t>Radionuclides</w:t>
            </w:r>
          </w:p>
        </w:tc>
        <w:tc>
          <w:tcPr>
            <w:tcW w:w="7403" w:type="dxa"/>
          </w:tcPr>
          <w:p w14:paraId="35300403" w14:textId="49FECC94" w:rsidR="00BF2951" w:rsidRDefault="00BF2951" w:rsidP="00BF2951">
            <w:pPr>
              <w:rPr>
                <w:sz w:val="24"/>
              </w:rPr>
            </w:pPr>
            <w:r>
              <w:rPr>
                <w:sz w:val="24"/>
              </w:rPr>
              <w:t xml:space="preserve">Appellate Body Report, </w:t>
            </w:r>
            <w:r>
              <w:rPr>
                <w:i/>
                <w:sz w:val="24"/>
              </w:rPr>
              <w:t>Korea – Import Bans, and Testing and Certification</w:t>
            </w:r>
            <w:r>
              <w:rPr>
                <w:i/>
                <w:spacing w:val="-9"/>
                <w:sz w:val="24"/>
              </w:rPr>
              <w:t xml:space="preserve"> </w:t>
            </w:r>
            <w:r>
              <w:rPr>
                <w:i/>
                <w:sz w:val="24"/>
              </w:rPr>
              <w:t>Requirements</w:t>
            </w:r>
            <w:r>
              <w:rPr>
                <w:i/>
                <w:spacing w:val="-12"/>
                <w:sz w:val="24"/>
              </w:rPr>
              <w:t xml:space="preserve"> </w:t>
            </w:r>
            <w:r>
              <w:rPr>
                <w:i/>
                <w:sz w:val="24"/>
              </w:rPr>
              <w:t>for</w:t>
            </w:r>
            <w:r>
              <w:rPr>
                <w:i/>
                <w:spacing w:val="-11"/>
                <w:sz w:val="24"/>
              </w:rPr>
              <w:t xml:space="preserve"> </w:t>
            </w:r>
            <w:r>
              <w:rPr>
                <w:i/>
                <w:sz w:val="24"/>
              </w:rPr>
              <w:t>Radionuclides</w:t>
            </w:r>
            <w:r>
              <w:rPr>
                <w:sz w:val="24"/>
              </w:rPr>
              <w:t>,</w:t>
            </w:r>
            <w:r>
              <w:rPr>
                <w:spacing w:val="-12"/>
                <w:sz w:val="24"/>
              </w:rPr>
              <w:t xml:space="preserve"> </w:t>
            </w:r>
            <w:r>
              <w:rPr>
                <w:sz w:val="24"/>
              </w:rPr>
              <w:t xml:space="preserve">WT/DS495/AB/R and Add.1, adopted 26 April 2019, DSR </w:t>
            </w:r>
            <w:proofErr w:type="gramStart"/>
            <w:r>
              <w:rPr>
                <w:sz w:val="24"/>
              </w:rPr>
              <w:t>2019:VII</w:t>
            </w:r>
            <w:proofErr w:type="gramEnd"/>
            <w:r>
              <w:rPr>
                <w:sz w:val="24"/>
              </w:rPr>
              <w:t>, p. 3653</w:t>
            </w:r>
          </w:p>
        </w:tc>
      </w:tr>
      <w:tr w:rsidR="00BF2951" w:rsidRPr="00BF2951" w14:paraId="46F40BCA" w14:textId="77777777" w:rsidTr="00BF2951">
        <w:tc>
          <w:tcPr>
            <w:tcW w:w="2943" w:type="dxa"/>
          </w:tcPr>
          <w:p w14:paraId="19B4FEFB" w14:textId="4EFB36F0" w:rsidR="00BF2951" w:rsidRDefault="00BF2951" w:rsidP="00BF2951">
            <w:pPr>
              <w:rPr>
                <w:i/>
                <w:sz w:val="24"/>
              </w:rPr>
            </w:pPr>
            <w:r>
              <w:rPr>
                <w:i/>
                <w:sz w:val="24"/>
              </w:rPr>
              <w:lastRenderedPageBreak/>
              <w:t>Korea</w:t>
            </w:r>
            <w:r>
              <w:rPr>
                <w:i/>
                <w:spacing w:val="-14"/>
                <w:sz w:val="24"/>
              </w:rPr>
              <w:t xml:space="preserve"> </w:t>
            </w:r>
            <w:r>
              <w:rPr>
                <w:i/>
                <w:sz w:val="24"/>
              </w:rPr>
              <w:t>–</w:t>
            </w:r>
            <w:r>
              <w:rPr>
                <w:i/>
                <w:spacing w:val="-14"/>
                <w:sz w:val="24"/>
              </w:rPr>
              <w:t xml:space="preserve"> </w:t>
            </w:r>
            <w:r>
              <w:rPr>
                <w:i/>
                <w:sz w:val="24"/>
              </w:rPr>
              <w:t>Stainless Steel Bars</w:t>
            </w:r>
          </w:p>
        </w:tc>
        <w:tc>
          <w:tcPr>
            <w:tcW w:w="7403" w:type="dxa"/>
          </w:tcPr>
          <w:p w14:paraId="4FA6A425" w14:textId="1677619E" w:rsidR="00BF2951" w:rsidRDefault="00BF2951" w:rsidP="00BF2951">
            <w:pPr>
              <w:rPr>
                <w:sz w:val="24"/>
              </w:rPr>
            </w:pPr>
            <w:r>
              <w:rPr>
                <w:sz w:val="24"/>
              </w:rPr>
              <w:t>Panel</w:t>
            </w:r>
            <w:r>
              <w:rPr>
                <w:spacing w:val="-3"/>
                <w:sz w:val="24"/>
              </w:rPr>
              <w:t xml:space="preserve"> </w:t>
            </w:r>
            <w:r>
              <w:rPr>
                <w:sz w:val="24"/>
              </w:rPr>
              <w:t>Report,</w:t>
            </w:r>
            <w:r>
              <w:rPr>
                <w:spacing w:val="-3"/>
                <w:sz w:val="24"/>
              </w:rPr>
              <w:t xml:space="preserve"> </w:t>
            </w:r>
            <w:r>
              <w:rPr>
                <w:i/>
                <w:sz w:val="24"/>
              </w:rPr>
              <w:t>Korea</w:t>
            </w:r>
            <w:r>
              <w:rPr>
                <w:i/>
                <w:spacing w:val="-4"/>
                <w:sz w:val="24"/>
              </w:rPr>
              <w:t xml:space="preserve"> </w:t>
            </w:r>
            <w:r>
              <w:rPr>
                <w:i/>
                <w:sz w:val="24"/>
              </w:rPr>
              <w:t>–</w:t>
            </w:r>
            <w:r>
              <w:rPr>
                <w:i/>
                <w:spacing w:val="-4"/>
                <w:sz w:val="24"/>
              </w:rPr>
              <w:t xml:space="preserve"> </w:t>
            </w:r>
            <w:r>
              <w:rPr>
                <w:i/>
                <w:sz w:val="24"/>
              </w:rPr>
              <w:t>Sunset</w:t>
            </w:r>
            <w:r>
              <w:rPr>
                <w:i/>
                <w:spacing w:val="-4"/>
                <w:sz w:val="24"/>
              </w:rPr>
              <w:t xml:space="preserve"> </w:t>
            </w:r>
            <w:r>
              <w:rPr>
                <w:i/>
                <w:sz w:val="24"/>
              </w:rPr>
              <w:t>Review</w:t>
            </w:r>
            <w:r>
              <w:rPr>
                <w:i/>
                <w:spacing w:val="-4"/>
                <w:sz w:val="24"/>
              </w:rPr>
              <w:t xml:space="preserve"> </w:t>
            </w:r>
            <w:r>
              <w:rPr>
                <w:i/>
                <w:sz w:val="24"/>
              </w:rPr>
              <w:t>of</w:t>
            </w:r>
            <w:r>
              <w:rPr>
                <w:i/>
                <w:spacing w:val="-6"/>
                <w:sz w:val="24"/>
              </w:rPr>
              <w:t xml:space="preserve"> </w:t>
            </w:r>
            <w:r>
              <w:rPr>
                <w:i/>
                <w:sz w:val="24"/>
              </w:rPr>
              <w:t>Anti-Dumping</w:t>
            </w:r>
            <w:r>
              <w:rPr>
                <w:i/>
                <w:spacing w:val="-4"/>
                <w:sz w:val="24"/>
              </w:rPr>
              <w:t xml:space="preserve"> </w:t>
            </w:r>
            <w:r>
              <w:rPr>
                <w:i/>
                <w:sz w:val="24"/>
              </w:rPr>
              <w:t>Duties</w:t>
            </w:r>
            <w:r>
              <w:rPr>
                <w:i/>
                <w:spacing w:val="-7"/>
                <w:sz w:val="24"/>
              </w:rPr>
              <w:t xml:space="preserve"> </w:t>
            </w:r>
            <w:r>
              <w:rPr>
                <w:i/>
                <w:sz w:val="24"/>
              </w:rPr>
              <w:t>on Stainless</w:t>
            </w:r>
            <w:r>
              <w:rPr>
                <w:i/>
                <w:spacing w:val="-5"/>
                <w:sz w:val="24"/>
              </w:rPr>
              <w:t xml:space="preserve"> </w:t>
            </w:r>
            <w:r>
              <w:rPr>
                <w:i/>
                <w:sz w:val="24"/>
              </w:rPr>
              <w:t>Steel Bars</w:t>
            </w:r>
            <w:r>
              <w:rPr>
                <w:sz w:val="24"/>
              </w:rPr>
              <w:t>, WT/DS553/R and</w:t>
            </w:r>
            <w:r>
              <w:rPr>
                <w:spacing w:val="-4"/>
                <w:sz w:val="24"/>
              </w:rPr>
              <w:t xml:space="preserve"> </w:t>
            </w:r>
            <w:r>
              <w:rPr>
                <w:sz w:val="24"/>
              </w:rPr>
              <w:t>Add.1,</w:t>
            </w:r>
            <w:r>
              <w:rPr>
                <w:spacing w:val="-1"/>
                <w:sz w:val="24"/>
              </w:rPr>
              <w:t xml:space="preserve"> </w:t>
            </w:r>
            <w:r>
              <w:rPr>
                <w:sz w:val="24"/>
              </w:rPr>
              <w:t>circulated</w:t>
            </w:r>
            <w:r>
              <w:rPr>
                <w:spacing w:val="-4"/>
                <w:sz w:val="24"/>
              </w:rPr>
              <w:t xml:space="preserve"> </w:t>
            </w:r>
            <w:r>
              <w:rPr>
                <w:sz w:val="24"/>
              </w:rPr>
              <w:t>to</w:t>
            </w:r>
            <w:r>
              <w:rPr>
                <w:spacing w:val="-5"/>
                <w:sz w:val="24"/>
              </w:rPr>
              <w:t xml:space="preserve"> </w:t>
            </w:r>
            <w:r>
              <w:rPr>
                <w:sz w:val="24"/>
              </w:rPr>
              <w:t>WTO Members 30 November 2020, appealed on 22 January 2021</w:t>
            </w:r>
          </w:p>
        </w:tc>
      </w:tr>
      <w:tr w:rsidR="00BF2951" w:rsidRPr="00BF2951" w14:paraId="58AABC17" w14:textId="77777777" w:rsidTr="00BF2951">
        <w:tc>
          <w:tcPr>
            <w:tcW w:w="2943" w:type="dxa"/>
          </w:tcPr>
          <w:p w14:paraId="1B7510E3" w14:textId="7CE8A85C" w:rsidR="00BF2951" w:rsidRDefault="00BF2951" w:rsidP="00BF2951">
            <w:pPr>
              <w:rPr>
                <w:i/>
                <w:sz w:val="24"/>
              </w:rPr>
            </w:pPr>
            <w:r>
              <w:rPr>
                <w:i/>
                <w:sz w:val="24"/>
              </w:rPr>
              <w:t>Mexico – Anti- Dumping</w:t>
            </w:r>
            <w:r>
              <w:rPr>
                <w:i/>
                <w:spacing w:val="-14"/>
                <w:sz w:val="24"/>
              </w:rPr>
              <w:t xml:space="preserve"> </w:t>
            </w:r>
            <w:r>
              <w:rPr>
                <w:i/>
                <w:sz w:val="24"/>
              </w:rPr>
              <w:t>Measures on Rice</w:t>
            </w:r>
          </w:p>
        </w:tc>
        <w:tc>
          <w:tcPr>
            <w:tcW w:w="7403" w:type="dxa"/>
          </w:tcPr>
          <w:p w14:paraId="75159965" w14:textId="048FD9F2" w:rsidR="00BF2951" w:rsidRDefault="00BF2951" w:rsidP="00BF2951">
            <w:pPr>
              <w:rPr>
                <w:sz w:val="24"/>
              </w:rPr>
            </w:pPr>
            <w:r>
              <w:rPr>
                <w:sz w:val="24"/>
              </w:rPr>
              <w:t xml:space="preserve">Appellate Body Report, </w:t>
            </w:r>
            <w:r>
              <w:rPr>
                <w:i/>
                <w:sz w:val="24"/>
              </w:rPr>
              <w:t>Mexico – Definitive Anti-Dumping Measures on Beef and Rice, Complaint with Respect to Rice</w:t>
            </w:r>
            <w:r>
              <w:rPr>
                <w:sz w:val="24"/>
              </w:rPr>
              <w:t>, WT/DS295/AB/R,</w:t>
            </w:r>
            <w:r>
              <w:rPr>
                <w:spacing w:val="-5"/>
                <w:sz w:val="24"/>
              </w:rPr>
              <w:t xml:space="preserve"> </w:t>
            </w:r>
            <w:r>
              <w:rPr>
                <w:sz w:val="24"/>
              </w:rPr>
              <w:t>adopted</w:t>
            </w:r>
            <w:r>
              <w:rPr>
                <w:spacing w:val="-4"/>
                <w:sz w:val="24"/>
              </w:rPr>
              <w:t xml:space="preserve"> </w:t>
            </w:r>
            <w:r>
              <w:rPr>
                <w:sz w:val="24"/>
              </w:rPr>
              <w:t>20</w:t>
            </w:r>
            <w:r>
              <w:rPr>
                <w:spacing w:val="-5"/>
                <w:sz w:val="24"/>
              </w:rPr>
              <w:t xml:space="preserve"> </w:t>
            </w:r>
            <w:r>
              <w:rPr>
                <w:sz w:val="24"/>
              </w:rPr>
              <w:t>December</w:t>
            </w:r>
            <w:r>
              <w:rPr>
                <w:spacing w:val="-9"/>
                <w:sz w:val="24"/>
              </w:rPr>
              <w:t xml:space="preserve"> </w:t>
            </w:r>
            <w:r>
              <w:rPr>
                <w:sz w:val="24"/>
              </w:rPr>
              <w:t>2005,</w:t>
            </w:r>
            <w:r>
              <w:rPr>
                <w:spacing w:val="-6"/>
                <w:sz w:val="24"/>
              </w:rPr>
              <w:t xml:space="preserve"> </w:t>
            </w:r>
            <w:r>
              <w:rPr>
                <w:sz w:val="24"/>
              </w:rPr>
              <w:t>DSR</w:t>
            </w:r>
            <w:r>
              <w:rPr>
                <w:spacing w:val="-8"/>
                <w:sz w:val="24"/>
              </w:rPr>
              <w:t xml:space="preserve"> </w:t>
            </w:r>
            <w:proofErr w:type="gramStart"/>
            <w:r>
              <w:rPr>
                <w:sz w:val="24"/>
              </w:rPr>
              <w:t>2005:XXII</w:t>
            </w:r>
            <w:proofErr w:type="gramEnd"/>
            <w:r>
              <w:rPr>
                <w:sz w:val="24"/>
              </w:rPr>
              <w:t>,</w:t>
            </w:r>
            <w:r>
              <w:rPr>
                <w:spacing w:val="-5"/>
                <w:sz w:val="24"/>
              </w:rPr>
              <w:t xml:space="preserve"> </w:t>
            </w:r>
            <w:r>
              <w:rPr>
                <w:sz w:val="24"/>
              </w:rPr>
              <w:t xml:space="preserve">p. </w:t>
            </w:r>
            <w:r>
              <w:rPr>
                <w:spacing w:val="-2"/>
                <w:sz w:val="24"/>
              </w:rPr>
              <w:t>10853</w:t>
            </w:r>
          </w:p>
        </w:tc>
      </w:tr>
      <w:tr w:rsidR="00BF2951" w:rsidRPr="00BF2951" w14:paraId="65E4B051" w14:textId="77777777" w:rsidTr="00BF2951">
        <w:tc>
          <w:tcPr>
            <w:tcW w:w="2943" w:type="dxa"/>
          </w:tcPr>
          <w:p w14:paraId="28FE96B3" w14:textId="1DA8CA98" w:rsidR="00BF2951" w:rsidRDefault="00BF2951" w:rsidP="00BF2951">
            <w:pPr>
              <w:rPr>
                <w:i/>
                <w:sz w:val="24"/>
              </w:rPr>
            </w:pPr>
            <w:r>
              <w:rPr>
                <w:i/>
                <w:sz w:val="24"/>
              </w:rPr>
              <w:t>Mexico - Anti- Dumping</w:t>
            </w:r>
            <w:r>
              <w:rPr>
                <w:i/>
                <w:spacing w:val="-14"/>
                <w:sz w:val="24"/>
              </w:rPr>
              <w:t xml:space="preserve"> </w:t>
            </w:r>
            <w:r>
              <w:rPr>
                <w:i/>
                <w:sz w:val="24"/>
              </w:rPr>
              <w:t>Measures on Rice</w:t>
            </w:r>
          </w:p>
        </w:tc>
        <w:tc>
          <w:tcPr>
            <w:tcW w:w="7403" w:type="dxa"/>
          </w:tcPr>
          <w:p w14:paraId="49E80A6C" w14:textId="6F70ED1A" w:rsidR="00BF2951" w:rsidRDefault="00BF2951" w:rsidP="00BF2951">
            <w:pPr>
              <w:rPr>
                <w:sz w:val="24"/>
              </w:rPr>
            </w:pPr>
            <w:r>
              <w:rPr>
                <w:sz w:val="24"/>
              </w:rPr>
              <w:t>Panel</w:t>
            </w:r>
            <w:r>
              <w:rPr>
                <w:spacing w:val="-4"/>
                <w:sz w:val="24"/>
              </w:rPr>
              <w:t xml:space="preserve"> </w:t>
            </w:r>
            <w:r>
              <w:rPr>
                <w:sz w:val="24"/>
              </w:rPr>
              <w:t>Report,</w:t>
            </w:r>
            <w:r>
              <w:rPr>
                <w:spacing w:val="-4"/>
                <w:sz w:val="24"/>
              </w:rPr>
              <w:t xml:space="preserve"> </w:t>
            </w:r>
            <w:r>
              <w:rPr>
                <w:i/>
                <w:sz w:val="24"/>
              </w:rPr>
              <w:t>Mexico</w:t>
            </w:r>
            <w:r>
              <w:rPr>
                <w:i/>
                <w:spacing w:val="-5"/>
                <w:sz w:val="24"/>
              </w:rPr>
              <w:t xml:space="preserve"> </w:t>
            </w:r>
            <w:r>
              <w:rPr>
                <w:i/>
                <w:sz w:val="24"/>
              </w:rPr>
              <w:t>–</w:t>
            </w:r>
            <w:r>
              <w:rPr>
                <w:i/>
                <w:spacing w:val="-6"/>
                <w:sz w:val="24"/>
              </w:rPr>
              <w:t xml:space="preserve"> </w:t>
            </w:r>
            <w:r>
              <w:rPr>
                <w:i/>
                <w:sz w:val="24"/>
              </w:rPr>
              <w:t>Definitive</w:t>
            </w:r>
            <w:r>
              <w:rPr>
                <w:i/>
                <w:spacing w:val="-6"/>
                <w:sz w:val="24"/>
              </w:rPr>
              <w:t xml:space="preserve"> </w:t>
            </w:r>
            <w:r>
              <w:rPr>
                <w:i/>
                <w:sz w:val="24"/>
              </w:rPr>
              <w:t>Anti-Dumping</w:t>
            </w:r>
            <w:r>
              <w:rPr>
                <w:i/>
                <w:spacing w:val="-6"/>
                <w:sz w:val="24"/>
              </w:rPr>
              <w:t xml:space="preserve"> </w:t>
            </w:r>
            <w:r>
              <w:rPr>
                <w:i/>
                <w:sz w:val="24"/>
              </w:rPr>
              <w:t>Measures</w:t>
            </w:r>
            <w:r>
              <w:rPr>
                <w:i/>
                <w:spacing w:val="-9"/>
                <w:sz w:val="24"/>
              </w:rPr>
              <w:t xml:space="preserve"> </w:t>
            </w:r>
            <w:r>
              <w:rPr>
                <w:i/>
                <w:sz w:val="24"/>
              </w:rPr>
              <w:t>on Beef and Rice, Complaint with Respect to Rice</w:t>
            </w:r>
            <w:r>
              <w:rPr>
                <w:sz w:val="24"/>
              </w:rPr>
              <w:t xml:space="preserve">, WT/DS295/R, adopted 20 December 2005, as modified by Appellate Body Report WT/DS295/AB/R, DSR </w:t>
            </w:r>
            <w:proofErr w:type="gramStart"/>
            <w:r>
              <w:rPr>
                <w:sz w:val="24"/>
              </w:rPr>
              <w:t>2005:XXIII</w:t>
            </w:r>
            <w:proofErr w:type="gramEnd"/>
            <w:r>
              <w:rPr>
                <w:sz w:val="24"/>
              </w:rPr>
              <w:t>, p. 11007</w:t>
            </w:r>
          </w:p>
        </w:tc>
      </w:tr>
      <w:tr w:rsidR="00BF2951" w:rsidRPr="00BF2951" w14:paraId="44D2592A" w14:textId="77777777" w:rsidTr="00BF2951">
        <w:tc>
          <w:tcPr>
            <w:tcW w:w="2943" w:type="dxa"/>
          </w:tcPr>
          <w:p w14:paraId="114D0086" w14:textId="5A44EE03" w:rsidR="00BF2951" w:rsidRDefault="00BF2951" w:rsidP="00BF2951">
            <w:pPr>
              <w:rPr>
                <w:i/>
                <w:sz w:val="24"/>
              </w:rPr>
            </w:pPr>
            <w:r>
              <w:rPr>
                <w:i/>
                <w:sz w:val="24"/>
              </w:rPr>
              <w:t>Mexico</w:t>
            </w:r>
            <w:r>
              <w:rPr>
                <w:i/>
                <w:spacing w:val="-12"/>
                <w:sz w:val="24"/>
              </w:rPr>
              <w:t xml:space="preserve"> </w:t>
            </w:r>
            <w:r>
              <w:rPr>
                <w:i/>
                <w:sz w:val="24"/>
              </w:rPr>
              <w:t>–</w:t>
            </w:r>
            <w:r>
              <w:rPr>
                <w:i/>
                <w:spacing w:val="-13"/>
                <w:sz w:val="24"/>
              </w:rPr>
              <w:t xml:space="preserve"> </w:t>
            </w:r>
            <w:r>
              <w:rPr>
                <w:i/>
                <w:sz w:val="24"/>
              </w:rPr>
              <w:t>Steel</w:t>
            </w:r>
            <w:r>
              <w:rPr>
                <w:i/>
                <w:spacing w:val="-11"/>
                <w:sz w:val="24"/>
              </w:rPr>
              <w:t xml:space="preserve"> </w:t>
            </w:r>
            <w:r>
              <w:rPr>
                <w:i/>
                <w:sz w:val="24"/>
              </w:rPr>
              <w:t>Pipes and Tubes</w:t>
            </w:r>
          </w:p>
        </w:tc>
        <w:tc>
          <w:tcPr>
            <w:tcW w:w="7403" w:type="dxa"/>
          </w:tcPr>
          <w:p w14:paraId="5219DA23" w14:textId="216BD4C4" w:rsidR="00BF2951" w:rsidRDefault="00BF2951" w:rsidP="00BF2951">
            <w:pPr>
              <w:rPr>
                <w:sz w:val="24"/>
              </w:rPr>
            </w:pPr>
            <w:r>
              <w:rPr>
                <w:sz w:val="24"/>
              </w:rPr>
              <w:t xml:space="preserve">Panel Report, </w:t>
            </w:r>
            <w:r>
              <w:rPr>
                <w:i/>
                <w:sz w:val="24"/>
              </w:rPr>
              <w:t>Mexico – Anti-Dumping Duties on Steel Pipes and Tubes</w:t>
            </w:r>
            <w:r>
              <w:rPr>
                <w:i/>
                <w:spacing w:val="-9"/>
                <w:sz w:val="24"/>
              </w:rPr>
              <w:t xml:space="preserve"> </w:t>
            </w:r>
            <w:r>
              <w:rPr>
                <w:i/>
                <w:sz w:val="24"/>
              </w:rPr>
              <w:t>from</w:t>
            </w:r>
            <w:r>
              <w:rPr>
                <w:i/>
                <w:spacing w:val="-6"/>
                <w:sz w:val="24"/>
              </w:rPr>
              <w:t xml:space="preserve"> </w:t>
            </w:r>
            <w:r>
              <w:rPr>
                <w:i/>
                <w:sz w:val="24"/>
              </w:rPr>
              <w:t>Guatemala</w:t>
            </w:r>
            <w:r>
              <w:rPr>
                <w:sz w:val="24"/>
              </w:rPr>
              <w:t>,</w:t>
            </w:r>
            <w:r>
              <w:rPr>
                <w:spacing w:val="-5"/>
                <w:sz w:val="24"/>
              </w:rPr>
              <w:t xml:space="preserve"> </w:t>
            </w:r>
            <w:r>
              <w:rPr>
                <w:sz w:val="24"/>
              </w:rPr>
              <w:t>WT/DS331/R,</w:t>
            </w:r>
            <w:r>
              <w:rPr>
                <w:spacing w:val="-5"/>
                <w:sz w:val="24"/>
              </w:rPr>
              <w:t xml:space="preserve"> </w:t>
            </w:r>
            <w:r>
              <w:rPr>
                <w:sz w:val="24"/>
              </w:rPr>
              <w:t>adopted</w:t>
            </w:r>
            <w:r>
              <w:rPr>
                <w:spacing w:val="-4"/>
                <w:sz w:val="24"/>
              </w:rPr>
              <w:t xml:space="preserve"> </w:t>
            </w:r>
            <w:r>
              <w:rPr>
                <w:sz w:val="24"/>
              </w:rPr>
              <w:t>24</w:t>
            </w:r>
            <w:r>
              <w:rPr>
                <w:spacing w:val="-5"/>
                <w:sz w:val="24"/>
              </w:rPr>
              <w:t xml:space="preserve"> </w:t>
            </w:r>
            <w:r>
              <w:rPr>
                <w:sz w:val="24"/>
              </w:rPr>
              <w:t>July</w:t>
            </w:r>
            <w:r>
              <w:rPr>
                <w:spacing w:val="-6"/>
                <w:sz w:val="24"/>
              </w:rPr>
              <w:t xml:space="preserve"> </w:t>
            </w:r>
            <w:r>
              <w:rPr>
                <w:sz w:val="24"/>
              </w:rPr>
              <w:t>2007,</w:t>
            </w:r>
            <w:r>
              <w:rPr>
                <w:spacing w:val="-5"/>
                <w:sz w:val="24"/>
              </w:rPr>
              <w:t xml:space="preserve"> </w:t>
            </w:r>
            <w:r>
              <w:rPr>
                <w:sz w:val="24"/>
              </w:rPr>
              <w:t xml:space="preserve">DSR </w:t>
            </w:r>
            <w:proofErr w:type="gramStart"/>
            <w:r>
              <w:rPr>
                <w:sz w:val="24"/>
              </w:rPr>
              <w:t>2007:IV</w:t>
            </w:r>
            <w:proofErr w:type="gramEnd"/>
            <w:r>
              <w:rPr>
                <w:sz w:val="24"/>
              </w:rPr>
              <w:t>, p. 1207</w:t>
            </w:r>
          </w:p>
        </w:tc>
      </w:tr>
      <w:tr w:rsidR="00BF2951" w:rsidRPr="00BF2951" w14:paraId="16B2B7EA" w14:textId="77777777" w:rsidTr="00BF2951">
        <w:tc>
          <w:tcPr>
            <w:tcW w:w="2943" w:type="dxa"/>
          </w:tcPr>
          <w:p w14:paraId="54B3820A" w14:textId="40CE175A" w:rsidR="00BF2951" w:rsidRDefault="00BF2951" w:rsidP="00BF2951">
            <w:pPr>
              <w:rPr>
                <w:i/>
                <w:sz w:val="24"/>
              </w:rPr>
            </w:pPr>
            <w:r>
              <w:rPr>
                <w:i/>
                <w:sz w:val="24"/>
              </w:rPr>
              <w:t>Morocco</w:t>
            </w:r>
            <w:r>
              <w:rPr>
                <w:i/>
                <w:spacing w:val="-14"/>
                <w:sz w:val="24"/>
              </w:rPr>
              <w:t xml:space="preserve"> </w:t>
            </w:r>
            <w:r>
              <w:rPr>
                <w:i/>
                <w:sz w:val="24"/>
              </w:rPr>
              <w:t>–</w:t>
            </w:r>
            <w:r>
              <w:rPr>
                <w:i/>
                <w:spacing w:val="-14"/>
                <w:sz w:val="24"/>
              </w:rPr>
              <w:t xml:space="preserve"> </w:t>
            </w:r>
            <w:r>
              <w:rPr>
                <w:i/>
                <w:sz w:val="24"/>
              </w:rPr>
              <w:t xml:space="preserve">Definitive AD Measures on Exercise Books </w:t>
            </w:r>
            <w:r>
              <w:rPr>
                <w:i/>
                <w:spacing w:val="-2"/>
                <w:sz w:val="24"/>
              </w:rPr>
              <w:t>(Tunisia)</w:t>
            </w:r>
          </w:p>
        </w:tc>
        <w:tc>
          <w:tcPr>
            <w:tcW w:w="7403" w:type="dxa"/>
          </w:tcPr>
          <w:p w14:paraId="0590950D" w14:textId="3D62C1B8" w:rsidR="00BF2951" w:rsidRDefault="00BF2951" w:rsidP="00BF2951">
            <w:pPr>
              <w:rPr>
                <w:sz w:val="24"/>
              </w:rPr>
            </w:pPr>
            <w:r>
              <w:rPr>
                <w:sz w:val="24"/>
              </w:rPr>
              <w:t>Panel</w:t>
            </w:r>
            <w:r>
              <w:rPr>
                <w:spacing w:val="-4"/>
                <w:sz w:val="24"/>
              </w:rPr>
              <w:t xml:space="preserve"> </w:t>
            </w:r>
            <w:r>
              <w:rPr>
                <w:sz w:val="24"/>
              </w:rPr>
              <w:t>Report,</w:t>
            </w:r>
            <w:r>
              <w:rPr>
                <w:spacing w:val="-4"/>
                <w:sz w:val="24"/>
              </w:rPr>
              <w:t xml:space="preserve"> </w:t>
            </w:r>
            <w:r>
              <w:rPr>
                <w:i/>
                <w:sz w:val="24"/>
              </w:rPr>
              <w:t>Morocco</w:t>
            </w:r>
            <w:r>
              <w:rPr>
                <w:i/>
                <w:spacing w:val="-5"/>
                <w:sz w:val="24"/>
              </w:rPr>
              <w:t xml:space="preserve"> </w:t>
            </w:r>
            <w:r>
              <w:rPr>
                <w:i/>
                <w:sz w:val="24"/>
              </w:rPr>
              <w:t>–</w:t>
            </w:r>
            <w:r>
              <w:rPr>
                <w:i/>
                <w:spacing w:val="-6"/>
                <w:sz w:val="24"/>
              </w:rPr>
              <w:t xml:space="preserve"> </w:t>
            </w:r>
            <w:r>
              <w:rPr>
                <w:i/>
                <w:sz w:val="24"/>
              </w:rPr>
              <w:t>Definitive</w:t>
            </w:r>
            <w:r>
              <w:rPr>
                <w:i/>
                <w:spacing w:val="-6"/>
                <w:sz w:val="24"/>
              </w:rPr>
              <w:t xml:space="preserve"> </w:t>
            </w:r>
            <w:r>
              <w:rPr>
                <w:i/>
                <w:sz w:val="24"/>
              </w:rPr>
              <w:t>Anti-Dumping</w:t>
            </w:r>
            <w:r>
              <w:rPr>
                <w:i/>
                <w:spacing w:val="-10"/>
                <w:sz w:val="24"/>
              </w:rPr>
              <w:t xml:space="preserve"> </w:t>
            </w:r>
            <w:r>
              <w:rPr>
                <w:i/>
                <w:sz w:val="24"/>
              </w:rPr>
              <w:t>Measures</w:t>
            </w:r>
            <w:r>
              <w:rPr>
                <w:i/>
                <w:spacing w:val="-9"/>
                <w:sz w:val="24"/>
              </w:rPr>
              <w:t xml:space="preserve"> </w:t>
            </w:r>
            <w:r>
              <w:rPr>
                <w:i/>
                <w:sz w:val="24"/>
              </w:rPr>
              <w:t>on School Exercise Books from Tunisia</w:t>
            </w:r>
            <w:r>
              <w:rPr>
                <w:sz w:val="24"/>
              </w:rPr>
              <w:t>, WT/DS578/R and Add.1, circulated</w:t>
            </w:r>
            <w:r>
              <w:rPr>
                <w:spacing w:val="-2"/>
                <w:sz w:val="24"/>
              </w:rPr>
              <w:t xml:space="preserve"> </w:t>
            </w:r>
            <w:r>
              <w:rPr>
                <w:sz w:val="24"/>
              </w:rPr>
              <w:t>to</w:t>
            </w:r>
            <w:r>
              <w:rPr>
                <w:spacing w:val="-3"/>
                <w:sz w:val="24"/>
              </w:rPr>
              <w:t xml:space="preserve"> </w:t>
            </w:r>
            <w:r>
              <w:rPr>
                <w:sz w:val="24"/>
              </w:rPr>
              <w:t>WTO</w:t>
            </w:r>
            <w:r>
              <w:rPr>
                <w:spacing w:val="-1"/>
                <w:sz w:val="24"/>
              </w:rPr>
              <w:t xml:space="preserve"> </w:t>
            </w:r>
            <w:r>
              <w:rPr>
                <w:sz w:val="24"/>
              </w:rPr>
              <w:t>Members 27 July 2021, appealed</w:t>
            </w:r>
            <w:r>
              <w:rPr>
                <w:spacing w:val="-2"/>
                <w:sz w:val="24"/>
              </w:rPr>
              <w:t xml:space="preserve"> </w:t>
            </w:r>
            <w:r>
              <w:rPr>
                <w:sz w:val="24"/>
              </w:rPr>
              <w:t>on 28</w:t>
            </w:r>
            <w:r>
              <w:rPr>
                <w:spacing w:val="-3"/>
                <w:sz w:val="24"/>
              </w:rPr>
              <w:t xml:space="preserve"> </w:t>
            </w:r>
            <w:r>
              <w:rPr>
                <w:sz w:val="24"/>
              </w:rPr>
              <w:t xml:space="preserve">July </w:t>
            </w:r>
            <w:r>
              <w:rPr>
                <w:spacing w:val="-4"/>
                <w:sz w:val="24"/>
              </w:rPr>
              <w:t>2021</w:t>
            </w:r>
          </w:p>
        </w:tc>
      </w:tr>
      <w:tr w:rsidR="00BF2951" w:rsidRPr="00BF2951" w14:paraId="65840E3B" w14:textId="77777777" w:rsidTr="00BF2951">
        <w:tc>
          <w:tcPr>
            <w:tcW w:w="2943" w:type="dxa"/>
          </w:tcPr>
          <w:p w14:paraId="61465B94" w14:textId="10AE8A83" w:rsidR="00BF2951" w:rsidRDefault="00BF2951" w:rsidP="00BF2951">
            <w:pPr>
              <w:rPr>
                <w:i/>
                <w:sz w:val="24"/>
              </w:rPr>
            </w:pPr>
            <w:r>
              <w:rPr>
                <w:i/>
                <w:sz w:val="24"/>
              </w:rPr>
              <w:t>Morocco – Hot- Rolled</w:t>
            </w:r>
            <w:r>
              <w:rPr>
                <w:i/>
                <w:spacing w:val="-14"/>
                <w:sz w:val="24"/>
              </w:rPr>
              <w:t xml:space="preserve"> </w:t>
            </w:r>
            <w:r>
              <w:rPr>
                <w:i/>
                <w:sz w:val="24"/>
              </w:rPr>
              <w:t>Steel</w:t>
            </w:r>
            <w:r>
              <w:rPr>
                <w:i/>
                <w:spacing w:val="-14"/>
                <w:sz w:val="24"/>
              </w:rPr>
              <w:t xml:space="preserve"> </w:t>
            </w:r>
            <w:r>
              <w:rPr>
                <w:i/>
                <w:sz w:val="24"/>
              </w:rPr>
              <w:t>(Turkey)</w:t>
            </w:r>
          </w:p>
        </w:tc>
        <w:tc>
          <w:tcPr>
            <w:tcW w:w="7403" w:type="dxa"/>
          </w:tcPr>
          <w:p w14:paraId="63343938" w14:textId="13046ED4" w:rsidR="00BF2951" w:rsidRDefault="00BF2951" w:rsidP="00BF2951">
            <w:pPr>
              <w:rPr>
                <w:sz w:val="24"/>
              </w:rPr>
            </w:pPr>
            <w:r>
              <w:rPr>
                <w:sz w:val="24"/>
              </w:rPr>
              <w:t>Panel</w:t>
            </w:r>
            <w:r>
              <w:rPr>
                <w:spacing w:val="-3"/>
                <w:sz w:val="24"/>
              </w:rPr>
              <w:t xml:space="preserve"> </w:t>
            </w:r>
            <w:r>
              <w:rPr>
                <w:sz w:val="24"/>
              </w:rPr>
              <w:t>Report,</w:t>
            </w:r>
            <w:r>
              <w:rPr>
                <w:spacing w:val="-3"/>
                <w:sz w:val="24"/>
              </w:rPr>
              <w:t xml:space="preserve"> </w:t>
            </w:r>
            <w:r>
              <w:rPr>
                <w:i/>
                <w:sz w:val="24"/>
              </w:rPr>
              <w:t>Morocco</w:t>
            </w:r>
            <w:r>
              <w:rPr>
                <w:i/>
                <w:spacing w:val="-4"/>
                <w:sz w:val="24"/>
              </w:rPr>
              <w:t xml:space="preserve"> </w:t>
            </w:r>
            <w:r>
              <w:rPr>
                <w:i/>
                <w:sz w:val="24"/>
              </w:rPr>
              <w:t>–</w:t>
            </w:r>
            <w:r>
              <w:rPr>
                <w:i/>
                <w:spacing w:val="-5"/>
                <w:sz w:val="24"/>
              </w:rPr>
              <w:t xml:space="preserve"> </w:t>
            </w:r>
            <w:r>
              <w:rPr>
                <w:i/>
                <w:sz w:val="24"/>
              </w:rPr>
              <w:t>Anti-dumping</w:t>
            </w:r>
            <w:r>
              <w:rPr>
                <w:i/>
                <w:spacing w:val="-5"/>
                <w:sz w:val="24"/>
              </w:rPr>
              <w:t xml:space="preserve"> </w:t>
            </w:r>
            <w:r>
              <w:rPr>
                <w:i/>
                <w:sz w:val="24"/>
              </w:rPr>
              <w:t>Measures</w:t>
            </w:r>
            <w:r>
              <w:rPr>
                <w:i/>
                <w:spacing w:val="-12"/>
                <w:sz w:val="24"/>
              </w:rPr>
              <w:t xml:space="preserve"> </w:t>
            </w:r>
            <w:r>
              <w:rPr>
                <w:i/>
                <w:sz w:val="24"/>
              </w:rPr>
              <w:t>on</w:t>
            </w:r>
            <w:r>
              <w:rPr>
                <w:i/>
                <w:spacing w:val="-5"/>
                <w:sz w:val="24"/>
              </w:rPr>
              <w:t xml:space="preserve"> </w:t>
            </w:r>
            <w:r>
              <w:rPr>
                <w:i/>
                <w:sz w:val="24"/>
              </w:rPr>
              <w:t>Certain</w:t>
            </w:r>
            <w:r>
              <w:rPr>
                <w:i/>
                <w:spacing w:val="-5"/>
                <w:sz w:val="24"/>
              </w:rPr>
              <w:t xml:space="preserve"> </w:t>
            </w:r>
            <w:r>
              <w:rPr>
                <w:i/>
                <w:sz w:val="24"/>
              </w:rPr>
              <w:t>Hot- Rolled Steel from Turkey</w:t>
            </w:r>
            <w:r>
              <w:rPr>
                <w:sz w:val="24"/>
              </w:rPr>
              <w:t>, WT/DS513/R and Add.1, adopted 8 January 2020; appeal withdrawn by Morocco as reflected in Appellate Body Report WT/DS513/AB/R</w:t>
            </w:r>
          </w:p>
        </w:tc>
      </w:tr>
      <w:tr w:rsidR="00BF2951" w:rsidRPr="00BF2951" w14:paraId="3217CCB8" w14:textId="77777777" w:rsidTr="00BF2951">
        <w:tc>
          <w:tcPr>
            <w:tcW w:w="2943" w:type="dxa"/>
          </w:tcPr>
          <w:p w14:paraId="1622D510" w14:textId="2C1C6713" w:rsidR="00BF2951" w:rsidRDefault="00BF2951" w:rsidP="00BF2951">
            <w:pPr>
              <w:rPr>
                <w:i/>
                <w:sz w:val="24"/>
              </w:rPr>
            </w:pPr>
            <w:r>
              <w:rPr>
                <w:i/>
                <w:sz w:val="24"/>
              </w:rPr>
              <w:t>Pakistan</w:t>
            </w:r>
            <w:r>
              <w:rPr>
                <w:i/>
                <w:spacing w:val="-14"/>
                <w:sz w:val="24"/>
              </w:rPr>
              <w:t xml:space="preserve"> </w:t>
            </w:r>
            <w:r>
              <w:rPr>
                <w:i/>
                <w:sz w:val="24"/>
              </w:rPr>
              <w:t>–</w:t>
            </w:r>
            <w:r>
              <w:rPr>
                <w:i/>
                <w:spacing w:val="-14"/>
                <w:sz w:val="24"/>
              </w:rPr>
              <w:t xml:space="preserve"> </w:t>
            </w:r>
            <w:r>
              <w:rPr>
                <w:i/>
                <w:sz w:val="24"/>
              </w:rPr>
              <w:t>BOPP Film (UAE)</w:t>
            </w:r>
          </w:p>
        </w:tc>
        <w:tc>
          <w:tcPr>
            <w:tcW w:w="7403" w:type="dxa"/>
          </w:tcPr>
          <w:p w14:paraId="5154824E" w14:textId="58AB163F" w:rsidR="00BF2951" w:rsidRDefault="00BF2951" w:rsidP="00BF2951">
            <w:pPr>
              <w:rPr>
                <w:sz w:val="24"/>
              </w:rPr>
            </w:pPr>
            <w:r>
              <w:rPr>
                <w:sz w:val="24"/>
              </w:rPr>
              <w:t xml:space="preserve">Panel Report, </w:t>
            </w:r>
            <w:r>
              <w:rPr>
                <w:i/>
                <w:sz w:val="24"/>
              </w:rPr>
              <w:t>Pakistan – Anti-Dumping Measures on Biaxially Oriented Polypropylene Film from the United Arab Emirates</w:t>
            </w:r>
            <w:r>
              <w:rPr>
                <w:sz w:val="24"/>
              </w:rPr>
              <w:t>, WT/DS538/R</w:t>
            </w:r>
            <w:r>
              <w:rPr>
                <w:spacing w:val="-2"/>
                <w:sz w:val="24"/>
              </w:rPr>
              <w:t xml:space="preserve"> </w:t>
            </w:r>
            <w:r>
              <w:rPr>
                <w:sz w:val="24"/>
              </w:rPr>
              <w:t>and</w:t>
            </w:r>
            <w:r>
              <w:rPr>
                <w:spacing w:val="-7"/>
                <w:sz w:val="24"/>
              </w:rPr>
              <w:t xml:space="preserve"> </w:t>
            </w:r>
            <w:r>
              <w:rPr>
                <w:sz w:val="24"/>
              </w:rPr>
              <w:t>Add.1,</w:t>
            </w:r>
            <w:r>
              <w:rPr>
                <w:spacing w:val="-4"/>
                <w:sz w:val="24"/>
              </w:rPr>
              <w:t xml:space="preserve"> </w:t>
            </w:r>
            <w:r>
              <w:rPr>
                <w:sz w:val="24"/>
              </w:rPr>
              <w:t>circulated</w:t>
            </w:r>
            <w:r>
              <w:rPr>
                <w:spacing w:val="-7"/>
                <w:sz w:val="24"/>
              </w:rPr>
              <w:t xml:space="preserve"> </w:t>
            </w:r>
            <w:r>
              <w:rPr>
                <w:sz w:val="24"/>
              </w:rPr>
              <w:t>to</w:t>
            </w:r>
            <w:r>
              <w:rPr>
                <w:spacing w:val="-8"/>
                <w:sz w:val="24"/>
              </w:rPr>
              <w:t xml:space="preserve"> </w:t>
            </w:r>
            <w:r>
              <w:rPr>
                <w:sz w:val="24"/>
              </w:rPr>
              <w:t>WTO</w:t>
            </w:r>
            <w:r>
              <w:rPr>
                <w:spacing w:val="-7"/>
                <w:sz w:val="24"/>
              </w:rPr>
              <w:t xml:space="preserve"> </w:t>
            </w:r>
            <w:r>
              <w:rPr>
                <w:sz w:val="24"/>
              </w:rPr>
              <w:t>Members</w:t>
            </w:r>
            <w:r>
              <w:rPr>
                <w:spacing w:val="-4"/>
                <w:sz w:val="24"/>
              </w:rPr>
              <w:t xml:space="preserve"> </w:t>
            </w:r>
            <w:r>
              <w:rPr>
                <w:sz w:val="24"/>
              </w:rPr>
              <w:t>18</w:t>
            </w:r>
            <w:r>
              <w:rPr>
                <w:spacing w:val="-8"/>
                <w:sz w:val="24"/>
              </w:rPr>
              <w:t xml:space="preserve"> </w:t>
            </w:r>
            <w:r>
              <w:rPr>
                <w:sz w:val="24"/>
              </w:rPr>
              <w:t>January 2021, appealed on 22 February 2021</w:t>
            </w:r>
          </w:p>
        </w:tc>
      </w:tr>
      <w:tr w:rsidR="00BF2951" w:rsidRPr="00BF2951" w14:paraId="26F9EF99" w14:textId="77777777" w:rsidTr="00BF2951">
        <w:tc>
          <w:tcPr>
            <w:tcW w:w="2943" w:type="dxa"/>
          </w:tcPr>
          <w:p w14:paraId="56157546" w14:textId="368160A1" w:rsidR="00BF2951" w:rsidRDefault="00BF2951" w:rsidP="00BF2951">
            <w:pPr>
              <w:rPr>
                <w:i/>
                <w:sz w:val="24"/>
              </w:rPr>
            </w:pPr>
            <w:r>
              <w:rPr>
                <w:i/>
                <w:sz w:val="24"/>
              </w:rPr>
              <w:t>Russia</w:t>
            </w:r>
            <w:r>
              <w:rPr>
                <w:i/>
                <w:spacing w:val="-14"/>
                <w:sz w:val="24"/>
              </w:rPr>
              <w:t xml:space="preserve"> </w:t>
            </w:r>
            <w:r>
              <w:rPr>
                <w:i/>
                <w:sz w:val="24"/>
              </w:rPr>
              <w:t>–</w:t>
            </w:r>
            <w:r>
              <w:rPr>
                <w:i/>
                <w:spacing w:val="-14"/>
                <w:sz w:val="24"/>
              </w:rPr>
              <w:t xml:space="preserve"> </w:t>
            </w:r>
            <w:r>
              <w:rPr>
                <w:i/>
                <w:sz w:val="24"/>
              </w:rPr>
              <w:t xml:space="preserve">Commercial </w:t>
            </w:r>
            <w:r>
              <w:rPr>
                <w:i/>
                <w:spacing w:val="-2"/>
                <w:sz w:val="24"/>
              </w:rPr>
              <w:t>Vehicles</w:t>
            </w:r>
          </w:p>
        </w:tc>
        <w:tc>
          <w:tcPr>
            <w:tcW w:w="7403" w:type="dxa"/>
          </w:tcPr>
          <w:p w14:paraId="1040F4BF" w14:textId="1C64CFFD" w:rsidR="00BF2951" w:rsidRDefault="00BF2951" w:rsidP="00BF2951">
            <w:pPr>
              <w:rPr>
                <w:sz w:val="24"/>
              </w:rPr>
            </w:pPr>
            <w:r>
              <w:rPr>
                <w:sz w:val="24"/>
              </w:rPr>
              <w:t xml:space="preserve">Appellate Body Report, </w:t>
            </w:r>
            <w:r>
              <w:rPr>
                <w:i/>
                <w:sz w:val="24"/>
              </w:rPr>
              <w:t>Russia – Anti-Dumping Duties on Light Commercial</w:t>
            </w:r>
            <w:r>
              <w:rPr>
                <w:i/>
                <w:spacing w:val="-5"/>
                <w:sz w:val="24"/>
              </w:rPr>
              <w:t xml:space="preserve"> </w:t>
            </w:r>
            <w:r>
              <w:rPr>
                <w:i/>
                <w:sz w:val="24"/>
              </w:rPr>
              <w:t>Vehicles</w:t>
            </w:r>
            <w:r>
              <w:rPr>
                <w:i/>
                <w:spacing w:val="-10"/>
                <w:sz w:val="24"/>
              </w:rPr>
              <w:t xml:space="preserve"> </w:t>
            </w:r>
            <w:r>
              <w:rPr>
                <w:i/>
                <w:sz w:val="24"/>
              </w:rPr>
              <w:t>from</w:t>
            </w:r>
            <w:r>
              <w:rPr>
                <w:i/>
                <w:spacing w:val="-6"/>
                <w:sz w:val="24"/>
              </w:rPr>
              <w:t xml:space="preserve"> </w:t>
            </w:r>
            <w:r>
              <w:rPr>
                <w:i/>
                <w:sz w:val="24"/>
              </w:rPr>
              <w:t>Germany</w:t>
            </w:r>
            <w:r>
              <w:rPr>
                <w:i/>
                <w:spacing w:val="-10"/>
                <w:sz w:val="24"/>
              </w:rPr>
              <w:t xml:space="preserve"> </w:t>
            </w:r>
            <w:r>
              <w:rPr>
                <w:i/>
                <w:sz w:val="24"/>
              </w:rPr>
              <w:t>and</w:t>
            </w:r>
            <w:r>
              <w:rPr>
                <w:i/>
                <w:spacing w:val="-7"/>
                <w:sz w:val="24"/>
              </w:rPr>
              <w:t xml:space="preserve"> </w:t>
            </w:r>
            <w:r>
              <w:rPr>
                <w:i/>
                <w:sz w:val="24"/>
              </w:rPr>
              <w:t>Italy</w:t>
            </w:r>
            <w:r>
              <w:rPr>
                <w:sz w:val="24"/>
              </w:rPr>
              <w:t>,</w:t>
            </w:r>
            <w:r>
              <w:rPr>
                <w:spacing w:val="-5"/>
                <w:sz w:val="24"/>
              </w:rPr>
              <w:t xml:space="preserve"> </w:t>
            </w:r>
            <w:r>
              <w:rPr>
                <w:sz w:val="24"/>
              </w:rPr>
              <w:t xml:space="preserve">WT/DS479/AB/R and Add.1, adopted 9 April 2018, DSR </w:t>
            </w:r>
            <w:proofErr w:type="gramStart"/>
            <w:r>
              <w:rPr>
                <w:sz w:val="24"/>
              </w:rPr>
              <w:t>2018:III</w:t>
            </w:r>
            <w:proofErr w:type="gramEnd"/>
            <w:r>
              <w:rPr>
                <w:sz w:val="24"/>
              </w:rPr>
              <w:t>, p. 1167</w:t>
            </w:r>
          </w:p>
        </w:tc>
      </w:tr>
      <w:tr w:rsidR="00BF2951" w:rsidRPr="00BF2951" w14:paraId="7628523F" w14:textId="77777777" w:rsidTr="00BF2951">
        <w:tc>
          <w:tcPr>
            <w:tcW w:w="2943" w:type="dxa"/>
          </w:tcPr>
          <w:p w14:paraId="5D697A80" w14:textId="628BEC08" w:rsidR="00BF2951" w:rsidRDefault="00BF2951" w:rsidP="00BF2951">
            <w:pPr>
              <w:rPr>
                <w:i/>
                <w:sz w:val="24"/>
              </w:rPr>
            </w:pPr>
            <w:r>
              <w:rPr>
                <w:i/>
                <w:sz w:val="24"/>
              </w:rPr>
              <w:t>Russia</w:t>
            </w:r>
            <w:r>
              <w:rPr>
                <w:i/>
                <w:spacing w:val="-14"/>
                <w:sz w:val="24"/>
              </w:rPr>
              <w:t xml:space="preserve"> </w:t>
            </w:r>
            <w:r>
              <w:rPr>
                <w:i/>
                <w:sz w:val="24"/>
              </w:rPr>
              <w:t>–</w:t>
            </w:r>
            <w:r>
              <w:rPr>
                <w:i/>
                <w:spacing w:val="-14"/>
                <w:sz w:val="24"/>
              </w:rPr>
              <w:t xml:space="preserve"> </w:t>
            </w:r>
            <w:r>
              <w:rPr>
                <w:i/>
                <w:sz w:val="24"/>
              </w:rPr>
              <w:t xml:space="preserve">Commercial </w:t>
            </w:r>
            <w:r>
              <w:rPr>
                <w:i/>
                <w:spacing w:val="-2"/>
                <w:sz w:val="24"/>
              </w:rPr>
              <w:t>Vehicles</w:t>
            </w:r>
          </w:p>
        </w:tc>
        <w:tc>
          <w:tcPr>
            <w:tcW w:w="7403" w:type="dxa"/>
          </w:tcPr>
          <w:p w14:paraId="328D6A00" w14:textId="2CEAE7EB" w:rsidR="00BF2951" w:rsidRDefault="00BF2951" w:rsidP="00BF2951">
            <w:pPr>
              <w:rPr>
                <w:sz w:val="24"/>
              </w:rPr>
            </w:pPr>
            <w:r>
              <w:rPr>
                <w:sz w:val="24"/>
              </w:rPr>
              <w:t>Panel</w:t>
            </w:r>
            <w:r>
              <w:rPr>
                <w:spacing w:val="-3"/>
                <w:sz w:val="24"/>
              </w:rPr>
              <w:t xml:space="preserve"> </w:t>
            </w:r>
            <w:r>
              <w:rPr>
                <w:sz w:val="24"/>
              </w:rPr>
              <w:t>Report,</w:t>
            </w:r>
            <w:r>
              <w:rPr>
                <w:spacing w:val="-3"/>
                <w:sz w:val="24"/>
              </w:rPr>
              <w:t xml:space="preserve"> </w:t>
            </w:r>
            <w:r>
              <w:rPr>
                <w:i/>
                <w:sz w:val="24"/>
              </w:rPr>
              <w:t>Russia</w:t>
            </w:r>
            <w:r>
              <w:rPr>
                <w:i/>
                <w:spacing w:val="-4"/>
                <w:sz w:val="24"/>
              </w:rPr>
              <w:t xml:space="preserve"> </w:t>
            </w:r>
            <w:r>
              <w:rPr>
                <w:i/>
                <w:sz w:val="24"/>
              </w:rPr>
              <w:t>–</w:t>
            </w:r>
            <w:r>
              <w:rPr>
                <w:i/>
                <w:spacing w:val="-5"/>
                <w:sz w:val="24"/>
              </w:rPr>
              <w:t xml:space="preserve"> </w:t>
            </w:r>
            <w:r>
              <w:rPr>
                <w:i/>
                <w:sz w:val="24"/>
              </w:rPr>
              <w:t>Anti-Dumping</w:t>
            </w:r>
            <w:r>
              <w:rPr>
                <w:i/>
                <w:spacing w:val="-5"/>
                <w:sz w:val="24"/>
              </w:rPr>
              <w:t xml:space="preserve"> </w:t>
            </w:r>
            <w:r>
              <w:rPr>
                <w:i/>
                <w:sz w:val="24"/>
              </w:rPr>
              <w:t>Duties</w:t>
            </w:r>
            <w:r>
              <w:rPr>
                <w:i/>
                <w:spacing w:val="-8"/>
                <w:sz w:val="24"/>
              </w:rPr>
              <w:t xml:space="preserve"> </w:t>
            </w:r>
            <w:r>
              <w:rPr>
                <w:i/>
                <w:sz w:val="24"/>
              </w:rPr>
              <w:t>on</w:t>
            </w:r>
            <w:r>
              <w:rPr>
                <w:i/>
                <w:spacing w:val="-5"/>
                <w:sz w:val="24"/>
              </w:rPr>
              <w:t xml:space="preserve"> </w:t>
            </w:r>
            <w:r>
              <w:rPr>
                <w:i/>
                <w:sz w:val="24"/>
              </w:rPr>
              <w:t>Light</w:t>
            </w:r>
            <w:r>
              <w:rPr>
                <w:i/>
                <w:spacing w:val="-5"/>
                <w:sz w:val="24"/>
              </w:rPr>
              <w:t xml:space="preserve"> </w:t>
            </w:r>
            <w:r>
              <w:rPr>
                <w:i/>
                <w:sz w:val="24"/>
              </w:rPr>
              <w:t>Commercial Vehicles from Germany and Italy</w:t>
            </w:r>
            <w:r>
              <w:rPr>
                <w:sz w:val="24"/>
              </w:rPr>
              <w:t xml:space="preserve">, WT/DS479/R and Add.1, adopted 9 April 2018, as modified by Appellate Body Report WT/DS479/AB/R, DSR </w:t>
            </w:r>
            <w:proofErr w:type="gramStart"/>
            <w:r>
              <w:rPr>
                <w:sz w:val="24"/>
              </w:rPr>
              <w:t>2018:III</w:t>
            </w:r>
            <w:proofErr w:type="gramEnd"/>
            <w:r>
              <w:rPr>
                <w:sz w:val="24"/>
              </w:rPr>
              <w:t>, p. 1329</w:t>
            </w:r>
          </w:p>
        </w:tc>
      </w:tr>
      <w:tr w:rsidR="00BF2951" w:rsidRPr="00BF2951" w14:paraId="7522CAE8" w14:textId="77777777" w:rsidTr="00BF2951">
        <w:tc>
          <w:tcPr>
            <w:tcW w:w="2943" w:type="dxa"/>
          </w:tcPr>
          <w:p w14:paraId="6907B3AE" w14:textId="52CF1327" w:rsidR="00BF2951" w:rsidRDefault="00BF2951" w:rsidP="00BF2951">
            <w:pPr>
              <w:rPr>
                <w:i/>
                <w:sz w:val="24"/>
              </w:rPr>
            </w:pPr>
            <w:r>
              <w:rPr>
                <w:i/>
                <w:sz w:val="24"/>
              </w:rPr>
              <w:t>Russia</w:t>
            </w:r>
            <w:r>
              <w:rPr>
                <w:i/>
                <w:spacing w:val="-4"/>
                <w:sz w:val="24"/>
              </w:rPr>
              <w:t xml:space="preserve"> </w:t>
            </w:r>
            <w:r>
              <w:rPr>
                <w:i/>
                <w:sz w:val="24"/>
              </w:rPr>
              <w:t>–</w:t>
            </w:r>
            <w:r>
              <w:rPr>
                <w:i/>
                <w:spacing w:val="-1"/>
                <w:sz w:val="24"/>
              </w:rPr>
              <w:t xml:space="preserve"> </w:t>
            </w:r>
            <w:r>
              <w:rPr>
                <w:i/>
                <w:sz w:val="24"/>
              </w:rPr>
              <w:t>Pigs</w:t>
            </w:r>
            <w:r>
              <w:rPr>
                <w:i/>
                <w:spacing w:val="-4"/>
                <w:sz w:val="24"/>
              </w:rPr>
              <w:t xml:space="preserve"> (EU)</w:t>
            </w:r>
          </w:p>
        </w:tc>
        <w:tc>
          <w:tcPr>
            <w:tcW w:w="7403" w:type="dxa"/>
          </w:tcPr>
          <w:p w14:paraId="67850522" w14:textId="6D1E9628" w:rsidR="00BF2951" w:rsidRDefault="00BF2951" w:rsidP="00BF2951">
            <w:pPr>
              <w:rPr>
                <w:sz w:val="24"/>
              </w:rPr>
            </w:pPr>
            <w:r>
              <w:rPr>
                <w:sz w:val="24"/>
              </w:rPr>
              <w:t>Panel</w:t>
            </w:r>
            <w:r>
              <w:rPr>
                <w:spacing w:val="-3"/>
                <w:sz w:val="24"/>
              </w:rPr>
              <w:t xml:space="preserve"> </w:t>
            </w:r>
            <w:r>
              <w:rPr>
                <w:sz w:val="24"/>
              </w:rPr>
              <w:t>Report,</w:t>
            </w:r>
            <w:r>
              <w:rPr>
                <w:spacing w:val="-3"/>
                <w:sz w:val="24"/>
              </w:rPr>
              <w:t xml:space="preserve"> </w:t>
            </w:r>
            <w:r>
              <w:rPr>
                <w:i/>
                <w:sz w:val="24"/>
              </w:rPr>
              <w:t>Russian</w:t>
            </w:r>
            <w:r>
              <w:rPr>
                <w:i/>
                <w:spacing w:val="-5"/>
                <w:sz w:val="24"/>
              </w:rPr>
              <w:t xml:space="preserve"> </w:t>
            </w:r>
            <w:r>
              <w:rPr>
                <w:i/>
                <w:sz w:val="24"/>
              </w:rPr>
              <w:t>Federation</w:t>
            </w:r>
            <w:r>
              <w:rPr>
                <w:i/>
                <w:spacing w:val="-5"/>
                <w:sz w:val="24"/>
              </w:rPr>
              <w:t xml:space="preserve"> </w:t>
            </w:r>
            <w:r>
              <w:rPr>
                <w:i/>
                <w:sz w:val="24"/>
              </w:rPr>
              <w:t>–</w:t>
            </w:r>
            <w:r>
              <w:rPr>
                <w:i/>
                <w:spacing w:val="-5"/>
                <w:sz w:val="24"/>
              </w:rPr>
              <w:t xml:space="preserve"> </w:t>
            </w:r>
            <w:r>
              <w:rPr>
                <w:i/>
                <w:sz w:val="24"/>
              </w:rPr>
              <w:t>Measures</w:t>
            </w:r>
            <w:r>
              <w:rPr>
                <w:i/>
                <w:spacing w:val="-8"/>
                <w:sz w:val="24"/>
              </w:rPr>
              <w:t xml:space="preserve"> </w:t>
            </w:r>
            <w:r>
              <w:rPr>
                <w:i/>
                <w:sz w:val="24"/>
              </w:rPr>
              <w:t>on</w:t>
            </w:r>
            <w:r>
              <w:rPr>
                <w:i/>
                <w:spacing w:val="-5"/>
                <w:sz w:val="24"/>
              </w:rPr>
              <w:t xml:space="preserve"> </w:t>
            </w:r>
            <w:r>
              <w:rPr>
                <w:i/>
                <w:sz w:val="24"/>
              </w:rPr>
              <w:t>the</w:t>
            </w:r>
            <w:r>
              <w:rPr>
                <w:i/>
                <w:spacing w:val="-6"/>
                <w:sz w:val="24"/>
              </w:rPr>
              <w:t xml:space="preserve"> </w:t>
            </w:r>
            <w:r>
              <w:rPr>
                <w:i/>
                <w:sz w:val="24"/>
              </w:rPr>
              <w:t>Importation of Live Pigs, Pork and Other Pig Products from the European Union</w:t>
            </w:r>
            <w:r>
              <w:rPr>
                <w:sz w:val="24"/>
              </w:rPr>
              <w:t xml:space="preserve">, WT/DS475/R and Add.1, adopted 21 March 2017, as modified by Appellate Body Report WT/DS475/AB/R, DSR </w:t>
            </w:r>
            <w:proofErr w:type="gramStart"/>
            <w:r>
              <w:rPr>
                <w:sz w:val="24"/>
              </w:rPr>
              <w:t>2017:II</w:t>
            </w:r>
            <w:proofErr w:type="gramEnd"/>
            <w:r>
              <w:rPr>
                <w:sz w:val="24"/>
              </w:rPr>
              <w:t>, p. 361</w:t>
            </w:r>
          </w:p>
        </w:tc>
      </w:tr>
      <w:tr w:rsidR="00BF2951" w:rsidRPr="00BF2951" w14:paraId="4A35D72F" w14:textId="77777777" w:rsidTr="00BF2951">
        <w:tc>
          <w:tcPr>
            <w:tcW w:w="2943" w:type="dxa"/>
          </w:tcPr>
          <w:p w14:paraId="0302EC80" w14:textId="03C57C0B" w:rsidR="00BF2951" w:rsidRDefault="00BF2951" w:rsidP="00BF2951">
            <w:pPr>
              <w:rPr>
                <w:i/>
                <w:sz w:val="24"/>
              </w:rPr>
            </w:pPr>
            <w:r>
              <w:rPr>
                <w:i/>
                <w:sz w:val="24"/>
              </w:rPr>
              <w:t>Russia</w:t>
            </w:r>
            <w:r>
              <w:rPr>
                <w:i/>
                <w:spacing w:val="-14"/>
                <w:sz w:val="24"/>
              </w:rPr>
              <w:t xml:space="preserve"> </w:t>
            </w:r>
            <w:r>
              <w:rPr>
                <w:i/>
                <w:sz w:val="24"/>
              </w:rPr>
              <w:t>–</w:t>
            </w:r>
            <w:r>
              <w:rPr>
                <w:i/>
                <w:spacing w:val="-14"/>
                <w:sz w:val="24"/>
              </w:rPr>
              <w:t xml:space="preserve"> </w:t>
            </w:r>
            <w:r>
              <w:rPr>
                <w:i/>
                <w:sz w:val="24"/>
              </w:rPr>
              <w:t xml:space="preserve">Railway </w:t>
            </w:r>
            <w:r>
              <w:rPr>
                <w:i/>
                <w:spacing w:val="-2"/>
                <w:sz w:val="24"/>
              </w:rPr>
              <w:t>Equipment</w:t>
            </w:r>
          </w:p>
        </w:tc>
        <w:tc>
          <w:tcPr>
            <w:tcW w:w="7403" w:type="dxa"/>
          </w:tcPr>
          <w:p w14:paraId="22379AAE" w14:textId="4A34610D" w:rsidR="00BF2951" w:rsidRDefault="00BF2951" w:rsidP="00BF2951">
            <w:pPr>
              <w:rPr>
                <w:sz w:val="24"/>
              </w:rPr>
            </w:pPr>
            <w:r>
              <w:rPr>
                <w:sz w:val="24"/>
              </w:rPr>
              <w:t xml:space="preserve">Panel Report, </w:t>
            </w:r>
            <w:r>
              <w:rPr>
                <w:i/>
                <w:sz w:val="24"/>
              </w:rPr>
              <w:t>Russia – Measures Affecting the Importation of Railway</w:t>
            </w:r>
            <w:r>
              <w:rPr>
                <w:i/>
                <w:spacing w:val="-9"/>
                <w:sz w:val="24"/>
              </w:rPr>
              <w:t xml:space="preserve"> </w:t>
            </w:r>
            <w:r>
              <w:rPr>
                <w:i/>
                <w:sz w:val="24"/>
              </w:rPr>
              <w:t>Equipment</w:t>
            </w:r>
            <w:r>
              <w:rPr>
                <w:i/>
                <w:spacing w:val="-6"/>
                <w:sz w:val="24"/>
              </w:rPr>
              <w:t xml:space="preserve"> </w:t>
            </w:r>
            <w:r>
              <w:rPr>
                <w:i/>
                <w:sz w:val="24"/>
              </w:rPr>
              <w:t>and</w:t>
            </w:r>
            <w:r>
              <w:rPr>
                <w:i/>
                <w:spacing w:val="-6"/>
                <w:sz w:val="24"/>
              </w:rPr>
              <w:t xml:space="preserve"> </w:t>
            </w:r>
            <w:r>
              <w:rPr>
                <w:i/>
                <w:sz w:val="24"/>
              </w:rPr>
              <w:t>Parts</w:t>
            </w:r>
            <w:r>
              <w:rPr>
                <w:i/>
                <w:spacing w:val="-9"/>
                <w:sz w:val="24"/>
              </w:rPr>
              <w:t xml:space="preserve"> </w:t>
            </w:r>
            <w:r>
              <w:rPr>
                <w:i/>
                <w:sz w:val="24"/>
              </w:rPr>
              <w:t>Thereof</w:t>
            </w:r>
            <w:r>
              <w:rPr>
                <w:sz w:val="24"/>
              </w:rPr>
              <w:t>,</w:t>
            </w:r>
            <w:r>
              <w:rPr>
                <w:spacing w:val="-4"/>
                <w:sz w:val="24"/>
              </w:rPr>
              <w:t xml:space="preserve"> </w:t>
            </w:r>
            <w:r>
              <w:rPr>
                <w:sz w:val="24"/>
              </w:rPr>
              <w:t>WT/DS499/R</w:t>
            </w:r>
            <w:r>
              <w:rPr>
                <w:spacing w:val="-8"/>
                <w:sz w:val="24"/>
              </w:rPr>
              <w:t xml:space="preserve"> </w:t>
            </w:r>
            <w:r>
              <w:rPr>
                <w:sz w:val="24"/>
              </w:rPr>
              <w:t>and</w:t>
            </w:r>
            <w:r>
              <w:rPr>
                <w:spacing w:val="-8"/>
                <w:sz w:val="24"/>
              </w:rPr>
              <w:t xml:space="preserve"> </w:t>
            </w:r>
            <w:r>
              <w:rPr>
                <w:sz w:val="24"/>
              </w:rPr>
              <w:t xml:space="preserve">Add.1, adopted 5 March 2020, as modified by Appellate Body Report </w:t>
            </w:r>
            <w:r>
              <w:rPr>
                <w:spacing w:val="-2"/>
                <w:sz w:val="24"/>
              </w:rPr>
              <w:t>WT/DS499/AB/R</w:t>
            </w:r>
          </w:p>
        </w:tc>
      </w:tr>
      <w:tr w:rsidR="00BF2951" w:rsidRPr="00BF2951" w14:paraId="3757D5FF" w14:textId="77777777" w:rsidTr="00BF2951">
        <w:tc>
          <w:tcPr>
            <w:tcW w:w="2943" w:type="dxa"/>
          </w:tcPr>
          <w:p w14:paraId="0E8D0BFB" w14:textId="567C0C42" w:rsidR="00BF2951" w:rsidRDefault="00BF2951" w:rsidP="00BF2951">
            <w:pPr>
              <w:rPr>
                <w:i/>
                <w:sz w:val="24"/>
              </w:rPr>
            </w:pPr>
            <w:r>
              <w:rPr>
                <w:i/>
                <w:sz w:val="24"/>
              </w:rPr>
              <w:t>Russia</w:t>
            </w:r>
            <w:r>
              <w:rPr>
                <w:i/>
                <w:spacing w:val="-14"/>
                <w:sz w:val="24"/>
              </w:rPr>
              <w:t xml:space="preserve"> </w:t>
            </w:r>
            <w:r>
              <w:rPr>
                <w:i/>
                <w:sz w:val="24"/>
              </w:rPr>
              <w:t>–</w:t>
            </w:r>
            <w:r>
              <w:rPr>
                <w:i/>
                <w:spacing w:val="-14"/>
                <w:sz w:val="24"/>
              </w:rPr>
              <w:t xml:space="preserve"> </w:t>
            </w:r>
            <w:r>
              <w:rPr>
                <w:i/>
                <w:sz w:val="24"/>
              </w:rPr>
              <w:t xml:space="preserve">Tariff </w:t>
            </w:r>
            <w:r>
              <w:rPr>
                <w:i/>
                <w:spacing w:val="-2"/>
                <w:sz w:val="24"/>
              </w:rPr>
              <w:t>Treatment</w:t>
            </w:r>
          </w:p>
        </w:tc>
        <w:tc>
          <w:tcPr>
            <w:tcW w:w="7403" w:type="dxa"/>
          </w:tcPr>
          <w:p w14:paraId="541150DB" w14:textId="6FEF2653" w:rsidR="00BF2951" w:rsidRDefault="00BF2951" w:rsidP="00BF2951">
            <w:pPr>
              <w:rPr>
                <w:sz w:val="24"/>
              </w:rPr>
            </w:pPr>
            <w:r>
              <w:rPr>
                <w:sz w:val="24"/>
              </w:rPr>
              <w:t>Panel</w:t>
            </w:r>
            <w:r>
              <w:rPr>
                <w:spacing w:val="-1"/>
                <w:sz w:val="24"/>
              </w:rPr>
              <w:t xml:space="preserve"> </w:t>
            </w:r>
            <w:r>
              <w:rPr>
                <w:sz w:val="24"/>
              </w:rPr>
              <w:t>Report,</w:t>
            </w:r>
            <w:r>
              <w:rPr>
                <w:spacing w:val="-1"/>
                <w:sz w:val="24"/>
              </w:rPr>
              <w:t xml:space="preserve"> </w:t>
            </w:r>
            <w:r>
              <w:rPr>
                <w:i/>
                <w:sz w:val="24"/>
              </w:rPr>
              <w:t>Russia</w:t>
            </w:r>
            <w:r>
              <w:rPr>
                <w:i/>
                <w:spacing w:val="-2"/>
                <w:sz w:val="24"/>
              </w:rPr>
              <w:t xml:space="preserve"> </w:t>
            </w:r>
            <w:r>
              <w:rPr>
                <w:i/>
                <w:sz w:val="24"/>
              </w:rPr>
              <w:t>–</w:t>
            </w:r>
            <w:r>
              <w:rPr>
                <w:i/>
                <w:spacing w:val="-3"/>
                <w:sz w:val="24"/>
              </w:rPr>
              <w:t xml:space="preserve"> </w:t>
            </w:r>
            <w:r>
              <w:rPr>
                <w:i/>
                <w:sz w:val="24"/>
              </w:rPr>
              <w:t>Tariff Treatment</w:t>
            </w:r>
            <w:r>
              <w:rPr>
                <w:i/>
                <w:spacing w:val="-3"/>
                <w:sz w:val="24"/>
              </w:rPr>
              <w:t xml:space="preserve"> </w:t>
            </w:r>
            <w:r>
              <w:rPr>
                <w:i/>
                <w:sz w:val="24"/>
              </w:rPr>
              <w:t>of</w:t>
            </w:r>
            <w:r>
              <w:rPr>
                <w:i/>
                <w:spacing w:val="-5"/>
                <w:sz w:val="24"/>
              </w:rPr>
              <w:t xml:space="preserve"> </w:t>
            </w:r>
            <w:r>
              <w:rPr>
                <w:i/>
                <w:sz w:val="24"/>
              </w:rPr>
              <w:t>Certain</w:t>
            </w:r>
            <w:r>
              <w:rPr>
                <w:i/>
                <w:spacing w:val="-7"/>
                <w:sz w:val="24"/>
              </w:rPr>
              <w:t xml:space="preserve"> </w:t>
            </w:r>
            <w:r>
              <w:rPr>
                <w:i/>
                <w:sz w:val="24"/>
              </w:rPr>
              <w:t>Agricultural and</w:t>
            </w:r>
            <w:r>
              <w:rPr>
                <w:i/>
                <w:spacing w:val="-8"/>
                <w:sz w:val="24"/>
              </w:rPr>
              <w:t xml:space="preserve"> </w:t>
            </w:r>
            <w:r>
              <w:rPr>
                <w:i/>
                <w:sz w:val="24"/>
              </w:rPr>
              <w:t>Manufacturing</w:t>
            </w:r>
            <w:r>
              <w:rPr>
                <w:i/>
                <w:spacing w:val="-8"/>
                <w:sz w:val="24"/>
              </w:rPr>
              <w:t xml:space="preserve"> </w:t>
            </w:r>
            <w:r>
              <w:rPr>
                <w:i/>
                <w:sz w:val="24"/>
              </w:rPr>
              <w:t>Products</w:t>
            </w:r>
            <w:r>
              <w:rPr>
                <w:sz w:val="24"/>
              </w:rPr>
              <w:t>,</w:t>
            </w:r>
            <w:r>
              <w:rPr>
                <w:spacing w:val="-7"/>
                <w:sz w:val="24"/>
              </w:rPr>
              <w:t xml:space="preserve"> </w:t>
            </w:r>
            <w:r>
              <w:rPr>
                <w:sz w:val="24"/>
              </w:rPr>
              <w:t>WT/DS485/R,</w:t>
            </w:r>
            <w:r>
              <w:rPr>
                <w:spacing w:val="-7"/>
                <w:sz w:val="24"/>
              </w:rPr>
              <w:t xml:space="preserve"> </w:t>
            </w:r>
            <w:r>
              <w:rPr>
                <w:sz w:val="24"/>
              </w:rPr>
              <w:t>Add.1,</w:t>
            </w:r>
            <w:r>
              <w:rPr>
                <w:spacing w:val="-7"/>
                <w:sz w:val="24"/>
              </w:rPr>
              <w:t xml:space="preserve"> </w:t>
            </w:r>
            <w:r>
              <w:rPr>
                <w:sz w:val="24"/>
              </w:rPr>
              <w:t>Corr.1,</w:t>
            </w:r>
            <w:r>
              <w:rPr>
                <w:spacing w:val="-8"/>
                <w:sz w:val="24"/>
              </w:rPr>
              <w:t xml:space="preserve"> </w:t>
            </w:r>
            <w:r>
              <w:rPr>
                <w:sz w:val="24"/>
              </w:rPr>
              <w:t xml:space="preserve">and Corr.2, adopted 26 September 2016, DSR </w:t>
            </w:r>
            <w:proofErr w:type="gramStart"/>
            <w:r>
              <w:rPr>
                <w:sz w:val="24"/>
              </w:rPr>
              <w:t>2016:IV</w:t>
            </w:r>
            <w:proofErr w:type="gramEnd"/>
            <w:r>
              <w:rPr>
                <w:sz w:val="24"/>
              </w:rPr>
              <w:t>, p. 1547</w:t>
            </w:r>
          </w:p>
        </w:tc>
      </w:tr>
      <w:tr w:rsidR="00BF2951" w:rsidRPr="00BF2951" w14:paraId="4530CC93" w14:textId="77777777" w:rsidTr="00BF2951">
        <w:tc>
          <w:tcPr>
            <w:tcW w:w="2943" w:type="dxa"/>
          </w:tcPr>
          <w:p w14:paraId="3FB97BD1" w14:textId="449E4300" w:rsidR="00BF2951" w:rsidRDefault="00BF2951" w:rsidP="00BF2951">
            <w:pPr>
              <w:rPr>
                <w:i/>
                <w:sz w:val="24"/>
              </w:rPr>
            </w:pPr>
            <w:r>
              <w:rPr>
                <w:i/>
                <w:sz w:val="24"/>
              </w:rPr>
              <w:t>Thailand</w:t>
            </w:r>
            <w:r>
              <w:rPr>
                <w:i/>
                <w:spacing w:val="-2"/>
                <w:sz w:val="24"/>
              </w:rPr>
              <w:t xml:space="preserve"> </w:t>
            </w:r>
            <w:r>
              <w:rPr>
                <w:i/>
                <w:sz w:val="24"/>
              </w:rPr>
              <w:t>–</w:t>
            </w:r>
            <w:r>
              <w:rPr>
                <w:i/>
                <w:spacing w:val="-2"/>
                <w:sz w:val="24"/>
              </w:rPr>
              <w:t xml:space="preserve"> </w:t>
            </w:r>
            <w:r>
              <w:rPr>
                <w:i/>
                <w:sz w:val="24"/>
              </w:rPr>
              <w:t>H-</w:t>
            </w:r>
            <w:r>
              <w:rPr>
                <w:i/>
                <w:spacing w:val="-4"/>
                <w:sz w:val="24"/>
              </w:rPr>
              <w:t>Beams</w:t>
            </w:r>
          </w:p>
        </w:tc>
        <w:tc>
          <w:tcPr>
            <w:tcW w:w="7403" w:type="dxa"/>
          </w:tcPr>
          <w:p w14:paraId="49CFD525" w14:textId="067D32CA" w:rsidR="00BF2951" w:rsidRDefault="00BF2951" w:rsidP="00BF2951">
            <w:pPr>
              <w:rPr>
                <w:sz w:val="24"/>
              </w:rPr>
            </w:pPr>
            <w:r>
              <w:rPr>
                <w:sz w:val="24"/>
              </w:rPr>
              <w:t xml:space="preserve">Panel Report, </w:t>
            </w:r>
            <w:r>
              <w:rPr>
                <w:i/>
                <w:sz w:val="24"/>
              </w:rPr>
              <w:t>Thailand – Anti-Dumping Duties on Angles, Shapes and</w:t>
            </w:r>
            <w:r>
              <w:rPr>
                <w:i/>
                <w:spacing w:val="-3"/>
                <w:sz w:val="24"/>
              </w:rPr>
              <w:t xml:space="preserve"> </w:t>
            </w:r>
            <w:r>
              <w:rPr>
                <w:i/>
                <w:sz w:val="24"/>
              </w:rPr>
              <w:t>Sections</w:t>
            </w:r>
            <w:r>
              <w:rPr>
                <w:i/>
                <w:spacing w:val="-6"/>
                <w:sz w:val="24"/>
              </w:rPr>
              <w:t xml:space="preserve"> </w:t>
            </w:r>
            <w:r>
              <w:rPr>
                <w:i/>
                <w:sz w:val="24"/>
              </w:rPr>
              <w:t>of</w:t>
            </w:r>
            <w:r>
              <w:rPr>
                <w:i/>
                <w:spacing w:val="-5"/>
                <w:sz w:val="24"/>
              </w:rPr>
              <w:t xml:space="preserve"> </w:t>
            </w:r>
            <w:r>
              <w:rPr>
                <w:i/>
                <w:sz w:val="24"/>
              </w:rPr>
              <w:t>Iron</w:t>
            </w:r>
            <w:r>
              <w:rPr>
                <w:i/>
                <w:spacing w:val="-3"/>
                <w:sz w:val="24"/>
              </w:rPr>
              <w:t xml:space="preserve"> </w:t>
            </w:r>
            <w:r>
              <w:rPr>
                <w:i/>
                <w:sz w:val="24"/>
              </w:rPr>
              <w:t>or</w:t>
            </w:r>
            <w:r>
              <w:rPr>
                <w:i/>
                <w:spacing w:val="-5"/>
                <w:sz w:val="24"/>
              </w:rPr>
              <w:t xml:space="preserve"> </w:t>
            </w:r>
            <w:r>
              <w:rPr>
                <w:i/>
                <w:sz w:val="24"/>
              </w:rPr>
              <w:t>Non-Alloy</w:t>
            </w:r>
            <w:r>
              <w:rPr>
                <w:i/>
                <w:spacing w:val="-6"/>
                <w:sz w:val="24"/>
              </w:rPr>
              <w:t xml:space="preserve"> </w:t>
            </w:r>
            <w:r>
              <w:rPr>
                <w:i/>
                <w:sz w:val="24"/>
              </w:rPr>
              <w:t>Steel</w:t>
            </w:r>
            <w:r>
              <w:rPr>
                <w:i/>
                <w:spacing w:val="-1"/>
                <w:sz w:val="24"/>
              </w:rPr>
              <w:t xml:space="preserve"> </w:t>
            </w:r>
            <w:r>
              <w:rPr>
                <w:i/>
                <w:sz w:val="24"/>
              </w:rPr>
              <w:t>and</w:t>
            </w:r>
            <w:r>
              <w:rPr>
                <w:i/>
                <w:spacing w:val="-3"/>
                <w:sz w:val="24"/>
              </w:rPr>
              <w:t xml:space="preserve"> </w:t>
            </w:r>
            <w:r>
              <w:rPr>
                <w:i/>
                <w:sz w:val="24"/>
              </w:rPr>
              <w:t>H-Beams</w:t>
            </w:r>
            <w:r>
              <w:rPr>
                <w:i/>
                <w:spacing w:val="-6"/>
                <w:sz w:val="24"/>
              </w:rPr>
              <w:t xml:space="preserve"> </w:t>
            </w:r>
            <w:r>
              <w:rPr>
                <w:i/>
                <w:sz w:val="24"/>
              </w:rPr>
              <w:t>from</w:t>
            </w:r>
            <w:r>
              <w:rPr>
                <w:i/>
                <w:spacing w:val="-2"/>
                <w:sz w:val="24"/>
              </w:rPr>
              <w:t xml:space="preserve"> </w:t>
            </w:r>
            <w:r>
              <w:rPr>
                <w:i/>
                <w:sz w:val="24"/>
              </w:rPr>
              <w:t>Poland</w:t>
            </w:r>
            <w:r>
              <w:rPr>
                <w:sz w:val="24"/>
              </w:rPr>
              <w:t xml:space="preserve">, WT/DS122/R, adopted 5 April 2001, as modified by Appellate Body Report WT/DS122/AB/R, DSR </w:t>
            </w:r>
            <w:proofErr w:type="gramStart"/>
            <w:r>
              <w:rPr>
                <w:sz w:val="24"/>
              </w:rPr>
              <w:t>2001:VII</w:t>
            </w:r>
            <w:proofErr w:type="gramEnd"/>
            <w:r>
              <w:rPr>
                <w:sz w:val="24"/>
              </w:rPr>
              <w:t>, p. 2741</w:t>
            </w:r>
          </w:p>
        </w:tc>
      </w:tr>
      <w:tr w:rsidR="00BF2951" w:rsidRPr="00BF2951" w14:paraId="2D6BAC1D" w14:textId="77777777" w:rsidTr="00BF2951">
        <w:tc>
          <w:tcPr>
            <w:tcW w:w="2943" w:type="dxa"/>
          </w:tcPr>
          <w:p w14:paraId="7C24FEF6" w14:textId="0C12366B" w:rsidR="00BF2951" w:rsidRDefault="00BF2951" w:rsidP="00BF2951">
            <w:pPr>
              <w:rPr>
                <w:i/>
                <w:sz w:val="24"/>
              </w:rPr>
            </w:pPr>
            <w:r>
              <w:rPr>
                <w:i/>
                <w:sz w:val="24"/>
              </w:rPr>
              <w:t>Ukraine – Ammonium</w:t>
            </w:r>
            <w:r>
              <w:rPr>
                <w:i/>
                <w:spacing w:val="-14"/>
                <w:sz w:val="24"/>
              </w:rPr>
              <w:t xml:space="preserve"> </w:t>
            </w:r>
            <w:r>
              <w:rPr>
                <w:i/>
                <w:sz w:val="24"/>
              </w:rPr>
              <w:t>Nitrate</w:t>
            </w:r>
          </w:p>
        </w:tc>
        <w:tc>
          <w:tcPr>
            <w:tcW w:w="7403" w:type="dxa"/>
          </w:tcPr>
          <w:p w14:paraId="32562239" w14:textId="31BE61D7" w:rsidR="00BF2951" w:rsidRDefault="00BF2951" w:rsidP="00BF2951">
            <w:pPr>
              <w:rPr>
                <w:sz w:val="24"/>
              </w:rPr>
            </w:pPr>
            <w:r>
              <w:rPr>
                <w:sz w:val="24"/>
              </w:rPr>
              <w:t xml:space="preserve">Panel Report, </w:t>
            </w:r>
            <w:r>
              <w:rPr>
                <w:i/>
                <w:sz w:val="24"/>
              </w:rPr>
              <w:t>Ukraine – Anti-Dumping Measures</w:t>
            </w:r>
            <w:r>
              <w:rPr>
                <w:i/>
                <w:spacing w:val="-1"/>
                <w:sz w:val="24"/>
              </w:rPr>
              <w:t xml:space="preserve"> </w:t>
            </w:r>
            <w:r>
              <w:rPr>
                <w:i/>
                <w:sz w:val="24"/>
              </w:rPr>
              <w:t>on Ammonium Nitrate</w:t>
            </w:r>
            <w:r>
              <w:rPr>
                <w:sz w:val="24"/>
              </w:rPr>
              <w:t xml:space="preserve">, WT/DS493/R, </w:t>
            </w:r>
            <w:proofErr w:type="gramStart"/>
            <w:r>
              <w:rPr>
                <w:sz w:val="24"/>
              </w:rPr>
              <w:t>Add</w:t>
            </w:r>
            <w:proofErr w:type="gramEnd"/>
            <w:r>
              <w:rPr>
                <w:sz w:val="24"/>
              </w:rPr>
              <w:t>.1 and Corr.1, adopted 30 September 2019,</w:t>
            </w:r>
            <w:r>
              <w:rPr>
                <w:spacing w:val="-5"/>
                <w:sz w:val="24"/>
              </w:rPr>
              <w:t xml:space="preserve"> </w:t>
            </w:r>
            <w:r>
              <w:rPr>
                <w:sz w:val="24"/>
              </w:rPr>
              <w:t>as</w:t>
            </w:r>
            <w:r>
              <w:rPr>
                <w:spacing w:val="-5"/>
                <w:sz w:val="24"/>
              </w:rPr>
              <w:t xml:space="preserve"> </w:t>
            </w:r>
            <w:r>
              <w:rPr>
                <w:sz w:val="24"/>
              </w:rPr>
              <w:t>upheld</w:t>
            </w:r>
            <w:r>
              <w:rPr>
                <w:spacing w:val="-8"/>
                <w:sz w:val="24"/>
              </w:rPr>
              <w:t xml:space="preserve"> </w:t>
            </w:r>
            <w:r>
              <w:rPr>
                <w:sz w:val="24"/>
              </w:rPr>
              <w:t>by</w:t>
            </w:r>
            <w:r>
              <w:rPr>
                <w:spacing w:val="-5"/>
                <w:sz w:val="24"/>
              </w:rPr>
              <w:t xml:space="preserve"> </w:t>
            </w:r>
            <w:r>
              <w:rPr>
                <w:sz w:val="24"/>
              </w:rPr>
              <w:t>Appellate</w:t>
            </w:r>
            <w:r>
              <w:rPr>
                <w:spacing w:val="-6"/>
                <w:sz w:val="24"/>
              </w:rPr>
              <w:t xml:space="preserve"> </w:t>
            </w:r>
            <w:r>
              <w:rPr>
                <w:sz w:val="24"/>
              </w:rPr>
              <w:t>Body</w:t>
            </w:r>
            <w:r>
              <w:rPr>
                <w:spacing w:val="-5"/>
                <w:sz w:val="24"/>
              </w:rPr>
              <w:t xml:space="preserve"> </w:t>
            </w:r>
            <w:r>
              <w:rPr>
                <w:sz w:val="24"/>
              </w:rPr>
              <w:t>Report</w:t>
            </w:r>
            <w:r>
              <w:rPr>
                <w:spacing w:val="-6"/>
                <w:sz w:val="24"/>
              </w:rPr>
              <w:t xml:space="preserve"> </w:t>
            </w:r>
            <w:r>
              <w:rPr>
                <w:sz w:val="24"/>
              </w:rPr>
              <w:t>WT/DS493/AB/R,</w:t>
            </w:r>
            <w:r>
              <w:rPr>
                <w:spacing w:val="-4"/>
                <w:sz w:val="24"/>
              </w:rPr>
              <w:t xml:space="preserve"> </w:t>
            </w:r>
            <w:r>
              <w:rPr>
                <w:sz w:val="24"/>
              </w:rPr>
              <w:t>DSR 2019:X, p. 5339</w:t>
            </w:r>
          </w:p>
        </w:tc>
      </w:tr>
      <w:tr w:rsidR="00BF2951" w:rsidRPr="00BF2951" w14:paraId="58344274" w14:textId="77777777" w:rsidTr="00BF2951">
        <w:tc>
          <w:tcPr>
            <w:tcW w:w="2943" w:type="dxa"/>
          </w:tcPr>
          <w:p w14:paraId="16B6B259" w14:textId="6FBC4D12" w:rsidR="00BF2951" w:rsidRDefault="00BF2951" w:rsidP="00BF2951">
            <w:pPr>
              <w:rPr>
                <w:i/>
                <w:sz w:val="24"/>
              </w:rPr>
            </w:pPr>
            <w:r>
              <w:rPr>
                <w:i/>
                <w:sz w:val="24"/>
              </w:rPr>
              <w:lastRenderedPageBreak/>
              <w:t>Ukraine</w:t>
            </w:r>
            <w:r>
              <w:rPr>
                <w:i/>
                <w:spacing w:val="-14"/>
                <w:sz w:val="24"/>
              </w:rPr>
              <w:t xml:space="preserve"> </w:t>
            </w:r>
            <w:r>
              <w:rPr>
                <w:i/>
                <w:sz w:val="24"/>
              </w:rPr>
              <w:t>–</w:t>
            </w:r>
            <w:r>
              <w:rPr>
                <w:i/>
                <w:spacing w:val="-14"/>
                <w:sz w:val="24"/>
              </w:rPr>
              <w:t xml:space="preserve"> </w:t>
            </w:r>
            <w:r>
              <w:rPr>
                <w:i/>
                <w:sz w:val="24"/>
              </w:rPr>
              <w:t xml:space="preserve">Passenger </w:t>
            </w:r>
            <w:r>
              <w:rPr>
                <w:i/>
                <w:spacing w:val="-4"/>
                <w:sz w:val="24"/>
              </w:rPr>
              <w:t>Cars</w:t>
            </w:r>
          </w:p>
        </w:tc>
        <w:tc>
          <w:tcPr>
            <w:tcW w:w="7403" w:type="dxa"/>
          </w:tcPr>
          <w:p w14:paraId="79E4C3B0" w14:textId="25E58ED2" w:rsidR="00BF2951" w:rsidRDefault="00BF2951" w:rsidP="00BF2951">
            <w:pPr>
              <w:rPr>
                <w:sz w:val="24"/>
              </w:rPr>
            </w:pPr>
            <w:r>
              <w:rPr>
                <w:sz w:val="24"/>
              </w:rPr>
              <w:t xml:space="preserve">Panel Report, </w:t>
            </w:r>
            <w:r>
              <w:rPr>
                <w:i/>
                <w:sz w:val="24"/>
              </w:rPr>
              <w:t>Ukraine – Definitive Safeguard Measures on Certain</w:t>
            </w:r>
            <w:r>
              <w:rPr>
                <w:i/>
                <w:spacing w:val="-5"/>
                <w:sz w:val="24"/>
              </w:rPr>
              <w:t xml:space="preserve"> </w:t>
            </w:r>
            <w:r>
              <w:rPr>
                <w:i/>
                <w:sz w:val="24"/>
              </w:rPr>
              <w:t>Passenger</w:t>
            </w:r>
            <w:r>
              <w:rPr>
                <w:i/>
                <w:spacing w:val="-7"/>
                <w:sz w:val="24"/>
              </w:rPr>
              <w:t xml:space="preserve"> </w:t>
            </w:r>
            <w:r>
              <w:rPr>
                <w:i/>
                <w:sz w:val="24"/>
              </w:rPr>
              <w:t>Cars</w:t>
            </w:r>
            <w:r>
              <w:rPr>
                <w:sz w:val="24"/>
              </w:rPr>
              <w:t>,</w:t>
            </w:r>
            <w:r>
              <w:rPr>
                <w:spacing w:val="-3"/>
                <w:sz w:val="24"/>
              </w:rPr>
              <w:t xml:space="preserve"> </w:t>
            </w:r>
            <w:r>
              <w:rPr>
                <w:sz w:val="24"/>
              </w:rPr>
              <w:t>WT/DS468/R</w:t>
            </w:r>
            <w:r>
              <w:rPr>
                <w:spacing w:val="-7"/>
                <w:sz w:val="24"/>
              </w:rPr>
              <w:t xml:space="preserve"> </w:t>
            </w:r>
            <w:r>
              <w:rPr>
                <w:sz w:val="24"/>
              </w:rPr>
              <w:t>and</w:t>
            </w:r>
            <w:r>
              <w:rPr>
                <w:spacing w:val="-2"/>
                <w:sz w:val="24"/>
              </w:rPr>
              <w:t xml:space="preserve"> </w:t>
            </w:r>
            <w:r>
              <w:rPr>
                <w:sz w:val="24"/>
              </w:rPr>
              <w:t>Add.1,</w:t>
            </w:r>
            <w:r>
              <w:rPr>
                <w:spacing w:val="-4"/>
                <w:sz w:val="24"/>
              </w:rPr>
              <w:t xml:space="preserve"> </w:t>
            </w:r>
            <w:r>
              <w:rPr>
                <w:sz w:val="24"/>
              </w:rPr>
              <w:t>adopted</w:t>
            </w:r>
            <w:r>
              <w:rPr>
                <w:spacing w:val="-7"/>
                <w:sz w:val="24"/>
              </w:rPr>
              <w:t xml:space="preserve"> </w:t>
            </w:r>
            <w:r>
              <w:rPr>
                <w:sz w:val="24"/>
              </w:rPr>
              <w:t>20</w:t>
            </w:r>
            <w:r>
              <w:rPr>
                <w:spacing w:val="-8"/>
                <w:sz w:val="24"/>
              </w:rPr>
              <w:t xml:space="preserve"> </w:t>
            </w:r>
            <w:r>
              <w:rPr>
                <w:sz w:val="24"/>
              </w:rPr>
              <w:t>July 2015, DSR 2015:VI, p. 3117</w:t>
            </w:r>
          </w:p>
        </w:tc>
      </w:tr>
      <w:tr w:rsidR="00BF2951" w:rsidRPr="00BF2951" w14:paraId="4B8291B4" w14:textId="77777777" w:rsidTr="00BF2951">
        <w:tc>
          <w:tcPr>
            <w:tcW w:w="2943" w:type="dxa"/>
          </w:tcPr>
          <w:p w14:paraId="67E63E5F" w14:textId="72A4DBB0" w:rsidR="00BF2951" w:rsidRDefault="00BF2951" w:rsidP="00BF2951">
            <w:pPr>
              <w:rPr>
                <w:i/>
                <w:sz w:val="24"/>
              </w:rPr>
            </w:pPr>
            <w:r>
              <w:rPr>
                <w:i/>
                <w:sz w:val="24"/>
              </w:rPr>
              <w:t>US</w:t>
            </w:r>
            <w:r>
              <w:rPr>
                <w:i/>
                <w:spacing w:val="-14"/>
                <w:sz w:val="24"/>
              </w:rPr>
              <w:t xml:space="preserve"> </w:t>
            </w:r>
            <w:r>
              <w:rPr>
                <w:i/>
                <w:sz w:val="24"/>
              </w:rPr>
              <w:t>–</w:t>
            </w:r>
            <w:r>
              <w:rPr>
                <w:i/>
                <w:spacing w:val="-14"/>
                <w:sz w:val="24"/>
              </w:rPr>
              <w:t xml:space="preserve"> </w:t>
            </w:r>
            <w:r>
              <w:rPr>
                <w:i/>
                <w:sz w:val="24"/>
              </w:rPr>
              <w:t xml:space="preserve">Anti-Dumping </w:t>
            </w:r>
            <w:r>
              <w:rPr>
                <w:i/>
                <w:spacing w:val="-2"/>
                <w:sz w:val="24"/>
              </w:rPr>
              <w:t>Methodologies (China)</w:t>
            </w:r>
          </w:p>
        </w:tc>
        <w:tc>
          <w:tcPr>
            <w:tcW w:w="7403" w:type="dxa"/>
          </w:tcPr>
          <w:p w14:paraId="06F3A160" w14:textId="398CE121" w:rsidR="00BF2951" w:rsidRDefault="00BF2951" w:rsidP="00BF2951">
            <w:pPr>
              <w:rPr>
                <w:sz w:val="24"/>
              </w:rPr>
            </w:pPr>
            <w:r>
              <w:rPr>
                <w:sz w:val="24"/>
              </w:rPr>
              <w:t>Appellate</w:t>
            </w:r>
            <w:r>
              <w:rPr>
                <w:spacing w:val="-2"/>
                <w:sz w:val="24"/>
              </w:rPr>
              <w:t xml:space="preserve"> </w:t>
            </w:r>
            <w:r>
              <w:rPr>
                <w:sz w:val="24"/>
              </w:rPr>
              <w:t>Body</w:t>
            </w:r>
            <w:r>
              <w:rPr>
                <w:spacing w:val="-1"/>
                <w:sz w:val="24"/>
              </w:rPr>
              <w:t xml:space="preserve"> </w:t>
            </w:r>
            <w:r>
              <w:rPr>
                <w:sz w:val="24"/>
              </w:rPr>
              <w:t xml:space="preserve">Report, </w:t>
            </w:r>
            <w:r>
              <w:rPr>
                <w:i/>
                <w:sz w:val="24"/>
              </w:rPr>
              <w:t>United</w:t>
            </w:r>
            <w:r>
              <w:rPr>
                <w:i/>
                <w:spacing w:val="-2"/>
                <w:sz w:val="24"/>
              </w:rPr>
              <w:t xml:space="preserve"> </w:t>
            </w:r>
            <w:r>
              <w:rPr>
                <w:i/>
                <w:sz w:val="24"/>
              </w:rPr>
              <w:t>States</w:t>
            </w:r>
            <w:r>
              <w:rPr>
                <w:i/>
                <w:spacing w:val="-5"/>
                <w:sz w:val="24"/>
              </w:rPr>
              <w:t xml:space="preserve"> </w:t>
            </w:r>
            <w:r>
              <w:rPr>
                <w:i/>
                <w:sz w:val="24"/>
              </w:rPr>
              <w:t>–</w:t>
            </w:r>
            <w:r>
              <w:rPr>
                <w:i/>
                <w:spacing w:val="-2"/>
                <w:sz w:val="24"/>
              </w:rPr>
              <w:t xml:space="preserve"> </w:t>
            </w:r>
            <w:r>
              <w:rPr>
                <w:i/>
                <w:sz w:val="24"/>
              </w:rPr>
              <w:t>Certain</w:t>
            </w:r>
            <w:r>
              <w:rPr>
                <w:i/>
                <w:spacing w:val="-2"/>
                <w:sz w:val="24"/>
              </w:rPr>
              <w:t xml:space="preserve"> </w:t>
            </w:r>
            <w:r>
              <w:rPr>
                <w:i/>
                <w:sz w:val="24"/>
              </w:rPr>
              <w:t>Methodologies and Their Application to Anti-Dumping Proceedings Involving China</w:t>
            </w:r>
            <w:r>
              <w:rPr>
                <w:sz w:val="24"/>
              </w:rPr>
              <w:t>,</w:t>
            </w:r>
            <w:r>
              <w:rPr>
                <w:spacing w:val="-5"/>
                <w:sz w:val="24"/>
              </w:rPr>
              <w:t xml:space="preserve"> </w:t>
            </w:r>
            <w:r>
              <w:rPr>
                <w:sz w:val="24"/>
              </w:rPr>
              <w:t>WT/DS471/AB/R</w:t>
            </w:r>
            <w:r>
              <w:rPr>
                <w:spacing w:val="-4"/>
                <w:sz w:val="24"/>
              </w:rPr>
              <w:t xml:space="preserve"> </w:t>
            </w:r>
            <w:r>
              <w:rPr>
                <w:sz w:val="24"/>
              </w:rPr>
              <w:t>and</w:t>
            </w:r>
            <w:r>
              <w:rPr>
                <w:spacing w:val="-9"/>
                <w:sz w:val="24"/>
              </w:rPr>
              <w:t xml:space="preserve"> </w:t>
            </w:r>
            <w:r>
              <w:rPr>
                <w:sz w:val="24"/>
              </w:rPr>
              <w:t>Add.1,</w:t>
            </w:r>
            <w:r>
              <w:rPr>
                <w:spacing w:val="-6"/>
                <w:sz w:val="24"/>
              </w:rPr>
              <w:t xml:space="preserve"> </w:t>
            </w:r>
            <w:r>
              <w:rPr>
                <w:sz w:val="24"/>
              </w:rPr>
              <w:t>adopted</w:t>
            </w:r>
            <w:r>
              <w:rPr>
                <w:spacing w:val="-4"/>
                <w:sz w:val="24"/>
              </w:rPr>
              <w:t xml:space="preserve"> </w:t>
            </w:r>
            <w:r>
              <w:rPr>
                <w:sz w:val="24"/>
              </w:rPr>
              <w:t>22</w:t>
            </w:r>
            <w:r>
              <w:rPr>
                <w:spacing w:val="-5"/>
                <w:sz w:val="24"/>
              </w:rPr>
              <w:t xml:space="preserve"> </w:t>
            </w:r>
            <w:r>
              <w:rPr>
                <w:sz w:val="24"/>
              </w:rPr>
              <w:t>May</w:t>
            </w:r>
            <w:r>
              <w:rPr>
                <w:spacing w:val="-6"/>
                <w:sz w:val="24"/>
              </w:rPr>
              <w:t xml:space="preserve"> </w:t>
            </w:r>
            <w:r>
              <w:rPr>
                <w:sz w:val="24"/>
              </w:rPr>
              <w:t>2017,</w:t>
            </w:r>
            <w:r>
              <w:rPr>
                <w:spacing w:val="-6"/>
                <w:sz w:val="24"/>
              </w:rPr>
              <w:t xml:space="preserve"> </w:t>
            </w:r>
            <w:r>
              <w:rPr>
                <w:sz w:val="24"/>
              </w:rPr>
              <w:t xml:space="preserve">DSR </w:t>
            </w:r>
            <w:proofErr w:type="gramStart"/>
            <w:r>
              <w:rPr>
                <w:sz w:val="24"/>
              </w:rPr>
              <w:t>2017:III</w:t>
            </w:r>
            <w:proofErr w:type="gramEnd"/>
            <w:r>
              <w:rPr>
                <w:sz w:val="24"/>
              </w:rPr>
              <w:t>, p. 1423</w:t>
            </w:r>
          </w:p>
        </w:tc>
      </w:tr>
      <w:tr w:rsidR="00BF2951" w:rsidRPr="00BF2951" w14:paraId="357787F9" w14:textId="77777777" w:rsidTr="00BF2951">
        <w:tc>
          <w:tcPr>
            <w:tcW w:w="2943" w:type="dxa"/>
          </w:tcPr>
          <w:p w14:paraId="6B1C7836" w14:textId="6CA581EE" w:rsidR="00BF2951" w:rsidRDefault="00BF2951" w:rsidP="00BF2951">
            <w:pPr>
              <w:rPr>
                <w:i/>
                <w:sz w:val="24"/>
              </w:rPr>
            </w:pPr>
            <w:r>
              <w:rPr>
                <w:i/>
                <w:sz w:val="24"/>
              </w:rPr>
              <w:t>US</w:t>
            </w:r>
            <w:r>
              <w:rPr>
                <w:i/>
                <w:spacing w:val="-2"/>
                <w:sz w:val="24"/>
              </w:rPr>
              <w:t xml:space="preserve"> </w:t>
            </w:r>
            <w:r>
              <w:rPr>
                <w:i/>
                <w:sz w:val="24"/>
              </w:rPr>
              <w:t>–</w:t>
            </w:r>
            <w:r>
              <w:rPr>
                <w:i/>
                <w:spacing w:val="-1"/>
                <w:sz w:val="24"/>
              </w:rPr>
              <w:t xml:space="preserve"> </w:t>
            </w:r>
            <w:r>
              <w:rPr>
                <w:i/>
                <w:sz w:val="24"/>
              </w:rPr>
              <w:t>Carbon</w:t>
            </w:r>
            <w:r>
              <w:rPr>
                <w:i/>
                <w:spacing w:val="-1"/>
                <w:sz w:val="24"/>
              </w:rPr>
              <w:t xml:space="preserve"> </w:t>
            </w:r>
            <w:r>
              <w:rPr>
                <w:i/>
                <w:spacing w:val="-4"/>
                <w:sz w:val="24"/>
              </w:rPr>
              <w:t>Steel</w:t>
            </w:r>
          </w:p>
        </w:tc>
        <w:tc>
          <w:tcPr>
            <w:tcW w:w="7403" w:type="dxa"/>
          </w:tcPr>
          <w:p w14:paraId="3E3C96F2" w14:textId="24768A96" w:rsidR="00BF2951" w:rsidRDefault="00BF2951" w:rsidP="00BF2951">
            <w:pPr>
              <w:rPr>
                <w:sz w:val="24"/>
              </w:rPr>
            </w:pPr>
            <w:r>
              <w:rPr>
                <w:sz w:val="24"/>
              </w:rPr>
              <w:t>Appellate</w:t>
            </w:r>
            <w:r>
              <w:rPr>
                <w:spacing w:val="-5"/>
                <w:sz w:val="24"/>
              </w:rPr>
              <w:t xml:space="preserve"> </w:t>
            </w:r>
            <w:r>
              <w:rPr>
                <w:sz w:val="24"/>
              </w:rPr>
              <w:t>Body</w:t>
            </w:r>
            <w:r>
              <w:rPr>
                <w:spacing w:val="-4"/>
                <w:sz w:val="24"/>
              </w:rPr>
              <w:t xml:space="preserve"> </w:t>
            </w:r>
            <w:r>
              <w:rPr>
                <w:sz w:val="24"/>
              </w:rPr>
              <w:t>Report,</w:t>
            </w:r>
            <w:r>
              <w:rPr>
                <w:spacing w:val="-3"/>
                <w:sz w:val="24"/>
              </w:rPr>
              <w:t xml:space="preserve"> </w:t>
            </w:r>
            <w:r>
              <w:rPr>
                <w:i/>
                <w:sz w:val="24"/>
              </w:rPr>
              <w:t>United</w:t>
            </w:r>
            <w:r>
              <w:rPr>
                <w:i/>
                <w:spacing w:val="-5"/>
                <w:sz w:val="24"/>
              </w:rPr>
              <w:t xml:space="preserve"> </w:t>
            </w:r>
            <w:r>
              <w:rPr>
                <w:i/>
                <w:sz w:val="24"/>
              </w:rPr>
              <w:t>States</w:t>
            </w:r>
            <w:r>
              <w:rPr>
                <w:i/>
                <w:spacing w:val="-8"/>
                <w:sz w:val="24"/>
              </w:rPr>
              <w:t xml:space="preserve"> </w:t>
            </w:r>
            <w:r>
              <w:rPr>
                <w:i/>
                <w:sz w:val="24"/>
              </w:rPr>
              <w:t>–</w:t>
            </w:r>
            <w:r>
              <w:rPr>
                <w:i/>
                <w:spacing w:val="-5"/>
                <w:sz w:val="24"/>
              </w:rPr>
              <w:t xml:space="preserve"> </w:t>
            </w:r>
            <w:r>
              <w:rPr>
                <w:i/>
                <w:sz w:val="24"/>
              </w:rPr>
              <w:t>Countervailing</w:t>
            </w:r>
            <w:r>
              <w:rPr>
                <w:i/>
                <w:spacing w:val="-5"/>
                <w:sz w:val="24"/>
              </w:rPr>
              <w:t xml:space="preserve"> </w:t>
            </w:r>
            <w:r>
              <w:rPr>
                <w:i/>
                <w:sz w:val="24"/>
              </w:rPr>
              <w:t>Duties</w:t>
            </w:r>
            <w:r>
              <w:rPr>
                <w:i/>
                <w:spacing w:val="-8"/>
                <w:sz w:val="24"/>
              </w:rPr>
              <w:t xml:space="preserve"> </w:t>
            </w:r>
            <w:r>
              <w:rPr>
                <w:i/>
                <w:sz w:val="24"/>
              </w:rPr>
              <w:t>on Certain Corrosion-Resistant Carbon Steel Flat Products from Germany</w:t>
            </w:r>
            <w:r>
              <w:rPr>
                <w:sz w:val="24"/>
              </w:rPr>
              <w:t xml:space="preserve">, WT/DS213/AB/R and Corr.1, adopted 19 December 2002, DSR </w:t>
            </w:r>
            <w:proofErr w:type="gramStart"/>
            <w:r>
              <w:rPr>
                <w:sz w:val="24"/>
              </w:rPr>
              <w:t>2002:IX</w:t>
            </w:r>
            <w:proofErr w:type="gramEnd"/>
            <w:r>
              <w:rPr>
                <w:sz w:val="24"/>
              </w:rPr>
              <w:t>, p. 3779</w:t>
            </w:r>
          </w:p>
        </w:tc>
      </w:tr>
      <w:tr w:rsidR="00BF2951" w:rsidRPr="00BF2951" w14:paraId="589258D7" w14:textId="77777777" w:rsidTr="00BF2951">
        <w:tc>
          <w:tcPr>
            <w:tcW w:w="2943" w:type="dxa"/>
          </w:tcPr>
          <w:p w14:paraId="45A82EED" w14:textId="72AF7188" w:rsidR="00BF2951" w:rsidRDefault="00BF2951" w:rsidP="00BF2951">
            <w:pPr>
              <w:rPr>
                <w:i/>
                <w:sz w:val="24"/>
              </w:rPr>
            </w:pPr>
            <w:r>
              <w:rPr>
                <w:i/>
                <w:sz w:val="24"/>
              </w:rPr>
              <w:t>US</w:t>
            </w:r>
            <w:r>
              <w:rPr>
                <w:i/>
                <w:spacing w:val="-2"/>
                <w:sz w:val="24"/>
              </w:rPr>
              <w:t xml:space="preserve"> </w:t>
            </w:r>
            <w:r>
              <w:rPr>
                <w:i/>
                <w:sz w:val="24"/>
              </w:rPr>
              <w:t>–</w:t>
            </w:r>
            <w:r>
              <w:rPr>
                <w:i/>
                <w:spacing w:val="-1"/>
                <w:sz w:val="24"/>
              </w:rPr>
              <w:t xml:space="preserve"> </w:t>
            </w:r>
            <w:r>
              <w:rPr>
                <w:i/>
                <w:sz w:val="24"/>
              </w:rPr>
              <w:t>Carbon</w:t>
            </w:r>
            <w:r>
              <w:rPr>
                <w:i/>
                <w:spacing w:val="-1"/>
                <w:sz w:val="24"/>
              </w:rPr>
              <w:t xml:space="preserve"> </w:t>
            </w:r>
            <w:r>
              <w:rPr>
                <w:i/>
                <w:spacing w:val="-4"/>
                <w:sz w:val="24"/>
              </w:rPr>
              <w:t>Steel</w:t>
            </w:r>
          </w:p>
        </w:tc>
        <w:tc>
          <w:tcPr>
            <w:tcW w:w="7403" w:type="dxa"/>
          </w:tcPr>
          <w:p w14:paraId="601D2146" w14:textId="4FA374D4" w:rsidR="00BF2951" w:rsidRDefault="00BF2951" w:rsidP="00BF2951">
            <w:pPr>
              <w:rPr>
                <w:sz w:val="24"/>
              </w:rPr>
            </w:pPr>
            <w:r>
              <w:rPr>
                <w:sz w:val="24"/>
              </w:rPr>
              <w:t>Panel</w:t>
            </w:r>
            <w:r>
              <w:rPr>
                <w:spacing w:val="-3"/>
                <w:sz w:val="24"/>
              </w:rPr>
              <w:t xml:space="preserve"> </w:t>
            </w:r>
            <w:r>
              <w:rPr>
                <w:sz w:val="24"/>
              </w:rPr>
              <w:t>Report,</w:t>
            </w:r>
            <w:r>
              <w:rPr>
                <w:spacing w:val="-3"/>
                <w:sz w:val="24"/>
              </w:rPr>
              <w:t xml:space="preserve"> </w:t>
            </w:r>
            <w:r>
              <w:rPr>
                <w:i/>
                <w:sz w:val="24"/>
              </w:rPr>
              <w:t>United</w:t>
            </w:r>
            <w:r>
              <w:rPr>
                <w:i/>
                <w:spacing w:val="-5"/>
                <w:sz w:val="24"/>
              </w:rPr>
              <w:t xml:space="preserve"> </w:t>
            </w:r>
            <w:r>
              <w:rPr>
                <w:i/>
                <w:sz w:val="24"/>
              </w:rPr>
              <w:t>States</w:t>
            </w:r>
            <w:r>
              <w:rPr>
                <w:i/>
                <w:spacing w:val="-8"/>
                <w:sz w:val="24"/>
              </w:rPr>
              <w:t xml:space="preserve"> </w:t>
            </w:r>
            <w:r>
              <w:rPr>
                <w:i/>
                <w:sz w:val="24"/>
              </w:rPr>
              <w:t>–</w:t>
            </w:r>
            <w:r>
              <w:rPr>
                <w:i/>
                <w:spacing w:val="-5"/>
                <w:sz w:val="24"/>
              </w:rPr>
              <w:t xml:space="preserve"> </w:t>
            </w:r>
            <w:r>
              <w:rPr>
                <w:i/>
                <w:sz w:val="24"/>
              </w:rPr>
              <w:t>Countervailing</w:t>
            </w:r>
            <w:r>
              <w:rPr>
                <w:i/>
                <w:spacing w:val="-5"/>
                <w:sz w:val="24"/>
              </w:rPr>
              <w:t xml:space="preserve"> </w:t>
            </w:r>
            <w:r>
              <w:rPr>
                <w:i/>
                <w:sz w:val="24"/>
              </w:rPr>
              <w:t>Duties</w:t>
            </w:r>
            <w:r>
              <w:rPr>
                <w:i/>
                <w:spacing w:val="-8"/>
                <w:sz w:val="24"/>
              </w:rPr>
              <w:t xml:space="preserve"> </w:t>
            </w:r>
            <w:r>
              <w:rPr>
                <w:i/>
                <w:sz w:val="24"/>
              </w:rPr>
              <w:t>on</w:t>
            </w:r>
            <w:r>
              <w:rPr>
                <w:i/>
                <w:spacing w:val="-5"/>
                <w:sz w:val="24"/>
              </w:rPr>
              <w:t xml:space="preserve"> </w:t>
            </w:r>
            <w:r>
              <w:rPr>
                <w:i/>
                <w:sz w:val="24"/>
              </w:rPr>
              <w:t>Certain Corrosion-Resistant</w:t>
            </w:r>
            <w:r>
              <w:rPr>
                <w:i/>
                <w:spacing w:val="-5"/>
                <w:sz w:val="24"/>
              </w:rPr>
              <w:t xml:space="preserve"> </w:t>
            </w:r>
            <w:r>
              <w:rPr>
                <w:i/>
                <w:sz w:val="24"/>
              </w:rPr>
              <w:t>Carbon</w:t>
            </w:r>
            <w:r>
              <w:rPr>
                <w:i/>
                <w:spacing w:val="-5"/>
                <w:sz w:val="24"/>
              </w:rPr>
              <w:t xml:space="preserve"> </w:t>
            </w:r>
            <w:r>
              <w:rPr>
                <w:i/>
                <w:sz w:val="24"/>
              </w:rPr>
              <w:t>Steel</w:t>
            </w:r>
            <w:r>
              <w:rPr>
                <w:i/>
                <w:spacing w:val="-3"/>
                <w:sz w:val="24"/>
              </w:rPr>
              <w:t xml:space="preserve"> </w:t>
            </w:r>
            <w:r>
              <w:rPr>
                <w:i/>
                <w:sz w:val="24"/>
              </w:rPr>
              <w:t>Flat</w:t>
            </w:r>
            <w:r>
              <w:rPr>
                <w:i/>
                <w:spacing w:val="-5"/>
                <w:sz w:val="24"/>
              </w:rPr>
              <w:t xml:space="preserve"> </w:t>
            </w:r>
            <w:r>
              <w:rPr>
                <w:i/>
                <w:sz w:val="24"/>
              </w:rPr>
              <w:t>Products</w:t>
            </w:r>
            <w:r>
              <w:rPr>
                <w:i/>
                <w:spacing w:val="-7"/>
                <w:sz w:val="24"/>
              </w:rPr>
              <w:t xml:space="preserve"> </w:t>
            </w:r>
            <w:r>
              <w:rPr>
                <w:i/>
                <w:sz w:val="24"/>
              </w:rPr>
              <w:t>from</w:t>
            </w:r>
            <w:r>
              <w:rPr>
                <w:i/>
                <w:spacing w:val="-4"/>
                <w:sz w:val="24"/>
              </w:rPr>
              <w:t xml:space="preserve"> </w:t>
            </w:r>
            <w:r>
              <w:rPr>
                <w:i/>
                <w:sz w:val="24"/>
              </w:rPr>
              <w:t>Germany</w:t>
            </w:r>
            <w:r>
              <w:rPr>
                <w:sz w:val="24"/>
              </w:rPr>
              <w:t xml:space="preserve">, WT/DS213/R and Corr.1, adopted 19 December 2002, as modified by Appellate Body Report WT/DS213/AB/R, DSR </w:t>
            </w:r>
            <w:proofErr w:type="gramStart"/>
            <w:r>
              <w:rPr>
                <w:sz w:val="24"/>
              </w:rPr>
              <w:t>2002:IX</w:t>
            </w:r>
            <w:proofErr w:type="gramEnd"/>
            <w:r>
              <w:rPr>
                <w:sz w:val="24"/>
              </w:rPr>
              <w:t>, p. 3833</w:t>
            </w:r>
          </w:p>
        </w:tc>
      </w:tr>
      <w:tr w:rsidR="00BF2951" w:rsidRPr="00BF2951" w14:paraId="5CECE551" w14:textId="77777777" w:rsidTr="00BF2951">
        <w:tc>
          <w:tcPr>
            <w:tcW w:w="2943" w:type="dxa"/>
          </w:tcPr>
          <w:p w14:paraId="016704DA" w14:textId="4CC5BDC2" w:rsidR="00BF2951" w:rsidRDefault="00BF2951" w:rsidP="00BF2951">
            <w:pPr>
              <w:rPr>
                <w:i/>
                <w:sz w:val="24"/>
              </w:rPr>
            </w:pPr>
            <w:r>
              <w:rPr>
                <w:i/>
                <w:sz w:val="24"/>
              </w:rPr>
              <w:t>US</w:t>
            </w:r>
            <w:r>
              <w:rPr>
                <w:i/>
                <w:spacing w:val="-12"/>
                <w:sz w:val="24"/>
              </w:rPr>
              <w:t xml:space="preserve"> </w:t>
            </w:r>
            <w:r>
              <w:rPr>
                <w:i/>
                <w:sz w:val="24"/>
              </w:rPr>
              <w:t>–</w:t>
            </w:r>
            <w:r>
              <w:rPr>
                <w:i/>
                <w:spacing w:val="-13"/>
                <w:sz w:val="24"/>
              </w:rPr>
              <w:t xml:space="preserve"> </w:t>
            </w:r>
            <w:r>
              <w:rPr>
                <w:i/>
                <w:sz w:val="24"/>
              </w:rPr>
              <w:t>Carbon</w:t>
            </w:r>
            <w:r>
              <w:rPr>
                <w:i/>
                <w:spacing w:val="-13"/>
                <w:sz w:val="24"/>
              </w:rPr>
              <w:t xml:space="preserve"> </w:t>
            </w:r>
            <w:r>
              <w:rPr>
                <w:i/>
                <w:sz w:val="24"/>
              </w:rPr>
              <w:t xml:space="preserve">Steel </w:t>
            </w:r>
            <w:r>
              <w:rPr>
                <w:i/>
                <w:spacing w:val="-2"/>
                <w:sz w:val="24"/>
              </w:rPr>
              <w:t>(India)</w:t>
            </w:r>
          </w:p>
        </w:tc>
        <w:tc>
          <w:tcPr>
            <w:tcW w:w="7403" w:type="dxa"/>
          </w:tcPr>
          <w:p w14:paraId="590DA606" w14:textId="77777777" w:rsidR="00BF2951" w:rsidRDefault="00BF2951" w:rsidP="00BF2951">
            <w:pPr>
              <w:pStyle w:val="TableParagraph"/>
              <w:spacing w:before="45"/>
              <w:ind w:left="105" w:right="101"/>
              <w:rPr>
                <w:sz w:val="24"/>
              </w:rPr>
            </w:pPr>
            <w:r>
              <w:rPr>
                <w:sz w:val="24"/>
              </w:rPr>
              <w:t>Appellate</w:t>
            </w:r>
            <w:r>
              <w:rPr>
                <w:spacing w:val="-6"/>
                <w:sz w:val="24"/>
              </w:rPr>
              <w:t xml:space="preserve"> </w:t>
            </w:r>
            <w:r>
              <w:rPr>
                <w:sz w:val="24"/>
              </w:rPr>
              <w:t>Body</w:t>
            </w:r>
            <w:r>
              <w:rPr>
                <w:spacing w:val="-5"/>
                <w:sz w:val="24"/>
              </w:rPr>
              <w:t xml:space="preserve"> </w:t>
            </w:r>
            <w:r>
              <w:rPr>
                <w:sz w:val="24"/>
              </w:rPr>
              <w:t>Report,</w:t>
            </w:r>
            <w:r>
              <w:rPr>
                <w:spacing w:val="-4"/>
                <w:sz w:val="24"/>
              </w:rPr>
              <w:t xml:space="preserve"> </w:t>
            </w:r>
            <w:r>
              <w:rPr>
                <w:i/>
                <w:sz w:val="24"/>
              </w:rPr>
              <w:t>United</w:t>
            </w:r>
            <w:r>
              <w:rPr>
                <w:i/>
                <w:spacing w:val="-6"/>
                <w:sz w:val="24"/>
              </w:rPr>
              <w:t xml:space="preserve"> </w:t>
            </w:r>
            <w:r>
              <w:rPr>
                <w:i/>
                <w:sz w:val="24"/>
              </w:rPr>
              <w:t>States</w:t>
            </w:r>
            <w:r>
              <w:rPr>
                <w:i/>
                <w:spacing w:val="-8"/>
                <w:sz w:val="24"/>
              </w:rPr>
              <w:t xml:space="preserve"> </w:t>
            </w:r>
            <w:r>
              <w:rPr>
                <w:i/>
                <w:sz w:val="24"/>
              </w:rPr>
              <w:t>–</w:t>
            </w:r>
            <w:r>
              <w:rPr>
                <w:i/>
                <w:spacing w:val="-6"/>
                <w:sz w:val="24"/>
              </w:rPr>
              <w:t xml:space="preserve"> </w:t>
            </w:r>
            <w:r>
              <w:rPr>
                <w:i/>
                <w:sz w:val="24"/>
              </w:rPr>
              <w:t>Countervailing</w:t>
            </w:r>
            <w:r>
              <w:rPr>
                <w:i/>
                <w:spacing w:val="-6"/>
                <w:sz w:val="24"/>
              </w:rPr>
              <w:t xml:space="preserve"> </w:t>
            </w:r>
            <w:r>
              <w:rPr>
                <w:i/>
                <w:sz w:val="24"/>
              </w:rPr>
              <w:t>Measures on Certain Hot-Rolled Carbon Steel Flat Products from India</w:t>
            </w:r>
            <w:r>
              <w:rPr>
                <w:sz w:val="24"/>
              </w:rPr>
              <w:t xml:space="preserve">, WT/DS436/AB/R, adopted 19 December 2014, DSR </w:t>
            </w:r>
            <w:proofErr w:type="gramStart"/>
            <w:r>
              <w:rPr>
                <w:sz w:val="24"/>
              </w:rPr>
              <w:t>2014:V</w:t>
            </w:r>
            <w:proofErr w:type="gramEnd"/>
            <w:r>
              <w:rPr>
                <w:sz w:val="24"/>
              </w:rPr>
              <w:t>, p.</w:t>
            </w:r>
          </w:p>
          <w:p w14:paraId="6831E361" w14:textId="7BA71941" w:rsidR="00BF2951" w:rsidRDefault="00BF2951" w:rsidP="00BF2951">
            <w:pPr>
              <w:rPr>
                <w:sz w:val="24"/>
              </w:rPr>
            </w:pPr>
            <w:r>
              <w:rPr>
                <w:spacing w:val="-4"/>
                <w:sz w:val="24"/>
              </w:rPr>
              <w:t>1727</w:t>
            </w:r>
          </w:p>
        </w:tc>
      </w:tr>
      <w:tr w:rsidR="00BF2951" w:rsidRPr="00BF2951" w14:paraId="367565AE" w14:textId="77777777" w:rsidTr="00BF2951">
        <w:tc>
          <w:tcPr>
            <w:tcW w:w="2943" w:type="dxa"/>
          </w:tcPr>
          <w:p w14:paraId="07263B02" w14:textId="5480D417" w:rsidR="00BF2951" w:rsidRDefault="00BF2951" w:rsidP="00BF2951">
            <w:pPr>
              <w:rPr>
                <w:i/>
                <w:sz w:val="24"/>
              </w:rPr>
            </w:pPr>
            <w:r>
              <w:rPr>
                <w:i/>
                <w:sz w:val="24"/>
              </w:rPr>
              <w:t>US</w:t>
            </w:r>
            <w:r>
              <w:rPr>
                <w:i/>
                <w:spacing w:val="-14"/>
                <w:sz w:val="24"/>
              </w:rPr>
              <w:t xml:space="preserve"> </w:t>
            </w:r>
            <w:r>
              <w:rPr>
                <w:i/>
                <w:sz w:val="24"/>
              </w:rPr>
              <w:t>–</w:t>
            </w:r>
            <w:r>
              <w:rPr>
                <w:i/>
                <w:spacing w:val="-14"/>
                <w:sz w:val="24"/>
              </w:rPr>
              <w:t xml:space="preserve"> </w:t>
            </w:r>
            <w:r>
              <w:rPr>
                <w:i/>
                <w:sz w:val="24"/>
              </w:rPr>
              <w:t>Countervailing Measures (China)</w:t>
            </w:r>
          </w:p>
        </w:tc>
        <w:tc>
          <w:tcPr>
            <w:tcW w:w="7403" w:type="dxa"/>
          </w:tcPr>
          <w:p w14:paraId="60B26263" w14:textId="6D554B66" w:rsidR="00BF2951" w:rsidRDefault="00BF2951" w:rsidP="00BF2951">
            <w:pPr>
              <w:rPr>
                <w:sz w:val="24"/>
              </w:rPr>
            </w:pPr>
            <w:r>
              <w:rPr>
                <w:sz w:val="24"/>
              </w:rPr>
              <w:t xml:space="preserve">Appellate Body Report, </w:t>
            </w:r>
            <w:r>
              <w:rPr>
                <w:i/>
                <w:sz w:val="24"/>
              </w:rPr>
              <w:t>United States – Countervailing Duty Measures</w:t>
            </w:r>
            <w:r>
              <w:rPr>
                <w:i/>
                <w:spacing w:val="-9"/>
                <w:sz w:val="24"/>
              </w:rPr>
              <w:t xml:space="preserve"> </w:t>
            </w:r>
            <w:r>
              <w:rPr>
                <w:i/>
                <w:sz w:val="24"/>
              </w:rPr>
              <w:t>on</w:t>
            </w:r>
            <w:r>
              <w:rPr>
                <w:i/>
                <w:spacing w:val="-7"/>
                <w:sz w:val="24"/>
              </w:rPr>
              <w:t xml:space="preserve"> </w:t>
            </w:r>
            <w:r>
              <w:rPr>
                <w:i/>
                <w:sz w:val="24"/>
              </w:rPr>
              <w:t>Certain</w:t>
            </w:r>
            <w:r>
              <w:rPr>
                <w:i/>
                <w:spacing w:val="-7"/>
                <w:sz w:val="24"/>
              </w:rPr>
              <w:t xml:space="preserve"> </w:t>
            </w:r>
            <w:r>
              <w:rPr>
                <w:i/>
                <w:sz w:val="24"/>
              </w:rPr>
              <w:t>Products</w:t>
            </w:r>
            <w:r>
              <w:rPr>
                <w:i/>
                <w:spacing w:val="-9"/>
                <w:sz w:val="24"/>
              </w:rPr>
              <w:t xml:space="preserve"> </w:t>
            </w:r>
            <w:r>
              <w:rPr>
                <w:i/>
                <w:sz w:val="24"/>
              </w:rPr>
              <w:t>from</w:t>
            </w:r>
            <w:r>
              <w:rPr>
                <w:i/>
                <w:spacing w:val="-6"/>
                <w:sz w:val="24"/>
              </w:rPr>
              <w:t xml:space="preserve"> </w:t>
            </w:r>
            <w:r>
              <w:rPr>
                <w:i/>
                <w:sz w:val="24"/>
              </w:rPr>
              <w:t>China</w:t>
            </w:r>
            <w:r>
              <w:rPr>
                <w:sz w:val="24"/>
              </w:rPr>
              <w:t>,</w:t>
            </w:r>
            <w:r>
              <w:rPr>
                <w:spacing w:val="-5"/>
                <w:sz w:val="24"/>
              </w:rPr>
              <w:t xml:space="preserve"> </w:t>
            </w:r>
            <w:r>
              <w:rPr>
                <w:sz w:val="24"/>
              </w:rPr>
              <w:t xml:space="preserve">WT/DS437/AB/R, adopted 16 January 2015, DSR </w:t>
            </w:r>
            <w:proofErr w:type="gramStart"/>
            <w:r>
              <w:rPr>
                <w:sz w:val="24"/>
              </w:rPr>
              <w:t>2015:I</w:t>
            </w:r>
            <w:proofErr w:type="gramEnd"/>
            <w:r>
              <w:rPr>
                <w:sz w:val="24"/>
              </w:rPr>
              <w:t>, p. 7</w:t>
            </w:r>
          </w:p>
        </w:tc>
      </w:tr>
      <w:tr w:rsidR="00BF2951" w:rsidRPr="00BF2951" w14:paraId="4FCF280D" w14:textId="77777777" w:rsidTr="00BF2951">
        <w:tc>
          <w:tcPr>
            <w:tcW w:w="2943" w:type="dxa"/>
          </w:tcPr>
          <w:p w14:paraId="50CA8566" w14:textId="7C3A681C" w:rsidR="00BF2951" w:rsidRDefault="00BF2951" w:rsidP="00BF2951">
            <w:pPr>
              <w:rPr>
                <w:i/>
                <w:sz w:val="24"/>
              </w:rPr>
            </w:pPr>
            <w:r>
              <w:rPr>
                <w:i/>
                <w:sz w:val="24"/>
              </w:rPr>
              <w:t>US</w:t>
            </w:r>
            <w:r>
              <w:rPr>
                <w:i/>
                <w:spacing w:val="-1"/>
                <w:sz w:val="24"/>
              </w:rPr>
              <w:t xml:space="preserve"> </w:t>
            </w:r>
            <w:r>
              <w:rPr>
                <w:i/>
                <w:sz w:val="24"/>
              </w:rPr>
              <w:t>—</w:t>
            </w:r>
            <w:r>
              <w:rPr>
                <w:i/>
                <w:spacing w:val="-3"/>
                <w:sz w:val="24"/>
              </w:rPr>
              <w:t xml:space="preserve"> </w:t>
            </w:r>
            <w:r>
              <w:rPr>
                <w:i/>
                <w:spacing w:val="-2"/>
                <w:sz w:val="24"/>
              </w:rPr>
              <w:t>Gambling</w:t>
            </w:r>
          </w:p>
        </w:tc>
        <w:tc>
          <w:tcPr>
            <w:tcW w:w="7403" w:type="dxa"/>
          </w:tcPr>
          <w:p w14:paraId="046C74F2" w14:textId="67B8F547" w:rsidR="00BF2951" w:rsidRDefault="00BF2951" w:rsidP="00BF2951">
            <w:pPr>
              <w:rPr>
                <w:sz w:val="24"/>
              </w:rPr>
            </w:pPr>
            <w:r>
              <w:rPr>
                <w:sz w:val="24"/>
              </w:rPr>
              <w:t xml:space="preserve">Panel Report, </w:t>
            </w:r>
            <w:r>
              <w:rPr>
                <w:i/>
                <w:sz w:val="24"/>
              </w:rPr>
              <w:t>United States – Measures Affecting the Cross- Border</w:t>
            </w:r>
            <w:r>
              <w:rPr>
                <w:i/>
                <w:spacing w:val="-8"/>
                <w:sz w:val="24"/>
              </w:rPr>
              <w:t xml:space="preserve"> </w:t>
            </w:r>
            <w:r>
              <w:rPr>
                <w:i/>
                <w:sz w:val="24"/>
              </w:rPr>
              <w:t>Supply</w:t>
            </w:r>
            <w:r>
              <w:rPr>
                <w:i/>
                <w:spacing w:val="-9"/>
                <w:sz w:val="24"/>
              </w:rPr>
              <w:t xml:space="preserve"> </w:t>
            </w:r>
            <w:r>
              <w:rPr>
                <w:i/>
                <w:sz w:val="24"/>
              </w:rPr>
              <w:t>of</w:t>
            </w:r>
            <w:r>
              <w:rPr>
                <w:i/>
                <w:spacing w:val="-8"/>
                <w:sz w:val="24"/>
              </w:rPr>
              <w:t xml:space="preserve"> </w:t>
            </w:r>
            <w:r>
              <w:rPr>
                <w:i/>
                <w:sz w:val="24"/>
              </w:rPr>
              <w:t>Gambling</w:t>
            </w:r>
            <w:r>
              <w:rPr>
                <w:i/>
                <w:spacing w:val="-6"/>
                <w:sz w:val="24"/>
              </w:rPr>
              <w:t xml:space="preserve"> </w:t>
            </w:r>
            <w:r>
              <w:rPr>
                <w:i/>
                <w:sz w:val="24"/>
              </w:rPr>
              <w:t>and</w:t>
            </w:r>
            <w:r>
              <w:rPr>
                <w:i/>
                <w:spacing w:val="-6"/>
                <w:sz w:val="24"/>
              </w:rPr>
              <w:t xml:space="preserve"> </w:t>
            </w:r>
            <w:r>
              <w:rPr>
                <w:i/>
                <w:sz w:val="24"/>
              </w:rPr>
              <w:t>Betting</w:t>
            </w:r>
            <w:r>
              <w:rPr>
                <w:i/>
                <w:spacing w:val="-6"/>
                <w:sz w:val="24"/>
              </w:rPr>
              <w:t xml:space="preserve"> </w:t>
            </w:r>
            <w:r>
              <w:rPr>
                <w:i/>
                <w:sz w:val="24"/>
              </w:rPr>
              <w:t>Services</w:t>
            </w:r>
            <w:r>
              <w:rPr>
                <w:sz w:val="24"/>
              </w:rPr>
              <w:t>,</w:t>
            </w:r>
            <w:r>
              <w:rPr>
                <w:spacing w:val="-4"/>
                <w:sz w:val="24"/>
              </w:rPr>
              <w:t xml:space="preserve"> </w:t>
            </w:r>
            <w:r>
              <w:rPr>
                <w:sz w:val="24"/>
              </w:rPr>
              <w:t xml:space="preserve">WT/DS285/R, adopted 20 April 2005, as modified by Appellate Body Report WT/DS285/AB/R, DSR </w:t>
            </w:r>
            <w:proofErr w:type="gramStart"/>
            <w:r>
              <w:rPr>
                <w:sz w:val="24"/>
              </w:rPr>
              <w:t>2005:XII</w:t>
            </w:r>
            <w:proofErr w:type="gramEnd"/>
            <w:r>
              <w:rPr>
                <w:sz w:val="24"/>
              </w:rPr>
              <w:t>, p. 5797</w:t>
            </w:r>
          </w:p>
        </w:tc>
      </w:tr>
      <w:tr w:rsidR="00BF2951" w:rsidRPr="00BF2951" w14:paraId="236BD6D3" w14:textId="77777777" w:rsidTr="00BF2951">
        <w:tc>
          <w:tcPr>
            <w:tcW w:w="2943" w:type="dxa"/>
          </w:tcPr>
          <w:p w14:paraId="59406725" w14:textId="6952588A" w:rsidR="00BF2951" w:rsidRDefault="00BF2951" w:rsidP="00BF2951">
            <w:pPr>
              <w:rPr>
                <w:i/>
                <w:sz w:val="24"/>
              </w:rPr>
            </w:pPr>
            <w:r>
              <w:rPr>
                <w:i/>
                <w:sz w:val="24"/>
              </w:rPr>
              <w:t>US</w:t>
            </w:r>
            <w:r>
              <w:rPr>
                <w:i/>
                <w:spacing w:val="-14"/>
                <w:sz w:val="24"/>
              </w:rPr>
              <w:t xml:space="preserve"> </w:t>
            </w:r>
            <w:r>
              <w:rPr>
                <w:i/>
                <w:sz w:val="24"/>
              </w:rPr>
              <w:t>–</w:t>
            </w:r>
            <w:r>
              <w:rPr>
                <w:i/>
                <w:spacing w:val="-14"/>
                <w:sz w:val="24"/>
              </w:rPr>
              <w:t xml:space="preserve"> </w:t>
            </w:r>
            <w:r>
              <w:rPr>
                <w:i/>
                <w:sz w:val="24"/>
              </w:rPr>
              <w:t xml:space="preserve">Hot-Rolled </w:t>
            </w:r>
            <w:r>
              <w:rPr>
                <w:i/>
                <w:spacing w:val="-2"/>
                <w:sz w:val="24"/>
              </w:rPr>
              <w:t>Steel</w:t>
            </w:r>
          </w:p>
        </w:tc>
        <w:tc>
          <w:tcPr>
            <w:tcW w:w="7403" w:type="dxa"/>
          </w:tcPr>
          <w:p w14:paraId="16C1C9EA" w14:textId="171B8931" w:rsidR="00BF2951" w:rsidRDefault="00BF2951" w:rsidP="00BF2951">
            <w:pPr>
              <w:rPr>
                <w:sz w:val="24"/>
              </w:rPr>
            </w:pPr>
            <w:r>
              <w:rPr>
                <w:sz w:val="24"/>
              </w:rPr>
              <w:t>Appellate</w:t>
            </w:r>
            <w:r>
              <w:rPr>
                <w:spacing w:val="-5"/>
                <w:sz w:val="24"/>
              </w:rPr>
              <w:t xml:space="preserve"> </w:t>
            </w:r>
            <w:r>
              <w:rPr>
                <w:sz w:val="24"/>
              </w:rPr>
              <w:t>Body</w:t>
            </w:r>
            <w:r>
              <w:rPr>
                <w:spacing w:val="-4"/>
                <w:sz w:val="24"/>
              </w:rPr>
              <w:t xml:space="preserve"> </w:t>
            </w:r>
            <w:r>
              <w:rPr>
                <w:sz w:val="24"/>
              </w:rPr>
              <w:t>Report,</w:t>
            </w:r>
            <w:r>
              <w:rPr>
                <w:spacing w:val="-3"/>
                <w:sz w:val="24"/>
              </w:rPr>
              <w:t xml:space="preserve"> </w:t>
            </w:r>
            <w:r>
              <w:rPr>
                <w:i/>
                <w:sz w:val="24"/>
              </w:rPr>
              <w:t>United</w:t>
            </w:r>
            <w:r>
              <w:rPr>
                <w:i/>
                <w:spacing w:val="-5"/>
                <w:sz w:val="24"/>
              </w:rPr>
              <w:t xml:space="preserve"> </w:t>
            </w:r>
            <w:r>
              <w:rPr>
                <w:i/>
                <w:sz w:val="24"/>
              </w:rPr>
              <w:t>States</w:t>
            </w:r>
            <w:r>
              <w:rPr>
                <w:i/>
                <w:spacing w:val="-8"/>
                <w:sz w:val="24"/>
              </w:rPr>
              <w:t xml:space="preserve"> </w:t>
            </w:r>
            <w:r>
              <w:rPr>
                <w:i/>
                <w:sz w:val="24"/>
              </w:rPr>
              <w:t>–</w:t>
            </w:r>
            <w:r>
              <w:rPr>
                <w:i/>
                <w:spacing w:val="-5"/>
                <w:sz w:val="24"/>
              </w:rPr>
              <w:t xml:space="preserve"> </w:t>
            </w:r>
            <w:r>
              <w:rPr>
                <w:i/>
                <w:sz w:val="24"/>
              </w:rPr>
              <w:t>Anti-Dumping</w:t>
            </w:r>
            <w:r>
              <w:rPr>
                <w:i/>
                <w:spacing w:val="-5"/>
                <w:sz w:val="24"/>
              </w:rPr>
              <w:t xml:space="preserve"> </w:t>
            </w:r>
            <w:r>
              <w:rPr>
                <w:i/>
                <w:sz w:val="24"/>
              </w:rPr>
              <w:t>Measures on Certain Hot-Rolled Steel Products from Japan</w:t>
            </w:r>
            <w:r>
              <w:rPr>
                <w:sz w:val="24"/>
              </w:rPr>
              <w:t>, WT/DS184/AB/R,</w:t>
            </w:r>
            <w:r>
              <w:rPr>
                <w:spacing w:val="-4"/>
                <w:sz w:val="24"/>
              </w:rPr>
              <w:t xml:space="preserve"> </w:t>
            </w:r>
            <w:r>
              <w:rPr>
                <w:sz w:val="24"/>
              </w:rPr>
              <w:t>adopted</w:t>
            </w:r>
            <w:r>
              <w:rPr>
                <w:spacing w:val="-3"/>
                <w:sz w:val="24"/>
              </w:rPr>
              <w:t xml:space="preserve"> </w:t>
            </w:r>
            <w:r>
              <w:rPr>
                <w:sz w:val="24"/>
              </w:rPr>
              <w:t>23</w:t>
            </w:r>
            <w:r>
              <w:rPr>
                <w:spacing w:val="-4"/>
                <w:sz w:val="24"/>
              </w:rPr>
              <w:t xml:space="preserve"> </w:t>
            </w:r>
            <w:r>
              <w:rPr>
                <w:sz w:val="24"/>
              </w:rPr>
              <w:t>August</w:t>
            </w:r>
            <w:r>
              <w:rPr>
                <w:spacing w:val="-6"/>
                <w:sz w:val="24"/>
              </w:rPr>
              <w:t xml:space="preserve"> </w:t>
            </w:r>
            <w:r>
              <w:rPr>
                <w:sz w:val="24"/>
              </w:rPr>
              <w:t>2001,</w:t>
            </w:r>
            <w:r>
              <w:rPr>
                <w:spacing w:val="-5"/>
                <w:sz w:val="24"/>
              </w:rPr>
              <w:t xml:space="preserve"> </w:t>
            </w:r>
            <w:r>
              <w:rPr>
                <w:sz w:val="24"/>
              </w:rPr>
              <w:t>DSR</w:t>
            </w:r>
            <w:r>
              <w:rPr>
                <w:spacing w:val="-3"/>
                <w:sz w:val="24"/>
              </w:rPr>
              <w:t xml:space="preserve"> </w:t>
            </w:r>
            <w:r>
              <w:rPr>
                <w:sz w:val="24"/>
              </w:rPr>
              <w:t>2001:X,</w:t>
            </w:r>
            <w:r>
              <w:rPr>
                <w:spacing w:val="-4"/>
                <w:sz w:val="24"/>
              </w:rPr>
              <w:t xml:space="preserve"> </w:t>
            </w:r>
            <w:r>
              <w:rPr>
                <w:sz w:val="24"/>
              </w:rPr>
              <w:t>p.</w:t>
            </w:r>
            <w:r>
              <w:rPr>
                <w:spacing w:val="-1"/>
                <w:sz w:val="24"/>
              </w:rPr>
              <w:t xml:space="preserve"> </w:t>
            </w:r>
            <w:r>
              <w:rPr>
                <w:sz w:val="24"/>
              </w:rPr>
              <w:t>4697</w:t>
            </w:r>
          </w:p>
        </w:tc>
      </w:tr>
      <w:tr w:rsidR="00BF2951" w:rsidRPr="00BF2951" w14:paraId="712C7004" w14:textId="77777777" w:rsidTr="00BF2951">
        <w:tc>
          <w:tcPr>
            <w:tcW w:w="2943" w:type="dxa"/>
          </w:tcPr>
          <w:p w14:paraId="0196CC68" w14:textId="50D23610" w:rsidR="00BF2951" w:rsidRDefault="00BF2951" w:rsidP="00BF2951">
            <w:pPr>
              <w:rPr>
                <w:i/>
                <w:sz w:val="24"/>
              </w:rPr>
            </w:pPr>
            <w:r>
              <w:rPr>
                <w:i/>
                <w:sz w:val="24"/>
              </w:rPr>
              <w:t>US</w:t>
            </w:r>
            <w:r>
              <w:rPr>
                <w:i/>
                <w:spacing w:val="-14"/>
                <w:sz w:val="24"/>
              </w:rPr>
              <w:t xml:space="preserve"> </w:t>
            </w:r>
            <w:r>
              <w:rPr>
                <w:i/>
                <w:sz w:val="24"/>
              </w:rPr>
              <w:t>–</w:t>
            </w:r>
            <w:r>
              <w:rPr>
                <w:i/>
                <w:spacing w:val="-14"/>
                <w:sz w:val="24"/>
              </w:rPr>
              <w:t xml:space="preserve"> </w:t>
            </w:r>
            <w:r>
              <w:rPr>
                <w:i/>
                <w:sz w:val="24"/>
              </w:rPr>
              <w:t xml:space="preserve">Hot-Rolled </w:t>
            </w:r>
            <w:r>
              <w:rPr>
                <w:i/>
                <w:spacing w:val="-2"/>
                <w:sz w:val="24"/>
              </w:rPr>
              <w:t>Steel</w:t>
            </w:r>
          </w:p>
        </w:tc>
        <w:tc>
          <w:tcPr>
            <w:tcW w:w="7403" w:type="dxa"/>
          </w:tcPr>
          <w:p w14:paraId="112C725F" w14:textId="2B70D590" w:rsidR="00BF2951" w:rsidRDefault="00BF2951" w:rsidP="00BF2951">
            <w:pPr>
              <w:rPr>
                <w:sz w:val="24"/>
              </w:rPr>
            </w:pPr>
            <w:r>
              <w:rPr>
                <w:sz w:val="24"/>
              </w:rPr>
              <w:t>Panel</w:t>
            </w:r>
            <w:r>
              <w:rPr>
                <w:spacing w:val="-2"/>
                <w:sz w:val="24"/>
              </w:rPr>
              <w:t xml:space="preserve"> </w:t>
            </w:r>
            <w:r>
              <w:rPr>
                <w:sz w:val="24"/>
              </w:rPr>
              <w:t>Report,</w:t>
            </w:r>
            <w:r>
              <w:rPr>
                <w:spacing w:val="-2"/>
                <w:sz w:val="24"/>
              </w:rPr>
              <w:t xml:space="preserve"> </w:t>
            </w:r>
            <w:r>
              <w:rPr>
                <w:i/>
                <w:sz w:val="24"/>
              </w:rPr>
              <w:t>United</w:t>
            </w:r>
            <w:r>
              <w:rPr>
                <w:i/>
                <w:spacing w:val="-4"/>
                <w:sz w:val="24"/>
              </w:rPr>
              <w:t xml:space="preserve"> </w:t>
            </w:r>
            <w:r>
              <w:rPr>
                <w:i/>
                <w:sz w:val="24"/>
              </w:rPr>
              <w:t>States</w:t>
            </w:r>
            <w:r>
              <w:rPr>
                <w:i/>
                <w:spacing w:val="-7"/>
                <w:sz w:val="24"/>
              </w:rPr>
              <w:t xml:space="preserve"> </w:t>
            </w:r>
            <w:r>
              <w:rPr>
                <w:i/>
                <w:sz w:val="24"/>
              </w:rPr>
              <w:t>–</w:t>
            </w:r>
            <w:r>
              <w:rPr>
                <w:i/>
                <w:spacing w:val="-4"/>
                <w:sz w:val="24"/>
              </w:rPr>
              <w:t xml:space="preserve"> </w:t>
            </w:r>
            <w:r>
              <w:rPr>
                <w:i/>
                <w:sz w:val="24"/>
              </w:rPr>
              <w:t>Anti-Dumping</w:t>
            </w:r>
            <w:r>
              <w:rPr>
                <w:i/>
                <w:spacing w:val="-4"/>
                <w:sz w:val="24"/>
              </w:rPr>
              <w:t xml:space="preserve"> </w:t>
            </w:r>
            <w:r>
              <w:rPr>
                <w:i/>
                <w:sz w:val="24"/>
              </w:rPr>
              <w:t>Measures</w:t>
            </w:r>
            <w:r>
              <w:rPr>
                <w:i/>
                <w:spacing w:val="-7"/>
                <w:sz w:val="24"/>
              </w:rPr>
              <w:t xml:space="preserve"> </w:t>
            </w:r>
            <w:r>
              <w:rPr>
                <w:i/>
                <w:sz w:val="24"/>
              </w:rPr>
              <w:t>on</w:t>
            </w:r>
            <w:r>
              <w:rPr>
                <w:i/>
                <w:spacing w:val="-4"/>
                <w:sz w:val="24"/>
              </w:rPr>
              <w:t xml:space="preserve"> </w:t>
            </w:r>
            <w:r>
              <w:rPr>
                <w:i/>
                <w:sz w:val="24"/>
              </w:rPr>
              <w:t>Certain Hot-Rolled Steel Products from Japan</w:t>
            </w:r>
            <w:r>
              <w:rPr>
                <w:sz w:val="24"/>
              </w:rPr>
              <w:t>, WT/DS184/R, adopted 23 August 2001 modified by Appellate Body Report WT/DS184/AB/R, DSR 2001:X, p. 4769</w:t>
            </w:r>
          </w:p>
        </w:tc>
      </w:tr>
      <w:tr w:rsidR="00BF2951" w:rsidRPr="00BF2951" w14:paraId="7AFD92C9" w14:textId="77777777" w:rsidTr="00BF2951">
        <w:tc>
          <w:tcPr>
            <w:tcW w:w="2943" w:type="dxa"/>
          </w:tcPr>
          <w:p w14:paraId="7CFF31F6" w14:textId="6CF52CBE" w:rsidR="00BF2951" w:rsidRDefault="00BF2951" w:rsidP="00BF2951">
            <w:pPr>
              <w:rPr>
                <w:i/>
                <w:sz w:val="24"/>
              </w:rPr>
            </w:pPr>
            <w:r>
              <w:rPr>
                <w:i/>
                <w:sz w:val="24"/>
              </w:rPr>
              <w:t>US</w:t>
            </w:r>
            <w:r>
              <w:rPr>
                <w:i/>
                <w:spacing w:val="-2"/>
                <w:sz w:val="24"/>
              </w:rPr>
              <w:t xml:space="preserve"> </w:t>
            </w:r>
            <w:r>
              <w:rPr>
                <w:i/>
                <w:sz w:val="24"/>
              </w:rPr>
              <w:t>–</w:t>
            </w:r>
            <w:r>
              <w:rPr>
                <w:i/>
                <w:spacing w:val="-1"/>
                <w:sz w:val="24"/>
              </w:rPr>
              <w:t xml:space="preserve"> </w:t>
            </w:r>
            <w:r>
              <w:rPr>
                <w:i/>
                <w:sz w:val="24"/>
              </w:rPr>
              <w:t xml:space="preserve">Line </w:t>
            </w:r>
            <w:r>
              <w:rPr>
                <w:i/>
                <w:spacing w:val="-4"/>
                <w:sz w:val="24"/>
              </w:rPr>
              <w:t>Pipe</w:t>
            </w:r>
          </w:p>
        </w:tc>
        <w:tc>
          <w:tcPr>
            <w:tcW w:w="7403" w:type="dxa"/>
          </w:tcPr>
          <w:p w14:paraId="652C992F" w14:textId="14C25B74" w:rsidR="00BF2951" w:rsidRDefault="00BF2951" w:rsidP="00BF2951">
            <w:pPr>
              <w:rPr>
                <w:sz w:val="24"/>
              </w:rPr>
            </w:pPr>
            <w:r>
              <w:rPr>
                <w:sz w:val="24"/>
              </w:rPr>
              <w:t xml:space="preserve">Appellate Body Report, </w:t>
            </w:r>
            <w:r>
              <w:rPr>
                <w:i/>
                <w:sz w:val="24"/>
              </w:rPr>
              <w:t>United States – Definitive Safeguard Measures</w:t>
            </w:r>
            <w:r>
              <w:rPr>
                <w:i/>
                <w:spacing w:val="-6"/>
                <w:sz w:val="24"/>
              </w:rPr>
              <w:t xml:space="preserve"> </w:t>
            </w:r>
            <w:r>
              <w:rPr>
                <w:i/>
                <w:sz w:val="24"/>
              </w:rPr>
              <w:t>on</w:t>
            </w:r>
            <w:r>
              <w:rPr>
                <w:i/>
                <w:spacing w:val="-3"/>
                <w:sz w:val="24"/>
              </w:rPr>
              <w:t xml:space="preserve"> </w:t>
            </w:r>
            <w:r>
              <w:rPr>
                <w:i/>
                <w:sz w:val="24"/>
              </w:rPr>
              <w:t>Imports</w:t>
            </w:r>
            <w:r>
              <w:rPr>
                <w:i/>
                <w:spacing w:val="-6"/>
                <w:sz w:val="24"/>
              </w:rPr>
              <w:t xml:space="preserve"> </w:t>
            </w:r>
            <w:r>
              <w:rPr>
                <w:i/>
                <w:sz w:val="24"/>
              </w:rPr>
              <w:t>of</w:t>
            </w:r>
            <w:r>
              <w:rPr>
                <w:i/>
                <w:spacing w:val="-5"/>
                <w:sz w:val="24"/>
              </w:rPr>
              <w:t xml:space="preserve"> </w:t>
            </w:r>
            <w:r>
              <w:rPr>
                <w:i/>
                <w:sz w:val="24"/>
              </w:rPr>
              <w:t>Circular</w:t>
            </w:r>
            <w:r>
              <w:rPr>
                <w:i/>
                <w:spacing w:val="-5"/>
                <w:sz w:val="24"/>
              </w:rPr>
              <w:t xml:space="preserve"> </w:t>
            </w:r>
            <w:r>
              <w:rPr>
                <w:i/>
                <w:sz w:val="24"/>
              </w:rPr>
              <w:t>Welded</w:t>
            </w:r>
            <w:r>
              <w:rPr>
                <w:i/>
                <w:spacing w:val="-3"/>
                <w:sz w:val="24"/>
              </w:rPr>
              <w:t xml:space="preserve"> </w:t>
            </w:r>
            <w:r>
              <w:rPr>
                <w:i/>
                <w:sz w:val="24"/>
              </w:rPr>
              <w:t>Carbon</w:t>
            </w:r>
            <w:r>
              <w:rPr>
                <w:i/>
                <w:spacing w:val="-3"/>
                <w:sz w:val="24"/>
              </w:rPr>
              <w:t xml:space="preserve"> </w:t>
            </w:r>
            <w:r>
              <w:rPr>
                <w:i/>
                <w:sz w:val="24"/>
              </w:rPr>
              <w:t>Quality</w:t>
            </w:r>
            <w:r>
              <w:rPr>
                <w:i/>
                <w:spacing w:val="-6"/>
                <w:sz w:val="24"/>
              </w:rPr>
              <w:t xml:space="preserve"> </w:t>
            </w:r>
            <w:r>
              <w:rPr>
                <w:i/>
                <w:sz w:val="24"/>
              </w:rPr>
              <w:t>Line</w:t>
            </w:r>
            <w:r>
              <w:rPr>
                <w:i/>
                <w:spacing w:val="-4"/>
                <w:sz w:val="24"/>
              </w:rPr>
              <w:t xml:space="preserve"> </w:t>
            </w:r>
            <w:r>
              <w:rPr>
                <w:i/>
                <w:sz w:val="24"/>
              </w:rPr>
              <w:t>Pipe from Korea</w:t>
            </w:r>
            <w:r>
              <w:rPr>
                <w:sz w:val="24"/>
              </w:rPr>
              <w:t xml:space="preserve">, WT/DS202/AB/R, adopted 8 March 2002, DSR </w:t>
            </w:r>
            <w:proofErr w:type="gramStart"/>
            <w:r>
              <w:rPr>
                <w:sz w:val="24"/>
              </w:rPr>
              <w:t>2002:IV</w:t>
            </w:r>
            <w:proofErr w:type="gramEnd"/>
            <w:r>
              <w:rPr>
                <w:sz w:val="24"/>
              </w:rPr>
              <w:t>, p. 1403</w:t>
            </w:r>
          </w:p>
        </w:tc>
      </w:tr>
      <w:tr w:rsidR="00BF2951" w:rsidRPr="00BF2951" w14:paraId="64A8D709" w14:textId="77777777" w:rsidTr="00BF2951">
        <w:tc>
          <w:tcPr>
            <w:tcW w:w="2943" w:type="dxa"/>
          </w:tcPr>
          <w:p w14:paraId="00177A07" w14:textId="3C4E56BA" w:rsidR="00BF2951" w:rsidRDefault="00BF2951" w:rsidP="00BF2951">
            <w:pPr>
              <w:rPr>
                <w:i/>
                <w:sz w:val="24"/>
              </w:rPr>
            </w:pPr>
            <w:r>
              <w:rPr>
                <w:i/>
                <w:sz w:val="24"/>
              </w:rPr>
              <w:t>US</w:t>
            </w:r>
            <w:r>
              <w:rPr>
                <w:i/>
                <w:spacing w:val="-12"/>
                <w:sz w:val="24"/>
              </w:rPr>
              <w:t xml:space="preserve"> </w:t>
            </w:r>
            <w:r>
              <w:rPr>
                <w:i/>
                <w:sz w:val="24"/>
              </w:rPr>
              <w:t>–</w:t>
            </w:r>
            <w:r>
              <w:rPr>
                <w:i/>
                <w:spacing w:val="-12"/>
                <w:sz w:val="24"/>
              </w:rPr>
              <w:t xml:space="preserve"> </w:t>
            </w:r>
            <w:r>
              <w:rPr>
                <w:i/>
                <w:sz w:val="24"/>
              </w:rPr>
              <w:t>Oil</w:t>
            </w:r>
            <w:r>
              <w:rPr>
                <w:i/>
                <w:spacing w:val="-11"/>
                <w:sz w:val="24"/>
              </w:rPr>
              <w:t xml:space="preserve"> </w:t>
            </w:r>
            <w:r>
              <w:rPr>
                <w:i/>
                <w:sz w:val="24"/>
              </w:rPr>
              <w:t>Country Tubular Goods Sunset Reviews</w:t>
            </w:r>
          </w:p>
        </w:tc>
        <w:tc>
          <w:tcPr>
            <w:tcW w:w="7403" w:type="dxa"/>
          </w:tcPr>
          <w:p w14:paraId="1FB10210" w14:textId="2461EAF9" w:rsidR="00BF2951" w:rsidRDefault="00BF2951" w:rsidP="00BF2951">
            <w:pPr>
              <w:rPr>
                <w:sz w:val="24"/>
              </w:rPr>
            </w:pPr>
            <w:r>
              <w:rPr>
                <w:sz w:val="24"/>
              </w:rPr>
              <w:t>Appellate</w:t>
            </w:r>
            <w:r>
              <w:rPr>
                <w:spacing w:val="-3"/>
                <w:sz w:val="24"/>
              </w:rPr>
              <w:t xml:space="preserve"> </w:t>
            </w:r>
            <w:r>
              <w:rPr>
                <w:sz w:val="24"/>
              </w:rPr>
              <w:t>Body</w:t>
            </w:r>
            <w:r>
              <w:rPr>
                <w:spacing w:val="-2"/>
                <w:sz w:val="24"/>
              </w:rPr>
              <w:t xml:space="preserve"> </w:t>
            </w:r>
            <w:r>
              <w:rPr>
                <w:sz w:val="24"/>
              </w:rPr>
              <w:t>Report,</w:t>
            </w:r>
            <w:r>
              <w:rPr>
                <w:spacing w:val="-1"/>
                <w:sz w:val="24"/>
              </w:rPr>
              <w:t xml:space="preserve"> </w:t>
            </w:r>
            <w:r>
              <w:rPr>
                <w:i/>
                <w:sz w:val="24"/>
              </w:rPr>
              <w:t>United</w:t>
            </w:r>
            <w:r>
              <w:rPr>
                <w:i/>
                <w:spacing w:val="-3"/>
                <w:sz w:val="24"/>
              </w:rPr>
              <w:t xml:space="preserve"> </w:t>
            </w:r>
            <w:r>
              <w:rPr>
                <w:i/>
                <w:sz w:val="24"/>
              </w:rPr>
              <w:t>States</w:t>
            </w:r>
            <w:r>
              <w:rPr>
                <w:i/>
                <w:spacing w:val="-6"/>
                <w:sz w:val="24"/>
              </w:rPr>
              <w:t xml:space="preserve"> </w:t>
            </w:r>
            <w:r>
              <w:rPr>
                <w:i/>
                <w:sz w:val="24"/>
              </w:rPr>
              <w:t>–</w:t>
            </w:r>
            <w:r>
              <w:rPr>
                <w:i/>
                <w:spacing w:val="-3"/>
                <w:sz w:val="24"/>
              </w:rPr>
              <w:t xml:space="preserve"> </w:t>
            </w:r>
            <w:r>
              <w:rPr>
                <w:i/>
                <w:sz w:val="24"/>
              </w:rPr>
              <w:t>Sunset</w:t>
            </w:r>
            <w:r>
              <w:rPr>
                <w:i/>
                <w:spacing w:val="-3"/>
                <w:sz w:val="24"/>
              </w:rPr>
              <w:t xml:space="preserve"> </w:t>
            </w:r>
            <w:r>
              <w:rPr>
                <w:i/>
                <w:sz w:val="24"/>
              </w:rPr>
              <w:t>Reviews</w:t>
            </w:r>
            <w:r>
              <w:rPr>
                <w:i/>
                <w:spacing w:val="-6"/>
                <w:sz w:val="24"/>
              </w:rPr>
              <w:t xml:space="preserve"> </w:t>
            </w:r>
            <w:r>
              <w:rPr>
                <w:i/>
                <w:sz w:val="24"/>
              </w:rPr>
              <w:t>of</w:t>
            </w:r>
            <w:r>
              <w:rPr>
                <w:i/>
                <w:spacing w:val="-5"/>
                <w:sz w:val="24"/>
              </w:rPr>
              <w:t xml:space="preserve"> </w:t>
            </w:r>
            <w:r>
              <w:rPr>
                <w:i/>
                <w:sz w:val="24"/>
              </w:rPr>
              <w:t>Anti- Dumping Measures on Oil Country Tubular Goods from Argentina</w:t>
            </w:r>
            <w:r>
              <w:rPr>
                <w:sz w:val="24"/>
              </w:rPr>
              <w:t xml:space="preserve">, WT/DS268/AB/R, adopted 17 December 2004, DSR </w:t>
            </w:r>
            <w:proofErr w:type="gramStart"/>
            <w:r>
              <w:rPr>
                <w:sz w:val="24"/>
              </w:rPr>
              <w:t>2004:VII</w:t>
            </w:r>
            <w:proofErr w:type="gramEnd"/>
            <w:r>
              <w:rPr>
                <w:sz w:val="24"/>
              </w:rPr>
              <w:t>, p. 3257</w:t>
            </w:r>
          </w:p>
        </w:tc>
      </w:tr>
      <w:tr w:rsidR="00BF2951" w:rsidRPr="00BF2951" w14:paraId="5DCDBABE" w14:textId="77777777" w:rsidTr="00BF2951">
        <w:tc>
          <w:tcPr>
            <w:tcW w:w="2943" w:type="dxa"/>
          </w:tcPr>
          <w:p w14:paraId="497016FE" w14:textId="3881E7DC" w:rsidR="00BF2951" w:rsidRDefault="00BF2951" w:rsidP="00BF2951">
            <w:pPr>
              <w:rPr>
                <w:i/>
                <w:sz w:val="24"/>
              </w:rPr>
            </w:pPr>
            <w:r>
              <w:rPr>
                <w:i/>
                <w:sz w:val="24"/>
              </w:rPr>
              <w:t>US</w:t>
            </w:r>
            <w:r>
              <w:rPr>
                <w:i/>
                <w:spacing w:val="-12"/>
                <w:sz w:val="24"/>
              </w:rPr>
              <w:t xml:space="preserve"> </w:t>
            </w:r>
            <w:r>
              <w:rPr>
                <w:i/>
                <w:sz w:val="24"/>
              </w:rPr>
              <w:t>–</w:t>
            </w:r>
            <w:r>
              <w:rPr>
                <w:i/>
                <w:spacing w:val="-12"/>
                <w:sz w:val="24"/>
              </w:rPr>
              <w:t xml:space="preserve"> </w:t>
            </w:r>
            <w:r>
              <w:rPr>
                <w:i/>
                <w:sz w:val="24"/>
              </w:rPr>
              <w:t>Oil</w:t>
            </w:r>
            <w:r>
              <w:rPr>
                <w:i/>
                <w:spacing w:val="-11"/>
                <w:sz w:val="24"/>
              </w:rPr>
              <w:t xml:space="preserve"> </w:t>
            </w:r>
            <w:r>
              <w:rPr>
                <w:i/>
                <w:sz w:val="24"/>
              </w:rPr>
              <w:t xml:space="preserve">Country Tubular Goods Sunset Reviews (Article 21.5 – </w:t>
            </w:r>
            <w:r>
              <w:rPr>
                <w:i/>
                <w:spacing w:val="-2"/>
                <w:sz w:val="24"/>
              </w:rPr>
              <w:t>Argentina)</w:t>
            </w:r>
          </w:p>
        </w:tc>
        <w:tc>
          <w:tcPr>
            <w:tcW w:w="7403" w:type="dxa"/>
          </w:tcPr>
          <w:p w14:paraId="6C2EE32A" w14:textId="6AA8BEC8" w:rsidR="00BF2951" w:rsidRDefault="00BF2951" w:rsidP="00BF2951">
            <w:pPr>
              <w:rPr>
                <w:sz w:val="24"/>
              </w:rPr>
            </w:pPr>
            <w:r>
              <w:rPr>
                <w:sz w:val="24"/>
              </w:rPr>
              <w:t xml:space="preserve">Appellate Body Report, </w:t>
            </w:r>
            <w:r>
              <w:rPr>
                <w:i/>
                <w:sz w:val="24"/>
              </w:rPr>
              <w:t>United States – Sunset Reviews of Anti- Dumping</w:t>
            </w:r>
            <w:r>
              <w:rPr>
                <w:i/>
                <w:spacing w:val="-4"/>
                <w:sz w:val="24"/>
              </w:rPr>
              <w:t xml:space="preserve"> </w:t>
            </w:r>
            <w:r>
              <w:rPr>
                <w:i/>
                <w:sz w:val="24"/>
              </w:rPr>
              <w:t>Measures</w:t>
            </w:r>
            <w:r>
              <w:rPr>
                <w:i/>
                <w:spacing w:val="-6"/>
                <w:sz w:val="24"/>
              </w:rPr>
              <w:t xml:space="preserve"> </w:t>
            </w:r>
            <w:r>
              <w:rPr>
                <w:i/>
                <w:sz w:val="24"/>
              </w:rPr>
              <w:t>on</w:t>
            </w:r>
            <w:r>
              <w:rPr>
                <w:i/>
                <w:spacing w:val="-4"/>
                <w:sz w:val="24"/>
              </w:rPr>
              <w:t xml:space="preserve"> </w:t>
            </w:r>
            <w:r>
              <w:rPr>
                <w:i/>
                <w:sz w:val="24"/>
              </w:rPr>
              <w:t>Oil</w:t>
            </w:r>
            <w:r>
              <w:rPr>
                <w:i/>
                <w:spacing w:val="-2"/>
                <w:sz w:val="24"/>
              </w:rPr>
              <w:t xml:space="preserve"> </w:t>
            </w:r>
            <w:r>
              <w:rPr>
                <w:i/>
                <w:sz w:val="24"/>
              </w:rPr>
              <w:t>Country</w:t>
            </w:r>
            <w:r>
              <w:rPr>
                <w:i/>
                <w:spacing w:val="-6"/>
                <w:sz w:val="24"/>
              </w:rPr>
              <w:t xml:space="preserve"> </w:t>
            </w:r>
            <w:r>
              <w:rPr>
                <w:i/>
                <w:sz w:val="24"/>
              </w:rPr>
              <w:t>Tubular</w:t>
            </w:r>
            <w:r>
              <w:rPr>
                <w:i/>
                <w:spacing w:val="-6"/>
                <w:sz w:val="24"/>
              </w:rPr>
              <w:t xml:space="preserve"> </w:t>
            </w:r>
            <w:r>
              <w:rPr>
                <w:i/>
                <w:sz w:val="24"/>
              </w:rPr>
              <w:t>Goods</w:t>
            </w:r>
            <w:r>
              <w:rPr>
                <w:i/>
                <w:spacing w:val="-6"/>
                <w:sz w:val="24"/>
              </w:rPr>
              <w:t xml:space="preserve"> </w:t>
            </w:r>
            <w:r>
              <w:rPr>
                <w:i/>
                <w:sz w:val="24"/>
              </w:rPr>
              <w:t>from</w:t>
            </w:r>
            <w:r>
              <w:rPr>
                <w:i/>
                <w:spacing w:val="-3"/>
                <w:sz w:val="24"/>
              </w:rPr>
              <w:t xml:space="preserve"> </w:t>
            </w:r>
            <w:r>
              <w:rPr>
                <w:i/>
                <w:sz w:val="24"/>
              </w:rPr>
              <w:t>Argentina – Recourse to Article 21.5 of the DSU by Argentina</w:t>
            </w:r>
            <w:r>
              <w:rPr>
                <w:sz w:val="24"/>
              </w:rPr>
              <w:t xml:space="preserve">, WT/DS268/AB/RW, adopted 11 May 2007, DSR </w:t>
            </w:r>
            <w:proofErr w:type="gramStart"/>
            <w:r>
              <w:rPr>
                <w:sz w:val="24"/>
              </w:rPr>
              <w:t>2007:IX</w:t>
            </w:r>
            <w:proofErr w:type="gramEnd"/>
            <w:r>
              <w:rPr>
                <w:sz w:val="24"/>
              </w:rPr>
              <w:t>, p. 3523</w:t>
            </w:r>
          </w:p>
        </w:tc>
      </w:tr>
      <w:tr w:rsidR="00BF2951" w:rsidRPr="00BF2951" w14:paraId="7887D7E0" w14:textId="77777777" w:rsidTr="00BF2951">
        <w:tc>
          <w:tcPr>
            <w:tcW w:w="2943" w:type="dxa"/>
          </w:tcPr>
          <w:p w14:paraId="50B6B8E2" w14:textId="0E71955A" w:rsidR="00BF2951" w:rsidRDefault="00BF2951" w:rsidP="00BF2951">
            <w:pPr>
              <w:rPr>
                <w:i/>
                <w:sz w:val="24"/>
              </w:rPr>
            </w:pPr>
            <w:r>
              <w:rPr>
                <w:i/>
                <w:sz w:val="24"/>
              </w:rPr>
              <w:t>US – Softwood Lumber</w:t>
            </w:r>
            <w:r>
              <w:rPr>
                <w:i/>
                <w:spacing w:val="-14"/>
                <w:sz w:val="24"/>
              </w:rPr>
              <w:t xml:space="preserve"> </w:t>
            </w:r>
            <w:r>
              <w:rPr>
                <w:i/>
                <w:sz w:val="24"/>
              </w:rPr>
              <w:t>V</w:t>
            </w:r>
            <w:r>
              <w:rPr>
                <w:i/>
                <w:spacing w:val="-14"/>
                <w:sz w:val="24"/>
              </w:rPr>
              <w:t xml:space="preserve"> </w:t>
            </w:r>
            <w:r>
              <w:rPr>
                <w:i/>
                <w:sz w:val="24"/>
              </w:rPr>
              <w:t>(Article 21.5 – Canada)</w:t>
            </w:r>
          </w:p>
        </w:tc>
        <w:tc>
          <w:tcPr>
            <w:tcW w:w="7403" w:type="dxa"/>
          </w:tcPr>
          <w:p w14:paraId="0CDF95F0" w14:textId="367B639B" w:rsidR="00BF2951" w:rsidRDefault="00BF2951" w:rsidP="00BF2951">
            <w:pPr>
              <w:rPr>
                <w:sz w:val="24"/>
              </w:rPr>
            </w:pPr>
            <w:r>
              <w:rPr>
                <w:sz w:val="24"/>
              </w:rPr>
              <w:t xml:space="preserve">Appellate Body Report, </w:t>
            </w:r>
            <w:r>
              <w:rPr>
                <w:i/>
                <w:sz w:val="24"/>
              </w:rPr>
              <w:t>United States – Final Dumping Determination on Softwood Lumber from Canada – Recourse to Article</w:t>
            </w:r>
            <w:r>
              <w:rPr>
                <w:i/>
                <w:spacing w:val="-3"/>
                <w:sz w:val="24"/>
              </w:rPr>
              <w:t xml:space="preserve"> </w:t>
            </w:r>
            <w:r>
              <w:rPr>
                <w:i/>
                <w:sz w:val="24"/>
              </w:rPr>
              <w:t>21.5</w:t>
            </w:r>
            <w:r>
              <w:rPr>
                <w:i/>
                <w:spacing w:val="-6"/>
                <w:sz w:val="24"/>
              </w:rPr>
              <w:t xml:space="preserve"> </w:t>
            </w:r>
            <w:r>
              <w:rPr>
                <w:i/>
                <w:sz w:val="24"/>
              </w:rPr>
              <w:t>of</w:t>
            </w:r>
            <w:r>
              <w:rPr>
                <w:i/>
                <w:spacing w:val="-5"/>
                <w:sz w:val="24"/>
              </w:rPr>
              <w:t xml:space="preserve"> </w:t>
            </w:r>
            <w:r>
              <w:rPr>
                <w:i/>
                <w:sz w:val="24"/>
              </w:rPr>
              <w:t>the</w:t>
            </w:r>
            <w:r>
              <w:rPr>
                <w:i/>
                <w:spacing w:val="-4"/>
                <w:sz w:val="24"/>
              </w:rPr>
              <w:t xml:space="preserve"> </w:t>
            </w:r>
            <w:r>
              <w:rPr>
                <w:i/>
                <w:sz w:val="24"/>
              </w:rPr>
              <w:t>DSU</w:t>
            </w:r>
            <w:r>
              <w:rPr>
                <w:i/>
                <w:spacing w:val="-4"/>
                <w:sz w:val="24"/>
              </w:rPr>
              <w:t xml:space="preserve"> </w:t>
            </w:r>
            <w:r>
              <w:rPr>
                <w:i/>
                <w:sz w:val="24"/>
              </w:rPr>
              <w:t>by</w:t>
            </w:r>
            <w:r>
              <w:rPr>
                <w:i/>
                <w:spacing w:val="-6"/>
                <w:sz w:val="24"/>
              </w:rPr>
              <w:t xml:space="preserve"> </w:t>
            </w:r>
            <w:r>
              <w:rPr>
                <w:i/>
                <w:sz w:val="24"/>
              </w:rPr>
              <w:t>Canada</w:t>
            </w:r>
            <w:r>
              <w:rPr>
                <w:sz w:val="24"/>
              </w:rPr>
              <w:t>,</w:t>
            </w:r>
            <w:r>
              <w:rPr>
                <w:spacing w:val="-6"/>
                <w:sz w:val="24"/>
              </w:rPr>
              <w:t xml:space="preserve"> </w:t>
            </w:r>
            <w:r>
              <w:rPr>
                <w:sz w:val="24"/>
              </w:rPr>
              <w:t>WT/DS264/AB/RW,</w:t>
            </w:r>
            <w:r>
              <w:rPr>
                <w:spacing w:val="-1"/>
                <w:sz w:val="24"/>
              </w:rPr>
              <w:t xml:space="preserve"> </w:t>
            </w:r>
            <w:r>
              <w:rPr>
                <w:sz w:val="24"/>
              </w:rPr>
              <w:t>adopted</w:t>
            </w:r>
            <w:r>
              <w:rPr>
                <w:spacing w:val="-5"/>
                <w:sz w:val="24"/>
              </w:rPr>
              <w:t xml:space="preserve"> </w:t>
            </w:r>
            <w:r>
              <w:rPr>
                <w:sz w:val="24"/>
              </w:rPr>
              <w:t xml:space="preserve">1 September 2006, DSR </w:t>
            </w:r>
            <w:proofErr w:type="gramStart"/>
            <w:r>
              <w:rPr>
                <w:sz w:val="24"/>
              </w:rPr>
              <w:t>2006:XII</w:t>
            </w:r>
            <w:proofErr w:type="gramEnd"/>
            <w:r>
              <w:rPr>
                <w:sz w:val="24"/>
              </w:rPr>
              <w:t>, p. 5087</w:t>
            </w:r>
          </w:p>
        </w:tc>
      </w:tr>
      <w:tr w:rsidR="00BF2951" w:rsidRPr="00BF2951" w14:paraId="474EB5B9" w14:textId="77777777" w:rsidTr="00BF2951">
        <w:tc>
          <w:tcPr>
            <w:tcW w:w="2943" w:type="dxa"/>
          </w:tcPr>
          <w:p w14:paraId="60994357" w14:textId="319E5B8A" w:rsidR="00BF2951" w:rsidRDefault="00BF2951" w:rsidP="00BF2951">
            <w:pPr>
              <w:rPr>
                <w:i/>
                <w:sz w:val="24"/>
              </w:rPr>
            </w:pPr>
            <w:r>
              <w:rPr>
                <w:i/>
                <w:sz w:val="24"/>
              </w:rPr>
              <w:t>US</w:t>
            </w:r>
            <w:r>
              <w:rPr>
                <w:i/>
                <w:spacing w:val="-14"/>
                <w:sz w:val="24"/>
              </w:rPr>
              <w:t xml:space="preserve"> </w:t>
            </w:r>
            <w:r>
              <w:rPr>
                <w:i/>
                <w:sz w:val="24"/>
              </w:rPr>
              <w:t>–</w:t>
            </w:r>
            <w:r>
              <w:rPr>
                <w:i/>
                <w:spacing w:val="-14"/>
                <w:sz w:val="24"/>
              </w:rPr>
              <w:t xml:space="preserve"> </w:t>
            </w:r>
            <w:r>
              <w:rPr>
                <w:i/>
                <w:sz w:val="24"/>
              </w:rPr>
              <w:t>Softwood Lumber VI</w:t>
            </w:r>
          </w:p>
        </w:tc>
        <w:tc>
          <w:tcPr>
            <w:tcW w:w="7403" w:type="dxa"/>
          </w:tcPr>
          <w:p w14:paraId="72B93C64" w14:textId="232A951A" w:rsidR="00BF2951" w:rsidRDefault="00BF2951" w:rsidP="00BF2951">
            <w:pPr>
              <w:rPr>
                <w:sz w:val="24"/>
              </w:rPr>
            </w:pPr>
            <w:r>
              <w:rPr>
                <w:sz w:val="24"/>
              </w:rPr>
              <w:t>Panel</w:t>
            </w:r>
            <w:r>
              <w:rPr>
                <w:spacing w:val="-2"/>
                <w:sz w:val="24"/>
              </w:rPr>
              <w:t xml:space="preserve"> </w:t>
            </w:r>
            <w:r>
              <w:rPr>
                <w:sz w:val="24"/>
              </w:rPr>
              <w:t>Report,</w:t>
            </w:r>
            <w:r>
              <w:rPr>
                <w:spacing w:val="-2"/>
                <w:sz w:val="24"/>
              </w:rPr>
              <w:t xml:space="preserve"> </w:t>
            </w:r>
            <w:r>
              <w:rPr>
                <w:i/>
                <w:sz w:val="24"/>
              </w:rPr>
              <w:t>United</w:t>
            </w:r>
            <w:r>
              <w:rPr>
                <w:i/>
                <w:spacing w:val="-4"/>
                <w:sz w:val="24"/>
              </w:rPr>
              <w:t xml:space="preserve"> </w:t>
            </w:r>
            <w:r>
              <w:rPr>
                <w:i/>
                <w:sz w:val="24"/>
              </w:rPr>
              <w:t>States</w:t>
            </w:r>
            <w:r>
              <w:rPr>
                <w:i/>
                <w:spacing w:val="-7"/>
                <w:sz w:val="24"/>
              </w:rPr>
              <w:t xml:space="preserve"> </w:t>
            </w:r>
            <w:r>
              <w:rPr>
                <w:i/>
                <w:sz w:val="24"/>
              </w:rPr>
              <w:t>–</w:t>
            </w:r>
            <w:r>
              <w:rPr>
                <w:i/>
                <w:spacing w:val="-4"/>
                <w:sz w:val="24"/>
              </w:rPr>
              <w:t xml:space="preserve"> </w:t>
            </w:r>
            <w:r>
              <w:rPr>
                <w:i/>
                <w:sz w:val="24"/>
              </w:rPr>
              <w:t>Investigation</w:t>
            </w:r>
            <w:r>
              <w:rPr>
                <w:i/>
                <w:spacing w:val="-4"/>
                <w:sz w:val="24"/>
              </w:rPr>
              <w:t xml:space="preserve"> </w:t>
            </w:r>
            <w:r>
              <w:rPr>
                <w:i/>
                <w:sz w:val="24"/>
              </w:rPr>
              <w:t>of</w:t>
            </w:r>
            <w:r>
              <w:rPr>
                <w:i/>
                <w:spacing w:val="-6"/>
                <w:sz w:val="24"/>
              </w:rPr>
              <w:t xml:space="preserve"> </w:t>
            </w:r>
            <w:r>
              <w:rPr>
                <w:i/>
                <w:sz w:val="24"/>
              </w:rPr>
              <w:t>the</w:t>
            </w:r>
            <w:r>
              <w:rPr>
                <w:i/>
                <w:spacing w:val="-5"/>
                <w:sz w:val="24"/>
              </w:rPr>
              <w:t xml:space="preserve"> </w:t>
            </w:r>
            <w:r>
              <w:rPr>
                <w:i/>
                <w:sz w:val="24"/>
              </w:rPr>
              <w:t>International Trade Commission in Softwood Lumber from Canada</w:t>
            </w:r>
            <w:r>
              <w:rPr>
                <w:sz w:val="24"/>
              </w:rPr>
              <w:t xml:space="preserve">, WT/DS277/R, adopted </w:t>
            </w:r>
            <w:r>
              <w:rPr>
                <w:sz w:val="24"/>
              </w:rPr>
              <w:lastRenderedPageBreak/>
              <w:t>26 April 2004, DSR 2004:VI, p. 2485</w:t>
            </w:r>
          </w:p>
        </w:tc>
      </w:tr>
      <w:tr w:rsidR="00BF2951" w:rsidRPr="00BF2951" w14:paraId="76EA0CDC" w14:textId="77777777" w:rsidTr="00BF2951">
        <w:tc>
          <w:tcPr>
            <w:tcW w:w="2943" w:type="dxa"/>
          </w:tcPr>
          <w:p w14:paraId="14BBE166" w14:textId="0BFC52B4" w:rsidR="00BF2951" w:rsidRDefault="00BF2951" w:rsidP="00BF2951">
            <w:pPr>
              <w:rPr>
                <w:i/>
                <w:sz w:val="24"/>
              </w:rPr>
            </w:pPr>
            <w:r>
              <w:rPr>
                <w:i/>
                <w:sz w:val="24"/>
              </w:rPr>
              <w:lastRenderedPageBreak/>
              <w:t>US</w:t>
            </w:r>
            <w:r>
              <w:rPr>
                <w:i/>
                <w:spacing w:val="-10"/>
                <w:sz w:val="24"/>
              </w:rPr>
              <w:t xml:space="preserve"> </w:t>
            </w:r>
            <w:r>
              <w:rPr>
                <w:i/>
                <w:sz w:val="24"/>
              </w:rPr>
              <w:t>–</w:t>
            </w:r>
            <w:r>
              <w:rPr>
                <w:i/>
                <w:spacing w:val="-11"/>
                <w:sz w:val="24"/>
              </w:rPr>
              <w:t xml:space="preserve"> </w:t>
            </w:r>
            <w:r>
              <w:rPr>
                <w:i/>
                <w:sz w:val="24"/>
              </w:rPr>
              <w:t>Stainless</w:t>
            </w:r>
            <w:r>
              <w:rPr>
                <w:i/>
                <w:spacing w:val="-14"/>
                <w:sz w:val="24"/>
              </w:rPr>
              <w:t xml:space="preserve"> </w:t>
            </w:r>
            <w:r>
              <w:rPr>
                <w:i/>
                <w:sz w:val="24"/>
              </w:rPr>
              <w:t xml:space="preserve">Steel </w:t>
            </w:r>
            <w:r>
              <w:rPr>
                <w:i/>
                <w:spacing w:val="-2"/>
                <w:sz w:val="24"/>
              </w:rPr>
              <w:t>(Korea)</w:t>
            </w:r>
          </w:p>
        </w:tc>
        <w:tc>
          <w:tcPr>
            <w:tcW w:w="7403" w:type="dxa"/>
          </w:tcPr>
          <w:p w14:paraId="06C2B6C3" w14:textId="69FD83C0" w:rsidR="00BF2951" w:rsidRDefault="00BF2951" w:rsidP="00BF2951">
            <w:pPr>
              <w:rPr>
                <w:sz w:val="24"/>
              </w:rPr>
            </w:pPr>
            <w:r>
              <w:rPr>
                <w:sz w:val="24"/>
              </w:rPr>
              <w:t xml:space="preserve">Panel Report, </w:t>
            </w:r>
            <w:r>
              <w:rPr>
                <w:i/>
                <w:sz w:val="24"/>
              </w:rPr>
              <w:t>United States – Anti-Dumping Measures on Stainless</w:t>
            </w:r>
            <w:r>
              <w:rPr>
                <w:i/>
                <w:spacing w:val="-6"/>
                <w:sz w:val="24"/>
              </w:rPr>
              <w:t xml:space="preserve"> </w:t>
            </w:r>
            <w:r>
              <w:rPr>
                <w:i/>
                <w:sz w:val="24"/>
              </w:rPr>
              <w:t>Steel</w:t>
            </w:r>
            <w:r>
              <w:rPr>
                <w:i/>
                <w:spacing w:val="-1"/>
                <w:sz w:val="24"/>
              </w:rPr>
              <w:t xml:space="preserve"> </w:t>
            </w:r>
            <w:r>
              <w:rPr>
                <w:i/>
                <w:sz w:val="24"/>
              </w:rPr>
              <w:t>Plate</w:t>
            </w:r>
            <w:r>
              <w:rPr>
                <w:i/>
                <w:spacing w:val="-3"/>
                <w:sz w:val="24"/>
              </w:rPr>
              <w:t xml:space="preserve"> </w:t>
            </w:r>
            <w:r>
              <w:rPr>
                <w:i/>
                <w:sz w:val="24"/>
              </w:rPr>
              <w:t>in</w:t>
            </w:r>
            <w:r>
              <w:rPr>
                <w:i/>
                <w:spacing w:val="-3"/>
                <w:sz w:val="24"/>
              </w:rPr>
              <w:t xml:space="preserve"> </w:t>
            </w:r>
            <w:r>
              <w:rPr>
                <w:i/>
                <w:sz w:val="24"/>
              </w:rPr>
              <w:t>Coils</w:t>
            </w:r>
            <w:r>
              <w:rPr>
                <w:i/>
                <w:spacing w:val="-6"/>
                <w:sz w:val="24"/>
              </w:rPr>
              <w:t xml:space="preserve"> </w:t>
            </w:r>
            <w:r>
              <w:rPr>
                <w:i/>
                <w:sz w:val="24"/>
              </w:rPr>
              <w:t>and</w:t>
            </w:r>
            <w:r>
              <w:rPr>
                <w:i/>
                <w:spacing w:val="-3"/>
                <w:sz w:val="24"/>
              </w:rPr>
              <w:t xml:space="preserve"> </w:t>
            </w:r>
            <w:r>
              <w:rPr>
                <w:i/>
                <w:sz w:val="24"/>
              </w:rPr>
              <w:t>Stainless</w:t>
            </w:r>
            <w:r>
              <w:rPr>
                <w:i/>
                <w:spacing w:val="-6"/>
                <w:sz w:val="24"/>
              </w:rPr>
              <w:t xml:space="preserve"> </w:t>
            </w:r>
            <w:r>
              <w:rPr>
                <w:i/>
                <w:sz w:val="24"/>
              </w:rPr>
              <w:t>Steel</w:t>
            </w:r>
            <w:r>
              <w:rPr>
                <w:i/>
                <w:spacing w:val="-1"/>
                <w:sz w:val="24"/>
              </w:rPr>
              <w:t xml:space="preserve"> </w:t>
            </w:r>
            <w:r>
              <w:rPr>
                <w:i/>
                <w:sz w:val="24"/>
              </w:rPr>
              <w:t>Sheet</w:t>
            </w:r>
            <w:r>
              <w:rPr>
                <w:i/>
                <w:spacing w:val="-3"/>
                <w:sz w:val="24"/>
              </w:rPr>
              <w:t xml:space="preserve"> </w:t>
            </w:r>
            <w:r>
              <w:rPr>
                <w:i/>
                <w:sz w:val="24"/>
              </w:rPr>
              <w:t>and</w:t>
            </w:r>
            <w:r>
              <w:rPr>
                <w:i/>
                <w:spacing w:val="-3"/>
                <w:sz w:val="24"/>
              </w:rPr>
              <w:t xml:space="preserve"> </w:t>
            </w:r>
            <w:r>
              <w:rPr>
                <w:i/>
                <w:sz w:val="24"/>
              </w:rPr>
              <w:t>Strip from Korea</w:t>
            </w:r>
            <w:r>
              <w:rPr>
                <w:sz w:val="24"/>
              </w:rPr>
              <w:t xml:space="preserve">, WT/DS179/R, adopted 1 February 2001, DSR </w:t>
            </w:r>
            <w:proofErr w:type="gramStart"/>
            <w:r>
              <w:rPr>
                <w:sz w:val="24"/>
              </w:rPr>
              <w:t>2001:IV</w:t>
            </w:r>
            <w:proofErr w:type="gramEnd"/>
            <w:r>
              <w:rPr>
                <w:sz w:val="24"/>
              </w:rPr>
              <w:t>, p. 1295</w:t>
            </w:r>
          </w:p>
        </w:tc>
      </w:tr>
      <w:tr w:rsidR="00BF2951" w:rsidRPr="00BF2951" w14:paraId="6DE6FC6F" w14:textId="77777777" w:rsidTr="00BF2951">
        <w:tc>
          <w:tcPr>
            <w:tcW w:w="2943" w:type="dxa"/>
          </w:tcPr>
          <w:p w14:paraId="053DE0D1" w14:textId="516F1E7E" w:rsidR="00BF2951" w:rsidRDefault="00BF2951" w:rsidP="00BF2951">
            <w:pPr>
              <w:rPr>
                <w:i/>
                <w:sz w:val="24"/>
              </w:rPr>
            </w:pPr>
            <w:r>
              <w:rPr>
                <w:i/>
                <w:sz w:val="24"/>
              </w:rPr>
              <w:t>US</w:t>
            </w:r>
            <w:r>
              <w:rPr>
                <w:i/>
                <w:spacing w:val="-2"/>
                <w:sz w:val="24"/>
              </w:rPr>
              <w:t xml:space="preserve"> </w:t>
            </w:r>
            <w:r>
              <w:rPr>
                <w:i/>
                <w:sz w:val="24"/>
              </w:rPr>
              <w:t>–</w:t>
            </w:r>
            <w:r>
              <w:rPr>
                <w:i/>
                <w:spacing w:val="-1"/>
                <w:sz w:val="24"/>
              </w:rPr>
              <w:t xml:space="preserve"> </w:t>
            </w:r>
            <w:r>
              <w:rPr>
                <w:i/>
                <w:sz w:val="24"/>
              </w:rPr>
              <w:t>Steel</w:t>
            </w:r>
            <w:r>
              <w:rPr>
                <w:i/>
                <w:spacing w:val="2"/>
                <w:sz w:val="24"/>
              </w:rPr>
              <w:t xml:space="preserve"> </w:t>
            </w:r>
            <w:r>
              <w:rPr>
                <w:i/>
                <w:spacing w:val="-2"/>
                <w:sz w:val="24"/>
              </w:rPr>
              <w:t>Plate</w:t>
            </w:r>
          </w:p>
        </w:tc>
        <w:tc>
          <w:tcPr>
            <w:tcW w:w="7403" w:type="dxa"/>
          </w:tcPr>
          <w:p w14:paraId="31E65F69" w14:textId="2EF19E78" w:rsidR="00BF2951" w:rsidRDefault="00BF2951" w:rsidP="00BF2951">
            <w:pPr>
              <w:rPr>
                <w:sz w:val="24"/>
              </w:rPr>
            </w:pPr>
            <w:r>
              <w:rPr>
                <w:sz w:val="24"/>
              </w:rPr>
              <w:t>Panel</w:t>
            </w:r>
            <w:r>
              <w:rPr>
                <w:spacing w:val="-4"/>
                <w:sz w:val="24"/>
              </w:rPr>
              <w:t xml:space="preserve"> </w:t>
            </w:r>
            <w:r>
              <w:rPr>
                <w:sz w:val="24"/>
              </w:rPr>
              <w:t>Report,</w:t>
            </w:r>
            <w:r>
              <w:rPr>
                <w:spacing w:val="-4"/>
                <w:sz w:val="24"/>
              </w:rPr>
              <w:t xml:space="preserve"> </w:t>
            </w:r>
            <w:r>
              <w:rPr>
                <w:i/>
                <w:sz w:val="24"/>
              </w:rPr>
              <w:t>United</w:t>
            </w:r>
            <w:r>
              <w:rPr>
                <w:i/>
                <w:spacing w:val="-5"/>
                <w:sz w:val="24"/>
              </w:rPr>
              <w:t xml:space="preserve"> </w:t>
            </w:r>
            <w:r>
              <w:rPr>
                <w:i/>
                <w:sz w:val="24"/>
              </w:rPr>
              <w:t>States</w:t>
            </w:r>
            <w:r>
              <w:rPr>
                <w:i/>
                <w:spacing w:val="-8"/>
                <w:sz w:val="24"/>
              </w:rPr>
              <w:t xml:space="preserve"> </w:t>
            </w:r>
            <w:r>
              <w:rPr>
                <w:i/>
                <w:sz w:val="24"/>
              </w:rPr>
              <w:t>–</w:t>
            </w:r>
            <w:r>
              <w:rPr>
                <w:i/>
                <w:spacing w:val="-5"/>
                <w:sz w:val="24"/>
              </w:rPr>
              <w:t xml:space="preserve"> </w:t>
            </w:r>
            <w:r>
              <w:rPr>
                <w:i/>
                <w:sz w:val="24"/>
              </w:rPr>
              <w:t>Anti-Dumping</w:t>
            </w:r>
            <w:r>
              <w:rPr>
                <w:i/>
                <w:spacing w:val="-5"/>
                <w:sz w:val="24"/>
              </w:rPr>
              <w:t xml:space="preserve"> </w:t>
            </w:r>
            <w:r>
              <w:rPr>
                <w:i/>
                <w:sz w:val="24"/>
              </w:rPr>
              <w:t>and</w:t>
            </w:r>
            <w:r>
              <w:rPr>
                <w:i/>
                <w:spacing w:val="-5"/>
                <w:sz w:val="24"/>
              </w:rPr>
              <w:t xml:space="preserve"> </w:t>
            </w:r>
            <w:r>
              <w:rPr>
                <w:i/>
                <w:sz w:val="24"/>
              </w:rPr>
              <w:t>Countervailing Measures on Steel Plate from India</w:t>
            </w:r>
            <w:r>
              <w:rPr>
                <w:sz w:val="24"/>
              </w:rPr>
              <w:t>, WT/DS206/R and Corr.1, adopted 29 July 2002, DSR 2002:VI, p. 2073</w:t>
            </w:r>
          </w:p>
        </w:tc>
      </w:tr>
      <w:tr w:rsidR="00BF2951" w:rsidRPr="00BF2951" w14:paraId="1AACE549" w14:textId="77777777" w:rsidTr="00BF2951">
        <w:tc>
          <w:tcPr>
            <w:tcW w:w="2943" w:type="dxa"/>
          </w:tcPr>
          <w:p w14:paraId="75E4DA16" w14:textId="77777777" w:rsidR="00BF2951" w:rsidRDefault="00BF2951" w:rsidP="00BF2951">
            <w:pPr>
              <w:pStyle w:val="TableParagraph"/>
              <w:spacing w:before="40"/>
              <w:rPr>
                <w:i/>
                <w:sz w:val="24"/>
              </w:rPr>
            </w:pPr>
            <w:r>
              <w:rPr>
                <w:i/>
                <w:sz w:val="24"/>
              </w:rPr>
              <w:t>US</w:t>
            </w:r>
            <w:r>
              <w:rPr>
                <w:i/>
                <w:spacing w:val="-1"/>
                <w:sz w:val="24"/>
              </w:rPr>
              <w:t xml:space="preserve"> </w:t>
            </w:r>
            <w:r>
              <w:rPr>
                <w:i/>
                <w:spacing w:val="-10"/>
                <w:sz w:val="24"/>
              </w:rPr>
              <w:t>–</w:t>
            </w:r>
          </w:p>
          <w:p w14:paraId="0D09E327" w14:textId="678F8383" w:rsidR="00BF2951" w:rsidRDefault="00BF2951" w:rsidP="00BF2951">
            <w:pPr>
              <w:rPr>
                <w:i/>
                <w:sz w:val="24"/>
              </w:rPr>
            </w:pPr>
            <w:r>
              <w:rPr>
                <w:i/>
                <w:spacing w:val="-2"/>
                <w:sz w:val="24"/>
              </w:rPr>
              <w:t xml:space="preserve">Supercalendered </w:t>
            </w:r>
            <w:r>
              <w:rPr>
                <w:i/>
                <w:spacing w:val="-4"/>
                <w:sz w:val="24"/>
              </w:rPr>
              <w:t>Paper</w:t>
            </w:r>
          </w:p>
        </w:tc>
        <w:tc>
          <w:tcPr>
            <w:tcW w:w="7403" w:type="dxa"/>
          </w:tcPr>
          <w:p w14:paraId="4F5C1560" w14:textId="07B52CCF" w:rsidR="00BF2951" w:rsidRDefault="00BF2951" w:rsidP="00BF2951">
            <w:pPr>
              <w:rPr>
                <w:sz w:val="24"/>
              </w:rPr>
            </w:pPr>
            <w:r>
              <w:rPr>
                <w:sz w:val="24"/>
              </w:rPr>
              <w:t>Appellate</w:t>
            </w:r>
            <w:r>
              <w:rPr>
                <w:spacing w:val="-6"/>
                <w:sz w:val="24"/>
              </w:rPr>
              <w:t xml:space="preserve"> </w:t>
            </w:r>
            <w:r>
              <w:rPr>
                <w:sz w:val="24"/>
              </w:rPr>
              <w:t>Body</w:t>
            </w:r>
            <w:r>
              <w:rPr>
                <w:spacing w:val="-5"/>
                <w:sz w:val="24"/>
              </w:rPr>
              <w:t xml:space="preserve"> </w:t>
            </w:r>
            <w:r>
              <w:rPr>
                <w:sz w:val="24"/>
              </w:rPr>
              <w:t>Report,</w:t>
            </w:r>
            <w:r>
              <w:rPr>
                <w:spacing w:val="-4"/>
                <w:sz w:val="24"/>
              </w:rPr>
              <w:t xml:space="preserve"> </w:t>
            </w:r>
            <w:r>
              <w:rPr>
                <w:i/>
                <w:sz w:val="24"/>
              </w:rPr>
              <w:t>United</w:t>
            </w:r>
            <w:r>
              <w:rPr>
                <w:i/>
                <w:spacing w:val="-6"/>
                <w:sz w:val="24"/>
              </w:rPr>
              <w:t xml:space="preserve"> </w:t>
            </w:r>
            <w:r>
              <w:rPr>
                <w:i/>
                <w:sz w:val="24"/>
              </w:rPr>
              <w:t>States</w:t>
            </w:r>
            <w:r>
              <w:rPr>
                <w:i/>
                <w:spacing w:val="-8"/>
                <w:sz w:val="24"/>
              </w:rPr>
              <w:t xml:space="preserve"> </w:t>
            </w:r>
            <w:r>
              <w:rPr>
                <w:i/>
                <w:sz w:val="24"/>
              </w:rPr>
              <w:t>–</w:t>
            </w:r>
            <w:r>
              <w:rPr>
                <w:i/>
                <w:spacing w:val="-6"/>
                <w:sz w:val="24"/>
              </w:rPr>
              <w:t xml:space="preserve"> </w:t>
            </w:r>
            <w:r>
              <w:rPr>
                <w:i/>
                <w:sz w:val="24"/>
              </w:rPr>
              <w:t>Countervailing</w:t>
            </w:r>
            <w:r>
              <w:rPr>
                <w:i/>
                <w:spacing w:val="-6"/>
                <w:sz w:val="24"/>
              </w:rPr>
              <w:t xml:space="preserve"> </w:t>
            </w:r>
            <w:r>
              <w:rPr>
                <w:i/>
                <w:sz w:val="24"/>
              </w:rPr>
              <w:t>Measures on Supercalendered Paper from Canada</w:t>
            </w:r>
            <w:r>
              <w:rPr>
                <w:sz w:val="24"/>
              </w:rPr>
              <w:t>, WT/DS505/AB/R and Add.1, adopted 5 March 2020</w:t>
            </w:r>
          </w:p>
        </w:tc>
      </w:tr>
      <w:tr w:rsidR="00BF2951" w:rsidRPr="00BF2951" w14:paraId="7AE6CBE8" w14:textId="77777777" w:rsidTr="00BF2951">
        <w:tc>
          <w:tcPr>
            <w:tcW w:w="2943" w:type="dxa"/>
          </w:tcPr>
          <w:p w14:paraId="54B4CF1F" w14:textId="03296B5C" w:rsidR="00BF2951" w:rsidRDefault="00BF2951" w:rsidP="00BF2951">
            <w:pPr>
              <w:pStyle w:val="TableParagraph"/>
              <w:spacing w:before="40"/>
              <w:rPr>
                <w:i/>
                <w:sz w:val="24"/>
              </w:rPr>
            </w:pPr>
            <w:r>
              <w:rPr>
                <w:i/>
                <w:sz w:val="24"/>
              </w:rPr>
              <w:t>US</w:t>
            </w:r>
            <w:r>
              <w:rPr>
                <w:i/>
                <w:spacing w:val="1"/>
                <w:sz w:val="24"/>
              </w:rPr>
              <w:t xml:space="preserve"> </w:t>
            </w:r>
            <w:r>
              <w:rPr>
                <w:i/>
                <w:sz w:val="24"/>
              </w:rPr>
              <w:t xml:space="preserve">– Wheat </w:t>
            </w:r>
            <w:r>
              <w:rPr>
                <w:i/>
                <w:spacing w:val="-2"/>
                <w:sz w:val="24"/>
              </w:rPr>
              <w:t>Gluten</w:t>
            </w:r>
          </w:p>
        </w:tc>
        <w:tc>
          <w:tcPr>
            <w:tcW w:w="7403" w:type="dxa"/>
          </w:tcPr>
          <w:p w14:paraId="377ABE64" w14:textId="6708676F" w:rsidR="00BF2951" w:rsidRDefault="00BF2951" w:rsidP="00BF2951">
            <w:pPr>
              <w:rPr>
                <w:sz w:val="24"/>
              </w:rPr>
            </w:pPr>
            <w:r>
              <w:rPr>
                <w:sz w:val="24"/>
              </w:rPr>
              <w:t xml:space="preserve">Appellate Body Report, </w:t>
            </w:r>
            <w:r>
              <w:rPr>
                <w:i/>
                <w:sz w:val="24"/>
              </w:rPr>
              <w:t>United States – Definitive Safeguard Measures on Imports of Wheat Gluten from the European Communities,</w:t>
            </w:r>
            <w:r>
              <w:rPr>
                <w:i/>
                <w:spacing w:val="-7"/>
                <w:sz w:val="24"/>
              </w:rPr>
              <w:t xml:space="preserve"> </w:t>
            </w:r>
            <w:r>
              <w:rPr>
                <w:sz w:val="24"/>
              </w:rPr>
              <w:t>WT/DS166/AB/R,</w:t>
            </w:r>
            <w:r>
              <w:rPr>
                <w:spacing w:val="-7"/>
                <w:sz w:val="24"/>
              </w:rPr>
              <w:t xml:space="preserve"> </w:t>
            </w:r>
            <w:r>
              <w:rPr>
                <w:sz w:val="24"/>
              </w:rPr>
              <w:t>adopted</w:t>
            </w:r>
            <w:r>
              <w:rPr>
                <w:spacing w:val="-6"/>
                <w:sz w:val="24"/>
              </w:rPr>
              <w:t xml:space="preserve"> </w:t>
            </w:r>
            <w:r>
              <w:rPr>
                <w:sz w:val="24"/>
              </w:rPr>
              <w:t>19</w:t>
            </w:r>
            <w:r>
              <w:rPr>
                <w:spacing w:val="-7"/>
                <w:sz w:val="24"/>
              </w:rPr>
              <w:t xml:space="preserve"> </w:t>
            </w:r>
            <w:r>
              <w:rPr>
                <w:sz w:val="24"/>
              </w:rPr>
              <w:t>January</w:t>
            </w:r>
            <w:r>
              <w:rPr>
                <w:spacing w:val="-8"/>
                <w:sz w:val="24"/>
              </w:rPr>
              <w:t xml:space="preserve"> </w:t>
            </w:r>
            <w:r>
              <w:rPr>
                <w:sz w:val="24"/>
              </w:rPr>
              <w:t>2001,</w:t>
            </w:r>
            <w:r>
              <w:rPr>
                <w:spacing w:val="-8"/>
                <w:sz w:val="24"/>
              </w:rPr>
              <w:t xml:space="preserve"> </w:t>
            </w:r>
            <w:r>
              <w:rPr>
                <w:sz w:val="24"/>
              </w:rPr>
              <w:t xml:space="preserve">DSR </w:t>
            </w:r>
            <w:proofErr w:type="gramStart"/>
            <w:r>
              <w:rPr>
                <w:sz w:val="24"/>
              </w:rPr>
              <w:t>2001:II</w:t>
            </w:r>
            <w:proofErr w:type="gramEnd"/>
            <w:r>
              <w:rPr>
                <w:sz w:val="24"/>
              </w:rPr>
              <w:t>, p. 717</w:t>
            </w:r>
          </w:p>
        </w:tc>
      </w:tr>
      <w:tr w:rsidR="00BF2951" w:rsidRPr="00BF2951" w14:paraId="1C8D1616" w14:textId="77777777" w:rsidTr="00BF2951">
        <w:tc>
          <w:tcPr>
            <w:tcW w:w="2943" w:type="dxa"/>
          </w:tcPr>
          <w:p w14:paraId="5AFA6F5F" w14:textId="57BC6A81" w:rsidR="00BF2951" w:rsidRDefault="00BF2951" w:rsidP="00BF2951">
            <w:pPr>
              <w:pStyle w:val="TableParagraph"/>
              <w:spacing w:before="40"/>
              <w:rPr>
                <w:i/>
                <w:sz w:val="24"/>
              </w:rPr>
            </w:pPr>
            <w:r>
              <w:rPr>
                <w:i/>
                <w:sz w:val="24"/>
              </w:rPr>
              <w:t>US</w:t>
            </w:r>
            <w:r>
              <w:rPr>
                <w:i/>
                <w:spacing w:val="-7"/>
                <w:sz w:val="24"/>
              </w:rPr>
              <w:t xml:space="preserve"> </w:t>
            </w:r>
            <w:r>
              <w:rPr>
                <w:i/>
                <w:sz w:val="24"/>
              </w:rPr>
              <w:t>–</w:t>
            </w:r>
            <w:r>
              <w:rPr>
                <w:i/>
                <w:spacing w:val="-8"/>
                <w:sz w:val="24"/>
              </w:rPr>
              <w:t xml:space="preserve"> </w:t>
            </w:r>
            <w:r>
              <w:rPr>
                <w:i/>
                <w:sz w:val="24"/>
              </w:rPr>
              <w:t>Wool</w:t>
            </w:r>
            <w:r>
              <w:rPr>
                <w:i/>
                <w:spacing w:val="-6"/>
                <w:sz w:val="24"/>
              </w:rPr>
              <w:t xml:space="preserve"> </w:t>
            </w:r>
            <w:r>
              <w:rPr>
                <w:i/>
                <w:sz w:val="24"/>
              </w:rPr>
              <w:t>Shirts</w:t>
            </w:r>
            <w:r>
              <w:rPr>
                <w:i/>
                <w:spacing w:val="-11"/>
                <w:sz w:val="24"/>
              </w:rPr>
              <w:t xml:space="preserve"> </w:t>
            </w:r>
            <w:r>
              <w:rPr>
                <w:i/>
                <w:sz w:val="24"/>
              </w:rPr>
              <w:t xml:space="preserve">and </w:t>
            </w:r>
            <w:r>
              <w:rPr>
                <w:i/>
                <w:spacing w:val="-2"/>
                <w:sz w:val="24"/>
              </w:rPr>
              <w:t>Blouses</w:t>
            </w:r>
          </w:p>
        </w:tc>
        <w:tc>
          <w:tcPr>
            <w:tcW w:w="7403" w:type="dxa"/>
          </w:tcPr>
          <w:p w14:paraId="548F67C7" w14:textId="724EC0F6" w:rsidR="00BF2951" w:rsidRDefault="00BF2951" w:rsidP="00BF2951">
            <w:pPr>
              <w:rPr>
                <w:sz w:val="24"/>
              </w:rPr>
            </w:pPr>
            <w:r>
              <w:rPr>
                <w:sz w:val="24"/>
              </w:rPr>
              <w:t xml:space="preserve">Panel Report, </w:t>
            </w:r>
            <w:r>
              <w:rPr>
                <w:i/>
                <w:sz w:val="24"/>
              </w:rPr>
              <w:t>United States – Measure Affecting Imports of Woven</w:t>
            </w:r>
            <w:r>
              <w:rPr>
                <w:i/>
                <w:spacing w:val="-5"/>
                <w:sz w:val="24"/>
              </w:rPr>
              <w:t xml:space="preserve"> </w:t>
            </w:r>
            <w:r>
              <w:rPr>
                <w:i/>
                <w:sz w:val="24"/>
              </w:rPr>
              <w:t>Wool</w:t>
            </w:r>
            <w:r>
              <w:rPr>
                <w:i/>
                <w:spacing w:val="-3"/>
                <w:sz w:val="24"/>
              </w:rPr>
              <w:t xml:space="preserve"> </w:t>
            </w:r>
            <w:r>
              <w:rPr>
                <w:i/>
                <w:sz w:val="24"/>
              </w:rPr>
              <w:t>Shirts</w:t>
            </w:r>
            <w:r>
              <w:rPr>
                <w:i/>
                <w:spacing w:val="-8"/>
                <w:sz w:val="24"/>
              </w:rPr>
              <w:t xml:space="preserve"> </w:t>
            </w:r>
            <w:r>
              <w:rPr>
                <w:i/>
                <w:sz w:val="24"/>
              </w:rPr>
              <w:t>and</w:t>
            </w:r>
            <w:r>
              <w:rPr>
                <w:i/>
                <w:spacing w:val="-5"/>
                <w:sz w:val="24"/>
              </w:rPr>
              <w:t xml:space="preserve"> </w:t>
            </w:r>
            <w:r>
              <w:rPr>
                <w:i/>
                <w:sz w:val="24"/>
              </w:rPr>
              <w:t>Blouses</w:t>
            </w:r>
            <w:r>
              <w:rPr>
                <w:i/>
                <w:spacing w:val="-8"/>
                <w:sz w:val="24"/>
              </w:rPr>
              <w:t xml:space="preserve"> </w:t>
            </w:r>
            <w:r>
              <w:rPr>
                <w:i/>
                <w:sz w:val="24"/>
              </w:rPr>
              <w:t>from</w:t>
            </w:r>
            <w:r>
              <w:rPr>
                <w:i/>
                <w:spacing w:val="-4"/>
                <w:sz w:val="24"/>
              </w:rPr>
              <w:t xml:space="preserve"> </w:t>
            </w:r>
            <w:r>
              <w:rPr>
                <w:i/>
                <w:sz w:val="24"/>
              </w:rPr>
              <w:t>India</w:t>
            </w:r>
            <w:r>
              <w:rPr>
                <w:sz w:val="24"/>
              </w:rPr>
              <w:t>,</w:t>
            </w:r>
            <w:r>
              <w:rPr>
                <w:spacing w:val="-3"/>
                <w:sz w:val="24"/>
              </w:rPr>
              <w:t xml:space="preserve"> </w:t>
            </w:r>
            <w:r>
              <w:rPr>
                <w:sz w:val="24"/>
              </w:rPr>
              <w:t>WT/DS33/R,</w:t>
            </w:r>
            <w:r>
              <w:rPr>
                <w:spacing w:val="-3"/>
                <w:sz w:val="24"/>
              </w:rPr>
              <w:t xml:space="preserve"> </w:t>
            </w:r>
            <w:r>
              <w:rPr>
                <w:sz w:val="24"/>
              </w:rPr>
              <w:t xml:space="preserve">adopted 23 May 1997, upheld by Appellate Body Report WT/DS33/AB/R, DSR </w:t>
            </w:r>
            <w:proofErr w:type="gramStart"/>
            <w:r>
              <w:rPr>
                <w:sz w:val="24"/>
              </w:rPr>
              <w:t>1997:I</w:t>
            </w:r>
            <w:proofErr w:type="gramEnd"/>
            <w:r>
              <w:rPr>
                <w:sz w:val="24"/>
              </w:rPr>
              <w:t>, p. 343</w:t>
            </w:r>
          </w:p>
        </w:tc>
      </w:tr>
      <w:tr w:rsidR="00BF2951" w:rsidRPr="00BF2951" w14:paraId="19DADC81" w14:textId="77777777" w:rsidTr="00BF2951">
        <w:tc>
          <w:tcPr>
            <w:tcW w:w="2943" w:type="dxa"/>
          </w:tcPr>
          <w:p w14:paraId="6B9506D5" w14:textId="524D7EFF" w:rsidR="00BF2951" w:rsidRDefault="00BF2951" w:rsidP="00BF2951">
            <w:pPr>
              <w:pStyle w:val="TableParagraph"/>
              <w:spacing w:before="40"/>
              <w:rPr>
                <w:i/>
                <w:sz w:val="24"/>
              </w:rPr>
            </w:pPr>
            <w:r>
              <w:rPr>
                <w:i/>
                <w:sz w:val="24"/>
              </w:rPr>
              <w:t>US –</w:t>
            </w:r>
            <w:r>
              <w:rPr>
                <w:i/>
                <w:spacing w:val="-1"/>
                <w:sz w:val="24"/>
              </w:rPr>
              <w:t xml:space="preserve"> </w:t>
            </w:r>
            <w:r>
              <w:rPr>
                <w:i/>
                <w:sz w:val="24"/>
              </w:rPr>
              <w:t>Zeroing</w:t>
            </w:r>
            <w:r>
              <w:rPr>
                <w:i/>
                <w:spacing w:val="-1"/>
                <w:sz w:val="24"/>
              </w:rPr>
              <w:t xml:space="preserve"> </w:t>
            </w:r>
            <w:r>
              <w:rPr>
                <w:i/>
                <w:spacing w:val="-2"/>
                <w:sz w:val="24"/>
              </w:rPr>
              <w:t>(Japan)</w:t>
            </w:r>
          </w:p>
        </w:tc>
        <w:tc>
          <w:tcPr>
            <w:tcW w:w="7403" w:type="dxa"/>
          </w:tcPr>
          <w:p w14:paraId="4F340619" w14:textId="020DF08E" w:rsidR="00BF2951" w:rsidRDefault="00BF2951" w:rsidP="00BF2951">
            <w:pPr>
              <w:rPr>
                <w:sz w:val="24"/>
              </w:rPr>
            </w:pPr>
            <w:r>
              <w:rPr>
                <w:sz w:val="24"/>
              </w:rPr>
              <w:t>Appellate</w:t>
            </w:r>
            <w:r>
              <w:rPr>
                <w:spacing w:val="-4"/>
                <w:sz w:val="24"/>
              </w:rPr>
              <w:t xml:space="preserve"> </w:t>
            </w:r>
            <w:r>
              <w:rPr>
                <w:sz w:val="24"/>
              </w:rPr>
              <w:t>Body</w:t>
            </w:r>
            <w:r>
              <w:rPr>
                <w:spacing w:val="-3"/>
                <w:sz w:val="24"/>
              </w:rPr>
              <w:t xml:space="preserve"> </w:t>
            </w:r>
            <w:r>
              <w:rPr>
                <w:sz w:val="24"/>
              </w:rPr>
              <w:t>Report,</w:t>
            </w:r>
            <w:r>
              <w:rPr>
                <w:spacing w:val="-3"/>
                <w:sz w:val="24"/>
              </w:rPr>
              <w:t xml:space="preserve"> </w:t>
            </w:r>
            <w:r>
              <w:rPr>
                <w:i/>
                <w:sz w:val="24"/>
              </w:rPr>
              <w:t>United</w:t>
            </w:r>
            <w:r>
              <w:rPr>
                <w:i/>
                <w:spacing w:val="-4"/>
                <w:sz w:val="24"/>
              </w:rPr>
              <w:t xml:space="preserve"> </w:t>
            </w:r>
            <w:r>
              <w:rPr>
                <w:i/>
                <w:sz w:val="24"/>
              </w:rPr>
              <w:t>States</w:t>
            </w:r>
            <w:r>
              <w:rPr>
                <w:i/>
                <w:spacing w:val="-7"/>
                <w:sz w:val="24"/>
              </w:rPr>
              <w:t xml:space="preserve"> </w:t>
            </w:r>
            <w:r>
              <w:rPr>
                <w:i/>
                <w:sz w:val="24"/>
              </w:rPr>
              <w:t>–</w:t>
            </w:r>
            <w:r>
              <w:rPr>
                <w:i/>
                <w:spacing w:val="-4"/>
                <w:sz w:val="24"/>
              </w:rPr>
              <w:t xml:space="preserve"> </w:t>
            </w:r>
            <w:r>
              <w:rPr>
                <w:i/>
                <w:sz w:val="24"/>
              </w:rPr>
              <w:t>Measures</w:t>
            </w:r>
            <w:r>
              <w:rPr>
                <w:i/>
                <w:spacing w:val="-7"/>
                <w:sz w:val="24"/>
              </w:rPr>
              <w:t xml:space="preserve"> </w:t>
            </w:r>
            <w:r>
              <w:rPr>
                <w:i/>
                <w:sz w:val="24"/>
              </w:rPr>
              <w:t>Relating</w:t>
            </w:r>
            <w:r>
              <w:rPr>
                <w:i/>
                <w:spacing w:val="-4"/>
                <w:sz w:val="24"/>
              </w:rPr>
              <w:t xml:space="preserve"> </w:t>
            </w:r>
            <w:r>
              <w:rPr>
                <w:i/>
                <w:sz w:val="24"/>
              </w:rPr>
              <w:t>to Zeroing and Sunset Reviews</w:t>
            </w:r>
            <w:r>
              <w:rPr>
                <w:sz w:val="24"/>
              </w:rPr>
              <w:t xml:space="preserve">, WT/DS322/AB/R, adopted 23 January 2007, DSR </w:t>
            </w:r>
            <w:proofErr w:type="gramStart"/>
            <w:r>
              <w:rPr>
                <w:sz w:val="24"/>
              </w:rPr>
              <w:t>2007:I</w:t>
            </w:r>
            <w:proofErr w:type="gramEnd"/>
            <w:r>
              <w:rPr>
                <w:sz w:val="24"/>
              </w:rPr>
              <w:t>, p. 3</w:t>
            </w:r>
          </w:p>
        </w:tc>
      </w:tr>
    </w:tbl>
    <w:p w14:paraId="16FAEAE6" w14:textId="77777777" w:rsidR="00BF2951" w:rsidRDefault="00BF2951" w:rsidP="00BF2951">
      <w:pPr>
        <w:pStyle w:val="Heading3"/>
        <w:spacing w:before="441"/>
        <w:ind w:left="0" w:right="2991" w:firstLine="0"/>
      </w:pPr>
    </w:p>
    <w:p w14:paraId="1D2E0026" w14:textId="77777777" w:rsidR="00BD462C" w:rsidRDefault="00BD462C">
      <w:pPr>
        <w:rPr>
          <w:sz w:val="24"/>
        </w:rPr>
        <w:sectPr w:rsidR="00BD462C">
          <w:type w:val="continuous"/>
          <w:pgSz w:w="11910" w:h="16840"/>
          <w:pgMar w:top="860" w:right="500" w:bottom="780" w:left="1280" w:header="566" w:footer="590" w:gutter="0"/>
          <w:cols w:space="720"/>
        </w:sectPr>
      </w:pPr>
    </w:p>
    <w:p w14:paraId="728AA879" w14:textId="2FA361B8" w:rsidR="00BD462C" w:rsidRDefault="00033D0F" w:rsidP="00BF2951">
      <w:pPr>
        <w:tabs>
          <w:tab w:val="left" w:pos="7652"/>
        </w:tabs>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4C6E2B35"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397C76D5"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76E79667" w14:textId="77777777" w:rsidR="00BD462C" w:rsidRDefault="00BD462C">
      <w:pPr>
        <w:pStyle w:val="BodyText"/>
        <w:spacing w:before="3"/>
        <w:rPr>
          <w:sz w:val="8"/>
        </w:rPr>
      </w:pPr>
    </w:p>
    <w:p w14:paraId="042ED7BF" w14:textId="77777777" w:rsidR="00BD462C" w:rsidRDefault="00BD462C">
      <w:pPr>
        <w:pStyle w:val="BodyText"/>
        <w:spacing w:before="3"/>
        <w:rPr>
          <w:sz w:val="8"/>
        </w:rPr>
      </w:pPr>
    </w:p>
    <w:p w14:paraId="4C41E3F5" w14:textId="77777777" w:rsidR="00BD462C" w:rsidRDefault="00BD462C">
      <w:pPr>
        <w:pStyle w:val="BodyText"/>
        <w:spacing w:before="1"/>
        <w:rPr>
          <w:sz w:val="28"/>
        </w:rPr>
      </w:pPr>
    </w:p>
    <w:p w14:paraId="16D303A6" w14:textId="6BD22AFC" w:rsidR="00BD462C" w:rsidRDefault="00033D0F">
      <w:pPr>
        <w:pStyle w:val="Heading3"/>
        <w:spacing w:before="0"/>
        <w:ind w:left="1806" w:firstLine="0"/>
        <w:jc w:val="left"/>
        <w:rPr>
          <w:spacing w:val="-2"/>
        </w:rPr>
      </w:pPr>
      <w:bookmarkStart w:id="5" w:name="List_of_Acronyms,_Abbreviations_and_Shor"/>
      <w:bookmarkStart w:id="6" w:name="_bookmark2"/>
      <w:bookmarkEnd w:id="5"/>
      <w:bookmarkEnd w:id="6"/>
      <w:r>
        <w:t>LIST</w:t>
      </w:r>
      <w:r>
        <w:rPr>
          <w:spacing w:val="-4"/>
        </w:rPr>
        <w:t xml:space="preserve"> </w:t>
      </w:r>
      <w:r>
        <w:t>OF</w:t>
      </w:r>
      <w:r>
        <w:rPr>
          <w:spacing w:val="-5"/>
        </w:rPr>
        <w:t xml:space="preserve"> </w:t>
      </w:r>
      <w:r>
        <w:t>ACRONYMS,</w:t>
      </w:r>
      <w:r>
        <w:rPr>
          <w:spacing w:val="-3"/>
        </w:rPr>
        <w:t xml:space="preserve"> </w:t>
      </w:r>
      <w:r>
        <w:t>ABBREVIATIONS</w:t>
      </w:r>
      <w:r>
        <w:rPr>
          <w:spacing w:val="-3"/>
        </w:rPr>
        <w:t xml:space="preserve"> </w:t>
      </w:r>
      <w:r>
        <w:t>AND</w:t>
      </w:r>
      <w:r>
        <w:rPr>
          <w:spacing w:val="-2"/>
        </w:rPr>
        <w:t xml:space="preserve"> </w:t>
      </w:r>
      <w:r>
        <w:t>SHORT</w:t>
      </w:r>
      <w:r>
        <w:rPr>
          <w:spacing w:val="-3"/>
        </w:rPr>
        <w:t xml:space="preserve"> </w:t>
      </w:r>
      <w:r>
        <w:rPr>
          <w:spacing w:val="-2"/>
        </w:rPr>
        <w:t>FORMS</w:t>
      </w:r>
    </w:p>
    <w:tbl>
      <w:tblPr>
        <w:tblStyle w:val="TableGrid"/>
        <w:tblW w:w="0" w:type="auto"/>
        <w:tblLook w:val="04A0" w:firstRow="1" w:lastRow="0" w:firstColumn="1" w:lastColumn="0" w:noHBand="0" w:noVBand="1"/>
      </w:tblPr>
      <w:tblGrid>
        <w:gridCol w:w="2631"/>
        <w:gridCol w:w="7489"/>
      </w:tblGrid>
      <w:tr w:rsidR="00BF2951" w14:paraId="7236463C" w14:textId="77777777" w:rsidTr="00D70C7D">
        <w:trPr>
          <w:tblHeader/>
        </w:trPr>
        <w:tc>
          <w:tcPr>
            <w:tcW w:w="2660" w:type="dxa"/>
          </w:tcPr>
          <w:p w14:paraId="2CCB0D3C" w14:textId="4D7889F4" w:rsidR="00BF2951" w:rsidRPr="00D70C7D" w:rsidRDefault="00BF2951" w:rsidP="00D70C7D">
            <w:pPr>
              <w:pStyle w:val="Heading3"/>
              <w:spacing w:before="0"/>
              <w:ind w:left="0" w:firstLine="0"/>
              <w:jc w:val="left"/>
            </w:pPr>
            <w:r w:rsidRPr="00D70C7D">
              <w:rPr>
                <w:spacing w:val="-2"/>
              </w:rPr>
              <w:t>Abbreviation</w:t>
            </w:r>
          </w:p>
        </w:tc>
        <w:tc>
          <w:tcPr>
            <w:tcW w:w="7686" w:type="dxa"/>
          </w:tcPr>
          <w:p w14:paraId="04C77092" w14:textId="245127FD" w:rsidR="00BF2951" w:rsidRPr="00D70C7D" w:rsidRDefault="00BF2951" w:rsidP="00BF2951">
            <w:pPr>
              <w:pStyle w:val="Heading3"/>
              <w:spacing w:before="0"/>
              <w:ind w:left="0" w:firstLine="0"/>
              <w:jc w:val="center"/>
            </w:pPr>
            <w:r w:rsidRPr="00D70C7D">
              <w:t>Full</w:t>
            </w:r>
            <w:r w:rsidRPr="00D70C7D">
              <w:rPr>
                <w:spacing w:val="-4"/>
              </w:rPr>
              <w:t xml:space="preserve"> </w:t>
            </w:r>
            <w:r w:rsidRPr="00D70C7D">
              <w:t>Form or</w:t>
            </w:r>
            <w:r w:rsidRPr="00D70C7D">
              <w:rPr>
                <w:spacing w:val="-1"/>
              </w:rPr>
              <w:t xml:space="preserve"> </w:t>
            </w:r>
            <w:r w:rsidRPr="00D70C7D">
              <w:rPr>
                <w:spacing w:val="-2"/>
              </w:rPr>
              <w:t>Description</w:t>
            </w:r>
          </w:p>
        </w:tc>
      </w:tr>
      <w:tr w:rsidR="00BF2951" w14:paraId="6B6DC6B6" w14:textId="77777777" w:rsidTr="00BF2951">
        <w:tc>
          <w:tcPr>
            <w:tcW w:w="2660" w:type="dxa"/>
          </w:tcPr>
          <w:p w14:paraId="27316AA7" w14:textId="3A645AEC" w:rsidR="00BF2951" w:rsidRPr="00D70C7D" w:rsidRDefault="00BF2951" w:rsidP="00D70C7D">
            <w:pPr>
              <w:pStyle w:val="Heading3"/>
              <w:spacing w:before="0"/>
              <w:ind w:left="0" w:firstLine="0"/>
              <w:jc w:val="left"/>
              <w:rPr>
                <w:b w:val="0"/>
                <w:bCs w:val="0"/>
              </w:rPr>
            </w:pPr>
            <w:r w:rsidRPr="00D70C7D">
              <w:rPr>
                <w:b w:val="0"/>
                <w:bCs w:val="0"/>
              </w:rPr>
              <w:t>Additional</w:t>
            </w:r>
            <w:r w:rsidRPr="00D70C7D">
              <w:rPr>
                <w:b w:val="0"/>
                <w:bCs w:val="0"/>
                <w:spacing w:val="-14"/>
              </w:rPr>
              <w:t xml:space="preserve"> </w:t>
            </w:r>
            <w:r w:rsidRPr="00D70C7D">
              <w:rPr>
                <w:b w:val="0"/>
                <w:bCs w:val="0"/>
              </w:rPr>
              <w:t xml:space="preserve">Final </w:t>
            </w:r>
            <w:r w:rsidRPr="00D70C7D">
              <w:rPr>
                <w:b w:val="0"/>
                <w:bCs w:val="0"/>
                <w:spacing w:val="-2"/>
              </w:rPr>
              <w:t>Disclosure</w:t>
            </w:r>
          </w:p>
        </w:tc>
        <w:tc>
          <w:tcPr>
            <w:tcW w:w="7686" w:type="dxa"/>
          </w:tcPr>
          <w:p w14:paraId="2DD55013" w14:textId="3700EA8C" w:rsidR="00BF2951" w:rsidRPr="00D70C7D" w:rsidRDefault="00BF2951" w:rsidP="00BF2951">
            <w:pPr>
              <w:pStyle w:val="Heading3"/>
              <w:spacing w:before="0"/>
              <w:ind w:left="0" w:firstLine="0"/>
              <w:jc w:val="left"/>
              <w:rPr>
                <w:b w:val="0"/>
                <w:bCs w:val="0"/>
              </w:rPr>
            </w:pPr>
            <w:r w:rsidRPr="00D70C7D">
              <w:rPr>
                <w:b w:val="0"/>
                <w:bCs w:val="0"/>
              </w:rPr>
              <w:t>MOFCOM's</w:t>
            </w:r>
            <w:r w:rsidRPr="00D70C7D">
              <w:rPr>
                <w:b w:val="0"/>
                <w:bCs w:val="0"/>
                <w:spacing w:val="40"/>
              </w:rPr>
              <w:t xml:space="preserve"> </w:t>
            </w:r>
            <w:r w:rsidRPr="00D70C7D">
              <w:rPr>
                <w:b w:val="0"/>
                <w:bCs w:val="0"/>
              </w:rPr>
              <w:t>release</w:t>
            </w:r>
            <w:r w:rsidRPr="00D70C7D">
              <w:rPr>
                <w:b w:val="0"/>
                <w:bCs w:val="0"/>
                <w:spacing w:val="40"/>
              </w:rPr>
              <w:t xml:space="preserve"> </w:t>
            </w:r>
            <w:r w:rsidRPr="00D70C7D">
              <w:rPr>
                <w:b w:val="0"/>
                <w:bCs w:val="0"/>
              </w:rPr>
              <w:t>of</w:t>
            </w:r>
            <w:r w:rsidRPr="00D70C7D">
              <w:rPr>
                <w:b w:val="0"/>
                <w:bCs w:val="0"/>
                <w:spacing w:val="40"/>
              </w:rPr>
              <w:t xml:space="preserve"> </w:t>
            </w:r>
            <w:r w:rsidRPr="00D70C7D">
              <w:rPr>
                <w:b w:val="0"/>
                <w:bCs w:val="0"/>
              </w:rPr>
              <w:t>34</w:t>
            </w:r>
            <w:r w:rsidRPr="00D70C7D">
              <w:rPr>
                <w:b w:val="0"/>
                <w:bCs w:val="0"/>
                <w:spacing w:val="40"/>
              </w:rPr>
              <w:t xml:space="preserve"> </w:t>
            </w:r>
            <w:r w:rsidRPr="00D70C7D">
              <w:rPr>
                <w:b w:val="0"/>
                <w:bCs w:val="0"/>
              </w:rPr>
              <w:t>pages</w:t>
            </w:r>
            <w:r w:rsidRPr="00D70C7D">
              <w:rPr>
                <w:b w:val="0"/>
                <w:bCs w:val="0"/>
                <w:spacing w:val="40"/>
              </w:rPr>
              <w:t xml:space="preserve"> </w:t>
            </w:r>
            <w:r w:rsidRPr="00D70C7D">
              <w:rPr>
                <w:b w:val="0"/>
                <w:bCs w:val="0"/>
              </w:rPr>
              <w:t>of</w:t>
            </w:r>
            <w:r w:rsidRPr="00D70C7D">
              <w:rPr>
                <w:b w:val="0"/>
                <w:bCs w:val="0"/>
                <w:spacing w:val="40"/>
              </w:rPr>
              <w:t xml:space="preserve"> </w:t>
            </w:r>
            <w:r w:rsidRPr="00D70C7D">
              <w:rPr>
                <w:b w:val="0"/>
                <w:bCs w:val="0"/>
              </w:rPr>
              <w:t>supplementary</w:t>
            </w:r>
            <w:r w:rsidRPr="00D70C7D">
              <w:rPr>
                <w:b w:val="0"/>
                <w:bCs w:val="0"/>
                <w:spacing w:val="40"/>
              </w:rPr>
              <w:t xml:space="preserve"> </w:t>
            </w:r>
            <w:r w:rsidRPr="00D70C7D">
              <w:rPr>
                <w:b w:val="0"/>
                <w:bCs w:val="0"/>
              </w:rPr>
              <w:t>Final</w:t>
            </w:r>
            <w:r w:rsidRPr="00D70C7D">
              <w:rPr>
                <w:b w:val="0"/>
                <w:bCs w:val="0"/>
                <w:spacing w:val="40"/>
              </w:rPr>
              <w:t xml:space="preserve"> </w:t>
            </w:r>
            <w:r w:rsidRPr="00D70C7D">
              <w:rPr>
                <w:b w:val="0"/>
                <w:bCs w:val="0"/>
              </w:rPr>
              <w:t>Disclosure material to the Australian Government on 17 March 2021.</w:t>
            </w:r>
          </w:p>
        </w:tc>
      </w:tr>
      <w:tr w:rsidR="00BF2951" w14:paraId="48DFF401" w14:textId="77777777" w:rsidTr="00BF2951">
        <w:tc>
          <w:tcPr>
            <w:tcW w:w="2660" w:type="dxa"/>
          </w:tcPr>
          <w:p w14:paraId="6D6D1DD7" w14:textId="3932DC65" w:rsidR="00BF2951" w:rsidRPr="00D70C7D" w:rsidRDefault="00BF2951" w:rsidP="00D70C7D">
            <w:pPr>
              <w:pStyle w:val="Heading3"/>
              <w:spacing w:before="0"/>
              <w:ind w:left="0" w:firstLine="0"/>
              <w:jc w:val="left"/>
              <w:rPr>
                <w:b w:val="0"/>
                <w:bCs w:val="0"/>
              </w:rPr>
            </w:pPr>
            <w:r w:rsidRPr="00D70C7D">
              <w:rPr>
                <w:b w:val="0"/>
                <w:bCs w:val="0"/>
                <w:spacing w:val="-4"/>
              </w:rPr>
              <w:t>AFBG</w:t>
            </w:r>
          </w:p>
        </w:tc>
        <w:tc>
          <w:tcPr>
            <w:tcW w:w="7686" w:type="dxa"/>
          </w:tcPr>
          <w:p w14:paraId="0E1EA656" w14:textId="6F3DD8DE" w:rsidR="00BF2951" w:rsidRPr="00D70C7D" w:rsidRDefault="00BF2951" w:rsidP="00BF2951">
            <w:pPr>
              <w:pStyle w:val="Heading3"/>
              <w:spacing w:before="0"/>
              <w:ind w:left="0" w:firstLine="0"/>
              <w:jc w:val="left"/>
              <w:rPr>
                <w:b w:val="0"/>
                <w:bCs w:val="0"/>
              </w:rPr>
            </w:pPr>
            <w:r w:rsidRPr="00D70C7D">
              <w:rPr>
                <w:b w:val="0"/>
                <w:bCs w:val="0"/>
              </w:rPr>
              <w:t>Australian</w:t>
            </w:r>
            <w:r w:rsidRPr="00D70C7D">
              <w:rPr>
                <w:b w:val="0"/>
                <w:bCs w:val="0"/>
                <w:spacing w:val="-7"/>
              </w:rPr>
              <w:t xml:space="preserve"> </w:t>
            </w:r>
            <w:r w:rsidRPr="00D70C7D">
              <w:rPr>
                <w:b w:val="0"/>
                <w:bCs w:val="0"/>
              </w:rPr>
              <w:t>Food</w:t>
            </w:r>
            <w:r w:rsidRPr="00D70C7D">
              <w:rPr>
                <w:b w:val="0"/>
                <w:bCs w:val="0"/>
                <w:spacing w:val="-4"/>
              </w:rPr>
              <w:t xml:space="preserve"> </w:t>
            </w:r>
            <w:r w:rsidRPr="00D70C7D">
              <w:rPr>
                <w:b w:val="0"/>
                <w:bCs w:val="0"/>
              </w:rPr>
              <w:t>and Beverage</w:t>
            </w:r>
            <w:r w:rsidRPr="00D70C7D">
              <w:rPr>
                <w:b w:val="0"/>
                <w:bCs w:val="0"/>
                <w:spacing w:val="-3"/>
              </w:rPr>
              <w:t xml:space="preserve"> </w:t>
            </w:r>
            <w:r w:rsidRPr="00D70C7D">
              <w:rPr>
                <w:b w:val="0"/>
                <w:bCs w:val="0"/>
              </w:rPr>
              <w:t>Group</w:t>
            </w:r>
            <w:r w:rsidRPr="00D70C7D">
              <w:rPr>
                <w:b w:val="0"/>
                <w:bCs w:val="0"/>
                <w:spacing w:val="-4"/>
              </w:rPr>
              <w:t xml:space="preserve"> </w:t>
            </w:r>
            <w:r w:rsidRPr="00D70C7D">
              <w:rPr>
                <w:b w:val="0"/>
                <w:bCs w:val="0"/>
              </w:rPr>
              <w:t>Pty</w:t>
            </w:r>
            <w:r w:rsidRPr="00D70C7D">
              <w:rPr>
                <w:b w:val="0"/>
                <w:bCs w:val="0"/>
                <w:spacing w:val="-1"/>
              </w:rPr>
              <w:t xml:space="preserve"> </w:t>
            </w:r>
            <w:r w:rsidRPr="00D70C7D">
              <w:rPr>
                <w:b w:val="0"/>
                <w:bCs w:val="0"/>
                <w:spacing w:val="-5"/>
              </w:rPr>
              <w:t>Ltd</w:t>
            </w:r>
          </w:p>
        </w:tc>
      </w:tr>
      <w:tr w:rsidR="00BF2951" w14:paraId="71B45C8E" w14:textId="77777777" w:rsidTr="00BF2951">
        <w:tc>
          <w:tcPr>
            <w:tcW w:w="2660" w:type="dxa"/>
          </w:tcPr>
          <w:p w14:paraId="52A09E22" w14:textId="32B5B61C" w:rsidR="00BF2951" w:rsidRPr="00D70C7D" w:rsidRDefault="00BF2951" w:rsidP="00D70C7D">
            <w:pPr>
              <w:pStyle w:val="Heading3"/>
              <w:spacing w:before="0"/>
              <w:ind w:left="0" w:firstLine="0"/>
              <w:jc w:val="left"/>
              <w:rPr>
                <w:b w:val="0"/>
                <w:bCs w:val="0"/>
              </w:rPr>
            </w:pPr>
            <w:r w:rsidRPr="00D70C7D">
              <w:rPr>
                <w:b w:val="0"/>
                <w:bCs w:val="0"/>
                <w:spacing w:val="-5"/>
              </w:rPr>
              <w:t>AGW</w:t>
            </w:r>
          </w:p>
        </w:tc>
        <w:tc>
          <w:tcPr>
            <w:tcW w:w="7686" w:type="dxa"/>
          </w:tcPr>
          <w:p w14:paraId="76DF5B09" w14:textId="00181496" w:rsidR="00BF2951" w:rsidRPr="00D70C7D" w:rsidRDefault="00BF2951" w:rsidP="00BF2951">
            <w:pPr>
              <w:pStyle w:val="Heading3"/>
              <w:spacing w:before="0"/>
              <w:ind w:left="0" w:firstLine="0"/>
              <w:jc w:val="left"/>
              <w:rPr>
                <w:b w:val="0"/>
                <w:bCs w:val="0"/>
              </w:rPr>
            </w:pPr>
            <w:r w:rsidRPr="00D70C7D">
              <w:rPr>
                <w:b w:val="0"/>
                <w:bCs w:val="0"/>
              </w:rPr>
              <w:t>Australian</w:t>
            </w:r>
            <w:r w:rsidRPr="00D70C7D">
              <w:rPr>
                <w:b w:val="0"/>
                <w:bCs w:val="0"/>
                <w:spacing w:val="-4"/>
              </w:rPr>
              <w:t xml:space="preserve"> </w:t>
            </w:r>
            <w:r w:rsidRPr="00D70C7D">
              <w:rPr>
                <w:b w:val="0"/>
                <w:bCs w:val="0"/>
              </w:rPr>
              <w:t>Grape</w:t>
            </w:r>
            <w:r w:rsidRPr="00D70C7D">
              <w:rPr>
                <w:b w:val="0"/>
                <w:bCs w:val="0"/>
                <w:spacing w:val="-2"/>
              </w:rPr>
              <w:t xml:space="preserve"> </w:t>
            </w:r>
            <w:r w:rsidRPr="00D70C7D">
              <w:rPr>
                <w:b w:val="0"/>
                <w:bCs w:val="0"/>
              </w:rPr>
              <w:t>and</w:t>
            </w:r>
            <w:r w:rsidRPr="00D70C7D">
              <w:rPr>
                <w:b w:val="0"/>
                <w:bCs w:val="0"/>
                <w:spacing w:val="-3"/>
              </w:rPr>
              <w:t xml:space="preserve"> </w:t>
            </w:r>
            <w:r w:rsidRPr="00D70C7D">
              <w:rPr>
                <w:b w:val="0"/>
                <w:bCs w:val="0"/>
              </w:rPr>
              <w:t>Wine</w:t>
            </w:r>
            <w:r w:rsidRPr="00D70C7D">
              <w:rPr>
                <w:b w:val="0"/>
                <w:bCs w:val="0"/>
                <w:spacing w:val="-2"/>
              </w:rPr>
              <w:t xml:space="preserve"> </w:t>
            </w:r>
            <w:r w:rsidRPr="00D70C7D">
              <w:rPr>
                <w:b w:val="0"/>
                <w:bCs w:val="0"/>
                <w:spacing w:val="-5"/>
              </w:rPr>
              <w:t>Inc</w:t>
            </w:r>
          </w:p>
        </w:tc>
      </w:tr>
      <w:tr w:rsidR="00BF2951" w14:paraId="3BA9DD98" w14:textId="77777777" w:rsidTr="00BF2951">
        <w:tc>
          <w:tcPr>
            <w:tcW w:w="2660" w:type="dxa"/>
          </w:tcPr>
          <w:p w14:paraId="2F4FB031" w14:textId="36DA6BC0" w:rsidR="00BF2951" w:rsidRPr="00D70C7D" w:rsidRDefault="00BF2951" w:rsidP="00D70C7D">
            <w:pPr>
              <w:pStyle w:val="Heading3"/>
              <w:spacing w:before="0"/>
              <w:ind w:left="0" w:firstLine="0"/>
              <w:jc w:val="left"/>
              <w:rPr>
                <w:b w:val="0"/>
                <w:bCs w:val="0"/>
              </w:rPr>
            </w:pPr>
            <w:r w:rsidRPr="00D70C7D">
              <w:rPr>
                <w:b w:val="0"/>
                <w:bCs w:val="0"/>
                <w:spacing w:val="-2"/>
              </w:rPr>
              <w:t>Anti-Dumping Agreement</w:t>
            </w:r>
          </w:p>
        </w:tc>
        <w:tc>
          <w:tcPr>
            <w:tcW w:w="7686" w:type="dxa"/>
          </w:tcPr>
          <w:p w14:paraId="1F272457" w14:textId="74647380" w:rsidR="00BF2951" w:rsidRPr="00D70C7D" w:rsidRDefault="00BF2951" w:rsidP="00BF2951">
            <w:pPr>
              <w:pStyle w:val="Heading3"/>
              <w:spacing w:before="0"/>
              <w:ind w:left="0" w:firstLine="0"/>
              <w:jc w:val="left"/>
              <w:rPr>
                <w:b w:val="0"/>
                <w:bCs w:val="0"/>
              </w:rPr>
            </w:pPr>
            <w:r w:rsidRPr="00D70C7D">
              <w:rPr>
                <w:b w:val="0"/>
                <w:bCs w:val="0"/>
              </w:rPr>
              <w:t>Agreement</w:t>
            </w:r>
            <w:r w:rsidRPr="00D70C7D">
              <w:rPr>
                <w:b w:val="0"/>
                <w:bCs w:val="0"/>
                <w:spacing w:val="-3"/>
              </w:rPr>
              <w:t xml:space="preserve"> </w:t>
            </w:r>
            <w:r w:rsidRPr="00D70C7D">
              <w:rPr>
                <w:b w:val="0"/>
                <w:bCs w:val="0"/>
              </w:rPr>
              <w:t>on</w:t>
            </w:r>
            <w:r w:rsidRPr="00D70C7D">
              <w:rPr>
                <w:b w:val="0"/>
                <w:bCs w:val="0"/>
                <w:spacing w:val="-5"/>
              </w:rPr>
              <w:t xml:space="preserve"> </w:t>
            </w:r>
            <w:r w:rsidRPr="00D70C7D">
              <w:rPr>
                <w:b w:val="0"/>
                <w:bCs w:val="0"/>
              </w:rPr>
              <w:t>the</w:t>
            </w:r>
            <w:r w:rsidRPr="00D70C7D">
              <w:rPr>
                <w:b w:val="0"/>
                <w:bCs w:val="0"/>
                <w:spacing w:val="-2"/>
              </w:rPr>
              <w:t xml:space="preserve"> </w:t>
            </w:r>
            <w:r w:rsidRPr="00D70C7D">
              <w:rPr>
                <w:b w:val="0"/>
                <w:bCs w:val="0"/>
              </w:rPr>
              <w:t>Implementation</w:t>
            </w:r>
            <w:r w:rsidRPr="00D70C7D">
              <w:rPr>
                <w:b w:val="0"/>
                <w:bCs w:val="0"/>
                <w:spacing w:val="-4"/>
              </w:rPr>
              <w:t xml:space="preserve"> </w:t>
            </w:r>
            <w:r w:rsidRPr="00D70C7D">
              <w:rPr>
                <w:b w:val="0"/>
                <w:bCs w:val="0"/>
              </w:rPr>
              <w:t>of</w:t>
            </w:r>
            <w:r w:rsidRPr="00D70C7D">
              <w:rPr>
                <w:b w:val="0"/>
                <w:bCs w:val="0"/>
                <w:spacing w:val="-4"/>
              </w:rPr>
              <w:t xml:space="preserve"> </w:t>
            </w:r>
            <w:r w:rsidRPr="00D70C7D">
              <w:rPr>
                <w:b w:val="0"/>
                <w:bCs w:val="0"/>
              </w:rPr>
              <w:t>Article</w:t>
            </w:r>
            <w:r w:rsidRPr="00D70C7D">
              <w:rPr>
                <w:b w:val="0"/>
                <w:bCs w:val="0"/>
                <w:spacing w:val="-2"/>
              </w:rPr>
              <w:t xml:space="preserve"> </w:t>
            </w:r>
            <w:r w:rsidRPr="00D70C7D">
              <w:rPr>
                <w:b w:val="0"/>
                <w:bCs w:val="0"/>
              </w:rPr>
              <w:t>VI</w:t>
            </w:r>
            <w:r w:rsidRPr="00D70C7D">
              <w:rPr>
                <w:b w:val="0"/>
                <w:bCs w:val="0"/>
                <w:spacing w:val="-1"/>
              </w:rPr>
              <w:t xml:space="preserve"> </w:t>
            </w:r>
            <w:r w:rsidRPr="00D70C7D">
              <w:rPr>
                <w:b w:val="0"/>
                <w:bCs w:val="0"/>
              </w:rPr>
              <w:t>of</w:t>
            </w:r>
            <w:r w:rsidRPr="00D70C7D">
              <w:rPr>
                <w:b w:val="0"/>
                <w:bCs w:val="0"/>
                <w:spacing w:val="1"/>
              </w:rPr>
              <w:t xml:space="preserve"> </w:t>
            </w:r>
            <w:r w:rsidRPr="00D70C7D">
              <w:rPr>
                <w:b w:val="0"/>
                <w:bCs w:val="0"/>
              </w:rPr>
              <w:t>GATT</w:t>
            </w:r>
            <w:r w:rsidRPr="00D70C7D">
              <w:rPr>
                <w:b w:val="0"/>
                <w:bCs w:val="0"/>
                <w:spacing w:val="-5"/>
              </w:rPr>
              <w:t xml:space="preserve"> </w:t>
            </w:r>
            <w:r w:rsidRPr="00D70C7D">
              <w:rPr>
                <w:b w:val="0"/>
                <w:bCs w:val="0"/>
                <w:spacing w:val="-4"/>
              </w:rPr>
              <w:t>1994</w:t>
            </w:r>
          </w:p>
        </w:tc>
      </w:tr>
      <w:tr w:rsidR="00BF2951" w14:paraId="22EE0AE0" w14:textId="77777777" w:rsidTr="00BF2951">
        <w:tc>
          <w:tcPr>
            <w:tcW w:w="2660" w:type="dxa"/>
          </w:tcPr>
          <w:p w14:paraId="7EA6EEB3" w14:textId="4CAFD94E" w:rsidR="00BF2951" w:rsidRPr="00D70C7D" w:rsidRDefault="00BF2951" w:rsidP="00D70C7D">
            <w:pPr>
              <w:pStyle w:val="Heading3"/>
              <w:spacing w:before="0"/>
              <w:ind w:left="0" w:firstLine="0"/>
              <w:jc w:val="left"/>
              <w:rPr>
                <w:b w:val="0"/>
                <w:bCs w:val="0"/>
              </w:rPr>
            </w:pPr>
            <w:r w:rsidRPr="00D70C7D">
              <w:rPr>
                <w:b w:val="0"/>
                <w:bCs w:val="0"/>
                <w:spacing w:val="-2"/>
              </w:rPr>
              <w:t xml:space="preserve">Anti-Dumping </w:t>
            </w:r>
            <w:r w:rsidRPr="00D70C7D">
              <w:rPr>
                <w:b w:val="0"/>
                <w:bCs w:val="0"/>
                <w:spacing w:val="-4"/>
              </w:rPr>
              <w:t xml:space="preserve">Duty </w:t>
            </w:r>
            <w:r w:rsidRPr="00D70C7D">
              <w:rPr>
                <w:b w:val="0"/>
                <w:bCs w:val="0"/>
                <w:spacing w:val="-2"/>
              </w:rPr>
              <w:t>Announcement</w:t>
            </w:r>
          </w:p>
        </w:tc>
        <w:tc>
          <w:tcPr>
            <w:tcW w:w="7686" w:type="dxa"/>
          </w:tcPr>
          <w:p w14:paraId="65204B1A" w14:textId="11305D15" w:rsidR="00BF2951" w:rsidRPr="00D70C7D" w:rsidRDefault="00BF2951" w:rsidP="00BF2951">
            <w:pPr>
              <w:pStyle w:val="Heading3"/>
              <w:spacing w:before="0"/>
              <w:ind w:left="0" w:firstLine="0"/>
              <w:jc w:val="left"/>
              <w:rPr>
                <w:b w:val="0"/>
                <w:bCs w:val="0"/>
              </w:rPr>
            </w:pPr>
            <w:r w:rsidRPr="00D70C7D">
              <w:rPr>
                <w:b w:val="0"/>
                <w:bCs w:val="0"/>
              </w:rPr>
              <w:t>MOFCOM,</w:t>
            </w:r>
            <w:r w:rsidRPr="00D70C7D">
              <w:rPr>
                <w:b w:val="0"/>
                <w:bCs w:val="0"/>
                <w:spacing w:val="-8"/>
              </w:rPr>
              <w:t xml:space="preserve"> </w:t>
            </w:r>
            <w:r w:rsidRPr="00D70C7D">
              <w:rPr>
                <w:b w:val="0"/>
                <w:bCs w:val="0"/>
              </w:rPr>
              <w:t>"Announcement</w:t>
            </w:r>
            <w:r w:rsidRPr="00D70C7D">
              <w:rPr>
                <w:b w:val="0"/>
                <w:bCs w:val="0"/>
                <w:spacing w:val="-10"/>
              </w:rPr>
              <w:t xml:space="preserve"> </w:t>
            </w:r>
            <w:r w:rsidRPr="00D70C7D">
              <w:rPr>
                <w:b w:val="0"/>
                <w:bCs w:val="0"/>
              </w:rPr>
              <w:t>No.</w:t>
            </w:r>
            <w:r w:rsidRPr="00D70C7D">
              <w:rPr>
                <w:b w:val="0"/>
                <w:bCs w:val="0"/>
                <w:spacing w:val="-9"/>
              </w:rPr>
              <w:t xml:space="preserve"> </w:t>
            </w:r>
            <w:r w:rsidRPr="00D70C7D">
              <w:rPr>
                <w:b w:val="0"/>
                <w:bCs w:val="0"/>
              </w:rPr>
              <w:t>6</w:t>
            </w:r>
            <w:r w:rsidRPr="00D70C7D">
              <w:rPr>
                <w:b w:val="0"/>
                <w:bCs w:val="0"/>
                <w:spacing w:val="-8"/>
              </w:rPr>
              <w:t xml:space="preserve"> </w:t>
            </w:r>
            <w:r w:rsidRPr="00D70C7D">
              <w:rPr>
                <w:b w:val="0"/>
                <w:bCs w:val="0"/>
              </w:rPr>
              <w:t>of</w:t>
            </w:r>
            <w:r w:rsidRPr="00D70C7D">
              <w:rPr>
                <w:b w:val="0"/>
                <w:bCs w:val="0"/>
                <w:spacing w:val="-7"/>
              </w:rPr>
              <w:t xml:space="preserve"> </w:t>
            </w:r>
            <w:r w:rsidRPr="00D70C7D">
              <w:rPr>
                <w:b w:val="0"/>
                <w:bCs w:val="0"/>
              </w:rPr>
              <w:t>2021</w:t>
            </w:r>
            <w:r w:rsidRPr="00D70C7D">
              <w:rPr>
                <w:b w:val="0"/>
                <w:bCs w:val="0"/>
                <w:spacing w:val="-8"/>
              </w:rPr>
              <w:t xml:space="preserve"> </w:t>
            </w:r>
            <w:r w:rsidRPr="00D70C7D">
              <w:rPr>
                <w:b w:val="0"/>
                <w:bCs w:val="0"/>
              </w:rPr>
              <w:t>of</w:t>
            </w:r>
            <w:r w:rsidRPr="00D70C7D">
              <w:rPr>
                <w:b w:val="0"/>
                <w:bCs w:val="0"/>
                <w:spacing w:val="-11"/>
              </w:rPr>
              <w:t xml:space="preserve"> </w:t>
            </w:r>
            <w:r w:rsidRPr="00D70C7D">
              <w:rPr>
                <w:b w:val="0"/>
                <w:bCs w:val="0"/>
              </w:rPr>
              <w:t>the</w:t>
            </w:r>
            <w:r w:rsidRPr="00D70C7D">
              <w:rPr>
                <w:b w:val="0"/>
                <w:bCs w:val="0"/>
                <w:spacing w:val="-1"/>
              </w:rPr>
              <w:t xml:space="preserve"> </w:t>
            </w:r>
            <w:r w:rsidRPr="00D70C7D">
              <w:rPr>
                <w:b w:val="0"/>
                <w:bCs w:val="0"/>
              </w:rPr>
              <w:t>Ministry</w:t>
            </w:r>
            <w:r w:rsidRPr="00D70C7D">
              <w:rPr>
                <w:b w:val="0"/>
                <w:bCs w:val="0"/>
                <w:spacing w:val="-9"/>
              </w:rPr>
              <w:t xml:space="preserve"> </w:t>
            </w:r>
            <w:r w:rsidRPr="00D70C7D">
              <w:rPr>
                <w:b w:val="0"/>
                <w:bCs w:val="0"/>
              </w:rPr>
              <w:t>of</w:t>
            </w:r>
            <w:r w:rsidRPr="00D70C7D">
              <w:rPr>
                <w:b w:val="0"/>
                <w:bCs w:val="0"/>
                <w:spacing w:val="-11"/>
              </w:rPr>
              <w:t xml:space="preserve"> </w:t>
            </w:r>
            <w:r w:rsidRPr="00D70C7D">
              <w:rPr>
                <w:b w:val="0"/>
                <w:bCs w:val="0"/>
              </w:rPr>
              <w:t>Commerce on the Final Ruling of the Anti-dumping Investigation into Relevant Imported Wines Originating in Australia", 26 March 2021</w:t>
            </w:r>
          </w:p>
        </w:tc>
      </w:tr>
      <w:tr w:rsidR="00BF2951" w14:paraId="1FBBDD18" w14:textId="77777777" w:rsidTr="00BF2951">
        <w:tc>
          <w:tcPr>
            <w:tcW w:w="2660" w:type="dxa"/>
          </w:tcPr>
          <w:p w14:paraId="2123F278" w14:textId="076F96A5" w:rsidR="00BF2951" w:rsidRPr="00D70C7D" w:rsidRDefault="00BF2951" w:rsidP="00D70C7D">
            <w:pPr>
              <w:pStyle w:val="Heading3"/>
              <w:spacing w:before="0"/>
              <w:ind w:left="0" w:firstLine="0"/>
              <w:jc w:val="left"/>
              <w:rPr>
                <w:b w:val="0"/>
                <w:bCs w:val="0"/>
              </w:rPr>
            </w:pPr>
            <w:r w:rsidRPr="00D70C7D">
              <w:rPr>
                <w:b w:val="0"/>
                <w:bCs w:val="0"/>
                <w:spacing w:val="-2"/>
              </w:rPr>
              <w:t>Anti-Dumping Questionnaire</w:t>
            </w:r>
          </w:p>
        </w:tc>
        <w:tc>
          <w:tcPr>
            <w:tcW w:w="7686" w:type="dxa"/>
          </w:tcPr>
          <w:p w14:paraId="7B1996D2" w14:textId="5EF2EB44" w:rsidR="00BF2951" w:rsidRPr="00D70C7D" w:rsidRDefault="00BF2951" w:rsidP="00BF2951">
            <w:pPr>
              <w:pStyle w:val="Heading3"/>
              <w:spacing w:before="0"/>
              <w:ind w:left="0" w:firstLine="0"/>
              <w:jc w:val="left"/>
              <w:rPr>
                <w:b w:val="0"/>
                <w:bCs w:val="0"/>
              </w:rPr>
            </w:pPr>
            <w:r w:rsidRPr="00D70C7D">
              <w:rPr>
                <w:b w:val="0"/>
                <w:bCs w:val="0"/>
              </w:rPr>
              <w:t>Unless</w:t>
            </w:r>
            <w:r w:rsidRPr="00D70C7D">
              <w:rPr>
                <w:b w:val="0"/>
                <w:bCs w:val="0"/>
                <w:spacing w:val="-14"/>
              </w:rPr>
              <w:t xml:space="preserve"> </w:t>
            </w:r>
            <w:r w:rsidRPr="00D70C7D">
              <w:rPr>
                <w:b w:val="0"/>
                <w:bCs w:val="0"/>
              </w:rPr>
              <w:t>otherwise</w:t>
            </w:r>
            <w:r w:rsidRPr="00D70C7D">
              <w:rPr>
                <w:b w:val="0"/>
                <w:bCs w:val="0"/>
                <w:spacing w:val="-16"/>
              </w:rPr>
              <w:t xml:space="preserve"> </w:t>
            </w:r>
            <w:r w:rsidRPr="00D70C7D">
              <w:rPr>
                <w:b w:val="0"/>
                <w:bCs w:val="0"/>
              </w:rPr>
              <w:t>specified</w:t>
            </w:r>
            <w:r w:rsidRPr="00D70C7D">
              <w:rPr>
                <w:b w:val="0"/>
                <w:bCs w:val="0"/>
                <w:spacing w:val="-14"/>
              </w:rPr>
              <w:t xml:space="preserve"> </w:t>
            </w:r>
            <w:r w:rsidRPr="00D70C7D">
              <w:rPr>
                <w:b w:val="0"/>
                <w:bCs w:val="0"/>
              </w:rPr>
              <w:t>means</w:t>
            </w:r>
            <w:r w:rsidRPr="00D70C7D">
              <w:rPr>
                <w:b w:val="0"/>
                <w:bCs w:val="0"/>
                <w:spacing w:val="-13"/>
              </w:rPr>
              <w:t xml:space="preserve"> </w:t>
            </w:r>
            <w:r w:rsidRPr="00D70C7D">
              <w:rPr>
                <w:b w:val="0"/>
                <w:bCs w:val="0"/>
              </w:rPr>
              <w:t>the</w:t>
            </w:r>
            <w:r w:rsidRPr="00D70C7D">
              <w:rPr>
                <w:b w:val="0"/>
                <w:bCs w:val="0"/>
                <w:spacing w:val="-14"/>
              </w:rPr>
              <w:t xml:space="preserve"> </w:t>
            </w:r>
            <w:r w:rsidRPr="00D70C7D">
              <w:rPr>
                <w:b w:val="0"/>
                <w:bCs w:val="0"/>
              </w:rPr>
              <w:t>Exporter</w:t>
            </w:r>
            <w:r w:rsidRPr="00D70C7D">
              <w:rPr>
                <w:b w:val="0"/>
                <w:bCs w:val="0"/>
                <w:spacing w:val="-14"/>
              </w:rPr>
              <w:t xml:space="preserve"> </w:t>
            </w:r>
            <w:r w:rsidRPr="00D70C7D">
              <w:rPr>
                <w:b w:val="0"/>
                <w:bCs w:val="0"/>
              </w:rPr>
              <w:t>Questionnaire</w:t>
            </w:r>
            <w:r w:rsidRPr="00D70C7D">
              <w:rPr>
                <w:b w:val="0"/>
                <w:bCs w:val="0"/>
                <w:spacing w:val="-13"/>
              </w:rPr>
              <w:t xml:space="preserve"> </w:t>
            </w:r>
            <w:r w:rsidRPr="00D70C7D">
              <w:rPr>
                <w:b w:val="0"/>
                <w:bCs w:val="0"/>
              </w:rPr>
              <w:t>issued</w:t>
            </w:r>
            <w:r w:rsidRPr="00D70C7D">
              <w:rPr>
                <w:b w:val="0"/>
                <w:bCs w:val="0"/>
                <w:spacing w:val="-14"/>
              </w:rPr>
              <w:t xml:space="preserve"> </w:t>
            </w:r>
            <w:r w:rsidRPr="00D70C7D">
              <w:rPr>
                <w:b w:val="0"/>
                <w:bCs w:val="0"/>
              </w:rPr>
              <w:t>by MOFCOM to Australian exporters on 10 October 2020</w:t>
            </w:r>
          </w:p>
        </w:tc>
      </w:tr>
      <w:tr w:rsidR="00BF2951" w14:paraId="01374754" w14:textId="77777777" w:rsidTr="00BF2951">
        <w:tc>
          <w:tcPr>
            <w:tcW w:w="2660" w:type="dxa"/>
          </w:tcPr>
          <w:p w14:paraId="051D9D4A" w14:textId="283879CE" w:rsidR="00BF2951" w:rsidRPr="00D70C7D" w:rsidRDefault="00BF2951" w:rsidP="00D70C7D">
            <w:pPr>
              <w:pStyle w:val="Heading3"/>
              <w:spacing w:before="0"/>
              <w:ind w:left="0" w:firstLine="0"/>
              <w:jc w:val="left"/>
              <w:rPr>
                <w:b w:val="0"/>
                <w:bCs w:val="0"/>
              </w:rPr>
            </w:pPr>
            <w:r w:rsidRPr="00D70C7D">
              <w:rPr>
                <w:b w:val="0"/>
                <w:bCs w:val="0"/>
                <w:spacing w:val="-5"/>
              </w:rPr>
              <w:t>AUD</w:t>
            </w:r>
          </w:p>
        </w:tc>
        <w:tc>
          <w:tcPr>
            <w:tcW w:w="7686" w:type="dxa"/>
          </w:tcPr>
          <w:p w14:paraId="5C27E2DE" w14:textId="19A58F1B" w:rsidR="00BF2951" w:rsidRPr="00D70C7D" w:rsidRDefault="00BF2951" w:rsidP="00BF2951">
            <w:pPr>
              <w:pStyle w:val="Heading3"/>
              <w:spacing w:before="0"/>
              <w:ind w:left="0" w:firstLine="0"/>
              <w:jc w:val="left"/>
              <w:rPr>
                <w:b w:val="0"/>
                <w:bCs w:val="0"/>
              </w:rPr>
            </w:pPr>
            <w:r w:rsidRPr="00D70C7D">
              <w:rPr>
                <w:b w:val="0"/>
                <w:bCs w:val="0"/>
              </w:rPr>
              <w:t>Australian</w:t>
            </w:r>
            <w:r w:rsidRPr="00D70C7D">
              <w:rPr>
                <w:b w:val="0"/>
                <w:bCs w:val="0"/>
                <w:spacing w:val="-1"/>
              </w:rPr>
              <w:t xml:space="preserve"> </w:t>
            </w:r>
            <w:r w:rsidRPr="00D70C7D">
              <w:rPr>
                <w:b w:val="0"/>
                <w:bCs w:val="0"/>
                <w:spacing w:val="-2"/>
              </w:rPr>
              <w:t>Dollars</w:t>
            </w:r>
          </w:p>
        </w:tc>
      </w:tr>
      <w:tr w:rsidR="00BF2951" w14:paraId="4B2D7219" w14:textId="77777777" w:rsidTr="00BF2951">
        <w:tc>
          <w:tcPr>
            <w:tcW w:w="2660" w:type="dxa"/>
          </w:tcPr>
          <w:p w14:paraId="460FF553" w14:textId="297F0937" w:rsidR="00BF2951" w:rsidRPr="00D70C7D" w:rsidRDefault="00BF2951" w:rsidP="00D70C7D">
            <w:pPr>
              <w:pStyle w:val="Heading3"/>
              <w:spacing w:before="0"/>
              <w:ind w:left="0" w:firstLine="0"/>
              <w:jc w:val="left"/>
              <w:rPr>
                <w:b w:val="0"/>
                <w:bCs w:val="0"/>
                <w:spacing w:val="-5"/>
              </w:rPr>
            </w:pPr>
            <w:r w:rsidRPr="00D70C7D">
              <w:rPr>
                <w:b w:val="0"/>
                <w:bCs w:val="0"/>
                <w:spacing w:val="-2"/>
              </w:rPr>
              <w:t xml:space="preserve">Australia's </w:t>
            </w:r>
            <w:r w:rsidRPr="00D70C7D">
              <w:rPr>
                <w:b w:val="0"/>
                <w:bCs w:val="0"/>
              </w:rPr>
              <w:t>response to Panel</w:t>
            </w:r>
            <w:r w:rsidRPr="00D70C7D">
              <w:rPr>
                <w:b w:val="0"/>
                <w:bCs w:val="0"/>
                <w:spacing w:val="-14"/>
              </w:rPr>
              <w:t xml:space="preserve"> </w:t>
            </w:r>
            <w:r w:rsidRPr="00D70C7D">
              <w:rPr>
                <w:b w:val="0"/>
                <w:bCs w:val="0"/>
              </w:rPr>
              <w:t>questions</w:t>
            </w:r>
          </w:p>
        </w:tc>
        <w:tc>
          <w:tcPr>
            <w:tcW w:w="7686" w:type="dxa"/>
          </w:tcPr>
          <w:p w14:paraId="6D435554" w14:textId="09915E8C" w:rsidR="00BF2951" w:rsidRPr="00D70C7D" w:rsidRDefault="00BF2951" w:rsidP="00BF2951">
            <w:pPr>
              <w:pStyle w:val="Heading3"/>
              <w:spacing w:before="0"/>
              <w:ind w:left="0" w:firstLine="0"/>
              <w:jc w:val="left"/>
              <w:rPr>
                <w:b w:val="0"/>
                <w:bCs w:val="0"/>
              </w:rPr>
            </w:pPr>
            <w:r w:rsidRPr="00D70C7D">
              <w:rPr>
                <w:b w:val="0"/>
                <w:bCs w:val="0"/>
              </w:rPr>
              <w:t>Australia's Responses to Questions from the Panel Following the first substantive meeting</w:t>
            </w:r>
          </w:p>
        </w:tc>
      </w:tr>
      <w:tr w:rsidR="00BF2951" w14:paraId="6307FE23" w14:textId="77777777" w:rsidTr="00BF2951">
        <w:tc>
          <w:tcPr>
            <w:tcW w:w="2660" w:type="dxa"/>
          </w:tcPr>
          <w:p w14:paraId="3B79505E" w14:textId="44AD6632" w:rsidR="00BF2951" w:rsidRPr="00D70C7D" w:rsidRDefault="00BF2951" w:rsidP="00D70C7D">
            <w:pPr>
              <w:pStyle w:val="Heading3"/>
              <w:spacing w:before="0"/>
              <w:ind w:left="0" w:firstLine="0"/>
              <w:jc w:val="left"/>
              <w:rPr>
                <w:b w:val="0"/>
                <w:bCs w:val="0"/>
                <w:spacing w:val="-2"/>
              </w:rPr>
            </w:pPr>
            <w:r w:rsidRPr="00D70C7D">
              <w:rPr>
                <w:b w:val="0"/>
                <w:bCs w:val="0"/>
              </w:rPr>
              <w:t>Australian</w:t>
            </w:r>
            <w:r w:rsidRPr="00D70C7D">
              <w:rPr>
                <w:b w:val="0"/>
                <w:bCs w:val="0"/>
                <w:spacing w:val="-14"/>
              </w:rPr>
              <w:t xml:space="preserve"> </w:t>
            </w:r>
            <w:r w:rsidRPr="00D70C7D">
              <w:rPr>
                <w:b w:val="0"/>
                <w:bCs w:val="0"/>
              </w:rPr>
              <w:t>Food and Beverage</w:t>
            </w:r>
          </w:p>
        </w:tc>
        <w:tc>
          <w:tcPr>
            <w:tcW w:w="7686" w:type="dxa"/>
          </w:tcPr>
          <w:p w14:paraId="380CEDB5" w14:textId="4B367211" w:rsidR="00BF2951" w:rsidRPr="00D70C7D" w:rsidRDefault="00BF2951" w:rsidP="00BF2951">
            <w:pPr>
              <w:pStyle w:val="Heading3"/>
              <w:spacing w:before="0"/>
              <w:ind w:left="0" w:firstLine="0"/>
              <w:jc w:val="left"/>
              <w:rPr>
                <w:b w:val="0"/>
                <w:bCs w:val="0"/>
              </w:rPr>
            </w:pPr>
            <w:r w:rsidRPr="00D70C7D">
              <w:rPr>
                <w:b w:val="0"/>
                <w:bCs w:val="0"/>
              </w:rPr>
              <w:t>Australian</w:t>
            </w:r>
            <w:r w:rsidRPr="00D70C7D">
              <w:rPr>
                <w:b w:val="0"/>
                <w:bCs w:val="0"/>
                <w:spacing w:val="-7"/>
              </w:rPr>
              <w:t xml:space="preserve"> </w:t>
            </w:r>
            <w:r w:rsidRPr="00D70C7D">
              <w:rPr>
                <w:b w:val="0"/>
                <w:bCs w:val="0"/>
              </w:rPr>
              <w:t>Food</w:t>
            </w:r>
            <w:r w:rsidRPr="00D70C7D">
              <w:rPr>
                <w:b w:val="0"/>
                <w:bCs w:val="0"/>
                <w:spacing w:val="-4"/>
              </w:rPr>
              <w:t xml:space="preserve"> </w:t>
            </w:r>
            <w:r w:rsidRPr="00D70C7D">
              <w:rPr>
                <w:b w:val="0"/>
                <w:bCs w:val="0"/>
              </w:rPr>
              <w:t>and Beverage</w:t>
            </w:r>
            <w:r w:rsidRPr="00D70C7D">
              <w:rPr>
                <w:b w:val="0"/>
                <w:bCs w:val="0"/>
                <w:spacing w:val="-3"/>
              </w:rPr>
              <w:t xml:space="preserve"> </w:t>
            </w:r>
            <w:r w:rsidRPr="00D70C7D">
              <w:rPr>
                <w:b w:val="0"/>
                <w:bCs w:val="0"/>
              </w:rPr>
              <w:t>Group</w:t>
            </w:r>
            <w:r w:rsidRPr="00D70C7D">
              <w:rPr>
                <w:b w:val="0"/>
                <w:bCs w:val="0"/>
                <w:spacing w:val="-4"/>
              </w:rPr>
              <w:t xml:space="preserve"> </w:t>
            </w:r>
            <w:r w:rsidRPr="00D70C7D">
              <w:rPr>
                <w:b w:val="0"/>
                <w:bCs w:val="0"/>
              </w:rPr>
              <w:t>Pty</w:t>
            </w:r>
            <w:r w:rsidRPr="00D70C7D">
              <w:rPr>
                <w:b w:val="0"/>
                <w:bCs w:val="0"/>
                <w:spacing w:val="-1"/>
              </w:rPr>
              <w:t xml:space="preserve"> </w:t>
            </w:r>
            <w:r w:rsidRPr="00D70C7D">
              <w:rPr>
                <w:b w:val="0"/>
                <w:bCs w:val="0"/>
                <w:spacing w:val="-5"/>
              </w:rPr>
              <w:t>Ltd</w:t>
            </w:r>
          </w:p>
        </w:tc>
      </w:tr>
      <w:tr w:rsidR="00BF2951" w14:paraId="1311503B" w14:textId="77777777" w:rsidTr="00BF2951">
        <w:tc>
          <w:tcPr>
            <w:tcW w:w="2660" w:type="dxa"/>
          </w:tcPr>
          <w:p w14:paraId="7FBF7244" w14:textId="1A3FA268" w:rsidR="00BF2951" w:rsidRPr="00D70C7D" w:rsidRDefault="00BF2951" w:rsidP="00D70C7D">
            <w:pPr>
              <w:pStyle w:val="Heading3"/>
              <w:spacing w:before="0"/>
              <w:ind w:left="0" w:firstLine="0"/>
              <w:jc w:val="left"/>
              <w:rPr>
                <w:b w:val="0"/>
                <w:bCs w:val="0"/>
              </w:rPr>
            </w:pPr>
            <w:r w:rsidRPr="00D70C7D">
              <w:rPr>
                <w:b w:val="0"/>
                <w:bCs w:val="0"/>
                <w:spacing w:val="-5"/>
              </w:rPr>
              <w:t>BCI</w:t>
            </w:r>
          </w:p>
        </w:tc>
        <w:tc>
          <w:tcPr>
            <w:tcW w:w="7686" w:type="dxa"/>
          </w:tcPr>
          <w:p w14:paraId="6E8F85EA" w14:textId="16462163" w:rsidR="00BF2951" w:rsidRPr="00D70C7D" w:rsidRDefault="00BF2951" w:rsidP="00BF2951">
            <w:pPr>
              <w:pStyle w:val="Heading3"/>
              <w:spacing w:before="0"/>
              <w:ind w:left="0" w:firstLine="0"/>
              <w:jc w:val="left"/>
              <w:rPr>
                <w:b w:val="0"/>
                <w:bCs w:val="0"/>
              </w:rPr>
            </w:pPr>
            <w:r w:rsidRPr="00D70C7D">
              <w:rPr>
                <w:b w:val="0"/>
                <w:bCs w:val="0"/>
              </w:rPr>
              <w:t>Business</w:t>
            </w:r>
            <w:r w:rsidRPr="00D70C7D">
              <w:rPr>
                <w:b w:val="0"/>
                <w:bCs w:val="0"/>
                <w:spacing w:val="-4"/>
              </w:rPr>
              <w:t xml:space="preserve"> </w:t>
            </w:r>
            <w:r w:rsidRPr="00D70C7D">
              <w:rPr>
                <w:b w:val="0"/>
                <w:bCs w:val="0"/>
              </w:rPr>
              <w:t>Confidential</w:t>
            </w:r>
            <w:r w:rsidRPr="00D70C7D">
              <w:rPr>
                <w:b w:val="0"/>
                <w:bCs w:val="0"/>
                <w:spacing w:val="-3"/>
              </w:rPr>
              <w:t xml:space="preserve"> </w:t>
            </w:r>
            <w:r w:rsidRPr="00D70C7D">
              <w:rPr>
                <w:b w:val="0"/>
                <w:bCs w:val="0"/>
                <w:spacing w:val="-2"/>
              </w:rPr>
              <w:t>Information</w:t>
            </w:r>
          </w:p>
        </w:tc>
      </w:tr>
      <w:tr w:rsidR="00BF2951" w14:paraId="25116851" w14:textId="77777777" w:rsidTr="00BF2951">
        <w:tc>
          <w:tcPr>
            <w:tcW w:w="2660" w:type="dxa"/>
          </w:tcPr>
          <w:p w14:paraId="6609A6D1" w14:textId="27DBBFB9" w:rsidR="00BF2951" w:rsidRPr="00D70C7D" w:rsidRDefault="00BF2951" w:rsidP="00D70C7D">
            <w:pPr>
              <w:pStyle w:val="Heading3"/>
              <w:spacing w:before="0"/>
              <w:ind w:left="0" w:firstLine="0"/>
              <w:jc w:val="left"/>
              <w:rPr>
                <w:b w:val="0"/>
                <w:bCs w:val="0"/>
                <w:spacing w:val="-5"/>
              </w:rPr>
            </w:pPr>
            <w:r w:rsidRPr="00D70C7D">
              <w:rPr>
                <w:b w:val="0"/>
                <w:bCs w:val="0"/>
                <w:spacing w:val="-4"/>
              </w:rPr>
              <w:t>CADA</w:t>
            </w:r>
          </w:p>
        </w:tc>
        <w:tc>
          <w:tcPr>
            <w:tcW w:w="7686" w:type="dxa"/>
          </w:tcPr>
          <w:p w14:paraId="1B519D6F" w14:textId="3456DCF2" w:rsidR="00BF2951" w:rsidRPr="00D70C7D" w:rsidRDefault="00BF2951" w:rsidP="00BF2951">
            <w:pPr>
              <w:pStyle w:val="Heading3"/>
              <w:spacing w:before="0"/>
              <w:ind w:left="0" w:firstLine="0"/>
              <w:jc w:val="left"/>
              <w:rPr>
                <w:b w:val="0"/>
                <w:bCs w:val="0"/>
              </w:rPr>
            </w:pPr>
            <w:r w:rsidRPr="00D70C7D">
              <w:rPr>
                <w:b w:val="0"/>
                <w:bCs w:val="0"/>
              </w:rPr>
              <w:t>China</w:t>
            </w:r>
            <w:r w:rsidRPr="00D70C7D">
              <w:rPr>
                <w:b w:val="0"/>
                <w:bCs w:val="0"/>
                <w:spacing w:val="-3"/>
              </w:rPr>
              <w:t xml:space="preserve"> </w:t>
            </w:r>
            <w:r w:rsidRPr="00D70C7D">
              <w:rPr>
                <w:b w:val="0"/>
                <w:bCs w:val="0"/>
              </w:rPr>
              <w:t>Alcoholic</w:t>
            </w:r>
            <w:r w:rsidRPr="00D70C7D">
              <w:rPr>
                <w:b w:val="0"/>
                <w:bCs w:val="0"/>
                <w:spacing w:val="-4"/>
              </w:rPr>
              <w:t xml:space="preserve"> </w:t>
            </w:r>
            <w:r w:rsidRPr="00D70C7D">
              <w:rPr>
                <w:b w:val="0"/>
                <w:bCs w:val="0"/>
              </w:rPr>
              <w:t>Drinks</w:t>
            </w:r>
            <w:r w:rsidRPr="00D70C7D">
              <w:rPr>
                <w:b w:val="0"/>
                <w:bCs w:val="0"/>
                <w:spacing w:val="-1"/>
              </w:rPr>
              <w:t xml:space="preserve"> </w:t>
            </w:r>
            <w:r w:rsidRPr="00D70C7D">
              <w:rPr>
                <w:b w:val="0"/>
                <w:bCs w:val="0"/>
                <w:spacing w:val="-2"/>
              </w:rPr>
              <w:t>Association</w:t>
            </w:r>
          </w:p>
        </w:tc>
      </w:tr>
      <w:tr w:rsidR="00BF2951" w14:paraId="38E50075" w14:textId="77777777" w:rsidTr="00BF2951">
        <w:tc>
          <w:tcPr>
            <w:tcW w:w="2660" w:type="dxa"/>
          </w:tcPr>
          <w:p w14:paraId="572075E8" w14:textId="4758D9A7" w:rsidR="00BF2951" w:rsidRPr="00D70C7D" w:rsidRDefault="00BF2951" w:rsidP="00D70C7D">
            <w:pPr>
              <w:pStyle w:val="TableParagraph"/>
              <w:spacing w:before="1"/>
              <w:ind w:left="0"/>
              <w:jc w:val="both"/>
              <w:rPr>
                <w:sz w:val="24"/>
              </w:rPr>
            </w:pPr>
            <w:r w:rsidRPr="00D70C7D">
              <w:rPr>
                <w:spacing w:val="-2"/>
                <w:sz w:val="24"/>
              </w:rPr>
              <w:t>CADA's</w:t>
            </w:r>
            <w:r w:rsidR="00D70C7D" w:rsidRPr="00D70C7D">
              <w:rPr>
                <w:spacing w:val="-2"/>
                <w:sz w:val="24"/>
              </w:rPr>
              <w:t xml:space="preserve"> </w:t>
            </w:r>
            <w:r w:rsidRPr="00D70C7D">
              <w:rPr>
                <w:spacing w:val="-2"/>
                <w:sz w:val="24"/>
              </w:rPr>
              <w:t>application</w:t>
            </w:r>
          </w:p>
        </w:tc>
        <w:tc>
          <w:tcPr>
            <w:tcW w:w="7686" w:type="dxa"/>
          </w:tcPr>
          <w:p w14:paraId="13582DE2" w14:textId="54F0EBB3" w:rsidR="00BF2951" w:rsidRPr="00D70C7D" w:rsidRDefault="00BF2951" w:rsidP="00BF2951">
            <w:pPr>
              <w:pStyle w:val="Heading3"/>
              <w:spacing w:before="0"/>
              <w:ind w:left="0" w:firstLine="0"/>
              <w:jc w:val="left"/>
              <w:rPr>
                <w:b w:val="0"/>
                <w:bCs w:val="0"/>
              </w:rPr>
            </w:pPr>
            <w:r w:rsidRPr="00D70C7D">
              <w:rPr>
                <w:b w:val="0"/>
                <w:bCs w:val="0"/>
              </w:rPr>
              <w:t>CADA, "Application of the Wine Industry of the People's Republic of China</w:t>
            </w:r>
            <w:r w:rsidRPr="00D70C7D">
              <w:rPr>
                <w:b w:val="0"/>
                <w:bCs w:val="0"/>
                <w:spacing w:val="-10"/>
              </w:rPr>
              <w:t xml:space="preserve"> </w:t>
            </w:r>
            <w:r w:rsidRPr="00D70C7D">
              <w:rPr>
                <w:b w:val="0"/>
                <w:bCs w:val="0"/>
              </w:rPr>
              <w:t>for</w:t>
            </w:r>
            <w:r w:rsidRPr="00D70C7D">
              <w:rPr>
                <w:b w:val="0"/>
                <w:bCs w:val="0"/>
                <w:spacing w:val="-7"/>
              </w:rPr>
              <w:t xml:space="preserve"> </w:t>
            </w:r>
            <w:r w:rsidRPr="00D70C7D">
              <w:rPr>
                <w:b w:val="0"/>
                <w:bCs w:val="0"/>
              </w:rPr>
              <w:t>Anti-dumping</w:t>
            </w:r>
            <w:r w:rsidRPr="00D70C7D">
              <w:rPr>
                <w:b w:val="0"/>
                <w:bCs w:val="0"/>
                <w:spacing w:val="-8"/>
              </w:rPr>
              <w:t xml:space="preserve"> </w:t>
            </w:r>
            <w:r w:rsidRPr="00D70C7D">
              <w:rPr>
                <w:b w:val="0"/>
                <w:bCs w:val="0"/>
              </w:rPr>
              <w:t>Investigation</w:t>
            </w:r>
            <w:r w:rsidRPr="00D70C7D">
              <w:rPr>
                <w:b w:val="0"/>
                <w:bCs w:val="0"/>
                <w:spacing w:val="-11"/>
              </w:rPr>
              <w:t xml:space="preserve"> </w:t>
            </w:r>
            <w:r w:rsidRPr="00D70C7D">
              <w:rPr>
                <w:b w:val="0"/>
                <w:bCs w:val="0"/>
              </w:rPr>
              <w:t>on</w:t>
            </w:r>
            <w:r w:rsidRPr="00D70C7D">
              <w:rPr>
                <w:b w:val="0"/>
                <w:bCs w:val="0"/>
                <w:spacing w:val="-6"/>
              </w:rPr>
              <w:t xml:space="preserve"> </w:t>
            </w:r>
            <w:r w:rsidRPr="00D70C7D">
              <w:rPr>
                <w:b w:val="0"/>
                <w:bCs w:val="0"/>
              </w:rPr>
              <w:t>Imported</w:t>
            </w:r>
            <w:r w:rsidRPr="00D70C7D">
              <w:rPr>
                <w:b w:val="0"/>
                <w:bCs w:val="0"/>
                <w:spacing w:val="-2"/>
              </w:rPr>
              <w:t xml:space="preserve"> </w:t>
            </w:r>
            <w:r w:rsidRPr="00D70C7D">
              <w:rPr>
                <w:b w:val="0"/>
                <w:bCs w:val="0"/>
              </w:rPr>
              <w:t>Wines</w:t>
            </w:r>
            <w:r w:rsidRPr="00D70C7D">
              <w:rPr>
                <w:b w:val="0"/>
                <w:bCs w:val="0"/>
                <w:spacing w:val="-8"/>
              </w:rPr>
              <w:t xml:space="preserve"> </w:t>
            </w:r>
            <w:r w:rsidRPr="00D70C7D">
              <w:rPr>
                <w:b w:val="0"/>
                <w:bCs w:val="0"/>
              </w:rPr>
              <w:t>Originating</w:t>
            </w:r>
            <w:r w:rsidRPr="00D70C7D">
              <w:rPr>
                <w:b w:val="0"/>
                <w:bCs w:val="0"/>
                <w:spacing w:val="-8"/>
              </w:rPr>
              <w:t xml:space="preserve"> </w:t>
            </w:r>
            <w:r w:rsidRPr="00D70C7D">
              <w:rPr>
                <w:b w:val="0"/>
                <w:bCs w:val="0"/>
              </w:rPr>
              <w:t>in Australia", 6 July 2020</w:t>
            </w:r>
          </w:p>
        </w:tc>
      </w:tr>
      <w:tr w:rsidR="00BF2951" w14:paraId="1F594879" w14:textId="77777777" w:rsidTr="00BF2951">
        <w:tc>
          <w:tcPr>
            <w:tcW w:w="2660" w:type="dxa"/>
          </w:tcPr>
          <w:p w14:paraId="6B555DCC" w14:textId="3F3DF9C3" w:rsidR="00BF2951" w:rsidRPr="00D70C7D" w:rsidRDefault="00BF2951" w:rsidP="00D70C7D">
            <w:pPr>
              <w:pStyle w:val="TableParagraph"/>
              <w:spacing w:before="1"/>
              <w:rPr>
                <w:spacing w:val="-2"/>
                <w:sz w:val="24"/>
              </w:rPr>
            </w:pPr>
            <w:r w:rsidRPr="00D70C7D">
              <w:rPr>
                <w:sz w:val="24"/>
              </w:rPr>
              <w:t xml:space="preserve">Casella </w:t>
            </w:r>
            <w:r w:rsidRPr="00D70C7D">
              <w:rPr>
                <w:spacing w:val="-2"/>
                <w:sz w:val="24"/>
              </w:rPr>
              <w:t>Wines</w:t>
            </w:r>
          </w:p>
        </w:tc>
        <w:tc>
          <w:tcPr>
            <w:tcW w:w="7686" w:type="dxa"/>
          </w:tcPr>
          <w:p w14:paraId="44FC5518" w14:textId="47A38355" w:rsidR="00BF2951" w:rsidRPr="00D70C7D" w:rsidRDefault="00BF2951" w:rsidP="00BF2951">
            <w:pPr>
              <w:pStyle w:val="Heading3"/>
              <w:spacing w:before="0"/>
              <w:ind w:left="0" w:firstLine="0"/>
              <w:jc w:val="left"/>
              <w:rPr>
                <w:b w:val="0"/>
                <w:bCs w:val="0"/>
              </w:rPr>
            </w:pPr>
            <w:r w:rsidRPr="00D70C7D">
              <w:rPr>
                <w:b w:val="0"/>
                <w:bCs w:val="0"/>
              </w:rPr>
              <w:t>Casella</w:t>
            </w:r>
            <w:r w:rsidRPr="00D70C7D">
              <w:rPr>
                <w:b w:val="0"/>
                <w:bCs w:val="0"/>
                <w:spacing w:val="-6"/>
              </w:rPr>
              <w:t xml:space="preserve"> </w:t>
            </w:r>
            <w:r w:rsidRPr="00D70C7D">
              <w:rPr>
                <w:b w:val="0"/>
                <w:bCs w:val="0"/>
              </w:rPr>
              <w:t>Wines</w:t>
            </w:r>
            <w:r w:rsidRPr="00D70C7D">
              <w:rPr>
                <w:b w:val="0"/>
                <w:bCs w:val="0"/>
                <w:spacing w:val="-2"/>
              </w:rPr>
              <w:t xml:space="preserve"> </w:t>
            </w:r>
            <w:r w:rsidRPr="00D70C7D">
              <w:rPr>
                <w:b w:val="0"/>
                <w:bCs w:val="0"/>
              </w:rPr>
              <w:t>Pty</w:t>
            </w:r>
            <w:r w:rsidRPr="00D70C7D">
              <w:rPr>
                <w:b w:val="0"/>
                <w:bCs w:val="0"/>
                <w:spacing w:val="-1"/>
              </w:rPr>
              <w:t xml:space="preserve"> </w:t>
            </w:r>
            <w:r w:rsidRPr="00D70C7D">
              <w:rPr>
                <w:b w:val="0"/>
                <w:bCs w:val="0"/>
                <w:spacing w:val="-5"/>
              </w:rPr>
              <w:t>Ltd</w:t>
            </w:r>
          </w:p>
        </w:tc>
      </w:tr>
      <w:tr w:rsidR="00BF2951" w14:paraId="4682F042" w14:textId="77777777" w:rsidTr="00BF2951">
        <w:tc>
          <w:tcPr>
            <w:tcW w:w="2660" w:type="dxa"/>
          </w:tcPr>
          <w:p w14:paraId="3B7EA63D" w14:textId="2847F310" w:rsidR="00BF2951" w:rsidRPr="00D70C7D" w:rsidRDefault="00BF2951" w:rsidP="00D70C7D">
            <w:pPr>
              <w:pStyle w:val="TableParagraph"/>
              <w:spacing w:before="1"/>
              <w:rPr>
                <w:sz w:val="24"/>
              </w:rPr>
            </w:pPr>
            <w:r w:rsidRPr="00D70C7D">
              <w:rPr>
                <w:spacing w:val="-2"/>
                <w:sz w:val="24"/>
              </w:rPr>
              <w:t>CHAFTA</w:t>
            </w:r>
          </w:p>
        </w:tc>
        <w:tc>
          <w:tcPr>
            <w:tcW w:w="7686" w:type="dxa"/>
          </w:tcPr>
          <w:p w14:paraId="04BC4A81" w14:textId="6B44738B" w:rsidR="00BF2951" w:rsidRPr="00D70C7D" w:rsidRDefault="00BF2951" w:rsidP="00BF2951">
            <w:pPr>
              <w:pStyle w:val="Heading3"/>
              <w:spacing w:before="0"/>
              <w:ind w:left="0" w:firstLine="0"/>
              <w:jc w:val="left"/>
              <w:rPr>
                <w:b w:val="0"/>
                <w:bCs w:val="0"/>
              </w:rPr>
            </w:pPr>
            <w:r w:rsidRPr="00D70C7D">
              <w:rPr>
                <w:b w:val="0"/>
                <w:bCs w:val="0"/>
              </w:rPr>
              <w:t>China-Australia</w:t>
            </w:r>
            <w:r w:rsidRPr="00D70C7D">
              <w:rPr>
                <w:b w:val="0"/>
                <w:bCs w:val="0"/>
                <w:spacing w:val="-6"/>
              </w:rPr>
              <w:t xml:space="preserve"> </w:t>
            </w:r>
            <w:r w:rsidRPr="00D70C7D">
              <w:rPr>
                <w:b w:val="0"/>
                <w:bCs w:val="0"/>
              </w:rPr>
              <w:t>Free</w:t>
            </w:r>
            <w:r w:rsidRPr="00D70C7D">
              <w:rPr>
                <w:b w:val="0"/>
                <w:bCs w:val="0"/>
                <w:spacing w:val="-5"/>
              </w:rPr>
              <w:t xml:space="preserve"> </w:t>
            </w:r>
            <w:r w:rsidRPr="00D70C7D">
              <w:rPr>
                <w:b w:val="0"/>
                <w:bCs w:val="0"/>
              </w:rPr>
              <w:t>Trade</w:t>
            </w:r>
            <w:r w:rsidRPr="00D70C7D">
              <w:rPr>
                <w:b w:val="0"/>
                <w:bCs w:val="0"/>
                <w:spacing w:val="-4"/>
              </w:rPr>
              <w:t xml:space="preserve"> </w:t>
            </w:r>
            <w:r w:rsidRPr="00D70C7D">
              <w:rPr>
                <w:b w:val="0"/>
                <w:bCs w:val="0"/>
                <w:spacing w:val="-2"/>
              </w:rPr>
              <w:t>Agreement</w:t>
            </w:r>
          </w:p>
        </w:tc>
      </w:tr>
      <w:tr w:rsidR="00BF2951" w14:paraId="50A0ECBF" w14:textId="77777777" w:rsidTr="00BF2951">
        <w:tc>
          <w:tcPr>
            <w:tcW w:w="2660" w:type="dxa"/>
          </w:tcPr>
          <w:p w14:paraId="7E5A5106" w14:textId="48A72E68" w:rsidR="00BF2951" w:rsidRPr="00D70C7D" w:rsidRDefault="00BF2951" w:rsidP="00D70C7D">
            <w:pPr>
              <w:pStyle w:val="TableParagraph"/>
              <w:spacing w:before="1"/>
              <w:rPr>
                <w:spacing w:val="-2"/>
                <w:sz w:val="24"/>
              </w:rPr>
            </w:pPr>
            <w:r w:rsidRPr="00D70C7D">
              <w:rPr>
                <w:sz w:val="24"/>
              </w:rPr>
              <w:t>Changyu</w:t>
            </w:r>
            <w:r w:rsidRPr="00D70C7D">
              <w:rPr>
                <w:spacing w:val="-5"/>
                <w:sz w:val="24"/>
              </w:rPr>
              <w:t xml:space="preserve"> </w:t>
            </w:r>
            <w:r w:rsidRPr="00D70C7D">
              <w:rPr>
                <w:spacing w:val="-2"/>
                <w:sz w:val="24"/>
              </w:rPr>
              <w:t>Wines</w:t>
            </w:r>
          </w:p>
        </w:tc>
        <w:tc>
          <w:tcPr>
            <w:tcW w:w="7686" w:type="dxa"/>
          </w:tcPr>
          <w:p w14:paraId="69E350D5" w14:textId="50AC2F83" w:rsidR="00BF2951" w:rsidRPr="00D70C7D" w:rsidRDefault="00BF2951" w:rsidP="00BF2951">
            <w:pPr>
              <w:pStyle w:val="Heading3"/>
              <w:spacing w:before="0"/>
              <w:ind w:left="0" w:firstLine="0"/>
              <w:jc w:val="left"/>
              <w:rPr>
                <w:b w:val="0"/>
                <w:bCs w:val="0"/>
              </w:rPr>
            </w:pPr>
            <w:r w:rsidRPr="00D70C7D">
              <w:rPr>
                <w:b w:val="0"/>
                <w:bCs w:val="0"/>
              </w:rPr>
              <w:t>Yantai Changyu</w:t>
            </w:r>
            <w:r w:rsidRPr="00D70C7D">
              <w:rPr>
                <w:b w:val="0"/>
                <w:bCs w:val="0"/>
                <w:spacing w:val="-3"/>
              </w:rPr>
              <w:t xml:space="preserve"> </w:t>
            </w:r>
            <w:r w:rsidRPr="00D70C7D">
              <w:rPr>
                <w:b w:val="0"/>
                <w:bCs w:val="0"/>
              </w:rPr>
              <w:t>Pioneer</w:t>
            </w:r>
            <w:r w:rsidRPr="00D70C7D">
              <w:rPr>
                <w:b w:val="0"/>
                <w:bCs w:val="0"/>
                <w:spacing w:val="-5"/>
              </w:rPr>
              <w:t xml:space="preserve"> </w:t>
            </w:r>
            <w:r w:rsidRPr="00D70C7D">
              <w:rPr>
                <w:b w:val="0"/>
                <w:bCs w:val="0"/>
              </w:rPr>
              <w:t>Wine</w:t>
            </w:r>
            <w:r w:rsidRPr="00D70C7D">
              <w:rPr>
                <w:b w:val="0"/>
                <w:bCs w:val="0"/>
                <w:spacing w:val="-2"/>
              </w:rPr>
              <w:t xml:space="preserve"> </w:t>
            </w:r>
            <w:r w:rsidRPr="00D70C7D">
              <w:rPr>
                <w:b w:val="0"/>
                <w:bCs w:val="0"/>
              </w:rPr>
              <w:t>Co</w:t>
            </w:r>
            <w:r w:rsidRPr="00D70C7D">
              <w:rPr>
                <w:b w:val="0"/>
                <w:bCs w:val="0"/>
                <w:spacing w:val="-4"/>
              </w:rPr>
              <w:t xml:space="preserve"> </w:t>
            </w:r>
            <w:r w:rsidRPr="00D70C7D">
              <w:rPr>
                <w:b w:val="0"/>
                <w:bCs w:val="0"/>
                <w:spacing w:val="-5"/>
              </w:rPr>
              <w:t>Ltd</w:t>
            </w:r>
          </w:p>
        </w:tc>
      </w:tr>
      <w:tr w:rsidR="00BF2951" w14:paraId="2C6E76BF" w14:textId="77777777" w:rsidTr="00BF2951">
        <w:tc>
          <w:tcPr>
            <w:tcW w:w="2660" w:type="dxa"/>
          </w:tcPr>
          <w:p w14:paraId="10548A8D" w14:textId="24CE495E" w:rsidR="00BF2951" w:rsidRPr="00D70C7D" w:rsidRDefault="00BF2951" w:rsidP="00D70C7D">
            <w:pPr>
              <w:pStyle w:val="TableParagraph"/>
              <w:spacing w:before="1"/>
              <w:rPr>
                <w:sz w:val="24"/>
              </w:rPr>
            </w:pPr>
            <w:r w:rsidRPr="00D70C7D">
              <w:rPr>
                <w:sz w:val="24"/>
              </w:rPr>
              <w:t>China's</w:t>
            </w:r>
            <w:r w:rsidRPr="00D70C7D">
              <w:rPr>
                <w:spacing w:val="-14"/>
                <w:sz w:val="24"/>
              </w:rPr>
              <w:t xml:space="preserve"> </w:t>
            </w:r>
            <w:r w:rsidRPr="00D70C7D">
              <w:rPr>
                <w:sz w:val="24"/>
              </w:rPr>
              <w:t xml:space="preserve">response to Panel </w:t>
            </w:r>
            <w:r w:rsidRPr="00D70C7D">
              <w:rPr>
                <w:spacing w:val="-2"/>
                <w:sz w:val="24"/>
              </w:rPr>
              <w:t>questions</w:t>
            </w:r>
          </w:p>
        </w:tc>
        <w:tc>
          <w:tcPr>
            <w:tcW w:w="7686" w:type="dxa"/>
          </w:tcPr>
          <w:p w14:paraId="1653EB16" w14:textId="18E155AC" w:rsidR="00BF2951" w:rsidRPr="00D70C7D" w:rsidRDefault="00BF2951" w:rsidP="00BF2951">
            <w:pPr>
              <w:pStyle w:val="Heading3"/>
              <w:spacing w:before="0"/>
              <w:ind w:left="0" w:firstLine="0"/>
              <w:jc w:val="left"/>
              <w:rPr>
                <w:b w:val="0"/>
                <w:bCs w:val="0"/>
              </w:rPr>
            </w:pPr>
            <w:r w:rsidRPr="00D70C7D">
              <w:rPr>
                <w:b w:val="0"/>
                <w:bCs w:val="0"/>
              </w:rPr>
              <w:t>China's</w:t>
            </w:r>
            <w:r w:rsidRPr="00D70C7D">
              <w:rPr>
                <w:b w:val="0"/>
                <w:bCs w:val="0"/>
                <w:spacing w:val="40"/>
              </w:rPr>
              <w:t xml:space="preserve"> </w:t>
            </w:r>
            <w:r w:rsidRPr="00D70C7D">
              <w:rPr>
                <w:b w:val="0"/>
                <w:bCs w:val="0"/>
              </w:rPr>
              <w:t>Responses</w:t>
            </w:r>
            <w:r w:rsidRPr="00D70C7D">
              <w:rPr>
                <w:b w:val="0"/>
                <w:bCs w:val="0"/>
                <w:spacing w:val="40"/>
              </w:rPr>
              <w:t xml:space="preserve"> </w:t>
            </w:r>
            <w:r w:rsidRPr="00D70C7D">
              <w:rPr>
                <w:b w:val="0"/>
                <w:bCs w:val="0"/>
              </w:rPr>
              <w:t>to</w:t>
            </w:r>
            <w:r w:rsidRPr="00D70C7D">
              <w:rPr>
                <w:b w:val="0"/>
                <w:bCs w:val="0"/>
                <w:spacing w:val="40"/>
              </w:rPr>
              <w:t xml:space="preserve"> </w:t>
            </w:r>
            <w:r w:rsidRPr="00D70C7D">
              <w:rPr>
                <w:b w:val="0"/>
                <w:bCs w:val="0"/>
              </w:rPr>
              <w:t>Questions</w:t>
            </w:r>
            <w:r w:rsidRPr="00D70C7D">
              <w:rPr>
                <w:b w:val="0"/>
                <w:bCs w:val="0"/>
                <w:spacing w:val="40"/>
              </w:rPr>
              <w:t xml:space="preserve"> </w:t>
            </w:r>
            <w:r w:rsidRPr="00D70C7D">
              <w:rPr>
                <w:b w:val="0"/>
                <w:bCs w:val="0"/>
              </w:rPr>
              <w:t>from</w:t>
            </w:r>
            <w:r w:rsidRPr="00D70C7D">
              <w:rPr>
                <w:b w:val="0"/>
                <w:bCs w:val="0"/>
                <w:spacing w:val="40"/>
              </w:rPr>
              <w:t xml:space="preserve"> </w:t>
            </w:r>
            <w:r w:rsidRPr="00D70C7D">
              <w:rPr>
                <w:b w:val="0"/>
                <w:bCs w:val="0"/>
              </w:rPr>
              <w:t>the</w:t>
            </w:r>
            <w:r w:rsidRPr="00D70C7D">
              <w:rPr>
                <w:b w:val="0"/>
                <w:bCs w:val="0"/>
                <w:spacing w:val="40"/>
              </w:rPr>
              <w:t xml:space="preserve"> </w:t>
            </w:r>
            <w:r w:rsidRPr="00D70C7D">
              <w:rPr>
                <w:b w:val="0"/>
                <w:bCs w:val="0"/>
              </w:rPr>
              <w:t>Panel</w:t>
            </w:r>
            <w:r w:rsidRPr="00D70C7D">
              <w:rPr>
                <w:b w:val="0"/>
                <w:bCs w:val="0"/>
                <w:spacing w:val="40"/>
              </w:rPr>
              <w:t xml:space="preserve"> </w:t>
            </w:r>
            <w:r w:rsidRPr="00D70C7D">
              <w:rPr>
                <w:b w:val="0"/>
                <w:bCs w:val="0"/>
              </w:rPr>
              <w:t>Following</w:t>
            </w:r>
            <w:r w:rsidRPr="00D70C7D">
              <w:rPr>
                <w:b w:val="0"/>
                <w:bCs w:val="0"/>
                <w:spacing w:val="40"/>
              </w:rPr>
              <w:t xml:space="preserve"> </w:t>
            </w:r>
            <w:r w:rsidRPr="00D70C7D">
              <w:rPr>
                <w:b w:val="0"/>
                <w:bCs w:val="0"/>
              </w:rPr>
              <w:t>the</w:t>
            </w:r>
            <w:r w:rsidRPr="00D70C7D">
              <w:rPr>
                <w:b w:val="0"/>
                <w:bCs w:val="0"/>
                <w:spacing w:val="40"/>
              </w:rPr>
              <w:t xml:space="preserve"> </w:t>
            </w:r>
            <w:r w:rsidRPr="00D70C7D">
              <w:rPr>
                <w:b w:val="0"/>
                <w:bCs w:val="0"/>
              </w:rPr>
              <w:t>first substantive meeting</w:t>
            </w:r>
          </w:p>
        </w:tc>
      </w:tr>
      <w:tr w:rsidR="00BF2951" w14:paraId="07E91D4E" w14:textId="77777777" w:rsidTr="00BF2951">
        <w:tc>
          <w:tcPr>
            <w:tcW w:w="2660" w:type="dxa"/>
          </w:tcPr>
          <w:p w14:paraId="196EAAFE" w14:textId="6B995412" w:rsidR="00BF2951" w:rsidRPr="00D70C7D" w:rsidRDefault="00BF2951" w:rsidP="00D70C7D">
            <w:pPr>
              <w:pStyle w:val="TableParagraph"/>
              <w:spacing w:before="1"/>
              <w:rPr>
                <w:sz w:val="24"/>
              </w:rPr>
            </w:pPr>
            <w:r w:rsidRPr="00D70C7D">
              <w:rPr>
                <w:spacing w:val="-2"/>
                <w:sz w:val="24"/>
              </w:rPr>
              <w:t>China's Countervailing Regulation</w:t>
            </w:r>
          </w:p>
        </w:tc>
        <w:tc>
          <w:tcPr>
            <w:tcW w:w="7686" w:type="dxa"/>
          </w:tcPr>
          <w:p w14:paraId="45A28C31" w14:textId="743B2761" w:rsidR="00BF2951" w:rsidRPr="00D70C7D" w:rsidRDefault="00BF2951" w:rsidP="00BF2951">
            <w:pPr>
              <w:pStyle w:val="Heading3"/>
              <w:spacing w:before="0"/>
              <w:ind w:left="0" w:firstLine="0"/>
              <w:jc w:val="left"/>
              <w:rPr>
                <w:b w:val="0"/>
                <w:bCs w:val="0"/>
              </w:rPr>
            </w:pPr>
            <w:r w:rsidRPr="00D70C7D">
              <w:rPr>
                <w:b w:val="0"/>
                <w:bCs w:val="0"/>
              </w:rPr>
              <w:t>Countervailing</w:t>
            </w:r>
            <w:r w:rsidRPr="00D70C7D">
              <w:rPr>
                <w:b w:val="0"/>
                <w:bCs w:val="0"/>
                <w:spacing w:val="-3"/>
              </w:rPr>
              <w:t xml:space="preserve"> </w:t>
            </w:r>
            <w:r w:rsidRPr="00D70C7D">
              <w:rPr>
                <w:b w:val="0"/>
                <w:bCs w:val="0"/>
              </w:rPr>
              <w:t>Regulation</w:t>
            </w:r>
            <w:r w:rsidRPr="00D70C7D">
              <w:rPr>
                <w:b w:val="0"/>
                <w:bCs w:val="0"/>
                <w:spacing w:val="-6"/>
              </w:rPr>
              <w:t xml:space="preserve"> </w:t>
            </w:r>
            <w:r w:rsidRPr="00D70C7D">
              <w:rPr>
                <w:b w:val="0"/>
                <w:bCs w:val="0"/>
              </w:rPr>
              <w:t>of</w:t>
            </w:r>
            <w:r w:rsidRPr="00D70C7D">
              <w:rPr>
                <w:b w:val="0"/>
                <w:bCs w:val="0"/>
                <w:spacing w:val="-6"/>
              </w:rPr>
              <w:t xml:space="preserve"> </w:t>
            </w:r>
            <w:r w:rsidRPr="00D70C7D">
              <w:rPr>
                <w:b w:val="0"/>
                <w:bCs w:val="0"/>
              </w:rPr>
              <w:t>the</w:t>
            </w:r>
            <w:r w:rsidRPr="00D70C7D">
              <w:rPr>
                <w:b w:val="0"/>
                <w:bCs w:val="0"/>
                <w:spacing w:val="-5"/>
              </w:rPr>
              <w:t xml:space="preserve"> </w:t>
            </w:r>
            <w:r w:rsidRPr="00D70C7D">
              <w:rPr>
                <w:b w:val="0"/>
                <w:bCs w:val="0"/>
              </w:rPr>
              <w:t>People's</w:t>
            </w:r>
            <w:r w:rsidRPr="00D70C7D">
              <w:rPr>
                <w:b w:val="0"/>
                <w:bCs w:val="0"/>
                <w:spacing w:val="-3"/>
              </w:rPr>
              <w:t xml:space="preserve"> </w:t>
            </w:r>
            <w:r w:rsidRPr="00D70C7D">
              <w:rPr>
                <w:b w:val="0"/>
                <w:bCs w:val="0"/>
              </w:rPr>
              <w:t>Republic</w:t>
            </w:r>
            <w:r w:rsidRPr="00D70C7D">
              <w:rPr>
                <w:b w:val="0"/>
                <w:bCs w:val="0"/>
                <w:spacing w:val="-6"/>
              </w:rPr>
              <w:t xml:space="preserve"> </w:t>
            </w:r>
            <w:r w:rsidRPr="00D70C7D">
              <w:rPr>
                <w:b w:val="0"/>
                <w:bCs w:val="0"/>
              </w:rPr>
              <w:t>of</w:t>
            </w:r>
            <w:r w:rsidRPr="00D70C7D">
              <w:rPr>
                <w:b w:val="0"/>
                <w:bCs w:val="0"/>
                <w:spacing w:val="-5"/>
              </w:rPr>
              <w:t xml:space="preserve"> </w:t>
            </w:r>
            <w:r w:rsidRPr="00D70C7D">
              <w:rPr>
                <w:b w:val="0"/>
                <w:bCs w:val="0"/>
                <w:spacing w:val="-2"/>
              </w:rPr>
              <w:t>China</w:t>
            </w:r>
          </w:p>
        </w:tc>
      </w:tr>
      <w:tr w:rsidR="00BF2951" w14:paraId="2FDC1A2F" w14:textId="77777777" w:rsidTr="00BF2951">
        <w:tc>
          <w:tcPr>
            <w:tcW w:w="2660" w:type="dxa"/>
          </w:tcPr>
          <w:p w14:paraId="1515E339" w14:textId="1C62A35C" w:rsidR="00BF2951" w:rsidRPr="00D70C7D" w:rsidRDefault="00BF2951" w:rsidP="00D70C7D">
            <w:pPr>
              <w:pStyle w:val="TableParagraph"/>
              <w:spacing w:before="1"/>
              <w:rPr>
                <w:sz w:val="24"/>
              </w:rPr>
            </w:pPr>
            <w:r w:rsidRPr="00D70C7D">
              <w:rPr>
                <w:spacing w:val="-5"/>
                <w:sz w:val="24"/>
              </w:rPr>
              <w:t>CIF</w:t>
            </w:r>
          </w:p>
        </w:tc>
        <w:tc>
          <w:tcPr>
            <w:tcW w:w="7686" w:type="dxa"/>
          </w:tcPr>
          <w:p w14:paraId="03BAC9CB" w14:textId="0F21C24A" w:rsidR="00BF2951" w:rsidRPr="00D70C7D" w:rsidRDefault="00BF2951" w:rsidP="00BF2951">
            <w:pPr>
              <w:pStyle w:val="Heading3"/>
              <w:spacing w:before="0"/>
              <w:ind w:left="0" w:firstLine="0"/>
              <w:jc w:val="left"/>
              <w:rPr>
                <w:b w:val="0"/>
                <w:bCs w:val="0"/>
              </w:rPr>
            </w:pPr>
            <w:r w:rsidRPr="00D70C7D">
              <w:rPr>
                <w:b w:val="0"/>
                <w:bCs w:val="0"/>
              </w:rPr>
              <w:t>Cost,</w:t>
            </w:r>
            <w:r w:rsidRPr="00D70C7D">
              <w:rPr>
                <w:b w:val="0"/>
                <w:bCs w:val="0"/>
                <w:spacing w:val="-3"/>
              </w:rPr>
              <w:t xml:space="preserve"> </w:t>
            </w:r>
            <w:proofErr w:type="gramStart"/>
            <w:r w:rsidRPr="00D70C7D">
              <w:rPr>
                <w:b w:val="0"/>
                <w:bCs w:val="0"/>
              </w:rPr>
              <w:t>insurance</w:t>
            </w:r>
            <w:proofErr w:type="gramEnd"/>
            <w:r w:rsidRPr="00D70C7D">
              <w:rPr>
                <w:b w:val="0"/>
                <w:bCs w:val="0"/>
                <w:spacing w:val="-5"/>
              </w:rPr>
              <w:t xml:space="preserve"> </w:t>
            </w:r>
            <w:r w:rsidRPr="00D70C7D">
              <w:rPr>
                <w:b w:val="0"/>
                <w:bCs w:val="0"/>
              </w:rPr>
              <w:t>and</w:t>
            </w:r>
            <w:r w:rsidRPr="00D70C7D">
              <w:rPr>
                <w:b w:val="0"/>
                <w:bCs w:val="0"/>
                <w:spacing w:val="-2"/>
              </w:rPr>
              <w:t xml:space="preserve"> freight</w:t>
            </w:r>
          </w:p>
        </w:tc>
      </w:tr>
      <w:tr w:rsidR="00BF2951" w14:paraId="0ECF7D8C" w14:textId="77777777" w:rsidTr="00BF2951">
        <w:tc>
          <w:tcPr>
            <w:tcW w:w="2660" w:type="dxa"/>
          </w:tcPr>
          <w:p w14:paraId="29E541B6" w14:textId="1D273766" w:rsidR="00BF2951" w:rsidRPr="00D70C7D" w:rsidRDefault="00BF2951" w:rsidP="00D70C7D">
            <w:pPr>
              <w:pStyle w:val="TableParagraph"/>
              <w:spacing w:before="1"/>
              <w:rPr>
                <w:sz w:val="24"/>
              </w:rPr>
            </w:pPr>
            <w:r w:rsidRPr="00D70C7D">
              <w:rPr>
                <w:sz w:val="24"/>
              </w:rPr>
              <w:t>COFCO</w:t>
            </w:r>
            <w:r w:rsidRPr="00D70C7D">
              <w:rPr>
                <w:spacing w:val="-1"/>
                <w:sz w:val="24"/>
              </w:rPr>
              <w:t xml:space="preserve"> </w:t>
            </w:r>
            <w:proofErr w:type="spellStart"/>
            <w:r w:rsidRPr="00D70C7D">
              <w:rPr>
                <w:spacing w:val="-2"/>
                <w:sz w:val="24"/>
              </w:rPr>
              <w:t>Greatwall</w:t>
            </w:r>
            <w:proofErr w:type="spellEnd"/>
          </w:p>
        </w:tc>
        <w:tc>
          <w:tcPr>
            <w:tcW w:w="7686" w:type="dxa"/>
          </w:tcPr>
          <w:p w14:paraId="5B16A547" w14:textId="04850579" w:rsidR="00BF2951" w:rsidRPr="00D70C7D" w:rsidRDefault="00BF2951" w:rsidP="00BF2951">
            <w:pPr>
              <w:pStyle w:val="Heading3"/>
              <w:spacing w:before="0"/>
              <w:ind w:left="0" w:firstLine="0"/>
              <w:jc w:val="left"/>
              <w:rPr>
                <w:b w:val="0"/>
                <w:bCs w:val="0"/>
              </w:rPr>
            </w:pPr>
            <w:r w:rsidRPr="00D70C7D">
              <w:rPr>
                <w:b w:val="0"/>
                <w:bCs w:val="0"/>
              </w:rPr>
              <w:t>COFCO</w:t>
            </w:r>
            <w:r w:rsidRPr="00D70C7D">
              <w:rPr>
                <w:b w:val="0"/>
                <w:bCs w:val="0"/>
                <w:spacing w:val="-3"/>
              </w:rPr>
              <w:t xml:space="preserve"> </w:t>
            </w:r>
            <w:r w:rsidRPr="00D70C7D">
              <w:rPr>
                <w:b w:val="0"/>
                <w:bCs w:val="0"/>
              </w:rPr>
              <w:t>Great</w:t>
            </w:r>
            <w:r w:rsidRPr="00D70C7D">
              <w:rPr>
                <w:b w:val="0"/>
                <w:bCs w:val="0"/>
                <w:spacing w:val="-2"/>
              </w:rPr>
              <w:t xml:space="preserve"> </w:t>
            </w:r>
            <w:r w:rsidRPr="00D70C7D">
              <w:rPr>
                <w:b w:val="0"/>
                <w:bCs w:val="0"/>
              </w:rPr>
              <w:t>Wall</w:t>
            </w:r>
            <w:r w:rsidRPr="00D70C7D">
              <w:rPr>
                <w:b w:val="0"/>
                <w:bCs w:val="0"/>
                <w:spacing w:val="1"/>
              </w:rPr>
              <w:t xml:space="preserve"> </w:t>
            </w:r>
            <w:r w:rsidRPr="00D70C7D">
              <w:rPr>
                <w:b w:val="0"/>
                <w:bCs w:val="0"/>
              </w:rPr>
              <w:t>Wine</w:t>
            </w:r>
            <w:r w:rsidRPr="00D70C7D">
              <w:rPr>
                <w:b w:val="0"/>
                <w:bCs w:val="0"/>
                <w:spacing w:val="-2"/>
              </w:rPr>
              <w:t xml:space="preserve"> </w:t>
            </w:r>
            <w:r w:rsidRPr="00D70C7D">
              <w:rPr>
                <w:b w:val="0"/>
                <w:bCs w:val="0"/>
              </w:rPr>
              <w:t>Co</w:t>
            </w:r>
            <w:r w:rsidRPr="00D70C7D">
              <w:rPr>
                <w:b w:val="0"/>
                <w:bCs w:val="0"/>
                <w:spacing w:val="-4"/>
              </w:rPr>
              <w:t xml:space="preserve"> </w:t>
            </w:r>
            <w:r w:rsidRPr="00D70C7D">
              <w:rPr>
                <w:b w:val="0"/>
                <w:bCs w:val="0"/>
                <w:spacing w:val="-5"/>
              </w:rPr>
              <w:t>Ltd</w:t>
            </w:r>
          </w:p>
        </w:tc>
      </w:tr>
      <w:tr w:rsidR="00BF2951" w14:paraId="06814D1E" w14:textId="77777777" w:rsidTr="00BF2951">
        <w:tc>
          <w:tcPr>
            <w:tcW w:w="2660" w:type="dxa"/>
          </w:tcPr>
          <w:p w14:paraId="491014CA" w14:textId="7E2F9605" w:rsidR="00BF2951" w:rsidRPr="00D70C7D" w:rsidRDefault="00BF2951" w:rsidP="00D70C7D">
            <w:pPr>
              <w:pStyle w:val="TableParagraph"/>
              <w:spacing w:before="1"/>
              <w:rPr>
                <w:sz w:val="24"/>
              </w:rPr>
            </w:pPr>
            <w:r w:rsidRPr="00D70C7D">
              <w:rPr>
                <w:spacing w:val="-2"/>
                <w:sz w:val="24"/>
              </w:rPr>
              <w:t>Domestic Producer Questionnaire</w:t>
            </w:r>
          </w:p>
        </w:tc>
        <w:tc>
          <w:tcPr>
            <w:tcW w:w="7686" w:type="dxa"/>
          </w:tcPr>
          <w:p w14:paraId="08FA5451" w14:textId="029B3E53" w:rsidR="00BF2951" w:rsidRPr="00D70C7D" w:rsidRDefault="00BF2951" w:rsidP="00BF2951">
            <w:pPr>
              <w:pStyle w:val="Heading3"/>
              <w:spacing w:before="0"/>
              <w:ind w:left="0" w:firstLine="0"/>
              <w:jc w:val="left"/>
              <w:rPr>
                <w:b w:val="0"/>
                <w:bCs w:val="0"/>
              </w:rPr>
            </w:pPr>
            <w:r w:rsidRPr="00D70C7D">
              <w:rPr>
                <w:b w:val="0"/>
                <w:bCs w:val="0"/>
                <w:spacing w:val="-2"/>
              </w:rPr>
              <w:t>Unless</w:t>
            </w:r>
            <w:r w:rsidRPr="00D70C7D">
              <w:rPr>
                <w:b w:val="0"/>
                <w:bCs w:val="0"/>
              </w:rPr>
              <w:tab/>
            </w:r>
            <w:r w:rsidRPr="00D70C7D">
              <w:rPr>
                <w:b w:val="0"/>
                <w:bCs w:val="0"/>
                <w:spacing w:val="-2"/>
              </w:rPr>
              <w:t>otherwise</w:t>
            </w:r>
            <w:r w:rsidRPr="00D70C7D">
              <w:rPr>
                <w:b w:val="0"/>
                <w:bCs w:val="0"/>
              </w:rPr>
              <w:tab/>
            </w:r>
            <w:r w:rsidRPr="00D70C7D">
              <w:rPr>
                <w:b w:val="0"/>
                <w:bCs w:val="0"/>
                <w:spacing w:val="-2"/>
              </w:rPr>
              <w:t>specified,</w:t>
            </w:r>
            <w:r w:rsidRPr="00D70C7D">
              <w:rPr>
                <w:b w:val="0"/>
                <w:bCs w:val="0"/>
              </w:rPr>
              <w:tab/>
            </w:r>
            <w:r w:rsidRPr="00D70C7D">
              <w:rPr>
                <w:b w:val="0"/>
                <w:bCs w:val="0"/>
                <w:spacing w:val="-2"/>
              </w:rPr>
              <w:t>means</w:t>
            </w:r>
            <w:r w:rsidRPr="00D70C7D">
              <w:rPr>
                <w:b w:val="0"/>
                <w:bCs w:val="0"/>
              </w:rPr>
              <w:tab/>
            </w:r>
            <w:r w:rsidRPr="00D70C7D">
              <w:rPr>
                <w:b w:val="0"/>
                <w:bCs w:val="0"/>
                <w:spacing w:val="-4"/>
              </w:rPr>
              <w:t>the</w:t>
            </w:r>
            <w:r w:rsidRPr="00D70C7D">
              <w:rPr>
                <w:b w:val="0"/>
                <w:bCs w:val="0"/>
              </w:rPr>
              <w:tab/>
            </w:r>
            <w:r w:rsidRPr="00D70C7D">
              <w:rPr>
                <w:b w:val="0"/>
                <w:bCs w:val="0"/>
                <w:spacing w:val="-2"/>
              </w:rPr>
              <w:t>Domestic</w:t>
            </w:r>
            <w:r w:rsidRPr="00D70C7D">
              <w:rPr>
                <w:b w:val="0"/>
                <w:bCs w:val="0"/>
              </w:rPr>
              <w:tab/>
            </w:r>
            <w:r w:rsidRPr="00D70C7D">
              <w:rPr>
                <w:b w:val="0"/>
                <w:bCs w:val="0"/>
                <w:spacing w:val="-2"/>
              </w:rPr>
              <w:t xml:space="preserve">Producer </w:t>
            </w:r>
            <w:r w:rsidRPr="00D70C7D">
              <w:rPr>
                <w:b w:val="0"/>
                <w:bCs w:val="0"/>
              </w:rPr>
              <w:t>Questionnaire issued by MOFCOM on 10 October 2020</w:t>
            </w:r>
          </w:p>
        </w:tc>
      </w:tr>
      <w:tr w:rsidR="00BF2951" w14:paraId="6743D4CD" w14:textId="77777777" w:rsidTr="00BF2951">
        <w:tc>
          <w:tcPr>
            <w:tcW w:w="2660" w:type="dxa"/>
          </w:tcPr>
          <w:p w14:paraId="29783963" w14:textId="18B2970C" w:rsidR="00BF2951" w:rsidRPr="00D70C7D" w:rsidRDefault="00BF2951" w:rsidP="00D70C7D">
            <w:pPr>
              <w:pStyle w:val="TableParagraph"/>
              <w:spacing w:before="1"/>
              <w:rPr>
                <w:sz w:val="24"/>
              </w:rPr>
            </w:pPr>
            <w:proofErr w:type="spellStart"/>
            <w:r w:rsidRPr="00D70C7D">
              <w:rPr>
                <w:sz w:val="24"/>
              </w:rPr>
              <w:t>Dorrien</w:t>
            </w:r>
            <w:proofErr w:type="spellEnd"/>
            <w:r w:rsidRPr="00D70C7D">
              <w:rPr>
                <w:spacing w:val="-8"/>
                <w:sz w:val="24"/>
              </w:rPr>
              <w:t xml:space="preserve"> </w:t>
            </w:r>
            <w:r w:rsidRPr="00D70C7D">
              <w:rPr>
                <w:spacing w:val="-2"/>
                <w:sz w:val="24"/>
              </w:rPr>
              <w:t>Estate</w:t>
            </w:r>
          </w:p>
        </w:tc>
        <w:tc>
          <w:tcPr>
            <w:tcW w:w="7686" w:type="dxa"/>
          </w:tcPr>
          <w:p w14:paraId="043E5B5E" w14:textId="1659773D" w:rsidR="00BF2951" w:rsidRPr="00D70C7D" w:rsidRDefault="00BF2951" w:rsidP="00BF2951">
            <w:pPr>
              <w:pStyle w:val="Heading3"/>
              <w:spacing w:before="0"/>
              <w:ind w:left="0" w:firstLine="0"/>
              <w:jc w:val="left"/>
              <w:rPr>
                <w:b w:val="0"/>
                <w:bCs w:val="0"/>
              </w:rPr>
            </w:pPr>
            <w:proofErr w:type="spellStart"/>
            <w:r w:rsidRPr="00D70C7D">
              <w:rPr>
                <w:b w:val="0"/>
                <w:bCs w:val="0"/>
              </w:rPr>
              <w:t>Dorrien</w:t>
            </w:r>
            <w:proofErr w:type="spellEnd"/>
            <w:r w:rsidRPr="00D70C7D">
              <w:rPr>
                <w:b w:val="0"/>
                <w:bCs w:val="0"/>
                <w:spacing w:val="-7"/>
              </w:rPr>
              <w:t xml:space="preserve"> </w:t>
            </w:r>
            <w:r w:rsidRPr="00D70C7D">
              <w:rPr>
                <w:b w:val="0"/>
                <w:bCs w:val="0"/>
              </w:rPr>
              <w:t>Estate</w:t>
            </w:r>
            <w:r w:rsidRPr="00D70C7D">
              <w:rPr>
                <w:b w:val="0"/>
                <w:bCs w:val="0"/>
                <w:spacing w:val="-2"/>
              </w:rPr>
              <w:t xml:space="preserve"> </w:t>
            </w:r>
            <w:r w:rsidRPr="00D70C7D">
              <w:rPr>
                <w:b w:val="0"/>
                <w:bCs w:val="0"/>
              </w:rPr>
              <w:t>Winery</w:t>
            </w:r>
            <w:r w:rsidRPr="00D70C7D">
              <w:rPr>
                <w:b w:val="0"/>
                <w:bCs w:val="0"/>
                <w:spacing w:val="-1"/>
              </w:rPr>
              <w:t xml:space="preserve"> </w:t>
            </w:r>
            <w:r w:rsidRPr="00D70C7D">
              <w:rPr>
                <w:b w:val="0"/>
                <w:bCs w:val="0"/>
                <w:spacing w:val="-5"/>
              </w:rPr>
              <w:t>Pty</w:t>
            </w:r>
          </w:p>
        </w:tc>
      </w:tr>
      <w:tr w:rsidR="00BF2951" w14:paraId="3F697C62" w14:textId="77777777" w:rsidTr="00BF2951">
        <w:tc>
          <w:tcPr>
            <w:tcW w:w="2660" w:type="dxa"/>
          </w:tcPr>
          <w:p w14:paraId="3047AA65" w14:textId="01401B68" w:rsidR="00BF2951" w:rsidRPr="00D70C7D" w:rsidRDefault="00BF2951" w:rsidP="00D70C7D">
            <w:pPr>
              <w:pStyle w:val="TableParagraph"/>
              <w:spacing w:before="1"/>
              <w:rPr>
                <w:sz w:val="24"/>
              </w:rPr>
            </w:pPr>
            <w:r w:rsidRPr="00D70C7D">
              <w:rPr>
                <w:spacing w:val="-5"/>
                <w:sz w:val="24"/>
              </w:rPr>
              <w:t>DSB</w:t>
            </w:r>
          </w:p>
        </w:tc>
        <w:tc>
          <w:tcPr>
            <w:tcW w:w="7686" w:type="dxa"/>
          </w:tcPr>
          <w:p w14:paraId="4860AA13" w14:textId="136819C2" w:rsidR="00BF2951" w:rsidRPr="00D70C7D" w:rsidRDefault="00BF2951" w:rsidP="00BF2951">
            <w:pPr>
              <w:pStyle w:val="Heading3"/>
              <w:spacing w:before="0"/>
              <w:ind w:left="0" w:firstLine="0"/>
              <w:jc w:val="left"/>
              <w:rPr>
                <w:b w:val="0"/>
                <w:bCs w:val="0"/>
              </w:rPr>
            </w:pPr>
            <w:r w:rsidRPr="00D70C7D">
              <w:rPr>
                <w:b w:val="0"/>
                <w:bCs w:val="0"/>
              </w:rPr>
              <w:t>Dispute</w:t>
            </w:r>
            <w:r w:rsidRPr="00D70C7D">
              <w:rPr>
                <w:b w:val="0"/>
                <w:bCs w:val="0"/>
                <w:spacing w:val="-4"/>
              </w:rPr>
              <w:t xml:space="preserve"> </w:t>
            </w:r>
            <w:r w:rsidRPr="00D70C7D">
              <w:rPr>
                <w:b w:val="0"/>
                <w:bCs w:val="0"/>
              </w:rPr>
              <w:t>Settlement</w:t>
            </w:r>
            <w:r w:rsidRPr="00D70C7D">
              <w:rPr>
                <w:b w:val="0"/>
                <w:bCs w:val="0"/>
                <w:spacing w:val="-1"/>
              </w:rPr>
              <w:t xml:space="preserve"> </w:t>
            </w:r>
            <w:r w:rsidRPr="00D70C7D">
              <w:rPr>
                <w:b w:val="0"/>
                <w:bCs w:val="0"/>
                <w:spacing w:val="-4"/>
              </w:rPr>
              <w:t>Body</w:t>
            </w:r>
          </w:p>
        </w:tc>
      </w:tr>
      <w:tr w:rsidR="00BF2951" w14:paraId="6772E7FE" w14:textId="77777777" w:rsidTr="00BF2951">
        <w:tc>
          <w:tcPr>
            <w:tcW w:w="2660" w:type="dxa"/>
          </w:tcPr>
          <w:p w14:paraId="4CD5A181" w14:textId="1BB0EB11" w:rsidR="00BF2951" w:rsidRPr="00D70C7D" w:rsidRDefault="00BF2951" w:rsidP="00D70C7D">
            <w:pPr>
              <w:pStyle w:val="TableParagraph"/>
              <w:spacing w:before="1"/>
              <w:rPr>
                <w:sz w:val="24"/>
              </w:rPr>
            </w:pPr>
            <w:r w:rsidRPr="00D70C7D">
              <w:rPr>
                <w:spacing w:val="-5"/>
                <w:sz w:val="24"/>
              </w:rPr>
              <w:t>DSU</w:t>
            </w:r>
          </w:p>
        </w:tc>
        <w:tc>
          <w:tcPr>
            <w:tcW w:w="7686" w:type="dxa"/>
          </w:tcPr>
          <w:p w14:paraId="3AA1ACE7" w14:textId="6D36A402" w:rsidR="00BF2951" w:rsidRPr="00D70C7D" w:rsidRDefault="00BF2951" w:rsidP="00BF2951">
            <w:pPr>
              <w:pStyle w:val="Heading3"/>
              <w:spacing w:before="0"/>
              <w:ind w:left="0" w:firstLine="0"/>
              <w:jc w:val="left"/>
              <w:rPr>
                <w:b w:val="0"/>
                <w:bCs w:val="0"/>
              </w:rPr>
            </w:pPr>
            <w:r w:rsidRPr="00D70C7D">
              <w:rPr>
                <w:b w:val="0"/>
                <w:bCs w:val="0"/>
              </w:rPr>
              <w:t xml:space="preserve">Understanding on Rules and Procedures Governing the Settlement of </w:t>
            </w:r>
            <w:r w:rsidRPr="00D70C7D">
              <w:rPr>
                <w:b w:val="0"/>
                <w:bCs w:val="0"/>
                <w:spacing w:val="-2"/>
              </w:rPr>
              <w:t>Disputes</w:t>
            </w:r>
          </w:p>
        </w:tc>
      </w:tr>
      <w:tr w:rsidR="00BF2951" w14:paraId="24F45E8F" w14:textId="77777777" w:rsidTr="00BF2951">
        <w:tc>
          <w:tcPr>
            <w:tcW w:w="2660" w:type="dxa"/>
          </w:tcPr>
          <w:p w14:paraId="3E3ADF74" w14:textId="643EC517" w:rsidR="00BF2951" w:rsidRPr="00D70C7D" w:rsidRDefault="00BF2951" w:rsidP="00D70C7D">
            <w:pPr>
              <w:pStyle w:val="TableParagraph"/>
              <w:spacing w:before="1"/>
              <w:rPr>
                <w:sz w:val="24"/>
              </w:rPr>
            </w:pPr>
            <w:r w:rsidRPr="00D70C7D">
              <w:rPr>
                <w:spacing w:val="-5"/>
                <w:sz w:val="24"/>
              </w:rPr>
              <w:t>ERP</w:t>
            </w:r>
          </w:p>
        </w:tc>
        <w:tc>
          <w:tcPr>
            <w:tcW w:w="7686" w:type="dxa"/>
          </w:tcPr>
          <w:p w14:paraId="739B395B" w14:textId="571BFC37" w:rsidR="00BF2951" w:rsidRPr="00D70C7D" w:rsidRDefault="00BF2951" w:rsidP="00BF2951">
            <w:pPr>
              <w:pStyle w:val="Heading3"/>
              <w:spacing w:before="0"/>
              <w:ind w:left="0" w:firstLine="0"/>
              <w:jc w:val="left"/>
              <w:rPr>
                <w:b w:val="0"/>
                <w:bCs w:val="0"/>
              </w:rPr>
            </w:pPr>
            <w:r w:rsidRPr="00D70C7D">
              <w:rPr>
                <w:b w:val="0"/>
                <w:bCs w:val="0"/>
              </w:rPr>
              <w:t>Enterprise</w:t>
            </w:r>
            <w:r w:rsidRPr="00D70C7D">
              <w:rPr>
                <w:b w:val="0"/>
                <w:bCs w:val="0"/>
                <w:spacing w:val="-7"/>
              </w:rPr>
              <w:t xml:space="preserve"> </w:t>
            </w:r>
            <w:r w:rsidRPr="00D70C7D">
              <w:rPr>
                <w:b w:val="0"/>
                <w:bCs w:val="0"/>
              </w:rPr>
              <w:t>resource</w:t>
            </w:r>
            <w:r w:rsidRPr="00D70C7D">
              <w:rPr>
                <w:b w:val="0"/>
                <w:bCs w:val="0"/>
                <w:spacing w:val="-6"/>
              </w:rPr>
              <w:t xml:space="preserve"> </w:t>
            </w:r>
            <w:r w:rsidRPr="00D70C7D">
              <w:rPr>
                <w:b w:val="0"/>
                <w:bCs w:val="0"/>
                <w:spacing w:val="-2"/>
              </w:rPr>
              <w:t>planning</w:t>
            </w:r>
          </w:p>
        </w:tc>
      </w:tr>
      <w:tr w:rsidR="00BF2951" w14:paraId="5A7107D5" w14:textId="77777777" w:rsidTr="00BF2951">
        <w:tc>
          <w:tcPr>
            <w:tcW w:w="2660" w:type="dxa"/>
          </w:tcPr>
          <w:p w14:paraId="4DDC4939" w14:textId="67A7A34B" w:rsidR="00BF2951" w:rsidRPr="00D70C7D" w:rsidRDefault="00BF2951" w:rsidP="00D70C7D">
            <w:pPr>
              <w:pStyle w:val="TableParagraph"/>
              <w:spacing w:before="1"/>
              <w:rPr>
                <w:sz w:val="24"/>
              </w:rPr>
            </w:pPr>
            <w:r w:rsidRPr="00D70C7D">
              <w:rPr>
                <w:spacing w:val="-2"/>
                <w:sz w:val="24"/>
              </w:rPr>
              <w:t>Final Determination</w:t>
            </w:r>
          </w:p>
        </w:tc>
        <w:tc>
          <w:tcPr>
            <w:tcW w:w="7686" w:type="dxa"/>
          </w:tcPr>
          <w:p w14:paraId="16F1EF2B" w14:textId="253061DE" w:rsidR="00BF2951" w:rsidRPr="00D70C7D" w:rsidRDefault="00BF2951" w:rsidP="00BF2951">
            <w:pPr>
              <w:pStyle w:val="Heading3"/>
              <w:spacing w:before="0"/>
              <w:ind w:left="0" w:firstLine="0"/>
              <w:jc w:val="left"/>
              <w:rPr>
                <w:b w:val="0"/>
                <w:bCs w:val="0"/>
              </w:rPr>
            </w:pPr>
            <w:r w:rsidRPr="00D70C7D">
              <w:rPr>
                <w:b w:val="0"/>
                <w:bCs w:val="0"/>
              </w:rPr>
              <w:t>MOFCOM, "Final Ruling of the Ministry of Commerce of the People's Republic of China on Anti-Dumping Investigation into Imported Wine Originating in Australia", 26 March 2021</w:t>
            </w:r>
          </w:p>
        </w:tc>
      </w:tr>
      <w:tr w:rsidR="00BF2951" w14:paraId="396A66AC" w14:textId="77777777" w:rsidTr="00BF2951">
        <w:tc>
          <w:tcPr>
            <w:tcW w:w="2660" w:type="dxa"/>
          </w:tcPr>
          <w:p w14:paraId="3D464D99" w14:textId="4C275186" w:rsidR="00BF2951" w:rsidRPr="00D70C7D" w:rsidRDefault="00BF2951" w:rsidP="00D70C7D">
            <w:pPr>
              <w:pStyle w:val="TableParagraph"/>
              <w:spacing w:before="1"/>
              <w:rPr>
                <w:sz w:val="24"/>
              </w:rPr>
            </w:pPr>
            <w:r w:rsidRPr="00D70C7D">
              <w:rPr>
                <w:sz w:val="24"/>
              </w:rPr>
              <w:t xml:space="preserve">Final </w:t>
            </w:r>
            <w:r w:rsidRPr="00D70C7D">
              <w:rPr>
                <w:spacing w:val="-2"/>
                <w:sz w:val="24"/>
              </w:rPr>
              <w:t>Disclosure</w:t>
            </w:r>
          </w:p>
        </w:tc>
        <w:tc>
          <w:tcPr>
            <w:tcW w:w="7686" w:type="dxa"/>
          </w:tcPr>
          <w:p w14:paraId="4D1BAA8B" w14:textId="1B6F4D49" w:rsidR="00BF2951" w:rsidRPr="00D70C7D" w:rsidRDefault="00BF2951" w:rsidP="00BF2951">
            <w:pPr>
              <w:pStyle w:val="Heading3"/>
              <w:spacing w:before="0"/>
              <w:ind w:left="0" w:firstLine="0"/>
              <w:jc w:val="left"/>
              <w:rPr>
                <w:b w:val="0"/>
                <w:bCs w:val="0"/>
              </w:rPr>
            </w:pPr>
            <w:r w:rsidRPr="00D70C7D">
              <w:rPr>
                <w:b w:val="0"/>
                <w:bCs w:val="0"/>
              </w:rPr>
              <w:t>MOFCOM, "Disclosure of Basic Facts Relied on by Final Ruling of Anti- Dumping Investigation into Relevant Imported Wines Originating in Australia", 12 March 2021</w:t>
            </w:r>
          </w:p>
        </w:tc>
      </w:tr>
      <w:tr w:rsidR="00BF2951" w14:paraId="12723320" w14:textId="77777777" w:rsidTr="00BF2951">
        <w:tc>
          <w:tcPr>
            <w:tcW w:w="2660" w:type="dxa"/>
          </w:tcPr>
          <w:p w14:paraId="41F19599" w14:textId="17F4A790" w:rsidR="00BF2951" w:rsidRPr="00D70C7D" w:rsidRDefault="00BF2951" w:rsidP="00D70C7D">
            <w:pPr>
              <w:pStyle w:val="TableParagraph"/>
              <w:spacing w:before="1"/>
              <w:rPr>
                <w:sz w:val="24"/>
              </w:rPr>
            </w:pPr>
            <w:r w:rsidRPr="00D70C7D">
              <w:rPr>
                <w:spacing w:val="-4"/>
                <w:sz w:val="24"/>
              </w:rPr>
              <w:lastRenderedPageBreak/>
              <w:t>GAAP</w:t>
            </w:r>
          </w:p>
        </w:tc>
        <w:tc>
          <w:tcPr>
            <w:tcW w:w="7686" w:type="dxa"/>
          </w:tcPr>
          <w:p w14:paraId="6C04E280" w14:textId="1FCD0213" w:rsidR="00BF2951" w:rsidRPr="00D70C7D" w:rsidRDefault="00BF2951" w:rsidP="00BF2951">
            <w:pPr>
              <w:pStyle w:val="Heading3"/>
              <w:spacing w:before="0"/>
              <w:ind w:left="0" w:firstLine="0"/>
              <w:jc w:val="left"/>
              <w:rPr>
                <w:b w:val="0"/>
                <w:bCs w:val="0"/>
              </w:rPr>
            </w:pPr>
            <w:r w:rsidRPr="00D70C7D">
              <w:rPr>
                <w:b w:val="0"/>
                <w:bCs w:val="0"/>
              </w:rPr>
              <w:t>Generally</w:t>
            </w:r>
            <w:r w:rsidRPr="00D70C7D">
              <w:rPr>
                <w:b w:val="0"/>
                <w:bCs w:val="0"/>
                <w:spacing w:val="-4"/>
              </w:rPr>
              <w:t xml:space="preserve"> </w:t>
            </w:r>
            <w:r w:rsidRPr="00D70C7D">
              <w:rPr>
                <w:b w:val="0"/>
                <w:bCs w:val="0"/>
              </w:rPr>
              <w:t>Accepted</w:t>
            </w:r>
            <w:r w:rsidRPr="00D70C7D">
              <w:rPr>
                <w:b w:val="0"/>
                <w:bCs w:val="0"/>
                <w:spacing w:val="-5"/>
              </w:rPr>
              <w:t xml:space="preserve"> </w:t>
            </w:r>
            <w:r w:rsidRPr="00D70C7D">
              <w:rPr>
                <w:b w:val="0"/>
                <w:bCs w:val="0"/>
              </w:rPr>
              <w:t>Accounting</w:t>
            </w:r>
            <w:r w:rsidRPr="00D70C7D">
              <w:rPr>
                <w:b w:val="0"/>
                <w:bCs w:val="0"/>
                <w:spacing w:val="-3"/>
              </w:rPr>
              <w:t xml:space="preserve"> </w:t>
            </w:r>
            <w:r w:rsidRPr="00D70C7D">
              <w:rPr>
                <w:b w:val="0"/>
                <w:bCs w:val="0"/>
                <w:spacing w:val="-2"/>
              </w:rPr>
              <w:t>Principles</w:t>
            </w:r>
          </w:p>
        </w:tc>
      </w:tr>
      <w:tr w:rsidR="00BF2951" w14:paraId="0FFD769D" w14:textId="77777777" w:rsidTr="00BF2951">
        <w:tc>
          <w:tcPr>
            <w:tcW w:w="2660" w:type="dxa"/>
          </w:tcPr>
          <w:p w14:paraId="42201862" w14:textId="16D566AD" w:rsidR="00BF2951" w:rsidRPr="00D70C7D" w:rsidRDefault="00BF2951" w:rsidP="00D70C7D">
            <w:pPr>
              <w:pStyle w:val="TableParagraph"/>
              <w:spacing w:before="1"/>
              <w:rPr>
                <w:sz w:val="24"/>
              </w:rPr>
            </w:pPr>
            <w:r w:rsidRPr="00D70C7D">
              <w:rPr>
                <w:sz w:val="24"/>
              </w:rPr>
              <w:t>GATT</w:t>
            </w:r>
            <w:r w:rsidRPr="00D70C7D">
              <w:rPr>
                <w:spacing w:val="-4"/>
                <w:sz w:val="24"/>
              </w:rPr>
              <w:t xml:space="preserve"> 1994</w:t>
            </w:r>
          </w:p>
        </w:tc>
        <w:tc>
          <w:tcPr>
            <w:tcW w:w="7686" w:type="dxa"/>
          </w:tcPr>
          <w:p w14:paraId="6454458F" w14:textId="13D0B12C" w:rsidR="00BF2951" w:rsidRPr="00D70C7D" w:rsidRDefault="00BF2951" w:rsidP="00BF2951">
            <w:pPr>
              <w:pStyle w:val="Heading3"/>
              <w:spacing w:before="0"/>
              <w:ind w:left="0" w:firstLine="0"/>
              <w:jc w:val="left"/>
              <w:rPr>
                <w:b w:val="0"/>
                <w:bCs w:val="0"/>
              </w:rPr>
            </w:pPr>
            <w:r w:rsidRPr="00D70C7D">
              <w:rPr>
                <w:b w:val="0"/>
                <w:bCs w:val="0"/>
              </w:rPr>
              <w:t>General</w:t>
            </w:r>
            <w:r w:rsidRPr="00D70C7D">
              <w:rPr>
                <w:b w:val="0"/>
                <w:bCs w:val="0"/>
                <w:spacing w:val="-3"/>
              </w:rPr>
              <w:t xml:space="preserve"> </w:t>
            </w:r>
            <w:r w:rsidRPr="00D70C7D">
              <w:rPr>
                <w:b w:val="0"/>
                <w:bCs w:val="0"/>
              </w:rPr>
              <w:t>Agreement</w:t>
            </w:r>
            <w:r w:rsidRPr="00D70C7D">
              <w:rPr>
                <w:b w:val="0"/>
                <w:bCs w:val="0"/>
                <w:spacing w:val="-4"/>
              </w:rPr>
              <w:t xml:space="preserve"> </w:t>
            </w:r>
            <w:r w:rsidRPr="00D70C7D">
              <w:rPr>
                <w:b w:val="0"/>
                <w:bCs w:val="0"/>
              </w:rPr>
              <w:t>on</w:t>
            </w:r>
            <w:r w:rsidRPr="00D70C7D">
              <w:rPr>
                <w:b w:val="0"/>
                <w:bCs w:val="0"/>
                <w:spacing w:val="-6"/>
              </w:rPr>
              <w:t xml:space="preserve"> </w:t>
            </w:r>
            <w:r w:rsidRPr="00D70C7D">
              <w:rPr>
                <w:b w:val="0"/>
                <w:bCs w:val="0"/>
              </w:rPr>
              <w:t>Tariffs</w:t>
            </w:r>
            <w:r w:rsidRPr="00D70C7D">
              <w:rPr>
                <w:b w:val="0"/>
                <w:bCs w:val="0"/>
                <w:spacing w:val="-3"/>
              </w:rPr>
              <w:t xml:space="preserve"> </w:t>
            </w:r>
            <w:r w:rsidRPr="00D70C7D">
              <w:rPr>
                <w:b w:val="0"/>
                <w:bCs w:val="0"/>
              </w:rPr>
              <w:t>and</w:t>
            </w:r>
            <w:r w:rsidRPr="00D70C7D">
              <w:rPr>
                <w:b w:val="0"/>
                <w:bCs w:val="0"/>
                <w:spacing w:val="-1"/>
              </w:rPr>
              <w:t xml:space="preserve"> </w:t>
            </w:r>
            <w:r w:rsidRPr="00D70C7D">
              <w:rPr>
                <w:b w:val="0"/>
                <w:bCs w:val="0"/>
              </w:rPr>
              <w:t>Trade</w:t>
            </w:r>
            <w:r w:rsidRPr="00D70C7D">
              <w:rPr>
                <w:b w:val="0"/>
                <w:bCs w:val="0"/>
                <w:spacing w:val="-5"/>
              </w:rPr>
              <w:t xml:space="preserve"> </w:t>
            </w:r>
            <w:r w:rsidRPr="00D70C7D">
              <w:rPr>
                <w:b w:val="0"/>
                <w:bCs w:val="0"/>
                <w:spacing w:val="-4"/>
              </w:rPr>
              <w:t>1994</w:t>
            </w:r>
          </w:p>
        </w:tc>
      </w:tr>
      <w:tr w:rsidR="00BF2951" w14:paraId="5AA0783F" w14:textId="77777777" w:rsidTr="00BF2951">
        <w:tc>
          <w:tcPr>
            <w:tcW w:w="2660" w:type="dxa"/>
          </w:tcPr>
          <w:p w14:paraId="09BC1B96" w14:textId="4829B2E9" w:rsidR="00BF2951" w:rsidRPr="00D70C7D" w:rsidRDefault="00BF2951" w:rsidP="00D70C7D">
            <w:pPr>
              <w:pStyle w:val="TableParagraph"/>
              <w:spacing w:before="1"/>
              <w:rPr>
                <w:sz w:val="24"/>
              </w:rPr>
            </w:pPr>
            <w:r w:rsidRPr="00D70C7D">
              <w:rPr>
                <w:sz w:val="24"/>
              </w:rPr>
              <w:t>Growers</w:t>
            </w:r>
            <w:r w:rsidRPr="00D70C7D">
              <w:rPr>
                <w:spacing w:val="-14"/>
                <w:sz w:val="24"/>
              </w:rPr>
              <w:t xml:space="preserve"> </w:t>
            </w:r>
            <w:r w:rsidRPr="00D70C7D">
              <w:rPr>
                <w:sz w:val="24"/>
              </w:rPr>
              <w:t xml:space="preserve">Wine </w:t>
            </w:r>
            <w:r w:rsidRPr="00D70C7D">
              <w:rPr>
                <w:spacing w:val="-2"/>
                <w:sz w:val="24"/>
              </w:rPr>
              <w:t>Industry</w:t>
            </w:r>
          </w:p>
        </w:tc>
        <w:tc>
          <w:tcPr>
            <w:tcW w:w="7686" w:type="dxa"/>
          </w:tcPr>
          <w:p w14:paraId="107B05F6" w14:textId="02C16AE4" w:rsidR="00BF2951" w:rsidRPr="00D70C7D" w:rsidRDefault="00BF2951" w:rsidP="00BF2951">
            <w:pPr>
              <w:pStyle w:val="Heading3"/>
              <w:spacing w:before="0"/>
              <w:ind w:left="0" w:firstLine="0"/>
              <w:jc w:val="left"/>
              <w:rPr>
                <w:b w:val="0"/>
                <w:bCs w:val="0"/>
              </w:rPr>
            </w:pPr>
            <w:r w:rsidRPr="00D70C7D">
              <w:rPr>
                <w:b w:val="0"/>
                <w:bCs w:val="0"/>
              </w:rPr>
              <w:t>Growers</w:t>
            </w:r>
            <w:r w:rsidRPr="00D70C7D">
              <w:rPr>
                <w:b w:val="0"/>
                <w:bCs w:val="0"/>
                <w:spacing w:val="-2"/>
              </w:rPr>
              <w:t xml:space="preserve"> </w:t>
            </w:r>
            <w:r w:rsidRPr="00D70C7D">
              <w:rPr>
                <w:b w:val="0"/>
                <w:bCs w:val="0"/>
              </w:rPr>
              <w:t>Wine</w:t>
            </w:r>
            <w:r w:rsidRPr="00D70C7D">
              <w:rPr>
                <w:b w:val="0"/>
                <w:bCs w:val="0"/>
                <w:spacing w:val="-3"/>
              </w:rPr>
              <w:t xml:space="preserve"> </w:t>
            </w:r>
            <w:r w:rsidRPr="00D70C7D">
              <w:rPr>
                <w:b w:val="0"/>
                <w:bCs w:val="0"/>
              </w:rPr>
              <w:t>Group</w:t>
            </w:r>
            <w:r w:rsidRPr="00D70C7D">
              <w:rPr>
                <w:b w:val="0"/>
                <w:bCs w:val="0"/>
                <w:spacing w:val="-5"/>
              </w:rPr>
              <w:t xml:space="preserve"> </w:t>
            </w:r>
            <w:r w:rsidRPr="00D70C7D">
              <w:rPr>
                <w:b w:val="0"/>
                <w:bCs w:val="0"/>
              </w:rPr>
              <w:t>Pty</w:t>
            </w:r>
            <w:r w:rsidRPr="00D70C7D">
              <w:rPr>
                <w:b w:val="0"/>
                <w:bCs w:val="0"/>
                <w:spacing w:val="-1"/>
              </w:rPr>
              <w:t xml:space="preserve"> </w:t>
            </w:r>
            <w:r w:rsidRPr="00D70C7D">
              <w:rPr>
                <w:b w:val="0"/>
                <w:bCs w:val="0"/>
                <w:spacing w:val="-5"/>
              </w:rPr>
              <w:t>Ltd</w:t>
            </w:r>
          </w:p>
        </w:tc>
      </w:tr>
      <w:tr w:rsidR="00BF2951" w14:paraId="06E99173" w14:textId="77777777" w:rsidTr="00BF2951">
        <w:tc>
          <w:tcPr>
            <w:tcW w:w="2660" w:type="dxa"/>
          </w:tcPr>
          <w:p w14:paraId="5931E679" w14:textId="512E62ED" w:rsidR="00BF2951" w:rsidRPr="00D70C7D" w:rsidRDefault="00BF2951" w:rsidP="00D70C7D">
            <w:pPr>
              <w:pStyle w:val="TableParagraph"/>
              <w:spacing w:before="1"/>
              <w:rPr>
                <w:sz w:val="24"/>
              </w:rPr>
            </w:pPr>
            <w:r w:rsidRPr="00D70C7D">
              <w:rPr>
                <w:spacing w:val="-4"/>
                <w:sz w:val="24"/>
              </w:rPr>
              <w:t>IFRS</w:t>
            </w:r>
          </w:p>
        </w:tc>
        <w:tc>
          <w:tcPr>
            <w:tcW w:w="7686" w:type="dxa"/>
          </w:tcPr>
          <w:p w14:paraId="6A6384C6" w14:textId="7B95FD7B" w:rsidR="00BF2951" w:rsidRPr="00D70C7D" w:rsidRDefault="00BF2951" w:rsidP="00BF2951">
            <w:pPr>
              <w:pStyle w:val="Heading3"/>
              <w:spacing w:before="0"/>
              <w:ind w:left="0" w:firstLine="0"/>
              <w:jc w:val="left"/>
              <w:rPr>
                <w:b w:val="0"/>
                <w:bCs w:val="0"/>
              </w:rPr>
            </w:pPr>
            <w:r w:rsidRPr="00D70C7D">
              <w:rPr>
                <w:b w:val="0"/>
                <w:bCs w:val="0"/>
              </w:rPr>
              <w:t>International</w:t>
            </w:r>
            <w:r w:rsidRPr="00D70C7D">
              <w:rPr>
                <w:b w:val="0"/>
                <w:bCs w:val="0"/>
                <w:spacing w:val="-4"/>
              </w:rPr>
              <w:t xml:space="preserve"> </w:t>
            </w:r>
            <w:r w:rsidRPr="00D70C7D">
              <w:rPr>
                <w:b w:val="0"/>
                <w:bCs w:val="0"/>
              </w:rPr>
              <w:t>Financial</w:t>
            </w:r>
            <w:r w:rsidRPr="00D70C7D">
              <w:rPr>
                <w:b w:val="0"/>
                <w:bCs w:val="0"/>
                <w:spacing w:val="-4"/>
              </w:rPr>
              <w:t xml:space="preserve"> </w:t>
            </w:r>
            <w:r w:rsidRPr="00D70C7D">
              <w:rPr>
                <w:b w:val="0"/>
                <w:bCs w:val="0"/>
              </w:rPr>
              <w:t>Reporting</w:t>
            </w:r>
            <w:r w:rsidRPr="00D70C7D">
              <w:rPr>
                <w:b w:val="0"/>
                <w:bCs w:val="0"/>
                <w:spacing w:val="-4"/>
              </w:rPr>
              <w:t xml:space="preserve"> </w:t>
            </w:r>
            <w:r w:rsidRPr="00D70C7D">
              <w:rPr>
                <w:b w:val="0"/>
                <w:bCs w:val="0"/>
                <w:spacing w:val="-2"/>
              </w:rPr>
              <w:t>Standards</w:t>
            </w:r>
          </w:p>
        </w:tc>
      </w:tr>
      <w:tr w:rsidR="00BF2951" w14:paraId="0B708487" w14:textId="77777777" w:rsidTr="00BF2951">
        <w:tc>
          <w:tcPr>
            <w:tcW w:w="2660" w:type="dxa"/>
          </w:tcPr>
          <w:p w14:paraId="497DA35F" w14:textId="442A514B" w:rsidR="00BF2951" w:rsidRPr="00D70C7D" w:rsidRDefault="00BF2951" w:rsidP="00D70C7D">
            <w:pPr>
              <w:pStyle w:val="TableParagraph"/>
              <w:spacing w:before="1"/>
              <w:rPr>
                <w:sz w:val="24"/>
              </w:rPr>
            </w:pPr>
            <w:r w:rsidRPr="00D70C7D">
              <w:rPr>
                <w:sz w:val="24"/>
              </w:rPr>
              <w:t>Injury</w:t>
            </w:r>
            <w:r w:rsidRPr="00D70C7D">
              <w:rPr>
                <w:spacing w:val="-6"/>
                <w:sz w:val="24"/>
              </w:rPr>
              <w:t xml:space="preserve"> </w:t>
            </w:r>
            <w:r w:rsidRPr="00D70C7D">
              <w:rPr>
                <w:spacing w:val="-5"/>
                <w:sz w:val="24"/>
              </w:rPr>
              <w:t>POI</w:t>
            </w:r>
          </w:p>
        </w:tc>
        <w:tc>
          <w:tcPr>
            <w:tcW w:w="7686" w:type="dxa"/>
          </w:tcPr>
          <w:p w14:paraId="73F14EFF" w14:textId="267D7C98" w:rsidR="00BF2951" w:rsidRPr="00D70C7D" w:rsidRDefault="00BF2951" w:rsidP="00BF2951">
            <w:pPr>
              <w:pStyle w:val="Heading3"/>
              <w:spacing w:before="0"/>
              <w:ind w:left="0" w:firstLine="0"/>
              <w:jc w:val="left"/>
              <w:rPr>
                <w:b w:val="0"/>
                <w:bCs w:val="0"/>
              </w:rPr>
            </w:pPr>
            <w:r w:rsidRPr="00D70C7D">
              <w:rPr>
                <w:b w:val="0"/>
                <w:bCs w:val="0"/>
              </w:rPr>
              <w:t>Means the injury investigation period adopted by MOFCOM, being 1 January 2015 to 31 December 2019.</w:t>
            </w:r>
          </w:p>
        </w:tc>
      </w:tr>
      <w:tr w:rsidR="00BF2951" w14:paraId="38862D71" w14:textId="77777777" w:rsidTr="00BF2951">
        <w:tc>
          <w:tcPr>
            <w:tcW w:w="2660" w:type="dxa"/>
          </w:tcPr>
          <w:p w14:paraId="7698D421" w14:textId="37219E99" w:rsidR="00BF2951" w:rsidRPr="00D70C7D" w:rsidRDefault="00BF2951" w:rsidP="00D70C7D">
            <w:pPr>
              <w:pStyle w:val="TableParagraph"/>
              <w:spacing w:before="1"/>
              <w:rPr>
                <w:sz w:val="24"/>
              </w:rPr>
            </w:pPr>
            <w:proofErr w:type="spellStart"/>
            <w:r w:rsidRPr="00D70C7D">
              <w:rPr>
                <w:spacing w:val="-2"/>
                <w:sz w:val="24"/>
              </w:rPr>
              <w:t>Liquorland</w:t>
            </w:r>
            <w:proofErr w:type="spellEnd"/>
          </w:p>
        </w:tc>
        <w:tc>
          <w:tcPr>
            <w:tcW w:w="7686" w:type="dxa"/>
          </w:tcPr>
          <w:p w14:paraId="600EF2D1" w14:textId="1FCE2315" w:rsidR="00BF2951" w:rsidRPr="00D70C7D" w:rsidRDefault="00BF2951" w:rsidP="00BF2951">
            <w:pPr>
              <w:pStyle w:val="Heading3"/>
              <w:spacing w:before="0"/>
              <w:ind w:left="0" w:firstLine="0"/>
              <w:jc w:val="left"/>
              <w:rPr>
                <w:b w:val="0"/>
                <w:bCs w:val="0"/>
              </w:rPr>
            </w:pPr>
            <w:proofErr w:type="spellStart"/>
            <w:r w:rsidRPr="00D70C7D">
              <w:rPr>
                <w:b w:val="0"/>
                <w:bCs w:val="0"/>
              </w:rPr>
              <w:t>Liquorland</w:t>
            </w:r>
            <w:proofErr w:type="spellEnd"/>
            <w:r w:rsidRPr="00D70C7D">
              <w:rPr>
                <w:b w:val="0"/>
                <w:bCs w:val="0"/>
                <w:spacing w:val="-7"/>
              </w:rPr>
              <w:t xml:space="preserve"> </w:t>
            </w:r>
            <w:r w:rsidRPr="00D70C7D">
              <w:rPr>
                <w:b w:val="0"/>
                <w:bCs w:val="0"/>
              </w:rPr>
              <w:t>(Australia)</w:t>
            </w:r>
            <w:r w:rsidRPr="00D70C7D">
              <w:rPr>
                <w:b w:val="0"/>
                <w:bCs w:val="0"/>
                <w:spacing w:val="-5"/>
              </w:rPr>
              <w:t xml:space="preserve"> </w:t>
            </w:r>
            <w:r w:rsidRPr="00D70C7D">
              <w:rPr>
                <w:b w:val="0"/>
                <w:bCs w:val="0"/>
              </w:rPr>
              <w:t>Pty</w:t>
            </w:r>
            <w:r w:rsidRPr="00D70C7D">
              <w:rPr>
                <w:b w:val="0"/>
                <w:bCs w:val="0"/>
                <w:spacing w:val="-2"/>
              </w:rPr>
              <w:t xml:space="preserve"> </w:t>
            </w:r>
            <w:r w:rsidRPr="00D70C7D">
              <w:rPr>
                <w:b w:val="0"/>
                <w:bCs w:val="0"/>
                <w:spacing w:val="-5"/>
              </w:rPr>
              <w:t>Ltd</w:t>
            </w:r>
          </w:p>
        </w:tc>
      </w:tr>
      <w:tr w:rsidR="00BF2951" w14:paraId="7CDF40E6" w14:textId="77777777" w:rsidTr="00BF2951">
        <w:tc>
          <w:tcPr>
            <w:tcW w:w="2660" w:type="dxa"/>
          </w:tcPr>
          <w:p w14:paraId="419142BA" w14:textId="1BC9A27B" w:rsidR="00BF2951" w:rsidRPr="00D70C7D" w:rsidRDefault="00BF2951" w:rsidP="00D70C7D">
            <w:pPr>
              <w:pStyle w:val="TableParagraph"/>
              <w:spacing w:before="1"/>
              <w:rPr>
                <w:spacing w:val="-2"/>
                <w:sz w:val="24"/>
              </w:rPr>
            </w:pPr>
            <w:r w:rsidRPr="00D70C7D">
              <w:rPr>
                <w:spacing w:val="-2"/>
                <w:sz w:val="24"/>
              </w:rPr>
              <w:t>MOFCOM</w:t>
            </w:r>
          </w:p>
        </w:tc>
        <w:tc>
          <w:tcPr>
            <w:tcW w:w="7686" w:type="dxa"/>
          </w:tcPr>
          <w:p w14:paraId="7CB9BEF2" w14:textId="216B03F4" w:rsidR="00BF2951" w:rsidRPr="00D70C7D" w:rsidRDefault="00BF2951" w:rsidP="00BF2951">
            <w:pPr>
              <w:pStyle w:val="Heading3"/>
              <w:spacing w:before="0"/>
              <w:ind w:left="0" w:firstLine="0"/>
              <w:jc w:val="left"/>
              <w:rPr>
                <w:b w:val="0"/>
                <w:bCs w:val="0"/>
              </w:rPr>
            </w:pPr>
            <w:r w:rsidRPr="00D70C7D">
              <w:rPr>
                <w:b w:val="0"/>
                <w:bCs w:val="0"/>
              </w:rPr>
              <w:t>Ministry</w:t>
            </w:r>
            <w:r w:rsidRPr="00D70C7D">
              <w:rPr>
                <w:b w:val="0"/>
                <w:bCs w:val="0"/>
                <w:spacing w:val="-4"/>
              </w:rPr>
              <w:t xml:space="preserve"> </w:t>
            </w:r>
            <w:r w:rsidRPr="00D70C7D">
              <w:rPr>
                <w:b w:val="0"/>
                <w:bCs w:val="0"/>
              </w:rPr>
              <w:t>of</w:t>
            </w:r>
            <w:r w:rsidRPr="00D70C7D">
              <w:rPr>
                <w:b w:val="0"/>
                <w:bCs w:val="0"/>
                <w:spacing w:val="-5"/>
              </w:rPr>
              <w:t xml:space="preserve"> </w:t>
            </w:r>
            <w:r w:rsidRPr="00D70C7D">
              <w:rPr>
                <w:b w:val="0"/>
                <w:bCs w:val="0"/>
              </w:rPr>
              <w:t>Commerce</w:t>
            </w:r>
            <w:r w:rsidRPr="00D70C7D">
              <w:rPr>
                <w:b w:val="0"/>
                <w:bCs w:val="0"/>
                <w:spacing w:val="-2"/>
              </w:rPr>
              <w:t xml:space="preserve"> </w:t>
            </w:r>
            <w:r w:rsidRPr="00D70C7D">
              <w:rPr>
                <w:b w:val="0"/>
                <w:bCs w:val="0"/>
              </w:rPr>
              <w:t>of</w:t>
            </w:r>
            <w:r w:rsidRPr="00D70C7D">
              <w:rPr>
                <w:b w:val="0"/>
                <w:bCs w:val="0"/>
                <w:spacing w:val="-4"/>
              </w:rPr>
              <w:t xml:space="preserve"> China</w:t>
            </w:r>
          </w:p>
        </w:tc>
      </w:tr>
      <w:tr w:rsidR="00BF2951" w14:paraId="14FEB13C" w14:textId="77777777" w:rsidTr="00BF2951">
        <w:tc>
          <w:tcPr>
            <w:tcW w:w="2660" w:type="dxa"/>
          </w:tcPr>
          <w:p w14:paraId="2B0FC57D" w14:textId="09E20851" w:rsidR="00BF2951" w:rsidRPr="00D70C7D" w:rsidRDefault="00BF2951" w:rsidP="00D70C7D">
            <w:pPr>
              <w:pStyle w:val="TableParagraph"/>
              <w:spacing w:before="1"/>
              <w:rPr>
                <w:spacing w:val="-2"/>
                <w:sz w:val="24"/>
              </w:rPr>
            </w:pPr>
            <w:r w:rsidRPr="00D70C7D">
              <w:rPr>
                <w:sz w:val="24"/>
              </w:rPr>
              <w:t>Other</w:t>
            </w:r>
            <w:r w:rsidRPr="00D70C7D">
              <w:rPr>
                <w:spacing w:val="-14"/>
                <w:sz w:val="24"/>
              </w:rPr>
              <w:t xml:space="preserve"> </w:t>
            </w:r>
            <w:r w:rsidRPr="00D70C7D">
              <w:rPr>
                <w:sz w:val="24"/>
              </w:rPr>
              <w:t xml:space="preserve">named </w:t>
            </w:r>
            <w:r w:rsidRPr="00D70C7D">
              <w:rPr>
                <w:spacing w:val="-2"/>
                <w:sz w:val="24"/>
              </w:rPr>
              <w:t>Australian exporters</w:t>
            </w:r>
          </w:p>
        </w:tc>
        <w:tc>
          <w:tcPr>
            <w:tcW w:w="7686" w:type="dxa"/>
          </w:tcPr>
          <w:p w14:paraId="1718298D" w14:textId="3F65C3C6" w:rsidR="00BF2951" w:rsidRPr="00D70C7D" w:rsidRDefault="00BF2951" w:rsidP="00BF2951">
            <w:pPr>
              <w:pStyle w:val="Heading3"/>
              <w:spacing w:before="0"/>
              <w:ind w:left="0" w:firstLine="0"/>
              <w:jc w:val="left"/>
              <w:rPr>
                <w:b w:val="0"/>
                <w:bCs w:val="0"/>
              </w:rPr>
            </w:pPr>
            <w:r w:rsidRPr="00D70C7D">
              <w:rPr>
                <w:b w:val="0"/>
                <w:bCs w:val="0"/>
              </w:rPr>
              <w:t>The</w:t>
            </w:r>
            <w:r w:rsidRPr="00D70C7D">
              <w:rPr>
                <w:b w:val="0"/>
                <w:bCs w:val="0"/>
                <w:spacing w:val="-14"/>
              </w:rPr>
              <w:t xml:space="preserve"> </w:t>
            </w:r>
            <w:r w:rsidRPr="00D70C7D">
              <w:rPr>
                <w:b w:val="0"/>
                <w:bCs w:val="0"/>
              </w:rPr>
              <w:t>21</w:t>
            </w:r>
            <w:r w:rsidRPr="00D70C7D">
              <w:rPr>
                <w:b w:val="0"/>
                <w:bCs w:val="0"/>
                <w:spacing w:val="-14"/>
              </w:rPr>
              <w:t xml:space="preserve"> </w:t>
            </w:r>
            <w:r w:rsidRPr="00D70C7D">
              <w:rPr>
                <w:b w:val="0"/>
                <w:bCs w:val="0"/>
              </w:rPr>
              <w:t>Australian</w:t>
            </w:r>
            <w:r w:rsidRPr="00D70C7D">
              <w:rPr>
                <w:b w:val="0"/>
                <w:bCs w:val="0"/>
                <w:spacing w:val="-13"/>
              </w:rPr>
              <w:t xml:space="preserve"> </w:t>
            </w:r>
            <w:r w:rsidRPr="00D70C7D">
              <w:rPr>
                <w:b w:val="0"/>
                <w:bCs w:val="0"/>
              </w:rPr>
              <w:t>exporters</w:t>
            </w:r>
            <w:r w:rsidRPr="00D70C7D">
              <w:rPr>
                <w:b w:val="0"/>
                <w:bCs w:val="0"/>
                <w:spacing w:val="-14"/>
              </w:rPr>
              <w:t xml:space="preserve"> </w:t>
            </w:r>
            <w:r w:rsidRPr="00D70C7D">
              <w:rPr>
                <w:b w:val="0"/>
                <w:bCs w:val="0"/>
              </w:rPr>
              <w:t>listed</w:t>
            </w:r>
            <w:r w:rsidRPr="00D70C7D">
              <w:rPr>
                <w:b w:val="0"/>
                <w:bCs w:val="0"/>
                <w:spacing w:val="-13"/>
              </w:rPr>
              <w:t xml:space="preserve"> </w:t>
            </w:r>
            <w:r w:rsidRPr="00D70C7D">
              <w:rPr>
                <w:b w:val="0"/>
                <w:bCs w:val="0"/>
              </w:rPr>
              <w:t>in</w:t>
            </w:r>
            <w:r w:rsidRPr="00D70C7D">
              <w:rPr>
                <w:b w:val="0"/>
                <w:bCs w:val="0"/>
                <w:spacing w:val="-14"/>
              </w:rPr>
              <w:t xml:space="preserve"> </w:t>
            </w:r>
            <w:r w:rsidRPr="00D70C7D">
              <w:rPr>
                <w:b w:val="0"/>
                <w:bCs w:val="0"/>
              </w:rPr>
              <w:t>Annex</w:t>
            </w:r>
            <w:r w:rsidRPr="00D70C7D">
              <w:rPr>
                <w:b w:val="0"/>
                <w:bCs w:val="0"/>
                <w:spacing w:val="-13"/>
              </w:rPr>
              <w:t xml:space="preserve"> </w:t>
            </w:r>
            <w:r w:rsidRPr="00D70C7D">
              <w:rPr>
                <w:b w:val="0"/>
                <w:bCs w:val="0"/>
              </w:rPr>
              <w:t>1</w:t>
            </w:r>
            <w:r w:rsidRPr="00D70C7D">
              <w:rPr>
                <w:b w:val="0"/>
                <w:bCs w:val="0"/>
                <w:spacing w:val="-14"/>
              </w:rPr>
              <w:t xml:space="preserve"> </w:t>
            </w:r>
            <w:r w:rsidRPr="00D70C7D">
              <w:rPr>
                <w:b w:val="0"/>
                <w:bCs w:val="0"/>
              </w:rPr>
              <w:t>of</w:t>
            </w:r>
            <w:r w:rsidRPr="00D70C7D">
              <w:rPr>
                <w:b w:val="0"/>
                <w:bCs w:val="0"/>
                <w:spacing w:val="-14"/>
              </w:rPr>
              <w:t xml:space="preserve"> </w:t>
            </w:r>
            <w:r w:rsidRPr="00D70C7D">
              <w:rPr>
                <w:b w:val="0"/>
                <w:bCs w:val="0"/>
              </w:rPr>
              <w:t>the</w:t>
            </w:r>
            <w:r w:rsidRPr="00D70C7D">
              <w:rPr>
                <w:b w:val="0"/>
                <w:bCs w:val="0"/>
                <w:spacing w:val="-13"/>
              </w:rPr>
              <w:t xml:space="preserve"> </w:t>
            </w:r>
            <w:r w:rsidRPr="00D70C7D">
              <w:rPr>
                <w:b w:val="0"/>
                <w:bCs w:val="0"/>
              </w:rPr>
              <w:t>Final</w:t>
            </w:r>
            <w:r w:rsidRPr="00D70C7D">
              <w:rPr>
                <w:b w:val="0"/>
                <w:bCs w:val="0"/>
                <w:spacing w:val="-12"/>
              </w:rPr>
              <w:t xml:space="preserve"> </w:t>
            </w:r>
            <w:r w:rsidRPr="00D70C7D">
              <w:rPr>
                <w:b w:val="0"/>
                <w:bCs w:val="0"/>
              </w:rPr>
              <w:t>Determination in the category, "Other Cooperative in the Investigation"</w:t>
            </w:r>
          </w:p>
        </w:tc>
      </w:tr>
      <w:tr w:rsidR="00BF2951" w14:paraId="10B851C8" w14:textId="77777777" w:rsidTr="00BF2951">
        <w:tc>
          <w:tcPr>
            <w:tcW w:w="2660" w:type="dxa"/>
          </w:tcPr>
          <w:p w14:paraId="1313CB4B" w14:textId="0A2626EC" w:rsidR="00BF2951" w:rsidRPr="00D70C7D" w:rsidRDefault="00BF2951" w:rsidP="00D70C7D">
            <w:pPr>
              <w:pStyle w:val="TableParagraph"/>
              <w:spacing w:before="1"/>
              <w:rPr>
                <w:sz w:val="24"/>
              </w:rPr>
            </w:pPr>
            <w:r w:rsidRPr="00D70C7D">
              <w:rPr>
                <w:spacing w:val="-5"/>
                <w:sz w:val="24"/>
              </w:rPr>
              <w:t>PCN</w:t>
            </w:r>
          </w:p>
        </w:tc>
        <w:tc>
          <w:tcPr>
            <w:tcW w:w="7686" w:type="dxa"/>
          </w:tcPr>
          <w:p w14:paraId="796AC945" w14:textId="74AFE739" w:rsidR="00BF2951" w:rsidRPr="00D70C7D" w:rsidRDefault="00BF2951" w:rsidP="00BF2951">
            <w:pPr>
              <w:pStyle w:val="Heading3"/>
              <w:spacing w:before="0"/>
              <w:ind w:left="0" w:firstLine="0"/>
              <w:jc w:val="left"/>
              <w:rPr>
                <w:b w:val="0"/>
                <w:bCs w:val="0"/>
              </w:rPr>
            </w:pPr>
            <w:r w:rsidRPr="00D70C7D">
              <w:rPr>
                <w:b w:val="0"/>
                <w:bCs w:val="0"/>
              </w:rPr>
              <w:t>Product</w:t>
            </w:r>
            <w:r w:rsidRPr="00D70C7D">
              <w:rPr>
                <w:b w:val="0"/>
                <w:bCs w:val="0"/>
                <w:spacing w:val="-7"/>
              </w:rPr>
              <w:t xml:space="preserve"> </w:t>
            </w:r>
            <w:r w:rsidRPr="00D70C7D">
              <w:rPr>
                <w:b w:val="0"/>
                <w:bCs w:val="0"/>
              </w:rPr>
              <w:t>Control</w:t>
            </w:r>
            <w:r w:rsidRPr="00D70C7D">
              <w:rPr>
                <w:b w:val="0"/>
                <w:bCs w:val="0"/>
                <w:spacing w:val="-5"/>
              </w:rPr>
              <w:t xml:space="preserve"> </w:t>
            </w:r>
            <w:r w:rsidRPr="00D70C7D">
              <w:rPr>
                <w:b w:val="0"/>
                <w:bCs w:val="0"/>
                <w:spacing w:val="-2"/>
              </w:rPr>
              <w:t>Number</w:t>
            </w:r>
          </w:p>
        </w:tc>
      </w:tr>
      <w:tr w:rsidR="00BF2951" w14:paraId="3ED78930" w14:textId="77777777" w:rsidTr="00BF2951">
        <w:tc>
          <w:tcPr>
            <w:tcW w:w="2660" w:type="dxa"/>
          </w:tcPr>
          <w:p w14:paraId="66692D38" w14:textId="6DB6DC90" w:rsidR="00BF2951" w:rsidRPr="00D70C7D" w:rsidRDefault="00BF2951" w:rsidP="00D70C7D">
            <w:pPr>
              <w:pStyle w:val="TableParagraph"/>
              <w:spacing w:before="1"/>
              <w:rPr>
                <w:spacing w:val="-5"/>
                <w:sz w:val="24"/>
              </w:rPr>
            </w:pPr>
            <w:r w:rsidRPr="00D70C7D">
              <w:rPr>
                <w:sz w:val="24"/>
              </w:rPr>
              <w:t>Pernod</w:t>
            </w:r>
            <w:r w:rsidRPr="00D70C7D">
              <w:rPr>
                <w:spacing w:val="-10"/>
                <w:sz w:val="24"/>
              </w:rPr>
              <w:t xml:space="preserve"> </w:t>
            </w:r>
            <w:r w:rsidRPr="00D70C7D">
              <w:rPr>
                <w:spacing w:val="-2"/>
                <w:sz w:val="24"/>
              </w:rPr>
              <w:t>Ricard</w:t>
            </w:r>
          </w:p>
        </w:tc>
        <w:tc>
          <w:tcPr>
            <w:tcW w:w="7686" w:type="dxa"/>
          </w:tcPr>
          <w:p w14:paraId="6BF8B228" w14:textId="1B387042" w:rsidR="00BF2951" w:rsidRPr="00D70C7D" w:rsidRDefault="00BF2951" w:rsidP="00BF2951">
            <w:pPr>
              <w:pStyle w:val="Heading3"/>
              <w:spacing w:before="0"/>
              <w:ind w:left="0" w:firstLine="0"/>
              <w:jc w:val="left"/>
              <w:rPr>
                <w:b w:val="0"/>
                <w:bCs w:val="0"/>
              </w:rPr>
            </w:pPr>
            <w:r w:rsidRPr="00D70C7D">
              <w:rPr>
                <w:b w:val="0"/>
                <w:bCs w:val="0"/>
              </w:rPr>
              <w:t>Pernod</w:t>
            </w:r>
            <w:r w:rsidRPr="00D70C7D">
              <w:rPr>
                <w:b w:val="0"/>
                <w:bCs w:val="0"/>
                <w:spacing w:val="-4"/>
              </w:rPr>
              <w:t xml:space="preserve"> </w:t>
            </w:r>
            <w:r w:rsidRPr="00D70C7D">
              <w:rPr>
                <w:b w:val="0"/>
                <w:bCs w:val="0"/>
              </w:rPr>
              <w:t>Ricard</w:t>
            </w:r>
            <w:r w:rsidRPr="00D70C7D">
              <w:rPr>
                <w:b w:val="0"/>
                <w:bCs w:val="0"/>
                <w:spacing w:val="-4"/>
              </w:rPr>
              <w:t xml:space="preserve"> </w:t>
            </w:r>
            <w:r w:rsidRPr="00D70C7D">
              <w:rPr>
                <w:b w:val="0"/>
                <w:bCs w:val="0"/>
              </w:rPr>
              <w:t>Winemakers</w:t>
            </w:r>
            <w:r w:rsidRPr="00D70C7D">
              <w:rPr>
                <w:b w:val="0"/>
                <w:bCs w:val="0"/>
                <w:spacing w:val="-1"/>
              </w:rPr>
              <w:t xml:space="preserve"> </w:t>
            </w:r>
            <w:r w:rsidRPr="00D70C7D">
              <w:rPr>
                <w:b w:val="0"/>
                <w:bCs w:val="0"/>
              </w:rPr>
              <w:t>Pty</w:t>
            </w:r>
            <w:r w:rsidRPr="00D70C7D">
              <w:rPr>
                <w:b w:val="0"/>
                <w:bCs w:val="0"/>
                <w:spacing w:val="-1"/>
              </w:rPr>
              <w:t xml:space="preserve"> </w:t>
            </w:r>
            <w:r w:rsidRPr="00D70C7D">
              <w:rPr>
                <w:b w:val="0"/>
                <w:bCs w:val="0"/>
                <w:spacing w:val="-5"/>
              </w:rPr>
              <w:t>Ltd</w:t>
            </w:r>
          </w:p>
        </w:tc>
      </w:tr>
      <w:tr w:rsidR="00BF2951" w14:paraId="1B56D740" w14:textId="77777777" w:rsidTr="00BF2951">
        <w:tc>
          <w:tcPr>
            <w:tcW w:w="2660" w:type="dxa"/>
          </w:tcPr>
          <w:p w14:paraId="3057B5F6" w14:textId="6D8C796E" w:rsidR="00BF2951" w:rsidRPr="00D70C7D" w:rsidRDefault="00BF2951" w:rsidP="00D70C7D">
            <w:pPr>
              <w:pStyle w:val="TableParagraph"/>
              <w:spacing w:before="1"/>
              <w:rPr>
                <w:sz w:val="24"/>
              </w:rPr>
            </w:pPr>
            <w:r w:rsidRPr="00D70C7D">
              <w:rPr>
                <w:spacing w:val="-5"/>
                <w:sz w:val="24"/>
              </w:rPr>
              <w:t>PUC</w:t>
            </w:r>
          </w:p>
        </w:tc>
        <w:tc>
          <w:tcPr>
            <w:tcW w:w="7686" w:type="dxa"/>
          </w:tcPr>
          <w:p w14:paraId="2FEC67CC" w14:textId="411B603B" w:rsidR="00BF2951" w:rsidRPr="00D70C7D" w:rsidRDefault="00BF2951" w:rsidP="00BF2951">
            <w:pPr>
              <w:pStyle w:val="Heading3"/>
              <w:spacing w:before="0"/>
              <w:ind w:left="0" w:firstLine="0"/>
              <w:jc w:val="left"/>
              <w:rPr>
                <w:b w:val="0"/>
                <w:bCs w:val="0"/>
              </w:rPr>
            </w:pPr>
            <w:r w:rsidRPr="00D70C7D">
              <w:rPr>
                <w:b w:val="0"/>
                <w:bCs w:val="0"/>
              </w:rPr>
              <w:t>Products</w:t>
            </w:r>
            <w:r w:rsidRPr="00D70C7D">
              <w:rPr>
                <w:b w:val="0"/>
                <w:bCs w:val="0"/>
                <w:spacing w:val="-6"/>
              </w:rPr>
              <w:t xml:space="preserve"> </w:t>
            </w:r>
            <w:r w:rsidRPr="00D70C7D">
              <w:rPr>
                <w:b w:val="0"/>
                <w:bCs w:val="0"/>
              </w:rPr>
              <w:t>under</w:t>
            </w:r>
            <w:r w:rsidRPr="00D70C7D">
              <w:rPr>
                <w:b w:val="0"/>
                <w:bCs w:val="0"/>
                <w:spacing w:val="-8"/>
              </w:rPr>
              <w:t xml:space="preserve"> </w:t>
            </w:r>
            <w:r w:rsidRPr="00D70C7D">
              <w:rPr>
                <w:b w:val="0"/>
                <w:bCs w:val="0"/>
                <w:spacing w:val="-2"/>
              </w:rPr>
              <w:t>consideration</w:t>
            </w:r>
          </w:p>
        </w:tc>
      </w:tr>
      <w:tr w:rsidR="00BF2951" w14:paraId="7BC45766" w14:textId="77777777" w:rsidTr="00BF2951">
        <w:tc>
          <w:tcPr>
            <w:tcW w:w="2660" w:type="dxa"/>
          </w:tcPr>
          <w:p w14:paraId="4EA4DD7C" w14:textId="3659D559" w:rsidR="00BF2951" w:rsidRPr="00D70C7D" w:rsidRDefault="00BF2951" w:rsidP="00D70C7D">
            <w:pPr>
              <w:pStyle w:val="TableParagraph"/>
              <w:spacing w:before="1"/>
              <w:rPr>
                <w:spacing w:val="-5"/>
                <w:sz w:val="24"/>
              </w:rPr>
            </w:pPr>
            <w:r w:rsidRPr="00D70C7D">
              <w:rPr>
                <w:spacing w:val="-5"/>
                <w:sz w:val="24"/>
              </w:rPr>
              <w:t>POI</w:t>
            </w:r>
          </w:p>
        </w:tc>
        <w:tc>
          <w:tcPr>
            <w:tcW w:w="7686" w:type="dxa"/>
          </w:tcPr>
          <w:p w14:paraId="25D1C6CC" w14:textId="2F5A8363" w:rsidR="00BF2951" w:rsidRPr="00D70C7D" w:rsidRDefault="00BF2951" w:rsidP="00BF2951">
            <w:pPr>
              <w:pStyle w:val="Heading3"/>
              <w:spacing w:before="0"/>
              <w:ind w:left="0" w:firstLine="0"/>
              <w:jc w:val="left"/>
              <w:rPr>
                <w:b w:val="0"/>
                <w:bCs w:val="0"/>
              </w:rPr>
            </w:pPr>
            <w:r w:rsidRPr="00D70C7D">
              <w:rPr>
                <w:b w:val="0"/>
                <w:bCs w:val="0"/>
              </w:rPr>
              <w:t>Means the dumping investigation period adopted by MOFCOM, being 1 January to 31 December 2019.</w:t>
            </w:r>
          </w:p>
        </w:tc>
      </w:tr>
      <w:tr w:rsidR="00BF2951" w14:paraId="053893F5" w14:textId="77777777" w:rsidTr="00BF2951">
        <w:tc>
          <w:tcPr>
            <w:tcW w:w="2660" w:type="dxa"/>
          </w:tcPr>
          <w:p w14:paraId="5CC6CC26" w14:textId="6690D91F" w:rsidR="00BF2951" w:rsidRPr="00D70C7D" w:rsidRDefault="00BF2951" w:rsidP="00D70C7D">
            <w:pPr>
              <w:pStyle w:val="TableParagraph"/>
              <w:spacing w:before="1"/>
              <w:rPr>
                <w:spacing w:val="-5"/>
                <w:sz w:val="24"/>
              </w:rPr>
            </w:pPr>
            <w:r w:rsidRPr="00D70C7D">
              <w:rPr>
                <w:sz w:val="24"/>
              </w:rPr>
              <w:t>Portia</w:t>
            </w:r>
            <w:r w:rsidRPr="00D70C7D">
              <w:rPr>
                <w:spacing w:val="-14"/>
                <w:sz w:val="24"/>
              </w:rPr>
              <w:t xml:space="preserve"> </w:t>
            </w:r>
            <w:r w:rsidRPr="00D70C7D">
              <w:rPr>
                <w:sz w:val="24"/>
              </w:rPr>
              <w:t xml:space="preserve">Valley </w:t>
            </w:r>
            <w:r w:rsidRPr="00D70C7D">
              <w:rPr>
                <w:spacing w:val="-4"/>
                <w:sz w:val="24"/>
              </w:rPr>
              <w:t>Wines</w:t>
            </w:r>
          </w:p>
        </w:tc>
        <w:tc>
          <w:tcPr>
            <w:tcW w:w="7686" w:type="dxa"/>
          </w:tcPr>
          <w:p w14:paraId="5192BBB9" w14:textId="5DE6602A" w:rsidR="00BF2951" w:rsidRPr="00D70C7D" w:rsidRDefault="00BF2951" w:rsidP="00BF2951">
            <w:pPr>
              <w:pStyle w:val="Heading3"/>
              <w:spacing w:before="0"/>
              <w:ind w:left="0" w:firstLine="0"/>
              <w:jc w:val="left"/>
              <w:rPr>
                <w:b w:val="0"/>
                <w:bCs w:val="0"/>
              </w:rPr>
            </w:pPr>
            <w:r w:rsidRPr="00D70C7D">
              <w:rPr>
                <w:b w:val="0"/>
                <w:bCs w:val="0"/>
              </w:rPr>
              <w:t>Portia</w:t>
            </w:r>
            <w:r w:rsidRPr="00D70C7D">
              <w:rPr>
                <w:b w:val="0"/>
                <w:bCs w:val="0"/>
                <w:spacing w:val="-4"/>
              </w:rPr>
              <w:t xml:space="preserve"> </w:t>
            </w:r>
            <w:r w:rsidRPr="00D70C7D">
              <w:rPr>
                <w:b w:val="0"/>
                <w:bCs w:val="0"/>
              </w:rPr>
              <w:t>Valley</w:t>
            </w:r>
            <w:r w:rsidRPr="00D70C7D">
              <w:rPr>
                <w:b w:val="0"/>
                <w:bCs w:val="0"/>
                <w:spacing w:val="-2"/>
              </w:rPr>
              <w:t xml:space="preserve"> </w:t>
            </w:r>
            <w:r w:rsidRPr="00D70C7D">
              <w:rPr>
                <w:b w:val="0"/>
                <w:bCs w:val="0"/>
              </w:rPr>
              <w:t>Wines</w:t>
            </w:r>
            <w:r w:rsidRPr="00D70C7D">
              <w:rPr>
                <w:b w:val="0"/>
                <w:bCs w:val="0"/>
                <w:spacing w:val="-2"/>
              </w:rPr>
              <w:t xml:space="preserve"> </w:t>
            </w:r>
            <w:r w:rsidRPr="00D70C7D">
              <w:rPr>
                <w:b w:val="0"/>
                <w:bCs w:val="0"/>
              </w:rPr>
              <w:t>Pty</w:t>
            </w:r>
            <w:r w:rsidRPr="00D70C7D">
              <w:rPr>
                <w:b w:val="0"/>
                <w:bCs w:val="0"/>
                <w:spacing w:val="-1"/>
              </w:rPr>
              <w:t xml:space="preserve"> </w:t>
            </w:r>
            <w:r w:rsidRPr="00D70C7D">
              <w:rPr>
                <w:b w:val="0"/>
                <w:bCs w:val="0"/>
                <w:spacing w:val="-5"/>
              </w:rPr>
              <w:t>Ltd</w:t>
            </w:r>
          </w:p>
        </w:tc>
      </w:tr>
      <w:tr w:rsidR="00BF2951" w14:paraId="3D56FD03" w14:textId="77777777" w:rsidTr="00BF2951">
        <w:tc>
          <w:tcPr>
            <w:tcW w:w="2660" w:type="dxa"/>
          </w:tcPr>
          <w:p w14:paraId="39CDA0C1" w14:textId="0725C9EC" w:rsidR="00BF2951" w:rsidRPr="00D70C7D" w:rsidRDefault="00BF2951" w:rsidP="00D70C7D">
            <w:pPr>
              <w:pStyle w:val="TableParagraph"/>
              <w:spacing w:before="1"/>
              <w:rPr>
                <w:sz w:val="24"/>
              </w:rPr>
            </w:pPr>
            <w:r w:rsidRPr="00D70C7D">
              <w:rPr>
                <w:spacing w:val="-2"/>
                <w:sz w:val="24"/>
              </w:rPr>
              <w:t>Preliminary Determination</w:t>
            </w:r>
          </w:p>
        </w:tc>
        <w:tc>
          <w:tcPr>
            <w:tcW w:w="7686" w:type="dxa"/>
          </w:tcPr>
          <w:p w14:paraId="209CE056" w14:textId="4FC00474" w:rsidR="00BF2951" w:rsidRPr="00D70C7D" w:rsidRDefault="00BF2951" w:rsidP="00BF2951">
            <w:pPr>
              <w:pStyle w:val="Heading3"/>
              <w:spacing w:before="0"/>
              <w:ind w:left="0" w:firstLine="0"/>
              <w:jc w:val="left"/>
              <w:rPr>
                <w:b w:val="0"/>
                <w:bCs w:val="0"/>
              </w:rPr>
            </w:pPr>
            <w:r w:rsidRPr="00D70C7D">
              <w:rPr>
                <w:b w:val="0"/>
                <w:bCs w:val="0"/>
              </w:rPr>
              <w:t>MOFCOM, "Preliminary Ruling of the Ministry of Commerce of the People's</w:t>
            </w:r>
            <w:r w:rsidRPr="00D70C7D">
              <w:rPr>
                <w:b w:val="0"/>
                <w:bCs w:val="0"/>
                <w:spacing w:val="-14"/>
              </w:rPr>
              <w:t xml:space="preserve"> </w:t>
            </w:r>
            <w:r w:rsidRPr="00D70C7D">
              <w:rPr>
                <w:b w:val="0"/>
                <w:bCs w:val="0"/>
              </w:rPr>
              <w:t>Republic</w:t>
            </w:r>
            <w:r w:rsidRPr="00D70C7D">
              <w:rPr>
                <w:b w:val="0"/>
                <w:bCs w:val="0"/>
                <w:spacing w:val="-14"/>
              </w:rPr>
              <w:t xml:space="preserve"> </w:t>
            </w:r>
            <w:r w:rsidRPr="00D70C7D">
              <w:rPr>
                <w:b w:val="0"/>
                <w:bCs w:val="0"/>
              </w:rPr>
              <w:t>of</w:t>
            </w:r>
            <w:r w:rsidRPr="00D70C7D">
              <w:rPr>
                <w:b w:val="0"/>
                <w:bCs w:val="0"/>
                <w:spacing w:val="-13"/>
              </w:rPr>
              <w:t xml:space="preserve"> </w:t>
            </w:r>
            <w:r w:rsidRPr="00D70C7D">
              <w:rPr>
                <w:b w:val="0"/>
                <w:bCs w:val="0"/>
              </w:rPr>
              <w:t>China</w:t>
            </w:r>
            <w:r w:rsidRPr="00D70C7D">
              <w:rPr>
                <w:b w:val="0"/>
                <w:bCs w:val="0"/>
                <w:spacing w:val="-14"/>
              </w:rPr>
              <w:t xml:space="preserve"> </w:t>
            </w:r>
            <w:r w:rsidRPr="00D70C7D">
              <w:rPr>
                <w:b w:val="0"/>
                <w:bCs w:val="0"/>
              </w:rPr>
              <w:t>on</w:t>
            </w:r>
            <w:r w:rsidRPr="00D70C7D">
              <w:rPr>
                <w:b w:val="0"/>
                <w:bCs w:val="0"/>
                <w:spacing w:val="-13"/>
              </w:rPr>
              <w:t xml:space="preserve"> </w:t>
            </w:r>
            <w:r w:rsidRPr="00D70C7D">
              <w:rPr>
                <w:b w:val="0"/>
                <w:bCs w:val="0"/>
              </w:rPr>
              <w:t>Anti-Dumping</w:t>
            </w:r>
            <w:r w:rsidRPr="00D70C7D">
              <w:rPr>
                <w:b w:val="0"/>
                <w:bCs w:val="0"/>
                <w:spacing w:val="-14"/>
              </w:rPr>
              <w:t xml:space="preserve"> </w:t>
            </w:r>
            <w:r w:rsidRPr="00D70C7D">
              <w:rPr>
                <w:b w:val="0"/>
                <w:bCs w:val="0"/>
              </w:rPr>
              <w:t>Investigation</w:t>
            </w:r>
            <w:r w:rsidRPr="00D70C7D">
              <w:rPr>
                <w:b w:val="0"/>
                <w:bCs w:val="0"/>
                <w:spacing w:val="-13"/>
              </w:rPr>
              <w:t xml:space="preserve"> </w:t>
            </w:r>
            <w:r w:rsidRPr="00D70C7D">
              <w:rPr>
                <w:b w:val="0"/>
                <w:bCs w:val="0"/>
              </w:rPr>
              <w:t>into</w:t>
            </w:r>
            <w:r w:rsidRPr="00D70C7D">
              <w:rPr>
                <w:b w:val="0"/>
                <w:bCs w:val="0"/>
                <w:spacing w:val="-14"/>
              </w:rPr>
              <w:t xml:space="preserve"> </w:t>
            </w:r>
            <w:r w:rsidRPr="00D70C7D">
              <w:rPr>
                <w:b w:val="0"/>
                <w:bCs w:val="0"/>
              </w:rPr>
              <w:t>Relevant Imported Wines Originating in Australia", 30 August 2021</w:t>
            </w:r>
          </w:p>
        </w:tc>
      </w:tr>
      <w:tr w:rsidR="00BF2951" w14:paraId="08521E3B" w14:textId="77777777" w:rsidTr="00BF2951">
        <w:tc>
          <w:tcPr>
            <w:tcW w:w="2660" w:type="dxa"/>
          </w:tcPr>
          <w:p w14:paraId="4D3537A7" w14:textId="1477A5F1" w:rsidR="00BF2951" w:rsidRPr="00D70C7D" w:rsidRDefault="00BF2951" w:rsidP="00D70C7D">
            <w:pPr>
              <w:pStyle w:val="TableParagraph"/>
              <w:spacing w:before="1"/>
              <w:rPr>
                <w:sz w:val="24"/>
              </w:rPr>
            </w:pPr>
            <w:r w:rsidRPr="00D70C7D">
              <w:rPr>
                <w:spacing w:val="-5"/>
                <w:sz w:val="24"/>
              </w:rPr>
              <w:t>PRR</w:t>
            </w:r>
          </w:p>
        </w:tc>
        <w:tc>
          <w:tcPr>
            <w:tcW w:w="7686" w:type="dxa"/>
          </w:tcPr>
          <w:p w14:paraId="0DA4DA29" w14:textId="4D25D32F" w:rsidR="00BF2951" w:rsidRPr="00D70C7D" w:rsidRDefault="00BF2951" w:rsidP="00BF2951">
            <w:pPr>
              <w:pStyle w:val="Heading3"/>
              <w:spacing w:before="0"/>
              <w:ind w:left="0" w:firstLine="0"/>
              <w:jc w:val="left"/>
              <w:rPr>
                <w:b w:val="0"/>
                <w:bCs w:val="0"/>
              </w:rPr>
            </w:pPr>
            <w:r w:rsidRPr="00D70C7D">
              <w:rPr>
                <w:b w:val="0"/>
                <w:bCs w:val="0"/>
              </w:rPr>
              <w:t>Preliminary</w:t>
            </w:r>
            <w:r w:rsidRPr="00D70C7D">
              <w:rPr>
                <w:b w:val="0"/>
                <w:bCs w:val="0"/>
                <w:spacing w:val="-4"/>
              </w:rPr>
              <w:t xml:space="preserve"> </w:t>
            </w:r>
            <w:r w:rsidRPr="00D70C7D">
              <w:rPr>
                <w:b w:val="0"/>
                <w:bCs w:val="0"/>
              </w:rPr>
              <w:t>Ruling</w:t>
            </w:r>
            <w:r w:rsidRPr="00D70C7D">
              <w:rPr>
                <w:b w:val="0"/>
                <w:bCs w:val="0"/>
                <w:spacing w:val="-4"/>
              </w:rPr>
              <w:t xml:space="preserve"> </w:t>
            </w:r>
            <w:r w:rsidRPr="00D70C7D">
              <w:rPr>
                <w:b w:val="0"/>
                <w:bCs w:val="0"/>
                <w:spacing w:val="-2"/>
              </w:rPr>
              <w:t>Request</w:t>
            </w:r>
          </w:p>
        </w:tc>
      </w:tr>
      <w:tr w:rsidR="00BF2951" w14:paraId="022DAD31" w14:textId="77777777" w:rsidTr="00BF2951">
        <w:tc>
          <w:tcPr>
            <w:tcW w:w="2660" w:type="dxa"/>
          </w:tcPr>
          <w:p w14:paraId="515E6DE9" w14:textId="3F239A99" w:rsidR="00BF2951" w:rsidRPr="00D70C7D" w:rsidRDefault="00BF2951" w:rsidP="00D70C7D">
            <w:pPr>
              <w:pStyle w:val="TableParagraph"/>
              <w:spacing w:before="1"/>
              <w:rPr>
                <w:sz w:val="24"/>
              </w:rPr>
            </w:pPr>
            <w:r w:rsidRPr="00D70C7D">
              <w:rPr>
                <w:spacing w:val="-5"/>
                <w:sz w:val="24"/>
              </w:rPr>
              <w:t>RMB</w:t>
            </w:r>
          </w:p>
        </w:tc>
        <w:tc>
          <w:tcPr>
            <w:tcW w:w="7686" w:type="dxa"/>
          </w:tcPr>
          <w:p w14:paraId="2EAB717E" w14:textId="53EEC855" w:rsidR="00BF2951" w:rsidRPr="00D70C7D" w:rsidRDefault="00BF2951" w:rsidP="00BF2951">
            <w:pPr>
              <w:pStyle w:val="Heading3"/>
              <w:spacing w:before="0"/>
              <w:ind w:left="0" w:firstLine="0"/>
              <w:jc w:val="left"/>
              <w:rPr>
                <w:b w:val="0"/>
                <w:bCs w:val="0"/>
              </w:rPr>
            </w:pPr>
            <w:r w:rsidRPr="00D70C7D">
              <w:rPr>
                <w:b w:val="0"/>
                <w:bCs w:val="0"/>
              </w:rPr>
              <w:t xml:space="preserve">Chinese </w:t>
            </w:r>
            <w:r w:rsidRPr="00D70C7D">
              <w:rPr>
                <w:b w:val="0"/>
                <w:bCs w:val="0"/>
                <w:spacing w:val="-2"/>
              </w:rPr>
              <w:t>Renminbi</w:t>
            </w:r>
          </w:p>
        </w:tc>
      </w:tr>
      <w:tr w:rsidR="00BF2951" w14:paraId="24193B76" w14:textId="77777777" w:rsidTr="00BF2951">
        <w:tc>
          <w:tcPr>
            <w:tcW w:w="2660" w:type="dxa"/>
          </w:tcPr>
          <w:p w14:paraId="2D59F00B" w14:textId="0A883C2D" w:rsidR="00BF2951" w:rsidRPr="00D70C7D" w:rsidRDefault="00BF2951" w:rsidP="00D70C7D">
            <w:pPr>
              <w:pStyle w:val="TableParagraph"/>
              <w:spacing w:before="1"/>
              <w:rPr>
                <w:sz w:val="24"/>
              </w:rPr>
            </w:pPr>
            <w:r w:rsidRPr="00D70C7D">
              <w:rPr>
                <w:spacing w:val="-2"/>
                <w:sz w:val="24"/>
              </w:rPr>
              <w:t>Sampled companies</w:t>
            </w:r>
          </w:p>
        </w:tc>
        <w:tc>
          <w:tcPr>
            <w:tcW w:w="7686" w:type="dxa"/>
          </w:tcPr>
          <w:p w14:paraId="6E5A9529" w14:textId="27792EEA" w:rsidR="00BF2951" w:rsidRPr="00D70C7D" w:rsidRDefault="00BF2951" w:rsidP="00BF2951">
            <w:pPr>
              <w:pStyle w:val="Heading3"/>
              <w:spacing w:before="0"/>
              <w:ind w:left="0" w:firstLine="0"/>
              <w:jc w:val="left"/>
              <w:rPr>
                <w:b w:val="0"/>
                <w:bCs w:val="0"/>
              </w:rPr>
            </w:pPr>
            <w:r w:rsidRPr="00D70C7D">
              <w:rPr>
                <w:b w:val="0"/>
                <w:bCs w:val="0"/>
              </w:rPr>
              <w:t xml:space="preserve">Treasury Wines, Casella </w:t>
            </w:r>
            <w:proofErr w:type="gramStart"/>
            <w:r w:rsidRPr="00D70C7D">
              <w:rPr>
                <w:b w:val="0"/>
                <w:bCs w:val="0"/>
              </w:rPr>
              <w:t>Wines</w:t>
            </w:r>
            <w:proofErr w:type="gramEnd"/>
            <w:r w:rsidRPr="00D70C7D">
              <w:rPr>
                <w:b w:val="0"/>
                <w:bCs w:val="0"/>
              </w:rPr>
              <w:t xml:space="preserve"> and</w:t>
            </w:r>
            <w:r w:rsidRPr="00D70C7D">
              <w:rPr>
                <w:b w:val="0"/>
                <w:bCs w:val="0"/>
                <w:spacing w:val="-2"/>
              </w:rPr>
              <w:t xml:space="preserve"> </w:t>
            </w:r>
            <w:r w:rsidRPr="00D70C7D">
              <w:rPr>
                <w:b w:val="0"/>
                <w:bCs w:val="0"/>
              </w:rPr>
              <w:t>Swan</w:t>
            </w:r>
            <w:r w:rsidRPr="00D70C7D">
              <w:rPr>
                <w:b w:val="0"/>
                <w:bCs w:val="0"/>
                <w:spacing w:val="-2"/>
              </w:rPr>
              <w:t xml:space="preserve"> </w:t>
            </w:r>
            <w:r w:rsidRPr="00D70C7D">
              <w:rPr>
                <w:b w:val="0"/>
                <w:bCs w:val="0"/>
              </w:rPr>
              <w:t>Vintage, the three Australian companies</w:t>
            </w:r>
            <w:r w:rsidRPr="00D70C7D">
              <w:rPr>
                <w:b w:val="0"/>
                <w:bCs w:val="0"/>
                <w:spacing w:val="-3"/>
              </w:rPr>
              <w:t xml:space="preserve"> </w:t>
            </w:r>
            <w:r w:rsidRPr="00D70C7D">
              <w:rPr>
                <w:b w:val="0"/>
                <w:bCs w:val="0"/>
              </w:rPr>
              <w:t>selected</w:t>
            </w:r>
            <w:r w:rsidRPr="00D70C7D">
              <w:rPr>
                <w:b w:val="0"/>
                <w:bCs w:val="0"/>
                <w:spacing w:val="-6"/>
              </w:rPr>
              <w:t xml:space="preserve"> </w:t>
            </w:r>
            <w:r w:rsidRPr="00D70C7D">
              <w:rPr>
                <w:b w:val="0"/>
                <w:bCs w:val="0"/>
              </w:rPr>
              <w:t>by</w:t>
            </w:r>
            <w:r w:rsidRPr="00D70C7D">
              <w:rPr>
                <w:b w:val="0"/>
                <w:bCs w:val="0"/>
                <w:spacing w:val="-3"/>
              </w:rPr>
              <w:t xml:space="preserve"> </w:t>
            </w:r>
            <w:r w:rsidRPr="00D70C7D">
              <w:rPr>
                <w:b w:val="0"/>
                <w:bCs w:val="0"/>
              </w:rPr>
              <w:t>MOFCOM</w:t>
            </w:r>
            <w:r w:rsidRPr="00D70C7D">
              <w:rPr>
                <w:b w:val="0"/>
                <w:bCs w:val="0"/>
                <w:spacing w:val="-4"/>
              </w:rPr>
              <w:t xml:space="preserve"> </w:t>
            </w:r>
            <w:r w:rsidRPr="00D70C7D">
              <w:rPr>
                <w:b w:val="0"/>
                <w:bCs w:val="0"/>
              </w:rPr>
              <w:t>as</w:t>
            </w:r>
            <w:r w:rsidRPr="00D70C7D">
              <w:rPr>
                <w:b w:val="0"/>
                <w:bCs w:val="0"/>
                <w:spacing w:val="-3"/>
              </w:rPr>
              <w:t xml:space="preserve"> </w:t>
            </w:r>
            <w:r w:rsidRPr="00D70C7D">
              <w:rPr>
                <w:b w:val="0"/>
                <w:bCs w:val="0"/>
              </w:rPr>
              <w:t>sampled</w:t>
            </w:r>
            <w:r w:rsidRPr="00D70C7D">
              <w:rPr>
                <w:b w:val="0"/>
                <w:bCs w:val="0"/>
                <w:spacing w:val="-6"/>
              </w:rPr>
              <w:t xml:space="preserve"> </w:t>
            </w:r>
            <w:r w:rsidRPr="00D70C7D">
              <w:rPr>
                <w:b w:val="0"/>
                <w:bCs w:val="0"/>
              </w:rPr>
              <w:t>companies</w:t>
            </w:r>
            <w:r w:rsidRPr="00D70C7D">
              <w:rPr>
                <w:b w:val="0"/>
                <w:bCs w:val="0"/>
                <w:spacing w:val="-3"/>
              </w:rPr>
              <w:t xml:space="preserve"> </w:t>
            </w:r>
            <w:r w:rsidRPr="00D70C7D">
              <w:rPr>
                <w:b w:val="0"/>
                <w:bCs w:val="0"/>
              </w:rPr>
              <w:t>and</w:t>
            </w:r>
            <w:r w:rsidRPr="00D70C7D">
              <w:rPr>
                <w:b w:val="0"/>
                <w:bCs w:val="0"/>
                <w:spacing w:val="-6"/>
              </w:rPr>
              <w:t xml:space="preserve"> </w:t>
            </w:r>
            <w:r w:rsidRPr="00D70C7D">
              <w:rPr>
                <w:b w:val="0"/>
                <w:bCs w:val="0"/>
              </w:rPr>
              <w:t>named</w:t>
            </w:r>
            <w:r w:rsidRPr="00D70C7D">
              <w:rPr>
                <w:b w:val="0"/>
                <w:bCs w:val="0"/>
                <w:spacing w:val="-6"/>
              </w:rPr>
              <w:t xml:space="preserve"> </w:t>
            </w:r>
            <w:r w:rsidRPr="00D70C7D">
              <w:rPr>
                <w:b w:val="0"/>
                <w:bCs w:val="0"/>
              </w:rPr>
              <w:t xml:space="preserve">in Annex 1 of the Final Determination in the category, "Sampled </w:t>
            </w:r>
            <w:r w:rsidRPr="00D70C7D">
              <w:rPr>
                <w:b w:val="0"/>
                <w:bCs w:val="0"/>
                <w:spacing w:val="-2"/>
              </w:rPr>
              <w:t>Companies"</w:t>
            </w:r>
          </w:p>
        </w:tc>
      </w:tr>
      <w:tr w:rsidR="00BF2951" w14:paraId="55FC0F2F" w14:textId="77777777" w:rsidTr="00BF2951">
        <w:tc>
          <w:tcPr>
            <w:tcW w:w="2660" w:type="dxa"/>
          </w:tcPr>
          <w:p w14:paraId="770AD131" w14:textId="6F09930F" w:rsidR="00BF2951" w:rsidRPr="00D70C7D" w:rsidRDefault="00BF2951" w:rsidP="00D70C7D">
            <w:pPr>
              <w:pStyle w:val="TableParagraph"/>
              <w:spacing w:before="1"/>
              <w:rPr>
                <w:sz w:val="24"/>
              </w:rPr>
            </w:pPr>
            <w:r w:rsidRPr="00D70C7D">
              <w:rPr>
                <w:spacing w:val="-2"/>
                <w:sz w:val="24"/>
              </w:rPr>
              <w:t>Sampling Questionnaire</w:t>
            </w:r>
          </w:p>
        </w:tc>
        <w:tc>
          <w:tcPr>
            <w:tcW w:w="7686" w:type="dxa"/>
          </w:tcPr>
          <w:p w14:paraId="75082EE5" w14:textId="5D5B8E4C" w:rsidR="00BF2951" w:rsidRPr="00D70C7D" w:rsidRDefault="00BF2951" w:rsidP="00BF2951">
            <w:pPr>
              <w:pStyle w:val="Heading3"/>
              <w:spacing w:before="0"/>
              <w:ind w:left="0" w:firstLine="0"/>
              <w:jc w:val="left"/>
              <w:rPr>
                <w:b w:val="0"/>
                <w:bCs w:val="0"/>
              </w:rPr>
            </w:pPr>
            <w:r w:rsidRPr="00D70C7D">
              <w:rPr>
                <w:b w:val="0"/>
                <w:bCs w:val="0"/>
              </w:rPr>
              <w:t>MOFCOM,</w:t>
            </w:r>
            <w:r w:rsidRPr="00D70C7D">
              <w:rPr>
                <w:b w:val="0"/>
                <w:bCs w:val="0"/>
                <w:spacing w:val="40"/>
              </w:rPr>
              <w:t xml:space="preserve"> </w:t>
            </w:r>
            <w:r w:rsidRPr="00D70C7D">
              <w:rPr>
                <w:b w:val="0"/>
                <w:bCs w:val="0"/>
              </w:rPr>
              <w:t>"Anti-dumping</w:t>
            </w:r>
            <w:r w:rsidRPr="00D70C7D">
              <w:rPr>
                <w:b w:val="0"/>
                <w:bCs w:val="0"/>
                <w:spacing w:val="40"/>
              </w:rPr>
              <w:t xml:space="preserve"> </w:t>
            </w:r>
            <w:r w:rsidRPr="00D70C7D">
              <w:rPr>
                <w:b w:val="0"/>
                <w:bCs w:val="0"/>
              </w:rPr>
              <w:t>Investigation</w:t>
            </w:r>
            <w:r w:rsidRPr="00D70C7D">
              <w:rPr>
                <w:b w:val="0"/>
                <w:bCs w:val="0"/>
                <w:spacing w:val="40"/>
              </w:rPr>
              <w:t xml:space="preserve"> </w:t>
            </w:r>
            <w:r w:rsidRPr="00D70C7D">
              <w:rPr>
                <w:b w:val="0"/>
                <w:bCs w:val="0"/>
              </w:rPr>
              <w:t>of</w:t>
            </w:r>
            <w:r w:rsidRPr="00D70C7D">
              <w:rPr>
                <w:b w:val="0"/>
                <w:bCs w:val="0"/>
                <w:spacing w:val="40"/>
              </w:rPr>
              <w:t xml:space="preserve"> </w:t>
            </w:r>
            <w:r w:rsidRPr="00D70C7D">
              <w:rPr>
                <w:b w:val="0"/>
                <w:bCs w:val="0"/>
              </w:rPr>
              <w:t>Certain</w:t>
            </w:r>
            <w:r w:rsidRPr="00D70C7D">
              <w:rPr>
                <w:b w:val="0"/>
                <w:bCs w:val="0"/>
                <w:spacing w:val="40"/>
              </w:rPr>
              <w:t xml:space="preserve"> </w:t>
            </w:r>
            <w:r w:rsidRPr="00D70C7D">
              <w:rPr>
                <w:b w:val="0"/>
                <w:bCs w:val="0"/>
              </w:rPr>
              <w:t>Wines</w:t>
            </w:r>
            <w:r w:rsidRPr="00D70C7D">
              <w:rPr>
                <w:b w:val="0"/>
                <w:bCs w:val="0"/>
                <w:spacing w:val="40"/>
              </w:rPr>
              <w:t xml:space="preserve"> </w:t>
            </w:r>
            <w:r w:rsidRPr="00D70C7D">
              <w:rPr>
                <w:b w:val="0"/>
                <w:bCs w:val="0"/>
              </w:rPr>
              <w:t>Sampling Investigation Questionnaire for Dumping", 15 September 2020</w:t>
            </w:r>
          </w:p>
        </w:tc>
      </w:tr>
      <w:tr w:rsidR="00BF2951" w14:paraId="0366478E" w14:textId="77777777" w:rsidTr="00BF2951">
        <w:tc>
          <w:tcPr>
            <w:tcW w:w="2660" w:type="dxa"/>
          </w:tcPr>
          <w:p w14:paraId="41DF71FD" w14:textId="1C6EF086" w:rsidR="00BF2951" w:rsidRPr="00D70C7D" w:rsidRDefault="00BF2951" w:rsidP="00D70C7D">
            <w:pPr>
              <w:pStyle w:val="TableParagraph"/>
              <w:spacing w:before="1"/>
              <w:rPr>
                <w:sz w:val="24"/>
              </w:rPr>
            </w:pPr>
            <w:r w:rsidRPr="00D70C7D">
              <w:rPr>
                <w:sz w:val="24"/>
              </w:rPr>
              <w:t xml:space="preserve">SCM </w:t>
            </w:r>
            <w:r w:rsidRPr="00D70C7D">
              <w:rPr>
                <w:spacing w:val="-2"/>
                <w:sz w:val="24"/>
              </w:rPr>
              <w:t>Agreement</w:t>
            </w:r>
          </w:p>
        </w:tc>
        <w:tc>
          <w:tcPr>
            <w:tcW w:w="7686" w:type="dxa"/>
          </w:tcPr>
          <w:p w14:paraId="3424D0AD" w14:textId="670E0245" w:rsidR="00BF2951" w:rsidRPr="00D70C7D" w:rsidRDefault="00BF2951" w:rsidP="00BF2951">
            <w:pPr>
              <w:pStyle w:val="Heading3"/>
              <w:spacing w:before="0"/>
              <w:ind w:left="0" w:firstLine="0"/>
              <w:jc w:val="left"/>
              <w:rPr>
                <w:b w:val="0"/>
                <w:bCs w:val="0"/>
              </w:rPr>
            </w:pPr>
            <w:r w:rsidRPr="00D70C7D">
              <w:rPr>
                <w:b w:val="0"/>
                <w:bCs w:val="0"/>
              </w:rPr>
              <w:t>Agreement</w:t>
            </w:r>
            <w:r w:rsidRPr="00D70C7D">
              <w:rPr>
                <w:b w:val="0"/>
                <w:bCs w:val="0"/>
                <w:spacing w:val="-3"/>
              </w:rPr>
              <w:t xml:space="preserve"> </w:t>
            </w:r>
            <w:r w:rsidRPr="00D70C7D">
              <w:rPr>
                <w:b w:val="0"/>
                <w:bCs w:val="0"/>
              </w:rPr>
              <w:t>on</w:t>
            </w:r>
            <w:r w:rsidRPr="00D70C7D">
              <w:rPr>
                <w:b w:val="0"/>
                <w:bCs w:val="0"/>
                <w:spacing w:val="-5"/>
              </w:rPr>
              <w:t xml:space="preserve"> </w:t>
            </w:r>
            <w:r w:rsidRPr="00D70C7D">
              <w:rPr>
                <w:b w:val="0"/>
                <w:bCs w:val="0"/>
              </w:rPr>
              <w:t>Subsidies</w:t>
            </w:r>
            <w:r w:rsidRPr="00D70C7D">
              <w:rPr>
                <w:b w:val="0"/>
                <w:bCs w:val="0"/>
                <w:spacing w:val="-1"/>
              </w:rPr>
              <w:t xml:space="preserve"> </w:t>
            </w:r>
            <w:r w:rsidRPr="00D70C7D">
              <w:rPr>
                <w:b w:val="0"/>
                <w:bCs w:val="0"/>
              </w:rPr>
              <w:t>and</w:t>
            </w:r>
            <w:r w:rsidRPr="00D70C7D">
              <w:rPr>
                <w:b w:val="0"/>
                <w:bCs w:val="0"/>
                <w:spacing w:val="-5"/>
              </w:rPr>
              <w:t xml:space="preserve"> </w:t>
            </w:r>
            <w:r w:rsidRPr="00D70C7D">
              <w:rPr>
                <w:b w:val="0"/>
                <w:bCs w:val="0"/>
              </w:rPr>
              <w:t>Countervailing</w:t>
            </w:r>
            <w:r w:rsidRPr="00D70C7D">
              <w:rPr>
                <w:b w:val="0"/>
                <w:bCs w:val="0"/>
                <w:spacing w:val="-1"/>
              </w:rPr>
              <w:t xml:space="preserve"> </w:t>
            </w:r>
            <w:r w:rsidRPr="00D70C7D">
              <w:rPr>
                <w:b w:val="0"/>
                <w:bCs w:val="0"/>
                <w:spacing w:val="-2"/>
              </w:rPr>
              <w:t>Measures</w:t>
            </w:r>
          </w:p>
        </w:tc>
      </w:tr>
      <w:tr w:rsidR="00BF2951" w14:paraId="73BF2413" w14:textId="77777777" w:rsidTr="00BF2951">
        <w:tc>
          <w:tcPr>
            <w:tcW w:w="2660" w:type="dxa"/>
          </w:tcPr>
          <w:p w14:paraId="05D3C9BD" w14:textId="1F79F6BF" w:rsidR="00BF2951" w:rsidRPr="00D70C7D" w:rsidRDefault="00BF2951" w:rsidP="00D70C7D">
            <w:pPr>
              <w:pStyle w:val="TableParagraph"/>
              <w:spacing w:before="1"/>
              <w:rPr>
                <w:sz w:val="24"/>
              </w:rPr>
            </w:pPr>
            <w:r w:rsidRPr="00D70C7D">
              <w:rPr>
                <w:spacing w:val="-2"/>
                <w:sz w:val="24"/>
              </w:rPr>
              <w:t>Supplementary Questionnaire</w:t>
            </w:r>
          </w:p>
        </w:tc>
        <w:tc>
          <w:tcPr>
            <w:tcW w:w="7686" w:type="dxa"/>
          </w:tcPr>
          <w:p w14:paraId="28EEFF26" w14:textId="24FBC386" w:rsidR="00BF2951" w:rsidRPr="00D70C7D" w:rsidRDefault="00BF2951" w:rsidP="00BF2951">
            <w:pPr>
              <w:pStyle w:val="Heading3"/>
              <w:spacing w:before="0"/>
              <w:ind w:left="0" w:firstLine="0"/>
              <w:jc w:val="left"/>
              <w:rPr>
                <w:b w:val="0"/>
                <w:bCs w:val="0"/>
              </w:rPr>
            </w:pPr>
            <w:r w:rsidRPr="00D70C7D">
              <w:rPr>
                <w:b w:val="0"/>
                <w:bCs w:val="0"/>
              </w:rPr>
              <w:t>Unless otherwise specified, means the Supplementary Questionnaire on Relevant Wines Anti-Dumping Investigation issued by MOFCOM to sampled companies on 1 February 2021</w:t>
            </w:r>
          </w:p>
        </w:tc>
      </w:tr>
      <w:tr w:rsidR="00BF2951" w14:paraId="5253C01A" w14:textId="77777777" w:rsidTr="00BF2951">
        <w:tc>
          <w:tcPr>
            <w:tcW w:w="2660" w:type="dxa"/>
          </w:tcPr>
          <w:p w14:paraId="06D7F3DA" w14:textId="69889FC1" w:rsidR="00BF2951" w:rsidRPr="00D70C7D" w:rsidRDefault="00BF2951" w:rsidP="00D70C7D">
            <w:pPr>
              <w:pStyle w:val="TableParagraph"/>
              <w:spacing w:before="1"/>
              <w:rPr>
                <w:sz w:val="24"/>
              </w:rPr>
            </w:pPr>
            <w:r w:rsidRPr="00D70C7D">
              <w:rPr>
                <w:sz w:val="24"/>
              </w:rPr>
              <w:t>Swan</w:t>
            </w:r>
            <w:r w:rsidRPr="00D70C7D">
              <w:rPr>
                <w:spacing w:val="-2"/>
                <w:sz w:val="24"/>
              </w:rPr>
              <w:t xml:space="preserve"> Vintage</w:t>
            </w:r>
          </w:p>
        </w:tc>
        <w:tc>
          <w:tcPr>
            <w:tcW w:w="7686" w:type="dxa"/>
          </w:tcPr>
          <w:p w14:paraId="25B2AAEB" w14:textId="3965922B" w:rsidR="00BF2951" w:rsidRPr="00D70C7D" w:rsidRDefault="00BF2951" w:rsidP="00BF2951">
            <w:pPr>
              <w:pStyle w:val="Heading3"/>
              <w:spacing w:before="0"/>
              <w:ind w:left="0" w:firstLine="0"/>
              <w:jc w:val="left"/>
              <w:rPr>
                <w:b w:val="0"/>
                <w:bCs w:val="0"/>
              </w:rPr>
            </w:pPr>
            <w:r w:rsidRPr="00D70C7D">
              <w:rPr>
                <w:b w:val="0"/>
                <w:bCs w:val="0"/>
              </w:rPr>
              <w:t>Australian</w:t>
            </w:r>
            <w:r w:rsidRPr="00D70C7D">
              <w:rPr>
                <w:b w:val="0"/>
                <w:bCs w:val="0"/>
                <w:spacing w:val="-3"/>
              </w:rPr>
              <w:t xml:space="preserve"> </w:t>
            </w:r>
            <w:r w:rsidRPr="00D70C7D">
              <w:rPr>
                <w:b w:val="0"/>
                <w:bCs w:val="0"/>
              </w:rPr>
              <w:t>Swan</w:t>
            </w:r>
            <w:r w:rsidRPr="00D70C7D">
              <w:rPr>
                <w:b w:val="0"/>
                <w:bCs w:val="0"/>
                <w:spacing w:val="-3"/>
              </w:rPr>
              <w:t xml:space="preserve"> </w:t>
            </w:r>
            <w:r w:rsidRPr="00D70C7D">
              <w:rPr>
                <w:b w:val="0"/>
                <w:bCs w:val="0"/>
              </w:rPr>
              <w:t>Vintage</w:t>
            </w:r>
            <w:r w:rsidRPr="00D70C7D">
              <w:rPr>
                <w:b w:val="0"/>
                <w:bCs w:val="0"/>
                <w:spacing w:val="-1"/>
              </w:rPr>
              <w:t xml:space="preserve"> </w:t>
            </w:r>
            <w:r w:rsidRPr="00D70C7D">
              <w:rPr>
                <w:b w:val="0"/>
                <w:bCs w:val="0"/>
              </w:rPr>
              <w:t xml:space="preserve">Pty </w:t>
            </w:r>
            <w:r w:rsidRPr="00D70C7D">
              <w:rPr>
                <w:b w:val="0"/>
                <w:bCs w:val="0"/>
                <w:spacing w:val="-5"/>
              </w:rPr>
              <w:t>Ltd</w:t>
            </w:r>
          </w:p>
        </w:tc>
      </w:tr>
      <w:tr w:rsidR="00BF2951" w14:paraId="4350A819" w14:textId="77777777" w:rsidTr="00BF2951">
        <w:tc>
          <w:tcPr>
            <w:tcW w:w="2660" w:type="dxa"/>
          </w:tcPr>
          <w:p w14:paraId="71FD9144" w14:textId="08A55A69" w:rsidR="00BF2951" w:rsidRPr="00D70C7D" w:rsidRDefault="00BF2951" w:rsidP="00D70C7D">
            <w:pPr>
              <w:pStyle w:val="TableParagraph"/>
              <w:spacing w:before="1"/>
              <w:rPr>
                <w:sz w:val="24"/>
              </w:rPr>
            </w:pPr>
            <w:r w:rsidRPr="00D70C7D">
              <w:rPr>
                <w:sz w:val="24"/>
              </w:rPr>
              <w:t>The</w:t>
            </w:r>
            <w:r w:rsidRPr="00D70C7D">
              <w:rPr>
                <w:spacing w:val="-14"/>
                <w:sz w:val="24"/>
              </w:rPr>
              <w:t xml:space="preserve"> </w:t>
            </w:r>
            <w:r w:rsidRPr="00D70C7D">
              <w:rPr>
                <w:sz w:val="24"/>
              </w:rPr>
              <w:t>"All</w:t>
            </w:r>
            <w:r w:rsidRPr="00D70C7D">
              <w:rPr>
                <w:spacing w:val="-14"/>
                <w:sz w:val="24"/>
              </w:rPr>
              <w:t xml:space="preserve"> </w:t>
            </w:r>
            <w:r w:rsidRPr="00D70C7D">
              <w:rPr>
                <w:sz w:val="24"/>
              </w:rPr>
              <w:t xml:space="preserve">Others" category of </w:t>
            </w:r>
            <w:r w:rsidRPr="00D70C7D">
              <w:rPr>
                <w:spacing w:val="-2"/>
                <w:sz w:val="24"/>
              </w:rPr>
              <w:t>Australian companies</w:t>
            </w:r>
          </w:p>
        </w:tc>
        <w:tc>
          <w:tcPr>
            <w:tcW w:w="7686" w:type="dxa"/>
          </w:tcPr>
          <w:p w14:paraId="27BAC628" w14:textId="4A8A1901" w:rsidR="00BF2951" w:rsidRPr="00D70C7D" w:rsidRDefault="00BF2951" w:rsidP="00BF2951">
            <w:pPr>
              <w:pStyle w:val="Heading3"/>
              <w:spacing w:before="0"/>
              <w:ind w:left="0" w:firstLine="0"/>
              <w:jc w:val="left"/>
              <w:rPr>
                <w:b w:val="0"/>
                <w:bCs w:val="0"/>
              </w:rPr>
            </w:pPr>
            <w:r w:rsidRPr="00D70C7D">
              <w:rPr>
                <w:b w:val="0"/>
                <w:bCs w:val="0"/>
              </w:rPr>
              <w:t>All other</w:t>
            </w:r>
            <w:r w:rsidRPr="00D70C7D">
              <w:rPr>
                <w:b w:val="0"/>
                <w:bCs w:val="0"/>
                <w:spacing w:val="-2"/>
              </w:rPr>
              <w:t xml:space="preserve"> </w:t>
            </w:r>
            <w:r w:rsidRPr="00D70C7D">
              <w:rPr>
                <w:b w:val="0"/>
                <w:bCs w:val="0"/>
              </w:rPr>
              <w:t>Australian</w:t>
            </w:r>
            <w:r w:rsidRPr="00D70C7D">
              <w:rPr>
                <w:b w:val="0"/>
                <w:bCs w:val="0"/>
                <w:spacing w:val="-2"/>
              </w:rPr>
              <w:t xml:space="preserve"> </w:t>
            </w:r>
            <w:r w:rsidRPr="00D70C7D">
              <w:rPr>
                <w:b w:val="0"/>
                <w:bCs w:val="0"/>
              </w:rPr>
              <w:t>companies that were not named</w:t>
            </w:r>
            <w:r w:rsidRPr="00D70C7D">
              <w:rPr>
                <w:b w:val="0"/>
                <w:bCs w:val="0"/>
                <w:spacing w:val="-2"/>
              </w:rPr>
              <w:t xml:space="preserve"> </w:t>
            </w:r>
            <w:r w:rsidRPr="00D70C7D">
              <w:rPr>
                <w:b w:val="0"/>
                <w:bCs w:val="0"/>
              </w:rPr>
              <w:t>in</w:t>
            </w:r>
            <w:r w:rsidRPr="00D70C7D">
              <w:rPr>
                <w:b w:val="0"/>
                <w:bCs w:val="0"/>
                <w:spacing w:val="-2"/>
              </w:rPr>
              <w:t xml:space="preserve"> </w:t>
            </w:r>
            <w:r w:rsidRPr="00D70C7D">
              <w:rPr>
                <w:b w:val="0"/>
                <w:bCs w:val="0"/>
              </w:rPr>
              <w:t>Annex 1</w:t>
            </w:r>
            <w:r w:rsidRPr="00D70C7D">
              <w:rPr>
                <w:b w:val="0"/>
                <w:bCs w:val="0"/>
                <w:spacing w:val="-2"/>
              </w:rPr>
              <w:t xml:space="preserve"> </w:t>
            </w:r>
            <w:r w:rsidRPr="00D70C7D">
              <w:rPr>
                <w:b w:val="0"/>
                <w:bCs w:val="0"/>
              </w:rPr>
              <w:t xml:space="preserve">of the Final Determination, which MOFCOM collectively referred to as "All </w:t>
            </w:r>
            <w:r w:rsidRPr="00D70C7D">
              <w:rPr>
                <w:b w:val="0"/>
                <w:bCs w:val="0"/>
                <w:spacing w:val="-2"/>
              </w:rPr>
              <w:t>Others"</w:t>
            </w:r>
          </w:p>
        </w:tc>
      </w:tr>
      <w:tr w:rsidR="00BF2951" w14:paraId="0199C18B" w14:textId="77777777" w:rsidTr="00BF2951">
        <w:tc>
          <w:tcPr>
            <w:tcW w:w="2660" w:type="dxa"/>
          </w:tcPr>
          <w:p w14:paraId="084DB06F" w14:textId="2EEE114F" w:rsidR="00BF2951" w:rsidRPr="00D70C7D" w:rsidRDefault="00BF2951" w:rsidP="00D70C7D">
            <w:pPr>
              <w:pStyle w:val="TableParagraph"/>
              <w:spacing w:before="1"/>
              <w:rPr>
                <w:sz w:val="24"/>
              </w:rPr>
            </w:pPr>
            <w:r w:rsidRPr="00D70C7D">
              <w:rPr>
                <w:sz w:val="24"/>
              </w:rPr>
              <w:t>Treasury</w:t>
            </w:r>
            <w:r w:rsidRPr="00D70C7D">
              <w:rPr>
                <w:spacing w:val="-10"/>
                <w:sz w:val="24"/>
              </w:rPr>
              <w:t xml:space="preserve"> </w:t>
            </w:r>
            <w:r w:rsidRPr="00D70C7D">
              <w:rPr>
                <w:spacing w:val="-2"/>
                <w:sz w:val="24"/>
              </w:rPr>
              <w:t>Wines</w:t>
            </w:r>
          </w:p>
        </w:tc>
        <w:tc>
          <w:tcPr>
            <w:tcW w:w="7686" w:type="dxa"/>
          </w:tcPr>
          <w:p w14:paraId="277654A3" w14:textId="7E1AC449" w:rsidR="00BF2951" w:rsidRPr="00D70C7D" w:rsidRDefault="00BF2951" w:rsidP="00BF2951">
            <w:pPr>
              <w:pStyle w:val="Heading3"/>
              <w:spacing w:before="0"/>
              <w:ind w:left="0" w:firstLine="0"/>
              <w:jc w:val="left"/>
              <w:rPr>
                <w:b w:val="0"/>
                <w:bCs w:val="0"/>
              </w:rPr>
            </w:pPr>
            <w:r w:rsidRPr="00D70C7D">
              <w:rPr>
                <w:b w:val="0"/>
                <w:bCs w:val="0"/>
              </w:rPr>
              <w:t>Treasury</w:t>
            </w:r>
            <w:r w:rsidRPr="00D70C7D">
              <w:rPr>
                <w:b w:val="0"/>
                <w:bCs w:val="0"/>
                <w:spacing w:val="-2"/>
              </w:rPr>
              <w:t xml:space="preserve"> </w:t>
            </w:r>
            <w:r w:rsidRPr="00D70C7D">
              <w:rPr>
                <w:b w:val="0"/>
                <w:bCs w:val="0"/>
              </w:rPr>
              <w:t>Wine</w:t>
            </w:r>
            <w:r w:rsidRPr="00D70C7D">
              <w:rPr>
                <w:b w:val="0"/>
                <w:bCs w:val="0"/>
                <w:spacing w:val="-3"/>
              </w:rPr>
              <w:t xml:space="preserve"> </w:t>
            </w:r>
            <w:r w:rsidRPr="00D70C7D">
              <w:rPr>
                <w:b w:val="0"/>
                <w:bCs w:val="0"/>
              </w:rPr>
              <w:t>Estates</w:t>
            </w:r>
            <w:r w:rsidRPr="00D70C7D">
              <w:rPr>
                <w:b w:val="0"/>
                <w:bCs w:val="0"/>
                <w:spacing w:val="-2"/>
              </w:rPr>
              <w:t xml:space="preserve"> </w:t>
            </w:r>
            <w:proofErr w:type="spellStart"/>
            <w:r w:rsidRPr="00D70C7D">
              <w:rPr>
                <w:b w:val="0"/>
                <w:bCs w:val="0"/>
              </w:rPr>
              <w:t>Vinters</w:t>
            </w:r>
            <w:proofErr w:type="spellEnd"/>
            <w:r w:rsidRPr="00D70C7D">
              <w:rPr>
                <w:b w:val="0"/>
                <w:bCs w:val="0"/>
                <w:spacing w:val="-2"/>
              </w:rPr>
              <w:t xml:space="preserve"> Limited</w:t>
            </w:r>
          </w:p>
        </w:tc>
      </w:tr>
      <w:tr w:rsidR="00BF2951" w14:paraId="667F649F" w14:textId="77777777" w:rsidTr="00BF2951">
        <w:tc>
          <w:tcPr>
            <w:tcW w:w="2660" w:type="dxa"/>
          </w:tcPr>
          <w:p w14:paraId="02A29A30" w14:textId="63E91463" w:rsidR="00BF2951" w:rsidRPr="00D70C7D" w:rsidRDefault="00BF2951" w:rsidP="00D70C7D">
            <w:pPr>
              <w:pStyle w:val="TableParagraph"/>
              <w:spacing w:before="1"/>
              <w:rPr>
                <w:sz w:val="24"/>
              </w:rPr>
            </w:pPr>
            <w:r w:rsidRPr="00D70C7D">
              <w:rPr>
                <w:spacing w:val="-5"/>
                <w:sz w:val="24"/>
              </w:rPr>
              <w:t>USD</w:t>
            </w:r>
          </w:p>
        </w:tc>
        <w:tc>
          <w:tcPr>
            <w:tcW w:w="7686" w:type="dxa"/>
          </w:tcPr>
          <w:p w14:paraId="3301C8C1" w14:textId="7FBFFB25" w:rsidR="00BF2951" w:rsidRPr="00D70C7D" w:rsidRDefault="00BF2951" w:rsidP="00BF2951">
            <w:pPr>
              <w:pStyle w:val="Heading3"/>
              <w:spacing w:before="0"/>
              <w:ind w:left="0" w:firstLine="0"/>
              <w:jc w:val="left"/>
              <w:rPr>
                <w:b w:val="0"/>
                <w:bCs w:val="0"/>
              </w:rPr>
            </w:pPr>
            <w:r w:rsidRPr="00D70C7D">
              <w:rPr>
                <w:b w:val="0"/>
                <w:bCs w:val="0"/>
              </w:rPr>
              <w:t>United</w:t>
            </w:r>
            <w:r w:rsidRPr="00D70C7D">
              <w:rPr>
                <w:b w:val="0"/>
                <w:bCs w:val="0"/>
                <w:spacing w:val="-3"/>
              </w:rPr>
              <w:t xml:space="preserve"> </w:t>
            </w:r>
            <w:r w:rsidRPr="00D70C7D">
              <w:rPr>
                <w:b w:val="0"/>
                <w:bCs w:val="0"/>
              </w:rPr>
              <w:t>States</w:t>
            </w:r>
            <w:r w:rsidRPr="00D70C7D">
              <w:rPr>
                <w:b w:val="0"/>
                <w:bCs w:val="0"/>
                <w:spacing w:val="2"/>
              </w:rPr>
              <w:t xml:space="preserve"> </w:t>
            </w:r>
            <w:r w:rsidRPr="00D70C7D">
              <w:rPr>
                <w:b w:val="0"/>
                <w:bCs w:val="0"/>
                <w:spacing w:val="-2"/>
              </w:rPr>
              <w:t>Dollars</w:t>
            </w:r>
          </w:p>
        </w:tc>
      </w:tr>
      <w:tr w:rsidR="00BF2951" w14:paraId="5BA0739F" w14:textId="77777777" w:rsidTr="00BF2951">
        <w:tc>
          <w:tcPr>
            <w:tcW w:w="2660" w:type="dxa"/>
          </w:tcPr>
          <w:p w14:paraId="40440469" w14:textId="0312AAD6" w:rsidR="00BF2951" w:rsidRPr="00D70C7D" w:rsidRDefault="00BF2951" w:rsidP="00D70C7D">
            <w:pPr>
              <w:pStyle w:val="TableParagraph"/>
              <w:spacing w:before="1"/>
              <w:rPr>
                <w:sz w:val="24"/>
              </w:rPr>
            </w:pPr>
            <w:r w:rsidRPr="00D70C7D">
              <w:rPr>
                <w:spacing w:val="-5"/>
                <w:sz w:val="24"/>
              </w:rPr>
              <w:t>WTO</w:t>
            </w:r>
          </w:p>
        </w:tc>
        <w:tc>
          <w:tcPr>
            <w:tcW w:w="7686" w:type="dxa"/>
          </w:tcPr>
          <w:p w14:paraId="0C6A0DCF" w14:textId="7E3098E6" w:rsidR="00BF2951" w:rsidRPr="00D70C7D" w:rsidRDefault="00BF2951" w:rsidP="00BF2951">
            <w:pPr>
              <w:pStyle w:val="Heading3"/>
              <w:spacing w:before="0"/>
              <w:ind w:left="0" w:firstLine="0"/>
              <w:jc w:val="left"/>
              <w:rPr>
                <w:b w:val="0"/>
                <w:bCs w:val="0"/>
              </w:rPr>
            </w:pPr>
            <w:r w:rsidRPr="00D70C7D">
              <w:rPr>
                <w:b w:val="0"/>
                <w:bCs w:val="0"/>
              </w:rPr>
              <w:t>World</w:t>
            </w:r>
            <w:r w:rsidRPr="00D70C7D">
              <w:rPr>
                <w:b w:val="0"/>
                <w:bCs w:val="0"/>
                <w:spacing w:val="-7"/>
              </w:rPr>
              <w:t xml:space="preserve"> </w:t>
            </w:r>
            <w:r w:rsidRPr="00D70C7D">
              <w:rPr>
                <w:b w:val="0"/>
                <w:bCs w:val="0"/>
              </w:rPr>
              <w:t>Trade</w:t>
            </w:r>
            <w:r w:rsidRPr="00D70C7D">
              <w:rPr>
                <w:b w:val="0"/>
                <w:bCs w:val="0"/>
                <w:spacing w:val="-1"/>
              </w:rPr>
              <w:t xml:space="preserve"> </w:t>
            </w:r>
            <w:r w:rsidRPr="00D70C7D">
              <w:rPr>
                <w:b w:val="0"/>
                <w:bCs w:val="0"/>
                <w:spacing w:val="-2"/>
              </w:rPr>
              <w:t>Organization</w:t>
            </w:r>
          </w:p>
        </w:tc>
      </w:tr>
      <w:tr w:rsidR="00BF2951" w14:paraId="1C75C141" w14:textId="77777777" w:rsidTr="00BF2951">
        <w:tc>
          <w:tcPr>
            <w:tcW w:w="2660" w:type="dxa"/>
          </w:tcPr>
          <w:p w14:paraId="35808828" w14:textId="2966A280" w:rsidR="00BF2951" w:rsidRPr="00D70C7D" w:rsidRDefault="00BF2951" w:rsidP="00D70C7D">
            <w:pPr>
              <w:pStyle w:val="TableParagraph"/>
              <w:spacing w:before="1"/>
              <w:rPr>
                <w:sz w:val="24"/>
              </w:rPr>
            </w:pPr>
            <w:proofErr w:type="spellStart"/>
            <w:r w:rsidRPr="00D70C7D">
              <w:rPr>
                <w:sz w:val="24"/>
              </w:rPr>
              <w:t>Yalumba</w:t>
            </w:r>
            <w:proofErr w:type="spellEnd"/>
            <w:r w:rsidRPr="00D70C7D">
              <w:rPr>
                <w:spacing w:val="-8"/>
                <w:sz w:val="24"/>
              </w:rPr>
              <w:t xml:space="preserve"> </w:t>
            </w:r>
            <w:r w:rsidRPr="00D70C7D">
              <w:rPr>
                <w:spacing w:val="-2"/>
                <w:sz w:val="24"/>
              </w:rPr>
              <w:t>Wines</w:t>
            </w:r>
          </w:p>
        </w:tc>
        <w:tc>
          <w:tcPr>
            <w:tcW w:w="7686" w:type="dxa"/>
          </w:tcPr>
          <w:p w14:paraId="1EF447DE" w14:textId="6174C51E" w:rsidR="00BF2951" w:rsidRPr="00D70C7D" w:rsidRDefault="00BF2951" w:rsidP="00BF2951">
            <w:pPr>
              <w:pStyle w:val="Heading3"/>
              <w:spacing w:before="0"/>
              <w:ind w:left="0" w:firstLine="0"/>
              <w:jc w:val="left"/>
              <w:rPr>
                <w:b w:val="0"/>
                <w:bCs w:val="0"/>
              </w:rPr>
            </w:pPr>
            <w:r w:rsidRPr="00D70C7D">
              <w:rPr>
                <w:b w:val="0"/>
                <w:bCs w:val="0"/>
              </w:rPr>
              <w:t>S.</w:t>
            </w:r>
            <w:r w:rsidRPr="00D70C7D">
              <w:rPr>
                <w:b w:val="0"/>
                <w:bCs w:val="0"/>
                <w:spacing w:val="-3"/>
              </w:rPr>
              <w:t xml:space="preserve"> </w:t>
            </w:r>
            <w:r w:rsidRPr="00D70C7D">
              <w:rPr>
                <w:b w:val="0"/>
                <w:bCs w:val="0"/>
              </w:rPr>
              <w:t>Smith</w:t>
            </w:r>
            <w:r w:rsidRPr="00D70C7D">
              <w:rPr>
                <w:b w:val="0"/>
                <w:bCs w:val="0"/>
                <w:spacing w:val="-4"/>
              </w:rPr>
              <w:t xml:space="preserve"> </w:t>
            </w:r>
            <w:r w:rsidRPr="00D70C7D">
              <w:rPr>
                <w:b w:val="0"/>
                <w:bCs w:val="0"/>
              </w:rPr>
              <w:t>and</w:t>
            </w:r>
            <w:r w:rsidRPr="00D70C7D">
              <w:rPr>
                <w:b w:val="0"/>
                <w:bCs w:val="0"/>
                <w:spacing w:val="-4"/>
              </w:rPr>
              <w:t xml:space="preserve"> </w:t>
            </w:r>
            <w:r w:rsidRPr="00D70C7D">
              <w:rPr>
                <w:b w:val="0"/>
                <w:bCs w:val="0"/>
              </w:rPr>
              <w:t>Son</w:t>
            </w:r>
            <w:r w:rsidRPr="00D70C7D">
              <w:rPr>
                <w:b w:val="0"/>
                <w:bCs w:val="0"/>
                <w:spacing w:val="-4"/>
              </w:rPr>
              <w:t xml:space="preserve"> </w:t>
            </w:r>
            <w:r w:rsidRPr="00D70C7D">
              <w:rPr>
                <w:b w:val="0"/>
                <w:bCs w:val="0"/>
              </w:rPr>
              <w:t>Pty</w:t>
            </w:r>
            <w:r w:rsidRPr="00D70C7D">
              <w:rPr>
                <w:b w:val="0"/>
                <w:bCs w:val="0"/>
                <w:spacing w:val="-1"/>
              </w:rPr>
              <w:t xml:space="preserve"> </w:t>
            </w:r>
            <w:r w:rsidRPr="00D70C7D">
              <w:rPr>
                <w:b w:val="0"/>
                <w:bCs w:val="0"/>
              </w:rPr>
              <w:t>Ltd</w:t>
            </w:r>
            <w:r w:rsidRPr="00D70C7D">
              <w:rPr>
                <w:b w:val="0"/>
                <w:bCs w:val="0"/>
                <w:spacing w:val="-4"/>
              </w:rPr>
              <w:t xml:space="preserve"> </w:t>
            </w:r>
            <w:r w:rsidRPr="00D70C7D">
              <w:rPr>
                <w:b w:val="0"/>
                <w:bCs w:val="0"/>
              </w:rPr>
              <w:t>trading</w:t>
            </w:r>
            <w:r w:rsidRPr="00D70C7D">
              <w:rPr>
                <w:b w:val="0"/>
                <w:bCs w:val="0"/>
                <w:spacing w:val="-1"/>
              </w:rPr>
              <w:t xml:space="preserve"> </w:t>
            </w:r>
            <w:r w:rsidRPr="00D70C7D">
              <w:rPr>
                <w:b w:val="0"/>
                <w:bCs w:val="0"/>
              </w:rPr>
              <w:t>as</w:t>
            </w:r>
            <w:r w:rsidRPr="00D70C7D">
              <w:rPr>
                <w:b w:val="0"/>
                <w:bCs w:val="0"/>
                <w:spacing w:val="-1"/>
              </w:rPr>
              <w:t xml:space="preserve"> </w:t>
            </w:r>
            <w:r w:rsidRPr="00D70C7D">
              <w:rPr>
                <w:b w:val="0"/>
                <w:bCs w:val="0"/>
              </w:rPr>
              <w:t>The</w:t>
            </w:r>
            <w:r w:rsidRPr="00D70C7D">
              <w:rPr>
                <w:b w:val="0"/>
                <w:bCs w:val="0"/>
                <w:spacing w:val="2"/>
              </w:rPr>
              <w:t xml:space="preserve"> </w:t>
            </w:r>
            <w:proofErr w:type="spellStart"/>
            <w:r w:rsidRPr="00D70C7D">
              <w:rPr>
                <w:b w:val="0"/>
                <w:bCs w:val="0"/>
              </w:rPr>
              <w:t>Yalumba</w:t>
            </w:r>
            <w:proofErr w:type="spellEnd"/>
            <w:r w:rsidRPr="00D70C7D">
              <w:rPr>
                <w:b w:val="0"/>
                <w:bCs w:val="0"/>
                <w:spacing w:val="2"/>
              </w:rPr>
              <w:t xml:space="preserve"> </w:t>
            </w:r>
            <w:r w:rsidRPr="00D70C7D">
              <w:rPr>
                <w:b w:val="0"/>
                <w:bCs w:val="0"/>
              </w:rPr>
              <w:t>Wine</w:t>
            </w:r>
            <w:r w:rsidRPr="00D70C7D">
              <w:rPr>
                <w:b w:val="0"/>
                <w:bCs w:val="0"/>
                <w:spacing w:val="-2"/>
              </w:rPr>
              <w:t xml:space="preserve"> Company</w:t>
            </w:r>
          </w:p>
        </w:tc>
      </w:tr>
    </w:tbl>
    <w:p w14:paraId="75D1E80C" w14:textId="77777777" w:rsidR="00BF2951" w:rsidRDefault="00BF2951" w:rsidP="00BF2951">
      <w:pPr>
        <w:pStyle w:val="Heading3"/>
        <w:spacing w:before="0"/>
        <w:ind w:left="0" w:firstLine="0"/>
        <w:jc w:val="left"/>
      </w:pPr>
    </w:p>
    <w:p w14:paraId="383FC262" w14:textId="77777777" w:rsidR="00BD462C" w:rsidRDefault="00BD462C">
      <w:pPr>
        <w:pStyle w:val="BodyText"/>
        <w:spacing w:before="8"/>
        <w:rPr>
          <w:b/>
          <w:sz w:val="11"/>
        </w:rPr>
      </w:pPr>
    </w:p>
    <w:p w14:paraId="7DA2CAE8" w14:textId="77777777" w:rsidR="00BD462C" w:rsidRDefault="00033D0F">
      <w:pPr>
        <w:tabs>
          <w:tab w:val="left" w:pos="6087"/>
        </w:tabs>
        <w:spacing w:before="1"/>
        <w:ind w:left="135"/>
        <w:rPr>
          <w:sz w:val="20"/>
        </w:rPr>
      </w:pPr>
      <w:r>
        <w:rPr>
          <w:i/>
          <w:sz w:val="20"/>
        </w:rPr>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694F2369"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1C0E5A2C"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6DA61A74" w14:textId="77777777" w:rsidR="00BD462C" w:rsidRDefault="00BD462C">
      <w:pPr>
        <w:pStyle w:val="BodyText"/>
        <w:spacing w:before="3"/>
        <w:rPr>
          <w:sz w:val="8"/>
        </w:rPr>
      </w:pPr>
    </w:p>
    <w:p w14:paraId="0363D138" w14:textId="77777777" w:rsidR="00BD462C" w:rsidRDefault="00BD462C">
      <w:pPr>
        <w:rPr>
          <w:sz w:val="24"/>
        </w:rPr>
        <w:sectPr w:rsidR="00BD462C">
          <w:pgSz w:w="11910" w:h="16840"/>
          <w:pgMar w:top="860" w:right="500" w:bottom="780" w:left="1280" w:header="566" w:footer="590" w:gutter="0"/>
          <w:cols w:space="720"/>
        </w:sectPr>
      </w:pPr>
    </w:p>
    <w:p w14:paraId="12968690" w14:textId="77777777" w:rsidR="00BD462C" w:rsidRDefault="00BD462C">
      <w:pPr>
        <w:pStyle w:val="BodyText"/>
        <w:spacing w:before="3"/>
        <w:rPr>
          <w:sz w:val="8"/>
        </w:rPr>
      </w:pPr>
    </w:p>
    <w:p w14:paraId="0B58EC60" w14:textId="77777777" w:rsidR="00BD462C" w:rsidRDefault="00BD462C">
      <w:pPr>
        <w:pStyle w:val="BodyText"/>
        <w:spacing w:before="3"/>
        <w:rPr>
          <w:sz w:val="28"/>
        </w:rPr>
      </w:pPr>
    </w:p>
    <w:p w14:paraId="6D70DB31" w14:textId="57BAE7B7" w:rsidR="00BD462C" w:rsidRDefault="00033D0F">
      <w:pPr>
        <w:pStyle w:val="Heading3"/>
        <w:spacing w:before="1"/>
        <w:ind w:left="1856" w:right="2640" w:firstLine="0"/>
        <w:jc w:val="center"/>
        <w:rPr>
          <w:spacing w:val="-2"/>
        </w:rPr>
      </w:pPr>
      <w:bookmarkStart w:id="7" w:name="List_of_Exhibits"/>
      <w:bookmarkStart w:id="8" w:name="_bookmark3"/>
      <w:bookmarkEnd w:id="7"/>
      <w:bookmarkEnd w:id="8"/>
      <w:r>
        <w:t>LIST</w:t>
      </w:r>
      <w:r>
        <w:rPr>
          <w:spacing w:val="-2"/>
        </w:rPr>
        <w:t xml:space="preserve"> </w:t>
      </w:r>
      <w:r>
        <w:t>OF</w:t>
      </w:r>
      <w:r>
        <w:rPr>
          <w:spacing w:val="-3"/>
        </w:rPr>
        <w:t xml:space="preserve"> </w:t>
      </w:r>
      <w:r>
        <w:rPr>
          <w:spacing w:val="-2"/>
        </w:rPr>
        <w:t>EXHIBITS</w:t>
      </w:r>
    </w:p>
    <w:tbl>
      <w:tblPr>
        <w:tblStyle w:val="TableGrid"/>
        <w:tblW w:w="10344" w:type="dxa"/>
        <w:tblLook w:val="04A0" w:firstRow="1" w:lastRow="0" w:firstColumn="1" w:lastColumn="0" w:noHBand="0" w:noVBand="1"/>
      </w:tblPr>
      <w:tblGrid>
        <w:gridCol w:w="3448"/>
        <w:gridCol w:w="3448"/>
        <w:gridCol w:w="3448"/>
      </w:tblGrid>
      <w:tr w:rsidR="00BF2951" w14:paraId="3E83F308" w14:textId="77777777" w:rsidTr="00BF2951">
        <w:tc>
          <w:tcPr>
            <w:tcW w:w="3448" w:type="dxa"/>
          </w:tcPr>
          <w:p w14:paraId="1EBFE308" w14:textId="32C5E30C" w:rsidR="00BF2951" w:rsidRPr="00BF2951" w:rsidRDefault="00BF2951" w:rsidP="00BF2951">
            <w:pPr>
              <w:rPr>
                <w:b/>
                <w:bCs/>
              </w:rPr>
            </w:pPr>
            <w:r w:rsidRPr="00BF2951">
              <w:rPr>
                <w:b/>
                <w:bCs/>
              </w:rPr>
              <w:t>Exhibit No.</w:t>
            </w:r>
          </w:p>
        </w:tc>
        <w:tc>
          <w:tcPr>
            <w:tcW w:w="3448" w:type="dxa"/>
          </w:tcPr>
          <w:p w14:paraId="4275767C" w14:textId="6CA404FF" w:rsidR="00BF2951" w:rsidRPr="00BF2951" w:rsidRDefault="00BF2951" w:rsidP="00BF2951">
            <w:pPr>
              <w:rPr>
                <w:b/>
                <w:bCs/>
              </w:rPr>
            </w:pPr>
            <w:r w:rsidRPr="00BF2951">
              <w:rPr>
                <w:b/>
                <w:bCs/>
              </w:rPr>
              <w:t>Exhibit Name</w:t>
            </w:r>
          </w:p>
        </w:tc>
        <w:tc>
          <w:tcPr>
            <w:tcW w:w="3448" w:type="dxa"/>
          </w:tcPr>
          <w:p w14:paraId="2F4F3EF3" w14:textId="6B6088F8" w:rsidR="00BF2951" w:rsidRPr="00BF2951" w:rsidRDefault="00BF2951" w:rsidP="00BF2951">
            <w:pPr>
              <w:rPr>
                <w:b/>
                <w:bCs/>
              </w:rPr>
            </w:pPr>
            <w:r w:rsidRPr="00BF2951">
              <w:rPr>
                <w:b/>
                <w:bCs/>
              </w:rPr>
              <w:t>Short Title</w:t>
            </w:r>
          </w:p>
        </w:tc>
      </w:tr>
      <w:tr w:rsidR="00BF2951" w14:paraId="188F1317" w14:textId="77777777" w:rsidTr="00BF2951">
        <w:tc>
          <w:tcPr>
            <w:tcW w:w="3448" w:type="dxa"/>
          </w:tcPr>
          <w:p w14:paraId="340F9271" w14:textId="7173864E" w:rsidR="00BF2951" w:rsidRPr="00BF2951" w:rsidRDefault="00BF2951" w:rsidP="00BF2951">
            <w:r w:rsidRPr="00BF2951">
              <w:t>AUS-120 (BCI)</w:t>
            </w:r>
          </w:p>
        </w:tc>
        <w:tc>
          <w:tcPr>
            <w:tcW w:w="3448" w:type="dxa"/>
          </w:tcPr>
          <w:p w14:paraId="5471CE51" w14:textId="77F4540C" w:rsidR="00BF2951" w:rsidRPr="00BF2951" w:rsidRDefault="00BF2951" w:rsidP="00BF2951">
            <w:r w:rsidRPr="00BF2951">
              <w:t>Product Mix Treasury Wines vs Casella Wines (Confidential version)</w:t>
            </w:r>
          </w:p>
        </w:tc>
        <w:tc>
          <w:tcPr>
            <w:tcW w:w="3448" w:type="dxa"/>
          </w:tcPr>
          <w:p w14:paraId="2D04EE64" w14:textId="734937FB" w:rsidR="00BF2951" w:rsidRPr="00BF2951" w:rsidRDefault="00BF2951" w:rsidP="00BF2951">
            <w:r w:rsidRPr="00BF2951">
              <w:t>Product Mix Treasury Wines vs Casella Wines</w:t>
            </w:r>
          </w:p>
        </w:tc>
      </w:tr>
      <w:tr w:rsidR="00BF2951" w14:paraId="4E8F2E61" w14:textId="77777777" w:rsidTr="00BF2951">
        <w:tc>
          <w:tcPr>
            <w:tcW w:w="3448" w:type="dxa"/>
          </w:tcPr>
          <w:p w14:paraId="21E55DB0" w14:textId="5AF5A07A" w:rsidR="00BF2951" w:rsidRPr="00BF2951" w:rsidRDefault="00BF2951" w:rsidP="00BF2951">
            <w:r w:rsidRPr="00BF2951">
              <w:t>AUS-121</w:t>
            </w:r>
          </w:p>
        </w:tc>
        <w:tc>
          <w:tcPr>
            <w:tcW w:w="3448" w:type="dxa"/>
          </w:tcPr>
          <w:p w14:paraId="7747E554" w14:textId="1C1A51BF" w:rsidR="00BF2951" w:rsidRPr="00BF2951" w:rsidRDefault="00BF2951" w:rsidP="00BF2951">
            <w:r w:rsidRPr="00BF2951">
              <w:t>The Concise Oxford English Dictionary, Tenth Edition, Judy Pearsall, ed. (Oxford University Press, 1999) definition of "should"</w:t>
            </w:r>
          </w:p>
        </w:tc>
        <w:tc>
          <w:tcPr>
            <w:tcW w:w="3448" w:type="dxa"/>
          </w:tcPr>
          <w:p w14:paraId="1C35B0CB" w14:textId="38BED5AB" w:rsidR="00BF2951" w:rsidRPr="00BF2951" w:rsidRDefault="00BF2951" w:rsidP="00BF2951">
            <w:r w:rsidRPr="00BF2951">
              <w:t>Oxford English Dictionary, definition of "should"</w:t>
            </w:r>
          </w:p>
        </w:tc>
      </w:tr>
      <w:tr w:rsidR="00BF2951" w14:paraId="2042ED40" w14:textId="77777777" w:rsidTr="00BF2951">
        <w:tc>
          <w:tcPr>
            <w:tcW w:w="3448" w:type="dxa"/>
          </w:tcPr>
          <w:p w14:paraId="7AA181AB" w14:textId="0C17CD54" w:rsidR="00BF2951" w:rsidRPr="00BF2951" w:rsidRDefault="00BF2951" w:rsidP="00BF2951">
            <w:r w:rsidRPr="00BF2951">
              <w:t>AUS-122</w:t>
            </w:r>
          </w:p>
        </w:tc>
        <w:tc>
          <w:tcPr>
            <w:tcW w:w="3448" w:type="dxa"/>
          </w:tcPr>
          <w:p w14:paraId="20F86E0A" w14:textId="082CB894" w:rsidR="00BF2951" w:rsidRPr="00BF2951" w:rsidRDefault="00BF2951" w:rsidP="00BF2951">
            <w:r w:rsidRPr="00BF2951">
              <w:t>Swan Vintage, "Registration Form Response" (English translation)</w:t>
            </w:r>
          </w:p>
        </w:tc>
        <w:tc>
          <w:tcPr>
            <w:tcW w:w="3448" w:type="dxa"/>
          </w:tcPr>
          <w:p w14:paraId="75A24547" w14:textId="36B1CDEC" w:rsidR="00BF2951" w:rsidRPr="00BF2951" w:rsidRDefault="00BF2951" w:rsidP="00BF2951">
            <w:r w:rsidRPr="00BF2951">
              <w:t>Swan Vintage Registration Form</w:t>
            </w:r>
          </w:p>
        </w:tc>
      </w:tr>
      <w:tr w:rsidR="00D70C7D" w14:paraId="7CC7DBA1" w14:textId="77777777" w:rsidTr="00BF2951">
        <w:tc>
          <w:tcPr>
            <w:tcW w:w="3448" w:type="dxa"/>
          </w:tcPr>
          <w:p w14:paraId="0388DD14" w14:textId="20473CEF" w:rsidR="00D70C7D" w:rsidRPr="00BF2951" w:rsidRDefault="00D70C7D" w:rsidP="00D70C7D">
            <w:r>
              <w:rPr>
                <w:spacing w:val="-2"/>
                <w:sz w:val="24"/>
              </w:rPr>
              <w:t>AUS-</w:t>
            </w:r>
            <w:r>
              <w:rPr>
                <w:spacing w:val="-5"/>
                <w:sz w:val="24"/>
              </w:rPr>
              <w:t>123</w:t>
            </w:r>
          </w:p>
        </w:tc>
        <w:tc>
          <w:tcPr>
            <w:tcW w:w="3448" w:type="dxa"/>
          </w:tcPr>
          <w:p w14:paraId="3495FCB7" w14:textId="67F96F78" w:rsidR="00D70C7D" w:rsidRPr="00BF2951" w:rsidRDefault="00D70C7D" w:rsidP="00D70C7D">
            <w:r>
              <w:rPr>
                <w:sz w:val="24"/>
              </w:rPr>
              <w:t>Swan</w:t>
            </w:r>
            <w:r>
              <w:rPr>
                <w:spacing w:val="-12"/>
                <w:sz w:val="24"/>
              </w:rPr>
              <w:t xml:space="preserve"> </w:t>
            </w:r>
            <w:r>
              <w:rPr>
                <w:sz w:val="24"/>
              </w:rPr>
              <w:t>Vintage,</w:t>
            </w:r>
            <w:r>
              <w:rPr>
                <w:spacing w:val="-8"/>
                <w:sz w:val="24"/>
              </w:rPr>
              <w:t xml:space="preserve"> </w:t>
            </w:r>
            <w:r>
              <w:rPr>
                <w:sz w:val="24"/>
              </w:rPr>
              <w:t>"Sampling</w:t>
            </w:r>
            <w:r>
              <w:rPr>
                <w:spacing w:val="-9"/>
                <w:sz w:val="24"/>
              </w:rPr>
              <w:t xml:space="preserve"> </w:t>
            </w:r>
            <w:r>
              <w:rPr>
                <w:sz w:val="24"/>
              </w:rPr>
              <w:t>Questionnaire</w:t>
            </w:r>
            <w:r>
              <w:rPr>
                <w:spacing w:val="-10"/>
                <w:sz w:val="24"/>
              </w:rPr>
              <w:t xml:space="preserve"> </w:t>
            </w:r>
            <w:r>
              <w:rPr>
                <w:sz w:val="24"/>
              </w:rPr>
              <w:t xml:space="preserve">Response" 25 September 2020 (public version) (English </w:t>
            </w:r>
            <w:r>
              <w:rPr>
                <w:spacing w:val="-2"/>
                <w:sz w:val="24"/>
              </w:rPr>
              <w:t>Translation)</w:t>
            </w:r>
          </w:p>
        </w:tc>
        <w:tc>
          <w:tcPr>
            <w:tcW w:w="3448" w:type="dxa"/>
          </w:tcPr>
          <w:p w14:paraId="790CD803" w14:textId="673635D8" w:rsidR="00D70C7D" w:rsidRPr="00BF2951" w:rsidRDefault="00D70C7D" w:rsidP="00D70C7D">
            <w:r>
              <w:rPr>
                <w:sz w:val="24"/>
              </w:rPr>
              <w:t xml:space="preserve">Swan Vintage </w:t>
            </w:r>
            <w:r>
              <w:rPr>
                <w:spacing w:val="-2"/>
                <w:sz w:val="24"/>
              </w:rPr>
              <w:t>Sampling Questionnaire Response</w:t>
            </w:r>
          </w:p>
        </w:tc>
      </w:tr>
    </w:tbl>
    <w:p w14:paraId="3D29FED1" w14:textId="77777777" w:rsidR="00BF2951" w:rsidRDefault="00BF2951" w:rsidP="00BF2951">
      <w:pPr>
        <w:pStyle w:val="Heading3"/>
        <w:spacing w:before="1"/>
        <w:ind w:left="0" w:right="2640" w:firstLine="0"/>
      </w:pPr>
    </w:p>
    <w:p w14:paraId="1D95C91C" w14:textId="77777777" w:rsidR="00BD462C" w:rsidRDefault="00BD462C">
      <w:pPr>
        <w:pStyle w:val="BodyText"/>
        <w:spacing w:before="7"/>
        <w:rPr>
          <w:b/>
          <w:sz w:val="11"/>
        </w:rPr>
      </w:pPr>
    </w:p>
    <w:p w14:paraId="6C41A061" w14:textId="77777777" w:rsidR="00BD462C" w:rsidRDefault="00BD462C">
      <w:pPr>
        <w:rPr>
          <w:sz w:val="24"/>
        </w:rPr>
        <w:sectPr w:rsidR="00BD462C">
          <w:pgSz w:w="11910" w:h="16840"/>
          <w:pgMar w:top="860" w:right="500" w:bottom="780" w:left="1280" w:header="566" w:footer="590" w:gutter="0"/>
          <w:cols w:space="720"/>
        </w:sectPr>
      </w:pPr>
    </w:p>
    <w:p w14:paraId="2CB28F5E"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5932D2CD"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06A57237" w14:textId="77777777" w:rsidR="00D70C7D" w:rsidRDefault="00033D0F" w:rsidP="00D70C7D">
      <w:pPr>
        <w:tabs>
          <w:tab w:val="left" w:pos="7652"/>
        </w:tabs>
        <w:ind w:left="135"/>
        <w:rPr>
          <w:spacing w:val="-4"/>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78C426D8" w14:textId="77777777" w:rsidR="00D70C7D" w:rsidRDefault="00D70C7D" w:rsidP="00D70C7D">
      <w:pPr>
        <w:tabs>
          <w:tab w:val="left" w:pos="7652"/>
        </w:tabs>
        <w:ind w:left="135"/>
        <w:rPr>
          <w:spacing w:val="-4"/>
          <w:sz w:val="20"/>
        </w:rPr>
      </w:pPr>
    </w:p>
    <w:p w14:paraId="0306BDC7" w14:textId="18132EC6" w:rsidR="00BD462C" w:rsidRDefault="00BD462C" w:rsidP="00D70C7D">
      <w:pPr>
        <w:tabs>
          <w:tab w:val="left" w:pos="7652"/>
        </w:tabs>
        <w:rPr>
          <w:sz w:val="20"/>
        </w:rPr>
      </w:pPr>
    </w:p>
    <w:p w14:paraId="34AB3D15" w14:textId="77777777" w:rsidR="00BD462C" w:rsidRDefault="00033D0F">
      <w:pPr>
        <w:pStyle w:val="Heading1"/>
        <w:numPr>
          <w:ilvl w:val="0"/>
          <w:numId w:val="66"/>
        </w:numPr>
        <w:tabs>
          <w:tab w:val="left" w:pos="985"/>
          <w:tab w:val="left" w:pos="986"/>
        </w:tabs>
        <w:ind w:hanging="851"/>
      </w:pPr>
      <w:bookmarkStart w:id="9" w:name="I._Introduction"/>
      <w:bookmarkStart w:id="10" w:name="_bookmark4"/>
      <w:bookmarkEnd w:id="9"/>
      <w:bookmarkEnd w:id="10"/>
      <w:r>
        <w:rPr>
          <w:spacing w:val="-2"/>
        </w:rPr>
        <w:t>INTRODUCTION</w:t>
      </w:r>
    </w:p>
    <w:p w14:paraId="2853148B" w14:textId="77777777" w:rsidR="00BD462C" w:rsidRDefault="00BD462C">
      <w:pPr>
        <w:pStyle w:val="BodyText"/>
        <w:spacing w:before="9"/>
        <w:rPr>
          <w:b/>
          <w:sz w:val="22"/>
        </w:rPr>
      </w:pPr>
    </w:p>
    <w:p w14:paraId="1647CEAC" w14:textId="05B13EFC" w:rsidR="00BD462C" w:rsidRDefault="00033D0F" w:rsidP="00BA4B2E">
      <w:pPr>
        <w:pStyle w:val="BodyText"/>
        <w:numPr>
          <w:ilvl w:val="0"/>
          <w:numId w:val="68"/>
        </w:numPr>
        <w:spacing w:before="56" w:line="360" w:lineRule="auto"/>
        <w:ind w:right="917"/>
        <w:jc w:val="both"/>
      </w:pPr>
      <w:r>
        <w:rPr>
          <w:position w:val="1"/>
        </w:rPr>
        <w:t xml:space="preserve">This is a dispute of unusually wide scope. From beginning to end, MOFCOM's </w:t>
      </w:r>
      <w:r>
        <w:rPr>
          <w:spacing w:val="-2"/>
        </w:rPr>
        <w:t>investigation has involved</w:t>
      </w:r>
      <w:r>
        <w:rPr>
          <w:spacing w:val="-3"/>
        </w:rPr>
        <w:t xml:space="preserve"> </w:t>
      </w:r>
      <w:r>
        <w:rPr>
          <w:spacing w:val="-2"/>
        </w:rPr>
        <w:t>errors, omissions, deficiencies, and</w:t>
      </w:r>
      <w:r>
        <w:rPr>
          <w:spacing w:val="-3"/>
        </w:rPr>
        <w:t xml:space="preserve"> </w:t>
      </w:r>
      <w:r>
        <w:rPr>
          <w:spacing w:val="-2"/>
        </w:rPr>
        <w:t>unfair</w:t>
      </w:r>
      <w:r>
        <w:rPr>
          <w:spacing w:val="-3"/>
        </w:rPr>
        <w:t xml:space="preserve"> </w:t>
      </w:r>
      <w:r>
        <w:rPr>
          <w:spacing w:val="-2"/>
        </w:rPr>
        <w:t xml:space="preserve">conduct that contravened </w:t>
      </w:r>
      <w:r>
        <w:t>many of the procedural and substantive obligations in the Anti-Dumping Agreement and the GATT 1994. As a consequence, this dispute traverses claims that, both individually and collectively, have practical and systemic importance.</w:t>
      </w:r>
    </w:p>
    <w:p w14:paraId="5BD05C79" w14:textId="77777777" w:rsidR="00BD462C" w:rsidRDefault="00BD462C">
      <w:pPr>
        <w:pStyle w:val="BodyText"/>
        <w:spacing w:before="6"/>
        <w:rPr>
          <w:sz w:val="8"/>
        </w:rPr>
      </w:pPr>
    </w:p>
    <w:p w14:paraId="63786C71" w14:textId="765C6C90" w:rsidR="00BD462C" w:rsidRDefault="00033D0F" w:rsidP="002C3E13">
      <w:pPr>
        <w:pStyle w:val="BodyText"/>
        <w:numPr>
          <w:ilvl w:val="0"/>
          <w:numId w:val="68"/>
        </w:numPr>
        <w:spacing w:before="56" w:line="357" w:lineRule="auto"/>
        <w:ind w:right="916"/>
        <w:jc w:val="both"/>
      </w:pPr>
      <w:r>
        <w:rPr>
          <w:position w:val="1"/>
        </w:rPr>
        <w:t>Australia</w:t>
      </w:r>
      <w:r>
        <w:rPr>
          <w:spacing w:val="-3"/>
          <w:position w:val="1"/>
        </w:rPr>
        <w:t xml:space="preserve"> </w:t>
      </w:r>
      <w:r>
        <w:rPr>
          <w:position w:val="1"/>
        </w:rPr>
        <w:t>has</w:t>
      </w:r>
      <w:r>
        <w:rPr>
          <w:spacing w:val="-1"/>
          <w:position w:val="1"/>
        </w:rPr>
        <w:t xml:space="preserve"> </w:t>
      </w:r>
      <w:r>
        <w:rPr>
          <w:position w:val="1"/>
        </w:rPr>
        <w:t>set</w:t>
      </w:r>
      <w:r>
        <w:rPr>
          <w:spacing w:val="-2"/>
          <w:position w:val="1"/>
        </w:rPr>
        <w:t xml:space="preserve"> </w:t>
      </w:r>
      <w:r>
        <w:rPr>
          <w:position w:val="1"/>
        </w:rPr>
        <w:t>out</w:t>
      </w:r>
      <w:r>
        <w:rPr>
          <w:spacing w:val="-2"/>
          <w:position w:val="1"/>
        </w:rPr>
        <w:t xml:space="preserve"> </w:t>
      </w:r>
      <w:r>
        <w:rPr>
          <w:position w:val="1"/>
        </w:rPr>
        <w:t>a</w:t>
      </w:r>
      <w:r>
        <w:rPr>
          <w:spacing w:val="-3"/>
          <w:position w:val="1"/>
        </w:rPr>
        <w:t xml:space="preserve"> </w:t>
      </w:r>
      <w:r>
        <w:rPr>
          <w:position w:val="1"/>
        </w:rPr>
        <w:t>clear</w:t>
      </w:r>
      <w:r>
        <w:rPr>
          <w:spacing w:val="-5"/>
          <w:position w:val="1"/>
        </w:rPr>
        <w:t xml:space="preserve"> </w:t>
      </w:r>
      <w:r>
        <w:rPr>
          <w:i/>
          <w:position w:val="1"/>
        </w:rPr>
        <w:t>prima</w:t>
      </w:r>
      <w:r>
        <w:rPr>
          <w:i/>
          <w:spacing w:val="-2"/>
          <w:position w:val="1"/>
        </w:rPr>
        <w:t xml:space="preserve"> </w:t>
      </w:r>
      <w:r>
        <w:rPr>
          <w:i/>
          <w:position w:val="1"/>
        </w:rPr>
        <w:t>facie</w:t>
      </w:r>
      <w:r>
        <w:rPr>
          <w:i/>
          <w:spacing w:val="-2"/>
          <w:position w:val="1"/>
        </w:rPr>
        <w:t xml:space="preserve"> </w:t>
      </w:r>
      <w:r>
        <w:rPr>
          <w:position w:val="1"/>
        </w:rPr>
        <w:t>case</w:t>
      </w:r>
      <w:r>
        <w:rPr>
          <w:spacing w:val="-2"/>
          <w:position w:val="1"/>
        </w:rPr>
        <w:t xml:space="preserve"> </w:t>
      </w:r>
      <w:r>
        <w:rPr>
          <w:position w:val="1"/>
        </w:rPr>
        <w:t>that</w:t>
      </w:r>
      <w:r>
        <w:rPr>
          <w:spacing w:val="-2"/>
          <w:position w:val="1"/>
        </w:rPr>
        <w:t xml:space="preserve"> </w:t>
      </w:r>
      <w:r>
        <w:rPr>
          <w:position w:val="1"/>
        </w:rPr>
        <w:t>MOFCOM's</w:t>
      </w:r>
      <w:r>
        <w:rPr>
          <w:spacing w:val="-1"/>
          <w:position w:val="1"/>
        </w:rPr>
        <w:t xml:space="preserve"> </w:t>
      </w:r>
      <w:r>
        <w:rPr>
          <w:position w:val="1"/>
        </w:rPr>
        <w:t>conduct</w:t>
      </w:r>
      <w:r>
        <w:rPr>
          <w:spacing w:val="-2"/>
          <w:position w:val="1"/>
        </w:rPr>
        <w:t xml:space="preserve"> </w:t>
      </w:r>
      <w:r>
        <w:rPr>
          <w:position w:val="1"/>
        </w:rPr>
        <w:t>did</w:t>
      </w:r>
      <w:r>
        <w:rPr>
          <w:spacing w:val="-4"/>
          <w:position w:val="1"/>
        </w:rPr>
        <w:t xml:space="preserve"> </w:t>
      </w:r>
      <w:r>
        <w:rPr>
          <w:position w:val="1"/>
        </w:rPr>
        <w:t>not</w:t>
      </w:r>
      <w:r>
        <w:rPr>
          <w:spacing w:val="-2"/>
          <w:position w:val="1"/>
        </w:rPr>
        <w:t xml:space="preserve"> </w:t>
      </w:r>
      <w:r>
        <w:rPr>
          <w:position w:val="1"/>
        </w:rPr>
        <w:t xml:space="preserve">reflect </w:t>
      </w:r>
      <w:r>
        <w:t xml:space="preserve">the actions of an objective and unbiased investigating authority. </w:t>
      </w:r>
      <w:proofErr w:type="gramStart"/>
      <w:r>
        <w:t>Serious</w:t>
      </w:r>
      <w:proofErr w:type="gramEnd"/>
      <w:r>
        <w:t xml:space="preserve"> irregularities in the investigation culminated in the imposition of extremely high anti-dumping duties that defy logic and are contrary to the actual evidence that was before MOFCOM.</w:t>
      </w:r>
    </w:p>
    <w:p w14:paraId="1DE506C4" w14:textId="77777777" w:rsidR="00BD462C" w:rsidRDefault="00BD462C">
      <w:pPr>
        <w:pStyle w:val="BodyText"/>
        <w:spacing w:before="3"/>
        <w:rPr>
          <w:sz w:val="9"/>
        </w:rPr>
      </w:pPr>
    </w:p>
    <w:p w14:paraId="76414D44" w14:textId="14B54977" w:rsidR="00BD462C" w:rsidRDefault="00033D0F" w:rsidP="002C3E13">
      <w:pPr>
        <w:pStyle w:val="BodyText"/>
        <w:numPr>
          <w:ilvl w:val="0"/>
          <w:numId w:val="68"/>
        </w:numPr>
        <w:spacing w:before="57" w:line="360" w:lineRule="auto"/>
        <w:ind w:right="912"/>
        <w:jc w:val="both"/>
      </w:pPr>
      <w:r>
        <w:rPr>
          <w:position w:val="1"/>
        </w:rPr>
        <w:t xml:space="preserve">The submissions and evidence presented by China in this dispute to date have </w:t>
      </w:r>
      <w:r>
        <w:t>exacerbated, rather than addressed, Australia's concerns. China's explanations of the bases for MOFCOM's determinations of dumping, injury and causation were provided for the first time through China's submissions and responses to the Panel's questions. The depth and detail of these explanations highlight Australia's procedural fairness, due process, and transparency concerns. The substance of them affirms Australia's view that MOFCOM's conduct was inconsistent with the requirements of Articles 2, 3, 4, 5, and 6 of the Anti- Dumping Agreement.</w:t>
      </w:r>
    </w:p>
    <w:p w14:paraId="423E0F28" w14:textId="77777777" w:rsidR="00BD462C" w:rsidRDefault="00BD462C">
      <w:pPr>
        <w:pStyle w:val="BodyText"/>
        <w:spacing w:before="7"/>
        <w:rPr>
          <w:sz w:val="8"/>
        </w:rPr>
      </w:pPr>
    </w:p>
    <w:p w14:paraId="61D84945" w14:textId="77659E99" w:rsidR="00BD462C" w:rsidRDefault="00033D0F" w:rsidP="002C3E13">
      <w:pPr>
        <w:pStyle w:val="BodyText"/>
        <w:numPr>
          <w:ilvl w:val="0"/>
          <w:numId w:val="68"/>
        </w:numPr>
        <w:spacing w:before="56" w:line="360" w:lineRule="auto"/>
        <w:ind w:right="913"/>
        <w:jc w:val="both"/>
      </w:pPr>
      <w:r>
        <w:rPr>
          <w:position w:val="1"/>
        </w:rPr>
        <w:t xml:space="preserve">China's responses to Australia's claims appear designed to distract and mislead. </w:t>
      </w:r>
      <w:r>
        <w:t>Through</w:t>
      </w:r>
      <w:r>
        <w:rPr>
          <w:spacing w:val="-11"/>
        </w:rPr>
        <w:t xml:space="preserve"> </w:t>
      </w:r>
      <w:r>
        <w:t>extensive</w:t>
      </w:r>
      <w:r>
        <w:rPr>
          <w:spacing w:val="-9"/>
        </w:rPr>
        <w:t xml:space="preserve"> </w:t>
      </w:r>
      <w:r>
        <w:t>jurisdictional</w:t>
      </w:r>
      <w:r>
        <w:rPr>
          <w:spacing w:val="-7"/>
        </w:rPr>
        <w:t xml:space="preserve"> </w:t>
      </w:r>
      <w:r>
        <w:t>objections</w:t>
      </w:r>
      <w:r>
        <w:rPr>
          <w:spacing w:val="-8"/>
        </w:rPr>
        <w:t xml:space="preserve"> </w:t>
      </w:r>
      <w:r>
        <w:t>and</w:t>
      </w:r>
      <w:r>
        <w:rPr>
          <w:spacing w:val="-11"/>
        </w:rPr>
        <w:t xml:space="preserve"> </w:t>
      </w:r>
      <w:r>
        <w:t>similar</w:t>
      </w:r>
      <w:r>
        <w:rPr>
          <w:spacing w:val="-12"/>
        </w:rPr>
        <w:t xml:space="preserve"> </w:t>
      </w:r>
      <w:r>
        <w:t>"threshold"</w:t>
      </w:r>
      <w:r>
        <w:rPr>
          <w:spacing w:val="-10"/>
        </w:rPr>
        <w:t xml:space="preserve"> </w:t>
      </w:r>
      <w:r>
        <w:t>complaints,</w:t>
      </w:r>
      <w:r>
        <w:rPr>
          <w:spacing w:val="-7"/>
        </w:rPr>
        <w:t xml:space="preserve"> </w:t>
      </w:r>
      <w:r>
        <w:t>China</w:t>
      </w:r>
      <w:r>
        <w:rPr>
          <w:spacing w:val="-10"/>
        </w:rPr>
        <w:t xml:space="preserve"> </w:t>
      </w:r>
      <w:r>
        <w:t>seeks</w:t>
      </w:r>
      <w:r>
        <w:rPr>
          <w:spacing w:val="-8"/>
        </w:rPr>
        <w:t xml:space="preserve"> </w:t>
      </w:r>
      <w:r>
        <w:t>to avoid</w:t>
      </w:r>
      <w:r>
        <w:rPr>
          <w:spacing w:val="-11"/>
        </w:rPr>
        <w:t xml:space="preserve"> </w:t>
      </w:r>
      <w:r>
        <w:t>engaging</w:t>
      </w:r>
      <w:r>
        <w:rPr>
          <w:spacing w:val="-8"/>
        </w:rPr>
        <w:t xml:space="preserve"> </w:t>
      </w:r>
      <w:r>
        <w:t>with</w:t>
      </w:r>
      <w:r>
        <w:rPr>
          <w:spacing w:val="-11"/>
        </w:rPr>
        <w:t xml:space="preserve"> </w:t>
      </w:r>
      <w:r>
        <w:t>Australia's</w:t>
      </w:r>
      <w:r>
        <w:rPr>
          <w:spacing w:val="-8"/>
        </w:rPr>
        <w:t xml:space="preserve"> </w:t>
      </w:r>
      <w:r>
        <w:t>claims</w:t>
      </w:r>
      <w:r>
        <w:rPr>
          <w:spacing w:val="-8"/>
        </w:rPr>
        <w:t xml:space="preserve"> </w:t>
      </w:r>
      <w:r>
        <w:t>on</w:t>
      </w:r>
      <w:r>
        <w:rPr>
          <w:spacing w:val="-11"/>
        </w:rPr>
        <w:t xml:space="preserve"> </w:t>
      </w:r>
      <w:r>
        <w:t>their</w:t>
      </w:r>
      <w:r>
        <w:rPr>
          <w:spacing w:val="-12"/>
        </w:rPr>
        <w:t xml:space="preserve"> </w:t>
      </w:r>
      <w:r>
        <w:t>merits.</w:t>
      </w:r>
      <w:r>
        <w:rPr>
          <w:spacing w:val="-8"/>
        </w:rPr>
        <w:t xml:space="preserve"> </w:t>
      </w:r>
      <w:r>
        <w:t>Elements</w:t>
      </w:r>
      <w:r>
        <w:rPr>
          <w:spacing w:val="-8"/>
        </w:rPr>
        <w:t xml:space="preserve"> </w:t>
      </w:r>
      <w:r>
        <w:t>of</w:t>
      </w:r>
      <w:r>
        <w:rPr>
          <w:spacing w:val="-11"/>
        </w:rPr>
        <w:t xml:space="preserve"> </w:t>
      </w:r>
      <w:r>
        <w:t>Australia's</w:t>
      </w:r>
      <w:r>
        <w:rPr>
          <w:spacing w:val="-8"/>
        </w:rPr>
        <w:t xml:space="preserve"> </w:t>
      </w:r>
      <w:r>
        <w:t>arguments</w:t>
      </w:r>
      <w:r>
        <w:rPr>
          <w:spacing w:val="-8"/>
        </w:rPr>
        <w:t xml:space="preserve"> </w:t>
      </w:r>
      <w:r>
        <w:t>have been ignored entirely, while detailed responses are provided to "straw" arguments that Australia</w:t>
      </w:r>
      <w:r>
        <w:rPr>
          <w:spacing w:val="-9"/>
        </w:rPr>
        <w:t xml:space="preserve"> </w:t>
      </w:r>
      <w:r>
        <w:t>has</w:t>
      </w:r>
      <w:r>
        <w:rPr>
          <w:spacing w:val="-11"/>
        </w:rPr>
        <w:t xml:space="preserve"> </w:t>
      </w:r>
      <w:r>
        <w:t>simply</w:t>
      </w:r>
      <w:r>
        <w:rPr>
          <w:spacing w:val="-7"/>
        </w:rPr>
        <w:t xml:space="preserve"> </w:t>
      </w:r>
      <w:r>
        <w:t>never</w:t>
      </w:r>
      <w:r>
        <w:rPr>
          <w:spacing w:val="-11"/>
        </w:rPr>
        <w:t xml:space="preserve"> </w:t>
      </w:r>
      <w:r>
        <w:t>made.</w:t>
      </w:r>
      <w:r>
        <w:rPr>
          <w:spacing w:val="-7"/>
        </w:rPr>
        <w:t xml:space="preserve"> </w:t>
      </w:r>
      <w:r>
        <w:t>The</w:t>
      </w:r>
      <w:r>
        <w:rPr>
          <w:spacing w:val="-8"/>
        </w:rPr>
        <w:t xml:space="preserve"> </w:t>
      </w:r>
      <w:r>
        <w:t>meritless</w:t>
      </w:r>
      <w:r>
        <w:rPr>
          <w:spacing w:val="-7"/>
        </w:rPr>
        <w:t xml:space="preserve"> </w:t>
      </w:r>
      <w:r>
        <w:t>jurisdictional</w:t>
      </w:r>
      <w:r>
        <w:rPr>
          <w:spacing w:val="-6"/>
        </w:rPr>
        <w:t xml:space="preserve"> </w:t>
      </w:r>
      <w:r>
        <w:t>objections</w:t>
      </w:r>
      <w:r>
        <w:rPr>
          <w:spacing w:val="-7"/>
        </w:rPr>
        <w:t xml:space="preserve"> </w:t>
      </w:r>
      <w:r>
        <w:t>have</w:t>
      </w:r>
      <w:r>
        <w:rPr>
          <w:spacing w:val="-8"/>
        </w:rPr>
        <w:t xml:space="preserve"> </w:t>
      </w:r>
      <w:r>
        <w:t>been</w:t>
      </w:r>
      <w:r>
        <w:rPr>
          <w:spacing w:val="-10"/>
        </w:rPr>
        <w:t xml:space="preserve"> </w:t>
      </w:r>
      <w:r>
        <w:t>agitated</w:t>
      </w:r>
      <w:r>
        <w:rPr>
          <w:spacing w:val="-10"/>
        </w:rPr>
        <w:t xml:space="preserve"> </w:t>
      </w:r>
      <w:r>
        <w:t>at great</w:t>
      </w:r>
      <w:r>
        <w:rPr>
          <w:spacing w:val="-1"/>
        </w:rPr>
        <w:t xml:space="preserve"> </w:t>
      </w:r>
      <w:r>
        <w:t>length. In</w:t>
      </w:r>
      <w:r>
        <w:rPr>
          <w:spacing w:val="-3"/>
        </w:rPr>
        <w:t xml:space="preserve"> </w:t>
      </w:r>
      <w:r>
        <w:t>almost</w:t>
      </w:r>
      <w:r>
        <w:rPr>
          <w:spacing w:val="-1"/>
        </w:rPr>
        <w:t xml:space="preserve"> </w:t>
      </w:r>
      <w:r>
        <w:t>every section</w:t>
      </w:r>
      <w:r>
        <w:rPr>
          <w:spacing w:val="-3"/>
        </w:rPr>
        <w:t xml:space="preserve"> </w:t>
      </w:r>
      <w:r>
        <w:t>of</w:t>
      </w:r>
      <w:r>
        <w:rPr>
          <w:spacing w:val="-3"/>
        </w:rPr>
        <w:t xml:space="preserve"> </w:t>
      </w:r>
      <w:r>
        <w:t>China's submissions, there</w:t>
      </w:r>
      <w:r>
        <w:rPr>
          <w:spacing w:val="-1"/>
        </w:rPr>
        <w:t xml:space="preserve"> </w:t>
      </w:r>
      <w:r>
        <w:t>are repeated</w:t>
      </w:r>
      <w:r>
        <w:rPr>
          <w:spacing w:val="-3"/>
        </w:rPr>
        <w:t xml:space="preserve"> </w:t>
      </w:r>
      <w:r>
        <w:t>and baseless assertions</w:t>
      </w:r>
      <w:r>
        <w:rPr>
          <w:spacing w:val="-1"/>
        </w:rPr>
        <w:t xml:space="preserve"> </w:t>
      </w:r>
      <w:r>
        <w:t>that</w:t>
      </w:r>
      <w:r>
        <w:rPr>
          <w:spacing w:val="-2"/>
        </w:rPr>
        <w:t xml:space="preserve"> </w:t>
      </w:r>
      <w:r>
        <w:t>Australia</w:t>
      </w:r>
      <w:r>
        <w:rPr>
          <w:spacing w:val="-3"/>
        </w:rPr>
        <w:t xml:space="preserve"> </w:t>
      </w:r>
      <w:r>
        <w:t>has</w:t>
      </w:r>
      <w:r>
        <w:rPr>
          <w:spacing w:val="-1"/>
        </w:rPr>
        <w:t xml:space="preserve"> </w:t>
      </w:r>
      <w:r>
        <w:t>"abandoned"</w:t>
      </w:r>
      <w:r>
        <w:rPr>
          <w:spacing w:val="-3"/>
        </w:rPr>
        <w:t xml:space="preserve"> </w:t>
      </w:r>
      <w:r>
        <w:t>certain</w:t>
      </w:r>
      <w:r>
        <w:rPr>
          <w:spacing w:val="-4"/>
        </w:rPr>
        <w:t xml:space="preserve"> </w:t>
      </w:r>
      <w:r>
        <w:t>claims</w:t>
      </w:r>
      <w:r>
        <w:rPr>
          <w:spacing w:val="-1"/>
        </w:rPr>
        <w:t xml:space="preserve"> </w:t>
      </w:r>
      <w:r>
        <w:t>or</w:t>
      </w:r>
      <w:r>
        <w:rPr>
          <w:spacing w:val="-5"/>
        </w:rPr>
        <w:t xml:space="preserve"> </w:t>
      </w:r>
      <w:r>
        <w:t>failed</w:t>
      </w:r>
      <w:r>
        <w:rPr>
          <w:spacing w:val="-4"/>
        </w:rPr>
        <w:t xml:space="preserve"> </w:t>
      </w:r>
      <w:r>
        <w:t>to</w:t>
      </w:r>
      <w:r>
        <w:rPr>
          <w:spacing w:val="-5"/>
        </w:rPr>
        <w:t xml:space="preserve"> </w:t>
      </w:r>
      <w:r>
        <w:t>make</w:t>
      </w:r>
      <w:r>
        <w:rPr>
          <w:spacing w:val="-2"/>
        </w:rPr>
        <w:t xml:space="preserve"> </w:t>
      </w:r>
      <w:r>
        <w:t>a</w:t>
      </w:r>
      <w:r>
        <w:rPr>
          <w:spacing w:val="-3"/>
        </w:rPr>
        <w:t xml:space="preserve"> </w:t>
      </w:r>
      <w:r>
        <w:rPr>
          <w:i/>
        </w:rPr>
        <w:t>prima</w:t>
      </w:r>
      <w:r>
        <w:rPr>
          <w:i/>
          <w:spacing w:val="-2"/>
        </w:rPr>
        <w:t xml:space="preserve"> </w:t>
      </w:r>
      <w:r>
        <w:rPr>
          <w:i/>
        </w:rPr>
        <w:t>facie</w:t>
      </w:r>
      <w:r>
        <w:rPr>
          <w:i/>
          <w:spacing w:val="-3"/>
        </w:rPr>
        <w:t xml:space="preserve"> </w:t>
      </w:r>
      <w:r>
        <w:t>case, coupled with an insistence that Australia is barred from making any further arguments on these points. While the number and volume of China's procedural objections mean that Australia's responses to them take up a significant part of this submission, the Panel should not infer from this that they have any merit.</w:t>
      </w:r>
    </w:p>
    <w:p w14:paraId="417FD0CE" w14:textId="77777777" w:rsidR="00BD462C" w:rsidRDefault="00BD462C">
      <w:pPr>
        <w:spacing w:line="360" w:lineRule="auto"/>
        <w:jc w:val="both"/>
        <w:sectPr w:rsidR="00BD462C">
          <w:pgSz w:w="11910" w:h="16840"/>
          <w:pgMar w:top="860" w:right="500" w:bottom="780" w:left="1280" w:header="566" w:footer="590" w:gutter="0"/>
          <w:cols w:space="720"/>
        </w:sectPr>
      </w:pPr>
    </w:p>
    <w:p w14:paraId="5F7A4886" w14:textId="77777777" w:rsidR="00BD462C" w:rsidRDefault="00033D0F">
      <w:pPr>
        <w:tabs>
          <w:tab w:val="left" w:pos="6087"/>
        </w:tabs>
        <w:spacing w:before="1"/>
        <w:ind w:left="135"/>
        <w:jc w:val="both"/>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713D26C7" w14:textId="77777777" w:rsidR="00BD462C" w:rsidRDefault="00033D0F">
      <w:pPr>
        <w:spacing w:before="1"/>
        <w:ind w:left="135"/>
        <w:jc w:val="both"/>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520581EC" w14:textId="77777777" w:rsidR="00BD462C" w:rsidRDefault="00033D0F">
      <w:pPr>
        <w:tabs>
          <w:tab w:val="left" w:pos="7652"/>
        </w:tabs>
        <w:ind w:left="135"/>
        <w:jc w:val="both"/>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38562EA6" w14:textId="0DFDB430" w:rsidR="00BD462C" w:rsidRDefault="00033D0F" w:rsidP="002C3E13">
      <w:pPr>
        <w:pStyle w:val="BodyText"/>
        <w:numPr>
          <w:ilvl w:val="0"/>
          <w:numId w:val="68"/>
        </w:numPr>
        <w:spacing w:before="107" w:line="357" w:lineRule="auto"/>
        <w:ind w:right="913"/>
        <w:jc w:val="both"/>
      </w:pPr>
      <w:r>
        <w:rPr>
          <w:position w:val="1"/>
        </w:rPr>
        <w:t xml:space="preserve">Australia has </w:t>
      </w:r>
      <w:proofErr w:type="spellStart"/>
      <w:r>
        <w:rPr>
          <w:position w:val="1"/>
        </w:rPr>
        <w:t>organised</w:t>
      </w:r>
      <w:proofErr w:type="spellEnd"/>
      <w:r>
        <w:rPr>
          <w:position w:val="1"/>
        </w:rPr>
        <w:t xml:space="preserve"> these reply submissions using the same thematic structure </w:t>
      </w:r>
      <w:r>
        <w:t>that was adopted in its first written submission, which China followed in its own first written submission.</w:t>
      </w:r>
      <w:r>
        <w:rPr>
          <w:spacing w:val="-2"/>
        </w:rPr>
        <w:t xml:space="preserve"> </w:t>
      </w:r>
      <w:r>
        <w:t>This</w:t>
      </w:r>
      <w:r>
        <w:rPr>
          <w:spacing w:val="-2"/>
        </w:rPr>
        <w:t xml:space="preserve"> </w:t>
      </w:r>
      <w:r>
        <w:t>has</w:t>
      </w:r>
      <w:r>
        <w:rPr>
          <w:spacing w:val="-2"/>
        </w:rPr>
        <w:t xml:space="preserve"> </w:t>
      </w:r>
      <w:r>
        <w:t>been</w:t>
      </w:r>
      <w:r>
        <w:rPr>
          <w:spacing w:val="-5"/>
        </w:rPr>
        <w:t xml:space="preserve"> </w:t>
      </w:r>
      <w:r>
        <w:t>done</w:t>
      </w:r>
      <w:r>
        <w:rPr>
          <w:spacing w:val="-4"/>
        </w:rPr>
        <w:t xml:space="preserve"> </w:t>
      </w:r>
      <w:r>
        <w:t>for</w:t>
      </w:r>
      <w:r>
        <w:rPr>
          <w:spacing w:val="-6"/>
        </w:rPr>
        <w:t xml:space="preserve"> </w:t>
      </w:r>
      <w:r>
        <w:t>ease</w:t>
      </w:r>
      <w:r>
        <w:rPr>
          <w:spacing w:val="-3"/>
        </w:rPr>
        <w:t xml:space="preserve"> </w:t>
      </w:r>
      <w:r>
        <w:t>of</w:t>
      </w:r>
      <w:r>
        <w:rPr>
          <w:spacing w:val="-5"/>
        </w:rPr>
        <w:t xml:space="preserve"> </w:t>
      </w:r>
      <w:r>
        <w:t>reference</w:t>
      </w:r>
      <w:r>
        <w:rPr>
          <w:spacing w:val="-3"/>
        </w:rPr>
        <w:t xml:space="preserve"> </w:t>
      </w:r>
      <w:r>
        <w:t>for</w:t>
      </w:r>
      <w:r>
        <w:rPr>
          <w:spacing w:val="-1"/>
        </w:rPr>
        <w:t xml:space="preserve"> </w:t>
      </w:r>
      <w:r>
        <w:t>the</w:t>
      </w:r>
      <w:r>
        <w:rPr>
          <w:spacing w:val="-4"/>
        </w:rPr>
        <w:t xml:space="preserve"> </w:t>
      </w:r>
      <w:r>
        <w:t>Panel</w:t>
      </w:r>
      <w:r>
        <w:rPr>
          <w:spacing w:val="-1"/>
        </w:rPr>
        <w:t xml:space="preserve"> </w:t>
      </w:r>
      <w:r>
        <w:t>and</w:t>
      </w:r>
      <w:r>
        <w:rPr>
          <w:spacing w:val="-5"/>
        </w:rPr>
        <w:t xml:space="preserve"> </w:t>
      </w:r>
      <w:r>
        <w:t>Secretariat.</w:t>
      </w:r>
      <w:r>
        <w:rPr>
          <w:spacing w:val="-2"/>
        </w:rPr>
        <w:t xml:space="preserve"> </w:t>
      </w:r>
      <w:r>
        <w:t>However, it is important to underscore that many of the claims are interrelated.</w:t>
      </w:r>
    </w:p>
    <w:p w14:paraId="5D487011" w14:textId="77777777" w:rsidR="00BD462C" w:rsidRDefault="00BD462C">
      <w:pPr>
        <w:pStyle w:val="BodyText"/>
        <w:spacing w:before="3"/>
        <w:rPr>
          <w:sz w:val="9"/>
        </w:rPr>
      </w:pPr>
    </w:p>
    <w:p w14:paraId="3F002D3E" w14:textId="365D9436" w:rsidR="00BD462C" w:rsidRDefault="00033D0F" w:rsidP="002C3E13">
      <w:pPr>
        <w:pStyle w:val="BodyText"/>
        <w:numPr>
          <w:ilvl w:val="0"/>
          <w:numId w:val="68"/>
        </w:numPr>
        <w:spacing w:before="56" w:line="360" w:lineRule="auto"/>
        <w:ind w:right="915"/>
        <w:jc w:val="both"/>
      </w:pPr>
      <w:r>
        <w:rPr>
          <w:position w:val="1"/>
        </w:rPr>
        <w:t>In</w:t>
      </w:r>
      <w:r>
        <w:rPr>
          <w:spacing w:val="40"/>
          <w:position w:val="1"/>
        </w:rPr>
        <w:t xml:space="preserve"> </w:t>
      </w:r>
      <w:r>
        <w:rPr>
          <w:position w:val="1"/>
        </w:rPr>
        <w:t>particular,</w:t>
      </w:r>
      <w:r>
        <w:rPr>
          <w:spacing w:val="40"/>
          <w:position w:val="1"/>
        </w:rPr>
        <w:t xml:space="preserve"> </w:t>
      </w:r>
      <w:r>
        <w:rPr>
          <w:position w:val="1"/>
        </w:rPr>
        <w:t>MOFCOM's</w:t>
      </w:r>
      <w:r>
        <w:rPr>
          <w:spacing w:val="40"/>
          <w:position w:val="1"/>
        </w:rPr>
        <w:t xml:space="preserve"> </w:t>
      </w:r>
      <w:r>
        <w:rPr>
          <w:position w:val="1"/>
        </w:rPr>
        <w:t>contraventions</w:t>
      </w:r>
      <w:r>
        <w:rPr>
          <w:spacing w:val="40"/>
          <w:position w:val="1"/>
        </w:rPr>
        <w:t xml:space="preserve"> </w:t>
      </w:r>
      <w:r>
        <w:rPr>
          <w:position w:val="1"/>
        </w:rPr>
        <w:t>of</w:t>
      </w:r>
      <w:r>
        <w:rPr>
          <w:spacing w:val="40"/>
          <w:position w:val="1"/>
        </w:rPr>
        <w:t xml:space="preserve"> </w:t>
      </w:r>
      <w:r>
        <w:rPr>
          <w:position w:val="1"/>
        </w:rPr>
        <w:t>procedural,</w:t>
      </w:r>
      <w:r>
        <w:rPr>
          <w:spacing w:val="40"/>
          <w:position w:val="1"/>
        </w:rPr>
        <w:t xml:space="preserve"> </w:t>
      </w:r>
      <w:r>
        <w:rPr>
          <w:position w:val="1"/>
        </w:rPr>
        <w:t>due</w:t>
      </w:r>
      <w:r>
        <w:rPr>
          <w:spacing w:val="40"/>
          <w:position w:val="1"/>
        </w:rPr>
        <w:t xml:space="preserve"> </w:t>
      </w:r>
      <w:r>
        <w:rPr>
          <w:position w:val="1"/>
        </w:rPr>
        <w:t>process,</w:t>
      </w:r>
      <w:r>
        <w:rPr>
          <w:spacing w:val="40"/>
          <w:position w:val="1"/>
        </w:rPr>
        <w:t xml:space="preserve"> </w:t>
      </w:r>
      <w:r>
        <w:rPr>
          <w:position w:val="1"/>
        </w:rPr>
        <w:t xml:space="preserve">and </w:t>
      </w:r>
      <w:r>
        <w:t xml:space="preserve">transparency obligations contributed to and exacerbated the errors it made in its determinations of dumping, </w:t>
      </w:r>
      <w:proofErr w:type="gramStart"/>
      <w:r>
        <w:t>injury</w:t>
      </w:r>
      <w:proofErr w:type="gramEnd"/>
      <w:r>
        <w:t xml:space="preserve"> and causation. For example, the purported lack of cooperation</w:t>
      </w:r>
      <w:r>
        <w:rPr>
          <w:spacing w:val="-10"/>
        </w:rPr>
        <w:t xml:space="preserve"> </w:t>
      </w:r>
      <w:r>
        <w:t>by</w:t>
      </w:r>
      <w:r>
        <w:rPr>
          <w:spacing w:val="-7"/>
        </w:rPr>
        <w:t xml:space="preserve"> </w:t>
      </w:r>
      <w:r>
        <w:t>sampled</w:t>
      </w:r>
      <w:r>
        <w:rPr>
          <w:spacing w:val="-10"/>
        </w:rPr>
        <w:t xml:space="preserve"> </w:t>
      </w:r>
      <w:r>
        <w:t>companies</w:t>
      </w:r>
      <w:r>
        <w:rPr>
          <w:spacing w:val="-7"/>
        </w:rPr>
        <w:t xml:space="preserve"> </w:t>
      </w:r>
      <w:r>
        <w:t>that</w:t>
      </w:r>
      <w:r>
        <w:rPr>
          <w:spacing w:val="-8"/>
        </w:rPr>
        <w:t xml:space="preserve"> </w:t>
      </w:r>
      <w:r>
        <w:t>MOFCOM</w:t>
      </w:r>
      <w:r>
        <w:rPr>
          <w:spacing w:val="-12"/>
        </w:rPr>
        <w:t xml:space="preserve"> </w:t>
      </w:r>
      <w:r>
        <w:t>relied</w:t>
      </w:r>
      <w:r>
        <w:rPr>
          <w:spacing w:val="-10"/>
        </w:rPr>
        <w:t xml:space="preserve"> </w:t>
      </w:r>
      <w:r>
        <w:t>upon</w:t>
      </w:r>
      <w:r>
        <w:rPr>
          <w:spacing w:val="-10"/>
        </w:rPr>
        <w:t xml:space="preserve"> </w:t>
      </w:r>
      <w:r>
        <w:t>to</w:t>
      </w:r>
      <w:r>
        <w:rPr>
          <w:spacing w:val="-10"/>
        </w:rPr>
        <w:t xml:space="preserve"> </w:t>
      </w:r>
      <w:r>
        <w:t>resort</w:t>
      </w:r>
      <w:r>
        <w:rPr>
          <w:spacing w:val="-8"/>
        </w:rPr>
        <w:t xml:space="preserve"> </w:t>
      </w:r>
      <w:r>
        <w:t>to</w:t>
      </w:r>
      <w:r>
        <w:rPr>
          <w:spacing w:val="-11"/>
        </w:rPr>
        <w:t xml:space="preserve"> </w:t>
      </w:r>
      <w:r>
        <w:t>facts</w:t>
      </w:r>
      <w:r>
        <w:rPr>
          <w:spacing w:val="-7"/>
        </w:rPr>
        <w:t xml:space="preserve"> </w:t>
      </w:r>
      <w:r>
        <w:t>available</w:t>
      </w:r>
      <w:r>
        <w:rPr>
          <w:spacing w:val="-8"/>
        </w:rPr>
        <w:t xml:space="preserve"> </w:t>
      </w:r>
      <w:r>
        <w:t>was engineered</w:t>
      </w:r>
      <w:r>
        <w:rPr>
          <w:spacing w:val="-8"/>
        </w:rPr>
        <w:t xml:space="preserve"> </w:t>
      </w:r>
      <w:r>
        <w:t>entirely</w:t>
      </w:r>
      <w:r>
        <w:rPr>
          <w:spacing w:val="-5"/>
        </w:rPr>
        <w:t xml:space="preserve"> </w:t>
      </w:r>
      <w:r>
        <w:t>by</w:t>
      </w:r>
      <w:r>
        <w:rPr>
          <w:spacing w:val="-5"/>
        </w:rPr>
        <w:t xml:space="preserve"> </w:t>
      </w:r>
      <w:r>
        <w:t>MOFCOM's</w:t>
      </w:r>
      <w:r>
        <w:rPr>
          <w:spacing w:val="-5"/>
        </w:rPr>
        <w:t xml:space="preserve"> </w:t>
      </w:r>
      <w:r>
        <w:t>own</w:t>
      </w:r>
      <w:r>
        <w:rPr>
          <w:spacing w:val="-8"/>
        </w:rPr>
        <w:t xml:space="preserve"> </w:t>
      </w:r>
      <w:r>
        <w:t>unreasonable</w:t>
      </w:r>
      <w:r>
        <w:rPr>
          <w:spacing w:val="-6"/>
        </w:rPr>
        <w:t xml:space="preserve"> </w:t>
      </w:r>
      <w:r>
        <w:t>refusal</w:t>
      </w:r>
      <w:r>
        <w:rPr>
          <w:spacing w:val="-4"/>
        </w:rPr>
        <w:t xml:space="preserve"> </w:t>
      </w:r>
      <w:r>
        <w:t>to</w:t>
      </w:r>
      <w:r>
        <w:rPr>
          <w:spacing w:val="-9"/>
        </w:rPr>
        <w:t xml:space="preserve"> </w:t>
      </w:r>
      <w:r>
        <w:t>grant</w:t>
      </w:r>
      <w:r>
        <w:rPr>
          <w:spacing w:val="-6"/>
        </w:rPr>
        <w:t xml:space="preserve"> </w:t>
      </w:r>
      <w:r>
        <w:t>extensions</w:t>
      </w:r>
      <w:r>
        <w:rPr>
          <w:spacing w:val="-5"/>
        </w:rPr>
        <w:t xml:space="preserve"> </w:t>
      </w:r>
      <w:r>
        <w:t>where</w:t>
      </w:r>
      <w:r>
        <w:rPr>
          <w:spacing w:val="-6"/>
        </w:rPr>
        <w:t xml:space="preserve"> </w:t>
      </w:r>
      <w:r>
        <w:t>good cause had been shown and its subsequent refusal to accept any information submitted after MOFCOM's arbitrary deadlines, even where there was ample time to review it. MOFCOM's complaint that it was unable to verify certain data was entirely a result of its own refusal to take up invitations from the sampled companies to conduct either a remote or in-person verification of the data directly from their respective accounting systems.</w:t>
      </w:r>
    </w:p>
    <w:p w14:paraId="04D4810A" w14:textId="77777777" w:rsidR="00BD462C" w:rsidRDefault="00BD462C">
      <w:pPr>
        <w:pStyle w:val="BodyText"/>
        <w:spacing w:before="7"/>
        <w:rPr>
          <w:sz w:val="8"/>
        </w:rPr>
      </w:pPr>
    </w:p>
    <w:p w14:paraId="6767041E" w14:textId="6FACA54C" w:rsidR="00BD462C" w:rsidRDefault="00033D0F" w:rsidP="002C3E13">
      <w:pPr>
        <w:pStyle w:val="BodyText"/>
        <w:numPr>
          <w:ilvl w:val="0"/>
          <w:numId w:val="68"/>
        </w:numPr>
        <w:spacing w:before="56" w:line="360" w:lineRule="auto"/>
        <w:ind w:right="914"/>
        <w:jc w:val="both"/>
      </w:pPr>
      <w:r>
        <w:rPr>
          <w:position w:val="1"/>
        </w:rPr>
        <w:t>These</w:t>
      </w:r>
      <w:r>
        <w:rPr>
          <w:spacing w:val="-7"/>
          <w:position w:val="1"/>
        </w:rPr>
        <w:t xml:space="preserve"> </w:t>
      </w:r>
      <w:r>
        <w:rPr>
          <w:position w:val="1"/>
        </w:rPr>
        <w:t>and</w:t>
      </w:r>
      <w:r>
        <w:rPr>
          <w:spacing w:val="-9"/>
          <w:position w:val="1"/>
        </w:rPr>
        <w:t xml:space="preserve"> </w:t>
      </w:r>
      <w:r>
        <w:rPr>
          <w:position w:val="1"/>
        </w:rPr>
        <w:t>other</w:t>
      </w:r>
      <w:r>
        <w:rPr>
          <w:spacing w:val="-10"/>
          <w:position w:val="1"/>
        </w:rPr>
        <w:t xml:space="preserve"> </w:t>
      </w:r>
      <w:r>
        <w:rPr>
          <w:position w:val="1"/>
        </w:rPr>
        <w:t>errors</w:t>
      </w:r>
      <w:r>
        <w:rPr>
          <w:spacing w:val="-6"/>
          <w:position w:val="1"/>
        </w:rPr>
        <w:t xml:space="preserve"> </w:t>
      </w:r>
      <w:r>
        <w:rPr>
          <w:position w:val="1"/>
        </w:rPr>
        <w:t>of</w:t>
      </w:r>
      <w:r>
        <w:rPr>
          <w:spacing w:val="-9"/>
          <w:position w:val="1"/>
        </w:rPr>
        <w:t xml:space="preserve"> </w:t>
      </w:r>
      <w:r>
        <w:rPr>
          <w:position w:val="1"/>
        </w:rPr>
        <w:t>law</w:t>
      </w:r>
      <w:r>
        <w:rPr>
          <w:spacing w:val="-7"/>
          <w:position w:val="1"/>
        </w:rPr>
        <w:t xml:space="preserve"> </w:t>
      </w:r>
      <w:r>
        <w:rPr>
          <w:position w:val="1"/>
        </w:rPr>
        <w:t>and</w:t>
      </w:r>
      <w:r>
        <w:rPr>
          <w:spacing w:val="-9"/>
          <w:position w:val="1"/>
        </w:rPr>
        <w:t xml:space="preserve"> </w:t>
      </w:r>
      <w:r>
        <w:rPr>
          <w:position w:val="1"/>
        </w:rPr>
        <w:t>fact</w:t>
      </w:r>
      <w:r>
        <w:rPr>
          <w:spacing w:val="-7"/>
          <w:position w:val="1"/>
        </w:rPr>
        <w:t xml:space="preserve"> </w:t>
      </w:r>
      <w:r>
        <w:rPr>
          <w:position w:val="1"/>
        </w:rPr>
        <w:t>that</w:t>
      </w:r>
      <w:r>
        <w:rPr>
          <w:spacing w:val="-7"/>
          <w:position w:val="1"/>
        </w:rPr>
        <w:t xml:space="preserve"> </w:t>
      </w:r>
      <w:r>
        <w:rPr>
          <w:position w:val="1"/>
        </w:rPr>
        <w:t>Australia</w:t>
      </w:r>
      <w:r>
        <w:rPr>
          <w:spacing w:val="-8"/>
          <w:position w:val="1"/>
        </w:rPr>
        <w:t xml:space="preserve"> </w:t>
      </w:r>
      <w:r>
        <w:rPr>
          <w:position w:val="1"/>
        </w:rPr>
        <w:t>will</w:t>
      </w:r>
      <w:r>
        <w:rPr>
          <w:spacing w:val="-5"/>
          <w:position w:val="1"/>
        </w:rPr>
        <w:t xml:space="preserve"> </w:t>
      </w:r>
      <w:r>
        <w:rPr>
          <w:position w:val="1"/>
        </w:rPr>
        <w:t>discuss</w:t>
      </w:r>
      <w:r>
        <w:rPr>
          <w:spacing w:val="-6"/>
          <w:position w:val="1"/>
        </w:rPr>
        <w:t xml:space="preserve"> </w:t>
      </w:r>
      <w:r>
        <w:rPr>
          <w:position w:val="1"/>
        </w:rPr>
        <w:t>in</w:t>
      </w:r>
      <w:r>
        <w:rPr>
          <w:spacing w:val="-9"/>
          <w:position w:val="1"/>
        </w:rPr>
        <w:t xml:space="preserve"> </w:t>
      </w:r>
      <w:r>
        <w:rPr>
          <w:position w:val="1"/>
        </w:rPr>
        <w:t>its</w:t>
      </w:r>
      <w:r>
        <w:rPr>
          <w:spacing w:val="-6"/>
          <w:position w:val="1"/>
        </w:rPr>
        <w:t xml:space="preserve"> </w:t>
      </w:r>
      <w:r>
        <w:rPr>
          <w:position w:val="1"/>
        </w:rPr>
        <w:t>submission</w:t>
      </w:r>
      <w:r>
        <w:rPr>
          <w:spacing w:val="-9"/>
          <w:position w:val="1"/>
        </w:rPr>
        <w:t xml:space="preserve"> </w:t>
      </w:r>
      <w:r>
        <w:rPr>
          <w:position w:val="1"/>
        </w:rPr>
        <w:t xml:space="preserve">can </w:t>
      </w:r>
      <w:r>
        <w:t>only</w:t>
      </w:r>
      <w:r>
        <w:rPr>
          <w:spacing w:val="-3"/>
        </w:rPr>
        <w:t xml:space="preserve"> </w:t>
      </w:r>
      <w:r>
        <w:t>lead</w:t>
      </w:r>
      <w:r>
        <w:rPr>
          <w:spacing w:val="-6"/>
        </w:rPr>
        <w:t xml:space="preserve"> </w:t>
      </w:r>
      <w:r>
        <w:t>the</w:t>
      </w:r>
      <w:r>
        <w:rPr>
          <w:spacing w:val="-5"/>
        </w:rPr>
        <w:t xml:space="preserve"> </w:t>
      </w:r>
      <w:r>
        <w:t>Panel</w:t>
      </w:r>
      <w:r>
        <w:rPr>
          <w:spacing w:val="-2"/>
        </w:rPr>
        <w:t xml:space="preserve"> </w:t>
      </w:r>
      <w:r>
        <w:t>to</w:t>
      </w:r>
      <w:r>
        <w:rPr>
          <w:spacing w:val="-7"/>
        </w:rPr>
        <w:t xml:space="preserve"> </w:t>
      </w:r>
      <w:r>
        <w:t>reject</w:t>
      </w:r>
      <w:r>
        <w:rPr>
          <w:spacing w:val="-4"/>
        </w:rPr>
        <w:t xml:space="preserve"> </w:t>
      </w:r>
      <w:r>
        <w:t>China's</w:t>
      </w:r>
      <w:r>
        <w:rPr>
          <w:spacing w:val="-3"/>
        </w:rPr>
        <w:t xml:space="preserve"> </w:t>
      </w:r>
      <w:r>
        <w:t>attempted</w:t>
      </w:r>
      <w:r>
        <w:rPr>
          <w:spacing w:val="-6"/>
        </w:rPr>
        <w:t xml:space="preserve"> </w:t>
      </w:r>
      <w:r>
        <w:t>rebuttal</w:t>
      </w:r>
      <w:r>
        <w:rPr>
          <w:spacing w:val="-2"/>
        </w:rPr>
        <w:t xml:space="preserve"> </w:t>
      </w:r>
      <w:r>
        <w:t>of</w:t>
      </w:r>
      <w:r>
        <w:rPr>
          <w:spacing w:val="-6"/>
        </w:rPr>
        <w:t xml:space="preserve"> </w:t>
      </w:r>
      <w:r>
        <w:t>Australia's</w:t>
      </w:r>
      <w:r>
        <w:rPr>
          <w:spacing w:val="-3"/>
        </w:rPr>
        <w:t xml:space="preserve"> </w:t>
      </w:r>
      <w:r>
        <w:t>claims</w:t>
      </w:r>
      <w:r>
        <w:rPr>
          <w:spacing w:val="-3"/>
        </w:rPr>
        <w:t xml:space="preserve"> </w:t>
      </w:r>
      <w:r>
        <w:t>and</w:t>
      </w:r>
      <w:r>
        <w:rPr>
          <w:spacing w:val="-6"/>
        </w:rPr>
        <w:t xml:space="preserve"> </w:t>
      </w:r>
      <w:r>
        <w:t>confirm</w:t>
      </w:r>
      <w:r>
        <w:rPr>
          <w:spacing w:val="-5"/>
        </w:rPr>
        <w:t xml:space="preserve"> </w:t>
      </w:r>
      <w:r>
        <w:t>that Australia has demonstrated that the measures at issue are in breach of China's obligations under the Anti-Dumping Agreement and the GATT 1994.</w:t>
      </w:r>
    </w:p>
    <w:p w14:paraId="7615E888" w14:textId="77777777" w:rsidR="00BD462C" w:rsidRDefault="00033D0F">
      <w:pPr>
        <w:pStyle w:val="Heading1"/>
        <w:numPr>
          <w:ilvl w:val="0"/>
          <w:numId w:val="66"/>
        </w:numPr>
        <w:tabs>
          <w:tab w:val="left" w:pos="985"/>
          <w:tab w:val="left" w:pos="986"/>
        </w:tabs>
        <w:spacing w:before="158"/>
        <w:ind w:hanging="851"/>
      </w:pPr>
      <w:bookmarkStart w:id="11" w:name="II._Issues_concerning_the_conduct_of_the"/>
      <w:bookmarkStart w:id="12" w:name="_bookmark5"/>
      <w:bookmarkEnd w:id="11"/>
      <w:bookmarkEnd w:id="12"/>
      <w:r>
        <w:t>ISSUES</w:t>
      </w:r>
      <w:r>
        <w:rPr>
          <w:spacing w:val="-8"/>
        </w:rPr>
        <w:t xml:space="preserve"> </w:t>
      </w:r>
      <w:r>
        <w:t>CONCERNING</w:t>
      </w:r>
      <w:r>
        <w:rPr>
          <w:spacing w:val="-2"/>
        </w:rPr>
        <w:t xml:space="preserve"> </w:t>
      </w:r>
      <w:r>
        <w:t>THE</w:t>
      </w:r>
      <w:r>
        <w:rPr>
          <w:spacing w:val="-8"/>
        </w:rPr>
        <w:t xml:space="preserve"> </w:t>
      </w:r>
      <w:r>
        <w:t>CONDUCT</w:t>
      </w:r>
      <w:r>
        <w:rPr>
          <w:spacing w:val="-5"/>
        </w:rPr>
        <w:t xml:space="preserve"> </w:t>
      </w:r>
      <w:r>
        <w:t>OF</w:t>
      </w:r>
      <w:r>
        <w:rPr>
          <w:spacing w:val="-5"/>
        </w:rPr>
        <w:t xml:space="preserve"> </w:t>
      </w:r>
      <w:r>
        <w:t>THE</w:t>
      </w:r>
      <w:r>
        <w:rPr>
          <w:spacing w:val="-8"/>
        </w:rPr>
        <w:t xml:space="preserve"> </w:t>
      </w:r>
      <w:r>
        <w:rPr>
          <w:spacing w:val="-2"/>
        </w:rPr>
        <w:t>DISPUTE</w:t>
      </w:r>
    </w:p>
    <w:p w14:paraId="4186B05A" w14:textId="77777777" w:rsidR="00BD462C" w:rsidRDefault="00BD462C">
      <w:pPr>
        <w:pStyle w:val="BodyText"/>
        <w:spacing w:before="1"/>
        <w:rPr>
          <w:b/>
          <w:sz w:val="27"/>
        </w:rPr>
      </w:pPr>
    </w:p>
    <w:p w14:paraId="67284BC7" w14:textId="77777777" w:rsidR="00BD462C" w:rsidRDefault="00033D0F">
      <w:pPr>
        <w:pStyle w:val="ListParagraph"/>
        <w:numPr>
          <w:ilvl w:val="1"/>
          <w:numId w:val="66"/>
        </w:numPr>
        <w:tabs>
          <w:tab w:val="left" w:pos="1839"/>
          <w:tab w:val="left" w:pos="1840"/>
        </w:tabs>
        <w:spacing w:before="0"/>
        <w:rPr>
          <w:b/>
        </w:rPr>
      </w:pPr>
      <w:bookmarkStart w:id="13" w:name="A._China_improperly_attempts_to_narrow_t"/>
      <w:bookmarkStart w:id="14" w:name="_bookmark6"/>
      <w:bookmarkEnd w:id="13"/>
      <w:bookmarkEnd w:id="14"/>
      <w:r>
        <w:rPr>
          <w:b/>
          <w:spacing w:val="-2"/>
          <w:sz w:val="28"/>
        </w:rPr>
        <w:t>C</w:t>
      </w:r>
      <w:r>
        <w:rPr>
          <w:b/>
          <w:spacing w:val="-2"/>
        </w:rPr>
        <w:t>HINA</w:t>
      </w:r>
      <w:r>
        <w:rPr>
          <w:b/>
          <w:spacing w:val="-5"/>
        </w:rPr>
        <w:t xml:space="preserve"> </w:t>
      </w:r>
      <w:r>
        <w:rPr>
          <w:b/>
          <w:spacing w:val="-2"/>
        </w:rPr>
        <w:t>IMPROPERLY</w:t>
      </w:r>
      <w:r>
        <w:rPr>
          <w:b/>
          <w:spacing w:val="-4"/>
        </w:rPr>
        <w:t xml:space="preserve"> </w:t>
      </w:r>
      <w:r>
        <w:rPr>
          <w:b/>
          <w:spacing w:val="-2"/>
        </w:rPr>
        <w:t>ATTEMPTS</w:t>
      </w:r>
      <w:r>
        <w:rPr>
          <w:b/>
          <w:spacing w:val="-4"/>
        </w:rPr>
        <w:t xml:space="preserve"> </w:t>
      </w:r>
      <w:r>
        <w:rPr>
          <w:b/>
          <w:spacing w:val="-2"/>
        </w:rPr>
        <w:t>TO</w:t>
      </w:r>
      <w:r>
        <w:rPr>
          <w:b/>
          <w:spacing w:val="-5"/>
        </w:rPr>
        <w:t xml:space="preserve"> </w:t>
      </w:r>
      <w:r>
        <w:rPr>
          <w:b/>
          <w:spacing w:val="-2"/>
        </w:rPr>
        <w:t>NARROW</w:t>
      </w:r>
      <w:r>
        <w:rPr>
          <w:b/>
          <w:spacing w:val="-3"/>
        </w:rPr>
        <w:t xml:space="preserve"> </w:t>
      </w:r>
      <w:r>
        <w:rPr>
          <w:b/>
          <w:spacing w:val="-2"/>
        </w:rPr>
        <w:t>THE</w:t>
      </w:r>
      <w:r>
        <w:rPr>
          <w:b/>
          <w:spacing w:val="-8"/>
        </w:rPr>
        <w:t xml:space="preserve"> </w:t>
      </w:r>
      <w:r>
        <w:rPr>
          <w:b/>
          <w:spacing w:val="-2"/>
          <w:sz w:val="28"/>
        </w:rPr>
        <w:t>P</w:t>
      </w:r>
      <w:r>
        <w:rPr>
          <w:b/>
          <w:spacing w:val="-2"/>
        </w:rPr>
        <w:t>ANEL</w:t>
      </w:r>
      <w:r>
        <w:rPr>
          <w:b/>
          <w:spacing w:val="-2"/>
          <w:sz w:val="28"/>
        </w:rPr>
        <w:t>'</w:t>
      </w:r>
      <w:r>
        <w:rPr>
          <w:b/>
          <w:spacing w:val="-2"/>
        </w:rPr>
        <w:t>S</w:t>
      </w:r>
      <w:r>
        <w:rPr>
          <w:b/>
          <w:spacing w:val="-4"/>
        </w:rPr>
        <w:t xml:space="preserve"> </w:t>
      </w:r>
      <w:r>
        <w:rPr>
          <w:b/>
          <w:spacing w:val="-2"/>
        </w:rPr>
        <w:t>TERMS</w:t>
      </w:r>
      <w:r>
        <w:rPr>
          <w:b/>
          <w:spacing w:val="-4"/>
        </w:rPr>
        <w:t xml:space="preserve"> </w:t>
      </w:r>
      <w:r>
        <w:rPr>
          <w:b/>
          <w:spacing w:val="-2"/>
        </w:rPr>
        <w:t>OF</w:t>
      </w:r>
      <w:r>
        <w:rPr>
          <w:b/>
          <w:spacing w:val="-5"/>
        </w:rPr>
        <w:t xml:space="preserve"> </w:t>
      </w:r>
      <w:r>
        <w:rPr>
          <w:b/>
          <w:spacing w:val="-2"/>
        </w:rPr>
        <w:t>REFERENCE</w:t>
      </w:r>
    </w:p>
    <w:p w14:paraId="0FEFFE64" w14:textId="77777777" w:rsidR="00BD462C" w:rsidRDefault="00BD462C">
      <w:pPr>
        <w:pStyle w:val="BodyText"/>
        <w:spacing w:before="9"/>
        <w:rPr>
          <w:b/>
          <w:sz w:val="22"/>
        </w:rPr>
      </w:pPr>
    </w:p>
    <w:p w14:paraId="04FF07CA" w14:textId="1FAC5627" w:rsidR="00BD462C" w:rsidRDefault="00033D0F" w:rsidP="002C3E13">
      <w:pPr>
        <w:pStyle w:val="BodyText"/>
        <w:numPr>
          <w:ilvl w:val="0"/>
          <w:numId w:val="68"/>
        </w:numPr>
        <w:spacing w:before="56" w:line="357" w:lineRule="auto"/>
        <w:ind w:right="916"/>
        <w:jc w:val="both"/>
      </w:pPr>
      <w:r>
        <w:rPr>
          <w:position w:val="1"/>
        </w:rPr>
        <w:t xml:space="preserve">China has gone to extraordinary lengths to restrict the Panel from considering </w:t>
      </w:r>
      <w:r>
        <w:t>Australia's</w:t>
      </w:r>
      <w:r>
        <w:rPr>
          <w:spacing w:val="-1"/>
        </w:rPr>
        <w:t xml:space="preserve"> </w:t>
      </w:r>
      <w:r>
        <w:t>claims, arguments, and</w:t>
      </w:r>
      <w:r>
        <w:rPr>
          <w:spacing w:val="-4"/>
        </w:rPr>
        <w:t xml:space="preserve"> </w:t>
      </w:r>
      <w:r>
        <w:t>evidence</w:t>
      </w:r>
      <w:r>
        <w:rPr>
          <w:spacing w:val="-2"/>
        </w:rPr>
        <w:t xml:space="preserve"> </w:t>
      </w:r>
      <w:r>
        <w:t>on</w:t>
      </w:r>
      <w:r>
        <w:rPr>
          <w:spacing w:val="-4"/>
        </w:rPr>
        <w:t xml:space="preserve"> </w:t>
      </w:r>
      <w:r>
        <w:t>their</w:t>
      </w:r>
      <w:r>
        <w:rPr>
          <w:spacing w:val="-5"/>
        </w:rPr>
        <w:t xml:space="preserve"> </w:t>
      </w:r>
      <w:r>
        <w:t>merits.</w:t>
      </w:r>
      <w:r>
        <w:rPr>
          <w:spacing w:val="-1"/>
        </w:rPr>
        <w:t xml:space="preserve"> </w:t>
      </w:r>
      <w:r>
        <w:t>Whether</w:t>
      </w:r>
      <w:r>
        <w:rPr>
          <w:spacing w:val="-5"/>
        </w:rPr>
        <w:t xml:space="preserve"> </w:t>
      </w:r>
      <w:r>
        <w:t>by</w:t>
      </w:r>
      <w:r>
        <w:rPr>
          <w:spacing w:val="-1"/>
        </w:rPr>
        <w:t xml:space="preserve"> </w:t>
      </w:r>
      <w:r>
        <w:t>erroneously</w:t>
      </w:r>
      <w:r>
        <w:rPr>
          <w:spacing w:val="-1"/>
        </w:rPr>
        <w:t xml:space="preserve"> </w:t>
      </w:r>
      <w:r>
        <w:t>alleging that</w:t>
      </w:r>
      <w:r>
        <w:rPr>
          <w:spacing w:val="-7"/>
        </w:rPr>
        <w:t xml:space="preserve"> </w:t>
      </w:r>
      <w:r>
        <w:t>Australia</w:t>
      </w:r>
      <w:r>
        <w:rPr>
          <w:spacing w:val="-8"/>
        </w:rPr>
        <w:t xml:space="preserve"> </w:t>
      </w:r>
      <w:r>
        <w:t>has</w:t>
      </w:r>
      <w:r>
        <w:rPr>
          <w:spacing w:val="-6"/>
        </w:rPr>
        <w:t xml:space="preserve"> </w:t>
      </w:r>
      <w:r>
        <w:t>abandoned</w:t>
      </w:r>
      <w:r>
        <w:rPr>
          <w:spacing w:val="-9"/>
        </w:rPr>
        <w:t xml:space="preserve"> </w:t>
      </w:r>
      <w:r>
        <w:t>certain</w:t>
      </w:r>
      <w:r>
        <w:rPr>
          <w:spacing w:val="-9"/>
        </w:rPr>
        <w:t xml:space="preserve"> </w:t>
      </w:r>
      <w:r>
        <w:t>claims</w:t>
      </w:r>
      <w:r>
        <w:rPr>
          <w:spacing w:val="-6"/>
        </w:rPr>
        <w:t xml:space="preserve"> </w:t>
      </w:r>
      <w:r>
        <w:t>or</w:t>
      </w:r>
      <w:r>
        <w:rPr>
          <w:spacing w:val="-10"/>
        </w:rPr>
        <w:t xml:space="preserve"> </w:t>
      </w:r>
      <w:r>
        <w:t>improperly</w:t>
      </w:r>
      <w:r>
        <w:rPr>
          <w:spacing w:val="-6"/>
        </w:rPr>
        <w:t xml:space="preserve"> </w:t>
      </w:r>
      <w:r>
        <w:t>expanded</w:t>
      </w:r>
      <w:r>
        <w:rPr>
          <w:spacing w:val="-9"/>
        </w:rPr>
        <w:t xml:space="preserve"> </w:t>
      </w:r>
      <w:r>
        <w:t>others,</w:t>
      </w:r>
      <w:r>
        <w:rPr>
          <w:spacing w:val="-5"/>
        </w:rPr>
        <w:t xml:space="preserve"> </w:t>
      </w:r>
      <w:r>
        <w:t>China's</w:t>
      </w:r>
      <w:r>
        <w:rPr>
          <w:spacing w:val="-6"/>
        </w:rPr>
        <w:t xml:space="preserve"> </w:t>
      </w:r>
      <w:r>
        <w:t>attempts to delimit the Panel's jurisdiction are without basis.</w:t>
      </w:r>
    </w:p>
    <w:p w14:paraId="46DA9278" w14:textId="77777777" w:rsidR="00BD462C" w:rsidRDefault="00BD462C">
      <w:pPr>
        <w:pStyle w:val="BodyText"/>
        <w:spacing w:before="4"/>
        <w:rPr>
          <w:sz w:val="9"/>
        </w:rPr>
      </w:pPr>
    </w:p>
    <w:p w14:paraId="4A31E760" w14:textId="3267EC54" w:rsidR="00BD462C" w:rsidRDefault="00033D0F" w:rsidP="002C3E13">
      <w:pPr>
        <w:pStyle w:val="BodyText"/>
        <w:numPr>
          <w:ilvl w:val="0"/>
          <w:numId w:val="68"/>
        </w:numPr>
        <w:spacing w:before="56" w:line="357" w:lineRule="auto"/>
        <w:ind w:right="910"/>
      </w:pPr>
      <w:r>
        <w:rPr>
          <w:position w:val="1"/>
        </w:rPr>
        <w:t>Australia</w:t>
      </w:r>
      <w:r>
        <w:rPr>
          <w:spacing w:val="40"/>
          <w:position w:val="1"/>
        </w:rPr>
        <w:t xml:space="preserve"> </w:t>
      </w:r>
      <w:r>
        <w:rPr>
          <w:position w:val="1"/>
        </w:rPr>
        <w:t>provided</w:t>
      </w:r>
      <w:r>
        <w:rPr>
          <w:spacing w:val="40"/>
          <w:position w:val="1"/>
        </w:rPr>
        <w:t xml:space="preserve"> </w:t>
      </w:r>
      <w:r>
        <w:rPr>
          <w:position w:val="1"/>
        </w:rPr>
        <w:t>a</w:t>
      </w:r>
      <w:r>
        <w:rPr>
          <w:spacing w:val="40"/>
          <w:position w:val="1"/>
        </w:rPr>
        <w:t xml:space="preserve"> </w:t>
      </w:r>
      <w:r>
        <w:rPr>
          <w:position w:val="1"/>
        </w:rPr>
        <w:t>detailed</w:t>
      </w:r>
      <w:r>
        <w:rPr>
          <w:spacing w:val="40"/>
          <w:position w:val="1"/>
        </w:rPr>
        <w:t xml:space="preserve"> </w:t>
      </w:r>
      <w:r>
        <w:rPr>
          <w:position w:val="1"/>
        </w:rPr>
        <w:t>and</w:t>
      </w:r>
      <w:r>
        <w:rPr>
          <w:spacing w:val="40"/>
          <w:position w:val="1"/>
        </w:rPr>
        <w:t xml:space="preserve"> </w:t>
      </w:r>
      <w:r>
        <w:rPr>
          <w:position w:val="1"/>
        </w:rPr>
        <w:t>comprehensive</w:t>
      </w:r>
      <w:r>
        <w:rPr>
          <w:spacing w:val="40"/>
          <w:position w:val="1"/>
        </w:rPr>
        <w:t xml:space="preserve"> </w:t>
      </w:r>
      <w:r>
        <w:rPr>
          <w:position w:val="1"/>
        </w:rPr>
        <w:t>reply</w:t>
      </w:r>
      <w:r>
        <w:rPr>
          <w:spacing w:val="40"/>
          <w:position w:val="1"/>
        </w:rPr>
        <w:t xml:space="preserve"> </w:t>
      </w:r>
      <w:r>
        <w:rPr>
          <w:position w:val="1"/>
        </w:rPr>
        <w:t>to</w:t>
      </w:r>
      <w:r>
        <w:rPr>
          <w:spacing w:val="40"/>
          <w:position w:val="1"/>
        </w:rPr>
        <w:t xml:space="preserve"> </w:t>
      </w:r>
      <w:r>
        <w:rPr>
          <w:position w:val="1"/>
        </w:rPr>
        <w:t>China's</w:t>
      </w:r>
      <w:r>
        <w:rPr>
          <w:spacing w:val="40"/>
          <w:position w:val="1"/>
        </w:rPr>
        <w:t xml:space="preserve"> </w:t>
      </w:r>
      <w:r>
        <w:rPr>
          <w:position w:val="1"/>
        </w:rPr>
        <w:t>PRR.</w:t>
      </w:r>
      <w:r>
        <w:rPr>
          <w:spacing w:val="40"/>
          <w:position w:val="1"/>
        </w:rPr>
        <w:t xml:space="preserve"> </w:t>
      </w:r>
      <w:r>
        <w:rPr>
          <w:position w:val="1"/>
        </w:rPr>
        <w:t xml:space="preserve">Australia </w:t>
      </w:r>
      <w:r>
        <w:t>stands upon those submissions.</w:t>
      </w:r>
    </w:p>
    <w:p w14:paraId="77862949" w14:textId="77777777" w:rsidR="00BD462C" w:rsidRDefault="00BD462C">
      <w:pPr>
        <w:pStyle w:val="BodyText"/>
        <w:spacing w:before="2"/>
        <w:rPr>
          <w:sz w:val="9"/>
        </w:rPr>
      </w:pPr>
    </w:p>
    <w:p w14:paraId="70EAC66F" w14:textId="5EF8AD9F" w:rsidR="00BD462C" w:rsidRDefault="00033D0F" w:rsidP="002C3E13">
      <w:pPr>
        <w:pStyle w:val="BodyText"/>
        <w:numPr>
          <w:ilvl w:val="0"/>
          <w:numId w:val="68"/>
        </w:numPr>
        <w:spacing w:before="56"/>
      </w:pPr>
      <w:r>
        <w:rPr>
          <w:position w:val="1"/>
        </w:rPr>
        <w:t>Subsequent to its PRR, China has asserted further jurisdictional objections including:</w:t>
      </w:r>
    </w:p>
    <w:p w14:paraId="79CB8655" w14:textId="77777777" w:rsidR="00BD462C" w:rsidRDefault="00033D0F">
      <w:pPr>
        <w:pStyle w:val="ListParagraph"/>
        <w:numPr>
          <w:ilvl w:val="0"/>
          <w:numId w:val="65"/>
        </w:numPr>
        <w:tabs>
          <w:tab w:val="left" w:pos="439"/>
        </w:tabs>
        <w:spacing w:before="140"/>
        <w:ind w:hanging="304"/>
        <w:rPr>
          <w:sz w:val="24"/>
        </w:rPr>
      </w:pPr>
      <w:r>
        <w:rPr>
          <w:sz w:val="24"/>
        </w:rPr>
        <w:t>that</w:t>
      </w:r>
      <w:r>
        <w:rPr>
          <w:spacing w:val="47"/>
          <w:sz w:val="24"/>
        </w:rPr>
        <w:t xml:space="preserve"> </w:t>
      </w:r>
      <w:r>
        <w:rPr>
          <w:sz w:val="24"/>
        </w:rPr>
        <w:t>Australia's</w:t>
      </w:r>
      <w:r>
        <w:rPr>
          <w:spacing w:val="48"/>
          <w:sz w:val="24"/>
        </w:rPr>
        <w:t xml:space="preserve"> </w:t>
      </w:r>
      <w:r>
        <w:rPr>
          <w:sz w:val="24"/>
        </w:rPr>
        <w:t>first</w:t>
      </w:r>
      <w:r>
        <w:rPr>
          <w:spacing w:val="47"/>
          <w:sz w:val="24"/>
        </w:rPr>
        <w:t xml:space="preserve"> </w:t>
      </w:r>
      <w:r>
        <w:rPr>
          <w:sz w:val="24"/>
        </w:rPr>
        <w:t>written</w:t>
      </w:r>
      <w:r>
        <w:rPr>
          <w:spacing w:val="44"/>
          <w:sz w:val="24"/>
        </w:rPr>
        <w:t xml:space="preserve"> </w:t>
      </w:r>
      <w:r>
        <w:rPr>
          <w:sz w:val="24"/>
        </w:rPr>
        <w:t>submission</w:t>
      </w:r>
      <w:r>
        <w:rPr>
          <w:spacing w:val="44"/>
          <w:sz w:val="24"/>
        </w:rPr>
        <w:t xml:space="preserve"> </w:t>
      </w:r>
      <w:r>
        <w:rPr>
          <w:sz w:val="24"/>
        </w:rPr>
        <w:t>adduced</w:t>
      </w:r>
      <w:r>
        <w:rPr>
          <w:spacing w:val="44"/>
          <w:sz w:val="24"/>
        </w:rPr>
        <w:t xml:space="preserve"> </w:t>
      </w:r>
      <w:r>
        <w:rPr>
          <w:sz w:val="24"/>
        </w:rPr>
        <w:t>arguments</w:t>
      </w:r>
      <w:r>
        <w:rPr>
          <w:spacing w:val="48"/>
          <w:sz w:val="24"/>
        </w:rPr>
        <w:t xml:space="preserve"> </w:t>
      </w:r>
      <w:r>
        <w:rPr>
          <w:sz w:val="24"/>
        </w:rPr>
        <w:t>for</w:t>
      </w:r>
      <w:r>
        <w:rPr>
          <w:spacing w:val="49"/>
          <w:sz w:val="24"/>
        </w:rPr>
        <w:t xml:space="preserve"> </w:t>
      </w:r>
      <w:r>
        <w:rPr>
          <w:sz w:val="24"/>
        </w:rPr>
        <w:t>claims</w:t>
      </w:r>
      <w:r>
        <w:rPr>
          <w:spacing w:val="48"/>
          <w:sz w:val="24"/>
        </w:rPr>
        <w:t xml:space="preserve"> </w:t>
      </w:r>
      <w:r>
        <w:rPr>
          <w:sz w:val="24"/>
        </w:rPr>
        <w:t>that</w:t>
      </w:r>
      <w:r>
        <w:rPr>
          <w:spacing w:val="47"/>
          <w:sz w:val="24"/>
        </w:rPr>
        <w:t xml:space="preserve"> </w:t>
      </w:r>
      <w:r>
        <w:rPr>
          <w:sz w:val="24"/>
        </w:rPr>
        <w:t>were</w:t>
      </w:r>
      <w:r>
        <w:rPr>
          <w:spacing w:val="46"/>
          <w:sz w:val="24"/>
        </w:rPr>
        <w:t xml:space="preserve"> </w:t>
      </w:r>
      <w:r>
        <w:rPr>
          <w:spacing w:val="-5"/>
          <w:sz w:val="24"/>
        </w:rPr>
        <w:t>not</w:t>
      </w:r>
    </w:p>
    <w:p w14:paraId="0FED6E62" w14:textId="77777777" w:rsidR="00BD462C" w:rsidRDefault="00BD462C">
      <w:pPr>
        <w:rPr>
          <w:sz w:val="24"/>
        </w:rPr>
        <w:sectPr w:rsidR="00BD462C">
          <w:pgSz w:w="11910" w:h="16840"/>
          <w:pgMar w:top="860" w:right="500" w:bottom="780" w:left="1280" w:header="566" w:footer="590" w:gutter="0"/>
          <w:cols w:space="720"/>
        </w:sectPr>
      </w:pPr>
    </w:p>
    <w:p w14:paraId="22B050B0"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6114346C"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5F2BEDD2"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334F8248" w14:textId="77777777" w:rsidR="00BD462C" w:rsidRDefault="00033D0F">
      <w:pPr>
        <w:pStyle w:val="BodyText"/>
        <w:spacing w:before="102" w:line="360" w:lineRule="auto"/>
        <w:ind w:left="135" w:right="913"/>
        <w:jc w:val="both"/>
      </w:pPr>
      <w:r>
        <w:t>present in its panel request; (ii) that Australia's claims have "unreasonably" evolved; and (iii) that Australia's claims were</w:t>
      </w:r>
      <w:r>
        <w:rPr>
          <w:spacing w:val="-1"/>
        </w:rPr>
        <w:t xml:space="preserve"> </w:t>
      </w:r>
      <w:r>
        <w:t>insufficiently clear in its panel request.</w:t>
      </w:r>
      <w:hyperlink w:anchor="_bookmark11" w:history="1">
        <w:r>
          <w:rPr>
            <w:vertAlign w:val="superscript"/>
          </w:rPr>
          <w:t>1</w:t>
        </w:r>
      </w:hyperlink>
      <w:r>
        <w:t xml:space="preserve"> To the extent that China raises new considerations, Australia addresses these below.</w:t>
      </w:r>
    </w:p>
    <w:p w14:paraId="0C45DAB4" w14:textId="77777777" w:rsidR="00BD462C" w:rsidRDefault="00033D0F">
      <w:pPr>
        <w:pStyle w:val="Heading3"/>
        <w:numPr>
          <w:ilvl w:val="1"/>
          <w:numId w:val="65"/>
        </w:numPr>
        <w:tabs>
          <w:tab w:val="left" w:pos="2689"/>
          <w:tab w:val="left" w:pos="2690"/>
        </w:tabs>
        <w:spacing w:before="160"/>
      </w:pPr>
      <w:bookmarkStart w:id="15" w:name="_bookmark7"/>
      <w:bookmarkEnd w:id="15"/>
      <w:r>
        <w:t>Legal</w:t>
      </w:r>
      <w:r>
        <w:rPr>
          <w:spacing w:val="-3"/>
        </w:rPr>
        <w:t xml:space="preserve"> </w:t>
      </w:r>
      <w:r>
        <w:rPr>
          <w:spacing w:val="-2"/>
        </w:rPr>
        <w:t>framework</w:t>
      </w:r>
    </w:p>
    <w:p w14:paraId="6EE3D6FF" w14:textId="77777777" w:rsidR="00BD462C" w:rsidRDefault="00BD462C">
      <w:pPr>
        <w:pStyle w:val="BodyText"/>
        <w:spacing w:before="9"/>
        <w:rPr>
          <w:b/>
        </w:rPr>
      </w:pPr>
    </w:p>
    <w:p w14:paraId="35BBE9E7" w14:textId="77777777" w:rsidR="00BD462C" w:rsidRDefault="00033D0F">
      <w:pPr>
        <w:pStyle w:val="ListParagraph"/>
        <w:numPr>
          <w:ilvl w:val="2"/>
          <w:numId w:val="65"/>
        </w:numPr>
        <w:tabs>
          <w:tab w:val="left" w:pos="3539"/>
          <w:tab w:val="left" w:pos="3540"/>
        </w:tabs>
        <w:spacing w:before="1"/>
        <w:ind w:hanging="851"/>
        <w:rPr>
          <w:sz w:val="24"/>
        </w:rPr>
      </w:pPr>
      <w:bookmarkStart w:id="16" w:name="(a)_Standard_pursuant_to_Article_6.2_of_"/>
      <w:bookmarkStart w:id="17" w:name="_bookmark8"/>
      <w:bookmarkEnd w:id="16"/>
      <w:bookmarkEnd w:id="17"/>
      <w:r>
        <w:rPr>
          <w:sz w:val="24"/>
          <w:u w:val="single"/>
        </w:rPr>
        <w:t>Standard</w:t>
      </w:r>
      <w:r>
        <w:rPr>
          <w:spacing w:val="-5"/>
          <w:sz w:val="24"/>
          <w:u w:val="single"/>
        </w:rPr>
        <w:t xml:space="preserve"> </w:t>
      </w:r>
      <w:r>
        <w:rPr>
          <w:sz w:val="24"/>
          <w:u w:val="single"/>
        </w:rPr>
        <w:t>pursuant</w:t>
      </w:r>
      <w:r>
        <w:rPr>
          <w:spacing w:val="-3"/>
          <w:sz w:val="24"/>
          <w:u w:val="single"/>
        </w:rPr>
        <w:t xml:space="preserve"> </w:t>
      </w:r>
      <w:r>
        <w:rPr>
          <w:sz w:val="24"/>
          <w:u w:val="single"/>
        </w:rPr>
        <w:t>to</w:t>
      </w:r>
      <w:r>
        <w:rPr>
          <w:spacing w:val="-1"/>
          <w:sz w:val="24"/>
          <w:u w:val="single"/>
        </w:rPr>
        <w:t xml:space="preserve"> </w:t>
      </w:r>
      <w:r>
        <w:rPr>
          <w:sz w:val="24"/>
          <w:u w:val="single"/>
        </w:rPr>
        <w:t>Article</w:t>
      </w:r>
      <w:r>
        <w:rPr>
          <w:spacing w:val="-3"/>
          <w:sz w:val="24"/>
          <w:u w:val="single"/>
        </w:rPr>
        <w:t xml:space="preserve"> </w:t>
      </w:r>
      <w:r>
        <w:rPr>
          <w:sz w:val="24"/>
          <w:u w:val="single"/>
        </w:rPr>
        <w:t>6.2</w:t>
      </w:r>
      <w:r>
        <w:rPr>
          <w:spacing w:val="-5"/>
          <w:sz w:val="24"/>
          <w:u w:val="single"/>
        </w:rPr>
        <w:t xml:space="preserve"> </w:t>
      </w:r>
      <w:r>
        <w:rPr>
          <w:sz w:val="24"/>
          <w:u w:val="single"/>
        </w:rPr>
        <w:t>of</w:t>
      </w:r>
      <w:r>
        <w:rPr>
          <w:spacing w:val="-5"/>
          <w:sz w:val="24"/>
          <w:u w:val="single"/>
        </w:rPr>
        <w:t xml:space="preserve"> </w:t>
      </w:r>
      <w:r>
        <w:rPr>
          <w:sz w:val="24"/>
          <w:u w:val="single"/>
        </w:rPr>
        <w:t>the</w:t>
      </w:r>
      <w:r>
        <w:rPr>
          <w:spacing w:val="2"/>
          <w:sz w:val="24"/>
          <w:u w:val="single"/>
        </w:rPr>
        <w:t xml:space="preserve"> </w:t>
      </w:r>
      <w:r>
        <w:rPr>
          <w:spacing w:val="-5"/>
          <w:sz w:val="24"/>
          <w:u w:val="single"/>
        </w:rPr>
        <w:t>DSU</w:t>
      </w:r>
    </w:p>
    <w:p w14:paraId="050900BD" w14:textId="77777777" w:rsidR="00BD462C" w:rsidRDefault="00BD462C">
      <w:pPr>
        <w:pStyle w:val="BodyText"/>
        <w:spacing w:before="11"/>
        <w:rPr>
          <w:sz w:val="20"/>
        </w:rPr>
      </w:pPr>
    </w:p>
    <w:p w14:paraId="456E0084" w14:textId="064D9A43" w:rsidR="00BD462C" w:rsidRDefault="00033D0F" w:rsidP="002C3E13">
      <w:pPr>
        <w:pStyle w:val="BodyText"/>
        <w:numPr>
          <w:ilvl w:val="0"/>
          <w:numId w:val="68"/>
        </w:numPr>
        <w:spacing w:before="56" w:line="360" w:lineRule="auto"/>
        <w:ind w:right="911"/>
        <w:jc w:val="both"/>
      </w:pPr>
      <w:bookmarkStart w:id="18" w:name="_bookmark9"/>
      <w:bookmarkEnd w:id="18"/>
      <w:r>
        <w:rPr>
          <w:position w:val="1"/>
        </w:rPr>
        <w:t xml:space="preserve">Australia set out in detail the proper interpretation of Article 6.2 of the DSU in its </w:t>
      </w:r>
      <w:r>
        <w:t>response to China's PRR.</w:t>
      </w:r>
      <w:r>
        <w:rPr>
          <w:spacing w:val="-14"/>
        </w:rPr>
        <w:t xml:space="preserve"> </w:t>
      </w:r>
      <w:hyperlink w:anchor="_bookmark12" w:history="1">
        <w:r>
          <w:rPr>
            <w:vertAlign w:val="superscript"/>
          </w:rPr>
          <w:t>2</w:t>
        </w:r>
      </w:hyperlink>
      <w:r>
        <w:t xml:space="preserve"> In summary, Article 6.2 sets out two requirements that a complaining party's panel request must satisfy: (i) identification of the specific measures at issue; and (ii) provision of a brief summary of the legal basis of the complaint.</w:t>
      </w:r>
      <w:hyperlink w:anchor="_bookmark13" w:history="1">
        <w:r>
          <w:rPr>
            <w:vertAlign w:val="superscript"/>
          </w:rPr>
          <w:t>3</w:t>
        </w:r>
      </w:hyperlink>
      <w:r>
        <w:rPr>
          <w:spacing w:val="-1"/>
        </w:rPr>
        <w:t xml:space="preserve"> </w:t>
      </w:r>
      <w:r>
        <w:t>These two elements</w:t>
      </w:r>
      <w:r>
        <w:rPr>
          <w:spacing w:val="-11"/>
        </w:rPr>
        <w:t xml:space="preserve"> </w:t>
      </w:r>
      <w:r>
        <w:t>form</w:t>
      </w:r>
      <w:r>
        <w:rPr>
          <w:spacing w:val="-8"/>
        </w:rPr>
        <w:t xml:space="preserve"> </w:t>
      </w:r>
      <w:r>
        <w:t>the</w:t>
      </w:r>
      <w:r>
        <w:rPr>
          <w:spacing w:val="-8"/>
        </w:rPr>
        <w:t xml:space="preserve"> </w:t>
      </w:r>
      <w:r>
        <w:t>"matter"</w:t>
      </w:r>
      <w:r>
        <w:rPr>
          <w:spacing w:val="-9"/>
        </w:rPr>
        <w:t xml:space="preserve"> </w:t>
      </w:r>
      <w:r>
        <w:t>referred</w:t>
      </w:r>
      <w:r>
        <w:rPr>
          <w:spacing w:val="-10"/>
        </w:rPr>
        <w:t xml:space="preserve"> </w:t>
      </w:r>
      <w:r>
        <w:t>to</w:t>
      </w:r>
      <w:r>
        <w:rPr>
          <w:spacing w:val="-11"/>
        </w:rPr>
        <w:t xml:space="preserve"> </w:t>
      </w:r>
      <w:r>
        <w:t>the</w:t>
      </w:r>
      <w:r>
        <w:rPr>
          <w:spacing w:val="-8"/>
        </w:rPr>
        <w:t xml:space="preserve"> </w:t>
      </w:r>
      <w:r>
        <w:t>DSB</w:t>
      </w:r>
      <w:r>
        <w:rPr>
          <w:spacing w:val="-10"/>
        </w:rPr>
        <w:t xml:space="preserve"> </w:t>
      </w:r>
      <w:r>
        <w:t>under</w:t>
      </w:r>
      <w:r>
        <w:rPr>
          <w:spacing w:val="-11"/>
        </w:rPr>
        <w:t xml:space="preserve"> </w:t>
      </w:r>
      <w:r>
        <w:t>Article</w:t>
      </w:r>
      <w:r>
        <w:rPr>
          <w:spacing w:val="-8"/>
        </w:rPr>
        <w:t xml:space="preserve"> </w:t>
      </w:r>
      <w:r>
        <w:t>7.1</w:t>
      </w:r>
      <w:r>
        <w:rPr>
          <w:spacing w:val="-12"/>
        </w:rPr>
        <w:t xml:space="preserve"> </w:t>
      </w:r>
      <w:r>
        <w:t>of</w:t>
      </w:r>
      <w:r>
        <w:rPr>
          <w:spacing w:val="-10"/>
        </w:rPr>
        <w:t xml:space="preserve"> </w:t>
      </w:r>
      <w:r>
        <w:t>the</w:t>
      </w:r>
      <w:r>
        <w:rPr>
          <w:spacing w:val="-8"/>
        </w:rPr>
        <w:t xml:space="preserve"> </w:t>
      </w:r>
      <w:r>
        <w:t>DSU</w:t>
      </w:r>
      <w:r>
        <w:rPr>
          <w:spacing w:val="-9"/>
        </w:rPr>
        <w:t xml:space="preserve"> </w:t>
      </w:r>
      <w:r>
        <w:t>and</w:t>
      </w:r>
      <w:r>
        <w:rPr>
          <w:spacing w:val="-10"/>
        </w:rPr>
        <w:t xml:space="preserve"> </w:t>
      </w:r>
      <w:r>
        <w:t>establish</w:t>
      </w:r>
      <w:r>
        <w:rPr>
          <w:spacing w:val="-10"/>
        </w:rPr>
        <w:t xml:space="preserve"> </w:t>
      </w:r>
      <w:r>
        <w:t>the boundaries of a panel's jurisdiction.</w:t>
      </w:r>
      <w:hyperlink w:anchor="_bookmark14" w:history="1">
        <w:r>
          <w:rPr>
            <w:vertAlign w:val="superscript"/>
          </w:rPr>
          <w:t>4</w:t>
        </w:r>
      </w:hyperlink>
    </w:p>
    <w:p w14:paraId="2816A817" w14:textId="77777777" w:rsidR="00BD462C" w:rsidRDefault="00BD462C">
      <w:pPr>
        <w:pStyle w:val="BodyText"/>
        <w:spacing w:before="8"/>
        <w:rPr>
          <w:sz w:val="8"/>
        </w:rPr>
      </w:pPr>
    </w:p>
    <w:p w14:paraId="083B2F8F" w14:textId="1089DD45" w:rsidR="00BD462C" w:rsidRDefault="00033D0F" w:rsidP="002C3E13">
      <w:pPr>
        <w:pStyle w:val="BodyText"/>
        <w:numPr>
          <w:ilvl w:val="0"/>
          <w:numId w:val="68"/>
        </w:numPr>
        <w:spacing w:before="56" w:line="360" w:lineRule="auto"/>
        <w:ind w:right="913"/>
        <w:jc w:val="both"/>
      </w:pPr>
      <w:r>
        <w:rPr>
          <w:position w:val="1"/>
        </w:rPr>
        <w:t xml:space="preserve">To meet the Article 6.2 requirements, a complainant must have "plainly connected" </w:t>
      </w:r>
      <w:r>
        <w:t>the measure at issue with the obligation allegedly</w:t>
      </w:r>
      <w:r>
        <w:rPr>
          <w:spacing w:val="-1"/>
        </w:rPr>
        <w:t xml:space="preserve"> </w:t>
      </w:r>
      <w:r>
        <w:t>infringed in a manner sufficient to present the problem clearly.</w:t>
      </w:r>
      <w:hyperlink w:anchor="_bookmark15" w:history="1">
        <w:r>
          <w:rPr>
            <w:vertAlign w:val="superscript"/>
          </w:rPr>
          <w:t>5</w:t>
        </w:r>
      </w:hyperlink>
      <w:r>
        <w:rPr>
          <w:spacing w:val="-11"/>
        </w:rPr>
        <w:t xml:space="preserve"> </w:t>
      </w:r>
      <w:r>
        <w:t xml:space="preserve">This allows the respondent to understand the nature of the allegation against it and to "begin" preparing a </w:t>
      </w:r>
      <w:proofErr w:type="spellStart"/>
      <w:r>
        <w:t>defence</w:t>
      </w:r>
      <w:proofErr w:type="spellEnd"/>
      <w:r>
        <w:t>.</w:t>
      </w:r>
      <w:r>
        <w:rPr>
          <w:spacing w:val="-14"/>
        </w:rPr>
        <w:t xml:space="preserve"> </w:t>
      </w:r>
      <w:hyperlink w:anchor="_bookmark16" w:history="1">
        <w:r>
          <w:rPr>
            <w:vertAlign w:val="superscript"/>
          </w:rPr>
          <w:t>6</w:t>
        </w:r>
      </w:hyperlink>
      <w:r>
        <w:t xml:space="preserve"> Explanations of how or why a violation occurred are not required.</w:t>
      </w:r>
      <w:r>
        <w:rPr>
          <w:spacing w:val="-14"/>
        </w:rPr>
        <w:t xml:space="preserve"> </w:t>
      </w:r>
      <w:hyperlink w:anchor="_bookmark17" w:history="1">
        <w:r>
          <w:rPr>
            <w:vertAlign w:val="superscript"/>
          </w:rPr>
          <w:t>7</w:t>
        </w:r>
      </w:hyperlink>
      <w:r>
        <w:t xml:space="preserve"> Multiple panels, and the Appellate Body, have confirmed this standard.</w:t>
      </w:r>
      <w:r>
        <w:rPr>
          <w:spacing w:val="-34"/>
        </w:rPr>
        <w:t xml:space="preserve"> </w:t>
      </w:r>
      <w:hyperlink w:anchor="_bookmark18" w:history="1">
        <w:r>
          <w:rPr>
            <w:vertAlign w:val="superscript"/>
          </w:rPr>
          <w:t>8</w:t>
        </w:r>
      </w:hyperlink>
    </w:p>
    <w:p w14:paraId="619C3313" w14:textId="257E4547" w:rsidR="00BD462C" w:rsidRDefault="00033D0F" w:rsidP="002C3E13">
      <w:pPr>
        <w:pStyle w:val="BodyText"/>
        <w:numPr>
          <w:ilvl w:val="0"/>
          <w:numId w:val="68"/>
        </w:numPr>
        <w:spacing w:before="162" w:line="345" w:lineRule="auto"/>
        <w:ind w:right="923"/>
      </w:pPr>
      <w:bookmarkStart w:id="19" w:name="_bookmark10"/>
      <w:bookmarkEnd w:id="19"/>
      <w:r>
        <w:rPr>
          <w:position w:val="1"/>
        </w:rPr>
        <w:t>Application</w:t>
      </w:r>
      <w:r>
        <w:rPr>
          <w:spacing w:val="29"/>
          <w:position w:val="1"/>
        </w:rPr>
        <w:t xml:space="preserve"> </w:t>
      </w:r>
      <w:r>
        <w:rPr>
          <w:position w:val="1"/>
        </w:rPr>
        <w:t>of</w:t>
      </w:r>
      <w:r>
        <w:rPr>
          <w:spacing w:val="29"/>
          <w:position w:val="1"/>
        </w:rPr>
        <w:t xml:space="preserve"> </w:t>
      </w:r>
      <w:r>
        <w:rPr>
          <w:position w:val="1"/>
        </w:rPr>
        <w:t>this</w:t>
      </w:r>
      <w:r>
        <w:rPr>
          <w:spacing w:val="33"/>
          <w:position w:val="1"/>
        </w:rPr>
        <w:t xml:space="preserve"> </w:t>
      </w:r>
      <w:r>
        <w:rPr>
          <w:position w:val="1"/>
        </w:rPr>
        <w:t>standard</w:t>
      </w:r>
      <w:r>
        <w:rPr>
          <w:spacing w:val="29"/>
          <w:position w:val="1"/>
        </w:rPr>
        <w:t xml:space="preserve"> </w:t>
      </w:r>
      <w:r>
        <w:rPr>
          <w:position w:val="1"/>
        </w:rPr>
        <w:t>requires</w:t>
      </w:r>
      <w:r>
        <w:rPr>
          <w:spacing w:val="33"/>
          <w:position w:val="1"/>
        </w:rPr>
        <w:t xml:space="preserve"> </w:t>
      </w:r>
      <w:r>
        <w:rPr>
          <w:position w:val="1"/>
        </w:rPr>
        <w:t>a</w:t>
      </w:r>
      <w:r>
        <w:rPr>
          <w:spacing w:val="31"/>
          <w:position w:val="1"/>
        </w:rPr>
        <w:t xml:space="preserve"> </w:t>
      </w:r>
      <w:r>
        <w:rPr>
          <w:position w:val="1"/>
        </w:rPr>
        <w:t>case-by-case</w:t>
      </w:r>
      <w:r>
        <w:rPr>
          <w:spacing w:val="31"/>
          <w:position w:val="1"/>
        </w:rPr>
        <w:t xml:space="preserve"> </w:t>
      </w:r>
      <w:r>
        <w:rPr>
          <w:position w:val="1"/>
        </w:rPr>
        <w:t>assessment,</w:t>
      </w:r>
      <w:hyperlink w:anchor="_bookmark19" w:history="1">
        <w:r>
          <w:rPr>
            <w:position w:val="1"/>
            <w:vertAlign w:val="superscript"/>
          </w:rPr>
          <w:t>9</w:t>
        </w:r>
      </w:hyperlink>
      <w:r>
        <w:rPr>
          <w:spacing w:val="32"/>
          <w:position w:val="1"/>
        </w:rPr>
        <w:t xml:space="preserve"> </w:t>
      </w:r>
      <w:r>
        <w:rPr>
          <w:position w:val="1"/>
        </w:rPr>
        <w:t>considering</w:t>
      </w:r>
      <w:r>
        <w:rPr>
          <w:spacing w:val="32"/>
          <w:position w:val="1"/>
        </w:rPr>
        <w:t xml:space="preserve"> </w:t>
      </w:r>
      <w:r>
        <w:rPr>
          <w:position w:val="1"/>
        </w:rPr>
        <w:t xml:space="preserve">the </w:t>
      </w:r>
      <w:r>
        <w:t>narrative</w:t>
      </w:r>
      <w:r>
        <w:rPr>
          <w:spacing w:val="26"/>
        </w:rPr>
        <w:t xml:space="preserve"> </w:t>
      </w:r>
      <w:r>
        <w:t>of</w:t>
      </w:r>
      <w:r>
        <w:rPr>
          <w:spacing w:val="30"/>
        </w:rPr>
        <w:t xml:space="preserve"> </w:t>
      </w:r>
      <w:r>
        <w:t>the</w:t>
      </w:r>
      <w:r>
        <w:rPr>
          <w:spacing w:val="26"/>
        </w:rPr>
        <w:t xml:space="preserve"> </w:t>
      </w:r>
      <w:r>
        <w:t>panel</w:t>
      </w:r>
      <w:r>
        <w:rPr>
          <w:spacing w:val="29"/>
        </w:rPr>
        <w:t xml:space="preserve"> </w:t>
      </w:r>
      <w:r>
        <w:t>request</w:t>
      </w:r>
      <w:r>
        <w:rPr>
          <w:spacing w:val="28"/>
        </w:rPr>
        <w:t xml:space="preserve"> </w:t>
      </w:r>
      <w:r>
        <w:t>as</w:t>
      </w:r>
      <w:r>
        <w:rPr>
          <w:spacing w:val="28"/>
        </w:rPr>
        <w:t xml:space="preserve"> </w:t>
      </w:r>
      <w:r>
        <w:t>a</w:t>
      </w:r>
      <w:r>
        <w:rPr>
          <w:spacing w:val="27"/>
        </w:rPr>
        <w:t xml:space="preserve"> </w:t>
      </w:r>
      <w:r>
        <w:t>whole,</w:t>
      </w:r>
      <w:r>
        <w:rPr>
          <w:spacing w:val="28"/>
        </w:rPr>
        <w:t xml:space="preserve"> </w:t>
      </w:r>
      <w:r>
        <w:t>the</w:t>
      </w:r>
      <w:r>
        <w:rPr>
          <w:spacing w:val="27"/>
        </w:rPr>
        <w:t xml:space="preserve"> </w:t>
      </w:r>
      <w:r>
        <w:t>obligation</w:t>
      </w:r>
      <w:r>
        <w:rPr>
          <w:spacing w:val="25"/>
        </w:rPr>
        <w:t xml:space="preserve"> </w:t>
      </w:r>
      <w:r>
        <w:t>infringed,</w:t>
      </w:r>
      <w:r>
        <w:rPr>
          <w:spacing w:val="28"/>
        </w:rPr>
        <w:t xml:space="preserve"> </w:t>
      </w:r>
      <w:r>
        <w:t>and</w:t>
      </w:r>
      <w:r>
        <w:rPr>
          <w:spacing w:val="25"/>
        </w:rPr>
        <w:t xml:space="preserve"> </w:t>
      </w:r>
      <w:r>
        <w:t>the</w:t>
      </w:r>
      <w:r>
        <w:rPr>
          <w:spacing w:val="31"/>
        </w:rPr>
        <w:t xml:space="preserve"> </w:t>
      </w:r>
      <w:r>
        <w:t>nature</w:t>
      </w:r>
      <w:r>
        <w:rPr>
          <w:spacing w:val="27"/>
        </w:rPr>
        <w:t xml:space="preserve"> </w:t>
      </w:r>
      <w:r>
        <w:t>of</w:t>
      </w:r>
      <w:r>
        <w:rPr>
          <w:spacing w:val="26"/>
        </w:rPr>
        <w:t xml:space="preserve"> </w:t>
      </w:r>
      <w:r>
        <w:rPr>
          <w:spacing w:val="-5"/>
        </w:rPr>
        <w:t>the</w:t>
      </w:r>
    </w:p>
    <w:p w14:paraId="40604D99" w14:textId="77777777" w:rsidR="00BD462C" w:rsidRDefault="00BD462C">
      <w:pPr>
        <w:pStyle w:val="BodyText"/>
        <w:rPr>
          <w:sz w:val="20"/>
        </w:rPr>
      </w:pPr>
    </w:p>
    <w:p w14:paraId="5DA8C614" w14:textId="756CD72F" w:rsidR="00BD462C" w:rsidRDefault="00A9044D">
      <w:pPr>
        <w:pStyle w:val="BodyText"/>
        <w:spacing w:before="4"/>
        <w:rPr>
          <w:sz w:val="17"/>
        </w:rPr>
      </w:pPr>
      <w:r>
        <w:rPr>
          <w:noProof/>
        </w:rPr>
        <mc:AlternateContent>
          <mc:Choice Requires="wps">
            <w:drawing>
              <wp:anchor distT="0" distB="0" distL="0" distR="0" simplePos="0" relativeHeight="487934464" behindDoc="1" locked="0" layoutInCell="1" allowOverlap="1" wp14:anchorId="6B882DEB" wp14:editId="62567659">
                <wp:simplePos x="0" y="0"/>
                <wp:positionH relativeFrom="page">
                  <wp:posOffset>812800</wp:posOffset>
                </wp:positionH>
                <wp:positionV relativeFrom="paragraph">
                  <wp:posOffset>132715</wp:posOffset>
                </wp:positionV>
                <wp:extent cx="1828800" cy="8890"/>
                <wp:effectExtent l="0" t="0" r="0" b="0"/>
                <wp:wrapTopAndBottom/>
                <wp:docPr id="1458" name="docshape2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2478CA" id="docshape281" o:spid="_x0000_s1026" alt="&quot;&quot;" style="position:absolute;margin-left:64pt;margin-top:10.45pt;width:2in;height:.7pt;z-index:-1538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" fillcolor="black" stroked="f">
                <w10:wrap type="topAndBottom" anchorx="page"/>
              </v:rect>
            </w:pict>
          </mc:Fallback>
        </mc:AlternateContent>
      </w:r>
    </w:p>
    <w:p w14:paraId="2EC3D20C" w14:textId="77777777" w:rsidR="00BD462C" w:rsidRDefault="00033D0F">
      <w:pPr>
        <w:spacing w:before="112"/>
        <w:ind w:left="135"/>
        <w:rPr>
          <w:sz w:val="18"/>
        </w:rPr>
      </w:pPr>
      <w:bookmarkStart w:id="20" w:name="_bookmark11"/>
      <w:bookmarkEnd w:id="20"/>
      <w:r>
        <w:rPr>
          <w:position w:val="5"/>
          <w:sz w:val="12"/>
        </w:rPr>
        <w:t>1</w:t>
      </w:r>
      <w:r>
        <w:rPr>
          <w:spacing w:val="12"/>
          <w:position w:val="5"/>
          <w:sz w:val="12"/>
        </w:rPr>
        <w:t xml:space="preserve"> </w:t>
      </w:r>
      <w:r>
        <w:rPr>
          <w:sz w:val="18"/>
        </w:rPr>
        <w:t>China's</w:t>
      </w:r>
      <w:r>
        <w:rPr>
          <w:spacing w:val="-7"/>
          <w:sz w:val="18"/>
        </w:rPr>
        <w:t xml:space="preserve"> </w:t>
      </w:r>
      <w:r>
        <w:rPr>
          <w:sz w:val="18"/>
        </w:rPr>
        <w:t>first</w:t>
      </w:r>
      <w:r>
        <w:rPr>
          <w:spacing w:val="-5"/>
          <w:sz w:val="18"/>
        </w:rPr>
        <w:t xml:space="preserve"> </w:t>
      </w:r>
      <w:r>
        <w:rPr>
          <w:sz w:val="18"/>
        </w:rPr>
        <w:t>written</w:t>
      </w:r>
      <w:r>
        <w:rPr>
          <w:spacing w:val="-8"/>
          <w:sz w:val="18"/>
        </w:rPr>
        <w:t xml:space="preserve"> </w:t>
      </w:r>
      <w:r>
        <w:rPr>
          <w:sz w:val="18"/>
        </w:rPr>
        <w:t>submission, paras.</w:t>
      </w:r>
      <w:r>
        <w:rPr>
          <w:spacing w:val="-5"/>
          <w:sz w:val="18"/>
        </w:rPr>
        <w:t xml:space="preserve"> </w:t>
      </w:r>
      <w:r>
        <w:rPr>
          <w:sz w:val="18"/>
        </w:rPr>
        <w:t>29,</w:t>
      </w:r>
      <w:r>
        <w:rPr>
          <w:spacing w:val="-5"/>
          <w:sz w:val="18"/>
        </w:rPr>
        <w:t xml:space="preserve"> </w:t>
      </w:r>
      <w:r>
        <w:rPr>
          <w:sz w:val="18"/>
        </w:rPr>
        <w:t>45, 135-</w:t>
      </w:r>
      <w:r>
        <w:rPr>
          <w:spacing w:val="-4"/>
          <w:sz w:val="18"/>
        </w:rPr>
        <w:t>159.</w:t>
      </w:r>
    </w:p>
    <w:p w14:paraId="295DD59A" w14:textId="77777777" w:rsidR="00BD462C" w:rsidRDefault="00033D0F">
      <w:pPr>
        <w:spacing w:before="1"/>
        <w:ind w:left="135"/>
        <w:rPr>
          <w:sz w:val="18"/>
        </w:rPr>
      </w:pPr>
      <w:bookmarkStart w:id="21" w:name="_bookmark12"/>
      <w:bookmarkEnd w:id="21"/>
      <w:r>
        <w:rPr>
          <w:position w:val="5"/>
          <w:sz w:val="12"/>
        </w:rPr>
        <w:t>2</w:t>
      </w:r>
      <w:r>
        <w:rPr>
          <w:spacing w:val="13"/>
          <w:position w:val="5"/>
          <w:sz w:val="12"/>
        </w:rPr>
        <w:t xml:space="preserve"> </w:t>
      </w:r>
      <w:r>
        <w:rPr>
          <w:sz w:val="18"/>
        </w:rPr>
        <w:t>Australia's</w:t>
      </w:r>
      <w:r>
        <w:rPr>
          <w:spacing w:val="-1"/>
          <w:sz w:val="18"/>
        </w:rPr>
        <w:t xml:space="preserve"> </w:t>
      </w:r>
      <w:r>
        <w:rPr>
          <w:sz w:val="18"/>
        </w:rPr>
        <w:t>response</w:t>
      </w:r>
      <w:r>
        <w:rPr>
          <w:spacing w:val="-5"/>
          <w:sz w:val="18"/>
        </w:rPr>
        <w:t xml:space="preserve"> </w:t>
      </w:r>
      <w:r>
        <w:rPr>
          <w:sz w:val="18"/>
        </w:rPr>
        <w:t>to</w:t>
      </w:r>
      <w:r>
        <w:rPr>
          <w:spacing w:val="-2"/>
          <w:sz w:val="18"/>
        </w:rPr>
        <w:t xml:space="preserve"> </w:t>
      </w:r>
      <w:r>
        <w:rPr>
          <w:sz w:val="18"/>
        </w:rPr>
        <w:t>China's</w:t>
      </w:r>
      <w:r>
        <w:rPr>
          <w:spacing w:val="-5"/>
          <w:sz w:val="18"/>
        </w:rPr>
        <w:t xml:space="preserve"> </w:t>
      </w:r>
      <w:r>
        <w:rPr>
          <w:sz w:val="18"/>
        </w:rPr>
        <w:t>PRR,</w:t>
      </w:r>
      <w:r>
        <w:rPr>
          <w:spacing w:val="-3"/>
          <w:sz w:val="18"/>
        </w:rPr>
        <w:t xml:space="preserve"> </w:t>
      </w:r>
      <w:r>
        <w:rPr>
          <w:sz w:val="18"/>
        </w:rPr>
        <w:t>paras.</w:t>
      </w:r>
      <w:r>
        <w:rPr>
          <w:spacing w:val="-5"/>
          <w:sz w:val="18"/>
        </w:rPr>
        <w:t xml:space="preserve"> </w:t>
      </w:r>
      <w:r>
        <w:rPr>
          <w:sz w:val="18"/>
        </w:rPr>
        <w:t>28-35;</w:t>
      </w:r>
      <w:r>
        <w:rPr>
          <w:spacing w:val="-7"/>
          <w:sz w:val="18"/>
        </w:rPr>
        <w:t xml:space="preserve"> </w:t>
      </w:r>
      <w:r>
        <w:rPr>
          <w:sz w:val="18"/>
        </w:rPr>
        <w:t>36-</w:t>
      </w:r>
      <w:r>
        <w:rPr>
          <w:spacing w:val="-5"/>
          <w:sz w:val="18"/>
        </w:rPr>
        <w:t>41.</w:t>
      </w:r>
    </w:p>
    <w:p w14:paraId="0FD8341D" w14:textId="77777777" w:rsidR="00BD462C" w:rsidRDefault="00033D0F">
      <w:pPr>
        <w:spacing w:before="4" w:line="235" w:lineRule="auto"/>
        <w:ind w:left="136" w:right="923" w:hanging="1"/>
        <w:rPr>
          <w:sz w:val="18"/>
        </w:rPr>
      </w:pPr>
      <w:bookmarkStart w:id="22" w:name="_bookmark13"/>
      <w:bookmarkEnd w:id="22"/>
      <w:r>
        <w:rPr>
          <w:position w:val="5"/>
          <w:sz w:val="12"/>
        </w:rPr>
        <w:t>3</w:t>
      </w:r>
      <w:r>
        <w:rPr>
          <w:spacing w:val="20"/>
          <w:position w:val="5"/>
          <w:sz w:val="12"/>
        </w:rPr>
        <w:t xml:space="preserve"> </w:t>
      </w:r>
      <w:r>
        <w:rPr>
          <w:sz w:val="18"/>
        </w:rPr>
        <w:t>See Australia's response to China's PRR, para. 26 and footnotes thereto; Appellate Body</w:t>
      </w:r>
      <w:r>
        <w:rPr>
          <w:spacing w:val="-1"/>
          <w:sz w:val="18"/>
        </w:rPr>
        <w:t xml:space="preserve"> </w:t>
      </w:r>
      <w:r>
        <w:rPr>
          <w:sz w:val="18"/>
        </w:rPr>
        <w:t xml:space="preserve">Reports, </w:t>
      </w:r>
      <w:r>
        <w:rPr>
          <w:i/>
          <w:sz w:val="18"/>
        </w:rPr>
        <w:t>US</w:t>
      </w:r>
      <w:r>
        <w:rPr>
          <w:i/>
          <w:spacing w:val="-1"/>
          <w:sz w:val="18"/>
        </w:rPr>
        <w:t xml:space="preserve"> </w:t>
      </w:r>
      <w:r>
        <w:rPr>
          <w:i/>
          <w:sz w:val="18"/>
        </w:rPr>
        <w:t>– Carbon Steel</w:t>
      </w:r>
      <w:r>
        <w:rPr>
          <w:sz w:val="18"/>
        </w:rPr>
        <w:t xml:space="preserve">, para. 125; </w:t>
      </w:r>
      <w:r>
        <w:rPr>
          <w:i/>
          <w:sz w:val="18"/>
        </w:rPr>
        <w:t>Russia – Railway</w:t>
      </w:r>
      <w:r>
        <w:rPr>
          <w:i/>
          <w:spacing w:val="-1"/>
          <w:sz w:val="18"/>
        </w:rPr>
        <w:t xml:space="preserve"> </w:t>
      </w:r>
      <w:r>
        <w:rPr>
          <w:i/>
          <w:sz w:val="18"/>
        </w:rPr>
        <w:t>Equipment</w:t>
      </w:r>
      <w:r>
        <w:rPr>
          <w:sz w:val="18"/>
        </w:rPr>
        <w:t xml:space="preserve">, para. 5.26, </w:t>
      </w:r>
      <w:r>
        <w:rPr>
          <w:i/>
          <w:sz w:val="18"/>
        </w:rPr>
        <w:t>China – Raw Materials</w:t>
      </w:r>
      <w:r>
        <w:rPr>
          <w:sz w:val="18"/>
        </w:rPr>
        <w:t xml:space="preserve">, para. 219; </w:t>
      </w:r>
      <w:r>
        <w:rPr>
          <w:i/>
          <w:sz w:val="18"/>
        </w:rPr>
        <w:t>Korea – Dairy</w:t>
      </w:r>
      <w:r>
        <w:rPr>
          <w:sz w:val="18"/>
        </w:rPr>
        <w:t>, para. 120.</w:t>
      </w:r>
    </w:p>
    <w:p w14:paraId="7453F4BA" w14:textId="77777777" w:rsidR="00BD462C" w:rsidRDefault="00033D0F">
      <w:pPr>
        <w:spacing w:before="3"/>
        <w:ind w:left="136" w:right="910" w:hanging="1"/>
        <w:jc w:val="both"/>
        <w:rPr>
          <w:sz w:val="18"/>
        </w:rPr>
      </w:pPr>
      <w:bookmarkStart w:id="23" w:name="_bookmark14"/>
      <w:bookmarkEnd w:id="23"/>
      <w:r>
        <w:rPr>
          <w:position w:val="5"/>
          <w:sz w:val="12"/>
        </w:rPr>
        <w:t>4</w:t>
      </w:r>
      <w:r>
        <w:rPr>
          <w:spacing w:val="21"/>
          <w:position w:val="5"/>
          <w:sz w:val="12"/>
        </w:rPr>
        <w:t xml:space="preserve"> </w:t>
      </w:r>
      <w:r>
        <w:rPr>
          <w:sz w:val="18"/>
        </w:rPr>
        <w:t>Australia does not understand China to argue that the measures at issue were insufficiently clear. Australia thus proceeds on the basis that China is challenging only element (ii). Australia further notes that, in this respect, Australia agrees with China's first 'ground' that a complainant's panel request delimits the panel's terms of reference: see China's first written submission, para. 139.</w:t>
      </w:r>
    </w:p>
    <w:p w14:paraId="53E08C9D" w14:textId="77777777" w:rsidR="00BD462C" w:rsidRDefault="00033D0F">
      <w:pPr>
        <w:ind w:left="136" w:right="909" w:hanging="1"/>
        <w:jc w:val="both"/>
        <w:rPr>
          <w:sz w:val="18"/>
        </w:rPr>
      </w:pPr>
      <w:bookmarkStart w:id="24" w:name="_bookmark15"/>
      <w:bookmarkEnd w:id="24"/>
      <w:r>
        <w:rPr>
          <w:position w:val="5"/>
          <w:sz w:val="12"/>
        </w:rPr>
        <w:t>5</w:t>
      </w:r>
      <w:r>
        <w:rPr>
          <w:spacing w:val="17"/>
          <w:position w:val="5"/>
          <w:sz w:val="12"/>
        </w:rPr>
        <w:t xml:space="preserve"> </w:t>
      </w:r>
      <w:r>
        <w:rPr>
          <w:sz w:val="18"/>
        </w:rPr>
        <w:t>Appellate</w:t>
      </w:r>
      <w:r>
        <w:rPr>
          <w:spacing w:val="-3"/>
          <w:sz w:val="18"/>
        </w:rPr>
        <w:t xml:space="preserve"> </w:t>
      </w:r>
      <w:r>
        <w:rPr>
          <w:sz w:val="18"/>
        </w:rPr>
        <w:t>Body</w:t>
      </w:r>
      <w:r>
        <w:rPr>
          <w:spacing w:val="-4"/>
          <w:sz w:val="18"/>
        </w:rPr>
        <w:t xml:space="preserve"> </w:t>
      </w:r>
      <w:r>
        <w:rPr>
          <w:sz w:val="18"/>
        </w:rPr>
        <w:t xml:space="preserve">Reports, </w:t>
      </w:r>
      <w:r>
        <w:rPr>
          <w:i/>
          <w:sz w:val="18"/>
        </w:rPr>
        <w:t>Korea</w:t>
      </w:r>
      <w:r>
        <w:rPr>
          <w:i/>
          <w:spacing w:val="-1"/>
          <w:sz w:val="18"/>
        </w:rPr>
        <w:t xml:space="preserve"> </w:t>
      </w:r>
      <w:r>
        <w:rPr>
          <w:i/>
          <w:sz w:val="18"/>
        </w:rPr>
        <w:t>– Dairy</w:t>
      </w:r>
      <w:r>
        <w:rPr>
          <w:sz w:val="18"/>
        </w:rPr>
        <w:t>, para.</w:t>
      </w:r>
      <w:r>
        <w:rPr>
          <w:spacing w:val="-1"/>
          <w:sz w:val="18"/>
        </w:rPr>
        <w:t xml:space="preserve"> </w:t>
      </w:r>
      <w:r>
        <w:rPr>
          <w:sz w:val="18"/>
        </w:rPr>
        <w:t xml:space="preserve">124; </w:t>
      </w:r>
      <w:r>
        <w:rPr>
          <w:i/>
          <w:sz w:val="18"/>
        </w:rPr>
        <w:t>China –</w:t>
      </w:r>
      <w:r>
        <w:rPr>
          <w:i/>
          <w:spacing w:val="-2"/>
          <w:sz w:val="18"/>
        </w:rPr>
        <w:t xml:space="preserve"> </w:t>
      </w:r>
      <w:r>
        <w:rPr>
          <w:i/>
          <w:sz w:val="18"/>
        </w:rPr>
        <w:t>HP-SSST (Japan)</w:t>
      </w:r>
      <w:r>
        <w:rPr>
          <w:i/>
          <w:spacing w:val="-1"/>
          <w:sz w:val="18"/>
        </w:rPr>
        <w:t xml:space="preserve"> </w:t>
      </w:r>
      <w:r>
        <w:rPr>
          <w:i/>
          <w:sz w:val="18"/>
        </w:rPr>
        <w:t>/</w:t>
      </w:r>
      <w:r>
        <w:rPr>
          <w:i/>
          <w:spacing w:val="-2"/>
          <w:sz w:val="18"/>
        </w:rPr>
        <w:t xml:space="preserve"> </w:t>
      </w:r>
      <w:r>
        <w:rPr>
          <w:i/>
          <w:sz w:val="18"/>
        </w:rPr>
        <w:t>China</w:t>
      </w:r>
      <w:r>
        <w:rPr>
          <w:i/>
          <w:spacing w:val="-2"/>
          <w:sz w:val="18"/>
        </w:rPr>
        <w:t xml:space="preserve"> </w:t>
      </w:r>
      <w:r>
        <w:rPr>
          <w:i/>
          <w:sz w:val="18"/>
        </w:rPr>
        <w:t>–</w:t>
      </w:r>
      <w:r>
        <w:rPr>
          <w:i/>
          <w:spacing w:val="-2"/>
          <w:sz w:val="18"/>
        </w:rPr>
        <w:t xml:space="preserve"> </w:t>
      </w:r>
      <w:r>
        <w:rPr>
          <w:i/>
          <w:sz w:val="18"/>
        </w:rPr>
        <w:t>HP-SSST (EU)</w:t>
      </w:r>
      <w:r>
        <w:rPr>
          <w:sz w:val="18"/>
        </w:rPr>
        <w:t>, para. 5.14-5.16</w:t>
      </w:r>
      <w:r>
        <w:rPr>
          <w:spacing w:val="-4"/>
          <w:sz w:val="18"/>
        </w:rPr>
        <w:t xml:space="preserve"> </w:t>
      </w:r>
      <w:r>
        <w:rPr>
          <w:sz w:val="18"/>
        </w:rPr>
        <w:t xml:space="preserve">(quoting Appellate Body Report, </w:t>
      </w:r>
      <w:r>
        <w:rPr>
          <w:i/>
          <w:sz w:val="18"/>
        </w:rPr>
        <w:t>Korea – Pneumatic Valves</w:t>
      </w:r>
      <w:r>
        <w:rPr>
          <w:sz w:val="18"/>
        </w:rPr>
        <w:t>, para 5.5).</w:t>
      </w:r>
    </w:p>
    <w:p w14:paraId="687F456A" w14:textId="77777777" w:rsidR="00BD462C" w:rsidRDefault="00033D0F">
      <w:pPr>
        <w:spacing w:before="3" w:line="237" w:lineRule="auto"/>
        <w:ind w:left="136" w:right="909" w:hanging="1"/>
        <w:jc w:val="both"/>
        <w:rPr>
          <w:sz w:val="18"/>
        </w:rPr>
      </w:pPr>
      <w:bookmarkStart w:id="25" w:name="_bookmark16"/>
      <w:bookmarkEnd w:id="25"/>
      <w:r>
        <w:rPr>
          <w:position w:val="5"/>
          <w:sz w:val="12"/>
        </w:rPr>
        <w:t>6</w:t>
      </w:r>
      <w:r>
        <w:rPr>
          <w:spacing w:val="29"/>
          <w:position w:val="5"/>
          <w:sz w:val="12"/>
        </w:rPr>
        <w:t xml:space="preserve"> </w:t>
      </w:r>
      <w:r>
        <w:rPr>
          <w:sz w:val="18"/>
        </w:rPr>
        <w:t>Australia's response to China's PRR, paras. 7, 12, 137, 142, 161, 190, 218, 232 and footnotes thereto; particularly noting Appellate</w:t>
      </w:r>
      <w:r>
        <w:rPr>
          <w:spacing w:val="-2"/>
          <w:sz w:val="18"/>
        </w:rPr>
        <w:t xml:space="preserve"> </w:t>
      </w:r>
      <w:r>
        <w:rPr>
          <w:sz w:val="18"/>
        </w:rPr>
        <w:t>Body</w:t>
      </w:r>
      <w:r>
        <w:rPr>
          <w:spacing w:val="-4"/>
          <w:sz w:val="18"/>
        </w:rPr>
        <w:t xml:space="preserve"> </w:t>
      </w:r>
      <w:r>
        <w:rPr>
          <w:sz w:val="18"/>
        </w:rPr>
        <w:t>Report,</w:t>
      </w:r>
      <w:r>
        <w:rPr>
          <w:spacing w:val="-5"/>
          <w:sz w:val="18"/>
        </w:rPr>
        <w:t xml:space="preserve"> </w:t>
      </w:r>
      <w:r>
        <w:rPr>
          <w:i/>
          <w:sz w:val="18"/>
        </w:rPr>
        <w:t>China</w:t>
      </w:r>
      <w:r>
        <w:rPr>
          <w:i/>
          <w:spacing w:val="-1"/>
          <w:sz w:val="18"/>
        </w:rPr>
        <w:t xml:space="preserve"> </w:t>
      </w:r>
      <w:r>
        <w:rPr>
          <w:i/>
          <w:sz w:val="18"/>
        </w:rPr>
        <w:t>–</w:t>
      </w:r>
      <w:r>
        <w:rPr>
          <w:i/>
          <w:spacing w:val="-7"/>
          <w:sz w:val="18"/>
        </w:rPr>
        <w:t xml:space="preserve"> </w:t>
      </w:r>
      <w:r>
        <w:rPr>
          <w:i/>
          <w:sz w:val="18"/>
        </w:rPr>
        <w:t>HP-SSST (Japan)</w:t>
      </w:r>
      <w:r>
        <w:rPr>
          <w:i/>
          <w:spacing w:val="-1"/>
          <w:sz w:val="18"/>
        </w:rPr>
        <w:t xml:space="preserve"> </w:t>
      </w:r>
      <w:r>
        <w:rPr>
          <w:i/>
          <w:sz w:val="18"/>
        </w:rPr>
        <w:t>/</w:t>
      </w:r>
      <w:r>
        <w:rPr>
          <w:i/>
          <w:spacing w:val="-6"/>
          <w:sz w:val="18"/>
        </w:rPr>
        <w:t xml:space="preserve"> </w:t>
      </w:r>
      <w:r>
        <w:rPr>
          <w:i/>
          <w:sz w:val="18"/>
        </w:rPr>
        <w:t>China</w:t>
      </w:r>
      <w:r>
        <w:rPr>
          <w:i/>
          <w:spacing w:val="-1"/>
          <w:sz w:val="18"/>
        </w:rPr>
        <w:t xml:space="preserve"> </w:t>
      </w:r>
      <w:r>
        <w:rPr>
          <w:i/>
          <w:sz w:val="18"/>
        </w:rPr>
        <w:t>–</w:t>
      </w:r>
      <w:r>
        <w:rPr>
          <w:i/>
          <w:spacing w:val="-7"/>
          <w:sz w:val="18"/>
        </w:rPr>
        <w:t xml:space="preserve"> </w:t>
      </w:r>
      <w:r>
        <w:rPr>
          <w:i/>
          <w:sz w:val="18"/>
        </w:rPr>
        <w:t>HP-SSST</w:t>
      </w:r>
      <w:r>
        <w:rPr>
          <w:i/>
          <w:spacing w:val="-5"/>
          <w:sz w:val="18"/>
        </w:rPr>
        <w:t xml:space="preserve"> </w:t>
      </w:r>
      <w:r>
        <w:rPr>
          <w:i/>
          <w:sz w:val="18"/>
        </w:rPr>
        <w:t>(EU)</w:t>
      </w:r>
      <w:r>
        <w:rPr>
          <w:sz w:val="18"/>
        </w:rPr>
        <w:t>, paras.</w:t>
      </w:r>
      <w:r>
        <w:rPr>
          <w:spacing w:val="-1"/>
          <w:sz w:val="18"/>
        </w:rPr>
        <w:t xml:space="preserve"> </w:t>
      </w:r>
      <w:r>
        <w:rPr>
          <w:sz w:val="18"/>
        </w:rPr>
        <w:t>5.14-5.16</w:t>
      </w:r>
      <w:r>
        <w:rPr>
          <w:spacing w:val="-9"/>
          <w:sz w:val="18"/>
        </w:rPr>
        <w:t xml:space="preserve"> </w:t>
      </w:r>
      <w:r>
        <w:rPr>
          <w:sz w:val="18"/>
        </w:rPr>
        <w:t>("notifying</w:t>
      </w:r>
      <w:r>
        <w:rPr>
          <w:spacing w:val="-2"/>
          <w:sz w:val="18"/>
        </w:rPr>
        <w:t xml:space="preserve"> </w:t>
      </w:r>
      <w:r>
        <w:rPr>
          <w:sz w:val="18"/>
        </w:rPr>
        <w:t>[parties]</w:t>
      </w:r>
      <w:r>
        <w:rPr>
          <w:spacing w:val="-1"/>
          <w:sz w:val="18"/>
        </w:rPr>
        <w:t xml:space="preserve"> </w:t>
      </w:r>
      <w:r>
        <w:rPr>
          <w:sz w:val="18"/>
        </w:rPr>
        <w:t>of</w:t>
      </w:r>
      <w:r>
        <w:rPr>
          <w:spacing w:val="-6"/>
          <w:sz w:val="18"/>
        </w:rPr>
        <w:t xml:space="preserve"> </w:t>
      </w:r>
      <w:r>
        <w:rPr>
          <w:sz w:val="18"/>
        </w:rPr>
        <w:t>the</w:t>
      </w:r>
      <w:r>
        <w:rPr>
          <w:spacing w:val="-2"/>
          <w:sz w:val="18"/>
        </w:rPr>
        <w:t xml:space="preserve"> </w:t>
      </w:r>
      <w:r>
        <w:rPr>
          <w:sz w:val="18"/>
        </w:rPr>
        <w:t>nature</w:t>
      </w:r>
      <w:r>
        <w:rPr>
          <w:spacing w:val="-7"/>
          <w:sz w:val="18"/>
        </w:rPr>
        <w:t xml:space="preserve"> </w:t>
      </w:r>
      <w:r>
        <w:rPr>
          <w:sz w:val="18"/>
        </w:rPr>
        <w:t>of the complainant's case"). See also China first written submission, paras. 89-90.</w:t>
      </w:r>
    </w:p>
    <w:p w14:paraId="7596E04D" w14:textId="77777777" w:rsidR="00BD462C" w:rsidRDefault="00033D0F">
      <w:pPr>
        <w:spacing w:before="3"/>
        <w:ind w:left="135"/>
        <w:jc w:val="both"/>
        <w:rPr>
          <w:sz w:val="18"/>
        </w:rPr>
      </w:pPr>
      <w:bookmarkStart w:id="26" w:name="_bookmark17"/>
      <w:bookmarkEnd w:id="26"/>
      <w:r>
        <w:rPr>
          <w:position w:val="5"/>
          <w:sz w:val="12"/>
        </w:rPr>
        <w:t>7</w:t>
      </w:r>
      <w:r>
        <w:rPr>
          <w:spacing w:val="13"/>
          <w:position w:val="5"/>
          <w:sz w:val="12"/>
        </w:rPr>
        <w:t xml:space="preserve"> </w:t>
      </w:r>
      <w:r>
        <w:rPr>
          <w:sz w:val="18"/>
        </w:rPr>
        <w:t>See</w:t>
      </w:r>
      <w:r>
        <w:rPr>
          <w:spacing w:val="-5"/>
          <w:sz w:val="18"/>
        </w:rPr>
        <w:t xml:space="preserve"> </w:t>
      </w:r>
      <w:r>
        <w:rPr>
          <w:sz w:val="18"/>
        </w:rPr>
        <w:t>Australia's response</w:t>
      </w:r>
      <w:r>
        <w:rPr>
          <w:spacing w:val="-5"/>
          <w:sz w:val="18"/>
        </w:rPr>
        <w:t xml:space="preserve"> </w:t>
      </w:r>
      <w:r>
        <w:rPr>
          <w:sz w:val="18"/>
        </w:rPr>
        <w:t>to</w:t>
      </w:r>
      <w:r>
        <w:rPr>
          <w:spacing w:val="-2"/>
          <w:sz w:val="18"/>
        </w:rPr>
        <w:t xml:space="preserve"> </w:t>
      </w:r>
      <w:r>
        <w:rPr>
          <w:sz w:val="18"/>
        </w:rPr>
        <w:t>China's</w:t>
      </w:r>
      <w:r>
        <w:rPr>
          <w:spacing w:val="-4"/>
          <w:sz w:val="18"/>
        </w:rPr>
        <w:t xml:space="preserve"> </w:t>
      </w:r>
      <w:r>
        <w:rPr>
          <w:sz w:val="18"/>
        </w:rPr>
        <w:t>PRR,</w:t>
      </w:r>
      <w:r>
        <w:rPr>
          <w:spacing w:val="-4"/>
          <w:sz w:val="18"/>
        </w:rPr>
        <w:t xml:space="preserve"> </w:t>
      </w:r>
      <w:r>
        <w:rPr>
          <w:sz w:val="18"/>
        </w:rPr>
        <w:t>paras.</w:t>
      </w:r>
      <w:r>
        <w:rPr>
          <w:spacing w:val="-4"/>
          <w:sz w:val="18"/>
        </w:rPr>
        <w:t xml:space="preserve"> </w:t>
      </w:r>
      <w:r>
        <w:rPr>
          <w:sz w:val="18"/>
        </w:rPr>
        <w:t>18-</w:t>
      </w:r>
      <w:r>
        <w:rPr>
          <w:spacing w:val="-5"/>
          <w:sz w:val="18"/>
        </w:rPr>
        <w:t>23.</w:t>
      </w:r>
    </w:p>
    <w:p w14:paraId="3827E049" w14:textId="77777777" w:rsidR="00BD462C" w:rsidRDefault="00033D0F">
      <w:pPr>
        <w:spacing w:before="2"/>
        <w:ind w:left="135"/>
        <w:jc w:val="both"/>
        <w:rPr>
          <w:sz w:val="18"/>
        </w:rPr>
      </w:pPr>
      <w:bookmarkStart w:id="27" w:name="_bookmark18"/>
      <w:bookmarkEnd w:id="27"/>
      <w:r>
        <w:rPr>
          <w:position w:val="5"/>
          <w:sz w:val="12"/>
        </w:rPr>
        <w:t>8</w:t>
      </w:r>
      <w:r>
        <w:rPr>
          <w:spacing w:val="13"/>
          <w:position w:val="5"/>
          <w:sz w:val="12"/>
        </w:rPr>
        <w:t xml:space="preserve"> </w:t>
      </w:r>
      <w:r>
        <w:rPr>
          <w:sz w:val="18"/>
        </w:rPr>
        <w:t>See</w:t>
      </w:r>
      <w:r>
        <w:rPr>
          <w:spacing w:val="-5"/>
          <w:sz w:val="18"/>
        </w:rPr>
        <w:t xml:space="preserve"> </w:t>
      </w:r>
      <w:r>
        <w:rPr>
          <w:sz w:val="18"/>
        </w:rPr>
        <w:t>Australia's response</w:t>
      </w:r>
      <w:r>
        <w:rPr>
          <w:spacing w:val="-5"/>
          <w:sz w:val="18"/>
        </w:rPr>
        <w:t xml:space="preserve"> </w:t>
      </w:r>
      <w:r>
        <w:rPr>
          <w:sz w:val="18"/>
        </w:rPr>
        <w:t>to</w:t>
      </w:r>
      <w:r>
        <w:rPr>
          <w:spacing w:val="-2"/>
          <w:sz w:val="18"/>
        </w:rPr>
        <w:t xml:space="preserve"> </w:t>
      </w:r>
      <w:r>
        <w:rPr>
          <w:sz w:val="18"/>
        </w:rPr>
        <w:t>China's</w:t>
      </w:r>
      <w:r>
        <w:rPr>
          <w:spacing w:val="-4"/>
          <w:sz w:val="18"/>
        </w:rPr>
        <w:t xml:space="preserve"> </w:t>
      </w:r>
      <w:r>
        <w:rPr>
          <w:sz w:val="18"/>
        </w:rPr>
        <w:t>PRR,</w:t>
      </w:r>
      <w:r>
        <w:rPr>
          <w:spacing w:val="-4"/>
          <w:sz w:val="18"/>
        </w:rPr>
        <w:t xml:space="preserve"> </w:t>
      </w:r>
      <w:r>
        <w:rPr>
          <w:sz w:val="18"/>
        </w:rPr>
        <w:t>paras.</w:t>
      </w:r>
      <w:r>
        <w:rPr>
          <w:spacing w:val="-4"/>
          <w:sz w:val="18"/>
        </w:rPr>
        <w:t xml:space="preserve"> </w:t>
      </w:r>
      <w:r>
        <w:rPr>
          <w:sz w:val="18"/>
        </w:rPr>
        <w:t>27-</w:t>
      </w:r>
      <w:r>
        <w:rPr>
          <w:spacing w:val="-5"/>
          <w:sz w:val="18"/>
        </w:rPr>
        <w:t>34.</w:t>
      </w:r>
    </w:p>
    <w:p w14:paraId="6CD4232A" w14:textId="77777777" w:rsidR="00BD462C" w:rsidRDefault="00033D0F">
      <w:pPr>
        <w:spacing w:before="1"/>
        <w:ind w:left="136" w:right="912" w:hanging="1"/>
        <w:jc w:val="both"/>
        <w:rPr>
          <w:sz w:val="18"/>
        </w:rPr>
      </w:pPr>
      <w:bookmarkStart w:id="28" w:name="_bookmark19"/>
      <w:bookmarkEnd w:id="28"/>
      <w:r>
        <w:rPr>
          <w:position w:val="5"/>
          <w:sz w:val="12"/>
        </w:rPr>
        <w:t>9</w:t>
      </w:r>
      <w:r>
        <w:rPr>
          <w:spacing w:val="40"/>
          <w:position w:val="5"/>
          <w:sz w:val="12"/>
        </w:rPr>
        <w:t xml:space="preserve"> </w:t>
      </w:r>
      <w:r>
        <w:rPr>
          <w:sz w:val="18"/>
        </w:rPr>
        <w:t>Australia and China agree that compliance with Article 6.2 of the DSU must be determined on a case-by-case basis: Australia's response to China's PRR, para. 34; China's first written submission, paras. 962, 1681.</w:t>
      </w:r>
    </w:p>
    <w:p w14:paraId="2155E983" w14:textId="77777777" w:rsidR="00BD462C" w:rsidRDefault="00BD462C">
      <w:pPr>
        <w:jc w:val="both"/>
        <w:rPr>
          <w:sz w:val="18"/>
        </w:rPr>
        <w:sectPr w:rsidR="00BD462C">
          <w:pgSz w:w="11910" w:h="16840"/>
          <w:pgMar w:top="860" w:right="500" w:bottom="780" w:left="1280" w:header="566" w:footer="590" w:gutter="0"/>
          <w:cols w:space="720"/>
        </w:sectPr>
      </w:pPr>
    </w:p>
    <w:p w14:paraId="77EC05C0"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34A59BAC"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5051F850"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73B0054D" w14:textId="77777777" w:rsidR="00BD462C" w:rsidRDefault="00033D0F">
      <w:pPr>
        <w:pStyle w:val="BodyText"/>
        <w:spacing w:before="102" w:line="357" w:lineRule="auto"/>
        <w:ind w:left="135" w:right="910"/>
      </w:pPr>
      <w:r>
        <w:t>measure at issue.</w:t>
      </w:r>
      <w:hyperlink w:anchor="_bookmark21" w:history="1">
        <w:r>
          <w:rPr>
            <w:vertAlign w:val="superscript"/>
          </w:rPr>
          <w:t>10</w:t>
        </w:r>
      </w:hyperlink>
      <w:r>
        <w:t xml:space="preserve"> Where the connection between</w:t>
      </w:r>
      <w:r>
        <w:rPr>
          <w:spacing w:val="-2"/>
        </w:rPr>
        <w:t xml:space="preserve"> </w:t>
      </w:r>
      <w:r>
        <w:t>measure and obligation</w:t>
      </w:r>
      <w:r>
        <w:rPr>
          <w:spacing w:val="-2"/>
        </w:rPr>
        <w:t xml:space="preserve"> </w:t>
      </w:r>
      <w:r>
        <w:t>is not clear</w:t>
      </w:r>
      <w:r>
        <w:rPr>
          <w:spacing w:val="-3"/>
        </w:rPr>
        <w:t xml:space="preserve"> </w:t>
      </w:r>
      <w:r>
        <w:t>from these contextual considerations, more may be required to present the problem clearly.</w:t>
      </w:r>
      <w:hyperlink w:anchor="_bookmark22" w:history="1">
        <w:r>
          <w:rPr>
            <w:vertAlign w:val="superscript"/>
          </w:rPr>
          <w:t>11</w:t>
        </w:r>
      </w:hyperlink>
    </w:p>
    <w:p w14:paraId="42C85EEC" w14:textId="77777777" w:rsidR="00BD462C" w:rsidRDefault="00033D0F">
      <w:pPr>
        <w:pStyle w:val="ListParagraph"/>
        <w:numPr>
          <w:ilvl w:val="2"/>
          <w:numId w:val="65"/>
        </w:numPr>
        <w:tabs>
          <w:tab w:val="left" w:pos="3539"/>
          <w:tab w:val="left" w:pos="3540"/>
        </w:tabs>
        <w:spacing w:before="164"/>
        <w:ind w:hanging="851"/>
        <w:rPr>
          <w:sz w:val="24"/>
        </w:rPr>
      </w:pPr>
      <w:bookmarkStart w:id="29" w:name="(b)_China's_interpretation_of_Article_6."/>
      <w:bookmarkStart w:id="30" w:name="_bookmark20"/>
      <w:bookmarkEnd w:id="29"/>
      <w:bookmarkEnd w:id="30"/>
      <w:r>
        <w:rPr>
          <w:sz w:val="24"/>
          <w:u w:val="single"/>
        </w:rPr>
        <w:t>China's</w:t>
      </w:r>
      <w:r>
        <w:rPr>
          <w:spacing w:val="-2"/>
          <w:sz w:val="24"/>
          <w:u w:val="single"/>
        </w:rPr>
        <w:t xml:space="preserve"> </w:t>
      </w:r>
      <w:r>
        <w:rPr>
          <w:sz w:val="24"/>
          <w:u w:val="single"/>
        </w:rPr>
        <w:t>interpretation</w:t>
      </w:r>
      <w:r>
        <w:rPr>
          <w:spacing w:val="-4"/>
          <w:sz w:val="24"/>
          <w:u w:val="single"/>
        </w:rPr>
        <w:t xml:space="preserve"> </w:t>
      </w:r>
      <w:r>
        <w:rPr>
          <w:sz w:val="24"/>
          <w:u w:val="single"/>
        </w:rPr>
        <w:t>of</w:t>
      </w:r>
      <w:r>
        <w:rPr>
          <w:spacing w:val="-4"/>
          <w:sz w:val="24"/>
          <w:u w:val="single"/>
        </w:rPr>
        <w:t xml:space="preserve"> </w:t>
      </w:r>
      <w:r>
        <w:rPr>
          <w:sz w:val="24"/>
          <w:u w:val="single"/>
        </w:rPr>
        <w:t>Article</w:t>
      </w:r>
      <w:r>
        <w:rPr>
          <w:spacing w:val="-2"/>
          <w:sz w:val="24"/>
          <w:u w:val="single"/>
        </w:rPr>
        <w:t xml:space="preserve"> </w:t>
      </w:r>
      <w:r>
        <w:rPr>
          <w:sz w:val="24"/>
          <w:u w:val="single"/>
        </w:rPr>
        <w:t>6.2</w:t>
      </w:r>
      <w:r>
        <w:rPr>
          <w:spacing w:val="-5"/>
          <w:sz w:val="24"/>
          <w:u w:val="single"/>
        </w:rPr>
        <w:t xml:space="preserve"> </w:t>
      </w:r>
      <w:r>
        <w:rPr>
          <w:sz w:val="24"/>
          <w:u w:val="single"/>
        </w:rPr>
        <w:t>is</w:t>
      </w:r>
      <w:r>
        <w:rPr>
          <w:spacing w:val="-1"/>
          <w:sz w:val="24"/>
          <w:u w:val="single"/>
        </w:rPr>
        <w:t xml:space="preserve"> </w:t>
      </w:r>
      <w:r>
        <w:rPr>
          <w:spacing w:val="-2"/>
          <w:sz w:val="24"/>
          <w:u w:val="single"/>
        </w:rPr>
        <w:t>incorrect</w:t>
      </w:r>
    </w:p>
    <w:p w14:paraId="1BEE58A1" w14:textId="77777777" w:rsidR="00BD462C" w:rsidRDefault="00BD462C">
      <w:pPr>
        <w:pStyle w:val="BodyText"/>
        <w:spacing w:before="11"/>
        <w:rPr>
          <w:sz w:val="20"/>
        </w:rPr>
      </w:pPr>
    </w:p>
    <w:p w14:paraId="21CAEA9D" w14:textId="7A8DC9C4" w:rsidR="00BD462C" w:rsidRDefault="00033D0F" w:rsidP="002C3E13">
      <w:pPr>
        <w:pStyle w:val="BodyText"/>
        <w:numPr>
          <w:ilvl w:val="0"/>
          <w:numId w:val="68"/>
        </w:numPr>
        <w:spacing w:before="56" w:line="357" w:lineRule="auto"/>
        <w:ind w:right="918"/>
        <w:jc w:val="both"/>
      </w:pPr>
      <w:r>
        <w:rPr>
          <w:position w:val="1"/>
        </w:rPr>
        <w:t>In</w:t>
      </w:r>
      <w:r>
        <w:rPr>
          <w:spacing w:val="-14"/>
          <w:position w:val="1"/>
        </w:rPr>
        <w:t xml:space="preserve"> </w:t>
      </w:r>
      <w:r>
        <w:rPr>
          <w:position w:val="1"/>
        </w:rPr>
        <w:t>response,</w:t>
      </w:r>
      <w:r>
        <w:rPr>
          <w:spacing w:val="-10"/>
          <w:position w:val="1"/>
        </w:rPr>
        <w:t xml:space="preserve"> </w:t>
      </w:r>
      <w:r>
        <w:rPr>
          <w:position w:val="1"/>
        </w:rPr>
        <w:t>China</w:t>
      </w:r>
      <w:r>
        <w:rPr>
          <w:spacing w:val="-13"/>
          <w:position w:val="1"/>
        </w:rPr>
        <w:t xml:space="preserve"> </w:t>
      </w:r>
      <w:r>
        <w:rPr>
          <w:position w:val="1"/>
        </w:rPr>
        <w:t>continues</w:t>
      </w:r>
      <w:r>
        <w:rPr>
          <w:spacing w:val="-14"/>
          <w:position w:val="1"/>
        </w:rPr>
        <w:t xml:space="preserve"> </w:t>
      </w:r>
      <w:r>
        <w:rPr>
          <w:position w:val="1"/>
        </w:rPr>
        <w:t>to</w:t>
      </w:r>
      <w:r>
        <w:rPr>
          <w:spacing w:val="-14"/>
          <w:position w:val="1"/>
        </w:rPr>
        <w:t xml:space="preserve"> </w:t>
      </w:r>
      <w:r>
        <w:rPr>
          <w:position w:val="1"/>
        </w:rPr>
        <w:t>argue</w:t>
      </w:r>
      <w:r>
        <w:rPr>
          <w:spacing w:val="-12"/>
          <w:position w:val="1"/>
        </w:rPr>
        <w:t xml:space="preserve"> </w:t>
      </w:r>
      <w:r>
        <w:rPr>
          <w:position w:val="1"/>
        </w:rPr>
        <w:t>that</w:t>
      </w:r>
      <w:r>
        <w:rPr>
          <w:spacing w:val="-12"/>
          <w:position w:val="1"/>
        </w:rPr>
        <w:t xml:space="preserve"> </w:t>
      </w:r>
      <w:r>
        <w:rPr>
          <w:position w:val="1"/>
        </w:rPr>
        <w:t>the</w:t>
      </w:r>
      <w:r>
        <w:rPr>
          <w:spacing w:val="-13"/>
          <w:position w:val="1"/>
        </w:rPr>
        <w:t xml:space="preserve"> </w:t>
      </w:r>
      <w:r>
        <w:rPr>
          <w:position w:val="1"/>
        </w:rPr>
        <w:t>Panel</w:t>
      </w:r>
      <w:r>
        <w:rPr>
          <w:spacing w:val="-11"/>
          <w:position w:val="1"/>
        </w:rPr>
        <w:t xml:space="preserve"> </w:t>
      </w:r>
      <w:r>
        <w:rPr>
          <w:position w:val="1"/>
        </w:rPr>
        <w:t>should</w:t>
      </w:r>
      <w:r>
        <w:rPr>
          <w:spacing w:val="-14"/>
          <w:position w:val="1"/>
        </w:rPr>
        <w:t xml:space="preserve"> </w:t>
      </w:r>
      <w:r>
        <w:rPr>
          <w:position w:val="1"/>
        </w:rPr>
        <w:t>adopt</w:t>
      </w:r>
      <w:r>
        <w:rPr>
          <w:spacing w:val="-11"/>
          <w:position w:val="1"/>
        </w:rPr>
        <w:t xml:space="preserve"> </w:t>
      </w:r>
      <w:r>
        <w:rPr>
          <w:position w:val="1"/>
        </w:rPr>
        <w:t>not</w:t>
      </w:r>
      <w:r>
        <w:rPr>
          <w:spacing w:val="-12"/>
          <w:position w:val="1"/>
        </w:rPr>
        <w:t xml:space="preserve"> </w:t>
      </w:r>
      <w:r>
        <w:rPr>
          <w:position w:val="1"/>
        </w:rPr>
        <w:t>only</w:t>
      </w:r>
      <w:r>
        <w:rPr>
          <w:spacing w:val="-12"/>
          <w:position w:val="1"/>
        </w:rPr>
        <w:t xml:space="preserve"> </w:t>
      </w:r>
      <w:r>
        <w:rPr>
          <w:position w:val="1"/>
        </w:rPr>
        <w:t>a</w:t>
      </w:r>
      <w:r>
        <w:rPr>
          <w:spacing w:val="-13"/>
          <w:position w:val="1"/>
        </w:rPr>
        <w:t xml:space="preserve"> </w:t>
      </w:r>
      <w:r>
        <w:rPr>
          <w:position w:val="1"/>
        </w:rPr>
        <w:t xml:space="preserve">different </w:t>
      </w:r>
      <w:r>
        <w:t xml:space="preserve">standard to that set out by Australia and supported by prior panels and the Appellate Body, but one that the Appellate Body has </w:t>
      </w:r>
      <w:r>
        <w:rPr>
          <w:i/>
        </w:rPr>
        <w:t xml:space="preserve">expressly </w:t>
      </w:r>
      <w:r>
        <w:t>found to be incorrect.</w:t>
      </w:r>
      <w:r>
        <w:rPr>
          <w:spacing w:val="-29"/>
        </w:rPr>
        <w:t xml:space="preserve"> </w:t>
      </w:r>
      <w:hyperlink w:anchor="_bookmark23" w:history="1">
        <w:r>
          <w:rPr>
            <w:vertAlign w:val="superscript"/>
          </w:rPr>
          <w:t>12</w:t>
        </w:r>
      </w:hyperlink>
    </w:p>
    <w:p w14:paraId="00973F83" w14:textId="77777777" w:rsidR="00BD462C" w:rsidRDefault="00BD462C">
      <w:pPr>
        <w:pStyle w:val="BodyText"/>
        <w:spacing w:before="3"/>
        <w:rPr>
          <w:sz w:val="9"/>
        </w:rPr>
      </w:pPr>
    </w:p>
    <w:p w14:paraId="456C3A17" w14:textId="660637C7" w:rsidR="00BD462C" w:rsidRDefault="00033D0F" w:rsidP="002C3E13">
      <w:pPr>
        <w:pStyle w:val="BodyText"/>
        <w:numPr>
          <w:ilvl w:val="0"/>
          <w:numId w:val="68"/>
        </w:numPr>
        <w:spacing w:before="56" w:line="360" w:lineRule="auto"/>
        <w:ind w:right="914"/>
        <w:jc w:val="both"/>
      </w:pPr>
      <w:r>
        <w:rPr>
          <w:position w:val="1"/>
        </w:rPr>
        <w:t>China's</w:t>
      </w:r>
      <w:r>
        <w:rPr>
          <w:spacing w:val="-5"/>
          <w:position w:val="1"/>
        </w:rPr>
        <w:t xml:space="preserve"> </w:t>
      </w:r>
      <w:r>
        <w:rPr>
          <w:position w:val="1"/>
        </w:rPr>
        <w:t>proposition</w:t>
      </w:r>
      <w:r>
        <w:rPr>
          <w:spacing w:val="-8"/>
          <w:position w:val="1"/>
        </w:rPr>
        <w:t xml:space="preserve"> </w:t>
      </w:r>
      <w:r>
        <w:rPr>
          <w:position w:val="1"/>
        </w:rPr>
        <w:t>is</w:t>
      </w:r>
      <w:r>
        <w:rPr>
          <w:spacing w:val="-5"/>
          <w:position w:val="1"/>
        </w:rPr>
        <w:t xml:space="preserve"> </w:t>
      </w:r>
      <w:r>
        <w:rPr>
          <w:position w:val="1"/>
        </w:rPr>
        <w:t>best</w:t>
      </w:r>
      <w:r>
        <w:rPr>
          <w:spacing w:val="-6"/>
          <w:position w:val="1"/>
        </w:rPr>
        <w:t xml:space="preserve"> </w:t>
      </w:r>
      <w:r>
        <w:rPr>
          <w:position w:val="1"/>
        </w:rPr>
        <w:t>understood</w:t>
      </w:r>
      <w:r>
        <w:rPr>
          <w:spacing w:val="-3"/>
          <w:position w:val="1"/>
        </w:rPr>
        <w:t xml:space="preserve"> </w:t>
      </w:r>
      <w:r>
        <w:rPr>
          <w:position w:val="1"/>
        </w:rPr>
        <w:t>as</w:t>
      </w:r>
      <w:r>
        <w:rPr>
          <w:spacing w:val="-5"/>
          <w:position w:val="1"/>
        </w:rPr>
        <w:t xml:space="preserve"> </w:t>
      </w:r>
      <w:r>
        <w:rPr>
          <w:position w:val="1"/>
        </w:rPr>
        <w:t>an</w:t>
      </w:r>
      <w:r>
        <w:rPr>
          <w:spacing w:val="-3"/>
          <w:position w:val="1"/>
        </w:rPr>
        <w:t xml:space="preserve"> </w:t>
      </w:r>
      <w:r>
        <w:rPr>
          <w:position w:val="1"/>
        </w:rPr>
        <w:t>obligation</w:t>
      </w:r>
      <w:r>
        <w:rPr>
          <w:spacing w:val="-8"/>
          <w:position w:val="1"/>
        </w:rPr>
        <w:t xml:space="preserve"> </w:t>
      </w:r>
      <w:r>
        <w:rPr>
          <w:position w:val="1"/>
        </w:rPr>
        <w:t>to</w:t>
      </w:r>
      <w:r>
        <w:rPr>
          <w:spacing w:val="-9"/>
          <w:position w:val="1"/>
        </w:rPr>
        <w:t xml:space="preserve"> </w:t>
      </w:r>
      <w:r>
        <w:rPr>
          <w:position w:val="1"/>
        </w:rPr>
        <w:t>explain</w:t>
      </w:r>
      <w:r>
        <w:rPr>
          <w:spacing w:val="-8"/>
          <w:position w:val="1"/>
        </w:rPr>
        <w:t xml:space="preserve"> </w:t>
      </w:r>
      <w:r>
        <w:rPr>
          <w:position w:val="1"/>
        </w:rPr>
        <w:t>"how</w:t>
      </w:r>
      <w:r>
        <w:rPr>
          <w:spacing w:val="-1"/>
          <w:position w:val="1"/>
        </w:rPr>
        <w:t xml:space="preserve"> </w:t>
      </w:r>
      <w:r>
        <w:rPr>
          <w:position w:val="1"/>
        </w:rPr>
        <w:t>or</w:t>
      </w:r>
      <w:r>
        <w:rPr>
          <w:spacing w:val="-4"/>
          <w:position w:val="1"/>
        </w:rPr>
        <w:t xml:space="preserve"> </w:t>
      </w:r>
      <w:r>
        <w:rPr>
          <w:position w:val="1"/>
        </w:rPr>
        <w:t>why"</w:t>
      </w:r>
      <w:r>
        <w:rPr>
          <w:spacing w:val="-7"/>
          <w:position w:val="1"/>
        </w:rPr>
        <w:t xml:space="preserve"> </w:t>
      </w:r>
      <w:r>
        <w:rPr>
          <w:position w:val="1"/>
        </w:rPr>
        <w:t xml:space="preserve">each </w:t>
      </w:r>
      <w:r>
        <w:t>obligation was infringed in a panel request, including elaborating on specific instances of infringement.</w:t>
      </w:r>
      <w:r>
        <w:rPr>
          <w:spacing w:val="-5"/>
        </w:rPr>
        <w:t xml:space="preserve"> </w:t>
      </w:r>
      <w:r>
        <w:t>China</w:t>
      </w:r>
      <w:r>
        <w:rPr>
          <w:spacing w:val="-7"/>
        </w:rPr>
        <w:t xml:space="preserve"> </w:t>
      </w:r>
      <w:r>
        <w:t>further</w:t>
      </w:r>
      <w:r>
        <w:rPr>
          <w:spacing w:val="-4"/>
        </w:rPr>
        <w:t xml:space="preserve"> </w:t>
      </w:r>
      <w:r>
        <w:t>asserts</w:t>
      </w:r>
      <w:r>
        <w:rPr>
          <w:spacing w:val="-5"/>
        </w:rPr>
        <w:t xml:space="preserve"> </w:t>
      </w:r>
      <w:r>
        <w:t>that</w:t>
      </w:r>
      <w:r>
        <w:rPr>
          <w:spacing w:val="-6"/>
        </w:rPr>
        <w:t xml:space="preserve"> </w:t>
      </w:r>
      <w:r>
        <w:t>a</w:t>
      </w:r>
      <w:r>
        <w:rPr>
          <w:spacing w:val="-7"/>
        </w:rPr>
        <w:t xml:space="preserve"> </w:t>
      </w:r>
      <w:r>
        <w:t>complainant's</w:t>
      </w:r>
      <w:r>
        <w:rPr>
          <w:spacing w:val="-5"/>
        </w:rPr>
        <w:t xml:space="preserve"> </w:t>
      </w:r>
      <w:r>
        <w:t>panel</w:t>
      </w:r>
      <w:r>
        <w:rPr>
          <w:spacing w:val="-4"/>
        </w:rPr>
        <w:t xml:space="preserve"> </w:t>
      </w:r>
      <w:r>
        <w:t>request</w:t>
      </w:r>
      <w:r>
        <w:rPr>
          <w:spacing w:val="-6"/>
        </w:rPr>
        <w:t xml:space="preserve"> </w:t>
      </w:r>
      <w:r>
        <w:t>should</w:t>
      </w:r>
      <w:r>
        <w:rPr>
          <w:spacing w:val="-8"/>
        </w:rPr>
        <w:t xml:space="preserve"> </w:t>
      </w:r>
      <w:r>
        <w:t>allow</w:t>
      </w:r>
      <w:r>
        <w:rPr>
          <w:spacing w:val="-6"/>
        </w:rPr>
        <w:t xml:space="preserve"> </w:t>
      </w:r>
      <w:r>
        <w:t>for</w:t>
      </w:r>
      <w:r>
        <w:rPr>
          <w:spacing w:val="-4"/>
        </w:rPr>
        <w:t xml:space="preserve"> </w:t>
      </w:r>
      <w:r>
        <w:t>a</w:t>
      </w:r>
      <w:r>
        <w:rPr>
          <w:spacing w:val="-7"/>
        </w:rPr>
        <w:t xml:space="preserve"> </w:t>
      </w:r>
      <w:r>
        <w:t>"full examination" of the complainant's case.</w:t>
      </w:r>
      <w:r>
        <w:rPr>
          <w:spacing w:val="-14"/>
        </w:rPr>
        <w:t xml:space="preserve"> </w:t>
      </w:r>
      <w:hyperlink w:anchor="_bookmark24" w:history="1">
        <w:r>
          <w:rPr>
            <w:vertAlign w:val="superscript"/>
          </w:rPr>
          <w:t>13</w:t>
        </w:r>
      </w:hyperlink>
      <w:r>
        <w:t xml:space="preserve"> The alternative standard that China proposes improperly</w:t>
      </w:r>
      <w:r>
        <w:rPr>
          <w:spacing w:val="-11"/>
        </w:rPr>
        <w:t xml:space="preserve"> </w:t>
      </w:r>
      <w:r>
        <w:t>adds</w:t>
      </w:r>
      <w:r>
        <w:rPr>
          <w:spacing w:val="-10"/>
        </w:rPr>
        <w:t xml:space="preserve"> </w:t>
      </w:r>
      <w:r>
        <w:t>to</w:t>
      </w:r>
      <w:r>
        <w:rPr>
          <w:spacing w:val="-10"/>
        </w:rPr>
        <w:t xml:space="preserve"> </w:t>
      </w:r>
      <w:r>
        <w:t>the</w:t>
      </w:r>
      <w:r>
        <w:rPr>
          <w:spacing w:val="-12"/>
        </w:rPr>
        <w:t xml:space="preserve"> </w:t>
      </w:r>
      <w:r>
        <w:t>obligations</w:t>
      </w:r>
      <w:r>
        <w:rPr>
          <w:spacing w:val="-10"/>
        </w:rPr>
        <w:t xml:space="preserve"> </w:t>
      </w:r>
      <w:r>
        <w:t>on</w:t>
      </w:r>
      <w:r>
        <w:rPr>
          <w:spacing w:val="-14"/>
        </w:rPr>
        <w:t xml:space="preserve"> </w:t>
      </w:r>
      <w:r>
        <w:t>Members</w:t>
      </w:r>
      <w:r>
        <w:rPr>
          <w:spacing w:val="-9"/>
        </w:rPr>
        <w:t xml:space="preserve"> </w:t>
      </w:r>
      <w:r>
        <w:t>set</w:t>
      </w:r>
      <w:r>
        <w:rPr>
          <w:spacing w:val="-11"/>
        </w:rPr>
        <w:t xml:space="preserve"> </w:t>
      </w:r>
      <w:r>
        <w:t>forth</w:t>
      </w:r>
      <w:r>
        <w:rPr>
          <w:spacing w:val="-9"/>
        </w:rPr>
        <w:t xml:space="preserve"> </w:t>
      </w:r>
      <w:r>
        <w:t>in</w:t>
      </w:r>
      <w:r>
        <w:rPr>
          <w:spacing w:val="-14"/>
        </w:rPr>
        <w:t xml:space="preserve"> </w:t>
      </w:r>
      <w:r>
        <w:t>Article</w:t>
      </w:r>
      <w:r>
        <w:rPr>
          <w:spacing w:val="-11"/>
        </w:rPr>
        <w:t xml:space="preserve"> </w:t>
      </w:r>
      <w:r>
        <w:t>6.2</w:t>
      </w:r>
      <w:r>
        <w:rPr>
          <w:spacing w:val="-14"/>
        </w:rPr>
        <w:t xml:space="preserve"> </w:t>
      </w:r>
      <w:r>
        <w:t>of</w:t>
      </w:r>
      <w:r>
        <w:rPr>
          <w:spacing w:val="-13"/>
        </w:rPr>
        <w:t xml:space="preserve"> </w:t>
      </w:r>
      <w:r>
        <w:t>the</w:t>
      </w:r>
      <w:r>
        <w:rPr>
          <w:spacing w:val="-12"/>
        </w:rPr>
        <w:t xml:space="preserve"> </w:t>
      </w:r>
      <w:r>
        <w:t>DSU,</w:t>
      </w:r>
      <w:r>
        <w:rPr>
          <w:spacing w:val="-10"/>
        </w:rPr>
        <w:t xml:space="preserve"> </w:t>
      </w:r>
      <w:r>
        <w:t>and</w:t>
      </w:r>
      <w:r>
        <w:rPr>
          <w:spacing w:val="-14"/>
        </w:rPr>
        <w:t xml:space="preserve"> </w:t>
      </w:r>
      <w:r>
        <w:t>departs from the ordinary meaning</w:t>
      </w:r>
      <w:r>
        <w:rPr>
          <w:spacing w:val="-2"/>
        </w:rPr>
        <w:t xml:space="preserve"> </w:t>
      </w:r>
      <w:r>
        <w:t>of its</w:t>
      </w:r>
      <w:r>
        <w:rPr>
          <w:spacing w:val="-1"/>
        </w:rPr>
        <w:t xml:space="preserve"> </w:t>
      </w:r>
      <w:r>
        <w:t>text,</w:t>
      </w:r>
      <w:r>
        <w:rPr>
          <w:spacing w:val="-1"/>
        </w:rPr>
        <w:t xml:space="preserve"> </w:t>
      </w:r>
      <w:r>
        <w:t>object</w:t>
      </w:r>
      <w:r>
        <w:rPr>
          <w:spacing w:val="-3"/>
        </w:rPr>
        <w:t xml:space="preserve"> </w:t>
      </w:r>
      <w:r>
        <w:t>and purpose</w:t>
      </w:r>
      <w:r>
        <w:rPr>
          <w:spacing w:val="-3"/>
        </w:rPr>
        <w:t xml:space="preserve"> </w:t>
      </w:r>
      <w:r>
        <w:t>and its</w:t>
      </w:r>
      <w:r>
        <w:rPr>
          <w:spacing w:val="-2"/>
        </w:rPr>
        <w:t xml:space="preserve"> </w:t>
      </w:r>
      <w:r>
        <w:t>confirmed interpretation</w:t>
      </w:r>
      <w:r>
        <w:rPr>
          <w:spacing w:val="-5"/>
        </w:rPr>
        <w:t xml:space="preserve"> </w:t>
      </w:r>
      <w:r>
        <w:t>in prior panel and Appellate Body reports.</w:t>
      </w:r>
    </w:p>
    <w:p w14:paraId="63FD525B" w14:textId="77777777" w:rsidR="00BD462C" w:rsidRDefault="00BD462C">
      <w:pPr>
        <w:pStyle w:val="BodyText"/>
        <w:spacing w:before="6"/>
        <w:rPr>
          <w:sz w:val="8"/>
        </w:rPr>
      </w:pPr>
    </w:p>
    <w:p w14:paraId="084D55BD" w14:textId="54D3AECF" w:rsidR="00BD462C" w:rsidRDefault="00033D0F" w:rsidP="002C3E13">
      <w:pPr>
        <w:pStyle w:val="BodyText"/>
        <w:numPr>
          <w:ilvl w:val="0"/>
          <w:numId w:val="68"/>
        </w:numPr>
        <w:spacing w:before="56" w:line="360" w:lineRule="auto"/>
        <w:ind w:right="910"/>
        <w:jc w:val="both"/>
      </w:pPr>
      <w:r>
        <w:rPr>
          <w:position w:val="1"/>
        </w:rPr>
        <w:t>Australia's</w:t>
      </w:r>
      <w:r>
        <w:rPr>
          <w:spacing w:val="-5"/>
          <w:position w:val="1"/>
        </w:rPr>
        <w:t xml:space="preserve"> </w:t>
      </w:r>
      <w:r>
        <w:rPr>
          <w:position w:val="1"/>
        </w:rPr>
        <w:t>response</w:t>
      </w:r>
      <w:r>
        <w:rPr>
          <w:spacing w:val="-6"/>
          <w:position w:val="1"/>
        </w:rPr>
        <w:t xml:space="preserve"> </w:t>
      </w:r>
      <w:r>
        <w:rPr>
          <w:position w:val="1"/>
        </w:rPr>
        <w:t>to</w:t>
      </w:r>
      <w:r>
        <w:rPr>
          <w:spacing w:val="-4"/>
          <w:position w:val="1"/>
        </w:rPr>
        <w:t xml:space="preserve"> </w:t>
      </w:r>
      <w:r>
        <w:rPr>
          <w:position w:val="1"/>
        </w:rPr>
        <w:t>China's</w:t>
      </w:r>
      <w:r>
        <w:rPr>
          <w:spacing w:val="-5"/>
          <w:position w:val="1"/>
        </w:rPr>
        <w:t xml:space="preserve"> </w:t>
      </w:r>
      <w:r>
        <w:rPr>
          <w:position w:val="1"/>
        </w:rPr>
        <w:t>PRR</w:t>
      </w:r>
      <w:r>
        <w:rPr>
          <w:spacing w:val="-7"/>
          <w:position w:val="1"/>
        </w:rPr>
        <w:t xml:space="preserve"> </w:t>
      </w:r>
      <w:r>
        <w:rPr>
          <w:position w:val="1"/>
        </w:rPr>
        <w:t>set</w:t>
      </w:r>
      <w:r>
        <w:rPr>
          <w:spacing w:val="-1"/>
          <w:position w:val="1"/>
        </w:rPr>
        <w:t xml:space="preserve"> </w:t>
      </w:r>
      <w:r>
        <w:rPr>
          <w:position w:val="1"/>
        </w:rPr>
        <w:t>out</w:t>
      </w:r>
      <w:r>
        <w:rPr>
          <w:spacing w:val="-6"/>
          <w:position w:val="1"/>
        </w:rPr>
        <w:t xml:space="preserve"> </w:t>
      </w:r>
      <w:r>
        <w:rPr>
          <w:position w:val="1"/>
        </w:rPr>
        <w:t>the</w:t>
      </w:r>
      <w:r>
        <w:rPr>
          <w:spacing w:val="-2"/>
          <w:position w:val="1"/>
        </w:rPr>
        <w:t xml:space="preserve"> </w:t>
      </w:r>
      <w:r>
        <w:rPr>
          <w:position w:val="1"/>
        </w:rPr>
        <w:t>reasons</w:t>
      </w:r>
      <w:r>
        <w:rPr>
          <w:spacing w:val="-5"/>
          <w:position w:val="1"/>
        </w:rPr>
        <w:t xml:space="preserve"> </w:t>
      </w:r>
      <w:r>
        <w:rPr>
          <w:position w:val="1"/>
        </w:rPr>
        <w:t>for</w:t>
      </w:r>
      <w:r>
        <w:rPr>
          <w:spacing w:val="-4"/>
          <w:position w:val="1"/>
        </w:rPr>
        <w:t xml:space="preserve"> </w:t>
      </w:r>
      <w:r>
        <w:rPr>
          <w:position w:val="1"/>
        </w:rPr>
        <w:t>this</w:t>
      </w:r>
      <w:r>
        <w:rPr>
          <w:spacing w:val="-5"/>
          <w:position w:val="1"/>
        </w:rPr>
        <w:t xml:space="preserve"> </w:t>
      </w:r>
      <w:r>
        <w:rPr>
          <w:position w:val="1"/>
        </w:rPr>
        <w:t>in</w:t>
      </w:r>
      <w:r>
        <w:rPr>
          <w:spacing w:val="-3"/>
          <w:position w:val="1"/>
        </w:rPr>
        <w:t xml:space="preserve"> </w:t>
      </w:r>
      <w:r>
        <w:rPr>
          <w:position w:val="1"/>
        </w:rPr>
        <w:t>detail</w:t>
      </w:r>
      <w:r>
        <w:rPr>
          <w:spacing w:val="-4"/>
          <w:position w:val="1"/>
        </w:rPr>
        <w:t xml:space="preserve"> </w:t>
      </w:r>
      <w:r>
        <w:rPr>
          <w:position w:val="1"/>
        </w:rPr>
        <w:t>and</w:t>
      </w:r>
      <w:r>
        <w:rPr>
          <w:spacing w:val="-8"/>
          <w:position w:val="1"/>
        </w:rPr>
        <w:t xml:space="preserve"> </w:t>
      </w:r>
      <w:r>
        <w:rPr>
          <w:position w:val="1"/>
        </w:rPr>
        <w:t xml:space="preserve">Australia </w:t>
      </w:r>
      <w:r>
        <w:t>will not repeat that analysis here. However, Australia is compelled to correct the misleading approach that China has adopted in its first written submission and at the first substantive meeting with the Panel with respect to the interpretation and application of Article 6.2 in previous Appellate Body and panel reports.</w:t>
      </w:r>
    </w:p>
    <w:p w14:paraId="19DEDD9F" w14:textId="77777777" w:rsidR="00BD462C" w:rsidRDefault="00BD462C">
      <w:pPr>
        <w:pStyle w:val="BodyText"/>
        <w:spacing w:before="6"/>
        <w:rPr>
          <w:sz w:val="8"/>
        </w:rPr>
      </w:pPr>
    </w:p>
    <w:p w14:paraId="15E8EBD0" w14:textId="627C5346" w:rsidR="00BD462C" w:rsidRDefault="00033D0F" w:rsidP="00C65BAF">
      <w:pPr>
        <w:pStyle w:val="BodyText"/>
        <w:numPr>
          <w:ilvl w:val="0"/>
          <w:numId w:val="68"/>
        </w:numPr>
        <w:spacing w:before="56" w:line="360" w:lineRule="auto"/>
        <w:ind w:right="911"/>
        <w:jc w:val="both"/>
      </w:pPr>
      <w:r>
        <w:rPr>
          <w:position w:val="1"/>
        </w:rPr>
        <w:t xml:space="preserve">First, Australia reiterates that the Appellate Body in </w:t>
      </w:r>
      <w:r>
        <w:rPr>
          <w:i/>
          <w:position w:val="1"/>
        </w:rPr>
        <w:t>Korea – Pneumatic Valves</w:t>
      </w:r>
      <w:r>
        <w:rPr>
          <w:i/>
          <w:spacing w:val="40"/>
          <w:position w:val="1"/>
        </w:rPr>
        <w:t xml:space="preserve"> </w:t>
      </w:r>
      <w:r>
        <w:t>expressly</w:t>
      </w:r>
      <w:r>
        <w:rPr>
          <w:spacing w:val="-14"/>
        </w:rPr>
        <w:t xml:space="preserve"> </w:t>
      </w:r>
      <w:r>
        <w:t>rejected</w:t>
      </w:r>
      <w:r>
        <w:rPr>
          <w:spacing w:val="-14"/>
        </w:rPr>
        <w:t xml:space="preserve"> </w:t>
      </w:r>
      <w:r>
        <w:t>China's</w:t>
      </w:r>
      <w:r>
        <w:rPr>
          <w:spacing w:val="-7"/>
        </w:rPr>
        <w:t xml:space="preserve"> </w:t>
      </w:r>
      <w:r>
        <w:t>proposed</w:t>
      </w:r>
      <w:r>
        <w:rPr>
          <w:spacing w:val="-9"/>
        </w:rPr>
        <w:t xml:space="preserve"> </w:t>
      </w:r>
      <w:r>
        <w:t>"how</w:t>
      </w:r>
      <w:r>
        <w:rPr>
          <w:spacing w:val="-7"/>
        </w:rPr>
        <w:t xml:space="preserve"> </w:t>
      </w:r>
      <w:r>
        <w:t>or</w:t>
      </w:r>
      <w:r>
        <w:rPr>
          <w:spacing w:val="-10"/>
        </w:rPr>
        <w:t xml:space="preserve"> </w:t>
      </w:r>
      <w:r>
        <w:t>why"</w:t>
      </w:r>
      <w:r>
        <w:rPr>
          <w:spacing w:val="-3"/>
        </w:rPr>
        <w:t xml:space="preserve"> </w:t>
      </w:r>
      <w:r>
        <w:t>obligation</w:t>
      </w:r>
      <w:r>
        <w:rPr>
          <w:spacing w:val="-9"/>
        </w:rPr>
        <w:t xml:space="preserve"> </w:t>
      </w:r>
      <w:r>
        <w:t>as</w:t>
      </w:r>
      <w:r>
        <w:rPr>
          <w:spacing w:val="-6"/>
        </w:rPr>
        <w:t xml:space="preserve"> </w:t>
      </w:r>
      <w:r>
        <w:t>implying</w:t>
      </w:r>
      <w:r>
        <w:rPr>
          <w:spacing w:val="-6"/>
        </w:rPr>
        <w:t xml:space="preserve"> </w:t>
      </w:r>
      <w:r>
        <w:t>any</w:t>
      </w:r>
      <w:r>
        <w:rPr>
          <w:spacing w:val="-6"/>
        </w:rPr>
        <w:t xml:space="preserve"> </w:t>
      </w:r>
      <w:r>
        <w:t>new</w:t>
      </w:r>
      <w:r>
        <w:rPr>
          <w:spacing w:val="-7"/>
        </w:rPr>
        <w:t xml:space="preserve"> </w:t>
      </w:r>
      <w:r>
        <w:t>standard.</w:t>
      </w:r>
      <w:r>
        <w:rPr>
          <w:spacing w:val="-14"/>
        </w:rPr>
        <w:t xml:space="preserve"> </w:t>
      </w:r>
      <w:hyperlink w:anchor="_bookmark25" w:history="1">
        <w:r>
          <w:rPr>
            <w:vertAlign w:val="superscript"/>
          </w:rPr>
          <w:t>14</w:t>
        </w:r>
      </w:hyperlink>
      <w:r>
        <w:t xml:space="preserve"> The Appellate Body correctly identified that reading in such an obligation would mandate "a level of detail going beyond setting out the claim underlying the complaint" and require that</w:t>
      </w:r>
    </w:p>
    <w:p w14:paraId="23AB563E" w14:textId="5E14E098" w:rsidR="00BD462C" w:rsidRDefault="00BD462C">
      <w:pPr>
        <w:pStyle w:val="BodyText"/>
        <w:spacing w:before="5"/>
        <w:rPr>
          <w:sz w:val="19"/>
        </w:rPr>
      </w:pPr>
    </w:p>
    <w:bookmarkStart w:id="31" w:name="_bookmark21"/>
    <w:bookmarkEnd w:id="31"/>
    <w:p w14:paraId="7F184D87" w14:textId="61F90AB9" w:rsidR="00BD462C" w:rsidRDefault="002C3E13">
      <w:pPr>
        <w:spacing w:before="112"/>
        <w:ind w:left="136" w:right="911" w:hanging="1"/>
        <w:jc w:val="both"/>
        <w:rPr>
          <w:sz w:val="18"/>
        </w:rPr>
      </w:pPr>
      <w:r w:rsidRPr="003A43C7">
        <w:rPr>
          <w:noProof/>
        </w:rPr>
        <mc:AlternateContent>
          <mc:Choice Requires="wps">
            <w:drawing>
              <wp:anchor distT="0" distB="0" distL="114300" distR="114300" simplePos="0" relativeHeight="487938560" behindDoc="0" locked="0" layoutInCell="1" allowOverlap="1" wp14:anchorId="2C4D3520" wp14:editId="648173D0">
                <wp:simplePos x="0" y="0"/>
                <wp:positionH relativeFrom="column">
                  <wp:posOffset>0</wp:posOffset>
                </wp:positionH>
                <wp:positionV relativeFrom="paragraph">
                  <wp:posOffset>32055</wp:posOffset>
                </wp:positionV>
                <wp:extent cx="2400300" cy="0"/>
                <wp:effectExtent l="0" t="0" r="0" b="0"/>
                <wp:wrapNone/>
                <wp:docPr id="1460" name="Straight Connector 14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400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A8E7AA" id="Straight Connector 1460" o:spid="_x0000_s1026" alt="&quot;&quot;" style="position:absolute;z-index:487938560;visibility:visible;mso-wrap-style:square;mso-wrap-distance-left:9pt;mso-wrap-distance-top:0;mso-wrap-distance-right:9pt;mso-wrap-distance-bottom:0;mso-position-horizontal:absolute;mso-position-horizontal-relative:text;mso-position-vertical:absolute;mso-position-vertical-relative:text" from="0,2.5pt" to="189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" strokecolor="#4579b8 [3044]"/>
            </w:pict>
          </mc:Fallback>
        </mc:AlternateContent>
      </w:r>
      <w:r w:rsidR="00033D0F">
        <w:rPr>
          <w:position w:val="5"/>
          <w:sz w:val="12"/>
        </w:rPr>
        <w:t>10</w:t>
      </w:r>
      <w:r w:rsidR="00033D0F">
        <w:rPr>
          <w:spacing w:val="16"/>
          <w:position w:val="5"/>
          <w:sz w:val="12"/>
        </w:rPr>
        <w:t xml:space="preserve"> </w:t>
      </w:r>
      <w:r w:rsidR="00033D0F">
        <w:rPr>
          <w:sz w:val="18"/>
        </w:rPr>
        <w:t>See</w:t>
      </w:r>
      <w:r w:rsidR="00033D0F">
        <w:rPr>
          <w:spacing w:val="-3"/>
          <w:sz w:val="18"/>
        </w:rPr>
        <w:t xml:space="preserve"> </w:t>
      </w:r>
      <w:r w:rsidR="00033D0F">
        <w:rPr>
          <w:sz w:val="18"/>
        </w:rPr>
        <w:t>Appellate</w:t>
      </w:r>
      <w:r w:rsidR="00033D0F">
        <w:rPr>
          <w:spacing w:val="-3"/>
          <w:sz w:val="18"/>
        </w:rPr>
        <w:t xml:space="preserve"> </w:t>
      </w:r>
      <w:r w:rsidR="00033D0F">
        <w:rPr>
          <w:sz w:val="18"/>
        </w:rPr>
        <w:t>Body</w:t>
      </w:r>
      <w:r w:rsidR="00033D0F">
        <w:rPr>
          <w:spacing w:val="-5"/>
          <w:sz w:val="18"/>
        </w:rPr>
        <w:t xml:space="preserve"> </w:t>
      </w:r>
      <w:r w:rsidR="00033D0F">
        <w:rPr>
          <w:sz w:val="18"/>
        </w:rPr>
        <w:t>Report,</w:t>
      </w:r>
      <w:r w:rsidR="00033D0F">
        <w:rPr>
          <w:spacing w:val="-1"/>
          <w:sz w:val="18"/>
        </w:rPr>
        <w:t xml:space="preserve"> </w:t>
      </w:r>
      <w:r w:rsidR="00033D0F">
        <w:rPr>
          <w:i/>
          <w:sz w:val="18"/>
        </w:rPr>
        <w:t>Korea</w:t>
      </w:r>
      <w:r w:rsidR="00033D0F">
        <w:rPr>
          <w:i/>
          <w:spacing w:val="-2"/>
          <w:sz w:val="18"/>
        </w:rPr>
        <w:t xml:space="preserve"> </w:t>
      </w:r>
      <w:r w:rsidR="00033D0F">
        <w:rPr>
          <w:i/>
          <w:sz w:val="18"/>
        </w:rPr>
        <w:t>–</w:t>
      </w:r>
      <w:r w:rsidR="00033D0F">
        <w:rPr>
          <w:i/>
          <w:spacing w:val="-3"/>
          <w:sz w:val="18"/>
        </w:rPr>
        <w:t xml:space="preserve"> </w:t>
      </w:r>
      <w:r w:rsidR="00033D0F">
        <w:rPr>
          <w:i/>
          <w:sz w:val="18"/>
        </w:rPr>
        <w:t>Pneumatic</w:t>
      </w:r>
      <w:r w:rsidR="00033D0F">
        <w:rPr>
          <w:i/>
          <w:spacing w:val="-3"/>
          <w:sz w:val="18"/>
        </w:rPr>
        <w:t xml:space="preserve"> </w:t>
      </w:r>
      <w:r w:rsidR="00033D0F">
        <w:rPr>
          <w:i/>
          <w:sz w:val="18"/>
        </w:rPr>
        <w:t>Valves</w:t>
      </w:r>
      <w:r w:rsidR="00033D0F">
        <w:rPr>
          <w:sz w:val="18"/>
        </w:rPr>
        <w:t>,</w:t>
      </w:r>
      <w:r w:rsidR="00033D0F">
        <w:rPr>
          <w:spacing w:val="-1"/>
          <w:sz w:val="18"/>
        </w:rPr>
        <w:t xml:space="preserve"> </w:t>
      </w:r>
      <w:r w:rsidR="00033D0F">
        <w:rPr>
          <w:sz w:val="18"/>
        </w:rPr>
        <w:t>paras. 5.5-5.9 and</w:t>
      </w:r>
      <w:r w:rsidR="00033D0F">
        <w:rPr>
          <w:spacing w:val="-4"/>
          <w:sz w:val="18"/>
        </w:rPr>
        <w:t xml:space="preserve"> </w:t>
      </w:r>
      <w:r w:rsidR="00033D0F">
        <w:rPr>
          <w:sz w:val="18"/>
        </w:rPr>
        <w:t>footnotes</w:t>
      </w:r>
      <w:r w:rsidR="00033D0F">
        <w:rPr>
          <w:spacing w:val="-3"/>
          <w:sz w:val="18"/>
        </w:rPr>
        <w:t xml:space="preserve"> </w:t>
      </w:r>
      <w:r w:rsidR="00033D0F">
        <w:rPr>
          <w:sz w:val="18"/>
        </w:rPr>
        <w:t>thereto.</w:t>
      </w:r>
      <w:r w:rsidR="00033D0F">
        <w:rPr>
          <w:spacing w:val="-2"/>
          <w:sz w:val="18"/>
        </w:rPr>
        <w:t xml:space="preserve"> </w:t>
      </w:r>
      <w:r w:rsidR="00033D0F">
        <w:rPr>
          <w:sz w:val="18"/>
        </w:rPr>
        <w:t>In</w:t>
      </w:r>
      <w:r w:rsidR="00033D0F">
        <w:rPr>
          <w:spacing w:val="-8"/>
          <w:sz w:val="18"/>
        </w:rPr>
        <w:t xml:space="preserve"> </w:t>
      </w:r>
      <w:r w:rsidR="00033D0F">
        <w:rPr>
          <w:sz w:val="18"/>
        </w:rPr>
        <w:t>its</w:t>
      </w:r>
      <w:r w:rsidR="00033D0F">
        <w:rPr>
          <w:spacing w:val="-8"/>
          <w:sz w:val="18"/>
        </w:rPr>
        <w:t xml:space="preserve"> </w:t>
      </w:r>
      <w:r w:rsidR="00033D0F">
        <w:rPr>
          <w:sz w:val="18"/>
        </w:rPr>
        <w:t>first</w:t>
      </w:r>
      <w:r w:rsidR="00033D0F">
        <w:rPr>
          <w:spacing w:val="-2"/>
          <w:sz w:val="18"/>
        </w:rPr>
        <w:t xml:space="preserve"> </w:t>
      </w:r>
      <w:r w:rsidR="00033D0F">
        <w:rPr>
          <w:sz w:val="18"/>
        </w:rPr>
        <w:t>written</w:t>
      </w:r>
      <w:r w:rsidR="00033D0F">
        <w:rPr>
          <w:spacing w:val="-4"/>
          <w:sz w:val="18"/>
        </w:rPr>
        <w:t xml:space="preserve"> </w:t>
      </w:r>
      <w:r w:rsidR="00033D0F">
        <w:rPr>
          <w:sz w:val="18"/>
        </w:rPr>
        <w:t>submission, China</w:t>
      </w:r>
      <w:r w:rsidR="00033D0F">
        <w:rPr>
          <w:spacing w:val="-5"/>
          <w:sz w:val="18"/>
        </w:rPr>
        <w:t xml:space="preserve"> </w:t>
      </w:r>
      <w:r w:rsidR="00033D0F">
        <w:rPr>
          <w:sz w:val="18"/>
        </w:rPr>
        <w:t>suggests Australia's</w:t>
      </w:r>
      <w:r w:rsidR="00033D0F">
        <w:rPr>
          <w:spacing w:val="-3"/>
          <w:sz w:val="18"/>
        </w:rPr>
        <w:t xml:space="preserve"> </w:t>
      </w:r>
      <w:r w:rsidR="00033D0F">
        <w:rPr>
          <w:sz w:val="18"/>
        </w:rPr>
        <w:t>position</w:t>
      </w:r>
      <w:r w:rsidR="00033D0F">
        <w:rPr>
          <w:spacing w:val="-4"/>
          <w:sz w:val="18"/>
        </w:rPr>
        <w:t xml:space="preserve"> </w:t>
      </w:r>
      <w:r w:rsidR="00033D0F">
        <w:rPr>
          <w:sz w:val="18"/>
        </w:rPr>
        <w:t>would divorce</w:t>
      </w:r>
      <w:r w:rsidR="00033D0F">
        <w:rPr>
          <w:spacing w:val="-3"/>
          <w:sz w:val="18"/>
        </w:rPr>
        <w:t xml:space="preserve"> </w:t>
      </w:r>
      <w:r w:rsidR="00033D0F">
        <w:rPr>
          <w:sz w:val="18"/>
        </w:rPr>
        <w:t>a panel request</w:t>
      </w:r>
      <w:r w:rsidR="00033D0F">
        <w:rPr>
          <w:spacing w:val="-2"/>
          <w:sz w:val="18"/>
        </w:rPr>
        <w:t xml:space="preserve"> </w:t>
      </w:r>
      <w:r w:rsidR="00033D0F">
        <w:rPr>
          <w:sz w:val="18"/>
        </w:rPr>
        <w:t>from</w:t>
      </w:r>
      <w:r w:rsidR="00033D0F">
        <w:rPr>
          <w:spacing w:val="-1"/>
          <w:sz w:val="18"/>
        </w:rPr>
        <w:t xml:space="preserve"> </w:t>
      </w:r>
      <w:r w:rsidR="00033D0F">
        <w:rPr>
          <w:sz w:val="18"/>
        </w:rPr>
        <w:t>its factual context.</w:t>
      </w:r>
      <w:r w:rsidR="00033D0F">
        <w:rPr>
          <w:spacing w:val="-2"/>
          <w:sz w:val="18"/>
        </w:rPr>
        <w:t xml:space="preserve"> </w:t>
      </w:r>
      <w:r w:rsidR="00033D0F">
        <w:rPr>
          <w:sz w:val="18"/>
        </w:rPr>
        <w:t>However, Australia contends</w:t>
      </w:r>
      <w:r w:rsidR="00033D0F">
        <w:rPr>
          <w:spacing w:val="-3"/>
          <w:sz w:val="18"/>
        </w:rPr>
        <w:t xml:space="preserve"> </w:t>
      </w:r>
      <w:r w:rsidR="00033D0F">
        <w:rPr>
          <w:sz w:val="18"/>
        </w:rPr>
        <w:t>that this contextual analysis accounts for precisely the facts of a specific dispute by considering the nature of measure and provision at issue: see China's first written submission, para. 59, Australia's response to China's PRR, para. 52.</w:t>
      </w:r>
    </w:p>
    <w:p w14:paraId="62633F68" w14:textId="77777777" w:rsidR="00BD462C" w:rsidRDefault="00033D0F">
      <w:pPr>
        <w:ind w:left="136" w:right="910" w:hanging="1"/>
        <w:jc w:val="both"/>
        <w:rPr>
          <w:sz w:val="18"/>
        </w:rPr>
      </w:pPr>
      <w:bookmarkStart w:id="32" w:name="_bookmark22"/>
      <w:bookmarkEnd w:id="32"/>
      <w:r>
        <w:rPr>
          <w:position w:val="5"/>
          <w:sz w:val="12"/>
        </w:rPr>
        <w:t>11</w:t>
      </w:r>
      <w:r>
        <w:rPr>
          <w:spacing w:val="25"/>
          <w:position w:val="5"/>
          <w:sz w:val="12"/>
        </w:rPr>
        <w:t xml:space="preserve"> </w:t>
      </w:r>
      <w:r>
        <w:rPr>
          <w:sz w:val="18"/>
        </w:rPr>
        <w:t xml:space="preserve">Appellate Body Report, </w:t>
      </w:r>
      <w:r>
        <w:rPr>
          <w:i/>
          <w:sz w:val="18"/>
        </w:rPr>
        <w:t>Korea – Pneumatic Valves</w:t>
      </w:r>
      <w:r>
        <w:rPr>
          <w:sz w:val="18"/>
        </w:rPr>
        <w:t xml:space="preserve">, paras. 5.25, 5.34, 5.69, 5.70 and 5.78; Australia's response to China's PRR, para. 13. Australia notes that China improperly distinguishes between ordinary provisions of the Anti-Dumping Agreement and a 'special </w:t>
      </w:r>
      <w:proofErr w:type="spellStart"/>
      <w:r>
        <w:rPr>
          <w:sz w:val="18"/>
        </w:rPr>
        <w:t>class'</w:t>
      </w:r>
      <w:proofErr w:type="spellEnd"/>
      <w:r>
        <w:rPr>
          <w:sz w:val="18"/>
        </w:rPr>
        <w:t xml:space="preserve"> of obligations that require 'greater degree of clarity and specification'. As each claim's compliance is assessed on its merits and on a case-by-case basis, such a 'special </w:t>
      </w:r>
      <w:proofErr w:type="spellStart"/>
      <w:r>
        <w:rPr>
          <w:sz w:val="18"/>
        </w:rPr>
        <w:t>class'</w:t>
      </w:r>
      <w:proofErr w:type="spellEnd"/>
      <w:r>
        <w:rPr>
          <w:sz w:val="18"/>
        </w:rPr>
        <w:t xml:space="preserve"> is nonsensical: China's first written submission, para. 85.</w:t>
      </w:r>
    </w:p>
    <w:p w14:paraId="1484734B" w14:textId="77777777" w:rsidR="00BD462C" w:rsidRDefault="00033D0F">
      <w:pPr>
        <w:ind w:left="135"/>
        <w:rPr>
          <w:sz w:val="18"/>
        </w:rPr>
      </w:pPr>
      <w:bookmarkStart w:id="33" w:name="_bookmark23"/>
      <w:bookmarkEnd w:id="33"/>
      <w:r>
        <w:rPr>
          <w:position w:val="5"/>
          <w:sz w:val="12"/>
        </w:rPr>
        <w:t>12</w:t>
      </w:r>
      <w:r>
        <w:rPr>
          <w:spacing w:val="14"/>
          <w:position w:val="5"/>
          <w:sz w:val="12"/>
        </w:rPr>
        <w:t xml:space="preserve"> </w:t>
      </w:r>
      <w:r>
        <w:rPr>
          <w:sz w:val="18"/>
        </w:rPr>
        <w:t>Appellate</w:t>
      </w:r>
      <w:r>
        <w:rPr>
          <w:spacing w:val="-9"/>
          <w:sz w:val="18"/>
        </w:rPr>
        <w:t xml:space="preserve"> </w:t>
      </w:r>
      <w:r>
        <w:rPr>
          <w:sz w:val="18"/>
        </w:rPr>
        <w:t>Body</w:t>
      </w:r>
      <w:r>
        <w:rPr>
          <w:spacing w:val="-6"/>
          <w:sz w:val="18"/>
        </w:rPr>
        <w:t xml:space="preserve"> </w:t>
      </w:r>
      <w:r>
        <w:rPr>
          <w:sz w:val="18"/>
        </w:rPr>
        <w:t>Report,</w:t>
      </w:r>
      <w:r>
        <w:rPr>
          <w:spacing w:val="-3"/>
          <w:sz w:val="18"/>
        </w:rPr>
        <w:t xml:space="preserve"> </w:t>
      </w:r>
      <w:r>
        <w:rPr>
          <w:i/>
          <w:sz w:val="18"/>
        </w:rPr>
        <w:t>Korea</w:t>
      </w:r>
      <w:r>
        <w:rPr>
          <w:i/>
          <w:spacing w:val="-3"/>
          <w:sz w:val="18"/>
        </w:rPr>
        <w:t xml:space="preserve"> </w:t>
      </w:r>
      <w:r>
        <w:rPr>
          <w:i/>
          <w:sz w:val="18"/>
        </w:rPr>
        <w:t>–</w:t>
      </w:r>
      <w:r>
        <w:rPr>
          <w:i/>
          <w:spacing w:val="-5"/>
          <w:sz w:val="18"/>
        </w:rPr>
        <w:t xml:space="preserve"> </w:t>
      </w:r>
      <w:r>
        <w:rPr>
          <w:i/>
          <w:sz w:val="18"/>
        </w:rPr>
        <w:t>Pneumatic</w:t>
      </w:r>
      <w:r>
        <w:rPr>
          <w:i/>
          <w:spacing w:val="-4"/>
          <w:sz w:val="18"/>
        </w:rPr>
        <w:t xml:space="preserve"> </w:t>
      </w:r>
      <w:r>
        <w:rPr>
          <w:i/>
          <w:sz w:val="18"/>
        </w:rPr>
        <w:t>Valves</w:t>
      </w:r>
      <w:r>
        <w:rPr>
          <w:sz w:val="18"/>
        </w:rPr>
        <w:t>,</w:t>
      </w:r>
      <w:r>
        <w:rPr>
          <w:spacing w:val="2"/>
          <w:sz w:val="18"/>
        </w:rPr>
        <w:t xml:space="preserve"> </w:t>
      </w:r>
      <w:r>
        <w:rPr>
          <w:sz w:val="18"/>
        </w:rPr>
        <w:t>paras.</w:t>
      </w:r>
      <w:r>
        <w:rPr>
          <w:spacing w:val="-3"/>
          <w:sz w:val="18"/>
        </w:rPr>
        <w:t xml:space="preserve"> </w:t>
      </w:r>
      <w:r>
        <w:rPr>
          <w:sz w:val="18"/>
        </w:rPr>
        <w:t>5.7,</w:t>
      </w:r>
      <w:r>
        <w:rPr>
          <w:spacing w:val="2"/>
          <w:sz w:val="18"/>
        </w:rPr>
        <w:t xml:space="preserve"> </w:t>
      </w:r>
      <w:r>
        <w:rPr>
          <w:spacing w:val="-4"/>
          <w:sz w:val="18"/>
        </w:rPr>
        <w:t>5.33.</w:t>
      </w:r>
    </w:p>
    <w:p w14:paraId="3847B70C" w14:textId="77777777" w:rsidR="00BD462C" w:rsidRDefault="00033D0F">
      <w:pPr>
        <w:spacing w:before="1"/>
        <w:ind w:left="136" w:right="910" w:hanging="1"/>
        <w:rPr>
          <w:sz w:val="18"/>
        </w:rPr>
      </w:pPr>
      <w:bookmarkStart w:id="34" w:name="_bookmark24"/>
      <w:bookmarkEnd w:id="34"/>
      <w:r>
        <w:rPr>
          <w:position w:val="5"/>
          <w:sz w:val="12"/>
        </w:rPr>
        <w:t>13</w:t>
      </w:r>
      <w:r>
        <w:rPr>
          <w:spacing w:val="20"/>
          <w:position w:val="5"/>
          <w:sz w:val="12"/>
        </w:rPr>
        <w:t xml:space="preserve"> </w:t>
      </w:r>
      <w:r>
        <w:rPr>
          <w:sz w:val="18"/>
        </w:rPr>
        <w:t>China's first written submission, paras. 66-67, 90, 157, see also para. 1687;</w:t>
      </w:r>
      <w:r>
        <w:rPr>
          <w:spacing w:val="-1"/>
          <w:sz w:val="18"/>
        </w:rPr>
        <w:t xml:space="preserve"> </w:t>
      </w:r>
      <w:r>
        <w:rPr>
          <w:sz w:val="18"/>
        </w:rPr>
        <w:t xml:space="preserve">China's PRR, paras. 20-21, 26, 92, 95, and 107 (citing Panel Report, </w:t>
      </w:r>
      <w:r>
        <w:rPr>
          <w:i/>
          <w:sz w:val="18"/>
        </w:rPr>
        <w:t>Korea – Pneumatic Valves</w:t>
      </w:r>
      <w:r>
        <w:rPr>
          <w:sz w:val="18"/>
        </w:rPr>
        <w:t>).</w:t>
      </w:r>
    </w:p>
    <w:p w14:paraId="3246270B" w14:textId="77777777" w:rsidR="00BD462C" w:rsidRDefault="00033D0F">
      <w:pPr>
        <w:spacing w:before="2"/>
        <w:ind w:left="135"/>
        <w:rPr>
          <w:sz w:val="18"/>
        </w:rPr>
      </w:pPr>
      <w:bookmarkStart w:id="35" w:name="_bookmark25"/>
      <w:bookmarkEnd w:id="35"/>
      <w:r>
        <w:rPr>
          <w:position w:val="5"/>
          <w:sz w:val="12"/>
        </w:rPr>
        <w:t>14</w:t>
      </w:r>
      <w:r>
        <w:rPr>
          <w:spacing w:val="14"/>
          <w:position w:val="5"/>
          <w:sz w:val="12"/>
        </w:rPr>
        <w:t xml:space="preserve"> </w:t>
      </w:r>
      <w:r>
        <w:rPr>
          <w:sz w:val="18"/>
        </w:rPr>
        <w:t>Appellate</w:t>
      </w:r>
      <w:r>
        <w:rPr>
          <w:spacing w:val="-9"/>
          <w:sz w:val="18"/>
        </w:rPr>
        <w:t xml:space="preserve"> </w:t>
      </w:r>
      <w:r>
        <w:rPr>
          <w:sz w:val="18"/>
        </w:rPr>
        <w:t>Body</w:t>
      </w:r>
      <w:r>
        <w:rPr>
          <w:spacing w:val="-6"/>
          <w:sz w:val="18"/>
        </w:rPr>
        <w:t xml:space="preserve"> </w:t>
      </w:r>
      <w:r>
        <w:rPr>
          <w:sz w:val="18"/>
        </w:rPr>
        <w:t>Report,</w:t>
      </w:r>
      <w:r>
        <w:rPr>
          <w:spacing w:val="-3"/>
          <w:sz w:val="18"/>
        </w:rPr>
        <w:t xml:space="preserve"> </w:t>
      </w:r>
      <w:r>
        <w:rPr>
          <w:i/>
          <w:sz w:val="18"/>
        </w:rPr>
        <w:t>Korea</w:t>
      </w:r>
      <w:r>
        <w:rPr>
          <w:i/>
          <w:spacing w:val="-3"/>
          <w:sz w:val="18"/>
        </w:rPr>
        <w:t xml:space="preserve"> </w:t>
      </w:r>
      <w:r>
        <w:rPr>
          <w:i/>
          <w:sz w:val="18"/>
        </w:rPr>
        <w:t>–</w:t>
      </w:r>
      <w:r>
        <w:rPr>
          <w:i/>
          <w:spacing w:val="-5"/>
          <w:sz w:val="18"/>
        </w:rPr>
        <w:t xml:space="preserve"> </w:t>
      </w:r>
      <w:r>
        <w:rPr>
          <w:i/>
          <w:sz w:val="18"/>
        </w:rPr>
        <w:t>Pneumatic</w:t>
      </w:r>
      <w:r>
        <w:rPr>
          <w:i/>
          <w:spacing w:val="-4"/>
          <w:sz w:val="18"/>
        </w:rPr>
        <w:t xml:space="preserve"> </w:t>
      </w:r>
      <w:r>
        <w:rPr>
          <w:i/>
          <w:sz w:val="18"/>
        </w:rPr>
        <w:t>Valves</w:t>
      </w:r>
      <w:r>
        <w:rPr>
          <w:sz w:val="18"/>
        </w:rPr>
        <w:t>,</w:t>
      </w:r>
      <w:r>
        <w:rPr>
          <w:spacing w:val="2"/>
          <w:sz w:val="18"/>
        </w:rPr>
        <w:t xml:space="preserve"> </w:t>
      </w:r>
      <w:r>
        <w:rPr>
          <w:sz w:val="18"/>
        </w:rPr>
        <w:t>paras.</w:t>
      </w:r>
      <w:r>
        <w:rPr>
          <w:spacing w:val="-3"/>
          <w:sz w:val="18"/>
        </w:rPr>
        <w:t xml:space="preserve"> </w:t>
      </w:r>
      <w:r>
        <w:rPr>
          <w:sz w:val="18"/>
        </w:rPr>
        <w:t>5.7,</w:t>
      </w:r>
      <w:r>
        <w:rPr>
          <w:spacing w:val="2"/>
          <w:sz w:val="18"/>
        </w:rPr>
        <w:t xml:space="preserve"> </w:t>
      </w:r>
      <w:r>
        <w:rPr>
          <w:spacing w:val="-4"/>
          <w:sz w:val="18"/>
        </w:rPr>
        <w:t>5.33.</w:t>
      </w:r>
    </w:p>
    <w:p w14:paraId="4854A91D" w14:textId="77777777" w:rsidR="00BD462C" w:rsidRDefault="00BD462C">
      <w:pPr>
        <w:rPr>
          <w:sz w:val="18"/>
        </w:rPr>
        <w:sectPr w:rsidR="00BD462C">
          <w:pgSz w:w="11910" w:h="16840"/>
          <w:pgMar w:top="860" w:right="500" w:bottom="780" w:left="1280" w:header="566" w:footer="590" w:gutter="0"/>
          <w:cols w:space="720"/>
        </w:sectPr>
      </w:pPr>
    </w:p>
    <w:p w14:paraId="72E88863"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5DC52969"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6FD28D43"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7B8247A9" w14:textId="77777777" w:rsidR="00BD462C" w:rsidRDefault="00033D0F">
      <w:pPr>
        <w:pStyle w:val="BodyText"/>
        <w:spacing w:before="102" w:line="360" w:lineRule="auto"/>
        <w:ind w:left="136" w:right="914"/>
        <w:jc w:val="both"/>
      </w:pPr>
      <w:r>
        <w:t xml:space="preserve">a complainant </w:t>
      </w:r>
      <w:proofErr w:type="gramStart"/>
      <w:r>
        <w:t>adduce</w:t>
      </w:r>
      <w:proofErr w:type="gramEnd"/>
      <w:r>
        <w:t xml:space="preserve"> arguments properly included in a written submission.</w:t>
      </w:r>
      <w:hyperlink w:anchor="_bookmark26" w:history="1">
        <w:r>
          <w:rPr>
            <w:vertAlign w:val="superscript"/>
          </w:rPr>
          <w:t>15</w:t>
        </w:r>
      </w:hyperlink>
      <w:r>
        <w:t xml:space="preserve"> The Appellate Body</w:t>
      </w:r>
      <w:r>
        <w:rPr>
          <w:spacing w:val="-2"/>
        </w:rPr>
        <w:t xml:space="preserve"> </w:t>
      </w:r>
      <w:r>
        <w:t>also</w:t>
      </w:r>
      <w:r>
        <w:rPr>
          <w:spacing w:val="-6"/>
        </w:rPr>
        <w:t xml:space="preserve"> </w:t>
      </w:r>
      <w:r>
        <w:t>clearly</w:t>
      </w:r>
      <w:r>
        <w:rPr>
          <w:spacing w:val="-7"/>
        </w:rPr>
        <w:t xml:space="preserve"> </w:t>
      </w:r>
      <w:r>
        <w:t>explained</w:t>
      </w:r>
      <w:r>
        <w:rPr>
          <w:spacing w:val="-5"/>
        </w:rPr>
        <w:t xml:space="preserve"> </w:t>
      </w:r>
      <w:r>
        <w:t>that</w:t>
      </w:r>
      <w:r>
        <w:rPr>
          <w:spacing w:val="-3"/>
        </w:rPr>
        <w:t xml:space="preserve"> </w:t>
      </w:r>
      <w:r>
        <w:t>any</w:t>
      </w:r>
      <w:r>
        <w:rPr>
          <w:spacing w:val="-2"/>
        </w:rPr>
        <w:t xml:space="preserve"> </w:t>
      </w:r>
      <w:r>
        <w:t>reference</w:t>
      </w:r>
      <w:r>
        <w:rPr>
          <w:spacing w:val="-3"/>
        </w:rPr>
        <w:t xml:space="preserve"> </w:t>
      </w:r>
      <w:r>
        <w:t>to</w:t>
      </w:r>
      <w:r>
        <w:rPr>
          <w:spacing w:val="-6"/>
        </w:rPr>
        <w:t xml:space="preserve"> </w:t>
      </w:r>
      <w:r>
        <w:t>the</w:t>
      </w:r>
      <w:r>
        <w:rPr>
          <w:spacing w:val="-4"/>
        </w:rPr>
        <w:t xml:space="preserve"> </w:t>
      </w:r>
      <w:r>
        <w:t>phrase</w:t>
      </w:r>
      <w:r>
        <w:rPr>
          <w:spacing w:val="-3"/>
        </w:rPr>
        <w:t xml:space="preserve"> </w:t>
      </w:r>
      <w:r>
        <w:t>"how</w:t>
      </w:r>
      <w:r>
        <w:rPr>
          <w:spacing w:val="-3"/>
        </w:rPr>
        <w:t xml:space="preserve"> </w:t>
      </w:r>
      <w:r>
        <w:t>or</w:t>
      </w:r>
      <w:r>
        <w:rPr>
          <w:spacing w:val="-6"/>
        </w:rPr>
        <w:t xml:space="preserve"> </w:t>
      </w:r>
      <w:r>
        <w:t>why"</w:t>
      </w:r>
      <w:r>
        <w:rPr>
          <w:spacing w:val="-4"/>
        </w:rPr>
        <w:t xml:space="preserve"> </w:t>
      </w:r>
      <w:r>
        <w:t>should</w:t>
      </w:r>
      <w:r>
        <w:rPr>
          <w:spacing w:val="-5"/>
        </w:rPr>
        <w:t xml:space="preserve"> </w:t>
      </w:r>
      <w:r>
        <w:t>not</w:t>
      </w:r>
      <w:r>
        <w:rPr>
          <w:spacing w:val="-3"/>
        </w:rPr>
        <w:t xml:space="preserve"> </w:t>
      </w:r>
      <w:r>
        <w:t>imply</w:t>
      </w:r>
      <w:r>
        <w:rPr>
          <w:spacing w:val="-2"/>
        </w:rPr>
        <w:t xml:space="preserve"> </w:t>
      </w:r>
      <w:r>
        <w:t>a standard</w:t>
      </w:r>
      <w:r>
        <w:rPr>
          <w:spacing w:val="-14"/>
        </w:rPr>
        <w:t xml:space="preserve"> </w:t>
      </w:r>
      <w:r>
        <w:t>new</w:t>
      </w:r>
      <w:r>
        <w:rPr>
          <w:spacing w:val="-14"/>
        </w:rPr>
        <w:t xml:space="preserve"> </w:t>
      </w:r>
      <w:r>
        <w:t>or</w:t>
      </w:r>
      <w:r>
        <w:rPr>
          <w:spacing w:val="-13"/>
        </w:rPr>
        <w:t xml:space="preserve"> </w:t>
      </w:r>
      <w:r>
        <w:t>different</w:t>
      </w:r>
      <w:r>
        <w:rPr>
          <w:spacing w:val="-14"/>
        </w:rPr>
        <w:t xml:space="preserve"> </w:t>
      </w:r>
      <w:r>
        <w:t>to</w:t>
      </w:r>
      <w:r>
        <w:rPr>
          <w:spacing w:val="-13"/>
        </w:rPr>
        <w:t xml:space="preserve"> </w:t>
      </w:r>
      <w:r>
        <w:t>the</w:t>
      </w:r>
      <w:r>
        <w:rPr>
          <w:spacing w:val="-14"/>
        </w:rPr>
        <w:t xml:space="preserve"> </w:t>
      </w:r>
      <w:r>
        <w:t>language</w:t>
      </w:r>
      <w:r>
        <w:rPr>
          <w:spacing w:val="-13"/>
        </w:rPr>
        <w:t xml:space="preserve"> </w:t>
      </w:r>
      <w:r>
        <w:t>of</w:t>
      </w:r>
      <w:r>
        <w:rPr>
          <w:spacing w:val="-14"/>
        </w:rPr>
        <w:t xml:space="preserve"> </w:t>
      </w:r>
      <w:r>
        <w:t>Article</w:t>
      </w:r>
      <w:r>
        <w:rPr>
          <w:spacing w:val="-14"/>
        </w:rPr>
        <w:t xml:space="preserve"> </w:t>
      </w:r>
      <w:r>
        <w:t>6.2,</w:t>
      </w:r>
      <w:r>
        <w:rPr>
          <w:spacing w:val="-13"/>
        </w:rPr>
        <w:t xml:space="preserve"> </w:t>
      </w:r>
      <w:r>
        <w:t>and</w:t>
      </w:r>
      <w:r>
        <w:rPr>
          <w:spacing w:val="-14"/>
        </w:rPr>
        <w:t xml:space="preserve"> </w:t>
      </w:r>
      <w:r>
        <w:t>corrected</w:t>
      </w:r>
      <w:r>
        <w:rPr>
          <w:spacing w:val="-13"/>
        </w:rPr>
        <w:t xml:space="preserve"> </w:t>
      </w:r>
      <w:r>
        <w:t>the</w:t>
      </w:r>
      <w:r>
        <w:rPr>
          <w:spacing w:val="-14"/>
        </w:rPr>
        <w:t xml:space="preserve"> </w:t>
      </w:r>
      <w:r>
        <w:t>panel's</w:t>
      </w:r>
      <w:r>
        <w:rPr>
          <w:spacing w:val="-13"/>
        </w:rPr>
        <w:t xml:space="preserve"> </w:t>
      </w:r>
      <w:r>
        <w:t>overreliance on</w:t>
      </w:r>
      <w:r>
        <w:rPr>
          <w:spacing w:val="-11"/>
        </w:rPr>
        <w:t xml:space="preserve"> </w:t>
      </w:r>
      <w:r>
        <w:t>this language.</w:t>
      </w:r>
      <w:r>
        <w:rPr>
          <w:spacing w:val="-14"/>
        </w:rPr>
        <w:t xml:space="preserve"> </w:t>
      </w:r>
      <w:hyperlink w:anchor="_bookmark27" w:history="1">
        <w:r>
          <w:rPr>
            <w:vertAlign w:val="superscript"/>
          </w:rPr>
          <w:t>16</w:t>
        </w:r>
      </w:hyperlink>
      <w:r>
        <w:t xml:space="preserve"> It is sufficient that the respondent is made aware of the "nature" of the complainant's case.</w:t>
      </w:r>
      <w:hyperlink w:anchor="_bookmark28" w:history="1">
        <w:r>
          <w:rPr>
            <w:vertAlign w:val="superscript"/>
          </w:rPr>
          <w:t>17</w:t>
        </w:r>
      </w:hyperlink>
    </w:p>
    <w:p w14:paraId="50041634" w14:textId="77777777" w:rsidR="00BD462C" w:rsidRDefault="00BD462C">
      <w:pPr>
        <w:pStyle w:val="BodyText"/>
        <w:spacing w:before="11"/>
        <w:rPr>
          <w:sz w:val="8"/>
        </w:rPr>
      </w:pPr>
    </w:p>
    <w:p w14:paraId="47D4B3D0" w14:textId="0992ED3E" w:rsidR="00BD462C" w:rsidRDefault="00033D0F" w:rsidP="00C65BAF">
      <w:pPr>
        <w:pStyle w:val="BodyText"/>
        <w:numPr>
          <w:ilvl w:val="0"/>
          <w:numId w:val="68"/>
        </w:numPr>
        <w:spacing w:before="56" w:line="357" w:lineRule="auto"/>
        <w:ind w:right="914"/>
        <w:jc w:val="both"/>
      </w:pPr>
      <w:r>
        <w:rPr>
          <w:position w:val="1"/>
        </w:rPr>
        <w:t xml:space="preserve">Second, China cites three disputes in support of its proposed standard, each from </w:t>
      </w:r>
      <w:r>
        <w:t>more</w:t>
      </w:r>
      <w:r>
        <w:rPr>
          <w:spacing w:val="-14"/>
        </w:rPr>
        <w:t xml:space="preserve"> </w:t>
      </w:r>
      <w:r>
        <w:t>than</w:t>
      </w:r>
      <w:r>
        <w:rPr>
          <w:spacing w:val="-8"/>
        </w:rPr>
        <w:t xml:space="preserve"> </w:t>
      </w:r>
      <w:r>
        <w:t>a decade prior to the</w:t>
      </w:r>
      <w:r>
        <w:rPr>
          <w:spacing w:val="-2"/>
        </w:rPr>
        <w:t xml:space="preserve"> </w:t>
      </w:r>
      <w:r>
        <w:t>Appellate</w:t>
      </w:r>
      <w:r>
        <w:rPr>
          <w:spacing w:val="-2"/>
        </w:rPr>
        <w:t xml:space="preserve"> </w:t>
      </w:r>
      <w:r>
        <w:t>Body's</w:t>
      </w:r>
      <w:r>
        <w:rPr>
          <w:spacing w:val="-1"/>
        </w:rPr>
        <w:t xml:space="preserve"> </w:t>
      </w:r>
      <w:r>
        <w:t>clarification</w:t>
      </w:r>
      <w:r>
        <w:rPr>
          <w:spacing w:val="-4"/>
        </w:rPr>
        <w:t xml:space="preserve"> </w:t>
      </w:r>
      <w:r>
        <w:t>in</w:t>
      </w:r>
      <w:r>
        <w:rPr>
          <w:spacing w:val="-4"/>
        </w:rPr>
        <w:t xml:space="preserve"> </w:t>
      </w:r>
      <w:r>
        <w:rPr>
          <w:i/>
        </w:rPr>
        <w:t>Korea</w:t>
      </w:r>
      <w:r>
        <w:rPr>
          <w:i/>
          <w:spacing w:val="-1"/>
        </w:rPr>
        <w:t xml:space="preserve"> </w:t>
      </w:r>
      <w:r>
        <w:rPr>
          <w:i/>
        </w:rPr>
        <w:t>–</w:t>
      </w:r>
      <w:r>
        <w:rPr>
          <w:i/>
          <w:spacing w:val="-2"/>
        </w:rPr>
        <w:t xml:space="preserve"> </w:t>
      </w:r>
      <w:r>
        <w:rPr>
          <w:i/>
        </w:rPr>
        <w:t>Pneumatic</w:t>
      </w:r>
      <w:r>
        <w:rPr>
          <w:i/>
          <w:spacing w:val="-2"/>
        </w:rPr>
        <w:t xml:space="preserve"> </w:t>
      </w:r>
      <w:r>
        <w:rPr>
          <w:i/>
        </w:rPr>
        <w:t>Valves</w:t>
      </w:r>
      <w:r>
        <w:t>.</w:t>
      </w:r>
      <w:r>
        <w:rPr>
          <w:spacing w:val="-14"/>
        </w:rPr>
        <w:t xml:space="preserve"> </w:t>
      </w:r>
      <w:hyperlink w:anchor="_bookmark29" w:history="1">
        <w:r>
          <w:rPr>
            <w:vertAlign w:val="superscript"/>
          </w:rPr>
          <w:t>18</w:t>
        </w:r>
      </w:hyperlink>
      <w:r>
        <w:t xml:space="preserve"> As discussed below, none of the disputes that China cites in support of its interpretation support its position. It is Australia's view that China has not read beyond the appearance of the phrase "how or why" in these reports and has failed to consider how the Appellate Body has actually assessed compliance with Article 6.2.</w:t>
      </w:r>
    </w:p>
    <w:p w14:paraId="4603141E" w14:textId="77777777" w:rsidR="00BD462C" w:rsidRDefault="00BD462C">
      <w:pPr>
        <w:pStyle w:val="BodyText"/>
        <w:spacing w:before="8"/>
        <w:rPr>
          <w:sz w:val="9"/>
        </w:rPr>
      </w:pPr>
    </w:p>
    <w:p w14:paraId="7F27AFC4" w14:textId="6E2D97DA" w:rsidR="00BD462C" w:rsidRDefault="00033D0F" w:rsidP="00C65BAF">
      <w:pPr>
        <w:pStyle w:val="BodyText"/>
        <w:numPr>
          <w:ilvl w:val="0"/>
          <w:numId w:val="68"/>
        </w:numPr>
        <w:spacing w:before="56" w:line="360" w:lineRule="auto"/>
        <w:ind w:right="912"/>
        <w:jc w:val="both"/>
      </w:pPr>
      <w:r>
        <w:rPr>
          <w:position w:val="1"/>
        </w:rPr>
        <w:t xml:space="preserve">In the first, </w:t>
      </w:r>
      <w:r>
        <w:rPr>
          <w:i/>
          <w:position w:val="1"/>
        </w:rPr>
        <w:t>China – Raw Materials</w:t>
      </w:r>
      <w:r>
        <w:rPr>
          <w:position w:val="1"/>
        </w:rPr>
        <w:t xml:space="preserve">, a </w:t>
      </w:r>
      <w:proofErr w:type="gramStart"/>
      <w:r>
        <w:rPr>
          <w:position w:val="1"/>
        </w:rPr>
        <w:t>third party</w:t>
      </w:r>
      <w:proofErr w:type="gramEnd"/>
      <w:r>
        <w:rPr>
          <w:position w:val="1"/>
        </w:rPr>
        <w:t xml:space="preserve"> participant and the joint appellants </w:t>
      </w:r>
      <w:r>
        <w:t>used</w:t>
      </w:r>
      <w:r>
        <w:rPr>
          <w:spacing w:val="-14"/>
        </w:rPr>
        <w:t xml:space="preserve"> </w:t>
      </w:r>
      <w:r>
        <w:t>the</w:t>
      </w:r>
      <w:r>
        <w:rPr>
          <w:spacing w:val="-4"/>
        </w:rPr>
        <w:t xml:space="preserve"> </w:t>
      </w:r>
      <w:r>
        <w:t>terminology "how or why" or "how and why".</w:t>
      </w:r>
      <w:r>
        <w:rPr>
          <w:spacing w:val="-14"/>
        </w:rPr>
        <w:t xml:space="preserve"> </w:t>
      </w:r>
      <w:hyperlink w:anchor="_bookmark30" w:history="1">
        <w:r>
          <w:rPr>
            <w:vertAlign w:val="superscript"/>
          </w:rPr>
          <w:t>19</w:t>
        </w:r>
      </w:hyperlink>
      <w:r>
        <w:t xml:space="preserve"> However, the Appellate Body itself did</w:t>
      </w:r>
      <w:r>
        <w:rPr>
          <w:spacing w:val="-4"/>
        </w:rPr>
        <w:t xml:space="preserve"> </w:t>
      </w:r>
      <w:r>
        <w:t>not</w:t>
      </w:r>
      <w:r>
        <w:rPr>
          <w:spacing w:val="-2"/>
        </w:rPr>
        <w:t xml:space="preserve"> </w:t>
      </w:r>
      <w:r>
        <w:t>consider</w:t>
      </w:r>
      <w:r>
        <w:rPr>
          <w:spacing w:val="-5"/>
        </w:rPr>
        <w:t xml:space="preserve"> </w:t>
      </w:r>
      <w:r>
        <w:t>whether</w:t>
      </w:r>
      <w:r>
        <w:rPr>
          <w:spacing w:val="-5"/>
        </w:rPr>
        <w:t xml:space="preserve"> </w:t>
      </w:r>
      <w:r>
        <w:t>a</w:t>
      </w:r>
      <w:r>
        <w:rPr>
          <w:spacing w:val="-3"/>
        </w:rPr>
        <w:t xml:space="preserve"> </w:t>
      </w:r>
      <w:r>
        <w:t>complainant</w:t>
      </w:r>
      <w:r>
        <w:rPr>
          <w:spacing w:val="-2"/>
        </w:rPr>
        <w:t xml:space="preserve"> </w:t>
      </w:r>
      <w:r>
        <w:t>must</w:t>
      </w:r>
      <w:r>
        <w:rPr>
          <w:spacing w:val="-2"/>
        </w:rPr>
        <w:t xml:space="preserve"> </w:t>
      </w:r>
      <w:r>
        <w:t>explain</w:t>
      </w:r>
      <w:r>
        <w:rPr>
          <w:spacing w:val="-4"/>
        </w:rPr>
        <w:t xml:space="preserve"> </w:t>
      </w:r>
      <w:r>
        <w:t>"how</w:t>
      </w:r>
      <w:r>
        <w:rPr>
          <w:spacing w:val="-2"/>
        </w:rPr>
        <w:t xml:space="preserve"> </w:t>
      </w:r>
      <w:r>
        <w:t>or</w:t>
      </w:r>
      <w:r>
        <w:rPr>
          <w:spacing w:val="-5"/>
        </w:rPr>
        <w:t xml:space="preserve"> </w:t>
      </w:r>
      <w:r>
        <w:t>why"</w:t>
      </w:r>
      <w:r>
        <w:rPr>
          <w:spacing w:val="-3"/>
        </w:rPr>
        <w:t xml:space="preserve"> </w:t>
      </w:r>
      <w:r>
        <w:t>the</w:t>
      </w:r>
      <w:r>
        <w:rPr>
          <w:spacing w:val="-3"/>
        </w:rPr>
        <w:t xml:space="preserve"> </w:t>
      </w:r>
      <w:r>
        <w:t>respondent</w:t>
      </w:r>
      <w:r>
        <w:rPr>
          <w:spacing w:val="-2"/>
        </w:rPr>
        <w:t xml:space="preserve"> </w:t>
      </w:r>
      <w:r>
        <w:t xml:space="preserve">allegedly infringed each obligation. In implementing Article 6.2, it assessed instead whether the complainant had </w:t>
      </w:r>
      <w:r>
        <w:rPr>
          <w:i/>
        </w:rPr>
        <w:t xml:space="preserve">clearly connected </w:t>
      </w:r>
      <w:r>
        <w:t>the specific measures cited to the provisions cited in its panel request, particularly in light of the unclear references to measures at issue.</w:t>
      </w:r>
      <w:r>
        <w:rPr>
          <w:spacing w:val="-14"/>
        </w:rPr>
        <w:t xml:space="preserve"> </w:t>
      </w:r>
      <w:hyperlink w:anchor="_bookmark31" w:history="1">
        <w:r>
          <w:rPr>
            <w:vertAlign w:val="superscript"/>
          </w:rPr>
          <w:t>20</w:t>
        </w:r>
      </w:hyperlink>
      <w:r>
        <w:t xml:space="preserve"> In the current</w:t>
      </w:r>
      <w:r>
        <w:rPr>
          <w:spacing w:val="-8"/>
        </w:rPr>
        <w:t xml:space="preserve"> </w:t>
      </w:r>
      <w:r>
        <w:t>dispute,</w:t>
      </w:r>
      <w:r>
        <w:rPr>
          <w:spacing w:val="-6"/>
        </w:rPr>
        <w:t xml:space="preserve"> </w:t>
      </w:r>
      <w:r>
        <w:t>it</w:t>
      </w:r>
      <w:r>
        <w:rPr>
          <w:spacing w:val="-12"/>
        </w:rPr>
        <w:t xml:space="preserve"> </w:t>
      </w:r>
      <w:r>
        <w:t>is</w:t>
      </w:r>
      <w:r>
        <w:rPr>
          <w:spacing w:val="-7"/>
        </w:rPr>
        <w:t xml:space="preserve"> </w:t>
      </w:r>
      <w:r>
        <w:t>this</w:t>
      </w:r>
      <w:r>
        <w:rPr>
          <w:spacing w:val="-7"/>
        </w:rPr>
        <w:t xml:space="preserve"> </w:t>
      </w:r>
      <w:r>
        <w:t>connection</w:t>
      </w:r>
      <w:r>
        <w:rPr>
          <w:spacing w:val="-10"/>
        </w:rPr>
        <w:t xml:space="preserve"> </w:t>
      </w:r>
      <w:r>
        <w:t>that</w:t>
      </w:r>
      <w:r>
        <w:rPr>
          <w:spacing w:val="-8"/>
        </w:rPr>
        <w:t xml:space="preserve"> </w:t>
      </w:r>
      <w:r>
        <w:t>Australia</w:t>
      </w:r>
      <w:r>
        <w:rPr>
          <w:spacing w:val="-13"/>
        </w:rPr>
        <w:t xml:space="preserve"> </w:t>
      </w:r>
      <w:r>
        <w:t>contends</w:t>
      </w:r>
      <w:r>
        <w:rPr>
          <w:spacing w:val="-7"/>
        </w:rPr>
        <w:t xml:space="preserve"> </w:t>
      </w:r>
      <w:r>
        <w:t>was</w:t>
      </w:r>
      <w:r>
        <w:rPr>
          <w:spacing w:val="-7"/>
        </w:rPr>
        <w:t xml:space="preserve"> </w:t>
      </w:r>
      <w:r>
        <w:t>clear</w:t>
      </w:r>
      <w:r>
        <w:rPr>
          <w:spacing w:val="-11"/>
        </w:rPr>
        <w:t xml:space="preserve"> </w:t>
      </w:r>
      <w:r>
        <w:t>on</w:t>
      </w:r>
      <w:r>
        <w:rPr>
          <w:spacing w:val="-10"/>
        </w:rPr>
        <w:t xml:space="preserve"> </w:t>
      </w:r>
      <w:r>
        <w:t>the</w:t>
      </w:r>
      <w:r>
        <w:rPr>
          <w:spacing w:val="-8"/>
        </w:rPr>
        <w:t xml:space="preserve"> </w:t>
      </w:r>
      <w:r>
        <w:t>face</w:t>
      </w:r>
      <w:r>
        <w:rPr>
          <w:spacing w:val="-8"/>
        </w:rPr>
        <w:t xml:space="preserve"> </w:t>
      </w:r>
      <w:r>
        <w:t>of</w:t>
      </w:r>
      <w:r>
        <w:rPr>
          <w:spacing w:val="-10"/>
        </w:rPr>
        <w:t xml:space="preserve"> </w:t>
      </w:r>
      <w:r>
        <w:t>the</w:t>
      </w:r>
      <w:r>
        <w:rPr>
          <w:spacing w:val="-8"/>
        </w:rPr>
        <w:t xml:space="preserve"> </w:t>
      </w:r>
      <w:r>
        <w:t xml:space="preserve">panel </w:t>
      </w:r>
      <w:r>
        <w:rPr>
          <w:spacing w:val="-2"/>
        </w:rPr>
        <w:t>request.</w:t>
      </w:r>
    </w:p>
    <w:p w14:paraId="308EEF7C" w14:textId="77777777" w:rsidR="00BD462C" w:rsidRDefault="00BD462C">
      <w:pPr>
        <w:pStyle w:val="BodyText"/>
        <w:spacing w:before="8"/>
        <w:rPr>
          <w:sz w:val="8"/>
        </w:rPr>
      </w:pPr>
    </w:p>
    <w:p w14:paraId="7686367E" w14:textId="28024EF1" w:rsidR="00BD462C" w:rsidRDefault="00033D0F" w:rsidP="00C65BAF">
      <w:pPr>
        <w:pStyle w:val="BodyText"/>
        <w:numPr>
          <w:ilvl w:val="0"/>
          <w:numId w:val="68"/>
        </w:numPr>
        <w:spacing w:before="56" w:line="360" w:lineRule="auto"/>
        <w:ind w:right="912"/>
        <w:jc w:val="both"/>
      </w:pPr>
      <w:r>
        <w:rPr>
          <w:position w:val="1"/>
        </w:rPr>
        <w:t xml:space="preserve">In the second, </w:t>
      </w:r>
      <w:r>
        <w:rPr>
          <w:i/>
          <w:position w:val="1"/>
        </w:rPr>
        <w:t>EC – Selected Customs Measures</w:t>
      </w:r>
      <w:r>
        <w:rPr>
          <w:position w:val="1"/>
        </w:rPr>
        <w:t xml:space="preserve">, the phrase "how or why" did arise. </w:t>
      </w:r>
      <w:r>
        <w:t>Once again, the Appellate Body never considered whether the complainant explained "how" and</w:t>
      </w:r>
      <w:r>
        <w:rPr>
          <w:spacing w:val="-14"/>
        </w:rPr>
        <w:t xml:space="preserve"> </w:t>
      </w:r>
      <w:r>
        <w:t>"why"</w:t>
      </w:r>
      <w:r>
        <w:rPr>
          <w:spacing w:val="-13"/>
        </w:rPr>
        <w:t xml:space="preserve"> </w:t>
      </w:r>
      <w:r>
        <w:t>each</w:t>
      </w:r>
      <w:r>
        <w:rPr>
          <w:spacing w:val="-14"/>
        </w:rPr>
        <w:t xml:space="preserve"> </w:t>
      </w:r>
      <w:r>
        <w:t>obligation</w:t>
      </w:r>
      <w:r>
        <w:rPr>
          <w:spacing w:val="-14"/>
        </w:rPr>
        <w:t xml:space="preserve"> </w:t>
      </w:r>
      <w:r>
        <w:t>was</w:t>
      </w:r>
      <w:r>
        <w:rPr>
          <w:spacing w:val="-9"/>
        </w:rPr>
        <w:t xml:space="preserve"> </w:t>
      </w:r>
      <w:r>
        <w:t>allegedly</w:t>
      </w:r>
      <w:r>
        <w:rPr>
          <w:spacing w:val="-11"/>
        </w:rPr>
        <w:t xml:space="preserve"> </w:t>
      </w:r>
      <w:r>
        <w:t>infringed</w:t>
      </w:r>
      <w:r>
        <w:rPr>
          <w:spacing w:val="-14"/>
        </w:rPr>
        <w:t xml:space="preserve"> </w:t>
      </w:r>
      <w:r>
        <w:t>in</w:t>
      </w:r>
      <w:r>
        <w:rPr>
          <w:spacing w:val="-14"/>
        </w:rPr>
        <w:t xml:space="preserve"> </w:t>
      </w:r>
      <w:r>
        <w:t>its</w:t>
      </w:r>
      <w:r>
        <w:rPr>
          <w:spacing w:val="-9"/>
        </w:rPr>
        <w:t xml:space="preserve"> </w:t>
      </w:r>
      <w:r>
        <w:t>analysis</w:t>
      </w:r>
      <w:r>
        <w:rPr>
          <w:spacing w:val="-10"/>
        </w:rPr>
        <w:t xml:space="preserve"> </w:t>
      </w:r>
      <w:r>
        <w:t>of</w:t>
      </w:r>
      <w:r>
        <w:rPr>
          <w:spacing w:val="-14"/>
        </w:rPr>
        <w:t xml:space="preserve"> </w:t>
      </w:r>
      <w:r>
        <w:t>compliance</w:t>
      </w:r>
      <w:r>
        <w:rPr>
          <w:spacing w:val="-12"/>
        </w:rPr>
        <w:t xml:space="preserve"> </w:t>
      </w:r>
      <w:r>
        <w:t>with</w:t>
      </w:r>
      <w:r>
        <w:rPr>
          <w:spacing w:val="-14"/>
        </w:rPr>
        <w:t xml:space="preserve"> </w:t>
      </w:r>
      <w:r>
        <w:t>Article</w:t>
      </w:r>
      <w:r>
        <w:rPr>
          <w:spacing w:val="-12"/>
        </w:rPr>
        <w:t xml:space="preserve"> </w:t>
      </w:r>
      <w:r>
        <w:t>6.2. Instead,</w:t>
      </w:r>
      <w:r>
        <w:rPr>
          <w:spacing w:val="-14"/>
        </w:rPr>
        <w:t xml:space="preserve"> </w:t>
      </w:r>
      <w:r>
        <w:t>the</w:t>
      </w:r>
      <w:r>
        <w:rPr>
          <w:spacing w:val="-13"/>
        </w:rPr>
        <w:t xml:space="preserve"> </w:t>
      </w:r>
      <w:r>
        <w:t>Appellate</w:t>
      </w:r>
      <w:r>
        <w:rPr>
          <w:spacing w:val="-13"/>
        </w:rPr>
        <w:t xml:space="preserve"> </w:t>
      </w:r>
      <w:r>
        <w:t>Body</w:t>
      </w:r>
      <w:r>
        <w:rPr>
          <w:spacing w:val="-12"/>
        </w:rPr>
        <w:t xml:space="preserve"> </w:t>
      </w:r>
      <w:r>
        <w:t>considered</w:t>
      </w:r>
      <w:r>
        <w:rPr>
          <w:spacing w:val="-14"/>
        </w:rPr>
        <w:t xml:space="preserve"> </w:t>
      </w:r>
      <w:r>
        <w:t>whether</w:t>
      </w:r>
      <w:r>
        <w:rPr>
          <w:spacing w:val="-14"/>
        </w:rPr>
        <w:t xml:space="preserve"> </w:t>
      </w:r>
      <w:r>
        <w:t>the</w:t>
      </w:r>
      <w:r>
        <w:rPr>
          <w:spacing w:val="-12"/>
        </w:rPr>
        <w:t xml:space="preserve"> </w:t>
      </w:r>
      <w:r>
        <w:t>complainant</w:t>
      </w:r>
      <w:r>
        <w:rPr>
          <w:spacing w:val="-12"/>
        </w:rPr>
        <w:t xml:space="preserve"> </w:t>
      </w:r>
      <w:r>
        <w:t>had</w:t>
      </w:r>
      <w:r>
        <w:rPr>
          <w:spacing w:val="-14"/>
        </w:rPr>
        <w:t xml:space="preserve"> </w:t>
      </w:r>
      <w:r>
        <w:t>made</w:t>
      </w:r>
      <w:r>
        <w:rPr>
          <w:spacing w:val="-12"/>
        </w:rPr>
        <w:t xml:space="preserve"> </w:t>
      </w:r>
      <w:r>
        <w:t>its</w:t>
      </w:r>
      <w:r>
        <w:rPr>
          <w:spacing w:val="-11"/>
        </w:rPr>
        <w:t xml:space="preserve"> </w:t>
      </w:r>
      <w:r>
        <w:t>claim</w:t>
      </w:r>
      <w:r>
        <w:rPr>
          <w:spacing w:val="-13"/>
        </w:rPr>
        <w:t xml:space="preserve"> </w:t>
      </w:r>
      <w:r>
        <w:t>"clearly", based</w:t>
      </w:r>
      <w:r>
        <w:rPr>
          <w:spacing w:val="-8"/>
        </w:rPr>
        <w:t xml:space="preserve"> </w:t>
      </w:r>
      <w:r>
        <w:t>on</w:t>
      </w:r>
      <w:r>
        <w:rPr>
          <w:spacing w:val="-8"/>
        </w:rPr>
        <w:t xml:space="preserve"> </w:t>
      </w:r>
      <w:r>
        <w:t>narrative,</w:t>
      </w:r>
      <w:r>
        <w:rPr>
          <w:spacing w:val="-4"/>
        </w:rPr>
        <w:t xml:space="preserve"> </w:t>
      </w:r>
      <w:proofErr w:type="gramStart"/>
      <w:r>
        <w:t>context</w:t>
      </w:r>
      <w:proofErr w:type="gramEnd"/>
      <w:r>
        <w:rPr>
          <w:spacing w:val="-6"/>
        </w:rPr>
        <w:t xml:space="preserve"> </w:t>
      </w:r>
      <w:r>
        <w:t>and</w:t>
      </w:r>
      <w:r>
        <w:rPr>
          <w:spacing w:val="-8"/>
        </w:rPr>
        <w:t xml:space="preserve"> </w:t>
      </w:r>
      <w:r>
        <w:t>wording.</w:t>
      </w:r>
      <w:hyperlink w:anchor="_bookmark32" w:history="1">
        <w:r>
          <w:rPr>
            <w:vertAlign w:val="superscript"/>
          </w:rPr>
          <w:t>21</w:t>
        </w:r>
      </w:hyperlink>
      <w:r>
        <w:rPr>
          <w:spacing w:val="-5"/>
        </w:rPr>
        <w:t xml:space="preserve"> </w:t>
      </w:r>
      <w:r>
        <w:t>It</w:t>
      </w:r>
      <w:r>
        <w:rPr>
          <w:spacing w:val="-6"/>
        </w:rPr>
        <w:t xml:space="preserve"> </w:t>
      </w:r>
      <w:r>
        <w:t>further</w:t>
      </w:r>
      <w:r>
        <w:rPr>
          <w:spacing w:val="-9"/>
        </w:rPr>
        <w:t xml:space="preserve"> </w:t>
      </w:r>
      <w:r>
        <w:t>considered</w:t>
      </w:r>
      <w:r>
        <w:rPr>
          <w:spacing w:val="-8"/>
        </w:rPr>
        <w:t xml:space="preserve"> </w:t>
      </w:r>
      <w:r>
        <w:t>whether</w:t>
      </w:r>
      <w:r>
        <w:rPr>
          <w:spacing w:val="-9"/>
        </w:rPr>
        <w:t xml:space="preserve"> </w:t>
      </w:r>
      <w:r>
        <w:t>the</w:t>
      </w:r>
      <w:r>
        <w:rPr>
          <w:spacing w:val="-2"/>
        </w:rPr>
        <w:t xml:space="preserve"> </w:t>
      </w:r>
      <w:r>
        <w:t>respondent</w:t>
      </w:r>
      <w:r>
        <w:rPr>
          <w:spacing w:val="-6"/>
        </w:rPr>
        <w:t xml:space="preserve"> </w:t>
      </w:r>
      <w:r>
        <w:t>had</w:t>
      </w:r>
    </w:p>
    <w:p w14:paraId="15E586CC" w14:textId="40FBB212" w:rsidR="00BD462C" w:rsidRDefault="00BD462C">
      <w:pPr>
        <w:pStyle w:val="BodyText"/>
        <w:spacing w:before="10"/>
        <w:rPr>
          <w:sz w:val="27"/>
        </w:rPr>
      </w:pPr>
    </w:p>
    <w:bookmarkStart w:id="36" w:name="_bookmark26"/>
    <w:bookmarkEnd w:id="36"/>
    <w:p w14:paraId="2170FFE0" w14:textId="12EB2573" w:rsidR="00BD462C" w:rsidRDefault="002C3E13">
      <w:pPr>
        <w:spacing w:before="112" w:line="218" w:lineRule="exact"/>
        <w:ind w:left="135"/>
        <w:rPr>
          <w:sz w:val="18"/>
        </w:rPr>
      </w:pPr>
      <w:r w:rsidRPr="003A43C7">
        <w:rPr>
          <w:noProof/>
        </w:rPr>
        <mc:AlternateContent>
          <mc:Choice Requires="wps">
            <w:drawing>
              <wp:anchor distT="0" distB="0" distL="114300" distR="114300" simplePos="0" relativeHeight="487940608" behindDoc="0" locked="0" layoutInCell="1" allowOverlap="1" wp14:anchorId="0B7BBC1A" wp14:editId="59357A46">
                <wp:simplePos x="0" y="0"/>
                <wp:positionH relativeFrom="column">
                  <wp:posOffset>0</wp:posOffset>
                </wp:positionH>
                <wp:positionV relativeFrom="paragraph">
                  <wp:posOffset>26314</wp:posOffset>
                </wp:positionV>
                <wp:extent cx="2400300" cy="0"/>
                <wp:effectExtent l="0" t="0" r="0" b="0"/>
                <wp:wrapNone/>
                <wp:docPr id="1462" name="Straight Connector 14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400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C5FD00" id="Straight Connector 1462" o:spid="_x0000_s1026" alt="&quot;&quot;" style="position:absolute;z-index:487940608;visibility:visible;mso-wrap-style:square;mso-wrap-distance-left:9pt;mso-wrap-distance-top:0;mso-wrap-distance-right:9pt;mso-wrap-distance-bottom:0;mso-position-horizontal:absolute;mso-position-horizontal-relative:text;mso-position-vertical:absolute;mso-position-vertical-relative:text" from="0,2.05pt" to="189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" strokecolor="#4579b8 [3044]"/>
            </w:pict>
          </mc:Fallback>
        </mc:AlternateContent>
      </w:r>
      <w:r w:rsidR="00033D0F">
        <w:rPr>
          <w:position w:val="5"/>
          <w:sz w:val="12"/>
        </w:rPr>
        <w:t>15</w:t>
      </w:r>
      <w:r w:rsidR="00033D0F">
        <w:rPr>
          <w:spacing w:val="14"/>
          <w:position w:val="5"/>
          <w:sz w:val="12"/>
        </w:rPr>
        <w:t xml:space="preserve"> </w:t>
      </w:r>
      <w:r w:rsidR="00033D0F">
        <w:rPr>
          <w:sz w:val="18"/>
        </w:rPr>
        <w:t>Appellate</w:t>
      </w:r>
      <w:r w:rsidR="00033D0F">
        <w:rPr>
          <w:spacing w:val="-9"/>
          <w:sz w:val="18"/>
        </w:rPr>
        <w:t xml:space="preserve"> </w:t>
      </w:r>
      <w:r w:rsidR="00033D0F">
        <w:rPr>
          <w:sz w:val="18"/>
        </w:rPr>
        <w:t>Body</w:t>
      </w:r>
      <w:r w:rsidR="00033D0F">
        <w:rPr>
          <w:spacing w:val="-6"/>
          <w:sz w:val="18"/>
        </w:rPr>
        <w:t xml:space="preserve"> </w:t>
      </w:r>
      <w:r w:rsidR="00033D0F">
        <w:rPr>
          <w:sz w:val="18"/>
        </w:rPr>
        <w:t>Report,</w:t>
      </w:r>
      <w:r w:rsidR="00033D0F">
        <w:rPr>
          <w:spacing w:val="-2"/>
          <w:sz w:val="18"/>
        </w:rPr>
        <w:t xml:space="preserve"> </w:t>
      </w:r>
      <w:r w:rsidR="00033D0F">
        <w:rPr>
          <w:i/>
          <w:sz w:val="18"/>
        </w:rPr>
        <w:t>Korea</w:t>
      </w:r>
      <w:r w:rsidR="00033D0F">
        <w:rPr>
          <w:i/>
          <w:spacing w:val="-4"/>
          <w:sz w:val="18"/>
        </w:rPr>
        <w:t xml:space="preserve"> </w:t>
      </w:r>
      <w:r w:rsidR="00033D0F">
        <w:rPr>
          <w:i/>
          <w:sz w:val="18"/>
        </w:rPr>
        <w:t>–</w:t>
      </w:r>
      <w:r w:rsidR="00033D0F">
        <w:rPr>
          <w:i/>
          <w:spacing w:val="-4"/>
          <w:sz w:val="18"/>
        </w:rPr>
        <w:t xml:space="preserve"> </w:t>
      </w:r>
      <w:r w:rsidR="00033D0F">
        <w:rPr>
          <w:i/>
          <w:sz w:val="18"/>
        </w:rPr>
        <w:t>Pneumatic</w:t>
      </w:r>
      <w:r w:rsidR="00033D0F">
        <w:rPr>
          <w:i/>
          <w:spacing w:val="-4"/>
          <w:sz w:val="18"/>
        </w:rPr>
        <w:t xml:space="preserve"> </w:t>
      </w:r>
      <w:r w:rsidR="00033D0F">
        <w:rPr>
          <w:i/>
          <w:sz w:val="18"/>
        </w:rPr>
        <w:t>Valves</w:t>
      </w:r>
      <w:r w:rsidR="00033D0F">
        <w:rPr>
          <w:sz w:val="18"/>
        </w:rPr>
        <w:t>,</w:t>
      </w:r>
      <w:r w:rsidR="00033D0F">
        <w:rPr>
          <w:spacing w:val="2"/>
          <w:sz w:val="18"/>
        </w:rPr>
        <w:t xml:space="preserve"> </w:t>
      </w:r>
      <w:r w:rsidR="00033D0F">
        <w:rPr>
          <w:sz w:val="18"/>
        </w:rPr>
        <w:t>para.</w:t>
      </w:r>
      <w:r w:rsidR="00033D0F">
        <w:rPr>
          <w:spacing w:val="1"/>
          <w:sz w:val="18"/>
        </w:rPr>
        <w:t xml:space="preserve"> </w:t>
      </w:r>
      <w:r w:rsidR="00033D0F">
        <w:rPr>
          <w:spacing w:val="-2"/>
          <w:sz w:val="18"/>
        </w:rPr>
        <w:t>5.31.</w:t>
      </w:r>
    </w:p>
    <w:p w14:paraId="0714FDF5" w14:textId="77777777" w:rsidR="00BD462C" w:rsidRDefault="00033D0F">
      <w:pPr>
        <w:ind w:left="135" w:right="923"/>
        <w:rPr>
          <w:sz w:val="18"/>
        </w:rPr>
      </w:pPr>
      <w:bookmarkStart w:id="37" w:name="_bookmark27"/>
      <w:bookmarkEnd w:id="37"/>
      <w:r>
        <w:rPr>
          <w:position w:val="5"/>
          <w:sz w:val="12"/>
        </w:rPr>
        <w:t>16</w:t>
      </w:r>
      <w:r>
        <w:rPr>
          <w:spacing w:val="30"/>
          <w:position w:val="5"/>
          <w:sz w:val="12"/>
        </w:rPr>
        <w:t xml:space="preserve"> </w:t>
      </w:r>
      <w:r>
        <w:rPr>
          <w:sz w:val="18"/>
        </w:rPr>
        <w:t>Appellate Body Reports,</w:t>
      </w:r>
      <w:r>
        <w:rPr>
          <w:spacing w:val="18"/>
          <w:sz w:val="18"/>
        </w:rPr>
        <w:t xml:space="preserve"> </w:t>
      </w:r>
      <w:r>
        <w:rPr>
          <w:i/>
          <w:sz w:val="18"/>
        </w:rPr>
        <w:t>Korea – Pneumatic Valves</w:t>
      </w:r>
      <w:r>
        <w:rPr>
          <w:sz w:val="18"/>
        </w:rPr>
        <w:t>, paras. 5.7,</w:t>
      </w:r>
      <w:r>
        <w:rPr>
          <w:spacing w:val="18"/>
          <w:sz w:val="18"/>
        </w:rPr>
        <w:t xml:space="preserve"> </w:t>
      </w:r>
      <w:r>
        <w:rPr>
          <w:sz w:val="18"/>
        </w:rPr>
        <w:t>5.12,</w:t>
      </w:r>
      <w:r>
        <w:rPr>
          <w:spacing w:val="18"/>
          <w:sz w:val="18"/>
        </w:rPr>
        <w:t xml:space="preserve"> </w:t>
      </w:r>
      <w:r>
        <w:rPr>
          <w:sz w:val="18"/>
        </w:rPr>
        <w:t xml:space="preserve">and 5.33; see further </w:t>
      </w:r>
      <w:r>
        <w:rPr>
          <w:i/>
          <w:sz w:val="18"/>
        </w:rPr>
        <w:t>Russia –</w:t>
      </w:r>
      <w:r>
        <w:rPr>
          <w:i/>
          <w:spacing w:val="-3"/>
          <w:sz w:val="18"/>
        </w:rPr>
        <w:t xml:space="preserve"> </w:t>
      </w:r>
      <w:r>
        <w:rPr>
          <w:i/>
          <w:sz w:val="18"/>
        </w:rPr>
        <w:t>Railway Equipment</w:t>
      </w:r>
      <w:r>
        <w:rPr>
          <w:sz w:val="18"/>
        </w:rPr>
        <w:t xml:space="preserve">, paras. 5.26-5.28; Appellate Body Report, </w:t>
      </w:r>
      <w:r>
        <w:rPr>
          <w:i/>
          <w:sz w:val="18"/>
        </w:rPr>
        <w:t>Korea – Dairy</w:t>
      </w:r>
      <w:r>
        <w:rPr>
          <w:sz w:val="18"/>
        </w:rPr>
        <w:t>, para. 120.</w:t>
      </w:r>
    </w:p>
    <w:p w14:paraId="4B5F61B7" w14:textId="77777777" w:rsidR="00BD462C" w:rsidRDefault="00033D0F">
      <w:pPr>
        <w:ind w:left="135"/>
        <w:rPr>
          <w:sz w:val="18"/>
        </w:rPr>
      </w:pPr>
      <w:bookmarkStart w:id="38" w:name="_bookmark28"/>
      <w:bookmarkEnd w:id="38"/>
      <w:r>
        <w:rPr>
          <w:position w:val="5"/>
          <w:sz w:val="12"/>
        </w:rPr>
        <w:t>17</w:t>
      </w:r>
      <w:r>
        <w:rPr>
          <w:spacing w:val="13"/>
          <w:position w:val="5"/>
          <w:sz w:val="12"/>
        </w:rPr>
        <w:t xml:space="preserve"> </w:t>
      </w:r>
      <w:r>
        <w:rPr>
          <w:sz w:val="18"/>
        </w:rPr>
        <w:t>Appellate</w:t>
      </w:r>
      <w:r>
        <w:rPr>
          <w:spacing w:val="-9"/>
          <w:sz w:val="18"/>
        </w:rPr>
        <w:t xml:space="preserve"> </w:t>
      </w:r>
      <w:r>
        <w:rPr>
          <w:sz w:val="18"/>
        </w:rPr>
        <w:t>Body</w:t>
      </w:r>
      <w:r>
        <w:rPr>
          <w:spacing w:val="-6"/>
          <w:sz w:val="18"/>
        </w:rPr>
        <w:t xml:space="preserve"> </w:t>
      </w:r>
      <w:r>
        <w:rPr>
          <w:sz w:val="18"/>
        </w:rPr>
        <w:t>Report,</w:t>
      </w:r>
      <w:r>
        <w:rPr>
          <w:spacing w:val="-3"/>
          <w:sz w:val="18"/>
        </w:rPr>
        <w:t xml:space="preserve"> </w:t>
      </w:r>
      <w:r>
        <w:rPr>
          <w:i/>
          <w:sz w:val="18"/>
        </w:rPr>
        <w:t>Korea</w:t>
      </w:r>
      <w:r>
        <w:rPr>
          <w:i/>
          <w:spacing w:val="-4"/>
          <w:sz w:val="18"/>
        </w:rPr>
        <w:t xml:space="preserve"> </w:t>
      </w:r>
      <w:r>
        <w:rPr>
          <w:i/>
          <w:sz w:val="18"/>
        </w:rPr>
        <w:t>–</w:t>
      </w:r>
      <w:r>
        <w:rPr>
          <w:i/>
          <w:spacing w:val="-5"/>
          <w:sz w:val="18"/>
        </w:rPr>
        <w:t xml:space="preserve"> </w:t>
      </w:r>
      <w:r>
        <w:rPr>
          <w:i/>
          <w:sz w:val="18"/>
        </w:rPr>
        <w:t>Pneumatic</w:t>
      </w:r>
      <w:r>
        <w:rPr>
          <w:i/>
          <w:spacing w:val="-4"/>
          <w:sz w:val="18"/>
        </w:rPr>
        <w:t xml:space="preserve"> </w:t>
      </w:r>
      <w:r>
        <w:rPr>
          <w:i/>
          <w:sz w:val="18"/>
        </w:rPr>
        <w:t>Valves</w:t>
      </w:r>
      <w:r>
        <w:rPr>
          <w:sz w:val="18"/>
        </w:rPr>
        <w:t>,</w:t>
      </w:r>
      <w:r>
        <w:rPr>
          <w:spacing w:val="2"/>
          <w:sz w:val="18"/>
        </w:rPr>
        <w:t xml:space="preserve"> </w:t>
      </w:r>
      <w:r>
        <w:rPr>
          <w:sz w:val="18"/>
        </w:rPr>
        <w:t>paras.</w:t>
      </w:r>
      <w:r>
        <w:rPr>
          <w:spacing w:val="-4"/>
          <w:sz w:val="18"/>
        </w:rPr>
        <w:t xml:space="preserve"> </w:t>
      </w:r>
      <w:r>
        <w:rPr>
          <w:sz w:val="18"/>
        </w:rPr>
        <w:t>5.90-</w:t>
      </w:r>
      <w:r>
        <w:rPr>
          <w:spacing w:val="-5"/>
          <w:sz w:val="18"/>
        </w:rPr>
        <w:t>93.</w:t>
      </w:r>
    </w:p>
    <w:p w14:paraId="25348EC9" w14:textId="77777777" w:rsidR="00BD462C" w:rsidRDefault="00033D0F">
      <w:pPr>
        <w:spacing w:before="1" w:line="218" w:lineRule="exact"/>
        <w:ind w:left="135"/>
        <w:rPr>
          <w:sz w:val="18"/>
        </w:rPr>
      </w:pPr>
      <w:bookmarkStart w:id="39" w:name="_bookmark29"/>
      <w:bookmarkEnd w:id="39"/>
      <w:r>
        <w:rPr>
          <w:position w:val="5"/>
          <w:sz w:val="12"/>
        </w:rPr>
        <w:t>18</w:t>
      </w:r>
      <w:r>
        <w:rPr>
          <w:spacing w:val="14"/>
          <w:position w:val="5"/>
          <w:sz w:val="12"/>
        </w:rPr>
        <w:t xml:space="preserve"> </w:t>
      </w:r>
      <w:r>
        <w:rPr>
          <w:sz w:val="18"/>
        </w:rPr>
        <w:t>See</w:t>
      </w:r>
      <w:r>
        <w:rPr>
          <w:spacing w:val="-5"/>
          <w:sz w:val="18"/>
        </w:rPr>
        <w:t xml:space="preserve"> </w:t>
      </w:r>
      <w:r>
        <w:rPr>
          <w:sz w:val="18"/>
        </w:rPr>
        <w:t>China's</w:t>
      </w:r>
      <w:r>
        <w:rPr>
          <w:spacing w:val="1"/>
          <w:sz w:val="18"/>
        </w:rPr>
        <w:t xml:space="preserve"> </w:t>
      </w:r>
      <w:r>
        <w:rPr>
          <w:sz w:val="18"/>
        </w:rPr>
        <w:t>opening</w:t>
      </w:r>
      <w:r>
        <w:rPr>
          <w:spacing w:val="-5"/>
          <w:sz w:val="18"/>
        </w:rPr>
        <w:t xml:space="preserve"> </w:t>
      </w:r>
      <w:r>
        <w:rPr>
          <w:sz w:val="18"/>
        </w:rPr>
        <w:t>statement</w:t>
      </w:r>
      <w:r>
        <w:rPr>
          <w:spacing w:val="1"/>
          <w:sz w:val="18"/>
        </w:rPr>
        <w:t xml:space="preserve"> </w:t>
      </w:r>
      <w:r>
        <w:rPr>
          <w:sz w:val="18"/>
        </w:rPr>
        <w:t>at</w:t>
      </w:r>
      <w:r>
        <w:rPr>
          <w:spacing w:val="-4"/>
          <w:sz w:val="18"/>
        </w:rPr>
        <w:t xml:space="preserve"> </w:t>
      </w:r>
      <w:r>
        <w:rPr>
          <w:sz w:val="18"/>
        </w:rPr>
        <w:t>the</w:t>
      </w:r>
      <w:r>
        <w:rPr>
          <w:spacing w:val="-4"/>
          <w:sz w:val="18"/>
        </w:rPr>
        <w:t xml:space="preserve"> </w:t>
      </w:r>
      <w:r>
        <w:rPr>
          <w:sz w:val="18"/>
        </w:rPr>
        <w:t>first</w:t>
      </w:r>
      <w:r>
        <w:rPr>
          <w:spacing w:val="-4"/>
          <w:sz w:val="18"/>
        </w:rPr>
        <w:t xml:space="preserve"> </w:t>
      </w:r>
      <w:r>
        <w:rPr>
          <w:sz w:val="18"/>
        </w:rPr>
        <w:t>meeting</w:t>
      </w:r>
      <w:r>
        <w:rPr>
          <w:spacing w:val="-4"/>
          <w:sz w:val="18"/>
        </w:rPr>
        <w:t xml:space="preserve"> </w:t>
      </w:r>
      <w:r>
        <w:rPr>
          <w:sz w:val="18"/>
        </w:rPr>
        <w:t>of</w:t>
      </w:r>
      <w:r>
        <w:rPr>
          <w:spacing w:val="-3"/>
          <w:sz w:val="18"/>
        </w:rPr>
        <w:t xml:space="preserve"> </w:t>
      </w:r>
      <w:r>
        <w:rPr>
          <w:sz w:val="18"/>
        </w:rPr>
        <w:t>the</w:t>
      </w:r>
      <w:r>
        <w:rPr>
          <w:spacing w:val="-5"/>
          <w:sz w:val="18"/>
        </w:rPr>
        <w:t xml:space="preserve"> </w:t>
      </w:r>
      <w:r>
        <w:rPr>
          <w:sz w:val="18"/>
        </w:rPr>
        <w:t>Panel,</w:t>
      </w:r>
      <w:r>
        <w:rPr>
          <w:spacing w:val="-2"/>
          <w:sz w:val="18"/>
        </w:rPr>
        <w:t xml:space="preserve"> </w:t>
      </w:r>
      <w:r>
        <w:rPr>
          <w:sz w:val="18"/>
        </w:rPr>
        <w:t>para.</w:t>
      </w:r>
      <w:r>
        <w:rPr>
          <w:spacing w:val="1"/>
          <w:sz w:val="18"/>
        </w:rPr>
        <w:t xml:space="preserve"> </w:t>
      </w:r>
      <w:r>
        <w:rPr>
          <w:spacing w:val="-5"/>
          <w:sz w:val="18"/>
        </w:rPr>
        <w:t>12.</w:t>
      </w:r>
    </w:p>
    <w:p w14:paraId="6C567EAC" w14:textId="77777777" w:rsidR="00BD462C" w:rsidRDefault="00033D0F">
      <w:pPr>
        <w:ind w:left="136" w:right="910" w:hanging="1"/>
        <w:jc w:val="both"/>
        <w:rPr>
          <w:sz w:val="18"/>
        </w:rPr>
      </w:pPr>
      <w:bookmarkStart w:id="40" w:name="_bookmark30"/>
      <w:bookmarkEnd w:id="40"/>
      <w:r>
        <w:rPr>
          <w:position w:val="5"/>
          <w:sz w:val="12"/>
        </w:rPr>
        <w:t>19</w:t>
      </w:r>
      <w:r>
        <w:rPr>
          <w:spacing w:val="36"/>
          <w:position w:val="5"/>
          <w:sz w:val="12"/>
        </w:rPr>
        <w:t xml:space="preserve"> </w:t>
      </w:r>
      <w:r>
        <w:rPr>
          <w:sz w:val="18"/>
        </w:rPr>
        <w:t xml:space="preserve">The Appellate Body's reasoning contains a single footnote reference to Appellate Body Report, </w:t>
      </w:r>
      <w:r>
        <w:rPr>
          <w:i/>
          <w:sz w:val="18"/>
        </w:rPr>
        <w:t>EC – Selected Customs Measures</w:t>
      </w:r>
      <w:r>
        <w:rPr>
          <w:sz w:val="18"/>
        </w:rPr>
        <w:t>, but</w:t>
      </w:r>
      <w:r>
        <w:rPr>
          <w:spacing w:val="-2"/>
          <w:sz w:val="18"/>
        </w:rPr>
        <w:t xml:space="preserve"> </w:t>
      </w:r>
      <w:r>
        <w:rPr>
          <w:sz w:val="18"/>
        </w:rPr>
        <w:t>does not in</w:t>
      </w:r>
      <w:r>
        <w:rPr>
          <w:spacing w:val="-3"/>
          <w:sz w:val="18"/>
        </w:rPr>
        <w:t xml:space="preserve"> </w:t>
      </w:r>
      <w:r>
        <w:rPr>
          <w:sz w:val="18"/>
        </w:rPr>
        <w:t>any</w:t>
      </w:r>
      <w:r>
        <w:rPr>
          <w:spacing w:val="-4"/>
          <w:sz w:val="18"/>
        </w:rPr>
        <w:t xml:space="preserve"> </w:t>
      </w:r>
      <w:r>
        <w:rPr>
          <w:sz w:val="18"/>
        </w:rPr>
        <w:t>way</w:t>
      </w:r>
      <w:r>
        <w:rPr>
          <w:spacing w:val="-4"/>
          <w:sz w:val="18"/>
        </w:rPr>
        <w:t xml:space="preserve"> </w:t>
      </w:r>
      <w:r>
        <w:rPr>
          <w:sz w:val="18"/>
        </w:rPr>
        <w:t>engage with</w:t>
      </w:r>
      <w:r>
        <w:rPr>
          <w:spacing w:val="-3"/>
          <w:sz w:val="18"/>
        </w:rPr>
        <w:t xml:space="preserve"> </w:t>
      </w:r>
      <w:r>
        <w:rPr>
          <w:sz w:val="18"/>
        </w:rPr>
        <w:t>a</w:t>
      </w:r>
      <w:r>
        <w:rPr>
          <w:spacing w:val="-4"/>
          <w:sz w:val="18"/>
        </w:rPr>
        <w:t xml:space="preserve"> </w:t>
      </w:r>
      <w:r>
        <w:rPr>
          <w:sz w:val="18"/>
        </w:rPr>
        <w:t>"how</w:t>
      </w:r>
      <w:r>
        <w:rPr>
          <w:spacing w:val="-4"/>
          <w:sz w:val="18"/>
        </w:rPr>
        <w:t xml:space="preserve"> </w:t>
      </w:r>
      <w:r>
        <w:rPr>
          <w:sz w:val="18"/>
        </w:rPr>
        <w:t>or</w:t>
      </w:r>
      <w:r>
        <w:rPr>
          <w:spacing w:val="-4"/>
          <w:sz w:val="18"/>
        </w:rPr>
        <w:t xml:space="preserve"> </w:t>
      </w:r>
      <w:r>
        <w:rPr>
          <w:sz w:val="18"/>
        </w:rPr>
        <w:t>why"</w:t>
      </w:r>
      <w:r>
        <w:rPr>
          <w:spacing w:val="-4"/>
          <w:sz w:val="18"/>
        </w:rPr>
        <w:t xml:space="preserve"> </w:t>
      </w:r>
      <w:r>
        <w:rPr>
          <w:sz w:val="18"/>
        </w:rPr>
        <w:t>standard</w:t>
      </w:r>
      <w:r>
        <w:rPr>
          <w:spacing w:val="-3"/>
          <w:sz w:val="18"/>
        </w:rPr>
        <w:t xml:space="preserve"> </w:t>
      </w:r>
      <w:r>
        <w:rPr>
          <w:sz w:val="18"/>
        </w:rPr>
        <w:t>in</w:t>
      </w:r>
      <w:r>
        <w:rPr>
          <w:spacing w:val="-3"/>
          <w:sz w:val="18"/>
        </w:rPr>
        <w:t xml:space="preserve"> </w:t>
      </w:r>
      <w:r>
        <w:rPr>
          <w:sz w:val="18"/>
        </w:rPr>
        <w:t>its</w:t>
      </w:r>
      <w:r>
        <w:rPr>
          <w:spacing w:val="-2"/>
          <w:sz w:val="18"/>
        </w:rPr>
        <w:t xml:space="preserve"> </w:t>
      </w:r>
      <w:r>
        <w:rPr>
          <w:sz w:val="18"/>
        </w:rPr>
        <w:t>analysis:</w:t>
      </w:r>
      <w:r>
        <w:rPr>
          <w:spacing w:val="-4"/>
          <w:sz w:val="18"/>
        </w:rPr>
        <w:t xml:space="preserve"> </w:t>
      </w:r>
      <w:r>
        <w:rPr>
          <w:sz w:val="18"/>
        </w:rPr>
        <w:t>Appellate</w:t>
      </w:r>
      <w:r>
        <w:rPr>
          <w:spacing w:val="-2"/>
          <w:sz w:val="18"/>
        </w:rPr>
        <w:t xml:space="preserve"> </w:t>
      </w:r>
      <w:r>
        <w:rPr>
          <w:sz w:val="18"/>
        </w:rPr>
        <w:t>Body</w:t>
      </w:r>
      <w:r>
        <w:rPr>
          <w:spacing w:val="-9"/>
          <w:sz w:val="18"/>
        </w:rPr>
        <w:t xml:space="preserve"> </w:t>
      </w:r>
      <w:r>
        <w:rPr>
          <w:sz w:val="18"/>
        </w:rPr>
        <w:t xml:space="preserve">Report, </w:t>
      </w:r>
      <w:r>
        <w:rPr>
          <w:i/>
          <w:sz w:val="18"/>
        </w:rPr>
        <w:t>China –</w:t>
      </w:r>
      <w:r>
        <w:rPr>
          <w:i/>
          <w:spacing w:val="-2"/>
          <w:sz w:val="18"/>
        </w:rPr>
        <w:t xml:space="preserve"> </w:t>
      </w:r>
      <w:r>
        <w:rPr>
          <w:i/>
          <w:sz w:val="18"/>
        </w:rPr>
        <w:t>Raw Materials</w:t>
      </w:r>
      <w:r>
        <w:rPr>
          <w:sz w:val="18"/>
        </w:rPr>
        <w:t>, para. 226.</w:t>
      </w:r>
    </w:p>
    <w:p w14:paraId="4D467B87" w14:textId="77777777" w:rsidR="00BD462C" w:rsidRDefault="00033D0F">
      <w:pPr>
        <w:spacing w:before="1"/>
        <w:ind w:left="135"/>
        <w:jc w:val="both"/>
        <w:rPr>
          <w:sz w:val="18"/>
        </w:rPr>
      </w:pPr>
      <w:bookmarkStart w:id="41" w:name="_bookmark31"/>
      <w:bookmarkEnd w:id="41"/>
      <w:r>
        <w:rPr>
          <w:position w:val="5"/>
          <w:sz w:val="12"/>
        </w:rPr>
        <w:t>20</w:t>
      </w:r>
      <w:r>
        <w:rPr>
          <w:spacing w:val="15"/>
          <w:position w:val="5"/>
          <w:sz w:val="12"/>
        </w:rPr>
        <w:t xml:space="preserve"> </w:t>
      </w:r>
      <w:r>
        <w:rPr>
          <w:sz w:val="18"/>
        </w:rPr>
        <w:t>Appellate</w:t>
      </w:r>
      <w:r>
        <w:rPr>
          <w:spacing w:val="-8"/>
          <w:sz w:val="18"/>
        </w:rPr>
        <w:t xml:space="preserve"> </w:t>
      </w:r>
      <w:r>
        <w:rPr>
          <w:sz w:val="18"/>
        </w:rPr>
        <w:t>Body</w:t>
      </w:r>
      <w:r>
        <w:rPr>
          <w:spacing w:val="-5"/>
          <w:sz w:val="18"/>
        </w:rPr>
        <w:t xml:space="preserve"> </w:t>
      </w:r>
      <w:r>
        <w:rPr>
          <w:sz w:val="18"/>
        </w:rPr>
        <w:t>Report,</w:t>
      </w:r>
      <w:r>
        <w:rPr>
          <w:spacing w:val="-1"/>
          <w:sz w:val="18"/>
        </w:rPr>
        <w:t xml:space="preserve"> </w:t>
      </w:r>
      <w:r>
        <w:rPr>
          <w:i/>
          <w:sz w:val="18"/>
        </w:rPr>
        <w:t>China</w:t>
      </w:r>
      <w:r>
        <w:rPr>
          <w:i/>
          <w:spacing w:val="2"/>
          <w:sz w:val="18"/>
        </w:rPr>
        <w:t xml:space="preserve"> </w:t>
      </w:r>
      <w:r>
        <w:rPr>
          <w:i/>
          <w:sz w:val="18"/>
        </w:rPr>
        <w:t>–</w:t>
      </w:r>
      <w:r>
        <w:rPr>
          <w:i/>
          <w:spacing w:val="-8"/>
          <w:sz w:val="18"/>
        </w:rPr>
        <w:t xml:space="preserve"> </w:t>
      </w:r>
      <w:r>
        <w:rPr>
          <w:i/>
          <w:sz w:val="18"/>
        </w:rPr>
        <w:t>Raw</w:t>
      </w:r>
      <w:r>
        <w:rPr>
          <w:i/>
          <w:spacing w:val="-4"/>
          <w:sz w:val="18"/>
        </w:rPr>
        <w:t xml:space="preserve"> </w:t>
      </w:r>
      <w:r>
        <w:rPr>
          <w:i/>
          <w:sz w:val="18"/>
        </w:rPr>
        <w:t>Materials</w:t>
      </w:r>
      <w:r>
        <w:rPr>
          <w:sz w:val="18"/>
        </w:rPr>
        <w:t>,</w:t>
      </w:r>
      <w:r>
        <w:rPr>
          <w:spacing w:val="-1"/>
          <w:sz w:val="18"/>
        </w:rPr>
        <w:t xml:space="preserve"> </w:t>
      </w:r>
      <w:r>
        <w:rPr>
          <w:sz w:val="18"/>
        </w:rPr>
        <w:t>para.</w:t>
      </w:r>
      <w:r>
        <w:rPr>
          <w:spacing w:val="-3"/>
          <w:sz w:val="18"/>
        </w:rPr>
        <w:t xml:space="preserve"> </w:t>
      </w:r>
      <w:r>
        <w:rPr>
          <w:sz w:val="18"/>
        </w:rPr>
        <w:t>226-</w:t>
      </w:r>
      <w:r>
        <w:rPr>
          <w:spacing w:val="-4"/>
          <w:sz w:val="18"/>
        </w:rPr>
        <w:t>230.</w:t>
      </w:r>
    </w:p>
    <w:p w14:paraId="23FDCB60" w14:textId="77777777" w:rsidR="00BD462C" w:rsidRDefault="00033D0F">
      <w:pPr>
        <w:spacing w:before="1"/>
        <w:ind w:left="135"/>
        <w:jc w:val="both"/>
        <w:rPr>
          <w:sz w:val="18"/>
        </w:rPr>
      </w:pPr>
      <w:bookmarkStart w:id="42" w:name="_bookmark32"/>
      <w:bookmarkEnd w:id="42"/>
      <w:r>
        <w:rPr>
          <w:position w:val="5"/>
          <w:sz w:val="12"/>
        </w:rPr>
        <w:t>21</w:t>
      </w:r>
      <w:r>
        <w:rPr>
          <w:spacing w:val="14"/>
          <w:position w:val="5"/>
          <w:sz w:val="12"/>
        </w:rPr>
        <w:t xml:space="preserve"> </w:t>
      </w:r>
      <w:r>
        <w:rPr>
          <w:sz w:val="18"/>
        </w:rPr>
        <w:t>See</w:t>
      </w:r>
      <w:r>
        <w:rPr>
          <w:spacing w:val="-5"/>
          <w:sz w:val="18"/>
        </w:rPr>
        <w:t xml:space="preserve"> </w:t>
      </w:r>
      <w:r>
        <w:rPr>
          <w:sz w:val="18"/>
        </w:rPr>
        <w:t>Appellate</w:t>
      </w:r>
      <w:r>
        <w:rPr>
          <w:spacing w:val="-9"/>
          <w:sz w:val="18"/>
        </w:rPr>
        <w:t xml:space="preserve"> </w:t>
      </w:r>
      <w:r>
        <w:rPr>
          <w:sz w:val="18"/>
        </w:rPr>
        <w:t>Body</w:t>
      </w:r>
      <w:r>
        <w:rPr>
          <w:spacing w:val="-6"/>
          <w:sz w:val="18"/>
        </w:rPr>
        <w:t xml:space="preserve"> </w:t>
      </w:r>
      <w:r>
        <w:rPr>
          <w:sz w:val="18"/>
        </w:rPr>
        <w:t>Report,</w:t>
      </w:r>
      <w:r>
        <w:rPr>
          <w:spacing w:val="-2"/>
          <w:sz w:val="18"/>
        </w:rPr>
        <w:t xml:space="preserve"> </w:t>
      </w:r>
      <w:r>
        <w:rPr>
          <w:i/>
          <w:sz w:val="18"/>
        </w:rPr>
        <w:t>EC</w:t>
      </w:r>
      <w:r>
        <w:rPr>
          <w:i/>
          <w:spacing w:val="-5"/>
          <w:sz w:val="18"/>
        </w:rPr>
        <w:t xml:space="preserve"> </w:t>
      </w:r>
      <w:r>
        <w:rPr>
          <w:i/>
          <w:sz w:val="18"/>
        </w:rPr>
        <w:t>–</w:t>
      </w:r>
      <w:r>
        <w:rPr>
          <w:i/>
          <w:spacing w:val="-1"/>
          <w:sz w:val="18"/>
        </w:rPr>
        <w:t xml:space="preserve"> </w:t>
      </w:r>
      <w:r>
        <w:rPr>
          <w:i/>
          <w:sz w:val="18"/>
        </w:rPr>
        <w:t>Selected</w:t>
      </w:r>
      <w:r>
        <w:rPr>
          <w:i/>
          <w:spacing w:val="-3"/>
          <w:sz w:val="18"/>
        </w:rPr>
        <w:t xml:space="preserve"> </w:t>
      </w:r>
      <w:r>
        <w:rPr>
          <w:i/>
          <w:sz w:val="18"/>
        </w:rPr>
        <w:t>Customs</w:t>
      </w:r>
      <w:r>
        <w:rPr>
          <w:i/>
          <w:spacing w:val="-9"/>
          <w:sz w:val="18"/>
        </w:rPr>
        <w:t xml:space="preserve"> </w:t>
      </w:r>
      <w:r>
        <w:rPr>
          <w:i/>
          <w:sz w:val="18"/>
        </w:rPr>
        <w:t>Matters</w:t>
      </w:r>
      <w:r>
        <w:rPr>
          <w:sz w:val="18"/>
        </w:rPr>
        <w:t>,</w:t>
      </w:r>
      <w:r>
        <w:rPr>
          <w:spacing w:val="-3"/>
          <w:sz w:val="18"/>
        </w:rPr>
        <w:t xml:space="preserve"> </w:t>
      </w:r>
      <w:r>
        <w:rPr>
          <w:sz w:val="18"/>
        </w:rPr>
        <w:t>paras.</w:t>
      </w:r>
      <w:r>
        <w:rPr>
          <w:spacing w:val="-8"/>
          <w:sz w:val="18"/>
        </w:rPr>
        <w:t xml:space="preserve"> </w:t>
      </w:r>
      <w:r>
        <w:rPr>
          <w:sz w:val="18"/>
        </w:rPr>
        <w:t>141,</w:t>
      </w:r>
      <w:r>
        <w:rPr>
          <w:spacing w:val="2"/>
          <w:sz w:val="18"/>
        </w:rPr>
        <w:t xml:space="preserve"> </w:t>
      </w:r>
      <w:r>
        <w:rPr>
          <w:sz w:val="18"/>
        </w:rPr>
        <w:t>167.</w:t>
      </w:r>
      <w:r>
        <w:rPr>
          <w:spacing w:val="1"/>
          <w:sz w:val="18"/>
        </w:rPr>
        <w:t xml:space="preserve"> </w:t>
      </w:r>
      <w:r>
        <w:rPr>
          <w:sz w:val="18"/>
        </w:rPr>
        <w:t>See</w:t>
      </w:r>
      <w:r>
        <w:rPr>
          <w:spacing w:val="-5"/>
          <w:sz w:val="18"/>
        </w:rPr>
        <w:t xml:space="preserve"> </w:t>
      </w:r>
      <w:r>
        <w:rPr>
          <w:sz w:val="18"/>
        </w:rPr>
        <w:t>for</w:t>
      </w:r>
      <w:r>
        <w:rPr>
          <w:spacing w:val="-1"/>
          <w:sz w:val="18"/>
        </w:rPr>
        <w:t xml:space="preserve"> </w:t>
      </w:r>
      <w:r>
        <w:rPr>
          <w:sz w:val="18"/>
        </w:rPr>
        <w:t>application</w:t>
      </w:r>
      <w:r>
        <w:rPr>
          <w:spacing w:val="-6"/>
          <w:sz w:val="18"/>
        </w:rPr>
        <w:t xml:space="preserve"> </w:t>
      </w:r>
      <w:r>
        <w:rPr>
          <w:sz w:val="18"/>
        </w:rPr>
        <w:t>paras.</w:t>
      </w:r>
      <w:r>
        <w:rPr>
          <w:spacing w:val="-3"/>
          <w:sz w:val="18"/>
        </w:rPr>
        <w:t xml:space="preserve"> </w:t>
      </w:r>
      <w:r>
        <w:rPr>
          <w:sz w:val="18"/>
        </w:rPr>
        <w:t>168-</w:t>
      </w:r>
      <w:r>
        <w:rPr>
          <w:spacing w:val="-4"/>
          <w:sz w:val="18"/>
        </w:rPr>
        <w:t>172.</w:t>
      </w:r>
    </w:p>
    <w:p w14:paraId="5A6FF9D7" w14:textId="77777777" w:rsidR="00BD462C" w:rsidRDefault="00BD462C">
      <w:pPr>
        <w:jc w:val="both"/>
        <w:rPr>
          <w:sz w:val="18"/>
        </w:rPr>
        <w:sectPr w:rsidR="00BD462C">
          <w:pgSz w:w="11910" w:h="16840"/>
          <w:pgMar w:top="860" w:right="500" w:bottom="780" w:left="1280" w:header="566" w:footer="590" w:gutter="0"/>
          <w:cols w:space="720"/>
        </w:sectPr>
      </w:pPr>
    </w:p>
    <w:p w14:paraId="14D09063"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203FF34B"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5065491B"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58B267E0" w14:textId="77777777" w:rsidR="00BD462C" w:rsidRDefault="00033D0F">
      <w:pPr>
        <w:pStyle w:val="BodyText"/>
        <w:spacing w:before="102" w:line="360" w:lineRule="auto"/>
        <w:ind w:left="135" w:right="910"/>
        <w:jc w:val="both"/>
      </w:pPr>
      <w:r>
        <w:t>been</w:t>
      </w:r>
      <w:r>
        <w:rPr>
          <w:spacing w:val="-5"/>
        </w:rPr>
        <w:t xml:space="preserve"> </w:t>
      </w:r>
      <w:r>
        <w:t>made</w:t>
      </w:r>
      <w:r>
        <w:rPr>
          <w:spacing w:val="-4"/>
        </w:rPr>
        <w:t xml:space="preserve"> </w:t>
      </w:r>
      <w:r>
        <w:t>aware</w:t>
      </w:r>
      <w:r>
        <w:rPr>
          <w:spacing w:val="-3"/>
        </w:rPr>
        <w:t xml:space="preserve"> </w:t>
      </w:r>
      <w:r>
        <w:t>of</w:t>
      </w:r>
      <w:r>
        <w:rPr>
          <w:spacing w:val="-5"/>
        </w:rPr>
        <w:t xml:space="preserve"> </w:t>
      </w:r>
      <w:r>
        <w:t>the</w:t>
      </w:r>
      <w:r>
        <w:rPr>
          <w:spacing w:val="-4"/>
        </w:rPr>
        <w:t xml:space="preserve"> </w:t>
      </w:r>
      <w:r>
        <w:t>"nature"</w:t>
      </w:r>
      <w:r>
        <w:rPr>
          <w:spacing w:val="-4"/>
        </w:rPr>
        <w:t xml:space="preserve"> </w:t>
      </w:r>
      <w:r>
        <w:t>of</w:t>
      </w:r>
      <w:r>
        <w:rPr>
          <w:spacing w:val="-5"/>
        </w:rPr>
        <w:t xml:space="preserve"> </w:t>
      </w:r>
      <w:r>
        <w:t>the case,</w:t>
      </w:r>
      <w:r>
        <w:rPr>
          <w:spacing w:val="-1"/>
        </w:rPr>
        <w:t xml:space="preserve"> </w:t>
      </w:r>
      <w:r>
        <w:t>which</w:t>
      </w:r>
      <w:r>
        <w:rPr>
          <w:spacing w:val="-5"/>
        </w:rPr>
        <w:t xml:space="preserve"> </w:t>
      </w:r>
      <w:r>
        <w:t>is</w:t>
      </w:r>
      <w:r>
        <w:rPr>
          <w:spacing w:val="-2"/>
        </w:rPr>
        <w:t xml:space="preserve"> </w:t>
      </w:r>
      <w:r>
        <w:t>precisely</w:t>
      </w:r>
      <w:r>
        <w:rPr>
          <w:spacing w:val="-2"/>
        </w:rPr>
        <w:t xml:space="preserve"> </w:t>
      </w:r>
      <w:r>
        <w:t>the</w:t>
      </w:r>
      <w:r>
        <w:rPr>
          <w:spacing w:val="-4"/>
        </w:rPr>
        <w:t xml:space="preserve"> </w:t>
      </w:r>
      <w:r>
        <w:t>language</w:t>
      </w:r>
      <w:r>
        <w:rPr>
          <w:spacing w:val="-3"/>
        </w:rPr>
        <w:t xml:space="preserve"> </w:t>
      </w:r>
      <w:r>
        <w:t>used</w:t>
      </w:r>
      <w:r>
        <w:rPr>
          <w:spacing w:val="-5"/>
        </w:rPr>
        <w:t xml:space="preserve"> </w:t>
      </w:r>
      <w:r>
        <w:t>in</w:t>
      </w:r>
      <w:r>
        <w:rPr>
          <w:spacing w:val="-5"/>
        </w:rPr>
        <w:t xml:space="preserve"> </w:t>
      </w:r>
      <w:r>
        <w:rPr>
          <w:i/>
        </w:rPr>
        <w:t>Korea</w:t>
      </w:r>
      <w:r>
        <w:rPr>
          <w:i/>
          <w:spacing w:val="-1"/>
        </w:rPr>
        <w:t xml:space="preserve"> </w:t>
      </w:r>
      <w:r>
        <w:rPr>
          <w:i/>
        </w:rPr>
        <w:t xml:space="preserve">– Pneumatic Valves </w:t>
      </w:r>
      <w:r>
        <w:t>and which, according to China, should not be accepted.</w:t>
      </w:r>
      <w:r>
        <w:rPr>
          <w:spacing w:val="-14"/>
        </w:rPr>
        <w:t xml:space="preserve"> </w:t>
      </w:r>
      <w:hyperlink w:anchor="_bookmark34" w:history="1">
        <w:r>
          <w:rPr>
            <w:vertAlign w:val="superscript"/>
          </w:rPr>
          <w:t>22</w:t>
        </w:r>
      </w:hyperlink>
      <w:r>
        <w:rPr>
          <w:spacing w:val="-2"/>
        </w:rPr>
        <w:t xml:space="preserve"> </w:t>
      </w:r>
      <w:r>
        <w:t>Similarly, that dispute concerned the complainant's identification of complex and diverse measures, a matter not at issue in the current dispute.</w:t>
      </w:r>
    </w:p>
    <w:p w14:paraId="4F47D8C3" w14:textId="77777777" w:rsidR="00BD462C" w:rsidRDefault="00BD462C">
      <w:pPr>
        <w:pStyle w:val="BodyText"/>
        <w:spacing w:before="8"/>
        <w:rPr>
          <w:sz w:val="8"/>
        </w:rPr>
      </w:pPr>
    </w:p>
    <w:p w14:paraId="12538942" w14:textId="200D3C1D" w:rsidR="00BD462C" w:rsidRDefault="00033D0F" w:rsidP="00C65BAF">
      <w:pPr>
        <w:pStyle w:val="BodyText"/>
        <w:numPr>
          <w:ilvl w:val="0"/>
          <w:numId w:val="68"/>
        </w:numPr>
        <w:spacing w:before="56" w:line="360" w:lineRule="auto"/>
        <w:ind w:right="913"/>
        <w:jc w:val="both"/>
      </w:pPr>
      <w:r>
        <w:rPr>
          <w:position w:val="1"/>
        </w:rPr>
        <w:t>Finally, China</w:t>
      </w:r>
      <w:r>
        <w:rPr>
          <w:spacing w:val="-3"/>
          <w:position w:val="1"/>
        </w:rPr>
        <w:t xml:space="preserve"> </w:t>
      </w:r>
      <w:r>
        <w:rPr>
          <w:position w:val="1"/>
        </w:rPr>
        <w:t>cites</w:t>
      </w:r>
      <w:r>
        <w:rPr>
          <w:spacing w:val="-1"/>
          <w:position w:val="1"/>
        </w:rPr>
        <w:t xml:space="preserve"> </w:t>
      </w:r>
      <w:r>
        <w:rPr>
          <w:i/>
          <w:position w:val="1"/>
        </w:rPr>
        <w:t>US</w:t>
      </w:r>
      <w:r>
        <w:rPr>
          <w:i/>
          <w:spacing w:val="-1"/>
          <w:position w:val="1"/>
        </w:rPr>
        <w:t xml:space="preserve"> </w:t>
      </w:r>
      <w:r>
        <w:rPr>
          <w:i/>
          <w:position w:val="1"/>
        </w:rPr>
        <w:t>–</w:t>
      </w:r>
      <w:r>
        <w:rPr>
          <w:i/>
          <w:spacing w:val="-2"/>
          <w:position w:val="1"/>
        </w:rPr>
        <w:t xml:space="preserve"> </w:t>
      </w:r>
      <w:r>
        <w:rPr>
          <w:i/>
          <w:position w:val="1"/>
        </w:rPr>
        <w:t>Countervailing</w:t>
      </w:r>
      <w:r>
        <w:rPr>
          <w:i/>
          <w:spacing w:val="-2"/>
          <w:position w:val="1"/>
        </w:rPr>
        <w:t xml:space="preserve"> </w:t>
      </w:r>
      <w:r>
        <w:rPr>
          <w:i/>
          <w:position w:val="1"/>
        </w:rPr>
        <w:t>Measures</w:t>
      </w:r>
      <w:r>
        <w:rPr>
          <w:i/>
          <w:spacing w:val="-5"/>
          <w:position w:val="1"/>
        </w:rPr>
        <w:t xml:space="preserve"> </w:t>
      </w:r>
      <w:r>
        <w:rPr>
          <w:i/>
          <w:position w:val="1"/>
        </w:rPr>
        <w:t>(China)</w:t>
      </w:r>
      <w:r>
        <w:rPr>
          <w:position w:val="1"/>
        </w:rPr>
        <w:t>.</w:t>
      </w:r>
      <w:r>
        <w:rPr>
          <w:spacing w:val="-1"/>
          <w:position w:val="1"/>
        </w:rPr>
        <w:t xml:space="preserve"> </w:t>
      </w:r>
      <w:r>
        <w:rPr>
          <w:position w:val="1"/>
        </w:rPr>
        <w:t>The</w:t>
      </w:r>
      <w:r>
        <w:rPr>
          <w:spacing w:val="-3"/>
          <w:position w:val="1"/>
        </w:rPr>
        <w:t xml:space="preserve"> </w:t>
      </w:r>
      <w:r>
        <w:rPr>
          <w:position w:val="1"/>
        </w:rPr>
        <w:t>Appellate</w:t>
      </w:r>
      <w:r>
        <w:rPr>
          <w:spacing w:val="-2"/>
          <w:position w:val="1"/>
        </w:rPr>
        <w:t xml:space="preserve"> </w:t>
      </w:r>
      <w:r>
        <w:rPr>
          <w:position w:val="1"/>
        </w:rPr>
        <w:t>Body</w:t>
      </w:r>
      <w:r>
        <w:rPr>
          <w:spacing w:val="-1"/>
          <w:position w:val="1"/>
        </w:rPr>
        <w:t xml:space="preserve"> </w:t>
      </w:r>
      <w:r>
        <w:rPr>
          <w:position w:val="1"/>
        </w:rPr>
        <w:t>in</w:t>
      </w:r>
      <w:r>
        <w:rPr>
          <w:spacing w:val="-4"/>
          <w:position w:val="1"/>
        </w:rPr>
        <w:t xml:space="preserve"> </w:t>
      </w:r>
      <w:r>
        <w:rPr>
          <w:position w:val="1"/>
        </w:rPr>
        <w:t xml:space="preserve">that </w:t>
      </w:r>
      <w:r>
        <w:t>dispute found that whether a panel request is "sufficient to present the problem clearly" should</w:t>
      </w:r>
      <w:r>
        <w:rPr>
          <w:spacing w:val="-14"/>
        </w:rPr>
        <w:t xml:space="preserve"> </w:t>
      </w:r>
      <w:r>
        <w:t xml:space="preserve">be </w:t>
      </w:r>
      <w:proofErr w:type="spellStart"/>
      <w:r>
        <w:t>analysed</w:t>
      </w:r>
      <w:proofErr w:type="spellEnd"/>
      <w:r>
        <w:t xml:space="preserve"> holistically, on a case-by-case basis.</w:t>
      </w:r>
      <w:r>
        <w:rPr>
          <w:spacing w:val="-14"/>
        </w:rPr>
        <w:t xml:space="preserve"> </w:t>
      </w:r>
      <w:hyperlink w:anchor="_bookmark35" w:history="1">
        <w:r>
          <w:rPr>
            <w:vertAlign w:val="superscript"/>
          </w:rPr>
          <w:t>23</w:t>
        </w:r>
      </w:hyperlink>
      <w:r>
        <w:t xml:space="preserve"> Although that panel used the term "how or why", citing </w:t>
      </w:r>
      <w:r>
        <w:rPr>
          <w:i/>
        </w:rPr>
        <w:t>EC – Selected Customs Matters</w:t>
      </w:r>
      <w:r>
        <w:t>, it qualified this phrase with the terms "succinct"</w:t>
      </w:r>
      <w:r>
        <w:rPr>
          <w:spacing w:val="-13"/>
        </w:rPr>
        <w:t xml:space="preserve"> </w:t>
      </w:r>
      <w:r>
        <w:t>and</w:t>
      </w:r>
      <w:r>
        <w:rPr>
          <w:spacing w:val="-14"/>
        </w:rPr>
        <w:t xml:space="preserve"> </w:t>
      </w:r>
      <w:r>
        <w:t>"brief</w:t>
      </w:r>
      <w:r>
        <w:rPr>
          <w:spacing w:val="-14"/>
        </w:rPr>
        <w:t xml:space="preserve"> </w:t>
      </w:r>
      <w:r>
        <w:t>summary"</w:t>
      </w:r>
      <w:r>
        <w:rPr>
          <w:spacing w:val="-12"/>
        </w:rPr>
        <w:t xml:space="preserve"> </w:t>
      </w:r>
      <w:r>
        <w:t>and</w:t>
      </w:r>
      <w:r>
        <w:rPr>
          <w:spacing w:val="-14"/>
        </w:rPr>
        <w:t xml:space="preserve"> </w:t>
      </w:r>
      <w:r>
        <w:t>ultimately</w:t>
      </w:r>
      <w:r>
        <w:rPr>
          <w:spacing w:val="-11"/>
        </w:rPr>
        <w:t xml:space="preserve"> </w:t>
      </w:r>
      <w:r>
        <w:t>determined</w:t>
      </w:r>
      <w:r>
        <w:rPr>
          <w:spacing w:val="-14"/>
        </w:rPr>
        <w:t xml:space="preserve"> </w:t>
      </w:r>
      <w:r>
        <w:t>compliance</w:t>
      </w:r>
      <w:r>
        <w:rPr>
          <w:spacing w:val="-12"/>
        </w:rPr>
        <w:t xml:space="preserve"> </w:t>
      </w:r>
      <w:r>
        <w:t>on</w:t>
      </w:r>
      <w:r>
        <w:rPr>
          <w:spacing w:val="-14"/>
        </w:rPr>
        <w:t xml:space="preserve"> </w:t>
      </w:r>
      <w:r>
        <w:t>the</w:t>
      </w:r>
      <w:r>
        <w:rPr>
          <w:spacing w:val="-12"/>
        </w:rPr>
        <w:t xml:space="preserve"> </w:t>
      </w:r>
      <w:r>
        <w:t>basis</w:t>
      </w:r>
      <w:r>
        <w:rPr>
          <w:spacing w:val="-10"/>
        </w:rPr>
        <w:t xml:space="preserve"> </w:t>
      </w:r>
      <w:r>
        <w:t>of</w:t>
      </w:r>
      <w:r>
        <w:rPr>
          <w:spacing w:val="-14"/>
        </w:rPr>
        <w:t xml:space="preserve"> </w:t>
      </w:r>
      <w:r>
        <w:t>the</w:t>
      </w:r>
      <w:r>
        <w:rPr>
          <w:spacing w:val="-12"/>
        </w:rPr>
        <w:t xml:space="preserve"> </w:t>
      </w:r>
      <w:r>
        <w:t xml:space="preserve">text of Article 6.2 — that is, </w:t>
      </w:r>
      <w:r>
        <w:rPr>
          <w:i/>
        </w:rPr>
        <w:t xml:space="preserve">not </w:t>
      </w:r>
      <w:r>
        <w:t>whether a complainant adequately explained "how or why" each obligation</w:t>
      </w:r>
      <w:r>
        <w:rPr>
          <w:spacing w:val="-5"/>
        </w:rPr>
        <w:t xml:space="preserve"> </w:t>
      </w:r>
      <w:r>
        <w:t>was</w:t>
      </w:r>
      <w:r>
        <w:rPr>
          <w:spacing w:val="-2"/>
        </w:rPr>
        <w:t xml:space="preserve"> </w:t>
      </w:r>
      <w:r>
        <w:t>allegedly</w:t>
      </w:r>
      <w:r>
        <w:rPr>
          <w:spacing w:val="-2"/>
        </w:rPr>
        <w:t xml:space="preserve"> </w:t>
      </w:r>
      <w:r>
        <w:t>infringed,</w:t>
      </w:r>
      <w:r>
        <w:rPr>
          <w:spacing w:val="-2"/>
        </w:rPr>
        <w:t xml:space="preserve"> </w:t>
      </w:r>
      <w:r>
        <w:t>but</w:t>
      </w:r>
      <w:r>
        <w:rPr>
          <w:spacing w:val="-3"/>
        </w:rPr>
        <w:t xml:space="preserve"> </w:t>
      </w:r>
      <w:r>
        <w:t>whether</w:t>
      </w:r>
      <w:r>
        <w:rPr>
          <w:spacing w:val="-6"/>
        </w:rPr>
        <w:t xml:space="preserve"> </w:t>
      </w:r>
      <w:r>
        <w:t>the</w:t>
      </w:r>
      <w:r>
        <w:rPr>
          <w:spacing w:val="-3"/>
        </w:rPr>
        <w:t xml:space="preserve"> </w:t>
      </w:r>
      <w:r>
        <w:t>panel</w:t>
      </w:r>
      <w:r>
        <w:rPr>
          <w:spacing w:val="-1"/>
        </w:rPr>
        <w:t xml:space="preserve"> </w:t>
      </w:r>
      <w:r>
        <w:t>request</w:t>
      </w:r>
      <w:r>
        <w:rPr>
          <w:spacing w:val="-3"/>
        </w:rPr>
        <w:t xml:space="preserve"> </w:t>
      </w:r>
      <w:r>
        <w:t>was,</w:t>
      </w:r>
      <w:r>
        <w:rPr>
          <w:spacing w:val="-1"/>
        </w:rPr>
        <w:t xml:space="preserve"> </w:t>
      </w:r>
      <w:r>
        <w:t>as</w:t>
      </w:r>
      <w:r>
        <w:rPr>
          <w:spacing w:val="-2"/>
        </w:rPr>
        <w:t xml:space="preserve"> </w:t>
      </w:r>
      <w:r>
        <w:t>a</w:t>
      </w:r>
      <w:r>
        <w:rPr>
          <w:spacing w:val="-4"/>
        </w:rPr>
        <w:t xml:space="preserve"> </w:t>
      </w:r>
      <w:r>
        <w:t>whole,</w:t>
      </w:r>
      <w:r>
        <w:rPr>
          <w:spacing w:val="-1"/>
        </w:rPr>
        <w:t xml:space="preserve"> </w:t>
      </w:r>
      <w:r>
        <w:t>"sufficient to present the problem clearly".</w:t>
      </w:r>
      <w:hyperlink w:anchor="_bookmark36" w:history="1">
        <w:r>
          <w:rPr>
            <w:vertAlign w:val="superscript"/>
          </w:rPr>
          <w:t>24</w:t>
        </w:r>
      </w:hyperlink>
    </w:p>
    <w:p w14:paraId="29C56957" w14:textId="77777777" w:rsidR="00BD462C" w:rsidRDefault="00BD462C">
      <w:pPr>
        <w:pStyle w:val="BodyText"/>
        <w:spacing w:before="8"/>
        <w:rPr>
          <w:sz w:val="8"/>
        </w:rPr>
      </w:pPr>
    </w:p>
    <w:p w14:paraId="15670992" w14:textId="4CE36EB3" w:rsidR="00BD462C" w:rsidRDefault="00033D0F" w:rsidP="00C65BAF">
      <w:pPr>
        <w:pStyle w:val="BodyText"/>
        <w:numPr>
          <w:ilvl w:val="0"/>
          <w:numId w:val="68"/>
        </w:numPr>
        <w:spacing w:before="56" w:line="360" w:lineRule="auto"/>
        <w:ind w:right="914"/>
        <w:jc w:val="both"/>
      </w:pPr>
      <w:r>
        <w:rPr>
          <w:position w:val="1"/>
        </w:rPr>
        <w:t xml:space="preserve">China's attempt to read in an additional requirement into Article 6.2 of the DSU – </w:t>
      </w:r>
      <w:r>
        <w:t>that a complainant explain "how and why" each obligation was infringed in its panel request – is not supported by the text nor how the Appellate Body has applied Article 6.2</w:t>
      </w:r>
      <w:r>
        <w:rPr>
          <w:spacing w:val="-5"/>
        </w:rPr>
        <w:t xml:space="preserve"> </w:t>
      </w:r>
      <w:r>
        <w:t>in practice. As such, the Panel should reject China's interpretation.</w:t>
      </w:r>
    </w:p>
    <w:p w14:paraId="2CE6ED26" w14:textId="77777777" w:rsidR="00BD462C" w:rsidRDefault="00033D0F">
      <w:pPr>
        <w:pStyle w:val="ListParagraph"/>
        <w:numPr>
          <w:ilvl w:val="2"/>
          <w:numId w:val="65"/>
        </w:numPr>
        <w:tabs>
          <w:tab w:val="left" w:pos="3539"/>
          <w:tab w:val="left" w:pos="3540"/>
        </w:tabs>
        <w:spacing w:before="153" w:line="362" w:lineRule="auto"/>
        <w:ind w:right="915"/>
        <w:jc w:val="both"/>
        <w:rPr>
          <w:sz w:val="24"/>
        </w:rPr>
      </w:pPr>
      <w:bookmarkStart w:id="43" w:name="(c)_Role_of_Article_6.2_within_the_dispu"/>
      <w:bookmarkStart w:id="44" w:name="_bookmark33"/>
      <w:bookmarkEnd w:id="43"/>
      <w:bookmarkEnd w:id="44"/>
      <w:r>
        <w:rPr>
          <w:sz w:val="24"/>
          <w:u w:val="single"/>
        </w:rPr>
        <w:t>Role of Article 6.2 within the dispute settlement</w:t>
      </w:r>
      <w:r>
        <w:rPr>
          <w:sz w:val="24"/>
        </w:rPr>
        <w:t xml:space="preserve"> </w:t>
      </w:r>
      <w:r>
        <w:rPr>
          <w:spacing w:val="-2"/>
          <w:sz w:val="24"/>
          <w:u w:val="single"/>
        </w:rPr>
        <w:t>framework</w:t>
      </w:r>
    </w:p>
    <w:p w14:paraId="32248CBE" w14:textId="77777777" w:rsidR="00BD462C" w:rsidRDefault="00BD462C">
      <w:pPr>
        <w:pStyle w:val="BodyText"/>
        <w:spacing w:before="8"/>
        <w:rPr>
          <w:sz w:val="8"/>
        </w:rPr>
      </w:pPr>
    </w:p>
    <w:p w14:paraId="3F3828DE" w14:textId="3D776802" w:rsidR="00BD462C" w:rsidRDefault="00033D0F" w:rsidP="00C65BAF">
      <w:pPr>
        <w:pStyle w:val="BodyText"/>
        <w:numPr>
          <w:ilvl w:val="0"/>
          <w:numId w:val="68"/>
        </w:numPr>
        <w:spacing w:before="56" w:line="360" w:lineRule="auto"/>
        <w:ind w:right="913"/>
        <w:jc w:val="both"/>
      </w:pPr>
      <w:r>
        <w:rPr>
          <w:position w:val="1"/>
        </w:rPr>
        <w:t xml:space="preserve">Despite China's assertions to the contrary, a panel request alone is not intended to </w:t>
      </w:r>
      <w:r>
        <w:t xml:space="preserve">enable or facilitate the preparation of a "full" </w:t>
      </w:r>
      <w:proofErr w:type="spellStart"/>
      <w:r>
        <w:t>defence</w:t>
      </w:r>
      <w:proofErr w:type="spellEnd"/>
      <w:r>
        <w:t>.</w:t>
      </w:r>
      <w:r>
        <w:rPr>
          <w:spacing w:val="-14"/>
        </w:rPr>
        <w:t xml:space="preserve"> </w:t>
      </w:r>
      <w:hyperlink w:anchor="_bookmark37" w:history="1">
        <w:r>
          <w:rPr>
            <w:vertAlign w:val="superscript"/>
          </w:rPr>
          <w:t>25</w:t>
        </w:r>
      </w:hyperlink>
      <w:r>
        <w:t xml:space="preserve"> It is obviously incapable of this function, as it does not include the arguments and evidence that the complaining Member adduces</w:t>
      </w:r>
      <w:r>
        <w:rPr>
          <w:spacing w:val="-16"/>
        </w:rPr>
        <w:t xml:space="preserve"> </w:t>
      </w:r>
      <w:r>
        <w:t>to</w:t>
      </w:r>
      <w:r>
        <w:rPr>
          <w:spacing w:val="-13"/>
        </w:rPr>
        <w:t xml:space="preserve"> </w:t>
      </w:r>
      <w:r>
        <w:t>establish</w:t>
      </w:r>
      <w:r>
        <w:rPr>
          <w:spacing w:val="-17"/>
        </w:rPr>
        <w:t xml:space="preserve"> </w:t>
      </w:r>
      <w:r>
        <w:t>a</w:t>
      </w:r>
      <w:r>
        <w:rPr>
          <w:spacing w:val="-16"/>
        </w:rPr>
        <w:t xml:space="preserve"> </w:t>
      </w:r>
      <w:r>
        <w:rPr>
          <w:i/>
        </w:rPr>
        <w:t>prima</w:t>
      </w:r>
      <w:r>
        <w:rPr>
          <w:i/>
          <w:spacing w:val="-15"/>
        </w:rPr>
        <w:t xml:space="preserve"> </w:t>
      </w:r>
      <w:r>
        <w:rPr>
          <w:i/>
        </w:rPr>
        <w:t>facie</w:t>
      </w:r>
      <w:r>
        <w:rPr>
          <w:i/>
          <w:spacing w:val="-15"/>
        </w:rPr>
        <w:t xml:space="preserve"> </w:t>
      </w:r>
      <w:r>
        <w:t>case</w:t>
      </w:r>
      <w:r>
        <w:rPr>
          <w:spacing w:val="-16"/>
        </w:rPr>
        <w:t xml:space="preserve"> </w:t>
      </w:r>
      <w:r>
        <w:t>in</w:t>
      </w:r>
      <w:r>
        <w:rPr>
          <w:spacing w:val="-18"/>
        </w:rPr>
        <w:t xml:space="preserve"> </w:t>
      </w:r>
      <w:r>
        <w:t>relation</w:t>
      </w:r>
      <w:r>
        <w:rPr>
          <w:spacing w:val="-17"/>
        </w:rPr>
        <w:t xml:space="preserve"> </w:t>
      </w:r>
      <w:r>
        <w:t>to</w:t>
      </w:r>
      <w:r>
        <w:rPr>
          <w:spacing w:val="-18"/>
        </w:rPr>
        <w:t xml:space="preserve"> </w:t>
      </w:r>
      <w:r>
        <w:t>each</w:t>
      </w:r>
      <w:r>
        <w:rPr>
          <w:spacing w:val="-13"/>
        </w:rPr>
        <w:t xml:space="preserve"> </w:t>
      </w:r>
      <w:r>
        <w:t>of</w:t>
      </w:r>
      <w:r>
        <w:rPr>
          <w:spacing w:val="-12"/>
        </w:rPr>
        <w:t xml:space="preserve"> </w:t>
      </w:r>
      <w:r>
        <w:t>its</w:t>
      </w:r>
      <w:r>
        <w:rPr>
          <w:spacing w:val="-14"/>
        </w:rPr>
        <w:t xml:space="preserve"> </w:t>
      </w:r>
      <w:r>
        <w:t>claims.</w:t>
      </w:r>
      <w:r>
        <w:rPr>
          <w:spacing w:val="-15"/>
        </w:rPr>
        <w:t xml:space="preserve"> </w:t>
      </w:r>
      <w:r>
        <w:t>Instead,</w:t>
      </w:r>
      <w:r>
        <w:rPr>
          <w:spacing w:val="-13"/>
        </w:rPr>
        <w:t xml:space="preserve"> </w:t>
      </w:r>
      <w:r>
        <w:t>a</w:t>
      </w:r>
      <w:r>
        <w:rPr>
          <w:spacing w:val="-16"/>
        </w:rPr>
        <w:t xml:space="preserve"> </w:t>
      </w:r>
      <w:r>
        <w:t>panel</w:t>
      </w:r>
      <w:r>
        <w:rPr>
          <w:spacing w:val="-13"/>
        </w:rPr>
        <w:t xml:space="preserve"> </w:t>
      </w:r>
      <w:r>
        <w:rPr>
          <w:spacing w:val="-2"/>
        </w:rPr>
        <w:t>request</w:t>
      </w:r>
    </w:p>
    <w:p w14:paraId="6884B04D" w14:textId="77777777" w:rsidR="00BD462C" w:rsidRDefault="00BD462C">
      <w:pPr>
        <w:pStyle w:val="BodyText"/>
        <w:rPr>
          <w:sz w:val="20"/>
        </w:rPr>
      </w:pPr>
    </w:p>
    <w:p w14:paraId="456C6A24" w14:textId="77777777" w:rsidR="00BD462C" w:rsidRDefault="00BD462C">
      <w:pPr>
        <w:pStyle w:val="BodyText"/>
        <w:rPr>
          <w:sz w:val="20"/>
        </w:rPr>
      </w:pPr>
    </w:p>
    <w:p w14:paraId="6B30BDB1" w14:textId="77777777" w:rsidR="00BD462C" w:rsidRDefault="00BD462C">
      <w:pPr>
        <w:pStyle w:val="BodyText"/>
        <w:rPr>
          <w:sz w:val="20"/>
        </w:rPr>
      </w:pPr>
    </w:p>
    <w:p w14:paraId="47EA2E9B" w14:textId="77777777" w:rsidR="00BD462C" w:rsidRDefault="00BD462C">
      <w:pPr>
        <w:pStyle w:val="BodyText"/>
        <w:rPr>
          <w:sz w:val="20"/>
        </w:rPr>
      </w:pPr>
    </w:p>
    <w:p w14:paraId="7E0ABB29" w14:textId="5CA58983" w:rsidR="00BD462C" w:rsidRDefault="00BD462C">
      <w:pPr>
        <w:pStyle w:val="BodyText"/>
        <w:spacing w:before="4"/>
      </w:pPr>
    </w:p>
    <w:bookmarkStart w:id="45" w:name="_bookmark34"/>
    <w:bookmarkEnd w:id="45"/>
    <w:p w14:paraId="7CBAFF57" w14:textId="559950B0" w:rsidR="00BD462C" w:rsidRDefault="002C3E13">
      <w:pPr>
        <w:spacing w:before="112"/>
        <w:ind w:left="135"/>
        <w:jc w:val="both"/>
        <w:rPr>
          <w:sz w:val="18"/>
        </w:rPr>
      </w:pPr>
      <w:r w:rsidRPr="003A43C7">
        <w:rPr>
          <w:noProof/>
        </w:rPr>
        <mc:AlternateContent>
          <mc:Choice Requires="wps">
            <w:drawing>
              <wp:anchor distT="0" distB="0" distL="114300" distR="114300" simplePos="0" relativeHeight="487942656" behindDoc="0" locked="0" layoutInCell="1" allowOverlap="1" wp14:anchorId="67654CB3" wp14:editId="617B1B83">
                <wp:simplePos x="0" y="0"/>
                <wp:positionH relativeFrom="column">
                  <wp:posOffset>0</wp:posOffset>
                </wp:positionH>
                <wp:positionV relativeFrom="paragraph">
                  <wp:posOffset>5080</wp:posOffset>
                </wp:positionV>
                <wp:extent cx="2400300" cy="0"/>
                <wp:effectExtent l="0" t="0" r="0" b="0"/>
                <wp:wrapNone/>
                <wp:docPr id="1464" name="Straight Connector 14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400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C53C8F" id="Straight Connector 1464" o:spid="_x0000_s1026" alt="&quot;&quot;" style="position:absolute;z-index:487942656;visibility:visible;mso-wrap-style:square;mso-wrap-distance-left:9pt;mso-wrap-distance-top:0;mso-wrap-distance-right:9pt;mso-wrap-distance-bottom:0;mso-position-horizontal:absolute;mso-position-horizontal-relative:text;mso-position-vertical:absolute;mso-position-vertical-relative:text" from="0,.4pt" to="18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" strokecolor="#4579b8 [3044]"/>
            </w:pict>
          </mc:Fallback>
        </mc:AlternateContent>
      </w:r>
      <w:r w:rsidR="00033D0F">
        <w:rPr>
          <w:position w:val="5"/>
          <w:sz w:val="12"/>
        </w:rPr>
        <w:t>22</w:t>
      </w:r>
      <w:r w:rsidR="00033D0F">
        <w:rPr>
          <w:spacing w:val="14"/>
          <w:position w:val="5"/>
          <w:sz w:val="12"/>
        </w:rPr>
        <w:t xml:space="preserve"> </w:t>
      </w:r>
      <w:r w:rsidR="00033D0F">
        <w:rPr>
          <w:sz w:val="18"/>
        </w:rPr>
        <w:t>See</w:t>
      </w:r>
      <w:r w:rsidR="00033D0F">
        <w:rPr>
          <w:spacing w:val="-5"/>
          <w:sz w:val="18"/>
        </w:rPr>
        <w:t xml:space="preserve"> </w:t>
      </w:r>
      <w:r w:rsidR="00033D0F">
        <w:rPr>
          <w:sz w:val="18"/>
        </w:rPr>
        <w:t>Appellate</w:t>
      </w:r>
      <w:r w:rsidR="00033D0F">
        <w:rPr>
          <w:spacing w:val="-9"/>
          <w:sz w:val="18"/>
        </w:rPr>
        <w:t xml:space="preserve"> </w:t>
      </w:r>
      <w:r w:rsidR="00033D0F">
        <w:rPr>
          <w:sz w:val="18"/>
        </w:rPr>
        <w:t>Body</w:t>
      </w:r>
      <w:r w:rsidR="00033D0F">
        <w:rPr>
          <w:spacing w:val="-7"/>
          <w:sz w:val="18"/>
        </w:rPr>
        <w:t xml:space="preserve"> </w:t>
      </w:r>
      <w:r w:rsidR="00033D0F">
        <w:rPr>
          <w:sz w:val="18"/>
        </w:rPr>
        <w:t>Report,</w:t>
      </w:r>
      <w:r w:rsidR="00033D0F">
        <w:rPr>
          <w:spacing w:val="-3"/>
          <w:sz w:val="18"/>
        </w:rPr>
        <w:t xml:space="preserve"> </w:t>
      </w:r>
      <w:r w:rsidR="00033D0F">
        <w:rPr>
          <w:i/>
          <w:sz w:val="18"/>
        </w:rPr>
        <w:t>EC</w:t>
      </w:r>
      <w:r w:rsidR="00033D0F">
        <w:rPr>
          <w:i/>
          <w:spacing w:val="-4"/>
          <w:sz w:val="18"/>
        </w:rPr>
        <w:t xml:space="preserve"> </w:t>
      </w:r>
      <w:r w:rsidR="00033D0F">
        <w:rPr>
          <w:i/>
          <w:sz w:val="18"/>
        </w:rPr>
        <w:t>–</w:t>
      </w:r>
      <w:r w:rsidR="00033D0F">
        <w:rPr>
          <w:i/>
          <w:spacing w:val="-1"/>
          <w:sz w:val="18"/>
        </w:rPr>
        <w:t xml:space="preserve"> </w:t>
      </w:r>
      <w:r w:rsidR="00033D0F">
        <w:rPr>
          <w:i/>
          <w:sz w:val="18"/>
        </w:rPr>
        <w:t>Selected</w:t>
      </w:r>
      <w:r w:rsidR="00033D0F">
        <w:rPr>
          <w:i/>
          <w:spacing w:val="-3"/>
          <w:sz w:val="18"/>
        </w:rPr>
        <w:t xml:space="preserve"> </w:t>
      </w:r>
      <w:r w:rsidR="00033D0F">
        <w:rPr>
          <w:i/>
          <w:sz w:val="18"/>
        </w:rPr>
        <w:t>Customs</w:t>
      </w:r>
      <w:r w:rsidR="00033D0F">
        <w:rPr>
          <w:i/>
          <w:spacing w:val="-8"/>
          <w:sz w:val="18"/>
        </w:rPr>
        <w:t xml:space="preserve"> </w:t>
      </w:r>
      <w:r w:rsidR="00033D0F">
        <w:rPr>
          <w:i/>
          <w:sz w:val="18"/>
        </w:rPr>
        <w:t>Matters</w:t>
      </w:r>
      <w:r w:rsidR="00033D0F">
        <w:rPr>
          <w:sz w:val="18"/>
        </w:rPr>
        <w:t>,</w:t>
      </w:r>
      <w:r w:rsidR="00033D0F">
        <w:rPr>
          <w:spacing w:val="-3"/>
          <w:sz w:val="18"/>
        </w:rPr>
        <w:t xml:space="preserve"> </w:t>
      </w:r>
      <w:r w:rsidR="00033D0F">
        <w:rPr>
          <w:sz w:val="18"/>
        </w:rPr>
        <w:t>paras.</w:t>
      </w:r>
      <w:r w:rsidR="00033D0F">
        <w:rPr>
          <w:spacing w:val="-4"/>
          <w:sz w:val="18"/>
        </w:rPr>
        <w:t xml:space="preserve"> </w:t>
      </w:r>
      <w:r w:rsidR="00033D0F">
        <w:rPr>
          <w:sz w:val="18"/>
        </w:rPr>
        <w:t>141,</w:t>
      </w:r>
      <w:r w:rsidR="00033D0F">
        <w:rPr>
          <w:spacing w:val="1"/>
          <w:sz w:val="18"/>
        </w:rPr>
        <w:t xml:space="preserve"> </w:t>
      </w:r>
      <w:r w:rsidR="00033D0F">
        <w:rPr>
          <w:sz w:val="18"/>
        </w:rPr>
        <w:t>167;</w:t>
      </w:r>
      <w:r w:rsidR="00033D0F">
        <w:rPr>
          <w:spacing w:val="-6"/>
          <w:sz w:val="18"/>
        </w:rPr>
        <w:t xml:space="preserve"> </w:t>
      </w:r>
      <w:r w:rsidR="00033D0F">
        <w:rPr>
          <w:sz w:val="18"/>
        </w:rPr>
        <w:t>China's</w:t>
      </w:r>
      <w:r w:rsidR="00033D0F">
        <w:rPr>
          <w:spacing w:val="-5"/>
          <w:sz w:val="18"/>
        </w:rPr>
        <w:t xml:space="preserve"> </w:t>
      </w:r>
      <w:r w:rsidR="00033D0F">
        <w:rPr>
          <w:sz w:val="18"/>
        </w:rPr>
        <w:t>first</w:t>
      </w:r>
      <w:r w:rsidR="00033D0F">
        <w:rPr>
          <w:spacing w:val="-3"/>
          <w:sz w:val="18"/>
        </w:rPr>
        <w:t xml:space="preserve"> </w:t>
      </w:r>
      <w:r w:rsidR="00033D0F">
        <w:rPr>
          <w:sz w:val="18"/>
        </w:rPr>
        <w:t>written</w:t>
      </w:r>
      <w:r w:rsidR="00033D0F">
        <w:rPr>
          <w:spacing w:val="-1"/>
          <w:sz w:val="18"/>
        </w:rPr>
        <w:t xml:space="preserve"> </w:t>
      </w:r>
      <w:r w:rsidR="00033D0F">
        <w:rPr>
          <w:sz w:val="18"/>
        </w:rPr>
        <w:t>submission,</w:t>
      </w:r>
      <w:r w:rsidR="00033D0F">
        <w:rPr>
          <w:spacing w:val="-3"/>
          <w:sz w:val="18"/>
        </w:rPr>
        <w:t xml:space="preserve"> </w:t>
      </w:r>
      <w:r w:rsidR="00033D0F">
        <w:rPr>
          <w:sz w:val="18"/>
        </w:rPr>
        <w:t>paras.</w:t>
      </w:r>
      <w:r w:rsidR="00033D0F">
        <w:rPr>
          <w:spacing w:val="-4"/>
          <w:sz w:val="18"/>
        </w:rPr>
        <w:t xml:space="preserve"> </w:t>
      </w:r>
      <w:r w:rsidR="00033D0F">
        <w:rPr>
          <w:sz w:val="18"/>
        </w:rPr>
        <w:t>92-</w:t>
      </w:r>
      <w:r w:rsidR="00033D0F">
        <w:rPr>
          <w:spacing w:val="-5"/>
          <w:sz w:val="18"/>
        </w:rPr>
        <w:t>99.</w:t>
      </w:r>
    </w:p>
    <w:p w14:paraId="2CE298BA" w14:textId="77777777" w:rsidR="00BD462C" w:rsidRDefault="00033D0F">
      <w:pPr>
        <w:spacing w:before="1"/>
        <w:ind w:left="135"/>
        <w:jc w:val="both"/>
        <w:rPr>
          <w:sz w:val="18"/>
        </w:rPr>
      </w:pPr>
      <w:bookmarkStart w:id="46" w:name="_bookmark35"/>
      <w:bookmarkEnd w:id="46"/>
      <w:r>
        <w:rPr>
          <w:position w:val="5"/>
          <w:sz w:val="12"/>
        </w:rPr>
        <w:t>23</w:t>
      </w:r>
      <w:r>
        <w:rPr>
          <w:spacing w:val="13"/>
          <w:position w:val="5"/>
          <w:sz w:val="12"/>
        </w:rPr>
        <w:t xml:space="preserve"> </w:t>
      </w:r>
      <w:r>
        <w:rPr>
          <w:sz w:val="18"/>
        </w:rPr>
        <w:t>Appellate</w:t>
      </w:r>
      <w:r>
        <w:rPr>
          <w:spacing w:val="-9"/>
          <w:sz w:val="18"/>
        </w:rPr>
        <w:t xml:space="preserve"> </w:t>
      </w:r>
      <w:r>
        <w:rPr>
          <w:sz w:val="18"/>
        </w:rPr>
        <w:t>Body</w:t>
      </w:r>
      <w:r>
        <w:rPr>
          <w:spacing w:val="-7"/>
          <w:sz w:val="18"/>
        </w:rPr>
        <w:t xml:space="preserve"> </w:t>
      </w:r>
      <w:r>
        <w:rPr>
          <w:sz w:val="18"/>
        </w:rPr>
        <w:t>Report,</w:t>
      </w:r>
      <w:r>
        <w:rPr>
          <w:spacing w:val="-3"/>
          <w:sz w:val="18"/>
        </w:rPr>
        <w:t xml:space="preserve"> </w:t>
      </w:r>
      <w:r>
        <w:rPr>
          <w:i/>
          <w:sz w:val="18"/>
        </w:rPr>
        <w:t>US</w:t>
      </w:r>
      <w:r>
        <w:rPr>
          <w:i/>
          <w:spacing w:val="-2"/>
          <w:sz w:val="18"/>
        </w:rPr>
        <w:t xml:space="preserve"> </w:t>
      </w:r>
      <w:r>
        <w:rPr>
          <w:i/>
          <w:sz w:val="18"/>
        </w:rPr>
        <w:t>–</w:t>
      </w:r>
      <w:r>
        <w:rPr>
          <w:i/>
          <w:spacing w:val="-5"/>
          <w:sz w:val="18"/>
        </w:rPr>
        <w:t xml:space="preserve"> </w:t>
      </w:r>
      <w:r>
        <w:rPr>
          <w:i/>
          <w:sz w:val="18"/>
        </w:rPr>
        <w:t>Countervailing</w:t>
      </w:r>
      <w:r>
        <w:rPr>
          <w:i/>
          <w:spacing w:val="-4"/>
          <w:sz w:val="18"/>
        </w:rPr>
        <w:t xml:space="preserve"> </w:t>
      </w:r>
      <w:r>
        <w:rPr>
          <w:i/>
          <w:sz w:val="18"/>
        </w:rPr>
        <w:t>Measures</w:t>
      </w:r>
      <w:r>
        <w:rPr>
          <w:i/>
          <w:spacing w:val="-5"/>
          <w:sz w:val="18"/>
        </w:rPr>
        <w:t xml:space="preserve"> </w:t>
      </w:r>
      <w:r>
        <w:rPr>
          <w:i/>
          <w:sz w:val="18"/>
        </w:rPr>
        <w:t>(China)</w:t>
      </w:r>
      <w:r>
        <w:rPr>
          <w:sz w:val="18"/>
        </w:rPr>
        <w:t>,</w:t>
      </w:r>
      <w:r>
        <w:rPr>
          <w:spacing w:val="-3"/>
          <w:sz w:val="18"/>
        </w:rPr>
        <w:t xml:space="preserve"> </w:t>
      </w:r>
      <w:r>
        <w:rPr>
          <w:sz w:val="18"/>
        </w:rPr>
        <w:t>paras. 4.9,</w:t>
      </w:r>
      <w:r>
        <w:rPr>
          <w:spacing w:val="1"/>
          <w:sz w:val="18"/>
        </w:rPr>
        <w:t xml:space="preserve"> </w:t>
      </w:r>
      <w:r>
        <w:rPr>
          <w:sz w:val="18"/>
        </w:rPr>
        <w:t>4.15-</w:t>
      </w:r>
      <w:r>
        <w:rPr>
          <w:spacing w:val="-2"/>
          <w:sz w:val="18"/>
        </w:rPr>
        <w:t>4.27.</w:t>
      </w:r>
    </w:p>
    <w:p w14:paraId="0C09F59C" w14:textId="77777777" w:rsidR="00BD462C" w:rsidRDefault="00033D0F">
      <w:pPr>
        <w:spacing w:before="1"/>
        <w:ind w:left="135"/>
        <w:jc w:val="both"/>
        <w:rPr>
          <w:sz w:val="18"/>
        </w:rPr>
      </w:pPr>
      <w:bookmarkStart w:id="47" w:name="_bookmark36"/>
      <w:bookmarkEnd w:id="47"/>
      <w:r>
        <w:rPr>
          <w:position w:val="5"/>
          <w:sz w:val="12"/>
        </w:rPr>
        <w:t>24</w:t>
      </w:r>
      <w:r>
        <w:rPr>
          <w:spacing w:val="13"/>
          <w:position w:val="5"/>
          <w:sz w:val="12"/>
        </w:rPr>
        <w:t xml:space="preserve"> </w:t>
      </w:r>
      <w:r>
        <w:rPr>
          <w:sz w:val="18"/>
        </w:rPr>
        <w:t>Appellate</w:t>
      </w:r>
      <w:r>
        <w:rPr>
          <w:spacing w:val="-10"/>
          <w:sz w:val="18"/>
        </w:rPr>
        <w:t xml:space="preserve"> </w:t>
      </w:r>
      <w:r>
        <w:rPr>
          <w:sz w:val="18"/>
        </w:rPr>
        <w:t>Body</w:t>
      </w:r>
      <w:r>
        <w:rPr>
          <w:spacing w:val="-6"/>
          <w:sz w:val="18"/>
        </w:rPr>
        <w:t xml:space="preserve"> </w:t>
      </w:r>
      <w:r>
        <w:rPr>
          <w:sz w:val="18"/>
        </w:rPr>
        <w:t>Report,</w:t>
      </w:r>
      <w:r>
        <w:rPr>
          <w:spacing w:val="-4"/>
          <w:sz w:val="18"/>
        </w:rPr>
        <w:t xml:space="preserve"> </w:t>
      </w:r>
      <w:r>
        <w:rPr>
          <w:i/>
          <w:sz w:val="18"/>
        </w:rPr>
        <w:t>US</w:t>
      </w:r>
      <w:r>
        <w:rPr>
          <w:i/>
          <w:spacing w:val="-2"/>
          <w:sz w:val="18"/>
        </w:rPr>
        <w:t xml:space="preserve"> </w:t>
      </w:r>
      <w:r>
        <w:rPr>
          <w:i/>
          <w:sz w:val="18"/>
        </w:rPr>
        <w:t>–</w:t>
      </w:r>
      <w:r>
        <w:rPr>
          <w:i/>
          <w:spacing w:val="-5"/>
          <w:sz w:val="18"/>
        </w:rPr>
        <w:t xml:space="preserve"> </w:t>
      </w:r>
      <w:r>
        <w:rPr>
          <w:i/>
          <w:sz w:val="18"/>
        </w:rPr>
        <w:t>Countervailing</w:t>
      </w:r>
      <w:r>
        <w:rPr>
          <w:i/>
          <w:spacing w:val="-4"/>
          <w:sz w:val="18"/>
        </w:rPr>
        <w:t xml:space="preserve"> </w:t>
      </w:r>
      <w:r>
        <w:rPr>
          <w:i/>
          <w:sz w:val="18"/>
        </w:rPr>
        <w:t>Measures</w:t>
      </w:r>
      <w:r>
        <w:rPr>
          <w:i/>
          <w:spacing w:val="-5"/>
          <w:sz w:val="18"/>
        </w:rPr>
        <w:t xml:space="preserve"> </w:t>
      </w:r>
      <w:r>
        <w:rPr>
          <w:i/>
          <w:sz w:val="18"/>
        </w:rPr>
        <w:t>(China)</w:t>
      </w:r>
      <w:r>
        <w:rPr>
          <w:sz w:val="18"/>
        </w:rPr>
        <w:t>,</w:t>
      </w:r>
      <w:r>
        <w:rPr>
          <w:spacing w:val="-3"/>
          <w:sz w:val="18"/>
        </w:rPr>
        <w:t xml:space="preserve"> </w:t>
      </w:r>
      <w:r>
        <w:rPr>
          <w:sz w:val="18"/>
        </w:rPr>
        <w:t>paras. 4.9,</w:t>
      </w:r>
      <w:r>
        <w:rPr>
          <w:spacing w:val="1"/>
          <w:sz w:val="18"/>
        </w:rPr>
        <w:t xml:space="preserve"> </w:t>
      </w:r>
      <w:r>
        <w:rPr>
          <w:sz w:val="18"/>
        </w:rPr>
        <w:t>4.15-</w:t>
      </w:r>
      <w:r>
        <w:rPr>
          <w:spacing w:val="-2"/>
          <w:sz w:val="18"/>
        </w:rPr>
        <w:t>4.27.</w:t>
      </w:r>
    </w:p>
    <w:p w14:paraId="75201392" w14:textId="77777777" w:rsidR="00BD462C" w:rsidRDefault="00033D0F">
      <w:pPr>
        <w:spacing w:before="1"/>
        <w:ind w:left="136" w:right="910" w:hanging="1"/>
        <w:jc w:val="both"/>
        <w:rPr>
          <w:sz w:val="18"/>
        </w:rPr>
      </w:pPr>
      <w:bookmarkStart w:id="48" w:name="_bookmark37"/>
      <w:bookmarkEnd w:id="48"/>
      <w:r>
        <w:rPr>
          <w:position w:val="5"/>
          <w:sz w:val="12"/>
        </w:rPr>
        <w:t>25</w:t>
      </w:r>
      <w:r>
        <w:rPr>
          <w:spacing w:val="16"/>
          <w:position w:val="5"/>
          <w:sz w:val="12"/>
        </w:rPr>
        <w:t xml:space="preserve"> </w:t>
      </w:r>
      <w:r>
        <w:rPr>
          <w:sz w:val="18"/>
        </w:rPr>
        <w:t>For China's</w:t>
      </w:r>
      <w:r>
        <w:rPr>
          <w:spacing w:val="-3"/>
          <w:sz w:val="18"/>
        </w:rPr>
        <w:t xml:space="preserve"> </w:t>
      </w:r>
      <w:r>
        <w:rPr>
          <w:sz w:val="18"/>
        </w:rPr>
        <w:t>interpretation</w:t>
      </w:r>
      <w:r>
        <w:rPr>
          <w:spacing w:val="-4"/>
          <w:sz w:val="18"/>
        </w:rPr>
        <w:t xml:space="preserve"> </w:t>
      </w:r>
      <w:r>
        <w:rPr>
          <w:sz w:val="18"/>
        </w:rPr>
        <w:t>of</w:t>
      </w:r>
      <w:r>
        <w:rPr>
          <w:spacing w:val="-2"/>
          <w:sz w:val="18"/>
        </w:rPr>
        <w:t xml:space="preserve"> </w:t>
      </w:r>
      <w:r>
        <w:rPr>
          <w:sz w:val="18"/>
        </w:rPr>
        <w:t xml:space="preserve">this obligation, see </w:t>
      </w:r>
      <w:proofErr w:type="gramStart"/>
      <w:r>
        <w:rPr>
          <w:sz w:val="18"/>
        </w:rPr>
        <w:t>e.g.</w:t>
      </w:r>
      <w:proofErr w:type="gramEnd"/>
      <w:r>
        <w:rPr>
          <w:sz w:val="18"/>
        </w:rPr>
        <w:t xml:space="preserve"> China's</w:t>
      </w:r>
      <w:r>
        <w:rPr>
          <w:spacing w:val="-3"/>
          <w:sz w:val="18"/>
        </w:rPr>
        <w:t xml:space="preserve"> </w:t>
      </w:r>
      <w:r>
        <w:rPr>
          <w:sz w:val="18"/>
        </w:rPr>
        <w:t>first</w:t>
      </w:r>
      <w:r>
        <w:rPr>
          <w:spacing w:val="-3"/>
          <w:sz w:val="18"/>
        </w:rPr>
        <w:t xml:space="preserve"> </w:t>
      </w:r>
      <w:r>
        <w:rPr>
          <w:sz w:val="18"/>
        </w:rPr>
        <w:t>written</w:t>
      </w:r>
      <w:r>
        <w:rPr>
          <w:spacing w:val="-4"/>
          <w:sz w:val="18"/>
        </w:rPr>
        <w:t xml:space="preserve"> </w:t>
      </w:r>
      <w:r>
        <w:rPr>
          <w:sz w:val="18"/>
        </w:rPr>
        <w:t>submission, para. 140</w:t>
      </w:r>
      <w:r>
        <w:rPr>
          <w:spacing w:val="-5"/>
          <w:sz w:val="18"/>
        </w:rPr>
        <w:t xml:space="preserve"> </w:t>
      </w:r>
      <w:r>
        <w:rPr>
          <w:sz w:val="18"/>
        </w:rPr>
        <w:t>("the due process rights</w:t>
      </w:r>
      <w:r>
        <w:rPr>
          <w:spacing w:val="-3"/>
          <w:sz w:val="18"/>
        </w:rPr>
        <w:t xml:space="preserve"> </w:t>
      </w:r>
      <w:r>
        <w:rPr>
          <w:sz w:val="18"/>
        </w:rPr>
        <w:t xml:space="preserve">of the respondent, to prepare its </w:t>
      </w:r>
      <w:proofErr w:type="spellStart"/>
      <w:r>
        <w:rPr>
          <w:sz w:val="18"/>
        </w:rPr>
        <w:t>defence</w:t>
      </w:r>
      <w:proofErr w:type="spellEnd"/>
      <w:r>
        <w:rPr>
          <w:sz w:val="18"/>
        </w:rPr>
        <w:t xml:space="preserve"> upon the receipt of the complainant's panel request…"); fn. 92 ("[China's] ability to prepare a proper </w:t>
      </w:r>
      <w:proofErr w:type="spellStart"/>
      <w:r>
        <w:rPr>
          <w:sz w:val="18"/>
        </w:rPr>
        <w:t>defence</w:t>
      </w:r>
      <w:proofErr w:type="spellEnd"/>
      <w:r>
        <w:rPr>
          <w:sz w:val="18"/>
        </w:rPr>
        <w:t xml:space="preserve"> on receipt of the panel request is '</w:t>
      </w:r>
      <w:r>
        <w:rPr>
          <w:b/>
          <w:sz w:val="18"/>
        </w:rPr>
        <w:t>fundamental</w:t>
      </w:r>
      <w:r>
        <w:rPr>
          <w:b/>
          <w:spacing w:val="-1"/>
          <w:sz w:val="18"/>
        </w:rPr>
        <w:t xml:space="preserve"> </w:t>
      </w:r>
      <w:r>
        <w:rPr>
          <w:sz w:val="18"/>
        </w:rPr>
        <w:t xml:space="preserve">to ensuring a fair and orderly conduct of dispute settlement proceedings'."); para. 90 (in response to Australia's position that a panel request is not intended to allow a full </w:t>
      </w:r>
      <w:proofErr w:type="spellStart"/>
      <w:r>
        <w:rPr>
          <w:sz w:val="18"/>
        </w:rPr>
        <w:t>defence</w:t>
      </w:r>
      <w:proofErr w:type="spellEnd"/>
      <w:r>
        <w:rPr>
          <w:sz w:val="18"/>
        </w:rPr>
        <w:t>:</w:t>
      </w:r>
      <w:r>
        <w:rPr>
          <w:spacing w:val="-11"/>
          <w:sz w:val="18"/>
        </w:rPr>
        <w:t xml:space="preserve"> </w:t>
      </w:r>
      <w:r>
        <w:rPr>
          <w:sz w:val="18"/>
        </w:rPr>
        <w:t>"[a]t</w:t>
      </w:r>
      <w:r>
        <w:rPr>
          <w:spacing w:val="-10"/>
          <w:sz w:val="18"/>
        </w:rPr>
        <w:t xml:space="preserve"> </w:t>
      </w:r>
      <w:r>
        <w:rPr>
          <w:sz w:val="18"/>
        </w:rPr>
        <w:t>the</w:t>
      </w:r>
      <w:r>
        <w:rPr>
          <w:spacing w:val="-9"/>
          <w:sz w:val="18"/>
        </w:rPr>
        <w:t xml:space="preserve"> </w:t>
      </w:r>
      <w:r>
        <w:rPr>
          <w:sz w:val="18"/>
        </w:rPr>
        <w:t>outset,</w:t>
      </w:r>
      <w:r>
        <w:rPr>
          <w:spacing w:val="-5"/>
          <w:sz w:val="18"/>
        </w:rPr>
        <w:t xml:space="preserve"> </w:t>
      </w:r>
      <w:r>
        <w:rPr>
          <w:sz w:val="18"/>
        </w:rPr>
        <w:t>China</w:t>
      </w:r>
      <w:r>
        <w:rPr>
          <w:spacing w:val="-11"/>
          <w:sz w:val="18"/>
        </w:rPr>
        <w:t xml:space="preserve"> </w:t>
      </w:r>
      <w:r>
        <w:rPr>
          <w:sz w:val="18"/>
        </w:rPr>
        <w:t>believes</w:t>
      </w:r>
      <w:r>
        <w:rPr>
          <w:spacing w:val="-7"/>
          <w:sz w:val="18"/>
        </w:rPr>
        <w:t xml:space="preserve"> </w:t>
      </w:r>
      <w:r>
        <w:rPr>
          <w:sz w:val="18"/>
        </w:rPr>
        <w:t>that</w:t>
      </w:r>
      <w:r>
        <w:rPr>
          <w:spacing w:val="-7"/>
          <w:sz w:val="18"/>
        </w:rPr>
        <w:t xml:space="preserve"> </w:t>
      </w:r>
      <w:r>
        <w:rPr>
          <w:sz w:val="18"/>
        </w:rPr>
        <w:t>it</w:t>
      </w:r>
      <w:r>
        <w:rPr>
          <w:spacing w:val="-7"/>
          <w:sz w:val="18"/>
        </w:rPr>
        <w:t xml:space="preserve"> </w:t>
      </w:r>
      <w:r>
        <w:rPr>
          <w:sz w:val="18"/>
        </w:rPr>
        <w:t>is</w:t>
      </w:r>
      <w:r>
        <w:rPr>
          <w:spacing w:val="-11"/>
          <w:sz w:val="18"/>
        </w:rPr>
        <w:t xml:space="preserve"> </w:t>
      </w:r>
      <w:r>
        <w:rPr>
          <w:sz w:val="18"/>
        </w:rPr>
        <w:t>improper</w:t>
      </w:r>
      <w:r>
        <w:rPr>
          <w:spacing w:val="-9"/>
          <w:sz w:val="18"/>
        </w:rPr>
        <w:t xml:space="preserve"> </w:t>
      </w:r>
      <w:r>
        <w:rPr>
          <w:sz w:val="18"/>
        </w:rPr>
        <w:t>for</w:t>
      </w:r>
      <w:r>
        <w:rPr>
          <w:spacing w:val="-10"/>
          <w:sz w:val="18"/>
        </w:rPr>
        <w:t xml:space="preserve"> </w:t>
      </w:r>
      <w:r>
        <w:rPr>
          <w:sz w:val="18"/>
        </w:rPr>
        <w:t>Australia</w:t>
      </w:r>
      <w:r>
        <w:rPr>
          <w:spacing w:val="-9"/>
          <w:sz w:val="18"/>
        </w:rPr>
        <w:t xml:space="preserve"> </w:t>
      </w:r>
      <w:r>
        <w:rPr>
          <w:sz w:val="18"/>
        </w:rPr>
        <w:t>to</w:t>
      </w:r>
      <w:r>
        <w:rPr>
          <w:spacing w:val="-11"/>
          <w:sz w:val="18"/>
        </w:rPr>
        <w:t xml:space="preserve"> </w:t>
      </w:r>
      <w:r>
        <w:rPr>
          <w:sz w:val="18"/>
        </w:rPr>
        <w:t>openly</w:t>
      </w:r>
      <w:r>
        <w:rPr>
          <w:spacing w:val="-9"/>
          <w:sz w:val="18"/>
        </w:rPr>
        <w:t xml:space="preserve"> </w:t>
      </w:r>
      <w:r>
        <w:rPr>
          <w:sz w:val="18"/>
        </w:rPr>
        <w:t>attempt</w:t>
      </w:r>
      <w:r>
        <w:rPr>
          <w:spacing w:val="-7"/>
          <w:sz w:val="18"/>
        </w:rPr>
        <w:t xml:space="preserve"> </w:t>
      </w:r>
      <w:r>
        <w:rPr>
          <w:sz w:val="18"/>
        </w:rPr>
        <w:t>to</w:t>
      </w:r>
      <w:r>
        <w:rPr>
          <w:spacing w:val="-9"/>
          <w:sz w:val="18"/>
        </w:rPr>
        <w:t xml:space="preserve"> </w:t>
      </w:r>
      <w:r>
        <w:rPr>
          <w:sz w:val="18"/>
        </w:rPr>
        <w:t>dilute</w:t>
      </w:r>
      <w:r>
        <w:rPr>
          <w:spacing w:val="-8"/>
          <w:sz w:val="18"/>
        </w:rPr>
        <w:t xml:space="preserve"> </w:t>
      </w:r>
      <w:r>
        <w:rPr>
          <w:sz w:val="18"/>
        </w:rPr>
        <w:t>China's</w:t>
      </w:r>
      <w:r>
        <w:rPr>
          <w:spacing w:val="-8"/>
          <w:sz w:val="18"/>
        </w:rPr>
        <w:t xml:space="preserve"> </w:t>
      </w:r>
      <w:r>
        <w:rPr>
          <w:sz w:val="18"/>
        </w:rPr>
        <w:t>due</w:t>
      </w:r>
      <w:r>
        <w:rPr>
          <w:spacing w:val="-8"/>
          <w:sz w:val="18"/>
        </w:rPr>
        <w:t xml:space="preserve"> </w:t>
      </w:r>
      <w:r>
        <w:rPr>
          <w:sz w:val="18"/>
        </w:rPr>
        <w:t>process</w:t>
      </w:r>
      <w:r>
        <w:rPr>
          <w:spacing w:val="-8"/>
          <w:sz w:val="18"/>
        </w:rPr>
        <w:t xml:space="preserve"> </w:t>
      </w:r>
      <w:r>
        <w:rPr>
          <w:sz w:val="18"/>
        </w:rPr>
        <w:t>rights as a respondent").</w:t>
      </w:r>
    </w:p>
    <w:p w14:paraId="6A9BC731" w14:textId="77777777" w:rsidR="00BD462C" w:rsidRDefault="00BD462C">
      <w:pPr>
        <w:jc w:val="both"/>
        <w:rPr>
          <w:sz w:val="18"/>
        </w:rPr>
        <w:sectPr w:rsidR="00BD462C">
          <w:pgSz w:w="11910" w:h="16840"/>
          <w:pgMar w:top="860" w:right="500" w:bottom="780" w:left="1280" w:header="566" w:footer="590" w:gutter="0"/>
          <w:cols w:space="720"/>
        </w:sectPr>
      </w:pPr>
    </w:p>
    <w:p w14:paraId="75358614"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2165A0F5"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52DC9BDD"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74544459" w14:textId="77777777" w:rsidR="00BD462C" w:rsidRDefault="00033D0F">
      <w:pPr>
        <w:pStyle w:val="BodyText"/>
        <w:spacing w:before="102" w:line="357" w:lineRule="auto"/>
        <w:ind w:left="135" w:right="923"/>
      </w:pPr>
      <w:r>
        <w:t xml:space="preserve">informs the responding Member of the nature of the case and allows it to "begin" preparing a </w:t>
      </w:r>
      <w:proofErr w:type="spellStart"/>
      <w:r>
        <w:t>defence</w:t>
      </w:r>
      <w:proofErr w:type="spellEnd"/>
      <w:r>
        <w:t>.</w:t>
      </w:r>
      <w:r>
        <w:rPr>
          <w:spacing w:val="-16"/>
        </w:rPr>
        <w:t xml:space="preserve"> </w:t>
      </w:r>
      <w:hyperlink w:anchor="_bookmark41" w:history="1">
        <w:r>
          <w:rPr>
            <w:vertAlign w:val="superscript"/>
          </w:rPr>
          <w:t>26</w:t>
        </w:r>
      </w:hyperlink>
    </w:p>
    <w:p w14:paraId="5FCF0D15" w14:textId="09ED5F07" w:rsidR="00BD462C" w:rsidRDefault="00033D0F" w:rsidP="00C65BAF">
      <w:pPr>
        <w:pStyle w:val="BodyText"/>
        <w:numPr>
          <w:ilvl w:val="0"/>
          <w:numId w:val="68"/>
        </w:numPr>
        <w:spacing w:before="169" w:line="357" w:lineRule="auto"/>
        <w:ind w:right="913"/>
        <w:jc w:val="both"/>
      </w:pPr>
      <w:r>
        <w:rPr>
          <w:position w:val="1"/>
        </w:rPr>
        <w:t>In</w:t>
      </w:r>
      <w:r>
        <w:rPr>
          <w:spacing w:val="-14"/>
          <w:position w:val="1"/>
        </w:rPr>
        <w:t xml:space="preserve"> </w:t>
      </w:r>
      <w:r>
        <w:rPr>
          <w:position w:val="1"/>
        </w:rPr>
        <w:t>arguing</w:t>
      </w:r>
      <w:r>
        <w:rPr>
          <w:spacing w:val="-10"/>
          <w:position w:val="1"/>
        </w:rPr>
        <w:t xml:space="preserve"> </w:t>
      </w:r>
      <w:r>
        <w:rPr>
          <w:position w:val="1"/>
        </w:rPr>
        <w:t>that</w:t>
      </w:r>
      <w:r>
        <w:rPr>
          <w:spacing w:val="-11"/>
          <w:position w:val="1"/>
        </w:rPr>
        <w:t xml:space="preserve"> </w:t>
      </w:r>
      <w:r>
        <w:rPr>
          <w:position w:val="1"/>
        </w:rPr>
        <w:t>Australia</w:t>
      </w:r>
      <w:r>
        <w:rPr>
          <w:spacing w:val="-12"/>
          <w:position w:val="1"/>
        </w:rPr>
        <w:t xml:space="preserve"> </w:t>
      </w:r>
      <w:r>
        <w:rPr>
          <w:position w:val="1"/>
        </w:rPr>
        <w:t>"hollows</w:t>
      </w:r>
      <w:r>
        <w:rPr>
          <w:spacing w:val="-10"/>
          <w:position w:val="1"/>
        </w:rPr>
        <w:t xml:space="preserve"> </w:t>
      </w:r>
      <w:r>
        <w:rPr>
          <w:position w:val="1"/>
        </w:rPr>
        <w:t>out"</w:t>
      </w:r>
      <w:r>
        <w:rPr>
          <w:spacing w:val="-8"/>
          <w:position w:val="1"/>
        </w:rPr>
        <w:t xml:space="preserve"> </w:t>
      </w:r>
      <w:r>
        <w:rPr>
          <w:position w:val="1"/>
        </w:rPr>
        <w:t>due</w:t>
      </w:r>
      <w:r>
        <w:rPr>
          <w:spacing w:val="-7"/>
          <w:position w:val="1"/>
        </w:rPr>
        <w:t xml:space="preserve"> </w:t>
      </w:r>
      <w:r>
        <w:rPr>
          <w:position w:val="1"/>
        </w:rPr>
        <w:t>process</w:t>
      </w:r>
      <w:r>
        <w:rPr>
          <w:spacing w:val="-10"/>
          <w:position w:val="1"/>
        </w:rPr>
        <w:t xml:space="preserve"> </w:t>
      </w:r>
      <w:r>
        <w:rPr>
          <w:position w:val="1"/>
        </w:rPr>
        <w:t>protections,</w:t>
      </w:r>
      <w:r>
        <w:rPr>
          <w:spacing w:val="-14"/>
          <w:position w:val="1"/>
        </w:rPr>
        <w:t xml:space="preserve"> </w:t>
      </w:r>
      <w:hyperlink w:anchor="_bookmark42" w:history="1">
        <w:r>
          <w:rPr>
            <w:position w:val="1"/>
            <w:vertAlign w:val="superscript"/>
          </w:rPr>
          <w:t>27</w:t>
        </w:r>
      </w:hyperlink>
      <w:r>
        <w:rPr>
          <w:spacing w:val="-11"/>
          <w:position w:val="1"/>
        </w:rPr>
        <w:t xml:space="preserve"> </w:t>
      </w:r>
      <w:r>
        <w:rPr>
          <w:position w:val="1"/>
        </w:rPr>
        <w:t>China</w:t>
      </w:r>
      <w:r>
        <w:rPr>
          <w:spacing w:val="-12"/>
          <w:position w:val="1"/>
        </w:rPr>
        <w:t xml:space="preserve"> </w:t>
      </w:r>
      <w:r>
        <w:rPr>
          <w:position w:val="1"/>
        </w:rPr>
        <w:t>conflates</w:t>
      </w:r>
      <w:r>
        <w:rPr>
          <w:spacing w:val="-10"/>
          <w:position w:val="1"/>
        </w:rPr>
        <w:t xml:space="preserve"> </w:t>
      </w:r>
      <w:r>
        <w:rPr>
          <w:position w:val="1"/>
        </w:rPr>
        <w:t xml:space="preserve">the </w:t>
      </w:r>
      <w:r>
        <w:t xml:space="preserve">purpose of the panel request with the complainant's subsequent submissions. Pursuant to Article 12, Annex 3 and the Working Procedures, Australia adduces argumentation to demonstrate a </w:t>
      </w:r>
      <w:r>
        <w:rPr>
          <w:i/>
        </w:rPr>
        <w:t xml:space="preserve">prima facie </w:t>
      </w:r>
      <w:r>
        <w:t>case</w:t>
      </w:r>
      <w:r>
        <w:rPr>
          <w:spacing w:val="-3"/>
        </w:rPr>
        <w:t xml:space="preserve"> </w:t>
      </w:r>
      <w:r>
        <w:t>in</w:t>
      </w:r>
      <w:r>
        <w:rPr>
          <w:spacing w:val="-1"/>
        </w:rPr>
        <w:t xml:space="preserve"> </w:t>
      </w:r>
      <w:r>
        <w:t>oral and</w:t>
      </w:r>
      <w:r>
        <w:rPr>
          <w:spacing w:val="-1"/>
        </w:rPr>
        <w:t xml:space="preserve"> </w:t>
      </w:r>
      <w:r>
        <w:t>written</w:t>
      </w:r>
      <w:r>
        <w:rPr>
          <w:spacing w:val="-1"/>
        </w:rPr>
        <w:t xml:space="preserve"> </w:t>
      </w:r>
      <w:r>
        <w:t>submissions to</w:t>
      </w:r>
      <w:r>
        <w:rPr>
          <w:spacing w:val="-1"/>
        </w:rPr>
        <w:t xml:space="preserve"> </w:t>
      </w:r>
      <w:r>
        <w:t>which</w:t>
      </w:r>
      <w:r>
        <w:rPr>
          <w:spacing w:val="-1"/>
        </w:rPr>
        <w:t xml:space="preserve"> </w:t>
      </w:r>
      <w:r>
        <w:t>China has full rights to respond.</w:t>
      </w:r>
      <w:r>
        <w:rPr>
          <w:spacing w:val="-18"/>
        </w:rPr>
        <w:t xml:space="preserve"> </w:t>
      </w:r>
      <w:hyperlink w:anchor="_bookmark43" w:history="1">
        <w:r>
          <w:rPr>
            <w:vertAlign w:val="superscript"/>
          </w:rPr>
          <w:t>28</w:t>
        </w:r>
      </w:hyperlink>
    </w:p>
    <w:p w14:paraId="2535B71F" w14:textId="77777777" w:rsidR="00BD462C" w:rsidRDefault="00033D0F">
      <w:pPr>
        <w:pStyle w:val="ListParagraph"/>
        <w:numPr>
          <w:ilvl w:val="3"/>
          <w:numId w:val="65"/>
        </w:numPr>
        <w:tabs>
          <w:tab w:val="left" w:pos="4388"/>
          <w:tab w:val="left" w:pos="4389"/>
        </w:tabs>
        <w:spacing w:before="159" w:line="362" w:lineRule="auto"/>
        <w:ind w:right="915"/>
        <w:jc w:val="both"/>
        <w:rPr>
          <w:i/>
          <w:sz w:val="24"/>
        </w:rPr>
      </w:pPr>
      <w:bookmarkStart w:id="49" w:name="i._Article_6.2_does_not_require_a_compla"/>
      <w:bookmarkStart w:id="50" w:name="_bookmark38"/>
      <w:bookmarkStart w:id="51" w:name="_bookmark39"/>
      <w:bookmarkEnd w:id="49"/>
      <w:bookmarkEnd w:id="50"/>
      <w:bookmarkEnd w:id="51"/>
      <w:r>
        <w:rPr>
          <w:i/>
          <w:sz w:val="24"/>
        </w:rPr>
        <w:t>Article 6.2 does not require a complainant to disclose arguments in its panel request</w:t>
      </w:r>
    </w:p>
    <w:p w14:paraId="18BEE799" w14:textId="77777777" w:rsidR="00BD462C" w:rsidRDefault="00BD462C">
      <w:pPr>
        <w:pStyle w:val="BodyText"/>
        <w:spacing w:before="8"/>
        <w:rPr>
          <w:i/>
          <w:sz w:val="8"/>
        </w:rPr>
      </w:pPr>
    </w:p>
    <w:p w14:paraId="6EC7890F" w14:textId="07C74E0F" w:rsidR="00BD462C" w:rsidRDefault="00033D0F" w:rsidP="00C65BAF">
      <w:pPr>
        <w:pStyle w:val="BodyText"/>
        <w:numPr>
          <w:ilvl w:val="0"/>
          <w:numId w:val="68"/>
        </w:numPr>
        <w:spacing w:before="56" w:line="360" w:lineRule="auto"/>
        <w:ind w:right="911"/>
        <w:jc w:val="both"/>
      </w:pPr>
      <w:bookmarkStart w:id="52" w:name="_bookmark40"/>
      <w:bookmarkEnd w:id="52"/>
      <w:r>
        <w:rPr>
          <w:position w:val="1"/>
        </w:rPr>
        <w:t xml:space="preserve">Australia and China agree that a complainant is not obliged to include its arguments </w:t>
      </w:r>
      <w:r>
        <w:t>in</w:t>
      </w:r>
      <w:r>
        <w:rPr>
          <w:spacing w:val="-14"/>
        </w:rPr>
        <w:t xml:space="preserve"> </w:t>
      </w:r>
      <w:r>
        <w:t>its</w:t>
      </w:r>
      <w:r>
        <w:rPr>
          <w:spacing w:val="-9"/>
        </w:rPr>
        <w:t xml:space="preserve"> </w:t>
      </w:r>
      <w:r>
        <w:t>panel request.</w:t>
      </w:r>
      <w:r>
        <w:rPr>
          <w:spacing w:val="-14"/>
        </w:rPr>
        <w:t xml:space="preserve"> </w:t>
      </w:r>
      <w:hyperlink w:anchor="_bookmark44" w:history="1">
        <w:r>
          <w:rPr>
            <w:vertAlign w:val="superscript"/>
          </w:rPr>
          <w:t>29</w:t>
        </w:r>
      </w:hyperlink>
      <w:r>
        <w:rPr>
          <w:spacing w:val="-1"/>
        </w:rPr>
        <w:t xml:space="preserve"> </w:t>
      </w:r>
      <w:r>
        <w:t>As</w:t>
      </w:r>
      <w:r>
        <w:rPr>
          <w:spacing w:val="-1"/>
        </w:rPr>
        <w:t xml:space="preserve"> </w:t>
      </w:r>
      <w:r>
        <w:t>the</w:t>
      </w:r>
      <w:r>
        <w:rPr>
          <w:spacing w:val="-3"/>
        </w:rPr>
        <w:t xml:space="preserve"> </w:t>
      </w:r>
      <w:r>
        <w:t>Appellate</w:t>
      </w:r>
      <w:r>
        <w:rPr>
          <w:spacing w:val="-2"/>
        </w:rPr>
        <w:t xml:space="preserve"> </w:t>
      </w:r>
      <w:r>
        <w:t>Body</w:t>
      </w:r>
      <w:r>
        <w:rPr>
          <w:spacing w:val="-1"/>
        </w:rPr>
        <w:t xml:space="preserve"> </w:t>
      </w:r>
      <w:r>
        <w:t>has</w:t>
      </w:r>
      <w:r>
        <w:rPr>
          <w:spacing w:val="-1"/>
        </w:rPr>
        <w:t xml:space="preserve"> </w:t>
      </w:r>
      <w:r>
        <w:t>explained,</w:t>
      </w:r>
      <w:r>
        <w:rPr>
          <w:spacing w:val="-1"/>
        </w:rPr>
        <w:t xml:space="preserve"> </w:t>
      </w:r>
      <w:r>
        <w:t>"Article</w:t>
      </w:r>
      <w:r>
        <w:rPr>
          <w:spacing w:val="-1"/>
        </w:rPr>
        <w:t xml:space="preserve"> </w:t>
      </w:r>
      <w:r>
        <w:t>6.2</w:t>
      </w:r>
      <w:r>
        <w:rPr>
          <w:spacing w:val="-5"/>
        </w:rPr>
        <w:t xml:space="preserve"> </w:t>
      </w:r>
      <w:r>
        <w:t>demands</w:t>
      </w:r>
      <w:r>
        <w:rPr>
          <w:spacing w:val="-1"/>
        </w:rPr>
        <w:t xml:space="preserve"> </w:t>
      </w:r>
      <w:r>
        <w:t>only</w:t>
      </w:r>
      <w:r>
        <w:rPr>
          <w:spacing w:val="-1"/>
        </w:rPr>
        <w:t xml:space="preserve"> </w:t>
      </w:r>
      <w:r>
        <w:t xml:space="preserve">'a </w:t>
      </w:r>
      <w:r>
        <w:rPr>
          <w:i/>
        </w:rPr>
        <w:t xml:space="preserve">brief </w:t>
      </w:r>
      <w:r>
        <w:t>summary' of the legal basis of the complaint and not the arguments in support of the complaint".</w:t>
      </w:r>
      <w:r>
        <w:rPr>
          <w:spacing w:val="-14"/>
        </w:rPr>
        <w:t xml:space="preserve"> </w:t>
      </w:r>
      <w:hyperlink w:anchor="_bookmark45" w:history="1">
        <w:r>
          <w:rPr>
            <w:vertAlign w:val="superscript"/>
          </w:rPr>
          <w:t>30</w:t>
        </w:r>
      </w:hyperlink>
      <w:r>
        <w:rPr>
          <w:spacing w:val="-13"/>
        </w:rPr>
        <w:t xml:space="preserve"> </w:t>
      </w:r>
      <w:r>
        <w:t>This first component – a brief summary of the legal basis of the complaint – is the</w:t>
      </w:r>
      <w:r>
        <w:rPr>
          <w:spacing w:val="-14"/>
        </w:rPr>
        <w:t xml:space="preserve"> </w:t>
      </w:r>
      <w:r>
        <w:t>complainant's "claim".</w:t>
      </w:r>
      <w:r>
        <w:rPr>
          <w:spacing w:val="-14"/>
        </w:rPr>
        <w:t xml:space="preserve"> </w:t>
      </w:r>
      <w:hyperlink w:anchor="_bookmark46" w:history="1">
        <w:r>
          <w:rPr>
            <w:vertAlign w:val="superscript"/>
          </w:rPr>
          <w:t>31</w:t>
        </w:r>
      </w:hyperlink>
      <w:r>
        <w:t xml:space="preserve"> An argument, by contrast, is an explanation of the way in which an obligation is said to have been infringed; including, for example, with reference to an instance or evidence of infringement,</w:t>
      </w:r>
      <w:r>
        <w:rPr>
          <w:spacing w:val="-14"/>
        </w:rPr>
        <w:t xml:space="preserve"> </w:t>
      </w:r>
      <w:hyperlink w:anchor="_bookmark47" w:history="1">
        <w:r>
          <w:rPr>
            <w:vertAlign w:val="superscript"/>
          </w:rPr>
          <w:t>32</w:t>
        </w:r>
      </w:hyperlink>
      <w:r>
        <w:t xml:space="preserve"> or a particular element of noncompliance, such as failure to consider a specific factor.</w:t>
      </w:r>
      <w:r>
        <w:rPr>
          <w:spacing w:val="-14"/>
        </w:rPr>
        <w:t xml:space="preserve"> </w:t>
      </w:r>
      <w:hyperlink w:anchor="_bookmark48" w:history="1">
        <w:r>
          <w:rPr>
            <w:vertAlign w:val="superscript"/>
          </w:rPr>
          <w:t>33</w:t>
        </w:r>
      </w:hyperlink>
      <w:r>
        <w:t xml:space="preserve"> Such arguments are set out and clarified in written submissions</w:t>
      </w:r>
      <w:r>
        <w:rPr>
          <w:spacing w:val="-12"/>
        </w:rPr>
        <w:t xml:space="preserve"> </w:t>
      </w:r>
      <w:r>
        <w:t>and</w:t>
      </w:r>
      <w:r>
        <w:rPr>
          <w:spacing w:val="-11"/>
        </w:rPr>
        <w:t xml:space="preserve"> </w:t>
      </w:r>
      <w:r>
        <w:t>panel</w:t>
      </w:r>
      <w:r>
        <w:rPr>
          <w:spacing w:val="-12"/>
        </w:rPr>
        <w:t xml:space="preserve"> </w:t>
      </w:r>
      <w:r>
        <w:t>meetings.</w:t>
      </w:r>
      <w:hyperlink w:anchor="_bookmark49" w:history="1">
        <w:r>
          <w:rPr>
            <w:vertAlign w:val="superscript"/>
          </w:rPr>
          <w:t>34</w:t>
        </w:r>
      </w:hyperlink>
      <w:r>
        <w:rPr>
          <w:spacing w:val="-13"/>
        </w:rPr>
        <w:t xml:space="preserve"> </w:t>
      </w:r>
      <w:r>
        <w:t>In</w:t>
      </w:r>
      <w:r>
        <w:rPr>
          <w:spacing w:val="-17"/>
        </w:rPr>
        <w:t xml:space="preserve"> </w:t>
      </w:r>
      <w:r>
        <w:t>this</w:t>
      </w:r>
      <w:r>
        <w:rPr>
          <w:spacing w:val="-12"/>
        </w:rPr>
        <w:t xml:space="preserve"> </w:t>
      </w:r>
      <w:r>
        <w:t>sense,</w:t>
      </w:r>
      <w:r>
        <w:rPr>
          <w:spacing w:val="-12"/>
        </w:rPr>
        <w:t xml:space="preserve"> </w:t>
      </w:r>
      <w:r>
        <w:t>Australia</w:t>
      </w:r>
      <w:r>
        <w:rPr>
          <w:spacing w:val="-14"/>
        </w:rPr>
        <w:t xml:space="preserve"> </w:t>
      </w:r>
      <w:r>
        <w:t>agrees</w:t>
      </w:r>
      <w:r>
        <w:rPr>
          <w:spacing w:val="-12"/>
        </w:rPr>
        <w:t xml:space="preserve"> </w:t>
      </w:r>
      <w:r>
        <w:t>with</w:t>
      </w:r>
      <w:r>
        <w:rPr>
          <w:spacing w:val="-17"/>
        </w:rPr>
        <w:t xml:space="preserve"> </w:t>
      </w:r>
      <w:r>
        <w:t>China</w:t>
      </w:r>
      <w:r>
        <w:rPr>
          <w:spacing w:val="-14"/>
        </w:rPr>
        <w:t xml:space="preserve"> </w:t>
      </w:r>
      <w:r>
        <w:t>that</w:t>
      </w:r>
      <w:r>
        <w:rPr>
          <w:spacing w:val="-13"/>
        </w:rPr>
        <w:t xml:space="preserve"> </w:t>
      </w:r>
      <w:r>
        <w:t>a</w:t>
      </w:r>
      <w:r>
        <w:rPr>
          <w:spacing w:val="-9"/>
        </w:rPr>
        <w:t xml:space="preserve"> </w:t>
      </w:r>
      <w:r>
        <w:t>respondent</w:t>
      </w:r>
    </w:p>
    <w:p w14:paraId="77E1F24B" w14:textId="77777777" w:rsidR="00BD462C" w:rsidRDefault="00BD462C">
      <w:pPr>
        <w:pStyle w:val="BodyText"/>
        <w:rPr>
          <w:sz w:val="20"/>
        </w:rPr>
      </w:pPr>
    </w:p>
    <w:p w14:paraId="32190C2D" w14:textId="26A9B00D" w:rsidR="00BD462C" w:rsidRDefault="002C3E13">
      <w:pPr>
        <w:pStyle w:val="BodyText"/>
        <w:spacing w:before="6"/>
        <w:rPr>
          <w:sz w:val="25"/>
        </w:rPr>
      </w:pPr>
      <w:r w:rsidRPr="003A43C7">
        <w:rPr>
          <w:noProof/>
        </w:rPr>
        <mc:AlternateContent>
          <mc:Choice Requires="wps">
            <w:drawing>
              <wp:anchor distT="0" distB="0" distL="114300" distR="114300" simplePos="0" relativeHeight="487944704" behindDoc="0" locked="0" layoutInCell="1" allowOverlap="1" wp14:anchorId="1B8CED52" wp14:editId="142C1A0C">
                <wp:simplePos x="0" y="0"/>
                <wp:positionH relativeFrom="column">
                  <wp:posOffset>0</wp:posOffset>
                </wp:positionH>
                <wp:positionV relativeFrom="paragraph">
                  <wp:posOffset>182550</wp:posOffset>
                </wp:positionV>
                <wp:extent cx="2400300" cy="0"/>
                <wp:effectExtent l="0" t="0" r="0" b="0"/>
                <wp:wrapNone/>
                <wp:docPr id="1466" name="Straight Connector 14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400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293E35" id="Straight Connector 1466" o:spid="_x0000_s1026" alt="&quot;&quot;" style="position:absolute;z-index:487944704;visibility:visible;mso-wrap-style:square;mso-wrap-distance-left:9pt;mso-wrap-distance-top:0;mso-wrap-distance-right:9pt;mso-wrap-distance-bottom:0;mso-position-horizontal:absolute;mso-position-horizontal-relative:text;mso-position-vertical:absolute;mso-position-vertical-relative:text" from="0,14.35pt" to="189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" strokecolor="#4579b8 [3044]"/>
            </w:pict>
          </mc:Fallback>
        </mc:AlternateContent>
      </w:r>
    </w:p>
    <w:p w14:paraId="05F4E79A" w14:textId="7524FA77" w:rsidR="00BD462C" w:rsidRDefault="00033D0F">
      <w:pPr>
        <w:spacing w:before="112"/>
        <w:ind w:left="135" w:right="910"/>
        <w:jc w:val="both"/>
        <w:rPr>
          <w:sz w:val="18"/>
        </w:rPr>
      </w:pPr>
      <w:bookmarkStart w:id="53" w:name="_bookmark41"/>
      <w:bookmarkEnd w:id="53"/>
      <w:r>
        <w:rPr>
          <w:position w:val="5"/>
          <w:sz w:val="12"/>
        </w:rPr>
        <w:t>26</w:t>
      </w:r>
      <w:r>
        <w:rPr>
          <w:spacing w:val="26"/>
          <w:position w:val="5"/>
          <w:sz w:val="12"/>
        </w:rPr>
        <w:t xml:space="preserve"> </w:t>
      </w:r>
      <w:r>
        <w:rPr>
          <w:sz w:val="18"/>
        </w:rPr>
        <w:t xml:space="preserve">Appellate Body Report, </w:t>
      </w:r>
      <w:r>
        <w:rPr>
          <w:i/>
          <w:sz w:val="18"/>
        </w:rPr>
        <w:t>US – Carbon Steel</w:t>
      </w:r>
      <w:r>
        <w:rPr>
          <w:sz w:val="18"/>
        </w:rPr>
        <w:t>, para. 126; Australia's response to China's PRR, para. 7; see generally Working Procedures (Rev 1), 19 April 2022, para. 3.</w:t>
      </w:r>
    </w:p>
    <w:p w14:paraId="1F65BCD7" w14:textId="77777777" w:rsidR="00BD462C" w:rsidRDefault="00033D0F">
      <w:pPr>
        <w:spacing w:before="2" w:line="218" w:lineRule="exact"/>
        <w:ind w:left="135"/>
        <w:jc w:val="both"/>
        <w:rPr>
          <w:sz w:val="18"/>
        </w:rPr>
      </w:pPr>
      <w:bookmarkStart w:id="54" w:name="_bookmark42"/>
      <w:bookmarkEnd w:id="54"/>
      <w:r>
        <w:rPr>
          <w:position w:val="5"/>
          <w:sz w:val="12"/>
        </w:rPr>
        <w:t>27</w:t>
      </w:r>
      <w:r>
        <w:rPr>
          <w:spacing w:val="14"/>
          <w:position w:val="5"/>
          <w:sz w:val="12"/>
        </w:rPr>
        <w:t xml:space="preserve"> </w:t>
      </w:r>
      <w:r>
        <w:rPr>
          <w:sz w:val="18"/>
        </w:rPr>
        <w:t>China's opening</w:t>
      </w:r>
      <w:r>
        <w:rPr>
          <w:spacing w:val="-4"/>
          <w:sz w:val="18"/>
        </w:rPr>
        <w:t xml:space="preserve"> </w:t>
      </w:r>
      <w:r>
        <w:rPr>
          <w:sz w:val="18"/>
        </w:rPr>
        <w:t>statement</w:t>
      </w:r>
      <w:r>
        <w:rPr>
          <w:spacing w:val="1"/>
          <w:sz w:val="18"/>
        </w:rPr>
        <w:t xml:space="preserve"> </w:t>
      </w:r>
      <w:r>
        <w:rPr>
          <w:sz w:val="18"/>
        </w:rPr>
        <w:t>at</w:t>
      </w:r>
      <w:r>
        <w:rPr>
          <w:spacing w:val="-4"/>
          <w:sz w:val="18"/>
        </w:rPr>
        <w:t xml:space="preserve"> </w:t>
      </w:r>
      <w:r>
        <w:rPr>
          <w:sz w:val="18"/>
        </w:rPr>
        <w:t>the</w:t>
      </w:r>
      <w:r>
        <w:rPr>
          <w:spacing w:val="-4"/>
          <w:sz w:val="18"/>
        </w:rPr>
        <w:t xml:space="preserve"> </w:t>
      </w:r>
      <w:r>
        <w:rPr>
          <w:sz w:val="18"/>
        </w:rPr>
        <w:t>first</w:t>
      </w:r>
      <w:r>
        <w:rPr>
          <w:spacing w:val="-3"/>
          <w:sz w:val="18"/>
        </w:rPr>
        <w:t xml:space="preserve"> </w:t>
      </w:r>
      <w:r>
        <w:rPr>
          <w:sz w:val="18"/>
        </w:rPr>
        <w:t>meeting</w:t>
      </w:r>
      <w:r>
        <w:rPr>
          <w:spacing w:val="-5"/>
          <w:sz w:val="18"/>
        </w:rPr>
        <w:t xml:space="preserve"> </w:t>
      </w:r>
      <w:r>
        <w:rPr>
          <w:sz w:val="18"/>
        </w:rPr>
        <w:t>of</w:t>
      </w:r>
      <w:r>
        <w:rPr>
          <w:spacing w:val="-3"/>
          <w:sz w:val="18"/>
        </w:rPr>
        <w:t xml:space="preserve"> </w:t>
      </w:r>
      <w:r>
        <w:rPr>
          <w:sz w:val="18"/>
        </w:rPr>
        <w:t>the</w:t>
      </w:r>
      <w:r>
        <w:rPr>
          <w:spacing w:val="-4"/>
          <w:sz w:val="18"/>
        </w:rPr>
        <w:t xml:space="preserve"> </w:t>
      </w:r>
      <w:r>
        <w:rPr>
          <w:sz w:val="18"/>
        </w:rPr>
        <w:t>Panel,</w:t>
      </w:r>
      <w:r>
        <w:rPr>
          <w:spacing w:val="-3"/>
          <w:sz w:val="18"/>
        </w:rPr>
        <w:t xml:space="preserve"> </w:t>
      </w:r>
      <w:r>
        <w:rPr>
          <w:sz w:val="18"/>
        </w:rPr>
        <w:t>para.</w:t>
      </w:r>
      <w:r>
        <w:rPr>
          <w:spacing w:val="-8"/>
          <w:sz w:val="18"/>
        </w:rPr>
        <w:t xml:space="preserve"> </w:t>
      </w:r>
      <w:r>
        <w:rPr>
          <w:spacing w:val="-5"/>
          <w:sz w:val="18"/>
        </w:rPr>
        <w:t>10.</w:t>
      </w:r>
    </w:p>
    <w:p w14:paraId="1D0A38EF" w14:textId="77777777" w:rsidR="00BD462C" w:rsidRDefault="00033D0F">
      <w:pPr>
        <w:spacing w:line="218" w:lineRule="exact"/>
        <w:ind w:left="135"/>
        <w:jc w:val="both"/>
        <w:rPr>
          <w:sz w:val="18"/>
        </w:rPr>
      </w:pPr>
      <w:bookmarkStart w:id="55" w:name="_bookmark43"/>
      <w:bookmarkEnd w:id="55"/>
      <w:r>
        <w:rPr>
          <w:position w:val="5"/>
          <w:sz w:val="12"/>
        </w:rPr>
        <w:t>28</w:t>
      </w:r>
      <w:r>
        <w:rPr>
          <w:spacing w:val="12"/>
          <w:position w:val="5"/>
          <w:sz w:val="12"/>
        </w:rPr>
        <w:t xml:space="preserve"> </w:t>
      </w:r>
      <w:r>
        <w:rPr>
          <w:sz w:val="18"/>
        </w:rPr>
        <w:t>Working</w:t>
      </w:r>
      <w:r>
        <w:rPr>
          <w:spacing w:val="-6"/>
          <w:sz w:val="18"/>
        </w:rPr>
        <w:t xml:space="preserve"> </w:t>
      </w:r>
      <w:r>
        <w:rPr>
          <w:sz w:val="18"/>
        </w:rPr>
        <w:t>Procedures,</w:t>
      </w:r>
      <w:r>
        <w:rPr>
          <w:spacing w:val="-4"/>
          <w:sz w:val="18"/>
        </w:rPr>
        <w:t xml:space="preserve"> </w:t>
      </w:r>
      <w:r>
        <w:rPr>
          <w:sz w:val="18"/>
        </w:rPr>
        <w:t>(Rev</w:t>
      </w:r>
      <w:r>
        <w:rPr>
          <w:spacing w:val="-8"/>
          <w:sz w:val="18"/>
        </w:rPr>
        <w:t xml:space="preserve"> </w:t>
      </w:r>
      <w:r>
        <w:rPr>
          <w:sz w:val="18"/>
        </w:rPr>
        <w:t>1),</w:t>
      </w:r>
      <w:r>
        <w:rPr>
          <w:spacing w:val="-5"/>
          <w:sz w:val="18"/>
        </w:rPr>
        <w:t xml:space="preserve"> </w:t>
      </w:r>
      <w:r>
        <w:rPr>
          <w:sz w:val="18"/>
        </w:rPr>
        <w:t>19</w:t>
      </w:r>
      <w:r>
        <w:rPr>
          <w:spacing w:val="-3"/>
          <w:sz w:val="18"/>
        </w:rPr>
        <w:t xml:space="preserve"> </w:t>
      </w:r>
      <w:r>
        <w:rPr>
          <w:sz w:val="18"/>
        </w:rPr>
        <w:t>April</w:t>
      </w:r>
      <w:r>
        <w:rPr>
          <w:spacing w:val="-5"/>
          <w:sz w:val="18"/>
        </w:rPr>
        <w:t xml:space="preserve"> </w:t>
      </w:r>
      <w:r>
        <w:rPr>
          <w:sz w:val="18"/>
        </w:rPr>
        <w:t>2022, paras.</w:t>
      </w:r>
      <w:r>
        <w:rPr>
          <w:spacing w:val="-5"/>
          <w:sz w:val="18"/>
        </w:rPr>
        <w:t xml:space="preserve"> </w:t>
      </w:r>
      <w:r>
        <w:rPr>
          <w:sz w:val="18"/>
        </w:rPr>
        <w:t>3,</w:t>
      </w:r>
      <w:r>
        <w:rPr>
          <w:spacing w:val="-4"/>
          <w:sz w:val="18"/>
        </w:rPr>
        <w:t xml:space="preserve"> </w:t>
      </w:r>
      <w:r>
        <w:rPr>
          <w:sz w:val="18"/>
        </w:rPr>
        <w:t>14-17;</w:t>
      </w:r>
      <w:r>
        <w:rPr>
          <w:spacing w:val="-8"/>
          <w:sz w:val="18"/>
        </w:rPr>
        <w:t xml:space="preserve"> </w:t>
      </w:r>
      <w:r>
        <w:rPr>
          <w:sz w:val="18"/>
        </w:rPr>
        <w:t>Anti-Dumping</w:t>
      </w:r>
      <w:r>
        <w:rPr>
          <w:spacing w:val="-6"/>
          <w:sz w:val="18"/>
        </w:rPr>
        <w:t xml:space="preserve"> </w:t>
      </w:r>
      <w:r>
        <w:rPr>
          <w:sz w:val="18"/>
        </w:rPr>
        <w:t>Agreement,</w:t>
      </w:r>
      <w:r>
        <w:rPr>
          <w:spacing w:val="-4"/>
          <w:sz w:val="18"/>
        </w:rPr>
        <w:t xml:space="preserve"> </w:t>
      </w:r>
      <w:r>
        <w:rPr>
          <w:sz w:val="18"/>
        </w:rPr>
        <w:t>Article</w:t>
      </w:r>
      <w:r>
        <w:rPr>
          <w:spacing w:val="-3"/>
          <w:sz w:val="18"/>
        </w:rPr>
        <w:t xml:space="preserve"> </w:t>
      </w:r>
      <w:r>
        <w:rPr>
          <w:sz w:val="18"/>
        </w:rPr>
        <w:t>17.5;</w:t>
      </w:r>
      <w:r>
        <w:rPr>
          <w:spacing w:val="-3"/>
          <w:sz w:val="18"/>
        </w:rPr>
        <w:t xml:space="preserve"> </w:t>
      </w:r>
      <w:r>
        <w:rPr>
          <w:sz w:val="18"/>
        </w:rPr>
        <w:t>DSU, Article</w:t>
      </w:r>
      <w:r>
        <w:rPr>
          <w:spacing w:val="-6"/>
          <w:sz w:val="18"/>
        </w:rPr>
        <w:t xml:space="preserve"> </w:t>
      </w:r>
      <w:r>
        <w:rPr>
          <w:spacing w:val="-5"/>
          <w:sz w:val="18"/>
        </w:rPr>
        <w:t>12.</w:t>
      </w:r>
    </w:p>
    <w:p w14:paraId="2C36DE79" w14:textId="77777777" w:rsidR="00BD462C" w:rsidRDefault="00033D0F">
      <w:pPr>
        <w:spacing w:before="1"/>
        <w:ind w:left="135" w:right="910"/>
        <w:jc w:val="both"/>
        <w:rPr>
          <w:sz w:val="18"/>
        </w:rPr>
      </w:pPr>
      <w:bookmarkStart w:id="56" w:name="_bookmark44"/>
      <w:bookmarkEnd w:id="56"/>
      <w:r>
        <w:rPr>
          <w:position w:val="5"/>
          <w:sz w:val="12"/>
        </w:rPr>
        <w:t>29</w:t>
      </w:r>
      <w:r>
        <w:rPr>
          <w:spacing w:val="27"/>
          <w:position w:val="5"/>
          <w:sz w:val="12"/>
        </w:rPr>
        <w:t xml:space="preserve"> </w:t>
      </w:r>
      <w:r>
        <w:rPr>
          <w:sz w:val="18"/>
        </w:rPr>
        <w:t xml:space="preserve">China's first written submission, paras. 81 and 134-145. See also Appellate Body Reports, </w:t>
      </w:r>
      <w:r>
        <w:rPr>
          <w:i/>
          <w:sz w:val="18"/>
        </w:rPr>
        <w:t xml:space="preserve">US – Countervailing Measures (China), </w:t>
      </w:r>
      <w:r>
        <w:rPr>
          <w:sz w:val="18"/>
        </w:rPr>
        <w:t xml:space="preserve">para. 4.26-4.27; </w:t>
      </w:r>
      <w:r>
        <w:rPr>
          <w:i/>
          <w:sz w:val="18"/>
        </w:rPr>
        <w:t>Korea – Pneumatic Valves</w:t>
      </w:r>
      <w:r>
        <w:rPr>
          <w:sz w:val="18"/>
        </w:rPr>
        <w:t xml:space="preserve">, paras. 5.93 – 5.94; </w:t>
      </w:r>
      <w:r>
        <w:rPr>
          <w:i/>
          <w:sz w:val="18"/>
        </w:rPr>
        <w:t xml:space="preserve">India — Patents (US), </w:t>
      </w:r>
      <w:r>
        <w:rPr>
          <w:sz w:val="18"/>
        </w:rPr>
        <w:t xml:space="preserve">para. 88; </w:t>
      </w:r>
      <w:r>
        <w:rPr>
          <w:i/>
          <w:sz w:val="18"/>
        </w:rPr>
        <w:t xml:space="preserve">Korea – Dairy, </w:t>
      </w:r>
      <w:r>
        <w:rPr>
          <w:sz w:val="18"/>
        </w:rPr>
        <w:t xml:space="preserve">para. </w:t>
      </w:r>
      <w:r>
        <w:rPr>
          <w:spacing w:val="-4"/>
          <w:sz w:val="18"/>
        </w:rPr>
        <w:t>139.</w:t>
      </w:r>
    </w:p>
    <w:p w14:paraId="5001A3E5" w14:textId="77777777" w:rsidR="00BD462C" w:rsidRDefault="00033D0F">
      <w:pPr>
        <w:ind w:left="136" w:right="910" w:hanging="1"/>
        <w:jc w:val="both"/>
        <w:rPr>
          <w:sz w:val="18"/>
        </w:rPr>
      </w:pPr>
      <w:bookmarkStart w:id="57" w:name="_bookmark45"/>
      <w:bookmarkEnd w:id="57"/>
      <w:r>
        <w:rPr>
          <w:position w:val="5"/>
          <w:sz w:val="12"/>
        </w:rPr>
        <w:t>30</w:t>
      </w:r>
      <w:r>
        <w:rPr>
          <w:spacing w:val="10"/>
          <w:position w:val="5"/>
          <w:sz w:val="12"/>
        </w:rPr>
        <w:t xml:space="preserve"> </w:t>
      </w:r>
      <w:r>
        <w:rPr>
          <w:sz w:val="18"/>
        </w:rPr>
        <w:t>Appellate</w:t>
      </w:r>
      <w:r>
        <w:rPr>
          <w:spacing w:val="-7"/>
          <w:sz w:val="18"/>
        </w:rPr>
        <w:t xml:space="preserve"> </w:t>
      </w:r>
      <w:r>
        <w:rPr>
          <w:sz w:val="18"/>
        </w:rPr>
        <w:t>Body</w:t>
      </w:r>
      <w:r>
        <w:rPr>
          <w:spacing w:val="-9"/>
          <w:sz w:val="18"/>
        </w:rPr>
        <w:t xml:space="preserve"> </w:t>
      </w:r>
      <w:r>
        <w:rPr>
          <w:sz w:val="18"/>
        </w:rPr>
        <w:t>Report,</w:t>
      </w:r>
      <w:r>
        <w:rPr>
          <w:spacing w:val="-4"/>
          <w:sz w:val="18"/>
        </w:rPr>
        <w:t xml:space="preserve"> </w:t>
      </w:r>
      <w:r>
        <w:rPr>
          <w:i/>
          <w:sz w:val="18"/>
        </w:rPr>
        <w:t>Korea</w:t>
      </w:r>
      <w:r>
        <w:rPr>
          <w:i/>
          <w:spacing w:val="-4"/>
          <w:sz w:val="18"/>
        </w:rPr>
        <w:t xml:space="preserve"> </w:t>
      </w:r>
      <w:r>
        <w:rPr>
          <w:i/>
          <w:sz w:val="18"/>
        </w:rPr>
        <w:t>–</w:t>
      </w:r>
      <w:r>
        <w:rPr>
          <w:i/>
          <w:spacing w:val="-7"/>
          <w:sz w:val="18"/>
        </w:rPr>
        <w:t xml:space="preserve"> </w:t>
      </w:r>
      <w:r>
        <w:rPr>
          <w:i/>
          <w:sz w:val="18"/>
        </w:rPr>
        <w:t>Pneumatic</w:t>
      </w:r>
      <w:r>
        <w:rPr>
          <w:i/>
          <w:spacing w:val="-7"/>
          <w:sz w:val="18"/>
        </w:rPr>
        <w:t xml:space="preserve"> </w:t>
      </w:r>
      <w:r>
        <w:rPr>
          <w:i/>
          <w:sz w:val="18"/>
        </w:rPr>
        <w:t>Valves,</w:t>
      </w:r>
      <w:r>
        <w:rPr>
          <w:i/>
          <w:spacing w:val="-4"/>
          <w:sz w:val="18"/>
        </w:rPr>
        <w:t xml:space="preserve"> </w:t>
      </w:r>
      <w:r>
        <w:rPr>
          <w:sz w:val="18"/>
        </w:rPr>
        <w:t>paras.</w:t>
      </w:r>
      <w:r>
        <w:rPr>
          <w:spacing w:val="-5"/>
          <w:sz w:val="18"/>
        </w:rPr>
        <w:t xml:space="preserve"> </w:t>
      </w:r>
      <w:r>
        <w:rPr>
          <w:sz w:val="18"/>
        </w:rPr>
        <w:t>5.6, 5.74</w:t>
      </w:r>
      <w:r>
        <w:rPr>
          <w:spacing w:val="-11"/>
          <w:sz w:val="18"/>
        </w:rPr>
        <w:t xml:space="preserve"> </w:t>
      </w:r>
      <w:r>
        <w:rPr>
          <w:sz w:val="18"/>
        </w:rPr>
        <w:t>and</w:t>
      </w:r>
      <w:r>
        <w:rPr>
          <w:spacing w:val="-2"/>
          <w:sz w:val="18"/>
        </w:rPr>
        <w:t xml:space="preserve"> </w:t>
      </w:r>
      <w:r>
        <w:rPr>
          <w:sz w:val="18"/>
        </w:rPr>
        <w:t>7.93;</w:t>
      </w:r>
      <w:r>
        <w:rPr>
          <w:spacing w:val="-8"/>
          <w:sz w:val="18"/>
        </w:rPr>
        <w:t xml:space="preserve"> </w:t>
      </w:r>
      <w:r>
        <w:rPr>
          <w:sz w:val="18"/>
        </w:rPr>
        <w:t>see</w:t>
      </w:r>
      <w:r>
        <w:rPr>
          <w:spacing w:val="-1"/>
          <w:sz w:val="18"/>
        </w:rPr>
        <w:t xml:space="preserve"> </w:t>
      </w:r>
      <w:r>
        <w:rPr>
          <w:sz w:val="18"/>
        </w:rPr>
        <w:t>Australia's</w:t>
      </w:r>
      <w:r>
        <w:rPr>
          <w:spacing w:val="-1"/>
          <w:sz w:val="18"/>
        </w:rPr>
        <w:t xml:space="preserve"> </w:t>
      </w:r>
      <w:r>
        <w:rPr>
          <w:sz w:val="18"/>
        </w:rPr>
        <w:t>response</w:t>
      </w:r>
      <w:r>
        <w:rPr>
          <w:spacing w:val="-7"/>
          <w:sz w:val="18"/>
        </w:rPr>
        <w:t xml:space="preserve"> </w:t>
      </w:r>
      <w:r>
        <w:rPr>
          <w:sz w:val="18"/>
        </w:rPr>
        <w:t>to</w:t>
      </w:r>
      <w:r>
        <w:rPr>
          <w:spacing w:val="-2"/>
          <w:sz w:val="18"/>
        </w:rPr>
        <w:t xml:space="preserve"> </w:t>
      </w:r>
      <w:r>
        <w:rPr>
          <w:sz w:val="18"/>
        </w:rPr>
        <w:t>China's</w:t>
      </w:r>
      <w:r>
        <w:rPr>
          <w:spacing w:val="-7"/>
          <w:sz w:val="18"/>
        </w:rPr>
        <w:t xml:space="preserve"> </w:t>
      </w:r>
      <w:r>
        <w:rPr>
          <w:sz w:val="18"/>
        </w:rPr>
        <w:t>PRR,</w:t>
      </w:r>
      <w:r>
        <w:rPr>
          <w:spacing w:val="-4"/>
          <w:sz w:val="18"/>
        </w:rPr>
        <w:t xml:space="preserve"> </w:t>
      </w:r>
      <w:r>
        <w:rPr>
          <w:sz w:val="18"/>
        </w:rPr>
        <w:t>paras. 32, 54 and footnotes thereto.</w:t>
      </w:r>
    </w:p>
    <w:p w14:paraId="69F95D28" w14:textId="77777777" w:rsidR="00BD462C" w:rsidRDefault="00033D0F">
      <w:pPr>
        <w:ind w:left="135"/>
        <w:jc w:val="both"/>
        <w:rPr>
          <w:sz w:val="18"/>
        </w:rPr>
      </w:pPr>
      <w:bookmarkStart w:id="58" w:name="_bookmark46"/>
      <w:bookmarkEnd w:id="58"/>
      <w:r>
        <w:rPr>
          <w:position w:val="5"/>
          <w:sz w:val="12"/>
        </w:rPr>
        <w:t>31</w:t>
      </w:r>
      <w:r>
        <w:rPr>
          <w:spacing w:val="13"/>
          <w:position w:val="5"/>
          <w:sz w:val="12"/>
        </w:rPr>
        <w:t xml:space="preserve"> </w:t>
      </w:r>
      <w:r>
        <w:rPr>
          <w:sz w:val="18"/>
        </w:rPr>
        <w:t>See</w:t>
      </w:r>
      <w:r>
        <w:rPr>
          <w:spacing w:val="-5"/>
          <w:sz w:val="18"/>
        </w:rPr>
        <w:t xml:space="preserve"> </w:t>
      </w:r>
      <w:r>
        <w:rPr>
          <w:sz w:val="18"/>
        </w:rPr>
        <w:t>Appellate</w:t>
      </w:r>
      <w:r>
        <w:rPr>
          <w:spacing w:val="-10"/>
          <w:sz w:val="18"/>
        </w:rPr>
        <w:t xml:space="preserve"> </w:t>
      </w:r>
      <w:r>
        <w:rPr>
          <w:sz w:val="18"/>
        </w:rPr>
        <w:t>Body</w:t>
      </w:r>
      <w:r>
        <w:rPr>
          <w:spacing w:val="-7"/>
          <w:sz w:val="18"/>
        </w:rPr>
        <w:t xml:space="preserve"> </w:t>
      </w:r>
      <w:r>
        <w:rPr>
          <w:sz w:val="18"/>
        </w:rPr>
        <w:t>Report,</w:t>
      </w:r>
      <w:r>
        <w:rPr>
          <w:spacing w:val="-3"/>
          <w:sz w:val="18"/>
        </w:rPr>
        <w:t xml:space="preserve"> </w:t>
      </w:r>
      <w:r>
        <w:rPr>
          <w:i/>
          <w:sz w:val="18"/>
        </w:rPr>
        <w:t>Korea</w:t>
      </w:r>
      <w:r>
        <w:rPr>
          <w:i/>
          <w:spacing w:val="-4"/>
          <w:sz w:val="18"/>
        </w:rPr>
        <w:t xml:space="preserve"> </w:t>
      </w:r>
      <w:r>
        <w:rPr>
          <w:i/>
          <w:sz w:val="18"/>
        </w:rPr>
        <w:t>–</w:t>
      </w:r>
      <w:r>
        <w:rPr>
          <w:i/>
          <w:spacing w:val="-5"/>
          <w:sz w:val="18"/>
        </w:rPr>
        <w:t xml:space="preserve"> </w:t>
      </w:r>
      <w:r>
        <w:rPr>
          <w:i/>
          <w:sz w:val="18"/>
        </w:rPr>
        <w:t>Pneumatic</w:t>
      </w:r>
      <w:r>
        <w:rPr>
          <w:i/>
          <w:spacing w:val="-5"/>
          <w:sz w:val="18"/>
        </w:rPr>
        <w:t xml:space="preserve"> </w:t>
      </w:r>
      <w:r>
        <w:rPr>
          <w:i/>
          <w:sz w:val="18"/>
        </w:rPr>
        <w:t>Valves</w:t>
      </w:r>
      <w:r>
        <w:rPr>
          <w:sz w:val="18"/>
        </w:rPr>
        <w:t>,</w:t>
      </w:r>
      <w:r>
        <w:rPr>
          <w:spacing w:val="1"/>
          <w:sz w:val="18"/>
        </w:rPr>
        <w:t xml:space="preserve"> </w:t>
      </w:r>
      <w:r>
        <w:rPr>
          <w:sz w:val="18"/>
        </w:rPr>
        <w:t>para.</w:t>
      </w:r>
      <w:r>
        <w:rPr>
          <w:spacing w:val="1"/>
          <w:sz w:val="18"/>
        </w:rPr>
        <w:t xml:space="preserve"> </w:t>
      </w:r>
      <w:r>
        <w:rPr>
          <w:sz w:val="18"/>
        </w:rPr>
        <w:t>5.74.;</w:t>
      </w:r>
      <w:r>
        <w:rPr>
          <w:spacing w:val="-7"/>
          <w:sz w:val="18"/>
        </w:rPr>
        <w:t xml:space="preserve"> </w:t>
      </w:r>
      <w:r>
        <w:rPr>
          <w:sz w:val="18"/>
        </w:rPr>
        <w:t>Australia's response</w:t>
      </w:r>
      <w:r>
        <w:rPr>
          <w:spacing w:val="-6"/>
          <w:sz w:val="18"/>
        </w:rPr>
        <w:t xml:space="preserve"> </w:t>
      </w:r>
      <w:r>
        <w:rPr>
          <w:sz w:val="18"/>
        </w:rPr>
        <w:t>to</w:t>
      </w:r>
      <w:r>
        <w:rPr>
          <w:spacing w:val="-1"/>
          <w:sz w:val="18"/>
        </w:rPr>
        <w:t xml:space="preserve"> </w:t>
      </w:r>
      <w:r>
        <w:rPr>
          <w:sz w:val="18"/>
        </w:rPr>
        <w:t>China's</w:t>
      </w:r>
      <w:r>
        <w:rPr>
          <w:spacing w:val="-5"/>
          <w:sz w:val="18"/>
        </w:rPr>
        <w:t xml:space="preserve"> </w:t>
      </w:r>
      <w:r>
        <w:rPr>
          <w:sz w:val="18"/>
        </w:rPr>
        <w:t>PRR,</w:t>
      </w:r>
      <w:r>
        <w:rPr>
          <w:spacing w:val="-3"/>
          <w:sz w:val="18"/>
        </w:rPr>
        <w:t xml:space="preserve"> </w:t>
      </w:r>
      <w:r>
        <w:rPr>
          <w:sz w:val="18"/>
        </w:rPr>
        <w:t xml:space="preserve">para. </w:t>
      </w:r>
      <w:r>
        <w:rPr>
          <w:spacing w:val="-5"/>
          <w:sz w:val="18"/>
        </w:rPr>
        <w:t>32.</w:t>
      </w:r>
    </w:p>
    <w:p w14:paraId="1E77C6FD" w14:textId="77777777" w:rsidR="00BD462C" w:rsidRDefault="00033D0F">
      <w:pPr>
        <w:spacing w:before="1"/>
        <w:ind w:left="135" w:right="908"/>
        <w:jc w:val="both"/>
        <w:rPr>
          <w:sz w:val="18"/>
        </w:rPr>
      </w:pPr>
      <w:bookmarkStart w:id="59" w:name="_bookmark47"/>
      <w:bookmarkEnd w:id="59"/>
      <w:r>
        <w:rPr>
          <w:position w:val="5"/>
          <w:sz w:val="12"/>
        </w:rPr>
        <w:t>32</w:t>
      </w:r>
      <w:r>
        <w:rPr>
          <w:spacing w:val="30"/>
          <w:position w:val="5"/>
          <w:sz w:val="12"/>
        </w:rPr>
        <w:t xml:space="preserve"> </w:t>
      </w:r>
      <w:r>
        <w:rPr>
          <w:sz w:val="18"/>
        </w:rPr>
        <w:t xml:space="preserve">Consequently, multiple arguments may describe a single infringed obligation: </w:t>
      </w:r>
      <w:r>
        <w:rPr>
          <w:i/>
          <w:sz w:val="18"/>
        </w:rPr>
        <w:t>Korea – Pneumatic Valves (Japan)</w:t>
      </w:r>
      <w:r>
        <w:rPr>
          <w:sz w:val="18"/>
        </w:rPr>
        <w:t>, paras. 5.93-5.94;</w:t>
      </w:r>
      <w:r>
        <w:rPr>
          <w:spacing w:val="-4"/>
          <w:sz w:val="18"/>
        </w:rPr>
        <w:t xml:space="preserve"> </w:t>
      </w:r>
      <w:r>
        <w:rPr>
          <w:i/>
          <w:sz w:val="18"/>
        </w:rPr>
        <w:t>US</w:t>
      </w:r>
      <w:r>
        <w:rPr>
          <w:i/>
          <w:spacing w:val="-4"/>
          <w:sz w:val="18"/>
        </w:rPr>
        <w:t xml:space="preserve"> </w:t>
      </w:r>
      <w:r>
        <w:rPr>
          <w:i/>
          <w:sz w:val="18"/>
        </w:rPr>
        <w:t>–</w:t>
      </w:r>
      <w:r>
        <w:rPr>
          <w:i/>
          <w:spacing w:val="-2"/>
          <w:sz w:val="18"/>
        </w:rPr>
        <w:t xml:space="preserve"> </w:t>
      </w:r>
      <w:r>
        <w:rPr>
          <w:i/>
          <w:sz w:val="18"/>
        </w:rPr>
        <w:t>Countervailing</w:t>
      </w:r>
      <w:r>
        <w:rPr>
          <w:i/>
          <w:spacing w:val="-5"/>
          <w:sz w:val="18"/>
        </w:rPr>
        <w:t xml:space="preserve"> </w:t>
      </w:r>
      <w:r>
        <w:rPr>
          <w:i/>
          <w:sz w:val="18"/>
        </w:rPr>
        <w:t>Measures</w:t>
      </w:r>
      <w:r>
        <w:rPr>
          <w:i/>
          <w:spacing w:val="-7"/>
          <w:sz w:val="18"/>
        </w:rPr>
        <w:t xml:space="preserve"> </w:t>
      </w:r>
      <w:r>
        <w:rPr>
          <w:i/>
          <w:sz w:val="18"/>
        </w:rPr>
        <w:t>(China)</w:t>
      </w:r>
      <w:r>
        <w:rPr>
          <w:sz w:val="18"/>
        </w:rPr>
        <w:t>,</w:t>
      </w:r>
      <w:r>
        <w:rPr>
          <w:spacing w:val="-5"/>
          <w:sz w:val="18"/>
        </w:rPr>
        <w:t xml:space="preserve"> </w:t>
      </w:r>
      <w:r>
        <w:rPr>
          <w:sz w:val="18"/>
        </w:rPr>
        <w:t>para.</w:t>
      </w:r>
      <w:r>
        <w:rPr>
          <w:spacing w:val="-1"/>
          <w:sz w:val="18"/>
        </w:rPr>
        <w:t xml:space="preserve"> </w:t>
      </w:r>
      <w:r>
        <w:rPr>
          <w:sz w:val="18"/>
        </w:rPr>
        <w:t>4.15</w:t>
      </w:r>
      <w:r>
        <w:rPr>
          <w:spacing w:val="-4"/>
          <w:sz w:val="18"/>
        </w:rPr>
        <w:t xml:space="preserve"> </w:t>
      </w:r>
      <w:r>
        <w:rPr>
          <w:sz w:val="18"/>
        </w:rPr>
        <w:t>("it</w:t>
      </w:r>
      <w:r>
        <w:rPr>
          <w:spacing w:val="-6"/>
          <w:sz w:val="18"/>
        </w:rPr>
        <w:t xml:space="preserve"> </w:t>
      </w:r>
      <w:r>
        <w:rPr>
          <w:sz w:val="18"/>
        </w:rPr>
        <w:t>is</w:t>
      </w:r>
      <w:r>
        <w:rPr>
          <w:spacing w:val="-7"/>
          <w:sz w:val="18"/>
        </w:rPr>
        <w:t xml:space="preserve"> </w:t>
      </w:r>
      <w:r>
        <w:rPr>
          <w:sz w:val="18"/>
        </w:rPr>
        <w:t>the</w:t>
      </w:r>
      <w:r>
        <w:rPr>
          <w:spacing w:val="-2"/>
          <w:sz w:val="18"/>
        </w:rPr>
        <w:t xml:space="preserve"> </w:t>
      </w:r>
      <w:r>
        <w:rPr>
          <w:sz w:val="18"/>
        </w:rPr>
        <w:t>measures</w:t>
      </w:r>
      <w:r>
        <w:rPr>
          <w:spacing w:val="-2"/>
          <w:sz w:val="18"/>
        </w:rPr>
        <w:t xml:space="preserve"> </w:t>
      </w:r>
      <w:r>
        <w:rPr>
          <w:sz w:val="18"/>
        </w:rPr>
        <w:t>at</w:t>
      </w:r>
      <w:r>
        <w:rPr>
          <w:spacing w:val="-2"/>
          <w:sz w:val="18"/>
        </w:rPr>
        <w:t xml:space="preserve"> </w:t>
      </w:r>
      <w:r>
        <w:rPr>
          <w:sz w:val="18"/>
        </w:rPr>
        <w:t>issue</w:t>
      </w:r>
      <w:r>
        <w:rPr>
          <w:spacing w:val="-2"/>
          <w:sz w:val="18"/>
        </w:rPr>
        <w:t xml:space="preserve"> </w:t>
      </w:r>
      <w:r>
        <w:rPr>
          <w:sz w:val="18"/>
        </w:rPr>
        <w:t>that</w:t>
      </w:r>
      <w:r>
        <w:rPr>
          <w:spacing w:val="-2"/>
          <w:sz w:val="18"/>
        </w:rPr>
        <w:t xml:space="preserve"> </w:t>
      </w:r>
      <w:r>
        <w:rPr>
          <w:sz w:val="18"/>
        </w:rPr>
        <w:t>are</w:t>
      </w:r>
      <w:r>
        <w:rPr>
          <w:spacing w:val="-7"/>
          <w:sz w:val="18"/>
        </w:rPr>
        <w:t xml:space="preserve"> </w:t>
      </w:r>
      <w:r>
        <w:rPr>
          <w:sz w:val="18"/>
        </w:rPr>
        <w:t>to</w:t>
      </w:r>
      <w:r>
        <w:rPr>
          <w:spacing w:val="-3"/>
          <w:sz w:val="18"/>
        </w:rPr>
        <w:t xml:space="preserve"> </w:t>
      </w:r>
      <w:r>
        <w:rPr>
          <w:sz w:val="18"/>
        </w:rPr>
        <w:t>be</w:t>
      </w:r>
      <w:r>
        <w:rPr>
          <w:spacing w:val="-2"/>
          <w:sz w:val="18"/>
        </w:rPr>
        <w:t xml:space="preserve"> </w:t>
      </w:r>
      <w:r>
        <w:rPr>
          <w:sz w:val="18"/>
        </w:rPr>
        <w:t>'plainly</w:t>
      </w:r>
      <w:r>
        <w:rPr>
          <w:spacing w:val="-4"/>
          <w:sz w:val="18"/>
        </w:rPr>
        <w:t xml:space="preserve"> </w:t>
      </w:r>
      <w:r>
        <w:rPr>
          <w:sz w:val="18"/>
        </w:rPr>
        <w:t>connected'"</w:t>
      </w:r>
      <w:r>
        <w:rPr>
          <w:spacing w:val="-4"/>
          <w:sz w:val="18"/>
        </w:rPr>
        <w:t xml:space="preserve"> </w:t>
      </w:r>
      <w:r>
        <w:rPr>
          <w:sz w:val="18"/>
        </w:rPr>
        <w:t xml:space="preserve">to the provision that is alleged to be infringed, "and </w:t>
      </w:r>
      <w:r>
        <w:rPr>
          <w:i/>
          <w:sz w:val="18"/>
        </w:rPr>
        <w:t>not the instances</w:t>
      </w:r>
      <w:r>
        <w:rPr>
          <w:sz w:val="18"/>
        </w:rPr>
        <w:t>" in which the investigating authorities "allegedly acted inconsistently</w:t>
      </w:r>
      <w:r>
        <w:rPr>
          <w:spacing w:val="-2"/>
          <w:sz w:val="18"/>
        </w:rPr>
        <w:t xml:space="preserve"> </w:t>
      </w:r>
      <w:r>
        <w:rPr>
          <w:sz w:val="18"/>
        </w:rPr>
        <w:t>with</w:t>
      </w:r>
      <w:r>
        <w:rPr>
          <w:spacing w:val="-1"/>
          <w:sz w:val="18"/>
        </w:rPr>
        <w:t xml:space="preserve"> </w:t>
      </w:r>
      <w:r>
        <w:rPr>
          <w:sz w:val="18"/>
        </w:rPr>
        <w:t>that provision");</w:t>
      </w:r>
      <w:r>
        <w:rPr>
          <w:spacing w:val="-2"/>
          <w:sz w:val="18"/>
        </w:rPr>
        <w:t xml:space="preserve"> </w:t>
      </w:r>
      <w:r>
        <w:rPr>
          <w:sz w:val="18"/>
        </w:rPr>
        <w:t>Australia's response to China's PRR, para. 118</w:t>
      </w:r>
      <w:r>
        <w:rPr>
          <w:spacing w:val="-2"/>
          <w:sz w:val="18"/>
        </w:rPr>
        <w:t xml:space="preserve"> </w:t>
      </w:r>
      <w:r>
        <w:rPr>
          <w:sz w:val="18"/>
        </w:rPr>
        <w:t>and</w:t>
      </w:r>
      <w:r>
        <w:rPr>
          <w:spacing w:val="-1"/>
          <w:sz w:val="18"/>
        </w:rPr>
        <w:t xml:space="preserve"> </w:t>
      </w:r>
      <w:r>
        <w:rPr>
          <w:sz w:val="18"/>
        </w:rPr>
        <w:t>footnotes thereto. (</w:t>
      </w:r>
      <w:proofErr w:type="gramStart"/>
      <w:r>
        <w:rPr>
          <w:sz w:val="18"/>
        </w:rPr>
        <w:t>emphasis</w:t>
      </w:r>
      <w:proofErr w:type="gramEnd"/>
      <w:r>
        <w:rPr>
          <w:sz w:val="18"/>
        </w:rPr>
        <w:t xml:space="preserve"> added) </w:t>
      </w:r>
      <w:bookmarkStart w:id="60" w:name="_bookmark48"/>
      <w:bookmarkEnd w:id="60"/>
      <w:r>
        <w:rPr>
          <w:position w:val="5"/>
          <w:sz w:val="12"/>
        </w:rPr>
        <w:t>33</w:t>
      </w:r>
      <w:r>
        <w:rPr>
          <w:spacing w:val="31"/>
          <w:position w:val="5"/>
          <w:sz w:val="12"/>
        </w:rPr>
        <w:t xml:space="preserve"> </w:t>
      </w:r>
      <w:r>
        <w:rPr>
          <w:sz w:val="18"/>
        </w:rPr>
        <w:t>In this regard, Australia notes that Japan is correct to state that "[…] detailed specific aspects are not the "obligations" themselves, but rather requirements or elements thereof. A panel request needs to identify only "claims" underlying the complaint as the "legal basis of the complaint</w:t>
      </w:r>
      <w:proofErr w:type="gramStart"/>
      <w:r>
        <w:rPr>
          <w:sz w:val="18"/>
        </w:rPr>
        <w:t>", but</w:t>
      </w:r>
      <w:proofErr w:type="gramEnd"/>
      <w:r>
        <w:rPr>
          <w:sz w:val="18"/>
        </w:rPr>
        <w:t xml:space="preserve"> need not include detailed "arguments". And the descriptions of requirements and/or elements at issue can</w:t>
      </w:r>
      <w:r>
        <w:rPr>
          <w:spacing w:val="-4"/>
          <w:sz w:val="18"/>
        </w:rPr>
        <w:t xml:space="preserve"> </w:t>
      </w:r>
      <w:r>
        <w:rPr>
          <w:sz w:val="18"/>
        </w:rPr>
        <w:t>be considered as "arguments", rather</w:t>
      </w:r>
      <w:r>
        <w:rPr>
          <w:spacing w:val="-5"/>
          <w:sz w:val="18"/>
        </w:rPr>
        <w:t xml:space="preserve"> </w:t>
      </w:r>
      <w:r>
        <w:rPr>
          <w:sz w:val="18"/>
        </w:rPr>
        <w:t>than "claims".": Japan's response</w:t>
      </w:r>
      <w:r>
        <w:rPr>
          <w:spacing w:val="-3"/>
          <w:sz w:val="18"/>
        </w:rPr>
        <w:t xml:space="preserve"> </w:t>
      </w:r>
      <w:r>
        <w:rPr>
          <w:sz w:val="18"/>
        </w:rPr>
        <w:t>to</w:t>
      </w:r>
      <w:r>
        <w:rPr>
          <w:spacing w:val="-4"/>
          <w:sz w:val="18"/>
        </w:rPr>
        <w:t xml:space="preserve"> </w:t>
      </w:r>
      <w:r>
        <w:rPr>
          <w:sz w:val="18"/>
        </w:rPr>
        <w:t>Panel question No. 1following the third-party session, para. 9. (footnotes omitted)</w:t>
      </w:r>
    </w:p>
    <w:p w14:paraId="74198A42" w14:textId="77777777" w:rsidR="00BD462C" w:rsidRDefault="00033D0F">
      <w:pPr>
        <w:ind w:left="136" w:right="909" w:hanging="1"/>
        <w:jc w:val="both"/>
        <w:rPr>
          <w:sz w:val="18"/>
        </w:rPr>
      </w:pPr>
      <w:bookmarkStart w:id="61" w:name="_bookmark49"/>
      <w:bookmarkEnd w:id="61"/>
      <w:r>
        <w:rPr>
          <w:position w:val="5"/>
          <w:sz w:val="12"/>
        </w:rPr>
        <w:t>34</w:t>
      </w:r>
      <w:r>
        <w:rPr>
          <w:spacing w:val="16"/>
          <w:position w:val="5"/>
          <w:sz w:val="12"/>
        </w:rPr>
        <w:t xml:space="preserve"> </w:t>
      </w:r>
      <w:r>
        <w:rPr>
          <w:sz w:val="18"/>
        </w:rPr>
        <w:t>See generally</w:t>
      </w:r>
      <w:r>
        <w:rPr>
          <w:spacing w:val="-5"/>
          <w:sz w:val="18"/>
        </w:rPr>
        <w:t xml:space="preserve"> </w:t>
      </w:r>
      <w:r>
        <w:rPr>
          <w:sz w:val="18"/>
        </w:rPr>
        <w:t>Australia's</w:t>
      </w:r>
      <w:r>
        <w:rPr>
          <w:spacing w:val="-3"/>
          <w:sz w:val="18"/>
        </w:rPr>
        <w:t xml:space="preserve"> </w:t>
      </w:r>
      <w:r>
        <w:rPr>
          <w:sz w:val="18"/>
        </w:rPr>
        <w:t>response to China's</w:t>
      </w:r>
      <w:r>
        <w:rPr>
          <w:spacing w:val="-3"/>
          <w:sz w:val="18"/>
        </w:rPr>
        <w:t xml:space="preserve"> </w:t>
      </w:r>
      <w:r>
        <w:rPr>
          <w:sz w:val="18"/>
        </w:rPr>
        <w:t>PRR, paras. 9, 17 and</w:t>
      </w:r>
      <w:r>
        <w:rPr>
          <w:spacing w:val="-4"/>
          <w:sz w:val="18"/>
        </w:rPr>
        <w:t xml:space="preserve"> </w:t>
      </w:r>
      <w:r>
        <w:rPr>
          <w:sz w:val="18"/>
        </w:rPr>
        <w:t>32; Panel</w:t>
      </w:r>
      <w:r>
        <w:rPr>
          <w:spacing w:val="-2"/>
          <w:sz w:val="18"/>
        </w:rPr>
        <w:t xml:space="preserve"> </w:t>
      </w:r>
      <w:r>
        <w:rPr>
          <w:sz w:val="18"/>
        </w:rPr>
        <w:t xml:space="preserve">Report, </w:t>
      </w:r>
      <w:r>
        <w:rPr>
          <w:i/>
          <w:sz w:val="18"/>
        </w:rPr>
        <w:t>Australia</w:t>
      </w:r>
      <w:r>
        <w:rPr>
          <w:i/>
          <w:spacing w:val="-2"/>
          <w:sz w:val="18"/>
        </w:rPr>
        <w:t xml:space="preserve"> </w:t>
      </w:r>
      <w:r>
        <w:rPr>
          <w:i/>
          <w:sz w:val="18"/>
        </w:rPr>
        <w:t>– Apples</w:t>
      </w:r>
      <w:r>
        <w:rPr>
          <w:sz w:val="18"/>
        </w:rPr>
        <w:t>,</w:t>
      </w:r>
      <w:r>
        <w:rPr>
          <w:spacing w:val="-1"/>
          <w:sz w:val="18"/>
        </w:rPr>
        <w:t xml:space="preserve"> </w:t>
      </w:r>
      <w:r>
        <w:rPr>
          <w:sz w:val="18"/>
        </w:rPr>
        <w:t>para.</w:t>
      </w:r>
      <w:r>
        <w:rPr>
          <w:spacing w:val="-2"/>
          <w:sz w:val="18"/>
        </w:rPr>
        <w:t xml:space="preserve"> </w:t>
      </w:r>
      <w:r>
        <w:rPr>
          <w:sz w:val="18"/>
        </w:rPr>
        <w:t>7.926</w:t>
      </w:r>
      <w:r>
        <w:rPr>
          <w:spacing w:val="-5"/>
          <w:sz w:val="18"/>
        </w:rPr>
        <w:t xml:space="preserve"> </w:t>
      </w:r>
      <w:r>
        <w:rPr>
          <w:sz w:val="18"/>
        </w:rPr>
        <w:t>(citing Appellate Body Report</w:t>
      </w:r>
      <w:r>
        <w:rPr>
          <w:i/>
          <w:sz w:val="18"/>
        </w:rPr>
        <w:t xml:space="preserve">, EC – Bananas III, </w:t>
      </w:r>
      <w:r>
        <w:rPr>
          <w:sz w:val="18"/>
        </w:rPr>
        <w:t>para. 141).</w:t>
      </w:r>
    </w:p>
    <w:p w14:paraId="12DA0894" w14:textId="77777777" w:rsidR="00BD462C" w:rsidRDefault="00BD462C">
      <w:pPr>
        <w:jc w:val="both"/>
        <w:rPr>
          <w:sz w:val="18"/>
        </w:rPr>
        <w:sectPr w:rsidR="00BD462C">
          <w:pgSz w:w="11910" w:h="16840"/>
          <w:pgMar w:top="860" w:right="500" w:bottom="780" w:left="1280" w:header="566" w:footer="590" w:gutter="0"/>
          <w:cols w:space="720"/>
        </w:sectPr>
      </w:pPr>
    </w:p>
    <w:p w14:paraId="5187E052"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64B5795C"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20FDBAE1"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40F71843" w14:textId="77777777" w:rsidR="00BD462C" w:rsidRDefault="00033D0F">
      <w:pPr>
        <w:pStyle w:val="BodyText"/>
        <w:spacing w:before="102" w:line="360" w:lineRule="auto"/>
        <w:ind w:left="136" w:right="913"/>
        <w:jc w:val="both"/>
      </w:pPr>
      <w:r>
        <w:t>should</w:t>
      </w:r>
      <w:r>
        <w:rPr>
          <w:spacing w:val="-14"/>
        </w:rPr>
        <w:t xml:space="preserve"> </w:t>
      </w:r>
      <w:r>
        <w:t>not</w:t>
      </w:r>
      <w:r>
        <w:rPr>
          <w:spacing w:val="-14"/>
        </w:rPr>
        <w:t xml:space="preserve"> </w:t>
      </w:r>
      <w:r>
        <w:t>be</w:t>
      </w:r>
      <w:r>
        <w:rPr>
          <w:spacing w:val="-13"/>
        </w:rPr>
        <w:t xml:space="preserve"> </w:t>
      </w:r>
      <w:r>
        <w:t>"left</w:t>
      </w:r>
      <w:r>
        <w:rPr>
          <w:spacing w:val="-14"/>
        </w:rPr>
        <w:t xml:space="preserve"> </w:t>
      </w:r>
      <w:r>
        <w:t>to</w:t>
      </w:r>
      <w:r>
        <w:rPr>
          <w:spacing w:val="-13"/>
        </w:rPr>
        <w:t xml:space="preserve"> </w:t>
      </w:r>
      <w:r>
        <w:t>wonder"</w:t>
      </w:r>
      <w:r>
        <w:rPr>
          <w:spacing w:val="-14"/>
        </w:rPr>
        <w:t xml:space="preserve"> </w:t>
      </w:r>
      <w:r>
        <w:t>at</w:t>
      </w:r>
      <w:r>
        <w:rPr>
          <w:spacing w:val="-13"/>
        </w:rPr>
        <w:t xml:space="preserve"> </w:t>
      </w:r>
      <w:r>
        <w:t>the</w:t>
      </w:r>
      <w:r>
        <w:rPr>
          <w:spacing w:val="-14"/>
        </w:rPr>
        <w:t xml:space="preserve"> </w:t>
      </w:r>
      <w:r>
        <w:t>"precise</w:t>
      </w:r>
      <w:r>
        <w:rPr>
          <w:spacing w:val="-14"/>
        </w:rPr>
        <w:t xml:space="preserve"> </w:t>
      </w:r>
      <w:r>
        <w:t>contours</w:t>
      </w:r>
      <w:r>
        <w:rPr>
          <w:spacing w:val="-13"/>
        </w:rPr>
        <w:t xml:space="preserve"> </w:t>
      </w:r>
      <w:r>
        <w:t>of</w:t>
      </w:r>
      <w:r>
        <w:rPr>
          <w:spacing w:val="-14"/>
        </w:rPr>
        <w:t xml:space="preserve"> </w:t>
      </w:r>
      <w:r>
        <w:t>the</w:t>
      </w:r>
      <w:r>
        <w:rPr>
          <w:spacing w:val="-13"/>
        </w:rPr>
        <w:t xml:space="preserve"> </w:t>
      </w:r>
      <w:r>
        <w:t>complainant's</w:t>
      </w:r>
      <w:r>
        <w:rPr>
          <w:spacing w:val="-14"/>
        </w:rPr>
        <w:t xml:space="preserve"> </w:t>
      </w:r>
      <w:r>
        <w:t>case".</w:t>
      </w:r>
      <w:hyperlink w:anchor="_bookmark52" w:history="1">
        <w:r>
          <w:rPr>
            <w:vertAlign w:val="superscript"/>
          </w:rPr>
          <w:t>35</w:t>
        </w:r>
      </w:hyperlink>
      <w:r>
        <w:rPr>
          <w:spacing w:val="-13"/>
        </w:rPr>
        <w:t xml:space="preserve"> </w:t>
      </w:r>
      <w:r>
        <w:t>However, detailed</w:t>
      </w:r>
      <w:r>
        <w:rPr>
          <w:spacing w:val="-5"/>
        </w:rPr>
        <w:t xml:space="preserve"> </w:t>
      </w:r>
      <w:r>
        <w:t>arguments</w:t>
      </w:r>
      <w:r>
        <w:rPr>
          <w:spacing w:val="-2"/>
        </w:rPr>
        <w:t xml:space="preserve"> </w:t>
      </w:r>
      <w:r>
        <w:t>are</w:t>
      </w:r>
      <w:r>
        <w:rPr>
          <w:spacing w:val="-3"/>
        </w:rPr>
        <w:t xml:space="preserve"> </w:t>
      </w:r>
      <w:r>
        <w:t>made</w:t>
      </w:r>
      <w:r>
        <w:rPr>
          <w:spacing w:val="-3"/>
        </w:rPr>
        <w:t xml:space="preserve"> </w:t>
      </w:r>
      <w:r>
        <w:t>clear</w:t>
      </w:r>
      <w:r>
        <w:rPr>
          <w:spacing w:val="-6"/>
        </w:rPr>
        <w:t xml:space="preserve"> </w:t>
      </w:r>
      <w:r>
        <w:t>in</w:t>
      </w:r>
      <w:r>
        <w:rPr>
          <w:spacing w:val="-5"/>
        </w:rPr>
        <w:t xml:space="preserve"> </w:t>
      </w:r>
      <w:r>
        <w:rPr>
          <w:i/>
        </w:rPr>
        <w:t>submissions</w:t>
      </w:r>
      <w:r>
        <w:t>.</w:t>
      </w:r>
      <w:r>
        <w:rPr>
          <w:spacing w:val="-2"/>
        </w:rPr>
        <w:t xml:space="preserve"> </w:t>
      </w:r>
      <w:r>
        <w:t>In</w:t>
      </w:r>
      <w:r>
        <w:rPr>
          <w:spacing w:val="-5"/>
        </w:rPr>
        <w:t xml:space="preserve"> </w:t>
      </w:r>
      <w:r>
        <w:t>fact,</w:t>
      </w:r>
      <w:r>
        <w:rPr>
          <w:spacing w:val="-1"/>
        </w:rPr>
        <w:t xml:space="preserve"> </w:t>
      </w:r>
      <w:r>
        <w:t>the</w:t>
      </w:r>
      <w:r>
        <w:rPr>
          <w:spacing w:val="-4"/>
        </w:rPr>
        <w:t xml:space="preserve"> </w:t>
      </w:r>
      <w:r>
        <w:t>very</w:t>
      </w:r>
      <w:r>
        <w:rPr>
          <w:spacing w:val="-2"/>
        </w:rPr>
        <w:t xml:space="preserve"> </w:t>
      </w:r>
      <w:r>
        <w:t>dispute</w:t>
      </w:r>
      <w:r>
        <w:rPr>
          <w:spacing w:val="-3"/>
        </w:rPr>
        <w:t xml:space="preserve"> </w:t>
      </w:r>
      <w:r>
        <w:t>that</w:t>
      </w:r>
      <w:r>
        <w:rPr>
          <w:spacing w:val="-3"/>
        </w:rPr>
        <w:t xml:space="preserve"> </w:t>
      </w:r>
      <w:r>
        <w:t>China</w:t>
      </w:r>
      <w:r>
        <w:rPr>
          <w:spacing w:val="-4"/>
        </w:rPr>
        <w:t xml:space="preserve"> </w:t>
      </w:r>
      <w:r>
        <w:t>cites</w:t>
      </w:r>
      <w:r>
        <w:rPr>
          <w:spacing w:val="-7"/>
        </w:rPr>
        <w:t xml:space="preserve"> </w:t>
      </w:r>
      <w:r>
        <w:t>in support</w:t>
      </w:r>
      <w:r>
        <w:rPr>
          <w:spacing w:val="-8"/>
        </w:rPr>
        <w:t xml:space="preserve"> </w:t>
      </w:r>
      <w:r>
        <w:t>of</w:t>
      </w:r>
      <w:r>
        <w:rPr>
          <w:spacing w:val="-10"/>
        </w:rPr>
        <w:t xml:space="preserve"> </w:t>
      </w:r>
      <w:r>
        <w:t>its</w:t>
      </w:r>
      <w:r>
        <w:rPr>
          <w:spacing w:val="-7"/>
        </w:rPr>
        <w:t xml:space="preserve"> </w:t>
      </w:r>
      <w:r>
        <w:t>proposition</w:t>
      </w:r>
      <w:r>
        <w:rPr>
          <w:spacing w:val="-10"/>
        </w:rPr>
        <w:t xml:space="preserve"> </w:t>
      </w:r>
      <w:r>
        <w:t>concerned</w:t>
      </w:r>
      <w:r>
        <w:rPr>
          <w:spacing w:val="-10"/>
        </w:rPr>
        <w:t xml:space="preserve"> </w:t>
      </w:r>
      <w:r>
        <w:t>a</w:t>
      </w:r>
      <w:r>
        <w:rPr>
          <w:spacing w:val="-4"/>
        </w:rPr>
        <w:t xml:space="preserve"> </w:t>
      </w:r>
      <w:r>
        <w:t>respondent's</w:t>
      </w:r>
      <w:r>
        <w:rPr>
          <w:spacing w:val="-7"/>
        </w:rPr>
        <w:t xml:space="preserve"> </w:t>
      </w:r>
      <w:r>
        <w:t>ability</w:t>
      </w:r>
      <w:r>
        <w:rPr>
          <w:spacing w:val="-12"/>
        </w:rPr>
        <w:t xml:space="preserve"> </w:t>
      </w:r>
      <w:r>
        <w:t>to</w:t>
      </w:r>
      <w:r>
        <w:rPr>
          <w:spacing w:val="-11"/>
        </w:rPr>
        <w:t xml:space="preserve"> </w:t>
      </w:r>
      <w:r>
        <w:t>understand</w:t>
      </w:r>
      <w:r>
        <w:rPr>
          <w:spacing w:val="-10"/>
        </w:rPr>
        <w:t xml:space="preserve"> </w:t>
      </w:r>
      <w:r>
        <w:t>details</w:t>
      </w:r>
      <w:r>
        <w:rPr>
          <w:spacing w:val="-7"/>
        </w:rPr>
        <w:t xml:space="preserve"> </w:t>
      </w:r>
      <w:r>
        <w:t>of</w:t>
      </w:r>
      <w:r>
        <w:rPr>
          <w:spacing w:val="-10"/>
        </w:rPr>
        <w:t xml:space="preserve"> </w:t>
      </w:r>
      <w:r>
        <w:t>the</w:t>
      </w:r>
      <w:r>
        <w:rPr>
          <w:spacing w:val="-8"/>
        </w:rPr>
        <w:t xml:space="preserve"> </w:t>
      </w:r>
      <w:r>
        <w:t xml:space="preserve">claims against it in written submissions, </w:t>
      </w:r>
      <w:r>
        <w:rPr>
          <w:i/>
        </w:rPr>
        <w:t xml:space="preserve">not </w:t>
      </w:r>
      <w:r>
        <w:t>the panel request.</w:t>
      </w:r>
      <w:r>
        <w:rPr>
          <w:spacing w:val="-28"/>
        </w:rPr>
        <w:t xml:space="preserve"> </w:t>
      </w:r>
      <w:hyperlink w:anchor="_bookmark53" w:history="1">
        <w:r>
          <w:rPr>
            <w:vertAlign w:val="superscript"/>
          </w:rPr>
          <w:t>36</w:t>
        </w:r>
      </w:hyperlink>
    </w:p>
    <w:p w14:paraId="626AA9F7" w14:textId="77777777" w:rsidR="00BD462C" w:rsidRDefault="00BD462C">
      <w:pPr>
        <w:pStyle w:val="BodyText"/>
        <w:spacing w:before="5"/>
        <w:rPr>
          <w:sz w:val="15"/>
        </w:rPr>
      </w:pPr>
    </w:p>
    <w:p w14:paraId="31074A97" w14:textId="2B6CBF6C" w:rsidR="00BD462C" w:rsidRDefault="00033D0F" w:rsidP="00C65BAF">
      <w:pPr>
        <w:pStyle w:val="BodyText"/>
        <w:numPr>
          <w:ilvl w:val="0"/>
          <w:numId w:val="68"/>
        </w:numPr>
        <w:spacing w:before="56" w:line="360" w:lineRule="auto"/>
        <w:ind w:right="915"/>
        <w:jc w:val="both"/>
      </w:pPr>
      <w:bookmarkStart w:id="62" w:name="_bookmark50"/>
      <w:bookmarkEnd w:id="62"/>
      <w:r>
        <w:rPr>
          <w:position w:val="1"/>
        </w:rPr>
        <w:t xml:space="preserve">China's first written submission suggests to Australia that China incorrectly </w:t>
      </w:r>
      <w:r>
        <w:t>understands</w:t>
      </w:r>
      <w:r>
        <w:rPr>
          <w:spacing w:val="-6"/>
        </w:rPr>
        <w:t xml:space="preserve"> </w:t>
      </w:r>
      <w:r>
        <w:t>the distinction between a claim and an argument.</w:t>
      </w:r>
      <w:r>
        <w:rPr>
          <w:spacing w:val="-14"/>
        </w:rPr>
        <w:t xml:space="preserve"> </w:t>
      </w:r>
      <w:hyperlink w:anchor="_bookmark54" w:history="1">
        <w:r>
          <w:rPr>
            <w:vertAlign w:val="superscript"/>
          </w:rPr>
          <w:t>37</w:t>
        </w:r>
      </w:hyperlink>
      <w:r>
        <w:t xml:space="preserve"> China continues to submit that a panel request must adduce evidence, detail and reasoning regarding each different element of a claim in its panel request.</w:t>
      </w:r>
      <w:hyperlink w:anchor="_bookmark55" w:history="1">
        <w:r>
          <w:rPr>
            <w:vertAlign w:val="superscript"/>
          </w:rPr>
          <w:t>38</w:t>
        </w:r>
      </w:hyperlink>
      <w:r>
        <w:t xml:space="preserve"> This would go far beyond a "brief summary of the legal basis" i.e.</w:t>
      </w:r>
      <w:r>
        <w:rPr>
          <w:spacing w:val="-1"/>
        </w:rPr>
        <w:t xml:space="preserve"> </w:t>
      </w:r>
      <w:r>
        <w:t>the claim, and would instead extend into evidence and reasons adduced in support</w:t>
      </w:r>
      <w:r>
        <w:rPr>
          <w:spacing w:val="-14"/>
        </w:rPr>
        <w:t xml:space="preserve"> </w:t>
      </w:r>
      <w:r>
        <w:t>of</w:t>
      </w:r>
      <w:r>
        <w:rPr>
          <w:spacing w:val="-14"/>
        </w:rPr>
        <w:t xml:space="preserve"> </w:t>
      </w:r>
      <w:r>
        <w:t>each</w:t>
      </w:r>
      <w:r>
        <w:rPr>
          <w:spacing w:val="-13"/>
        </w:rPr>
        <w:t xml:space="preserve"> </w:t>
      </w:r>
      <w:r>
        <w:t>claim,</w:t>
      </w:r>
      <w:r>
        <w:rPr>
          <w:spacing w:val="-14"/>
        </w:rPr>
        <w:t xml:space="preserve"> </w:t>
      </w:r>
      <w:r>
        <w:t>i.e.</w:t>
      </w:r>
      <w:r>
        <w:rPr>
          <w:spacing w:val="-13"/>
        </w:rPr>
        <w:t xml:space="preserve"> </w:t>
      </w:r>
      <w:r>
        <w:t>arguments.</w:t>
      </w:r>
      <w:r>
        <w:rPr>
          <w:spacing w:val="-14"/>
        </w:rPr>
        <w:t xml:space="preserve"> </w:t>
      </w:r>
      <w:hyperlink w:anchor="_bookmark56" w:history="1">
        <w:r>
          <w:rPr>
            <w:vertAlign w:val="superscript"/>
          </w:rPr>
          <w:t>39</w:t>
        </w:r>
      </w:hyperlink>
      <w:r>
        <w:rPr>
          <w:spacing w:val="-13"/>
        </w:rPr>
        <w:t xml:space="preserve"> </w:t>
      </w:r>
      <w:r>
        <w:t>This</w:t>
      </w:r>
      <w:r>
        <w:rPr>
          <w:spacing w:val="-14"/>
        </w:rPr>
        <w:t xml:space="preserve"> </w:t>
      </w:r>
      <w:r>
        <w:t>is</w:t>
      </w:r>
      <w:r>
        <w:rPr>
          <w:spacing w:val="-14"/>
        </w:rPr>
        <w:t xml:space="preserve"> </w:t>
      </w:r>
      <w:r>
        <w:t>unsurprising</w:t>
      </w:r>
      <w:r>
        <w:rPr>
          <w:spacing w:val="-13"/>
        </w:rPr>
        <w:t xml:space="preserve"> </w:t>
      </w:r>
      <w:r>
        <w:t>given</w:t>
      </w:r>
      <w:r>
        <w:rPr>
          <w:spacing w:val="-14"/>
        </w:rPr>
        <w:t xml:space="preserve"> </w:t>
      </w:r>
      <w:r>
        <w:t>China's</w:t>
      </w:r>
      <w:r>
        <w:rPr>
          <w:spacing w:val="-13"/>
        </w:rPr>
        <w:t xml:space="preserve"> </w:t>
      </w:r>
      <w:r>
        <w:t>erroneous</w:t>
      </w:r>
      <w:r>
        <w:rPr>
          <w:spacing w:val="-14"/>
        </w:rPr>
        <w:t xml:space="preserve"> </w:t>
      </w:r>
      <w:r>
        <w:t>insistence that a complainant must explain in its panel request "how and why" each obligation is allegedly infringed.</w:t>
      </w:r>
    </w:p>
    <w:p w14:paraId="7FC53EDF" w14:textId="77777777" w:rsidR="00BD462C" w:rsidRDefault="00BD462C">
      <w:pPr>
        <w:pStyle w:val="BodyText"/>
        <w:spacing w:before="7"/>
        <w:rPr>
          <w:sz w:val="8"/>
        </w:rPr>
      </w:pPr>
    </w:p>
    <w:p w14:paraId="4D09DDCF" w14:textId="7185C5A3" w:rsidR="00BD462C" w:rsidRDefault="00033D0F" w:rsidP="00C65BAF">
      <w:pPr>
        <w:pStyle w:val="BodyText"/>
        <w:numPr>
          <w:ilvl w:val="0"/>
          <w:numId w:val="68"/>
        </w:numPr>
        <w:spacing w:before="56" w:line="360" w:lineRule="auto"/>
        <w:ind w:right="914"/>
        <w:jc w:val="both"/>
      </w:pPr>
      <w:bookmarkStart w:id="63" w:name="_bookmark51"/>
      <w:bookmarkEnd w:id="63"/>
      <w:r>
        <w:rPr>
          <w:position w:val="1"/>
        </w:rPr>
        <w:t>There</w:t>
      </w:r>
      <w:r>
        <w:rPr>
          <w:spacing w:val="-2"/>
          <w:position w:val="1"/>
        </w:rPr>
        <w:t xml:space="preserve"> </w:t>
      </w:r>
      <w:r>
        <w:rPr>
          <w:position w:val="1"/>
        </w:rPr>
        <w:t>is</w:t>
      </w:r>
      <w:r>
        <w:rPr>
          <w:spacing w:val="-1"/>
          <w:position w:val="1"/>
        </w:rPr>
        <w:t xml:space="preserve"> </w:t>
      </w:r>
      <w:r>
        <w:rPr>
          <w:position w:val="1"/>
        </w:rPr>
        <w:t>significant</w:t>
      </w:r>
      <w:r>
        <w:rPr>
          <w:spacing w:val="-2"/>
          <w:position w:val="1"/>
        </w:rPr>
        <w:t xml:space="preserve"> </w:t>
      </w:r>
      <w:r>
        <w:rPr>
          <w:position w:val="1"/>
        </w:rPr>
        <w:t>tension</w:t>
      </w:r>
      <w:r>
        <w:rPr>
          <w:spacing w:val="-4"/>
          <w:position w:val="1"/>
        </w:rPr>
        <w:t xml:space="preserve"> </w:t>
      </w:r>
      <w:r>
        <w:rPr>
          <w:position w:val="1"/>
        </w:rPr>
        <w:t>between</w:t>
      </w:r>
      <w:r>
        <w:rPr>
          <w:spacing w:val="-4"/>
          <w:position w:val="1"/>
        </w:rPr>
        <w:t xml:space="preserve"> </w:t>
      </w:r>
      <w:r>
        <w:rPr>
          <w:position w:val="1"/>
        </w:rPr>
        <w:t>China's</w:t>
      </w:r>
      <w:r>
        <w:rPr>
          <w:spacing w:val="-1"/>
          <w:position w:val="1"/>
        </w:rPr>
        <w:t xml:space="preserve"> </w:t>
      </w:r>
      <w:r>
        <w:rPr>
          <w:position w:val="1"/>
        </w:rPr>
        <w:t>position</w:t>
      </w:r>
      <w:r>
        <w:rPr>
          <w:spacing w:val="-4"/>
          <w:position w:val="1"/>
        </w:rPr>
        <w:t xml:space="preserve"> </w:t>
      </w:r>
      <w:r>
        <w:rPr>
          <w:position w:val="1"/>
        </w:rPr>
        <w:t>and the</w:t>
      </w:r>
      <w:r>
        <w:rPr>
          <w:spacing w:val="-3"/>
          <w:position w:val="1"/>
        </w:rPr>
        <w:t xml:space="preserve"> </w:t>
      </w:r>
      <w:r>
        <w:rPr>
          <w:position w:val="1"/>
        </w:rPr>
        <w:t>Appellate</w:t>
      </w:r>
      <w:r>
        <w:rPr>
          <w:spacing w:val="-2"/>
          <w:position w:val="1"/>
        </w:rPr>
        <w:t xml:space="preserve"> </w:t>
      </w:r>
      <w:r>
        <w:rPr>
          <w:position w:val="1"/>
        </w:rPr>
        <w:t>Body</w:t>
      </w:r>
      <w:r>
        <w:rPr>
          <w:spacing w:val="-1"/>
          <w:position w:val="1"/>
        </w:rPr>
        <w:t xml:space="preserve"> </w:t>
      </w:r>
      <w:r>
        <w:rPr>
          <w:position w:val="1"/>
        </w:rPr>
        <w:t xml:space="preserve">reports </w:t>
      </w:r>
      <w:r>
        <w:t>that it cites in support. For example, when convenient, China concedes that there is a distinction between a "claim" and an "instance" of alleged infringement.</w:t>
      </w:r>
      <w:r>
        <w:rPr>
          <w:spacing w:val="-14"/>
        </w:rPr>
        <w:t xml:space="preserve"> </w:t>
      </w:r>
      <w:hyperlink w:anchor="_bookmark57" w:history="1">
        <w:r>
          <w:rPr>
            <w:vertAlign w:val="superscript"/>
          </w:rPr>
          <w:t>40</w:t>
        </w:r>
      </w:hyperlink>
      <w:r>
        <w:t xml:space="preserve"> China further notes, correctly, that where the Appellate Body has considered that elements of a particular claim,</w:t>
      </w:r>
      <w:r>
        <w:rPr>
          <w:spacing w:val="-14"/>
        </w:rPr>
        <w:t xml:space="preserve"> </w:t>
      </w:r>
      <w:r>
        <w:t>along</w:t>
      </w:r>
      <w:r>
        <w:rPr>
          <w:spacing w:val="-14"/>
        </w:rPr>
        <w:t xml:space="preserve"> </w:t>
      </w:r>
      <w:r>
        <w:t>with</w:t>
      </w:r>
      <w:r>
        <w:rPr>
          <w:spacing w:val="-13"/>
        </w:rPr>
        <w:t xml:space="preserve"> </w:t>
      </w:r>
      <w:r>
        <w:t>"reasons</w:t>
      </w:r>
      <w:r>
        <w:rPr>
          <w:spacing w:val="-14"/>
        </w:rPr>
        <w:t xml:space="preserve"> </w:t>
      </w:r>
      <w:r>
        <w:t>why"</w:t>
      </w:r>
      <w:r>
        <w:rPr>
          <w:spacing w:val="-13"/>
        </w:rPr>
        <w:t xml:space="preserve"> </w:t>
      </w:r>
      <w:r>
        <w:t>a</w:t>
      </w:r>
      <w:r>
        <w:rPr>
          <w:spacing w:val="-14"/>
        </w:rPr>
        <w:t xml:space="preserve"> </w:t>
      </w:r>
      <w:r>
        <w:t>provision</w:t>
      </w:r>
      <w:r>
        <w:rPr>
          <w:spacing w:val="-13"/>
        </w:rPr>
        <w:t xml:space="preserve"> </w:t>
      </w:r>
      <w:r>
        <w:t>is</w:t>
      </w:r>
      <w:r>
        <w:rPr>
          <w:spacing w:val="-14"/>
        </w:rPr>
        <w:t xml:space="preserve"> </w:t>
      </w:r>
      <w:r>
        <w:t>allegedly</w:t>
      </w:r>
      <w:r>
        <w:rPr>
          <w:spacing w:val="-14"/>
        </w:rPr>
        <w:t xml:space="preserve"> </w:t>
      </w:r>
      <w:r>
        <w:t>violated,</w:t>
      </w:r>
      <w:r>
        <w:rPr>
          <w:spacing w:val="-11"/>
        </w:rPr>
        <w:t xml:space="preserve"> </w:t>
      </w:r>
      <w:r>
        <w:t>both</w:t>
      </w:r>
      <w:r>
        <w:rPr>
          <w:spacing w:val="-14"/>
        </w:rPr>
        <w:t xml:space="preserve"> </w:t>
      </w:r>
      <w:r>
        <w:t>constitute</w:t>
      </w:r>
      <w:r>
        <w:rPr>
          <w:spacing w:val="-11"/>
        </w:rPr>
        <w:t xml:space="preserve"> </w:t>
      </w:r>
      <w:r>
        <w:rPr>
          <w:i/>
        </w:rPr>
        <w:t>arguments</w:t>
      </w:r>
      <w:r>
        <w:t>.</w:t>
      </w:r>
      <w:r>
        <w:rPr>
          <w:spacing w:val="-14"/>
        </w:rPr>
        <w:t xml:space="preserve"> </w:t>
      </w:r>
      <w:hyperlink w:anchor="_bookmark58" w:history="1">
        <w:r>
          <w:rPr>
            <w:vertAlign w:val="superscript"/>
          </w:rPr>
          <w:t>41</w:t>
        </w:r>
      </w:hyperlink>
      <w:r>
        <w:t xml:space="preserve"> However,</w:t>
      </w:r>
      <w:r>
        <w:rPr>
          <w:spacing w:val="-7"/>
        </w:rPr>
        <w:t xml:space="preserve"> </w:t>
      </w:r>
      <w:r>
        <w:t>despite</w:t>
      </w:r>
      <w:r>
        <w:rPr>
          <w:spacing w:val="-13"/>
        </w:rPr>
        <w:t xml:space="preserve"> </w:t>
      </w:r>
      <w:r>
        <w:t>China's</w:t>
      </w:r>
      <w:r>
        <w:rPr>
          <w:spacing w:val="-8"/>
        </w:rPr>
        <w:t xml:space="preserve"> </w:t>
      </w:r>
      <w:r>
        <w:t>purported</w:t>
      </w:r>
      <w:r>
        <w:rPr>
          <w:spacing w:val="-11"/>
        </w:rPr>
        <w:t xml:space="preserve"> </w:t>
      </w:r>
      <w:r>
        <w:t>endorsement</w:t>
      </w:r>
      <w:r>
        <w:rPr>
          <w:spacing w:val="-9"/>
        </w:rPr>
        <w:t xml:space="preserve"> </w:t>
      </w:r>
      <w:r>
        <w:t>of</w:t>
      </w:r>
      <w:r>
        <w:rPr>
          <w:spacing w:val="-11"/>
        </w:rPr>
        <w:t xml:space="preserve"> </w:t>
      </w:r>
      <w:r>
        <w:t>this</w:t>
      </w:r>
      <w:r>
        <w:rPr>
          <w:spacing w:val="-8"/>
        </w:rPr>
        <w:t xml:space="preserve"> </w:t>
      </w:r>
      <w:r>
        <w:t>interpretation,</w:t>
      </w:r>
      <w:r>
        <w:rPr>
          <w:spacing w:val="-11"/>
        </w:rPr>
        <w:t xml:space="preserve"> </w:t>
      </w:r>
      <w:r>
        <w:t>it</w:t>
      </w:r>
      <w:r>
        <w:rPr>
          <w:spacing w:val="-9"/>
        </w:rPr>
        <w:t xml:space="preserve"> </w:t>
      </w:r>
      <w:r>
        <w:t>continues</w:t>
      </w:r>
      <w:r>
        <w:rPr>
          <w:spacing w:val="-8"/>
        </w:rPr>
        <w:t xml:space="preserve"> </w:t>
      </w:r>
      <w:r>
        <w:t>to</w:t>
      </w:r>
      <w:r>
        <w:rPr>
          <w:spacing w:val="-11"/>
        </w:rPr>
        <w:t xml:space="preserve"> </w:t>
      </w:r>
      <w:r>
        <w:t>assert that Australia must put forward such arguments in its panel request. China's position in this regard is untenable; it cannot endorse the Appellate Body's clarifications and in practice depart from those clarifications at its own convenience.</w:t>
      </w:r>
    </w:p>
    <w:p w14:paraId="0E8F1E27" w14:textId="77777777" w:rsidR="00BD462C" w:rsidRDefault="00BD462C">
      <w:pPr>
        <w:pStyle w:val="BodyText"/>
        <w:rPr>
          <w:sz w:val="20"/>
        </w:rPr>
      </w:pPr>
    </w:p>
    <w:p w14:paraId="23846A61" w14:textId="77777777" w:rsidR="00BD462C" w:rsidRDefault="00BD462C">
      <w:pPr>
        <w:pStyle w:val="BodyText"/>
        <w:rPr>
          <w:sz w:val="20"/>
        </w:rPr>
      </w:pPr>
    </w:p>
    <w:p w14:paraId="29F1C529" w14:textId="7AEFED69" w:rsidR="00BD462C" w:rsidRDefault="00BD462C">
      <w:pPr>
        <w:pStyle w:val="BodyText"/>
        <w:spacing w:before="2"/>
        <w:rPr>
          <w:sz w:val="12"/>
        </w:rPr>
      </w:pPr>
    </w:p>
    <w:p w14:paraId="3B257908" w14:textId="77777777" w:rsidR="00BD462C" w:rsidRDefault="00033D0F">
      <w:pPr>
        <w:spacing w:before="112" w:line="218" w:lineRule="exact"/>
        <w:ind w:left="135"/>
        <w:jc w:val="both"/>
        <w:rPr>
          <w:sz w:val="18"/>
        </w:rPr>
      </w:pPr>
      <w:bookmarkStart w:id="64" w:name="_bookmark52"/>
      <w:bookmarkEnd w:id="64"/>
      <w:r>
        <w:rPr>
          <w:position w:val="5"/>
          <w:sz w:val="12"/>
        </w:rPr>
        <w:t>35</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para.</w:t>
      </w:r>
      <w:r>
        <w:rPr>
          <w:spacing w:val="-1"/>
          <w:sz w:val="18"/>
        </w:rPr>
        <w:t xml:space="preserve"> </w:t>
      </w:r>
      <w:r>
        <w:rPr>
          <w:spacing w:val="-5"/>
          <w:sz w:val="18"/>
        </w:rPr>
        <w:t>89.</w:t>
      </w:r>
    </w:p>
    <w:p w14:paraId="27A0F828" w14:textId="77777777" w:rsidR="00BD462C" w:rsidRDefault="00033D0F">
      <w:pPr>
        <w:ind w:left="135" w:right="909"/>
        <w:jc w:val="both"/>
        <w:rPr>
          <w:sz w:val="18"/>
        </w:rPr>
      </w:pPr>
      <w:bookmarkStart w:id="65" w:name="_bookmark53"/>
      <w:bookmarkEnd w:id="65"/>
      <w:r>
        <w:rPr>
          <w:position w:val="5"/>
          <w:sz w:val="12"/>
        </w:rPr>
        <w:t>36</w:t>
      </w:r>
      <w:r>
        <w:rPr>
          <w:spacing w:val="40"/>
          <w:position w:val="5"/>
          <w:sz w:val="12"/>
        </w:rPr>
        <w:t xml:space="preserve"> </w:t>
      </w:r>
      <w:r>
        <w:rPr>
          <w:sz w:val="18"/>
        </w:rPr>
        <w:t xml:space="preserve">Appellate Body Report, </w:t>
      </w:r>
      <w:r>
        <w:rPr>
          <w:i/>
          <w:sz w:val="18"/>
        </w:rPr>
        <w:t>Chile – Price Band System</w:t>
      </w:r>
      <w:r>
        <w:rPr>
          <w:sz w:val="18"/>
        </w:rPr>
        <w:t xml:space="preserve">, para. 164. In </w:t>
      </w:r>
      <w:r>
        <w:rPr>
          <w:i/>
          <w:sz w:val="18"/>
        </w:rPr>
        <w:t>Chile – Price Band System</w:t>
      </w:r>
      <w:r>
        <w:rPr>
          <w:sz w:val="18"/>
        </w:rPr>
        <w:t>, the concern was whether Argentina had made a claim under the second sentence of Article II:1(b) implicitly in its arguments under Article 4.2 of the Agreement on Agriculture. Australia agrees with the panel's determination that, while Argentina's request for the establishment of a panel was phrased broadly enough</w:t>
      </w:r>
      <w:r>
        <w:rPr>
          <w:spacing w:val="-3"/>
          <w:sz w:val="18"/>
        </w:rPr>
        <w:t xml:space="preserve"> </w:t>
      </w:r>
      <w:r>
        <w:rPr>
          <w:sz w:val="18"/>
        </w:rPr>
        <w:t>to include a claim under both sentences of Article</w:t>
      </w:r>
      <w:r>
        <w:rPr>
          <w:spacing w:val="-2"/>
          <w:sz w:val="18"/>
        </w:rPr>
        <w:t xml:space="preserve"> </w:t>
      </w:r>
      <w:r>
        <w:rPr>
          <w:sz w:val="18"/>
        </w:rPr>
        <w:t>II:1(b) of the GATT 1994, it needed to make both claims "explicitly" in the WTO dispute settlement process.</w:t>
      </w:r>
    </w:p>
    <w:p w14:paraId="655CDE9C" w14:textId="77777777" w:rsidR="00BD462C" w:rsidRDefault="00033D0F">
      <w:pPr>
        <w:ind w:left="135"/>
        <w:jc w:val="both"/>
        <w:rPr>
          <w:sz w:val="18"/>
        </w:rPr>
      </w:pPr>
      <w:bookmarkStart w:id="66" w:name="_bookmark54"/>
      <w:bookmarkEnd w:id="66"/>
      <w:r>
        <w:rPr>
          <w:position w:val="5"/>
          <w:sz w:val="12"/>
        </w:rPr>
        <w:t>37</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paras.</w:t>
      </w:r>
      <w:r>
        <w:rPr>
          <w:spacing w:val="-5"/>
          <w:sz w:val="18"/>
        </w:rPr>
        <w:t xml:space="preserve"> </w:t>
      </w:r>
      <w:r>
        <w:rPr>
          <w:sz w:val="18"/>
        </w:rPr>
        <w:t>143-</w:t>
      </w:r>
      <w:r>
        <w:rPr>
          <w:spacing w:val="-4"/>
          <w:sz w:val="18"/>
        </w:rPr>
        <w:t>151.</w:t>
      </w:r>
    </w:p>
    <w:p w14:paraId="36D4FCD6" w14:textId="77777777" w:rsidR="00BD462C" w:rsidRDefault="00033D0F">
      <w:pPr>
        <w:ind w:left="136" w:right="909" w:hanging="1"/>
        <w:jc w:val="both"/>
        <w:rPr>
          <w:sz w:val="18"/>
        </w:rPr>
      </w:pPr>
      <w:bookmarkStart w:id="67" w:name="_bookmark55"/>
      <w:bookmarkEnd w:id="67"/>
      <w:r>
        <w:rPr>
          <w:position w:val="5"/>
          <w:sz w:val="12"/>
        </w:rPr>
        <w:t>38</w:t>
      </w:r>
      <w:r>
        <w:rPr>
          <w:spacing w:val="11"/>
          <w:position w:val="5"/>
          <w:sz w:val="12"/>
        </w:rPr>
        <w:t xml:space="preserve"> </w:t>
      </w:r>
      <w:r>
        <w:rPr>
          <w:sz w:val="18"/>
        </w:rPr>
        <w:t>See</w:t>
      </w:r>
      <w:r>
        <w:rPr>
          <w:spacing w:val="-3"/>
          <w:sz w:val="18"/>
        </w:rPr>
        <w:t xml:space="preserve"> </w:t>
      </w:r>
      <w:proofErr w:type="gramStart"/>
      <w:r>
        <w:rPr>
          <w:sz w:val="18"/>
        </w:rPr>
        <w:t>e.g.</w:t>
      </w:r>
      <w:proofErr w:type="gramEnd"/>
      <w:r>
        <w:rPr>
          <w:spacing w:val="-2"/>
          <w:sz w:val="18"/>
        </w:rPr>
        <w:t xml:space="preserve"> </w:t>
      </w:r>
      <w:r>
        <w:rPr>
          <w:sz w:val="18"/>
        </w:rPr>
        <w:t>China's</w:t>
      </w:r>
      <w:r>
        <w:rPr>
          <w:spacing w:val="-8"/>
          <w:sz w:val="18"/>
        </w:rPr>
        <w:t xml:space="preserve"> </w:t>
      </w:r>
      <w:r>
        <w:rPr>
          <w:sz w:val="18"/>
        </w:rPr>
        <w:t>first</w:t>
      </w:r>
      <w:r>
        <w:rPr>
          <w:spacing w:val="-7"/>
          <w:sz w:val="18"/>
        </w:rPr>
        <w:t xml:space="preserve"> </w:t>
      </w:r>
      <w:r>
        <w:rPr>
          <w:sz w:val="18"/>
        </w:rPr>
        <w:t>written</w:t>
      </w:r>
      <w:r>
        <w:rPr>
          <w:spacing w:val="-4"/>
          <w:sz w:val="18"/>
        </w:rPr>
        <w:t xml:space="preserve"> </w:t>
      </w:r>
      <w:r>
        <w:rPr>
          <w:sz w:val="18"/>
        </w:rPr>
        <w:t>submission,</w:t>
      </w:r>
      <w:r>
        <w:rPr>
          <w:spacing w:val="-6"/>
          <w:sz w:val="18"/>
        </w:rPr>
        <w:t xml:space="preserve"> </w:t>
      </w:r>
      <w:proofErr w:type="spellStart"/>
      <w:r>
        <w:rPr>
          <w:sz w:val="18"/>
        </w:rPr>
        <w:t>fn</w:t>
      </w:r>
      <w:proofErr w:type="spellEnd"/>
      <w:r>
        <w:rPr>
          <w:spacing w:val="-4"/>
          <w:sz w:val="18"/>
        </w:rPr>
        <w:t xml:space="preserve"> </w:t>
      </w:r>
      <w:r>
        <w:rPr>
          <w:sz w:val="18"/>
        </w:rPr>
        <w:t>74:</w:t>
      </w:r>
      <w:r>
        <w:rPr>
          <w:spacing w:val="-9"/>
          <w:sz w:val="18"/>
        </w:rPr>
        <w:t xml:space="preserve"> </w:t>
      </w:r>
      <w:r>
        <w:rPr>
          <w:sz w:val="18"/>
        </w:rPr>
        <w:t>"In</w:t>
      </w:r>
      <w:r>
        <w:rPr>
          <w:spacing w:val="-8"/>
          <w:sz w:val="18"/>
        </w:rPr>
        <w:t xml:space="preserve"> </w:t>
      </w:r>
      <w:r>
        <w:rPr>
          <w:sz w:val="18"/>
        </w:rPr>
        <w:t>China's</w:t>
      </w:r>
      <w:r>
        <w:rPr>
          <w:spacing w:val="-3"/>
          <w:sz w:val="18"/>
        </w:rPr>
        <w:t xml:space="preserve"> </w:t>
      </w:r>
      <w:r>
        <w:rPr>
          <w:sz w:val="18"/>
        </w:rPr>
        <w:t>view,</w:t>
      </w:r>
      <w:r>
        <w:rPr>
          <w:spacing w:val="-6"/>
          <w:sz w:val="18"/>
        </w:rPr>
        <w:t xml:space="preserve"> </w:t>
      </w:r>
      <w:r>
        <w:rPr>
          <w:sz w:val="18"/>
        </w:rPr>
        <w:t>identifying</w:t>
      </w:r>
      <w:r>
        <w:rPr>
          <w:spacing w:val="-8"/>
          <w:sz w:val="18"/>
        </w:rPr>
        <w:t xml:space="preserve"> </w:t>
      </w:r>
      <w:r>
        <w:rPr>
          <w:sz w:val="18"/>
        </w:rPr>
        <w:t>the</w:t>
      </w:r>
      <w:r>
        <w:rPr>
          <w:spacing w:val="-8"/>
          <w:sz w:val="18"/>
        </w:rPr>
        <w:t xml:space="preserve"> </w:t>
      </w:r>
      <w:r>
        <w:rPr>
          <w:sz w:val="18"/>
        </w:rPr>
        <w:t>specific</w:t>
      </w:r>
      <w:r>
        <w:rPr>
          <w:spacing w:val="-9"/>
          <w:sz w:val="18"/>
        </w:rPr>
        <w:t xml:space="preserve"> </w:t>
      </w:r>
      <w:r>
        <w:rPr>
          <w:sz w:val="18"/>
        </w:rPr>
        <w:t>instances</w:t>
      </w:r>
      <w:r>
        <w:rPr>
          <w:spacing w:val="-8"/>
          <w:sz w:val="18"/>
        </w:rPr>
        <w:t xml:space="preserve"> </w:t>
      </w:r>
      <w:r>
        <w:rPr>
          <w:sz w:val="18"/>
        </w:rPr>
        <w:t>of</w:t>
      </w:r>
      <w:r>
        <w:rPr>
          <w:spacing w:val="-7"/>
          <w:sz w:val="18"/>
        </w:rPr>
        <w:t xml:space="preserve"> </w:t>
      </w:r>
      <w:r>
        <w:rPr>
          <w:sz w:val="18"/>
        </w:rPr>
        <w:t>breach</w:t>
      </w:r>
      <w:r>
        <w:rPr>
          <w:spacing w:val="-4"/>
          <w:sz w:val="18"/>
        </w:rPr>
        <w:t xml:space="preserve"> </w:t>
      </w:r>
      <w:r>
        <w:rPr>
          <w:sz w:val="18"/>
        </w:rPr>
        <w:t>of</w:t>
      </w:r>
      <w:r>
        <w:rPr>
          <w:spacing w:val="-7"/>
          <w:sz w:val="18"/>
        </w:rPr>
        <w:t xml:space="preserve"> </w:t>
      </w:r>
      <w:r>
        <w:rPr>
          <w:sz w:val="18"/>
        </w:rPr>
        <w:t>the</w:t>
      </w:r>
      <w:r>
        <w:rPr>
          <w:spacing w:val="-8"/>
          <w:sz w:val="18"/>
        </w:rPr>
        <w:t xml:space="preserve"> </w:t>
      </w:r>
      <w:r>
        <w:rPr>
          <w:sz w:val="18"/>
        </w:rPr>
        <w:t>provision at issue is essential in 'present[</w:t>
      </w:r>
      <w:proofErr w:type="spellStart"/>
      <w:r>
        <w:rPr>
          <w:sz w:val="18"/>
        </w:rPr>
        <w:t>ing</w:t>
      </w:r>
      <w:proofErr w:type="spellEnd"/>
      <w:r>
        <w:rPr>
          <w:sz w:val="18"/>
        </w:rPr>
        <w:t>] the [legal] problem clearly'"; see also paras. 65-67, 101-106, 110, 129, and fn. 2070.</w:t>
      </w:r>
    </w:p>
    <w:p w14:paraId="23F46261" w14:textId="77777777" w:rsidR="00BD462C" w:rsidRDefault="00033D0F">
      <w:pPr>
        <w:spacing w:before="5" w:line="235" w:lineRule="auto"/>
        <w:ind w:left="136" w:right="908" w:hanging="1"/>
        <w:jc w:val="both"/>
        <w:rPr>
          <w:sz w:val="18"/>
        </w:rPr>
      </w:pPr>
      <w:bookmarkStart w:id="68" w:name="_bookmark56"/>
      <w:bookmarkEnd w:id="68"/>
      <w:r>
        <w:rPr>
          <w:position w:val="5"/>
          <w:sz w:val="12"/>
        </w:rPr>
        <w:t>39</w:t>
      </w:r>
      <w:r>
        <w:rPr>
          <w:spacing w:val="7"/>
          <w:position w:val="5"/>
          <w:sz w:val="12"/>
        </w:rPr>
        <w:t xml:space="preserve"> </w:t>
      </w:r>
      <w:r>
        <w:rPr>
          <w:sz w:val="18"/>
        </w:rPr>
        <w:t>See</w:t>
      </w:r>
      <w:r>
        <w:rPr>
          <w:spacing w:val="-7"/>
          <w:sz w:val="18"/>
        </w:rPr>
        <w:t xml:space="preserve"> </w:t>
      </w:r>
      <w:r>
        <w:rPr>
          <w:sz w:val="18"/>
        </w:rPr>
        <w:t>Appellate</w:t>
      </w:r>
      <w:r>
        <w:rPr>
          <w:spacing w:val="-8"/>
          <w:sz w:val="18"/>
        </w:rPr>
        <w:t xml:space="preserve"> </w:t>
      </w:r>
      <w:r>
        <w:rPr>
          <w:sz w:val="18"/>
        </w:rPr>
        <w:t>Body</w:t>
      </w:r>
      <w:r>
        <w:rPr>
          <w:spacing w:val="-10"/>
          <w:sz w:val="18"/>
        </w:rPr>
        <w:t xml:space="preserve"> </w:t>
      </w:r>
      <w:r>
        <w:rPr>
          <w:sz w:val="18"/>
        </w:rPr>
        <w:t>Report,</w:t>
      </w:r>
      <w:r>
        <w:rPr>
          <w:spacing w:val="-6"/>
          <w:sz w:val="18"/>
        </w:rPr>
        <w:t xml:space="preserve"> </w:t>
      </w:r>
      <w:r>
        <w:rPr>
          <w:i/>
          <w:sz w:val="18"/>
        </w:rPr>
        <w:t>Korea</w:t>
      </w:r>
      <w:r>
        <w:rPr>
          <w:i/>
          <w:spacing w:val="-6"/>
          <w:sz w:val="18"/>
        </w:rPr>
        <w:t xml:space="preserve"> </w:t>
      </w:r>
      <w:r>
        <w:rPr>
          <w:i/>
          <w:sz w:val="18"/>
        </w:rPr>
        <w:t>–</w:t>
      </w:r>
      <w:r>
        <w:rPr>
          <w:i/>
          <w:spacing w:val="-11"/>
          <w:sz w:val="18"/>
        </w:rPr>
        <w:t xml:space="preserve"> </w:t>
      </w:r>
      <w:r>
        <w:rPr>
          <w:i/>
          <w:sz w:val="18"/>
        </w:rPr>
        <w:t>Pneumatic</w:t>
      </w:r>
      <w:r>
        <w:rPr>
          <w:i/>
          <w:spacing w:val="-10"/>
          <w:sz w:val="18"/>
        </w:rPr>
        <w:t xml:space="preserve"> </w:t>
      </w:r>
      <w:r>
        <w:rPr>
          <w:i/>
          <w:sz w:val="18"/>
        </w:rPr>
        <w:t>Valves</w:t>
      </w:r>
      <w:r>
        <w:rPr>
          <w:sz w:val="18"/>
        </w:rPr>
        <w:t>,</w:t>
      </w:r>
      <w:r>
        <w:rPr>
          <w:spacing w:val="-5"/>
          <w:sz w:val="18"/>
        </w:rPr>
        <w:t xml:space="preserve"> </w:t>
      </w:r>
      <w:r>
        <w:rPr>
          <w:sz w:val="18"/>
        </w:rPr>
        <w:t>paras.</w:t>
      </w:r>
      <w:r>
        <w:rPr>
          <w:spacing w:val="-7"/>
          <w:sz w:val="18"/>
        </w:rPr>
        <w:t xml:space="preserve"> </w:t>
      </w:r>
      <w:r>
        <w:rPr>
          <w:sz w:val="18"/>
        </w:rPr>
        <w:t>5.33,</w:t>
      </w:r>
      <w:r>
        <w:rPr>
          <w:spacing w:val="-11"/>
          <w:sz w:val="18"/>
        </w:rPr>
        <w:t xml:space="preserve"> </w:t>
      </w:r>
      <w:r>
        <w:rPr>
          <w:sz w:val="18"/>
        </w:rPr>
        <w:t>5.74,</w:t>
      </w:r>
      <w:r>
        <w:rPr>
          <w:spacing w:val="-5"/>
          <w:sz w:val="18"/>
        </w:rPr>
        <w:t xml:space="preserve"> </w:t>
      </w:r>
      <w:r>
        <w:rPr>
          <w:sz w:val="18"/>
        </w:rPr>
        <w:t>5.77,</w:t>
      </w:r>
      <w:r>
        <w:rPr>
          <w:spacing w:val="-6"/>
          <w:sz w:val="18"/>
        </w:rPr>
        <w:t xml:space="preserve"> </w:t>
      </w:r>
      <w:r>
        <w:rPr>
          <w:sz w:val="18"/>
        </w:rPr>
        <w:t>5.93,</w:t>
      </w:r>
      <w:r>
        <w:rPr>
          <w:spacing w:val="-6"/>
          <w:sz w:val="18"/>
        </w:rPr>
        <w:t xml:space="preserve"> </w:t>
      </w:r>
      <w:r>
        <w:rPr>
          <w:sz w:val="18"/>
        </w:rPr>
        <w:t>and</w:t>
      </w:r>
      <w:r>
        <w:rPr>
          <w:spacing w:val="-8"/>
          <w:sz w:val="18"/>
        </w:rPr>
        <w:t xml:space="preserve"> </w:t>
      </w:r>
      <w:r>
        <w:rPr>
          <w:sz w:val="18"/>
        </w:rPr>
        <w:t>5.125;</w:t>
      </w:r>
      <w:r>
        <w:rPr>
          <w:spacing w:val="-9"/>
          <w:sz w:val="18"/>
        </w:rPr>
        <w:t xml:space="preserve"> </w:t>
      </w:r>
      <w:r>
        <w:rPr>
          <w:sz w:val="18"/>
        </w:rPr>
        <w:t>see</w:t>
      </w:r>
      <w:r>
        <w:rPr>
          <w:spacing w:val="-8"/>
          <w:sz w:val="18"/>
        </w:rPr>
        <w:t xml:space="preserve"> </w:t>
      </w:r>
      <w:r>
        <w:rPr>
          <w:sz w:val="18"/>
        </w:rPr>
        <w:t>also</w:t>
      </w:r>
      <w:r>
        <w:rPr>
          <w:spacing w:val="-9"/>
          <w:sz w:val="18"/>
        </w:rPr>
        <w:t xml:space="preserve"> </w:t>
      </w:r>
      <w:r>
        <w:rPr>
          <w:sz w:val="18"/>
        </w:rPr>
        <w:t>Australia's</w:t>
      </w:r>
      <w:r>
        <w:rPr>
          <w:spacing w:val="-8"/>
          <w:sz w:val="18"/>
        </w:rPr>
        <w:t xml:space="preserve"> </w:t>
      </w:r>
      <w:r>
        <w:rPr>
          <w:sz w:val="18"/>
        </w:rPr>
        <w:t>response to China's PRR, paras. 32, 54, 123, 192, 201, 210, 219, 235, and 245.</w:t>
      </w:r>
    </w:p>
    <w:p w14:paraId="716EE566" w14:textId="77777777" w:rsidR="00BD462C" w:rsidRDefault="00033D0F">
      <w:pPr>
        <w:spacing w:before="3"/>
        <w:ind w:left="135"/>
        <w:jc w:val="both"/>
        <w:rPr>
          <w:sz w:val="18"/>
        </w:rPr>
      </w:pPr>
      <w:bookmarkStart w:id="69" w:name="_bookmark57"/>
      <w:bookmarkEnd w:id="69"/>
      <w:r>
        <w:rPr>
          <w:position w:val="5"/>
          <w:sz w:val="12"/>
        </w:rPr>
        <w:t>40</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para.</w:t>
      </w:r>
      <w:r>
        <w:rPr>
          <w:spacing w:val="-1"/>
          <w:sz w:val="18"/>
        </w:rPr>
        <w:t xml:space="preserve"> </w:t>
      </w:r>
      <w:r>
        <w:rPr>
          <w:spacing w:val="-2"/>
          <w:sz w:val="18"/>
        </w:rPr>
        <w:t>2456.</w:t>
      </w:r>
    </w:p>
    <w:p w14:paraId="466362CE" w14:textId="77777777" w:rsidR="00BD462C" w:rsidRDefault="00033D0F">
      <w:pPr>
        <w:spacing w:before="1"/>
        <w:ind w:left="135" w:right="911"/>
        <w:jc w:val="both"/>
        <w:rPr>
          <w:sz w:val="18"/>
        </w:rPr>
      </w:pPr>
      <w:bookmarkStart w:id="70" w:name="_bookmark58"/>
      <w:bookmarkEnd w:id="70"/>
      <w:r>
        <w:rPr>
          <w:position w:val="5"/>
          <w:sz w:val="12"/>
        </w:rPr>
        <w:t>41</w:t>
      </w:r>
      <w:r>
        <w:rPr>
          <w:spacing w:val="21"/>
          <w:position w:val="5"/>
          <w:sz w:val="12"/>
        </w:rPr>
        <w:t xml:space="preserve"> </w:t>
      </w:r>
      <w:r>
        <w:rPr>
          <w:sz w:val="18"/>
        </w:rPr>
        <w:t>China's first written submission, paras. 147-148. For completeness, Australia observes that paragraph 115 of China's first written submission = states that the issue of factors</w:t>
      </w:r>
      <w:r>
        <w:rPr>
          <w:spacing w:val="-2"/>
          <w:sz w:val="18"/>
        </w:rPr>
        <w:t xml:space="preserve"> </w:t>
      </w:r>
      <w:r>
        <w:rPr>
          <w:sz w:val="18"/>
        </w:rPr>
        <w:t>or indices as arguments was</w:t>
      </w:r>
      <w:r>
        <w:rPr>
          <w:spacing w:val="-2"/>
          <w:sz w:val="18"/>
        </w:rPr>
        <w:t xml:space="preserve"> </w:t>
      </w:r>
      <w:r>
        <w:rPr>
          <w:sz w:val="18"/>
        </w:rPr>
        <w:t>not raised</w:t>
      </w:r>
      <w:r>
        <w:rPr>
          <w:spacing w:val="-3"/>
          <w:sz w:val="18"/>
        </w:rPr>
        <w:t xml:space="preserve"> </w:t>
      </w:r>
      <w:r>
        <w:rPr>
          <w:sz w:val="18"/>
        </w:rPr>
        <w:t xml:space="preserve">on appeal in </w:t>
      </w:r>
      <w:r>
        <w:rPr>
          <w:i/>
          <w:sz w:val="18"/>
        </w:rPr>
        <w:t>Korea – Pneumatic Valves</w:t>
      </w:r>
      <w:r>
        <w:rPr>
          <w:sz w:val="18"/>
        </w:rPr>
        <w:t>. This is not correct; see for example Appellate Body</w:t>
      </w:r>
      <w:r>
        <w:rPr>
          <w:spacing w:val="-2"/>
          <w:sz w:val="18"/>
        </w:rPr>
        <w:t xml:space="preserve"> </w:t>
      </w:r>
      <w:r>
        <w:rPr>
          <w:sz w:val="18"/>
        </w:rPr>
        <w:t xml:space="preserve">Report, </w:t>
      </w:r>
      <w:r>
        <w:rPr>
          <w:i/>
          <w:sz w:val="18"/>
        </w:rPr>
        <w:t>Korea – Pneumatic Valves (Japan)</w:t>
      </w:r>
      <w:r>
        <w:rPr>
          <w:sz w:val="18"/>
        </w:rPr>
        <w:t>, para. 5.108.</w:t>
      </w:r>
    </w:p>
    <w:p w14:paraId="6DD25046" w14:textId="77777777" w:rsidR="00BD462C" w:rsidRDefault="00BD462C">
      <w:pPr>
        <w:jc w:val="both"/>
        <w:rPr>
          <w:sz w:val="18"/>
        </w:rPr>
        <w:sectPr w:rsidR="00BD462C">
          <w:pgSz w:w="11910" w:h="16840"/>
          <w:pgMar w:top="860" w:right="500" w:bottom="780" w:left="1280" w:header="566" w:footer="590" w:gutter="0"/>
          <w:cols w:space="720"/>
        </w:sectPr>
      </w:pPr>
    </w:p>
    <w:p w14:paraId="385E8CA9"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1E46F35B"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22F2BA3C"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54DF50E9" w14:textId="77777777" w:rsidR="00BD462C" w:rsidRDefault="00033D0F">
      <w:pPr>
        <w:pStyle w:val="ListParagraph"/>
        <w:numPr>
          <w:ilvl w:val="3"/>
          <w:numId w:val="65"/>
        </w:numPr>
        <w:tabs>
          <w:tab w:val="left" w:pos="4388"/>
          <w:tab w:val="left" w:pos="4389"/>
        </w:tabs>
        <w:spacing w:before="102"/>
        <w:rPr>
          <w:i/>
          <w:sz w:val="24"/>
        </w:rPr>
      </w:pPr>
      <w:bookmarkStart w:id="71" w:name="ii._The_development_of_the_complainant's"/>
      <w:bookmarkStart w:id="72" w:name="_bookmark59"/>
      <w:bookmarkEnd w:id="71"/>
      <w:bookmarkEnd w:id="72"/>
      <w:r>
        <w:rPr>
          <w:i/>
          <w:sz w:val="24"/>
        </w:rPr>
        <w:t>The</w:t>
      </w:r>
      <w:r>
        <w:rPr>
          <w:i/>
          <w:spacing w:val="-2"/>
          <w:sz w:val="24"/>
        </w:rPr>
        <w:t xml:space="preserve"> </w:t>
      </w:r>
      <w:r>
        <w:rPr>
          <w:i/>
          <w:sz w:val="24"/>
        </w:rPr>
        <w:t>development</w:t>
      </w:r>
      <w:r>
        <w:rPr>
          <w:i/>
          <w:spacing w:val="-2"/>
          <w:sz w:val="24"/>
        </w:rPr>
        <w:t xml:space="preserve"> </w:t>
      </w:r>
      <w:r>
        <w:rPr>
          <w:i/>
          <w:sz w:val="24"/>
        </w:rPr>
        <w:t>of</w:t>
      </w:r>
      <w:r>
        <w:rPr>
          <w:i/>
          <w:spacing w:val="-4"/>
          <w:sz w:val="24"/>
        </w:rPr>
        <w:t xml:space="preserve"> </w:t>
      </w:r>
      <w:r>
        <w:rPr>
          <w:i/>
          <w:sz w:val="24"/>
        </w:rPr>
        <w:t>the</w:t>
      </w:r>
      <w:r>
        <w:rPr>
          <w:i/>
          <w:spacing w:val="-2"/>
          <w:sz w:val="24"/>
        </w:rPr>
        <w:t xml:space="preserve"> </w:t>
      </w:r>
      <w:r>
        <w:rPr>
          <w:i/>
          <w:sz w:val="24"/>
        </w:rPr>
        <w:t>complainant's</w:t>
      </w:r>
      <w:r>
        <w:rPr>
          <w:i/>
          <w:spacing w:val="-4"/>
          <w:sz w:val="24"/>
        </w:rPr>
        <w:t xml:space="preserve"> case</w:t>
      </w:r>
    </w:p>
    <w:p w14:paraId="162FCE91" w14:textId="77777777" w:rsidR="00BD462C" w:rsidRDefault="00BD462C">
      <w:pPr>
        <w:pStyle w:val="BodyText"/>
        <w:spacing w:before="7"/>
        <w:rPr>
          <w:i/>
          <w:sz w:val="20"/>
        </w:rPr>
      </w:pPr>
    </w:p>
    <w:p w14:paraId="431454F0" w14:textId="7209B656" w:rsidR="00BD462C" w:rsidRDefault="00033D0F" w:rsidP="00C65BAF">
      <w:pPr>
        <w:pStyle w:val="BodyText"/>
        <w:numPr>
          <w:ilvl w:val="0"/>
          <w:numId w:val="68"/>
        </w:numPr>
        <w:spacing w:before="56" w:line="360" w:lineRule="auto"/>
        <w:ind w:right="915"/>
        <w:jc w:val="both"/>
      </w:pPr>
      <w:r>
        <w:rPr>
          <w:position w:val="1"/>
        </w:rPr>
        <w:t xml:space="preserve">The parties agree that there are limitations on arguments a complainant can bring </w:t>
      </w:r>
      <w:r>
        <w:t>throughout the dispute</w:t>
      </w:r>
      <w:r>
        <w:rPr>
          <w:spacing w:val="-3"/>
        </w:rPr>
        <w:t xml:space="preserve"> </w:t>
      </w:r>
      <w:r>
        <w:t>settlement</w:t>
      </w:r>
      <w:r>
        <w:rPr>
          <w:spacing w:val="-3"/>
        </w:rPr>
        <w:t xml:space="preserve"> </w:t>
      </w:r>
      <w:r>
        <w:t>process.</w:t>
      </w:r>
      <w:r>
        <w:rPr>
          <w:spacing w:val="-2"/>
        </w:rPr>
        <w:t xml:space="preserve"> </w:t>
      </w:r>
      <w:r>
        <w:t>In</w:t>
      </w:r>
      <w:r>
        <w:rPr>
          <w:spacing w:val="-5"/>
        </w:rPr>
        <w:t xml:space="preserve"> </w:t>
      </w:r>
      <w:r>
        <w:t>particular,</w:t>
      </w:r>
      <w:r>
        <w:rPr>
          <w:spacing w:val="-1"/>
        </w:rPr>
        <w:t xml:space="preserve"> </w:t>
      </w:r>
      <w:r>
        <w:t>arguments and</w:t>
      </w:r>
      <w:r>
        <w:rPr>
          <w:spacing w:val="-5"/>
        </w:rPr>
        <w:t xml:space="preserve"> </w:t>
      </w:r>
      <w:r>
        <w:t>evidence</w:t>
      </w:r>
      <w:r>
        <w:rPr>
          <w:spacing w:val="-3"/>
        </w:rPr>
        <w:t xml:space="preserve"> </w:t>
      </w:r>
      <w:r>
        <w:t>presented in submissions should reasonably develop from the claims set forth in the panel request. However,</w:t>
      </w:r>
      <w:r>
        <w:rPr>
          <w:spacing w:val="-6"/>
        </w:rPr>
        <w:t xml:space="preserve"> </w:t>
      </w:r>
      <w:r>
        <w:t>without</w:t>
      </w:r>
      <w:r>
        <w:rPr>
          <w:spacing w:val="-8"/>
        </w:rPr>
        <w:t xml:space="preserve"> </w:t>
      </w:r>
      <w:r>
        <w:t>certain</w:t>
      </w:r>
      <w:r>
        <w:rPr>
          <w:spacing w:val="-10"/>
        </w:rPr>
        <w:t xml:space="preserve"> </w:t>
      </w:r>
      <w:r>
        <w:t>flexibility</w:t>
      </w:r>
      <w:r>
        <w:rPr>
          <w:spacing w:val="-7"/>
        </w:rPr>
        <w:t xml:space="preserve"> </w:t>
      </w:r>
      <w:r>
        <w:t>a</w:t>
      </w:r>
      <w:r>
        <w:rPr>
          <w:spacing w:val="-9"/>
        </w:rPr>
        <w:t xml:space="preserve"> </w:t>
      </w:r>
      <w:r>
        <w:t>case</w:t>
      </w:r>
      <w:r>
        <w:rPr>
          <w:spacing w:val="-8"/>
        </w:rPr>
        <w:t xml:space="preserve"> </w:t>
      </w:r>
      <w:r>
        <w:t>could</w:t>
      </w:r>
      <w:r>
        <w:rPr>
          <w:spacing w:val="-10"/>
        </w:rPr>
        <w:t xml:space="preserve"> </w:t>
      </w:r>
      <w:r>
        <w:t>not</w:t>
      </w:r>
      <w:r>
        <w:rPr>
          <w:spacing w:val="-8"/>
        </w:rPr>
        <w:t xml:space="preserve"> </w:t>
      </w:r>
      <w:r>
        <w:t>advance</w:t>
      </w:r>
      <w:r>
        <w:rPr>
          <w:spacing w:val="-8"/>
        </w:rPr>
        <w:t xml:space="preserve"> </w:t>
      </w:r>
      <w:r>
        <w:t>and</w:t>
      </w:r>
      <w:r>
        <w:rPr>
          <w:spacing w:val="-5"/>
        </w:rPr>
        <w:t xml:space="preserve"> </w:t>
      </w:r>
      <w:r>
        <w:t>responses</w:t>
      </w:r>
      <w:r>
        <w:rPr>
          <w:spacing w:val="-7"/>
        </w:rPr>
        <w:t xml:space="preserve"> </w:t>
      </w:r>
      <w:r>
        <w:t>to</w:t>
      </w:r>
      <w:r>
        <w:rPr>
          <w:spacing w:val="-11"/>
        </w:rPr>
        <w:t xml:space="preserve"> </w:t>
      </w:r>
      <w:r>
        <w:t>questions,</w:t>
      </w:r>
      <w:r>
        <w:rPr>
          <w:spacing w:val="-6"/>
        </w:rPr>
        <w:t xml:space="preserve"> </w:t>
      </w:r>
      <w:r>
        <w:t>and subsequent</w:t>
      </w:r>
      <w:r>
        <w:rPr>
          <w:spacing w:val="-14"/>
        </w:rPr>
        <w:t xml:space="preserve"> </w:t>
      </w:r>
      <w:r>
        <w:t>submissions – including this one – would</w:t>
      </w:r>
      <w:r>
        <w:rPr>
          <w:spacing w:val="-1"/>
        </w:rPr>
        <w:t xml:space="preserve"> </w:t>
      </w:r>
      <w:r>
        <w:t>have no</w:t>
      </w:r>
      <w:r>
        <w:rPr>
          <w:spacing w:val="-1"/>
        </w:rPr>
        <w:t xml:space="preserve"> </w:t>
      </w:r>
      <w:r>
        <w:t>value.</w:t>
      </w:r>
      <w:r>
        <w:rPr>
          <w:spacing w:val="-14"/>
        </w:rPr>
        <w:t xml:space="preserve"> </w:t>
      </w:r>
      <w:hyperlink w:anchor="_bookmark61" w:history="1">
        <w:r>
          <w:rPr>
            <w:vertAlign w:val="superscript"/>
          </w:rPr>
          <w:t>42</w:t>
        </w:r>
      </w:hyperlink>
      <w:r>
        <w:t xml:space="preserve"> It is therefore open</w:t>
      </w:r>
      <w:r>
        <w:rPr>
          <w:spacing w:val="-1"/>
        </w:rPr>
        <w:t xml:space="preserve"> </w:t>
      </w:r>
      <w:r>
        <w:t xml:space="preserve">to a Member to reasonably </w:t>
      </w:r>
      <w:proofErr w:type="spellStart"/>
      <w:r>
        <w:t>prioritise</w:t>
      </w:r>
      <w:proofErr w:type="spellEnd"/>
      <w:r>
        <w:t xml:space="preserve"> the emphasis of its claims and allow its argumentation to develop with the dispute.</w:t>
      </w:r>
      <w:hyperlink w:anchor="_bookmark62" w:history="1">
        <w:r>
          <w:rPr>
            <w:vertAlign w:val="superscript"/>
          </w:rPr>
          <w:t>43</w:t>
        </w:r>
      </w:hyperlink>
    </w:p>
    <w:p w14:paraId="7E0B40DE" w14:textId="77777777" w:rsidR="00BD462C" w:rsidRDefault="00033D0F">
      <w:pPr>
        <w:pStyle w:val="Heading3"/>
        <w:numPr>
          <w:ilvl w:val="1"/>
          <w:numId w:val="65"/>
        </w:numPr>
        <w:tabs>
          <w:tab w:val="left" w:pos="2689"/>
          <w:tab w:val="left" w:pos="2690"/>
        </w:tabs>
        <w:spacing w:before="159"/>
      </w:pPr>
      <w:bookmarkStart w:id="73" w:name="_bookmark60"/>
      <w:bookmarkEnd w:id="73"/>
      <w:r>
        <w:t>Australia</w:t>
      </w:r>
      <w:r>
        <w:rPr>
          <w:spacing w:val="-3"/>
        </w:rPr>
        <w:t xml:space="preserve"> </w:t>
      </w:r>
      <w:r>
        <w:t>complied</w:t>
      </w:r>
      <w:r>
        <w:rPr>
          <w:spacing w:val="-4"/>
        </w:rPr>
        <w:t xml:space="preserve"> </w:t>
      </w:r>
      <w:r>
        <w:t>with</w:t>
      </w:r>
      <w:r>
        <w:rPr>
          <w:spacing w:val="1"/>
        </w:rPr>
        <w:t xml:space="preserve"> </w:t>
      </w:r>
      <w:r>
        <w:t>the</w:t>
      </w:r>
      <w:r>
        <w:rPr>
          <w:spacing w:val="-6"/>
        </w:rPr>
        <w:t xml:space="preserve"> </w:t>
      </w:r>
      <w:r>
        <w:t>legal</w:t>
      </w:r>
      <w:r>
        <w:rPr>
          <w:spacing w:val="-5"/>
        </w:rPr>
        <w:t xml:space="preserve"> </w:t>
      </w:r>
      <w:r>
        <w:rPr>
          <w:spacing w:val="-2"/>
        </w:rPr>
        <w:t>framework</w:t>
      </w:r>
    </w:p>
    <w:p w14:paraId="10C48202" w14:textId="77777777" w:rsidR="00BD462C" w:rsidRDefault="00BD462C">
      <w:pPr>
        <w:pStyle w:val="BodyText"/>
        <w:spacing w:before="11"/>
        <w:rPr>
          <w:b/>
          <w:sz w:val="20"/>
        </w:rPr>
      </w:pPr>
    </w:p>
    <w:p w14:paraId="5DBC35DB" w14:textId="60773DE2" w:rsidR="00BD462C" w:rsidRDefault="00033D0F" w:rsidP="00C65BAF">
      <w:pPr>
        <w:pStyle w:val="BodyText"/>
        <w:numPr>
          <w:ilvl w:val="0"/>
          <w:numId w:val="68"/>
        </w:numPr>
        <w:spacing w:before="57" w:line="357" w:lineRule="auto"/>
        <w:ind w:right="917"/>
        <w:jc w:val="both"/>
      </w:pPr>
      <w:r>
        <w:rPr>
          <w:position w:val="1"/>
        </w:rPr>
        <w:t xml:space="preserve">Australia plainly connected each measure to the obligation allegedly infringed in a </w:t>
      </w:r>
      <w:r>
        <w:t>manner</w:t>
      </w:r>
      <w:r>
        <w:rPr>
          <w:spacing w:val="-6"/>
        </w:rPr>
        <w:t xml:space="preserve"> </w:t>
      </w:r>
      <w:r>
        <w:t>sufficient</w:t>
      </w:r>
      <w:r>
        <w:rPr>
          <w:spacing w:val="-3"/>
        </w:rPr>
        <w:t xml:space="preserve"> </w:t>
      </w:r>
      <w:r>
        <w:t>to</w:t>
      </w:r>
      <w:r>
        <w:rPr>
          <w:spacing w:val="-6"/>
        </w:rPr>
        <w:t xml:space="preserve"> </w:t>
      </w:r>
      <w:r>
        <w:t>present</w:t>
      </w:r>
      <w:r>
        <w:rPr>
          <w:spacing w:val="-3"/>
        </w:rPr>
        <w:t xml:space="preserve"> </w:t>
      </w:r>
      <w:r>
        <w:t>the</w:t>
      </w:r>
      <w:r>
        <w:rPr>
          <w:spacing w:val="-4"/>
        </w:rPr>
        <w:t xml:space="preserve"> </w:t>
      </w:r>
      <w:r>
        <w:t>problem</w:t>
      </w:r>
      <w:r>
        <w:rPr>
          <w:spacing w:val="-4"/>
        </w:rPr>
        <w:t xml:space="preserve"> </w:t>
      </w:r>
      <w:r>
        <w:t>clearly,</w:t>
      </w:r>
      <w:r>
        <w:rPr>
          <w:spacing w:val="-6"/>
        </w:rPr>
        <w:t xml:space="preserve"> </w:t>
      </w:r>
      <w:r>
        <w:t>considering</w:t>
      </w:r>
      <w:r>
        <w:rPr>
          <w:spacing w:val="-2"/>
        </w:rPr>
        <w:t xml:space="preserve"> </w:t>
      </w:r>
      <w:r>
        <w:t>the</w:t>
      </w:r>
      <w:r>
        <w:rPr>
          <w:spacing w:val="-4"/>
        </w:rPr>
        <w:t xml:space="preserve"> </w:t>
      </w:r>
      <w:r>
        <w:t>measures</w:t>
      </w:r>
      <w:r>
        <w:rPr>
          <w:spacing w:val="-2"/>
        </w:rPr>
        <w:t xml:space="preserve"> </w:t>
      </w:r>
      <w:r>
        <w:t>and</w:t>
      </w:r>
      <w:r>
        <w:rPr>
          <w:spacing w:val="-5"/>
        </w:rPr>
        <w:t xml:space="preserve"> </w:t>
      </w:r>
      <w:r>
        <w:t>provisions</w:t>
      </w:r>
      <w:r>
        <w:rPr>
          <w:spacing w:val="-2"/>
        </w:rPr>
        <w:t xml:space="preserve"> </w:t>
      </w:r>
      <w:r>
        <w:t>at issue.</w:t>
      </w:r>
      <w:r>
        <w:rPr>
          <w:spacing w:val="-30"/>
        </w:rPr>
        <w:t xml:space="preserve"> </w:t>
      </w:r>
      <w:hyperlink w:anchor="_bookmark63" w:history="1">
        <w:r>
          <w:rPr>
            <w:vertAlign w:val="superscript"/>
          </w:rPr>
          <w:t>44</w:t>
        </w:r>
      </w:hyperlink>
      <w:r>
        <w:t xml:space="preserve"> It therefore complied with the legal framework under Article 6.2 of the DSU.</w:t>
      </w:r>
    </w:p>
    <w:p w14:paraId="186AF611" w14:textId="77777777" w:rsidR="00BD462C" w:rsidRDefault="00BD462C">
      <w:pPr>
        <w:pStyle w:val="BodyText"/>
        <w:spacing w:before="2"/>
        <w:rPr>
          <w:sz w:val="9"/>
        </w:rPr>
      </w:pPr>
    </w:p>
    <w:p w14:paraId="5A6EA60B" w14:textId="3FC38B07" w:rsidR="00BD462C" w:rsidRDefault="00033D0F" w:rsidP="00C65BAF">
      <w:pPr>
        <w:pStyle w:val="BodyText"/>
        <w:numPr>
          <w:ilvl w:val="0"/>
          <w:numId w:val="68"/>
        </w:numPr>
        <w:spacing w:before="57" w:line="360" w:lineRule="auto"/>
        <w:ind w:right="911"/>
        <w:jc w:val="both"/>
      </w:pPr>
      <w:r>
        <w:rPr>
          <w:position w:val="1"/>
        </w:rPr>
        <w:t xml:space="preserve">Further to its objections in its PRR, to which Australia has replied in detail, China </w:t>
      </w:r>
      <w:r>
        <w:t>purports to raise an additional "five grounds" that it alleges demonstrate Australia's noncompliance</w:t>
      </w:r>
      <w:r>
        <w:rPr>
          <w:spacing w:val="-14"/>
        </w:rPr>
        <w:t xml:space="preserve"> </w:t>
      </w:r>
      <w:r>
        <w:t>with</w:t>
      </w:r>
      <w:r>
        <w:rPr>
          <w:spacing w:val="-12"/>
        </w:rPr>
        <w:t xml:space="preserve"> </w:t>
      </w:r>
      <w:r>
        <w:t>Article</w:t>
      </w:r>
      <w:r>
        <w:rPr>
          <w:spacing w:val="-3"/>
        </w:rPr>
        <w:t xml:space="preserve"> </w:t>
      </w:r>
      <w:r>
        <w:t>6.2.</w:t>
      </w:r>
      <w:r>
        <w:rPr>
          <w:spacing w:val="-14"/>
        </w:rPr>
        <w:t xml:space="preserve"> </w:t>
      </w:r>
      <w:hyperlink w:anchor="_bookmark64" w:history="1">
        <w:r>
          <w:rPr>
            <w:vertAlign w:val="superscript"/>
          </w:rPr>
          <w:t>45</w:t>
        </w:r>
      </w:hyperlink>
      <w:r>
        <w:rPr>
          <w:spacing w:val="-2"/>
        </w:rPr>
        <w:t xml:space="preserve"> </w:t>
      </w:r>
      <w:r>
        <w:t>These</w:t>
      </w:r>
      <w:r>
        <w:rPr>
          <w:spacing w:val="-3"/>
        </w:rPr>
        <w:t xml:space="preserve"> </w:t>
      </w:r>
      <w:r>
        <w:t>"grounds" are</w:t>
      </w:r>
      <w:r>
        <w:rPr>
          <w:spacing w:val="-3"/>
        </w:rPr>
        <w:t xml:space="preserve"> </w:t>
      </w:r>
      <w:r>
        <w:t>not only</w:t>
      </w:r>
      <w:r>
        <w:rPr>
          <w:spacing w:val="-2"/>
        </w:rPr>
        <w:t xml:space="preserve"> </w:t>
      </w:r>
      <w:r>
        <w:t>unfounded,</w:t>
      </w:r>
      <w:r>
        <w:rPr>
          <w:spacing w:val="-2"/>
        </w:rPr>
        <w:t xml:space="preserve"> </w:t>
      </w:r>
      <w:proofErr w:type="gramStart"/>
      <w:r>
        <w:t>they</w:t>
      </w:r>
      <w:proofErr w:type="gramEnd"/>
      <w:r>
        <w:rPr>
          <w:spacing w:val="-2"/>
        </w:rPr>
        <w:t xml:space="preserve"> </w:t>
      </w:r>
      <w:r>
        <w:t>are also</w:t>
      </w:r>
      <w:r>
        <w:rPr>
          <w:spacing w:val="-5"/>
        </w:rPr>
        <w:t xml:space="preserve"> </w:t>
      </w:r>
      <w:r>
        <w:t>not distinct issues. Rather, they are a muddle of overlapping ideas that reflect China's misunderstanding of the legal obligation under Article 6.2.</w:t>
      </w:r>
    </w:p>
    <w:p w14:paraId="61E4D2DB" w14:textId="77777777" w:rsidR="00BD462C" w:rsidRDefault="00BD462C">
      <w:pPr>
        <w:pStyle w:val="BodyText"/>
        <w:spacing w:before="5"/>
        <w:rPr>
          <w:sz w:val="8"/>
        </w:rPr>
      </w:pPr>
    </w:p>
    <w:p w14:paraId="2279F3C0" w14:textId="7DDF776C" w:rsidR="00BD462C" w:rsidRDefault="00033D0F" w:rsidP="00C65BAF">
      <w:pPr>
        <w:pStyle w:val="BodyText"/>
        <w:numPr>
          <w:ilvl w:val="0"/>
          <w:numId w:val="68"/>
        </w:numPr>
        <w:spacing w:before="56" w:line="357" w:lineRule="auto"/>
        <w:ind w:right="918"/>
        <w:jc w:val="both"/>
      </w:pPr>
      <w:r>
        <w:rPr>
          <w:position w:val="1"/>
        </w:rPr>
        <w:t>Australia addresses China's overlapping allegations below, demonstrating where</w:t>
      </w:r>
      <w:r>
        <w:rPr>
          <w:spacing w:val="80"/>
          <w:position w:val="1"/>
        </w:rPr>
        <w:t xml:space="preserve"> </w:t>
      </w:r>
      <w:r>
        <w:t>China disregards the relevant context. Australia addresses allegations relevant to specific claims in Annex A.</w:t>
      </w:r>
    </w:p>
    <w:p w14:paraId="3B88DE93" w14:textId="77777777" w:rsidR="00BD462C" w:rsidRDefault="00033D0F">
      <w:pPr>
        <w:pStyle w:val="ListParagraph"/>
        <w:numPr>
          <w:ilvl w:val="2"/>
          <w:numId w:val="65"/>
        </w:numPr>
        <w:tabs>
          <w:tab w:val="left" w:pos="3539"/>
          <w:tab w:val="left" w:pos="3540"/>
        </w:tabs>
        <w:spacing w:before="165" w:line="357" w:lineRule="auto"/>
        <w:ind w:right="913"/>
        <w:jc w:val="both"/>
        <w:rPr>
          <w:sz w:val="24"/>
        </w:rPr>
      </w:pPr>
      <w:bookmarkStart w:id="74" w:name="(a)_Australia_adduced_no_new_claims_in_i"/>
      <w:bookmarkEnd w:id="74"/>
      <w:r>
        <w:rPr>
          <w:sz w:val="24"/>
          <w:u w:val="single"/>
        </w:rPr>
        <w:t>Australia adduced no new claims in its first written</w:t>
      </w:r>
      <w:r>
        <w:rPr>
          <w:sz w:val="24"/>
        </w:rPr>
        <w:t xml:space="preserve"> </w:t>
      </w:r>
      <w:r>
        <w:rPr>
          <w:spacing w:val="-2"/>
          <w:sz w:val="24"/>
          <w:u w:val="single"/>
        </w:rPr>
        <w:t>submission</w:t>
      </w:r>
    </w:p>
    <w:p w14:paraId="2155F5A6" w14:textId="77777777" w:rsidR="00C65BAF" w:rsidRDefault="00C65BAF" w:rsidP="00C65BAF">
      <w:pPr>
        <w:pStyle w:val="BodyText"/>
        <w:spacing w:before="56" w:line="357" w:lineRule="auto"/>
        <w:rPr>
          <w:sz w:val="9"/>
        </w:rPr>
      </w:pPr>
    </w:p>
    <w:p w14:paraId="0CC9D223" w14:textId="42E40E63" w:rsidR="00BD462C" w:rsidRDefault="00033D0F" w:rsidP="00C65BAF">
      <w:pPr>
        <w:pStyle w:val="BodyText"/>
        <w:numPr>
          <w:ilvl w:val="0"/>
          <w:numId w:val="68"/>
        </w:numPr>
        <w:spacing w:before="56" w:line="357" w:lineRule="auto"/>
      </w:pPr>
      <w:r>
        <w:rPr>
          <w:position w:val="1"/>
        </w:rPr>
        <w:t>China's</w:t>
      </w:r>
      <w:r>
        <w:rPr>
          <w:spacing w:val="66"/>
          <w:position w:val="1"/>
        </w:rPr>
        <w:t xml:space="preserve"> </w:t>
      </w:r>
      <w:r>
        <w:rPr>
          <w:position w:val="1"/>
        </w:rPr>
        <w:t>first</w:t>
      </w:r>
      <w:r>
        <w:rPr>
          <w:spacing w:val="65"/>
          <w:position w:val="1"/>
        </w:rPr>
        <w:t xml:space="preserve"> </w:t>
      </w:r>
      <w:r>
        <w:rPr>
          <w:position w:val="1"/>
        </w:rPr>
        <w:t>"ground"</w:t>
      </w:r>
      <w:r>
        <w:rPr>
          <w:spacing w:val="64"/>
          <w:position w:val="1"/>
        </w:rPr>
        <w:t xml:space="preserve"> </w:t>
      </w:r>
      <w:r>
        <w:rPr>
          <w:position w:val="1"/>
        </w:rPr>
        <w:t>alleges</w:t>
      </w:r>
      <w:r>
        <w:rPr>
          <w:spacing w:val="66"/>
          <w:position w:val="1"/>
        </w:rPr>
        <w:t xml:space="preserve"> </w:t>
      </w:r>
      <w:r>
        <w:rPr>
          <w:position w:val="1"/>
        </w:rPr>
        <w:t>that</w:t>
      </w:r>
      <w:r>
        <w:rPr>
          <w:spacing w:val="65"/>
          <w:position w:val="1"/>
        </w:rPr>
        <w:t xml:space="preserve"> </w:t>
      </w:r>
      <w:r>
        <w:rPr>
          <w:position w:val="1"/>
        </w:rPr>
        <w:t>Australia</w:t>
      </w:r>
      <w:r>
        <w:rPr>
          <w:spacing w:val="64"/>
          <w:position w:val="1"/>
        </w:rPr>
        <w:t xml:space="preserve"> </w:t>
      </w:r>
      <w:r>
        <w:rPr>
          <w:position w:val="1"/>
        </w:rPr>
        <w:t>adduced</w:t>
      </w:r>
      <w:r>
        <w:rPr>
          <w:spacing w:val="63"/>
          <w:position w:val="1"/>
        </w:rPr>
        <w:t xml:space="preserve"> </w:t>
      </w:r>
      <w:r>
        <w:rPr>
          <w:position w:val="1"/>
        </w:rPr>
        <w:t>claims</w:t>
      </w:r>
      <w:r>
        <w:rPr>
          <w:spacing w:val="66"/>
          <w:position w:val="1"/>
        </w:rPr>
        <w:t xml:space="preserve"> </w:t>
      </w:r>
      <w:r>
        <w:rPr>
          <w:position w:val="1"/>
        </w:rPr>
        <w:t>in</w:t>
      </w:r>
      <w:r>
        <w:rPr>
          <w:spacing w:val="63"/>
          <w:position w:val="1"/>
        </w:rPr>
        <w:t xml:space="preserve"> </w:t>
      </w:r>
      <w:r>
        <w:rPr>
          <w:position w:val="1"/>
        </w:rPr>
        <w:t>its</w:t>
      </w:r>
      <w:r>
        <w:rPr>
          <w:spacing w:val="66"/>
          <w:position w:val="1"/>
        </w:rPr>
        <w:t xml:space="preserve"> </w:t>
      </w:r>
      <w:r>
        <w:rPr>
          <w:position w:val="1"/>
        </w:rPr>
        <w:t>first</w:t>
      </w:r>
      <w:r>
        <w:rPr>
          <w:spacing w:val="65"/>
          <w:position w:val="1"/>
        </w:rPr>
        <w:t xml:space="preserve"> </w:t>
      </w:r>
      <w:r>
        <w:rPr>
          <w:position w:val="1"/>
        </w:rPr>
        <w:t xml:space="preserve">written </w:t>
      </w:r>
      <w:r>
        <w:t>submission</w:t>
      </w:r>
      <w:r>
        <w:rPr>
          <w:spacing w:val="-10"/>
        </w:rPr>
        <w:t xml:space="preserve"> </w:t>
      </w:r>
      <w:r>
        <w:t>that</w:t>
      </w:r>
      <w:r>
        <w:rPr>
          <w:spacing w:val="-7"/>
        </w:rPr>
        <w:t xml:space="preserve"> </w:t>
      </w:r>
      <w:r>
        <w:t>were</w:t>
      </w:r>
      <w:r>
        <w:rPr>
          <w:spacing w:val="-7"/>
        </w:rPr>
        <w:t xml:space="preserve"> </w:t>
      </w:r>
      <w:r>
        <w:t>not</w:t>
      </w:r>
      <w:r>
        <w:rPr>
          <w:spacing w:val="-8"/>
        </w:rPr>
        <w:t xml:space="preserve"> </w:t>
      </w:r>
      <w:r>
        <w:t>present</w:t>
      </w:r>
      <w:r>
        <w:rPr>
          <w:spacing w:val="-7"/>
        </w:rPr>
        <w:t xml:space="preserve"> </w:t>
      </w:r>
      <w:r>
        <w:t>in</w:t>
      </w:r>
      <w:r>
        <w:rPr>
          <w:spacing w:val="-9"/>
        </w:rPr>
        <w:t xml:space="preserve"> </w:t>
      </w:r>
      <w:r>
        <w:t>its</w:t>
      </w:r>
      <w:r>
        <w:rPr>
          <w:spacing w:val="-7"/>
        </w:rPr>
        <w:t xml:space="preserve"> </w:t>
      </w:r>
      <w:r>
        <w:t>panel</w:t>
      </w:r>
      <w:r>
        <w:rPr>
          <w:spacing w:val="-5"/>
        </w:rPr>
        <w:t xml:space="preserve"> </w:t>
      </w:r>
      <w:r>
        <w:t>request.</w:t>
      </w:r>
      <w:hyperlink w:anchor="_bookmark65" w:history="1">
        <w:r>
          <w:rPr>
            <w:vertAlign w:val="superscript"/>
          </w:rPr>
          <w:t>46</w:t>
        </w:r>
      </w:hyperlink>
      <w:r>
        <w:rPr>
          <w:spacing w:val="-6"/>
        </w:rPr>
        <w:t xml:space="preserve"> </w:t>
      </w:r>
      <w:r>
        <w:t>This</w:t>
      </w:r>
      <w:r>
        <w:rPr>
          <w:spacing w:val="-7"/>
        </w:rPr>
        <w:t xml:space="preserve"> </w:t>
      </w:r>
      <w:r>
        <w:t>allegation</w:t>
      </w:r>
      <w:r>
        <w:rPr>
          <w:spacing w:val="-9"/>
        </w:rPr>
        <w:t xml:space="preserve"> </w:t>
      </w:r>
      <w:r>
        <w:t>closely</w:t>
      </w:r>
      <w:r>
        <w:rPr>
          <w:spacing w:val="-6"/>
        </w:rPr>
        <w:t xml:space="preserve"> </w:t>
      </w:r>
      <w:r>
        <w:t>mirrors</w:t>
      </w:r>
      <w:r>
        <w:rPr>
          <w:spacing w:val="-7"/>
        </w:rPr>
        <w:t xml:space="preserve"> </w:t>
      </w:r>
      <w:r>
        <w:rPr>
          <w:spacing w:val="-2"/>
        </w:rPr>
        <w:t>China's</w:t>
      </w:r>
    </w:p>
    <w:p w14:paraId="358F2EDB" w14:textId="27506597" w:rsidR="00BD462C" w:rsidRDefault="00BD462C">
      <w:pPr>
        <w:pStyle w:val="BodyText"/>
        <w:spacing w:before="10"/>
        <w:rPr>
          <w:sz w:val="29"/>
        </w:rPr>
      </w:pPr>
    </w:p>
    <w:bookmarkStart w:id="75" w:name="_bookmark61"/>
    <w:bookmarkEnd w:id="75"/>
    <w:p w14:paraId="51054C7E" w14:textId="52560E19" w:rsidR="00BD462C" w:rsidRDefault="002C3E13">
      <w:pPr>
        <w:spacing w:before="112"/>
        <w:ind w:left="135" w:right="923"/>
        <w:rPr>
          <w:sz w:val="18"/>
        </w:rPr>
      </w:pPr>
      <w:r w:rsidRPr="003A43C7">
        <w:rPr>
          <w:noProof/>
        </w:rPr>
        <mc:AlternateContent>
          <mc:Choice Requires="wps">
            <w:drawing>
              <wp:anchor distT="0" distB="0" distL="114300" distR="114300" simplePos="0" relativeHeight="487946752" behindDoc="0" locked="0" layoutInCell="1" allowOverlap="1" wp14:anchorId="2809767B" wp14:editId="06E7E2D3">
                <wp:simplePos x="0" y="0"/>
                <wp:positionH relativeFrom="column">
                  <wp:posOffset>0</wp:posOffset>
                </wp:positionH>
                <wp:positionV relativeFrom="paragraph">
                  <wp:posOffset>6350</wp:posOffset>
                </wp:positionV>
                <wp:extent cx="2400300" cy="0"/>
                <wp:effectExtent l="0" t="0" r="0" b="0"/>
                <wp:wrapNone/>
                <wp:docPr id="1468" name="Straight Connector 14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400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C6CC24" id="Straight Connector 1468" o:spid="_x0000_s1026" alt="&quot;&quot;" style="position:absolute;z-index:487946752;visibility:visible;mso-wrap-style:square;mso-wrap-distance-left:9pt;mso-wrap-distance-top:0;mso-wrap-distance-right:9pt;mso-wrap-distance-bottom:0;mso-position-horizontal:absolute;mso-position-horizontal-relative:text;mso-position-vertical:absolute;mso-position-vertical-relative:text" from="0,.5pt" to="189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" strokecolor="#4579b8 [3044]"/>
            </w:pict>
          </mc:Fallback>
        </mc:AlternateContent>
      </w:r>
      <w:r w:rsidR="00033D0F">
        <w:rPr>
          <w:position w:val="5"/>
          <w:sz w:val="12"/>
        </w:rPr>
        <w:t>42</w:t>
      </w:r>
      <w:r w:rsidR="00033D0F">
        <w:rPr>
          <w:spacing w:val="69"/>
          <w:position w:val="5"/>
          <w:sz w:val="12"/>
        </w:rPr>
        <w:t xml:space="preserve"> </w:t>
      </w:r>
      <w:r w:rsidR="00033D0F">
        <w:rPr>
          <w:sz w:val="18"/>
        </w:rPr>
        <w:t>Australia</w:t>
      </w:r>
      <w:r w:rsidR="00033D0F">
        <w:rPr>
          <w:spacing w:val="40"/>
          <w:sz w:val="18"/>
        </w:rPr>
        <w:t xml:space="preserve"> </w:t>
      </w:r>
      <w:r w:rsidR="00033D0F">
        <w:rPr>
          <w:sz w:val="18"/>
        </w:rPr>
        <w:t>noted</w:t>
      </w:r>
      <w:r w:rsidR="00033D0F">
        <w:rPr>
          <w:spacing w:val="40"/>
          <w:sz w:val="18"/>
        </w:rPr>
        <w:t xml:space="preserve"> </w:t>
      </w:r>
      <w:r w:rsidR="00033D0F">
        <w:rPr>
          <w:sz w:val="18"/>
        </w:rPr>
        <w:t>this</w:t>
      </w:r>
      <w:r w:rsidR="00033D0F">
        <w:rPr>
          <w:spacing w:val="40"/>
          <w:sz w:val="18"/>
        </w:rPr>
        <w:t xml:space="preserve"> </w:t>
      </w:r>
      <w:r w:rsidR="00033D0F">
        <w:rPr>
          <w:sz w:val="18"/>
        </w:rPr>
        <w:t>same</w:t>
      </w:r>
      <w:r w:rsidR="00033D0F">
        <w:rPr>
          <w:spacing w:val="40"/>
          <w:sz w:val="18"/>
        </w:rPr>
        <w:t xml:space="preserve"> </w:t>
      </w:r>
      <w:r w:rsidR="00033D0F">
        <w:rPr>
          <w:sz w:val="18"/>
        </w:rPr>
        <w:t>logical</w:t>
      </w:r>
      <w:r w:rsidR="00033D0F">
        <w:rPr>
          <w:spacing w:val="40"/>
          <w:sz w:val="18"/>
        </w:rPr>
        <w:t xml:space="preserve"> </w:t>
      </w:r>
      <w:r w:rsidR="00033D0F">
        <w:rPr>
          <w:sz w:val="18"/>
        </w:rPr>
        <w:t>conclusion</w:t>
      </w:r>
      <w:r w:rsidR="00033D0F">
        <w:rPr>
          <w:spacing w:val="40"/>
          <w:sz w:val="18"/>
        </w:rPr>
        <w:t xml:space="preserve"> </w:t>
      </w:r>
      <w:r w:rsidR="00033D0F">
        <w:rPr>
          <w:sz w:val="18"/>
        </w:rPr>
        <w:t>in</w:t>
      </w:r>
      <w:r w:rsidR="00033D0F">
        <w:rPr>
          <w:spacing w:val="40"/>
          <w:sz w:val="18"/>
        </w:rPr>
        <w:t xml:space="preserve"> </w:t>
      </w:r>
      <w:r w:rsidR="00033D0F">
        <w:rPr>
          <w:sz w:val="18"/>
        </w:rPr>
        <w:t>its</w:t>
      </w:r>
      <w:r w:rsidR="00033D0F">
        <w:rPr>
          <w:spacing w:val="40"/>
          <w:sz w:val="18"/>
        </w:rPr>
        <w:t xml:space="preserve"> </w:t>
      </w:r>
      <w:r w:rsidR="00033D0F">
        <w:rPr>
          <w:sz w:val="18"/>
        </w:rPr>
        <w:t>response</w:t>
      </w:r>
      <w:r w:rsidR="00033D0F">
        <w:rPr>
          <w:spacing w:val="40"/>
          <w:sz w:val="18"/>
        </w:rPr>
        <w:t xml:space="preserve"> </w:t>
      </w:r>
      <w:r w:rsidR="00033D0F">
        <w:rPr>
          <w:sz w:val="18"/>
        </w:rPr>
        <w:t>to</w:t>
      </w:r>
      <w:r w:rsidR="00033D0F">
        <w:rPr>
          <w:spacing w:val="40"/>
          <w:sz w:val="18"/>
        </w:rPr>
        <w:t xml:space="preserve"> </w:t>
      </w:r>
      <w:r w:rsidR="00033D0F">
        <w:rPr>
          <w:sz w:val="18"/>
        </w:rPr>
        <w:t>China's</w:t>
      </w:r>
      <w:r w:rsidR="00033D0F">
        <w:rPr>
          <w:spacing w:val="40"/>
          <w:sz w:val="18"/>
        </w:rPr>
        <w:t xml:space="preserve"> </w:t>
      </w:r>
      <w:r w:rsidR="00033D0F">
        <w:rPr>
          <w:sz w:val="18"/>
        </w:rPr>
        <w:t>PRR</w:t>
      </w:r>
      <w:r w:rsidR="00033D0F">
        <w:rPr>
          <w:spacing w:val="40"/>
          <w:sz w:val="18"/>
        </w:rPr>
        <w:t xml:space="preserve"> </w:t>
      </w:r>
      <w:r w:rsidR="00033D0F">
        <w:rPr>
          <w:sz w:val="18"/>
        </w:rPr>
        <w:t>regarding</w:t>
      </w:r>
      <w:r w:rsidR="00033D0F">
        <w:rPr>
          <w:spacing w:val="40"/>
          <w:sz w:val="18"/>
        </w:rPr>
        <w:t xml:space="preserve"> </w:t>
      </w:r>
      <w:r w:rsidR="00033D0F">
        <w:rPr>
          <w:sz w:val="18"/>
        </w:rPr>
        <w:t>reasonable</w:t>
      </w:r>
      <w:r w:rsidR="00033D0F">
        <w:rPr>
          <w:spacing w:val="40"/>
          <w:sz w:val="18"/>
        </w:rPr>
        <w:t xml:space="preserve"> </w:t>
      </w:r>
      <w:r w:rsidR="00033D0F">
        <w:rPr>
          <w:sz w:val="18"/>
        </w:rPr>
        <w:t>evolution</w:t>
      </w:r>
      <w:r w:rsidR="00033D0F">
        <w:rPr>
          <w:spacing w:val="40"/>
          <w:sz w:val="18"/>
        </w:rPr>
        <w:t xml:space="preserve"> </w:t>
      </w:r>
      <w:r w:rsidR="00033D0F">
        <w:rPr>
          <w:sz w:val="18"/>
        </w:rPr>
        <w:t>from consultations to panel request: Australia's response to China's PRR, paras. 253-254 and footnotes thereto.</w:t>
      </w:r>
    </w:p>
    <w:p w14:paraId="53545BCF" w14:textId="77777777" w:rsidR="00BD462C" w:rsidRDefault="00033D0F">
      <w:pPr>
        <w:spacing w:line="242" w:lineRule="auto"/>
        <w:ind w:left="136" w:right="912" w:hanging="1"/>
        <w:rPr>
          <w:sz w:val="18"/>
        </w:rPr>
      </w:pPr>
      <w:bookmarkStart w:id="76" w:name="_bookmark62"/>
      <w:bookmarkEnd w:id="76"/>
      <w:r>
        <w:rPr>
          <w:position w:val="5"/>
          <w:sz w:val="12"/>
        </w:rPr>
        <w:t>43</w:t>
      </w:r>
      <w:r>
        <w:rPr>
          <w:spacing w:val="13"/>
          <w:position w:val="5"/>
          <w:sz w:val="12"/>
        </w:rPr>
        <w:t xml:space="preserve"> </w:t>
      </w:r>
      <w:r>
        <w:rPr>
          <w:sz w:val="18"/>
        </w:rPr>
        <w:t>In</w:t>
      </w:r>
      <w:r>
        <w:rPr>
          <w:spacing w:val="-7"/>
          <w:sz w:val="18"/>
        </w:rPr>
        <w:t xml:space="preserve"> </w:t>
      </w:r>
      <w:r>
        <w:rPr>
          <w:sz w:val="18"/>
        </w:rPr>
        <w:t>the</w:t>
      </w:r>
      <w:r>
        <w:rPr>
          <w:spacing w:val="-7"/>
          <w:sz w:val="18"/>
        </w:rPr>
        <w:t xml:space="preserve"> </w:t>
      </w:r>
      <w:r>
        <w:rPr>
          <w:sz w:val="18"/>
        </w:rPr>
        <w:t>current</w:t>
      </w:r>
      <w:r>
        <w:rPr>
          <w:spacing w:val="-6"/>
          <w:sz w:val="18"/>
        </w:rPr>
        <w:t xml:space="preserve"> </w:t>
      </w:r>
      <w:r>
        <w:rPr>
          <w:sz w:val="18"/>
        </w:rPr>
        <w:t>dispute,</w:t>
      </w:r>
      <w:r>
        <w:rPr>
          <w:spacing w:val="-4"/>
          <w:sz w:val="18"/>
        </w:rPr>
        <w:t xml:space="preserve"> </w:t>
      </w:r>
      <w:r>
        <w:rPr>
          <w:sz w:val="18"/>
        </w:rPr>
        <w:t>for</w:t>
      </w:r>
      <w:r>
        <w:rPr>
          <w:spacing w:val="-9"/>
          <w:sz w:val="18"/>
        </w:rPr>
        <w:t xml:space="preserve"> </w:t>
      </w:r>
      <w:r>
        <w:rPr>
          <w:sz w:val="18"/>
        </w:rPr>
        <w:t>example,</w:t>
      </w:r>
      <w:r>
        <w:rPr>
          <w:spacing w:val="-4"/>
          <w:sz w:val="18"/>
        </w:rPr>
        <w:t xml:space="preserve"> </w:t>
      </w:r>
      <w:r>
        <w:rPr>
          <w:sz w:val="18"/>
        </w:rPr>
        <w:t>Australia</w:t>
      </w:r>
      <w:r>
        <w:rPr>
          <w:spacing w:val="-3"/>
          <w:sz w:val="18"/>
        </w:rPr>
        <w:t xml:space="preserve"> </w:t>
      </w:r>
      <w:r>
        <w:rPr>
          <w:sz w:val="18"/>
        </w:rPr>
        <w:t>did</w:t>
      </w:r>
      <w:r>
        <w:rPr>
          <w:spacing w:val="-7"/>
          <w:sz w:val="18"/>
        </w:rPr>
        <w:t xml:space="preserve"> </w:t>
      </w:r>
      <w:r>
        <w:rPr>
          <w:sz w:val="18"/>
        </w:rPr>
        <w:t>exactly</w:t>
      </w:r>
      <w:r>
        <w:rPr>
          <w:spacing w:val="-8"/>
          <w:sz w:val="18"/>
        </w:rPr>
        <w:t xml:space="preserve"> </w:t>
      </w:r>
      <w:r>
        <w:rPr>
          <w:sz w:val="18"/>
        </w:rPr>
        <w:t>this</w:t>
      </w:r>
      <w:r>
        <w:rPr>
          <w:spacing w:val="-7"/>
          <w:sz w:val="18"/>
        </w:rPr>
        <w:t xml:space="preserve"> </w:t>
      </w:r>
      <w:r>
        <w:rPr>
          <w:sz w:val="18"/>
        </w:rPr>
        <w:t>in</w:t>
      </w:r>
      <w:r>
        <w:rPr>
          <w:spacing w:val="-2"/>
          <w:sz w:val="18"/>
        </w:rPr>
        <w:t xml:space="preserve"> </w:t>
      </w:r>
      <w:r>
        <w:rPr>
          <w:sz w:val="18"/>
        </w:rPr>
        <w:t>relation</w:t>
      </w:r>
      <w:r>
        <w:rPr>
          <w:spacing w:val="-7"/>
          <w:sz w:val="18"/>
        </w:rPr>
        <w:t xml:space="preserve"> </w:t>
      </w:r>
      <w:r>
        <w:rPr>
          <w:sz w:val="18"/>
        </w:rPr>
        <w:t>to</w:t>
      </w:r>
      <w:r>
        <w:rPr>
          <w:spacing w:val="-8"/>
          <w:sz w:val="18"/>
        </w:rPr>
        <w:t xml:space="preserve"> </w:t>
      </w:r>
      <w:r>
        <w:rPr>
          <w:sz w:val="18"/>
        </w:rPr>
        <w:t>its</w:t>
      </w:r>
      <w:r>
        <w:rPr>
          <w:spacing w:val="-1"/>
          <w:sz w:val="18"/>
        </w:rPr>
        <w:t xml:space="preserve"> </w:t>
      </w:r>
      <w:r>
        <w:rPr>
          <w:sz w:val="18"/>
        </w:rPr>
        <w:t>claim</w:t>
      </w:r>
      <w:r>
        <w:rPr>
          <w:spacing w:val="-3"/>
          <w:sz w:val="18"/>
        </w:rPr>
        <w:t xml:space="preserve"> </w:t>
      </w:r>
      <w:r>
        <w:rPr>
          <w:sz w:val="18"/>
        </w:rPr>
        <w:t>under</w:t>
      </w:r>
      <w:r>
        <w:rPr>
          <w:spacing w:val="-9"/>
          <w:sz w:val="18"/>
        </w:rPr>
        <w:t xml:space="preserve"> </w:t>
      </w:r>
      <w:r>
        <w:rPr>
          <w:sz w:val="18"/>
        </w:rPr>
        <w:t>Article</w:t>
      </w:r>
      <w:r>
        <w:rPr>
          <w:spacing w:val="-1"/>
          <w:sz w:val="18"/>
        </w:rPr>
        <w:t xml:space="preserve"> </w:t>
      </w:r>
      <w:r>
        <w:rPr>
          <w:sz w:val="18"/>
        </w:rPr>
        <w:t>2.3</w:t>
      </w:r>
      <w:r>
        <w:rPr>
          <w:spacing w:val="-9"/>
          <w:sz w:val="18"/>
        </w:rPr>
        <w:t xml:space="preserve"> </w:t>
      </w:r>
      <w:r>
        <w:rPr>
          <w:sz w:val="18"/>
        </w:rPr>
        <w:t>upon</w:t>
      </w:r>
      <w:r>
        <w:rPr>
          <w:spacing w:val="-2"/>
          <w:sz w:val="18"/>
        </w:rPr>
        <w:t xml:space="preserve"> </w:t>
      </w:r>
      <w:r>
        <w:rPr>
          <w:sz w:val="18"/>
        </w:rPr>
        <w:t>establishing</w:t>
      </w:r>
      <w:r>
        <w:rPr>
          <w:spacing w:val="-2"/>
          <w:sz w:val="18"/>
        </w:rPr>
        <w:t xml:space="preserve"> </w:t>
      </w:r>
      <w:r>
        <w:rPr>
          <w:sz w:val="18"/>
        </w:rPr>
        <w:t xml:space="preserve">that MOFCOM had not </w:t>
      </w:r>
      <w:proofErr w:type="spellStart"/>
      <w:r>
        <w:rPr>
          <w:sz w:val="18"/>
        </w:rPr>
        <w:t>utilised</w:t>
      </w:r>
      <w:proofErr w:type="spellEnd"/>
      <w:r>
        <w:rPr>
          <w:sz w:val="18"/>
        </w:rPr>
        <w:t xml:space="preserve"> the method for constructing export price under Article 2.3.</w:t>
      </w:r>
    </w:p>
    <w:p w14:paraId="6652EC76" w14:textId="77777777" w:rsidR="00BD462C" w:rsidRDefault="00033D0F">
      <w:pPr>
        <w:spacing w:line="217" w:lineRule="exact"/>
        <w:ind w:left="135"/>
        <w:rPr>
          <w:sz w:val="18"/>
        </w:rPr>
      </w:pPr>
      <w:bookmarkStart w:id="77" w:name="_bookmark63"/>
      <w:bookmarkEnd w:id="77"/>
      <w:r>
        <w:rPr>
          <w:position w:val="5"/>
          <w:sz w:val="12"/>
        </w:rPr>
        <w:t>44</w:t>
      </w:r>
      <w:r>
        <w:rPr>
          <w:spacing w:val="14"/>
          <w:position w:val="5"/>
          <w:sz w:val="12"/>
        </w:rPr>
        <w:t xml:space="preserve"> </w:t>
      </w:r>
      <w:r>
        <w:rPr>
          <w:sz w:val="18"/>
        </w:rPr>
        <w:t>Appellate</w:t>
      </w:r>
      <w:r>
        <w:rPr>
          <w:spacing w:val="-9"/>
          <w:sz w:val="18"/>
        </w:rPr>
        <w:t xml:space="preserve"> </w:t>
      </w:r>
      <w:r>
        <w:rPr>
          <w:sz w:val="18"/>
        </w:rPr>
        <w:t>Body</w:t>
      </w:r>
      <w:r>
        <w:rPr>
          <w:spacing w:val="-6"/>
          <w:sz w:val="18"/>
        </w:rPr>
        <w:t xml:space="preserve"> </w:t>
      </w:r>
      <w:r>
        <w:rPr>
          <w:sz w:val="18"/>
        </w:rPr>
        <w:t>Report,</w:t>
      </w:r>
      <w:r>
        <w:rPr>
          <w:spacing w:val="-2"/>
          <w:sz w:val="18"/>
        </w:rPr>
        <w:t xml:space="preserve"> </w:t>
      </w:r>
      <w:r>
        <w:rPr>
          <w:i/>
          <w:sz w:val="18"/>
        </w:rPr>
        <w:t>Korea</w:t>
      </w:r>
      <w:r>
        <w:rPr>
          <w:i/>
          <w:spacing w:val="-4"/>
          <w:sz w:val="18"/>
        </w:rPr>
        <w:t xml:space="preserve"> </w:t>
      </w:r>
      <w:r>
        <w:rPr>
          <w:i/>
          <w:sz w:val="18"/>
        </w:rPr>
        <w:t>–</w:t>
      </w:r>
      <w:r>
        <w:rPr>
          <w:i/>
          <w:spacing w:val="-4"/>
          <w:sz w:val="18"/>
        </w:rPr>
        <w:t xml:space="preserve"> </w:t>
      </w:r>
      <w:r>
        <w:rPr>
          <w:i/>
          <w:sz w:val="18"/>
        </w:rPr>
        <w:t>Pneumatic</w:t>
      </w:r>
      <w:r>
        <w:rPr>
          <w:i/>
          <w:spacing w:val="-4"/>
          <w:sz w:val="18"/>
        </w:rPr>
        <w:t xml:space="preserve"> </w:t>
      </w:r>
      <w:r>
        <w:rPr>
          <w:i/>
          <w:sz w:val="18"/>
        </w:rPr>
        <w:t>Valves</w:t>
      </w:r>
      <w:r>
        <w:rPr>
          <w:sz w:val="18"/>
        </w:rPr>
        <w:t>,</w:t>
      </w:r>
      <w:r>
        <w:rPr>
          <w:spacing w:val="2"/>
          <w:sz w:val="18"/>
        </w:rPr>
        <w:t xml:space="preserve"> </w:t>
      </w:r>
      <w:r>
        <w:rPr>
          <w:sz w:val="18"/>
        </w:rPr>
        <w:t>para.</w:t>
      </w:r>
      <w:r>
        <w:rPr>
          <w:spacing w:val="1"/>
          <w:sz w:val="18"/>
        </w:rPr>
        <w:t xml:space="preserve"> </w:t>
      </w:r>
      <w:r>
        <w:rPr>
          <w:spacing w:val="-4"/>
          <w:sz w:val="18"/>
        </w:rPr>
        <w:t>5.6.</w:t>
      </w:r>
    </w:p>
    <w:p w14:paraId="16466A06" w14:textId="77777777" w:rsidR="00BD462C" w:rsidRDefault="00033D0F">
      <w:pPr>
        <w:ind w:left="135"/>
        <w:rPr>
          <w:sz w:val="18"/>
        </w:rPr>
      </w:pPr>
      <w:bookmarkStart w:id="78" w:name="_bookmark64"/>
      <w:bookmarkEnd w:id="78"/>
      <w:r>
        <w:rPr>
          <w:position w:val="5"/>
          <w:sz w:val="12"/>
        </w:rPr>
        <w:t>45</w:t>
      </w:r>
      <w:r>
        <w:rPr>
          <w:spacing w:val="12"/>
          <w:position w:val="5"/>
          <w:sz w:val="12"/>
        </w:rPr>
        <w:t xml:space="preserve"> </w:t>
      </w:r>
      <w:r>
        <w:rPr>
          <w:sz w:val="18"/>
        </w:rPr>
        <w:t>China's</w:t>
      </w:r>
      <w:r>
        <w:rPr>
          <w:spacing w:val="-6"/>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 paras.</w:t>
      </w:r>
      <w:r>
        <w:rPr>
          <w:spacing w:val="-5"/>
          <w:sz w:val="18"/>
        </w:rPr>
        <w:t xml:space="preserve"> </w:t>
      </w:r>
      <w:r>
        <w:rPr>
          <w:sz w:val="18"/>
        </w:rPr>
        <w:t>138-</w:t>
      </w:r>
      <w:r>
        <w:rPr>
          <w:spacing w:val="-4"/>
          <w:sz w:val="18"/>
        </w:rPr>
        <w:t>159.</w:t>
      </w:r>
    </w:p>
    <w:p w14:paraId="265E2506" w14:textId="77777777" w:rsidR="00BD462C" w:rsidRDefault="00033D0F">
      <w:pPr>
        <w:ind w:left="135"/>
        <w:rPr>
          <w:sz w:val="18"/>
        </w:rPr>
      </w:pPr>
      <w:bookmarkStart w:id="79" w:name="_bookmark65"/>
      <w:bookmarkEnd w:id="79"/>
      <w:r>
        <w:rPr>
          <w:position w:val="5"/>
          <w:sz w:val="12"/>
        </w:rPr>
        <w:t>46</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para.</w:t>
      </w:r>
      <w:r>
        <w:rPr>
          <w:spacing w:val="-1"/>
          <w:sz w:val="18"/>
        </w:rPr>
        <w:t xml:space="preserve"> </w:t>
      </w:r>
      <w:r>
        <w:rPr>
          <w:spacing w:val="-4"/>
          <w:sz w:val="18"/>
        </w:rPr>
        <w:t>141.</w:t>
      </w:r>
    </w:p>
    <w:p w14:paraId="04BF1D8B" w14:textId="77777777" w:rsidR="00BD462C" w:rsidRDefault="00BD462C">
      <w:pPr>
        <w:rPr>
          <w:sz w:val="18"/>
        </w:rPr>
        <w:sectPr w:rsidR="00BD462C">
          <w:pgSz w:w="11910" w:h="16840"/>
          <w:pgMar w:top="860" w:right="500" w:bottom="780" w:left="1280" w:header="566" w:footer="590" w:gutter="0"/>
          <w:cols w:space="720"/>
        </w:sectPr>
      </w:pPr>
    </w:p>
    <w:p w14:paraId="32DD001D"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635A2F3A"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15D2A3FB"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4CE99AD7" w14:textId="77777777" w:rsidR="00BD462C" w:rsidRDefault="00033D0F">
      <w:pPr>
        <w:pStyle w:val="BodyText"/>
        <w:spacing w:before="102"/>
        <w:ind w:left="135"/>
      </w:pPr>
      <w:r>
        <w:t>third</w:t>
      </w:r>
      <w:r>
        <w:rPr>
          <w:spacing w:val="-7"/>
        </w:rPr>
        <w:t xml:space="preserve"> </w:t>
      </w:r>
      <w:r>
        <w:t>and</w:t>
      </w:r>
      <w:r>
        <w:rPr>
          <w:spacing w:val="-2"/>
        </w:rPr>
        <w:t xml:space="preserve"> </w:t>
      </w:r>
      <w:r>
        <w:t>fourth</w:t>
      </w:r>
      <w:r>
        <w:rPr>
          <w:spacing w:val="-2"/>
        </w:rPr>
        <w:t xml:space="preserve"> </w:t>
      </w:r>
      <w:r>
        <w:t>"grounds"</w:t>
      </w:r>
      <w:r>
        <w:rPr>
          <w:spacing w:val="-1"/>
        </w:rPr>
        <w:t xml:space="preserve"> </w:t>
      </w:r>
      <w:r>
        <w:t>that</w:t>
      </w:r>
      <w:r>
        <w:rPr>
          <w:spacing w:val="-5"/>
        </w:rPr>
        <w:t xml:space="preserve"> </w:t>
      </w:r>
      <w:r>
        <w:t>Australia</w:t>
      </w:r>
      <w:r>
        <w:rPr>
          <w:spacing w:val="-6"/>
        </w:rPr>
        <w:t xml:space="preserve"> </w:t>
      </w:r>
      <w:r>
        <w:t>either:</w:t>
      </w:r>
      <w:r>
        <w:rPr>
          <w:spacing w:val="-3"/>
        </w:rPr>
        <w:t xml:space="preserve"> </w:t>
      </w:r>
      <w:r>
        <w:t>(i)</w:t>
      </w:r>
      <w:r>
        <w:rPr>
          <w:spacing w:val="-6"/>
        </w:rPr>
        <w:t xml:space="preserve"> </w:t>
      </w:r>
      <w:r>
        <w:t>altered</w:t>
      </w:r>
      <w:r>
        <w:rPr>
          <w:spacing w:val="-7"/>
        </w:rPr>
        <w:t xml:space="preserve"> </w:t>
      </w:r>
      <w:r>
        <w:t>the "legal</w:t>
      </w:r>
      <w:r>
        <w:rPr>
          <w:spacing w:val="-3"/>
        </w:rPr>
        <w:t xml:space="preserve"> </w:t>
      </w:r>
      <w:r>
        <w:t>basis"</w:t>
      </w:r>
      <w:r>
        <w:rPr>
          <w:spacing w:val="-6"/>
        </w:rPr>
        <w:t xml:space="preserve"> </w:t>
      </w:r>
      <w:r>
        <w:t>for</w:t>
      </w:r>
      <w:r>
        <w:rPr>
          <w:spacing w:val="-8"/>
        </w:rPr>
        <w:t xml:space="preserve"> </w:t>
      </w:r>
      <w:r>
        <w:t>its</w:t>
      </w:r>
      <w:r>
        <w:rPr>
          <w:spacing w:val="-4"/>
        </w:rPr>
        <w:t xml:space="preserve"> </w:t>
      </w:r>
      <w:r>
        <w:t>claims;</w:t>
      </w:r>
      <w:hyperlink w:anchor="_bookmark67" w:history="1">
        <w:r>
          <w:rPr>
            <w:vertAlign w:val="superscript"/>
          </w:rPr>
          <w:t>47</w:t>
        </w:r>
      </w:hyperlink>
      <w:r>
        <w:rPr>
          <w:spacing w:val="-4"/>
        </w:rPr>
        <w:t xml:space="preserve"> </w:t>
      </w:r>
      <w:r>
        <w:rPr>
          <w:spacing w:val="-5"/>
        </w:rPr>
        <w:t>or</w:t>
      </w:r>
    </w:p>
    <w:p w14:paraId="38E60EF6" w14:textId="77777777" w:rsidR="00BD462C" w:rsidRDefault="00033D0F">
      <w:pPr>
        <w:pStyle w:val="BodyText"/>
        <w:spacing w:before="144" w:line="362" w:lineRule="auto"/>
        <w:ind w:left="136"/>
      </w:pPr>
      <w:r>
        <w:t>(ii)</w:t>
      </w:r>
      <w:r>
        <w:rPr>
          <w:spacing w:val="30"/>
        </w:rPr>
        <w:t xml:space="preserve"> </w:t>
      </w:r>
      <w:r>
        <w:t>did</w:t>
      </w:r>
      <w:r>
        <w:rPr>
          <w:spacing w:val="29"/>
        </w:rPr>
        <w:t xml:space="preserve"> </w:t>
      </w:r>
      <w:r>
        <w:t>not</w:t>
      </w:r>
      <w:r>
        <w:rPr>
          <w:spacing w:val="32"/>
        </w:rPr>
        <w:t xml:space="preserve"> </w:t>
      </w:r>
      <w:r>
        <w:t>establish</w:t>
      </w:r>
      <w:r>
        <w:rPr>
          <w:spacing w:val="29"/>
        </w:rPr>
        <w:t xml:space="preserve"> </w:t>
      </w:r>
      <w:r>
        <w:t>in</w:t>
      </w:r>
      <w:r>
        <w:rPr>
          <w:spacing w:val="29"/>
        </w:rPr>
        <w:t xml:space="preserve"> </w:t>
      </w:r>
      <w:r>
        <w:t>its</w:t>
      </w:r>
      <w:r>
        <w:rPr>
          <w:spacing w:val="33"/>
        </w:rPr>
        <w:t xml:space="preserve"> </w:t>
      </w:r>
      <w:r>
        <w:t>panel</w:t>
      </w:r>
      <w:r>
        <w:rPr>
          <w:spacing w:val="28"/>
        </w:rPr>
        <w:t xml:space="preserve"> </w:t>
      </w:r>
      <w:r>
        <w:t>request</w:t>
      </w:r>
      <w:r>
        <w:rPr>
          <w:spacing w:val="32"/>
        </w:rPr>
        <w:t xml:space="preserve"> </w:t>
      </w:r>
      <w:r>
        <w:t>a</w:t>
      </w:r>
      <w:r>
        <w:rPr>
          <w:spacing w:val="31"/>
        </w:rPr>
        <w:t xml:space="preserve"> </w:t>
      </w:r>
      <w:r>
        <w:t>legal</w:t>
      </w:r>
      <w:r>
        <w:rPr>
          <w:spacing w:val="24"/>
        </w:rPr>
        <w:t xml:space="preserve"> </w:t>
      </w:r>
      <w:r>
        <w:t>basis</w:t>
      </w:r>
      <w:r>
        <w:rPr>
          <w:spacing w:val="33"/>
        </w:rPr>
        <w:t xml:space="preserve"> </w:t>
      </w:r>
      <w:r>
        <w:t>for</w:t>
      </w:r>
      <w:r>
        <w:rPr>
          <w:spacing w:val="28"/>
        </w:rPr>
        <w:t xml:space="preserve"> </w:t>
      </w:r>
      <w:r>
        <w:t>certain</w:t>
      </w:r>
      <w:r>
        <w:rPr>
          <w:spacing w:val="29"/>
        </w:rPr>
        <w:t xml:space="preserve"> </w:t>
      </w:r>
      <w:r>
        <w:t>claims</w:t>
      </w:r>
      <w:r>
        <w:rPr>
          <w:spacing w:val="28"/>
        </w:rPr>
        <w:t xml:space="preserve"> </w:t>
      </w:r>
      <w:r>
        <w:t>in</w:t>
      </w:r>
      <w:r>
        <w:rPr>
          <w:spacing w:val="29"/>
        </w:rPr>
        <w:t xml:space="preserve"> </w:t>
      </w:r>
      <w:r>
        <w:t>its</w:t>
      </w:r>
      <w:r>
        <w:rPr>
          <w:spacing w:val="33"/>
        </w:rPr>
        <w:t xml:space="preserve"> </w:t>
      </w:r>
      <w:r>
        <w:t>first</w:t>
      </w:r>
      <w:r>
        <w:rPr>
          <w:spacing w:val="27"/>
        </w:rPr>
        <w:t xml:space="preserve"> </w:t>
      </w:r>
      <w:r>
        <w:t>written submission.</w:t>
      </w:r>
      <w:r>
        <w:rPr>
          <w:spacing w:val="-22"/>
        </w:rPr>
        <w:t xml:space="preserve"> </w:t>
      </w:r>
      <w:hyperlink w:anchor="_bookmark68" w:history="1">
        <w:r>
          <w:rPr>
            <w:vertAlign w:val="superscript"/>
          </w:rPr>
          <w:t>48</w:t>
        </w:r>
      </w:hyperlink>
      <w:r>
        <w:t xml:space="preserve"> These assertions are incorrect.</w:t>
      </w:r>
    </w:p>
    <w:p w14:paraId="6CD8B993" w14:textId="77777777" w:rsidR="00BD462C" w:rsidRDefault="00BD462C">
      <w:pPr>
        <w:pStyle w:val="BodyText"/>
        <w:spacing w:before="8"/>
        <w:rPr>
          <w:sz w:val="8"/>
        </w:rPr>
      </w:pPr>
    </w:p>
    <w:p w14:paraId="51541DCF" w14:textId="082D4FCA" w:rsidR="00BD462C" w:rsidRDefault="00033D0F" w:rsidP="00C65BAF">
      <w:pPr>
        <w:pStyle w:val="BodyText"/>
        <w:numPr>
          <w:ilvl w:val="0"/>
          <w:numId w:val="68"/>
        </w:numPr>
        <w:spacing w:before="56" w:line="357" w:lineRule="auto"/>
        <w:ind w:right="915"/>
        <w:jc w:val="both"/>
      </w:pPr>
      <w:r>
        <w:rPr>
          <w:position w:val="1"/>
        </w:rPr>
        <w:t xml:space="preserve">Australia reiterates that the "legal basis" of the complaint is, in the words of the </w:t>
      </w:r>
      <w:r>
        <w:t>Appellate Body, "the claims underlying this complaint and not the arguments in support thereof."</w:t>
      </w:r>
      <w:r>
        <w:rPr>
          <w:spacing w:val="-14"/>
        </w:rPr>
        <w:t xml:space="preserve"> </w:t>
      </w:r>
      <w:hyperlink w:anchor="_bookmark69" w:history="1">
        <w:r>
          <w:rPr>
            <w:vertAlign w:val="superscript"/>
          </w:rPr>
          <w:t>49</w:t>
        </w:r>
      </w:hyperlink>
      <w:r>
        <w:rPr>
          <w:spacing w:val="-14"/>
        </w:rPr>
        <w:t xml:space="preserve"> </w:t>
      </w:r>
      <w:r>
        <w:t>Accordingly,</w:t>
      </w:r>
      <w:r>
        <w:rPr>
          <w:spacing w:val="-12"/>
        </w:rPr>
        <w:t xml:space="preserve"> </w:t>
      </w:r>
      <w:r>
        <w:t>Australia</w:t>
      </w:r>
      <w:r>
        <w:rPr>
          <w:spacing w:val="-7"/>
        </w:rPr>
        <w:t xml:space="preserve"> </w:t>
      </w:r>
      <w:r>
        <w:t>addresses</w:t>
      </w:r>
      <w:r>
        <w:rPr>
          <w:spacing w:val="-5"/>
        </w:rPr>
        <w:t xml:space="preserve"> </w:t>
      </w:r>
      <w:r>
        <w:t>China's</w:t>
      </w:r>
      <w:r>
        <w:rPr>
          <w:spacing w:val="-5"/>
        </w:rPr>
        <w:t xml:space="preserve"> </w:t>
      </w:r>
      <w:r>
        <w:t>assertions</w:t>
      </w:r>
      <w:r>
        <w:rPr>
          <w:spacing w:val="-5"/>
        </w:rPr>
        <w:t xml:space="preserve"> </w:t>
      </w:r>
      <w:r>
        <w:t>in</w:t>
      </w:r>
      <w:r>
        <w:rPr>
          <w:spacing w:val="-8"/>
        </w:rPr>
        <w:t xml:space="preserve"> </w:t>
      </w:r>
      <w:r>
        <w:t>relation</w:t>
      </w:r>
      <w:r>
        <w:rPr>
          <w:spacing w:val="-8"/>
        </w:rPr>
        <w:t xml:space="preserve"> </w:t>
      </w:r>
      <w:r>
        <w:t>to</w:t>
      </w:r>
      <w:r>
        <w:rPr>
          <w:spacing w:val="-9"/>
        </w:rPr>
        <w:t xml:space="preserve"> </w:t>
      </w:r>
      <w:r>
        <w:t>an</w:t>
      </w:r>
      <w:r>
        <w:rPr>
          <w:spacing w:val="-3"/>
        </w:rPr>
        <w:t xml:space="preserve"> </w:t>
      </w:r>
      <w:r>
        <w:t>alleged</w:t>
      </w:r>
      <w:r>
        <w:rPr>
          <w:spacing w:val="-8"/>
        </w:rPr>
        <w:t xml:space="preserve"> </w:t>
      </w:r>
      <w:r>
        <w:t>failure to provide a "legal basis" and "claim" together.</w:t>
      </w:r>
    </w:p>
    <w:p w14:paraId="23086D23" w14:textId="77777777" w:rsidR="00BD462C" w:rsidRDefault="00BD462C">
      <w:pPr>
        <w:pStyle w:val="BodyText"/>
        <w:spacing w:before="3"/>
        <w:rPr>
          <w:sz w:val="9"/>
        </w:rPr>
      </w:pPr>
    </w:p>
    <w:p w14:paraId="154F9083" w14:textId="140D658D" w:rsidR="00BD462C" w:rsidRDefault="00033D0F" w:rsidP="00C65BAF">
      <w:pPr>
        <w:pStyle w:val="BodyText"/>
        <w:numPr>
          <w:ilvl w:val="0"/>
          <w:numId w:val="68"/>
        </w:numPr>
        <w:spacing w:before="56" w:line="360" w:lineRule="auto"/>
        <w:ind w:right="914"/>
        <w:jc w:val="both"/>
      </w:pPr>
      <w:r>
        <w:rPr>
          <w:position w:val="1"/>
        </w:rPr>
        <w:t>At</w:t>
      </w:r>
      <w:r>
        <w:rPr>
          <w:spacing w:val="-6"/>
          <w:position w:val="1"/>
        </w:rPr>
        <w:t xml:space="preserve"> </w:t>
      </w:r>
      <w:r>
        <w:rPr>
          <w:position w:val="1"/>
        </w:rPr>
        <w:t>no</w:t>
      </w:r>
      <w:r>
        <w:rPr>
          <w:spacing w:val="-9"/>
          <w:position w:val="1"/>
        </w:rPr>
        <w:t xml:space="preserve"> </w:t>
      </w:r>
      <w:r>
        <w:rPr>
          <w:position w:val="1"/>
        </w:rPr>
        <w:t>point</w:t>
      </w:r>
      <w:r>
        <w:rPr>
          <w:spacing w:val="-6"/>
          <w:position w:val="1"/>
        </w:rPr>
        <w:t xml:space="preserve"> </w:t>
      </w:r>
      <w:r>
        <w:rPr>
          <w:position w:val="1"/>
        </w:rPr>
        <w:t>does</w:t>
      </w:r>
      <w:r>
        <w:rPr>
          <w:spacing w:val="-5"/>
          <w:position w:val="1"/>
        </w:rPr>
        <w:t xml:space="preserve"> </w:t>
      </w:r>
      <w:r>
        <w:rPr>
          <w:position w:val="1"/>
        </w:rPr>
        <w:t>Australia</w:t>
      </w:r>
      <w:r>
        <w:rPr>
          <w:spacing w:val="-7"/>
          <w:position w:val="1"/>
        </w:rPr>
        <w:t xml:space="preserve"> </w:t>
      </w:r>
      <w:r>
        <w:rPr>
          <w:position w:val="1"/>
        </w:rPr>
        <w:t>adduce</w:t>
      </w:r>
      <w:r>
        <w:rPr>
          <w:spacing w:val="-6"/>
          <w:position w:val="1"/>
        </w:rPr>
        <w:t xml:space="preserve"> </w:t>
      </w:r>
      <w:r>
        <w:rPr>
          <w:position w:val="1"/>
        </w:rPr>
        <w:t>a</w:t>
      </w:r>
      <w:r>
        <w:rPr>
          <w:spacing w:val="-2"/>
          <w:position w:val="1"/>
        </w:rPr>
        <w:t xml:space="preserve"> </w:t>
      </w:r>
      <w:r>
        <w:rPr>
          <w:position w:val="1"/>
        </w:rPr>
        <w:t>new</w:t>
      </w:r>
      <w:r>
        <w:rPr>
          <w:spacing w:val="-6"/>
          <w:position w:val="1"/>
        </w:rPr>
        <w:t xml:space="preserve"> </w:t>
      </w:r>
      <w:r>
        <w:rPr>
          <w:position w:val="1"/>
        </w:rPr>
        <w:t>claim</w:t>
      </w:r>
      <w:r>
        <w:rPr>
          <w:spacing w:val="-6"/>
          <w:position w:val="1"/>
        </w:rPr>
        <w:t xml:space="preserve"> </w:t>
      </w:r>
      <w:r>
        <w:rPr>
          <w:position w:val="1"/>
        </w:rPr>
        <w:t>in</w:t>
      </w:r>
      <w:r>
        <w:rPr>
          <w:spacing w:val="-8"/>
          <w:position w:val="1"/>
        </w:rPr>
        <w:t xml:space="preserve"> </w:t>
      </w:r>
      <w:r>
        <w:rPr>
          <w:position w:val="1"/>
        </w:rPr>
        <w:t>its</w:t>
      </w:r>
      <w:r>
        <w:rPr>
          <w:spacing w:val="-5"/>
          <w:position w:val="1"/>
        </w:rPr>
        <w:t xml:space="preserve"> </w:t>
      </w:r>
      <w:r>
        <w:rPr>
          <w:position w:val="1"/>
        </w:rPr>
        <w:t>first</w:t>
      </w:r>
      <w:r>
        <w:rPr>
          <w:spacing w:val="-6"/>
          <w:position w:val="1"/>
        </w:rPr>
        <w:t xml:space="preserve"> </w:t>
      </w:r>
      <w:r>
        <w:rPr>
          <w:position w:val="1"/>
        </w:rPr>
        <w:t>written</w:t>
      </w:r>
      <w:r>
        <w:rPr>
          <w:spacing w:val="-8"/>
          <w:position w:val="1"/>
        </w:rPr>
        <w:t xml:space="preserve"> </w:t>
      </w:r>
      <w:r>
        <w:rPr>
          <w:position w:val="1"/>
        </w:rPr>
        <w:t>submission</w:t>
      </w:r>
      <w:r>
        <w:rPr>
          <w:spacing w:val="-7"/>
          <w:position w:val="1"/>
        </w:rPr>
        <w:t xml:space="preserve"> </w:t>
      </w:r>
      <w:r>
        <w:rPr>
          <w:position w:val="1"/>
        </w:rPr>
        <w:t>nor</w:t>
      </w:r>
      <w:r>
        <w:rPr>
          <w:spacing w:val="-9"/>
          <w:position w:val="1"/>
        </w:rPr>
        <w:t xml:space="preserve"> </w:t>
      </w:r>
      <w:r>
        <w:rPr>
          <w:position w:val="1"/>
        </w:rPr>
        <w:t xml:space="preserve">alter </w:t>
      </w:r>
      <w:r>
        <w:t>the "legal basis" of the complaint as set out in its panel request.</w:t>
      </w:r>
      <w:hyperlink w:anchor="_bookmark70" w:history="1">
        <w:r>
          <w:rPr>
            <w:vertAlign w:val="superscript"/>
          </w:rPr>
          <w:t>50</w:t>
        </w:r>
      </w:hyperlink>
      <w:r>
        <w:t xml:space="preserve"> Australia has, however, brought</w:t>
      </w:r>
      <w:r>
        <w:rPr>
          <w:spacing w:val="-7"/>
        </w:rPr>
        <w:t xml:space="preserve"> </w:t>
      </w:r>
      <w:r>
        <w:t>forward</w:t>
      </w:r>
      <w:r>
        <w:rPr>
          <w:spacing w:val="-10"/>
        </w:rPr>
        <w:t xml:space="preserve"> </w:t>
      </w:r>
      <w:r>
        <w:rPr>
          <w:i/>
        </w:rPr>
        <w:t>arguments</w:t>
      </w:r>
      <w:r>
        <w:rPr>
          <w:i/>
          <w:spacing w:val="-11"/>
        </w:rPr>
        <w:t xml:space="preserve"> </w:t>
      </w:r>
      <w:r>
        <w:t>to</w:t>
      </w:r>
      <w:r>
        <w:rPr>
          <w:spacing w:val="-10"/>
        </w:rPr>
        <w:t xml:space="preserve"> </w:t>
      </w:r>
      <w:r>
        <w:t>demonstrate</w:t>
      </w:r>
      <w:r>
        <w:rPr>
          <w:spacing w:val="-8"/>
        </w:rPr>
        <w:t xml:space="preserve"> </w:t>
      </w:r>
      <w:r>
        <w:t>its</w:t>
      </w:r>
      <w:r>
        <w:rPr>
          <w:spacing w:val="-11"/>
        </w:rPr>
        <w:t xml:space="preserve"> </w:t>
      </w:r>
      <w:r>
        <w:rPr>
          <w:i/>
        </w:rPr>
        <w:t>prima</w:t>
      </w:r>
      <w:r>
        <w:rPr>
          <w:i/>
          <w:spacing w:val="-7"/>
        </w:rPr>
        <w:t xml:space="preserve"> </w:t>
      </w:r>
      <w:r>
        <w:rPr>
          <w:i/>
        </w:rPr>
        <w:t>facie</w:t>
      </w:r>
      <w:r>
        <w:rPr>
          <w:i/>
          <w:spacing w:val="-8"/>
        </w:rPr>
        <w:t xml:space="preserve"> </w:t>
      </w:r>
      <w:r>
        <w:t>case</w:t>
      </w:r>
      <w:r>
        <w:rPr>
          <w:spacing w:val="-13"/>
        </w:rPr>
        <w:t xml:space="preserve"> </w:t>
      </w:r>
      <w:r>
        <w:t>in</w:t>
      </w:r>
      <w:r>
        <w:rPr>
          <w:spacing w:val="-10"/>
        </w:rPr>
        <w:t xml:space="preserve"> </w:t>
      </w:r>
      <w:r>
        <w:t>its</w:t>
      </w:r>
      <w:r>
        <w:rPr>
          <w:spacing w:val="-7"/>
        </w:rPr>
        <w:t xml:space="preserve"> </w:t>
      </w:r>
      <w:r>
        <w:t>first</w:t>
      </w:r>
      <w:r>
        <w:rPr>
          <w:spacing w:val="-8"/>
        </w:rPr>
        <w:t xml:space="preserve"> </w:t>
      </w:r>
      <w:r>
        <w:t>written</w:t>
      </w:r>
      <w:r>
        <w:rPr>
          <w:spacing w:val="-10"/>
        </w:rPr>
        <w:t xml:space="preserve"> </w:t>
      </w:r>
      <w:r>
        <w:t>submission, as</w:t>
      </w:r>
      <w:r>
        <w:rPr>
          <w:spacing w:val="-14"/>
        </w:rPr>
        <w:t xml:space="preserve"> </w:t>
      </w:r>
      <w:r>
        <w:t>it</w:t>
      </w:r>
      <w:r>
        <w:rPr>
          <w:spacing w:val="-7"/>
        </w:rPr>
        <w:t xml:space="preserve"> </w:t>
      </w:r>
      <w:r>
        <w:t>is</w:t>
      </w:r>
      <w:r>
        <w:rPr>
          <w:spacing w:val="-1"/>
        </w:rPr>
        <w:t xml:space="preserve"> </w:t>
      </w:r>
      <w:r>
        <w:t>obliged</w:t>
      </w:r>
      <w:r>
        <w:rPr>
          <w:spacing w:val="-4"/>
        </w:rPr>
        <w:t xml:space="preserve"> </w:t>
      </w:r>
      <w:r>
        <w:t>to</w:t>
      </w:r>
      <w:r>
        <w:rPr>
          <w:spacing w:val="-5"/>
        </w:rPr>
        <w:t xml:space="preserve"> </w:t>
      </w:r>
      <w:r>
        <w:t>do.</w:t>
      </w:r>
      <w:r>
        <w:rPr>
          <w:spacing w:val="-1"/>
        </w:rPr>
        <w:t xml:space="preserve"> </w:t>
      </w:r>
      <w:r>
        <w:t>China consistently</w:t>
      </w:r>
      <w:r>
        <w:rPr>
          <w:spacing w:val="-1"/>
        </w:rPr>
        <w:t xml:space="preserve"> </w:t>
      </w:r>
      <w:proofErr w:type="spellStart"/>
      <w:r>
        <w:t>mischaracterises</w:t>
      </w:r>
      <w:proofErr w:type="spellEnd"/>
      <w:r>
        <w:rPr>
          <w:spacing w:val="-1"/>
        </w:rPr>
        <w:t xml:space="preserve"> </w:t>
      </w:r>
      <w:r>
        <w:t>these</w:t>
      </w:r>
      <w:r>
        <w:rPr>
          <w:spacing w:val="-2"/>
        </w:rPr>
        <w:t xml:space="preserve"> </w:t>
      </w:r>
      <w:r>
        <w:t>arguments</w:t>
      </w:r>
      <w:r>
        <w:rPr>
          <w:spacing w:val="-1"/>
        </w:rPr>
        <w:t xml:space="preserve"> </w:t>
      </w:r>
      <w:r>
        <w:t>as</w:t>
      </w:r>
      <w:r>
        <w:rPr>
          <w:spacing w:val="-1"/>
        </w:rPr>
        <w:t xml:space="preserve"> </w:t>
      </w:r>
      <w:r>
        <w:t>"new</w:t>
      </w:r>
      <w:r>
        <w:rPr>
          <w:spacing w:val="-2"/>
        </w:rPr>
        <w:t xml:space="preserve"> </w:t>
      </w:r>
      <w:r>
        <w:t>claims".</w:t>
      </w:r>
      <w:r>
        <w:rPr>
          <w:spacing w:val="-14"/>
        </w:rPr>
        <w:t xml:space="preserve"> </w:t>
      </w:r>
      <w:hyperlink w:anchor="_bookmark71" w:history="1">
        <w:r>
          <w:rPr>
            <w:vertAlign w:val="superscript"/>
          </w:rPr>
          <w:t>51</w:t>
        </w:r>
      </w:hyperlink>
      <w:r>
        <w:t xml:space="preserve"> In particular, it incorrectly assesses</w:t>
      </w:r>
      <w:r>
        <w:rPr>
          <w:spacing w:val="-1"/>
        </w:rPr>
        <w:t xml:space="preserve"> </w:t>
      </w:r>
      <w:r>
        <w:t xml:space="preserve">instances of infringement or elements of an obligation to be claims when Australia has demonstrated that they are correctly considered </w:t>
      </w:r>
      <w:r>
        <w:rPr>
          <w:i/>
        </w:rPr>
        <w:t>arguments</w:t>
      </w:r>
      <w:r>
        <w:t>.</w:t>
      </w:r>
      <w:hyperlink w:anchor="_bookmark72" w:history="1">
        <w:r>
          <w:rPr>
            <w:vertAlign w:val="superscript"/>
          </w:rPr>
          <w:t>52</w:t>
        </w:r>
      </w:hyperlink>
    </w:p>
    <w:p w14:paraId="2867BF4B" w14:textId="11884DB2" w:rsidR="00BD462C" w:rsidRDefault="00033D0F" w:rsidP="00C65BAF">
      <w:pPr>
        <w:pStyle w:val="BodyText"/>
        <w:numPr>
          <w:ilvl w:val="0"/>
          <w:numId w:val="68"/>
        </w:numPr>
        <w:spacing w:before="162" w:line="357" w:lineRule="auto"/>
        <w:ind w:right="912"/>
        <w:jc w:val="both"/>
      </w:pPr>
      <w:bookmarkStart w:id="80" w:name="_bookmark66"/>
      <w:bookmarkEnd w:id="80"/>
      <w:r>
        <w:rPr>
          <w:position w:val="1"/>
        </w:rPr>
        <w:t>China's</w:t>
      </w:r>
      <w:r>
        <w:rPr>
          <w:spacing w:val="-5"/>
          <w:position w:val="1"/>
        </w:rPr>
        <w:t xml:space="preserve"> </w:t>
      </w:r>
      <w:r>
        <w:rPr>
          <w:position w:val="1"/>
        </w:rPr>
        <w:t>objection</w:t>
      </w:r>
      <w:r>
        <w:rPr>
          <w:spacing w:val="-8"/>
          <w:position w:val="1"/>
        </w:rPr>
        <w:t xml:space="preserve"> </w:t>
      </w:r>
      <w:r>
        <w:rPr>
          <w:position w:val="1"/>
        </w:rPr>
        <w:t>to</w:t>
      </w:r>
      <w:r>
        <w:rPr>
          <w:spacing w:val="-9"/>
          <w:position w:val="1"/>
        </w:rPr>
        <w:t xml:space="preserve"> </w:t>
      </w:r>
      <w:r>
        <w:rPr>
          <w:position w:val="1"/>
        </w:rPr>
        <w:t>"</w:t>
      </w:r>
      <w:r>
        <w:rPr>
          <w:i/>
          <w:position w:val="1"/>
        </w:rPr>
        <w:t>inter</w:t>
      </w:r>
      <w:r>
        <w:rPr>
          <w:i/>
          <w:spacing w:val="-7"/>
          <w:position w:val="1"/>
        </w:rPr>
        <w:t xml:space="preserve"> </w:t>
      </w:r>
      <w:r>
        <w:rPr>
          <w:i/>
          <w:position w:val="1"/>
        </w:rPr>
        <w:t>alia</w:t>
      </w:r>
      <w:r>
        <w:rPr>
          <w:position w:val="1"/>
        </w:rPr>
        <w:t>"</w:t>
      </w:r>
      <w:hyperlink w:anchor="_bookmark73" w:history="1">
        <w:r>
          <w:rPr>
            <w:position w:val="1"/>
            <w:vertAlign w:val="superscript"/>
          </w:rPr>
          <w:t>53</w:t>
        </w:r>
      </w:hyperlink>
      <w:r>
        <w:rPr>
          <w:spacing w:val="-5"/>
          <w:position w:val="1"/>
        </w:rPr>
        <w:t xml:space="preserve"> </w:t>
      </w:r>
      <w:r>
        <w:rPr>
          <w:position w:val="1"/>
        </w:rPr>
        <w:t>is</w:t>
      </w:r>
      <w:r>
        <w:rPr>
          <w:spacing w:val="-5"/>
          <w:position w:val="1"/>
        </w:rPr>
        <w:t xml:space="preserve"> </w:t>
      </w:r>
      <w:r>
        <w:rPr>
          <w:position w:val="1"/>
        </w:rPr>
        <w:t>similarly</w:t>
      </w:r>
      <w:r>
        <w:rPr>
          <w:spacing w:val="-5"/>
          <w:position w:val="1"/>
        </w:rPr>
        <w:t xml:space="preserve"> </w:t>
      </w:r>
      <w:r>
        <w:rPr>
          <w:position w:val="1"/>
        </w:rPr>
        <w:t>misplaced.</w:t>
      </w:r>
      <w:r>
        <w:rPr>
          <w:spacing w:val="-5"/>
          <w:position w:val="1"/>
        </w:rPr>
        <w:t xml:space="preserve"> </w:t>
      </w:r>
      <w:r>
        <w:rPr>
          <w:position w:val="1"/>
        </w:rPr>
        <w:t>Australia</w:t>
      </w:r>
      <w:r>
        <w:rPr>
          <w:spacing w:val="-7"/>
          <w:position w:val="1"/>
        </w:rPr>
        <w:t xml:space="preserve"> </w:t>
      </w:r>
      <w:r>
        <w:rPr>
          <w:position w:val="1"/>
        </w:rPr>
        <w:t>notes</w:t>
      </w:r>
      <w:r>
        <w:rPr>
          <w:spacing w:val="-5"/>
          <w:position w:val="1"/>
        </w:rPr>
        <w:t xml:space="preserve"> </w:t>
      </w:r>
      <w:r>
        <w:rPr>
          <w:position w:val="1"/>
        </w:rPr>
        <w:t>that</w:t>
      </w:r>
      <w:r>
        <w:rPr>
          <w:spacing w:val="-6"/>
          <w:position w:val="1"/>
        </w:rPr>
        <w:t xml:space="preserve"> </w:t>
      </w:r>
      <w:r>
        <w:rPr>
          <w:position w:val="1"/>
        </w:rPr>
        <w:t>the</w:t>
      </w:r>
      <w:r>
        <w:rPr>
          <w:spacing w:val="-6"/>
          <w:position w:val="1"/>
        </w:rPr>
        <w:t xml:space="preserve"> </w:t>
      </w:r>
      <w:r>
        <w:rPr>
          <w:position w:val="1"/>
        </w:rPr>
        <w:t xml:space="preserve">term </w:t>
      </w:r>
      <w:r>
        <w:t>"</w:t>
      </w:r>
      <w:r>
        <w:rPr>
          <w:i/>
        </w:rPr>
        <w:t>inter</w:t>
      </w:r>
      <w:r>
        <w:rPr>
          <w:i/>
          <w:spacing w:val="-4"/>
        </w:rPr>
        <w:t xml:space="preserve"> </w:t>
      </w:r>
      <w:r>
        <w:rPr>
          <w:i/>
        </w:rPr>
        <w:t>alia</w:t>
      </w:r>
      <w:r>
        <w:t>"</w:t>
      </w:r>
      <w:r>
        <w:rPr>
          <w:spacing w:val="-3"/>
        </w:rPr>
        <w:t xml:space="preserve"> </w:t>
      </w:r>
      <w:r>
        <w:t>in</w:t>
      </w:r>
      <w:r>
        <w:rPr>
          <w:spacing w:val="-9"/>
        </w:rPr>
        <w:t xml:space="preserve"> </w:t>
      </w:r>
      <w:r>
        <w:t>its</w:t>
      </w:r>
      <w:r>
        <w:rPr>
          <w:spacing w:val="-1"/>
        </w:rPr>
        <w:t xml:space="preserve"> </w:t>
      </w:r>
      <w:r>
        <w:t>panel</w:t>
      </w:r>
      <w:r>
        <w:rPr>
          <w:spacing w:val="-5"/>
        </w:rPr>
        <w:t xml:space="preserve"> </w:t>
      </w:r>
      <w:r>
        <w:t>request, to</w:t>
      </w:r>
      <w:r>
        <w:rPr>
          <w:spacing w:val="-5"/>
        </w:rPr>
        <w:t xml:space="preserve"> </w:t>
      </w:r>
      <w:r>
        <w:t>which</w:t>
      </w:r>
      <w:r>
        <w:rPr>
          <w:spacing w:val="-4"/>
        </w:rPr>
        <w:t xml:space="preserve"> </w:t>
      </w:r>
      <w:r>
        <w:t>China</w:t>
      </w:r>
      <w:r>
        <w:rPr>
          <w:spacing w:val="-3"/>
        </w:rPr>
        <w:t xml:space="preserve"> </w:t>
      </w:r>
      <w:r>
        <w:t>objects,</w:t>
      </w:r>
      <w:r>
        <w:rPr>
          <w:spacing w:val="-5"/>
        </w:rPr>
        <w:t xml:space="preserve"> </w:t>
      </w:r>
      <w:r>
        <w:t>indicates</w:t>
      </w:r>
      <w:r>
        <w:rPr>
          <w:spacing w:val="-1"/>
        </w:rPr>
        <w:t xml:space="preserve"> </w:t>
      </w:r>
      <w:r>
        <w:t>an</w:t>
      </w:r>
      <w:r>
        <w:rPr>
          <w:spacing w:val="-4"/>
        </w:rPr>
        <w:t xml:space="preserve"> </w:t>
      </w:r>
      <w:r>
        <w:t>intention</w:t>
      </w:r>
      <w:r>
        <w:rPr>
          <w:spacing w:val="-4"/>
        </w:rPr>
        <w:t xml:space="preserve"> </w:t>
      </w:r>
      <w:r>
        <w:t>to</w:t>
      </w:r>
      <w:r>
        <w:rPr>
          <w:spacing w:val="-5"/>
        </w:rPr>
        <w:t xml:space="preserve"> </w:t>
      </w:r>
      <w:r>
        <w:t>bring</w:t>
      </w:r>
      <w:r>
        <w:rPr>
          <w:spacing w:val="-1"/>
        </w:rPr>
        <w:t xml:space="preserve"> </w:t>
      </w:r>
      <w:r>
        <w:t>further examples, evidence and arguments in support of its claim.</w:t>
      </w:r>
      <w:hyperlink w:anchor="_bookmark74" w:history="1">
        <w:r>
          <w:rPr>
            <w:vertAlign w:val="superscript"/>
          </w:rPr>
          <w:t>54</w:t>
        </w:r>
      </w:hyperlink>
      <w:r>
        <w:t xml:space="preserve"> It is open to a claimant to allow its case to reasonably develop and to refine the emphasis of its arguments, including those arguments that were not set out in its panel request. As China does acknowledge, "it is clear which provisions of the Anti-Dumping Agreement are being claimed as having been</w:t>
      </w:r>
      <w:r>
        <w:rPr>
          <w:spacing w:val="40"/>
        </w:rPr>
        <w:t xml:space="preserve"> </w:t>
      </w:r>
      <w:r>
        <w:t>violated".</w:t>
      </w:r>
      <w:r>
        <w:rPr>
          <w:spacing w:val="-14"/>
        </w:rPr>
        <w:t xml:space="preserve"> </w:t>
      </w:r>
      <w:hyperlink w:anchor="_bookmark75" w:history="1">
        <w:r>
          <w:rPr>
            <w:vertAlign w:val="superscript"/>
          </w:rPr>
          <w:t>55</w:t>
        </w:r>
      </w:hyperlink>
      <w:r>
        <w:rPr>
          <w:spacing w:val="-14"/>
        </w:rPr>
        <w:t xml:space="preserve"> </w:t>
      </w:r>
      <w:r>
        <w:t>China</w:t>
      </w:r>
      <w:r>
        <w:rPr>
          <w:spacing w:val="-13"/>
        </w:rPr>
        <w:t xml:space="preserve"> </w:t>
      </w:r>
      <w:r>
        <w:t>has</w:t>
      </w:r>
      <w:r>
        <w:rPr>
          <w:spacing w:val="-13"/>
        </w:rPr>
        <w:t xml:space="preserve"> </w:t>
      </w:r>
      <w:r>
        <w:t>had</w:t>
      </w:r>
      <w:r>
        <w:rPr>
          <w:spacing w:val="-9"/>
        </w:rPr>
        <w:t xml:space="preserve"> </w:t>
      </w:r>
      <w:r>
        <w:t>a</w:t>
      </w:r>
      <w:r>
        <w:rPr>
          <w:spacing w:val="-3"/>
        </w:rPr>
        <w:t xml:space="preserve"> </w:t>
      </w:r>
      <w:r>
        <w:t>full</w:t>
      </w:r>
      <w:r>
        <w:rPr>
          <w:spacing w:val="-5"/>
        </w:rPr>
        <w:t xml:space="preserve"> </w:t>
      </w:r>
      <w:r>
        <w:t>opportunity</w:t>
      </w:r>
      <w:r>
        <w:rPr>
          <w:spacing w:val="-6"/>
        </w:rPr>
        <w:t xml:space="preserve"> </w:t>
      </w:r>
      <w:r>
        <w:t>to</w:t>
      </w:r>
      <w:r>
        <w:rPr>
          <w:spacing w:val="-5"/>
        </w:rPr>
        <w:t xml:space="preserve"> </w:t>
      </w:r>
      <w:r>
        <w:t>respond</w:t>
      </w:r>
      <w:r>
        <w:rPr>
          <w:spacing w:val="-9"/>
        </w:rPr>
        <w:t xml:space="preserve"> </w:t>
      </w:r>
      <w:r>
        <w:t>to</w:t>
      </w:r>
      <w:r>
        <w:rPr>
          <w:spacing w:val="-5"/>
        </w:rPr>
        <w:t xml:space="preserve"> </w:t>
      </w:r>
      <w:r>
        <w:t>Australia's</w:t>
      </w:r>
      <w:r>
        <w:rPr>
          <w:spacing w:val="-6"/>
        </w:rPr>
        <w:t xml:space="preserve"> </w:t>
      </w:r>
      <w:r>
        <w:t>arguments</w:t>
      </w:r>
      <w:r>
        <w:rPr>
          <w:spacing w:val="-6"/>
        </w:rPr>
        <w:t xml:space="preserve"> </w:t>
      </w:r>
      <w:r>
        <w:t>in</w:t>
      </w:r>
      <w:r>
        <w:rPr>
          <w:spacing w:val="-9"/>
        </w:rPr>
        <w:t xml:space="preserve"> </w:t>
      </w:r>
      <w:r>
        <w:t>its</w:t>
      </w:r>
      <w:r>
        <w:rPr>
          <w:spacing w:val="-6"/>
        </w:rPr>
        <w:t xml:space="preserve"> </w:t>
      </w:r>
      <w:r>
        <w:t>written submissions and at the first substantive meeting with the Panel.</w:t>
      </w:r>
    </w:p>
    <w:p w14:paraId="2F226196" w14:textId="77777777" w:rsidR="00BD462C" w:rsidRDefault="00BD462C">
      <w:pPr>
        <w:pStyle w:val="BodyText"/>
        <w:spacing w:before="8"/>
        <w:rPr>
          <w:sz w:val="9"/>
        </w:rPr>
      </w:pPr>
    </w:p>
    <w:p w14:paraId="550679F4" w14:textId="514150A6" w:rsidR="00BD462C" w:rsidRDefault="00033D0F" w:rsidP="00C65BAF">
      <w:pPr>
        <w:pStyle w:val="BodyText"/>
        <w:numPr>
          <w:ilvl w:val="0"/>
          <w:numId w:val="68"/>
        </w:numPr>
        <w:spacing w:before="56" w:line="355" w:lineRule="auto"/>
        <w:ind w:right="923"/>
      </w:pPr>
      <w:r>
        <w:rPr>
          <w:position w:val="1"/>
        </w:rPr>
        <w:t xml:space="preserve">China incorrectly asserts that an argument is a "new claim" on numerous occasions. </w:t>
      </w:r>
      <w:r>
        <w:t>In Annex A, Australia sets out a clear response to each such objection.</w:t>
      </w:r>
    </w:p>
    <w:p w14:paraId="748163E6" w14:textId="77777777" w:rsidR="00BD462C" w:rsidRDefault="00BD462C">
      <w:pPr>
        <w:pStyle w:val="BodyText"/>
        <w:rPr>
          <w:sz w:val="20"/>
        </w:rPr>
      </w:pPr>
    </w:p>
    <w:p w14:paraId="22E25BBA" w14:textId="545E2B14" w:rsidR="00BD462C" w:rsidRDefault="00BD462C">
      <w:pPr>
        <w:pStyle w:val="BodyText"/>
        <w:rPr>
          <w:sz w:val="20"/>
        </w:rPr>
      </w:pPr>
    </w:p>
    <w:p w14:paraId="60E5BB12" w14:textId="09D197DC" w:rsidR="00BD462C" w:rsidRDefault="00BD462C">
      <w:pPr>
        <w:pStyle w:val="BodyText"/>
        <w:spacing w:before="7"/>
        <w:rPr>
          <w:sz w:val="11"/>
        </w:rPr>
      </w:pPr>
    </w:p>
    <w:bookmarkStart w:id="81" w:name="_bookmark67"/>
    <w:bookmarkEnd w:id="81"/>
    <w:p w14:paraId="68468CD6" w14:textId="48BB8978" w:rsidR="00BD462C" w:rsidRDefault="002C3E13">
      <w:pPr>
        <w:spacing w:before="112" w:line="218" w:lineRule="exact"/>
        <w:ind w:left="135"/>
        <w:rPr>
          <w:sz w:val="18"/>
        </w:rPr>
      </w:pPr>
      <w:r w:rsidRPr="003A43C7">
        <w:rPr>
          <w:noProof/>
        </w:rPr>
        <mc:AlternateContent>
          <mc:Choice Requires="wps">
            <w:drawing>
              <wp:anchor distT="0" distB="0" distL="114300" distR="114300" simplePos="0" relativeHeight="487948800" behindDoc="0" locked="0" layoutInCell="1" allowOverlap="1" wp14:anchorId="0E6BE4C1" wp14:editId="415F0099">
                <wp:simplePos x="0" y="0"/>
                <wp:positionH relativeFrom="column">
                  <wp:posOffset>0</wp:posOffset>
                </wp:positionH>
                <wp:positionV relativeFrom="paragraph">
                  <wp:posOffset>39091</wp:posOffset>
                </wp:positionV>
                <wp:extent cx="2400300" cy="0"/>
                <wp:effectExtent l="0" t="0" r="0" b="0"/>
                <wp:wrapNone/>
                <wp:docPr id="1470" name="Straight Connector 14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400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9A7409" id="Straight Connector 1470" o:spid="_x0000_s1026" alt="&quot;&quot;" style="position:absolute;z-index:487948800;visibility:visible;mso-wrap-style:square;mso-wrap-distance-left:9pt;mso-wrap-distance-top:0;mso-wrap-distance-right:9pt;mso-wrap-distance-bottom:0;mso-position-horizontal:absolute;mso-position-horizontal-relative:text;mso-position-vertical:absolute;mso-position-vertical-relative:text" from="0,3.1pt" to="189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" strokecolor="#4579b8 [3044]"/>
            </w:pict>
          </mc:Fallback>
        </mc:AlternateContent>
      </w:r>
      <w:r w:rsidR="00033D0F">
        <w:rPr>
          <w:position w:val="5"/>
          <w:sz w:val="12"/>
        </w:rPr>
        <w:t>47</w:t>
      </w:r>
      <w:r w:rsidR="00033D0F">
        <w:rPr>
          <w:spacing w:val="12"/>
          <w:position w:val="5"/>
          <w:sz w:val="12"/>
        </w:rPr>
        <w:t xml:space="preserve"> </w:t>
      </w:r>
      <w:r w:rsidR="00033D0F">
        <w:rPr>
          <w:sz w:val="18"/>
        </w:rPr>
        <w:t>China's</w:t>
      </w:r>
      <w:r w:rsidR="00033D0F">
        <w:rPr>
          <w:spacing w:val="-5"/>
          <w:sz w:val="18"/>
        </w:rPr>
        <w:t xml:space="preserve"> </w:t>
      </w:r>
      <w:r w:rsidR="00033D0F">
        <w:rPr>
          <w:sz w:val="18"/>
        </w:rPr>
        <w:t>first</w:t>
      </w:r>
      <w:r w:rsidR="00033D0F">
        <w:rPr>
          <w:spacing w:val="-5"/>
          <w:sz w:val="18"/>
        </w:rPr>
        <w:t xml:space="preserve"> </w:t>
      </w:r>
      <w:r w:rsidR="00033D0F">
        <w:rPr>
          <w:sz w:val="18"/>
        </w:rPr>
        <w:t>written</w:t>
      </w:r>
      <w:r w:rsidR="00033D0F">
        <w:rPr>
          <w:spacing w:val="-7"/>
          <w:sz w:val="18"/>
        </w:rPr>
        <w:t xml:space="preserve"> </w:t>
      </w:r>
      <w:r w:rsidR="00033D0F">
        <w:rPr>
          <w:sz w:val="18"/>
        </w:rPr>
        <w:t>submission,</w:t>
      </w:r>
      <w:r w:rsidR="00033D0F">
        <w:rPr>
          <w:spacing w:val="1"/>
          <w:sz w:val="18"/>
        </w:rPr>
        <w:t xml:space="preserve"> </w:t>
      </w:r>
      <w:r w:rsidR="00033D0F">
        <w:rPr>
          <w:sz w:val="18"/>
        </w:rPr>
        <w:t xml:space="preserve">para. </w:t>
      </w:r>
      <w:r w:rsidR="00033D0F">
        <w:rPr>
          <w:spacing w:val="-4"/>
          <w:sz w:val="18"/>
        </w:rPr>
        <w:t>153.</w:t>
      </w:r>
    </w:p>
    <w:p w14:paraId="7595CBC6" w14:textId="77777777" w:rsidR="00BD462C" w:rsidRDefault="00033D0F">
      <w:pPr>
        <w:spacing w:line="218" w:lineRule="exact"/>
        <w:ind w:left="135"/>
        <w:rPr>
          <w:sz w:val="18"/>
        </w:rPr>
      </w:pPr>
      <w:bookmarkStart w:id="82" w:name="_bookmark68"/>
      <w:bookmarkEnd w:id="82"/>
      <w:r>
        <w:rPr>
          <w:position w:val="5"/>
          <w:sz w:val="12"/>
        </w:rPr>
        <w:t>48</w:t>
      </w:r>
      <w:r>
        <w:rPr>
          <w:spacing w:val="12"/>
          <w:position w:val="5"/>
          <w:sz w:val="12"/>
        </w:rPr>
        <w:t xml:space="preserve"> </w:t>
      </w:r>
      <w:r>
        <w:rPr>
          <w:sz w:val="18"/>
        </w:rPr>
        <w:t>See</w:t>
      </w:r>
      <w:r>
        <w:rPr>
          <w:spacing w:val="-5"/>
          <w:sz w:val="18"/>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para. 141,</w:t>
      </w:r>
      <w:r>
        <w:rPr>
          <w:spacing w:val="-4"/>
          <w:sz w:val="18"/>
        </w:rPr>
        <w:t xml:space="preserve"> 152.</w:t>
      </w:r>
    </w:p>
    <w:p w14:paraId="0EB76990" w14:textId="77777777" w:rsidR="00BD462C" w:rsidRDefault="00033D0F">
      <w:pPr>
        <w:spacing w:before="1"/>
        <w:ind w:left="135"/>
        <w:rPr>
          <w:sz w:val="18"/>
        </w:rPr>
      </w:pPr>
      <w:bookmarkStart w:id="83" w:name="_bookmark69"/>
      <w:bookmarkEnd w:id="83"/>
      <w:r>
        <w:rPr>
          <w:position w:val="5"/>
          <w:sz w:val="12"/>
        </w:rPr>
        <w:t>49</w:t>
      </w:r>
      <w:r>
        <w:rPr>
          <w:spacing w:val="27"/>
          <w:position w:val="5"/>
          <w:sz w:val="12"/>
        </w:rPr>
        <w:t xml:space="preserve"> </w:t>
      </w:r>
      <w:r>
        <w:rPr>
          <w:sz w:val="18"/>
        </w:rPr>
        <w:t>Appellate</w:t>
      </w:r>
      <w:r>
        <w:rPr>
          <w:spacing w:val="10"/>
          <w:sz w:val="18"/>
        </w:rPr>
        <w:t xml:space="preserve"> </w:t>
      </w:r>
      <w:r>
        <w:rPr>
          <w:sz w:val="18"/>
        </w:rPr>
        <w:t>Body</w:t>
      </w:r>
      <w:r>
        <w:rPr>
          <w:spacing w:val="3"/>
          <w:sz w:val="18"/>
        </w:rPr>
        <w:t xml:space="preserve"> </w:t>
      </w:r>
      <w:r>
        <w:rPr>
          <w:sz w:val="18"/>
        </w:rPr>
        <w:t>Reports,</w:t>
      </w:r>
      <w:r>
        <w:rPr>
          <w:spacing w:val="12"/>
          <w:sz w:val="18"/>
        </w:rPr>
        <w:t xml:space="preserve"> </w:t>
      </w:r>
      <w:r>
        <w:rPr>
          <w:i/>
          <w:sz w:val="18"/>
        </w:rPr>
        <w:t>Korea</w:t>
      </w:r>
      <w:r>
        <w:rPr>
          <w:i/>
          <w:spacing w:val="11"/>
          <w:sz w:val="18"/>
        </w:rPr>
        <w:t xml:space="preserve"> </w:t>
      </w:r>
      <w:r>
        <w:rPr>
          <w:i/>
          <w:sz w:val="18"/>
        </w:rPr>
        <w:t>–</w:t>
      </w:r>
      <w:r>
        <w:rPr>
          <w:i/>
          <w:spacing w:val="9"/>
          <w:sz w:val="18"/>
        </w:rPr>
        <w:t xml:space="preserve"> </w:t>
      </w:r>
      <w:r>
        <w:rPr>
          <w:i/>
          <w:sz w:val="18"/>
        </w:rPr>
        <w:t>Pneumatic</w:t>
      </w:r>
      <w:r>
        <w:rPr>
          <w:i/>
          <w:spacing w:val="6"/>
          <w:sz w:val="18"/>
        </w:rPr>
        <w:t xml:space="preserve"> </w:t>
      </w:r>
      <w:r>
        <w:rPr>
          <w:i/>
          <w:sz w:val="18"/>
        </w:rPr>
        <w:t>Valves</w:t>
      </w:r>
      <w:r>
        <w:rPr>
          <w:sz w:val="18"/>
        </w:rPr>
        <w:t>,</w:t>
      </w:r>
      <w:r>
        <w:rPr>
          <w:spacing w:val="11"/>
          <w:sz w:val="18"/>
        </w:rPr>
        <w:t xml:space="preserve"> </w:t>
      </w:r>
      <w:r>
        <w:rPr>
          <w:sz w:val="18"/>
        </w:rPr>
        <w:t>paras.</w:t>
      </w:r>
      <w:r>
        <w:rPr>
          <w:spacing w:val="11"/>
          <w:sz w:val="18"/>
        </w:rPr>
        <w:t xml:space="preserve"> </w:t>
      </w:r>
      <w:r>
        <w:rPr>
          <w:sz w:val="18"/>
        </w:rPr>
        <w:t>5.6,</w:t>
      </w:r>
      <w:r>
        <w:rPr>
          <w:spacing w:val="11"/>
          <w:sz w:val="18"/>
        </w:rPr>
        <w:t xml:space="preserve"> </w:t>
      </w:r>
      <w:r>
        <w:rPr>
          <w:sz w:val="18"/>
        </w:rPr>
        <w:t>5.74,</w:t>
      </w:r>
      <w:r>
        <w:rPr>
          <w:spacing w:val="16"/>
          <w:sz w:val="18"/>
        </w:rPr>
        <w:t xml:space="preserve"> </w:t>
      </w:r>
      <w:r>
        <w:rPr>
          <w:sz w:val="18"/>
        </w:rPr>
        <w:t>5.108</w:t>
      </w:r>
      <w:r>
        <w:rPr>
          <w:spacing w:val="7"/>
          <w:sz w:val="18"/>
        </w:rPr>
        <w:t xml:space="preserve"> </w:t>
      </w:r>
      <w:r>
        <w:rPr>
          <w:sz w:val="18"/>
        </w:rPr>
        <w:t>("the</w:t>
      </w:r>
      <w:r>
        <w:rPr>
          <w:spacing w:val="9"/>
          <w:sz w:val="18"/>
        </w:rPr>
        <w:t xml:space="preserve"> </w:t>
      </w:r>
      <w:r>
        <w:rPr>
          <w:sz w:val="18"/>
        </w:rPr>
        <w:t>legal</w:t>
      </w:r>
      <w:r>
        <w:rPr>
          <w:spacing w:val="11"/>
          <w:sz w:val="18"/>
        </w:rPr>
        <w:t xml:space="preserve"> </w:t>
      </w:r>
      <w:r>
        <w:rPr>
          <w:sz w:val="18"/>
        </w:rPr>
        <w:t>basis</w:t>
      </w:r>
      <w:r>
        <w:rPr>
          <w:spacing w:val="9"/>
          <w:sz w:val="18"/>
        </w:rPr>
        <w:t xml:space="preserve"> </w:t>
      </w:r>
      <w:r>
        <w:rPr>
          <w:sz w:val="18"/>
        </w:rPr>
        <w:t>of</w:t>
      </w:r>
      <w:r>
        <w:rPr>
          <w:spacing w:val="11"/>
          <w:sz w:val="18"/>
        </w:rPr>
        <w:t xml:space="preserve"> </w:t>
      </w:r>
      <w:r>
        <w:rPr>
          <w:sz w:val="18"/>
        </w:rPr>
        <w:t>the</w:t>
      </w:r>
      <w:r>
        <w:rPr>
          <w:spacing w:val="9"/>
          <w:sz w:val="18"/>
        </w:rPr>
        <w:t xml:space="preserve"> </w:t>
      </w:r>
      <w:r>
        <w:rPr>
          <w:sz w:val="18"/>
        </w:rPr>
        <w:t>complaint,</w:t>
      </w:r>
      <w:r>
        <w:rPr>
          <w:spacing w:val="11"/>
          <w:sz w:val="18"/>
        </w:rPr>
        <w:t xml:space="preserve"> </w:t>
      </w:r>
      <w:r>
        <w:rPr>
          <w:sz w:val="18"/>
        </w:rPr>
        <w:t>that</w:t>
      </w:r>
      <w:r>
        <w:rPr>
          <w:spacing w:val="10"/>
          <w:sz w:val="18"/>
        </w:rPr>
        <w:t xml:space="preserve"> </w:t>
      </w:r>
      <w:r>
        <w:rPr>
          <w:sz w:val="18"/>
        </w:rPr>
        <w:t>is,</w:t>
      </w:r>
      <w:r>
        <w:rPr>
          <w:spacing w:val="11"/>
          <w:sz w:val="18"/>
        </w:rPr>
        <w:t xml:space="preserve"> </w:t>
      </w:r>
      <w:r>
        <w:rPr>
          <w:spacing w:val="-5"/>
          <w:sz w:val="18"/>
        </w:rPr>
        <w:t>its</w:t>
      </w:r>
    </w:p>
    <w:p w14:paraId="2D596BE4" w14:textId="77777777" w:rsidR="00BD462C" w:rsidRDefault="00033D0F">
      <w:pPr>
        <w:spacing w:before="1"/>
        <w:ind w:left="136"/>
        <w:rPr>
          <w:sz w:val="18"/>
        </w:rPr>
      </w:pPr>
      <w:r>
        <w:rPr>
          <w:i/>
          <w:sz w:val="18"/>
        </w:rPr>
        <w:t>claim</w:t>
      </w:r>
      <w:r>
        <w:rPr>
          <w:i/>
          <w:spacing w:val="-6"/>
          <w:sz w:val="18"/>
        </w:rPr>
        <w:t xml:space="preserve"> </w:t>
      </w:r>
      <w:r>
        <w:rPr>
          <w:sz w:val="18"/>
        </w:rPr>
        <w:t>[…]</w:t>
      </w:r>
      <w:r>
        <w:rPr>
          <w:spacing w:val="1"/>
          <w:sz w:val="18"/>
        </w:rPr>
        <w:t xml:space="preserve"> </w:t>
      </w:r>
      <w:r>
        <w:rPr>
          <w:sz w:val="18"/>
        </w:rPr>
        <w:t>");</w:t>
      </w:r>
      <w:r>
        <w:rPr>
          <w:spacing w:val="-6"/>
          <w:sz w:val="18"/>
        </w:rPr>
        <w:t xml:space="preserve"> </w:t>
      </w:r>
      <w:r>
        <w:rPr>
          <w:sz w:val="18"/>
        </w:rPr>
        <w:t>see</w:t>
      </w:r>
      <w:r>
        <w:rPr>
          <w:spacing w:val="-1"/>
          <w:sz w:val="18"/>
        </w:rPr>
        <w:t xml:space="preserve"> </w:t>
      </w:r>
      <w:r>
        <w:rPr>
          <w:sz w:val="18"/>
        </w:rPr>
        <w:t>also</w:t>
      </w:r>
      <w:r>
        <w:rPr>
          <w:spacing w:val="-5"/>
          <w:sz w:val="18"/>
        </w:rPr>
        <w:t xml:space="preserve"> </w:t>
      </w:r>
      <w:r>
        <w:rPr>
          <w:i/>
          <w:sz w:val="18"/>
        </w:rPr>
        <w:t>Russia</w:t>
      </w:r>
      <w:r>
        <w:rPr>
          <w:i/>
          <w:spacing w:val="-2"/>
          <w:sz w:val="18"/>
        </w:rPr>
        <w:t xml:space="preserve"> </w:t>
      </w:r>
      <w:r>
        <w:rPr>
          <w:i/>
          <w:sz w:val="18"/>
        </w:rPr>
        <w:t>–</w:t>
      </w:r>
      <w:r>
        <w:rPr>
          <w:i/>
          <w:spacing w:val="-5"/>
          <w:sz w:val="18"/>
        </w:rPr>
        <w:t xml:space="preserve"> </w:t>
      </w:r>
      <w:r>
        <w:rPr>
          <w:i/>
          <w:sz w:val="18"/>
        </w:rPr>
        <w:t>Railway</w:t>
      </w:r>
      <w:r>
        <w:rPr>
          <w:i/>
          <w:spacing w:val="-5"/>
          <w:sz w:val="18"/>
        </w:rPr>
        <w:t xml:space="preserve"> </w:t>
      </w:r>
      <w:r>
        <w:rPr>
          <w:i/>
          <w:sz w:val="18"/>
        </w:rPr>
        <w:t>Equipment</w:t>
      </w:r>
      <w:r>
        <w:rPr>
          <w:sz w:val="18"/>
        </w:rPr>
        <w:t>,</w:t>
      </w:r>
      <w:r>
        <w:rPr>
          <w:spacing w:val="2"/>
          <w:sz w:val="18"/>
        </w:rPr>
        <w:t xml:space="preserve"> </w:t>
      </w:r>
      <w:r>
        <w:rPr>
          <w:sz w:val="18"/>
        </w:rPr>
        <w:t>para.</w:t>
      </w:r>
      <w:r>
        <w:rPr>
          <w:spacing w:val="1"/>
          <w:sz w:val="18"/>
        </w:rPr>
        <w:t xml:space="preserve"> </w:t>
      </w:r>
      <w:r>
        <w:rPr>
          <w:spacing w:val="-4"/>
          <w:sz w:val="18"/>
        </w:rPr>
        <w:t>5.27.</w:t>
      </w:r>
    </w:p>
    <w:p w14:paraId="5A8CD49B" w14:textId="77777777" w:rsidR="00BD462C" w:rsidRDefault="00033D0F">
      <w:pPr>
        <w:spacing w:before="1" w:line="218" w:lineRule="exact"/>
        <w:ind w:left="135"/>
        <w:rPr>
          <w:sz w:val="18"/>
        </w:rPr>
      </w:pPr>
      <w:bookmarkStart w:id="84" w:name="_bookmark70"/>
      <w:bookmarkEnd w:id="84"/>
      <w:r>
        <w:rPr>
          <w:position w:val="5"/>
          <w:sz w:val="12"/>
        </w:rPr>
        <w:t>50</w:t>
      </w:r>
      <w:r>
        <w:rPr>
          <w:spacing w:val="14"/>
          <w:position w:val="5"/>
          <w:sz w:val="12"/>
        </w:rPr>
        <w:t xml:space="preserve"> </w:t>
      </w:r>
      <w:r>
        <w:rPr>
          <w:sz w:val="18"/>
        </w:rPr>
        <w:t>C.f.</w:t>
      </w:r>
      <w:r>
        <w:rPr>
          <w:spacing w:val="-4"/>
          <w:sz w:val="18"/>
        </w:rPr>
        <w:t xml:space="preserve"> </w:t>
      </w:r>
      <w:r>
        <w:rPr>
          <w:sz w:val="18"/>
        </w:rPr>
        <w:t>China's</w:t>
      </w:r>
      <w:r>
        <w:rPr>
          <w:spacing w:val="-5"/>
          <w:sz w:val="18"/>
        </w:rPr>
        <w:t xml:space="preserve"> </w:t>
      </w:r>
      <w:r>
        <w:rPr>
          <w:sz w:val="18"/>
        </w:rPr>
        <w:t>opening</w:t>
      </w:r>
      <w:r>
        <w:rPr>
          <w:spacing w:val="1"/>
          <w:sz w:val="18"/>
        </w:rPr>
        <w:t xml:space="preserve"> </w:t>
      </w:r>
      <w:r>
        <w:rPr>
          <w:sz w:val="18"/>
        </w:rPr>
        <w:t>statement at</w:t>
      </w:r>
      <w:r>
        <w:rPr>
          <w:spacing w:val="-4"/>
          <w:sz w:val="18"/>
        </w:rPr>
        <w:t xml:space="preserve"> </w:t>
      </w:r>
      <w:r>
        <w:rPr>
          <w:sz w:val="18"/>
        </w:rPr>
        <w:t>the</w:t>
      </w:r>
      <w:r>
        <w:rPr>
          <w:spacing w:val="-4"/>
          <w:sz w:val="18"/>
        </w:rPr>
        <w:t xml:space="preserve"> </w:t>
      </w:r>
      <w:r>
        <w:rPr>
          <w:sz w:val="18"/>
        </w:rPr>
        <w:t>first meeting</w:t>
      </w:r>
      <w:r>
        <w:rPr>
          <w:spacing w:val="-5"/>
          <w:sz w:val="18"/>
        </w:rPr>
        <w:t xml:space="preserve"> </w:t>
      </w:r>
      <w:r>
        <w:rPr>
          <w:sz w:val="18"/>
        </w:rPr>
        <w:t>with</w:t>
      </w:r>
      <w:r>
        <w:rPr>
          <w:spacing w:val="-5"/>
          <w:sz w:val="18"/>
        </w:rPr>
        <w:t xml:space="preserve"> </w:t>
      </w:r>
      <w:r>
        <w:rPr>
          <w:sz w:val="18"/>
        </w:rPr>
        <w:t>the</w:t>
      </w:r>
      <w:r>
        <w:rPr>
          <w:spacing w:val="-5"/>
          <w:sz w:val="18"/>
        </w:rPr>
        <w:t xml:space="preserve"> </w:t>
      </w:r>
      <w:r>
        <w:rPr>
          <w:sz w:val="18"/>
        </w:rPr>
        <w:t>Panel,</w:t>
      </w:r>
      <w:r>
        <w:rPr>
          <w:spacing w:val="-3"/>
          <w:sz w:val="18"/>
        </w:rPr>
        <w:t xml:space="preserve"> </w:t>
      </w:r>
      <w:r>
        <w:rPr>
          <w:sz w:val="18"/>
        </w:rPr>
        <w:t>para.</w:t>
      </w:r>
      <w:r>
        <w:rPr>
          <w:spacing w:val="1"/>
          <w:sz w:val="18"/>
        </w:rPr>
        <w:t xml:space="preserve"> </w:t>
      </w:r>
      <w:r>
        <w:rPr>
          <w:spacing w:val="-5"/>
          <w:sz w:val="18"/>
        </w:rPr>
        <w:t>2.</w:t>
      </w:r>
    </w:p>
    <w:p w14:paraId="67C522C9" w14:textId="77777777" w:rsidR="00BD462C" w:rsidRDefault="00033D0F">
      <w:pPr>
        <w:spacing w:line="218" w:lineRule="exact"/>
        <w:ind w:left="135"/>
        <w:rPr>
          <w:sz w:val="18"/>
        </w:rPr>
      </w:pPr>
      <w:bookmarkStart w:id="85" w:name="_bookmark71"/>
      <w:bookmarkEnd w:id="85"/>
      <w:r>
        <w:rPr>
          <w:position w:val="5"/>
          <w:sz w:val="12"/>
        </w:rPr>
        <w:t>51</w:t>
      </w:r>
      <w:r>
        <w:rPr>
          <w:spacing w:val="9"/>
          <w:position w:val="5"/>
          <w:sz w:val="12"/>
        </w:rPr>
        <w:t xml:space="preserve"> </w:t>
      </w:r>
      <w:r>
        <w:rPr>
          <w:sz w:val="18"/>
        </w:rPr>
        <w:t>China</w:t>
      </w:r>
      <w:r>
        <w:rPr>
          <w:spacing w:val="-10"/>
          <w:sz w:val="18"/>
        </w:rPr>
        <w:t xml:space="preserve"> </w:t>
      </w:r>
      <w:r>
        <w:rPr>
          <w:sz w:val="18"/>
        </w:rPr>
        <w:t>first</w:t>
      </w:r>
      <w:r>
        <w:rPr>
          <w:spacing w:val="-4"/>
          <w:sz w:val="18"/>
        </w:rPr>
        <w:t xml:space="preserve"> </w:t>
      </w:r>
      <w:r>
        <w:rPr>
          <w:sz w:val="18"/>
        </w:rPr>
        <w:t>written</w:t>
      </w:r>
      <w:r>
        <w:rPr>
          <w:spacing w:val="-9"/>
          <w:sz w:val="18"/>
        </w:rPr>
        <w:t xml:space="preserve"> </w:t>
      </w:r>
      <w:r>
        <w:rPr>
          <w:sz w:val="18"/>
        </w:rPr>
        <w:t>submission,</w:t>
      </w:r>
      <w:r>
        <w:rPr>
          <w:spacing w:val="-7"/>
          <w:sz w:val="18"/>
        </w:rPr>
        <w:t xml:space="preserve"> </w:t>
      </w:r>
      <w:r>
        <w:rPr>
          <w:sz w:val="18"/>
        </w:rPr>
        <w:t>paras.</w:t>
      </w:r>
      <w:r>
        <w:rPr>
          <w:spacing w:val="-7"/>
          <w:sz w:val="18"/>
        </w:rPr>
        <w:t xml:space="preserve"> </w:t>
      </w:r>
      <w:r>
        <w:rPr>
          <w:sz w:val="18"/>
        </w:rPr>
        <w:t>135-137.</w:t>
      </w:r>
      <w:r>
        <w:rPr>
          <w:spacing w:val="-3"/>
          <w:sz w:val="18"/>
        </w:rPr>
        <w:t xml:space="preserve"> </w:t>
      </w:r>
      <w:r>
        <w:rPr>
          <w:sz w:val="18"/>
        </w:rPr>
        <w:t>1268-1269,</w:t>
      </w:r>
      <w:r>
        <w:rPr>
          <w:spacing w:val="-7"/>
          <w:sz w:val="18"/>
        </w:rPr>
        <w:t xml:space="preserve"> </w:t>
      </w:r>
      <w:r>
        <w:rPr>
          <w:sz w:val="18"/>
        </w:rPr>
        <w:t>1532-1538,</w:t>
      </w:r>
      <w:r>
        <w:rPr>
          <w:spacing w:val="-3"/>
          <w:sz w:val="18"/>
        </w:rPr>
        <w:t xml:space="preserve"> </w:t>
      </w:r>
      <w:r>
        <w:rPr>
          <w:sz w:val="18"/>
        </w:rPr>
        <w:t>1597,</w:t>
      </w:r>
      <w:r>
        <w:rPr>
          <w:spacing w:val="-3"/>
          <w:sz w:val="18"/>
        </w:rPr>
        <w:t xml:space="preserve"> </w:t>
      </w:r>
      <w:r>
        <w:rPr>
          <w:sz w:val="18"/>
        </w:rPr>
        <w:t>1697-</w:t>
      </w:r>
      <w:r>
        <w:rPr>
          <w:spacing w:val="-2"/>
          <w:sz w:val="18"/>
        </w:rPr>
        <w:t>1702.</w:t>
      </w:r>
    </w:p>
    <w:p w14:paraId="10D4691E" w14:textId="77777777" w:rsidR="00BD462C" w:rsidRDefault="00033D0F">
      <w:pPr>
        <w:spacing w:before="1"/>
        <w:ind w:left="135"/>
        <w:rPr>
          <w:sz w:val="18"/>
        </w:rPr>
      </w:pPr>
      <w:bookmarkStart w:id="86" w:name="_bookmark72"/>
      <w:bookmarkEnd w:id="86"/>
      <w:r>
        <w:rPr>
          <w:position w:val="5"/>
          <w:sz w:val="12"/>
        </w:rPr>
        <w:t>52</w:t>
      </w:r>
      <w:r>
        <w:rPr>
          <w:spacing w:val="15"/>
          <w:position w:val="5"/>
          <w:sz w:val="12"/>
        </w:rPr>
        <w:t xml:space="preserve"> </w:t>
      </w:r>
      <w:r>
        <w:rPr>
          <w:sz w:val="18"/>
        </w:rPr>
        <w:t>See</w:t>
      </w:r>
      <w:r>
        <w:rPr>
          <w:spacing w:val="-4"/>
          <w:sz w:val="18"/>
        </w:rPr>
        <w:t xml:space="preserve"> </w:t>
      </w:r>
      <w:r>
        <w:rPr>
          <w:sz w:val="18"/>
        </w:rPr>
        <w:t>above,</w:t>
      </w:r>
      <w:r>
        <w:rPr>
          <w:spacing w:val="-2"/>
          <w:sz w:val="18"/>
        </w:rPr>
        <w:t xml:space="preserve"> </w:t>
      </w:r>
      <w:r>
        <w:rPr>
          <w:sz w:val="18"/>
        </w:rPr>
        <w:t>section</w:t>
      </w:r>
      <w:r>
        <w:rPr>
          <w:spacing w:val="-5"/>
          <w:sz w:val="18"/>
        </w:rPr>
        <w:t xml:space="preserve"> </w:t>
      </w:r>
      <w:hyperlink w:anchor="_bookmark33" w:history="1">
        <w:r>
          <w:rPr>
            <w:spacing w:val="-2"/>
            <w:sz w:val="18"/>
          </w:rPr>
          <w:t>II.A.1(c).</w:t>
        </w:r>
      </w:hyperlink>
    </w:p>
    <w:p w14:paraId="3FD14D2F" w14:textId="77777777" w:rsidR="00BD462C" w:rsidRDefault="00033D0F">
      <w:pPr>
        <w:spacing w:before="1"/>
        <w:ind w:left="135"/>
        <w:rPr>
          <w:sz w:val="18"/>
        </w:rPr>
      </w:pPr>
      <w:bookmarkStart w:id="87" w:name="_bookmark73"/>
      <w:bookmarkEnd w:id="87"/>
      <w:r>
        <w:rPr>
          <w:position w:val="5"/>
          <w:sz w:val="12"/>
        </w:rPr>
        <w:t>53</w:t>
      </w:r>
      <w:r>
        <w:rPr>
          <w:spacing w:val="13"/>
          <w:position w:val="5"/>
          <w:sz w:val="12"/>
        </w:rPr>
        <w:t xml:space="preserve"> </w:t>
      </w:r>
      <w:r>
        <w:rPr>
          <w:sz w:val="18"/>
        </w:rPr>
        <w:t>See</w:t>
      </w:r>
      <w:r>
        <w:rPr>
          <w:spacing w:val="-6"/>
          <w:sz w:val="18"/>
        </w:rPr>
        <w:t xml:space="preserve"> </w:t>
      </w:r>
      <w:r>
        <w:rPr>
          <w:sz w:val="18"/>
        </w:rPr>
        <w:t>China's</w:t>
      </w:r>
      <w:r>
        <w:rPr>
          <w:spacing w:val="-5"/>
          <w:sz w:val="18"/>
        </w:rPr>
        <w:t xml:space="preserve"> </w:t>
      </w:r>
      <w:r>
        <w:rPr>
          <w:sz w:val="18"/>
        </w:rPr>
        <w:t>first</w:t>
      </w:r>
      <w:r>
        <w:rPr>
          <w:spacing w:val="-4"/>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 xml:space="preserve">para. </w:t>
      </w:r>
      <w:r>
        <w:rPr>
          <w:spacing w:val="-4"/>
          <w:sz w:val="18"/>
        </w:rPr>
        <w:t>975.</w:t>
      </w:r>
    </w:p>
    <w:p w14:paraId="5B8AE122" w14:textId="77777777" w:rsidR="00BD462C" w:rsidRDefault="00033D0F">
      <w:pPr>
        <w:spacing w:before="1"/>
        <w:ind w:left="135"/>
        <w:rPr>
          <w:sz w:val="18"/>
        </w:rPr>
      </w:pPr>
      <w:bookmarkStart w:id="88" w:name="_bookmark74"/>
      <w:bookmarkEnd w:id="88"/>
      <w:r>
        <w:rPr>
          <w:position w:val="5"/>
          <w:sz w:val="12"/>
        </w:rPr>
        <w:t>54</w:t>
      </w:r>
      <w:r>
        <w:rPr>
          <w:spacing w:val="16"/>
          <w:position w:val="5"/>
          <w:sz w:val="12"/>
        </w:rPr>
        <w:t xml:space="preserve"> </w:t>
      </w:r>
      <w:r>
        <w:rPr>
          <w:sz w:val="18"/>
        </w:rPr>
        <w:t>See</w:t>
      </w:r>
      <w:r>
        <w:rPr>
          <w:spacing w:val="-3"/>
          <w:sz w:val="18"/>
        </w:rPr>
        <w:t xml:space="preserve"> </w:t>
      </w:r>
      <w:r>
        <w:rPr>
          <w:sz w:val="18"/>
        </w:rPr>
        <w:t>above,</w:t>
      </w:r>
      <w:r>
        <w:rPr>
          <w:spacing w:val="-1"/>
          <w:sz w:val="18"/>
        </w:rPr>
        <w:t xml:space="preserve"> </w:t>
      </w:r>
      <w:r>
        <w:rPr>
          <w:sz w:val="18"/>
        </w:rPr>
        <w:t>para.</w:t>
      </w:r>
      <w:r>
        <w:rPr>
          <w:spacing w:val="-1"/>
          <w:sz w:val="18"/>
        </w:rPr>
        <w:t xml:space="preserve"> </w:t>
      </w:r>
      <w:r>
        <w:rPr>
          <w:spacing w:val="-5"/>
          <w:sz w:val="18"/>
        </w:rPr>
        <w:t>25.</w:t>
      </w:r>
    </w:p>
    <w:p w14:paraId="79EBC61E" w14:textId="77777777" w:rsidR="00BD462C" w:rsidRDefault="00033D0F">
      <w:pPr>
        <w:spacing w:before="1"/>
        <w:ind w:left="135"/>
        <w:rPr>
          <w:sz w:val="18"/>
        </w:rPr>
      </w:pPr>
      <w:bookmarkStart w:id="89" w:name="_bookmark75"/>
      <w:bookmarkEnd w:id="89"/>
      <w:r>
        <w:rPr>
          <w:position w:val="5"/>
          <w:sz w:val="12"/>
        </w:rPr>
        <w:t>55</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para.</w:t>
      </w:r>
      <w:r>
        <w:rPr>
          <w:spacing w:val="-1"/>
          <w:sz w:val="18"/>
        </w:rPr>
        <w:t xml:space="preserve"> </w:t>
      </w:r>
      <w:r>
        <w:rPr>
          <w:spacing w:val="-4"/>
          <w:sz w:val="18"/>
        </w:rPr>
        <w:t>519.</w:t>
      </w:r>
    </w:p>
    <w:p w14:paraId="651C54E6" w14:textId="77777777" w:rsidR="00BD462C" w:rsidRDefault="00BD462C">
      <w:pPr>
        <w:rPr>
          <w:sz w:val="18"/>
        </w:rPr>
        <w:sectPr w:rsidR="00BD462C">
          <w:pgSz w:w="11910" w:h="16840"/>
          <w:pgMar w:top="860" w:right="500" w:bottom="780" w:left="1280" w:header="566" w:footer="590" w:gutter="0"/>
          <w:cols w:space="720"/>
        </w:sectPr>
      </w:pPr>
    </w:p>
    <w:p w14:paraId="0AF1D9E5"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7B40CD9A"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001C7B9E"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5FBF1AD0" w14:textId="77777777" w:rsidR="00BD462C" w:rsidRDefault="00033D0F" w:rsidP="00C65BAF">
      <w:pPr>
        <w:pStyle w:val="ListParagraph"/>
        <w:numPr>
          <w:ilvl w:val="2"/>
          <w:numId w:val="68"/>
        </w:numPr>
        <w:tabs>
          <w:tab w:val="left" w:pos="3539"/>
          <w:tab w:val="left" w:pos="3540"/>
        </w:tabs>
        <w:spacing w:before="102" w:line="357" w:lineRule="auto"/>
        <w:ind w:right="915"/>
        <w:rPr>
          <w:sz w:val="24"/>
        </w:rPr>
      </w:pPr>
      <w:bookmarkStart w:id="90" w:name="(b)_Australia's_case_has_reasonably_deve"/>
      <w:bookmarkEnd w:id="90"/>
      <w:r>
        <w:rPr>
          <w:sz w:val="24"/>
          <w:u w:val="single"/>
        </w:rPr>
        <w:t>Australia's</w:t>
      </w:r>
      <w:r>
        <w:rPr>
          <w:spacing w:val="-3"/>
          <w:sz w:val="24"/>
          <w:u w:val="single"/>
        </w:rPr>
        <w:t xml:space="preserve"> </w:t>
      </w:r>
      <w:r>
        <w:rPr>
          <w:sz w:val="24"/>
          <w:u w:val="single"/>
        </w:rPr>
        <w:t>case</w:t>
      </w:r>
      <w:r>
        <w:rPr>
          <w:spacing w:val="-4"/>
          <w:sz w:val="24"/>
          <w:u w:val="single"/>
        </w:rPr>
        <w:t xml:space="preserve"> </w:t>
      </w:r>
      <w:r>
        <w:rPr>
          <w:sz w:val="24"/>
          <w:u w:val="single"/>
        </w:rPr>
        <w:t>has</w:t>
      </w:r>
      <w:r>
        <w:rPr>
          <w:spacing w:val="-3"/>
          <w:sz w:val="24"/>
          <w:u w:val="single"/>
        </w:rPr>
        <w:t xml:space="preserve"> </w:t>
      </w:r>
      <w:r>
        <w:rPr>
          <w:sz w:val="24"/>
          <w:u w:val="single"/>
        </w:rPr>
        <w:t>reasonably</w:t>
      </w:r>
      <w:r>
        <w:rPr>
          <w:spacing w:val="-3"/>
          <w:sz w:val="24"/>
          <w:u w:val="single"/>
        </w:rPr>
        <w:t xml:space="preserve"> </w:t>
      </w:r>
      <w:r>
        <w:rPr>
          <w:sz w:val="24"/>
          <w:u w:val="single"/>
        </w:rPr>
        <w:t>developed</w:t>
      </w:r>
      <w:r>
        <w:rPr>
          <w:spacing w:val="-6"/>
          <w:sz w:val="24"/>
          <w:u w:val="single"/>
        </w:rPr>
        <w:t xml:space="preserve"> </w:t>
      </w:r>
      <w:r>
        <w:rPr>
          <w:sz w:val="24"/>
          <w:u w:val="single"/>
        </w:rPr>
        <w:t>from</w:t>
      </w:r>
      <w:r>
        <w:rPr>
          <w:spacing w:val="-5"/>
          <w:sz w:val="24"/>
          <w:u w:val="single"/>
        </w:rPr>
        <w:t xml:space="preserve"> </w:t>
      </w:r>
      <w:r>
        <w:rPr>
          <w:sz w:val="24"/>
          <w:u w:val="single"/>
        </w:rPr>
        <w:t>the</w:t>
      </w:r>
      <w:r>
        <w:rPr>
          <w:spacing w:val="-4"/>
          <w:sz w:val="24"/>
          <w:u w:val="single"/>
        </w:rPr>
        <w:t xml:space="preserve"> </w:t>
      </w:r>
      <w:r>
        <w:rPr>
          <w:sz w:val="24"/>
          <w:u w:val="single"/>
        </w:rPr>
        <w:t>claims</w:t>
      </w:r>
      <w:r>
        <w:rPr>
          <w:sz w:val="24"/>
        </w:rPr>
        <w:t xml:space="preserve"> </w:t>
      </w:r>
      <w:r>
        <w:rPr>
          <w:sz w:val="24"/>
          <w:u w:val="single"/>
        </w:rPr>
        <w:t>set out in its panel request</w:t>
      </w:r>
    </w:p>
    <w:p w14:paraId="4174832B" w14:textId="77777777" w:rsidR="00BD462C" w:rsidRDefault="00BD462C">
      <w:pPr>
        <w:pStyle w:val="BodyText"/>
        <w:spacing w:before="3"/>
        <w:rPr>
          <w:sz w:val="9"/>
        </w:rPr>
      </w:pPr>
    </w:p>
    <w:p w14:paraId="2DD8D62C" w14:textId="1B78B438" w:rsidR="00BD462C" w:rsidRDefault="00033D0F" w:rsidP="00C65BAF">
      <w:pPr>
        <w:pStyle w:val="BodyText"/>
        <w:numPr>
          <w:ilvl w:val="0"/>
          <w:numId w:val="68"/>
        </w:numPr>
        <w:spacing w:before="56" w:line="360" w:lineRule="auto"/>
        <w:ind w:right="912"/>
        <w:jc w:val="both"/>
      </w:pPr>
      <w:bookmarkStart w:id="91" w:name="_bookmark76"/>
      <w:bookmarkEnd w:id="91"/>
      <w:r>
        <w:rPr>
          <w:position w:val="1"/>
        </w:rPr>
        <w:t xml:space="preserve">China's second "ground" alleges that certain arguments in Australia's first written </w:t>
      </w:r>
      <w:r>
        <w:t>submission</w:t>
      </w:r>
      <w:r>
        <w:rPr>
          <w:spacing w:val="-12"/>
        </w:rPr>
        <w:t xml:space="preserve"> </w:t>
      </w:r>
      <w:r>
        <w:t>did not reasonably evolve from its panel request.</w:t>
      </w:r>
      <w:r>
        <w:rPr>
          <w:spacing w:val="-14"/>
        </w:rPr>
        <w:t xml:space="preserve"> </w:t>
      </w:r>
      <w:hyperlink w:anchor="_bookmark77" w:history="1">
        <w:r>
          <w:rPr>
            <w:vertAlign w:val="superscript"/>
          </w:rPr>
          <w:t>56</w:t>
        </w:r>
      </w:hyperlink>
      <w:r>
        <w:t xml:space="preserve"> This objection overlaps with China's third and fourth "grounds", which assert that Australia has either changed the legal basis for certain claims or never adduced a legal ground for other claims, and with China's assertion that Australia's arguments are disconnected from its claims.</w:t>
      </w:r>
      <w:hyperlink w:anchor="_bookmark78" w:history="1">
        <w:r>
          <w:rPr>
            <w:vertAlign w:val="superscript"/>
          </w:rPr>
          <w:t>57</w:t>
        </w:r>
      </w:hyperlink>
    </w:p>
    <w:p w14:paraId="729D2FBF" w14:textId="77777777" w:rsidR="00BD462C" w:rsidRDefault="00BD462C">
      <w:pPr>
        <w:pStyle w:val="BodyText"/>
        <w:spacing w:before="5"/>
        <w:rPr>
          <w:sz w:val="8"/>
        </w:rPr>
      </w:pPr>
    </w:p>
    <w:p w14:paraId="133DA375" w14:textId="65E7B512" w:rsidR="00BD462C" w:rsidRDefault="00033D0F" w:rsidP="00C65BAF">
      <w:pPr>
        <w:pStyle w:val="BodyText"/>
        <w:numPr>
          <w:ilvl w:val="0"/>
          <w:numId w:val="68"/>
        </w:numPr>
        <w:spacing w:before="57" w:line="360" w:lineRule="auto"/>
        <w:ind w:right="910"/>
        <w:jc w:val="both"/>
      </w:pPr>
      <w:r>
        <w:rPr>
          <w:position w:val="1"/>
        </w:rPr>
        <w:t>China's</w:t>
      </w:r>
      <w:r>
        <w:rPr>
          <w:spacing w:val="40"/>
          <w:position w:val="1"/>
        </w:rPr>
        <w:t xml:space="preserve"> </w:t>
      </w:r>
      <w:r>
        <w:rPr>
          <w:position w:val="1"/>
        </w:rPr>
        <w:t>objections</w:t>
      </w:r>
      <w:r>
        <w:rPr>
          <w:spacing w:val="40"/>
          <w:position w:val="1"/>
        </w:rPr>
        <w:t xml:space="preserve"> </w:t>
      </w:r>
      <w:r>
        <w:rPr>
          <w:position w:val="1"/>
        </w:rPr>
        <w:t>are</w:t>
      </w:r>
      <w:r>
        <w:rPr>
          <w:spacing w:val="40"/>
          <w:position w:val="1"/>
        </w:rPr>
        <w:t xml:space="preserve"> </w:t>
      </w:r>
      <w:r>
        <w:rPr>
          <w:position w:val="1"/>
        </w:rPr>
        <w:t>unfounded.</w:t>
      </w:r>
      <w:r>
        <w:rPr>
          <w:spacing w:val="40"/>
          <w:position w:val="1"/>
        </w:rPr>
        <w:t xml:space="preserve"> </w:t>
      </w:r>
      <w:r>
        <w:rPr>
          <w:position w:val="1"/>
        </w:rPr>
        <w:t>Each</w:t>
      </w:r>
      <w:r>
        <w:rPr>
          <w:spacing w:val="40"/>
          <w:position w:val="1"/>
        </w:rPr>
        <w:t xml:space="preserve"> </w:t>
      </w:r>
      <w:r>
        <w:rPr>
          <w:position w:val="1"/>
        </w:rPr>
        <w:t>argument</w:t>
      </w:r>
      <w:r>
        <w:rPr>
          <w:spacing w:val="40"/>
          <w:position w:val="1"/>
        </w:rPr>
        <w:t xml:space="preserve"> </w:t>
      </w:r>
      <w:r>
        <w:rPr>
          <w:position w:val="1"/>
        </w:rPr>
        <w:t>in</w:t>
      </w:r>
      <w:r>
        <w:rPr>
          <w:spacing w:val="40"/>
          <w:position w:val="1"/>
        </w:rPr>
        <w:t xml:space="preserve"> </w:t>
      </w:r>
      <w:r>
        <w:rPr>
          <w:position w:val="1"/>
        </w:rPr>
        <w:t>Australia's</w:t>
      </w:r>
      <w:r>
        <w:rPr>
          <w:spacing w:val="40"/>
          <w:position w:val="1"/>
        </w:rPr>
        <w:t xml:space="preserve"> </w:t>
      </w:r>
      <w:r>
        <w:rPr>
          <w:position w:val="1"/>
        </w:rPr>
        <w:t>first</w:t>
      </w:r>
      <w:r>
        <w:rPr>
          <w:spacing w:val="40"/>
          <w:position w:val="1"/>
        </w:rPr>
        <w:t xml:space="preserve"> </w:t>
      </w:r>
      <w:r>
        <w:rPr>
          <w:position w:val="1"/>
        </w:rPr>
        <w:t xml:space="preserve">written </w:t>
      </w:r>
      <w:r>
        <w:t>submission</w:t>
      </w:r>
      <w:r>
        <w:rPr>
          <w:spacing w:val="-14"/>
        </w:rPr>
        <w:t xml:space="preserve"> </w:t>
      </w:r>
      <w:r>
        <w:t>has</w:t>
      </w:r>
      <w:r>
        <w:rPr>
          <w:spacing w:val="-13"/>
        </w:rPr>
        <w:t xml:space="preserve"> </w:t>
      </w:r>
      <w:r>
        <w:t>reasonably,</w:t>
      </w:r>
      <w:r>
        <w:rPr>
          <w:spacing w:val="-11"/>
        </w:rPr>
        <w:t xml:space="preserve"> </w:t>
      </w:r>
      <w:r>
        <w:t>and</w:t>
      </w:r>
      <w:r>
        <w:rPr>
          <w:spacing w:val="-14"/>
        </w:rPr>
        <w:t xml:space="preserve"> </w:t>
      </w:r>
      <w:r>
        <w:t>permissibly,</w:t>
      </w:r>
      <w:r>
        <w:rPr>
          <w:spacing w:val="-11"/>
        </w:rPr>
        <w:t xml:space="preserve"> </w:t>
      </w:r>
      <w:r>
        <w:t>developed</w:t>
      </w:r>
      <w:r>
        <w:rPr>
          <w:spacing w:val="-14"/>
        </w:rPr>
        <w:t xml:space="preserve"> </w:t>
      </w:r>
      <w:r>
        <w:t>from</w:t>
      </w:r>
      <w:r>
        <w:rPr>
          <w:spacing w:val="-13"/>
        </w:rPr>
        <w:t xml:space="preserve"> </w:t>
      </w:r>
      <w:r>
        <w:t>its</w:t>
      </w:r>
      <w:r>
        <w:rPr>
          <w:spacing w:val="-11"/>
        </w:rPr>
        <w:t xml:space="preserve"> </w:t>
      </w:r>
      <w:r>
        <w:t>panel</w:t>
      </w:r>
      <w:r>
        <w:rPr>
          <w:spacing w:val="-11"/>
        </w:rPr>
        <w:t xml:space="preserve"> </w:t>
      </w:r>
      <w:r>
        <w:t>request.</w:t>
      </w:r>
      <w:r>
        <w:rPr>
          <w:spacing w:val="-12"/>
        </w:rPr>
        <w:t xml:space="preserve"> </w:t>
      </w:r>
      <w:r>
        <w:t>The</w:t>
      </w:r>
      <w:r>
        <w:rPr>
          <w:spacing w:val="-13"/>
        </w:rPr>
        <w:t xml:space="preserve"> </w:t>
      </w:r>
      <w:r>
        <w:t>legal</w:t>
      </w:r>
      <w:r>
        <w:rPr>
          <w:spacing w:val="-11"/>
        </w:rPr>
        <w:t xml:space="preserve"> </w:t>
      </w:r>
      <w:r>
        <w:t>bases of</w:t>
      </w:r>
      <w:r>
        <w:rPr>
          <w:spacing w:val="-13"/>
        </w:rPr>
        <w:t xml:space="preserve"> </w:t>
      </w:r>
      <w:r>
        <w:t>Australia's</w:t>
      </w:r>
      <w:r>
        <w:rPr>
          <w:spacing w:val="-9"/>
        </w:rPr>
        <w:t xml:space="preserve"> </w:t>
      </w:r>
      <w:r>
        <w:t>complaints</w:t>
      </w:r>
      <w:r>
        <w:rPr>
          <w:spacing w:val="-9"/>
        </w:rPr>
        <w:t xml:space="preserve"> </w:t>
      </w:r>
      <w:r>
        <w:t>have</w:t>
      </w:r>
      <w:r>
        <w:rPr>
          <w:spacing w:val="-11"/>
        </w:rPr>
        <w:t xml:space="preserve"> </w:t>
      </w:r>
      <w:r>
        <w:t>remained</w:t>
      </w:r>
      <w:r>
        <w:rPr>
          <w:spacing w:val="-13"/>
        </w:rPr>
        <w:t xml:space="preserve"> </w:t>
      </w:r>
      <w:r>
        <w:t>unchanged.</w:t>
      </w:r>
      <w:r>
        <w:rPr>
          <w:spacing w:val="-9"/>
        </w:rPr>
        <w:t xml:space="preserve"> </w:t>
      </w:r>
      <w:r>
        <w:t>Australia's</w:t>
      </w:r>
      <w:r>
        <w:rPr>
          <w:spacing w:val="-9"/>
        </w:rPr>
        <w:t xml:space="preserve"> </w:t>
      </w:r>
      <w:r>
        <w:t>case</w:t>
      </w:r>
      <w:r>
        <w:rPr>
          <w:spacing w:val="-11"/>
        </w:rPr>
        <w:t xml:space="preserve"> </w:t>
      </w:r>
      <w:r>
        <w:t>has</w:t>
      </w:r>
      <w:r>
        <w:rPr>
          <w:spacing w:val="-10"/>
        </w:rPr>
        <w:t xml:space="preserve"> </w:t>
      </w:r>
      <w:r>
        <w:t>maintained</w:t>
      </w:r>
      <w:r>
        <w:rPr>
          <w:spacing w:val="-13"/>
        </w:rPr>
        <w:t xml:space="preserve"> </w:t>
      </w:r>
      <w:r>
        <w:t>the</w:t>
      </w:r>
      <w:r>
        <w:rPr>
          <w:spacing w:val="-11"/>
        </w:rPr>
        <w:t xml:space="preserve"> </w:t>
      </w:r>
      <w:r>
        <w:t xml:space="preserve">same </w:t>
      </w:r>
      <w:r>
        <w:rPr>
          <w:spacing w:val="-2"/>
        </w:rPr>
        <w:t>"nature".</w:t>
      </w:r>
    </w:p>
    <w:p w14:paraId="3EB476BA" w14:textId="77777777" w:rsidR="00BD462C" w:rsidRDefault="00BD462C">
      <w:pPr>
        <w:pStyle w:val="BodyText"/>
        <w:spacing w:before="8"/>
        <w:rPr>
          <w:sz w:val="8"/>
        </w:rPr>
      </w:pPr>
    </w:p>
    <w:p w14:paraId="2C3B9264" w14:textId="2392BC2A" w:rsidR="00BD462C" w:rsidRDefault="00033D0F" w:rsidP="00C65BAF">
      <w:pPr>
        <w:pStyle w:val="BodyText"/>
        <w:numPr>
          <w:ilvl w:val="0"/>
          <w:numId w:val="68"/>
        </w:numPr>
        <w:spacing w:before="56" w:line="360" w:lineRule="auto"/>
        <w:ind w:right="911"/>
        <w:jc w:val="both"/>
      </w:pPr>
      <w:r>
        <w:rPr>
          <w:position w:val="1"/>
        </w:rPr>
        <w:t xml:space="preserve">In fact, China's cited panel reports demonstrate the clear distinction between </w:t>
      </w:r>
      <w:r>
        <w:t>Australia's</w:t>
      </w:r>
      <w:r>
        <w:rPr>
          <w:spacing w:val="-14"/>
        </w:rPr>
        <w:t xml:space="preserve"> </w:t>
      </w:r>
      <w:r>
        <w:t>conduct,</w:t>
      </w:r>
      <w:r>
        <w:rPr>
          <w:spacing w:val="-14"/>
        </w:rPr>
        <w:t xml:space="preserve"> </w:t>
      </w:r>
      <w:r>
        <w:t>which</w:t>
      </w:r>
      <w:r>
        <w:rPr>
          <w:spacing w:val="-13"/>
        </w:rPr>
        <w:t xml:space="preserve"> </w:t>
      </w:r>
      <w:r>
        <w:t>is</w:t>
      </w:r>
      <w:r>
        <w:rPr>
          <w:spacing w:val="-14"/>
        </w:rPr>
        <w:t xml:space="preserve"> </w:t>
      </w:r>
      <w:r>
        <w:t>permissible,</w:t>
      </w:r>
      <w:r>
        <w:rPr>
          <w:spacing w:val="-13"/>
        </w:rPr>
        <w:t xml:space="preserve"> </w:t>
      </w:r>
      <w:r>
        <w:t>and</w:t>
      </w:r>
      <w:r>
        <w:rPr>
          <w:spacing w:val="-14"/>
        </w:rPr>
        <w:t xml:space="preserve"> </w:t>
      </w:r>
      <w:r>
        <w:t>conduct</w:t>
      </w:r>
      <w:r>
        <w:rPr>
          <w:spacing w:val="-13"/>
        </w:rPr>
        <w:t xml:space="preserve"> </w:t>
      </w:r>
      <w:r>
        <w:t>that</w:t>
      </w:r>
      <w:r>
        <w:rPr>
          <w:spacing w:val="-14"/>
        </w:rPr>
        <w:t xml:space="preserve"> </w:t>
      </w:r>
      <w:r>
        <w:t>would</w:t>
      </w:r>
      <w:r>
        <w:rPr>
          <w:spacing w:val="-14"/>
        </w:rPr>
        <w:t xml:space="preserve"> </w:t>
      </w:r>
      <w:r>
        <w:t>constitute</w:t>
      </w:r>
      <w:r>
        <w:rPr>
          <w:spacing w:val="-13"/>
        </w:rPr>
        <w:t xml:space="preserve"> </w:t>
      </w:r>
      <w:r>
        <w:t>changing</w:t>
      </w:r>
      <w:r>
        <w:rPr>
          <w:spacing w:val="-14"/>
        </w:rPr>
        <w:t xml:space="preserve"> </w:t>
      </w:r>
      <w:r>
        <w:t>the</w:t>
      </w:r>
      <w:r>
        <w:rPr>
          <w:spacing w:val="-13"/>
        </w:rPr>
        <w:t xml:space="preserve"> </w:t>
      </w:r>
      <w:r>
        <w:t xml:space="preserve">legal basis of the problem, which is impermissible. In both China's cited reports, </w:t>
      </w:r>
      <w:r>
        <w:rPr>
          <w:i/>
        </w:rPr>
        <w:t>EU – Energy Package</w:t>
      </w:r>
      <w:r>
        <w:rPr>
          <w:i/>
          <w:spacing w:val="-9"/>
        </w:rPr>
        <w:t xml:space="preserve"> </w:t>
      </w:r>
      <w:r>
        <w:t>and</w:t>
      </w:r>
      <w:r>
        <w:rPr>
          <w:spacing w:val="-11"/>
        </w:rPr>
        <w:t xml:space="preserve"> </w:t>
      </w:r>
      <w:r>
        <w:rPr>
          <w:i/>
        </w:rPr>
        <w:t>US</w:t>
      </w:r>
      <w:r>
        <w:rPr>
          <w:i/>
          <w:spacing w:val="-8"/>
        </w:rPr>
        <w:t xml:space="preserve"> </w:t>
      </w:r>
      <w:r>
        <w:rPr>
          <w:i/>
        </w:rPr>
        <w:t>–</w:t>
      </w:r>
      <w:r>
        <w:rPr>
          <w:i/>
          <w:spacing w:val="-9"/>
        </w:rPr>
        <w:t xml:space="preserve"> </w:t>
      </w:r>
      <w:r>
        <w:rPr>
          <w:i/>
        </w:rPr>
        <w:t>Carbon</w:t>
      </w:r>
      <w:r>
        <w:rPr>
          <w:i/>
          <w:spacing w:val="-8"/>
        </w:rPr>
        <w:t xml:space="preserve"> </w:t>
      </w:r>
      <w:r>
        <w:rPr>
          <w:i/>
        </w:rPr>
        <w:t>Steel</w:t>
      </w:r>
      <w:r>
        <w:rPr>
          <w:i/>
          <w:spacing w:val="-12"/>
        </w:rPr>
        <w:t xml:space="preserve"> </w:t>
      </w:r>
      <w:r>
        <w:rPr>
          <w:i/>
        </w:rPr>
        <w:t>(India)</w:t>
      </w:r>
      <w:r>
        <w:t>,</w:t>
      </w:r>
      <w:r>
        <w:rPr>
          <w:spacing w:val="-7"/>
        </w:rPr>
        <w:t xml:space="preserve"> </w:t>
      </w:r>
      <w:r>
        <w:t>the</w:t>
      </w:r>
      <w:r>
        <w:rPr>
          <w:spacing w:val="-9"/>
        </w:rPr>
        <w:t xml:space="preserve"> </w:t>
      </w:r>
      <w:r>
        <w:t>complainant</w:t>
      </w:r>
      <w:r>
        <w:rPr>
          <w:spacing w:val="-9"/>
        </w:rPr>
        <w:t xml:space="preserve"> </w:t>
      </w:r>
      <w:r>
        <w:t>completely</w:t>
      </w:r>
      <w:r>
        <w:rPr>
          <w:spacing w:val="-8"/>
        </w:rPr>
        <w:t xml:space="preserve"> </w:t>
      </w:r>
      <w:r>
        <w:t>altered</w:t>
      </w:r>
      <w:r>
        <w:rPr>
          <w:spacing w:val="-11"/>
        </w:rPr>
        <w:t xml:space="preserve"> </w:t>
      </w:r>
      <w:r>
        <w:t>the</w:t>
      </w:r>
      <w:r>
        <w:rPr>
          <w:spacing w:val="-9"/>
        </w:rPr>
        <w:t xml:space="preserve"> </w:t>
      </w:r>
      <w:r>
        <w:t>party</w:t>
      </w:r>
      <w:r>
        <w:rPr>
          <w:spacing w:val="-8"/>
        </w:rPr>
        <w:t xml:space="preserve"> </w:t>
      </w:r>
      <w:r>
        <w:t>who</w:t>
      </w:r>
      <w:r>
        <w:rPr>
          <w:spacing w:val="-12"/>
        </w:rPr>
        <w:t xml:space="preserve"> </w:t>
      </w:r>
      <w:r>
        <w:t>was allegedly harmed by a measure or made a claim stemming from entirely different factual or legal circumstances.</w:t>
      </w:r>
      <w:hyperlink w:anchor="_bookmark79" w:history="1">
        <w:r>
          <w:rPr>
            <w:vertAlign w:val="superscript"/>
          </w:rPr>
          <w:t>58</w:t>
        </w:r>
      </w:hyperlink>
      <w:r>
        <w:t xml:space="preserve"> This was sufficient to change the legal basis of the complaint and constituted</w:t>
      </w:r>
      <w:r>
        <w:rPr>
          <w:spacing w:val="-6"/>
        </w:rPr>
        <w:t xml:space="preserve"> </w:t>
      </w:r>
      <w:r>
        <w:t>unreasonable</w:t>
      </w:r>
      <w:r>
        <w:rPr>
          <w:spacing w:val="-4"/>
        </w:rPr>
        <w:t xml:space="preserve"> </w:t>
      </w:r>
      <w:r>
        <w:t>evolution.</w:t>
      </w:r>
      <w:r>
        <w:rPr>
          <w:spacing w:val="-3"/>
        </w:rPr>
        <w:t xml:space="preserve"> </w:t>
      </w:r>
      <w:r>
        <w:t>The</w:t>
      </w:r>
      <w:r>
        <w:rPr>
          <w:spacing w:val="-5"/>
        </w:rPr>
        <w:t xml:space="preserve"> </w:t>
      </w:r>
      <w:r>
        <w:t>circumstances</w:t>
      </w:r>
      <w:r>
        <w:rPr>
          <w:spacing w:val="-3"/>
        </w:rPr>
        <w:t xml:space="preserve"> </w:t>
      </w:r>
      <w:r>
        <w:t>in</w:t>
      </w:r>
      <w:r>
        <w:rPr>
          <w:spacing w:val="-6"/>
        </w:rPr>
        <w:t xml:space="preserve"> </w:t>
      </w:r>
      <w:r>
        <w:t>these</w:t>
      </w:r>
      <w:r>
        <w:rPr>
          <w:spacing w:val="-4"/>
        </w:rPr>
        <w:t xml:space="preserve"> </w:t>
      </w:r>
      <w:r>
        <w:t>disputes</w:t>
      </w:r>
      <w:r>
        <w:rPr>
          <w:spacing w:val="-3"/>
        </w:rPr>
        <w:t xml:space="preserve"> </w:t>
      </w:r>
      <w:r>
        <w:t>are</w:t>
      </w:r>
      <w:r>
        <w:rPr>
          <w:spacing w:val="-4"/>
        </w:rPr>
        <w:t xml:space="preserve"> </w:t>
      </w:r>
      <w:r>
        <w:t>not</w:t>
      </w:r>
      <w:r>
        <w:rPr>
          <w:spacing w:val="-4"/>
        </w:rPr>
        <w:t xml:space="preserve"> </w:t>
      </w:r>
      <w:r>
        <w:t>comparable to those before the Panel in the current matter. Australia has maintained that the same provisions,</w:t>
      </w:r>
      <w:r>
        <w:rPr>
          <w:spacing w:val="-10"/>
        </w:rPr>
        <w:t xml:space="preserve"> </w:t>
      </w:r>
      <w:r>
        <w:t>measures,</w:t>
      </w:r>
      <w:r>
        <w:rPr>
          <w:spacing w:val="-10"/>
        </w:rPr>
        <w:t xml:space="preserve"> </w:t>
      </w:r>
      <w:r>
        <w:t>parties,</w:t>
      </w:r>
      <w:r>
        <w:rPr>
          <w:spacing w:val="-10"/>
        </w:rPr>
        <w:t xml:space="preserve"> </w:t>
      </w:r>
      <w:r>
        <w:t>and</w:t>
      </w:r>
      <w:r>
        <w:rPr>
          <w:spacing w:val="-14"/>
        </w:rPr>
        <w:t xml:space="preserve"> </w:t>
      </w:r>
      <w:r>
        <w:t>conduct</w:t>
      </w:r>
      <w:r>
        <w:rPr>
          <w:spacing w:val="-7"/>
        </w:rPr>
        <w:t xml:space="preserve"> </w:t>
      </w:r>
      <w:r>
        <w:t>are</w:t>
      </w:r>
      <w:r>
        <w:rPr>
          <w:spacing w:val="-12"/>
        </w:rPr>
        <w:t xml:space="preserve"> </w:t>
      </w:r>
      <w:r>
        <w:t>at</w:t>
      </w:r>
      <w:r>
        <w:rPr>
          <w:spacing w:val="-11"/>
        </w:rPr>
        <w:t xml:space="preserve"> </w:t>
      </w:r>
      <w:r>
        <w:t>issue</w:t>
      </w:r>
      <w:r>
        <w:rPr>
          <w:spacing w:val="-12"/>
        </w:rPr>
        <w:t xml:space="preserve"> </w:t>
      </w:r>
      <w:r>
        <w:t>throughout</w:t>
      </w:r>
      <w:r>
        <w:rPr>
          <w:spacing w:val="-11"/>
        </w:rPr>
        <w:t xml:space="preserve"> </w:t>
      </w:r>
      <w:r>
        <w:t>this</w:t>
      </w:r>
      <w:r>
        <w:rPr>
          <w:spacing w:val="-10"/>
        </w:rPr>
        <w:t xml:space="preserve"> </w:t>
      </w:r>
      <w:r>
        <w:t>dispute.</w:t>
      </w:r>
      <w:r>
        <w:rPr>
          <w:spacing w:val="-11"/>
        </w:rPr>
        <w:t xml:space="preserve"> </w:t>
      </w:r>
      <w:r>
        <w:t>At</w:t>
      </w:r>
      <w:r>
        <w:rPr>
          <w:spacing w:val="-11"/>
        </w:rPr>
        <w:t xml:space="preserve"> </w:t>
      </w:r>
      <w:r>
        <w:t>no</w:t>
      </w:r>
      <w:r>
        <w:rPr>
          <w:spacing w:val="-10"/>
        </w:rPr>
        <w:t xml:space="preserve"> </w:t>
      </w:r>
      <w:r>
        <w:t>time</w:t>
      </w:r>
      <w:r>
        <w:rPr>
          <w:spacing w:val="-12"/>
        </w:rPr>
        <w:t xml:space="preserve"> </w:t>
      </w:r>
      <w:r>
        <w:t>did Australia alter the articles or facts at issue, and at no time did Australia change the parties affected; "the problem" that Australia "seek[s] to resolve through recourse to dispute settlement" is unchanged.</w:t>
      </w:r>
      <w:r>
        <w:rPr>
          <w:spacing w:val="-33"/>
        </w:rPr>
        <w:t xml:space="preserve"> </w:t>
      </w:r>
      <w:hyperlink w:anchor="_bookmark80" w:history="1">
        <w:r>
          <w:rPr>
            <w:vertAlign w:val="superscript"/>
          </w:rPr>
          <w:t>59</w:t>
        </w:r>
      </w:hyperlink>
      <w:r>
        <w:t xml:space="preserve"> The comparison to the cited reports only serves to confirm that</w:t>
      </w:r>
    </w:p>
    <w:p w14:paraId="046BD17C" w14:textId="77777777" w:rsidR="00BD462C" w:rsidRDefault="00BD462C">
      <w:pPr>
        <w:pStyle w:val="BodyText"/>
        <w:rPr>
          <w:sz w:val="20"/>
        </w:rPr>
      </w:pPr>
    </w:p>
    <w:p w14:paraId="37503CA4" w14:textId="77777777" w:rsidR="00BD462C" w:rsidRDefault="00BD462C">
      <w:pPr>
        <w:pStyle w:val="BodyText"/>
        <w:rPr>
          <w:sz w:val="20"/>
        </w:rPr>
      </w:pPr>
    </w:p>
    <w:p w14:paraId="1C333B11" w14:textId="77777777" w:rsidR="00BD462C" w:rsidRDefault="00BD462C">
      <w:pPr>
        <w:pStyle w:val="BodyText"/>
        <w:rPr>
          <w:sz w:val="20"/>
        </w:rPr>
      </w:pPr>
    </w:p>
    <w:p w14:paraId="746DCCB2" w14:textId="77777777" w:rsidR="00BD462C" w:rsidRDefault="00BD462C">
      <w:pPr>
        <w:pStyle w:val="BodyText"/>
        <w:rPr>
          <w:sz w:val="20"/>
        </w:rPr>
      </w:pPr>
    </w:p>
    <w:p w14:paraId="3352BA7B" w14:textId="77777777" w:rsidR="00BD462C" w:rsidRDefault="00BD462C">
      <w:pPr>
        <w:pStyle w:val="BodyText"/>
        <w:rPr>
          <w:sz w:val="20"/>
        </w:rPr>
      </w:pPr>
    </w:p>
    <w:p w14:paraId="07C8D73B" w14:textId="043CDB7C" w:rsidR="00BD462C" w:rsidRDefault="00BD462C">
      <w:pPr>
        <w:pStyle w:val="BodyText"/>
        <w:spacing w:before="7"/>
        <w:rPr>
          <w:sz w:val="17"/>
        </w:rPr>
      </w:pPr>
    </w:p>
    <w:bookmarkStart w:id="92" w:name="_bookmark77"/>
    <w:bookmarkEnd w:id="92"/>
    <w:p w14:paraId="3EF59E0B" w14:textId="2DBCCE02" w:rsidR="00BD462C" w:rsidRDefault="002C3E13">
      <w:pPr>
        <w:spacing w:before="112"/>
        <w:ind w:left="135"/>
        <w:jc w:val="both"/>
        <w:rPr>
          <w:sz w:val="18"/>
        </w:rPr>
      </w:pPr>
      <w:r w:rsidRPr="003A43C7">
        <w:rPr>
          <w:noProof/>
        </w:rPr>
        <mc:AlternateContent>
          <mc:Choice Requires="wps">
            <w:drawing>
              <wp:anchor distT="0" distB="0" distL="114300" distR="114300" simplePos="0" relativeHeight="487950848" behindDoc="0" locked="0" layoutInCell="1" allowOverlap="1" wp14:anchorId="08604BDF" wp14:editId="4E948EB3">
                <wp:simplePos x="0" y="0"/>
                <wp:positionH relativeFrom="column">
                  <wp:posOffset>0</wp:posOffset>
                </wp:positionH>
                <wp:positionV relativeFrom="paragraph">
                  <wp:posOffset>71450</wp:posOffset>
                </wp:positionV>
                <wp:extent cx="2400300" cy="0"/>
                <wp:effectExtent l="0" t="0" r="0" b="0"/>
                <wp:wrapNone/>
                <wp:docPr id="1472" name="Straight Connector 14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400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824FC7" id="Straight Connector 1472" o:spid="_x0000_s1026" alt="&quot;&quot;" style="position:absolute;z-index:487950848;visibility:visible;mso-wrap-style:square;mso-wrap-distance-left:9pt;mso-wrap-distance-top:0;mso-wrap-distance-right:9pt;mso-wrap-distance-bottom:0;mso-position-horizontal:absolute;mso-position-horizontal-relative:text;mso-position-vertical:absolute;mso-position-vertical-relative:text" from="0,5.65pt" to="189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" strokecolor="#4579b8 [3044]"/>
            </w:pict>
          </mc:Fallback>
        </mc:AlternateContent>
      </w:r>
      <w:r w:rsidR="00033D0F">
        <w:rPr>
          <w:position w:val="5"/>
          <w:sz w:val="12"/>
        </w:rPr>
        <w:t>56</w:t>
      </w:r>
      <w:r w:rsidR="00033D0F">
        <w:rPr>
          <w:spacing w:val="12"/>
          <w:position w:val="5"/>
          <w:sz w:val="12"/>
        </w:rPr>
        <w:t xml:space="preserve"> </w:t>
      </w:r>
      <w:r w:rsidR="00033D0F">
        <w:rPr>
          <w:sz w:val="18"/>
        </w:rPr>
        <w:t>China's</w:t>
      </w:r>
      <w:r w:rsidR="00033D0F">
        <w:rPr>
          <w:spacing w:val="-5"/>
          <w:sz w:val="18"/>
        </w:rPr>
        <w:t xml:space="preserve"> </w:t>
      </w:r>
      <w:r w:rsidR="00033D0F">
        <w:rPr>
          <w:sz w:val="18"/>
        </w:rPr>
        <w:t>first</w:t>
      </w:r>
      <w:r w:rsidR="00033D0F">
        <w:rPr>
          <w:spacing w:val="-5"/>
          <w:sz w:val="18"/>
        </w:rPr>
        <w:t xml:space="preserve"> </w:t>
      </w:r>
      <w:r w:rsidR="00033D0F">
        <w:rPr>
          <w:sz w:val="18"/>
        </w:rPr>
        <w:t>written</w:t>
      </w:r>
      <w:r w:rsidR="00033D0F">
        <w:rPr>
          <w:spacing w:val="-7"/>
          <w:sz w:val="18"/>
        </w:rPr>
        <w:t xml:space="preserve"> </w:t>
      </w:r>
      <w:r w:rsidR="00033D0F">
        <w:rPr>
          <w:sz w:val="18"/>
        </w:rPr>
        <w:t>submission,</w:t>
      </w:r>
      <w:r w:rsidR="00033D0F">
        <w:rPr>
          <w:spacing w:val="1"/>
          <w:sz w:val="18"/>
        </w:rPr>
        <w:t xml:space="preserve"> </w:t>
      </w:r>
      <w:r w:rsidR="00033D0F">
        <w:rPr>
          <w:sz w:val="18"/>
        </w:rPr>
        <w:t>para.</w:t>
      </w:r>
      <w:r w:rsidR="00033D0F">
        <w:rPr>
          <w:spacing w:val="-1"/>
          <w:sz w:val="18"/>
        </w:rPr>
        <w:t xml:space="preserve"> </w:t>
      </w:r>
      <w:r w:rsidR="00033D0F">
        <w:rPr>
          <w:spacing w:val="-4"/>
          <w:sz w:val="18"/>
        </w:rPr>
        <w:t>142.</w:t>
      </w:r>
    </w:p>
    <w:p w14:paraId="6FBCDAE5" w14:textId="77777777" w:rsidR="00BD462C" w:rsidRDefault="00033D0F">
      <w:pPr>
        <w:spacing w:before="1" w:line="218" w:lineRule="exact"/>
        <w:ind w:left="135"/>
        <w:jc w:val="both"/>
        <w:rPr>
          <w:sz w:val="18"/>
        </w:rPr>
      </w:pPr>
      <w:bookmarkStart w:id="93" w:name="_bookmark78"/>
      <w:bookmarkEnd w:id="93"/>
      <w:r>
        <w:rPr>
          <w:position w:val="5"/>
          <w:sz w:val="12"/>
        </w:rPr>
        <w:t>57</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para.</w:t>
      </w:r>
      <w:r>
        <w:rPr>
          <w:spacing w:val="-1"/>
          <w:sz w:val="18"/>
        </w:rPr>
        <w:t xml:space="preserve"> </w:t>
      </w:r>
      <w:r>
        <w:rPr>
          <w:spacing w:val="-4"/>
          <w:sz w:val="18"/>
        </w:rPr>
        <w:t>149.</w:t>
      </w:r>
    </w:p>
    <w:p w14:paraId="3B26674C" w14:textId="77777777" w:rsidR="00BD462C" w:rsidRDefault="00033D0F">
      <w:pPr>
        <w:ind w:left="136" w:right="909" w:hanging="1"/>
        <w:jc w:val="both"/>
        <w:rPr>
          <w:sz w:val="18"/>
        </w:rPr>
      </w:pPr>
      <w:bookmarkStart w:id="94" w:name="_bookmark79"/>
      <w:bookmarkEnd w:id="94"/>
      <w:r>
        <w:rPr>
          <w:position w:val="5"/>
          <w:sz w:val="12"/>
        </w:rPr>
        <w:t>58</w:t>
      </w:r>
      <w:r>
        <w:rPr>
          <w:spacing w:val="16"/>
          <w:position w:val="5"/>
          <w:sz w:val="12"/>
        </w:rPr>
        <w:t xml:space="preserve"> </w:t>
      </w:r>
      <w:r>
        <w:rPr>
          <w:sz w:val="18"/>
        </w:rPr>
        <w:t xml:space="preserve">Panel Reports, </w:t>
      </w:r>
      <w:r>
        <w:rPr>
          <w:i/>
          <w:sz w:val="18"/>
        </w:rPr>
        <w:t>EU</w:t>
      </w:r>
      <w:r>
        <w:rPr>
          <w:i/>
          <w:spacing w:val="-5"/>
          <w:sz w:val="18"/>
        </w:rPr>
        <w:t xml:space="preserve"> </w:t>
      </w:r>
      <w:r>
        <w:rPr>
          <w:i/>
          <w:sz w:val="18"/>
        </w:rPr>
        <w:t>– Energy</w:t>
      </w:r>
      <w:r>
        <w:rPr>
          <w:i/>
          <w:spacing w:val="-4"/>
          <w:sz w:val="18"/>
        </w:rPr>
        <w:t xml:space="preserve"> </w:t>
      </w:r>
      <w:r>
        <w:rPr>
          <w:i/>
          <w:sz w:val="18"/>
        </w:rPr>
        <w:t>Package,</w:t>
      </w:r>
      <w:r>
        <w:rPr>
          <w:i/>
          <w:spacing w:val="-1"/>
          <w:sz w:val="18"/>
        </w:rPr>
        <w:t xml:space="preserve"> </w:t>
      </w:r>
      <w:r>
        <w:rPr>
          <w:sz w:val="18"/>
        </w:rPr>
        <w:t xml:space="preserve">para. 7.103; </w:t>
      </w:r>
      <w:r>
        <w:rPr>
          <w:i/>
          <w:sz w:val="18"/>
        </w:rPr>
        <w:t>US –</w:t>
      </w:r>
      <w:r>
        <w:rPr>
          <w:i/>
          <w:spacing w:val="-3"/>
          <w:sz w:val="18"/>
        </w:rPr>
        <w:t xml:space="preserve"> </w:t>
      </w:r>
      <w:r>
        <w:rPr>
          <w:i/>
          <w:sz w:val="18"/>
        </w:rPr>
        <w:t xml:space="preserve">Carbon Steel (India), </w:t>
      </w:r>
      <w:r>
        <w:rPr>
          <w:sz w:val="18"/>
        </w:rPr>
        <w:t>1.29-1.38. In the former dispute,</w:t>
      </w:r>
      <w:r>
        <w:rPr>
          <w:spacing w:val="-1"/>
          <w:sz w:val="18"/>
        </w:rPr>
        <w:t xml:space="preserve"> </w:t>
      </w:r>
      <w:r>
        <w:rPr>
          <w:sz w:val="18"/>
        </w:rPr>
        <w:t>Russia made the decision to completely alter who was purportedly affected by</w:t>
      </w:r>
      <w:r>
        <w:rPr>
          <w:spacing w:val="-4"/>
          <w:sz w:val="18"/>
        </w:rPr>
        <w:t xml:space="preserve"> </w:t>
      </w:r>
      <w:r>
        <w:rPr>
          <w:sz w:val="18"/>
        </w:rPr>
        <w:t>a measure.</w:t>
      </w:r>
      <w:r>
        <w:rPr>
          <w:spacing w:val="-1"/>
          <w:sz w:val="18"/>
        </w:rPr>
        <w:t xml:space="preserve"> </w:t>
      </w:r>
      <w:r>
        <w:rPr>
          <w:sz w:val="18"/>
        </w:rPr>
        <w:t>In the latter, in</w:t>
      </w:r>
      <w:r>
        <w:rPr>
          <w:spacing w:val="-2"/>
          <w:sz w:val="18"/>
        </w:rPr>
        <w:t xml:space="preserve"> </w:t>
      </w:r>
      <w:r>
        <w:rPr>
          <w:sz w:val="18"/>
        </w:rPr>
        <w:t>India first asserted</w:t>
      </w:r>
      <w:r>
        <w:rPr>
          <w:spacing w:val="-3"/>
          <w:sz w:val="18"/>
        </w:rPr>
        <w:t xml:space="preserve"> </w:t>
      </w:r>
      <w:r>
        <w:rPr>
          <w:sz w:val="18"/>
        </w:rPr>
        <w:t>that the US failed to initiate or investigate effects of new subsidies then entirely changed its claim to state that there had been an initiation, but it lacked evidence.</w:t>
      </w:r>
    </w:p>
    <w:p w14:paraId="4B559BDC" w14:textId="77777777" w:rsidR="00BD462C" w:rsidRDefault="00033D0F">
      <w:pPr>
        <w:spacing w:before="2"/>
        <w:ind w:left="135"/>
        <w:jc w:val="both"/>
        <w:rPr>
          <w:sz w:val="18"/>
        </w:rPr>
      </w:pPr>
      <w:bookmarkStart w:id="95" w:name="_bookmark80"/>
      <w:bookmarkEnd w:id="95"/>
      <w:r>
        <w:rPr>
          <w:position w:val="5"/>
          <w:sz w:val="12"/>
        </w:rPr>
        <w:t>59</w:t>
      </w:r>
      <w:r>
        <w:rPr>
          <w:spacing w:val="14"/>
          <w:position w:val="5"/>
          <w:sz w:val="12"/>
        </w:rPr>
        <w:t xml:space="preserve"> </w:t>
      </w:r>
      <w:r>
        <w:rPr>
          <w:sz w:val="18"/>
        </w:rPr>
        <w:t>C.f.</w:t>
      </w:r>
      <w:r>
        <w:rPr>
          <w:spacing w:val="-4"/>
          <w:sz w:val="18"/>
        </w:rPr>
        <w:t xml:space="preserve"> </w:t>
      </w:r>
      <w:r>
        <w:rPr>
          <w:sz w:val="18"/>
        </w:rPr>
        <w:t>China's</w:t>
      </w:r>
      <w:r>
        <w:rPr>
          <w:spacing w:val="-4"/>
          <w:sz w:val="18"/>
        </w:rPr>
        <w:t xml:space="preserve"> </w:t>
      </w:r>
      <w:r>
        <w:rPr>
          <w:sz w:val="18"/>
        </w:rPr>
        <w:t>first</w:t>
      </w:r>
      <w:r>
        <w:rPr>
          <w:spacing w:val="-4"/>
          <w:sz w:val="18"/>
        </w:rPr>
        <w:t xml:space="preserve"> </w:t>
      </w:r>
      <w:r>
        <w:rPr>
          <w:sz w:val="18"/>
        </w:rPr>
        <w:t>written submission,</w:t>
      </w:r>
      <w:r>
        <w:rPr>
          <w:spacing w:val="-3"/>
          <w:sz w:val="18"/>
        </w:rPr>
        <w:t xml:space="preserve"> </w:t>
      </w:r>
      <w:r>
        <w:rPr>
          <w:sz w:val="18"/>
        </w:rPr>
        <w:t>para.</w:t>
      </w:r>
      <w:r>
        <w:rPr>
          <w:spacing w:val="-3"/>
          <w:sz w:val="18"/>
        </w:rPr>
        <w:t xml:space="preserve"> </w:t>
      </w:r>
      <w:r>
        <w:rPr>
          <w:sz w:val="18"/>
        </w:rPr>
        <w:t>154;</w:t>
      </w:r>
      <w:r>
        <w:rPr>
          <w:spacing w:val="-7"/>
          <w:sz w:val="18"/>
        </w:rPr>
        <w:t xml:space="preserve"> </w:t>
      </w:r>
      <w:r>
        <w:rPr>
          <w:sz w:val="18"/>
        </w:rPr>
        <w:t>Panel</w:t>
      </w:r>
      <w:r>
        <w:rPr>
          <w:spacing w:val="1"/>
          <w:sz w:val="18"/>
        </w:rPr>
        <w:t xml:space="preserve"> </w:t>
      </w:r>
      <w:r>
        <w:rPr>
          <w:sz w:val="18"/>
        </w:rPr>
        <w:t>report,</w:t>
      </w:r>
      <w:r>
        <w:rPr>
          <w:spacing w:val="-3"/>
          <w:sz w:val="18"/>
        </w:rPr>
        <w:t xml:space="preserve"> </w:t>
      </w:r>
      <w:r>
        <w:rPr>
          <w:i/>
          <w:sz w:val="18"/>
        </w:rPr>
        <w:t>EU</w:t>
      </w:r>
      <w:r>
        <w:rPr>
          <w:i/>
          <w:spacing w:val="-6"/>
          <w:sz w:val="18"/>
        </w:rPr>
        <w:t xml:space="preserve"> </w:t>
      </w:r>
      <w:r>
        <w:rPr>
          <w:i/>
          <w:sz w:val="18"/>
        </w:rPr>
        <w:t>–</w:t>
      </w:r>
      <w:r>
        <w:rPr>
          <w:i/>
          <w:spacing w:val="-9"/>
          <w:sz w:val="18"/>
        </w:rPr>
        <w:t xml:space="preserve"> </w:t>
      </w:r>
      <w:r>
        <w:rPr>
          <w:i/>
          <w:sz w:val="18"/>
        </w:rPr>
        <w:t>Energy</w:t>
      </w:r>
      <w:r>
        <w:rPr>
          <w:i/>
          <w:spacing w:val="-6"/>
          <w:sz w:val="18"/>
        </w:rPr>
        <w:t xml:space="preserve"> </w:t>
      </w:r>
      <w:r>
        <w:rPr>
          <w:i/>
          <w:sz w:val="18"/>
        </w:rPr>
        <w:t>Package,</w:t>
      </w:r>
      <w:r>
        <w:rPr>
          <w:i/>
          <w:spacing w:val="-2"/>
          <w:sz w:val="18"/>
        </w:rPr>
        <w:t xml:space="preserve"> </w:t>
      </w:r>
      <w:r>
        <w:rPr>
          <w:sz w:val="18"/>
        </w:rPr>
        <w:t>para.</w:t>
      </w:r>
      <w:r>
        <w:rPr>
          <w:spacing w:val="-4"/>
          <w:sz w:val="18"/>
        </w:rPr>
        <w:t xml:space="preserve"> </w:t>
      </w:r>
      <w:r>
        <w:rPr>
          <w:spacing w:val="-2"/>
          <w:sz w:val="18"/>
        </w:rPr>
        <w:t>7.98.</w:t>
      </w:r>
    </w:p>
    <w:p w14:paraId="2E492B2D" w14:textId="77777777" w:rsidR="00BD462C" w:rsidRDefault="00BD462C">
      <w:pPr>
        <w:jc w:val="both"/>
        <w:rPr>
          <w:sz w:val="18"/>
        </w:rPr>
        <w:sectPr w:rsidR="00BD462C">
          <w:pgSz w:w="11910" w:h="16840"/>
          <w:pgMar w:top="860" w:right="500" w:bottom="780" w:left="1280" w:header="566" w:footer="590" w:gutter="0"/>
          <w:cols w:space="720"/>
        </w:sectPr>
      </w:pPr>
    </w:p>
    <w:p w14:paraId="480A3889"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4B27BBC8"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4E5BC398"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316B7330" w14:textId="77777777" w:rsidR="00BD462C" w:rsidRDefault="00033D0F">
      <w:pPr>
        <w:pStyle w:val="BodyText"/>
        <w:spacing w:before="102" w:line="357" w:lineRule="auto"/>
        <w:ind w:left="135" w:right="923"/>
      </w:pPr>
      <w:r>
        <w:t>Australia's claims maintain the same fundamental nature.</w:t>
      </w:r>
      <w:r>
        <w:rPr>
          <w:spacing w:val="-33"/>
        </w:rPr>
        <w:t xml:space="preserve"> </w:t>
      </w:r>
      <w:hyperlink w:anchor="_bookmark83" w:history="1">
        <w:r>
          <w:rPr>
            <w:vertAlign w:val="superscript"/>
          </w:rPr>
          <w:t>60</w:t>
        </w:r>
      </w:hyperlink>
      <w:r>
        <w:t xml:space="preserve"> China's allegation of an "open- ended and essentially limitless challenge" is hyperbolic, incorrect, and unsubstantiated.</w:t>
      </w:r>
      <w:hyperlink w:anchor="_bookmark84" w:history="1">
        <w:r>
          <w:rPr>
            <w:vertAlign w:val="superscript"/>
          </w:rPr>
          <w:t>61</w:t>
        </w:r>
      </w:hyperlink>
    </w:p>
    <w:p w14:paraId="022ED188" w14:textId="77777777" w:rsidR="00BD462C" w:rsidRDefault="00BD462C">
      <w:pPr>
        <w:pStyle w:val="BodyText"/>
        <w:spacing w:before="3"/>
        <w:rPr>
          <w:sz w:val="9"/>
        </w:rPr>
      </w:pPr>
    </w:p>
    <w:p w14:paraId="592900C2" w14:textId="6B2122B2" w:rsidR="00BD462C" w:rsidRDefault="00033D0F" w:rsidP="00C65BAF">
      <w:pPr>
        <w:pStyle w:val="BodyText"/>
        <w:numPr>
          <w:ilvl w:val="0"/>
          <w:numId w:val="68"/>
        </w:numPr>
        <w:spacing w:before="56" w:line="357" w:lineRule="auto"/>
        <w:ind w:right="923"/>
      </w:pPr>
      <w:r>
        <w:rPr>
          <w:position w:val="1"/>
        </w:rPr>
        <w:t>China</w:t>
      </w:r>
      <w:r>
        <w:rPr>
          <w:spacing w:val="66"/>
          <w:position w:val="1"/>
        </w:rPr>
        <w:t xml:space="preserve"> </w:t>
      </w:r>
      <w:r>
        <w:rPr>
          <w:position w:val="1"/>
        </w:rPr>
        <w:t>incorrectly</w:t>
      </w:r>
      <w:r>
        <w:rPr>
          <w:spacing w:val="68"/>
          <w:position w:val="1"/>
        </w:rPr>
        <w:t xml:space="preserve"> </w:t>
      </w:r>
      <w:r>
        <w:rPr>
          <w:position w:val="1"/>
        </w:rPr>
        <w:t>asserts</w:t>
      </w:r>
      <w:r>
        <w:rPr>
          <w:spacing w:val="68"/>
          <w:position w:val="1"/>
        </w:rPr>
        <w:t xml:space="preserve"> </w:t>
      </w:r>
      <w:r>
        <w:rPr>
          <w:position w:val="1"/>
        </w:rPr>
        <w:t>that</w:t>
      </w:r>
      <w:r>
        <w:rPr>
          <w:spacing w:val="67"/>
          <w:position w:val="1"/>
        </w:rPr>
        <w:t xml:space="preserve"> </w:t>
      </w:r>
      <w:r>
        <w:rPr>
          <w:position w:val="1"/>
        </w:rPr>
        <w:t>Australia's</w:t>
      </w:r>
      <w:r>
        <w:rPr>
          <w:spacing w:val="68"/>
          <w:position w:val="1"/>
        </w:rPr>
        <w:t xml:space="preserve"> </w:t>
      </w:r>
      <w:r>
        <w:rPr>
          <w:position w:val="1"/>
        </w:rPr>
        <w:t>claims</w:t>
      </w:r>
      <w:r>
        <w:rPr>
          <w:spacing w:val="68"/>
          <w:position w:val="1"/>
        </w:rPr>
        <w:t xml:space="preserve"> </w:t>
      </w:r>
      <w:r>
        <w:rPr>
          <w:position w:val="1"/>
        </w:rPr>
        <w:t>have</w:t>
      </w:r>
      <w:r>
        <w:rPr>
          <w:spacing w:val="66"/>
          <w:position w:val="1"/>
        </w:rPr>
        <w:t xml:space="preserve"> </w:t>
      </w:r>
      <w:r>
        <w:rPr>
          <w:position w:val="1"/>
        </w:rPr>
        <w:t>unreasonably</w:t>
      </w:r>
      <w:r>
        <w:rPr>
          <w:spacing w:val="68"/>
          <w:position w:val="1"/>
        </w:rPr>
        <w:t xml:space="preserve"> </w:t>
      </w:r>
      <w:r>
        <w:rPr>
          <w:position w:val="1"/>
        </w:rPr>
        <w:t>evolved</w:t>
      </w:r>
      <w:r>
        <w:rPr>
          <w:spacing w:val="65"/>
          <w:position w:val="1"/>
        </w:rPr>
        <w:t xml:space="preserve"> </w:t>
      </w:r>
      <w:r>
        <w:rPr>
          <w:position w:val="1"/>
        </w:rPr>
        <w:t xml:space="preserve">on </w:t>
      </w:r>
      <w:r>
        <w:t xml:space="preserve">numerous occasions. In </w:t>
      </w:r>
      <w:hyperlink w:anchor="_bookmark1704" w:history="1">
        <w:r>
          <w:t>ANNEX A,</w:t>
        </w:r>
      </w:hyperlink>
      <w:r>
        <w:t xml:space="preserve"> Australia sets out a clear</w:t>
      </w:r>
      <w:r>
        <w:rPr>
          <w:spacing w:val="-1"/>
        </w:rPr>
        <w:t xml:space="preserve"> </w:t>
      </w:r>
      <w:r>
        <w:t>response to each such objection.</w:t>
      </w:r>
    </w:p>
    <w:p w14:paraId="150EEEB8" w14:textId="77777777" w:rsidR="00BD462C" w:rsidRDefault="00033D0F" w:rsidP="00C65BAF">
      <w:pPr>
        <w:pStyle w:val="ListParagraph"/>
        <w:numPr>
          <w:ilvl w:val="2"/>
          <w:numId w:val="68"/>
        </w:numPr>
        <w:tabs>
          <w:tab w:val="left" w:pos="3539"/>
          <w:tab w:val="left" w:pos="3540"/>
        </w:tabs>
        <w:spacing w:before="159"/>
        <w:ind w:hanging="851"/>
        <w:rPr>
          <w:sz w:val="24"/>
        </w:rPr>
      </w:pPr>
      <w:bookmarkStart w:id="96" w:name="(c)_Australia's_claims_are_clear_and_spe"/>
      <w:bookmarkEnd w:id="96"/>
      <w:r>
        <w:rPr>
          <w:sz w:val="24"/>
          <w:u w:val="single"/>
        </w:rPr>
        <w:t>Australia's</w:t>
      </w:r>
      <w:r>
        <w:rPr>
          <w:spacing w:val="-3"/>
          <w:sz w:val="24"/>
          <w:u w:val="single"/>
        </w:rPr>
        <w:t xml:space="preserve"> </w:t>
      </w:r>
      <w:r>
        <w:rPr>
          <w:sz w:val="24"/>
          <w:u w:val="single"/>
        </w:rPr>
        <w:t>claims</w:t>
      </w:r>
      <w:r>
        <w:rPr>
          <w:spacing w:val="-2"/>
          <w:sz w:val="24"/>
          <w:u w:val="single"/>
        </w:rPr>
        <w:t xml:space="preserve"> </w:t>
      </w:r>
      <w:r>
        <w:rPr>
          <w:sz w:val="24"/>
          <w:u w:val="single"/>
        </w:rPr>
        <w:t>are</w:t>
      </w:r>
      <w:r>
        <w:rPr>
          <w:spacing w:val="-3"/>
          <w:sz w:val="24"/>
          <w:u w:val="single"/>
        </w:rPr>
        <w:t xml:space="preserve"> </w:t>
      </w:r>
      <w:r>
        <w:rPr>
          <w:sz w:val="24"/>
          <w:u w:val="single"/>
        </w:rPr>
        <w:t>clear</w:t>
      </w:r>
      <w:r>
        <w:rPr>
          <w:spacing w:val="-6"/>
          <w:sz w:val="24"/>
          <w:u w:val="single"/>
        </w:rPr>
        <w:t xml:space="preserve"> </w:t>
      </w:r>
      <w:r>
        <w:rPr>
          <w:sz w:val="24"/>
          <w:u w:val="single"/>
        </w:rPr>
        <w:t>and</w:t>
      </w:r>
      <w:r>
        <w:rPr>
          <w:spacing w:val="-4"/>
          <w:sz w:val="24"/>
          <w:u w:val="single"/>
        </w:rPr>
        <w:t xml:space="preserve"> </w:t>
      </w:r>
      <w:r>
        <w:rPr>
          <w:spacing w:val="-2"/>
          <w:sz w:val="24"/>
          <w:u w:val="single"/>
        </w:rPr>
        <w:t>specific</w:t>
      </w:r>
    </w:p>
    <w:p w14:paraId="78E8C3F6" w14:textId="77777777" w:rsidR="00BD462C" w:rsidRDefault="00BD462C">
      <w:pPr>
        <w:pStyle w:val="BodyText"/>
        <w:spacing w:before="11"/>
        <w:rPr>
          <w:sz w:val="20"/>
        </w:rPr>
      </w:pPr>
    </w:p>
    <w:p w14:paraId="14B29A46" w14:textId="1483D859" w:rsidR="00BD462C" w:rsidRDefault="00033D0F" w:rsidP="00C65BAF">
      <w:pPr>
        <w:pStyle w:val="BodyText"/>
        <w:numPr>
          <w:ilvl w:val="0"/>
          <w:numId w:val="68"/>
        </w:numPr>
        <w:spacing w:before="56" w:line="360" w:lineRule="auto"/>
        <w:ind w:right="911"/>
        <w:jc w:val="both"/>
      </w:pPr>
      <w:r>
        <w:rPr>
          <w:position w:val="1"/>
        </w:rPr>
        <w:t xml:space="preserve">China's fifth "ground" alleges that Australia's claims were unclear or insufficiently </w:t>
      </w:r>
      <w:r>
        <w:t>specific.</w:t>
      </w:r>
      <w:hyperlink w:anchor="_bookmark85" w:history="1">
        <w:r>
          <w:rPr>
            <w:vertAlign w:val="superscript"/>
          </w:rPr>
          <w:t>62</w:t>
        </w:r>
      </w:hyperlink>
      <w:r>
        <w:t xml:space="preserve"> This assertion is also implicit in China's third "ground", detailed above.</w:t>
      </w:r>
      <w:r>
        <w:rPr>
          <w:spacing w:val="-14"/>
        </w:rPr>
        <w:t xml:space="preserve"> </w:t>
      </w:r>
      <w:hyperlink w:anchor="_bookmark86" w:history="1">
        <w:r>
          <w:rPr>
            <w:vertAlign w:val="superscript"/>
          </w:rPr>
          <w:t>63</w:t>
        </w:r>
      </w:hyperlink>
      <w:r>
        <w:t xml:space="preserve"> China's allegations in this regard misunderstand both the purpose of the panel request within the dispute settlement process, and the appropriate standard under Article 6.2 of the DSU.</w:t>
      </w:r>
    </w:p>
    <w:p w14:paraId="22D5241B" w14:textId="77777777" w:rsidR="00BD462C" w:rsidRDefault="00BD462C">
      <w:pPr>
        <w:pStyle w:val="BodyText"/>
        <w:spacing w:before="9"/>
        <w:rPr>
          <w:sz w:val="8"/>
        </w:rPr>
      </w:pPr>
    </w:p>
    <w:p w14:paraId="65D6EDE2" w14:textId="1F369BAF" w:rsidR="00BD462C" w:rsidRDefault="00033D0F" w:rsidP="00C65BAF">
      <w:pPr>
        <w:pStyle w:val="BodyText"/>
        <w:numPr>
          <w:ilvl w:val="0"/>
          <w:numId w:val="68"/>
        </w:numPr>
        <w:spacing w:before="56" w:line="360" w:lineRule="auto"/>
        <w:ind w:right="913"/>
        <w:jc w:val="both"/>
      </w:pPr>
      <w:r>
        <w:rPr>
          <w:position w:val="1"/>
        </w:rPr>
        <w:t xml:space="preserve">Australia submits that it plainly connected each measure to the obligation allegedly </w:t>
      </w:r>
      <w:r>
        <w:t>infringed in a manner sufficient to present the problem clearly, taking into account the measures and provisions at issue.</w:t>
      </w:r>
      <w:hyperlink w:anchor="_bookmark87" w:history="1">
        <w:r>
          <w:rPr>
            <w:vertAlign w:val="superscript"/>
          </w:rPr>
          <w:t>64</w:t>
        </w:r>
      </w:hyperlink>
      <w:r>
        <w:t xml:space="preserve"> Australia observes in this regard that the Appellate Body has held that while the identification of the treaty provision claimed to have been violated</w:t>
      </w:r>
      <w:r>
        <w:rPr>
          <w:spacing w:val="-3"/>
        </w:rPr>
        <w:t xml:space="preserve"> </w:t>
      </w:r>
      <w:r>
        <w:t>is "always necessary",</w:t>
      </w:r>
      <w:hyperlink w:anchor="_bookmark88" w:history="1">
        <w:r>
          <w:rPr>
            <w:vertAlign w:val="superscript"/>
          </w:rPr>
          <w:t>65</w:t>
        </w:r>
      </w:hyperlink>
      <w:r>
        <w:rPr>
          <w:spacing w:val="-1"/>
        </w:rPr>
        <w:t xml:space="preserve"> </w:t>
      </w:r>
      <w:r>
        <w:t>a</w:t>
      </w:r>
      <w:r>
        <w:rPr>
          <w:spacing w:val="-2"/>
        </w:rPr>
        <w:t xml:space="preserve"> </w:t>
      </w:r>
      <w:r>
        <w:t>reference</w:t>
      </w:r>
      <w:r>
        <w:rPr>
          <w:spacing w:val="-1"/>
        </w:rPr>
        <w:t xml:space="preserve"> </w:t>
      </w:r>
      <w:r>
        <w:t>to</w:t>
      </w:r>
      <w:r>
        <w:rPr>
          <w:spacing w:val="-4"/>
        </w:rPr>
        <w:t xml:space="preserve"> </w:t>
      </w:r>
      <w:r>
        <w:t>or</w:t>
      </w:r>
      <w:r>
        <w:rPr>
          <w:spacing w:val="-4"/>
        </w:rPr>
        <w:t xml:space="preserve"> </w:t>
      </w:r>
      <w:proofErr w:type="spellStart"/>
      <w:r>
        <w:t>summarisation</w:t>
      </w:r>
      <w:proofErr w:type="spellEnd"/>
      <w:r>
        <w:rPr>
          <w:spacing w:val="-3"/>
        </w:rPr>
        <w:t xml:space="preserve"> </w:t>
      </w:r>
      <w:r>
        <w:t>of</w:t>
      </w:r>
      <w:r>
        <w:rPr>
          <w:spacing w:val="-3"/>
        </w:rPr>
        <w:t xml:space="preserve"> </w:t>
      </w:r>
      <w:r>
        <w:t>an</w:t>
      </w:r>
      <w:r>
        <w:rPr>
          <w:spacing w:val="-3"/>
        </w:rPr>
        <w:t xml:space="preserve"> </w:t>
      </w:r>
      <w:r>
        <w:t>article</w:t>
      </w:r>
      <w:r>
        <w:rPr>
          <w:spacing w:val="-1"/>
        </w:rPr>
        <w:t xml:space="preserve"> </w:t>
      </w:r>
      <w:r>
        <w:t>of</w:t>
      </w:r>
      <w:r>
        <w:rPr>
          <w:spacing w:val="-3"/>
        </w:rPr>
        <w:t xml:space="preserve"> </w:t>
      </w:r>
      <w:r>
        <w:t>a</w:t>
      </w:r>
      <w:r>
        <w:rPr>
          <w:spacing w:val="-2"/>
        </w:rPr>
        <w:t xml:space="preserve"> </w:t>
      </w:r>
      <w:r>
        <w:t>covered</w:t>
      </w:r>
      <w:r>
        <w:rPr>
          <w:spacing w:val="-3"/>
        </w:rPr>
        <w:t xml:space="preserve"> </w:t>
      </w:r>
      <w:r>
        <w:t>agreement</w:t>
      </w:r>
      <w:r>
        <w:rPr>
          <w:spacing w:val="-1"/>
        </w:rPr>
        <w:t xml:space="preserve"> </w:t>
      </w:r>
      <w:r>
        <w:t>– what China refers to as "paraphrasing" – can, in context, be sufficient to present the legal problem clearly.</w:t>
      </w:r>
      <w:r>
        <w:rPr>
          <w:spacing w:val="-24"/>
        </w:rPr>
        <w:t xml:space="preserve"> </w:t>
      </w:r>
      <w:hyperlink w:anchor="_bookmark89" w:history="1">
        <w:r>
          <w:rPr>
            <w:vertAlign w:val="superscript"/>
          </w:rPr>
          <w:t>66</w:t>
        </w:r>
      </w:hyperlink>
    </w:p>
    <w:p w14:paraId="0170DB49" w14:textId="77777777" w:rsidR="00BD462C" w:rsidRDefault="00BD462C">
      <w:pPr>
        <w:pStyle w:val="BodyText"/>
        <w:spacing w:before="5"/>
        <w:rPr>
          <w:sz w:val="8"/>
        </w:rPr>
      </w:pPr>
    </w:p>
    <w:p w14:paraId="4C6E9C02" w14:textId="3713C100" w:rsidR="00BD462C" w:rsidRPr="00C65BAF" w:rsidRDefault="00033D0F" w:rsidP="00C65BAF">
      <w:pPr>
        <w:pStyle w:val="BodyText"/>
        <w:numPr>
          <w:ilvl w:val="0"/>
          <w:numId w:val="68"/>
        </w:numPr>
        <w:spacing w:before="56" w:line="360" w:lineRule="auto"/>
        <w:ind w:right="913"/>
        <w:jc w:val="both"/>
      </w:pPr>
      <w:bookmarkStart w:id="97" w:name="_bookmark82"/>
      <w:bookmarkEnd w:id="97"/>
      <w:r>
        <w:rPr>
          <w:position w:val="1"/>
        </w:rPr>
        <w:t xml:space="preserve">Australia referenced or paraphrased a provision only where this was sufficient to </w:t>
      </w:r>
      <w:r>
        <w:t>present the problem clearly.</w:t>
      </w:r>
      <w:hyperlink w:anchor="_bookmark90" w:history="1">
        <w:r>
          <w:rPr>
            <w:vertAlign w:val="superscript"/>
          </w:rPr>
          <w:t>67</w:t>
        </w:r>
      </w:hyperlink>
      <w:r>
        <w:t xml:space="preserve"> In this respect, Australia's panel request closely matches the panel request in contention in </w:t>
      </w:r>
      <w:r>
        <w:rPr>
          <w:i/>
        </w:rPr>
        <w:t>Korea – Pneumatic Valves</w:t>
      </w:r>
      <w:r>
        <w:t>, which the Appellate Body ruled compliant</w:t>
      </w:r>
      <w:r>
        <w:rPr>
          <w:spacing w:val="-1"/>
        </w:rPr>
        <w:t xml:space="preserve"> </w:t>
      </w:r>
      <w:r>
        <w:t>with</w:t>
      </w:r>
      <w:r>
        <w:rPr>
          <w:spacing w:val="-3"/>
        </w:rPr>
        <w:t xml:space="preserve"> </w:t>
      </w:r>
      <w:r>
        <w:t>Article</w:t>
      </w:r>
      <w:r>
        <w:rPr>
          <w:spacing w:val="-1"/>
        </w:rPr>
        <w:t xml:space="preserve"> </w:t>
      </w:r>
      <w:r>
        <w:t>6.2. Japan's panel request</w:t>
      </w:r>
      <w:r>
        <w:rPr>
          <w:spacing w:val="-1"/>
        </w:rPr>
        <w:t xml:space="preserve"> </w:t>
      </w:r>
      <w:r>
        <w:t>in</w:t>
      </w:r>
      <w:r>
        <w:rPr>
          <w:spacing w:val="-3"/>
        </w:rPr>
        <w:t xml:space="preserve"> </w:t>
      </w:r>
      <w:r>
        <w:t>that dispute</w:t>
      </w:r>
      <w:r>
        <w:rPr>
          <w:spacing w:val="-1"/>
        </w:rPr>
        <w:t xml:space="preserve"> </w:t>
      </w:r>
      <w:r>
        <w:t>outlined</w:t>
      </w:r>
      <w:r>
        <w:rPr>
          <w:spacing w:val="-3"/>
        </w:rPr>
        <w:t xml:space="preserve"> </w:t>
      </w:r>
      <w:r>
        <w:t>a</w:t>
      </w:r>
      <w:r>
        <w:rPr>
          <w:spacing w:val="-2"/>
        </w:rPr>
        <w:t xml:space="preserve"> </w:t>
      </w:r>
      <w:r>
        <w:t>narrative</w:t>
      </w:r>
      <w:r>
        <w:rPr>
          <w:spacing w:val="-1"/>
        </w:rPr>
        <w:t xml:space="preserve"> </w:t>
      </w:r>
      <w:r>
        <w:t>in</w:t>
      </w:r>
      <w:r>
        <w:rPr>
          <w:spacing w:val="-3"/>
        </w:rPr>
        <w:t xml:space="preserve"> </w:t>
      </w:r>
      <w:r>
        <w:t>which Korea's investigating authority incorrectly defined the domestic industry, and Japan cited or</w:t>
      </w:r>
    </w:p>
    <w:p w14:paraId="4A63DFC1" w14:textId="032B7CDD" w:rsidR="00BD462C" w:rsidRDefault="00BD462C">
      <w:pPr>
        <w:pStyle w:val="BodyText"/>
        <w:rPr>
          <w:sz w:val="20"/>
        </w:rPr>
      </w:pPr>
    </w:p>
    <w:p w14:paraId="748BBF95" w14:textId="3661DCB6" w:rsidR="00BD462C" w:rsidRDefault="002C3E13">
      <w:pPr>
        <w:pStyle w:val="BodyText"/>
        <w:spacing w:before="5"/>
        <w:rPr>
          <w:sz w:val="15"/>
        </w:rPr>
      </w:pPr>
      <w:r w:rsidRPr="003A43C7">
        <w:rPr>
          <w:noProof/>
        </w:rPr>
        <mc:AlternateContent>
          <mc:Choice Requires="wps">
            <w:drawing>
              <wp:anchor distT="0" distB="0" distL="114300" distR="114300" simplePos="0" relativeHeight="487952896" behindDoc="0" locked="0" layoutInCell="1" allowOverlap="1" wp14:anchorId="521C22DB" wp14:editId="53DAA70D">
                <wp:simplePos x="0" y="0"/>
                <wp:positionH relativeFrom="column">
                  <wp:posOffset>0</wp:posOffset>
                </wp:positionH>
                <wp:positionV relativeFrom="paragraph">
                  <wp:posOffset>106375</wp:posOffset>
                </wp:positionV>
                <wp:extent cx="2400300" cy="0"/>
                <wp:effectExtent l="0" t="0" r="0" b="0"/>
                <wp:wrapNone/>
                <wp:docPr id="1474" name="Straight Connector 14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400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C4B7F3" id="Straight Connector 1474" o:spid="_x0000_s1026" alt="&quot;&quot;" style="position:absolute;z-index:487952896;visibility:visible;mso-wrap-style:square;mso-wrap-distance-left:9pt;mso-wrap-distance-top:0;mso-wrap-distance-right:9pt;mso-wrap-distance-bottom:0;mso-position-horizontal:absolute;mso-position-horizontal-relative:text;mso-position-vertical:absolute;mso-position-vertical-relative:text" from="0,8.4pt" to="189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" strokecolor="#4579b8 [3044]"/>
            </w:pict>
          </mc:Fallback>
        </mc:AlternateContent>
      </w:r>
    </w:p>
    <w:p w14:paraId="3041BA7B" w14:textId="77777777" w:rsidR="00BD462C" w:rsidRDefault="00033D0F">
      <w:pPr>
        <w:spacing w:before="112"/>
        <w:ind w:left="135"/>
        <w:rPr>
          <w:sz w:val="18"/>
        </w:rPr>
      </w:pPr>
      <w:bookmarkStart w:id="98" w:name="_bookmark83"/>
      <w:bookmarkEnd w:id="98"/>
      <w:r>
        <w:rPr>
          <w:position w:val="5"/>
          <w:sz w:val="12"/>
        </w:rPr>
        <w:t>60</w:t>
      </w:r>
      <w:r>
        <w:rPr>
          <w:spacing w:val="13"/>
          <w:position w:val="5"/>
          <w:sz w:val="12"/>
        </w:rPr>
        <w:t xml:space="preserve"> </w:t>
      </w:r>
      <w:r>
        <w:rPr>
          <w:sz w:val="18"/>
        </w:rPr>
        <w:t>See</w:t>
      </w:r>
      <w:r>
        <w:rPr>
          <w:spacing w:val="-6"/>
          <w:sz w:val="18"/>
        </w:rPr>
        <w:t xml:space="preserve"> </w:t>
      </w:r>
      <w:r>
        <w:rPr>
          <w:sz w:val="18"/>
        </w:rPr>
        <w:t>Panel</w:t>
      </w:r>
      <w:r>
        <w:rPr>
          <w:spacing w:val="-5"/>
          <w:sz w:val="18"/>
        </w:rPr>
        <w:t xml:space="preserve"> </w:t>
      </w:r>
      <w:r>
        <w:rPr>
          <w:sz w:val="18"/>
        </w:rPr>
        <w:t>Report,</w:t>
      </w:r>
      <w:r>
        <w:rPr>
          <w:spacing w:val="-8"/>
          <w:sz w:val="18"/>
        </w:rPr>
        <w:t xml:space="preserve"> </w:t>
      </w:r>
      <w:r>
        <w:rPr>
          <w:i/>
          <w:sz w:val="18"/>
        </w:rPr>
        <w:t>Morocco</w:t>
      </w:r>
      <w:r>
        <w:rPr>
          <w:i/>
          <w:spacing w:val="-3"/>
          <w:sz w:val="18"/>
        </w:rPr>
        <w:t xml:space="preserve"> </w:t>
      </w:r>
      <w:r>
        <w:rPr>
          <w:i/>
          <w:sz w:val="18"/>
        </w:rPr>
        <w:t>–</w:t>
      </w:r>
      <w:r>
        <w:rPr>
          <w:i/>
          <w:spacing w:val="-6"/>
          <w:sz w:val="18"/>
        </w:rPr>
        <w:t xml:space="preserve"> </w:t>
      </w:r>
      <w:r>
        <w:rPr>
          <w:i/>
          <w:sz w:val="18"/>
        </w:rPr>
        <w:t>Hot-Rolled Steel</w:t>
      </w:r>
      <w:r>
        <w:rPr>
          <w:i/>
          <w:spacing w:val="-4"/>
          <w:sz w:val="18"/>
        </w:rPr>
        <w:t xml:space="preserve"> </w:t>
      </w:r>
      <w:r>
        <w:rPr>
          <w:i/>
          <w:sz w:val="18"/>
        </w:rPr>
        <w:t>(Turkey)</w:t>
      </w:r>
      <w:r>
        <w:rPr>
          <w:sz w:val="18"/>
        </w:rPr>
        <w:t>, paras.</w:t>
      </w:r>
      <w:r>
        <w:rPr>
          <w:spacing w:val="-4"/>
          <w:sz w:val="18"/>
        </w:rPr>
        <w:t xml:space="preserve"> </w:t>
      </w:r>
      <w:r>
        <w:rPr>
          <w:sz w:val="18"/>
        </w:rPr>
        <w:t>7.37-</w:t>
      </w:r>
      <w:r>
        <w:rPr>
          <w:spacing w:val="-2"/>
          <w:sz w:val="18"/>
        </w:rPr>
        <w:t>7.38.</w:t>
      </w:r>
    </w:p>
    <w:p w14:paraId="649BC431" w14:textId="77777777" w:rsidR="00BD462C" w:rsidRDefault="00033D0F">
      <w:pPr>
        <w:spacing w:before="1"/>
        <w:ind w:left="135"/>
        <w:rPr>
          <w:sz w:val="18"/>
        </w:rPr>
      </w:pPr>
      <w:bookmarkStart w:id="99" w:name="_bookmark84"/>
      <w:bookmarkEnd w:id="99"/>
      <w:r>
        <w:rPr>
          <w:position w:val="5"/>
          <w:sz w:val="12"/>
        </w:rPr>
        <w:t>61</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para.</w:t>
      </w:r>
      <w:r>
        <w:rPr>
          <w:spacing w:val="-1"/>
          <w:sz w:val="18"/>
        </w:rPr>
        <w:t xml:space="preserve"> </w:t>
      </w:r>
      <w:r>
        <w:rPr>
          <w:spacing w:val="-5"/>
          <w:sz w:val="18"/>
        </w:rPr>
        <w:t>80.</w:t>
      </w:r>
    </w:p>
    <w:p w14:paraId="46C27EE4" w14:textId="77777777" w:rsidR="00BD462C" w:rsidRDefault="00033D0F">
      <w:pPr>
        <w:spacing w:before="1"/>
        <w:ind w:left="135"/>
        <w:rPr>
          <w:sz w:val="18"/>
        </w:rPr>
      </w:pPr>
      <w:bookmarkStart w:id="100" w:name="_bookmark85"/>
      <w:bookmarkEnd w:id="100"/>
      <w:r>
        <w:rPr>
          <w:position w:val="5"/>
          <w:sz w:val="12"/>
        </w:rPr>
        <w:t>62</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para.</w:t>
      </w:r>
      <w:r>
        <w:rPr>
          <w:spacing w:val="-1"/>
          <w:sz w:val="18"/>
        </w:rPr>
        <w:t xml:space="preserve"> </w:t>
      </w:r>
      <w:r>
        <w:rPr>
          <w:spacing w:val="-4"/>
          <w:sz w:val="18"/>
        </w:rPr>
        <w:t>157.</w:t>
      </w:r>
    </w:p>
    <w:p w14:paraId="2E8ACAAB" w14:textId="77777777" w:rsidR="00BD462C" w:rsidRDefault="00033D0F">
      <w:pPr>
        <w:spacing w:before="1" w:line="218" w:lineRule="exact"/>
        <w:ind w:left="135"/>
        <w:rPr>
          <w:sz w:val="18"/>
        </w:rPr>
      </w:pPr>
      <w:bookmarkStart w:id="101" w:name="_bookmark86"/>
      <w:bookmarkEnd w:id="101"/>
      <w:r>
        <w:rPr>
          <w:position w:val="5"/>
          <w:sz w:val="12"/>
        </w:rPr>
        <w:t>63</w:t>
      </w:r>
      <w:r>
        <w:rPr>
          <w:spacing w:val="16"/>
          <w:position w:val="5"/>
          <w:sz w:val="12"/>
        </w:rPr>
        <w:t xml:space="preserve"> </w:t>
      </w:r>
      <w:r>
        <w:rPr>
          <w:sz w:val="18"/>
        </w:rPr>
        <w:t>See</w:t>
      </w:r>
      <w:r>
        <w:rPr>
          <w:spacing w:val="-3"/>
          <w:sz w:val="18"/>
        </w:rPr>
        <w:t xml:space="preserve"> </w:t>
      </w:r>
      <w:r>
        <w:rPr>
          <w:sz w:val="18"/>
        </w:rPr>
        <w:t>above,</w:t>
      </w:r>
      <w:r>
        <w:rPr>
          <w:spacing w:val="-1"/>
          <w:sz w:val="18"/>
        </w:rPr>
        <w:t xml:space="preserve"> </w:t>
      </w:r>
      <w:r>
        <w:rPr>
          <w:sz w:val="18"/>
        </w:rPr>
        <w:t>para.</w:t>
      </w:r>
      <w:r>
        <w:rPr>
          <w:spacing w:val="-1"/>
          <w:sz w:val="18"/>
        </w:rPr>
        <w:t xml:space="preserve"> </w:t>
      </w:r>
      <w:hyperlink w:anchor="_bookmark76" w:history="1">
        <w:r>
          <w:rPr>
            <w:spacing w:val="-5"/>
            <w:sz w:val="18"/>
          </w:rPr>
          <w:t>37.</w:t>
        </w:r>
      </w:hyperlink>
    </w:p>
    <w:p w14:paraId="1D8DD3CC" w14:textId="77777777" w:rsidR="00BD462C" w:rsidRDefault="00033D0F">
      <w:pPr>
        <w:spacing w:line="218" w:lineRule="exact"/>
        <w:ind w:left="135"/>
        <w:rPr>
          <w:sz w:val="18"/>
        </w:rPr>
      </w:pPr>
      <w:bookmarkStart w:id="102" w:name="_bookmark87"/>
      <w:bookmarkEnd w:id="102"/>
      <w:r>
        <w:rPr>
          <w:position w:val="5"/>
          <w:sz w:val="12"/>
        </w:rPr>
        <w:t>64</w:t>
      </w:r>
      <w:r>
        <w:rPr>
          <w:spacing w:val="14"/>
          <w:position w:val="5"/>
          <w:sz w:val="12"/>
        </w:rPr>
        <w:t xml:space="preserve"> </w:t>
      </w:r>
      <w:r>
        <w:rPr>
          <w:sz w:val="18"/>
        </w:rPr>
        <w:t>Appellate</w:t>
      </w:r>
      <w:r>
        <w:rPr>
          <w:spacing w:val="-10"/>
          <w:sz w:val="18"/>
        </w:rPr>
        <w:t xml:space="preserve"> </w:t>
      </w:r>
      <w:r>
        <w:rPr>
          <w:sz w:val="18"/>
        </w:rPr>
        <w:t>Body</w:t>
      </w:r>
      <w:r>
        <w:rPr>
          <w:spacing w:val="-6"/>
          <w:sz w:val="18"/>
        </w:rPr>
        <w:t xml:space="preserve"> </w:t>
      </w:r>
      <w:r>
        <w:rPr>
          <w:sz w:val="18"/>
        </w:rPr>
        <w:t>Report,</w:t>
      </w:r>
      <w:r>
        <w:rPr>
          <w:spacing w:val="-3"/>
          <w:sz w:val="18"/>
        </w:rPr>
        <w:t xml:space="preserve"> </w:t>
      </w:r>
      <w:r>
        <w:rPr>
          <w:i/>
          <w:sz w:val="18"/>
        </w:rPr>
        <w:t>Korea</w:t>
      </w:r>
      <w:r>
        <w:rPr>
          <w:i/>
          <w:spacing w:val="-3"/>
          <w:sz w:val="18"/>
        </w:rPr>
        <w:t xml:space="preserve"> </w:t>
      </w:r>
      <w:r>
        <w:rPr>
          <w:i/>
          <w:sz w:val="18"/>
        </w:rPr>
        <w:t>–</w:t>
      </w:r>
      <w:r>
        <w:rPr>
          <w:i/>
          <w:spacing w:val="-5"/>
          <w:sz w:val="18"/>
        </w:rPr>
        <w:t xml:space="preserve"> </w:t>
      </w:r>
      <w:r>
        <w:rPr>
          <w:i/>
          <w:sz w:val="18"/>
        </w:rPr>
        <w:t>Pneumatic</w:t>
      </w:r>
      <w:r>
        <w:rPr>
          <w:i/>
          <w:spacing w:val="-4"/>
          <w:sz w:val="18"/>
        </w:rPr>
        <w:t xml:space="preserve"> </w:t>
      </w:r>
      <w:r>
        <w:rPr>
          <w:i/>
          <w:sz w:val="18"/>
        </w:rPr>
        <w:t>Valves</w:t>
      </w:r>
      <w:r>
        <w:rPr>
          <w:sz w:val="18"/>
        </w:rPr>
        <w:t>,</w:t>
      </w:r>
      <w:r>
        <w:rPr>
          <w:spacing w:val="2"/>
          <w:sz w:val="18"/>
        </w:rPr>
        <w:t xml:space="preserve"> </w:t>
      </w:r>
      <w:r>
        <w:rPr>
          <w:sz w:val="18"/>
        </w:rPr>
        <w:t>paras.</w:t>
      </w:r>
      <w:r>
        <w:rPr>
          <w:spacing w:val="-4"/>
          <w:sz w:val="18"/>
        </w:rPr>
        <w:t xml:space="preserve"> </w:t>
      </w:r>
      <w:r>
        <w:rPr>
          <w:sz w:val="18"/>
        </w:rPr>
        <w:t>5.6-</w:t>
      </w:r>
      <w:r>
        <w:rPr>
          <w:spacing w:val="-4"/>
          <w:sz w:val="18"/>
        </w:rPr>
        <w:t>5.8.</w:t>
      </w:r>
    </w:p>
    <w:p w14:paraId="6502EC22" w14:textId="77777777" w:rsidR="00BD462C" w:rsidRDefault="00033D0F">
      <w:pPr>
        <w:spacing w:before="1"/>
        <w:ind w:left="135" w:right="912"/>
        <w:rPr>
          <w:sz w:val="18"/>
        </w:rPr>
      </w:pPr>
      <w:bookmarkStart w:id="103" w:name="_bookmark88"/>
      <w:bookmarkEnd w:id="103"/>
      <w:r>
        <w:rPr>
          <w:position w:val="5"/>
          <w:sz w:val="12"/>
        </w:rPr>
        <w:t>65</w:t>
      </w:r>
      <w:r>
        <w:rPr>
          <w:spacing w:val="40"/>
          <w:position w:val="5"/>
          <w:sz w:val="12"/>
        </w:rPr>
        <w:t xml:space="preserve"> </w:t>
      </w:r>
      <w:r>
        <w:rPr>
          <w:sz w:val="18"/>
        </w:rPr>
        <w:t>Australia's</w:t>
      </w:r>
      <w:r>
        <w:rPr>
          <w:spacing w:val="40"/>
          <w:sz w:val="18"/>
        </w:rPr>
        <w:t xml:space="preserve"> </w:t>
      </w:r>
      <w:r>
        <w:rPr>
          <w:sz w:val="18"/>
        </w:rPr>
        <w:t>response</w:t>
      </w:r>
      <w:r>
        <w:rPr>
          <w:spacing w:val="34"/>
          <w:sz w:val="18"/>
        </w:rPr>
        <w:t xml:space="preserve"> </w:t>
      </w:r>
      <w:r>
        <w:rPr>
          <w:sz w:val="18"/>
        </w:rPr>
        <w:t>to</w:t>
      </w:r>
      <w:r>
        <w:rPr>
          <w:spacing w:val="38"/>
          <w:sz w:val="18"/>
        </w:rPr>
        <w:t xml:space="preserve"> </w:t>
      </w:r>
      <w:r>
        <w:rPr>
          <w:sz w:val="18"/>
        </w:rPr>
        <w:t>China's</w:t>
      </w:r>
      <w:r>
        <w:rPr>
          <w:spacing w:val="35"/>
          <w:sz w:val="18"/>
        </w:rPr>
        <w:t xml:space="preserve"> </w:t>
      </w:r>
      <w:r>
        <w:rPr>
          <w:sz w:val="18"/>
        </w:rPr>
        <w:t>PRR,</w:t>
      </w:r>
      <w:r>
        <w:rPr>
          <w:spacing w:val="36"/>
          <w:sz w:val="18"/>
        </w:rPr>
        <w:t xml:space="preserve"> </w:t>
      </w:r>
      <w:r>
        <w:rPr>
          <w:sz w:val="18"/>
        </w:rPr>
        <w:t>para.</w:t>
      </w:r>
      <w:r>
        <w:rPr>
          <w:spacing w:val="40"/>
          <w:sz w:val="18"/>
        </w:rPr>
        <w:t xml:space="preserve"> </w:t>
      </w:r>
      <w:r>
        <w:rPr>
          <w:sz w:val="18"/>
        </w:rPr>
        <w:t>30</w:t>
      </w:r>
      <w:r>
        <w:rPr>
          <w:spacing w:val="33"/>
          <w:sz w:val="18"/>
        </w:rPr>
        <w:t xml:space="preserve"> </w:t>
      </w:r>
      <w:r>
        <w:rPr>
          <w:sz w:val="18"/>
        </w:rPr>
        <w:t>and</w:t>
      </w:r>
      <w:r>
        <w:rPr>
          <w:spacing w:val="29"/>
          <w:sz w:val="18"/>
        </w:rPr>
        <w:t xml:space="preserve"> </w:t>
      </w:r>
      <w:r>
        <w:rPr>
          <w:sz w:val="18"/>
        </w:rPr>
        <w:t>footnotes</w:t>
      </w:r>
      <w:r>
        <w:rPr>
          <w:spacing w:val="35"/>
          <w:sz w:val="18"/>
        </w:rPr>
        <w:t xml:space="preserve"> </w:t>
      </w:r>
      <w:r>
        <w:rPr>
          <w:sz w:val="18"/>
        </w:rPr>
        <w:t>thereto.</w:t>
      </w:r>
      <w:r>
        <w:rPr>
          <w:spacing w:val="36"/>
          <w:sz w:val="18"/>
        </w:rPr>
        <w:t xml:space="preserve"> </w:t>
      </w:r>
      <w:r>
        <w:rPr>
          <w:sz w:val="18"/>
        </w:rPr>
        <w:t>China</w:t>
      </w:r>
      <w:r>
        <w:rPr>
          <w:spacing w:val="33"/>
          <w:sz w:val="18"/>
        </w:rPr>
        <w:t xml:space="preserve"> </w:t>
      </w:r>
      <w:r>
        <w:rPr>
          <w:sz w:val="18"/>
        </w:rPr>
        <w:t>points</w:t>
      </w:r>
      <w:r>
        <w:rPr>
          <w:spacing w:val="35"/>
          <w:sz w:val="18"/>
        </w:rPr>
        <w:t xml:space="preserve"> </w:t>
      </w:r>
      <w:r>
        <w:rPr>
          <w:sz w:val="18"/>
        </w:rPr>
        <w:t>to</w:t>
      </w:r>
      <w:r>
        <w:rPr>
          <w:spacing w:val="34"/>
          <w:sz w:val="18"/>
        </w:rPr>
        <w:t xml:space="preserve"> </w:t>
      </w:r>
      <w:r>
        <w:rPr>
          <w:sz w:val="18"/>
        </w:rPr>
        <w:t>Appellate</w:t>
      </w:r>
      <w:r>
        <w:rPr>
          <w:spacing w:val="34"/>
          <w:sz w:val="18"/>
        </w:rPr>
        <w:t xml:space="preserve"> </w:t>
      </w:r>
      <w:r>
        <w:rPr>
          <w:sz w:val="18"/>
        </w:rPr>
        <w:t>Body</w:t>
      </w:r>
      <w:r>
        <w:rPr>
          <w:spacing w:val="40"/>
          <w:sz w:val="18"/>
        </w:rPr>
        <w:t xml:space="preserve"> </w:t>
      </w:r>
      <w:r>
        <w:rPr>
          <w:sz w:val="18"/>
        </w:rPr>
        <w:t>jurisprudence suggesting</w:t>
      </w:r>
      <w:r>
        <w:rPr>
          <w:spacing w:val="-2"/>
          <w:sz w:val="18"/>
        </w:rPr>
        <w:t xml:space="preserve"> </w:t>
      </w:r>
      <w:r>
        <w:rPr>
          <w:sz w:val="18"/>
        </w:rPr>
        <w:t>that</w:t>
      </w:r>
      <w:r>
        <w:rPr>
          <w:spacing w:val="-1"/>
          <w:sz w:val="18"/>
        </w:rPr>
        <w:t xml:space="preserve"> </w:t>
      </w:r>
      <w:r>
        <w:rPr>
          <w:sz w:val="18"/>
        </w:rPr>
        <w:t>a</w:t>
      </w:r>
      <w:r>
        <w:rPr>
          <w:spacing w:val="-4"/>
          <w:sz w:val="18"/>
        </w:rPr>
        <w:t xml:space="preserve"> </w:t>
      </w:r>
      <w:r>
        <w:rPr>
          <w:sz w:val="18"/>
        </w:rPr>
        <w:t>panel</w:t>
      </w:r>
      <w:r>
        <w:rPr>
          <w:spacing w:val="-1"/>
          <w:sz w:val="18"/>
        </w:rPr>
        <w:t xml:space="preserve"> </w:t>
      </w:r>
      <w:r>
        <w:rPr>
          <w:sz w:val="18"/>
        </w:rPr>
        <w:t>cannot</w:t>
      </w:r>
      <w:r>
        <w:rPr>
          <w:spacing w:val="-1"/>
          <w:sz w:val="18"/>
        </w:rPr>
        <w:t xml:space="preserve"> </w:t>
      </w:r>
      <w:r>
        <w:rPr>
          <w:sz w:val="18"/>
        </w:rPr>
        <w:t>make</w:t>
      </w:r>
      <w:r>
        <w:rPr>
          <w:spacing w:val="-2"/>
          <w:sz w:val="18"/>
        </w:rPr>
        <w:t xml:space="preserve"> </w:t>
      </w:r>
      <w:r>
        <w:rPr>
          <w:sz w:val="18"/>
        </w:rPr>
        <w:t>a</w:t>
      </w:r>
      <w:r>
        <w:rPr>
          <w:spacing w:val="-9"/>
          <w:sz w:val="18"/>
        </w:rPr>
        <w:t xml:space="preserve"> </w:t>
      </w:r>
      <w:r>
        <w:rPr>
          <w:sz w:val="18"/>
        </w:rPr>
        <w:t>finding</w:t>
      </w:r>
      <w:r>
        <w:rPr>
          <w:spacing w:val="-2"/>
          <w:sz w:val="18"/>
        </w:rPr>
        <w:t xml:space="preserve"> </w:t>
      </w:r>
      <w:r>
        <w:rPr>
          <w:sz w:val="18"/>
        </w:rPr>
        <w:t>on</w:t>
      </w:r>
      <w:r>
        <w:rPr>
          <w:spacing w:val="-3"/>
          <w:sz w:val="18"/>
        </w:rPr>
        <w:t xml:space="preserve"> </w:t>
      </w:r>
      <w:r>
        <w:rPr>
          <w:sz w:val="18"/>
        </w:rPr>
        <w:t>a</w:t>
      </w:r>
      <w:r>
        <w:rPr>
          <w:spacing w:val="-4"/>
          <w:sz w:val="18"/>
        </w:rPr>
        <w:t xml:space="preserve"> </w:t>
      </w:r>
      <w:r>
        <w:rPr>
          <w:sz w:val="18"/>
        </w:rPr>
        <w:t>provision</w:t>
      </w:r>
      <w:r>
        <w:rPr>
          <w:spacing w:val="-3"/>
          <w:sz w:val="18"/>
        </w:rPr>
        <w:t xml:space="preserve"> </w:t>
      </w:r>
      <w:r>
        <w:rPr>
          <w:sz w:val="18"/>
        </w:rPr>
        <w:t>that</w:t>
      </w:r>
      <w:r>
        <w:rPr>
          <w:spacing w:val="-6"/>
          <w:sz w:val="18"/>
        </w:rPr>
        <w:t xml:space="preserve"> </w:t>
      </w:r>
      <w:r>
        <w:rPr>
          <w:sz w:val="18"/>
        </w:rPr>
        <w:t>was</w:t>
      </w:r>
      <w:r>
        <w:rPr>
          <w:spacing w:val="-2"/>
          <w:sz w:val="18"/>
        </w:rPr>
        <w:t xml:space="preserve"> </w:t>
      </w:r>
      <w:r>
        <w:rPr>
          <w:sz w:val="18"/>
        </w:rPr>
        <w:t>not</w:t>
      </w:r>
      <w:r>
        <w:rPr>
          <w:spacing w:val="-1"/>
          <w:sz w:val="18"/>
        </w:rPr>
        <w:t xml:space="preserve"> </w:t>
      </w:r>
      <w:r>
        <w:rPr>
          <w:sz w:val="18"/>
        </w:rPr>
        <w:t>cited</w:t>
      </w:r>
      <w:r>
        <w:rPr>
          <w:spacing w:val="-3"/>
          <w:sz w:val="18"/>
        </w:rPr>
        <w:t xml:space="preserve"> </w:t>
      </w:r>
      <w:r>
        <w:rPr>
          <w:sz w:val="18"/>
        </w:rPr>
        <w:t>in</w:t>
      </w:r>
      <w:r>
        <w:rPr>
          <w:spacing w:val="-3"/>
          <w:sz w:val="18"/>
        </w:rPr>
        <w:t xml:space="preserve"> </w:t>
      </w:r>
      <w:r>
        <w:rPr>
          <w:sz w:val="18"/>
        </w:rPr>
        <w:t>a</w:t>
      </w:r>
      <w:r>
        <w:rPr>
          <w:spacing w:val="-9"/>
          <w:sz w:val="18"/>
        </w:rPr>
        <w:t xml:space="preserve"> </w:t>
      </w:r>
      <w:r>
        <w:rPr>
          <w:sz w:val="18"/>
        </w:rPr>
        <w:t>panel</w:t>
      </w:r>
      <w:r>
        <w:rPr>
          <w:spacing w:val="-1"/>
          <w:sz w:val="18"/>
        </w:rPr>
        <w:t xml:space="preserve"> </w:t>
      </w:r>
      <w:r>
        <w:rPr>
          <w:sz w:val="18"/>
        </w:rPr>
        <w:t>request.</w:t>
      </w:r>
      <w:r>
        <w:rPr>
          <w:spacing w:val="-1"/>
          <w:sz w:val="18"/>
        </w:rPr>
        <w:t xml:space="preserve"> </w:t>
      </w:r>
      <w:r>
        <w:rPr>
          <w:sz w:val="18"/>
        </w:rPr>
        <w:t>Australia</w:t>
      </w:r>
      <w:r>
        <w:rPr>
          <w:spacing w:val="-4"/>
          <w:sz w:val="18"/>
        </w:rPr>
        <w:t xml:space="preserve"> </w:t>
      </w:r>
      <w:r>
        <w:rPr>
          <w:sz w:val="18"/>
        </w:rPr>
        <w:t>agrees</w:t>
      </w:r>
      <w:r>
        <w:rPr>
          <w:spacing w:val="-2"/>
          <w:sz w:val="18"/>
        </w:rPr>
        <w:t xml:space="preserve"> </w:t>
      </w:r>
      <w:r>
        <w:rPr>
          <w:sz w:val="18"/>
        </w:rPr>
        <w:t>with</w:t>
      </w:r>
      <w:r>
        <w:rPr>
          <w:spacing w:val="-3"/>
          <w:sz w:val="18"/>
        </w:rPr>
        <w:t xml:space="preserve"> </w:t>
      </w:r>
      <w:r>
        <w:rPr>
          <w:sz w:val="18"/>
        </w:rPr>
        <w:t>that position: China's first written submission, para. 140</w:t>
      </w:r>
      <w:r>
        <w:rPr>
          <w:spacing w:val="-1"/>
          <w:sz w:val="18"/>
        </w:rPr>
        <w:t xml:space="preserve"> </w:t>
      </w:r>
      <w:r>
        <w:rPr>
          <w:sz w:val="18"/>
        </w:rPr>
        <w:t>(citing Appellate Body</w:t>
      </w:r>
      <w:r>
        <w:rPr>
          <w:spacing w:val="-1"/>
          <w:sz w:val="18"/>
        </w:rPr>
        <w:t xml:space="preserve"> </w:t>
      </w:r>
      <w:r>
        <w:rPr>
          <w:sz w:val="18"/>
        </w:rPr>
        <w:t xml:space="preserve">Report, </w:t>
      </w:r>
      <w:r>
        <w:rPr>
          <w:i/>
          <w:sz w:val="18"/>
        </w:rPr>
        <w:t xml:space="preserve">Korea – Radionuclides, </w:t>
      </w:r>
      <w:r>
        <w:rPr>
          <w:sz w:val="18"/>
        </w:rPr>
        <w:t>para</w:t>
      </w:r>
      <w:r>
        <w:rPr>
          <w:i/>
          <w:sz w:val="18"/>
        </w:rPr>
        <w:t xml:space="preserve">. </w:t>
      </w:r>
      <w:r>
        <w:rPr>
          <w:sz w:val="18"/>
        </w:rPr>
        <w:t xml:space="preserve">5.94-5.130). </w:t>
      </w:r>
      <w:bookmarkStart w:id="104" w:name="_bookmark89"/>
      <w:bookmarkEnd w:id="104"/>
      <w:r>
        <w:rPr>
          <w:position w:val="5"/>
          <w:sz w:val="12"/>
        </w:rPr>
        <w:t>66</w:t>
      </w:r>
      <w:r>
        <w:rPr>
          <w:spacing w:val="20"/>
          <w:position w:val="5"/>
          <w:sz w:val="12"/>
        </w:rPr>
        <w:t xml:space="preserve"> </w:t>
      </w:r>
      <w:r>
        <w:rPr>
          <w:sz w:val="18"/>
        </w:rPr>
        <w:t>See particularly</w:t>
      </w:r>
      <w:r>
        <w:rPr>
          <w:spacing w:val="-1"/>
          <w:sz w:val="18"/>
        </w:rPr>
        <w:t xml:space="preserve"> </w:t>
      </w:r>
      <w:r>
        <w:rPr>
          <w:sz w:val="18"/>
        </w:rPr>
        <w:t>Australia's response to China's</w:t>
      </w:r>
      <w:r>
        <w:rPr>
          <w:spacing w:val="-4"/>
          <w:sz w:val="18"/>
        </w:rPr>
        <w:t xml:space="preserve"> </w:t>
      </w:r>
      <w:r>
        <w:rPr>
          <w:sz w:val="18"/>
        </w:rPr>
        <w:t>PRR, paras. 13, 16, 32, and 41 and footnotes thereto; Canada's third-party submission on the preliminary ruling request, para. 7; European Union's third-party submission on the preliminary ruling</w:t>
      </w:r>
      <w:r>
        <w:rPr>
          <w:spacing w:val="40"/>
          <w:sz w:val="18"/>
        </w:rPr>
        <w:t xml:space="preserve"> </w:t>
      </w:r>
      <w:r>
        <w:rPr>
          <w:sz w:val="18"/>
        </w:rPr>
        <w:t>request, paras. 14-15Japan's response</w:t>
      </w:r>
      <w:r>
        <w:rPr>
          <w:spacing w:val="-3"/>
          <w:sz w:val="18"/>
        </w:rPr>
        <w:t xml:space="preserve"> </w:t>
      </w:r>
      <w:r>
        <w:rPr>
          <w:sz w:val="18"/>
        </w:rPr>
        <w:t>to</w:t>
      </w:r>
      <w:r>
        <w:rPr>
          <w:spacing w:val="-4"/>
          <w:sz w:val="18"/>
        </w:rPr>
        <w:t xml:space="preserve"> </w:t>
      </w:r>
      <w:r>
        <w:rPr>
          <w:sz w:val="18"/>
        </w:rPr>
        <w:t>Panel</w:t>
      </w:r>
      <w:r>
        <w:rPr>
          <w:spacing w:val="-2"/>
          <w:sz w:val="18"/>
        </w:rPr>
        <w:t xml:space="preserve"> </w:t>
      </w:r>
      <w:r>
        <w:rPr>
          <w:sz w:val="18"/>
        </w:rPr>
        <w:t>question</w:t>
      </w:r>
      <w:r>
        <w:rPr>
          <w:spacing w:val="-4"/>
          <w:sz w:val="18"/>
        </w:rPr>
        <w:t xml:space="preserve"> </w:t>
      </w:r>
      <w:r>
        <w:rPr>
          <w:sz w:val="18"/>
        </w:rPr>
        <w:t>No. 1</w:t>
      </w:r>
      <w:r>
        <w:rPr>
          <w:spacing w:val="-5"/>
          <w:sz w:val="18"/>
        </w:rPr>
        <w:t xml:space="preserve"> </w:t>
      </w:r>
      <w:r>
        <w:rPr>
          <w:sz w:val="18"/>
        </w:rPr>
        <w:t>following</w:t>
      </w:r>
      <w:r>
        <w:rPr>
          <w:spacing w:val="-3"/>
          <w:sz w:val="18"/>
        </w:rPr>
        <w:t xml:space="preserve"> </w:t>
      </w:r>
      <w:r>
        <w:rPr>
          <w:sz w:val="18"/>
        </w:rPr>
        <w:t>the</w:t>
      </w:r>
      <w:r>
        <w:rPr>
          <w:spacing w:val="-3"/>
          <w:sz w:val="18"/>
        </w:rPr>
        <w:t xml:space="preserve"> </w:t>
      </w:r>
      <w:r>
        <w:rPr>
          <w:sz w:val="18"/>
        </w:rPr>
        <w:t>third-party session,</w:t>
      </w:r>
      <w:r>
        <w:rPr>
          <w:spacing w:val="-1"/>
          <w:sz w:val="18"/>
        </w:rPr>
        <w:t xml:space="preserve"> </w:t>
      </w:r>
      <w:r>
        <w:rPr>
          <w:sz w:val="18"/>
        </w:rPr>
        <w:t>para.</w:t>
      </w:r>
      <w:r>
        <w:rPr>
          <w:spacing w:val="-2"/>
          <w:sz w:val="18"/>
        </w:rPr>
        <w:t xml:space="preserve"> </w:t>
      </w:r>
      <w:r>
        <w:rPr>
          <w:sz w:val="18"/>
        </w:rPr>
        <w:t>8; c.f</w:t>
      </w:r>
      <w:r>
        <w:rPr>
          <w:i/>
          <w:sz w:val="18"/>
        </w:rPr>
        <w:t xml:space="preserve">. </w:t>
      </w:r>
      <w:r>
        <w:rPr>
          <w:sz w:val="18"/>
        </w:rPr>
        <w:t>China's</w:t>
      </w:r>
      <w:r>
        <w:rPr>
          <w:spacing w:val="-3"/>
          <w:sz w:val="18"/>
        </w:rPr>
        <w:t xml:space="preserve"> </w:t>
      </w:r>
      <w:r>
        <w:rPr>
          <w:sz w:val="18"/>
        </w:rPr>
        <w:t>opening statement at the first meeting with the Panel, para. 11-13; China's first written submission, section III.A.</w:t>
      </w:r>
    </w:p>
    <w:p w14:paraId="3C29C8F1" w14:textId="77777777" w:rsidR="00BD462C" w:rsidRDefault="00033D0F">
      <w:pPr>
        <w:spacing w:before="3"/>
        <w:ind w:left="135"/>
        <w:rPr>
          <w:sz w:val="18"/>
        </w:rPr>
      </w:pPr>
      <w:bookmarkStart w:id="105" w:name="_bookmark90"/>
      <w:bookmarkEnd w:id="105"/>
      <w:r>
        <w:rPr>
          <w:position w:val="5"/>
          <w:sz w:val="12"/>
        </w:rPr>
        <w:t>67</w:t>
      </w:r>
      <w:r>
        <w:rPr>
          <w:spacing w:val="14"/>
          <w:position w:val="5"/>
          <w:sz w:val="12"/>
        </w:rPr>
        <w:t xml:space="preserve"> </w:t>
      </w:r>
      <w:r>
        <w:rPr>
          <w:sz w:val="18"/>
        </w:rPr>
        <w:t>Appellate</w:t>
      </w:r>
      <w:r>
        <w:rPr>
          <w:spacing w:val="-9"/>
          <w:sz w:val="18"/>
        </w:rPr>
        <w:t xml:space="preserve"> </w:t>
      </w:r>
      <w:r>
        <w:rPr>
          <w:sz w:val="18"/>
        </w:rPr>
        <w:t>Body</w:t>
      </w:r>
      <w:r>
        <w:rPr>
          <w:spacing w:val="-5"/>
          <w:sz w:val="18"/>
        </w:rPr>
        <w:t xml:space="preserve"> </w:t>
      </w:r>
      <w:r>
        <w:rPr>
          <w:sz w:val="18"/>
        </w:rPr>
        <w:t>Report,</w:t>
      </w:r>
      <w:r>
        <w:rPr>
          <w:spacing w:val="-3"/>
          <w:sz w:val="18"/>
        </w:rPr>
        <w:t xml:space="preserve"> </w:t>
      </w:r>
      <w:r>
        <w:rPr>
          <w:i/>
          <w:sz w:val="18"/>
        </w:rPr>
        <w:t>Korea</w:t>
      </w:r>
      <w:r>
        <w:rPr>
          <w:i/>
          <w:spacing w:val="-3"/>
          <w:sz w:val="18"/>
        </w:rPr>
        <w:t xml:space="preserve"> </w:t>
      </w:r>
      <w:r>
        <w:rPr>
          <w:i/>
          <w:sz w:val="18"/>
        </w:rPr>
        <w:t>–</w:t>
      </w:r>
      <w:r>
        <w:rPr>
          <w:i/>
          <w:spacing w:val="-4"/>
          <w:sz w:val="18"/>
        </w:rPr>
        <w:t xml:space="preserve"> </w:t>
      </w:r>
      <w:r>
        <w:rPr>
          <w:i/>
          <w:sz w:val="18"/>
        </w:rPr>
        <w:t>Pneumatic</w:t>
      </w:r>
      <w:r>
        <w:rPr>
          <w:i/>
          <w:spacing w:val="-4"/>
          <w:sz w:val="18"/>
        </w:rPr>
        <w:t xml:space="preserve"> </w:t>
      </w:r>
      <w:r>
        <w:rPr>
          <w:i/>
          <w:sz w:val="18"/>
        </w:rPr>
        <w:t>Valves</w:t>
      </w:r>
      <w:r>
        <w:rPr>
          <w:i/>
          <w:spacing w:val="-4"/>
          <w:sz w:val="18"/>
        </w:rPr>
        <w:t xml:space="preserve"> </w:t>
      </w:r>
      <w:r>
        <w:rPr>
          <w:i/>
          <w:sz w:val="18"/>
        </w:rPr>
        <w:t>(Japan)</w:t>
      </w:r>
      <w:r>
        <w:rPr>
          <w:sz w:val="18"/>
        </w:rPr>
        <w:t>,</w:t>
      </w:r>
      <w:r>
        <w:rPr>
          <w:spacing w:val="-2"/>
          <w:sz w:val="18"/>
        </w:rPr>
        <w:t xml:space="preserve"> </w:t>
      </w:r>
      <w:r>
        <w:rPr>
          <w:sz w:val="18"/>
        </w:rPr>
        <w:t>para.</w:t>
      </w:r>
      <w:r>
        <w:rPr>
          <w:spacing w:val="2"/>
          <w:sz w:val="18"/>
        </w:rPr>
        <w:t xml:space="preserve"> </w:t>
      </w:r>
      <w:r>
        <w:rPr>
          <w:spacing w:val="-4"/>
          <w:sz w:val="18"/>
        </w:rPr>
        <w:t>5.9.</w:t>
      </w:r>
    </w:p>
    <w:p w14:paraId="2A0E914E" w14:textId="77777777" w:rsidR="00BD462C" w:rsidRDefault="00BD462C">
      <w:pPr>
        <w:rPr>
          <w:sz w:val="18"/>
        </w:rPr>
        <w:sectPr w:rsidR="00BD462C">
          <w:pgSz w:w="11910" w:h="16840"/>
          <w:pgMar w:top="860" w:right="500" w:bottom="780" w:left="1280" w:header="566" w:footer="590" w:gutter="0"/>
          <w:cols w:space="720"/>
        </w:sectPr>
      </w:pPr>
    </w:p>
    <w:p w14:paraId="0BE92951"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0AE2C2F3"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385D926F"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78C781F7" w14:textId="77777777" w:rsidR="00BD462C" w:rsidRDefault="00033D0F">
      <w:pPr>
        <w:pStyle w:val="BodyText"/>
        <w:spacing w:before="102" w:line="360" w:lineRule="auto"/>
        <w:ind w:left="135" w:right="917"/>
        <w:jc w:val="both"/>
      </w:pPr>
      <w:r>
        <w:t>paraphrased the specific provisions at issue.</w:t>
      </w:r>
      <w:hyperlink w:anchor="_bookmark93" w:history="1">
        <w:r>
          <w:rPr>
            <w:vertAlign w:val="superscript"/>
          </w:rPr>
          <w:t>68</w:t>
        </w:r>
      </w:hyperlink>
      <w:r>
        <w:t xml:space="preserve"> This narrative and citation in combination provided</w:t>
      </w:r>
      <w:r>
        <w:rPr>
          <w:spacing w:val="-14"/>
        </w:rPr>
        <w:t xml:space="preserve"> </w:t>
      </w:r>
      <w:r>
        <w:t>context</w:t>
      </w:r>
      <w:r>
        <w:rPr>
          <w:spacing w:val="-14"/>
        </w:rPr>
        <w:t xml:space="preserve"> </w:t>
      </w:r>
      <w:r>
        <w:t>that</w:t>
      </w:r>
      <w:r>
        <w:rPr>
          <w:spacing w:val="-11"/>
        </w:rPr>
        <w:t xml:space="preserve"> </w:t>
      </w:r>
      <w:r>
        <w:t>made</w:t>
      </w:r>
      <w:r>
        <w:rPr>
          <w:spacing w:val="-8"/>
        </w:rPr>
        <w:t xml:space="preserve"> </w:t>
      </w:r>
      <w:r>
        <w:t>the</w:t>
      </w:r>
      <w:r>
        <w:rPr>
          <w:spacing w:val="-13"/>
        </w:rPr>
        <w:t xml:space="preserve"> </w:t>
      </w:r>
      <w:r>
        <w:t>nature</w:t>
      </w:r>
      <w:r>
        <w:rPr>
          <w:spacing w:val="-8"/>
        </w:rPr>
        <w:t xml:space="preserve"> </w:t>
      </w:r>
      <w:r>
        <w:t>of</w:t>
      </w:r>
      <w:r>
        <w:rPr>
          <w:spacing w:val="-14"/>
        </w:rPr>
        <w:t xml:space="preserve"> </w:t>
      </w:r>
      <w:r>
        <w:t>the</w:t>
      </w:r>
      <w:r>
        <w:rPr>
          <w:spacing w:val="-7"/>
        </w:rPr>
        <w:t xml:space="preserve"> </w:t>
      </w:r>
      <w:r>
        <w:t>claim</w:t>
      </w:r>
      <w:r>
        <w:rPr>
          <w:spacing w:val="-13"/>
        </w:rPr>
        <w:t xml:space="preserve"> </w:t>
      </w:r>
      <w:r>
        <w:t>clear</w:t>
      </w:r>
      <w:r>
        <w:rPr>
          <w:spacing w:val="-14"/>
        </w:rPr>
        <w:t xml:space="preserve"> </w:t>
      </w:r>
      <w:r>
        <w:t>to</w:t>
      </w:r>
      <w:r>
        <w:rPr>
          <w:spacing w:val="-10"/>
        </w:rPr>
        <w:t xml:space="preserve"> </w:t>
      </w:r>
      <w:r>
        <w:t>the</w:t>
      </w:r>
      <w:r>
        <w:rPr>
          <w:spacing w:val="-8"/>
        </w:rPr>
        <w:t xml:space="preserve"> </w:t>
      </w:r>
      <w:r>
        <w:t>respondent.</w:t>
      </w:r>
      <w:r>
        <w:rPr>
          <w:spacing w:val="-7"/>
        </w:rPr>
        <w:t xml:space="preserve"> </w:t>
      </w:r>
      <w:r>
        <w:t>The</w:t>
      </w:r>
      <w:r>
        <w:rPr>
          <w:spacing w:val="-8"/>
        </w:rPr>
        <w:t xml:space="preserve"> </w:t>
      </w:r>
      <w:r>
        <w:t>panel</w:t>
      </w:r>
      <w:r>
        <w:rPr>
          <w:spacing w:val="-11"/>
        </w:rPr>
        <w:t xml:space="preserve"> </w:t>
      </w:r>
      <w:r>
        <w:t>further noted that specific provisions could be well-delineated, "such that Japan's identification of these provisions in the narrative of the panel request would seem to plainly connect the measure at issue with the provisions of the covered agreement alleged to have been breached".</w:t>
      </w:r>
      <w:r>
        <w:rPr>
          <w:spacing w:val="-14"/>
        </w:rPr>
        <w:t xml:space="preserve"> </w:t>
      </w:r>
      <w:hyperlink w:anchor="_bookmark94" w:history="1">
        <w:r>
          <w:rPr>
            <w:vertAlign w:val="superscript"/>
          </w:rPr>
          <w:t>69</w:t>
        </w:r>
      </w:hyperlink>
      <w:r>
        <w:rPr>
          <w:spacing w:val="-14"/>
        </w:rPr>
        <w:t xml:space="preserve"> </w:t>
      </w:r>
      <w:r>
        <w:t>Australia</w:t>
      </w:r>
      <w:r>
        <w:rPr>
          <w:spacing w:val="-13"/>
        </w:rPr>
        <w:t xml:space="preserve"> </w:t>
      </w:r>
      <w:r>
        <w:t>submits</w:t>
      </w:r>
      <w:r>
        <w:rPr>
          <w:spacing w:val="-14"/>
        </w:rPr>
        <w:t xml:space="preserve"> </w:t>
      </w:r>
      <w:r>
        <w:t>that,</w:t>
      </w:r>
      <w:r>
        <w:rPr>
          <w:spacing w:val="-13"/>
        </w:rPr>
        <w:t xml:space="preserve"> </w:t>
      </w:r>
      <w:r>
        <w:t>similarly,</w:t>
      </w:r>
      <w:r>
        <w:rPr>
          <w:spacing w:val="-9"/>
        </w:rPr>
        <w:t xml:space="preserve"> </w:t>
      </w:r>
      <w:r>
        <w:t>where</w:t>
      </w:r>
      <w:r>
        <w:rPr>
          <w:spacing w:val="-14"/>
        </w:rPr>
        <w:t xml:space="preserve"> </w:t>
      </w:r>
      <w:r>
        <w:t>it</w:t>
      </w:r>
      <w:r>
        <w:rPr>
          <w:spacing w:val="-9"/>
        </w:rPr>
        <w:t xml:space="preserve"> </w:t>
      </w:r>
      <w:r>
        <w:t>paraphrased</w:t>
      </w:r>
      <w:r>
        <w:rPr>
          <w:spacing w:val="-12"/>
        </w:rPr>
        <w:t xml:space="preserve"> </w:t>
      </w:r>
      <w:r>
        <w:t>or</w:t>
      </w:r>
      <w:r>
        <w:rPr>
          <w:spacing w:val="-8"/>
        </w:rPr>
        <w:t xml:space="preserve"> </w:t>
      </w:r>
      <w:r>
        <w:t>referenced</w:t>
      </w:r>
      <w:r>
        <w:rPr>
          <w:spacing w:val="-12"/>
        </w:rPr>
        <w:t xml:space="preserve"> </w:t>
      </w:r>
      <w:r>
        <w:t>a</w:t>
      </w:r>
      <w:r>
        <w:rPr>
          <w:spacing w:val="-11"/>
        </w:rPr>
        <w:t xml:space="preserve"> </w:t>
      </w:r>
      <w:r>
        <w:t xml:space="preserve">particular provision, the narrative </w:t>
      </w:r>
      <w:proofErr w:type="gramStart"/>
      <w:r>
        <w:t>context</w:t>
      </w:r>
      <w:proofErr w:type="gramEnd"/>
      <w:r>
        <w:t xml:space="preserve"> and the nature of the provisions at issue rendered this sufficient to</w:t>
      </w:r>
      <w:r>
        <w:rPr>
          <w:spacing w:val="-1"/>
        </w:rPr>
        <w:t xml:space="preserve"> </w:t>
      </w:r>
      <w:r>
        <w:t>present the problem clearly. China was able to</w:t>
      </w:r>
      <w:r>
        <w:rPr>
          <w:spacing w:val="-1"/>
        </w:rPr>
        <w:t xml:space="preserve"> </w:t>
      </w:r>
      <w:r>
        <w:t xml:space="preserve">commence preparing its </w:t>
      </w:r>
      <w:proofErr w:type="spellStart"/>
      <w:r>
        <w:t>defence</w:t>
      </w:r>
      <w:proofErr w:type="spellEnd"/>
      <w:r>
        <w:t xml:space="preserve"> on this basis.</w:t>
      </w:r>
    </w:p>
    <w:p w14:paraId="18D1D22D" w14:textId="77777777" w:rsidR="00BD462C" w:rsidRDefault="00BD462C">
      <w:pPr>
        <w:pStyle w:val="BodyText"/>
        <w:spacing w:before="10"/>
        <w:rPr>
          <w:sz w:val="8"/>
        </w:rPr>
      </w:pPr>
    </w:p>
    <w:p w14:paraId="4478BC20" w14:textId="35AB6698" w:rsidR="00BD462C" w:rsidRDefault="00033D0F" w:rsidP="00C65BAF">
      <w:pPr>
        <w:pStyle w:val="BodyText"/>
        <w:numPr>
          <w:ilvl w:val="0"/>
          <w:numId w:val="68"/>
        </w:numPr>
        <w:spacing w:before="56" w:line="355" w:lineRule="auto"/>
        <w:ind w:right="923"/>
      </w:pPr>
      <w:r>
        <w:rPr>
          <w:position w:val="1"/>
        </w:rPr>
        <w:t>Where</w:t>
      </w:r>
      <w:r>
        <w:rPr>
          <w:spacing w:val="40"/>
          <w:position w:val="1"/>
        </w:rPr>
        <w:t xml:space="preserve"> </w:t>
      </w:r>
      <w:r>
        <w:rPr>
          <w:position w:val="1"/>
        </w:rPr>
        <w:t>China</w:t>
      </w:r>
      <w:r>
        <w:rPr>
          <w:spacing w:val="40"/>
          <w:position w:val="1"/>
        </w:rPr>
        <w:t xml:space="preserve"> </w:t>
      </w:r>
      <w:r>
        <w:rPr>
          <w:position w:val="1"/>
        </w:rPr>
        <w:t>alleges</w:t>
      </w:r>
      <w:r>
        <w:rPr>
          <w:spacing w:val="40"/>
          <w:position w:val="1"/>
        </w:rPr>
        <w:t xml:space="preserve"> </w:t>
      </w:r>
      <w:r>
        <w:rPr>
          <w:position w:val="1"/>
        </w:rPr>
        <w:t>lack</w:t>
      </w:r>
      <w:r>
        <w:rPr>
          <w:spacing w:val="40"/>
          <w:position w:val="1"/>
        </w:rPr>
        <w:t xml:space="preserve"> </w:t>
      </w:r>
      <w:r>
        <w:rPr>
          <w:position w:val="1"/>
        </w:rPr>
        <w:t>of</w:t>
      </w:r>
      <w:r>
        <w:rPr>
          <w:spacing w:val="40"/>
          <w:position w:val="1"/>
        </w:rPr>
        <w:t xml:space="preserve"> </w:t>
      </w:r>
      <w:r>
        <w:rPr>
          <w:position w:val="1"/>
        </w:rPr>
        <w:t>clarity</w:t>
      </w:r>
      <w:r>
        <w:rPr>
          <w:spacing w:val="40"/>
          <w:position w:val="1"/>
        </w:rPr>
        <w:t xml:space="preserve"> </w:t>
      </w:r>
      <w:r>
        <w:rPr>
          <w:position w:val="1"/>
        </w:rPr>
        <w:t>in</w:t>
      </w:r>
      <w:r>
        <w:rPr>
          <w:spacing w:val="40"/>
          <w:position w:val="1"/>
        </w:rPr>
        <w:t xml:space="preserve"> </w:t>
      </w:r>
      <w:r>
        <w:rPr>
          <w:position w:val="1"/>
        </w:rPr>
        <w:t>relation</w:t>
      </w:r>
      <w:r>
        <w:rPr>
          <w:spacing w:val="40"/>
          <w:position w:val="1"/>
        </w:rPr>
        <w:t xml:space="preserve"> </w:t>
      </w:r>
      <w:r>
        <w:rPr>
          <w:position w:val="1"/>
        </w:rPr>
        <w:t>to</w:t>
      </w:r>
      <w:r>
        <w:rPr>
          <w:spacing w:val="40"/>
          <w:position w:val="1"/>
        </w:rPr>
        <w:t xml:space="preserve"> </w:t>
      </w:r>
      <w:r>
        <w:rPr>
          <w:position w:val="1"/>
        </w:rPr>
        <w:t>a</w:t>
      </w:r>
      <w:r>
        <w:rPr>
          <w:spacing w:val="40"/>
          <w:position w:val="1"/>
        </w:rPr>
        <w:t xml:space="preserve"> </w:t>
      </w:r>
      <w:r>
        <w:rPr>
          <w:position w:val="1"/>
        </w:rPr>
        <w:t>specific</w:t>
      </w:r>
      <w:r>
        <w:rPr>
          <w:spacing w:val="40"/>
          <w:position w:val="1"/>
        </w:rPr>
        <w:t xml:space="preserve"> </w:t>
      </w:r>
      <w:r>
        <w:rPr>
          <w:position w:val="1"/>
        </w:rPr>
        <w:t>claim</w:t>
      </w:r>
      <w:r>
        <w:rPr>
          <w:spacing w:val="40"/>
          <w:position w:val="1"/>
        </w:rPr>
        <w:t xml:space="preserve"> </w:t>
      </w:r>
      <w:r>
        <w:rPr>
          <w:position w:val="1"/>
        </w:rPr>
        <w:t>or</w:t>
      </w:r>
      <w:r>
        <w:rPr>
          <w:spacing w:val="40"/>
          <w:position w:val="1"/>
        </w:rPr>
        <w:t xml:space="preserve"> </w:t>
      </w:r>
      <w:r>
        <w:rPr>
          <w:position w:val="1"/>
        </w:rPr>
        <w:t xml:space="preserve">argument, </w:t>
      </w:r>
      <w:r>
        <w:t xml:space="preserve">Australia addresses this at </w:t>
      </w:r>
      <w:hyperlink w:anchor="_bookmark1704" w:history="1">
        <w:r>
          <w:t>ANNEX A</w:t>
        </w:r>
      </w:hyperlink>
      <w:r>
        <w:t xml:space="preserve"> of this submission.</w:t>
      </w:r>
    </w:p>
    <w:p w14:paraId="66D5DECE" w14:textId="77777777" w:rsidR="00BD462C" w:rsidRDefault="00033D0F" w:rsidP="00C65BAF">
      <w:pPr>
        <w:pStyle w:val="ListParagraph"/>
        <w:numPr>
          <w:ilvl w:val="2"/>
          <w:numId w:val="68"/>
        </w:numPr>
        <w:tabs>
          <w:tab w:val="left" w:pos="3539"/>
          <w:tab w:val="left" w:pos="3540"/>
        </w:tabs>
        <w:spacing w:before="165"/>
        <w:ind w:hanging="851"/>
        <w:rPr>
          <w:sz w:val="24"/>
        </w:rPr>
      </w:pPr>
      <w:r>
        <w:rPr>
          <w:spacing w:val="-2"/>
          <w:sz w:val="24"/>
          <w:u w:val="single"/>
        </w:rPr>
        <w:t>Conclusion</w:t>
      </w:r>
    </w:p>
    <w:p w14:paraId="35D1741B" w14:textId="77777777" w:rsidR="00BD462C" w:rsidRDefault="00BD462C">
      <w:pPr>
        <w:pStyle w:val="BodyText"/>
        <w:spacing w:before="11"/>
        <w:rPr>
          <w:sz w:val="20"/>
        </w:rPr>
      </w:pPr>
    </w:p>
    <w:p w14:paraId="3F5FFF88" w14:textId="29F43051" w:rsidR="00BD462C" w:rsidRDefault="00033D0F" w:rsidP="00C65BAF">
      <w:pPr>
        <w:pStyle w:val="BodyText"/>
        <w:numPr>
          <w:ilvl w:val="0"/>
          <w:numId w:val="68"/>
        </w:numPr>
        <w:spacing w:before="56" w:line="360" w:lineRule="auto"/>
        <w:ind w:right="914"/>
        <w:jc w:val="both"/>
      </w:pPr>
      <w:r>
        <w:rPr>
          <w:position w:val="1"/>
        </w:rPr>
        <w:t>Australia's</w:t>
      </w:r>
      <w:r>
        <w:rPr>
          <w:spacing w:val="-6"/>
          <w:position w:val="1"/>
        </w:rPr>
        <w:t xml:space="preserve"> </w:t>
      </w:r>
      <w:r>
        <w:rPr>
          <w:position w:val="1"/>
        </w:rPr>
        <w:t>panel</w:t>
      </w:r>
      <w:r>
        <w:rPr>
          <w:spacing w:val="-5"/>
          <w:position w:val="1"/>
        </w:rPr>
        <w:t xml:space="preserve"> </w:t>
      </w:r>
      <w:r>
        <w:rPr>
          <w:position w:val="1"/>
        </w:rPr>
        <w:t>request</w:t>
      </w:r>
      <w:r>
        <w:rPr>
          <w:spacing w:val="-7"/>
          <w:position w:val="1"/>
        </w:rPr>
        <w:t xml:space="preserve"> </w:t>
      </w:r>
      <w:r>
        <w:rPr>
          <w:position w:val="1"/>
        </w:rPr>
        <w:t>met</w:t>
      </w:r>
      <w:r>
        <w:rPr>
          <w:spacing w:val="-6"/>
          <w:position w:val="1"/>
        </w:rPr>
        <w:t xml:space="preserve"> </w:t>
      </w:r>
      <w:r>
        <w:rPr>
          <w:position w:val="1"/>
        </w:rPr>
        <w:t>the</w:t>
      </w:r>
      <w:r>
        <w:rPr>
          <w:spacing w:val="-7"/>
          <w:position w:val="1"/>
        </w:rPr>
        <w:t xml:space="preserve"> </w:t>
      </w:r>
      <w:r>
        <w:rPr>
          <w:position w:val="1"/>
        </w:rPr>
        <w:t>requirements</w:t>
      </w:r>
      <w:r>
        <w:rPr>
          <w:spacing w:val="-6"/>
          <w:position w:val="1"/>
        </w:rPr>
        <w:t xml:space="preserve"> </w:t>
      </w:r>
      <w:r>
        <w:rPr>
          <w:position w:val="1"/>
        </w:rPr>
        <w:t>pursuant</w:t>
      </w:r>
      <w:r>
        <w:rPr>
          <w:spacing w:val="-7"/>
          <w:position w:val="1"/>
        </w:rPr>
        <w:t xml:space="preserve"> </w:t>
      </w:r>
      <w:r>
        <w:rPr>
          <w:position w:val="1"/>
        </w:rPr>
        <w:t>to</w:t>
      </w:r>
      <w:r>
        <w:rPr>
          <w:spacing w:val="-10"/>
          <w:position w:val="1"/>
        </w:rPr>
        <w:t xml:space="preserve"> </w:t>
      </w:r>
      <w:r>
        <w:rPr>
          <w:position w:val="1"/>
        </w:rPr>
        <w:t>Article</w:t>
      </w:r>
      <w:r>
        <w:rPr>
          <w:spacing w:val="-7"/>
          <w:position w:val="1"/>
        </w:rPr>
        <w:t xml:space="preserve"> </w:t>
      </w:r>
      <w:r>
        <w:rPr>
          <w:position w:val="1"/>
        </w:rPr>
        <w:t>6.2</w:t>
      </w:r>
      <w:r>
        <w:rPr>
          <w:spacing w:val="-5"/>
          <w:position w:val="1"/>
        </w:rPr>
        <w:t xml:space="preserve"> </w:t>
      </w:r>
      <w:r>
        <w:rPr>
          <w:position w:val="1"/>
        </w:rPr>
        <w:t>of</w:t>
      </w:r>
      <w:r>
        <w:rPr>
          <w:spacing w:val="-9"/>
          <w:position w:val="1"/>
        </w:rPr>
        <w:t xml:space="preserve"> </w:t>
      </w:r>
      <w:r>
        <w:rPr>
          <w:position w:val="1"/>
        </w:rPr>
        <w:t>the</w:t>
      </w:r>
      <w:r>
        <w:rPr>
          <w:spacing w:val="-7"/>
          <w:position w:val="1"/>
        </w:rPr>
        <w:t xml:space="preserve"> </w:t>
      </w:r>
      <w:r>
        <w:rPr>
          <w:position w:val="1"/>
        </w:rPr>
        <w:t>DSU,</w:t>
      </w:r>
      <w:r>
        <w:rPr>
          <w:spacing w:val="-5"/>
          <w:position w:val="1"/>
        </w:rPr>
        <w:t xml:space="preserve"> </w:t>
      </w:r>
      <w:r>
        <w:rPr>
          <w:position w:val="1"/>
        </w:rPr>
        <w:t xml:space="preserve">as </w:t>
      </w:r>
      <w:r>
        <w:t>properly</w:t>
      </w:r>
      <w:r>
        <w:rPr>
          <w:spacing w:val="-6"/>
        </w:rPr>
        <w:t xml:space="preserve"> </w:t>
      </w:r>
      <w:r>
        <w:t>interpreted</w:t>
      </w:r>
      <w:r>
        <w:rPr>
          <w:spacing w:val="-9"/>
        </w:rPr>
        <w:t xml:space="preserve"> </w:t>
      </w:r>
      <w:r>
        <w:t>and</w:t>
      </w:r>
      <w:r>
        <w:rPr>
          <w:spacing w:val="-9"/>
        </w:rPr>
        <w:t xml:space="preserve"> </w:t>
      </w:r>
      <w:r>
        <w:t>applied.</w:t>
      </w:r>
      <w:r>
        <w:rPr>
          <w:spacing w:val="-6"/>
        </w:rPr>
        <w:t xml:space="preserve"> </w:t>
      </w:r>
      <w:r>
        <w:t>For</w:t>
      </w:r>
      <w:r>
        <w:rPr>
          <w:spacing w:val="-10"/>
        </w:rPr>
        <w:t xml:space="preserve"> </w:t>
      </w:r>
      <w:r>
        <w:t>each</w:t>
      </w:r>
      <w:r>
        <w:rPr>
          <w:spacing w:val="-9"/>
        </w:rPr>
        <w:t xml:space="preserve"> </w:t>
      </w:r>
      <w:r>
        <w:t>claim,</w:t>
      </w:r>
      <w:r>
        <w:rPr>
          <w:spacing w:val="-5"/>
        </w:rPr>
        <w:t xml:space="preserve"> </w:t>
      </w:r>
      <w:r>
        <w:t>Australia:</w:t>
      </w:r>
      <w:r>
        <w:rPr>
          <w:spacing w:val="-10"/>
        </w:rPr>
        <w:t xml:space="preserve"> </w:t>
      </w:r>
      <w:r>
        <w:t>(i)</w:t>
      </w:r>
      <w:r>
        <w:rPr>
          <w:spacing w:val="-9"/>
        </w:rPr>
        <w:t xml:space="preserve"> </w:t>
      </w:r>
      <w:r>
        <w:t>identified</w:t>
      </w:r>
      <w:r>
        <w:rPr>
          <w:spacing w:val="-9"/>
        </w:rPr>
        <w:t xml:space="preserve"> </w:t>
      </w:r>
      <w:r>
        <w:t>the</w:t>
      </w:r>
      <w:r>
        <w:rPr>
          <w:spacing w:val="-7"/>
        </w:rPr>
        <w:t xml:space="preserve"> </w:t>
      </w:r>
      <w:r>
        <w:t>obligations</w:t>
      </w:r>
      <w:r>
        <w:rPr>
          <w:spacing w:val="-6"/>
        </w:rPr>
        <w:t xml:space="preserve"> </w:t>
      </w:r>
      <w:r>
        <w:t>in</w:t>
      </w:r>
      <w:r>
        <w:rPr>
          <w:spacing w:val="-9"/>
        </w:rPr>
        <w:t xml:space="preserve"> </w:t>
      </w:r>
      <w:r>
        <w:t>the Anti-Dumping Agreement that it alleged</w:t>
      </w:r>
      <w:r>
        <w:rPr>
          <w:spacing w:val="-1"/>
        </w:rPr>
        <w:t xml:space="preserve"> </w:t>
      </w:r>
      <w:r>
        <w:t>to</w:t>
      </w:r>
      <w:r>
        <w:rPr>
          <w:spacing w:val="-1"/>
        </w:rPr>
        <w:t xml:space="preserve"> </w:t>
      </w:r>
      <w:r>
        <w:t>be infringed, and</w:t>
      </w:r>
      <w:r>
        <w:rPr>
          <w:spacing w:val="-1"/>
        </w:rPr>
        <w:t xml:space="preserve"> </w:t>
      </w:r>
      <w:r>
        <w:t>(ii) provided</w:t>
      </w:r>
      <w:r>
        <w:rPr>
          <w:spacing w:val="-1"/>
        </w:rPr>
        <w:t xml:space="preserve"> </w:t>
      </w:r>
      <w:r>
        <w:t>a brief summary of the</w:t>
      </w:r>
      <w:r>
        <w:rPr>
          <w:spacing w:val="-14"/>
        </w:rPr>
        <w:t xml:space="preserve"> </w:t>
      </w:r>
      <w:r>
        <w:t>legal</w:t>
      </w:r>
      <w:r>
        <w:rPr>
          <w:spacing w:val="-12"/>
        </w:rPr>
        <w:t xml:space="preserve"> </w:t>
      </w:r>
      <w:r>
        <w:t>basis</w:t>
      </w:r>
      <w:r>
        <w:rPr>
          <w:spacing w:val="-9"/>
        </w:rPr>
        <w:t xml:space="preserve"> </w:t>
      </w:r>
      <w:r>
        <w:t>of</w:t>
      </w:r>
      <w:r>
        <w:rPr>
          <w:spacing w:val="-14"/>
        </w:rPr>
        <w:t xml:space="preserve"> </w:t>
      </w:r>
      <w:r>
        <w:t>the</w:t>
      </w:r>
      <w:r>
        <w:rPr>
          <w:spacing w:val="-11"/>
        </w:rPr>
        <w:t xml:space="preserve"> </w:t>
      </w:r>
      <w:r>
        <w:t>complaint</w:t>
      </w:r>
      <w:r>
        <w:rPr>
          <w:spacing w:val="-14"/>
        </w:rPr>
        <w:t xml:space="preserve"> </w:t>
      </w:r>
      <w:r>
        <w:t>that</w:t>
      </w:r>
      <w:r>
        <w:rPr>
          <w:spacing w:val="-10"/>
        </w:rPr>
        <w:t xml:space="preserve"> </w:t>
      </w:r>
      <w:r>
        <w:t>was</w:t>
      </w:r>
      <w:r>
        <w:rPr>
          <w:spacing w:val="-14"/>
        </w:rPr>
        <w:t xml:space="preserve"> </w:t>
      </w:r>
      <w:r>
        <w:t>sufficient</w:t>
      </w:r>
      <w:r>
        <w:rPr>
          <w:spacing w:val="-14"/>
        </w:rPr>
        <w:t xml:space="preserve"> </w:t>
      </w:r>
      <w:r>
        <w:t>to</w:t>
      </w:r>
      <w:r>
        <w:rPr>
          <w:spacing w:val="-13"/>
        </w:rPr>
        <w:t xml:space="preserve"> </w:t>
      </w:r>
      <w:r>
        <w:t>present</w:t>
      </w:r>
      <w:r>
        <w:rPr>
          <w:spacing w:val="-11"/>
        </w:rPr>
        <w:t xml:space="preserve"> </w:t>
      </w:r>
      <w:r>
        <w:t>the</w:t>
      </w:r>
      <w:r>
        <w:rPr>
          <w:spacing w:val="-12"/>
        </w:rPr>
        <w:t xml:space="preserve"> </w:t>
      </w:r>
      <w:r>
        <w:t>problem</w:t>
      </w:r>
      <w:r>
        <w:rPr>
          <w:spacing w:val="-12"/>
        </w:rPr>
        <w:t xml:space="preserve"> </w:t>
      </w:r>
      <w:r>
        <w:t>clearly.</w:t>
      </w:r>
      <w:hyperlink w:anchor="_bookmark95" w:history="1">
        <w:r>
          <w:rPr>
            <w:vertAlign w:val="superscript"/>
          </w:rPr>
          <w:t>70</w:t>
        </w:r>
      </w:hyperlink>
      <w:r>
        <w:rPr>
          <w:spacing w:val="-11"/>
        </w:rPr>
        <w:t xml:space="preserve"> </w:t>
      </w:r>
      <w:r>
        <w:t>Each</w:t>
      </w:r>
      <w:r>
        <w:rPr>
          <w:spacing w:val="-14"/>
        </w:rPr>
        <w:t xml:space="preserve"> </w:t>
      </w:r>
      <w:r>
        <w:t>claim in its panel request falls within the Panel's terms of reference pursuant to Article 7.1 of the DSU, China has suffered no due process impairment.</w:t>
      </w:r>
      <w:r>
        <w:rPr>
          <w:spacing w:val="-28"/>
        </w:rPr>
        <w:t xml:space="preserve"> </w:t>
      </w:r>
      <w:hyperlink w:anchor="_bookmark96" w:history="1">
        <w:r>
          <w:rPr>
            <w:vertAlign w:val="superscript"/>
          </w:rPr>
          <w:t>71</w:t>
        </w:r>
      </w:hyperlink>
    </w:p>
    <w:p w14:paraId="60DAE86F" w14:textId="77777777" w:rsidR="00BD462C" w:rsidRDefault="00033D0F">
      <w:pPr>
        <w:pStyle w:val="ListParagraph"/>
        <w:numPr>
          <w:ilvl w:val="1"/>
          <w:numId w:val="66"/>
        </w:numPr>
        <w:tabs>
          <w:tab w:val="left" w:pos="1839"/>
          <w:tab w:val="left" w:pos="1840"/>
        </w:tabs>
        <w:spacing w:before="158"/>
        <w:ind w:left="1840"/>
        <w:rPr>
          <w:b/>
        </w:rPr>
      </w:pPr>
      <w:bookmarkStart w:id="106" w:name="B._Australia_has_made_out_a_prima_facie_"/>
      <w:bookmarkStart w:id="107" w:name="_bookmark91"/>
      <w:bookmarkEnd w:id="106"/>
      <w:bookmarkEnd w:id="107"/>
      <w:r>
        <w:rPr>
          <w:b/>
          <w:sz w:val="28"/>
        </w:rPr>
        <w:t>A</w:t>
      </w:r>
      <w:r>
        <w:rPr>
          <w:b/>
        </w:rPr>
        <w:t>USTRALIA</w:t>
      </w:r>
      <w:r>
        <w:rPr>
          <w:b/>
          <w:spacing w:val="-4"/>
        </w:rPr>
        <w:t xml:space="preserve"> </w:t>
      </w:r>
      <w:r>
        <w:rPr>
          <w:b/>
        </w:rPr>
        <w:t>HAS</w:t>
      </w:r>
      <w:r>
        <w:rPr>
          <w:b/>
          <w:spacing w:val="-2"/>
        </w:rPr>
        <w:t xml:space="preserve"> </w:t>
      </w:r>
      <w:r>
        <w:rPr>
          <w:b/>
        </w:rPr>
        <w:t>MADE</w:t>
      </w:r>
      <w:r>
        <w:rPr>
          <w:b/>
          <w:spacing w:val="-6"/>
        </w:rPr>
        <w:t xml:space="preserve"> </w:t>
      </w:r>
      <w:r>
        <w:rPr>
          <w:b/>
        </w:rPr>
        <w:t>OUT</w:t>
      </w:r>
      <w:r>
        <w:rPr>
          <w:b/>
          <w:spacing w:val="-2"/>
        </w:rPr>
        <w:t xml:space="preserve"> </w:t>
      </w:r>
      <w:r>
        <w:rPr>
          <w:b/>
        </w:rPr>
        <w:t>A</w:t>
      </w:r>
      <w:r>
        <w:rPr>
          <w:b/>
          <w:spacing w:val="-4"/>
        </w:rPr>
        <w:t xml:space="preserve"> </w:t>
      </w:r>
      <w:r>
        <w:rPr>
          <w:b/>
        </w:rPr>
        <w:t>PRIMA</w:t>
      </w:r>
      <w:r>
        <w:rPr>
          <w:b/>
          <w:spacing w:val="-3"/>
        </w:rPr>
        <w:t xml:space="preserve"> </w:t>
      </w:r>
      <w:r>
        <w:rPr>
          <w:b/>
        </w:rPr>
        <w:t>FACIE</w:t>
      </w:r>
      <w:r>
        <w:rPr>
          <w:b/>
          <w:spacing w:val="-6"/>
        </w:rPr>
        <w:t xml:space="preserve"> </w:t>
      </w:r>
      <w:r>
        <w:rPr>
          <w:b/>
        </w:rPr>
        <w:t>CASE</w:t>
      </w:r>
      <w:r>
        <w:rPr>
          <w:b/>
          <w:spacing w:val="-5"/>
        </w:rPr>
        <w:t xml:space="preserve"> </w:t>
      </w:r>
      <w:r>
        <w:rPr>
          <w:b/>
        </w:rPr>
        <w:t>WITH</w:t>
      </w:r>
      <w:r>
        <w:rPr>
          <w:b/>
          <w:spacing w:val="-4"/>
        </w:rPr>
        <w:t xml:space="preserve"> </w:t>
      </w:r>
      <w:r>
        <w:rPr>
          <w:b/>
        </w:rPr>
        <w:t>RESPECT</w:t>
      </w:r>
      <w:r>
        <w:rPr>
          <w:b/>
          <w:spacing w:val="-2"/>
        </w:rPr>
        <w:t xml:space="preserve"> </w:t>
      </w:r>
      <w:r>
        <w:rPr>
          <w:b/>
        </w:rPr>
        <w:t>TO</w:t>
      </w:r>
      <w:r>
        <w:rPr>
          <w:b/>
          <w:spacing w:val="-5"/>
        </w:rPr>
        <w:t xml:space="preserve"> </w:t>
      </w:r>
      <w:r>
        <w:rPr>
          <w:b/>
        </w:rPr>
        <w:t>ITS</w:t>
      </w:r>
      <w:r>
        <w:rPr>
          <w:b/>
          <w:spacing w:val="-2"/>
        </w:rPr>
        <w:t xml:space="preserve"> CLAIMS</w:t>
      </w:r>
    </w:p>
    <w:p w14:paraId="4913D6F8" w14:textId="77777777" w:rsidR="00BD462C" w:rsidRDefault="00BD462C">
      <w:pPr>
        <w:pStyle w:val="BodyText"/>
        <w:rPr>
          <w:b/>
          <w:sz w:val="27"/>
        </w:rPr>
      </w:pPr>
    </w:p>
    <w:p w14:paraId="192AD079" w14:textId="77777777" w:rsidR="00BD462C" w:rsidRDefault="00033D0F">
      <w:pPr>
        <w:pStyle w:val="Heading3"/>
        <w:numPr>
          <w:ilvl w:val="0"/>
          <w:numId w:val="37"/>
        </w:numPr>
        <w:tabs>
          <w:tab w:val="left" w:pos="2689"/>
          <w:tab w:val="left" w:pos="2690"/>
        </w:tabs>
        <w:spacing w:before="0"/>
      </w:pPr>
      <w:bookmarkStart w:id="108" w:name="1._Legal_framework"/>
      <w:bookmarkStart w:id="109" w:name="_bookmark92"/>
      <w:bookmarkEnd w:id="108"/>
      <w:bookmarkEnd w:id="109"/>
      <w:r>
        <w:t>Legal</w:t>
      </w:r>
      <w:r>
        <w:rPr>
          <w:spacing w:val="-3"/>
        </w:rPr>
        <w:t xml:space="preserve"> </w:t>
      </w:r>
      <w:r>
        <w:rPr>
          <w:spacing w:val="-2"/>
        </w:rPr>
        <w:t>framework</w:t>
      </w:r>
    </w:p>
    <w:p w14:paraId="1A8C6669" w14:textId="77777777" w:rsidR="00BD462C" w:rsidRDefault="00BD462C">
      <w:pPr>
        <w:pStyle w:val="BodyText"/>
        <w:spacing w:before="11"/>
        <w:rPr>
          <w:b/>
          <w:sz w:val="20"/>
        </w:rPr>
      </w:pPr>
    </w:p>
    <w:p w14:paraId="17418351" w14:textId="18921DEF" w:rsidR="00BD462C" w:rsidRDefault="00C65BAF" w:rsidP="00C65BAF">
      <w:pPr>
        <w:pStyle w:val="BodyText"/>
        <w:numPr>
          <w:ilvl w:val="0"/>
          <w:numId w:val="68"/>
        </w:numPr>
        <w:spacing w:before="56" w:line="357" w:lineRule="auto"/>
        <w:ind w:right="917"/>
        <w:jc w:val="both"/>
      </w:pPr>
      <w:r>
        <w:rPr>
          <w:position w:val="1"/>
        </w:rPr>
        <w:t>I</w:t>
      </w:r>
      <w:r w:rsidR="00033D0F">
        <w:rPr>
          <w:position w:val="1"/>
        </w:rPr>
        <w:t>t</w:t>
      </w:r>
      <w:r w:rsidR="00033D0F">
        <w:rPr>
          <w:spacing w:val="-3"/>
          <w:position w:val="1"/>
        </w:rPr>
        <w:t xml:space="preserve"> </w:t>
      </w:r>
      <w:r w:rsidR="00033D0F">
        <w:rPr>
          <w:position w:val="1"/>
        </w:rPr>
        <w:t>is</w:t>
      </w:r>
      <w:r w:rsidR="00033D0F">
        <w:rPr>
          <w:spacing w:val="-2"/>
          <w:position w:val="1"/>
        </w:rPr>
        <w:t xml:space="preserve"> </w:t>
      </w:r>
      <w:r w:rsidR="00033D0F">
        <w:rPr>
          <w:position w:val="1"/>
        </w:rPr>
        <w:t>not</w:t>
      </w:r>
      <w:r w:rsidR="00033D0F">
        <w:rPr>
          <w:spacing w:val="-3"/>
          <w:position w:val="1"/>
        </w:rPr>
        <w:t xml:space="preserve"> </w:t>
      </w:r>
      <w:r w:rsidR="00033D0F">
        <w:rPr>
          <w:position w:val="1"/>
        </w:rPr>
        <w:t>disputed</w:t>
      </w:r>
      <w:r w:rsidR="00033D0F">
        <w:rPr>
          <w:spacing w:val="-5"/>
          <w:position w:val="1"/>
        </w:rPr>
        <w:t xml:space="preserve"> </w:t>
      </w:r>
      <w:r w:rsidR="00033D0F">
        <w:rPr>
          <w:position w:val="1"/>
        </w:rPr>
        <w:t>that</w:t>
      </w:r>
      <w:r w:rsidR="00033D0F">
        <w:rPr>
          <w:spacing w:val="-3"/>
          <w:position w:val="1"/>
        </w:rPr>
        <w:t xml:space="preserve"> </w:t>
      </w:r>
      <w:r w:rsidR="00033D0F">
        <w:rPr>
          <w:position w:val="1"/>
        </w:rPr>
        <w:t>Australia,</w:t>
      </w:r>
      <w:r w:rsidR="00033D0F">
        <w:rPr>
          <w:spacing w:val="-1"/>
          <w:position w:val="1"/>
        </w:rPr>
        <w:t xml:space="preserve"> </w:t>
      </w:r>
      <w:r w:rsidR="00033D0F">
        <w:rPr>
          <w:position w:val="1"/>
        </w:rPr>
        <w:t>as</w:t>
      </w:r>
      <w:r w:rsidR="00033D0F">
        <w:rPr>
          <w:spacing w:val="-7"/>
          <w:position w:val="1"/>
        </w:rPr>
        <w:t xml:space="preserve"> </w:t>
      </w:r>
      <w:r w:rsidR="00033D0F">
        <w:rPr>
          <w:position w:val="1"/>
        </w:rPr>
        <w:t>the</w:t>
      </w:r>
      <w:r w:rsidR="00033D0F">
        <w:rPr>
          <w:spacing w:val="-4"/>
          <w:position w:val="1"/>
        </w:rPr>
        <w:t xml:space="preserve"> </w:t>
      </w:r>
      <w:r w:rsidR="00033D0F">
        <w:rPr>
          <w:position w:val="1"/>
        </w:rPr>
        <w:t>complainant,</w:t>
      </w:r>
      <w:r w:rsidR="00033D0F">
        <w:rPr>
          <w:spacing w:val="-1"/>
          <w:position w:val="1"/>
        </w:rPr>
        <w:t xml:space="preserve"> </w:t>
      </w:r>
      <w:r w:rsidR="00033D0F">
        <w:rPr>
          <w:position w:val="1"/>
        </w:rPr>
        <w:t>bears</w:t>
      </w:r>
      <w:r w:rsidR="00033D0F">
        <w:rPr>
          <w:spacing w:val="-2"/>
          <w:position w:val="1"/>
        </w:rPr>
        <w:t xml:space="preserve"> </w:t>
      </w:r>
      <w:r w:rsidR="00033D0F">
        <w:rPr>
          <w:position w:val="1"/>
        </w:rPr>
        <w:t>the</w:t>
      </w:r>
      <w:r w:rsidR="00033D0F">
        <w:rPr>
          <w:spacing w:val="-4"/>
          <w:position w:val="1"/>
        </w:rPr>
        <w:t xml:space="preserve"> </w:t>
      </w:r>
      <w:r w:rsidR="00033D0F">
        <w:rPr>
          <w:position w:val="1"/>
        </w:rPr>
        <w:t>burden</w:t>
      </w:r>
      <w:r w:rsidR="00033D0F">
        <w:rPr>
          <w:spacing w:val="-5"/>
          <w:position w:val="1"/>
        </w:rPr>
        <w:t xml:space="preserve"> </w:t>
      </w:r>
      <w:r w:rsidR="00033D0F">
        <w:rPr>
          <w:position w:val="1"/>
        </w:rPr>
        <w:t>of</w:t>
      </w:r>
      <w:r w:rsidR="00033D0F">
        <w:rPr>
          <w:spacing w:val="-5"/>
          <w:position w:val="1"/>
        </w:rPr>
        <w:t xml:space="preserve"> </w:t>
      </w:r>
      <w:r w:rsidR="00033D0F">
        <w:rPr>
          <w:position w:val="1"/>
        </w:rPr>
        <w:t xml:space="preserve">establishing </w:t>
      </w:r>
      <w:r w:rsidR="00033D0F">
        <w:t>a</w:t>
      </w:r>
      <w:r w:rsidR="00033D0F">
        <w:rPr>
          <w:spacing w:val="-3"/>
        </w:rPr>
        <w:t xml:space="preserve"> </w:t>
      </w:r>
      <w:r w:rsidR="00033D0F">
        <w:rPr>
          <w:i/>
        </w:rPr>
        <w:t>prima facie</w:t>
      </w:r>
      <w:r w:rsidR="00033D0F">
        <w:rPr>
          <w:i/>
          <w:spacing w:val="-2"/>
        </w:rPr>
        <w:t xml:space="preserve"> </w:t>
      </w:r>
      <w:r w:rsidR="00033D0F">
        <w:t>case that the measure at issue is inconsistent with the provisions of the Anti- Dumping Agreement which it claims have been infringed.</w:t>
      </w:r>
    </w:p>
    <w:p w14:paraId="4757849B" w14:textId="77777777" w:rsidR="00BD462C" w:rsidRDefault="00BD462C">
      <w:pPr>
        <w:pStyle w:val="BodyText"/>
        <w:rPr>
          <w:sz w:val="20"/>
        </w:rPr>
      </w:pPr>
    </w:p>
    <w:p w14:paraId="03870168" w14:textId="77777777" w:rsidR="00BD462C" w:rsidRDefault="00BD462C">
      <w:pPr>
        <w:pStyle w:val="BodyText"/>
        <w:rPr>
          <w:sz w:val="20"/>
        </w:rPr>
      </w:pPr>
    </w:p>
    <w:p w14:paraId="6D4DB71D" w14:textId="77777777" w:rsidR="00BD462C" w:rsidRDefault="00BD462C">
      <w:pPr>
        <w:pStyle w:val="BodyText"/>
        <w:rPr>
          <w:sz w:val="20"/>
        </w:rPr>
      </w:pPr>
    </w:p>
    <w:p w14:paraId="5976C68D" w14:textId="1F3F7070" w:rsidR="00BD462C" w:rsidRDefault="00BD462C">
      <w:pPr>
        <w:pStyle w:val="BodyText"/>
        <w:spacing w:before="1"/>
        <w:rPr>
          <w:sz w:val="13"/>
        </w:rPr>
      </w:pPr>
    </w:p>
    <w:bookmarkStart w:id="110" w:name="_bookmark93"/>
    <w:bookmarkEnd w:id="110"/>
    <w:p w14:paraId="3CABE22B" w14:textId="5FC944AA" w:rsidR="00BD462C" w:rsidRDefault="002C3E13">
      <w:pPr>
        <w:spacing w:before="112"/>
        <w:ind w:left="135"/>
        <w:jc w:val="both"/>
        <w:rPr>
          <w:sz w:val="18"/>
        </w:rPr>
      </w:pPr>
      <w:r w:rsidRPr="003A43C7">
        <w:rPr>
          <w:noProof/>
        </w:rPr>
        <mc:AlternateContent>
          <mc:Choice Requires="wps">
            <w:drawing>
              <wp:anchor distT="0" distB="0" distL="114300" distR="114300" simplePos="0" relativeHeight="487954944" behindDoc="0" locked="0" layoutInCell="1" allowOverlap="1" wp14:anchorId="2C785674" wp14:editId="59E7B7D5">
                <wp:simplePos x="0" y="0"/>
                <wp:positionH relativeFrom="column">
                  <wp:posOffset>0</wp:posOffset>
                </wp:positionH>
                <wp:positionV relativeFrom="paragraph">
                  <wp:posOffset>33325</wp:posOffset>
                </wp:positionV>
                <wp:extent cx="2400300" cy="0"/>
                <wp:effectExtent l="0" t="0" r="0" b="0"/>
                <wp:wrapNone/>
                <wp:docPr id="1476" name="Straight Connector 14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400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F3781D" id="Straight Connector 1476" o:spid="_x0000_s1026" alt="&quot;&quot;" style="position:absolute;z-index:487954944;visibility:visible;mso-wrap-style:square;mso-wrap-distance-left:9pt;mso-wrap-distance-top:0;mso-wrap-distance-right:9pt;mso-wrap-distance-bottom:0;mso-position-horizontal:absolute;mso-position-horizontal-relative:text;mso-position-vertical:absolute;mso-position-vertical-relative:text" from="0,2.6pt" to="189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" strokecolor="#4579b8 [3044]"/>
            </w:pict>
          </mc:Fallback>
        </mc:AlternateContent>
      </w:r>
      <w:r w:rsidR="00033D0F">
        <w:rPr>
          <w:position w:val="5"/>
          <w:sz w:val="12"/>
        </w:rPr>
        <w:t>68</w:t>
      </w:r>
      <w:r w:rsidR="00033D0F">
        <w:rPr>
          <w:spacing w:val="13"/>
          <w:position w:val="5"/>
          <w:sz w:val="12"/>
        </w:rPr>
        <w:t xml:space="preserve"> </w:t>
      </w:r>
      <w:r w:rsidR="00033D0F">
        <w:rPr>
          <w:sz w:val="18"/>
        </w:rPr>
        <w:t>See</w:t>
      </w:r>
      <w:r w:rsidR="00033D0F">
        <w:rPr>
          <w:spacing w:val="-4"/>
          <w:sz w:val="18"/>
        </w:rPr>
        <w:t xml:space="preserve"> </w:t>
      </w:r>
      <w:r w:rsidR="00033D0F">
        <w:rPr>
          <w:sz w:val="18"/>
        </w:rPr>
        <w:t>Australia's response</w:t>
      </w:r>
      <w:r w:rsidR="00033D0F">
        <w:rPr>
          <w:spacing w:val="-5"/>
          <w:sz w:val="18"/>
        </w:rPr>
        <w:t xml:space="preserve"> </w:t>
      </w:r>
      <w:r w:rsidR="00033D0F">
        <w:rPr>
          <w:sz w:val="18"/>
        </w:rPr>
        <w:t>to</w:t>
      </w:r>
      <w:r w:rsidR="00033D0F">
        <w:rPr>
          <w:spacing w:val="-1"/>
          <w:sz w:val="18"/>
        </w:rPr>
        <w:t xml:space="preserve"> </w:t>
      </w:r>
      <w:r w:rsidR="00033D0F">
        <w:rPr>
          <w:sz w:val="18"/>
        </w:rPr>
        <w:t>China's</w:t>
      </w:r>
      <w:r w:rsidR="00033D0F">
        <w:rPr>
          <w:spacing w:val="-5"/>
          <w:sz w:val="18"/>
        </w:rPr>
        <w:t xml:space="preserve"> </w:t>
      </w:r>
      <w:r w:rsidR="00033D0F">
        <w:rPr>
          <w:sz w:val="18"/>
        </w:rPr>
        <w:t>PRR,</w:t>
      </w:r>
      <w:r w:rsidR="00033D0F">
        <w:rPr>
          <w:spacing w:val="-3"/>
          <w:sz w:val="18"/>
        </w:rPr>
        <w:t xml:space="preserve"> </w:t>
      </w:r>
      <w:r w:rsidR="00033D0F">
        <w:rPr>
          <w:sz w:val="18"/>
        </w:rPr>
        <w:t>para.</w:t>
      </w:r>
      <w:r w:rsidR="00033D0F">
        <w:rPr>
          <w:spacing w:val="1"/>
          <w:sz w:val="18"/>
        </w:rPr>
        <w:t xml:space="preserve"> </w:t>
      </w:r>
      <w:r w:rsidR="00033D0F">
        <w:rPr>
          <w:sz w:val="18"/>
        </w:rPr>
        <w:t>13</w:t>
      </w:r>
      <w:r w:rsidR="00033D0F">
        <w:rPr>
          <w:spacing w:val="-7"/>
          <w:sz w:val="18"/>
        </w:rPr>
        <w:t xml:space="preserve"> </w:t>
      </w:r>
      <w:r w:rsidR="00033D0F">
        <w:rPr>
          <w:sz w:val="18"/>
        </w:rPr>
        <w:t>and</w:t>
      </w:r>
      <w:r w:rsidR="00033D0F">
        <w:rPr>
          <w:spacing w:val="-5"/>
          <w:sz w:val="18"/>
        </w:rPr>
        <w:t xml:space="preserve"> </w:t>
      </w:r>
      <w:r w:rsidR="00033D0F">
        <w:rPr>
          <w:sz w:val="18"/>
        </w:rPr>
        <w:t>footnotes</w:t>
      </w:r>
      <w:r w:rsidR="00033D0F">
        <w:rPr>
          <w:spacing w:val="-5"/>
          <w:sz w:val="18"/>
        </w:rPr>
        <w:t xml:space="preserve"> </w:t>
      </w:r>
      <w:r w:rsidR="00033D0F">
        <w:rPr>
          <w:spacing w:val="-2"/>
          <w:sz w:val="18"/>
        </w:rPr>
        <w:t>thereto.</w:t>
      </w:r>
    </w:p>
    <w:p w14:paraId="29106862" w14:textId="77777777" w:rsidR="00BD462C" w:rsidRDefault="00033D0F">
      <w:pPr>
        <w:spacing w:before="2" w:line="237" w:lineRule="auto"/>
        <w:ind w:left="136" w:right="908" w:hanging="1"/>
        <w:jc w:val="both"/>
        <w:rPr>
          <w:sz w:val="18"/>
        </w:rPr>
      </w:pPr>
      <w:bookmarkStart w:id="111" w:name="_bookmark94"/>
      <w:bookmarkEnd w:id="111"/>
      <w:r>
        <w:rPr>
          <w:position w:val="5"/>
          <w:sz w:val="12"/>
        </w:rPr>
        <w:t>69</w:t>
      </w:r>
      <w:r>
        <w:rPr>
          <w:spacing w:val="22"/>
          <w:position w:val="5"/>
          <w:sz w:val="12"/>
        </w:rPr>
        <w:t xml:space="preserve"> </w:t>
      </w:r>
      <w:r>
        <w:rPr>
          <w:sz w:val="18"/>
        </w:rPr>
        <w:t>China incorrectly suggests that assessing the clarity of a particular provision was</w:t>
      </w:r>
      <w:r>
        <w:rPr>
          <w:spacing w:val="-2"/>
          <w:sz w:val="18"/>
        </w:rPr>
        <w:t xml:space="preserve"> </w:t>
      </w:r>
      <w:r>
        <w:rPr>
          <w:i/>
          <w:sz w:val="18"/>
        </w:rPr>
        <w:t>obiter dicta</w:t>
      </w:r>
      <w:r>
        <w:rPr>
          <w:sz w:val="18"/>
        </w:rPr>
        <w:t xml:space="preserve">. This is manifestly incorrect: China's first written submission, para. 69; Appellate Body Report, </w:t>
      </w:r>
      <w:r>
        <w:rPr>
          <w:i/>
          <w:sz w:val="18"/>
        </w:rPr>
        <w:t>Korea – Pneumatic Valves (Japan)</w:t>
      </w:r>
      <w:r>
        <w:rPr>
          <w:sz w:val="18"/>
        </w:rPr>
        <w:t>, paras. 5.27, 5.34; Australia's response to China's PRR, paras. 13, 198 and footnotes thereto.</w:t>
      </w:r>
    </w:p>
    <w:p w14:paraId="75814C7E" w14:textId="77777777" w:rsidR="00BD462C" w:rsidRDefault="00033D0F">
      <w:pPr>
        <w:spacing w:before="4"/>
        <w:ind w:left="136" w:right="908" w:hanging="1"/>
        <w:jc w:val="both"/>
        <w:rPr>
          <w:sz w:val="18"/>
        </w:rPr>
      </w:pPr>
      <w:bookmarkStart w:id="112" w:name="_bookmark95"/>
      <w:bookmarkEnd w:id="112"/>
      <w:r>
        <w:rPr>
          <w:position w:val="5"/>
          <w:sz w:val="12"/>
        </w:rPr>
        <w:t>70</w:t>
      </w:r>
      <w:r>
        <w:rPr>
          <w:spacing w:val="35"/>
          <w:position w:val="5"/>
          <w:sz w:val="12"/>
        </w:rPr>
        <w:t xml:space="preserve"> </w:t>
      </w:r>
      <w:r>
        <w:rPr>
          <w:sz w:val="18"/>
        </w:rPr>
        <w:t xml:space="preserve">See Appellate Body Reports, </w:t>
      </w:r>
      <w:r>
        <w:rPr>
          <w:i/>
          <w:sz w:val="18"/>
        </w:rPr>
        <w:t>US – Carbon Steel</w:t>
      </w:r>
      <w:r>
        <w:rPr>
          <w:sz w:val="18"/>
        </w:rPr>
        <w:t xml:space="preserve">, para. 125; </w:t>
      </w:r>
      <w:r>
        <w:rPr>
          <w:i/>
          <w:sz w:val="18"/>
        </w:rPr>
        <w:t>Russia – Railway Equipment</w:t>
      </w:r>
      <w:r>
        <w:rPr>
          <w:sz w:val="18"/>
        </w:rPr>
        <w:t xml:space="preserve">, paras. 5.26-5.28; </w:t>
      </w:r>
      <w:r>
        <w:rPr>
          <w:i/>
          <w:sz w:val="18"/>
        </w:rPr>
        <w:t>China</w:t>
      </w:r>
      <w:r>
        <w:rPr>
          <w:i/>
          <w:spacing w:val="-2"/>
          <w:sz w:val="18"/>
        </w:rPr>
        <w:t xml:space="preserve"> </w:t>
      </w:r>
      <w:r>
        <w:rPr>
          <w:i/>
          <w:sz w:val="18"/>
        </w:rPr>
        <w:t>–</w:t>
      </w:r>
      <w:r>
        <w:rPr>
          <w:i/>
          <w:spacing w:val="-3"/>
          <w:sz w:val="18"/>
        </w:rPr>
        <w:t xml:space="preserve"> </w:t>
      </w:r>
      <w:r>
        <w:rPr>
          <w:i/>
          <w:sz w:val="18"/>
        </w:rPr>
        <w:t>Raw Materials</w:t>
      </w:r>
      <w:r>
        <w:rPr>
          <w:sz w:val="18"/>
        </w:rPr>
        <w:t xml:space="preserve">, para. 219-220. See also Appellate Body Report, </w:t>
      </w:r>
      <w:r>
        <w:rPr>
          <w:i/>
          <w:sz w:val="18"/>
        </w:rPr>
        <w:t>Korea – Dairy</w:t>
      </w:r>
      <w:r>
        <w:rPr>
          <w:sz w:val="18"/>
        </w:rPr>
        <w:t>, para. 120.</w:t>
      </w:r>
    </w:p>
    <w:p w14:paraId="7C607641" w14:textId="77777777" w:rsidR="00BD462C" w:rsidRDefault="00033D0F">
      <w:pPr>
        <w:spacing w:before="2"/>
        <w:ind w:left="135"/>
        <w:jc w:val="both"/>
        <w:rPr>
          <w:sz w:val="18"/>
        </w:rPr>
      </w:pPr>
      <w:bookmarkStart w:id="113" w:name="_bookmark96"/>
      <w:bookmarkEnd w:id="113"/>
      <w:r>
        <w:rPr>
          <w:position w:val="5"/>
          <w:sz w:val="12"/>
        </w:rPr>
        <w:t>71</w:t>
      </w:r>
      <w:r>
        <w:rPr>
          <w:spacing w:val="14"/>
          <w:position w:val="5"/>
          <w:sz w:val="12"/>
        </w:rPr>
        <w:t xml:space="preserve"> </w:t>
      </w:r>
      <w:proofErr w:type="spellStart"/>
      <w:r>
        <w:rPr>
          <w:sz w:val="18"/>
        </w:rPr>
        <w:t>C.f</w:t>
      </w:r>
      <w:proofErr w:type="spellEnd"/>
      <w:r>
        <w:rPr>
          <w:spacing w:val="2"/>
          <w:sz w:val="18"/>
        </w:rPr>
        <w:t xml:space="preserve"> </w:t>
      </w:r>
      <w:r>
        <w:rPr>
          <w:sz w:val="18"/>
        </w:rPr>
        <w:t>China's</w:t>
      </w:r>
      <w:r>
        <w:rPr>
          <w:spacing w:val="-4"/>
          <w:sz w:val="18"/>
        </w:rPr>
        <w:t xml:space="preserve"> </w:t>
      </w:r>
      <w:r>
        <w:rPr>
          <w:sz w:val="18"/>
        </w:rPr>
        <w:t>opening</w:t>
      </w:r>
      <w:r>
        <w:rPr>
          <w:spacing w:val="-4"/>
          <w:sz w:val="18"/>
        </w:rPr>
        <w:t xml:space="preserve"> </w:t>
      </w:r>
      <w:r>
        <w:rPr>
          <w:sz w:val="18"/>
        </w:rPr>
        <w:t>statement</w:t>
      </w:r>
      <w:r>
        <w:rPr>
          <w:spacing w:val="-4"/>
          <w:sz w:val="18"/>
        </w:rPr>
        <w:t xml:space="preserve"> </w:t>
      </w:r>
      <w:r>
        <w:rPr>
          <w:sz w:val="18"/>
        </w:rPr>
        <w:t>at</w:t>
      </w:r>
      <w:r>
        <w:rPr>
          <w:spacing w:val="-3"/>
          <w:sz w:val="18"/>
        </w:rPr>
        <w:t xml:space="preserve"> </w:t>
      </w:r>
      <w:r>
        <w:rPr>
          <w:sz w:val="18"/>
        </w:rPr>
        <w:t>the</w:t>
      </w:r>
      <w:r>
        <w:rPr>
          <w:spacing w:val="-4"/>
          <w:sz w:val="18"/>
        </w:rPr>
        <w:t xml:space="preserve"> </w:t>
      </w:r>
      <w:r>
        <w:rPr>
          <w:sz w:val="18"/>
        </w:rPr>
        <w:t>first</w:t>
      </w:r>
      <w:r>
        <w:rPr>
          <w:spacing w:val="-3"/>
          <w:sz w:val="18"/>
        </w:rPr>
        <w:t xml:space="preserve"> </w:t>
      </w:r>
      <w:r>
        <w:rPr>
          <w:sz w:val="18"/>
        </w:rPr>
        <w:t>meeting</w:t>
      </w:r>
      <w:r>
        <w:rPr>
          <w:spacing w:val="-4"/>
          <w:sz w:val="18"/>
        </w:rPr>
        <w:t xml:space="preserve"> </w:t>
      </w:r>
      <w:r>
        <w:rPr>
          <w:sz w:val="18"/>
        </w:rPr>
        <w:t>with</w:t>
      </w:r>
      <w:r>
        <w:rPr>
          <w:spacing w:val="-4"/>
          <w:sz w:val="18"/>
        </w:rPr>
        <w:t xml:space="preserve"> </w:t>
      </w:r>
      <w:r>
        <w:rPr>
          <w:sz w:val="18"/>
        </w:rPr>
        <w:t>the</w:t>
      </w:r>
      <w:r>
        <w:rPr>
          <w:spacing w:val="-4"/>
          <w:sz w:val="18"/>
        </w:rPr>
        <w:t xml:space="preserve"> </w:t>
      </w:r>
      <w:r>
        <w:rPr>
          <w:sz w:val="18"/>
        </w:rPr>
        <w:t>Panel,</w:t>
      </w:r>
      <w:r>
        <w:rPr>
          <w:spacing w:val="-7"/>
          <w:sz w:val="18"/>
        </w:rPr>
        <w:t xml:space="preserve"> </w:t>
      </w:r>
      <w:r>
        <w:rPr>
          <w:sz w:val="18"/>
        </w:rPr>
        <w:t>para.</w:t>
      </w:r>
      <w:r>
        <w:rPr>
          <w:spacing w:val="2"/>
          <w:sz w:val="18"/>
        </w:rPr>
        <w:t xml:space="preserve"> </w:t>
      </w:r>
      <w:r>
        <w:rPr>
          <w:sz w:val="18"/>
        </w:rPr>
        <w:t>2;</w:t>
      </w:r>
      <w:r>
        <w:rPr>
          <w:spacing w:val="-6"/>
          <w:sz w:val="18"/>
        </w:rPr>
        <w:t xml:space="preserve"> </w:t>
      </w:r>
      <w:r>
        <w:rPr>
          <w:sz w:val="18"/>
        </w:rPr>
        <w:t>see</w:t>
      </w:r>
      <w:r>
        <w:rPr>
          <w:spacing w:val="1"/>
          <w:sz w:val="18"/>
        </w:rPr>
        <w:t xml:space="preserve"> </w:t>
      </w:r>
      <w:r>
        <w:rPr>
          <w:sz w:val="18"/>
        </w:rPr>
        <w:t>above</w:t>
      </w:r>
      <w:r>
        <w:rPr>
          <w:spacing w:val="-3"/>
          <w:sz w:val="18"/>
        </w:rPr>
        <w:t xml:space="preserve"> </w:t>
      </w:r>
      <w:r>
        <w:rPr>
          <w:sz w:val="18"/>
        </w:rPr>
        <w:t>section</w:t>
      </w:r>
      <w:r>
        <w:rPr>
          <w:spacing w:val="-4"/>
          <w:sz w:val="18"/>
        </w:rPr>
        <w:t xml:space="preserve"> </w:t>
      </w:r>
      <w:hyperlink w:anchor="_bookmark33" w:history="1">
        <w:r>
          <w:rPr>
            <w:spacing w:val="-2"/>
            <w:sz w:val="18"/>
          </w:rPr>
          <w:t>II.A.1(c).</w:t>
        </w:r>
      </w:hyperlink>
    </w:p>
    <w:p w14:paraId="1BA59ED1" w14:textId="77777777" w:rsidR="00BD462C" w:rsidRDefault="00BD462C">
      <w:pPr>
        <w:jc w:val="both"/>
        <w:rPr>
          <w:sz w:val="18"/>
        </w:rPr>
        <w:sectPr w:rsidR="00BD462C">
          <w:pgSz w:w="11910" w:h="16840"/>
          <w:pgMar w:top="860" w:right="500" w:bottom="780" w:left="1280" w:header="566" w:footer="590" w:gutter="0"/>
          <w:cols w:space="720"/>
        </w:sectPr>
      </w:pPr>
    </w:p>
    <w:p w14:paraId="3BCA6D80"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5FD79C78"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6D9A80AE"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5B47924A" w14:textId="358FA359" w:rsidR="00BD462C" w:rsidRDefault="00033D0F" w:rsidP="00C65BAF">
      <w:pPr>
        <w:pStyle w:val="BodyText"/>
        <w:numPr>
          <w:ilvl w:val="0"/>
          <w:numId w:val="68"/>
        </w:numPr>
        <w:spacing w:before="107" w:line="357" w:lineRule="auto"/>
        <w:ind w:right="913"/>
        <w:jc w:val="both"/>
      </w:pPr>
      <w:r>
        <w:rPr>
          <w:position w:val="1"/>
        </w:rPr>
        <w:t xml:space="preserve">A complaining party will satisfy this burden by putting forward adequate legal </w:t>
      </w:r>
      <w:r>
        <w:t xml:space="preserve">arguments and evidence to establish a </w:t>
      </w:r>
      <w:r>
        <w:rPr>
          <w:i/>
        </w:rPr>
        <w:t xml:space="preserve">prima facie </w:t>
      </w:r>
      <w:r>
        <w:t>case. The nature and scope of arguments and</w:t>
      </w:r>
      <w:r>
        <w:rPr>
          <w:spacing w:val="-14"/>
        </w:rPr>
        <w:t xml:space="preserve"> </w:t>
      </w:r>
      <w:r>
        <w:t>evidence</w:t>
      </w:r>
      <w:r>
        <w:rPr>
          <w:spacing w:val="-7"/>
        </w:rPr>
        <w:t xml:space="preserve"> </w:t>
      </w:r>
      <w:r>
        <w:t>required</w:t>
      </w:r>
      <w:r>
        <w:rPr>
          <w:spacing w:val="-9"/>
        </w:rPr>
        <w:t xml:space="preserve"> </w:t>
      </w:r>
      <w:r>
        <w:t>will</w:t>
      </w:r>
      <w:r>
        <w:rPr>
          <w:spacing w:val="-10"/>
        </w:rPr>
        <w:t xml:space="preserve"> </w:t>
      </w:r>
      <w:r>
        <w:t>"necessarily</w:t>
      </w:r>
      <w:r>
        <w:rPr>
          <w:spacing w:val="-11"/>
        </w:rPr>
        <w:t xml:space="preserve"> </w:t>
      </w:r>
      <w:r>
        <w:t>vary</w:t>
      </w:r>
      <w:r>
        <w:rPr>
          <w:spacing w:val="-11"/>
        </w:rPr>
        <w:t xml:space="preserve"> </w:t>
      </w:r>
      <w:r>
        <w:t>from</w:t>
      </w:r>
      <w:r>
        <w:rPr>
          <w:spacing w:val="-7"/>
        </w:rPr>
        <w:t xml:space="preserve"> </w:t>
      </w:r>
      <w:r>
        <w:t>measure</w:t>
      </w:r>
      <w:r>
        <w:rPr>
          <w:spacing w:val="-12"/>
        </w:rPr>
        <w:t xml:space="preserve"> </w:t>
      </w:r>
      <w:r>
        <w:t>to</w:t>
      </w:r>
      <w:r>
        <w:rPr>
          <w:spacing w:val="-14"/>
        </w:rPr>
        <w:t xml:space="preserve"> </w:t>
      </w:r>
      <w:r>
        <w:t>measure,</w:t>
      </w:r>
      <w:r>
        <w:rPr>
          <w:spacing w:val="-5"/>
        </w:rPr>
        <w:t xml:space="preserve"> </w:t>
      </w:r>
      <w:r>
        <w:t>provision</w:t>
      </w:r>
      <w:r>
        <w:rPr>
          <w:spacing w:val="-14"/>
        </w:rPr>
        <w:t xml:space="preserve"> </w:t>
      </w:r>
      <w:r>
        <w:t>to</w:t>
      </w:r>
      <w:r>
        <w:rPr>
          <w:spacing w:val="-10"/>
        </w:rPr>
        <w:t xml:space="preserve"> </w:t>
      </w:r>
      <w:r>
        <w:t>provision, and</w:t>
      </w:r>
      <w:r>
        <w:rPr>
          <w:spacing w:val="-14"/>
        </w:rPr>
        <w:t xml:space="preserve"> </w:t>
      </w:r>
      <w:r>
        <w:t>case</w:t>
      </w:r>
      <w:r>
        <w:rPr>
          <w:spacing w:val="-14"/>
        </w:rPr>
        <w:t xml:space="preserve"> </w:t>
      </w:r>
      <w:r>
        <w:t>to</w:t>
      </w:r>
      <w:r>
        <w:rPr>
          <w:spacing w:val="-12"/>
        </w:rPr>
        <w:t xml:space="preserve"> </w:t>
      </w:r>
      <w:r>
        <w:t>case".</w:t>
      </w:r>
      <w:r>
        <w:rPr>
          <w:spacing w:val="-13"/>
        </w:rPr>
        <w:t xml:space="preserve"> </w:t>
      </w:r>
      <w:hyperlink w:anchor="_bookmark97" w:history="1">
        <w:r>
          <w:rPr>
            <w:vertAlign w:val="superscript"/>
          </w:rPr>
          <w:t>72</w:t>
        </w:r>
      </w:hyperlink>
      <w:r>
        <w:rPr>
          <w:spacing w:val="-5"/>
        </w:rPr>
        <w:t xml:space="preserve"> </w:t>
      </w:r>
      <w:r>
        <w:t>Notwithstanding</w:t>
      </w:r>
      <w:r>
        <w:rPr>
          <w:spacing w:val="-6"/>
        </w:rPr>
        <w:t xml:space="preserve"> </w:t>
      </w:r>
      <w:r>
        <w:t>China's</w:t>
      </w:r>
      <w:r>
        <w:rPr>
          <w:spacing w:val="-6"/>
        </w:rPr>
        <w:t xml:space="preserve"> </w:t>
      </w:r>
      <w:r>
        <w:t>assertions</w:t>
      </w:r>
      <w:r>
        <w:rPr>
          <w:spacing w:val="-6"/>
        </w:rPr>
        <w:t xml:space="preserve"> </w:t>
      </w:r>
      <w:r>
        <w:t>to</w:t>
      </w:r>
      <w:r>
        <w:rPr>
          <w:spacing w:val="-5"/>
        </w:rPr>
        <w:t xml:space="preserve"> </w:t>
      </w:r>
      <w:r>
        <w:t>the</w:t>
      </w:r>
      <w:r>
        <w:rPr>
          <w:spacing w:val="-7"/>
        </w:rPr>
        <w:t xml:space="preserve"> </w:t>
      </w:r>
      <w:r>
        <w:t>contrary,</w:t>
      </w:r>
      <w:r>
        <w:rPr>
          <w:spacing w:val="-5"/>
        </w:rPr>
        <w:t xml:space="preserve"> </w:t>
      </w:r>
      <w:r>
        <w:t>no</w:t>
      </w:r>
      <w:r>
        <w:rPr>
          <w:spacing w:val="-10"/>
        </w:rPr>
        <w:t xml:space="preserve"> </w:t>
      </w:r>
      <w:r>
        <w:t>Member</w:t>
      </w:r>
      <w:r>
        <w:rPr>
          <w:spacing w:val="-5"/>
        </w:rPr>
        <w:t xml:space="preserve"> </w:t>
      </w:r>
      <w:r>
        <w:t>is</w:t>
      </w:r>
      <w:r>
        <w:rPr>
          <w:spacing w:val="-6"/>
        </w:rPr>
        <w:t xml:space="preserve"> </w:t>
      </w:r>
      <w:r>
        <w:t>free</w:t>
      </w:r>
      <w:r>
        <w:rPr>
          <w:spacing w:val="-2"/>
        </w:rPr>
        <w:t xml:space="preserve"> </w:t>
      </w:r>
      <w:r>
        <w:t>to determine for itself</w:t>
      </w:r>
      <w:r>
        <w:rPr>
          <w:spacing w:val="-4"/>
        </w:rPr>
        <w:t xml:space="preserve"> </w:t>
      </w:r>
      <w:r>
        <w:t>whether a</w:t>
      </w:r>
      <w:r>
        <w:rPr>
          <w:spacing w:val="-2"/>
        </w:rPr>
        <w:t xml:space="preserve"> </w:t>
      </w:r>
      <w:r>
        <w:rPr>
          <w:i/>
        </w:rPr>
        <w:t>prima</w:t>
      </w:r>
      <w:r>
        <w:rPr>
          <w:i/>
          <w:spacing w:val="-2"/>
        </w:rPr>
        <w:t xml:space="preserve"> </w:t>
      </w:r>
      <w:r>
        <w:rPr>
          <w:i/>
        </w:rPr>
        <w:t>facie</w:t>
      </w:r>
      <w:r>
        <w:rPr>
          <w:i/>
          <w:spacing w:val="-2"/>
        </w:rPr>
        <w:t xml:space="preserve"> </w:t>
      </w:r>
      <w:r>
        <w:t xml:space="preserve">case or </w:t>
      </w:r>
      <w:proofErr w:type="spellStart"/>
      <w:r>
        <w:t>defence</w:t>
      </w:r>
      <w:proofErr w:type="spellEnd"/>
      <w:r>
        <w:t xml:space="preserve"> has been established by the other party.</w:t>
      </w:r>
      <w:r>
        <w:rPr>
          <w:spacing w:val="-29"/>
        </w:rPr>
        <w:t xml:space="preserve"> </w:t>
      </w:r>
      <w:hyperlink w:anchor="_bookmark98" w:history="1">
        <w:r>
          <w:rPr>
            <w:vertAlign w:val="superscript"/>
          </w:rPr>
          <w:t>73</w:t>
        </w:r>
      </w:hyperlink>
      <w:r>
        <w:t xml:space="preserve"> This is a matter for the panel to determine.</w:t>
      </w:r>
      <w:r>
        <w:rPr>
          <w:spacing w:val="-28"/>
        </w:rPr>
        <w:t xml:space="preserve"> </w:t>
      </w:r>
      <w:hyperlink w:anchor="_bookmark99" w:history="1">
        <w:r>
          <w:rPr>
            <w:vertAlign w:val="superscript"/>
          </w:rPr>
          <w:t>74</w:t>
        </w:r>
      </w:hyperlink>
    </w:p>
    <w:p w14:paraId="63C3FD1E" w14:textId="77777777" w:rsidR="00BD462C" w:rsidRDefault="00BD462C">
      <w:pPr>
        <w:pStyle w:val="BodyText"/>
        <w:spacing w:before="8"/>
        <w:rPr>
          <w:sz w:val="9"/>
        </w:rPr>
      </w:pPr>
    </w:p>
    <w:p w14:paraId="70D258BD" w14:textId="09A2E092" w:rsidR="00BD462C" w:rsidRDefault="00033D0F" w:rsidP="00C65BAF">
      <w:pPr>
        <w:pStyle w:val="BodyText"/>
        <w:numPr>
          <w:ilvl w:val="0"/>
          <w:numId w:val="68"/>
        </w:numPr>
        <w:spacing w:before="56" w:line="360" w:lineRule="auto"/>
        <w:ind w:right="916"/>
        <w:jc w:val="both"/>
      </w:pPr>
      <w:r>
        <w:rPr>
          <w:position w:val="1"/>
        </w:rPr>
        <w:t xml:space="preserve">Australia agrees with the Appellate Body that "a panel is not required to make an </w:t>
      </w:r>
      <w:r>
        <w:t>explicit ruling that a complaining party has established a</w:t>
      </w:r>
      <w:r>
        <w:rPr>
          <w:spacing w:val="-3"/>
        </w:rPr>
        <w:t xml:space="preserve"> </w:t>
      </w:r>
      <w:r>
        <w:rPr>
          <w:i/>
        </w:rPr>
        <w:t>prima facie</w:t>
      </w:r>
      <w:r>
        <w:rPr>
          <w:i/>
          <w:spacing w:val="-3"/>
        </w:rPr>
        <w:t xml:space="preserve"> </w:t>
      </w:r>
      <w:r>
        <w:t xml:space="preserve">case of inconsistency before examining the responding party's </w:t>
      </w:r>
      <w:proofErr w:type="spellStart"/>
      <w:r>
        <w:t>defence</w:t>
      </w:r>
      <w:proofErr w:type="spellEnd"/>
      <w:r>
        <w:t xml:space="preserve"> and evidence".</w:t>
      </w:r>
      <w:r>
        <w:rPr>
          <w:spacing w:val="-14"/>
        </w:rPr>
        <w:t xml:space="preserve"> </w:t>
      </w:r>
      <w:hyperlink w:anchor="_bookmark100" w:history="1">
        <w:r>
          <w:rPr>
            <w:vertAlign w:val="superscript"/>
          </w:rPr>
          <w:t>75</w:t>
        </w:r>
      </w:hyperlink>
      <w:r>
        <w:t xml:space="preserve"> Australia therefore submits that, where China has alleged a failure to make out a </w:t>
      </w:r>
      <w:r>
        <w:rPr>
          <w:i/>
        </w:rPr>
        <w:t xml:space="preserve">prima facie </w:t>
      </w:r>
      <w:r>
        <w:t>case, the Panel should consider China's arguments and evidence, as well as the further evidence that the Panel itself has requested, concurrently with Australia's arguments and evidence.</w:t>
      </w:r>
    </w:p>
    <w:p w14:paraId="20E6AFC7" w14:textId="12E0F1D5" w:rsidR="00BD462C" w:rsidRDefault="00033D0F" w:rsidP="00C65BAF">
      <w:pPr>
        <w:pStyle w:val="BodyText"/>
        <w:numPr>
          <w:ilvl w:val="0"/>
          <w:numId w:val="68"/>
        </w:numPr>
        <w:spacing w:before="56" w:line="360" w:lineRule="auto"/>
        <w:ind w:right="915"/>
        <w:jc w:val="both"/>
      </w:pPr>
      <w:r>
        <w:rPr>
          <w:position w:val="1"/>
        </w:rPr>
        <w:t>China</w:t>
      </w:r>
      <w:r>
        <w:rPr>
          <w:spacing w:val="-12"/>
          <w:position w:val="1"/>
        </w:rPr>
        <w:t xml:space="preserve"> </w:t>
      </w:r>
      <w:r>
        <w:rPr>
          <w:position w:val="1"/>
        </w:rPr>
        <w:t>correctly</w:t>
      </w:r>
      <w:r>
        <w:rPr>
          <w:spacing w:val="-11"/>
          <w:position w:val="1"/>
        </w:rPr>
        <w:t xml:space="preserve"> </w:t>
      </w:r>
      <w:r>
        <w:rPr>
          <w:position w:val="1"/>
        </w:rPr>
        <w:t>notes</w:t>
      </w:r>
      <w:r>
        <w:rPr>
          <w:spacing w:val="-10"/>
          <w:position w:val="1"/>
        </w:rPr>
        <w:t xml:space="preserve"> </w:t>
      </w:r>
      <w:r>
        <w:rPr>
          <w:position w:val="1"/>
        </w:rPr>
        <w:t>that</w:t>
      </w:r>
      <w:r>
        <w:rPr>
          <w:spacing w:val="-7"/>
          <w:position w:val="1"/>
        </w:rPr>
        <w:t xml:space="preserve"> </w:t>
      </w:r>
      <w:r>
        <w:rPr>
          <w:position w:val="1"/>
        </w:rPr>
        <w:t>paragraph</w:t>
      </w:r>
      <w:r>
        <w:rPr>
          <w:spacing w:val="-9"/>
          <w:position w:val="1"/>
        </w:rPr>
        <w:t xml:space="preserve"> </w:t>
      </w:r>
      <w:r>
        <w:rPr>
          <w:position w:val="1"/>
        </w:rPr>
        <w:t>3(1)</w:t>
      </w:r>
      <w:r>
        <w:rPr>
          <w:spacing w:val="-9"/>
          <w:position w:val="1"/>
        </w:rPr>
        <w:t xml:space="preserve"> </w:t>
      </w:r>
      <w:r>
        <w:rPr>
          <w:position w:val="1"/>
        </w:rPr>
        <w:t>of</w:t>
      </w:r>
      <w:r>
        <w:rPr>
          <w:spacing w:val="-9"/>
          <w:position w:val="1"/>
        </w:rPr>
        <w:t xml:space="preserve"> </w:t>
      </w:r>
      <w:r>
        <w:rPr>
          <w:position w:val="1"/>
        </w:rPr>
        <w:t>the</w:t>
      </w:r>
      <w:r>
        <w:rPr>
          <w:spacing w:val="-12"/>
          <w:position w:val="1"/>
        </w:rPr>
        <w:t xml:space="preserve"> </w:t>
      </w:r>
      <w:r>
        <w:rPr>
          <w:position w:val="1"/>
        </w:rPr>
        <w:t>Panel's</w:t>
      </w:r>
      <w:r>
        <w:rPr>
          <w:spacing w:val="-10"/>
          <w:position w:val="1"/>
        </w:rPr>
        <w:t xml:space="preserve"> </w:t>
      </w:r>
      <w:r>
        <w:rPr>
          <w:position w:val="1"/>
        </w:rPr>
        <w:t>Working</w:t>
      </w:r>
      <w:r>
        <w:rPr>
          <w:spacing w:val="-10"/>
          <w:position w:val="1"/>
        </w:rPr>
        <w:t xml:space="preserve"> </w:t>
      </w:r>
      <w:r>
        <w:rPr>
          <w:position w:val="1"/>
        </w:rPr>
        <w:t>Procedures</w:t>
      </w:r>
      <w:r>
        <w:rPr>
          <w:spacing w:val="-10"/>
          <w:position w:val="1"/>
        </w:rPr>
        <w:t xml:space="preserve"> </w:t>
      </w:r>
      <w:r>
        <w:rPr>
          <w:position w:val="1"/>
        </w:rPr>
        <w:t xml:space="preserve">requires </w:t>
      </w:r>
      <w:r>
        <w:t>each party to "submit a written submission in which it presents the facts of the case and its arguments".</w:t>
      </w:r>
      <w:hyperlink w:anchor="_bookmark101" w:history="1">
        <w:r>
          <w:rPr>
            <w:vertAlign w:val="superscript"/>
          </w:rPr>
          <w:t>76</w:t>
        </w:r>
      </w:hyperlink>
      <w:r>
        <w:t xml:space="preserve"> However, this does not override the prerogative of Members to reasonably develop</w:t>
      </w:r>
      <w:r>
        <w:rPr>
          <w:spacing w:val="-12"/>
        </w:rPr>
        <w:t xml:space="preserve"> </w:t>
      </w:r>
      <w:r>
        <w:t>their</w:t>
      </w:r>
      <w:r>
        <w:rPr>
          <w:spacing w:val="-13"/>
        </w:rPr>
        <w:t xml:space="preserve"> </w:t>
      </w:r>
      <w:r>
        <w:t>arguments</w:t>
      </w:r>
      <w:r>
        <w:rPr>
          <w:spacing w:val="-7"/>
        </w:rPr>
        <w:t xml:space="preserve"> </w:t>
      </w:r>
      <w:r>
        <w:t>as</w:t>
      </w:r>
      <w:r>
        <w:rPr>
          <w:spacing w:val="-7"/>
        </w:rPr>
        <w:t xml:space="preserve"> </w:t>
      </w:r>
      <w:r>
        <w:t>the</w:t>
      </w:r>
      <w:r>
        <w:rPr>
          <w:spacing w:val="-4"/>
        </w:rPr>
        <w:t xml:space="preserve"> </w:t>
      </w:r>
      <w:r>
        <w:t>issues</w:t>
      </w:r>
      <w:r>
        <w:rPr>
          <w:spacing w:val="-7"/>
        </w:rPr>
        <w:t xml:space="preserve"> </w:t>
      </w:r>
      <w:r>
        <w:t>develop.</w:t>
      </w:r>
      <w:hyperlink w:anchor="_bookmark102" w:history="1">
        <w:r>
          <w:rPr>
            <w:vertAlign w:val="superscript"/>
          </w:rPr>
          <w:t>77</w:t>
        </w:r>
      </w:hyperlink>
      <w:r>
        <w:rPr>
          <w:spacing w:val="-9"/>
        </w:rPr>
        <w:t xml:space="preserve"> </w:t>
      </w:r>
      <w:r>
        <w:t>Nor</w:t>
      </w:r>
      <w:r>
        <w:rPr>
          <w:spacing w:val="-13"/>
        </w:rPr>
        <w:t xml:space="preserve"> </w:t>
      </w:r>
      <w:r>
        <w:t>does</w:t>
      </w:r>
      <w:r>
        <w:rPr>
          <w:spacing w:val="-7"/>
        </w:rPr>
        <w:t xml:space="preserve"> </w:t>
      </w:r>
      <w:r>
        <w:t>it</w:t>
      </w:r>
      <w:r>
        <w:rPr>
          <w:spacing w:val="-9"/>
        </w:rPr>
        <w:t xml:space="preserve"> </w:t>
      </w:r>
      <w:r>
        <w:t>render</w:t>
      </w:r>
      <w:r>
        <w:rPr>
          <w:spacing w:val="-13"/>
        </w:rPr>
        <w:t xml:space="preserve"> </w:t>
      </w:r>
      <w:r>
        <w:t>inutile</w:t>
      </w:r>
      <w:r>
        <w:rPr>
          <w:spacing w:val="-10"/>
        </w:rPr>
        <w:t xml:space="preserve"> </w:t>
      </w:r>
      <w:r>
        <w:t>the</w:t>
      </w:r>
      <w:r>
        <w:rPr>
          <w:spacing w:val="-10"/>
        </w:rPr>
        <w:t xml:space="preserve"> </w:t>
      </w:r>
      <w:r>
        <w:t>arguments</w:t>
      </w:r>
      <w:r>
        <w:rPr>
          <w:spacing w:val="-7"/>
        </w:rPr>
        <w:t xml:space="preserve"> </w:t>
      </w:r>
      <w:r>
        <w:t>and evidence the complaining party submits in oral arguments, written responses to Panel questions,</w:t>
      </w:r>
      <w:r>
        <w:rPr>
          <w:spacing w:val="-6"/>
        </w:rPr>
        <w:t xml:space="preserve"> </w:t>
      </w:r>
      <w:r>
        <w:t>or</w:t>
      </w:r>
      <w:r>
        <w:rPr>
          <w:spacing w:val="-11"/>
        </w:rPr>
        <w:t xml:space="preserve"> </w:t>
      </w:r>
      <w:r>
        <w:t>the</w:t>
      </w:r>
      <w:r>
        <w:rPr>
          <w:spacing w:val="-8"/>
        </w:rPr>
        <w:t xml:space="preserve"> </w:t>
      </w:r>
      <w:r>
        <w:t>second</w:t>
      </w:r>
      <w:r>
        <w:rPr>
          <w:spacing w:val="-10"/>
        </w:rPr>
        <w:t xml:space="preserve"> </w:t>
      </w:r>
      <w:r>
        <w:t>written</w:t>
      </w:r>
      <w:r>
        <w:rPr>
          <w:spacing w:val="-10"/>
        </w:rPr>
        <w:t xml:space="preserve"> </w:t>
      </w:r>
      <w:r>
        <w:t>submission.</w:t>
      </w:r>
      <w:r>
        <w:rPr>
          <w:spacing w:val="-7"/>
        </w:rPr>
        <w:t xml:space="preserve"> </w:t>
      </w:r>
      <w:r>
        <w:t>Without</w:t>
      </w:r>
      <w:r>
        <w:rPr>
          <w:spacing w:val="-8"/>
        </w:rPr>
        <w:t xml:space="preserve"> </w:t>
      </w:r>
      <w:r>
        <w:t>this</w:t>
      </w:r>
      <w:r>
        <w:rPr>
          <w:spacing w:val="-7"/>
        </w:rPr>
        <w:t xml:space="preserve"> </w:t>
      </w:r>
      <w:r>
        <w:t>flexibility</w:t>
      </w:r>
      <w:r>
        <w:rPr>
          <w:spacing w:val="-7"/>
        </w:rPr>
        <w:t xml:space="preserve"> </w:t>
      </w:r>
      <w:r>
        <w:t>a</w:t>
      </w:r>
      <w:r>
        <w:rPr>
          <w:spacing w:val="-9"/>
        </w:rPr>
        <w:t xml:space="preserve"> </w:t>
      </w:r>
      <w:r>
        <w:t>case</w:t>
      </w:r>
      <w:r>
        <w:rPr>
          <w:spacing w:val="-8"/>
        </w:rPr>
        <w:t xml:space="preserve"> </w:t>
      </w:r>
      <w:r>
        <w:t>could</w:t>
      </w:r>
      <w:r>
        <w:rPr>
          <w:spacing w:val="-10"/>
        </w:rPr>
        <w:t xml:space="preserve"> </w:t>
      </w:r>
      <w:r>
        <w:t>not</w:t>
      </w:r>
      <w:r>
        <w:rPr>
          <w:spacing w:val="-8"/>
        </w:rPr>
        <w:t xml:space="preserve"> </w:t>
      </w:r>
      <w:r>
        <w:t>advance, and</w:t>
      </w:r>
      <w:r>
        <w:rPr>
          <w:spacing w:val="-1"/>
        </w:rPr>
        <w:t xml:space="preserve"> </w:t>
      </w:r>
      <w:r>
        <w:t>responses to</w:t>
      </w:r>
      <w:r>
        <w:rPr>
          <w:spacing w:val="-1"/>
        </w:rPr>
        <w:t xml:space="preserve"> </w:t>
      </w:r>
      <w:r>
        <w:t>questions, and</w:t>
      </w:r>
      <w:r>
        <w:rPr>
          <w:spacing w:val="-1"/>
        </w:rPr>
        <w:t xml:space="preserve"> </w:t>
      </w:r>
      <w:r>
        <w:t>subsequent submissions – such</w:t>
      </w:r>
      <w:r>
        <w:rPr>
          <w:spacing w:val="-1"/>
        </w:rPr>
        <w:t xml:space="preserve"> </w:t>
      </w:r>
      <w:r>
        <w:t>as this one – would</w:t>
      </w:r>
      <w:r>
        <w:rPr>
          <w:spacing w:val="-1"/>
        </w:rPr>
        <w:t xml:space="preserve"> </w:t>
      </w:r>
      <w:r>
        <w:t>have no value. Australia therefore submits that a complainant's arguments can reasonably develop following its first written submission.</w:t>
      </w:r>
      <w:hyperlink w:anchor="_bookmark103" w:history="1">
        <w:r>
          <w:rPr>
            <w:vertAlign w:val="superscript"/>
          </w:rPr>
          <w:t>78</w:t>
        </w:r>
      </w:hyperlink>
    </w:p>
    <w:p w14:paraId="4CF23A69" w14:textId="77777777" w:rsidR="00BD462C" w:rsidRDefault="00BD462C">
      <w:pPr>
        <w:pStyle w:val="BodyText"/>
        <w:rPr>
          <w:sz w:val="20"/>
        </w:rPr>
      </w:pPr>
    </w:p>
    <w:p w14:paraId="03B7B52D" w14:textId="77777777" w:rsidR="00BD462C" w:rsidRDefault="00BD462C">
      <w:pPr>
        <w:pStyle w:val="BodyText"/>
        <w:rPr>
          <w:sz w:val="20"/>
        </w:rPr>
      </w:pPr>
    </w:p>
    <w:p w14:paraId="39AE2975" w14:textId="77777777" w:rsidR="00BD462C" w:rsidRDefault="00BD462C">
      <w:pPr>
        <w:pStyle w:val="BodyText"/>
        <w:rPr>
          <w:sz w:val="20"/>
        </w:rPr>
      </w:pPr>
    </w:p>
    <w:p w14:paraId="69794A7D" w14:textId="77777777" w:rsidR="00BD462C" w:rsidRDefault="00BD462C">
      <w:pPr>
        <w:pStyle w:val="BodyText"/>
        <w:rPr>
          <w:sz w:val="20"/>
        </w:rPr>
      </w:pPr>
    </w:p>
    <w:p w14:paraId="6D2B8735" w14:textId="77777777" w:rsidR="00BD462C" w:rsidRDefault="00BD462C">
      <w:pPr>
        <w:pStyle w:val="BodyText"/>
        <w:rPr>
          <w:sz w:val="20"/>
        </w:rPr>
      </w:pPr>
    </w:p>
    <w:p w14:paraId="39EEE860" w14:textId="77777777" w:rsidR="00BD462C" w:rsidRDefault="00BD462C">
      <w:pPr>
        <w:pStyle w:val="BodyText"/>
        <w:rPr>
          <w:sz w:val="20"/>
        </w:rPr>
      </w:pPr>
    </w:p>
    <w:p w14:paraId="1D5588EA" w14:textId="5654DFD4" w:rsidR="00BD462C" w:rsidRDefault="002C3E13">
      <w:pPr>
        <w:pStyle w:val="BodyText"/>
        <w:spacing w:before="10"/>
        <w:rPr>
          <w:sz w:val="10"/>
        </w:rPr>
      </w:pPr>
      <w:r w:rsidRPr="003A43C7">
        <w:rPr>
          <w:noProof/>
        </w:rPr>
        <mc:AlternateContent>
          <mc:Choice Requires="wps">
            <w:drawing>
              <wp:anchor distT="0" distB="0" distL="114300" distR="114300" simplePos="0" relativeHeight="487956992" behindDoc="0" locked="0" layoutInCell="1" allowOverlap="1" wp14:anchorId="111BA109" wp14:editId="6733B814">
                <wp:simplePos x="0" y="0"/>
                <wp:positionH relativeFrom="column">
                  <wp:posOffset>0</wp:posOffset>
                </wp:positionH>
                <wp:positionV relativeFrom="paragraph">
                  <wp:posOffset>56540</wp:posOffset>
                </wp:positionV>
                <wp:extent cx="2400300" cy="0"/>
                <wp:effectExtent l="0" t="0" r="0" b="0"/>
                <wp:wrapNone/>
                <wp:docPr id="1478" name="Straight Connector 14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400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325534" id="Straight Connector 1478" o:spid="_x0000_s1026" alt="&quot;&quot;" style="position:absolute;z-index:487956992;visibility:visible;mso-wrap-style:square;mso-wrap-distance-left:9pt;mso-wrap-distance-top:0;mso-wrap-distance-right:9pt;mso-wrap-distance-bottom:0;mso-position-horizontal:absolute;mso-position-horizontal-relative:text;mso-position-vertical:absolute;mso-position-vertical-relative:text" from="0,4.45pt" to="189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" strokecolor="#4579b8 [3044]"/>
            </w:pict>
          </mc:Fallback>
        </mc:AlternateContent>
      </w:r>
    </w:p>
    <w:p w14:paraId="75722AE8" w14:textId="77777777" w:rsidR="00BD462C" w:rsidRDefault="00033D0F">
      <w:pPr>
        <w:spacing w:before="112"/>
        <w:ind w:left="135" w:right="908"/>
        <w:jc w:val="both"/>
        <w:rPr>
          <w:sz w:val="18"/>
        </w:rPr>
      </w:pPr>
      <w:bookmarkStart w:id="114" w:name="_bookmark97"/>
      <w:bookmarkEnd w:id="114"/>
      <w:r>
        <w:rPr>
          <w:position w:val="5"/>
          <w:sz w:val="12"/>
        </w:rPr>
        <w:t>72</w:t>
      </w:r>
      <w:r>
        <w:rPr>
          <w:spacing w:val="21"/>
          <w:position w:val="5"/>
          <w:sz w:val="12"/>
        </w:rPr>
        <w:t xml:space="preserve"> </w:t>
      </w:r>
      <w:r>
        <w:rPr>
          <w:sz w:val="18"/>
        </w:rPr>
        <w:t>See</w:t>
      </w:r>
      <w:r>
        <w:rPr>
          <w:spacing w:val="-3"/>
          <w:sz w:val="18"/>
        </w:rPr>
        <w:t xml:space="preserve"> </w:t>
      </w:r>
      <w:r>
        <w:rPr>
          <w:sz w:val="18"/>
        </w:rPr>
        <w:t>Appellate</w:t>
      </w:r>
      <w:r>
        <w:rPr>
          <w:spacing w:val="-3"/>
          <w:sz w:val="18"/>
        </w:rPr>
        <w:t xml:space="preserve"> </w:t>
      </w:r>
      <w:r>
        <w:rPr>
          <w:sz w:val="18"/>
        </w:rPr>
        <w:t>Body</w:t>
      </w:r>
      <w:r>
        <w:rPr>
          <w:spacing w:val="-5"/>
          <w:sz w:val="18"/>
        </w:rPr>
        <w:t xml:space="preserve"> </w:t>
      </w:r>
      <w:r>
        <w:rPr>
          <w:sz w:val="18"/>
        </w:rPr>
        <w:t>Reports</w:t>
      </w:r>
      <w:r>
        <w:rPr>
          <w:i/>
          <w:sz w:val="18"/>
        </w:rPr>
        <w:t>, Chile –</w:t>
      </w:r>
      <w:r>
        <w:rPr>
          <w:i/>
          <w:spacing w:val="-3"/>
          <w:sz w:val="18"/>
        </w:rPr>
        <w:t xml:space="preserve"> </w:t>
      </w:r>
      <w:r>
        <w:rPr>
          <w:i/>
          <w:sz w:val="18"/>
        </w:rPr>
        <w:t xml:space="preserve">Price Band System (Article 21.5 – Argentina), </w:t>
      </w:r>
      <w:r>
        <w:rPr>
          <w:sz w:val="18"/>
        </w:rPr>
        <w:t>para. 134</w:t>
      </w:r>
      <w:r>
        <w:rPr>
          <w:spacing w:val="-5"/>
          <w:sz w:val="18"/>
        </w:rPr>
        <w:t xml:space="preserve"> </w:t>
      </w:r>
      <w:r>
        <w:rPr>
          <w:sz w:val="18"/>
        </w:rPr>
        <w:t xml:space="preserve">(citing Appellate Body Report, </w:t>
      </w:r>
      <w:r>
        <w:rPr>
          <w:i/>
          <w:sz w:val="18"/>
        </w:rPr>
        <w:t>EC</w:t>
      </w:r>
      <w:r>
        <w:rPr>
          <w:i/>
          <w:spacing w:val="-8"/>
          <w:sz w:val="18"/>
        </w:rPr>
        <w:t xml:space="preserve"> </w:t>
      </w:r>
      <w:r>
        <w:rPr>
          <w:i/>
          <w:sz w:val="18"/>
        </w:rPr>
        <w:t>–</w:t>
      </w:r>
      <w:r>
        <w:rPr>
          <w:i/>
          <w:spacing w:val="-3"/>
          <w:sz w:val="18"/>
        </w:rPr>
        <w:t xml:space="preserve"> </w:t>
      </w:r>
      <w:r>
        <w:rPr>
          <w:i/>
          <w:sz w:val="18"/>
        </w:rPr>
        <w:t>Hormones</w:t>
      </w:r>
      <w:r>
        <w:rPr>
          <w:sz w:val="18"/>
        </w:rPr>
        <w:t>,</w:t>
      </w:r>
      <w:r>
        <w:rPr>
          <w:spacing w:val="-6"/>
          <w:sz w:val="18"/>
        </w:rPr>
        <w:t xml:space="preserve"> </w:t>
      </w:r>
      <w:r>
        <w:rPr>
          <w:sz w:val="18"/>
        </w:rPr>
        <w:t>para.</w:t>
      </w:r>
      <w:r>
        <w:rPr>
          <w:spacing w:val="-2"/>
          <w:sz w:val="18"/>
        </w:rPr>
        <w:t xml:space="preserve"> </w:t>
      </w:r>
      <w:r>
        <w:rPr>
          <w:sz w:val="18"/>
        </w:rPr>
        <w:t>104);</w:t>
      </w:r>
      <w:r>
        <w:rPr>
          <w:spacing w:val="-5"/>
          <w:sz w:val="18"/>
        </w:rPr>
        <w:t xml:space="preserve"> </w:t>
      </w:r>
      <w:r>
        <w:rPr>
          <w:i/>
          <w:sz w:val="18"/>
        </w:rPr>
        <w:t>US</w:t>
      </w:r>
      <w:r>
        <w:rPr>
          <w:i/>
          <w:spacing w:val="-5"/>
          <w:sz w:val="18"/>
        </w:rPr>
        <w:t xml:space="preserve"> </w:t>
      </w:r>
      <w:r>
        <w:rPr>
          <w:i/>
          <w:sz w:val="18"/>
        </w:rPr>
        <w:t>–</w:t>
      </w:r>
      <w:r>
        <w:rPr>
          <w:i/>
          <w:spacing w:val="-8"/>
          <w:sz w:val="18"/>
        </w:rPr>
        <w:t xml:space="preserve"> </w:t>
      </w:r>
      <w:r>
        <w:rPr>
          <w:i/>
          <w:sz w:val="18"/>
        </w:rPr>
        <w:t>Wool</w:t>
      </w:r>
      <w:r>
        <w:rPr>
          <w:i/>
          <w:spacing w:val="-2"/>
          <w:sz w:val="18"/>
        </w:rPr>
        <w:t xml:space="preserve"> </w:t>
      </w:r>
      <w:r>
        <w:rPr>
          <w:i/>
          <w:sz w:val="18"/>
        </w:rPr>
        <w:t>Shirts</w:t>
      </w:r>
      <w:r>
        <w:rPr>
          <w:i/>
          <w:spacing w:val="-7"/>
          <w:sz w:val="18"/>
        </w:rPr>
        <w:t xml:space="preserve"> </w:t>
      </w:r>
      <w:r>
        <w:rPr>
          <w:i/>
          <w:sz w:val="18"/>
        </w:rPr>
        <w:t>and</w:t>
      </w:r>
      <w:r>
        <w:rPr>
          <w:i/>
          <w:spacing w:val="-2"/>
          <w:sz w:val="18"/>
        </w:rPr>
        <w:t xml:space="preserve"> </w:t>
      </w:r>
      <w:r>
        <w:rPr>
          <w:i/>
          <w:sz w:val="18"/>
        </w:rPr>
        <w:t>Blouses</w:t>
      </w:r>
      <w:r>
        <w:rPr>
          <w:sz w:val="18"/>
        </w:rPr>
        <w:t>,</w:t>
      </w:r>
      <w:r>
        <w:rPr>
          <w:spacing w:val="-1"/>
          <w:sz w:val="18"/>
        </w:rPr>
        <w:t xml:space="preserve"> </w:t>
      </w:r>
      <w:r>
        <w:rPr>
          <w:sz w:val="18"/>
        </w:rPr>
        <w:t>para.</w:t>
      </w:r>
      <w:r>
        <w:rPr>
          <w:spacing w:val="-2"/>
          <w:sz w:val="18"/>
        </w:rPr>
        <w:t xml:space="preserve"> </w:t>
      </w:r>
      <w:r>
        <w:rPr>
          <w:sz w:val="18"/>
        </w:rPr>
        <w:t>335;</w:t>
      </w:r>
      <w:r>
        <w:rPr>
          <w:spacing w:val="-5"/>
          <w:sz w:val="18"/>
        </w:rPr>
        <w:t xml:space="preserve"> </w:t>
      </w:r>
      <w:r>
        <w:rPr>
          <w:sz w:val="18"/>
        </w:rPr>
        <w:t>see</w:t>
      </w:r>
      <w:r>
        <w:rPr>
          <w:spacing w:val="-8"/>
          <w:sz w:val="18"/>
        </w:rPr>
        <w:t xml:space="preserve"> </w:t>
      </w:r>
      <w:r>
        <w:rPr>
          <w:sz w:val="18"/>
        </w:rPr>
        <w:t>Appellate</w:t>
      </w:r>
      <w:r>
        <w:rPr>
          <w:spacing w:val="-8"/>
          <w:sz w:val="18"/>
        </w:rPr>
        <w:t xml:space="preserve"> </w:t>
      </w:r>
      <w:r>
        <w:rPr>
          <w:sz w:val="18"/>
        </w:rPr>
        <w:t>Body</w:t>
      </w:r>
      <w:r>
        <w:rPr>
          <w:spacing w:val="-10"/>
          <w:sz w:val="18"/>
        </w:rPr>
        <w:t xml:space="preserve"> </w:t>
      </w:r>
      <w:r>
        <w:rPr>
          <w:sz w:val="18"/>
        </w:rPr>
        <w:t>Report,</w:t>
      </w:r>
      <w:r>
        <w:rPr>
          <w:spacing w:val="-1"/>
          <w:sz w:val="18"/>
        </w:rPr>
        <w:t xml:space="preserve"> </w:t>
      </w:r>
      <w:r>
        <w:rPr>
          <w:i/>
          <w:sz w:val="18"/>
        </w:rPr>
        <w:t>US</w:t>
      </w:r>
      <w:r>
        <w:rPr>
          <w:i/>
          <w:spacing w:val="-10"/>
          <w:sz w:val="18"/>
        </w:rPr>
        <w:t xml:space="preserve"> </w:t>
      </w:r>
      <w:r>
        <w:rPr>
          <w:i/>
          <w:sz w:val="18"/>
        </w:rPr>
        <w:t>–</w:t>
      </w:r>
      <w:r>
        <w:rPr>
          <w:i/>
          <w:spacing w:val="-3"/>
          <w:sz w:val="18"/>
        </w:rPr>
        <w:t xml:space="preserve"> </w:t>
      </w:r>
      <w:r>
        <w:rPr>
          <w:i/>
          <w:sz w:val="18"/>
        </w:rPr>
        <w:t>Carbon</w:t>
      </w:r>
      <w:r>
        <w:rPr>
          <w:i/>
          <w:spacing w:val="-2"/>
          <w:sz w:val="18"/>
        </w:rPr>
        <w:t xml:space="preserve"> </w:t>
      </w:r>
      <w:r>
        <w:rPr>
          <w:i/>
          <w:sz w:val="18"/>
        </w:rPr>
        <w:t>Steel</w:t>
      </w:r>
      <w:r>
        <w:rPr>
          <w:sz w:val="18"/>
        </w:rPr>
        <w:t>,</w:t>
      </w:r>
      <w:r>
        <w:rPr>
          <w:spacing w:val="-6"/>
          <w:sz w:val="18"/>
        </w:rPr>
        <w:t xml:space="preserve"> </w:t>
      </w:r>
      <w:r>
        <w:rPr>
          <w:sz w:val="18"/>
        </w:rPr>
        <w:t>para.</w:t>
      </w:r>
      <w:r>
        <w:rPr>
          <w:spacing w:val="-2"/>
          <w:sz w:val="18"/>
        </w:rPr>
        <w:t xml:space="preserve"> </w:t>
      </w:r>
      <w:r>
        <w:rPr>
          <w:sz w:val="18"/>
        </w:rPr>
        <w:t xml:space="preserve">157. </w:t>
      </w:r>
      <w:bookmarkStart w:id="115" w:name="_bookmark98"/>
      <w:bookmarkEnd w:id="115"/>
      <w:r>
        <w:rPr>
          <w:position w:val="5"/>
          <w:sz w:val="12"/>
        </w:rPr>
        <w:t>73</w:t>
      </w:r>
      <w:r>
        <w:rPr>
          <w:spacing w:val="17"/>
          <w:position w:val="5"/>
          <w:sz w:val="12"/>
        </w:rPr>
        <w:t xml:space="preserve"> </w:t>
      </w:r>
      <w:r>
        <w:rPr>
          <w:sz w:val="18"/>
        </w:rPr>
        <w:t xml:space="preserve">See </w:t>
      </w:r>
      <w:proofErr w:type="gramStart"/>
      <w:r>
        <w:rPr>
          <w:sz w:val="18"/>
        </w:rPr>
        <w:t>e.g.</w:t>
      </w:r>
      <w:proofErr w:type="gramEnd"/>
      <w:r>
        <w:rPr>
          <w:spacing w:val="-1"/>
          <w:sz w:val="18"/>
        </w:rPr>
        <w:t xml:space="preserve"> </w:t>
      </w:r>
      <w:r>
        <w:rPr>
          <w:sz w:val="18"/>
        </w:rPr>
        <w:t>Appellate</w:t>
      </w:r>
      <w:r>
        <w:rPr>
          <w:spacing w:val="-2"/>
          <w:sz w:val="18"/>
        </w:rPr>
        <w:t xml:space="preserve"> </w:t>
      </w:r>
      <w:r>
        <w:rPr>
          <w:sz w:val="18"/>
        </w:rPr>
        <w:t xml:space="preserve">Body report, </w:t>
      </w:r>
      <w:r>
        <w:rPr>
          <w:i/>
          <w:sz w:val="18"/>
        </w:rPr>
        <w:t xml:space="preserve">Canada — Aircraft, </w:t>
      </w:r>
      <w:r>
        <w:rPr>
          <w:sz w:val="18"/>
        </w:rPr>
        <w:t>para. 192</w:t>
      </w:r>
      <w:r>
        <w:rPr>
          <w:spacing w:val="-4"/>
          <w:sz w:val="18"/>
        </w:rPr>
        <w:t xml:space="preserve"> </w:t>
      </w:r>
      <w:r>
        <w:rPr>
          <w:sz w:val="18"/>
        </w:rPr>
        <w:t>("no</w:t>
      </w:r>
      <w:r>
        <w:rPr>
          <w:spacing w:val="-3"/>
          <w:sz w:val="18"/>
        </w:rPr>
        <w:t xml:space="preserve"> </w:t>
      </w:r>
      <w:r>
        <w:rPr>
          <w:sz w:val="18"/>
        </w:rPr>
        <w:t>Member is free</w:t>
      </w:r>
      <w:r>
        <w:rPr>
          <w:spacing w:val="-2"/>
          <w:sz w:val="18"/>
        </w:rPr>
        <w:t xml:space="preserve"> </w:t>
      </w:r>
      <w:r>
        <w:rPr>
          <w:sz w:val="18"/>
        </w:rPr>
        <w:t>to determine</w:t>
      </w:r>
      <w:r>
        <w:rPr>
          <w:spacing w:val="-2"/>
          <w:sz w:val="18"/>
        </w:rPr>
        <w:t xml:space="preserve"> </w:t>
      </w:r>
      <w:r>
        <w:rPr>
          <w:sz w:val="18"/>
        </w:rPr>
        <w:t>for</w:t>
      </w:r>
      <w:r>
        <w:rPr>
          <w:spacing w:val="-4"/>
          <w:sz w:val="18"/>
        </w:rPr>
        <w:t xml:space="preserve"> </w:t>
      </w:r>
      <w:r>
        <w:rPr>
          <w:sz w:val="18"/>
        </w:rPr>
        <w:t>itself whether a</w:t>
      </w:r>
      <w:r>
        <w:rPr>
          <w:spacing w:val="-5"/>
          <w:sz w:val="18"/>
        </w:rPr>
        <w:t xml:space="preserve"> </w:t>
      </w:r>
      <w:r>
        <w:rPr>
          <w:sz w:val="18"/>
        </w:rPr>
        <w:t xml:space="preserve">prima facie case or </w:t>
      </w:r>
      <w:proofErr w:type="spellStart"/>
      <w:r>
        <w:rPr>
          <w:sz w:val="18"/>
        </w:rPr>
        <w:t>defence</w:t>
      </w:r>
      <w:proofErr w:type="spellEnd"/>
      <w:r>
        <w:rPr>
          <w:sz w:val="18"/>
        </w:rPr>
        <w:t xml:space="preserve"> has been established by the other party.")</w:t>
      </w:r>
    </w:p>
    <w:p w14:paraId="37E5056F" w14:textId="77777777" w:rsidR="00BD462C" w:rsidRDefault="00033D0F">
      <w:pPr>
        <w:spacing w:before="1" w:line="237" w:lineRule="auto"/>
        <w:ind w:left="136" w:right="911" w:hanging="1"/>
        <w:jc w:val="both"/>
        <w:rPr>
          <w:sz w:val="18"/>
        </w:rPr>
      </w:pPr>
      <w:bookmarkStart w:id="116" w:name="_bookmark99"/>
      <w:bookmarkEnd w:id="116"/>
      <w:r>
        <w:rPr>
          <w:position w:val="5"/>
          <w:sz w:val="12"/>
        </w:rPr>
        <w:t>74</w:t>
      </w:r>
      <w:r>
        <w:rPr>
          <w:spacing w:val="10"/>
          <w:position w:val="5"/>
          <w:sz w:val="12"/>
        </w:rPr>
        <w:t xml:space="preserve"> </w:t>
      </w:r>
      <w:r>
        <w:rPr>
          <w:sz w:val="18"/>
        </w:rPr>
        <w:t>Australia</w:t>
      </w:r>
      <w:r>
        <w:rPr>
          <w:spacing w:val="-6"/>
          <w:sz w:val="18"/>
        </w:rPr>
        <w:t xml:space="preserve"> </w:t>
      </w:r>
      <w:r>
        <w:rPr>
          <w:sz w:val="18"/>
        </w:rPr>
        <w:t>notes</w:t>
      </w:r>
      <w:r>
        <w:rPr>
          <w:spacing w:val="-4"/>
          <w:sz w:val="18"/>
        </w:rPr>
        <w:t xml:space="preserve"> </w:t>
      </w:r>
      <w:r>
        <w:rPr>
          <w:sz w:val="18"/>
        </w:rPr>
        <w:t>that</w:t>
      </w:r>
      <w:r>
        <w:rPr>
          <w:spacing w:val="-8"/>
          <w:sz w:val="18"/>
        </w:rPr>
        <w:t xml:space="preserve"> </w:t>
      </w:r>
      <w:r>
        <w:rPr>
          <w:sz w:val="18"/>
        </w:rPr>
        <w:t>the</w:t>
      </w:r>
      <w:r>
        <w:rPr>
          <w:spacing w:val="-4"/>
          <w:sz w:val="18"/>
        </w:rPr>
        <w:t xml:space="preserve"> </w:t>
      </w:r>
      <w:r>
        <w:rPr>
          <w:sz w:val="18"/>
        </w:rPr>
        <w:t>party</w:t>
      </w:r>
      <w:r>
        <w:rPr>
          <w:spacing w:val="-6"/>
          <w:sz w:val="18"/>
        </w:rPr>
        <w:t xml:space="preserve"> </w:t>
      </w:r>
      <w:r>
        <w:rPr>
          <w:sz w:val="18"/>
        </w:rPr>
        <w:t>asserting</w:t>
      </w:r>
      <w:r>
        <w:rPr>
          <w:spacing w:val="-4"/>
          <w:sz w:val="18"/>
        </w:rPr>
        <w:t xml:space="preserve"> </w:t>
      </w:r>
      <w:r>
        <w:rPr>
          <w:sz w:val="18"/>
        </w:rPr>
        <w:t>a</w:t>
      </w:r>
      <w:r>
        <w:rPr>
          <w:spacing w:val="-11"/>
          <w:sz w:val="18"/>
        </w:rPr>
        <w:t xml:space="preserve"> </w:t>
      </w:r>
      <w:r>
        <w:rPr>
          <w:sz w:val="18"/>
        </w:rPr>
        <w:t>fact</w:t>
      </w:r>
      <w:r>
        <w:rPr>
          <w:spacing w:val="-2"/>
          <w:sz w:val="18"/>
        </w:rPr>
        <w:t xml:space="preserve"> </w:t>
      </w:r>
      <w:r>
        <w:rPr>
          <w:sz w:val="18"/>
        </w:rPr>
        <w:t>is</w:t>
      </w:r>
      <w:r>
        <w:rPr>
          <w:spacing w:val="-4"/>
          <w:sz w:val="18"/>
        </w:rPr>
        <w:t xml:space="preserve"> </w:t>
      </w:r>
      <w:r>
        <w:rPr>
          <w:sz w:val="18"/>
        </w:rPr>
        <w:t>responsible</w:t>
      </w:r>
      <w:r>
        <w:rPr>
          <w:spacing w:val="-9"/>
          <w:sz w:val="18"/>
        </w:rPr>
        <w:t xml:space="preserve"> </w:t>
      </w:r>
      <w:r>
        <w:rPr>
          <w:sz w:val="18"/>
        </w:rPr>
        <w:t>for</w:t>
      </w:r>
      <w:r>
        <w:rPr>
          <w:spacing w:val="-6"/>
          <w:sz w:val="18"/>
        </w:rPr>
        <w:t xml:space="preserve"> </w:t>
      </w:r>
      <w:r>
        <w:rPr>
          <w:sz w:val="18"/>
        </w:rPr>
        <w:t>providing</w:t>
      </w:r>
      <w:r>
        <w:rPr>
          <w:spacing w:val="-4"/>
          <w:sz w:val="18"/>
        </w:rPr>
        <w:t xml:space="preserve"> </w:t>
      </w:r>
      <w:r>
        <w:rPr>
          <w:sz w:val="18"/>
        </w:rPr>
        <w:t>proof</w:t>
      </w:r>
      <w:r>
        <w:rPr>
          <w:spacing w:val="-8"/>
          <w:sz w:val="18"/>
        </w:rPr>
        <w:t xml:space="preserve"> </w:t>
      </w:r>
      <w:r>
        <w:rPr>
          <w:sz w:val="18"/>
        </w:rPr>
        <w:t>of</w:t>
      </w:r>
      <w:r>
        <w:rPr>
          <w:spacing w:val="-3"/>
          <w:sz w:val="18"/>
        </w:rPr>
        <w:t xml:space="preserve"> </w:t>
      </w:r>
      <w:r>
        <w:rPr>
          <w:sz w:val="18"/>
        </w:rPr>
        <w:t>that</w:t>
      </w:r>
      <w:r>
        <w:rPr>
          <w:spacing w:val="-8"/>
          <w:sz w:val="18"/>
        </w:rPr>
        <w:t xml:space="preserve"> </w:t>
      </w:r>
      <w:r>
        <w:rPr>
          <w:sz w:val="18"/>
        </w:rPr>
        <w:t>fact</w:t>
      </w:r>
      <w:r>
        <w:rPr>
          <w:spacing w:val="-3"/>
          <w:sz w:val="18"/>
        </w:rPr>
        <w:t xml:space="preserve"> </w:t>
      </w:r>
      <w:r>
        <w:rPr>
          <w:sz w:val="18"/>
        </w:rPr>
        <w:t>and</w:t>
      </w:r>
      <w:r>
        <w:rPr>
          <w:spacing w:val="-5"/>
          <w:sz w:val="18"/>
        </w:rPr>
        <w:t xml:space="preserve"> </w:t>
      </w:r>
      <w:r>
        <w:rPr>
          <w:sz w:val="18"/>
        </w:rPr>
        <w:t>China</w:t>
      </w:r>
      <w:r>
        <w:rPr>
          <w:spacing w:val="-11"/>
          <w:sz w:val="18"/>
        </w:rPr>
        <w:t xml:space="preserve"> </w:t>
      </w:r>
      <w:r>
        <w:rPr>
          <w:sz w:val="18"/>
        </w:rPr>
        <w:t>must</w:t>
      </w:r>
      <w:r>
        <w:rPr>
          <w:spacing w:val="-7"/>
          <w:sz w:val="18"/>
        </w:rPr>
        <w:t xml:space="preserve"> </w:t>
      </w:r>
      <w:r>
        <w:rPr>
          <w:sz w:val="18"/>
        </w:rPr>
        <w:t>therefore</w:t>
      </w:r>
      <w:r>
        <w:rPr>
          <w:spacing w:val="-4"/>
          <w:sz w:val="18"/>
        </w:rPr>
        <w:t xml:space="preserve"> </w:t>
      </w:r>
      <w:r>
        <w:rPr>
          <w:sz w:val="18"/>
        </w:rPr>
        <w:t xml:space="preserve">prove its own </w:t>
      </w:r>
      <w:proofErr w:type="spellStart"/>
      <w:r>
        <w:rPr>
          <w:sz w:val="18"/>
        </w:rPr>
        <w:t>defence</w:t>
      </w:r>
      <w:proofErr w:type="spellEnd"/>
      <w:r>
        <w:rPr>
          <w:sz w:val="18"/>
        </w:rPr>
        <w:t xml:space="preserve">. See Appellate Body Reports, </w:t>
      </w:r>
      <w:r>
        <w:rPr>
          <w:i/>
          <w:sz w:val="18"/>
        </w:rPr>
        <w:t>Japan — Apples</w:t>
      </w:r>
      <w:r>
        <w:rPr>
          <w:sz w:val="18"/>
        </w:rPr>
        <w:t xml:space="preserve">, para. 157; </w:t>
      </w:r>
      <w:r>
        <w:rPr>
          <w:i/>
          <w:sz w:val="18"/>
        </w:rPr>
        <w:t xml:space="preserve">India — Patents (US), </w:t>
      </w:r>
      <w:r>
        <w:rPr>
          <w:sz w:val="18"/>
        </w:rPr>
        <w:t>para.</w:t>
      </w:r>
      <w:r>
        <w:rPr>
          <w:spacing w:val="-1"/>
          <w:sz w:val="18"/>
        </w:rPr>
        <w:t xml:space="preserve"> </w:t>
      </w:r>
      <w:r>
        <w:rPr>
          <w:sz w:val="18"/>
        </w:rPr>
        <w:t xml:space="preserve">74; </w:t>
      </w:r>
      <w:r>
        <w:rPr>
          <w:i/>
          <w:sz w:val="18"/>
        </w:rPr>
        <w:t>Canada — Wheat Exports and Grain Imports</w:t>
      </w:r>
      <w:r>
        <w:rPr>
          <w:sz w:val="18"/>
        </w:rPr>
        <w:t>, para. 191.</w:t>
      </w:r>
    </w:p>
    <w:p w14:paraId="680E569A" w14:textId="77777777" w:rsidR="00BD462C" w:rsidRDefault="00033D0F">
      <w:pPr>
        <w:spacing w:before="3"/>
        <w:ind w:left="135"/>
        <w:rPr>
          <w:sz w:val="18"/>
        </w:rPr>
      </w:pPr>
      <w:bookmarkStart w:id="117" w:name="_bookmark100"/>
      <w:bookmarkEnd w:id="117"/>
      <w:r>
        <w:rPr>
          <w:position w:val="5"/>
          <w:sz w:val="12"/>
        </w:rPr>
        <w:t>75</w:t>
      </w:r>
      <w:r>
        <w:rPr>
          <w:spacing w:val="14"/>
          <w:position w:val="5"/>
          <w:sz w:val="12"/>
        </w:rPr>
        <w:t xml:space="preserve"> </w:t>
      </w:r>
      <w:r>
        <w:rPr>
          <w:sz w:val="18"/>
        </w:rPr>
        <w:t>Appellate</w:t>
      </w:r>
      <w:r>
        <w:rPr>
          <w:spacing w:val="-8"/>
          <w:sz w:val="18"/>
        </w:rPr>
        <w:t xml:space="preserve"> </w:t>
      </w:r>
      <w:r>
        <w:rPr>
          <w:sz w:val="18"/>
        </w:rPr>
        <w:t>Body</w:t>
      </w:r>
      <w:r>
        <w:rPr>
          <w:spacing w:val="-6"/>
          <w:sz w:val="18"/>
        </w:rPr>
        <w:t xml:space="preserve"> </w:t>
      </w:r>
      <w:r>
        <w:rPr>
          <w:sz w:val="18"/>
        </w:rPr>
        <w:t>Report,</w:t>
      </w:r>
      <w:r>
        <w:rPr>
          <w:spacing w:val="-2"/>
          <w:sz w:val="18"/>
        </w:rPr>
        <w:t xml:space="preserve"> </w:t>
      </w:r>
      <w:r>
        <w:rPr>
          <w:i/>
          <w:sz w:val="18"/>
        </w:rPr>
        <w:t>Korea</w:t>
      </w:r>
      <w:r>
        <w:rPr>
          <w:i/>
          <w:spacing w:val="2"/>
          <w:sz w:val="18"/>
        </w:rPr>
        <w:t xml:space="preserve"> </w:t>
      </w:r>
      <w:r>
        <w:rPr>
          <w:i/>
          <w:sz w:val="18"/>
        </w:rPr>
        <w:t>—</w:t>
      </w:r>
      <w:r>
        <w:rPr>
          <w:i/>
          <w:spacing w:val="-7"/>
          <w:sz w:val="18"/>
        </w:rPr>
        <w:t xml:space="preserve"> </w:t>
      </w:r>
      <w:r>
        <w:rPr>
          <w:i/>
          <w:sz w:val="18"/>
        </w:rPr>
        <w:t>Dairy</w:t>
      </w:r>
      <w:r>
        <w:rPr>
          <w:sz w:val="18"/>
        </w:rPr>
        <w:t>,</w:t>
      </w:r>
      <w:r>
        <w:rPr>
          <w:spacing w:val="-1"/>
          <w:sz w:val="18"/>
        </w:rPr>
        <w:t xml:space="preserve"> </w:t>
      </w:r>
      <w:r>
        <w:rPr>
          <w:sz w:val="18"/>
        </w:rPr>
        <w:t>para.</w:t>
      </w:r>
      <w:r>
        <w:rPr>
          <w:spacing w:val="-3"/>
          <w:sz w:val="18"/>
        </w:rPr>
        <w:t xml:space="preserve"> </w:t>
      </w:r>
      <w:r>
        <w:rPr>
          <w:sz w:val="18"/>
        </w:rPr>
        <w:t>145,</w:t>
      </w:r>
      <w:r>
        <w:rPr>
          <w:spacing w:val="2"/>
          <w:sz w:val="18"/>
        </w:rPr>
        <w:t xml:space="preserve"> </w:t>
      </w:r>
      <w:r>
        <w:rPr>
          <w:sz w:val="18"/>
        </w:rPr>
        <w:t>concerning</w:t>
      </w:r>
      <w:r>
        <w:rPr>
          <w:spacing w:val="-3"/>
          <w:sz w:val="18"/>
        </w:rPr>
        <w:t xml:space="preserve"> </w:t>
      </w:r>
      <w:r>
        <w:rPr>
          <w:sz w:val="18"/>
        </w:rPr>
        <w:t>the</w:t>
      </w:r>
      <w:r>
        <w:rPr>
          <w:spacing w:val="-9"/>
          <w:sz w:val="18"/>
        </w:rPr>
        <w:t xml:space="preserve"> </w:t>
      </w:r>
      <w:r>
        <w:rPr>
          <w:sz w:val="18"/>
        </w:rPr>
        <w:t>DSU</w:t>
      </w:r>
      <w:r>
        <w:rPr>
          <w:spacing w:val="-2"/>
          <w:sz w:val="18"/>
        </w:rPr>
        <w:t xml:space="preserve"> </w:t>
      </w:r>
      <w:r>
        <w:rPr>
          <w:sz w:val="18"/>
        </w:rPr>
        <w:t>and</w:t>
      </w:r>
      <w:r>
        <w:rPr>
          <w:spacing w:val="-5"/>
          <w:sz w:val="18"/>
        </w:rPr>
        <w:t xml:space="preserve"> </w:t>
      </w:r>
      <w:r>
        <w:rPr>
          <w:sz w:val="18"/>
        </w:rPr>
        <w:t>the</w:t>
      </w:r>
      <w:r>
        <w:rPr>
          <w:spacing w:val="-3"/>
          <w:sz w:val="18"/>
        </w:rPr>
        <w:t xml:space="preserve"> </w:t>
      </w:r>
      <w:r>
        <w:rPr>
          <w:i/>
          <w:sz w:val="18"/>
        </w:rPr>
        <w:t>Agreement</w:t>
      </w:r>
      <w:r>
        <w:rPr>
          <w:i/>
          <w:spacing w:val="-3"/>
          <w:sz w:val="18"/>
        </w:rPr>
        <w:t xml:space="preserve"> </w:t>
      </w:r>
      <w:r>
        <w:rPr>
          <w:i/>
          <w:sz w:val="18"/>
        </w:rPr>
        <w:t>on</w:t>
      </w:r>
      <w:r>
        <w:rPr>
          <w:i/>
          <w:spacing w:val="2"/>
          <w:sz w:val="18"/>
        </w:rPr>
        <w:t xml:space="preserve"> </w:t>
      </w:r>
      <w:r>
        <w:rPr>
          <w:i/>
          <w:spacing w:val="-2"/>
          <w:sz w:val="18"/>
        </w:rPr>
        <w:t>Safeguards</w:t>
      </w:r>
      <w:r>
        <w:rPr>
          <w:spacing w:val="-2"/>
          <w:sz w:val="18"/>
        </w:rPr>
        <w:t>.</w:t>
      </w:r>
    </w:p>
    <w:p w14:paraId="091D45A3" w14:textId="77777777" w:rsidR="00BD462C" w:rsidRDefault="00033D0F">
      <w:pPr>
        <w:spacing w:before="1"/>
        <w:ind w:left="135"/>
        <w:rPr>
          <w:sz w:val="18"/>
        </w:rPr>
      </w:pPr>
      <w:bookmarkStart w:id="118" w:name="_bookmark101"/>
      <w:bookmarkEnd w:id="118"/>
      <w:r>
        <w:rPr>
          <w:position w:val="5"/>
          <w:sz w:val="12"/>
        </w:rPr>
        <w:t>76</w:t>
      </w:r>
      <w:r>
        <w:rPr>
          <w:spacing w:val="12"/>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para. 940;</w:t>
      </w:r>
      <w:r>
        <w:rPr>
          <w:spacing w:val="-10"/>
          <w:sz w:val="18"/>
        </w:rPr>
        <w:t xml:space="preserve"> </w:t>
      </w:r>
      <w:r>
        <w:rPr>
          <w:sz w:val="18"/>
        </w:rPr>
        <w:t>Working</w:t>
      </w:r>
      <w:r>
        <w:rPr>
          <w:spacing w:val="-6"/>
          <w:sz w:val="18"/>
        </w:rPr>
        <w:t xml:space="preserve"> </w:t>
      </w:r>
      <w:r>
        <w:rPr>
          <w:sz w:val="18"/>
        </w:rPr>
        <w:t>Procedures</w:t>
      </w:r>
      <w:r>
        <w:rPr>
          <w:spacing w:val="-5"/>
          <w:sz w:val="18"/>
        </w:rPr>
        <w:t xml:space="preserve"> </w:t>
      </w:r>
      <w:r>
        <w:rPr>
          <w:sz w:val="18"/>
        </w:rPr>
        <w:t>(Rev</w:t>
      </w:r>
      <w:r>
        <w:rPr>
          <w:spacing w:val="-3"/>
          <w:sz w:val="18"/>
        </w:rPr>
        <w:t xml:space="preserve"> </w:t>
      </w:r>
      <w:r>
        <w:rPr>
          <w:sz w:val="18"/>
        </w:rPr>
        <w:t>1),</w:t>
      </w:r>
      <w:r>
        <w:rPr>
          <w:spacing w:val="-4"/>
          <w:sz w:val="18"/>
        </w:rPr>
        <w:t xml:space="preserve"> </w:t>
      </w:r>
      <w:r>
        <w:rPr>
          <w:sz w:val="18"/>
        </w:rPr>
        <w:t>19</w:t>
      </w:r>
      <w:r>
        <w:rPr>
          <w:spacing w:val="-7"/>
          <w:sz w:val="18"/>
        </w:rPr>
        <w:t xml:space="preserve"> </w:t>
      </w:r>
      <w:r>
        <w:rPr>
          <w:sz w:val="18"/>
        </w:rPr>
        <w:t>April</w:t>
      </w:r>
      <w:r>
        <w:rPr>
          <w:spacing w:val="-1"/>
          <w:sz w:val="18"/>
        </w:rPr>
        <w:t xml:space="preserve"> </w:t>
      </w:r>
      <w:r>
        <w:rPr>
          <w:sz w:val="18"/>
        </w:rPr>
        <w:t>2022,</w:t>
      </w:r>
      <w:r>
        <w:rPr>
          <w:spacing w:val="-4"/>
          <w:sz w:val="18"/>
        </w:rPr>
        <w:t xml:space="preserve"> </w:t>
      </w:r>
      <w:r>
        <w:rPr>
          <w:sz w:val="18"/>
        </w:rPr>
        <w:t>para.</w:t>
      </w:r>
      <w:r>
        <w:rPr>
          <w:spacing w:val="-5"/>
          <w:sz w:val="18"/>
        </w:rPr>
        <w:t xml:space="preserve"> </w:t>
      </w:r>
      <w:r>
        <w:rPr>
          <w:spacing w:val="-2"/>
          <w:sz w:val="18"/>
        </w:rPr>
        <w:t>3(1).</w:t>
      </w:r>
    </w:p>
    <w:p w14:paraId="43054313" w14:textId="77777777" w:rsidR="00BD462C" w:rsidRDefault="00033D0F">
      <w:pPr>
        <w:spacing w:before="1"/>
        <w:ind w:left="135"/>
        <w:rPr>
          <w:sz w:val="18"/>
        </w:rPr>
      </w:pPr>
      <w:bookmarkStart w:id="119" w:name="_bookmark102"/>
      <w:bookmarkEnd w:id="119"/>
      <w:r>
        <w:rPr>
          <w:position w:val="5"/>
          <w:sz w:val="12"/>
        </w:rPr>
        <w:t>77</w:t>
      </w:r>
      <w:r>
        <w:rPr>
          <w:spacing w:val="15"/>
          <w:position w:val="5"/>
          <w:sz w:val="12"/>
        </w:rPr>
        <w:t xml:space="preserve"> </w:t>
      </w:r>
      <w:r>
        <w:rPr>
          <w:sz w:val="18"/>
        </w:rPr>
        <w:t>See</w:t>
      </w:r>
      <w:r>
        <w:rPr>
          <w:spacing w:val="-4"/>
          <w:sz w:val="18"/>
        </w:rPr>
        <w:t xml:space="preserve"> </w:t>
      </w:r>
      <w:r>
        <w:rPr>
          <w:sz w:val="18"/>
        </w:rPr>
        <w:t>above,</w:t>
      </w:r>
      <w:r>
        <w:rPr>
          <w:spacing w:val="-2"/>
          <w:sz w:val="18"/>
        </w:rPr>
        <w:t xml:space="preserve"> </w:t>
      </w:r>
      <w:r>
        <w:rPr>
          <w:sz w:val="18"/>
        </w:rPr>
        <w:t>section</w:t>
      </w:r>
      <w:r>
        <w:rPr>
          <w:spacing w:val="-5"/>
          <w:sz w:val="18"/>
        </w:rPr>
        <w:t xml:space="preserve"> </w:t>
      </w:r>
      <w:hyperlink w:anchor="_bookmark59" w:history="1">
        <w:r>
          <w:rPr>
            <w:spacing w:val="-2"/>
            <w:sz w:val="18"/>
          </w:rPr>
          <w:t>II.A.1(c)ii.</w:t>
        </w:r>
      </w:hyperlink>
    </w:p>
    <w:p w14:paraId="3BEB06F8" w14:textId="77777777" w:rsidR="00BD462C" w:rsidRDefault="00033D0F">
      <w:pPr>
        <w:spacing w:before="1"/>
        <w:ind w:left="135"/>
        <w:rPr>
          <w:sz w:val="18"/>
        </w:rPr>
      </w:pPr>
      <w:bookmarkStart w:id="120" w:name="_bookmark103"/>
      <w:bookmarkEnd w:id="120"/>
      <w:r>
        <w:rPr>
          <w:position w:val="5"/>
          <w:sz w:val="12"/>
        </w:rPr>
        <w:t>78</w:t>
      </w:r>
      <w:r>
        <w:rPr>
          <w:spacing w:val="15"/>
          <w:position w:val="5"/>
          <w:sz w:val="12"/>
        </w:rPr>
        <w:t xml:space="preserve"> </w:t>
      </w:r>
      <w:r>
        <w:rPr>
          <w:sz w:val="18"/>
        </w:rPr>
        <w:t>Appellate</w:t>
      </w:r>
      <w:r>
        <w:rPr>
          <w:spacing w:val="-8"/>
          <w:sz w:val="18"/>
        </w:rPr>
        <w:t xml:space="preserve"> </w:t>
      </w:r>
      <w:r>
        <w:rPr>
          <w:sz w:val="18"/>
        </w:rPr>
        <w:t>Body</w:t>
      </w:r>
      <w:r>
        <w:rPr>
          <w:spacing w:val="-5"/>
          <w:sz w:val="18"/>
        </w:rPr>
        <w:t xml:space="preserve"> </w:t>
      </w:r>
      <w:r>
        <w:rPr>
          <w:sz w:val="18"/>
        </w:rPr>
        <w:t>Report,</w:t>
      </w:r>
      <w:r>
        <w:rPr>
          <w:spacing w:val="-2"/>
          <w:sz w:val="18"/>
        </w:rPr>
        <w:t xml:space="preserve"> </w:t>
      </w:r>
      <w:r>
        <w:rPr>
          <w:i/>
          <w:sz w:val="18"/>
        </w:rPr>
        <w:t>EC</w:t>
      </w:r>
      <w:r>
        <w:rPr>
          <w:i/>
          <w:spacing w:val="-3"/>
          <w:sz w:val="18"/>
        </w:rPr>
        <w:t xml:space="preserve"> </w:t>
      </w:r>
      <w:r>
        <w:rPr>
          <w:i/>
          <w:sz w:val="18"/>
        </w:rPr>
        <w:t>–</w:t>
      </w:r>
      <w:r>
        <w:rPr>
          <w:i/>
          <w:spacing w:val="-3"/>
          <w:sz w:val="18"/>
        </w:rPr>
        <w:t xml:space="preserve"> </w:t>
      </w:r>
      <w:r>
        <w:rPr>
          <w:i/>
          <w:sz w:val="18"/>
        </w:rPr>
        <w:t>Bananas</w:t>
      </w:r>
      <w:r>
        <w:rPr>
          <w:i/>
          <w:spacing w:val="-4"/>
          <w:sz w:val="18"/>
        </w:rPr>
        <w:t xml:space="preserve"> </w:t>
      </w:r>
      <w:r>
        <w:rPr>
          <w:i/>
          <w:sz w:val="18"/>
        </w:rPr>
        <w:t>III</w:t>
      </w:r>
      <w:r>
        <w:rPr>
          <w:sz w:val="18"/>
        </w:rPr>
        <w:t>,</w:t>
      </w:r>
      <w:r>
        <w:rPr>
          <w:spacing w:val="4"/>
          <w:sz w:val="18"/>
        </w:rPr>
        <w:t xml:space="preserve"> </w:t>
      </w:r>
      <w:r>
        <w:rPr>
          <w:sz w:val="18"/>
        </w:rPr>
        <w:t>para.</w:t>
      </w:r>
      <w:r>
        <w:rPr>
          <w:spacing w:val="2"/>
          <w:sz w:val="18"/>
        </w:rPr>
        <w:t xml:space="preserve"> </w:t>
      </w:r>
      <w:r>
        <w:rPr>
          <w:spacing w:val="-4"/>
          <w:sz w:val="18"/>
        </w:rPr>
        <w:t>145.</w:t>
      </w:r>
    </w:p>
    <w:p w14:paraId="4277347B" w14:textId="77777777" w:rsidR="00BD462C" w:rsidRDefault="00BD462C">
      <w:pPr>
        <w:rPr>
          <w:sz w:val="18"/>
        </w:rPr>
        <w:sectPr w:rsidR="00BD462C">
          <w:pgSz w:w="11910" w:h="16840"/>
          <w:pgMar w:top="860" w:right="500" w:bottom="780" w:left="1280" w:header="566" w:footer="590" w:gutter="0"/>
          <w:cols w:space="720"/>
        </w:sectPr>
      </w:pPr>
    </w:p>
    <w:p w14:paraId="72252B19"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16F344D0"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0DA3943E"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577AB63C" w14:textId="77777777" w:rsidR="00BD462C" w:rsidRDefault="00033D0F">
      <w:pPr>
        <w:pStyle w:val="Heading3"/>
        <w:numPr>
          <w:ilvl w:val="0"/>
          <w:numId w:val="37"/>
        </w:numPr>
        <w:tabs>
          <w:tab w:val="left" w:pos="2689"/>
          <w:tab w:val="left" w:pos="2690"/>
        </w:tabs>
      </w:pPr>
      <w:bookmarkStart w:id="121" w:name="2._Australia_complied_with_the_legal_fra"/>
      <w:bookmarkStart w:id="122" w:name="_bookmark104"/>
      <w:bookmarkEnd w:id="121"/>
      <w:bookmarkEnd w:id="122"/>
      <w:r>
        <w:t>Australia</w:t>
      </w:r>
      <w:r>
        <w:rPr>
          <w:spacing w:val="-3"/>
        </w:rPr>
        <w:t xml:space="preserve"> </w:t>
      </w:r>
      <w:r>
        <w:t>complied</w:t>
      </w:r>
      <w:r>
        <w:rPr>
          <w:spacing w:val="-4"/>
        </w:rPr>
        <w:t xml:space="preserve"> </w:t>
      </w:r>
      <w:r>
        <w:t>with</w:t>
      </w:r>
      <w:r>
        <w:rPr>
          <w:spacing w:val="1"/>
        </w:rPr>
        <w:t xml:space="preserve"> </w:t>
      </w:r>
      <w:r>
        <w:t>the</w:t>
      </w:r>
      <w:r>
        <w:rPr>
          <w:spacing w:val="-6"/>
        </w:rPr>
        <w:t xml:space="preserve"> </w:t>
      </w:r>
      <w:r>
        <w:t>legal</w:t>
      </w:r>
      <w:r>
        <w:rPr>
          <w:spacing w:val="-5"/>
        </w:rPr>
        <w:t xml:space="preserve"> </w:t>
      </w:r>
      <w:r>
        <w:rPr>
          <w:spacing w:val="-2"/>
        </w:rPr>
        <w:t>framework</w:t>
      </w:r>
    </w:p>
    <w:p w14:paraId="19ADFFFB" w14:textId="77777777" w:rsidR="00BD462C" w:rsidRDefault="00BD462C">
      <w:pPr>
        <w:pStyle w:val="BodyText"/>
        <w:spacing w:before="7"/>
        <w:rPr>
          <w:b/>
          <w:sz w:val="20"/>
        </w:rPr>
      </w:pPr>
    </w:p>
    <w:p w14:paraId="4341EE0A" w14:textId="2A35575C" w:rsidR="00BD462C" w:rsidRDefault="00033D0F" w:rsidP="00C65BAF">
      <w:pPr>
        <w:pStyle w:val="BodyText"/>
        <w:numPr>
          <w:ilvl w:val="0"/>
          <w:numId w:val="68"/>
        </w:numPr>
        <w:spacing w:before="56" w:line="360" w:lineRule="auto"/>
        <w:ind w:right="915"/>
        <w:jc w:val="both"/>
      </w:pPr>
      <w:r>
        <w:rPr>
          <w:position w:val="1"/>
        </w:rPr>
        <w:t xml:space="preserve">Australia has established a </w:t>
      </w:r>
      <w:r>
        <w:rPr>
          <w:i/>
          <w:position w:val="1"/>
        </w:rPr>
        <w:t xml:space="preserve">prima facie </w:t>
      </w:r>
      <w:r>
        <w:rPr>
          <w:position w:val="1"/>
        </w:rPr>
        <w:t xml:space="preserve">case and China has failed to rebut that case. </w:t>
      </w:r>
      <w:r>
        <w:t>Australia has tendered sufficient evidence in its first written submission to demonstrate that its</w:t>
      </w:r>
      <w:r>
        <w:rPr>
          <w:spacing w:val="-6"/>
        </w:rPr>
        <w:t xml:space="preserve"> </w:t>
      </w:r>
      <w:r>
        <w:t>claims</w:t>
      </w:r>
      <w:r>
        <w:rPr>
          <w:spacing w:val="-5"/>
        </w:rPr>
        <w:t xml:space="preserve"> </w:t>
      </w:r>
      <w:r>
        <w:t>are</w:t>
      </w:r>
      <w:r>
        <w:rPr>
          <w:spacing w:val="-7"/>
        </w:rPr>
        <w:t xml:space="preserve"> </w:t>
      </w:r>
      <w:r>
        <w:t>well-founded,</w:t>
      </w:r>
      <w:r>
        <w:rPr>
          <w:spacing w:val="-5"/>
        </w:rPr>
        <w:t xml:space="preserve"> </w:t>
      </w:r>
      <w:r>
        <w:t>including</w:t>
      </w:r>
      <w:r>
        <w:rPr>
          <w:spacing w:val="-6"/>
        </w:rPr>
        <w:t xml:space="preserve"> </w:t>
      </w:r>
      <w:r>
        <w:t>the</w:t>
      </w:r>
      <w:r>
        <w:rPr>
          <w:spacing w:val="-3"/>
        </w:rPr>
        <w:t xml:space="preserve"> </w:t>
      </w:r>
      <w:r>
        <w:t>more</w:t>
      </w:r>
      <w:r>
        <w:rPr>
          <w:spacing w:val="-2"/>
        </w:rPr>
        <w:t xml:space="preserve"> </w:t>
      </w:r>
      <w:r>
        <w:t>than</w:t>
      </w:r>
      <w:r>
        <w:rPr>
          <w:spacing w:val="-9"/>
        </w:rPr>
        <w:t xml:space="preserve"> </w:t>
      </w:r>
      <w:r>
        <w:t>100</w:t>
      </w:r>
      <w:r>
        <w:rPr>
          <w:spacing w:val="-5"/>
        </w:rPr>
        <w:t xml:space="preserve"> </w:t>
      </w:r>
      <w:r>
        <w:t>exhibits</w:t>
      </w:r>
      <w:r>
        <w:rPr>
          <w:spacing w:val="-6"/>
        </w:rPr>
        <w:t xml:space="preserve"> </w:t>
      </w:r>
      <w:r>
        <w:t>on</w:t>
      </w:r>
      <w:r>
        <w:rPr>
          <w:spacing w:val="-9"/>
        </w:rPr>
        <w:t xml:space="preserve"> </w:t>
      </w:r>
      <w:r>
        <w:t>the</w:t>
      </w:r>
      <w:r>
        <w:rPr>
          <w:spacing w:val="-3"/>
        </w:rPr>
        <w:t xml:space="preserve"> </w:t>
      </w:r>
      <w:r>
        <w:t>record.</w:t>
      </w:r>
      <w:r>
        <w:rPr>
          <w:spacing w:val="-6"/>
        </w:rPr>
        <w:t xml:space="preserve"> </w:t>
      </w:r>
      <w:r>
        <w:t>Australia</w:t>
      </w:r>
      <w:r>
        <w:rPr>
          <w:spacing w:val="-8"/>
        </w:rPr>
        <w:t xml:space="preserve"> </w:t>
      </w:r>
      <w:r>
        <w:t>sets out details of its compliance with this burden where relevant throughout this submission.</w:t>
      </w:r>
    </w:p>
    <w:p w14:paraId="5355D5C4" w14:textId="77777777" w:rsidR="00BD462C" w:rsidRDefault="00033D0F">
      <w:pPr>
        <w:pStyle w:val="ListParagraph"/>
        <w:numPr>
          <w:ilvl w:val="1"/>
          <w:numId w:val="66"/>
        </w:numPr>
        <w:tabs>
          <w:tab w:val="left" w:pos="1839"/>
          <w:tab w:val="left" w:pos="1840"/>
        </w:tabs>
        <w:spacing w:before="158"/>
        <w:ind w:left="1840"/>
        <w:rPr>
          <w:b/>
        </w:rPr>
      </w:pPr>
      <w:bookmarkStart w:id="123" w:name="C._China's_allegations_of_abandoned_clai"/>
      <w:bookmarkStart w:id="124" w:name="_bookmark105"/>
      <w:bookmarkEnd w:id="123"/>
      <w:bookmarkEnd w:id="124"/>
      <w:r>
        <w:rPr>
          <w:b/>
          <w:sz w:val="28"/>
        </w:rPr>
        <w:t>C</w:t>
      </w:r>
      <w:r>
        <w:rPr>
          <w:b/>
        </w:rPr>
        <w:t>HINA</w:t>
      </w:r>
      <w:r>
        <w:rPr>
          <w:b/>
          <w:sz w:val="28"/>
        </w:rPr>
        <w:t>'</w:t>
      </w:r>
      <w:r>
        <w:rPr>
          <w:b/>
        </w:rPr>
        <w:t>S</w:t>
      </w:r>
      <w:r>
        <w:rPr>
          <w:b/>
          <w:spacing w:val="-8"/>
        </w:rPr>
        <w:t xml:space="preserve"> </w:t>
      </w:r>
      <w:r>
        <w:rPr>
          <w:b/>
        </w:rPr>
        <w:t>ALLEGATIONS</w:t>
      </w:r>
      <w:r>
        <w:rPr>
          <w:b/>
          <w:spacing w:val="-8"/>
        </w:rPr>
        <w:t xml:space="preserve"> </w:t>
      </w:r>
      <w:r>
        <w:rPr>
          <w:b/>
        </w:rPr>
        <w:t>OF</w:t>
      </w:r>
      <w:r>
        <w:rPr>
          <w:b/>
          <w:spacing w:val="-10"/>
        </w:rPr>
        <w:t xml:space="preserve"> </w:t>
      </w:r>
      <w:r>
        <w:rPr>
          <w:b/>
        </w:rPr>
        <w:t>ABANDONED</w:t>
      </w:r>
      <w:r>
        <w:rPr>
          <w:b/>
          <w:spacing w:val="-9"/>
        </w:rPr>
        <w:t xml:space="preserve"> </w:t>
      </w:r>
      <w:r>
        <w:rPr>
          <w:b/>
          <w:spacing w:val="-2"/>
        </w:rPr>
        <w:t>CLAIMS</w:t>
      </w:r>
    </w:p>
    <w:p w14:paraId="1EF69BC5" w14:textId="77777777" w:rsidR="00BD462C" w:rsidRDefault="00BD462C">
      <w:pPr>
        <w:pStyle w:val="BodyText"/>
        <w:spacing w:before="10"/>
        <w:rPr>
          <w:b/>
          <w:sz w:val="22"/>
        </w:rPr>
      </w:pPr>
    </w:p>
    <w:p w14:paraId="57D6AE2C" w14:textId="77777777" w:rsidR="00C65BAF" w:rsidRPr="00C65BAF" w:rsidRDefault="00033D0F" w:rsidP="00C65BAF">
      <w:pPr>
        <w:pStyle w:val="BodyText"/>
        <w:numPr>
          <w:ilvl w:val="0"/>
          <w:numId w:val="68"/>
        </w:numPr>
        <w:spacing w:before="56" w:line="360" w:lineRule="auto"/>
        <w:ind w:right="915"/>
        <w:jc w:val="both"/>
      </w:pPr>
      <w:r>
        <w:rPr>
          <w:position w:val="1"/>
        </w:rPr>
        <w:t xml:space="preserve">In its first written submission, China argues that Australia had abandoned several </w:t>
      </w:r>
      <w:r>
        <w:t>claims because they were mentioned in the panel request but, in China's view, not raised in Australia's first written</w:t>
      </w:r>
      <w:r>
        <w:rPr>
          <w:spacing w:val="-1"/>
        </w:rPr>
        <w:t xml:space="preserve"> </w:t>
      </w:r>
      <w:r>
        <w:t>submission.</w:t>
      </w:r>
      <w:hyperlink w:anchor="_bookmark106" w:history="1">
        <w:r>
          <w:rPr>
            <w:vertAlign w:val="superscript"/>
          </w:rPr>
          <w:t>79</w:t>
        </w:r>
      </w:hyperlink>
      <w:r>
        <w:t xml:space="preserve"> China further argued</w:t>
      </w:r>
      <w:r>
        <w:rPr>
          <w:spacing w:val="-1"/>
        </w:rPr>
        <w:t xml:space="preserve"> </w:t>
      </w:r>
      <w:r>
        <w:t>that, as Australia has exercised</w:t>
      </w:r>
      <w:r>
        <w:rPr>
          <w:spacing w:val="-1"/>
        </w:rPr>
        <w:t xml:space="preserve"> </w:t>
      </w:r>
      <w:r>
        <w:t>its "prerogative"</w:t>
      </w:r>
      <w:r>
        <w:rPr>
          <w:spacing w:val="-8"/>
        </w:rPr>
        <w:t xml:space="preserve"> </w:t>
      </w:r>
      <w:r>
        <w:t>to</w:t>
      </w:r>
      <w:r>
        <w:rPr>
          <w:spacing w:val="-10"/>
        </w:rPr>
        <w:t xml:space="preserve"> </w:t>
      </w:r>
      <w:r>
        <w:t>abandon</w:t>
      </w:r>
      <w:r>
        <w:rPr>
          <w:spacing w:val="-4"/>
        </w:rPr>
        <w:t xml:space="preserve"> </w:t>
      </w:r>
      <w:r>
        <w:t>the</w:t>
      </w:r>
      <w:r>
        <w:rPr>
          <w:spacing w:val="-3"/>
        </w:rPr>
        <w:t xml:space="preserve"> </w:t>
      </w:r>
      <w:r>
        <w:t>claims,</w:t>
      </w:r>
      <w:r>
        <w:rPr>
          <w:spacing w:val="-5"/>
        </w:rPr>
        <w:t xml:space="preserve"> </w:t>
      </w:r>
      <w:r>
        <w:t>they</w:t>
      </w:r>
      <w:r>
        <w:rPr>
          <w:spacing w:val="-6"/>
        </w:rPr>
        <w:t xml:space="preserve"> </w:t>
      </w:r>
      <w:r>
        <w:t>cannot</w:t>
      </w:r>
      <w:r>
        <w:rPr>
          <w:spacing w:val="-2"/>
        </w:rPr>
        <w:t xml:space="preserve"> </w:t>
      </w:r>
      <w:r>
        <w:t>be</w:t>
      </w:r>
      <w:r>
        <w:rPr>
          <w:spacing w:val="-7"/>
        </w:rPr>
        <w:t xml:space="preserve"> </w:t>
      </w:r>
      <w:r>
        <w:t>resurrected</w:t>
      </w:r>
      <w:r>
        <w:rPr>
          <w:spacing w:val="-9"/>
        </w:rPr>
        <w:t xml:space="preserve"> </w:t>
      </w:r>
      <w:r>
        <w:t>later</w:t>
      </w:r>
      <w:r>
        <w:rPr>
          <w:spacing w:val="-5"/>
        </w:rPr>
        <w:t xml:space="preserve"> </w:t>
      </w:r>
      <w:r>
        <w:t>in</w:t>
      </w:r>
      <w:r>
        <w:rPr>
          <w:spacing w:val="-9"/>
        </w:rPr>
        <w:t xml:space="preserve"> </w:t>
      </w:r>
      <w:r>
        <w:t>the</w:t>
      </w:r>
      <w:r>
        <w:rPr>
          <w:spacing w:val="-3"/>
        </w:rPr>
        <w:t xml:space="preserve"> </w:t>
      </w:r>
      <w:r>
        <w:t>proceedings</w:t>
      </w:r>
      <w:r>
        <w:rPr>
          <w:spacing w:val="-6"/>
        </w:rPr>
        <w:t xml:space="preserve"> </w:t>
      </w:r>
      <w:r>
        <w:t>and that the Panel is now precluded from examining or making a finding on these claims.</w:t>
      </w:r>
      <w:hyperlink w:anchor="_bookmark107" w:history="1">
        <w:r>
          <w:rPr>
            <w:vertAlign w:val="superscript"/>
          </w:rPr>
          <w:t>80</w:t>
        </w:r>
      </w:hyperlink>
      <w:r>
        <w:rPr>
          <w:spacing w:val="-5"/>
        </w:rPr>
        <w:t xml:space="preserve"> </w:t>
      </w:r>
      <w:r>
        <w:t>For several</w:t>
      </w:r>
      <w:r>
        <w:rPr>
          <w:spacing w:val="-5"/>
        </w:rPr>
        <w:t xml:space="preserve"> </w:t>
      </w:r>
      <w:r>
        <w:t>of</w:t>
      </w:r>
      <w:r>
        <w:rPr>
          <w:spacing w:val="-9"/>
        </w:rPr>
        <w:t xml:space="preserve"> </w:t>
      </w:r>
      <w:r>
        <w:t>the</w:t>
      </w:r>
      <w:r>
        <w:rPr>
          <w:spacing w:val="-7"/>
        </w:rPr>
        <w:t xml:space="preserve"> </w:t>
      </w:r>
      <w:r>
        <w:t>claims</w:t>
      </w:r>
      <w:r>
        <w:rPr>
          <w:spacing w:val="-6"/>
        </w:rPr>
        <w:t xml:space="preserve"> </w:t>
      </w:r>
      <w:r>
        <w:t>China</w:t>
      </w:r>
      <w:r>
        <w:rPr>
          <w:spacing w:val="-8"/>
        </w:rPr>
        <w:t xml:space="preserve"> </w:t>
      </w:r>
      <w:r>
        <w:t>alleged</w:t>
      </w:r>
      <w:r>
        <w:rPr>
          <w:spacing w:val="-9"/>
        </w:rPr>
        <w:t xml:space="preserve"> </w:t>
      </w:r>
      <w:r>
        <w:t>were</w:t>
      </w:r>
      <w:r>
        <w:rPr>
          <w:spacing w:val="-7"/>
        </w:rPr>
        <w:t xml:space="preserve"> </w:t>
      </w:r>
      <w:r>
        <w:t>abandoned,</w:t>
      </w:r>
      <w:r>
        <w:rPr>
          <w:spacing w:val="-5"/>
        </w:rPr>
        <w:t xml:space="preserve"> </w:t>
      </w:r>
      <w:r>
        <w:t>arguments</w:t>
      </w:r>
      <w:r>
        <w:rPr>
          <w:spacing w:val="-6"/>
        </w:rPr>
        <w:t xml:space="preserve"> </w:t>
      </w:r>
      <w:r>
        <w:t>were</w:t>
      </w:r>
      <w:r>
        <w:rPr>
          <w:spacing w:val="-7"/>
        </w:rPr>
        <w:t xml:space="preserve"> </w:t>
      </w:r>
      <w:r>
        <w:t>presented</w:t>
      </w:r>
      <w:r>
        <w:rPr>
          <w:spacing w:val="-9"/>
        </w:rPr>
        <w:t xml:space="preserve"> </w:t>
      </w:r>
      <w:r>
        <w:t>in</w:t>
      </w:r>
      <w:r>
        <w:rPr>
          <w:spacing w:val="-9"/>
        </w:rPr>
        <w:t xml:space="preserve"> </w:t>
      </w:r>
      <w:r>
        <w:t>Australia's first written submissions. These spurious allegations of abandonment are addressed in the relevant sections below.</w:t>
      </w:r>
      <w:hyperlink w:anchor="_bookmark108" w:history="1">
        <w:r>
          <w:rPr>
            <w:vertAlign w:val="superscript"/>
          </w:rPr>
          <w:t>81</w:t>
        </w:r>
      </w:hyperlink>
    </w:p>
    <w:p w14:paraId="06F5D82B" w14:textId="6C21FA9E" w:rsidR="00BD462C" w:rsidRDefault="00033D0F" w:rsidP="00C65BAF">
      <w:pPr>
        <w:pStyle w:val="BodyText"/>
        <w:numPr>
          <w:ilvl w:val="0"/>
          <w:numId w:val="68"/>
        </w:numPr>
        <w:spacing w:before="6" w:line="360" w:lineRule="auto"/>
        <w:ind w:left="136" w:right="912"/>
        <w:jc w:val="both"/>
      </w:pPr>
      <w:r w:rsidRPr="00C65BAF">
        <w:rPr>
          <w:position w:val="1"/>
        </w:rPr>
        <w:t>For</w:t>
      </w:r>
      <w:r w:rsidRPr="00C65BAF">
        <w:rPr>
          <w:spacing w:val="-14"/>
          <w:position w:val="1"/>
        </w:rPr>
        <w:t xml:space="preserve"> </w:t>
      </w:r>
      <w:r w:rsidRPr="00C65BAF">
        <w:rPr>
          <w:position w:val="1"/>
        </w:rPr>
        <w:t>the</w:t>
      </w:r>
      <w:r w:rsidRPr="00C65BAF">
        <w:rPr>
          <w:spacing w:val="-7"/>
          <w:position w:val="1"/>
        </w:rPr>
        <w:t xml:space="preserve"> </w:t>
      </w:r>
      <w:r w:rsidRPr="00C65BAF">
        <w:rPr>
          <w:position w:val="1"/>
        </w:rPr>
        <w:t>balance,</w:t>
      </w:r>
      <w:r w:rsidRPr="00C65BAF">
        <w:rPr>
          <w:spacing w:val="-10"/>
          <w:position w:val="1"/>
        </w:rPr>
        <w:t xml:space="preserve"> </w:t>
      </w:r>
      <w:r w:rsidRPr="00C65BAF">
        <w:rPr>
          <w:position w:val="1"/>
        </w:rPr>
        <w:t>those</w:t>
      </w:r>
      <w:r w:rsidRPr="00C65BAF">
        <w:rPr>
          <w:spacing w:val="-12"/>
          <w:position w:val="1"/>
        </w:rPr>
        <w:t xml:space="preserve"> </w:t>
      </w:r>
      <w:r w:rsidRPr="00C65BAF">
        <w:rPr>
          <w:position w:val="1"/>
        </w:rPr>
        <w:t>objections</w:t>
      </w:r>
      <w:r w:rsidRPr="00C65BAF">
        <w:rPr>
          <w:spacing w:val="-10"/>
          <w:position w:val="1"/>
        </w:rPr>
        <w:t xml:space="preserve"> </w:t>
      </w:r>
      <w:r w:rsidRPr="00C65BAF">
        <w:rPr>
          <w:position w:val="1"/>
        </w:rPr>
        <w:t>were</w:t>
      </w:r>
      <w:r w:rsidRPr="00C65BAF">
        <w:rPr>
          <w:spacing w:val="-12"/>
          <w:position w:val="1"/>
        </w:rPr>
        <w:t xml:space="preserve"> </w:t>
      </w:r>
      <w:r w:rsidRPr="00C65BAF">
        <w:rPr>
          <w:position w:val="1"/>
        </w:rPr>
        <w:t>premature</w:t>
      </w:r>
      <w:r w:rsidRPr="00C65BAF">
        <w:rPr>
          <w:spacing w:val="-7"/>
          <w:position w:val="1"/>
        </w:rPr>
        <w:t xml:space="preserve"> </w:t>
      </w:r>
      <w:r w:rsidRPr="00C65BAF">
        <w:rPr>
          <w:position w:val="1"/>
        </w:rPr>
        <w:t>at</w:t>
      </w:r>
      <w:r w:rsidRPr="00C65BAF">
        <w:rPr>
          <w:spacing w:val="-11"/>
          <w:position w:val="1"/>
        </w:rPr>
        <w:t xml:space="preserve"> </w:t>
      </w:r>
      <w:r w:rsidRPr="00C65BAF">
        <w:rPr>
          <w:position w:val="1"/>
        </w:rPr>
        <w:t>the</w:t>
      </w:r>
      <w:r w:rsidRPr="00C65BAF">
        <w:rPr>
          <w:spacing w:val="-12"/>
          <w:position w:val="1"/>
        </w:rPr>
        <w:t xml:space="preserve"> </w:t>
      </w:r>
      <w:r w:rsidRPr="00C65BAF">
        <w:rPr>
          <w:position w:val="1"/>
        </w:rPr>
        <w:t>time</w:t>
      </w:r>
      <w:r w:rsidRPr="00C65BAF">
        <w:rPr>
          <w:spacing w:val="-12"/>
          <w:position w:val="1"/>
        </w:rPr>
        <w:t xml:space="preserve"> </w:t>
      </w:r>
      <w:r w:rsidRPr="00C65BAF">
        <w:rPr>
          <w:position w:val="1"/>
        </w:rPr>
        <w:t>they</w:t>
      </w:r>
      <w:r w:rsidRPr="00C65BAF">
        <w:rPr>
          <w:spacing w:val="-11"/>
          <w:position w:val="1"/>
        </w:rPr>
        <w:t xml:space="preserve"> </w:t>
      </w:r>
      <w:r w:rsidRPr="00C65BAF">
        <w:rPr>
          <w:position w:val="1"/>
        </w:rPr>
        <w:t>were</w:t>
      </w:r>
      <w:r w:rsidRPr="00C65BAF">
        <w:rPr>
          <w:spacing w:val="-12"/>
          <w:position w:val="1"/>
        </w:rPr>
        <w:t xml:space="preserve"> </w:t>
      </w:r>
      <w:r w:rsidRPr="00C65BAF">
        <w:rPr>
          <w:position w:val="1"/>
        </w:rPr>
        <w:t>made.</w:t>
      </w:r>
      <w:r w:rsidRPr="00C65BAF">
        <w:rPr>
          <w:spacing w:val="-11"/>
          <w:position w:val="1"/>
        </w:rPr>
        <w:t xml:space="preserve"> </w:t>
      </w:r>
      <w:r w:rsidRPr="00C65BAF">
        <w:rPr>
          <w:position w:val="1"/>
        </w:rPr>
        <w:t xml:space="preserve">There </w:t>
      </w:r>
      <w:r>
        <w:t>is no requirement for arguments on all claims to be set out in a complainant's first written submission.</w:t>
      </w:r>
      <w:r w:rsidRPr="00C65BAF">
        <w:rPr>
          <w:spacing w:val="-34"/>
        </w:rPr>
        <w:t xml:space="preserve"> </w:t>
      </w:r>
      <w:hyperlink w:anchor="_bookmark109" w:history="1">
        <w:r w:rsidRPr="00C65BAF">
          <w:rPr>
            <w:vertAlign w:val="superscript"/>
          </w:rPr>
          <w:t>82</w:t>
        </w:r>
      </w:hyperlink>
      <w:r w:rsidRPr="00C65BAF">
        <w:rPr>
          <w:spacing w:val="22"/>
        </w:rPr>
        <w:t xml:space="preserve"> </w:t>
      </w:r>
      <w:r>
        <w:t>But</w:t>
      </w:r>
      <w:r w:rsidRPr="00C65BAF">
        <w:rPr>
          <w:spacing w:val="22"/>
        </w:rPr>
        <w:t xml:space="preserve"> </w:t>
      </w:r>
      <w:r>
        <w:t>Australia</w:t>
      </w:r>
      <w:r w:rsidRPr="00C65BAF">
        <w:rPr>
          <w:spacing w:val="21"/>
        </w:rPr>
        <w:t xml:space="preserve"> </w:t>
      </w:r>
      <w:r>
        <w:t>confirms</w:t>
      </w:r>
      <w:r w:rsidRPr="00C65BAF">
        <w:rPr>
          <w:spacing w:val="28"/>
        </w:rPr>
        <w:t xml:space="preserve"> </w:t>
      </w:r>
      <w:r>
        <w:t>now</w:t>
      </w:r>
      <w:r w:rsidRPr="00C65BAF">
        <w:rPr>
          <w:spacing w:val="27"/>
        </w:rPr>
        <w:t xml:space="preserve"> </w:t>
      </w:r>
      <w:r>
        <w:t>that</w:t>
      </w:r>
      <w:r w:rsidRPr="00C65BAF">
        <w:rPr>
          <w:spacing w:val="22"/>
        </w:rPr>
        <w:t xml:space="preserve"> </w:t>
      </w:r>
      <w:r>
        <w:t>it</w:t>
      </w:r>
      <w:r w:rsidRPr="00C65BAF">
        <w:rPr>
          <w:spacing w:val="22"/>
        </w:rPr>
        <w:t xml:space="preserve"> </w:t>
      </w:r>
      <w:r>
        <w:t>will</w:t>
      </w:r>
      <w:r w:rsidRPr="00C65BAF">
        <w:rPr>
          <w:spacing w:val="24"/>
        </w:rPr>
        <w:t xml:space="preserve"> </w:t>
      </w:r>
      <w:r>
        <w:t>not</w:t>
      </w:r>
      <w:r w:rsidRPr="00C65BAF">
        <w:rPr>
          <w:spacing w:val="22"/>
        </w:rPr>
        <w:t xml:space="preserve"> </w:t>
      </w:r>
      <w:r>
        <w:t>be</w:t>
      </w:r>
      <w:r w:rsidRPr="00C65BAF">
        <w:rPr>
          <w:spacing w:val="26"/>
        </w:rPr>
        <w:t xml:space="preserve"> </w:t>
      </w:r>
      <w:r>
        <w:t>pursuing</w:t>
      </w:r>
      <w:r w:rsidRPr="00C65BAF">
        <w:rPr>
          <w:spacing w:val="23"/>
        </w:rPr>
        <w:t xml:space="preserve"> </w:t>
      </w:r>
      <w:r>
        <w:t>claims</w:t>
      </w:r>
      <w:r w:rsidRPr="00C65BAF">
        <w:rPr>
          <w:spacing w:val="23"/>
        </w:rPr>
        <w:t xml:space="preserve"> </w:t>
      </w:r>
      <w:r>
        <w:t>under</w:t>
      </w:r>
      <w:r w:rsidRPr="00C65BAF">
        <w:rPr>
          <w:spacing w:val="19"/>
        </w:rPr>
        <w:t xml:space="preserve"> </w:t>
      </w:r>
      <w:r>
        <w:t>Articles</w:t>
      </w:r>
      <w:r w:rsidR="00C65BAF">
        <w:t xml:space="preserve"> </w:t>
      </w:r>
      <w:r>
        <w:t>2.3,</w:t>
      </w:r>
      <w:r w:rsidRPr="00C65BAF">
        <w:rPr>
          <w:spacing w:val="-14"/>
        </w:rPr>
        <w:t xml:space="preserve"> </w:t>
      </w:r>
      <w:hyperlink w:anchor="_bookmark110" w:history="1">
        <w:r w:rsidRPr="00C65BAF">
          <w:rPr>
            <w:vertAlign w:val="superscript"/>
          </w:rPr>
          <w:t>83</w:t>
        </w:r>
      </w:hyperlink>
      <w:r w:rsidRPr="00C65BAF">
        <w:rPr>
          <w:spacing w:val="-14"/>
        </w:rPr>
        <w:t xml:space="preserve"> </w:t>
      </w:r>
      <w:r>
        <w:t>2.4.2,</w:t>
      </w:r>
      <w:r w:rsidRPr="00C65BAF">
        <w:rPr>
          <w:spacing w:val="-13"/>
        </w:rPr>
        <w:t xml:space="preserve"> </w:t>
      </w:r>
      <w:hyperlink w:anchor="_bookmark111" w:history="1">
        <w:r w:rsidRPr="00C65BAF">
          <w:rPr>
            <w:vertAlign w:val="superscript"/>
          </w:rPr>
          <w:t>84</w:t>
        </w:r>
      </w:hyperlink>
      <w:r w:rsidRPr="00C65BAF">
        <w:rPr>
          <w:spacing w:val="-14"/>
        </w:rPr>
        <w:t xml:space="preserve"> </w:t>
      </w:r>
      <w:r>
        <w:t>6.1.3,</w:t>
      </w:r>
      <w:r w:rsidRPr="00C65BAF">
        <w:rPr>
          <w:spacing w:val="-13"/>
        </w:rPr>
        <w:t xml:space="preserve"> </w:t>
      </w:r>
      <w:hyperlink w:anchor="_bookmark112" w:history="1">
        <w:r w:rsidRPr="00C65BAF">
          <w:rPr>
            <w:vertAlign w:val="superscript"/>
          </w:rPr>
          <w:t>85</w:t>
        </w:r>
      </w:hyperlink>
      <w:r>
        <w:t xml:space="preserve"> and 6.13, and independent claims under Article 12.1 and 12.1.1(iii).</w:t>
      </w:r>
      <w:hyperlink w:anchor="_bookmark113" w:history="1">
        <w:r w:rsidRPr="00C65BAF">
          <w:rPr>
            <w:vertAlign w:val="superscript"/>
          </w:rPr>
          <w:t>86</w:t>
        </w:r>
      </w:hyperlink>
      <w:r>
        <w:t xml:space="preserve"> However, while not pressing for findings that these Articles have been independently contravened, Australia reserves its right to refer to these Articles as context for establishing the contraventions of other obligations.</w:t>
      </w:r>
    </w:p>
    <w:p w14:paraId="2072A80A" w14:textId="77777777" w:rsidR="00BD462C" w:rsidRDefault="00BD462C">
      <w:pPr>
        <w:pStyle w:val="BodyText"/>
        <w:rPr>
          <w:sz w:val="20"/>
        </w:rPr>
      </w:pPr>
    </w:p>
    <w:p w14:paraId="69A546DF" w14:textId="77777777" w:rsidR="00BD462C" w:rsidRDefault="00BD462C">
      <w:pPr>
        <w:pStyle w:val="BodyText"/>
        <w:rPr>
          <w:sz w:val="20"/>
        </w:rPr>
      </w:pPr>
    </w:p>
    <w:p w14:paraId="049CBE8B" w14:textId="77777777" w:rsidR="00BD462C" w:rsidRDefault="00BD462C">
      <w:pPr>
        <w:pStyle w:val="BodyText"/>
        <w:rPr>
          <w:sz w:val="20"/>
        </w:rPr>
      </w:pPr>
    </w:p>
    <w:p w14:paraId="0C4692B2" w14:textId="77777777" w:rsidR="00BD462C" w:rsidRDefault="00BD462C">
      <w:pPr>
        <w:pStyle w:val="BodyText"/>
        <w:rPr>
          <w:sz w:val="20"/>
        </w:rPr>
      </w:pPr>
    </w:p>
    <w:p w14:paraId="0A7672FC" w14:textId="77777777" w:rsidR="00BD462C" w:rsidRDefault="00BD462C">
      <w:pPr>
        <w:pStyle w:val="BodyText"/>
        <w:rPr>
          <w:sz w:val="20"/>
        </w:rPr>
      </w:pPr>
    </w:p>
    <w:p w14:paraId="7D25E97C" w14:textId="77777777" w:rsidR="00BD462C" w:rsidRDefault="00BD462C">
      <w:pPr>
        <w:pStyle w:val="BodyText"/>
        <w:rPr>
          <w:sz w:val="20"/>
        </w:rPr>
      </w:pPr>
    </w:p>
    <w:p w14:paraId="327B463D" w14:textId="77777777" w:rsidR="00BD462C" w:rsidRDefault="00BD462C">
      <w:pPr>
        <w:pStyle w:val="BodyText"/>
        <w:rPr>
          <w:sz w:val="20"/>
        </w:rPr>
      </w:pPr>
    </w:p>
    <w:p w14:paraId="3E42664E" w14:textId="4D690969" w:rsidR="00BD462C" w:rsidRDefault="009A6330">
      <w:pPr>
        <w:pStyle w:val="BodyText"/>
        <w:spacing w:before="9"/>
        <w:rPr>
          <w:sz w:val="12"/>
        </w:rPr>
      </w:pPr>
      <w:r>
        <w:rPr>
          <w:noProof/>
        </w:rPr>
        <mc:AlternateContent>
          <mc:Choice Requires="wps">
            <w:drawing>
              <wp:anchor distT="0" distB="0" distL="0" distR="0" simplePos="0" relativeHeight="487963136" behindDoc="1" locked="0" layoutInCell="1" allowOverlap="1" wp14:anchorId="519AEBFE" wp14:editId="4DA6F14F">
                <wp:simplePos x="0" y="0"/>
                <wp:positionH relativeFrom="page">
                  <wp:posOffset>812800</wp:posOffset>
                </wp:positionH>
                <wp:positionV relativeFrom="paragraph">
                  <wp:posOffset>105459</wp:posOffset>
                </wp:positionV>
                <wp:extent cx="1828800" cy="8890"/>
                <wp:effectExtent l="0" t="0" r="0" b="0"/>
                <wp:wrapTopAndBottom/>
                <wp:docPr id="31" name="docshape7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2A1C60" id="docshape712" o:spid="_x0000_s1026" alt="&quot;&quot;" style="position:absolute;margin-left:64pt;margin-top:8.3pt;width:2in;height:.7pt;z-index:-15353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" fillcolor="black" stroked="f">
                <w10:wrap type="topAndBottom" anchorx="page"/>
              </v:rect>
            </w:pict>
          </mc:Fallback>
        </mc:AlternateContent>
      </w:r>
    </w:p>
    <w:p w14:paraId="145B9781" w14:textId="77777777" w:rsidR="00BD462C" w:rsidRDefault="00033D0F">
      <w:pPr>
        <w:spacing w:before="112"/>
        <w:ind w:left="135"/>
        <w:rPr>
          <w:sz w:val="18"/>
        </w:rPr>
      </w:pPr>
      <w:bookmarkStart w:id="125" w:name="_bookmark106"/>
      <w:bookmarkEnd w:id="125"/>
      <w:r>
        <w:rPr>
          <w:position w:val="5"/>
          <w:sz w:val="12"/>
        </w:rPr>
        <w:t>79</w:t>
      </w:r>
      <w:r>
        <w:rPr>
          <w:spacing w:val="13"/>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 xml:space="preserve">para. </w:t>
      </w:r>
      <w:r>
        <w:rPr>
          <w:spacing w:val="-5"/>
          <w:sz w:val="18"/>
        </w:rPr>
        <w:t>160</w:t>
      </w:r>
    </w:p>
    <w:p w14:paraId="18CFE930" w14:textId="77777777" w:rsidR="00BD462C" w:rsidRDefault="00033D0F">
      <w:pPr>
        <w:spacing w:before="1"/>
        <w:ind w:left="135"/>
        <w:rPr>
          <w:sz w:val="18"/>
        </w:rPr>
      </w:pPr>
      <w:bookmarkStart w:id="126" w:name="_bookmark107"/>
      <w:bookmarkEnd w:id="126"/>
      <w:r>
        <w:rPr>
          <w:position w:val="5"/>
          <w:sz w:val="12"/>
        </w:rPr>
        <w:t>80</w:t>
      </w:r>
      <w:r>
        <w:rPr>
          <w:spacing w:val="13"/>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 xml:space="preserve">para. </w:t>
      </w:r>
      <w:r>
        <w:rPr>
          <w:spacing w:val="-4"/>
          <w:sz w:val="18"/>
        </w:rPr>
        <w:t>161.</w:t>
      </w:r>
    </w:p>
    <w:p w14:paraId="7B318830" w14:textId="77777777" w:rsidR="00BD462C" w:rsidRDefault="00033D0F">
      <w:pPr>
        <w:spacing w:before="1" w:line="218" w:lineRule="exact"/>
        <w:ind w:left="135"/>
        <w:rPr>
          <w:sz w:val="18"/>
        </w:rPr>
      </w:pPr>
      <w:bookmarkStart w:id="127" w:name="_bookmark108"/>
      <w:bookmarkEnd w:id="127"/>
      <w:r>
        <w:rPr>
          <w:position w:val="5"/>
          <w:sz w:val="12"/>
        </w:rPr>
        <w:t>81</w:t>
      </w:r>
      <w:r>
        <w:rPr>
          <w:spacing w:val="13"/>
          <w:position w:val="5"/>
          <w:sz w:val="12"/>
        </w:rPr>
        <w:t xml:space="preserve"> </w:t>
      </w:r>
      <w:r>
        <w:rPr>
          <w:sz w:val="18"/>
        </w:rPr>
        <w:t>See</w:t>
      </w:r>
      <w:r>
        <w:rPr>
          <w:spacing w:val="-5"/>
          <w:sz w:val="18"/>
        </w:rPr>
        <w:t xml:space="preserve"> </w:t>
      </w:r>
      <w:r>
        <w:rPr>
          <w:sz w:val="18"/>
        </w:rPr>
        <w:t>sections</w:t>
      </w:r>
      <w:r>
        <w:rPr>
          <w:spacing w:val="-6"/>
          <w:sz w:val="18"/>
        </w:rPr>
        <w:t xml:space="preserve"> </w:t>
      </w:r>
      <w:hyperlink w:anchor="_bookmark1387" w:history="1">
        <w:r>
          <w:rPr>
            <w:sz w:val="18"/>
          </w:rPr>
          <w:t>VII.E.1,</w:t>
        </w:r>
      </w:hyperlink>
      <w:r>
        <w:rPr>
          <w:spacing w:val="-3"/>
          <w:sz w:val="18"/>
        </w:rPr>
        <w:t xml:space="preserve"> </w:t>
      </w:r>
      <w:hyperlink w:anchor="_bookmark1321" w:history="1">
        <w:r>
          <w:rPr>
            <w:sz w:val="18"/>
          </w:rPr>
          <w:t>VII.D.2;</w:t>
        </w:r>
      </w:hyperlink>
      <w:r>
        <w:rPr>
          <w:spacing w:val="-7"/>
          <w:sz w:val="18"/>
        </w:rPr>
        <w:t xml:space="preserve"> </w:t>
      </w:r>
      <w:r>
        <w:rPr>
          <w:sz w:val="18"/>
        </w:rPr>
        <w:t xml:space="preserve">paras. </w:t>
      </w:r>
      <w:hyperlink w:anchor="_bookmark601" w:history="1">
        <w:r>
          <w:rPr>
            <w:sz w:val="18"/>
          </w:rPr>
          <w:t>368</w:t>
        </w:r>
      </w:hyperlink>
      <w:hyperlink w:anchor="_bookmark602" w:history="1">
        <w:r>
          <w:rPr>
            <w:sz w:val="18"/>
          </w:rPr>
          <w:t>-</w:t>
        </w:r>
        <w:r>
          <w:rPr>
            <w:spacing w:val="-4"/>
            <w:sz w:val="18"/>
          </w:rPr>
          <w:t>369.</w:t>
        </w:r>
      </w:hyperlink>
    </w:p>
    <w:p w14:paraId="36428AA8" w14:textId="77777777" w:rsidR="00BD462C" w:rsidRDefault="00033D0F">
      <w:pPr>
        <w:spacing w:line="218" w:lineRule="exact"/>
        <w:ind w:left="135"/>
        <w:rPr>
          <w:sz w:val="18"/>
        </w:rPr>
      </w:pPr>
      <w:bookmarkStart w:id="128" w:name="_bookmark109"/>
      <w:bookmarkEnd w:id="128"/>
      <w:r>
        <w:rPr>
          <w:position w:val="5"/>
          <w:sz w:val="12"/>
        </w:rPr>
        <w:t>82</w:t>
      </w:r>
      <w:r>
        <w:rPr>
          <w:spacing w:val="16"/>
          <w:position w:val="5"/>
          <w:sz w:val="12"/>
        </w:rPr>
        <w:t xml:space="preserve"> </w:t>
      </w:r>
      <w:r>
        <w:rPr>
          <w:sz w:val="18"/>
        </w:rPr>
        <w:t>Appellate</w:t>
      </w:r>
      <w:r>
        <w:rPr>
          <w:spacing w:val="-8"/>
          <w:sz w:val="18"/>
        </w:rPr>
        <w:t xml:space="preserve"> </w:t>
      </w:r>
      <w:r>
        <w:rPr>
          <w:sz w:val="18"/>
        </w:rPr>
        <w:t>Body</w:t>
      </w:r>
      <w:r>
        <w:rPr>
          <w:spacing w:val="-5"/>
          <w:sz w:val="18"/>
        </w:rPr>
        <w:t xml:space="preserve"> </w:t>
      </w:r>
      <w:r>
        <w:rPr>
          <w:sz w:val="18"/>
        </w:rPr>
        <w:t xml:space="preserve">Report, </w:t>
      </w:r>
      <w:r>
        <w:rPr>
          <w:i/>
          <w:sz w:val="18"/>
        </w:rPr>
        <w:t>EC</w:t>
      </w:r>
      <w:r>
        <w:rPr>
          <w:i/>
          <w:spacing w:val="-3"/>
          <w:sz w:val="18"/>
        </w:rPr>
        <w:t xml:space="preserve"> </w:t>
      </w:r>
      <w:r>
        <w:rPr>
          <w:i/>
          <w:sz w:val="18"/>
        </w:rPr>
        <w:t>–</w:t>
      </w:r>
      <w:r>
        <w:rPr>
          <w:i/>
          <w:spacing w:val="-3"/>
          <w:sz w:val="18"/>
        </w:rPr>
        <w:t xml:space="preserve"> </w:t>
      </w:r>
      <w:r>
        <w:rPr>
          <w:i/>
          <w:sz w:val="18"/>
        </w:rPr>
        <w:t>Bananas</w:t>
      </w:r>
      <w:r>
        <w:rPr>
          <w:i/>
          <w:spacing w:val="-3"/>
          <w:sz w:val="18"/>
        </w:rPr>
        <w:t xml:space="preserve"> </w:t>
      </w:r>
      <w:r>
        <w:rPr>
          <w:i/>
          <w:sz w:val="18"/>
        </w:rPr>
        <w:t>III,</w:t>
      </w:r>
      <w:r>
        <w:rPr>
          <w:i/>
          <w:spacing w:val="3"/>
          <w:sz w:val="18"/>
        </w:rPr>
        <w:t xml:space="preserve"> </w:t>
      </w:r>
      <w:r>
        <w:rPr>
          <w:sz w:val="18"/>
        </w:rPr>
        <w:t>para</w:t>
      </w:r>
      <w:r>
        <w:rPr>
          <w:spacing w:val="-4"/>
          <w:sz w:val="18"/>
        </w:rPr>
        <w:t xml:space="preserve"> 145.</w:t>
      </w:r>
    </w:p>
    <w:p w14:paraId="31CE1431" w14:textId="77777777" w:rsidR="00BD462C" w:rsidRDefault="00033D0F">
      <w:pPr>
        <w:spacing w:before="1"/>
        <w:ind w:left="135"/>
        <w:rPr>
          <w:sz w:val="18"/>
        </w:rPr>
      </w:pPr>
      <w:bookmarkStart w:id="129" w:name="_bookmark110"/>
      <w:bookmarkEnd w:id="129"/>
      <w:r>
        <w:rPr>
          <w:position w:val="5"/>
          <w:sz w:val="12"/>
        </w:rPr>
        <w:t>83</w:t>
      </w:r>
      <w:r>
        <w:rPr>
          <w:spacing w:val="11"/>
          <w:position w:val="5"/>
          <w:sz w:val="12"/>
        </w:rPr>
        <w:t xml:space="preserve"> </w:t>
      </w:r>
      <w:r>
        <w:rPr>
          <w:sz w:val="18"/>
        </w:rPr>
        <w:t>Australia's response</w:t>
      </w:r>
      <w:r>
        <w:rPr>
          <w:spacing w:val="-5"/>
          <w:sz w:val="18"/>
        </w:rPr>
        <w:t xml:space="preserve"> </w:t>
      </w:r>
      <w:r>
        <w:rPr>
          <w:sz w:val="18"/>
        </w:rPr>
        <w:t>to</w:t>
      </w:r>
      <w:r>
        <w:rPr>
          <w:spacing w:val="-2"/>
          <w:sz w:val="18"/>
        </w:rPr>
        <w:t xml:space="preserve"> </w:t>
      </w:r>
      <w:r>
        <w:rPr>
          <w:sz w:val="18"/>
        </w:rPr>
        <w:t>China's</w:t>
      </w:r>
      <w:r>
        <w:rPr>
          <w:spacing w:val="-5"/>
          <w:sz w:val="18"/>
        </w:rPr>
        <w:t xml:space="preserve"> </w:t>
      </w:r>
      <w:r>
        <w:rPr>
          <w:sz w:val="18"/>
        </w:rPr>
        <w:t>PRR,</w:t>
      </w:r>
      <w:r>
        <w:rPr>
          <w:spacing w:val="-3"/>
          <w:sz w:val="18"/>
        </w:rPr>
        <w:t xml:space="preserve"> </w:t>
      </w:r>
      <w:r>
        <w:rPr>
          <w:sz w:val="18"/>
        </w:rPr>
        <w:t>paras.</w:t>
      </w:r>
      <w:r>
        <w:rPr>
          <w:spacing w:val="-4"/>
          <w:sz w:val="18"/>
        </w:rPr>
        <w:t xml:space="preserve"> </w:t>
      </w:r>
      <w:r>
        <w:rPr>
          <w:sz w:val="18"/>
        </w:rPr>
        <w:t>155,</w:t>
      </w:r>
      <w:r>
        <w:rPr>
          <w:spacing w:val="-3"/>
          <w:sz w:val="18"/>
        </w:rPr>
        <w:t xml:space="preserve"> </w:t>
      </w:r>
      <w:r>
        <w:rPr>
          <w:spacing w:val="-4"/>
          <w:sz w:val="18"/>
        </w:rPr>
        <w:t>248.</w:t>
      </w:r>
    </w:p>
    <w:p w14:paraId="49E96861" w14:textId="77777777" w:rsidR="00BD462C" w:rsidRDefault="00033D0F">
      <w:pPr>
        <w:spacing w:before="1"/>
        <w:ind w:left="135"/>
        <w:rPr>
          <w:sz w:val="18"/>
        </w:rPr>
      </w:pPr>
      <w:bookmarkStart w:id="130" w:name="_bookmark111"/>
      <w:bookmarkEnd w:id="130"/>
      <w:r>
        <w:rPr>
          <w:position w:val="5"/>
          <w:sz w:val="12"/>
        </w:rPr>
        <w:t>84</w:t>
      </w:r>
      <w:r>
        <w:rPr>
          <w:spacing w:val="13"/>
          <w:position w:val="5"/>
          <w:sz w:val="12"/>
        </w:rPr>
        <w:t xml:space="preserve"> </w:t>
      </w:r>
      <w:r>
        <w:rPr>
          <w:sz w:val="18"/>
        </w:rPr>
        <w:t>Australia's</w:t>
      </w:r>
      <w:r>
        <w:rPr>
          <w:spacing w:val="-1"/>
          <w:sz w:val="18"/>
        </w:rPr>
        <w:t xml:space="preserve"> </w:t>
      </w:r>
      <w:r>
        <w:rPr>
          <w:sz w:val="18"/>
        </w:rPr>
        <w:t>response</w:t>
      </w:r>
      <w:r>
        <w:rPr>
          <w:spacing w:val="-5"/>
          <w:sz w:val="18"/>
        </w:rPr>
        <w:t xml:space="preserve"> </w:t>
      </w:r>
      <w:r>
        <w:rPr>
          <w:sz w:val="18"/>
        </w:rPr>
        <w:t>to</w:t>
      </w:r>
      <w:r>
        <w:rPr>
          <w:spacing w:val="-1"/>
          <w:sz w:val="18"/>
        </w:rPr>
        <w:t xml:space="preserve"> </w:t>
      </w:r>
      <w:r>
        <w:rPr>
          <w:sz w:val="18"/>
        </w:rPr>
        <w:t>China's</w:t>
      </w:r>
      <w:r>
        <w:rPr>
          <w:spacing w:val="-5"/>
          <w:sz w:val="18"/>
        </w:rPr>
        <w:t xml:space="preserve"> </w:t>
      </w:r>
      <w:r>
        <w:rPr>
          <w:sz w:val="18"/>
        </w:rPr>
        <w:t>PRR,</w:t>
      </w:r>
      <w:r>
        <w:rPr>
          <w:spacing w:val="-4"/>
          <w:sz w:val="18"/>
        </w:rPr>
        <w:t xml:space="preserve"> </w:t>
      </w:r>
      <w:r>
        <w:rPr>
          <w:sz w:val="18"/>
        </w:rPr>
        <w:t>para.</w:t>
      </w:r>
      <w:r>
        <w:rPr>
          <w:spacing w:val="1"/>
          <w:sz w:val="18"/>
        </w:rPr>
        <w:t xml:space="preserve"> </w:t>
      </w:r>
      <w:r>
        <w:rPr>
          <w:spacing w:val="-4"/>
          <w:sz w:val="18"/>
        </w:rPr>
        <w:t>180.</w:t>
      </w:r>
    </w:p>
    <w:p w14:paraId="1A561D25" w14:textId="77777777" w:rsidR="00BD462C" w:rsidRDefault="00033D0F">
      <w:pPr>
        <w:spacing w:before="1"/>
        <w:ind w:left="135"/>
        <w:rPr>
          <w:sz w:val="18"/>
        </w:rPr>
      </w:pPr>
      <w:bookmarkStart w:id="131" w:name="_bookmark112"/>
      <w:bookmarkEnd w:id="131"/>
      <w:r>
        <w:rPr>
          <w:position w:val="5"/>
          <w:sz w:val="12"/>
        </w:rPr>
        <w:t>85</w:t>
      </w:r>
      <w:r>
        <w:rPr>
          <w:spacing w:val="13"/>
          <w:position w:val="5"/>
          <w:sz w:val="12"/>
        </w:rPr>
        <w:t xml:space="preserve"> </w:t>
      </w:r>
      <w:r>
        <w:rPr>
          <w:sz w:val="18"/>
        </w:rPr>
        <w:t>Australia's</w:t>
      </w:r>
      <w:r>
        <w:rPr>
          <w:spacing w:val="-1"/>
          <w:sz w:val="18"/>
        </w:rPr>
        <w:t xml:space="preserve"> </w:t>
      </w:r>
      <w:r>
        <w:rPr>
          <w:sz w:val="18"/>
        </w:rPr>
        <w:t>response</w:t>
      </w:r>
      <w:r>
        <w:rPr>
          <w:spacing w:val="-5"/>
          <w:sz w:val="18"/>
        </w:rPr>
        <w:t xml:space="preserve"> </w:t>
      </w:r>
      <w:r>
        <w:rPr>
          <w:sz w:val="18"/>
        </w:rPr>
        <w:t>to</w:t>
      </w:r>
      <w:r>
        <w:rPr>
          <w:spacing w:val="-1"/>
          <w:sz w:val="18"/>
        </w:rPr>
        <w:t xml:space="preserve"> </w:t>
      </w:r>
      <w:r>
        <w:rPr>
          <w:sz w:val="18"/>
        </w:rPr>
        <w:t>China's</w:t>
      </w:r>
      <w:r>
        <w:rPr>
          <w:spacing w:val="-5"/>
          <w:sz w:val="18"/>
        </w:rPr>
        <w:t xml:space="preserve"> </w:t>
      </w:r>
      <w:r>
        <w:rPr>
          <w:sz w:val="18"/>
        </w:rPr>
        <w:t>PRR,</w:t>
      </w:r>
      <w:r>
        <w:rPr>
          <w:spacing w:val="-4"/>
          <w:sz w:val="18"/>
        </w:rPr>
        <w:t xml:space="preserve"> </w:t>
      </w:r>
      <w:r>
        <w:rPr>
          <w:sz w:val="18"/>
        </w:rPr>
        <w:t>para.</w:t>
      </w:r>
      <w:r>
        <w:rPr>
          <w:spacing w:val="1"/>
          <w:sz w:val="18"/>
        </w:rPr>
        <w:t xml:space="preserve"> </w:t>
      </w:r>
      <w:r>
        <w:rPr>
          <w:spacing w:val="-5"/>
          <w:sz w:val="18"/>
        </w:rPr>
        <w:t>90.</w:t>
      </w:r>
    </w:p>
    <w:p w14:paraId="74A8C7FD" w14:textId="77777777" w:rsidR="00BD462C" w:rsidRDefault="00033D0F">
      <w:pPr>
        <w:spacing w:before="1"/>
        <w:ind w:left="135"/>
        <w:rPr>
          <w:sz w:val="18"/>
        </w:rPr>
      </w:pPr>
      <w:bookmarkStart w:id="132" w:name="_bookmark113"/>
      <w:bookmarkEnd w:id="132"/>
      <w:r>
        <w:rPr>
          <w:position w:val="5"/>
          <w:sz w:val="12"/>
        </w:rPr>
        <w:t>86</w:t>
      </w:r>
      <w:r>
        <w:rPr>
          <w:spacing w:val="12"/>
          <w:position w:val="5"/>
          <w:sz w:val="12"/>
        </w:rPr>
        <w:t xml:space="preserve"> </w:t>
      </w:r>
      <w:r>
        <w:rPr>
          <w:sz w:val="18"/>
        </w:rPr>
        <w:t>Australia's</w:t>
      </w:r>
      <w:r>
        <w:rPr>
          <w:spacing w:val="-1"/>
          <w:sz w:val="18"/>
        </w:rPr>
        <w:t xml:space="preserve"> </w:t>
      </w:r>
      <w:r>
        <w:rPr>
          <w:sz w:val="18"/>
        </w:rPr>
        <w:t>response</w:t>
      </w:r>
      <w:r>
        <w:rPr>
          <w:spacing w:val="-6"/>
          <w:sz w:val="18"/>
        </w:rPr>
        <w:t xml:space="preserve"> </w:t>
      </w:r>
      <w:r>
        <w:rPr>
          <w:sz w:val="18"/>
        </w:rPr>
        <w:t>to</w:t>
      </w:r>
      <w:r>
        <w:rPr>
          <w:spacing w:val="-3"/>
          <w:sz w:val="18"/>
        </w:rPr>
        <w:t xml:space="preserve"> </w:t>
      </w:r>
      <w:r>
        <w:rPr>
          <w:sz w:val="18"/>
        </w:rPr>
        <w:t>China's</w:t>
      </w:r>
      <w:r>
        <w:rPr>
          <w:spacing w:val="-6"/>
          <w:sz w:val="18"/>
        </w:rPr>
        <w:t xml:space="preserve"> </w:t>
      </w:r>
      <w:r>
        <w:rPr>
          <w:sz w:val="18"/>
        </w:rPr>
        <w:t>PRR,</w:t>
      </w:r>
      <w:r>
        <w:rPr>
          <w:spacing w:val="-4"/>
          <w:sz w:val="18"/>
        </w:rPr>
        <w:t xml:space="preserve"> </w:t>
      </w:r>
      <w:r>
        <w:rPr>
          <w:sz w:val="18"/>
        </w:rPr>
        <w:t>Australia,</w:t>
      </w:r>
      <w:r>
        <w:rPr>
          <w:spacing w:val="1"/>
          <w:sz w:val="18"/>
        </w:rPr>
        <w:t xml:space="preserve"> </w:t>
      </w:r>
      <w:r>
        <w:rPr>
          <w:sz w:val="18"/>
        </w:rPr>
        <w:t>para.</w:t>
      </w:r>
      <w:r>
        <w:rPr>
          <w:spacing w:val="-5"/>
          <w:sz w:val="18"/>
        </w:rPr>
        <w:t xml:space="preserve"> </w:t>
      </w:r>
      <w:r>
        <w:rPr>
          <w:spacing w:val="-4"/>
          <w:sz w:val="18"/>
        </w:rPr>
        <w:t>237.</w:t>
      </w:r>
    </w:p>
    <w:p w14:paraId="0A0D33EB" w14:textId="77777777" w:rsidR="00BD462C" w:rsidRDefault="00BD462C">
      <w:pPr>
        <w:rPr>
          <w:sz w:val="18"/>
        </w:rPr>
        <w:sectPr w:rsidR="00BD462C">
          <w:pgSz w:w="11910" w:h="16840"/>
          <w:pgMar w:top="860" w:right="500" w:bottom="780" w:left="1280" w:header="566" w:footer="590" w:gutter="0"/>
          <w:cols w:space="720"/>
        </w:sectPr>
      </w:pPr>
    </w:p>
    <w:p w14:paraId="378D6D5A"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47A8EB43"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365653D0"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28DA30AD" w14:textId="77777777" w:rsidR="00BD462C" w:rsidRDefault="00033D0F">
      <w:pPr>
        <w:pStyle w:val="ListParagraph"/>
        <w:numPr>
          <w:ilvl w:val="1"/>
          <w:numId w:val="66"/>
        </w:numPr>
        <w:tabs>
          <w:tab w:val="left" w:pos="1839"/>
          <w:tab w:val="left" w:pos="1840"/>
        </w:tabs>
        <w:spacing w:before="103"/>
        <w:ind w:left="1840"/>
        <w:rPr>
          <w:b/>
        </w:rPr>
      </w:pPr>
      <w:bookmarkStart w:id="133" w:name="D._Judicial_economy"/>
      <w:bookmarkStart w:id="134" w:name="_bookmark114"/>
      <w:bookmarkEnd w:id="133"/>
      <w:bookmarkEnd w:id="134"/>
      <w:r>
        <w:rPr>
          <w:b/>
          <w:sz w:val="28"/>
        </w:rPr>
        <w:t>J</w:t>
      </w:r>
      <w:r>
        <w:rPr>
          <w:b/>
        </w:rPr>
        <w:t>UDICIAL</w:t>
      </w:r>
      <w:r>
        <w:rPr>
          <w:b/>
          <w:spacing w:val="-9"/>
        </w:rPr>
        <w:t xml:space="preserve"> </w:t>
      </w:r>
      <w:r>
        <w:rPr>
          <w:b/>
          <w:spacing w:val="-2"/>
        </w:rPr>
        <w:t>ECONOMY</w:t>
      </w:r>
    </w:p>
    <w:p w14:paraId="558A15B8" w14:textId="77777777" w:rsidR="00BD462C" w:rsidRDefault="00BD462C">
      <w:pPr>
        <w:pStyle w:val="BodyText"/>
        <w:spacing w:before="9"/>
        <w:rPr>
          <w:b/>
          <w:sz w:val="22"/>
        </w:rPr>
      </w:pPr>
    </w:p>
    <w:p w14:paraId="2D700884" w14:textId="3C54B03A" w:rsidR="00BD462C" w:rsidRDefault="00033D0F" w:rsidP="00C65BAF">
      <w:pPr>
        <w:pStyle w:val="BodyText"/>
        <w:numPr>
          <w:ilvl w:val="0"/>
          <w:numId w:val="68"/>
        </w:numPr>
        <w:spacing w:before="56" w:line="355" w:lineRule="auto"/>
        <w:ind w:right="923"/>
      </w:pPr>
      <w:r>
        <w:rPr>
          <w:position w:val="1"/>
        </w:rPr>
        <w:t>Australia</w:t>
      </w:r>
      <w:r>
        <w:rPr>
          <w:spacing w:val="-8"/>
          <w:position w:val="1"/>
        </w:rPr>
        <w:t xml:space="preserve"> </w:t>
      </w:r>
      <w:r>
        <w:rPr>
          <w:position w:val="1"/>
        </w:rPr>
        <w:t>requests</w:t>
      </w:r>
      <w:r>
        <w:rPr>
          <w:spacing w:val="-6"/>
          <w:position w:val="1"/>
        </w:rPr>
        <w:t xml:space="preserve"> </w:t>
      </w:r>
      <w:r>
        <w:rPr>
          <w:position w:val="1"/>
        </w:rPr>
        <w:t>that</w:t>
      </w:r>
      <w:r>
        <w:rPr>
          <w:spacing w:val="-7"/>
          <w:position w:val="1"/>
        </w:rPr>
        <w:t xml:space="preserve"> </w:t>
      </w:r>
      <w:r>
        <w:rPr>
          <w:position w:val="1"/>
        </w:rPr>
        <w:t>the</w:t>
      </w:r>
      <w:r>
        <w:rPr>
          <w:spacing w:val="-7"/>
          <w:position w:val="1"/>
        </w:rPr>
        <w:t xml:space="preserve"> </w:t>
      </w:r>
      <w:r>
        <w:rPr>
          <w:position w:val="1"/>
        </w:rPr>
        <w:t>Panel</w:t>
      </w:r>
      <w:r>
        <w:rPr>
          <w:spacing w:val="-5"/>
          <w:position w:val="1"/>
        </w:rPr>
        <w:t xml:space="preserve"> </w:t>
      </w:r>
      <w:r>
        <w:rPr>
          <w:position w:val="1"/>
        </w:rPr>
        <w:t>exercise</w:t>
      </w:r>
      <w:r>
        <w:rPr>
          <w:spacing w:val="-7"/>
          <w:position w:val="1"/>
        </w:rPr>
        <w:t xml:space="preserve"> </w:t>
      </w:r>
      <w:r>
        <w:rPr>
          <w:position w:val="1"/>
        </w:rPr>
        <w:t>its</w:t>
      </w:r>
      <w:r>
        <w:rPr>
          <w:spacing w:val="-6"/>
          <w:position w:val="1"/>
        </w:rPr>
        <w:t xml:space="preserve"> </w:t>
      </w:r>
      <w:r>
        <w:rPr>
          <w:position w:val="1"/>
        </w:rPr>
        <w:t>discretion</w:t>
      </w:r>
      <w:r>
        <w:rPr>
          <w:spacing w:val="-9"/>
          <w:position w:val="1"/>
        </w:rPr>
        <w:t xml:space="preserve"> </w:t>
      </w:r>
      <w:r>
        <w:rPr>
          <w:position w:val="1"/>
        </w:rPr>
        <w:t>to</w:t>
      </w:r>
      <w:r>
        <w:rPr>
          <w:spacing w:val="-10"/>
          <w:position w:val="1"/>
        </w:rPr>
        <w:t xml:space="preserve"> </w:t>
      </w:r>
      <w:r>
        <w:rPr>
          <w:position w:val="1"/>
        </w:rPr>
        <w:t>make</w:t>
      </w:r>
      <w:r>
        <w:rPr>
          <w:spacing w:val="-7"/>
          <w:position w:val="1"/>
        </w:rPr>
        <w:t xml:space="preserve"> </w:t>
      </w:r>
      <w:r>
        <w:rPr>
          <w:position w:val="1"/>
        </w:rPr>
        <w:t>findings</w:t>
      </w:r>
      <w:r>
        <w:rPr>
          <w:spacing w:val="-6"/>
          <w:position w:val="1"/>
        </w:rPr>
        <w:t xml:space="preserve"> </w:t>
      </w:r>
      <w:r>
        <w:rPr>
          <w:position w:val="1"/>
        </w:rPr>
        <w:t>with</w:t>
      </w:r>
      <w:r>
        <w:rPr>
          <w:spacing w:val="-9"/>
          <w:position w:val="1"/>
        </w:rPr>
        <w:t xml:space="preserve"> </w:t>
      </w:r>
      <w:r>
        <w:rPr>
          <w:position w:val="1"/>
        </w:rPr>
        <w:t xml:space="preserve">respect </w:t>
      </w:r>
      <w:r>
        <w:t>to each claim set out in its written submissions.</w:t>
      </w:r>
    </w:p>
    <w:p w14:paraId="3E036D2C" w14:textId="77777777" w:rsidR="00BD462C" w:rsidRDefault="00BD462C">
      <w:pPr>
        <w:pStyle w:val="BodyText"/>
        <w:spacing w:before="4"/>
        <w:rPr>
          <w:sz w:val="9"/>
        </w:rPr>
      </w:pPr>
    </w:p>
    <w:p w14:paraId="247FF3D3" w14:textId="2AE54BE4" w:rsidR="00BD462C" w:rsidRDefault="00033D0F" w:rsidP="00C65BAF">
      <w:pPr>
        <w:pStyle w:val="BodyText"/>
        <w:numPr>
          <w:ilvl w:val="0"/>
          <w:numId w:val="68"/>
        </w:numPr>
        <w:spacing w:before="56" w:line="360" w:lineRule="auto"/>
        <w:ind w:right="913"/>
        <w:jc w:val="both"/>
      </w:pPr>
      <w:r>
        <w:rPr>
          <w:position w:val="1"/>
        </w:rPr>
        <w:t xml:space="preserve">Australia's claims intersect and interact, but it is precisely these interactions that </w:t>
      </w:r>
      <w:r>
        <w:t>demonstrate</w:t>
      </w:r>
      <w:r>
        <w:rPr>
          <w:spacing w:val="-7"/>
        </w:rPr>
        <w:t xml:space="preserve"> </w:t>
      </w:r>
      <w:r>
        <w:t>the</w:t>
      </w:r>
      <w:r>
        <w:rPr>
          <w:spacing w:val="-7"/>
        </w:rPr>
        <w:t xml:space="preserve"> </w:t>
      </w:r>
      <w:r>
        <w:t>absurdity</w:t>
      </w:r>
      <w:r>
        <w:rPr>
          <w:spacing w:val="-6"/>
        </w:rPr>
        <w:t xml:space="preserve"> </w:t>
      </w:r>
      <w:r>
        <w:t>of</w:t>
      </w:r>
      <w:r>
        <w:rPr>
          <w:spacing w:val="-9"/>
        </w:rPr>
        <w:t xml:space="preserve"> </w:t>
      </w:r>
      <w:r>
        <w:t>China's</w:t>
      </w:r>
      <w:r>
        <w:rPr>
          <w:spacing w:val="-6"/>
        </w:rPr>
        <w:t xml:space="preserve"> </w:t>
      </w:r>
      <w:r>
        <w:t>measures.</w:t>
      </w:r>
      <w:r>
        <w:rPr>
          <w:spacing w:val="-6"/>
        </w:rPr>
        <w:t xml:space="preserve"> </w:t>
      </w:r>
      <w:r>
        <w:t>To</w:t>
      </w:r>
      <w:r>
        <w:rPr>
          <w:spacing w:val="-9"/>
        </w:rPr>
        <w:t xml:space="preserve"> </w:t>
      </w:r>
      <w:r>
        <w:t>ensure</w:t>
      </w:r>
      <w:r>
        <w:rPr>
          <w:spacing w:val="-2"/>
        </w:rPr>
        <w:t xml:space="preserve"> </w:t>
      </w:r>
      <w:r>
        <w:t>a</w:t>
      </w:r>
      <w:r>
        <w:rPr>
          <w:spacing w:val="-8"/>
        </w:rPr>
        <w:t xml:space="preserve"> </w:t>
      </w:r>
      <w:r>
        <w:t>full</w:t>
      </w:r>
      <w:r>
        <w:rPr>
          <w:spacing w:val="-5"/>
        </w:rPr>
        <w:t xml:space="preserve"> </w:t>
      </w:r>
      <w:r>
        <w:t>and</w:t>
      </w:r>
      <w:r>
        <w:rPr>
          <w:spacing w:val="-9"/>
        </w:rPr>
        <w:t xml:space="preserve"> </w:t>
      </w:r>
      <w:r>
        <w:t>objective</w:t>
      </w:r>
      <w:r>
        <w:rPr>
          <w:spacing w:val="-7"/>
        </w:rPr>
        <w:t xml:space="preserve"> </w:t>
      </w:r>
      <w:r>
        <w:t>examination</w:t>
      </w:r>
      <w:r>
        <w:rPr>
          <w:spacing w:val="-9"/>
        </w:rPr>
        <w:t xml:space="preserve"> </w:t>
      </w:r>
      <w:r>
        <w:t>of the dispute at hand, Australia requests that the Panel consider and rule on each of its claims on their merits.</w:t>
      </w:r>
    </w:p>
    <w:p w14:paraId="5BB99A07" w14:textId="77777777" w:rsidR="00BD462C" w:rsidRDefault="00BD462C">
      <w:pPr>
        <w:pStyle w:val="BodyText"/>
        <w:spacing w:before="9"/>
        <w:rPr>
          <w:sz w:val="8"/>
        </w:rPr>
      </w:pPr>
    </w:p>
    <w:p w14:paraId="7A56D71B" w14:textId="494CFAD0" w:rsidR="00BD462C" w:rsidRDefault="00C65BAF" w:rsidP="00C65BAF">
      <w:pPr>
        <w:pStyle w:val="BodyText"/>
        <w:numPr>
          <w:ilvl w:val="0"/>
          <w:numId w:val="68"/>
        </w:numPr>
        <w:spacing w:before="56" w:line="357" w:lineRule="auto"/>
        <w:ind w:right="913"/>
        <w:jc w:val="both"/>
      </w:pPr>
      <w:r>
        <w:rPr>
          <w:position w:val="1"/>
        </w:rPr>
        <w:t>T</w:t>
      </w:r>
      <w:r w:rsidR="00033D0F">
        <w:rPr>
          <w:position w:val="1"/>
        </w:rPr>
        <w:t xml:space="preserve">hese rulings will enable the Dispute Settlement Body to make sufficiently precise </w:t>
      </w:r>
      <w:r w:rsidR="00033D0F">
        <w:t>recommendations and rulings pursuant to Article 11 of the DSU and will facilitate prompt compliance with the Agreements. As such, rulings on each of the claims are necessary to ensure the effective and complete resolution of this dispute.</w:t>
      </w:r>
      <w:r w:rsidR="00033D0F">
        <w:rPr>
          <w:spacing w:val="-26"/>
        </w:rPr>
        <w:t xml:space="preserve"> </w:t>
      </w:r>
      <w:hyperlink w:anchor="_bookmark116" w:history="1">
        <w:r w:rsidR="00033D0F">
          <w:rPr>
            <w:vertAlign w:val="superscript"/>
          </w:rPr>
          <w:t>87</w:t>
        </w:r>
      </w:hyperlink>
    </w:p>
    <w:p w14:paraId="70871B78" w14:textId="77777777" w:rsidR="00BD462C" w:rsidRDefault="00BD462C">
      <w:pPr>
        <w:pStyle w:val="BodyText"/>
        <w:spacing w:before="3"/>
        <w:rPr>
          <w:sz w:val="9"/>
        </w:rPr>
      </w:pPr>
    </w:p>
    <w:p w14:paraId="0A35C3C2" w14:textId="2F02981D" w:rsidR="00BD462C" w:rsidRDefault="00033D0F" w:rsidP="00C65BAF">
      <w:pPr>
        <w:pStyle w:val="BodyText"/>
        <w:numPr>
          <w:ilvl w:val="0"/>
          <w:numId w:val="68"/>
        </w:numPr>
        <w:spacing w:before="56" w:line="357" w:lineRule="auto"/>
        <w:ind w:right="918"/>
        <w:jc w:val="both"/>
      </w:pPr>
      <w:r>
        <w:rPr>
          <w:position w:val="1"/>
        </w:rPr>
        <w:t>Where</w:t>
      </w:r>
      <w:r>
        <w:rPr>
          <w:spacing w:val="-12"/>
          <w:position w:val="1"/>
        </w:rPr>
        <w:t xml:space="preserve"> </w:t>
      </w:r>
      <w:r>
        <w:rPr>
          <w:position w:val="1"/>
        </w:rPr>
        <w:t>Australia</w:t>
      </w:r>
      <w:r>
        <w:rPr>
          <w:spacing w:val="-12"/>
          <w:position w:val="1"/>
        </w:rPr>
        <w:t xml:space="preserve"> </w:t>
      </w:r>
      <w:r>
        <w:rPr>
          <w:position w:val="1"/>
        </w:rPr>
        <w:t>considers</w:t>
      </w:r>
      <w:r>
        <w:rPr>
          <w:spacing w:val="-10"/>
          <w:position w:val="1"/>
        </w:rPr>
        <w:t xml:space="preserve"> </w:t>
      </w:r>
      <w:r>
        <w:rPr>
          <w:position w:val="1"/>
        </w:rPr>
        <w:t>that</w:t>
      </w:r>
      <w:r>
        <w:rPr>
          <w:spacing w:val="-11"/>
          <w:position w:val="1"/>
        </w:rPr>
        <w:t xml:space="preserve"> </w:t>
      </w:r>
      <w:r>
        <w:rPr>
          <w:position w:val="1"/>
        </w:rPr>
        <w:t>a</w:t>
      </w:r>
      <w:r>
        <w:rPr>
          <w:spacing w:val="-8"/>
          <w:position w:val="1"/>
        </w:rPr>
        <w:t xml:space="preserve"> </w:t>
      </w:r>
      <w:r>
        <w:rPr>
          <w:position w:val="1"/>
        </w:rPr>
        <w:t>particular</w:t>
      </w:r>
      <w:r>
        <w:rPr>
          <w:spacing w:val="-10"/>
          <w:position w:val="1"/>
        </w:rPr>
        <w:t xml:space="preserve"> </w:t>
      </w:r>
      <w:r>
        <w:rPr>
          <w:position w:val="1"/>
        </w:rPr>
        <w:t>ruling</w:t>
      </w:r>
      <w:r>
        <w:rPr>
          <w:spacing w:val="-10"/>
          <w:position w:val="1"/>
        </w:rPr>
        <w:t xml:space="preserve"> </w:t>
      </w:r>
      <w:r>
        <w:rPr>
          <w:position w:val="1"/>
        </w:rPr>
        <w:t>is</w:t>
      </w:r>
      <w:r>
        <w:rPr>
          <w:spacing w:val="-10"/>
          <w:position w:val="1"/>
        </w:rPr>
        <w:t xml:space="preserve"> </w:t>
      </w:r>
      <w:r>
        <w:rPr>
          <w:position w:val="1"/>
        </w:rPr>
        <w:t>not</w:t>
      </w:r>
      <w:r>
        <w:rPr>
          <w:spacing w:val="-7"/>
          <w:position w:val="1"/>
        </w:rPr>
        <w:t xml:space="preserve"> </w:t>
      </w:r>
      <w:r>
        <w:rPr>
          <w:position w:val="1"/>
        </w:rPr>
        <w:t>required</w:t>
      </w:r>
      <w:r>
        <w:rPr>
          <w:spacing w:val="-9"/>
          <w:position w:val="1"/>
        </w:rPr>
        <w:t xml:space="preserve"> </w:t>
      </w:r>
      <w:r>
        <w:rPr>
          <w:position w:val="1"/>
        </w:rPr>
        <w:t>for</w:t>
      </w:r>
      <w:r>
        <w:rPr>
          <w:spacing w:val="-14"/>
          <w:position w:val="1"/>
        </w:rPr>
        <w:t xml:space="preserve"> </w:t>
      </w:r>
      <w:r>
        <w:rPr>
          <w:position w:val="1"/>
        </w:rPr>
        <w:t>the</w:t>
      </w:r>
      <w:r>
        <w:rPr>
          <w:spacing w:val="-7"/>
          <w:position w:val="1"/>
        </w:rPr>
        <w:t xml:space="preserve"> </w:t>
      </w:r>
      <w:r>
        <w:rPr>
          <w:position w:val="1"/>
        </w:rPr>
        <w:t>effective</w:t>
      </w:r>
      <w:r>
        <w:rPr>
          <w:spacing w:val="-12"/>
          <w:position w:val="1"/>
        </w:rPr>
        <w:t xml:space="preserve"> </w:t>
      </w:r>
      <w:r>
        <w:rPr>
          <w:position w:val="1"/>
        </w:rPr>
        <w:t xml:space="preserve">and </w:t>
      </w:r>
      <w:r>
        <w:t xml:space="preserve">complete resolution of the dispute, it notes this in the appropriate subsection of this </w:t>
      </w:r>
      <w:r>
        <w:rPr>
          <w:spacing w:val="-2"/>
        </w:rPr>
        <w:t>submission.</w:t>
      </w:r>
    </w:p>
    <w:p w14:paraId="4BA39203" w14:textId="77777777" w:rsidR="00BD462C" w:rsidRDefault="00033D0F">
      <w:pPr>
        <w:pStyle w:val="ListParagraph"/>
        <w:numPr>
          <w:ilvl w:val="1"/>
          <w:numId w:val="66"/>
        </w:numPr>
        <w:tabs>
          <w:tab w:val="left" w:pos="1839"/>
          <w:tab w:val="left" w:pos="1840"/>
          <w:tab w:val="left" w:pos="2847"/>
          <w:tab w:val="left" w:pos="3937"/>
          <w:tab w:val="left" w:pos="4441"/>
          <w:tab w:val="left" w:pos="5627"/>
          <w:tab w:val="left" w:pos="7475"/>
          <w:tab w:val="left" w:pos="8949"/>
        </w:tabs>
        <w:spacing w:before="165" w:line="400" w:lineRule="auto"/>
        <w:ind w:right="913"/>
        <w:rPr>
          <w:b/>
        </w:rPr>
      </w:pPr>
      <w:bookmarkStart w:id="135" w:name="E._China's_reliance_on_domestic_confiden"/>
      <w:bookmarkStart w:id="136" w:name="_bookmark115"/>
      <w:bookmarkEnd w:id="135"/>
      <w:bookmarkEnd w:id="136"/>
      <w:r>
        <w:rPr>
          <w:b/>
          <w:spacing w:val="-2"/>
          <w:sz w:val="28"/>
        </w:rPr>
        <w:t>C</w:t>
      </w:r>
      <w:r>
        <w:rPr>
          <w:b/>
          <w:spacing w:val="-2"/>
        </w:rPr>
        <w:t>HINA</w:t>
      </w:r>
      <w:r>
        <w:rPr>
          <w:b/>
          <w:spacing w:val="-2"/>
          <w:sz w:val="28"/>
        </w:rPr>
        <w:t>'</w:t>
      </w:r>
      <w:r>
        <w:rPr>
          <w:b/>
          <w:spacing w:val="-2"/>
        </w:rPr>
        <w:t>S</w:t>
      </w:r>
      <w:r>
        <w:rPr>
          <w:b/>
        </w:rPr>
        <w:tab/>
      </w:r>
      <w:r>
        <w:rPr>
          <w:b/>
          <w:spacing w:val="-2"/>
        </w:rPr>
        <w:t>RELIANCE</w:t>
      </w:r>
      <w:r>
        <w:rPr>
          <w:b/>
        </w:rPr>
        <w:tab/>
      </w:r>
      <w:r>
        <w:rPr>
          <w:b/>
          <w:spacing w:val="-6"/>
        </w:rPr>
        <w:t>ON</w:t>
      </w:r>
      <w:r>
        <w:rPr>
          <w:b/>
        </w:rPr>
        <w:tab/>
      </w:r>
      <w:r>
        <w:rPr>
          <w:b/>
          <w:spacing w:val="-2"/>
        </w:rPr>
        <w:t>DOMESTIC</w:t>
      </w:r>
      <w:r>
        <w:rPr>
          <w:b/>
        </w:rPr>
        <w:tab/>
      </w:r>
      <w:r>
        <w:rPr>
          <w:b/>
          <w:spacing w:val="-2"/>
        </w:rPr>
        <w:t>CONFIDENTIALITY</w:t>
      </w:r>
      <w:r>
        <w:rPr>
          <w:b/>
        </w:rPr>
        <w:tab/>
      </w:r>
      <w:r>
        <w:rPr>
          <w:b/>
          <w:spacing w:val="-2"/>
        </w:rPr>
        <w:t>OBLIGATIONS</w:t>
      </w:r>
      <w:r>
        <w:rPr>
          <w:b/>
        </w:rPr>
        <w:tab/>
      </w:r>
      <w:r>
        <w:rPr>
          <w:b/>
          <w:spacing w:val="-6"/>
        </w:rPr>
        <w:t xml:space="preserve">TO </w:t>
      </w:r>
      <w:r>
        <w:rPr>
          <w:b/>
        </w:rPr>
        <w:t>WITHHOLD INFORMATION</w:t>
      </w:r>
    </w:p>
    <w:p w14:paraId="5D256131" w14:textId="77777777" w:rsidR="00BD462C" w:rsidRDefault="00BD462C">
      <w:pPr>
        <w:pStyle w:val="BodyText"/>
        <w:spacing w:before="4"/>
        <w:rPr>
          <w:b/>
          <w:sz w:val="9"/>
        </w:rPr>
      </w:pPr>
    </w:p>
    <w:p w14:paraId="7E0E8869" w14:textId="2E79B89A" w:rsidR="00BD462C" w:rsidRDefault="00033D0F" w:rsidP="00C65BAF">
      <w:pPr>
        <w:pStyle w:val="BodyText"/>
        <w:numPr>
          <w:ilvl w:val="0"/>
          <w:numId w:val="68"/>
        </w:numPr>
        <w:spacing w:before="56" w:line="360" w:lineRule="auto"/>
        <w:ind w:right="916"/>
        <w:jc w:val="both"/>
      </w:pPr>
      <w:r>
        <w:rPr>
          <w:position w:val="1"/>
        </w:rPr>
        <w:t>China's</w:t>
      </w:r>
      <w:r>
        <w:rPr>
          <w:spacing w:val="40"/>
          <w:position w:val="1"/>
        </w:rPr>
        <w:t xml:space="preserve"> </w:t>
      </w:r>
      <w:r>
        <w:rPr>
          <w:position w:val="1"/>
        </w:rPr>
        <w:t>answers</w:t>
      </w:r>
      <w:r>
        <w:rPr>
          <w:spacing w:val="40"/>
          <w:position w:val="1"/>
        </w:rPr>
        <w:t xml:space="preserve"> </w:t>
      </w:r>
      <w:r>
        <w:rPr>
          <w:position w:val="1"/>
        </w:rPr>
        <w:t>to</w:t>
      </w:r>
      <w:r>
        <w:rPr>
          <w:spacing w:val="40"/>
          <w:position w:val="1"/>
        </w:rPr>
        <w:t xml:space="preserve"> </w:t>
      </w:r>
      <w:r>
        <w:rPr>
          <w:position w:val="1"/>
        </w:rPr>
        <w:t>the</w:t>
      </w:r>
      <w:r>
        <w:rPr>
          <w:spacing w:val="40"/>
          <w:position w:val="1"/>
        </w:rPr>
        <w:t xml:space="preserve"> </w:t>
      </w:r>
      <w:r>
        <w:rPr>
          <w:position w:val="1"/>
        </w:rPr>
        <w:t>Panel</w:t>
      </w:r>
      <w:r>
        <w:rPr>
          <w:spacing w:val="40"/>
          <w:position w:val="1"/>
        </w:rPr>
        <w:t xml:space="preserve"> </w:t>
      </w:r>
      <w:r>
        <w:rPr>
          <w:position w:val="1"/>
        </w:rPr>
        <w:t>questions</w:t>
      </w:r>
      <w:r>
        <w:rPr>
          <w:spacing w:val="40"/>
          <w:position w:val="1"/>
        </w:rPr>
        <w:t xml:space="preserve"> </w:t>
      </w:r>
      <w:r>
        <w:rPr>
          <w:position w:val="1"/>
        </w:rPr>
        <w:t>following</w:t>
      </w:r>
      <w:r>
        <w:rPr>
          <w:spacing w:val="40"/>
          <w:position w:val="1"/>
        </w:rPr>
        <w:t xml:space="preserve"> </w:t>
      </w:r>
      <w:r>
        <w:rPr>
          <w:position w:val="1"/>
        </w:rPr>
        <w:t>the</w:t>
      </w:r>
      <w:r>
        <w:rPr>
          <w:spacing w:val="40"/>
          <w:position w:val="1"/>
        </w:rPr>
        <w:t xml:space="preserve"> </w:t>
      </w:r>
      <w:r>
        <w:rPr>
          <w:position w:val="1"/>
        </w:rPr>
        <w:t>first</w:t>
      </w:r>
      <w:r>
        <w:rPr>
          <w:spacing w:val="40"/>
          <w:position w:val="1"/>
        </w:rPr>
        <w:t xml:space="preserve"> </w:t>
      </w:r>
      <w:r>
        <w:rPr>
          <w:position w:val="1"/>
        </w:rPr>
        <w:t>substantive</w:t>
      </w:r>
      <w:r>
        <w:rPr>
          <w:spacing w:val="40"/>
          <w:position w:val="1"/>
        </w:rPr>
        <w:t xml:space="preserve"> </w:t>
      </w:r>
      <w:r>
        <w:rPr>
          <w:position w:val="1"/>
        </w:rPr>
        <w:t xml:space="preserve">meeting </w:t>
      </w:r>
      <w:r>
        <w:t>contain multiple instances where China declines to provide information to the Panel that would otherwise assist in the resolution of the dispute, because China says that it is bound not to provide that information because of Chinese domestic confidentiality assurances.</w:t>
      </w:r>
    </w:p>
    <w:p w14:paraId="0E942EC4" w14:textId="77777777" w:rsidR="00BD462C" w:rsidRDefault="00BD462C">
      <w:pPr>
        <w:pStyle w:val="BodyText"/>
        <w:spacing w:before="9"/>
        <w:rPr>
          <w:sz w:val="8"/>
        </w:rPr>
      </w:pPr>
    </w:p>
    <w:p w14:paraId="65D2CA2D" w14:textId="44E8B3FA" w:rsidR="00BD462C" w:rsidRDefault="00033D0F" w:rsidP="00C65BAF">
      <w:pPr>
        <w:pStyle w:val="BodyText"/>
        <w:numPr>
          <w:ilvl w:val="0"/>
          <w:numId w:val="68"/>
        </w:numPr>
        <w:spacing w:before="56" w:line="357" w:lineRule="auto"/>
        <w:ind w:right="913"/>
        <w:jc w:val="both"/>
      </w:pPr>
      <w:r>
        <w:rPr>
          <w:position w:val="1"/>
        </w:rPr>
        <w:t xml:space="preserve">These responses create difficulties for the Panel's work. Panels are reliant on the </w:t>
      </w:r>
      <w:r>
        <w:t>cooperation of the parties to ensure that the information essential to the discharge of their functions is made available to them. Where a party declines to provide information, that refusal is itself a fact the Panel should have regard to in assessing the evidence before it.</w:t>
      </w:r>
    </w:p>
    <w:p w14:paraId="62A30A4B" w14:textId="77777777" w:rsidR="00BD462C" w:rsidRDefault="00BD462C">
      <w:pPr>
        <w:pStyle w:val="BodyText"/>
        <w:rPr>
          <w:sz w:val="20"/>
        </w:rPr>
      </w:pPr>
    </w:p>
    <w:p w14:paraId="23CED94E" w14:textId="77777777" w:rsidR="00BD462C" w:rsidRDefault="00BD462C">
      <w:pPr>
        <w:pStyle w:val="BodyText"/>
        <w:rPr>
          <w:sz w:val="20"/>
        </w:rPr>
      </w:pPr>
    </w:p>
    <w:p w14:paraId="51735B0E" w14:textId="237ED137" w:rsidR="00BD462C" w:rsidRDefault="009A6330">
      <w:pPr>
        <w:pStyle w:val="BodyText"/>
        <w:rPr>
          <w:sz w:val="26"/>
        </w:rPr>
      </w:pPr>
      <w:r>
        <w:rPr>
          <w:noProof/>
        </w:rPr>
        <mc:AlternateContent>
          <mc:Choice Requires="wps">
            <w:drawing>
              <wp:anchor distT="0" distB="0" distL="0" distR="0" simplePos="0" relativeHeight="487965184" behindDoc="1" locked="0" layoutInCell="1" allowOverlap="1" wp14:anchorId="532CDD55" wp14:editId="7B33E21D">
                <wp:simplePos x="0" y="0"/>
                <wp:positionH relativeFrom="page">
                  <wp:posOffset>812800</wp:posOffset>
                </wp:positionH>
                <wp:positionV relativeFrom="paragraph">
                  <wp:posOffset>203835</wp:posOffset>
                </wp:positionV>
                <wp:extent cx="1828800" cy="8890"/>
                <wp:effectExtent l="0" t="0" r="0" b="0"/>
                <wp:wrapTopAndBottom/>
                <wp:docPr id="34" name="docshape7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8189E6" id="docshape712" o:spid="_x0000_s1026" alt="&quot;&quot;" style="position:absolute;margin-left:64pt;margin-top:16.05pt;width:2in;height:.7pt;z-index:-15351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" fillcolor="black" stroked="f">
                <w10:wrap type="topAndBottom" anchorx="page"/>
              </v:rect>
            </w:pict>
          </mc:Fallback>
        </mc:AlternateContent>
      </w:r>
    </w:p>
    <w:p w14:paraId="5178FA22" w14:textId="77777777" w:rsidR="00BD462C" w:rsidRDefault="00033D0F">
      <w:pPr>
        <w:spacing w:before="112"/>
        <w:ind w:left="136" w:right="909" w:hanging="1"/>
        <w:jc w:val="both"/>
        <w:rPr>
          <w:sz w:val="18"/>
        </w:rPr>
      </w:pPr>
      <w:bookmarkStart w:id="137" w:name="_bookmark116"/>
      <w:bookmarkEnd w:id="137"/>
      <w:r>
        <w:rPr>
          <w:position w:val="5"/>
          <w:sz w:val="12"/>
        </w:rPr>
        <w:t>87</w:t>
      </w:r>
      <w:r>
        <w:rPr>
          <w:spacing w:val="11"/>
          <w:position w:val="5"/>
          <w:sz w:val="12"/>
        </w:rPr>
        <w:t xml:space="preserve"> </w:t>
      </w:r>
      <w:r>
        <w:rPr>
          <w:sz w:val="18"/>
        </w:rPr>
        <w:t>See</w:t>
      </w:r>
      <w:r>
        <w:rPr>
          <w:spacing w:val="-3"/>
          <w:sz w:val="18"/>
        </w:rPr>
        <w:t xml:space="preserve"> </w:t>
      </w:r>
      <w:r>
        <w:rPr>
          <w:sz w:val="18"/>
        </w:rPr>
        <w:t>Appellate</w:t>
      </w:r>
      <w:r>
        <w:rPr>
          <w:spacing w:val="-8"/>
          <w:sz w:val="18"/>
        </w:rPr>
        <w:t xml:space="preserve"> </w:t>
      </w:r>
      <w:r>
        <w:rPr>
          <w:sz w:val="18"/>
        </w:rPr>
        <w:t>Body</w:t>
      </w:r>
      <w:r>
        <w:rPr>
          <w:spacing w:val="-5"/>
          <w:sz w:val="18"/>
        </w:rPr>
        <w:t xml:space="preserve"> </w:t>
      </w:r>
      <w:r>
        <w:rPr>
          <w:sz w:val="18"/>
        </w:rPr>
        <w:t>Reports,</w:t>
      </w:r>
      <w:r>
        <w:rPr>
          <w:spacing w:val="-2"/>
          <w:sz w:val="18"/>
        </w:rPr>
        <w:t xml:space="preserve"> </w:t>
      </w:r>
      <w:r>
        <w:rPr>
          <w:i/>
          <w:sz w:val="18"/>
        </w:rPr>
        <w:t>Argentina</w:t>
      </w:r>
      <w:r>
        <w:rPr>
          <w:i/>
          <w:spacing w:val="-1"/>
          <w:sz w:val="18"/>
        </w:rPr>
        <w:t xml:space="preserve"> </w:t>
      </w:r>
      <w:r>
        <w:rPr>
          <w:i/>
          <w:sz w:val="18"/>
        </w:rPr>
        <w:t>–</w:t>
      </w:r>
      <w:r>
        <w:rPr>
          <w:i/>
          <w:spacing w:val="-8"/>
          <w:sz w:val="18"/>
        </w:rPr>
        <w:t xml:space="preserve"> </w:t>
      </w:r>
      <w:r>
        <w:rPr>
          <w:i/>
          <w:sz w:val="18"/>
        </w:rPr>
        <w:t>Import</w:t>
      </w:r>
      <w:r>
        <w:rPr>
          <w:i/>
          <w:spacing w:val="-7"/>
          <w:sz w:val="18"/>
        </w:rPr>
        <w:t xml:space="preserve"> </w:t>
      </w:r>
      <w:r>
        <w:rPr>
          <w:i/>
          <w:sz w:val="18"/>
        </w:rPr>
        <w:t>Measures</w:t>
      </w:r>
      <w:r>
        <w:rPr>
          <w:sz w:val="18"/>
        </w:rPr>
        <w:t>,</w:t>
      </w:r>
      <w:r>
        <w:rPr>
          <w:spacing w:val="-6"/>
          <w:sz w:val="18"/>
        </w:rPr>
        <w:t xml:space="preserve"> </w:t>
      </w:r>
      <w:r>
        <w:rPr>
          <w:sz w:val="18"/>
        </w:rPr>
        <w:t>para.</w:t>
      </w:r>
      <w:r>
        <w:rPr>
          <w:spacing w:val="-2"/>
          <w:sz w:val="18"/>
        </w:rPr>
        <w:t xml:space="preserve"> </w:t>
      </w:r>
      <w:r>
        <w:rPr>
          <w:sz w:val="18"/>
        </w:rPr>
        <w:t>5.190;</w:t>
      </w:r>
      <w:r>
        <w:rPr>
          <w:spacing w:val="-4"/>
          <w:sz w:val="18"/>
        </w:rPr>
        <w:t xml:space="preserve"> </w:t>
      </w:r>
      <w:r>
        <w:rPr>
          <w:i/>
          <w:sz w:val="18"/>
        </w:rPr>
        <w:t>US</w:t>
      </w:r>
      <w:r>
        <w:rPr>
          <w:i/>
          <w:spacing w:val="-5"/>
          <w:sz w:val="18"/>
        </w:rPr>
        <w:t xml:space="preserve"> </w:t>
      </w:r>
      <w:r>
        <w:rPr>
          <w:i/>
          <w:sz w:val="18"/>
        </w:rPr>
        <w:t>—</w:t>
      </w:r>
      <w:r>
        <w:rPr>
          <w:i/>
          <w:spacing w:val="-6"/>
          <w:sz w:val="18"/>
        </w:rPr>
        <w:t xml:space="preserve"> </w:t>
      </w:r>
      <w:r>
        <w:rPr>
          <w:i/>
          <w:sz w:val="18"/>
        </w:rPr>
        <w:t>Gambling,</w:t>
      </w:r>
      <w:r>
        <w:rPr>
          <w:i/>
          <w:spacing w:val="-1"/>
          <w:sz w:val="18"/>
        </w:rPr>
        <w:t xml:space="preserve"> </w:t>
      </w:r>
      <w:r>
        <w:rPr>
          <w:sz w:val="18"/>
        </w:rPr>
        <w:t>para.</w:t>
      </w:r>
      <w:r>
        <w:rPr>
          <w:spacing w:val="-2"/>
          <w:sz w:val="18"/>
        </w:rPr>
        <w:t xml:space="preserve"> </w:t>
      </w:r>
      <w:r>
        <w:rPr>
          <w:sz w:val="18"/>
        </w:rPr>
        <w:t>344.;</w:t>
      </w:r>
      <w:r>
        <w:rPr>
          <w:spacing w:val="-5"/>
          <w:sz w:val="18"/>
        </w:rPr>
        <w:t xml:space="preserve"> </w:t>
      </w:r>
      <w:r>
        <w:rPr>
          <w:sz w:val="18"/>
        </w:rPr>
        <w:t>the</w:t>
      </w:r>
      <w:r>
        <w:rPr>
          <w:spacing w:val="-3"/>
          <w:sz w:val="18"/>
        </w:rPr>
        <w:t xml:space="preserve"> </w:t>
      </w:r>
      <w:r>
        <w:rPr>
          <w:sz w:val="18"/>
        </w:rPr>
        <w:t>former</w:t>
      </w:r>
      <w:r>
        <w:rPr>
          <w:spacing w:val="-5"/>
          <w:sz w:val="18"/>
        </w:rPr>
        <w:t xml:space="preserve"> </w:t>
      </w:r>
      <w:r>
        <w:rPr>
          <w:sz w:val="18"/>
        </w:rPr>
        <w:t>being</w:t>
      </w:r>
      <w:r>
        <w:rPr>
          <w:spacing w:val="-8"/>
          <w:sz w:val="18"/>
        </w:rPr>
        <w:t xml:space="preserve"> </w:t>
      </w:r>
      <w:r>
        <w:rPr>
          <w:sz w:val="18"/>
        </w:rPr>
        <w:t>cited and</w:t>
      </w:r>
      <w:r>
        <w:rPr>
          <w:spacing w:val="-3"/>
          <w:sz w:val="18"/>
        </w:rPr>
        <w:t xml:space="preserve"> </w:t>
      </w:r>
      <w:r>
        <w:rPr>
          <w:sz w:val="18"/>
        </w:rPr>
        <w:t>applied</w:t>
      </w:r>
      <w:r>
        <w:rPr>
          <w:spacing w:val="-3"/>
          <w:sz w:val="18"/>
        </w:rPr>
        <w:t xml:space="preserve"> </w:t>
      </w:r>
      <w:r>
        <w:rPr>
          <w:sz w:val="18"/>
        </w:rPr>
        <w:t>Panel</w:t>
      </w:r>
      <w:r>
        <w:rPr>
          <w:spacing w:val="-6"/>
          <w:sz w:val="18"/>
        </w:rPr>
        <w:t xml:space="preserve"> </w:t>
      </w:r>
      <w:r>
        <w:rPr>
          <w:sz w:val="18"/>
        </w:rPr>
        <w:t>Reports,</w:t>
      </w:r>
      <w:r>
        <w:rPr>
          <w:spacing w:val="-5"/>
          <w:sz w:val="18"/>
        </w:rPr>
        <w:t xml:space="preserve"> </w:t>
      </w:r>
      <w:r>
        <w:rPr>
          <w:i/>
          <w:sz w:val="18"/>
        </w:rPr>
        <w:t>Russia</w:t>
      </w:r>
      <w:r>
        <w:rPr>
          <w:i/>
          <w:spacing w:val="-5"/>
          <w:sz w:val="18"/>
        </w:rPr>
        <w:t xml:space="preserve"> </w:t>
      </w:r>
      <w:r>
        <w:rPr>
          <w:i/>
          <w:sz w:val="18"/>
        </w:rPr>
        <w:t>–</w:t>
      </w:r>
      <w:r>
        <w:rPr>
          <w:i/>
          <w:spacing w:val="-2"/>
          <w:sz w:val="18"/>
        </w:rPr>
        <w:t xml:space="preserve"> </w:t>
      </w:r>
      <w:r>
        <w:rPr>
          <w:i/>
          <w:sz w:val="18"/>
        </w:rPr>
        <w:t>Tariff</w:t>
      </w:r>
      <w:r>
        <w:rPr>
          <w:i/>
          <w:spacing w:val="-6"/>
          <w:sz w:val="18"/>
        </w:rPr>
        <w:t xml:space="preserve"> </w:t>
      </w:r>
      <w:r>
        <w:rPr>
          <w:i/>
          <w:sz w:val="18"/>
        </w:rPr>
        <w:t>Treatment</w:t>
      </w:r>
      <w:r>
        <w:rPr>
          <w:sz w:val="18"/>
        </w:rPr>
        <w:t>, para 7.65;</w:t>
      </w:r>
      <w:r>
        <w:rPr>
          <w:spacing w:val="-4"/>
          <w:sz w:val="18"/>
        </w:rPr>
        <w:t xml:space="preserve"> </w:t>
      </w:r>
      <w:r>
        <w:rPr>
          <w:i/>
          <w:sz w:val="18"/>
        </w:rPr>
        <w:t>Ukraine</w:t>
      </w:r>
      <w:r>
        <w:rPr>
          <w:i/>
          <w:spacing w:val="-3"/>
          <w:sz w:val="18"/>
        </w:rPr>
        <w:t xml:space="preserve"> </w:t>
      </w:r>
      <w:r>
        <w:rPr>
          <w:i/>
          <w:sz w:val="18"/>
        </w:rPr>
        <w:t>–</w:t>
      </w:r>
      <w:r>
        <w:rPr>
          <w:i/>
          <w:spacing w:val="-7"/>
          <w:sz w:val="18"/>
        </w:rPr>
        <w:t xml:space="preserve"> </w:t>
      </w:r>
      <w:r>
        <w:rPr>
          <w:i/>
          <w:sz w:val="18"/>
        </w:rPr>
        <w:t>Passenger</w:t>
      </w:r>
      <w:r>
        <w:rPr>
          <w:i/>
          <w:spacing w:val="-8"/>
          <w:sz w:val="18"/>
        </w:rPr>
        <w:t xml:space="preserve"> </w:t>
      </w:r>
      <w:r>
        <w:rPr>
          <w:i/>
          <w:sz w:val="18"/>
        </w:rPr>
        <w:t xml:space="preserve">Cars, </w:t>
      </w:r>
      <w:r>
        <w:rPr>
          <w:sz w:val="18"/>
        </w:rPr>
        <w:t>para</w:t>
      </w:r>
      <w:r>
        <w:rPr>
          <w:spacing w:val="-4"/>
          <w:sz w:val="18"/>
        </w:rPr>
        <w:t xml:space="preserve"> </w:t>
      </w:r>
      <w:r>
        <w:rPr>
          <w:sz w:val="18"/>
        </w:rPr>
        <w:t>7.20;</w:t>
      </w:r>
      <w:r>
        <w:rPr>
          <w:spacing w:val="-9"/>
          <w:sz w:val="18"/>
        </w:rPr>
        <w:t xml:space="preserve"> </w:t>
      </w:r>
      <w:r>
        <w:rPr>
          <w:i/>
          <w:sz w:val="18"/>
        </w:rPr>
        <w:t>Russia</w:t>
      </w:r>
      <w:r>
        <w:rPr>
          <w:i/>
          <w:spacing w:val="-1"/>
          <w:sz w:val="18"/>
        </w:rPr>
        <w:t xml:space="preserve"> </w:t>
      </w:r>
      <w:r>
        <w:rPr>
          <w:i/>
          <w:sz w:val="18"/>
        </w:rPr>
        <w:t>–</w:t>
      </w:r>
      <w:r>
        <w:rPr>
          <w:i/>
          <w:spacing w:val="-7"/>
          <w:sz w:val="18"/>
        </w:rPr>
        <w:t xml:space="preserve"> </w:t>
      </w:r>
      <w:r>
        <w:rPr>
          <w:i/>
          <w:sz w:val="18"/>
        </w:rPr>
        <w:t>Pigs</w:t>
      </w:r>
      <w:r>
        <w:rPr>
          <w:i/>
          <w:spacing w:val="-7"/>
          <w:sz w:val="18"/>
        </w:rPr>
        <w:t xml:space="preserve"> </w:t>
      </w:r>
      <w:r>
        <w:rPr>
          <w:i/>
          <w:sz w:val="18"/>
        </w:rPr>
        <w:t>(EU)</w:t>
      </w:r>
      <w:r>
        <w:rPr>
          <w:sz w:val="18"/>
        </w:rPr>
        <w:t>, para 7.1404;</w:t>
      </w:r>
      <w:r>
        <w:rPr>
          <w:spacing w:val="-5"/>
          <w:sz w:val="18"/>
        </w:rPr>
        <w:t xml:space="preserve"> </w:t>
      </w:r>
      <w:r>
        <w:rPr>
          <w:sz w:val="18"/>
        </w:rPr>
        <w:t>Appellate</w:t>
      </w:r>
      <w:r>
        <w:rPr>
          <w:spacing w:val="-8"/>
          <w:sz w:val="18"/>
        </w:rPr>
        <w:t xml:space="preserve"> </w:t>
      </w:r>
      <w:r>
        <w:rPr>
          <w:sz w:val="18"/>
        </w:rPr>
        <w:t>Body</w:t>
      </w:r>
      <w:r>
        <w:rPr>
          <w:spacing w:val="-10"/>
          <w:sz w:val="18"/>
        </w:rPr>
        <w:t xml:space="preserve"> </w:t>
      </w:r>
      <w:r>
        <w:rPr>
          <w:sz w:val="18"/>
        </w:rPr>
        <w:t>Reports,</w:t>
      </w:r>
      <w:r>
        <w:rPr>
          <w:spacing w:val="-6"/>
          <w:sz w:val="18"/>
        </w:rPr>
        <w:t xml:space="preserve"> </w:t>
      </w:r>
      <w:r>
        <w:rPr>
          <w:i/>
          <w:sz w:val="18"/>
        </w:rPr>
        <w:t>Brazil</w:t>
      </w:r>
      <w:r>
        <w:rPr>
          <w:i/>
          <w:spacing w:val="-7"/>
          <w:sz w:val="18"/>
        </w:rPr>
        <w:t xml:space="preserve"> </w:t>
      </w:r>
      <w:r>
        <w:rPr>
          <w:i/>
          <w:sz w:val="18"/>
        </w:rPr>
        <w:t>—</w:t>
      </w:r>
      <w:r>
        <w:rPr>
          <w:i/>
          <w:spacing w:val="-10"/>
          <w:sz w:val="18"/>
        </w:rPr>
        <w:t xml:space="preserve"> </w:t>
      </w:r>
      <w:r>
        <w:rPr>
          <w:i/>
          <w:sz w:val="18"/>
        </w:rPr>
        <w:t>Retreaded</w:t>
      </w:r>
      <w:r>
        <w:rPr>
          <w:i/>
          <w:spacing w:val="-6"/>
          <w:sz w:val="18"/>
        </w:rPr>
        <w:t xml:space="preserve"> </w:t>
      </w:r>
      <w:proofErr w:type="spellStart"/>
      <w:r>
        <w:rPr>
          <w:i/>
          <w:sz w:val="18"/>
        </w:rPr>
        <w:t>Tyres</w:t>
      </w:r>
      <w:proofErr w:type="spellEnd"/>
      <w:r>
        <w:rPr>
          <w:i/>
          <w:sz w:val="18"/>
        </w:rPr>
        <w:t>,</w:t>
      </w:r>
      <w:r>
        <w:rPr>
          <w:i/>
          <w:spacing w:val="-6"/>
          <w:sz w:val="18"/>
        </w:rPr>
        <w:t xml:space="preserve"> </w:t>
      </w:r>
      <w:r>
        <w:rPr>
          <w:sz w:val="18"/>
        </w:rPr>
        <w:t>para.</w:t>
      </w:r>
      <w:r>
        <w:rPr>
          <w:spacing w:val="-7"/>
          <w:sz w:val="18"/>
        </w:rPr>
        <w:t xml:space="preserve"> </w:t>
      </w:r>
      <w:r>
        <w:rPr>
          <w:sz w:val="18"/>
        </w:rPr>
        <w:t>257;</w:t>
      </w:r>
      <w:r>
        <w:rPr>
          <w:spacing w:val="-4"/>
          <w:sz w:val="18"/>
        </w:rPr>
        <w:t xml:space="preserve"> </w:t>
      </w:r>
      <w:r>
        <w:rPr>
          <w:i/>
          <w:sz w:val="18"/>
        </w:rPr>
        <w:t>Canada</w:t>
      </w:r>
      <w:r>
        <w:rPr>
          <w:i/>
          <w:spacing w:val="-2"/>
          <w:sz w:val="18"/>
        </w:rPr>
        <w:t xml:space="preserve"> </w:t>
      </w:r>
      <w:r>
        <w:rPr>
          <w:i/>
          <w:sz w:val="18"/>
        </w:rPr>
        <w:t>—</w:t>
      </w:r>
      <w:r>
        <w:rPr>
          <w:i/>
          <w:spacing w:val="-10"/>
          <w:sz w:val="18"/>
        </w:rPr>
        <w:t xml:space="preserve"> </w:t>
      </w:r>
      <w:r>
        <w:rPr>
          <w:i/>
          <w:sz w:val="18"/>
        </w:rPr>
        <w:t>Renewable</w:t>
      </w:r>
      <w:r>
        <w:rPr>
          <w:i/>
          <w:spacing w:val="-9"/>
          <w:sz w:val="18"/>
        </w:rPr>
        <w:t xml:space="preserve"> </w:t>
      </w:r>
      <w:r>
        <w:rPr>
          <w:i/>
          <w:sz w:val="18"/>
        </w:rPr>
        <w:t>Energy</w:t>
      </w:r>
      <w:r>
        <w:rPr>
          <w:i/>
          <w:spacing w:val="-9"/>
          <w:sz w:val="18"/>
        </w:rPr>
        <w:t xml:space="preserve"> </w:t>
      </w:r>
      <w:r>
        <w:rPr>
          <w:i/>
          <w:sz w:val="18"/>
        </w:rPr>
        <w:t>/</w:t>
      </w:r>
      <w:r>
        <w:rPr>
          <w:i/>
          <w:spacing w:val="-7"/>
          <w:sz w:val="18"/>
        </w:rPr>
        <w:t xml:space="preserve"> </w:t>
      </w:r>
      <w:r>
        <w:rPr>
          <w:i/>
          <w:sz w:val="18"/>
        </w:rPr>
        <w:t>Canada</w:t>
      </w:r>
      <w:r>
        <w:rPr>
          <w:i/>
          <w:spacing w:val="-6"/>
          <w:sz w:val="18"/>
        </w:rPr>
        <w:t xml:space="preserve"> </w:t>
      </w:r>
      <w:r>
        <w:rPr>
          <w:i/>
          <w:sz w:val="18"/>
        </w:rPr>
        <w:t>—</w:t>
      </w:r>
      <w:r>
        <w:rPr>
          <w:i/>
          <w:spacing w:val="-10"/>
          <w:sz w:val="18"/>
        </w:rPr>
        <w:t xml:space="preserve"> </w:t>
      </w:r>
      <w:r>
        <w:rPr>
          <w:i/>
          <w:sz w:val="18"/>
        </w:rPr>
        <w:t>Feed-in</w:t>
      </w:r>
      <w:r>
        <w:rPr>
          <w:i/>
          <w:spacing w:val="-6"/>
          <w:sz w:val="18"/>
        </w:rPr>
        <w:t xml:space="preserve"> </w:t>
      </w:r>
      <w:r>
        <w:rPr>
          <w:i/>
          <w:sz w:val="18"/>
        </w:rPr>
        <w:t xml:space="preserve">Tariff Program, </w:t>
      </w:r>
      <w:r>
        <w:rPr>
          <w:sz w:val="18"/>
        </w:rPr>
        <w:t>paras. 5.87, 5.92–5.93.</w:t>
      </w:r>
    </w:p>
    <w:p w14:paraId="2920C039" w14:textId="77777777" w:rsidR="00BD462C" w:rsidRDefault="00BD462C">
      <w:pPr>
        <w:jc w:val="both"/>
        <w:rPr>
          <w:sz w:val="18"/>
        </w:rPr>
        <w:sectPr w:rsidR="00BD462C">
          <w:pgSz w:w="11910" w:h="16840"/>
          <w:pgMar w:top="860" w:right="500" w:bottom="780" w:left="1280" w:header="566" w:footer="590" w:gutter="0"/>
          <w:cols w:space="720"/>
        </w:sectPr>
      </w:pPr>
    </w:p>
    <w:p w14:paraId="687B0453"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5261D824"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0EADBDD0"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3A579B25" w14:textId="45C16791" w:rsidR="00BD462C" w:rsidRDefault="00033D0F" w:rsidP="00C65BAF">
      <w:pPr>
        <w:pStyle w:val="BodyText"/>
        <w:numPr>
          <w:ilvl w:val="0"/>
          <w:numId w:val="68"/>
        </w:numPr>
        <w:spacing w:before="107" w:line="360" w:lineRule="auto"/>
        <w:ind w:right="913"/>
        <w:jc w:val="both"/>
      </w:pPr>
      <w:r>
        <w:rPr>
          <w:position w:val="1"/>
        </w:rPr>
        <w:t>In respect of each of questions 6, 14, 17, 25, 26; 28, 49, 51 and 77, the Panel</w:t>
      </w:r>
      <w:r>
        <w:rPr>
          <w:spacing w:val="80"/>
          <w:position w:val="1"/>
        </w:rPr>
        <w:t xml:space="preserve"> </w:t>
      </w:r>
      <w:r>
        <w:t>requested that China provide documents or information provided to MOFCOM in the course of MOFCOM's anti-dumping investigation. In each case, it is information that formed part of MOFCOM's investigation</w:t>
      </w:r>
      <w:r>
        <w:rPr>
          <w:spacing w:val="-1"/>
        </w:rPr>
        <w:t xml:space="preserve"> </w:t>
      </w:r>
      <w:r>
        <w:t>record. In</w:t>
      </w:r>
      <w:r>
        <w:rPr>
          <w:spacing w:val="-1"/>
        </w:rPr>
        <w:t xml:space="preserve"> </w:t>
      </w:r>
      <w:r>
        <w:t>its written</w:t>
      </w:r>
      <w:r>
        <w:rPr>
          <w:spacing w:val="-1"/>
        </w:rPr>
        <w:t xml:space="preserve"> </w:t>
      </w:r>
      <w:r>
        <w:t>response to</w:t>
      </w:r>
      <w:r>
        <w:rPr>
          <w:spacing w:val="-1"/>
        </w:rPr>
        <w:t xml:space="preserve"> </w:t>
      </w:r>
      <w:r>
        <w:t>these questions China declined</w:t>
      </w:r>
      <w:r>
        <w:rPr>
          <w:spacing w:val="-1"/>
        </w:rPr>
        <w:t xml:space="preserve"> </w:t>
      </w:r>
      <w:r>
        <w:t>to provide the information because it considers that MOFCOM is constrained by confidentiality obligations</w:t>
      </w:r>
      <w:r>
        <w:rPr>
          <w:spacing w:val="-5"/>
        </w:rPr>
        <w:t xml:space="preserve"> </w:t>
      </w:r>
      <w:r>
        <w:t>owed</w:t>
      </w:r>
      <w:r>
        <w:rPr>
          <w:spacing w:val="-8"/>
        </w:rPr>
        <w:t xml:space="preserve"> </w:t>
      </w:r>
      <w:r>
        <w:t>to</w:t>
      </w:r>
      <w:r>
        <w:rPr>
          <w:spacing w:val="-4"/>
        </w:rPr>
        <w:t xml:space="preserve"> </w:t>
      </w:r>
      <w:r>
        <w:t>the</w:t>
      </w:r>
      <w:r>
        <w:rPr>
          <w:spacing w:val="-2"/>
        </w:rPr>
        <w:t xml:space="preserve"> </w:t>
      </w:r>
      <w:r>
        <w:t>relevant</w:t>
      </w:r>
      <w:r>
        <w:rPr>
          <w:spacing w:val="-6"/>
        </w:rPr>
        <w:t xml:space="preserve"> </w:t>
      </w:r>
      <w:r>
        <w:t>entities</w:t>
      </w:r>
      <w:r>
        <w:rPr>
          <w:spacing w:val="-5"/>
        </w:rPr>
        <w:t xml:space="preserve"> </w:t>
      </w:r>
      <w:r>
        <w:t>under</w:t>
      </w:r>
      <w:r>
        <w:rPr>
          <w:spacing w:val="-9"/>
        </w:rPr>
        <w:t xml:space="preserve"> </w:t>
      </w:r>
      <w:r>
        <w:t>Chinese</w:t>
      </w:r>
      <w:r>
        <w:rPr>
          <w:spacing w:val="-6"/>
        </w:rPr>
        <w:t xml:space="preserve"> </w:t>
      </w:r>
      <w:r>
        <w:t>domestic</w:t>
      </w:r>
      <w:r>
        <w:rPr>
          <w:spacing w:val="-7"/>
        </w:rPr>
        <w:t xml:space="preserve"> </w:t>
      </w:r>
      <w:r>
        <w:t>law</w:t>
      </w:r>
      <w:r>
        <w:rPr>
          <w:spacing w:val="-6"/>
        </w:rPr>
        <w:t xml:space="preserve"> </w:t>
      </w:r>
      <w:r>
        <w:t>that</w:t>
      </w:r>
      <w:r>
        <w:rPr>
          <w:spacing w:val="-6"/>
        </w:rPr>
        <w:t xml:space="preserve"> </w:t>
      </w:r>
      <w:r>
        <w:t>arose</w:t>
      </w:r>
      <w:r>
        <w:rPr>
          <w:spacing w:val="-6"/>
        </w:rPr>
        <w:t xml:space="preserve"> </w:t>
      </w:r>
      <w:r>
        <w:t>as a</w:t>
      </w:r>
      <w:r>
        <w:rPr>
          <w:spacing w:val="-2"/>
        </w:rPr>
        <w:t xml:space="preserve"> </w:t>
      </w:r>
      <w:r>
        <w:t>result</w:t>
      </w:r>
      <w:r>
        <w:rPr>
          <w:spacing w:val="-6"/>
        </w:rPr>
        <w:t xml:space="preserve"> </w:t>
      </w:r>
      <w:r>
        <w:t>of MOFCOM's dealings with those entities.</w:t>
      </w:r>
      <w:hyperlink w:anchor="_bookmark117" w:history="1">
        <w:r>
          <w:rPr>
            <w:vertAlign w:val="superscript"/>
          </w:rPr>
          <w:t>88</w:t>
        </w:r>
      </w:hyperlink>
    </w:p>
    <w:p w14:paraId="4DE7B853" w14:textId="77777777" w:rsidR="00BD462C" w:rsidRDefault="00BD462C">
      <w:pPr>
        <w:pStyle w:val="BodyText"/>
        <w:spacing w:before="5"/>
        <w:rPr>
          <w:sz w:val="8"/>
        </w:rPr>
      </w:pPr>
    </w:p>
    <w:p w14:paraId="4D9738D8" w14:textId="740FB974" w:rsidR="00BD462C" w:rsidRDefault="00033D0F" w:rsidP="00C65BAF">
      <w:pPr>
        <w:pStyle w:val="BodyText"/>
        <w:numPr>
          <w:ilvl w:val="0"/>
          <w:numId w:val="68"/>
        </w:numPr>
        <w:spacing w:before="56" w:line="360" w:lineRule="auto"/>
        <w:ind w:right="915"/>
        <w:jc w:val="both"/>
      </w:pPr>
      <w:r>
        <w:rPr>
          <w:position w:val="1"/>
        </w:rPr>
        <w:t>Australia recalls that Article 17.5(ii) of the Anti-Dumping Agreement requires that</w:t>
      </w:r>
      <w:r>
        <w:rPr>
          <w:spacing w:val="80"/>
          <w:position w:val="1"/>
        </w:rPr>
        <w:t xml:space="preserve"> </w:t>
      </w:r>
      <w:r>
        <w:t>the Panel examine this matter in light of the facts made available to the investigating authority.</w:t>
      </w:r>
      <w:r>
        <w:rPr>
          <w:spacing w:val="-2"/>
        </w:rPr>
        <w:t xml:space="preserve"> </w:t>
      </w:r>
      <w:r>
        <w:t>Article</w:t>
      </w:r>
      <w:r>
        <w:rPr>
          <w:spacing w:val="-4"/>
        </w:rPr>
        <w:t xml:space="preserve"> </w:t>
      </w:r>
      <w:r>
        <w:t>17.6(i)</w:t>
      </w:r>
      <w:r>
        <w:rPr>
          <w:spacing w:val="-5"/>
        </w:rPr>
        <w:t xml:space="preserve"> </w:t>
      </w:r>
      <w:r>
        <w:t>requires</w:t>
      </w:r>
      <w:r>
        <w:rPr>
          <w:spacing w:val="-2"/>
        </w:rPr>
        <w:t xml:space="preserve"> </w:t>
      </w:r>
      <w:r>
        <w:t>that</w:t>
      </w:r>
      <w:r>
        <w:rPr>
          <w:spacing w:val="-3"/>
        </w:rPr>
        <w:t xml:space="preserve"> </w:t>
      </w:r>
      <w:r>
        <w:t>the</w:t>
      </w:r>
      <w:r>
        <w:rPr>
          <w:spacing w:val="-4"/>
        </w:rPr>
        <w:t xml:space="preserve"> </w:t>
      </w:r>
      <w:r>
        <w:t>Panel</w:t>
      </w:r>
      <w:r>
        <w:rPr>
          <w:spacing w:val="-1"/>
        </w:rPr>
        <w:t xml:space="preserve"> </w:t>
      </w:r>
      <w:r>
        <w:t>assess</w:t>
      </w:r>
      <w:r>
        <w:rPr>
          <w:spacing w:val="-7"/>
        </w:rPr>
        <w:t xml:space="preserve"> </w:t>
      </w:r>
      <w:r>
        <w:t>the</w:t>
      </w:r>
      <w:r>
        <w:rPr>
          <w:spacing w:val="-4"/>
        </w:rPr>
        <w:t xml:space="preserve"> </w:t>
      </w:r>
      <w:r>
        <w:t>facts</w:t>
      </w:r>
      <w:r>
        <w:rPr>
          <w:spacing w:val="-2"/>
        </w:rPr>
        <w:t xml:space="preserve"> </w:t>
      </w:r>
      <w:r>
        <w:t>of</w:t>
      </w:r>
      <w:r>
        <w:rPr>
          <w:spacing w:val="-5"/>
        </w:rPr>
        <w:t xml:space="preserve"> </w:t>
      </w:r>
      <w:r>
        <w:t>the</w:t>
      </w:r>
      <w:r>
        <w:rPr>
          <w:spacing w:val="-4"/>
        </w:rPr>
        <w:t xml:space="preserve"> </w:t>
      </w:r>
      <w:r>
        <w:t>matter</w:t>
      </w:r>
      <w:r>
        <w:rPr>
          <w:spacing w:val="-6"/>
        </w:rPr>
        <w:t xml:space="preserve"> </w:t>
      </w:r>
      <w:r>
        <w:t>by</w:t>
      </w:r>
      <w:r>
        <w:rPr>
          <w:spacing w:val="-2"/>
        </w:rPr>
        <w:t xml:space="preserve"> </w:t>
      </w:r>
      <w:r>
        <w:t>determining whether</w:t>
      </w:r>
      <w:r>
        <w:rPr>
          <w:spacing w:val="-14"/>
        </w:rPr>
        <w:t xml:space="preserve"> </w:t>
      </w:r>
      <w:r>
        <w:t>the</w:t>
      </w:r>
      <w:r>
        <w:rPr>
          <w:spacing w:val="-9"/>
        </w:rPr>
        <w:t xml:space="preserve"> </w:t>
      </w:r>
      <w:r>
        <w:t>investigating</w:t>
      </w:r>
      <w:r>
        <w:rPr>
          <w:spacing w:val="-11"/>
        </w:rPr>
        <w:t xml:space="preserve"> </w:t>
      </w:r>
      <w:r>
        <w:t>authorities'</w:t>
      </w:r>
      <w:r>
        <w:rPr>
          <w:spacing w:val="-13"/>
        </w:rPr>
        <w:t xml:space="preserve"> </w:t>
      </w:r>
      <w:r>
        <w:t>establishment</w:t>
      </w:r>
      <w:r>
        <w:rPr>
          <w:spacing w:val="-12"/>
        </w:rPr>
        <w:t xml:space="preserve"> </w:t>
      </w:r>
      <w:r>
        <w:t>of</w:t>
      </w:r>
      <w:r>
        <w:rPr>
          <w:spacing w:val="-10"/>
        </w:rPr>
        <w:t xml:space="preserve"> </w:t>
      </w:r>
      <w:r>
        <w:t>the</w:t>
      </w:r>
      <w:r>
        <w:rPr>
          <w:spacing w:val="-8"/>
        </w:rPr>
        <w:t xml:space="preserve"> </w:t>
      </w:r>
      <w:r>
        <w:t>facts</w:t>
      </w:r>
      <w:r>
        <w:rPr>
          <w:spacing w:val="-11"/>
        </w:rPr>
        <w:t xml:space="preserve"> </w:t>
      </w:r>
      <w:r>
        <w:t>was</w:t>
      </w:r>
      <w:r>
        <w:rPr>
          <w:spacing w:val="-7"/>
        </w:rPr>
        <w:t xml:space="preserve"> </w:t>
      </w:r>
      <w:r>
        <w:t>proper,</w:t>
      </w:r>
      <w:r>
        <w:rPr>
          <w:spacing w:val="-11"/>
        </w:rPr>
        <w:t xml:space="preserve"> </w:t>
      </w:r>
      <w:r>
        <w:t>and</w:t>
      </w:r>
      <w:r>
        <w:rPr>
          <w:spacing w:val="-10"/>
        </w:rPr>
        <w:t xml:space="preserve"> </w:t>
      </w:r>
      <w:r>
        <w:t>whether</w:t>
      </w:r>
      <w:r>
        <w:rPr>
          <w:spacing w:val="-11"/>
        </w:rPr>
        <w:t xml:space="preserve"> </w:t>
      </w:r>
      <w:r>
        <w:t>the evaluation of those facts was unbiased and objective. The necessary consequence of these requirements is that the Panel should be provided with all relevant information and documents that formed part of the record of the investigating authority. Without such information and documents the Panel is impeded in conducting the assessment required by Article 17.</w:t>
      </w:r>
    </w:p>
    <w:p w14:paraId="3D6C9780" w14:textId="77777777" w:rsidR="00BD462C" w:rsidRDefault="00BD462C">
      <w:pPr>
        <w:pStyle w:val="BodyText"/>
        <w:spacing w:before="5"/>
        <w:rPr>
          <w:sz w:val="8"/>
        </w:rPr>
      </w:pPr>
    </w:p>
    <w:p w14:paraId="09FCEBF6" w14:textId="699E1E3C" w:rsidR="00BD462C" w:rsidRDefault="00033D0F" w:rsidP="00C65BAF">
      <w:pPr>
        <w:pStyle w:val="BodyText"/>
        <w:numPr>
          <w:ilvl w:val="0"/>
          <w:numId w:val="68"/>
        </w:numPr>
        <w:spacing w:before="56" w:line="360" w:lineRule="auto"/>
        <w:ind w:right="917"/>
        <w:jc w:val="both"/>
      </w:pPr>
      <w:r>
        <w:rPr>
          <w:position w:val="1"/>
        </w:rPr>
        <w:t xml:space="preserve">Australia further recalls that where the Panel has made a request for information, </w:t>
      </w:r>
      <w:r>
        <w:t>China</w:t>
      </w:r>
      <w:r>
        <w:rPr>
          <w:spacing w:val="-7"/>
        </w:rPr>
        <w:t xml:space="preserve"> </w:t>
      </w:r>
      <w:r>
        <w:t>has</w:t>
      </w:r>
      <w:r>
        <w:rPr>
          <w:spacing w:val="-5"/>
        </w:rPr>
        <w:t xml:space="preserve"> </w:t>
      </w:r>
      <w:r>
        <w:t>a</w:t>
      </w:r>
      <w:r>
        <w:rPr>
          <w:spacing w:val="-6"/>
        </w:rPr>
        <w:t xml:space="preserve"> </w:t>
      </w:r>
      <w:r>
        <w:t>"duty</w:t>
      </w:r>
      <w:r>
        <w:rPr>
          <w:spacing w:val="-5"/>
        </w:rPr>
        <w:t xml:space="preserve"> </w:t>
      </w:r>
      <w:r>
        <w:t>and</w:t>
      </w:r>
      <w:r>
        <w:rPr>
          <w:spacing w:val="-3"/>
        </w:rPr>
        <w:t xml:space="preserve"> </w:t>
      </w:r>
      <w:r>
        <w:t>an</w:t>
      </w:r>
      <w:r>
        <w:rPr>
          <w:spacing w:val="-3"/>
        </w:rPr>
        <w:t xml:space="preserve"> </w:t>
      </w:r>
      <w:r>
        <w:t>obligation"</w:t>
      </w:r>
      <w:hyperlink w:anchor="_bookmark118" w:history="1">
        <w:r>
          <w:rPr>
            <w:vertAlign w:val="superscript"/>
          </w:rPr>
          <w:t>89</w:t>
        </w:r>
      </w:hyperlink>
      <w:r>
        <w:rPr>
          <w:spacing w:val="-5"/>
        </w:rPr>
        <w:t xml:space="preserve"> </w:t>
      </w:r>
      <w:r>
        <w:t>under</w:t>
      </w:r>
      <w:r>
        <w:rPr>
          <w:spacing w:val="-4"/>
        </w:rPr>
        <w:t xml:space="preserve"> </w:t>
      </w:r>
      <w:r>
        <w:t>Article</w:t>
      </w:r>
      <w:r>
        <w:rPr>
          <w:spacing w:val="-6"/>
        </w:rPr>
        <w:t xml:space="preserve"> </w:t>
      </w:r>
      <w:r>
        <w:t>13.1</w:t>
      </w:r>
      <w:r>
        <w:rPr>
          <w:spacing w:val="-4"/>
        </w:rPr>
        <w:t xml:space="preserve"> </w:t>
      </w:r>
      <w:r>
        <w:t>of</w:t>
      </w:r>
      <w:r>
        <w:rPr>
          <w:spacing w:val="-3"/>
        </w:rPr>
        <w:t xml:space="preserve"> </w:t>
      </w:r>
      <w:r>
        <w:t>the</w:t>
      </w:r>
      <w:r>
        <w:rPr>
          <w:spacing w:val="-2"/>
        </w:rPr>
        <w:t xml:space="preserve"> </w:t>
      </w:r>
      <w:r>
        <w:t>DSU</w:t>
      </w:r>
      <w:r>
        <w:rPr>
          <w:spacing w:val="-7"/>
        </w:rPr>
        <w:t xml:space="preserve"> </w:t>
      </w:r>
      <w:r>
        <w:t>to</w:t>
      </w:r>
      <w:r>
        <w:rPr>
          <w:spacing w:val="-4"/>
        </w:rPr>
        <w:t xml:space="preserve"> </w:t>
      </w:r>
      <w:r>
        <w:t>respond</w:t>
      </w:r>
      <w:r>
        <w:rPr>
          <w:spacing w:val="-3"/>
        </w:rPr>
        <w:t xml:space="preserve"> </w:t>
      </w:r>
      <w:r>
        <w:t>promptly</w:t>
      </w:r>
      <w:r>
        <w:rPr>
          <w:spacing w:val="-5"/>
        </w:rPr>
        <w:t xml:space="preserve"> </w:t>
      </w:r>
      <w:r>
        <w:t>and fully to such a request. It is apparent that MOFCOM holds the requested documents and information.</w:t>
      </w:r>
      <w:r>
        <w:rPr>
          <w:spacing w:val="-2"/>
        </w:rPr>
        <w:t xml:space="preserve"> </w:t>
      </w:r>
      <w:r>
        <w:t>China</w:t>
      </w:r>
      <w:r>
        <w:rPr>
          <w:spacing w:val="-4"/>
        </w:rPr>
        <w:t xml:space="preserve"> </w:t>
      </w:r>
      <w:r>
        <w:t>is</w:t>
      </w:r>
      <w:r>
        <w:rPr>
          <w:spacing w:val="-2"/>
        </w:rPr>
        <w:t xml:space="preserve"> </w:t>
      </w:r>
      <w:r>
        <w:t>under</w:t>
      </w:r>
      <w:r>
        <w:rPr>
          <w:spacing w:val="-6"/>
        </w:rPr>
        <w:t xml:space="preserve"> </w:t>
      </w:r>
      <w:r>
        <w:t>an</w:t>
      </w:r>
      <w:r>
        <w:rPr>
          <w:spacing w:val="-5"/>
        </w:rPr>
        <w:t xml:space="preserve"> </w:t>
      </w:r>
      <w:r>
        <w:t>obligation</w:t>
      </w:r>
      <w:r>
        <w:rPr>
          <w:spacing w:val="-5"/>
        </w:rPr>
        <w:t xml:space="preserve"> </w:t>
      </w:r>
      <w:r>
        <w:t>to</w:t>
      </w:r>
      <w:r>
        <w:rPr>
          <w:spacing w:val="-6"/>
        </w:rPr>
        <w:t xml:space="preserve"> </w:t>
      </w:r>
      <w:r>
        <w:t>take</w:t>
      </w:r>
      <w:r>
        <w:rPr>
          <w:spacing w:val="-3"/>
        </w:rPr>
        <w:t xml:space="preserve"> </w:t>
      </w:r>
      <w:r>
        <w:t>such</w:t>
      </w:r>
      <w:r>
        <w:rPr>
          <w:spacing w:val="-5"/>
        </w:rPr>
        <w:t xml:space="preserve"> </w:t>
      </w:r>
      <w:r>
        <w:t>steps</w:t>
      </w:r>
      <w:r>
        <w:rPr>
          <w:spacing w:val="-2"/>
        </w:rPr>
        <w:t xml:space="preserve"> </w:t>
      </w:r>
      <w:r>
        <w:t>as</w:t>
      </w:r>
      <w:r>
        <w:rPr>
          <w:spacing w:val="-2"/>
        </w:rPr>
        <w:t xml:space="preserve"> </w:t>
      </w:r>
      <w:r>
        <w:t>are</w:t>
      </w:r>
      <w:r>
        <w:rPr>
          <w:spacing w:val="-3"/>
        </w:rPr>
        <w:t xml:space="preserve"> </w:t>
      </w:r>
      <w:r>
        <w:t>necessary</w:t>
      </w:r>
      <w:r>
        <w:rPr>
          <w:spacing w:val="-2"/>
        </w:rPr>
        <w:t xml:space="preserve"> </w:t>
      </w:r>
      <w:r>
        <w:t>for</w:t>
      </w:r>
      <w:r>
        <w:rPr>
          <w:spacing w:val="-6"/>
        </w:rPr>
        <w:t xml:space="preserve"> </w:t>
      </w:r>
      <w:r>
        <w:t>it</w:t>
      </w:r>
      <w:r>
        <w:rPr>
          <w:spacing w:val="-3"/>
        </w:rPr>
        <w:t xml:space="preserve"> </w:t>
      </w:r>
      <w:r>
        <w:t>to</w:t>
      </w:r>
      <w:r>
        <w:rPr>
          <w:spacing w:val="-6"/>
        </w:rPr>
        <w:t xml:space="preserve"> </w:t>
      </w:r>
      <w:r>
        <w:t>respond promptly and fully to the Panel's request. If it is</w:t>
      </w:r>
      <w:r>
        <w:rPr>
          <w:spacing w:val="-1"/>
        </w:rPr>
        <w:t xml:space="preserve"> </w:t>
      </w:r>
      <w:r>
        <w:t>the case that domestic Chinese law, and / or promises made by MOFCOM during the investigation, have created a situation where China faces</w:t>
      </w:r>
      <w:r>
        <w:rPr>
          <w:spacing w:val="-2"/>
        </w:rPr>
        <w:t xml:space="preserve"> </w:t>
      </w:r>
      <w:r>
        <w:t>some</w:t>
      </w:r>
      <w:r>
        <w:rPr>
          <w:spacing w:val="-3"/>
        </w:rPr>
        <w:t xml:space="preserve"> </w:t>
      </w:r>
      <w:r>
        <w:t>constraint</w:t>
      </w:r>
      <w:r>
        <w:rPr>
          <w:spacing w:val="-8"/>
        </w:rPr>
        <w:t xml:space="preserve"> </w:t>
      </w:r>
      <w:r>
        <w:t>in</w:t>
      </w:r>
      <w:r>
        <w:rPr>
          <w:spacing w:val="-5"/>
        </w:rPr>
        <w:t xml:space="preserve"> </w:t>
      </w:r>
      <w:r>
        <w:t>providing</w:t>
      </w:r>
      <w:r>
        <w:rPr>
          <w:spacing w:val="-2"/>
        </w:rPr>
        <w:t xml:space="preserve"> </w:t>
      </w:r>
      <w:r>
        <w:t>the</w:t>
      </w:r>
      <w:r>
        <w:rPr>
          <w:spacing w:val="-4"/>
        </w:rPr>
        <w:t xml:space="preserve"> </w:t>
      </w:r>
      <w:r>
        <w:t>requested</w:t>
      </w:r>
      <w:r>
        <w:rPr>
          <w:spacing w:val="-10"/>
        </w:rPr>
        <w:t xml:space="preserve"> </w:t>
      </w:r>
      <w:r>
        <w:t>information</w:t>
      </w:r>
      <w:r>
        <w:rPr>
          <w:spacing w:val="-5"/>
        </w:rPr>
        <w:t xml:space="preserve"> </w:t>
      </w:r>
      <w:r>
        <w:t>to</w:t>
      </w:r>
      <w:r>
        <w:rPr>
          <w:spacing w:val="-6"/>
        </w:rPr>
        <w:t xml:space="preserve"> </w:t>
      </w:r>
      <w:r>
        <w:t>the</w:t>
      </w:r>
      <w:r>
        <w:rPr>
          <w:spacing w:val="-4"/>
        </w:rPr>
        <w:t xml:space="preserve"> </w:t>
      </w:r>
      <w:r>
        <w:t>Panel,</w:t>
      </w:r>
      <w:r>
        <w:rPr>
          <w:spacing w:val="-1"/>
        </w:rPr>
        <w:t xml:space="preserve"> </w:t>
      </w:r>
      <w:r>
        <w:t>then</w:t>
      </w:r>
      <w:r>
        <w:rPr>
          <w:spacing w:val="-5"/>
        </w:rPr>
        <w:t xml:space="preserve"> </w:t>
      </w:r>
      <w:r>
        <w:t>China</w:t>
      </w:r>
      <w:r>
        <w:rPr>
          <w:spacing w:val="-9"/>
        </w:rPr>
        <w:t xml:space="preserve"> </w:t>
      </w:r>
      <w:r>
        <w:t>should have taken such steps as were necessary to remove that constraint.</w:t>
      </w:r>
    </w:p>
    <w:p w14:paraId="46F4E368" w14:textId="77777777" w:rsidR="00BD462C" w:rsidRDefault="00BD462C">
      <w:pPr>
        <w:pStyle w:val="BodyText"/>
        <w:spacing w:before="7"/>
        <w:rPr>
          <w:sz w:val="8"/>
        </w:rPr>
      </w:pPr>
    </w:p>
    <w:p w14:paraId="3BC4D89C" w14:textId="2270A8D9" w:rsidR="00BD462C" w:rsidRDefault="00033D0F" w:rsidP="00224967">
      <w:pPr>
        <w:pStyle w:val="BodyText"/>
        <w:numPr>
          <w:ilvl w:val="0"/>
          <w:numId w:val="68"/>
        </w:numPr>
        <w:spacing w:before="57" w:line="355" w:lineRule="auto"/>
        <w:ind w:right="923"/>
      </w:pPr>
      <w:r>
        <w:rPr>
          <w:position w:val="1"/>
        </w:rPr>
        <w:t xml:space="preserve">At least in some instances, it is not apparent that China has taken </w:t>
      </w:r>
      <w:r>
        <w:rPr>
          <w:i/>
          <w:position w:val="1"/>
        </w:rPr>
        <w:t xml:space="preserve">any </w:t>
      </w:r>
      <w:r>
        <w:rPr>
          <w:position w:val="1"/>
        </w:rPr>
        <w:t xml:space="preserve">steps to seek </w:t>
      </w:r>
      <w:r>
        <w:t>the consent of the entities to provide the requested information to the Panel.</w:t>
      </w:r>
      <w:r>
        <w:rPr>
          <w:spacing w:val="-28"/>
        </w:rPr>
        <w:t xml:space="preserve"> </w:t>
      </w:r>
      <w:hyperlink w:anchor="_bookmark119" w:history="1">
        <w:r>
          <w:rPr>
            <w:vertAlign w:val="superscript"/>
          </w:rPr>
          <w:t>90</w:t>
        </w:r>
      </w:hyperlink>
    </w:p>
    <w:p w14:paraId="09B6AB9F" w14:textId="77777777" w:rsidR="00BD462C" w:rsidRDefault="00BD462C">
      <w:pPr>
        <w:pStyle w:val="BodyText"/>
        <w:rPr>
          <w:sz w:val="20"/>
        </w:rPr>
      </w:pPr>
    </w:p>
    <w:p w14:paraId="3FE2A929" w14:textId="67BA57A2" w:rsidR="00BD462C" w:rsidRDefault="009A6330">
      <w:pPr>
        <w:pStyle w:val="BodyText"/>
        <w:spacing w:before="9"/>
        <w:rPr>
          <w:sz w:val="26"/>
        </w:rPr>
      </w:pPr>
      <w:r>
        <w:rPr>
          <w:noProof/>
        </w:rPr>
        <mc:AlternateContent>
          <mc:Choice Requires="wps">
            <w:drawing>
              <wp:anchor distT="0" distB="0" distL="0" distR="0" simplePos="0" relativeHeight="487967232" behindDoc="1" locked="0" layoutInCell="1" allowOverlap="1" wp14:anchorId="72C0D5EA" wp14:editId="6ADB59B5">
                <wp:simplePos x="0" y="0"/>
                <wp:positionH relativeFrom="page">
                  <wp:posOffset>812800</wp:posOffset>
                </wp:positionH>
                <wp:positionV relativeFrom="paragraph">
                  <wp:posOffset>210820</wp:posOffset>
                </wp:positionV>
                <wp:extent cx="1828800" cy="8890"/>
                <wp:effectExtent l="0" t="0" r="0" b="0"/>
                <wp:wrapTopAndBottom/>
                <wp:docPr id="36" name="docshape7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8EF20C" id="docshape712" o:spid="_x0000_s1026" alt="&quot;&quot;" style="position:absolute;margin-left:64pt;margin-top:16.6pt;width:2in;height:.7pt;z-index:-15349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" fillcolor="black" stroked="f">
                <w10:wrap type="topAndBottom" anchorx="page"/>
              </v:rect>
            </w:pict>
          </mc:Fallback>
        </mc:AlternateContent>
      </w:r>
    </w:p>
    <w:p w14:paraId="75805EC9" w14:textId="77777777" w:rsidR="00BD462C" w:rsidRDefault="00033D0F">
      <w:pPr>
        <w:spacing w:before="107"/>
        <w:ind w:left="135"/>
        <w:rPr>
          <w:sz w:val="18"/>
        </w:rPr>
      </w:pPr>
      <w:bookmarkStart w:id="138" w:name="_bookmark117"/>
      <w:bookmarkEnd w:id="138"/>
      <w:r>
        <w:rPr>
          <w:position w:val="5"/>
          <w:sz w:val="12"/>
        </w:rPr>
        <w:t>88</w:t>
      </w:r>
      <w:r>
        <w:rPr>
          <w:spacing w:val="4"/>
          <w:position w:val="5"/>
          <w:sz w:val="12"/>
        </w:rPr>
        <w:t xml:space="preserve"> </w:t>
      </w:r>
      <w:r>
        <w:rPr>
          <w:sz w:val="18"/>
        </w:rPr>
        <w:t>China's</w:t>
      </w:r>
      <w:r>
        <w:rPr>
          <w:spacing w:val="-5"/>
          <w:sz w:val="18"/>
        </w:rPr>
        <w:t xml:space="preserve"> </w:t>
      </w:r>
      <w:r>
        <w:rPr>
          <w:sz w:val="18"/>
        </w:rPr>
        <w:t>response</w:t>
      </w:r>
      <w:r>
        <w:rPr>
          <w:spacing w:val="-10"/>
          <w:sz w:val="18"/>
        </w:rPr>
        <w:t xml:space="preserve"> </w:t>
      </w:r>
      <w:r>
        <w:rPr>
          <w:sz w:val="18"/>
        </w:rPr>
        <w:t>to</w:t>
      </w:r>
      <w:r>
        <w:rPr>
          <w:spacing w:val="-10"/>
          <w:sz w:val="18"/>
        </w:rPr>
        <w:t xml:space="preserve"> </w:t>
      </w:r>
      <w:r>
        <w:rPr>
          <w:sz w:val="18"/>
        </w:rPr>
        <w:t>Panel</w:t>
      </w:r>
      <w:r>
        <w:rPr>
          <w:spacing w:val="-9"/>
          <w:sz w:val="18"/>
        </w:rPr>
        <w:t xml:space="preserve"> </w:t>
      </w:r>
      <w:r>
        <w:rPr>
          <w:sz w:val="18"/>
        </w:rPr>
        <w:t>questions</w:t>
      </w:r>
      <w:r>
        <w:rPr>
          <w:spacing w:val="-10"/>
          <w:sz w:val="18"/>
        </w:rPr>
        <w:t xml:space="preserve"> </w:t>
      </w:r>
      <w:r>
        <w:rPr>
          <w:sz w:val="18"/>
        </w:rPr>
        <w:t>No.</w:t>
      </w:r>
      <w:r>
        <w:rPr>
          <w:spacing w:val="-9"/>
          <w:sz w:val="18"/>
        </w:rPr>
        <w:t xml:space="preserve"> </w:t>
      </w:r>
      <w:r>
        <w:rPr>
          <w:sz w:val="18"/>
        </w:rPr>
        <w:t>6,</w:t>
      </w:r>
      <w:r>
        <w:rPr>
          <w:spacing w:val="-8"/>
          <w:sz w:val="18"/>
        </w:rPr>
        <w:t xml:space="preserve"> </w:t>
      </w:r>
      <w:r>
        <w:rPr>
          <w:sz w:val="18"/>
        </w:rPr>
        <w:t>para.</w:t>
      </w:r>
      <w:r>
        <w:rPr>
          <w:spacing w:val="-9"/>
          <w:sz w:val="18"/>
        </w:rPr>
        <w:t xml:space="preserve"> </w:t>
      </w:r>
      <w:r>
        <w:rPr>
          <w:sz w:val="18"/>
        </w:rPr>
        <w:t>25;</w:t>
      </w:r>
      <w:r>
        <w:rPr>
          <w:spacing w:val="-11"/>
          <w:sz w:val="18"/>
        </w:rPr>
        <w:t xml:space="preserve"> </w:t>
      </w:r>
      <w:r>
        <w:rPr>
          <w:sz w:val="18"/>
        </w:rPr>
        <w:t>No.</w:t>
      </w:r>
      <w:r>
        <w:rPr>
          <w:spacing w:val="-4"/>
          <w:sz w:val="18"/>
        </w:rPr>
        <w:t xml:space="preserve"> </w:t>
      </w:r>
      <w:r>
        <w:rPr>
          <w:sz w:val="18"/>
        </w:rPr>
        <w:t>14,</w:t>
      </w:r>
      <w:r>
        <w:rPr>
          <w:spacing w:val="-8"/>
          <w:sz w:val="18"/>
        </w:rPr>
        <w:t xml:space="preserve"> </w:t>
      </w:r>
      <w:r>
        <w:rPr>
          <w:sz w:val="18"/>
        </w:rPr>
        <w:t>para.</w:t>
      </w:r>
      <w:r>
        <w:rPr>
          <w:spacing w:val="-5"/>
          <w:sz w:val="18"/>
        </w:rPr>
        <w:t xml:space="preserve"> </w:t>
      </w:r>
      <w:r>
        <w:rPr>
          <w:sz w:val="18"/>
        </w:rPr>
        <w:t>49;</w:t>
      </w:r>
      <w:r>
        <w:rPr>
          <w:spacing w:val="-7"/>
          <w:sz w:val="18"/>
        </w:rPr>
        <w:t xml:space="preserve"> </w:t>
      </w:r>
      <w:r>
        <w:rPr>
          <w:sz w:val="18"/>
        </w:rPr>
        <w:t>No.</w:t>
      </w:r>
      <w:r>
        <w:rPr>
          <w:spacing w:val="-9"/>
          <w:sz w:val="18"/>
        </w:rPr>
        <w:t xml:space="preserve"> </w:t>
      </w:r>
      <w:r>
        <w:rPr>
          <w:sz w:val="18"/>
        </w:rPr>
        <w:t>17,</w:t>
      </w:r>
      <w:r>
        <w:rPr>
          <w:spacing w:val="-8"/>
          <w:sz w:val="18"/>
        </w:rPr>
        <w:t xml:space="preserve"> </w:t>
      </w:r>
      <w:r>
        <w:rPr>
          <w:sz w:val="18"/>
        </w:rPr>
        <w:t>para.</w:t>
      </w:r>
      <w:r>
        <w:rPr>
          <w:spacing w:val="-9"/>
          <w:sz w:val="18"/>
        </w:rPr>
        <w:t xml:space="preserve"> </w:t>
      </w:r>
      <w:r>
        <w:rPr>
          <w:sz w:val="18"/>
        </w:rPr>
        <w:t>58;</w:t>
      </w:r>
      <w:r>
        <w:rPr>
          <w:spacing w:val="-10"/>
          <w:sz w:val="18"/>
        </w:rPr>
        <w:t xml:space="preserve"> </w:t>
      </w:r>
      <w:r>
        <w:rPr>
          <w:sz w:val="18"/>
        </w:rPr>
        <w:t>No.</w:t>
      </w:r>
      <w:r>
        <w:rPr>
          <w:spacing w:val="-5"/>
          <w:sz w:val="18"/>
        </w:rPr>
        <w:t xml:space="preserve"> </w:t>
      </w:r>
      <w:r>
        <w:rPr>
          <w:sz w:val="18"/>
        </w:rPr>
        <w:t>25,</w:t>
      </w:r>
      <w:r>
        <w:rPr>
          <w:spacing w:val="-8"/>
          <w:sz w:val="18"/>
        </w:rPr>
        <w:t xml:space="preserve"> </w:t>
      </w:r>
      <w:r>
        <w:rPr>
          <w:sz w:val="18"/>
        </w:rPr>
        <w:t>paras.</w:t>
      </w:r>
      <w:r>
        <w:rPr>
          <w:spacing w:val="-9"/>
          <w:sz w:val="18"/>
        </w:rPr>
        <w:t xml:space="preserve"> </w:t>
      </w:r>
      <w:r>
        <w:rPr>
          <w:sz w:val="18"/>
        </w:rPr>
        <w:t>112,</w:t>
      </w:r>
      <w:r>
        <w:rPr>
          <w:spacing w:val="-8"/>
          <w:sz w:val="18"/>
        </w:rPr>
        <w:t xml:space="preserve"> </w:t>
      </w:r>
      <w:r>
        <w:rPr>
          <w:sz w:val="18"/>
        </w:rPr>
        <w:t>115;</w:t>
      </w:r>
      <w:r>
        <w:rPr>
          <w:spacing w:val="-10"/>
          <w:sz w:val="18"/>
        </w:rPr>
        <w:t xml:space="preserve"> </w:t>
      </w:r>
      <w:r>
        <w:rPr>
          <w:sz w:val="18"/>
        </w:rPr>
        <w:t>No.</w:t>
      </w:r>
      <w:r>
        <w:rPr>
          <w:spacing w:val="-9"/>
          <w:sz w:val="18"/>
        </w:rPr>
        <w:t xml:space="preserve"> </w:t>
      </w:r>
      <w:r>
        <w:rPr>
          <w:sz w:val="18"/>
        </w:rPr>
        <w:t>25,</w:t>
      </w:r>
      <w:r>
        <w:rPr>
          <w:spacing w:val="-9"/>
          <w:sz w:val="18"/>
        </w:rPr>
        <w:t xml:space="preserve"> </w:t>
      </w:r>
      <w:r>
        <w:rPr>
          <w:spacing w:val="-2"/>
          <w:sz w:val="18"/>
        </w:rPr>
        <w:t>para.</w:t>
      </w:r>
    </w:p>
    <w:p w14:paraId="58C13D81" w14:textId="77777777" w:rsidR="00BD462C" w:rsidRDefault="00033D0F">
      <w:pPr>
        <w:spacing w:before="1"/>
        <w:ind w:left="136"/>
        <w:rPr>
          <w:sz w:val="18"/>
        </w:rPr>
      </w:pPr>
      <w:r>
        <w:rPr>
          <w:sz w:val="18"/>
        </w:rPr>
        <w:t>165;</w:t>
      </w:r>
      <w:r>
        <w:rPr>
          <w:spacing w:val="-2"/>
          <w:sz w:val="18"/>
        </w:rPr>
        <w:t xml:space="preserve"> </w:t>
      </w:r>
      <w:r>
        <w:rPr>
          <w:sz w:val="18"/>
        </w:rPr>
        <w:t>No.</w:t>
      </w:r>
      <w:r>
        <w:rPr>
          <w:spacing w:val="-3"/>
          <w:sz w:val="18"/>
        </w:rPr>
        <w:t xml:space="preserve"> </w:t>
      </w:r>
      <w:r>
        <w:rPr>
          <w:sz w:val="18"/>
        </w:rPr>
        <w:t>49,</w:t>
      </w:r>
      <w:r>
        <w:rPr>
          <w:spacing w:val="-3"/>
          <w:sz w:val="18"/>
        </w:rPr>
        <w:t xml:space="preserve"> </w:t>
      </w:r>
      <w:r>
        <w:rPr>
          <w:sz w:val="18"/>
        </w:rPr>
        <w:t>para.</w:t>
      </w:r>
      <w:r>
        <w:rPr>
          <w:spacing w:val="2"/>
          <w:sz w:val="18"/>
        </w:rPr>
        <w:t xml:space="preserve"> </w:t>
      </w:r>
      <w:r>
        <w:rPr>
          <w:sz w:val="18"/>
        </w:rPr>
        <w:t>305;</w:t>
      </w:r>
      <w:r>
        <w:rPr>
          <w:spacing w:val="-6"/>
          <w:sz w:val="18"/>
        </w:rPr>
        <w:t xml:space="preserve"> </w:t>
      </w:r>
      <w:r>
        <w:rPr>
          <w:sz w:val="18"/>
        </w:rPr>
        <w:t>No.</w:t>
      </w:r>
      <w:r>
        <w:rPr>
          <w:spacing w:val="-4"/>
          <w:sz w:val="18"/>
        </w:rPr>
        <w:t xml:space="preserve"> </w:t>
      </w:r>
      <w:r>
        <w:rPr>
          <w:sz w:val="18"/>
        </w:rPr>
        <w:t>51,</w:t>
      </w:r>
      <w:r>
        <w:rPr>
          <w:spacing w:val="-2"/>
          <w:sz w:val="18"/>
        </w:rPr>
        <w:t xml:space="preserve"> </w:t>
      </w:r>
      <w:r>
        <w:rPr>
          <w:sz w:val="18"/>
        </w:rPr>
        <w:t>para.</w:t>
      </w:r>
      <w:r>
        <w:rPr>
          <w:spacing w:val="1"/>
          <w:sz w:val="18"/>
        </w:rPr>
        <w:t xml:space="preserve"> </w:t>
      </w:r>
      <w:r>
        <w:rPr>
          <w:sz w:val="18"/>
        </w:rPr>
        <w:t>324</w:t>
      </w:r>
      <w:r>
        <w:rPr>
          <w:spacing w:val="-6"/>
          <w:sz w:val="18"/>
        </w:rPr>
        <w:t xml:space="preserve"> </w:t>
      </w:r>
      <w:r>
        <w:rPr>
          <w:sz w:val="18"/>
        </w:rPr>
        <w:t>to</w:t>
      </w:r>
      <w:r>
        <w:rPr>
          <w:spacing w:val="-5"/>
          <w:sz w:val="18"/>
        </w:rPr>
        <w:t xml:space="preserve"> </w:t>
      </w:r>
      <w:r>
        <w:rPr>
          <w:sz w:val="18"/>
        </w:rPr>
        <w:t>329;</w:t>
      </w:r>
      <w:r>
        <w:rPr>
          <w:spacing w:val="-2"/>
          <w:sz w:val="18"/>
        </w:rPr>
        <w:t xml:space="preserve"> </w:t>
      </w:r>
      <w:r>
        <w:rPr>
          <w:sz w:val="18"/>
        </w:rPr>
        <w:t>and</w:t>
      </w:r>
      <w:r>
        <w:rPr>
          <w:spacing w:val="-5"/>
          <w:sz w:val="18"/>
        </w:rPr>
        <w:t xml:space="preserve"> </w:t>
      </w:r>
      <w:r>
        <w:rPr>
          <w:sz w:val="18"/>
        </w:rPr>
        <w:t>No.</w:t>
      </w:r>
      <w:r>
        <w:rPr>
          <w:spacing w:val="-3"/>
          <w:sz w:val="18"/>
        </w:rPr>
        <w:t xml:space="preserve"> </w:t>
      </w:r>
      <w:r>
        <w:rPr>
          <w:sz w:val="18"/>
        </w:rPr>
        <w:t>77,</w:t>
      </w:r>
      <w:r>
        <w:rPr>
          <w:spacing w:val="-3"/>
          <w:sz w:val="18"/>
        </w:rPr>
        <w:t xml:space="preserve"> </w:t>
      </w:r>
      <w:r>
        <w:rPr>
          <w:sz w:val="18"/>
        </w:rPr>
        <w:t>para.</w:t>
      </w:r>
      <w:r>
        <w:rPr>
          <w:spacing w:val="-3"/>
          <w:sz w:val="18"/>
        </w:rPr>
        <w:t xml:space="preserve"> </w:t>
      </w:r>
      <w:r>
        <w:rPr>
          <w:spacing w:val="-4"/>
          <w:sz w:val="18"/>
        </w:rPr>
        <w:t>396.</w:t>
      </w:r>
    </w:p>
    <w:p w14:paraId="08615AB4" w14:textId="77777777" w:rsidR="00BD462C" w:rsidRDefault="00033D0F">
      <w:pPr>
        <w:spacing w:before="1"/>
        <w:ind w:left="135"/>
        <w:rPr>
          <w:sz w:val="18"/>
        </w:rPr>
      </w:pPr>
      <w:bookmarkStart w:id="139" w:name="_bookmark118"/>
      <w:bookmarkEnd w:id="139"/>
      <w:r>
        <w:rPr>
          <w:position w:val="5"/>
          <w:sz w:val="12"/>
        </w:rPr>
        <w:t>89</w:t>
      </w:r>
      <w:r>
        <w:rPr>
          <w:spacing w:val="13"/>
          <w:position w:val="5"/>
          <w:sz w:val="12"/>
        </w:rPr>
        <w:t xml:space="preserve"> </w:t>
      </w:r>
      <w:r>
        <w:rPr>
          <w:sz w:val="18"/>
        </w:rPr>
        <w:t>Appellate</w:t>
      </w:r>
      <w:r>
        <w:rPr>
          <w:spacing w:val="-10"/>
          <w:sz w:val="18"/>
        </w:rPr>
        <w:t xml:space="preserve"> </w:t>
      </w:r>
      <w:r>
        <w:rPr>
          <w:sz w:val="18"/>
        </w:rPr>
        <w:t>Body</w:t>
      </w:r>
      <w:r>
        <w:rPr>
          <w:spacing w:val="-6"/>
          <w:sz w:val="18"/>
        </w:rPr>
        <w:t xml:space="preserve"> </w:t>
      </w:r>
      <w:r>
        <w:rPr>
          <w:sz w:val="18"/>
        </w:rPr>
        <w:t>Report,</w:t>
      </w:r>
      <w:r>
        <w:rPr>
          <w:spacing w:val="-3"/>
          <w:sz w:val="18"/>
        </w:rPr>
        <w:t xml:space="preserve"> </w:t>
      </w:r>
      <w:r>
        <w:rPr>
          <w:i/>
          <w:sz w:val="18"/>
        </w:rPr>
        <w:t>US</w:t>
      </w:r>
      <w:r>
        <w:rPr>
          <w:i/>
          <w:spacing w:val="-2"/>
          <w:sz w:val="18"/>
        </w:rPr>
        <w:t xml:space="preserve"> </w:t>
      </w:r>
      <w:r>
        <w:rPr>
          <w:i/>
          <w:sz w:val="18"/>
        </w:rPr>
        <w:t>–</w:t>
      </w:r>
      <w:r>
        <w:rPr>
          <w:i/>
          <w:spacing w:val="-9"/>
          <w:sz w:val="18"/>
        </w:rPr>
        <w:t xml:space="preserve"> </w:t>
      </w:r>
      <w:r>
        <w:rPr>
          <w:i/>
          <w:sz w:val="18"/>
        </w:rPr>
        <w:t>Wheat Gluten</w:t>
      </w:r>
      <w:r>
        <w:rPr>
          <w:sz w:val="18"/>
        </w:rPr>
        <w:t>,</w:t>
      </w:r>
      <w:r>
        <w:rPr>
          <w:spacing w:val="2"/>
          <w:sz w:val="18"/>
        </w:rPr>
        <w:t xml:space="preserve"> </w:t>
      </w:r>
      <w:r>
        <w:rPr>
          <w:sz w:val="18"/>
        </w:rPr>
        <w:t>para.</w:t>
      </w:r>
      <w:r>
        <w:rPr>
          <w:spacing w:val="1"/>
          <w:sz w:val="18"/>
        </w:rPr>
        <w:t xml:space="preserve"> </w:t>
      </w:r>
      <w:r>
        <w:rPr>
          <w:sz w:val="18"/>
        </w:rPr>
        <w:t>171</w:t>
      </w:r>
      <w:r>
        <w:rPr>
          <w:spacing w:val="-10"/>
          <w:sz w:val="18"/>
        </w:rPr>
        <w:t xml:space="preserve"> </w:t>
      </w:r>
      <w:r>
        <w:rPr>
          <w:sz w:val="18"/>
        </w:rPr>
        <w:t>(citing Appellate</w:t>
      </w:r>
      <w:r>
        <w:rPr>
          <w:spacing w:val="-4"/>
          <w:sz w:val="18"/>
        </w:rPr>
        <w:t xml:space="preserve"> </w:t>
      </w:r>
      <w:r>
        <w:rPr>
          <w:sz w:val="18"/>
        </w:rPr>
        <w:t>Body,</w:t>
      </w:r>
      <w:r>
        <w:rPr>
          <w:spacing w:val="2"/>
          <w:sz w:val="18"/>
        </w:rPr>
        <w:t xml:space="preserve"> </w:t>
      </w:r>
      <w:r>
        <w:rPr>
          <w:i/>
          <w:sz w:val="18"/>
        </w:rPr>
        <w:t>Canada</w:t>
      </w:r>
      <w:r>
        <w:rPr>
          <w:i/>
          <w:spacing w:val="-4"/>
          <w:sz w:val="18"/>
        </w:rPr>
        <w:t xml:space="preserve"> </w:t>
      </w:r>
      <w:r>
        <w:rPr>
          <w:i/>
          <w:sz w:val="18"/>
        </w:rPr>
        <w:t>Aircraft</w:t>
      </w:r>
      <w:r>
        <w:rPr>
          <w:sz w:val="18"/>
        </w:rPr>
        <w:t>,</w:t>
      </w:r>
      <w:r>
        <w:rPr>
          <w:spacing w:val="-3"/>
          <w:sz w:val="18"/>
        </w:rPr>
        <w:t xml:space="preserve"> </w:t>
      </w:r>
      <w:r>
        <w:rPr>
          <w:sz w:val="18"/>
        </w:rPr>
        <w:t>para</w:t>
      </w:r>
      <w:r>
        <w:rPr>
          <w:spacing w:val="-6"/>
          <w:sz w:val="18"/>
        </w:rPr>
        <w:t xml:space="preserve"> </w:t>
      </w:r>
      <w:r>
        <w:rPr>
          <w:spacing w:val="-2"/>
          <w:sz w:val="18"/>
        </w:rPr>
        <w:t>187).</w:t>
      </w:r>
    </w:p>
    <w:p w14:paraId="19E160E4" w14:textId="77777777" w:rsidR="00BD462C" w:rsidRDefault="00033D0F">
      <w:pPr>
        <w:spacing w:before="1"/>
        <w:ind w:left="135"/>
        <w:rPr>
          <w:sz w:val="18"/>
        </w:rPr>
      </w:pPr>
      <w:bookmarkStart w:id="140" w:name="_bookmark119"/>
      <w:bookmarkEnd w:id="140"/>
      <w:r>
        <w:rPr>
          <w:position w:val="5"/>
          <w:sz w:val="12"/>
        </w:rPr>
        <w:t>90</w:t>
      </w:r>
      <w:r>
        <w:rPr>
          <w:spacing w:val="14"/>
          <w:position w:val="5"/>
          <w:sz w:val="12"/>
        </w:rPr>
        <w:t xml:space="preserve"> </w:t>
      </w:r>
      <w:r>
        <w:rPr>
          <w:sz w:val="18"/>
        </w:rPr>
        <w:t>China's</w:t>
      </w:r>
      <w:r>
        <w:rPr>
          <w:spacing w:val="1"/>
          <w:sz w:val="18"/>
        </w:rPr>
        <w:t xml:space="preserve"> </w:t>
      </w:r>
      <w:r>
        <w:rPr>
          <w:sz w:val="18"/>
        </w:rPr>
        <w:t>response</w:t>
      </w:r>
      <w:r>
        <w:rPr>
          <w:spacing w:val="-3"/>
          <w:sz w:val="18"/>
        </w:rPr>
        <w:t xml:space="preserve"> </w:t>
      </w:r>
      <w:r>
        <w:rPr>
          <w:sz w:val="18"/>
        </w:rPr>
        <w:t>to</w:t>
      </w:r>
      <w:r>
        <w:rPr>
          <w:spacing w:val="-5"/>
          <w:sz w:val="18"/>
        </w:rPr>
        <w:t xml:space="preserve"> </w:t>
      </w:r>
      <w:r>
        <w:rPr>
          <w:sz w:val="18"/>
        </w:rPr>
        <w:t>Panel</w:t>
      </w:r>
      <w:r>
        <w:rPr>
          <w:spacing w:val="1"/>
          <w:sz w:val="18"/>
        </w:rPr>
        <w:t xml:space="preserve"> </w:t>
      </w:r>
      <w:r>
        <w:rPr>
          <w:sz w:val="18"/>
        </w:rPr>
        <w:t>question</w:t>
      </w:r>
      <w:r>
        <w:rPr>
          <w:spacing w:val="-5"/>
          <w:sz w:val="18"/>
        </w:rPr>
        <w:t xml:space="preserve"> </w:t>
      </w:r>
      <w:r>
        <w:rPr>
          <w:sz w:val="18"/>
        </w:rPr>
        <w:t>No.</w:t>
      </w:r>
      <w:r>
        <w:rPr>
          <w:spacing w:val="-3"/>
          <w:sz w:val="18"/>
        </w:rPr>
        <w:t xml:space="preserve"> </w:t>
      </w:r>
      <w:r>
        <w:rPr>
          <w:sz w:val="18"/>
        </w:rPr>
        <w:t>3,</w:t>
      </w:r>
      <w:r>
        <w:rPr>
          <w:spacing w:val="-2"/>
          <w:sz w:val="18"/>
        </w:rPr>
        <w:t xml:space="preserve"> </w:t>
      </w:r>
      <w:r>
        <w:rPr>
          <w:sz w:val="18"/>
        </w:rPr>
        <w:t>para.</w:t>
      </w:r>
      <w:r>
        <w:rPr>
          <w:spacing w:val="2"/>
          <w:sz w:val="18"/>
        </w:rPr>
        <w:t xml:space="preserve"> </w:t>
      </w:r>
      <w:r>
        <w:rPr>
          <w:sz w:val="18"/>
        </w:rPr>
        <w:t>25;</w:t>
      </w:r>
      <w:r>
        <w:rPr>
          <w:spacing w:val="-5"/>
          <w:sz w:val="18"/>
        </w:rPr>
        <w:t xml:space="preserve"> </w:t>
      </w:r>
      <w:r>
        <w:rPr>
          <w:sz w:val="18"/>
        </w:rPr>
        <w:t>No.</w:t>
      </w:r>
      <w:r>
        <w:rPr>
          <w:spacing w:val="2"/>
          <w:sz w:val="18"/>
        </w:rPr>
        <w:t xml:space="preserve"> </w:t>
      </w:r>
      <w:r>
        <w:rPr>
          <w:sz w:val="18"/>
        </w:rPr>
        <w:t>14,</w:t>
      </w:r>
      <w:r>
        <w:rPr>
          <w:spacing w:val="2"/>
          <w:sz w:val="18"/>
        </w:rPr>
        <w:t xml:space="preserve"> </w:t>
      </w:r>
      <w:r>
        <w:rPr>
          <w:sz w:val="18"/>
        </w:rPr>
        <w:t>para.</w:t>
      </w:r>
      <w:r>
        <w:rPr>
          <w:spacing w:val="2"/>
          <w:sz w:val="18"/>
        </w:rPr>
        <w:t xml:space="preserve"> </w:t>
      </w:r>
      <w:r>
        <w:rPr>
          <w:sz w:val="18"/>
        </w:rPr>
        <w:t>49;</w:t>
      </w:r>
      <w:r>
        <w:rPr>
          <w:spacing w:val="-1"/>
          <w:sz w:val="18"/>
        </w:rPr>
        <w:t xml:space="preserve"> </w:t>
      </w:r>
      <w:r>
        <w:rPr>
          <w:sz w:val="18"/>
        </w:rPr>
        <w:t>No.</w:t>
      </w:r>
      <w:r>
        <w:rPr>
          <w:spacing w:val="2"/>
          <w:sz w:val="18"/>
        </w:rPr>
        <w:t xml:space="preserve"> </w:t>
      </w:r>
      <w:r>
        <w:rPr>
          <w:sz w:val="18"/>
        </w:rPr>
        <w:t>17,</w:t>
      </w:r>
      <w:r>
        <w:rPr>
          <w:spacing w:val="-2"/>
          <w:sz w:val="18"/>
        </w:rPr>
        <w:t xml:space="preserve"> </w:t>
      </w:r>
      <w:r>
        <w:rPr>
          <w:sz w:val="18"/>
        </w:rPr>
        <w:t>para.</w:t>
      </w:r>
      <w:r>
        <w:rPr>
          <w:spacing w:val="2"/>
          <w:sz w:val="18"/>
        </w:rPr>
        <w:t xml:space="preserve"> </w:t>
      </w:r>
      <w:r>
        <w:rPr>
          <w:sz w:val="18"/>
        </w:rPr>
        <w:t>58;</w:t>
      </w:r>
      <w:r>
        <w:rPr>
          <w:spacing w:val="-5"/>
          <w:sz w:val="18"/>
        </w:rPr>
        <w:t xml:space="preserve"> </w:t>
      </w:r>
      <w:r>
        <w:rPr>
          <w:sz w:val="18"/>
        </w:rPr>
        <w:t>No.</w:t>
      </w:r>
      <w:r>
        <w:rPr>
          <w:spacing w:val="2"/>
          <w:sz w:val="18"/>
        </w:rPr>
        <w:t xml:space="preserve"> </w:t>
      </w:r>
      <w:r>
        <w:rPr>
          <w:sz w:val="18"/>
        </w:rPr>
        <w:t>49,</w:t>
      </w:r>
      <w:r>
        <w:rPr>
          <w:spacing w:val="2"/>
          <w:sz w:val="18"/>
        </w:rPr>
        <w:t xml:space="preserve"> </w:t>
      </w:r>
      <w:r>
        <w:rPr>
          <w:sz w:val="18"/>
        </w:rPr>
        <w:t>para.</w:t>
      </w:r>
      <w:r>
        <w:rPr>
          <w:spacing w:val="2"/>
          <w:sz w:val="18"/>
        </w:rPr>
        <w:t xml:space="preserve"> </w:t>
      </w:r>
      <w:r>
        <w:rPr>
          <w:sz w:val="18"/>
        </w:rPr>
        <w:t>305;</w:t>
      </w:r>
      <w:r>
        <w:rPr>
          <w:spacing w:val="-5"/>
          <w:sz w:val="18"/>
        </w:rPr>
        <w:t xml:space="preserve"> </w:t>
      </w:r>
      <w:r>
        <w:rPr>
          <w:sz w:val="18"/>
        </w:rPr>
        <w:t>No.</w:t>
      </w:r>
      <w:r>
        <w:rPr>
          <w:spacing w:val="2"/>
          <w:sz w:val="18"/>
        </w:rPr>
        <w:t xml:space="preserve"> </w:t>
      </w:r>
      <w:r>
        <w:rPr>
          <w:sz w:val="18"/>
        </w:rPr>
        <w:t>51,</w:t>
      </w:r>
      <w:r>
        <w:rPr>
          <w:spacing w:val="-2"/>
          <w:sz w:val="18"/>
        </w:rPr>
        <w:t xml:space="preserve"> </w:t>
      </w:r>
      <w:r>
        <w:rPr>
          <w:sz w:val="18"/>
        </w:rPr>
        <w:t>para.</w:t>
      </w:r>
      <w:r>
        <w:rPr>
          <w:spacing w:val="2"/>
          <w:sz w:val="18"/>
        </w:rPr>
        <w:t xml:space="preserve"> </w:t>
      </w:r>
      <w:r>
        <w:rPr>
          <w:spacing w:val="-5"/>
          <w:sz w:val="18"/>
        </w:rPr>
        <w:t>324</w:t>
      </w:r>
    </w:p>
    <w:p w14:paraId="764ED8D3" w14:textId="77777777" w:rsidR="00BD462C" w:rsidRDefault="00033D0F">
      <w:pPr>
        <w:spacing w:before="1"/>
        <w:ind w:left="136"/>
        <w:rPr>
          <w:sz w:val="18"/>
        </w:rPr>
      </w:pPr>
      <w:r>
        <w:rPr>
          <w:sz w:val="18"/>
        </w:rPr>
        <w:t>to 329;</w:t>
      </w:r>
      <w:r>
        <w:rPr>
          <w:spacing w:val="-5"/>
          <w:sz w:val="18"/>
        </w:rPr>
        <w:t xml:space="preserve"> </w:t>
      </w:r>
      <w:r>
        <w:rPr>
          <w:sz w:val="18"/>
        </w:rPr>
        <w:t>and</w:t>
      </w:r>
      <w:r>
        <w:rPr>
          <w:spacing w:val="-8"/>
          <w:sz w:val="18"/>
        </w:rPr>
        <w:t xml:space="preserve"> </w:t>
      </w:r>
      <w:r>
        <w:rPr>
          <w:sz w:val="18"/>
        </w:rPr>
        <w:t>No.</w:t>
      </w:r>
      <w:r>
        <w:rPr>
          <w:spacing w:val="-2"/>
          <w:sz w:val="18"/>
        </w:rPr>
        <w:t xml:space="preserve"> </w:t>
      </w:r>
      <w:r>
        <w:rPr>
          <w:sz w:val="18"/>
        </w:rPr>
        <w:t>77,</w:t>
      </w:r>
      <w:r>
        <w:rPr>
          <w:spacing w:val="4"/>
          <w:sz w:val="18"/>
        </w:rPr>
        <w:t xml:space="preserve"> </w:t>
      </w:r>
      <w:r>
        <w:rPr>
          <w:sz w:val="18"/>
        </w:rPr>
        <w:t>para.</w:t>
      </w:r>
      <w:r>
        <w:rPr>
          <w:spacing w:val="3"/>
          <w:sz w:val="18"/>
        </w:rPr>
        <w:t xml:space="preserve"> </w:t>
      </w:r>
      <w:r>
        <w:rPr>
          <w:spacing w:val="-4"/>
          <w:sz w:val="18"/>
        </w:rPr>
        <w:t>396.</w:t>
      </w:r>
    </w:p>
    <w:p w14:paraId="49E11A3A" w14:textId="77777777" w:rsidR="00BD462C" w:rsidRDefault="00BD462C">
      <w:pPr>
        <w:rPr>
          <w:sz w:val="18"/>
        </w:rPr>
        <w:sectPr w:rsidR="00BD462C">
          <w:pgSz w:w="11910" w:h="16840"/>
          <w:pgMar w:top="860" w:right="500" w:bottom="780" w:left="1280" w:header="566" w:footer="590" w:gutter="0"/>
          <w:cols w:space="720"/>
        </w:sectPr>
      </w:pPr>
    </w:p>
    <w:p w14:paraId="5BB7FB69"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3C34CAE7"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5058DF00"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7C6FF018" w14:textId="39C15956" w:rsidR="00BD462C" w:rsidRDefault="00033D0F" w:rsidP="00224967">
      <w:pPr>
        <w:pStyle w:val="BodyText"/>
        <w:numPr>
          <w:ilvl w:val="0"/>
          <w:numId w:val="68"/>
        </w:numPr>
        <w:spacing w:before="107" w:line="357" w:lineRule="auto"/>
        <w:ind w:right="916"/>
        <w:jc w:val="both"/>
      </w:pPr>
      <w:r>
        <w:rPr>
          <w:position w:val="1"/>
        </w:rPr>
        <w:t xml:space="preserve">Australia notes that in some of China's responses to the Panel's questions, China </w:t>
      </w:r>
      <w:r>
        <w:t>submits</w:t>
      </w:r>
      <w:r>
        <w:rPr>
          <w:spacing w:val="-2"/>
        </w:rPr>
        <w:t xml:space="preserve"> </w:t>
      </w:r>
      <w:r>
        <w:t>that, as the</w:t>
      </w:r>
      <w:r>
        <w:rPr>
          <w:spacing w:val="-4"/>
        </w:rPr>
        <w:t xml:space="preserve"> </w:t>
      </w:r>
      <w:r>
        <w:t>information</w:t>
      </w:r>
      <w:r>
        <w:rPr>
          <w:spacing w:val="-1"/>
        </w:rPr>
        <w:t xml:space="preserve"> </w:t>
      </w:r>
      <w:r>
        <w:t>was submitted</w:t>
      </w:r>
      <w:r>
        <w:rPr>
          <w:spacing w:val="-1"/>
        </w:rPr>
        <w:t xml:space="preserve"> </w:t>
      </w:r>
      <w:r>
        <w:t>to</w:t>
      </w:r>
      <w:r>
        <w:rPr>
          <w:spacing w:val="-6"/>
        </w:rPr>
        <w:t xml:space="preserve"> </w:t>
      </w:r>
      <w:r>
        <w:t>MOFCOM by exporters based</w:t>
      </w:r>
      <w:r>
        <w:rPr>
          <w:spacing w:val="-1"/>
        </w:rPr>
        <w:t xml:space="preserve"> </w:t>
      </w:r>
      <w:r>
        <w:t>in</w:t>
      </w:r>
      <w:r>
        <w:rPr>
          <w:spacing w:val="-1"/>
        </w:rPr>
        <w:t xml:space="preserve"> </w:t>
      </w:r>
      <w:r>
        <w:t>Australia, Australia</w:t>
      </w:r>
      <w:r>
        <w:rPr>
          <w:spacing w:val="-8"/>
        </w:rPr>
        <w:t xml:space="preserve"> </w:t>
      </w:r>
      <w:r>
        <w:t>should</w:t>
      </w:r>
      <w:r>
        <w:rPr>
          <w:spacing w:val="-5"/>
        </w:rPr>
        <w:t xml:space="preserve"> </w:t>
      </w:r>
      <w:r>
        <w:t>(i)</w:t>
      </w:r>
      <w:r>
        <w:rPr>
          <w:spacing w:val="-5"/>
        </w:rPr>
        <w:t xml:space="preserve"> </w:t>
      </w:r>
      <w:r>
        <w:t>approach</w:t>
      </w:r>
      <w:r>
        <w:rPr>
          <w:spacing w:val="-5"/>
        </w:rPr>
        <w:t xml:space="preserve"> </w:t>
      </w:r>
      <w:r>
        <w:t>the</w:t>
      </w:r>
      <w:r>
        <w:rPr>
          <w:spacing w:val="-4"/>
        </w:rPr>
        <w:t xml:space="preserve"> </w:t>
      </w:r>
      <w:r>
        <w:t>exporters</w:t>
      </w:r>
      <w:r>
        <w:rPr>
          <w:spacing w:val="-2"/>
        </w:rPr>
        <w:t xml:space="preserve"> </w:t>
      </w:r>
      <w:r>
        <w:t>to</w:t>
      </w:r>
      <w:r>
        <w:rPr>
          <w:spacing w:val="-6"/>
        </w:rPr>
        <w:t xml:space="preserve"> </w:t>
      </w:r>
      <w:r>
        <w:t>seek</w:t>
      </w:r>
      <w:r>
        <w:rPr>
          <w:spacing w:val="-7"/>
        </w:rPr>
        <w:t xml:space="preserve"> </w:t>
      </w:r>
      <w:r>
        <w:t>their</w:t>
      </w:r>
      <w:r>
        <w:rPr>
          <w:spacing w:val="-6"/>
        </w:rPr>
        <w:t xml:space="preserve"> </w:t>
      </w:r>
      <w:r>
        <w:t>consent</w:t>
      </w:r>
      <w:r>
        <w:rPr>
          <w:spacing w:val="-3"/>
        </w:rPr>
        <w:t xml:space="preserve"> </w:t>
      </w:r>
      <w:r>
        <w:t>for</w:t>
      </w:r>
      <w:r>
        <w:rPr>
          <w:spacing w:val="-6"/>
        </w:rPr>
        <w:t xml:space="preserve"> </w:t>
      </w:r>
      <w:r>
        <w:t>MOFCOM</w:t>
      </w:r>
      <w:r>
        <w:rPr>
          <w:spacing w:val="-3"/>
        </w:rPr>
        <w:t xml:space="preserve"> </w:t>
      </w:r>
      <w:r>
        <w:t>to</w:t>
      </w:r>
      <w:r>
        <w:rPr>
          <w:spacing w:val="-6"/>
        </w:rPr>
        <w:t xml:space="preserve"> </w:t>
      </w:r>
      <w:r>
        <w:t>disclose</w:t>
      </w:r>
      <w:r>
        <w:rPr>
          <w:spacing w:val="-3"/>
        </w:rPr>
        <w:t xml:space="preserve"> </w:t>
      </w:r>
      <w:r>
        <w:t>the information, and (ii) communicate that response to China.</w:t>
      </w:r>
      <w:r>
        <w:rPr>
          <w:spacing w:val="-26"/>
        </w:rPr>
        <w:t xml:space="preserve"> </w:t>
      </w:r>
      <w:hyperlink w:anchor="_bookmark120" w:history="1">
        <w:r>
          <w:rPr>
            <w:vertAlign w:val="superscript"/>
          </w:rPr>
          <w:t>91</w:t>
        </w:r>
      </w:hyperlink>
    </w:p>
    <w:p w14:paraId="6D5AB48A" w14:textId="77777777" w:rsidR="00BD462C" w:rsidRDefault="00BD462C">
      <w:pPr>
        <w:pStyle w:val="BodyText"/>
        <w:spacing w:before="3"/>
        <w:rPr>
          <w:sz w:val="9"/>
        </w:rPr>
      </w:pPr>
    </w:p>
    <w:p w14:paraId="4BCCFAA8" w14:textId="459C1349" w:rsidR="00BD462C" w:rsidRDefault="00033D0F" w:rsidP="00224967">
      <w:pPr>
        <w:pStyle w:val="BodyText"/>
        <w:numPr>
          <w:ilvl w:val="0"/>
          <w:numId w:val="68"/>
        </w:numPr>
        <w:spacing w:before="56" w:line="360" w:lineRule="auto"/>
        <w:ind w:right="914"/>
        <w:jc w:val="both"/>
      </w:pPr>
      <w:r>
        <w:rPr>
          <w:position w:val="1"/>
        </w:rPr>
        <w:t xml:space="preserve">It is entirely unreasonable for China to expect Australia to act as an intermediary </w:t>
      </w:r>
      <w:r>
        <w:t>between MOFCOM and private companies that MOFCOM investigated in the context of the anti-dumping investigation. This is particularly inappropriate for the purpose of resolving an alleged impasse that is said to arise under Chinese domestic law as a result of MOFCOM's interactions</w:t>
      </w:r>
      <w:r>
        <w:rPr>
          <w:spacing w:val="-6"/>
        </w:rPr>
        <w:t xml:space="preserve"> </w:t>
      </w:r>
      <w:r>
        <w:t>with</w:t>
      </w:r>
      <w:r>
        <w:rPr>
          <w:spacing w:val="-9"/>
        </w:rPr>
        <w:t xml:space="preserve"> </w:t>
      </w:r>
      <w:r>
        <w:t>these</w:t>
      </w:r>
      <w:r>
        <w:rPr>
          <w:spacing w:val="-7"/>
        </w:rPr>
        <w:t xml:space="preserve"> </w:t>
      </w:r>
      <w:r>
        <w:t>private</w:t>
      </w:r>
      <w:r>
        <w:rPr>
          <w:spacing w:val="-7"/>
        </w:rPr>
        <w:t xml:space="preserve"> </w:t>
      </w:r>
      <w:r>
        <w:t>companies</w:t>
      </w:r>
      <w:r>
        <w:rPr>
          <w:spacing w:val="-6"/>
        </w:rPr>
        <w:t xml:space="preserve"> </w:t>
      </w:r>
      <w:r>
        <w:t>and</w:t>
      </w:r>
      <w:r>
        <w:rPr>
          <w:spacing w:val="-4"/>
        </w:rPr>
        <w:t xml:space="preserve"> </w:t>
      </w:r>
      <w:r>
        <w:t>concerning</w:t>
      </w:r>
      <w:r>
        <w:rPr>
          <w:spacing w:val="-6"/>
        </w:rPr>
        <w:t xml:space="preserve"> </w:t>
      </w:r>
      <w:r>
        <w:t>documents</w:t>
      </w:r>
      <w:r>
        <w:rPr>
          <w:spacing w:val="-6"/>
        </w:rPr>
        <w:t xml:space="preserve"> </w:t>
      </w:r>
      <w:r>
        <w:t>which</w:t>
      </w:r>
      <w:r>
        <w:rPr>
          <w:spacing w:val="-9"/>
        </w:rPr>
        <w:t xml:space="preserve"> </w:t>
      </w:r>
      <w:r>
        <w:t>the</w:t>
      </w:r>
      <w:r>
        <w:rPr>
          <w:spacing w:val="-3"/>
        </w:rPr>
        <w:t xml:space="preserve"> </w:t>
      </w:r>
      <w:r>
        <w:t>Government of Australia has not seen. Australia brings this proceeding as a sovereign nation, not as the representative or agent of those (or any other) private companies. Australia does not know the legal nature, scope or content of the assurance or the Chinese domestic law obligation said to arise from it, or what Chinese domestic law requires from the companies to release MOFCOM from the obligation. If China considers that it needs to communicate with those companies</w:t>
      </w:r>
      <w:r>
        <w:rPr>
          <w:spacing w:val="-14"/>
        </w:rPr>
        <w:t xml:space="preserve"> </w:t>
      </w:r>
      <w:r>
        <w:t>in</w:t>
      </w:r>
      <w:r>
        <w:rPr>
          <w:spacing w:val="-14"/>
        </w:rPr>
        <w:t xml:space="preserve"> </w:t>
      </w:r>
      <w:r>
        <w:t>order</w:t>
      </w:r>
      <w:r>
        <w:rPr>
          <w:spacing w:val="-13"/>
        </w:rPr>
        <w:t xml:space="preserve"> </w:t>
      </w:r>
      <w:r>
        <w:t>to</w:t>
      </w:r>
      <w:r>
        <w:rPr>
          <w:spacing w:val="-14"/>
        </w:rPr>
        <w:t xml:space="preserve"> </w:t>
      </w:r>
      <w:r>
        <w:t>provide</w:t>
      </w:r>
      <w:r>
        <w:rPr>
          <w:spacing w:val="-13"/>
        </w:rPr>
        <w:t xml:space="preserve"> </w:t>
      </w:r>
      <w:r>
        <w:t>necessary</w:t>
      </w:r>
      <w:r>
        <w:rPr>
          <w:spacing w:val="-14"/>
        </w:rPr>
        <w:t xml:space="preserve"> </w:t>
      </w:r>
      <w:r>
        <w:t>information</w:t>
      </w:r>
      <w:r>
        <w:rPr>
          <w:spacing w:val="-13"/>
        </w:rPr>
        <w:t xml:space="preserve"> </w:t>
      </w:r>
      <w:r>
        <w:t>to</w:t>
      </w:r>
      <w:r>
        <w:rPr>
          <w:spacing w:val="-14"/>
        </w:rPr>
        <w:t xml:space="preserve"> </w:t>
      </w:r>
      <w:r>
        <w:t>the</w:t>
      </w:r>
      <w:r>
        <w:rPr>
          <w:spacing w:val="-13"/>
        </w:rPr>
        <w:t xml:space="preserve"> </w:t>
      </w:r>
      <w:r>
        <w:t>Panel,</w:t>
      </w:r>
      <w:r>
        <w:rPr>
          <w:spacing w:val="-10"/>
        </w:rPr>
        <w:t xml:space="preserve"> </w:t>
      </w:r>
      <w:r>
        <w:t>then</w:t>
      </w:r>
      <w:r>
        <w:rPr>
          <w:spacing w:val="-14"/>
        </w:rPr>
        <w:t xml:space="preserve"> </w:t>
      </w:r>
      <w:r>
        <w:t>it</w:t>
      </w:r>
      <w:r>
        <w:rPr>
          <w:spacing w:val="-14"/>
        </w:rPr>
        <w:t xml:space="preserve"> </w:t>
      </w:r>
      <w:r>
        <w:t>should</w:t>
      </w:r>
      <w:r>
        <w:rPr>
          <w:spacing w:val="-13"/>
        </w:rPr>
        <w:t xml:space="preserve"> </w:t>
      </w:r>
      <w:r>
        <w:t>do</w:t>
      </w:r>
      <w:r>
        <w:rPr>
          <w:spacing w:val="-14"/>
        </w:rPr>
        <w:t xml:space="preserve"> </w:t>
      </w:r>
      <w:r>
        <w:t>so</w:t>
      </w:r>
      <w:r>
        <w:rPr>
          <w:spacing w:val="-13"/>
        </w:rPr>
        <w:t xml:space="preserve"> </w:t>
      </w:r>
      <w:r>
        <w:t>directly (and should already have done so).</w:t>
      </w:r>
    </w:p>
    <w:p w14:paraId="11B8E7DC" w14:textId="77777777" w:rsidR="00BD462C" w:rsidRDefault="00BD462C">
      <w:pPr>
        <w:pStyle w:val="BodyText"/>
        <w:spacing w:before="6"/>
        <w:rPr>
          <w:sz w:val="8"/>
        </w:rPr>
      </w:pPr>
    </w:p>
    <w:p w14:paraId="7DA39AD1" w14:textId="6CE48246" w:rsidR="00BD462C" w:rsidRDefault="00033D0F" w:rsidP="00224967">
      <w:pPr>
        <w:pStyle w:val="BodyText"/>
        <w:numPr>
          <w:ilvl w:val="0"/>
          <w:numId w:val="68"/>
        </w:numPr>
        <w:spacing w:before="57" w:line="360" w:lineRule="auto"/>
        <w:ind w:right="910"/>
        <w:jc w:val="both"/>
      </w:pPr>
      <w:r>
        <w:rPr>
          <w:position w:val="1"/>
        </w:rPr>
        <w:t xml:space="preserve">It is common in panel proceedings to disclose confidential information on the </w:t>
      </w:r>
      <w:r>
        <w:t>investigation record of an investigating authority under the protection of confidentiality procedures.</w:t>
      </w:r>
      <w:r>
        <w:rPr>
          <w:spacing w:val="-6"/>
        </w:rPr>
        <w:t xml:space="preserve"> </w:t>
      </w:r>
      <w:r>
        <w:t>Such</w:t>
      </w:r>
      <w:r>
        <w:rPr>
          <w:spacing w:val="-4"/>
        </w:rPr>
        <w:t xml:space="preserve"> </w:t>
      </w:r>
      <w:r>
        <w:t>procedures</w:t>
      </w:r>
      <w:r>
        <w:rPr>
          <w:spacing w:val="-6"/>
        </w:rPr>
        <w:t xml:space="preserve"> </w:t>
      </w:r>
      <w:r>
        <w:t>have</w:t>
      </w:r>
      <w:r>
        <w:rPr>
          <w:spacing w:val="-7"/>
        </w:rPr>
        <w:t xml:space="preserve"> </w:t>
      </w:r>
      <w:r>
        <w:t>been</w:t>
      </w:r>
      <w:r>
        <w:rPr>
          <w:spacing w:val="-9"/>
        </w:rPr>
        <w:t xml:space="preserve"> </w:t>
      </w:r>
      <w:r>
        <w:t>established</w:t>
      </w:r>
      <w:r>
        <w:rPr>
          <w:spacing w:val="-9"/>
        </w:rPr>
        <w:t xml:space="preserve"> </w:t>
      </w:r>
      <w:r>
        <w:t>in</w:t>
      </w:r>
      <w:r>
        <w:rPr>
          <w:spacing w:val="-9"/>
        </w:rPr>
        <w:t xml:space="preserve"> </w:t>
      </w:r>
      <w:r>
        <w:t>this</w:t>
      </w:r>
      <w:r>
        <w:rPr>
          <w:spacing w:val="-6"/>
        </w:rPr>
        <w:t xml:space="preserve"> </w:t>
      </w:r>
      <w:r>
        <w:t>proceeding.</w:t>
      </w:r>
      <w:r>
        <w:rPr>
          <w:spacing w:val="-6"/>
        </w:rPr>
        <w:t xml:space="preserve"> </w:t>
      </w:r>
      <w:r>
        <w:t>These</w:t>
      </w:r>
      <w:r>
        <w:rPr>
          <w:spacing w:val="-7"/>
        </w:rPr>
        <w:t xml:space="preserve"> </w:t>
      </w:r>
      <w:r>
        <w:t>procedures</w:t>
      </w:r>
      <w:r>
        <w:rPr>
          <w:spacing w:val="-6"/>
        </w:rPr>
        <w:t xml:space="preserve"> </w:t>
      </w:r>
      <w:r>
        <w:t>will protect the confidentiality of all business confidential information, both within and outside the proceeding. Australia has repeatedly offered to engage in urgent discussions with China about additional procedures for the management of business confidential information, if China considers them necessary, to facilitate the provision of the requested information. However, Australia has received no response from China.</w:t>
      </w:r>
    </w:p>
    <w:p w14:paraId="0877311A" w14:textId="77777777" w:rsidR="00BD462C" w:rsidRDefault="00BD462C">
      <w:pPr>
        <w:pStyle w:val="BodyText"/>
        <w:spacing w:before="7"/>
        <w:rPr>
          <w:sz w:val="8"/>
        </w:rPr>
      </w:pPr>
    </w:p>
    <w:p w14:paraId="5FA35895" w14:textId="5EA4EAF9" w:rsidR="00BD462C" w:rsidRDefault="009A6330" w:rsidP="00224967">
      <w:pPr>
        <w:pStyle w:val="BodyText"/>
        <w:numPr>
          <w:ilvl w:val="0"/>
          <w:numId w:val="68"/>
        </w:numPr>
        <w:spacing w:before="56" w:line="360" w:lineRule="auto"/>
        <w:ind w:right="916"/>
        <w:jc w:val="both"/>
      </w:pPr>
      <w:r>
        <w:rPr>
          <w:noProof/>
        </w:rPr>
        <mc:AlternateContent>
          <mc:Choice Requires="wps">
            <w:drawing>
              <wp:anchor distT="0" distB="0" distL="0" distR="0" simplePos="0" relativeHeight="487969280" behindDoc="1" locked="0" layoutInCell="1" allowOverlap="1" wp14:anchorId="17CD8BE1" wp14:editId="4E9EFFE6">
                <wp:simplePos x="0" y="0"/>
                <wp:positionH relativeFrom="page">
                  <wp:posOffset>812800</wp:posOffset>
                </wp:positionH>
                <wp:positionV relativeFrom="paragraph">
                  <wp:posOffset>1375410</wp:posOffset>
                </wp:positionV>
                <wp:extent cx="1828800" cy="8890"/>
                <wp:effectExtent l="0" t="0" r="0" b="0"/>
                <wp:wrapTopAndBottom/>
                <wp:docPr id="148" name="docshape7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0423A1" id="docshape712" o:spid="_x0000_s1026" alt="&quot;&quot;" style="position:absolute;margin-left:64pt;margin-top:108.3pt;width:2in;height:.7pt;z-index:-15347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" fillcolor="black" stroked="f">
                <w10:wrap type="topAndBottom" anchorx="page"/>
              </v:rect>
            </w:pict>
          </mc:Fallback>
        </mc:AlternateContent>
      </w:r>
      <w:r w:rsidR="00033D0F">
        <w:rPr>
          <w:position w:val="1"/>
        </w:rPr>
        <w:t xml:space="preserve">If China maintains its position of refusing to provide documents requested by the </w:t>
      </w:r>
      <w:r w:rsidR="00033D0F">
        <w:t>Panel, then that choice has implications for how the Panel assesses the material before it. Australia</w:t>
      </w:r>
      <w:r w:rsidR="00033D0F">
        <w:rPr>
          <w:spacing w:val="-14"/>
        </w:rPr>
        <w:t xml:space="preserve"> </w:t>
      </w:r>
      <w:r w:rsidR="00033D0F">
        <w:t>recalls</w:t>
      </w:r>
      <w:r w:rsidR="00033D0F">
        <w:rPr>
          <w:spacing w:val="-10"/>
        </w:rPr>
        <w:t xml:space="preserve"> </w:t>
      </w:r>
      <w:r w:rsidR="00033D0F">
        <w:t>that,</w:t>
      </w:r>
      <w:r w:rsidR="00033D0F">
        <w:rPr>
          <w:spacing w:val="-10"/>
        </w:rPr>
        <w:t xml:space="preserve"> </w:t>
      </w:r>
      <w:r w:rsidR="00033D0F">
        <w:t>as</w:t>
      </w:r>
      <w:r w:rsidR="00033D0F">
        <w:rPr>
          <w:spacing w:val="-14"/>
        </w:rPr>
        <w:t xml:space="preserve"> </w:t>
      </w:r>
      <w:r w:rsidR="00033D0F">
        <w:t>the</w:t>
      </w:r>
      <w:r w:rsidR="00033D0F">
        <w:rPr>
          <w:spacing w:val="-12"/>
        </w:rPr>
        <w:t xml:space="preserve"> </w:t>
      </w:r>
      <w:r w:rsidR="00033D0F">
        <w:t>Appellate</w:t>
      </w:r>
      <w:r w:rsidR="00033D0F">
        <w:rPr>
          <w:spacing w:val="-12"/>
        </w:rPr>
        <w:t xml:space="preserve"> </w:t>
      </w:r>
      <w:r w:rsidR="00033D0F">
        <w:t>Body</w:t>
      </w:r>
      <w:r w:rsidR="00033D0F">
        <w:rPr>
          <w:spacing w:val="-11"/>
        </w:rPr>
        <w:t xml:space="preserve"> </w:t>
      </w:r>
      <w:r w:rsidR="00033D0F">
        <w:t>observed</w:t>
      </w:r>
      <w:r w:rsidR="00033D0F">
        <w:rPr>
          <w:spacing w:val="-14"/>
        </w:rPr>
        <w:t xml:space="preserve"> </w:t>
      </w:r>
      <w:r w:rsidR="00033D0F">
        <w:t>in</w:t>
      </w:r>
      <w:r w:rsidR="00033D0F">
        <w:rPr>
          <w:spacing w:val="-14"/>
        </w:rPr>
        <w:t xml:space="preserve"> </w:t>
      </w:r>
      <w:r w:rsidR="00033D0F">
        <w:rPr>
          <w:i/>
        </w:rPr>
        <w:t>US</w:t>
      </w:r>
      <w:r w:rsidR="00033D0F">
        <w:rPr>
          <w:i/>
          <w:spacing w:val="-9"/>
        </w:rPr>
        <w:t xml:space="preserve"> </w:t>
      </w:r>
      <w:r w:rsidR="00033D0F">
        <w:rPr>
          <w:i/>
        </w:rPr>
        <w:t>–</w:t>
      </w:r>
      <w:r w:rsidR="00033D0F">
        <w:rPr>
          <w:i/>
          <w:spacing w:val="-12"/>
        </w:rPr>
        <w:t xml:space="preserve"> </w:t>
      </w:r>
      <w:r w:rsidR="00033D0F">
        <w:rPr>
          <w:i/>
        </w:rPr>
        <w:t>Wheat</w:t>
      </w:r>
      <w:r w:rsidR="00033D0F">
        <w:rPr>
          <w:i/>
          <w:spacing w:val="-11"/>
        </w:rPr>
        <w:t xml:space="preserve"> </w:t>
      </w:r>
      <w:r w:rsidR="00033D0F">
        <w:rPr>
          <w:i/>
        </w:rPr>
        <w:t>Gluten</w:t>
      </w:r>
      <w:r w:rsidR="00033D0F">
        <w:t>,</w:t>
      </w:r>
      <w:hyperlink w:anchor="_bookmark121" w:history="1">
        <w:r w:rsidR="00033D0F">
          <w:rPr>
            <w:vertAlign w:val="superscript"/>
          </w:rPr>
          <w:t>92</w:t>
        </w:r>
      </w:hyperlink>
      <w:r w:rsidR="00033D0F">
        <w:rPr>
          <w:spacing w:val="-11"/>
        </w:rPr>
        <w:t xml:space="preserve"> </w:t>
      </w:r>
      <w:r w:rsidR="00033D0F">
        <w:t>"[w]here</w:t>
      </w:r>
      <w:r w:rsidR="00033D0F">
        <w:rPr>
          <w:spacing w:val="-12"/>
        </w:rPr>
        <w:t xml:space="preserve"> </w:t>
      </w:r>
      <w:r w:rsidR="00033D0F">
        <w:t>a</w:t>
      </w:r>
      <w:r w:rsidR="00033D0F">
        <w:rPr>
          <w:spacing w:val="-8"/>
        </w:rPr>
        <w:t xml:space="preserve"> </w:t>
      </w:r>
      <w:r w:rsidR="00033D0F">
        <w:t>party refuses</w:t>
      </w:r>
      <w:r w:rsidR="00033D0F">
        <w:rPr>
          <w:spacing w:val="-14"/>
        </w:rPr>
        <w:t xml:space="preserve"> </w:t>
      </w:r>
      <w:r w:rsidR="00033D0F">
        <w:t>to</w:t>
      </w:r>
      <w:r w:rsidR="00033D0F">
        <w:rPr>
          <w:spacing w:val="-14"/>
        </w:rPr>
        <w:t xml:space="preserve"> </w:t>
      </w:r>
      <w:r w:rsidR="00033D0F">
        <w:t>provide</w:t>
      </w:r>
      <w:r w:rsidR="00033D0F">
        <w:rPr>
          <w:spacing w:val="-13"/>
        </w:rPr>
        <w:t xml:space="preserve"> </w:t>
      </w:r>
      <w:r w:rsidR="00033D0F">
        <w:t>information</w:t>
      </w:r>
      <w:r w:rsidR="00033D0F">
        <w:rPr>
          <w:spacing w:val="-11"/>
        </w:rPr>
        <w:t xml:space="preserve"> </w:t>
      </w:r>
      <w:r w:rsidR="00033D0F">
        <w:t>requested</w:t>
      </w:r>
      <w:r w:rsidR="00033D0F">
        <w:rPr>
          <w:spacing w:val="-14"/>
        </w:rPr>
        <w:t xml:space="preserve"> </w:t>
      </w:r>
      <w:r w:rsidR="00033D0F">
        <w:t>by</w:t>
      </w:r>
      <w:r w:rsidR="00033D0F">
        <w:rPr>
          <w:spacing w:val="-11"/>
        </w:rPr>
        <w:t xml:space="preserve"> </w:t>
      </w:r>
      <w:r w:rsidR="00033D0F">
        <w:t>a</w:t>
      </w:r>
      <w:r w:rsidR="00033D0F">
        <w:rPr>
          <w:spacing w:val="-13"/>
        </w:rPr>
        <w:t xml:space="preserve"> </w:t>
      </w:r>
      <w:r w:rsidR="00033D0F">
        <w:t>panel</w:t>
      </w:r>
      <w:r w:rsidR="00033D0F">
        <w:rPr>
          <w:spacing w:val="-11"/>
        </w:rPr>
        <w:t xml:space="preserve"> </w:t>
      </w:r>
      <w:r w:rsidR="00033D0F">
        <w:t>under</w:t>
      </w:r>
      <w:r w:rsidR="00033D0F">
        <w:rPr>
          <w:spacing w:val="-14"/>
        </w:rPr>
        <w:t xml:space="preserve"> </w:t>
      </w:r>
      <w:r w:rsidR="00033D0F">
        <w:t>Article</w:t>
      </w:r>
      <w:r w:rsidR="00033D0F">
        <w:rPr>
          <w:spacing w:val="-13"/>
        </w:rPr>
        <w:t xml:space="preserve"> </w:t>
      </w:r>
      <w:r w:rsidR="00033D0F">
        <w:t>13.1</w:t>
      </w:r>
      <w:r w:rsidR="00033D0F">
        <w:rPr>
          <w:spacing w:val="-14"/>
        </w:rPr>
        <w:t xml:space="preserve"> </w:t>
      </w:r>
      <w:r w:rsidR="00033D0F">
        <w:t>of</w:t>
      </w:r>
      <w:r w:rsidR="00033D0F">
        <w:rPr>
          <w:spacing w:val="-14"/>
        </w:rPr>
        <w:t xml:space="preserve"> </w:t>
      </w:r>
      <w:r w:rsidR="00033D0F">
        <w:t>the</w:t>
      </w:r>
      <w:r w:rsidR="00033D0F">
        <w:rPr>
          <w:spacing w:val="-12"/>
        </w:rPr>
        <w:t xml:space="preserve"> </w:t>
      </w:r>
      <w:r w:rsidR="00033D0F">
        <w:t>DSU,</w:t>
      </w:r>
      <w:r w:rsidR="00033D0F">
        <w:rPr>
          <w:spacing w:val="-11"/>
        </w:rPr>
        <w:t xml:space="preserve"> </w:t>
      </w:r>
      <w:r w:rsidR="00033D0F">
        <w:t>that</w:t>
      </w:r>
      <w:r w:rsidR="00033D0F">
        <w:rPr>
          <w:spacing w:val="-12"/>
        </w:rPr>
        <w:t xml:space="preserve"> </w:t>
      </w:r>
      <w:r w:rsidR="00033D0F">
        <w:t>refusal</w:t>
      </w:r>
    </w:p>
    <w:p w14:paraId="188A376E" w14:textId="5F7F9BF3" w:rsidR="00BD462C" w:rsidRDefault="00BD462C">
      <w:pPr>
        <w:pStyle w:val="BodyText"/>
        <w:spacing w:before="9"/>
        <w:rPr>
          <w:sz w:val="27"/>
        </w:rPr>
      </w:pPr>
    </w:p>
    <w:p w14:paraId="097D2EA3" w14:textId="77777777" w:rsidR="00BD462C" w:rsidRDefault="00033D0F">
      <w:pPr>
        <w:spacing w:before="112"/>
        <w:ind w:left="135"/>
        <w:rPr>
          <w:sz w:val="18"/>
        </w:rPr>
      </w:pPr>
      <w:bookmarkStart w:id="141" w:name="_bookmark120"/>
      <w:bookmarkEnd w:id="141"/>
      <w:r>
        <w:rPr>
          <w:position w:val="5"/>
          <w:sz w:val="12"/>
        </w:rPr>
        <w:t>91</w:t>
      </w:r>
      <w:r>
        <w:rPr>
          <w:spacing w:val="14"/>
          <w:position w:val="5"/>
          <w:sz w:val="12"/>
        </w:rPr>
        <w:t xml:space="preserve"> </w:t>
      </w:r>
      <w:r>
        <w:rPr>
          <w:sz w:val="18"/>
        </w:rPr>
        <w:t>China's</w:t>
      </w:r>
      <w:r>
        <w:rPr>
          <w:spacing w:val="1"/>
          <w:sz w:val="18"/>
        </w:rPr>
        <w:t xml:space="preserve"> </w:t>
      </w:r>
      <w:r>
        <w:rPr>
          <w:sz w:val="18"/>
        </w:rPr>
        <w:t>response</w:t>
      </w:r>
      <w:r>
        <w:rPr>
          <w:spacing w:val="-4"/>
          <w:sz w:val="18"/>
        </w:rPr>
        <w:t xml:space="preserve"> </w:t>
      </w:r>
      <w:r>
        <w:rPr>
          <w:sz w:val="18"/>
        </w:rPr>
        <w:t>to</w:t>
      </w:r>
      <w:r>
        <w:rPr>
          <w:spacing w:val="-9"/>
          <w:sz w:val="18"/>
        </w:rPr>
        <w:t xml:space="preserve"> </w:t>
      </w:r>
      <w:r>
        <w:rPr>
          <w:sz w:val="18"/>
        </w:rPr>
        <w:t>Panel</w:t>
      </w:r>
      <w:r>
        <w:rPr>
          <w:spacing w:val="-3"/>
          <w:sz w:val="18"/>
        </w:rPr>
        <w:t xml:space="preserve"> </w:t>
      </w:r>
      <w:r>
        <w:rPr>
          <w:sz w:val="18"/>
        </w:rPr>
        <w:t>question</w:t>
      </w:r>
      <w:r>
        <w:rPr>
          <w:spacing w:val="-5"/>
          <w:sz w:val="18"/>
        </w:rPr>
        <w:t xml:space="preserve"> </w:t>
      </w:r>
      <w:r>
        <w:rPr>
          <w:sz w:val="18"/>
        </w:rPr>
        <w:t>No.</w:t>
      </w:r>
      <w:r>
        <w:rPr>
          <w:spacing w:val="2"/>
          <w:sz w:val="18"/>
        </w:rPr>
        <w:t xml:space="preserve"> </w:t>
      </w:r>
      <w:r>
        <w:rPr>
          <w:sz w:val="18"/>
        </w:rPr>
        <w:t>3,</w:t>
      </w:r>
      <w:r>
        <w:rPr>
          <w:spacing w:val="-2"/>
          <w:sz w:val="18"/>
        </w:rPr>
        <w:t xml:space="preserve"> </w:t>
      </w:r>
      <w:r>
        <w:rPr>
          <w:sz w:val="18"/>
        </w:rPr>
        <w:t>para</w:t>
      </w:r>
      <w:r>
        <w:rPr>
          <w:spacing w:val="-1"/>
          <w:sz w:val="18"/>
        </w:rPr>
        <w:t xml:space="preserve"> </w:t>
      </w:r>
      <w:r>
        <w:rPr>
          <w:sz w:val="18"/>
        </w:rPr>
        <w:t>25;</w:t>
      </w:r>
      <w:r>
        <w:rPr>
          <w:spacing w:val="-10"/>
          <w:sz w:val="18"/>
        </w:rPr>
        <w:t xml:space="preserve"> </w:t>
      </w:r>
      <w:r>
        <w:rPr>
          <w:sz w:val="18"/>
        </w:rPr>
        <w:t>No.</w:t>
      </w:r>
      <w:r>
        <w:rPr>
          <w:spacing w:val="2"/>
          <w:sz w:val="18"/>
        </w:rPr>
        <w:t xml:space="preserve"> </w:t>
      </w:r>
      <w:r>
        <w:rPr>
          <w:sz w:val="18"/>
        </w:rPr>
        <w:t>14,</w:t>
      </w:r>
      <w:r>
        <w:rPr>
          <w:spacing w:val="-2"/>
          <w:sz w:val="18"/>
        </w:rPr>
        <w:t xml:space="preserve"> </w:t>
      </w:r>
      <w:r>
        <w:rPr>
          <w:sz w:val="18"/>
        </w:rPr>
        <w:t>para</w:t>
      </w:r>
      <w:r>
        <w:rPr>
          <w:spacing w:val="-1"/>
          <w:sz w:val="18"/>
        </w:rPr>
        <w:t xml:space="preserve"> </w:t>
      </w:r>
      <w:r>
        <w:rPr>
          <w:sz w:val="18"/>
        </w:rPr>
        <w:t>49;</w:t>
      </w:r>
      <w:r>
        <w:rPr>
          <w:spacing w:val="-1"/>
          <w:sz w:val="18"/>
        </w:rPr>
        <w:t xml:space="preserve"> </w:t>
      </w:r>
      <w:r>
        <w:rPr>
          <w:sz w:val="18"/>
        </w:rPr>
        <w:t>and</w:t>
      </w:r>
      <w:r>
        <w:rPr>
          <w:spacing w:val="-5"/>
          <w:sz w:val="18"/>
        </w:rPr>
        <w:t xml:space="preserve"> </w:t>
      </w:r>
      <w:r>
        <w:rPr>
          <w:sz w:val="18"/>
        </w:rPr>
        <w:t>No.</w:t>
      </w:r>
      <w:r>
        <w:rPr>
          <w:spacing w:val="-3"/>
          <w:sz w:val="18"/>
        </w:rPr>
        <w:t xml:space="preserve"> </w:t>
      </w:r>
      <w:r>
        <w:rPr>
          <w:sz w:val="18"/>
        </w:rPr>
        <w:t>77,</w:t>
      </w:r>
      <w:r>
        <w:rPr>
          <w:spacing w:val="-2"/>
          <w:sz w:val="18"/>
        </w:rPr>
        <w:t xml:space="preserve"> </w:t>
      </w:r>
      <w:r>
        <w:rPr>
          <w:sz w:val="18"/>
        </w:rPr>
        <w:t>para</w:t>
      </w:r>
      <w:r>
        <w:rPr>
          <w:spacing w:val="-6"/>
          <w:sz w:val="18"/>
        </w:rPr>
        <w:t xml:space="preserve"> </w:t>
      </w:r>
      <w:r>
        <w:rPr>
          <w:spacing w:val="-4"/>
          <w:sz w:val="18"/>
        </w:rPr>
        <w:t>396.</w:t>
      </w:r>
    </w:p>
    <w:p w14:paraId="2272D51F" w14:textId="77777777" w:rsidR="00BD462C" w:rsidRDefault="00033D0F">
      <w:pPr>
        <w:spacing w:before="1"/>
        <w:ind w:left="135"/>
        <w:rPr>
          <w:sz w:val="18"/>
        </w:rPr>
      </w:pPr>
      <w:bookmarkStart w:id="142" w:name="_bookmark121"/>
      <w:bookmarkEnd w:id="142"/>
      <w:r>
        <w:rPr>
          <w:position w:val="5"/>
          <w:sz w:val="12"/>
        </w:rPr>
        <w:t>92</w:t>
      </w:r>
      <w:r>
        <w:rPr>
          <w:spacing w:val="12"/>
          <w:position w:val="5"/>
          <w:sz w:val="12"/>
        </w:rPr>
        <w:t xml:space="preserve"> </w:t>
      </w:r>
      <w:r>
        <w:rPr>
          <w:sz w:val="18"/>
        </w:rPr>
        <w:t>Appellate</w:t>
      </w:r>
      <w:r>
        <w:rPr>
          <w:spacing w:val="-8"/>
          <w:sz w:val="18"/>
        </w:rPr>
        <w:t xml:space="preserve"> </w:t>
      </w:r>
      <w:r>
        <w:rPr>
          <w:sz w:val="18"/>
        </w:rPr>
        <w:t>Body</w:t>
      </w:r>
      <w:r>
        <w:rPr>
          <w:spacing w:val="-6"/>
          <w:sz w:val="18"/>
        </w:rPr>
        <w:t xml:space="preserve"> </w:t>
      </w:r>
      <w:r>
        <w:rPr>
          <w:sz w:val="18"/>
        </w:rPr>
        <w:t>Report,</w:t>
      </w:r>
      <w:r>
        <w:rPr>
          <w:spacing w:val="-2"/>
          <w:sz w:val="18"/>
        </w:rPr>
        <w:t xml:space="preserve"> </w:t>
      </w:r>
      <w:r>
        <w:rPr>
          <w:i/>
          <w:sz w:val="18"/>
        </w:rPr>
        <w:t>US</w:t>
      </w:r>
      <w:r>
        <w:rPr>
          <w:i/>
          <w:spacing w:val="-1"/>
          <w:sz w:val="18"/>
        </w:rPr>
        <w:t xml:space="preserve"> </w:t>
      </w:r>
      <w:r>
        <w:rPr>
          <w:i/>
          <w:sz w:val="18"/>
        </w:rPr>
        <w:t>–</w:t>
      </w:r>
      <w:r>
        <w:rPr>
          <w:i/>
          <w:spacing w:val="-9"/>
          <w:sz w:val="18"/>
        </w:rPr>
        <w:t xml:space="preserve"> </w:t>
      </w:r>
      <w:r>
        <w:rPr>
          <w:i/>
          <w:sz w:val="18"/>
        </w:rPr>
        <w:t>Wheat</w:t>
      </w:r>
      <w:r>
        <w:rPr>
          <w:i/>
          <w:spacing w:val="1"/>
          <w:sz w:val="18"/>
        </w:rPr>
        <w:t xml:space="preserve"> </w:t>
      </w:r>
      <w:r>
        <w:rPr>
          <w:i/>
          <w:sz w:val="18"/>
        </w:rPr>
        <w:t>Gluten</w:t>
      </w:r>
      <w:r>
        <w:rPr>
          <w:sz w:val="18"/>
        </w:rPr>
        <w:t>,</w:t>
      </w:r>
      <w:r>
        <w:rPr>
          <w:spacing w:val="3"/>
          <w:sz w:val="18"/>
        </w:rPr>
        <w:t xml:space="preserve"> </w:t>
      </w:r>
      <w:r>
        <w:rPr>
          <w:sz w:val="18"/>
        </w:rPr>
        <w:t>para.</w:t>
      </w:r>
      <w:r>
        <w:rPr>
          <w:spacing w:val="2"/>
          <w:sz w:val="18"/>
        </w:rPr>
        <w:t xml:space="preserve"> </w:t>
      </w:r>
      <w:r>
        <w:rPr>
          <w:spacing w:val="-4"/>
          <w:sz w:val="18"/>
        </w:rPr>
        <w:t>174.</w:t>
      </w:r>
    </w:p>
    <w:p w14:paraId="2A66B8B1" w14:textId="77777777" w:rsidR="00BD462C" w:rsidRDefault="00BD462C">
      <w:pPr>
        <w:rPr>
          <w:sz w:val="18"/>
        </w:rPr>
        <w:sectPr w:rsidR="00BD462C">
          <w:pgSz w:w="11910" w:h="16840"/>
          <w:pgMar w:top="860" w:right="500" w:bottom="780" w:left="1280" w:header="566" w:footer="590" w:gutter="0"/>
          <w:cols w:space="720"/>
        </w:sectPr>
      </w:pPr>
    </w:p>
    <w:p w14:paraId="41C81B25"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34C620CD"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2FE52174"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044135D6" w14:textId="77777777" w:rsidR="00BD462C" w:rsidRDefault="00033D0F">
      <w:pPr>
        <w:pStyle w:val="BodyText"/>
        <w:spacing w:before="102" w:line="357" w:lineRule="auto"/>
        <w:ind w:left="135" w:right="910"/>
      </w:pPr>
      <w:r>
        <w:t>will</w:t>
      </w:r>
      <w:r>
        <w:rPr>
          <w:spacing w:val="23"/>
        </w:rPr>
        <w:t xml:space="preserve"> </w:t>
      </w:r>
      <w:r>
        <w:t>be</w:t>
      </w:r>
      <w:r>
        <w:rPr>
          <w:spacing w:val="20"/>
        </w:rPr>
        <w:t xml:space="preserve"> </w:t>
      </w:r>
      <w:r>
        <w:t>one</w:t>
      </w:r>
      <w:r>
        <w:rPr>
          <w:spacing w:val="20"/>
        </w:rPr>
        <w:t xml:space="preserve"> </w:t>
      </w:r>
      <w:r>
        <w:t>of</w:t>
      </w:r>
      <w:r>
        <w:rPr>
          <w:spacing w:val="24"/>
        </w:rPr>
        <w:t xml:space="preserve"> </w:t>
      </w:r>
      <w:r>
        <w:t>the</w:t>
      </w:r>
      <w:r>
        <w:rPr>
          <w:spacing w:val="20"/>
        </w:rPr>
        <w:t xml:space="preserve"> </w:t>
      </w:r>
      <w:r>
        <w:t>relevant</w:t>
      </w:r>
      <w:r>
        <w:rPr>
          <w:spacing w:val="21"/>
        </w:rPr>
        <w:t xml:space="preserve"> </w:t>
      </w:r>
      <w:r>
        <w:t>facts</w:t>
      </w:r>
      <w:r>
        <w:rPr>
          <w:spacing w:val="22"/>
        </w:rPr>
        <w:t xml:space="preserve"> </w:t>
      </w:r>
      <w:r>
        <w:t>of</w:t>
      </w:r>
      <w:r>
        <w:rPr>
          <w:spacing w:val="24"/>
        </w:rPr>
        <w:t xml:space="preserve"> </w:t>
      </w:r>
      <w:r>
        <w:t>record,</w:t>
      </w:r>
      <w:r>
        <w:rPr>
          <w:spacing w:val="22"/>
        </w:rPr>
        <w:t xml:space="preserve"> </w:t>
      </w:r>
      <w:r>
        <w:t>and</w:t>
      </w:r>
      <w:r>
        <w:rPr>
          <w:spacing w:val="20"/>
        </w:rPr>
        <w:t xml:space="preserve"> </w:t>
      </w:r>
      <w:r>
        <w:t>indeed</w:t>
      </w:r>
      <w:r>
        <w:rPr>
          <w:spacing w:val="20"/>
        </w:rPr>
        <w:t xml:space="preserve"> </w:t>
      </w:r>
      <w:r>
        <w:t>an</w:t>
      </w:r>
      <w:r>
        <w:rPr>
          <w:spacing w:val="20"/>
        </w:rPr>
        <w:t xml:space="preserve"> </w:t>
      </w:r>
      <w:r>
        <w:t>important</w:t>
      </w:r>
      <w:r>
        <w:rPr>
          <w:spacing w:val="21"/>
        </w:rPr>
        <w:t xml:space="preserve"> </w:t>
      </w:r>
      <w:r>
        <w:t>fact,</w:t>
      </w:r>
      <w:r>
        <w:rPr>
          <w:spacing w:val="23"/>
        </w:rPr>
        <w:t xml:space="preserve"> </w:t>
      </w:r>
      <w:r>
        <w:t>to</w:t>
      </w:r>
      <w:r>
        <w:rPr>
          <w:spacing w:val="19"/>
        </w:rPr>
        <w:t xml:space="preserve"> </w:t>
      </w:r>
      <w:r>
        <w:t>be</w:t>
      </w:r>
      <w:r>
        <w:rPr>
          <w:spacing w:val="25"/>
        </w:rPr>
        <w:t xml:space="preserve"> </w:t>
      </w:r>
      <w:r>
        <w:t>taken</w:t>
      </w:r>
      <w:r>
        <w:rPr>
          <w:spacing w:val="20"/>
        </w:rPr>
        <w:t xml:space="preserve"> </w:t>
      </w:r>
      <w:r>
        <w:t>into account in determining the appropriate inference to be drawn."</w:t>
      </w:r>
    </w:p>
    <w:p w14:paraId="54BB0C49" w14:textId="77777777" w:rsidR="00BD462C" w:rsidRDefault="00033D0F">
      <w:pPr>
        <w:pStyle w:val="ListParagraph"/>
        <w:numPr>
          <w:ilvl w:val="1"/>
          <w:numId w:val="66"/>
        </w:numPr>
        <w:tabs>
          <w:tab w:val="left" w:pos="1839"/>
          <w:tab w:val="left" w:pos="1840"/>
        </w:tabs>
        <w:spacing w:before="164"/>
        <w:ind w:left="1840"/>
        <w:rPr>
          <w:b/>
        </w:rPr>
      </w:pPr>
      <w:bookmarkStart w:id="143" w:name="F._Translations"/>
      <w:bookmarkStart w:id="144" w:name="_bookmark122"/>
      <w:bookmarkEnd w:id="143"/>
      <w:bookmarkEnd w:id="144"/>
      <w:r>
        <w:rPr>
          <w:b/>
          <w:spacing w:val="-2"/>
          <w:sz w:val="28"/>
        </w:rPr>
        <w:t>T</w:t>
      </w:r>
      <w:r>
        <w:rPr>
          <w:b/>
          <w:spacing w:val="-2"/>
        </w:rPr>
        <w:t>RANSLATIONS</w:t>
      </w:r>
    </w:p>
    <w:p w14:paraId="26D3398B" w14:textId="77777777" w:rsidR="00BD462C" w:rsidRDefault="00BD462C">
      <w:pPr>
        <w:pStyle w:val="BodyText"/>
        <w:spacing w:before="10"/>
        <w:rPr>
          <w:b/>
          <w:sz w:val="22"/>
        </w:rPr>
      </w:pPr>
    </w:p>
    <w:p w14:paraId="105347FD" w14:textId="3EB356C6" w:rsidR="00BD462C" w:rsidRDefault="00033D0F" w:rsidP="00224967">
      <w:pPr>
        <w:pStyle w:val="BodyText"/>
        <w:numPr>
          <w:ilvl w:val="0"/>
          <w:numId w:val="68"/>
        </w:numPr>
        <w:spacing w:before="56" w:line="357" w:lineRule="auto"/>
        <w:ind w:right="916"/>
        <w:jc w:val="both"/>
      </w:pPr>
      <w:r>
        <w:rPr>
          <w:position w:val="1"/>
        </w:rPr>
        <w:t>China</w:t>
      </w:r>
      <w:r>
        <w:rPr>
          <w:spacing w:val="40"/>
          <w:position w:val="1"/>
        </w:rPr>
        <w:t xml:space="preserve"> </w:t>
      </w:r>
      <w:r>
        <w:rPr>
          <w:position w:val="1"/>
        </w:rPr>
        <w:t>submitted</w:t>
      </w:r>
      <w:r>
        <w:rPr>
          <w:spacing w:val="40"/>
          <w:position w:val="1"/>
        </w:rPr>
        <w:t xml:space="preserve"> </w:t>
      </w:r>
      <w:r>
        <w:rPr>
          <w:position w:val="1"/>
        </w:rPr>
        <w:t>alternative</w:t>
      </w:r>
      <w:r>
        <w:rPr>
          <w:spacing w:val="40"/>
          <w:position w:val="1"/>
        </w:rPr>
        <w:t xml:space="preserve"> </w:t>
      </w:r>
      <w:r>
        <w:rPr>
          <w:position w:val="1"/>
        </w:rPr>
        <w:t>translations</w:t>
      </w:r>
      <w:r>
        <w:rPr>
          <w:spacing w:val="40"/>
          <w:position w:val="1"/>
        </w:rPr>
        <w:t xml:space="preserve"> </w:t>
      </w:r>
      <w:r>
        <w:rPr>
          <w:position w:val="1"/>
        </w:rPr>
        <w:t>of</w:t>
      </w:r>
      <w:r>
        <w:rPr>
          <w:spacing w:val="40"/>
          <w:position w:val="1"/>
        </w:rPr>
        <w:t xml:space="preserve"> </w:t>
      </w:r>
      <w:r>
        <w:rPr>
          <w:position w:val="1"/>
        </w:rPr>
        <w:t>several</w:t>
      </w:r>
      <w:r>
        <w:rPr>
          <w:spacing w:val="40"/>
          <w:position w:val="1"/>
        </w:rPr>
        <w:t xml:space="preserve"> </w:t>
      </w:r>
      <w:r>
        <w:rPr>
          <w:position w:val="1"/>
        </w:rPr>
        <w:t>documents</w:t>
      </w:r>
      <w:r>
        <w:rPr>
          <w:spacing w:val="40"/>
          <w:position w:val="1"/>
        </w:rPr>
        <w:t xml:space="preserve"> </w:t>
      </w:r>
      <w:r>
        <w:rPr>
          <w:position w:val="1"/>
        </w:rPr>
        <w:t>that</w:t>
      </w:r>
      <w:r>
        <w:rPr>
          <w:spacing w:val="40"/>
          <w:position w:val="1"/>
        </w:rPr>
        <w:t xml:space="preserve"> </w:t>
      </w:r>
      <w:r>
        <w:rPr>
          <w:position w:val="1"/>
        </w:rPr>
        <w:t xml:space="preserve">Australia </w:t>
      </w:r>
      <w:r>
        <w:t>exhibited.</w:t>
      </w:r>
      <w:r>
        <w:rPr>
          <w:spacing w:val="-5"/>
        </w:rPr>
        <w:t xml:space="preserve"> </w:t>
      </w:r>
      <w:r>
        <w:t>Unless</w:t>
      </w:r>
      <w:r>
        <w:rPr>
          <w:spacing w:val="-5"/>
        </w:rPr>
        <w:t xml:space="preserve"> </w:t>
      </w:r>
      <w:r>
        <w:t>specifically</w:t>
      </w:r>
      <w:r>
        <w:rPr>
          <w:spacing w:val="-5"/>
        </w:rPr>
        <w:t xml:space="preserve"> </w:t>
      </w:r>
      <w:r>
        <w:t>indicated</w:t>
      </w:r>
      <w:r>
        <w:rPr>
          <w:spacing w:val="-8"/>
        </w:rPr>
        <w:t xml:space="preserve"> </w:t>
      </w:r>
      <w:r>
        <w:t>otherwise,</w:t>
      </w:r>
      <w:r>
        <w:rPr>
          <w:spacing w:val="-4"/>
        </w:rPr>
        <w:t xml:space="preserve"> </w:t>
      </w:r>
      <w:r>
        <w:t>Australia</w:t>
      </w:r>
      <w:r>
        <w:rPr>
          <w:spacing w:val="-7"/>
        </w:rPr>
        <w:t xml:space="preserve"> </w:t>
      </w:r>
      <w:r>
        <w:t>submits</w:t>
      </w:r>
      <w:r>
        <w:rPr>
          <w:spacing w:val="-5"/>
        </w:rPr>
        <w:t xml:space="preserve"> </w:t>
      </w:r>
      <w:r>
        <w:t>that</w:t>
      </w:r>
      <w:r>
        <w:rPr>
          <w:spacing w:val="-6"/>
        </w:rPr>
        <w:t xml:space="preserve"> </w:t>
      </w:r>
      <w:r>
        <w:t>its</w:t>
      </w:r>
      <w:r>
        <w:rPr>
          <w:spacing w:val="-5"/>
        </w:rPr>
        <w:t xml:space="preserve"> </w:t>
      </w:r>
      <w:r>
        <w:t>own</w:t>
      </w:r>
      <w:r>
        <w:rPr>
          <w:spacing w:val="-8"/>
        </w:rPr>
        <w:t xml:space="preserve"> </w:t>
      </w:r>
      <w:r>
        <w:t>translation</w:t>
      </w:r>
      <w:r>
        <w:rPr>
          <w:spacing w:val="-8"/>
        </w:rPr>
        <w:t xml:space="preserve"> </w:t>
      </w:r>
      <w:r>
        <w:t>is correct and relies upon these translations in its submissions.</w:t>
      </w:r>
    </w:p>
    <w:p w14:paraId="65FD7B1E" w14:textId="77777777" w:rsidR="00BD462C" w:rsidRDefault="00BD462C">
      <w:pPr>
        <w:pStyle w:val="BodyText"/>
        <w:spacing w:before="3"/>
        <w:rPr>
          <w:sz w:val="9"/>
        </w:rPr>
      </w:pPr>
    </w:p>
    <w:p w14:paraId="48690F4E" w14:textId="4AA16353" w:rsidR="00BD462C" w:rsidRDefault="00033D0F" w:rsidP="00224967">
      <w:pPr>
        <w:pStyle w:val="BodyText"/>
        <w:numPr>
          <w:ilvl w:val="0"/>
          <w:numId w:val="68"/>
        </w:numPr>
        <w:spacing w:before="56" w:line="360" w:lineRule="auto"/>
        <w:ind w:right="912"/>
        <w:jc w:val="both"/>
      </w:pPr>
      <w:r>
        <w:rPr>
          <w:position w:val="1"/>
        </w:rPr>
        <w:t xml:space="preserve">Australia further notes that China has identified only a small handful of translation </w:t>
      </w:r>
      <w:r>
        <w:t>differences that it considers material to the current dispute. Australia disagrees that any of those</w:t>
      </w:r>
      <w:r>
        <w:rPr>
          <w:spacing w:val="-2"/>
        </w:rPr>
        <w:t xml:space="preserve"> </w:t>
      </w:r>
      <w:r>
        <w:t>discrepancies</w:t>
      </w:r>
      <w:r>
        <w:rPr>
          <w:spacing w:val="-1"/>
        </w:rPr>
        <w:t xml:space="preserve"> </w:t>
      </w:r>
      <w:r>
        <w:t>are</w:t>
      </w:r>
      <w:r>
        <w:rPr>
          <w:spacing w:val="-2"/>
        </w:rPr>
        <w:t xml:space="preserve"> </w:t>
      </w:r>
      <w:r>
        <w:t>material to</w:t>
      </w:r>
      <w:r>
        <w:rPr>
          <w:spacing w:val="-5"/>
        </w:rPr>
        <w:t xml:space="preserve"> </w:t>
      </w:r>
      <w:r>
        <w:t>Australia's</w:t>
      </w:r>
      <w:r>
        <w:rPr>
          <w:spacing w:val="-1"/>
        </w:rPr>
        <w:t xml:space="preserve"> </w:t>
      </w:r>
      <w:r>
        <w:t>claims, as</w:t>
      </w:r>
      <w:r>
        <w:rPr>
          <w:spacing w:val="-1"/>
        </w:rPr>
        <w:t xml:space="preserve"> </w:t>
      </w:r>
      <w:r>
        <w:t>they</w:t>
      </w:r>
      <w:r>
        <w:rPr>
          <w:spacing w:val="-1"/>
        </w:rPr>
        <w:t xml:space="preserve"> </w:t>
      </w:r>
      <w:r>
        <w:t>have</w:t>
      </w:r>
      <w:r>
        <w:rPr>
          <w:spacing w:val="-2"/>
        </w:rPr>
        <w:t xml:space="preserve"> </w:t>
      </w:r>
      <w:r>
        <w:t>no</w:t>
      </w:r>
      <w:r>
        <w:rPr>
          <w:spacing w:val="-5"/>
        </w:rPr>
        <w:t xml:space="preserve"> </w:t>
      </w:r>
      <w:r>
        <w:t>bearing</w:t>
      </w:r>
      <w:r>
        <w:rPr>
          <w:spacing w:val="-1"/>
        </w:rPr>
        <w:t xml:space="preserve"> </w:t>
      </w:r>
      <w:r>
        <w:t>on MOFCOM's failure to comply with the Anti-Dumping Agreement. Australia submits that it is open to the Panel to assess only translations that have a bearing in resolving the dispute at hand; those that</w:t>
      </w:r>
      <w:r>
        <w:rPr>
          <w:spacing w:val="-14"/>
        </w:rPr>
        <w:t xml:space="preserve"> </w:t>
      </w:r>
      <w:r>
        <w:t>do</w:t>
      </w:r>
      <w:r>
        <w:rPr>
          <w:spacing w:val="-14"/>
        </w:rPr>
        <w:t xml:space="preserve"> </w:t>
      </w:r>
      <w:r>
        <w:t>not</w:t>
      </w:r>
      <w:r>
        <w:rPr>
          <w:spacing w:val="-4"/>
        </w:rPr>
        <w:t xml:space="preserve"> </w:t>
      </w:r>
      <w:r>
        <w:t>impact</w:t>
      </w:r>
      <w:r>
        <w:rPr>
          <w:spacing w:val="-7"/>
        </w:rPr>
        <w:t xml:space="preserve"> </w:t>
      </w:r>
      <w:r>
        <w:t>on</w:t>
      </w:r>
      <w:r>
        <w:rPr>
          <w:spacing w:val="-9"/>
        </w:rPr>
        <w:t xml:space="preserve"> </w:t>
      </w:r>
      <w:r>
        <w:t>this</w:t>
      </w:r>
      <w:r>
        <w:rPr>
          <w:spacing w:val="-1"/>
        </w:rPr>
        <w:t xml:space="preserve"> </w:t>
      </w:r>
      <w:r>
        <w:t>resolution</w:t>
      </w:r>
      <w:r>
        <w:rPr>
          <w:spacing w:val="-9"/>
        </w:rPr>
        <w:t xml:space="preserve"> </w:t>
      </w:r>
      <w:r>
        <w:t>need</w:t>
      </w:r>
      <w:r>
        <w:rPr>
          <w:spacing w:val="-4"/>
        </w:rPr>
        <w:t xml:space="preserve"> </w:t>
      </w:r>
      <w:r>
        <w:t>not</w:t>
      </w:r>
      <w:r>
        <w:rPr>
          <w:spacing w:val="-2"/>
        </w:rPr>
        <w:t xml:space="preserve"> </w:t>
      </w:r>
      <w:r>
        <w:t>be determined.</w:t>
      </w:r>
      <w:r>
        <w:rPr>
          <w:spacing w:val="-14"/>
        </w:rPr>
        <w:t xml:space="preserve"> </w:t>
      </w:r>
      <w:hyperlink w:anchor="_bookmark125" w:history="1">
        <w:r>
          <w:rPr>
            <w:vertAlign w:val="superscript"/>
          </w:rPr>
          <w:t>93</w:t>
        </w:r>
      </w:hyperlink>
      <w:r>
        <w:rPr>
          <w:spacing w:val="-6"/>
        </w:rPr>
        <w:t xml:space="preserve"> </w:t>
      </w:r>
      <w:r>
        <w:t>Australia</w:t>
      </w:r>
      <w:r>
        <w:rPr>
          <w:spacing w:val="-8"/>
        </w:rPr>
        <w:t xml:space="preserve"> </w:t>
      </w:r>
      <w:r>
        <w:t>reserves</w:t>
      </w:r>
      <w:r>
        <w:rPr>
          <w:spacing w:val="-6"/>
        </w:rPr>
        <w:t xml:space="preserve"> </w:t>
      </w:r>
      <w:r>
        <w:t>its</w:t>
      </w:r>
      <w:r>
        <w:rPr>
          <w:spacing w:val="-6"/>
        </w:rPr>
        <w:t xml:space="preserve"> </w:t>
      </w:r>
      <w:r>
        <w:t>right</w:t>
      </w:r>
      <w:r>
        <w:rPr>
          <w:spacing w:val="-7"/>
        </w:rPr>
        <w:t xml:space="preserve"> </w:t>
      </w:r>
      <w:r>
        <w:t>to respond should China identify further translation discrepancies that it considers material to the resolution of the dispute.</w:t>
      </w:r>
    </w:p>
    <w:p w14:paraId="017D0246" w14:textId="77777777" w:rsidR="00BD462C" w:rsidRDefault="00033D0F">
      <w:pPr>
        <w:pStyle w:val="Heading1"/>
        <w:numPr>
          <w:ilvl w:val="0"/>
          <w:numId w:val="66"/>
        </w:numPr>
        <w:tabs>
          <w:tab w:val="left" w:pos="985"/>
          <w:tab w:val="left" w:pos="986"/>
        </w:tabs>
        <w:spacing w:before="157"/>
        <w:ind w:hanging="851"/>
      </w:pPr>
      <w:bookmarkStart w:id="145" w:name="III._Australia's_claims_concerning_the_d"/>
      <w:bookmarkStart w:id="146" w:name="_bookmark123"/>
      <w:bookmarkEnd w:id="145"/>
      <w:bookmarkEnd w:id="146"/>
      <w:r>
        <w:t>AUSTRALIA'S</w:t>
      </w:r>
      <w:r>
        <w:rPr>
          <w:spacing w:val="-10"/>
        </w:rPr>
        <w:t xml:space="preserve"> </w:t>
      </w:r>
      <w:r>
        <w:t>CLAIMS</w:t>
      </w:r>
      <w:r>
        <w:rPr>
          <w:spacing w:val="-10"/>
        </w:rPr>
        <w:t xml:space="preserve"> </w:t>
      </w:r>
      <w:r>
        <w:t>CONCERNING</w:t>
      </w:r>
      <w:r>
        <w:rPr>
          <w:spacing w:val="-7"/>
        </w:rPr>
        <w:t xml:space="preserve"> </w:t>
      </w:r>
      <w:r>
        <w:t>THE</w:t>
      </w:r>
      <w:r>
        <w:rPr>
          <w:spacing w:val="-9"/>
        </w:rPr>
        <w:t xml:space="preserve"> </w:t>
      </w:r>
      <w:r>
        <w:t>DUMPING</w:t>
      </w:r>
      <w:r>
        <w:rPr>
          <w:spacing w:val="-8"/>
        </w:rPr>
        <w:t xml:space="preserve"> </w:t>
      </w:r>
      <w:r>
        <w:rPr>
          <w:spacing w:val="-2"/>
        </w:rPr>
        <w:t>DETERMINATION</w:t>
      </w:r>
    </w:p>
    <w:p w14:paraId="33CCF03A" w14:textId="77777777" w:rsidR="00BD462C" w:rsidRDefault="00BD462C">
      <w:pPr>
        <w:pStyle w:val="BodyText"/>
        <w:spacing w:before="1"/>
        <w:rPr>
          <w:b/>
          <w:sz w:val="27"/>
        </w:rPr>
      </w:pPr>
    </w:p>
    <w:p w14:paraId="5828AEC5" w14:textId="77777777" w:rsidR="00BD462C" w:rsidRDefault="00033D0F">
      <w:pPr>
        <w:pStyle w:val="ListParagraph"/>
        <w:numPr>
          <w:ilvl w:val="1"/>
          <w:numId w:val="66"/>
        </w:numPr>
        <w:tabs>
          <w:tab w:val="left" w:pos="1839"/>
          <w:tab w:val="left" w:pos="1841"/>
        </w:tabs>
        <w:spacing w:before="0"/>
        <w:ind w:left="1840" w:hanging="856"/>
        <w:rPr>
          <w:b/>
        </w:rPr>
      </w:pPr>
      <w:bookmarkStart w:id="147" w:name="_bookmark124"/>
      <w:bookmarkEnd w:id="147"/>
      <w:r>
        <w:rPr>
          <w:b/>
          <w:spacing w:val="-2"/>
          <w:sz w:val="28"/>
        </w:rPr>
        <w:t>I</w:t>
      </w:r>
      <w:r>
        <w:rPr>
          <w:b/>
          <w:spacing w:val="-2"/>
        </w:rPr>
        <w:t>NTRODUCTION</w:t>
      </w:r>
    </w:p>
    <w:p w14:paraId="2BC5AEC5" w14:textId="77777777" w:rsidR="00BD462C" w:rsidRDefault="00BD462C">
      <w:pPr>
        <w:pStyle w:val="BodyText"/>
        <w:spacing w:before="9"/>
        <w:rPr>
          <w:b/>
          <w:sz w:val="22"/>
        </w:rPr>
      </w:pPr>
    </w:p>
    <w:p w14:paraId="59CE8CA3" w14:textId="2276BA40" w:rsidR="00BD462C" w:rsidRDefault="00033D0F" w:rsidP="00224967">
      <w:pPr>
        <w:pStyle w:val="BodyText"/>
        <w:numPr>
          <w:ilvl w:val="0"/>
          <w:numId w:val="68"/>
        </w:numPr>
        <w:spacing w:before="57" w:line="357" w:lineRule="auto"/>
        <w:ind w:right="918"/>
        <w:jc w:val="both"/>
      </w:pPr>
      <w:r>
        <w:rPr>
          <w:position w:val="1"/>
        </w:rPr>
        <w:t xml:space="preserve">In this section, Australia addresses China's issues that relate to the dumping </w:t>
      </w:r>
      <w:r>
        <w:t>determination in respect of the sampled companies. These are:</w:t>
      </w:r>
    </w:p>
    <w:p w14:paraId="63F63795" w14:textId="77777777" w:rsidR="00BD462C" w:rsidRDefault="00033D0F">
      <w:pPr>
        <w:pStyle w:val="ListParagraph"/>
        <w:numPr>
          <w:ilvl w:val="0"/>
          <w:numId w:val="64"/>
        </w:numPr>
        <w:tabs>
          <w:tab w:val="left" w:pos="1835"/>
          <w:tab w:val="left" w:pos="1836"/>
        </w:tabs>
        <w:spacing w:before="161" w:line="357" w:lineRule="auto"/>
        <w:ind w:right="918" w:hanging="855"/>
        <w:jc w:val="both"/>
        <w:rPr>
          <w:sz w:val="24"/>
        </w:rPr>
      </w:pPr>
      <w:r>
        <w:rPr>
          <w:sz w:val="24"/>
        </w:rPr>
        <w:t>China's</w:t>
      </w:r>
      <w:r>
        <w:rPr>
          <w:spacing w:val="-8"/>
          <w:sz w:val="24"/>
        </w:rPr>
        <w:t xml:space="preserve"> </w:t>
      </w:r>
      <w:r>
        <w:rPr>
          <w:sz w:val="24"/>
        </w:rPr>
        <w:t>contention</w:t>
      </w:r>
      <w:r>
        <w:rPr>
          <w:spacing w:val="-11"/>
          <w:sz w:val="24"/>
        </w:rPr>
        <w:t xml:space="preserve"> </w:t>
      </w:r>
      <w:r>
        <w:rPr>
          <w:sz w:val="24"/>
        </w:rPr>
        <w:t>that</w:t>
      </w:r>
      <w:r>
        <w:rPr>
          <w:spacing w:val="-9"/>
          <w:sz w:val="24"/>
        </w:rPr>
        <w:t xml:space="preserve"> </w:t>
      </w:r>
      <w:r>
        <w:rPr>
          <w:sz w:val="24"/>
        </w:rPr>
        <w:t>MOFCOM</w:t>
      </w:r>
      <w:r>
        <w:rPr>
          <w:spacing w:val="-9"/>
          <w:sz w:val="24"/>
        </w:rPr>
        <w:t xml:space="preserve"> </w:t>
      </w:r>
      <w:r>
        <w:rPr>
          <w:sz w:val="24"/>
        </w:rPr>
        <w:t>undertook</w:t>
      </w:r>
      <w:r>
        <w:rPr>
          <w:spacing w:val="-8"/>
          <w:sz w:val="24"/>
        </w:rPr>
        <w:t xml:space="preserve"> </w:t>
      </w:r>
      <w:r>
        <w:rPr>
          <w:sz w:val="24"/>
        </w:rPr>
        <w:t>a</w:t>
      </w:r>
      <w:r>
        <w:rPr>
          <w:spacing w:val="-5"/>
          <w:sz w:val="24"/>
        </w:rPr>
        <w:t xml:space="preserve"> </w:t>
      </w:r>
      <w:r>
        <w:rPr>
          <w:sz w:val="24"/>
        </w:rPr>
        <w:t>"holistic</w:t>
      </w:r>
      <w:r>
        <w:rPr>
          <w:spacing w:val="-10"/>
          <w:sz w:val="24"/>
        </w:rPr>
        <w:t xml:space="preserve"> </w:t>
      </w:r>
      <w:r>
        <w:rPr>
          <w:sz w:val="24"/>
        </w:rPr>
        <w:t>analysis"</w:t>
      </w:r>
      <w:r>
        <w:rPr>
          <w:spacing w:val="-10"/>
          <w:sz w:val="24"/>
        </w:rPr>
        <w:t xml:space="preserve"> </w:t>
      </w:r>
      <w:r>
        <w:rPr>
          <w:sz w:val="24"/>
        </w:rPr>
        <w:t>in</w:t>
      </w:r>
      <w:r>
        <w:rPr>
          <w:spacing w:val="-11"/>
          <w:sz w:val="24"/>
        </w:rPr>
        <w:t xml:space="preserve"> </w:t>
      </w:r>
      <w:r>
        <w:rPr>
          <w:sz w:val="24"/>
        </w:rPr>
        <w:t>deciding whether</w:t>
      </w:r>
      <w:r>
        <w:rPr>
          <w:spacing w:val="-11"/>
          <w:sz w:val="24"/>
        </w:rPr>
        <w:t xml:space="preserve"> </w:t>
      </w:r>
      <w:r>
        <w:rPr>
          <w:sz w:val="24"/>
        </w:rPr>
        <w:t>to</w:t>
      </w:r>
      <w:r>
        <w:rPr>
          <w:spacing w:val="-11"/>
          <w:sz w:val="24"/>
        </w:rPr>
        <w:t xml:space="preserve"> </w:t>
      </w:r>
      <w:r>
        <w:rPr>
          <w:sz w:val="24"/>
        </w:rPr>
        <w:t>resort</w:t>
      </w:r>
      <w:r>
        <w:rPr>
          <w:spacing w:val="-8"/>
          <w:sz w:val="24"/>
        </w:rPr>
        <w:t xml:space="preserve"> </w:t>
      </w:r>
      <w:r>
        <w:rPr>
          <w:sz w:val="24"/>
        </w:rPr>
        <w:t>to</w:t>
      </w:r>
      <w:r>
        <w:rPr>
          <w:spacing w:val="-11"/>
          <w:sz w:val="24"/>
        </w:rPr>
        <w:t xml:space="preserve"> </w:t>
      </w:r>
      <w:r>
        <w:rPr>
          <w:sz w:val="24"/>
        </w:rPr>
        <w:t>facts</w:t>
      </w:r>
      <w:r>
        <w:rPr>
          <w:spacing w:val="-7"/>
          <w:sz w:val="24"/>
        </w:rPr>
        <w:t xml:space="preserve"> </w:t>
      </w:r>
      <w:r>
        <w:rPr>
          <w:sz w:val="24"/>
        </w:rPr>
        <w:t>available</w:t>
      </w:r>
      <w:r>
        <w:rPr>
          <w:spacing w:val="-8"/>
          <w:sz w:val="24"/>
        </w:rPr>
        <w:t xml:space="preserve"> </w:t>
      </w:r>
      <w:r>
        <w:rPr>
          <w:sz w:val="24"/>
        </w:rPr>
        <w:t>for</w:t>
      </w:r>
      <w:r>
        <w:rPr>
          <w:spacing w:val="-11"/>
          <w:sz w:val="24"/>
        </w:rPr>
        <w:t xml:space="preserve"> </w:t>
      </w:r>
      <w:r>
        <w:rPr>
          <w:sz w:val="24"/>
        </w:rPr>
        <w:t>the</w:t>
      </w:r>
      <w:r>
        <w:rPr>
          <w:spacing w:val="-8"/>
          <w:sz w:val="24"/>
        </w:rPr>
        <w:t xml:space="preserve"> </w:t>
      </w:r>
      <w:r>
        <w:rPr>
          <w:sz w:val="24"/>
        </w:rPr>
        <w:t>purpose</w:t>
      </w:r>
      <w:r>
        <w:rPr>
          <w:spacing w:val="-8"/>
          <w:sz w:val="24"/>
        </w:rPr>
        <w:t xml:space="preserve"> </w:t>
      </w:r>
      <w:r>
        <w:rPr>
          <w:sz w:val="24"/>
        </w:rPr>
        <w:t>of</w:t>
      </w:r>
      <w:r>
        <w:rPr>
          <w:spacing w:val="-10"/>
          <w:sz w:val="24"/>
        </w:rPr>
        <w:t xml:space="preserve"> </w:t>
      </w:r>
      <w:r>
        <w:rPr>
          <w:sz w:val="24"/>
        </w:rPr>
        <w:t>determining</w:t>
      </w:r>
      <w:r>
        <w:rPr>
          <w:spacing w:val="-7"/>
          <w:sz w:val="24"/>
        </w:rPr>
        <w:t xml:space="preserve"> </w:t>
      </w:r>
      <w:r>
        <w:rPr>
          <w:sz w:val="24"/>
        </w:rPr>
        <w:t xml:space="preserve">dumping for the three sample </w:t>
      </w:r>
      <w:proofErr w:type="gramStart"/>
      <w:r>
        <w:rPr>
          <w:sz w:val="24"/>
        </w:rPr>
        <w:t>companies;</w:t>
      </w:r>
      <w:proofErr w:type="gramEnd"/>
      <w:r>
        <w:rPr>
          <w:sz w:val="24"/>
        </w:rPr>
        <w:t xml:space="preserve"> and</w:t>
      </w:r>
    </w:p>
    <w:p w14:paraId="77BF3E52" w14:textId="77777777" w:rsidR="00BD462C" w:rsidRDefault="00033D0F">
      <w:pPr>
        <w:pStyle w:val="ListParagraph"/>
        <w:numPr>
          <w:ilvl w:val="0"/>
          <w:numId w:val="64"/>
        </w:numPr>
        <w:tabs>
          <w:tab w:val="left" w:pos="1835"/>
          <w:tab w:val="left" w:pos="1836"/>
        </w:tabs>
        <w:spacing w:before="126" w:line="357" w:lineRule="auto"/>
        <w:ind w:right="916" w:hanging="855"/>
        <w:jc w:val="both"/>
        <w:rPr>
          <w:sz w:val="24"/>
        </w:rPr>
      </w:pPr>
      <w:r>
        <w:rPr>
          <w:sz w:val="24"/>
        </w:rPr>
        <w:t>certain legal issues concerning the obligation on MOFCOM to make a fair comparison pursuant to Article 2.4 of the Anti-Dumping Agreement.</w:t>
      </w:r>
    </w:p>
    <w:p w14:paraId="7EC6BEE7" w14:textId="77777777" w:rsidR="00BD462C" w:rsidRDefault="00BD462C">
      <w:pPr>
        <w:pStyle w:val="BodyText"/>
        <w:rPr>
          <w:sz w:val="20"/>
        </w:rPr>
      </w:pPr>
    </w:p>
    <w:p w14:paraId="2996B282" w14:textId="77777777" w:rsidR="00BD462C" w:rsidRDefault="00BD462C">
      <w:pPr>
        <w:pStyle w:val="BodyText"/>
        <w:rPr>
          <w:sz w:val="20"/>
        </w:rPr>
      </w:pPr>
    </w:p>
    <w:p w14:paraId="154AF22E" w14:textId="77777777" w:rsidR="00BD462C" w:rsidRDefault="00BD462C">
      <w:pPr>
        <w:pStyle w:val="BodyText"/>
        <w:rPr>
          <w:sz w:val="20"/>
        </w:rPr>
      </w:pPr>
    </w:p>
    <w:p w14:paraId="77399717" w14:textId="77777777" w:rsidR="00BD462C" w:rsidRDefault="00BD462C">
      <w:pPr>
        <w:pStyle w:val="BodyText"/>
        <w:rPr>
          <w:sz w:val="20"/>
        </w:rPr>
      </w:pPr>
    </w:p>
    <w:p w14:paraId="77663906" w14:textId="5E77435B" w:rsidR="00BD462C" w:rsidRDefault="009A6330">
      <w:pPr>
        <w:pStyle w:val="BodyText"/>
        <w:spacing w:before="5"/>
        <w:rPr>
          <w:sz w:val="28"/>
        </w:rPr>
      </w:pPr>
      <w:r>
        <w:rPr>
          <w:noProof/>
        </w:rPr>
        <mc:AlternateContent>
          <mc:Choice Requires="wps">
            <w:drawing>
              <wp:anchor distT="0" distB="0" distL="0" distR="0" simplePos="0" relativeHeight="487971328" behindDoc="1" locked="0" layoutInCell="1" allowOverlap="1" wp14:anchorId="205FD878" wp14:editId="133B070A">
                <wp:simplePos x="0" y="0"/>
                <wp:positionH relativeFrom="page">
                  <wp:posOffset>812800</wp:posOffset>
                </wp:positionH>
                <wp:positionV relativeFrom="paragraph">
                  <wp:posOffset>231189</wp:posOffset>
                </wp:positionV>
                <wp:extent cx="1828800" cy="8890"/>
                <wp:effectExtent l="0" t="0" r="0" b="0"/>
                <wp:wrapTopAndBottom/>
                <wp:docPr id="420" name="docshape7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229F2D" id="docshape712" o:spid="_x0000_s1026" alt="&quot;&quot;" style="position:absolute;margin-left:64pt;margin-top:18.2pt;width:2in;height:.7pt;z-index:-15345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" fillcolor="black" stroked="f">
                <w10:wrap type="topAndBottom" anchorx="page"/>
              </v:rect>
            </w:pict>
          </mc:Fallback>
        </mc:AlternateContent>
      </w:r>
    </w:p>
    <w:p w14:paraId="27A69C22" w14:textId="77777777" w:rsidR="00BD462C" w:rsidRDefault="00033D0F">
      <w:pPr>
        <w:spacing w:before="112"/>
        <w:ind w:left="136" w:right="910" w:hanging="1"/>
        <w:jc w:val="both"/>
        <w:rPr>
          <w:sz w:val="18"/>
        </w:rPr>
      </w:pPr>
      <w:bookmarkStart w:id="148" w:name="_bookmark125"/>
      <w:bookmarkEnd w:id="148"/>
      <w:r>
        <w:rPr>
          <w:position w:val="5"/>
          <w:sz w:val="12"/>
        </w:rPr>
        <w:t>93</w:t>
      </w:r>
      <w:r>
        <w:rPr>
          <w:spacing w:val="15"/>
          <w:position w:val="5"/>
          <w:sz w:val="12"/>
        </w:rPr>
        <w:t xml:space="preserve"> </w:t>
      </w:r>
      <w:r>
        <w:rPr>
          <w:sz w:val="18"/>
        </w:rPr>
        <w:t>Panel</w:t>
      </w:r>
      <w:r>
        <w:rPr>
          <w:spacing w:val="-2"/>
          <w:sz w:val="18"/>
        </w:rPr>
        <w:t xml:space="preserve"> </w:t>
      </w:r>
      <w:r>
        <w:rPr>
          <w:sz w:val="18"/>
        </w:rPr>
        <w:t xml:space="preserve">Reports, </w:t>
      </w:r>
      <w:r>
        <w:rPr>
          <w:i/>
          <w:sz w:val="18"/>
        </w:rPr>
        <w:t>China</w:t>
      </w:r>
      <w:r>
        <w:rPr>
          <w:i/>
          <w:spacing w:val="-2"/>
          <w:sz w:val="18"/>
        </w:rPr>
        <w:t xml:space="preserve"> </w:t>
      </w:r>
      <w:r>
        <w:rPr>
          <w:i/>
          <w:sz w:val="18"/>
        </w:rPr>
        <w:t>–</w:t>
      </w:r>
      <w:r>
        <w:rPr>
          <w:i/>
          <w:spacing w:val="-3"/>
          <w:sz w:val="18"/>
        </w:rPr>
        <w:t xml:space="preserve"> </w:t>
      </w:r>
      <w:r>
        <w:rPr>
          <w:i/>
          <w:sz w:val="18"/>
        </w:rPr>
        <w:t>Publications</w:t>
      </w:r>
      <w:r>
        <w:rPr>
          <w:i/>
          <w:spacing w:val="-3"/>
          <w:sz w:val="18"/>
        </w:rPr>
        <w:t xml:space="preserve"> </w:t>
      </w:r>
      <w:r>
        <w:rPr>
          <w:i/>
          <w:sz w:val="18"/>
        </w:rPr>
        <w:t>and Audiovisual</w:t>
      </w:r>
      <w:r>
        <w:rPr>
          <w:i/>
          <w:spacing w:val="-2"/>
          <w:sz w:val="18"/>
        </w:rPr>
        <w:t xml:space="preserve"> </w:t>
      </w:r>
      <w:r>
        <w:rPr>
          <w:i/>
          <w:sz w:val="18"/>
        </w:rPr>
        <w:t>Products</w:t>
      </w:r>
      <w:r>
        <w:rPr>
          <w:sz w:val="18"/>
        </w:rPr>
        <w:t>,</w:t>
      </w:r>
      <w:r>
        <w:rPr>
          <w:spacing w:val="-1"/>
          <w:sz w:val="18"/>
        </w:rPr>
        <w:t xml:space="preserve"> </w:t>
      </w:r>
      <w:r>
        <w:rPr>
          <w:sz w:val="18"/>
        </w:rPr>
        <w:t xml:space="preserve">para. 7.1391; </w:t>
      </w:r>
      <w:r>
        <w:rPr>
          <w:i/>
          <w:sz w:val="18"/>
        </w:rPr>
        <w:t>China</w:t>
      </w:r>
      <w:r>
        <w:rPr>
          <w:i/>
          <w:spacing w:val="-2"/>
          <w:sz w:val="18"/>
        </w:rPr>
        <w:t xml:space="preserve"> </w:t>
      </w:r>
      <w:r>
        <w:rPr>
          <w:i/>
          <w:sz w:val="18"/>
        </w:rPr>
        <w:t>–</w:t>
      </w:r>
      <w:r>
        <w:rPr>
          <w:i/>
          <w:spacing w:val="-3"/>
          <w:sz w:val="18"/>
        </w:rPr>
        <w:t xml:space="preserve"> </w:t>
      </w:r>
      <w:r>
        <w:rPr>
          <w:i/>
          <w:sz w:val="18"/>
        </w:rPr>
        <w:t>Rare</w:t>
      </w:r>
      <w:r>
        <w:rPr>
          <w:i/>
          <w:spacing w:val="-4"/>
          <w:sz w:val="18"/>
        </w:rPr>
        <w:t xml:space="preserve"> </w:t>
      </w:r>
      <w:r>
        <w:rPr>
          <w:i/>
          <w:sz w:val="18"/>
        </w:rPr>
        <w:t>Earths,</w:t>
      </w:r>
      <w:r>
        <w:rPr>
          <w:i/>
          <w:spacing w:val="-1"/>
          <w:sz w:val="18"/>
        </w:rPr>
        <w:t xml:space="preserve"> </w:t>
      </w:r>
      <w:r>
        <w:rPr>
          <w:sz w:val="18"/>
        </w:rPr>
        <w:t>para.</w:t>
      </w:r>
      <w:r>
        <w:rPr>
          <w:spacing w:val="-2"/>
          <w:sz w:val="18"/>
        </w:rPr>
        <w:t xml:space="preserve"> </w:t>
      </w:r>
      <w:r>
        <w:rPr>
          <w:sz w:val="18"/>
        </w:rPr>
        <w:t>7.1052;</w:t>
      </w:r>
      <w:r>
        <w:rPr>
          <w:spacing w:val="-5"/>
          <w:sz w:val="18"/>
        </w:rPr>
        <w:t xml:space="preserve"> </w:t>
      </w:r>
      <w:r>
        <w:rPr>
          <w:i/>
          <w:sz w:val="18"/>
        </w:rPr>
        <w:t>China</w:t>
      </w:r>
      <w:r>
        <w:rPr>
          <w:i/>
          <w:spacing w:val="-2"/>
          <w:sz w:val="18"/>
        </w:rPr>
        <w:t xml:space="preserve"> </w:t>
      </w:r>
      <w:r>
        <w:rPr>
          <w:i/>
          <w:sz w:val="18"/>
        </w:rPr>
        <w:t>–</w:t>
      </w:r>
      <w:r>
        <w:rPr>
          <w:i/>
          <w:spacing w:val="-3"/>
          <w:sz w:val="18"/>
        </w:rPr>
        <w:t xml:space="preserve"> </w:t>
      </w:r>
      <w:r>
        <w:rPr>
          <w:i/>
          <w:sz w:val="18"/>
        </w:rPr>
        <w:t>HP- SSST</w:t>
      </w:r>
      <w:r>
        <w:rPr>
          <w:sz w:val="18"/>
        </w:rPr>
        <w:t>,</w:t>
      </w:r>
      <w:r>
        <w:rPr>
          <w:spacing w:val="-1"/>
          <w:sz w:val="18"/>
        </w:rPr>
        <w:t xml:space="preserve"> </w:t>
      </w:r>
      <w:proofErr w:type="spellStart"/>
      <w:r>
        <w:rPr>
          <w:sz w:val="18"/>
        </w:rPr>
        <w:t>fns</w:t>
      </w:r>
      <w:proofErr w:type="spellEnd"/>
      <w:r>
        <w:rPr>
          <w:sz w:val="18"/>
        </w:rPr>
        <w:t>. 137, 254,</w:t>
      </w:r>
      <w:r>
        <w:rPr>
          <w:spacing w:val="-1"/>
          <w:sz w:val="18"/>
        </w:rPr>
        <w:t xml:space="preserve"> </w:t>
      </w:r>
      <w:r>
        <w:rPr>
          <w:sz w:val="18"/>
        </w:rPr>
        <w:t>262</w:t>
      </w:r>
      <w:r>
        <w:rPr>
          <w:spacing w:val="-5"/>
          <w:sz w:val="18"/>
        </w:rPr>
        <w:t xml:space="preserve"> </w:t>
      </w:r>
      <w:r>
        <w:rPr>
          <w:sz w:val="18"/>
        </w:rPr>
        <w:t>(confirmed</w:t>
      </w:r>
      <w:r>
        <w:rPr>
          <w:spacing w:val="-4"/>
          <w:sz w:val="18"/>
        </w:rPr>
        <w:t xml:space="preserve"> </w:t>
      </w:r>
      <w:r>
        <w:rPr>
          <w:sz w:val="18"/>
        </w:rPr>
        <w:t>in</w:t>
      </w:r>
      <w:r>
        <w:rPr>
          <w:spacing w:val="-4"/>
          <w:sz w:val="18"/>
        </w:rPr>
        <w:t xml:space="preserve"> </w:t>
      </w:r>
      <w:r>
        <w:rPr>
          <w:sz w:val="18"/>
        </w:rPr>
        <w:t>Appellate</w:t>
      </w:r>
      <w:r>
        <w:rPr>
          <w:spacing w:val="-8"/>
          <w:sz w:val="18"/>
        </w:rPr>
        <w:t xml:space="preserve"> </w:t>
      </w:r>
      <w:r>
        <w:rPr>
          <w:sz w:val="18"/>
        </w:rPr>
        <w:t>Body</w:t>
      </w:r>
      <w:r>
        <w:rPr>
          <w:spacing w:val="-5"/>
          <w:sz w:val="18"/>
        </w:rPr>
        <w:t xml:space="preserve"> </w:t>
      </w:r>
      <w:r>
        <w:rPr>
          <w:sz w:val="18"/>
        </w:rPr>
        <w:t>Report,</w:t>
      </w:r>
      <w:r>
        <w:rPr>
          <w:spacing w:val="-1"/>
          <w:sz w:val="18"/>
        </w:rPr>
        <w:t xml:space="preserve"> </w:t>
      </w:r>
      <w:r>
        <w:rPr>
          <w:i/>
          <w:sz w:val="18"/>
        </w:rPr>
        <w:t>China</w:t>
      </w:r>
      <w:r>
        <w:rPr>
          <w:i/>
          <w:spacing w:val="-2"/>
          <w:sz w:val="18"/>
        </w:rPr>
        <w:t xml:space="preserve"> </w:t>
      </w:r>
      <w:r>
        <w:rPr>
          <w:i/>
          <w:sz w:val="18"/>
        </w:rPr>
        <w:t>–</w:t>
      </w:r>
      <w:r>
        <w:rPr>
          <w:i/>
          <w:spacing w:val="-3"/>
          <w:sz w:val="18"/>
        </w:rPr>
        <w:t xml:space="preserve"> </w:t>
      </w:r>
      <w:r>
        <w:rPr>
          <w:i/>
          <w:sz w:val="18"/>
        </w:rPr>
        <w:t>HP-SSST,</w:t>
      </w:r>
      <w:r>
        <w:rPr>
          <w:i/>
          <w:spacing w:val="-1"/>
          <w:sz w:val="18"/>
        </w:rPr>
        <w:t xml:space="preserve"> </w:t>
      </w:r>
      <w:r>
        <w:rPr>
          <w:sz w:val="18"/>
        </w:rPr>
        <w:t>para. 5.58);</w:t>
      </w:r>
      <w:r>
        <w:rPr>
          <w:spacing w:val="-5"/>
          <w:sz w:val="18"/>
        </w:rPr>
        <w:t xml:space="preserve"> </w:t>
      </w:r>
      <w:r>
        <w:rPr>
          <w:i/>
          <w:sz w:val="18"/>
        </w:rPr>
        <w:t>China</w:t>
      </w:r>
      <w:r>
        <w:rPr>
          <w:i/>
          <w:spacing w:val="-2"/>
          <w:sz w:val="18"/>
        </w:rPr>
        <w:t xml:space="preserve"> </w:t>
      </w:r>
      <w:r>
        <w:rPr>
          <w:i/>
          <w:sz w:val="18"/>
        </w:rPr>
        <w:t>–</w:t>
      </w:r>
      <w:r>
        <w:rPr>
          <w:i/>
          <w:spacing w:val="-3"/>
          <w:sz w:val="18"/>
        </w:rPr>
        <w:t xml:space="preserve"> </w:t>
      </w:r>
      <w:r>
        <w:rPr>
          <w:i/>
          <w:sz w:val="18"/>
        </w:rPr>
        <w:t>Broiler</w:t>
      </w:r>
      <w:r>
        <w:rPr>
          <w:i/>
          <w:spacing w:val="-4"/>
          <w:sz w:val="18"/>
        </w:rPr>
        <w:t xml:space="preserve"> </w:t>
      </w:r>
      <w:r>
        <w:rPr>
          <w:i/>
          <w:sz w:val="18"/>
        </w:rPr>
        <w:t>Products</w:t>
      </w:r>
      <w:r>
        <w:rPr>
          <w:sz w:val="18"/>
        </w:rPr>
        <w:t>,</w:t>
      </w:r>
      <w:r>
        <w:rPr>
          <w:spacing w:val="-1"/>
          <w:sz w:val="18"/>
        </w:rPr>
        <w:t xml:space="preserve"> </w:t>
      </w:r>
      <w:proofErr w:type="spellStart"/>
      <w:r>
        <w:rPr>
          <w:sz w:val="18"/>
        </w:rPr>
        <w:t>fns</w:t>
      </w:r>
      <w:proofErr w:type="spellEnd"/>
      <w:r>
        <w:rPr>
          <w:sz w:val="18"/>
        </w:rPr>
        <w:t>.</w:t>
      </w:r>
      <w:r>
        <w:rPr>
          <w:spacing w:val="-2"/>
          <w:sz w:val="18"/>
        </w:rPr>
        <w:t xml:space="preserve"> </w:t>
      </w:r>
      <w:r>
        <w:rPr>
          <w:sz w:val="18"/>
        </w:rPr>
        <w:t xml:space="preserve">434 and 760; </w:t>
      </w:r>
      <w:r>
        <w:rPr>
          <w:i/>
          <w:sz w:val="18"/>
        </w:rPr>
        <w:t>Korea – Certain Paper (Art 21.5)</w:t>
      </w:r>
      <w:r>
        <w:rPr>
          <w:sz w:val="18"/>
        </w:rPr>
        <w:t>, fn. 96.</w:t>
      </w:r>
    </w:p>
    <w:p w14:paraId="3DC08F0E" w14:textId="77777777" w:rsidR="00BD462C" w:rsidRDefault="00BD462C">
      <w:pPr>
        <w:jc w:val="both"/>
        <w:rPr>
          <w:sz w:val="18"/>
        </w:rPr>
        <w:sectPr w:rsidR="00BD462C">
          <w:pgSz w:w="11910" w:h="16840"/>
          <w:pgMar w:top="860" w:right="500" w:bottom="780" w:left="1280" w:header="566" w:footer="590" w:gutter="0"/>
          <w:cols w:space="720"/>
        </w:sectPr>
      </w:pPr>
    </w:p>
    <w:p w14:paraId="1F3CE999"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7EDA606E"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1AB2519A"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45F13B50" w14:textId="6E5C7851" w:rsidR="00BD462C" w:rsidRDefault="00033D0F" w:rsidP="00224967">
      <w:pPr>
        <w:pStyle w:val="BodyText"/>
        <w:numPr>
          <w:ilvl w:val="0"/>
          <w:numId w:val="68"/>
        </w:numPr>
        <w:spacing w:before="107" w:line="357" w:lineRule="auto"/>
        <w:ind w:right="918"/>
        <w:jc w:val="both"/>
      </w:pPr>
      <w:r>
        <w:rPr>
          <w:position w:val="1"/>
        </w:rPr>
        <w:t>Australia</w:t>
      </w:r>
      <w:r>
        <w:rPr>
          <w:spacing w:val="-3"/>
          <w:position w:val="1"/>
        </w:rPr>
        <w:t xml:space="preserve"> </w:t>
      </w:r>
      <w:r>
        <w:rPr>
          <w:position w:val="1"/>
        </w:rPr>
        <w:t>then</w:t>
      </w:r>
      <w:r>
        <w:rPr>
          <w:spacing w:val="-4"/>
          <w:position w:val="1"/>
        </w:rPr>
        <w:t xml:space="preserve"> </w:t>
      </w:r>
      <w:r>
        <w:rPr>
          <w:position w:val="1"/>
        </w:rPr>
        <w:t>sets</w:t>
      </w:r>
      <w:r>
        <w:rPr>
          <w:spacing w:val="-1"/>
          <w:position w:val="1"/>
        </w:rPr>
        <w:t xml:space="preserve"> </w:t>
      </w:r>
      <w:r>
        <w:rPr>
          <w:position w:val="1"/>
        </w:rPr>
        <w:t>out</w:t>
      </w:r>
      <w:r>
        <w:rPr>
          <w:spacing w:val="-2"/>
          <w:position w:val="1"/>
        </w:rPr>
        <w:t xml:space="preserve"> </w:t>
      </w:r>
      <w:r>
        <w:rPr>
          <w:position w:val="1"/>
        </w:rPr>
        <w:t>its</w:t>
      </w:r>
      <w:r>
        <w:rPr>
          <w:spacing w:val="-1"/>
          <w:position w:val="1"/>
        </w:rPr>
        <w:t xml:space="preserve"> </w:t>
      </w:r>
      <w:r>
        <w:rPr>
          <w:position w:val="1"/>
        </w:rPr>
        <w:t>claims</w:t>
      </w:r>
      <w:r>
        <w:rPr>
          <w:spacing w:val="-1"/>
          <w:position w:val="1"/>
        </w:rPr>
        <w:t xml:space="preserve"> </w:t>
      </w:r>
      <w:r>
        <w:rPr>
          <w:position w:val="1"/>
        </w:rPr>
        <w:t>with</w:t>
      </w:r>
      <w:r>
        <w:rPr>
          <w:spacing w:val="-4"/>
          <w:position w:val="1"/>
        </w:rPr>
        <w:t xml:space="preserve"> </w:t>
      </w:r>
      <w:r>
        <w:rPr>
          <w:position w:val="1"/>
        </w:rPr>
        <w:t>respect</w:t>
      </w:r>
      <w:r>
        <w:rPr>
          <w:spacing w:val="-2"/>
          <w:position w:val="1"/>
        </w:rPr>
        <w:t xml:space="preserve"> </w:t>
      </w:r>
      <w:r>
        <w:rPr>
          <w:position w:val="1"/>
        </w:rPr>
        <w:t>to</w:t>
      </w:r>
      <w:r>
        <w:rPr>
          <w:spacing w:val="-5"/>
          <w:position w:val="1"/>
        </w:rPr>
        <w:t xml:space="preserve"> </w:t>
      </w:r>
      <w:r>
        <w:rPr>
          <w:position w:val="1"/>
        </w:rPr>
        <w:t>MOFCOM's</w:t>
      </w:r>
      <w:r>
        <w:rPr>
          <w:spacing w:val="-1"/>
          <w:position w:val="1"/>
        </w:rPr>
        <w:t xml:space="preserve"> </w:t>
      </w:r>
      <w:r>
        <w:rPr>
          <w:position w:val="1"/>
        </w:rPr>
        <w:t>dumping</w:t>
      </w:r>
      <w:r>
        <w:rPr>
          <w:spacing w:val="-1"/>
          <w:position w:val="1"/>
        </w:rPr>
        <w:t xml:space="preserve"> </w:t>
      </w:r>
      <w:r>
        <w:rPr>
          <w:position w:val="1"/>
        </w:rPr>
        <w:t xml:space="preserve">determination </w:t>
      </w:r>
      <w:r>
        <w:t>for each of the sampled companies, Treasury Wines, Casella Wines, and Swan Vintage, followed by the "Other named Australian exporters", and the "All Others" rate.</w:t>
      </w:r>
    </w:p>
    <w:p w14:paraId="527D5902" w14:textId="77777777" w:rsidR="00BD462C" w:rsidRDefault="00033D0F">
      <w:pPr>
        <w:pStyle w:val="ListParagraph"/>
        <w:numPr>
          <w:ilvl w:val="1"/>
          <w:numId w:val="66"/>
        </w:numPr>
        <w:tabs>
          <w:tab w:val="left" w:pos="1839"/>
          <w:tab w:val="left" w:pos="1840"/>
        </w:tabs>
        <w:spacing w:before="165" w:line="398" w:lineRule="auto"/>
        <w:ind w:right="917"/>
        <w:rPr>
          <w:b/>
        </w:rPr>
      </w:pPr>
      <w:bookmarkStart w:id="149" w:name="B._MOFCOM_did_not_undertake_a_&quot;holistic_"/>
      <w:bookmarkStart w:id="150" w:name="_bookmark126"/>
      <w:bookmarkEnd w:id="149"/>
      <w:bookmarkEnd w:id="150"/>
      <w:r>
        <w:rPr>
          <w:b/>
          <w:sz w:val="28"/>
        </w:rPr>
        <w:t>MOFCOM</w:t>
      </w:r>
      <w:r>
        <w:rPr>
          <w:b/>
          <w:spacing w:val="79"/>
          <w:sz w:val="28"/>
        </w:rPr>
        <w:t xml:space="preserve"> </w:t>
      </w:r>
      <w:r>
        <w:rPr>
          <w:b/>
        </w:rPr>
        <w:t>DID</w:t>
      </w:r>
      <w:r>
        <w:rPr>
          <w:b/>
          <w:spacing w:val="80"/>
        </w:rPr>
        <w:t xml:space="preserve"> </w:t>
      </w:r>
      <w:r>
        <w:rPr>
          <w:b/>
        </w:rPr>
        <w:t>NOT</w:t>
      </w:r>
      <w:r>
        <w:rPr>
          <w:b/>
          <w:spacing w:val="80"/>
        </w:rPr>
        <w:t xml:space="preserve"> </w:t>
      </w:r>
      <w:r>
        <w:rPr>
          <w:b/>
        </w:rPr>
        <w:t>UNDERTAKE</w:t>
      </w:r>
      <w:r>
        <w:rPr>
          <w:b/>
          <w:spacing w:val="80"/>
        </w:rPr>
        <w:t xml:space="preserve"> </w:t>
      </w:r>
      <w:r>
        <w:rPr>
          <w:b/>
        </w:rPr>
        <w:t>A</w:t>
      </w:r>
      <w:r>
        <w:rPr>
          <w:b/>
          <w:spacing w:val="80"/>
        </w:rPr>
        <w:t xml:space="preserve"> </w:t>
      </w:r>
      <w:r>
        <w:rPr>
          <w:b/>
          <w:sz w:val="28"/>
        </w:rPr>
        <w:t>"</w:t>
      </w:r>
      <w:r>
        <w:rPr>
          <w:b/>
        </w:rPr>
        <w:t>HOLISTIC</w:t>
      </w:r>
      <w:r>
        <w:rPr>
          <w:b/>
          <w:spacing w:val="80"/>
        </w:rPr>
        <w:t xml:space="preserve"> </w:t>
      </w:r>
      <w:r>
        <w:rPr>
          <w:b/>
        </w:rPr>
        <w:t>ANALYSIS</w:t>
      </w:r>
      <w:r>
        <w:rPr>
          <w:b/>
          <w:sz w:val="28"/>
        </w:rPr>
        <w:t>"</w:t>
      </w:r>
      <w:r>
        <w:rPr>
          <w:b/>
          <w:spacing w:val="40"/>
          <w:sz w:val="28"/>
        </w:rPr>
        <w:t xml:space="preserve"> </w:t>
      </w:r>
      <w:r>
        <w:rPr>
          <w:b/>
        </w:rPr>
        <w:t>IN</w:t>
      </w:r>
      <w:r>
        <w:rPr>
          <w:b/>
          <w:spacing w:val="80"/>
        </w:rPr>
        <w:t xml:space="preserve"> </w:t>
      </w:r>
      <w:r>
        <w:rPr>
          <w:b/>
        </w:rPr>
        <w:t>DECIDING WHETHER TO RESORT TO FACTS AVAILABLE</w:t>
      </w:r>
    </w:p>
    <w:p w14:paraId="2DCC7F9D" w14:textId="77777777" w:rsidR="00BD462C" w:rsidRDefault="00BD462C">
      <w:pPr>
        <w:pStyle w:val="BodyText"/>
        <w:spacing w:before="10"/>
        <w:rPr>
          <w:b/>
          <w:sz w:val="9"/>
        </w:rPr>
      </w:pPr>
    </w:p>
    <w:p w14:paraId="1948745E" w14:textId="68BE8FF5" w:rsidR="00BD462C" w:rsidRDefault="00033D0F" w:rsidP="00224967">
      <w:pPr>
        <w:pStyle w:val="BodyText"/>
        <w:numPr>
          <w:ilvl w:val="0"/>
          <w:numId w:val="68"/>
        </w:numPr>
        <w:spacing w:before="56" w:line="360" w:lineRule="auto"/>
        <w:ind w:right="909"/>
        <w:jc w:val="both"/>
      </w:pPr>
      <w:r>
        <w:rPr>
          <w:position w:val="1"/>
        </w:rPr>
        <w:t>In its first written submission, China asks the Panel</w:t>
      </w:r>
      <w:r>
        <w:rPr>
          <w:spacing w:val="40"/>
          <w:position w:val="1"/>
        </w:rPr>
        <w:t xml:space="preserve"> </w:t>
      </w:r>
      <w:r>
        <w:rPr>
          <w:position w:val="1"/>
        </w:rPr>
        <w:t>to</w:t>
      </w:r>
      <w:r>
        <w:rPr>
          <w:spacing w:val="40"/>
          <w:position w:val="1"/>
        </w:rPr>
        <w:t xml:space="preserve"> </w:t>
      </w:r>
      <w:r>
        <w:rPr>
          <w:position w:val="1"/>
        </w:rPr>
        <w:t>consider</w:t>
      </w:r>
      <w:r>
        <w:rPr>
          <w:spacing w:val="40"/>
          <w:position w:val="1"/>
        </w:rPr>
        <w:t xml:space="preserve"> </w:t>
      </w:r>
      <w:r>
        <w:rPr>
          <w:position w:val="1"/>
        </w:rPr>
        <w:t xml:space="preserve">the alleged </w:t>
      </w:r>
      <w:r>
        <w:t>"deficiencies</w:t>
      </w:r>
      <w:r>
        <w:rPr>
          <w:spacing w:val="40"/>
        </w:rPr>
        <w:t xml:space="preserve"> </w:t>
      </w:r>
      <w:r>
        <w:t>[in</w:t>
      </w:r>
      <w:r>
        <w:rPr>
          <w:spacing w:val="40"/>
        </w:rPr>
        <w:t xml:space="preserve"> </w:t>
      </w:r>
      <w:r>
        <w:t>the</w:t>
      </w:r>
      <w:r>
        <w:rPr>
          <w:spacing w:val="40"/>
        </w:rPr>
        <w:t xml:space="preserve"> </w:t>
      </w:r>
      <w:r>
        <w:t>information</w:t>
      </w:r>
      <w:r>
        <w:rPr>
          <w:spacing w:val="40"/>
        </w:rPr>
        <w:t xml:space="preserve"> </w:t>
      </w:r>
      <w:r>
        <w:t>submitted</w:t>
      </w:r>
      <w:r>
        <w:rPr>
          <w:spacing w:val="40"/>
        </w:rPr>
        <w:t xml:space="preserve"> </w:t>
      </w:r>
      <w:r>
        <w:t>by</w:t>
      </w:r>
      <w:r>
        <w:rPr>
          <w:spacing w:val="40"/>
        </w:rPr>
        <w:t xml:space="preserve"> </w:t>
      </w:r>
      <w:r>
        <w:t>the</w:t>
      </w:r>
      <w:r>
        <w:rPr>
          <w:spacing w:val="40"/>
        </w:rPr>
        <w:t xml:space="preserve"> </w:t>
      </w:r>
      <w:r>
        <w:t>sampled</w:t>
      </w:r>
      <w:r>
        <w:rPr>
          <w:spacing w:val="40"/>
        </w:rPr>
        <w:t xml:space="preserve"> </w:t>
      </w:r>
      <w:r>
        <w:t>companies]</w:t>
      </w:r>
      <w:r>
        <w:rPr>
          <w:spacing w:val="40"/>
        </w:rPr>
        <w:t xml:space="preserve"> </w:t>
      </w:r>
      <w:r>
        <w:t>holistically,</w:t>
      </w:r>
      <w:r>
        <w:rPr>
          <w:spacing w:val="40"/>
        </w:rPr>
        <w:t xml:space="preserve"> </w:t>
      </w:r>
      <w:r>
        <w:t>and not</w:t>
      </w:r>
      <w:r>
        <w:rPr>
          <w:spacing w:val="-1"/>
        </w:rPr>
        <w:t xml:space="preserve"> </w:t>
      </w:r>
      <w:r>
        <w:t>[…] on an individual basis."</w:t>
      </w:r>
      <w:hyperlink w:anchor="_bookmark128" w:history="1">
        <w:r>
          <w:rPr>
            <w:vertAlign w:val="superscript"/>
          </w:rPr>
          <w:t>94</w:t>
        </w:r>
      </w:hyperlink>
      <w:r>
        <w:t xml:space="preserve"> According to China, MOFCOM's decision to resort to facts available was made on the basis of a particular deficiency "combined with all the other deficiencies" identified by MOFCOM.</w:t>
      </w:r>
      <w:hyperlink w:anchor="_bookmark129" w:history="1">
        <w:r>
          <w:rPr>
            <w:vertAlign w:val="superscript"/>
          </w:rPr>
          <w:t>95</w:t>
        </w:r>
      </w:hyperlink>
      <w:r>
        <w:t xml:space="preserve"> Moreover, China contends that some deficiencies were</w:t>
      </w:r>
      <w:r>
        <w:rPr>
          <w:spacing w:val="-14"/>
        </w:rPr>
        <w:t xml:space="preserve"> </w:t>
      </w:r>
      <w:r>
        <w:t>more</w:t>
      </w:r>
      <w:r>
        <w:rPr>
          <w:spacing w:val="-14"/>
        </w:rPr>
        <w:t xml:space="preserve"> </w:t>
      </w:r>
      <w:r>
        <w:t>important</w:t>
      </w:r>
      <w:r>
        <w:rPr>
          <w:spacing w:val="-5"/>
        </w:rPr>
        <w:t xml:space="preserve"> </w:t>
      </w:r>
      <w:r>
        <w:t>than</w:t>
      </w:r>
      <w:r>
        <w:rPr>
          <w:spacing w:val="-5"/>
        </w:rPr>
        <w:t xml:space="preserve"> </w:t>
      </w:r>
      <w:r>
        <w:t>others</w:t>
      </w:r>
      <w:r>
        <w:rPr>
          <w:spacing w:val="-2"/>
        </w:rPr>
        <w:t xml:space="preserve"> </w:t>
      </w:r>
      <w:r>
        <w:t>in</w:t>
      </w:r>
      <w:r>
        <w:rPr>
          <w:spacing w:val="-5"/>
        </w:rPr>
        <w:t xml:space="preserve"> </w:t>
      </w:r>
      <w:r>
        <w:t>reaching</w:t>
      </w:r>
      <w:r>
        <w:rPr>
          <w:spacing w:val="-7"/>
        </w:rPr>
        <w:t xml:space="preserve"> </w:t>
      </w:r>
      <w:r>
        <w:t>the decision</w:t>
      </w:r>
      <w:r>
        <w:rPr>
          <w:spacing w:val="-10"/>
        </w:rPr>
        <w:t xml:space="preserve"> </w:t>
      </w:r>
      <w:r>
        <w:t>to</w:t>
      </w:r>
      <w:r>
        <w:rPr>
          <w:spacing w:val="-11"/>
        </w:rPr>
        <w:t xml:space="preserve"> </w:t>
      </w:r>
      <w:r>
        <w:t>apply</w:t>
      </w:r>
      <w:r>
        <w:rPr>
          <w:spacing w:val="-2"/>
        </w:rPr>
        <w:t xml:space="preserve"> </w:t>
      </w:r>
      <w:r>
        <w:t>facts</w:t>
      </w:r>
      <w:r>
        <w:rPr>
          <w:spacing w:val="-7"/>
        </w:rPr>
        <w:t xml:space="preserve"> </w:t>
      </w:r>
      <w:r>
        <w:t>available.</w:t>
      </w:r>
      <w:r>
        <w:rPr>
          <w:spacing w:val="-14"/>
        </w:rPr>
        <w:t xml:space="preserve"> </w:t>
      </w:r>
      <w:hyperlink w:anchor="_bookmark130" w:history="1">
        <w:r>
          <w:rPr>
            <w:vertAlign w:val="superscript"/>
          </w:rPr>
          <w:t>96</w:t>
        </w:r>
      </w:hyperlink>
      <w:r>
        <w:rPr>
          <w:spacing w:val="-6"/>
        </w:rPr>
        <w:t xml:space="preserve"> </w:t>
      </w:r>
      <w:r>
        <w:t>Australia understands this is what China means when it refers to a "holistic analysis".</w:t>
      </w:r>
      <w:hyperlink w:anchor="_bookmark131" w:history="1">
        <w:r>
          <w:rPr>
            <w:vertAlign w:val="superscript"/>
          </w:rPr>
          <w:t>97</w:t>
        </w:r>
      </w:hyperlink>
    </w:p>
    <w:p w14:paraId="0BA4F4D2" w14:textId="77777777" w:rsidR="00BD462C" w:rsidRDefault="00BD462C">
      <w:pPr>
        <w:pStyle w:val="BodyText"/>
        <w:spacing w:before="5"/>
        <w:rPr>
          <w:sz w:val="8"/>
        </w:rPr>
      </w:pPr>
    </w:p>
    <w:p w14:paraId="0289F502" w14:textId="53017266" w:rsidR="00BD462C" w:rsidRPr="00224967" w:rsidRDefault="00033D0F" w:rsidP="00224967">
      <w:pPr>
        <w:pStyle w:val="BodyText"/>
        <w:numPr>
          <w:ilvl w:val="0"/>
          <w:numId w:val="68"/>
        </w:numPr>
        <w:spacing w:before="57" w:line="360" w:lineRule="auto"/>
        <w:ind w:right="908"/>
        <w:jc w:val="both"/>
        <w:rPr>
          <w:sz w:val="20"/>
        </w:rPr>
      </w:pPr>
      <w:bookmarkStart w:id="151" w:name="_bookmark127"/>
      <w:bookmarkEnd w:id="151"/>
      <w:r w:rsidRPr="00224967">
        <w:rPr>
          <w:position w:val="1"/>
        </w:rPr>
        <w:t xml:space="preserve">First, there is no legal basis for a "holistic analysis" in Article 6.8 and Annex II of the </w:t>
      </w:r>
      <w:r>
        <w:t>Anti-Dumping Agreement.</w:t>
      </w:r>
      <w:hyperlink w:anchor="_bookmark132" w:history="1">
        <w:r w:rsidRPr="00224967">
          <w:rPr>
            <w:vertAlign w:val="superscript"/>
          </w:rPr>
          <w:t>98</w:t>
        </w:r>
      </w:hyperlink>
      <w:r>
        <w:t xml:space="preserve"> In this context, China's reliance on the</w:t>
      </w:r>
      <w:r w:rsidRPr="00224967">
        <w:rPr>
          <w:spacing w:val="-1"/>
        </w:rPr>
        <w:t xml:space="preserve"> </w:t>
      </w:r>
      <w:r>
        <w:t xml:space="preserve">panel report in </w:t>
      </w:r>
      <w:r w:rsidRPr="00224967">
        <w:rPr>
          <w:i/>
        </w:rPr>
        <w:t xml:space="preserve">US – Steel Plate </w:t>
      </w:r>
      <w:r>
        <w:t xml:space="preserve">as a basis to disregard </w:t>
      </w:r>
      <w:r w:rsidRPr="00224967">
        <w:rPr>
          <w:i/>
        </w:rPr>
        <w:t xml:space="preserve">all </w:t>
      </w:r>
      <w:r>
        <w:t xml:space="preserve">information provided by a respondent is misplaced and inconsistent with Article 6.8 and paragraphs 3 and 5 of Annex II. The Appellate Body in </w:t>
      </w:r>
      <w:r w:rsidRPr="00224967">
        <w:rPr>
          <w:i/>
        </w:rPr>
        <w:t xml:space="preserve">Mexico – Anti-Dumping Measures on Rice </w:t>
      </w:r>
      <w:r>
        <w:t>stated that "assuming a respondent acted to the best of its ability, an agency must generally use, in the first instance, the information the respondent did provide, if any."</w:t>
      </w:r>
      <w:hyperlink w:anchor="_bookmark133" w:history="1">
        <w:r w:rsidRPr="00224967">
          <w:rPr>
            <w:vertAlign w:val="superscript"/>
          </w:rPr>
          <w:t>99</w:t>
        </w:r>
      </w:hyperlink>
      <w:r>
        <w:t xml:space="preserve"> In particular, paragraph 3 of Annex II "obliges an investigating authority to 'take […] into account' the information supplied by a respondent, </w:t>
      </w:r>
      <w:r w:rsidRPr="00224967">
        <w:rPr>
          <w:i/>
        </w:rPr>
        <w:t>even</w:t>
      </w:r>
      <w:r w:rsidRPr="00224967">
        <w:rPr>
          <w:i/>
          <w:spacing w:val="-3"/>
        </w:rPr>
        <w:t xml:space="preserve"> </w:t>
      </w:r>
      <w:r w:rsidRPr="00224967">
        <w:rPr>
          <w:i/>
        </w:rPr>
        <w:t>if</w:t>
      </w:r>
      <w:r w:rsidRPr="00224967">
        <w:rPr>
          <w:i/>
          <w:spacing w:val="-4"/>
        </w:rPr>
        <w:t xml:space="preserve"> </w:t>
      </w:r>
      <w:r w:rsidRPr="00224967">
        <w:rPr>
          <w:i/>
        </w:rPr>
        <w:t>other</w:t>
      </w:r>
      <w:r w:rsidRPr="00224967">
        <w:rPr>
          <w:i/>
          <w:spacing w:val="-4"/>
        </w:rPr>
        <w:t xml:space="preserve"> </w:t>
      </w:r>
      <w:r w:rsidRPr="00224967">
        <w:rPr>
          <w:i/>
        </w:rPr>
        <w:t>information</w:t>
      </w:r>
      <w:r w:rsidRPr="00224967">
        <w:rPr>
          <w:i/>
          <w:spacing w:val="-3"/>
        </w:rPr>
        <w:t xml:space="preserve"> </w:t>
      </w:r>
      <w:r w:rsidRPr="00224967">
        <w:rPr>
          <w:i/>
        </w:rPr>
        <w:t>requested</w:t>
      </w:r>
      <w:r w:rsidRPr="00224967">
        <w:rPr>
          <w:i/>
          <w:spacing w:val="-3"/>
        </w:rPr>
        <w:t xml:space="preserve"> </w:t>
      </w:r>
      <w:r w:rsidRPr="00224967">
        <w:rPr>
          <w:i/>
        </w:rPr>
        <w:t>has</w:t>
      </w:r>
      <w:r w:rsidRPr="00224967">
        <w:rPr>
          <w:i/>
          <w:spacing w:val="-5"/>
        </w:rPr>
        <w:t xml:space="preserve"> </w:t>
      </w:r>
      <w:r w:rsidRPr="00224967">
        <w:rPr>
          <w:i/>
        </w:rPr>
        <w:t>not</w:t>
      </w:r>
      <w:r w:rsidRPr="00224967">
        <w:rPr>
          <w:i/>
          <w:spacing w:val="-3"/>
        </w:rPr>
        <w:t xml:space="preserve"> </w:t>
      </w:r>
      <w:r w:rsidRPr="00224967">
        <w:rPr>
          <w:i/>
        </w:rPr>
        <w:t>been</w:t>
      </w:r>
      <w:r w:rsidRPr="00224967">
        <w:rPr>
          <w:i/>
          <w:spacing w:val="-6"/>
        </w:rPr>
        <w:t xml:space="preserve"> </w:t>
      </w:r>
      <w:r w:rsidRPr="00224967">
        <w:rPr>
          <w:i/>
        </w:rPr>
        <w:t>provided</w:t>
      </w:r>
      <w:r w:rsidRPr="00224967">
        <w:rPr>
          <w:i/>
          <w:spacing w:val="-6"/>
        </w:rPr>
        <w:t xml:space="preserve"> </w:t>
      </w:r>
      <w:r w:rsidRPr="00224967">
        <w:rPr>
          <w:i/>
        </w:rPr>
        <w:t>by</w:t>
      </w:r>
      <w:r w:rsidRPr="00224967">
        <w:rPr>
          <w:i/>
          <w:spacing w:val="-5"/>
        </w:rPr>
        <w:t xml:space="preserve"> </w:t>
      </w:r>
      <w:r w:rsidRPr="00224967">
        <w:rPr>
          <w:i/>
        </w:rPr>
        <w:t>the</w:t>
      </w:r>
      <w:r w:rsidRPr="00224967">
        <w:rPr>
          <w:i/>
          <w:spacing w:val="-3"/>
        </w:rPr>
        <w:t xml:space="preserve"> </w:t>
      </w:r>
      <w:r w:rsidRPr="00224967">
        <w:rPr>
          <w:i/>
        </w:rPr>
        <w:t>respondent</w:t>
      </w:r>
      <w:r w:rsidRPr="00224967">
        <w:rPr>
          <w:i/>
          <w:spacing w:val="-2"/>
        </w:rPr>
        <w:t xml:space="preserve"> </w:t>
      </w:r>
      <w:r>
        <w:t>and</w:t>
      </w:r>
      <w:r w:rsidRPr="00224967">
        <w:rPr>
          <w:spacing w:val="-4"/>
        </w:rPr>
        <w:t xml:space="preserve"> </w:t>
      </w:r>
      <w:r>
        <w:t>will</w:t>
      </w:r>
      <w:r w:rsidRPr="00224967">
        <w:rPr>
          <w:spacing w:val="-1"/>
        </w:rPr>
        <w:t xml:space="preserve"> </w:t>
      </w:r>
      <w:r>
        <w:t>need</w:t>
      </w:r>
      <w:r w:rsidRPr="00224967">
        <w:rPr>
          <w:spacing w:val="-4"/>
        </w:rPr>
        <w:t xml:space="preserve"> </w:t>
      </w:r>
      <w:r>
        <w:t xml:space="preserve">to be supplemented by facts available". In addition, paragraph 5 of Annex II "prevents an investigating authority from rejecting the information supplied by a respondent, </w:t>
      </w:r>
      <w:r w:rsidRPr="00224967">
        <w:rPr>
          <w:i/>
        </w:rPr>
        <w:t>even if incomplete</w:t>
      </w:r>
      <w:r>
        <w:t>,</w:t>
      </w:r>
      <w:r w:rsidRPr="00224967">
        <w:rPr>
          <w:spacing w:val="44"/>
        </w:rPr>
        <w:t xml:space="preserve"> </w:t>
      </w:r>
      <w:r>
        <w:t>where</w:t>
      </w:r>
      <w:r w:rsidRPr="00224967">
        <w:rPr>
          <w:spacing w:val="42"/>
        </w:rPr>
        <w:t xml:space="preserve"> </w:t>
      </w:r>
      <w:r>
        <w:t>the</w:t>
      </w:r>
      <w:r w:rsidRPr="00224967">
        <w:rPr>
          <w:spacing w:val="47"/>
        </w:rPr>
        <w:t xml:space="preserve"> </w:t>
      </w:r>
      <w:r>
        <w:t>respondent</w:t>
      </w:r>
      <w:r w:rsidRPr="00224967">
        <w:rPr>
          <w:spacing w:val="42"/>
        </w:rPr>
        <w:t xml:space="preserve"> </w:t>
      </w:r>
      <w:r>
        <w:t>'acted</w:t>
      </w:r>
      <w:r w:rsidRPr="00224967">
        <w:rPr>
          <w:spacing w:val="46"/>
        </w:rPr>
        <w:t xml:space="preserve"> </w:t>
      </w:r>
      <w:r>
        <w:t>to</w:t>
      </w:r>
      <w:r w:rsidRPr="00224967">
        <w:rPr>
          <w:spacing w:val="44"/>
        </w:rPr>
        <w:t xml:space="preserve"> </w:t>
      </w:r>
      <w:r>
        <w:t>the</w:t>
      </w:r>
      <w:r w:rsidRPr="00224967">
        <w:rPr>
          <w:spacing w:val="43"/>
        </w:rPr>
        <w:t xml:space="preserve"> </w:t>
      </w:r>
      <w:r>
        <w:t>best</w:t>
      </w:r>
      <w:r w:rsidRPr="00224967">
        <w:rPr>
          <w:spacing w:val="42"/>
        </w:rPr>
        <w:t xml:space="preserve"> </w:t>
      </w:r>
      <w:r>
        <w:t>of</w:t>
      </w:r>
      <w:r w:rsidRPr="00224967">
        <w:rPr>
          <w:spacing w:val="46"/>
        </w:rPr>
        <w:t xml:space="preserve"> </w:t>
      </w:r>
      <w:r>
        <w:t>its</w:t>
      </w:r>
      <w:r w:rsidRPr="00224967">
        <w:rPr>
          <w:spacing w:val="43"/>
        </w:rPr>
        <w:t xml:space="preserve"> </w:t>
      </w:r>
      <w:r>
        <w:t>ability'".</w:t>
      </w:r>
      <w:hyperlink w:anchor="_bookmark134" w:history="1">
        <w:r w:rsidRPr="00224967">
          <w:rPr>
            <w:vertAlign w:val="superscript"/>
          </w:rPr>
          <w:t>100</w:t>
        </w:r>
      </w:hyperlink>
      <w:r w:rsidRPr="00224967">
        <w:rPr>
          <w:spacing w:val="43"/>
        </w:rPr>
        <w:t xml:space="preserve"> </w:t>
      </w:r>
      <w:r>
        <w:t>An</w:t>
      </w:r>
      <w:r w:rsidRPr="00224967">
        <w:rPr>
          <w:spacing w:val="45"/>
        </w:rPr>
        <w:t xml:space="preserve"> </w:t>
      </w:r>
      <w:r>
        <w:t>unbiased</w:t>
      </w:r>
      <w:r w:rsidRPr="00224967">
        <w:rPr>
          <w:spacing w:val="41"/>
        </w:rPr>
        <w:t xml:space="preserve"> </w:t>
      </w:r>
      <w:r w:rsidRPr="00224967">
        <w:rPr>
          <w:spacing w:val="-5"/>
        </w:rPr>
        <w:t>and</w:t>
      </w:r>
      <w:r w:rsidR="00224967" w:rsidRPr="00224967">
        <w:rPr>
          <w:spacing w:val="-5"/>
        </w:rPr>
        <w:t xml:space="preserve"> </w:t>
      </w:r>
    </w:p>
    <w:p w14:paraId="0188F332" w14:textId="77777777" w:rsidR="00BD462C" w:rsidRDefault="00BD462C">
      <w:pPr>
        <w:pStyle w:val="BodyText"/>
        <w:rPr>
          <w:sz w:val="20"/>
        </w:rPr>
      </w:pPr>
    </w:p>
    <w:p w14:paraId="7DE671BF" w14:textId="7026F729" w:rsidR="00BD462C" w:rsidRDefault="009A6330">
      <w:pPr>
        <w:pStyle w:val="BodyText"/>
        <w:spacing w:before="6"/>
        <w:rPr>
          <w:sz w:val="11"/>
        </w:rPr>
      </w:pPr>
      <w:r>
        <w:rPr>
          <w:noProof/>
        </w:rPr>
        <mc:AlternateContent>
          <mc:Choice Requires="wps">
            <w:drawing>
              <wp:anchor distT="0" distB="0" distL="0" distR="0" simplePos="0" relativeHeight="487973376" behindDoc="1" locked="0" layoutInCell="1" allowOverlap="1" wp14:anchorId="21E4E21F" wp14:editId="64C38D69">
                <wp:simplePos x="0" y="0"/>
                <wp:positionH relativeFrom="page">
                  <wp:posOffset>812800</wp:posOffset>
                </wp:positionH>
                <wp:positionV relativeFrom="paragraph">
                  <wp:posOffset>90805</wp:posOffset>
                </wp:positionV>
                <wp:extent cx="1828800" cy="8890"/>
                <wp:effectExtent l="0" t="0" r="0" b="0"/>
                <wp:wrapTopAndBottom/>
                <wp:docPr id="732" name="docshape7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B4C68" id="docshape712" o:spid="_x0000_s1026" alt="&quot;&quot;" style="position:absolute;margin-left:64pt;margin-top:7.15pt;width:2in;height:.7pt;z-index:-15343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" fillcolor="black" stroked="f">
                <w10:wrap type="topAndBottom" anchorx="page"/>
              </v:rect>
            </w:pict>
          </mc:Fallback>
        </mc:AlternateContent>
      </w:r>
    </w:p>
    <w:p w14:paraId="0CA6A026" w14:textId="77777777" w:rsidR="00BD462C" w:rsidRDefault="00033D0F">
      <w:pPr>
        <w:spacing w:before="112"/>
        <w:ind w:left="135" w:right="910"/>
        <w:rPr>
          <w:sz w:val="18"/>
        </w:rPr>
      </w:pPr>
      <w:bookmarkStart w:id="152" w:name="_bookmark128"/>
      <w:bookmarkEnd w:id="152"/>
      <w:r>
        <w:rPr>
          <w:position w:val="5"/>
          <w:sz w:val="12"/>
        </w:rPr>
        <w:t>94</w:t>
      </w:r>
      <w:r>
        <w:rPr>
          <w:spacing w:val="26"/>
          <w:position w:val="5"/>
          <w:sz w:val="12"/>
        </w:rPr>
        <w:t xml:space="preserve"> </w:t>
      </w:r>
      <w:r>
        <w:rPr>
          <w:sz w:val="18"/>
        </w:rPr>
        <w:t>China's first written submission, para. 272 with respect to Treasury Wines, para. 583 with respect to Casella Wines, and para. 726 with respect to Swan Vintage. See also China's response</w:t>
      </w:r>
      <w:r>
        <w:rPr>
          <w:spacing w:val="-1"/>
          <w:sz w:val="18"/>
        </w:rPr>
        <w:t xml:space="preserve"> </w:t>
      </w:r>
      <w:r>
        <w:rPr>
          <w:sz w:val="18"/>
        </w:rPr>
        <w:t>to Panel question No. 2, para. 1.</w:t>
      </w:r>
    </w:p>
    <w:p w14:paraId="6F5A8A86" w14:textId="77777777" w:rsidR="00BD462C" w:rsidRDefault="00033D0F">
      <w:pPr>
        <w:spacing w:before="2" w:line="218" w:lineRule="exact"/>
        <w:ind w:left="135"/>
        <w:rPr>
          <w:sz w:val="18"/>
        </w:rPr>
      </w:pPr>
      <w:bookmarkStart w:id="153" w:name="_bookmark129"/>
      <w:bookmarkEnd w:id="153"/>
      <w:r>
        <w:rPr>
          <w:position w:val="5"/>
          <w:sz w:val="12"/>
        </w:rPr>
        <w:t>95</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para.</w:t>
      </w:r>
      <w:r>
        <w:rPr>
          <w:spacing w:val="-1"/>
          <w:sz w:val="18"/>
        </w:rPr>
        <w:t xml:space="preserve"> </w:t>
      </w:r>
      <w:r>
        <w:rPr>
          <w:spacing w:val="-4"/>
          <w:sz w:val="18"/>
        </w:rPr>
        <w:t>269.</w:t>
      </w:r>
    </w:p>
    <w:p w14:paraId="7F8123C6" w14:textId="77777777" w:rsidR="00BD462C" w:rsidRDefault="00033D0F">
      <w:pPr>
        <w:spacing w:line="218" w:lineRule="exact"/>
        <w:ind w:left="135"/>
        <w:rPr>
          <w:sz w:val="18"/>
        </w:rPr>
      </w:pPr>
      <w:bookmarkStart w:id="154" w:name="_bookmark130"/>
      <w:bookmarkEnd w:id="154"/>
      <w:r>
        <w:rPr>
          <w:position w:val="5"/>
          <w:sz w:val="12"/>
        </w:rPr>
        <w:t>96</w:t>
      </w:r>
      <w:r>
        <w:rPr>
          <w:spacing w:val="13"/>
          <w:position w:val="5"/>
          <w:sz w:val="12"/>
        </w:rPr>
        <w:t xml:space="preserve"> </w:t>
      </w:r>
      <w:r>
        <w:rPr>
          <w:sz w:val="18"/>
        </w:rPr>
        <w:t>China's response</w:t>
      </w:r>
      <w:r>
        <w:rPr>
          <w:spacing w:val="-5"/>
          <w:sz w:val="18"/>
        </w:rPr>
        <w:t xml:space="preserve"> </w:t>
      </w:r>
      <w:r>
        <w:rPr>
          <w:sz w:val="18"/>
        </w:rPr>
        <w:t>to</w:t>
      </w:r>
      <w:r>
        <w:rPr>
          <w:spacing w:val="-10"/>
          <w:sz w:val="18"/>
        </w:rPr>
        <w:t xml:space="preserve"> </w:t>
      </w:r>
      <w:r>
        <w:rPr>
          <w:sz w:val="18"/>
        </w:rPr>
        <w:t>Panel</w:t>
      </w:r>
      <w:r>
        <w:rPr>
          <w:spacing w:val="-4"/>
          <w:sz w:val="18"/>
        </w:rPr>
        <w:t xml:space="preserve"> </w:t>
      </w:r>
      <w:r>
        <w:rPr>
          <w:sz w:val="18"/>
        </w:rPr>
        <w:t>question</w:t>
      </w:r>
      <w:r>
        <w:rPr>
          <w:spacing w:val="-6"/>
          <w:sz w:val="18"/>
        </w:rPr>
        <w:t xml:space="preserve"> </w:t>
      </w:r>
      <w:r>
        <w:rPr>
          <w:sz w:val="18"/>
        </w:rPr>
        <w:t>No.</w:t>
      </w:r>
      <w:r>
        <w:rPr>
          <w:spacing w:val="1"/>
          <w:sz w:val="18"/>
        </w:rPr>
        <w:t xml:space="preserve"> </w:t>
      </w:r>
      <w:r>
        <w:rPr>
          <w:sz w:val="18"/>
        </w:rPr>
        <w:t>2,</w:t>
      </w:r>
      <w:r>
        <w:rPr>
          <w:spacing w:val="-3"/>
          <w:sz w:val="18"/>
        </w:rPr>
        <w:t xml:space="preserve"> </w:t>
      </w:r>
      <w:r>
        <w:rPr>
          <w:sz w:val="18"/>
        </w:rPr>
        <w:t>para.</w:t>
      </w:r>
      <w:r>
        <w:rPr>
          <w:spacing w:val="-4"/>
          <w:sz w:val="18"/>
        </w:rPr>
        <w:t xml:space="preserve"> </w:t>
      </w:r>
      <w:r>
        <w:rPr>
          <w:sz w:val="18"/>
        </w:rPr>
        <w:t>1.</w:t>
      </w:r>
      <w:r>
        <w:rPr>
          <w:spacing w:val="1"/>
          <w:sz w:val="18"/>
        </w:rPr>
        <w:t xml:space="preserve"> </w:t>
      </w:r>
      <w:r>
        <w:rPr>
          <w:sz w:val="18"/>
        </w:rPr>
        <w:t>See</w:t>
      </w:r>
      <w:r>
        <w:rPr>
          <w:spacing w:val="-1"/>
          <w:sz w:val="18"/>
        </w:rPr>
        <w:t xml:space="preserve"> </w:t>
      </w:r>
      <w:r>
        <w:rPr>
          <w:sz w:val="18"/>
        </w:rPr>
        <w:t>also</w:t>
      </w:r>
      <w:r>
        <w:rPr>
          <w:spacing w:val="-6"/>
          <w:sz w:val="18"/>
        </w:rPr>
        <w:t xml:space="preserve"> </w:t>
      </w:r>
      <w:r>
        <w:rPr>
          <w:sz w:val="18"/>
        </w:rPr>
        <w:t>China's</w:t>
      </w:r>
      <w:r>
        <w:rPr>
          <w:spacing w:val="-5"/>
          <w:sz w:val="18"/>
        </w:rPr>
        <w:t xml:space="preserve"> </w:t>
      </w:r>
      <w:r>
        <w:rPr>
          <w:sz w:val="18"/>
        </w:rPr>
        <w:t>first written</w:t>
      </w:r>
      <w:r>
        <w:rPr>
          <w:spacing w:val="-5"/>
          <w:sz w:val="18"/>
        </w:rPr>
        <w:t xml:space="preserve"> </w:t>
      </w:r>
      <w:r>
        <w:rPr>
          <w:sz w:val="18"/>
        </w:rPr>
        <w:t>submission,</w:t>
      </w:r>
      <w:r>
        <w:rPr>
          <w:spacing w:val="-3"/>
          <w:sz w:val="18"/>
        </w:rPr>
        <w:t xml:space="preserve"> </w:t>
      </w:r>
      <w:r>
        <w:rPr>
          <w:sz w:val="18"/>
        </w:rPr>
        <w:t>paras.</w:t>
      </w:r>
      <w:r>
        <w:rPr>
          <w:spacing w:val="-4"/>
          <w:sz w:val="18"/>
        </w:rPr>
        <w:t xml:space="preserve"> </w:t>
      </w:r>
      <w:r>
        <w:rPr>
          <w:sz w:val="18"/>
        </w:rPr>
        <w:t>367,</w:t>
      </w:r>
      <w:r>
        <w:rPr>
          <w:spacing w:val="-3"/>
          <w:sz w:val="18"/>
        </w:rPr>
        <w:t xml:space="preserve"> </w:t>
      </w:r>
      <w:r>
        <w:rPr>
          <w:spacing w:val="-4"/>
          <w:sz w:val="18"/>
        </w:rPr>
        <w:t>407.</w:t>
      </w:r>
    </w:p>
    <w:p w14:paraId="18464EC1" w14:textId="77777777" w:rsidR="00BD462C" w:rsidRDefault="00033D0F">
      <w:pPr>
        <w:spacing w:before="1"/>
        <w:ind w:left="135"/>
        <w:rPr>
          <w:sz w:val="18"/>
        </w:rPr>
      </w:pPr>
      <w:bookmarkStart w:id="155" w:name="_bookmark131"/>
      <w:bookmarkEnd w:id="155"/>
      <w:r>
        <w:rPr>
          <w:position w:val="5"/>
          <w:sz w:val="12"/>
        </w:rPr>
        <w:t>97</w:t>
      </w:r>
      <w:r>
        <w:rPr>
          <w:spacing w:val="14"/>
          <w:position w:val="5"/>
          <w:sz w:val="12"/>
        </w:rPr>
        <w:t xml:space="preserve"> </w:t>
      </w:r>
      <w:r>
        <w:rPr>
          <w:sz w:val="18"/>
        </w:rPr>
        <w:t>China's</w:t>
      </w:r>
      <w:r>
        <w:rPr>
          <w:spacing w:val="1"/>
          <w:sz w:val="18"/>
        </w:rPr>
        <w:t xml:space="preserve"> </w:t>
      </w:r>
      <w:r>
        <w:rPr>
          <w:sz w:val="18"/>
        </w:rPr>
        <w:t>response</w:t>
      </w:r>
      <w:r>
        <w:rPr>
          <w:spacing w:val="-4"/>
          <w:sz w:val="18"/>
        </w:rPr>
        <w:t xml:space="preserve"> </w:t>
      </w:r>
      <w:r>
        <w:rPr>
          <w:sz w:val="18"/>
        </w:rPr>
        <w:t>to</w:t>
      </w:r>
      <w:r>
        <w:rPr>
          <w:spacing w:val="-9"/>
          <w:sz w:val="18"/>
        </w:rPr>
        <w:t xml:space="preserve"> </w:t>
      </w:r>
      <w:r>
        <w:rPr>
          <w:sz w:val="18"/>
        </w:rPr>
        <w:t>Panel</w:t>
      </w:r>
      <w:r>
        <w:rPr>
          <w:spacing w:val="-3"/>
          <w:sz w:val="18"/>
        </w:rPr>
        <w:t xml:space="preserve"> </w:t>
      </w:r>
      <w:r>
        <w:rPr>
          <w:sz w:val="18"/>
        </w:rPr>
        <w:t>question</w:t>
      </w:r>
      <w:r>
        <w:rPr>
          <w:spacing w:val="-5"/>
          <w:sz w:val="18"/>
        </w:rPr>
        <w:t xml:space="preserve"> </w:t>
      </w:r>
      <w:r>
        <w:rPr>
          <w:sz w:val="18"/>
        </w:rPr>
        <w:t>No.</w:t>
      </w:r>
      <w:r>
        <w:rPr>
          <w:spacing w:val="2"/>
          <w:sz w:val="18"/>
        </w:rPr>
        <w:t xml:space="preserve"> </w:t>
      </w:r>
      <w:r>
        <w:rPr>
          <w:sz w:val="18"/>
        </w:rPr>
        <w:t>2,</w:t>
      </w:r>
      <w:r>
        <w:rPr>
          <w:spacing w:val="-2"/>
          <w:sz w:val="18"/>
        </w:rPr>
        <w:t xml:space="preserve"> </w:t>
      </w:r>
      <w:r>
        <w:rPr>
          <w:sz w:val="18"/>
        </w:rPr>
        <w:t>para.</w:t>
      </w:r>
      <w:r>
        <w:rPr>
          <w:spacing w:val="-3"/>
          <w:sz w:val="18"/>
        </w:rPr>
        <w:t xml:space="preserve"> </w:t>
      </w:r>
      <w:r>
        <w:rPr>
          <w:spacing w:val="-5"/>
          <w:sz w:val="18"/>
        </w:rPr>
        <w:t>1.</w:t>
      </w:r>
    </w:p>
    <w:p w14:paraId="5C480446" w14:textId="77777777" w:rsidR="00BD462C" w:rsidRDefault="00033D0F">
      <w:pPr>
        <w:spacing w:before="1"/>
        <w:ind w:left="135"/>
        <w:rPr>
          <w:sz w:val="18"/>
        </w:rPr>
      </w:pPr>
      <w:bookmarkStart w:id="156" w:name="_bookmark132"/>
      <w:bookmarkEnd w:id="156"/>
      <w:r>
        <w:rPr>
          <w:position w:val="5"/>
          <w:sz w:val="12"/>
        </w:rPr>
        <w:t>98</w:t>
      </w:r>
      <w:r>
        <w:rPr>
          <w:spacing w:val="14"/>
          <w:position w:val="5"/>
          <w:sz w:val="12"/>
        </w:rPr>
        <w:t xml:space="preserve"> </w:t>
      </w:r>
      <w:r>
        <w:rPr>
          <w:sz w:val="18"/>
        </w:rPr>
        <w:t>See</w:t>
      </w:r>
      <w:r>
        <w:rPr>
          <w:spacing w:val="-5"/>
          <w:sz w:val="18"/>
        </w:rPr>
        <w:t xml:space="preserve"> </w:t>
      </w:r>
      <w:r>
        <w:rPr>
          <w:sz w:val="18"/>
        </w:rPr>
        <w:t>Australia's</w:t>
      </w:r>
      <w:r>
        <w:rPr>
          <w:spacing w:val="-4"/>
          <w:sz w:val="18"/>
        </w:rPr>
        <w:t xml:space="preserve"> </w:t>
      </w:r>
      <w:r>
        <w:rPr>
          <w:sz w:val="18"/>
        </w:rPr>
        <w:t>opening</w:t>
      </w:r>
      <w:r>
        <w:rPr>
          <w:spacing w:val="-5"/>
          <w:sz w:val="18"/>
        </w:rPr>
        <w:t xml:space="preserve"> </w:t>
      </w:r>
      <w:r>
        <w:rPr>
          <w:sz w:val="18"/>
        </w:rPr>
        <w:t>statement</w:t>
      </w:r>
      <w:r>
        <w:rPr>
          <w:spacing w:val="1"/>
          <w:sz w:val="18"/>
        </w:rPr>
        <w:t xml:space="preserve"> </w:t>
      </w:r>
      <w:r>
        <w:rPr>
          <w:sz w:val="18"/>
        </w:rPr>
        <w:t>at</w:t>
      </w:r>
      <w:r>
        <w:rPr>
          <w:spacing w:val="-4"/>
          <w:sz w:val="18"/>
        </w:rPr>
        <w:t xml:space="preserve"> </w:t>
      </w:r>
      <w:r>
        <w:rPr>
          <w:sz w:val="18"/>
        </w:rPr>
        <w:t>the</w:t>
      </w:r>
      <w:r>
        <w:rPr>
          <w:spacing w:val="-4"/>
          <w:sz w:val="18"/>
        </w:rPr>
        <w:t xml:space="preserve"> </w:t>
      </w:r>
      <w:r>
        <w:rPr>
          <w:sz w:val="18"/>
        </w:rPr>
        <w:t>first meeting</w:t>
      </w:r>
      <w:r>
        <w:rPr>
          <w:spacing w:val="-4"/>
          <w:sz w:val="18"/>
        </w:rPr>
        <w:t xml:space="preserve"> </w:t>
      </w:r>
      <w:r>
        <w:rPr>
          <w:sz w:val="18"/>
        </w:rPr>
        <w:t>of</w:t>
      </w:r>
      <w:r>
        <w:rPr>
          <w:spacing w:val="-4"/>
          <w:sz w:val="18"/>
        </w:rPr>
        <w:t xml:space="preserve"> </w:t>
      </w:r>
      <w:r>
        <w:rPr>
          <w:sz w:val="18"/>
        </w:rPr>
        <w:t>the</w:t>
      </w:r>
      <w:r>
        <w:rPr>
          <w:spacing w:val="-4"/>
          <w:sz w:val="18"/>
        </w:rPr>
        <w:t xml:space="preserve"> </w:t>
      </w:r>
      <w:r>
        <w:rPr>
          <w:sz w:val="18"/>
        </w:rPr>
        <w:t>Panel,</w:t>
      </w:r>
      <w:r>
        <w:rPr>
          <w:spacing w:val="2"/>
          <w:sz w:val="18"/>
        </w:rPr>
        <w:t xml:space="preserve"> </w:t>
      </w:r>
      <w:r>
        <w:rPr>
          <w:sz w:val="18"/>
        </w:rPr>
        <w:t>para.</w:t>
      </w:r>
      <w:r>
        <w:rPr>
          <w:spacing w:val="-4"/>
          <w:sz w:val="18"/>
        </w:rPr>
        <w:t xml:space="preserve"> </w:t>
      </w:r>
      <w:r>
        <w:rPr>
          <w:spacing w:val="-5"/>
          <w:sz w:val="18"/>
        </w:rPr>
        <w:t>50.</w:t>
      </w:r>
    </w:p>
    <w:p w14:paraId="51D8DA2E" w14:textId="77777777" w:rsidR="00BD462C" w:rsidRDefault="00033D0F">
      <w:pPr>
        <w:spacing w:before="1"/>
        <w:ind w:left="135"/>
        <w:rPr>
          <w:sz w:val="18"/>
        </w:rPr>
      </w:pPr>
      <w:bookmarkStart w:id="157" w:name="_bookmark133"/>
      <w:bookmarkEnd w:id="157"/>
      <w:r>
        <w:rPr>
          <w:position w:val="5"/>
          <w:sz w:val="12"/>
        </w:rPr>
        <w:t>99</w:t>
      </w:r>
      <w:r>
        <w:rPr>
          <w:spacing w:val="16"/>
          <w:position w:val="5"/>
          <w:sz w:val="12"/>
        </w:rPr>
        <w:t xml:space="preserve"> </w:t>
      </w:r>
      <w:r>
        <w:rPr>
          <w:sz w:val="18"/>
        </w:rPr>
        <w:t>Appellate</w:t>
      </w:r>
      <w:r>
        <w:rPr>
          <w:spacing w:val="-7"/>
          <w:sz w:val="18"/>
        </w:rPr>
        <w:t xml:space="preserve"> </w:t>
      </w:r>
      <w:r>
        <w:rPr>
          <w:sz w:val="18"/>
        </w:rPr>
        <w:t>Body</w:t>
      </w:r>
      <w:r>
        <w:rPr>
          <w:spacing w:val="-4"/>
          <w:sz w:val="18"/>
        </w:rPr>
        <w:t xml:space="preserve"> </w:t>
      </w:r>
      <w:r>
        <w:rPr>
          <w:sz w:val="18"/>
        </w:rPr>
        <w:t>Report,</w:t>
      </w:r>
      <w:r>
        <w:rPr>
          <w:spacing w:val="-5"/>
          <w:sz w:val="18"/>
        </w:rPr>
        <w:t xml:space="preserve"> </w:t>
      </w:r>
      <w:r>
        <w:rPr>
          <w:i/>
          <w:sz w:val="18"/>
        </w:rPr>
        <w:t>Mexico</w:t>
      </w:r>
      <w:r>
        <w:rPr>
          <w:i/>
          <w:spacing w:val="-1"/>
          <w:sz w:val="18"/>
        </w:rPr>
        <w:t xml:space="preserve"> </w:t>
      </w:r>
      <w:r>
        <w:rPr>
          <w:i/>
          <w:sz w:val="18"/>
        </w:rPr>
        <w:t>–</w:t>
      </w:r>
      <w:r>
        <w:rPr>
          <w:i/>
          <w:spacing w:val="-2"/>
          <w:sz w:val="18"/>
        </w:rPr>
        <w:t xml:space="preserve"> </w:t>
      </w:r>
      <w:r>
        <w:rPr>
          <w:i/>
          <w:sz w:val="18"/>
        </w:rPr>
        <w:t>Anti-Dumping</w:t>
      </w:r>
      <w:r>
        <w:rPr>
          <w:i/>
          <w:spacing w:val="-5"/>
          <w:sz w:val="18"/>
        </w:rPr>
        <w:t xml:space="preserve"> </w:t>
      </w:r>
      <w:r>
        <w:rPr>
          <w:i/>
          <w:sz w:val="18"/>
        </w:rPr>
        <w:t>Measures</w:t>
      </w:r>
      <w:r>
        <w:rPr>
          <w:i/>
          <w:spacing w:val="-7"/>
          <w:sz w:val="18"/>
        </w:rPr>
        <w:t xml:space="preserve"> </w:t>
      </w:r>
      <w:r>
        <w:rPr>
          <w:i/>
          <w:sz w:val="18"/>
        </w:rPr>
        <w:t>on</w:t>
      </w:r>
      <w:r>
        <w:rPr>
          <w:i/>
          <w:spacing w:val="-5"/>
          <w:sz w:val="18"/>
        </w:rPr>
        <w:t xml:space="preserve"> </w:t>
      </w:r>
      <w:r>
        <w:rPr>
          <w:i/>
          <w:sz w:val="18"/>
        </w:rPr>
        <w:t>Rice</w:t>
      </w:r>
      <w:r>
        <w:rPr>
          <w:sz w:val="18"/>
        </w:rPr>
        <w:t>,</w:t>
      </w:r>
      <w:r>
        <w:rPr>
          <w:spacing w:val="-6"/>
          <w:sz w:val="18"/>
        </w:rPr>
        <w:t xml:space="preserve"> </w:t>
      </w:r>
      <w:r>
        <w:rPr>
          <w:sz w:val="18"/>
        </w:rPr>
        <w:t>para.</w:t>
      </w:r>
      <w:r>
        <w:rPr>
          <w:spacing w:val="4"/>
          <w:sz w:val="18"/>
        </w:rPr>
        <w:t xml:space="preserve"> </w:t>
      </w:r>
      <w:r>
        <w:rPr>
          <w:spacing w:val="-4"/>
          <w:sz w:val="18"/>
        </w:rPr>
        <w:t>288.</w:t>
      </w:r>
    </w:p>
    <w:p w14:paraId="0736EE02" w14:textId="77777777" w:rsidR="00BD462C" w:rsidRDefault="00033D0F">
      <w:pPr>
        <w:spacing w:before="1"/>
        <w:ind w:left="135"/>
        <w:rPr>
          <w:sz w:val="18"/>
        </w:rPr>
      </w:pPr>
      <w:bookmarkStart w:id="158" w:name="_bookmark134"/>
      <w:bookmarkEnd w:id="158"/>
      <w:r>
        <w:rPr>
          <w:position w:val="5"/>
          <w:sz w:val="12"/>
        </w:rPr>
        <w:t>100</w:t>
      </w:r>
      <w:r>
        <w:rPr>
          <w:spacing w:val="15"/>
          <w:position w:val="5"/>
          <w:sz w:val="12"/>
        </w:rPr>
        <w:t xml:space="preserve"> </w:t>
      </w:r>
      <w:r>
        <w:rPr>
          <w:sz w:val="18"/>
        </w:rPr>
        <w:t>Appellate</w:t>
      </w:r>
      <w:r>
        <w:rPr>
          <w:spacing w:val="-7"/>
          <w:sz w:val="18"/>
        </w:rPr>
        <w:t xml:space="preserve"> </w:t>
      </w:r>
      <w:r>
        <w:rPr>
          <w:sz w:val="18"/>
        </w:rPr>
        <w:t>Body</w:t>
      </w:r>
      <w:r>
        <w:rPr>
          <w:spacing w:val="-5"/>
          <w:sz w:val="18"/>
        </w:rPr>
        <w:t xml:space="preserve"> </w:t>
      </w:r>
      <w:r>
        <w:rPr>
          <w:sz w:val="18"/>
        </w:rPr>
        <w:t>Report,</w:t>
      </w:r>
      <w:r>
        <w:rPr>
          <w:spacing w:val="-6"/>
          <w:sz w:val="18"/>
        </w:rPr>
        <w:t xml:space="preserve"> </w:t>
      </w:r>
      <w:r>
        <w:rPr>
          <w:i/>
          <w:sz w:val="18"/>
        </w:rPr>
        <w:t>Mexico</w:t>
      </w:r>
      <w:r>
        <w:rPr>
          <w:i/>
          <w:spacing w:val="-1"/>
          <w:sz w:val="18"/>
        </w:rPr>
        <w:t xml:space="preserve"> </w:t>
      </w:r>
      <w:r>
        <w:rPr>
          <w:i/>
          <w:sz w:val="18"/>
        </w:rPr>
        <w:t>–</w:t>
      </w:r>
      <w:r>
        <w:rPr>
          <w:i/>
          <w:spacing w:val="-3"/>
          <w:sz w:val="18"/>
        </w:rPr>
        <w:t xml:space="preserve"> </w:t>
      </w:r>
      <w:r>
        <w:rPr>
          <w:i/>
          <w:sz w:val="18"/>
        </w:rPr>
        <w:t>Anti-Dumping</w:t>
      </w:r>
      <w:r>
        <w:rPr>
          <w:i/>
          <w:spacing w:val="-6"/>
          <w:sz w:val="18"/>
        </w:rPr>
        <w:t xml:space="preserve"> </w:t>
      </w:r>
      <w:r>
        <w:rPr>
          <w:i/>
          <w:sz w:val="18"/>
        </w:rPr>
        <w:t>Measures</w:t>
      </w:r>
      <w:r>
        <w:rPr>
          <w:i/>
          <w:spacing w:val="-8"/>
          <w:sz w:val="18"/>
        </w:rPr>
        <w:t xml:space="preserve"> </w:t>
      </w:r>
      <w:r>
        <w:rPr>
          <w:i/>
          <w:sz w:val="18"/>
        </w:rPr>
        <w:t>on</w:t>
      </w:r>
      <w:r>
        <w:rPr>
          <w:i/>
          <w:spacing w:val="-5"/>
          <w:sz w:val="18"/>
        </w:rPr>
        <w:t xml:space="preserve"> </w:t>
      </w:r>
      <w:r>
        <w:rPr>
          <w:i/>
          <w:sz w:val="18"/>
        </w:rPr>
        <w:t>Rice</w:t>
      </w:r>
      <w:r>
        <w:rPr>
          <w:sz w:val="18"/>
        </w:rPr>
        <w:t>,</w:t>
      </w:r>
      <w:r>
        <w:rPr>
          <w:spacing w:val="-6"/>
          <w:sz w:val="18"/>
        </w:rPr>
        <w:t xml:space="preserve"> </w:t>
      </w:r>
      <w:r>
        <w:rPr>
          <w:sz w:val="18"/>
        </w:rPr>
        <w:t>para.</w:t>
      </w:r>
      <w:r>
        <w:rPr>
          <w:spacing w:val="3"/>
          <w:sz w:val="18"/>
        </w:rPr>
        <w:t xml:space="preserve"> </w:t>
      </w:r>
      <w:r>
        <w:rPr>
          <w:sz w:val="18"/>
        </w:rPr>
        <w:t>287.</w:t>
      </w:r>
      <w:r>
        <w:rPr>
          <w:spacing w:val="-2"/>
          <w:sz w:val="18"/>
        </w:rPr>
        <w:t xml:space="preserve"> </w:t>
      </w:r>
      <w:r>
        <w:rPr>
          <w:sz w:val="18"/>
        </w:rPr>
        <w:t>(emphasis</w:t>
      </w:r>
      <w:r>
        <w:rPr>
          <w:spacing w:val="-3"/>
          <w:sz w:val="18"/>
        </w:rPr>
        <w:t xml:space="preserve"> </w:t>
      </w:r>
      <w:r>
        <w:rPr>
          <w:spacing w:val="-2"/>
          <w:sz w:val="18"/>
        </w:rPr>
        <w:t>added)</w:t>
      </w:r>
    </w:p>
    <w:p w14:paraId="6155674A" w14:textId="77777777" w:rsidR="00BD462C" w:rsidRDefault="00BD462C">
      <w:pPr>
        <w:rPr>
          <w:sz w:val="18"/>
        </w:rPr>
        <w:sectPr w:rsidR="00BD462C">
          <w:pgSz w:w="11910" w:h="16840"/>
          <w:pgMar w:top="860" w:right="500" w:bottom="780" w:left="1280" w:header="566" w:footer="590" w:gutter="0"/>
          <w:cols w:space="720"/>
        </w:sectPr>
      </w:pPr>
    </w:p>
    <w:p w14:paraId="2468744D"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56426F75"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4DBAD244"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132150B9" w14:textId="77777777" w:rsidR="00BD462C" w:rsidRDefault="00033D0F">
      <w:pPr>
        <w:pStyle w:val="BodyText"/>
        <w:spacing w:before="102" w:line="357" w:lineRule="auto"/>
        <w:ind w:left="135" w:right="923"/>
      </w:pPr>
      <w:r>
        <w:t>objective investigating</w:t>
      </w:r>
      <w:r>
        <w:rPr>
          <w:spacing w:val="-3"/>
        </w:rPr>
        <w:t xml:space="preserve"> </w:t>
      </w:r>
      <w:r>
        <w:t>authority faced</w:t>
      </w:r>
      <w:r>
        <w:rPr>
          <w:spacing w:val="-2"/>
        </w:rPr>
        <w:t xml:space="preserve"> </w:t>
      </w:r>
      <w:r>
        <w:t>with</w:t>
      </w:r>
      <w:r>
        <w:rPr>
          <w:spacing w:val="-2"/>
        </w:rPr>
        <w:t xml:space="preserve"> </w:t>
      </w:r>
      <w:r>
        <w:t>the evidence before MOFCOM would</w:t>
      </w:r>
      <w:r>
        <w:rPr>
          <w:spacing w:val="-2"/>
        </w:rPr>
        <w:t xml:space="preserve"> </w:t>
      </w:r>
      <w:r>
        <w:t>clearly</w:t>
      </w:r>
      <w:r>
        <w:rPr>
          <w:spacing w:val="-3"/>
        </w:rPr>
        <w:t xml:space="preserve"> </w:t>
      </w:r>
      <w:r>
        <w:t>find that the respondents acted to the best of their abilities.</w:t>
      </w:r>
    </w:p>
    <w:p w14:paraId="002290C5" w14:textId="77777777" w:rsidR="00BD462C" w:rsidRDefault="00BD462C">
      <w:pPr>
        <w:pStyle w:val="BodyText"/>
        <w:spacing w:before="3"/>
        <w:rPr>
          <w:sz w:val="9"/>
        </w:rPr>
      </w:pPr>
    </w:p>
    <w:p w14:paraId="49187496" w14:textId="5659B005" w:rsidR="00BD462C" w:rsidRDefault="00033D0F" w:rsidP="00652F97">
      <w:pPr>
        <w:pStyle w:val="BodyText"/>
        <w:numPr>
          <w:ilvl w:val="0"/>
          <w:numId w:val="68"/>
        </w:numPr>
        <w:spacing w:before="56" w:line="360" w:lineRule="auto"/>
        <w:ind w:right="913"/>
        <w:jc w:val="both"/>
      </w:pPr>
      <w:r>
        <w:rPr>
          <w:position w:val="1"/>
        </w:rPr>
        <w:t>Second,</w:t>
      </w:r>
      <w:r>
        <w:rPr>
          <w:spacing w:val="40"/>
          <w:position w:val="1"/>
        </w:rPr>
        <w:t xml:space="preserve"> </w:t>
      </w:r>
      <w:r>
        <w:rPr>
          <w:position w:val="1"/>
        </w:rPr>
        <w:t>even if</w:t>
      </w:r>
      <w:r>
        <w:rPr>
          <w:spacing w:val="40"/>
          <w:position w:val="1"/>
        </w:rPr>
        <w:t xml:space="preserve"> </w:t>
      </w:r>
      <w:r>
        <w:rPr>
          <w:position w:val="1"/>
        </w:rPr>
        <w:t>such an assessment</w:t>
      </w:r>
      <w:r>
        <w:rPr>
          <w:spacing w:val="40"/>
          <w:position w:val="1"/>
        </w:rPr>
        <w:t xml:space="preserve"> </w:t>
      </w:r>
      <w:r>
        <w:rPr>
          <w:position w:val="1"/>
        </w:rPr>
        <w:t>was</w:t>
      </w:r>
      <w:r>
        <w:rPr>
          <w:spacing w:val="40"/>
          <w:position w:val="1"/>
        </w:rPr>
        <w:t xml:space="preserve"> </w:t>
      </w:r>
      <w:r>
        <w:rPr>
          <w:position w:val="1"/>
        </w:rPr>
        <w:t>permissible,</w:t>
      </w:r>
      <w:r>
        <w:rPr>
          <w:spacing w:val="40"/>
          <w:position w:val="1"/>
        </w:rPr>
        <w:t xml:space="preserve"> </w:t>
      </w:r>
      <w:r>
        <w:rPr>
          <w:position w:val="1"/>
        </w:rPr>
        <w:t>there</w:t>
      </w:r>
      <w:r>
        <w:rPr>
          <w:spacing w:val="40"/>
          <w:position w:val="1"/>
        </w:rPr>
        <w:t xml:space="preserve"> </w:t>
      </w:r>
      <w:r>
        <w:rPr>
          <w:position w:val="1"/>
        </w:rPr>
        <w:t>is</w:t>
      </w:r>
      <w:r>
        <w:rPr>
          <w:spacing w:val="40"/>
          <w:position w:val="1"/>
        </w:rPr>
        <w:t xml:space="preserve"> </w:t>
      </w:r>
      <w:r>
        <w:rPr>
          <w:position w:val="1"/>
        </w:rPr>
        <w:t>no evidence</w:t>
      </w:r>
      <w:r>
        <w:rPr>
          <w:spacing w:val="40"/>
          <w:position w:val="1"/>
        </w:rPr>
        <w:t xml:space="preserve"> </w:t>
      </w:r>
      <w:r>
        <w:rPr>
          <w:position w:val="1"/>
        </w:rPr>
        <w:t xml:space="preserve">of a </w:t>
      </w:r>
      <w:r>
        <w:t>"holistic analysis" in MOFCOM's determinations, or elsewhere on the record. Contrary to China's</w:t>
      </w:r>
      <w:r>
        <w:rPr>
          <w:spacing w:val="-6"/>
        </w:rPr>
        <w:t xml:space="preserve"> </w:t>
      </w:r>
      <w:r>
        <w:t>assertions,</w:t>
      </w:r>
      <w:r>
        <w:rPr>
          <w:spacing w:val="-5"/>
        </w:rPr>
        <w:t xml:space="preserve"> </w:t>
      </w:r>
      <w:r>
        <w:t>MOFCOM's</w:t>
      </w:r>
      <w:r>
        <w:rPr>
          <w:spacing w:val="-6"/>
        </w:rPr>
        <w:t xml:space="preserve"> </w:t>
      </w:r>
      <w:r>
        <w:t>"holistic</w:t>
      </w:r>
      <w:r>
        <w:rPr>
          <w:spacing w:val="-8"/>
        </w:rPr>
        <w:t xml:space="preserve"> </w:t>
      </w:r>
      <w:r>
        <w:t>analysis"</w:t>
      </w:r>
      <w:r>
        <w:rPr>
          <w:spacing w:val="-13"/>
        </w:rPr>
        <w:t xml:space="preserve"> </w:t>
      </w:r>
      <w:r>
        <w:t>was</w:t>
      </w:r>
      <w:r>
        <w:rPr>
          <w:spacing w:val="-6"/>
        </w:rPr>
        <w:t xml:space="preserve"> </w:t>
      </w:r>
      <w:r>
        <w:t>not</w:t>
      </w:r>
      <w:r>
        <w:rPr>
          <w:spacing w:val="-7"/>
        </w:rPr>
        <w:t xml:space="preserve"> </w:t>
      </w:r>
      <w:r>
        <w:t>addressed</w:t>
      </w:r>
      <w:r>
        <w:rPr>
          <w:spacing w:val="-9"/>
        </w:rPr>
        <w:t xml:space="preserve"> </w:t>
      </w:r>
      <w:r>
        <w:t>in</w:t>
      </w:r>
      <w:r>
        <w:rPr>
          <w:spacing w:val="-9"/>
        </w:rPr>
        <w:t xml:space="preserve"> </w:t>
      </w:r>
      <w:r>
        <w:t>Australia's</w:t>
      </w:r>
      <w:r>
        <w:rPr>
          <w:spacing w:val="-6"/>
        </w:rPr>
        <w:t xml:space="preserve"> </w:t>
      </w:r>
      <w:r>
        <w:t>first</w:t>
      </w:r>
      <w:r>
        <w:rPr>
          <w:spacing w:val="-7"/>
        </w:rPr>
        <w:t xml:space="preserve"> </w:t>
      </w:r>
      <w:r>
        <w:t>written submission not because of deliberate avoidance,</w:t>
      </w:r>
      <w:r>
        <w:rPr>
          <w:spacing w:val="-14"/>
        </w:rPr>
        <w:t xml:space="preserve"> </w:t>
      </w:r>
      <w:hyperlink w:anchor="_bookmark136" w:history="1">
        <w:r>
          <w:rPr>
            <w:vertAlign w:val="superscript"/>
          </w:rPr>
          <w:t>101</w:t>
        </w:r>
      </w:hyperlink>
      <w:r>
        <w:t xml:space="preserve"> but rather because it was not the framework that MOFCOM used to assess the information, nor was it the basis of MOFCOM's decision</w:t>
      </w:r>
      <w:r>
        <w:rPr>
          <w:spacing w:val="-14"/>
        </w:rPr>
        <w:t xml:space="preserve"> </w:t>
      </w:r>
      <w:r>
        <w:t>to</w:t>
      </w:r>
      <w:r>
        <w:rPr>
          <w:spacing w:val="-14"/>
        </w:rPr>
        <w:t xml:space="preserve"> </w:t>
      </w:r>
      <w:r>
        <w:t>resort</w:t>
      </w:r>
      <w:r>
        <w:rPr>
          <w:spacing w:val="-13"/>
        </w:rPr>
        <w:t xml:space="preserve"> </w:t>
      </w:r>
      <w:r>
        <w:t>to</w:t>
      </w:r>
      <w:r>
        <w:rPr>
          <w:spacing w:val="-11"/>
        </w:rPr>
        <w:t xml:space="preserve"> </w:t>
      </w:r>
      <w:r>
        <w:t>facts</w:t>
      </w:r>
      <w:r>
        <w:rPr>
          <w:spacing w:val="-11"/>
        </w:rPr>
        <w:t xml:space="preserve"> </w:t>
      </w:r>
      <w:r>
        <w:t>available.</w:t>
      </w:r>
      <w:r>
        <w:rPr>
          <w:spacing w:val="-12"/>
        </w:rPr>
        <w:t xml:space="preserve"> </w:t>
      </w:r>
      <w:r>
        <w:t>Finally,</w:t>
      </w:r>
      <w:r>
        <w:rPr>
          <w:spacing w:val="-11"/>
        </w:rPr>
        <w:t xml:space="preserve"> </w:t>
      </w:r>
      <w:r>
        <w:t>assuming,</w:t>
      </w:r>
      <w:r>
        <w:rPr>
          <w:spacing w:val="-11"/>
        </w:rPr>
        <w:t xml:space="preserve"> </w:t>
      </w:r>
      <w:r>
        <w:rPr>
          <w:i/>
        </w:rPr>
        <w:t>arguendo</w:t>
      </w:r>
      <w:r>
        <w:t>,</w:t>
      </w:r>
      <w:r>
        <w:rPr>
          <w:spacing w:val="-11"/>
        </w:rPr>
        <w:t xml:space="preserve"> </w:t>
      </w:r>
      <w:r>
        <w:t>that</w:t>
      </w:r>
      <w:r>
        <w:rPr>
          <w:spacing w:val="-12"/>
        </w:rPr>
        <w:t xml:space="preserve"> </w:t>
      </w:r>
      <w:r>
        <w:t>MOFCOM</w:t>
      </w:r>
      <w:r>
        <w:rPr>
          <w:spacing w:val="-12"/>
        </w:rPr>
        <w:t xml:space="preserve"> </w:t>
      </w:r>
      <w:r>
        <w:t>did</w:t>
      </w:r>
      <w:r>
        <w:rPr>
          <w:spacing w:val="-14"/>
        </w:rPr>
        <w:t xml:space="preserve"> </w:t>
      </w:r>
      <w:r>
        <w:t>undertake a</w:t>
      </w:r>
      <w:r>
        <w:rPr>
          <w:spacing w:val="-14"/>
        </w:rPr>
        <w:t xml:space="preserve"> </w:t>
      </w:r>
      <w:r>
        <w:t>"holistic</w:t>
      </w:r>
      <w:r>
        <w:rPr>
          <w:spacing w:val="-14"/>
        </w:rPr>
        <w:t xml:space="preserve"> </w:t>
      </w:r>
      <w:r>
        <w:t>analysis",</w:t>
      </w:r>
      <w:r>
        <w:rPr>
          <w:spacing w:val="-12"/>
        </w:rPr>
        <w:t xml:space="preserve"> </w:t>
      </w:r>
      <w:r>
        <w:t>it</w:t>
      </w:r>
      <w:r>
        <w:rPr>
          <w:spacing w:val="-11"/>
        </w:rPr>
        <w:t xml:space="preserve"> </w:t>
      </w:r>
      <w:r>
        <w:t>follows</w:t>
      </w:r>
      <w:r>
        <w:rPr>
          <w:spacing w:val="-11"/>
        </w:rPr>
        <w:t xml:space="preserve"> </w:t>
      </w:r>
      <w:r>
        <w:t>that</w:t>
      </w:r>
      <w:r>
        <w:rPr>
          <w:spacing w:val="-12"/>
        </w:rPr>
        <w:t xml:space="preserve"> </w:t>
      </w:r>
      <w:r>
        <w:t>an</w:t>
      </w:r>
      <w:r>
        <w:rPr>
          <w:spacing w:val="-14"/>
        </w:rPr>
        <w:t xml:space="preserve"> </w:t>
      </w:r>
      <w:r>
        <w:t>error</w:t>
      </w:r>
      <w:r>
        <w:rPr>
          <w:spacing w:val="-14"/>
        </w:rPr>
        <w:t xml:space="preserve"> </w:t>
      </w:r>
      <w:r>
        <w:t>in</w:t>
      </w:r>
      <w:r>
        <w:rPr>
          <w:spacing w:val="-13"/>
        </w:rPr>
        <w:t xml:space="preserve"> </w:t>
      </w:r>
      <w:r>
        <w:t>any</w:t>
      </w:r>
      <w:r>
        <w:rPr>
          <w:spacing w:val="-11"/>
        </w:rPr>
        <w:t xml:space="preserve"> </w:t>
      </w:r>
      <w:r>
        <w:t>one</w:t>
      </w:r>
      <w:r>
        <w:rPr>
          <w:spacing w:val="-13"/>
        </w:rPr>
        <w:t xml:space="preserve"> </w:t>
      </w:r>
      <w:r>
        <w:t>element</w:t>
      </w:r>
      <w:r>
        <w:rPr>
          <w:spacing w:val="-12"/>
        </w:rPr>
        <w:t xml:space="preserve"> </w:t>
      </w:r>
      <w:r>
        <w:t>of</w:t>
      </w:r>
      <w:r>
        <w:rPr>
          <w:spacing w:val="-14"/>
        </w:rPr>
        <w:t xml:space="preserve"> </w:t>
      </w:r>
      <w:r>
        <w:t>the</w:t>
      </w:r>
      <w:r>
        <w:rPr>
          <w:spacing w:val="-12"/>
        </w:rPr>
        <w:t xml:space="preserve"> </w:t>
      </w:r>
      <w:r>
        <w:t>analysis</w:t>
      </w:r>
      <w:r>
        <w:rPr>
          <w:spacing w:val="-11"/>
        </w:rPr>
        <w:t xml:space="preserve"> </w:t>
      </w:r>
      <w:r>
        <w:t>must</w:t>
      </w:r>
      <w:r>
        <w:rPr>
          <w:spacing w:val="-12"/>
        </w:rPr>
        <w:t xml:space="preserve"> </w:t>
      </w:r>
      <w:r>
        <w:t>undermine the entirety of the "holistic analysis".</w:t>
      </w:r>
    </w:p>
    <w:p w14:paraId="4A3D7FFA" w14:textId="77777777" w:rsidR="00BD462C" w:rsidRDefault="00033D0F">
      <w:pPr>
        <w:pStyle w:val="ListParagraph"/>
        <w:numPr>
          <w:ilvl w:val="0"/>
          <w:numId w:val="38"/>
        </w:numPr>
        <w:tabs>
          <w:tab w:val="left" w:pos="2689"/>
          <w:tab w:val="left" w:pos="2690"/>
        </w:tabs>
        <w:spacing w:before="156"/>
        <w:jc w:val="both"/>
        <w:rPr>
          <w:b/>
          <w:sz w:val="24"/>
        </w:rPr>
      </w:pPr>
      <w:bookmarkStart w:id="159" w:name="1._US_–_Steel_Plate_does_not_support_a_&quot;"/>
      <w:bookmarkStart w:id="160" w:name="_bookmark135"/>
      <w:bookmarkEnd w:id="159"/>
      <w:bookmarkEnd w:id="160"/>
      <w:r>
        <w:rPr>
          <w:b/>
          <w:i/>
          <w:sz w:val="24"/>
        </w:rPr>
        <w:t>US</w:t>
      </w:r>
      <w:r>
        <w:rPr>
          <w:b/>
          <w:i/>
          <w:spacing w:val="-5"/>
          <w:sz w:val="24"/>
        </w:rPr>
        <w:t xml:space="preserve"> </w:t>
      </w:r>
      <w:r>
        <w:rPr>
          <w:b/>
          <w:i/>
          <w:sz w:val="24"/>
        </w:rPr>
        <w:t>–</w:t>
      </w:r>
      <w:r>
        <w:rPr>
          <w:b/>
          <w:i/>
          <w:spacing w:val="-2"/>
          <w:sz w:val="24"/>
        </w:rPr>
        <w:t xml:space="preserve"> </w:t>
      </w:r>
      <w:r>
        <w:rPr>
          <w:b/>
          <w:i/>
          <w:sz w:val="24"/>
        </w:rPr>
        <w:t>Steel</w:t>
      </w:r>
      <w:r>
        <w:rPr>
          <w:b/>
          <w:i/>
          <w:spacing w:val="-4"/>
          <w:sz w:val="24"/>
        </w:rPr>
        <w:t xml:space="preserve"> </w:t>
      </w:r>
      <w:r>
        <w:rPr>
          <w:b/>
          <w:i/>
          <w:sz w:val="24"/>
        </w:rPr>
        <w:t>Plate</w:t>
      </w:r>
      <w:r>
        <w:rPr>
          <w:b/>
          <w:i/>
          <w:spacing w:val="-2"/>
          <w:sz w:val="24"/>
        </w:rPr>
        <w:t xml:space="preserve"> </w:t>
      </w:r>
      <w:r>
        <w:rPr>
          <w:b/>
          <w:sz w:val="24"/>
        </w:rPr>
        <w:t>does</w:t>
      </w:r>
      <w:r>
        <w:rPr>
          <w:b/>
          <w:spacing w:val="-3"/>
          <w:sz w:val="24"/>
        </w:rPr>
        <w:t xml:space="preserve"> </w:t>
      </w:r>
      <w:r>
        <w:rPr>
          <w:b/>
          <w:sz w:val="24"/>
        </w:rPr>
        <w:t>not</w:t>
      </w:r>
      <w:r>
        <w:rPr>
          <w:b/>
          <w:spacing w:val="-1"/>
          <w:sz w:val="24"/>
        </w:rPr>
        <w:t xml:space="preserve"> </w:t>
      </w:r>
      <w:r>
        <w:rPr>
          <w:b/>
          <w:sz w:val="24"/>
        </w:rPr>
        <w:t>support</w:t>
      </w:r>
      <w:r>
        <w:rPr>
          <w:b/>
          <w:spacing w:val="-5"/>
          <w:sz w:val="24"/>
        </w:rPr>
        <w:t xml:space="preserve"> </w:t>
      </w:r>
      <w:r>
        <w:rPr>
          <w:b/>
          <w:sz w:val="24"/>
        </w:rPr>
        <w:t>a</w:t>
      </w:r>
      <w:r>
        <w:rPr>
          <w:b/>
          <w:spacing w:val="-1"/>
          <w:sz w:val="24"/>
        </w:rPr>
        <w:t xml:space="preserve"> </w:t>
      </w:r>
      <w:r>
        <w:rPr>
          <w:b/>
          <w:sz w:val="24"/>
        </w:rPr>
        <w:t>"holistic</w:t>
      </w:r>
      <w:r>
        <w:rPr>
          <w:b/>
          <w:spacing w:val="-3"/>
          <w:sz w:val="24"/>
        </w:rPr>
        <w:t xml:space="preserve"> </w:t>
      </w:r>
      <w:r>
        <w:rPr>
          <w:b/>
          <w:spacing w:val="-2"/>
          <w:sz w:val="24"/>
        </w:rPr>
        <w:t>analysis"</w:t>
      </w:r>
    </w:p>
    <w:p w14:paraId="346367BF" w14:textId="77777777" w:rsidR="00BD462C" w:rsidRDefault="00BD462C">
      <w:pPr>
        <w:pStyle w:val="BodyText"/>
        <w:spacing w:before="12"/>
        <w:rPr>
          <w:b/>
          <w:sz w:val="20"/>
        </w:rPr>
      </w:pPr>
    </w:p>
    <w:p w14:paraId="648FE0A1" w14:textId="6FC67A15" w:rsidR="00BD462C" w:rsidRDefault="00033D0F" w:rsidP="00652F97">
      <w:pPr>
        <w:pStyle w:val="BodyText"/>
        <w:numPr>
          <w:ilvl w:val="0"/>
          <w:numId w:val="68"/>
        </w:numPr>
        <w:spacing w:before="56" w:line="360" w:lineRule="auto"/>
        <w:ind w:right="917"/>
        <w:jc w:val="both"/>
      </w:pPr>
      <w:r>
        <w:rPr>
          <w:position w:val="1"/>
        </w:rPr>
        <w:t xml:space="preserve">China selectively quotes from the panel report in </w:t>
      </w:r>
      <w:r>
        <w:rPr>
          <w:i/>
          <w:position w:val="1"/>
        </w:rPr>
        <w:t>US</w:t>
      </w:r>
      <w:r>
        <w:rPr>
          <w:i/>
          <w:spacing w:val="-1"/>
          <w:position w:val="1"/>
        </w:rPr>
        <w:t xml:space="preserve"> </w:t>
      </w:r>
      <w:r>
        <w:rPr>
          <w:i/>
          <w:position w:val="1"/>
        </w:rPr>
        <w:t>–</w:t>
      </w:r>
      <w:r>
        <w:rPr>
          <w:i/>
          <w:spacing w:val="-2"/>
          <w:position w:val="1"/>
        </w:rPr>
        <w:t xml:space="preserve"> </w:t>
      </w:r>
      <w:r>
        <w:rPr>
          <w:i/>
          <w:position w:val="1"/>
        </w:rPr>
        <w:t xml:space="preserve">Steel Plate </w:t>
      </w:r>
      <w:r>
        <w:rPr>
          <w:position w:val="1"/>
        </w:rPr>
        <w:t xml:space="preserve">to support its </w:t>
      </w:r>
      <w:r>
        <w:t>argument that the Panel should consider the alleged deficiencies "from an overall perspective"</w:t>
      </w:r>
      <w:hyperlink w:anchor="_bookmark137" w:history="1">
        <w:r>
          <w:rPr>
            <w:vertAlign w:val="superscript"/>
          </w:rPr>
          <w:t>102</w:t>
        </w:r>
      </w:hyperlink>
      <w:r>
        <w:t xml:space="preserve">. The decision in </w:t>
      </w:r>
      <w:r>
        <w:rPr>
          <w:i/>
        </w:rPr>
        <w:t xml:space="preserve">US – Steel Plate </w:t>
      </w:r>
      <w:r>
        <w:t>does not support China's proposition, but rather provides that whether information that otherwise meets the criteria of paragraph 3 can be rejected because other information is rejected must be determined on the specific facts and circumstances of an investigation, and any such decision must be explained by the investigation authority.</w:t>
      </w:r>
      <w:hyperlink w:anchor="_bookmark138" w:history="1">
        <w:r>
          <w:rPr>
            <w:vertAlign w:val="superscript"/>
          </w:rPr>
          <w:t>103</w:t>
        </w:r>
      </w:hyperlink>
      <w:r>
        <w:t xml:space="preserve"> China offers no other support for its position.</w:t>
      </w:r>
    </w:p>
    <w:p w14:paraId="7EA95CF2" w14:textId="77777777" w:rsidR="00BD462C" w:rsidRDefault="00BD462C">
      <w:pPr>
        <w:pStyle w:val="BodyText"/>
        <w:spacing w:before="5"/>
        <w:rPr>
          <w:sz w:val="8"/>
        </w:rPr>
      </w:pPr>
    </w:p>
    <w:p w14:paraId="425FB5A9" w14:textId="284F9F56" w:rsidR="00BD462C" w:rsidRDefault="00033D0F" w:rsidP="00652F97">
      <w:pPr>
        <w:pStyle w:val="BodyText"/>
        <w:numPr>
          <w:ilvl w:val="0"/>
          <w:numId w:val="68"/>
        </w:numPr>
        <w:spacing w:before="56" w:line="360" w:lineRule="auto"/>
        <w:ind w:right="914"/>
        <w:jc w:val="both"/>
      </w:pPr>
      <w:r>
        <w:rPr>
          <w:position w:val="1"/>
        </w:rPr>
        <w:t>The panel in</w:t>
      </w:r>
      <w:r>
        <w:rPr>
          <w:spacing w:val="-1"/>
          <w:position w:val="1"/>
        </w:rPr>
        <w:t xml:space="preserve"> </w:t>
      </w:r>
      <w:r>
        <w:rPr>
          <w:i/>
          <w:position w:val="1"/>
        </w:rPr>
        <w:t xml:space="preserve">US – Steel Plate </w:t>
      </w:r>
      <w:r>
        <w:rPr>
          <w:position w:val="1"/>
        </w:rPr>
        <w:t>was not considering</w:t>
      </w:r>
      <w:r>
        <w:rPr>
          <w:spacing w:val="-1"/>
          <w:position w:val="1"/>
        </w:rPr>
        <w:t xml:space="preserve"> </w:t>
      </w:r>
      <w:r>
        <w:rPr>
          <w:position w:val="1"/>
        </w:rPr>
        <w:t xml:space="preserve">whether, as a general proposition, </w:t>
      </w:r>
      <w:r>
        <w:t>an</w:t>
      </w:r>
      <w:r>
        <w:rPr>
          <w:spacing w:val="-13"/>
        </w:rPr>
        <w:t xml:space="preserve"> </w:t>
      </w:r>
      <w:r>
        <w:t>investigating</w:t>
      </w:r>
      <w:r>
        <w:rPr>
          <w:spacing w:val="-9"/>
        </w:rPr>
        <w:t xml:space="preserve"> </w:t>
      </w:r>
      <w:r>
        <w:t>authority</w:t>
      </w:r>
      <w:r>
        <w:rPr>
          <w:spacing w:val="-10"/>
        </w:rPr>
        <w:t xml:space="preserve"> </w:t>
      </w:r>
      <w:r>
        <w:t>is</w:t>
      </w:r>
      <w:r>
        <w:rPr>
          <w:spacing w:val="-9"/>
        </w:rPr>
        <w:t xml:space="preserve"> </w:t>
      </w:r>
      <w:r>
        <w:t>permitted</w:t>
      </w:r>
      <w:r>
        <w:rPr>
          <w:spacing w:val="-13"/>
        </w:rPr>
        <w:t xml:space="preserve"> </w:t>
      </w:r>
      <w:r>
        <w:t>to</w:t>
      </w:r>
      <w:r>
        <w:rPr>
          <w:spacing w:val="-9"/>
        </w:rPr>
        <w:t xml:space="preserve"> </w:t>
      </w:r>
      <w:r>
        <w:t>have</w:t>
      </w:r>
      <w:r>
        <w:rPr>
          <w:spacing w:val="-6"/>
        </w:rPr>
        <w:t xml:space="preserve"> </w:t>
      </w:r>
      <w:r>
        <w:t>recourse</w:t>
      </w:r>
      <w:r>
        <w:rPr>
          <w:spacing w:val="-11"/>
        </w:rPr>
        <w:t xml:space="preserve"> </w:t>
      </w:r>
      <w:r>
        <w:t>to</w:t>
      </w:r>
      <w:r>
        <w:rPr>
          <w:spacing w:val="-9"/>
        </w:rPr>
        <w:t xml:space="preserve"> </w:t>
      </w:r>
      <w:r>
        <w:t>facts</w:t>
      </w:r>
      <w:r>
        <w:rPr>
          <w:spacing w:val="-5"/>
        </w:rPr>
        <w:t xml:space="preserve"> </w:t>
      </w:r>
      <w:r>
        <w:t>available</w:t>
      </w:r>
      <w:r>
        <w:rPr>
          <w:spacing w:val="-11"/>
        </w:rPr>
        <w:t xml:space="preserve"> </w:t>
      </w:r>
      <w:r>
        <w:t>based</w:t>
      </w:r>
      <w:r>
        <w:rPr>
          <w:spacing w:val="-13"/>
        </w:rPr>
        <w:t xml:space="preserve"> </w:t>
      </w:r>
      <w:r>
        <w:t>on</w:t>
      </w:r>
      <w:r>
        <w:rPr>
          <w:spacing w:val="-13"/>
        </w:rPr>
        <w:t xml:space="preserve"> </w:t>
      </w:r>
      <w:r>
        <w:t>an</w:t>
      </w:r>
      <w:r>
        <w:rPr>
          <w:spacing w:val="-13"/>
        </w:rPr>
        <w:t xml:space="preserve"> </w:t>
      </w:r>
      <w:r>
        <w:t>"overall perspective", or because of the "totality of the deficiencies".</w:t>
      </w:r>
      <w:hyperlink w:anchor="_bookmark139" w:history="1">
        <w:r>
          <w:rPr>
            <w:vertAlign w:val="superscript"/>
          </w:rPr>
          <w:t>104</w:t>
        </w:r>
      </w:hyperlink>
      <w:r>
        <w:t xml:space="preserve"> In fact, the panel specifically rejected</w:t>
      </w:r>
      <w:r>
        <w:rPr>
          <w:spacing w:val="-9"/>
        </w:rPr>
        <w:t xml:space="preserve"> </w:t>
      </w:r>
      <w:r>
        <w:t>the</w:t>
      </w:r>
      <w:r>
        <w:rPr>
          <w:spacing w:val="-8"/>
        </w:rPr>
        <w:t xml:space="preserve"> </w:t>
      </w:r>
      <w:r>
        <w:t>argument</w:t>
      </w:r>
      <w:r>
        <w:rPr>
          <w:spacing w:val="-8"/>
        </w:rPr>
        <w:t xml:space="preserve"> </w:t>
      </w:r>
      <w:r>
        <w:t>that</w:t>
      </w:r>
      <w:r>
        <w:rPr>
          <w:spacing w:val="-8"/>
        </w:rPr>
        <w:t xml:space="preserve"> </w:t>
      </w:r>
      <w:r>
        <w:t>if</w:t>
      </w:r>
      <w:r>
        <w:rPr>
          <w:spacing w:val="-9"/>
        </w:rPr>
        <w:t xml:space="preserve"> </w:t>
      </w:r>
      <w:r>
        <w:t>an</w:t>
      </w:r>
      <w:r>
        <w:rPr>
          <w:spacing w:val="-9"/>
        </w:rPr>
        <w:t xml:space="preserve"> </w:t>
      </w:r>
      <w:r>
        <w:t>"'essential'</w:t>
      </w:r>
      <w:r>
        <w:rPr>
          <w:spacing w:val="-9"/>
        </w:rPr>
        <w:t xml:space="preserve"> </w:t>
      </w:r>
      <w:r>
        <w:t>element</w:t>
      </w:r>
      <w:r>
        <w:rPr>
          <w:spacing w:val="-8"/>
        </w:rPr>
        <w:t xml:space="preserve"> </w:t>
      </w:r>
      <w:r>
        <w:t>of</w:t>
      </w:r>
      <w:r>
        <w:rPr>
          <w:spacing w:val="-9"/>
        </w:rPr>
        <w:t xml:space="preserve"> </w:t>
      </w:r>
      <w:r>
        <w:t>requested</w:t>
      </w:r>
      <w:r>
        <w:rPr>
          <w:spacing w:val="-9"/>
        </w:rPr>
        <w:t xml:space="preserve"> </w:t>
      </w:r>
      <w:r>
        <w:t>information</w:t>
      </w:r>
      <w:r>
        <w:rPr>
          <w:spacing w:val="-9"/>
        </w:rPr>
        <w:t xml:space="preserve"> </w:t>
      </w:r>
      <w:r>
        <w:t>is</w:t>
      </w:r>
      <w:r>
        <w:rPr>
          <w:spacing w:val="-7"/>
        </w:rPr>
        <w:t xml:space="preserve"> </w:t>
      </w:r>
      <w:r>
        <w:t>not</w:t>
      </w:r>
      <w:r>
        <w:rPr>
          <w:spacing w:val="-8"/>
        </w:rPr>
        <w:t xml:space="preserve"> </w:t>
      </w:r>
      <w:r>
        <w:t>provided in a timely fashion, the investigating authority may disregard all the information submitted and base its determination exclusively on facts available."</w:t>
      </w:r>
      <w:hyperlink w:anchor="_bookmark140" w:history="1">
        <w:r>
          <w:rPr>
            <w:vertAlign w:val="superscript"/>
          </w:rPr>
          <w:t>105</w:t>
        </w:r>
      </w:hyperlink>
      <w:r>
        <w:t xml:space="preserve"> According to the panel, "[t]o conclude</w:t>
      </w:r>
      <w:r>
        <w:rPr>
          <w:spacing w:val="40"/>
        </w:rPr>
        <w:t xml:space="preserve"> </w:t>
      </w:r>
      <w:r>
        <w:t>otherwise</w:t>
      </w:r>
      <w:r>
        <w:rPr>
          <w:spacing w:val="40"/>
        </w:rPr>
        <w:t xml:space="preserve"> </w:t>
      </w:r>
      <w:r>
        <w:t>would</w:t>
      </w:r>
      <w:r>
        <w:rPr>
          <w:spacing w:val="40"/>
        </w:rPr>
        <w:t xml:space="preserve"> </w:t>
      </w:r>
      <w:r>
        <w:t>fly</w:t>
      </w:r>
      <w:r>
        <w:rPr>
          <w:spacing w:val="40"/>
        </w:rPr>
        <w:t xml:space="preserve"> </w:t>
      </w:r>
      <w:r>
        <w:t>in</w:t>
      </w:r>
      <w:r>
        <w:rPr>
          <w:spacing w:val="40"/>
        </w:rPr>
        <w:t xml:space="preserve"> </w:t>
      </w:r>
      <w:r>
        <w:t>the</w:t>
      </w:r>
      <w:r>
        <w:rPr>
          <w:spacing w:val="40"/>
        </w:rPr>
        <w:t xml:space="preserve"> </w:t>
      </w:r>
      <w:r>
        <w:t>face</w:t>
      </w:r>
      <w:r>
        <w:rPr>
          <w:spacing w:val="40"/>
        </w:rPr>
        <w:t xml:space="preserve"> </w:t>
      </w:r>
      <w:r>
        <w:t>of</w:t>
      </w:r>
      <w:r>
        <w:rPr>
          <w:spacing w:val="40"/>
        </w:rPr>
        <w:t xml:space="preserve"> </w:t>
      </w:r>
      <w:r>
        <w:t>one</w:t>
      </w:r>
      <w:r>
        <w:rPr>
          <w:spacing w:val="40"/>
        </w:rPr>
        <w:t xml:space="preserve"> </w:t>
      </w:r>
      <w:r>
        <w:t>of</w:t>
      </w:r>
      <w:r>
        <w:rPr>
          <w:spacing w:val="40"/>
        </w:rPr>
        <w:t xml:space="preserve"> </w:t>
      </w:r>
      <w:r>
        <w:t>the</w:t>
      </w:r>
      <w:r>
        <w:rPr>
          <w:spacing w:val="40"/>
        </w:rPr>
        <w:t xml:space="preserve"> </w:t>
      </w:r>
      <w:r>
        <w:t>fundamental</w:t>
      </w:r>
      <w:r>
        <w:rPr>
          <w:spacing w:val="40"/>
        </w:rPr>
        <w:t xml:space="preserve"> </w:t>
      </w:r>
      <w:r>
        <w:t>goals</w:t>
      </w:r>
      <w:r>
        <w:rPr>
          <w:spacing w:val="40"/>
        </w:rPr>
        <w:t xml:space="preserve"> </w:t>
      </w:r>
      <w:r>
        <w:t>of</w:t>
      </w:r>
      <w:r>
        <w:rPr>
          <w:spacing w:val="40"/>
        </w:rPr>
        <w:t xml:space="preserve"> </w:t>
      </w:r>
      <w:r>
        <w:t>the</w:t>
      </w:r>
      <w:r>
        <w:rPr>
          <w:spacing w:val="40"/>
        </w:rPr>
        <w:t xml:space="preserve"> </w:t>
      </w:r>
      <w:r>
        <w:t>[Anti-</w:t>
      </w:r>
    </w:p>
    <w:p w14:paraId="6CC8F713" w14:textId="77777777" w:rsidR="00BD462C" w:rsidRDefault="00BD462C">
      <w:pPr>
        <w:pStyle w:val="BodyText"/>
        <w:rPr>
          <w:sz w:val="20"/>
        </w:rPr>
      </w:pPr>
    </w:p>
    <w:p w14:paraId="74BB7635" w14:textId="77777777" w:rsidR="00BD462C" w:rsidRDefault="00BD462C">
      <w:pPr>
        <w:pStyle w:val="BodyText"/>
        <w:rPr>
          <w:sz w:val="20"/>
        </w:rPr>
      </w:pPr>
    </w:p>
    <w:p w14:paraId="56B2B515" w14:textId="64A766FC" w:rsidR="00BD462C" w:rsidRDefault="009A6330">
      <w:pPr>
        <w:pStyle w:val="BodyText"/>
        <w:spacing w:before="9"/>
        <w:rPr>
          <w:sz w:val="28"/>
        </w:rPr>
      </w:pPr>
      <w:r>
        <w:rPr>
          <w:noProof/>
        </w:rPr>
        <mc:AlternateContent>
          <mc:Choice Requires="wps">
            <w:drawing>
              <wp:anchor distT="0" distB="0" distL="0" distR="0" simplePos="0" relativeHeight="487975424" behindDoc="1" locked="0" layoutInCell="1" allowOverlap="1" wp14:anchorId="0526B249" wp14:editId="38923ABD">
                <wp:simplePos x="0" y="0"/>
                <wp:positionH relativeFrom="page">
                  <wp:posOffset>812800</wp:posOffset>
                </wp:positionH>
                <wp:positionV relativeFrom="paragraph">
                  <wp:posOffset>224790</wp:posOffset>
                </wp:positionV>
                <wp:extent cx="1828800" cy="8890"/>
                <wp:effectExtent l="0" t="0" r="0" b="0"/>
                <wp:wrapTopAndBottom/>
                <wp:docPr id="734" name="docshape7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5F2FB3" id="docshape712" o:spid="_x0000_s1026" alt="&quot;&quot;" style="position:absolute;margin-left:64pt;margin-top:17.7pt;width:2in;height:.7pt;z-index:-15341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" fillcolor="black" stroked="f">
                <w10:wrap type="topAndBottom" anchorx="page"/>
              </v:rect>
            </w:pict>
          </mc:Fallback>
        </mc:AlternateContent>
      </w:r>
    </w:p>
    <w:p w14:paraId="20D9BAC7" w14:textId="77777777" w:rsidR="00BD462C" w:rsidRDefault="00033D0F">
      <w:pPr>
        <w:spacing w:before="107"/>
        <w:ind w:left="135"/>
        <w:rPr>
          <w:sz w:val="18"/>
        </w:rPr>
      </w:pPr>
      <w:bookmarkStart w:id="161" w:name="_bookmark136"/>
      <w:bookmarkEnd w:id="161"/>
      <w:r>
        <w:rPr>
          <w:position w:val="5"/>
          <w:sz w:val="12"/>
        </w:rPr>
        <w:t>101</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 xml:space="preserve">submission, para. </w:t>
      </w:r>
      <w:r>
        <w:rPr>
          <w:spacing w:val="-4"/>
          <w:sz w:val="18"/>
        </w:rPr>
        <w:t>269.</w:t>
      </w:r>
    </w:p>
    <w:p w14:paraId="5BDF1718" w14:textId="77777777" w:rsidR="00BD462C" w:rsidRDefault="00033D0F">
      <w:pPr>
        <w:spacing w:before="1"/>
        <w:ind w:left="135"/>
        <w:rPr>
          <w:sz w:val="18"/>
        </w:rPr>
      </w:pPr>
      <w:bookmarkStart w:id="162" w:name="_bookmark137"/>
      <w:bookmarkEnd w:id="162"/>
      <w:r>
        <w:rPr>
          <w:position w:val="5"/>
          <w:sz w:val="12"/>
        </w:rPr>
        <w:t>102</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 xml:space="preserve">submission, para. </w:t>
      </w:r>
      <w:r>
        <w:rPr>
          <w:spacing w:val="-4"/>
          <w:sz w:val="18"/>
        </w:rPr>
        <w:t>272.</w:t>
      </w:r>
    </w:p>
    <w:p w14:paraId="1885D368" w14:textId="77777777" w:rsidR="00BD462C" w:rsidRDefault="00033D0F">
      <w:pPr>
        <w:spacing w:before="1"/>
        <w:ind w:left="135"/>
        <w:rPr>
          <w:sz w:val="18"/>
        </w:rPr>
      </w:pPr>
      <w:bookmarkStart w:id="163" w:name="_bookmark138"/>
      <w:bookmarkEnd w:id="163"/>
      <w:r>
        <w:rPr>
          <w:position w:val="5"/>
          <w:sz w:val="12"/>
        </w:rPr>
        <w:t>103</w:t>
      </w:r>
      <w:r>
        <w:rPr>
          <w:spacing w:val="15"/>
          <w:position w:val="5"/>
          <w:sz w:val="12"/>
        </w:rPr>
        <w:t xml:space="preserve"> </w:t>
      </w:r>
      <w:r>
        <w:rPr>
          <w:sz w:val="18"/>
        </w:rPr>
        <w:t>Panel</w:t>
      </w:r>
      <w:r>
        <w:rPr>
          <w:spacing w:val="-2"/>
          <w:sz w:val="18"/>
        </w:rPr>
        <w:t xml:space="preserve"> </w:t>
      </w:r>
      <w:r>
        <w:rPr>
          <w:sz w:val="18"/>
        </w:rPr>
        <w:t>Report,</w:t>
      </w:r>
      <w:r>
        <w:rPr>
          <w:spacing w:val="-1"/>
          <w:sz w:val="18"/>
        </w:rPr>
        <w:t xml:space="preserve"> </w:t>
      </w:r>
      <w:r>
        <w:rPr>
          <w:i/>
          <w:sz w:val="18"/>
        </w:rPr>
        <w:t>US</w:t>
      </w:r>
      <w:r>
        <w:rPr>
          <w:i/>
          <w:spacing w:val="-5"/>
          <w:sz w:val="18"/>
        </w:rPr>
        <w:t xml:space="preserve"> </w:t>
      </w:r>
      <w:r>
        <w:rPr>
          <w:i/>
          <w:sz w:val="18"/>
        </w:rPr>
        <w:t>–</w:t>
      </w:r>
      <w:r>
        <w:rPr>
          <w:i/>
          <w:spacing w:val="1"/>
          <w:sz w:val="18"/>
        </w:rPr>
        <w:t xml:space="preserve"> </w:t>
      </w:r>
      <w:r>
        <w:rPr>
          <w:i/>
          <w:sz w:val="18"/>
        </w:rPr>
        <w:t>Steel</w:t>
      </w:r>
      <w:r>
        <w:rPr>
          <w:i/>
          <w:spacing w:val="-2"/>
          <w:sz w:val="18"/>
        </w:rPr>
        <w:t xml:space="preserve"> </w:t>
      </w:r>
      <w:r>
        <w:rPr>
          <w:i/>
          <w:sz w:val="18"/>
        </w:rPr>
        <w:t>Plate</w:t>
      </w:r>
      <w:r>
        <w:rPr>
          <w:sz w:val="18"/>
        </w:rPr>
        <w:t>,</w:t>
      </w:r>
      <w:r>
        <w:rPr>
          <w:spacing w:val="-1"/>
          <w:sz w:val="18"/>
        </w:rPr>
        <w:t xml:space="preserve"> </w:t>
      </w:r>
      <w:r>
        <w:rPr>
          <w:sz w:val="18"/>
        </w:rPr>
        <w:t>para.</w:t>
      </w:r>
      <w:r>
        <w:rPr>
          <w:spacing w:val="-2"/>
          <w:sz w:val="18"/>
        </w:rPr>
        <w:t xml:space="preserve"> </w:t>
      </w:r>
      <w:r>
        <w:rPr>
          <w:sz w:val="18"/>
        </w:rPr>
        <w:t>7.62</w:t>
      </w:r>
      <w:r>
        <w:rPr>
          <w:spacing w:val="-5"/>
          <w:sz w:val="18"/>
        </w:rPr>
        <w:t xml:space="preserve"> </w:t>
      </w:r>
      <w:r>
        <w:rPr>
          <w:sz w:val="18"/>
        </w:rPr>
        <w:t>and</w:t>
      </w:r>
      <w:r>
        <w:rPr>
          <w:spacing w:val="-4"/>
          <w:sz w:val="18"/>
        </w:rPr>
        <w:t xml:space="preserve"> </w:t>
      </w:r>
      <w:proofErr w:type="spellStart"/>
      <w:r>
        <w:rPr>
          <w:sz w:val="18"/>
        </w:rPr>
        <w:t>fn</w:t>
      </w:r>
      <w:proofErr w:type="spellEnd"/>
      <w:r>
        <w:rPr>
          <w:spacing w:val="1"/>
          <w:sz w:val="18"/>
        </w:rPr>
        <w:t xml:space="preserve"> </w:t>
      </w:r>
      <w:r>
        <w:rPr>
          <w:spacing w:val="-5"/>
          <w:sz w:val="18"/>
        </w:rPr>
        <w:t>60.</w:t>
      </w:r>
    </w:p>
    <w:p w14:paraId="610BEE88" w14:textId="77777777" w:rsidR="00BD462C" w:rsidRDefault="00033D0F">
      <w:pPr>
        <w:spacing w:before="1"/>
        <w:ind w:left="135"/>
        <w:rPr>
          <w:sz w:val="18"/>
        </w:rPr>
      </w:pPr>
      <w:bookmarkStart w:id="164" w:name="_bookmark139"/>
      <w:bookmarkEnd w:id="164"/>
      <w:r>
        <w:rPr>
          <w:position w:val="5"/>
          <w:sz w:val="12"/>
        </w:rPr>
        <w:t>104</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 xml:space="preserve">submission, para. </w:t>
      </w:r>
      <w:r>
        <w:rPr>
          <w:spacing w:val="-4"/>
          <w:sz w:val="18"/>
        </w:rPr>
        <w:t>272.</w:t>
      </w:r>
    </w:p>
    <w:p w14:paraId="21CAC8A0" w14:textId="77777777" w:rsidR="00BD462C" w:rsidRDefault="00033D0F">
      <w:pPr>
        <w:spacing w:before="1"/>
        <w:ind w:left="135"/>
        <w:rPr>
          <w:sz w:val="18"/>
        </w:rPr>
      </w:pPr>
      <w:bookmarkStart w:id="165" w:name="_bookmark140"/>
      <w:bookmarkEnd w:id="165"/>
      <w:r>
        <w:rPr>
          <w:position w:val="5"/>
          <w:sz w:val="12"/>
        </w:rPr>
        <w:t>105</w:t>
      </w:r>
      <w:r>
        <w:rPr>
          <w:spacing w:val="15"/>
          <w:position w:val="5"/>
          <w:sz w:val="12"/>
        </w:rPr>
        <w:t xml:space="preserve"> </w:t>
      </w:r>
      <w:r>
        <w:rPr>
          <w:sz w:val="18"/>
        </w:rPr>
        <w:t>Panel</w:t>
      </w:r>
      <w:r>
        <w:rPr>
          <w:spacing w:val="-3"/>
          <w:sz w:val="18"/>
        </w:rPr>
        <w:t xml:space="preserve"> </w:t>
      </w:r>
      <w:r>
        <w:rPr>
          <w:sz w:val="18"/>
        </w:rPr>
        <w:t>Report,</w:t>
      </w:r>
      <w:r>
        <w:rPr>
          <w:spacing w:val="-2"/>
          <w:sz w:val="18"/>
        </w:rPr>
        <w:t xml:space="preserve"> </w:t>
      </w:r>
      <w:r>
        <w:rPr>
          <w:i/>
          <w:sz w:val="18"/>
        </w:rPr>
        <w:t>US</w:t>
      </w:r>
      <w:r>
        <w:rPr>
          <w:i/>
          <w:spacing w:val="-5"/>
          <w:sz w:val="18"/>
        </w:rPr>
        <w:t xml:space="preserve"> </w:t>
      </w:r>
      <w:r>
        <w:rPr>
          <w:i/>
          <w:sz w:val="18"/>
        </w:rPr>
        <w:t>– Steel</w:t>
      </w:r>
      <w:r>
        <w:rPr>
          <w:i/>
          <w:spacing w:val="-2"/>
          <w:sz w:val="18"/>
        </w:rPr>
        <w:t xml:space="preserve"> </w:t>
      </w:r>
      <w:r>
        <w:rPr>
          <w:i/>
          <w:sz w:val="18"/>
        </w:rPr>
        <w:t>Plate</w:t>
      </w:r>
      <w:r>
        <w:rPr>
          <w:sz w:val="18"/>
        </w:rPr>
        <w:t>,</w:t>
      </w:r>
      <w:r>
        <w:rPr>
          <w:spacing w:val="-2"/>
          <w:sz w:val="18"/>
        </w:rPr>
        <w:t xml:space="preserve"> </w:t>
      </w:r>
      <w:r>
        <w:rPr>
          <w:sz w:val="18"/>
        </w:rPr>
        <w:t>para.</w:t>
      </w:r>
      <w:r>
        <w:rPr>
          <w:spacing w:val="-3"/>
          <w:sz w:val="18"/>
        </w:rPr>
        <w:t xml:space="preserve"> </w:t>
      </w:r>
      <w:r>
        <w:rPr>
          <w:spacing w:val="-4"/>
          <w:sz w:val="18"/>
        </w:rPr>
        <w:t>7.60.</w:t>
      </w:r>
    </w:p>
    <w:p w14:paraId="7B7F6735" w14:textId="77777777" w:rsidR="00BD462C" w:rsidRDefault="00BD462C">
      <w:pPr>
        <w:rPr>
          <w:sz w:val="18"/>
        </w:rPr>
        <w:sectPr w:rsidR="00BD462C">
          <w:pgSz w:w="11910" w:h="16840"/>
          <w:pgMar w:top="860" w:right="500" w:bottom="780" w:left="1280" w:header="566" w:footer="590" w:gutter="0"/>
          <w:cols w:space="720"/>
        </w:sectPr>
      </w:pPr>
    </w:p>
    <w:p w14:paraId="61A74839"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698AA92B"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0788B722"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22E64508" w14:textId="77777777" w:rsidR="00BD462C" w:rsidRDefault="00033D0F">
      <w:pPr>
        <w:pStyle w:val="BodyText"/>
        <w:spacing w:before="102" w:line="357" w:lineRule="auto"/>
        <w:ind w:left="136" w:right="923"/>
      </w:pPr>
      <w:r>
        <w:t>Dumping] Agreement as a whole, that of ensuring that objective determinations are made, based to the extent possible on facts."</w:t>
      </w:r>
      <w:hyperlink w:anchor="_bookmark141" w:history="1">
        <w:r>
          <w:rPr>
            <w:vertAlign w:val="superscript"/>
          </w:rPr>
          <w:t>106</w:t>
        </w:r>
      </w:hyperlink>
    </w:p>
    <w:p w14:paraId="76F307CA" w14:textId="77777777" w:rsidR="00BD462C" w:rsidRDefault="00BD462C">
      <w:pPr>
        <w:pStyle w:val="BodyText"/>
        <w:spacing w:before="3"/>
        <w:rPr>
          <w:sz w:val="9"/>
        </w:rPr>
      </w:pPr>
    </w:p>
    <w:p w14:paraId="647EBFF3" w14:textId="305E236B" w:rsidR="00BD462C" w:rsidRDefault="00033D0F" w:rsidP="00652F97">
      <w:pPr>
        <w:pStyle w:val="BodyText"/>
        <w:numPr>
          <w:ilvl w:val="0"/>
          <w:numId w:val="68"/>
        </w:numPr>
        <w:spacing w:before="56"/>
      </w:pPr>
      <w:r>
        <w:rPr>
          <w:position w:val="1"/>
        </w:rPr>
        <w:t>The panel went on to explain that:</w:t>
      </w:r>
    </w:p>
    <w:p w14:paraId="6D96B8F2" w14:textId="77777777" w:rsidR="00BD462C" w:rsidRDefault="00BD462C">
      <w:pPr>
        <w:pStyle w:val="BodyText"/>
        <w:spacing w:before="9"/>
      </w:pPr>
    </w:p>
    <w:p w14:paraId="4A421CCA" w14:textId="77777777" w:rsidR="00BD462C" w:rsidRDefault="00033D0F">
      <w:pPr>
        <w:spacing w:line="276" w:lineRule="auto"/>
        <w:ind w:left="985" w:right="913"/>
        <w:jc w:val="both"/>
      </w:pPr>
      <w:r>
        <w:t>[W]hen there is a question whether necessary information has been submitted, the investigating</w:t>
      </w:r>
      <w:r>
        <w:rPr>
          <w:spacing w:val="-11"/>
        </w:rPr>
        <w:t xml:space="preserve"> </w:t>
      </w:r>
      <w:r>
        <w:t>authority</w:t>
      </w:r>
      <w:r>
        <w:rPr>
          <w:spacing w:val="-11"/>
        </w:rPr>
        <w:t xml:space="preserve"> </w:t>
      </w:r>
      <w:r>
        <w:t>must,</w:t>
      </w:r>
      <w:r>
        <w:rPr>
          <w:spacing w:val="-9"/>
        </w:rPr>
        <w:t xml:space="preserve"> </w:t>
      </w:r>
      <w:r>
        <w:t>with</w:t>
      </w:r>
      <w:r>
        <w:rPr>
          <w:spacing w:val="-13"/>
        </w:rPr>
        <w:t xml:space="preserve"> </w:t>
      </w:r>
      <w:r>
        <w:t>reference</w:t>
      </w:r>
      <w:r>
        <w:rPr>
          <w:spacing w:val="-5"/>
        </w:rPr>
        <w:t xml:space="preserve"> </w:t>
      </w:r>
      <w:r>
        <w:t>to</w:t>
      </w:r>
      <w:r>
        <w:rPr>
          <w:spacing w:val="-3"/>
        </w:rPr>
        <w:t xml:space="preserve"> </w:t>
      </w:r>
      <w:r>
        <w:t>the</w:t>
      </w:r>
      <w:r>
        <w:rPr>
          <w:spacing w:val="-11"/>
        </w:rPr>
        <w:t xml:space="preserve"> </w:t>
      </w:r>
      <w:r>
        <w:t>guidance</w:t>
      </w:r>
      <w:r>
        <w:rPr>
          <w:spacing w:val="-11"/>
        </w:rPr>
        <w:t xml:space="preserve"> </w:t>
      </w:r>
      <w:r>
        <w:t>given</w:t>
      </w:r>
      <w:r>
        <w:rPr>
          <w:spacing w:val="-13"/>
        </w:rPr>
        <w:t xml:space="preserve"> </w:t>
      </w:r>
      <w:r>
        <w:t>in</w:t>
      </w:r>
      <w:r>
        <w:rPr>
          <w:spacing w:val="-12"/>
        </w:rPr>
        <w:t xml:space="preserve"> </w:t>
      </w:r>
      <w:r>
        <w:t>paragraph</w:t>
      </w:r>
      <w:r>
        <w:rPr>
          <w:spacing w:val="-8"/>
        </w:rPr>
        <w:t xml:space="preserve"> </w:t>
      </w:r>
      <w:r>
        <w:t>3</w:t>
      </w:r>
      <w:r>
        <w:rPr>
          <w:spacing w:val="-8"/>
        </w:rPr>
        <w:t xml:space="preserve"> </w:t>
      </w:r>
      <w:r>
        <w:t>of</w:t>
      </w:r>
      <w:r>
        <w:rPr>
          <w:spacing w:val="-12"/>
        </w:rPr>
        <w:t xml:space="preserve"> </w:t>
      </w:r>
      <w:r>
        <w:t>Annex</w:t>
      </w:r>
      <w:r>
        <w:rPr>
          <w:spacing w:val="-2"/>
        </w:rPr>
        <w:t xml:space="preserve"> </w:t>
      </w:r>
      <w:r>
        <w:t xml:space="preserve">II, consider whether the information that has been submitted satisfies the criteria therein. If yes, it must be </w:t>
      </w:r>
      <w:proofErr w:type="gramStart"/>
      <w:r>
        <w:t>taken into account</w:t>
      </w:r>
      <w:proofErr w:type="gramEnd"/>
      <w:r>
        <w:t xml:space="preserve"> in making determinations. If not, it may be rejected and facts available used instead. In a case in which some information is rejected and facts available used instead, the further question may arise whether the fact that some information</w:t>
      </w:r>
      <w:r>
        <w:rPr>
          <w:spacing w:val="-5"/>
        </w:rPr>
        <w:t xml:space="preserve"> </w:t>
      </w:r>
      <w:r>
        <w:t>submitted</w:t>
      </w:r>
      <w:r>
        <w:rPr>
          <w:spacing w:val="-5"/>
        </w:rPr>
        <w:t xml:space="preserve"> </w:t>
      </w:r>
      <w:r>
        <w:t>was</w:t>
      </w:r>
      <w:r>
        <w:rPr>
          <w:spacing w:val="-4"/>
        </w:rPr>
        <w:t xml:space="preserve"> </w:t>
      </w:r>
      <w:r>
        <w:t>rejected</w:t>
      </w:r>
      <w:r>
        <w:rPr>
          <w:spacing w:val="-5"/>
        </w:rPr>
        <w:t xml:space="preserve"> </w:t>
      </w:r>
      <w:r>
        <w:t>has</w:t>
      </w:r>
      <w:r>
        <w:rPr>
          <w:spacing w:val="-4"/>
        </w:rPr>
        <w:t xml:space="preserve"> </w:t>
      </w:r>
      <w:r>
        <w:t>consequences for</w:t>
      </w:r>
      <w:r>
        <w:rPr>
          <w:spacing w:val="-4"/>
        </w:rPr>
        <w:t xml:space="preserve"> </w:t>
      </w:r>
      <w:r>
        <w:t>the</w:t>
      </w:r>
      <w:r>
        <w:rPr>
          <w:spacing w:val="-4"/>
        </w:rPr>
        <w:t xml:space="preserve"> </w:t>
      </w:r>
      <w:r>
        <w:t>remainder</w:t>
      </w:r>
      <w:r>
        <w:rPr>
          <w:spacing w:val="-4"/>
        </w:rPr>
        <w:t xml:space="preserve"> </w:t>
      </w:r>
      <w:r>
        <w:t>of</w:t>
      </w:r>
      <w:r>
        <w:rPr>
          <w:spacing w:val="-4"/>
        </w:rPr>
        <w:t xml:space="preserve"> </w:t>
      </w:r>
      <w:r>
        <w:t>the</w:t>
      </w:r>
      <w:r>
        <w:rPr>
          <w:spacing w:val="-4"/>
        </w:rPr>
        <w:t xml:space="preserve"> </w:t>
      </w:r>
      <w:r>
        <w:t>information submitted. In particular, the investigating authority may need to consider whether the fact that</w:t>
      </w:r>
      <w:r>
        <w:rPr>
          <w:spacing w:val="-5"/>
        </w:rPr>
        <w:t xml:space="preserve"> </w:t>
      </w:r>
      <w:r>
        <w:t>some</w:t>
      </w:r>
      <w:r>
        <w:rPr>
          <w:spacing w:val="-3"/>
        </w:rPr>
        <w:t xml:space="preserve"> </w:t>
      </w:r>
      <w:r>
        <w:t>information</w:t>
      </w:r>
      <w:r>
        <w:rPr>
          <w:spacing w:val="-4"/>
        </w:rPr>
        <w:t xml:space="preserve"> </w:t>
      </w:r>
      <w:r>
        <w:t>is</w:t>
      </w:r>
      <w:r>
        <w:rPr>
          <w:spacing w:val="-3"/>
        </w:rPr>
        <w:t xml:space="preserve"> </w:t>
      </w:r>
      <w:r>
        <w:t>rejected</w:t>
      </w:r>
      <w:r>
        <w:rPr>
          <w:spacing w:val="-4"/>
        </w:rPr>
        <w:t xml:space="preserve"> </w:t>
      </w:r>
      <w:r>
        <w:t>results</w:t>
      </w:r>
      <w:r>
        <w:rPr>
          <w:spacing w:val="-3"/>
        </w:rPr>
        <w:t xml:space="preserve"> </w:t>
      </w:r>
      <w:r>
        <w:t>in</w:t>
      </w:r>
      <w:r>
        <w:rPr>
          <w:spacing w:val="-4"/>
        </w:rPr>
        <w:t xml:space="preserve"> </w:t>
      </w:r>
      <w:r>
        <w:t>other</w:t>
      </w:r>
      <w:r>
        <w:rPr>
          <w:spacing w:val="-3"/>
        </w:rPr>
        <w:t xml:space="preserve"> </w:t>
      </w:r>
      <w:r>
        <w:t>information</w:t>
      </w:r>
      <w:r>
        <w:rPr>
          <w:spacing w:val="-4"/>
        </w:rPr>
        <w:t xml:space="preserve"> </w:t>
      </w:r>
      <w:r>
        <w:t>failing</w:t>
      </w:r>
      <w:r>
        <w:rPr>
          <w:spacing w:val="-2"/>
        </w:rPr>
        <w:t xml:space="preserve"> </w:t>
      </w:r>
      <w:r>
        <w:t>to</w:t>
      </w:r>
      <w:r>
        <w:rPr>
          <w:spacing w:val="-5"/>
        </w:rPr>
        <w:t xml:space="preserve"> </w:t>
      </w:r>
      <w:r>
        <w:t>satisfy</w:t>
      </w:r>
      <w:r>
        <w:rPr>
          <w:spacing w:val="-3"/>
        </w:rPr>
        <w:t xml:space="preserve"> </w:t>
      </w:r>
      <w:r>
        <w:t>the</w:t>
      </w:r>
      <w:r>
        <w:rPr>
          <w:spacing w:val="-3"/>
        </w:rPr>
        <w:t xml:space="preserve"> </w:t>
      </w:r>
      <w:r>
        <w:t>criteria</w:t>
      </w:r>
      <w:r>
        <w:rPr>
          <w:spacing w:val="-4"/>
        </w:rPr>
        <w:t xml:space="preserve"> </w:t>
      </w:r>
      <w:r>
        <w:t>of paragraph 3. In this context, we consider to be critical the question of whether information which itself may satisfy the criteria of paragraph 3 can be used without undue difficulties in light of its relationship to rejected information.</w:t>
      </w:r>
      <w:r>
        <w:rPr>
          <w:spacing w:val="-17"/>
        </w:rPr>
        <w:t xml:space="preserve"> </w:t>
      </w:r>
      <w:hyperlink w:anchor="_bookmark142" w:history="1">
        <w:r>
          <w:rPr>
            <w:vertAlign w:val="superscript"/>
          </w:rPr>
          <w:t>107</w:t>
        </w:r>
      </w:hyperlink>
    </w:p>
    <w:p w14:paraId="65575B68" w14:textId="77777777" w:rsidR="00BD462C" w:rsidRDefault="00BD462C">
      <w:pPr>
        <w:pStyle w:val="BodyText"/>
        <w:spacing w:before="5"/>
        <w:rPr>
          <w:sz w:val="15"/>
        </w:rPr>
      </w:pPr>
    </w:p>
    <w:p w14:paraId="635A7F71" w14:textId="77777777" w:rsidR="00BD462C" w:rsidRDefault="00033D0F">
      <w:pPr>
        <w:pStyle w:val="BodyText"/>
        <w:spacing w:before="52" w:line="360" w:lineRule="auto"/>
        <w:ind w:left="135" w:right="914"/>
        <w:jc w:val="both"/>
      </w:pPr>
      <w:r>
        <w:t>The</w:t>
      </w:r>
      <w:r>
        <w:rPr>
          <w:spacing w:val="-6"/>
        </w:rPr>
        <w:t xml:space="preserve"> </w:t>
      </w:r>
      <w:r>
        <w:t>panel</w:t>
      </w:r>
      <w:r>
        <w:rPr>
          <w:spacing w:val="-4"/>
        </w:rPr>
        <w:t xml:space="preserve"> </w:t>
      </w:r>
      <w:r>
        <w:t>was</w:t>
      </w:r>
      <w:r>
        <w:rPr>
          <w:spacing w:val="-5"/>
        </w:rPr>
        <w:t xml:space="preserve"> </w:t>
      </w:r>
      <w:r>
        <w:t>clearly</w:t>
      </w:r>
      <w:r>
        <w:rPr>
          <w:spacing w:val="-5"/>
        </w:rPr>
        <w:t xml:space="preserve"> </w:t>
      </w:r>
      <w:r>
        <w:t>considering</w:t>
      </w:r>
      <w:r>
        <w:rPr>
          <w:spacing w:val="-5"/>
        </w:rPr>
        <w:t xml:space="preserve"> </w:t>
      </w:r>
      <w:r>
        <w:t>a</w:t>
      </w:r>
      <w:r>
        <w:rPr>
          <w:spacing w:val="-7"/>
        </w:rPr>
        <w:t xml:space="preserve"> </w:t>
      </w:r>
      <w:r>
        <w:t>situation</w:t>
      </w:r>
      <w:r>
        <w:rPr>
          <w:spacing w:val="-8"/>
        </w:rPr>
        <w:t xml:space="preserve"> </w:t>
      </w:r>
      <w:r>
        <w:t>where</w:t>
      </w:r>
      <w:r>
        <w:rPr>
          <w:spacing w:val="-6"/>
        </w:rPr>
        <w:t xml:space="preserve"> </w:t>
      </w:r>
      <w:r>
        <w:t>there</w:t>
      </w:r>
      <w:r>
        <w:rPr>
          <w:spacing w:val="-6"/>
        </w:rPr>
        <w:t xml:space="preserve"> </w:t>
      </w:r>
      <w:r>
        <w:t>was</w:t>
      </w:r>
      <w:r>
        <w:rPr>
          <w:spacing w:val="-5"/>
        </w:rPr>
        <w:t xml:space="preserve"> </w:t>
      </w:r>
      <w:r>
        <w:t>some</w:t>
      </w:r>
      <w:r>
        <w:rPr>
          <w:spacing w:val="-6"/>
        </w:rPr>
        <w:t xml:space="preserve"> </w:t>
      </w:r>
      <w:r>
        <w:t>information</w:t>
      </w:r>
      <w:r>
        <w:rPr>
          <w:spacing w:val="-8"/>
        </w:rPr>
        <w:t xml:space="preserve"> </w:t>
      </w:r>
      <w:r>
        <w:t>that</w:t>
      </w:r>
      <w:r>
        <w:rPr>
          <w:spacing w:val="-6"/>
        </w:rPr>
        <w:t xml:space="preserve"> </w:t>
      </w:r>
      <w:r>
        <w:t>met</w:t>
      </w:r>
      <w:r>
        <w:rPr>
          <w:spacing w:val="-6"/>
        </w:rPr>
        <w:t xml:space="preserve"> </w:t>
      </w:r>
      <w:r>
        <w:t>the criteria</w:t>
      </w:r>
      <w:r>
        <w:rPr>
          <w:spacing w:val="-14"/>
        </w:rPr>
        <w:t xml:space="preserve"> </w:t>
      </w:r>
      <w:r>
        <w:t>in</w:t>
      </w:r>
      <w:r>
        <w:rPr>
          <w:spacing w:val="-14"/>
        </w:rPr>
        <w:t xml:space="preserve"> </w:t>
      </w:r>
      <w:r>
        <w:t>paragraph</w:t>
      </w:r>
      <w:r>
        <w:rPr>
          <w:spacing w:val="-13"/>
        </w:rPr>
        <w:t xml:space="preserve"> </w:t>
      </w:r>
      <w:r>
        <w:t>3</w:t>
      </w:r>
      <w:r>
        <w:rPr>
          <w:spacing w:val="-14"/>
        </w:rPr>
        <w:t xml:space="preserve"> </w:t>
      </w:r>
      <w:r>
        <w:t>of</w:t>
      </w:r>
      <w:r>
        <w:rPr>
          <w:spacing w:val="-13"/>
        </w:rPr>
        <w:t xml:space="preserve"> </w:t>
      </w:r>
      <w:r>
        <w:t>Annex</w:t>
      </w:r>
      <w:r>
        <w:rPr>
          <w:spacing w:val="-14"/>
        </w:rPr>
        <w:t xml:space="preserve"> </w:t>
      </w:r>
      <w:r>
        <w:t>II.</w:t>
      </w:r>
      <w:r>
        <w:rPr>
          <w:spacing w:val="-13"/>
        </w:rPr>
        <w:t xml:space="preserve"> </w:t>
      </w:r>
      <w:r>
        <w:t>Unless</w:t>
      </w:r>
      <w:r>
        <w:rPr>
          <w:spacing w:val="-14"/>
        </w:rPr>
        <w:t xml:space="preserve"> </w:t>
      </w:r>
      <w:r>
        <w:t>China</w:t>
      </w:r>
      <w:r>
        <w:rPr>
          <w:spacing w:val="-14"/>
        </w:rPr>
        <w:t xml:space="preserve"> </w:t>
      </w:r>
      <w:r>
        <w:t>concedes</w:t>
      </w:r>
      <w:r>
        <w:rPr>
          <w:spacing w:val="-11"/>
        </w:rPr>
        <w:t xml:space="preserve"> </w:t>
      </w:r>
      <w:r>
        <w:t>that</w:t>
      </w:r>
      <w:r>
        <w:rPr>
          <w:spacing w:val="-11"/>
        </w:rPr>
        <w:t xml:space="preserve"> </w:t>
      </w:r>
      <w:r>
        <w:t>at</w:t>
      </w:r>
      <w:r>
        <w:rPr>
          <w:spacing w:val="-12"/>
        </w:rPr>
        <w:t xml:space="preserve"> </w:t>
      </w:r>
      <w:r>
        <w:t>least</w:t>
      </w:r>
      <w:r>
        <w:rPr>
          <w:spacing w:val="-14"/>
        </w:rPr>
        <w:t xml:space="preserve"> </w:t>
      </w:r>
      <w:r>
        <w:t>some</w:t>
      </w:r>
      <w:r>
        <w:rPr>
          <w:spacing w:val="-12"/>
        </w:rPr>
        <w:t xml:space="preserve"> </w:t>
      </w:r>
      <w:r>
        <w:t>of</w:t>
      </w:r>
      <w:r>
        <w:rPr>
          <w:spacing w:val="-14"/>
        </w:rPr>
        <w:t xml:space="preserve"> </w:t>
      </w:r>
      <w:r>
        <w:t>the</w:t>
      </w:r>
      <w:r>
        <w:rPr>
          <w:spacing w:val="-12"/>
        </w:rPr>
        <w:t xml:space="preserve"> </w:t>
      </w:r>
      <w:r>
        <w:t xml:space="preserve">information submitted by the three sample companies did, in fact, meet the criteria contained in paragraph 3 of Annex II, its reliance on </w:t>
      </w:r>
      <w:r>
        <w:rPr>
          <w:i/>
        </w:rPr>
        <w:t xml:space="preserve">US- Steel Plate </w:t>
      </w:r>
      <w:r>
        <w:t>is misplaced.</w:t>
      </w:r>
    </w:p>
    <w:p w14:paraId="21D80A03" w14:textId="77777777" w:rsidR="00BD462C" w:rsidRDefault="00BD462C">
      <w:pPr>
        <w:pStyle w:val="BodyText"/>
        <w:rPr>
          <w:sz w:val="9"/>
        </w:rPr>
      </w:pPr>
    </w:p>
    <w:p w14:paraId="7804E782" w14:textId="60194882" w:rsidR="00BD462C" w:rsidRDefault="00033D0F" w:rsidP="00652F97">
      <w:pPr>
        <w:pStyle w:val="BodyText"/>
        <w:numPr>
          <w:ilvl w:val="0"/>
          <w:numId w:val="68"/>
        </w:numPr>
        <w:spacing w:before="56" w:line="360" w:lineRule="auto"/>
        <w:ind w:right="910"/>
        <w:jc w:val="both"/>
      </w:pPr>
      <w:r>
        <w:rPr>
          <w:position w:val="1"/>
        </w:rPr>
        <w:t xml:space="preserve">China's assertion that other provisions of the Anti-Dumping Agreement also provide </w:t>
      </w:r>
      <w:r>
        <w:t>for a "holistic analysis" does not support its argument that such an analysis is permitted by Article 6.8.</w:t>
      </w:r>
      <w:hyperlink w:anchor="_bookmark143" w:history="1">
        <w:r>
          <w:rPr>
            <w:vertAlign w:val="superscript"/>
          </w:rPr>
          <w:t>108</w:t>
        </w:r>
      </w:hyperlink>
      <w:r>
        <w:t xml:space="preserve"> China relies on Article 3.4 as an example of where a "holistic analysis" is permitted, yet ignores the clear textual differences between Articles 3.4 and 6.8. The text of Article 3.4 explicitly requires an examination of all relevant economic </w:t>
      </w:r>
      <w:proofErr w:type="gramStart"/>
      <w:r>
        <w:t>factors, and</w:t>
      </w:r>
      <w:proofErr w:type="gramEnd"/>
      <w:r>
        <w:t xml:space="preserve"> provides that not "one or several of these factors necessarily give decisive guidance." On the other hand,</w:t>
      </w:r>
      <w:r>
        <w:rPr>
          <w:spacing w:val="-2"/>
        </w:rPr>
        <w:t xml:space="preserve"> </w:t>
      </w:r>
      <w:r>
        <w:t>the</w:t>
      </w:r>
      <w:r>
        <w:rPr>
          <w:spacing w:val="-4"/>
        </w:rPr>
        <w:t xml:space="preserve"> </w:t>
      </w:r>
      <w:r>
        <w:t>text</w:t>
      </w:r>
      <w:r>
        <w:rPr>
          <w:spacing w:val="-3"/>
        </w:rPr>
        <w:t xml:space="preserve"> </w:t>
      </w:r>
      <w:r>
        <w:t>of</w:t>
      </w:r>
      <w:r>
        <w:rPr>
          <w:spacing w:val="-5"/>
        </w:rPr>
        <w:t xml:space="preserve"> </w:t>
      </w:r>
      <w:r>
        <w:t>Article</w:t>
      </w:r>
      <w:r>
        <w:rPr>
          <w:spacing w:val="-3"/>
        </w:rPr>
        <w:t xml:space="preserve"> </w:t>
      </w:r>
      <w:r>
        <w:t>6.8</w:t>
      </w:r>
      <w:r>
        <w:rPr>
          <w:spacing w:val="-6"/>
        </w:rPr>
        <w:t xml:space="preserve"> </w:t>
      </w:r>
      <w:r>
        <w:t>provides</w:t>
      </w:r>
      <w:r>
        <w:rPr>
          <w:spacing w:val="-7"/>
        </w:rPr>
        <w:t xml:space="preserve"> </w:t>
      </w:r>
      <w:r>
        <w:t>that</w:t>
      </w:r>
      <w:r>
        <w:rPr>
          <w:spacing w:val="-3"/>
        </w:rPr>
        <w:t xml:space="preserve"> </w:t>
      </w:r>
      <w:r>
        <w:t>it</w:t>
      </w:r>
      <w:r>
        <w:rPr>
          <w:spacing w:val="-3"/>
        </w:rPr>
        <w:t xml:space="preserve"> </w:t>
      </w:r>
      <w:r>
        <w:t>is</w:t>
      </w:r>
      <w:r>
        <w:rPr>
          <w:spacing w:val="-2"/>
        </w:rPr>
        <w:t xml:space="preserve"> </w:t>
      </w:r>
      <w:r>
        <w:t>only</w:t>
      </w:r>
      <w:r>
        <w:rPr>
          <w:spacing w:val="-7"/>
        </w:rPr>
        <w:t xml:space="preserve"> </w:t>
      </w:r>
      <w:r>
        <w:t>when</w:t>
      </w:r>
      <w:r>
        <w:rPr>
          <w:spacing w:val="-5"/>
        </w:rPr>
        <w:t xml:space="preserve"> </w:t>
      </w:r>
      <w:r>
        <w:t>an</w:t>
      </w:r>
      <w:r>
        <w:rPr>
          <w:spacing w:val="-5"/>
        </w:rPr>
        <w:t xml:space="preserve"> </w:t>
      </w:r>
      <w:r>
        <w:t>interested</w:t>
      </w:r>
      <w:r>
        <w:rPr>
          <w:spacing w:val="-5"/>
        </w:rPr>
        <w:t xml:space="preserve"> </w:t>
      </w:r>
      <w:r>
        <w:t>party</w:t>
      </w:r>
      <w:r>
        <w:rPr>
          <w:spacing w:val="-2"/>
        </w:rPr>
        <w:t xml:space="preserve"> </w:t>
      </w:r>
      <w:r>
        <w:t>refuses</w:t>
      </w:r>
      <w:r>
        <w:rPr>
          <w:spacing w:val="-2"/>
        </w:rPr>
        <w:t xml:space="preserve"> </w:t>
      </w:r>
      <w:r>
        <w:t>access</w:t>
      </w:r>
      <w:r>
        <w:rPr>
          <w:spacing w:val="-2"/>
        </w:rPr>
        <w:t xml:space="preserve"> </w:t>
      </w:r>
      <w:r>
        <w:t>to or, or</w:t>
      </w:r>
      <w:r>
        <w:rPr>
          <w:spacing w:val="-2"/>
        </w:rPr>
        <w:t xml:space="preserve"> </w:t>
      </w:r>
      <w:r>
        <w:t>otherwise does not provide, necessary information</w:t>
      </w:r>
      <w:r>
        <w:rPr>
          <w:spacing w:val="-2"/>
        </w:rPr>
        <w:t xml:space="preserve"> </w:t>
      </w:r>
      <w:r>
        <w:t>that an</w:t>
      </w:r>
      <w:r>
        <w:rPr>
          <w:spacing w:val="-2"/>
        </w:rPr>
        <w:t xml:space="preserve"> </w:t>
      </w:r>
      <w:r>
        <w:t>investigating authority may have recourse to facts available. There is no basis to read into Article 6.8 similar text.</w:t>
      </w:r>
    </w:p>
    <w:p w14:paraId="6F325EEF" w14:textId="77777777" w:rsidR="00BD462C" w:rsidRDefault="00BD462C">
      <w:pPr>
        <w:pStyle w:val="BodyText"/>
        <w:spacing w:before="5"/>
        <w:rPr>
          <w:sz w:val="8"/>
        </w:rPr>
      </w:pPr>
    </w:p>
    <w:p w14:paraId="5899B21E" w14:textId="2EBA1CED" w:rsidR="00BD462C" w:rsidRPr="00652F97" w:rsidRDefault="00033D0F" w:rsidP="00652F97">
      <w:pPr>
        <w:pStyle w:val="BodyText"/>
        <w:numPr>
          <w:ilvl w:val="0"/>
          <w:numId w:val="68"/>
        </w:numPr>
        <w:spacing w:before="56" w:line="355" w:lineRule="auto"/>
        <w:ind w:right="912"/>
      </w:pPr>
      <w:r>
        <w:rPr>
          <w:position w:val="1"/>
        </w:rPr>
        <w:t>Indeed,</w:t>
      </w:r>
      <w:r>
        <w:rPr>
          <w:spacing w:val="61"/>
          <w:position w:val="1"/>
        </w:rPr>
        <w:t xml:space="preserve"> </w:t>
      </w:r>
      <w:r>
        <w:rPr>
          <w:position w:val="1"/>
        </w:rPr>
        <w:t>to</w:t>
      </w:r>
      <w:r>
        <w:rPr>
          <w:spacing w:val="40"/>
          <w:position w:val="1"/>
        </w:rPr>
        <w:t xml:space="preserve"> </w:t>
      </w:r>
      <w:r>
        <w:rPr>
          <w:position w:val="1"/>
        </w:rPr>
        <w:t>the</w:t>
      </w:r>
      <w:r>
        <w:rPr>
          <w:spacing w:val="40"/>
          <w:position w:val="1"/>
        </w:rPr>
        <w:t xml:space="preserve"> </w:t>
      </w:r>
      <w:r>
        <w:rPr>
          <w:position w:val="1"/>
        </w:rPr>
        <w:t>contrary,</w:t>
      </w:r>
      <w:r>
        <w:rPr>
          <w:spacing w:val="61"/>
          <w:position w:val="1"/>
        </w:rPr>
        <w:t xml:space="preserve"> </w:t>
      </w:r>
      <w:r>
        <w:rPr>
          <w:position w:val="1"/>
        </w:rPr>
        <w:t>as</w:t>
      </w:r>
      <w:r>
        <w:rPr>
          <w:spacing w:val="60"/>
          <w:position w:val="1"/>
        </w:rPr>
        <w:t xml:space="preserve"> </w:t>
      </w:r>
      <w:r>
        <w:rPr>
          <w:position w:val="1"/>
        </w:rPr>
        <w:t>explained</w:t>
      </w:r>
      <w:r>
        <w:rPr>
          <w:spacing w:val="40"/>
          <w:position w:val="1"/>
        </w:rPr>
        <w:t xml:space="preserve"> </w:t>
      </w:r>
      <w:r>
        <w:rPr>
          <w:position w:val="1"/>
        </w:rPr>
        <w:t>above,</w:t>
      </w:r>
      <w:r>
        <w:rPr>
          <w:spacing w:val="61"/>
          <w:position w:val="1"/>
        </w:rPr>
        <w:t xml:space="preserve"> </w:t>
      </w:r>
      <w:r>
        <w:rPr>
          <w:position w:val="1"/>
        </w:rPr>
        <w:t>paragraph</w:t>
      </w:r>
      <w:r>
        <w:rPr>
          <w:spacing w:val="40"/>
          <w:position w:val="1"/>
        </w:rPr>
        <w:t xml:space="preserve"> </w:t>
      </w:r>
      <w:r>
        <w:rPr>
          <w:position w:val="1"/>
        </w:rPr>
        <w:t>3</w:t>
      </w:r>
      <w:r>
        <w:rPr>
          <w:spacing w:val="61"/>
          <w:position w:val="1"/>
        </w:rPr>
        <w:t xml:space="preserve"> </w:t>
      </w:r>
      <w:r>
        <w:rPr>
          <w:position w:val="1"/>
        </w:rPr>
        <w:t>of</w:t>
      </w:r>
      <w:r>
        <w:rPr>
          <w:spacing w:val="40"/>
          <w:position w:val="1"/>
        </w:rPr>
        <w:t xml:space="preserve"> </w:t>
      </w:r>
      <w:r>
        <w:rPr>
          <w:position w:val="1"/>
        </w:rPr>
        <w:t>Annex II</w:t>
      </w:r>
      <w:r>
        <w:rPr>
          <w:spacing w:val="60"/>
          <w:position w:val="1"/>
        </w:rPr>
        <w:t xml:space="preserve"> </w:t>
      </w:r>
      <w:r>
        <w:rPr>
          <w:position w:val="1"/>
        </w:rPr>
        <w:t xml:space="preserve">explicitly </w:t>
      </w:r>
      <w:r>
        <w:t>requires</w:t>
      </w:r>
      <w:r>
        <w:rPr>
          <w:spacing w:val="56"/>
        </w:rPr>
        <w:t xml:space="preserve"> </w:t>
      </w:r>
      <w:r>
        <w:t>that</w:t>
      </w:r>
      <w:r>
        <w:rPr>
          <w:spacing w:val="55"/>
        </w:rPr>
        <w:t xml:space="preserve"> </w:t>
      </w:r>
      <w:r>
        <w:t>information</w:t>
      </w:r>
      <w:r>
        <w:rPr>
          <w:spacing w:val="53"/>
        </w:rPr>
        <w:t xml:space="preserve"> </w:t>
      </w:r>
      <w:r>
        <w:t>which</w:t>
      </w:r>
      <w:r>
        <w:rPr>
          <w:spacing w:val="53"/>
        </w:rPr>
        <w:t xml:space="preserve"> </w:t>
      </w:r>
      <w:r>
        <w:t>meets</w:t>
      </w:r>
      <w:r>
        <w:rPr>
          <w:spacing w:val="56"/>
        </w:rPr>
        <w:t xml:space="preserve"> </w:t>
      </w:r>
      <w:r>
        <w:t>the</w:t>
      </w:r>
      <w:r>
        <w:rPr>
          <w:spacing w:val="55"/>
        </w:rPr>
        <w:t xml:space="preserve"> </w:t>
      </w:r>
      <w:r>
        <w:t>criteria</w:t>
      </w:r>
      <w:r>
        <w:rPr>
          <w:spacing w:val="54"/>
        </w:rPr>
        <w:t xml:space="preserve"> </w:t>
      </w:r>
      <w:r>
        <w:t>is</w:t>
      </w:r>
      <w:r>
        <w:rPr>
          <w:spacing w:val="52"/>
        </w:rPr>
        <w:t xml:space="preserve"> </w:t>
      </w:r>
      <w:proofErr w:type="gramStart"/>
      <w:r>
        <w:t>taken</w:t>
      </w:r>
      <w:r>
        <w:rPr>
          <w:spacing w:val="52"/>
        </w:rPr>
        <w:t xml:space="preserve"> </w:t>
      </w:r>
      <w:r>
        <w:t>into</w:t>
      </w:r>
      <w:r>
        <w:rPr>
          <w:spacing w:val="53"/>
        </w:rPr>
        <w:t xml:space="preserve"> </w:t>
      </w:r>
      <w:r>
        <w:t>account</w:t>
      </w:r>
      <w:proofErr w:type="gramEnd"/>
      <w:r>
        <w:t>,</w:t>
      </w:r>
      <w:r>
        <w:rPr>
          <w:spacing w:val="57"/>
        </w:rPr>
        <w:t xml:space="preserve"> </w:t>
      </w:r>
      <w:r>
        <w:t>even</w:t>
      </w:r>
      <w:r>
        <w:rPr>
          <w:spacing w:val="52"/>
        </w:rPr>
        <w:t xml:space="preserve"> </w:t>
      </w:r>
      <w:r>
        <w:t>if</w:t>
      </w:r>
      <w:r>
        <w:rPr>
          <w:spacing w:val="53"/>
        </w:rPr>
        <w:t xml:space="preserve"> </w:t>
      </w:r>
      <w:r>
        <w:rPr>
          <w:spacing w:val="-2"/>
        </w:rPr>
        <w:t>other</w:t>
      </w:r>
    </w:p>
    <w:p w14:paraId="1B532150" w14:textId="75990335" w:rsidR="00BD462C" w:rsidRDefault="009A6330">
      <w:pPr>
        <w:pStyle w:val="BodyText"/>
        <w:spacing w:before="3"/>
        <w:rPr>
          <w:sz w:val="14"/>
        </w:rPr>
      </w:pPr>
      <w:r>
        <w:rPr>
          <w:noProof/>
        </w:rPr>
        <mc:AlternateContent>
          <mc:Choice Requires="wps">
            <w:drawing>
              <wp:anchor distT="0" distB="0" distL="0" distR="0" simplePos="0" relativeHeight="487977472" behindDoc="1" locked="0" layoutInCell="1" allowOverlap="1" wp14:anchorId="0A1D00D1" wp14:editId="6F975787">
                <wp:simplePos x="0" y="0"/>
                <wp:positionH relativeFrom="page">
                  <wp:posOffset>812800</wp:posOffset>
                </wp:positionH>
                <wp:positionV relativeFrom="paragraph">
                  <wp:posOffset>112444</wp:posOffset>
                </wp:positionV>
                <wp:extent cx="1828800" cy="8890"/>
                <wp:effectExtent l="0" t="0" r="0" b="0"/>
                <wp:wrapTopAndBottom/>
                <wp:docPr id="736" name="docshape7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86E948" id="docshape712" o:spid="_x0000_s1026" alt="&quot;&quot;" style="position:absolute;margin-left:64pt;margin-top:8.85pt;width:2in;height:.7pt;z-index:-15339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" fillcolor="black" stroked="f">
                <w10:wrap type="topAndBottom" anchorx="page"/>
              </v:rect>
            </w:pict>
          </mc:Fallback>
        </mc:AlternateContent>
      </w:r>
    </w:p>
    <w:p w14:paraId="5F31A991" w14:textId="77777777" w:rsidR="00BD462C" w:rsidRDefault="00033D0F">
      <w:pPr>
        <w:spacing w:before="112"/>
        <w:ind w:left="135"/>
        <w:rPr>
          <w:sz w:val="18"/>
        </w:rPr>
      </w:pPr>
      <w:bookmarkStart w:id="166" w:name="_bookmark141"/>
      <w:bookmarkEnd w:id="166"/>
      <w:r>
        <w:rPr>
          <w:position w:val="5"/>
          <w:sz w:val="12"/>
        </w:rPr>
        <w:t>106</w:t>
      </w:r>
      <w:r>
        <w:rPr>
          <w:spacing w:val="15"/>
          <w:position w:val="5"/>
          <w:sz w:val="12"/>
        </w:rPr>
        <w:t xml:space="preserve"> </w:t>
      </w:r>
      <w:r>
        <w:rPr>
          <w:sz w:val="18"/>
        </w:rPr>
        <w:t>Panel</w:t>
      </w:r>
      <w:r>
        <w:rPr>
          <w:spacing w:val="-3"/>
          <w:sz w:val="18"/>
        </w:rPr>
        <w:t xml:space="preserve"> </w:t>
      </w:r>
      <w:r>
        <w:rPr>
          <w:sz w:val="18"/>
        </w:rPr>
        <w:t>Report,</w:t>
      </w:r>
      <w:r>
        <w:rPr>
          <w:spacing w:val="-2"/>
          <w:sz w:val="18"/>
        </w:rPr>
        <w:t xml:space="preserve"> </w:t>
      </w:r>
      <w:r>
        <w:rPr>
          <w:i/>
          <w:sz w:val="18"/>
        </w:rPr>
        <w:t>US</w:t>
      </w:r>
      <w:r>
        <w:rPr>
          <w:i/>
          <w:spacing w:val="-5"/>
          <w:sz w:val="18"/>
        </w:rPr>
        <w:t xml:space="preserve"> </w:t>
      </w:r>
      <w:r>
        <w:rPr>
          <w:i/>
          <w:sz w:val="18"/>
        </w:rPr>
        <w:t>– Steel</w:t>
      </w:r>
      <w:r>
        <w:rPr>
          <w:i/>
          <w:spacing w:val="-2"/>
          <w:sz w:val="18"/>
        </w:rPr>
        <w:t xml:space="preserve"> </w:t>
      </w:r>
      <w:r>
        <w:rPr>
          <w:i/>
          <w:sz w:val="18"/>
        </w:rPr>
        <w:t>Plate</w:t>
      </w:r>
      <w:r>
        <w:rPr>
          <w:sz w:val="18"/>
        </w:rPr>
        <w:t>,</w:t>
      </w:r>
      <w:r>
        <w:rPr>
          <w:spacing w:val="-2"/>
          <w:sz w:val="18"/>
        </w:rPr>
        <w:t xml:space="preserve"> </w:t>
      </w:r>
      <w:r>
        <w:rPr>
          <w:sz w:val="18"/>
        </w:rPr>
        <w:t>para.</w:t>
      </w:r>
      <w:r>
        <w:rPr>
          <w:spacing w:val="-3"/>
          <w:sz w:val="18"/>
        </w:rPr>
        <w:t xml:space="preserve"> </w:t>
      </w:r>
      <w:r>
        <w:rPr>
          <w:spacing w:val="-4"/>
          <w:sz w:val="18"/>
        </w:rPr>
        <w:t>7.60.</w:t>
      </w:r>
    </w:p>
    <w:p w14:paraId="0F42FFAA" w14:textId="77777777" w:rsidR="00BD462C" w:rsidRDefault="00033D0F">
      <w:pPr>
        <w:spacing w:before="1"/>
        <w:ind w:left="135"/>
        <w:rPr>
          <w:sz w:val="18"/>
        </w:rPr>
      </w:pPr>
      <w:bookmarkStart w:id="167" w:name="_bookmark142"/>
      <w:bookmarkEnd w:id="167"/>
      <w:r>
        <w:rPr>
          <w:position w:val="5"/>
          <w:sz w:val="12"/>
        </w:rPr>
        <w:t>107</w:t>
      </w:r>
      <w:r>
        <w:rPr>
          <w:spacing w:val="14"/>
          <w:position w:val="5"/>
          <w:sz w:val="12"/>
        </w:rPr>
        <w:t xml:space="preserve"> </w:t>
      </w:r>
      <w:r>
        <w:rPr>
          <w:sz w:val="18"/>
        </w:rPr>
        <w:t>Panel</w:t>
      </w:r>
      <w:r>
        <w:rPr>
          <w:spacing w:val="-4"/>
          <w:sz w:val="18"/>
        </w:rPr>
        <w:t xml:space="preserve"> </w:t>
      </w:r>
      <w:r>
        <w:rPr>
          <w:sz w:val="18"/>
        </w:rPr>
        <w:t>Report,</w:t>
      </w:r>
      <w:r>
        <w:rPr>
          <w:spacing w:val="-3"/>
          <w:sz w:val="18"/>
        </w:rPr>
        <w:t xml:space="preserve"> </w:t>
      </w:r>
      <w:r>
        <w:rPr>
          <w:i/>
          <w:sz w:val="18"/>
        </w:rPr>
        <w:t>US</w:t>
      </w:r>
      <w:r>
        <w:rPr>
          <w:i/>
          <w:spacing w:val="-6"/>
          <w:sz w:val="18"/>
        </w:rPr>
        <w:t xml:space="preserve"> </w:t>
      </w:r>
      <w:r>
        <w:rPr>
          <w:i/>
          <w:sz w:val="18"/>
        </w:rPr>
        <w:t>–</w:t>
      </w:r>
      <w:r>
        <w:rPr>
          <w:i/>
          <w:spacing w:val="-1"/>
          <w:sz w:val="18"/>
        </w:rPr>
        <w:t xml:space="preserve"> </w:t>
      </w:r>
      <w:r>
        <w:rPr>
          <w:i/>
          <w:sz w:val="18"/>
        </w:rPr>
        <w:t>Steel</w:t>
      </w:r>
      <w:r>
        <w:rPr>
          <w:i/>
          <w:spacing w:val="-3"/>
          <w:sz w:val="18"/>
        </w:rPr>
        <w:t xml:space="preserve"> </w:t>
      </w:r>
      <w:r>
        <w:rPr>
          <w:i/>
          <w:sz w:val="18"/>
        </w:rPr>
        <w:t>Plate</w:t>
      </w:r>
      <w:r>
        <w:rPr>
          <w:sz w:val="18"/>
        </w:rPr>
        <w:t>,</w:t>
      </w:r>
      <w:r>
        <w:rPr>
          <w:spacing w:val="-3"/>
          <w:sz w:val="18"/>
        </w:rPr>
        <w:t xml:space="preserve"> </w:t>
      </w:r>
      <w:r>
        <w:rPr>
          <w:sz w:val="18"/>
        </w:rPr>
        <w:t>paras.</w:t>
      </w:r>
      <w:r>
        <w:rPr>
          <w:spacing w:val="-4"/>
          <w:sz w:val="18"/>
        </w:rPr>
        <w:t xml:space="preserve"> </w:t>
      </w:r>
      <w:r>
        <w:rPr>
          <w:sz w:val="18"/>
        </w:rPr>
        <w:t>7.60-7.61.</w:t>
      </w:r>
      <w:r>
        <w:rPr>
          <w:spacing w:val="-3"/>
          <w:sz w:val="18"/>
        </w:rPr>
        <w:t xml:space="preserve"> </w:t>
      </w:r>
      <w:r>
        <w:rPr>
          <w:sz w:val="18"/>
        </w:rPr>
        <w:t>(</w:t>
      </w:r>
      <w:proofErr w:type="gramStart"/>
      <w:r>
        <w:rPr>
          <w:sz w:val="18"/>
        </w:rPr>
        <w:t>footnotes</w:t>
      </w:r>
      <w:proofErr w:type="gramEnd"/>
      <w:r>
        <w:rPr>
          <w:spacing w:val="-5"/>
          <w:sz w:val="18"/>
        </w:rPr>
        <w:t xml:space="preserve"> </w:t>
      </w:r>
      <w:r>
        <w:rPr>
          <w:spacing w:val="-2"/>
          <w:sz w:val="18"/>
        </w:rPr>
        <w:t>omitted)</w:t>
      </w:r>
    </w:p>
    <w:p w14:paraId="1856C406" w14:textId="77777777" w:rsidR="00BD462C" w:rsidRDefault="00033D0F">
      <w:pPr>
        <w:spacing w:before="1"/>
        <w:ind w:left="135"/>
        <w:rPr>
          <w:sz w:val="18"/>
        </w:rPr>
      </w:pPr>
      <w:bookmarkStart w:id="168" w:name="_bookmark143"/>
      <w:bookmarkEnd w:id="168"/>
      <w:r>
        <w:rPr>
          <w:position w:val="5"/>
          <w:sz w:val="12"/>
        </w:rPr>
        <w:t>108</w:t>
      </w:r>
      <w:r>
        <w:rPr>
          <w:spacing w:val="14"/>
          <w:position w:val="5"/>
          <w:sz w:val="12"/>
        </w:rPr>
        <w:t xml:space="preserve"> </w:t>
      </w:r>
      <w:r>
        <w:rPr>
          <w:sz w:val="18"/>
        </w:rPr>
        <w:t>China's</w:t>
      </w:r>
      <w:r>
        <w:rPr>
          <w:spacing w:val="1"/>
          <w:sz w:val="18"/>
        </w:rPr>
        <w:t xml:space="preserve"> </w:t>
      </w:r>
      <w:r>
        <w:rPr>
          <w:sz w:val="18"/>
        </w:rPr>
        <w:t>closing</w:t>
      </w:r>
      <w:r>
        <w:rPr>
          <w:spacing w:val="-5"/>
          <w:sz w:val="18"/>
        </w:rPr>
        <w:t xml:space="preserve"> </w:t>
      </w:r>
      <w:r>
        <w:rPr>
          <w:sz w:val="18"/>
        </w:rPr>
        <w:t>statement</w:t>
      </w:r>
      <w:r>
        <w:rPr>
          <w:spacing w:val="1"/>
          <w:sz w:val="18"/>
        </w:rPr>
        <w:t xml:space="preserve"> </w:t>
      </w:r>
      <w:r>
        <w:rPr>
          <w:sz w:val="18"/>
        </w:rPr>
        <w:t>at</w:t>
      </w:r>
      <w:r>
        <w:rPr>
          <w:spacing w:val="-3"/>
          <w:sz w:val="18"/>
        </w:rPr>
        <w:t xml:space="preserve"> </w:t>
      </w:r>
      <w:r>
        <w:rPr>
          <w:sz w:val="18"/>
        </w:rPr>
        <w:t>the</w:t>
      </w:r>
      <w:r>
        <w:rPr>
          <w:spacing w:val="-4"/>
          <w:sz w:val="18"/>
        </w:rPr>
        <w:t xml:space="preserve"> </w:t>
      </w:r>
      <w:r>
        <w:rPr>
          <w:sz w:val="18"/>
        </w:rPr>
        <w:t>first</w:t>
      </w:r>
      <w:r>
        <w:rPr>
          <w:spacing w:val="-4"/>
          <w:sz w:val="18"/>
        </w:rPr>
        <w:t xml:space="preserve"> </w:t>
      </w:r>
      <w:r>
        <w:rPr>
          <w:sz w:val="18"/>
        </w:rPr>
        <w:t>meeting</w:t>
      </w:r>
      <w:r>
        <w:rPr>
          <w:spacing w:val="-4"/>
          <w:sz w:val="18"/>
        </w:rPr>
        <w:t xml:space="preserve"> </w:t>
      </w:r>
      <w:r>
        <w:rPr>
          <w:sz w:val="18"/>
        </w:rPr>
        <w:t>of</w:t>
      </w:r>
      <w:r>
        <w:rPr>
          <w:spacing w:val="-3"/>
          <w:sz w:val="18"/>
        </w:rPr>
        <w:t xml:space="preserve"> </w:t>
      </w:r>
      <w:r>
        <w:rPr>
          <w:sz w:val="18"/>
        </w:rPr>
        <w:t>the</w:t>
      </w:r>
      <w:r>
        <w:rPr>
          <w:spacing w:val="-4"/>
          <w:sz w:val="18"/>
        </w:rPr>
        <w:t xml:space="preserve"> </w:t>
      </w:r>
      <w:r>
        <w:rPr>
          <w:sz w:val="18"/>
        </w:rPr>
        <w:t>Panel,</w:t>
      </w:r>
      <w:r>
        <w:rPr>
          <w:spacing w:val="-2"/>
          <w:sz w:val="18"/>
        </w:rPr>
        <w:t xml:space="preserve"> </w:t>
      </w:r>
      <w:r>
        <w:rPr>
          <w:sz w:val="18"/>
        </w:rPr>
        <w:t>para.</w:t>
      </w:r>
      <w:r>
        <w:rPr>
          <w:spacing w:val="-4"/>
          <w:sz w:val="18"/>
        </w:rPr>
        <w:t xml:space="preserve"> </w:t>
      </w:r>
      <w:r>
        <w:rPr>
          <w:spacing w:val="-5"/>
          <w:sz w:val="18"/>
        </w:rPr>
        <w:t>3.</w:t>
      </w:r>
    </w:p>
    <w:p w14:paraId="53AAD48C" w14:textId="77777777" w:rsidR="00BD462C" w:rsidRDefault="00BD462C">
      <w:pPr>
        <w:rPr>
          <w:sz w:val="18"/>
        </w:rPr>
        <w:sectPr w:rsidR="00BD462C">
          <w:pgSz w:w="11910" w:h="16840"/>
          <w:pgMar w:top="860" w:right="500" w:bottom="780" w:left="1280" w:header="566" w:footer="590" w:gutter="0"/>
          <w:cols w:space="720"/>
        </w:sectPr>
      </w:pPr>
    </w:p>
    <w:p w14:paraId="5BA8EBCE"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7A6B1BB8"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7A135288"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525232CD" w14:textId="77777777" w:rsidR="00BD462C" w:rsidRDefault="00033D0F">
      <w:pPr>
        <w:pStyle w:val="BodyText"/>
        <w:spacing w:before="102" w:line="360" w:lineRule="auto"/>
        <w:ind w:left="136" w:right="916"/>
        <w:jc w:val="both"/>
      </w:pPr>
      <w:r>
        <w:t>requested information is not provided.</w:t>
      </w:r>
      <w:r>
        <w:rPr>
          <w:spacing w:val="-14"/>
        </w:rPr>
        <w:t xml:space="preserve"> </w:t>
      </w:r>
      <w:hyperlink w:anchor="_bookmark144" w:history="1">
        <w:r>
          <w:rPr>
            <w:vertAlign w:val="superscript"/>
          </w:rPr>
          <w:t>109</w:t>
        </w:r>
      </w:hyperlink>
      <w:r>
        <w:t xml:space="preserve"> This confirms that a "holistic analysis" cannot be read</w:t>
      </w:r>
      <w:r>
        <w:rPr>
          <w:spacing w:val="-14"/>
        </w:rPr>
        <w:t xml:space="preserve"> </w:t>
      </w:r>
      <w:r>
        <w:t>into</w:t>
      </w:r>
      <w:r>
        <w:rPr>
          <w:spacing w:val="-11"/>
        </w:rPr>
        <w:t xml:space="preserve"> </w:t>
      </w:r>
      <w:r>
        <w:t>Article</w:t>
      </w:r>
      <w:r>
        <w:rPr>
          <w:spacing w:val="-3"/>
        </w:rPr>
        <w:t xml:space="preserve"> </w:t>
      </w:r>
      <w:r>
        <w:t>6.8.</w:t>
      </w:r>
      <w:r>
        <w:rPr>
          <w:spacing w:val="-12"/>
        </w:rPr>
        <w:t xml:space="preserve"> </w:t>
      </w:r>
      <w:r>
        <w:t>The</w:t>
      </w:r>
      <w:r>
        <w:rPr>
          <w:spacing w:val="-8"/>
        </w:rPr>
        <w:t xml:space="preserve"> </w:t>
      </w:r>
      <w:r>
        <w:t>panel</w:t>
      </w:r>
      <w:r>
        <w:rPr>
          <w:spacing w:val="-11"/>
        </w:rPr>
        <w:t xml:space="preserve"> </w:t>
      </w:r>
      <w:r>
        <w:t>in</w:t>
      </w:r>
      <w:r>
        <w:rPr>
          <w:spacing w:val="-14"/>
        </w:rPr>
        <w:t xml:space="preserve"> </w:t>
      </w:r>
      <w:r>
        <w:rPr>
          <w:i/>
        </w:rPr>
        <w:t>US</w:t>
      </w:r>
      <w:r>
        <w:rPr>
          <w:i/>
          <w:spacing w:val="-5"/>
        </w:rPr>
        <w:t xml:space="preserve"> </w:t>
      </w:r>
      <w:r>
        <w:rPr>
          <w:i/>
        </w:rPr>
        <w:t>–</w:t>
      </w:r>
      <w:r>
        <w:rPr>
          <w:i/>
          <w:spacing w:val="-13"/>
        </w:rPr>
        <w:t xml:space="preserve"> </w:t>
      </w:r>
      <w:r>
        <w:rPr>
          <w:i/>
        </w:rPr>
        <w:t>Steel</w:t>
      </w:r>
      <w:r>
        <w:rPr>
          <w:i/>
          <w:spacing w:val="-11"/>
        </w:rPr>
        <w:t xml:space="preserve"> </w:t>
      </w:r>
      <w:r>
        <w:rPr>
          <w:i/>
        </w:rPr>
        <w:t>Plate</w:t>
      </w:r>
      <w:r>
        <w:rPr>
          <w:i/>
          <w:spacing w:val="-13"/>
        </w:rPr>
        <w:t xml:space="preserve"> </w:t>
      </w:r>
      <w:r>
        <w:t>expressly</w:t>
      </w:r>
      <w:r>
        <w:rPr>
          <w:spacing w:val="-12"/>
        </w:rPr>
        <w:t xml:space="preserve"> </w:t>
      </w:r>
      <w:r>
        <w:t>rejected</w:t>
      </w:r>
      <w:r>
        <w:rPr>
          <w:spacing w:val="-14"/>
        </w:rPr>
        <w:t xml:space="preserve"> </w:t>
      </w:r>
      <w:r>
        <w:t>the</w:t>
      </w:r>
      <w:r>
        <w:rPr>
          <w:spacing w:val="-7"/>
        </w:rPr>
        <w:t xml:space="preserve"> </w:t>
      </w:r>
      <w:r>
        <w:t>respondent's</w:t>
      </w:r>
      <w:r>
        <w:rPr>
          <w:spacing w:val="-7"/>
        </w:rPr>
        <w:t xml:space="preserve"> </w:t>
      </w:r>
      <w:r>
        <w:t>position that the reference to "'information' in Article 6.8 means all information, such that Members have an unlimited right to reject all information submitted in a case where some necessary information is not provided."</w:t>
      </w:r>
      <w:hyperlink w:anchor="_bookmark145" w:history="1">
        <w:r>
          <w:rPr>
            <w:vertAlign w:val="superscript"/>
          </w:rPr>
          <w:t>110</w:t>
        </w:r>
      </w:hyperlink>
      <w:r>
        <w:t xml:space="preserve"> The panel in </w:t>
      </w:r>
      <w:r>
        <w:rPr>
          <w:i/>
        </w:rPr>
        <w:t xml:space="preserve">China – Broiler Products </w:t>
      </w:r>
      <w:r>
        <w:t>also adopted this position, explaining that:</w:t>
      </w:r>
    </w:p>
    <w:p w14:paraId="3673C501" w14:textId="77777777" w:rsidR="00BD462C" w:rsidRDefault="00033D0F">
      <w:pPr>
        <w:spacing w:before="157" w:line="276" w:lineRule="auto"/>
        <w:ind w:left="985" w:right="915"/>
        <w:jc w:val="both"/>
      </w:pPr>
      <w:r>
        <w:t>Because</w:t>
      </w:r>
      <w:r>
        <w:rPr>
          <w:spacing w:val="-12"/>
        </w:rPr>
        <w:t xml:space="preserve"> </w:t>
      </w:r>
      <w:r>
        <w:t>every</w:t>
      </w:r>
      <w:r>
        <w:rPr>
          <w:spacing w:val="-11"/>
        </w:rPr>
        <w:t xml:space="preserve"> </w:t>
      </w:r>
      <w:r>
        <w:t>element</w:t>
      </w:r>
      <w:r>
        <w:rPr>
          <w:spacing w:val="-13"/>
        </w:rPr>
        <w:t xml:space="preserve"> </w:t>
      </w:r>
      <w:r>
        <w:t>of</w:t>
      </w:r>
      <w:r>
        <w:rPr>
          <w:spacing w:val="-11"/>
        </w:rPr>
        <w:t xml:space="preserve"> </w:t>
      </w:r>
      <w:r>
        <w:t>information</w:t>
      </w:r>
      <w:r>
        <w:rPr>
          <w:spacing w:val="-13"/>
        </w:rPr>
        <w:t xml:space="preserve"> </w:t>
      </w:r>
      <w:r>
        <w:t>that</w:t>
      </w:r>
      <w:r>
        <w:rPr>
          <w:spacing w:val="-8"/>
        </w:rPr>
        <w:t xml:space="preserve"> </w:t>
      </w:r>
      <w:r>
        <w:t>satisfies</w:t>
      </w:r>
      <w:r>
        <w:rPr>
          <w:spacing w:val="-12"/>
        </w:rPr>
        <w:t xml:space="preserve"> </w:t>
      </w:r>
      <w:r>
        <w:t>the</w:t>
      </w:r>
      <w:r>
        <w:rPr>
          <w:spacing w:val="-6"/>
        </w:rPr>
        <w:t xml:space="preserve"> </w:t>
      </w:r>
      <w:r>
        <w:t>criteria</w:t>
      </w:r>
      <w:r>
        <w:rPr>
          <w:spacing w:val="-12"/>
        </w:rPr>
        <w:t xml:space="preserve"> </w:t>
      </w:r>
      <w:r>
        <w:t>of</w:t>
      </w:r>
      <w:r>
        <w:rPr>
          <w:spacing w:val="-7"/>
        </w:rPr>
        <w:t xml:space="preserve"> </w:t>
      </w:r>
      <w:r>
        <w:t>paragraph</w:t>
      </w:r>
      <w:r>
        <w:rPr>
          <w:spacing w:val="-13"/>
        </w:rPr>
        <w:t xml:space="preserve"> </w:t>
      </w:r>
      <w:r>
        <w:t>3</w:t>
      </w:r>
      <w:r>
        <w:rPr>
          <w:spacing w:val="-8"/>
        </w:rPr>
        <w:t xml:space="preserve"> </w:t>
      </w:r>
      <w:r>
        <w:t>must</w:t>
      </w:r>
      <w:r>
        <w:rPr>
          <w:spacing w:val="-9"/>
        </w:rPr>
        <w:t xml:space="preserve"> </w:t>
      </w:r>
      <w:r>
        <w:t>be</w:t>
      </w:r>
      <w:r>
        <w:rPr>
          <w:spacing w:val="-11"/>
        </w:rPr>
        <w:t xml:space="preserve"> </w:t>
      </w:r>
      <w:proofErr w:type="gramStart"/>
      <w:r>
        <w:t>taken into</w:t>
      </w:r>
      <w:r>
        <w:rPr>
          <w:spacing w:val="-13"/>
        </w:rPr>
        <w:t xml:space="preserve"> </w:t>
      </w:r>
      <w:r>
        <w:t>account</w:t>
      </w:r>
      <w:proofErr w:type="gramEnd"/>
      <w:r>
        <w:t>,</w:t>
      </w:r>
      <w:r>
        <w:rPr>
          <w:spacing w:val="-9"/>
        </w:rPr>
        <w:t xml:space="preserve"> </w:t>
      </w:r>
      <w:r>
        <w:t>an</w:t>
      </w:r>
      <w:r>
        <w:rPr>
          <w:spacing w:val="-8"/>
        </w:rPr>
        <w:t xml:space="preserve"> </w:t>
      </w:r>
      <w:r>
        <w:t>investigating</w:t>
      </w:r>
      <w:r>
        <w:rPr>
          <w:spacing w:val="-10"/>
        </w:rPr>
        <w:t xml:space="preserve"> </w:t>
      </w:r>
      <w:r>
        <w:t>authority</w:t>
      </w:r>
      <w:r>
        <w:rPr>
          <w:spacing w:val="-11"/>
        </w:rPr>
        <w:t xml:space="preserve"> </w:t>
      </w:r>
      <w:r>
        <w:t>is</w:t>
      </w:r>
      <w:r>
        <w:rPr>
          <w:spacing w:val="-12"/>
        </w:rPr>
        <w:t xml:space="preserve"> </w:t>
      </w:r>
      <w:r>
        <w:t>not</w:t>
      </w:r>
      <w:r>
        <w:rPr>
          <w:spacing w:val="-9"/>
        </w:rPr>
        <w:t xml:space="preserve"> </w:t>
      </w:r>
      <w:r>
        <w:t>entitled</w:t>
      </w:r>
      <w:r>
        <w:rPr>
          <w:spacing w:val="-8"/>
        </w:rPr>
        <w:t xml:space="preserve"> </w:t>
      </w:r>
      <w:r>
        <w:t>to</w:t>
      </w:r>
      <w:r>
        <w:rPr>
          <w:spacing w:val="-13"/>
        </w:rPr>
        <w:t xml:space="preserve"> </w:t>
      </w:r>
      <w:r>
        <w:t>reject</w:t>
      </w:r>
      <w:r>
        <w:rPr>
          <w:spacing w:val="-8"/>
        </w:rPr>
        <w:t xml:space="preserve"> </w:t>
      </w:r>
      <w:r>
        <w:t>all</w:t>
      </w:r>
      <w:r>
        <w:rPr>
          <w:spacing w:val="-10"/>
        </w:rPr>
        <w:t xml:space="preserve"> </w:t>
      </w:r>
      <w:r>
        <w:t>information</w:t>
      </w:r>
      <w:r>
        <w:rPr>
          <w:spacing w:val="-13"/>
        </w:rPr>
        <w:t xml:space="preserve"> </w:t>
      </w:r>
      <w:r>
        <w:t>submitted</w:t>
      </w:r>
      <w:r>
        <w:rPr>
          <w:spacing w:val="-12"/>
        </w:rPr>
        <w:t xml:space="preserve"> </w:t>
      </w:r>
      <w:r>
        <w:t>and apply facts available, when only individual elements of that information fail to satisfy the criteria of paragraph 3.</w:t>
      </w:r>
      <w:r>
        <w:rPr>
          <w:spacing w:val="-20"/>
        </w:rPr>
        <w:t xml:space="preserve"> </w:t>
      </w:r>
      <w:hyperlink w:anchor="_bookmark146" w:history="1">
        <w:r>
          <w:rPr>
            <w:vertAlign w:val="superscript"/>
          </w:rPr>
          <w:t>111</w:t>
        </w:r>
      </w:hyperlink>
      <w:r>
        <w:t xml:space="preserve"> (emphasis original; footnotes omitted)</w:t>
      </w:r>
    </w:p>
    <w:p w14:paraId="12598BBC" w14:textId="77777777" w:rsidR="00BD462C" w:rsidRDefault="00BD462C">
      <w:pPr>
        <w:pStyle w:val="BodyText"/>
        <w:spacing w:before="9"/>
        <w:rPr>
          <w:sz w:val="15"/>
        </w:rPr>
      </w:pPr>
    </w:p>
    <w:p w14:paraId="10527302" w14:textId="3E830785" w:rsidR="00BD462C" w:rsidRDefault="00033D0F" w:rsidP="00652F97">
      <w:pPr>
        <w:pStyle w:val="BodyText"/>
        <w:numPr>
          <w:ilvl w:val="0"/>
          <w:numId w:val="68"/>
        </w:numPr>
        <w:spacing w:before="56" w:line="360" w:lineRule="auto"/>
        <w:ind w:right="913"/>
        <w:jc w:val="both"/>
      </w:pPr>
      <w:r>
        <w:rPr>
          <w:position w:val="1"/>
        </w:rPr>
        <w:t>Moreover, paragraph 5 of Annex II reads "[e]</w:t>
      </w:r>
      <w:proofErr w:type="spellStart"/>
      <w:r>
        <w:rPr>
          <w:position w:val="1"/>
        </w:rPr>
        <w:t>ven</w:t>
      </w:r>
      <w:proofErr w:type="spellEnd"/>
      <w:r>
        <w:rPr>
          <w:position w:val="1"/>
        </w:rPr>
        <w:t xml:space="preserve"> though the information provided </w:t>
      </w:r>
      <w:r>
        <w:t>may not be ideal in all respects, this should not justify the authorities from disregarding it, provided</w:t>
      </w:r>
      <w:r>
        <w:rPr>
          <w:spacing w:val="-1"/>
        </w:rPr>
        <w:t xml:space="preserve"> </w:t>
      </w:r>
      <w:r>
        <w:t>the interested</w:t>
      </w:r>
      <w:r>
        <w:rPr>
          <w:spacing w:val="-1"/>
        </w:rPr>
        <w:t xml:space="preserve"> </w:t>
      </w:r>
      <w:r>
        <w:t>party has acted</w:t>
      </w:r>
      <w:r>
        <w:rPr>
          <w:spacing w:val="-1"/>
        </w:rPr>
        <w:t xml:space="preserve"> </w:t>
      </w:r>
      <w:r>
        <w:t>to</w:t>
      </w:r>
      <w:r>
        <w:rPr>
          <w:spacing w:val="-1"/>
        </w:rPr>
        <w:t xml:space="preserve"> </w:t>
      </w:r>
      <w:r>
        <w:t>the best of its ability". This</w:t>
      </w:r>
      <w:r>
        <w:rPr>
          <w:spacing w:val="-2"/>
        </w:rPr>
        <w:t xml:space="preserve"> </w:t>
      </w:r>
      <w:r>
        <w:t>provision</w:t>
      </w:r>
      <w:r>
        <w:rPr>
          <w:spacing w:val="-1"/>
        </w:rPr>
        <w:t xml:space="preserve"> </w:t>
      </w:r>
      <w:r>
        <w:t>"prevents an investigating authority from rejecting the information supplied by a respondent, even if incomplete, where the respondent 'acted to the best of its ability'".</w:t>
      </w:r>
      <w:r>
        <w:rPr>
          <w:spacing w:val="-14"/>
        </w:rPr>
        <w:t xml:space="preserve"> </w:t>
      </w:r>
      <w:hyperlink w:anchor="_bookmark147" w:history="1">
        <w:r>
          <w:rPr>
            <w:vertAlign w:val="superscript"/>
          </w:rPr>
          <w:t>112</w:t>
        </w:r>
      </w:hyperlink>
      <w:r>
        <w:t xml:space="preserve"> Information that satisfies the requirements of paragraph 3, even if not "ideal in all respects", may not be disregarded provided the interested party has acted to the best of its ability.</w:t>
      </w:r>
      <w:r>
        <w:rPr>
          <w:spacing w:val="-28"/>
        </w:rPr>
        <w:t xml:space="preserve"> </w:t>
      </w:r>
      <w:hyperlink w:anchor="_bookmark148" w:history="1">
        <w:r>
          <w:rPr>
            <w:vertAlign w:val="superscript"/>
          </w:rPr>
          <w:t>113</w:t>
        </w:r>
      </w:hyperlink>
    </w:p>
    <w:p w14:paraId="4612C0AF" w14:textId="77777777" w:rsidR="00BD462C" w:rsidRDefault="00BD462C">
      <w:pPr>
        <w:pStyle w:val="BodyText"/>
        <w:spacing w:before="5"/>
        <w:rPr>
          <w:sz w:val="8"/>
        </w:rPr>
      </w:pPr>
    </w:p>
    <w:p w14:paraId="5876D2D0" w14:textId="5ED1BFD4" w:rsidR="00BD462C" w:rsidRDefault="00033D0F" w:rsidP="00652F97">
      <w:pPr>
        <w:pStyle w:val="BodyText"/>
        <w:numPr>
          <w:ilvl w:val="0"/>
          <w:numId w:val="68"/>
        </w:numPr>
        <w:spacing w:before="56" w:line="360" w:lineRule="auto"/>
        <w:ind w:right="915"/>
        <w:jc w:val="both"/>
      </w:pPr>
      <w:r>
        <w:rPr>
          <w:position w:val="1"/>
        </w:rPr>
        <w:t>Finally, there does not appear to be any dispute between the parties that "a failure</w:t>
      </w:r>
      <w:r>
        <w:rPr>
          <w:spacing w:val="40"/>
          <w:position w:val="1"/>
        </w:rPr>
        <w:t xml:space="preserve"> </w:t>
      </w:r>
      <w:r>
        <w:t>to</w:t>
      </w:r>
      <w:r>
        <w:rPr>
          <w:spacing w:val="-11"/>
        </w:rPr>
        <w:t xml:space="preserve"> </w:t>
      </w:r>
      <w:r>
        <w:t>provide</w:t>
      </w:r>
      <w:r>
        <w:rPr>
          <w:spacing w:val="-8"/>
        </w:rPr>
        <w:t xml:space="preserve"> </w:t>
      </w:r>
      <w:r>
        <w:t>certain</w:t>
      </w:r>
      <w:r>
        <w:rPr>
          <w:spacing w:val="-10"/>
        </w:rPr>
        <w:t xml:space="preserve"> </w:t>
      </w:r>
      <w:r>
        <w:t>information</w:t>
      </w:r>
      <w:r>
        <w:rPr>
          <w:spacing w:val="-10"/>
        </w:rPr>
        <w:t xml:space="preserve"> </w:t>
      </w:r>
      <w:r>
        <w:t>may</w:t>
      </w:r>
      <w:r>
        <w:rPr>
          <w:spacing w:val="-7"/>
        </w:rPr>
        <w:t xml:space="preserve"> </w:t>
      </w:r>
      <w:r>
        <w:t>have</w:t>
      </w:r>
      <w:r>
        <w:rPr>
          <w:spacing w:val="-8"/>
        </w:rPr>
        <w:t xml:space="preserve"> </w:t>
      </w:r>
      <w:r>
        <w:t>ramifications</w:t>
      </w:r>
      <w:r>
        <w:rPr>
          <w:spacing w:val="-7"/>
        </w:rPr>
        <w:t xml:space="preserve"> </w:t>
      </w:r>
      <w:r>
        <w:t>beyond</w:t>
      </w:r>
      <w:r>
        <w:rPr>
          <w:spacing w:val="-10"/>
        </w:rPr>
        <w:t xml:space="preserve"> </w:t>
      </w:r>
      <w:r>
        <w:t>the</w:t>
      </w:r>
      <w:r>
        <w:rPr>
          <w:spacing w:val="-8"/>
        </w:rPr>
        <w:t xml:space="preserve"> </w:t>
      </w:r>
      <w:r>
        <w:t>category</w:t>
      </w:r>
      <w:r>
        <w:rPr>
          <w:spacing w:val="-7"/>
        </w:rPr>
        <w:t xml:space="preserve"> </w:t>
      </w:r>
      <w:r>
        <w:t>into</w:t>
      </w:r>
      <w:r>
        <w:rPr>
          <w:spacing w:val="-11"/>
        </w:rPr>
        <w:t xml:space="preserve"> </w:t>
      </w:r>
      <w:r>
        <w:t>which</w:t>
      </w:r>
      <w:r>
        <w:rPr>
          <w:spacing w:val="-10"/>
        </w:rPr>
        <w:t xml:space="preserve"> </w:t>
      </w:r>
      <w:r>
        <w:t>it</w:t>
      </w:r>
      <w:r>
        <w:rPr>
          <w:spacing w:val="-8"/>
        </w:rPr>
        <w:t xml:space="preserve"> </w:t>
      </w:r>
      <w:r>
        <w:t>falls" and</w:t>
      </w:r>
      <w:r>
        <w:rPr>
          <w:spacing w:val="-9"/>
        </w:rPr>
        <w:t xml:space="preserve"> </w:t>
      </w:r>
      <w:r>
        <w:t>that</w:t>
      </w:r>
      <w:r>
        <w:rPr>
          <w:spacing w:val="-2"/>
        </w:rPr>
        <w:t xml:space="preserve"> </w:t>
      </w:r>
      <w:r>
        <w:t>the</w:t>
      </w:r>
      <w:r>
        <w:rPr>
          <w:spacing w:val="-7"/>
        </w:rPr>
        <w:t xml:space="preserve"> </w:t>
      </w:r>
      <w:r>
        <w:t>absence</w:t>
      </w:r>
      <w:r>
        <w:rPr>
          <w:spacing w:val="-2"/>
        </w:rPr>
        <w:t xml:space="preserve"> </w:t>
      </w:r>
      <w:r>
        <w:t>of</w:t>
      </w:r>
      <w:r>
        <w:rPr>
          <w:spacing w:val="-4"/>
        </w:rPr>
        <w:t xml:space="preserve"> </w:t>
      </w:r>
      <w:r>
        <w:t>certain</w:t>
      </w:r>
      <w:r>
        <w:rPr>
          <w:spacing w:val="-9"/>
        </w:rPr>
        <w:t xml:space="preserve"> </w:t>
      </w:r>
      <w:r>
        <w:t>information</w:t>
      </w:r>
      <w:r>
        <w:rPr>
          <w:spacing w:val="-4"/>
        </w:rPr>
        <w:t xml:space="preserve"> </w:t>
      </w:r>
      <w:r>
        <w:t>"may</w:t>
      </w:r>
      <w:r>
        <w:rPr>
          <w:spacing w:val="-1"/>
        </w:rPr>
        <w:t xml:space="preserve"> </w:t>
      </w:r>
      <w:r>
        <w:t>affect</w:t>
      </w:r>
      <w:r>
        <w:rPr>
          <w:spacing w:val="-7"/>
        </w:rPr>
        <w:t xml:space="preserve"> </w:t>
      </w:r>
      <w:r>
        <w:t>the</w:t>
      </w:r>
      <w:r>
        <w:rPr>
          <w:spacing w:val="-3"/>
        </w:rPr>
        <w:t xml:space="preserve"> </w:t>
      </w:r>
      <w:r>
        <w:t>relative</w:t>
      </w:r>
      <w:r>
        <w:rPr>
          <w:spacing w:val="-7"/>
        </w:rPr>
        <w:t xml:space="preserve"> </w:t>
      </w:r>
      <w:r>
        <w:t>ease</w:t>
      </w:r>
      <w:r>
        <w:rPr>
          <w:spacing w:val="-7"/>
        </w:rPr>
        <w:t xml:space="preserve"> </w:t>
      </w:r>
      <w:r>
        <w:t>or</w:t>
      </w:r>
      <w:r>
        <w:rPr>
          <w:spacing w:val="-10"/>
        </w:rPr>
        <w:t xml:space="preserve"> </w:t>
      </w:r>
      <w:r>
        <w:t>difficulty</w:t>
      </w:r>
      <w:r>
        <w:rPr>
          <w:spacing w:val="-6"/>
        </w:rPr>
        <w:t xml:space="preserve"> </w:t>
      </w:r>
      <w:r>
        <w:t>of</w:t>
      </w:r>
      <w:r>
        <w:rPr>
          <w:spacing w:val="-4"/>
        </w:rPr>
        <w:t xml:space="preserve"> </w:t>
      </w:r>
      <w:r>
        <w:t>using the</w:t>
      </w:r>
      <w:r>
        <w:rPr>
          <w:spacing w:val="-13"/>
        </w:rPr>
        <w:t xml:space="preserve"> </w:t>
      </w:r>
      <w:r>
        <w:t>information</w:t>
      </w:r>
      <w:r>
        <w:rPr>
          <w:spacing w:val="-14"/>
        </w:rPr>
        <w:t xml:space="preserve"> </w:t>
      </w:r>
      <w:r>
        <w:t>that</w:t>
      </w:r>
      <w:r>
        <w:rPr>
          <w:spacing w:val="-11"/>
        </w:rPr>
        <w:t xml:space="preserve"> </w:t>
      </w:r>
      <w:r>
        <w:t>has</w:t>
      </w:r>
      <w:r>
        <w:rPr>
          <w:spacing w:val="-10"/>
        </w:rPr>
        <w:t xml:space="preserve"> </w:t>
      </w:r>
      <w:r>
        <w:t>been</w:t>
      </w:r>
      <w:r>
        <w:rPr>
          <w:spacing w:val="-14"/>
        </w:rPr>
        <w:t xml:space="preserve"> </w:t>
      </w:r>
      <w:r>
        <w:t>submitted".</w:t>
      </w:r>
      <w:hyperlink w:anchor="_bookmark149" w:history="1">
        <w:r>
          <w:rPr>
            <w:vertAlign w:val="superscript"/>
          </w:rPr>
          <w:t>114</w:t>
        </w:r>
      </w:hyperlink>
      <w:r>
        <w:rPr>
          <w:spacing w:val="-11"/>
        </w:rPr>
        <w:t xml:space="preserve"> </w:t>
      </w:r>
      <w:r>
        <w:t>However,</w:t>
      </w:r>
      <w:r>
        <w:rPr>
          <w:spacing w:val="-10"/>
        </w:rPr>
        <w:t xml:space="preserve"> </w:t>
      </w:r>
      <w:r>
        <w:t>pursuant</w:t>
      </w:r>
      <w:r>
        <w:rPr>
          <w:spacing w:val="-11"/>
        </w:rPr>
        <w:t xml:space="preserve"> </w:t>
      </w:r>
      <w:r>
        <w:t>to</w:t>
      </w:r>
      <w:r>
        <w:rPr>
          <w:spacing w:val="-14"/>
        </w:rPr>
        <w:t xml:space="preserve"> </w:t>
      </w:r>
      <w:r>
        <w:t>the</w:t>
      </w:r>
      <w:r>
        <w:rPr>
          <w:spacing w:val="-12"/>
        </w:rPr>
        <w:t xml:space="preserve"> </w:t>
      </w:r>
      <w:r>
        <w:t>reasoning</w:t>
      </w:r>
      <w:r>
        <w:rPr>
          <w:spacing w:val="-10"/>
        </w:rPr>
        <w:t xml:space="preserve"> </w:t>
      </w:r>
      <w:r>
        <w:t>of</w:t>
      </w:r>
      <w:r>
        <w:rPr>
          <w:spacing w:val="-14"/>
        </w:rPr>
        <w:t xml:space="preserve"> </w:t>
      </w:r>
      <w:r>
        <w:t>the</w:t>
      </w:r>
      <w:r>
        <w:rPr>
          <w:spacing w:val="-12"/>
        </w:rPr>
        <w:t xml:space="preserve"> </w:t>
      </w:r>
      <w:r>
        <w:t xml:space="preserve">panel in </w:t>
      </w:r>
      <w:r>
        <w:rPr>
          <w:i/>
        </w:rPr>
        <w:t>US – Steel Plate</w:t>
      </w:r>
      <w:r>
        <w:t>, it must be demonstrated, and not simply assumed or asserted, that the absence of a piece of information has an impact on the use of another piece of information. As</w:t>
      </w:r>
      <w:r>
        <w:rPr>
          <w:spacing w:val="-14"/>
        </w:rPr>
        <w:t xml:space="preserve"> </w:t>
      </w:r>
      <w:r>
        <w:t>will</w:t>
      </w:r>
      <w:r>
        <w:rPr>
          <w:spacing w:val="-10"/>
        </w:rPr>
        <w:t xml:space="preserve"> </w:t>
      </w:r>
      <w:r>
        <w:t>be</w:t>
      </w:r>
      <w:r>
        <w:rPr>
          <w:spacing w:val="-12"/>
        </w:rPr>
        <w:t xml:space="preserve"> </w:t>
      </w:r>
      <w:r>
        <w:t>demonstrated</w:t>
      </w:r>
      <w:r>
        <w:rPr>
          <w:spacing w:val="-14"/>
        </w:rPr>
        <w:t xml:space="preserve"> </w:t>
      </w:r>
      <w:r>
        <w:t>below,</w:t>
      </w:r>
      <w:r>
        <w:rPr>
          <w:spacing w:val="-10"/>
        </w:rPr>
        <w:t xml:space="preserve"> </w:t>
      </w:r>
      <w:r>
        <w:t>in</w:t>
      </w:r>
      <w:r>
        <w:rPr>
          <w:spacing w:val="-14"/>
        </w:rPr>
        <w:t xml:space="preserve"> </w:t>
      </w:r>
      <w:r>
        <w:t>the</w:t>
      </w:r>
      <w:r>
        <w:rPr>
          <w:spacing w:val="-12"/>
        </w:rPr>
        <w:t xml:space="preserve"> </w:t>
      </w:r>
      <w:r>
        <w:t>present</w:t>
      </w:r>
      <w:r>
        <w:rPr>
          <w:spacing w:val="-11"/>
        </w:rPr>
        <w:t xml:space="preserve"> </w:t>
      </w:r>
      <w:r>
        <w:t>case</w:t>
      </w:r>
      <w:r>
        <w:rPr>
          <w:spacing w:val="-14"/>
        </w:rPr>
        <w:t xml:space="preserve"> </w:t>
      </w:r>
      <w:r>
        <w:t>there</w:t>
      </w:r>
      <w:r>
        <w:rPr>
          <w:spacing w:val="-12"/>
        </w:rPr>
        <w:t xml:space="preserve"> </w:t>
      </w:r>
      <w:r>
        <w:t>is</w:t>
      </w:r>
      <w:r>
        <w:rPr>
          <w:spacing w:val="-10"/>
        </w:rPr>
        <w:t xml:space="preserve"> </w:t>
      </w:r>
      <w:r>
        <w:t>no</w:t>
      </w:r>
      <w:r>
        <w:rPr>
          <w:spacing w:val="-14"/>
        </w:rPr>
        <w:t xml:space="preserve"> </w:t>
      </w:r>
      <w:r>
        <w:t>evidence</w:t>
      </w:r>
      <w:r>
        <w:rPr>
          <w:spacing w:val="-12"/>
        </w:rPr>
        <w:t xml:space="preserve"> </w:t>
      </w:r>
      <w:r>
        <w:t>of</w:t>
      </w:r>
      <w:r>
        <w:rPr>
          <w:spacing w:val="-14"/>
        </w:rPr>
        <w:t xml:space="preserve"> </w:t>
      </w:r>
      <w:r>
        <w:t>that</w:t>
      </w:r>
      <w:r>
        <w:rPr>
          <w:spacing w:val="-11"/>
        </w:rPr>
        <w:t xml:space="preserve"> </w:t>
      </w:r>
      <w:r>
        <w:t>analysis</w:t>
      </w:r>
      <w:r>
        <w:rPr>
          <w:spacing w:val="-10"/>
        </w:rPr>
        <w:t xml:space="preserve"> </w:t>
      </w:r>
      <w:r>
        <w:t>having been undertaken by MOFCOM.</w:t>
      </w:r>
    </w:p>
    <w:p w14:paraId="61825C36" w14:textId="77777777" w:rsidR="00BD462C" w:rsidRDefault="00BD462C">
      <w:pPr>
        <w:pStyle w:val="BodyText"/>
        <w:rPr>
          <w:sz w:val="20"/>
        </w:rPr>
      </w:pPr>
    </w:p>
    <w:p w14:paraId="61187DF9" w14:textId="77777777" w:rsidR="00BD462C" w:rsidRDefault="00BD462C">
      <w:pPr>
        <w:pStyle w:val="BodyText"/>
        <w:rPr>
          <w:sz w:val="20"/>
        </w:rPr>
      </w:pPr>
    </w:p>
    <w:p w14:paraId="03A5AB0D" w14:textId="77777777" w:rsidR="00BD462C" w:rsidRDefault="00BD462C">
      <w:pPr>
        <w:pStyle w:val="BodyText"/>
        <w:rPr>
          <w:sz w:val="20"/>
        </w:rPr>
      </w:pPr>
    </w:p>
    <w:p w14:paraId="059FD34A" w14:textId="2638693A" w:rsidR="00BD462C" w:rsidRDefault="009A6330">
      <w:pPr>
        <w:pStyle w:val="BodyText"/>
        <w:spacing w:before="11"/>
        <w:rPr>
          <w:sz w:val="21"/>
        </w:rPr>
      </w:pPr>
      <w:r>
        <w:rPr>
          <w:noProof/>
        </w:rPr>
        <mc:AlternateContent>
          <mc:Choice Requires="wps">
            <w:drawing>
              <wp:anchor distT="0" distB="0" distL="0" distR="0" simplePos="0" relativeHeight="487979520" behindDoc="1" locked="0" layoutInCell="1" allowOverlap="1" wp14:anchorId="5D2990AA" wp14:editId="090D6D56">
                <wp:simplePos x="0" y="0"/>
                <wp:positionH relativeFrom="page">
                  <wp:posOffset>812800</wp:posOffset>
                </wp:positionH>
                <wp:positionV relativeFrom="paragraph">
                  <wp:posOffset>175309</wp:posOffset>
                </wp:positionV>
                <wp:extent cx="1828800" cy="8890"/>
                <wp:effectExtent l="0" t="0" r="0" b="0"/>
                <wp:wrapTopAndBottom/>
                <wp:docPr id="738" name="docshape7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65BCE7" id="docshape712" o:spid="_x0000_s1026" alt="&quot;&quot;" style="position:absolute;margin-left:64pt;margin-top:13.8pt;width:2in;height:.7pt;z-index:-15336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" fillcolor="black" stroked="f">
                <w10:wrap type="topAndBottom" anchorx="page"/>
              </v:rect>
            </w:pict>
          </mc:Fallback>
        </mc:AlternateContent>
      </w:r>
    </w:p>
    <w:p w14:paraId="5F796EE2" w14:textId="77777777" w:rsidR="00BD462C" w:rsidRDefault="00033D0F">
      <w:pPr>
        <w:spacing w:before="112"/>
        <w:ind w:left="135"/>
        <w:rPr>
          <w:sz w:val="18"/>
        </w:rPr>
      </w:pPr>
      <w:bookmarkStart w:id="169" w:name="_bookmark144"/>
      <w:bookmarkEnd w:id="169"/>
      <w:r>
        <w:rPr>
          <w:position w:val="5"/>
          <w:sz w:val="12"/>
        </w:rPr>
        <w:t>109</w:t>
      </w:r>
      <w:r>
        <w:rPr>
          <w:spacing w:val="12"/>
          <w:position w:val="5"/>
          <w:sz w:val="12"/>
        </w:rPr>
        <w:t xml:space="preserve"> </w:t>
      </w:r>
      <w:r>
        <w:rPr>
          <w:sz w:val="18"/>
        </w:rPr>
        <w:t>See</w:t>
      </w:r>
      <w:r>
        <w:rPr>
          <w:spacing w:val="-6"/>
          <w:sz w:val="18"/>
        </w:rPr>
        <w:t xml:space="preserve"> </w:t>
      </w:r>
      <w:r>
        <w:rPr>
          <w:sz w:val="18"/>
        </w:rPr>
        <w:t>above,</w:t>
      </w:r>
      <w:r>
        <w:rPr>
          <w:spacing w:val="-4"/>
          <w:sz w:val="18"/>
        </w:rPr>
        <w:t xml:space="preserve"> </w:t>
      </w:r>
      <w:r>
        <w:rPr>
          <w:sz w:val="18"/>
        </w:rPr>
        <w:t>para.</w:t>
      </w:r>
      <w:r>
        <w:rPr>
          <w:spacing w:val="-5"/>
          <w:sz w:val="18"/>
        </w:rPr>
        <w:t xml:space="preserve"> </w:t>
      </w:r>
      <w:hyperlink w:anchor="_bookmark127" w:history="1">
        <w:r>
          <w:rPr>
            <w:sz w:val="18"/>
          </w:rPr>
          <w:t>72.</w:t>
        </w:r>
      </w:hyperlink>
      <w:r>
        <w:rPr>
          <w:sz w:val="18"/>
        </w:rPr>
        <w:t xml:space="preserve"> See</w:t>
      </w:r>
      <w:r>
        <w:rPr>
          <w:spacing w:val="-3"/>
          <w:sz w:val="18"/>
        </w:rPr>
        <w:t xml:space="preserve"> </w:t>
      </w:r>
      <w:r>
        <w:rPr>
          <w:sz w:val="18"/>
        </w:rPr>
        <w:t>also</w:t>
      </w:r>
      <w:r>
        <w:rPr>
          <w:spacing w:val="-6"/>
          <w:sz w:val="18"/>
        </w:rPr>
        <w:t xml:space="preserve"> </w:t>
      </w:r>
      <w:r>
        <w:rPr>
          <w:sz w:val="18"/>
        </w:rPr>
        <w:t>Australia's</w:t>
      </w:r>
      <w:r>
        <w:rPr>
          <w:spacing w:val="-6"/>
          <w:sz w:val="18"/>
        </w:rPr>
        <w:t xml:space="preserve"> </w:t>
      </w:r>
      <w:r>
        <w:rPr>
          <w:sz w:val="18"/>
        </w:rPr>
        <w:t>first</w:t>
      </w:r>
      <w:r>
        <w:rPr>
          <w:spacing w:val="-5"/>
          <w:sz w:val="18"/>
        </w:rPr>
        <w:t xml:space="preserve"> </w:t>
      </w:r>
      <w:r>
        <w:rPr>
          <w:sz w:val="18"/>
        </w:rPr>
        <w:t>written</w:t>
      </w:r>
      <w:r>
        <w:rPr>
          <w:spacing w:val="-3"/>
          <w:sz w:val="18"/>
        </w:rPr>
        <w:t xml:space="preserve"> </w:t>
      </w:r>
      <w:r>
        <w:rPr>
          <w:sz w:val="18"/>
        </w:rPr>
        <w:t>submission,</w:t>
      </w:r>
      <w:r>
        <w:rPr>
          <w:spacing w:val="-4"/>
          <w:sz w:val="18"/>
        </w:rPr>
        <w:t xml:space="preserve"> </w:t>
      </w:r>
      <w:r>
        <w:rPr>
          <w:sz w:val="18"/>
        </w:rPr>
        <w:t>paras. 71-</w:t>
      </w:r>
      <w:r>
        <w:rPr>
          <w:spacing w:val="-5"/>
          <w:sz w:val="18"/>
        </w:rPr>
        <w:t>72.</w:t>
      </w:r>
    </w:p>
    <w:p w14:paraId="509FCC5C" w14:textId="77777777" w:rsidR="00BD462C" w:rsidRDefault="00033D0F">
      <w:pPr>
        <w:spacing w:before="1" w:line="218" w:lineRule="exact"/>
        <w:ind w:left="135"/>
        <w:rPr>
          <w:sz w:val="18"/>
        </w:rPr>
      </w:pPr>
      <w:bookmarkStart w:id="170" w:name="_bookmark145"/>
      <w:bookmarkEnd w:id="170"/>
      <w:r>
        <w:rPr>
          <w:position w:val="5"/>
          <w:sz w:val="12"/>
        </w:rPr>
        <w:t>110</w:t>
      </w:r>
      <w:r>
        <w:rPr>
          <w:spacing w:val="15"/>
          <w:position w:val="5"/>
          <w:sz w:val="12"/>
        </w:rPr>
        <w:t xml:space="preserve"> </w:t>
      </w:r>
      <w:r>
        <w:rPr>
          <w:sz w:val="18"/>
        </w:rPr>
        <w:t>Panel</w:t>
      </w:r>
      <w:r>
        <w:rPr>
          <w:spacing w:val="-3"/>
          <w:sz w:val="18"/>
        </w:rPr>
        <w:t xml:space="preserve"> </w:t>
      </w:r>
      <w:r>
        <w:rPr>
          <w:sz w:val="18"/>
        </w:rPr>
        <w:t>Report,</w:t>
      </w:r>
      <w:r>
        <w:rPr>
          <w:spacing w:val="-1"/>
          <w:sz w:val="18"/>
        </w:rPr>
        <w:t xml:space="preserve"> </w:t>
      </w:r>
      <w:r>
        <w:rPr>
          <w:i/>
          <w:sz w:val="18"/>
        </w:rPr>
        <w:t>US</w:t>
      </w:r>
      <w:r>
        <w:rPr>
          <w:i/>
          <w:spacing w:val="-6"/>
          <w:sz w:val="18"/>
        </w:rPr>
        <w:t xml:space="preserve"> </w:t>
      </w:r>
      <w:r>
        <w:rPr>
          <w:i/>
          <w:sz w:val="18"/>
        </w:rPr>
        <w:t>–</w:t>
      </w:r>
      <w:r>
        <w:rPr>
          <w:i/>
          <w:spacing w:val="1"/>
          <w:sz w:val="18"/>
        </w:rPr>
        <w:t xml:space="preserve"> </w:t>
      </w:r>
      <w:r>
        <w:rPr>
          <w:i/>
          <w:sz w:val="18"/>
        </w:rPr>
        <w:t>Steel</w:t>
      </w:r>
      <w:r>
        <w:rPr>
          <w:i/>
          <w:spacing w:val="-3"/>
          <w:sz w:val="18"/>
        </w:rPr>
        <w:t xml:space="preserve"> </w:t>
      </w:r>
      <w:r>
        <w:rPr>
          <w:i/>
          <w:sz w:val="18"/>
        </w:rPr>
        <w:t>Plate</w:t>
      </w:r>
      <w:r>
        <w:rPr>
          <w:sz w:val="18"/>
        </w:rPr>
        <w:t>,</w:t>
      </w:r>
      <w:r>
        <w:rPr>
          <w:spacing w:val="-1"/>
          <w:sz w:val="18"/>
        </w:rPr>
        <w:t xml:space="preserve"> </w:t>
      </w:r>
      <w:r>
        <w:rPr>
          <w:sz w:val="18"/>
        </w:rPr>
        <w:t>para.</w:t>
      </w:r>
      <w:r>
        <w:rPr>
          <w:spacing w:val="-3"/>
          <w:sz w:val="18"/>
        </w:rPr>
        <w:t xml:space="preserve"> </w:t>
      </w:r>
      <w:r>
        <w:rPr>
          <w:spacing w:val="-4"/>
          <w:sz w:val="18"/>
        </w:rPr>
        <w:t>7.57.</w:t>
      </w:r>
    </w:p>
    <w:p w14:paraId="1D6FD3B8" w14:textId="77777777" w:rsidR="00BD462C" w:rsidRDefault="00033D0F">
      <w:pPr>
        <w:spacing w:line="218" w:lineRule="exact"/>
        <w:ind w:left="135"/>
        <w:rPr>
          <w:sz w:val="18"/>
        </w:rPr>
      </w:pPr>
      <w:bookmarkStart w:id="171" w:name="_bookmark146"/>
      <w:bookmarkEnd w:id="171"/>
      <w:r>
        <w:rPr>
          <w:position w:val="5"/>
          <w:sz w:val="12"/>
        </w:rPr>
        <w:t>111</w:t>
      </w:r>
      <w:r>
        <w:rPr>
          <w:spacing w:val="14"/>
          <w:position w:val="5"/>
          <w:sz w:val="12"/>
        </w:rPr>
        <w:t xml:space="preserve"> </w:t>
      </w:r>
      <w:r>
        <w:rPr>
          <w:sz w:val="18"/>
        </w:rPr>
        <w:t>Panel</w:t>
      </w:r>
      <w:r>
        <w:rPr>
          <w:spacing w:val="-2"/>
          <w:sz w:val="18"/>
        </w:rPr>
        <w:t xml:space="preserve"> </w:t>
      </w:r>
      <w:r>
        <w:rPr>
          <w:sz w:val="18"/>
        </w:rPr>
        <w:t>Report,</w:t>
      </w:r>
      <w:r>
        <w:rPr>
          <w:spacing w:val="-2"/>
          <w:sz w:val="18"/>
        </w:rPr>
        <w:t xml:space="preserve"> </w:t>
      </w:r>
      <w:r>
        <w:rPr>
          <w:i/>
          <w:sz w:val="18"/>
        </w:rPr>
        <w:t>China</w:t>
      </w:r>
      <w:r>
        <w:rPr>
          <w:i/>
          <w:spacing w:val="-3"/>
          <w:sz w:val="18"/>
        </w:rPr>
        <w:t xml:space="preserve"> </w:t>
      </w:r>
      <w:r>
        <w:rPr>
          <w:i/>
          <w:sz w:val="18"/>
        </w:rPr>
        <w:t>–</w:t>
      </w:r>
      <w:r>
        <w:rPr>
          <w:i/>
          <w:spacing w:val="-4"/>
          <w:sz w:val="18"/>
        </w:rPr>
        <w:t xml:space="preserve"> </w:t>
      </w:r>
      <w:r>
        <w:rPr>
          <w:i/>
          <w:sz w:val="18"/>
        </w:rPr>
        <w:t>Broiler</w:t>
      </w:r>
      <w:r>
        <w:rPr>
          <w:i/>
          <w:spacing w:val="-5"/>
          <w:sz w:val="18"/>
        </w:rPr>
        <w:t xml:space="preserve"> </w:t>
      </w:r>
      <w:r>
        <w:rPr>
          <w:i/>
          <w:sz w:val="18"/>
        </w:rPr>
        <w:t>Products</w:t>
      </w:r>
      <w:r>
        <w:rPr>
          <w:i/>
          <w:spacing w:val="-9"/>
          <w:sz w:val="18"/>
        </w:rPr>
        <w:t xml:space="preserve"> </w:t>
      </w:r>
      <w:r>
        <w:rPr>
          <w:i/>
          <w:sz w:val="18"/>
        </w:rPr>
        <w:t>(Article</w:t>
      </w:r>
      <w:r>
        <w:rPr>
          <w:i/>
          <w:spacing w:val="-1"/>
          <w:sz w:val="18"/>
        </w:rPr>
        <w:t xml:space="preserve"> </w:t>
      </w:r>
      <w:r>
        <w:rPr>
          <w:i/>
          <w:sz w:val="18"/>
        </w:rPr>
        <w:t>21.5</w:t>
      </w:r>
      <w:r>
        <w:rPr>
          <w:i/>
          <w:spacing w:val="-5"/>
          <w:sz w:val="18"/>
        </w:rPr>
        <w:t xml:space="preserve"> </w:t>
      </w:r>
      <w:r>
        <w:rPr>
          <w:i/>
          <w:sz w:val="18"/>
        </w:rPr>
        <w:t>– US)</w:t>
      </w:r>
      <w:r>
        <w:rPr>
          <w:sz w:val="18"/>
        </w:rPr>
        <w:t>,</w:t>
      </w:r>
      <w:r>
        <w:rPr>
          <w:spacing w:val="-2"/>
          <w:sz w:val="18"/>
        </w:rPr>
        <w:t xml:space="preserve"> </w:t>
      </w:r>
      <w:r>
        <w:rPr>
          <w:sz w:val="18"/>
        </w:rPr>
        <w:t>para.</w:t>
      </w:r>
      <w:r>
        <w:rPr>
          <w:spacing w:val="2"/>
          <w:sz w:val="18"/>
        </w:rPr>
        <w:t xml:space="preserve"> </w:t>
      </w:r>
      <w:r>
        <w:rPr>
          <w:sz w:val="18"/>
        </w:rPr>
        <w:t>7.</w:t>
      </w:r>
      <w:r>
        <w:rPr>
          <w:spacing w:val="-3"/>
          <w:sz w:val="18"/>
        </w:rPr>
        <w:t xml:space="preserve"> </w:t>
      </w:r>
      <w:r>
        <w:rPr>
          <w:spacing w:val="-4"/>
          <w:sz w:val="18"/>
        </w:rPr>
        <w:t>343.</w:t>
      </w:r>
    </w:p>
    <w:p w14:paraId="6619FBB4" w14:textId="77777777" w:rsidR="00BD462C" w:rsidRDefault="00033D0F">
      <w:pPr>
        <w:spacing w:before="1"/>
        <w:ind w:left="135"/>
        <w:rPr>
          <w:sz w:val="18"/>
        </w:rPr>
      </w:pPr>
      <w:bookmarkStart w:id="172" w:name="_bookmark147"/>
      <w:bookmarkEnd w:id="172"/>
      <w:r>
        <w:rPr>
          <w:position w:val="5"/>
          <w:sz w:val="12"/>
        </w:rPr>
        <w:t>112</w:t>
      </w:r>
      <w:r>
        <w:rPr>
          <w:spacing w:val="16"/>
          <w:position w:val="5"/>
          <w:sz w:val="12"/>
        </w:rPr>
        <w:t xml:space="preserve"> </w:t>
      </w:r>
      <w:r>
        <w:rPr>
          <w:sz w:val="18"/>
        </w:rPr>
        <w:t>Appellate</w:t>
      </w:r>
      <w:r>
        <w:rPr>
          <w:spacing w:val="-7"/>
          <w:sz w:val="18"/>
        </w:rPr>
        <w:t xml:space="preserve"> </w:t>
      </w:r>
      <w:r>
        <w:rPr>
          <w:sz w:val="18"/>
        </w:rPr>
        <w:t>Body</w:t>
      </w:r>
      <w:r>
        <w:rPr>
          <w:spacing w:val="-4"/>
          <w:sz w:val="18"/>
        </w:rPr>
        <w:t xml:space="preserve"> </w:t>
      </w:r>
      <w:r>
        <w:rPr>
          <w:sz w:val="18"/>
        </w:rPr>
        <w:t>Report,</w:t>
      </w:r>
      <w:r>
        <w:rPr>
          <w:spacing w:val="-5"/>
          <w:sz w:val="18"/>
        </w:rPr>
        <w:t xml:space="preserve"> </w:t>
      </w:r>
      <w:r>
        <w:rPr>
          <w:i/>
          <w:sz w:val="18"/>
        </w:rPr>
        <w:t>Mexico –</w:t>
      </w:r>
      <w:r>
        <w:rPr>
          <w:i/>
          <w:spacing w:val="-2"/>
          <w:sz w:val="18"/>
        </w:rPr>
        <w:t xml:space="preserve"> </w:t>
      </w:r>
      <w:r>
        <w:rPr>
          <w:i/>
          <w:sz w:val="18"/>
        </w:rPr>
        <w:t>Anti-Dumping</w:t>
      </w:r>
      <w:r>
        <w:rPr>
          <w:i/>
          <w:spacing w:val="-5"/>
          <w:sz w:val="18"/>
        </w:rPr>
        <w:t xml:space="preserve"> </w:t>
      </w:r>
      <w:r>
        <w:rPr>
          <w:i/>
          <w:sz w:val="18"/>
        </w:rPr>
        <w:t>Measures</w:t>
      </w:r>
      <w:r>
        <w:rPr>
          <w:i/>
          <w:spacing w:val="-7"/>
          <w:sz w:val="18"/>
        </w:rPr>
        <w:t xml:space="preserve"> </w:t>
      </w:r>
      <w:r>
        <w:rPr>
          <w:i/>
          <w:sz w:val="18"/>
        </w:rPr>
        <w:t>on</w:t>
      </w:r>
      <w:r>
        <w:rPr>
          <w:i/>
          <w:spacing w:val="-6"/>
          <w:sz w:val="18"/>
        </w:rPr>
        <w:t xml:space="preserve"> </w:t>
      </w:r>
      <w:r>
        <w:rPr>
          <w:i/>
          <w:sz w:val="18"/>
        </w:rPr>
        <w:t>Rice</w:t>
      </w:r>
      <w:r>
        <w:rPr>
          <w:sz w:val="18"/>
        </w:rPr>
        <w:t>,</w:t>
      </w:r>
      <w:r>
        <w:rPr>
          <w:spacing w:val="-5"/>
          <w:sz w:val="18"/>
        </w:rPr>
        <w:t xml:space="preserve"> </w:t>
      </w:r>
      <w:r>
        <w:rPr>
          <w:sz w:val="18"/>
        </w:rPr>
        <w:t>para.</w:t>
      </w:r>
      <w:r>
        <w:rPr>
          <w:spacing w:val="4"/>
          <w:sz w:val="18"/>
        </w:rPr>
        <w:t xml:space="preserve"> </w:t>
      </w:r>
      <w:r>
        <w:rPr>
          <w:spacing w:val="-4"/>
          <w:sz w:val="18"/>
        </w:rPr>
        <w:t>287.</w:t>
      </w:r>
    </w:p>
    <w:p w14:paraId="0DDA1BA2" w14:textId="77777777" w:rsidR="00BD462C" w:rsidRDefault="00033D0F">
      <w:pPr>
        <w:spacing w:before="1"/>
        <w:ind w:left="135"/>
        <w:rPr>
          <w:sz w:val="18"/>
        </w:rPr>
      </w:pPr>
      <w:bookmarkStart w:id="173" w:name="_bookmark148"/>
      <w:bookmarkEnd w:id="173"/>
      <w:r>
        <w:rPr>
          <w:position w:val="5"/>
          <w:sz w:val="12"/>
        </w:rPr>
        <w:t>113</w:t>
      </w:r>
      <w:r>
        <w:rPr>
          <w:spacing w:val="14"/>
          <w:position w:val="5"/>
          <w:sz w:val="12"/>
        </w:rPr>
        <w:t xml:space="preserve"> </w:t>
      </w:r>
      <w:r>
        <w:rPr>
          <w:sz w:val="18"/>
        </w:rPr>
        <w:t>Panel</w:t>
      </w:r>
      <w:r>
        <w:rPr>
          <w:spacing w:val="-2"/>
          <w:sz w:val="18"/>
        </w:rPr>
        <w:t xml:space="preserve"> </w:t>
      </w:r>
      <w:r>
        <w:rPr>
          <w:sz w:val="18"/>
        </w:rPr>
        <w:t>Report,</w:t>
      </w:r>
      <w:r>
        <w:rPr>
          <w:spacing w:val="-2"/>
          <w:sz w:val="18"/>
        </w:rPr>
        <w:t xml:space="preserve"> </w:t>
      </w:r>
      <w:r>
        <w:rPr>
          <w:i/>
          <w:sz w:val="18"/>
        </w:rPr>
        <w:t>China</w:t>
      </w:r>
      <w:r>
        <w:rPr>
          <w:i/>
          <w:spacing w:val="-3"/>
          <w:sz w:val="18"/>
        </w:rPr>
        <w:t xml:space="preserve"> </w:t>
      </w:r>
      <w:r>
        <w:rPr>
          <w:i/>
          <w:sz w:val="18"/>
        </w:rPr>
        <w:t>–</w:t>
      </w:r>
      <w:r>
        <w:rPr>
          <w:i/>
          <w:spacing w:val="-4"/>
          <w:sz w:val="18"/>
        </w:rPr>
        <w:t xml:space="preserve"> </w:t>
      </w:r>
      <w:r>
        <w:rPr>
          <w:i/>
          <w:sz w:val="18"/>
        </w:rPr>
        <w:t>Broiler</w:t>
      </w:r>
      <w:r>
        <w:rPr>
          <w:i/>
          <w:spacing w:val="-5"/>
          <w:sz w:val="18"/>
        </w:rPr>
        <w:t xml:space="preserve"> </w:t>
      </w:r>
      <w:r>
        <w:rPr>
          <w:i/>
          <w:sz w:val="18"/>
        </w:rPr>
        <w:t>Products</w:t>
      </w:r>
      <w:r>
        <w:rPr>
          <w:sz w:val="18"/>
        </w:rPr>
        <w:t>,</w:t>
      </w:r>
      <w:r>
        <w:rPr>
          <w:spacing w:val="-2"/>
          <w:sz w:val="18"/>
        </w:rPr>
        <w:t xml:space="preserve"> </w:t>
      </w:r>
      <w:r>
        <w:rPr>
          <w:sz w:val="18"/>
        </w:rPr>
        <w:t>para.</w:t>
      </w:r>
      <w:r>
        <w:rPr>
          <w:spacing w:val="-3"/>
          <w:sz w:val="18"/>
        </w:rPr>
        <w:t xml:space="preserve"> </w:t>
      </w:r>
      <w:r>
        <w:rPr>
          <w:spacing w:val="-2"/>
          <w:sz w:val="18"/>
        </w:rPr>
        <w:t>7.357.</w:t>
      </w:r>
    </w:p>
    <w:p w14:paraId="0362D745" w14:textId="77777777" w:rsidR="00BD462C" w:rsidRDefault="00033D0F">
      <w:pPr>
        <w:spacing w:before="1"/>
        <w:ind w:left="136" w:right="923" w:hanging="1"/>
        <w:rPr>
          <w:sz w:val="18"/>
        </w:rPr>
      </w:pPr>
      <w:bookmarkStart w:id="174" w:name="_bookmark149"/>
      <w:bookmarkEnd w:id="174"/>
      <w:r>
        <w:rPr>
          <w:position w:val="5"/>
          <w:sz w:val="12"/>
        </w:rPr>
        <w:t>114</w:t>
      </w:r>
      <w:r>
        <w:rPr>
          <w:spacing w:val="21"/>
          <w:position w:val="5"/>
          <w:sz w:val="12"/>
        </w:rPr>
        <w:t xml:space="preserve"> </w:t>
      </w:r>
      <w:r>
        <w:rPr>
          <w:sz w:val="18"/>
        </w:rPr>
        <w:t xml:space="preserve">Panel Report, </w:t>
      </w:r>
      <w:r>
        <w:rPr>
          <w:i/>
          <w:sz w:val="18"/>
        </w:rPr>
        <w:t>US – Steel Plate</w:t>
      </w:r>
      <w:r>
        <w:rPr>
          <w:sz w:val="18"/>
        </w:rPr>
        <w:t xml:space="preserve">, para. 7.60. See also Australia's opening statement at the first meeting of the Panel, para. </w:t>
      </w:r>
      <w:r>
        <w:rPr>
          <w:spacing w:val="-4"/>
          <w:sz w:val="18"/>
        </w:rPr>
        <w:t>50.</w:t>
      </w:r>
    </w:p>
    <w:p w14:paraId="01E91523" w14:textId="77777777" w:rsidR="00BD462C" w:rsidRDefault="00BD462C">
      <w:pPr>
        <w:rPr>
          <w:sz w:val="18"/>
        </w:rPr>
        <w:sectPr w:rsidR="00BD462C">
          <w:pgSz w:w="11910" w:h="16840"/>
          <w:pgMar w:top="860" w:right="500" w:bottom="780" w:left="1280" w:header="566" w:footer="590" w:gutter="0"/>
          <w:cols w:space="720"/>
        </w:sectPr>
      </w:pPr>
    </w:p>
    <w:p w14:paraId="65DC937D"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5A130FF5"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285809EA"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54811CAA" w14:textId="77777777" w:rsidR="00BD462C" w:rsidRDefault="00033D0F">
      <w:pPr>
        <w:pStyle w:val="Heading3"/>
        <w:numPr>
          <w:ilvl w:val="0"/>
          <w:numId w:val="38"/>
        </w:numPr>
        <w:tabs>
          <w:tab w:val="left" w:pos="2689"/>
          <w:tab w:val="left" w:pos="2690"/>
        </w:tabs>
      </w:pPr>
      <w:bookmarkStart w:id="175" w:name="2._There_is_no_evidence_on_the_record_of"/>
      <w:bookmarkStart w:id="176" w:name="_bookmark150"/>
      <w:bookmarkEnd w:id="175"/>
      <w:bookmarkEnd w:id="176"/>
      <w:r>
        <w:t>There</w:t>
      </w:r>
      <w:r>
        <w:rPr>
          <w:spacing w:val="-4"/>
        </w:rPr>
        <w:t xml:space="preserve"> </w:t>
      </w:r>
      <w:r>
        <w:t>is</w:t>
      </w:r>
      <w:r>
        <w:rPr>
          <w:spacing w:val="-3"/>
        </w:rPr>
        <w:t xml:space="preserve"> </w:t>
      </w:r>
      <w:r>
        <w:t>no</w:t>
      </w:r>
      <w:r>
        <w:rPr>
          <w:spacing w:val="-2"/>
        </w:rPr>
        <w:t xml:space="preserve"> </w:t>
      </w:r>
      <w:r>
        <w:t>evidence</w:t>
      </w:r>
      <w:r>
        <w:rPr>
          <w:spacing w:val="-4"/>
        </w:rPr>
        <w:t xml:space="preserve"> </w:t>
      </w:r>
      <w:r>
        <w:t>on</w:t>
      </w:r>
      <w:r>
        <w:rPr>
          <w:spacing w:val="-1"/>
        </w:rPr>
        <w:t xml:space="preserve"> </w:t>
      </w:r>
      <w:r>
        <w:t>the</w:t>
      </w:r>
      <w:r>
        <w:rPr>
          <w:spacing w:val="-4"/>
        </w:rPr>
        <w:t xml:space="preserve"> </w:t>
      </w:r>
      <w:r>
        <w:t>record</w:t>
      </w:r>
      <w:r>
        <w:rPr>
          <w:spacing w:val="-2"/>
        </w:rPr>
        <w:t xml:space="preserve"> </w:t>
      </w:r>
      <w:r>
        <w:t>of</w:t>
      </w:r>
      <w:r>
        <w:rPr>
          <w:spacing w:val="-2"/>
        </w:rPr>
        <w:t xml:space="preserve"> </w:t>
      </w:r>
      <w:r>
        <w:t>a</w:t>
      </w:r>
      <w:r>
        <w:rPr>
          <w:spacing w:val="-1"/>
        </w:rPr>
        <w:t xml:space="preserve"> </w:t>
      </w:r>
      <w:r>
        <w:t>"holistic</w:t>
      </w:r>
      <w:r>
        <w:rPr>
          <w:spacing w:val="3"/>
        </w:rPr>
        <w:t xml:space="preserve"> </w:t>
      </w:r>
      <w:r>
        <w:rPr>
          <w:spacing w:val="-2"/>
        </w:rPr>
        <w:t>analysis"</w:t>
      </w:r>
    </w:p>
    <w:p w14:paraId="78358A9C" w14:textId="77777777" w:rsidR="00BD462C" w:rsidRDefault="00BD462C">
      <w:pPr>
        <w:pStyle w:val="BodyText"/>
        <w:spacing w:before="7"/>
        <w:rPr>
          <w:b/>
          <w:sz w:val="20"/>
        </w:rPr>
      </w:pPr>
    </w:p>
    <w:p w14:paraId="39136F3E" w14:textId="2E8F69B3" w:rsidR="00BD462C" w:rsidRDefault="00033D0F" w:rsidP="00652F97">
      <w:pPr>
        <w:pStyle w:val="BodyText"/>
        <w:numPr>
          <w:ilvl w:val="0"/>
          <w:numId w:val="68"/>
        </w:numPr>
        <w:spacing w:before="56" w:line="360" w:lineRule="auto"/>
        <w:ind w:right="916"/>
        <w:jc w:val="both"/>
      </w:pPr>
      <w:r>
        <w:rPr>
          <w:position w:val="1"/>
        </w:rPr>
        <w:t>The concept of a "holistic analysis" appears for the first time in China's submissions</w:t>
      </w:r>
      <w:r>
        <w:rPr>
          <w:spacing w:val="40"/>
          <w:position w:val="1"/>
        </w:rPr>
        <w:t xml:space="preserve"> </w:t>
      </w:r>
      <w:r>
        <w:t xml:space="preserve">as </w:t>
      </w:r>
      <w:r>
        <w:rPr>
          <w:i/>
        </w:rPr>
        <w:t xml:space="preserve">ex post facto </w:t>
      </w:r>
      <w:r>
        <w:t>argument. There is no evidence of it on MOFCOM's record or in its determinations, nor reference to any comparable concept or mode of reasoning.</w:t>
      </w:r>
      <w:r>
        <w:rPr>
          <w:spacing w:val="-27"/>
        </w:rPr>
        <w:t xml:space="preserve"> </w:t>
      </w:r>
      <w:hyperlink w:anchor="_bookmark151" w:history="1">
        <w:r>
          <w:rPr>
            <w:vertAlign w:val="superscript"/>
          </w:rPr>
          <w:t>115</w:t>
        </w:r>
      </w:hyperlink>
    </w:p>
    <w:p w14:paraId="399F7F02" w14:textId="77777777" w:rsidR="00BD462C" w:rsidRDefault="00BD462C">
      <w:pPr>
        <w:pStyle w:val="BodyText"/>
        <w:spacing w:before="6"/>
        <w:rPr>
          <w:sz w:val="8"/>
        </w:rPr>
      </w:pPr>
    </w:p>
    <w:p w14:paraId="36D82F44" w14:textId="376BA50D" w:rsidR="00BD462C" w:rsidRDefault="00033D0F" w:rsidP="00652F97">
      <w:pPr>
        <w:pStyle w:val="BodyText"/>
        <w:numPr>
          <w:ilvl w:val="0"/>
          <w:numId w:val="68"/>
        </w:numPr>
        <w:spacing w:before="56" w:line="360" w:lineRule="auto"/>
        <w:ind w:right="912"/>
        <w:jc w:val="both"/>
      </w:pPr>
      <w:r>
        <w:rPr>
          <w:position w:val="1"/>
        </w:rPr>
        <w:t>The</w:t>
      </w:r>
      <w:r>
        <w:rPr>
          <w:spacing w:val="80"/>
          <w:position w:val="1"/>
        </w:rPr>
        <w:t xml:space="preserve"> </w:t>
      </w:r>
      <w:r>
        <w:rPr>
          <w:position w:val="1"/>
        </w:rPr>
        <w:t>only</w:t>
      </w:r>
      <w:r>
        <w:rPr>
          <w:spacing w:val="80"/>
          <w:position w:val="1"/>
        </w:rPr>
        <w:t xml:space="preserve"> </w:t>
      </w:r>
      <w:r>
        <w:rPr>
          <w:position w:val="1"/>
        </w:rPr>
        <w:t>evidence</w:t>
      </w:r>
      <w:r>
        <w:rPr>
          <w:spacing w:val="80"/>
          <w:position w:val="1"/>
        </w:rPr>
        <w:t xml:space="preserve"> </w:t>
      </w:r>
      <w:r>
        <w:rPr>
          <w:position w:val="1"/>
        </w:rPr>
        <w:t>to</w:t>
      </w:r>
      <w:r>
        <w:rPr>
          <w:spacing w:val="80"/>
          <w:position w:val="1"/>
        </w:rPr>
        <w:t xml:space="preserve"> </w:t>
      </w:r>
      <w:r>
        <w:rPr>
          <w:position w:val="1"/>
        </w:rPr>
        <w:t>which</w:t>
      </w:r>
      <w:r>
        <w:rPr>
          <w:spacing w:val="80"/>
          <w:position w:val="1"/>
        </w:rPr>
        <w:t xml:space="preserve"> </w:t>
      </w:r>
      <w:r>
        <w:rPr>
          <w:position w:val="1"/>
        </w:rPr>
        <w:t>China</w:t>
      </w:r>
      <w:r>
        <w:rPr>
          <w:spacing w:val="80"/>
          <w:position w:val="1"/>
        </w:rPr>
        <w:t xml:space="preserve"> </w:t>
      </w:r>
      <w:r>
        <w:rPr>
          <w:position w:val="1"/>
        </w:rPr>
        <w:t>refers</w:t>
      </w:r>
      <w:r>
        <w:rPr>
          <w:spacing w:val="80"/>
          <w:position w:val="1"/>
        </w:rPr>
        <w:t xml:space="preserve"> </w:t>
      </w:r>
      <w:r>
        <w:rPr>
          <w:position w:val="1"/>
        </w:rPr>
        <w:t>is</w:t>
      </w:r>
      <w:r>
        <w:rPr>
          <w:spacing w:val="80"/>
          <w:position w:val="1"/>
        </w:rPr>
        <w:t xml:space="preserve"> </w:t>
      </w:r>
      <w:r>
        <w:rPr>
          <w:position w:val="1"/>
        </w:rPr>
        <w:t>MOFCOM's</w:t>
      </w:r>
      <w:r>
        <w:rPr>
          <w:spacing w:val="80"/>
          <w:position w:val="1"/>
        </w:rPr>
        <w:t xml:space="preserve"> </w:t>
      </w:r>
      <w:r>
        <w:rPr>
          <w:position w:val="1"/>
        </w:rPr>
        <w:t>use</w:t>
      </w:r>
      <w:r>
        <w:rPr>
          <w:spacing w:val="80"/>
          <w:position w:val="1"/>
        </w:rPr>
        <w:t xml:space="preserve"> </w:t>
      </w:r>
      <w:r>
        <w:rPr>
          <w:position w:val="1"/>
        </w:rPr>
        <w:t>of</w:t>
      </w:r>
      <w:r>
        <w:rPr>
          <w:spacing w:val="80"/>
          <w:position w:val="1"/>
        </w:rPr>
        <w:t xml:space="preserve"> </w:t>
      </w:r>
      <w:r>
        <w:rPr>
          <w:position w:val="1"/>
        </w:rPr>
        <w:t>the</w:t>
      </w:r>
      <w:r>
        <w:rPr>
          <w:spacing w:val="80"/>
          <w:position w:val="1"/>
        </w:rPr>
        <w:t xml:space="preserve"> </w:t>
      </w:r>
      <w:r>
        <w:rPr>
          <w:position w:val="1"/>
        </w:rPr>
        <w:t>phrase</w:t>
      </w:r>
      <w:r>
        <w:rPr>
          <w:spacing w:val="40"/>
          <w:position w:val="1"/>
        </w:rPr>
        <w:t xml:space="preserve"> </w:t>
      </w:r>
      <w:r>
        <w:t>"in</w:t>
      </w:r>
      <w:r>
        <w:rPr>
          <w:spacing w:val="-14"/>
        </w:rPr>
        <w:t xml:space="preserve"> </w:t>
      </w:r>
      <w:r>
        <w:t>summary", and "to sum up".</w:t>
      </w:r>
      <w:r>
        <w:rPr>
          <w:spacing w:val="-14"/>
        </w:rPr>
        <w:t xml:space="preserve"> </w:t>
      </w:r>
      <w:hyperlink w:anchor="_bookmark152" w:history="1">
        <w:r>
          <w:rPr>
            <w:vertAlign w:val="superscript"/>
          </w:rPr>
          <w:t>116</w:t>
        </w:r>
      </w:hyperlink>
      <w:r>
        <w:t xml:space="preserve"> A "summary" is a shortened account of what has come before.</w:t>
      </w:r>
      <w:r>
        <w:rPr>
          <w:spacing w:val="-14"/>
        </w:rPr>
        <w:t xml:space="preserve"> </w:t>
      </w:r>
      <w:hyperlink w:anchor="_bookmark153" w:history="1">
        <w:r>
          <w:rPr>
            <w:vertAlign w:val="superscript"/>
          </w:rPr>
          <w:t>117</w:t>
        </w:r>
      </w:hyperlink>
      <w:r>
        <w:t xml:space="preserve"> When used in the phrase "in summary", it indicates a conclusion. As such, these phrases signpost MOFCOM's concluding summary remarks on the issues addressed in the preceding sections of the determination. This is clear from the context in which these references appear in MOFCOM's Preliminary and Final Determinations.</w:t>
      </w:r>
      <w:hyperlink w:anchor="_bookmark154" w:history="1">
        <w:r>
          <w:rPr>
            <w:vertAlign w:val="superscript"/>
          </w:rPr>
          <w:t>118</w:t>
        </w:r>
      </w:hyperlink>
      <w:r>
        <w:t xml:space="preserve"> In no way does MOFCOM's use of these phrases explain that it had undertaken an assessment China now refers to as a "holistic analysis", any comparable mode of reasoning, or exactly what such an assessment entailed.</w:t>
      </w:r>
    </w:p>
    <w:p w14:paraId="1E9A1EBE" w14:textId="77777777" w:rsidR="00BD462C" w:rsidRDefault="00BD462C">
      <w:pPr>
        <w:pStyle w:val="BodyText"/>
        <w:spacing w:before="10"/>
        <w:rPr>
          <w:sz w:val="8"/>
        </w:rPr>
      </w:pPr>
    </w:p>
    <w:p w14:paraId="199A2D1A" w14:textId="6213B9D4" w:rsidR="00BD462C" w:rsidRDefault="00033D0F" w:rsidP="00652F97">
      <w:pPr>
        <w:pStyle w:val="BodyText"/>
        <w:numPr>
          <w:ilvl w:val="0"/>
          <w:numId w:val="68"/>
        </w:numPr>
        <w:spacing w:before="56" w:line="360" w:lineRule="auto"/>
        <w:ind w:right="914"/>
        <w:jc w:val="both"/>
      </w:pPr>
      <w:r>
        <w:rPr>
          <w:position w:val="1"/>
        </w:rPr>
        <w:t>China</w:t>
      </w:r>
      <w:r>
        <w:rPr>
          <w:spacing w:val="-7"/>
          <w:position w:val="1"/>
        </w:rPr>
        <w:t xml:space="preserve"> </w:t>
      </w:r>
      <w:r>
        <w:rPr>
          <w:position w:val="1"/>
        </w:rPr>
        <w:t>also</w:t>
      </w:r>
      <w:r>
        <w:rPr>
          <w:spacing w:val="-9"/>
          <w:position w:val="1"/>
        </w:rPr>
        <w:t xml:space="preserve"> </w:t>
      </w:r>
      <w:r>
        <w:rPr>
          <w:position w:val="1"/>
        </w:rPr>
        <w:t>contends</w:t>
      </w:r>
      <w:r>
        <w:rPr>
          <w:spacing w:val="-5"/>
          <w:position w:val="1"/>
        </w:rPr>
        <w:t xml:space="preserve"> </w:t>
      </w:r>
      <w:r>
        <w:rPr>
          <w:position w:val="1"/>
        </w:rPr>
        <w:t>that</w:t>
      </w:r>
      <w:r>
        <w:rPr>
          <w:spacing w:val="-6"/>
          <w:position w:val="1"/>
        </w:rPr>
        <w:t xml:space="preserve"> </w:t>
      </w:r>
      <w:r>
        <w:rPr>
          <w:position w:val="1"/>
        </w:rPr>
        <w:t>certain</w:t>
      </w:r>
      <w:r>
        <w:rPr>
          <w:spacing w:val="-8"/>
          <w:position w:val="1"/>
        </w:rPr>
        <w:t xml:space="preserve"> </w:t>
      </w:r>
      <w:r>
        <w:rPr>
          <w:position w:val="1"/>
        </w:rPr>
        <w:t>issues</w:t>
      </w:r>
      <w:r>
        <w:rPr>
          <w:spacing w:val="-5"/>
          <w:position w:val="1"/>
        </w:rPr>
        <w:t xml:space="preserve"> </w:t>
      </w:r>
      <w:r>
        <w:rPr>
          <w:position w:val="1"/>
        </w:rPr>
        <w:t>were</w:t>
      </w:r>
      <w:r>
        <w:rPr>
          <w:spacing w:val="-6"/>
          <w:position w:val="1"/>
        </w:rPr>
        <w:t xml:space="preserve"> </w:t>
      </w:r>
      <w:r>
        <w:rPr>
          <w:position w:val="1"/>
        </w:rPr>
        <w:t>of</w:t>
      </w:r>
      <w:r>
        <w:rPr>
          <w:spacing w:val="-3"/>
          <w:position w:val="1"/>
        </w:rPr>
        <w:t xml:space="preserve"> </w:t>
      </w:r>
      <w:r>
        <w:rPr>
          <w:position w:val="1"/>
        </w:rPr>
        <w:t>"little</w:t>
      </w:r>
      <w:r>
        <w:rPr>
          <w:spacing w:val="-6"/>
          <w:position w:val="1"/>
        </w:rPr>
        <w:t xml:space="preserve"> </w:t>
      </w:r>
      <w:r>
        <w:rPr>
          <w:position w:val="1"/>
        </w:rPr>
        <w:t>to</w:t>
      </w:r>
      <w:r>
        <w:rPr>
          <w:spacing w:val="-8"/>
          <w:position w:val="1"/>
        </w:rPr>
        <w:t xml:space="preserve"> </w:t>
      </w:r>
      <w:r>
        <w:rPr>
          <w:position w:val="1"/>
        </w:rPr>
        <w:t>no</w:t>
      </w:r>
      <w:r>
        <w:rPr>
          <w:spacing w:val="-4"/>
          <w:position w:val="1"/>
        </w:rPr>
        <w:t xml:space="preserve"> </w:t>
      </w:r>
      <w:r>
        <w:rPr>
          <w:position w:val="1"/>
        </w:rPr>
        <w:t>relevance"</w:t>
      </w:r>
      <w:r>
        <w:rPr>
          <w:spacing w:val="-7"/>
          <w:position w:val="1"/>
        </w:rPr>
        <w:t xml:space="preserve"> </w:t>
      </w:r>
      <w:r>
        <w:rPr>
          <w:position w:val="1"/>
        </w:rPr>
        <w:t>to</w:t>
      </w:r>
      <w:r>
        <w:rPr>
          <w:spacing w:val="-8"/>
          <w:position w:val="1"/>
        </w:rPr>
        <w:t xml:space="preserve"> </w:t>
      </w:r>
      <w:r>
        <w:rPr>
          <w:position w:val="1"/>
        </w:rPr>
        <w:t xml:space="preserve">MOFCOM's </w:t>
      </w:r>
      <w:r>
        <w:t>ultimate determination to apply facts available, while others were "major issues".</w:t>
      </w:r>
      <w:hyperlink w:anchor="_bookmark155" w:history="1">
        <w:r>
          <w:rPr>
            <w:vertAlign w:val="superscript"/>
          </w:rPr>
          <w:t>119</w:t>
        </w:r>
      </w:hyperlink>
      <w:r>
        <w:t xml:space="preserve"> </w:t>
      </w:r>
      <w:r>
        <w:rPr>
          <w:i/>
        </w:rPr>
        <w:t xml:space="preserve">Even if </w:t>
      </w:r>
      <w:r>
        <w:t>the</w:t>
      </w:r>
      <w:r>
        <w:rPr>
          <w:spacing w:val="-8"/>
        </w:rPr>
        <w:t xml:space="preserve"> </w:t>
      </w:r>
      <w:r>
        <w:t>phrases</w:t>
      </w:r>
      <w:r>
        <w:rPr>
          <w:spacing w:val="-7"/>
        </w:rPr>
        <w:t xml:space="preserve"> </w:t>
      </w:r>
      <w:r>
        <w:t>"in</w:t>
      </w:r>
      <w:r>
        <w:rPr>
          <w:spacing w:val="-9"/>
        </w:rPr>
        <w:t xml:space="preserve"> </w:t>
      </w:r>
      <w:r>
        <w:t>summary"</w:t>
      </w:r>
      <w:r>
        <w:rPr>
          <w:spacing w:val="-9"/>
        </w:rPr>
        <w:t xml:space="preserve"> </w:t>
      </w:r>
      <w:r>
        <w:t>and</w:t>
      </w:r>
      <w:r>
        <w:rPr>
          <w:spacing w:val="-9"/>
        </w:rPr>
        <w:t xml:space="preserve"> </w:t>
      </w:r>
      <w:r>
        <w:t>"to</w:t>
      </w:r>
      <w:r>
        <w:rPr>
          <w:spacing w:val="-10"/>
        </w:rPr>
        <w:t xml:space="preserve"> </w:t>
      </w:r>
      <w:r>
        <w:t>sum</w:t>
      </w:r>
      <w:r>
        <w:rPr>
          <w:spacing w:val="-9"/>
        </w:rPr>
        <w:t xml:space="preserve"> </w:t>
      </w:r>
      <w:r>
        <w:t>up"</w:t>
      </w:r>
      <w:r>
        <w:rPr>
          <w:spacing w:val="-9"/>
        </w:rPr>
        <w:t xml:space="preserve"> </w:t>
      </w:r>
      <w:r>
        <w:t>evidenced</w:t>
      </w:r>
      <w:r>
        <w:rPr>
          <w:spacing w:val="-9"/>
        </w:rPr>
        <w:t xml:space="preserve"> </w:t>
      </w:r>
      <w:r>
        <w:t>a</w:t>
      </w:r>
      <w:r>
        <w:rPr>
          <w:spacing w:val="-9"/>
        </w:rPr>
        <w:t xml:space="preserve"> </w:t>
      </w:r>
      <w:r>
        <w:t>"holistic</w:t>
      </w:r>
      <w:r>
        <w:rPr>
          <w:spacing w:val="-9"/>
        </w:rPr>
        <w:t xml:space="preserve"> </w:t>
      </w:r>
      <w:r>
        <w:t>analysis",</w:t>
      </w:r>
      <w:r>
        <w:rPr>
          <w:spacing w:val="-6"/>
        </w:rPr>
        <w:t xml:space="preserve"> </w:t>
      </w:r>
      <w:r>
        <w:t>they</w:t>
      </w:r>
      <w:r>
        <w:rPr>
          <w:spacing w:val="-7"/>
        </w:rPr>
        <w:t xml:space="preserve"> </w:t>
      </w:r>
      <w:r>
        <w:t>do</w:t>
      </w:r>
      <w:r>
        <w:rPr>
          <w:spacing w:val="-10"/>
        </w:rPr>
        <w:t xml:space="preserve"> </w:t>
      </w:r>
      <w:r>
        <w:t>not</w:t>
      </w:r>
      <w:r>
        <w:rPr>
          <w:spacing w:val="-8"/>
        </w:rPr>
        <w:t xml:space="preserve"> </w:t>
      </w:r>
      <w:r>
        <w:t>explain the varying</w:t>
      </w:r>
      <w:r>
        <w:rPr>
          <w:spacing w:val="-1"/>
        </w:rPr>
        <w:t xml:space="preserve"> </w:t>
      </w:r>
      <w:r>
        <w:t xml:space="preserve">levels of importance MOFCOM purportedly assigned to each issue as part of that </w:t>
      </w:r>
      <w:r>
        <w:rPr>
          <w:spacing w:val="-2"/>
        </w:rPr>
        <w:t>analysis.</w:t>
      </w:r>
    </w:p>
    <w:p w14:paraId="4AC0FC43" w14:textId="77777777" w:rsidR="00BD462C" w:rsidRDefault="00BD462C">
      <w:pPr>
        <w:pStyle w:val="BodyText"/>
        <w:spacing w:before="6"/>
        <w:rPr>
          <w:sz w:val="8"/>
        </w:rPr>
      </w:pPr>
    </w:p>
    <w:p w14:paraId="689A6A8F" w14:textId="254F300A" w:rsidR="00BD462C" w:rsidRDefault="00033D0F" w:rsidP="00652F97">
      <w:pPr>
        <w:pStyle w:val="BodyText"/>
        <w:numPr>
          <w:ilvl w:val="0"/>
          <w:numId w:val="68"/>
        </w:numPr>
        <w:spacing w:before="56" w:line="357" w:lineRule="auto"/>
        <w:ind w:right="920"/>
        <w:jc w:val="both"/>
      </w:pPr>
      <w:r>
        <w:rPr>
          <w:position w:val="1"/>
        </w:rPr>
        <w:t xml:space="preserve">For example, China argues that evidence on the following elements of the dumping </w:t>
      </w:r>
      <w:r>
        <w:t>calculation was of limited or no relevance, but fails to identify where on the record of the investigation MOFCOM made such findings about relative weight:</w:t>
      </w:r>
    </w:p>
    <w:p w14:paraId="06F6D016" w14:textId="77777777" w:rsidR="00BD462C" w:rsidRDefault="00BD462C">
      <w:pPr>
        <w:pStyle w:val="BodyText"/>
        <w:rPr>
          <w:sz w:val="20"/>
        </w:rPr>
      </w:pPr>
    </w:p>
    <w:p w14:paraId="45999131" w14:textId="77777777" w:rsidR="00BD462C" w:rsidRDefault="00BD462C">
      <w:pPr>
        <w:pStyle w:val="BodyText"/>
        <w:rPr>
          <w:sz w:val="20"/>
        </w:rPr>
      </w:pPr>
    </w:p>
    <w:p w14:paraId="2F63DD4B" w14:textId="77777777" w:rsidR="00BD462C" w:rsidRDefault="00BD462C">
      <w:pPr>
        <w:pStyle w:val="BodyText"/>
        <w:rPr>
          <w:sz w:val="20"/>
        </w:rPr>
      </w:pPr>
    </w:p>
    <w:p w14:paraId="252D4D94" w14:textId="77777777" w:rsidR="00BD462C" w:rsidRDefault="00BD462C">
      <w:pPr>
        <w:pStyle w:val="BodyText"/>
        <w:rPr>
          <w:sz w:val="20"/>
        </w:rPr>
      </w:pPr>
    </w:p>
    <w:p w14:paraId="5605FD9B" w14:textId="77777777" w:rsidR="00BD462C" w:rsidRDefault="00BD462C">
      <w:pPr>
        <w:pStyle w:val="BodyText"/>
        <w:rPr>
          <w:sz w:val="20"/>
        </w:rPr>
      </w:pPr>
    </w:p>
    <w:p w14:paraId="3EDF1127" w14:textId="08B58479" w:rsidR="00BD462C" w:rsidRDefault="009A6330">
      <w:pPr>
        <w:pStyle w:val="BodyText"/>
        <w:rPr>
          <w:sz w:val="20"/>
        </w:rPr>
      </w:pPr>
      <w:r>
        <w:rPr>
          <w:noProof/>
        </w:rPr>
        <mc:AlternateContent>
          <mc:Choice Requires="wps">
            <w:drawing>
              <wp:anchor distT="0" distB="0" distL="0" distR="0" simplePos="0" relativeHeight="487981568" behindDoc="1" locked="0" layoutInCell="1" allowOverlap="1" wp14:anchorId="1A08E35F" wp14:editId="5B9193E5">
                <wp:simplePos x="0" y="0"/>
                <wp:positionH relativeFrom="page">
                  <wp:posOffset>812800</wp:posOffset>
                </wp:positionH>
                <wp:positionV relativeFrom="paragraph">
                  <wp:posOffset>323850</wp:posOffset>
                </wp:positionV>
                <wp:extent cx="1828800" cy="8890"/>
                <wp:effectExtent l="0" t="0" r="0" b="0"/>
                <wp:wrapTopAndBottom/>
                <wp:docPr id="740" name="docshape7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FA8FC8" id="docshape712" o:spid="_x0000_s1026" alt="&quot;&quot;" style="position:absolute;margin-left:64pt;margin-top:25.5pt;width:2in;height:.7pt;z-index:-15334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" fillcolor="black" stroked="f">
                <w10:wrap type="topAndBottom" anchorx="page"/>
              </v:rect>
            </w:pict>
          </mc:Fallback>
        </mc:AlternateContent>
      </w:r>
    </w:p>
    <w:p w14:paraId="0EA1E9F3" w14:textId="1F011CAB" w:rsidR="00BD462C" w:rsidRDefault="00BD462C">
      <w:pPr>
        <w:pStyle w:val="BodyText"/>
        <w:spacing w:before="1"/>
        <w:rPr>
          <w:sz w:val="21"/>
        </w:rPr>
      </w:pPr>
    </w:p>
    <w:p w14:paraId="7498CE84" w14:textId="77777777" w:rsidR="00BD462C" w:rsidRDefault="00033D0F">
      <w:pPr>
        <w:spacing w:before="112"/>
        <w:ind w:left="135"/>
        <w:jc w:val="both"/>
        <w:rPr>
          <w:sz w:val="18"/>
        </w:rPr>
      </w:pPr>
      <w:bookmarkStart w:id="177" w:name="_bookmark151"/>
      <w:bookmarkEnd w:id="177"/>
      <w:r>
        <w:rPr>
          <w:position w:val="5"/>
          <w:sz w:val="12"/>
        </w:rPr>
        <w:t>115</w:t>
      </w:r>
      <w:r>
        <w:rPr>
          <w:spacing w:val="14"/>
          <w:position w:val="5"/>
          <w:sz w:val="12"/>
        </w:rPr>
        <w:t xml:space="preserve"> </w:t>
      </w:r>
      <w:r>
        <w:rPr>
          <w:sz w:val="18"/>
        </w:rPr>
        <w:t>See</w:t>
      </w:r>
      <w:r>
        <w:rPr>
          <w:spacing w:val="-5"/>
          <w:sz w:val="18"/>
        </w:rPr>
        <w:t xml:space="preserve"> </w:t>
      </w:r>
      <w:r>
        <w:rPr>
          <w:sz w:val="18"/>
        </w:rPr>
        <w:t>Australia's</w:t>
      </w:r>
      <w:r>
        <w:rPr>
          <w:spacing w:val="-4"/>
          <w:sz w:val="18"/>
        </w:rPr>
        <w:t xml:space="preserve"> </w:t>
      </w:r>
      <w:r>
        <w:rPr>
          <w:sz w:val="18"/>
        </w:rPr>
        <w:t>opening</w:t>
      </w:r>
      <w:r>
        <w:rPr>
          <w:spacing w:val="-4"/>
          <w:sz w:val="18"/>
        </w:rPr>
        <w:t xml:space="preserve"> </w:t>
      </w:r>
      <w:r>
        <w:rPr>
          <w:sz w:val="18"/>
        </w:rPr>
        <w:t>statement at</w:t>
      </w:r>
      <w:r>
        <w:rPr>
          <w:spacing w:val="-3"/>
          <w:sz w:val="18"/>
        </w:rPr>
        <w:t xml:space="preserve"> </w:t>
      </w:r>
      <w:r>
        <w:rPr>
          <w:sz w:val="18"/>
        </w:rPr>
        <w:t>the</w:t>
      </w:r>
      <w:r>
        <w:rPr>
          <w:spacing w:val="-5"/>
          <w:sz w:val="18"/>
        </w:rPr>
        <w:t xml:space="preserve"> </w:t>
      </w:r>
      <w:r>
        <w:rPr>
          <w:sz w:val="18"/>
        </w:rPr>
        <w:t>first</w:t>
      </w:r>
      <w:r>
        <w:rPr>
          <w:spacing w:val="1"/>
          <w:sz w:val="18"/>
        </w:rPr>
        <w:t xml:space="preserve"> </w:t>
      </w:r>
      <w:r>
        <w:rPr>
          <w:sz w:val="18"/>
        </w:rPr>
        <w:t>meeting</w:t>
      </w:r>
      <w:r>
        <w:rPr>
          <w:spacing w:val="-5"/>
          <w:sz w:val="18"/>
        </w:rPr>
        <w:t xml:space="preserve"> </w:t>
      </w:r>
      <w:r>
        <w:rPr>
          <w:sz w:val="18"/>
        </w:rPr>
        <w:t>of</w:t>
      </w:r>
      <w:r>
        <w:rPr>
          <w:spacing w:val="-3"/>
          <w:sz w:val="18"/>
        </w:rPr>
        <w:t xml:space="preserve"> </w:t>
      </w:r>
      <w:r>
        <w:rPr>
          <w:sz w:val="18"/>
        </w:rPr>
        <w:t>the</w:t>
      </w:r>
      <w:r>
        <w:rPr>
          <w:spacing w:val="-5"/>
          <w:sz w:val="18"/>
        </w:rPr>
        <w:t xml:space="preserve"> </w:t>
      </w:r>
      <w:r>
        <w:rPr>
          <w:sz w:val="18"/>
        </w:rPr>
        <w:t>Panel,</w:t>
      </w:r>
      <w:r>
        <w:rPr>
          <w:spacing w:val="3"/>
          <w:sz w:val="18"/>
        </w:rPr>
        <w:t xml:space="preserve"> </w:t>
      </w:r>
      <w:r>
        <w:rPr>
          <w:sz w:val="18"/>
        </w:rPr>
        <w:t>para.</w:t>
      </w:r>
      <w:r>
        <w:rPr>
          <w:spacing w:val="-4"/>
          <w:sz w:val="18"/>
        </w:rPr>
        <w:t xml:space="preserve"> </w:t>
      </w:r>
      <w:r>
        <w:rPr>
          <w:spacing w:val="-5"/>
          <w:sz w:val="18"/>
        </w:rPr>
        <w:t>49.</w:t>
      </w:r>
    </w:p>
    <w:p w14:paraId="2537837C" w14:textId="77777777" w:rsidR="00BD462C" w:rsidRDefault="00033D0F">
      <w:pPr>
        <w:spacing w:before="1"/>
        <w:ind w:left="135"/>
        <w:jc w:val="both"/>
        <w:rPr>
          <w:sz w:val="18"/>
        </w:rPr>
      </w:pPr>
      <w:bookmarkStart w:id="178" w:name="_bookmark152"/>
      <w:bookmarkEnd w:id="178"/>
      <w:r>
        <w:rPr>
          <w:position w:val="5"/>
          <w:sz w:val="12"/>
        </w:rPr>
        <w:t>116</w:t>
      </w:r>
      <w:r>
        <w:rPr>
          <w:spacing w:val="15"/>
          <w:position w:val="5"/>
          <w:sz w:val="12"/>
        </w:rPr>
        <w:t xml:space="preserve"> </w:t>
      </w:r>
      <w:r>
        <w:rPr>
          <w:sz w:val="18"/>
        </w:rPr>
        <w:t>China's</w:t>
      </w:r>
      <w:r>
        <w:rPr>
          <w:spacing w:val="1"/>
          <w:sz w:val="18"/>
        </w:rPr>
        <w:t xml:space="preserve"> </w:t>
      </w:r>
      <w:r>
        <w:rPr>
          <w:sz w:val="18"/>
        </w:rPr>
        <w:t>response</w:t>
      </w:r>
      <w:r>
        <w:rPr>
          <w:spacing w:val="-4"/>
          <w:sz w:val="18"/>
        </w:rPr>
        <w:t xml:space="preserve"> </w:t>
      </w:r>
      <w:r>
        <w:rPr>
          <w:sz w:val="18"/>
        </w:rPr>
        <w:t>to</w:t>
      </w:r>
      <w:r>
        <w:rPr>
          <w:spacing w:val="-9"/>
          <w:sz w:val="18"/>
        </w:rPr>
        <w:t xml:space="preserve"> </w:t>
      </w:r>
      <w:r>
        <w:rPr>
          <w:sz w:val="18"/>
        </w:rPr>
        <w:t>Panel</w:t>
      </w:r>
      <w:r>
        <w:rPr>
          <w:spacing w:val="-2"/>
          <w:sz w:val="18"/>
        </w:rPr>
        <w:t xml:space="preserve"> </w:t>
      </w:r>
      <w:r>
        <w:rPr>
          <w:sz w:val="18"/>
        </w:rPr>
        <w:t>question</w:t>
      </w:r>
      <w:r>
        <w:rPr>
          <w:spacing w:val="-5"/>
          <w:sz w:val="18"/>
        </w:rPr>
        <w:t xml:space="preserve"> </w:t>
      </w:r>
      <w:r>
        <w:rPr>
          <w:sz w:val="18"/>
        </w:rPr>
        <w:t>No.</w:t>
      </w:r>
      <w:r>
        <w:rPr>
          <w:spacing w:val="2"/>
          <w:sz w:val="18"/>
        </w:rPr>
        <w:t xml:space="preserve"> </w:t>
      </w:r>
      <w:r>
        <w:rPr>
          <w:sz w:val="18"/>
        </w:rPr>
        <w:t>2,</w:t>
      </w:r>
      <w:r>
        <w:rPr>
          <w:spacing w:val="-1"/>
          <w:sz w:val="18"/>
        </w:rPr>
        <w:t xml:space="preserve"> </w:t>
      </w:r>
      <w:r>
        <w:rPr>
          <w:sz w:val="18"/>
        </w:rPr>
        <w:t>para.</w:t>
      </w:r>
      <w:r>
        <w:rPr>
          <w:spacing w:val="-3"/>
          <w:sz w:val="18"/>
        </w:rPr>
        <w:t xml:space="preserve"> </w:t>
      </w:r>
      <w:r>
        <w:rPr>
          <w:spacing w:val="-5"/>
          <w:sz w:val="18"/>
        </w:rPr>
        <w:t>2.</w:t>
      </w:r>
    </w:p>
    <w:p w14:paraId="5DBBE451" w14:textId="77777777" w:rsidR="00BD462C" w:rsidRDefault="00033D0F">
      <w:pPr>
        <w:spacing w:before="2" w:line="237" w:lineRule="auto"/>
        <w:ind w:left="136" w:right="913" w:hanging="1"/>
        <w:jc w:val="both"/>
        <w:rPr>
          <w:sz w:val="18"/>
        </w:rPr>
      </w:pPr>
      <w:bookmarkStart w:id="179" w:name="_bookmark153"/>
      <w:bookmarkEnd w:id="179"/>
      <w:r>
        <w:rPr>
          <w:position w:val="5"/>
          <w:sz w:val="12"/>
        </w:rPr>
        <w:t>117</w:t>
      </w:r>
      <w:r>
        <w:rPr>
          <w:spacing w:val="16"/>
          <w:position w:val="5"/>
          <w:sz w:val="12"/>
        </w:rPr>
        <w:t xml:space="preserve"> </w:t>
      </w:r>
      <w:r>
        <w:rPr>
          <w:sz w:val="18"/>
        </w:rPr>
        <w:t>"Summary"</w:t>
      </w:r>
      <w:r>
        <w:rPr>
          <w:spacing w:val="-5"/>
          <w:sz w:val="18"/>
        </w:rPr>
        <w:t xml:space="preserve"> </w:t>
      </w:r>
      <w:r>
        <w:rPr>
          <w:sz w:val="18"/>
        </w:rPr>
        <w:t>is</w:t>
      </w:r>
      <w:r>
        <w:rPr>
          <w:spacing w:val="-3"/>
          <w:sz w:val="18"/>
        </w:rPr>
        <w:t xml:space="preserve"> </w:t>
      </w:r>
      <w:r>
        <w:rPr>
          <w:sz w:val="18"/>
        </w:rPr>
        <w:t>defined as "[a]</w:t>
      </w:r>
      <w:r>
        <w:rPr>
          <w:spacing w:val="-7"/>
          <w:sz w:val="18"/>
        </w:rPr>
        <w:t xml:space="preserve"> </w:t>
      </w:r>
      <w:r>
        <w:rPr>
          <w:sz w:val="18"/>
        </w:rPr>
        <w:t>shortened</w:t>
      </w:r>
      <w:r>
        <w:rPr>
          <w:spacing w:val="-4"/>
          <w:sz w:val="18"/>
        </w:rPr>
        <w:t xml:space="preserve"> </w:t>
      </w:r>
      <w:r>
        <w:rPr>
          <w:sz w:val="18"/>
        </w:rPr>
        <w:t>statement</w:t>
      </w:r>
      <w:r>
        <w:rPr>
          <w:spacing w:val="-3"/>
          <w:sz w:val="18"/>
        </w:rPr>
        <w:t xml:space="preserve"> </w:t>
      </w:r>
      <w:r>
        <w:rPr>
          <w:sz w:val="18"/>
        </w:rPr>
        <w:t>or</w:t>
      </w:r>
      <w:r>
        <w:rPr>
          <w:spacing w:val="-5"/>
          <w:sz w:val="18"/>
        </w:rPr>
        <w:t xml:space="preserve"> </w:t>
      </w:r>
      <w:r>
        <w:rPr>
          <w:sz w:val="18"/>
        </w:rPr>
        <w:t>account</w:t>
      </w:r>
      <w:r>
        <w:rPr>
          <w:spacing w:val="-3"/>
          <w:sz w:val="18"/>
        </w:rPr>
        <w:t xml:space="preserve"> </w:t>
      </w:r>
      <w:r>
        <w:rPr>
          <w:sz w:val="18"/>
        </w:rPr>
        <w:t>which</w:t>
      </w:r>
      <w:r>
        <w:rPr>
          <w:spacing w:val="-4"/>
          <w:sz w:val="18"/>
        </w:rPr>
        <w:t xml:space="preserve"> </w:t>
      </w:r>
      <w:r>
        <w:rPr>
          <w:sz w:val="18"/>
        </w:rPr>
        <w:t>gives</w:t>
      </w:r>
      <w:r>
        <w:rPr>
          <w:spacing w:val="-3"/>
          <w:sz w:val="18"/>
        </w:rPr>
        <w:t xml:space="preserve"> </w:t>
      </w:r>
      <w:r>
        <w:rPr>
          <w:sz w:val="18"/>
        </w:rPr>
        <w:t>only</w:t>
      </w:r>
      <w:r>
        <w:rPr>
          <w:spacing w:val="-10"/>
          <w:sz w:val="18"/>
        </w:rPr>
        <w:t xml:space="preserve"> </w:t>
      </w:r>
      <w:r>
        <w:rPr>
          <w:sz w:val="18"/>
        </w:rPr>
        <w:t>the</w:t>
      </w:r>
      <w:r>
        <w:rPr>
          <w:spacing w:val="-3"/>
          <w:sz w:val="18"/>
        </w:rPr>
        <w:t xml:space="preserve"> </w:t>
      </w:r>
      <w:r>
        <w:rPr>
          <w:sz w:val="18"/>
        </w:rPr>
        <w:t>main</w:t>
      </w:r>
      <w:r>
        <w:rPr>
          <w:spacing w:val="-4"/>
          <w:sz w:val="18"/>
        </w:rPr>
        <w:t xml:space="preserve"> </w:t>
      </w:r>
      <w:r>
        <w:rPr>
          <w:sz w:val="18"/>
        </w:rPr>
        <w:t>or</w:t>
      </w:r>
      <w:r>
        <w:rPr>
          <w:spacing w:val="-5"/>
          <w:sz w:val="18"/>
        </w:rPr>
        <w:t xml:space="preserve"> </w:t>
      </w:r>
      <w:r>
        <w:rPr>
          <w:sz w:val="18"/>
        </w:rPr>
        <w:t>essential</w:t>
      </w:r>
      <w:r>
        <w:rPr>
          <w:spacing w:val="-2"/>
          <w:sz w:val="18"/>
        </w:rPr>
        <w:t xml:space="preserve"> </w:t>
      </w:r>
      <w:r>
        <w:rPr>
          <w:sz w:val="18"/>
        </w:rPr>
        <w:t>points</w:t>
      </w:r>
      <w:r>
        <w:rPr>
          <w:spacing w:val="-3"/>
          <w:sz w:val="18"/>
        </w:rPr>
        <w:t xml:space="preserve"> </w:t>
      </w:r>
      <w:r>
        <w:rPr>
          <w:sz w:val="18"/>
        </w:rPr>
        <w:t>of</w:t>
      </w:r>
      <w:r>
        <w:rPr>
          <w:spacing w:val="-2"/>
          <w:sz w:val="18"/>
        </w:rPr>
        <w:t xml:space="preserve"> </w:t>
      </w:r>
      <w:r>
        <w:rPr>
          <w:sz w:val="18"/>
        </w:rPr>
        <w:t>something, not the details; an abridgement, digest, synopsis." Oxford English Dictionary online, definition of "summary", https://</w:t>
      </w:r>
      <w:hyperlink r:id="rId11">
        <w:r>
          <w:rPr>
            <w:sz w:val="18"/>
          </w:rPr>
          <w:t>www.oed.com/view/Entry/193933,</w:t>
        </w:r>
      </w:hyperlink>
      <w:r>
        <w:rPr>
          <w:sz w:val="18"/>
        </w:rPr>
        <w:t xml:space="preserve"> accessed 28 November 2022.</w:t>
      </w:r>
    </w:p>
    <w:p w14:paraId="0C32E114" w14:textId="77777777" w:rsidR="00BD462C" w:rsidRDefault="00033D0F">
      <w:pPr>
        <w:spacing w:before="4"/>
        <w:ind w:left="135"/>
        <w:rPr>
          <w:sz w:val="18"/>
        </w:rPr>
      </w:pPr>
      <w:bookmarkStart w:id="180" w:name="_bookmark154"/>
      <w:bookmarkEnd w:id="180"/>
      <w:r>
        <w:rPr>
          <w:position w:val="5"/>
          <w:sz w:val="12"/>
        </w:rPr>
        <w:t>118</w:t>
      </w:r>
      <w:r>
        <w:rPr>
          <w:spacing w:val="22"/>
          <w:position w:val="5"/>
          <w:sz w:val="12"/>
        </w:rPr>
        <w:t xml:space="preserve"> </w:t>
      </w:r>
      <w:r>
        <w:rPr>
          <w:sz w:val="18"/>
        </w:rPr>
        <w:t>See</w:t>
      </w:r>
      <w:r>
        <w:rPr>
          <w:spacing w:val="8"/>
          <w:sz w:val="18"/>
        </w:rPr>
        <w:t xml:space="preserve"> </w:t>
      </w:r>
      <w:r>
        <w:rPr>
          <w:sz w:val="18"/>
        </w:rPr>
        <w:t>Anti-Dumping</w:t>
      </w:r>
      <w:r>
        <w:rPr>
          <w:spacing w:val="8"/>
          <w:sz w:val="18"/>
        </w:rPr>
        <w:t xml:space="preserve"> </w:t>
      </w:r>
      <w:r>
        <w:rPr>
          <w:sz w:val="18"/>
        </w:rPr>
        <w:t>Final</w:t>
      </w:r>
      <w:r>
        <w:rPr>
          <w:spacing w:val="9"/>
          <w:sz w:val="18"/>
        </w:rPr>
        <w:t xml:space="preserve"> </w:t>
      </w:r>
      <w:r>
        <w:rPr>
          <w:sz w:val="18"/>
        </w:rPr>
        <w:t>Determination</w:t>
      </w:r>
      <w:r>
        <w:rPr>
          <w:spacing w:val="8"/>
          <w:sz w:val="18"/>
        </w:rPr>
        <w:t xml:space="preserve"> </w:t>
      </w:r>
      <w:r>
        <w:rPr>
          <w:sz w:val="18"/>
        </w:rPr>
        <w:t>(Exhibit</w:t>
      </w:r>
      <w:r>
        <w:rPr>
          <w:spacing w:val="8"/>
          <w:sz w:val="18"/>
        </w:rPr>
        <w:t xml:space="preserve"> </w:t>
      </w:r>
      <w:r>
        <w:rPr>
          <w:sz w:val="18"/>
        </w:rPr>
        <w:t>AUS-2),</w:t>
      </w:r>
      <w:r>
        <w:rPr>
          <w:spacing w:val="10"/>
          <w:sz w:val="18"/>
        </w:rPr>
        <w:t xml:space="preserve"> </w:t>
      </w:r>
      <w:r>
        <w:rPr>
          <w:sz w:val="18"/>
        </w:rPr>
        <w:t>pp.</w:t>
      </w:r>
      <w:r>
        <w:rPr>
          <w:spacing w:val="9"/>
          <w:sz w:val="18"/>
        </w:rPr>
        <w:t xml:space="preserve"> </w:t>
      </w:r>
      <w:r>
        <w:rPr>
          <w:sz w:val="18"/>
        </w:rPr>
        <w:t>60,</w:t>
      </w:r>
      <w:r>
        <w:rPr>
          <w:spacing w:val="9"/>
          <w:sz w:val="18"/>
        </w:rPr>
        <w:t xml:space="preserve"> </w:t>
      </w:r>
      <w:r>
        <w:rPr>
          <w:sz w:val="18"/>
        </w:rPr>
        <w:t>80,</w:t>
      </w:r>
      <w:r>
        <w:rPr>
          <w:spacing w:val="10"/>
          <w:sz w:val="18"/>
        </w:rPr>
        <w:t xml:space="preserve"> </w:t>
      </w:r>
      <w:r>
        <w:rPr>
          <w:sz w:val="18"/>
        </w:rPr>
        <w:t>83</w:t>
      </w:r>
      <w:r>
        <w:rPr>
          <w:spacing w:val="6"/>
          <w:sz w:val="18"/>
        </w:rPr>
        <w:t xml:space="preserve"> </w:t>
      </w:r>
      <w:r>
        <w:rPr>
          <w:sz w:val="18"/>
        </w:rPr>
        <w:t>and</w:t>
      </w:r>
      <w:r>
        <w:rPr>
          <w:spacing w:val="8"/>
          <w:sz w:val="18"/>
        </w:rPr>
        <w:t xml:space="preserve"> </w:t>
      </w:r>
      <w:proofErr w:type="gramStart"/>
      <w:r>
        <w:rPr>
          <w:sz w:val="18"/>
        </w:rPr>
        <w:t>91;</w:t>
      </w:r>
      <w:proofErr w:type="gramEnd"/>
      <w:r>
        <w:rPr>
          <w:spacing w:val="7"/>
          <w:sz w:val="18"/>
        </w:rPr>
        <w:t xml:space="preserve"> </w:t>
      </w:r>
      <w:r>
        <w:rPr>
          <w:sz w:val="18"/>
        </w:rPr>
        <w:t>Anti-Dumping</w:t>
      </w:r>
      <w:r>
        <w:rPr>
          <w:spacing w:val="3"/>
          <w:sz w:val="18"/>
        </w:rPr>
        <w:t xml:space="preserve"> </w:t>
      </w:r>
      <w:r>
        <w:rPr>
          <w:sz w:val="18"/>
        </w:rPr>
        <w:t>Preliminary</w:t>
      </w:r>
      <w:r>
        <w:rPr>
          <w:spacing w:val="7"/>
          <w:sz w:val="18"/>
        </w:rPr>
        <w:t xml:space="preserve"> </w:t>
      </w:r>
      <w:r>
        <w:rPr>
          <w:spacing w:val="-2"/>
          <w:sz w:val="18"/>
        </w:rPr>
        <w:t>Determination</w:t>
      </w:r>
    </w:p>
    <w:p w14:paraId="16F17417" w14:textId="77777777" w:rsidR="00BD462C" w:rsidRDefault="00033D0F">
      <w:pPr>
        <w:spacing w:before="1"/>
        <w:ind w:left="136"/>
        <w:rPr>
          <w:sz w:val="18"/>
        </w:rPr>
      </w:pPr>
      <w:r>
        <w:rPr>
          <w:sz w:val="18"/>
        </w:rPr>
        <w:t>(Exhibit</w:t>
      </w:r>
      <w:r>
        <w:rPr>
          <w:spacing w:val="-5"/>
          <w:sz w:val="18"/>
        </w:rPr>
        <w:t xml:space="preserve"> </w:t>
      </w:r>
      <w:r>
        <w:rPr>
          <w:sz w:val="18"/>
        </w:rPr>
        <w:t>AUS-35),</w:t>
      </w:r>
      <w:r>
        <w:rPr>
          <w:spacing w:val="-3"/>
          <w:sz w:val="18"/>
        </w:rPr>
        <w:t xml:space="preserve"> </w:t>
      </w:r>
      <w:r>
        <w:rPr>
          <w:sz w:val="18"/>
        </w:rPr>
        <w:t>pp. 25,</w:t>
      </w:r>
      <w:r>
        <w:rPr>
          <w:spacing w:val="-3"/>
          <w:sz w:val="18"/>
        </w:rPr>
        <w:t xml:space="preserve"> </w:t>
      </w:r>
      <w:r>
        <w:rPr>
          <w:sz w:val="18"/>
        </w:rPr>
        <w:t>27,</w:t>
      </w:r>
      <w:r>
        <w:rPr>
          <w:spacing w:val="-4"/>
          <w:sz w:val="18"/>
        </w:rPr>
        <w:t xml:space="preserve"> </w:t>
      </w:r>
      <w:r>
        <w:rPr>
          <w:spacing w:val="-5"/>
          <w:sz w:val="18"/>
        </w:rPr>
        <w:t>31</w:t>
      </w:r>
    </w:p>
    <w:p w14:paraId="47FF5632" w14:textId="77777777" w:rsidR="00BD462C" w:rsidRDefault="00033D0F">
      <w:pPr>
        <w:spacing w:before="1"/>
        <w:ind w:left="136" w:right="923" w:hanging="1"/>
        <w:rPr>
          <w:sz w:val="18"/>
        </w:rPr>
      </w:pPr>
      <w:bookmarkStart w:id="181" w:name="_bookmark155"/>
      <w:bookmarkEnd w:id="181"/>
      <w:r>
        <w:rPr>
          <w:position w:val="5"/>
          <w:sz w:val="12"/>
        </w:rPr>
        <w:t>119</w:t>
      </w:r>
      <w:r>
        <w:rPr>
          <w:spacing w:val="22"/>
          <w:position w:val="5"/>
          <w:sz w:val="12"/>
        </w:rPr>
        <w:t xml:space="preserve"> </w:t>
      </w:r>
      <w:r>
        <w:rPr>
          <w:sz w:val="18"/>
        </w:rPr>
        <w:t>See for example China's first written submission, paras. 372, 437, 548 and 648: response to Panel question No. 2, paras. 1, 9, 20.</w:t>
      </w:r>
    </w:p>
    <w:p w14:paraId="299A8CB7" w14:textId="77777777" w:rsidR="00BD462C" w:rsidRDefault="00BD462C">
      <w:pPr>
        <w:rPr>
          <w:sz w:val="18"/>
        </w:rPr>
        <w:sectPr w:rsidR="00BD462C">
          <w:pgSz w:w="11910" w:h="16840"/>
          <w:pgMar w:top="860" w:right="500" w:bottom="780" w:left="1280" w:header="566" w:footer="590" w:gutter="0"/>
          <w:cols w:space="720"/>
        </w:sectPr>
      </w:pPr>
    </w:p>
    <w:p w14:paraId="29150613"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2696C638"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013F187B"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6C9ADAC2" w14:textId="77777777" w:rsidR="00BD462C" w:rsidRDefault="00033D0F">
      <w:pPr>
        <w:pStyle w:val="ListParagraph"/>
        <w:numPr>
          <w:ilvl w:val="0"/>
          <w:numId w:val="63"/>
        </w:numPr>
        <w:tabs>
          <w:tab w:val="left" w:pos="1835"/>
          <w:tab w:val="left" w:pos="1836"/>
        </w:tabs>
        <w:spacing w:before="99" w:line="357" w:lineRule="auto"/>
        <w:ind w:right="921" w:hanging="855"/>
        <w:jc w:val="both"/>
        <w:rPr>
          <w:sz w:val="24"/>
        </w:rPr>
      </w:pPr>
      <w:r>
        <w:rPr>
          <w:sz w:val="24"/>
        </w:rPr>
        <w:t>Treasury Wines' alleged missing cost of production figures and cost calculation sheets, and the initial lack of reconciliation between Treasury Wines' forms;</w:t>
      </w:r>
      <w:hyperlink w:anchor="_bookmark156" w:history="1">
        <w:r>
          <w:rPr>
            <w:sz w:val="24"/>
            <w:vertAlign w:val="superscript"/>
          </w:rPr>
          <w:t>120</w:t>
        </w:r>
      </w:hyperlink>
    </w:p>
    <w:p w14:paraId="0BC72789" w14:textId="77777777" w:rsidR="00BD462C" w:rsidRDefault="00033D0F">
      <w:pPr>
        <w:pStyle w:val="ListParagraph"/>
        <w:numPr>
          <w:ilvl w:val="0"/>
          <w:numId w:val="63"/>
        </w:numPr>
        <w:tabs>
          <w:tab w:val="left" w:pos="1835"/>
          <w:tab w:val="left" w:pos="1836"/>
        </w:tabs>
        <w:spacing w:before="127" w:line="357" w:lineRule="auto"/>
        <w:ind w:right="918" w:hanging="855"/>
        <w:jc w:val="both"/>
        <w:rPr>
          <w:sz w:val="24"/>
        </w:rPr>
      </w:pPr>
      <w:r>
        <w:rPr>
          <w:sz w:val="24"/>
        </w:rPr>
        <w:t>Treasury</w:t>
      </w:r>
      <w:r>
        <w:rPr>
          <w:spacing w:val="-2"/>
          <w:sz w:val="24"/>
        </w:rPr>
        <w:t xml:space="preserve"> </w:t>
      </w:r>
      <w:r>
        <w:rPr>
          <w:sz w:val="24"/>
        </w:rPr>
        <w:t>Wines'</w:t>
      </w:r>
      <w:r>
        <w:rPr>
          <w:spacing w:val="-4"/>
          <w:sz w:val="24"/>
        </w:rPr>
        <w:t xml:space="preserve"> </w:t>
      </w:r>
      <w:r>
        <w:rPr>
          <w:sz w:val="24"/>
        </w:rPr>
        <w:t>alleged</w:t>
      </w:r>
      <w:r>
        <w:rPr>
          <w:spacing w:val="-5"/>
          <w:sz w:val="24"/>
        </w:rPr>
        <w:t xml:space="preserve"> </w:t>
      </w:r>
      <w:r>
        <w:rPr>
          <w:sz w:val="24"/>
        </w:rPr>
        <w:t>missing</w:t>
      </w:r>
      <w:r>
        <w:rPr>
          <w:spacing w:val="-2"/>
          <w:sz w:val="24"/>
        </w:rPr>
        <w:t xml:space="preserve"> </w:t>
      </w:r>
      <w:r>
        <w:rPr>
          <w:sz w:val="24"/>
        </w:rPr>
        <w:t>raw</w:t>
      </w:r>
      <w:r>
        <w:rPr>
          <w:spacing w:val="-3"/>
          <w:sz w:val="24"/>
        </w:rPr>
        <w:t xml:space="preserve"> </w:t>
      </w:r>
      <w:r>
        <w:rPr>
          <w:sz w:val="24"/>
        </w:rPr>
        <w:t>material</w:t>
      </w:r>
      <w:r>
        <w:rPr>
          <w:spacing w:val="-1"/>
          <w:sz w:val="24"/>
        </w:rPr>
        <w:t xml:space="preserve"> </w:t>
      </w:r>
      <w:r>
        <w:rPr>
          <w:sz w:val="24"/>
        </w:rPr>
        <w:t>descriptions</w:t>
      </w:r>
      <w:r>
        <w:rPr>
          <w:spacing w:val="-2"/>
          <w:sz w:val="24"/>
        </w:rPr>
        <w:t xml:space="preserve"> </w:t>
      </w:r>
      <w:r>
        <w:rPr>
          <w:sz w:val="24"/>
        </w:rPr>
        <w:t>and</w:t>
      </w:r>
      <w:r>
        <w:rPr>
          <w:spacing w:val="-5"/>
          <w:sz w:val="24"/>
        </w:rPr>
        <w:t xml:space="preserve"> </w:t>
      </w:r>
      <w:r>
        <w:rPr>
          <w:sz w:val="24"/>
        </w:rPr>
        <w:t>the common accounting codes;</w:t>
      </w:r>
      <w:r>
        <w:rPr>
          <w:spacing w:val="-22"/>
          <w:sz w:val="24"/>
        </w:rPr>
        <w:t xml:space="preserve"> </w:t>
      </w:r>
      <w:hyperlink w:anchor="_bookmark157" w:history="1">
        <w:r>
          <w:rPr>
            <w:sz w:val="24"/>
            <w:vertAlign w:val="superscript"/>
          </w:rPr>
          <w:t>121</w:t>
        </w:r>
      </w:hyperlink>
    </w:p>
    <w:p w14:paraId="724476BA" w14:textId="77777777" w:rsidR="00BD462C" w:rsidRDefault="00033D0F">
      <w:pPr>
        <w:pStyle w:val="ListParagraph"/>
        <w:numPr>
          <w:ilvl w:val="0"/>
          <w:numId w:val="63"/>
        </w:numPr>
        <w:tabs>
          <w:tab w:val="left" w:pos="1835"/>
          <w:tab w:val="left" w:pos="1836"/>
        </w:tabs>
        <w:spacing w:before="126"/>
        <w:ind w:left="1835" w:hanging="851"/>
        <w:jc w:val="both"/>
        <w:rPr>
          <w:sz w:val="24"/>
        </w:rPr>
      </w:pPr>
      <w:r>
        <w:rPr>
          <w:sz w:val="24"/>
        </w:rPr>
        <w:t>the</w:t>
      </w:r>
      <w:r>
        <w:rPr>
          <w:spacing w:val="-3"/>
          <w:sz w:val="24"/>
        </w:rPr>
        <w:t xml:space="preserve"> </w:t>
      </w:r>
      <w:r>
        <w:rPr>
          <w:sz w:val="24"/>
        </w:rPr>
        <w:t>description</w:t>
      </w:r>
      <w:r>
        <w:rPr>
          <w:spacing w:val="-4"/>
          <w:sz w:val="24"/>
        </w:rPr>
        <w:t xml:space="preserve"> </w:t>
      </w:r>
      <w:r>
        <w:rPr>
          <w:sz w:val="24"/>
        </w:rPr>
        <w:t>of</w:t>
      </w:r>
      <w:r>
        <w:rPr>
          <w:spacing w:val="-3"/>
          <w:sz w:val="24"/>
        </w:rPr>
        <w:t xml:space="preserve"> </w:t>
      </w:r>
      <w:r>
        <w:rPr>
          <w:sz w:val="24"/>
        </w:rPr>
        <w:t>PCNs</w:t>
      </w:r>
      <w:r>
        <w:rPr>
          <w:spacing w:val="-1"/>
          <w:sz w:val="24"/>
        </w:rPr>
        <w:t xml:space="preserve"> </w:t>
      </w:r>
      <w:r>
        <w:rPr>
          <w:sz w:val="24"/>
        </w:rPr>
        <w:t>by</w:t>
      </w:r>
      <w:r>
        <w:rPr>
          <w:spacing w:val="-1"/>
          <w:sz w:val="24"/>
        </w:rPr>
        <w:t xml:space="preserve"> </w:t>
      </w:r>
      <w:r>
        <w:rPr>
          <w:sz w:val="24"/>
        </w:rPr>
        <w:t>Casella</w:t>
      </w:r>
      <w:r>
        <w:rPr>
          <w:spacing w:val="-2"/>
          <w:sz w:val="24"/>
        </w:rPr>
        <w:t xml:space="preserve"> </w:t>
      </w:r>
      <w:r>
        <w:rPr>
          <w:sz w:val="24"/>
        </w:rPr>
        <w:t>Wines</w:t>
      </w:r>
      <w:r>
        <w:rPr>
          <w:spacing w:val="-1"/>
          <w:sz w:val="24"/>
        </w:rPr>
        <w:t xml:space="preserve"> </w:t>
      </w:r>
      <w:r>
        <w:rPr>
          <w:sz w:val="24"/>
        </w:rPr>
        <w:t xml:space="preserve">as </w:t>
      </w:r>
      <w:r>
        <w:rPr>
          <w:spacing w:val="-2"/>
          <w:sz w:val="24"/>
        </w:rPr>
        <w:t>#N/A;</w:t>
      </w:r>
      <w:hyperlink w:anchor="_bookmark158" w:history="1">
        <w:r>
          <w:rPr>
            <w:spacing w:val="-2"/>
            <w:sz w:val="24"/>
            <w:vertAlign w:val="superscript"/>
          </w:rPr>
          <w:t>122</w:t>
        </w:r>
      </w:hyperlink>
    </w:p>
    <w:p w14:paraId="478BB41B" w14:textId="77777777" w:rsidR="00BD462C" w:rsidRDefault="00033D0F">
      <w:pPr>
        <w:pStyle w:val="ListParagraph"/>
        <w:numPr>
          <w:ilvl w:val="0"/>
          <w:numId w:val="63"/>
        </w:numPr>
        <w:tabs>
          <w:tab w:val="left" w:pos="1835"/>
          <w:tab w:val="left" w:pos="1836"/>
        </w:tabs>
        <w:spacing w:before="266"/>
        <w:ind w:left="1835" w:hanging="851"/>
        <w:jc w:val="both"/>
        <w:rPr>
          <w:sz w:val="24"/>
        </w:rPr>
      </w:pPr>
      <w:r>
        <w:rPr>
          <w:sz w:val="24"/>
        </w:rPr>
        <w:t>the</w:t>
      </w:r>
      <w:r>
        <w:rPr>
          <w:spacing w:val="-1"/>
          <w:sz w:val="24"/>
        </w:rPr>
        <w:t xml:space="preserve"> </w:t>
      </w:r>
      <w:r>
        <w:rPr>
          <w:sz w:val="24"/>
        </w:rPr>
        <w:t>relevance</w:t>
      </w:r>
      <w:r>
        <w:rPr>
          <w:spacing w:val="-1"/>
          <w:sz w:val="24"/>
        </w:rPr>
        <w:t xml:space="preserve"> </w:t>
      </w:r>
      <w:r>
        <w:rPr>
          <w:sz w:val="24"/>
        </w:rPr>
        <w:t>of</w:t>
      </w:r>
      <w:r>
        <w:rPr>
          <w:spacing w:val="-3"/>
          <w:sz w:val="24"/>
        </w:rPr>
        <w:t xml:space="preserve"> </w:t>
      </w:r>
      <w:r>
        <w:rPr>
          <w:sz w:val="24"/>
        </w:rPr>
        <w:t>Casella</w:t>
      </w:r>
      <w:r>
        <w:rPr>
          <w:spacing w:val="-2"/>
          <w:sz w:val="24"/>
        </w:rPr>
        <w:t xml:space="preserve"> </w:t>
      </w:r>
      <w:r>
        <w:rPr>
          <w:sz w:val="24"/>
        </w:rPr>
        <w:t>Wines'</w:t>
      </w:r>
      <w:r>
        <w:rPr>
          <w:spacing w:val="-2"/>
          <w:sz w:val="24"/>
        </w:rPr>
        <w:t xml:space="preserve"> </w:t>
      </w:r>
      <w:r>
        <w:rPr>
          <w:sz w:val="24"/>
        </w:rPr>
        <w:t>special</w:t>
      </w:r>
      <w:r>
        <w:rPr>
          <w:spacing w:val="1"/>
          <w:sz w:val="24"/>
        </w:rPr>
        <w:t xml:space="preserve"> </w:t>
      </w:r>
      <w:r>
        <w:rPr>
          <w:sz w:val="24"/>
        </w:rPr>
        <w:t>price arrangements;</w:t>
      </w:r>
      <w:hyperlink w:anchor="_bookmark159" w:history="1">
        <w:r>
          <w:rPr>
            <w:sz w:val="24"/>
            <w:vertAlign w:val="superscript"/>
          </w:rPr>
          <w:t>123</w:t>
        </w:r>
      </w:hyperlink>
      <w:r>
        <w:rPr>
          <w:spacing w:val="-1"/>
          <w:sz w:val="24"/>
        </w:rPr>
        <w:t xml:space="preserve"> </w:t>
      </w:r>
      <w:r>
        <w:rPr>
          <w:spacing w:val="-5"/>
          <w:sz w:val="24"/>
        </w:rPr>
        <w:t>and</w:t>
      </w:r>
    </w:p>
    <w:p w14:paraId="5589576F" w14:textId="77777777" w:rsidR="00BD462C" w:rsidRDefault="00033D0F">
      <w:pPr>
        <w:pStyle w:val="ListParagraph"/>
        <w:numPr>
          <w:ilvl w:val="0"/>
          <w:numId w:val="63"/>
        </w:numPr>
        <w:tabs>
          <w:tab w:val="left" w:pos="1835"/>
          <w:tab w:val="left" w:pos="1836"/>
        </w:tabs>
        <w:spacing w:before="265"/>
        <w:ind w:left="1835" w:hanging="851"/>
        <w:jc w:val="both"/>
        <w:rPr>
          <w:sz w:val="24"/>
        </w:rPr>
      </w:pPr>
      <w:r>
        <w:rPr>
          <w:sz w:val="24"/>
        </w:rPr>
        <w:t>the</w:t>
      </w:r>
      <w:r>
        <w:rPr>
          <w:spacing w:val="-6"/>
          <w:sz w:val="24"/>
        </w:rPr>
        <w:t xml:space="preserve"> </w:t>
      </w:r>
      <w:r>
        <w:rPr>
          <w:sz w:val="24"/>
        </w:rPr>
        <w:t>alignment</w:t>
      </w:r>
      <w:r>
        <w:rPr>
          <w:spacing w:val="-2"/>
          <w:sz w:val="24"/>
        </w:rPr>
        <w:t xml:space="preserve"> </w:t>
      </w:r>
      <w:r>
        <w:rPr>
          <w:sz w:val="24"/>
        </w:rPr>
        <w:t>of</w:t>
      </w:r>
      <w:r>
        <w:rPr>
          <w:spacing w:val="-4"/>
          <w:sz w:val="24"/>
        </w:rPr>
        <w:t xml:space="preserve"> </w:t>
      </w:r>
      <w:r>
        <w:rPr>
          <w:sz w:val="24"/>
        </w:rPr>
        <w:t>Forms</w:t>
      </w:r>
      <w:r>
        <w:rPr>
          <w:spacing w:val="-1"/>
          <w:sz w:val="24"/>
        </w:rPr>
        <w:t xml:space="preserve"> </w:t>
      </w:r>
      <w:r>
        <w:rPr>
          <w:sz w:val="24"/>
        </w:rPr>
        <w:t>6-3 and</w:t>
      </w:r>
      <w:r>
        <w:rPr>
          <w:spacing w:val="1"/>
          <w:sz w:val="24"/>
        </w:rPr>
        <w:t xml:space="preserve"> </w:t>
      </w:r>
      <w:r>
        <w:rPr>
          <w:sz w:val="24"/>
        </w:rPr>
        <w:t>6-4</w:t>
      </w:r>
      <w:r>
        <w:rPr>
          <w:spacing w:val="-5"/>
          <w:sz w:val="24"/>
        </w:rPr>
        <w:t xml:space="preserve"> </w:t>
      </w:r>
      <w:r>
        <w:rPr>
          <w:sz w:val="24"/>
        </w:rPr>
        <w:t>provided</w:t>
      </w:r>
      <w:r>
        <w:rPr>
          <w:spacing w:val="-4"/>
          <w:sz w:val="24"/>
        </w:rPr>
        <w:t xml:space="preserve"> </w:t>
      </w:r>
      <w:r>
        <w:rPr>
          <w:sz w:val="24"/>
        </w:rPr>
        <w:t>by</w:t>
      </w:r>
      <w:r>
        <w:rPr>
          <w:spacing w:val="-1"/>
          <w:sz w:val="24"/>
        </w:rPr>
        <w:t xml:space="preserve"> </w:t>
      </w:r>
      <w:r>
        <w:rPr>
          <w:sz w:val="24"/>
        </w:rPr>
        <w:t>Casella</w:t>
      </w:r>
      <w:r>
        <w:rPr>
          <w:spacing w:val="-3"/>
          <w:sz w:val="24"/>
        </w:rPr>
        <w:t xml:space="preserve"> </w:t>
      </w:r>
      <w:r>
        <w:rPr>
          <w:spacing w:val="-2"/>
          <w:sz w:val="24"/>
        </w:rPr>
        <w:t>Wines.</w:t>
      </w:r>
      <w:hyperlink w:anchor="_bookmark160" w:history="1">
        <w:r>
          <w:rPr>
            <w:spacing w:val="-2"/>
            <w:sz w:val="24"/>
            <w:vertAlign w:val="superscript"/>
          </w:rPr>
          <w:t>124</w:t>
        </w:r>
      </w:hyperlink>
    </w:p>
    <w:p w14:paraId="10EC1F2F" w14:textId="77777777" w:rsidR="00BD462C" w:rsidRDefault="00BD462C">
      <w:pPr>
        <w:pStyle w:val="BodyText"/>
        <w:spacing w:before="10"/>
        <w:rPr>
          <w:sz w:val="17"/>
        </w:rPr>
      </w:pPr>
    </w:p>
    <w:p w14:paraId="4D750A17" w14:textId="5FFF60EA" w:rsidR="00BD462C" w:rsidRDefault="00652F97" w:rsidP="00652F97">
      <w:pPr>
        <w:pStyle w:val="BodyText"/>
        <w:numPr>
          <w:ilvl w:val="0"/>
          <w:numId w:val="68"/>
        </w:numPr>
        <w:spacing w:before="56" w:line="357" w:lineRule="auto"/>
        <w:ind w:right="916"/>
        <w:jc w:val="both"/>
      </w:pPr>
      <w:r>
        <w:rPr>
          <w:position w:val="1"/>
        </w:rPr>
        <w:t>S</w:t>
      </w:r>
      <w:r w:rsidR="00033D0F">
        <w:rPr>
          <w:position w:val="1"/>
        </w:rPr>
        <w:t>imilarly, China</w:t>
      </w:r>
      <w:r w:rsidR="00033D0F">
        <w:rPr>
          <w:spacing w:val="-3"/>
          <w:position w:val="1"/>
        </w:rPr>
        <w:t xml:space="preserve"> </w:t>
      </w:r>
      <w:r w:rsidR="00033D0F">
        <w:rPr>
          <w:position w:val="1"/>
        </w:rPr>
        <w:t>argues</w:t>
      </w:r>
      <w:r w:rsidR="00033D0F">
        <w:rPr>
          <w:spacing w:val="-1"/>
          <w:position w:val="1"/>
        </w:rPr>
        <w:t xml:space="preserve"> </w:t>
      </w:r>
      <w:r w:rsidR="00033D0F">
        <w:rPr>
          <w:position w:val="1"/>
        </w:rPr>
        <w:t>that</w:t>
      </w:r>
      <w:r w:rsidR="00033D0F">
        <w:rPr>
          <w:spacing w:val="-2"/>
          <w:position w:val="1"/>
        </w:rPr>
        <w:t xml:space="preserve"> </w:t>
      </w:r>
      <w:r w:rsidR="00033D0F">
        <w:rPr>
          <w:position w:val="1"/>
        </w:rPr>
        <w:t>the</w:t>
      </w:r>
      <w:r w:rsidR="00033D0F">
        <w:rPr>
          <w:spacing w:val="-2"/>
          <w:position w:val="1"/>
        </w:rPr>
        <w:t xml:space="preserve"> </w:t>
      </w:r>
      <w:r w:rsidR="00033D0F">
        <w:rPr>
          <w:position w:val="1"/>
        </w:rPr>
        <w:t>following</w:t>
      </w:r>
      <w:r w:rsidR="00033D0F">
        <w:rPr>
          <w:spacing w:val="-1"/>
          <w:position w:val="1"/>
        </w:rPr>
        <w:t xml:space="preserve"> </w:t>
      </w:r>
      <w:r w:rsidR="00033D0F">
        <w:rPr>
          <w:position w:val="1"/>
        </w:rPr>
        <w:t>issues</w:t>
      </w:r>
      <w:r w:rsidR="00033D0F">
        <w:rPr>
          <w:spacing w:val="-1"/>
          <w:position w:val="1"/>
        </w:rPr>
        <w:t xml:space="preserve"> </w:t>
      </w:r>
      <w:r w:rsidR="00033D0F">
        <w:rPr>
          <w:position w:val="1"/>
        </w:rPr>
        <w:t>were</w:t>
      </w:r>
      <w:r w:rsidR="00033D0F">
        <w:rPr>
          <w:spacing w:val="-2"/>
          <w:position w:val="1"/>
        </w:rPr>
        <w:t xml:space="preserve"> </w:t>
      </w:r>
      <w:r w:rsidR="00033D0F">
        <w:rPr>
          <w:position w:val="1"/>
        </w:rPr>
        <w:t>the</w:t>
      </w:r>
      <w:r w:rsidR="00033D0F">
        <w:rPr>
          <w:spacing w:val="-2"/>
          <w:position w:val="1"/>
        </w:rPr>
        <w:t xml:space="preserve"> </w:t>
      </w:r>
      <w:r w:rsidR="00033D0F">
        <w:rPr>
          <w:position w:val="1"/>
        </w:rPr>
        <w:t>main, or</w:t>
      </w:r>
      <w:r w:rsidR="00033D0F">
        <w:rPr>
          <w:spacing w:val="-5"/>
          <w:position w:val="1"/>
        </w:rPr>
        <w:t xml:space="preserve"> </w:t>
      </w:r>
      <w:r w:rsidR="00033D0F">
        <w:rPr>
          <w:position w:val="1"/>
        </w:rPr>
        <w:t>major reasons</w:t>
      </w:r>
      <w:r w:rsidR="00033D0F">
        <w:rPr>
          <w:spacing w:val="-1"/>
          <w:position w:val="1"/>
        </w:rPr>
        <w:t xml:space="preserve"> </w:t>
      </w:r>
      <w:r w:rsidR="00033D0F">
        <w:rPr>
          <w:position w:val="1"/>
        </w:rPr>
        <w:t xml:space="preserve">for </w:t>
      </w:r>
      <w:r w:rsidR="00033D0F">
        <w:t>MOFCOM's</w:t>
      </w:r>
      <w:r w:rsidR="00033D0F">
        <w:rPr>
          <w:spacing w:val="-14"/>
        </w:rPr>
        <w:t xml:space="preserve"> </w:t>
      </w:r>
      <w:r w:rsidR="00033D0F">
        <w:t>resort</w:t>
      </w:r>
      <w:r w:rsidR="00033D0F">
        <w:rPr>
          <w:spacing w:val="-14"/>
        </w:rPr>
        <w:t xml:space="preserve"> </w:t>
      </w:r>
      <w:r w:rsidR="00033D0F">
        <w:t>to</w:t>
      </w:r>
      <w:r w:rsidR="00033D0F">
        <w:rPr>
          <w:spacing w:val="-13"/>
        </w:rPr>
        <w:t xml:space="preserve"> </w:t>
      </w:r>
      <w:r w:rsidR="00033D0F">
        <w:t>facts</w:t>
      </w:r>
      <w:r w:rsidR="00033D0F">
        <w:rPr>
          <w:spacing w:val="-14"/>
        </w:rPr>
        <w:t xml:space="preserve"> </w:t>
      </w:r>
      <w:r w:rsidR="00033D0F">
        <w:t>available,</w:t>
      </w:r>
      <w:r w:rsidR="00033D0F">
        <w:rPr>
          <w:spacing w:val="-13"/>
        </w:rPr>
        <w:t xml:space="preserve"> </w:t>
      </w:r>
      <w:r w:rsidR="00033D0F">
        <w:t>but</w:t>
      </w:r>
      <w:r w:rsidR="00033D0F">
        <w:rPr>
          <w:spacing w:val="-14"/>
        </w:rPr>
        <w:t xml:space="preserve"> </w:t>
      </w:r>
      <w:r w:rsidR="00033D0F">
        <w:t>again</w:t>
      </w:r>
      <w:r w:rsidR="00033D0F">
        <w:rPr>
          <w:spacing w:val="-13"/>
        </w:rPr>
        <w:t xml:space="preserve"> </w:t>
      </w:r>
      <w:r w:rsidR="00033D0F">
        <w:t>fails</w:t>
      </w:r>
      <w:r w:rsidR="00033D0F">
        <w:rPr>
          <w:spacing w:val="-14"/>
        </w:rPr>
        <w:t xml:space="preserve"> </w:t>
      </w:r>
      <w:r w:rsidR="00033D0F">
        <w:t>to</w:t>
      </w:r>
      <w:r w:rsidR="00033D0F">
        <w:rPr>
          <w:spacing w:val="-14"/>
        </w:rPr>
        <w:t xml:space="preserve"> </w:t>
      </w:r>
      <w:r w:rsidR="00033D0F">
        <w:t>identify</w:t>
      </w:r>
      <w:r w:rsidR="00033D0F">
        <w:rPr>
          <w:spacing w:val="-13"/>
        </w:rPr>
        <w:t xml:space="preserve"> </w:t>
      </w:r>
      <w:r w:rsidR="00033D0F">
        <w:t>where</w:t>
      </w:r>
      <w:r w:rsidR="00033D0F">
        <w:rPr>
          <w:spacing w:val="-14"/>
        </w:rPr>
        <w:t xml:space="preserve"> </w:t>
      </w:r>
      <w:r w:rsidR="00033D0F">
        <w:t>on</w:t>
      </w:r>
      <w:r w:rsidR="00033D0F">
        <w:rPr>
          <w:spacing w:val="-13"/>
        </w:rPr>
        <w:t xml:space="preserve"> </w:t>
      </w:r>
      <w:r w:rsidR="00033D0F">
        <w:t>the</w:t>
      </w:r>
      <w:r w:rsidR="00033D0F">
        <w:rPr>
          <w:spacing w:val="-14"/>
        </w:rPr>
        <w:t xml:space="preserve"> </w:t>
      </w:r>
      <w:r w:rsidR="00033D0F">
        <w:t>record</w:t>
      </w:r>
      <w:r w:rsidR="00033D0F">
        <w:rPr>
          <w:spacing w:val="-13"/>
        </w:rPr>
        <w:t xml:space="preserve"> </w:t>
      </w:r>
      <w:r w:rsidR="00033D0F">
        <w:t>these</w:t>
      </w:r>
      <w:r w:rsidR="00033D0F">
        <w:rPr>
          <w:spacing w:val="-14"/>
        </w:rPr>
        <w:t xml:space="preserve"> </w:t>
      </w:r>
      <w:r w:rsidR="00033D0F">
        <w:t>issues were identified as such:</w:t>
      </w:r>
    </w:p>
    <w:p w14:paraId="1E110127" w14:textId="5E366235" w:rsidR="00BD462C" w:rsidRDefault="00D70C7D">
      <w:pPr>
        <w:pStyle w:val="ListParagraph"/>
        <w:numPr>
          <w:ilvl w:val="0"/>
          <w:numId w:val="63"/>
        </w:numPr>
        <w:tabs>
          <w:tab w:val="left" w:pos="1835"/>
          <w:tab w:val="left" w:pos="1836"/>
        </w:tabs>
        <w:spacing w:before="161" w:line="360" w:lineRule="auto"/>
        <w:ind w:left="1839" w:right="911" w:hanging="855"/>
        <w:jc w:val="both"/>
        <w:rPr>
          <w:sz w:val="24"/>
        </w:rPr>
      </w:pPr>
      <w:r>
        <w:rPr>
          <w:noProof/>
        </w:rPr>
        <mc:AlternateContent>
          <mc:Choice Requires="wps">
            <w:drawing>
              <wp:anchor distT="0" distB="0" distL="114300" distR="114300" simplePos="0" relativeHeight="15739904" behindDoc="0" locked="0" layoutInCell="1" allowOverlap="1" wp14:anchorId="47BBD956" wp14:editId="03F5126E">
                <wp:simplePos x="0" y="0"/>
                <wp:positionH relativeFrom="page">
                  <wp:posOffset>1981200</wp:posOffset>
                </wp:positionH>
                <wp:positionV relativeFrom="paragraph">
                  <wp:posOffset>1785620</wp:posOffset>
                </wp:positionV>
                <wp:extent cx="1450975" cy="186055"/>
                <wp:effectExtent l="0" t="0" r="0" b="0"/>
                <wp:wrapNone/>
                <wp:docPr id="1378" name="docshape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097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09CF76" id="docshape27" o:spid="_x0000_s1026" alt="&quot;&quot;" style="position:absolute;margin-left:156pt;margin-top:140.6pt;width:114.25pt;height:14.65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" fillcolor="black" stroked="f">
                <w10:wrap anchorx="page"/>
              </v:rect>
            </w:pict>
          </mc:Fallback>
        </mc:AlternateContent>
      </w:r>
      <w:r w:rsidR="00033D0F">
        <w:rPr>
          <w:sz w:val="24"/>
        </w:rPr>
        <w:t xml:space="preserve">for Treasury Wines, in the company's responses to Forms 6-3 and 6-4, Treasury Wines did not report of cost of production of </w:t>
      </w:r>
      <w:r w:rsidR="00033D0F">
        <w:rPr>
          <w:i/>
          <w:sz w:val="24"/>
        </w:rPr>
        <w:t xml:space="preserve">all </w:t>
      </w:r>
      <w:r w:rsidR="00033D0F">
        <w:rPr>
          <w:sz w:val="24"/>
        </w:rPr>
        <w:t>PCNs sold on the domestic market and, instead, reported only those domestically sold PCNs that</w:t>
      </w:r>
      <w:r w:rsidR="00033D0F">
        <w:rPr>
          <w:spacing w:val="-14"/>
          <w:sz w:val="24"/>
        </w:rPr>
        <w:t xml:space="preserve"> </w:t>
      </w:r>
      <w:r w:rsidR="00033D0F">
        <w:rPr>
          <w:sz w:val="24"/>
        </w:rPr>
        <w:t>matched</w:t>
      </w:r>
      <w:r w:rsidR="00033D0F">
        <w:rPr>
          <w:spacing w:val="-8"/>
          <w:sz w:val="24"/>
        </w:rPr>
        <w:t xml:space="preserve"> </w:t>
      </w:r>
      <w:r w:rsidR="00033D0F">
        <w:rPr>
          <w:sz w:val="24"/>
        </w:rPr>
        <w:t>the</w:t>
      </w:r>
      <w:r w:rsidR="00033D0F">
        <w:rPr>
          <w:spacing w:val="-3"/>
          <w:sz w:val="24"/>
        </w:rPr>
        <w:t xml:space="preserve"> </w:t>
      </w:r>
      <w:r w:rsidR="00033D0F">
        <w:rPr>
          <w:sz w:val="24"/>
        </w:rPr>
        <w:t>PCNs</w:t>
      </w:r>
      <w:r w:rsidR="00033D0F">
        <w:rPr>
          <w:spacing w:val="-1"/>
          <w:sz w:val="24"/>
        </w:rPr>
        <w:t xml:space="preserve"> </w:t>
      </w:r>
      <w:r w:rsidR="00033D0F">
        <w:rPr>
          <w:sz w:val="24"/>
        </w:rPr>
        <w:t>of the</w:t>
      </w:r>
      <w:r w:rsidR="00033D0F">
        <w:rPr>
          <w:spacing w:val="-3"/>
          <w:sz w:val="24"/>
        </w:rPr>
        <w:t xml:space="preserve"> </w:t>
      </w:r>
      <w:r w:rsidR="00033D0F">
        <w:rPr>
          <w:sz w:val="24"/>
        </w:rPr>
        <w:t>wines</w:t>
      </w:r>
      <w:r w:rsidR="00033D0F">
        <w:rPr>
          <w:spacing w:val="-1"/>
          <w:sz w:val="24"/>
        </w:rPr>
        <w:t xml:space="preserve"> </w:t>
      </w:r>
      <w:r w:rsidR="00033D0F">
        <w:rPr>
          <w:sz w:val="24"/>
        </w:rPr>
        <w:t>that</w:t>
      </w:r>
      <w:r w:rsidR="00033D0F">
        <w:rPr>
          <w:spacing w:val="-2"/>
          <w:sz w:val="24"/>
        </w:rPr>
        <w:t xml:space="preserve"> </w:t>
      </w:r>
      <w:r w:rsidR="00033D0F">
        <w:rPr>
          <w:sz w:val="24"/>
        </w:rPr>
        <w:t>the</w:t>
      </w:r>
      <w:r w:rsidR="00033D0F">
        <w:rPr>
          <w:spacing w:val="-3"/>
          <w:sz w:val="24"/>
        </w:rPr>
        <w:t xml:space="preserve"> </w:t>
      </w:r>
      <w:r w:rsidR="00033D0F">
        <w:rPr>
          <w:sz w:val="24"/>
        </w:rPr>
        <w:t>company</w:t>
      </w:r>
      <w:r w:rsidR="00033D0F">
        <w:rPr>
          <w:spacing w:val="-1"/>
          <w:sz w:val="24"/>
        </w:rPr>
        <w:t xml:space="preserve"> </w:t>
      </w:r>
      <w:r w:rsidR="00033D0F">
        <w:rPr>
          <w:sz w:val="24"/>
        </w:rPr>
        <w:t>exported</w:t>
      </w:r>
      <w:r w:rsidR="00033D0F">
        <w:rPr>
          <w:spacing w:val="-4"/>
          <w:sz w:val="24"/>
        </w:rPr>
        <w:t xml:space="preserve"> </w:t>
      </w:r>
      <w:r w:rsidR="00033D0F">
        <w:rPr>
          <w:sz w:val="24"/>
        </w:rPr>
        <w:t>to</w:t>
      </w:r>
      <w:r w:rsidR="00033D0F">
        <w:rPr>
          <w:spacing w:val="-5"/>
          <w:sz w:val="24"/>
        </w:rPr>
        <w:t xml:space="preserve"> </w:t>
      </w:r>
      <w:r w:rsidR="00033D0F">
        <w:rPr>
          <w:sz w:val="24"/>
        </w:rPr>
        <w:t>China</w:t>
      </w:r>
      <w:r w:rsidR="00033D0F">
        <w:rPr>
          <w:spacing w:val="-14"/>
          <w:sz w:val="24"/>
        </w:rPr>
        <w:t xml:space="preserve"> </w:t>
      </w:r>
      <w:hyperlink w:anchor="_bookmark161" w:history="1">
        <w:r w:rsidR="00033D0F">
          <w:rPr>
            <w:sz w:val="24"/>
            <w:vertAlign w:val="superscript"/>
          </w:rPr>
          <w:t>125</w:t>
        </w:r>
      </w:hyperlink>
      <w:r w:rsidR="00033D0F">
        <w:rPr>
          <w:sz w:val="24"/>
        </w:rPr>
        <w:t xml:space="preserve"> and, although referred to inconsistently as a "major reason" or "serious deficiency"</w:t>
      </w:r>
      <w:r w:rsidR="00033D0F">
        <w:rPr>
          <w:spacing w:val="33"/>
          <w:sz w:val="24"/>
        </w:rPr>
        <w:t xml:space="preserve"> </w:t>
      </w:r>
      <w:r w:rsidR="00033D0F">
        <w:rPr>
          <w:sz w:val="24"/>
        </w:rPr>
        <w:t>and</w:t>
      </w:r>
      <w:r w:rsidR="00033D0F">
        <w:rPr>
          <w:spacing w:val="32"/>
          <w:sz w:val="24"/>
        </w:rPr>
        <w:t xml:space="preserve"> </w:t>
      </w:r>
      <w:r w:rsidR="00033D0F">
        <w:rPr>
          <w:sz w:val="24"/>
        </w:rPr>
        <w:t>a</w:t>
      </w:r>
      <w:r w:rsidR="00033D0F">
        <w:rPr>
          <w:spacing w:val="33"/>
          <w:sz w:val="24"/>
        </w:rPr>
        <w:t xml:space="preserve"> </w:t>
      </w:r>
      <w:r w:rsidR="00033D0F">
        <w:rPr>
          <w:sz w:val="24"/>
        </w:rPr>
        <w:t>"minor"</w:t>
      </w:r>
      <w:r w:rsidR="00033D0F">
        <w:rPr>
          <w:spacing w:val="38"/>
          <w:sz w:val="24"/>
        </w:rPr>
        <w:t xml:space="preserve"> </w:t>
      </w:r>
      <w:r w:rsidR="00033D0F">
        <w:rPr>
          <w:sz w:val="24"/>
        </w:rPr>
        <w:t>reason,</w:t>
      </w:r>
      <w:r w:rsidR="00033D0F">
        <w:rPr>
          <w:spacing w:val="36"/>
          <w:sz w:val="24"/>
        </w:rPr>
        <w:t xml:space="preserve"> </w:t>
      </w:r>
      <w:r w:rsidR="00033D0F">
        <w:rPr>
          <w:sz w:val="24"/>
        </w:rPr>
        <w:t>the</w:t>
      </w:r>
      <w:r w:rsidR="00033D0F">
        <w:rPr>
          <w:spacing w:val="34"/>
          <w:sz w:val="24"/>
        </w:rPr>
        <w:t xml:space="preserve"> </w:t>
      </w:r>
      <w:r w:rsidR="00033D0F">
        <w:rPr>
          <w:sz w:val="24"/>
        </w:rPr>
        <w:t>absence</w:t>
      </w:r>
      <w:r w:rsidR="00033D0F">
        <w:rPr>
          <w:spacing w:val="34"/>
          <w:sz w:val="24"/>
        </w:rPr>
        <w:t xml:space="preserve"> </w:t>
      </w:r>
      <w:r w:rsidR="00033D0F">
        <w:rPr>
          <w:sz w:val="24"/>
        </w:rPr>
        <w:t>of</w:t>
      </w:r>
      <w:r w:rsidR="00033D0F">
        <w:rPr>
          <w:spacing w:val="32"/>
          <w:sz w:val="24"/>
        </w:rPr>
        <w:t xml:space="preserve"> </w:t>
      </w:r>
      <w:r w:rsidR="00033D0F">
        <w:rPr>
          <w:sz w:val="24"/>
        </w:rPr>
        <w:t>cost</w:t>
      </w:r>
      <w:r w:rsidR="00033D0F">
        <w:rPr>
          <w:spacing w:val="34"/>
          <w:sz w:val="24"/>
        </w:rPr>
        <w:t xml:space="preserve"> </w:t>
      </w:r>
      <w:r w:rsidR="00033D0F">
        <w:rPr>
          <w:sz w:val="24"/>
        </w:rPr>
        <w:t>of</w:t>
      </w:r>
      <w:r w:rsidR="00033D0F">
        <w:rPr>
          <w:spacing w:val="37"/>
          <w:sz w:val="24"/>
        </w:rPr>
        <w:t xml:space="preserve"> </w:t>
      </w:r>
      <w:r w:rsidR="00033D0F">
        <w:rPr>
          <w:sz w:val="24"/>
        </w:rPr>
        <w:t>production</w:t>
      </w:r>
      <w:r w:rsidR="00033D0F">
        <w:rPr>
          <w:spacing w:val="37"/>
          <w:sz w:val="24"/>
        </w:rPr>
        <w:t xml:space="preserve"> </w:t>
      </w:r>
      <w:r w:rsidR="00033D0F">
        <w:rPr>
          <w:sz w:val="24"/>
        </w:rPr>
        <w:t>for</w:t>
      </w:r>
    </w:p>
    <w:p w14:paraId="0D66051F" w14:textId="77777777" w:rsidR="00BD462C" w:rsidRDefault="00033D0F">
      <w:pPr>
        <w:pStyle w:val="BodyText"/>
        <w:spacing w:before="3"/>
        <w:ind w:left="4124"/>
        <w:jc w:val="both"/>
      </w:pPr>
      <w:r>
        <w:t>;</w:t>
      </w:r>
      <w:r>
        <w:rPr>
          <w:spacing w:val="-33"/>
        </w:rPr>
        <w:t xml:space="preserve"> </w:t>
      </w:r>
      <w:hyperlink w:anchor="_bookmark162" w:history="1">
        <w:r>
          <w:rPr>
            <w:vertAlign w:val="superscript"/>
          </w:rPr>
          <w:t>126</w:t>
        </w:r>
      </w:hyperlink>
      <w:r>
        <w:rPr>
          <w:spacing w:val="-4"/>
        </w:rPr>
        <w:t xml:space="preserve"> </w:t>
      </w:r>
      <w:r>
        <w:rPr>
          <w:spacing w:val="-5"/>
        </w:rPr>
        <w:t>and</w:t>
      </w:r>
    </w:p>
    <w:p w14:paraId="1DDF2279" w14:textId="77777777" w:rsidR="00BD462C" w:rsidRDefault="00BD462C">
      <w:pPr>
        <w:pStyle w:val="BodyText"/>
        <w:spacing w:before="9"/>
        <w:rPr>
          <w:sz w:val="21"/>
        </w:rPr>
      </w:pPr>
    </w:p>
    <w:p w14:paraId="143A35E1" w14:textId="77777777" w:rsidR="00BD462C" w:rsidRDefault="00033D0F">
      <w:pPr>
        <w:pStyle w:val="ListParagraph"/>
        <w:numPr>
          <w:ilvl w:val="0"/>
          <w:numId w:val="63"/>
        </w:numPr>
        <w:tabs>
          <w:tab w:val="left" w:pos="1835"/>
          <w:tab w:val="left" w:pos="1836"/>
        </w:tabs>
        <w:spacing w:before="0" w:line="360" w:lineRule="auto"/>
        <w:ind w:right="920" w:hanging="855"/>
        <w:jc w:val="both"/>
        <w:rPr>
          <w:sz w:val="24"/>
        </w:rPr>
      </w:pPr>
      <w:r>
        <w:rPr>
          <w:sz w:val="24"/>
        </w:rPr>
        <w:t>for Casella Wines, the non-provision of Form 6-3 in the requested format, the</w:t>
      </w:r>
      <w:r>
        <w:rPr>
          <w:spacing w:val="-14"/>
          <w:sz w:val="24"/>
        </w:rPr>
        <w:t xml:space="preserve"> </w:t>
      </w:r>
      <w:r>
        <w:rPr>
          <w:sz w:val="24"/>
        </w:rPr>
        <w:t>absence</w:t>
      </w:r>
      <w:r>
        <w:rPr>
          <w:spacing w:val="-14"/>
          <w:sz w:val="24"/>
        </w:rPr>
        <w:t xml:space="preserve"> </w:t>
      </w:r>
      <w:r>
        <w:rPr>
          <w:sz w:val="24"/>
        </w:rPr>
        <w:t>of</w:t>
      </w:r>
      <w:r>
        <w:rPr>
          <w:spacing w:val="-13"/>
          <w:sz w:val="24"/>
        </w:rPr>
        <w:t xml:space="preserve"> </w:t>
      </w:r>
      <w:r>
        <w:rPr>
          <w:sz w:val="24"/>
        </w:rPr>
        <w:t>monthly</w:t>
      </w:r>
      <w:r>
        <w:rPr>
          <w:spacing w:val="-14"/>
          <w:sz w:val="24"/>
        </w:rPr>
        <w:t xml:space="preserve"> </w:t>
      </w:r>
      <w:r>
        <w:rPr>
          <w:sz w:val="24"/>
        </w:rPr>
        <w:t>cost</w:t>
      </w:r>
      <w:r>
        <w:rPr>
          <w:spacing w:val="-13"/>
          <w:sz w:val="24"/>
        </w:rPr>
        <w:t xml:space="preserve"> </w:t>
      </w:r>
      <w:r>
        <w:rPr>
          <w:sz w:val="24"/>
        </w:rPr>
        <w:t>of</w:t>
      </w:r>
      <w:r>
        <w:rPr>
          <w:spacing w:val="-14"/>
          <w:sz w:val="24"/>
        </w:rPr>
        <w:t xml:space="preserve"> </w:t>
      </w:r>
      <w:r>
        <w:rPr>
          <w:sz w:val="24"/>
        </w:rPr>
        <w:t>production,</w:t>
      </w:r>
      <w:r>
        <w:rPr>
          <w:spacing w:val="-13"/>
          <w:sz w:val="24"/>
        </w:rPr>
        <w:t xml:space="preserve"> </w:t>
      </w:r>
      <w:r>
        <w:rPr>
          <w:sz w:val="24"/>
        </w:rPr>
        <w:t>and</w:t>
      </w:r>
      <w:r>
        <w:rPr>
          <w:spacing w:val="-14"/>
          <w:sz w:val="24"/>
        </w:rPr>
        <w:t xml:space="preserve"> </w:t>
      </w:r>
      <w:r>
        <w:rPr>
          <w:sz w:val="24"/>
        </w:rPr>
        <w:t>the</w:t>
      </w:r>
      <w:r>
        <w:rPr>
          <w:spacing w:val="-14"/>
          <w:sz w:val="24"/>
        </w:rPr>
        <w:t xml:space="preserve"> </w:t>
      </w:r>
      <w:r>
        <w:rPr>
          <w:sz w:val="24"/>
        </w:rPr>
        <w:t>non-reporting</w:t>
      </w:r>
      <w:r>
        <w:rPr>
          <w:spacing w:val="-13"/>
          <w:sz w:val="24"/>
        </w:rPr>
        <w:t xml:space="preserve"> </w:t>
      </w:r>
      <w:r>
        <w:rPr>
          <w:sz w:val="24"/>
        </w:rPr>
        <w:t>of</w:t>
      </w:r>
      <w:r>
        <w:rPr>
          <w:spacing w:val="-14"/>
          <w:sz w:val="24"/>
        </w:rPr>
        <w:t xml:space="preserve"> </w:t>
      </w:r>
      <w:r>
        <w:rPr>
          <w:sz w:val="24"/>
        </w:rPr>
        <w:t>the</w:t>
      </w:r>
      <w:r>
        <w:rPr>
          <w:spacing w:val="-13"/>
          <w:sz w:val="24"/>
        </w:rPr>
        <w:t xml:space="preserve"> </w:t>
      </w:r>
      <w:r>
        <w:rPr>
          <w:sz w:val="24"/>
        </w:rPr>
        <w:t>cost of production of Clean Skin.</w:t>
      </w:r>
      <w:r>
        <w:rPr>
          <w:spacing w:val="-19"/>
          <w:sz w:val="24"/>
        </w:rPr>
        <w:t xml:space="preserve"> </w:t>
      </w:r>
      <w:hyperlink w:anchor="_bookmark163" w:history="1">
        <w:r>
          <w:rPr>
            <w:sz w:val="24"/>
            <w:vertAlign w:val="superscript"/>
          </w:rPr>
          <w:t>127</w:t>
        </w:r>
      </w:hyperlink>
    </w:p>
    <w:p w14:paraId="1831BBE0" w14:textId="49E6C747" w:rsidR="00BD462C" w:rsidRDefault="00033D0F" w:rsidP="00652F97">
      <w:pPr>
        <w:pStyle w:val="BodyText"/>
        <w:numPr>
          <w:ilvl w:val="0"/>
          <w:numId w:val="68"/>
        </w:numPr>
        <w:spacing w:before="125" w:line="357" w:lineRule="auto"/>
        <w:ind w:right="910"/>
      </w:pPr>
      <w:r>
        <w:rPr>
          <w:position w:val="1"/>
        </w:rPr>
        <w:t>Australia</w:t>
      </w:r>
      <w:r>
        <w:rPr>
          <w:spacing w:val="34"/>
          <w:position w:val="1"/>
        </w:rPr>
        <w:t xml:space="preserve"> </w:t>
      </w:r>
      <w:r>
        <w:rPr>
          <w:position w:val="1"/>
        </w:rPr>
        <w:t>does</w:t>
      </w:r>
      <w:r>
        <w:rPr>
          <w:spacing w:val="36"/>
          <w:position w:val="1"/>
        </w:rPr>
        <w:t xml:space="preserve"> </w:t>
      </w:r>
      <w:r>
        <w:rPr>
          <w:position w:val="1"/>
        </w:rPr>
        <w:t>not</w:t>
      </w:r>
      <w:r>
        <w:rPr>
          <w:spacing w:val="35"/>
          <w:position w:val="1"/>
        </w:rPr>
        <w:t xml:space="preserve"> </w:t>
      </w:r>
      <w:r>
        <w:rPr>
          <w:position w:val="1"/>
        </w:rPr>
        <w:t>contend</w:t>
      </w:r>
      <w:r>
        <w:rPr>
          <w:spacing w:val="33"/>
          <w:position w:val="1"/>
        </w:rPr>
        <w:t xml:space="preserve"> </w:t>
      </w:r>
      <w:r>
        <w:rPr>
          <w:position w:val="1"/>
        </w:rPr>
        <w:t>that</w:t>
      </w:r>
      <w:r>
        <w:rPr>
          <w:spacing w:val="35"/>
          <w:position w:val="1"/>
        </w:rPr>
        <w:t xml:space="preserve"> </w:t>
      </w:r>
      <w:r>
        <w:rPr>
          <w:position w:val="1"/>
        </w:rPr>
        <w:t>it</w:t>
      </w:r>
      <w:r>
        <w:rPr>
          <w:spacing w:val="35"/>
          <w:position w:val="1"/>
        </w:rPr>
        <w:t xml:space="preserve"> </w:t>
      </w:r>
      <w:r>
        <w:rPr>
          <w:position w:val="1"/>
        </w:rPr>
        <w:t>was</w:t>
      </w:r>
      <w:r>
        <w:rPr>
          <w:spacing w:val="36"/>
          <w:position w:val="1"/>
        </w:rPr>
        <w:t xml:space="preserve"> </w:t>
      </w:r>
      <w:r>
        <w:rPr>
          <w:position w:val="1"/>
        </w:rPr>
        <w:t>necessary</w:t>
      </w:r>
      <w:r>
        <w:rPr>
          <w:spacing w:val="36"/>
          <w:position w:val="1"/>
        </w:rPr>
        <w:t xml:space="preserve"> </w:t>
      </w:r>
      <w:r>
        <w:rPr>
          <w:position w:val="1"/>
        </w:rPr>
        <w:t>for</w:t>
      </w:r>
      <w:r>
        <w:rPr>
          <w:spacing w:val="32"/>
          <w:position w:val="1"/>
        </w:rPr>
        <w:t xml:space="preserve"> </w:t>
      </w:r>
      <w:r>
        <w:rPr>
          <w:position w:val="1"/>
        </w:rPr>
        <w:t>MOFCOM</w:t>
      </w:r>
      <w:r>
        <w:rPr>
          <w:spacing w:val="35"/>
          <w:position w:val="1"/>
        </w:rPr>
        <w:t xml:space="preserve"> </w:t>
      </w:r>
      <w:r>
        <w:rPr>
          <w:position w:val="1"/>
        </w:rPr>
        <w:t>to</w:t>
      </w:r>
      <w:r>
        <w:rPr>
          <w:spacing w:val="32"/>
          <w:position w:val="1"/>
        </w:rPr>
        <w:t xml:space="preserve"> </w:t>
      </w:r>
      <w:r>
        <w:rPr>
          <w:position w:val="1"/>
        </w:rPr>
        <w:t>assign</w:t>
      </w:r>
      <w:r>
        <w:rPr>
          <w:spacing w:val="33"/>
          <w:position w:val="1"/>
        </w:rPr>
        <w:t xml:space="preserve"> </w:t>
      </w:r>
      <w:r>
        <w:rPr>
          <w:position w:val="1"/>
        </w:rPr>
        <w:t xml:space="preserve">specific </w:t>
      </w:r>
      <w:r>
        <w:t>weightings</w:t>
      </w:r>
      <w:r>
        <w:rPr>
          <w:spacing w:val="-1"/>
        </w:rPr>
        <w:t xml:space="preserve"> </w:t>
      </w:r>
      <w:r>
        <w:t>in</w:t>
      </w:r>
      <w:r>
        <w:rPr>
          <w:spacing w:val="-4"/>
        </w:rPr>
        <w:t xml:space="preserve"> </w:t>
      </w:r>
      <w:r>
        <w:t>its determinations</w:t>
      </w:r>
      <w:r>
        <w:rPr>
          <w:spacing w:val="-1"/>
        </w:rPr>
        <w:t xml:space="preserve"> </w:t>
      </w:r>
      <w:r>
        <w:t>to</w:t>
      </w:r>
      <w:r>
        <w:rPr>
          <w:spacing w:val="-5"/>
        </w:rPr>
        <w:t xml:space="preserve"> </w:t>
      </w:r>
      <w:r>
        <w:t>the</w:t>
      </w:r>
      <w:r>
        <w:rPr>
          <w:spacing w:val="-2"/>
        </w:rPr>
        <w:t xml:space="preserve"> </w:t>
      </w:r>
      <w:r>
        <w:t>reasons</w:t>
      </w:r>
      <w:r>
        <w:rPr>
          <w:spacing w:val="-1"/>
        </w:rPr>
        <w:t xml:space="preserve"> </w:t>
      </w:r>
      <w:r>
        <w:t>identified</w:t>
      </w:r>
      <w:r>
        <w:rPr>
          <w:spacing w:val="-3"/>
        </w:rPr>
        <w:t xml:space="preserve"> </w:t>
      </w:r>
      <w:r>
        <w:t>above.</w:t>
      </w:r>
      <w:r>
        <w:rPr>
          <w:spacing w:val="-1"/>
        </w:rPr>
        <w:t xml:space="preserve"> </w:t>
      </w:r>
      <w:r>
        <w:t>However, to</w:t>
      </w:r>
      <w:r>
        <w:rPr>
          <w:spacing w:val="-4"/>
        </w:rPr>
        <w:t xml:space="preserve"> </w:t>
      </w:r>
      <w:r>
        <w:t>the</w:t>
      </w:r>
      <w:r>
        <w:rPr>
          <w:spacing w:val="-3"/>
        </w:rPr>
        <w:t xml:space="preserve"> </w:t>
      </w:r>
      <w:r>
        <w:t>extent</w:t>
      </w:r>
      <w:r>
        <w:rPr>
          <w:spacing w:val="-1"/>
        </w:rPr>
        <w:t xml:space="preserve"> </w:t>
      </w:r>
      <w:r>
        <w:rPr>
          <w:spacing w:val="-4"/>
        </w:rPr>
        <w:t>that</w:t>
      </w:r>
    </w:p>
    <w:p w14:paraId="470150A0" w14:textId="77777777" w:rsidR="00BD462C" w:rsidRDefault="00BD462C">
      <w:pPr>
        <w:pStyle w:val="BodyText"/>
        <w:rPr>
          <w:sz w:val="20"/>
        </w:rPr>
      </w:pPr>
    </w:p>
    <w:p w14:paraId="187ED235" w14:textId="094EB899" w:rsidR="00BD462C" w:rsidRDefault="009A6330">
      <w:pPr>
        <w:pStyle w:val="BodyText"/>
        <w:spacing w:before="2"/>
        <w:rPr>
          <w:sz w:val="12"/>
        </w:rPr>
      </w:pPr>
      <w:r>
        <w:rPr>
          <w:noProof/>
        </w:rPr>
        <mc:AlternateContent>
          <mc:Choice Requires="wps">
            <w:drawing>
              <wp:anchor distT="0" distB="0" distL="0" distR="0" simplePos="0" relativeHeight="487983616" behindDoc="1" locked="0" layoutInCell="1" allowOverlap="1" wp14:anchorId="2C0C6E92" wp14:editId="6BD0C8F2">
                <wp:simplePos x="0" y="0"/>
                <wp:positionH relativeFrom="page">
                  <wp:posOffset>812800</wp:posOffset>
                </wp:positionH>
                <wp:positionV relativeFrom="paragraph">
                  <wp:posOffset>97790</wp:posOffset>
                </wp:positionV>
                <wp:extent cx="1828800" cy="8890"/>
                <wp:effectExtent l="0" t="0" r="0" b="0"/>
                <wp:wrapTopAndBottom/>
                <wp:docPr id="742" name="docshape7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1D2D44" id="docshape712" o:spid="_x0000_s1026" alt="&quot;&quot;" style="position:absolute;margin-left:64pt;margin-top:7.7pt;width:2in;height:.7pt;z-index:-15332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" fillcolor="black" stroked="f">
                <w10:wrap type="topAndBottom" anchorx="page"/>
              </v:rect>
            </w:pict>
          </mc:Fallback>
        </mc:AlternateContent>
      </w:r>
    </w:p>
    <w:p w14:paraId="54530B0D" w14:textId="77777777" w:rsidR="00BD462C" w:rsidRDefault="00033D0F">
      <w:pPr>
        <w:spacing w:before="112"/>
        <w:ind w:left="135"/>
        <w:rPr>
          <w:sz w:val="18"/>
        </w:rPr>
      </w:pPr>
      <w:bookmarkStart w:id="182" w:name="_bookmark156"/>
      <w:bookmarkEnd w:id="182"/>
      <w:r>
        <w:rPr>
          <w:position w:val="5"/>
          <w:sz w:val="12"/>
        </w:rPr>
        <w:t>120</w:t>
      </w:r>
      <w:r>
        <w:rPr>
          <w:spacing w:val="13"/>
          <w:position w:val="5"/>
          <w:sz w:val="12"/>
        </w:rPr>
        <w:t xml:space="preserve"> </w:t>
      </w:r>
      <w:r>
        <w:rPr>
          <w:sz w:val="18"/>
        </w:rPr>
        <w:t>China's</w:t>
      </w:r>
      <w:r>
        <w:rPr>
          <w:spacing w:val="-5"/>
          <w:sz w:val="18"/>
        </w:rPr>
        <w:t xml:space="preserve"> </w:t>
      </w:r>
      <w:r>
        <w:rPr>
          <w:sz w:val="18"/>
        </w:rPr>
        <w:t>first</w:t>
      </w:r>
      <w:r>
        <w:rPr>
          <w:spacing w:val="-4"/>
          <w:sz w:val="18"/>
        </w:rPr>
        <w:t xml:space="preserve"> </w:t>
      </w:r>
      <w:r>
        <w:rPr>
          <w:sz w:val="18"/>
        </w:rPr>
        <w:t>written</w:t>
      </w:r>
      <w:r>
        <w:rPr>
          <w:spacing w:val="-5"/>
          <w:sz w:val="18"/>
        </w:rPr>
        <w:t xml:space="preserve"> </w:t>
      </w:r>
      <w:r>
        <w:rPr>
          <w:sz w:val="18"/>
        </w:rPr>
        <w:t>submission,</w:t>
      </w:r>
      <w:r>
        <w:rPr>
          <w:spacing w:val="1"/>
          <w:sz w:val="18"/>
        </w:rPr>
        <w:t xml:space="preserve"> </w:t>
      </w:r>
      <w:r>
        <w:rPr>
          <w:sz w:val="18"/>
        </w:rPr>
        <w:t>paras.</w:t>
      </w:r>
      <w:r>
        <w:rPr>
          <w:spacing w:val="-4"/>
          <w:sz w:val="18"/>
        </w:rPr>
        <w:t xml:space="preserve"> </w:t>
      </w:r>
      <w:r>
        <w:rPr>
          <w:sz w:val="18"/>
        </w:rPr>
        <w:t>372,</w:t>
      </w:r>
      <w:r>
        <w:rPr>
          <w:spacing w:val="-3"/>
          <w:sz w:val="18"/>
        </w:rPr>
        <w:t xml:space="preserve"> </w:t>
      </w:r>
      <w:r>
        <w:rPr>
          <w:sz w:val="18"/>
        </w:rPr>
        <w:t>433,</w:t>
      </w:r>
      <w:r>
        <w:rPr>
          <w:spacing w:val="2"/>
          <w:sz w:val="18"/>
        </w:rPr>
        <w:t xml:space="preserve"> </w:t>
      </w:r>
      <w:r>
        <w:rPr>
          <w:sz w:val="18"/>
        </w:rPr>
        <w:t>437;</w:t>
      </w:r>
      <w:r>
        <w:rPr>
          <w:spacing w:val="-7"/>
          <w:sz w:val="18"/>
        </w:rPr>
        <w:t xml:space="preserve"> </w:t>
      </w:r>
      <w:r>
        <w:rPr>
          <w:sz w:val="18"/>
        </w:rPr>
        <w:t>response</w:t>
      </w:r>
      <w:r>
        <w:rPr>
          <w:spacing w:val="-5"/>
          <w:sz w:val="18"/>
        </w:rPr>
        <w:t xml:space="preserve"> </w:t>
      </w:r>
      <w:r>
        <w:rPr>
          <w:sz w:val="18"/>
        </w:rPr>
        <w:t>to</w:t>
      </w:r>
      <w:r>
        <w:rPr>
          <w:spacing w:val="-6"/>
          <w:sz w:val="18"/>
        </w:rPr>
        <w:t xml:space="preserve"> </w:t>
      </w:r>
      <w:r>
        <w:rPr>
          <w:sz w:val="18"/>
        </w:rPr>
        <w:t>Panel</w:t>
      </w:r>
      <w:r>
        <w:rPr>
          <w:spacing w:val="-5"/>
          <w:sz w:val="18"/>
        </w:rPr>
        <w:t xml:space="preserve"> </w:t>
      </w:r>
      <w:r>
        <w:rPr>
          <w:sz w:val="18"/>
        </w:rPr>
        <w:t>question</w:t>
      </w:r>
      <w:r>
        <w:rPr>
          <w:spacing w:val="-6"/>
          <w:sz w:val="18"/>
        </w:rPr>
        <w:t xml:space="preserve"> </w:t>
      </w:r>
      <w:r>
        <w:rPr>
          <w:sz w:val="18"/>
        </w:rPr>
        <w:t>No.</w:t>
      </w:r>
      <w:r>
        <w:rPr>
          <w:spacing w:val="1"/>
          <w:sz w:val="18"/>
        </w:rPr>
        <w:t xml:space="preserve"> </w:t>
      </w:r>
      <w:r>
        <w:rPr>
          <w:sz w:val="18"/>
        </w:rPr>
        <w:t>2,</w:t>
      </w:r>
      <w:r>
        <w:rPr>
          <w:spacing w:val="-3"/>
          <w:sz w:val="18"/>
        </w:rPr>
        <w:t xml:space="preserve"> </w:t>
      </w:r>
      <w:r>
        <w:rPr>
          <w:sz w:val="18"/>
        </w:rPr>
        <w:t>para.</w:t>
      </w:r>
      <w:r>
        <w:rPr>
          <w:spacing w:val="-3"/>
          <w:sz w:val="18"/>
        </w:rPr>
        <w:t xml:space="preserve"> </w:t>
      </w:r>
      <w:r>
        <w:rPr>
          <w:spacing w:val="-5"/>
          <w:sz w:val="18"/>
        </w:rPr>
        <w:t>7.</w:t>
      </w:r>
    </w:p>
    <w:p w14:paraId="10DBDCB9" w14:textId="77777777" w:rsidR="00BD462C" w:rsidRDefault="00033D0F">
      <w:pPr>
        <w:spacing w:before="1"/>
        <w:ind w:left="135"/>
        <w:rPr>
          <w:sz w:val="18"/>
        </w:rPr>
      </w:pPr>
      <w:bookmarkStart w:id="183" w:name="_bookmark157"/>
      <w:bookmarkEnd w:id="183"/>
      <w:r>
        <w:rPr>
          <w:position w:val="5"/>
          <w:sz w:val="12"/>
        </w:rPr>
        <w:t>121</w:t>
      </w:r>
      <w:r>
        <w:rPr>
          <w:spacing w:val="13"/>
          <w:position w:val="5"/>
          <w:sz w:val="12"/>
        </w:rPr>
        <w:t xml:space="preserve"> </w:t>
      </w:r>
      <w:r>
        <w:rPr>
          <w:sz w:val="18"/>
        </w:rPr>
        <w:t>China's</w:t>
      </w:r>
      <w:r>
        <w:rPr>
          <w:spacing w:val="-4"/>
          <w:sz w:val="18"/>
        </w:rPr>
        <w:t xml:space="preserve"> </w:t>
      </w:r>
      <w:r>
        <w:rPr>
          <w:sz w:val="18"/>
        </w:rPr>
        <w:t>first</w:t>
      </w:r>
      <w:r>
        <w:rPr>
          <w:spacing w:val="-4"/>
          <w:sz w:val="18"/>
        </w:rPr>
        <w:t xml:space="preserve"> </w:t>
      </w:r>
      <w:r>
        <w:rPr>
          <w:sz w:val="18"/>
        </w:rPr>
        <w:t>written</w:t>
      </w:r>
      <w:r>
        <w:rPr>
          <w:spacing w:val="-6"/>
          <w:sz w:val="18"/>
        </w:rPr>
        <w:t xml:space="preserve"> </w:t>
      </w:r>
      <w:r>
        <w:rPr>
          <w:sz w:val="18"/>
        </w:rPr>
        <w:t>submission,</w:t>
      </w:r>
      <w:r>
        <w:rPr>
          <w:spacing w:val="2"/>
          <w:sz w:val="18"/>
        </w:rPr>
        <w:t xml:space="preserve"> </w:t>
      </w:r>
      <w:r>
        <w:rPr>
          <w:sz w:val="18"/>
        </w:rPr>
        <w:t>para.</w:t>
      </w:r>
      <w:r>
        <w:rPr>
          <w:spacing w:val="1"/>
          <w:sz w:val="18"/>
        </w:rPr>
        <w:t xml:space="preserve"> </w:t>
      </w:r>
      <w:r>
        <w:rPr>
          <w:sz w:val="18"/>
        </w:rPr>
        <w:t>412;</w:t>
      </w:r>
      <w:r>
        <w:rPr>
          <w:spacing w:val="-7"/>
          <w:sz w:val="18"/>
        </w:rPr>
        <w:t xml:space="preserve"> </w:t>
      </w:r>
      <w:r>
        <w:rPr>
          <w:sz w:val="18"/>
        </w:rPr>
        <w:t>response</w:t>
      </w:r>
      <w:r>
        <w:rPr>
          <w:spacing w:val="-4"/>
          <w:sz w:val="18"/>
        </w:rPr>
        <w:t xml:space="preserve"> </w:t>
      </w:r>
      <w:r>
        <w:rPr>
          <w:sz w:val="18"/>
        </w:rPr>
        <w:t>to</w:t>
      </w:r>
      <w:r>
        <w:rPr>
          <w:spacing w:val="-6"/>
          <w:sz w:val="18"/>
        </w:rPr>
        <w:t xml:space="preserve"> </w:t>
      </w:r>
      <w:r>
        <w:rPr>
          <w:sz w:val="18"/>
        </w:rPr>
        <w:t>Panel</w:t>
      </w:r>
      <w:r>
        <w:rPr>
          <w:spacing w:val="-4"/>
          <w:sz w:val="18"/>
        </w:rPr>
        <w:t xml:space="preserve"> </w:t>
      </w:r>
      <w:r>
        <w:rPr>
          <w:sz w:val="18"/>
        </w:rPr>
        <w:t>question</w:t>
      </w:r>
      <w:r>
        <w:rPr>
          <w:spacing w:val="-9"/>
          <w:sz w:val="18"/>
        </w:rPr>
        <w:t xml:space="preserve"> </w:t>
      </w:r>
      <w:r>
        <w:rPr>
          <w:sz w:val="18"/>
        </w:rPr>
        <w:t>No.</w:t>
      </w:r>
      <w:r>
        <w:rPr>
          <w:spacing w:val="-4"/>
          <w:sz w:val="18"/>
        </w:rPr>
        <w:t xml:space="preserve"> </w:t>
      </w:r>
      <w:r>
        <w:rPr>
          <w:sz w:val="18"/>
        </w:rPr>
        <w:t>2,</w:t>
      </w:r>
      <w:r>
        <w:rPr>
          <w:spacing w:val="2"/>
          <w:sz w:val="18"/>
        </w:rPr>
        <w:t xml:space="preserve"> </w:t>
      </w:r>
      <w:r>
        <w:rPr>
          <w:sz w:val="18"/>
        </w:rPr>
        <w:t>para.</w:t>
      </w:r>
      <w:r>
        <w:rPr>
          <w:spacing w:val="-4"/>
          <w:sz w:val="18"/>
        </w:rPr>
        <w:t xml:space="preserve"> </w:t>
      </w:r>
      <w:r>
        <w:rPr>
          <w:spacing w:val="-5"/>
          <w:sz w:val="18"/>
        </w:rPr>
        <w:t>9.</w:t>
      </w:r>
    </w:p>
    <w:p w14:paraId="5DAF675E" w14:textId="77777777" w:rsidR="00BD462C" w:rsidRDefault="00033D0F">
      <w:pPr>
        <w:spacing w:before="1"/>
        <w:ind w:left="135"/>
        <w:rPr>
          <w:sz w:val="18"/>
        </w:rPr>
      </w:pPr>
      <w:bookmarkStart w:id="184" w:name="_bookmark158"/>
      <w:bookmarkEnd w:id="184"/>
      <w:r>
        <w:rPr>
          <w:position w:val="5"/>
          <w:sz w:val="12"/>
        </w:rPr>
        <w:t>122</w:t>
      </w:r>
      <w:r>
        <w:rPr>
          <w:spacing w:val="13"/>
          <w:position w:val="5"/>
          <w:sz w:val="12"/>
        </w:rPr>
        <w:t xml:space="preserve"> </w:t>
      </w:r>
      <w:r>
        <w:rPr>
          <w:sz w:val="18"/>
        </w:rPr>
        <w:t>China's response</w:t>
      </w:r>
      <w:r>
        <w:rPr>
          <w:spacing w:val="-4"/>
          <w:sz w:val="18"/>
        </w:rPr>
        <w:t xml:space="preserve"> </w:t>
      </w:r>
      <w:r>
        <w:rPr>
          <w:sz w:val="18"/>
        </w:rPr>
        <w:t>to</w:t>
      </w:r>
      <w:r>
        <w:rPr>
          <w:spacing w:val="-10"/>
          <w:sz w:val="18"/>
        </w:rPr>
        <w:t xml:space="preserve"> </w:t>
      </w:r>
      <w:r>
        <w:rPr>
          <w:sz w:val="18"/>
        </w:rPr>
        <w:t>Panel</w:t>
      </w:r>
      <w:r>
        <w:rPr>
          <w:spacing w:val="-4"/>
          <w:sz w:val="18"/>
        </w:rPr>
        <w:t xml:space="preserve"> </w:t>
      </w:r>
      <w:r>
        <w:rPr>
          <w:sz w:val="18"/>
        </w:rPr>
        <w:t>question</w:t>
      </w:r>
      <w:r>
        <w:rPr>
          <w:spacing w:val="-6"/>
          <w:sz w:val="18"/>
        </w:rPr>
        <w:t xml:space="preserve"> </w:t>
      </w:r>
      <w:r>
        <w:rPr>
          <w:sz w:val="18"/>
        </w:rPr>
        <w:t>No.</w:t>
      </w:r>
      <w:r>
        <w:rPr>
          <w:spacing w:val="1"/>
          <w:sz w:val="18"/>
        </w:rPr>
        <w:t xml:space="preserve"> </w:t>
      </w:r>
      <w:r>
        <w:rPr>
          <w:sz w:val="18"/>
        </w:rPr>
        <w:t>2,</w:t>
      </w:r>
      <w:r>
        <w:rPr>
          <w:spacing w:val="-3"/>
          <w:sz w:val="18"/>
        </w:rPr>
        <w:t xml:space="preserve"> </w:t>
      </w:r>
      <w:r>
        <w:rPr>
          <w:sz w:val="18"/>
        </w:rPr>
        <w:t>paras.</w:t>
      </w:r>
      <w:r>
        <w:rPr>
          <w:spacing w:val="1"/>
          <w:sz w:val="18"/>
        </w:rPr>
        <w:t xml:space="preserve"> </w:t>
      </w:r>
      <w:r>
        <w:rPr>
          <w:sz w:val="18"/>
        </w:rPr>
        <w:t>19-</w:t>
      </w:r>
      <w:r>
        <w:rPr>
          <w:spacing w:val="-5"/>
          <w:sz w:val="18"/>
        </w:rPr>
        <w:t>20.</w:t>
      </w:r>
    </w:p>
    <w:p w14:paraId="2D1D69E6" w14:textId="77777777" w:rsidR="00BD462C" w:rsidRDefault="00033D0F">
      <w:pPr>
        <w:spacing w:before="1" w:line="218" w:lineRule="exact"/>
        <w:ind w:left="135"/>
        <w:rPr>
          <w:sz w:val="18"/>
        </w:rPr>
      </w:pPr>
      <w:bookmarkStart w:id="185" w:name="_bookmark159"/>
      <w:bookmarkEnd w:id="185"/>
      <w:r>
        <w:rPr>
          <w:position w:val="5"/>
          <w:sz w:val="12"/>
        </w:rPr>
        <w:t>123</w:t>
      </w:r>
      <w:r>
        <w:rPr>
          <w:spacing w:val="13"/>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 xml:space="preserve">para. </w:t>
      </w:r>
      <w:r>
        <w:rPr>
          <w:spacing w:val="-4"/>
          <w:sz w:val="18"/>
        </w:rPr>
        <w:t>548.</w:t>
      </w:r>
    </w:p>
    <w:p w14:paraId="5C7473D8" w14:textId="77777777" w:rsidR="00BD462C" w:rsidRDefault="00033D0F">
      <w:pPr>
        <w:spacing w:line="218" w:lineRule="exact"/>
        <w:ind w:left="135"/>
        <w:rPr>
          <w:sz w:val="18"/>
        </w:rPr>
      </w:pPr>
      <w:bookmarkStart w:id="186" w:name="_bookmark160"/>
      <w:bookmarkEnd w:id="186"/>
      <w:r>
        <w:rPr>
          <w:position w:val="5"/>
          <w:sz w:val="12"/>
        </w:rPr>
        <w:t>124</w:t>
      </w:r>
      <w:r>
        <w:rPr>
          <w:spacing w:val="13"/>
          <w:position w:val="5"/>
          <w:sz w:val="12"/>
        </w:rPr>
        <w:t xml:space="preserve"> </w:t>
      </w:r>
      <w:r>
        <w:rPr>
          <w:sz w:val="18"/>
        </w:rPr>
        <w:t>China's</w:t>
      </w:r>
      <w:r>
        <w:rPr>
          <w:spacing w:val="-4"/>
          <w:sz w:val="18"/>
        </w:rPr>
        <w:t xml:space="preserve"> </w:t>
      </w:r>
      <w:r>
        <w:rPr>
          <w:sz w:val="18"/>
        </w:rPr>
        <w:t>first</w:t>
      </w:r>
      <w:r>
        <w:rPr>
          <w:spacing w:val="-4"/>
          <w:sz w:val="18"/>
        </w:rPr>
        <w:t xml:space="preserve"> </w:t>
      </w:r>
      <w:r>
        <w:rPr>
          <w:sz w:val="18"/>
        </w:rPr>
        <w:t>written</w:t>
      </w:r>
      <w:r>
        <w:rPr>
          <w:spacing w:val="-6"/>
          <w:sz w:val="18"/>
        </w:rPr>
        <w:t xml:space="preserve"> </w:t>
      </w:r>
      <w:r>
        <w:rPr>
          <w:sz w:val="18"/>
        </w:rPr>
        <w:t>submission,</w:t>
      </w:r>
      <w:r>
        <w:rPr>
          <w:spacing w:val="2"/>
          <w:sz w:val="18"/>
        </w:rPr>
        <w:t xml:space="preserve"> </w:t>
      </w:r>
      <w:r>
        <w:rPr>
          <w:sz w:val="18"/>
        </w:rPr>
        <w:t>paras.</w:t>
      </w:r>
      <w:r>
        <w:rPr>
          <w:spacing w:val="-4"/>
          <w:sz w:val="18"/>
        </w:rPr>
        <w:t xml:space="preserve"> </w:t>
      </w:r>
      <w:r>
        <w:rPr>
          <w:sz w:val="18"/>
        </w:rPr>
        <w:t>651-652;</w:t>
      </w:r>
      <w:r>
        <w:rPr>
          <w:spacing w:val="-7"/>
          <w:sz w:val="18"/>
        </w:rPr>
        <w:t xml:space="preserve"> </w:t>
      </w:r>
      <w:r>
        <w:rPr>
          <w:sz w:val="18"/>
        </w:rPr>
        <w:t>response</w:t>
      </w:r>
      <w:r>
        <w:rPr>
          <w:spacing w:val="-5"/>
          <w:sz w:val="18"/>
        </w:rPr>
        <w:t xml:space="preserve"> </w:t>
      </w:r>
      <w:r>
        <w:rPr>
          <w:sz w:val="18"/>
        </w:rPr>
        <w:t>to</w:t>
      </w:r>
      <w:r>
        <w:rPr>
          <w:spacing w:val="-5"/>
          <w:sz w:val="18"/>
        </w:rPr>
        <w:t xml:space="preserve"> </w:t>
      </w:r>
      <w:r>
        <w:rPr>
          <w:sz w:val="18"/>
        </w:rPr>
        <w:t>Panel</w:t>
      </w:r>
      <w:r>
        <w:rPr>
          <w:spacing w:val="-4"/>
          <w:sz w:val="18"/>
        </w:rPr>
        <w:t xml:space="preserve"> </w:t>
      </w:r>
      <w:r>
        <w:rPr>
          <w:sz w:val="18"/>
        </w:rPr>
        <w:t>question</w:t>
      </w:r>
      <w:r>
        <w:rPr>
          <w:spacing w:val="-6"/>
          <w:sz w:val="18"/>
        </w:rPr>
        <w:t xml:space="preserve"> </w:t>
      </w:r>
      <w:r>
        <w:rPr>
          <w:sz w:val="18"/>
        </w:rPr>
        <w:t>No.</w:t>
      </w:r>
      <w:r>
        <w:rPr>
          <w:spacing w:val="-4"/>
          <w:sz w:val="18"/>
        </w:rPr>
        <w:t xml:space="preserve"> </w:t>
      </w:r>
      <w:r>
        <w:rPr>
          <w:sz w:val="18"/>
        </w:rPr>
        <w:t>2,</w:t>
      </w:r>
      <w:r>
        <w:rPr>
          <w:spacing w:val="-3"/>
          <w:sz w:val="18"/>
        </w:rPr>
        <w:t xml:space="preserve"> </w:t>
      </w:r>
      <w:r>
        <w:rPr>
          <w:sz w:val="18"/>
        </w:rPr>
        <w:t>para.</w:t>
      </w:r>
      <w:r>
        <w:rPr>
          <w:spacing w:val="1"/>
          <w:sz w:val="18"/>
        </w:rPr>
        <w:t xml:space="preserve"> </w:t>
      </w:r>
      <w:r>
        <w:rPr>
          <w:spacing w:val="-5"/>
          <w:sz w:val="18"/>
        </w:rPr>
        <w:t>22.</w:t>
      </w:r>
    </w:p>
    <w:p w14:paraId="7A8D16C2" w14:textId="77777777" w:rsidR="00BD462C" w:rsidRDefault="00033D0F">
      <w:pPr>
        <w:spacing w:before="1"/>
        <w:ind w:left="135"/>
        <w:rPr>
          <w:sz w:val="18"/>
        </w:rPr>
      </w:pPr>
      <w:bookmarkStart w:id="187" w:name="_bookmark161"/>
      <w:bookmarkEnd w:id="187"/>
      <w:r>
        <w:rPr>
          <w:position w:val="5"/>
          <w:sz w:val="12"/>
        </w:rPr>
        <w:t>125</w:t>
      </w:r>
      <w:r>
        <w:rPr>
          <w:spacing w:val="31"/>
          <w:position w:val="5"/>
          <w:sz w:val="12"/>
        </w:rPr>
        <w:t xml:space="preserve"> </w:t>
      </w:r>
      <w:r>
        <w:rPr>
          <w:sz w:val="18"/>
        </w:rPr>
        <w:t>China's</w:t>
      </w:r>
      <w:r>
        <w:rPr>
          <w:spacing w:val="12"/>
          <w:sz w:val="18"/>
        </w:rPr>
        <w:t xml:space="preserve"> </w:t>
      </w:r>
      <w:r>
        <w:rPr>
          <w:sz w:val="18"/>
        </w:rPr>
        <w:t>first</w:t>
      </w:r>
      <w:r>
        <w:rPr>
          <w:spacing w:val="14"/>
          <w:sz w:val="18"/>
        </w:rPr>
        <w:t xml:space="preserve"> </w:t>
      </w:r>
      <w:r>
        <w:rPr>
          <w:sz w:val="18"/>
        </w:rPr>
        <w:t>written</w:t>
      </w:r>
      <w:r>
        <w:rPr>
          <w:spacing w:val="12"/>
          <w:sz w:val="18"/>
        </w:rPr>
        <w:t xml:space="preserve"> </w:t>
      </w:r>
      <w:r>
        <w:rPr>
          <w:sz w:val="18"/>
        </w:rPr>
        <w:t>submission,</w:t>
      </w:r>
      <w:r>
        <w:rPr>
          <w:spacing w:val="14"/>
          <w:sz w:val="18"/>
        </w:rPr>
        <w:t xml:space="preserve"> </w:t>
      </w:r>
      <w:r>
        <w:rPr>
          <w:sz w:val="18"/>
        </w:rPr>
        <w:t>paras.</w:t>
      </w:r>
      <w:r>
        <w:rPr>
          <w:spacing w:val="14"/>
          <w:sz w:val="18"/>
        </w:rPr>
        <w:t xml:space="preserve"> </w:t>
      </w:r>
      <w:r>
        <w:rPr>
          <w:sz w:val="18"/>
        </w:rPr>
        <w:t>274-277,</w:t>
      </w:r>
      <w:r>
        <w:rPr>
          <w:spacing w:val="18"/>
          <w:sz w:val="18"/>
        </w:rPr>
        <w:t xml:space="preserve"> </w:t>
      </w:r>
      <w:r>
        <w:rPr>
          <w:sz w:val="18"/>
        </w:rPr>
        <w:t>352,</w:t>
      </w:r>
      <w:r>
        <w:rPr>
          <w:spacing w:val="15"/>
          <w:sz w:val="18"/>
        </w:rPr>
        <w:t xml:space="preserve"> </w:t>
      </w:r>
      <w:r>
        <w:rPr>
          <w:sz w:val="18"/>
        </w:rPr>
        <w:t>357-358,</w:t>
      </w:r>
      <w:r>
        <w:rPr>
          <w:spacing w:val="18"/>
          <w:sz w:val="18"/>
        </w:rPr>
        <w:t xml:space="preserve"> </w:t>
      </w:r>
      <w:r>
        <w:rPr>
          <w:sz w:val="18"/>
        </w:rPr>
        <w:t>361-364,</w:t>
      </w:r>
      <w:r>
        <w:rPr>
          <w:spacing w:val="14"/>
          <w:sz w:val="18"/>
        </w:rPr>
        <w:t xml:space="preserve"> </w:t>
      </w:r>
      <w:r>
        <w:rPr>
          <w:sz w:val="18"/>
        </w:rPr>
        <w:t>407;</w:t>
      </w:r>
      <w:r>
        <w:rPr>
          <w:spacing w:val="16"/>
          <w:sz w:val="18"/>
        </w:rPr>
        <w:t xml:space="preserve"> </w:t>
      </w:r>
      <w:r>
        <w:rPr>
          <w:sz w:val="18"/>
        </w:rPr>
        <w:t>response</w:t>
      </w:r>
      <w:r>
        <w:rPr>
          <w:spacing w:val="13"/>
          <w:sz w:val="18"/>
        </w:rPr>
        <w:t xml:space="preserve"> </w:t>
      </w:r>
      <w:r>
        <w:rPr>
          <w:sz w:val="18"/>
        </w:rPr>
        <w:t>to</w:t>
      </w:r>
      <w:r>
        <w:rPr>
          <w:spacing w:val="11"/>
          <w:sz w:val="18"/>
        </w:rPr>
        <w:t xml:space="preserve"> </w:t>
      </w:r>
      <w:r>
        <w:rPr>
          <w:sz w:val="18"/>
        </w:rPr>
        <w:t>Panel</w:t>
      </w:r>
      <w:r>
        <w:rPr>
          <w:spacing w:val="13"/>
          <w:sz w:val="18"/>
        </w:rPr>
        <w:t xml:space="preserve"> </w:t>
      </w:r>
      <w:r>
        <w:rPr>
          <w:sz w:val="18"/>
        </w:rPr>
        <w:t>question</w:t>
      </w:r>
      <w:r>
        <w:rPr>
          <w:spacing w:val="13"/>
          <w:sz w:val="18"/>
        </w:rPr>
        <w:t xml:space="preserve"> </w:t>
      </w:r>
      <w:r>
        <w:rPr>
          <w:sz w:val="18"/>
        </w:rPr>
        <w:t>No</w:t>
      </w:r>
      <w:r>
        <w:rPr>
          <w:spacing w:val="11"/>
          <w:sz w:val="18"/>
        </w:rPr>
        <w:t xml:space="preserve"> </w:t>
      </w:r>
      <w:r>
        <w:rPr>
          <w:sz w:val="18"/>
        </w:rPr>
        <w:t>2,</w:t>
      </w:r>
      <w:r>
        <w:rPr>
          <w:spacing w:val="2"/>
          <w:sz w:val="18"/>
        </w:rPr>
        <w:t xml:space="preserve"> </w:t>
      </w:r>
      <w:r>
        <w:rPr>
          <w:spacing w:val="-2"/>
          <w:sz w:val="18"/>
        </w:rPr>
        <w:t>paras.</w:t>
      </w:r>
    </w:p>
    <w:p w14:paraId="11AF02E5" w14:textId="77777777" w:rsidR="00BD462C" w:rsidRDefault="00033D0F">
      <w:pPr>
        <w:spacing w:before="1"/>
        <w:ind w:left="135"/>
        <w:rPr>
          <w:sz w:val="18"/>
        </w:rPr>
      </w:pPr>
      <w:r>
        <w:rPr>
          <w:sz w:val="18"/>
        </w:rPr>
        <w:t>7,</w:t>
      </w:r>
      <w:r>
        <w:rPr>
          <w:spacing w:val="1"/>
          <w:sz w:val="18"/>
        </w:rPr>
        <w:t xml:space="preserve"> </w:t>
      </w:r>
      <w:r>
        <w:rPr>
          <w:sz w:val="18"/>
        </w:rPr>
        <w:t>11,</w:t>
      </w:r>
      <w:r>
        <w:rPr>
          <w:spacing w:val="2"/>
          <w:sz w:val="18"/>
        </w:rPr>
        <w:t xml:space="preserve"> </w:t>
      </w:r>
      <w:r>
        <w:rPr>
          <w:spacing w:val="-5"/>
          <w:sz w:val="18"/>
        </w:rPr>
        <w:t>14.</w:t>
      </w:r>
    </w:p>
    <w:p w14:paraId="020ECCC2" w14:textId="77777777" w:rsidR="00BD462C" w:rsidRDefault="00033D0F">
      <w:pPr>
        <w:spacing w:before="1"/>
        <w:ind w:left="135"/>
        <w:rPr>
          <w:sz w:val="18"/>
        </w:rPr>
      </w:pPr>
      <w:bookmarkStart w:id="188" w:name="_bookmark162"/>
      <w:bookmarkEnd w:id="188"/>
      <w:r>
        <w:rPr>
          <w:position w:val="5"/>
          <w:sz w:val="12"/>
        </w:rPr>
        <w:t>126</w:t>
      </w:r>
      <w:r>
        <w:rPr>
          <w:spacing w:val="15"/>
          <w:position w:val="5"/>
          <w:sz w:val="12"/>
        </w:rPr>
        <w:t xml:space="preserve"> </w:t>
      </w:r>
      <w:r>
        <w:rPr>
          <w:sz w:val="18"/>
        </w:rPr>
        <w:t>China's</w:t>
      </w:r>
      <w:r>
        <w:rPr>
          <w:spacing w:val="1"/>
          <w:sz w:val="18"/>
        </w:rPr>
        <w:t xml:space="preserve"> </w:t>
      </w:r>
      <w:r>
        <w:rPr>
          <w:sz w:val="18"/>
        </w:rPr>
        <w:t>response</w:t>
      </w:r>
      <w:r>
        <w:rPr>
          <w:spacing w:val="-4"/>
          <w:sz w:val="18"/>
        </w:rPr>
        <w:t xml:space="preserve"> </w:t>
      </w:r>
      <w:r>
        <w:rPr>
          <w:sz w:val="18"/>
        </w:rPr>
        <w:t>to</w:t>
      </w:r>
      <w:r>
        <w:rPr>
          <w:spacing w:val="-10"/>
          <w:sz w:val="18"/>
        </w:rPr>
        <w:t xml:space="preserve"> </w:t>
      </w:r>
      <w:r>
        <w:rPr>
          <w:sz w:val="18"/>
        </w:rPr>
        <w:t>Panel</w:t>
      </w:r>
      <w:r>
        <w:rPr>
          <w:spacing w:val="-3"/>
          <w:sz w:val="18"/>
        </w:rPr>
        <w:t xml:space="preserve"> </w:t>
      </w:r>
      <w:r>
        <w:rPr>
          <w:sz w:val="18"/>
        </w:rPr>
        <w:t>question</w:t>
      </w:r>
      <w:r>
        <w:rPr>
          <w:spacing w:val="-4"/>
          <w:sz w:val="18"/>
        </w:rPr>
        <w:t xml:space="preserve"> </w:t>
      </w:r>
      <w:r>
        <w:rPr>
          <w:sz w:val="18"/>
        </w:rPr>
        <w:t>No.</w:t>
      </w:r>
      <w:r>
        <w:rPr>
          <w:spacing w:val="2"/>
          <w:sz w:val="18"/>
        </w:rPr>
        <w:t xml:space="preserve"> </w:t>
      </w:r>
      <w:r>
        <w:rPr>
          <w:sz w:val="18"/>
        </w:rPr>
        <w:t>2,</w:t>
      </w:r>
      <w:r>
        <w:rPr>
          <w:spacing w:val="-2"/>
          <w:sz w:val="18"/>
        </w:rPr>
        <w:t xml:space="preserve"> </w:t>
      </w:r>
      <w:r>
        <w:rPr>
          <w:sz w:val="18"/>
        </w:rPr>
        <w:t>para.</w:t>
      </w:r>
      <w:r>
        <w:rPr>
          <w:spacing w:val="-3"/>
          <w:sz w:val="18"/>
        </w:rPr>
        <w:t xml:space="preserve"> </w:t>
      </w:r>
      <w:r>
        <w:rPr>
          <w:spacing w:val="-5"/>
          <w:sz w:val="18"/>
        </w:rPr>
        <w:t>9.</w:t>
      </w:r>
    </w:p>
    <w:p w14:paraId="0CD1DF7C" w14:textId="77777777" w:rsidR="00BD462C" w:rsidRDefault="00033D0F">
      <w:pPr>
        <w:spacing w:before="1"/>
        <w:ind w:left="135"/>
        <w:rPr>
          <w:sz w:val="18"/>
        </w:rPr>
      </w:pPr>
      <w:bookmarkStart w:id="189" w:name="_bookmark163"/>
      <w:bookmarkEnd w:id="189"/>
      <w:r>
        <w:rPr>
          <w:position w:val="5"/>
          <w:sz w:val="12"/>
        </w:rPr>
        <w:t>127</w:t>
      </w:r>
      <w:r>
        <w:rPr>
          <w:spacing w:val="15"/>
          <w:position w:val="5"/>
          <w:sz w:val="12"/>
        </w:rPr>
        <w:t xml:space="preserve"> </w:t>
      </w:r>
      <w:r>
        <w:rPr>
          <w:sz w:val="18"/>
        </w:rPr>
        <w:t>China's</w:t>
      </w:r>
      <w:r>
        <w:rPr>
          <w:spacing w:val="1"/>
          <w:sz w:val="18"/>
        </w:rPr>
        <w:t xml:space="preserve"> </w:t>
      </w:r>
      <w:r>
        <w:rPr>
          <w:sz w:val="18"/>
        </w:rPr>
        <w:t>response</w:t>
      </w:r>
      <w:r>
        <w:rPr>
          <w:spacing w:val="-4"/>
          <w:sz w:val="18"/>
        </w:rPr>
        <w:t xml:space="preserve"> </w:t>
      </w:r>
      <w:r>
        <w:rPr>
          <w:sz w:val="18"/>
        </w:rPr>
        <w:t>to</w:t>
      </w:r>
      <w:r>
        <w:rPr>
          <w:spacing w:val="-10"/>
          <w:sz w:val="18"/>
        </w:rPr>
        <w:t xml:space="preserve"> </w:t>
      </w:r>
      <w:r>
        <w:rPr>
          <w:sz w:val="18"/>
        </w:rPr>
        <w:t>Panel</w:t>
      </w:r>
      <w:r>
        <w:rPr>
          <w:spacing w:val="-3"/>
          <w:sz w:val="18"/>
        </w:rPr>
        <w:t xml:space="preserve"> </w:t>
      </w:r>
      <w:r>
        <w:rPr>
          <w:sz w:val="18"/>
        </w:rPr>
        <w:t>question</w:t>
      </w:r>
      <w:r>
        <w:rPr>
          <w:spacing w:val="-4"/>
          <w:sz w:val="18"/>
        </w:rPr>
        <w:t xml:space="preserve"> </w:t>
      </w:r>
      <w:r>
        <w:rPr>
          <w:sz w:val="18"/>
        </w:rPr>
        <w:t>No.</w:t>
      </w:r>
      <w:r>
        <w:rPr>
          <w:spacing w:val="2"/>
          <w:sz w:val="18"/>
        </w:rPr>
        <w:t xml:space="preserve"> </w:t>
      </w:r>
      <w:r>
        <w:rPr>
          <w:sz w:val="18"/>
        </w:rPr>
        <w:t>2,</w:t>
      </w:r>
      <w:r>
        <w:rPr>
          <w:spacing w:val="-2"/>
          <w:sz w:val="18"/>
        </w:rPr>
        <w:t xml:space="preserve"> </w:t>
      </w:r>
      <w:r>
        <w:rPr>
          <w:sz w:val="18"/>
        </w:rPr>
        <w:t>para.</w:t>
      </w:r>
      <w:r>
        <w:rPr>
          <w:spacing w:val="-3"/>
          <w:sz w:val="18"/>
        </w:rPr>
        <w:t xml:space="preserve"> </w:t>
      </w:r>
      <w:r>
        <w:rPr>
          <w:spacing w:val="-5"/>
          <w:sz w:val="18"/>
        </w:rPr>
        <w:t>20.</w:t>
      </w:r>
    </w:p>
    <w:p w14:paraId="6A774395" w14:textId="77777777" w:rsidR="00BD462C" w:rsidRDefault="00BD462C">
      <w:pPr>
        <w:rPr>
          <w:sz w:val="18"/>
        </w:rPr>
        <w:sectPr w:rsidR="00BD462C">
          <w:pgSz w:w="11910" w:h="16840"/>
          <w:pgMar w:top="860" w:right="500" w:bottom="780" w:left="1280" w:header="566" w:footer="590" w:gutter="0"/>
          <w:cols w:space="720"/>
        </w:sectPr>
      </w:pPr>
    </w:p>
    <w:p w14:paraId="7C688A0D"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51850AF5"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78024B1E"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0B08B03E" w14:textId="77777777" w:rsidR="00BD462C" w:rsidRDefault="00033D0F">
      <w:pPr>
        <w:pStyle w:val="BodyText"/>
        <w:spacing w:before="102" w:line="360" w:lineRule="auto"/>
        <w:ind w:left="135" w:right="917"/>
        <w:jc w:val="both"/>
      </w:pPr>
      <w:r>
        <w:t>China argues MOFCOM's dumping determination turned on its appreciation of certain evidence</w:t>
      </w:r>
      <w:r>
        <w:rPr>
          <w:spacing w:val="-6"/>
        </w:rPr>
        <w:t xml:space="preserve"> </w:t>
      </w:r>
      <w:r>
        <w:t>differently,</w:t>
      </w:r>
      <w:r>
        <w:rPr>
          <w:spacing w:val="-4"/>
        </w:rPr>
        <w:t xml:space="preserve"> </w:t>
      </w:r>
      <w:r>
        <w:t>and</w:t>
      </w:r>
      <w:r>
        <w:rPr>
          <w:spacing w:val="-8"/>
        </w:rPr>
        <w:t xml:space="preserve"> </w:t>
      </w:r>
      <w:r>
        <w:t>its</w:t>
      </w:r>
      <w:r>
        <w:rPr>
          <w:spacing w:val="-5"/>
        </w:rPr>
        <w:t xml:space="preserve"> </w:t>
      </w:r>
      <w:r>
        <w:t>consideration</w:t>
      </w:r>
      <w:r>
        <w:rPr>
          <w:spacing w:val="-8"/>
        </w:rPr>
        <w:t xml:space="preserve"> </w:t>
      </w:r>
      <w:r>
        <w:t>of</w:t>
      </w:r>
      <w:r>
        <w:rPr>
          <w:spacing w:val="-8"/>
        </w:rPr>
        <w:t xml:space="preserve"> </w:t>
      </w:r>
      <w:r>
        <w:t>various</w:t>
      </w:r>
      <w:r>
        <w:rPr>
          <w:spacing w:val="-5"/>
        </w:rPr>
        <w:t xml:space="preserve"> </w:t>
      </w:r>
      <w:r>
        <w:t>issues</w:t>
      </w:r>
      <w:r>
        <w:rPr>
          <w:spacing w:val="-5"/>
        </w:rPr>
        <w:t xml:space="preserve"> </w:t>
      </w:r>
      <w:r>
        <w:t>to</w:t>
      </w:r>
      <w:r>
        <w:rPr>
          <w:spacing w:val="-9"/>
        </w:rPr>
        <w:t xml:space="preserve"> </w:t>
      </w:r>
      <w:r>
        <w:t>be</w:t>
      </w:r>
      <w:r>
        <w:rPr>
          <w:spacing w:val="-6"/>
        </w:rPr>
        <w:t xml:space="preserve"> </w:t>
      </w:r>
      <w:r>
        <w:t>more</w:t>
      </w:r>
      <w:r>
        <w:rPr>
          <w:spacing w:val="-6"/>
        </w:rPr>
        <w:t xml:space="preserve"> </w:t>
      </w:r>
      <w:r>
        <w:t>or</w:t>
      </w:r>
      <w:r>
        <w:rPr>
          <w:spacing w:val="-9"/>
        </w:rPr>
        <w:t xml:space="preserve"> </w:t>
      </w:r>
      <w:r>
        <w:t>less</w:t>
      </w:r>
      <w:r>
        <w:rPr>
          <w:spacing w:val="-5"/>
        </w:rPr>
        <w:t xml:space="preserve"> </w:t>
      </w:r>
      <w:r>
        <w:t>important</w:t>
      </w:r>
      <w:r>
        <w:rPr>
          <w:spacing w:val="-6"/>
        </w:rPr>
        <w:t xml:space="preserve"> </w:t>
      </w:r>
      <w:r>
        <w:t>in</w:t>
      </w:r>
      <w:r>
        <w:rPr>
          <w:spacing w:val="-8"/>
        </w:rPr>
        <w:t xml:space="preserve"> </w:t>
      </w:r>
      <w:r>
        <w:t>its decision to disregard all information submitted by the sampled companies, this process needed to be explained by MOFCOM. It was not.</w:t>
      </w:r>
    </w:p>
    <w:p w14:paraId="675DF531" w14:textId="77777777" w:rsidR="00BD462C" w:rsidRDefault="00033D0F">
      <w:pPr>
        <w:pStyle w:val="Heading3"/>
        <w:numPr>
          <w:ilvl w:val="0"/>
          <w:numId w:val="38"/>
        </w:numPr>
        <w:tabs>
          <w:tab w:val="left" w:pos="2689"/>
          <w:tab w:val="left" w:pos="2690"/>
        </w:tabs>
        <w:spacing w:before="158" w:line="362" w:lineRule="auto"/>
        <w:ind w:right="912"/>
      </w:pPr>
      <w:bookmarkStart w:id="190" w:name="3._A_flaw_in_any_part_of_the_&quot;holistic_a"/>
      <w:bookmarkStart w:id="191" w:name="_bookmark164"/>
      <w:bookmarkEnd w:id="190"/>
      <w:bookmarkEnd w:id="191"/>
      <w:r>
        <w:t>A flaw in any part of the "holistic analysis" undermines the entirety of the analysis</w:t>
      </w:r>
    </w:p>
    <w:p w14:paraId="1A943B42" w14:textId="77777777" w:rsidR="00BD462C" w:rsidRDefault="00BD462C">
      <w:pPr>
        <w:pStyle w:val="BodyText"/>
        <w:spacing w:before="7"/>
        <w:rPr>
          <w:b/>
          <w:sz w:val="8"/>
        </w:rPr>
      </w:pPr>
    </w:p>
    <w:p w14:paraId="43B22061" w14:textId="5253A549" w:rsidR="00BD462C" w:rsidRDefault="00033D0F" w:rsidP="00652F97">
      <w:pPr>
        <w:pStyle w:val="BodyText"/>
        <w:numPr>
          <w:ilvl w:val="0"/>
          <w:numId w:val="68"/>
        </w:numPr>
        <w:spacing w:before="56" w:line="360" w:lineRule="auto"/>
        <w:ind w:right="913"/>
        <w:jc w:val="both"/>
      </w:pPr>
      <w:r>
        <w:rPr>
          <w:position w:val="1"/>
        </w:rPr>
        <w:t xml:space="preserve">Assuming, </w:t>
      </w:r>
      <w:r>
        <w:rPr>
          <w:i/>
          <w:position w:val="1"/>
        </w:rPr>
        <w:t>arguendo</w:t>
      </w:r>
      <w:r>
        <w:rPr>
          <w:position w:val="1"/>
        </w:rPr>
        <w:t xml:space="preserve">, China's contention of a "holistic analysis" is legally permissible </w:t>
      </w:r>
      <w:r>
        <w:t>and</w:t>
      </w:r>
      <w:r>
        <w:rPr>
          <w:spacing w:val="-1"/>
        </w:rPr>
        <w:t xml:space="preserve"> </w:t>
      </w:r>
      <w:r>
        <w:t>supported</w:t>
      </w:r>
      <w:r>
        <w:rPr>
          <w:spacing w:val="-1"/>
        </w:rPr>
        <w:t xml:space="preserve"> </w:t>
      </w:r>
      <w:r>
        <w:t>by evidence on</w:t>
      </w:r>
      <w:r>
        <w:rPr>
          <w:spacing w:val="-1"/>
        </w:rPr>
        <w:t xml:space="preserve"> </w:t>
      </w:r>
      <w:r>
        <w:t>the record, it logically follows that</w:t>
      </w:r>
      <w:r>
        <w:rPr>
          <w:spacing w:val="-3"/>
        </w:rPr>
        <w:t xml:space="preserve"> </w:t>
      </w:r>
      <w:r>
        <w:t>if any individual part of the holistic assessment was defective, so was the whole of the analysis that incorporated it. This is the natural consequence given</w:t>
      </w:r>
      <w:r>
        <w:rPr>
          <w:spacing w:val="-1"/>
        </w:rPr>
        <w:t xml:space="preserve"> </w:t>
      </w:r>
      <w:r>
        <w:t>the nature of a holistic analysis, which is that each element of it is integral to the whole.</w:t>
      </w:r>
    </w:p>
    <w:p w14:paraId="2390F511" w14:textId="77777777" w:rsidR="00BD462C" w:rsidRDefault="00BD462C">
      <w:pPr>
        <w:pStyle w:val="BodyText"/>
        <w:spacing w:before="6"/>
        <w:rPr>
          <w:sz w:val="8"/>
        </w:rPr>
      </w:pPr>
    </w:p>
    <w:p w14:paraId="0B166020" w14:textId="72D7A677" w:rsidR="00BD462C" w:rsidRDefault="00033D0F" w:rsidP="00652F97">
      <w:pPr>
        <w:pStyle w:val="BodyText"/>
        <w:numPr>
          <w:ilvl w:val="0"/>
          <w:numId w:val="68"/>
        </w:numPr>
        <w:spacing w:before="56" w:line="360" w:lineRule="auto"/>
        <w:ind w:right="916"/>
        <w:jc w:val="both"/>
      </w:pPr>
      <w:r>
        <w:rPr>
          <w:position w:val="1"/>
        </w:rPr>
        <w:t xml:space="preserve">This is true whether China's approach is conceived of as a traditional application of </w:t>
      </w:r>
      <w:r>
        <w:t>the</w:t>
      </w:r>
      <w:r>
        <w:rPr>
          <w:spacing w:val="62"/>
        </w:rPr>
        <w:t xml:space="preserve"> </w:t>
      </w:r>
      <w:r>
        <w:t>reasoning</w:t>
      </w:r>
      <w:r>
        <w:rPr>
          <w:spacing w:val="64"/>
        </w:rPr>
        <w:t xml:space="preserve"> </w:t>
      </w:r>
      <w:r>
        <w:t>process</w:t>
      </w:r>
      <w:r>
        <w:rPr>
          <w:spacing w:val="64"/>
        </w:rPr>
        <w:t xml:space="preserve"> </w:t>
      </w:r>
      <w:r>
        <w:t>described</w:t>
      </w:r>
      <w:r>
        <w:rPr>
          <w:spacing w:val="61"/>
        </w:rPr>
        <w:t xml:space="preserve"> </w:t>
      </w:r>
      <w:r>
        <w:t>in</w:t>
      </w:r>
      <w:r>
        <w:rPr>
          <w:spacing w:val="61"/>
        </w:rPr>
        <w:t xml:space="preserve"> </w:t>
      </w:r>
      <w:r>
        <w:rPr>
          <w:i/>
        </w:rPr>
        <w:t>US</w:t>
      </w:r>
      <w:r>
        <w:rPr>
          <w:i/>
          <w:spacing w:val="65"/>
        </w:rPr>
        <w:t xml:space="preserve"> </w:t>
      </w:r>
      <w:r>
        <w:rPr>
          <w:i/>
        </w:rPr>
        <w:t>–</w:t>
      </w:r>
      <w:r>
        <w:rPr>
          <w:i/>
          <w:spacing w:val="62"/>
        </w:rPr>
        <w:t xml:space="preserve"> </w:t>
      </w:r>
      <w:r>
        <w:rPr>
          <w:i/>
        </w:rPr>
        <w:t>Steel</w:t>
      </w:r>
      <w:r>
        <w:rPr>
          <w:i/>
          <w:spacing w:val="60"/>
        </w:rPr>
        <w:t xml:space="preserve"> </w:t>
      </w:r>
      <w:r>
        <w:rPr>
          <w:i/>
        </w:rPr>
        <w:t>Plate</w:t>
      </w:r>
      <w:r>
        <w:t>,</w:t>
      </w:r>
      <w:r>
        <w:rPr>
          <w:spacing w:val="65"/>
        </w:rPr>
        <w:t xml:space="preserve"> </w:t>
      </w:r>
      <w:r>
        <w:t>or</w:t>
      </w:r>
      <w:r>
        <w:rPr>
          <w:spacing w:val="60"/>
        </w:rPr>
        <w:t xml:space="preserve"> </w:t>
      </w:r>
      <w:r>
        <w:t>a</w:t>
      </w:r>
      <w:r>
        <w:rPr>
          <w:spacing w:val="62"/>
        </w:rPr>
        <w:t xml:space="preserve"> </w:t>
      </w:r>
      <w:r>
        <w:t>novel</w:t>
      </w:r>
      <w:r>
        <w:rPr>
          <w:spacing w:val="64"/>
        </w:rPr>
        <w:t xml:space="preserve"> </w:t>
      </w:r>
      <w:r>
        <w:t>"holistic</w:t>
      </w:r>
      <w:r>
        <w:rPr>
          <w:spacing w:val="61"/>
        </w:rPr>
        <w:t xml:space="preserve"> </w:t>
      </w:r>
      <w:r>
        <w:t>assessment". A</w:t>
      </w:r>
      <w:r>
        <w:rPr>
          <w:spacing w:val="-2"/>
        </w:rPr>
        <w:t xml:space="preserve"> </w:t>
      </w:r>
      <w:r>
        <w:t>decision predicated on the logical relationship between a purported error in one piece of evidence and the implications that has for the reliability of another piece of evidence will be defective if it is shown that the purported error did not exist.</w:t>
      </w:r>
    </w:p>
    <w:p w14:paraId="74726205" w14:textId="77777777" w:rsidR="00BD462C" w:rsidRDefault="00033D0F">
      <w:pPr>
        <w:pStyle w:val="Heading3"/>
        <w:numPr>
          <w:ilvl w:val="0"/>
          <w:numId w:val="38"/>
        </w:numPr>
        <w:tabs>
          <w:tab w:val="left" w:pos="2689"/>
          <w:tab w:val="left" w:pos="2690"/>
        </w:tabs>
        <w:spacing w:before="155"/>
      </w:pPr>
      <w:bookmarkStart w:id="192" w:name="_bookmark165"/>
      <w:bookmarkEnd w:id="192"/>
      <w:r>
        <w:rPr>
          <w:spacing w:val="-2"/>
        </w:rPr>
        <w:t>Conclusion</w:t>
      </w:r>
    </w:p>
    <w:p w14:paraId="63275512" w14:textId="77777777" w:rsidR="00BD462C" w:rsidRDefault="00BD462C">
      <w:pPr>
        <w:pStyle w:val="BodyText"/>
        <w:spacing w:before="12"/>
        <w:rPr>
          <w:b/>
          <w:sz w:val="20"/>
        </w:rPr>
      </w:pPr>
    </w:p>
    <w:p w14:paraId="76F78C18" w14:textId="00FD301E" w:rsidR="00BD462C" w:rsidRDefault="00033D0F" w:rsidP="00652F97">
      <w:pPr>
        <w:pStyle w:val="BodyText"/>
        <w:numPr>
          <w:ilvl w:val="0"/>
          <w:numId w:val="68"/>
        </w:numPr>
        <w:spacing w:before="56" w:line="360" w:lineRule="auto"/>
        <w:ind w:right="917"/>
        <w:jc w:val="both"/>
      </w:pPr>
      <w:r>
        <w:rPr>
          <w:position w:val="1"/>
        </w:rPr>
        <w:t>China</w:t>
      </w:r>
      <w:r>
        <w:rPr>
          <w:spacing w:val="-12"/>
          <w:position w:val="1"/>
        </w:rPr>
        <w:t xml:space="preserve"> </w:t>
      </w:r>
      <w:r>
        <w:rPr>
          <w:position w:val="1"/>
        </w:rPr>
        <w:t>asserts</w:t>
      </w:r>
      <w:r>
        <w:rPr>
          <w:spacing w:val="-10"/>
          <w:position w:val="1"/>
        </w:rPr>
        <w:t xml:space="preserve"> </w:t>
      </w:r>
      <w:r>
        <w:rPr>
          <w:position w:val="1"/>
        </w:rPr>
        <w:t>that</w:t>
      </w:r>
      <w:r>
        <w:rPr>
          <w:spacing w:val="-11"/>
          <w:position w:val="1"/>
        </w:rPr>
        <w:t xml:space="preserve"> </w:t>
      </w:r>
      <w:r>
        <w:rPr>
          <w:position w:val="1"/>
        </w:rPr>
        <w:t>MOFCOM</w:t>
      </w:r>
      <w:r>
        <w:rPr>
          <w:spacing w:val="-11"/>
          <w:position w:val="1"/>
        </w:rPr>
        <w:t xml:space="preserve"> </w:t>
      </w:r>
      <w:r>
        <w:rPr>
          <w:position w:val="1"/>
        </w:rPr>
        <w:t>was</w:t>
      </w:r>
      <w:r>
        <w:rPr>
          <w:spacing w:val="-10"/>
          <w:position w:val="1"/>
        </w:rPr>
        <w:t xml:space="preserve"> </w:t>
      </w:r>
      <w:r>
        <w:rPr>
          <w:position w:val="1"/>
        </w:rPr>
        <w:t>permitted</w:t>
      </w:r>
      <w:r>
        <w:rPr>
          <w:spacing w:val="-14"/>
          <w:position w:val="1"/>
        </w:rPr>
        <w:t xml:space="preserve"> </w:t>
      </w:r>
      <w:r>
        <w:rPr>
          <w:position w:val="1"/>
        </w:rPr>
        <w:t>to</w:t>
      </w:r>
      <w:r>
        <w:rPr>
          <w:spacing w:val="-13"/>
          <w:position w:val="1"/>
        </w:rPr>
        <w:t xml:space="preserve"> </w:t>
      </w:r>
      <w:r>
        <w:rPr>
          <w:position w:val="1"/>
        </w:rPr>
        <w:t>have</w:t>
      </w:r>
      <w:r>
        <w:rPr>
          <w:spacing w:val="-12"/>
          <w:position w:val="1"/>
        </w:rPr>
        <w:t xml:space="preserve"> </w:t>
      </w:r>
      <w:r>
        <w:rPr>
          <w:position w:val="1"/>
        </w:rPr>
        <w:t>recourse</w:t>
      </w:r>
      <w:r>
        <w:rPr>
          <w:spacing w:val="-12"/>
          <w:position w:val="1"/>
        </w:rPr>
        <w:t xml:space="preserve"> </w:t>
      </w:r>
      <w:r>
        <w:rPr>
          <w:position w:val="1"/>
        </w:rPr>
        <w:t>to</w:t>
      </w:r>
      <w:r>
        <w:rPr>
          <w:spacing w:val="-14"/>
          <w:position w:val="1"/>
        </w:rPr>
        <w:t xml:space="preserve"> </w:t>
      </w:r>
      <w:r>
        <w:rPr>
          <w:position w:val="1"/>
        </w:rPr>
        <w:t>facts</w:t>
      </w:r>
      <w:r>
        <w:rPr>
          <w:spacing w:val="-9"/>
          <w:position w:val="1"/>
        </w:rPr>
        <w:t xml:space="preserve"> </w:t>
      </w:r>
      <w:r>
        <w:rPr>
          <w:position w:val="1"/>
        </w:rPr>
        <w:t>available</w:t>
      </w:r>
      <w:r>
        <w:rPr>
          <w:spacing w:val="-12"/>
          <w:position w:val="1"/>
        </w:rPr>
        <w:t xml:space="preserve"> </w:t>
      </w:r>
      <w:r>
        <w:rPr>
          <w:position w:val="1"/>
        </w:rPr>
        <w:t>for</w:t>
      </w:r>
      <w:r>
        <w:rPr>
          <w:spacing w:val="-14"/>
          <w:position w:val="1"/>
        </w:rPr>
        <w:t xml:space="preserve"> </w:t>
      </w:r>
      <w:r>
        <w:rPr>
          <w:position w:val="1"/>
        </w:rPr>
        <w:t xml:space="preserve">the </w:t>
      </w:r>
      <w:r>
        <w:t>sampled companies on the basis of a "holistic assessment" of the submitted information. There is no legal basis for China's contention that MOFCOM was permitted to undertake a "holistic analysis", and on that basis, disregard information and resort to facts available for the three sampled companies. Moreover, China points to no evidence on the record that MOFCOM</w:t>
      </w:r>
      <w:r>
        <w:rPr>
          <w:spacing w:val="-1"/>
        </w:rPr>
        <w:t xml:space="preserve"> </w:t>
      </w:r>
      <w:r>
        <w:t>undertook</w:t>
      </w:r>
      <w:r>
        <w:rPr>
          <w:spacing w:val="-1"/>
        </w:rPr>
        <w:t xml:space="preserve"> </w:t>
      </w:r>
      <w:r>
        <w:t>this type</w:t>
      </w:r>
      <w:r>
        <w:rPr>
          <w:spacing w:val="-2"/>
        </w:rPr>
        <w:t xml:space="preserve"> </w:t>
      </w:r>
      <w:r>
        <w:t>of</w:t>
      </w:r>
      <w:r>
        <w:rPr>
          <w:spacing w:val="-3"/>
        </w:rPr>
        <w:t xml:space="preserve"> </w:t>
      </w:r>
      <w:r>
        <w:t>assessment. The</w:t>
      </w:r>
      <w:r>
        <w:rPr>
          <w:spacing w:val="-2"/>
        </w:rPr>
        <w:t xml:space="preserve"> </w:t>
      </w:r>
      <w:r>
        <w:t>concept of a</w:t>
      </w:r>
      <w:r>
        <w:rPr>
          <w:spacing w:val="-2"/>
        </w:rPr>
        <w:t xml:space="preserve"> </w:t>
      </w:r>
      <w:r>
        <w:t>"holistic</w:t>
      </w:r>
      <w:r>
        <w:rPr>
          <w:spacing w:val="-3"/>
        </w:rPr>
        <w:t xml:space="preserve"> </w:t>
      </w:r>
      <w:r>
        <w:t>analysis"</w:t>
      </w:r>
      <w:r>
        <w:rPr>
          <w:spacing w:val="-2"/>
        </w:rPr>
        <w:t xml:space="preserve"> </w:t>
      </w:r>
      <w:r>
        <w:t>appears for the first time in China's submissions.</w:t>
      </w:r>
    </w:p>
    <w:p w14:paraId="11C67EE4" w14:textId="77777777" w:rsidR="00BD462C" w:rsidRDefault="00BD462C">
      <w:pPr>
        <w:pStyle w:val="BodyText"/>
        <w:spacing w:before="5"/>
        <w:rPr>
          <w:sz w:val="8"/>
        </w:rPr>
      </w:pPr>
    </w:p>
    <w:p w14:paraId="06FEA236" w14:textId="7CB326C1" w:rsidR="00BD462C" w:rsidRDefault="00033D0F" w:rsidP="00652F97">
      <w:pPr>
        <w:pStyle w:val="BodyText"/>
        <w:numPr>
          <w:ilvl w:val="0"/>
          <w:numId w:val="68"/>
        </w:numPr>
        <w:spacing w:before="56" w:line="357" w:lineRule="auto"/>
        <w:ind w:right="913"/>
        <w:jc w:val="both"/>
      </w:pPr>
      <w:r>
        <w:rPr>
          <w:position w:val="1"/>
        </w:rPr>
        <w:t>For</w:t>
      </w:r>
      <w:r>
        <w:rPr>
          <w:spacing w:val="33"/>
          <w:position w:val="1"/>
        </w:rPr>
        <w:t xml:space="preserve"> </w:t>
      </w:r>
      <w:r>
        <w:rPr>
          <w:position w:val="1"/>
        </w:rPr>
        <w:t>the</w:t>
      </w:r>
      <w:r>
        <w:rPr>
          <w:spacing w:val="36"/>
          <w:position w:val="1"/>
        </w:rPr>
        <w:t xml:space="preserve"> </w:t>
      </w:r>
      <w:r>
        <w:rPr>
          <w:position w:val="1"/>
        </w:rPr>
        <w:t>reasons</w:t>
      </w:r>
      <w:r>
        <w:rPr>
          <w:spacing w:val="37"/>
          <w:position w:val="1"/>
        </w:rPr>
        <w:t xml:space="preserve"> </w:t>
      </w:r>
      <w:r>
        <w:rPr>
          <w:position w:val="1"/>
        </w:rPr>
        <w:t>set</w:t>
      </w:r>
      <w:r>
        <w:rPr>
          <w:spacing w:val="36"/>
          <w:position w:val="1"/>
        </w:rPr>
        <w:t xml:space="preserve"> </w:t>
      </w:r>
      <w:r>
        <w:rPr>
          <w:position w:val="1"/>
        </w:rPr>
        <w:t>out</w:t>
      </w:r>
      <w:r>
        <w:rPr>
          <w:spacing w:val="36"/>
          <w:position w:val="1"/>
        </w:rPr>
        <w:t xml:space="preserve"> </w:t>
      </w:r>
      <w:r>
        <w:rPr>
          <w:position w:val="1"/>
        </w:rPr>
        <w:t>above,</w:t>
      </w:r>
      <w:r>
        <w:rPr>
          <w:spacing w:val="38"/>
          <w:position w:val="1"/>
        </w:rPr>
        <w:t xml:space="preserve"> </w:t>
      </w:r>
      <w:r>
        <w:rPr>
          <w:position w:val="1"/>
        </w:rPr>
        <w:t>China</w:t>
      </w:r>
      <w:r>
        <w:rPr>
          <w:spacing w:val="35"/>
          <w:position w:val="1"/>
        </w:rPr>
        <w:t xml:space="preserve"> </w:t>
      </w:r>
      <w:r>
        <w:rPr>
          <w:position w:val="1"/>
        </w:rPr>
        <w:t>acted</w:t>
      </w:r>
      <w:r>
        <w:rPr>
          <w:spacing w:val="34"/>
          <w:position w:val="1"/>
        </w:rPr>
        <w:t xml:space="preserve"> </w:t>
      </w:r>
      <w:r>
        <w:rPr>
          <w:position w:val="1"/>
        </w:rPr>
        <w:t>inconsistently</w:t>
      </w:r>
      <w:r>
        <w:rPr>
          <w:spacing w:val="37"/>
          <w:position w:val="1"/>
        </w:rPr>
        <w:t xml:space="preserve"> </w:t>
      </w:r>
      <w:r>
        <w:rPr>
          <w:position w:val="1"/>
        </w:rPr>
        <w:t>with</w:t>
      </w:r>
      <w:r>
        <w:rPr>
          <w:spacing w:val="34"/>
          <w:position w:val="1"/>
        </w:rPr>
        <w:t xml:space="preserve"> </w:t>
      </w:r>
      <w:r>
        <w:rPr>
          <w:position w:val="1"/>
        </w:rPr>
        <w:t>Article</w:t>
      </w:r>
      <w:r>
        <w:rPr>
          <w:spacing w:val="36"/>
          <w:position w:val="1"/>
        </w:rPr>
        <w:t xml:space="preserve"> </w:t>
      </w:r>
      <w:r>
        <w:rPr>
          <w:position w:val="1"/>
        </w:rPr>
        <w:t>6.8</w:t>
      </w:r>
      <w:r>
        <w:rPr>
          <w:spacing w:val="34"/>
          <w:position w:val="1"/>
        </w:rPr>
        <w:t xml:space="preserve"> </w:t>
      </w:r>
      <w:r>
        <w:rPr>
          <w:position w:val="1"/>
        </w:rPr>
        <w:t>of</w:t>
      </w:r>
      <w:r>
        <w:rPr>
          <w:spacing w:val="34"/>
          <w:position w:val="1"/>
        </w:rPr>
        <w:t xml:space="preserve"> </w:t>
      </w:r>
      <w:r>
        <w:rPr>
          <w:position w:val="1"/>
        </w:rPr>
        <w:t xml:space="preserve">the </w:t>
      </w:r>
      <w:r>
        <w:t>Anti-Dumping</w:t>
      </w:r>
      <w:r>
        <w:rPr>
          <w:spacing w:val="-8"/>
        </w:rPr>
        <w:t xml:space="preserve"> </w:t>
      </w:r>
      <w:r>
        <w:t>Agreement</w:t>
      </w:r>
      <w:r>
        <w:rPr>
          <w:spacing w:val="-9"/>
        </w:rPr>
        <w:t xml:space="preserve"> </w:t>
      </w:r>
      <w:r>
        <w:t>in</w:t>
      </w:r>
      <w:r>
        <w:rPr>
          <w:spacing w:val="-11"/>
        </w:rPr>
        <w:t xml:space="preserve"> </w:t>
      </w:r>
      <w:r>
        <w:t>resorting</w:t>
      </w:r>
      <w:r>
        <w:rPr>
          <w:spacing w:val="-12"/>
        </w:rPr>
        <w:t xml:space="preserve"> </w:t>
      </w:r>
      <w:r>
        <w:t>to</w:t>
      </w:r>
      <w:r>
        <w:rPr>
          <w:spacing w:val="-11"/>
        </w:rPr>
        <w:t xml:space="preserve"> </w:t>
      </w:r>
      <w:r>
        <w:t>facts</w:t>
      </w:r>
      <w:r>
        <w:rPr>
          <w:spacing w:val="-8"/>
        </w:rPr>
        <w:t xml:space="preserve"> </w:t>
      </w:r>
      <w:r>
        <w:t>available</w:t>
      </w:r>
      <w:r>
        <w:rPr>
          <w:spacing w:val="-9"/>
        </w:rPr>
        <w:t xml:space="preserve"> </w:t>
      </w:r>
      <w:r>
        <w:t>for</w:t>
      </w:r>
      <w:r>
        <w:rPr>
          <w:spacing w:val="-12"/>
        </w:rPr>
        <w:t xml:space="preserve"> </w:t>
      </w:r>
      <w:r>
        <w:t>each</w:t>
      </w:r>
      <w:r>
        <w:rPr>
          <w:spacing w:val="-11"/>
        </w:rPr>
        <w:t xml:space="preserve"> </w:t>
      </w:r>
      <w:r>
        <w:t>of</w:t>
      </w:r>
      <w:r>
        <w:rPr>
          <w:spacing w:val="-11"/>
        </w:rPr>
        <w:t xml:space="preserve"> </w:t>
      </w:r>
      <w:r>
        <w:t>the</w:t>
      </w:r>
      <w:r>
        <w:rPr>
          <w:spacing w:val="-9"/>
        </w:rPr>
        <w:t xml:space="preserve"> </w:t>
      </w:r>
      <w:r>
        <w:t>sampled</w:t>
      </w:r>
      <w:r>
        <w:rPr>
          <w:spacing w:val="-11"/>
        </w:rPr>
        <w:t xml:space="preserve"> </w:t>
      </w:r>
      <w:r>
        <w:t>companies</w:t>
      </w:r>
      <w:r>
        <w:rPr>
          <w:spacing w:val="-8"/>
        </w:rPr>
        <w:t xml:space="preserve"> </w:t>
      </w:r>
      <w:r>
        <w:t>on the basis of a "holistic analysis" of the submitted information.</w:t>
      </w:r>
    </w:p>
    <w:p w14:paraId="71A199A0" w14:textId="77777777" w:rsidR="00BD462C" w:rsidRDefault="00BD462C">
      <w:pPr>
        <w:spacing w:line="357" w:lineRule="auto"/>
        <w:jc w:val="both"/>
        <w:sectPr w:rsidR="00BD462C">
          <w:pgSz w:w="11910" w:h="16840"/>
          <w:pgMar w:top="860" w:right="500" w:bottom="780" w:left="1280" w:header="566" w:footer="590" w:gutter="0"/>
          <w:cols w:space="720"/>
        </w:sectPr>
      </w:pPr>
    </w:p>
    <w:p w14:paraId="5F8F8F2D"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21749B86"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117F25EB"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55DE71BA" w14:textId="77777777" w:rsidR="00BD462C" w:rsidRDefault="00033D0F">
      <w:pPr>
        <w:pStyle w:val="ListParagraph"/>
        <w:numPr>
          <w:ilvl w:val="1"/>
          <w:numId w:val="66"/>
        </w:numPr>
        <w:tabs>
          <w:tab w:val="left" w:pos="1839"/>
          <w:tab w:val="left" w:pos="1840"/>
        </w:tabs>
        <w:spacing w:before="103" w:line="357" w:lineRule="auto"/>
        <w:ind w:right="923"/>
        <w:rPr>
          <w:b/>
          <w:sz w:val="28"/>
        </w:rPr>
      </w:pPr>
      <w:bookmarkStart w:id="193" w:name="C._MOFCOM_failed_to_make_a_fair_comparis"/>
      <w:bookmarkStart w:id="194" w:name="_bookmark166"/>
      <w:bookmarkEnd w:id="193"/>
      <w:bookmarkEnd w:id="194"/>
      <w:r>
        <w:rPr>
          <w:b/>
          <w:sz w:val="28"/>
        </w:rPr>
        <w:t>MOFCOM</w:t>
      </w:r>
      <w:r>
        <w:rPr>
          <w:b/>
          <w:spacing w:val="-28"/>
          <w:sz w:val="28"/>
        </w:rPr>
        <w:t xml:space="preserve"> </w:t>
      </w:r>
      <w:r>
        <w:rPr>
          <w:b/>
        </w:rPr>
        <w:t>FAILED</w:t>
      </w:r>
      <w:r>
        <w:rPr>
          <w:b/>
          <w:spacing w:val="-13"/>
        </w:rPr>
        <w:t xml:space="preserve"> </w:t>
      </w:r>
      <w:r>
        <w:rPr>
          <w:b/>
        </w:rPr>
        <w:t>TO</w:t>
      </w:r>
      <w:r>
        <w:rPr>
          <w:b/>
          <w:spacing w:val="-17"/>
        </w:rPr>
        <w:t xml:space="preserve"> </w:t>
      </w:r>
      <w:r>
        <w:rPr>
          <w:b/>
        </w:rPr>
        <w:t>MAKE</w:t>
      </w:r>
      <w:r>
        <w:rPr>
          <w:b/>
          <w:spacing w:val="-19"/>
        </w:rPr>
        <w:t xml:space="preserve"> </w:t>
      </w:r>
      <w:r>
        <w:rPr>
          <w:b/>
        </w:rPr>
        <w:t>A</w:t>
      </w:r>
      <w:r>
        <w:rPr>
          <w:b/>
          <w:spacing w:val="-12"/>
        </w:rPr>
        <w:t xml:space="preserve"> </w:t>
      </w:r>
      <w:r>
        <w:rPr>
          <w:b/>
        </w:rPr>
        <w:t>FAIR</w:t>
      </w:r>
      <w:r>
        <w:rPr>
          <w:b/>
          <w:spacing w:val="-13"/>
        </w:rPr>
        <w:t xml:space="preserve"> </w:t>
      </w:r>
      <w:r>
        <w:rPr>
          <w:b/>
        </w:rPr>
        <w:t>COMPARISON</w:t>
      </w:r>
      <w:r>
        <w:rPr>
          <w:b/>
          <w:spacing w:val="-18"/>
        </w:rPr>
        <w:t xml:space="preserve"> </w:t>
      </w:r>
      <w:r>
        <w:rPr>
          <w:b/>
        </w:rPr>
        <w:t>BETWEEN</w:t>
      </w:r>
      <w:r>
        <w:rPr>
          <w:b/>
          <w:spacing w:val="-13"/>
        </w:rPr>
        <w:t xml:space="preserve"> </w:t>
      </w:r>
      <w:r>
        <w:rPr>
          <w:b/>
        </w:rPr>
        <w:t>EXPORT</w:t>
      </w:r>
      <w:r>
        <w:rPr>
          <w:b/>
          <w:spacing w:val="-16"/>
        </w:rPr>
        <w:t xml:space="preserve"> </w:t>
      </w:r>
      <w:r>
        <w:rPr>
          <w:b/>
        </w:rPr>
        <w:t>PRICE</w:t>
      </w:r>
      <w:r>
        <w:rPr>
          <w:b/>
          <w:spacing w:val="-19"/>
        </w:rPr>
        <w:t xml:space="preserve"> </w:t>
      </w:r>
      <w:r>
        <w:rPr>
          <w:b/>
        </w:rPr>
        <w:t xml:space="preserve">AND NORMAL VALUE FOR THE SAMPLED COMPANIES UNDER </w:t>
      </w:r>
      <w:r>
        <w:rPr>
          <w:b/>
          <w:sz w:val="28"/>
        </w:rPr>
        <w:t>A</w:t>
      </w:r>
      <w:r>
        <w:rPr>
          <w:b/>
        </w:rPr>
        <w:t xml:space="preserve">RTICLE </w:t>
      </w:r>
      <w:r>
        <w:rPr>
          <w:b/>
          <w:sz w:val="28"/>
        </w:rPr>
        <w:t>2.4</w:t>
      </w:r>
    </w:p>
    <w:p w14:paraId="51BDBFBD" w14:textId="77777777" w:rsidR="00BD462C" w:rsidRDefault="00BD462C">
      <w:pPr>
        <w:pStyle w:val="BodyText"/>
        <w:spacing w:before="5"/>
        <w:rPr>
          <w:b/>
          <w:sz w:val="9"/>
        </w:rPr>
      </w:pPr>
    </w:p>
    <w:p w14:paraId="7771A753" w14:textId="4C4B7E6E" w:rsidR="00BD462C" w:rsidRDefault="00033D0F" w:rsidP="00652F97">
      <w:pPr>
        <w:pStyle w:val="BodyText"/>
        <w:numPr>
          <w:ilvl w:val="0"/>
          <w:numId w:val="68"/>
        </w:numPr>
        <w:spacing w:before="56" w:line="360" w:lineRule="auto"/>
        <w:ind w:right="912"/>
        <w:jc w:val="both"/>
      </w:pPr>
      <w:bookmarkStart w:id="195" w:name="_bookmark167"/>
      <w:bookmarkEnd w:id="195"/>
      <w:r>
        <w:rPr>
          <w:position w:val="1"/>
        </w:rPr>
        <w:t xml:space="preserve">In Australia's first written submission, Australia demonstrated that MOFCOM </w:t>
      </w:r>
      <w:r>
        <w:t>determined</w:t>
      </w:r>
      <w:r>
        <w:rPr>
          <w:spacing w:val="-12"/>
        </w:rPr>
        <w:t xml:space="preserve"> </w:t>
      </w:r>
      <w:r>
        <w:t>normal</w:t>
      </w:r>
      <w:r>
        <w:rPr>
          <w:spacing w:val="-8"/>
        </w:rPr>
        <w:t xml:space="preserve"> </w:t>
      </w:r>
      <w:r>
        <w:t>value</w:t>
      </w:r>
      <w:r>
        <w:rPr>
          <w:spacing w:val="-10"/>
        </w:rPr>
        <w:t xml:space="preserve"> </w:t>
      </w:r>
      <w:r>
        <w:t>for</w:t>
      </w:r>
      <w:r>
        <w:rPr>
          <w:spacing w:val="-8"/>
        </w:rPr>
        <w:t xml:space="preserve"> </w:t>
      </w:r>
      <w:r>
        <w:t>each</w:t>
      </w:r>
      <w:r>
        <w:rPr>
          <w:spacing w:val="-7"/>
        </w:rPr>
        <w:t xml:space="preserve"> </w:t>
      </w:r>
      <w:r>
        <w:t>sampled</w:t>
      </w:r>
      <w:r>
        <w:rPr>
          <w:spacing w:val="-12"/>
        </w:rPr>
        <w:t xml:space="preserve"> </w:t>
      </w:r>
      <w:r>
        <w:t>company</w:t>
      </w:r>
      <w:r>
        <w:rPr>
          <w:spacing w:val="-9"/>
        </w:rPr>
        <w:t xml:space="preserve"> </w:t>
      </w:r>
      <w:r>
        <w:t>in</w:t>
      </w:r>
      <w:r>
        <w:rPr>
          <w:spacing w:val="-12"/>
        </w:rPr>
        <w:t xml:space="preserve"> </w:t>
      </w:r>
      <w:r>
        <w:t>a</w:t>
      </w:r>
      <w:r>
        <w:rPr>
          <w:spacing w:val="-6"/>
        </w:rPr>
        <w:t xml:space="preserve"> </w:t>
      </w:r>
      <w:r>
        <w:t>manner</w:t>
      </w:r>
      <w:r>
        <w:rPr>
          <w:spacing w:val="-13"/>
        </w:rPr>
        <w:t xml:space="preserve"> </w:t>
      </w:r>
      <w:r>
        <w:t>inconsistent</w:t>
      </w:r>
      <w:r>
        <w:rPr>
          <w:spacing w:val="-9"/>
        </w:rPr>
        <w:t xml:space="preserve"> </w:t>
      </w:r>
      <w:r>
        <w:t>with</w:t>
      </w:r>
      <w:r>
        <w:rPr>
          <w:spacing w:val="-12"/>
        </w:rPr>
        <w:t xml:space="preserve"> </w:t>
      </w:r>
      <w:r>
        <w:t>Article 6.8 and Annex</w:t>
      </w:r>
      <w:r>
        <w:rPr>
          <w:spacing w:val="-1"/>
        </w:rPr>
        <w:t xml:space="preserve"> </w:t>
      </w:r>
      <w:r>
        <w:t xml:space="preserve">II of the Anti-Dumping </w:t>
      </w:r>
      <w:proofErr w:type="gramStart"/>
      <w:r>
        <w:t>Agreement, and</w:t>
      </w:r>
      <w:proofErr w:type="gramEnd"/>
      <w:r>
        <w:t xml:space="preserve"> failed to make its determinations in accordance with Article</w:t>
      </w:r>
      <w:r>
        <w:rPr>
          <w:spacing w:val="-2"/>
        </w:rPr>
        <w:t xml:space="preserve"> </w:t>
      </w:r>
      <w:r>
        <w:t>2.1, 2.2, 2.2.1 and 2.2.1.1 of the Anti-Dumping Agreement.</w:t>
      </w:r>
      <w:r>
        <w:rPr>
          <w:spacing w:val="-14"/>
        </w:rPr>
        <w:t xml:space="preserve"> </w:t>
      </w:r>
      <w:hyperlink w:anchor="_bookmark169" w:history="1">
        <w:r>
          <w:rPr>
            <w:vertAlign w:val="superscript"/>
          </w:rPr>
          <w:t>128</w:t>
        </w:r>
      </w:hyperlink>
      <w:r>
        <w:t xml:space="preserve"> As a consequence, it did not correctly establish one of two "component elements" of a fair comparison and could not have made a fair comparison between these values to determine margins of dumping for each sampled company as required under Article 2.4 of the Anti- Dumping Agreement.</w:t>
      </w:r>
      <w:hyperlink w:anchor="_bookmark170" w:history="1">
        <w:r>
          <w:rPr>
            <w:vertAlign w:val="superscript"/>
          </w:rPr>
          <w:t>129</w:t>
        </w:r>
      </w:hyperlink>
    </w:p>
    <w:p w14:paraId="5E2D0A0B" w14:textId="77777777" w:rsidR="00BD462C" w:rsidRDefault="00BD462C">
      <w:pPr>
        <w:pStyle w:val="BodyText"/>
        <w:spacing w:before="3"/>
        <w:rPr>
          <w:sz w:val="8"/>
        </w:rPr>
      </w:pPr>
    </w:p>
    <w:p w14:paraId="00E7419C" w14:textId="5214BEEE" w:rsidR="00BD462C" w:rsidRDefault="00033D0F" w:rsidP="00652F97">
      <w:pPr>
        <w:pStyle w:val="BodyText"/>
        <w:numPr>
          <w:ilvl w:val="0"/>
          <w:numId w:val="68"/>
        </w:numPr>
        <w:spacing w:before="56" w:line="360" w:lineRule="auto"/>
        <w:ind w:right="915"/>
        <w:jc w:val="both"/>
      </w:pPr>
      <w:r>
        <w:rPr>
          <w:position w:val="1"/>
        </w:rPr>
        <w:t xml:space="preserve">Even if, </w:t>
      </w:r>
      <w:r>
        <w:rPr>
          <w:i/>
          <w:position w:val="1"/>
        </w:rPr>
        <w:t>arguendo</w:t>
      </w:r>
      <w:r>
        <w:rPr>
          <w:position w:val="1"/>
        </w:rPr>
        <w:t xml:space="preserve">, the Panel were to find MOFCOM's normal value determinations </w:t>
      </w:r>
      <w:r>
        <w:t>for each sampled company to be consistent with the Anti-Dumping Agreement, MOFCOM failed to make a fair comparison between those normal values and export prices as required by</w:t>
      </w:r>
      <w:r>
        <w:rPr>
          <w:spacing w:val="-1"/>
        </w:rPr>
        <w:t xml:space="preserve"> </w:t>
      </w:r>
      <w:r>
        <w:t>Article</w:t>
      </w:r>
      <w:r>
        <w:rPr>
          <w:spacing w:val="-2"/>
        </w:rPr>
        <w:t xml:space="preserve"> </w:t>
      </w:r>
      <w:r>
        <w:t>2.4,</w:t>
      </w:r>
      <w:r>
        <w:rPr>
          <w:spacing w:val="-1"/>
        </w:rPr>
        <w:t xml:space="preserve"> </w:t>
      </w:r>
      <w:r>
        <w:t>in</w:t>
      </w:r>
      <w:r>
        <w:rPr>
          <w:spacing w:val="-4"/>
        </w:rPr>
        <w:t xml:space="preserve"> </w:t>
      </w:r>
      <w:r>
        <w:t>its</w:t>
      </w:r>
      <w:r>
        <w:rPr>
          <w:spacing w:val="-1"/>
        </w:rPr>
        <w:t xml:space="preserve"> </w:t>
      </w:r>
      <w:r>
        <w:t>calculation</w:t>
      </w:r>
      <w:r>
        <w:rPr>
          <w:spacing w:val="-4"/>
        </w:rPr>
        <w:t xml:space="preserve"> </w:t>
      </w:r>
      <w:r>
        <w:t>of</w:t>
      </w:r>
      <w:r>
        <w:rPr>
          <w:spacing w:val="-4"/>
        </w:rPr>
        <w:t xml:space="preserve"> </w:t>
      </w:r>
      <w:r>
        <w:t>the</w:t>
      </w:r>
      <w:r>
        <w:rPr>
          <w:spacing w:val="-3"/>
        </w:rPr>
        <w:t xml:space="preserve"> </w:t>
      </w:r>
      <w:r>
        <w:t>dumping</w:t>
      </w:r>
      <w:r>
        <w:rPr>
          <w:spacing w:val="-1"/>
        </w:rPr>
        <w:t xml:space="preserve"> </w:t>
      </w:r>
      <w:r>
        <w:t>margins</w:t>
      </w:r>
      <w:r>
        <w:rPr>
          <w:spacing w:val="-2"/>
        </w:rPr>
        <w:t xml:space="preserve"> </w:t>
      </w:r>
      <w:r>
        <w:t>for</w:t>
      </w:r>
      <w:r>
        <w:rPr>
          <w:spacing w:val="-5"/>
        </w:rPr>
        <w:t xml:space="preserve"> </w:t>
      </w:r>
      <w:r>
        <w:t>the</w:t>
      </w:r>
      <w:r>
        <w:rPr>
          <w:spacing w:val="-3"/>
        </w:rPr>
        <w:t xml:space="preserve"> </w:t>
      </w:r>
      <w:r>
        <w:t>sampled</w:t>
      </w:r>
      <w:r>
        <w:rPr>
          <w:spacing w:val="-4"/>
        </w:rPr>
        <w:t xml:space="preserve"> </w:t>
      </w:r>
      <w:r>
        <w:t>companies</w:t>
      </w:r>
      <w:r>
        <w:rPr>
          <w:spacing w:val="-1"/>
        </w:rPr>
        <w:t xml:space="preserve"> </w:t>
      </w:r>
      <w:r>
        <w:t>and</w:t>
      </w:r>
      <w:r>
        <w:rPr>
          <w:spacing w:val="-4"/>
        </w:rPr>
        <w:t xml:space="preserve"> </w:t>
      </w:r>
      <w:r>
        <w:t>other dumping margins calculated with reference to these margins (specifically the "Other named Australian exporters").</w:t>
      </w:r>
      <w:r>
        <w:rPr>
          <w:spacing w:val="-26"/>
        </w:rPr>
        <w:t xml:space="preserve"> </w:t>
      </w:r>
      <w:hyperlink w:anchor="_bookmark171" w:history="1">
        <w:r>
          <w:rPr>
            <w:vertAlign w:val="superscript"/>
          </w:rPr>
          <w:t>130</w:t>
        </w:r>
      </w:hyperlink>
    </w:p>
    <w:p w14:paraId="42CCA994" w14:textId="77777777" w:rsidR="00BD462C" w:rsidRDefault="00BD462C">
      <w:pPr>
        <w:pStyle w:val="BodyText"/>
        <w:spacing w:before="8"/>
        <w:rPr>
          <w:sz w:val="8"/>
        </w:rPr>
      </w:pPr>
    </w:p>
    <w:p w14:paraId="40927D8A" w14:textId="2FB0F897" w:rsidR="00BD462C" w:rsidRDefault="00033D0F" w:rsidP="00652F97">
      <w:pPr>
        <w:pStyle w:val="BodyText"/>
        <w:numPr>
          <w:ilvl w:val="0"/>
          <w:numId w:val="68"/>
        </w:numPr>
        <w:spacing w:before="56" w:line="360" w:lineRule="auto"/>
        <w:ind w:right="914"/>
        <w:jc w:val="both"/>
      </w:pPr>
      <w:bookmarkStart w:id="196" w:name="_bookmark168"/>
      <w:bookmarkEnd w:id="196"/>
      <w:r>
        <w:rPr>
          <w:position w:val="1"/>
        </w:rPr>
        <w:t>Australia and China appear to be in broad agreement that Article</w:t>
      </w:r>
      <w:r>
        <w:rPr>
          <w:spacing w:val="-2"/>
          <w:position w:val="1"/>
        </w:rPr>
        <w:t xml:space="preserve"> </w:t>
      </w:r>
      <w:r>
        <w:rPr>
          <w:position w:val="1"/>
        </w:rPr>
        <w:t xml:space="preserve">2.4 confers an </w:t>
      </w:r>
      <w:r>
        <w:t>overarching obligation on investigating authorities to ensure a fair comparison between the export</w:t>
      </w:r>
      <w:r>
        <w:rPr>
          <w:spacing w:val="-11"/>
        </w:rPr>
        <w:t xml:space="preserve"> </w:t>
      </w:r>
      <w:r>
        <w:t>price</w:t>
      </w:r>
      <w:r>
        <w:rPr>
          <w:spacing w:val="-11"/>
        </w:rPr>
        <w:t xml:space="preserve"> </w:t>
      </w:r>
      <w:r>
        <w:t>and</w:t>
      </w:r>
      <w:r>
        <w:rPr>
          <w:spacing w:val="-8"/>
        </w:rPr>
        <w:t xml:space="preserve"> </w:t>
      </w:r>
      <w:r>
        <w:t>the</w:t>
      </w:r>
      <w:r>
        <w:rPr>
          <w:spacing w:val="-6"/>
        </w:rPr>
        <w:t xml:space="preserve"> </w:t>
      </w:r>
      <w:r>
        <w:t>normal</w:t>
      </w:r>
      <w:r>
        <w:rPr>
          <w:spacing w:val="-9"/>
        </w:rPr>
        <w:t xml:space="preserve"> </w:t>
      </w:r>
      <w:r>
        <w:t>value</w:t>
      </w:r>
      <w:r>
        <w:rPr>
          <w:spacing w:val="-11"/>
        </w:rPr>
        <w:t xml:space="preserve"> </w:t>
      </w:r>
      <w:r>
        <w:t>and</w:t>
      </w:r>
      <w:r>
        <w:rPr>
          <w:spacing w:val="-13"/>
        </w:rPr>
        <w:t xml:space="preserve"> </w:t>
      </w:r>
      <w:r>
        <w:t>to</w:t>
      </w:r>
      <w:r>
        <w:rPr>
          <w:spacing w:val="-13"/>
        </w:rPr>
        <w:t xml:space="preserve"> </w:t>
      </w:r>
      <w:r>
        <w:t>make</w:t>
      </w:r>
      <w:r>
        <w:rPr>
          <w:spacing w:val="-6"/>
        </w:rPr>
        <w:t xml:space="preserve"> </w:t>
      </w:r>
      <w:r>
        <w:t>due</w:t>
      </w:r>
      <w:r>
        <w:rPr>
          <w:spacing w:val="-11"/>
        </w:rPr>
        <w:t xml:space="preserve"> </w:t>
      </w:r>
      <w:r>
        <w:t>allowance,</w:t>
      </w:r>
      <w:r>
        <w:rPr>
          <w:spacing w:val="-9"/>
        </w:rPr>
        <w:t xml:space="preserve"> </w:t>
      </w:r>
      <w:r>
        <w:t>or</w:t>
      </w:r>
      <w:r>
        <w:rPr>
          <w:spacing w:val="-14"/>
        </w:rPr>
        <w:t xml:space="preserve"> </w:t>
      </w:r>
      <w:r>
        <w:t>adjustments,</w:t>
      </w:r>
      <w:r>
        <w:rPr>
          <w:spacing w:val="-9"/>
        </w:rPr>
        <w:t xml:space="preserve"> </w:t>
      </w:r>
      <w:r>
        <w:t>for</w:t>
      </w:r>
      <w:r>
        <w:rPr>
          <w:spacing w:val="-14"/>
        </w:rPr>
        <w:t xml:space="preserve"> </w:t>
      </w:r>
      <w:r>
        <w:t>differences affecting</w:t>
      </w:r>
      <w:r>
        <w:rPr>
          <w:spacing w:val="-5"/>
        </w:rPr>
        <w:t xml:space="preserve"> </w:t>
      </w:r>
      <w:r>
        <w:t>price</w:t>
      </w:r>
      <w:r>
        <w:rPr>
          <w:spacing w:val="-6"/>
        </w:rPr>
        <w:t xml:space="preserve"> </w:t>
      </w:r>
      <w:r>
        <w:t>comparability.</w:t>
      </w:r>
      <w:hyperlink w:anchor="_bookmark172" w:history="1">
        <w:r>
          <w:rPr>
            <w:vertAlign w:val="superscript"/>
          </w:rPr>
          <w:t>131</w:t>
        </w:r>
      </w:hyperlink>
      <w:r>
        <w:rPr>
          <w:spacing w:val="-5"/>
        </w:rPr>
        <w:t xml:space="preserve"> </w:t>
      </w:r>
      <w:r>
        <w:t>China</w:t>
      </w:r>
      <w:r>
        <w:rPr>
          <w:spacing w:val="-7"/>
        </w:rPr>
        <w:t xml:space="preserve"> </w:t>
      </w:r>
      <w:r>
        <w:t>acknowledged</w:t>
      </w:r>
      <w:r>
        <w:rPr>
          <w:spacing w:val="-8"/>
        </w:rPr>
        <w:t xml:space="preserve"> </w:t>
      </w:r>
      <w:r>
        <w:t>that</w:t>
      </w:r>
      <w:r>
        <w:rPr>
          <w:spacing w:val="-6"/>
        </w:rPr>
        <w:t xml:space="preserve"> </w:t>
      </w:r>
      <w:r>
        <w:t>the</w:t>
      </w:r>
      <w:r>
        <w:rPr>
          <w:spacing w:val="-6"/>
        </w:rPr>
        <w:t xml:space="preserve"> </w:t>
      </w:r>
      <w:r>
        <w:t>fair</w:t>
      </w:r>
      <w:r>
        <w:rPr>
          <w:spacing w:val="-9"/>
        </w:rPr>
        <w:t xml:space="preserve"> </w:t>
      </w:r>
      <w:r>
        <w:t>comparison</w:t>
      </w:r>
      <w:r>
        <w:rPr>
          <w:spacing w:val="-8"/>
        </w:rPr>
        <w:t xml:space="preserve"> </w:t>
      </w:r>
      <w:r>
        <w:t>requirement</w:t>
      </w:r>
      <w:r>
        <w:rPr>
          <w:spacing w:val="-6"/>
        </w:rPr>
        <w:t xml:space="preserve"> </w:t>
      </w:r>
      <w:r>
        <w:t>in Article</w:t>
      </w:r>
      <w:r>
        <w:rPr>
          <w:spacing w:val="-1"/>
        </w:rPr>
        <w:t xml:space="preserve"> </w:t>
      </w:r>
      <w:r>
        <w:t>2.4 applies in all anti-dumping investigations irrespective of the methodology used to determine normal value.</w:t>
      </w:r>
      <w:hyperlink w:anchor="_bookmark173" w:history="1">
        <w:r>
          <w:rPr>
            <w:vertAlign w:val="superscript"/>
          </w:rPr>
          <w:t>132</w:t>
        </w:r>
      </w:hyperlink>
      <w:r>
        <w:t xml:space="preserve"> Thus, Australia and China appear to agree that the requirement</w:t>
      </w:r>
    </w:p>
    <w:p w14:paraId="4EE6F637" w14:textId="77777777" w:rsidR="00BD462C" w:rsidRDefault="00BD462C">
      <w:pPr>
        <w:pStyle w:val="BodyText"/>
        <w:rPr>
          <w:sz w:val="20"/>
        </w:rPr>
      </w:pPr>
    </w:p>
    <w:p w14:paraId="0D808914" w14:textId="77777777" w:rsidR="00BD462C" w:rsidRDefault="00BD462C">
      <w:pPr>
        <w:pStyle w:val="BodyText"/>
        <w:rPr>
          <w:sz w:val="20"/>
        </w:rPr>
      </w:pPr>
    </w:p>
    <w:p w14:paraId="171789BA" w14:textId="77777777" w:rsidR="00BD462C" w:rsidRDefault="00BD462C">
      <w:pPr>
        <w:pStyle w:val="BodyText"/>
        <w:rPr>
          <w:sz w:val="20"/>
        </w:rPr>
      </w:pPr>
    </w:p>
    <w:p w14:paraId="7D0B66A7" w14:textId="07231062" w:rsidR="00BD462C" w:rsidRDefault="003A07AC">
      <w:pPr>
        <w:pStyle w:val="BodyText"/>
        <w:spacing w:before="10"/>
        <w:rPr>
          <w:sz w:val="27"/>
        </w:rPr>
      </w:pPr>
      <w:r>
        <w:rPr>
          <w:noProof/>
        </w:rPr>
        <mc:AlternateContent>
          <mc:Choice Requires="wps">
            <w:drawing>
              <wp:anchor distT="0" distB="0" distL="0" distR="0" simplePos="0" relativeHeight="488038912" behindDoc="1" locked="0" layoutInCell="1" allowOverlap="1" wp14:anchorId="67382D28" wp14:editId="43B9D497">
                <wp:simplePos x="0" y="0"/>
                <wp:positionH relativeFrom="page">
                  <wp:posOffset>812800</wp:posOffset>
                </wp:positionH>
                <wp:positionV relativeFrom="paragraph">
                  <wp:posOffset>217805</wp:posOffset>
                </wp:positionV>
                <wp:extent cx="1828800" cy="8890"/>
                <wp:effectExtent l="0" t="0" r="0" b="0"/>
                <wp:wrapTopAndBottom/>
                <wp:docPr id="1490" name="docshape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DE1B5E" id="docshape113" o:spid="_x0000_s1026" alt="&quot;&quot;" style="position:absolute;margin-left:64pt;margin-top:17.15pt;width:2in;height:.7pt;z-index:-15277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" fillcolor="black" stroked="f">
                <w10:wrap type="topAndBottom" anchorx="page"/>
              </v:rect>
            </w:pict>
          </mc:Fallback>
        </mc:AlternateContent>
      </w:r>
    </w:p>
    <w:p w14:paraId="396E1CD0" w14:textId="77777777" w:rsidR="00BD462C" w:rsidRDefault="00033D0F">
      <w:pPr>
        <w:spacing w:before="112" w:line="218" w:lineRule="exact"/>
        <w:ind w:left="135"/>
        <w:jc w:val="both"/>
        <w:rPr>
          <w:sz w:val="18"/>
        </w:rPr>
      </w:pPr>
      <w:bookmarkStart w:id="197" w:name="_bookmark169"/>
      <w:bookmarkEnd w:id="197"/>
      <w:r>
        <w:rPr>
          <w:position w:val="5"/>
          <w:sz w:val="12"/>
        </w:rPr>
        <w:t>128</w:t>
      </w:r>
      <w:r>
        <w:rPr>
          <w:spacing w:val="12"/>
          <w:position w:val="5"/>
          <w:sz w:val="12"/>
        </w:rPr>
        <w:t xml:space="preserve"> </w:t>
      </w:r>
      <w:r>
        <w:rPr>
          <w:sz w:val="18"/>
        </w:rPr>
        <w:t>Australia's</w:t>
      </w:r>
      <w:r>
        <w:rPr>
          <w:spacing w:val="-7"/>
          <w:sz w:val="18"/>
        </w:rPr>
        <w:t xml:space="preserve"> </w:t>
      </w:r>
      <w:r>
        <w:rPr>
          <w:sz w:val="18"/>
        </w:rPr>
        <w:t>first</w:t>
      </w:r>
      <w:r>
        <w:rPr>
          <w:spacing w:val="-5"/>
          <w:sz w:val="18"/>
        </w:rPr>
        <w:t xml:space="preserve"> </w:t>
      </w:r>
      <w:r>
        <w:rPr>
          <w:sz w:val="18"/>
        </w:rPr>
        <w:t>written</w:t>
      </w:r>
      <w:r>
        <w:rPr>
          <w:spacing w:val="-3"/>
          <w:sz w:val="18"/>
        </w:rPr>
        <w:t xml:space="preserve"> </w:t>
      </w:r>
      <w:r>
        <w:rPr>
          <w:sz w:val="18"/>
        </w:rPr>
        <w:t>submission, paras.</w:t>
      </w:r>
      <w:r>
        <w:rPr>
          <w:spacing w:val="-5"/>
          <w:sz w:val="18"/>
        </w:rPr>
        <w:t xml:space="preserve"> </w:t>
      </w:r>
      <w:r>
        <w:rPr>
          <w:sz w:val="18"/>
        </w:rPr>
        <w:t>493-</w:t>
      </w:r>
      <w:r>
        <w:rPr>
          <w:spacing w:val="-4"/>
          <w:sz w:val="18"/>
        </w:rPr>
        <w:t>523.</w:t>
      </w:r>
    </w:p>
    <w:p w14:paraId="5054330D" w14:textId="77777777" w:rsidR="00BD462C" w:rsidRDefault="00033D0F">
      <w:pPr>
        <w:ind w:left="135" w:right="908"/>
        <w:jc w:val="both"/>
        <w:rPr>
          <w:sz w:val="18"/>
        </w:rPr>
      </w:pPr>
      <w:bookmarkStart w:id="198" w:name="_bookmark170"/>
      <w:bookmarkEnd w:id="198"/>
      <w:r>
        <w:rPr>
          <w:position w:val="5"/>
          <w:sz w:val="12"/>
        </w:rPr>
        <w:t>129</w:t>
      </w:r>
      <w:r>
        <w:rPr>
          <w:spacing w:val="17"/>
          <w:position w:val="5"/>
          <w:sz w:val="12"/>
        </w:rPr>
        <w:t xml:space="preserve"> </w:t>
      </w:r>
      <w:r>
        <w:rPr>
          <w:sz w:val="18"/>
        </w:rPr>
        <w:t>The requirement to make a</w:t>
      </w:r>
      <w:r>
        <w:rPr>
          <w:spacing w:val="-4"/>
          <w:sz w:val="18"/>
        </w:rPr>
        <w:t xml:space="preserve"> </w:t>
      </w:r>
      <w:r>
        <w:rPr>
          <w:sz w:val="18"/>
        </w:rPr>
        <w:t>fair comparison, set out in the first sentence of</w:t>
      </w:r>
      <w:r>
        <w:rPr>
          <w:spacing w:val="-1"/>
          <w:sz w:val="18"/>
        </w:rPr>
        <w:t xml:space="preserve"> </w:t>
      </w:r>
      <w:r>
        <w:rPr>
          <w:sz w:val="18"/>
        </w:rPr>
        <w:t xml:space="preserve">Article 2.4, presupposes that the component elements of the comparison – </w:t>
      </w:r>
      <w:proofErr w:type="gramStart"/>
      <w:r>
        <w:rPr>
          <w:sz w:val="18"/>
        </w:rPr>
        <w:t>i.e.</w:t>
      </w:r>
      <w:proofErr w:type="gramEnd"/>
      <w:r>
        <w:rPr>
          <w:sz w:val="18"/>
        </w:rPr>
        <w:t xml:space="preserve"> the normal value and the export price - have already been established. The focus of</w:t>
      </w:r>
      <w:r>
        <w:rPr>
          <w:spacing w:val="40"/>
          <w:sz w:val="18"/>
        </w:rPr>
        <w:t xml:space="preserve"> </w:t>
      </w:r>
      <w:r>
        <w:rPr>
          <w:sz w:val="18"/>
        </w:rPr>
        <w:t xml:space="preserve">Article 2.4 is not merely on a comparison between the normal value and the export price, but predominantly on the means to ensure the fairness of that comparison. For a comparison to be fair, it must be unbiased, objective, and even-handed: Appellate Body Report, </w:t>
      </w:r>
      <w:r>
        <w:rPr>
          <w:i/>
          <w:sz w:val="18"/>
        </w:rPr>
        <w:t xml:space="preserve">EU — Fatty Alcohols (Indonesia) </w:t>
      </w:r>
      <w:r>
        <w:rPr>
          <w:sz w:val="18"/>
        </w:rPr>
        <w:t xml:space="preserve">para. 5.21 citing Panel Report, </w:t>
      </w:r>
      <w:r>
        <w:rPr>
          <w:i/>
          <w:sz w:val="18"/>
        </w:rPr>
        <w:t xml:space="preserve">Egypt – Steel </w:t>
      </w:r>
      <w:r>
        <w:rPr>
          <w:sz w:val="18"/>
        </w:rPr>
        <w:t xml:space="preserve">Rebar, para. 178, and Appellate Body Report, </w:t>
      </w:r>
      <w:r>
        <w:rPr>
          <w:i/>
          <w:sz w:val="18"/>
        </w:rPr>
        <w:t>US – Softwood Lumber V (Article 21.5 – Canada)</w:t>
      </w:r>
      <w:r>
        <w:rPr>
          <w:sz w:val="18"/>
        </w:rPr>
        <w:t>, para. 138.</w:t>
      </w:r>
    </w:p>
    <w:p w14:paraId="49374B3F" w14:textId="77777777" w:rsidR="00BD462C" w:rsidRDefault="00033D0F">
      <w:pPr>
        <w:ind w:left="135"/>
        <w:rPr>
          <w:sz w:val="18"/>
        </w:rPr>
      </w:pPr>
      <w:bookmarkStart w:id="199" w:name="_bookmark171"/>
      <w:bookmarkEnd w:id="199"/>
      <w:r>
        <w:rPr>
          <w:position w:val="5"/>
          <w:sz w:val="12"/>
        </w:rPr>
        <w:t>130</w:t>
      </w:r>
      <w:r>
        <w:rPr>
          <w:spacing w:val="12"/>
          <w:position w:val="5"/>
          <w:sz w:val="12"/>
        </w:rPr>
        <w:t xml:space="preserve"> </w:t>
      </w:r>
      <w:r>
        <w:rPr>
          <w:sz w:val="18"/>
        </w:rPr>
        <w:t>Australia's</w:t>
      </w:r>
      <w:r>
        <w:rPr>
          <w:spacing w:val="-6"/>
          <w:sz w:val="18"/>
        </w:rPr>
        <w:t xml:space="preserve"> </w:t>
      </w:r>
      <w:r>
        <w:rPr>
          <w:sz w:val="18"/>
        </w:rPr>
        <w:t>first</w:t>
      </w:r>
      <w:r>
        <w:rPr>
          <w:spacing w:val="-6"/>
          <w:sz w:val="18"/>
        </w:rPr>
        <w:t xml:space="preserve"> </w:t>
      </w:r>
      <w:r>
        <w:rPr>
          <w:sz w:val="18"/>
        </w:rPr>
        <w:t>written</w:t>
      </w:r>
      <w:r>
        <w:rPr>
          <w:spacing w:val="-2"/>
          <w:sz w:val="18"/>
        </w:rPr>
        <w:t xml:space="preserve"> </w:t>
      </w:r>
      <w:r>
        <w:rPr>
          <w:sz w:val="18"/>
        </w:rPr>
        <w:t>submission, para.</w:t>
      </w:r>
      <w:r>
        <w:rPr>
          <w:spacing w:val="-5"/>
          <w:sz w:val="18"/>
        </w:rPr>
        <w:t xml:space="preserve"> </w:t>
      </w:r>
      <w:r>
        <w:rPr>
          <w:spacing w:val="-4"/>
          <w:sz w:val="18"/>
        </w:rPr>
        <w:t>500.</w:t>
      </w:r>
    </w:p>
    <w:p w14:paraId="694E7B56" w14:textId="77777777" w:rsidR="00BD462C" w:rsidRDefault="00033D0F">
      <w:pPr>
        <w:ind w:left="135"/>
        <w:rPr>
          <w:sz w:val="18"/>
        </w:rPr>
      </w:pPr>
      <w:bookmarkStart w:id="200" w:name="_bookmark172"/>
      <w:bookmarkEnd w:id="200"/>
      <w:r>
        <w:rPr>
          <w:position w:val="5"/>
          <w:sz w:val="12"/>
        </w:rPr>
        <w:t>131</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 xml:space="preserve">submission, para. </w:t>
      </w:r>
      <w:r>
        <w:rPr>
          <w:spacing w:val="-4"/>
          <w:sz w:val="18"/>
        </w:rPr>
        <w:t>814.</w:t>
      </w:r>
    </w:p>
    <w:p w14:paraId="02DE8F14" w14:textId="77777777" w:rsidR="00BD462C" w:rsidRDefault="00033D0F">
      <w:pPr>
        <w:spacing w:before="1"/>
        <w:ind w:left="135"/>
        <w:rPr>
          <w:sz w:val="18"/>
        </w:rPr>
      </w:pPr>
      <w:bookmarkStart w:id="201" w:name="_bookmark173"/>
      <w:bookmarkEnd w:id="201"/>
      <w:r>
        <w:rPr>
          <w:position w:val="5"/>
          <w:sz w:val="12"/>
        </w:rPr>
        <w:t>132</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 xml:space="preserve">submission, para. </w:t>
      </w:r>
      <w:r>
        <w:rPr>
          <w:spacing w:val="-4"/>
          <w:sz w:val="18"/>
        </w:rPr>
        <w:t>811.</w:t>
      </w:r>
    </w:p>
    <w:p w14:paraId="2F2396E8" w14:textId="77777777" w:rsidR="00BD462C" w:rsidRDefault="00BD462C">
      <w:pPr>
        <w:rPr>
          <w:sz w:val="18"/>
        </w:rPr>
        <w:sectPr w:rsidR="00BD462C">
          <w:pgSz w:w="11910" w:h="16840"/>
          <w:pgMar w:top="860" w:right="500" w:bottom="780" w:left="1280" w:header="566" w:footer="590" w:gutter="0"/>
          <w:cols w:space="720"/>
        </w:sectPr>
      </w:pPr>
    </w:p>
    <w:p w14:paraId="0361154F"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3E7B25B5"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15625877"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78E87A2F" w14:textId="77777777" w:rsidR="00BD462C" w:rsidRDefault="00033D0F">
      <w:pPr>
        <w:pStyle w:val="BodyText"/>
        <w:spacing w:before="102" w:line="357" w:lineRule="auto"/>
        <w:ind w:left="135"/>
      </w:pPr>
      <w:r>
        <w:t>applies</w:t>
      </w:r>
      <w:r>
        <w:rPr>
          <w:spacing w:val="-11"/>
        </w:rPr>
        <w:t xml:space="preserve"> </w:t>
      </w:r>
      <w:r>
        <w:t>to</w:t>
      </w:r>
      <w:r>
        <w:rPr>
          <w:spacing w:val="-14"/>
        </w:rPr>
        <w:t xml:space="preserve"> </w:t>
      </w:r>
      <w:r>
        <w:t>the</w:t>
      </w:r>
      <w:r>
        <w:rPr>
          <w:spacing w:val="-12"/>
        </w:rPr>
        <w:t xml:space="preserve"> </w:t>
      </w:r>
      <w:r>
        <w:t>determination</w:t>
      </w:r>
      <w:r>
        <w:rPr>
          <w:spacing w:val="-14"/>
        </w:rPr>
        <w:t xml:space="preserve"> </w:t>
      </w:r>
      <w:r>
        <w:t>of</w:t>
      </w:r>
      <w:r>
        <w:rPr>
          <w:spacing w:val="-9"/>
        </w:rPr>
        <w:t xml:space="preserve"> </w:t>
      </w:r>
      <w:r>
        <w:t>dumping</w:t>
      </w:r>
      <w:r>
        <w:rPr>
          <w:spacing w:val="-6"/>
        </w:rPr>
        <w:t xml:space="preserve"> </w:t>
      </w:r>
      <w:r>
        <w:t>for</w:t>
      </w:r>
      <w:r>
        <w:rPr>
          <w:spacing w:val="-10"/>
        </w:rPr>
        <w:t xml:space="preserve"> </w:t>
      </w:r>
      <w:r>
        <w:t>Treasury</w:t>
      </w:r>
      <w:r>
        <w:rPr>
          <w:spacing w:val="-11"/>
        </w:rPr>
        <w:t xml:space="preserve"> </w:t>
      </w:r>
      <w:r>
        <w:t>Wines,</w:t>
      </w:r>
      <w:r>
        <w:rPr>
          <w:spacing w:val="-10"/>
        </w:rPr>
        <w:t xml:space="preserve"> </w:t>
      </w:r>
      <w:r>
        <w:t>Casella</w:t>
      </w:r>
      <w:r>
        <w:rPr>
          <w:spacing w:val="-12"/>
        </w:rPr>
        <w:t xml:space="preserve"> </w:t>
      </w:r>
      <w:proofErr w:type="gramStart"/>
      <w:r>
        <w:t>Wines</w:t>
      </w:r>
      <w:proofErr w:type="gramEnd"/>
      <w:r>
        <w:rPr>
          <w:spacing w:val="-10"/>
        </w:rPr>
        <w:t xml:space="preserve"> </w:t>
      </w:r>
      <w:r>
        <w:t>and</w:t>
      </w:r>
      <w:r>
        <w:rPr>
          <w:spacing w:val="-14"/>
        </w:rPr>
        <w:t xml:space="preserve"> </w:t>
      </w:r>
      <w:r>
        <w:t>Swan</w:t>
      </w:r>
      <w:r>
        <w:rPr>
          <w:spacing w:val="-14"/>
        </w:rPr>
        <w:t xml:space="preserve"> </w:t>
      </w:r>
      <w:r>
        <w:t>Vintage, notwithstanding that MOFCOM resorted to facts available.</w:t>
      </w:r>
    </w:p>
    <w:p w14:paraId="09A45CAE" w14:textId="77777777" w:rsidR="00BD462C" w:rsidRDefault="00BD462C">
      <w:pPr>
        <w:pStyle w:val="BodyText"/>
        <w:spacing w:before="3"/>
        <w:rPr>
          <w:sz w:val="9"/>
        </w:rPr>
      </w:pPr>
    </w:p>
    <w:p w14:paraId="01843F94" w14:textId="4846C87C" w:rsidR="00BD462C" w:rsidRDefault="00033D0F" w:rsidP="00652F97">
      <w:pPr>
        <w:pStyle w:val="BodyText"/>
        <w:numPr>
          <w:ilvl w:val="0"/>
          <w:numId w:val="68"/>
        </w:numPr>
        <w:spacing w:before="56" w:line="360" w:lineRule="auto"/>
        <w:ind w:right="913"/>
        <w:jc w:val="both"/>
      </w:pPr>
      <w:r>
        <w:rPr>
          <w:position w:val="1"/>
        </w:rPr>
        <w:t>China</w:t>
      </w:r>
      <w:r>
        <w:rPr>
          <w:spacing w:val="-3"/>
          <w:position w:val="1"/>
        </w:rPr>
        <w:t xml:space="preserve"> </w:t>
      </w:r>
      <w:r>
        <w:rPr>
          <w:position w:val="1"/>
        </w:rPr>
        <w:t>indicated</w:t>
      </w:r>
      <w:r>
        <w:rPr>
          <w:spacing w:val="-4"/>
          <w:position w:val="1"/>
        </w:rPr>
        <w:t xml:space="preserve"> </w:t>
      </w:r>
      <w:r>
        <w:rPr>
          <w:position w:val="1"/>
        </w:rPr>
        <w:t>that</w:t>
      </w:r>
      <w:r>
        <w:rPr>
          <w:spacing w:val="-2"/>
          <w:position w:val="1"/>
        </w:rPr>
        <w:t xml:space="preserve"> </w:t>
      </w:r>
      <w:r>
        <w:rPr>
          <w:position w:val="1"/>
        </w:rPr>
        <w:t>the</w:t>
      </w:r>
      <w:r>
        <w:rPr>
          <w:spacing w:val="-3"/>
          <w:position w:val="1"/>
        </w:rPr>
        <w:t xml:space="preserve"> </w:t>
      </w:r>
      <w:r>
        <w:rPr>
          <w:position w:val="1"/>
        </w:rPr>
        <w:t>"too high"</w:t>
      </w:r>
      <w:r>
        <w:rPr>
          <w:spacing w:val="-3"/>
          <w:position w:val="1"/>
        </w:rPr>
        <w:t xml:space="preserve"> </w:t>
      </w:r>
      <w:r>
        <w:rPr>
          <w:position w:val="1"/>
        </w:rPr>
        <w:t>dumping</w:t>
      </w:r>
      <w:r>
        <w:rPr>
          <w:spacing w:val="-1"/>
          <w:position w:val="1"/>
        </w:rPr>
        <w:t xml:space="preserve"> </w:t>
      </w:r>
      <w:r>
        <w:rPr>
          <w:position w:val="1"/>
        </w:rPr>
        <w:t>margins</w:t>
      </w:r>
      <w:r>
        <w:rPr>
          <w:spacing w:val="-1"/>
          <w:position w:val="1"/>
        </w:rPr>
        <w:t xml:space="preserve"> </w:t>
      </w:r>
      <w:r>
        <w:rPr>
          <w:position w:val="1"/>
        </w:rPr>
        <w:t>were</w:t>
      </w:r>
      <w:r>
        <w:rPr>
          <w:spacing w:val="-2"/>
          <w:position w:val="1"/>
        </w:rPr>
        <w:t xml:space="preserve"> </w:t>
      </w:r>
      <w:r>
        <w:rPr>
          <w:position w:val="1"/>
        </w:rPr>
        <w:t>the</w:t>
      </w:r>
      <w:r>
        <w:rPr>
          <w:spacing w:val="-3"/>
          <w:position w:val="1"/>
        </w:rPr>
        <w:t xml:space="preserve"> </w:t>
      </w:r>
      <w:r>
        <w:rPr>
          <w:position w:val="1"/>
        </w:rPr>
        <w:t>result</w:t>
      </w:r>
      <w:r>
        <w:rPr>
          <w:spacing w:val="-2"/>
          <w:position w:val="1"/>
        </w:rPr>
        <w:t xml:space="preserve"> </w:t>
      </w:r>
      <w:r>
        <w:rPr>
          <w:position w:val="1"/>
        </w:rPr>
        <w:t>of</w:t>
      </w:r>
      <w:r>
        <w:rPr>
          <w:spacing w:val="-4"/>
          <w:position w:val="1"/>
        </w:rPr>
        <w:t xml:space="preserve"> </w:t>
      </w:r>
      <w:r>
        <w:rPr>
          <w:position w:val="1"/>
        </w:rPr>
        <w:t xml:space="preserve">the sampled </w:t>
      </w:r>
      <w:r>
        <w:t>companies' alleged failure to provide certain information and MOFCOM's subsequent recourse to facts available.</w:t>
      </w:r>
      <w:hyperlink w:anchor="_bookmark177" w:history="1">
        <w:r>
          <w:rPr>
            <w:vertAlign w:val="superscript"/>
          </w:rPr>
          <w:t>133</w:t>
        </w:r>
      </w:hyperlink>
      <w:r>
        <w:t xml:space="preserve"> As Australia has shown, the sampled companies made their "best efforts" to cooperate with MOFCOM's investigation.</w:t>
      </w:r>
      <w:r>
        <w:rPr>
          <w:spacing w:val="-14"/>
        </w:rPr>
        <w:t xml:space="preserve"> </w:t>
      </w:r>
      <w:hyperlink w:anchor="_bookmark178" w:history="1">
        <w:r>
          <w:rPr>
            <w:vertAlign w:val="superscript"/>
          </w:rPr>
          <w:t>134</w:t>
        </w:r>
      </w:hyperlink>
      <w:r>
        <w:t xml:space="preserve"> Regardless of its use of facts available, MOFCOM was still obliged to make a fair comparison under Article 2.4.</w:t>
      </w:r>
    </w:p>
    <w:p w14:paraId="4987C55D" w14:textId="77777777" w:rsidR="00BD462C" w:rsidRDefault="00BD462C">
      <w:pPr>
        <w:pStyle w:val="BodyText"/>
        <w:spacing w:before="5"/>
        <w:rPr>
          <w:sz w:val="8"/>
        </w:rPr>
      </w:pPr>
    </w:p>
    <w:p w14:paraId="78AB6E41" w14:textId="4EB8B5B6" w:rsidR="00BD462C" w:rsidRDefault="00033D0F" w:rsidP="00652F97">
      <w:pPr>
        <w:pStyle w:val="BodyText"/>
        <w:numPr>
          <w:ilvl w:val="0"/>
          <w:numId w:val="68"/>
        </w:numPr>
        <w:spacing w:before="57" w:line="360" w:lineRule="auto"/>
        <w:ind w:right="917"/>
        <w:jc w:val="both"/>
      </w:pPr>
      <w:bookmarkStart w:id="202" w:name="_bookmark174"/>
      <w:bookmarkEnd w:id="202"/>
      <w:r>
        <w:rPr>
          <w:position w:val="1"/>
        </w:rPr>
        <w:t xml:space="preserve">MOFCOM failed to meet the procedural obligations contained in the final sentence </w:t>
      </w:r>
      <w:r>
        <w:t>of</w:t>
      </w:r>
      <w:r>
        <w:rPr>
          <w:spacing w:val="-8"/>
        </w:rPr>
        <w:t xml:space="preserve"> </w:t>
      </w:r>
      <w:r>
        <w:t>Article</w:t>
      </w:r>
      <w:r>
        <w:rPr>
          <w:spacing w:val="-1"/>
        </w:rPr>
        <w:t xml:space="preserve"> </w:t>
      </w:r>
      <w:r>
        <w:t>2.4</w:t>
      </w:r>
      <w:r>
        <w:rPr>
          <w:spacing w:val="-8"/>
        </w:rPr>
        <w:t xml:space="preserve"> </w:t>
      </w:r>
      <w:r>
        <w:t>as</w:t>
      </w:r>
      <w:r>
        <w:rPr>
          <w:spacing w:val="-5"/>
        </w:rPr>
        <w:t xml:space="preserve"> </w:t>
      </w:r>
      <w:r>
        <w:t>well</w:t>
      </w:r>
      <w:r>
        <w:rPr>
          <w:spacing w:val="-4"/>
        </w:rPr>
        <w:t xml:space="preserve"> </w:t>
      </w:r>
      <w:r>
        <w:t>as</w:t>
      </w:r>
      <w:r>
        <w:rPr>
          <w:spacing w:val="-5"/>
        </w:rPr>
        <w:t xml:space="preserve"> </w:t>
      </w:r>
      <w:r>
        <w:t>in</w:t>
      </w:r>
      <w:r>
        <w:rPr>
          <w:spacing w:val="-8"/>
        </w:rPr>
        <w:t xml:space="preserve"> </w:t>
      </w:r>
      <w:r>
        <w:t>Article</w:t>
      </w:r>
      <w:r>
        <w:rPr>
          <w:spacing w:val="-1"/>
        </w:rPr>
        <w:t xml:space="preserve"> </w:t>
      </w:r>
      <w:r>
        <w:t>6</w:t>
      </w:r>
      <w:r>
        <w:rPr>
          <w:spacing w:val="-8"/>
        </w:rPr>
        <w:t xml:space="preserve"> </w:t>
      </w:r>
      <w:r>
        <w:t>and</w:t>
      </w:r>
      <w:r>
        <w:rPr>
          <w:spacing w:val="-3"/>
        </w:rPr>
        <w:t xml:space="preserve"> </w:t>
      </w:r>
      <w:r>
        <w:t>Annex</w:t>
      </w:r>
      <w:r>
        <w:rPr>
          <w:spacing w:val="-5"/>
        </w:rPr>
        <w:t xml:space="preserve"> </w:t>
      </w:r>
      <w:r>
        <w:t>II</w:t>
      </w:r>
      <w:r>
        <w:rPr>
          <w:spacing w:val="-5"/>
        </w:rPr>
        <w:t xml:space="preserve"> </w:t>
      </w:r>
      <w:r>
        <w:t>and</w:t>
      </w:r>
      <w:r>
        <w:rPr>
          <w:spacing w:val="-8"/>
        </w:rPr>
        <w:t xml:space="preserve"> </w:t>
      </w:r>
      <w:r>
        <w:t>failed</w:t>
      </w:r>
      <w:r>
        <w:rPr>
          <w:spacing w:val="-8"/>
        </w:rPr>
        <w:t xml:space="preserve"> </w:t>
      </w:r>
      <w:r>
        <w:t>to</w:t>
      </w:r>
      <w:r>
        <w:rPr>
          <w:spacing w:val="-9"/>
        </w:rPr>
        <w:t xml:space="preserve"> </w:t>
      </w:r>
      <w:r>
        <w:t>make</w:t>
      </w:r>
      <w:r>
        <w:rPr>
          <w:spacing w:val="-1"/>
        </w:rPr>
        <w:t xml:space="preserve"> </w:t>
      </w:r>
      <w:r>
        <w:t>the</w:t>
      </w:r>
      <w:r>
        <w:rPr>
          <w:spacing w:val="-6"/>
        </w:rPr>
        <w:t xml:space="preserve"> </w:t>
      </w:r>
      <w:r>
        <w:t>necessary</w:t>
      </w:r>
      <w:r>
        <w:rPr>
          <w:spacing w:val="-5"/>
        </w:rPr>
        <w:t xml:space="preserve"> </w:t>
      </w:r>
      <w:r>
        <w:t xml:space="preserve">adjustments to ensure a fair comparison. China's argument appears to be </w:t>
      </w:r>
      <w:proofErr w:type="gramStart"/>
      <w:r>
        <w:t>that,</w:t>
      </w:r>
      <w:proofErr w:type="gramEnd"/>
      <w:r>
        <w:t xml:space="preserve"> having deprived the sampled companies of essential information, the companies did not request relevant adjustments and MOFCOM was therefore under no obligation to make any adjustments.</w:t>
      </w:r>
      <w:hyperlink w:anchor="_bookmark179" w:history="1">
        <w:r>
          <w:rPr>
            <w:vertAlign w:val="superscript"/>
          </w:rPr>
          <w:t>135</w:t>
        </w:r>
      </w:hyperlink>
    </w:p>
    <w:p w14:paraId="63B1A760" w14:textId="77777777" w:rsidR="00BD462C" w:rsidRDefault="00033D0F">
      <w:pPr>
        <w:pStyle w:val="Heading3"/>
        <w:numPr>
          <w:ilvl w:val="0"/>
          <w:numId w:val="36"/>
        </w:numPr>
        <w:tabs>
          <w:tab w:val="left" w:pos="2689"/>
          <w:tab w:val="left" w:pos="2690"/>
        </w:tabs>
        <w:spacing w:before="155" w:line="362" w:lineRule="auto"/>
        <w:ind w:right="913"/>
      </w:pPr>
      <w:bookmarkStart w:id="203" w:name="1._MOFCOM's_procedural_errors_precluded_"/>
      <w:bookmarkStart w:id="204" w:name="_bookmark175"/>
      <w:bookmarkEnd w:id="203"/>
      <w:bookmarkEnd w:id="204"/>
      <w:r>
        <w:t>MOFCOM's procedural errors precluded the sampled exporters from requesting adjustments to ensure a fair comparison</w:t>
      </w:r>
    </w:p>
    <w:p w14:paraId="316F0024" w14:textId="77777777" w:rsidR="00BD462C" w:rsidRDefault="00BD462C">
      <w:pPr>
        <w:pStyle w:val="BodyText"/>
        <w:spacing w:before="7"/>
        <w:rPr>
          <w:b/>
          <w:sz w:val="8"/>
        </w:rPr>
      </w:pPr>
    </w:p>
    <w:p w14:paraId="0A653EFF" w14:textId="0E9E5EFA" w:rsidR="00BD462C" w:rsidRDefault="00033D0F" w:rsidP="00652F97">
      <w:pPr>
        <w:pStyle w:val="BodyText"/>
        <w:numPr>
          <w:ilvl w:val="0"/>
          <w:numId w:val="68"/>
        </w:numPr>
        <w:spacing w:before="56" w:line="355" w:lineRule="auto"/>
      </w:pPr>
      <w:bookmarkStart w:id="205" w:name="_bookmark176"/>
      <w:bookmarkEnd w:id="205"/>
      <w:r>
        <w:rPr>
          <w:position w:val="1"/>
        </w:rPr>
        <w:t>In</w:t>
      </w:r>
      <w:r>
        <w:rPr>
          <w:spacing w:val="-18"/>
          <w:position w:val="1"/>
        </w:rPr>
        <w:t xml:space="preserve"> </w:t>
      </w:r>
      <w:r>
        <w:rPr>
          <w:position w:val="1"/>
        </w:rPr>
        <w:t>its</w:t>
      </w:r>
      <w:r>
        <w:rPr>
          <w:spacing w:val="-14"/>
          <w:position w:val="1"/>
        </w:rPr>
        <w:t xml:space="preserve"> </w:t>
      </w:r>
      <w:r>
        <w:rPr>
          <w:position w:val="1"/>
        </w:rPr>
        <w:t>first</w:t>
      </w:r>
      <w:r>
        <w:rPr>
          <w:spacing w:val="-15"/>
          <w:position w:val="1"/>
        </w:rPr>
        <w:t xml:space="preserve"> </w:t>
      </w:r>
      <w:r>
        <w:rPr>
          <w:position w:val="1"/>
        </w:rPr>
        <w:t>written</w:t>
      </w:r>
      <w:r>
        <w:rPr>
          <w:spacing w:val="-18"/>
          <w:position w:val="1"/>
        </w:rPr>
        <w:t xml:space="preserve"> </w:t>
      </w:r>
      <w:r>
        <w:rPr>
          <w:position w:val="1"/>
        </w:rPr>
        <w:t>submission,</w:t>
      </w:r>
      <w:r>
        <w:rPr>
          <w:spacing w:val="-14"/>
          <w:position w:val="1"/>
        </w:rPr>
        <w:t xml:space="preserve"> </w:t>
      </w:r>
      <w:r>
        <w:rPr>
          <w:position w:val="1"/>
        </w:rPr>
        <w:t>Australia</w:t>
      </w:r>
      <w:r>
        <w:rPr>
          <w:spacing w:val="-16"/>
          <w:position w:val="1"/>
        </w:rPr>
        <w:t xml:space="preserve"> </w:t>
      </w:r>
      <w:r>
        <w:rPr>
          <w:position w:val="1"/>
        </w:rPr>
        <w:t>established</w:t>
      </w:r>
      <w:r>
        <w:rPr>
          <w:spacing w:val="-18"/>
          <w:position w:val="1"/>
        </w:rPr>
        <w:t xml:space="preserve"> </w:t>
      </w:r>
      <w:r>
        <w:rPr>
          <w:position w:val="1"/>
        </w:rPr>
        <w:t>that</w:t>
      </w:r>
      <w:r>
        <w:rPr>
          <w:spacing w:val="-15"/>
          <w:position w:val="1"/>
        </w:rPr>
        <w:t xml:space="preserve"> </w:t>
      </w:r>
      <w:r>
        <w:rPr>
          <w:position w:val="1"/>
        </w:rPr>
        <w:t>MOFCOM's</w:t>
      </w:r>
      <w:r>
        <w:rPr>
          <w:spacing w:val="-14"/>
          <w:position w:val="1"/>
        </w:rPr>
        <w:t xml:space="preserve"> </w:t>
      </w:r>
      <w:r>
        <w:rPr>
          <w:position w:val="1"/>
        </w:rPr>
        <w:t>procedural</w:t>
      </w:r>
      <w:r>
        <w:rPr>
          <w:spacing w:val="-14"/>
          <w:position w:val="1"/>
        </w:rPr>
        <w:t xml:space="preserve"> </w:t>
      </w:r>
      <w:r>
        <w:rPr>
          <w:position w:val="1"/>
        </w:rPr>
        <w:t xml:space="preserve">errors </w:t>
      </w:r>
      <w:r>
        <w:t>precluded it from making a fair</w:t>
      </w:r>
      <w:r>
        <w:rPr>
          <w:spacing w:val="-1"/>
        </w:rPr>
        <w:t xml:space="preserve"> </w:t>
      </w:r>
      <w:r>
        <w:t>comparison, in breach of the obligations under</w:t>
      </w:r>
      <w:r>
        <w:rPr>
          <w:spacing w:val="-1"/>
        </w:rPr>
        <w:t xml:space="preserve"> </w:t>
      </w:r>
      <w:r>
        <w:t>Article 2.4.</w:t>
      </w:r>
      <w:r>
        <w:rPr>
          <w:spacing w:val="-33"/>
        </w:rPr>
        <w:t xml:space="preserve"> </w:t>
      </w:r>
      <w:hyperlink w:anchor="_bookmark180" w:history="1">
        <w:r>
          <w:rPr>
            <w:vertAlign w:val="superscript"/>
          </w:rPr>
          <w:t>136</w:t>
        </w:r>
      </w:hyperlink>
    </w:p>
    <w:p w14:paraId="692E6EE9" w14:textId="77777777" w:rsidR="00BD462C" w:rsidRDefault="00BD462C">
      <w:pPr>
        <w:pStyle w:val="BodyText"/>
        <w:spacing w:before="4"/>
        <w:rPr>
          <w:sz w:val="9"/>
        </w:rPr>
      </w:pPr>
    </w:p>
    <w:p w14:paraId="064C5E66" w14:textId="4681DFBC" w:rsidR="00BD462C" w:rsidRPr="00652F97" w:rsidRDefault="00033D0F" w:rsidP="00652F97">
      <w:pPr>
        <w:pStyle w:val="BodyText"/>
        <w:numPr>
          <w:ilvl w:val="0"/>
          <w:numId w:val="68"/>
        </w:numPr>
        <w:spacing w:before="56" w:line="360" w:lineRule="auto"/>
        <w:ind w:right="916"/>
        <w:jc w:val="both"/>
      </w:pPr>
      <w:r>
        <w:rPr>
          <w:position w:val="1"/>
        </w:rPr>
        <w:t>Depending on the particular circumstances, the last sentence of Article</w:t>
      </w:r>
      <w:r>
        <w:rPr>
          <w:spacing w:val="-1"/>
          <w:position w:val="1"/>
        </w:rPr>
        <w:t xml:space="preserve"> </w:t>
      </w:r>
      <w:r>
        <w:rPr>
          <w:position w:val="1"/>
        </w:rPr>
        <w:t>2.4 may</w:t>
      </w:r>
      <w:r>
        <w:rPr>
          <w:spacing w:val="40"/>
          <w:position w:val="1"/>
        </w:rPr>
        <w:t xml:space="preserve"> </w:t>
      </w:r>
      <w:r>
        <w:t>require an investigating authority to</w:t>
      </w:r>
      <w:r>
        <w:rPr>
          <w:spacing w:val="-1"/>
        </w:rPr>
        <w:t xml:space="preserve"> </w:t>
      </w:r>
      <w:r>
        <w:t>share certain information with interested parties to the extent that these parties require this information in order to make requests for adjustments.</w:t>
      </w:r>
      <w:hyperlink w:anchor="_bookmark181" w:history="1">
        <w:r>
          <w:rPr>
            <w:vertAlign w:val="superscript"/>
          </w:rPr>
          <w:t>137</w:t>
        </w:r>
      </w:hyperlink>
      <w:r>
        <w:t xml:space="preserve"> This may not always require the disclosure of "raw data" but does require adequate disclosure of methodology. According to the Appellate Body "[w]</w:t>
      </w:r>
      <w:proofErr w:type="spellStart"/>
      <w:r>
        <w:t>ithout</w:t>
      </w:r>
      <w:proofErr w:type="spellEnd"/>
      <w:r>
        <w:t xml:space="preserve"> knowing which</w:t>
      </w:r>
      <w:r>
        <w:rPr>
          <w:spacing w:val="-3"/>
        </w:rPr>
        <w:t xml:space="preserve"> </w:t>
      </w:r>
      <w:r>
        <w:t>particular</w:t>
      </w:r>
      <w:r>
        <w:rPr>
          <w:spacing w:val="-4"/>
        </w:rPr>
        <w:t xml:space="preserve"> </w:t>
      </w:r>
      <w:r>
        <w:t>method</w:t>
      </w:r>
      <w:r>
        <w:rPr>
          <w:spacing w:val="-3"/>
        </w:rPr>
        <w:t xml:space="preserve"> </w:t>
      </w:r>
      <w:r>
        <w:t>the authority will use</w:t>
      </w:r>
      <w:r>
        <w:rPr>
          <w:spacing w:val="-1"/>
        </w:rPr>
        <w:t xml:space="preserve"> </w:t>
      </w:r>
      <w:r>
        <w:t>[…]</w:t>
      </w:r>
      <w:r>
        <w:rPr>
          <w:spacing w:val="-4"/>
        </w:rPr>
        <w:t xml:space="preserve"> </w:t>
      </w:r>
      <w:r>
        <w:t>it</w:t>
      </w:r>
      <w:r>
        <w:rPr>
          <w:spacing w:val="-1"/>
        </w:rPr>
        <w:t xml:space="preserve"> </w:t>
      </w:r>
      <w:r>
        <w:t>would</w:t>
      </w:r>
      <w:r>
        <w:rPr>
          <w:spacing w:val="-3"/>
        </w:rPr>
        <w:t xml:space="preserve"> </w:t>
      </w:r>
      <w:r>
        <w:t>not</w:t>
      </w:r>
      <w:r>
        <w:rPr>
          <w:spacing w:val="-1"/>
        </w:rPr>
        <w:t xml:space="preserve"> </w:t>
      </w:r>
      <w:r>
        <w:t>be possible</w:t>
      </w:r>
      <w:r>
        <w:rPr>
          <w:spacing w:val="-1"/>
        </w:rPr>
        <w:t xml:space="preserve"> </w:t>
      </w:r>
      <w:r>
        <w:t>for the</w:t>
      </w:r>
      <w:r>
        <w:rPr>
          <w:spacing w:val="-2"/>
        </w:rPr>
        <w:t xml:space="preserve"> </w:t>
      </w:r>
      <w:r>
        <w:t>interested parties</w:t>
      </w:r>
      <w:r>
        <w:rPr>
          <w:spacing w:val="-14"/>
        </w:rPr>
        <w:t xml:space="preserve"> </w:t>
      </w:r>
      <w:r>
        <w:t>to</w:t>
      </w:r>
      <w:r>
        <w:rPr>
          <w:spacing w:val="-14"/>
        </w:rPr>
        <w:t xml:space="preserve"> </w:t>
      </w:r>
      <w:r>
        <w:t>know</w:t>
      </w:r>
      <w:r>
        <w:rPr>
          <w:spacing w:val="-13"/>
        </w:rPr>
        <w:t xml:space="preserve"> </w:t>
      </w:r>
      <w:r>
        <w:t>what</w:t>
      </w:r>
      <w:r>
        <w:rPr>
          <w:spacing w:val="-14"/>
        </w:rPr>
        <w:t xml:space="preserve"> </w:t>
      </w:r>
      <w:r>
        <w:t>information</w:t>
      </w:r>
      <w:r>
        <w:rPr>
          <w:spacing w:val="-13"/>
        </w:rPr>
        <w:t xml:space="preserve"> </w:t>
      </w:r>
      <w:r>
        <w:t>will</w:t>
      </w:r>
      <w:r>
        <w:rPr>
          <w:spacing w:val="-14"/>
        </w:rPr>
        <w:t xml:space="preserve"> </w:t>
      </w:r>
      <w:r>
        <w:t>be</w:t>
      </w:r>
      <w:r>
        <w:rPr>
          <w:spacing w:val="-13"/>
        </w:rPr>
        <w:t xml:space="preserve"> </w:t>
      </w:r>
      <w:r>
        <w:t>necessary</w:t>
      </w:r>
      <w:r>
        <w:rPr>
          <w:spacing w:val="-14"/>
        </w:rPr>
        <w:t xml:space="preserve"> </w:t>
      </w:r>
      <w:r>
        <w:t>for</w:t>
      </w:r>
      <w:r>
        <w:rPr>
          <w:spacing w:val="-14"/>
        </w:rPr>
        <w:t xml:space="preserve"> </w:t>
      </w:r>
      <w:r>
        <w:t>purposes</w:t>
      </w:r>
      <w:r>
        <w:rPr>
          <w:spacing w:val="-13"/>
        </w:rPr>
        <w:t xml:space="preserve"> </w:t>
      </w:r>
      <w:r>
        <w:t>of</w:t>
      </w:r>
      <w:r>
        <w:rPr>
          <w:spacing w:val="-14"/>
        </w:rPr>
        <w:t xml:space="preserve"> </w:t>
      </w:r>
      <w:r>
        <w:t>ensuring</w:t>
      </w:r>
      <w:r>
        <w:rPr>
          <w:spacing w:val="-13"/>
        </w:rPr>
        <w:t xml:space="preserve"> </w:t>
      </w:r>
      <w:r>
        <w:t>a</w:t>
      </w:r>
      <w:r>
        <w:rPr>
          <w:spacing w:val="-14"/>
        </w:rPr>
        <w:t xml:space="preserve"> </w:t>
      </w:r>
      <w:r>
        <w:t>fair</w:t>
      </w:r>
      <w:r>
        <w:rPr>
          <w:spacing w:val="-13"/>
        </w:rPr>
        <w:t xml:space="preserve"> </w:t>
      </w:r>
      <w:r>
        <w:t>comparison, and to request adjustments accordingly."</w:t>
      </w:r>
      <w:hyperlink w:anchor="_bookmark182" w:history="1">
        <w:r>
          <w:rPr>
            <w:vertAlign w:val="superscript"/>
          </w:rPr>
          <w:t>138</w:t>
        </w:r>
      </w:hyperlink>
      <w:r>
        <w:t xml:space="preserve"> The obligation to inform is even more pertinent where</w:t>
      </w:r>
      <w:r>
        <w:rPr>
          <w:spacing w:val="-6"/>
        </w:rPr>
        <w:t xml:space="preserve"> </w:t>
      </w:r>
      <w:r>
        <w:t>the</w:t>
      </w:r>
      <w:r>
        <w:rPr>
          <w:spacing w:val="-2"/>
        </w:rPr>
        <w:t xml:space="preserve"> </w:t>
      </w:r>
      <w:r>
        <w:t>normal</w:t>
      </w:r>
      <w:r>
        <w:rPr>
          <w:spacing w:val="-4"/>
        </w:rPr>
        <w:t xml:space="preserve"> </w:t>
      </w:r>
      <w:r>
        <w:t>value</w:t>
      </w:r>
      <w:r>
        <w:rPr>
          <w:spacing w:val="-6"/>
        </w:rPr>
        <w:t xml:space="preserve"> </w:t>
      </w:r>
      <w:r>
        <w:t>is</w:t>
      </w:r>
      <w:r>
        <w:rPr>
          <w:spacing w:val="-5"/>
        </w:rPr>
        <w:t xml:space="preserve"> </w:t>
      </w:r>
      <w:r>
        <w:t>not</w:t>
      </w:r>
      <w:r>
        <w:rPr>
          <w:spacing w:val="-1"/>
        </w:rPr>
        <w:t xml:space="preserve"> </w:t>
      </w:r>
      <w:r>
        <w:t>established</w:t>
      </w:r>
      <w:r>
        <w:rPr>
          <w:spacing w:val="-8"/>
        </w:rPr>
        <w:t xml:space="preserve"> </w:t>
      </w:r>
      <w:r>
        <w:t>on</w:t>
      </w:r>
      <w:r>
        <w:rPr>
          <w:spacing w:val="-8"/>
        </w:rPr>
        <w:t xml:space="preserve"> </w:t>
      </w:r>
      <w:r>
        <w:t>the</w:t>
      </w:r>
      <w:r>
        <w:rPr>
          <w:spacing w:val="-2"/>
        </w:rPr>
        <w:t xml:space="preserve"> </w:t>
      </w:r>
      <w:r>
        <w:t>basis</w:t>
      </w:r>
      <w:r>
        <w:rPr>
          <w:spacing w:val="-5"/>
        </w:rPr>
        <w:t xml:space="preserve"> </w:t>
      </w:r>
      <w:r>
        <w:t>of</w:t>
      </w:r>
      <w:r>
        <w:rPr>
          <w:spacing w:val="-8"/>
        </w:rPr>
        <w:t xml:space="preserve"> </w:t>
      </w:r>
      <w:r>
        <w:t>a</w:t>
      </w:r>
      <w:r>
        <w:rPr>
          <w:spacing w:val="-7"/>
        </w:rPr>
        <w:t xml:space="preserve"> </w:t>
      </w:r>
      <w:r>
        <w:t>foreign</w:t>
      </w:r>
      <w:r>
        <w:rPr>
          <w:spacing w:val="-8"/>
        </w:rPr>
        <w:t xml:space="preserve"> </w:t>
      </w:r>
      <w:r>
        <w:t>producer's</w:t>
      </w:r>
      <w:r>
        <w:rPr>
          <w:spacing w:val="-5"/>
        </w:rPr>
        <w:t xml:space="preserve"> </w:t>
      </w:r>
      <w:r>
        <w:t>domestic</w:t>
      </w:r>
      <w:r>
        <w:rPr>
          <w:spacing w:val="-7"/>
        </w:rPr>
        <w:t xml:space="preserve"> </w:t>
      </w:r>
      <w:r>
        <w:t>sales,</w:t>
      </w:r>
      <w:r w:rsidR="009A6330">
        <w:rPr>
          <w:noProof/>
        </w:rPr>
        <mc:AlternateContent>
          <mc:Choice Requires="wps">
            <w:drawing>
              <wp:anchor distT="0" distB="0" distL="0" distR="0" simplePos="0" relativeHeight="487985664" behindDoc="1" locked="0" layoutInCell="1" allowOverlap="1" wp14:anchorId="7755DA5B" wp14:editId="4B1D7541">
                <wp:simplePos x="0" y="0"/>
                <wp:positionH relativeFrom="page">
                  <wp:posOffset>812800</wp:posOffset>
                </wp:positionH>
                <wp:positionV relativeFrom="paragraph">
                  <wp:posOffset>295275</wp:posOffset>
                </wp:positionV>
                <wp:extent cx="1828800" cy="8890"/>
                <wp:effectExtent l="0" t="0" r="0" b="0"/>
                <wp:wrapTopAndBottom/>
                <wp:docPr id="1400" name="docshape7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FCE5F3" id="docshape712" o:spid="_x0000_s1026" alt="&quot;&quot;" style="position:absolute;margin-left:64pt;margin-top:23.25pt;width:2in;height:.7pt;z-index:-15330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" fillcolor="black" stroked="f">
                <w10:wrap type="topAndBottom" anchorx="page"/>
              </v:rect>
            </w:pict>
          </mc:Fallback>
        </mc:AlternateContent>
      </w:r>
    </w:p>
    <w:p w14:paraId="3ACE10EC" w14:textId="72C1F566" w:rsidR="00BD462C" w:rsidRDefault="00BD462C">
      <w:pPr>
        <w:pStyle w:val="BodyText"/>
        <w:spacing w:before="8"/>
        <w:rPr>
          <w:sz w:val="17"/>
        </w:rPr>
      </w:pPr>
    </w:p>
    <w:p w14:paraId="0E6C0B79" w14:textId="77777777" w:rsidR="00BD462C" w:rsidRDefault="00033D0F">
      <w:pPr>
        <w:spacing w:before="112" w:line="218" w:lineRule="exact"/>
        <w:ind w:left="135"/>
        <w:rPr>
          <w:sz w:val="18"/>
        </w:rPr>
      </w:pPr>
      <w:bookmarkStart w:id="206" w:name="_bookmark177"/>
      <w:bookmarkEnd w:id="206"/>
      <w:r>
        <w:rPr>
          <w:position w:val="5"/>
          <w:sz w:val="12"/>
        </w:rPr>
        <w:t>133</w:t>
      </w:r>
      <w:r>
        <w:rPr>
          <w:spacing w:val="14"/>
          <w:position w:val="5"/>
          <w:sz w:val="12"/>
        </w:rPr>
        <w:t xml:space="preserve"> </w:t>
      </w:r>
      <w:r>
        <w:rPr>
          <w:sz w:val="18"/>
        </w:rPr>
        <w:t>China's</w:t>
      </w:r>
      <w:r>
        <w:rPr>
          <w:spacing w:val="-4"/>
          <w:sz w:val="18"/>
        </w:rPr>
        <w:t xml:space="preserve"> </w:t>
      </w:r>
      <w:r>
        <w:rPr>
          <w:sz w:val="18"/>
        </w:rPr>
        <w:t>first</w:t>
      </w:r>
      <w:r>
        <w:rPr>
          <w:spacing w:val="-4"/>
          <w:sz w:val="18"/>
        </w:rPr>
        <w:t xml:space="preserve"> </w:t>
      </w:r>
      <w:r>
        <w:rPr>
          <w:sz w:val="18"/>
        </w:rPr>
        <w:t>written</w:t>
      </w:r>
      <w:r>
        <w:rPr>
          <w:spacing w:val="-5"/>
          <w:sz w:val="18"/>
        </w:rPr>
        <w:t xml:space="preserve"> </w:t>
      </w:r>
      <w:r>
        <w:rPr>
          <w:sz w:val="18"/>
        </w:rPr>
        <w:t>submission,</w:t>
      </w:r>
      <w:r>
        <w:rPr>
          <w:spacing w:val="2"/>
          <w:sz w:val="18"/>
        </w:rPr>
        <w:t xml:space="preserve"> </w:t>
      </w:r>
      <w:r>
        <w:rPr>
          <w:sz w:val="18"/>
        </w:rPr>
        <w:t>para</w:t>
      </w:r>
      <w:r>
        <w:rPr>
          <w:spacing w:val="-6"/>
          <w:sz w:val="18"/>
        </w:rPr>
        <w:t xml:space="preserve"> </w:t>
      </w:r>
      <w:r>
        <w:rPr>
          <w:sz w:val="18"/>
        </w:rPr>
        <w:t>167;</w:t>
      </w:r>
      <w:r>
        <w:rPr>
          <w:spacing w:val="-6"/>
          <w:sz w:val="18"/>
        </w:rPr>
        <w:t xml:space="preserve"> </w:t>
      </w:r>
      <w:r>
        <w:rPr>
          <w:sz w:val="18"/>
        </w:rPr>
        <w:t>see</w:t>
      </w:r>
      <w:r>
        <w:rPr>
          <w:spacing w:val="-5"/>
          <w:sz w:val="18"/>
        </w:rPr>
        <w:t xml:space="preserve"> </w:t>
      </w:r>
      <w:r>
        <w:rPr>
          <w:sz w:val="18"/>
        </w:rPr>
        <w:t>also</w:t>
      </w:r>
      <w:r>
        <w:rPr>
          <w:spacing w:val="-5"/>
          <w:sz w:val="18"/>
        </w:rPr>
        <w:t xml:space="preserve"> </w:t>
      </w:r>
      <w:r>
        <w:rPr>
          <w:sz w:val="18"/>
        </w:rPr>
        <w:t>paras.</w:t>
      </w:r>
      <w:r>
        <w:rPr>
          <w:spacing w:val="1"/>
          <w:sz w:val="18"/>
        </w:rPr>
        <w:t xml:space="preserve"> </w:t>
      </w:r>
      <w:r>
        <w:rPr>
          <w:sz w:val="18"/>
        </w:rPr>
        <w:t>809-810</w:t>
      </w:r>
      <w:r>
        <w:rPr>
          <w:spacing w:val="-6"/>
          <w:sz w:val="18"/>
        </w:rPr>
        <w:t xml:space="preserve"> </w:t>
      </w:r>
      <w:r>
        <w:rPr>
          <w:sz w:val="18"/>
        </w:rPr>
        <w:t>(citing</w:t>
      </w:r>
      <w:r>
        <w:rPr>
          <w:spacing w:val="-4"/>
          <w:sz w:val="18"/>
        </w:rPr>
        <w:t xml:space="preserve"> </w:t>
      </w:r>
      <w:r>
        <w:rPr>
          <w:sz w:val="18"/>
        </w:rPr>
        <w:t>Panel</w:t>
      </w:r>
      <w:r>
        <w:rPr>
          <w:spacing w:val="-4"/>
          <w:sz w:val="18"/>
        </w:rPr>
        <w:t xml:space="preserve"> </w:t>
      </w:r>
      <w:r>
        <w:rPr>
          <w:sz w:val="18"/>
        </w:rPr>
        <w:t>Report,</w:t>
      </w:r>
      <w:r>
        <w:rPr>
          <w:spacing w:val="2"/>
          <w:sz w:val="18"/>
        </w:rPr>
        <w:t xml:space="preserve"> </w:t>
      </w:r>
      <w:r>
        <w:rPr>
          <w:i/>
          <w:sz w:val="18"/>
        </w:rPr>
        <w:t>US</w:t>
      </w:r>
      <w:r>
        <w:rPr>
          <w:i/>
          <w:spacing w:val="-6"/>
          <w:sz w:val="18"/>
        </w:rPr>
        <w:t xml:space="preserve"> </w:t>
      </w:r>
      <w:r>
        <w:rPr>
          <w:i/>
          <w:sz w:val="18"/>
        </w:rPr>
        <w:t>—</w:t>
      </w:r>
      <w:r>
        <w:rPr>
          <w:i/>
          <w:spacing w:val="-8"/>
          <w:sz w:val="18"/>
        </w:rPr>
        <w:t xml:space="preserve"> </w:t>
      </w:r>
      <w:r>
        <w:rPr>
          <w:i/>
          <w:sz w:val="18"/>
        </w:rPr>
        <w:t>Steel</w:t>
      </w:r>
      <w:r>
        <w:rPr>
          <w:i/>
          <w:spacing w:val="-3"/>
          <w:sz w:val="18"/>
        </w:rPr>
        <w:t xml:space="preserve"> </w:t>
      </w:r>
      <w:r>
        <w:rPr>
          <w:i/>
          <w:sz w:val="18"/>
        </w:rPr>
        <w:t>Plate</w:t>
      </w:r>
      <w:r>
        <w:rPr>
          <w:sz w:val="18"/>
        </w:rPr>
        <w:t>,</w:t>
      </w:r>
      <w:r>
        <w:rPr>
          <w:spacing w:val="-2"/>
          <w:sz w:val="18"/>
        </w:rPr>
        <w:t xml:space="preserve"> </w:t>
      </w:r>
      <w:r>
        <w:rPr>
          <w:sz w:val="18"/>
        </w:rPr>
        <w:t>para.</w:t>
      </w:r>
      <w:r>
        <w:rPr>
          <w:spacing w:val="-4"/>
          <w:sz w:val="18"/>
        </w:rPr>
        <w:t xml:space="preserve"> </w:t>
      </w:r>
      <w:r>
        <w:rPr>
          <w:spacing w:val="-2"/>
          <w:sz w:val="18"/>
        </w:rPr>
        <w:t>7.60).</w:t>
      </w:r>
    </w:p>
    <w:p w14:paraId="6200DD59" w14:textId="77777777" w:rsidR="00BD462C" w:rsidRDefault="00033D0F">
      <w:pPr>
        <w:spacing w:line="218" w:lineRule="exact"/>
        <w:ind w:left="135"/>
        <w:rPr>
          <w:sz w:val="18"/>
        </w:rPr>
      </w:pPr>
      <w:bookmarkStart w:id="207" w:name="_bookmark178"/>
      <w:bookmarkEnd w:id="207"/>
      <w:r>
        <w:rPr>
          <w:position w:val="5"/>
          <w:sz w:val="12"/>
        </w:rPr>
        <w:t>134</w:t>
      </w:r>
      <w:r>
        <w:rPr>
          <w:spacing w:val="12"/>
          <w:position w:val="5"/>
          <w:sz w:val="12"/>
        </w:rPr>
        <w:t xml:space="preserve"> </w:t>
      </w:r>
      <w:r>
        <w:rPr>
          <w:sz w:val="18"/>
        </w:rPr>
        <w:t>Australia's</w:t>
      </w:r>
      <w:r>
        <w:rPr>
          <w:spacing w:val="-7"/>
          <w:sz w:val="18"/>
        </w:rPr>
        <w:t xml:space="preserve"> </w:t>
      </w:r>
      <w:r>
        <w:rPr>
          <w:sz w:val="18"/>
        </w:rPr>
        <w:t>first</w:t>
      </w:r>
      <w:r>
        <w:rPr>
          <w:spacing w:val="-5"/>
          <w:sz w:val="18"/>
        </w:rPr>
        <w:t xml:space="preserve"> </w:t>
      </w:r>
      <w:r>
        <w:rPr>
          <w:sz w:val="18"/>
        </w:rPr>
        <w:t>written</w:t>
      </w:r>
      <w:r>
        <w:rPr>
          <w:spacing w:val="-3"/>
          <w:sz w:val="18"/>
        </w:rPr>
        <w:t xml:space="preserve"> </w:t>
      </w:r>
      <w:r>
        <w:rPr>
          <w:sz w:val="18"/>
        </w:rPr>
        <w:t>submission, paras.</w:t>
      </w:r>
      <w:r>
        <w:rPr>
          <w:spacing w:val="-5"/>
          <w:sz w:val="18"/>
        </w:rPr>
        <w:t xml:space="preserve"> </w:t>
      </w:r>
      <w:r>
        <w:rPr>
          <w:sz w:val="18"/>
        </w:rPr>
        <w:t>108-</w:t>
      </w:r>
      <w:r>
        <w:rPr>
          <w:spacing w:val="-4"/>
          <w:sz w:val="18"/>
        </w:rPr>
        <w:t>111.</w:t>
      </w:r>
    </w:p>
    <w:p w14:paraId="5638889B" w14:textId="77777777" w:rsidR="00BD462C" w:rsidRDefault="00033D0F">
      <w:pPr>
        <w:spacing w:before="1"/>
        <w:ind w:left="135"/>
        <w:rPr>
          <w:sz w:val="18"/>
        </w:rPr>
      </w:pPr>
      <w:bookmarkStart w:id="208" w:name="_bookmark179"/>
      <w:bookmarkEnd w:id="208"/>
      <w:r>
        <w:rPr>
          <w:position w:val="5"/>
          <w:sz w:val="12"/>
        </w:rPr>
        <w:t>135</w:t>
      </w:r>
      <w:r>
        <w:rPr>
          <w:spacing w:val="14"/>
          <w:position w:val="5"/>
          <w:sz w:val="12"/>
        </w:rPr>
        <w:t xml:space="preserve"> </w:t>
      </w:r>
      <w:r>
        <w:rPr>
          <w:sz w:val="18"/>
        </w:rPr>
        <w:t>Australia's claims under</w:t>
      </w:r>
      <w:r>
        <w:rPr>
          <w:spacing w:val="-7"/>
          <w:sz w:val="18"/>
        </w:rPr>
        <w:t xml:space="preserve"> </w:t>
      </w:r>
      <w:r>
        <w:rPr>
          <w:sz w:val="18"/>
        </w:rPr>
        <w:t>Articles</w:t>
      </w:r>
      <w:r>
        <w:rPr>
          <w:spacing w:val="-4"/>
          <w:sz w:val="18"/>
        </w:rPr>
        <w:t xml:space="preserve"> </w:t>
      </w:r>
      <w:r>
        <w:rPr>
          <w:sz w:val="18"/>
        </w:rPr>
        <w:t>6.1,</w:t>
      </w:r>
      <w:r>
        <w:rPr>
          <w:spacing w:val="1"/>
          <w:sz w:val="18"/>
        </w:rPr>
        <w:t xml:space="preserve"> </w:t>
      </w:r>
      <w:r>
        <w:rPr>
          <w:sz w:val="18"/>
        </w:rPr>
        <w:t>6.1.1,</w:t>
      </w:r>
      <w:r>
        <w:rPr>
          <w:spacing w:val="-2"/>
          <w:sz w:val="18"/>
        </w:rPr>
        <w:t xml:space="preserve"> </w:t>
      </w:r>
      <w:r>
        <w:rPr>
          <w:sz w:val="18"/>
        </w:rPr>
        <w:t>6.2,</w:t>
      </w:r>
      <w:r>
        <w:rPr>
          <w:spacing w:val="2"/>
          <w:sz w:val="18"/>
        </w:rPr>
        <w:t xml:space="preserve"> </w:t>
      </w:r>
      <w:r>
        <w:rPr>
          <w:sz w:val="18"/>
        </w:rPr>
        <w:t>6.4</w:t>
      </w:r>
      <w:r>
        <w:rPr>
          <w:spacing w:val="-2"/>
          <w:sz w:val="18"/>
        </w:rPr>
        <w:t xml:space="preserve"> </w:t>
      </w:r>
      <w:r>
        <w:rPr>
          <w:sz w:val="18"/>
        </w:rPr>
        <w:t>and</w:t>
      </w:r>
      <w:r>
        <w:rPr>
          <w:spacing w:val="-6"/>
          <w:sz w:val="18"/>
        </w:rPr>
        <w:t xml:space="preserve"> </w:t>
      </w:r>
      <w:r>
        <w:rPr>
          <w:sz w:val="18"/>
        </w:rPr>
        <w:t>6.9</w:t>
      </w:r>
      <w:r>
        <w:rPr>
          <w:spacing w:val="-6"/>
          <w:sz w:val="18"/>
        </w:rPr>
        <w:t xml:space="preserve"> </w:t>
      </w:r>
      <w:r>
        <w:rPr>
          <w:sz w:val="18"/>
        </w:rPr>
        <w:t>are</w:t>
      </w:r>
      <w:r>
        <w:rPr>
          <w:spacing w:val="-5"/>
          <w:sz w:val="18"/>
        </w:rPr>
        <w:t xml:space="preserve"> </w:t>
      </w:r>
      <w:r>
        <w:rPr>
          <w:sz w:val="18"/>
        </w:rPr>
        <w:t>elaborated</w:t>
      </w:r>
      <w:r>
        <w:rPr>
          <w:spacing w:val="-1"/>
          <w:sz w:val="18"/>
        </w:rPr>
        <w:t xml:space="preserve"> </w:t>
      </w:r>
      <w:r>
        <w:rPr>
          <w:sz w:val="18"/>
        </w:rPr>
        <w:t>upon</w:t>
      </w:r>
      <w:r>
        <w:rPr>
          <w:spacing w:val="-5"/>
          <w:sz w:val="18"/>
        </w:rPr>
        <w:t xml:space="preserve"> </w:t>
      </w:r>
      <w:r>
        <w:rPr>
          <w:sz w:val="18"/>
        </w:rPr>
        <w:t>in</w:t>
      </w:r>
      <w:r>
        <w:rPr>
          <w:spacing w:val="-6"/>
          <w:sz w:val="18"/>
        </w:rPr>
        <w:t xml:space="preserve"> </w:t>
      </w:r>
      <w:r>
        <w:rPr>
          <w:sz w:val="18"/>
        </w:rPr>
        <w:t>Section</w:t>
      </w:r>
      <w:r>
        <w:rPr>
          <w:spacing w:val="-5"/>
          <w:sz w:val="18"/>
        </w:rPr>
        <w:t xml:space="preserve"> </w:t>
      </w:r>
      <w:r>
        <w:rPr>
          <w:sz w:val="18"/>
        </w:rPr>
        <w:t>VII.D</w:t>
      </w:r>
      <w:r>
        <w:rPr>
          <w:spacing w:val="-8"/>
          <w:sz w:val="18"/>
        </w:rPr>
        <w:t xml:space="preserve"> </w:t>
      </w:r>
      <w:r>
        <w:rPr>
          <w:sz w:val="18"/>
        </w:rPr>
        <w:t>of</w:t>
      </w:r>
      <w:r>
        <w:rPr>
          <w:spacing w:val="-3"/>
          <w:sz w:val="18"/>
        </w:rPr>
        <w:t xml:space="preserve"> </w:t>
      </w:r>
      <w:r>
        <w:rPr>
          <w:sz w:val="18"/>
        </w:rPr>
        <w:t>this</w:t>
      </w:r>
      <w:r>
        <w:rPr>
          <w:spacing w:val="-5"/>
          <w:sz w:val="18"/>
        </w:rPr>
        <w:t xml:space="preserve"> </w:t>
      </w:r>
      <w:r>
        <w:rPr>
          <w:spacing w:val="-2"/>
          <w:sz w:val="18"/>
        </w:rPr>
        <w:t>submission.</w:t>
      </w:r>
    </w:p>
    <w:p w14:paraId="51DD8404" w14:textId="77777777" w:rsidR="00BD462C" w:rsidRDefault="00033D0F">
      <w:pPr>
        <w:spacing w:before="1"/>
        <w:ind w:left="135"/>
        <w:rPr>
          <w:sz w:val="18"/>
        </w:rPr>
      </w:pPr>
      <w:bookmarkStart w:id="209" w:name="_bookmark180"/>
      <w:bookmarkEnd w:id="209"/>
      <w:r>
        <w:rPr>
          <w:position w:val="5"/>
          <w:sz w:val="12"/>
        </w:rPr>
        <w:t>136</w:t>
      </w:r>
      <w:r>
        <w:rPr>
          <w:spacing w:val="12"/>
          <w:position w:val="5"/>
          <w:sz w:val="12"/>
        </w:rPr>
        <w:t xml:space="preserve"> </w:t>
      </w:r>
      <w:r>
        <w:rPr>
          <w:sz w:val="18"/>
        </w:rPr>
        <w:t>Australia's</w:t>
      </w:r>
      <w:r>
        <w:rPr>
          <w:spacing w:val="-7"/>
          <w:sz w:val="18"/>
        </w:rPr>
        <w:t xml:space="preserve"> </w:t>
      </w:r>
      <w:r>
        <w:rPr>
          <w:sz w:val="18"/>
        </w:rPr>
        <w:t>first</w:t>
      </w:r>
      <w:r>
        <w:rPr>
          <w:spacing w:val="-5"/>
          <w:sz w:val="18"/>
        </w:rPr>
        <w:t xml:space="preserve"> </w:t>
      </w:r>
      <w:r>
        <w:rPr>
          <w:sz w:val="18"/>
        </w:rPr>
        <w:t>written</w:t>
      </w:r>
      <w:r>
        <w:rPr>
          <w:spacing w:val="-3"/>
          <w:sz w:val="18"/>
        </w:rPr>
        <w:t xml:space="preserve"> </w:t>
      </w:r>
      <w:r>
        <w:rPr>
          <w:sz w:val="18"/>
        </w:rPr>
        <w:t>submission, paras.</w:t>
      </w:r>
      <w:r>
        <w:rPr>
          <w:spacing w:val="-5"/>
          <w:sz w:val="18"/>
        </w:rPr>
        <w:t xml:space="preserve"> </w:t>
      </w:r>
      <w:r>
        <w:rPr>
          <w:sz w:val="18"/>
        </w:rPr>
        <w:t>518-</w:t>
      </w:r>
      <w:r>
        <w:rPr>
          <w:spacing w:val="-4"/>
          <w:sz w:val="18"/>
        </w:rPr>
        <w:t>522.</w:t>
      </w:r>
    </w:p>
    <w:p w14:paraId="3A1E61E6" w14:textId="77777777" w:rsidR="00BD462C" w:rsidRDefault="00033D0F">
      <w:pPr>
        <w:spacing w:before="1"/>
        <w:ind w:left="135"/>
        <w:rPr>
          <w:sz w:val="18"/>
        </w:rPr>
      </w:pPr>
      <w:bookmarkStart w:id="210" w:name="_bookmark181"/>
      <w:bookmarkEnd w:id="210"/>
      <w:r>
        <w:rPr>
          <w:position w:val="5"/>
          <w:sz w:val="12"/>
        </w:rPr>
        <w:t>137</w:t>
      </w:r>
      <w:r>
        <w:rPr>
          <w:spacing w:val="15"/>
          <w:position w:val="5"/>
          <w:sz w:val="12"/>
        </w:rPr>
        <w:t xml:space="preserve"> </w:t>
      </w:r>
      <w:r>
        <w:rPr>
          <w:sz w:val="18"/>
        </w:rPr>
        <w:t>Appellate</w:t>
      </w:r>
      <w:r>
        <w:rPr>
          <w:spacing w:val="-9"/>
          <w:sz w:val="18"/>
        </w:rPr>
        <w:t xml:space="preserve"> </w:t>
      </w:r>
      <w:r>
        <w:rPr>
          <w:sz w:val="18"/>
        </w:rPr>
        <w:t>Body</w:t>
      </w:r>
      <w:r>
        <w:rPr>
          <w:spacing w:val="-5"/>
          <w:sz w:val="18"/>
        </w:rPr>
        <w:t xml:space="preserve"> </w:t>
      </w:r>
      <w:r>
        <w:rPr>
          <w:sz w:val="18"/>
        </w:rPr>
        <w:t>Report,</w:t>
      </w:r>
      <w:r>
        <w:rPr>
          <w:spacing w:val="-2"/>
          <w:sz w:val="18"/>
        </w:rPr>
        <w:t xml:space="preserve"> </w:t>
      </w:r>
      <w:r>
        <w:rPr>
          <w:i/>
          <w:sz w:val="18"/>
        </w:rPr>
        <w:t>EC</w:t>
      </w:r>
      <w:r>
        <w:rPr>
          <w:i/>
          <w:spacing w:val="-4"/>
          <w:sz w:val="18"/>
        </w:rPr>
        <w:t xml:space="preserve"> </w:t>
      </w:r>
      <w:r>
        <w:rPr>
          <w:i/>
          <w:sz w:val="18"/>
        </w:rPr>
        <w:t>–</w:t>
      </w:r>
      <w:r>
        <w:rPr>
          <w:i/>
          <w:spacing w:val="1"/>
          <w:sz w:val="18"/>
        </w:rPr>
        <w:t xml:space="preserve"> </w:t>
      </w:r>
      <w:r>
        <w:rPr>
          <w:i/>
          <w:sz w:val="18"/>
        </w:rPr>
        <w:t>Fasteners</w:t>
      </w:r>
      <w:r>
        <w:rPr>
          <w:i/>
          <w:spacing w:val="-4"/>
          <w:sz w:val="18"/>
        </w:rPr>
        <w:t xml:space="preserve"> </w:t>
      </w:r>
      <w:r>
        <w:rPr>
          <w:i/>
          <w:sz w:val="18"/>
        </w:rPr>
        <w:t>(China)</w:t>
      </w:r>
      <w:r>
        <w:rPr>
          <w:i/>
          <w:spacing w:val="-2"/>
          <w:sz w:val="18"/>
        </w:rPr>
        <w:t xml:space="preserve"> </w:t>
      </w:r>
      <w:r>
        <w:rPr>
          <w:i/>
          <w:sz w:val="18"/>
        </w:rPr>
        <w:t>(Article</w:t>
      </w:r>
      <w:r>
        <w:rPr>
          <w:i/>
          <w:spacing w:val="-4"/>
          <w:sz w:val="18"/>
        </w:rPr>
        <w:t xml:space="preserve"> </w:t>
      </w:r>
      <w:r>
        <w:rPr>
          <w:i/>
          <w:sz w:val="18"/>
        </w:rPr>
        <w:t>21.5</w:t>
      </w:r>
      <w:r>
        <w:rPr>
          <w:i/>
          <w:spacing w:val="-6"/>
          <w:sz w:val="18"/>
        </w:rPr>
        <w:t xml:space="preserve"> </w:t>
      </w:r>
      <w:r>
        <w:rPr>
          <w:i/>
          <w:sz w:val="18"/>
        </w:rPr>
        <w:t>China)</w:t>
      </w:r>
      <w:r>
        <w:rPr>
          <w:sz w:val="18"/>
        </w:rPr>
        <w:t>,</w:t>
      </w:r>
      <w:r>
        <w:rPr>
          <w:spacing w:val="-1"/>
          <w:sz w:val="18"/>
        </w:rPr>
        <w:t xml:space="preserve"> </w:t>
      </w:r>
      <w:r>
        <w:rPr>
          <w:sz w:val="18"/>
        </w:rPr>
        <w:t>para.</w:t>
      </w:r>
      <w:r>
        <w:rPr>
          <w:spacing w:val="-3"/>
          <w:sz w:val="18"/>
        </w:rPr>
        <w:t xml:space="preserve"> </w:t>
      </w:r>
      <w:r>
        <w:rPr>
          <w:spacing w:val="-2"/>
          <w:sz w:val="18"/>
        </w:rPr>
        <w:t>5.178.</w:t>
      </w:r>
    </w:p>
    <w:p w14:paraId="3A9E833B" w14:textId="77777777" w:rsidR="00BD462C" w:rsidRDefault="00033D0F">
      <w:pPr>
        <w:spacing w:before="1"/>
        <w:ind w:left="135"/>
        <w:rPr>
          <w:sz w:val="18"/>
        </w:rPr>
      </w:pPr>
      <w:bookmarkStart w:id="211" w:name="_bookmark182"/>
      <w:bookmarkEnd w:id="211"/>
      <w:r>
        <w:rPr>
          <w:position w:val="5"/>
          <w:sz w:val="12"/>
        </w:rPr>
        <w:t>138</w:t>
      </w:r>
      <w:r>
        <w:rPr>
          <w:spacing w:val="14"/>
          <w:position w:val="5"/>
          <w:sz w:val="12"/>
        </w:rPr>
        <w:t xml:space="preserve"> </w:t>
      </w:r>
      <w:r>
        <w:rPr>
          <w:sz w:val="18"/>
        </w:rPr>
        <w:t>Appellate</w:t>
      </w:r>
      <w:r>
        <w:rPr>
          <w:spacing w:val="-8"/>
          <w:sz w:val="18"/>
        </w:rPr>
        <w:t xml:space="preserve"> </w:t>
      </w:r>
      <w:r>
        <w:rPr>
          <w:sz w:val="18"/>
        </w:rPr>
        <w:t>Body</w:t>
      </w:r>
      <w:r>
        <w:rPr>
          <w:spacing w:val="-6"/>
          <w:sz w:val="18"/>
        </w:rPr>
        <w:t xml:space="preserve"> </w:t>
      </w:r>
      <w:r>
        <w:rPr>
          <w:sz w:val="18"/>
        </w:rPr>
        <w:t>Report,</w:t>
      </w:r>
      <w:r>
        <w:rPr>
          <w:spacing w:val="-2"/>
          <w:sz w:val="18"/>
        </w:rPr>
        <w:t xml:space="preserve"> </w:t>
      </w:r>
      <w:r>
        <w:rPr>
          <w:i/>
          <w:sz w:val="18"/>
        </w:rPr>
        <w:t>EC</w:t>
      </w:r>
      <w:r>
        <w:rPr>
          <w:i/>
          <w:spacing w:val="-3"/>
          <w:sz w:val="18"/>
        </w:rPr>
        <w:t xml:space="preserve"> </w:t>
      </w:r>
      <w:r>
        <w:rPr>
          <w:i/>
          <w:sz w:val="18"/>
        </w:rPr>
        <w:t>– Fasteners</w:t>
      </w:r>
      <w:r>
        <w:rPr>
          <w:i/>
          <w:spacing w:val="-4"/>
          <w:sz w:val="18"/>
        </w:rPr>
        <w:t xml:space="preserve"> </w:t>
      </w:r>
      <w:r>
        <w:rPr>
          <w:i/>
          <w:sz w:val="18"/>
        </w:rPr>
        <w:t>(China)</w:t>
      </w:r>
      <w:r>
        <w:rPr>
          <w:sz w:val="18"/>
        </w:rPr>
        <w:t>,</w:t>
      </w:r>
      <w:r>
        <w:rPr>
          <w:spacing w:val="-2"/>
          <w:sz w:val="18"/>
        </w:rPr>
        <w:t xml:space="preserve"> </w:t>
      </w:r>
      <w:r>
        <w:rPr>
          <w:sz w:val="18"/>
        </w:rPr>
        <w:t>para.</w:t>
      </w:r>
      <w:r>
        <w:rPr>
          <w:spacing w:val="2"/>
          <w:sz w:val="18"/>
        </w:rPr>
        <w:t xml:space="preserve"> </w:t>
      </w:r>
      <w:r>
        <w:rPr>
          <w:spacing w:val="-4"/>
          <w:sz w:val="18"/>
        </w:rPr>
        <w:t>490.</w:t>
      </w:r>
    </w:p>
    <w:p w14:paraId="6E1D3DA1" w14:textId="77777777" w:rsidR="00BD462C" w:rsidRDefault="00BD462C">
      <w:pPr>
        <w:rPr>
          <w:sz w:val="18"/>
        </w:rPr>
        <w:sectPr w:rsidR="00BD462C">
          <w:pgSz w:w="11910" w:h="16840"/>
          <w:pgMar w:top="860" w:right="500" w:bottom="780" w:left="1280" w:header="566" w:footer="590" w:gutter="0"/>
          <w:cols w:space="720"/>
        </w:sectPr>
      </w:pPr>
    </w:p>
    <w:p w14:paraId="72D24977"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08593D5D"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6293D83F"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5CDBE351" w14:textId="77777777" w:rsidR="00BD462C" w:rsidRDefault="00033D0F">
      <w:pPr>
        <w:pStyle w:val="BodyText"/>
        <w:spacing w:before="102" w:line="357" w:lineRule="auto"/>
        <w:ind w:left="136" w:right="923"/>
      </w:pPr>
      <w:r>
        <w:t>as was the case for Casella Wines and Swan Vintage.</w:t>
      </w:r>
      <w:hyperlink w:anchor="_bookmark183" w:history="1">
        <w:r>
          <w:rPr>
            <w:vertAlign w:val="superscript"/>
          </w:rPr>
          <w:t>139</w:t>
        </w:r>
      </w:hyperlink>
      <w:r>
        <w:t xml:space="preserve"> This informational process has been described as a "dialogue" between the authority and the interested parties.</w:t>
      </w:r>
      <w:r>
        <w:rPr>
          <w:spacing w:val="-27"/>
        </w:rPr>
        <w:t xml:space="preserve"> </w:t>
      </w:r>
      <w:hyperlink w:anchor="_bookmark184" w:history="1">
        <w:r>
          <w:rPr>
            <w:vertAlign w:val="superscript"/>
          </w:rPr>
          <w:t>140</w:t>
        </w:r>
      </w:hyperlink>
    </w:p>
    <w:p w14:paraId="7AAC92FB" w14:textId="77777777" w:rsidR="00BD462C" w:rsidRDefault="00BD462C">
      <w:pPr>
        <w:pStyle w:val="BodyText"/>
        <w:spacing w:before="3"/>
        <w:rPr>
          <w:sz w:val="9"/>
        </w:rPr>
      </w:pPr>
    </w:p>
    <w:p w14:paraId="498FB15A" w14:textId="7CBDE1EB" w:rsidR="00BD462C" w:rsidRDefault="00033D0F" w:rsidP="00652F97">
      <w:pPr>
        <w:pStyle w:val="BodyText"/>
        <w:numPr>
          <w:ilvl w:val="0"/>
          <w:numId w:val="68"/>
        </w:numPr>
        <w:spacing w:before="56" w:line="360" w:lineRule="auto"/>
        <w:ind w:right="912"/>
        <w:jc w:val="both"/>
      </w:pPr>
      <w:r>
        <w:rPr>
          <w:position w:val="1"/>
        </w:rPr>
        <w:t>In</w:t>
      </w:r>
      <w:r>
        <w:rPr>
          <w:spacing w:val="-9"/>
          <w:position w:val="1"/>
        </w:rPr>
        <w:t xml:space="preserve"> </w:t>
      </w:r>
      <w:r>
        <w:rPr>
          <w:position w:val="1"/>
        </w:rPr>
        <w:t>this</w:t>
      </w:r>
      <w:r>
        <w:rPr>
          <w:spacing w:val="-6"/>
          <w:position w:val="1"/>
        </w:rPr>
        <w:t xml:space="preserve"> </w:t>
      </w:r>
      <w:r>
        <w:rPr>
          <w:position w:val="1"/>
        </w:rPr>
        <w:t>case,</w:t>
      </w:r>
      <w:r>
        <w:rPr>
          <w:spacing w:val="-5"/>
          <w:position w:val="1"/>
        </w:rPr>
        <w:t xml:space="preserve"> </w:t>
      </w:r>
      <w:r>
        <w:rPr>
          <w:position w:val="1"/>
        </w:rPr>
        <w:t>the</w:t>
      </w:r>
      <w:r>
        <w:rPr>
          <w:spacing w:val="-7"/>
          <w:position w:val="1"/>
        </w:rPr>
        <w:t xml:space="preserve"> </w:t>
      </w:r>
      <w:r>
        <w:rPr>
          <w:position w:val="1"/>
        </w:rPr>
        <w:t>adjustments</w:t>
      </w:r>
      <w:r>
        <w:rPr>
          <w:spacing w:val="-6"/>
          <w:position w:val="1"/>
        </w:rPr>
        <w:t xml:space="preserve"> </w:t>
      </w:r>
      <w:r>
        <w:rPr>
          <w:position w:val="1"/>
        </w:rPr>
        <w:t>required</w:t>
      </w:r>
      <w:r>
        <w:rPr>
          <w:spacing w:val="-9"/>
          <w:position w:val="1"/>
        </w:rPr>
        <w:t xml:space="preserve"> </w:t>
      </w:r>
      <w:r>
        <w:rPr>
          <w:position w:val="1"/>
        </w:rPr>
        <w:t>by</w:t>
      </w:r>
      <w:r>
        <w:rPr>
          <w:spacing w:val="-6"/>
          <w:position w:val="1"/>
        </w:rPr>
        <w:t xml:space="preserve"> </w:t>
      </w:r>
      <w:r>
        <w:rPr>
          <w:position w:val="1"/>
        </w:rPr>
        <w:t>MOFCOM</w:t>
      </w:r>
      <w:r>
        <w:rPr>
          <w:spacing w:val="-7"/>
          <w:position w:val="1"/>
        </w:rPr>
        <w:t xml:space="preserve"> </w:t>
      </w:r>
      <w:r>
        <w:rPr>
          <w:position w:val="1"/>
        </w:rPr>
        <w:t>to</w:t>
      </w:r>
      <w:r>
        <w:rPr>
          <w:spacing w:val="-10"/>
          <w:position w:val="1"/>
        </w:rPr>
        <w:t xml:space="preserve"> </w:t>
      </w:r>
      <w:r>
        <w:rPr>
          <w:position w:val="1"/>
        </w:rPr>
        <w:t>make</w:t>
      </w:r>
      <w:r>
        <w:rPr>
          <w:spacing w:val="-7"/>
          <w:position w:val="1"/>
        </w:rPr>
        <w:t xml:space="preserve"> </w:t>
      </w:r>
      <w:r>
        <w:rPr>
          <w:position w:val="1"/>
        </w:rPr>
        <w:t>a</w:t>
      </w:r>
      <w:r>
        <w:rPr>
          <w:spacing w:val="-8"/>
          <w:position w:val="1"/>
        </w:rPr>
        <w:t xml:space="preserve"> </w:t>
      </w:r>
      <w:r>
        <w:rPr>
          <w:position w:val="1"/>
        </w:rPr>
        <w:t>fair</w:t>
      </w:r>
      <w:r>
        <w:rPr>
          <w:spacing w:val="-10"/>
          <w:position w:val="1"/>
        </w:rPr>
        <w:t xml:space="preserve"> </w:t>
      </w:r>
      <w:r>
        <w:rPr>
          <w:position w:val="1"/>
        </w:rPr>
        <w:t>comparison</w:t>
      </w:r>
      <w:r>
        <w:rPr>
          <w:spacing w:val="-9"/>
          <w:position w:val="1"/>
        </w:rPr>
        <w:t xml:space="preserve"> </w:t>
      </w:r>
      <w:r>
        <w:rPr>
          <w:position w:val="1"/>
        </w:rPr>
        <w:t>for</w:t>
      </w:r>
      <w:r>
        <w:rPr>
          <w:spacing w:val="-10"/>
          <w:position w:val="1"/>
        </w:rPr>
        <w:t xml:space="preserve"> </w:t>
      </w:r>
      <w:r>
        <w:rPr>
          <w:position w:val="1"/>
        </w:rPr>
        <w:t xml:space="preserve">the </w:t>
      </w:r>
      <w:r>
        <w:t>sampled companies were affected by the methodologies MOFCOM used to establish their normal</w:t>
      </w:r>
      <w:r>
        <w:rPr>
          <w:spacing w:val="-14"/>
        </w:rPr>
        <w:t xml:space="preserve"> </w:t>
      </w:r>
      <w:r>
        <w:t>values.</w:t>
      </w:r>
      <w:r>
        <w:rPr>
          <w:spacing w:val="-14"/>
        </w:rPr>
        <w:t xml:space="preserve"> </w:t>
      </w:r>
      <w:hyperlink w:anchor="_bookmark185" w:history="1">
        <w:r>
          <w:rPr>
            <w:vertAlign w:val="superscript"/>
          </w:rPr>
          <w:t>141</w:t>
        </w:r>
      </w:hyperlink>
      <w:r>
        <w:rPr>
          <w:spacing w:val="-13"/>
        </w:rPr>
        <w:t xml:space="preserve"> </w:t>
      </w:r>
      <w:r>
        <w:t>MOFCOM</w:t>
      </w:r>
      <w:r>
        <w:rPr>
          <w:spacing w:val="-14"/>
        </w:rPr>
        <w:t xml:space="preserve"> </w:t>
      </w:r>
      <w:r>
        <w:t>did</w:t>
      </w:r>
      <w:r>
        <w:rPr>
          <w:spacing w:val="-13"/>
        </w:rPr>
        <w:t xml:space="preserve"> </w:t>
      </w:r>
      <w:r>
        <w:t>not</w:t>
      </w:r>
      <w:r>
        <w:rPr>
          <w:spacing w:val="-14"/>
        </w:rPr>
        <w:t xml:space="preserve"> </w:t>
      </w:r>
      <w:r>
        <w:t>share</w:t>
      </w:r>
      <w:r>
        <w:rPr>
          <w:spacing w:val="-8"/>
        </w:rPr>
        <w:t xml:space="preserve"> </w:t>
      </w:r>
      <w:r>
        <w:t>this</w:t>
      </w:r>
      <w:r>
        <w:rPr>
          <w:spacing w:val="-10"/>
        </w:rPr>
        <w:t xml:space="preserve"> </w:t>
      </w:r>
      <w:r>
        <w:t>information</w:t>
      </w:r>
      <w:r>
        <w:rPr>
          <w:spacing w:val="-14"/>
        </w:rPr>
        <w:t xml:space="preserve"> </w:t>
      </w:r>
      <w:r>
        <w:t>with</w:t>
      </w:r>
      <w:r>
        <w:rPr>
          <w:spacing w:val="-13"/>
        </w:rPr>
        <w:t xml:space="preserve"> </w:t>
      </w:r>
      <w:r>
        <w:t>the</w:t>
      </w:r>
      <w:r>
        <w:rPr>
          <w:spacing w:val="-12"/>
        </w:rPr>
        <w:t xml:space="preserve"> </w:t>
      </w:r>
      <w:proofErr w:type="gramStart"/>
      <w:r>
        <w:t>companies</w:t>
      </w:r>
      <w:proofErr w:type="gramEnd"/>
      <w:r>
        <w:rPr>
          <w:spacing w:val="-10"/>
        </w:rPr>
        <w:t xml:space="preserve"> </w:t>
      </w:r>
      <w:r>
        <w:t>nor</w:t>
      </w:r>
      <w:r>
        <w:rPr>
          <w:spacing w:val="-10"/>
        </w:rPr>
        <w:t xml:space="preserve"> </w:t>
      </w:r>
      <w:r>
        <w:t>did</w:t>
      </w:r>
      <w:r>
        <w:rPr>
          <w:spacing w:val="-9"/>
        </w:rPr>
        <w:t xml:space="preserve"> </w:t>
      </w:r>
      <w:r>
        <w:t>it</w:t>
      </w:r>
      <w:r>
        <w:rPr>
          <w:spacing w:val="-11"/>
        </w:rPr>
        <w:t xml:space="preserve"> </w:t>
      </w:r>
      <w:r>
        <w:t xml:space="preserve">enter into a dialogue with the companies regarding price comparability. Without this information, the sampled companies were prejudiced because they could not request adjustments. Moreover, MOFCOM could not ensure a fair comparison between normal value and export price </w:t>
      </w:r>
      <w:proofErr w:type="gramStart"/>
      <w:r>
        <w:t>and,</w:t>
      </w:r>
      <w:proofErr w:type="gramEnd"/>
      <w:r>
        <w:t xml:space="preserve"> therefore could not make an accurate determination of dumping.</w:t>
      </w:r>
    </w:p>
    <w:p w14:paraId="2893A170" w14:textId="77777777" w:rsidR="00BD462C" w:rsidRDefault="00BD462C">
      <w:pPr>
        <w:pStyle w:val="BodyText"/>
        <w:spacing w:before="5"/>
        <w:rPr>
          <w:sz w:val="8"/>
        </w:rPr>
      </w:pPr>
    </w:p>
    <w:p w14:paraId="42A51410" w14:textId="46D3DA9E" w:rsidR="00BD462C" w:rsidRDefault="00D70C7D" w:rsidP="00652F97">
      <w:pPr>
        <w:pStyle w:val="BodyText"/>
        <w:numPr>
          <w:ilvl w:val="0"/>
          <w:numId w:val="68"/>
        </w:numPr>
        <w:spacing w:before="56" w:line="357" w:lineRule="auto"/>
        <w:ind w:right="910"/>
        <w:jc w:val="both"/>
      </w:pPr>
      <w:r>
        <w:rPr>
          <w:noProof/>
        </w:rPr>
        <mc:AlternateContent>
          <mc:Choice Requires="wps">
            <w:drawing>
              <wp:anchor distT="0" distB="0" distL="114300" distR="114300" simplePos="0" relativeHeight="15743488" behindDoc="0" locked="0" layoutInCell="1" allowOverlap="1" wp14:anchorId="1FDC750A" wp14:editId="442814A2">
                <wp:simplePos x="0" y="0"/>
                <wp:positionH relativeFrom="page">
                  <wp:posOffset>899160</wp:posOffset>
                </wp:positionH>
                <wp:positionV relativeFrom="paragraph">
                  <wp:posOffset>311785</wp:posOffset>
                </wp:positionV>
                <wp:extent cx="1371600" cy="186055"/>
                <wp:effectExtent l="0" t="0" r="0" b="0"/>
                <wp:wrapNone/>
                <wp:docPr id="1370" name="docshape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E16E2C" id="docshape31" o:spid="_x0000_s1026" alt="&quot;&quot;" style="position:absolute;margin-left:70.8pt;margin-top:24.55pt;width:108pt;height:14.65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" fillcolor="black" stroked="f">
                <w10:wrap anchorx="page"/>
              </v:rect>
            </w:pict>
          </mc:Fallback>
        </mc:AlternateContent>
      </w:r>
      <w:r w:rsidR="00033D0F">
        <w:rPr>
          <w:position w:val="1"/>
        </w:rPr>
        <w:t>In</w:t>
      </w:r>
      <w:r w:rsidR="00033D0F">
        <w:rPr>
          <w:spacing w:val="20"/>
          <w:position w:val="1"/>
        </w:rPr>
        <w:t xml:space="preserve"> </w:t>
      </w:r>
      <w:r w:rsidR="00033D0F">
        <w:rPr>
          <w:position w:val="1"/>
        </w:rPr>
        <w:t>the</w:t>
      </w:r>
      <w:r w:rsidR="00033D0F">
        <w:rPr>
          <w:spacing w:val="21"/>
          <w:position w:val="1"/>
        </w:rPr>
        <w:t xml:space="preserve"> </w:t>
      </w:r>
      <w:r w:rsidR="00033D0F">
        <w:rPr>
          <w:position w:val="1"/>
        </w:rPr>
        <w:t>case</w:t>
      </w:r>
      <w:r w:rsidR="00033D0F">
        <w:rPr>
          <w:spacing w:val="22"/>
          <w:position w:val="1"/>
        </w:rPr>
        <w:t xml:space="preserve"> </w:t>
      </w:r>
      <w:r w:rsidR="00033D0F">
        <w:rPr>
          <w:position w:val="1"/>
        </w:rPr>
        <w:t>of</w:t>
      </w:r>
      <w:r w:rsidR="00033D0F">
        <w:rPr>
          <w:spacing w:val="25"/>
          <w:position w:val="1"/>
        </w:rPr>
        <w:t xml:space="preserve"> </w:t>
      </w:r>
      <w:r w:rsidR="00033D0F">
        <w:rPr>
          <w:position w:val="1"/>
        </w:rPr>
        <w:t>Treasury</w:t>
      </w:r>
      <w:r w:rsidR="00033D0F">
        <w:rPr>
          <w:spacing w:val="23"/>
          <w:position w:val="1"/>
        </w:rPr>
        <w:t xml:space="preserve"> </w:t>
      </w:r>
      <w:r w:rsidR="00033D0F">
        <w:rPr>
          <w:position w:val="1"/>
        </w:rPr>
        <w:t>Wines,</w:t>
      </w:r>
      <w:r w:rsidR="00033D0F">
        <w:rPr>
          <w:spacing w:val="24"/>
          <w:position w:val="1"/>
        </w:rPr>
        <w:t xml:space="preserve"> </w:t>
      </w:r>
      <w:r w:rsidR="00033D0F">
        <w:rPr>
          <w:position w:val="1"/>
        </w:rPr>
        <w:t>MOFCOM's</w:t>
      </w:r>
      <w:r w:rsidR="00033D0F">
        <w:rPr>
          <w:spacing w:val="23"/>
          <w:position w:val="1"/>
        </w:rPr>
        <w:t xml:space="preserve"> </w:t>
      </w:r>
      <w:r w:rsidR="00033D0F">
        <w:rPr>
          <w:position w:val="1"/>
        </w:rPr>
        <w:t>normal</w:t>
      </w:r>
      <w:r w:rsidR="00033D0F">
        <w:rPr>
          <w:spacing w:val="24"/>
          <w:position w:val="1"/>
        </w:rPr>
        <w:t xml:space="preserve"> </w:t>
      </w:r>
      <w:r w:rsidR="00033D0F">
        <w:rPr>
          <w:position w:val="1"/>
        </w:rPr>
        <w:t>value</w:t>
      </w:r>
      <w:r w:rsidR="00033D0F">
        <w:rPr>
          <w:spacing w:val="21"/>
          <w:position w:val="1"/>
        </w:rPr>
        <w:t xml:space="preserve"> </w:t>
      </w:r>
      <w:r w:rsidR="00033D0F">
        <w:rPr>
          <w:position w:val="1"/>
        </w:rPr>
        <w:t>methodology</w:t>
      </w:r>
      <w:r w:rsidR="00033D0F">
        <w:rPr>
          <w:spacing w:val="23"/>
          <w:position w:val="1"/>
        </w:rPr>
        <w:t xml:space="preserve"> </w:t>
      </w:r>
      <w:r w:rsidR="00033D0F">
        <w:rPr>
          <w:position w:val="1"/>
        </w:rPr>
        <w:t>relied</w:t>
      </w:r>
      <w:r w:rsidR="00033D0F">
        <w:rPr>
          <w:spacing w:val="20"/>
          <w:position w:val="1"/>
        </w:rPr>
        <w:t xml:space="preserve"> </w:t>
      </w:r>
      <w:r w:rsidR="00033D0F">
        <w:rPr>
          <w:position w:val="1"/>
        </w:rPr>
        <w:t xml:space="preserve">upon </w:t>
      </w:r>
      <w:r w:rsidR="00033D0F">
        <w:rPr>
          <w:spacing w:val="-2"/>
        </w:rPr>
        <w:t>to</w:t>
      </w:r>
      <w:r w:rsidR="00033D0F">
        <w:rPr>
          <w:spacing w:val="-3"/>
        </w:rPr>
        <w:t xml:space="preserve"> </w:t>
      </w:r>
      <w:r w:rsidR="00033D0F">
        <w:rPr>
          <w:spacing w:val="-2"/>
        </w:rPr>
        <w:t>determine</w:t>
      </w:r>
      <w:r w:rsidR="00033D0F">
        <w:rPr>
          <w:spacing w:val="-1"/>
        </w:rPr>
        <w:t xml:space="preserve"> </w:t>
      </w:r>
      <w:r w:rsidR="00033D0F">
        <w:rPr>
          <w:spacing w:val="-2"/>
        </w:rPr>
        <w:t>normal</w:t>
      </w:r>
      <w:r w:rsidR="00033D0F">
        <w:rPr>
          <w:spacing w:val="2"/>
        </w:rPr>
        <w:t xml:space="preserve"> </w:t>
      </w:r>
      <w:r w:rsidR="00033D0F">
        <w:rPr>
          <w:spacing w:val="-2"/>
        </w:rPr>
        <w:t>values.</w:t>
      </w:r>
      <w:r w:rsidR="00033D0F">
        <w:rPr>
          <w:spacing w:val="1"/>
        </w:rPr>
        <w:t xml:space="preserve"> </w:t>
      </w:r>
      <w:r w:rsidR="00033D0F">
        <w:rPr>
          <w:spacing w:val="-2"/>
        </w:rPr>
        <w:t>This</w:t>
      </w:r>
      <w:r w:rsidR="00033D0F">
        <w:rPr>
          <w:spacing w:val="3"/>
        </w:rPr>
        <w:t xml:space="preserve"> </w:t>
      </w:r>
      <w:r w:rsidR="00033D0F">
        <w:rPr>
          <w:spacing w:val="-2"/>
        </w:rPr>
        <w:t>methodology</w:t>
      </w:r>
      <w:r w:rsidR="00033D0F">
        <w:t xml:space="preserve"> </w:t>
      </w:r>
      <w:proofErr w:type="spellStart"/>
      <w:r w:rsidR="00033D0F">
        <w:rPr>
          <w:spacing w:val="-2"/>
        </w:rPr>
        <w:t>utilised</w:t>
      </w:r>
      <w:proofErr w:type="spellEnd"/>
      <w:r w:rsidR="00033D0F">
        <w:rPr>
          <w:spacing w:val="-2"/>
        </w:rPr>
        <w:t xml:space="preserve"> Treasury</w:t>
      </w:r>
      <w:r w:rsidR="00033D0F">
        <w:rPr>
          <w:spacing w:val="1"/>
        </w:rPr>
        <w:t xml:space="preserve"> </w:t>
      </w:r>
      <w:r w:rsidR="00033D0F">
        <w:rPr>
          <w:spacing w:val="-2"/>
        </w:rPr>
        <w:t>Wines'</w:t>
      </w:r>
    </w:p>
    <w:p w14:paraId="51FF8380" w14:textId="77777777" w:rsidR="00BD462C" w:rsidRDefault="00033D0F">
      <w:pPr>
        <w:pStyle w:val="BodyText"/>
        <w:spacing w:before="1" w:line="360" w:lineRule="auto"/>
        <w:ind w:left="135" w:right="914"/>
        <w:jc w:val="both"/>
      </w:pPr>
      <w:r>
        <w:t xml:space="preserve">own data, </w:t>
      </w:r>
      <w:proofErr w:type="gramStart"/>
      <w:r>
        <w:t>therefore</w:t>
      </w:r>
      <w:proofErr w:type="gramEnd"/>
      <w:r>
        <w:t xml:space="preserve"> there were no confidentiality considerations preventing disclosure. The normal value resulting from this methodology resulted in clear differences affecting price comparability,</w:t>
      </w:r>
      <w:r>
        <w:rPr>
          <w:spacing w:val="-9"/>
        </w:rPr>
        <w:t xml:space="preserve"> </w:t>
      </w:r>
      <w:r>
        <w:t>including</w:t>
      </w:r>
      <w:r>
        <w:rPr>
          <w:spacing w:val="-4"/>
        </w:rPr>
        <w:t xml:space="preserve"> </w:t>
      </w:r>
      <w:r>
        <w:t>physical</w:t>
      </w:r>
      <w:r>
        <w:rPr>
          <w:spacing w:val="-3"/>
        </w:rPr>
        <w:t xml:space="preserve"> </w:t>
      </w:r>
      <w:r>
        <w:t>characteristics</w:t>
      </w:r>
      <w:r>
        <w:rPr>
          <w:spacing w:val="-4"/>
        </w:rPr>
        <w:t xml:space="preserve"> </w:t>
      </w:r>
      <w:r>
        <w:t>and</w:t>
      </w:r>
      <w:r>
        <w:rPr>
          <w:spacing w:val="-7"/>
        </w:rPr>
        <w:t xml:space="preserve"> </w:t>
      </w:r>
      <w:r>
        <w:t>consumer</w:t>
      </w:r>
      <w:r>
        <w:rPr>
          <w:spacing w:val="-8"/>
        </w:rPr>
        <w:t xml:space="preserve"> </w:t>
      </w:r>
      <w:r>
        <w:t>preferences</w:t>
      </w:r>
      <w:r>
        <w:rPr>
          <w:spacing w:val="-4"/>
        </w:rPr>
        <w:t xml:space="preserve"> </w:t>
      </w:r>
      <w:r>
        <w:t>and</w:t>
      </w:r>
      <w:r>
        <w:rPr>
          <w:spacing w:val="-3"/>
        </w:rPr>
        <w:t xml:space="preserve"> </w:t>
      </w:r>
      <w:r>
        <w:t>quantities.</w:t>
      </w:r>
      <w:r>
        <w:rPr>
          <w:spacing w:val="-32"/>
        </w:rPr>
        <w:t xml:space="preserve"> </w:t>
      </w:r>
      <w:hyperlink w:anchor="_bookmark186" w:history="1">
        <w:r>
          <w:rPr>
            <w:vertAlign w:val="superscript"/>
          </w:rPr>
          <w:t>142</w:t>
        </w:r>
      </w:hyperlink>
    </w:p>
    <w:p w14:paraId="5264AF99" w14:textId="77777777" w:rsidR="00BD462C" w:rsidRDefault="00BD462C">
      <w:pPr>
        <w:pStyle w:val="BodyText"/>
        <w:spacing w:before="11"/>
        <w:rPr>
          <w:sz w:val="8"/>
        </w:rPr>
      </w:pPr>
    </w:p>
    <w:p w14:paraId="7B14BF3B" w14:textId="77777777" w:rsidR="00652F97" w:rsidRDefault="00033D0F" w:rsidP="00652F97">
      <w:pPr>
        <w:pStyle w:val="BodyText"/>
        <w:numPr>
          <w:ilvl w:val="0"/>
          <w:numId w:val="68"/>
        </w:numPr>
        <w:spacing w:before="56" w:line="357" w:lineRule="auto"/>
        <w:ind w:right="914"/>
        <w:jc w:val="both"/>
      </w:pPr>
      <w:r>
        <w:rPr>
          <w:position w:val="1"/>
        </w:rPr>
        <w:t>In</w:t>
      </w:r>
      <w:r>
        <w:rPr>
          <w:spacing w:val="-8"/>
          <w:position w:val="1"/>
        </w:rPr>
        <w:t xml:space="preserve"> </w:t>
      </w:r>
      <w:r>
        <w:rPr>
          <w:position w:val="1"/>
        </w:rPr>
        <w:t>the</w:t>
      </w:r>
      <w:r>
        <w:rPr>
          <w:spacing w:val="-6"/>
          <w:position w:val="1"/>
        </w:rPr>
        <w:t xml:space="preserve"> </w:t>
      </w:r>
      <w:r>
        <w:rPr>
          <w:position w:val="1"/>
        </w:rPr>
        <w:t>cases</w:t>
      </w:r>
      <w:r>
        <w:rPr>
          <w:spacing w:val="-5"/>
          <w:position w:val="1"/>
        </w:rPr>
        <w:t xml:space="preserve"> </w:t>
      </w:r>
      <w:r>
        <w:rPr>
          <w:position w:val="1"/>
        </w:rPr>
        <w:t>of</w:t>
      </w:r>
      <w:r>
        <w:rPr>
          <w:spacing w:val="-3"/>
          <w:position w:val="1"/>
        </w:rPr>
        <w:t xml:space="preserve"> </w:t>
      </w:r>
      <w:r>
        <w:rPr>
          <w:position w:val="1"/>
        </w:rPr>
        <w:t>Casella</w:t>
      </w:r>
      <w:r>
        <w:rPr>
          <w:spacing w:val="-7"/>
          <w:position w:val="1"/>
        </w:rPr>
        <w:t xml:space="preserve"> </w:t>
      </w:r>
      <w:r>
        <w:rPr>
          <w:position w:val="1"/>
        </w:rPr>
        <w:t>Wines</w:t>
      </w:r>
      <w:r>
        <w:rPr>
          <w:spacing w:val="-5"/>
          <w:position w:val="1"/>
        </w:rPr>
        <w:t xml:space="preserve"> </w:t>
      </w:r>
      <w:r>
        <w:rPr>
          <w:position w:val="1"/>
        </w:rPr>
        <w:t>and</w:t>
      </w:r>
      <w:r>
        <w:rPr>
          <w:spacing w:val="-8"/>
          <w:position w:val="1"/>
        </w:rPr>
        <w:t xml:space="preserve"> </w:t>
      </w:r>
      <w:r>
        <w:rPr>
          <w:position w:val="1"/>
        </w:rPr>
        <w:t>Swan</w:t>
      </w:r>
      <w:r>
        <w:rPr>
          <w:spacing w:val="-8"/>
          <w:position w:val="1"/>
        </w:rPr>
        <w:t xml:space="preserve"> </w:t>
      </w:r>
      <w:r>
        <w:rPr>
          <w:position w:val="1"/>
        </w:rPr>
        <w:t>Vintage,</w:t>
      </w:r>
      <w:r>
        <w:rPr>
          <w:spacing w:val="-4"/>
          <w:position w:val="1"/>
        </w:rPr>
        <w:t xml:space="preserve"> </w:t>
      </w:r>
      <w:r>
        <w:rPr>
          <w:position w:val="1"/>
        </w:rPr>
        <w:t>even</w:t>
      </w:r>
      <w:r>
        <w:rPr>
          <w:spacing w:val="-8"/>
          <w:position w:val="1"/>
        </w:rPr>
        <w:t xml:space="preserve"> </w:t>
      </w:r>
      <w:r>
        <w:rPr>
          <w:position w:val="1"/>
        </w:rPr>
        <w:t>though</w:t>
      </w:r>
      <w:r>
        <w:rPr>
          <w:spacing w:val="-3"/>
          <w:position w:val="1"/>
        </w:rPr>
        <w:t xml:space="preserve"> </w:t>
      </w:r>
      <w:r>
        <w:rPr>
          <w:position w:val="1"/>
        </w:rPr>
        <w:t>third-party</w:t>
      </w:r>
      <w:r>
        <w:rPr>
          <w:spacing w:val="-5"/>
          <w:position w:val="1"/>
        </w:rPr>
        <w:t xml:space="preserve"> </w:t>
      </w:r>
      <w:r>
        <w:rPr>
          <w:position w:val="1"/>
        </w:rPr>
        <w:t xml:space="preserve">confidential </w:t>
      </w:r>
      <w:r>
        <w:t>information was used, Article 2.4 still required MOFCOM to make its best efforts to disclose information to allow them to make informed decisions regarding possible adjustments.</w:t>
      </w:r>
      <w:r>
        <w:rPr>
          <w:spacing w:val="-29"/>
        </w:rPr>
        <w:t xml:space="preserve"> </w:t>
      </w:r>
      <w:hyperlink w:anchor="_bookmark187" w:history="1">
        <w:r>
          <w:rPr>
            <w:vertAlign w:val="superscript"/>
          </w:rPr>
          <w:t>143</w:t>
        </w:r>
      </w:hyperlink>
    </w:p>
    <w:p w14:paraId="43054C73" w14:textId="51BEF93E" w:rsidR="00BD462C" w:rsidRDefault="00652F97" w:rsidP="00652F97">
      <w:pPr>
        <w:pStyle w:val="BodyText"/>
        <w:numPr>
          <w:ilvl w:val="0"/>
          <w:numId w:val="68"/>
        </w:numPr>
        <w:spacing w:before="56" w:line="357" w:lineRule="auto"/>
        <w:ind w:right="914"/>
        <w:jc w:val="both"/>
      </w:pPr>
      <w:r>
        <w:rPr>
          <w:noProof/>
        </w:rPr>
        <mc:AlternateContent>
          <mc:Choice Requires="wps">
            <w:drawing>
              <wp:anchor distT="0" distB="0" distL="114300" distR="114300" simplePos="0" relativeHeight="478905856" behindDoc="1" locked="0" layoutInCell="1" allowOverlap="1" wp14:anchorId="3C3D7447" wp14:editId="50AC5268">
                <wp:simplePos x="0" y="0"/>
                <wp:positionH relativeFrom="page">
                  <wp:posOffset>1526345</wp:posOffset>
                </wp:positionH>
                <wp:positionV relativeFrom="paragraph">
                  <wp:posOffset>870976</wp:posOffset>
                </wp:positionV>
                <wp:extent cx="5132705" cy="196947"/>
                <wp:effectExtent l="0" t="0" r="0" b="0"/>
                <wp:wrapNone/>
                <wp:docPr id="1366" name="docshape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2705" cy="1969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A9C969" id="docshape33" o:spid="_x0000_s1026" alt="&quot;&quot;" style="position:absolute;margin-left:120.2pt;margin-top:68.6pt;width:404.15pt;height:15.5pt;z-index:-2441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" fillcolor="black" stroked="f">
                <w10:wrap anchorx="page"/>
              </v:rect>
            </w:pict>
          </mc:Fallback>
        </mc:AlternateContent>
      </w:r>
      <w:r w:rsidR="00D70C7D">
        <w:rPr>
          <w:noProof/>
        </w:rPr>
        <mc:AlternateContent>
          <mc:Choice Requires="wps">
            <w:drawing>
              <wp:anchor distT="0" distB="0" distL="114300" distR="114300" simplePos="0" relativeHeight="478905344" behindDoc="1" locked="0" layoutInCell="1" allowOverlap="1" wp14:anchorId="6C816CF2" wp14:editId="7DE24B86">
                <wp:simplePos x="0" y="0"/>
                <wp:positionH relativeFrom="page">
                  <wp:posOffset>2828290</wp:posOffset>
                </wp:positionH>
                <wp:positionV relativeFrom="paragraph">
                  <wp:posOffset>311785</wp:posOffset>
                </wp:positionV>
                <wp:extent cx="2325370" cy="186055"/>
                <wp:effectExtent l="0" t="0" r="0" b="0"/>
                <wp:wrapNone/>
                <wp:docPr id="1368" name="docshape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537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D094D7" id="docshape32" o:spid="_x0000_s1026" alt="&quot;&quot;" style="position:absolute;margin-left:222.7pt;margin-top:24.55pt;width:183.1pt;height:14.65pt;z-index:-244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" fillcolor="black" stroked="f">
                <w10:wrap anchorx="page"/>
              </v:rect>
            </w:pict>
          </mc:Fallback>
        </mc:AlternateContent>
      </w:r>
      <w:r w:rsidR="00033D0F" w:rsidRPr="00652F97">
        <w:rPr>
          <w:position w:val="1"/>
        </w:rPr>
        <w:t xml:space="preserve">In the case of Casella Wines, MOFCOM's normal value methodology relied upon an </w:t>
      </w:r>
      <w:r w:rsidR="00033D0F">
        <w:t>adjusted weighted average of</w:t>
      </w:r>
      <w:r w:rsidR="00033D0F">
        <w:tab/>
        <w:t>.</w:t>
      </w:r>
      <w:r w:rsidR="00033D0F" w:rsidRPr="00652F97">
        <w:rPr>
          <w:spacing w:val="-14"/>
        </w:rPr>
        <w:t xml:space="preserve"> </w:t>
      </w:r>
      <w:hyperlink w:anchor="_bookmark188" w:history="1">
        <w:r w:rsidR="00033D0F" w:rsidRPr="00652F97">
          <w:rPr>
            <w:vertAlign w:val="superscript"/>
          </w:rPr>
          <w:t>144</w:t>
        </w:r>
      </w:hyperlink>
      <w:r w:rsidR="00033D0F" w:rsidRPr="00652F97">
        <w:rPr>
          <w:spacing w:val="-6"/>
        </w:rPr>
        <w:t xml:space="preserve"> </w:t>
      </w:r>
      <w:r w:rsidR="00033D0F">
        <w:t>The methodology is set</w:t>
      </w:r>
      <w:r w:rsidR="00033D0F" w:rsidRPr="00652F97">
        <w:rPr>
          <w:spacing w:val="-14"/>
        </w:rPr>
        <w:t xml:space="preserve"> </w:t>
      </w:r>
      <w:r w:rsidR="00033D0F">
        <w:t>out</w:t>
      </w:r>
      <w:r w:rsidR="00033D0F" w:rsidRPr="00652F97">
        <w:rPr>
          <w:spacing w:val="-13"/>
        </w:rPr>
        <w:t xml:space="preserve"> </w:t>
      </w:r>
      <w:r w:rsidR="00033D0F">
        <w:t>in</w:t>
      </w:r>
      <w:r w:rsidR="00033D0F" w:rsidRPr="00652F97">
        <w:rPr>
          <w:spacing w:val="-4"/>
        </w:rPr>
        <w:t xml:space="preserve"> </w:t>
      </w:r>
      <w:r w:rsidR="00033D0F">
        <w:t>Exhibit</w:t>
      </w:r>
      <w:r w:rsidR="00033D0F" w:rsidRPr="00652F97">
        <w:rPr>
          <w:spacing w:val="-3"/>
        </w:rPr>
        <w:t xml:space="preserve"> </w:t>
      </w:r>
      <w:r w:rsidR="00033D0F">
        <w:t>CHN-11</w:t>
      </w:r>
      <w:r w:rsidR="00033D0F" w:rsidRPr="00652F97">
        <w:rPr>
          <w:spacing w:val="-6"/>
        </w:rPr>
        <w:t xml:space="preserve"> </w:t>
      </w:r>
      <w:r w:rsidR="00033D0F">
        <w:t>(BCI).</w:t>
      </w:r>
      <w:r w:rsidR="00033D0F" w:rsidRPr="00652F97">
        <w:rPr>
          <w:spacing w:val="-14"/>
        </w:rPr>
        <w:t xml:space="preserve"> </w:t>
      </w:r>
      <w:hyperlink w:anchor="_bookmark189" w:history="1">
        <w:r w:rsidR="00033D0F" w:rsidRPr="00652F97">
          <w:rPr>
            <w:vertAlign w:val="superscript"/>
          </w:rPr>
          <w:t>145</w:t>
        </w:r>
      </w:hyperlink>
      <w:r w:rsidR="00033D0F" w:rsidRPr="00652F97">
        <w:rPr>
          <w:spacing w:val="-3"/>
        </w:rPr>
        <w:t xml:space="preserve"> </w:t>
      </w:r>
      <w:r w:rsidR="00033D0F">
        <w:t>As</w:t>
      </w:r>
      <w:r w:rsidR="00033D0F" w:rsidRPr="00652F97">
        <w:rPr>
          <w:spacing w:val="-2"/>
        </w:rPr>
        <w:t xml:space="preserve"> </w:t>
      </w:r>
      <w:r w:rsidR="00033D0F">
        <w:t>shown</w:t>
      </w:r>
      <w:r w:rsidR="00033D0F" w:rsidRPr="00652F97">
        <w:rPr>
          <w:spacing w:val="-5"/>
        </w:rPr>
        <w:t xml:space="preserve"> </w:t>
      </w:r>
      <w:r w:rsidR="00033D0F">
        <w:t>in</w:t>
      </w:r>
      <w:r w:rsidR="00033D0F" w:rsidRPr="00652F97">
        <w:rPr>
          <w:spacing w:val="-5"/>
        </w:rPr>
        <w:t xml:space="preserve"> </w:t>
      </w:r>
      <w:r w:rsidR="00033D0F">
        <w:t>Exhibit</w:t>
      </w:r>
      <w:r w:rsidR="00033D0F" w:rsidRPr="00652F97">
        <w:rPr>
          <w:spacing w:val="-3"/>
        </w:rPr>
        <w:t xml:space="preserve"> </w:t>
      </w:r>
      <w:r w:rsidR="00033D0F">
        <w:t>AUS-104</w:t>
      </w:r>
      <w:r w:rsidR="00033D0F" w:rsidRPr="00652F97">
        <w:rPr>
          <w:spacing w:val="-6"/>
        </w:rPr>
        <w:t xml:space="preserve"> </w:t>
      </w:r>
      <w:r w:rsidR="00033D0F">
        <w:t>(BCI),</w:t>
      </w:r>
      <w:r w:rsidR="00033D0F" w:rsidRPr="00652F97">
        <w:rPr>
          <w:spacing w:val="-1"/>
        </w:rPr>
        <w:t xml:space="preserve"> </w:t>
      </w:r>
      <w:r w:rsidR="00033D0F">
        <w:t>Casella</w:t>
      </w:r>
      <w:r w:rsidR="00033D0F" w:rsidRPr="00652F97">
        <w:rPr>
          <w:spacing w:val="-4"/>
        </w:rPr>
        <w:t xml:space="preserve"> </w:t>
      </w:r>
      <w:r w:rsidR="00033D0F">
        <w:t>Wines'</w:t>
      </w:r>
      <w:r w:rsidR="00033D0F" w:rsidRPr="00652F97">
        <w:rPr>
          <w:spacing w:val="-4"/>
        </w:rPr>
        <w:t xml:space="preserve"> </w:t>
      </w:r>
      <w:r w:rsidR="00033D0F">
        <w:t>domestic product mix is very different from</w:t>
      </w:r>
    </w:p>
    <w:p w14:paraId="3D52B48A" w14:textId="283A1323" w:rsidR="00BD462C" w:rsidRDefault="00D70C7D">
      <w:pPr>
        <w:pStyle w:val="BodyText"/>
        <w:ind w:left="136"/>
        <w:rPr>
          <w:sz w:val="20"/>
        </w:rPr>
      </w:pPr>
      <w:r>
        <w:rPr>
          <w:noProof/>
          <w:sz w:val="20"/>
        </w:rPr>
        <mc:AlternateContent>
          <mc:Choice Requires="wpg">
            <w:drawing>
              <wp:inline distT="0" distB="0" distL="0" distR="0" wp14:anchorId="5BDD5D17" wp14:editId="6D785B86">
                <wp:extent cx="5697220" cy="186055"/>
                <wp:effectExtent l="3810" t="0" r="4445" b="0"/>
                <wp:docPr id="1362" name="docshapegroup34" descr="Redac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7220" cy="186055"/>
                          <a:chOff x="0" y="0"/>
                          <a:chExt cx="8972" cy="293"/>
                        </a:xfrm>
                      </wpg:grpSpPr>
                      <wps:wsp>
                        <wps:cNvPr id="1364" name="docshape35"/>
                        <wps:cNvSpPr>
                          <a:spLocks noChangeArrowheads="1"/>
                        </wps:cNvSpPr>
                        <wps:spPr bwMode="auto">
                          <a:xfrm>
                            <a:off x="0" y="0"/>
                            <a:ext cx="8972" cy="29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A936B2A" id="docshapegroup34" o:spid="_x0000_s1026" alt="Redacted" style="width:448.6pt;height:14.65pt;mso-position-horizontal-relative:char;mso-position-vertical-relative:line" coordsize="8972,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">
                <v:rect id="docshape35" o:spid="_x0000_s1027" style="position:absolute;width:8972;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" fillcolor="black" stroked="f"/>
                <w10:anchorlock/>
              </v:group>
            </w:pict>
          </mc:Fallback>
        </mc:AlternateContent>
      </w:r>
    </w:p>
    <w:p w14:paraId="28E4E707" w14:textId="529128E8" w:rsidR="00BD462C" w:rsidRDefault="00D70C7D">
      <w:pPr>
        <w:pStyle w:val="BodyText"/>
        <w:spacing w:before="12"/>
        <w:rPr>
          <w:sz w:val="6"/>
        </w:rPr>
      </w:pPr>
      <w:r>
        <w:rPr>
          <w:noProof/>
        </w:rPr>
        <mc:AlternateContent>
          <mc:Choice Requires="wps">
            <w:drawing>
              <wp:anchor distT="0" distB="0" distL="0" distR="0" simplePos="0" relativeHeight="487602176" behindDoc="1" locked="0" layoutInCell="1" allowOverlap="1" wp14:anchorId="56492514" wp14:editId="3D5C09A8">
                <wp:simplePos x="0" y="0"/>
                <wp:positionH relativeFrom="page">
                  <wp:posOffset>899160</wp:posOffset>
                </wp:positionH>
                <wp:positionV relativeFrom="paragraph">
                  <wp:posOffset>69215</wp:posOffset>
                </wp:positionV>
                <wp:extent cx="5696585" cy="186055"/>
                <wp:effectExtent l="0" t="0" r="0" b="0"/>
                <wp:wrapTopAndBottom/>
                <wp:docPr id="1360" name="docshape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658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17C733" id="docshape36" o:spid="_x0000_s1026" alt="&quot;&quot;" style="position:absolute;margin-left:70.8pt;margin-top:5.45pt;width:448.55pt;height:14.65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" fillcolor="black" stroked="f">
                <w10:wrap type="topAndBottom" anchorx="page"/>
              </v:rect>
            </w:pict>
          </mc:Fallback>
        </mc:AlternateContent>
      </w:r>
      <w:r>
        <w:rPr>
          <w:noProof/>
        </w:rPr>
        <mc:AlternateContent>
          <mc:Choice Requires="wps">
            <w:drawing>
              <wp:anchor distT="0" distB="0" distL="0" distR="0" simplePos="0" relativeHeight="487602688" behindDoc="1" locked="0" layoutInCell="1" allowOverlap="1" wp14:anchorId="4F20556B" wp14:editId="0EEB541E">
                <wp:simplePos x="0" y="0"/>
                <wp:positionH relativeFrom="page">
                  <wp:posOffset>899160</wp:posOffset>
                </wp:positionH>
                <wp:positionV relativeFrom="paragraph">
                  <wp:posOffset>349885</wp:posOffset>
                </wp:positionV>
                <wp:extent cx="5696585" cy="186055"/>
                <wp:effectExtent l="0" t="0" r="0" b="0"/>
                <wp:wrapTopAndBottom/>
                <wp:docPr id="1358" name="docshape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658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723140" id="docshape37" o:spid="_x0000_s1026" alt="&quot;&quot;" style="position:absolute;margin-left:70.8pt;margin-top:27.55pt;width:448.55pt;height:14.65pt;z-index:-157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" fillcolor="black" stroked="f">
                <w10:wrap type="topAndBottom" anchorx="page"/>
              </v:rect>
            </w:pict>
          </mc:Fallback>
        </mc:AlternateContent>
      </w:r>
    </w:p>
    <w:p w14:paraId="707FC9A9" w14:textId="77777777" w:rsidR="00BD462C" w:rsidRDefault="00BD462C">
      <w:pPr>
        <w:pStyle w:val="BodyText"/>
        <w:spacing w:before="2"/>
        <w:rPr>
          <w:sz w:val="10"/>
        </w:rPr>
      </w:pPr>
    </w:p>
    <w:p w14:paraId="71685B97" w14:textId="72F1A327" w:rsidR="00BD462C" w:rsidRDefault="00BD462C">
      <w:pPr>
        <w:pStyle w:val="BodyText"/>
        <w:rPr>
          <w:sz w:val="20"/>
        </w:rPr>
      </w:pPr>
    </w:p>
    <w:p w14:paraId="4B8EB228" w14:textId="3B0D0089" w:rsidR="00BD462C" w:rsidRDefault="009A6330">
      <w:pPr>
        <w:pStyle w:val="BodyText"/>
        <w:spacing w:before="10"/>
      </w:pPr>
      <w:r>
        <w:rPr>
          <w:noProof/>
        </w:rPr>
        <mc:AlternateContent>
          <mc:Choice Requires="wps">
            <w:drawing>
              <wp:anchor distT="0" distB="0" distL="0" distR="0" simplePos="0" relativeHeight="487987712" behindDoc="1" locked="0" layoutInCell="1" allowOverlap="1" wp14:anchorId="796F3AB2" wp14:editId="7506AD74">
                <wp:simplePos x="0" y="0"/>
                <wp:positionH relativeFrom="page">
                  <wp:posOffset>812800</wp:posOffset>
                </wp:positionH>
                <wp:positionV relativeFrom="paragraph">
                  <wp:posOffset>195629</wp:posOffset>
                </wp:positionV>
                <wp:extent cx="1828800" cy="8890"/>
                <wp:effectExtent l="0" t="0" r="0" b="0"/>
                <wp:wrapTopAndBottom/>
                <wp:docPr id="1402" name="docshape7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8E8A1D" id="docshape712" o:spid="_x0000_s1026" alt="&quot;&quot;" style="position:absolute;margin-left:64pt;margin-top:15.4pt;width:2in;height:.7pt;z-index:-15328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" fillcolor="black" stroked="f">
                <w10:wrap type="topAndBottom" anchorx="page"/>
              </v:rect>
            </w:pict>
          </mc:Fallback>
        </mc:AlternateContent>
      </w:r>
    </w:p>
    <w:p w14:paraId="3C557D93" w14:textId="77777777" w:rsidR="00BD462C" w:rsidRDefault="00033D0F">
      <w:pPr>
        <w:spacing w:before="112"/>
        <w:ind w:left="135"/>
        <w:jc w:val="both"/>
        <w:rPr>
          <w:sz w:val="18"/>
        </w:rPr>
      </w:pPr>
      <w:bookmarkStart w:id="212" w:name="_bookmark183"/>
      <w:bookmarkEnd w:id="212"/>
      <w:r>
        <w:rPr>
          <w:position w:val="5"/>
          <w:sz w:val="12"/>
        </w:rPr>
        <w:t>139</w:t>
      </w:r>
      <w:r>
        <w:rPr>
          <w:spacing w:val="14"/>
          <w:position w:val="5"/>
          <w:sz w:val="12"/>
        </w:rPr>
        <w:t xml:space="preserve"> </w:t>
      </w:r>
      <w:r>
        <w:rPr>
          <w:sz w:val="18"/>
        </w:rPr>
        <w:t>Appellate</w:t>
      </w:r>
      <w:r>
        <w:rPr>
          <w:spacing w:val="-8"/>
          <w:sz w:val="18"/>
        </w:rPr>
        <w:t xml:space="preserve"> </w:t>
      </w:r>
      <w:r>
        <w:rPr>
          <w:sz w:val="18"/>
        </w:rPr>
        <w:t>Body</w:t>
      </w:r>
      <w:r>
        <w:rPr>
          <w:spacing w:val="-6"/>
          <w:sz w:val="18"/>
        </w:rPr>
        <w:t xml:space="preserve"> </w:t>
      </w:r>
      <w:r>
        <w:rPr>
          <w:sz w:val="18"/>
        </w:rPr>
        <w:t>Report,</w:t>
      </w:r>
      <w:r>
        <w:rPr>
          <w:spacing w:val="-2"/>
          <w:sz w:val="18"/>
        </w:rPr>
        <w:t xml:space="preserve"> </w:t>
      </w:r>
      <w:r>
        <w:rPr>
          <w:i/>
          <w:sz w:val="18"/>
        </w:rPr>
        <w:t>EC</w:t>
      </w:r>
      <w:r>
        <w:rPr>
          <w:i/>
          <w:spacing w:val="-3"/>
          <w:sz w:val="18"/>
        </w:rPr>
        <w:t xml:space="preserve"> </w:t>
      </w:r>
      <w:r>
        <w:rPr>
          <w:i/>
          <w:sz w:val="18"/>
        </w:rPr>
        <w:t>– Fasteners</w:t>
      </w:r>
      <w:r>
        <w:rPr>
          <w:i/>
          <w:spacing w:val="-4"/>
          <w:sz w:val="18"/>
        </w:rPr>
        <w:t xml:space="preserve"> </w:t>
      </w:r>
      <w:r>
        <w:rPr>
          <w:i/>
          <w:sz w:val="18"/>
        </w:rPr>
        <w:t>(China)</w:t>
      </w:r>
      <w:r>
        <w:rPr>
          <w:sz w:val="18"/>
        </w:rPr>
        <w:t>,</w:t>
      </w:r>
      <w:r>
        <w:rPr>
          <w:spacing w:val="-2"/>
          <w:sz w:val="18"/>
        </w:rPr>
        <w:t xml:space="preserve"> </w:t>
      </w:r>
      <w:r>
        <w:rPr>
          <w:sz w:val="18"/>
        </w:rPr>
        <w:t>para.</w:t>
      </w:r>
      <w:r>
        <w:rPr>
          <w:spacing w:val="2"/>
          <w:sz w:val="18"/>
        </w:rPr>
        <w:t xml:space="preserve"> </w:t>
      </w:r>
      <w:r>
        <w:rPr>
          <w:spacing w:val="-4"/>
          <w:sz w:val="18"/>
        </w:rPr>
        <w:t>491.</w:t>
      </w:r>
    </w:p>
    <w:p w14:paraId="36BF5076" w14:textId="77777777" w:rsidR="00BD462C" w:rsidRDefault="00033D0F">
      <w:pPr>
        <w:spacing w:before="1"/>
        <w:ind w:left="135"/>
        <w:jc w:val="both"/>
        <w:rPr>
          <w:sz w:val="18"/>
        </w:rPr>
      </w:pPr>
      <w:bookmarkStart w:id="213" w:name="_bookmark184"/>
      <w:bookmarkEnd w:id="213"/>
      <w:r>
        <w:rPr>
          <w:position w:val="5"/>
          <w:sz w:val="12"/>
        </w:rPr>
        <w:t>140</w:t>
      </w:r>
      <w:r>
        <w:rPr>
          <w:spacing w:val="14"/>
          <w:position w:val="5"/>
          <w:sz w:val="12"/>
        </w:rPr>
        <w:t xml:space="preserve"> </w:t>
      </w:r>
      <w:r>
        <w:rPr>
          <w:sz w:val="18"/>
        </w:rPr>
        <w:t>Appellate</w:t>
      </w:r>
      <w:r>
        <w:rPr>
          <w:spacing w:val="-8"/>
          <w:sz w:val="18"/>
        </w:rPr>
        <w:t xml:space="preserve"> </w:t>
      </w:r>
      <w:r>
        <w:rPr>
          <w:sz w:val="18"/>
        </w:rPr>
        <w:t>Body</w:t>
      </w:r>
      <w:r>
        <w:rPr>
          <w:spacing w:val="-6"/>
          <w:sz w:val="18"/>
        </w:rPr>
        <w:t xml:space="preserve"> </w:t>
      </w:r>
      <w:r>
        <w:rPr>
          <w:sz w:val="18"/>
        </w:rPr>
        <w:t>Report,</w:t>
      </w:r>
      <w:r>
        <w:rPr>
          <w:spacing w:val="-2"/>
          <w:sz w:val="18"/>
        </w:rPr>
        <w:t xml:space="preserve"> </w:t>
      </w:r>
      <w:r>
        <w:rPr>
          <w:i/>
          <w:sz w:val="18"/>
        </w:rPr>
        <w:t>EC</w:t>
      </w:r>
      <w:r>
        <w:rPr>
          <w:i/>
          <w:spacing w:val="-3"/>
          <w:sz w:val="18"/>
        </w:rPr>
        <w:t xml:space="preserve"> </w:t>
      </w:r>
      <w:r>
        <w:rPr>
          <w:i/>
          <w:sz w:val="18"/>
        </w:rPr>
        <w:t>– Fasteners</w:t>
      </w:r>
      <w:r>
        <w:rPr>
          <w:i/>
          <w:spacing w:val="-4"/>
          <w:sz w:val="18"/>
        </w:rPr>
        <w:t xml:space="preserve"> </w:t>
      </w:r>
      <w:r>
        <w:rPr>
          <w:i/>
          <w:sz w:val="18"/>
        </w:rPr>
        <w:t>(China)</w:t>
      </w:r>
      <w:r>
        <w:rPr>
          <w:sz w:val="18"/>
        </w:rPr>
        <w:t>,</w:t>
      </w:r>
      <w:r>
        <w:rPr>
          <w:spacing w:val="-2"/>
          <w:sz w:val="18"/>
        </w:rPr>
        <w:t xml:space="preserve"> </w:t>
      </w:r>
      <w:r>
        <w:rPr>
          <w:sz w:val="18"/>
        </w:rPr>
        <w:t>para.</w:t>
      </w:r>
      <w:r>
        <w:rPr>
          <w:spacing w:val="2"/>
          <w:sz w:val="18"/>
        </w:rPr>
        <w:t xml:space="preserve"> </w:t>
      </w:r>
      <w:r>
        <w:rPr>
          <w:spacing w:val="-4"/>
          <w:sz w:val="18"/>
        </w:rPr>
        <w:t>489.</w:t>
      </w:r>
    </w:p>
    <w:p w14:paraId="647E9376" w14:textId="77777777" w:rsidR="00BD462C" w:rsidRDefault="00033D0F">
      <w:pPr>
        <w:spacing w:before="2" w:line="237" w:lineRule="auto"/>
        <w:ind w:left="136" w:right="911" w:hanging="1"/>
        <w:jc w:val="both"/>
        <w:rPr>
          <w:sz w:val="18"/>
        </w:rPr>
      </w:pPr>
      <w:bookmarkStart w:id="214" w:name="_bookmark185"/>
      <w:bookmarkEnd w:id="214"/>
      <w:r>
        <w:rPr>
          <w:position w:val="5"/>
          <w:sz w:val="12"/>
        </w:rPr>
        <w:t>141</w:t>
      </w:r>
      <w:r>
        <w:rPr>
          <w:spacing w:val="40"/>
          <w:position w:val="5"/>
          <w:sz w:val="12"/>
        </w:rPr>
        <w:t xml:space="preserve"> </w:t>
      </w:r>
      <w:r>
        <w:rPr>
          <w:sz w:val="18"/>
        </w:rPr>
        <w:t>The manner in which the normal value or export price is determined, including constructed normal value, could be pertinent</w:t>
      </w:r>
      <w:r>
        <w:rPr>
          <w:spacing w:val="36"/>
          <w:sz w:val="18"/>
        </w:rPr>
        <w:t xml:space="preserve"> </w:t>
      </w:r>
      <w:r>
        <w:rPr>
          <w:sz w:val="18"/>
        </w:rPr>
        <w:t>to</w:t>
      </w:r>
      <w:r>
        <w:rPr>
          <w:spacing w:val="35"/>
          <w:sz w:val="18"/>
        </w:rPr>
        <w:t xml:space="preserve"> </w:t>
      </w:r>
      <w:r>
        <w:rPr>
          <w:sz w:val="18"/>
        </w:rPr>
        <w:t>the</w:t>
      </w:r>
      <w:r>
        <w:rPr>
          <w:spacing w:val="35"/>
          <w:sz w:val="18"/>
        </w:rPr>
        <w:t xml:space="preserve"> </w:t>
      </w:r>
      <w:r>
        <w:rPr>
          <w:sz w:val="18"/>
        </w:rPr>
        <w:t>question</w:t>
      </w:r>
      <w:r>
        <w:rPr>
          <w:spacing w:val="35"/>
          <w:sz w:val="18"/>
        </w:rPr>
        <w:t xml:space="preserve"> </w:t>
      </w:r>
      <w:r>
        <w:rPr>
          <w:sz w:val="18"/>
        </w:rPr>
        <w:t>whether</w:t>
      </w:r>
      <w:r>
        <w:rPr>
          <w:spacing w:val="34"/>
          <w:sz w:val="18"/>
        </w:rPr>
        <w:t xml:space="preserve"> </w:t>
      </w:r>
      <w:r>
        <w:rPr>
          <w:sz w:val="18"/>
        </w:rPr>
        <w:t>the</w:t>
      </w:r>
      <w:r>
        <w:rPr>
          <w:spacing w:val="35"/>
          <w:sz w:val="18"/>
        </w:rPr>
        <w:t xml:space="preserve"> </w:t>
      </w:r>
      <w:r>
        <w:rPr>
          <w:sz w:val="18"/>
        </w:rPr>
        <w:t>authority</w:t>
      </w:r>
      <w:r>
        <w:rPr>
          <w:spacing w:val="34"/>
          <w:sz w:val="18"/>
        </w:rPr>
        <w:t xml:space="preserve"> </w:t>
      </w:r>
      <w:r>
        <w:rPr>
          <w:sz w:val="18"/>
        </w:rPr>
        <w:t>is</w:t>
      </w:r>
      <w:r>
        <w:rPr>
          <w:spacing w:val="36"/>
          <w:sz w:val="18"/>
        </w:rPr>
        <w:t xml:space="preserve"> </w:t>
      </w:r>
      <w:r>
        <w:rPr>
          <w:sz w:val="18"/>
        </w:rPr>
        <w:t>conducting</w:t>
      </w:r>
      <w:r>
        <w:rPr>
          <w:spacing w:val="35"/>
          <w:sz w:val="18"/>
        </w:rPr>
        <w:t xml:space="preserve"> </w:t>
      </w:r>
      <w:r>
        <w:rPr>
          <w:sz w:val="18"/>
        </w:rPr>
        <w:t>a</w:t>
      </w:r>
      <w:r>
        <w:rPr>
          <w:spacing w:val="39"/>
          <w:sz w:val="18"/>
        </w:rPr>
        <w:t xml:space="preserve"> </w:t>
      </w:r>
      <w:r>
        <w:rPr>
          <w:sz w:val="18"/>
        </w:rPr>
        <w:t>"fair</w:t>
      </w:r>
      <w:r>
        <w:rPr>
          <w:spacing w:val="38"/>
          <w:sz w:val="18"/>
        </w:rPr>
        <w:t xml:space="preserve"> </w:t>
      </w:r>
      <w:r>
        <w:rPr>
          <w:sz w:val="18"/>
        </w:rPr>
        <w:t>comparison"</w:t>
      </w:r>
      <w:r>
        <w:rPr>
          <w:spacing w:val="34"/>
          <w:sz w:val="18"/>
        </w:rPr>
        <w:t xml:space="preserve"> </w:t>
      </w:r>
      <w:r>
        <w:rPr>
          <w:sz w:val="18"/>
        </w:rPr>
        <w:t>within</w:t>
      </w:r>
      <w:r>
        <w:rPr>
          <w:spacing w:val="35"/>
          <w:sz w:val="18"/>
        </w:rPr>
        <w:t xml:space="preserve"> </w:t>
      </w:r>
      <w:r>
        <w:rPr>
          <w:sz w:val="18"/>
        </w:rPr>
        <w:t>the</w:t>
      </w:r>
      <w:r>
        <w:rPr>
          <w:spacing w:val="35"/>
          <w:sz w:val="18"/>
        </w:rPr>
        <w:t xml:space="preserve"> </w:t>
      </w:r>
      <w:r>
        <w:rPr>
          <w:sz w:val="18"/>
        </w:rPr>
        <w:t>meaning</w:t>
      </w:r>
      <w:r>
        <w:rPr>
          <w:spacing w:val="40"/>
          <w:sz w:val="18"/>
        </w:rPr>
        <w:t xml:space="preserve"> </w:t>
      </w:r>
      <w:r>
        <w:rPr>
          <w:sz w:val="18"/>
        </w:rPr>
        <w:t>of</w:t>
      </w:r>
      <w:r>
        <w:rPr>
          <w:spacing w:val="37"/>
          <w:sz w:val="18"/>
        </w:rPr>
        <w:t xml:space="preserve"> </w:t>
      </w:r>
      <w:r>
        <w:rPr>
          <w:sz w:val="18"/>
        </w:rPr>
        <w:t xml:space="preserve">Article 2.4: Panel Report, </w:t>
      </w:r>
      <w:r>
        <w:rPr>
          <w:i/>
          <w:sz w:val="18"/>
        </w:rPr>
        <w:t>EU - Biodiesel (Argentina)</w:t>
      </w:r>
      <w:r>
        <w:rPr>
          <w:sz w:val="18"/>
        </w:rPr>
        <w:t>, para. 7.297.</w:t>
      </w:r>
    </w:p>
    <w:p w14:paraId="66EBF27A" w14:textId="77777777" w:rsidR="00BD462C" w:rsidRDefault="00033D0F">
      <w:pPr>
        <w:spacing w:before="4"/>
        <w:ind w:left="135"/>
        <w:rPr>
          <w:sz w:val="18"/>
        </w:rPr>
      </w:pPr>
      <w:bookmarkStart w:id="215" w:name="_bookmark186"/>
      <w:bookmarkEnd w:id="215"/>
      <w:r>
        <w:rPr>
          <w:position w:val="5"/>
          <w:sz w:val="12"/>
        </w:rPr>
        <w:t>142</w:t>
      </w:r>
      <w:r>
        <w:rPr>
          <w:spacing w:val="12"/>
          <w:position w:val="5"/>
          <w:sz w:val="12"/>
        </w:rPr>
        <w:t xml:space="preserve"> </w:t>
      </w:r>
      <w:r>
        <w:rPr>
          <w:sz w:val="18"/>
        </w:rPr>
        <w:t>Australia's</w:t>
      </w:r>
      <w:r>
        <w:rPr>
          <w:spacing w:val="-7"/>
          <w:sz w:val="18"/>
        </w:rPr>
        <w:t xml:space="preserve"> </w:t>
      </w:r>
      <w:r>
        <w:rPr>
          <w:sz w:val="18"/>
        </w:rPr>
        <w:t>first</w:t>
      </w:r>
      <w:r>
        <w:rPr>
          <w:spacing w:val="-5"/>
          <w:sz w:val="18"/>
        </w:rPr>
        <w:t xml:space="preserve"> </w:t>
      </w:r>
      <w:r>
        <w:rPr>
          <w:sz w:val="18"/>
        </w:rPr>
        <w:t>written</w:t>
      </w:r>
      <w:r>
        <w:rPr>
          <w:spacing w:val="-3"/>
          <w:sz w:val="18"/>
        </w:rPr>
        <w:t xml:space="preserve"> </w:t>
      </w:r>
      <w:r>
        <w:rPr>
          <w:sz w:val="18"/>
        </w:rPr>
        <w:t>submission, paras.</w:t>
      </w:r>
      <w:r>
        <w:rPr>
          <w:spacing w:val="-5"/>
          <w:sz w:val="18"/>
        </w:rPr>
        <w:t xml:space="preserve"> </w:t>
      </w:r>
      <w:r>
        <w:rPr>
          <w:sz w:val="18"/>
        </w:rPr>
        <w:t>509-</w:t>
      </w:r>
      <w:r>
        <w:rPr>
          <w:spacing w:val="-4"/>
          <w:sz w:val="18"/>
        </w:rPr>
        <w:t>517.</w:t>
      </w:r>
    </w:p>
    <w:p w14:paraId="04C21FA5" w14:textId="77777777" w:rsidR="00BD462C" w:rsidRDefault="00033D0F">
      <w:pPr>
        <w:spacing w:before="1"/>
        <w:ind w:left="135"/>
        <w:rPr>
          <w:sz w:val="18"/>
        </w:rPr>
      </w:pPr>
      <w:bookmarkStart w:id="216" w:name="_bookmark187"/>
      <w:bookmarkEnd w:id="216"/>
      <w:r>
        <w:rPr>
          <w:position w:val="5"/>
          <w:sz w:val="12"/>
        </w:rPr>
        <w:t>143</w:t>
      </w:r>
      <w:r>
        <w:rPr>
          <w:spacing w:val="15"/>
          <w:position w:val="5"/>
          <w:sz w:val="12"/>
        </w:rPr>
        <w:t xml:space="preserve"> </w:t>
      </w:r>
      <w:r>
        <w:rPr>
          <w:sz w:val="18"/>
        </w:rPr>
        <w:t>Appellate</w:t>
      </w:r>
      <w:r>
        <w:rPr>
          <w:spacing w:val="-9"/>
          <w:sz w:val="18"/>
        </w:rPr>
        <w:t xml:space="preserve"> </w:t>
      </w:r>
      <w:r>
        <w:rPr>
          <w:sz w:val="18"/>
        </w:rPr>
        <w:t>Body</w:t>
      </w:r>
      <w:r>
        <w:rPr>
          <w:spacing w:val="-5"/>
          <w:sz w:val="18"/>
        </w:rPr>
        <w:t xml:space="preserve"> </w:t>
      </w:r>
      <w:r>
        <w:rPr>
          <w:sz w:val="18"/>
        </w:rPr>
        <w:t>Report</w:t>
      </w:r>
      <w:r>
        <w:rPr>
          <w:i/>
          <w:sz w:val="18"/>
        </w:rPr>
        <w:t>,</w:t>
      </w:r>
      <w:r>
        <w:rPr>
          <w:i/>
          <w:spacing w:val="-2"/>
          <w:sz w:val="18"/>
        </w:rPr>
        <w:t xml:space="preserve"> </w:t>
      </w:r>
      <w:r>
        <w:rPr>
          <w:i/>
          <w:sz w:val="18"/>
        </w:rPr>
        <w:t>EC</w:t>
      </w:r>
      <w:r>
        <w:rPr>
          <w:i/>
          <w:spacing w:val="-4"/>
          <w:sz w:val="18"/>
        </w:rPr>
        <w:t xml:space="preserve"> </w:t>
      </w:r>
      <w:r>
        <w:rPr>
          <w:i/>
          <w:sz w:val="18"/>
        </w:rPr>
        <w:t>-</w:t>
      </w:r>
      <w:r>
        <w:rPr>
          <w:i/>
          <w:spacing w:val="2"/>
          <w:sz w:val="18"/>
        </w:rPr>
        <w:t xml:space="preserve"> </w:t>
      </w:r>
      <w:r>
        <w:rPr>
          <w:i/>
          <w:sz w:val="18"/>
        </w:rPr>
        <w:t>Fasteners</w:t>
      </w:r>
      <w:r>
        <w:rPr>
          <w:i/>
          <w:spacing w:val="-3"/>
          <w:sz w:val="18"/>
        </w:rPr>
        <w:t xml:space="preserve"> </w:t>
      </w:r>
      <w:r>
        <w:rPr>
          <w:i/>
          <w:sz w:val="18"/>
        </w:rPr>
        <w:t>(China)</w:t>
      </w:r>
      <w:r>
        <w:rPr>
          <w:i/>
          <w:spacing w:val="-2"/>
          <w:sz w:val="18"/>
        </w:rPr>
        <w:t xml:space="preserve"> </w:t>
      </w:r>
      <w:r>
        <w:rPr>
          <w:i/>
          <w:sz w:val="18"/>
        </w:rPr>
        <w:t>(Article</w:t>
      </w:r>
      <w:r>
        <w:rPr>
          <w:i/>
          <w:spacing w:val="-4"/>
          <w:sz w:val="18"/>
        </w:rPr>
        <w:t xml:space="preserve"> </w:t>
      </w:r>
      <w:r>
        <w:rPr>
          <w:i/>
          <w:sz w:val="18"/>
        </w:rPr>
        <w:t>21.5</w:t>
      </w:r>
      <w:r>
        <w:rPr>
          <w:i/>
          <w:spacing w:val="-6"/>
          <w:sz w:val="18"/>
        </w:rPr>
        <w:t xml:space="preserve"> </w:t>
      </w:r>
      <w:r>
        <w:rPr>
          <w:i/>
          <w:sz w:val="18"/>
        </w:rPr>
        <w:t>China)</w:t>
      </w:r>
      <w:r>
        <w:rPr>
          <w:sz w:val="18"/>
        </w:rPr>
        <w:t>,</w:t>
      </w:r>
      <w:r>
        <w:rPr>
          <w:spacing w:val="-7"/>
          <w:sz w:val="18"/>
        </w:rPr>
        <w:t xml:space="preserve"> </w:t>
      </w:r>
      <w:r>
        <w:rPr>
          <w:sz w:val="18"/>
        </w:rPr>
        <w:t>para.</w:t>
      </w:r>
      <w:r>
        <w:rPr>
          <w:spacing w:val="3"/>
          <w:sz w:val="18"/>
        </w:rPr>
        <w:t xml:space="preserve"> </w:t>
      </w:r>
      <w:r>
        <w:rPr>
          <w:spacing w:val="-2"/>
          <w:sz w:val="18"/>
        </w:rPr>
        <w:t>5.195.</w:t>
      </w:r>
    </w:p>
    <w:p w14:paraId="2644B0F2" w14:textId="796EF85E" w:rsidR="00BD462C" w:rsidRDefault="00D70C7D">
      <w:pPr>
        <w:spacing w:before="1"/>
        <w:ind w:left="135"/>
        <w:rPr>
          <w:sz w:val="18"/>
        </w:rPr>
      </w:pPr>
      <w:r>
        <w:rPr>
          <w:noProof/>
        </w:rPr>
        <mc:AlternateContent>
          <mc:Choice Requires="wps">
            <w:drawing>
              <wp:anchor distT="0" distB="0" distL="114300" distR="114300" simplePos="0" relativeHeight="15745024" behindDoc="0" locked="0" layoutInCell="1" allowOverlap="1" wp14:anchorId="29922091" wp14:editId="1C3941F0">
                <wp:simplePos x="0" y="0"/>
                <wp:positionH relativeFrom="page">
                  <wp:posOffset>1045210</wp:posOffset>
                </wp:positionH>
                <wp:positionV relativeFrom="paragraph">
                  <wp:posOffset>139700</wp:posOffset>
                </wp:positionV>
                <wp:extent cx="4886325" cy="140335"/>
                <wp:effectExtent l="0" t="0" r="0" b="0"/>
                <wp:wrapNone/>
                <wp:docPr id="1354" name="docshape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140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21C58B" w14:textId="77777777" w:rsidR="00BD462C" w:rsidRDefault="00033D0F">
                            <w:pPr>
                              <w:spacing w:before="1" w:line="219" w:lineRule="exact"/>
                              <w:rPr>
                                <w:color w:val="000000"/>
                                <w:sz w:val="18"/>
                              </w:rPr>
                            </w:pPr>
                            <w:r w:rsidRPr="00A9044D">
                              <w:rPr>
                                <w:w w:val="101"/>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922091" id="_x0000_t202" coordsize="21600,21600" o:spt="202" path="m,l,21600r21600,l21600,xe">
                <v:stroke joinstyle="miter"/>
                <v:path gradientshapeok="t" o:connecttype="rect"/>
              </v:shapetype>
              <v:shape id="docshape39" o:spid="_x0000_s1026" type="#_x0000_t202" alt="&quot;&quot;" style="position:absolute;left:0;text-align:left;margin-left:82.3pt;margin-top:11pt;width:384.75pt;height:11.05pt;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" fillcolor="black" stroked="f">
                <v:textbox inset="0,0,0,0">
                  <w:txbxContent>
                    <w:p w14:paraId="3B21C58B" w14:textId="77777777" w:rsidR="00BD462C" w:rsidRDefault="00033D0F">
                      <w:pPr>
                        <w:spacing w:before="1" w:line="219" w:lineRule="exact"/>
                        <w:rPr>
                          <w:color w:val="000000"/>
                          <w:sz w:val="18"/>
                        </w:rPr>
                      </w:pPr>
                      <w:r w:rsidRPr="00A9044D">
                        <w:rPr>
                          <w:w w:val="101"/>
                          <w:sz w:val="18"/>
                        </w:rPr>
                        <w:t>[</w:t>
                      </w:r>
                    </w:p>
                  </w:txbxContent>
                </v:textbox>
                <w10:wrap anchorx="page"/>
              </v:shape>
            </w:pict>
          </mc:Fallback>
        </mc:AlternateContent>
      </w:r>
      <w:bookmarkStart w:id="217" w:name="_bookmark188"/>
      <w:bookmarkEnd w:id="217"/>
      <w:r w:rsidR="00033D0F">
        <w:rPr>
          <w:position w:val="5"/>
          <w:sz w:val="12"/>
        </w:rPr>
        <w:t>144</w:t>
      </w:r>
      <w:r w:rsidR="00033D0F">
        <w:rPr>
          <w:spacing w:val="14"/>
          <w:position w:val="5"/>
          <w:sz w:val="12"/>
        </w:rPr>
        <w:t xml:space="preserve"> </w:t>
      </w:r>
      <w:r w:rsidR="00033D0F">
        <w:rPr>
          <w:sz w:val="18"/>
        </w:rPr>
        <w:t>China's response</w:t>
      </w:r>
      <w:r w:rsidR="00033D0F">
        <w:rPr>
          <w:spacing w:val="-5"/>
          <w:sz w:val="18"/>
        </w:rPr>
        <w:t xml:space="preserve"> </w:t>
      </w:r>
      <w:r w:rsidR="00033D0F">
        <w:rPr>
          <w:sz w:val="18"/>
        </w:rPr>
        <w:t>to</w:t>
      </w:r>
      <w:r w:rsidR="00033D0F">
        <w:rPr>
          <w:spacing w:val="-10"/>
          <w:sz w:val="18"/>
        </w:rPr>
        <w:t xml:space="preserve"> </w:t>
      </w:r>
      <w:r w:rsidR="00033D0F">
        <w:rPr>
          <w:sz w:val="18"/>
        </w:rPr>
        <w:t>Panel</w:t>
      </w:r>
      <w:r w:rsidR="00033D0F">
        <w:rPr>
          <w:spacing w:val="-5"/>
          <w:sz w:val="18"/>
        </w:rPr>
        <w:t xml:space="preserve"> </w:t>
      </w:r>
      <w:r w:rsidR="00033D0F">
        <w:rPr>
          <w:sz w:val="18"/>
        </w:rPr>
        <w:t>question</w:t>
      </w:r>
      <w:r w:rsidR="00033D0F">
        <w:rPr>
          <w:spacing w:val="-5"/>
          <w:sz w:val="18"/>
        </w:rPr>
        <w:t xml:space="preserve"> </w:t>
      </w:r>
      <w:r w:rsidR="00033D0F">
        <w:rPr>
          <w:sz w:val="18"/>
        </w:rPr>
        <w:t>No.</w:t>
      </w:r>
      <w:r w:rsidR="00033D0F">
        <w:rPr>
          <w:spacing w:val="1"/>
          <w:sz w:val="18"/>
        </w:rPr>
        <w:t xml:space="preserve"> </w:t>
      </w:r>
      <w:r w:rsidR="00033D0F">
        <w:rPr>
          <w:sz w:val="18"/>
        </w:rPr>
        <w:t>9,</w:t>
      </w:r>
      <w:r w:rsidR="00033D0F">
        <w:rPr>
          <w:spacing w:val="-3"/>
          <w:sz w:val="18"/>
        </w:rPr>
        <w:t xml:space="preserve"> </w:t>
      </w:r>
      <w:r w:rsidR="00033D0F">
        <w:rPr>
          <w:sz w:val="18"/>
        </w:rPr>
        <w:t>paras.</w:t>
      </w:r>
      <w:r w:rsidR="00033D0F">
        <w:rPr>
          <w:spacing w:val="1"/>
          <w:sz w:val="18"/>
        </w:rPr>
        <w:t xml:space="preserve"> </w:t>
      </w:r>
      <w:r w:rsidR="00033D0F">
        <w:rPr>
          <w:sz w:val="18"/>
        </w:rPr>
        <w:t>33-</w:t>
      </w:r>
      <w:r w:rsidR="00033D0F">
        <w:rPr>
          <w:spacing w:val="-5"/>
          <w:sz w:val="18"/>
        </w:rPr>
        <w:t>34.</w:t>
      </w:r>
    </w:p>
    <w:p w14:paraId="3444E9A4" w14:textId="77777777" w:rsidR="00BD462C" w:rsidRDefault="00033D0F">
      <w:pPr>
        <w:spacing w:before="10"/>
        <w:ind w:left="135"/>
        <w:rPr>
          <w:sz w:val="12"/>
        </w:rPr>
      </w:pPr>
      <w:bookmarkStart w:id="218" w:name="_bookmark189"/>
      <w:bookmarkEnd w:id="218"/>
      <w:r>
        <w:rPr>
          <w:spacing w:val="-5"/>
          <w:sz w:val="12"/>
        </w:rPr>
        <w:t>145</w:t>
      </w:r>
    </w:p>
    <w:p w14:paraId="52C3F51F" w14:textId="77777777" w:rsidR="00BD462C" w:rsidRDefault="00BD462C">
      <w:pPr>
        <w:rPr>
          <w:sz w:val="12"/>
        </w:rPr>
        <w:sectPr w:rsidR="00BD462C">
          <w:pgSz w:w="11910" w:h="16840"/>
          <w:pgMar w:top="860" w:right="500" w:bottom="780" w:left="1280" w:header="566" w:footer="590" w:gutter="0"/>
          <w:cols w:space="720"/>
        </w:sectPr>
      </w:pPr>
    </w:p>
    <w:p w14:paraId="429F771C"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7AA946A2"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4B07B068"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010773DB" w14:textId="53DFC4E3" w:rsidR="00BD462C" w:rsidRDefault="00D70C7D">
      <w:pPr>
        <w:pStyle w:val="BodyText"/>
        <w:spacing w:before="3"/>
        <w:rPr>
          <w:sz w:val="6"/>
        </w:rPr>
      </w:pPr>
      <w:r>
        <w:rPr>
          <w:noProof/>
        </w:rPr>
        <mc:AlternateContent>
          <mc:Choice Requires="wps">
            <w:drawing>
              <wp:anchor distT="0" distB="0" distL="0" distR="0" simplePos="0" relativeHeight="487605760" behindDoc="1" locked="0" layoutInCell="1" allowOverlap="1" wp14:anchorId="65F814BE" wp14:editId="5BA36555">
                <wp:simplePos x="0" y="0"/>
                <wp:positionH relativeFrom="page">
                  <wp:posOffset>899160</wp:posOffset>
                </wp:positionH>
                <wp:positionV relativeFrom="paragraph">
                  <wp:posOffset>64135</wp:posOffset>
                </wp:positionV>
                <wp:extent cx="5696585" cy="186055"/>
                <wp:effectExtent l="0" t="0" r="0" b="0"/>
                <wp:wrapTopAndBottom/>
                <wp:docPr id="1352" name="docshape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658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9899BA" id="docshape40" o:spid="_x0000_s1026" alt="&quot;&quot;" style="position:absolute;margin-left:70.8pt;margin-top:5.05pt;width:448.55pt;height:14.65pt;z-index:-157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" fillcolor="black" stroked="f">
                <w10:wrap type="topAndBottom" anchorx="page"/>
              </v:rect>
            </w:pict>
          </mc:Fallback>
        </mc:AlternateContent>
      </w:r>
      <w:r>
        <w:rPr>
          <w:noProof/>
        </w:rPr>
        <mc:AlternateContent>
          <mc:Choice Requires="wps">
            <w:drawing>
              <wp:anchor distT="0" distB="0" distL="0" distR="0" simplePos="0" relativeHeight="487606272" behindDoc="1" locked="0" layoutInCell="1" allowOverlap="1" wp14:anchorId="7940B475" wp14:editId="26736338">
                <wp:simplePos x="0" y="0"/>
                <wp:positionH relativeFrom="page">
                  <wp:posOffset>899160</wp:posOffset>
                </wp:positionH>
                <wp:positionV relativeFrom="paragraph">
                  <wp:posOffset>341630</wp:posOffset>
                </wp:positionV>
                <wp:extent cx="5696585" cy="186055"/>
                <wp:effectExtent l="0" t="0" r="0" b="0"/>
                <wp:wrapTopAndBottom/>
                <wp:docPr id="1350" name="docshape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658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97D7CD" id="docshape41" o:spid="_x0000_s1026" alt="&quot;&quot;" style="position:absolute;margin-left:70.8pt;margin-top:26.9pt;width:448.55pt;height:14.65pt;z-index:-1571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" fillcolor="black" stroked="f">
                <w10:wrap type="topAndBottom" anchorx="page"/>
              </v:rect>
            </w:pict>
          </mc:Fallback>
        </mc:AlternateContent>
      </w:r>
      <w:r>
        <w:rPr>
          <w:noProof/>
        </w:rPr>
        <mc:AlternateContent>
          <mc:Choice Requires="wps">
            <w:drawing>
              <wp:anchor distT="0" distB="0" distL="0" distR="0" simplePos="0" relativeHeight="487606784" behindDoc="1" locked="0" layoutInCell="1" allowOverlap="1" wp14:anchorId="4257DAE0" wp14:editId="33B2200E">
                <wp:simplePos x="0" y="0"/>
                <wp:positionH relativeFrom="page">
                  <wp:posOffset>899160</wp:posOffset>
                </wp:positionH>
                <wp:positionV relativeFrom="paragraph">
                  <wp:posOffset>621665</wp:posOffset>
                </wp:positionV>
                <wp:extent cx="5696585" cy="186055"/>
                <wp:effectExtent l="0" t="0" r="0" b="0"/>
                <wp:wrapTopAndBottom/>
                <wp:docPr id="1348" name="docshape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658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6A0350" id="docshape42" o:spid="_x0000_s1026" alt="&quot;&quot;" style="position:absolute;margin-left:70.8pt;margin-top:48.95pt;width:448.55pt;height:14.65pt;z-index:-1570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" fillcolor="black" stroked="f">
                <w10:wrap type="topAndBottom" anchorx="page"/>
              </v:rect>
            </w:pict>
          </mc:Fallback>
        </mc:AlternateContent>
      </w:r>
    </w:p>
    <w:p w14:paraId="15F44585" w14:textId="77777777" w:rsidR="00BD462C" w:rsidRDefault="00BD462C">
      <w:pPr>
        <w:pStyle w:val="BodyText"/>
        <w:spacing w:before="10"/>
        <w:rPr>
          <w:sz w:val="9"/>
        </w:rPr>
      </w:pPr>
    </w:p>
    <w:p w14:paraId="571BB231" w14:textId="77777777" w:rsidR="00BD462C" w:rsidRDefault="00BD462C">
      <w:pPr>
        <w:pStyle w:val="BodyText"/>
        <w:spacing w:before="2"/>
        <w:rPr>
          <w:sz w:val="10"/>
        </w:rPr>
      </w:pPr>
    </w:p>
    <w:p w14:paraId="5C8FF3F4" w14:textId="77777777" w:rsidR="00BD462C" w:rsidRDefault="00BD462C">
      <w:pPr>
        <w:pStyle w:val="BodyText"/>
        <w:spacing w:before="8"/>
        <w:rPr>
          <w:sz w:val="7"/>
        </w:rPr>
      </w:pPr>
    </w:p>
    <w:p w14:paraId="198EBA40" w14:textId="71B6FEAA" w:rsidR="00BD462C" w:rsidRDefault="00D70C7D">
      <w:pPr>
        <w:pStyle w:val="BodyText"/>
        <w:spacing w:before="52" w:line="360" w:lineRule="auto"/>
        <w:ind w:left="135" w:right="915" w:firstLine="6811"/>
        <w:jc w:val="both"/>
      </w:pPr>
      <w:r>
        <w:rPr>
          <w:noProof/>
        </w:rPr>
        <mc:AlternateContent>
          <mc:Choice Requires="wps">
            <w:drawing>
              <wp:anchor distT="0" distB="0" distL="114300" distR="114300" simplePos="0" relativeHeight="15747584" behindDoc="0" locked="0" layoutInCell="1" allowOverlap="1" wp14:anchorId="3F748C48" wp14:editId="53848237">
                <wp:simplePos x="0" y="0"/>
                <wp:positionH relativeFrom="page">
                  <wp:posOffset>899160</wp:posOffset>
                </wp:positionH>
                <wp:positionV relativeFrom="paragraph">
                  <wp:posOffset>31750</wp:posOffset>
                </wp:positionV>
                <wp:extent cx="4285615" cy="186055"/>
                <wp:effectExtent l="0" t="0" r="0" b="0"/>
                <wp:wrapNone/>
                <wp:docPr id="1346" name="docshape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561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8BA5E3" id="docshape43" o:spid="_x0000_s1026" alt="&quot;&quot;" style="position:absolute;margin-left:70.8pt;margin-top:2.5pt;width:337.45pt;height:14.65pt;z-index:1574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" fillcolor="black" stroked="f">
                <w10:wrap anchorx="page"/>
              </v:rect>
            </w:pict>
          </mc:Fallback>
        </mc:AlternateContent>
      </w:r>
      <w:r>
        <w:rPr>
          <w:noProof/>
        </w:rPr>
        <mc:AlternateContent>
          <mc:Choice Requires="wps">
            <w:drawing>
              <wp:anchor distT="0" distB="0" distL="114300" distR="114300" simplePos="0" relativeHeight="15748096" behindDoc="0" locked="0" layoutInCell="1" allowOverlap="1" wp14:anchorId="753675E1" wp14:editId="1D845C9D">
                <wp:simplePos x="0" y="0"/>
                <wp:positionH relativeFrom="page">
                  <wp:posOffset>1502410</wp:posOffset>
                </wp:positionH>
                <wp:positionV relativeFrom="paragraph">
                  <wp:posOffset>869950</wp:posOffset>
                </wp:positionV>
                <wp:extent cx="5157470" cy="186055"/>
                <wp:effectExtent l="0" t="0" r="0" b="0"/>
                <wp:wrapNone/>
                <wp:docPr id="1344" name="docshape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747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5582AD" id="docshape44" o:spid="_x0000_s1026" alt="&quot;&quot;" style="position:absolute;margin-left:118.3pt;margin-top:68.5pt;width:406.1pt;height:14.65pt;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" fillcolor="black" stroked="f">
                <w10:wrap anchorx="page"/>
              </v:rect>
            </w:pict>
          </mc:Fallback>
        </mc:AlternateContent>
      </w:r>
      <w:r w:rsidR="00033D0F">
        <w:t xml:space="preserve">Since the normal value determined by MOFCOM does not reflect Casella Wines' domestic product mix, it inherently creates differences affecting price comparability when compared with Casella Wines' export </w:t>
      </w:r>
      <w:r w:rsidR="00033D0F">
        <w:rPr>
          <w:spacing w:val="-2"/>
        </w:rPr>
        <w:t>prices,</w:t>
      </w:r>
    </w:p>
    <w:p w14:paraId="138BDE3A" w14:textId="5544E952" w:rsidR="00BD462C" w:rsidRDefault="00D70C7D">
      <w:pPr>
        <w:spacing w:before="47" w:line="153" w:lineRule="auto"/>
        <w:ind w:left="2776"/>
        <w:rPr>
          <w:sz w:val="16"/>
        </w:rPr>
      </w:pPr>
      <w:r>
        <w:rPr>
          <w:noProof/>
        </w:rPr>
        <mc:AlternateContent>
          <mc:Choice Requires="wps">
            <w:drawing>
              <wp:anchor distT="0" distB="0" distL="114300" distR="114300" simplePos="0" relativeHeight="15748608" behindDoc="0" locked="0" layoutInCell="1" allowOverlap="1" wp14:anchorId="45551CC4" wp14:editId="79E1A456">
                <wp:simplePos x="0" y="0"/>
                <wp:positionH relativeFrom="page">
                  <wp:posOffset>899160</wp:posOffset>
                </wp:positionH>
                <wp:positionV relativeFrom="paragraph">
                  <wp:posOffset>-1905</wp:posOffset>
                </wp:positionV>
                <wp:extent cx="1676400" cy="186055"/>
                <wp:effectExtent l="0" t="0" r="0" b="0"/>
                <wp:wrapNone/>
                <wp:docPr id="1342" name="docshape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16757D" id="docshape45" o:spid="_x0000_s1026" alt="&quot;&quot;" style="position:absolute;margin-left:70.8pt;margin-top:-.15pt;width:132pt;height:14.65pt;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" fillcolor="black" stroked="f">
                <w10:wrap anchorx="page"/>
              </v:rect>
            </w:pict>
          </mc:Fallback>
        </mc:AlternateContent>
      </w:r>
      <w:r w:rsidR="00033D0F">
        <w:rPr>
          <w:spacing w:val="-4"/>
          <w:position w:val="-7"/>
          <w:sz w:val="24"/>
        </w:rPr>
        <w:t>.</w:t>
      </w:r>
      <w:hyperlink w:anchor="_bookmark192" w:history="1">
        <w:r w:rsidR="00033D0F">
          <w:rPr>
            <w:spacing w:val="-4"/>
            <w:sz w:val="16"/>
          </w:rPr>
          <w:t>146</w:t>
        </w:r>
      </w:hyperlink>
    </w:p>
    <w:p w14:paraId="77D91AA7" w14:textId="77777777" w:rsidR="00BD462C" w:rsidRDefault="00BD462C">
      <w:pPr>
        <w:pStyle w:val="BodyText"/>
        <w:spacing w:before="4"/>
        <w:rPr>
          <w:sz w:val="25"/>
        </w:rPr>
      </w:pPr>
    </w:p>
    <w:p w14:paraId="5EE072B9" w14:textId="3538AD56" w:rsidR="00BD462C" w:rsidRDefault="00033D0F" w:rsidP="00652F97">
      <w:pPr>
        <w:pStyle w:val="BodyText"/>
        <w:numPr>
          <w:ilvl w:val="0"/>
          <w:numId w:val="68"/>
        </w:numPr>
        <w:spacing w:before="56" w:line="360" w:lineRule="auto"/>
        <w:ind w:right="911"/>
        <w:jc w:val="both"/>
      </w:pPr>
      <w:r>
        <w:rPr>
          <w:position w:val="1"/>
        </w:rPr>
        <w:t xml:space="preserve">In the case of Swan Vintage, MOFCOM used a similar normal value methodology, </w:t>
      </w:r>
      <w:r>
        <w:t>determining a normal value that did not reflect Swan Vintage's domestic product mix that inherently created differences affecting price comparability when that normal value was compared to Swan Vintage's export prices.</w:t>
      </w:r>
    </w:p>
    <w:p w14:paraId="639E1F5D" w14:textId="77777777" w:rsidR="00BD462C" w:rsidRDefault="00BD462C">
      <w:pPr>
        <w:pStyle w:val="BodyText"/>
        <w:spacing w:before="8"/>
        <w:rPr>
          <w:sz w:val="8"/>
        </w:rPr>
      </w:pPr>
    </w:p>
    <w:p w14:paraId="44260BCD" w14:textId="173A9FCC" w:rsidR="00BD462C" w:rsidRDefault="00033D0F" w:rsidP="00652F97">
      <w:pPr>
        <w:pStyle w:val="BodyText"/>
        <w:numPr>
          <w:ilvl w:val="0"/>
          <w:numId w:val="68"/>
        </w:numPr>
        <w:spacing w:before="57" w:line="360" w:lineRule="auto"/>
        <w:ind w:right="913"/>
        <w:jc w:val="both"/>
      </w:pPr>
      <w:r>
        <w:rPr>
          <w:position w:val="1"/>
        </w:rPr>
        <w:t xml:space="preserve">There is no evidence that MOFCOM made any attempt to disclose the normal value </w:t>
      </w:r>
      <w:r>
        <w:t>methodology to</w:t>
      </w:r>
      <w:r>
        <w:rPr>
          <w:spacing w:val="-1"/>
        </w:rPr>
        <w:t xml:space="preserve"> </w:t>
      </w:r>
      <w:r>
        <w:t xml:space="preserve">Treasury Wines, Casella </w:t>
      </w:r>
      <w:proofErr w:type="gramStart"/>
      <w:r>
        <w:t>Wines</w:t>
      </w:r>
      <w:proofErr w:type="gramEnd"/>
      <w:r>
        <w:t xml:space="preserve"> and</w:t>
      </w:r>
      <w:r>
        <w:rPr>
          <w:spacing w:val="-1"/>
        </w:rPr>
        <w:t xml:space="preserve"> </w:t>
      </w:r>
      <w:r>
        <w:t>Swan</w:t>
      </w:r>
      <w:r>
        <w:rPr>
          <w:spacing w:val="-1"/>
        </w:rPr>
        <w:t xml:space="preserve"> </w:t>
      </w:r>
      <w:r>
        <w:t>Vintage in</w:t>
      </w:r>
      <w:r>
        <w:rPr>
          <w:spacing w:val="-1"/>
        </w:rPr>
        <w:t xml:space="preserve"> </w:t>
      </w:r>
      <w:r>
        <w:t>sufficient detail to</w:t>
      </w:r>
      <w:r>
        <w:rPr>
          <w:spacing w:val="-1"/>
        </w:rPr>
        <w:t xml:space="preserve"> </w:t>
      </w:r>
      <w:r>
        <w:t>allow them to make informed decisions regarding possible adjustments, even though the normal value methodologies resulted in clear differences affecting price comparability. Thus, MOFCOM acted inconsistently with the last sentence of Article</w:t>
      </w:r>
      <w:r>
        <w:rPr>
          <w:spacing w:val="-1"/>
        </w:rPr>
        <w:t xml:space="preserve"> </w:t>
      </w:r>
      <w:r>
        <w:t>2.4. In addition, withholding this information prevented the sampled companies from defending their interests and was, therefore, inconsistent with Article 6 and Annex II.</w:t>
      </w:r>
      <w:hyperlink w:anchor="_bookmark193" w:history="1">
        <w:r>
          <w:rPr>
            <w:vertAlign w:val="superscript"/>
          </w:rPr>
          <w:t>147</w:t>
        </w:r>
      </w:hyperlink>
    </w:p>
    <w:p w14:paraId="029F8939" w14:textId="77777777" w:rsidR="00BD462C" w:rsidRDefault="00033D0F">
      <w:pPr>
        <w:pStyle w:val="Heading3"/>
        <w:numPr>
          <w:ilvl w:val="0"/>
          <w:numId w:val="36"/>
        </w:numPr>
        <w:tabs>
          <w:tab w:val="left" w:pos="2689"/>
          <w:tab w:val="left" w:pos="2690"/>
        </w:tabs>
        <w:spacing w:before="154" w:line="360" w:lineRule="auto"/>
        <w:ind w:right="912"/>
      </w:pPr>
      <w:bookmarkStart w:id="219" w:name="2._MOFCOM_was_still_obliged_to_make_a_fa"/>
      <w:bookmarkStart w:id="220" w:name="_bookmark190"/>
      <w:bookmarkEnd w:id="219"/>
      <w:bookmarkEnd w:id="220"/>
      <w:r>
        <w:t xml:space="preserve">MOFCOM was still obliged to make a fair comparison where differences affecting price comparability resulted from its </w:t>
      </w:r>
      <w:r>
        <w:rPr>
          <w:spacing w:val="-2"/>
        </w:rPr>
        <w:t>methodology</w:t>
      </w:r>
    </w:p>
    <w:p w14:paraId="3D6009B4" w14:textId="77777777" w:rsidR="00BD462C" w:rsidRDefault="00BD462C">
      <w:pPr>
        <w:pStyle w:val="BodyText"/>
        <w:spacing w:before="11"/>
        <w:rPr>
          <w:b/>
          <w:sz w:val="8"/>
        </w:rPr>
      </w:pPr>
    </w:p>
    <w:p w14:paraId="28610880" w14:textId="4B9C75C8" w:rsidR="00BD462C" w:rsidRDefault="00033D0F" w:rsidP="00652F97">
      <w:pPr>
        <w:pStyle w:val="BodyText"/>
        <w:numPr>
          <w:ilvl w:val="0"/>
          <w:numId w:val="68"/>
        </w:numPr>
        <w:spacing w:before="56" w:line="360" w:lineRule="auto"/>
        <w:ind w:right="913"/>
        <w:jc w:val="both"/>
      </w:pPr>
      <w:bookmarkStart w:id="221" w:name="_bookmark191"/>
      <w:bookmarkEnd w:id="221"/>
      <w:r>
        <w:rPr>
          <w:position w:val="1"/>
        </w:rPr>
        <w:t>China</w:t>
      </w:r>
      <w:r>
        <w:rPr>
          <w:spacing w:val="-11"/>
          <w:position w:val="1"/>
        </w:rPr>
        <w:t xml:space="preserve"> </w:t>
      </w:r>
      <w:r>
        <w:rPr>
          <w:position w:val="1"/>
        </w:rPr>
        <w:t>appears</w:t>
      </w:r>
      <w:r>
        <w:rPr>
          <w:spacing w:val="-9"/>
          <w:position w:val="1"/>
        </w:rPr>
        <w:t xml:space="preserve"> </w:t>
      </w:r>
      <w:r>
        <w:rPr>
          <w:position w:val="1"/>
        </w:rPr>
        <w:t>to</w:t>
      </w:r>
      <w:r>
        <w:rPr>
          <w:spacing w:val="-13"/>
          <w:position w:val="1"/>
        </w:rPr>
        <w:t xml:space="preserve"> </w:t>
      </w:r>
      <w:r>
        <w:rPr>
          <w:position w:val="1"/>
        </w:rPr>
        <w:t>argue</w:t>
      </w:r>
      <w:r>
        <w:rPr>
          <w:spacing w:val="-11"/>
          <w:position w:val="1"/>
        </w:rPr>
        <w:t xml:space="preserve"> </w:t>
      </w:r>
      <w:r>
        <w:rPr>
          <w:position w:val="1"/>
        </w:rPr>
        <w:t>that</w:t>
      </w:r>
      <w:r>
        <w:rPr>
          <w:spacing w:val="-10"/>
          <w:position w:val="1"/>
        </w:rPr>
        <w:t xml:space="preserve"> </w:t>
      </w:r>
      <w:r>
        <w:rPr>
          <w:position w:val="1"/>
        </w:rPr>
        <w:t>there</w:t>
      </w:r>
      <w:r>
        <w:rPr>
          <w:spacing w:val="-6"/>
          <w:position w:val="1"/>
        </w:rPr>
        <w:t xml:space="preserve"> </w:t>
      </w:r>
      <w:r>
        <w:rPr>
          <w:position w:val="1"/>
        </w:rPr>
        <w:t>is</w:t>
      </w:r>
      <w:r>
        <w:rPr>
          <w:spacing w:val="-9"/>
          <w:position w:val="1"/>
        </w:rPr>
        <w:t xml:space="preserve"> </w:t>
      </w:r>
      <w:r>
        <w:rPr>
          <w:position w:val="1"/>
        </w:rPr>
        <w:t>an</w:t>
      </w:r>
      <w:r>
        <w:rPr>
          <w:spacing w:val="-13"/>
          <w:position w:val="1"/>
        </w:rPr>
        <w:t xml:space="preserve"> </w:t>
      </w:r>
      <w:r>
        <w:rPr>
          <w:position w:val="1"/>
        </w:rPr>
        <w:t>exemption</w:t>
      </w:r>
      <w:r>
        <w:rPr>
          <w:spacing w:val="-8"/>
          <w:position w:val="1"/>
        </w:rPr>
        <w:t xml:space="preserve"> </w:t>
      </w:r>
      <w:r>
        <w:rPr>
          <w:position w:val="1"/>
        </w:rPr>
        <w:t>to</w:t>
      </w:r>
      <w:r>
        <w:rPr>
          <w:spacing w:val="-13"/>
          <w:position w:val="1"/>
        </w:rPr>
        <w:t xml:space="preserve"> </w:t>
      </w:r>
      <w:r>
        <w:rPr>
          <w:position w:val="1"/>
        </w:rPr>
        <w:t>the</w:t>
      </w:r>
      <w:r>
        <w:rPr>
          <w:spacing w:val="-11"/>
          <w:position w:val="1"/>
        </w:rPr>
        <w:t xml:space="preserve"> </w:t>
      </w:r>
      <w:r>
        <w:rPr>
          <w:position w:val="1"/>
        </w:rPr>
        <w:t>general</w:t>
      </w:r>
      <w:r>
        <w:rPr>
          <w:spacing w:val="-9"/>
          <w:position w:val="1"/>
        </w:rPr>
        <w:t xml:space="preserve"> </w:t>
      </w:r>
      <w:r>
        <w:rPr>
          <w:position w:val="1"/>
        </w:rPr>
        <w:t>obligation</w:t>
      </w:r>
      <w:r>
        <w:rPr>
          <w:spacing w:val="-13"/>
          <w:position w:val="1"/>
        </w:rPr>
        <w:t xml:space="preserve"> </w:t>
      </w:r>
      <w:r>
        <w:rPr>
          <w:position w:val="1"/>
        </w:rPr>
        <w:t>to</w:t>
      </w:r>
      <w:r>
        <w:rPr>
          <w:spacing w:val="-13"/>
          <w:position w:val="1"/>
        </w:rPr>
        <w:t xml:space="preserve"> </w:t>
      </w:r>
      <w:r>
        <w:rPr>
          <w:position w:val="1"/>
        </w:rPr>
        <w:t xml:space="preserve">ensure </w:t>
      </w:r>
      <w:r>
        <w:t>a fair comparison</w:t>
      </w:r>
      <w:hyperlink w:anchor="_bookmark194" w:history="1">
        <w:r>
          <w:rPr>
            <w:vertAlign w:val="superscript"/>
          </w:rPr>
          <w:t>148</w:t>
        </w:r>
      </w:hyperlink>
      <w:r>
        <w:t xml:space="preserve"> where the differences affecting price comparability arise as a result of the</w:t>
      </w:r>
      <w:r>
        <w:rPr>
          <w:spacing w:val="-9"/>
        </w:rPr>
        <w:t xml:space="preserve"> </w:t>
      </w:r>
      <w:r>
        <w:t>investigating authority's methodology.</w:t>
      </w:r>
      <w:r>
        <w:rPr>
          <w:spacing w:val="-14"/>
        </w:rPr>
        <w:t xml:space="preserve"> </w:t>
      </w:r>
      <w:hyperlink w:anchor="_bookmark195" w:history="1">
        <w:r>
          <w:rPr>
            <w:vertAlign w:val="superscript"/>
          </w:rPr>
          <w:t>149</w:t>
        </w:r>
      </w:hyperlink>
      <w:r>
        <w:t xml:space="preserve"> This argument is not supported by the text of Article</w:t>
      </w:r>
      <w:r>
        <w:rPr>
          <w:spacing w:val="-1"/>
        </w:rPr>
        <w:t xml:space="preserve"> </w:t>
      </w:r>
      <w:r>
        <w:t>2.4, which imposes an explicit obligation on investigating authorities to ensure a</w:t>
      </w:r>
      <w:r>
        <w:rPr>
          <w:spacing w:val="17"/>
        </w:rPr>
        <w:t xml:space="preserve"> </w:t>
      </w:r>
      <w:r>
        <w:t>fair</w:t>
      </w:r>
    </w:p>
    <w:p w14:paraId="2D8FD345" w14:textId="77777777" w:rsidR="00BD462C" w:rsidRDefault="00BD462C">
      <w:pPr>
        <w:pStyle w:val="BodyText"/>
        <w:rPr>
          <w:sz w:val="20"/>
        </w:rPr>
      </w:pPr>
    </w:p>
    <w:p w14:paraId="01A8BD76" w14:textId="77777777" w:rsidR="00BD462C" w:rsidRDefault="00BD462C">
      <w:pPr>
        <w:pStyle w:val="BodyText"/>
        <w:rPr>
          <w:sz w:val="20"/>
        </w:rPr>
      </w:pPr>
    </w:p>
    <w:p w14:paraId="4178FE9B" w14:textId="0D38A274" w:rsidR="00BD462C" w:rsidRDefault="009A6330">
      <w:pPr>
        <w:pStyle w:val="BodyText"/>
        <w:spacing w:before="6"/>
        <w:rPr>
          <w:sz w:val="10"/>
        </w:rPr>
      </w:pPr>
      <w:r>
        <w:rPr>
          <w:noProof/>
        </w:rPr>
        <mc:AlternateContent>
          <mc:Choice Requires="wps">
            <w:drawing>
              <wp:anchor distT="0" distB="0" distL="0" distR="0" simplePos="0" relativeHeight="487989760" behindDoc="1" locked="0" layoutInCell="1" allowOverlap="1" wp14:anchorId="50BCF203" wp14:editId="606A6503">
                <wp:simplePos x="0" y="0"/>
                <wp:positionH relativeFrom="page">
                  <wp:posOffset>812800</wp:posOffset>
                </wp:positionH>
                <wp:positionV relativeFrom="paragraph">
                  <wp:posOffset>83869</wp:posOffset>
                </wp:positionV>
                <wp:extent cx="1828800" cy="8890"/>
                <wp:effectExtent l="0" t="0" r="0" b="0"/>
                <wp:wrapTopAndBottom/>
                <wp:docPr id="1404" name="docshape7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8D9881" id="docshape712" o:spid="_x0000_s1026" alt="&quot;&quot;" style="position:absolute;margin-left:64pt;margin-top:6.6pt;width:2in;height:.7pt;z-index:-15326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" fillcolor="black" stroked="f">
                <w10:wrap type="topAndBottom" anchorx="page"/>
              </v:rect>
            </w:pict>
          </mc:Fallback>
        </mc:AlternateContent>
      </w:r>
    </w:p>
    <w:p w14:paraId="59CC56A0" w14:textId="77777777" w:rsidR="00BD462C" w:rsidRDefault="00033D0F">
      <w:pPr>
        <w:spacing w:before="112"/>
        <w:ind w:left="135"/>
        <w:rPr>
          <w:sz w:val="18"/>
        </w:rPr>
      </w:pPr>
      <w:bookmarkStart w:id="222" w:name="_bookmark192"/>
      <w:bookmarkEnd w:id="222"/>
      <w:r>
        <w:rPr>
          <w:position w:val="5"/>
          <w:sz w:val="12"/>
        </w:rPr>
        <w:t>146</w:t>
      </w:r>
      <w:r>
        <w:rPr>
          <w:spacing w:val="14"/>
          <w:position w:val="5"/>
          <w:sz w:val="12"/>
        </w:rPr>
        <w:t xml:space="preserve"> </w:t>
      </w:r>
      <w:r>
        <w:rPr>
          <w:sz w:val="18"/>
        </w:rPr>
        <w:t>China's response</w:t>
      </w:r>
      <w:r>
        <w:rPr>
          <w:spacing w:val="-4"/>
          <w:sz w:val="18"/>
        </w:rPr>
        <w:t xml:space="preserve"> </w:t>
      </w:r>
      <w:r>
        <w:rPr>
          <w:sz w:val="18"/>
        </w:rPr>
        <w:t>to</w:t>
      </w:r>
      <w:r>
        <w:rPr>
          <w:spacing w:val="-10"/>
          <w:sz w:val="18"/>
        </w:rPr>
        <w:t xml:space="preserve"> </w:t>
      </w:r>
      <w:r>
        <w:rPr>
          <w:sz w:val="18"/>
        </w:rPr>
        <w:t>Panel</w:t>
      </w:r>
      <w:r>
        <w:rPr>
          <w:spacing w:val="-4"/>
          <w:sz w:val="18"/>
        </w:rPr>
        <w:t xml:space="preserve"> </w:t>
      </w:r>
      <w:r>
        <w:rPr>
          <w:sz w:val="18"/>
        </w:rPr>
        <w:t>question</w:t>
      </w:r>
      <w:r>
        <w:rPr>
          <w:spacing w:val="-6"/>
          <w:sz w:val="18"/>
        </w:rPr>
        <w:t xml:space="preserve"> </w:t>
      </w:r>
      <w:r>
        <w:rPr>
          <w:sz w:val="18"/>
        </w:rPr>
        <w:t>No.</w:t>
      </w:r>
      <w:r>
        <w:rPr>
          <w:spacing w:val="3"/>
          <w:sz w:val="18"/>
        </w:rPr>
        <w:t xml:space="preserve"> </w:t>
      </w:r>
      <w:r>
        <w:rPr>
          <w:sz w:val="18"/>
        </w:rPr>
        <w:t>27,</w:t>
      </w:r>
      <w:r>
        <w:rPr>
          <w:spacing w:val="-3"/>
          <w:sz w:val="18"/>
        </w:rPr>
        <w:t xml:space="preserve"> </w:t>
      </w:r>
      <w:r>
        <w:rPr>
          <w:sz w:val="18"/>
        </w:rPr>
        <w:t>para.</w:t>
      </w:r>
      <w:r>
        <w:rPr>
          <w:spacing w:val="-3"/>
          <w:sz w:val="18"/>
        </w:rPr>
        <w:t xml:space="preserve"> </w:t>
      </w:r>
      <w:r>
        <w:rPr>
          <w:sz w:val="18"/>
        </w:rPr>
        <w:t>136,</w:t>
      </w:r>
      <w:r>
        <w:rPr>
          <w:spacing w:val="-3"/>
          <w:sz w:val="18"/>
        </w:rPr>
        <w:t xml:space="preserve"> </w:t>
      </w:r>
      <w:r>
        <w:rPr>
          <w:spacing w:val="-2"/>
          <w:sz w:val="18"/>
        </w:rPr>
        <w:t>Table.</w:t>
      </w:r>
    </w:p>
    <w:p w14:paraId="0F242706" w14:textId="77777777" w:rsidR="00BD462C" w:rsidRDefault="00033D0F">
      <w:pPr>
        <w:spacing w:before="1"/>
        <w:ind w:left="135"/>
        <w:rPr>
          <w:sz w:val="18"/>
        </w:rPr>
      </w:pPr>
      <w:bookmarkStart w:id="223" w:name="_bookmark193"/>
      <w:bookmarkEnd w:id="223"/>
      <w:r>
        <w:rPr>
          <w:position w:val="5"/>
          <w:sz w:val="12"/>
        </w:rPr>
        <w:t>147</w:t>
      </w:r>
      <w:r>
        <w:rPr>
          <w:spacing w:val="16"/>
          <w:position w:val="5"/>
          <w:sz w:val="12"/>
        </w:rPr>
        <w:t xml:space="preserve"> </w:t>
      </w:r>
      <w:r>
        <w:rPr>
          <w:sz w:val="18"/>
        </w:rPr>
        <w:t>See</w:t>
      </w:r>
      <w:r>
        <w:rPr>
          <w:spacing w:val="-3"/>
          <w:sz w:val="18"/>
        </w:rPr>
        <w:t xml:space="preserve"> </w:t>
      </w:r>
      <w:r>
        <w:rPr>
          <w:sz w:val="18"/>
        </w:rPr>
        <w:t>section</w:t>
      </w:r>
      <w:r>
        <w:rPr>
          <w:spacing w:val="-4"/>
          <w:sz w:val="18"/>
        </w:rPr>
        <w:t xml:space="preserve"> </w:t>
      </w:r>
      <w:hyperlink w:anchor="_bookmark126" w:history="1">
        <w:r>
          <w:rPr>
            <w:spacing w:val="-2"/>
            <w:sz w:val="18"/>
          </w:rPr>
          <w:t>III.B.</w:t>
        </w:r>
      </w:hyperlink>
    </w:p>
    <w:p w14:paraId="78F9BE0F" w14:textId="77777777" w:rsidR="00BD462C" w:rsidRDefault="00033D0F">
      <w:pPr>
        <w:spacing w:before="1"/>
        <w:ind w:left="135"/>
        <w:rPr>
          <w:sz w:val="18"/>
        </w:rPr>
      </w:pPr>
      <w:bookmarkStart w:id="224" w:name="_bookmark194"/>
      <w:bookmarkEnd w:id="224"/>
      <w:r>
        <w:rPr>
          <w:position w:val="5"/>
          <w:sz w:val="12"/>
        </w:rPr>
        <w:t>148</w:t>
      </w:r>
      <w:r>
        <w:rPr>
          <w:spacing w:val="1"/>
          <w:position w:val="5"/>
          <w:sz w:val="12"/>
        </w:rPr>
        <w:t xml:space="preserve"> </w:t>
      </w:r>
      <w:r>
        <w:rPr>
          <w:sz w:val="18"/>
        </w:rPr>
        <w:t>See</w:t>
      </w:r>
      <w:r>
        <w:rPr>
          <w:spacing w:val="1"/>
          <w:sz w:val="18"/>
        </w:rPr>
        <w:t xml:space="preserve"> </w:t>
      </w:r>
      <w:r>
        <w:rPr>
          <w:sz w:val="18"/>
        </w:rPr>
        <w:t>above,</w:t>
      </w:r>
      <w:r>
        <w:rPr>
          <w:spacing w:val="-1"/>
          <w:sz w:val="18"/>
        </w:rPr>
        <w:t xml:space="preserve"> </w:t>
      </w:r>
      <w:r>
        <w:rPr>
          <w:sz w:val="18"/>
        </w:rPr>
        <w:t>para.</w:t>
      </w:r>
      <w:r>
        <w:rPr>
          <w:spacing w:val="-3"/>
          <w:sz w:val="18"/>
        </w:rPr>
        <w:t xml:space="preserve"> </w:t>
      </w:r>
      <w:hyperlink w:anchor="_bookmark168" w:history="1">
        <w:r>
          <w:rPr>
            <w:spacing w:val="-5"/>
            <w:sz w:val="18"/>
          </w:rPr>
          <w:t>93.</w:t>
        </w:r>
      </w:hyperlink>
    </w:p>
    <w:p w14:paraId="1FFD3E16" w14:textId="77777777" w:rsidR="00BD462C" w:rsidRDefault="00033D0F">
      <w:pPr>
        <w:spacing w:before="1"/>
        <w:ind w:left="135"/>
        <w:rPr>
          <w:sz w:val="18"/>
        </w:rPr>
      </w:pPr>
      <w:bookmarkStart w:id="225" w:name="_bookmark195"/>
      <w:bookmarkEnd w:id="225"/>
      <w:r>
        <w:rPr>
          <w:position w:val="5"/>
          <w:sz w:val="12"/>
        </w:rPr>
        <w:t>149</w:t>
      </w:r>
      <w:r>
        <w:rPr>
          <w:spacing w:val="12"/>
          <w:position w:val="5"/>
          <w:sz w:val="12"/>
        </w:rPr>
        <w:t xml:space="preserve"> </w:t>
      </w:r>
      <w:r>
        <w:rPr>
          <w:sz w:val="18"/>
        </w:rPr>
        <w:t>China's</w:t>
      </w:r>
      <w:r>
        <w:rPr>
          <w:spacing w:val="-6"/>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 paras.</w:t>
      </w:r>
      <w:r>
        <w:rPr>
          <w:spacing w:val="-5"/>
          <w:sz w:val="18"/>
        </w:rPr>
        <w:t xml:space="preserve"> </w:t>
      </w:r>
      <w:r>
        <w:rPr>
          <w:sz w:val="18"/>
        </w:rPr>
        <w:t>809-</w:t>
      </w:r>
      <w:r>
        <w:rPr>
          <w:spacing w:val="-4"/>
          <w:sz w:val="18"/>
        </w:rPr>
        <w:t>813.</w:t>
      </w:r>
    </w:p>
    <w:p w14:paraId="5143968D" w14:textId="77777777" w:rsidR="00BD462C" w:rsidRDefault="00BD462C">
      <w:pPr>
        <w:rPr>
          <w:sz w:val="18"/>
        </w:rPr>
        <w:sectPr w:rsidR="00BD462C">
          <w:pgSz w:w="11910" w:h="16840"/>
          <w:pgMar w:top="860" w:right="500" w:bottom="780" w:left="1280" w:header="566" w:footer="590" w:gutter="0"/>
          <w:cols w:space="720"/>
        </w:sectPr>
      </w:pPr>
    </w:p>
    <w:p w14:paraId="28F380C8"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20A03F2A"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3EA4052D"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35675DCC" w14:textId="77777777" w:rsidR="00BD462C" w:rsidRDefault="00033D0F">
      <w:pPr>
        <w:pStyle w:val="BodyText"/>
        <w:spacing w:before="102" w:line="360" w:lineRule="auto"/>
        <w:ind w:left="135" w:right="909"/>
        <w:jc w:val="both"/>
      </w:pPr>
      <w:r>
        <w:t>comparison.</w:t>
      </w:r>
      <w:r>
        <w:rPr>
          <w:spacing w:val="-14"/>
        </w:rPr>
        <w:t xml:space="preserve"> </w:t>
      </w:r>
      <w:hyperlink w:anchor="_bookmark197" w:history="1">
        <w:r>
          <w:rPr>
            <w:vertAlign w:val="superscript"/>
          </w:rPr>
          <w:t>150</w:t>
        </w:r>
      </w:hyperlink>
      <w:r>
        <w:rPr>
          <w:spacing w:val="-12"/>
        </w:rPr>
        <w:t xml:space="preserve"> </w:t>
      </w:r>
      <w:r>
        <w:t xml:space="preserve">The panel in </w:t>
      </w:r>
      <w:r>
        <w:rPr>
          <w:i/>
        </w:rPr>
        <w:t xml:space="preserve">Egypt – Steel Rebar </w:t>
      </w:r>
      <w:r>
        <w:t xml:space="preserve">reasoned that an adjustment must be made "where it is demonstrated by one or another party in a particular case, or </w:t>
      </w:r>
      <w:r>
        <w:rPr>
          <w:i/>
        </w:rPr>
        <w:t xml:space="preserve">by the data itself </w:t>
      </w:r>
      <w:r>
        <w:t>that a given difference affects price comparability".</w:t>
      </w:r>
      <w:hyperlink w:anchor="_bookmark198" w:history="1">
        <w:r>
          <w:rPr>
            <w:vertAlign w:val="superscript"/>
          </w:rPr>
          <w:t>151</w:t>
        </w:r>
      </w:hyperlink>
      <w:r>
        <w:t xml:space="preserve"> Thus, in practice, an investigating authority must participate in the process to ensure a fair comparison. This obligation applies whenever differences affect price comparability between the normal value and export price. It is the existence of such differences that is relevant, and not the cause of the differences (</w:t>
      </w:r>
      <w:proofErr w:type="gramStart"/>
      <w:r>
        <w:t>e.g.</w:t>
      </w:r>
      <w:proofErr w:type="gramEnd"/>
      <w:r>
        <w:t xml:space="preserve"> the methodology). As discussed above, it is clear that the methodologies used for the normal values of Treasury Wines, Casella Wines and Swan Vintage created differences affecting</w:t>
      </w:r>
      <w:r>
        <w:rPr>
          <w:spacing w:val="-14"/>
        </w:rPr>
        <w:t xml:space="preserve"> </w:t>
      </w:r>
      <w:r>
        <w:t>price</w:t>
      </w:r>
      <w:r>
        <w:rPr>
          <w:spacing w:val="-14"/>
        </w:rPr>
        <w:t xml:space="preserve"> </w:t>
      </w:r>
      <w:r>
        <w:t>comparability.</w:t>
      </w:r>
      <w:r>
        <w:rPr>
          <w:spacing w:val="-13"/>
        </w:rPr>
        <w:t xml:space="preserve"> </w:t>
      </w:r>
      <w:r>
        <w:t>They</w:t>
      </w:r>
      <w:r>
        <w:rPr>
          <w:spacing w:val="-14"/>
        </w:rPr>
        <w:t xml:space="preserve"> </w:t>
      </w:r>
      <w:r>
        <w:t>had</w:t>
      </w:r>
      <w:r>
        <w:rPr>
          <w:spacing w:val="-13"/>
        </w:rPr>
        <w:t xml:space="preserve"> </w:t>
      </w:r>
      <w:r>
        <w:t>to</w:t>
      </w:r>
      <w:r>
        <w:rPr>
          <w:spacing w:val="-14"/>
        </w:rPr>
        <w:t xml:space="preserve"> </w:t>
      </w:r>
      <w:r>
        <w:t>be</w:t>
      </w:r>
      <w:r>
        <w:rPr>
          <w:spacing w:val="-13"/>
        </w:rPr>
        <w:t xml:space="preserve"> </w:t>
      </w:r>
      <w:r>
        <w:t>disclosed</w:t>
      </w:r>
      <w:r>
        <w:rPr>
          <w:spacing w:val="-14"/>
        </w:rPr>
        <w:t xml:space="preserve"> </w:t>
      </w:r>
      <w:r>
        <w:t>to</w:t>
      </w:r>
      <w:r>
        <w:rPr>
          <w:spacing w:val="-14"/>
        </w:rPr>
        <w:t xml:space="preserve"> </w:t>
      </w:r>
      <w:r>
        <w:t>the</w:t>
      </w:r>
      <w:r>
        <w:rPr>
          <w:spacing w:val="-13"/>
        </w:rPr>
        <w:t xml:space="preserve"> </w:t>
      </w:r>
      <w:r>
        <w:t>sampled</w:t>
      </w:r>
      <w:r>
        <w:rPr>
          <w:spacing w:val="-14"/>
        </w:rPr>
        <w:t xml:space="preserve"> </w:t>
      </w:r>
      <w:r>
        <w:t>companies</w:t>
      </w:r>
      <w:r>
        <w:rPr>
          <w:spacing w:val="-13"/>
        </w:rPr>
        <w:t xml:space="preserve"> </w:t>
      </w:r>
      <w:r>
        <w:t>or</w:t>
      </w:r>
      <w:r>
        <w:rPr>
          <w:spacing w:val="-14"/>
        </w:rPr>
        <w:t xml:space="preserve"> </w:t>
      </w:r>
      <w:r>
        <w:t>MOFCOM had to take other action to comply with its obligation to ensure a fair comparison. Accepting China's</w:t>
      </w:r>
      <w:r>
        <w:rPr>
          <w:spacing w:val="-14"/>
        </w:rPr>
        <w:t xml:space="preserve"> </w:t>
      </w:r>
      <w:r>
        <w:t>argument</w:t>
      </w:r>
      <w:r>
        <w:rPr>
          <w:spacing w:val="-14"/>
        </w:rPr>
        <w:t xml:space="preserve"> </w:t>
      </w:r>
      <w:r>
        <w:t>that</w:t>
      </w:r>
      <w:r>
        <w:rPr>
          <w:spacing w:val="-13"/>
        </w:rPr>
        <w:t xml:space="preserve"> </w:t>
      </w:r>
      <w:r>
        <w:t>there</w:t>
      </w:r>
      <w:r>
        <w:rPr>
          <w:spacing w:val="-14"/>
        </w:rPr>
        <w:t xml:space="preserve"> </w:t>
      </w:r>
      <w:r>
        <w:t>is</w:t>
      </w:r>
      <w:r>
        <w:rPr>
          <w:spacing w:val="-13"/>
        </w:rPr>
        <w:t xml:space="preserve"> </w:t>
      </w:r>
      <w:r>
        <w:t>an</w:t>
      </w:r>
      <w:r>
        <w:rPr>
          <w:spacing w:val="-14"/>
        </w:rPr>
        <w:t xml:space="preserve"> </w:t>
      </w:r>
      <w:r>
        <w:t>exemption</w:t>
      </w:r>
      <w:r>
        <w:rPr>
          <w:spacing w:val="-13"/>
        </w:rPr>
        <w:t xml:space="preserve"> </w:t>
      </w:r>
      <w:r>
        <w:t>from</w:t>
      </w:r>
      <w:r>
        <w:rPr>
          <w:spacing w:val="-14"/>
        </w:rPr>
        <w:t xml:space="preserve"> </w:t>
      </w:r>
      <w:r>
        <w:t>the</w:t>
      </w:r>
      <w:r>
        <w:rPr>
          <w:spacing w:val="-14"/>
        </w:rPr>
        <w:t xml:space="preserve"> </w:t>
      </w:r>
      <w:r>
        <w:t>fair</w:t>
      </w:r>
      <w:r>
        <w:rPr>
          <w:spacing w:val="-13"/>
        </w:rPr>
        <w:t xml:space="preserve"> </w:t>
      </w:r>
      <w:r>
        <w:t>comparison</w:t>
      </w:r>
      <w:r>
        <w:rPr>
          <w:spacing w:val="-14"/>
        </w:rPr>
        <w:t xml:space="preserve"> </w:t>
      </w:r>
      <w:r>
        <w:t>obligation</w:t>
      </w:r>
      <w:r>
        <w:rPr>
          <w:spacing w:val="-13"/>
        </w:rPr>
        <w:t xml:space="preserve"> </w:t>
      </w:r>
      <w:r>
        <w:t>would</w:t>
      </w:r>
      <w:r>
        <w:rPr>
          <w:spacing w:val="-14"/>
        </w:rPr>
        <w:t xml:space="preserve"> </w:t>
      </w:r>
      <w:r>
        <w:t>render the obligation to make a fair comparison inutile in the circumstances of this dispute.</w:t>
      </w:r>
    </w:p>
    <w:p w14:paraId="59863BC4" w14:textId="77777777" w:rsidR="00BD462C" w:rsidRDefault="00BD462C">
      <w:pPr>
        <w:pStyle w:val="BodyText"/>
        <w:spacing w:before="11"/>
        <w:rPr>
          <w:sz w:val="8"/>
        </w:rPr>
      </w:pPr>
    </w:p>
    <w:p w14:paraId="0DAFB42F" w14:textId="36FBAB87" w:rsidR="00BD462C" w:rsidRDefault="00033D0F" w:rsidP="00652F97">
      <w:pPr>
        <w:pStyle w:val="BodyText"/>
        <w:numPr>
          <w:ilvl w:val="0"/>
          <w:numId w:val="68"/>
        </w:numPr>
        <w:spacing w:before="56" w:line="360" w:lineRule="auto"/>
        <w:ind w:right="915"/>
        <w:jc w:val="both"/>
      </w:pPr>
      <w:bookmarkStart w:id="226" w:name="_bookmark196"/>
      <w:bookmarkEnd w:id="226"/>
      <w:r>
        <w:rPr>
          <w:position w:val="1"/>
        </w:rPr>
        <w:t xml:space="preserve">China incorrectly paraphrases the panel report in </w:t>
      </w:r>
      <w:r>
        <w:rPr>
          <w:i/>
          <w:position w:val="1"/>
        </w:rPr>
        <w:t xml:space="preserve">EU – Biodiesel (Argentina) </w:t>
      </w:r>
      <w:r>
        <w:rPr>
          <w:position w:val="1"/>
        </w:rPr>
        <w:t xml:space="preserve">as </w:t>
      </w:r>
      <w:r>
        <w:t>"</w:t>
      </w:r>
      <w:proofErr w:type="spellStart"/>
      <w:r>
        <w:t>conclud</w:t>
      </w:r>
      <w:proofErr w:type="spellEnd"/>
      <w:r>
        <w:t>[</w:t>
      </w:r>
      <w:proofErr w:type="spellStart"/>
      <w:r>
        <w:t>ing</w:t>
      </w:r>
      <w:proofErr w:type="spellEnd"/>
      <w:r>
        <w:t>] that a difference that is caused because of a methodology adopted in determining the normal value does not become subject to</w:t>
      </w:r>
      <w:r>
        <w:rPr>
          <w:spacing w:val="-2"/>
        </w:rPr>
        <w:t xml:space="preserve"> </w:t>
      </w:r>
      <w:r>
        <w:t>Article</w:t>
      </w:r>
      <w:r>
        <w:rPr>
          <w:spacing w:val="-3"/>
        </w:rPr>
        <w:t xml:space="preserve"> </w:t>
      </w:r>
      <w:r>
        <w:t>2.4</w:t>
      </w:r>
      <w:r>
        <w:rPr>
          <w:spacing w:val="-2"/>
        </w:rPr>
        <w:t xml:space="preserve"> </w:t>
      </w:r>
      <w:r>
        <w:t>because, while it might affect</w:t>
      </w:r>
      <w:r>
        <w:rPr>
          <w:spacing w:val="-3"/>
        </w:rPr>
        <w:t xml:space="preserve"> </w:t>
      </w:r>
      <w:r>
        <w:t>prices;</w:t>
      </w:r>
      <w:r>
        <w:rPr>
          <w:spacing w:val="-6"/>
        </w:rPr>
        <w:t xml:space="preserve"> </w:t>
      </w:r>
      <w:r>
        <w:t>it</w:t>
      </w:r>
      <w:r>
        <w:rPr>
          <w:spacing w:val="-3"/>
        </w:rPr>
        <w:t xml:space="preserve"> </w:t>
      </w:r>
      <w:r>
        <w:t>did</w:t>
      </w:r>
      <w:r>
        <w:rPr>
          <w:spacing w:val="-5"/>
        </w:rPr>
        <w:t xml:space="preserve"> </w:t>
      </w:r>
      <w:r>
        <w:t>not</w:t>
      </w:r>
      <w:r>
        <w:rPr>
          <w:spacing w:val="-3"/>
        </w:rPr>
        <w:t xml:space="preserve"> </w:t>
      </w:r>
      <w:r>
        <w:t>affect</w:t>
      </w:r>
      <w:r>
        <w:rPr>
          <w:spacing w:val="-3"/>
        </w:rPr>
        <w:t xml:space="preserve"> </w:t>
      </w:r>
      <w:r>
        <w:t>price</w:t>
      </w:r>
      <w:r>
        <w:rPr>
          <w:spacing w:val="-3"/>
        </w:rPr>
        <w:t xml:space="preserve"> </w:t>
      </w:r>
      <w:r>
        <w:t>comparability."</w:t>
      </w:r>
      <w:hyperlink w:anchor="_bookmark199" w:history="1">
        <w:r>
          <w:rPr>
            <w:vertAlign w:val="superscript"/>
          </w:rPr>
          <w:t>152</w:t>
        </w:r>
      </w:hyperlink>
      <w:r>
        <w:rPr>
          <w:spacing w:val="-3"/>
        </w:rPr>
        <w:t xml:space="preserve"> </w:t>
      </w:r>
      <w:r>
        <w:t>China</w:t>
      </w:r>
      <w:r>
        <w:rPr>
          <w:spacing w:val="-4"/>
        </w:rPr>
        <w:t xml:space="preserve"> </w:t>
      </w:r>
      <w:r>
        <w:t>observed</w:t>
      </w:r>
      <w:r>
        <w:rPr>
          <w:spacing w:val="-5"/>
        </w:rPr>
        <w:t xml:space="preserve"> </w:t>
      </w:r>
      <w:r>
        <w:t>in</w:t>
      </w:r>
      <w:r>
        <w:rPr>
          <w:spacing w:val="-5"/>
        </w:rPr>
        <w:t xml:space="preserve"> </w:t>
      </w:r>
      <w:r>
        <w:t>its</w:t>
      </w:r>
      <w:r>
        <w:rPr>
          <w:spacing w:val="-2"/>
        </w:rPr>
        <w:t xml:space="preserve"> </w:t>
      </w:r>
      <w:r>
        <w:t>footnote</w:t>
      </w:r>
      <w:r>
        <w:rPr>
          <w:spacing w:val="-3"/>
        </w:rPr>
        <w:t xml:space="preserve"> </w:t>
      </w:r>
      <w:r>
        <w:t>that</w:t>
      </w:r>
      <w:r>
        <w:rPr>
          <w:spacing w:val="-3"/>
        </w:rPr>
        <w:t xml:space="preserve"> </w:t>
      </w:r>
      <w:r>
        <w:t>"the Appellate Body expressed reservations about the Panel's reference to there being a general proposition but did not overrule the Panel as it did not consider it necessary to rule on this issue".</w:t>
      </w:r>
      <w:r>
        <w:rPr>
          <w:spacing w:val="-28"/>
        </w:rPr>
        <w:t xml:space="preserve"> </w:t>
      </w:r>
      <w:hyperlink w:anchor="_bookmark200" w:history="1">
        <w:r>
          <w:rPr>
            <w:vertAlign w:val="superscript"/>
          </w:rPr>
          <w:t>153</w:t>
        </w:r>
      </w:hyperlink>
      <w:r>
        <w:t xml:space="preserve"> In fact the Appellate Body expressly disagreed, stating:</w:t>
      </w:r>
    </w:p>
    <w:p w14:paraId="28A02AB8" w14:textId="77777777" w:rsidR="00BD462C" w:rsidRDefault="00033D0F">
      <w:pPr>
        <w:spacing w:before="155" w:line="276" w:lineRule="auto"/>
        <w:ind w:left="985" w:right="911"/>
        <w:jc w:val="both"/>
      </w:pPr>
      <w:r>
        <w:t>The</w:t>
      </w:r>
      <w:r>
        <w:rPr>
          <w:spacing w:val="-7"/>
        </w:rPr>
        <w:t xml:space="preserve"> </w:t>
      </w:r>
      <w:r>
        <w:t>Panel's</w:t>
      </w:r>
      <w:r>
        <w:rPr>
          <w:spacing w:val="-8"/>
        </w:rPr>
        <w:t xml:space="preserve"> </w:t>
      </w:r>
      <w:r>
        <w:t>statement,</w:t>
      </w:r>
      <w:r>
        <w:rPr>
          <w:spacing w:val="-5"/>
        </w:rPr>
        <w:t xml:space="preserve"> </w:t>
      </w:r>
      <w:r>
        <w:t>in</w:t>
      </w:r>
      <w:r>
        <w:rPr>
          <w:spacing w:val="-9"/>
        </w:rPr>
        <w:t xml:space="preserve"> </w:t>
      </w:r>
      <w:r>
        <w:t>which</w:t>
      </w:r>
      <w:r>
        <w:rPr>
          <w:spacing w:val="-9"/>
        </w:rPr>
        <w:t xml:space="preserve"> </w:t>
      </w:r>
      <w:r>
        <w:t>it</w:t>
      </w:r>
      <w:r>
        <w:rPr>
          <w:spacing w:val="-10"/>
        </w:rPr>
        <w:t xml:space="preserve"> </w:t>
      </w:r>
      <w:r>
        <w:t>referred</w:t>
      </w:r>
      <w:r>
        <w:rPr>
          <w:spacing w:val="-9"/>
        </w:rPr>
        <w:t xml:space="preserve"> </w:t>
      </w:r>
      <w:r>
        <w:t>to</w:t>
      </w:r>
      <w:r>
        <w:rPr>
          <w:spacing w:val="-4"/>
        </w:rPr>
        <w:t xml:space="preserve"> </w:t>
      </w:r>
      <w:r>
        <w:t>the</w:t>
      </w:r>
      <w:r>
        <w:rPr>
          <w:spacing w:val="-3"/>
        </w:rPr>
        <w:t xml:space="preserve"> </w:t>
      </w:r>
      <w:r>
        <w:t>"general</w:t>
      </w:r>
      <w:r>
        <w:rPr>
          <w:spacing w:val="-6"/>
        </w:rPr>
        <w:t xml:space="preserve"> </w:t>
      </w:r>
      <w:r>
        <w:t>proposition",</w:t>
      </w:r>
      <w:r>
        <w:rPr>
          <w:spacing w:val="-5"/>
        </w:rPr>
        <w:t xml:space="preserve"> </w:t>
      </w:r>
      <w:r>
        <w:t>merely</w:t>
      </w:r>
      <w:r>
        <w:rPr>
          <w:spacing w:val="-7"/>
        </w:rPr>
        <w:t xml:space="preserve"> </w:t>
      </w:r>
      <w:r>
        <w:t>expresses</w:t>
      </w:r>
      <w:r>
        <w:rPr>
          <w:spacing w:val="-8"/>
        </w:rPr>
        <w:t xml:space="preserve"> </w:t>
      </w:r>
      <w:r>
        <w:t xml:space="preserve">its </w:t>
      </w:r>
      <w:proofErr w:type="gramStart"/>
      <w:r>
        <w:t>understanding</w:t>
      </w:r>
      <w:r>
        <w:rPr>
          <w:spacing w:val="80"/>
        </w:rPr>
        <w:t xml:space="preserve">  </w:t>
      </w:r>
      <w:r>
        <w:t>of</w:t>
      </w:r>
      <w:proofErr w:type="gramEnd"/>
      <w:r>
        <w:rPr>
          <w:spacing w:val="80"/>
        </w:rPr>
        <w:t xml:space="preserve">  </w:t>
      </w:r>
      <w:r>
        <w:t>the</w:t>
      </w:r>
      <w:r>
        <w:rPr>
          <w:spacing w:val="80"/>
        </w:rPr>
        <w:t xml:space="preserve">  </w:t>
      </w:r>
      <w:r>
        <w:t>Appellate</w:t>
      </w:r>
      <w:r>
        <w:rPr>
          <w:spacing w:val="80"/>
        </w:rPr>
        <w:t xml:space="preserve">  </w:t>
      </w:r>
      <w:r>
        <w:t>Body's</w:t>
      </w:r>
      <w:r>
        <w:rPr>
          <w:spacing w:val="80"/>
        </w:rPr>
        <w:t xml:space="preserve">  </w:t>
      </w:r>
      <w:r>
        <w:t>findings</w:t>
      </w:r>
      <w:r>
        <w:rPr>
          <w:spacing w:val="80"/>
        </w:rPr>
        <w:t xml:space="preserve">  </w:t>
      </w:r>
      <w:r>
        <w:t>in</w:t>
      </w:r>
      <w:r>
        <w:rPr>
          <w:spacing w:val="80"/>
        </w:rPr>
        <w:t xml:space="preserve">  </w:t>
      </w:r>
      <w:r>
        <w:rPr>
          <w:i/>
        </w:rPr>
        <w:t>EC</w:t>
      </w:r>
      <w:r>
        <w:rPr>
          <w:i/>
          <w:spacing w:val="-3"/>
        </w:rPr>
        <w:t xml:space="preserve"> </w:t>
      </w:r>
      <w:r>
        <w:rPr>
          <w:i/>
        </w:rPr>
        <w:t>–</w:t>
      </w:r>
      <w:r>
        <w:rPr>
          <w:i/>
          <w:spacing w:val="-3"/>
        </w:rPr>
        <w:t xml:space="preserve"> </w:t>
      </w:r>
      <w:r>
        <w:rPr>
          <w:i/>
        </w:rPr>
        <w:t>Fasteners</w:t>
      </w:r>
      <w:r>
        <w:rPr>
          <w:i/>
          <w:spacing w:val="-3"/>
        </w:rPr>
        <w:t xml:space="preserve"> </w:t>
      </w:r>
      <w:r>
        <w:rPr>
          <w:i/>
        </w:rPr>
        <w:t>(China) (Article</w:t>
      </w:r>
      <w:r>
        <w:rPr>
          <w:i/>
          <w:spacing w:val="-2"/>
        </w:rPr>
        <w:t xml:space="preserve"> </w:t>
      </w:r>
      <w:r>
        <w:rPr>
          <w:i/>
        </w:rPr>
        <w:t>21.5</w:t>
      </w:r>
      <w:r>
        <w:rPr>
          <w:i/>
          <w:spacing w:val="-4"/>
        </w:rPr>
        <w:t xml:space="preserve"> </w:t>
      </w:r>
      <w:r>
        <w:rPr>
          <w:i/>
        </w:rPr>
        <w:t>—</w:t>
      </w:r>
      <w:r>
        <w:rPr>
          <w:i/>
          <w:spacing w:val="-1"/>
        </w:rPr>
        <w:t xml:space="preserve"> </w:t>
      </w:r>
      <w:r>
        <w:rPr>
          <w:i/>
        </w:rPr>
        <w:t>China)</w:t>
      </w:r>
      <w:r>
        <w:t>.</w:t>
      </w:r>
      <w:r>
        <w:rPr>
          <w:spacing w:val="24"/>
        </w:rPr>
        <w:t xml:space="preserve"> </w:t>
      </w:r>
      <w:r>
        <w:t>We</w:t>
      </w:r>
      <w:r>
        <w:rPr>
          <w:spacing w:val="22"/>
        </w:rPr>
        <w:t xml:space="preserve"> </w:t>
      </w:r>
      <w:r>
        <w:t>do not</w:t>
      </w:r>
      <w:r>
        <w:rPr>
          <w:spacing w:val="24"/>
        </w:rPr>
        <w:t xml:space="preserve"> </w:t>
      </w:r>
      <w:r>
        <w:t>share</w:t>
      </w:r>
      <w:r>
        <w:rPr>
          <w:spacing w:val="22"/>
        </w:rPr>
        <w:t xml:space="preserve"> </w:t>
      </w:r>
      <w:r>
        <w:t>this</w:t>
      </w:r>
      <w:r>
        <w:rPr>
          <w:spacing w:val="22"/>
        </w:rPr>
        <w:t xml:space="preserve"> </w:t>
      </w:r>
      <w:r>
        <w:t>understanding.</w:t>
      </w:r>
      <w:r>
        <w:rPr>
          <w:spacing w:val="24"/>
        </w:rPr>
        <w:t xml:space="preserve"> </w:t>
      </w:r>
      <w:r>
        <w:t>The</w:t>
      </w:r>
      <w:r>
        <w:rPr>
          <w:spacing w:val="22"/>
        </w:rPr>
        <w:t xml:space="preserve"> </w:t>
      </w:r>
      <w:r>
        <w:t>Appellate</w:t>
      </w:r>
      <w:r>
        <w:rPr>
          <w:spacing w:val="22"/>
        </w:rPr>
        <w:t xml:space="preserve"> </w:t>
      </w:r>
      <w:r>
        <w:t>Body</w:t>
      </w:r>
      <w:r>
        <w:rPr>
          <w:spacing w:val="23"/>
        </w:rPr>
        <w:t xml:space="preserve"> </w:t>
      </w:r>
      <w:r>
        <w:t xml:space="preserve">report in </w:t>
      </w:r>
      <w:r>
        <w:rPr>
          <w:i/>
        </w:rPr>
        <w:t>EC</w:t>
      </w:r>
      <w:r>
        <w:rPr>
          <w:i/>
          <w:spacing w:val="-2"/>
        </w:rPr>
        <w:t xml:space="preserve"> </w:t>
      </w:r>
      <w:r>
        <w:rPr>
          <w:i/>
        </w:rPr>
        <w:t>–</w:t>
      </w:r>
      <w:r>
        <w:rPr>
          <w:i/>
          <w:spacing w:val="-2"/>
        </w:rPr>
        <w:t xml:space="preserve"> </w:t>
      </w:r>
      <w:r>
        <w:rPr>
          <w:i/>
        </w:rPr>
        <w:t>Fasteners</w:t>
      </w:r>
      <w:r>
        <w:rPr>
          <w:i/>
          <w:spacing w:val="-2"/>
        </w:rPr>
        <w:t xml:space="preserve"> </w:t>
      </w:r>
      <w:r>
        <w:rPr>
          <w:i/>
        </w:rPr>
        <w:t>(China)</w:t>
      </w:r>
      <w:r>
        <w:rPr>
          <w:i/>
          <w:spacing w:val="-2"/>
        </w:rPr>
        <w:t xml:space="preserve"> </w:t>
      </w:r>
      <w:r>
        <w:rPr>
          <w:i/>
        </w:rPr>
        <w:t>(Article</w:t>
      </w:r>
      <w:r>
        <w:rPr>
          <w:i/>
          <w:spacing w:val="-2"/>
        </w:rPr>
        <w:t xml:space="preserve"> </w:t>
      </w:r>
      <w:r>
        <w:rPr>
          <w:i/>
        </w:rPr>
        <w:t>21.5</w:t>
      </w:r>
      <w:r>
        <w:rPr>
          <w:i/>
          <w:spacing w:val="-13"/>
        </w:rPr>
        <w:t xml:space="preserve"> </w:t>
      </w:r>
      <w:r>
        <w:rPr>
          <w:i/>
        </w:rPr>
        <w:t>–</w:t>
      </w:r>
      <w:r>
        <w:rPr>
          <w:i/>
          <w:spacing w:val="-11"/>
        </w:rPr>
        <w:t xml:space="preserve"> </w:t>
      </w:r>
      <w:r>
        <w:rPr>
          <w:i/>
        </w:rPr>
        <w:t>China)</w:t>
      </w:r>
      <w:r>
        <w:rPr>
          <w:i/>
          <w:spacing w:val="-12"/>
        </w:rPr>
        <w:t xml:space="preserve"> </w:t>
      </w:r>
      <w:r>
        <w:t>does</w:t>
      </w:r>
      <w:r>
        <w:rPr>
          <w:spacing w:val="-12"/>
        </w:rPr>
        <w:t xml:space="preserve"> </w:t>
      </w:r>
      <w:r>
        <w:t>not</w:t>
      </w:r>
      <w:r>
        <w:rPr>
          <w:spacing w:val="-14"/>
        </w:rPr>
        <w:t xml:space="preserve"> </w:t>
      </w:r>
      <w:r>
        <w:t>contain</w:t>
      </w:r>
      <w:r>
        <w:rPr>
          <w:spacing w:val="-13"/>
        </w:rPr>
        <w:t xml:space="preserve"> </w:t>
      </w:r>
      <w:r>
        <w:t>any</w:t>
      </w:r>
      <w:r>
        <w:rPr>
          <w:spacing w:val="-11"/>
        </w:rPr>
        <w:t xml:space="preserve"> </w:t>
      </w:r>
      <w:r>
        <w:t>such</w:t>
      </w:r>
      <w:r>
        <w:rPr>
          <w:spacing w:val="-8"/>
        </w:rPr>
        <w:t xml:space="preserve"> </w:t>
      </w:r>
      <w:r>
        <w:t>"general</w:t>
      </w:r>
      <w:r>
        <w:rPr>
          <w:spacing w:val="-10"/>
        </w:rPr>
        <w:t xml:space="preserve"> </w:t>
      </w:r>
      <w:r>
        <w:t>proposition".</w:t>
      </w:r>
    </w:p>
    <w:p w14:paraId="23939ECD" w14:textId="77777777" w:rsidR="00BD462C" w:rsidRDefault="00BD462C">
      <w:pPr>
        <w:pStyle w:val="BodyText"/>
        <w:spacing w:before="6"/>
        <w:rPr>
          <w:sz w:val="19"/>
        </w:rPr>
      </w:pPr>
    </w:p>
    <w:p w14:paraId="713FDCA9" w14:textId="77777777" w:rsidR="00BD462C" w:rsidRDefault="00033D0F">
      <w:pPr>
        <w:spacing w:line="276" w:lineRule="auto"/>
        <w:ind w:left="984" w:right="916"/>
        <w:jc w:val="both"/>
      </w:pPr>
      <w:r>
        <w:t>[…] Moreover, we would have serious reservations regarding what the Panel referred to as the</w:t>
      </w:r>
      <w:r>
        <w:rPr>
          <w:spacing w:val="-13"/>
        </w:rPr>
        <w:t xml:space="preserve"> </w:t>
      </w:r>
      <w:r>
        <w:t>"general</w:t>
      </w:r>
      <w:r>
        <w:rPr>
          <w:spacing w:val="-12"/>
        </w:rPr>
        <w:t xml:space="preserve"> </w:t>
      </w:r>
      <w:r>
        <w:t>proposition".</w:t>
      </w:r>
      <w:r>
        <w:rPr>
          <w:spacing w:val="-13"/>
        </w:rPr>
        <w:t xml:space="preserve"> </w:t>
      </w:r>
      <w:r>
        <w:t>The</w:t>
      </w:r>
      <w:r>
        <w:rPr>
          <w:spacing w:val="-12"/>
        </w:rPr>
        <w:t xml:space="preserve"> </w:t>
      </w:r>
      <w:r>
        <w:t>text</w:t>
      </w:r>
      <w:r>
        <w:rPr>
          <w:spacing w:val="-13"/>
        </w:rPr>
        <w:t xml:space="preserve"> </w:t>
      </w:r>
      <w:r>
        <w:t>of</w:t>
      </w:r>
      <w:r>
        <w:rPr>
          <w:spacing w:val="-9"/>
        </w:rPr>
        <w:t xml:space="preserve"> </w:t>
      </w:r>
      <w:r>
        <w:t>Article</w:t>
      </w:r>
      <w:r>
        <w:rPr>
          <w:spacing w:val="-2"/>
        </w:rPr>
        <w:t xml:space="preserve"> </w:t>
      </w:r>
      <w:r>
        <w:t>2.4</w:t>
      </w:r>
      <w:r>
        <w:rPr>
          <w:spacing w:val="-13"/>
        </w:rPr>
        <w:t xml:space="preserve"> </w:t>
      </w:r>
      <w:r>
        <w:t>itself</w:t>
      </w:r>
      <w:r>
        <w:rPr>
          <w:spacing w:val="-12"/>
        </w:rPr>
        <w:t xml:space="preserve"> </w:t>
      </w:r>
      <w:r>
        <w:t>makes</w:t>
      </w:r>
      <w:r>
        <w:rPr>
          <w:spacing w:val="-13"/>
        </w:rPr>
        <w:t xml:space="preserve"> </w:t>
      </w:r>
      <w:r>
        <w:t>clear</w:t>
      </w:r>
      <w:r>
        <w:rPr>
          <w:spacing w:val="-12"/>
        </w:rPr>
        <w:t xml:space="preserve"> </w:t>
      </w:r>
      <w:r>
        <w:t>that</w:t>
      </w:r>
      <w:r>
        <w:rPr>
          <w:spacing w:val="-13"/>
        </w:rPr>
        <w:t xml:space="preserve"> </w:t>
      </w:r>
      <w:r>
        <w:t>"[d]</w:t>
      </w:r>
      <w:proofErr w:type="spellStart"/>
      <w:r>
        <w:t>ue</w:t>
      </w:r>
      <w:proofErr w:type="spellEnd"/>
      <w:r>
        <w:rPr>
          <w:spacing w:val="-11"/>
        </w:rPr>
        <w:t xml:space="preserve"> </w:t>
      </w:r>
      <w:r>
        <w:t>allowance</w:t>
      </w:r>
      <w:r>
        <w:rPr>
          <w:spacing w:val="-12"/>
        </w:rPr>
        <w:t xml:space="preserve"> </w:t>
      </w:r>
      <w:r>
        <w:t xml:space="preserve">shall be made in each case, on its merits". This indicates that the need to </w:t>
      </w:r>
      <w:proofErr w:type="gramStart"/>
      <w:r>
        <w:t>make due</w:t>
      </w:r>
      <w:proofErr w:type="gramEnd"/>
      <w:r>
        <w:t xml:space="preserve"> allowance must be assessed in light of the specific circumstances of each case.</w:t>
      </w:r>
      <w:r>
        <w:rPr>
          <w:spacing w:val="-16"/>
        </w:rPr>
        <w:t xml:space="preserve"> </w:t>
      </w:r>
      <w:hyperlink w:anchor="_bookmark201" w:history="1">
        <w:r>
          <w:rPr>
            <w:vertAlign w:val="superscript"/>
          </w:rPr>
          <w:t>154</w:t>
        </w:r>
      </w:hyperlink>
    </w:p>
    <w:p w14:paraId="3A013675" w14:textId="77777777" w:rsidR="00BD462C" w:rsidRDefault="00BD462C">
      <w:pPr>
        <w:pStyle w:val="BodyText"/>
        <w:rPr>
          <w:sz w:val="20"/>
        </w:rPr>
      </w:pPr>
    </w:p>
    <w:p w14:paraId="5B92F21B" w14:textId="77777777" w:rsidR="00BD462C" w:rsidRDefault="00BD462C">
      <w:pPr>
        <w:pStyle w:val="BodyText"/>
        <w:rPr>
          <w:sz w:val="20"/>
        </w:rPr>
      </w:pPr>
    </w:p>
    <w:p w14:paraId="2F5EDA37" w14:textId="77777777" w:rsidR="00BD462C" w:rsidRDefault="00BD462C">
      <w:pPr>
        <w:pStyle w:val="BodyText"/>
        <w:rPr>
          <w:sz w:val="20"/>
        </w:rPr>
      </w:pPr>
    </w:p>
    <w:p w14:paraId="64E632BD" w14:textId="119B9CBE" w:rsidR="00BD462C" w:rsidRDefault="009A6330">
      <w:pPr>
        <w:pStyle w:val="BodyText"/>
        <w:spacing w:before="4"/>
        <w:rPr>
          <w:sz w:val="29"/>
        </w:rPr>
      </w:pPr>
      <w:r>
        <w:rPr>
          <w:noProof/>
        </w:rPr>
        <mc:AlternateContent>
          <mc:Choice Requires="wps">
            <w:drawing>
              <wp:anchor distT="0" distB="0" distL="0" distR="0" simplePos="0" relativeHeight="487991808" behindDoc="1" locked="0" layoutInCell="1" allowOverlap="1" wp14:anchorId="19D8D894" wp14:editId="6CB201F9">
                <wp:simplePos x="0" y="0"/>
                <wp:positionH relativeFrom="page">
                  <wp:posOffset>812800</wp:posOffset>
                </wp:positionH>
                <wp:positionV relativeFrom="paragraph">
                  <wp:posOffset>231189</wp:posOffset>
                </wp:positionV>
                <wp:extent cx="1828800" cy="8890"/>
                <wp:effectExtent l="0" t="0" r="0" b="0"/>
                <wp:wrapTopAndBottom/>
                <wp:docPr id="1406" name="docshape7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6CCA13" id="docshape712" o:spid="_x0000_s1026" alt="&quot;&quot;" style="position:absolute;margin-left:64pt;margin-top:18.2pt;width:2in;height:.7pt;z-index:-15324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" fillcolor="black" stroked="f">
                <w10:wrap type="topAndBottom" anchorx="page"/>
              </v:rect>
            </w:pict>
          </mc:Fallback>
        </mc:AlternateContent>
      </w:r>
    </w:p>
    <w:p w14:paraId="6E3576CA" w14:textId="77777777" w:rsidR="00BD462C" w:rsidRDefault="00033D0F">
      <w:pPr>
        <w:spacing w:before="107"/>
        <w:ind w:left="135"/>
        <w:rPr>
          <w:sz w:val="18"/>
        </w:rPr>
      </w:pPr>
      <w:bookmarkStart w:id="227" w:name="_bookmark197"/>
      <w:bookmarkEnd w:id="227"/>
      <w:r>
        <w:rPr>
          <w:position w:val="5"/>
          <w:sz w:val="12"/>
        </w:rPr>
        <w:t>150</w:t>
      </w:r>
      <w:r>
        <w:rPr>
          <w:spacing w:val="15"/>
          <w:position w:val="5"/>
          <w:sz w:val="12"/>
        </w:rPr>
        <w:t xml:space="preserve"> </w:t>
      </w:r>
      <w:r>
        <w:rPr>
          <w:sz w:val="18"/>
        </w:rPr>
        <w:t>Appellate</w:t>
      </w:r>
      <w:r>
        <w:rPr>
          <w:spacing w:val="-8"/>
          <w:sz w:val="18"/>
        </w:rPr>
        <w:t xml:space="preserve"> </w:t>
      </w:r>
      <w:r>
        <w:rPr>
          <w:sz w:val="18"/>
        </w:rPr>
        <w:t>Body</w:t>
      </w:r>
      <w:r>
        <w:rPr>
          <w:spacing w:val="-5"/>
          <w:sz w:val="18"/>
        </w:rPr>
        <w:t xml:space="preserve"> </w:t>
      </w:r>
      <w:r>
        <w:rPr>
          <w:sz w:val="18"/>
        </w:rPr>
        <w:t>Report,</w:t>
      </w:r>
      <w:r>
        <w:rPr>
          <w:spacing w:val="-1"/>
          <w:sz w:val="18"/>
        </w:rPr>
        <w:t xml:space="preserve"> </w:t>
      </w:r>
      <w:r>
        <w:rPr>
          <w:i/>
          <w:sz w:val="18"/>
        </w:rPr>
        <w:t>EU</w:t>
      </w:r>
      <w:r>
        <w:rPr>
          <w:i/>
          <w:spacing w:val="-6"/>
          <w:sz w:val="18"/>
        </w:rPr>
        <w:t xml:space="preserve"> </w:t>
      </w:r>
      <w:r>
        <w:rPr>
          <w:i/>
          <w:sz w:val="18"/>
        </w:rPr>
        <w:t>–</w:t>
      </w:r>
      <w:r>
        <w:rPr>
          <w:i/>
          <w:spacing w:val="-3"/>
          <w:sz w:val="18"/>
        </w:rPr>
        <w:t xml:space="preserve"> </w:t>
      </w:r>
      <w:r>
        <w:rPr>
          <w:i/>
          <w:sz w:val="18"/>
        </w:rPr>
        <w:t>Fatty</w:t>
      </w:r>
      <w:r>
        <w:rPr>
          <w:i/>
          <w:spacing w:val="-4"/>
          <w:sz w:val="18"/>
        </w:rPr>
        <w:t xml:space="preserve"> </w:t>
      </w:r>
      <w:r>
        <w:rPr>
          <w:i/>
          <w:sz w:val="18"/>
        </w:rPr>
        <w:t>Alcohols</w:t>
      </w:r>
      <w:r>
        <w:rPr>
          <w:i/>
          <w:spacing w:val="-3"/>
          <w:sz w:val="18"/>
        </w:rPr>
        <w:t xml:space="preserve"> </w:t>
      </w:r>
      <w:r>
        <w:rPr>
          <w:i/>
          <w:sz w:val="18"/>
        </w:rPr>
        <w:t>(Indonesia)</w:t>
      </w:r>
      <w:r>
        <w:rPr>
          <w:sz w:val="18"/>
        </w:rPr>
        <w:t>,</w:t>
      </w:r>
      <w:r>
        <w:rPr>
          <w:spacing w:val="-1"/>
          <w:sz w:val="18"/>
        </w:rPr>
        <w:t xml:space="preserve"> </w:t>
      </w:r>
      <w:r>
        <w:rPr>
          <w:sz w:val="18"/>
        </w:rPr>
        <w:t>para.</w:t>
      </w:r>
      <w:r>
        <w:rPr>
          <w:spacing w:val="3"/>
          <w:sz w:val="18"/>
        </w:rPr>
        <w:t xml:space="preserve"> </w:t>
      </w:r>
      <w:r>
        <w:rPr>
          <w:spacing w:val="-4"/>
          <w:sz w:val="18"/>
        </w:rPr>
        <w:t>5.20.</w:t>
      </w:r>
    </w:p>
    <w:p w14:paraId="141B266F" w14:textId="77777777" w:rsidR="00BD462C" w:rsidRDefault="00033D0F">
      <w:pPr>
        <w:spacing w:before="1"/>
        <w:ind w:left="135"/>
        <w:rPr>
          <w:sz w:val="18"/>
        </w:rPr>
      </w:pPr>
      <w:bookmarkStart w:id="228" w:name="_bookmark198"/>
      <w:bookmarkEnd w:id="228"/>
      <w:r>
        <w:rPr>
          <w:position w:val="5"/>
          <w:sz w:val="12"/>
        </w:rPr>
        <w:t>151</w:t>
      </w:r>
      <w:r>
        <w:rPr>
          <w:spacing w:val="13"/>
          <w:position w:val="5"/>
          <w:sz w:val="12"/>
        </w:rPr>
        <w:t xml:space="preserve"> </w:t>
      </w:r>
      <w:r>
        <w:rPr>
          <w:sz w:val="18"/>
        </w:rPr>
        <w:t>Panel</w:t>
      </w:r>
      <w:r>
        <w:rPr>
          <w:spacing w:val="-4"/>
          <w:sz w:val="18"/>
        </w:rPr>
        <w:t xml:space="preserve"> </w:t>
      </w:r>
      <w:r>
        <w:rPr>
          <w:sz w:val="18"/>
        </w:rPr>
        <w:t>Report,</w:t>
      </w:r>
      <w:r>
        <w:rPr>
          <w:spacing w:val="-8"/>
          <w:sz w:val="18"/>
        </w:rPr>
        <w:t xml:space="preserve"> </w:t>
      </w:r>
      <w:r>
        <w:rPr>
          <w:i/>
          <w:sz w:val="18"/>
        </w:rPr>
        <w:t>Egypt</w:t>
      </w:r>
      <w:r>
        <w:rPr>
          <w:i/>
          <w:spacing w:val="-1"/>
          <w:sz w:val="18"/>
        </w:rPr>
        <w:t xml:space="preserve"> </w:t>
      </w:r>
      <w:r>
        <w:rPr>
          <w:i/>
          <w:sz w:val="18"/>
        </w:rPr>
        <w:t>–</w:t>
      </w:r>
      <w:r>
        <w:rPr>
          <w:i/>
          <w:spacing w:val="-5"/>
          <w:sz w:val="18"/>
        </w:rPr>
        <w:t xml:space="preserve"> </w:t>
      </w:r>
      <w:r>
        <w:rPr>
          <w:i/>
          <w:sz w:val="18"/>
        </w:rPr>
        <w:t>Steel</w:t>
      </w:r>
      <w:r>
        <w:rPr>
          <w:i/>
          <w:spacing w:val="-5"/>
          <w:sz w:val="18"/>
        </w:rPr>
        <w:t xml:space="preserve"> </w:t>
      </w:r>
      <w:r>
        <w:rPr>
          <w:i/>
          <w:sz w:val="18"/>
        </w:rPr>
        <w:t>Rebar</w:t>
      </w:r>
      <w:r>
        <w:rPr>
          <w:sz w:val="18"/>
        </w:rPr>
        <w:t>,</w:t>
      </w:r>
      <w:r>
        <w:rPr>
          <w:spacing w:val="2"/>
          <w:sz w:val="18"/>
        </w:rPr>
        <w:t xml:space="preserve"> </w:t>
      </w:r>
      <w:r>
        <w:rPr>
          <w:sz w:val="18"/>
        </w:rPr>
        <w:t>para. 7.352.</w:t>
      </w:r>
      <w:r>
        <w:rPr>
          <w:spacing w:val="-4"/>
          <w:sz w:val="18"/>
        </w:rPr>
        <w:t xml:space="preserve"> </w:t>
      </w:r>
      <w:r>
        <w:rPr>
          <w:sz w:val="18"/>
        </w:rPr>
        <w:t>(</w:t>
      </w:r>
      <w:proofErr w:type="gramStart"/>
      <w:r>
        <w:rPr>
          <w:sz w:val="18"/>
        </w:rPr>
        <w:t>emphasis</w:t>
      </w:r>
      <w:proofErr w:type="gramEnd"/>
      <w:r>
        <w:rPr>
          <w:spacing w:val="-1"/>
          <w:sz w:val="18"/>
        </w:rPr>
        <w:t xml:space="preserve"> </w:t>
      </w:r>
      <w:r>
        <w:rPr>
          <w:spacing w:val="-2"/>
          <w:sz w:val="18"/>
        </w:rPr>
        <w:t>added)</w:t>
      </w:r>
    </w:p>
    <w:p w14:paraId="709E3E52" w14:textId="77777777" w:rsidR="00BD462C" w:rsidRDefault="00033D0F">
      <w:pPr>
        <w:spacing w:before="1"/>
        <w:ind w:left="135"/>
        <w:rPr>
          <w:sz w:val="18"/>
        </w:rPr>
      </w:pPr>
      <w:bookmarkStart w:id="229" w:name="_bookmark199"/>
      <w:bookmarkEnd w:id="229"/>
      <w:r>
        <w:rPr>
          <w:position w:val="5"/>
          <w:sz w:val="12"/>
        </w:rPr>
        <w:t>152</w:t>
      </w:r>
      <w:r>
        <w:rPr>
          <w:spacing w:val="14"/>
          <w:position w:val="5"/>
          <w:sz w:val="12"/>
        </w:rPr>
        <w:t xml:space="preserve"> </w:t>
      </w:r>
      <w:r>
        <w:rPr>
          <w:sz w:val="18"/>
        </w:rPr>
        <w:t>China's</w:t>
      </w:r>
      <w:r>
        <w:rPr>
          <w:spacing w:val="-4"/>
          <w:sz w:val="18"/>
        </w:rPr>
        <w:t xml:space="preserve"> </w:t>
      </w:r>
      <w:r>
        <w:rPr>
          <w:sz w:val="18"/>
        </w:rPr>
        <w:t>first</w:t>
      </w:r>
      <w:r>
        <w:rPr>
          <w:spacing w:val="-3"/>
          <w:sz w:val="18"/>
        </w:rPr>
        <w:t xml:space="preserve"> </w:t>
      </w:r>
      <w:r>
        <w:rPr>
          <w:sz w:val="18"/>
        </w:rPr>
        <w:t>written</w:t>
      </w:r>
      <w:r>
        <w:rPr>
          <w:spacing w:val="-5"/>
          <w:sz w:val="18"/>
        </w:rPr>
        <w:t xml:space="preserve"> </w:t>
      </w:r>
      <w:r>
        <w:rPr>
          <w:sz w:val="18"/>
        </w:rPr>
        <w:t>submission,</w:t>
      </w:r>
      <w:r>
        <w:rPr>
          <w:spacing w:val="3"/>
          <w:sz w:val="18"/>
        </w:rPr>
        <w:t xml:space="preserve"> </w:t>
      </w:r>
      <w:r>
        <w:rPr>
          <w:sz w:val="18"/>
        </w:rPr>
        <w:t>para.</w:t>
      </w:r>
      <w:r>
        <w:rPr>
          <w:spacing w:val="2"/>
          <w:sz w:val="18"/>
        </w:rPr>
        <w:t xml:space="preserve"> </w:t>
      </w:r>
      <w:r>
        <w:rPr>
          <w:sz w:val="18"/>
        </w:rPr>
        <w:t>812</w:t>
      </w:r>
      <w:r>
        <w:rPr>
          <w:spacing w:val="-10"/>
          <w:sz w:val="18"/>
        </w:rPr>
        <w:t xml:space="preserve"> </w:t>
      </w:r>
      <w:r>
        <w:rPr>
          <w:sz w:val="18"/>
        </w:rPr>
        <w:t>(referring</w:t>
      </w:r>
      <w:r>
        <w:rPr>
          <w:spacing w:val="-4"/>
          <w:sz w:val="18"/>
        </w:rPr>
        <w:t xml:space="preserve"> </w:t>
      </w:r>
      <w:r>
        <w:rPr>
          <w:sz w:val="18"/>
        </w:rPr>
        <w:t>to</w:t>
      </w:r>
      <w:r>
        <w:rPr>
          <w:spacing w:val="-5"/>
          <w:sz w:val="18"/>
        </w:rPr>
        <w:t xml:space="preserve"> </w:t>
      </w:r>
      <w:r>
        <w:rPr>
          <w:sz w:val="18"/>
        </w:rPr>
        <w:t>Panel</w:t>
      </w:r>
      <w:r>
        <w:rPr>
          <w:spacing w:val="-3"/>
          <w:sz w:val="18"/>
        </w:rPr>
        <w:t xml:space="preserve"> </w:t>
      </w:r>
      <w:r>
        <w:rPr>
          <w:sz w:val="18"/>
        </w:rPr>
        <w:t>Report,</w:t>
      </w:r>
      <w:r>
        <w:rPr>
          <w:spacing w:val="-3"/>
          <w:sz w:val="18"/>
        </w:rPr>
        <w:t xml:space="preserve"> </w:t>
      </w:r>
      <w:r>
        <w:rPr>
          <w:i/>
          <w:sz w:val="18"/>
        </w:rPr>
        <w:t>EU</w:t>
      </w:r>
      <w:r>
        <w:rPr>
          <w:i/>
          <w:spacing w:val="-7"/>
          <w:sz w:val="18"/>
        </w:rPr>
        <w:t xml:space="preserve"> </w:t>
      </w:r>
      <w:r>
        <w:rPr>
          <w:i/>
          <w:sz w:val="18"/>
        </w:rPr>
        <w:t>–</w:t>
      </w:r>
      <w:r>
        <w:rPr>
          <w:i/>
          <w:spacing w:val="-4"/>
          <w:sz w:val="18"/>
        </w:rPr>
        <w:t xml:space="preserve"> </w:t>
      </w:r>
      <w:r>
        <w:rPr>
          <w:i/>
          <w:sz w:val="18"/>
        </w:rPr>
        <w:t>Biodiesel</w:t>
      </w:r>
      <w:r>
        <w:rPr>
          <w:i/>
          <w:spacing w:val="-8"/>
          <w:sz w:val="18"/>
        </w:rPr>
        <w:t xml:space="preserve"> </w:t>
      </w:r>
      <w:r>
        <w:rPr>
          <w:i/>
          <w:sz w:val="18"/>
        </w:rPr>
        <w:t>(Argentina)</w:t>
      </w:r>
      <w:r>
        <w:rPr>
          <w:sz w:val="18"/>
        </w:rPr>
        <w:t>,</w:t>
      </w:r>
      <w:r>
        <w:rPr>
          <w:spacing w:val="-2"/>
          <w:sz w:val="18"/>
        </w:rPr>
        <w:t xml:space="preserve"> </w:t>
      </w:r>
      <w:r>
        <w:rPr>
          <w:sz w:val="18"/>
        </w:rPr>
        <w:t>para.</w:t>
      </w:r>
      <w:r>
        <w:rPr>
          <w:spacing w:val="-3"/>
          <w:sz w:val="18"/>
        </w:rPr>
        <w:t xml:space="preserve"> </w:t>
      </w:r>
      <w:r>
        <w:rPr>
          <w:spacing w:val="-2"/>
          <w:sz w:val="18"/>
        </w:rPr>
        <w:t>7.302).</w:t>
      </w:r>
    </w:p>
    <w:p w14:paraId="01C9D35E" w14:textId="77777777" w:rsidR="00BD462C" w:rsidRDefault="00033D0F">
      <w:pPr>
        <w:spacing w:before="1"/>
        <w:ind w:left="135"/>
        <w:rPr>
          <w:sz w:val="18"/>
        </w:rPr>
      </w:pPr>
      <w:bookmarkStart w:id="230" w:name="_bookmark200"/>
      <w:bookmarkEnd w:id="230"/>
      <w:r>
        <w:rPr>
          <w:position w:val="5"/>
          <w:sz w:val="12"/>
        </w:rPr>
        <w:t>153</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para. 812,</w:t>
      </w:r>
      <w:r>
        <w:rPr>
          <w:spacing w:val="-4"/>
          <w:sz w:val="18"/>
        </w:rPr>
        <w:t xml:space="preserve"> </w:t>
      </w:r>
      <w:r>
        <w:rPr>
          <w:sz w:val="18"/>
        </w:rPr>
        <w:t>footnote</w:t>
      </w:r>
      <w:r>
        <w:rPr>
          <w:spacing w:val="-6"/>
          <w:sz w:val="18"/>
        </w:rPr>
        <w:t xml:space="preserve"> </w:t>
      </w:r>
      <w:r>
        <w:rPr>
          <w:spacing w:val="-4"/>
          <w:sz w:val="18"/>
        </w:rPr>
        <w:t>817.</w:t>
      </w:r>
    </w:p>
    <w:p w14:paraId="36BE6F20" w14:textId="77777777" w:rsidR="00BD462C" w:rsidRDefault="00033D0F">
      <w:pPr>
        <w:spacing w:before="1"/>
        <w:ind w:left="135"/>
        <w:rPr>
          <w:sz w:val="18"/>
        </w:rPr>
      </w:pPr>
      <w:bookmarkStart w:id="231" w:name="_bookmark201"/>
      <w:bookmarkEnd w:id="231"/>
      <w:r>
        <w:rPr>
          <w:position w:val="5"/>
          <w:sz w:val="12"/>
        </w:rPr>
        <w:t>154</w:t>
      </w:r>
      <w:r>
        <w:rPr>
          <w:spacing w:val="14"/>
          <w:position w:val="5"/>
          <w:sz w:val="12"/>
        </w:rPr>
        <w:t xml:space="preserve"> </w:t>
      </w:r>
      <w:r>
        <w:rPr>
          <w:sz w:val="18"/>
        </w:rPr>
        <w:t>Appellate</w:t>
      </w:r>
      <w:r>
        <w:rPr>
          <w:spacing w:val="-9"/>
          <w:sz w:val="18"/>
        </w:rPr>
        <w:t xml:space="preserve"> </w:t>
      </w:r>
      <w:r>
        <w:rPr>
          <w:sz w:val="18"/>
        </w:rPr>
        <w:t>Body</w:t>
      </w:r>
      <w:r>
        <w:rPr>
          <w:spacing w:val="-6"/>
          <w:sz w:val="18"/>
        </w:rPr>
        <w:t xml:space="preserve"> </w:t>
      </w:r>
      <w:r>
        <w:rPr>
          <w:sz w:val="18"/>
        </w:rPr>
        <w:t>Report,</w:t>
      </w:r>
      <w:r>
        <w:rPr>
          <w:spacing w:val="-3"/>
          <w:sz w:val="18"/>
        </w:rPr>
        <w:t xml:space="preserve"> </w:t>
      </w:r>
      <w:r>
        <w:rPr>
          <w:i/>
          <w:sz w:val="18"/>
        </w:rPr>
        <w:t>EU</w:t>
      </w:r>
      <w:r>
        <w:rPr>
          <w:i/>
          <w:spacing w:val="-7"/>
          <w:sz w:val="18"/>
        </w:rPr>
        <w:t xml:space="preserve"> </w:t>
      </w:r>
      <w:r>
        <w:rPr>
          <w:i/>
          <w:sz w:val="18"/>
        </w:rPr>
        <w:t>–</w:t>
      </w:r>
      <w:r>
        <w:rPr>
          <w:i/>
          <w:spacing w:val="-4"/>
          <w:sz w:val="18"/>
        </w:rPr>
        <w:t xml:space="preserve"> </w:t>
      </w:r>
      <w:r>
        <w:rPr>
          <w:i/>
          <w:sz w:val="18"/>
        </w:rPr>
        <w:t>Biodiesel</w:t>
      </w:r>
      <w:r>
        <w:rPr>
          <w:i/>
          <w:spacing w:val="-4"/>
          <w:sz w:val="18"/>
        </w:rPr>
        <w:t xml:space="preserve"> </w:t>
      </w:r>
      <w:r>
        <w:rPr>
          <w:i/>
          <w:sz w:val="18"/>
        </w:rPr>
        <w:t>(Argentina)</w:t>
      </w:r>
      <w:r>
        <w:rPr>
          <w:sz w:val="18"/>
        </w:rPr>
        <w:t>,</w:t>
      </w:r>
      <w:r>
        <w:rPr>
          <w:spacing w:val="-2"/>
          <w:sz w:val="18"/>
        </w:rPr>
        <w:t xml:space="preserve"> </w:t>
      </w:r>
      <w:r>
        <w:rPr>
          <w:sz w:val="18"/>
        </w:rPr>
        <w:t>paras.</w:t>
      </w:r>
      <w:r>
        <w:rPr>
          <w:spacing w:val="1"/>
          <w:sz w:val="18"/>
        </w:rPr>
        <w:t xml:space="preserve"> </w:t>
      </w:r>
      <w:r>
        <w:rPr>
          <w:sz w:val="18"/>
        </w:rPr>
        <w:t>6.87-</w:t>
      </w:r>
      <w:r>
        <w:rPr>
          <w:spacing w:val="-4"/>
          <w:sz w:val="18"/>
        </w:rPr>
        <w:t>6.89.</w:t>
      </w:r>
    </w:p>
    <w:p w14:paraId="42B9FE63" w14:textId="77777777" w:rsidR="00BD462C" w:rsidRDefault="00BD462C">
      <w:pPr>
        <w:rPr>
          <w:sz w:val="18"/>
        </w:rPr>
        <w:sectPr w:rsidR="00BD462C">
          <w:pgSz w:w="11910" w:h="16840"/>
          <w:pgMar w:top="860" w:right="500" w:bottom="780" w:left="1280" w:header="566" w:footer="590" w:gutter="0"/>
          <w:cols w:space="720"/>
        </w:sectPr>
      </w:pPr>
    </w:p>
    <w:p w14:paraId="7460EBB0"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453EA2F7"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0EFECA74"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5FA98D1F" w14:textId="77777777" w:rsidR="00BD462C" w:rsidRDefault="00033D0F">
      <w:pPr>
        <w:pStyle w:val="Heading3"/>
        <w:numPr>
          <w:ilvl w:val="0"/>
          <w:numId w:val="36"/>
        </w:numPr>
        <w:tabs>
          <w:tab w:val="left" w:pos="2689"/>
          <w:tab w:val="left" w:pos="2690"/>
        </w:tabs>
        <w:spacing w:line="357" w:lineRule="auto"/>
        <w:ind w:right="919"/>
      </w:pPr>
      <w:bookmarkStart w:id="232" w:name="3._MOFCOM_did_not_compare_sales_made_at_"/>
      <w:bookmarkStart w:id="233" w:name="_bookmark202"/>
      <w:bookmarkEnd w:id="232"/>
      <w:bookmarkEnd w:id="233"/>
      <w:r>
        <w:t>MOFCOM</w:t>
      </w:r>
      <w:r>
        <w:rPr>
          <w:spacing w:val="-15"/>
        </w:rPr>
        <w:t xml:space="preserve"> </w:t>
      </w:r>
      <w:r>
        <w:t>did</w:t>
      </w:r>
      <w:r>
        <w:rPr>
          <w:spacing w:val="-16"/>
        </w:rPr>
        <w:t xml:space="preserve"> </w:t>
      </w:r>
      <w:r>
        <w:t>not</w:t>
      </w:r>
      <w:r>
        <w:rPr>
          <w:spacing w:val="-18"/>
        </w:rPr>
        <w:t xml:space="preserve"> </w:t>
      </w:r>
      <w:r>
        <w:t>compare</w:t>
      </w:r>
      <w:r>
        <w:rPr>
          <w:spacing w:val="-17"/>
        </w:rPr>
        <w:t xml:space="preserve"> </w:t>
      </w:r>
      <w:r>
        <w:t>sales</w:t>
      </w:r>
      <w:r>
        <w:rPr>
          <w:spacing w:val="-14"/>
        </w:rPr>
        <w:t xml:space="preserve"> </w:t>
      </w:r>
      <w:r>
        <w:t>made</w:t>
      </w:r>
      <w:r>
        <w:rPr>
          <w:spacing w:val="-17"/>
        </w:rPr>
        <w:t xml:space="preserve"> </w:t>
      </w:r>
      <w:r>
        <w:t>at</w:t>
      </w:r>
      <w:r>
        <w:rPr>
          <w:spacing w:val="-14"/>
        </w:rPr>
        <w:t xml:space="preserve"> </w:t>
      </w:r>
      <w:r>
        <w:t>the</w:t>
      </w:r>
      <w:r>
        <w:rPr>
          <w:spacing w:val="-17"/>
        </w:rPr>
        <w:t xml:space="preserve"> </w:t>
      </w:r>
      <w:r>
        <w:t>"same</w:t>
      </w:r>
      <w:r>
        <w:rPr>
          <w:spacing w:val="-17"/>
        </w:rPr>
        <w:t xml:space="preserve"> </w:t>
      </w:r>
      <w:r>
        <w:t>level</w:t>
      </w:r>
      <w:r>
        <w:rPr>
          <w:spacing w:val="-13"/>
        </w:rPr>
        <w:t xml:space="preserve"> </w:t>
      </w:r>
      <w:r>
        <w:t>of</w:t>
      </w:r>
      <w:r>
        <w:rPr>
          <w:spacing w:val="-15"/>
        </w:rPr>
        <w:t xml:space="preserve"> </w:t>
      </w:r>
      <w:r>
        <w:t>trade" or "as nearly as possible the same time"</w:t>
      </w:r>
    </w:p>
    <w:p w14:paraId="0697B4F5" w14:textId="77777777" w:rsidR="00BD462C" w:rsidRDefault="00BD462C">
      <w:pPr>
        <w:pStyle w:val="BodyText"/>
        <w:spacing w:before="3"/>
        <w:rPr>
          <w:b/>
          <w:sz w:val="9"/>
        </w:rPr>
      </w:pPr>
    </w:p>
    <w:p w14:paraId="0505D48E" w14:textId="0E6C6B8F" w:rsidR="00BD462C" w:rsidRDefault="00033D0F" w:rsidP="00652F97">
      <w:pPr>
        <w:pStyle w:val="BodyText"/>
        <w:numPr>
          <w:ilvl w:val="0"/>
          <w:numId w:val="68"/>
        </w:numPr>
        <w:spacing w:before="56" w:line="360" w:lineRule="auto"/>
        <w:ind w:right="912"/>
        <w:jc w:val="both"/>
      </w:pPr>
      <w:bookmarkStart w:id="234" w:name="_bookmark203"/>
      <w:bookmarkEnd w:id="234"/>
      <w:r>
        <w:rPr>
          <w:position w:val="1"/>
        </w:rPr>
        <w:t>China</w:t>
      </w:r>
      <w:r>
        <w:rPr>
          <w:spacing w:val="-7"/>
          <w:position w:val="1"/>
        </w:rPr>
        <w:t xml:space="preserve"> </w:t>
      </w:r>
      <w:r>
        <w:rPr>
          <w:position w:val="1"/>
        </w:rPr>
        <w:t>did</w:t>
      </w:r>
      <w:r>
        <w:rPr>
          <w:spacing w:val="-8"/>
          <w:position w:val="1"/>
        </w:rPr>
        <w:t xml:space="preserve"> </w:t>
      </w:r>
      <w:r>
        <w:rPr>
          <w:position w:val="1"/>
        </w:rPr>
        <w:t>not</w:t>
      </w:r>
      <w:r>
        <w:rPr>
          <w:spacing w:val="-6"/>
          <w:position w:val="1"/>
        </w:rPr>
        <w:t xml:space="preserve"> </w:t>
      </w:r>
      <w:r>
        <w:rPr>
          <w:position w:val="1"/>
        </w:rPr>
        <w:t>engage</w:t>
      </w:r>
      <w:r>
        <w:rPr>
          <w:spacing w:val="-6"/>
          <w:position w:val="1"/>
        </w:rPr>
        <w:t xml:space="preserve"> </w:t>
      </w:r>
      <w:r>
        <w:rPr>
          <w:position w:val="1"/>
        </w:rPr>
        <w:t>with</w:t>
      </w:r>
      <w:r>
        <w:rPr>
          <w:spacing w:val="-8"/>
          <w:position w:val="1"/>
        </w:rPr>
        <w:t xml:space="preserve"> </w:t>
      </w:r>
      <w:r>
        <w:rPr>
          <w:position w:val="1"/>
        </w:rPr>
        <w:t>the</w:t>
      </w:r>
      <w:r>
        <w:rPr>
          <w:spacing w:val="-2"/>
          <w:position w:val="1"/>
        </w:rPr>
        <w:t xml:space="preserve"> </w:t>
      </w:r>
      <w:r>
        <w:rPr>
          <w:position w:val="1"/>
        </w:rPr>
        <w:t>substance</w:t>
      </w:r>
      <w:r>
        <w:rPr>
          <w:spacing w:val="-6"/>
          <w:position w:val="1"/>
        </w:rPr>
        <w:t xml:space="preserve"> </w:t>
      </w:r>
      <w:r>
        <w:rPr>
          <w:position w:val="1"/>
        </w:rPr>
        <w:t>of</w:t>
      </w:r>
      <w:r>
        <w:rPr>
          <w:spacing w:val="-8"/>
          <w:position w:val="1"/>
        </w:rPr>
        <w:t xml:space="preserve"> </w:t>
      </w:r>
      <w:r>
        <w:rPr>
          <w:position w:val="1"/>
        </w:rPr>
        <w:t>Australia's</w:t>
      </w:r>
      <w:r>
        <w:rPr>
          <w:spacing w:val="-5"/>
          <w:position w:val="1"/>
        </w:rPr>
        <w:t xml:space="preserve"> </w:t>
      </w:r>
      <w:r>
        <w:rPr>
          <w:position w:val="1"/>
        </w:rPr>
        <w:t>claims</w:t>
      </w:r>
      <w:r>
        <w:rPr>
          <w:spacing w:val="-5"/>
          <w:position w:val="1"/>
        </w:rPr>
        <w:t xml:space="preserve"> </w:t>
      </w:r>
      <w:r>
        <w:rPr>
          <w:position w:val="1"/>
        </w:rPr>
        <w:t>concerning</w:t>
      </w:r>
      <w:r>
        <w:rPr>
          <w:spacing w:val="-5"/>
          <w:position w:val="1"/>
        </w:rPr>
        <w:t xml:space="preserve"> </w:t>
      </w:r>
      <w:r>
        <w:rPr>
          <w:position w:val="1"/>
        </w:rPr>
        <w:t xml:space="preserve">MOFCOM's </w:t>
      </w:r>
      <w:r>
        <w:t>failure</w:t>
      </w:r>
      <w:r>
        <w:rPr>
          <w:spacing w:val="-1"/>
        </w:rPr>
        <w:t xml:space="preserve"> </w:t>
      </w:r>
      <w:r>
        <w:t>to</w:t>
      </w:r>
      <w:r>
        <w:rPr>
          <w:spacing w:val="-4"/>
        </w:rPr>
        <w:t xml:space="preserve"> </w:t>
      </w:r>
      <w:r>
        <w:t>compare sales made</w:t>
      </w:r>
      <w:r>
        <w:rPr>
          <w:spacing w:val="-1"/>
        </w:rPr>
        <w:t xml:space="preserve"> </w:t>
      </w:r>
      <w:r>
        <w:t>at</w:t>
      </w:r>
      <w:r>
        <w:rPr>
          <w:spacing w:val="-1"/>
        </w:rPr>
        <w:t xml:space="preserve"> </w:t>
      </w:r>
      <w:r>
        <w:t>the "same</w:t>
      </w:r>
      <w:r>
        <w:rPr>
          <w:spacing w:val="-1"/>
        </w:rPr>
        <w:t xml:space="preserve"> </w:t>
      </w:r>
      <w:r>
        <w:t>level</w:t>
      </w:r>
      <w:r>
        <w:rPr>
          <w:spacing w:val="-4"/>
        </w:rPr>
        <w:t xml:space="preserve"> </w:t>
      </w:r>
      <w:r>
        <w:t>of</w:t>
      </w:r>
      <w:r>
        <w:rPr>
          <w:spacing w:val="-3"/>
        </w:rPr>
        <w:t xml:space="preserve"> </w:t>
      </w:r>
      <w:r>
        <w:t>trade" or "as nearly as possible</w:t>
      </w:r>
      <w:r>
        <w:rPr>
          <w:spacing w:val="-1"/>
        </w:rPr>
        <w:t xml:space="preserve"> </w:t>
      </w:r>
      <w:r>
        <w:t>the</w:t>
      </w:r>
      <w:r>
        <w:rPr>
          <w:spacing w:val="-1"/>
        </w:rPr>
        <w:t xml:space="preserve"> </w:t>
      </w:r>
      <w:r>
        <w:t>same time".</w:t>
      </w:r>
      <w:hyperlink w:anchor="_bookmark204" w:history="1">
        <w:r>
          <w:rPr>
            <w:vertAlign w:val="superscript"/>
          </w:rPr>
          <w:t>155</w:t>
        </w:r>
      </w:hyperlink>
      <w:r>
        <w:rPr>
          <w:spacing w:val="-4"/>
        </w:rPr>
        <w:t xml:space="preserve"> </w:t>
      </w:r>
      <w:r>
        <w:t>Rather,</w:t>
      </w:r>
      <w:r>
        <w:rPr>
          <w:spacing w:val="-2"/>
        </w:rPr>
        <w:t xml:space="preserve"> </w:t>
      </w:r>
      <w:r>
        <w:t>China's</w:t>
      </w:r>
      <w:r>
        <w:rPr>
          <w:spacing w:val="-4"/>
        </w:rPr>
        <w:t xml:space="preserve"> </w:t>
      </w:r>
      <w:r>
        <w:t>objection</w:t>
      </w:r>
      <w:r>
        <w:rPr>
          <w:spacing w:val="-7"/>
        </w:rPr>
        <w:t xml:space="preserve"> </w:t>
      </w:r>
      <w:r>
        <w:t>appears</w:t>
      </w:r>
      <w:r>
        <w:rPr>
          <w:spacing w:val="-4"/>
        </w:rPr>
        <w:t xml:space="preserve"> </w:t>
      </w:r>
      <w:r>
        <w:t>to</w:t>
      </w:r>
      <w:r>
        <w:rPr>
          <w:spacing w:val="-2"/>
        </w:rPr>
        <w:t xml:space="preserve"> </w:t>
      </w:r>
      <w:r>
        <w:t>be</w:t>
      </w:r>
      <w:r>
        <w:rPr>
          <w:spacing w:val="-5"/>
        </w:rPr>
        <w:t xml:space="preserve"> </w:t>
      </w:r>
      <w:r>
        <w:t>that</w:t>
      </w:r>
      <w:r>
        <w:rPr>
          <w:spacing w:val="-5"/>
        </w:rPr>
        <w:t xml:space="preserve"> </w:t>
      </w:r>
      <w:r>
        <w:t>Australia's</w:t>
      </w:r>
      <w:r>
        <w:rPr>
          <w:spacing w:val="-4"/>
        </w:rPr>
        <w:t xml:space="preserve"> </w:t>
      </w:r>
      <w:r>
        <w:t>claims</w:t>
      </w:r>
      <w:r>
        <w:rPr>
          <w:spacing w:val="-4"/>
        </w:rPr>
        <w:t xml:space="preserve"> </w:t>
      </w:r>
      <w:r>
        <w:t>were</w:t>
      </w:r>
      <w:r>
        <w:rPr>
          <w:spacing w:val="-5"/>
        </w:rPr>
        <w:t xml:space="preserve"> </w:t>
      </w:r>
      <w:r>
        <w:t>made</w:t>
      </w:r>
      <w:r>
        <w:rPr>
          <w:spacing w:val="-5"/>
        </w:rPr>
        <w:t xml:space="preserve"> </w:t>
      </w:r>
      <w:r>
        <w:t>under</w:t>
      </w:r>
      <w:r>
        <w:rPr>
          <w:spacing w:val="-8"/>
        </w:rPr>
        <w:t xml:space="preserve"> </w:t>
      </w:r>
      <w:r>
        <w:t>the second,</w:t>
      </w:r>
      <w:r>
        <w:rPr>
          <w:spacing w:val="-12"/>
        </w:rPr>
        <w:t xml:space="preserve"> </w:t>
      </w:r>
      <w:r>
        <w:t>rather than third, sentence of Article</w:t>
      </w:r>
      <w:r>
        <w:rPr>
          <w:spacing w:val="-4"/>
        </w:rPr>
        <w:t xml:space="preserve"> </w:t>
      </w:r>
      <w:r>
        <w:t>2.4.</w:t>
      </w:r>
      <w:r>
        <w:rPr>
          <w:spacing w:val="-14"/>
        </w:rPr>
        <w:t xml:space="preserve"> </w:t>
      </w:r>
      <w:hyperlink w:anchor="_bookmark205" w:history="1">
        <w:r>
          <w:rPr>
            <w:vertAlign w:val="superscript"/>
          </w:rPr>
          <w:t>156</w:t>
        </w:r>
      </w:hyperlink>
      <w:r>
        <w:t xml:space="preserve"> This narrow interpretation of Article</w:t>
      </w:r>
      <w:r>
        <w:rPr>
          <w:spacing w:val="-5"/>
        </w:rPr>
        <w:t xml:space="preserve"> </w:t>
      </w:r>
      <w:r>
        <w:t>2.4 artificially</w:t>
      </w:r>
      <w:r>
        <w:rPr>
          <w:spacing w:val="-6"/>
        </w:rPr>
        <w:t xml:space="preserve"> </w:t>
      </w:r>
      <w:r>
        <w:t>separates</w:t>
      </w:r>
      <w:r>
        <w:rPr>
          <w:spacing w:val="-6"/>
        </w:rPr>
        <w:t xml:space="preserve"> </w:t>
      </w:r>
      <w:r>
        <w:t>the</w:t>
      </w:r>
      <w:r>
        <w:rPr>
          <w:spacing w:val="-7"/>
        </w:rPr>
        <w:t xml:space="preserve"> </w:t>
      </w:r>
      <w:r>
        <w:rPr>
          <w:i/>
        </w:rPr>
        <w:t>obligation</w:t>
      </w:r>
      <w:r>
        <w:rPr>
          <w:i/>
          <w:spacing w:val="-6"/>
        </w:rPr>
        <w:t xml:space="preserve"> </w:t>
      </w:r>
      <w:r>
        <w:t>to</w:t>
      </w:r>
      <w:r>
        <w:rPr>
          <w:spacing w:val="-10"/>
        </w:rPr>
        <w:t xml:space="preserve"> </w:t>
      </w:r>
      <w:r>
        <w:t>make</w:t>
      </w:r>
      <w:r>
        <w:rPr>
          <w:spacing w:val="-7"/>
        </w:rPr>
        <w:t xml:space="preserve"> </w:t>
      </w:r>
      <w:r>
        <w:t>a</w:t>
      </w:r>
      <w:r>
        <w:rPr>
          <w:spacing w:val="-8"/>
        </w:rPr>
        <w:t xml:space="preserve"> </w:t>
      </w:r>
      <w:r>
        <w:t>fair</w:t>
      </w:r>
      <w:r>
        <w:rPr>
          <w:spacing w:val="-10"/>
        </w:rPr>
        <w:t xml:space="preserve"> </w:t>
      </w:r>
      <w:r>
        <w:t>comparison</w:t>
      </w:r>
      <w:r>
        <w:rPr>
          <w:spacing w:val="-9"/>
        </w:rPr>
        <w:t xml:space="preserve"> </w:t>
      </w:r>
      <w:r>
        <w:t>from</w:t>
      </w:r>
      <w:r>
        <w:rPr>
          <w:spacing w:val="-7"/>
        </w:rPr>
        <w:t xml:space="preserve"> </w:t>
      </w:r>
      <w:r>
        <w:t>the</w:t>
      </w:r>
      <w:r>
        <w:rPr>
          <w:spacing w:val="-7"/>
        </w:rPr>
        <w:t xml:space="preserve"> </w:t>
      </w:r>
      <w:r>
        <w:rPr>
          <w:i/>
        </w:rPr>
        <w:t>process</w:t>
      </w:r>
      <w:r>
        <w:rPr>
          <w:i/>
          <w:spacing w:val="-5"/>
        </w:rPr>
        <w:t xml:space="preserve"> </w:t>
      </w:r>
      <w:r>
        <w:t>by</w:t>
      </w:r>
      <w:r>
        <w:rPr>
          <w:spacing w:val="-6"/>
        </w:rPr>
        <w:t xml:space="preserve"> </w:t>
      </w:r>
      <w:r>
        <w:t>which</w:t>
      </w:r>
      <w:r>
        <w:rPr>
          <w:spacing w:val="-9"/>
        </w:rPr>
        <w:t xml:space="preserve"> </w:t>
      </w:r>
      <w:r>
        <w:t>a</w:t>
      </w:r>
      <w:r>
        <w:rPr>
          <w:spacing w:val="-2"/>
        </w:rPr>
        <w:t xml:space="preserve"> </w:t>
      </w:r>
      <w:r>
        <w:t>fair comparison should be made.</w:t>
      </w:r>
    </w:p>
    <w:p w14:paraId="4BB7EBE1" w14:textId="77777777" w:rsidR="00BD462C" w:rsidRDefault="00BD462C">
      <w:pPr>
        <w:pStyle w:val="BodyText"/>
        <w:spacing w:before="8"/>
        <w:rPr>
          <w:sz w:val="8"/>
        </w:rPr>
      </w:pPr>
    </w:p>
    <w:p w14:paraId="69E0FB97" w14:textId="71F0868A" w:rsidR="00BD462C" w:rsidRDefault="00652F97" w:rsidP="00652F97">
      <w:pPr>
        <w:pStyle w:val="BodyText"/>
        <w:numPr>
          <w:ilvl w:val="0"/>
          <w:numId w:val="68"/>
        </w:numPr>
        <w:spacing w:before="56" w:line="360" w:lineRule="auto"/>
        <w:ind w:right="914"/>
        <w:jc w:val="both"/>
      </w:pPr>
      <w:r>
        <w:rPr>
          <w:position w:val="1"/>
        </w:rPr>
        <w:t>C</w:t>
      </w:r>
      <w:r w:rsidR="00033D0F">
        <w:rPr>
          <w:position w:val="1"/>
        </w:rPr>
        <w:t>hina</w:t>
      </w:r>
      <w:r w:rsidR="00033D0F">
        <w:rPr>
          <w:spacing w:val="-7"/>
          <w:position w:val="1"/>
        </w:rPr>
        <w:t xml:space="preserve"> </w:t>
      </w:r>
      <w:r w:rsidR="00033D0F">
        <w:rPr>
          <w:position w:val="1"/>
        </w:rPr>
        <w:t>also</w:t>
      </w:r>
      <w:r w:rsidR="00033D0F">
        <w:rPr>
          <w:spacing w:val="-9"/>
          <w:position w:val="1"/>
        </w:rPr>
        <w:t xml:space="preserve"> </w:t>
      </w:r>
      <w:r w:rsidR="00033D0F">
        <w:rPr>
          <w:position w:val="1"/>
        </w:rPr>
        <w:t>argued</w:t>
      </w:r>
      <w:r w:rsidR="00033D0F">
        <w:rPr>
          <w:spacing w:val="-8"/>
          <w:position w:val="1"/>
        </w:rPr>
        <w:t xml:space="preserve"> </w:t>
      </w:r>
      <w:r w:rsidR="00033D0F">
        <w:rPr>
          <w:position w:val="1"/>
        </w:rPr>
        <w:t>semantically</w:t>
      </w:r>
      <w:r w:rsidR="00033D0F">
        <w:rPr>
          <w:spacing w:val="-5"/>
          <w:position w:val="1"/>
        </w:rPr>
        <w:t xml:space="preserve"> </w:t>
      </w:r>
      <w:r w:rsidR="00033D0F">
        <w:rPr>
          <w:position w:val="1"/>
        </w:rPr>
        <w:t>that</w:t>
      </w:r>
      <w:r w:rsidR="00033D0F">
        <w:rPr>
          <w:spacing w:val="-6"/>
          <w:position w:val="1"/>
        </w:rPr>
        <w:t xml:space="preserve"> </w:t>
      </w:r>
      <w:r w:rsidR="00033D0F">
        <w:rPr>
          <w:position w:val="1"/>
        </w:rPr>
        <w:t>the</w:t>
      </w:r>
      <w:r w:rsidR="00033D0F">
        <w:rPr>
          <w:spacing w:val="-6"/>
          <w:position w:val="1"/>
        </w:rPr>
        <w:t xml:space="preserve"> </w:t>
      </w:r>
      <w:r w:rsidR="00033D0F">
        <w:rPr>
          <w:position w:val="1"/>
        </w:rPr>
        <w:t>term</w:t>
      </w:r>
      <w:r w:rsidR="00033D0F">
        <w:rPr>
          <w:spacing w:val="-6"/>
          <w:position w:val="1"/>
        </w:rPr>
        <w:t xml:space="preserve"> </w:t>
      </w:r>
      <w:r w:rsidR="00033D0F">
        <w:rPr>
          <w:position w:val="1"/>
        </w:rPr>
        <w:t>"level</w:t>
      </w:r>
      <w:r w:rsidR="00033D0F">
        <w:rPr>
          <w:spacing w:val="-4"/>
          <w:position w:val="1"/>
        </w:rPr>
        <w:t xml:space="preserve"> </w:t>
      </w:r>
      <w:r w:rsidR="00033D0F">
        <w:rPr>
          <w:position w:val="1"/>
        </w:rPr>
        <w:t>of</w:t>
      </w:r>
      <w:r w:rsidR="00033D0F">
        <w:rPr>
          <w:spacing w:val="-8"/>
          <w:position w:val="1"/>
        </w:rPr>
        <w:t xml:space="preserve"> </w:t>
      </w:r>
      <w:r w:rsidR="00033D0F">
        <w:rPr>
          <w:position w:val="1"/>
        </w:rPr>
        <w:t>trade"</w:t>
      </w:r>
      <w:r w:rsidR="00033D0F">
        <w:rPr>
          <w:spacing w:val="-2"/>
          <w:position w:val="1"/>
        </w:rPr>
        <w:t xml:space="preserve"> </w:t>
      </w:r>
      <w:r w:rsidR="00033D0F">
        <w:rPr>
          <w:position w:val="1"/>
        </w:rPr>
        <w:t>has</w:t>
      </w:r>
      <w:r w:rsidR="00033D0F">
        <w:rPr>
          <w:spacing w:val="-5"/>
          <w:position w:val="1"/>
        </w:rPr>
        <w:t xml:space="preserve"> </w:t>
      </w:r>
      <w:r w:rsidR="00033D0F">
        <w:rPr>
          <w:position w:val="1"/>
        </w:rPr>
        <w:t>one</w:t>
      </w:r>
      <w:r w:rsidR="00033D0F">
        <w:rPr>
          <w:spacing w:val="-6"/>
          <w:position w:val="1"/>
        </w:rPr>
        <w:t xml:space="preserve"> </w:t>
      </w:r>
      <w:r w:rsidR="00033D0F">
        <w:rPr>
          <w:position w:val="1"/>
        </w:rPr>
        <w:t>meaning</w:t>
      </w:r>
      <w:r w:rsidR="00033D0F">
        <w:rPr>
          <w:spacing w:val="-5"/>
          <w:position w:val="1"/>
        </w:rPr>
        <w:t xml:space="preserve"> </w:t>
      </w:r>
      <w:r w:rsidR="00033D0F">
        <w:rPr>
          <w:position w:val="1"/>
        </w:rPr>
        <w:t xml:space="preserve">under </w:t>
      </w:r>
      <w:r w:rsidR="00033D0F">
        <w:t>the</w:t>
      </w:r>
      <w:r w:rsidR="00033D0F">
        <w:rPr>
          <w:spacing w:val="-3"/>
        </w:rPr>
        <w:t xml:space="preserve"> </w:t>
      </w:r>
      <w:r w:rsidR="00033D0F">
        <w:t>second</w:t>
      </w:r>
      <w:r w:rsidR="00033D0F">
        <w:rPr>
          <w:spacing w:val="-4"/>
        </w:rPr>
        <w:t xml:space="preserve"> </w:t>
      </w:r>
      <w:r w:rsidR="00033D0F">
        <w:t>sentence</w:t>
      </w:r>
      <w:r w:rsidR="00033D0F">
        <w:rPr>
          <w:spacing w:val="-2"/>
        </w:rPr>
        <w:t xml:space="preserve"> </w:t>
      </w:r>
      <w:r w:rsidR="00033D0F">
        <w:t>(being</w:t>
      </w:r>
      <w:r w:rsidR="00033D0F">
        <w:rPr>
          <w:spacing w:val="-1"/>
        </w:rPr>
        <w:t xml:space="preserve"> </w:t>
      </w:r>
      <w:r w:rsidR="00033D0F">
        <w:t>"the</w:t>
      </w:r>
      <w:r w:rsidR="00033D0F">
        <w:rPr>
          <w:spacing w:val="-3"/>
        </w:rPr>
        <w:t xml:space="preserve"> </w:t>
      </w:r>
      <w:r w:rsidR="00033D0F">
        <w:t>shipment</w:t>
      </w:r>
      <w:r w:rsidR="00033D0F">
        <w:rPr>
          <w:spacing w:val="-2"/>
        </w:rPr>
        <w:t xml:space="preserve"> </w:t>
      </w:r>
      <w:r w:rsidR="00033D0F">
        <w:t>term</w:t>
      </w:r>
      <w:r w:rsidR="00033D0F">
        <w:rPr>
          <w:spacing w:val="-3"/>
        </w:rPr>
        <w:t xml:space="preserve"> </w:t>
      </w:r>
      <w:r w:rsidR="00033D0F">
        <w:t>of</w:t>
      </w:r>
      <w:r w:rsidR="00033D0F">
        <w:rPr>
          <w:spacing w:val="-4"/>
        </w:rPr>
        <w:t xml:space="preserve"> </w:t>
      </w:r>
      <w:r w:rsidR="00033D0F">
        <w:t>a</w:t>
      </w:r>
      <w:r w:rsidR="00033D0F">
        <w:rPr>
          <w:spacing w:val="-3"/>
        </w:rPr>
        <w:t xml:space="preserve"> </w:t>
      </w:r>
      <w:r w:rsidR="00033D0F">
        <w:t>sale")</w:t>
      </w:r>
      <w:hyperlink w:anchor="_bookmark206" w:history="1">
        <w:r w:rsidR="00033D0F">
          <w:rPr>
            <w:vertAlign w:val="superscript"/>
          </w:rPr>
          <w:t>157</w:t>
        </w:r>
      </w:hyperlink>
      <w:r w:rsidR="00033D0F">
        <w:rPr>
          <w:spacing w:val="-2"/>
        </w:rPr>
        <w:t xml:space="preserve"> </w:t>
      </w:r>
      <w:r w:rsidR="00033D0F">
        <w:t>and</w:t>
      </w:r>
      <w:r w:rsidR="00033D0F">
        <w:rPr>
          <w:spacing w:val="-4"/>
        </w:rPr>
        <w:t xml:space="preserve"> </w:t>
      </w:r>
      <w:r w:rsidR="00033D0F">
        <w:t>a</w:t>
      </w:r>
      <w:r w:rsidR="00033D0F">
        <w:rPr>
          <w:spacing w:val="-3"/>
        </w:rPr>
        <w:t xml:space="preserve"> </w:t>
      </w:r>
      <w:r w:rsidR="00033D0F">
        <w:t>different</w:t>
      </w:r>
      <w:r w:rsidR="00033D0F">
        <w:rPr>
          <w:spacing w:val="-2"/>
        </w:rPr>
        <w:t xml:space="preserve"> </w:t>
      </w:r>
      <w:r w:rsidR="00033D0F">
        <w:t>definition</w:t>
      </w:r>
      <w:r w:rsidR="00033D0F">
        <w:rPr>
          <w:spacing w:val="-4"/>
        </w:rPr>
        <w:t xml:space="preserve"> </w:t>
      </w:r>
      <w:r w:rsidR="00033D0F">
        <w:t>under the third sentence (being one of several "differences which affect price comparability").</w:t>
      </w:r>
      <w:r w:rsidR="00033D0F">
        <w:rPr>
          <w:spacing w:val="-14"/>
        </w:rPr>
        <w:t xml:space="preserve"> </w:t>
      </w:r>
      <w:hyperlink w:anchor="_bookmark207" w:history="1">
        <w:r w:rsidR="00033D0F">
          <w:rPr>
            <w:vertAlign w:val="superscript"/>
          </w:rPr>
          <w:t>158</w:t>
        </w:r>
      </w:hyperlink>
      <w:r w:rsidR="00033D0F">
        <w:t xml:space="preserve"> This duality of definitions finds no support in either the text of the Anti-Dumping Agreement or prior panel or Appellate Body reports.</w:t>
      </w:r>
    </w:p>
    <w:p w14:paraId="7720BC6C" w14:textId="77777777" w:rsidR="00BD462C" w:rsidRDefault="00BD462C">
      <w:pPr>
        <w:pStyle w:val="BodyText"/>
        <w:spacing w:before="5"/>
        <w:rPr>
          <w:sz w:val="8"/>
        </w:rPr>
      </w:pPr>
    </w:p>
    <w:p w14:paraId="3DE98301" w14:textId="1AA79FE0" w:rsidR="00BD462C" w:rsidRDefault="00033D0F" w:rsidP="00652F97">
      <w:pPr>
        <w:pStyle w:val="BodyText"/>
        <w:numPr>
          <w:ilvl w:val="0"/>
          <w:numId w:val="68"/>
        </w:numPr>
        <w:spacing w:before="57" w:line="360" w:lineRule="auto"/>
        <w:ind w:right="913"/>
        <w:jc w:val="both"/>
      </w:pPr>
      <w:r>
        <w:rPr>
          <w:position w:val="1"/>
        </w:rPr>
        <w:t>China argues that the term "'level of trade' in the second sentence of Article</w:t>
      </w:r>
      <w:r>
        <w:rPr>
          <w:spacing w:val="-1"/>
          <w:position w:val="1"/>
        </w:rPr>
        <w:t xml:space="preserve"> </w:t>
      </w:r>
      <w:r>
        <w:rPr>
          <w:position w:val="1"/>
        </w:rPr>
        <w:t xml:space="preserve">2.4 </w:t>
      </w:r>
      <w:r>
        <w:t>essentially refers to</w:t>
      </w:r>
      <w:r>
        <w:rPr>
          <w:spacing w:val="-1"/>
        </w:rPr>
        <w:t xml:space="preserve"> </w:t>
      </w:r>
      <w:r>
        <w:t>the shipment term of a sale" and</w:t>
      </w:r>
      <w:r>
        <w:rPr>
          <w:spacing w:val="-1"/>
        </w:rPr>
        <w:t xml:space="preserve"> </w:t>
      </w:r>
      <w:r>
        <w:t>that "the</w:t>
      </w:r>
      <w:r>
        <w:rPr>
          <w:spacing w:val="-8"/>
        </w:rPr>
        <w:t xml:space="preserve"> </w:t>
      </w:r>
      <w:r>
        <w:t>reference</w:t>
      </w:r>
      <w:r>
        <w:rPr>
          <w:spacing w:val="-9"/>
        </w:rPr>
        <w:t xml:space="preserve"> </w:t>
      </w:r>
      <w:r>
        <w:t>to</w:t>
      </w:r>
      <w:r>
        <w:rPr>
          <w:spacing w:val="-11"/>
        </w:rPr>
        <w:t xml:space="preserve"> </w:t>
      </w:r>
      <w:r>
        <w:t>'level of trade' in the</w:t>
      </w:r>
      <w:r>
        <w:rPr>
          <w:spacing w:val="-14"/>
        </w:rPr>
        <w:t xml:space="preserve"> </w:t>
      </w:r>
      <w:r>
        <w:t>second</w:t>
      </w:r>
      <w:r>
        <w:rPr>
          <w:spacing w:val="-14"/>
        </w:rPr>
        <w:t xml:space="preserve"> </w:t>
      </w:r>
      <w:r>
        <w:t>sentence</w:t>
      </w:r>
      <w:r>
        <w:rPr>
          <w:spacing w:val="-13"/>
        </w:rPr>
        <w:t xml:space="preserve"> </w:t>
      </w:r>
      <w:r>
        <w:t>of</w:t>
      </w:r>
      <w:r>
        <w:rPr>
          <w:spacing w:val="-14"/>
        </w:rPr>
        <w:t xml:space="preserve"> </w:t>
      </w:r>
      <w:r>
        <w:t>Article</w:t>
      </w:r>
      <w:r>
        <w:rPr>
          <w:spacing w:val="-13"/>
        </w:rPr>
        <w:t xml:space="preserve"> </w:t>
      </w:r>
      <w:r>
        <w:t>2.4</w:t>
      </w:r>
      <w:r>
        <w:rPr>
          <w:spacing w:val="-14"/>
        </w:rPr>
        <w:t xml:space="preserve"> </w:t>
      </w:r>
      <w:r>
        <w:t>has</w:t>
      </w:r>
      <w:r>
        <w:rPr>
          <w:spacing w:val="-13"/>
        </w:rPr>
        <w:t xml:space="preserve"> </w:t>
      </w:r>
      <w:r>
        <w:t>to</w:t>
      </w:r>
      <w:r>
        <w:rPr>
          <w:spacing w:val="-14"/>
        </w:rPr>
        <w:t xml:space="preserve"> </w:t>
      </w:r>
      <w:r>
        <w:t>do</w:t>
      </w:r>
      <w:r>
        <w:rPr>
          <w:spacing w:val="-14"/>
        </w:rPr>
        <w:t xml:space="preserve"> </w:t>
      </w:r>
      <w:r>
        <w:t>with</w:t>
      </w:r>
      <w:r>
        <w:rPr>
          <w:spacing w:val="-13"/>
        </w:rPr>
        <w:t xml:space="preserve"> </w:t>
      </w:r>
      <w:r>
        <w:t>ensuring</w:t>
      </w:r>
      <w:r>
        <w:rPr>
          <w:spacing w:val="-13"/>
        </w:rPr>
        <w:t xml:space="preserve"> </w:t>
      </w:r>
      <w:r>
        <w:t>that,</w:t>
      </w:r>
      <w:r>
        <w:rPr>
          <w:spacing w:val="-10"/>
        </w:rPr>
        <w:t xml:space="preserve"> </w:t>
      </w:r>
      <w:r>
        <w:t>normally,</w:t>
      </w:r>
      <w:r>
        <w:rPr>
          <w:spacing w:val="-11"/>
        </w:rPr>
        <w:t xml:space="preserve"> </w:t>
      </w:r>
      <w:r>
        <w:t>an</w:t>
      </w:r>
      <w:r>
        <w:rPr>
          <w:spacing w:val="-14"/>
        </w:rPr>
        <w:t xml:space="preserve"> </w:t>
      </w:r>
      <w:r>
        <w:t>ex-factory</w:t>
      </w:r>
      <w:r>
        <w:rPr>
          <w:spacing w:val="-12"/>
        </w:rPr>
        <w:t xml:space="preserve"> </w:t>
      </w:r>
      <w:r>
        <w:t>normal value is compared with an ex-factory export price though an investigating authority can also compare,</w:t>
      </w:r>
      <w:r>
        <w:rPr>
          <w:spacing w:val="-14"/>
        </w:rPr>
        <w:t xml:space="preserve"> </w:t>
      </w:r>
      <w:r>
        <w:t>for</w:t>
      </w:r>
      <w:r>
        <w:rPr>
          <w:spacing w:val="-5"/>
        </w:rPr>
        <w:t xml:space="preserve"> </w:t>
      </w:r>
      <w:r>
        <w:t>example, a Freight On Board ('FOB') normal value with an FOB export price".</w:t>
      </w:r>
      <w:r>
        <w:rPr>
          <w:spacing w:val="-14"/>
        </w:rPr>
        <w:t xml:space="preserve"> </w:t>
      </w:r>
      <w:hyperlink w:anchor="_bookmark208" w:history="1">
        <w:r>
          <w:rPr>
            <w:vertAlign w:val="superscript"/>
          </w:rPr>
          <w:t>159</w:t>
        </w:r>
      </w:hyperlink>
      <w:r>
        <w:t xml:space="preserve"> Based on this interpretation, China argues that MOFCOM complied with its obligation under the second sentence of</w:t>
      </w:r>
      <w:r>
        <w:rPr>
          <w:spacing w:val="-5"/>
        </w:rPr>
        <w:t xml:space="preserve"> </w:t>
      </w:r>
      <w:r>
        <w:t>Article</w:t>
      </w:r>
      <w:r>
        <w:rPr>
          <w:spacing w:val="-14"/>
        </w:rPr>
        <w:t xml:space="preserve"> </w:t>
      </w:r>
      <w:r>
        <w:t>2.4</w:t>
      </w:r>
      <w:r>
        <w:rPr>
          <w:spacing w:val="-5"/>
        </w:rPr>
        <w:t xml:space="preserve"> </w:t>
      </w:r>
      <w:r>
        <w:t>"to</w:t>
      </w:r>
      <w:r>
        <w:rPr>
          <w:spacing w:val="-1"/>
        </w:rPr>
        <w:t xml:space="preserve"> </w:t>
      </w:r>
      <w:r>
        <w:t>compare</w:t>
      </w:r>
      <w:r>
        <w:rPr>
          <w:spacing w:val="-3"/>
        </w:rPr>
        <w:t xml:space="preserve"> </w:t>
      </w:r>
      <w:r>
        <w:t>the</w:t>
      </w:r>
      <w:r>
        <w:rPr>
          <w:spacing w:val="-3"/>
        </w:rPr>
        <w:t xml:space="preserve"> </w:t>
      </w:r>
      <w:r>
        <w:t>normal</w:t>
      </w:r>
      <w:r>
        <w:rPr>
          <w:spacing w:val="-1"/>
        </w:rPr>
        <w:t xml:space="preserve"> </w:t>
      </w:r>
      <w:r>
        <w:t>value and the export price at the same level of trade, in this case at the ex-factory level".</w:t>
      </w:r>
      <w:hyperlink w:anchor="_bookmark209" w:history="1">
        <w:r>
          <w:rPr>
            <w:vertAlign w:val="superscript"/>
          </w:rPr>
          <w:t>160</w:t>
        </w:r>
      </w:hyperlink>
    </w:p>
    <w:p w14:paraId="42539C4C" w14:textId="77777777" w:rsidR="00BD462C" w:rsidRDefault="00BD462C">
      <w:pPr>
        <w:pStyle w:val="BodyText"/>
        <w:spacing w:before="7"/>
        <w:rPr>
          <w:sz w:val="8"/>
        </w:rPr>
      </w:pPr>
    </w:p>
    <w:p w14:paraId="1C9FEEC5" w14:textId="398CA547" w:rsidR="00BD462C" w:rsidRDefault="00033D0F" w:rsidP="00652F97">
      <w:pPr>
        <w:pStyle w:val="BodyText"/>
        <w:numPr>
          <w:ilvl w:val="0"/>
          <w:numId w:val="68"/>
        </w:numPr>
        <w:spacing w:before="56" w:line="360" w:lineRule="auto"/>
        <w:ind w:right="916"/>
        <w:jc w:val="both"/>
      </w:pPr>
      <w:r>
        <w:rPr>
          <w:position w:val="1"/>
        </w:rPr>
        <w:t>China's interpretation is flawed. Both the second and third sentences of Article</w:t>
      </w:r>
      <w:r>
        <w:rPr>
          <w:spacing w:val="-2"/>
          <w:position w:val="1"/>
        </w:rPr>
        <w:t xml:space="preserve"> </w:t>
      </w:r>
      <w:r>
        <w:rPr>
          <w:position w:val="1"/>
        </w:rPr>
        <w:t xml:space="preserve">2.4 </w:t>
      </w:r>
      <w:r>
        <w:t>refer</w:t>
      </w:r>
      <w:r>
        <w:rPr>
          <w:spacing w:val="-11"/>
        </w:rPr>
        <w:t xml:space="preserve"> </w:t>
      </w:r>
      <w:r>
        <w:t>to</w:t>
      </w:r>
      <w:r>
        <w:rPr>
          <w:spacing w:val="-11"/>
        </w:rPr>
        <w:t xml:space="preserve"> </w:t>
      </w:r>
      <w:r>
        <w:t>"levels</w:t>
      </w:r>
      <w:r>
        <w:rPr>
          <w:spacing w:val="-7"/>
        </w:rPr>
        <w:t xml:space="preserve"> </w:t>
      </w:r>
      <w:r>
        <w:t>of</w:t>
      </w:r>
      <w:r>
        <w:rPr>
          <w:spacing w:val="-10"/>
        </w:rPr>
        <w:t xml:space="preserve"> </w:t>
      </w:r>
      <w:r>
        <w:t>trade"</w:t>
      </w:r>
      <w:r>
        <w:rPr>
          <w:spacing w:val="-9"/>
        </w:rPr>
        <w:t xml:space="preserve"> </w:t>
      </w:r>
      <w:r>
        <w:t>and</w:t>
      </w:r>
      <w:r>
        <w:rPr>
          <w:spacing w:val="-10"/>
        </w:rPr>
        <w:t xml:space="preserve"> </w:t>
      </w:r>
      <w:r>
        <w:t>"terms</w:t>
      </w:r>
      <w:r>
        <w:rPr>
          <w:spacing w:val="-7"/>
        </w:rPr>
        <w:t xml:space="preserve"> </w:t>
      </w:r>
      <w:r>
        <w:t>of</w:t>
      </w:r>
      <w:r>
        <w:rPr>
          <w:spacing w:val="-10"/>
        </w:rPr>
        <w:t xml:space="preserve"> </w:t>
      </w:r>
      <w:r>
        <w:t>sale",</w:t>
      </w:r>
      <w:r>
        <w:rPr>
          <w:spacing w:val="-6"/>
        </w:rPr>
        <w:t xml:space="preserve"> </w:t>
      </w:r>
      <w:r>
        <w:t>which</w:t>
      </w:r>
      <w:r>
        <w:rPr>
          <w:spacing w:val="-10"/>
        </w:rPr>
        <w:t xml:space="preserve"> </w:t>
      </w:r>
      <w:r>
        <w:t>are</w:t>
      </w:r>
      <w:r>
        <w:rPr>
          <w:spacing w:val="-8"/>
        </w:rPr>
        <w:t xml:space="preserve"> </w:t>
      </w:r>
      <w:r>
        <w:t>separate</w:t>
      </w:r>
      <w:r>
        <w:rPr>
          <w:spacing w:val="-8"/>
        </w:rPr>
        <w:t xml:space="preserve"> </w:t>
      </w:r>
      <w:r>
        <w:t>factors.</w:t>
      </w:r>
      <w:r>
        <w:rPr>
          <w:spacing w:val="-7"/>
        </w:rPr>
        <w:t xml:space="preserve"> </w:t>
      </w:r>
      <w:r>
        <w:t>The</w:t>
      </w:r>
      <w:r>
        <w:rPr>
          <w:spacing w:val="-8"/>
        </w:rPr>
        <w:t xml:space="preserve"> </w:t>
      </w:r>
      <w:r>
        <w:t>second</w:t>
      </w:r>
      <w:r>
        <w:rPr>
          <w:spacing w:val="-10"/>
        </w:rPr>
        <w:t xml:space="preserve"> </w:t>
      </w:r>
      <w:r>
        <w:t>sentence mandates that the comparison "shall" be made at the same level of trade and specifies that, normally (i.e., not mandatory), the terms of sale for that comparison should be "</w:t>
      </w:r>
      <w:r>
        <w:rPr>
          <w:i/>
        </w:rPr>
        <w:t>ex-factory</w:t>
      </w:r>
      <w:r>
        <w:t>". The third sentence requires adjustments where differences in "levels of trade" or "terms of</w:t>
      </w:r>
    </w:p>
    <w:p w14:paraId="3E97C944" w14:textId="29CB2B69" w:rsidR="00BD462C" w:rsidRDefault="009A6330">
      <w:pPr>
        <w:pStyle w:val="BodyText"/>
        <w:spacing w:before="6"/>
        <w:rPr>
          <w:sz w:val="14"/>
        </w:rPr>
      </w:pPr>
      <w:r>
        <w:rPr>
          <w:noProof/>
        </w:rPr>
        <mc:AlternateContent>
          <mc:Choice Requires="wps">
            <w:drawing>
              <wp:anchor distT="0" distB="0" distL="0" distR="0" simplePos="0" relativeHeight="487993856" behindDoc="1" locked="0" layoutInCell="1" allowOverlap="1" wp14:anchorId="724D2AB7" wp14:editId="04029E27">
                <wp:simplePos x="0" y="0"/>
                <wp:positionH relativeFrom="page">
                  <wp:posOffset>812800</wp:posOffset>
                </wp:positionH>
                <wp:positionV relativeFrom="paragraph">
                  <wp:posOffset>118794</wp:posOffset>
                </wp:positionV>
                <wp:extent cx="1828800" cy="8890"/>
                <wp:effectExtent l="0" t="0" r="0" b="0"/>
                <wp:wrapTopAndBottom/>
                <wp:docPr id="1408" name="docshape7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4830A5" id="docshape712" o:spid="_x0000_s1026" alt="&quot;&quot;" style="position:absolute;margin-left:64pt;margin-top:9.35pt;width:2in;height:.7pt;z-index:-15322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" fillcolor="black" stroked="f">
                <w10:wrap type="topAndBottom" anchorx="page"/>
              </v:rect>
            </w:pict>
          </mc:Fallback>
        </mc:AlternateContent>
      </w:r>
    </w:p>
    <w:p w14:paraId="60111D67" w14:textId="77777777" w:rsidR="00BD462C" w:rsidRDefault="00033D0F">
      <w:pPr>
        <w:spacing w:before="112" w:line="218" w:lineRule="exact"/>
        <w:ind w:left="135"/>
        <w:rPr>
          <w:sz w:val="18"/>
        </w:rPr>
      </w:pPr>
      <w:bookmarkStart w:id="235" w:name="_bookmark204"/>
      <w:bookmarkEnd w:id="235"/>
      <w:r>
        <w:rPr>
          <w:position w:val="5"/>
          <w:sz w:val="12"/>
        </w:rPr>
        <w:t>155</w:t>
      </w:r>
      <w:r>
        <w:rPr>
          <w:spacing w:val="12"/>
          <w:position w:val="5"/>
          <w:sz w:val="12"/>
        </w:rPr>
        <w:t xml:space="preserve"> </w:t>
      </w:r>
      <w:r>
        <w:rPr>
          <w:sz w:val="18"/>
        </w:rPr>
        <w:t>Australia's</w:t>
      </w:r>
      <w:r>
        <w:rPr>
          <w:spacing w:val="-7"/>
          <w:sz w:val="18"/>
        </w:rPr>
        <w:t xml:space="preserve"> </w:t>
      </w:r>
      <w:r>
        <w:rPr>
          <w:sz w:val="18"/>
        </w:rPr>
        <w:t>first</w:t>
      </w:r>
      <w:r>
        <w:rPr>
          <w:spacing w:val="-5"/>
          <w:sz w:val="18"/>
        </w:rPr>
        <w:t xml:space="preserve"> </w:t>
      </w:r>
      <w:r>
        <w:rPr>
          <w:sz w:val="18"/>
        </w:rPr>
        <w:t>written</w:t>
      </w:r>
      <w:r>
        <w:rPr>
          <w:spacing w:val="-3"/>
          <w:sz w:val="18"/>
        </w:rPr>
        <w:t xml:space="preserve"> </w:t>
      </w:r>
      <w:r>
        <w:rPr>
          <w:sz w:val="18"/>
        </w:rPr>
        <w:t>submission, paras.</w:t>
      </w:r>
      <w:r>
        <w:rPr>
          <w:spacing w:val="-5"/>
          <w:sz w:val="18"/>
        </w:rPr>
        <w:t xml:space="preserve"> </w:t>
      </w:r>
      <w:r>
        <w:rPr>
          <w:sz w:val="18"/>
        </w:rPr>
        <w:t>502-</w:t>
      </w:r>
      <w:r>
        <w:rPr>
          <w:spacing w:val="-4"/>
          <w:sz w:val="18"/>
        </w:rPr>
        <w:t>507.</w:t>
      </w:r>
    </w:p>
    <w:p w14:paraId="0BA1E13F" w14:textId="77777777" w:rsidR="00BD462C" w:rsidRDefault="00033D0F">
      <w:pPr>
        <w:spacing w:line="218" w:lineRule="exact"/>
        <w:ind w:left="135"/>
        <w:rPr>
          <w:sz w:val="18"/>
        </w:rPr>
      </w:pPr>
      <w:bookmarkStart w:id="236" w:name="_bookmark205"/>
      <w:bookmarkEnd w:id="236"/>
      <w:r>
        <w:rPr>
          <w:position w:val="5"/>
          <w:sz w:val="12"/>
        </w:rPr>
        <w:t>156</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 xml:space="preserve">submission, para. </w:t>
      </w:r>
      <w:r>
        <w:rPr>
          <w:spacing w:val="-4"/>
          <w:sz w:val="18"/>
        </w:rPr>
        <w:t>835.</w:t>
      </w:r>
    </w:p>
    <w:p w14:paraId="5C4AE5C8" w14:textId="77777777" w:rsidR="00BD462C" w:rsidRDefault="00033D0F">
      <w:pPr>
        <w:spacing w:before="1"/>
        <w:ind w:left="135"/>
        <w:rPr>
          <w:sz w:val="18"/>
        </w:rPr>
      </w:pPr>
      <w:bookmarkStart w:id="237" w:name="_bookmark206"/>
      <w:bookmarkEnd w:id="237"/>
      <w:r>
        <w:rPr>
          <w:position w:val="5"/>
          <w:sz w:val="12"/>
        </w:rPr>
        <w:t>157</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 xml:space="preserve">submission, para. </w:t>
      </w:r>
      <w:r>
        <w:rPr>
          <w:spacing w:val="-4"/>
          <w:sz w:val="18"/>
        </w:rPr>
        <w:t>825.</w:t>
      </w:r>
    </w:p>
    <w:p w14:paraId="405E16D4" w14:textId="77777777" w:rsidR="00BD462C" w:rsidRDefault="00033D0F">
      <w:pPr>
        <w:spacing w:before="1"/>
        <w:ind w:left="135"/>
        <w:rPr>
          <w:sz w:val="18"/>
        </w:rPr>
      </w:pPr>
      <w:bookmarkStart w:id="238" w:name="_bookmark207"/>
      <w:bookmarkEnd w:id="238"/>
      <w:r>
        <w:rPr>
          <w:position w:val="5"/>
          <w:sz w:val="12"/>
        </w:rPr>
        <w:t>158</w:t>
      </w:r>
      <w:r>
        <w:rPr>
          <w:spacing w:val="13"/>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paras.</w:t>
      </w:r>
      <w:r>
        <w:rPr>
          <w:spacing w:val="-4"/>
          <w:sz w:val="18"/>
        </w:rPr>
        <w:t xml:space="preserve"> </w:t>
      </w:r>
      <w:r>
        <w:rPr>
          <w:sz w:val="18"/>
        </w:rPr>
        <w:t>824,</w:t>
      </w:r>
      <w:r>
        <w:rPr>
          <w:spacing w:val="-4"/>
          <w:sz w:val="18"/>
        </w:rPr>
        <w:t xml:space="preserve"> 830.</w:t>
      </w:r>
    </w:p>
    <w:p w14:paraId="749E8F71" w14:textId="77777777" w:rsidR="00BD462C" w:rsidRDefault="00033D0F">
      <w:pPr>
        <w:spacing w:before="1"/>
        <w:ind w:left="135"/>
        <w:rPr>
          <w:sz w:val="18"/>
        </w:rPr>
      </w:pPr>
      <w:bookmarkStart w:id="239" w:name="_bookmark208"/>
      <w:bookmarkEnd w:id="239"/>
      <w:r>
        <w:rPr>
          <w:position w:val="5"/>
          <w:sz w:val="12"/>
        </w:rPr>
        <w:t>159</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 xml:space="preserve">submission, para. </w:t>
      </w:r>
      <w:r>
        <w:rPr>
          <w:spacing w:val="-4"/>
          <w:sz w:val="18"/>
        </w:rPr>
        <w:t>825.</w:t>
      </w:r>
    </w:p>
    <w:p w14:paraId="01F1C662" w14:textId="77777777" w:rsidR="00BD462C" w:rsidRDefault="00033D0F">
      <w:pPr>
        <w:spacing w:before="1"/>
        <w:ind w:left="135"/>
        <w:rPr>
          <w:sz w:val="18"/>
        </w:rPr>
      </w:pPr>
      <w:bookmarkStart w:id="240" w:name="_bookmark209"/>
      <w:bookmarkEnd w:id="240"/>
      <w:r>
        <w:rPr>
          <w:position w:val="5"/>
          <w:sz w:val="12"/>
        </w:rPr>
        <w:t>160</w:t>
      </w:r>
      <w:r>
        <w:rPr>
          <w:spacing w:val="13"/>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 xml:space="preserve">para. </w:t>
      </w:r>
      <w:r>
        <w:rPr>
          <w:spacing w:val="-4"/>
          <w:sz w:val="18"/>
        </w:rPr>
        <w:t>827.</w:t>
      </w:r>
    </w:p>
    <w:p w14:paraId="33545978" w14:textId="77777777" w:rsidR="00BD462C" w:rsidRDefault="00BD462C">
      <w:pPr>
        <w:rPr>
          <w:sz w:val="18"/>
        </w:rPr>
        <w:sectPr w:rsidR="00BD462C">
          <w:pgSz w:w="11910" w:h="16840"/>
          <w:pgMar w:top="860" w:right="500" w:bottom="780" w:left="1280" w:header="566" w:footer="590" w:gutter="0"/>
          <w:cols w:space="720"/>
        </w:sectPr>
      </w:pPr>
    </w:p>
    <w:p w14:paraId="45F92F75"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039E6457"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6E7BFFFF"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2618C1CA" w14:textId="1E4D06EA" w:rsidR="00BD462C" w:rsidRDefault="00D70C7D">
      <w:pPr>
        <w:pStyle w:val="BodyText"/>
        <w:spacing w:before="102"/>
        <w:ind w:left="135"/>
      </w:pPr>
      <w:r>
        <w:rPr>
          <w:noProof/>
        </w:rPr>
        <mc:AlternateContent>
          <mc:Choice Requires="wps">
            <w:drawing>
              <wp:anchor distT="0" distB="0" distL="114300" distR="114300" simplePos="0" relativeHeight="15750656" behindDoc="0" locked="0" layoutInCell="1" allowOverlap="1" wp14:anchorId="42118759" wp14:editId="7379F8D6">
                <wp:simplePos x="0" y="0"/>
                <wp:positionH relativeFrom="page">
                  <wp:posOffset>6246495</wp:posOffset>
                </wp:positionH>
                <wp:positionV relativeFrom="paragraph">
                  <wp:posOffset>63500</wp:posOffset>
                </wp:positionV>
                <wp:extent cx="411480" cy="186055"/>
                <wp:effectExtent l="0" t="0" r="0" b="0"/>
                <wp:wrapNone/>
                <wp:docPr id="1334" name="docshape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91F2BB" id="docshape49" o:spid="_x0000_s1026" alt="&quot;&quot;" style="position:absolute;margin-left:491.85pt;margin-top:5pt;width:32.4pt;height:14.65pt;z-index:1575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" fillcolor="black" stroked="f">
                <w10:wrap anchorx="page"/>
              </v:rect>
            </w:pict>
          </mc:Fallback>
        </mc:AlternateContent>
      </w:r>
      <w:r w:rsidR="00033D0F">
        <w:t>sale"</w:t>
      </w:r>
      <w:r w:rsidR="00033D0F">
        <w:rPr>
          <w:spacing w:val="37"/>
        </w:rPr>
        <w:t xml:space="preserve"> </w:t>
      </w:r>
      <w:r w:rsidR="00033D0F">
        <w:t>affect</w:t>
      </w:r>
      <w:r w:rsidR="00033D0F">
        <w:rPr>
          <w:spacing w:val="41"/>
        </w:rPr>
        <w:t xml:space="preserve"> </w:t>
      </w:r>
      <w:r w:rsidR="00033D0F">
        <w:t>price</w:t>
      </w:r>
      <w:r w:rsidR="00033D0F">
        <w:rPr>
          <w:spacing w:val="41"/>
        </w:rPr>
        <w:t xml:space="preserve"> </w:t>
      </w:r>
      <w:r w:rsidR="00033D0F">
        <w:t>comparability.</w:t>
      </w:r>
      <w:r w:rsidR="00033D0F">
        <w:rPr>
          <w:spacing w:val="41"/>
        </w:rPr>
        <w:t xml:space="preserve"> </w:t>
      </w:r>
      <w:r w:rsidR="00033D0F">
        <w:t>With</w:t>
      </w:r>
      <w:r w:rsidR="00033D0F">
        <w:rPr>
          <w:spacing w:val="39"/>
        </w:rPr>
        <w:t xml:space="preserve"> </w:t>
      </w:r>
      <w:r w:rsidR="00033D0F">
        <w:t>respect</w:t>
      </w:r>
      <w:r w:rsidR="00033D0F">
        <w:rPr>
          <w:spacing w:val="41"/>
        </w:rPr>
        <w:t xml:space="preserve"> </w:t>
      </w:r>
      <w:r w:rsidR="00033D0F">
        <w:t>to</w:t>
      </w:r>
      <w:r w:rsidR="00033D0F">
        <w:rPr>
          <w:spacing w:val="38"/>
        </w:rPr>
        <w:t xml:space="preserve"> </w:t>
      </w:r>
      <w:r w:rsidR="00033D0F">
        <w:t>levels</w:t>
      </w:r>
      <w:r w:rsidR="00033D0F">
        <w:rPr>
          <w:spacing w:val="41"/>
        </w:rPr>
        <w:t xml:space="preserve"> </w:t>
      </w:r>
      <w:r w:rsidR="00033D0F">
        <w:t>of</w:t>
      </w:r>
      <w:r w:rsidR="00033D0F">
        <w:rPr>
          <w:spacing w:val="39"/>
        </w:rPr>
        <w:t xml:space="preserve"> </w:t>
      </w:r>
      <w:r w:rsidR="00033D0F">
        <w:t>trade,</w:t>
      </w:r>
      <w:r w:rsidR="00033D0F">
        <w:rPr>
          <w:spacing w:val="43"/>
        </w:rPr>
        <w:t xml:space="preserve"> </w:t>
      </w:r>
      <w:r w:rsidR="00033D0F">
        <w:t>where</w:t>
      </w:r>
      <w:r w:rsidR="00033D0F">
        <w:rPr>
          <w:spacing w:val="41"/>
        </w:rPr>
        <w:t xml:space="preserve"> </w:t>
      </w:r>
      <w:r w:rsidR="00033D0F">
        <w:rPr>
          <w:spacing w:val="-2"/>
        </w:rPr>
        <w:t>necessary</w:t>
      </w:r>
    </w:p>
    <w:p w14:paraId="1ECF2871" w14:textId="530CA88D" w:rsidR="00BD462C" w:rsidRDefault="00D70C7D">
      <w:pPr>
        <w:pStyle w:val="BodyText"/>
        <w:spacing w:before="144" w:line="360" w:lineRule="auto"/>
        <w:ind w:left="136" w:right="918" w:firstLine="2808"/>
        <w:jc w:val="both"/>
      </w:pPr>
      <w:r>
        <w:rPr>
          <w:noProof/>
        </w:rPr>
        <mc:AlternateContent>
          <mc:Choice Requires="wps">
            <w:drawing>
              <wp:anchor distT="0" distB="0" distL="114300" distR="114300" simplePos="0" relativeHeight="15751168" behindDoc="0" locked="0" layoutInCell="1" allowOverlap="1" wp14:anchorId="35822AC3" wp14:editId="294C0C33">
                <wp:simplePos x="0" y="0"/>
                <wp:positionH relativeFrom="page">
                  <wp:posOffset>899160</wp:posOffset>
                </wp:positionH>
                <wp:positionV relativeFrom="paragraph">
                  <wp:posOffset>90170</wp:posOffset>
                </wp:positionV>
                <wp:extent cx="1688465" cy="186055"/>
                <wp:effectExtent l="0" t="0" r="0" b="0"/>
                <wp:wrapNone/>
                <wp:docPr id="1332" name="docshape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846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1E078D" id="docshape50" o:spid="_x0000_s1026" alt="&quot;&quot;" style="position:absolute;margin-left:70.8pt;margin-top:7.1pt;width:132.95pt;height:14.65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" fillcolor="black" stroked="f">
                <w10:wrap anchorx="page"/>
              </v:rect>
            </w:pict>
          </mc:Fallback>
        </mc:AlternateContent>
      </w:r>
      <w:r w:rsidR="00033D0F">
        <w:t>adjustments must be made in order to comply with the mandatory requirement in the second sentence. MOFCOM did not make the necessary adjustments and therefore did not comply with the mandatory requirement in the second sentence. By not making the adjustments, MOFCOM also contravened the third sentence of Article 2.4.</w:t>
      </w:r>
    </w:p>
    <w:p w14:paraId="0C4F4A86" w14:textId="77777777" w:rsidR="00BD462C" w:rsidRDefault="00BD462C">
      <w:pPr>
        <w:pStyle w:val="BodyText"/>
        <w:spacing w:before="10"/>
        <w:rPr>
          <w:sz w:val="8"/>
        </w:rPr>
      </w:pPr>
    </w:p>
    <w:p w14:paraId="58EAB77E" w14:textId="7BCD65AC" w:rsidR="00BD462C" w:rsidRDefault="00033D0F" w:rsidP="00652F97">
      <w:pPr>
        <w:pStyle w:val="BodyText"/>
        <w:numPr>
          <w:ilvl w:val="0"/>
          <w:numId w:val="68"/>
        </w:numPr>
        <w:spacing w:before="56" w:line="360" w:lineRule="auto"/>
        <w:ind w:right="915"/>
        <w:jc w:val="both"/>
      </w:pPr>
      <w:r>
        <w:rPr>
          <w:position w:val="1"/>
        </w:rPr>
        <w:t>China</w:t>
      </w:r>
      <w:r>
        <w:rPr>
          <w:spacing w:val="-8"/>
          <w:position w:val="1"/>
        </w:rPr>
        <w:t xml:space="preserve"> </w:t>
      </w:r>
      <w:r>
        <w:rPr>
          <w:position w:val="1"/>
        </w:rPr>
        <w:t>stated</w:t>
      </w:r>
      <w:r>
        <w:rPr>
          <w:spacing w:val="-9"/>
          <w:position w:val="1"/>
        </w:rPr>
        <w:t xml:space="preserve"> </w:t>
      </w:r>
      <w:r>
        <w:rPr>
          <w:position w:val="1"/>
        </w:rPr>
        <w:t>that</w:t>
      </w:r>
      <w:r>
        <w:rPr>
          <w:spacing w:val="-7"/>
          <w:position w:val="1"/>
        </w:rPr>
        <w:t xml:space="preserve"> </w:t>
      </w:r>
      <w:r>
        <w:rPr>
          <w:position w:val="1"/>
        </w:rPr>
        <w:t>"[i]n</w:t>
      </w:r>
      <w:r>
        <w:rPr>
          <w:spacing w:val="-9"/>
          <w:position w:val="1"/>
        </w:rPr>
        <w:t xml:space="preserve"> </w:t>
      </w:r>
      <w:r>
        <w:rPr>
          <w:position w:val="1"/>
        </w:rPr>
        <w:t>the</w:t>
      </w:r>
      <w:r>
        <w:rPr>
          <w:spacing w:val="-7"/>
          <w:position w:val="1"/>
        </w:rPr>
        <w:t xml:space="preserve"> </w:t>
      </w:r>
      <w:r>
        <w:rPr>
          <w:position w:val="1"/>
        </w:rPr>
        <w:t>present</w:t>
      </w:r>
      <w:r>
        <w:rPr>
          <w:spacing w:val="-7"/>
          <w:position w:val="1"/>
        </w:rPr>
        <w:t xml:space="preserve"> </w:t>
      </w:r>
      <w:r>
        <w:rPr>
          <w:position w:val="1"/>
        </w:rPr>
        <w:t>case,</w:t>
      </w:r>
      <w:r>
        <w:rPr>
          <w:spacing w:val="-5"/>
          <w:position w:val="1"/>
        </w:rPr>
        <w:t xml:space="preserve"> </w:t>
      </w:r>
      <w:r>
        <w:rPr>
          <w:position w:val="1"/>
        </w:rPr>
        <w:t>MOFCOM</w:t>
      </w:r>
      <w:r>
        <w:rPr>
          <w:spacing w:val="-11"/>
          <w:position w:val="1"/>
        </w:rPr>
        <w:t xml:space="preserve"> </w:t>
      </w:r>
      <w:r>
        <w:rPr>
          <w:position w:val="1"/>
        </w:rPr>
        <w:t>complied</w:t>
      </w:r>
      <w:r>
        <w:rPr>
          <w:spacing w:val="-9"/>
          <w:position w:val="1"/>
        </w:rPr>
        <w:t xml:space="preserve"> </w:t>
      </w:r>
      <w:r>
        <w:rPr>
          <w:position w:val="1"/>
        </w:rPr>
        <w:t>with</w:t>
      </w:r>
      <w:r>
        <w:rPr>
          <w:spacing w:val="-14"/>
          <w:position w:val="1"/>
        </w:rPr>
        <w:t xml:space="preserve"> </w:t>
      </w:r>
      <w:r>
        <w:rPr>
          <w:position w:val="1"/>
        </w:rPr>
        <w:t>its</w:t>
      </w:r>
      <w:r>
        <w:rPr>
          <w:spacing w:val="-6"/>
          <w:position w:val="1"/>
        </w:rPr>
        <w:t xml:space="preserve"> </w:t>
      </w:r>
      <w:r>
        <w:rPr>
          <w:position w:val="1"/>
        </w:rPr>
        <w:t>obligation</w:t>
      </w:r>
      <w:r>
        <w:rPr>
          <w:spacing w:val="-9"/>
          <w:position w:val="1"/>
        </w:rPr>
        <w:t xml:space="preserve"> </w:t>
      </w:r>
      <w:r>
        <w:rPr>
          <w:position w:val="1"/>
        </w:rPr>
        <w:t xml:space="preserve">under </w:t>
      </w:r>
      <w:r>
        <w:t>the second sentence of Article</w:t>
      </w:r>
      <w:r>
        <w:rPr>
          <w:spacing w:val="-2"/>
        </w:rPr>
        <w:t xml:space="preserve"> </w:t>
      </w:r>
      <w:r>
        <w:t>2.4 to compare the normal value and the export price at the same level of trade, in this case at the ex-factory level."</w:t>
      </w:r>
      <w:hyperlink w:anchor="_bookmark212" w:history="1">
        <w:r>
          <w:rPr>
            <w:vertAlign w:val="superscript"/>
          </w:rPr>
          <w:t>162</w:t>
        </w:r>
      </w:hyperlink>
      <w:r>
        <w:t xml:space="preserve"> While China appears to tacitly concede</w:t>
      </w:r>
      <w:r>
        <w:rPr>
          <w:spacing w:val="-7"/>
        </w:rPr>
        <w:t xml:space="preserve"> </w:t>
      </w:r>
      <w:r>
        <w:t>that</w:t>
      </w:r>
      <w:r>
        <w:rPr>
          <w:spacing w:val="-7"/>
        </w:rPr>
        <w:t xml:space="preserve"> </w:t>
      </w:r>
      <w:r>
        <w:t>it</w:t>
      </w:r>
      <w:r>
        <w:rPr>
          <w:spacing w:val="-7"/>
        </w:rPr>
        <w:t xml:space="preserve"> </w:t>
      </w:r>
      <w:r>
        <w:t>did</w:t>
      </w:r>
      <w:r>
        <w:rPr>
          <w:spacing w:val="-9"/>
        </w:rPr>
        <w:t xml:space="preserve"> </w:t>
      </w:r>
      <w:r>
        <w:t>not</w:t>
      </w:r>
      <w:r>
        <w:rPr>
          <w:spacing w:val="-7"/>
        </w:rPr>
        <w:t xml:space="preserve"> </w:t>
      </w:r>
      <w:r>
        <w:t>meet</w:t>
      </w:r>
      <w:r>
        <w:rPr>
          <w:spacing w:val="-7"/>
        </w:rPr>
        <w:t xml:space="preserve"> </w:t>
      </w:r>
      <w:r>
        <w:t>its</w:t>
      </w:r>
      <w:r>
        <w:rPr>
          <w:spacing w:val="-6"/>
        </w:rPr>
        <w:t xml:space="preserve"> </w:t>
      </w:r>
      <w:r>
        <w:t>obligation</w:t>
      </w:r>
      <w:r>
        <w:rPr>
          <w:spacing w:val="-9"/>
        </w:rPr>
        <w:t xml:space="preserve"> </w:t>
      </w:r>
      <w:r>
        <w:t>to</w:t>
      </w:r>
      <w:r>
        <w:rPr>
          <w:spacing w:val="-10"/>
        </w:rPr>
        <w:t xml:space="preserve"> </w:t>
      </w:r>
      <w:r>
        <w:t>make</w:t>
      </w:r>
      <w:r>
        <w:rPr>
          <w:spacing w:val="-7"/>
        </w:rPr>
        <w:t xml:space="preserve"> </w:t>
      </w:r>
      <w:r>
        <w:t>"due</w:t>
      </w:r>
      <w:r>
        <w:rPr>
          <w:spacing w:val="-7"/>
        </w:rPr>
        <w:t xml:space="preserve"> </w:t>
      </w:r>
      <w:r>
        <w:t>allowance"</w:t>
      </w:r>
      <w:r>
        <w:rPr>
          <w:spacing w:val="-8"/>
        </w:rPr>
        <w:t xml:space="preserve"> </w:t>
      </w:r>
      <w:r>
        <w:t>under</w:t>
      </w:r>
      <w:r>
        <w:rPr>
          <w:spacing w:val="-5"/>
        </w:rPr>
        <w:t xml:space="preserve"> </w:t>
      </w:r>
      <w:r>
        <w:t>the</w:t>
      </w:r>
      <w:r>
        <w:rPr>
          <w:spacing w:val="-7"/>
        </w:rPr>
        <w:t xml:space="preserve"> </w:t>
      </w:r>
      <w:r>
        <w:t>third</w:t>
      </w:r>
      <w:r>
        <w:rPr>
          <w:spacing w:val="-9"/>
        </w:rPr>
        <w:t xml:space="preserve"> </w:t>
      </w:r>
      <w:r>
        <w:t>sentence, there</w:t>
      </w:r>
      <w:r>
        <w:rPr>
          <w:spacing w:val="-7"/>
        </w:rPr>
        <w:t xml:space="preserve"> </w:t>
      </w:r>
      <w:r>
        <w:t>is</w:t>
      </w:r>
      <w:r>
        <w:rPr>
          <w:spacing w:val="-6"/>
        </w:rPr>
        <w:t xml:space="preserve"> </w:t>
      </w:r>
      <w:r>
        <w:t>no</w:t>
      </w:r>
      <w:r>
        <w:rPr>
          <w:spacing w:val="-9"/>
        </w:rPr>
        <w:t xml:space="preserve"> </w:t>
      </w:r>
      <w:r>
        <w:t>basis</w:t>
      </w:r>
      <w:r>
        <w:rPr>
          <w:spacing w:val="-6"/>
        </w:rPr>
        <w:t xml:space="preserve"> </w:t>
      </w:r>
      <w:r>
        <w:t>for</w:t>
      </w:r>
      <w:r>
        <w:rPr>
          <w:spacing w:val="-10"/>
        </w:rPr>
        <w:t xml:space="preserve"> </w:t>
      </w:r>
      <w:r>
        <w:t>the</w:t>
      </w:r>
      <w:r>
        <w:rPr>
          <w:spacing w:val="-7"/>
        </w:rPr>
        <w:t xml:space="preserve"> </w:t>
      </w:r>
      <w:r>
        <w:t>claim</w:t>
      </w:r>
      <w:r>
        <w:rPr>
          <w:spacing w:val="-7"/>
        </w:rPr>
        <w:t xml:space="preserve"> </w:t>
      </w:r>
      <w:r>
        <w:t>that</w:t>
      </w:r>
      <w:r>
        <w:rPr>
          <w:spacing w:val="-7"/>
        </w:rPr>
        <w:t xml:space="preserve"> </w:t>
      </w:r>
      <w:r>
        <w:t>it</w:t>
      </w:r>
      <w:r>
        <w:rPr>
          <w:spacing w:val="-7"/>
        </w:rPr>
        <w:t xml:space="preserve"> </w:t>
      </w:r>
      <w:r>
        <w:t>met</w:t>
      </w:r>
      <w:r>
        <w:rPr>
          <w:spacing w:val="-7"/>
        </w:rPr>
        <w:t xml:space="preserve"> </w:t>
      </w:r>
      <w:r>
        <w:t>its</w:t>
      </w:r>
      <w:r>
        <w:rPr>
          <w:spacing w:val="-6"/>
        </w:rPr>
        <w:t xml:space="preserve"> </w:t>
      </w:r>
      <w:r>
        <w:t>obligation</w:t>
      </w:r>
      <w:r>
        <w:rPr>
          <w:spacing w:val="-9"/>
        </w:rPr>
        <w:t xml:space="preserve"> </w:t>
      </w:r>
      <w:r>
        <w:t>under</w:t>
      </w:r>
      <w:r>
        <w:rPr>
          <w:spacing w:val="-5"/>
        </w:rPr>
        <w:t xml:space="preserve"> </w:t>
      </w:r>
      <w:r>
        <w:t>the</w:t>
      </w:r>
      <w:r>
        <w:rPr>
          <w:spacing w:val="-7"/>
        </w:rPr>
        <w:t xml:space="preserve"> </w:t>
      </w:r>
      <w:r>
        <w:t>second</w:t>
      </w:r>
      <w:r>
        <w:rPr>
          <w:spacing w:val="-9"/>
        </w:rPr>
        <w:t xml:space="preserve"> </w:t>
      </w:r>
      <w:r>
        <w:t>sentence.</w:t>
      </w:r>
      <w:r>
        <w:rPr>
          <w:spacing w:val="-6"/>
        </w:rPr>
        <w:t xml:space="preserve"> </w:t>
      </w:r>
      <w:r>
        <w:t>The</w:t>
      </w:r>
      <w:r>
        <w:rPr>
          <w:spacing w:val="-7"/>
        </w:rPr>
        <w:t xml:space="preserve"> </w:t>
      </w:r>
      <w:r>
        <w:t>record of</w:t>
      </w:r>
      <w:r>
        <w:rPr>
          <w:spacing w:val="-14"/>
        </w:rPr>
        <w:t xml:space="preserve"> </w:t>
      </w:r>
      <w:r>
        <w:t>evidence</w:t>
      </w:r>
      <w:r>
        <w:rPr>
          <w:spacing w:val="-14"/>
        </w:rPr>
        <w:t xml:space="preserve"> </w:t>
      </w:r>
      <w:r>
        <w:t>does</w:t>
      </w:r>
      <w:r>
        <w:rPr>
          <w:spacing w:val="-13"/>
        </w:rPr>
        <w:t xml:space="preserve"> </w:t>
      </w:r>
      <w:r>
        <w:t>not</w:t>
      </w:r>
      <w:r>
        <w:rPr>
          <w:spacing w:val="-14"/>
        </w:rPr>
        <w:t xml:space="preserve"> </w:t>
      </w:r>
      <w:r>
        <w:t>support</w:t>
      </w:r>
      <w:r>
        <w:rPr>
          <w:spacing w:val="-13"/>
        </w:rPr>
        <w:t xml:space="preserve"> </w:t>
      </w:r>
      <w:r>
        <w:t>China's</w:t>
      </w:r>
      <w:r>
        <w:rPr>
          <w:spacing w:val="-13"/>
        </w:rPr>
        <w:t xml:space="preserve"> </w:t>
      </w:r>
      <w:r>
        <w:t>claim</w:t>
      </w:r>
      <w:r>
        <w:rPr>
          <w:spacing w:val="-14"/>
        </w:rPr>
        <w:t xml:space="preserve"> </w:t>
      </w:r>
      <w:r>
        <w:t>that</w:t>
      </w:r>
      <w:r>
        <w:rPr>
          <w:spacing w:val="-12"/>
        </w:rPr>
        <w:t xml:space="preserve"> </w:t>
      </w:r>
      <w:r>
        <w:t>it</w:t>
      </w:r>
      <w:r>
        <w:rPr>
          <w:spacing w:val="-13"/>
        </w:rPr>
        <w:t xml:space="preserve"> </w:t>
      </w:r>
      <w:r>
        <w:t>compared</w:t>
      </w:r>
      <w:r>
        <w:rPr>
          <w:spacing w:val="-14"/>
        </w:rPr>
        <w:t xml:space="preserve"> </w:t>
      </w:r>
      <w:r>
        <w:t>the</w:t>
      </w:r>
      <w:r>
        <w:rPr>
          <w:spacing w:val="-13"/>
        </w:rPr>
        <w:t xml:space="preserve"> </w:t>
      </w:r>
      <w:r>
        <w:t>normal</w:t>
      </w:r>
      <w:r>
        <w:rPr>
          <w:spacing w:val="-11"/>
        </w:rPr>
        <w:t xml:space="preserve"> </w:t>
      </w:r>
      <w:r>
        <w:t>value</w:t>
      </w:r>
      <w:r>
        <w:rPr>
          <w:spacing w:val="-13"/>
        </w:rPr>
        <w:t xml:space="preserve"> </w:t>
      </w:r>
      <w:r>
        <w:t>and</w:t>
      </w:r>
      <w:r>
        <w:rPr>
          <w:spacing w:val="-14"/>
        </w:rPr>
        <w:t xml:space="preserve"> </w:t>
      </w:r>
      <w:r>
        <w:t>export</w:t>
      </w:r>
      <w:r>
        <w:rPr>
          <w:spacing w:val="-12"/>
        </w:rPr>
        <w:t xml:space="preserve"> </w:t>
      </w:r>
      <w:r>
        <w:t>price at the same level of trade, or on the same terms of sale, as required by Article 2.4.</w:t>
      </w:r>
      <w:r>
        <w:rPr>
          <w:spacing w:val="-32"/>
        </w:rPr>
        <w:t xml:space="preserve"> </w:t>
      </w:r>
      <w:hyperlink w:anchor="_bookmark213" w:history="1">
        <w:r>
          <w:rPr>
            <w:vertAlign w:val="superscript"/>
          </w:rPr>
          <w:t>163</w:t>
        </w:r>
      </w:hyperlink>
    </w:p>
    <w:p w14:paraId="3F8E3B2F" w14:textId="77777777" w:rsidR="00BD462C" w:rsidRDefault="00BD462C">
      <w:pPr>
        <w:pStyle w:val="BodyText"/>
        <w:spacing w:before="6"/>
        <w:rPr>
          <w:sz w:val="8"/>
        </w:rPr>
      </w:pPr>
    </w:p>
    <w:p w14:paraId="4E814ED1" w14:textId="6D95EC93" w:rsidR="00BD462C" w:rsidRDefault="00033D0F" w:rsidP="00652F97">
      <w:pPr>
        <w:pStyle w:val="BodyText"/>
        <w:numPr>
          <w:ilvl w:val="0"/>
          <w:numId w:val="68"/>
        </w:numPr>
        <w:spacing w:before="56" w:line="360" w:lineRule="auto"/>
        <w:ind w:right="911"/>
        <w:jc w:val="both"/>
      </w:pPr>
      <w:bookmarkStart w:id="241" w:name="_bookmark210"/>
      <w:bookmarkEnd w:id="241"/>
      <w:r>
        <w:rPr>
          <w:position w:val="1"/>
        </w:rPr>
        <w:t xml:space="preserve">Regarding Australia's related claim that MOFCOM failed to compare sales made at </w:t>
      </w:r>
      <w:r>
        <w:t>"as nearly as possible the same time", China does not raise the same arguments concerning its view of the relationship between the second and third sentences of Article</w:t>
      </w:r>
      <w:r>
        <w:rPr>
          <w:spacing w:val="-1"/>
        </w:rPr>
        <w:t xml:space="preserve"> </w:t>
      </w:r>
      <w:r>
        <w:t>2.4. Instead, China argues that "[a]s the complainant, it is for Australia to submit evidence and legal arguments in relation to its claim."</w:t>
      </w:r>
      <w:hyperlink w:anchor="_bookmark214" w:history="1">
        <w:r>
          <w:rPr>
            <w:vertAlign w:val="superscript"/>
          </w:rPr>
          <w:t>164</w:t>
        </w:r>
      </w:hyperlink>
      <w:r>
        <w:t xml:space="preserve"> Australia has clearly set out its </w:t>
      </w:r>
      <w:r>
        <w:rPr>
          <w:i/>
        </w:rPr>
        <w:t xml:space="preserve">prima facie </w:t>
      </w:r>
      <w:r>
        <w:t>case in its prior submissions.</w:t>
      </w:r>
      <w:hyperlink w:anchor="_bookmark215" w:history="1">
        <w:r>
          <w:rPr>
            <w:vertAlign w:val="superscript"/>
          </w:rPr>
          <w:t>165</w:t>
        </w:r>
      </w:hyperlink>
      <w:r>
        <w:t xml:space="preserve"> As Australia has argued, there is simply no reference on MOFCOM's record</w:t>
      </w:r>
      <w:r>
        <w:rPr>
          <w:spacing w:val="-14"/>
        </w:rPr>
        <w:t xml:space="preserve"> </w:t>
      </w:r>
      <w:r>
        <w:t>to</w:t>
      </w:r>
      <w:r>
        <w:rPr>
          <w:spacing w:val="-14"/>
        </w:rPr>
        <w:t xml:space="preserve"> </w:t>
      </w:r>
      <w:r>
        <w:t>suggest</w:t>
      </w:r>
      <w:r>
        <w:rPr>
          <w:spacing w:val="-13"/>
        </w:rPr>
        <w:t xml:space="preserve"> </w:t>
      </w:r>
      <w:r>
        <w:t>that</w:t>
      </w:r>
      <w:r>
        <w:rPr>
          <w:spacing w:val="-14"/>
        </w:rPr>
        <w:t xml:space="preserve"> </w:t>
      </w:r>
      <w:r>
        <w:t>it</w:t>
      </w:r>
      <w:r>
        <w:rPr>
          <w:spacing w:val="-13"/>
        </w:rPr>
        <w:t xml:space="preserve"> </w:t>
      </w:r>
      <w:r>
        <w:t>compared</w:t>
      </w:r>
      <w:r>
        <w:rPr>
          <w:spacing w:val="-14"/>
        </w:rPr>
        <w:t xml:space="preserve"> </w:t>
      </w:r>
      <w:r>
        <w:t>sales</w:t>
      </w:r>
      <w:r>
        <w:rPr>
          <w:spacing w:val="-13"/>
        </w:rPr>
        <w:t xml:space="preserve"> </w:t>
      </w:r>
      <w:r>
        <w:t>made</w:t>
      </w:r>
      <w:r>
        <w:rPr>
          <w:spacing w:val="-14"/>
        </w:rPr>
        <w:t xml:space="preserve"> </w:t>
      </w:r>
      <w:r>
        <w:t>at</w:t>
      </w:r>
      <w:r>
        <w:rPr>
          <w:spacing w:val="-14"/>
        </w:rPr>
        <w:t xml:space="preserve"> </w:t>
      </w:r>
      <w:r>
        <w:t>"as</w:t>
      </w:r>
      <w:r>
        <w:rPr>
          <w:spacing w:val="-13"/>
        </w:rPr>
        <w:t xml:space="preserve"> </w:t>
      </w:r>
      <w:r>
        <w:t>nearly</w:t>
      </w:r>
      <w:r>
        <w:rPr>
          <w:spacing w:val="-14"/>
        </w:rPr>
        <w:t xml:space="preserve"> </w:t>
      </w:r>
      <w:r>
        <w:t>as</w:t>
      </w:r>
      <w:r>
        <w:rPr>
          <w:spacing w:val="-13"/>
        </w:rPr>
        <w:t xml:space="preserve"> </w:t>
      </w:r>
      <w:r>
        <w:t>possible</w:t>
      </w:r>
      <w:r>
        <w:rPr>
          <w:spacing w:val="-14"/>
        </w:rPr>
        <w:t xml:space="preserve"> </w:t>
      </w:r>
      <w:r>
        <w:t>the</w:t>
      </w:r>
      <w:r>
        <w:rPr>
          <w:spacing w:val="-13"/>
        </w:rPr>
        <w:t xml:space="preserve"> </w:t>
      </w:r>
      <w:r>
        <w:t>same</w:t>
      </w:r>
      <w:r>
        <w:rPr>
          <w:spacing w:val="-14"/>
        </w:rPr>
        <w:t xml:space="preserve"> </w:t>
      </w:r>
      <w:r>
        <w:t>time".</w:t>
      </w:r>
      <w:r>
        <w:rPr>
          <w:spacing w:val="-14"/>
        </w:rPr>
        <w:t xml:space="preserve"> </w:t>
      </w:r>
      <w:r>
        <w:t xml:space="preserve">China's </w:t>
      </w:r>
      <w:r>
        <w:rPr>
          <w:i/>
        </w:rPr>
        <w:t xml:space="preserve">ex post facto </w:t>
      </w:r>
      <w:proofErr w:type="spellStart"/>
      <w:r>
        <w:t>rationalisations</w:t>
      </w:r>
      <w:proofErr w:type="spellEnd"/>
      <w:r>
        <w:t>, which are in any event of questionable relevance – related to the</w:t>
      </w:r>
      <w:r>
        <w:rPr>
          <w:spacing w:val="-14"/>
        </w:rPr>
        <w:t xml:space="preserve"> </w:t>
      </w:r>
      <w:r>
        <w:t>use</w:t>
      </w:r>
      <w:r>
        <w:rPr>
          <w:spacing w:val="-14"/>
        </w:rPr>
        <w:t xml:space="preserve"> </w:t>
      </w:r>
      <w:r>
        <w:t>of</w:t>
      </w:r>
      <w:r>
        <w:rPr>
          <w:spacing w:val="-13"/>
        </w:rPr>
        <w:t xml:space="preserve"> </w:t>
      </w:r>
      <w:r>
        <w:t>averaging</w:t>
      </w:r>
      <w:r>
        <w:rPr>
          <w:spacing w:val="-14"/>
        </w:rPr>
        <w:t xml:space="preserve"> </w:t>
      </w:r>
      <w:r>
        <w:t>under</w:t>
      </w:r>
      <w:r>
        <w:rPr>
          <w:spacing w:val="-13"/>
        </w:rPr>
        <w:t xml:space="preserve"> </w:t>
      </w:r>
      <w:r>
        <w:t>Article</w:t>
      </w:r>
      <w:r>
        <w:rPr>
          <w:spacing w:val="-3"/>
        </w:rPr>
        <w:t xml:space="preserve"> </w:t>
      </w:r>
      <w:r>
        <w:t>2.4.2.</w:t>
      </w:r>
      <w:r>
        <w:rPr>
          <w:spacing w:val="-14"/>
        </w:rPr>
        <w:t xml:space="preserve"> </w:t>
      </w:r>
      <w:hyperlink w:anchor="_bookmark216" w:history="1">
        <w:r>
          <w:rPr>
            <w:vertAlign w:val="superscript"/>
          </w:rPr>
          <w:t>166</w:t>
        </w:r>
      </w:hyperlink>
      <w:r>
        <w:rPr>
          <w:spacing w:val="-9"/>
        </w:rPr>
        <w:t xml:space="preserve"> </w:t>
      </w:r>
      <w:r>
        <w:t>which</w:t>
      </w:r>
      <w:r>
        <w:rPr>
          <w:spacing w:val="-13"/>
        </w:rPr>
        <w:t xml:space="preserve"> </w:t>
      </w:r>
      <w:r>
        <w:t>China</w:t>
      </w:r>
      <w:r>
        <w:rPr>
          <w:spacing w:val="-11"/>
        </w:rPr>
        <w:t xml:space="preserve"> </w:t>
      </w:r>
      <w:r>
        <w:t>never</w:t>
      </w:r>
      <w:r>
        <w:rPr>
          <w:spacing w:val="-14"/>
        </w:rPr>
        <w:t xml:space="preserve"> </w:t>
      </w:r>
      <w:r>
        <w:t>claimed</w:t>
      </w:r>
      <w:r>
        <w:rPr>
          <w:spacing w:val="-12"/>
        </w:rPr>
        <w:t xml:space="preserve"> </w:t>
      </w:r>
      <w:r>
        <w:t>to</w:t>
      </w:r>
      <w:r>
        <w:rPr>
          <w:spacing w:val="-9"/>
        </w:rPr>
        <w:t xml:space="preserve"> </w:t>
      </w:r>
      <w:r>
        <w:t>use</w:t>
      </w:r>
      <w:r>
        <w:rPr>
          <w:spacing w:val="-11"/>
        </w:rPr>
        <w:t xml:space="preserve"> </w:t>
      </w:r>
      <w:r>
        <w:t>–</w:t>
      </w:r>
      <w:r>
        <w:rPr>
          <w:spacing w:val="-11"/>
        </w:rPr>
        <w:t xml:space="preserve"> </w:t>
      </w:r>
      <w:r>
        <w:t>cannot</w:t>
      </w:r>
      <w:r>
        <w:rPr>
          <w:spacing w:val="-10"/>
        </w:rPr>
        <w:t xml:space="preserve"> </w:t>
      </w:r>
      <w:r>
        <w:t xml:space="preserve">absolve </w:t>
      </w:r>
      <w:proofErr w:type="gramStart"/>
      <w:r>
        <w:t>MOFCOM's</w:t>
      </w:r>
      <w:proofErr w:type="gramEnd"/>
      <w:r>
        <w:t xml:space="preserve"> of its failures in this regard.</w:t>
      </w:r>
    </w:p>
    <w:p w14:paraId="51B99279" w14:textId="77777777" w:rsidR="00BD462C" w:rsidRDefault="00BD462C">
      <w:pPr>
        <w:pStyle w:val="BodyText"/>
        <w:rPr>
          <w:sz w:val="20"/>
        </w:rPr>
      </w:pPr>
    </w:p>
    <w:p w14:paraId="57351109" w14:textId="77777777" w:rsidR="00BD462C" w:rsidRDefault="00BD462C">
      <w:pPr>
        <w:pStyle w:val="BodyText"/>
        <w:rPr>
          <w:sz w:val="20"/>
        </w:rPr>
      </w:pPr>
    </w:p>
    <w:p w14:paraId="29DB6162" w14:textId="77777777" w:rsidR="00BD462C" w:rsidRDefault="00BD462C">
      <w:pPr>
        <w:pStyle w:val="BodyText"/>
        <w:rPr>
          <w:sz w:val="20"/>
        </w:rPr>
      </w:pPr>
    </w:p>
    <w:p w14:paraId="6033C1A5" w14:textId="77777777" w:rsidR="00BD462C" w:rsidRDefault="00BD462C">
      <w:pPr>
        <w:pStyle w:val="BodyText"/>
        <w:rPr>
          <w:sz w:val="20"/>
        </w:rPr>
      </w:pPr>
    </w:p>
    <w:p w14:paraId="3C98B700" w14:textId="24D843EA" w:rsidR="00BD462C" w:rsidRDefault="00BD462C">
      <w:pPr>
        <w:pStyle w:val="BodyText"/>
        <w:spacing w:before="10"/>
        <w:rPr>
          <w:sz w:val="14"/>
        </w:rPr>
      </w:pPr>
    </w:p>
    <w:p w14:paraId="49B14F98" w14:textId="17B23017" w:rsidR="00BD462C" w:rsidRDefault="009A6330">
      <w:pPr>
        <w:pStyle w:val="BodyText"/>
        <w:spacing w:before="11"/>
        <w:rPr>
          <w:sz w:val="9"/>
        </w:rPr>
      </w:pPr>
      <w:r>
        <w:rPr>
          <w:noProof/>
        </w:rPr>
        <mc:AlternateContent>
          <mc:Choice Requires="wps">
            <w:drawing>
              <wp:anchor distT="0" distB="0" distL="0" distR="0" simplePos="0" relativeHeight="487995904" behindDoc="1" locked="0" layoutInCell="1" allowOverlap="1" wp14:anchorId="4C8D6876" wp14:editId="657CCE13">
                <wp:simplePos x="0" y="0"/>
                <wp:positionH relativeFrom="page">
                  <wp:posOffset>812800</wp:posOffset>
                </wp:positionH>
                <wp:positionV relativeFrom="paragraph">
                  <wp:posOffset>11430</wp:posOffset>
                </wp:positionV>
                <wp:extent cx="1828800" cy="8890"/>
                <wp:effectExtent l="0" t="0" r="0" b="0"/>
                <wp:wrapTopAndBottom/>
                <wp:docPr id="1410" name="docshape7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FCCE50" id="docshape712" o:spid="_x0000_s1026" alt="&quot;&quot;" style="position:absolute;margin-left:64pt;margin-top:.9pt;width:2in;height:.7pt;z-index:-15320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" fillcolor="black" stroked="f">
                <w10:wrap type="topAndBottom" anchorx="page"/>
              </v:rect>
            </w:pict>
          </mc:Fallback>
        </mc:AlternateContent>
      </w:r>
    </w:p>
    <w:p w14:paraId="324756D5" w14:textId="42232B57" w:rsidR="00BD462C" w:rsidRDefault="00D70C7D">
      <w:pPr>
        <w:ind w:left="135"/>
        <w:rPr>
          <w:sz w:val="12"/>
        </w:rPr>
      </w:pPr>
      <w:r>
        <w:rPr>
          <w:noProof/>
        </w:rPr>
        <mc:AlternateContent>
          <mc:Choice Requires="wps">
            <w:drawing>
              <wp:anchor distT="0" distB="0" distL="114300" distR="114300" simplePos="0" relativeHeight="478913024" behindDoc="1" locked="0" layoutInCell="1" allowOverlap="1" wp14:anchorId="38BA2DB8" wp14:editId="7FFAAF07">
                <wp:simplePos x="0" y="0"/>
                <wp:positionH relativeFrom="page">
                  <wp:posOffset>899160</wp:posOffset>
                </wp:positionH>
                <wp:positionV relativeFrom="paragraph">
                  <wp:posOffset>-3810</wp:posOffset>
                </wp:positionV>
                <wp:extent cx="5760720" cy="558165"/>
                <wp:effectExtent l="0" t="0" r="0" b="0"/>
                <wp:wrapNone/>
                <wp:docPr id="1328" name="docshape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0720" cy="558165"/>
                        </a:xfrm>
                        <a:custGeom>
                          <a:avLst/>
                          <a:gdLst>
                            <a:gd name="T0" fmla="+- 0 10488 1416"/>
                            <a:gd name="T1" fmla="*/ T0 w 9072"/>
                            <a:gd name="T2" fmla="+- 0 -6 -6"/>
                            <a:gd name="T3" fmla="*/ -6 h 879"/>
                            <a:gd name="T4" fmla="+- 0 2117 1416"/>
                            <a:gd name="T5" fmla="*/ T4 w 9072"/>
                            <a:gd name="T6" fmla="+- 0 -6 -6"/>
                            <a:gd name="T7" fmla="*/ -6 h 879"/>
                            <a:gd name="T8" fmla="+- 0 2117 1416"/>
                            <a:gd name="T9" fmla="*/ T8 w 9072"/>
                            <a:gd name="T10" fmla="+- 0 210 -6"/>
                            <a:gd name="T11" fmla="*/ 210 h 879"/>
                            <a:gd name="T12" fmla="+- 0 1416 1416"/>
                            <a:gd name="T13" fmla="*/ T12 w 9072"/>
                            <a:gd name="T14" fmla="+- 0 210 -6"/>
                            <a:gd name="T15" fmla="*/ 210 h 879"/>
                            <a:gd name="T16" fmla="+- 0 1416 1416"/>
                            <a:gd name="T17" fmla="*/ T16 w 9072"/>
                            <a:gd name="T18" fmla="+- 0 431 -6"/>
                            <a:gd name="T19" fmla="*/ 431 h 879"/>
                            <a:gd name="T20" fmla="+- 0 1416 1416"/>
                            <a:gd name="T21" fmla="*/ T20 w 9072"/>
                            <a:gd name="T22" fmla="+- 0 652 -6"/>
                            <a:gd name="T23" fmla="*/ 652 h 879"/>
                            <a:gd name="T24" fmla="+- 0 1416 1416"/>
                            <a:gd name="T25" fmla="*/ T24 w 9072"/>
                            <a:gd name="T26" fmla="+- 0 873 -6"/>
                            <a:gd name="T27" fmla="*/ 873 h 879"/>
                            <a:gd name="T28" fmla="+- 0 8722 1416"/>
                            <a:gd name="T29" fmla="*/ T28 w 9072"/>
                            <a:gd name="T30" fmla="+- 0 873 -6"/>
                            <a:gd name="T31" fmla="*/ 873 h 879"/>
                            <a:gd name="T32" fmla="+- 0 8722 1416"/>
                            <a:gd name="T33" fmla="*/ T32 w 9072"/>
                            <a:gd name="T34" fmla="+- 0 652 -6"/>
                            <a:gd name="T35" fmla="*/ 652 h 879"/>
                            <a:gd name="T36" fmla="+- 0 10406 1416"/>
                            <a:gd name="T37" fmla="*/ T36 w 9072"/>
                            <a:gd name="T38" fmla="+- 0 652 -6"/>
                            <a:gd name="T39" fmla="*/ 652 h 879"/>
                            <a:gd name="T40" fmla="+- 0 10406 1416"/>
                            <a:gd name="T41" fmla="*/ T40 w 9072"/>
                            <a:gd name="T42" fmla="+- 0 431 -6"/>
                            <a:gd name="T43" fmla="*/ 431 h 879"/>
                            <a:gd name="T44" fmla="+- 0 5405 1416"/>
                            <a:gd name="T45" fmla="*/ T44 w 9072"/>
                            <a:gd name="T46" fmla="+- 0 431 -6"/>
                            <a:gd name="T47" fmla="*/ 431 h 879"/>
                            <a:gd name="T48" fmla="+- 0 5405 1416"/>
                            <a:gd name="T49" fmla="*/ T48 w 9072"/>
                            <a:gd name="T50" fmla="+- 0 210 -6"/>
                            <a:gd name="T51" fmla="*/ 210 h 879"/>
                            <a:gd name="T52" fmla="+- 0 10488 1416"/>
                            <a:gd name="T53" fmla="*/ T52 w 9072"/>
                            <a:gd name="T54" fmla="+- 0 210 -6"/>
                            <a:gd name="T55" fmla="*/ 210 h 879"/>
                            <a:gd name="T56" fmla="+- 0 10488 1416"/>
                            <a:gd name="T57" fmla="*/ T56 w 9072"/>
                            <a:gd name="T58" fmla="+- 0 -6 -6"/>
                            <a:gd name="T59" fmla="*/ -6 h 8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072" h="879">
                              <a:moveTo>
                                <a:pt x="9072" y="0"/>
                              </a:moveTo>
                              <a:lnTo>
                                <a:pt x="701" y="0"/>
                              </a:lnTo>
                              <a:lnTo>
                                <a:pt x="701" y="216"/>
                              </a:lnTo>
                              <a:lnTo>
                                <a:pt x="0" y="216"/>
                              </a:lnTo>
                              <a:lnTo>
                                <a:pt x="0" y="437"/>
                              </a:lnTo>
                              <a:lnTo>
                                <a:pt x="0" y="658"/>
                              </a:lnTo>
                              <a:lnTo>
                                <a:pt x="0" y="879"/>
                              </a:lnTo>
                              <a:lnTo>
                                <a:pt x="7306" y="879"/>
                              </a:lnTo>
                              <a:lnTo>
                                <a:pt x="7306" y="658"/>
                              </a:lnTo>
                              <a:lnTo>
                                <a:pt x="8990" y="658"/>
                              </a:lnTo>
                              <a:lnTo>
                                <a:pt x="8990" y="437"/>
                              </a:lnTo>
                              <a:lnTo>
                                <a:pt x="3989" y="437"/>
                              </a:lnTo>
                              <a:lnTo>
                                <a:pt x="3989" y="216"/>
                              </a:lnTo>
                              <a:lnTo>
                                <a:pt x="9072" y="216"/>
                              </a:lnTo>
                              <a:lnTo>
                                <a:pt x="90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775E5" id="docshape52" o:spid="_x0000_s1026" alt="&quot;&quot;" style="position:absolute;margin-left:70.8pt;margin-top:-.3pt;width:453.6pt;height:43.95pt;z-index:-2440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72,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" path="m9072,l701,r,216l,216,,437,,658,,879r7306,l7306,658r1684,l8990,437r-5001,l3989,216r5083,l9072,xe" fillcolor="black" stroked="f">
                <v:path arrowok="t" o:connecttype="custom" o:connectlocs="5760720,-3810;445135,-3810;445135,133350;0,133350;0,273685;0,414020;0,554355;4639310,554355;4639310,414020;5708650,414020;5708650,273685;2533015,273685;2533015,133350;5760720,133350;5760720,-3810" o:connectangles="0,0,0,0,0,0,0,0,0,0,0,0,0,0,0"/>
                <w10:wrap anchorx="page"/>
              </v:shape>
            </w:pict>
          </mc:Fallback>
        </mc:AlternateContent>
      </w:r>
      <w:bookmarkStart w:id="242" w:name="_bookmark211"/>
      <w:bookmarkEnd w:id="242"/>
      <w:r w:rsidR="00033D0F">
        <w:rPr>
          <w:spacing w:val="-5"/>
          <w:sz w:val="12"/>
        </w:rPr>
        <w:t>161</w:t>
      </w:r>
    </w:p>
    <w:p w14:paraId="75DAF055" w14:textId="77777777" w:rsidR="00BD462C" w:rsidRDefault="00033D0F">
      <w:pPr>
        <w:spacing w:before="65"/>
        <w:ind w:left="4172"/>
        <w:rPr>
          <w:sz w:val="18"/>
        </w:rPr>
      </w:pPr>
      <w:r>
        <w:rPr>
          <w:sz w:val="18"/>
        </w:rPr>
        <w:t>See</w:t>
      </w:r>
      <w:r>
        <w:rPr>
          <w:spacing w:val="-1"/>
          <w:sz w:val="18"/>
        </w:rPr>
        <w:t xml:space="preserve"> </w:t>
      </w:r>
      <w:r>
        <w:rPr>
          <w:sz w:val="18"/>
        </w:rPr>
        <w:t>Australia's</w:t>
      </w:r>
      <w:r>
        <w:rPr>
          <w:spacing w:val="2"/>
          <w:sz w:val="18"/>
        </w:rPr>
        <w:t xml:space="preserve"> </w:t>
      </w:r>
      <w:r>
        <w:rPr>
          <w:sz w:val="18"/>
        </w:rPr>
        <w:t>first</w:t>
      </w:r>
      <w:r>
        <w:rPr>
          <w:spacing w:val="-1"/>
          <w:sz w:val="18"/>
        </w:rPr>
        <w:t xml:space="preserve"> </w:t>
      </w:r>
      <w:r>
        <w:rPr>
          <w:sz w:val="18"/>
        </w:rPr>
        <w:t>written</w:t>
      </w:r>
      <w:r>
        <w:rPr>
          <w:spacing w:val="3"/>
          <w:sz w:val="18"/>
        </w:rPr>
        <w:t xml:space="preserve"> </w:t>
      </w:r>
      <w:r>
        <w:rPr>
          <w:sz w:val="18"/>
        </w:rPr>
        <w:t>submission,</w:t>
      </w:r>
      <w:r>
        <w:rPr>
          <w:spacing w:val="5"/>
          <w:sz w:val="18"/>
        </w:rPr>
        <w:t xml:space="preserve"> </w:t>
      </w:r>
      <w:r>
        <w:rPr>
          <w:sz w:val="18"/>
        </w:rPr>
        <w:t>paras. 122</w:t>
      </w:r>
      <w:r>
        <w:rPr>
          <w:spacing w:val="1"/>
          <w:sz w:val="18"/>
        </w:rPr>
        <w:t xml:space="preserve"> </w:t>
      </w:r>
      <w:r>
        <w:rPr>
          <w:sz w:val="18"/>
        </w:rPr>
        <w:t>and</w:t>
      </w:r>
      <w:r>
        <w:rPr>
          <w:spacing w:val="3"/>
          <w:sz w:val="18"/>
        </w:rPr>
        <w:t xml:space="preserve"> </w:t>
      </w:r>
      <w:r>
        <w:rPr>
          <w:sz w:val="18"/>
        </w:rPr>
        <w:t>503. See</w:t>
      </w:r>
      <w:r>
        <w:rPr>
          <w:spacing w:val="-2"/>
          <w:sz w:val="18"/>
        </w:rPr>
        <w:t xml:space="preserve"> </w:t>
      </w:r>
      <w:r>
        <w:rPr>
          <w:spacing w:val="-4"/>
          <w:sz w:val="18"/>
        </w:rPr>
        <w:t>also</w:t>
      </w:r>
    </w:p>
    <w:p w14:paraId="6B42ED9A" w14:textId="77777777" w:rsidR="00BD462C" w:rsidRDefault="00BD462C">
      <w:pPr>
        <w:pStyle w:val="BodyText"/>
        <w:spacing w:before="10"/>
        <w:rPr>
          <w:sz w:val="12"/>
        </w:rPr>
      </w:pPr>
    </w:p>
    <w:p w14:paraId="01A22F8D" w14:textId="77777777" w:rsidR="00BD462C" w:rsidRDefault="00033D0F">
      <w:pPr>
        <w:spacing w:before="65" w:line="218" w:lineRule="exact"/>
        <w:ind w:left="7331"/>
        <w:rPr>
          <w:sz w:val="18"/>
        </w:rPr>
      </w:pPr>
      <w:r>
        <w:rPr>
          <w:spacing w:val="-5"/>
          <w:sz w:val="18"/>
        </w:rPr>
        <w:t>]]</w:t>
      </w:r>
    </w:p>
    <w:p w14:paraId="4606D86A" w14:textId="77777777" w:rsidR="00BD462C" w:rsidRDefault="00033D0F">
      <w:pPr>
        <w:spacing w:line="218" w:lineRule="exact"/>
        <w:ind w:left="135"/>
        <w:rPr>
          <w:sz w:val="18"/>
        </w:rPr>
      </w:pPr>
      <w:bookmarkStart w:id="243" w:name="_bookmark212"/>
      <w:bookmarkEnd w:id="243"/>
      <w:r>
        <w:rPr>
          <w:position w:val="5"/>
          <w:sz w:val="12"/>
        </w:rPr>
        <w:t>162</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 xml:space="preserve">submission, para. </w:t>
      </w:r>
      <w:r>
        <w:rPr>
          <w:spacing w:val="-4"/>
          <w:sz w:val="18"/>
        </w:rPr>
        <w:t>827.</w:t>
      </w:r>
    </w:p>
    <w:p w14:paraId="0FA92A16" w14:textId="77777777" w:rsidR="00BD462C" w:rsidRDefault="00033D0F">
      <w:pPr>
        <w:spacing w:before="1"/>
        <w:ind w:left="135"/>
        <w:rPr>
          <w:sz w:val="18"/>
        </w:rPr>
      </w:pPr>
      <w:bookmarkStart w:id="244" w:name="_bookmark213"/>
      <w:bookmarkEnd w:id="244"/>
      <w:r>
        <w:rPr>
          <w:position w:val="5"/>
          <w:sz w:val="12"/>
        </w:rPr>
        <w:t>163</w:t>
      </w:r>
      <w:r>
        <w:rPr>
          <w:spacing w:val="12"/>
          <w:position w:val="5"/>
          <w:sz w:val="12"/>
        </w:rPr>
        <w:t xml:space="preserve"> </w:t>
      </w:r>
      <w:r>
        <w:rPr>
          <w:sz w:val="18"/>
        </w:rPr>
        <w:t>Anti-Dumping</w:t>
      </w:r>
      <w:r>
        <w:rPr>
          <w:spacing w:val="-6"/>
          <w:sz w:val="18"/>
        </w:rPr>
        <w:t xml:space="preserve"> </w:t>
      </w:r>
      <w:r>
        <w:rPr>
          <w:sz w:val="18"/>
        </w:rPr>
        <w:t>Final</w:t>
      </w:r>
      <w:r>
        <w:rPr>
          <w:spacing w:val="-1"/>
          <w:sz w:val="18"/>
        </w:rPr>
        <w:t xml:space="preserve"> </w:t>
      </w:r>
      <w:r>
        <w:rPr>
          <w:sz w:val="18"/>
        </w:rPr>
        <w:t>Determination</w:t>
      </w:r>
      <w:r>
        <w:rPr>
          <w:spacing w:val="-6"/>
          <w:sz w:val="18"/>
        </w:rPr>
        <w:t xml:space="preserve"> </w:t>
      </w:r>
      <w:r>
        <w:rPr>
          <w:sz w:val="18"/>
        </w:rPr>
        <w:t>(Exhibit</w:t>
      </w:r>
      <w:r>
        <w:rPr>
          <w:spacing w:val="-1"/>
          <w:sz w:val="18"/>
        </w:rPr>
        <w:t xml:space="preserve"> </w:t>
      </w:r>
      <w:r>
        <w:rPr>
          <w:sz w:val="18"/>
        </w:rPr>
        <w:t>AUS-2),</w:t>
      </w:r>
      <w:r>
        <w:rPr>
          <w:spacing w:val="-4"/>
          <w:sz w:val="18"/>
        </w:rPr>
        <w:t xml:space="preserve"> </w:t>
      </w:r>
      <w:r>
        <w:rPr>
          <w:sz w:val="18"/>
        </w:rPr>
        <w:t>p.</w:t>
      </w:r>
      <w:r>
        <w:rPr>
          <w:spacing w:val="-5"/>
          <w:sz w:val="18"/>
        </w:rPr>
        <w:t xml:space="preserve"> 48.</w:t>
      </w:r>
    </w:p>
    <w:p w14:paraId="67C0492F" w14:textId="77777777" w:rsidR="00BD462C" w:rsidRDefault="00033D0F">
      <w:pPr>
        <w:spacing w:before="2"/>
        <w:ind w:left="135"/>
        <w:rPr>
          <w:sz w:val="18"/>
        </w:rPr>
      </w:pPr>
      <w:bookmarkStart w:id="245" w:name="_bookmark214"/>
      <w:bookmarkEnd w:id="245"/>
      <w:r>
        <w:rPr>
          <w:position w:val="5"/>
          <w:sz w:val="12"/>
        </w:rPr>
        <w:t>164</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 xml:space="preserve">submission, para. </w:t>
      </w:r>
      <w:r>
        <w:rPr>
          <w:spacing w:val="-5"/>
          <w:sz w:val="18"/>
        </w:rPr>
        <w:t>837</w:t>
      </w:r>
    </w:p>
    <w:p w14:paraId="56C47CF2" w14:textId="77777777" w:rsidR="00BD462C" w:rsidRDefault="00033D0F">
      <w:pPr>
        <w:spacing w:before="1"/>
        <w:ind w:left="135"/>
        <w:rPr>
          <w:sz w:val="18"/>
        </w:rPr>
      </w:pPr>
      <w:bookmarkStart w:id="246" w:name="_bookmark215"/>
      <w:bookmarkEnd w:id="246"/>
      <w:r>
        <w:rPr>
          <w:position w:val="5"/>
          <w:sz w:val="12"/>
        </w:rPr>
        <w:t>165</w:t>
      </w:r>
      <w:r>
        <w:rPr>
          <w:spacing w:val="12"/>
          <w:position w:val="5"/>
          <w:sz w:val="12"/>
        </w:rPr>
        <w:t xml:space="preserve"> </w:t>
      </w:r>
      <w:r>
        <w:rPr>
          <w:sz w:val="18"/>
        </w:rPr>
        <w:t>Australia's</w:t>
      </w:r>
      <w:r>
        <w:rPr>
          <w:spacing w:val="-7"/>
          <w:sz w:val="18"/>
        </w:rPr>
        <w:t xml:space="preserve"> </w:t>
      </w:r>
      <w:r>
        <w:rPr>
          <w:sz w:val="18"/>
        </w:rPr>
        <w:t>first</w:t>
      </w:r>
      <w:r>
        <w:rPr>
          <w:spacing w:val="-5"/>
          <w:sz w:val="18"/>
        </w:rPr>
        <w:t xml:space="preserve"> </w:t>
      </w:r>
      <w:r>
        <w:rPr>
          <w:sz w:val="18"/>
        </w:rPr>
        <w:t>written</w:t>
      </w:r>
      <w:r>
        <w:rPr>
          <w:spacing w:val="-3"/>
          <w:sz w:val="18"/>
        </w:rPr>
        <w:t xml:space="preserve"> </w:t>
      </w:r>
      <w:r>
        <w:rPr>
          <w:sz w:val="18"/>
        </w:rPr>
        <w:t>submission, paras.</w:t>
      </w:r>
      <w:r>
        <w:rPr>
          <w:spacing w:val="-5"/>
          <w:sz w:val="18"/>
        </w:rPr>
        <w:t xml:space="preserve"> </w:t>
      </w:r>
      <w:r>
        <w:rPr>
          <w:sz w:val="18"/>
        </w:rPr>
        <w:t>502-</w:t>
      </w:r>
      <w:r>
        <w:rPr>
          <w:spacing w:val="-4"/>
          <w:sz w:val="18"/>
        </w:rPr>
        <w:t>507.</w:t>
      </w:r>
    </w:p>
    <w:p w14:paraId="4AFA26D5" w14:textId="77777777" w:rsidR="00BD462C" w:rsidRDefault="00033D0F">
      <w:pPr>
        <w:spacing w:before="1"/>
        <w:ind w:left="135"/>
        <w:rPr>
          <w:sz w:val="18"/>
        </w:rPr>
      </w:pPr>
      <w:bookmarkStart w:id="247" w:name="_bookmark216"/>
      <w:bookmarkEnd w:id="247"/>
      <w:r>
        <w:rPr>
          <w:position w:val="5"/>
          <w:sz w:val="12"/>
        </w:rPr>
        <w:t>166</w:t>
      </w:r>
      <w:r>
        <w:rPr>
          <w:spacing w:val="11"/>
          <w:position w:val="5"/>
          <w:sz w:val="12"/>
        </w:rPr>
        <w:t xml:space="preserve"> </w:t>
      </w:r>
      <w:r>
        <w:rPr>
          <w:sz w:val="18"/>
        </w:rPr>
        <w:t>China's</w:t>
      </w:r>
      <w:r>
        <w:rPr>
          <w:spacing w:val="-6"/>
          <w:sz w:val="18"/>
        </w:rPr>
        <w:t xml:space="preserve"> </w:t>
      </w:r>
      <w:r>
        <w:rPr>
          <w:sz w:val="18"/>
        </w:rPr>
        <w:t>first</w:t>
      </w:r>
      <w:r>
        <w:rPr>
          <w:spacing w:val="-6"/>
          <w:sz w:val="18"/>
        </w:rPr>
        <w:t xml:space="preserve"> </w:t>
      </w:r>
      <w:r>
        <w:rPr>
          <w:sz w:val="18"/>
        </w:rPr>
        <w:t>written</w:t>
      </w:r>
      <w:r>
        <w:rPr>
          <w:spacing w:val="-7"/>
          <w:sz w:val="18"/>
        </w:rPr>
        <w:t xml:space="preserve"> </w:t>
      </w:r>
      <w:r>
        <w:rPr>
          <w:sz w:val="18"/>
        </w:rPr>
        <w:t>submission, para.</w:t>
      </w:r>
      <w:r>
        <w:rPr>
          <w:spacing w:val="-1"/>
          <w:sz w:val="18"/>
        </w:rPr>
        <w:t xml:space="preserve"> </w:t>
      </w:r>
      <w:r>
        <w:rPr>
          <w:sz w:val="18"/>
        </w:rPr>
        <w:t>836-</w:t>
      </w:r>
      <w:r>
        <w:rPr>
          <w:spacing w:val="-4"/>
          <w:sz w:val="18"/>
        </w:rPr>
        <w:t>843.</w:t>
      </w:r>
    </w:p>
    <w:p w14:paraId="79B087D3" w14:textId="77777777" w:rsidR="00BD462C" w:rsidRDefault="00BD462C">
      <w:pPr>
        <w:rPr>
          <w:sz w:val="18"/>
        </w:rPr>
        <w:sectPr w:rsidR="00BD462C">
          <w:pgSz w:w="11910" w:h="16840"/>
          <w:pgMar w:top="860" w:right="500" w:bottom="780" w:left="1280" w:header="566" w:footer="590" w:gutter="0"/>
          <w:cols w:space="720"/>
        </w:sectPr>
      </w:pPr>
    </w:p>
    <w:p w14:paraId="0457B0AD"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33219C9D"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2B81FC9E"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34C4FB1D" w14:textId="77777777" w:rsidR="00BD462C" w:rsidRDefault="00033D0F">
      <w:pPr>
        <w:pStyle w:val="Heading3"/>
        <w:numPr>
          <w:ilvl w:val="0"/>
          <w:numId w:val="36"/>
        </w:numPr>
        <w:tabs>
          <w:tab w:val="left" w:pos="2689"/>
          <w:tab w:val="left" w:pos="2690"/>
        </w:tabs>
      </w:pPr>
      <w:bookmarkStart w:id="248" w:name="4._MOFCOM_did_not_engage_in_dialogue_to_"/>
      <w:bookmarkStart w:id="249" w:name="_bookmark217"/>
      <w:bookmarkEnd w:id="248"/>
      <w:bookmarkEnd w:id="249"/>
      <w:r>
        <w:t>MOFCOM</w:t>
      </w:r>
      <w:r>
        <w:rPr>
          <w:spacing w:val="-3"/>
        </w:rPr>
        <w:t xml:space="preserve"> </w:t>
      </w:r>
      <w:r>
        <w:t>did</w:t>
      </w:r>
      <w:r>
        <w:rPr>
          <w:spacing w:val="-3"/>
        </w:rPr>
        <w:t xml:space="preserve"> </w:t>
      </w:r>
      <w:r>
        <w:t>not</w:t>
      </w:r>
      <w:r>
        <w:rPr>
          <w:spacing w:val="-6"/>
        </w:rPr>
        <w:t xml:space="preserve"> </w:t>
      </w:r>
      <w:r>
        <w:t>engage</w:t>
      </w:r>
      <w:r>
        <w:rPr>
          <w:spacing w:val="-4"/>
        </w:rPr>
        <w:t xml:space="preserve"> </w:t>
      </w:r>
      <w:r>
        <w:t>in</w:t>
      </w:r>
      <w:r>
        <w:rPr>
          <w:spacing w:val="-3"/>
        </w:rPr>
        <w:t xml:space="preserve"> </w:t>
      </w:r>
      <w:r>
        <w:t>dialogue</w:t>
      </w:r>
      <w:r>
        <w:rPr>
          <w:spacing w:val="-5"/>
        </w:rPr>
        <w:t xml:space="preserve"> </w:t>
      </w:r>
      <w:r>
        <w:t>to</w:t>
      </w:r>
      <w:r>
        <w:rPr>
          <w:spacing w:val="-3"/>
        </w:rPr>
        <w:t xml:space="preserve"> </w:t>
      </w:r>
      <w:r>
        <w:t>facilitate fair</w:t>
      </w:r>
      <w:r>
        <w:rPr>
          <w:spacing w:val="-2"/>
        </w:rPr>
        <w:t xml:space="preserve"> comparison</w:t>
      </w:r>
    </w:p>
    <w:p w14:paraId="03E2467B" w14:textId="77777777" w:rsidR="00BD462C" w:rsidRDefault="00BD462C">
      <w:pPr>
        <w:pStyle w:val="BodyText"/>
        <w:spacing w:before="7"/>
        <w:rPr>
          <w:b/>
          <w:sz w:val="20"/>
        </w:rPr>
      </w:pPr>
    </w:p>
    <w:p w14:paraId="1AB67FFA" w14:textId="513E6870" w:rsidR="00BD462C" w:rsidRDefault="00033D0F" w:rsidP="00652F97">
      <w:pPr>
        <w:pStyle w:val="BodyText"/>
        <w:numPr>
          <w:ilvl w:val="0"/>
          <w:numId w:val="68"/>
        </w:numPr>
        <w:spacing w:before="56" w:line="360" w:lineRule="auto"/>
        <w:ind w:right="912"/>
        <w:jc w:val="both"/>
      </w:pPr>
      <w:r>
        <w:rPr>
          <w:position w:val="1"/>
        </w:rPr>
        <w:t>Likewise,</w:t>
      </w:r>
      <w:r>
        <w:rPr>
          <w:spacing w:val="-11"/>
          <w:position w:val="1"/>
        </w:rPr>
        <w:t xml:space="preserve"> </w:t>
      </w:r>
      <w:r>
        <w:rPr>
          <w:position w:val="1"/>
        </w:rPr>
        <w:t>China</w:t>
      </w:r>
      <w:r>
        <w:rPr>
          <w:spacing w:val="-13"/>
          <w:position w:val="1"/>
        </w:rPr>
        <w:t xml:space="preserve"> </w:t>
      </w:r>
      <w:r>
        <w:rPr>
          <w:position w:val="1"/>
        </w:rPr>
        <w:t>reduced</w:t>
      </w:r>
      <w:r>
        <w:rPr>
          <w:spacing w:val="-14"/>
          <w:position w:val="1"/>
        </w:rPr>
        <w:t xml:space="preserve"> </w:t>
      </w:r>
      <w:r>
        <w:rPr>
          <w:position w:val="1"/>
        </w:rPr>
        <w:t>the</w:t>
      </w:r>
      <w:r>
        <w:rPr>
          <w:spacing w:val="-12"/>
          <w:position w:val="1"/>
        </w:rPr>
        <w:t xml:space="preserve"> </w:t>
      </w:r>
      <w:r>
        <w:rPr>
          <w:position w:val="1"/>
        </w:rPr>
        <w:t>process</w:t>
      </w:r>
      <w:r>
        <w:rPr>
          <w:spacing w:val="-11"/>
          <w:position w:val="1"/>
        </w:rPr>
        <w:t xml:space="preserve"> </w:t>
      </w:r>
      <w:r>
        <w:rPr>
          <w:position w:val="1"/>
        </w:rPr>
        <w:t>of</w:t>
      </w:r>
      <w:r>
        <w:rPr>
          <w:spacing w:val="-14"/>
          <w:position w:val="1"/>
        </w:rPr>
        <w:t xml:space="preserve"> </w:t>
      </w:r>
      <w:r>
        <w:rPr>
          <w:position w:val="1"/>
        </w:rPr>
        <w:t>"dialogue"</w:t>
      </w:r>
      <w:r>
        <w:rPr>
          <w:spacing w:val="-8"/>
          <w:position w:val="1"/>
        </w:rPr>
        <w:t xml:space="preserve"> </w:t>
      </w:r>
      <w:r>
        <w:rPr>
          <w:position w:val="1"/>
        </w:rPr>
        <w:t>between</w:t>
      </w:r>
      <w:r>
        <w:rPr>
          <w:spacing w:val="-14"/>
          <w:position w:val="1"/>
        </w:rPr>
        <w:t xml:space="preserve"> </w:t>
      </w:r>
      <w:r>
        <w:rPr>
          <w:position w:val="1"/>
        </w:rPr>
        <w:t>an</w:t>
      </w:r>
      <w:r>
        <w:rPr>
          <w:spacing w:val="-14"/>
          <w:position w:val="1"/>
        </w:rPr>
        <w:t xml:space="preserve"> </w:t>
      </w:r>
      <w:r>
        <w:rPr>
          <w:position w:val="1"/>
        </w:rPr>
        <w:t>investigating</w:t>
      </w:r>
      <w:r>
        <w:rPr>
          <w:spacing w:val="-10"/>
          <w:position w:val="1"/>
        </w:rPr>
        <w:t xml:space="preserve"> </w:t>
      </w:r>
      <w:r>
        <w:rPr>
          <w:position w:val="1"/>
        </w:rPr>
        <w:t xml:space="preserve">authority </w:t>
      </w:r>
      <w:r>
        <w:t xml:space="preserve">and interested parties to "an exporter </w:t>
      </w:r>
      <w:proofErr w:type="spellStart"/>
      <w:r>
        <w:t>demonstrat</w:t>
      </w:r>
      <w:proofErr w:type="spellEnd"/>
      <w:r>
        <w:t>[</w:t>
      </w:r>
      <w:proofErr w:type="spellStart"/>
      <w:r>
        <w:t>ing</w:t>
      </w:r>
      <w:proofErr w:type="spellEnd"/>
      <w:r>
        <w:t>] to the authorities that there is a difference affecting price comparability".</w:t>
      </w:r>
      <w:hyperlink w:anchor="_bookmark218" w:history="1">
        <w:r>
          <w:rPr>
            <w:vertAlign w:val="superscript"/>
          </w:rPr>
          <w:t>167</w:t>
        </w:r>
      </w:hyperlink>
      <w:r>
        <w:t xml:space="preserve"> The obligation to engage in dialogue is significantly broader and more substantial than such a unilateral demonstration.</w:t>
      </w:r>
    </w:p>
    <w:p w14:paraId="66586280" w14:textId="77777777" w:rsidR="00BD462C" w:rsidRDefault="00BD462C">
      <w:pPr>
        <w:pStyle w:val="BodyText"/>
        <w:spacing w:before="8"/>
        <w:rPr>
          <w:sz w:val="8"/>
        </w:rPr>
      </w:pPr>
    </w:p>
    <w:p w14:paraId="67C7A9AE" w14:textId="1BF4416A" w:rsidR="00BD462C" w:rsidRDefault="00033D0F" w:rsidP="00652F97">
      <w:pPr>
        <w:pStyle w:val="BodyText"/>
        <w:numPr>
          <w:ilvl w:val="0"/>
          <w:numId w:val="68"/>
        </w:numPr>
        <w:spacing w:before="56" w:line="360" w:lineRule="auto"/>
        <w:ind w:right="912"/>
        <w:jc w:val="both"/>
      </w:pPr>
      <w:r>
        <w:rPr>
          <w:position w:val="1"/>
        </w:rPr>
        <w:t xml:space="preserve">MOFCOM did not engage in "dialogue" with the sampled companies at any stage of </w:t>
      </w:r>
      <w:r>
        <w:t>the investigation.</w:t>
      </w:r>
      <w:r>
        <w:rPr>
          <w:spacing w:val="-14"/>
        </w:rPr>
        <w:t xml:space="preserve"> </w:t>
      </w:r>
      <w:hyperlink w:anchor="_bookmark219" w:history="1">
        <w:r>
          <w:rPr>
            <w:vertAlign w:val="superscript"/>
          </w:rPr>
          <w:t>168</w:t>
        </w:r>
      </w:hyperlink>
      <w:r>
        <w:t xml:space="preserve"> This further restricted its ability to achieve a fair comparison under Article</w:t>
      </w:r>
      <w:r>
        <w:rPr>
          <w:spacing w:val="-2"/>
        </w:rPr>
        <w:t xml:space="preserve"> </w:t>
      </w:r>
      <w:r>
        <w:t>2.4, the final sentence of which required MOFCOM to "indicate to the parties in question what information was necessary to ensure a fair comparison" before it could make "due allowance" for differences affecting price comparability.</w:t>
      </w:r>
    </w:p>
    <w:p w14:paraId="71C5689A" w14:textId="77777777" w:rsidR="00BD462C" w:rsidRDefault="00BD462C">
      <w:pPr>
        <w:pStyle w:val="BodyText"/>
        <w:spacing w:before="6"/>
        <w:rPr>
          <w:sz w:val="8"/>
        </w:rPr>
      </w:pPr>
    </w:p>
    <w:p w14:paraId="3D4AC778" w14:textId="1B4F1A26" w:rsidR="00BD462C" w:rsidRDefault="00033D0F" w:rsidP="00652F97">
      <w:pPr>
        <w:pStyle w:val="BodyText"/>
        <w:numPr>
          <w:ilvl w:val="0"/>
          <w:numId w:val="68"/>
        </w:numPr>
        <w:spacing w:before="56" w:line="360" w:lineRule="auto"/>
        <w:ind w:right="913"/>
        <w:jc w:val="both"/>
      </w:pPr>
      <w:r>
        <w:rPr>
          <w:position w:val="1"/>
        </w:rPr>
        <w:t>Australia</w:t>
      </w:r>
      <w:r>
        <w:rPr>
          <w:spacing w:val="-12"/>
          <w:position w:val="1"/>
        </w:rPr>
        <w:t xml:space="preserve"> </w:t>
      </w:r>
      <w:r>
        <w:rPr>
          <w:position w:val="1"/>
        </w:rPr>
        <w:t>does</w:t>
      </w:r>
      <w:r>
        <w:rPr>
          <w:spacing w:val="-10"/>
          <w:position w:val="1"/>
        </w:rPr>
        <w:t xml:space="preserve"> </w:t>
      </w:r>
      <w:r>
        <w:rPr>
          <w:position w:val="1"/>
        </w:rPr>
        <w:t>not</w:t>
      </w:r>
      <w:r>
        <w:rPr>
          <w:spacing w:val="-11"/>
          <w:position w:val="1"/>
        </w:rPr>
        <w:t xml:space="preserve"> </w:t>
      </w:r>
      <w:r>
        <w:rPr>
          <w:position w:val="1"/>
        </w:rPr>
        <w:t>agree</w:t>
      </w:r>
      <w:r>
        <w:rPr>
          <w:spacing w:val="-12"/>
          <w:position w:val="1"/>
        </w:rPr>
        <w:t xml:space="preserve"> </w:t>
      </w:r>
      <w:r>
        <w:rPr>
          <w:position w:val="1"/>
        </w:rPr>
        <w:t>that</w:t>
      </w:r>
      <w:r>
        <w:rPr>
          <w:spacing w:val="-11"/>
          <w:position w:val="1"/>
        </w:rPr>
        <w:t xml:space="preserve"> </w:t>
      </w:r>
      <w:r>
        <w:rPr>
          <w:position w:val="1"/>
        </w:rPr>
        <w:t>that</w:t>
      </w:r>
      <w:r>
        <w:rPr>
          <w:spacing w:val="-7"/>
          <w:position w:val="1"/>
        </w:rPr>
        <w:t xml:space="preserve"> </w:t>
      </w:r>
      <w:r>
        <w:rPr>
          <w:position w:val="1"/>
        </w:rPr>
        <w:t>"when,</w:t>
      </w:r>
      <w:r>
        <w:rPr>
          <w:spacing w:val="-10"/>
          <w:position w:val="1"/>
        </w:rPr>
        <w:t xml:space="preserve"> </w:t>
      </w:r>
      <w:r>
        <w:rPr>
          <w:position w:val="1"/>
        </w:rPr>
        <w:t>such</w:t>
      </w:r>
      <w:r>
        <w:rPr>
          <w:spacing w:val="-9"/>
          <w:position w:val="1"/>
        </w:rPr>
        <w:t xml:space="preserve"> </w:t>
      </w:r>
      <w:r>
        <w:rPr>
          <w:position w:val="1"/>
        </w:rPr>
        <w:t>as</w:t>
      </w:r>
      <w:r>
        <w:rPr>
          <w:spacing w:val="-10"/>
          <w:position w:val="1"/>
        </w:rPr>
        <w:t xml:space="preserve"> </w:t>
      </w:r>
      <w:r>
        <w:rPr>
          <w:position w:val="1"/>
        </w:rPr>
        <w:t>in</w:t>
      </w:r>
      <w:r>
        <w:rPr>
          <w:spacing w:val="-14"/>
          <w:position w:val="1"/>
        </w:rPr>
        <w:t xml:space="preserve"> </w:t>
      </w:r>
      <w:r>
        <w:rPr>
          <w:position w:val="1"/>
        </w:rPr>
        <w:t>Treasury</w:t>
      </w:r>
      <w:r>
        <w:rPr>
          <w:spacing w:val="-10"/>
          <w:position w:val="1"/>
        </w:rPr>
        <w:t xml:space="preserve"> </w:t>
      </w:r>
      <w:r>
        <w:rPr>
          <w:position w:val="1"/>
        </w:rPr>
        <w:t>Wines'</w:t>
      </w:r>
      <w:r>
        <w:rPr>
          <w:spacing w:val="-13"/>
          <w:position w:val="1"/>
        </w:rPr>
        <w:t xml:space="preserve"> </w:t>
      </w:r>
      <w:r>
        <w:rPr>
          <w:position w:val="1"/>
        </w:rPr>
        <w:t>case,</w:t>
      </w:r>
      <w:r>
        <w:rPr>
          <w:spacing w:val="-10"/>
          <w:position w:val="1"/>
        </w:rPr>
        <w:t xml:space="preserve"> </w:t>
      </w:r>
      <w:r>
        <w:rPr>
          <w:position w:val="1"/>
        </w:rPr>
        <w:t>the</w:t>
      </w:r>
      <w:r>
        <w:rPr>
          <w:spacing w:val="-12"/>
          <w:position w:val="1"/>
        </w:rPr>
        <w:t xml:space="preserve"> </w:t>
      </w:r>
      <w:r>
        <w:rPr>
          <w:position w:val="1"/>
        </w:rPr>
        <w:t xml:space="preserve">normal </w:t>
      </w:r>
      <w:r>
        <w:t>value is based on an exporter's own data, there is</w:t>
      </w:r>
      <w:r>
        <w:rPr>
          <w:spacing w:val="-1"/>
        </w:rPr>
        <w:t xml:space="preserve"> </w:t>
      </w:r>
      <w:r>
        <w:t>no obligation on an investigating authority to indicate what information is necessary to ensure a fair comparison".</w:t>
      </w:r>
      <w:r>
        <w:rPr>
          <w:spacing w:val="-14"/>
        </w:rPr>
        <w:t xml:space="preserve"> </w:t>
      </w:r>
      <w:hyperlink w:anchor="_bookmark220" w:history="1">
        <w:r>
          <w:rPr>
            <w:vertAlign w:val="superscript"/>
          </w:rPr>
          <w:t>169</w:t>
        </w:r>
      </w:hyperlink>
      <w:r>
        <w:t xml:space="preserve"> This obligation comprises an integral part of Article 2.4. It cannot be "implied" away, as China suggested.</w:t>
      </w:r>
      <w:hyperlink w:anchor="_bookmark221" w:history="1">
        <w:r>
          <w:rPr>
            <w:vertAlign w:val="superscript"/>
          </w:rPr>
          <w:t>170</w:t>
        </w:r>
      </w:hyperlink>
    </w:p>
    <w:p w14:paraId="78D3133E" w14:textId="77777777" w:rsidR="00BD462C" w:rsidRDefault="00BD462C">
      <w:pPr>
        <w:pStyle w:val="BodyText"/>
        <w:spacing w:before="9"/>
        <w:rPr>
          <w:sz w:val="8"/>
        </w:rPr>
      </w:pPr>
    </w:p>
    <w:p w14:paraId="54962AC2" w14:textId="639147A6" w:rsidR="00BD462C" w:rsidRDefault="00652F97" w:rsidP="00652F97">
      <w:pPr>
        <w:pStyle w:val="BodyText"/>
        <w:numPr>
          <w:ilvl w:val="0"/>
          <w:numId w:val="68"/>
        </w:numPr>
        <w:spacing w:before="56" w:line="357" w:lineRule="auto"/>
        <w:ind w:right="917"/>
        <w:jc w:val="both"/>
      </w:pPr>
      <w:r>
        <w:rPr>
          <w:position w:val="1"/>
        </w:rPr>
        <w:t>W</w:t>
      </w:r>
      <w:r w:rsidR="00033D0F">
        <w:rPr>
          <w:position w:val="1"/>
        </w:rPr>
        <w:t>hether</w:t>
      </w:r>
      <w:r w:rsidR="00033D0F">
        <w:rPr>
          <w:spacing w:val="40"/>
          <w:position w:val="1"/>
        </w:rPr>
        <w:t xml:space="preserve"> </w:t>
      </w:r>
      <w:r w:rsidR="00033D0F">
        <w:rPr>
          <w:position w:val="1"/>
        </w:rPr>
        <w:t>dialogue</w:t>
      </w:r>
      <w:r w:rsidR="00033D0F">
        <w:rPr>
          <w:spacing w:val="40"/>
          <w:position w:val="1"/>
        </w:rPr>
        <w:t xml:space="preserve"> </w:t>
      </w:r>
      <w:r w:rsidR="00033D0F">
        <w:rPr>
          <w:position w:val="1"/>
        </w:rPr>
        <w:t>facilitates</w:t>
      </w:r>
      <w:r w:rsidR="00033D0F">
        <w:rPr>
          <w:spacing w:val="40"/>
          <w:position w:val="1"/>
        </w:rPr>
        <w:t xml:space="preserve"> </w:t>
      </w:r>
      <w:r w:rsidR="00033D0F">
        <w:rPr>
          <w:position w:val="1"/>
        </w:rPr>
        <w:t>a</w:t>
      </w:r>
      <w:r w:rsidR="00033D0F">
        <w:rPr>
          <w:spacing w:val="40"/>
          <w:position w:val="1"/>
        </w:rPr>
        <w:t xml:space="preserve"> </w:t>
      </w:r>
      <w:r w:rsidR="00033D0F">
        <w:rPr>
          <w:position w:val="1"/>
        </w:rPr>
        <w:t>fair</w:t>
      </w:r>
      <w:r w:rsidR="00033D0F">
        <w:rPr>
          <w:spacing w:val="40"/>
          <w:position w:val="1"/>
        </w:rPr>
        <w:t xml:space="preserve"> </w:t>
      </w:r>
      <w:r w:rsidR="00033D0F">
        <w:rPr>
          <w:position w:val="1"/>
        </w:rPr>
        <w:t>comparison</w:t>
      </w:r>
      <w:r w:rsidR="00033D0F">
        <w:rPr>
          <w:spacing w:val="40"/>
          <w:position w:val="1"/>
        </w:rPr>
        <w:t xml:space="preserve"> </w:t>
      </w:r>
      <w:r w:rsidR="00033D0F">
        <w:rPr>
          <w:position w:val="1"/>
        </w:rPr>
        <w:t>involves</w:t>
      </w:r>
      <w:r w:rsidR="00033D0F">
        <w:rPr>
          <w:spacing w:val="40"/>
          <w:position w:val="1"/>
        </w:rPr>
        <w:t xml:space="preserve"> </w:t>
      </w:r>
      <w:r w:rsidR="00033D0F">
        <w:rPr>
          <w:position w:val="1"/>
        </w:rPr>
        <w:t>"assessing</w:t>
      </w:r>
      <w:r w:rsidR="00033D0F">
        <w:rPr>
          <w:spacing w:val="40"/>
          <w:position w:val="1"/>
        </w:rPr>
        <w:t xml:space="preserve"> </w:t>
      </w:r>
      <w:r w:rsidR="00033D0F">
        <w:rPr>
          <w:position w:val="1"/>
        </w:rPr>
        <w:t xml:space="preserve">whether </w:t>
      </w:r>
      <w:r w:rsidR="00033D0F">
        <w:t>interested parties had a meaningful opportunity to request adjustments in the light of the information shared by the investigating authority towards the end of that dialogue."</w:t>
      </w:r>
      <w:hyperlink w:anchor="_bookmark222" w:history="1">
        <w:r w:rsidR="00033D0F">
          <w:rPr>
            <w:vertAlign w:val="superscript"/>
          </w:rPr>
          <w:t>171</w:t>
        </w:r>
      </w:hyperlink>
      <w:r w:rsidR="00033D0F">
        <w:t xml:space="preserve"> By China's own admission, MOFCOM denied interested parties this opportunity. It argued that:</w:t>
      </w:r>
    </w:p>
    <w:p w14:paraId="1FF32A6C" w14:textId="77777777" w:rsidR="00BD462C" w:rsidRDefault="00033D0F">
      <w:pPr>
        <w:spacing w:before="164" w:line="276" w:lineRule="auto"/>
        <w:ind w:left="985" w:right="918"/>
        <w:jc w:val="both"/>
      </w:pPr>
      <w:r>
        <w:t>When normal values are […] based on data from a producer in a third country (under the analogue</w:t>
      </w:r>
      <w:r>
        <w:rPr>
          <w:spacing w:val="-2"/>
        </w:rPr>
        <w:t xml:space="preserve"> </w:t>
      </w:r>
      <w:r>
        <w:t>country</w:t>
      </w:r>
      <w:r>
        <w:rPr>
          <w:spacing w:val="-1"/>
        </w:rPr>
        <w:t xml:space="preserve"> </w:t>
      </w:r>
      <w:r>
        <w:t>methodology, for</w:t>
      </w:r>
      <w:r>
        <w:rPr>
          <w:spacing w:val="-2"/>
        </w:rPr>
        <w:t xml:space="preserve"> </w:t>
      </w:r>
      <w:r>
        <w:t>example), the</w:t>
      </w:r>
      <w:r>
        <w:rPr>
          <w:spacing w:val="-2"/>
        </w:rPr>
        <w:t xml:space="preserve"> </w:t>
      </w:r>
      <w:r>
        <w:t>foreign</w:t>
      </w:r>
      <w:r>
        <w:rPr>
          <w:spacing w:val="-3"/>
        </w:rPr>
        <w:t xml:space="preserve"> </w:t>
      </w:r>
      <w:r>
        <w:t>exporter</w:t>
      </w:r>
      <w:r>
        <w:rPr>
          <w:spacing w:val="-2"/>
        </w:rPr>
        <w:t xml:space="preserve"> </w:t>
      </w:r>
      <w:r>
        <w:t>will be</w:t>
      </w:r>
      <w:r>
        <w:rPr>
          <w:spacing w:val="-2"/>
        </w:rPr>
        <w:t xml:space="preserve"> </w:t>
      </w:r>
      <w:r>
        <w:t>left</w:t>
      </w:r>
      <w:r>
        <w:rPr>
          <w:spacing w:val="-4"/>
        </w:rPr>
        <w:t xml:space="preserve"> </w:t>
      </w:r>
      <w:r>
        <w:t>in</w:t>
      </w:r>
      <w:r>
        <w:rPr>
          <w:spacing w:val="-3"/>
        </w:rPr>
        <w:t xml:space="preserve"> </w:t>
      </w:r>
      <w:r>
        <w:t>the dark to the extent it does not have access to the normal value information.</w:t>
      </w:r>
    </w:p>
    <w:p w14:paraId="4EAF31D2" w14:textId="77777777" w:rsidR="00BD462C" w:rsidRDefault="00BD462C">
      <w:pPr>
        <w:pStyle w:val="BodyText"/>
        <w:spacing w:before="8"/>
        <w:rPr>
          <w:sz w:val="19"/>
        </w:rPr>
      </w:pPr>
    </w:p>
    <w:p w14:paraId="32173528" w14:textId="7F5EDDF7" w:rsidR="00BD462C" w:rsidRDefault="00033D0F">
      <w:pPr>
        <w:spacing w:line="276" w:lineRule="auto"/>
        <w:ind w:left="985" w:right="914"/>
        <w:jc w:val="both"/>
      </w:pPr>
      <w:r>
        <w:t>It</w:t>
      </w:r>
      <w:r>
        <w:rPr>
          <w:spacing w:val="-13"/>
        </w:rPr>
        <w:t xml:space="preserve"> </w:t>
      </w:r>
      <w:r>
        <w:t>is</w:t>
      </w:r>
      <w:r>
        <w:rPr>
          <w:spacing w:val="-12"/>
        </w:rPr>
        <w:t xml:space="preserve"> </w:t>
      </w:r>
      <w:r>
        <w:t>only</w:t>
      </w:r>
      <w:r>
        <w:rPr>
          <w:spacing w:val="-11"/>
        </w:rPr>
        <w:t xml:space="preserve"> </w:t>
      </w:r>
      <w:r>
        <w:t>in</w:t>
      </w:r>
      <w:r>
        <w:rPr>
          <w:spacing w:val="-8"/>
        </w:rPr>
        <w:t xml:space="preserve"> </w:t>
      </w:r>
      <w:r>
        <w:t>such</w:t>
      </w:r>
      <w:r>
        <w:rPr>
          <w:spacing w:val="-8"/>
        </w:rPr>
        <w:t xml:space="preserve"> </w:t>
      </w:r>
      <w:r>
        <w:t>a</w:t>
      </w:r>
      <w:r>
        <w:rPr>
          <w:spacing w:val="-7"/>
        </w:rPr>
        <w:t xml:space="preserve"> </w:t>
      </w:r>
      <w:r>
        <w:t>particular</w:t>
      </w:r>
      <w:r>
        <w:rPr>
          <w:spacing w:val="-12"/>
        </w:rPr>
        <w:t xml:space="preserve"> </w:t>
      </w:r>
      <w:r>
        <w:t>factual</w:t>
      </w:r>
      <w:r>
        <w:rPr>
          <w:spacing w:val="-10"/>
        </w:rPr>
        <w:t xml:space="preserve"> </w:t>
      </w:r>
      <w:r>
        <w:t>situation</w:t>
      </w:r>
      <w:r>
        <w:rPr>
          <w:spacing w:val="-8"/>
        </w:rPr>
        <w:t xml:space="preserve"> </w:t>
      </w:r>
      <w:r>
        <w:t>that</w:t>
      </w:r>
      <w:r>
        <w:rPr>
          <w:spacing w:val="-9"/>
        </w:rPr>
        <w:t xml:space="preserve"> </w:t>
      </w:r>
      <w:r>
        <w:t>an</w:t>
      </w:r>
      <w:r>
        <w:rPr>
          <w:spacing w:val="-8"/>
        </w:rPr>
        <w:t xml:space="preserve"> </w:t>
      </w:r>
      <w:r>
        <w:t>investigating</w:t>
      </w:r>
      <w:r>
        <w:rPr>
          <w:spacing w:val="-10"/>
        </w:rPr>
        <w:t xml:space="preserve"> </w:t>
      </w:r>
      <w:r>
        <w:t>authority</w:t>
      </w:r>
      <w:r>
        <w:rPr>
          <w:spacing w:val="-11"/>
        </w:rPr>
        <w:t xml:space="preserve"> </w:t>
      </w:r>
      <w:r>
        <w:t>bears</w:t>
      </w:r>
      <w:r>
        <w:rPr>
          <w:spacing w:val="-12"/>
        </w:rPr>
        <w:t xml:space="preserve"> </w:t>
      </w:r>
      <w:r>
        <w:t>the</w:t>
      </w:r>
      <w:r>
        <w:rPr>
          <w:spacing w:val="-6"/>
        </w:rPr>
        <w:t xml:space="preserve"> </w:t>
      </w:r>
      <w:r>
        <w:t>burden –</w:t>
      </w:r>
      <w:r>
        <w:rPr>
          <w:spacing w:val="-13"/>
        </w:rPr>
        <w:t xml:space="preserve"> </w:t>
      </w:r>
      <w:r>
        <w:t>which</w:t>
      </w:r>
      <w:r>
        <w:rPr>
          <w:spacing w:val="-12"/>
        </w:rPr>
        <w:t xml:space="preserve"> </w:t>
      </w:r>
      <w:r>
        <w:t>does</w:t>
      </w:r>
      <w:r>
        <w:rPr>
          <w:spacing w:val="-13"/>
        </w:rPr>
        <w:t xml:space="preserve"> </w:t>
      </w:r>
      <w:r>
        <w:t>not</w:t>
      </w:r>
      <w:r>
        <w:rPr>
          <w:spacing w:val="-12"/>
        </w:rPr>
        <w:t xml:space="preserve"> </w:t>
      </w:r>
      <w:r>
        <w:t>extend</w:t>
      </w:r>
      <w:r>
        <w:rPr>
          <w:spacing w:val="-13"/>
        </w:rPr>
        <w:t xml:space="preserve"> </w:t>
      </w:r>
      <w:r>
        <w:t>as</w:t>
      </w:r>
      <w:r>
        <w:rPr>
          <w:spacing w:val="-12"/>
        </w:rPr>
        <w:t xml:space="preserve"> </w:t>
      </w:r>
      <w:r>
        <w:t>far</w:t>
      </w:r>
      <w:r>
        <w:rPr>
          <w:spacing w:val="-13"/>
        </w:rPr>
        <w:t xml:space="preserve"> </w:t>
      </w:r>
      <w:r>
        <w:t>as</w:t>
      </w:r>
      <w:r>
        <w:rPr>
          <w:spacing w:val="-12"/>
        </w:rPr>
        <w:t xml:space="preserve"> </w:t>
      </w:r>
      <w:r>
        <w:t>suggesting</w:t>
      </w:r>
      <w:r>
        <w:rPr>
          <w:spacing w:val="-12"/>
        </w:rPr>
        <w:t xml:space="preserve"> </w:t>
      </w:r>
      <w:r>
        <w:t>to</w:t>
      </w:r>
      <w:r>
        <w:rPr>
          <w:spacing w:val="-13"/>
        </w:rPr>
        <w:t xml:space="preserve"> </w:t>
      </w:r>
      <w:r>
        <w:t>exporters</w:t>
      </w:r>
      <w:r>
        <w:rPr>
          <w:spacing w:val="-12"/>
        </w:rPr>
        <w:t xml:space="preserve"> </w:t>
      </w:r>
      <w:r>
        <w:t>for</w:t>
      </w:r>
      <w:r>
        <w:rPr>
          <w:spacing w:val="-13"/>
        </w:rPr>
        <w:t xml:space="preserve"> </w:t>
      </w:r>
      <w:r>
        <w:t>which</w:t>
      </w:r>
      <w:r>
        <w:rPr>
          <w:spacing w:val="-12"/>
        </w:rPr>
        <w:t xml:space="preserve"> </w:t>
      </w:r>
      <w:proofErr w:type="gramStart"/>
      <w:r>
        <w:t>differences</w:t>
      </w:r>
      <w:proofErr w:type="gramEnd"/>
      <w:r>
        <w:rPr>
          <w:spacing w:val="-13"/>
        </w:rPr>
        <w:t xml:space="preserve"> </w:t>
      </w:r>
      <w:r>
        <w:t>they</w:t>
      </w:r>
      <w:r>
        <w:rPr>
          <w:spacing w:val="-12"/>
        </w:rPr>
        <w:t xml:space="preserve"> </w:t>
      </w:r>
      <w:r>
        <w:t>can</w:t>
      </w:r>
      <w:r>
        <w:rPr>
          <w:spacing w:val="-12"/>
        </w:rPr>
        <w:t xml:space="preserve"> </w:t>
      </w:r>
      <w:r>
        <w:t>claim an adjustment – to find ways to disclose as much information on the normal value as the exporter would need to meaningfully participate in the fair comparison process.</w:t>
      </w:r>
      <w:r>
        <w:rPr>
          <w:spacing w:val="-23"/>
        </w:rPr>
        <w:t xml:space="preserve"> </w:t>
      </w:r>
      <w:hyperlink w:anchor="_bookmark223" w:history="1">
        <w:r>
          <w:rPr>
            <w:vertAlign w:val="superscript"/>
          </w:rPr>
          <w:t>172</w:t>
        </w:r>
      </w:hyperlink>
    </w:p>
    <w:p w14:paraId="5EC9BADB" w14:textId="77777777" w:rsidR="00BD462C" w:rsidRDefault="00BD462C">
      <w:pPr>
        <w:pStyle w:val="BodyText"/>
        <w:rPr>
          <w:sz w:val="20"/>
        </w:rPr>
      </w:pPr>
    </w:p>
    <w:p w14:paraId="7C12561F" w14:textId="77777777" w:rsidR="00BD462C" w:rsidRDefault="00BD462C">
      <w:pPr>
        <w:pStyle w:val="BodyText"/>
        <w:rPr>
          <w:sz w:val="20"/>
        </w:rPr>
      </w:pPr>
    </w:p>
    <w:p w14:paraId="667ED90C" w14:textId="0E12FD69" w:rsidR="00BD462C" w:rsidRDefault="009A6330">
      <w:pPr>
        <w:pStyle w:val="BodyText"/>
        <w:spacing w:before="4"/>
        <w:rPr>
          <w:sz w:val="13"/>
        </w:rPr>
      </w:pPr>
      <w:r>
        <w:rPr>
          <w:noProof/>
        </w:rPr>
        <mc:AlternateContent>
          <mc:Choice Requires="wps">
            <w:drawing>
              <wp:anchor distT="0" distB="0" distL="0" distR="0" simplePos="0" relativeHeight="487997952" behindDoc="1" locked="0" layoutInCell="1" allowOverlap="1" wp14:anchorId="0990563A" wp14:editId="4F19909C">
                <wp:simplePos x="0" y="0"/>
                <wp:positionH relativeFrom="page">
                  <wp:posOffset>812800</wp:posOffset>
                </wp:positionH>
                <wp:positionV relativeFrom="paragraph">
                  <wp:posOffset>105410</wp:posOffset>
                </wp:positionV>
                <wp:extent cx="1828800" cy="8890"/>
                <wp:effectExtent l="0" t="0" r="0" b="0"/>
                <wp:wrapTopAndBottom/>
                <wp:docPr id="1412" name="docshape7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57E04D" id="docshape712" o:spid="_x0000_s1026" alt="&quot;&quot;" style="position:absolute;margin-left:64pt;margin-top:8.3pt;width:2in;height:.7pt;z-index:-15318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" fillcolor="black" stroked="f">
                <w10:wrap type="topAndBottom" anchorx="page"/>
              </v:rect>
            </w:pict>
          </mc:Fallback>
        </mc:AlternateContent>
      </w:r>
    </w:p>
    <w:p w14:paraId="2B598FE1" w14:textId="77777777" w:rsidR="00BD462C" w:rsidRDefault="00033D0F">
      <w:pPr>
        <w:spacing w:before="112" w:line="218" w:lineRule="exact"/>
        <w:ind w:left="135"/>
        <w:rPr>
          <w:sz w:val="18"/>
        </w:rPr>
      </w:pPr>
      <w:bookmarkStart w:id="250" w:name="_bookmark218"/>
      <w:bookmarkEnd w:id="250"/>
      <w:r>
        <w:rPr>
          <w:position w:val="5"/>
          <w:sz w:val="12"/>
        </w:rPr>
        <w:t>167</w:t>
      </w:r>
      <w:r>
        <w:rPr>
          <w:spacing w:val="13"/>
          <w:position w:val="5"/>
          <w:sz w:val="12"/>
        </w:rPr>
        <w:t xml:space="preserve"> </w:t>
      </w:r>
      <w:r>
        <w:rPr>
          <w:sz w:val="18"/>
        </w:rPr>
        <w:t>China's</w:t>
      </w:r>
      <w:r>
        <w:rPr>
          <w:spacing w:val="-5"/>
          <w:sz w:val="18"/>
        </w:rPr>
        <w:t xml:space="preserve"> </w:t>
      </w:r>
      <w:r>
        <w:rPr>
          <w:sz w:val="18"/>
        </w:rPr>
        <w:t>first</w:t>
      </w:r>
      <w:r>
        <w:rPr>
          <w:spacing w:val="-4"/>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para. 261;</w:t>
      </w:r>
      <w:r>
        <w:rPr>
          <w:spacing w:val="-7"/>
          <w:sz w:val="18"/>
        </w:rPr>
        <w:t xml:space="preserve"> </w:t>
      </w:r>
      <w:r>
        <w:rPr>
          <w:sz w:val="18"/>
        </w:rPr>
        <w:t>see</w:t>
      </w:r>
      <w:r>
        <w:rPr>
          <w:spacing w:val="-1"/>
          <w:sz w:val="18"/>
        </w:rPr>
        <w:t xml:space="preserve"> </w:t>
      </w:r>
      <w:r>
        <w:rPr>
          <w:sz w:val="18"/>
        </w:rPr>
        <w:t>also</w:t>
      </w:r>
      <w:r>
        <w:rPr>
          <w:spacing w:val="-6"/>
          <w:sz w:val="18"/>
        </w:rPr>
        <w:t xml:space="preserve"> </w:t>
      </w:r>
      <w:r>
        <w:rPr>
          <w:sz w:val="18"/>
        </w:rPr>
        <w:t>paras.</w:t>
      </w:r>
      <w:r>
        <w:rPr>
          <w:spacing w:val="-4"/>
          <w:sz w:val="18"/>
        </w:rPr>
        <w:t xml:space="preserve"> </w:t>
      </w:r>
      <w:r>
        <w:rPr>
          <w:sz w:val="18"/>
        </w:rPr>
        <w:t>846,</w:t>
      </w:r>
      <w:r>
        <w:rPr>
          <w:spacing w:val="-4"/>
          <w:sz w:val="18"/>
        </w:rPr>
        <w:t xml:space="preserve"> 875.</w:t>
      </w:r>
    </w:p>
    <w:p w14:paraId="25F18182" w14:textId="77777777" w:rsidR="00BD462C" w:rsidRDefault="00033D0F">
      <w:pPr>
        <w:spacing w:line="218" w:lineRule="exact"/>
        <w:ind w:left="135"/>
        <w:rPr>
          <w:sz w:val="18"/>
        </w:rPr>
      </w:pPr>
      <w:bookmarkStart w:id="251" w:name="_bookmark219"/>
      <w:bookmarkEnd w:id="251"/>
      <w:r>
        <w:rPr>
          <w:position w:val="5"/>
          <w:sz w:val="12"/>
        </w:rPr>
        <w:t>168</w:t>
      </w:r>
      <w:r>
        <w:rPr>
          <w:spacing w:val="12"/>
          <w:position w:val="5"/>
          <w:sz w:val="12"/>
        </w:rPr>
        <w:t xml:space="preserve"> </w:t>
      </w:r>
      <w:r>
        <w:rPr>
          <w:sz w:val="18"/>
        </w:rPr>
        <w:t>Australia's</w:t>
      </w:r>
      <w:r>
        <w:rPr>
          <w:spacing w:val="-7"/>
          <w:sz w:val="18"/>
        </w:rPr>
        <w:t xml:space="preserve"> </w:t>
      </w:r>
      <w:r>
        <w:rPr>
          <w:sz w:val="18"/>
        </w:rPr>
        <w:t>first</w:t>
      </w:r>
      <w:r>
        <w:rPr>
          <w:spacing w:val="-5"/>
          <w:sz w:val="18"/>
        </w:rPr>
        <w:t xml:space="preserve"> </w:t>
      </w:r>
      <w:r>
        <w:rPr>
          <w:sz w:val="18"/>
        </w:rPr>
        <w:t>written</w:t>
      </w:r>
      <w:r>
        <w:rPr>
          <w:spacing w:val="-3"/>
          <w:sz w:val="18"/>
        </w:rPr>
        <w:t xml:space="preserve"> </w:t>
      </w:r>
      <w:r>
        <w:rPr>
          <w:sz w:val="18"/>
        </w:rPr>
        <w:t>submission, paras.</w:t>
      </w:r>
      <w:r>
        <w:rPr>
          <w:spacing w:val="-5"/>
          <w:sz w:val="18"/>
        </w:rPr>
        <w:t xml:space="preserve"> </w:t>
      </w:r>
      <w:r>
        <w:rPr>
          <w:sz w:val="18"/>
        </w:rPr>
        <w:t>29, 518-522,</w:t>
      </w:r>
      <w:r>
        <w:rPr>
          <w:spacing w:val="-5"/>
          <w:sz w:val="18"/>
        </w:rPr>
        <w:t xml:space="preserve"> </w:t>
      </w:r>
      <w:r>
        <w:rPr>
          <w:sz w:val="18"/>
        </w:rPr>
        <w:t>and</w:t>
      </w:r>
      <w:r>
        <w:rPr>
          <w:spacing w:val="-7"/>
          <w:sz w:val="18"/>
        </w:rPr>
        <w:t xml:space="preserve"> </w:t>
      </w:r>
      <w:r>
        <w:rPr>
          <w:sz w:val="18"/>
        </w:rPr>
        <w:t>983-</w:t>
      </w:r>
      <w:r>
        <w:rPr>
          <w:spacing w:val="-4"/>
          <w:sz w:val="18"/>
        </w:rPr>
        <w:t>985.</w:t>
      </w:r>
    </w:p>
    <w:p w14:paraId="3D0218BE" w14:textId="77777777" w:rsidR="00BD462C" w:rsidRDefault="00033D0F">
      <w:pPr>
        <w:spacing w:before="1"/>
        <w:ind w:left="135"/>
        <w:rPr>
          <w:sz w:val="18"/>
        </w:rPr>
      </w:pPr>
      <w:bookmarkStart w:id="252" w:name="_bookmark220"/>
      <w:bookmarkEnd w:id="252"/>
      <w:r>
        <w:rPr>
          <w:position w:val="5"/>
          <w:sz w:val="12"/>
        </w:rPr>
        <w:t>169</w:t>
      </w:r>
      <w:r>
        <w:rPr>
          <w:spacing w:val="13"/>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 xml:space="preserve">para. </w:t>
      </w:r>
      <w:r>
        <w:rPr>
          <w:spacing w:val="-4"/>
          <w:sz w:val="18"/>
        </w:rPr>
        <w:t>883.</w:t>
      </w:r>
    </w:p>
    <w:p w14:paraId="147BF390" w14:textId="77777777" w:rsidR="00BD462C" w:rsidRDefault="00033D0F">
      <w:pPr>
        <w:spacing w:before="1"/>
        <w:ind w:left="135"/>
        <w:rPr>
          <w:sz w:val="18"/>
        </w:rPr>
      </w:pPr>
      <w:bookmarkStart w:id="253" w:name="_bookmark221"/>
      <w:bookmarkEnd w:id="253"/>
      <w:r>
        <w:rPr>
          <w:position w:val="5"/>
          <w:sz w:val="12"/>
        </w:rPr>
        <w:t>170</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 xml:space="preserve">submission, para. </w:t>
      </w:r>
      <w:r>
        <w:rPr>
          <w:spacing w:val="-4"/>
          <w:sz w:val="18"/>
        </w:rPr>
        <w:t>883.</w:t>
      </w:r>
    </w:p>
    <w:p w14:paraId="723B9A2D" w14:textId="77777777" w:rsidR="00BD462C" w:rsidRDefault="00033D0F">
      <w:pPr>
        <w:spacing w:before="1"/>
        <w:ind w:left="135"/>
        <w:rPr>
          <w:sz w:val="18"/>
        </w:rPr>
      </w:pPr>
      <w:bookmarkStart w:id="254" w:name="_bookmark222"/>
      <w:bookmarkEnd w:id="254"/>
      <w:r>
        <w:rPr>
          <w:position w:val="5"/>
          <w:sz w:val="12"/>
        </w:rPr>
        <w:t>171</w:t>
      </w:r>
      <w:r>
        <w:rPr>
          <w:spacing w:val="15"/>
          <w:position w:val="5"/>
          <w:sz w:val="12"/>
        </w:rPr>
        <w:t xml:space="preserve"> </w:t>
      </w:r>
      <w:r>
        <w:rPr>
          <w:sz w:val="18"/>
        </w:rPr>
        <w:t>Appellate</w:t>
      </w:r>
      <w:r>
        <w:rPr>
          <w:spacing w:val="-8"/>
          <w:sz w:val="18"/>
        </w:rPr>
        <w:t xml:space="preserve"> </w:t>
      </w:r>
      <w:r>
        <w:rPr>
          <w:sz w:val="18"/>
        </w:rPr>
        <w:t>Body</w:t>
      </w:r>
      <w:r>
        <w:rPr>
          <w:spacing w:val="-5"/>
          <w:sz w:val="18"/>
        </w:rPr>
        <w:t xml:space="preserve"> </w:t>
      </w:r>
      <w:r>
        <w:rPr>
          <w:sz w:val="18"/>
        </w:rPr>
        <w:t>Report,</w:t>
      </w:r>
      <w:r>
        <w:rPr>
          <w:spacing w:val="-1"/>
          <w:sz w:val="18"/>
        </w:rPr>
        <w:t xml:space="preserve"> </w:t>
      </w:r>
      <w:r>
        <w:rPr>
          <w:i/>
          <w:sz w:val="18"/>
        </w:rPr>
        <w:t>EC</w:t>
      </w:r>
      <w:r>
        <w:rPr>
          <w:i/>
          <w:spacing w:val="-3"/>
          <w:sz w:val="18"/>
        </w:rPr>
        <w:t xml:space="preserve"> </w:t>
      </w:r>
      <w:r>
        <w:rPr>
          <w:i/>
          <w:sz w:val="18"/>
        </w:rPr>
        <w:t>– Fasteners</w:t>
      </w:r>
      <w:r>
        <w:rPr>
          <w:i/>
          <w:spacing w:val="-3"/>
          <w:sz w:val="18"/>
        </w:rPr>
        <w:t xml:space="preserve"> </w:t>
      </w:r>
      <w:r>
        <w:rPr>
          <w:i/>
          <w:sz w:val="18"/>
        </w:rPr>
        <w:t>(Article</w:t>
      </w:r>
      <w:r>
        <w:rPr>
          <w:i/>
          <w:spacing w:val="-4"/>
          <w:sz w:val="18"/>
        </w:rPr>
        <w:t xml:space="preserve"> </w:t>
      </w:r>
      <w:r>
        <w:rPr>
          <w:i/>
          <w:sz w:val="18"/>
        </w:rPr>
        <w:t>21.5</w:t>
      </w:r>
      <w:r>
        <w:rPr>
          <w:i/>
          <w:spacing w:val="-5"/>
          <w:sz w:val="18"/>
        </w:rPr>
        <w:t xml:space="preserve"> </w:t>
      </w:r>
      <w:r>
        <w:rPr>
          <w:i/>
          <w:sz w:val="18"/>
        </w:rPr>
        <w:t>–</w:t>
      </w:r>
      <w:r>
        <w:rPr>
          <w:i/>
          <w:spacing w:val="-3"/>
          <w:sz w:val="18"/>
        </w:rPr>
        <w:t xml:space="preserve"> </w:t>
      </w:r>
      <w:r>
        <w:rPr>
          <w:i/>
          <w:sz w:val="18"/>
        </w:rPr>
        <w:t>China)</w:t>
      </w:r>
      <w:r>
        <w:rPr>
          <w:sz w:val="18"/>
        </w:rPr>
        <w:t>,</w:t>
      </w:r>
      <w:r>
        <w:rPr>
          <w:spacing w:val="-1"/>
          <w:sz w:val="18"/>
        </w:rPr>
        <w:t xml:space="preserve"> </w:t>
      </w:r>
      <w:r>
        <w:rPr>
          <w:sz w:val="18"/>
        </w:rPr>
        <w:t>para.</w:t>
      </w:r>
      <w:r>
        <w:rPr>
          <w:spacing w:val="-7"/>
          <w:sz w:val="18"/>
        </w:rPr>
        <w:t xml:space="preserve"> </w:t>
      </w:r>
      <w:r>
        <w:rPr>
          <w:spacing w:val="-2"/>
          <w:sz w:val="18"/>
        </w:rPr>
        <w:t>5.191.</w:t>
      </w:r>
    </w:p>
    <w:p w14:paraId="73969965" w14:textId="77777777" w:rsidR="00BD462C" w:rsidRDefault="00033D0F">
      <w:pPr>
        <w:spacing w:before="1"/>
        <w:ind w:left="135"/>
        <w:rPr>
          <w:sz w:val="18"/>
        </w:rPr>
      </w:pPr>
      <w:bookmarkStart w:id="255" w:name="_bookmark223"/>
      <w:bookmarkEnd w:id="255"/>
      <w:r>
        <w:rPr>
          <w:position w:val="5"/>
          <w:sz w:val="12"/>
        </w:rPr>
        <w:t>172</w:t>
      </w:r>
      <w:r>
        <w:rPr>
          <w:spacing w:val="13"/>
          <w:position w:val="5"/>
          <w:sz w:val="12"/>
        </w:rPr>
        <w:t xml:space="preserve"> </w:t>
      </w:r>
      <w:r>
        <w:rPr>
          <w:sz w:val="18"/>
        </w:rPr>
        <w:t>China's</w:t>
      </w:r>
      <w:r>
        <w:rPr>
          <w:spacing w:val="-5"/>
          <w:sz w:val="18"/>
        </w:rPr>
        <w:t xml:space="preserve"> </w:t>
      </w:r>
      <w:r>
        <w:rPr>
          <w:sz w:val="18"/>
        </w:rPr>
        <w:t>first</w:t>
      </w:r>
      <w:r>
        <w:rPr>
          <w:spacing w:val="-4"/>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para.</w:t>
      </w:r>
      <w:r>
        <w:rPr>
          <w:spacing w:val="1"/>
          <w:sz w:val="18"/>
        </w:rPr>
        <w:t xml:space="preserve"> </w:t>
      </w:r>
      <w:r>
        <w:rPr>
          <w:sz w:val="18"/>
        </w:rPr>
        <w:t>818-819,</w:t>
      </w:r>
      <w:r>
        <w:rPr>
          <w:spacing w:val="2"/>
          <w:sz w:val="18"/>
        </w:rPr>
        <w:t xml:space="preserve"> </w:t>
      </w:r>
      <w:r>
        <w:rPr>
          <w:sz w:val="18"/>
        </w:rPr>
        <w:t>citing</w:t>
      </w:r>
      <w:r>
        <w:rPr>
          <w:spacing w:val="-5"/>
          <w:sz w:val="18"/>
        </w:rPr>
        <w:t xml:space="preserve"> </w:t>
      </w:r>
      <w:r>
        <w:rPr>
          <w:sz w:val="18"/>
        </w:rPr>
        <w:t>Panel</w:t>
      </w:r>
      <w:r>
        <w:rPr>
          <w:spacing w:val="-10"/>
          <w:sz w:val="18"/>
        </w:rPr>
        <w:t xml:space="preserve"> </w:t>
      </w:r>
      <w:r>
        <w:rPr>
          <w:sz w:val="18"/>
        </w:rPr>
        <w:t>Report,</w:t>
      </w:r>
      <w:r>
        <w:rPr>
          <w:spacing w:val="-3"/>
          <w:sz w:val="18"/>
        </w:rPr>
        <w:t xml:space="preserve"> </w:t>
      </w:r>
      <w:r>
        <w:rPr>
          <w:i/>
          <w:sz w:val="18"/>
        </w:rPr>
        <w:t>EC</w:t>
      </w:r>
      <w:r>
        <w:rPr>
          <w:i/>
          <w:spacing w:val="-5"/>
          <w:sz w:val="18"/>
        </w:rPr>
        <w:t xml:space="preserve"> </w:t>
      </w:r>
      <w:r>
        <w:rPr>
          <w:i/>
          <w:sz w:val="18"/>
        </w:rPr>
        <w:t>–</w:t>
      </w:r>
      <w:r>
        <w:rPr>
          <w:i/>
          <w:spacing w:val="-5"/>
          <w:sz w:val="18"/>
        </w:rPr>
        <w:t xml:space="preserve"> </w:t>
      </w:r>
      <w:r>
        <w:rPr>
          <w:i/>
          <w:sz w:val="18"/>
        </w:rPr>
        <w:t>Fasteners</w:t>
      </w:r>
      <w:r>
        <w:rPr>
          <w:i/>
          <w:spacing w:val="-10"/>
          <w:sz w:val="18"/>
        </w:rPr>
        <w:t xml:space="preserve"> </w:t>
      </w:r>
      <w:r>
        <w:rPr>
          <w:i/>
          <w:sz w:val="18"/>
        </w:rPr>
        <w:t>(China)</w:t>
      </w:r>
      <w:r>
        <w:rPr>
          <w:sz w:val="18"/>
        </w:rPr>
        <w:t>,</w:t>
      </w:r>
      <w:r>
        <w:rPr>
          <w:spacing w:val="-3"/>
          <w:sz w:val="18"/>
        </w:rPr>
        <w:t xml:space="preserve"> </w:t>
      </w:r>
      <w:r>
        <w:rPr>
          <w:sz w:val="18"/>
        </w:rPr>
        <w:t>para.</w:t>
      </w:r>
      <w:r>
        <w:rPr>
          <w:spacing w:val="-5"/>
          <w:sz w:val="18"/>
        </w:rPr>
        <w:t xml:space="preserve"> </w:t>
      </w:r>
      <w:r>
        <w:rPr>
          <w:spacing w:val="-2"/>
          <w:sz w:val="18"/>
        </w:rPr>
        <w:t>7.149.</w:t>
      </w:r>
    </w:p>
    <w:p w14:paraId="7387AB01" w14:textId="77777777" w:rsidR="00BD462C" w:rsidRDefault="00BD462C">
      <w:pPr>
        <w:rPr>
          <w:sz w:val="18"/>
        </w:rPr>
        <w:sectPr w:rsidR="00BD462C">
          <w:pgSz w:w="11910" w:h="16840"/>
          <w:pgMar w:top="860" w:right="500" w:bottom="780" w:left="1280" w:header="566" w:footer="590" w:gutter="0"/>
          <w:cols w:space="720"/>
        </w:sectPr>
      </w:pPr>
    </w:p>
    <w:p w14:paraId="73E4EE2D" w14:textId="77777777" w:rsidR="00652F97" w:rsidRDefault="00652F97" w:rsidP="00652F97">
      <w:pPr>
        <w:pStyle w:val="BodyText"/>
        <w:spacing w:before="107" w:line="357" w:lineRule="auto"/>
        <w:ind w:right="917"/>
        <w:jc w:val="both"/>
        <w:rPr>
          <w:noProof/>
        </w:rPr>
      </w:pPr>
    </w:p>
    <w:p w14:paraId="71C09A47" w14:textId="0C60F9E1" w:rsidR="00BD462C" w:rsidRDefault="00652F97" w:rsidP="00652F97">
      <w:pPr>
        <w:pStyle w:val="BodyText"/>
        <w:spacing w:before="107" w:line="357" w:lineRule="auto"/>
        <w:ind w:right="917"/>
        <w:jc w:val="both"/>
      </w:pPr>
      <w:r>
        <w:rPr>
          <w:position w:val="1"/>
        </w:rPr>
        <w:t xml:space="preserve">116. </w:t>
      </w:r>
      <w:r w:rsidR="00033D0F">
        <w:rPr>
          <w:position w:val="1"/>
        </w:rPr>
        <w:t xml:space="preserve">MOFCOM's actions put the sampled companies in the identical position by denying </w:t>
      </w:r>
      <w:r w:rsidR="00033D0F">
        <w:t>them access to the normal value information through its rejection of relevant data, recourse to facts available and failure to disclose both the quantum and methodology of its adjustments. China conceded this, stating:</w:t>
      </w:r>
    </w:p>
    <w:p w14:paraId="04EB93AD" w14:textId="77777777" w:rsidR="00BD462C" w:rsidRDefault="00033D0F">
      <w:pPr>
        <w:spacing w:before="164" w:line="276" w:lineRule="auto"/>
        <w:ind w:left="985" w:right="914"/>
        <w:jc w:val="both"/>
      </w:pPr>
      <w:r>
        <w:t>[T]here is no situation where the normal value is […] based on Casella Wines' or Swan Vintage's own data because of the application of a methodology similar to the analogue country methodology.</w:t>
      </w:r>
      <w:r>
        <w:rPr>
          <w:spacing w:val="-21"/>
        </w:rPr>
        <w:t xml:space="preserve"> </w:t>
      </w:r>
      <w:hyperlink w:anchor="_bookmark224" w:history="1">
        <w:r>
          <w:rPr>
            <w:vertAlign w:val="superscript"/>
          </w:rPr>
          <w:t>173</w:t>
        </w:r>
      </w:hyperlink>
    </w:p>
    <w:p w14:paraId="5C8D0D51" w14:textId="77777777" w:rsidR="00BD462C" w:rsidRDefault="00BD462C">
      <w:pPr>
        <w:pStyle w:val="BodyText"/>
        <w:spacing w:before="6"/>
        <w:rPr>
          <w:sz w:val="15"/>
        </w:rPr>
      </w:pPr>
    </w:p>
    <w:p w14:paraId="2A44C27B" w14:textId="36D9C7A9" w:rsidR="00BD462C" w:rsidRDefault="00033D0F" w:rsidP="009B7B7C">
      <w:pPr>
        <w:pStyle w:val="BodyText"/>
        <w:numPr>
          <w:ilvl w:val="0"/>
          <w:numId w:val="69"/>
        </w:numPr>
        <w:spacing w:before="56" w:line="360" w:lineRule="auto"/>
        <w:ind w:left="851" w:right="906" w:hanging="780"/>
        <w:jc w:val="both"/>
      </w:pPr>
      <w:r>
        <w:rPr>
          <w:position w:val="1"/>
        </w:rPr>
        <w:t xml:space="preserve">China </w:t>
      </w:r>
      <w:proofErr w:type="spellStart"/>
      <w:r>
        <w:rPr>
          <w:position w:val="1"/>
        </w:rPr>
        <w:t>recognised</w:t>
      </w:r>
      <w:proofErr w:type="spellEnd"/>
      <w:r>
        <w:rPr>
          <w:position w:val="1"/>
        </w:rPr>
        <w:t xml:space="preserve"> that "there are some additional disclosure requirements on an </w:t>
      </w:r>
      <w:r>
        <w:t>investigating authority"</w:t>
      </w:r>
      <w:hyperlink w:anchor="_bookmark225" w:history="1">
        <w:r>
          <w:rPr>
            <w:vertAlign w:val="superscript"/>
          </w:rPr>
          <w:t>174</w:t>
        </w:r>
      </w:hyperlink>
      <w:r>
        <w:t xml:space="preserve"> in certain situations and that, in this case, MOFCOM was obliged "to</w:t>
      </w:r>
      <w:r>
        <w:rPr>
          <w:spacing w:val="-13"/>
        </w:rPr>
        <w:t xml:space="preserve"> </w:t>
      </w:r>
      <w:r>
        <w:t>find</w:t>
      </w:r>
      <w:r>
        <w:rPr>
          <w:spacing w:val="-13"/>
        </w:rPr>
        <w:t xml:space="preserve"> </w:t>
      </w:r>
      <w:r>
        <w:t>ways</w:t>
      </w:r>
      <w:r>
        <w:rPr>
          <w:spacing w:val="-9"/>
        </w:rPr>
        <w:t xml:space="preserve"> </w:t>
      </w:r>
      <w:r>
        <w:t>to</w:t>
      </w:r>
      <w:r>
        <w:rPr>
          <w:spacing w:val="-9"/>
        </w:rPr>
        <w:t xml:space="preserve"> </w:t>
      </w:r>
      <w:r>
        <w:t>disclose</w:t>
      </w:r>
      <w:r>
        <w:rPr>
          <w:spacing w:val="-11"/>
        </w:rPr>
        <w:t xml:space="preserve"> </w:t>
      </w:r>
      <w:r>
        <w:t>as</w:t>
      </w:r>
      <w:r>
        <w:rPr>
          <w:spacing w:val="-9"/>
        </w:rPr>
        <w:t xml:space="preserve"> </w:t>
      </w:r>
      <w:r>
        <w:t>much</w:t>
      </w:r>
      <w:r>
        <w:rPr>
          <w:spacing w:val="-13"/>
        </w:rPr>
        <w:t xml:space="preserve"> </w:t>
      </w:r>
      <w:r>
        <w:t>information</w:t>
      </w:r>
      <w:r>
        <w:rPr>
          <w:spacing w:val="-13"/>
        </w:rPr>
        <w:t xml:space="preserve"> </w:t>
      </w:r>
      <w:r>
        <w:t>on</w:t>
      </w:r>
      <w:r>
        <w:rPr>
          <w:spacing w:val="-8"/>
        </w:rPr>
        <w:t xml:space="preserve"> </w:t>
      </w:r>
      <w:r>
        <w:t>the</w:t>
      </w:r>
      <w:r>
        <w:rPr>
          <w:spacing w:val="-11"/>
        </w:rPr>
        <w:t xml:space="preserve"> </w:t>
      </w:r>
      <w:r>
        <w:t>normal</w:t>
      </w:r>
      <w:r>
        <w:rPr>
          <w:spacing w:val="-9"/>
        </w:rPr>
        <w:t xml:space="preserve"> </w:t>
      </w:r>
      <w:r>
        <w:t>value</w:t>
      </w:r>
      <w:r>
        <w:rPr>
          <w:spacing w:val="-11"/>
        </w:rPr>
        <w:t xml:space="preserve"> </w:t>
      </w:r>
      <w:r>
        <w:t>as</w:t>
      </w:r>
      <w:r>
        <w:rPr>
          <w:spacing w:val="-9"/>
        </w:rPr>
        <w:t xml:space="preserve"> </w:t>
      </w:r>
      <w:r>
        <w:t>the</w:t>
      </w:r>
      <w:r>
        <w:rPr>
          <w:spacing w:val="-11"/>
        </w:rPr>
        <w:t xml:space="preserve"> </w:t>
      </w:r>
      <w:r>
        <w:t>exporter</w:t>
      </w:r>
      <w:r>
        <w:rPr>
          <w:spacing w:val="-9"/>
        </w:rPr>
        <w:t xml:space="preserve"> </w:t>
      </w:r>
      <w:r>
        <w:t>would</w:t>
      </w:r>
      <w:r>
        <w:rPr>
          <w:spacing w:val="-8"/>
        </w:rPr>
        <w:t xml:space="preserve"> </w:t>
      </w:r>
      <w:r>
        <w:t>need to meaningfully participate</w:t>
      </w:r>
      <w:r>
        <w:rPr>
          <w:spacing w:val="-1"/>
        </w:rPr>
        <w:t xml:space="preserve"> </w:t>
      </w:r>
      <w:r>
        <w:t>in the fair comparison process."</w:t>
      </w:r>
      <w:hyperlink w:anchor="_bookmark226" w:history="1">
        <w:r>
          <w:rPr>
            <w:vertAlign w:val="superscript"/>
          </w:rPr>
          <w:t>175</w:t>
        </w:r>
      </w:hyperlink>
      <w:r>
        <w:t xml:space="preserve"> Instead, it failed to meet even its basic obligation under Article 2.4. In its own words:</w:t>
      </w:r>
    </w:p>
    <w:p w14:paraId="2AE5AB4C" w14:textId="77777777" w:rsidR="00BD462C" w:rsidRDefault="00033D0F">
      <w:pPr>
        <w:spacing w:before="155" w:line="276" w:lineRule="auto"/>
        <w:ind w:left="985" w:right="911"/>
        <w:jc w:val="both"/>
      </w:pPr>
      <w:r>
        <w:t>China</w:t>
      </w:r>
      <w:r>
        <w:rPr>
          <w:spacing w:val="-10"/>
        </w:rPr>
        <w:t xml:space="preserve"> </w:t>
      </w:r>
      <w:r>
        <w:t>does</w:t>
      </w:r>
      <w:r>
        <w:rPr>
          <w:spacing w:val="-9"/>
        </w:rPr>
        <w:t xml:space="preserve"> </w:t>
      </w:r>
      <w:r>
        <w:t>not</w:t>
      </w:r>
      <w:r>
        <w:rPr>
          <w:spacing w:val="-11"/>
        </w:rPr>
        <w:t xml:space="preserve"> </w:t>
      </w:r>
      <w:r>
        <w:t>consider</w:t>
      </w:r>
      <w:r>
        <w:rPr>
          <w:spacing w:val="-9"/>
        </w:rPr>
        <w:t xml:space="preserve"> </w:t>
      </w:r>
      <w:r>
        <w:t>that,</w:t>
      </w:r>
      <w:r>
        <w:rPr>
          <w:spacing w:val="-6"/>
        </w:rPr>
        <w:t xml:space="preserve"> </w:t>
      </w:r>
      <w:r>
        <w:t>when</w:t>
      </w:r>
      <w:r>
        <w:rPr>
          <w:spacing w:val="-10"/>
        </w:rPr>
        <w:t xml:space="preserve"> </w:t>
      </w:r>
      <w:r>
        <w:t>a</w:t>
      </w:r>
      <w:r>
        <w:rPr>
          <w:spacing w:val="-13"/>
        </w:rPr>
        <w:t xml:space="preserve"> </w:t>
      </w:r>
      <w:r>
        <w:t>party</w:t>
      </w:r>
      <w:r>
        <w:rPr>
          <w:spacing w:val="-7"/>
        </w:rPr>
        <w:t xml:space="preserve"> </w:t>
      </w:r>
      <w:r>
        <w:t>does</w:t>
      </w:r>
      <w:r>
        <w:rPr>
          <w:spacing w:val="-9"/>
        </w:rPr>
        <w:t xml:space="preserve"> </w:t>
      </w:r>
      <w:r>
        <w:t>not</w:t>
      </w:r>
      <w:r>
        <w:rPr>
          <w:spacing w:val="-11"/>
        </w:rPr>
        <w:t xml:space="preserve"> </w:t>
      </w:r>
      <w:r>
        <w:t>cooperate</w:t>
      </w:r>
      <w:r>
        <w:rPr>
          <w:spacing w:val="-8"/>
        </w:rPr>
        <w:t xml:space="preserve"> </w:t>
      </w:r>
      <w:r>
        <w:t>to</w:t>
      </w:r>
      <w:r>
        <w:rPr>
          <w:spacing w:val="-10"/>
        </w:rPr>
        <w:t xml:space="preserve"> </w:t>
      </w:r>
      <w:r>
        <w:t>the</w:t>
      </w:r>
      <w:r>
        <w:rPr>
          <w:spacing w:val="-8"/>
        </w:rPr>
        <w:t xml:space="preserve"> </w:t>
      </w:r>
      <w:r>
        <w:t>best</w:t>
      </w:r>
      <w:r>
        <w:rPr>
          <w:spacing w:val="-11"/>
        </w:rPr>
        <w:t xml:space="preserve"> </w:t>
      </w:r>
      <w:r>
        <w:t>of</w:t>
      </w:r>
      <w:r>
        <w:rPr>
          <w:spacing w:val="-9"/>
        </w:rPr>
        <w:t xml:space="preserve"> </w:t>
      </w:r>
      <w:r>
        <w:t>its</w:t>
      </w:r>
      <w:r>
        <w:rPr>
          <w:spacing w:val="-9"/>
        </w:rPr>
        <w:t xml:space="preserve"> </w:t>
      </w:r>
      <w:r>
        <w:t>abilities,</w:t>
      </w:r>
      <w:r>
        <w:rPr>
          <w:spacing w:val="-6"/>
        </w:rPr>
        <w:t xml:space="preserve"> </w:t>
      </w:r>
      <w:r>
        <w:t>and normal value … is therefore based on facts available, an investigating authority should provide information to that party in order for it to meaningfully participate in the fair comparison process.</w:t>
      </w:r>
      <w:r>
        <w:rPr>
          <w:spacing w:val="-21"/>
        </w:rPr>
        <w:t xml:space="preserve"> </w:t>
      </w:r>
      <w:hyperlink w:anchor="_bookmark227" w:history="1">
        <w:r>
          <w:rPr>
            <w:vertAlign w:val="superscript"/>
          </w:rPr>
          <w:t>176</w:t>
        </w:r>
      </w:hyperlink>
    </w:p>
    <w:p w14:paraId="47E94871" w14:textId="77777777" w:rsidR="00BD462C" w:rsidRDefault="00BD462C">
      <w:pPr>
        <w:pStyle w:val="BodyText"/>
        <w:spacing w:before="8"/>
        <w:rPr>
          <w:sz w:val="15"/>
        </w:rPr>
      </w:pPr>
    </w:p>
    <w:p w14:paraId="5B8CFBFA" w14:textId="63CEE76A" w:rsidR="00BD462C" w:rsidRDefault="00033D0F" w:rsidP="009B7B7C">
      <w:pPr>
        <w:pStyle w:val="BodyText"/>
        <w:numPr>
          <w:ilvl w:val="0"/>
          <w:numId w:val="69"/>
        </w:numPr>
        <w:spacing w:before="56" w:line="360" w:lineRule="auto"/>
        <w:ind w:right="912"/>
        <w:jc w:val="both"/>
      </w:pPr>
      <w:r>
        <w:rPr>
          <w:position w:val="1"/>
        </w:rPr>
        <w:t>MOFCOM</w:t>
      </w:r>
      <w:r>
        <w:rPr>
          <w:spacing w:val="-6"/>
          <w:position w:val="1"/>
        </w:rPr>
        <w:t xml:space="preserve"> </w:t>
      </w:r>
      <w:r>
        <w:rPr>
          <w:position w:val="1"/>
        </w:rPr>
        <w:t>effectively</w:t>
      </w:r>
      <w:r>
        <w:rPr>
          <w:spacing w:val="-5"/>
          <w:position w:val="1"/>
        </w:rPr>
        <w:t xml:space="preserve"> </w:t>
      </w:r>
      <w:r>
        <w:rPr>
          <w:position w:val="1"/>
        </w:rPr>
        <w:t>punished</w:t>
      </w:r>
      <w:r>
        <w:rPr>
          <w:spacing w:val="-8"/>
          <w:position w:val="1"/>
        </w:rPr>
        <w:t xml:space="preserve"> </w:t>
      </w:r>
      <w:r>
        <w:rPr>
          <w:position w:val="1"/>
        </w:rPr>
        <w:t>Casella</w:t>
      </w:r>
      <w:r>
        <w:rPr>
          <w:spacing w:val="-11"/>
          <w:position w:val="1"/>
        </w:rPr>
        <w:t xml:space="preserve"> </w:t>
      </w:r>
      <w:r>
        <w:rPr>
          <w:position w:val="1"/>
        </w:rPr>
        <w:t>Wines</w:t>
      </w:r>
      <w:r>
        <w:rPr>
          <w:spacing w:val="-5"/>
          <w:position w:val="1"/>
        </w:rPr>
        <w:t xml:space="preserve"> </w:t>
      </w:r>
      <w:r>
        <w:rPr>
          <w:position w:val="1"/>
        </w:rPr>
        <w:t>and</w:t>
      </w:r>
      <w:r>
        <w:rPr>
          <w:spacing w:val="-8"/>
          <w:position w:val="1"/>
        </w:rPr>
        <w:t xml:space="preserve"> </w:t>
      </w:r>
      <w:r>
        <w:rPr>
          <w:position w:val="1"/>
        </w:rPr>
        <w:t>Swan</w:t>
      </w:r>
      <w:r>
        <w:rPr>
          <w:spacing w:val="-8"/>
          <w:position w:val="1"/>
        </w:rPr>
        <w:t xml:space="preserve"> </w:t>
      </w:r>
      <w:r>
        <w:rPr>
          <w:position w:val="1"/>
        </w:rPr>
        <w:t>Vintage</w:t>
      </w:r>
      <w:r>
        <w:rPr>
          <w:spacing w:val="-6"/>
          <w:position w:val="1"/>
        </w:rPr>
        <w:t xml:space="preserve"> </w:t>
      </w:r>
      <w:r>
        <w:rPr>
          <w:position w:val="1"/>
        </w:rPr>
        <w:t>for</w:t>
      </w:r>
      <w:r>
        <w:rPr>
          <w:spacing w:val="-9"/>
          <w:position w:val="1"/>
        </w:rPr>
        <w:t xml:space="preserve"> </w:t>
      </w:r>
      <w:r>
        <w:rPr>
          <w:position w:val="1"/>
        </w:rPr>
        <w:t>what</w:t>
      </w:r>
      <w:r>
        <w:rPr>
          <w:spacing w:val="-6"/>
          <w:position w:val="1"/>
        </w:rPr>
        <w:t xml:space="preserve"> </w:t>
      </w:r>
      <w:r>
        <w:rPr>
          <w:position w:val="1"/>
        </w:rPr>
        <w:t>it</w:t>
      </w:r>
      <w:r>
        <w:rPr>
          <w:spacing w:val="-6"/>
          <w:position w:val="1"/>
        </w:rPr>
        <w:t xml:space="preserve"> </w:t>
      </w:r>
      <w:r>
        <w:rPr>
          <w:position w:val="1"/>
        </w:rPr>
        <w:t xml:space="preserve">perceived </w:t>
      </w:r>
      <w:r>
        <w:t>to</w:t>
      </w:r>
      <w:r>
        <w:rPr>
          <w:spacing w:val="-1"/>
        </w:rPr>
        <w:t xml:space="preserve"> </w:t>
      </w:r>
      <w:r>
        <w:t>be their</w:t>
      </w:r>
      <w:r>
        <w:rPr>
          <w:spacing w:val="-1"/>
        </w:rPr>
        <w:t xml:space="preserve"> </w:t>
      </w:r>
      <w:r>
        <w:t>lack of cooperation</w:t>
      </w:r>
      <w:r>
        <w:rPr>
          <w:spacing w:val="-1"/>
        </w:rPr>
        <w:t xml:space="preserve"> </w:t>
      </w:r>
      <w:r>
        <w:t>(though</w:t>
      </w:r>
      <w:r>
        <w:rPr>
          <w:spacing w:val="-1"/>
        </w:rPr>
        <w:t xml:space="preserve"> </w:t>
      </w:r>
      <w:r>
        <w:t xml:space="preserve">not </w:t>
      </w:r>
      <w:proofErr w:type="spellStart"/>
      <w:r>
        <w:t>categorising</w:t>
      </w:r>
      <w:proofErr w:type="spellEnd"/>
      <w:r>
        <w:rPr>
          <w:spacing w:val="-2"/>
        </w:rPr>
        <w:t xml:space="preserve"> </w:t>
      </w:r>
      <w:r>
        <w:t>them as "All Others") by withholding information that would enable them to "meaningfully participate in the fair comparison process".</w:t>
      </w:r>
      <w:r>
        <w:rPr>
          <w:spacing w:val="-14"/>
        </w:rPr>
        <w:t xml:space="preserve"> </w:t>
      </w:r>
      <w:hyperlink w:anchor="_bookmark228" w:history="1">
        <w:r>
          <w:rPr>
            <w:vertAlign w:val="superscript"/>
          </w:rPr>
          <w:t>177</w:t>
        </w:r>
      </w:hyperlink>
      <w:r>
        <w:t xml:space="preserve"> China even suggested Casella Wines and Swan Vintage were "fully aware of… Treasury</w:t>
      </w:r>
      <w:r>
        <w:rPr>
          <w:spacing w:val="-14"/>
        </w:rPr>
        <w:t xml:space="preserve"> </w:t>
      </w:r>
      <w:r>
        <w:t>Wines'</w:t>
      </w:r>
      <w:r>
        <w:rPr>
          <w:spacing w:val="-14"/>
        </w:rPr>
        <w:t xml:space="preserve"> </w:t>
      </w:r>
      <w:r>
        <w:t>operations",</w:t>
      </w:r>
      <w:r>
        <w:rPr>
          <w:spacing w:val="-13"/>
        </w:rPr>
        <w:t xml:space="preserve"> </w:t>
      </w:r>
      <w:hyperlink w:anchor="_bookmark229" w:history="1">
        <w:r>
          <w:rPr>
            <w:vertAlign w:val="superscript"/>
          </w:rPr>
          <w:t>178</w:t>
        </w:r>
      </w:hyperlink>
      <w:r>
        <w:rPr>
          <w:spacing w:val="-12"/>
        </w:rPr>
        <w:t xml:space="preserve"> </w:t>
      </w:r>
      <w:r>
        <w:t>despite</w:t>
      </w:r>
      <w:r>
        <w:rPr>
          <w:spacing w:val="-6"/>
        </w:rPr>
        <w:t xml:space="preserve"> </w:t>
      </w:r>
      <w:r>
        <w:t>the</w:t>
      </w:r>
      <w:r>
        <w:rPr>
          <w:spacing w:val="-7"/>
        </w:rPr>
        <w:t xml:space="preserve"> </w:t>
      </w:r>
      <w:r>
        <w:t>fact</w:t>
      </w:r>
      <w:r>
        <w:rPr>
          <w:spacing w:val="-7"/>
        </w:rPr>
        <w:t xml:space="preserve"> </w:t>
      </w:r>
      <w:r>
        <w:t>MOFCOM</w:t>
      </w:r>
      <w:r>
        <w:rPr>
          <w:spacing w:val="-7"/>
        </w:rPr>
        <w:t xml:space="preserve"> </w:t>
      </w:r>
      <w:r>
        <w:t>never</w:t>
      </w:r>
      <w:r>
        <w:rPr>
          <w:spacing w:val="-10"/>
        </w:rPr>
        <w:t xml:space="preserve"> </w:t>
      </w:r>
      <w:r>
        <w:t>identified</w:t>
      </w:r>
      <w:r>
        <w:rPr>
          <w:spacing w:val="-9"/>
        </w:rPr>
        <w:t xml:space="preserve"> </w:t>
      </w:r>
      <w:r>
        <w:t>Treasury</w:t>
      </w:r>
      <w:r>
        <w:rPr>
          <w:spacing w:val="-6"/>
        </w:rPr>
        <w:t xml:space="preserve"> </w:t>
      </w:r>
      <w:r>
        <w:t>Wines</w:t>
      </w:r>
      <w:r>
        <w:rPr>
          <w:spacing w:val="-6"/>
        </w:rPr>
        <w:t xml:space="preserve"> </w:t>
      </w:r>
      <w:r>
        <w:t>as the</w:t>
      </w:r>
      <w:r>
        <w:rPr>
          <w:spacing w:val="-2"/>
        </w:rPr>
        <w:t xml:space="preserve"> </w:t>
      </w:r>
      <w:r>
        <w:t>"other respondents"</w:t>
      </w:r>
      <w:r>
        <w:rPr>
          <w:spacing w:val="-14"/>
        </w:rPr>
        <w:t xml:space="preserve"> </w:t>
      </w:r>
      <w:hyperlink w:anchor="_bookmark230" w:history="1">
        <w:r>
          <w:rPr>
            <w:vertAlign w:val="superscript"/>
          </w:rPr>
          <w:t>179</w:t>
        </w:r>
      </w:hyperlink>
      <w:r>
        <w:t xml:space="preserve"> and its data was not publicly available. Casella Wines and Swan Vintage could not object to what MOFCOM did not disclose</w:t>
      </w:r>
      <w:hyperlink w:anchor="_bookmark231" w:history="1">
        <w:r>
          <w:rPr>
            <w:vertAlign w:val="superscript"/>
          </w:rPr>
          <w:t>180</w:t>
        </w:r>
      </w:hyperlink>
      <w:r>
        <w:t>, having been "left in the</w:t>
      </w:r>
      <w:r>
        <w:rPr>
          <w:spacing w:val="80"/>
        </w:rPr>
        <w:t xml:space="preserve"> </w:t>
      </w:r>
      <w:r>
        <w:t>dark".</w:t>
      </w:r>
      <w:r>
        <w:rPr>
          <w:spacing w:val="-34"/>
        </w:rPr>
        <w:t xml:space="preserve"> </w:t>
      </w:r>
      <w:hyperlink w:anchor="_bookmark232" w:history="1">
        <w:r>
          <w:rPr>
            <w:vertAlign w:val="superscript"/>
          </w:rPr>
          <w:t>181</w:t>
        </w:r>
      </w:hyperlink>
    </w:p>
    <w:p w14:paraId="4AAB995C" w14:textId="77777777" w:rsidR="00BD462C" w:rsidRDefault="00BD462C">
      <w:pPr>
        <w:pStyle w:val="BodyText"/>
        <w:rPr>
          <w:sz w:val="20"/>
        </w:rPr>
      </w:pPr>
    </w:p>
    <w:p w14:paraId="34273BB5" w14:textId="77777777" w:rsidR="00BD462C" w:rsidRDefault="00BD462C">
      <w:pPr>
        <w:pStyle w:val="BodyText"/>
        <w:rPr>
          <w:sz w:val="20"/>
        </w:rPr>
      </w:pPr>
    </w:p>
    <w:p w14:paraId="602A6E10" w14:textId="77777777" w:rsidR="00BD462C" w:rsidRDefault="00BD462C">
      <w:pPr>
        <w:pStyle w:val="BodyText"/>
        <w:rPr>
          <w:sz w:val="20"/>
        </w:rPr>
      </w:pPr>
    </w:p>
    <w:p w14:paraId="56CD3773" w14:textId="77777777" w:rsidR="00BD462C" w:rsidRDefault="00BD462C">
      <w:pPr>
        <w:pStyle w:val="BodyText"/>
        <w:rPr>
          <w:sz w:val="20"/>
        </w:rPr>
      </w:pPr>
    </w:p>
    <w:p w14:paraId="19D5163D" w14:textId="4C9FE13D" w:rsidR="00BD462C" w:rsidRDefault="009A6330">
      <w:pPr>
        <w:pStyle w:val="BodyText"/>
        <w:spacing w:before="1"/>
        <w:rPr>
          <w:sz w:val="14"/>
        </w:rPr>
      </w:pPr>
      <w:r>
        <w:rPr>
          <w:noProof/>
        </w:rPr>
        <mc:AlternateContent>
          <mc:Choice Requires="wps">
            <w:drawing>
              <wp:anchor distT="0" distB="0" distL="0" distR="0" simplePos="0" relativeHeight="488000000" behindDoc="1" locked="0" layoutInCell="1" allowOverlap="1" wp14:anchorId="2C90C9FD" wp14:editId="22CD8E42">
                <wp:simplePos x="0" y="0"/>
                <wp:positionH relativeFrom="page">
                  <wp:posOffset>812800</wp:posOffset>
                </wp:positionH>
                <wp:positionV relativeFrom="paragraph">
                  <wp:posOffset>112444</wp:posOffset>
                </wp:positionV>
                <wp:extent cx="1828800" cy="8890"/>
                <wp:effectExtent l="0" t="0" r="0" b="0"/>
                <wp:wrapTopAndBottom/>
                <wp:docPr id="1414" name="docshape7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D9E187" id="docshape712" o:spid="_x0000_s1026" alt="&quot;&quot;" style="position:absolute;margin-left:64pt;margin-top:8.85pt;width:2in;height:.7pt;z-index:-15316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" fillcolor="black" stroked="f">
                <w10:wrap type="topAndBottom" anchorx="page"/>
              </v:rect>
            </w:pict>
          </mc:Fallback>
        </mc:AlternateContent>
      </w:r>
    </w:p>
    <w:p w14:paraId="1EC2E560" w14:textId="77777777" w:rsidR="00BD462C" w:rsidRDefault="00033D0F">
      <w:pPr>
        <w:spacing w:before="112"/>
        <w:ind w:left="135"/>
        <w:rPr>
          <w:sz w:val="18"/>
        </w:rPr>
      </w:pPr>
      <w:bookmarkStart w:id="256" w:name="_bookmark224"/>
      <w:bookmarkEnd w:id="256"/>
      <w:r>
        <w:rPr>
          <w:position w:val="5"/>
          <w:sz w:val="12"/>
        </w:rPr>
        <w:t>173</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 xml:space="preserve">para. </w:t>
      </w:r>
      <w:r>
        <w:rPr>
          <w:spacing w:val="-4"/>
          <w:sz w:val="18"/>
        </w:rPr>
        <w:t>885.</w:t>
      </w:r>
    </w:p>
    <w:p w14:paraId="35E644BB" w14:textId="77777777" w:rsidR="00BD462C" w:rsidRDefault="00033D0F">
      <w:pPr>
        <w:spacing w:before="1"/>
        <w:ind w:left="135"/>
        <w:rPr>
          <w:sz w:val="18"/>
        </w:rPr>
      </w:pPr>
      <w:bookmarkStart w:id="257" w:name="_bookmark225"/>
      <w:bookmarkEnd w:id="257"/>
      <w:r>
        <w:rPr>
          <w:position w:val="5"/>
          <w:sz w:val="12"/>
        </w:rPr>
        <w:t>174</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 xml:space="preserve">submission, para. </w:t>
      </w:r>
      <w:r>
        <w:rPr>
          <w:spacing w:val="-4"/>
          <w:sz w:val="18"/>
        </w:rPr>
        <w:t>887.</w:t>
      </w:r>
    </w:p>
    <w:p w14:paraId="5DE77DE4" w14:textId="77777777" w:rsidR="00BD462C" w:rsidRDefault="00033D0F">
      <w:pPr>
        <w:spacing w:before="1"/>
        <w:ind w:left="135"/>
        <w:rPr>
          <w:sz w:val="18"/>
        </w:rPr>
      </w:pPr>
      <w:bookmarkStart w:id="258" w:name="_bookmark226"/>
      <w:bookmarkEnd w:id="258"/>
      <w:r>
        <w:rPr>
          <w:position w:val="5"/>
          <w:sz w:val="12"/>
        </w:rPr>
        <w:t>175</w:t>
      </w:r>
      <w:r>
        <w:rPr>
          <w:spacing w:val="14"/>
          <w:position w:val="5"/>
          <w:sz w:val="12"/>
        </w:rPr>
        <w:t xml:space="preserve"> </w:t>
      </w:r>
      <w:r>
        <w:rPr>
          <w:sz w:val="18"/>
        </w:rPr>
        <w:t>Panel</w:t>
      </w:r>
      <w:r>
        <w:rPr>
          <w:spacing w:val="-3"/>
          <w:sz w:val="18"/>
        </w:rPr>
        <w:t xml:space="preserve"> </w:t>
      </w:r>
      <w:r>
        <w:rPr>
          <w:sz w:val="18"/>
        </w:rPr>
        <w:t>Report,</w:t>
      </w:r>
      <w:r>
        <w:rPr>
          <w:spacing w:val="-7"/>
          <w:sz w:val="18"/>
        </w:rPr>
        <w:t xml:space="preserve"> </w:t>
      </w:r>
      <w:r>
        <w:rPr>
          <w:i/>
          <w:sz w:val="18"/>
        </w:rPr>
        <w:t>EC</w:t>
      </w:r>
      <w:r>
        <w:rPr>
          <w:i/>
          <w:spacing w:val="-5"/>
          <w:sz w:val="18"/>
        </w:rPr>
        <w:t xml:space="preserve"> </w:t>
      </w:r>
      <w:r>
        <w:rPr>
          <w:i/>
          <w:sz w:val="18"/>
        </w:rPr>
        <w:t>– Fasteners</w:t>
      </w:r>
      <w:r>
        <w:rPr>
          <w:i/>
          <w:spacing w:val="-5"/>
          <w:sz w:val="18"/>
        </w:rPr>
        <w:t xml:space="preserve"> </w:t>
      </w:r>
      <w:r>
        <w:rPr>
          <w:i/>
          <w:sz w:val="18"/>
        </w:rPr>
        <w:t>(China)</w:t>
      </w:r>
      <w:r>
        <w:rPr>
          <w:sz w:val="18"/>
        </w:rPr>
        <w:t>,</w:t>
      </w:r>
      <w:r>
        <w:rPr>
          <w:spacing w:val="3"/>
          <w:sz w:val="18"/>
        </w:rPr>
        <w:t xml:space="preserve"> </w:t>
      </w:r>
      <w:r>
        <w:rPr>
          <w:sz w:val="18"/>
        </w:rPr>
        <w:t>para.</w:t>
      </w:r>
      <w:r>
        <w:rPr>
          <w:spacing w:val="1"/>
          <w:sz w:val="18"/>
        </w:rPr>
        <w:t xml:space="preserve"> </w:t>
      </w:r>
      <w:r>
        <w:rPr>
          <w:spacing w:val="-2"/>
          <w:sz w:val="18"/>
        </w:rPr>
        <w:t>7.149.</w:t>
      </w:r>
    </w:p>
    <w:p w14:paraId="14D58A5E" w14:textId="77777777" w:rsidR="00BD462C" w:rsidRDefault="00033D0F">
      <w:pPr>
        <w:spacing w:before="1" w:line="218" w:lineRule="exact"/>
        <w:ind w:left="135"/>
        <w:rPr>
          <w:sz w:val="18"/>
        </w:rPr>
      </w:pPr>
      <w:bookmarkStart w:id="259" w:name="_bookmark227"/>
      <w:bookmarkEnd w:id="259"/>
      <w:r>
        <w:rPr>
          <w:position w:val="5"/>
          <w:sz w:val="12"/>
        </w:rPr>
        <w:t>176</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 xml:space="preserve">submission, para. </w:t>
      </w:r>
      <w:r>
        <w:rPr>
          <w:spacing w:val="-4"/>
          <w:sz w:val="18"/>
        </w:rPr>
        <w:t>885.</w:t>
      </w:r>
    </w:p>
    <w:p w14:paraId="5F29F942" w14:textId="77777777" w:rsidR="00BD462C" w:rsidRDefault="00033D0F">
      <w:pPr>
        <w:spacing w:line="218" w:lineRule="exact"/>
        <w:ind w:left="135"/>
        <w:rPr>
          <w:sz w:val="18"/>
        </w:rPr>
      </w:pPr>
      <w:bookmarkStart w:id="260" w:name="_bookmark228"/>
      <w:bookmarkEnd w:id="260"/>
      <w:r>
        <w:rPr>
          <w:position w:val="5"/>
          <w:sz w:val="12"/>
        </w:rPr>
        <w:t>177</w:t>
      </w:r>
      <w:r>
        <w:rPr>
          <w:spacing w:val="14"/>
          <w:position w:val="5"/>
          <w:sz w:val="12"/>
        </w:rPr>
        <w:t xml:space="preserve"> </w:t>
      </w:r>
      <w:r>
        <w:rPr>
          <w:sz w:val="18"/>
        </w:rPr>
        <w:t>Panel</w:t>
      </w:r>
      <w:r>
        <w:rPr>
          <w:spacing w:val="-4"/>
          <w:sz w:val="18"/>
        </w:rPr>
        <w:t xml:space="preserve"> </w:t>
      </w:r>
      <w:r>
        <w:rPr>
          <w:sz w:val="18"/>
        </w:rPr>
        <w:t>Report,</w:t>
      </w:r>
      <w:r>
        <w:rPr>
          <w:spacing w:val="-7"/>
          <w:sz w:val="18"/>
        </w:rPr>
        <w:t xml:space="preserve"> </w:t>
      </w:r>
      <w:r>
        <w:rPr>
          <w:i/>
          <w:sz w:val="18"/>
        </w:rPr>
        <w:t>EC</w:t>
      </w:r>
      <w:r>
        <w:rPr>
          <w:i/>
          <w:spacing w:val="-4"/>
          <w:sz w:val="18"/>
        </w:rPr>
        <w:t xml:space="preserve"> </w:t>
      </w:r>
      <w:r>
        <w:rPr>
          <w:i/>
          <w:sz w:val="18"/>
        </w:rPr>
        <w:t>–</w:t>
      </w:r>
      <w:r>
        <w:rPr>
          <w:i/>
          <w:spacing w:val="-1"/>
          <w:sz w:val="18"/>
        </w:rPr>
        <w:t xml:space="preserve"> </w:t>
      </w:r>
      <w:r>
        <w:rPr>
          <w:i/>
          <w:sz w:val="18"/>
        </w:rPr>
        <w:t>Fasteners</w:t>
      </w:r>
      <w:r>
        <w:rPr>
          <w:i/>
          <w:spacing w:val="-4"/>
          <w:sz w:val="18"/>
        </w:rPr>
        <w:t xml:space="preserve"> </w:t>
      </w:r>
      <w:r>
        <w:rPr>
          <w:i/>
          <w:sz w:val="18"/>
        </w:rPr>
        <w:t>(China)</w:t>
      </w:r>
      <w:r>
        <w:rPr>
          <w:sz w:val="18"/>
        </w:rPr>
        <w:t>,</w:t>
      </w:r>
      <w:r>
        <w:rPr>
          <w:spacing w:val="2"/>
          <w:sz w:val="18"/>
        </w:rPr>
        <w:t xml:space="preserve"> </w:t>
      </w:r>
      <w:r>
        <w:rPr>
          <w:sz w:val="18"/>
        </w:rPr>
        <w:t>para.</w:t>
      </w:r>
      <w:r>
        <w:rPr>
          <w:spacing w:val="1"/>
          <w:sz w:val="18"/>
        </w:rPr>
        <w:t xml:space="preserve"> </w:t>
      </w:r>
      <w:r>
        <w:rPr>
          <w:spacing w:val="-2"/>
          <w:sz w:val="18"/>
        </w:rPr>
        <w:t>7.149.</w:t>
      </w:r>
    </w:p>
    <w:p w14:paraId="684C5342" w14:textId="77777777" w:rsidR="00BD462C" w:rsidRDefault="00033D0F">
      <w:pPr>
        <w:spacing w:before="1"/>
        <w:ind w:left="135"/>
        <w:rPr>
          <w:sz w:val="18"/>
        </w:rPr>
      </w:pPr>
      <w:bookmarkStart w:id="261" w:name="_bookmark229"/>
      <w:bookmarkEnd w:id="261"/>
      <w:r>
        <w:rPr>
          <w:position w:val="5"/>
          <w:sz w:val="12"/>
        </w:rPr>
        <w:t>178</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 xml:space="preserve">para. </w:t>
      </w:r>
      <w:r>
        <w:rPr>
          <w:spacing w:val="-4"/>
          <w:sz w:val="18"/>
        </w:rPr>
        <w:t>888.</w:t>
      </w:r>
    </w:p>
    <w:p w14:paraId="5322F599" w14:textId="77777777" w:rsidR="00BD462C" w:rsidRDefault="00033D0F">
      <w:pPr>
        <w:spacing w:before="1"/>
        <w:ind w:left="135"/>
        <w:rPr>
          <w:sz w:val="18"/>
        </w:rPr>
      </w:pPr>
      <w:bookmarkStart w:id="262" w:name="_bookmark230"/>
      <w:bookmarkEnd w:id="262"/>
      <w:r>
        <w:rPr>
          <w:position w:val="5"/>
          <w:sz w:val="12"/>
        </w:rPr>
        <w:t>179</w:t>
      </w:r>
      <w:r>
        <w:rPr>
          <w:spacing w:val="14"/>
          <w:position w:val="5"/>
          <w:sz w:val="12"/>
        </w:rPr>
        <w:t xml:space="preserve"> </w:t>
      </w:r>
      <w:r>
        <w:rPr>
          <w:sz w:val="18"/>
        </w:rPr>
        <w:t>Anti-Dumping</w:t>
      </w:r>
      <w:r>
        <w:rPr>
          <w:spacing w:val="-5"/>
          <w:sz w:val="18"/>
        </w:rPr>
        <w:t xml:space="preserve"> </w:t>
      </w:r>
      <w:r>
        <w:rPr>
          <w:sz w:val="18"/>
        </w:rPr>
        <w:t>Final</w:t>
      </w:r>
      <w:r>
        <w:rPr>
          <w:spacing w:val="1"/>
          <w:sz w:val="18"/>
        </w:rPr>
        <w:t xml:space="preserve"> </w:t>
      </w:r>
      <w:r>
        <w:rPr>
          <w:sz w:val="18"/>
        </w:rPr>
        <w:t>Determination</w:t>
      </w:r>
      <w:r>
        <w:rPr>
          <w:spacing w:val="-5"/>
          <w:sz w:val="18"/>
        </w:rPr>
        <w:t xml:space="preserve"> </w:t>
      </w:r>
      <w:r>
        <w:rPr>
          <w:sz w:val="18"/>
        </w:rPr>
        <w:t>(Exhibit</w:t>
      </w:r>
      <w:r>
        <w:rPr>
          <w:spacing w:val="1"/>
          <w:sz w:val="18"/>
        </w:rPr>
        <w:t xml:space="preserve"> </w:t>
      </w:r>
      <w:r>
        <w:rPr>
          <w:sz w:val="18"/>
        </w:rPr>
        <w:t>AUS-2),</w:t>
      </w:r>
      <w:r>
        <w:rPr>
          <w:spacing w:val="-3"/>
          <w:sz w:val="18"/>
        </w:rPr>
        <w:t xml:space="preserve"> </w:t>
      </w:r>
      <w:r>
        <w:rPr>
          <w:sz w:val="18"/>
        </w:rPr>
        <w:t>p.</w:t>
      </w:r>
      <w:r>
        <w:rPr>
          <w:spacing w:val="-3"/>
          <w:sz w:val="18"/>
        </w:rPr>
        <w:t xml:space="preserve"> </w:t>
      </w:r>
      <w:r>
        <w:rPr>
          <w:sz w:val="18"/>
        </w:rPr>
        <w:t>85</w:t>
      </w:r>
      <w:r>
        <w:rPr>
          <w:spacing w:val="-6"/>
          <w:sz w:val="18"/>
        </w:rPr>
        <w:t xml:space="preserve"> </w:t>
      </w:r>
      <w:r>
        <w:rPr>
          <w:sz w:val="18"/>
        </w:rPr>
        <w:t>(Casella</w:t>
      </w:r>
      <w:r>
        <w:rPr>
          <w:spacing w:val="-6"/>
          <w:sz w:val="18"/>
        </w:rPr>
        <w:t xml:space="preserve"> </w:t>
      </w:r>
      <w:r>
        <w:rPr>
          <w:sz w:val="18"/>
        </w:rPr>
        <w:t>Wines);</w:t>
      </w:r>
      <w:r>
        <w:rPr>
          <w:spacing w:val="-2"/>
          <w:sz w:val="18"/>
        </w:rPr>
        <w:t xml:space="preserve"> </w:t>
      </w:r>
      <w:r>
        <w:rPr>
          <w:sz w:val="18"/>
        </w:rPr>
        <w:t>and</w:t>
      </w:r>
      <w:r>
        <w:rPr>
          <w:spacing w:val="-5"/>
          <w:sz w:val="18"/>
        </w:rPr>
        <w:t xml:space="preserve"> </w:t>
      </w:r>
      <w:r>
        <w:rPr>
          <w:sz w:val="18"/>
        </w:rPr>
        <w:t>p.</w:t>
      </w:r>
      <w:r>
        <w:rPr>
          <w:spacing w:val="-4"/>
          <w:sz w:val="18"/>
        </w:rPr>
        <w:t xml:space="preserve"> </w:t>
      </w:r>
      <w:r>
        <w:rPr>
          <w:sz w:val="18"/>
        </w:rPr>
        <w:t>92</w:t>
      </w:r>
      <w:r>
        <w:rPr>
          <w:spacing w:val="-6"/>
          <w:sz w:val="18"/>
        </w:rPr>
        <w:t xml:space="preserve"> </w:t>
      </w:r>
      <w:r>
        <w:rPr>
          <w:sz w:val="18"/>
        </w:rPr>
        <w:t>(Swan</w:t>
      </w:r>
      <w:r>
        <w:rPr>
          <w:spacing w:val="-5"/>
          <w:sz w:val="18"/>
        </w:rPr>
        <w:t xml:space="preserve"> </w:t>
      </w:r>
      <w:r>
        <w:rPr>
          <w:spacing w:val="-2"/>
          <w:sz w:val="18"/>
        </w:rPr>
        <w:t>Vintage)</w:t>
      </w:r>
    </w:p>
    <w:p w14:paraId="7F34DAA0" w14:textId="77777777" w:rsidR="00BD462C" w:rsidRDefault="00033D0F">
      <w:pPr>
        <w:spacing w:before="1"/>
        <w:ind w:left="135"/>
        <w:rPr>
          <w:sz w:val="18"/>
        </w:rPr>
      </w:pPr>
      <w:bookmarkStart w:id="263" w:name="_bookmark231"/>
      <w:bookmarkEnd w:id="263"/>
      <w:r>
        <w:rPr>
          <w:position w:val="5"/>
          <w:sz w:val="12"/>
        </w:rPr>
        <w:t>180</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 xml:space="preserve">submission, para. </w:t>
      </w:r>
      <w:r>
        <w:rPr>
          <w:spacing w:val="-4"/>
          <w:sz w:val="18"/>
        </w:rPr>
        <w:t>890.</w:t>
      </w:r>
    </w:p>
    <w:p w14:paraId="29B4297B" w14:textId="77777777" w:rsidR="00BD462C" w:rsidRDefault="00033D0F">
      <w:pPr>
        <w:spacing w:before="1"/>
        <w:ind w:left="135"/>
        <w:rPr>
          <w:sz w:val="18"/>
        </w:rPr>
      </w:pPr>
      <w:bookmarkStart w:id="264" w:name="_bookmark232"/>
      <w:bookmarkEnd w:id="264"/>
      <w:r>
        <w:rPr>
          <w:position w:val="5"/>
          <w:sz w:val="12"/>
        </w:rPr>
        <w:t>181</w:t>
      </w:r>
      <w:r>
        <w:rPr>
          <w:spacing w:val="11"/>
          <w:position w:val="5"/>
          <w:sz w:val="12"/>
        </w:rPr>
        <w:t xml:space="preserve"> </w:t>
      </w:r>
      <w:r>
        <w:rPr>
          <w:sz w:val="18"/>
        </w:rPr>
        <w:t>China's</w:t>
      </w:r>
      <w:r>
        <w:rPr>
          <w:spacing w:val="-6"/>
          <w:sz w:val="18"/>
        </w:rPr>
        <w:t xml:space="preserve"> </w:t>
      </w:r>
      <w:r>
        <w:rPr>
          <w:sz w:val="18"/>
        </w:rPr>
        <w:t>first</w:t>
      </w:r>
      <w:r>
        <w:rPr>
          <w:spacing w:val="-6"/>
          <w:sz w:val="18"/>
        </w:rPr>
        <w:t xml:space="preserve"> </w:t>
      </w:r>
      <w:r>
        <w:rPr>
          <w:sz w:val="18"/>
        </w:rPr>
        <w:t>written</w:t>
      </w:r>
      <w:r>
        <w:rPr>
          <w:spacing w:val="-7"/>
          <w:sz w:val="18"/>
        </w:rPr>
        <w:t xml:space="preserve"> </w:t>
      </w:r>
      <w:r>
        <w:rPr>
          <w:sz w:val="18"/>
        </w:rPr>
        <w:t>submission, para.</w:t>
      </w:r>
      <w:r>
        <w:rPr>
          <w:spacing w:val="-1"/>
          <w:sz w:val="18"/>
        </w:rPr>
        <w:t xml:space="preserve"> </w:t>
      </w:r>
      <w:r>
        <w:rPr>
          <w:sz w:val="18"/>
        </w:rPr>
        <w:t>817-</w:t>
      </w:r>
      <w:r>
        <w:rPr>
          <w:spacing w:val="-4"/>
          <w:sz w:val="18"/>
        </w:rPr>
        <w:t>820.</w:t>
      </w:r>
    </w:p>
    <w:p w14:paraId="7FA8292C" w14:textId="77777777" w:rsidR="00BD462C" w:rsidRDefault="00BD462C">
      <w:pPr>
        <w:rPr>
          <w:sz w:val="18"/>
        </w:rPr>
        <w:sectPr w:rsidR="00BD462C">
          <w:pgSz w:w="11910" w:h="16840"/>
          <w:pgMar w:top="860" w:right="500" w:bottom="780" w:left="1280" w:header="566" w:footer="590" w:gutter="0"/>
          <w:cols w:space="720"/>
        </w:sectPr>
      </w:pPr>
    </w:p>
    <w:p w14:paraId="714086DA"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53823B6D"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462EA388"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06447792" w14:textId="77777777" w:rsidR="00BD462C" w:rsidRDefault="00033D0F">
      <w:pPr>
        <w:pStyle w:val="Heading3"/>
        <w:numPr>
          <w:ilvl w:val="0"/>
          <w:numId w:val="36"/>
        </w:numPr>
        <w:tabs>
          <w:tab w:val="left" w:pos="2689"/>
          <w:tab w:val="left" w:pos="2690"/>
        </w:tabs>
        <w:spacing w:line="357" w:lineRule="auto"/>
        <w:ind w:right="913"/>
      </w:pPr>
      <w:bookmarkStart w:id="265" w:name="5._Obligation_to_&quot;not_impose_an_unreason"/>
      <w:bookmarkStart w:id="266" w:name="_bookmark233"/>
      <w:bookmarkEnd w:id="265"/>
      <w:bookmarkEnd w:id="266"/>
      <w:r>
        <w:t>Obligation to "not impose an unreasonable burden of proof on</w:t>
      </w:r>
      <w:r>
        <w:rPr>
          <w:spacing w:val="40"/>
        </w:rPr>
        <w:t xml:space="preserve"> </w:t>
      </w:r>
      <w:r>
        <w:t>those parties"</w:t>
      </w:r>
    </w:p>
    <w:p w14:paraId="0BABC361" w14:textId="77777777" w:rsidR="00BD462C" w:rsidRDefault="00BD462C">
      <w:pPr>
        <w:pStyle w:val="BodyText"/>
        <w:spacing w:before="3"/>
        <w:rPr>
          <w:b/>
          <w:sz w:val="9"/>
        </w:rPr>
      </w:pPr>
    </w:p>
    <w:p w14:paraId="57732193" w14:textId="227CFD7B" w:rsidR="00BD462C" w:rsidRDefault="00033D0F" w:rsidP="00087BDF">
      <w:pPr>
        <w:pStyle w:val="BodyText"/>
        <w:numPr>
          <w:ilvl w:val="0"/>
          <w:numId w:val="69"/>
        </w:numPr>
        <w:spacing w:before="56" w:line="357" w:lineRule="auto"/>
        <w:ind w:right="914"/>
        <w:jc w:val="both"/>
      </w:pPr>
      <w:bookmarkStart w:id="267" w:name="_bookmark234"/>
      <w:bookmarkEnd w:id="267"/>
      <w:r>
        <w:rPr>
          <w:position w:val="1"/>
        </w:rPr>
        <w:t xml:space="preserve">As Australia noted in its first written submission, MOFCOM's conduct of the </w:t>
      </w:r>
      <w:r>
        <w:t>investigation established an unreasonable burden of proof on the sampled companies.</w:t>
      </w:r>
      <w:hyperlink w:anchor="_bookmark240" w:history="1">
        <w:r>
          <w:rPr>
            <w:vertAlign w:val="superscript"/>
          </w:rPr>
          <w:t>182</w:t>
        </w:r>
      </w:hyperlink>
      <w:r>
        <w:t xml:space="preserve"> These procedural breaches also resulted in a breach of the final sentence of Article 2.4.</w:t>
      </w:r>
    </w:p>
    <w:p w14:paraId="76DBED39" w14:textId="77777777" w:rsidR="00BD462C" w:rsidRDefault="00033D0F">
      <w:pPr>
        <w:pStyle w:val="Heading3"/>
        <w:numPr>
          <w:ilvl w:val="0"/>
          <w:numId w:val="36"/>
        </w:numPr>
        <w:tabs>
          <w:tab w:val="left" w:pos="2689"/>
          <w:tab w:val="left" w:pos="2690"/>
        </w:tabs>
        <w:spacing w:before="164"/>
      </w:pPr>
      <w:bookmarkStart w:id="268" w:name="_bookmark235"/>
      <w:bookmarkEnd w:id="268"/>
      <w:r>
        <w:rPr>
          <w:spacing w:val="-2"/>
        </w:rPr>
        <w:t>Conclusion</w:t>
      </w:r>
    </w:p>
    <w:p w14:paraId="6E28A854" w14:textId="77777777" w:rsidR="00BD462C" w:rsidRDefault="00BD462C">
      <w:pPr>
        <w:pStyle w:val="BodyText"/>
        <w:spacing w:before="11"/>
        <w:rPr>
          <w:b/>
          <w:sz w:val="20"/>
        </w:rPr>
      </w:pPr>
    </w:p>
    <w:p w14:paraId="28CE8BD6" w14:textId="7768488E" w:rsidR="00BD462C" w:rsidRDefault="00033D0F" w:rsidP="00087BDF">
      <w:pPr>
        <w:pStyle w:val="BodyText"/>
        <w:numPr>
          <w:ilvl w:val="0"/>
          <w:numId w:val="69"/>
        </w:numPr>
        <w:spacing w:before="56" w:line="355" w:lineRule="auto"/>
      </w:pPr>
      <w:bookmarkStart w:id="269" w:name="_bookmark236"/>
      <w:bookmarkEnd w:id="269"/>
      <w:r>
        <w:rPr>
          <w:position w:val="1"/>
        </w:rPr>
        <w:t>For</w:t>
      </w:r>
      <w:r>
        <w:rPr>
          <w:spacing w:val="-6"/>
          <w:position w:val="1"/>
        </w:rPr>
        <w:t xml:space="preserve"> </w:t>
      </w:r>
      <w:r>
        <w:rPr>
          <w:position w:val="1"/>
        </w:rPr>
        <w:t>the</w:t>
      </w:r>
      <w:r>
        <w:rPr>
          <w:spacing w:val="-4"/>
          <w:position w:val="1"/>
        </w:rPr>
        <w:t xml:space="preserve"> </w:t>
      </w:r>
      <w:r>
        <w:rPr>
          <w:position w:val="1"/>
        </w:rPr>
        <w:t>reasons</w:t>
      </w:r>
      <w:r>
        <w:rPr>
          <w:spacing w:val="-2"/>
          <w:position w:val="1"/>
        </w:rPr>
        <w:t xml:space="preserve"> </w:t>
      </w:r>
      <w:r>
        <w:rPr>
          <w:position w:val="1"/>
        </w:rPr>
        <w:t>set</w:t>
      </w:r>
      <w:r>
        <w:rPr>
          <w:spacing w:val="-3"/>
          <w:position w:val="1"/>
        </w:rPr>
        <w:t xml:space="preserve"> </w:t>
      </w:r>
      <w:r>
        <w:rPr>
          <w:position w:val="1"/>
        </w:rPr>
        <w:t>out</w:t>
      </w:r>
      <w:r>
        <w:rPr>
          <w:spacing w:val="-3"/>
          <w:position w:val="1"/>
        </w:rPr>
        <w:t xml:space="preserve"> </w:t>
      </w:r>
      <w:r>
        <w:rPr>
          <w:position w:val="1"/>
        </w:rPr>
        <w:t>above</w:t>
      </w:r>
      <w:r>
        <w:rPr>
          <w:spacing w:val="-3"/>
          <w:position w:val="1"/>
        </w:rPr>
        <w:t xml:space="preserve"> </w:t>
      </w:r>
      <w:r>
        <w:rPr>
          <w:position w:val="1"/>
        </w:rPr>
        <w:t>and</w:t>
      </w:r>
      <w:r>
        <w:rPr>
          <w:spacing w:val="-5"/>
          <w:position w:val="1"/>
        </w:rPr>
        <w:t xml:space="preserve"> </w:t>
      </w:r>
      <w:r>
        <w:rPr>
          <w:position w:val="1"/>
        </w:rPr>
        <w:t>in</w:t>
      </w:r>
      <w:r>
        <w:rPr>
          <w:spacing w:val="-5"/>
          <w:position w:val="1"/>
        </w:rPr>
        <w:t xml:space="preserve"> </w:t>
      </w:r>
      <w:r>
        <w:rPr>
          <w:position w:val="1"/>
        </w:rPr>
        <w:t>Australia's</w:t>
      </w:r>
      <w:r>
        <w:rPr>
          <w:spacing w:val="-2"/>
          <w:position w:val="1"/>
        </w:rPr>
        <w:t xml:space="preserve"> </w:t>
      </w:r>
      <w:r>
        <w:rPr>
          <w:position w:val="1"/>
        </w:rPr>
        <w:t>first</w:t>
      </w:r>
      <w:r>
        <w:rPr>
          <w:spacing w:val="-3"/>
          <w:position w:val="1"/>
        </w:rPr>
        <w:t xml:space="preserve"> </w:t>
      </w:r>
      <w:r>
        <w:rPr>
          <w:position w:val="1"/>
        </w:rPr>
        <w:t>written</w:t>
      </w:r>
      <w:r>
        <w:rPr>
          <w:spacing w:val="-5"/>
          <w:position w:val="1"/>
        </w:rPr>
        <w:t xml:space="preserve"> </w:t>
      </w:r>
      <w:r>
        <w:rPr>
          <w:position w:val="1"/>
        </w:rPr>
        <w:t>submission,</w:t>
      </w:r>
      <w:r>
        <w:rPr>
          <w:spacing w:val="-2"/>
          <w:position w:val="1"/>
        </w:rPr>
        <w:t xml:space="preserve"> </w:t>
      </w:r>
      <w:r>
        <w:rPr>
          <w:position w:val="1"/>
        </w:rPr>
        <w:t>China</w:t>
      </w:r>
      <w:r>
        <w:rPr>
          <w:spacing w:val="-4"/>
          <w:position w:val="1"/>
        </w:rPr>
        <w:t xml:space="preserve"> </w:t>
      </w:r>
      <w:r>
        <w:rPr>
          <w:position w:val="1"/>
        </w:rPr>
        <w:t xml:space="preserve">acted </w:t>
      </w:r>
      <w:r>
        <w:t>inconsistently with its obligations under Article 2.4 of the Anti-Dumping Agreement.</w:t>
      </w:r>
    </w:p>
    <w:p w14:paraId="39AC3B25" w14:textId="77777777" w:rsidR="00087BDF" w:rsidRPr="00087BDF" w:rsidRDefault="00033D0F" w:rsidP="00087BDF">
      <w:pPr>
        <w:pStyle w:val="ListParagraph"/>
        <w:numPr>
          <w:ilvl w:val="1"/>
          <w:numId w:val="66"/>
        </w:numPr>
        <w:tabs>
          <w:tab w:val="left" w:pos="1839"/>
          <w:tab w:val="left" w:pos="1840"/>
        </w:tabs>
        <w:spacing w:before="166"/>
        <w:ind w:left="1840"/>
        <w:rPr>
          <w:b/>
        </w:rPr>
      </w:pPr>
      <w:bookmarkStart w:id="270" w:name="D._Treasury_Wines"/>
      <w:bookmarkStart w:id="271" w:name="_bookmark237"/>
      <w:bookmarkEnd w:id="270"/>
      <w:bookmarkEnd w:id="271"/>
      <w:r>
        <w:rPr>
          <w:b/>
          <w:sz w:val="28"/>
        </w:rPr>
        <w:t>T</w:t>
      </w:r>
      <w:r>
        <w:rPr>
          <w:b/>
        </w:rPr>
        <w:t>REASURY</w:t>
      </w:r>
      <w:r>
        <w:rPr>
          <w:b/>
          <w:spacing w:val="-6"/>
        </w:rPr>
        <w:t xml:space="preserve"> </w:t>
      </w:r>
      <w:r>
        <w:rPr>
          <w:b/>
          <w:spacing w:val="-4"/>
          <w:sz w:val="28"/>
        </w:rPr>
        <w:t>W</w:t>
      </w:r>
      <w:r>
        <w:rPr>
          <w:b/>
          <w:spacing w:val="-4"/>
        </w:rPr>
        <w:t>INE</w:t>
      </w:r>
      <w:bookmarkStart w:id="272" w:name="_bookmark238"/>
      <w:bookmarkEnd w:id="272"/>
    </w:p>
    <w:p w14:paraId="2F058BFD" w14:textId="490179AF" w:rsidR="00BD462C" w:rsidRPr="00087BDF" w:rsidRDefault="00087BDF" w:rsidP="00087BDF">
      <w:pPr>
        <w:pStyle w:val="ListParagraph"/>
        <w:numPr>
          <w:ilvl w:val="0"/>
          <w:numId w:val="69"/>
        </w:numPr>
        <w:tabs>
          <w:tab w:val="left" w:pos="1839"/>
          <w:tab w:val="left" w:pos="1840"/>
        </w:tabs>
        <w:spacing w:before="166"/>
        <w:rPr>
          <w:b/>
        </w:rPr>
      </w:pPr>
      <w:r>
        <w:rPr>
          <w:position w:val="1"/>
        </w:rPr>
        <w:t xml:space="preserve"> </w:t>
      </w:r>
      <w:r w:rsidR="00033D0F" w:rsidRPr="00087BDF">
        <w:rPr>
          <w:position w:val="1"/>
        </w:rPr>
        <w:t>Australia</w:t>
      </w:r>
      <w:r w:rsidR="00033D0F" w:rsidRPr="00087BDF">
        <w:rPr>
          <w:spacing w:val="35"/>
          <w:position w:val="1"/>
        </w:rPr>
        <w:t xml:space="preserve"> </w:t>
      </w:r>
      <w:r w:rsidR="00033D0F" w:rsidRPr="00087BDF">
        <w:rPr>
          <w:position w:val="1"/>
        </w:rPr>
        <w:t>claims</w:t>
      </w:r>
      <w:r w:rsidR="00033D0F" w:rsidRPr="00087BDF">
        <w:rPr>
          <w:spacing w:val="37"/>
          <w:position w:val="1"/>
        </w:rPr>
        <w:t xml:space="preserve"> </w:t>
      </w:r>
      <w:r w:rsidR="00033D0F" w:rsidRPr="00087BDF">
        <w:rPr>
          <w:position w:val="1"/>
        </w:rPr>
        <w:t>that</w:t>
      </w:r>
      <w:r w:rsidR="00033D0F" w:rsidRPr="00087BDF">
        <w:rPr>
          <w:spacing w:val="36"/>
          <w:position w:val="1"/>
        </w:rPr>
        <w:t xml:space="preserve"> </w:t>
      </w:r>
      <w:r w:rsidR="00033D0F" w:rsidRPr="00087BDF">
        <w:rPr>
          <w:position w:val="1"/>
        </w:rPr>
        <w:t>MOFCOM's</w:t>
      </w:r>
      <w:r w:rsidR="00033D0F" w:rsidRPr="00087BDF">
        <w:rPr>
          <w:spacing w:val="37"/>
          <w:position w:val="1"/>
        </w:rPr>
        <w:t xml:space="preserve"> </w:t>
      </w:r>
      <w:r w:rsidR="00033D0F" w:rsidRPr="00087BDF">
        <w:rPr>
          <w:position w:val="1"/>
        </w:rPr>
        <w:t>dumping</w:t>
      </w:r>
      <w:r w:rsidR="00033D0F" w:rsidRPr="00087BDF">
        <w:rPr>
          <w:spacing w:val="37"/>
          <w:position w:val="1"/>
        </w:rPr>
        <w:t xml:space="preserve"> </w:t>
      </w:r>
      <w:r w:rsidR="00033D0F" w:rsidRPr="00087BDF">
        <w:rPr>
          <w:position w:val="1"/>
        </w:rPr>
        <w:t>determination</w:t>
      </w:r>
      <w:r w:rsidR="00033D0F" w:rsidRPr="00087BDF">
        <w:rPr>
          <w:spacing w:val="34"/>
          <w:position w:val="1"/>
        </w:rPr>
        <w:t xml:space="preserve"> </w:t>
      </w:r>
      <w:r w:rsidR="00033D0F" w:rsidRPr="00087BDF">
        <w:rPr>
          <w:position w:val="1"/>
        </w:rPr>
        <w:t>for</w:t>
      </w:r>
      <w:r w:rsidR="00033D0F" w:rsidRPr="00087BDF">
        <w:rPr>
          <w:spacing w:val="38"/>
          <w:position w:val="1"/>
        </w:rPr>
        <w:t xml:space="preserve"> </w:t>
      </w:r>
      <w:r w:rsidR="00033D0F" w:rsidRPr="00087BDF">
        <w:rPr>
          <w:position w:val="1"/>
        </w:rPr>
        <w:t>Treasury</w:t>
      </w:r>
      <w:r w:rsidR="00033D0F" w:rsidRPr="00087BDF">
        <w:rPr>
          <w:spacing w:val="37"/>
          <w:position w:val="1"/>
        </w:rPr>
        <w:t xml:space="preserve"> </w:t>
      </w:r>
      <w:r w:rsidR="00033D0F" w:rsidRPr="00087BDF">
        <w:rPr>
          <w:position w:val="1"/>
        </w:rPr>
        <w:t>Wines</w:t>
      </w:r>
      <w:r w:rsidR="00033D0F" w:rsidRPr="00087BDF">
        <w:rPr>
          <w:spacing w:val="37"/>
          <w:position w:val="1"/>
        </w:rPr>
        <w:t xml:space="preserve"> </w:t>
      </w:r>
      <w:r w:rsidR="00033D0F" w:rsidRPr="00087BDF">
        <w:rPr>
          <w:position w:val="1"/>
        </w:rPr>
        <w:t xml:space="preserve">was </w:t>
      </w:r>
      <w:r w:rsidR="00033D0F">
        <w:t>inconsistent</w:t>
      </w:r>
      <w:r w:rsidR="00033D0F" w:rsidRPr="00087BDF">
        <w:rPr>
          <w:spacing w:val="8"/>
        </w:rPr>
        <w:t xml:space="preserve"> </w:t>
      </w:r>
      <w:r w:rsidR="00033D0F">
        <w:t>with</w:t>
      </w:r>
      <w:r w:rsidR="00033D0F" w:rsidRPr="00087BDF">
        <w:rPr>
          <w:spacing w:val="8"/>
        </w:rPr>
        <w:t xml:space="preserve"> </w:t>
      </w:r>
      <w:r w:rsidR="00033D0F">
        <w:t>Articles</w:t>
      </w:r>
      <w:r w:rsidR="00033D0F" w:rsidRPr="00087BDF">
        <w:rPr>
          <w:spacing w:val="11"/>
        </w:rPr>
        <w:t xml:space="preserve"> </w:t>
      </w:r>
      <w:r w:rsidR="00033D0F">
        <w:t>1,</w:t>
      </w:r>
      <w:r w:rsidR="00033D0F" w:rsidRPr="00087BDF">
        <w:rPr>
          <w:spacing w:val="12"/>
        </w:rPr>
        <w:t xml:space="preserve"> </w:t>
      </w:r>
      <w:r w:rsidR="00033D0F">
        <w:t>2.1,</w:t>
      </w:r>
      <w:r w:rsidR="00033D0F" w:rsidRPr="00087BDF">
        <w:rPr>
          <w:spacing w:val="11"/>
        </w:rPr>
        <w:t xml:space="preserve"> </w:t>
      </w:r>
      <w:r w:rsidR="00033D0F">
        <w:t>2.2,</w:t>
      </w:r>
      <w:r w:rsidR="00033D0F" w:rsidRPr="00087BDF">
        <w:rPr>
          <w:spacing w:val="12"/>
        </w:rPr>
        <w:t xml:space="preserve"> </w:t>
      </w:r>
      <w:r w:rsidR="00033D0F">
        <w:t>2.2.1,</w:t>
      </w:r>
      <w:r w:rsidR="00033D0F" w:rsidRPr="00087BDF">
        <w:rPr>
          <w:spacing w:val="11"/>
        </w:rPr>
        <w:t xml:space="preserve"> </w:t>
      </w:r>
      <w:r w:rsidR="00033D0F">
        <w:t>2.2.1.1,</w:t>
      </w:r>
      <w:r w:rsidR="00033D0F" w:rsidRPr="00087BDF">
        <w:rPr>
          <w:spacing w:val="12"/>
        </w:rPr>
        <w:t xml:space="preserve"> </w:t>
      </w:r>
      <w:r w:rsidR="00033D0F">
        <w:t>2.4,</w:t>
      </w:r>
      <w:r w:rsidR="00033D0F" w:rsidRPr="00087BDF">
        <w:rPr>
          <w:spacing w:val="11"/>
        </w:rPr>
        <w:t xml:space="preserve"> </w:t>
      </w:r>
      <w:r w:rsidR="00033D0F">
        <w:t>6.1,</w:t>
      </w:r>
      <w:r w:rsidR="00033D0F" w:rsidRPr="00087BDF">
        <w:rPr>
          <w:spacing w:val="12"/>
        </w:rPr>
        <w:t xml:space="preserve"> </w:t>
      </w:r>
      <w:r w:rsidR="00033D0F">
        <w:t>6.1.1,</w:t>
      </w:r>
      <w:r w:rsidR="00033D0F" w:rsidRPr="00087BDF">
        <w:rPr>
          <w:spacing w:val="11"/>
        </w:rPr>
        <w:t xml:space="preserve"> </w:t>
      </w:r>
      <w:r w:rsidR="00033D0F">
        <w:t>6.2,</w:t>
      </w:r>
      <w:r w:rsidR="00033D0F" w:rsidRPr="00087BDF">
        <w:rPr>
          <w:spacing w:val="12"/>
        </w:rPr>
        <w:t xml:space="preserve"> </w:t>
      </w:r>
      <w:r w:rsidR="00033D0F">
        <w:t>6.4,</w:t>
      </w:r>
      <w:r w:rsidR="00033D0F" w:rsidRPr="00087BDF">
        <w:rPr>
          <w:spacing w:val="11"/>
        </w:rPr>
        <w:t xml:space="preserve"> </w:t>
      </w:r>
      <w:r w:rsidR="00033D0F">
        <w:t>6.8,</w:t>
      </w:r>
      <w:r w:rsidR="00033D0F" w:rsidRPr="00087BDF">
        <w:rPr>
          <w:spacing w:val="12"/>
        </w:rPr>
        <w:t xml:space="preserve"> </w:t>
      </w:r>
      <w:r w:rsidR="00033D0F">
        <w:t>6.9,</w:t>
      </w:r>
      <w:r w:rsidR="00033D0F" w:rsidRPr="00087BDF">
        <w:rPr>
          <w:spacing w:val="11"/>
        </w:rPr>
        <w:t xml:space="preserve"> </w:t>
      </w:r>
      <w:r w:rsidR="00033D0F">
        <w:t>9.1,</w:t>
      </w:r>
      <w:r w:rsidR="00033D0F" w:rsidRPr="00087BDF">
        <w:rPr>
          <w:spacing w:val="12"/>
        </w:rPr>
        <w:t xml:space="preserve"> </w:t>
      </w:r>
      <w:r w:rsidR="00033D0F" w:rsidRPr="00087BDF">
        <w:rPr>
          <w:spacing w:val="-4"/>
        </w:rPr>
        <w:t>9.2,</w:t>
      </w:r>
    </w:p>
    <w:p w14:paraId="02D83A23" w14:textId="77777777" w:rsidR="00BD462C" w:rsidRDefault="00033D0F">
      <w:pPr>
        <w:pStyle w:val="BodyText"/>
        <w:spacing w:before="5"/>
        <w:ind w:left="135"/>
      </w:pPr>
      <w:r>
        <w:t>9.3,</w:t>
      </w:r>
      <w:r>
        <w:rPr>
          <w:spacing w:val="-5"/>
        </w:rPr>
        <w:t xml:space="preserve"> </w:t>
      </w:r>
      <w:r>
        <w:t>18.1</w:t>
      </w:r>
      <w:r>
        <w:rPr>
          <w:spacing w:val="-5"/>
        </w:rPr>
        <w:t xml:space="preserve"> </w:t>
      </w:r>
      <w:r>
        <w:t>and</w:t>
      </w:r>
      <w:r>
        <w:rPr>
          <w:spacing w:val="-3"/>
        </w:rPr>
        <w:t xml:space="preserve"> </w:t>
      </w:r>
      <w:r>
        <w:t>paragraphs</w:t>
      </w:r>
      <w:r>
        <w:rPr>
          <w:spacing w:val="-1"/>
        </w:rPr>
        <w:t xml:space="preserve"> </w:t>
      </w:r>
      <w:r>
        <w:t>1,</w:t>
      </w:r>
      <w:r>
        <w:rPr>
          <w:spacing w:val="-4"/>
        </w:rPr>
        <w:t xml:space="preserve"> </w:t>
      </w:r>
      <w:r>
        <w:t>3,</w:t>
      </w:r>
      <w:r>
        <w:rPr>
          <w:spacing w:val="-1"/>
        </w:rPr>
        <w:t xml:space="preserve"> </w:t>
      </w:r>
      <w:r>
        <w:t>5, 6</w:t>
      </w:r>
      <w:r>
        <w:rPr>
          <w:spacing w:val="-9"/>
        </w:rPr>
        <w:t xml:space="preserve"> </w:t>
      </w:r>
      <w:r>
        <w:t>and</w:t>
      </w:r>
      <w:r>
        <w:rPr>
          <w:spacing w:val="-4"/>
        </w:rPr>
        <w:t xml:space="preserve"> </w:t>
      </w:r>
      <w:r>
        <w:t>7</w:t>
      </w:r>
      <w:r>
        <w:rPr>
          <w:spacing w:val="-4"/>
        </w:rPr>
        <w:t xml:space="preserve"> </w:t>
      </w:r>
      <w:r>
        <w:t>of</w:t>
      </w:r>
      <w:r>
        <w:rPr>
          <w:spacing w:val="-4"/>
        </w:rPr>
        <w:t xml:space="preserve"> </w:t>
      </w:r>
      <w:r>
        <w:t>Annex II.</w:t>
      </w:r>
      <w:r>
        <w:rPr>
          <w:spacing w:val="-6"/>
        </w:rPr>
        <w:t xml:space="preserve"> </w:t>
      </w:r>
      <w:r>
        <w:t>China</w:t>
      </w:r>
      <w:r>
        <w:rPr>
          <w:spacing w:val="-7"/>
        </w:rPr>
        <w:t xml:space="preserve"> </w:t>
      </w:r>
      <w:r>
        <w:t>has</w:t>
      </w:r>
      <w:r>
        <w:rPr>
          <w:spacing w:val="-6"/>
        </w:rPr>
        <w:t xml:space="preserve"> </w:t>
      </w:r>
      <w:r>
        <w:t>failed</w:t>
      </w:r>
      <w:r>
        <w:rPr>
          <w:spacing w:val="-8"/>
        </w:rPr>
        <w:t xml:space="preserve"> </w:t>
      </w:r>
      <w:r>
        <w:t>to</w:t>
      </w:r>
      <w:r>
        <w:rPr>
          <w:spacing w:val="-5"/>
        </w:rPr>
        <w:t xml:space="preserve"> </w:t>
      </w:r>
      <w:r>
        <w:t>rebut</w:t>
      </w:r>
      <w:r>
        <w:rPr>
          <w:spacing w:val="-6"/>
        </w:rPr>
        <w:t xml:space="preserve"> </w:t>
      </w:r>
      <w:r>
        <w:t>these</w:t>
      </w:r>
      <w:r>
        <w:rPr>
          <w:spacing w:val="-7"/>
        </w:rPr>
        <w:t xml:space="preserve"> </w:t>
      </w:r>
      <w:r>
        <w:t xml:space="preserve">claims. </w:t>
      </w:r>
      <w:hyperlink w:anchor="_bookmark241" w:history="1">
        <w:r>
          <w:rPr>
            <w:spacing w:val="-5"/>
            <w:vertAlign w:val="superscript"/>
          </w:rPr>
          <w:t>183</w:t>
        </w:r>
      </w:hyperlink>
    </w:p>
    <w:p w14:paraId="3C3B004B" w14:textId="77777777" w:rsidR="00BD462C" w:rsidRDefault="00BD462C">
      <w:pPr>
        <w:pStyle w:val="BodyText"/>
        <w:spacing w:before="7"/>
        <w:rPr>
          <w:sz w:val="20"/>
        </w:rPr>
      </w:pPr>
    </w:p>
    <w:p w14:paraId="3E872433" w14:textId="16BA2B34" w:rsidR="00BD462C" w:rsidRDefault="00033D0F" w:rsidP="00087BDF">
      <w:pPr>
        <w:pStyle w:val="BodyText"/>
        <w:numPr>
          <w:ilvl w:val="0"/>
          <w:numId w:val="69"/>
        </w:numPr>
        <w:spacing w:before="56" w:line="360" w:lineRule="auto"/>
        <w:ind w:right="915"/>
        <w:jc w:val="both"/>
      </w:pPr>
      <w:r>
        <w:rPr>
          <w:position w:val="1"/>
        </w:rPr>
        <w:t>Australia</w:t>
      </w:r>
      <w:r>
        <w:rPr>
          <w:spacing w:val="-7"/>
          <w:position w:val="1"/>
        </w:rPr>
        <w:t xml:space="preserve"> </w:t>
      </w:r>
      <w:r>
        <w:rPr>
          <w:position w:val="1"/>
        </w:rPr>
        <w:t>set</w:t>
      </w:r>
      <w:r>
        <w:rPr>
          <w:spacing w:val="-2"/>
          <w:position w:val="1"/>
        </w:rPr>
        <w:t xml:space="preserve"> </w:t>
      </w:r>
      <w:r>
        <w:rPr>
          <w:position w:val="1"/>
        </w:rPr>
        <w:t>out, above, that</w:t>
      </w:r>
      <w:r>
        <w:rPr>
          <w:spacing w:val="-2"/>
          <w:position w:val="1"/>
        </w:rPr>
        <w:t xml:space="preserve"> </w:t>
      </w:r>
      <w:r>
        <w:rPr>
          <w:position w:val="1"/>
        </w:rPr>
        <w:t>MOFCOM</w:t>
      </w:r>
      <w:r>
        <w:rPr>
          <w:spacing w:val="-2"/>
          <w:position w:val="1"/>
        </w:rPr>
        <w:t xml:space="preserve"> </w:t>
      </w:r>
      <w:r>
        <w:rPr>
          <w:position w:val="1"/>
        </w:rPr>
        <w:t>acted</w:t>
      </w:r>
      <w:r>
        <w:rPr>
          <w:spacing w:val="-4"/>
          <w:position w:val="1"/>
        </w:rPr>
        <w:t xml:space="preserve"> </w:t>
      </w:r>
      <w:r>
        <w:rPr>
          <w:position w:val="1"/>
        </w:rPr>
        <w:t>inconsistently</w:t>
      </w:r>
      <w:r>
        <w:rPr>
          <w:spacing w:val="-6"/>
          <w:position w:val="1"/>
        </w:rPr>
        <w:t xml:space="preserve"> </w:t>
      </w:r>
      <w:r>
        <w:rPr>
          <w:position w:val="1"/>
        </w:rPr>
        <w:t>with</w:t>
      </w:r>
      <w:r>
        <w:rPr>
          <w:spacing w:val="-4"/>
          <w:position w:val="1"/>
        </w:rPr>
        <w:t xml:space="preserve"> </w:t>
      </w:r>
      <w:r>
        <w:rPr>
          <w:position w:val="1"/>
        </w:rPr>
        <w:t>Article</w:t>
      </w:r>
      <w:r>
        <w:rPr>
          <w:spacing w:val="-2"/>
          <w:position w:val="1"/>
        </w:rPr>
        <w:t xml:space="preserve"> </w:t>
      </w:r>
      <w:r>
        <w:rPr>
          <w:position w:val="1"/>
        </w:rPr>
        <w:t>2.4</w:t>
      </w:r>
      <w:r>
        <w:rPr>
          <w:spacing w:val="-5"/>
          <w:position w:val="1"/>
        </w:rPr>
        <w:t xml:space="preserve"> </w:t>
      </w:r>
      <w:r>
        <w:rPr>
          <w:position w:val="1"/>
        </w:rPr>
        <w:t xml:space="preserve">because </w:t>
      </w:r>
      <w:r>
        <w:t>it</w:t>
      </w:r>
      <w:r>
        <w:rPr>
          <w:spacing w:val="-8"/>
        </w:rPr>
        <w:t xml:space="preserve"> </w:t>
      </w:r>
      <w:r>
        <w:t>did</w:t>
      </w:r>
      <w:r>
        <w:rPr>
          <w:spacing w:val="-10"/>
        </w:rPr>
        <w:t xml:space="preserve"> </w:t>
      </w:r>
      <w:r>
        <w:t>not</w:t>
      </w:r>
      <w:r>
        <w:rPr>
          <w:spacing w:val="-8"/>
        </w:rPr>
        <w:t xml:space="preserve"> </w:t>
      </w:r>
      <w:r>
        <w:t>disclose</w:t>
      </w:r>
      <w:r>
        <w:rPr>
          <w:spacing w:val="-8"/>
        </w:rPr>
        <w:t xml:space="preserve"> </w:t>
      </w:r>
      <w:r>
        <w:t>relevant</w:t>
      </w:r>
      <w:r>
        <w:rPr>
          <w:spacing w:val="-12"/>
        </w:rPr>
        <w:t xml:space="preserve"> </w:t>
      </w:r>
      <w:r>
        <w:t>information</w:t>
      </w:r>
      <w:r>
        <w:rPr>
          <w:spacing w:val="-10"/>
        </w:rPr>
        <w:t xml:space="preserve"> </w:t>
      </w:r>
      <w:r>
        <w:t>and</w:t>
      </w:r>
      <w:r>
        <w:rPr>
          <w:spacing w:val="-10"/>
        </w:rPr>
        <w:t xml:space="preserve"> </w:t>
      </w:r>
      <w:r>
        <w:t>enter</w:t>
      </w:r>
      <w:r>
        <w:rPr>
          <w:spacing w:val="-11"/>
        </w:rPr>
        <w:t xml:space="preserve"> </w:t>
      </w:r>
      <w:r>
        <w:t>into</w:t>
      </w:r>
      <w:r>
        <w:rPr>
          <w:spacing w:val="-11"/>
        </w:rPr>
        <w:t xml:space="preserve"> </w:t>
      </w:r>
      <w:r>
        <w:t>a</w:t>
      </w:r>
      <w:r>
        <w:rPr>
          <w:spacing w:val="-9"/>
        </w:rPr>
        <w:t xml:space="preserve"> </w:t>
      </w:r>
      <w:r>
        <w:t>dialogue</w:t>
      </w:r>
      <w:r>
        <w:rPr>
          <w:spacing w:val="-8"/>
        </w:rPr>
        <w:t xml:space="preserve"> </w:t>
      </w:r>
      <w:r>
        <w:t>with</w:t>
      </w:r>
      <w:r>
        <w:rPr>
          <w:spacing w:val="-10"/>
        </w:rPr>
        <w:t xml:space="preserve"> </w:t>
      </w:r>
      <w:r>
        <w:t>Treasury</w:t>
      </w:r>
      <w:r>
        <w:rPr>
          <w:spacing w:val="-7"/>
        </w:rPr>
        <w:t xml:space="preserve"> </w:t>
      </w:r>
      <w:r>
        <w:t>Wines</w:t>
      </w:r>
      <w:r>
        <w:rPr>
          <w:spacing w:val="-7"/>
        </w:rPr>
        <w:t xml:space="preserve"> </w:t>
      </w:r>
      <w:r>
        <w:t>in</w:t>
      </w:r>
      <w:r>
        <w:rPr>
          <w:spacing w:val="-10"/>
        </w:rPr>
        <w:t xml:space="preserve"> </w:t>
      </w:r>
      <w:r>
        <w:t>order to ensure a fair comparison between export price and normal value, and MOFCOM acted inconsistently with Article 6.8 because of its recourse to facts available on the basis of a "holistic analysis" of the information submitted by Treasury Wines.</w:t>
      </w:r>
    </w:p>
    <w:p w14:paraId="61849909" w14:textId="77777777" w:rsidR="00BD462C" w:rsidRDefault="00BD462C">
      <w:pPr>
        <w:pStyle w:val="BodyText"/>
        <w:spacing w:before="10"/>
        <w:rPr>
          <w:sz w:val="8"/>
        </w:rPr>
      </w:pPr>
    </w:p>
    <w:p w14:paraId="36EFC650" w14:textId="0881B4D2" w:rsidR="00BD462C" w:rsidRDefault="00033D0F" w:rsidP="00087BDF">
      <w:pPr>
        <w:pStyle w:val="BodyText"/>
        <w:numPr>
          <w:ilvl w:val="0"/>
          <w:numId w:val="69"/>
        </w:numPr>
        <w:spacing w:before="57" w:line="357" w:lineRule="auto"/>
        <w:ind w:right="911"/>
        <w:jc w:val="both"/>
      </w:pPr>
      <w:r>
        <w:rPr>
          <w:position w:val="1"/>
        </w:rPr>
        <w:t>In</w:t>
      </w:r>
      <w:r>
        <w:rPr>
          <w:spacing w:val="-5"/>
          <w:position w:val="1"/>
        </w:rPr>
        <w:t xml:space="preserve"> </w:t>
      </w:r>
      <w:r>
        <w:rPr>
          <w:position w:val="1"/>
        </w:rPr>
        <w:t>this</w:t>
      </w:r>
      <w:r>
        <w:rPr>
          <w:spacing w:val="-2"/>
          <w:position w:val="1"/>
        </w:rPr>
        <w:t xml:space="preserve"> </w:t>
      </w:r>
      <w:r>
        <w:rPr>
          <w:position w:val="1"/>
        </w:rPr>
        <w:t>section,</w:t>
      </w:r>
      <w:r>
        <w:rPr>
          <w:spacing w:val="-1"/>
          <w:position w:val="1"/>
        </w:rPr>
        <w:t xml:space="preserve"> </w:t>
      </w:r>
      <w:r>
        <w:rPr>
          <w:position w:val="1"/>
        </w:rPr>
        <w:t>Australia</w:t>
      </w:r>
      <w:r>
        <w:rPr>
          <w:spacing w:val="-4"/>
          <w:position w:val="1"/>
        </w:rPr>
        <w:t xml:space="preserve"> </w:t>
      </w:r>
      <w:r>
        <w:rPr>
          <w:position w:val="1"/>
        </w:rPr>
        <w:t>will</w:t>
      </w:r>
      <w:r>
        <w:rPr>
          <w:spacing w:val="-2"/>
          <w:position w:val="1"/>
        </w:rPr>
        <w:t xml:space="preserve"> </w:t>
      </w:r>
      <w:r>
        <w:rPr>
          <w:position w:val="1"/>
        </w:rPr>
        <w:t>address</w:t>
      </w:r>
      <w:r>
        <w:rPr>
          <w:spacing w:val="-2"/>
          <w:position w:val="1"/>
        </w:rPr>
        <w:t xml:space="preserve"> </w:t>
      </w:r>
      <w:r>
        <w:rPr>
          <w:position w:val="1"/>
        </w:rPr>
        <w:t>the</w:t>
      </w:r>
      <w:r>
        <w:rPr>
          <w:spacing w:val="-3"/>
          <w:position w:val="1"/>
        </w:rPr>
        <w:t xml:space="preserve"> </w:t>
      </w:r>
      <w:r>
        <w:rPr>
          <w:position w:val="1"/>
        </w:rPr>
        <w:t>additional</w:t>
      </w:r>
      <w:r>
        <w:rPr>
          <w:spacing w:val="-1"/>
          <w:position w:val="1"/>
        </w:rPr>
        <w:t xml:space="preserve"> </w:t>
      </w:r>
      <w:r>
        <w:rPr>
          <w:position w:val="1"/>
        </w:rPr>
        <w:t>errors</w:t>
      </w:r>
      <w:r>
        <w:rPr>
          <w:spacing w:val="-2"/>
          <w:position w:val="1"/>
        </w:rPr>
        <w:t xml:space="preserve"> </w:t>
      </w:r>
      <w:r>
        <w:rPr>
          <w:position w:val="1"/>
        </w:rPr>
        <w:t>MOFCOM</w:t>
      </w:r>
      <w:r>
        <w:rPr>
          <w:spacing w:val="-3"/>
          <w:position w:val="1"/>
        </w:rPr>
        <w:t xml:space="preserve"> </w:t>
      </w:r>
      <w:r>
        <w:rPr>
          <w:position w:val="1"/>
        </w:rPr>
        <w:t>committed</w:t>
      </w:r>
      <w:r>
        <w:rPr>
          <w:spacing w:val="-5"/>
          <w:position w:val="1"/>
        </w:rPr>
        <w:t xml:space="preserve"> </w:t>
      </w:r>
      <w:r>
        <w:rPr>
          <w:position w:val="1"/>
        </w:rPr>
        <w:t xml:space="preserve">with </w:t>
      </w:r>
      <w:r>
        <w:t xml:space="preserve">respect to its recourse to and selection of facts available for Treasury Wines' cost of </w:t>
      </w:r>
      <w:proofErr w:type="gramStart"/>
      <w:r>
        <w:t>production,</w:t>
      </w:r>
      <w:r>
        <w:rPr>
          <w:spacing w:val="-11"/>
        </w:rPr>
        <w:t xml:space="preserve"> </w:t>
      </w:r>
      <w:r>
        <w:t>and</w:t>
      </w:r>
      <w:proofErr w:type="gramEnd"/>
      <w:r>
        <w:rPr>
          <w:spacing w:val="-14"/>
        </w:rPr>
        <w:t xml:space="preserve"> </w:t>
      </w:r>
      <w:r>
        <w:t>provide</w:t>
      </w:r>
      <w:r>
        <w:rPr>
          <w:spacing w:val="-11"/>
        </w:rPr>
        <w:t xml:space="preserve"> </w:t>
      </w:r>
      <w:r>
        <w:t>further</w:t>
      </w:r>
      <w:r>
        <w:rPr>
          <w:spacing w:val="-14"/>
        </w:rPr>
        <w:t xml:space="preserve"> </w:t>
      </w:r>
      <w:r>
        <w:t>details</w:t>
      </w:r>
      <w:r>
        <w:rPr>
          <w:spacing w:val="-9"/>
        </w:rPr>
        <w:t xml:space="preserve"> </w:t>
      </w:r>
      <w:r>
        <w:t>on</w:t>
      </w:r>
      <w:r>
        <w:rPr>
          <w:spacing w:val="-14"/>
        </w:rPr>
        <w:t xml:space="preserve"> </w:t>
      </w:r>
      <w:r>
        <w:t>MOFCOM's</w:t>
      </w:r>
      <w:r>
        <w:rPr>
          <w:spacing w:val="-9"/>
        </w:rPr>
        <w:t xml:space="preserve"> </w:t>
      </w:r>
      <w:r>
        <w:t>failure</w:t>
      </w:r>
      <w:r>
        <w:rPr>
          <w:spacing w:val="-12"/>
        </w:rPr>
        <w:t xml:space="preserve"> </w:t>
      </w:r>
      <w:r>
        <w:t>to</w:t>
      </w:r>
      <w:r>
        <w:rPr>
          <w:spacing w:val="-14"/>
        </w:rPr>
        <w:t xml:space="preserve"> </w:t>
      </w:r>
      <w:r>
        <w:t>make</w:t>
      </w:r>
      <w:r>
        <w:rPr>
          <w:spacing w:val="-11"/>
        </w:rPr>
        <w:t xml:space="preserve"> </w:t>
      </w:r>
      <w:r>
        <w:t>a</w:t>
      </w:r>
      <w:r>
        <w:rPr>
          <w:spacing w:val="-12"/>
        </w:rPr>
        <w:t xml:space="preserve"> </w:t>
      </w:r>
      <w:r>
        <w:t>fair</w:t>
      </w:r>
      <w:r>
        <w:rPr>
          <w:spacing w:val="-14"/>
        </w:rPr>
        <w:t xml:space="preserve"> </w:t>
      </w:r>
      <w:r>
        <w:t>comparison</w:t>
      </w:r>
      <w:r>
        <w:rPr>
          <w:spacing w:val="-13"/>
        </w:rPr>
        <w:t xml:space="preserve"> </w:t>
      </w:r>
      <w:r>
        <w:t>under Article 2.4.</w:t>
      </w:r>
    </w:p>
    <w:p w14:paraId="2797AEF3" w14:textId="77777777" w:rsidR="00BD462C" w:rsidRDefault="00033D0F">
      <w:pPr>
        <w:pStyle w:val="Heading3"/>
        <w:numPr>
          <w:ilvl w:val="0"/>
          <w:numId w:val="3"/>
        </w:numPr>
        <w:tabs>
          <w:tab w:val="left" w:pos="2689"/>
          <w:tab w:val="left" w:pos="2690"/>
        </w:tabs>
        <w:spacing w:before="164"/>
      </w:pPr>
      <w:bookmarkStart w:id="273" w:name="1._The_principal_basis_for_MOFCOM_resort"/>
      <w:bookmarkStart w:id="274" w:name="_bookmark239"/>
      <w:bookmarkEnd w:id="273"/>
      <w:bookmarkEnd w:id="274"/>
      <w:r>
        <w:t>The</w:t>
      </w:r>
      <w:r>
        <w:rPr>
          <w:spacing w:val="-7"/>
        </w:rPr>
        <w:t xml:space="preserve"> </w:t>
      </w:r>
      <w:r>
        <w:t>principal</w:t>
      </w:r>
      <w:r>
        <w:rPr>
          <w:spacing w:val="-4"/>
        </w:rPr>
        <w:t xml:space="preserve"> </w:t>
      </w:r>
      <w:r>
        <w:t>basis</w:t>
      </w:r>
      <w:r>
        <w:rPr>
          <w:spacing w:val="-4"/>
        </w:rPr>
        <w:t xml:space="preserve"> </w:t>
      </w:r>
      <w:r>
        <w:t>for</w:t>
      </w:r>
      <w:r>
        <w:rPr>
          <w:spacing w:val="-2"/>
        </w:rPr>
        <w:t xml:space="preserve"> </w:t>
      </w:r>
      <w:r>
        <w:t>MOFCOM</w:t>
      </w:r>
      <w:r>
        <w:rPr>
          <w:spacing w:val="-2"/>
        </w:rPr>
        <w:t xml:space="preserve"> </w:t>
      </w:r>
      <w:r>
        <w:t>resorting</w:t>
      </w:r>
      <w:r>
        <w:rPr>
          <w:spacing w:val="-3"/>
        </w:rPr>
        <w:t xml:space="preserve"> </w:t>
      </w:r>
      <w:r>
        <w:t>to</w:t>
      </w:r>
      <w:r>
        <w:rPr>
          <w:spacing w:val="-2"/>
        </w:rPr>
        <w:t xml:space="preserve"> </w:t>
      </w:r>
      <w:r>
        <w:t>facts</w:t>
      </w:r>
      <w:r>
        <w:rPr>
          <w:spacing w:val="-3"/>
        </w:rPr>
        <w:t xml:space="preserve"> </w:t>
      </w:r>
      <w:r>
        <w:rPr>
          <w:spacing w:val="-2"/>
        </w:rPr>
        <w:t>available</w:t>
      </w:r>
    </w:p>
    <w:p w14:paraId="011F697D" w14:textId="77777777" w:rsidR="00BD462C" w:rsidRDefault="00BD462C">
      <w:pPr>
        <w:pStyle w:val="BodyText"/>
        <w:spacing w:before="2"/>
        <w:rPr>
          <w:b/>
          <w:sz w:val="25"/>
        </w:rPr>
      </w:pPr>
    </w:p>
    <w:p w14:paraId="2D1E7F48" w14:textId="77777777" w:rsidR="00BD462C" w:rsidRDefault="00033D0F">
      <w:pPr>
        <w:pStyle w:val="ListParagraph"/>
        <w:numPr>
          <w:ilvl w:val="1"/>
          <w:numId w:val="3"/>
        </w:numPr>
        <w:tabs>
          <w:tab w:val="left" w:pos="3539"/>
          <w:tab w:val="left" w:pos="3540"/>
        </w:tabs>
        <w:spacing w:before="0"/>
        <w:ind w:hanging="851"/>
        <w:rPr>
          <w:sz w:val="24"/>
        </w:rPr>
      </w:pPr>
      <w:bookmarkStart w:id="275" w:name="(a)_Forms_6-3_and_6-4"/>
      <w:bookmarkEnd w:id="275"/>
      <w:r>
        <w:rPr>
          <w:sz w:val="24"/>
          <w:u w:val="single"/>
        </w:rPr>
        <w:t>Forms</w:t>
      </w:r>
      <w:r>
        <w:rPr>
          <w:spacing w:val="-2"/>
          <w:sz w:val="24"/>
          <w:u w:val="single"/>
        </w:rPr>
        <w:t xml:space="preserve"> </w:t>
      </w:r>
      <w:r>
        <w:rPr>
          <w:sz w:val="24"/>
          <w:u w:val="single"/>
        </w:rPr>
        <w:t>6-3</w:t>
      </w:r>
      <w:r>
        <w:rPr>
          <w:spacing w:val="-6"/>
          <w:sz w:val="24"/>
          <w:u w:val="single"/>
        </w:rPr>
        <w:t xml:space="preserve"> </w:t>
      </w:r>
      <w:r>
        <w:rPr>
          <w:sz w:val="24"/>
          <w:u w:val="single"/>
        </w:rPr>
        <w:t>and</w:t>
      </w:r>
      <w:r>
        <w:rPr>
          <w:spacing w:val="1"/>
          <w:sz w:val="24"/>
          <w:u w:val="single"/>
        </w:rPr>
        <w:t xml:space="preserve"> </w:t>
      </w:r>
      <w:r>
        <w:rPr>
          <w:sz w:val="24"/>
          <w:u w:val="single"/>
        </w:rPr>
        <w:t>6-</w:t>
      </w:r>
      <w:r>
        <w:rPr>
          <w:spacing w:val="-10"/>
          <w:sz w:val="24"/>
          <w:u w:val="single"/>
        </w:rPr>
        <w:t>4</w:t>
      </w:r>
    </w:p>
    <w:p w14:paraId="0605C0B5" w14:textId="77777777" w:rsidR="00BD462C" w:rsidRDefault="00BD462C">
      <w:pPr>
        <w:pStyle w:val="BodyText"/>
        <w:spacing w:before="11"/>
        <w:rPr>
          <w:sz w:val="20"/>
        </w:rPr>
      </w:pPr>
    </w:p>
    <w:p w14:paraId="25BE8CAD" w14:textId="20CE06C1" w:rsidR="00BD462C" w:rsidRDefault="00033D0F" w:rsidP="00087BDF">
      <w:pPr>
        <w:pStyle w:val="BodyText"/>
        <w:numPr>
          <w:ilvl w:val="0"/>
          <w:numId w:val="69"/>
        </w:numPr>
        <w:spacing w:before="56" w:line="355" w:lineRule="auto"/>
        <w:ind w:right="923"/>
      </w:pPr>
      <w:r>
        <w:rPr>
          <w:position w:val="1"/>
        </w:rPr>
        <w:t>In</w:t>
      </w:r>
      <w:r>
        <w:rPr>
          <w:spacing w:val="24"/>
          <w:position w:val="1"/>
        </w:rPr>
        <w:t xml:space="preserve"> </w:t>
      </w:r>
      <w:r>
        <w:rPr>
          <w:position w:val="1"/>
        </w:rPr>
        <w:t>its</w:t>
      </w:r>
      <w:r>
        <w:rPr>
          <w:spacing w:val="28"/>
          <w:position w:val="1"/>
        </w:rPr>
        <w:t xml:space="preserve"> </w:t>
      </w:r>
      <w:r>
        <w:rPr>
          <w:position w:val="1"/>
        </w:rPr>
        <w:t>first</w:t>
      </w:r>
      <w:r>
        <w:rPr>
          <w:spacing w:val="22"/>
          <w:position w:val="1"/>
        </w:rPr>
        <w:t xml:space="preserve"> </w:t>
      </w:r>
      <w:r>
        <w:rPr>
          <w:position w:val="1"/>
        </w:rPr>
        <w:t>written</w:t>
      </w:r>
      <w:r>
        <w:rPr>
          <w:spacing w:val="24"/>
          <w:position w:val="1"/>
        </w:rPr>
        <w:t xml:space="preserve"> </w:t>
      </w:r>
      <w:r>
        <w:rPr>
          <w:position w:val="1"/>
        </w:rPr>
        <w:t>submission</w:t>
      </w:r>
      <w:r>
        <w:rPr>
          <w:spacing w:val="24"/>
          <w:position w:val="1"/>
        </w:rPr>
        <w:t xml:space="preserve"> </w:t>
      </w:r>
      <w:r>
        <w:rPr>
          <w:position w:val="1"/>
        </w:rPr>
        <w:t>and</w:t>
      </w:r>
      <w:r>
        <w:rPr>
          <w:spacing w:val="24"/>
          <w:position w:val="1"/>
        </w:rPr>
        <w:t xml:space="preserve"> </w:t>
      </w:r>
      <w:r>
        <w:rPr>
          <w:position w:val="1"/>
        </w:rPr>
        <w:t>in</w:t>
      </w:r>
      <w:r>
        <w:rPr>
          <w:spacing w:val="24"/>
          <w:position w:val="1"/>
        </w:rPr>
        <w:t xml:space="preserve"> </w:t>
      </w:r>
      <w:r>
        <w:rPr>
          <w:position w:val="1"/>
        </w:rPr>
        <w:t>its</w:t>
      </w:r>
      <w:r>
        <w:rPr>
          <w:spacing w:val="28"/>
          <w:position w:val="1"/>
        </w:rPr>
        <w:t xml:space="preserve"> </w:t>
      </w:r>
      <w:r>
        <w:rPr>
          <w:position w:val="1"/>
        </w:rPr>
        <w:t>responses</w:t>
      </w:r>
      <w:r>
        <w:rPr>
          <w:spacing w:val="28"/>
          <w:position w:val="1"/>
        </w:rPr>
        <w:t xml:space="preserve"> </w:t>
      </w:r>
      <w:r>
        <w:rPr>
          <w:position w:val="1"/>
        </w:rPr>
        <w:t>to</w:t>
      </w:r>
      <w:r>
        <w:rPr>
          <w:spacing w:val="24"/>
          <w:position w:val="1"/>
        </w:rPr>
        <w:t xml:space="preserve"> </w:t>
      </w:r>
      <w:r>
        <w:rPr>
          <w:position w:val="1"/>
        </w:rPr>
        <w:t>the</w:t>
      </w:r>
      <w:r>
        <w:rPr>
          <w:spacing w:val="26"/>
          <w:position w:val="1"/>
        </w:rPr>
        <w:t xml:space="preserve"> </w:t>
      </w:r>
      <w:r>
        <w:rPr>
          <w:position w:val="1"/>
        </w:rPr>
        <w:t>Panel's</w:t>
      </w:r>
      <w:r>
        <w:rPr>
          <w:spacing w:val="28"/>
          <w:position w:val="1"/>
        </w:rPr>
        <w:t xml:space="preserve"> </w:t>
      </w:r>
      <w:r>
        <w:rPr>
          <w:position w:val="1"/>
        </w:rPr>
        <w:t>questions,</w:t>
      </w:r>
      <w:r>
        <w:rPr>
          <w:spacing w:val="28"/>
          <w:position w:val="1"/>
        </w:rPr>
        <w:t xml:space="preserve"> </w:t>
      </w:r>
      <w:r>
        <w:rPr>
          <w:position w:val="1"/>
        </w:rPr>
        <w:t xml:space="preserve">China </w:t>
      </w:r>
      <w:r>
        <w:t>takes</w:t>
      </w:r>
      <w:r>
        <w:rPr>
          <w:spacing w:val="-14"/>
        </w:rPr>
        <w:t xml:space="preserve"> </w:t>
      </w:r>
      <w:r>
        <w:t>the</w:t>
      </w:r>
      <w:r>
        <w:rPr>
          <w:spacing w:val="-12"/>
        </w:rPr>
        <w:t xml:space="preserve"> </w:t>
      </w:r>
      <w:r>
        <w:t>position</w:t>
      </w:r>
      <w:r>
        <w:rPr>
          <w:spacing w:val="-13"/>
        </w:rPr>
        <w:t xml:space="preserve"> </w:t>
      </w:r>
      <w:r>
        <w:t>that</w:t>
      </w:r>
      <w:r>
        <w:rPr>
          <w:spacing w:val="-11"/>
        </w:rPr>
        <w:t xml:space="preserve"> </w:t>
      </w:r>
      <w:r>
        <w:t>the</w:t>
      </w:r>
      <w:r>
        <w:rPr>
          <w:spacing w:val="-12"/>
        </w:rPr>
        <w:t xml:space="preserve"> </w:t>
      </w:r>
      <w:r>
        <w:t>principal</w:t>
      </w:r>
      <w:r>
        <w:rPr>
          <w:spacing w:val="-10"/>
        </w:rPr>
        <w:t xml:space="preserve"> </w:t>
      </w:r>
      <w:r>
        <w:t>reason</w:t>
      </w:r>
      <w:r>
        <w:rPr>
          <w:spacing w:val="-13"/>
        </w:rPr>
        <w:t xml:space="preserve"> </w:t>
      </w:r>
      <w:r>
        <w:t>for</w:t>
      </w:r>
      <w:r>
        <w:rPr>
          <w:spacing w:val="-14"/>
        </w:rPr>
        <w:t xml:space="preserve"> </w:t>
      </w:r>
      <w:r>
        <w:t>MOFCOM</w:t>
      </w:r>
      <w:r>
        <w:rPr>
          <w:spacing w:val="-11"/>
        </w:rPr>
        <w:t xml:space="preserve"> </w:t>
      </w:r>
      <w:r>
        <w:t>resorting</w:t>
      </w:r>
      <w:r>
        <w:rPr>
          <w:spacing w:val="-10"/>
        </w:rPr>
        <w:t xml:space="preserve"> </w:t>
      </w:r>
      <w:r>
        <w:t>to</w:t>
      </w:r>
      <w:r>
        <w:rPr>
          <w:spacing w:val="-13"/>
        </w:rPr>
        <w:t xml:space="preserve"> </w:t>
      </w:r>
      <w:r>
        <w:t>the</w:t>
      </w:r>
      <w:r>
        <w:rPr>
          <w:spacing w:val="-12"/>
        </w:rPr>
        <w:t xml:space="preserve"> </w:t>
      </w:r>
      <w:r>
        <w:t>use</w:t>
      </w:r>
      <w:r>
        <w:rPr>
          <w:spacing w:val="-12"/>
        </w:rPr>
        <w:t xml:space="preserve"> </w:t>
      </w:r>
      <w:r>
        <w:t>of</w:t>
      </w:r>
      <w:r>
        <w:rPr>
          <w:spacing w:val="-14"/>
        </w:rPr>
        <w:t xml:space="preserve"> </w:t>
      </w:r>
      <w:r>
        <w:t>facts</w:t>
      </w:r>
      <w:r>
        <w:rPr>
          <w:spacing w:val="-9"/>
        </w:rPr>
        <w:t xml:space="preserve"> </w:t>
      </w:r>
      <w:r>
        <w:rPr>
          <w:spacing w:val="-2"/>
        </w:rPr>
        <w:t>available</w:t>
      </w:r>
    </w:p>
    <w:p w14:paraId="1A278B6D" w14:textId="77777777" w:rsidR="00BD462C" w:rsidRDefault="00BD462C">
      <w:pPr>
        <w:pStyle w:val="BodyText"/>
        <w:rPr>
          <w:sz w:val="20"/>
        </w:rPr>
      </w:pPr>
    </w:p>
    <w:p w14:paraId="7A1C83C3" w14:textId="0244F9A2" w:rsidR="00BD462C" w:rsidRDefault="009A6330">
      <w:pPr>
        <w:pStyle w:val="BodyText"/>
        <w:spacing w:before="12"/>
        <w:rPr>
          <w:sz w:val="18"/>
        </w:rPr>
      </w:pPr>
      <w:r>
        <w:rPr>
          <w:noProof/>
        </w:rPr>
        <mc:AlternateContent>
          <mc:Choice Requires="wps">
            <w:drawing>
              <wp:anchor distT="0" distB="0" distL="0" distR="0" simplePos="0" relativeHeight="488002048" behindDoc="1" locked="0" layoutInCell="1" allowOverlap="1" wp14:anchorId="2B296DD5" wp14:editId="42D74ECC">
                <wp:simplePos x="0" y="0"/>
                <wp:positionH relativeFrom="page">
                  <wp:posOffset>812800</wp:posOffset>
                </wp:positionH>
                <wp:positionV relativeFrom="paragraph">
                  <wp:posOffset>147320</wp:posOffset>
                </wp:positionV>
                <wp:extent cx="1828800" cy="8890"/>
                <wp:effectExtent l="0" t="0" r="0" b="0"/>
                <wp:wrapTopAndBottom/>
                <wp:docPr id="1416" name="docshape7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E133FF" id="docshape712" o:spid="_x0000_s1026" alt="&quot;&quot;" style="position:absolute;margin-left:64pt;margin-top:11.6pt;width:2in;height:.7pt;z-index:-15314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" fillcolor="black" stroked="f">
                <w10:wrap type="topAndBottom" anchorx="page"/>
              </v:rect>
            </w:pict>
          </mc:Fallback>
        </mc:AlternateContent>
      </w:r>
    </w:p>
    <w:p w14:paraId="32F7CA03" w14:textId="77777777" w:rsidR="00BD462C" w:rsidRDefault="00033D0F">
      <w:pPr>
        <w:spacing w:before="112"/>
        <w:ind w:left="135"/>
        <w:rPr>
          <w:sz w:val="18"/>
        </w:rPr>
      </w:pPr>
      <w:bookmarkStart w:id="276" w:name="_bookmark240"/>
      <w:bookmarkEnd w:id="276"/>
      <w:r>
        <w:rPr>
          <w:position w:val="5"/>
          <w:sz w:val="12"/>
        </w:rPr>
        <w:t>182</w:t>
      </w:r>
      <w:r>
        <w:rPr>
          <w:spacing w:val="12"/>
          <w:position w:val="5"/>
          <w:sz w:val="12"/>
        </w:rPr>
        <w:t xml:space="preserve"> </w:t>
      </w:r>
      <w:r>
        <w:rPr>
          <w:sz w:val="18"/>
        </w:rPr>
        <w:t>Australia's</w:t>
      </w:r>
      <w:r>
        <w:rPr>
          <w:spacing w:val="-6"/>
          <w:sz w:val="18"/>
        </w:rPr>
        <w:t xml:space="preserve"> </w:t>
      </w:r>
      <w:r>
        <w:rPr>
          <w:sz w:val="18"/>
        </w:rPr>
        <w:t>first</w:t>
      </w:r>
      <w:r>
        <w:rPr>
          <w:spacing w:val="-5"/>
          <w:sz w:val="18"/>
        </w:rPr>
        <w:t xml:space="preserve"> </w:t>
      </w:r>
      <w:r>
        <w:rPr>
          <w:sz w:val="18"/>
        </w:rPr>
        <w:t>written</w:t>
      </w:r>
      <w:r>
        <w:rPr>
          <w:spacing w:val="-2"/>
          <w:sz w:val="18"/>
        </w:rPr>
        <w:t xml:space="preserve"> </w:t>
      </w:r>
      <w:r>
        <w:rPr>
          <w:sz w:val="18"/>
        </w:rPr>
        <w:t>submission, para.</w:t>
      </w:r>
      <w:r>
        <w:rPr>
          <w:spacing w:val="-5"/>
          <w:sz w:val="18"/>
        </w:rPr>
        <w:t xml:space="preserve"> </w:t>
      </w:r>
      <w:r>
        <w:rPr>
          <w:sz w:val="18"/>
        </w:rPr>
        <w:t>108-110;</w:t>
      </w:r>
      <w:r>
        <w:rPr>
          <w:spacing w:val="-7"/>
          <w:sz w:val="18"/>
        </w:rPr>
        <w:t xml:space="preserve"> </w:t>
      </w:r>
      <w:r>
        <w:rPr>
          <w:sz w:val="18"/>
        </w:rPr>
        <w:t>see</w:t>
      </w:r>
      <w:r>
        <w:rPr>
          <w:spacing w:val="-3"/>
          <w:sz w:val="18"/>
        </w:rPr>
        <w:t xml:space="preserve"> </w:t>
      </w:r>
      <w:r>
        <w:rPr>
          <w:sz w:val="18"/>
        </w:rPr>
        <w:t>also</w:t>
      </w:r>
      <w:r>
        <w:rPr>
          <w:spacing w:val="-7"/>
          <w:sz w:val="18"/>
        </w:rPr>
        <w:t xml:space="preserve"> </w:t>
      </w:r>
      <w:r>
        <w:rPr>
          <w:sz w:val="18"/>
        </w:rPr>
        <w:t>paras.</w:t>
      </w:r>
      <w:r>
        <w:rPr>
          <w:spacing w:val="-5"/>
          <w:sz w:val="18"/>
        </w:rPr>
        <w:t xml:space="preserve"> </w:t>
      </w:r>
      <w:r>
        <w:rPr>
          <w:sz w:val="18"/>
        </w:rPr>
        <w:t>73-</w:t>
      </w:r>
      <w:r>
        <w:rPr>
          <w:spacing w:val="-5"/>
          <w:sz w:val="18"/>
        </w:rPr>
        <w:t>74.</w:t>
      </w:r>
    </w:p>
    <w:p w14:paraId="670DA230" w14:textId="77777777" w:rsidR="00BD462C" w:rsidRDefault="00033D0F">
      <w:pPr>
        <w:spacing w:before="1"/>
        <w:ind w:left="135"/>
        <w:rPr>
          <w:sz w:val="18"/>
        </w:rPr>
      </w:pPr>
      <w:bookmarkStart w:id="277" w:name="_bookmark241"/>
      <w:bookmarkEnd w:id="277"/>
      <w:r>
        <w:rPr>
          <w:position w:val="5"/>
          <w:sz w:val="12"/>
        </w:rPr>
        <w:t>183</w:t>
      </w:r>
      <w:r>
        <w:rPr>
          <w:spacing w:val="14"/>
          <w:position w:val="5"/>
          <w:sz w:val="12"/>
        </w:rPr>
        <w:t xml:space="preserve"> </w:t>
      </w:r>
      <w:r>
        <w:rPr>
          <w:sz w:val="18"/>
        </w:rPr>
        <w:t>Australia's claims under</w:t>
      </w:r>
      <w:r>
        <w:rPr>
          <w:spacing w:val="-7"/>
          <w:sz w:val="18"/>
        </w:rPr>
        <w:t xml:space="preserve"> </w:t>
      </w:r>
      <w:r>
        <w:rPr>
          <w:sz w:val="18"/>
        </w:rPr>
        <w:t>Articles</w:t>
      </w:r>
      <w:r>
        <w:rPr>
          <w:spacing w:val="-4"/>
          <w:sz w:val="18"/>
        </w:rPr>
        <w:t xml:space="preserve"> </w:t>
      </w:r>
      <w:r>
        <w:rPr>
          <w:sz w:val="18"/>
        </w:rPr>
        <w:t>6.1,</w:t>
      </w:r>
      <w:r>
        <w:rPr>
          <w:spacing w:val="1"/>
          <w:sz w:val="18"/>
        </w:rPr>
        <w:t xml:space="preserve"> </w:t>
      </w:r>
      <w:r>
        <w:rPr>
          <w:sz w:val="18"/>
        </w:rPr>
        <w:t>6.1.1,</w:t>
      </w:r>
      <w:r>
        <w:rPr>
          <w:spacing w:val="-2"/>
          <w:sz w:val="18"/>
        </w:rPr>
        <w:t xml:space="preserve"> </w:t>
      </w:r>
      <w:r>
        <w:rPr>
          <w:sz w:val="18"/>
        </w:rPr>
        <w:t>6.2,</w:t>
      </w:r>
      <w:r>
        <w:rPr>
          <w:spacing w:val="2"/>
          <w:sz w:val="18"/>
        </w:rPr>
        <w:t xml:space="preserve"> </w:t>
      </w:r>
      <w:r>
        <w:rPr>
          <w:sz w:val="18"/>
        </w:rPr>
        <w:t>6.4</w:t>
      </w:r>
      <w:r>
        <w:rPr>
          <w:spacing w:val="-2"/>
          <w:sz w:val="18"/>
        </w:rPr>
        <w:t xml:space="preserve"> </w:t>
      </w:r>
      <w:r>
        <w:rPr>
          <w:sz w:val="18"/>
        </w:rPr>
        <w:t>and</w:t>
      </w:r>
      <w:r>
        <w:rPr>
          <w:spacing w:val="-6"/>
          <w:sz w:val="18"/>
        </w:rPr>
        <w:t xml:space="preserve"> </w:t>
      </w:r>
      <w:r>
        <w:rPr>
          <w:sz w:val="18"/>
        </w:rPr>
        <w:t>6.9</w:t>
      </w:r>
      <w:r>
        <w:rPr>
          <w:spacing w:val="-6"/>
          <w:sz w:val="18"/>
        </w:rPr>
        <w:t xml:space="preserve"> </w:t>
      </w:r>
      <w:r>
        <w:rPr>
          <w:sz w:val="18"/>
        </w:rPr>
        <w:t>are</w:t>
      </w:r>
      <w:r>
        <w:rPr>
          <w:spacing w:val="-5"/>
          <w:sz w:val="18"/>
        </w:rPr>
        <w:t xml:space="preserve"> </w:t>
      </w:r>
      <w:r>
        <w:rPr>
          <w:sz w:val="18"/>
        </w:rPr>
        <w:t>elaborated</w:t>
      </w:r>
      <w:r>
        <w:rPr>
          <w:spacing w:val="-1"/>
          <w:sz w:val="18"/>
        </w:rPr>
        <w:t xml:space="preserve"> </w:t>
      </w:r>
      <w:r>
        <w:rPr>
          <w:sz w:val="18"/>
        </w:rPr>
        <w:t>upon</w:t>
      </w:r>
      <w:r>
        <w:rPr>
          <w:spacing w:val="-5"/>
          <w:sz w:val="18"/>
        </w:rPr>
        <w:t xml:space="preserve"> </w:t>
      </w:r>
      <w:r>
        <w:rPr>
          <w:sz w:val="18"/>
        </w:rPr>
        <w:t>in</w:t>
      </w:r>
      <w:r>
        <w:rPr>
          <w:spacing w:val="-6"/>
          <w:sz w:val="18"/>
        </w:rPr>
        <w:t xml:space="preserve"> </w:t>
      </w:r>
      <w:r>
        <w:rPr>
          <w:sz w:val="18"/>
        </w:rPr>
        <w:t>Section</w:t>
      </w:r>
      <w:r>
        <w:rPr>
          <w:spacing w:val="-5"/>
          <w:sz w:val="18"/>
        </w:rPr>
        <w:t xml:space="preserve"> </w:t>
      </w:r>
      <w:r>
        <w:rPr>
          <w:sz w:val="18"/>
        </w:rPr>
        <w:t>VII.D</w:t>
      </w:r>
      <w:r>
        <w:rPr>
          <w:spacing w:val="-8"/>
          <w:sz w:val="18"/>
        </w:rPr>
        <w:t xml:space="preserve"> </w:t>
      </w:r>
      <w:r>
        <w:rPr>
          <w:sz w:val="18"/>
        </w:rPr>
        <w:t>of</w:t>
      </w:r>
      <w:r>
        <w:rPr>
          <w:spacing w:val="-3"/>
          <w:sz w:val="18"/>
        </w:rPr>
        <w:t xml:space="preserve"> </w:t>
      </w:r>
      <w:r>
        <w:rPr>
          <w:sz w:val="18"/>
        </w:rPr>
        <w:t>this</w:t>
      </w:r>
      <w:r>
        <w:rPr>
          <w:spacing w:val="-5"/>
          <w:sz w:val="18"/>
        </w:rPr>
        <w:t xml:space="preserve"> </w:t>
      </w:r>
      <w:r>
        <w:rPr>
          <w:spacing w:val="-2"/>
          <w:sz w:val="18"/>
        </w:rPr>
        <w:t>submission.</w:t>
      </w:r>
    </w:p>
    <w:p w14:paraId="1114081F" w14:textId="77777777" w:rsidR="00BD462C" w:rsidRDefault="00BD462C">
      <w:pPr>
        <w:rPr>
          <w:sz w:val="18"/>
        </w:rPr>
        <w:sectPr w:rsidR="00BD462C">
          <w:pgSz w:w="11910" w:h="16840"/>
          <w:pgMar w:top="860" w:right="500" w:bottom="780" w:left="1280" w:header="566" w:footer="590" w:gutter="0"/>
          <w:cols w:space="720"/>
        </w:sectPr>
      </w:pPr>
    </w:p>
    <w:p w14:paraId="48884A54"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2F9853C8"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01D2DC47"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11594140" w14:textId="0AF5C10B" w:rsidR="00BD462C" w:rsidRDefault="00D70C7D">
      <w:pPr>
        <w:pStyle w:val="BodyText"/>
        <w:spacing w:before="102"/>
        <w:ind w:left="135"/>
      </w:pPr>
      <w:r>
        <w:rPr>
          <w:noProof/>
        </w:rPr>
        <mc:AlternateContent>
          <mc:Choice Requires="wps">
            <w:drawing>
              <wp:anchor distT="0" distB="0" distL="114300" distR="114300" simplePos="0" relativeHeight="15755264" behindDoc="0" locked="0" layoutInCell="1" allowOverlap="1" wp14:anchorId="5652D062" wp14:editId="58F6B343">
                <wp:simplePos x="0" y="0"/>
                <wp:positionH relativeFrom="page">
                  <wp:posOffset>5693410</wp:posOffset>
                </wp:positionH>
                <wp:positionV relativeFrom="paragraph">
                  <wp:posOffset>63500</wp:posOffset>
                </wp:positionV>
                <wp:extent cx="966470" cy="186055"/>
                <wp:effectExtent l="0" t="0" r="0" b="0"/>
                <wp:wrapNone/>
                <wp:docPr id="1320" name="docshape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647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85E27C" id="docshape56" o:spid="_x0000_s1026" alt="&quot;&quot;" style="position:absolute;margin-left:448.3pt;margin-top:5pt;width:76.1pt;height:14.65pt;z-index:1575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" fillcolor="black" stroked="f">
                <w10:wrap anchorx="page"/>
              </v:rect>
            </w:pict>
          </mc:Fallback>
        </mc:AlternateContent>
      </w:r>
      <w:r w:rsidR="00033D0F">
        <w:t>was</w:t>
      </w:r>
      <w:r w:rsidR="00033D0F">
        <w:rPr>
          <w:spacing w:val="9"/>
        </w:rPr>
        <w:t xml:space="preserve"> </w:t>
      </w:r>
      <w:r w:rsidR="00033D0F">
        <w:t>that,</w:t>
      </w:r>
      <w:r w:rsidR="00033D0F">
        <w:rPr>
          <w:spacing w:val="9"/>
        </w:rPr>
        <w:t xml:space="preserve"> </w:t>
      </w:r>
      <w:r w:rsidR="00033D0F">
        <w:t>in</w:t>
      </w:r>
      <w:r w:rsidR="00033D0F">
        <w:rPr>
          <w:spacing w:val="5"/>
        </w:rPr>
        <w:t xml:space="preserve"> </w:t>
      </w:r>
      <w:r w:rsidR="00033D0F">
        <w:t>the</w:t>
      </w:r>
      <w:r w:rsidR="00033D0F">
        <w:rPr>
          <w:spacing w:val="7"/>
        </w:rPr>
        <w:t xml:space="preserve"> </w:t>
      </w:r>
      <w:r w:rsidR="00033D0F">
        <w:t>company's</w:t>
      </w:r>
      <w:r w:rsidR="00033D0F">
        <w:rPr>
          <w:spacing w:val="14"/>
        </w:rPr>
        <w:t xml:space="preserve"> </w:t>
      </w:r>
      <w:r w:rsidR="00033D0F">
        <w:t>responses</w:t>
      </w:r>
      <w:r w:rsidR="00033D0F">
        <w:rPr>
          <w:spacing w:val="9"/>
        </w:rPr>
        <w:t xml:space="preserve"> </w:t>
      </w:r>
      <w:r w:rsidR="00033D0F">
        <w:t>to</w:t>
      </w:r>
      <w:r w:rsidR="00033D0F">
        <w:rPr>
          <w:spacing w:val="6"/>
        </w:rPr>
        <w:t xml:space="preserve"> </w:t>
      </w:r>
      <w:r w:rsidR="00033D0F">
        <w:t>Forms</w:t>
      </w:r>
      <w:r w:rsidR="00033D0F">
        <w:rPr>
          <w:spacing w:val="9"/>
        </w:rPr>
        <w:t xml:space="preserve"> </w:t>
      </w:r>
      <w:r w:rsidR="00033D0F">
        <w:t>6-3</w:t>
      </w:r>
      <w:r w:rsidR="00033D0F">
        <w:rPr>
          <w:spacing w:val="5"/>
        </w:rPr>
        <w:t xml:space="preserve"> </w:t>
      </w:r>
      <w:r w:rsidR="00033D0F">
        <w:t>and</w:t>
      </w:r>
      <w:r w:rsidR="00033D0F">
        <w:rPr>
          <w:spacing w:val="10"/>
        </w:rPr>
        <w:t xml:space="preserve"> </w:t>
      </w:r>
      <w:r w:rsidR="00033D0F">
        <w:t>6-4,</w:t>
      </w:r>
      <w:r w:rsidR="00033D0F">
        <w:rPr>
          <w:spacing w:val="9"/>
        </w:rPr>
        <w:t xml:space="preserve"> </w:t>
      </w:r>
      <w:r w:rsidR="00033D0F">
        <w:t>Treasury</w:t>
      </w:r>
      <w:r w:rsidR="00033D0F">
        <w:rPr>
          <w:spacing w:val="9"/>
        </w:rPr>
        <w:t xml:space="preserve"> </w:t>
      </w:r>
      <w:r w:rsidR="00033D0F">
        <w:rPr>
          <w:spacing w:val="-2"/>
        </w:rPr>
        <w:t>Wines</w:t>
      </w:r>
    </w:p>
    <w:p w14:paraId="2828E33C" w14:textId="6735F3C5" w:rsidR="00BD462C" w:rsidRDefault="00D70C7D">
      <w:pPr>
        <w:pStyle w:val="BodyText"/>
        <w:spacing w:before="8"/>
        <w:rPr>
          <w:sz w:val="9"/>
        </w:rPr>
      </w:pPr>
      <w:r>
        <w:rPr>
          <w:noProof/>
        </w:rPr>
        <mc:AlternateContent>
          <mc:Choice Requires="wps">
            <w:drawing>
              <wp:anchor distT="0" distB="0" distL="0" distR="0" simplePos="0" relativeHeight="487613952" behindDoc="1" locked="0" layoutInCell="1" allowOverlap="1" wp14:anchorId="42112042" wp14:editId="0B47F24D">
                <wp:simplePos x="0" y="0"/>
                <wp:positionH relativeFrom="page">
                  <wp:posOffset>899160</wp:posOffset>
                </wp:positionH>
                <wp:positionV relativeFrom="paragraph">
                  <wp:posOffset>90805</wp:posOffset>
                </wp:positionV>
                <wp:extent cx="5696585" cy="186055"/>
                <wp:effectExtent l="0" t="0" r="0" b="0"/>
                <wp:wrapTopAndBottom/>
                <wp:docPr id="1318" name="docshape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658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1E8FE2" id="docshape57" o:spid="_x0000_s1026" alt="&quot;&quot;" style="position:absolute;margin-left:70.8pt;margin-top:7.15pt;width:448.55pt;height:14.65pt;z-index:-15702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" fillcolor="black" stroked="f">
                <w10:wrap type="topAndBottom" anchorx="page"/>
              </v:rect>
            </w:pict>
          </mc:Fallback>
        </mc:AlternateContent>
      </w:r>
      <w:r>
        <w:rPr>
          <w:noProof/>
        </w:rPr>
        <mc:AlternateContent>
          <mc:Choice Requires="wps">
            <w:drawing>
              <wp:anchor distT="0" distB="0" distL="0" distR="0" simplePos="0" relativeHeight="487614464" behindDoc="1" locked="0" layoutInCell="1" allowOverlap="1" wp14:anchorId="260F69F5" wp14:editId="62272918">
                <wp:simplePos x="0" y="0"/>
                <wp:positionH relativeFrom="page">
                  <wp:posOffset>899160</wp:posOffset>
                </wp:positionH>
                <wp:positionV relativeFrom="paragraph">
                  <wp:posOffset>370840</wp:posOffset>
                </wp:positionV>
                <wp:extent cx="5696585" cy="186055"/>
                <wp:effectExtent l="0" t="0" r="0" b="0"/>
                <wp:wrapTopAndBottom/>
                <wp:docPr id="1316" name="docshape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658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EF6E8B" id="docshape58" o:spid="_x0000_s1026" alt="&quot;&quot;" style="position:absolute;margin-left:70.8pt;margin-top:29.2pt;width:448.55pt;height:14.65pt;z-index:-1570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" fillcolor="black" stroked="f">
                <w10:wrap type="topAndBottom" anchorx="page"/>
              </v:rect>
            </w:pict>
          </mc:Fallback>
        </mc:AlternateContent>
      </w:r>
    </w:p>
    <w:p w14:paraId="43A23B01" w14:textId="77777777" w:rsidR="00BD462C" w:rsidRDefault="00BD462C">
      <w:pPr>
        <w:pStyle w:val="BodyText"/>
        <w:spacing w:before="2"/>
        <w:rPr>
          <w:sz w:val="10"/>
        </w:rPr>
      </w:pPr>
    </w:p>
    <w:p w14:paraId="41BE76C5" w14:textId="77777777" w:rsidR="00BD462C" w:rsidRDefault="00BD462C">
      <w:pPr>
        <w:pStyle w:val="BodyText"/>
        <w:rPr>
          <w:sz w:val="6"/>
        </w:rPr>
      </w:pPr>
    </w:p>
    <w:p w14:paraId="42DF4280" w14:textId="3565B841" w:rsidR="00BD462C" w:rsidRDefault="00D70C7D">
      <w:pPr>
        <w:pStyle w:val="BodyText"/>
        <w:spacing w:before="72"/>
        <w:ind w:left="1052"/>
      </w:pPr>
      <w:r>
        <w:rPr>
          <w:noProof/>
        </w:rPr>
        <mc:AlternateContent>
          <mc:Choice Requires="wps">
            <w:drawing>
              <wp:anchor distT="0" distB="0" distL="114300" distR="114300" simplePos="0" relativeHeight="15755776" behindDoc="0" locked="0" layoutInCell="1" allowOverlap="1" wp14:anchorId="386097A6" wp14:editId="1360759B">
                <wp:simplePos x="0" y="0"/>
                <wp:positionH relativeFrom="page">
                  <wp:posOffset>899160</wp:posOffset>
                </wp:positionH>
                <wp:positionV relativeFrom="paragraph">
                  <wp:posOffset>44450</wp:posOffset>
                </wp:positionV>
                <wp:extent cx="567055" cy="186055"/>
                <wp:effectExtent l="0" t="0" r="0" b="0"/>
                <wp:wrapNone/>
                <wp:docPr id="1314" name="docshape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05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998103" id="docshape59" o:spid="_x0000_s1026" alt="&quot;&quot;" style="position:absolute;margin-left:70.8pt;margin-top:3.5pt;width:44.65pt;height:14.65pt;z-index:1575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" fillcolor="black" stroked="f">
                <w10:wrap anchorx="page"/>
              </v:rect>
            </w:pict>
          </mc:Fallback>
        </mc:AlternateContent>
      </w:r>
      <w:hyperlink w:anchor="_bookmark242" w:history="1">
        <w:r w:rsidR="00033D0F">
          <w:rPr>
            <w:vertAlign w:val="superscript"/>
          </w:rPr>
          <w:t>184</w:t>
        </w:r>
      </w:hyperlink>
      <w:r w:rsidR="00033D0F">
        <w:rPr>
          <w:spacing w:val="-4"/>
        </w:rPr>
        <w:t xml:space="preserve"> </w:t>
      </w:r>
      <w:r w:rsidR="00033D0F">
        <w:t>China</w:t>
      </w:r>
      <w:r w:rsidR="00033D0F">
        <w:rPr>
          <w:spacing w:val="-4"/>
        </w:rPr>
        <w:t xml:space="preserve"> </w:t>
      </w:r>
      <w:r w:rsidR="00033D0F">
        <w:t>argues</w:t>
      </w:r>
      <w:r w:rsidR="00033D0F">
        <w:rPr>
          <w:spacing w:val="-2"/>
        </w:rPr>
        <w:t xml:space="preserve"> </w:t>
      </w:r>
      <w:r w:rsidR="00033D0F">
        <w:rPr>
          <w:spacing w:val="-4"/>
        </w:rPr>
        <w:t>that:</w:t>
      </w:r>
    </w:p>
    <w:p w14:paraId="0A0707AA" w14:textId="77777777" w:rsidR="00BD462C" w:rsidRDefault="00BD462C">
      <w:pPr>
        <w:pStyle w:val="BodyText"/>
        <w:spacing w:before="11"/>
      </w:pPr>
    </w:p>
    <w:p w14:paraId="4ABDAC18" w14:textId="77777777" w:rsidR="00BD462C" w:rsidRDefault="00033D0F">
      <w:pPr>
        <w:pStyle w:val="ListParagraph"/>
        <w:numPr>
          <w:ilvl w:val="0"/>
          <w:numId w:val="62"/>
        </w:numPr>
        <w:tabs>
          <w:tab w:val="left" w:pos="1835"/>
          <w:tab w:val="left" w:pos="1836"/>
        </w:tabs>
        <w:spacing w:before="0" w:line="360" w:lineRule="auto"/>
        <w:ind w:right="917" w:hanging="855"/>
        <w:jc w:val="both"/>
        <w:rPr>
          <w:sz w:val="24"/>
        </w:rPr>
      </w:pPr>
      <w:r>
        <w:rPr>
          <w:sz w:val="24"/>
        </w:rPr>
        <w:t>the missing information in Forms 6-1-1 and 6-1-2 was not directly used in the calculation of the cost of production but was relevant only for verification purposes;</w:t>
      </w:r>
      <w:r>
        <w:rPr>
          <w:spacing w:val="-22"/>
          <w:sz w:val="24"/>
        </w:rPr>
        <w:t xml:space="preserve"> </w:t>
      </w:r>
      <w:hyperlink w:anchor="_bookmark243" w:history="1">
        <w:r>
          <w:rPr>
            <w:sz w:val="24"/>
            <w:vertAlign w:val="superscript"/>
          </w:rPr>
          <w:t>185</w:t>
        </w:r>
      </w:hyperlink>
    </w:p>
    <w:p w14:paraId="697FFC6B" w14:textId="75D989B7" w:rsidR="00BD462C" w:rsidRDefault="00D70C7D">
      <w:pPr>
        <w:pStyle w:val="ListParagraph"/>
        <w:numPr>
          <w:ilvl w:val="0"/>
          <w:numId w:val="62"/>
        </w:numPr>
        <w:tabs>
          <w:tab w:val="left" w:pos="1835"/>
          <w:tab w:val="left" w:pos="1836"/>
          <w:tab w:val="left" w:pos="7422"/>
        </w:tabs>
        <w:spacing w:before="118" w:line="360" w:lineRule="auto"/>
        <w:ind w:right="914" w:hanging="855"/>
        <w:jc w:val="both"/>
        <w:rPr>
          <w:sz w:val="24"/>
        </w:rPr>
      </w:pPr>
      <w:r>
        <w:rPr>
          <w:noProof/>
        </w:rPr>
        <mc:AlternateContent>
          <mc:Choice Requires="wps">
            <w:drawing>
              <wp:anchor distT="0" distB="0" distL="114300" distR="114300" simplePos="0" relativeHeight="478917632" behindDoc="1" locked="0" layoutInCell="1" allowOverlap="1" wp14:anchorId="6CA68542" wp14:editId="768C86C2">
                <wp:simplePos x="0" y="0"/>
                <wp:positionH relativeFrom="page">
                  <wp:posOffset>2145665</wp:posOffset>
                </wp:positionH>
                <wp:positionV relativeFrom="paragraph">
                  <wp:posOffset>365125</wp:posOffset>
                </wp:positionV>
                <wp:extent cx="3343910" cy="186055"/>
                <wp:effectExtent l="0" t="0" r="0" b="0"/>
                <wp:wrapNone/>
                <wp:docPr id="1312" name="docshape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391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AF9836" id="docshape60" o:spid="_x0000_s1026" alt="&quot;&quot;" style="position:absolute;margin-left:168.95pt;margin-top:28.75pt;width:263.3pt;height:14.65pt;z-index:-2439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" fillcolor="black" stroked="f">
                <w10:wrap anchorx="page"/>
              </v:rect>
            </w:pict>
          </mc:Fallback>
        </mc:AlternateContent>
      </w:r>
      <w:r w:rsidR="00033D0F">
        <w:rPr>
          <w:sz w:val="24"/>
        </w:rPr>
        <w:t>the</w:t>
      </w:r>
      <w:r w:rsidR="00033D0F">
        <w:rPr>
          <w:spacing w:val="-9"/>
          <w:sz w:val="24"/>
        </w:rPr>
        <w:t xml:space="preserve"> </w:t>
      </w:r>
      <w:r w:rsidR="00033D0F">
        <w:rPr>
          <w:sz w:val="24"/>
        </w:rPr>
        <w:t>different</w:t>
      </w:r>
      <w:r w:rsidR="00033D0F">
        <w:rPr>
          <w:spacing w:val="-9"/>
          <w:sz w:val="24"/>
        </w:rPr>
        <w:t xml:space="preserve"> </w:t>
      </w:r>
      <w:r w:rsidR="00033D0F">
        <w:rPr>
          <w:sz w:val="24"/>
        </w:rPr>
        <w:t>per</w:t>
      </w:r>
      <w:r w:rsidR="00033D0F">
        <w:rPr>
          <w:spacing w:val="-12"/>
          <w:sz w:val="24"/>
        </w:rPr>
        <w:t xml:space="preserve"> </w:t>
      </w:r>
      <w:r w:rsidR="00033D0F">
        <w:rPr>
          <w:sz w:val="24"/>
        </w:rPr>
        <w:t>unit</w:t>
      </w:r>
      <w:r w:rsidR="00033D0F">
        <w:rPr>
          <w:spacing w:val="-9"/>
          <w:sz w:val="24"/>
        </w:rPr>
        <w:t xml:space="preserve"> </w:t>
      </w:r>
      <w:r w:rsidR="00033D0F">
        <w:rPr>
          <w:sz w:val="24"/>
        </w:rPr>
        <w:t>costs</w:t>
      </w:r>
      <w:r w:rsidR="00033D0F">
        <w:rPr>
          <w:spacing w:val="-8"/>
          <w:sz w:val="24"/>
        </w:rPr>
        <w:t xml:space="preserve"> </w:t>
      </w:r>
      <w:r w:rsidR="00033D0F">
        <w:rPr>
          <w:sz w:val="24"/>
        </w:rPr>
        <w:t>under</w:t>
      </w:r>
      <w:r w:rsidR="00033D0F">
        <w:rPr>
          <w:spacing w:val="-12"/>
          <w:sz w:val="24"/>
        </w:rPr>
        <w:t xml:space="preserve"> </w:t>
      </w:r>
      <w:r w:rsidR="00033D0F">
        <w:rPr>
          <w:sz w:val="24"/>
        </w:rPr>
        <w:t>the</w:t>
      </w:r>
      <w:r w:rsidR="00033D0F">
        <w:rPr>
          <w:spacing w:val="-9"/>
          <w:sz w:val="24"/>
        </w:rPr>
        <w:t xml:space="preserve"> </w:t>
      </w:r>
      <w:r w:rsidR="00033D0F">
        <w:rPr>
          <w:sz w:val="24"/>
        </w:rPr>
        <w:t>same</w:t>
      </w:r>
      <w:r w:rsidR="00033D0F">
        <w:rPr>
          <w:spacing w:val="-9"/>
          <w:sz w:val="24"/>
        </w:rPr>
        <w:t xml:space="preserve"> </w:t>
      </w:r>
      <w:r w:rsidR="00033D0F">
        <w:rPr>
          <w:sz w:val="24"/>
        </w:rPr>
        <w:t>accounting</w:t>
      </w:r>
      <w:r w:rsidR="00033D0F">
        <w:rPr>
          <w:spacing w:val="-8"/>
          <w:sz w:val="24"/>
        </w:rPr>
        <w:t xml:space="preserve"> </w:t>
      </w:r>
      <w:r w:rsidR="00033D0F">
        <w:rPr>
          <w:sz w:val="24"/>
        </w:rPr>
        <w:t>codes,</w:t>
      </w:r>
      <w:r w:rsidR="00033D0F">
        <w:rPr>
          <w:spacing w:val="-7"/>
          <w:sz w:val="24"/>
        </w:rPr>
        <w:t xml:space="preserve"> </w:t>
      </w:r>
      <w:r w:rsidR="00033D0F">
        <w:rPr>
          <w:sz w:val="24"/>
        </w:rPr>
        <w:t xml:space="preserve">non-reporting </w:t>
      </w:r>
      <w:r w:rsidR="00033D0F">
        <w:rPr>
          <w:spacing w:val="-5"/>
          <w:sz w:val="24"/>
        </w:rPr>
        <w:t>of</w:t>
      </w:r>
      <w:r w:rsidR="00033D0F">
        <w:rPr>
          <w:sz w:val="24"/>
        </w:rPr>
        <w:tab/>
        <w:t>and</w:t>
      </w:r>
      <w:r w:rsidR="00033D0F">
        <w:rPr>
          <w:spacing w:val="-1"/>
          <w:sz w:val="24"/>
        </w:rPr>
        <w:t xml:space="preserve"> </w:t>
      </w:r>
      <w:r w:rsidR="00033D0F">
        <w:rPr>
          <w:sz w:val="24"/>
        </w:rPr>
        <w:t>non-</w:t>
      </w:r>
      <w:r w:rsidR="00033D0F">
        <w:rPr>
          <w:spacing w:val="-2"/>
          <w:sz w:val="24"/>
        </w:rPr>
        <w:t>provision</w:t>
      </w:r>
    </w:p>
    <w:p w14:paraId="6E037DB1" w14:textId="77777777" w:rsidR="00BD462C" w:rsidRDefault="00033D0F">
      <w:pPr>
        <w:pStyle w:val="BodyText"/>
        <w:spacing w:before="4" w:line="362" w:lineRule="auto"/>
        <w:ind w:left="1840" w:right="921"/>
        <w:jc w:val="both"/>
      </w:pPr>
      <w:r>
        <w:t>of detailed cost break downs for certain PCNs were minor reasons for the ultimate decision to apply facts available;</w:t>
      </w:r>
      <w:hyperlink w:anchor="_bookmark244" w:history="1">
        <w:r>
          <w:rPr>
            <w:vertAlign w:val="superscript"/>
          </w:rPr>
          <w:t>186</w:t>
        </w:r>
      </w:hyperlink>
      <w:r>
        <w:t xml:space="preserve"> and</w:t>
      </w:r>
    </w:p>
    <w:p w14:paraId="16F9F3ED" w14:textId="77777777" w:rsidR="00BD462C" w:rsidRDefault="00033D0F">
      <w:pPr>
        <w:pStyle w:val="ListParagraph"/>
        <w:numPr>
          <w:ilvl w:val="0"/>
          <w:numId w:val="62"/>
        </w:numPr>
        <w:tabs>
          <w:tab w:val="left" w:pos="1835"/>
          <w:tab w:val="left" w:pos="1836"/>
        </w:tabs>
        <w:spacing w:before="110" w:line="360" w:lineRule="auto"/>
        <w:ind w:right="917" w:hanging="855"/>
        <w:jc w:val="both"/>
        <w:rPr>
          <w:sz w:val="24"/>
        </w:rPr>
      </w:pPr>
      <w:r>
        <w:rPr>
          <w:sz w:val="24"/>
        </w:rPr>
        <w:t>the issues related to the reconciliation of the forms was of limited to no relevance to the decision to apply facts available.</w:t>
      </w:r>
      <w:hyperlink w:anchor="_bookmark245" w:history="1">
        <w:r>
          <w:rPr>
            <w:sz w:val="24"/>
            <w:vertAlign w:val="superscript"/>
          </w:rPr>
          <w:t>187</w:t>
        </w:r>
      </w:hyperlink>
    </w:p>
    <w:p w14:paraId="0E0F920F" w14:textId="0BE351B3" w:rsidR="00BD462C" w:rsidRDefault="00D70C7D" w:rsidP="00087BDF">
      <w:pPr>
        <w:pStyle w:val="BodyText"/>
        <w:numPr>
          <w:ilvl w:val="0"/>
          <w:numId w:val="69"/>
        </w:numPr>
        <w:spacing w:before="129"/>
      </w:pPr>
      <w:r>
        <w:rPr>
          <w:noProof/>
        </w:rPr>
        <mc:AlternateContent>
          <mc:Choice Requires="wps">
            <w:drawing>
              <wp:anchor distT="0" distB="0" distL="114300" distR="114300" simplePos="0" relativeHeight="15756800" behindDoc="0" locked="0" layoutInCell="1" allowOverlap="1" wp14:anchorId="4B531988" wp14:editId="081ABD50">
                <wp:simplePos x="0" y="0"/>
                <wp:positionH relativeFrom="page">
                  <wp:posOffset>3319145</wp:posOffset>
                </wp:positionH>
                <wp:positionV relativeFrom="paragraph">
                  <wp:posOffset>78105</wp:posOffset>
                </wp:positionV>
                <wp:extent cx="3340735" cy="186055"/>
                <wp:effectExtent l="0" t="0" r="0" b="0"/>
                <wp:wrapNone/>
                <wp:docPr id="1310" name="docshape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073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5180AA" id="docshape61" o:spid="_x0000_s1026" alt="&quot;&quot;" style="position:absolute;margin-left:261.35pt;margin-top:6.15pt;width:263.05pt;height:14.65pt;z-index:1575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" fillcolor="black" stroked="f">
                <w10:wrap anchorx="page"/>
              </v:rect>
            </w:pict>
          </mc:Fallback>
        </mc:AlternateContent>
      </w:r>
      <w:r w:rsidR="00033D0F">
        <w:rPr>
          <w:position w:val="1"/>
        </w:rPr>
        <w:t>Thus,</w:t>
      </w:r>
      <w:r w:rsidR="00033D0F">
        <w:rPr>
          <w:spacing w:val="40"/>
          <w:position w:val="1"/>
        </w:rPr>
        <w:t xml:space="preserve"> </w:t>
      </w:r>
      <w:r w:rsidR="00033D0F">
        <w:rPr>
          <w:position w:val="1"/>
        </w:rPr>
        <w:t>China</w:t>
      </w:r>
      <w:r w:rsidR="00033D0F">
        <w:rPr>
          <w:spacing w:val="40"/>
          <w:position w:val="1"/>
        </w:rPr>
        <w:t xml:space="preserve"> </w:t>
      </w:r>
      <w:r w:rsidR="00033D0F">
        <w:rPr>
          <w:position w:val="1"/>
        </w:rPr>
        <w:t>argues</w:t>
      </w:r>
      <w:r w:rsidR="00033D0F">
        <w:rPr>
          <w:spacing w:val="40"/>
          <w:position w:val="1"/>
        </w:rPr>
        <w:t xml:space="preserve"> </w:t>
      </w:r>
      <w:r w:rsidR="00033D0F">
        <w:rPr>
          <w:position w:val="1"/>
        </w:rPr>
        <w:t>that</w:t>
      </w:r>
      <w:r w:rsidR="00033D0F">
        <w:rPr>
          <w:spacing w:val="40"/>
          <w:position w:val="1"/>
        </w:rPr>
        <w:t xml:space="preserve"> </w:t>
      </w:r>
      <w:r w:rsidR="00033D0F">
        <w:rPr>
          <w:position w:val="1"/>
        </w:rPr>
        <w:t>the</w:t>
      </w:r>
    </w:p>
    <w:p w14:paraId="0662FD74" w14:textId="30C40FE6" w:rsidR="00BD462C" w:rsidRDefault="00D70C7D">
      <w:pPr>
        <w:pStyle w:val="BodyText"/>
        <w:spacing w:before="144"/>
        <w:ind w:left="6059"/>
      </w:pPr>
      <w:r>
        <w:rPr>
          <w:noProof/>
        </w:rPr>
        <mc:AlternateContent>
          <mc:Choice Requires="wps">
            <w:drawing>
              <wp:anchor distT="0" distB="0" distL="114300" distR="114300" simplePos="0" relativeHeight="15757312" behindDoc="0" locked="0" layoutInCell="1" allowOverlap="1" wp14:anchorId="68D06E75" wp14:editId="04DD4ADB">
                <wp:simplePos x="0" y="0"/>
                <wp:positionH relativeFrom="page">
                  <wp:posOffset>899160</wp:posOffset>
                </wp:positionH>
                <wp:positionV relativeFrom="paragraph">
                  <wp:posOffset>90170</wp:posOffset>
                </wp:positionV>
                <wp:extent cx="3730625" cy="186055"/>
                <wp:effectExtent l="0" t="0" r="0" b="0"/>
                <wp:wrapNone/>
                <wp:docPr id="1308" name="docshape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062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1F11CD" id="docshape62" o:spid="_x0000_s1026" alt="&quot;&quot;" style="position:absolute;margin-left:70.8pt;margin-top:7.1pt;width:293.75pt;height:14.65pt;z-index:1575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" fillcolor="black" stroked="f">
                <w10:wrap anchorx="page"/>
              </v:rect>
            </w:pict>
          </mc:Fallback>
        </mc:AlternateContent>
      </w:r>
      <w:r w:rsidR="00033D0F">
        <w:t>is</w:t>
      </w:r>
      <w:r w:rsidR="00033D0F">
        <w:rPr>
          <w:spacing w:val="-9"/>
        </w:rPr>
        <w:t xml:space="preserve"> </w:t>
      </w:r>
      <w:r w:rsidR="00033D0F">
        <w:t>the</w:t>
      </w:r>
      <w:r w:rsidR="00033D0F">
        <w:rPr>
          <w:spacing w:val="-9"/>
        </w:rPr>
        <w:t xml:space="preserve"> </w:t>
      </w:r>
      <w:r w:rsidR="00033D0F">
        <w:t>foundation</w:t>
      </w:r>
      <w:r w:rsidR="00033D0F">
        <w:rPr>
          <w:spacing w:val="-11"/>
        </w:rPr>
        <w:t xml:space="preserve"> </w:t>
      </w:r>
      <w:r w:rsidR="00033D0F">
        <w:t>for</w:t>
      </w:r>
      <w:r w:rsidR="00033D0F">
        <w:rPr>
          <w:spacing w:val="-11"/>
        </w:rPr>
        <w:t xml:space="preserve"> </w:t>
      </w:r>
      <w:r w:rsidR="00033D0F">
        <w:rPr>
          <w:spacing w:val="-2"/>
        </w:rPr>
        <w:t>MOFCOM's</w:t>
      </w:r>
    </w:p>
    <w:p w14:paraId="1EA200DE" w14:textId="77777777" w:rsidR="00BD462C" w:rsidRDefault="00033D0F">
      <w:pPr>
        <w:pStyle w:val="BodyText"/>
        <w:spacing w:before="144" w:line="360" w:lineRule="auto"/>
        <w:ind w:left="136" w:right="917"/>
        <w:jc w:val="both"/>
      </w:pPr>
      <w:r>
        <w:t>recourse</w:t>
      </w:r>
      <w:r>
        <w:rPr>
          <w:spacing w:val="-1"/>
        </w:rPr>
        <w:t xml:space="preserve"> </w:t>
      </w:r>
      <w:r>
        <w:t>to</w:t>
      </w:r>
      <w:r>
        <w:rPr>
          <w:spacing w:val="-4"/>
        </w:rPr>
        <w:t xml:space="preserve"> </w:t>
      </w:r>
      <w:r>
        <w:t>facts</w:t>
      </w:r>
      <w:r>
        <w:rPr>
          <w:spacing w:val="-5"/>
        </w:rPr>
        <w:t xml:space="preserve"> </w:t>
      </w:r>
      <w:r>
        <w:t>available.</w:t>
      </w:r>
      <w:hyperlink w:anchor="_bookmark246" w:history="1">
        <w:r>
          <w:rPr>
            <w:vertAlign w:val="superscript"/>
          </w:rPr>
          <w:t>188</w:t>
        </w:r>
      </w:hyperlink>
      <w:r>
        <w:rPr>
          <w:spacing w:val="-5"/>
        </w:rPr>
        <w:t xml:space="preserve"> </w:t>
      </w:r>
      <w:r>
        <w:t>Its</w:t>
      </w:r>
      <w:r>
        <w:rPr>
          <w:spacing w:val="-5"/>
        </w:rPr>
        <w:t xml:space="preserve"> </w:t>
      </w:r>
      <w:r>
        <w:t>argument</w:t>
      </w:r>
      <w:r>
        <w:rPr>
          <w:spacing w:val="-6"/>
        </w:rPr>
        <w:t xml:space="preserve"> </w:t>
      </w:r>
      <w:r>
        <w:t>is</w:t>
      </w:r>
      <w:r>
        <w:rPr>
          <w:spacing w:val="-5"/>
        </w:rPr>
        <w:t xml:space="preserve"> </w:t>
      </w:r>
      <w:r>
        <w:t>based</w:t>
      </w:r>
      <w:r>
        <w:rPr>
          <w:spacing w:val="-3"/>
        </w:rPr>
        <w:t xml:space="preserve"> </w:t>
      </w:r>
      <w:r>
        <w:t>on</w:t>
      </w:r>
      <w:r>
        <w:rPr>
          <w:spacing w:val="-8"/>
        </w:rPr>
        <w:t xml:space="preserve"> </w:t>
      </w:r>
      <w:r>
        <w:t>the</w:t>
      </w:r>
      <w:r>
        <w:rPr>
          <w:spacing w:val="-2"/>
        </w:rPr>
        <w:t xml:space="preserve"> </w:t>
      </w:r>
      <w:r>
        <w:t>language</w:t>
      </w:r>
      <w:r>
        <w:rPr>
          <w:spacing w:val="-6"/>
        </w:rPr>
        <w:t xml:space="preserve"> </w:t>
      </w:r>
      <w:r>
        <w:t>in</w:t>
      </w:r>
      <w:r>
        <w:rPr>
          <w:spacing w:val="-8"/>
        </w:rPr>
        <w:t xml:space="preserve"> </w:t>
      </w:r>
      <w:r>
        <w:t>the</w:t>
      </w:r>
      <w:r>
        <w:rPr>
          <w:spacing w:val="-6"/>
        </w:rPr>
        <w:t xml:space="preserve"> </w:t>
      </w:r>
      <w:r>
        <w:t>questionnaire</w:t>
      </w:r>
      <w:r>
        <w:rPr>
          <w:spacing w:val="-6"/>
        </w:rPr>
        <w:t xml:space="preserve"> </w:t>
      </w:r>
      <w:r>
        <w:t>that requested "costs and expenses related to the production and sales of the product under investigation</w:t>
      </w:r>
      <w:r>
        <w:rPr>
          <w:spacing w:val="-10"/>
        </w:rPr>
        <w:t xml:space="preserve"> </w:t>
      </w:r>
      <w:r>
        <w:t>and</w:t>
      </w:r>
      <w:r>
        <w:rPr>
          <w:spacing w:val="-10"/>
        </w:rPr>
        <w:t xml:space="preserve"> </w:t>
      </w:r>
      <w:proofErr w:type="spellStart"/>
      <w:r>
        <w:t>its</w:t>
      </w:r>
      <w:proofErr w:type="spellEnd"/>
      <w:r>
        <w:rPr>
          <w:spacing w:val="-11"/>
        </w:rPr>
        <w:t xml:space="preserve"> </w:t>
      </w:r>
      <w:r>
        <w:t>like</w:t>
      </w:r>
      <w:r>
        <w:rPr>
          <w:spacing w:val="-8"/>
        </w:rPr>
        <w:t xml:space="preserve"> </w:t>
      </w:r>
      <w:r>
        <w:t>product"</w:t>
      </w:r>
      <w:r>
        <w:rPr>
          <w:spacing w:val="-9"/>
        </w:rPr>
        <w:t xml:space="preserve"> </w:t>
      </w:r>
      <w:r>
        <w:t>which</w:t>
      </w:r>
      <w:r>
        <w:rPr>
          <w:spacing w:val="-10"/>
        </w:rPr>
        <w:t xml:space="preserve"> </w:t>
      </w:r>
      <w:r>
        <w:t>China</w:t>
      </w:r>
      <w:r>
        <w:rPr>
          <w:spacing w:val="-9"/>
        </w:rPr>
        <w:t xml:space="preserve"> </w:t>
      </w:r>
      <w:r>
        <w:t>interprets</w:t>
      </w:r>
      <w:r>
        <w:rPr>
          <w:spacing w:val="-7"/>
        </w:rPr>
        <w:t xml:space="preserve"> </w:t>
      </w:r>
      <w:r>
        <w:t>to</w:t>
      </w:r>
      <w:r>
        <w:rPr>
          <w:spacing w:val="-11"/>
        </w:rPr>
        <w:t xml:space="preserve"> </w:t>
      </w:r>
      <w:r>
        <w:t>mean</w:t>
      </w:r>
      <w:r>
        <w:rPr>
          <w:spacing w:val="-10"/>
        </w:rPr>
        <w:t xml:space="preserve"> </w:t>
      </w:r>
      <w:r>
        <w:t>"the</w:t>
      </w:r>
      <w:r>
        <w:rPr>
          <w:spacing w:val="-8"/>
        </w:rPr>
        <w:t xml:space="preserve"> </w:t>
      </w:r>
      <w:r>
        <w:t>requested</w:t>
      </w:r>
      <w:r>
        <w:rPr>
          <w:spacing w:val="-10"/>
        </w:rPr>
        <w:t xml:space="preserve"> </w:t>
      </w:r>
      <w:r>
        <w:t xml:space="preserve">information needed to be provided for </w:t>
      </w:r>
      <w:r>
        <w:rPr>
          <w:i/>
        </w:rPr>
        <w:t xml:space="preserve">all </w:t>
      </w:r>
      <w:r>
        <w:t>product control codes (or PCNs) that were produced [in the domestic Australian market] during the investigation period".</w:t>
      </w:r>
      <w:r>
        <w:rPr>
          <w:spacing w:val="-14"/>
        </w:rPr>
        <w:t xml:space="preserve"> </w:t>
      </w:r>
      <w:hyperlink w:anchor="_bookmark247" w:history="1">
        <w:r>
          <w:rPr>
            <w:vertAlign w:val="superscript"/>
          </w:rPr>
          <w:t>189</w:t>
        </w:r>
      </w:hyperlink>
      <w:r>
        <w:t xml:space="preserve"> In China's view, Form 6-3 (and presumably Form 6-4) "clearly stated that cost of production information for </w:t>
      </w:r>
      <w:r>
        <w:rPr>
          <w:i/>
        </w:rPr>
        <w:t xml:space="preserve">all </w:t>
      </w:r>
      <w:r>
        <w:t>PCNs had to be provided".</w:t>
      </w:r>
      <w:r>
        <w:rPr>
          <w:spacing w:val="-17"/>
        </w:rPr>
        <w:t xml:space="preserve"> </w:t>
      </w:r>
      <w:hyperlink w:anchor="_bookmark248" w:history="1">
        <w:r>
          <w:rPr>
            <w:vertAlign w:val="superscript"/>
          </w:rPr>
          <w:t>190</w:t>
        </w:r>
      </w:hyperlink>
    </w:p>
    <w:p w14:paraId="48080131" w14:textId="77777777" w:rsidR="00BD462C" w:rsidRDefault="00BD462C">
      <w:pPr>
        <w:pStyle w:val="BodyText"/>
        <w:rPr>
          <w:sz w:val="20"/>
        </w:rPr>
      </w:pPr>
    </w:p>
    <w:p w14:paraId="762285A5" w14:textId="77777777" w:rsidR="00BD462C" w:rsidRDefault="00BD462C">
      <w:pPr>
        <w:pStyle w:val="BodyText"/>
        <w:rPr>
          <w:sz w:val="20"/>
        </w:rPr>
      </w:pPr>
    </w:p>
    <w:p w14:paraId="256E0AC5" w14:textId="7EB4DD33" w:rsidR="00BD462C" w:rsidRDefault="009A6330">
      <w:pPr>
        <w:pStyle w:val="BodyText"/>
        <w:spacing w:before="8"/>
        <w:rPr>
          <w:sz w:val="17"/>
        </w:rPr>
      </w:pPr>
      <w:r>
        <w:rPr>
          <w:noProof/>
        </w:rPr>
        <mc:AlternateContent>
          <mc:Choice Requires="wps">
            <w:drawing>
              <wp:anchor distT="0" distB="0" distL="0" distR="0" simplePos="0" relativeHeight="488004096" behindDoc="1" locked="0" layoutInCell="1" allowOverlap="1" wp14:anchorId="7B96E7A8" wp14:editId="388D6E27">
                <wp:simplePos x="0" y="0"/>
                <wp:positionH relativeFrom="page">
                  <wp:posOffset>812800</wp:posOffset>
                </wp:positionH>
                <wp:positionV relativeFrom="paragraph">
                  <wp:posOffset>140970</wp:posOffset>
                </wp:positionV>
                <wp:extent cx="1828800" cy="8890"/>
                <wp:effectExtent l="0" t="0" r="0" b="0"/>
                <wp:wrapTopAndBottom/>
                <wp:docPr id="1418" name="docshape7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7391AE" id="docshape712" o:spid="_x0000_s1026" alt="&quot;&quot;" style="position:absolute;margin-left:64pt;margin-top:11.1pt;width:2in;height:.7pt;z-index:-15312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" fillcolor="black" stroked="f">
                <w10:wrap type="topAndBottom" anchorx="page"/>
              </v:rect>
            </w:pict>
          </mc:Fallback>
        </mc:AlternateContent>
      </w:r>
    </w:p>
    <w:p w14:paraId="099FFCEA" w14:textId="77777777" w:rsidR="00BD462C" w:rsidRDefault="00033D0F">
      <w:pPr>
        <w:spacing w:before="112"/>
        <w:ind w:left="135"/>
        <w:rPr>
          <w:sz w:val="18"/>
        </w:rPr>
      </w:pPr>
      <w:bookmarkStart w:id="278" w:name="_bookmark242"/>
      <w:bookmarkEnd w:id="278"/>
      <w:r>
        <w:rPr>
          <w:position w:val="5"/>
          <w:sz w:val="12"/>
        </w:rPr>
        <w:t>184</w:t>
      </w:r>
      <w:r>
        <w:rPr>
          <w:spacing w:val="11"/>
          <w:position w:val="5"/>
          <w:sz w:val="12"/>
        </w:rPr>
        <w:t xml:space="preserve"> </w:t>
      </w:r>
      <w:r>
        <w:rPr>
          <w:sz w:val="18"/>
        </w:rPr>
        <w:t>China's</w:t>
      </w:r>
      <w:r>
        <w:rPr>
          <w:spacing w:val="-6"/>
          <w:sz w:val="18"/>
        </w:rPr>
        <w:t xml:space="preserve"> </w:t>
      </w:r>
      <w:r>
        <w:rPr>
          <w:sz w:val="18"/>
        </w:rPr>
        <w:t>first</w:t>
      </w:r>
      <w:r>
        <w:rPr>
          <w:spacing w:val="-5"/>
          <w:sz w:val="18"/>
        </w:rPr>
        <w:t xml:space="preserve"> </w:t>
      </w:r>
      <w:r>
        <w:rPr>
          <w:sz w:val="18"/>
        </w:rPr>
        <w:t>written</w:t>
      </w:r>
      <w:r>
        <w:rPr>
          <w:spacing w:val="-7"/>
          <w:sz w:val="18"/>
        </w:rPr>
        <w:t xml:space="preserve"> </w:t>
      </w:r>
      <w:r>
        <w:rPr>
          <w:sz w:val="18"/>
        </w:rPr>
        <w:t>submission,</w:t>
      </w:r>
      <w:r>
        <w:rPr>
          <w:spacing w:val="-5"/>
          <w:sz w:val="18"/>
        </w:rPr>
        <w:t xml:space="preserve"> </w:t>
      </w:r>
      <w:r>
        <w:rPr>
          <w:sz w:val="18"/>
        </w:rPr>
        <w:t>paras.</w:t>
      </w:r>
      <w:r>
        <w:rPr>
          <w:spacing w:val="-5"/>
          <w:sz w:val="18"/>
        </w:rPr>
        <w:t xml:space="preserve"> </w:t>
      </w:r>
      <w:r>
        <w:rPr>
          <w:sz w:val="18"/>
        </w:rPr>
        <w:t>274-277,</w:t>
      </w:r>
      <w:r>
        <w:rPr>
          <w:spacing w:val="-5"/>
          <w:sz w:val="18"/>
        </w:rPr>
        <w:t xml:space="preserve"> </w:t>
      </w:r>
      <w:r>
        <w:rPr>
          <w:sz w:val="18"/>
        </w:rPr>
        <w:t>352, 357-358, 361-364,</w:t>
      </w:r>
      <w:r>
        <w:rPr>
          <w:spacing w:val="-4"/>
          <w:sz w:val="18"/>
        </w:rPr>
        <w:t xml:space="preserve"> </w:t>
      </w:r>
      <w:r>
        <w:rPr>
          <w:sz w:val="18"/>
        </w:rPr>
        <w:t>and</w:t>
      </w:r>
      <w:r>
        <w:rPr>
          <w:spacing w:val="-3"/>
          <w:sz w:val="18"/>
        </w:rPr>
        <w:t xml:space="preserve"> </w:t>
      </w:r>
      <w:r>
        <w:rPr>
          <w:sz w:val="18"/>
        </w:rPr>
        <w:t>407;</w:t>
      </w:r>
      <w:r>
        <w:rPr>
          <w:spacing w:val="-8"/>
          <w:sz w:val="18"/>
        </w:rPr>
        <w:t xml:space="preserve"> </w:t>
      </w:r>
      <w:r>
        <w:rPr>
          <w:sz w:val="18"/>
        </w:rPr>
        <w:t>response</w:t>
      </w:r>
      <w:r>
        <w:rPr>
          <w:spacing w:val="-6"/>
          <w:sz w:val="18"/>
        </w:rPr>
        <w:t xml:space="preserve"> </w:t>
      </w:r>
      <w:r>
        <w:rPr>
          <w:sz w:val="18"/>
        </w:rPr>
        <w:t>to</w:t>
      </w:r>
      <w:r>
        <w:rPr>
          <w:spacing w:val="-7"/>
          <w:sz w:val="18"/>
        </w:rPr>
        <w:t xml:space="preserve"> </w:t>
      </w:r>
      <w:r>
        <w:rPr>
          <w:sz w:val="18"/>
        </w:rPr>
        <w:t>Panel</w:t>
      </w:r>
      <w:r>
        <w:rPr>
          <w:spacing w:val="-5"/>
          <w:sz w:val="18"/>
        </w:rPr>
        <w:t xml:space="preserve"> </w:t>
      </w:r>
      <w:r>
        <w:rPr>
          <w:sz w:val="18"/>
        </w:rPr>
        <w:t>question</w:t>
      </w:r>
      <w:r>
        <w:rPr>
          <w:spacing w:val="-11"/>
          <w:sz w:val="18"/>
        </w:rPr>
        <w:t xml:space="preserve"> </w:t>
      </w:r>
      <w:r>
        <w:rPr>
          <w:sz w:val="18"/>
        </w:rPr>
        <w:t>No</w:t>
      </w:r>
      <w:r>
        <w:rPr>
          <w:spacing w:val="-7"/>
          <w:sz w:val="18"/>
        </w:rPr>
        <w:t xml:space="preserve"> </w:t>
      </w:r>
      <w:r>
        <w:rPr>
          <w:sz w:val="18"/>
        </w:rPr>
        <w:t>2,</w:t>
      </w:r>
      <w:r>
        <w:rPr>
          <w:spacing w:val="-4"/>
          <w:sz w:val="18"/>
        </w:rPr>
        <w:t xml:space="preserve"> </w:t>
      </w:r>
      <w:r>
        <w:rPr>
          <w:spacing w:val="-2"/>
          <w:sz w:val="18"/>
        </w:rPr>
        <w:t>paras.</w:t>
      </w:r>
    </w:p>
    <w:p w14:paraId="59B64C36" w14:textId="77777777" w:rsidR="00BD462C" w:rsidRDefault="00033D0F">
      <w:pPr>
        <w:spacing w:before="1"/>
        <w:ind w:left="136"/>
        <w:rPr>
          <w:sz w:val="18"/>
        </w:rPr>
      </w:pPr>
      <w:r>
        <w:rPr>
          <w:sz w:val="18"/>
        </w:rPr>
        <w:t>7, 11,</w:t>
      </w:r>
      <w:r>
        <w:rPr>
          <w:spacing w:val="1"/>
          <w:sz w:val="18"/>
        </w:rPr>
        <w:t xml:space="preserve"> </w:t>
      </w:r>
      <w:r>
        <w:rPr>
          <w:sz w:val="18"/>
        </w:rPr>
        <w:t>and</w:t>
      </w:r>
      <w:r>
        <w:rPr>
          <w:spacing w:val="-1"/>
          <w:sz w:val="18"/>
        </w:rPr>
        <w:t xml:space="preserve"> </w:t>
      </w:r>
      <w:r>
        <w:rPr>
          <w:spacing w:val="-5"/>
          <w:sz w:val="18"/>
        </w:rPr>
        <w:t>14.</w:t>
      </w:r>
    </w:p>
    <w:p w14:paraId="41969E17" w14:textId="77777777" w:rsidR="00BD462C" w:rsidRDefault="00033D0F">
      <w:pPr>
        <w:spacing w:before="1" w:line="218" w:lineRule="exact"/>
        <w:ind w:left="135"/>
        <w:rPr>
          <w:sz w:val="18"/>
        </w:rPr>
      </w:pPr>
      <w:bookmarkStart w:id="279" w:name="_bookmark243"/>
      <w:bookmarkEnd w:id="279"/>
      <w:r>
        <w:rPr>
          <w:position w:val="5"/>
          <w:sz w:val="12"/>
        </w:rPr>
        <w:t>185</w:t>
      </w:r>
      <w:r>
        <w:rPr>
          <w:spacing w:val="13"/>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paras.</w:t>
      </w:r>
      <w:r>
        <w:rPr>
          <w:spacing w:val="-4"/>
          <w:sz w:val="18"/>
        </w:rPr>
        <w:t xml:space="preserve"> </w:t>
      </w:r>
      <w:r>
        <w:rPr>
          <w:sz w:val="18"/>
        </w:rPr>
        <w:t>288,</w:t>
      </w:r>
      <w:r>
        <w:rPr>
          <w:spacing w:val="-4"/>
          <w:sz w:val="18"/>
        </w:rPr>
        <w:t xml:space="preserve"> 319.</w:t>
      </w:r>
    </w:p>
    <w:p w14:paraId="4A3BB677" w14:textId="77777777" w:rsidR="00BD462C" w:rsidRDefault="00033D0F">
      <w:pPr>
        <w:spacing w:line="218" w:lineRule="exact"/>
        <w:ind w:left="135"/>
        <w:rPr>
          <w:sz w:val="18"/>
        </w:rPr>
      </w:pPr>
      <w:bookmarkStart w:id="280" w:name="_bookmark244"/>
      <w:bookmarkEnd w:id="280"/>
      <w:r>
        <w:rPr>
          <w:position w:val="5"/>
          <w:sz w:val="12"/>
        </w:rPr>
        <w:t>186</w:t>
      </w:r>
      <w:r>
        <w:rPr>
          <w:spacing w:val="13"/>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 xml:space="preserve">para. </w:t>
      </w:r>
      <w:r>
        <w:rPr>
          <w:spacing w:val="-4"/>
          <w:sz w:val="18"/>
        </w:rPr>
        <w:t>407.</w:t>
      </w:r>
    </w:p>
    <w:p w14:paraId="6FD3D276" w14:textId="0ED61C5B" w:rsidR="00BD462C" w:rsidRDefault="00D70C7D">
      <w:pPr>
        <w:spacing w:before="1"/>
        <w:ind w:left="135"/>
        <w:rPr>
          <w:sz w:val="18"/>
        </w:rPr>
      </w:pPr>
      <w:r>
        <w:rPr>
          <w:noProof/>
        </w:rPr>
        <mc:AlternateContent>
          <mc:Choice Requires="wpg">
            <w:drawing>
              <wp:anchor distT="0" distB="0" distL="114300" distR="114300" simplePos="0" relativeHeight="478919168" behindDoc="1" locked="0" layoutInCell="1" allowOverlap="1" wp14:anchorId="399136DA" wp14:editId="24C7A9A8">
                <wp:simplePos x="0" y="0"/>
                <wp:positionH relativeFrom="page">
                  <wp:posOffset>2035810</wp:posOffset>
                </wp:positionH>
                <wp:positionV relativeFrom="paragraph">
                  <wp:posOffset>139700</wp:posOffset>
                </wp:positionV>
                <wp:extent cx="1801495" cy="280670"/>
                <wp:effectExtent l="0" t="0" r="0" b="0"/>
                <wp:wrapNone/>
                <wp:docPr id="1300" name="docshapegroup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1495" cy="280670"/>
                          <a:chOff x="3206" y="220"/>
                          <a:chExt cx="2837" cy="442"/>
                        </a:xfrm>
                      </wpg:grpSpPr>
                      <wps:wsp>
                        <wps:cNvPr id="1302" name="docshape65"/>
                        <wps:cNvSpPr>
                          <a:spLocks noChangeArrowheads="1"/>
                        </wps:cNvSpPr>
                        <wps:spPr bwMode="auto">
                          <a:xfrm>
                            <a:off x="3206" y="220"/>
                            <a:ext cx="2837" cy="2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4" name="docshape66"/>
                        <wps:cNvSpPr txBox="1">
                          <a:spLocks noChangeArrowheads="1"/>
                        </wps:cNvSpPr>
                        <wps:spPr bwMode="auto">
                          <a:xfrm>
                            <a:off x="3398" y="441"/>
                            <a:ext cx="1762" cy="2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5DB506" w14:textId="15597188" w:rsidR="00BD462C" w:rsidRDefault="00BD462C">
                              <w:pPr>
                                <w:spacing w:before="1" w:line="219" w:lineRule="exact"/>
                                <w:ind w:right="1"/>
                                <w:jc w:val="right"/>
                                <w:rPr>
                                  <w:color w:val="000000"/>
                                  <w:sz w:val="1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9136DA" id="docshapegroup64" o:spid="_x0000_s1027" alt="&quot;&quot;" style="position:absolute;left:0;text-align:left;margin-left:160.3pt;margin-top:11pt;width:141.85pt;height:22.1pt;z-index:-24397312;mso-position-horizontal-relative:page" coordorigin="3206,220" coordsize="2837,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">
                <v:rect id="docshape65" o:spid="_x0000_s1028" style="position:absolute;left:3206;top:220;width:283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" fillcolor="black" stroked="f"/>
                <v:shape id="docshape66" o:spid="_x0000_s1029" type="#_x0000_t202" style="position:absolute;left:3398;top:441;width:176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" fillcolor="black" stroked="f">
                  <v:textbox inset="0,0,0,0">
                    <w:txbxContent>
                      <w:p w14:paraId="4E5DB506" w14:textId="15597188" w:rsidR="00BD462C" w:rsidRDefault="00BD462C">
                        <w:pPr>
                          <w:spacing w:before="1" w:line="219" w:lineRule="exact"/>
                          <w:ind w:right="1"/>
                          <w:jc w:val="right"/>
                          <w:rPr>
                            <w:color w:val="000000"/>
                            <w:sz w:val="18"/>
                          </w:rPr>
                        </w:pPr>
                      </w:p>
                    </w:txbxContent>
                  </v:textbox>
                </v:shape>
                <w10:wrap anchorx="page"/>
              </v:group>
            </w:pict>
          </mc:Fallback>
        </mc:AlternateContent>
      </w:r>
      <w:r>
        <w:rPr>
          <w:noProof/>
        </w:rPr>
        <mc:AlternateContent>
          <mc:Choice Requires="wps">
            <w:drawing>
              <wp:anchor distT="0" distB="0" distL="114300" distR="114300" simplePos="0" relativeHeight="15758336" behindDoc="0" locked="0" layoutInCell="1" allowOverlap="1" wp14:anchorId="12F2268F" wp14:editId="1AC4638E">
                <wp:simplePos x="0" y="0"/>
                <wp:positionH relativeFrom="page">
                  <wp:posOffset>5407025</wp:posOffset>
                </wp:positionH>
                <wp:positionV relativeFrom="paragraph">
                  <wp:posOffset>139700</wp:posOffset>
                </wp:positionV>
                <wp:extent cx="1252855" cy="140335"/>
                <wp:effectExtent l="0" t="0" r="0" b="0"/>
                <wp:wrapNone/>
                <wp:docPr id="1298" name="docshape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2855" cy="140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11859C" id="docshape67" o:spid="_x0000_s1026" alt="&quot;&quot;" style="position:absolute;margin-left:425.75pt;margin-top:11pt;width:98.65pt;height:11.05pt;z-index:1575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" fillcolor="black" stroked="f">
                <w10:wrap anchorx="page"/>
              </v:rect>
            </w:pict>
          </mc:Fallback>
        </mc:AlternateContent>
      </w:r>
      <w:bookmarkStart w:id="281" w:name="_bookmark245"/>
      <w:bookmarkEnd w:id="281"/>
      <w:r w:rsidR="00033D0F">
        <w:rPr>
          <w:position w:val="5"/>
          <w:sz w:val="12"/>
        </w:rPr>
        <w:t>187</w:t>
      </w:r>
      <w:r w:rsidR="00033D0F">
        <w:rPr>
          <w:spacing w:val="13"/>
          <w:position w:val="5"/>
          <w:sz w:val="12"/>
        </w:rPr>
        <w:t xml:space="preserve"> </w:t>
      </w:r>
      <w:r w:rsidR="00033D0F">
        <w:rPr>
          <w:sz w:val="18"/>
        </w:rPr>
        <w:t>China's</w:t>
      </w:r>
      <w:r w:rsidR="00033D0F">
        <w:rPr>
          <w:spacing w:val="-5"/>
          <w:sz w:val="18"/>
        </w:rPr>
        <w:t xml:space="preserve"> </w:t>
      </w:r>
      <w:r w:rsidR="00033D0F">
        <w:rPr>
          <w:sz w:val="18"/>
        </w:rPr>
        <w:t>first</w:t>
      </w:r>
      <w:r w:rsidR="00033D0F">
        <w:rPr>
          <w:spacing w:val="-5"/>
          <w:sz w:val="18"/>
        </w:rPr>
        <w:t xml:space="preserve"> </w:t>
      </w:r>
      <w:r w:rsidR="00033D0F">
        <w:rPr>
          <w:sz w:val="18"/>
        </w:rPr>
        <w:t>written</w:t>
      </w:r>
      <w:r w:rsidR="00033D0F">
        <w:rPr>
          <w:spacing w:val="-6"/>
          <w:sz w:val="18"/>
        </w:rPr>
        <w:t xml:space="preserve"> </w:t>
      </w:r>
      <w:r w:rsidR="00033D0F">
        <w:rPr>
          <w:sz w:val="18"/>
        </w:rPr>
        <w:t>submission,</w:t>
      </w:r>
      <w:r w:rsidR="00033D0F">
        <w:rPr>
          <w:spacing w:val="1"/>
          <w:sz w:val="18"/>
        </w:rPr>
        <w:t xml:space="preserve"> </w:t>
      </w:r>
      <w:r w:rsidR="00033D0F">
        <w:rPr>
          <w:sz w:val="18"/>
        </w:rPr>
        <w:t xml:space="preserve">para. </w:t>
      </w:r>
      <w:r w:rsidR="00033D0F">
        <w:rPr>
          <w:spacing w:val="-4"/>
          <w:sz w:val="18"/>
        </w:rPr>
        <w:t>436.</w:t>
      </w:r>
    </w:p>
    <w:p w14:paraId="2C3DF3E7" w14:textId="77777777" w:rsidR="00BD462C" w:rsidRDefault="00033D0F">
      <w:pPr>
        <w:tabs>
          <w:tab w:val="left" w:pos="4801"/>
        </w:tabs>
        <w:spacing w:before="1"/>
        <w:ind w:left="135"/>
        <w:rPr>
          <w:sz w:val="18"/>
        </w:rPr>
      </w:pPr>
      <w:bookmarkStart w:id="282" w:name="_bookmark246"/>
      <w:bookmarkEnd w:id="282"/>
      <w:r>
        <w:rPr>
          <w:position w:val="5"/>
          <w:sz w:val="12"/>
        </w:rPr>
        <w:t>188</w:t>
      </w:r>
      <w:r>
        <w:rPr>
          <w:spacing w:val="9"/>
          <w:position w:val="5"/>
          <w:sz w:val="12"/>
        </w:rPr>
        <w:t xml:space="preserve"> </w:t>
      </w:r>
      <w:r>
        <w:rPr>
          <w:sz w:val="18"/>
        </w:rPr>
        <w:t>MOFCOM</w:t>
      </w:r>
      <w:r>
        <w:rPr>
          <w:spacing w:val="-7"/>
          <w:sz w:val="18"/>
        </w:rPr>
        <w:t xml:space="preserve"> </w:t>
      </w:r>
      <w:r>
        <w:rPr>
          <w:sz w:val="18"/>
        </w:rPr>
        <w:t>found</w:t>
      </w:r>
      <w:r>
        <w:rPr>
          <w:spacing w:val="-10"/>
          <w:sz w:val="18"/>
        </w:rPr>
        <w:t xml:space="preserve"> </w:t>
      </w:r>
      <w:r>
        <w:rPr>
          <w:spacing w:val="-4"/>
          <w:sz w:val="18"/>
        </w:rPr>
        <w:t>that</w:t>
      </w:r>
      <w:r>
        <w:rPr>
          <w:sz w:val="18"/>
        </w:rPr>
        <w:tab/>
        <w:t>on</w:t>
      </w:r>
      <w:r>
        <w:rPr>
          <w:spacing w:val="-9"/>
          <w:sz w:val="18"/>
        </w:rPr>
        <w:t xml:space="preserve"> </w:t>
      </w:r>
      <w:r>
        <w:rPr>
          <w:sz w:val="18"/>
        </w:rPr>
        <w:t>the</w:t>
      </w:r>
      <w:r>
        <w:rPr>
          <w:spacing w:val="-5"/>
          <w:sz w:val="18"/>
        </w:rPr>
        <w:t xml:space="preserve"> </w:t>
      </w:r>
      <w:r>
        <w:rPr>
          <w:sz w:val="18"/>
        </w:rPr>
        <w:t>domestic</w:t>
      </w:r>
      <w:r>
        <w:rPr>
          <w:spacing w:val="-9"/>
          <w:sz w:val="18"/>
        </w:rPr>
        <w:t xml:space="preserve"> </w:t>
      </w:r>
      <w:r>
        <w:rPr>
          <w:sz w:val="18"/>
        </w:rPr>
        <w:t>market</w:t>
      </w:r>
      <w:r>
        <w:rPr>
          <w:spacing w:val="-8"/>
          <w:sz w:val="18"/>
        </w:rPr>
        <w:t xml:space="preserve"> </w:t>
      </w:r>
      <w:r>
        <w:rPr>
          <w:sz w:val="18"/>
        </w:rPr>
        <w:t>and</w:t>
      </w:r>
      <w:r>
        <w:rPr>
          <w:spacing w:val="-5"/>
          <w:sz w:val="18"/>
        </w:rPr>
        <w:t xml:space="preserve"> </w:t>
      </w:r>
      <w:r>
        <w:rPr>
          <w:spacing w:val="-4"/>
          <w:sz w:val="18"/>
        </w:rPr>
        <w:t>only</w:t>
      </w:r>
    </w:p>
    <w:p w14:paraId="5FC2A248" w14:textId="797E8D8F" w:rsidR="00BD462C" w:rsidRDefault="00D70C7D">
      <w:pPr>
        <w:tabs>
          <w:tab w:val="left" w:pos="3918"/>
        </w:tabs>
        <w:spacing w:before="1"/>
        <w:ind w:left="1182"/>
        <w:rPr>
          <w:sz w:val="18"/>
        </w:rPr>
      </w:pPr>
      <w:r>
        <w:rPr>
          <w:noProof/>
        </w:rPr>
        <mc:AlternateContent>
          <mc:Choice Requires="wps">
            <w:drawing>
              <wp:anchor distT="0" distB="0" distL="114300" distR="114300" simplePos="0" relativeHeight="15758848" behindDoc="0" locked="0" layoutInCell="1" allowOverlap="1" wp14:anchorId="6EBDFBDC" wp14:editId="7B2C0A09">
                <wp:simplePos x="0" y="0"/>
                <wp:positionH relativeFrom="page">
                  <wp:posOffset>899160</wp:posOffset>
                </wp:positionH>
                <wp:positionV relativeFrom="paragraph">
                  <wp:posOffset>0</wp:posOffset>
                </wp:positionV>
                <wp:extent cx="664210" cy="140335"/>
                <wp:effectExtent l="0" t="0" r="0" b="0"/>
                <wp:wrapNone/>
                <wp:docPr id="1296" name="docshape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210" cy="140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C20EE0" id="docshape68" o:spid="_x0000_s1026" alt="&quot;&quot;" style="position:absolute;margin-left:70.8pt;margin-top:0;width:52.3pt;height:11.05pt;z-index:1575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" fillcolor="black" stroked="f">
                <w10:wrap anchorx="page"/>
              </v:rect>
            </w:pict>
          </mc:Fallback>
        </mc:AlternateContent>
      </w:r>
      <w:r w:rsidR="00033D0F">
        <w:rPr>
          <w:sz w:val="18"/>
        </w:rPr>
        <w:t>,</w:t>
      </w:r>
      <w:r w:rsidR="00033D0F">
        <w:rPr>
          <w:spacing w:val="-4"/>
          <w:sz w:val="18"/>
        </w:rPr>
        <w:t xml:space="preserve"> </w:t>
      </w:r>
      <w:r w:rsidR="00033D0F">
        <w:rPr>
          <w:sz w:val="18"/>
        </w:rPr>
        <w:t>resulting</w:t>
      </w:r>
      <w:r w:rsidR="00033D0F">
        <w:rPr>
          <w:spacing w:val="-6"/>
          <w:sz w:val="18"/>
        </w:rPr>
        <w:t xml:space="preserve"> </w:t>
      </w:r>
      <w:r w:rsidR="00033D0F">
        <w:rPr>
          <w:spacing w:val="-5"/>
          <w:sz w:val="18"/>
        </w:rPr>
        <w:t>in</w:t>
      </w:r>
      <w:r w:rsidR="00033D0F">
        <w:rPr>
          <w:sz w:val="18"/>
        </w:rPr>
        <w:tab/>
        <w:t>See</w:t>
      </w:r>
      <w:r w:rsidR="00033D0F">
        <w:rPr>
          <w:spacing w:val="-8"/>
          <w:sz w:val="18"/>
        </w:rPr>
        <w:t xml:space="preserve"> </w:t>
      </w:r>
      <w:r w:rsidR="00033D0F">
        <w:rPr>
          <w:sz w:val="18"/>
        </w:rPr>
        <w:t>China's</w:t>
      </w:r>
      <w:r w:rsidR="00033D0F">
        <w:rPr>
          <w:spacing w:val="-11"/>
          <w:sz w:val="18"/>
        </w:rPr>
        <w:t xml:space="preserve"> </w:t>
      </w:r>
      <w:r w:rsidR="00033D0F">
        <w:rPr>
          <w:sz w:val="18"/>
        </w:rPr>
        <w:t>first</w:t>
      </w:r>
      <w:r w:rsidR="00033D0F">
        <w:rPr>
          <w:spacing w:val="-5"/>
          <w:sz w:val="18"/>
        </w:rPr>
        <w:t xml:space="preserve"> </w:t>
      </w:r>
      <w:r w:rsidR="00033D0F">
        <w:rPr>
          <w:sz w:val="18"/>
        </w:rPr>
        <w:t>written</w:t>
      </w:r>
      <w:r w:rsidR="00033D0F">
        <w:rPr>
          <w:spacing w:val="-8"/>
          <w:sz w:val="18"/>
        </w:rPr>
        <w:t xml:space="preserve"> </w:t>
      </w:r>
      <w:r w:rsidR="00033D0F">
        <w:rPr>
          <w:sz w:val="18"/>
        </w:rPr>
        <w:t>submission,</w:t>
      </w:r>
      <w:r w:rsidR="00033D0F">
        <w:rPr>
          <w:spacing w:val="-9"/>
          <w:sz w:val="18"/>
        </w:rPr>
        <w:t xml:space="preserve"> </w:t>
      </w:r>
      <w:r w:rsidR="00033D0F">
        <w:rPr>
          <w:sz w:val="18"/>
        </w:rPr>
        <w:t>paras.</w:t>
      </w:r>
      <w:r w:rsidR="00033D0F">
        <w:rPr>
          <w:spacing w:val="-5"/>
          <w:sz w:val="18"/>
        </w:rPr>
        <w:t xml:space="preserve"> </w:t>
      </w:r>
      <w:r w:rsidR="00033D0F">
        <w:rPr>
          <w:sz w:val="18"/>
        </w:rPr>
        <w:t>402-403.</w:t>
      </w:r>
      <w:r w:rsidR="00033D0F">
        <w:rPr>
          <w:spacing w:val="-6"/>
          <w:sz w:val="18"/>
        </w:rPr>
        <w:t xml:space="preserve"> </w:t>
      </w:r>
      <w:r w:rsidR="00033D0F">
        <w:rPr>
          <w:sz w:val="18"/>
        </w:rPr>
        <w:t>China</w:t>
      </w:r>
      <w:r w:rsidR="00033D0F">
        <w:rPr>
          <w:spacing w:val="-8"/>
          <w:sz w:val="18"/>
        </w:rPr>
        <w:t xml:space="preserve"> </w:t>
      </w:r>
      <w:r w:rsidR="00033D0F">
        <w:rPr>
          <w:sz w:val="18"/>
        </w:rPr>
        <w:t>argues</w:t>
      </w:r>
      <w:r w:rsidR="00033D0F">
        <w:rPr>
          <w:spacing w:val="-10"/>
          <w:sz w:val="18"/>
        </w:rPr>
        <w:t xml:space="preserve"> </w:t>
      </w:r>
      <w:r w:rsidR="00033D0F">
        <w:rPr>
          <w:sz w:val="18"/>
        </w:rPr>
        <w:t>that</w:t>
      </w:r>
      <w:r w:rsidR="00033D0F">
        <w:rPr>
          <w:spacing w:val="-6"/>
          <w:sz w:val="18"/>
        </w:rPr>
        <w:t xml:space="preserve"> </w:t>
      </w:r>
      <w:r w:rsidR="00033D0F">
        <w:rPr>
          <w:spacing w:val="-5"/>
          <w:sz w:val="18"/>
        </w:rPr>
        <w:t>at</w:t>
      </w:r>
    </w:p>
    <w:p w14:paraId="48D89B4B" w14:textId="525238BB" w:rsidR="00BD462C" w:rsidRDefault="00D70C7D">
      <w:pPr>
        <w:tabs>
          <w:tab w:val="left" w:pos="1542"/>
        </w:tabs>
        <w:spacing w:line="216" w:lineRule="exact"/>
        <w:ind w:left="135"/>
        <w:rPr>
          <w:sz w:val="18"/>
        </w:rPr>
      </w:pPr>
      <w:r>
        <w:rPr>
          <w:noProof/>
        </w:rPr>
        <mc:AlternateContent>
          <mc:Choice Requires="wps">
            <w:drawing>
              <wp:anchor distT="0" distB="0" distL="114300" distR="114300" simplePos="0" relativeHeight="478920704" behindDoc="1" locked="0" layoutInCell="1" allowOverlap="1" wp14:anchorId="097424CE" wp14:editId="6389F819">
                <wp:simplePos x="0" y="0"/>
                <wp:positionH relativeFrom="page">
                  <wp:posOffset>1149350</wp:posOffset>
                </wp:positionH>
                <wp:positionV relativeFrom="paragraph">
                  <wp:posOffset>0</wp:posOffset>
                </wp:positionV>
                <wp:extent cx="615950" cy="137160"/>
                <wp:effectExtent l="0" t="0" r="0" b="0"/>
                <wp:wrapNone/>
                <wp:docPr id="1294" name="docshape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137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EBB80F" w14:textId="7D38A596" w:rsidR="00BD462C" w:rsidRDefault="00BD462C">
                            <w:pPr>
                              <w:spacing w:line="216" w:lineRule="exact"/>
                              <w:ind w:right="1"/>
                              <w:jc w:val="right"/>
                              <w:rPr>
                                <w:color w:val="000000"/>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424CE" id="docshape69" o:spid="_x0000_s1030" type="#_x0000_t202" alt="&quot;&quot;" style="position:absolute;left:0;text-align:left;margin-left:90.5pt;margin-top:0;width:48.5pt;height:10.8pt;z-index:-2439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" fillcolor="black" stroked="f">
                <v:textbox inset="0,0,0,0">
                  <w:txbxContent>
                    <w:p w14:paraId="39EBB80F" w14:textId="7D38A596" w:rsidR="00BD462C" w:rsidRDefault="00BD462C">
                      <w:pPr>
                        <w:spacing w:line="216" w:lineRule="exact"/>
                        <w:ind w:right="1"/>
                        <w:jc w:val="right"/>
                        <w:rPr>
                          <w:color w:val="000000"/>
                          <w:sz w:val="18"/>
                        </w:rPr>
                      </w:pPr>
                    </w:p>
                  </w:txbxContent>
                </v:textbox>
                <w10:wrap anchorx="page"/>
              </v:shape>
            </w:pict>
          </mc:Fallback>
        </mc:AlternateContent>
      </w:r>
      <w:r w:rsidR="00033D0F">
        <w:rPr>
          <w:spacing w:val="-2"/>
          <w:sz w:val="18"/>
        </w:rPr>
        <w:t>least</w:t>
      </w:r>
      <w:r w:rsidR="00033D0F">
        <w:rPr>
          <w:sz w:val="18"/>
        </w:rPr>
        <w:tab/>
        <w:t>were</w:t>
      </w:r>
      <w:r w:rsidR="00033D0F">
        <w:rPr>
          <w:spacing w:val="-1"/>
          <w:sz w:val="18"/>
        </w:rPr>
        <w:t xml:space="preserve"> </w:t>
      </w:r>
      <w:r w:rsidR="00033D0F">
        <w:rPr>
          <w:sz w:val="18"/>
        </w:rPr>
        <w:t>not reported.</w:t>
      </w:r>
      <w:r w:rsidR="00033D0F">
        <w:rPr>
          <w:spacing w:val="-4"/>
          <w:sz w:val="18"/>
        </w:rPr>
        <w:t xml:space="preserve"> </w:t>
      </w:r>
      <w:r w:rsidR="00033D0F">
        <w:rPr>
          <w:sz w:val="18"/>
        </w:rPr>
        <w:t>(China's first written</w:t>
      </w:r>
      <w:r w:rsidR="00033D0F">
        <w:rPr>
          <w:spacing w:val="-1"/>
          <w:sz w:val="18"/>
        </w:rPr>
        <w:t xml:space="preserve"> </w:t>
      </w:r>
      <w:r w:rsidR="00033D0F">
        <w:rPr>
          <w:sz w:val="18"/>
        </w:rPr>
        <w:t>submission,</w:t>
      </w:r>
      <w:r w:rsidR="00033D0F">
        <w:rPr>
          <w:spacing w:val="1"/>
          <w:sz w:val="18"/>
        </w:rPr>
        <w:t xml:space="preserve"> </w:t>
      </w:r>
      <w:r w:rsidR="00033D0F">
        <w:rPr>
          <w:sz w:val="18"/>
        </w:rPr>
        <w:t>para.</w:t>
      </w:r>
      <w:r w:rsidR="00033D0F">
        <w:rPr>
          <w:spacing w:val="6"/>
          <w:sz w:val="18"/>
        </w:rPr>
        <w:t xml:space="preserve"> </w:t>
      </w:r>
      <w:r w:rsidR="00033D0F">
        <w:rPr>
          <w:sz w:val="18"/>
        </w:rPr>
        <w:t>445).</w:t>
      </w:r>
      <w:r w:rsidR="00033D0F">
        <w:rPr>
          <w:spacing w:val="-4"/>
          <w:sz w:val="18"/>
        </w:rPr>
        <w:t xml:space="preserve"> </w:t>
      </w:r>
      <w:r w:rsidR="00033D0F">
        <w:rPr>
          <w:sz w:val="18"/>
        </w:rPr>
        <w:t>The</w:t>
      </w:r>
      <w:r w:rsidR="00033D0F">
        <w:rPr>
          <w:spacing w:val="-1"/>
          <w:sz w:val="18"/>
        </w:rPr>
        <w:t xml:space="preserve"> </w:t>
      </w:r>
      <w:r w:rsidR="00033D0F">
        <w:rPr>
          <w:sz w:val="18"/>
        </w:rPr>
        <w:t>difference in</w:t>
      </w:r>
      <w:r w:rsidR="00033D0F">
        <w:rPr>
          <w:spacing w:val="-1"/>
          <w:sz w:val="18"/>
        </w:rPr>
        <w:t xml:space="preserve"> </w:t>
      </w:r>
      <w:r w:rsidR="00033D0F">
        <w:rPr>
          <w:sz w:val="18"/>
        </w:rPr>
        <w:t xml:space="preserve">figures is not </w:t>
      </w:r>
      <w:r w:rsidR="00033D0F">
        <w:rPr>
          <w:spacing w:val="-2"/>
          <w:sz w:val="18"/>
        </w:rPr>
        <w:t>material,</w:t>
      </w:r>
    </w:p>
    <w:p w14:paraId="38CA5EBE" w14:textId="77777777" w:rsidR="00BD462C" w:rsidRDefault="00033D0F">
      <w:pPr>
        <w:spacing w:before="1"/>
        <w:ind w:left="135" w:right="923"/>
        <w:rPr>
          <w:sz w:val="18"/>
        </w:rPr>
      </w:pPr>
      <w:r>
        <w:rPr>
          <w:sz w:val="18"/>
        </w:rPr>
        <w:t>as in</w:t>
      </w:r>
      <w:r>
        <w:rPr>
          <w:spacing w:val="-4"/>
          <w:sz w:val="18"/>
        </w:rPr>
        <w:t xml:space="preserve"> </w:t>
      </w:r>
      <w:r>
        <w:rPr>
          <w:sz w:val="18"/>
        </w:rPr>
        <w:t>Australia's submission, it was</w:t>
      </w:r>
      <w:r>
        <w:rPr>
          <w:spacing w:val="-3"/>
          <w:sz w:val="18"/>
        </w:rPr>
        <w:t xml:space="preserve"> </w:t>
      </w:r>
      <w:r>
        <w:rPr>
          <w:sz w:val="18"/>
        </w:rPr>
        <w:t>reasonable</w:t>
      </w:r>
      <w:r>
        <w:rPr>
          <w:spacing w:val="-3"/>
          <w:sz w:val="18"/>
        </w:rPr>
        <w:t xml:space="preserve"> </w:t>
      </w:r>
      <w:r>
        <w:rPr>
          <w:sz w:val="18"/>
        </w:rPr>
        <w:t>for</w:t>
      </w:r>
      <w:r>
        <w:rPr>
          <w:spacing w:val="-5"/>
          <w:sz w:val="18"/>
        </w:rPr>
        <w:t xml:space="preserve"> </w:t>
      </w:r>
      <w:r>
        <w:rPr>
          <w:sz w:val="18"/>
        </w:rPr>
        <w:t>Treasury Wines</w:t>
      </w:r>
      <w:r>
        <w:rPr>
          <w:spacing w:val="-3"/>
          <w:sz w:val="18"/>
        </w:rPr>
        <w:t xml:space="preserve"> </w:t>
      </w:r>
      <w:r>
        <w:rPr>
          <w:sz w:val="18"/>
        </w:rPr>
        <w:t>to interpret</w:t>
      </w:r>
      <w:r>
        <w:rPr>
          <w:spacing w:val="-2"/>
          <w:sz w:val="18"/>
        </w:rPr>
        <w:t xml:space="preserve"> </w:t>
      </w:r>
      <w:r>
        <w:rPr>
          <w:sz w:val="18"/>
        </w:rPr>
        <w:t>the</w:t>
      </w:r>
      <w:r>
        <w:rPr>
          <w:spacing w:val="-3"/>
          <w:sz w:val="18"/>
        </w:rPr>
        <w:t xml:space="preserve"> </w:t>
      </w:r>
      <w:r>
        <w:rPr>
          <w:sz w:val="18"/>
        </w:rPr>
        <w:t>questionnaire and respond in the manner it</w:t>
      </w:r>
      <w:r>
        <w:rPr>
          <w:spacing w:val="-2"/>
          <w:sz w:val="18"/>
        </w:rPr>
        <w:t xml:space="preserve"> </w:t>
      </w:r>
      <w:r>
        <w:rPr>
          <w:sz w:val="18"/>
        </w:rPr>
        <w:t>did.</w:t>
      </w:r>
    </w:p>
    <w:p w14:paraId="46A17856" w14:textId="77777777" w:rsidR="00BD462C" w:rsidRDefault="00033D0F">
      <w:pPr>
        <w:spacing w:before="2"/>
        <w:ind w:left="135"/>
        <w:rPr>
          <w:sz w:val="18"/>
        </w:rPr>
      </w:pPr>
      <w:bookmarkStart w:id="283" w:name="_bookmark247"/>
      <w:bookmarkEnd w:id="283"/>
      <w:r>
        <w:rPr>
          <w:position w:val="5"/>
          <w:sz w:val="12"/>
        </w:rPr>
        <w:t>189</w:t>
      </w:r>
      <w:r>
        <w:rPr>
          <w:spacing w:val="12"/>
          <w:position w:val="5"/>
          <w:sz w:val="12"/>
        </w:rPr>
        <w:t xml:space="preserve"> </w:t>
      </w:r>
      <w:r>
        <w:rPr>
          <w:sz w:val="18"/>
        </w:rPr>
        <w:t>China's</w:t>
      </w:r>
      <w:r>
        <w:rPr>
          <w:spacing w:val="-6"/>
          <w:sz w:val="18"/>
        </w:rPr>
        <w:t xml:space="preserve"> </w:t>
      </w:r>
      <w:r>
        <w:rPr>
          <w:sz w:val="18"/>
        </w:rPr>
        <w:t>first</w:t>
      </w:r>
      <w:r>
        <w:rPr>
          <w:spacing w:val="-5"/>
          <w:sz w:val="18"/>
        </w:rPr>
        <w:t xml:space="preserve"> </w:t>
      </w:r>
      <w:r>
        <w:rPr>
          <w:sz w:val="18"/>
        </w:rPr>
        <w:t>written</w:t>
      </w:r>
      <w:r>
        <w:rPr>
          <w:spacing w:val="-7"/>
          <w:sz w:val="18"/>
        </w:rPr>
        <w:t xml:space="preserve"> </w:t>
      </w:r>
      <w:r>
        <w:rPr>
          <w:sz w:val="18"/>
        </w:rPr>
        <w:t>submission, paras.</w:t>
      </w:r>
      <w:r>
        <w:rPr>
          <w:spacing w:val="-5"/>
          <w:sz w:val="18"/>
        </w:rPr>
        <w:t xml:space="preserve"> </w:t>
      </w:r>
      <w:r>
        <w:rPr>
          <w:sz w:val="18"/>
        </w:rPr>
        <w:t>274-276.</w:t>
      </w:r>
      <w:r>
        <w:rPr>
          <w:spacing w:val="-5"/>
          <w:sz w:val="18"/>
        </w:rPr>
        <w:t xml:space="preserve"> </w:t>
      </w:r>
      <w:r>
        <w:rPr>
          <w:sz w:val="18"/>
        </w:rPr>
        <w:t>(</w:t>
      </w:r>
      <w:proofErr w:type="gramStart"/>
      <w:r>
        <w:rPr>
          <w:sz w:val="18"/>
        </w:rPr>
        <w:t>emphasis</w:t>
      </w:r>
      <w:proofErr w:type="gramEnd"/>
      <w:r>
        <w:rPr>
          <w:spacing w:val="-6"/>
          <w:sz w:val="18"/>
        </w:rPr>
        <w:t xml:space="preserve"> </w:t>
      </w:r>
      <w:r>
        <w:rPr>
          <w:spacing w:val="-2"/>
          <w:sz w:val="18"/>
        </w:rPr>
        <w:t>added)</w:t>
      </w:r>
    </w:p>
    <w:p w14:paraId="3B9268DD" w14:textId="77777777" w:rsidR="00BD462C" w:rsidRDefault="00033D0F">
      <w:pPr>
        <w:spacing w:before="1"/>
        <w:ind w:left="135"/>
        <w:rPr>
          <w:sz w:val="18"/>
        </w:rPr>
      </w:pPr>
      <w:bookmarkStart w:id="284" w:name="_bookmark248"/>
      <w:bookmarkEnd w:id="284"/>
      <w:r>
        <w:rPr>
          <w:position w:val="5"/>
          <w:sz w:val="12"/>
        </w:rPr>
        <w:t>190</w:t>
      </w:r>
      <w:r>
        <w:rPr>
          <w:spacing w:val="14"/>
          <w:position w:val="5"/>
          <w:sz w:val="12"/>
        </w:rPr>
        <w:t xml:space="preserve"> </w:t>
      </w:r>
      <w:r>
        <w:rPr>
          <w:sz w:val="18"/>
        </w:rPr>
        <w:t>China's</w:t>
      </w:r>
      <w:r>
        <w:rPr>
          <w:spacing w:val="1"/>
          <w:sz w:val="18"/>
        </w:rPr>
        <w:t xml:space="preserve"> </w:t>
      </w:r>
      <w:r>
        <w:rPr>
          <w:sz w:val="18"/>
        </w:rPr>
        <w:t>opening</w:t>
      </w:r>
      <w:r>
        <w:rPr>
          <w:spacing w:val="-5"/>
          <w:sz w:val="18"/>
        </w:rPr>
        <w:t xml:space="preserve"> </w:t>
      </w:r>
      <w:r>
        <w:rPr>
          <w:sz w:val="18"/>
        </w:rPr>
        <w:t>statement</w:t>
      </w:r>
      <w:r>
        <w:rPr>
          <w:spacing w:val="1"/>
          <w:sz w:val="18"/>
        </w:rPr>
        <w:t xml:space="preserve"> </w:t>
      </w:r>
      <w:r>
        <w:rPr>
          <w:sz w:val="18"/>
        </w:rPr>
        <w:t>at</w:t>
      </w:r>
      <w:r>
        <w:rPr>
          <w:spacing w:val="-3"/>
          <w:sz w:val="18"/>
        </w:rPr>
        <w:t xml:space="preserve"> </w:t>
      </w:r>
      <w:r>
        <w:rPr>
          <w:sz w:val="18"/>
        </w:rPr>
        <w:t>the</w:t>
      </w:r>
      <w:r>
        <w:rPr>
          <w:spacing w:val="-4"/>
          <w:sz w:val="18"/>
        </w:rPr>
        <w:t xml:space="preserve"> </w:t>
      </w:r>
      <w:r>
        <w:rPr>
          <w:sz w:val="18"/>
        </w:rPr>
        <w:t>first</w:t>
      </w:r>
      <w:r>
        <w:rPr>
          <w:spacing w:val="-4"/>
          <w:sz w:val="18"/>
        </w:rPr>
        <w:t xml:space="preserve"> </w:t>
      </w:r>
      <w:r>
        <w:rPr>
          <w:sz w:val="18"/>
        </w:rPr>
        <w:t>meeting</w:t>
      </w:r>
      <w:r>
        <w:rPr>
          <w:spacing w:val="-4"/>
          <w:sz w:val="18"/>
        </w:rPr>
        <w:t xml:space="preserve"> </w:t>
      </w:r>
      <w:r>
        <w:rPr>
          <w:sz w:val="18"/>
        </w:rPr>
        <w:t>of</w:t>
      </w:r>
      <w:r>
        <w:rPr>
          <w:spacing w:val="-3"/>
          <w:sz w:val="18"/>
        </w:rPr>
        <w:t xml:space="preserve"> </w:t>
      </w:r>
      <w:r>
        <w:rPr>
          <w:sz w:val="18"/>
        </w:rPr>
        <w:t>the</w:t>
      </w:r>
      <w:r>
        <w:rPr>
          <w:spacing w:val="-4"/>
          <w:sz w:val="18"/>
        </w:rPr>
        <w:t xml:space="preserve"> </w:t>
      </w:r>
      <w:r>
        <w:rPr>
          <w:sz w:val="18"/>
        </w:rPr>
        <w:t>Panel,</w:t>
      </w:r>
      <w:r>
        <w:rPr>
          <w:spacing w:val="-2"/>
          <w:sz w:val="18"/>
        </w:rPr>
        <w:t xml:space="preserve"> </w:t>
      </w:r>
      <w:r>
        <w:rPr>
          <w:sz w:val="18"/>
        </w:rPr>
        <w:t>para.</w:t>
      </w:r>
      <w:r>
        <w:rPr>
          <w:spacing w:val="-8"/>
          <w:sz w:val="18"/>
        </w:rPr>
        <w:t xml:space="preserve"> </w:t>
      </w:r>
      <w:r>
        <w:rPr>
          <w:sz w:val="18"/>
        </w:rPr>
        <w:t>43.</w:t>
      </w:r>
      <w:r>
        <w:rPr>
          <w:spacing w:val="-4"/>
          <w:sz w:val="18"/>
        </w:rPr>
        <w:t xml:space="preserve"> </w:t>
      </w:r>
      <w:r>
        <w:rPr>
          <w:sz w:val="18"/>
        </w:rPr>
        <w:t>(emphasis</w:t>
      </w:r>
      <w:r>
        <w:rPr>
          <w:spacing w:val="1"/>
          <w:sz w:val="18"/>
        </w:rPr>
        <w:t xml:space="preserve"> </w:t>
      </w:r>
      <w:r>
        <w:rPr>
          <w:spacing w:val="-2"/>
          <w:sz w:val="18"/>
        </w:rPr>
        <w:t>added)</w:t>
      </w:r>
    </w:p>
    <w:p w14:paraId="7ACDB628" w14:textId="77777777" w:rsidR="00BD462C" w:rsidRDefault="00BD462C">
      <w:pPr>
        <w:rPr>
          <w:sz w:val="18"/>
        </w:rPr>
        <w:sectPr w:rsidR="00BD462C">
          <w:pgSz w:w="11910" w:h="16840"/>
          <w:pgMar w:top="860" w:right="500" w:bottom="780" w:left="1280" w:header="566" w:footer="590" w:gutter="0"/>
          <w:cols w:space="720"/>
        </w:sectPr>
      </w:pPr>
    </w:p>
    <w:p w14:paraId="40D20E7F"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5583029D"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1E083121"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3B518EA3" w14:textId="5C5C138E" w:rsidR="00BD462C" w:rsidRDefault="00D70C7D" w:rsidP="00087BDF">
      <w:pPr>
        <w:pStyle w:val="BodyText"/>
        <w:numPr>
          <w:ilvl w:val="0"/>
          <w:numId w:val="69"/>
        </w:numPr>
        <w:spacing w:before="107" w:line="357" w:lineRule="auto"/>
        <w:ind w:right="914"/>
        <w:jc w:val="both"/>
      </w:pPr>
      <w:r>
        <w:rPr>
          <w:noProof/>
        </w:rPr>
        <mc:AlternateContent>
          <mc:Choice Requires="wps">
            <w:drawing>
              <wp:anchor distT="0" distB="0" distL="114300" distR="114300" simplePos="0" relativeHeight="478922752" behindDoc="1" locked="0" layoutInCell="1" allowOverlap="1" wp14:anchorId="47B4AC4E" wp14:editId="3EFFC899">
                <wp:simplePos x="0" y="0"/>
                <wp:positionH relativeFrom="page">
                  <wp:posOffset>4666615</wp:posOffset>
                </wp:positionH>
                <wp:positionV relativeFrom="paragraph">
                  <wp:posOffset>621665</wp:posOffset>
                </wp:positionV>
                <wp:extent cx="1993265" cy="186055"/>
                <wp:effectExtent l="0" t="0" r="0" b="0"/>
                <wp:wrapNone/>
                <wp:docPr id="1292" name="docshape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26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B8F5B7" id="docshape70" o:spid="_x0000_s1026" alt="&quot;&quot;" style="position:absolute;margin-left:367.45pt;margin-top:48.95pt;width:156.95pt;height:14.65pt;z-index:-2439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" fillcolor="black" stroked="f">
                <w10:wrap anchorx="page"/>
              </v:rect>
            </w:pict>
          </mc:Fallback>
        </mc:AlternateContent>
      </w:r>
      <w:r w:rsidR="00033D0F">
        <w:rPr>
          <w:position w:val="1"/>
        </w:rPr>
        <w:t xml:space="preserve">China is simply wrong about the wording of the questionnaire. Forms 6-3 and 6-4 </w:t>
      </w:r>
      <w:r w:rsidR="00033D0F">
        <w:t xml:space="preserve">requested "costs and expenses related to the production and sales </w:t>
      </w:r>
      <w:r w:rsidR="00033D0F">
        <w:rPr>
          <w:i/>
        </w:rPr>
        <w:t>of the product under investigation</w:t>
      </w:r>
      <w:r w:rsidR="00033D0F">
        <w:rPr>
          <w:i/>
          <w:spacing w:val="40"/>
        </w:rPr>
        <w:t xml:space="preserve"> </w:t>
      </w:r>
      <w:r w:rsidR="00033D0F">
        <w:t>and</w:t>
      </w:r>
      <w:r w:rsidR="00033D0F">
        <w:rPr>
          <w:spacing w:val="40"/>
        </w:rPr>
        <w:t xml:space="preserve"> </w:t>
      </w:r>
      <w:proofErr w:type="spellStart"/>
      <w:r w:rsidR="00033D0F">
        <w:t>its</w:t>
      </w:r>
      <w:proofErr w:type="spellEnd"/>
      <w:r w:rsidR="00033D0F">
        <w:rPr>
          <w:spacing w:val="40"/>
        </w:rPr>
        <w:t xml:space="preserve"> </w:t>
      </w:r>
      <w:r w:rsidR="00033D0F">
        <w:rPr>
          <w:i/>
        </w:rPr>
        <w:t>like</w:t>
      </w:r>
      <w:r w:rsidR="00033D0F">
        <w:rPr>
          <w:i/>
          <w:spacing w:val="40"/>
        </w:rPr>
        <w:t xml:space="preserve"> </w:t>
      </w:r>
      <w:r w:rsidR="00033D0F">
        <w:t>product".</w:t>
      </w:r>
      <w:r w:rsidR="00033D0F">
        <w:rPr>
          <w:spacing w:val="-30"/>
        </w:rPr>
        <w:t xml:space="preserve"> </w:t>
      </w:r>
      <w:hyperlink w:anchor="_bookmark249" w:history="1">
        <w:r w:rsidR="00033D0F">
          <w:rPr>
            <w:vertAlign w:val="superscript"/>
          </w:rPr>
          <w:t>191</w:t>
        </w:r>
      </w:hyperlink>
      <w:r w:rsidR="00033D0F">
        <w:rPr>
          <w:spacing w:val="40"/>
        </w:rPr>
        <w:t xml:space="preserve"> </w:t>
      </w:r>
      <w:r w:rsidR="00033D0F">
        <w:t>The</w:t>
      </w:r>
      <w:r w:rsidR="00033D0F">
        <w:rPr>
          <w:spacing w:val="40"/>
        </w:rPr>
        <w:t xml:space="preserve"> </w:t>
      </w:r>
      <w:r w:rsidR="00033D0F">
        <w:t>questionnaire</w:t>
      </w:r>
    </w:p>
    <w:p w14:paraId="42D9E047" w14:textId="77777777" w:rsidR="00BD462C" w:rsidRDefault="00033D0F">
      <w:pPr>
        <w:pStyle w:val="BodyText"/>
        <w:spacing w:before="1" w:line="360" w:lineRule="auto"/>
        <w:ind w:left="136" w:right="913"/>
        <w:jc w:val="both"/>
      </w:pPr>
      <w:r>
        <w:t>requests information</w:t>
      </w:r>
      <w:r>
        <w:rPr>
          <w:spacing w:val="-2"/>
        </w:rPr>
        <w:t xml:space="preserve"> </w:t>
      </w:r>
      <w:r>
        <w:t>"about the product under</w:t>
      </w:r>
      <w:r>
        <w:rPr>
          <w:spacing w:val="-2"/>
        </w:rPr>
        <w:t xml:space="preserve"> </w:t>
      </w:r>
      <w:r>
        <w:t>investigation</w:t>
      </w:r>
      <w:r>
        <w:rPr>
          <w:spacing w:val="-2"/>
        </w:rPr>
        <w:t xml:space="preserve"> </w:t>
      </w:r>
      <w:r>
        <w:rPr>
          <w:i/>
        </w:rPr>
        <w:t>exported</w:t>
      </w:r>
      <w:r>
        <w:rPr>
          <w:i/>
          <w:spacing w:val="-4"/>
        </w:rPr>
        <w:t xml:space="preserve"> </w:t>
      </w:r>
      <w:r>
        <w:rPr>
          <w:i/>
        </w:rPr>
        <w:t>to China</w:t>
      </w:r>
      <w:r>
        <w:t>, the</w:t>
      </w:r>
      <w:r>
        <w:rPr>
          <w:spacing w:val="-4"/>
        </w:rPr>
        <w:t xml:space="preserve"> </w:t>
      </w:r>
      <w:r>
        <w:t>identical or similar products ("like products") sold in the exporting country, and the like products exported to other countries (regions).</w:t>
      </w:r>
      <w:r>
        <w:rPr>
          <w:spacing w:val="-14"/>
        </w:rPr>
        <w:t xml:space="preserve"> </w:t>
      </w:r>
      <w:hyperlink w:anchor="_bookmark250" w:history="1">
        <w:r>
          <w:rPr>
            <w:vertAlign w:val="superscript"/>
          </w:rPr>
          <w:t>192</w:t>
        </w:r>
      </w:hyperlink>
      <w:r>
        <w:t xml:space="preserve"> MOFCOM classified what it asserted to be "like products" using PCNs. In its Final Determination, MOFCOM stated:</w:t>
      </w:r>
    </w:p>
    <w:p w14:paraId="3B7DCE33" w14:textId="77777777" w:rsidR="00BD462C" w:rsidRDefault="00033D0F">
      <w:pPr>
        <w:spacing w:before="162" w:line="276" w:lineRule="auto"/>
        <w:ind w:left="985" w:right="916"/>
        <w:jc w:val="both"/>
      </w:pPr>
      <w:r>
        <w:t>[T]he</w:t>
      </w:r>
      <w:r>
        <w:rPr>
          <w:spacing w:val="-8"/>
        </w:rPr>
        <w:t xml:space="preserve"> </w:t>
      </w:r>
      <w:r>
        <w:t>Investigating</w:t>
      </w:r>
      <w:r>
        <w:rPr>
          <w:spacing w:val="-12"/>
        </w:rPr>
        <w:t xml:space="preserve"> </w:t>
      </w:r>
      <w:r>
        <w:t>Authority</w:t>
      </w:r>
      <w:r>
        <w:rPr>
          <w:spacing w:val="-8"/>
        </w:rPr>
        <w:t xml:space="preserve"> </w:t>
      </w:r>
      <w:r>
        <w:t>concluded</w:t>
      </w:r>
      <w:r>
        <w:rPr>
          <w:spacing w:val="-10"/>
        </w:rPr>
        <w:t xml:space="preserve"> </w:t>
      </w:r>
      <w:r>
        <w:t>18[-digit]</w:t>
      </w:r>
      <w:r>
        <w:rPr>
          <w:spacing w:val="-9"/>
        </w:rPr>
        <w:t xml:space="preserve"> </w:t>
      </w:r>
      <w:r>
        <w:t>product</w:t>
      </w:r>
      <w:r>
        <w:rPr>
          <w:spacing w:val="-6"/>
        </w:rPr>
        <w:t xml:space="preserve"> </w:t>
      </w:r>
      <w:r>
        <w:t>control</w:t>
      </w:r>
      <w:r>
        <w:rPr>
          <w:spacing w:val="-7"/>
        </w:rPr>
        <w:t xml:space="preserve"> </w:t>
      </w:r>
      <w:r>
        <w:t>codes</w:t>
      </w:r>
      <w:r>
        <w:rPr>
          <w:spacing w:val="-9"/>
        </w:rPr>
        <w:t xml:space="preserve"> </w:t>
      </w:r>
      <w:r>
        <w:t>for</w:t>
      </w:r>
      <w:r>
        <w:rPr>
          <w:spacing w:val="-5"/>
        </w:rPr>
        <w:t xml:space="preserve"> </w:t>
      </w:r>
      <w:r>
        <w:t>the</w:t>
      </w:r>
      <w:r>
        <w:rPr>
          <w:spacing w:val="-8"/>
        </w:rPr>
        <w:t xml:space="preserve"> </w:t>
      </w:r>
      <w:r>
        <w:t xml:space="preserve">classification of the product under investigation and </w:t>
      </w:r>
      <w:proofErr w:type="spellStart"/>
      <w:r>
        <w:t>its</w:t>
      </w:r>
      <w:proofErr w:type="spellEnd"/>
      <w:r>
        <w:t xml:space="preserve"> like products based on eight major product features, including type, </w:t>
      </w:r>
      <w:proofErr w:type="spellStart"/>
      <w:r>
        <w:t>colour</w:t>
      </w:r>
      <w:proofErr w:type="spellEnd"/>
      <w:r>
        <w:t>, sugar level, specifications, variety, vintage, and large and small producing regions.</w:t>
      </w:r>
      <w:hyperlink w:anchor="_bookmark251" w:history="1">
        <w:r>
          <w:rPr>
            <w:vertAlign w:val="superscript"/>
          </w:rPr>
          <w:t>193</w:t>
        </w:r>
      </w:hyperlink>
    </w:p>
    <w:p w14:paraId="645C3C2A" w14:textId="77777777" w:rsidR="00BD462C" w:rsidRDefault="00BD462C">
      <w:pPr>
        <w:pStyle w:val="BodyText"/>
        <w:spacing w:before="4"/>
        <w:rPr>
          <w:sz w:val="15"/>
        </w:rPr>
      </w:pPr>
    </w:p>
    <w:p w14:paraId="417CF598" w14:textId="4728E02D" w:rsidR="00BD462C" w:rsidRDefault="00033D0F" w:rsidP="00087BDF">
      <w:pPr>
        <w:pStyle w:val="BodyText"/>
        <w:numPr>
          <w:ilvl w:val="0"/>
          <w:numId w:val="69"/>
        </w:numPr>
        <w:spacing w:before="56"/>
      </w:pPr>
      <w:r>
        <w:rPr>
          <w:position w:val="1"/>
        </w:rPr>
        <w:t>MOFCOM required that these PCNs be used in responding to the questionnaires.</w:t>
      </w:r>
    </w:p>
    <w:p w14:paraId="71E695FE" w14:textId="77777777" w:rsidR="00BD462C" w:rsidRDefault="00BD462C">
      <w:pPr>
        <w:pStyle w:val="BodyText"/>
        <w:spacing w:before="9"/>
      </w:pPr>
    </w:p>
    <w:p w14:paraId="36151FF2" w14:textId="77777777" w:rsidR="00BD462C" w:rsidRDefault="00033D0F">
      <w:pPr>
        <w:spacing w:line="276" w:lineRule="auto"/>
        <w:ind w:left="985" w:right="913"/>
        <w:jc w:val="both"/>
      </w:pPr>
      <w:r>
        <w:t>[T]he Investigating Authority distributed the Reply to Questions about the Product Control Codes</w:t>
      </w:r>
      <w:r>
        <w:rPr>
          <w:spacing w:val="-13"/>
        </w:rPr>
        <w:t xml:space="preserve"> </w:t>
      </w:r>
      <w:r>
        <w:t>of</w:t>
      </w:r>
      <w:r>
        <w:rPr>
          <w:spacing w:val="-12"/>
        </w:rPr>
        <w:t xml:space="preserve"> </w:t>
      </w:r>
      <w:r>
        <w:t>Relevant</w:t>
      </w:r>
      <w:r>
        <w:rPr>
          <w:spacing w:val="-13"/>
        </w:rPr>
        <w:t xml:space="preserve"> </w:t>
      </w:r>
      <w:r>
        <w:t>Products</w:t>
      </w:r>
      <w:r>
        <w:rPr>
          <w:spacing w:val="-12"/>
        </w:rPr>
        <w:t xml:space="preserve"> </w:t>
      </w:r>
      <w:r>
        <w:t>Involved</w:t>
      </w:r>
      <w:r>
        <w:rPr>
          <w:spacing w:val="-13"/>
        </w:rPr>
        <w:t xml:space="preserve"> </w:t>
      </w:r>
      <w:r>
        <w:t>in</w:t>
      </w:r>
      <w:r>
        <w:rPr>
          <w:spacing w:val="-12"/>
        </w:rPr>
        <w:t xml:space="preserve"> </w:t>
      </w:r>
      <w:r>
        <w:t>the</w:t>
      </w:r>
      <w:r>
        <w:rPr>
          <w:spacing w:val="-13"/>
        </w:rPr>
        <w:t xml:space="preserve"> </w:t>
      </w:r>
      <w:r>
        <w:t>Relevant</w:t>
      </w:r>
      <w:r>
        <w:rPr>
          <w:spacing w:val="-12"/>
        </w:rPr>
        <w:t xml:space="preserve"> </w:t>
      </w:r>
      <w:r>
        <w:t>Wines</w:t>
      </w:r>
      <w:r>
        <w:rPr>
          <w:spacing w:val="-12"/>
        </w:rPr>
        <w:t xml:space="preserve"> </w:t>
      </w:r>
      <w:r>
        <w:t>Anti-Dumping</w:t>
      </w:r>
      <w:r>
        <w:rPr>
          <w:spacing w:val="-13"/>
        </w:rPr>
        <w:t xml:space="preserve"> </w:t>
      </w:r>
      <w:r>
        <w:t>Case</w:t>
      </w:r>
      <w:r>
        <w:rPr>
          <w:spacing w:val="-12"/>
        </w:rPr>
        <w:t xml:space="preserve"> </w:t>
      </w:r>
      <w:r>
        <w:t>on</w:t>
      </w:r>
      <w:r>
        <w:rPr>
          <w:spacing w:val="-13"/>
        </w:rPr>
        <w:t xml:space="preserve"> </w:t>
      </w:r>
      <w:r>
        <w:t>29</w:t>
      </w:r>
      <w:r>
        <w:rPr>
          <w:spacing w:val="-12"/>
        </w:rPr>
        <w:t xml:space="preserve"> </w:t>
      </w:r>
      <w:r>
        <w:t>October 2020 and demanded that relevant stakeholders should fill in and submit the responses in strict</w:t>
      </w:r>
      <w:r>
        <w:rPr>
          <w:spacing w:val="-2"/>
        </w:rPr>
        <w:t xml:space="preserve"> </w:t>
      </w:r>
      <w:r>
        <w:t>accordance</w:t>
      </w:r>
      <w:r>
        <w:rPr>
          <w:spacing w:val="-1"/>
        </w:rPr>
        <w:t xml:space="preserve"> </w:t>
      </w:r>
      <w:r>
        <w:t>with</w:t>
      </w:r>
      <w:r>
        <w:rPr>
          <w:spacing w:val="-1"/>
        </w:rPr>
        <w:t xml:space="preserve"> </w:t>
      </w:r>
      <w:r>
        <w:t>product</w:t>
      </w:r>
      <w:r>
        <w:rPr>
          <w:spacing w:val="-2"/>
        </w:rPr>
        <w:t xml:space="preserve"> </w:t>
      </w:r>
      <w:r>
        <w:t>control numbers</w:t>
      </w:r>
      <w:r>
        <w:rPr>
          <w:spacing w:val="-1"/>
        </w:rPr>
        <w:t xml:space="preserve"> </w:t>
      </w:r>
      <w:r>
        <w:t>and</w:t>
      </w:r>
      <w:r>
        <w:rPr>
          <w:spacing w:val="-1"/>
        </w:rPr>
        <w:t xml:space="preserve"> </w:t>
      </w:r>
      <w:r>
        <w:t>questionnaire</w:t>
      </w:r>
      <w:r>
        <w:rPr>
          <w:spacing w:val="-1"/>
        </w:rPr>
        <w:t xml:space="preserve"> </w:t>
      </w:r>
      <w:r>
        <w:t>requirements</w:t>
      </w:r>
      <w:r>
        <w:rPr>
          <w:spacing w:val="-1"/>
        </w:rPr>
        <w:t xml:space="preserve"> </w:t>
      </w:r>
      <w:r>
        <w:t>developed by the Investigating Authority.</w:t>
      </w:r>
      <w:r>
        <w:rPr>
          <w:spacing w:val="-14"/>
        </w:rPr>
        <w:t xml:space="preserve"> </w:t>
      </w:r>
      <w:hyperlink w:anchor="_bookmark252" w:history="1">
        <w:r>
          <w:rPr>
            <w:vertAlign w:val="superscript"/>
          </w:rPr>
          <w:t>194</w:t>
        </w:r>
      </w:hyperlink>
    </w:p>
    <w:p w14:paraId="63774554" w14:textId="77777777" w:rsidR="00BD462C" w:rsidRDefault="00BD462C">
      <w:pPr>
        <w:pStyle w:val="BodyText"/>
        <w:spacing w:before="7"/>
        <w:rPr>
          <w:sz w:val="15"/>
        </w:rPr>
      </w:pPr>
    </w:p>
    <w:p w14:paraId="71AB8D1E" w14:textId="04F8E8AC" w:rsidR="00BD462C" w:rsidRDefault="00033D0F" w:rsidP="00087BDF">
      <w:pPr>
        <w:pStyle w:val="BodyText"/>
        <w:numPr>
          <w:ilvl w:val="0"/>
          <w:numId w:val="69"/>
        </w:numPr>
        <w:spacing w:before="56" w:line="357" w:lineRule="auto"/>
        <w:ind w:right="912"/>
        <w:jc w:val="both"/>
      </w:pPr>
      <w:r>
        <w:rPr>
          <w:position w:val="1"/>
        </w:rPr>
        <w:t>Thus, the explicit language of the questionnaire matched the domestic PCNs for</w:t>
      </w:r>
      <w:r>
        <w:rPr>
          <w:spacing w:val="80"/>
          <w:position w:val="1"/>
        </w:rPr>
        <w:t xml:space="preserve"> </w:t>
      </w:r>
      <w:r>
        <w:t>which cost of production was being sought to the exported PCNs. Interpreting the questionnaire in this way is consistent with the PCN-by-PCN methodology MOFCOM used</w:t>
      </w:r>
      <w:r>
        <w:rPr>
          <w:spacing w:val="-2"/>
        </w:rPr>
        <w:t xml:space="preserve"> </w:t>
      </w:r>
      <w:r>
        <w:t>to calculate dumping.</w:t>
      </w:r>
    </w:p>
    <w:p w14:paraId="5D519D6D" w14:textId="77777777" w:rsidR="00BD462C" w:rsidRDefault="00BD462C">
      <w:pPr>
        <w:pStyle w:val="BodyText"/>
        <w:spacing w:before="3"/>
        <w:rPr>
          <w:sz w:val="9"/>
        </w:rPr>
      </w:pPr>
    </w:p>
    <w:p w14:paraId="1F113D3C" w14:textId="21CA9E0B" w:rsidR="00BD462C" w:rsidRDefault="00D70C7D" w:rsidP="00087BDF">
      <w:pPr>
        <w:pStyle w:val="BodyText"/>
        <w:numPr>
          <w:ilvl w:val="0"/>
          <w:numId w:val="69"/>
        </w:numPr>
        <w:spacing w:before="56"/>
      </w:pPr>
      <w:r>
        <w:rPr>
          <w:noProof/>
        </w:rPr>
        <mc:AlternateContent>
          <mc:Choice Requires="wps">
            <w:drawing>
              <wp:anchor distT="0" distB="0" distL="114300" distR="114300" simplePos="0" relativeHeight="15761920" behindDoc="0" locked="0" layoutInCell="1" allowOverlap="1" wp14:anchorId="6E9B632F" wp14:editId="44B72B9E">
                <wp:simplePos x="0" y="0"/>
                <wp:positionH relativeFrom="page">
                  <wp:posOffset>2539218</wp:posOffset>
                </wp:positionH>
                <wp:positionV relativeFrom="paragraph">
                  <wp:posOffset>29454</wp:posOffset>
                </wp:positionV>
                <wp:extent cx="4118806" cy="168813"/>
                <wp:effectExtent l="0" t="0" r="0" b="3175"/>
                <wp:wrapNone/>
                <wp:docPr id="1290" name="docshape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8806" cy="1688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DAFA0F" id="docshape71" o:spid="_x0000_s1026" alt="&quot;&quot;" style="position:absolute;margin-left:199.95pt;margin-top:2.3pt;width:324.3pt;height:13.3pt;z-index:1576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" fillcolor="black" stroked="f">
                <w10:wrap anchorx="page"/>
              </v:rect>
            </w:pict>
          </mc:Fallback>
        </mc:AlternateContent>
      </w:r>
      <w:r w:rsidR="00033D0F">
        <w:rPr>
          <w:position w:val="1"/>
        </w:rPr>
        <w:t>Accordingly,</w:t>
      </w:r>
    </w:p>
    <w:p w14:paraId="7366EA14" w14:textId="55642A3B" w:rsidR="00BD462C" w:rsidRDefault="00D70C7D">
      <w:pPr>
        <w:pStyle w:val="BodyText"/>
        <w:spacing w:before="9"/>
        <w:rPr>
          <w:sz w:val="9"/>
        </w:rPr>
      </w:pPr>
      <w:r>
        <w:rPr>
          <w:noProof/>
        </w:rPr>
        <mc:AlternateContent>
          <mc:Choice Requires="wps">
            <w:drawing>
              <wp:anchor distT="0" distB="0" distL="0" distR="0" simplePos="0" relativeHeight="487620096" behindDoc="1" locked="0" layoutInCell="1" allowOverlap="1" wp14:anchorId="3A34EF10" wp14:editId="4D33679F">
                <wp:simplePos x="0" y="0"/>
                <wp:positionH relativeFrom="page">
                  <wp:posOffset>899160</wp:posOffset>
                </wp:positionH>
                <wp:positionV relativeFrom="paragraph">
                  <wp:posOffset>90805</wp:posOffset>
                </wp:positionV>
                <wp:extent cx="5696585" cy="186055"/>
                <wp:effectExtent l="0" t="0" r="0" b="0"/>
                <wp:wrapTopAndBottom/>
                <wp:docPr id="1288" name="docshape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658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AD3BC3" id="docshape72" o:spid="_x0000_s1026" alt="&quot;&quot;" style="position:absolute;margin-left:70.8pt;margin-top:7.15pt;width:448.55pt;height:14.65pt;z-index:-15696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" fillcolor="black" stroked="f">
                <w10:wrap type="topAndBottom" anchorx="page"/>
              </v:rect>
            </w:pict>
          </mc:Fallback>
        </mc:AlternateContent>
      </w:r>
      <w:r>
        <w:rPr>
          <w:noProof/>
        </w:rPr>
        <mc:AlternateContent>
          <mc:Choice Requires="wps">
            <w:drawing>
              <wp:anchor distT="0" distB="0" distL="0" distR="0" simplePos="0" relativeHeight="487620608" behindDoc="1" locked="0" layoutInCell="1" allowOverlap="1" wp14:anchorId="1BC41C18" wp14:editId="481B105C">
                <wp:simplePos x="0" y="0"/>
                <wp:positionH relativeFrom="page">
                  <wp:posOffset>899160</wp:posOffset>
                </wp:positionH>
                <wp:positionV relativeFrom="paragraph">
                  <wp:posOffset>368300</wp:posOffset>
                </wp:positionV>
                <wp:extent cx="5696585" cy="186055"/>
                <wp:effectExtent l="0" t="0" r="0" b="0"/>
                <wp:wrapTopAndBottom/>
                <wp:docPr id="1286" name="docshape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658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4D9075" id="docshape73" o:spid="_x0000_s1026" alt="&quot;&quot;" style="position:absolute;margin-left:70.8pt;margin-top:29pt;width:448.55pt;height:14.65pt;z-index:-15695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" fillcolor="black" stroked="f">
                <w10:wrap type="topAndBottom" anchorx="page"/>
              </v:rect>
            </w:pict>
          </mc:Fallback>
        </mc:AlternateContent>
      </w:r>
    </w:p>
    <w:p w14:paraId="4E2F05D0" w14:textId="77777777" w:rsidR="00BD462C" w:rsidRDefault="00BD462C">
      <w:pPr>
        <w:pStyle w:val="BodyText"/>
        <w:spacing w:before="10"/>
        <w:rPr>
          <w:sz w:val="9"/>
        </w:rPr>
      </w:pPr>
    </w:p>
    <w:p w14:paraId="7CFEE2D6" w14:textId="77777777" w:rsidR="00BD462C" w:rsidRDefault="00BD462C">
      <w:pPr>
        <w:pStyle w:val="BodyText"/>
        <w:spacing w:before="1"/>
        <w:rPr>
          <w:sz w:val="8"/>
        </w:rPr>
      </w:pPr>
    </w:p>
    <w:p w14:paraId="5951299F" w14:textId="3B00A121" w:rsidR="00BD462C" w:rsidRDefault="00D70C7D">
      <w:pPr>
        <w:pStyle w:val="BodyText"/>
        <w:spacing w:before="52" w:line="360" w:lineRule="auto"/>
        <w:ind w:left="136" w:right="915" w:firstLine="2995"/>
        <w:jc w:val="both"/>
        <w:rPr>
          <w:i/>
        </w:rPr>
      </w:pPr>
      <w:r>
        <w:rPr>
          <w:noProof/>
        </w:rPr>
        <mc:AlternateContent>
          <mc:Choice Requires="wps">
            <w:drawing>
              <wp:anchor distT="0" distB="0" distL="114300" distR="114300" simplePos="0" relativeHeight="15762432" behindDoc="0" locked="0" layoutInCell="1" allowOverlap="1" wp14:anchorId="4D76920B" wp14:editId="514F6BD8">
                <wp:simplePos x="0" y="0"/>
                <wp:positionH relativeFrom="page">
                  <wp:posOffset>899160</wp:posOffset>
                </wp:positionH>
                <wp:positionV relativeFrom="paragraph">
                  <wp:posOffset>31750</wp:posOffset>
                </wp:positionV>
                <wp:extent cx="1874520" cy="186055"/>
                <wp:effectExtent l="0" t="0" r="0" b="0"/>
                <wp:wrapNone/>
                <wp:docPr id="1284" name="docshape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452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1F0FAF" id="docshape74" o:spid="_x0000_s1026" alt="&quot;&quot;" style="position:absolute;margin-left:70.8pt;margin-top:2.5pt;width:147.6pt;height:14.65pt;z-index:1576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" fillcolor="black" stroked="f">
                <w10:wrap anchorx="page"/>
              </v:rect>
            </w:pict>
          </mc:Fallback>
        </mc:AlternateContent>
      </w:r>
      <w:r w:rsidR="00033D0F">
        <w:t>China</w:t>
      </w:r>
      <w:r w:rsidR="00033D0F">
        <w:rPr>
          <w:spacing w:val="-14"/>
        </w:rPr>
        <w:t xml:space="preserve"> </w:t>
      </w:r>
      <w:r w:rsidR="00033D0F">
        <w:t>appears</w:t>
      </w:r>
      <w:r w:rsidR="00033D0F">
        <w:rPr>
          <w:spacing w:val="-14"/>
        </w:rPr>
        <w:t xml:space="preserve"> </w:t>
      </w:r>
      <w:r w:rsidR="00033D0F">
        <w:t>to</w:t>
      </w:r>
      <w:r w:rsidR="00033D0F">
        <w:rPr>
          <w:spacing w:val="-13"/>
        </w:rPr>
        <w:t xml:space="preserve"> </w:t>
      </w:r>
      <w:r w:rsidR="00033D0F">
        <w:t>agree</w:t>
      </w:r>
      <w:r w:rsidR="00033D0F">
        <w:rPr>
          <w:spacing w:val="-14"/>
        </w:rPr>
        <w:t xml:space="preserve"> </w:t>
      </w:r>
      <w:r w:rsidR="00033D0F">
        <w:t>with</w:t>
      </w:r>
      <w:r w:rsidR="00033D0F">
        <w:rPr>
          <w:spacing w:val="-13"/>
        </w:rPr>
        <w:t xml:space="preserve"> </w:t>
      </w:r>
      <w:r w:rsidR="00033D0F">
        <w:t>this</w:t>
      </w:r>
      <w:r w:rsidR="00033D0F">
        <w:rPr>
          <w:spacing w:val="-12"/>
        </w:rPr>
        <w:t xml:space="preserve"> </w:t>
      </w:r>
      <w:r w:rsidR="00033D0F">
        <w:t>when</w:t>
      </w:r>
      <w:r w:rsidR="00033D0F">
        <w:rPr>
          <w:spacing w:val="-13"/>
        </w:rPr>
        <w:t xml:space="preserve"> </w:t>
      </w:r>
      <w:r w:rsidR="00033D0F">
        <w:t>it</w:t>
      </w:r>
      <w:r w:rsidR="00033D0F">
        <w:rPr>
          <w:spacing w:val="-12"/>
        </w:rPr>
        <w:t xml:space="preserve"> </w:t>
      </w:r>
      <w:r w:rsidR="00033D0F">
        <w:t>takes</w:t>
      </w:r>
      <w:r w:rsidR="00033D0F">
        <w:rPr>
          <w:spacing w:val="-11"/>
        </w:rPr>
        <w:t xml:space="preserve"> </w:t>
      </w:r>
      <w:r w:rsidR="00033D0F">
        <w:t>the</w:t>
      </w:r>
      <w:r w:rsidR="00033D0F">
        <w:rPr>
          <w:spacing w:val="-13"/>
        </w:rPr>
        <w:t xml:space="preserve"> </w:t>
      </w:r>
      <w:r w:rsidR="00033D0F">
        <w:t>position</w:t>
      </w:r>
      <w:r w:rsidR="00033D0F">
        <w:rPr>
          <w:spacing w:val="-14"/>
        </w:rPr>
        <w:t xml:space="preserve"> </w:t>
      </w:r>
      <w:r w:rsidR="00033D0F">
        <w:t>that "MOFCOM's questionnaire specifically instructs exporters to 'include all costs and expenses related</w:t>
      </w:r>
      <w:r w:rsidR="00033D0F">
        <w:rPr>
          <w:spacing w:val="30"/>
        </w:rPr>
        <w:t xml:space="preserve"> </w:t>
      </w:r>
      <w:r w:rsidR="00033D0F">
        <w:t>to</w:t>
      </w:r>
      <w:r w:rsidR="00033D0F">
        <w:rPr>
          <w:spacing w:val="30"/>
        </w:rPr>
        <w:t xml:space="preserve"> </w:t>
      </w:r>
      <w:r w:rsidR="00033D0F">
        <w:t>the</w:t>
      </w:r>
      <w:r w:rsidR="00033D0F">
        <w:rPr>
          <w:spacing w:val="37"/>
        </w:rPr>
        <w:t xml:space="preserve"> </w:t>
      </w:r>
      <w:r w:rsidR="00033D0F">
        <w:t>production</w:t>
      </w:r>
      <w:r w:rsidR="00033D0F">
        <w:rPr>
          <w:spacing w:val="30"/>
        </w:rPr>
        <w:t xml:space="preserve"> </w:t>
      </w:r>
      <w:r w:rsidR="00033D0F">
        <w:t>and</w:t>
      </w:r>
      <w:r w:rsidR="00033D0F">
        <w:rPr>
          <w:spacing w:val="30"/>
        </w:rPr>
        <w:t xml:space="preserve"> </w:t>
      </w:r>
      <w:r w:rsidR="00033D0F">
        <w:t>sales</w:t>
      </w:r>
      <w:r w:rsidR="00033D0F">
        <w:rPr>
          <w:spacing w:val="34"/>
        </w:rPr>
        <w:t xml:space="preserve"> </w:t>
      </w:r>
      <w:r w:rsidR="00033D0F">
        <w:t>of</w:t>
      </w:r>
      <w:r w:rsidR="00033D0F">
        <w:rPr>
          <w:spacing w:val="35"/>
        </w:rPr>
        <w:t xml:space="preserve"> </w:t>
      </w:r>
      <w:r w:rsidR="00033D0F">
        <w:t>the</w:t>
      </w:r>
      <w:r w:rsidR="00033D0F">
        <w:rPr>
          <w:spacing w:val="37"/>
        </w:rPr>
        <w:t xml:space="preserve"> </w:t>
      </w:r>
      <w:r w:rsidR="00033D0F">
        <w:t>product</w:t>
      </w:r>
      <w:r w:rsidR="00033D0F">
        <w:rPr>
          <w:spacing w:val="33"/>
        </w:rPr>
        <w:t xml:space="preserve"> </w:t>
      </w:r>
      <w:r w:rsidR="00033D0F">
        <w:t>under</w:t>
      </w:r>
      <w:r w:rsidR="00033D0F">
        <w:rPr>
          <w:spacing w:val="34"/>
        </w:rPr>
        <w:t xml:space="preserve"> </w:t>
      </w:r>
      <w:r w:rsidR="00033D0F">
        <w:t>investigation</w:t>
      </w:r>
      <w:r w:rsidR="00033D0F">
        <w:rPr>
          <w:spacing w:val="30"/>
        </w:rPr>
        <w:t xml:space="preserve"> </w:t>
      </w:r>
      <w:r w:rsidR="00033D0F">
        <w:t>[i.e.,</w:t>
      </w:r>
      <w:r w:rsidR="00033D0F">
        <w:rPr>
          <w:spacing w:val="34"/>
        </w:rPr>
        <w:t xml:space="preserve"> </w:t>
      </w:r>
      <w:r w:rsidR="00033D0F">
        <w:rPr>
          <w:i/>
        </w:rPr>
        <w:t>the</w:t>
      </w:r>
      <w:r w:rsidR="00033D0F">
        <w:rPr>
          <w:i/>
          <w:spacing w:val="32"/>
        </w:rPr>
        <w:t xml:space="preserve"> </w:t>
      </w:r>
      <w:r w:rsidR="00033D0F">
        <w:rPr>
          <w:i/>
        </w:rPr>
        <w:t>exported</w:t>
      </w:r>
    </w:p>
    <w:p w14:paraId="19B69899" w14:textId="444CACFD" w:rsidR="00BD462C" w:rsidRDefault="009A6330">
      <w:pPr>
        <w:pStyle w:val="BodyText"/>
        <w:spacing w:before="11"/>
        <w:rPr>
          <w:i/>
          <w:sz w:val="12"/>
        </w:rPr>
      </w:pPr>
      <w:r>
        <w:rPr>
          <w:noProof/>
        </w:rPr>
        <mc:AlternateContent>
          <mc:Choice Requires="wps">
            <w:drawing>
              <wp:anchor distT="0" distB="0" distL="0" distR="0" simplePos="0" relativeHeight="488006144" behindDoc="1" locked="0" layoutInCell="1" allowOverlap="1" wp14:anchorId="4C952D04" wp14:editId="6EE90FD0">
                <wp:simplePos x="0" y="0"/>
                <wp:positionH relativeFrom="page">
                  <wp:posOffset>812800</wp:posOffset>
                </wp:positionH>
                <wp:positionV relativeFrom="paragraph">
                  <wp:posOffset>104775</wp:posOffset>
                </wp:positionV>
                <wp:extent cx="1828800" cy="8890"/>
                <wp:effectExtent l="0" t="0" r="0" b="0"/>
                <wp:wrapTopAndBottom/>
                <wp:docPr id="1420" name="docshape7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771E52" id="docshape712" o:spid="_x0000_s1026" alt="&quot;&quot;" style="position:absolute;margin-left:64pt;margin-top:8.25pt;width:2in;height:.7pt;z-index:-15310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" fillcolor="black" stroked="f">
                <w10:wrap type="topAndBottom" anchorx="page"/>
              </v:rect>
            </w:pict>
          </mc:Fallback>
        </mc:AlternateContent>
      </w:r>
    </w:p>
    <w:p w14:paraId="0D08E546" w14:textId="41257136" w:rsidR="00BD462C" w:rsidRDefault="00033D0F">
      <w:pPr>
        <w:spacing w:before="112"/>
        <w:ind w:left="135"/>
        <w:rPr>
          <w:sz w:val="18"/>
        </w:rPr>
      </w:pPr>
      <w:bookmarkStart w:id="285" w:name="_bookmark249"/>
      <w:bookmarkEnd w:id="285"/>
      <w:r>
        <w:rPr>
          <w:position w:val="5"/>
          <w:sz w:val="12"/>
        </w:rPr>
        <w:t>191</w:t>
      </w:r>
      <w:r>
        <w:rPr>
          <w:spacing w:val="13"/>
          <w:position w:val="5"/>
          <w:sz w:val="12"/>
        </w:rPr>
        <w:t xml:space="preserve"> </w:t>
      </w:r>
      <w:r>
        <w:rPr>
          <w:sz w:val="18"/>
        </w:rPr>
        <w:t>China's</w:t>
      </w:r>
      <w:r>
        <w:rPr>
          <w:spacing w:val="-5"/>
          <w:sz w:val="18"/>
        </w:rPr>
        <w:t xml:space="preserve"> </w:t>
      </w:r>
      <w:r>
        <w:rPr>
          <w:sz w:val="18"/>
        </w:rPr>
        <w:t>first</w:t>
      </w:r>
      <w:r>
        <w:rPr>
          <w:spacing w:val="-4"/>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paras.</w:t>
      </w:r>
      <w:r>
        <w:rPr>
          <w:spacing w:val="-4"/>
          <w:sz w:val="18"/>
        </w:rPr>
        <w:t xml:space="preserve"> </w:t>
      </w:r>
      <w:r>
        <w:rPr>
          <w:sz w:val="18"/>
        </w:rPr>
        <w:t>274,</w:t>
      </w:r>
      <w:r>
        <w:rPr>
          <w:spacing w:val="-4"/>
          <w:sz w:val="18"/>
        </w:rPr>
        <w:t xml:space="preserve"> </w:t>
      </w:r>
      <w:r>
        <w:rPr>
          <w:sz w:val="18"/>
        </w:rPr>
        <w:t>390.</w:t>
      </w:r>
      <w:r>
        <w:rPr>
          <w:spacing w:val="-9"/>
          <w:sz w:val="18"/>
        </w:rPr>
        <w:t xml:space="preserve"> </w:t>
      </w:r>
      <w:r>
        <w:rPr>
          <w:sz w:val="18"/>
        </w:rPr>
        <w:t>(</w:t>
      </w:r>
      <w:proofErr w:type="gramStart"/>
      <w:r>
        <w:rPr>
          <w:sz w:val="18"/>
        </w:rPr>
        <w:t>emphasis</w:t>
      </w:r>
      <w:proofErr w:type="gramEnd"/>
      <w:r>
        <w:rPr>
          <w:sz w:val="18"/>
        </w:rPr>
        <w:t xml:space="preserve"> </w:t>
      </w:r>
      <w:r>
        <w:rPr>
          <w:spacing w:val="-2"/>
          <w:sz w:val="18"/>
        </w:rPr>
        <w:t>added)</w:t>
      </w:r>
    </w:p>
    <w:p w14:paraId="2950710B" w14:textId="421117DA" w:rsidR="00BD462C" w:rsidRDefault="00E14314">
      <w:pPr>
        <w:spacing w:before="10"/>
        <w:ind w:left="135"/>
        <w:rPr>
          <w:sz w:val="12"/>
        </w:rPr>
      </w:pPr>
      <w:r>
        <w:rPr>
          <w:noProof/>
        </w:rPr>
        <mc:AlternateContent>
          <mc:Choice Requires="wps">
            <w:drawing>
              <wp:anchor distT="0" distB="0" distL="114300" distR="114300" simplePos="0" relativeHeight="488073728" behindDoc="0" locked="0" layoutInCell="1" allowOverlap="1" wp14:anchorId="71C00E30" wp14:editId="7E10904D">
                <wp:simplePos x="0" y="0"/>
                <wp:positionH relativeFrom="page">
                  <wp:posOffset>1071033</wp:posOffset>
                </wp:positionH>
                <wp:positionV relativeFrom="paragraph">
                  <wp:posOffset>4657</wp:posOffset>
                </wp:positionV>
                <wp:extent cx="5537200" cy="110066"/>
                <wp:effectExtent l="0" t="0" r="6350" b="4445"/>
                <wp:wrapNone/>
                <wp:docPr id="51" name="docshape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200" cy="11006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ECCD0F" id="docshape74" o:spid="_x0000_s1026" alt="&quot;&quot;" style="position:absolute;margin-left:84.35pt;margin-top:.35pt;width:436pt;height:8.65pt;z-index:48807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" fillcolor="black" stroked="f">
                <w10:wrap anchorx="page"/>
              </v:rect>
            </w:pict>
          </mc:Fallback>
        </mc:AlternateContent>
      </w:r>
      <w:bookmarkStart w:id="286" w:name="_bookmark250"/>
      <w:bookmarkEnd w:id="286"/>
      <w:r w:rsidR="00033D0F">
        <w:rPr>
          <w:spacing w:val="-5"/>
          <w:sz w:val="12"/>
        </w:rPr>
        <w:t>192</w:t>
      </w:r>
      <w:r>
        <w:rPr>
          <w:spacing w:val="-5"/>
          <w:sz w:val="12"/>
        </w:rPr>
        <w:t xml:space="preserve"> </w:t>
      </w:r>
    </w:p>
    <w:p w14:paraId="0E0D78D5" w14:textId="08623B02" w:rsidR="00BD462C" w:rsidRDefault="00E14314">
      <w:pPr>
        <w:spacing w:before="65"/>
        <w:ind w:left="135" w:right="909" w:firstLine="2078"/>
        <w:jc w:val="both"/>
        <w:rPr>
          <w:sz w:val="18"/>
        </w:rPr>
      </w:pPr>
      <w:r>
        <w:rPr>
          <w:noProof/>
        </w:rPr>
        <mc:AlternateContent>
          <mc:Choice Requires="wps">
            <w:drawing>
              <wp:anchor distT="0" distB="0" distL="114300" distR="114300" simplePos="0" relativeHeight="488075776" behindDoc="0" locked="0" layoutInCell="1" allowOverlap="1" wp14:anchorId="34E25DB7" wp14:editId="3B43D3AF">
                <wp:simplePos x="0" y="0"/>
                <wp:positionH relativeFrom="page">
                  <wp:posOffset>905933</wp:posOffset>
                </wp:positionH>
                <wp:positionV relativeFrom="paragraph">
                  <wp:posOffset>44662</wp:posOffset>
                </wp:positionV>
                <wp:extent cx="1291167" cy="131233"/>
                <wp:effectExtent l="0" t="0" r="4445" b="2540"/>
                <wp:wrapNone/>
                <wp:docPr id="53" name="docshape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1167" cy="1312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003AF8" id="docshape74" o:spid="_x0000_s1026" alt="&quot;&quot;" style="position:absolute;margin-left:71.35pt;margin-top:3.5pt;width:101.65pt;height:10.35pt;z-index:48807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" fillcolor="black" stroked="f">
                <w10:wrap anchorx="page"/>
              </v:rect>
            </w:pict>
          </mc:Fallback>
        </mc:AlternateContent>
      </w:r>
      <w:r>
        <w:rPr>
          <w:sz w:val="18"/>
        </w:rPr>
        <w:t xml:space="preserve"> </w:t>
      </w:r>
      <w:r w:rsidR="00033D0F">
        <w:rPr>
          <w:sz w:val="18"/>
        </w:rPr>
        <w:t>(</w:t>
      </w:r>
      <w:proofErr w:type="gramStart"/>
      <w:r w:rsidR="00033D0F">
        <w:rPr>
          <w:sz w:val="18"/>
        </w:rPr>
        <w:t>emphasis</w:t>
      </w:r>
      <w:proofErr w:type="gramEnd"/>
      <w:r w:rsidR="00033D0F">
        <w:rPr>
          <w:sz w:val="18"/>
        </w:rPr>
        <w:t xml:space="preserve"> added) This is consistent with the definition of "product under investigation" in the domestic</w:t>
      </w:r>
      <w:r w:rsidR="00033D0F">
        <w:rPr>
          <w:spacing w:val="-8"/>
          <w:sz w:val="18"/>
        </w:rPr>
        <w:t xml:space="preserve"> </w:t>
      </w:r>
      <w:r w:rsidR="00033D0F">
        <w:rPr>
          <w:sz w:val="18"/>
        </w:rPr>
        <w:t>producers'</w:t>
      </w:r>
      <w:r w:rsidR="00033D0F">
        <w:rPr>
          <w:spacing w:val="-5"/>
          <w:sz w:val="18"/>
        </w:rPr>
        <w:t xml:space="preserve"> </w:t>
      </w:r>
      <w:r w:rsidR="00033D0F">
        <w:rPr>
          <w:sz w:val="18"/>
        </w:rPr>
        <w:t>questionnaire</w:t>
      </w:r>
      <w:r w:rsidR="00033D0F">
        <w:rPr>
          <w:spacing w:val="-7"/>
          <w:sz w:val="18"/>
        </w:rPr>
        <w:t xml:space="preserve"> </w:t>
      </w:r>
      <w:r w:rsidR="00033D0F">
        <w:rPr>
          <w:sz w:val="18"/>
        </w:rPr>
        <w:t>which</w:t>
      </w:r>
      <w:r w:rsidR="00033D0F">
        <w:rPr>
          <w:spacing w:val="-3"/>
          <w:sz w:val="18"/>
        </w:rPr>
        <w:t xml:space="preserve"> </w:t>
      </w:r>
      <w:r w:rsidR="00033D0F">
        <w:rPr>
          <w:sz w:val="18"/>
        </w:rPr>
        <w:t>reads:</w:t>
      </w:r>
      <w:r w:rsidR="00033D0F">
        <w:rPr>
          <w:spacing w:val="-3"/>
          <w:sz w:val="18"/>
        </w:rPr>
        <w:t xml:space="preserve"> </w:t>
      </w:r>
      <w:r w:rsidR="00033D0F">
        <w:rPr>
          <w:sz w:val="18"/>
        </w:rPr>
        <w:t>"Product</w:t>
      </w:r>
      <w:r w:rsidR="00033D0F">
        <w:rPr>
          <w:spacing w:val="-1"/>
          <w:sz w:val="18"/>
        </w:rPr>
        <w:t xml:space="preserve"> </w:t>
      </w:r>
      <w:r w:rsidR="00033D0F">
        <w:rPr>
          <w:sz w:val="18"/>
        </w:rPr>
        <w:t>under</w:t>
      </w:r>
      <w:r w:rsidR="00033D0F">
        <w:rPr>
          <w:spacing w:val="-4"/>
          <w:sz w:val="18"/>
        </w:rPr>
        <w:t xml:space="preserve"> </w:t>
      </w:r>
      <w:r w:rsidR="00033D0F">
        <w:rPr>
          <w:sz w:val="18"/>
        </w:rPr>
        <w:t>investigation:</w:t>
      </w:r>
      <w:r w:rsidR="00033D0F">
        <w:rPr>
          <w:spacing w:val="-9"/>
          <w:sz w:val="18"/>
        </w:rPr>
        <w:t xml:space="preserve"> </w:t>
      </w:r>
      <w:r w:rsidR="00033D0F">
        <w:rPr>
          <w:sz w:val="18"/>
        </w:rPr>
        <w:t>This</w:t>
      </w:r>
      <w:r w:rsidR="00033D0F">
        <w:rPr>
          <w:spacing w:val="-2"/>
          <w:sz w:val="18"/>
        </w:rPr>
        <w:t xml:space="preserve"> </w:t>
      </w:r>
      <w:r w:rsidR="00033D0F">
        <w:rPr>
          <w:sz w:val="18"/>
        </w:rPr>
        <w:t>refers</w:t>
      </w:r>
      <w:r w:rsidR="00033D0F">
        <w:rPr>
          <w:spacing w:val="-7"/>
          <w:sz w:val="18"/>
        </w:rPr>
        <w:t xml:space="preserve"> </w:t>
      </w:r>
      <w:r w:rsidR="00033D0F">
        <w:rPr>
          <w:sz w:val="18"/>
        </w:rPr>
        <w:t>to</w:t>
      </w:r>
      <w:r w:rsidR="00033D0F">
        <w:rPr>
          <w:spacing w:val="-8"/>
          <w:sz w:val="18"/>
        </w:rPr>
        <w:t xml:space="preserve"> </w:t>
      </w:r>
      <w:r w:rsidR="00033D0F">
        <w:rPr>
          <w:sz w:val="18"/>
        </w:rPr>
        <w:t>the</w:t>
      </w:r>
      <w:r w:rsidR="00033D0F">
        <w:rPr>
          <w:spacing w:val="-7"/>
          <w:sz w:val="18"/>
        </w:rPr>
        <w:t xml:space="preserve"> </w:t>
      </w:r>
      <w:r w:rsidR="00033D0F">
        <w:rPr>
          <w:sz w:val="18"/>
        </w:rPr>
        <w:t>imported</w:t>
      </w:r>
      <w:r w:rsidR="00033D0F">
        <w:rPr>
          <w:spacing w:val="-3"/>
          <w:sz w:val="18"/>
        </w:rPr>
        <w:t xml:space="preserve"> </w:t>
      </w:r>
      <w:r w:rsidR="00033D0F">
        <w:rPr>
          <w:sz w:val="18"/>
        </w:rPr>
        <w:t>product</w:t>
      </w:r>
      <w:r w:rsidR="00033D0F">
        <w:rPr>
          <w:spacing w:val="-1"/>
          <w:sz w:val="18"/>
        </w:rPr>
        <w:t xml:space="preserve"> </w:t>
      </w:r>
      <w:r w:rsidR="00033D0F">
        <w:rPr>
          <w:sz w:val="18"/>
        </w:rPr>
        <w:t>subject</w:t>
      </w:r>
      <w:r w:rsidR="00033D0F">
        <w:rPr>
          <w:spacing w:val="-1"/>
          <w:sz w:val="18"/>
        </w:rPr>
        <w:t xml:space="preserve"> </w:t>
      </w:r>
      <w:r w:rsidR="00033D0F">
        <w:rPr>
          <w:sz w:val="18"/>
        </w:rPr>
        <w:t>to this</w:t>
      </w:r>
      <w:r w:rsidR="00033D0F">
        <w:rPr>
          <w:spacing w:val="-11"/>
          <w:sz w:val="18"/>
        </w:rPr>
        <w:t xml:space="preserve"> </w:t>
      </w:r>
      <w:r w:rsidR="00033D0F">
        <w:rPr>
          <w:sz w:val="18"/>
        </w:rPr>
        <w:t>anti-dumping</w:t>
      </w:r>
      <w:r w:rsidR="00033D0F">
        <w:rPr>
          <w:spacing w:val="-9"/>
          <w:sz w:val="18"/>
        </w:rPr>
        <w:t xml:space="preserve"> </w:t>
      </w:r>
      <w:r w:rsidR="00033D0F">
        <w:rPr>
          <w:sz w:val="18"/>
        </w:rPr>
        <w:t>investigation</w:t>
      </w:r>
      <w:r w:rsidR="00033D0F">
        <w:rPr>
          <w:spacing w:val="-5"/>
          <w:sz w:val="18"/>
        </w:rPr>
        <w:t xml:space="preserve"> </w:t>
      </w:r>
      <w:r w:rsidR="00033D0F">
        <w:rPr>
          <w:sz w:val="18"/>
        </w:rPr>
        <w:t>as</w:t>
      </w:r>
      <w:r w:rsidR="00033D0F">
        <w:rPr>
          <w:spacing w:val="-11"/>
          <w:sz w:val="18"/>
        </w:rPr>
        <w:t xml:space="preserve"> </w:t>
      </w:r>
      <w:r w:rsidR="00033D0F">
        <w:rPr>
          <w:sz w:val="18"/>
        </w:rPr>
        <w:t>determined</w:t>
      </w:r>
      <w:r w:rsidR="00033D0F">
        <w:rPr>
          <w:spacing w:val="-5"/>
          <w:sz w:val="18"/>
        </w:rPr>
        <w:t xml:space="preserve"> </w:t>
      </w:r>
      <w:r w:rsidR="00033D0F">
        <w:rPr>
          <w:sz w:val="18"/>
        </w:rPr>
        <w:t>by</w:t>
      </w:r>
      <w:r w:rsidR="00033D0F">
        <w:rPr>
          <w:spacing w:val="-11"/>
          <w:sz w:val="18"/>
        </w:rPr>
        <w:t xml:space="preserve"> </w:t>
      </w:r>
      <w:r w:rsidR="00033D0F">
        <w:rPr>
          <w:sz w:val="18"/>
        </w:rPr>
        <w:t>the</w:t>
      </w:r>
      <w:r w:rsidR="00033D0F">
        <w:rPr>
          <w:spacing w:val="-10"/>
          <w:sz w:val="18"/>
        </w:rPr>
        <w:t xml:space="preserve"> </w:t>
      </w:r>
      <w:r w:rsidR="00033D0F">
        <w:rPr>
          <w:sz w:val="18"/>
        </w:rPr>
        <w:t>Investigation</w:t>
      </w:r>
      <w:r w:rsidR="00033D0F">
        <w:rPr>
          <w:spacing w:val="-10"/>
          <w:sz w:val="18"/>
        </w:rPr>
        <w:t xml:space="preserve"> </w:t>
      </w:r>
      <w:r w:rsidR="00033D0F">
        <w:rPr>
          <w:sz w:val="18"/>
        </w:rPr>
        <w:t>Authority</w:t>
      </w:r>
      <w:r w:rsidR="00033D0F">
        <w:rPr>
          <w:spacing w:val="-10"/>
          <w:sz w:val="18"/>
        </w:rPr>
        <w:t xml:space="preserve"> </w:t>
      </w:r>
      <w:r w:rsidR="00033D0F">
        <w:rPr>
          <w:sz w:val="18"/>
        </w:rPr>
        <w:t>in</w:t>
      </w:r>
      <w:r w:rsidR="00033D0F">
        <w:rPr>
          <w:spacing w:val="-6"/>
          <w:sz w:val="18"/>
        </w:rPr>
        <w:t xml:space="preserve"> </w:t>
      </w:r>
      <w:r w:rsidR="00033D0F">
        <w:rPr>
          <w:sz w:val="18"/>
        </w:rPr>
        <w:t>this</w:t>
      </w:r>
      <w:r w:rsidR="00033D0F">
        <w:rPr>
          <w:spacing w:val="-6"/>
          <w:sz w:val="18"/>
        </w:rPr>
        <w:t xml:space="preserve"> </w:t>
      </w:r>
      <w:r w:rsidR="00033D0F">
        <w:rPr>
          <w:sz w:val="18"/>
        </w:rPr>
        <w:t>case".</w:t>
      </w:r>
      <w:r w:rsidR="00033D0F">
        <w:rPr>
          <w:spacing w:val="-5"/>
          <w:sz w:val="18"/>
        </w:rPr>
        <w:t xml:space="preserve"> </w:t>
      </w:r>
      <w:r w:rsidR="00033D0F">
        <w:rPr>
          <w:sz w:val="18"/>
        </w:rPr>
        <w:t>See</w:t>
      </w:r>
      <w:r w:rsidR="00033D0F">
        <w:rPr>
          <w:spacing w:val="-11"/>
          <w:sz w:val="18"/>
        </w:rPr>
        <w:t xml:space="preserve"> </w:t>
      </w:r>
      <w:proofErr w:type="spellStart"/>
      <w:r w:rsidR="00033D0F">
        <w:rPr>
          <w:sz w:val="18"/>
        </w:rPr>
        <w:t>Tonghua</w:t>
      </w:r>
      <w:proofErr w:type="spellEnd"/>
      <w:r w:rsidR="00033D0F">
        <w:rPr>
          <w:spacing w:val="-10"/>
          <w:sz w:val="18"/>
        </w:rPr>
        <w:t xml:space="preserve"> </w:t>
      </w:r>
      <w:r w:rsidR="00033D0F">
        <w:rPr>
          <w:sz w:val="18"/>
        </w:rPr>
        <w:t>Winery</w:t>
      </w:r>
      <w:r w:rsidR="00033D0F">
        <w:rPr>
          <w:spacing w:val="-8"/>
          <w:sz w:val="18"/>
        </w:rPr>
        <w:t xml:space="preserve"> </w:t>
      </w:r>
      <w:r w:rsidR="00033D0F">
        <w:rPr>
          <w:sz w:val="18"/>
        </w:rPr>
        <w:t>Anti-Dumping Questionnaire Response (Exhibit AUS-43), p. 10, II. Relevant definitions in this questionnaire, paragraph 1.</w:t>
      </w:r>
    </w:p>
    <w:p w14:paraId="35E141F2" w14:textId="77777777" w:rsidR="00BD462C" w:rsidRDefault="00033D0F">
      <w:pPr>
        <w:spacing w:line="219" w:lineRule="exact"/>
        <w:ind w:left="135"/>
        <w:jc w:val="both"/>
        <w:rPr>
          <w:sz w:val="18"/>
        </w:rPr>
      </w:pPr>
      <w:bookmarkStart w:id="287" w:name="_bookmark251"/>
      <w:bookmarkEnd w:id="287"/>
      <w:r>
        <w:rPr>
          <w:position w:val="5"/>
          <w:sz w:val="12"/>
        </w:rPr>
        <w:t>193</w:t>
      </w:r>
      <w:r>
        <w:rPr>
          <w:spacing w:val="11"/>
          <w:position w:val="5"/>
          <w:sz w:val="12"/>
        </w:rPr>
        <w:t xml:space="preserve"> </w:t>
      </w:r>
      <w:r>
        <w:rPr>
          <w:sz w:val="18"/>
        </w:rPr>
        <w:t>Anti-Dumping</w:t>
      </w:r>
      <w:r>
        <w:rPr>
          <w:spacing w:val="-7"/>
          <w:sz w:val="18"/>
        </w:rPr>
        <w:t xml:space="preserve"> </w:t>
      </w:r>
      <w:r>
        <w:rPr>
          <w:sz w:val="18"/>
        </w:rPr>
        <w:t>Final</w:t>
      </w:r>
      <w:r>
        <w:rPr>
          <w:spacing w:val="-2"/>
          <w:sz w:val="18"/>
        </w:rPr>
        <w:t xml:space="preserve"> </w:t>
      </w:r>
      <w:r>
        <w:rPr>
          <w:sz w:val="18"/>
        </w:rPr>
        <w:t>Determination</w:t>
      </w:r>
      <w:r>
        <w:rPr>
          <w:spacing w:val="-8"/>
          <w:sz w:val="18"/>
        </w:rPr>
        <w:t xml:space="preserve"> </w:t>
      </w:r>
      <w:r>
        <w:rPr>
          <w:sz w:val="18"/>
        </w:rPr>
        <w:t>(Exhibit</w:t>
      </w:r>
      <w:r>
        <w:rPr>
          <w:spacing w:val="-2"/>
          <w:sz w:val="18"/>
        </w:rPr>
        <w:t xml:space="preserve"> </w:t>
      </w:r>
      <w:r>
        <w:rPr>
          <w:sz w:val="18"/>
        </w:rPr>
        <w:t>AUS-2),</w:t>
      </w:r>
      <w:r>
        <w:rPr>
          <w:spacing w:val="-5"/>
          <w:sz w:val="18"/>
        </w:rPr>
        <w:t xml:space="preserve"> </w:t>
      </w:r>
      <w:r>
        <w:rPr>
          <w:spacing w:val="-4"/>
          <w:sz w:val="18"/>
        </w:rPr>
        <w:t>p.12.</w:t>
      </w:r>
    </w:p>
    <w:p w14:paraId="1DABAE18" w14:textId="77777777" w:rsidR="00BD462C" w:rsidRDefault="00033D0F">
      <w:pPr>
        <w:spacing w:before="1"/>
        <w:ind w:left="135"/>
        <w:jc w:val="both"/>
        <w:rPr>
          <w:sz w:val="18"/>
        </w:rPr>
      </w:pPr>
      <w:bookmarkStart w:id="288" w:name="_bookmark252"/>
      <w:bookmarkEnd w:id="288"/>
      <w:r>
        <w:rPr>
          <w:position w:val="5"/>
          <w:sz w:val="12"/>
        </w:rPr>
        <w:t>194</w:t>
      </w:r>
      <w:r>
        <w:rPr>
          <w:spacing w:val="11"/>
          <w:position w:val="5"/>
          <w:sz w:val="12"/>
        </w:rPr>
        <w:t xml:space="preserve"> </w:t>
      </w:r>
      <w:r>
        <w:rPr>
          <w:sz w:val="18"/>
        </w:rPr>
        <w:t>Anti-Dumping</w:t>
      </w:r>
      <w:r>
        <w:rPr>
          <w:spacing w:val="-7"/>
          <w:sz w:val="18"/>
        </w:rPr>
        <w:t xml:space="preserve"> </w:t>
      </w:r>
      <w:r>
        <w:rPr>
          <w:sz w:val="18"/>
        </w:rPr>
        <w:t>Final</w:t>
      </w:r>
      <w:r>
        <w:rPr>
          <w:spacing w:val="-3"/>
          <w:sz w:val="18"/>
        </w:rPr>
        <w:t xml:space="preserve"> </w:t>
      </w:r>
      <w:r>
        <w:rPr>
          <w:sz w:val="18"/>
        </w:rPr>
        <w:t>Determination</w:t>
      </w:r>
      <w:r>
        <w:rPr>
          <w:spacing w:val="-8"/>
          <w:sz w:val="18"/>
        </w:rPr>
        <w:t xml:space="preserve"> </w:t>
      </w:r>
      <w:r>
        <w:rPr>
          <w:sz w:val="18"/>
        </w:rPr>
        <w:t>(Exhibit</w:t>
      </w:r>
      <w:r>
        <w:rPr>
          <w:spacing w:val="-3"/>
          <w:sz w:val="18"/>
        </w:rPr>
        <w:t xml:space="preserve"> </w:t>
      </w:r>
      <w:r>
        <w:rPr>
          <w:sz w:val="18"/>
        </w:rPr>
        <w:t>AUS-2),</w:t>
      </w:r>
      <w:r>
        <w:rPr>
          <w:spacing w:val="-5"/>
          <w:sz w:val="18"/>
        </w:rPr>
        <w:t xml:space="preserve"> </w:t>
      </w:r>
      <w:r>
        <w:rPr>
          <w:sz w:val="18"/>
        </w:rPr>
        <w:t>pp.</w:t>
      </w:r>
      <w:r>
        <w:rPr>
          <w:spacing w:val="-2"/>
          <w:sz w:val="18"/>
        </w:rPr>
        <w:t xml:space="preserve"> </w:t>
      </w:r>
      <w:r>
        <w:rPr>
          <w:sz w:val="18"/>
        </w:rPr>
        <w:t>16-</w:t>
      </w:r>
      <w:r>
        <w:rPr>
          <w:spacing w:val="-5"/>
          <w:sz w:val="18"/>
        </w:rPr>
        <w:t>17.</w:t>
      </w:r>
    </w:p>
    <w:p w14:paraId="5E4285A4" w14:textId="77777777" w:rsidR="00BD462C" w:rsidRDefault="00BD462C">
      <w:pPr>
        <w:jc w:val="both"/>
        <w:rPr>
          <w:sz w:val="18"/>
        </w:rPr>
        <w:sectPr w:rsidR="00BD462C">
          <w:pgSz w:w="11910" w:h="16840"/>
          <w:pgMar w:top="860" w:right="500" w:bottom="780" w:left="1280" w:header="566" w:footer="590" w:gutter="0"/>
          <w:cols w:space="720"/>
        </w:sectPr>
      </w:pPr>
    </w:p>
    <w:p w14:paraId="390DC3E3"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6020B71A"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621D3FE7"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17296A7F" w14:textId="77777777" w:rsidR="00BD462C" w:rsidRDefault="00033D0F">
      <w:pPr>
        <w:pStyle w:val="BodyText"/>
        <w:spacing w:before="102" w:line="357" w:lineRule="auto"/>
        <w:ind w:left="135" w:right="923"/>
      </w:pPr>
      <w:r>
        <w:rPr>
          <w:i/>
        </w:rPr>
        <w:t>product</w:t>
      </w:r>
      <w:r>
        <w:t xml:space="preserve">] and </w:t>
      </w:r>
      <w:proofErr w:type="spellStart"/>
      <w:r>
        <w:t>its</w:t>
      </w:r>
      <w:proofErr w:type="spellEnd"/>
      <w:r>
        <w:t xml:space="preserve"> like product [i.e., the domestically sold product]' and that for each different product specification or model".</w:t>
      </w:r>
      <w:r>
        <w:rPr>
          <w:spacing w:val="-17"/>
        </w:rPr>
        <w:t xml:space="preserve"> </w:t>
      </w:r>
      <w:hyperlink w:anchor="_bookmark254" w:history="1">
        <w:r>
          <w:rPr>
            <w:vertAlign w:val="superscript"/>
          </w:rPr>
          <w:t>195</w:t>
        </w:r>
      </w:hyperlink>
    </w:p>
    <w:p w14:paraId="2AE73AFE" w14:textId="77777777" w:rsidR="00BD462C" w:rsidRDefault="00BD462C">
      <w:pPr>
        <w:pStyle w:val="BodyText"/>
        <w:spacing w:before="3"/>
        <w:rPr>
          <w:sz w:val="9"/>
        </w:rPr>
      </w:pPr>
    </w:p>
    <w:p w14:paraId="03CEE63D" w14:textId="6DB05B29" w:rsidR="00BD462C" w:rsidRDefault="00D70C7D" w:rsidP="00087BDF">
      <w:pPr>
        <w:pStyle w:val="BodyText"/>
        <w:numPr>
          <w:ilvl w:val="0"/>
          <w:numId w:val="69"/>
        </w:numPr>
        <w:spacing w:before="56"/>
        <w:ind w:left="567"/>
      </w:pPr>
      <w:r>
        <w:rPr>
          <w:noProof/>
        </w:rPr>
        <mc:AlternateContent>
          <mc:Choice Requires="wps">
            <w:drawing>
              <wp:anchor distT="0" distB="0" distL="114300" distR="114300" simplePos="0" relativeHeight="478926848" behindDoc="1" locked="0" layoutInCell="1" allowOverlap="1" wp14:anchorId="466ACBD2" wp14:editId="341CB1F3">
                <wp:simplePos x="0" y="0"/>
                <wp:positionH relativeFrom="page">
                  <wp:posOffset>4879975</wp:posOffset>
                </wp:positionH>
                <wp:positionV relativeFrom="paragraph">
                  <wp:posOffset>31750</wp:posOffset>
                </wp:positionV>
                <wp:extent cx="975360" cy="186055"/>
                <wp:effectExtent l="0" t="0" r="0" b="0"/>
                <wp:wrapNone/>
                <wp:docPr id="1276" name="docshape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536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5CFE75" id="docshape78" o:spid="_x0000_s1026" alt="&quot;&quot;" style="position:absolute;margin-left:384.25pt;margin-top:2.5pt;width:76.8pt;height:14.65pt;z-index:-2438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" fillcolor="black" stroked="f">
                <w10:wrap anchorx="page"/>
              </v:rect>
            </w:pict>
          </mc:Fallback>
        </mc:AlternateContent>
      </w:r>
      <w:r w:rsidR="00033D0F">
        <w:rPr>
          <w:spacing w:val="-2"/>
          <w:position w:val="1"/>
        </w:rPr>
        <w:t>Australia's position is that information on the additional</w:t>
      </w:r>
      <w:r w:rsidR="00033D0F">
        <w:rPr>
          <w:position w:val="1"/>
        </w:rPr>
        <w:tab/>
        <w:t>was</w:t>
      </w:r>
      <w:r w:rsidR="00033D0F">
        <w:rPr>
          <w:spacing w:val="-11"/>
          <w:position w:val="1"/>
        </w:rPr>
        <w:t xml:space="preserve"> </w:t>
      </w:r>
      <w:r w:rsidR="00033D0F">
        <w:rPr>
          <w:position w:val="1"/>
        </w:rPr>
        <w:t>not</w:t>
      </w:r>
      <w:r w:rsidR="00033D0F">
        <w:rPr>
          <w:spacing w:val="-11"/>
          <w:position w:val="1"/>
        </w:rPr>
        <w:t xml:space="preserve"> </w:t>
      </w:r>
      <w:r w:rsidR="00033D0F">
        <w:rPr>
          <w:spacing w:val="-4"/>
          <w:position w:val="1"/>
        </w:rPr>
        <w:t>only</w:t>
      </w:r>
    </w:p>
    <w:p w14:paraId="33635BF9" w14:textId="63FEC430" w:rsidR="00BD462C" w:rsidRDefault="00D70C7D">
      <w:pPr>
        <w:pStyle w:val="BodyText"/>
        <w:tabs>
          <w:tab w:val="left" w:pos="7278"/>
        </w:tabs>
        <w:spacing w:before="144" w:line="360" w:lineRule="auto"/>
        <w:ind w:left="135" w:right="914"/>
        <w:jc w:val="both"/>
      </w:pPr>
      <w:r>
        <w:rPr>
          <w:noProof/>
        </w:rPr>
        <mc:AlternateContent>
          <mc:Choice Requires="wps">
            <w:drawing>
              <wp:anchor distT="0" distB="0" distL="114300" distR="114300" simplePos="0" relativeHeight="478927360" behindDoc="1" locked="0" layoutInCell="1" allowOverlap="1" wp14:anchorId="06DF81FB" wp14:editId="4BE374CB">
                <wp:simplePos x="0" y="0"/>
                <wp:positionH relativeFrom="page">
                  <wp:posOffset>2633345</wp:posOffset>
                </wp:positionH>
                <wp:positionV relativeFrom="paragraph">
                  <wp:posOffset>648335</wp:posOffset>
                </wp:positionV>
                <wp:extent cx="2721610" cy="186055"/>
                <wp:effectExtent l="0" t="0" r="0" b="0"/>
                <wp:wrapNone/>
                <wp:docPr id="1274" name="docshape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161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7ADB6D" id="docshape79" o:spid="_x0000_s1026" alt="&quot;&quot;" style="position:absolute;margin-left:207.35pt;margin-top:51.05pt;width:214.3pt;height:14.65pt;z-index:-2438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" fillcolor="black" stroked="f">
                <w10:wrap anchorx="page"/>
              </v:rect>
            </w:pict>
          </mc:Fallback>
        </mc:AlternateContent>
      </w:r>
      <w:r w:rsidR="00033D0F">
        <w:t>not</w:t>
      </w:r>
      <w:r w:rsidR="00033D0F">
        <w:rPr>
          <w:spacing w:val="-4"/>
        </w:rPr>
        <w:t xml:space="preserve"> </w:t>
      </w:r>
      <w:r w:rsidR="00033D0F">
        <w:t>requested,</w:t>
      </w:r>
      <w:r w:rsidR="00033D0F">
        <w:rPr>
          <w:spacing w:val="-3"/>
        </w:rPr>
        <w:t xml:space="preserve"> </w:t>
      </w:r>
      <w:r w:rsidR="00033D0F">
        <w:t>but</w:t>
      </w:r>
      <w:r w:rsidR="00033D0F">
        <w:rPr>
          <w:spacing w:val="-4"/>
        </w:rPr>
        <w:t xml:space="preserve"> </w:t>
      </w:r>
      <w:r w:rsidR="00033D0F">
        <w:t>it</w:t>
      </w:r>
      <w:r w:rsidR="00033D0F">
        <w:rPr>
          <w:spacing w:val="-4"/>
        </w:rPr>
        <w:t xml:space="preserve"> </w:t>
      </w:r>
      <w:r w:rsidR="00033D0F">
        <w:t>was</w:t>
      </w:r>
      <w:r w:rsidR="00033D0F">
        <w:rPr>
          <w:spacing w:val="-3"/>
        </w:rPr>
        <w:t xml:space="preserve"> </w:t>
      </w:r>
      <w:r w:rsidR="00033D0F">
        <w:t>also</w:t>
      </w:r>
      <w:r w:rsidR="00033D0F">
        <w:rPr>
          <w:spacing w:val="-6"/>
        </w:rPr>
        <w:t xml:space="preserve"> </w:t>
      </w:r>
      <w:r w:rsidR="00033D0F">
        <w:t>not</w:t>
      </w:r>
      <w:r w:rsidR="00033D0F">
        <w:rPr>
          <w:spacing w:val="-4"/>
        </w:rPr>
        <w:t xml:space="preserve"> </w:t>
      </w:r>
      <w:r w:rsidR="00033D0F">
        <w:t>necessary</w:t>
      </w:r>
      <w:r w:rsidR="00033D0F">
        <w:rPr>
          <w:spacing w:val="-3"/>
        </w:rPr>
        <w:t xml:space="preserve"> </w:t>
      </w:r>
      <w:r w:rsidR="00033D0F">
        <w:t>for</w:t>
      </w:r>
      <w:r w:rsidR="00033D0F">
        <w:rPr>
          <w:spacing w:val="-6"/>
        </w:rPr>
        <w:t xml:space="preserve"> </w:t>
      </w:r>
      <w:r w:rsidR="00033D0F">
        <w:t>the</w:t>
      </w:r>
      <w:r w:rsidR="00033D0F">
        <w:rPr>
          <w:spacing w:val="-4"/>
        </w:rPr>
        <w:t xml:space="preserve"> </w:t>
      </w:r>
      <w:r w:rsidR="00033D0F">
        <w:t>dumping</w:t>
      </w:r>
      <w:r w:rsidR="00033D0F">
        <w:rPr>
          <w:spacing w:val="-3"/>
        </w:rPr>
        <w:t xml:space="preserve"> </w:t>
      </w:r>
      <w:r w:rsidR="00033D0F">
        <w:t>calculations</w:t>
      </w:r>
      <w:r w:rsidR="00033D0F">
        <w:rPr>
          <w:spacing w:val="-3"/>
        </w:rPr>
        <w:t xml:space="preserve"> </w:t>
      </w:r>
      <w:r w:rsidR="00033D0F">
        <w:t>because</w:t>
      </w:r>
      <w:r w:rsidR="00033D0F">
        <w:rPr>
          <w:spacing w:val="-4"/>
        </w:rPr>
        <w:t xml:space="preserve"> </w:t>
      </w:r>
      <w:r w:rsidR="00033D0F">
        <w:t>margins</w:t>
      </w:r>
      <w:r w:rsidR="00033D0F">
        <w:rPr>
          <w:spacing w:val="-3"/>
        </w:rPr>
        <w:t xml:space="preserve"> </w:t>
      </w:r>
      <w:r w:rsidR="00033D0F">
        <w:t>of dumping</w:t>
      </w:r>
      <w:r w:rsidR="00033D0F">
        <w:rPr>
          <w:spacing w:val="-6"/>
        </w:rPr>
        <w:t xml:space="preserve"> </w:t>
      </w:r>
      <w:r w:rsidR="00033D0F">
        <w:t>were</w:t>
      </w:r>
      <w:r w:rsidR="00033D0F">
        <w:rPr>
          <w:spacing w:val="-7"/>
        </w:rPr>
        <w:t xml:space="preserve"> </w:t>
      </w:r>
      <w:r w:rsidR="00033D0F">
        <w:t>calculated</w:t>
      </w:r>
      <w:r w:rsidR="00033D0F">
        <w:rPr>
          <w:spacing w:val="-9"/>
        </w:rPr>
        <w:t xml:space="preserve"> </w:t>
      </w:r>
      <w:r w:rsidR="00033D0F">
        <w:t>on</w:t>
      </w:r>
      <w:r w:rsidR="00033D0F">
        <w:rPr>
          <w:spacing w:val="-9"/>
        </w:rPr>
        <w:t xml:space="preserve"> </w:t>
      </w:r>
      <w:r w:rsidR="00033D0F">
        <w:t>a</w:t>
      </w:r>
      <w:r w:rsidR="00033D0F">
        <w:rPr>
          <w:spacing w:val="-8"/>
        </w:rPr>
        <w:t xml:space="preserve"> </w:t>
      </w:r>
      <w:r w:rsidR="00033D0F">
        <w:t>PCN-by-PCN</w:t>
      </w:r>
      <w:r w:rsidR="00033D0F">
        <w:rPr>
          <w:spacing w:val="-4"/>
        </w:rPr>
        <w:t xml:space="preserve"> </w:t>
      </w:r>
      <w:r w:rsidR="00033D0F">
        <w:t>basis</w:t>
      </w:r>
      <w:r w:rsidR="00033D0F">
        <w:rPr>
          <w:spacing w:val="-10"/>
        </w:rPr>
        <w:t xml:space="preserve"> </w:t>
      </w:r>
      <w:r w:rsidR="00033D0F">
        <w:t>which</w:t>
      </w:r>
      <w:r w:rsidR="00033D0F">
        <w:rPr>
          <w:spacing w:val="-9"/>
        </w:rPr>
        <w:t xml:space="preserve"> </w:t>
      </w:r>
      <w:r w:rsidR="00033D0F">
        <w:t>required</w:t>
      </w:r>
      <w:r w:rsidR="00033D0F">
        <w:rPr>
          <w:spacing w:val="-9"/>
        </w:rPr>
        <w:t xml:space="preserve"> </w:t>
      </w:r>
      <w:r w:rsidR="00033D0F">
        <w:t>export</w:t>
      </w:r>
      <w:r w:rsidR="00033D0F">
        <w:rPr>
          <w:spacing w:val="-7"/>
        </w:rPr>
        <w:t xml:space="preserve"> </w:t>
      </w:r>
      <w:r w:rsidR="00033D0F">
        <w:t>and</w:t>
      </w:r>
      <w:r w:rsidR="00033D0F">
        <w:rPr>
          <w:spacing w:val="-4"/>
        </w:rPr>
        <w:t xml:space="preserve"> </w:t>
      </w:r>
      <w:r w:rsidR="00033D0F">
        <w:t>domestic</w:t>
      </w:r>
      <w:r w:rsidR="00033D0F">
        <w:rPr>
          <w:spacing w:val="-8"/>
        </w:rPr>
        <w:t xml:space="preserve"> </w:t>
      </w:r>
      <w:r w:rsidR="00033D0F">
        <w:t>PCNs</w:t>
      </w:r>
      <w:r w:rsidR="00033D0F">
        <w:rPr>
          <w:spacing w:val="-6"/>
        </w:rPr>
        <w:t xml:space="preserve"> </w:t>
      </w:r>
      <w:r w:rsidR="00033D0F">
        <w:t>to be</w:t>
      </w:r>
      <w:r w:rsidR="00033D0F">
        <w:rPr>
          <w:spacing w:val="65"/>
        </w:rPr>
        <w:t xml:space="preserve"> </w:t>
      </w:r>
      <w:r w:rsidR="00033D0F">
        <w:t>matched.</w:t>
      </w:r>
      <w:r w:rsidR="00033D0F">
        <w:rPr>
          <w:spacing w:val="69"/>
        </w:rPr>
        <w:t xml:space="preserve"> </w:t>
      </w:r>
      <w:r w:rsidR="00033D0F">
        <w:t>There</w:t>
      </w:r>
      <w:r w:rsidR="00033D0F">
        <w:rPr>
          <w:spacing w:val="68"/>
        </w:rPr>
        <w:t xml:space="preserve"> </w:t>
      </w:r>
      <w:r w:rsidR="00033D0F">
        <w:rPr>
          <w:spacing w:val="-4"/>
        </w:rPr>
        <w:t>were</w:t>
      </w:r>
      <w:r w:rsidR="00033D0F">
        <w:tab/>
        <w:t>and,</w:t>
      </w:r>
      <w:r w:rsidR="00033D0F">
        <w:rPr>
          <w:spacing w:val="67"/>
        </w:rPr>
        <w:t xml:space="preserve"> </w:t>
      </w:r>
      <w:r w:rsidR="00033D0F">
        <w:t>therefore,</w:t>
      </w:r>
      <w:r w:rsidR="00033D0F">
        <w:rPr>
          <w:spacing w:val="67"/>
        </w:rPr>
        <w:t xml:space="preserve"> </w:t>
      </w:r>
      <w:r w:rsidR="00033D0F">
        <w:rPr>
          <w:spacing w:val="-5"/>
        </w:rPr>
        <w:t>no</w:t>
      </w:r>
    </w:p>
    <w:p w14:paraId="05CC2093" w14:textId="77777777" w:rsidR="00BD462C" w:rsidRDefault="00033D0F">
      <w:pPr>
        <w:pStyle w:val="BodyText"/>
        <w:spacing w:line="290" w:lineRule="exact"/>
        <w:ind w:left="136"/>
        <w:jc w:val="both"/>
      </w:pPr>
      <w:r>
        <w:t>margins</w:t>
      </w:r>
      <w:r>
        <w:rPr>
          <w:spacing w:val="-3"/>
        </w:rPr>
        <w:t xml:space="preserve"> </w:t>
      </w:r>
      <w:r>
        <w:t>of</w:t>
      </w:r>
      <w:r>
        <w:rPr>
          <w:spacing w:val="-4"/>
        </w:rPr>
        <w:t xml:space="preserve"> </w:t>
      </w:r>
      <w:r>
        <w:t>dumping</w:t>
      </w:r>
      <w:r>
        <w:rPr>
          <w:spacing w:val="-2"/>
        </w:rPr>
        <w:t xml:space="preserve"> </w:t>
      </w:r>
      <w:r>
        <w:t>to</w:t>
      </w:r>
      <w:r>
        <w:rPr>
          <w:spacing w:val="-6"/>
        </w:rPr>
        <w:t xml:space="preserve"> </w:t>
      </w:r>
      <w:r>
        <w:t>be</w:t>
      </w:r>
      <w:r>
        <w:rPr>
          <w:spacing w:val="1"/>
        </w:rPr>
        <w:t xml:space="preserve"> </w:t>
      </w:r>
      <w:r>
        <w:rPr>
          <w:spacing w:val="-2"/>
        </w:rPr>
        <w:t>calculated.</w:t>
      </w:r>
    </w:p>
    <w:p w14:paraId="030A54F6" w14:textId="77777777" w:rsidR="00BD462C" w:rsidRDefault="00BD462C">
      <w:pPr>
        <w:pStyle w:val="BodyText"/>
        <w:spacing w:before="11"/>
        <w:rPr>
          <w:sz w:val="20"/>
        </w:rPr>
      </w:pPr>
    </w:p>
    <w:p w14:paraId="3E6A25A1" w14:textId="2E383313" w:rsidR="00BD462C" w:rsidRDefault="00D70C7D" w:rsidP="00831B37">
      <w:pPr>
        <w:pStyle w:val="BodyText"/>
        <w:numPr>
          <w:ilvl w:val="0"/>
          <w:numId w:val="69"/>
        </w:numPr>
        <w:spacing w:before="56" w:line="357" w:lineRule="auto"/>
        <w:ind w:right="913" w:hanging="638"/>
        <w:jc w:val="both"/>
      </w:pPr>
      <w:r>
        <w:rPr>
          <w:noProof/>
        </w:rPr>
        <mc:AlternateContent>
          <mc:Choice Requires="wps">
            <w:drawing>
              <wp:anchor distT="0" distB="0" distL="114300" distR="114300" simplePos="0" relativeHeight="478927872" behindDoc="1" locked="0" layoutInCell="1" allowOverlap="1" wp14:anchorId="478A3C1F" wp14:editId="70046E74">
                <wp:simplePos x="0" y="0"/>
                <wp:positionH relativeFrom="page">
                  <wp:posOffset>4270375</wp:posOffset>
                </wp:positionH>
                <wp:positionV relativeFrom="paragraph">
                  <wp:posOffset>589280</wp:posOffset>
                </wp:positionV>
                <wp:extent cx="2389505" cy="186055"/>
                <wp:effectExtent l="0" t="0" r="0" b="0"/>
                <wp:wrapNone/>
                <wp:docPr id="1272" name="docshape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950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44D436" id="docshape80" o:spid="_x0000_s1026" alt="&quot;&quot;" style="position:absolute;margin-left:336.25pt;margin-top:46.4pt;width:188.15pt;height:14.65pt;z-index:-2438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" fillcolor="black" stroked="f">
                <w10:wrap anchorx="page"/>
              </v:rect>
            </w:pict>
          </mc:Fallback>
        </mc:AlternateContent>
      </w:r>
      <w:r w:rsidR="00033D0F">
        <w:rPr>
          <w:position w:val="1"/>
        </w:rPr>
        <w:t xml:space="preserve">Even if it was necessary information, in light of the foregoing, an unbiased and </w:t>
      </w:r>
      <w:r w:rsidR="00033D0F">
        <w:t xml:space="preserve">objective investigating authority would have found that it was valid for Treasury Wines to interpret the questionnaire in the manner </w:t>
      </w:r>
      <w:proofErr w:type="gramStart"/>
      <w:r w:rsidR="00033D0F">
        <w:t>it</w:t>
      </w:r>
      <w:proofErr w:type="gramEnd"/>
      <w:r w:rsidR="00033D0F">
        <w:t xml:space="preserve"> d and</w:t>
      </w:r>
    </w:p>
    <w:p w14:paraId="0932572D" w14:textId="04626D35" w:rsidR="00BD462C" w:rsidRDefault="00D70C7D">
      <w:pPr>
        <w:pStyle w:val="BodyText"/>
        <w:spacing w:before="6" w:line="360" w:lineRule="auto"/>
        <w:ind w:left="135" w:right="912" w:firstLine="8928"/>
        <w:jc w:val="both"/>
      </w:pPr>
      <w:r>
        <w:rPr>
          <w:noProof/>
        </w:rPr>
        <mc:AlternateContent>
          <mc:Choice Requires="wps">
            <w:drawing>
              <wp:anchor distT="0" distB="0" distL="114300" distR="114300" simplePos="0" relativeHeight="15767040" behindDoc="0" locked="0" layoutInCell="1" allowOverlap="1" wp14:anchorId="3A5F9F09" wp14:editId="458532C6">
                <wp:simplePos x="0" y="0"/>
                <wp:positionH relativeFrom="page">
                  <wp:posOffset>899160</wp:posOffset>
                </wp:positionH>
                <wp:positionV relativeFrom="paragraph">
                  <wp:posOffset>2540</wp:posOffset>
                </wp:positionV>
                <wp:extent cx="5550535" cy="186055"/>
                <wp:effectExtent l="0" t="0" r="0" b="0"/>
                <wp:wrapNone/>
                <wp:docPr id="1270" name="docshape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053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880220" id="docshape81" o:spid="_x0000_s1026" alt="&quot;&quot;" style="position:absolute;margin-left:70.8pt;margin-top:.2pt;width:437.05pt;height:14.65pt;z-index:1576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" fillcolor="black" stroked="f">
                <w10:wrap anchorx="page"/>
              </v:rect>
            </w:pict>
          </mc:Fallback>
        </mc:AlternateContent>
      </w:r>
      <w:r>
        <w:rPr>
          <w:noProof/>
        </w:rPr>
        <mc:AlternateContent>
          <mc:Choice Requires="wps">
            <w:drawing>
              <wp:anchor distT="0" distB="0" distL="114300" distR="114300" simplePos="0" relativeHeight="15767552" behindDoc="0" locked="0" layoutInCell="1" allowOverlap="1" wp14:anchorId="0164F2E4" wp14:editId="21F9B7CA">
                <wp:simplePos x="0" y="0"/>
                <wp:positionH relativeFrom="page">
                  <wp:posOffset>3239770</wp:posOffset>
                </wp:positionH>
                <wp:positionV relativeFrom="paragraph">
                  <wp:posOffset>837565</wp:posOffset>
                </wp:positionV>
                <wp:extent cx="3420110" cy="186055"/>
                <wp:effectExtent l="0" t="0" r="0" b="0"/>
                <wp:wrapNone/>
                <wp:docPr id="1268" name="docshape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011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4D8011" id="docshape82" o:spid="_x0000_s1026" alt="&quot;&quot;" style="position:absolute;margin-left:255.1pt;margin-top:65.95pt;width:269.3pt;height:14.65pt;z-index:1576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" fillcolor="black" stroked="f">
                <w10:wrap anchorx="page"/>
              </v:rect>
            </w:pict>
          </mc:Fallback>
        </mc:AlternateContent>
      </w:r>
      <w:r w:rsidR="00033D0F">
        <w:rPr>
          <w:spacing w:val="-6"/>
        </w:rPr>
        <w:t xml:space="preserve">It </w:t>
      </w:r>
      <w:r w:rsidR="00033D0F">
        <w:t>would also have found that in responding in the manner it did, Treasury Wines acted to the best of its ability within the meaning of paragraph 5 of Annex</w:t>
      </w:r>
      <w:r w:rsidR="00033D0F">
        <w:rPr>
          <w:spacing w:val="-1"/>
        </w:rPr>
        <w:t xml:space="preserve"> </w:t>
      </w:r>
      <w:r w:rsidR="00033D0F">
        <w:t xml:space="preserve">II. There is no factual basis to </w:t>
      </w:r>
      <w:proofErr w:type="gramStart"/>
      <w:r w:rsidR="00033D0F">
        <w:t>support</w:t>
      </w:r>
      <w:r w:rsidR="00033D0F">
        <w:rPr>
          <w:spacing w:val="40"/>
        </w:rPr>
        <w:t xml:space="preserve">  </w:t>
      </w:r>
      <w:r w:rsidR="00033D0F">
        <w:t>China's</w:t>
      </w:r>
      <w:proofErr w:type="gramEnd"/>
      <w:r w:rsidR="00033D0F">
        <w:rPr>
          <w:spacing w:val="40"/>
        </w:rPr>
        <w:t xml:space="preserve">  </w:t>
      </w:r>
      <w:r w:rsidR="00033D0F">
        <w:t>assertion</w:t>
      </w:r>
      <w:r w:rsidR="00033D0F">
        <w:rPr>
          <w:spacing w:val="80"/>
          <w:w w:val="150"/>
        </w:rPr>
        <w:t xml:space="preserve"> </w:t>
      </w:r>
      <w:r w:rsidR="00033D0F">
        <w:t>that</w:t>
      </w:r>
    </w:p>
    <w:p w14:paraId="6B4720FA" w14:textId="51FF5C68" w:rsidR="00BD462C" w:rsidRDefault="00AC5C65">
      <w:pPr>
        <w:pStyle w:val="BodyText"/>
        <w:ind w:left="136"/>
        <w:rPr>
          <w:sz w:val="20"/>
        </w:rPr>
      </w:pPr>
      <w:r>
        <w:rPr>
          <w:noProof/>
        </w:rPr>
        <mc:AlternateContent>
          <mc:Choice Requires="wps">
            <w:drawing>
              <wp:anchor distT="0" distB="0" distL="114300" distR="114300" simplePos="0" relativeHeight="488311296" behindDoc="0" locked="0" layoutInCell="1" allowOverlap="1" wp14:anchorId="4C88D2DA" wp14:editId="2998A897">
                <wp:simplePos x="0" y="0"/>
                <wp:positionH relativeFrom="page">
                  <wp:posOffset>897255</wp:posOffset>
                </wp:positionH>
                <wp:positionV relativeFrom="paragraph">
                  <wp:posOffset>-635</wp:posOffset>
                </wp:positionV>
                <wp:extent cx="5550535" cy="186055"/>
                <wp:effectExtent l="0" t="0" r="0" b="4445"/>
                <wp:wrapNone/>
                <wp:docPr id="1148" name="docshape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053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F707D8" id="docshape81" o:spid="_x0000_s1026" alt="&quot;&quot;" style="position:absolute;margin-left:70.65pt;margin-top:-.05pt;width:437.05pt;height:14.65pt;z-index:48831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" fillcolor="black" stroked="f">
                <w10:wrap anchorx="page"/>
              </v:rect>
            </w:pict>
          </mc:Fallback>
        </mc:AlternateContent>
      </w:r>
    </w:p>
    <w:p w14:paraId="22C9098A" w14:textId="3A851820" w:rsidR="00BD462C" w:rsidRDefault="00D70C7D">
      <w:pPr>
        <w:pStyle w:val="BodyText"/>
        <w:spacing w:before="4"/>
        <w:rPr>
          <w:sz w:val="7"/>
        </w:rPr>
      </w:pPr>
      <w:r>
        <w:rPr>
          <w:noProof/>
        </w:rPr>
        <mc:AlternateContent>
          <mc:Choice Requires="wps">
            <w:drawing>
              <wp:anchor distT="0" distB="0" distL="0" distR="0" simplePos="0" relativeHeight="487624704" behindDoc="1" locked="0" layoutInCell="1" allowOverlap="1" wp14:anchorId="58AE7CEE" wp14:editId="040C7C68">
                <wp:simplePos x="0" y="0"/>
                <wp:positionH relativeFrom="page">
                  <wp:posOffset>899160</wp:posOffset>
                </wp:positionH>
                <wp:positionV relativeFrom="paragraph">
                  <wp:posOffset>72390</wp:posOffset>
                </wp:positionV>
                <wp:extent cx="1911350" cy="186055"/>
                <wp:effectExtent l="0" t="0" r="0" b="0"/>
                <wp:wrapTopAndBottom/>
                <wp:docPr id="1262" name="docshape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67A8C3" id="docshape85" o:spid="_x0000_s1026" alt="&quot;&quot;" style="position:absolute;margin-left:70.8pt;margin-top:5.7pt;width:150.5pt;height:14.65pt;z-index:-1569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" fillcolor="black" stroked="f">
                <w10:wrap type="topAndBottom" anchorx="page"/>
              </v:rect>
            </w:pict>
          </mc:Fallback>
        </mc:AlternateContent>
      </w:r>
    </w:p>
    <w:p w14:paraId="157FAA35" w14:textId="77777777" w:rsidR="00BD462C" w:rsidRDefault="00BD462C">
      <w:pPr>
        <w:pStyle w:val="BodyText"/>
        <w:spacing w:before="8"/>
        <w:rPr>
          <w:sz w:val="20"/>
        </w:rPr>
      </w:pPr>
    </w:p>
    <w:p w14:paraId="5DB17A22" w14:textId="0F775964" w:rsidR="00BD462C" w:rsidRDefault="00033D0F" w:rsidP="00831B37">
      <w:pPr>
        <w:pStyle w:val="BodyText"/>
        <w:numPr>
          <w:ilvl w:val="0"/>
          <w:numId w:val="69"/>
        </w:numPr>
        <w:spacing w:before="56" w:line="360" w:lineRule="auto"/>
        <w:ind w:right="914" w:hanging="638"/>
        <w:jc w:val="both"/>
      </w:pPr>
      <w:r>
        <w:rPr>
          <w:position w:val="1"/>
        </w:rPr>
        <w:t xml:space="preserve">If, after reviewing Treasury Wines' responses, such an investigating authority </w:t>
      </w:r>
      <w:r>
        <w:t>determined that the questionnaire was deficient because it did not "specify in detail" the sought-after</w:t>
      </w:r>
      <w:r>
        <w:rPr>
          <w:spacing w:val="40"/>
        </w:rPr>
        <w:t xml:space="preserve"> </w:t>
      </w:r>
      <w:r>
        <w:t>information,</w:t>
      </w:r>
      <w:r>
        <w:rPr>
          <w:spacing w:val="40"/>
        </w:rPr>
        <w:t xml:space="preserve"> </w:t>
      </w:r>
      <w:r>
        <w:t>it</w:t>
      </w:r>
      <w:r>
        <w:rPr>
          <w:spacing w:val="40"/>
        </w:rPr>
        <w:t xml:space="preserve"> </w:t>
      </w:r>
      <w:r>
        <w:t>would</w:t>
      </w:r>
      <w:r>
        <w:rPr>
          <w:spacing w:val="40"/>
        </w:rPr>
        <w:t xml:space="preserve"> </w:t>
      </w:r>
      <w:r>
        <w:t>have</w:t>
      </w:r>
      <w:r>
        <w:rPr>
          <w:spacing w:val="40"/>
        </w:rPr>
        <w:t xml:space="preserve"> </w:t>
      </w:r>
      <w:r>
        <w:t>clarified</w:t>
      </w:r>
      <w:r>
        <w:rPr>
          <w:spacing w:val="40"/>
        </w:rPr>
        <w:t xml:space="preserve"> </w:t>
      </w:r>
      <w:r>
        <w:t>the</w:t>
      </w:r>
      <w:r>
        <w:rPr>
          <w:spacing w:val="40"/>
        </w:rPr>
        <w:t xml:space="preserve"> </w:t>
      </w:r>
      <w:r>
        <w:t>scope</w:t>
      </w:r>
      <w:r>
        <w:rPr>
          <w:spacing w:val="40"/>
        </w:rPr>
        <w:t xml:space="preserve"> </w:t>
      </w:r>
      <w:r>
        <w:t>of</w:t>
      </w:r>
      <w:r>
        <w:rPr>
          <w:spacing w:val="40"/>
        </w:rPr>
        <w:t xml:space="preserve"> </w:t>
      </w:r>
      <w:r>
        <w:t>the</w:t>
      </w:r>
      <w:r>
        <w:rPr>
          <w:spacing w:val="40"/>
        </w:rPr>
        <w:t xml:space="preserve"> </w:t>
      </w:r>
      <w:r>
        <w:t>question</w:t>
      </w:r>
      <w:r>
        <w:rPr>
          <w:spacing w:val="40"/>
        </w:rPr>
        <w:t xml:space="preserve"> </w:t>
      </w:r>
      <w:r>
        <w:t>with</w:t>
      </w:r>
      <w:r>
        <w:rPr>
          <w:spacing w:val="80"/>
        </w:rPr>
        <w:t xml:space="preserve"> </w:t>
      </w:r>
      <w:r>
        <w:t>Treasury</w:t>
      </w:r>
      <w:r>
        <w:rPr>
          <w:spacing w:val="-1"/>
        </w:rPr>
        <w:t xml:space="preserve"> </w:t>
      </w:r>
      <w:r>
        <w:t>Wines and would have provided a reasonable period of time for Treasury Wines to provide the additional information. MOFCOM failed to do this and, therefore, acted inconsistently with paragraph 1 of Annex II (by failing to "specify in detail the information required from any interested party") and paragraph 6 of Annex</w:t>
      </w:r>
      <w:r>
        <w:rPr>
          <w:spacing w:val="-1"/>
        </w:rPr>
        <w:t xml:space="preserve"> </w:t>
      </w:r>
      <w:r>
        <w:t>II (by failing to "inform […] forthwith of the reasons [for not accepting the information], and [giving Treasury Wines] an opportunity to provide further explanations [including the additional information] within a reasonable period".</w:t>
      </w:r>
    </w:p>
    <w:p w14:paraId="7CA7641B" w14:textId="77777777" w:rsidR="00BD462C" w:rsidRDefault="00BD462C">
      <w:pPr>
        <w:pStyle w:val="BodyText"/>
        <w:spacing w:before="7"/>
        <w:rPr>
          <w:sz w:val="8"/>
        </w:rPr>
      </w:pPr>
    </w:p>
    <w:p w14:paraId="3CB86661" w14:textId="4C24D44F" w:rsidR="00BD462C" w:rsidRDefault="00033D0F" w:rsidP="00831B37">
      <w:pPr>
        <w:pStyle w:val="BodyText"/>
        <w:numPr>
          <w:ilvl w:val="0"/>
          <w:numId w:val="69"/>
        </w:numPr>
        <w:spacing w:before="56" w:line="357" w:lineRule="auto"/>
        <w:ind w:right="923" w:hanging="638"/>
      </w:pPr>
      <w:bookmarkStart w:id="289" w:name="_bookmark253"/>
      <w:bookmarkEnd w:id="289"/>
      <w:r>
        <w:rPr>
          <w:position w:val="1"/>
        </w:rPr>
        <w:t>If</w:t>
      </w:r>
      <w:r>
        <w:rPr>
          <w:spacing w:val="40"/>
          <w:position w:val="1"/>
        </w:rPr>
        <w:t xml:space="preserve"> </w:t>
      </w:r>
      <w:r>
        <w:rPr>
          <w:position w:val="1"/>
        </w:rPr>
        <w:t>an</w:t>
      </w:r>
      <w:r>
        <w:rPr>
          <w:spacing w:val="40"/>
          <w:position w:val="1"/>
        </w:rPr>
        <w:t xml:space="preserve"> </w:t>
      </w:r>
      <w:r>
        <w:rPr>
          <w:position w:val="1"/>
        </w:rPr>
        <w:t>investigating</w:t>
      </w:r>
      <w:r>
        <w:rPr>
          <w:spacing w:val="40"/>
          <w:position w:val="1"/>
        </w:rPr>
        <w:t xml:space="preserve"> </w:t>
      </w:r>
      <w:r>
        <w:rPr>
          <w:position w:val="1"/>
        </w:rPr>
        <w:t>authority</w:t>
      </w:r>
      <w:r>
        <w:rPr>
          <w:spacing w:val="40"/>
          <w:position w:val="1"/>
        </w:rPr>
        <w:t xml:space="preserve"> </w:t>
      </w:r>
      <w:r>
        <w:rPr>
          <w:position w:val="1"/>
        </w:rPr>
        <w:t>has</w:t>
      </w:r>
      <w:r>
        <w:rPr>
          <w:spacing w:val="40"/>
          <w:position w:val="1"/>
        </w:rPr>
        <w:t xml:space="preserve"> </w:t>
      </w:r>
      <w:r>
        <w:rPr>
          <w:position w:val="1"/>
        </w:rPr>
        <w:t>legitimate</w:t>
      </w:r>
      <w:r>
        <w:rPr>
          <w:spacing w:val="40"/>
          <w:position w:val="1"/>
        </w:rPr>
        <w:t xml:space="preserve"> </w:t>
      </w:r>
      <w:r>
        <w:rPr>
          <w:position w:val="1"/>
        </w:rPr>
        <w:t>concerns</w:t>
      </w:r>
      <w:r>
        <w:rPr>
          <w:spacing w:val="40"/>
          <w:position w:val="1"/>
        </w:rPr>
        <w:t xml:space="preserve"> </w:t>
      </w:r>
      <w:r>
        <w:rPr>
          <w:position w:val="1"/>
        </w:rPr>
        <w:t>regarding</w:t>
      </w:r>
      <w:r>
        <w:rPr>
          <w:spacing w:val="40"/>
          <w:position w:val="1"/>
        </w:rPr>
        <w:t xml:space="preserve"> </w:t>
      </w:r>
      <w:r>
        <w:rPr>
          <w:position w:val="1"/>
        </w:rPr>
        <w:t>the</w:t>
      </w:r>
      <w:r>
        <w:rPr>
          <w:spacing w:val="40"/>
          <w:position w:val="1"/>
        </w:rPr>
        <w:t xml:space="preserve"> </w:t>
      </w:r>
      <w:r>
        <w:rPr>
          <w:position w:val="1"/>
        </w:rPr>
        <w:t xml:space="preserve">information </w:t>
      </w:r>
      <w:r>
        <w:t>provided,</w:t>
      </w:r>
      <w:r>
        <w:rPr>
          <w:spacing w:val="16"/>
        </w:rPr>
        <w:t xml:space="preserve"> </w:t>
      </w:r>
      <w:r>
        <w:t>it</w:t>
      </w:r>
      <w:r>
        <w:rPr>
          <w:spacing w:val="17"/>
        </w:rPr>
        <w:t xml:space="preserve"> </w:t>
      </w:r>
      <w:r>
        <w:t>must</w:t>
      </w:r>
      <w:r>
        <w:rPr>
          <w:spacing w:val="16"/>
        </w:rPr>
        <w:t xml:space="preserve"> </w:t>
      </w:r>
      <w:r>
        <w:t>take</w:t>
      </w:r>
      <w:r>
        <w:rPr>
          <w:spacing w:val="17"/>
        </w:rPr>
        <w:t xml:space="preserve"> </w:t>
      </w:r>
      <w:r>
        <w:t>reasonable</w:t>
      </w:r>
      <w:r>
        <w:rPr>
          <w:spacing w:val="17"/>
        </w:rPr>
        <w:t xml:space="preserve"> </w:t>
      </w:r>
      <w:r>
        <w:t>steps</w:t>
      </w:r>
      <w:r>
        <w:rPr>
          <w:spacing w:val="17"/>
        </w:rPr>
        <w:t xml:space="preserve"> </w:t>
      </w:r>
      <w:r>
        <w:t>to</w:t>
      </w:r>
      <w:r>
        <w:rPr>
          <w:spacing w:val="14"/>
        </w:rPr>
        <w:t xml:space="preserve"> </w:t>
      </w:r>
      <w:r>
        <w:t>investigate</w:t>
      </w:r>
      <w:r>
        <w:rPr>
          <w:spacing w:val="16"/>
        </w:rPr>
        <w:t xml:space="preserve"> </w:t>
      </w:r>
      <w:r>
        <w:t>and</w:t>
      </w:r>
      <w:r>
        <w:rPr>
          <w:spacing w:val="15"/>
        </w:rPr>
        <w:t xml:space="preserve"> </w:t>
      </w:r>
      <w:r>
        <w:t>clarify</w:t>
      </w:r>
      <w:r>
        <w:rPr>
          <w:spacing w:val="18"/>
        </w:rPr>
        <w:t xml:space="preserve"> </w:t>
      </w:r>
      <w:r>
        <w:t>before</w:t>
      </w:r>
      <w:r>
        <w:rPr>
          <w:spacing w:val="16"/>
        </w:rPr>
        <w:t xml:space="preserve"> </w:t>
      </w:r>
      <w:r>
        <w:t>it</w:t>
      </w:r>
      <w:r>
        <w:rPr>
          <w:spacing w:val="17"/>
        </w:rPr>
        <w:t xml:space="preserve"> </w:t>
      </w:r>
      <w:r>
        <w:t>may</w:t>
      </w:r>
      <w:r>
        <w:rPr>
          <w:spacing w:val="18"/>
        </w:rPr>
        <w:t xml:space="preserve"> </w:t>
      </w:r>
      <w:r>
        <w:rPr>
          <w:spacing w:val="-2"/>
        </w:rPr>
        <w:t>permissibly</w:t>
      </w:r>
    </w:p>
    <w:p w14:paraId="093C79C6" w14:textId="69921719" w:rsidR="00BD462C" w:rsidRDefault="006E6DEA">
      <w:pPr>
        <w:pStyle w:val="BodyText"/>
        <w:spacing w:before="3"/>
        <w:rPr>
          <w:sz w:val="15"/>
        </w:rPr>
      </w:pPr>
      <w:r>
        <w:rPr>
          <w:noProof/>
        </w:rPr>
        <mc:AlternateContent>
          <mc:Choice Requires="wps">
            <w:drawing>
              <wp:anchor distT="0" distB="0" distL="0" distR="0" simplePos="0" relativeHeight="488155648" behindDoc="1" locked="0" layoutInCell="1" allowOverlap="1" wp14:anchorId="248D1B69" wp14:editId="7C7993E1">
                <wp:simplePos x="0" y="0"/>
                <wp:positionH relativeFrom="page">
                  <wp:posOffset>812800</wp:posOffset>
                </wp:positionH>
                <wp:positionV relativeFrom="paragraph">
                  <wp:posOffset>118745</wp:posOffset>
                </wp:positionV>
                <wp:extent cx="1828800" cy="8890"/>
                <wp:effectExtent l="0" t="0" r="0" b="0"/>
                <wp:wrapTopAndBottom/>
                <wp:docPr id="129" name="docshape7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84A6EE" id="docshape705" o:spid="_x0000_s1026" alt="&quot;&quot;" style="position:absolute;margin-left:64pt;margin-top:9.35pt;width:2in;height:.7pt;z-index:-1516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" fillcolor="black" stroked="f">
                <w10:wrap type="topAndBottom" anchorx="page"/>
              </v:rect>
            </w:pict>
          </mc:Fallback>
        </mc:AlternateContent>
      </w:r>
    </w:p>
    <w:p w14:paraId="70184EEF" w14:textId="77777777" w:rsidR="00BD462C" w:rsidRDefault="00033D0F">
      <w:pPr>
        <w:spacing w:before="112"/>
        <w:ind w:left="135"/>
        <w:rPr>
          <w:sz w:val="18"/>
        </w:rPr>
      </w:pPr>
      <w:bookmarkStart w:id="290" w:name="_bookmark254"/>
      <w:bookmarkEnd w:id="290"/>
      <w:r>
        <w:rPr>
          <w:position w:val="5"/>
          <w:sz w:val="12"/>
        </w:rPr>
        <w:t>195</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para. 363</w:t>
      </w:r>
      <w:r>
        <w:rPr>
          <w:spacing w:val="-10"/>
          <w:sz w:val="18"/>
        </w:rPr>
        <w:t xml:space="preserve"> </w:t>
      </w:r>
      <w:r>
        <w:rPr>
          <w:sz w:val="18"/>
        </w:rPr>
        <w:t xml:space="preserve">(emphasis </w:t>
      </w:r>
      <w:r>
        <w:rPr>
          <w:spacing w:val="-2"/>
          <w:sz w:val="18"/>
        </w:rPr>
        <w:t>added).</w:t>
      </w:r>
    </w:p>
    <w:p w14:paraId="6F9914E4" w14:textId="77777777" w:rsidR="00BD462C" w:rsidRDefault="00033D0F">
      <w:pPr>
        <w:spacing w:before="1"/>
        <w:ind w:left="135"/>
        <w:rPr>
          <w:sz w:val="18"/>
        </w:rPr>
      </w:pPr>
      <w:bookmarkStart w:id="291" w:name="_bookmark255"/>
      <w:bookmarkEnd w:id="291"/>
      <w:r>
        <w:rPr>
          <w:position w:val="5"/>
          <w:sz w:val="12"/>
        </w:rPr>
        <w:t>196</w:t>
      </w:r>
      <w:r>
        <w:rPr>
          <w:spacing w:val="13"/>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 xml:space="preserve">para. </w:t>
      </w:r>
      <w:r>
        <w:rPr>
          <w:spacing w:val="-4"/>
          <w:sz w:val="18"/>
        </w:rPr>
        <w:t>277.</w:t>
      </w:r>
    </w:p>
    <w:p w14:paraId="5EC36896" w14:textId="77777777" w:rsidR="00BD462C" w:rsidRDefault="00BD462C">
      <w:pPr>
        <w:rPr>
          <w:sz w:val="18"/>
        </w:rPr>
        <w:sectPr w:rsidR="00BD462C">
          <w:pgSz w:w="11910" w:h="16840"/>
          <w:pgMar w:top="860" w:right="500" w:bottom="780" w:left="1280" w:header="566" w:footer="590" w:gutter="0"/>
          <w:cols w:space="720"/>
        </w:sectPr>
      </w:pPr>
    </w:p>
    <w:p w14:paraId="099022C7"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7992EF6D"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14F81F36"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0DD222C7" w14:textId="19016D9C" w:rsidR="00BD462C" w:rsidRDefault="00D70C7D">
      <w:pPr>
        <w:pStyle w:val="BodyText"/>
        <w:tabs>
          <w:tab w:val="left" w:pos="5060"/>
        </w:tabs>
        <w:spacing w:before="102" w:line="360" w:lineRule="auto"/>
        <w:ind w:left="135" w:right="908"/>
        <w:jc w:val="both"/>
      </w:pPr>
      <w:r>
        <w:rPr>
          <w:noProof/>
        </w:rPr>
        <mc:AlternateContent>
          <mc:Choice Requires="wps">
            <w:drawing>
              <wp:anchor distT="0" distB="0" distL="114300" distR="114300" simplePos="0" relativeHeight="478930432" behindDoc="1" locked="0" layoutInCell="1" allowOverlap="1" wp14:anchorId="767493ED" wp14:editId="5F2B2981">
                <wp:simplePos x="0" y="0"/>
                <wp:positionH relativeFrom="page">
                  <wp:posOffset>3255010</wp:posOffset>
                </wp:positionH>
                <wp:positionV relativeFrom="paragraph">
                  <wp:posOffset>1179195</wp:posOffset>
                </wp:positionV>
                <wp:extent cx="740410" cy="186055"/>
                <wp:effectExtent l="0" t="0" r="0" b="0"/>
                <wp:wrapNone/>
                <wp:docPr id="1258" name="docshape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041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D622CD" id="docshape87" o:spid="_x0000_s1026" alt="&quot;&quot;" style="position:absolute;margin-left:256.3pt;margin-top:92.85pt;width:58.3pt;height:14.65pt;z-index:-2438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" fillcolor="black" stroked="f">
                <w10:wrap anchorx="page"/>
              </v:rect>
            </w:pict>
          </mc:Fallback>
        </mc:AlternateContent>
      </w:r>
      <w:r w:rsidR="00033D0F">
        <w:t>have recourse to the facts available.</w:t>
      </w:r>
      <w:hyperlink w:anchor="_bookmark256" w:history="1">
        <w:r w:rsidR="00033D0F">
          <w:rPr>
            <w:vertAlign w:val="superscript"/>
          </w:rPr>
          <w:t>197</w:t>
        </w:r>
      </w:hyperlink>
      <w:r w:rsidR="00033D0F">
        <w:t xml:space="preserve"> By not doing so and acting inconsistently with paragraphs 1 and 6 of Annex II, MOFCOM acted</w:t>
      </w:r>
      <w:r w:rsidR="00033D0F">
        <w:rPr>
          <w:spacing w:val="-4"/>
        </w:rPr>
        <w:t xml:space="preserve"> </w:t>
      </w:r>
      <w:r w:rsidR="00033D0F">
        <w:t>inconsistently with Article 6.8 in resorting to facts</w:t>
      </w:r>
      <w:r w:rsidR="00033D0F">
        <w:rPr>
          <w:spacing w:val="-14"/>
        </w:rPr>
        <w:t xml:space="preserve"> </w:t>
      </w:r>
      <w:r w:rsidR="00033D0F">
        <w:t>available</w:t>
      </w:r>
      <w:r w:rsidR="00033D0F">
        <w:rPr>
          <w:spacing w:val="-14"/>
        </w:rPr>
        <w:t xml:space="preserve"> </w:t>
      </w:r>
      <w:r w:rsidR="00033D0F">
        <w:t>on</w:t>
      </w:r>
      <w:r w:rsidR="00033D0F">
        <w:rPr>
          <w:spacing w:val="-13"/>
        </w:rPr>
        <w:t xml:space="preserve"> </w:t>
      </w:r>
      <w:r w:rsidR="00033D0F">
        <w:t>the</w:t>
      </w:r>
      <w:r w:rsidR="00033D0F">
        <w:rPr>
          <w:spacing w:val="-14"/>
        </w:rPr>
        <w:t xml:space="preserve"> </w:t>
      </w:r>
      <w:r w:rsidR="00033D0F">
        <w:t>basis</w:t>
      </w:r>
      <w:r w:rsidR="00033D0F">
        <w:rPr>
          <w:spacing w:val="-10"/>
        </w:rPr>
        <w:t xml:space="preserve"> </w:t>
      </w:r>
      <w:r w:rsidR="00033D0F">
        <w:t>that</w:t>
      </w:r>
      <w:r w:rsidR="00033D0F">
        <w:rPr>
          <w:spacing w:val="-12"/>
        </w:rPr>
        <w:t xml:space="preserve"> </w:t>
      </w:r>
      <w:r w:rsidR="00033D0F">
        <w:t>Treasury</w:t>
      </w:r>
      <w:r w:rsidR="00033D0F">
        <w:rPr>
          <w:spacing w:val="-12"/>
        </w:rPr>
        <w:t xml:space="preserve"> </w:t>
      </w:r>
      <w:r w:rsidR="00033D0F">
        <w:t>Wines</w:t>
      </w:r>
      <w:r w:rsidR="00033D0F">
        <w:rPr>
          <w:spacing w:val="-11"/>
        </w:rPr>
        <w:t xml:space="preserve"> </w:t>
      </w:r>
      <w:r w:rsidR="00033D0F">
        <w:t>did</w:t>
      </w:r>
      <w:r w:rsidR="00033D0F">
        <w:rPr>
          <w:spacing w:val="-14"/>
        </w:rPr>
        <w:t xml:space="preserve"> </w:t>
      </w:r>
      <w:r w:rsidR="00033D0F">
        <w:t>not</w:t>
      </w:r>
      <w:r w:rsidR="00033D0F">
        <w:rPr>
          <w:spacing w:val="-11"/>
        </w:rPr>
        <w:t xml:space="preserve"> </w:t>
      </w:r>
      <w:r w:rsidR="00033D0F">
        <w:t>report</w:t>
      </w:r>
      <w:r w:rsidR="00033D0F">
        <w:rPr>
          <w:spacing w:val="-12"/>
        </w:rPr>
        <w:t xml:space="preserve"> </w:t>
      </w:r>
      <w:r w:rsidR="00033D0F">
        <w:t>of</w:t>
      </w:r>
      <w:r w:rsidR="00033D0F">
        <w:rPr>
          <w:spacing w:val="-14"/>
        </w:rPr>
        <w:t xml:space="preserve"> </w:t>
      </w:r>
      <w:r w:rsidR="00033D0F">
        <w:t>cost</w:t>
      </w:r>
      <w:r w:rsidR="00033D0F">
        <w:rPr>
          <w:spacing w:val="-11"/>
        </w:rPr>
        <w:t xml:space="preserve"> </w:t>
      </w:r>
      <w:r w:rsidR="00033D0F">
        <w:t>of</w:t>
      </w:r>
      <w:r w:rsidR="00033D0F">
        <w:rPr>
          <w:spacing w:val="-10"/>
        </w:rPr>
        <w:t xml:space="preserve"> </w:t>
      </w:r>
      <w:r w:rsidR="00033D0F">
        <w:t>production</w:t>
      </w:r>
      <w:r w:rsidR="00033D0F">
        <w:rPr>
          <w:spacing w:val="-10"/>
        </w:rPr>
        <w:t xml:space="preserve"> </w:t>
      </w:r>
      <w:r w:rsidR="00033D0F">
        <w:t>of</w:t>
      </w:r>
      <w:r w:rsidR="00033D0F">
        <w:rPr>
          <w:spacing w:val="-14"/>
        </w:rPr>
        <w:t xml:space="preserve"> </w:t>
      </w:r>
      <w:r w:rsidR="00033D0F">
        <w:rPr>
          <w:i/>
        </w:rPr>
        <w:t>all</w:t>
      </w:r>
      <w:r w:rsidR="00033D0F">
        <w:rPr>
          <w:i/>
          <w:spacing w:val="-9"/>
        </w:rPr>
        <w:t xml:space="preserve"> </w:t>
      </w:r>
      <w:r w:rsidR="00033D0F">
        <w:t>PCNs sold on the domestic market when responding to Forms 6-3 and 6-4. Alternatively, if China's argument that the information on the</w:t>
      </w:r>
      <w:r w:rsidR="00033D0F">
        <w:tab/>
        <w:t>was</w:t>
      </w:r>
      <w:r w:rsidR="00033D0F">
        <w:rPr>
          <w:spacing w:val="-9"/>
        </w:rPr>
        <w:t xml:space="preserve"> </w:t>
      </w:r>
      <w:r w:rsidR="00033D0F">
        <w:t>required</w:t>
      </w:r>
      <w:r w:rsidR="00033D0F">
        <w:rPr>
          <w:spacing w:val="-12"/>
        </w:rPr>
        <w:t xml:space="preserve"> </w:t>
      </w:r>
      <w:r w:rsidR="00033D0F">
        <w:t>by</w:t>
      </w:r>
      <w:r w:rsidR="00033D0F">
        <w:rPr>
          <w:spacing w:val="-9"/>
        </w:rPr>
        <w:t xml:space="preserve"> </w:t>
      </w:r>
      <w:r w:rsidR="00033D0F">
        <w:t>MOFCOM</w:t>
      </w:r>
      <w:r w:rsidR="00033D0F">
        <w:rPr>
          <w:spacing w:val="-10"/>
        </w:rPr>
        <w:t xml:space="preserve"> </w:t>
      </w:r>
      <w:r w:rsidR="00033D0F">
        <w:t>is</w:t>
      </w:r>
      <w:r w:rsidR="00033D0F">
        <w:rPr>
          <w:spacing w:val="-9"/>
        </w:rPr>
        <w:t xml:space="preserve"> </w:t>
      </w:r>
      <w:r w:rsidR="00033D0F">
        <w:t>accepted,</w:t>
      </w:r>
      <w:r w:rsidR="00033D0F">
        <w:rPr>
          <w:spacing w:val="-8"/>
        </w:rPr>
        <w:t xml:space="preserve"> </w:t>
      </w:r>
      <w:r w:rsidR="00033D0F">
        <w:t>not only did MOFCOM fail to act in accordance with paragraph 1 of Annex II, as set out below, it also</w:t>
      </w:r>
      <w:r w:rsidR="00033D0F">
        <w:rPr>
          <w:spacing w:val="-9"/>
        </w:rPr>
        <w:t xml:space="preserve"> </w:t>
      </w:r>
      <w:r w:rsidR="00033D0F">
        <w:t>acted</w:t>
      </w:r>
      <w:r w:rsidR="00033D0F">
        <w:rPr>
          <w:spacing w:val="-8"/>
        </w:rPr>
        <w:t xml:space="preserve"> </w:t>
      </w:r>
      <w:r w:rsidR="00033D0F">
        <w:t>inconsistently</w:t>
      </w:r>
      <w:r w:rsidR="00033D0F">
        <w:rPr>
          <w:spacing w:val="-5"/>
        </w:rPr>
        <w:t xml:space="preserve"> </w:t>
      </w:r>
      <w:r w:rsidR="00033D0F">
        <w:t>with</w:t>
      </w:r>
      <w:r w:rsidR="00033D0F">
        <w:rPr>
          <w:spacing w:val="-8"/>
        </w:rPr>
        <w:t xml:space="preserve"> </w:t>
      </w:r>
      <w:r w:rsidR="00033D0F">
        <w:t>Article</w:t>
      </w:r>
      <w:r w:rsidR="00033D0F">
        <w:rPr>
          <w:spacing w:val="-6"/>
        </w:rPr>
        <w:t xml:space="preserve"> </w:t>
      </w:r>
      <w:r w:rsidR="00033D0F">
        <w:t>6.1</w:t>
      </w:r>
      <w:r w:rsidR="00033D0F">
        <w:rPr>
          <w:spacing w:val="-8"/>
        </w:rPr>
        <w:t xml:space="preserve"> </w:t>
      </w:r>
      <w:r w:rsidR="00033D0F">
        <w:t>because</w:t>
      </w:r>
      <w:r w:rsidR="00033D0F">
        <w:rPr>
          <w:spacing w:val="-6"/>
        </w:rPr>
        <w:t xml:space="preserve"> </w:t>
      </w:r>
      <w:r w:rsidR="00033D0F">
        <w:t>it</w:t>
      </w:r>
      <w:r w:rsidR="00033D0F">
        <w:rPr>
          <w:spacing w:val="-6"/>
        </w:rPr>
        <w:t xml:space="preserve"> </w:t>
      </w:r>
      <w:r w:rsidR="00033D0F">
        <w:t>did</w:t>
      </w:r>
      <w:r w:rsidR="00033D0F">
        <w:rPr>
          <w:spacing w:val="-8"/>
        </w:rPr>
        <w:t xml:space="preserve"> </w:t>
      </w:r>
      <w:r w:rsidR="00033D0F">
        <w:t>not</w:t>
      </w:r>
      <w:r w:rsidR="00033D0F">
        <w:rPr>
          <w:spacing w:val="-1"/>
        </w:rPr>
        <w:t xml:space="preserve"> </w:t>
      </w:r>
      <w:r w:rsidR="00033D0F">
        <w:t>give</w:t>
      </w:r>
      <w:r w:rsidR="00033D0F">
        <w:rPr>
          <w:spacing w:val="-6"/>
        </w:rPr>
        <w:t xml:space="preserve"> </w:t>
      </w:r>
      <w:r w:rsidR="00033D0F">
        <w:t>Treasury</w:t>
      </w:r>
      <w:r w:rsidR="00033D0F">
        <w:rPr>
          <w:spacing w:val="-5"/>
        </w:rPr>
        <w:t xml:space="preserve"> </w:t>
      </w:r>
      <w:r w:rsidR="00033D0F">
        <w:t>Wines</w:t>
      </w:r>
      <w:r w:rsidR="00033D0F">
        <w:rPr>
          <w:spacing w:val="-5"/>
        </w:rPr>
        <w:t xml:space="preserve"> </w:t>
      </w:r>
      <w:r w:rsidR="00033D0F">
        <w:t>"notice</w:t>
      </w:r>
      <w:r w:rsidR="00033D0F">
        <w:rPr>
          <w:spacing w:val="-6"/>
        </w:rPr>
        <w:t xml:space="preserve"> </w:t>
      </w:r>
      <w:r w:rsidR="00033D0F">
        <w:t>of</w:t>
      </w:r>
      <w:r w:rsidR="00033D0F">
        <w:rPr>
          <w:spacing w:val="-3"/>
        </w:rPr>
        <w:t xml:space="preserve"> </w:t>
      </w:r>
      <w:r w:rsidR="00033D0F">
        <w:t>the information which the authorities require".</w:t>
      </w:r>
    </w:p>
    <w:p w14:paraId="518CDCB2" w14:textId="6C53CE30" w:rsidR="00BD462C" w:rsidRDefault="00D70C7D">
      <w:pPr>
        <w:pStyle w:val="BodyText"/>
        <w:spacing w:before="9"/>
        <w:rPr>
          <w:sz w:val="10"/>
        </w:rPr>
      </w:pPr>
      <w:r>
        <w:rPr>
          <w:noProof/>
        </w:rPr>
        <mc:AlternateContent>
          <mc:Choice Requires="wps">
            <w:drawing>
              <wp:anchor distT="0" distB="0" distL="0" distR="0" simplePos="0" relativeHeight="487628288" behindDoc="1" locked="0" layoutInCell="1" allowOverlap="1" wp14:anchorId="715BEB4D" wp14:editId="6E0D41D9">
                <wp:simplePos x="0" y="0"/>
                <wp:positionH relativeFrom="page">
                  <wp:posOffset>2520950</wp:posOffset>
                </wp:positionH>
                <wp:positionV relativeFrom="paragraph">
                  <wp:posOffset>98425</wp:posOffset>
                </wp:positionV>
                <wp:extent cx="1755775" cy="186055"/>
                <wp:effectExtent l="0" t="0" r="0" b="0"/>
                <wp:wrapTopAndBottom/>
                <wp:docPr id="1256" name="docshape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5775" cy="186055"/>
                        </a:xfrm>
                        <a:custGeom>
                          <a:avLst/>
                          <a:gdLst>
                            <a:gd name="T0" fmla="+- 0 6734 3970"/>
                            <a:gd name="T1" fmla="*/ T0 w 2765"/>
                            <a:gd name="T2" fmla="+- 0 155 155"/>
                            <a:gd name="T3" fmla="*/ 155 h 293"/>
                            <a:gd name="T4" fmla="+- 0 3970 3970"/>
                            <a:gd name="T5" fmla="*/ T4 w 2765"/>
                            <a:gd name="T6" fmla="+- 0 155 155"/>
                            <a:gd name="T7" fmla="*/ 155 h 293"/>
                            <a:gd name="T8" fmla="+- 0 3970 3970"/>
                            <a:gd name="T9" fmla="*/ T8 w 2765"/>
                            <a:gd name="T10" fmla="+- 0 414 155"/>
                            <a:gd name="T11" fmla="*/ 414 h 293"/>
                            <a:gd name="T12" fmla="+- 0 3970 3970"/>
                            <a:gd name="T13" fmla="*/ T12 w 2765"/>
                            <a:gd name="T14" fmla="+- 0 429 155"/>
                            <a:gd name="T15" fmla="*/ 429 h 293"/>
                            <a:gd name="T16" fmla="+- 0 3970 3970"/>
                            <a:gd name="T17" fmla="*/ T16 w 2765"/>
                            <a:gd name="T18" fmla="+- 0 448 155"/>
                            <a:gd name="T19" fmla="*/ 448 h 293"/>
                            <a:gd name="T20" fmla="+- 0 6734 3970"/>
                            <a:gd name="T21" fmla="*/ T20 w 2765"/>
                            <a:gd name="T22" fmla="+- 0 448 155"/>
                            <a:gd name="T23" fmla="*/ 448 h 293"/>
                            <a:gd name="T24" fmla="+- 0 6734 3970"/>
                            <a:gd name="T25" fmla="*/ T24 w 2765"/>
                            <a:gd name="T26" fmla="+- 0 429 155"/>
                            <a:gd name="T27" fmla="*/ 429 h 293"/>
                            <a:gd name="T28" fmla="+- 0 6734 3970"/>
                            <a:gd name="T29" fmla="*/ T28 w 2765"/>
                            <a:gd name="T30" fmla="+- 0 414 155"/>
                            <a:gd name="T31" fmla="*/ 414 h 293"/>
                            <a:gd name="T32" fmla="+- 0 6734 3970"/>
                            <a:gd name="T33" fmla="*/ T32 w 2765"/>
                            <a:gd name="T34" fmla="+- 0 155 155"/>
                            <a:gd name="T35" fmla="*/ 155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765" h="293">
                              <a:moveTo>
                                <a:pt x="2764" y="0"/>
                              </a:moveTo>
                              <a:lnTo>
                                <a:pt x="0" y="0"/>
                              </a:lnTo>
                              <a:lnTo>
                                <a:pt x="0" y="259"/>
                              </a:lnTo>
                              <a:lnTo>
                                <a:pt x="0" y="274"/>
                              </a:lnTo>
                              <a:lnTo>
                                <a:pt x="0" y="293"/>
                              </a:lnTo>
                              <a:lnTo>
                                <a:pt x="2764" y="293"/>
                              </a:lnTo>
                              <a:lnTo>
                                <a:pt x="2764" y="274"/>
                              </a:lnTo>
                              <a:lnTo>
                                <a:pt x="2764" y="259"/>
                              </a:lnTo>
                              <a:lnTo>
                                <a:pt x="27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0E8AF" id="docshape88" o:spid="_x0000_s1026" alt="&quot;&quot;" style="position:absolute;margin-left:198.5pt;margin-top:7.75pt;width:138.25pt;height:14.65pt;z-index:-15688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65,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" path="m2764,l,,,259r,15l,293r2764,l2764,274r,-15l2764,xe" fillcolor="black" stroked="f">
                <v:path arrowok="t" o:connecttype="custom" o:connectlocs="1755140,98425;0,98425;0,262890;0,272415;0,284480;1755140,284480;1755140,272415;1755140,262890;1755140,98425" o:connectangles="0,0,0,0,0,0,0,0,0"/>
                <w10:wrap type="topAndBottom" anchorx="page"/>
              </v:shape>
            </w:pict>
          </mc:Fallback>
        </mc:AlternateContent>
      </w:r>
    </w:p>
    <w:p w14:paraId="23FB7F8B" w14:textId="77777777" w:rsidR="00BD462C" w:rsidRDefault="00BD462C">
      <w:pPr>
        <w:pStyle w:val="BodyText"/>
        <w:spacing w:before="1"/>
        <w:rPr>
          <w:sz w:val="21"/>
        </w:rPr>
      </w:pPr>
    </w:p>
    <w:p w14:paraId="0258BA09" w14:textId="1EEA2A51" w:rsidR="00BD462C" w:rsidRDefault="00D70C7D" w:rsidP="00087BDF">
      <w:pPr>
        <w:pStyle w:val="BodyText"/>
        <w:numPr>
          <w:ilvl w:val="0"/>
          <w:numId w:val="69"/>
        </w:numPr>
        <w:spacing w:before="56" w:line="357" w:lineRule="auto"/>
        <w:ind w:right="923"/>
      </w:pPr>
      <w:r>
        <w:rPr>
          <w:noProof/>
        </w:rPr>
        <mc:AlternateContent>
          <mc:Choice Requires="wps">
            <w:drawing>
              <wp:anchor distT="0" distB="0" distL="114300" distR="114300" simplePos="0" relativeHeight="15769600" behindDoc="0" locked="0" layoutInCell="1" allowOverlap="1" wp14:anchorId="6E5ED1A5" wp14:editId="0DA41826">
                <wp:simplePos x="0" y="0"/>
                <wp:positionH relativeFrom="page">
                  <wp:posOffset>899160</wp:posOffset>
                </wp:positionH>
                <wp:positionV relativeFrom="paragraph">
                  <wp:posOffset>311785</wp:posOffset>
                </wp:positionV>
                <wp:extent cx="1212850" cy="186055"/>
                <wp:effectExtent l="0" t="0" r="0" b="0"/>
                <wp:wrapNone/>
                <wp:docPr id="1254" name="docshape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8836D6" id="docshape89" o:spid="_x0000_s1026" alt="&quot;&quot;" style="position:absolute;margin-left:70.8pt;margin-top:24.55pt;width:95.5pt;height:14.65pt;z-index:1576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" fillcolor="black" stroked="f">
                <w10:wrap anchorx="page"/>
              </v:rect>
            </w:pict>
          </mc:Fallback>
        </mc:AlternateContent>
      </w:r>
      <w:bookmarkStart w:id="292" w:name="(b)_[[XXXXXXXXXXXXX]]"/>
      <w:bookmarkEnd w:id="292"/>
      <w:r w:rsidR="00033D0F">
        <w:rPr>
          <w:position w:val="1"/>
        </w:rPr>
        <w:t>China's</w:t>
      </w:r>
      <w:r w:rsidR="00033D0F">
        <w:rPr>
          <w:spacing w:val="22"/>
          <w:position w:val="1"/>
        </w:rPr>
        <w:t xml:space="preserve"> </w:t>
      </w:r>
      <w:r w:rsidR="00033D0F">
        <w:rPr>
          <w:position w:val="1"/>
        </w:rPr>
        <w:t>position regarding</w:t>
      </w:r>
      <w:r w:rsidR="00033D0F">
        <w:rPr>
          <w:spacing w:val="22"/>
          <w:position w:val="1"/>
        </w:rPr>
        <w:t xml:space="preserve"> </w:t>
      </w:r>
      <w:r w:rsidR="00033D0F">
        <w:rPr>
          <w:position w:val="1"/>
        </w:rPr>
        <w:t>MOFCOM's</w:t>
      </w:r>
      <w:r w:rsidR="00033D0F">
        <w:rPr>
          <w:spacing w:val="22"/>
          <w:position w:val="1"/>
        </w:rPr>
        <w:t xml:space="preserve"> </w:t>
      </w:r>
      <w:r w:rsidR="00033D0F">
        <w:rPr>
          <w:position w:val="1"/>
        </w:rPr>
        <w:t>findings</w:t>
      </w:r>
      <w:r w:rsidR="00033D0F">
        <w:rPr>
          <w:spacing w:val="22"/>
          <w:position w:val="1"/>
        </w:rPr>
        <w:t xml:space="preserve"> </w:t>
      </w:r>
      <w:r w:rsidR="00033D0F">
        <w:rPr>
          <w:position w:val="1"/>
        </w:rPr>
        <w:t>about</w:t>
      </w:r>
      <w:r w:rsidR="00033D0F">
        <w:rPr>
          <w:spacing w:val="26"/>
          <w:position w:val="1"/>
        </w:rPr>
        <w:t xml:space="preserve"> </w:t>
      </w:r>
      <w:r w:rsidR="00033D0F">
        <w:rPr>
          <w:position w:val="1"/>
        </w:rPr>
        <w:t>Treasury</w:t>
      </w:r>
      <w:r w:rsidR="00033D0F">
        <w:rPr>
          <w:spacing w:val="22"/>
          <w:position w:val="1"/>
        </w:rPr>
        <w:t xml:space="preserve"> </w:t>
      </w:r>
      <w:r w:rsidR="00033D0F">
        <w:rPr>
          <w:position w:val="1"/>
        </w:rPr>
        <w:t>Wines' reporting</w:t>
      </w:r>
      <w:r w:rsidR="00033D0F">
        <w:rPr>
          <w:spacing w:val="22"/>
          <w:position w:val="1"/>
        </w:rPr>
        <w:t xml:space="preserve"> </w:t>
      </w:r>
      <w:r w:rsidR="00033D0F">
        <w:rPr>
          <w:position w:val="1"/>
        </w:rPr>
        <w:t xml:space="preserve">of </w:t>
      </w:r>
      <w:r w:rsidR="00033D0F">
        <w:t>and the application of facts available is inconsistent.</w:t>
      </w:r>
    </w:p>
    <w:p w14:paraId="20E5AA23" w14:textId="77777777" w:rsidR="00BD462C" w:rsidRDefault="00BD462C">
      <w:pPr>
        <w:pStyle w:val="BodyText"/>
        <w:spacing w:before="2"/>
        <w:rPr>
          <w:sz w:val="9"/>
        </w:rPr>
      </w:pPr>
    </w:p>
    <w:p w14:paraId="25BCC368" w14:textId="6BE98EA1" w:rsidR="00BD462C" w:rsidRDefault="00033D0F" w:rsidP="00087BDF">
      <w:pPr>
        <w:pStyle w:val="BodyText"/>
        <w:numPr>
          <w:ilvl w:val="0"/>
          <w:numId w:val="69"/>
        </w:numPr>
        <w:spacing w:before="57"/>
      </w:pPr>
      <w:r>
        <w:rPr>
          <w:position w:val="1"/>
        </w:rPr>
        <w:t>China argues that:</w:t>
      </w:r>
    </w:p>
    <w:p w14:paraId="55A12A39" w14:textId="77777777" w:rsidR="00BD462C" w:rsidRDefault="00BD462C">
      <w:pPr>
        <w:pStyle w:val="BodyText"/>
        <w:spacing w:before="3"/>
        <w:rPr>
          <w:sz w:val="16"/>
        </w:rPr>
      </w:pPr>
    </w:p>
    <w:p w14:paraId="22DDA473" w14:textId="207669A8" w:rsidR="00BD462C" w:rsidRDefault="00D70C7D">
      <w:pPr>
        <w:pStyle w:val="ListParagraph"/>
        <w:numPr>
          <w:ilvl w:val="0"/>
          <w:numId w:val="61"/>
        </w:numPr>
        <w:tabs>
          <w:tab w:val="left" w:pos="1835"/>
          <w:tab w:val="left" w:pos="1836"/>
          <w:tab w:val="left" w:pos="2905"/>
          <w:tab w:val="left" w:pos="3797"/>
          <w:tab w:val="left" w:pos="5387"/>
        </w:tabs>
        <w:spacing w:before="101"/>
        <w:ind w:hanging="851"/>
        <w:rPr>
          <w:sz w:val="24"/>
        </w:rPr>
      </w:pPr>
      <w:r>
        <w:rPr>
          <w:noProof/>
        </w:rPr>
        <mc:AlternateContent>
          <mc:Choice Requires="wps">
            <w:drawing>
              <wp:anchor distT="0" distB="0" distL="114300" distR="114300" simplePos="0" relativeHeight="15770112" behindDoc="0" locked="0" layoutInCell="1" allowOverlap="1" wp14:anchorId="648BF69D" wp14:editId="6B3F1616">
                <wp:simplePos x="0" y="0"/>
                <wp:positionH relativeFrom="page">
                  <wp:posOffset>4504690</wp:posOffset>
                </wp:positionH>
                <wp:positionV relativeFrom="paragraph">
                  <wp:posOffset>64770</wp:posOffset>
                </wp:positionV>
                <wp:extent cx="2155190" cy="191770"/>
                <wp:effectExtent l="0" t="0" r="0" b="0"/>
                <wp:wrapNone/>
                <wp:docPr id="1252" name="docshape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5190" cy="1917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337EC0" id="docshape90" o:spid="_x0000_s1026" alt="&quot;&quot;" style="position:absolute;margin-left:354.7pt;margin-top:5.1pt;width:169.7pt;height:15.1pt;z-index:1577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" fillcolor="black" stroked="f">
                <w10:wrap anchorx="page"/>
              </v:rect>
            </w:pict>
          </mc:Fallback>
        </mc:AlternateContent>
      </w:r>
      <w:r w:rsidR="00033D0F">
        <w:rPr>
          <w:spacing w:val="-2"/>
          <w:sz w:val="24"/>
        </w:rPr>
        <w:t>Treasury</w:t>
      </w:r>
      <w:r w:rsidR="00033D0F">
        <w:rPr>
          <w:sz w:val="24"/>
        </w:rPr>
        <w:tab/>
      </w:r>
      <w:r w:rsidR="00033D0F">
        <w:rPr>
          <w:spacing w:val="-2"/>
          <w:sz w:val="24"/>
        </w:rPr>
        <w:t>Wines'</w:t>
      </w:r>
      <w:r w:rsidR="00033D0F">
        <w:rPr>
          <w:sz w:val="24"/>
        </w:rPr>
        <w:tab/>
      </w:r>
      <w:r w:rsidR="00033D0F">
        <w:rPr>
          <w:spacing w:val="-2"/>
          <w:sz w:val="24"/>
        </w:rPr>
        <w:t>non-reporting</w:t>
      </w:r>
      <w:r w:rsidR="00033D0F">
        <w:rPr>
          <w:sz w:val="24"/>
        </w:rPr>
        <w:tab/>
      </w:r>
      <w:r w:rsidR="00033D0F">
        <w:rPr>
          <w:spacing w:val="-5"/>
          <w:sz w:val="24"/>
        </w:rPr>
        <w:t>of</w:t>
      </w:r>
    </w:p>
    <w:p w14:paraId="2BFA9E27" w14:textId="5C3E15E4" w:rsidR="00BD462C" w:rsidRDefault="00D70C7D">
      <w:pPr>
        <w:pStyle w:val="BodyText"/>
        <w:spacing w:before="148" w:line="357" w:lineRule="auto"/>
        <w:ind w:left="1840" w:right="923" w:firstLine="1977"/>
      </w:pPr>
      <w:r>
        <w:rPr>
          <w:noProof/>
        </w:rPr>
        <mc:AlternateContent>
          <mc:Choice Requires="wps">
            <w:drawing>
              <wp:anchor distT="0" distB="0" distL="114300" distR="114300" simplePos="0" relativeHeight="15770624" behindDoc="0" locked="0" layoutInCell="1" allowOverlap="1" wp14:anchorId="6880C76A" wp14:editId="4132278E">
                <wp:simplePos x="0" y="0"/>
                <wp:positionH relativeFrom="page">
                  <wp:posOffset>1981200</wp:posOffset>
                </wp:positionH>
                <wp:positionV relativeFrom="paragraph">
                  <wp:posOffset>92710</wp:posOffset>
                </wp:positionV>
                <wp:extent cx="1200785" cy="186055"/>
                <wp:effectExtent l="0" t="0" r="0" b="0"/>
                <wp:wrapNone/>
                <wp:docPr id="1250" name="docshape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78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555458" id="docshape91" o:spid="_x0000_s1026" alt="&quot;&quot;" style="position:absolute;margin-left:156pt;margin-top:7.3pt;width:94.55pt;height:14.65pt;z-index:1577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" fillcolor="black" stroked="f">
                <w10:wrap anchorx="page"/>
              </v:rect>
            </w:pict>
          </mc:Fallback>
        </mc:AlternateContent>
      </w:r>
      <w:r w:rsidR="00033D0F">
        <w:t>was</w:t>
      </w:r>
      <w:r w:rsidR="00033D0F">
        <w:rPr>
          <w:spacing w:val="31"/>
        </w:rPr>
        <w:t xml:space="preserve"> </w:t>
      </w:r>
      <w:r w:rsidR="00033D0F">
        <w:t>a</w:t>
      </w:r>
      <w:r w:rsidR="00033D0F">
        <w:rPr>
          <w:spacing w:val="29"/>
        </w:rPr>
        <w:t xml:space="preserve"> </w:t>
      </w:r>
      <w:r w:rsidR="00033D0F">
        <w:t>"minor</w:t>
      </w:r>
      <w:r w:rsidR="00033D0F">
        <w:rPr>
          <w:spacing w:val="31"/>
        </w:rPr>
        <w:t xml:space="preserve"> </w:t>
      </w:r>
      <w:r w:rsidR="00033D0F">
        <w:t>reason</w:t>
      </w:r>
      <w:r w:rsidR="00033D0F">
        <w:rPr>
          <w:spacing w:val="27"/>
        </w:rPr>
        <w:t xml:space="preserve"> </w:t>
      </w:r>
      <w:r w:rsidR="00033D0F">
        <w:t>[…]</w:t>
      </w:r>
      <w:r w:rsidR="00033D0F">
        <w:rPr>
          <w:spacing w:val="32"/>
        </w:rPr>
        <w:t xml:space="preserve"> </w:t>
      </w:r>
      <w:r w:rsidR="00033D0F">
        <w:t>for</w:t>
      </w:r>
      <w:r w:rsidR="00033D0F">
        <w:rPr>
          <w:spacing w:val="31"/>
        </w:rPr>
        <w:t xml:space="preserve"> </w:t>
      </w:r>
      <w:r w:rsidR="00033D0F">
        <w:t>the</w:t>
      </w:r>
      <w:r w:rsidR="00033D0F">
        <w:rPr>
          <w:spacing w:val="29"/>
        </w:rPr>
        <w:t xml:space="preserve"> </w:t>
      </w:r>
      <w:r w:rsidR="00033D0F">
        <w:t>ultimate</w:t>
      </w:r>
      <w:r w:rsidR="00033D0F">
        <w:rPr>
          <w:spacing w:val="29"/>
        </w:rPr>
        <w:t xml:space="preserve"> </w:t>
      </w:r>
      <w:r w:rsidR="00033D0F">
        <w:t>decision</w:t>
      </w:r>
      <w:r w:rsidR="00033D0F">
        <w:rPr>
          <w:spacing w:val="27"/>
        </w:rPr>
        <w:t xml:space="preserve"> </w:t>
      </w:r>
      <w:r w:rsidR="00033D0F">
        <w:t>to apply facts available";</w:t>
      </w:r>
      <w:hyperlink w:anchor="_bookmark257" w:history="1">
        <w:r w:rsidR="00033D0F">
          <w:rPr>
            <w:vertAlign w:val="superscript"/>
          </w:rPr>
          <w:t>198</w:t>
        </w:r>
      </w:hyperlink>
      <w:r w:rsidR="00033D0F">
        <w:t xml:space="preserve"> and</w:t>
      </w:r>
    </w:p>
    <w:p w14:paraId="489217DB" w14:textId="6029A558" w:rsidR="00BD462C" w:rsidRDefault="00D70C7D">
      <w:pPr>
        <w:pStyle w:val="ListParagraph"/>
        <w:numPr>
          <w:ilvl w:val="0"/>
          <w:numId w:val="61"/>
        </w:numPr>
        <w:tabs>
          <w:tab w:val="left" w:pos="1835"/>
          <w:tab w:val="left" w:pos="1836"/>
        </w:tabs>
        <w:spacing w:before="122"/>
        <w:ind w:hanging="851"/>
        <w:rPr>
          <w:sz w:val="24"/>
        </w:rPr>
      </w:pPr>
      <w:r>
        <w:rPr>
          <w:noProof/>
        </w:rPr>
        <mc:AlternateContent>
          <mc:Choice Requires="wps">
            <w:drawing>
              <wp:anchor distT="0" distB="0" distL="114300" distR="114300" simplePos="0" relativeHeight="15771136" behindDoc="0" locked="0" layoutInCell="1" allowOverlap="1" wp14:anchorId="2F6F1A4E" wp14:editId="6E3F313E">
                <wp:simplePos x="0" y="0"/>
                <wp:positionH relativeFrom="page">
                  <wp:posOffset>2372995</wp:posOffset>
                </wp:positionH>
                <wp:positionV relativeFrom="paragraph">
                  <wp:posOffset>78105</wp:posOffset>
                </wp:positionV>
                <wp:extent cx="4288790" cy="191770"/>
                <wp:effectExtent l="0" t="0" r="0" b="0"/>
                <wp:wrapNone/>
                <wp:docPr id="1248" name="docshape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8790" cy="1917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EBE508" id="docshape92" o:spid="_x0000_s1026" alt="&quot;&quot;" style="position:absolute;margin-left:186.85pt;margin-top:6.15pt;width:337.7pt;height:15.1pt;z-index:1577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" fillcolor="black" stroked="f">
                <w10:wrap anchorx="page"/>
              </v:rect>
            </w:pict>
          </mc:Fallback>
        </mc:AlternateContent>
      </w:r>
      <w:r w:rsidR="00033D0F">
        <w:rPr>
          <w:spacing w:val="-4"/>
          <w:sz w:val="24"/>
        </w:rPr>
        <w:t>"</w:t>
      </w:r>
      <w:proofErr w:type="gramStart"/>
      <w:r w:rsidR="00033D0F">
        <w:rPr>
          <w:spacing w:val="-4"/>
          <w:sz w:val="24"/>
        </w:rPr>
        <w:t>the</w:t>
      </w:r>
      <w:proofErr w:type="gramEnd"/>
    </w:p>
    <w:p w14:paraId="27AA16A9" w14:textId="2677EC49" w:rsidR="00BD462C" w:rsidRDefault="00D70C7D">
      <w:pPr>
        <w:pStyle w:val="BodyText"/>
        <w:spacing w:before="149" w:line="362" w:lineRule="auto"/>
        <w:ind w:left="1840" w:right="923" w:firstLine="2515"/>
      </w:pPr>
      <w:r>
        <w:rPr>
          <w:noProof/>
        </w:rPr>
        <mc:AlternateContent>
          <mc:Choice Requires="wps">
            <w:drawing>
              <wp:anchor distT="0" distB="0" distL="114300" distR="114300" simplePos="0" relativeHeight="15771648" behindDoc="0" locked="0" layoutInCell="1" allowOverlap="1" wp14:anchorId="5450F249" wp14:editId="680CBA31">
                <wp:simplePos x="0" y="0"/>
                <wp:positionH relativeFrom="page">
                  <wp:posOffset>1981200</wp:posOffset>
                </wp:positionH>
                <wp:positionV relativeFrom="paragraph">
                  <wp:posOffset>93345</wp:posOffset>
                </wp:positionV>
                <wp:extent cx="1597025" cy="186055"/>
                <wp:effectExtent l="0" t="0" r="0" b="0"/>
                <wp:wrapNone/>
                <wp:docPr id="1246" name="docshape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702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B4D1C" id="docshape93" o:spid="_x0000_s1026" alt="&quot;&quot;" style="position:absolute;margin-left:156pt;margin-top:7.35pt;width:125.75pt;height:14.65pt;z-index:1577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" fillcolor="black" stroked="f">
                <w10:wrap anchorx="page"/>
              </v:rect>
            </w:pict>
          </mc:Fallback>
        </mc:AlternateContent>
      </w:r>
      <w:r w:rsidR="00033D0F">
        <w:t>"</w:t>
      </w:r>
      <w:r w:rsidR="00033D0F">
        <w:rPr>
          <w:spacing w:val="-7"/>
        </w:rPr>
        <w:t xml:space="preserve"> </w:t>
      </w:r>
      <w:proofErr w:type="gramStart"/>
      <w:r w:rsidR="00033D0F">
        <w:t>was</w:t>
      </w:r>
      <w:proofErr w:type="gramEnd"/>
      <w:r w:rsidR="00033D0F">
        <w:rPr>
          <w:spacing w:val="-6"/>
        </w:rPr>
        <w:t xml:space="preserve"> </w:t>
      </w:r>
      <w:r w:rsidR="00033D0F">
        <w:t>a</w:t>
      </w:r>
      <w:r w:rsidR="00033D0F">
        <w:rPr>
          <w:spacing w:val="-7"/>
        </w:rPr>
        <w:t xml:space="preserve"> </w:t>
      </w:r>
      <w:r w:rsidR="00033D0F">
        <w:t>"main</w:t>
      </w:r>
      <w:r w:rsidR="00033D0F">
        <w:rPr>
          <w:spacing w:val="-8"/>
        </w:rPr>
        <w:t xml:space="preserve"> </w:t>
      </w:r>
      <w:r w:rsidR="00033D0F">
        <w:t>reason</w:t>
      </w:r>
      <w:r w:rsidR="00033D0F">
        <w:rPr>
          <w:spacing w:val="-8"/>
        </w:rPr>
        <w:t xml:space="preserve"> </w:t>
      </w:r>
      <w:r w:rsidR="00033D0F">
        <w:t>why</w:t>
      </w:r>
      <w:r w:rsidR="00033D0F">
        <w:rPr>
          <w:spacing w:val="-6"/>
        </w:rPr>
        <w:t xml:space="preserve"> </w:t>
      </w:r>
      <w:r w:rsidR="00033D0F">
        <w:t>MOFCOM</w:t>
      </w:r>
      <w:r w:rsidR="00033D0F">
        <w:rPr>
          <w:spacing w:val="-7"/>
        </w:rPr>
        <w:t xml:space="preserve"> </w:t>
      </w:r>
      <w:r w:rsidR="00033D0F">
        <w:t>had</w:t>
      </w:r>
      <w:r w:rsidR="00033D0F">
        <w:rPr>
          <w:spacing w:val="-8"/>
        </w:rPr>
        <w:t xml:space="preserve"> </w:t>
      </w:r>
      <w:r w:rsidR="00033D0F">
        <w:t>recourse to facts available" and was a "serious deficiency".</w:t>
      </w:r>
      <w:hyperlink w:anchor="_bookmark258" w:history="1">
        <w:r w:rsidR="00033D0F">
          <w:rPr>
            <w:vertAlign w:val="superscript"/>
          </w:rPr>
          <w:t>199</w:t>
        </w:r>
      </w:hyperlink>
    </w:p>
    <w:p w14:paraId="43340CAA" w14:textId="00E21EB6" w:rsidR="00BD462C" w:rsidRDefault="00D70C7D" w:rsidP="00AC5C65">
      <w:pPr>
        <w:pStyle w:val="BodyText"/>
        <w:numPr>
          <w:ilvl w:val="0"/>
          <w:numId w:val="69"/>
        </w:numPr>
        <w:tabs>
          <w:tab w:val="left" w:pos="1134"/>
        </w:tabs>
        <w:spacing w:before="118" w:line="360" w:lineRule="auto"/>
        <w:ind w:right="917"/>
        <w:jc w:val="both"/>
      </w:pPr>
      <w:r>
        <w:rPr>
          <w:noProof/>
        </w:rPr>
        <mc:AlternateContent>
          <mc:Choice Requires="wps">
            <w:drawing>
              <wp:anchor distT="0" distB="0" distL="114300" distR="114300" simplePos="0" relativeHeight="478933504" behindDoc="1" locked="0" layoutInCell="1" allowOverlap="1" wp14:anchorId="406BAD17" wp14:editId="4B4FC97C">
                <wp:simplePos x="0" y="0"/>
                <wp:positionH relativeFrom="page">
                  <wp:posOffset>3447415</wp:posOffset>
                </wp:positionH>
                <wp:positionV relativeFrom="paragraph">
                  <wp:posOffset>628650</wp:posOffset>
                </wp:positionV>
                <wp:extent cx="1295400" cy="186055"/>
                <wp:effectExtent l="0" t="0" r="0" b="0"/>
                <wp:wrapNone/>
                <wp:docPr id="1244" name="docshape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288CDB" id="docshape94" o:spid="_x0000_s1026" alt="&quot;&quot;" style="position:absolute;margin-left:271.45pt;margin-top:49.5pt;width:102pt;height:14.65pt;z-index:-2438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" fillcolor="black" stroked="f">
                <w10:wrap anchorx="page"/>
              </v:rect>
            </w:pict>
          </mc:Fallback>
        </mc:AlternateContent>
      </w:r>
      <w:r w:rsidR="00033D0F">
        <w:rPr>
          <w:position w:val="1"/>
        </w:rPr>
        <w:t>According</w:t>
      </w:r>
      <w:r w:rsidR="00033D0F">
        <w:rPr>
          <w:spacing w:val="40"/>
          <w:position w:val="1"/>
        </w:rPr>
        <w:t xml:space="preserve"> </w:t>
      </w:r>
      <w:r w:rsidR="00033D0F">
        <w:rPr>
          <w:position w:val="1"/>
        </w:rPr>
        <w:t>to</w:t>
      </w:r>
      <w:r w:rsidR="00033D0F">
        <w:rPr>
          <w:spacing w:val="40"/>
          <w:position w:val="1"/>
        </w:rPr>
        <w:t xml:space="preserve"> </w:t>
      </w:r>
      <w:r w:rsidR="00033D0F">
        <w:rPr>
          <w:position w:val="1"/>
        </w:rPr>
        <w:t>China,</w:t>
      </w:r>
      <w:r w:rsidR="00033D0F">
        <w:rPr>
          <w:spacing w:val="40"/>
          <w:position w:val="1"/>
        </w:rPr>
        <w:t xml:space="preserve"> </w:t>
      </w:r>
      <w:r w:rsidR="00033D0F">
        <w:rPr>
          <w:position w:val="1"/>
        </w:rPr>
        <w:t>it</w:t>
      </w:r>
      <w:r w:rsidR="00033D0F">
        <w:rPr>
          <w:spacing w:val="40"/>
          <w:position w:val="1"/>
        </w:rPr>
        <w:t xml:space="preserve"> </w:t>
      </w:r>
      <w:r w:rsidR="00033D0F">
        <w:rPr>
          <w:position w:val="1"/>
        </w:rPr>
        <w:t>is</w:t>
      </w:r>
      <w:r w:rsidR="00033D0F">
        <w:rPr>
          <w:spacing w:val="40"/>
          <w:position w:val="1"/>
        </w:rPr>
        <w:t xml:space="preserve"> </w:t>
      </w:r>
      <w:r w:rsidR="00033D0F">
        <w:rPr>
          <w:position w:val="1"/>
        </w:rPr>
        <w:t>clear</w:t>
      </w:r>
      <w:r w:rsidR="00033D0F">
        <w:rPr>
          <w:spacing w:val="40"/>
          <w:position w:val="1"/>
        </w:rPr>
        <w:t xml:space="preserve"> </w:t>
      </w:r>
      <w:r w:rsidR="00033D0F">
        <w:rPr>
          <w:position w:val="1"/>
        </w:rPr>
        <w:t>from</w:t>
      </w:r>
      <w:r w:rsidR="00033D0F">
        <w:rPr>
          <w:spacing w:val="40"/>
          <w:position w:val="1"/>
        </w:rPr>
        <w:t xml:space="preserve"> </w:t>
      </w:r>
      <w:r w:rsidR="00033D0F">
        <w:rPr>
          <w:position w:val="1"/>
        </w:rPr>
        <w:t>a</w:t>
      </w:r>
      <w:r w:rsidR="00033D0F">
        <w:rPr>
          <w:spacing w:val="40"/>
          <w:position w:val="1"/>
        </w:rPr>
        <w:t xml:space="preserve"> </w:t>
      </w:r>
      <w:r w:rsidR="00033D0F">
        <w:rPr>
          <w:position w:val="1"/>
        </w:rPr>
        <w:t>combined</w:t>
      </w:r>
      <w:r w:rsidR="00033D0F">
        <w:rPr>
          <w:spacing w:val="40"/>
          <w:position w:val="1"/>
        </w:rPr>
        <w:t xml:space="preserve"> </w:t>
      </w:r>
      <w:r w:rsidR="00033D0F">
        <w:rPr>
          <w:position w:val="1"/>
        </w:rPr>
        <w:t>reading</w:t>
      </w:r>
      <w:r w:rsidR="00033D0F">
        <w:rPr>
          <w:spacing w:val="40"/>
          <w:position w:val="1"/>
        </w:rPr>
        <w:t xml:space="preserve"> </w:t>
      </w:r>
      <w:r w:rsidR="00033D0F">
        <w:rPr>
          <w:position w:val="1"/>
        </w:rPr>
        <w:t>of</w:t>
      </w:r>
      <w:r w:rsidR="00033D0F">
        <w:rPr>
          <w:spacing w:val="40"/>
          <w:position w:val="1"/>
        </w:rPr>
        <w:t xml:space="preserve"> </w:t>
      </w:r>
      <w:r w:rsidR="00033D0F">
        <w:rPr>
          <w:position w:val="1"/>
        </w:rPr>
        <w:t>the</w:t>
      </w:r>
      <w:r w:rsidR="00033D0F">
        <w:rPr>
          <w:spacing w:val="40"/>
          <w:position w:val="1"/>
        </w:rPr>
        <w:t xml:space="preserve"> </w:t>
      </w:r>
      <w:r w:rsidR="00033D0F">
        <w:rPr>
          <w:position w:val="1"/>
        </w:rPr>
        <w:t>Final</w:t>
      </w:r>
      <w:r w:rsidR="00033D0F">
        <w:rPr>
          <w:spacing w:val="40"/>
          <w:position w:val="1"/>
        </w:rPr>
        <w:t xml:space="preserve"> </w:t>
      </w:r>
      <w:r w:rsidR="00033D0F">
        <w:rPr>
          <w:position w:val="1"/>
        </w:rPr>
        <w:t xml:space="preserve">Disclosure, </w:t>
      </w:r>
      <w:r w:rsidR="00033D0F">
        <w:t>Final</w:t>
      </w:r>
      <w:r w:rsidR="00033D0F">
        <w:rPr>
          <w:spacing w:val="-3"/>
        </w:rPr>
        <w:t xml:space="preserve"> </w:t>
      </w:r>
      <w:r w:rsidR="00033D0F">
        <w:t>Determination,</w:t>
      </w:r>
      <w:r w:rsidR="00033D0F">
        <w:rPr>
          <w:spacing w:val="-4"/>
        </w:rPr>
        <w:t xml:space="preserve"> </w:t>
      </w:r>
      <w:r w:rsidR="00033D0F">
        <w:t>and</w:t>
      </w:r>
      <w:r w:rsidR="00033D0F">
        <w:rPr>
          <w:spacing w:val="-7"/>
        </w:rPr>
        <w:t xml:space="preserve"> </w:t>
      </w:r>
      <w:r w:rsidR="00033D0F">
        <w:t>Supplementary</w:t>
      </w:r>
      <w:r w:rsidR="00033D0F">
        <w:rPr>
          <w:spacing w:val="-4"/>
        </w:rPr>
        <w:t xml:space="preserve"> </w:t>
      </w:r>
      <w:r w:rsidR="00033D0F">
        <w:t>Questionnaire</w:t>
      </w:r>
      <w:r w:rsidR="00033D0F">
        <w:rPr>
          <w:spacing w:val="-5"/>
        </w:rPr>
        <w:t xml:space="preserve"> </w:t>
      </w:r>
      <w:r w:rsidR="00033D0F">
        <w:t>that</w:t>
      </w:r>
      <w:r w:rsidR="00033D0F">
        <w:rPr>
          <w:spacing w:val="-5"/>
        </w:rPr>
        <w:t xml:space="preserve"> </w:t>
      </w:r>
      <w:r w:rsidR="00033D0F">
        <w:t>MOFCOM's</w:t>
      </w:r>
      <w:r w:rsidR="00033D0F">
        <w:rPr>
          <w:spacing w:val="-4"/>
        </w:rPr>
        <w:t xml:space="preserve"> </w:t>
      </w:r>
      <w:r w:rsidR="00033D0F">
        <w:t>"concern"</w:t>
      </w:r>
      <w:r w:rsidR="00033D0F">
        <w:rPr>
          <w:spacing w:val="-6"/>
        </w:rPr>
        <w:t xml:space="preserve"> </w:t>
      </w:r>
      <w:r w:rsidR="00033D0F">
        <w:t>related</w:t>
      </w:r>
      <w:r w:rsidR="00033D0F">
        <w:rPr>
          <w:spacing w:val="-7"/>
        </w:rPr>
        <w:t xml:space="preserve"> </w:t>
      </w:r>
      <w:r w:rsidR="00033D0F">
        <w:t>to Treasury Wines not reporting the cost of</w:t>
      </w:r>
      <w:r w:rsidR="00033D0F">
        <w:tab/>
        <w:t>in</w:t>
      </w:r>
      <w:r w:rsidR="00033D0F">
        <w:rPr>
          <w:spacing w:val="-7"/>
        </w:rPr>
        <w:t xml:space="preserve"> </w:t>
      </w:r>
      <w:r w:rsidR="00033D0F">
        <w:t>Form</w:t>
      </w:r>
      <w:r w:rsidR="00033D0F">
        <w:rPr>
          <w:spacing w:val="-6"/>
        </w:rPr>
        <w:t xml:space="preserve"> </w:t>
      </w:r>
      <w:r w:rsidR="00033D0F">
        <w:t>6-1-2</w:t>
      </w:r>
      <w:r w:rsidR="00033D0F">
        <w:rPr>
          <w:spacing w:val="-8"/>
        </w:rPr>
        <w:t xml:space="preserve"> </w:t>
      </w:r>
      <w:r w:rsidR="00033D0F">
        <w:t>"as</w:t>
      </w:r>
      <w:r w:rsidR="00033D0F">
        <w:rPr>
          <w:spacing w:val="-4"/>
        </w:rPr>
        <w:t xml:space="preserve"> </w:t>
      </w:r>
      <w:r w:rsidR="00033D0F">
        <w:t>instructed</w:t>
      </w:r>
      <w:r w:rsidR="00033D0F">
        <w:rPr>
          <w:spacing w:val="-2"/>
        </w:rPr>
        <w:t xml:space="preserve"> </w:t>
      </w:r>
      <w:r w:rsidR="00033D0F">
        <w:t>in the questionnaire".</w:t>
      </w:r>
      <w:r w:rsidR="00033D0F">
        <w:rPr>
          <w:spacing w:val="-24"/>
        </w:rPr>
        <w:t xml:space="preserve"> </w:t>
      </w:r>
      <w:hyperlink w:anchor="_bookmark259" w:history="1">
        <w:r w:rsidR="00033D0F">
          <w:rPr>
            <w:vertAlign w:val="superscript"/>
          </w:rPr>
          <w:t>200</w:t>
        </w:r>
      </w:hyperlink>
    </w:p>
    <w:p w14:paraId="3ED6A33C" w14:textId="77777777" w:rsidR="00BD462C" w:rsidRDefault="00BD462C">
      <w:pPr>
        <w:pStyle w:val="BodyText"/>
        <w:rPr>
          <w:sz w:val="20"/>
        </w:rPr>
      </w:pPr>
    </w:p>
    <w:p w14:paraId="4B410798" w14:textId="77777777" w:rsidR="00BD462C" w:rsidRDefault="00BD462C">
      <w:pPr>
        <w:pStyle w:val="BodyText"/>
        <w:rPr>
          <w:sz w:val="20"/>
        </w:rPr>
      </w:pPr>
    </w:p>
    <w:p w14:paraId="18CD210C" w14:textId="77777777" w:rsidR="00BD462C" w:rsidRDefault="00BD462C">
      <w:pPr>
        <w:pStyle w:val="BodyText"/>
        <w:rPr>
          <w:sz w:val="20"/>
        </w:rPr>
      </w:pPr>
    </w:p>
    <w:p w14:paraId="10798023" w14:textId="77777777" w:rsidR="00BD462C" w:rsidRDefault="00BD462C">
      <w:pPr>
        <w:pStyle w:val="BodyText"/>
        <w:rPr>
          <w:sz w:val="20"/>
        </w:rPr>
      </w:pPr>
    </w:p>
    <w:p w14:paraId="203569BA" w14:textId="77777777" w:rsidR="00BD462C" w:rsidRDefault="00BD462C">
      <w:pPr>
        <w:pStyle w:val="BodyText"/>
        <w:rPr>
          <w:sz w:val="20"/>
        </w:rPr>
      </w:pPr>
    </w:p>
    <w:p w14:paraId="3C25C216" w14:textId="77777777" w:rsidR="00BD462C" w:rsidRDefault="00BD462C">
      <w:pPr>
        <w:pStyle w:val="BodyText"/>
        <w:rPr>
          <w:sz w:val="20"/>
        </w:rPr>
      </w:pPr>
    </w:p>
    <w:p w14:paraId="0F93A4B4" w14:textId="77777777" w:rsidR="00BD462C" w:rsidRDefault="00BD462C">
      <w:pPr>
        <w:pStyle w:val="BodyText"/>
        <w:rPr>
          <w:sz w:val="20"/>
        </w:rPr>
      </w:pPr>
    </w:p>
    <w:p w14:paraId="2E2257A5" w14:textId="57BCE289" w:rsidR="00BD462C" w:rsidRDefault="00D70C7D">
      <w:pPr>
        <w:pStyle w:val="BodyText"/>
        <w:spacing w:before="1"/>
        <w:rPr>
          <w:sz w:val="15"/>
        </w:rPr>
      </w:pPr>
      <w:r>
        <w:rPr>
          <w:noProof/>
        </w:rPr>
        <mc:AlternateContent>
          <mc:Choice Requires="wps">
            <w:drawing>
              <wp:anchor distT="0" distB="0" distL="0" distR="0" simplePos="0" relativeHeight="487628800" behindDoc="1" locked="0" layoutInCell="1" allowOverlap="1" wp14:anchorId="75193DBA" wp14:editId="6088616D">
                <wp:simplePos x="0" y="0"/>
                <wp:positionH relativeFrom="page">
                  <wp:posOffset>899160</wp:posOffset>
                </wp:positionH>
                <wp:positionV relativeFrom="paragraph">
                  <wp:posOffset>132715</wp:posOffset>
                </wp:positionV>
                <wp:extent cx="1828800" cy="8890"/>
                <wp:effectExtent l="0" t="0" r="0" b="0"/>
                <wp:wrapTopAndBottom/>
                <wp:docPr id="1242" name="docshape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76651B" id="docshape95" o:spid="_x0000_s1026" alt="&quot;&quot;" style="position:absolute;margin-left:70.8pt;margin-top:10.45pt;width:2in;height:.7pt;z-index:-15687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" fillcolor="black" stroked="f">
                <w10:wrap type="topAndBottom" anchorx="page"/>
              </v:rect>
            </w:pict>
          </mc:Fallback>
        </mc:AlternateContent>
      </w:r>
    </w:p>
    <w:p w14:paraId="76892F01" w14:textId="77777777" w:rsidR="00BD462C" w:rsidRDefault="00033D0F">
      <w:pPr>
        <w:spacing w:before="107"/>
        <w:ind w:left="136" w:right="912" w:hanging="1"/>
        <w:rPr>
          <w:sz w:val="18"/>
        </w:rPr>
      </w:pPr>
      <w:bookmarkStart w:id="293" w:name="_bookmark256"/>
      <w:bookmarkEnd w:id="293"/>
      <w:r>
        <w:rPr>
          <w:position w:val="5"/>
          <w:sz w:val="12"/>
        </w:rPr>
        <w:t>197</w:t>
      </w:r>
      <w:r>
        <w:rPr>
          <w:spacing w:val="16"/>
          <w:position w:val="5"/>
          <w:sz w:val="12"/>
        </w:rPr>
        <w:t xml:space="preserve"> </w:t>
      </w:r>
      <w:r>
        <w:rPr>
          <w:sz w:val="18"/>
        </w:rPr>
        <w:t>Panel</w:t>
      </w:r>
      <w:r>
        <w:rPr>
          <w:spacing w:val="-7"/>
          <w:sz w:val="18"/>
        </w:rPr>
        <w:t xml:space="preserve"> </w:t>
      </w:r>
      <w:r>
        <w:rPr>
          <w:sz w:val="18"/>
        </w:rPr>
        <w:t>Report,</w:t>
      </w:r>
      <w:r>
        <w:rPr>
          <w:spacing w:val="-1"/>
          <w:sz w:val="18"/>
        </w:rPr>
        <w:t xml:space="preserve"> </w:t>
      </w:r>
      <w:r>
        <w:rPr>
          <w:i/>
          <w:sz w:val="18"/>
        </w:rPr>
        <w:t>Korea</w:t>
      </w:r>
      <w:r>
        <w:rPr>
          <w:i/>
          <w:spacing w:val="-1"/>
          <w:sz w:val="18"/>
        </w:rPr>
        <w:t xml:space="preserve"> </w:t>
      </w:r>
      <w:r>
        <w:rPr>
          <w:i/>
          <w:sz w:val="18"/>
        </w:rPr>
        <w:t>–</w:t>
      </w:r>
      <w:r>
        <w:rPr>
          <w:i/>
          <w:spacing w:val="-3"/>
          <w:sz w:val="18"/>
        </w:rPr>
        <w:t xml:space="preserve"> </w:t>
      </w:r>
      <w:r>
        <w:rPr>
          <w:i/>
          <w:sz w:val="18"/>
        </w:rPr>
        <w:t>Stainless Steel</w:t>
      </w:r>
      <w:r>
        <w:rPr>
          <w:i/>
          <w:spacing w:val="-2"/>
          <w:sz w:val="18"/>
        </w:rPr>
        <w:t xml:space="preserve"> </w:t>
      </w:r>
      <w:r>
        <w:rPr>
          <w:i/>
          <w:sz w:val="18"/>
        </w:rPr>
        <w:t>Bars</w:t>
      </w:r>
      <w:r>
        <w:rPr>
          <w:sz w:val="18"/>
        </w:rPr>
        <w:t>,</w:t>
      </w:r>
      <w:r>
        <w:rPr>
          <w:spacing w:val="-1"/>
          <w:sz w:val="18"/>
        </w:rPr>
        <w:t xml:space="preserve"> </w:t>
      </w:r>
      <w:r>
        <w:rPr>
          <w:sz w:val="18"/>
        </w:rPr>
        <w:t>para.</w:t>
      </w:r>
      <w:r>
        <w:rPr>
          <w:spacing w:val="-2"/>
          <w:sz w:val="18"/>
        </w:rPr>
        <w:t xml:space="preserve"> </w:t>
      </w:r>
      <w:r>
        <w:rPr>
          <w:sz w:val="18"/>
        </w:rPr>
        <w:t>7.196</w:t>
      </w:r>
      <w:r>
        <w:rPr>
          <w:spacing w:val="-10"/>
          <w:sz w:val="18"/>
        </w:rPr>
        <w:t xml:space="preserve"> </w:t>
      </w:r>
      <w:r>
        <w:rPr>
          <w:sz w:val="18"/>
        </w:rPr>
        <w:t>(citing</w:t>
      </w:r>
      <w:r>
        <w:rPr>
          <w:spacing w:val="-3"/>
          <w:sz w:val="18"/>
        </w:rPr>
        <w:t xml:space="preserve"> </w:t>
      </w:r>
      <w:r>
        <w:rPr>
          <w:sz w:val="18"/>
        </w:rPr>
        <w:t>Panel</w:t>
      </w:r>
      <w:r>
        <w:rPr>
          <w:spacing w:val="-2"/>
          <w:sz w:val="18"/>
        </w:rPr>
        <w:t xml:space="preserve"> </w:t>
      </w:r>
      <w:r>
        <w:rPr>
          <w:sz w:val="18"/>
        </w:rPr>
        <w:t>Report,</w:t>
      </w:r>
      <w:r>
        <w:rPr>
          <w:spacing w:val="-6"/>
          <w:sz w:val="18"/>
        </w:rPr>
        <w:t xml:space="preserve"> </w:t>
      </w:r>
      <w:r>
        <w:rPr>
          <w:i/>
          <w:sz w:val="18"/>
        </w:rPr>
        <w:t>Morocco–Hot-Rolled Steel</w:t>
      </w:r>
      <w:r>
        <w:rPr>
          <w:i/>
          <w:spacing w:val="-7"/>
          <w:sz w:val="18"/>
        </w:rPr>
        <w:t xml:space="preserve"> </w:t>
      </w:r>
      <w:r>
        <w:rPr>
          <w:i/>
          <w:sz w:val="18"/>
        </w:rPr>
        <w:t>(Turkey</w:t>
      </w:r>
      <w:r>
        <w:rPr>
          <w:sz w:val="18"/>
        </w:rPr>
        <w:t>),</w:t>
      </w:r>
      <w:r>
        <w:rPr>
          <w:spacing w:val="-1"/>
          <w:sz w:val="18"/>
        </w:rPr>
        <w:t xml:space="preserve"> </w:t>
      </w:r>
      <w:r>
        <w:rPr>
          <w:sz w:val="18"/>
        </w:rPr>
        <w:t>para.</w:t>
      </w:r>
      <w:r>
        <w:rPr>
          <w:spacing w:val="-2"/>
          <w:sz w:val="18"/>
        </w:rPr>
        <w:t xml:space="preserve"> </w:t>
      </w:r>
      <w:r>
        <w:rPr>
          <w:sz w:val="18"/>
        </w:rPr>
        <w:t xml:space="preserve">7.92 and footnote 135, in turn referring to Appellate Body Report, </w:t>
      </w:r>
      <w:r>
        <w:rPr>
          <w:i/>
          <w:sz w:val="18"/>
        </w:rPr>
        <w:t>EU – PET (Pakistan)</w:t>
      </w:r>
      <w:r>
        <w:rPr>
          <w:sz w:val="18"/>
        </w:rPr>
        <w:t>, para. 5.130).</w:t>
      </w:r>
    </w:p>
    <w:p w14:paraId="07DD1FF2" w14:textId="77777777" w:rsidR="00BD462C" w:rsidRDefault="00033D0F">
      <w:pPr>
        <w:spacing w:before="2"/>
        <w:ind w:left="135"/>
        <w:rPr>
          <w:sz w:val="18"/>
        </w:rPr>
      </w:pPr>
      <w:bookmarkStart w:id="294" w:name="_bookmark257"/>
      <w:bookmarkEnd w:id="294"/>
      <w:r>
        <w:rPr>
          <w:position w:val="5"/>
          <w:sz w:val="12"/>
        </w:rPr>
        <w:t>198</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 xml:space="preserve">submission, para. </w:t>
      </w:r>
      <w:r>
        <w:rPr>
          <w:spacing w:val="-4"/>
          <w:sz w:val="18"/>
        </w:rPr>
        <w:t>407.</w:t>
      </w:r>
    </w:p>
    <w:p w14:paraId="491F2DA7" w14:textId="77777777" w:rsidR="00BD462C" w:rsidRDefault="00033D0F">
      <w:pPr>
        <w:spacing w:before="1"/>
        <w:ind w:left="135"/>
        <w:rPr>
          <w:sz w:val="18"/>
        </w:rPr>
      </w:pPr>
      <w:bookmarkStart w:id="295" w:name="_bookmark258"/>
      <w:bookmarkEnd w:id="295"/>
      <w:r>
        <w:rPr>
          <w:position w:val="5"/>
          <w:sz w:val="12"/>
        </w:rPr>
        <w:t>199</w:t>
      </w:r>
      <w:r>
        <w:rPr>
          <w:spacing w:val="13"/>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paras.</w:t>
      </w:r>
      <w:r>
        <w:rPr>
          <w:spacing w:val="-4"/>
          <w:sz w:val="18"/>
        </w:rPr>
        <w:t xml:space="preserve"> </w:t>
      </w:r>
      <w:r>
        <w:rPr>
          <w:sz w:val="18"/>
        </w:rPr>
        <w:t>435,</w:t>
      </w:r>
      <w:r>
        <w:rPr>
          <w:spacing w:val="-4"/>
          <w:sz w:val="18"/>
        </w:rPr>
        <w:t xml:space="preserve"> 446.</w:t>
      </w:r>
    </w:p>
    <w:p w14:paraId="4C2735FC" w14:textId="77777777" w:rsidR="00BD462C" w:rsidRDefault="00033D0F">
      <w:pPr>
        <w:spacing w:before="1"/>
        <w:ind w:left="135"/>
        <w:rPr>
          <w:sz w:val="18"/>
        </w:rPr>
      </w:pPr>
      <w:bookmarkStart w:id="296" w:name="_bookmark259"/>
      <w:bookmarkEnd w:id="296"/>
      <w:r>
        <w:rPr>
          <w:position w:val="5"/>
          <w:sz w:val="12"/>
        </w:rPr>
        <w:t>200</w:t>
      </w:r>
      <w:r>
        <w:rPr>
          <w:spacing w:val="15"/>
          <w:position w:val="5"/>
          <w:sz w:val="12"/>
        </w:rPr>
        <w:t xml:space="preserve"> </w:t>
      </w:r>
      <w:r>
        <w:rPr>
          <w:sz w:val="18"/>
        </w:rPr>
        <w:t>China's</w:t>
      </w:r>
      <w:r>
        <w:rPr>
          <w:spacing w:val="1"/>
          <w:sz w:val="18"/>
        </w:rPr>
        <w:t xml:space="preserve"> </w:t>
      </w:r>
      <w:r>
        <w:rPr>
          <w:sz w:val="18"/>
        </w:rPr>
        <w:t>response</w:t>
      </w:r>
      <w:r>
        <w:rPr>
          <w:spacing w:val="-4"/>
          <w:sz w:val="18"/>
        </w:rPr>
        <w:t xml:space="preserve"> </w:t>
      </w:r>
      <w:r>
        <w:rPr>
          <w:sz w:val="18"/>
        </w:rPr>
        <w:t>to</w:t>
      </w:r>
      <w:r>
        <w:rPr>
          <w:spacing w:val="-10"/>
          <w:sz w:val="18"/>
        </w:rPr>
        <w:t xml:space="preserve"> </w:t>
      </w:r>
      <w:r>
        <w:rPr>
          <w:sz w:val="18"/>
        </w:rPr>
        <w:t>Panel</w:t>
      </w:r>
      <w:r>
        <w:rPr>
          <w:spacing w:val="-3"/>
          <w:sz w:val="18"/>
        </w:rPr>
        <w:t xml:space="preserve"> </w:t>
      </w:r>
      <w:r>
        <w:rPr>
          <w:sz w:val="18"/>
        </w:rPr>
        <w:t>question</w:t>
      </w:r>
      <w:r>
        <w:rPr>
          <w:spacing w:val="-4"/>
          <w:sz w:val="18"/>
        </w:rPr>
        <w:t xml:space="preserve"> </w:t>
      </w:r>
      <w:r>
        <w:rPr>
          <w:sz w:val="18"/>
        </w:rPr>
        <w:t>No.</w:t>
      </w:r>
      <w:r>
        <w:rPr>
          <w:spacing w:val="2"/>
          <w:sz w:val="18"/>
        </w:rPr>
        <w:t xml:space="preserve"> </w:t>
      </w:r>
      <w:r>
        <w:rPr>
          <w:sz w:val="18"/>
        </w:rPr>
        <w:t>2,</w:t>
      </w:r>
      <w:r>
        <w:rPr>
          <w:spacing w:val="-2"/>
          <w:sz w:val="18"/>
        </w:rPr>
        <w:t xml:space="preserve"> </w:t>
      </w:r>
      <w:r>
        <w:rPr>
          <w:sz w:val="18"/>
        </w:rPr>
        <w:t>para.</w:t>
      </w:r>
      <w:r>
        <w:rPr>
          <w:spacing w:val="-3"/>
          <w:sz w:val="18"/>
        </w:rPr>
        <w:t xml:space="preserve"> </w:t>
      </w:r>
      <w:r>
        <w:rPr>
          <w:spacing w:val="-5"/>
          <w:sz w:val="18"/>
        </w:rPr>
        <w:t>4.</w:t>
      </w:r>
    </w:p>
    <w:p w14:paraId="174EE7FB" w14:textId="77777777" w:rsidR="00BD462C" w:rsidRDefault="00BD462C">
      <w:pPr>
        <w:rPr>
          <w:sz w:val="18"/>
        </w:rPr>
        <w:sectPr w:rsidR="00BD462C">
          <w:pgSz w:w="11910" w:h="16840"/>
          <w:pgMar w:top="860" w:right="500" w:bottom="780" w:left="1280" w:header="566" w:footer="590" w:gutter="0"/>
          <w:cols w:space="720"/>
        </w:sectPr>
      </w:pPr>
    </w:p>
    <w:p w14:paraId="49263D15"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5B02319C"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7E36057C"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797D61C0" w14:textId="01238403" w:rsidR="00BD462C" w:rsidRDefault="00D70C7D" w:rsidP="00AC5C65">
      <w:pPr>
        <w:pStyle w:val="BodyText"/>
        <w:numPr>
          <w:ilvl w:val="0"/>
          <w:numId w:val="69"/>
        </w:numPr>
        <w:spacing w:before="107" w:line="355" w:lineRule="auto"/>
        <w:ind w:right="912"/>
      </w:pPr>
      <w:r>
        <w:rPr>
          <w:noProof/>
        </w:rPr>
        <mc:AlternateContent>
          <mc:Choice Requires="wps">
            <w:drawing>
              <wp:anchor distT="0" distB="0" distL="114300" distR="114300" simplePos="0" relativeHeight="478938624" behindDoc="1" locked="0" layoutInCell="1" allowOverlap="1" wp14:anchorId="6461F704" wp14:editId="635B24FD">
                <wp:simplePos x="0" y="0"/>
                <wp:positionH relativeFrom="page">
                  <wp:posOffset>899160</wp:posOffset>
                </wp:positionH>
                <wp:positionV relativeFrom="paragraph">
                  <wp:posOffset>341630</wp:posOffset>
                </wp:positionV>
                <wp:extent cx="1134110" cy="186055"/>
                <wp:effectExtent l="0" t="0" r="0" b="0"/>
                <wp:wrapNone/>
                <wp:docPr id="1240" name="docshape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411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63C25C" id="docshape96" o:spid="_x0000_s1026" alt="&quot;&quot;" style="position:absolute;margin-left:70.8pt;margin-top:26.9pt;width:89.3pt;height:14.65pt;z-index:-2437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" fillcolor="black" stroked="f">
                <w10:wrap anchorx="page"/>
              </v:rect>
            </w:pict>
          </mc:Fallback>
        </mc:AlternateContent>
      </w:r>
      <w:r>
        <w:rPr>
          <w:noProof/>
        </w:rPr>
        <mc:AlternateContent>
          <mc:Choice Requires="wps">
            <w:drawing>
              <wp:anchor distT="0" distB="0" distL="114300" distR="114300" simplePos="0" relativeHeight="478939136" behindDoc="1" locked="0" layoutInCell="1" allowOverlap="1" wp14:anchorId="1D4E3B55" wp14:editId="3AA6E4CA">
                <wp:simplePos x="0" y="0"/>
                <wp:positionH relativeFrom="page">
                  <wp:posOffset>3956050</wp:posOffset>
                </wp:positionH>
                <wp:positionV relativeFrom="paragraph">
                  <wp:posOffset>341630</wp:posOffset>
                </wp:positionV>
                <wp:extent cx="1136650" cy="186055"/>
                <wp:effectExtent l="0" t="0" r="0" b="0"/>
                <wp:wrapNone/>
                <wp:docPr id="1238" name="docshape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A8CF26" id="docshape97" o:spid="_x0000_s1026" alt="&quot;&quot;" style="position:absolute;margin-left:311.5pt;margin-top:26.9pt;width:89.5pt;height:14.65pt;z-index:-2437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" fillcolor="black" stroked="f">
                <w10:wrap anchorx="page"/>
              </v:rect>
            </w:pict>
          </mc:Fallback>
        </mc:AlternateContent>
      </w:r>
      <w:r w:rsidR="00033D0F">
        <w:rPr>
          <w:position w:val="1"/>
        </w:rPr>
        <w:t>Contrary</w:t>
      </w:r>
      <w:r w:rsidR="00033D0F">
        <w:rPr>
          <w:spacing w:val="-6"/>
          <w:position w:val="1"/>
        </w:rPr>
        <w:t xml:space="preserve"> </w:t>
      </w:r>
      <w:r w:rsidR="00033D0F">
        <w:rPr>
          <w:position w:val="1"/>
        </w:rPr>
        <w:t>to</w:t>
      </w:r>
      <w:r w:rsidR="00033D0F">
        <w:rPr>
          <w:spacing w:val="-10"/>
          <w:position w:val="1"/>
        </w:rPr>
        <w:t xml:space="preserve"> </w:t>
      </w:r>
      <w:r w:rsidR="00033D0F">
        <w:rPr>
          <w:position w:val="1"/>
        </w:rPr>
        <w:t>China's</w:t>
      </w:r>
      <w:r w:rsidR="00033D0F">
        <w:rPr>
          <w:spacing w:val="-6"/>
          <w:position w:val="1"/>
        </w:rPr>
        <w:t xml:space="preserve"> </w:t>
      </w:r>
      <w:r w:rsidR="00033D0F">
        <w:rPr>
          <w:position w:val="1"/>
        </w:rPr>
        <w:t>assertion,</w:t>
      </w:r>
      <w:r w:rsidR="00033D0F">
        <w:rPr>
          <w:spacing w:val="-5"/>
          <w:position w:val="1"/>
        </w:rPr>
        <w:t xml:space="preserve"> </w:t>
      </w:r>
      <w:r w:rsidR="00033D0F">
        <w:rPr>
          <w:position w:val="1"/>
        </w:rPr>
        <w:t>Form</w:t>
      </w:r>
      <w:r w:rsidR="00033D0F">
        <w:rPr>
          <w:spacing w:val="-7"/>
          <w:position w:val="1"/>
        </w:rPr>
        <w:t xml:space="preserve"> </w:t>
      </w:r>
      <w:r w:rsidR="00033D0F">
        <w:rPr>
          <w:position w:val="1"/>
        </w:rPr>
        <w:t>6-1-2</w:t>
      </w:r>
      <w:r w:rsidR="00033D0F">
        <w:rPr>
          <w:spacing w:val="-9"/>
          <w:position w:val="1"/>
        </w:rPr>
        <w:t xml:space="preserve"> </w:t>
      </w:r>
      <w:r w:rsidR="00033D0F">
        <w:rPr>
          <w:position w:val="1"/>
        </w:rPr>
        <w:t>did</w:t>
      </w:r>
      <w:r w:rsidR="00033D0F">
        <w:rPr>
          <w:spacing w:val="-9"/>
          <w:position w:val="1"/>
        </w:rPr>
        <w:t xml:space="preserve"> </w:t>
      </w:r>
      <w:r w:rsidR="00033D0F">
        <w:rPr>
          <w:i/>
          <w:position w:val="1"/>
        </w:rPr>
        <w:t>not</w:t>
      </w:r>
      <w:r w:rsidR="00033D0F">
        <w:rPr>
          <w:i/>
          <w:spacing w:val="-7"/>
          <w:position w:val="1"/>
        </w:rPr>
        <w:t xml:space="preserve"> </w:t>
      </w:r>
      <w:r w:rsidR="00033D0F">
        <w:rPr>
          <w:position w:val="1"/>
        </w:rPr>
        <w:t>request</w:t>
      </w:r>
      <w:r w:rsidR="00033D0F">
        <w:rPr>
          <w:spacing w:val="-7"/>
          <w:position w:val="1"/>
        </w:rPr>
        <w:t xml:space="preserve"> </w:t>
      </w:r>
      <w:r w:rsidR="00033D0F">
        <w:rPr>
          <w:position w:val="1"/>
        </w:rPr>
        <w:t>information</w:t>
      </w:r>
      <w:r w:rsidR="00033D0F">
        <w:rPr>
          <w:spacing w:val="-9"/>
          <w:position w:val="1"/>
        </w:rPr>
        <w:t xml:space="preserve"> </w:t>
      </w:r>
      <w:r w:rsidR="00033D0F">
        <w:rPr>
          <w:position w:val="1"/>
        </w:rPr>
        <w:t>with</w:t>
      </w:r>
      <w:r w:rsidR="00033D0F">
        <w:rPr>
          <w:spacing w:val="-9"/>
          <w:position w:val="1"/>
        </w:rPr>
        <w:t xml:space="preserve"> </w:t>
      </w:r>
      <w:r w:rsidR="00033D0F">
        <w:rPr>
          <w:position w:val="1"/>
        </w:rPr>
        <w:t>respect</w:t>
      </w:r>
      <w:r w:rsidR="00033D0F">
        <w:rPr>
          <w:spacing w:val="-7"/>
          <w:position w:val="1"/>
        </w:rPr>
        <w:t xml:space="preserve"> </w:t>
      </w:r>
      <w:r w:rsidR="00033D0F">
        <w:rPr>
          <w:position w:val="1"/>
        </w:rPr>
        <w:t xml:space="preserve">to </w:t>
      </w:r>
      <w:r w:rsidR="00033D0F">
        <w:t>and</w:t>
      </w:r>
      <w:r w:rsidR="00033D0F">
        <w:rPr>
          <w:spacing w:val="-5"/>
        </w:rPr>
        <w:t xml:space="preserve"> </w:t>
      </w:r>
      <w:r w:rsidR="00033D0F">
        <w:t>nor</w:t>
      </w:r>
      <w:r w:rsidR="00033D0F">
        <w:rPr>
          <w:spacing w:val="-5"/>
        </w:rPr>
        <w:t xml:space="preserve"> </w:t>
      </w:r>
      <w:r w:rsidR="00033D0F">
        <w:t>did</w:t>
      </w:r>
      <w:r w:rsidR="00033D0F">
        <w:rPr>
          <w:spacing w:val="-4"/>
        </w:rPr>
        <w:t xml:space="preserve"> </w:t>
      </w:r>
      <w:r w:rsidR="00033D0F">
        <w:t>MOFCOM</w:t>
      </w:r>
      <w:r w:rsidR="00033D0F">
        <w:rPr>
          <w:spacing w:val="-2"/>
        </w:rPr>
        <w:t xml:space="preserve"> </w:t>
      </w:r>
      <w:r w:rsidR="00033D0F">
        <w:t>refer</w:t>
      </w:r>
      <w:r w:rsidR="00033D0F">
        <w:rPr>
          <w:spacing w:val="-5"/>
        </w:rPr>
        <w:t xml:space="preserve"> to</w:t>
      </w:r>
      <w:r w:rsidR="00033D0F">
        <w:tab/>
        <w:t>in</w:t>
      </w:r>
      <w:r w:rsidR="00033D0F">
        <w:rPr>
          <w:spacing w:val="-6"/>
        </w:rPr>
        <w:t xml:space="preserve"> </w:t>
      </w:r>
      <w:r w:rsidR="00033D0F">
        <w:t>its Final</w:t>
      </w:r>
      <w:r w:rsidR="00033D0F">
        <w:rPr>
          <w:spacing w:val="-1"/>
        </w:rPr>
        <w:t xml:space="preserve"> </w:t>
      </w:r>
      <w:r w:rsidR="00033D0F">
        <w:t>or</w:t>
      </w:r>
      <w:r w:rsidR="00033D0F">
        <w:rPr>
          <w:spacing w:val="-4"/>
        </w:rPr>
        <w:t xml:space="preserve"> </w:t>
      </w:r>
      <w:r w:rsidR="00033D0F">
        <w:rPr>
          <w:spacing w:val="-2"/>
        </w:rPr>
        <w:t>Preliminary</w:t>
      </w:r>
    </w:p>
    <w:p w14:paraId="5A1BFEC1" w14:textId="77777777" w:rsidR="00BD462C" w:rsidRDefault="00033D0F">
      <w:pPr>
        <w:pStyle w:val="BodyText"/>
        <w:spacing w:before="7"/>
        <w:ind w:left="136"/>
      </w:pPr>
      <w:r>
        <w:rPr>
          <w:spacing w:val="-2"/>
        </w:rPr>
        <w:t>Determinations.</w:t>
      </w:r>
      <w:r>
        <w:rPr>
          <w:spacing w:val="-9"/>
        </w:rPr>
        <w:t xml:space="preserve"> </w:t>
      </w:r>
      <w:hyperlink w:anchor="_bookmark260" w:history="1">
        <w:r>
          <w:rPr>
            <w:spacing w:val="-5"/>
            <w:vertAlign w:val="superscript"/>
          </w:rPr>
          <w:t>201</w:t>
        </w:r>
      </w:hyperlink>
    </w:p>
    <w:p w14:paraId="7F0923A0" w14:textId="77777777" w:rsidR="00BD462C" w:rsidRDefault="00BD462C">
      <w:pPr>
        <w:pStyle w:val="BodyText"/>
        <w:spacing w:before="11"/>
        <w:rPr>
          <w:sz w:val="20"/>
        </w:rPr>
      </w:pPr>
    </w:p>
    <w:p w14:paraId="1CA8B873" w14:textId="33457EB6" w:rsidR="00BD462C" w:rsidRDefault="00033D0F" w:rsidP="00AC5C65">
      <w:pPr>
        <w:pStyle w:val="BodyText"/>
        <w:numPr>
          <w:ilvl w:val="0"/>
          <w:numId w:val="69"/>
        </w:numPr>
        <w:spacing w:before="56" w:line="355" w:lineRule="auto"/>
        <w:ind w:right="917"/>
        <w:jc w:val="both"/>
      </w:pPr>
      <w:r>
        <w:rPr>
          <w:position w:val="1"/>
        </w:rPr>
        <w:t>The Anti-Dumping</w:t>
      </w:r>
      <w:r>
        <w:rPr>
          <w:spacing w:val="40"/>
          <w:position w:val="1"/>
        </w:rPr>
        <w:t xml:space="preserve"> </w:t>
      </w:r>
      <w:r>
        <w:rPr>
          <w:position w:val="1"/>
        </w:rPr>
        <w:t>Questionnaire</w:t>
      </w:r>
      <w:r>
        <w:rPr>
          <w:spacing w:val="40"/>
          <w:position w:val="1"/>
        </w:rPr>
        <w:t xml:space="preserve"> </w:t>
      </w:r>
      <w:r>
        <w:rPr>
          <w:position w:val="1"/>
        </w:rPr>
        <w:t>requested,</w:t>
      </w:r>
      <w:r>
        <w:rPr>
          <w:spacing w:val="40"/>
          <w:position w:val="1"/>
        </w:rPr>
        <w:t xml:space="preserve"> </w:t>
      </w:r>
      <w:r>
        <w:rPr>
          <w:i/>
          <w:position w:val="1"/>
        </w:rPr>
        <w:t>inter alia</w:t>
      </w:r>
      <w:r>
        <w:rPr>
          <w:position w:val="1"/>
        </w:rPr>
        <w:t>,</w:t>
      </w:r>
      <w:r>
        <w:rPr>
          <w:spacing w:val="40"/>
          <w:position w:val="1"/>
        </w:rPr>
        <w:t xml:space="preserve"> </w:t>
      </w:r>
      <w:r>
        <w:rPr>
          <w:position w:val="1"/>
        </w:rPr>
        <w:t>the</w:t>
      </w:r>
      <w:r>
        <w:rPr>
          <w:spacing w:val="40"/>
          <w:position w:val="1"/>
        </w:rPr>
        <w:t xml:space="preserve"> </w:t>
      </w:r>
      <w:r>
        <w:rPr>
          <w:position w:val="1"/>
        </w:rPr>
        <w:t>following</w:t>
      </w:r>
      <w:r>
        <w:rPr>
          <w:spacing w:val="40"/>
          <w:position w:val="1"/>
        </w:rPr>
        <w:t xml:space="preserve"> </w:t>
      </w:r>
      <w:r>
        <w:rPr>
          <w:position w:val="1"/>
        </w:rPr>
        <w:t xml:space="preserve">information </w:t>
      </w:r>
      <w:r>
        <w:t>with respect to raw materials:</w:t>
      </w:r>
    </w:p>
    <w:p w14:paraId="0FB8C90E" w14:textId="77777777" w:rsidR="00BD462C" w:rsidRDefault="00033D0F">
      <w:pPr>
        <w:spacing w:before="165" w:line="276" w:lineRule="auto"/>
        <w:ind w:left="985" w:right="915"/>
        <w:jc w:val="both"/>
      </w:pPr>
      <w:r>
        <w:t>If</w:t>
      </w:r>
      <w:r>
        <w:rPr>
          <w:spacing w:val="-13"/>
        </w:rPr>
        <w:t xml:space="preserve"> </w:t>
      </w:r>
      <w:r>
        <w:t>you</w:t>
      </w:r>
      <w:r>
        <w:rPr>
          <w:spacing w:val="-12"/>
        </w:rPr>
        <w:t xml:space="preserve"> </w:t>
      </w:r>
      <w:r>
        <w:t>are</w:t>
      </w:r>
      <w:r>
        <w:rPr>
          <w:spacing w:val="-13"/>
        </w:rPr>
        <w:t xml:space="preserve"> </w:t>
      </w:r>
      <w:r>
        <w:t>a</w:t>
      </w:r>
      <w:r>
        <w:rPr>
          <w:spacing w:val="-12"/>
        </w:rPr>
        <w:t xml:space="preserve"> </w:t>
      </w:r>
      <w:r>
        <w:t>producer</w:t>
      </w:r>
      <w:r>
        <w:rPr>
          <w:spacing w:val="-13"/>
        </w:rPr>
        <w:t xml:space="preserve"> </w:t>
      </w:r>
      <w:r>
        <w:t>of</w:t>
      </w:r>
      <w:r>
        <w:rPr>
          <w:spacing w:val="-12"/>
        </w:rPr>
        <w:t xml:space="preserve"> </w:t>
      </w:r>
      <w:r>
        <w:t>raw</w:t>
      </w:r>
      <w:r>
        <w:rPr>
          <w:spacing w:val="-13"/>
        </w:rPr>
        <w:t xml:space="preserve"> </w:t>
      </w:r>
      <w:r>
        <w:t>materials</w:t>
      </w:r>
      <w:r>
        <w:rPr>
          <w:spacing w:val="-12"/>
        </w:rPr>
        <w:t xml:space="preserve"> </w:t>
      </w:r>
      <w:r>
        <w:t>for</w:t>
      </w:r>
      <w:r>
        <w:rPr>
          <w:spacing w:val="-12"/>
        </w:rPr>
        <w:t xml:space="preserve"> </w:t>
      </w:r>
      <w:r>
        <w:t>the</w:t>
      </w:r>
      <w:r>
        <w:rPr>
          <w:spacing w:val="-13"/>
        </w:rPr>
        <w:t xml:space="preserve"> </w:t>
      </w:r>
      <w:r>
        <w:t>product</w:t>
      </w:r>
      <w:r>
        <w:rPr>
          <w:spacing w:val="-11"/>
        </w:rPr>
        <w:t xml:space="preserve"> </w:t>
      </w:r>
      <w:r>
        <w:t>under</w:t>
      </w:r>
      <w:r>
        <w:rPr>
          <w:spacing w:val="-13"/>
        </w:rPr>
        <w:t xml:space="preserve"> </w:t>
      </w:r>
      <w:r>
        <w:t>investigation</w:t>
      </w:r>
      <w:r>
        <w:rPr>
          <w:spacing w:val="-12"/>
        </w:rPr>
        <w:t xml:space="preserve"> </w:t>
      </w:r>
      <w:r>
        <w:t>and</w:t>
      </w:r>
      <w:r>
        <w:rPr>
          <w:spacing w:val="-13"/>
        </w:rPr>
        <w:t xml:space="preserve"> </w:t>
      </w:r>
      <w:proofErr w:type="spellStart"/>
      <w:r>
        <w:t>its</w:t>
      </w:r>
      <w:proofErr w:type="spellEnd"/>
      <w:r>
        <w:rPr>
          <w:spacing w:val="-12"/>
        </w:rPr>
        <w:t xml:space="preserve"> </w:t>
      </w:r>
      <w:r>
        <w:t>like</w:t>
      </w:r>
      <w:r>
        <w:rPr>
          <w:spacing w:val="-12"/>
        </w:rPr>
        <w:t xml:space="preserve"> </w:t>
      </w:r>
      <w:r>
        <w:t>product, please</w:t>
      </w:r>
      <w:r>
        <w:rPr>
          <w:spacing w:val="-7"/>
        </w:rPr>
        <w:t xml:space="preserve"> </w:t>
      </w:r>
      <w:r>
        <w:t>provide</w:t>
      </w:r>
      <w:r>
        <w:rPr>
          <w:spacing w:val="-7"/>
        </w:rPr>
        <w:t xml:space="preserve"> </w:t>
      </w:r>
      <w:r>
        <w:t>relevant</w:t>
      </w:r>
      <w:r>
        <w:rPr>
          <w:spacing w:val="-10"/>
        </w:rPr>
        <w:t xml:space="preserve"> </w:t>
      </w:r>
      <w:r>
        <w:t>production</w:t>
      </w:r>
      <w:r>
        <w:rPr>
          <w:spacing w:val="-4"/>
        </w:rPr>
        <w:t xml:space="preserve"> </w:t>
      </w:r>
      <w:r>
        <w:t>cost</w:t>
      </w:r>
      <w:r>
        <w:rPr>
          <w:spacing w:val="-10"/>
        </w:rPr>
        <w:t xml:space="preserve"> </w:t>
      </w:r>
      <w:r>
        <w:t>info</w:t>
      </w:r>
      <w:r>
        <w:rPr>
          <w:spacing w:val="-4"/>
        </w:rPr>
        <w:t xml:space="preserve"> </w:t>
      </w:r>
      <w:r>
        <w:t>of</w:t>
      </w:r>
      <w:r>
        <w:rPr>
          <w:spacing w:val="-3"/>
        </w:rPr>
        <w:t xml:space="preserve"> </w:t>
      </w:r>
      <w:r>
        <w:t>the</w:t>
      </w:r>
      <w:r>
        <w:rPr>
          <w:spacing w:val="-7"/>
        </w:rPr>
        <w:t xml:space="preserve"> </w:t>
      </w:r>
      <w:r>
        <w:t>raw</w:t>
      </w:r>
      <w:r>
        <w:rPr>
          <w:spacing w:val="-7"/>
        </w:rPr>
        <w:t xml:space="preserve"> </w:t>
      </w:r>
      <w:r>
        <w:t>materials</w:t>
      </w:r>
      <w:r>
        <w:rPr>
          <w:spacing w:val="-8"/>
        </w:rPr>
        <w:t xml:space="preserve"> </w:t>
      </w:r>
      <w:r>
        <w:t>used</w:t>
      </w:r>
      <w:r>
        <w:rPr>
          <w:spacing w:val="-9"/>
        </w:rPr>
        <w:t xml:space="preserve"> </w:t>
      </w:r>
      <w:r>
        <w:t>for</w:t>
      </w:r>
      <w:r>
        <w:rPr>
          <w:spacing w:val="-8"/>
        </w:rPr>
        <w:t xml:space="preserve"> </w:t>
      </w:r>
      <w:r>
        <w:t>the</w:t>
      </w:r>
      <w:r>
        <w:rPr>
          <w:spacing w:val="-7"/>
        </w:rPr>
        <w:t xml:space="preserve"> </w:t>
      </w:r>
      <w:r>
        <w:t>product</w:t>
      </w:r>
      <w:r>
        <w:rPr>
          <w:spacing w:val="-5"/>
        </w:rPr>
        <w:t xml:space="preserve"> </w:t>
      </w:r>
      <w:r>
        <w:t xml:space="preserve">under investigation and </w:t>
      </w:r>
      <w:proofErr w:type="spellStart"/>
      <w:r>
        <w:t>its</w:t>
      </w:r>
      <w:proofErr w:type="spellEnd"/>
      <w:r>
        <w:t xml:space="preserve"> like product which were sold during the investigation period following the format of "Form 6-1-2: Production Cost of Raw Materials".</w:t>
      </w:r>
      <w:hyperlink w:anchor="_bookmark261" w:history="1">
        <w:r>
          <w:rPr>
            <w:vertAlign w:val="superscript"/>
          </w:rPr>
          <w:t>202</w:t>
        </w:r>
      </w:hyperlink>
    </w:p>
    <w:p w14:paraId="3F05D72F" w14:textId="77777777" w:rsidR="00BD462C" w:rsidRDefault="00BD462C">
      <w:pPr>
        <w:pStyle w:val="BodyText"/>
        <w:spacing w:before="6"/>
        <w:rPr>
          <w:sz w:val="19"/>
        </w:rPr>
      </w:pPr>
    </w:p>
    <w:p w14:paraId="5E1CE949" w14:textId="77777777" w:rsidR="00BD462C" w:rsidRDefault="00033D0F">
      <w:pPr>
        <w:pStyle w:val="BodyText"/>
        <w:spacing w:line="362" w:lineRule="auto"/>
        <w:ind w:left="135" w:right="918"/>
        <w:jc w:val="both"/>
      </w:pPr>
      <w:r>
        <w:t>Form 6-1-2 concerned the "production cost of raw material" and requested respondents to "provide the cost of the input for the PUI and like product".</w:t>
      </w:r>
      <w:r>
        <w:rPr>
          <w:spacing w:val="-27"/>
        </w:rPr>
        <w:t xml:space="preserve"> </w:t>
      </w:r>
      <w:hyperlink w:anchor="_bookmark262" w:history="1">
        <w:r>
          <w:rPr>
            <w:vertAlign w:val="superscript"/>
          </w:rPr>
          <w:t>203</w:t>
        </w:r>
      </w:hyperlink>
    </w:p>
    <w:p w14:paraId="0E0E52A0" w14:textId="73AAC3F1" w:rsidR="00BD462C" w:rsidRDefault="00D70C7D" w:rsidP="00A83285">
      <w:pPr>
        <w:pStyle w:val="BodyText"/>
        <w:numPr>
          <w:ilvl w:val="0"/>
          <w:numId w:val="69"/>
        </w:numPr>
        <w:spacing w:before="9"/>
        <w:rPr>
          <w:sz w:val="9"/>
        </w:rPr>
      </w:pPr>
      <w:r>
        <w:rPr>
          <w:noProof/>
        </w:rPr>
        <mc:AlternateContent>
          <mc:Choice Requires="wps">
            <w:drawing>
              <wp:anchor distT="0" distB="0" distL="0" distR="0" simplePos="0" relativeHeight="487633408" behindDoc="1" locked="0" layoutInCell="1" allowOverlap="1" wp14:anchorId="0ECAA72E" wp14:editId="0B0499BA">
                <wp:simplePos x="0" y="0"/>
                <wp:positionH relativeFrom="page">
                  <wp:posOffset>1438910</wp:posOffset>
                </wp:positionH>
                <wp:positionV relativeFrom="paragraph">
                  <wp:posOffset>100965</wp:posOffset>
                </wp:positionV>
                <wp:extent cx="5160010" cy="186055"/>
                <wp:effectExtent l="0" t="0" r="0" b="0"/>
                <wp:wrapTopAndBottom/>
                <wp:docPr id="1236" name="docshape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001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96EF38" id="docshape98" o:spid="_x0000_s1026" alt="&quot;&quot;" style="position:absolute;margin-left:113.3pt;margin-top:7.95pt;width:406.3pt;height:14.65pt;z-index:-15683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" fillcolor="black" stroked="f">
                <w10:wrap type="topAndBottom" anchorx="page"/>
              </v:rect>
            </w:pict>
          </mc:Fallback>
        </mc:AlternateContent>
      </w:r>
      <w:r>
        <w:rPr>
          <w:noProof/>
        </w:rPr>
        <mc:AlternateContent>
          <mc:Choice Requires="wps">
            <w:drawing>
              <wp:anchor distT="0" distB="0" distL="0" distR="0" simplePos="0" relativeHeight="487633920" behindDoc="1" locked="0" layoutInCell="1" allowOverlap="1" wp14:anchorId="0F7C5A6B" wp14:editId="4EF17229">
                <wp:simplePos x="0" y="0"/>
                <wp:positionH relativeFrom="page">
                  <wp:posOffset>899160</wp:posOffset>
                </wp:positionH>
                <wp:positionV relativeFrom="paragraph">
                  <wp:posOffset>375920</wp:posOffset>
                </wp:positionV>
                <wp:extent cx="5696585" cy="186055"/>
                <wp:effectExtent l="0" t="0" r="0" b="0"/>
                <wp:wrapTopAndBottom/>
                <wp:docPr id="1234" name="docshape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658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831C0B" id="docshape99" o:spid="_x0000_s1026" alt="&quot;&quot;" style="position:absolute;margin-left:70.8pt;margin-top:29.6pt;width:448.55pt;height:14.65pt;z-index:-15682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" fillcolor="black" stroked="f">
                <w10:wrap type="topAndBottom" anchorx="page"/>
              </v:rect>
            </w:pict>
          </mc:Fallback>
        </mc:AlternateContent>
      </w:r>
      <w:r>
        <w:rPr>
          <w:noProof/>
        </w:rPr>
        <mc:AlternateContent>
          <mc:Choice Requires="wps">
            <w:drawing>
              <wp:anchor distT="0" distB="0" distL="0" distR="0" simplePos="0" relativeHeight="487634432" behindDoc="1" locked="0" layoutInCell="1" allowOverlap="1" wp14:anchorId="30A57205" wp14:editId="1FB5801D">
                <wp:simplePos x="0" y="0"/>
                <wp:positionH relativeFrom="page">
                  <wp:posOffset>899160</wp:posOffset>
                </wp:positionH>
                <wp:positionV relativeFrom="paragraph">
                  <wp:posOffset>656590</wp:posOffset>
                </wp:positionV>
                <wp:extent cx="5760720" cy="186055"/>
                <wp:effectExtent l="0" t="0" r="0" b="0"/>
                <wp:wrapTopAndBottom/>
                <wp:docPr id="1232" name="docshape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E8B9DA" id="docshape100" o:spid="_x0000_s1026" alt="&quot;&quot;" style="position:absolute;margin-left:70.8pt;margin-top:51.7pt;width:453.6pt;height:14.65pt;z-index:-15682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" fillcolor="black" stroked="f">
                <w10:wrap type="topAndBottom" anchorx="page"/>
              </v:rect>
            </w:pict>
          </mc:Fallback>
        </mc:AlternateContent>
      </w:r>
      <w:r>
        <w:rPr>
          <w:noProof/>
        </w:rPr>
        <mc:AlternateContent>
          <mc:Choice Requires="wps">
            <w:drawing>
              <wp:anchor distT="0" distB="0" distL="0" distR="0" simplePos="0" relativeHeight="487634944" behindDoc="1" locked="0" layoutInCell="1" allowOverlap="1" wp14:anchorId="5613F7AA" wp14:editId="11009D9F">
                <wp:simplePos x="0" y="0"/>
                <wp:positionH relativeFrom="page">
                  <wp:posOffset>899160</wp:posOffset>
                </wp:positionH>
                <wp:positionV relativeFrom="paragraph">
                  <wp:posOffset>934085</wp:posOffset>
                </wp:positionV>
                <wp:extent cx="5696585" cy="186055"/>
                <wp:effectExtent l="0" t="0" r="0" b="0"/>
                <wp:wrapTopAndBottom/>
                <wp:docPr id="1230" name="docshape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658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5BEF67" id="docshape101" o:spid="_x0000_s1026" alt="&quot;&quot;" style="position:absolute;margin-left:70.8pt;margin-top:73.55pt;width:448.55pt;height:14.65pt;z-index:-15681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" fillcolor="black" stroked="f">
                <w10:wrap type="topAndBottom" anchorx="page"/>
              </v:rect>
            </w:pict>
          </mc:Fallback>
        </mc:AlternateContent>
      </w:r>
    </w:p>
    <w:p w14:paraId="56846DEF" w14:textId="77777777" w:rsidR="00BD462C" w:rsidRDefault="00BD462C">
      <w:pPr>
        <w:pStyle w:val="BodyText"/>
        <w:spacing w:before="2"/>
        <w:rPr>
          <w:sz w:val="10"/>
        </w:rPr>
      </w:pPr>
    </w:p>
    <w:p w14:paraId="317A514D" w14:textId="77777777" w:rsidR="00BD462C" w:rsidRDefault="00BD462C">
      <w:pPr>
        <w:pStyle w:val="BodyText"/>
        <w:spacing w:before="10"/>
        <w:rPr>
          <w:sz w:val="9"/>
        </w:rPr>
      </w:pPr>
    </w:p>
    <w:p w14:paraId="3C8DCAE5" w14:textId="77777777" w:rsidR="00BD462C" w:rsidRDefault="00BD462C">
      <w:pPr>
        <w:pStyle w:val="BodyText"/>
        <w:spacing w:before="1"/>
        <w:rPr>
          <w:sz w:val="8"/>
        </w:rPr>
      </w:pPr>
    </w:p>
    <w:p w14:paraId="26AD7774" w14:textId="77777777" w:rsidR="00BD462C" w:rsidRDefault="00BD462C">
      <w:pPr>
        <w:rPr>
          <w:sz w:val="8"/>
        </w:rPr>
        <w:sectPr w:rsidR="00BD462C">
          <w:pgSz w:w="11910" w:h="16840"/>
          <w:pgMar w:top="860" w:right="500" w:bottom="780" w:left="1280" w:header="566" w:footer="590" w:gutter="0"/>
          <w:cols w:space="720"/>
        </w:sectPr>
      </w:pPr>
    </w:p>
    <w:p w14:paraId="67CC62D2" w14:textId="77777777" w:rsidR="00BD462C" w:rsidRDefault="00BD462C">
      <w:pPr>
        <w:pStyle w:val="BodyText"/>
      </w:pPr>
    </w:p>
    <w:p w14:paraId="26F80FA5" w14:textId="7255D0FB" w:rsidR="00BD462C" w:rsidRDefault="00D70C7D">
      <w:pPr>
        <w:pStyle w:val="BodyText"/>
        <w:tabs>
          <w:tab w:val="left" w:pos="1873"/>
        </w:tabs>
        <w:spacing w:before="200"/>
        <w:ind w:left="135"/>
      </w:pPr>
      <w:r>
        <w:rPr>
          <w:noProof/>
        </w:rPr>
        <mc:AlternateContent>
          <mc:Choice Requires="wps">
            <w:drawing>
              <wp:anchor distT="0" distB="0" distL="114300" distR="114300" simplePos="0" relativeHeight="15778304" behindDoc="0" locked="0" layoutInCell="1" allowOverlap="1" wp14:anchorId="57112A65" wp14:editId="643E88D6">
                <wp:simplePos x="0" y="0"/>
                <wp:positionH relativeFrom="page">
                  <wp:posOffset>899160</wp:posOffset>
                </wp:positionH>
                <wp:positionV relativeFrom="paragraph">
                  <wp:posOffset>-154305</wp:posOffset>
                </wp:positionV>
                <wp:extent cx="2152015" cy="186055"/>
                <wp:effectExtent l="0" t="0" r="0" b="0"/>
                <wp:wrapNone/>
                <wp:docPr id="1228" name="docshape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01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BC06C5" id="docshape102" o:spid="_x0000_s1026" alt="&quot;&quot;" style="position:absolute;margin-left:70.8pt;margin-top:-12.15pt;width:169.45pt;height:14.65pt;z-index:1577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" fillcolor="black" stroked="f">
                <w10:wrap anchorx="page"/>
              </v:rect>
            </w:pict>
          </mc:Fallback>
        </mc:AlternateContent>
      </w:r>
      <w:r w:rsidR="00033D0F">
        <w:rPr>
          <w:spacing w:val="-2"/>
        </w:rPr>
        <w:t>Determination</w:t>
      </w:r>
      <w:r w:rsidR="00033D0F">
        <w:tab/>
      </w:r>
      <w:r w:rsidR="00033D0F">
        <w:rPr>
          <w:spacing w:val="-4"/>
        </w:rPr>
        <w:t>that</w:t>
      </w:r>
    </w:p>
    <w:p w14:paraId="157D025D" w14:textId="77777777" w:rsidR="00BD462C" w:rsidRDefault="00033D0F">
      <w:pPr>
        <w:pStyle w:val="BodyText"/>
        <w:spacing w:before="52"/>
        <w:ind w:left="136"/>
      </w:pPr>
      <w:r>
        <w:br w:type="column"/>
        <w:t>It</w:t>
      </w:r>
      <w:r>
        <w:rPr>
          <w:spacing w:val="73"/>
          <w:w w:val="150"/>
        </w:rPr>
        <w:t xml:space="preserve"> </w:t>
      </w:r>
      <w:r>
        <w:t>was</w:t>
      </w:r>
      <w:r>
        <w:rPr>
          <w:spacing w:val="73"/>
          <w:w w:val="150"/>
        </w:rPr>
        <w:t xml:space="preserve"> </w:t>
      </w:r>
      <w:r>
        <w:t>only</w:t>
      </w:r>
      <w:r>
        <w:rPr>
          <w:spacing w:val="68"/>
          <w:w w:val="150"/>
        </w:rPr>
        <w:t xml:space="preserve"> </w:t>
      </w:r>
      <w:r>
        <w:rPr>
          <w:i/>
        </w:rPr>
        <w:t>after</w:t>
      </w:r>
      <w:r>
        <w:rPr>
          <w:i/>
          <w:spacing w:val="72"/>
          <w:w w:val="150"/>
        </w:rPr>
        <w:t xml:space="preserve"> </w:t>
      </w:r>
      <w:r>
        <w:t>MOFCOM</w:t>
      </w:r>
      <w:r>
        <w:rPr>
          <w:spacing w:val="73"/>
          <w:w w:val="150"/>
        </w:rPr>
        <w:t xml:space="preserve"> </w:t>
      </w:r>
      <w:r>
        <w:t>issued</w:t>
      </w:r>
      <w:r>
        <w:rPr>
          <w:spacing w:val="70"/>
          <w:w w:val="150"/>
        </w:rPr>
        <w:t xml:space="preserve"> </w:t>
      </w:r>
      <w:r>
        <w:t>the</w:t>
      </w:r>
      <w:r>
        <w:rPr>
          <w:spacing w:val="73"/>
          <w:w w:val="150"/>
        </w:rPr>
        <w:t xml:space="preserve"> </w:t>
      </w:r>
      <w:r>
        <w:rPr>
          <w:spacing w:val="-2"/>
        </w:rPr>
        <w:t>Preliminary</w:t>
      </w:r>
    </w:p>
    <w:p w14:paraId="77D05FF5" w14:textId="77777777" w:rsidR="00BD462C" w:rsidRDefault="00BD462C">
      <w:pPr>
        <w:pStyle w:val="BodyText"/>
      </w:pPr>
    </w:p>
    <w:p w14:paraId="0FFE205C" w14:textId="77777777" w:rsidR="00BD462C" w:rsidRDefault="00BD462C">
      <w:pPr>
        <w:pStyle w:val="BodyText"/>
        <w:spacing w:before="11"/>
        <w:rPr>
          <w:sz w:val="23"/>
        </w:rPr>
      </w:pPr>
    </w:p>
    <w:p w14:paraId="232C21B2" w14:textId="12D10D67" w:rsidR="00BD462C" w:rsidRDefault="00D70C7D">
      <w:pPr>
        <w:pStyle w:val="BodyText"/>
        <w:ind w:left="1120"/>
      </w:pPr>
      <w:r>
        <w:rPr>
          <w:noProof/>
        </w:rPr>
        <mc:AlternateContent>
          <mc:Choice Requires="wps">
            <w:drawing>
              <wp:anchor distT="0" distB="0" distL="114300" distR="114300" simplePos="0" relativeHeight="15778816" behindDoc="0" locked="0" layoutInCell="1" allowOverlap="1" wp14:anchorId="48944546" wp14:editId="53A3D3CF">
                <wp:simplePos x="0" y="0"/>
                <wp:positionH relativeFrom="page">
                  <wp:posOffset>2451735</wp:posOffset>
                </wp:positionH>
                <wp:positionV relativeFrom="paragraph">
                  <wp:posOffset>-278765</wp:posOffset>
                </wp:positionV>
                <wp:extent cx="4206240" cy="186055"/>
                <wp:effectExtent l="0" t="0" r="0" b="0"/>
                <wp:wrapNone/>
                <wp:docPr id="1226" name="docshape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288E69" id="docshape103" o:spid="_x0000_s1026" alt="&quot;&quot;" style="position:absolute;margin-left:193.05pt;margin-top:-21.95pt;width:331.2pt;height:14.65pt;z-index:1577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" fillcolor="black" stroked="f">
                <w10:wrap anchorx="page"/>
              </v:rect>
            </w:pict>
          </mc:Fallback>
        </mc:AlternateContent>
      </w:r>
      <w:r>
        <w:rPr>
          <w:noProof/>
        </w:rPr>
        <mc:AlternateContent>
          <mc:Choice Requires="wps">
            <w:drawing>
              <wp:anchor distT="0" distB="0" distL="114300" distR="114300" simplePos="0" relativeHeight="15779328" behindDoc="0" locked="0" layoutInCell="1" allowOverlap="1" wp14:anchorId="7B326D6F" wp14:editId="4F019DF1">
                <wp:simplePos x="0" y="0"/>
                <wp:positionH relativeFrom="page">
                  <wp:posOffset>899160</wp:posOffset>
                </wp:positionH>
                <wp:positionV relativeFrom="paragraph">
                  <wp:posOffset>-1270</wp:posOffset>
                </wp:positionV>
                <wp:extent cx="2861945" cy="186055"/>
                <wp:effectExtent l="0" t="0" r="0" b="0"/>
                <wp:wrapNone/>
                <wp:docPr id="1224" name="docshape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194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69773A" id="docshape104" o:spid="_x0000_s1026" alt="&quot;&quot;" style="position:absolute;margin-left:70.8pt;margin-top:-.1pt;width:225.35pt;height:14.65pt;z-index:1577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" fillcolor="black" stroked="f">
                <w10:wrap anchorx="page"/>
              </v:rect>
            </w:pict>
          </mc:Fallback>
        </mc:AlternateContent>
      </w:r>
      <w:r>
        <w:rPr>
          <w:noProof/>
        </w:rPr>
        <mc:AlternateContent>
          <mc:Choice Requires="wps">
            <w:drawing>
              <wp:anchor distT="0" distB="0" distL="114300" distR="114300" simplePos="0" relativeHeight="15779840" behindDoc="0" locked="0" layoutInCell="1" allowOverlap="1" wp14:anchorId="589D47D0" wp14:editId="26189BD3">
                <wp:simplePos x="0" y="0"/>
                <wp:positionH relativeFrom="page">
                  <wp:posOffset>4745990</wp:posOffset>
                </wp:positionH>
                <wp:positionV relativeFrom="paragraph">
                  <wp:posOffset>-1270</wp:posOffset>
                </wp:positionV>
                <wp:extent cx="1913890" cy="186055"/>
                <wp:effectExtent l="0" t="0" r="0" b="0"/>
                <wp:wrapNone/>
                <wp:docPr id="1222" name="docshape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389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07AAE4" id="docshape105" o:spid="_x0000_s1026" alt="&quot;&quot;" style="position:absolute;margin-left:373.7pt;margin-top:-.1pt;width:150.7pt;height:14.65pt;z-index:1577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" fillcolor="black" stroked="f">
                <w10:wrap anchorx="page"/>
              </v:rect>
            </w:pict>
          </mc:Fallback>
        </mc:AlternateContent>
      </w:r>
      <w:hyperlink w:anchor="_bookmark264" w:history="1">
        <w:r w:rsidR="00033D0F">
          <w:rPr>
            <w:vertAlign w:val="superscript"/>
          </w:rPr>
          <w:t>205</w:t>
        </w:r>
      </w:hyperlink>
      <w:r w:rsidR="00033D0F">
        <w:rPr>
          <w:spacing w:val="-6"/>
        </w:rPr>
        <w:t xml:space="preserve"> </w:t>
      </w:r>
      <w:r w:rsidR="00033D0F">
        <w:t>In</w:t>
      </w:r>
      <w:r w:rsidR="00033D0F">
        <w:rPr>
          <w:spacing w:val="-9"/>
        </w:rPr>
        <w:t xml:space="preserve"> </w:t>
      </w:r>
      <w:r w:rsidR="00033D0F">
        <w:rPr>
          <w:spacing w:val="-2"/>
        </w:rPr>
        <w:t>response,</w:t>
      </w:r>
    </w:p>
    <w:p w14:paraId="6F156CF2" w14:textId="77777777" w:rsidR="00BD462C" w:rsidRDefault="00BD462C">
      <w:pPr>
        <w:sectPr w:rsidR="00BD462C">
          <w:type w:val="continuous"/>
          <w:pgSz w:w="11910" w:h="16840"/>
          <w:pgMar w:top="1700" w:right="500" w:bottom="280" w:left="1280" w:header="566" w:footer="590" w:gutter="0"/>
          <w:cols w:num="2" w:space="720" w:equalWidth="0">
            <w:col w:w="2316" w:space="1226"/>
            <w:col w:w="6588"/>
          </w:cols>
        </w:sectPr>
      </w:pPr>
    </w:p>
    <w:p w14:paraId="24018477" w14:textId="77777777" w:rsidR="00BD462C" w:rsidRDefault="00BD462C">
      <w:pPr>
        <w:pStyle w:val="BodyText"/>
        <w:spacing w:before="1"/>
        <w:rPr>
          <w:sz w:val="12"/>
        </w:rPr>
      </w:pPr>
    </w:p>
    <w:p w14:paraId="69438924" w14:textId="131CE177" w:rsidR="00BD462C" w:rsidRDefault="00D70C7D">
      <w:pPr>
        <w:pStyle w:val="BodyText"/>
        <w:ind w:left="136"/>
        <w:rPr>
          <w:sz w:val="20"/>
        </w:rPr>
      </w:pPr>
      <w:r>
        <w:rPr>
          <w:noProof/>
          <w:sz w:val="20"/>
        </w:rPr>
        <mc:AlternateContent>
          <mc:Choice Requires="wpg">
            <w:drawing>
              <wp:inline distT="0" distB="0" distL="0" distR="0" wp14:anchorId="3012AAD0" wp14:editId="323619DF">
                <wp:extent cx="1844040" cy="186055"/>
                <wp:effectExtent l="3810" t="3810" r="0" b="635"/>
                <wp:docPr id="1218" name="docshapegroup106" descr="Redac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4040" cy="186055"/>
                          <a:chOff x="0" y="0"/>
                          <a:chExt cx="2904" cy="293"/>
                        </a:xfrm>
                      </wpg:grpSpPr>
                      <wps:wsp>
                        <wps:cNvPr id="1220" name="docshape107"/>
                        <wps:cNvSpPr>
                          <a:spLocks noChangeArrowheads="1"/>
                        </wps:cNvSpPr>
                        <wps:spPr bwMode="auto">
                          <a:xfrm>
                            <a:off x="0" y="0"/>
                            <a:ext cx="2904" cy="29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813AAD6" id="docshapegroup106" o:spid="_x0000_s1026" alt="Redacted" style="width:145.2pt;height:14.65pt;mso-position-horizontal-relative:char;mso-position-vertical-relative:line" coordsize="2904,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">
                <v:rect id="docshape107" o:spid="_x0000_s1027" style="position:absolute;width:2904;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" fillcolor="black" stroked="f"/>
                <w10:anchorlock/>
              </v:group>
            </w:pict>
          </mc:Fallback>
        </mc:AlternateContent>
      </w:r>
    </w:p>
    <w:p w14:paraId="5EF127F5" w14:textId="77777777" w:rsidR="00BD462C" w:rsidRDefault="00BD462C">
      <w:pPr>
        <w:pStyle w:val="BodyText"/>
        <w:spacing w:before="5"/>
        <w:rPr>
          <w:sz w:val="18"/>
        </w:rPr>
      </w:pPr>
    </w:p>
    <w:p w14:paraId="6496C1D6" w14:textId="5FC5C67E" w:rsidR="00BD462C" w:rsidRDefault="00D70C7D" w:rsidP="00A83285">
      <w:pPr>
        <w:pStyle w:val="BodyText"/>
        <w:numPr>
          <w:ilvl w:val="0"/>
          <w:numId w:val="69"/>
        </w:numPr>
        <w:spacing w:before="56" w:after="4" w:line="355" w:lineRule="auto"/>
        <w:ind w:right="3648"/>
      </w:pPr>
      <w:r>
        <w:rPr>
          <w:noProof/>
        </w:rPr>
        <mc:AlternateContent>
          <mc:Choice Requires="wps">
            <w:drawing>
              <wp:anchor distT="0" distB="0" distL="114300" distR="114300" simplePos="0" relativeHeight="15780352" behindDoc="0" locked="0" layoutInCell="1" allowOverlap="1" wp14:anchorId="572FA861" wp14:editId="635F21E2">
                <wp:simplePos x="0" y="0"/>
                <wp:positionH relativeFrom="page">
                  <wp:posOffset>4980305</wp:posOffset>
                </wp:positionH>
                <wp:positionV relativeFrom="paragraph">
                  <wp:posOffset>31750</wp:posOffset>
                </wp:positionV>
                <wp:extent cx="1679575" cy="186055"/>
                <wp:effectExtent l="0" t="0" r="0" b="0"/>
                <wp:wrapNone/>
                <wp:docPr id="1216" name="docshape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957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EA5A28" id="docshape108" o:spid="_x0000_s1026" alt="&quot;&quot;" style="position:absolute;margin-left:392.15pt;margin-top:2.5pt;width:132.25pt;height:14.65pt;z-index:1578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" fillcolor="black" stroked="f">
                <w10:wrap anchorx="page"/>
              </v:rect>
            </w:pict>
          </mc:Fallback>
        </mc:AlternateContent>
      </w:r>
      <w:r>
        <w:rPr>
          <w:noProof/>
        </w:rPr>
        <mc:AlternateContent>
          <mc:Choice Requires="wps">
            <w:drawing>
              <wp:anchor distT="0" distB="0" distL="114300" distR="114300" simplePos="0" relativeHeight="478942208" behindDoc="1" locked="0" layoutInCell="1" allowOverlap="1" wp14:anchorId="5A5B81A1" wp14:editId="0C14F60E">
                <wp:simplePos x="0" y="0"/>
                <wp:positionH relativeFrom="page">
                  <wp:posOffset>899160</wp:posOffset>
                </wp:positionH>
                <wp:positionV relativeFrom="paragraph">
                  <wp:posOffset>309245</wp:posOffset>
                </wp:positionV>
                <wp:extent cx="1200785" cy="186055"/>
                <wp:effectExtent l="0" t="0" r="0" b="0"/>
                <wp:wrapNone/>
                <wp:docPr id="1214" name="docshape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78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4C7590" id="docshape109" o:spid="_x0000_s1026" alt="&quot;&quot;" style="position:absolute;margin-left:70.8pt;margin-top:24.35pt;width:94.55pt;height:14.65pt;z-index:-2437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" fillcolor="black" stroked="f">
                <w10:wrap anchorx="page"/>
              </v:rect>
            </w:pict>
          </mc:Fallback>
        </mc:AlternateContent>
      </w:r>
      <w:r>
        <w:rPr>
          <w:noProof/>
        </w:rPr>
        <mc:AlternateContent>
          <mc:Choice Requires="wps">
            <w:drawing>
              <wp:anchor distT="0" distB="0" distL="114300" distR="114300" simplePos="0" relativeHeight="478942720" behindDoc="1" locked="0" layoutInCell="1" allowOverlap="1" wp14:anchorId="0388E904" wp14:editId="1B301FD9">
                <wp:simplePos x="0" y="0"/>
                <wp:positionH relativeFrom="page">
                  <wp:posOffset>3874135</wp:posOffset>
                </wp:positionH>
                <wp:positionV relativeFrom="paragraph">
                  <wp:posOffset>309245</wp:posOffset>
                </wp:positionV>
                <wp:extent cx="2785745" cy="186055"/>
                <wp:effectExtent l="0" t="0" r="0" b="0"/>
                <wp:wrapNone/>
                <wp:docPr id="1212" name="docshape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90FEEF" id="docshape110" o:spid="_x0000_s1026" alt="&quot;&quot;" style="position:absolute;margin-left:305.05pt;margin-top:24.35pt;width:219.35pt;height:14.65pt;z-index:-2437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" fillcolor="black" stroked="f">
                <w10:wrap anchorx="page"/>
              </v:rect>
            </w:pict>
          </mc:Fallback>
        </mc:AlternateContent>
      </w:r>
      <w:r w:rsidR="00033D0F">
        <w:rPr>
          <w:position w:val="1"/>
        </w:rPr>
        <w:t>In the Supplementary Questionnaire, MOFCOM queried</w:t>
      </w:r>
      <w:r w:rsidR="00033D0F">
        <w:rPr>
          <w:spacing w:val="40"/>
          <w:position w:val="1"/>
        </w:rPr>
        <w:t xml:space="preserve"> </w:t>
      </w:r>
      <w:r w:rsidR="00033D0F">
        <w:t>in</w:t>
      </w:r>
      <w:r w:rsidR="00033D0F">
        <w:rPr>
          <w:spacing w:val="40"/>
        </w:rPr>
        <w:t xml:space="preserve"> </w:t>
      </w:r>
      <w:r w:rsidR="00033D0F">
        <w:t>Form</w:t>
      </w:r>
      <w:r w:rsidR="00033D0F">
        <w:rPr>
          <w:spacing w:val="40"/>
        </w:rPr>
        <w:t xml:space="preserve"> </w:t>
      </w:r>
      <w:r w:rsidR="00033D0F">
        <w:t>6-4.</w:t>
      </w:r>
      <w:r w:rsidR="00033D0F">
        <w:rPr>
          <w:spacing w:val="40"/>
        </w:rPr>
        <w:t xml:space="preserve"> </w:t>
      </w:r>
      <w:r w:rsidR="00033D0F">
        <w:t>In</w:t>
      </w:r>
      <w:r w:rsidR="00033D0F">
        <w:rPr>
          <w:spacing w:val="40"/>
        </w:rPr>
        <w:t xml:space="preserve"> </w:t>
      </w:r>
      <w:r w:rsidR="00033D0F">
        <w:t>response,</w:t>
      </w:r>
    </w:p>
    <w:p w14:paraId="069714CC" w14:textId="70BBA7E0" w:rsidR="00BD462C" w:rsidRDefault="00AC5C65">
      <w:pPr>
        <w:pStyle w:val="BodyText"/>
        <w:ind w:left="136"/>
        <w:rPr>
          <w:sz w:val="20"/>
        </w:rPr>
      </w:pPr>
      <w:r>
        <w:rPr>
          <w:noProof/>
        </w:rPr>
        <mc:AlternateContent>
          <mc:Choice Requires="wps">
            <w:drawing>
              <wp:anchor distT="0" distB="0" distL="114300" distR="114300" simplePos="0" relativeHeight="488313344" behindDoc="1" locked="0" layoutInCell="1" allowOverlap="1" wp14:anchorId="6A243934" wp14:editId="7F2275C3">
                <wp:simplePos x="0" y="0"/>
                <wp:positionH relativeFrom="page">
                  <wp:posOffset>880533</wp:posOffset>
                </wp:positionH>
                <wp:positionV relativeFrom="paragraph">
                  <wp:posOffset>635</wp:posOffset>
                </wp:positionV>
                <wp:extent cx="5791200" cy="186055"/>
                <wp:effectExtent l="0" t="0" r="0" b="4445"/>
                <wp:wrapNone/>
                <wp:docPr id="1150" name="docshape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185B27" id="docshape110" o:spid="_x0000_s1026" alt="&quot;&quot;" style="position:absolute;margin-left:69.35pt;margin-top:.05pt;width:456pt;height:14.65pt;z-index:-1500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" fillcolor="black" stroked="f">
                <w10:wrap anchorx="page"/>
              </v:rect>
            </w:pict>
          </mc:Fallback>
        </mc:AlternateContent>
      </w:r>
    </w:p>
    <w:p w14:paraId="6D0598B8" w14:textId="77777777" w:rsidR="00BD462C" w:rsidRDefault="00BD462C">
      <w:pPr>
        <w:pStyle w:val="BodyText"/>
        <w:rPr>
          <w:sz w:val="20"/>
        </w:rPr>
      </w:pPr>
    </w:p>
    <w:p w14:paraId="0AC0B70B" w14:textId="622A6E47" w:rsidR="00BD462C" w:rsidRDefault="00D70C7D">
      <w:pPr>
        <w:pStyle w:val="BodyText"/>
        <w:spacing w:before="8"/>
        <w:rPr>
          <w:sz w:val="27"/>
        </w:rPr>
      </w:pPr>
      <w:r>
        <w:rPr>
          <w:noProof/>
        </w:rPr>
        <mc:AlternateContent>
          <mc:Choice Requires="wps">
            <w:drawing>
              <wp:anchor distT="0" distB="0" distL="0" distR="0" simplePos="0" relativeHeight="487636480" behindDoc="1" locked="0" layoutInCell="1" allowOverlap="1" wp14:anchorId="0E8AABB2" wp14:editId="73A75A70">
                <wp:simplePos x="0" y="0"/>
                <wp:positionH relativeFrom="page">
                  <wp:posOffset>899160</wp:posOffset>
                </wp:positionH>
                <wp:positionV relativeFrom="paragraph">
                  <wp:posOffset>229870</wp:posOffset>
                </wp:positionV>
                <wp:extent cx="1828800" cy="8890"/>
                <wp:effectExtent l="0" t="0" r="0" b="0"/>
                <wp:wrapTopAndBottom/>
                <wp:docPr id="1206" name="docshape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BAFA8A" id="docshape113" o:spid="_x0000_s1026" alt="&quot;&quot;" style="position:absolute;margin-left:70.8pt;margin-top:18.1pt;width:2in;height:.7pt;z-index:-15680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" fillcolor="black" stroked="f">
                <w10:wrap type="topAndBottom" anchorx="page"/>
              </v:rect>
            </w:pict>
          </mc:Fallback>
        </mc:AlternateContent>
      </w:r>
    </w:p>
    <w:p w14:paraId="1E3ADF90" w14:textId="77777777" w:rsidR="00BD462C" w:rsidRDefault="00033D0F">
      <w:pPr>
        <w:tabs>
          <w:tab w:val="left" w:pos="3558"/>
        </w:tabs>
        <w:spacing w:before="107"/>
        <w:ind w:left="135"/>
        <w:rPr>
          <w:sz w:val="18"/>
        </w:rPr>
      </w:pPr>
      <w:bookmarkStart w:id="297" w:name="_bookmark260"/>
      <w:bookmarkEnd w:id="297"/>
      <w:r>
        <w:rPr>
          <w:position w:val="5"/>
          <w:sz w:val="12"/>
        </w:rPr>
        <w:t>201</w:t>
      </w:r>
      <w:r>
        <w:rPr>
          <w:spacing w:val="69"/>
          <w:position w:val="5"/>
          <w:sz w:val="12"/>
        </w:rPr>
        <w:t xml:space="preserve"> </w:t>
      </w:r>
      <w:r>
        <w:rPr>
          <w:sz w:val="18"/>
        </w:rPr>
        <w:t>China</w:t>
      </w:r>
      <w:r>
        <w:rPr>
          <w:spacing w:val="48"/>
          <w:sz w:val="18"/>
        </w:rPr>
        <w:t xml:space="preserve"> </w:t>
      </w:r>
      <w:r>
        <w:rPr>
          <w:sz w:val="18"/>
        </w:rPr>
        <w:t>now</w:t>
      </w:r>
      <w:r>
        <w:rPr>
          <w:spacing w:val="49"/>
          <w:sz w:val="18"/>
        </w:rPr>
        <w:t xml:space="preserve"> </w:t>
      </w:r>
      <w:r>
        <w:rPr>
          <w:sz w:val="18"/>
        </w:rPr>
        <w:t>argues</w:t>
      </w:r>
      <w:r>
        <w:rPr>
          <w:spacing w:val="50"/>
          <w:sz w:val="18"/>
        </w:rPr>
        <w:t xml:space="preserve"> </w:t>
      </w:r>
      <w:r>
        <w:rPr>
          <w:spacing w:val="-4"/>
          <w:sz w:val="18"/>
        </w:rPr>
        <w:t>that</w:t>
      </w:r>
      <w:r>
        <w:rPr>
          <w:sz w:val="18"/>
        </w:rPr>
        <w:tab/>
        <w:t>was</w:t>
      </w:r>
      <w:r>
        <w:rPr>
          <w:spacing w:val="48"/>
          <w:sz w:val="18"/>
        </w:rPr>
        <w:t xml:space="preserve"> </w:t>
      </w:r>
      <w:r>
        <w:rPr>
          <w:sz w:val="18"/>
        </w:rPr>
        <w:t>addressed</w:t>
      </w:r>
      <w:r>
        <w:rPr>
          <w:spacing w:val="47"/>
          <w:sz w:val="18"/>
        </w:rPr>
        <w:t xml:space="preserve"> </w:t>
      </w:r>
      <w:r>
        <w:rPr>
          <w:sz w:val="18"/>
        </w:rPr>
        <w:t>in</w:t>
      </w:r>
      <w:r>
        <w:rPr>
          <w:spacing w:val="48"/>
          <w:sz w:val="18"/>
        </w:rPr>
        <w:t xml:space="preserve"> </w:t>
      </w:r>
      <w:r>
        <w:rPr>
          <w:sz w:val="18"/>
        </w:rPr>
        <w:t>the</w:t>
      </w:r>
      <w:r>
        <w:rPr>
          <w:spacing w:val="53"/>
          <w:sz w:val="18"/>
        </w:rPr>
        <w:t xml:space="preserve"> </w:t>
      </w:r>
      <w:r>
        <w:rPr>
          <w:sz w:val="18"/>
        </w:rPr>
        <w:t>Final</w:t>
      </w:r>
      <w:r>
        <w:rPr>
          <w:spacing w:val="54"/>
          <w:sz w:val="18"/>
        </w:rPr>
        <w:t xml:space="preserve"> </w:t>
      </w:r>
      <w:r>
        <w:rPr>
          <w:sz w:val="18"/>
        </w:rPr>
        <w:t>Disclosure</w:t>
      </w:r>
      <w:r>
        <w:rPr>
          <w:spacing w:val="48"/>
          <w:sz w:val="18"/>
        </w:rPr>
        <w:t xml:space="preserve"> </w:t>
      </w:r>
      <w:r>
        <w:rPr>
          <w:sz w:val="18"/>
        </w:rPr>
        <w:t>to</w:t>
      </w:r>
      <w:r>
        <w:rPr>
          <w:spacing w:val="48"/>
          <w:sz w:val="18"/>
        </w:rPr>
        <w:t xml:space="preserve"> </w:t>
      </w:r>
      <w:r>
        <w:rPr>
          <w:sz w:val="18"/>
        </w:rPr>
        <w:t>Treasury</w:t>
      </w:r>
      <w:r>
        <w:rPr>
          <w:spacing w:val="42"/>
          <w:sz w:val="18"/>
        </w:rPr>
        <w:t xml:space="preserve"> </w:t>
      </w:r>
      <w:r>
        <w:rPr>
          <w:sz w:val="18"/>
        </w:rPr>
        <w:t>Wines</w:t>
      </w:r>
      <w:r>
        <w:rPr>
          <w:spacing w:val="48"/>
          <w:sz w:val="18"/>
        </w:rPr>
        <w:t xml:space="preserve"> </w:t>
      </w:r>
      <w:r>
        <w:rPr>
          <w:sz w:val="18"/>
        </w:rPr>
        <w:t>and</w:t>
      </w:r>
      <w:r>
        <w:rPr>
          <w:spacing w:val="48"/>
          <w:sz w:val="18"/>
        </w:rPr>
        <w:t xml:space="preserve"> </w:t>
      </w:r>
      <w:r>
        <w:rPr>
          <w:sz w:val="18"/>
        </w:rPr>
        <w:t>the</w:t>
      </w:r>
      <w:r>
        <w:rPr>
          <w:spacing w:val="52"/>
          <w:sz w:val="18"/>
        </w:rPr>
        <w:t xml:space="preserve"> </w:t>
      </w:r>
      <w:r>
        <w:rPr>
          <w:spacing w:val="-2"/>
          <w:sz w:val="18"/>
        </w:rPr>
        <w:t>Final</w:t>
      </w:r>
    </w:p>
    <w:p w14:paraId="539F647D" w14:textId="4C7DE36C" w:rsidR="00BD462C" w:rsidRDefault="00D70C7D">
      <w:pPr>
        <w:spacing w:before="1"/>
        <w:ind w:left="135" w:right="918"/>
        <w:jc w:val="both"/>
        <w:rPr>
          <w:sz w:val="18"/>
        </w:rPr>
      </w:pPr>
      <w:r>
        <w:rPr>
          <w:noProof/>
        </w:rPr>
        <mc:AlternateContent>
          <mc:Choice Requires="wps">
            <w:drawing>
              <wp:anchor distT="0" distB="0" distL="114300" distR="114300" simplePos="0" relativeHeight="478943232" behindDoc="1" locked="0" layoutInCell="1" allowOverlap="1" wp14:anchorId="78E973E6" wp14:editId="20429A7B">
                <wp:simplePos x="0" y="0"/>
                <wp:positionH relativeFrom="page">
                  <wp:posOffset>2279650</wp:posOffset>
                </wp:positionH>
                <wp:positionV relativeFrom="paragraph">
                  <wp:posOffset>-137160</wp:posOffset>
                </wp:positionV>
                <wp:extent cx="734695" cy="137160"/>
                <wp:effectExtent l="0" t="0" r="0" b="0"/>
                <wp:wrapNone/>
                <wp:docPr id="1204" name="docshape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4695" cy="137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02DAE9" id="docshape114" o:spid="_x0000_s1026" alt="&quot;&quot;" style="position:absolute;margin-left:179.5pt;margin-top:-10.8pt;width:57.85pt;height:10.8pt;z-index:-2437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" fillcolor="black" stroked="f">
                <w10:wrap anchorx="page"/>
              </v:rect>
            </w:pict>
          </mc:Fallback>
        </mc:AlternateContent>
      </w:r>
      <w:r>
        <w:rPr>
          <w:noProof/>
        </w:rPr>
        <mc:AlternateContent>
          <mc:Choice Requires="wps">
            <w:drawing>
              <wp:anchor distT="0" distB="0" distL="114300" distR="114300" simplePos="0" relativeHeight="15782400" behindDoc="0" locked="0" layoutInCell="1" allowOverlap="1" wp14:anchorId="2F102D26" wp14:editId="5FABA25E">
                <wp:simplePos x="0" y="0"/>
                <wp:positionH relativeFrom="page">
                  <wp:posOffset>5995670</wp:posOffset>
                </wp:positionH>
                <wp:positionV relativeFrom="paragraph">
                  <wp:posOffset>139700</wp:posOffset>
                </wp:positionV>
                <wp:extent cx="664210" cy="140335"/>
                <wp:effectExtent l="0" t="0" r="0" b="0"/>
                <wp:wrapNone/>
                <wp:docPr id="1202" name="docshape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210" cy="140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6054AA" id="docshape115" o:spid="_x0000_s1026" alt="&quot;&quot;" style="position:absolute;margin-left:472.1pt;margin-top:11pt;width:52.3pt;height:11.05pt;z-index:1578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" fillcolor="black" stroked="f">
                <w10:wrap anchorx="page"/>
              </v:rect>
            </w:pict>
          </mc:Fallback>
        </mc:AlternateContent>
      </w:r>
      <w:r>
        <w:rPr>
          <w:noProof/>
        </w:rPr>
        <mc:AlternateContent>
          <mc:Choice Requires="wps">
            <w:drawing>
              <wp:anchor distT="0" distB="0" distL="114300" distR="114300" simplePos="0" relativeHeight="15782912" behindDoc="0" locked="0" layoutInCell="1" allowOverlap="1" wp14:anchorId="1AA0E88B" wp14:editId="3EC61754">
                <wp:simplePos x="0" y="0"/>
                <wp:positionH relativeFrom="page">
                  <wp:posOffset>899160</wp:posOffset>
                </wp:positionH>
                <wp:positionV relativeFrom="paragraph">
                  <wp:posOffset>280035</wp:posOffset>
                </wp:positionV>
                <wp:extent cx="694690" cy="140335"/>
                <wp:effectExtent l="0" t="0" r="0" b="0"/>
                <wp:wrapNone/>
                <wp:docPr id="1200" name="docshape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690" cy="140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DC741F" id="docshape116" o:spid="_x0000_s1026" alt="&quot;&quot;" style="position:absolute;margin-left:70.8pt;margin-top:22.05pt;width:54.7pt;height:11.05pt;z-index:1578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" fillcolor="black" stroked="f">
                <w10:wrap anchorx="page"/>
              </v:rect>
            </w:pict>
          </mc:Fallback>
        </mc:AlternateContent>
      </w:r>
      <w:r w:rsidR="00033D0F">
        <w:rPr>
          <w:sz w:val="18"/>
        </w:rPr>
        <w:t>Determination</w:t>
      </w:r>
      <w:r w:rsidR="00033D0F">
        <w:rPr>
          <w:spacing w:val="-9"/>
          <w:sz w:val="18"/>
        </w:rPr>
        <w:t xml:space="preserve"> </w:t>
      </w:r>
      <w:r w:rsidR="00033D0F">
        <w:rPr>
          <w:sz w:val="18"/>
        </w:rPr>
        <w:t>and</w:t>
      </w:r>
      <w:r w:rsidR="00033D0F">
        <w:rPr>
          <w:spacing w:val="-9"/>
          <w:sz w:val="18"/>
        </w:rPr>
        <w:t xml:space="preserve"> </w:t>
      </w:r>
      <w:r w:rsidR="00033D0F">
        <w:rPr>
          <w:sz w:val="18"/>
        </w:rPr>
        <w:t>that</w:t>
      </w:r>
      <w:r w:rsidR="00033D0F">
        <w:rPr>
          <w:spacing w:val="-3"/>
          <w:sz w:val="18"/>
        </w:rPr>
        <w:t xml:space="preserve"> </w:t>
      </w:r>
      <w:r w:rsidR="00033D0F">
        <w:rPr>
          <w:sz w:val="18"/>
        </w:rPr>
        <w:t>it</w:t>
      </w:r>
      <w:r w:rsidR="00033D0F">
        <w:rPr>
          <w:spacing w:val="-3"/>
          <w:sz w:val="18"/>
        </w:rPr>
        <w:t xml:space="preserve"> </w:t>
      </w:r>
      <w:r w:rsidR="00033D0F">
        <w:rPr>
          <w:sz w:val="18"/>
        </w:rPr>
        <w:t>was</w:t>
      </w:r>
      <w:r w:rsidR="00033D0F">
        <w:rPr>
          <w:spacing w:val="-3"/>
          <w:sz w:val="18"/>
        </w:rPr>
        <w:t xml:space="preserve"> </w:t>
      </w:r>
      <w:r w:rsidR="00033D0F">
        <w:rPr>
          <w:sz w:val="18"/>
        </w:rPr>
        <w:t>a</w:t>
      </w:r>
      <w:r w:rsidR="00033D0F">
        <w:rPr>
          <w:spacing w:val="-10"/>
          <w:sz w:val="18"/>
        </w:rPr>
        <w:t xml:space="preserve"> </w:t>
      </w:r>
      <w:r w:rsidR="00033D0F">
        <w:rPr>
          <w:sz w:val="18"/>
        </w:rPr>
        <w:t>"major</w:t>
      </w:r>
      <w:r w:rsidR="00033D0F">
        <w:rPr>
          <w:spacing w:val="-5"/>
          <w:sz w:val="18"/>
        </w:rPr>
        <w:t xml:space="preserve"> </w:t>
      </w:r>
      <w:r w:rsidR="00033D0F">
        <w:rPr>
          <w:sz w:val="18"/>
        </w:rPr>
        <w:t>issue".</w:t>
      </w:r>
      <w:r w:rsidR="00033D0F">
        <w:rPr>
          <w:spacing w:val="-7"/>
          <w:sz w:val="18"/>
        </w:rPr>
        <w:t xml:space="preserve"> </w:t>
      </w:r>
      <w:r w:rsidR="00033D0F">
        <w:rPr>
          <w:sz w:val="18"/>
        </w:rPr>
        <w:t>(China's</w:t>
      </w:r>
      <w:r w:rsidR="00033D0F">
        <w:rPr>
          <w:spacing w:val="-8"/>
          <w:sz w:val="18"/>
        </w:rPr>
        <w:t xml:space="preserve"> </w:t>
      </w:r>
      <w:r w:rsidR="00033D0F">
        <w:rPr>
          <w:sz w:val="18"/>
        </w:rPr>
        <w:t>response</w:t>
      </w:r>
      <w:r w:rsidR="00033D0F">
        <w:rPr>
          <w:spacing w:val="-8"/>
          <w:sz w:val="18"/>
        </w:rPr>
        <w:t xml:space="preserve"> </w:t>
      </w:r>
      <w:r w:rsidR="00033D0F">
        <w:rPr>
          <w:sz w:val="18"/>
        </w:rPr>
        <w:t>to</w:t>
      </w:r>
      <w:r w:rsidR="00033D0F">
        <w:rPr>
          <w:spacing w:val="-9"/>
          <w:sz w:val="18"/>
        </w:rPr>
        <w:t xml:space="preserve"> </w:t>
      </w:r>
      <w:r w:rsidR="00033D0F">
        <w:rPr>
          <w:sz w:val="18"/>
        </w:rPr>
        <w:t>Panel</w:t>
      </w:r>
      <w:r w:rsidR="00033D0F">
        <w:rPr>
          <w:spacing w:val="-3"/>
          <w:sz w:val="18"/>
        </w:rPr>
        <w:t xml:space="preserve"> </w:t>
      </w:r>
      <w:r w:rsidR="00033D0F">
        <w:rPr>
          <w:sz w:val="18"/>
        </w:rPr>
        <w:t>question</w:t>
      </w:r>
      <w:r w:rsidR="00033D0F">
        <w:rPr>
          <w:spacing w:val="-9"/>
          <w:sz w:val="18"/>
        </w:rPr>
        <w:t xml:space="preserve"> </w:t>
      </w:r>
      <w:r w:rsidR="00033D0F">
        <w:rPr>
          <w:sz w:val="18"/>
        </w:rPr>
        <w:t>No.</w:t>
      </w:r>
      <w:r w:rsidR="00033D0F">
        <w:rPr>
          <w:spacing w:val="-3"/>
          <w:sz w:val="18"/>
        </w:rPr>
        <w:t xml:space="preserve"> </w:t>
      </w:r>
      <w:r w:rsidR="00033D0F">
        <w:rPr>
          <w:sz w:val="18"/>
        </w:rPr>
        <w:t>2,</w:t>
      </w:r>
      <w:r w:rsidR="00033D0F">
        <w:rPr>
          <w:spacing w:val="-2"/>
          <w:sz w:val="18"/>
        </w:rPr>
        <w:t xml:space="preserve"> </w:t>
      </w:r>
      <w:r w:rsidR="00033D0F">
        <w:rPr>
          <w:sz w:val="18"/>
        </w:rPr>
        <w:t>para.</w:t>
      </w:r>
      <w:r w:rsidR="00033D0F">
        <w:rPr>
          <w:spacing w:val="-3"/>
          <w:sz w:val="18"/>
        </w:rPr>
        <w:t xml:space="preserve"> </w:t>
      </w:r>
      <w:r w:rsidR="00033D0F">
        <w:rPr>
          <w:sz w:val="18"/>
        </w:rPr>
        <w:t>5).</w:t>
      </w:r>
      <w:r w:rsidR="00033D0F">
        <w:rPr>
          <w:spacing w:val="-7"/>
          <w:sz w:val="18"/>
        </w:rPr>
        <w:t xml:space="preserve"> </w:t>
      </w:r>
      <w:r w:rsidR="00033D0F">
        <w:rPr>
          <w:sz w:val="18"/>
        </w:rPr>
        <w:t>Whereas</w:t>
      </w:r>
      <w:r w:rsidR="00033D0F">
        <w:rPr>
          <w:spacing w:val="-3"/>
          <w:sz w:val="18"/>
        </w:rPr>
        <w:t xml:space="preserve"> </w:t>
      </w:r>
      <w:r w:rsidR="00033D0F">
        <w:rPr>
          <w:sz w:val="18"/>
        </w:rPr>
        <w:t>in</w:t>
      </w:r>
      <w:r w:rsidR="00033D0F">
        <w:rPr>
          <w:spacing w:val="-4"/>
          <w:sz w:val="18"/>
        </w:rPr>
        <w:t xml:space="preserve"> </w:t>
      </w:r>
      <w:r w:rsidR="00033D0F">
        <w:rPr>
          <w:sz w:val="18"/>
        </w:rPr>
        <w:t>its</w:t>
      </w:r>
      <w:r w:rsidR="00033D0F">
        <w:rPr>
          <w:spacing w:val="-8"/>
          <w:sz w:val="18"/>
        </w:rPr>
        <w:t xml:space="preserve"> </w:t>
      </w:r>
      <w:r w:rsidR="00033D0F">
        <w:rPr>
          <w:sz w:val="18"/>
        </w:rPr>
        <w:t>first</w:t>
      </w:r>
      <w:r w:rsidR="00033D0F">
        <w:rPr>
          <w:spacing w:val="-7"/>
          <w:sz w:val="18"/>
        </w:rPr>
        <w:t xml:space="preserve"> </w:t>
      </w:r>
      <w:r w:rsidR="00033D0F">
        <w:rPr>
          <w:sz w:val="18"/>
        </w:rPr>
        <w:t>written submission,</w:t>
      </w:r>
      <w:r w:rsidR="00033D0F">
        <w:rPr>
          <w:spacing w:val="40"/>
          <w:sz w:val="18"/>
        </w:rPr>
        <w:t xml:space="preserve"> </w:t>
      </w:r>
      <w:r w:rsidR="00033D0F">
        <w:rPr>
          <w:sz w:val="18"/>
        </w:rPr>
        <w:t>China</w:t>
      </w:r>
      <w:r w:rsidR="00033D0F">
        <w:rPr>
          <w:spacing w:val="40"/>
          <w:sz w:val="18"/>
        </w:rPr>
        <w:t xml:space="preserve"> </w:t>
      </w:r>
      <w:r w:rsidR="00033D0F">
        <w:rPr>
          <w:sz w:val="18"/>
        </w:rPr>
        <w:t>argued</w:t>
      </w:r>
      <w:r w:rsidR="00033D0F">
        <w:rPr>
          <w:spacing w:val="40"/>
          <w:sz w:val="18"/>
        </w:rPr>
        <w:t xml:space="preserve"> </w:t>
      </w:r>
      <w:r w:rsidR="00033D0F">
        <w:rPr>
          <w:sz w:val="18"/>
        </w:rPr>
        <w:t>that</w:t>
      </w:r>
      <w:r w:rsidR="00033D0F">
        <w:rPr>
          <w:spacing w:val="40"/>
          <w:sz w:val="18"/>
        </w:rPr>
        <w:t xml:space="preserve"> </w:t>
      </w:r>
      <w:r w:rsidR="00033D0F">
        <w:rPr>
          <w:sz w:val="18"/>
        </w:rPr>
        <w:t>MOFCOM</w:t>
      </w:r>
      <w:r w:rsidR="00033D0F">
        <w:rPr>
          <w:spacing w:val="40"/>
          <w:sz w:val="18"/>
        </w:rPr>
        <w:t xml:space="preserve"> </w:t>
      </w:r>
      <w:r w:rsidR="00033D0F">
        <w:rPr>
          <w:sz w:val="18"/>
        </w:rPr>
        <w:t>was</w:t>
      </w:r>
      <w:r w:rsidR="00033D0F">
        <w:rPr>
          <w:spacing w:val="40"/>
          <w:sz w:val="18"/>
        </w:rPr>
        <w:t xml:space="preserve"> </w:t>
      </w:r>
      <w:r w:rsidR="00033D0F">
        <w:rPr>
          <w:sz w:val="18"/>
        </w:rPr>
        <w:t>"particularly</w:t>
      </w:r>
      <w:r w:rsidR="00033D0F">
        <w:rPr>
          <w:spacing w:val="40"/>
          <w:sz w:val="18"/>
        </w:rPr>
        <w:t xml:space="preserve"> </w:t>
      </w:r>
      <w:r w:rsidR="00033D0F">
        <w:rPr>
          <w:sz w:val="18"/>
        </w:rPr>
        <w:t>concerned</w:t>
      </w:r>
      <w:r w:rsidR="00033D0F">
        <w:rPr>
          <w:spacing w:val="40"/>
          <w:sz w:val="18"/>
        </w:rPr>
        <w:t xml:space="preserve"> </w:t>
      </w:r>
      <w:r w:rsidR="00033D0F">
        <w:rPr>
          <w:sz w:val="18"/>
        </w:rPr>
        <w:t>about</w:t>
      </w:r>
      <w:r w:rsidR="00033D0F">
        <w:rPr>
          <w:spacing w:val="40"/>
          <w:sz w:val="18"/>
        </w:rPr>
        <w:t xml:space="preserve"> </w:t>
      </w:r>
      <w:r w:rsidR="00033D0F">
        <w:rPr>
          <w:sz w:val="18"/>
        </w:rPr>
        <w:t>the</w:t>
      </w:r>
      <w:r w:rsidR="00033D0F">
        <w:rPr>
          <w:spacing w:val="40"/>
          <w:sz w:val="18"/>
        </w:rPr>
        <w:t xml:space="preserve"> </w:t>
      </w:r>
      <w:r w:rsidR="00033D0F">
        <w:rPr>
          <w:sz w:val="18"/>
        </w:rPr>
        <w:t>absence"</w:t>
      </w:r>
      <w:r w:rsidR="00033D0F">
        <w:rPr>
          <w:spacing w:val="40"/>
          <w:sz w:val="18"/>
        </w:rPr>
        <w:t xml:space="preserve"> </w:t>
      </w:r>
      <w:r w:rsidR="00033D0F">
        <w:rPr>
          <w:sz w:val="18"/>
        </w:rPr>
        <w:t>of</w:t>
      </w:r>
      <w:r w:rsidR="00033D0F">
        <w:rPr>
          <w:spacing w:val="40"/>
          <w:sz w:val="18"/>
        </w:rPr>
        <w:t xml:space="preserve"> </w:t>
      </w:r>
      <w:r w:rsidR="00033D0F">
        <w:rPr>
          <w:sz w:val="18"/>
        </w:rPr>
        <w:t>data</w:t>
      </w:r>
      <w:r w:rsidR="00033D0F">
        <w:rPr>
          <w:spacing w:val="40"/>
          <w:sz w:val="18"/>
        </w:rPr>
        <w:t xml:space="preserve"> </w:t>
      </w:r>
      <w:r w:rsidR="00033D0F">
        <w:rPr>
          <w:sz w:val="18"/>
        </w:rPr>
        <w:t>for</w:t>
      </w:r>
    </w:p>
    <w:p w14:paraId="24DEECB3" w14:textId="4199353E" w:rsidR="00BD462C" w:rsidRDefault="00D70C7D">
      <w:pPr>
        <w:tabs>
          <w:tab w:val="left" w:pos="5924"/>
        </w:tabs>
        <w:spacing w:before="4" w:line="237" w:lineRule="auto"/>
        <w:ind w:left="135" w:right="912" w:firstLine="1181"/>
        <w:jc w:val="both"/>
        <w:rPr>
          <w:sz w:val="18"/>
        </w:rPr>
      </w:pPr>
      <w:r>
        <w:rPr>
          <w:noProof/>
        </w:rPr>
        <mc:AlternateContent>
          <mc:Choice Requires="wps">
            <w:drawing>
              <wp:anchor distT="0" distB="0" distL="114300" distR="114300" simplePos="0" relativeHeight="478944768" behindDoc="1" locked="0" layoutInCell="1" allowOverlap="1" wp14:anchorId="2A05D8E4" wp14:editId="5680E689">
                <wp:simplePos x="0" y="0"/>
                <wp:positionH relativeFrom="page">
                  <wp:posOffset>3779520</wp:posOffset>
                </wp:positionH>
                <wp:positionV relativeFrom="paragraph">
                  <wp:posOffset>140970</wp:posOffset>
                </wp:positionV>
                <wp:extent cx="795655" cy="140335"/>
                <wp:effectExtent l="0" t="0" r="0" b="0"/>
                <wp:wrapNone/>
                <wp:docPr id="1198" name="docshape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655" cy="140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B9B134" id="docshape117" o:spid="_x0000_s1026" alt="&quot;&quot;" style="position:absolute;margin-left:297.6pt;margin-top:11.1pt;width:62.65pt;height:11.05pt;z-index:-2437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" fillcolor="black" stroked="f">
                <w10:wrap anchorx="page"/>
              </v:rect>
            </w:pict>
          </mc:Fallback>
        </mc:AlternateContent>
      </w:r>
      <w:r w:rsidR="00033D0F">
        <w:rPr>
          <w:sz w:val="18"/>
        </w:rPr>
        <w:t>(China's first written submission, para. 315). Contrary to China's responses to the Panel's questions, MOFCOM's determinations do not contain any reference to</w:t>
      </w:r>
      <w:r w:rsidR="00033D0F">
        <w:rPr>
          <w:sz w:val="18"/>
        </w:rPr>
        <w:tab/>
        <w:t>. (China's response to Panel question No. 2, para. 9).</w:t>
      </w:r>
    </w:p>
    <w:p w14:paraId="172B47FA" w14:textId="77777777" w:rsidR="00BD462C" w:rsidRDefault="00033D0F">
      <w:pPr>
        <w:spacing w:before="3"/>
        <w:ind w:left="135"/>
        <w:jc w:val="both"/>
        <w:rPr>
          <w:sz w:val="18"/>
        </w:rPr>
      </w:pPr>
      <w:bookmarkStart w:id="298" w:name="_bookmark261"/>
      <w:bookmarkEnd w:id="298"/>
      <w:r>
        <w:rPr>
          <w:position w:val="5"/>
          <w:sz w:val="12"/>
        </w:rPr>
        <w:t>202</w:t>
      </w:r>
      <w:r>
        <w:rPr>
          <w:spacing w:val="13"/>
          <w:position w:val="5"/>
          <w:sz w:val="12"/>
        </w:rPr>
        <w:t xml:space="preserve"> </w:t>
      </w:r>
      <w:r>
        <w:rPr>
          <w:sz w:val="18"/>
        </w:rPr>
        <w:t>Anti-Dumping</w:t>
      </w:r>
      <w:r>
        <w:rPr>
          <w:spacing w:val="-6"/>
          <w:sz w:val="18"/>
        </w:rPr>
        <w:t xml:space="preserve"> </w:t>
      </w:r>
      <w:r>
        <w:rPr>
          <w:sz w:val="18"/>
        </w:rPr>
        <w:t>Questionnaire</w:t>
      </w:r>
      <w:r>
        <w:rPr>
          <w:spacing w:val="-5"/>
          <w:sz w:val="18"/>
        </w:rPr>
        <w:t xml:space="preserve"> </w:t>
      </w:r>
      <w:r>
        <w:rPr>
          <w:sz w:val="18"/>
        </w:rPr>
        <w:t>(Exhibit</w:t>
      </w:r>
      <w:r>
        <w:rPr>
          <w:spacing w:val="-5"/>
          <w:sz w:val="18"/>
        </w:rPr>
        <w:t xml:space="preserve"> </w:t>
      </w:r>
      <w:r>
        <w:rPr>
          <w:sz w:val="18"/>
        </w:rPr>
        <w:t>AUS-3),</w:t>
      </w:r>
      <w:r>
        <w:rPr>
          <w:spacing w:val="1"/>
          <w:sz w:val="18"/>
        </w:rPr>
        <w:t xml:space="preserve"> </w:t>
      </w:r>
      <w:r>
        <w:rPr>
          <w:sz w:val="18"/>
        </w:rPr>
        <w:t>p.</w:t>
      </w:r>
      <w:r>
        <w:rPr>
          <w:spacing w:val="1"/>
          <w:sz w:val="18"/>
        </w:rPr>
        <w:t xml:space="preserve"> </w:t>
      </w:r>
      <w:r>
        <w:rPr>
          <w:spacing w:val="-5"/>
          <w:sz w:val="18"/>
        </w:rPr>
        <w:t>93.</w:t>
      </w:r>
    </w:p>
    <w:p w14:paraId="7274F717" w14:textId="2B4DD218" w:rsidR="00BD462C" w:rsidRDefault="00D70C7D">
      <w:pPr>
        <w:pStyle w:val="BodyText"/>
        <w:ind w:left="136"/>
        <w:rPr>
          <w:sz w:val="20"/>
        </w:rPr>
      </w:pPr>
      <w:r>
        <w:rPr>
          <w:noProof/>
          <w:sz w:val="20"/>
        </w:rPr>
        <mc:AlternateContent>
          <mc:Choice Requires="wpg">
            <w:drawing>
              <wp:inline distT="0" distB="0" distL="0" distR="0" wp14:anchorId="6971E55D" wp14:editId="775C87AB">
                <wp:extent cx="5760720" cy="978535"/>
                <wp:effectExtent l="3810" t="1270" r="0" b="1270"/>
                <wp:docPr id="1186" name="docshapegroup118" descr="Redac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978535"/>
                          <a:chOff x="0" y="0"/>
                          <a:chExt cx="9072" cy="1541"/>
                        </a:xfrm>
                      </wpg:grpSpPr>
                      <wps:wsp>
                        <wps:cNvPr id="1188" name="docshape119"/>
                        <wps:cNvSpPr>
                          <a:spLocks/>
                        </wps:cNvSpPr>
                        <wps:spPr bwMode="auto">
                          <a:xfrm>
                            <a:off x="0" y="0"/>
                            <a:ext cx="9072" cy="1541"/>
                          </a:xfrm>
                          <a:custGeom>
                            <a:avLst/>
                            <a:gdLst>
                              <a:gd name="T0" fmla="*/ 8299 w 9072"/>
                              <a:gd name="T1" fmla="*/ 1099 h 1541"/>
                              <a:gd name="T2" fmla="*/ 5342 w 9072"/>
                              <a:gd name="T3" fmla="*/ 1099 h 1541"/>
                              <a:gd name="T4" fmla="*/ 5342 w 9072"/>
                              <a:gd name="T5" fmla="*/ 878 h 1541"/>
                              <a:gd name="T6" fmla="*/ 0 w 9072"/>
                              <a:gd name="T7" fmla="*/ 878 h 1541"/>
                              <a:gd name="T8" fmla="*/ 0 w 9072"/>
                              <a:gd name="T9" fmla="*/ 1099 h 1541"/>
                              <a:gd name="T10" fmla="*/ 230 w 9072"/>
                              <a:gd name="T11" fmla="*/ 1099 h 1541"/>
                              <a:gd name="T12" fmla="*/ 230 w 9072"/>
                              <a:gd name="T13" fmla="*/ 1320 h 1541"/>
                              <a:gd name="T14" fmla="*/ 230 w 9072"/>
                              <a:gd name="T15" fmla="*/ 1541 h 1541"/>
                              <a:gd name="T16" fmla="*/ 8299 w 9072"/>
                              <a:gd name="T17" fmla="*/ 1541 h 1541"/>
                              <a:gd name="T18" fmla="*/ 8299 w 9072"/>
                              <a:gd name="T19" fmla="*/ 1320 h 1541"/>
                              <a:gd name="T20" fmla="*/ 8299 w 9072"/>
                              <a:gd name="T21" fmla="*/ 1099 h 1541"/>
                              <a:gd name="T22" fmla="*/ 9072 w 9072"/>
                              <a:gd name="T23" fmla="*/ 658 h 1541"/>
                              <a:gd name="T24" fmla="*/ 7829 w 9072"/>
                              <a:gd name="T25" fmla="*/ 658 h 1541"/>
                              <a:gd name="T26" fmla="*/ 7829 w 9072"/>
                              <a:gd name="T27" fmla="*/ 442 h 1541"/>
                              <a:gd name="T28" fmla="*/ 230 w 9072"/>
                              <a:gd name="T29" fmla="*/ 442 h 1541"/>
                              <a:gd name="T30" fmla="*/ 230 w 9072"/>
                              <a:gd name="T31" fmla="*/ 658 h 1541"/>
                              <a:gd name="T32" fmla="*/ 5693 w 9072"/>
                              <a:gd name="T33" fmla="*/ 658 h 1541"/>
                              <a:gd name="T34" fmla="*/ 5693 w 9072"/>
                              <a:gd name="T35" fmla="*/ 878 h 1541"/>
                              <a:gd name="T36" fmla="*/ 9072 w 9072"/>
                              <a:gd name="T37" fmla="*/ 878 h 1541"/>
                              <a:gd name="T38" fmla="*/ 9072 w 9072"/>
                              <a:gd name="T39" fmla="*/ 658 h 1541"/>
                              <a:gd name="T40" fmla="*/ 9072 w 9072"/>
                              <a:gd name="T41" fmla="*/ 0 h 1541"/>
                              <a:gd name="T42" fmla="*/ 840 w 9072"/>
                              <a:gd name="T43" fmla="*/ 0 h 1541"/>
                              <a:gd name="T44" fmla="*/ 840 w 9072"/>
                              <a:gd name="T45" fmla="*/ 221 h 1541"/>
                              <a:gd name="T46" fmla="*/ 0 w 9072"/>
                              <a:gd name="T47" fmla="*/ 221 h 1541"/>
                              <a:gd name="T48" fmla="*/ 0 w 9072"/>
                              <a:gd name="T49" fmla="*/ 442 h 1541"/>
                              <a:gd name="T50" fmla="*/ 1277 w 9072"/>
                              <a:gd name="T51" fmla="*/ 442 h 1541"/>
                              <a:gd name="T52" fmla="*/ 1277 w 9072"/>
                              <a:gd name="T53" fmla="*/ 221 h 1541"/>
                              <a:gd name="T54" fmla="*/ 9072 w 9072"/>
                              <a:gd name="T55" fmla="*/ 221 h 1541"/>
                              <a:gd name="T56" fmla="*/ 9072 w 9072"/>
                              <a:gd name="T57" fmla="*/ 0 h 15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9072" h="1541">
                                <a:moveTo>
                                  <a:pt x="8299" y="1099"/>
                                </a:moveTo>
                                <a:lnTo>
                                  <a:pt x="5342" y="1099"/>
                                </a:lnTo>
                                <a:lnTo>
                                  <a:pt x="5342" y="878"/>
                                </a:lnTo>
                                <a:lnTo>
                                  <a:pt x="0" y="878"/>
                                </a:lnTo>
                                <a:lnTo>
                                  <a:pt x="0" y="1099"/>
                                </a:lnTo>
                                <a:lnTo>
                                  <a:pt x="230" y="1099"/>
                                </a:lnTo>
                                <a:lnTo>
                                  <a:pt x="230" y="1320"/>
                                </a:lnTo>
                                <a:lnTo>
                                  <a:pt x="230" y="1541"/>
                                </a:lnTo>
                                <a:lnTo>
                                  <a:pt x="8299" y="1541"/>
                                </a:lnTo>
                                <a:lnTo>
                                  <a:pt x="8299" y="1320"/>
                                </a:lnTo>
                                <a:lnTo>
                                  <a:pt x="8299" y="1099"/>
                                </a:lnTo>
                                <a:close/>
                                <a:moveTo>
                                  <a:pt x="9072" y="658"/>
                                </a:moveTo>
                                <a:lnTo>
                                  <a:pt x="7829" y="658"/>
                                </a:lnTo>
                                <a:lnTo>
                                  <a:pt x="7829" y="442"/>
                                </a:lnTo>
                                <a:lnTo>
                                  <a:pt x="230" y="442"/>
                                </a:lnTo>
                                <a:lnTo>
                                  <a:pt x="230" y="658"/>
                                </a:lnTo>
                                <a:lnTo>
                                  <a:pt x="5693" y="658"/>
                                </a:lnTo>
                                <a:lnTo>
                                  <a:pt x="5693" y="878"/>
                                </a:lnTo>
                                <a:lnTo>
                                  <a:pt x="9072" y="878"/>
                                </a:lnTo>
                                <a:lnTo>
                                  <a:pt x="9072" y="658"/>
                                </a:lnTo>
                                <a:close/>
                                <a:moveTo>
                                  <a:pt x="9072" y="0"/>
                                </a:moveTo>
                                <a:lnTo>
                                  <a:pt x="840" y="0"/>
                                </a:lnTo>
                                <a:lnTo>
                                  <a:pt x="840" y="221"/>
                                </a:lnTo>
                                <a:lnTo>
                                  <a:pt x="0" y="221"/>
                                </a:lnTo>
                                <a:lnTo>
                                  <a:pt x="0" y="442"/>
                                </a:lnTo>
                                <a:lnTo>
                                  <a:pt x="1277" y="442"/>
                                </a:lnTo>
                                <a:lnTo>
                                  <a:pt x="1277" y="221"/>
                                </a:lnTo>
                                <a:lnTo>
                                  <a:pt x="9072" y="221"/>
                                </a:lnTo>
                                <a:lnTo>
                                  <a:pt x="90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0" name="docshape120"/>
                        <wps:cNvSpPr txBox="1">
                          <a:spLocks noChangeArrowheads="1"/>
                        </wps:cNvSpPr>
                        <wps:spPr bwMode="auto">
                          <a:xfrm>
                            <a:off x="0" y="34"/>
                            <a:ext cx="20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7BBA2" w14:textId="77777777" w:rsidR="00BD462C" w:rsidRDefault="00033D0F">
                              <w:pPr>
                                <w:spacing w:line="120" w:lineRule="exact"/>
                                <w:rPr>
                                  <w:sz w:val="12"/>
                                </w:rPr>
                              </w:pPr>
                              <w:bookmarkStart w:id="299" w:name="_bookmark262"/>
                              <w:bookmarkEnd w:id="299"/>
                              <w:r>
                                <w:rPr>
                                  <w:spacing w:val="-5"/>
                                  <w:sz w:val="12"/>
                                </w:rPr>
                                <w:t>203</w:t>
                              </w:r>
                            </w:p>
                          </w:txbxContent>
                        </wps:txbx>
                        <wps:bodyPr rot="0" vert="horz" wrap="square" lIns="0" tIns="0" rIns="0" bIns="0" anchor="t" anchorCtr="0" upright="1">
                          <a:noAutofit/>
                        </wps:bodyPr>
                      </wps:wsp>
                      <wps:wsp>
                        <wps:cNvPr id="1192" name="docshape121"/>
                        <wps:cNvSpPr txBox="1">
                          <a:spLocks noChangeArrowheads="1"/>
                        </wps:cNvSpPr>
                        <wps:spPr bwMode="auto">
                          <a:xfrm>
                            <a:off x="384" y="36"/>
                            <a:ext cx="28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7BB66" w14:textId="77777777" w:rsidR="00BD462C" w:rsidRDefault="00033D0F">
                              <w:pPr>
                                <w:spacing w:line="182" w:lineRule="exact"/>
                                <w:rPr>
                                  <w:sz w:val="18"/>
                                </w:rPr>
                              </w:pPr>
                              <w:r>
                                <w:rPr>
                                  <w:spacing w:val="-5"/>
                                  <w:sz w:val="18"/>
                                </w:rPr>
                                <w:t>See</w:t>
                              </w:r>
                            </w:p>
                          </w:txbxContent>
                        </wps:txbx>
                        <wps:bodyPr rot="0" vert="horz" wrap="square" lIns="0" tIns="0" rIns="0" bIns="0" anchor="t" anchorCtr="0" upright="1">
                          <a:noAutofit/>
                        </wps:bodyPr>
                      </wps:wsp>
                      <wps:wsp>
                        <wps:cNvPr id="1194" name="docshape122"/>
                        <wps:cNvSpPr txBox="1">
                          <a:spLocks noChangeArrowheads="1"/>
                        </wps:cNvSpPr>
                        <wps:spPr bwMode="auto">
                          <a:xfrm>
                            <a:off x="0" y="256"/>
                            <a:ext cx="5587" cy="1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7E82E" w14:textId="77777777" w:rsidR="00BD462C" w:rsidRDefault="00033D0F">
                              <w:pPr>
                                <w:spacing w:line="184" w:lineRule="exact"/>
                                <w:ind w:left="1224"/>
                                <w:rPr>
                                  <w:sz w:val="18"/>
                                </w:rPr>
                              </w:pPr>
                              <w:r>
                                <w:rPr>
                                  <w:w w:val="101"/>
                                  <w:sz w:val="18"/>
                                </w:rPr>
                                <w:t>]</w:t>
                              </w:r>
                            </w:p>
                            <w:p w14:paraId="4102E73B" w14:textId="77777777" w:rsidR="00BD462C" w:rsidRDefault="00033D0F">
                              <w:pPr>
                                <w:spacing w:line="218" w:lineRule="exact"/>
                                <w:rPr>
                                  <w:sz w:val="18"/>
                                </w:rPr>
                              </w:pPr>
                              <w:bookmarkStart w:id="300" w:name="_bookmark263"/>
                              <w:bookmarkEnd w:id="300"/>
                              <w:r>
                                <w:rPr>
                                  <w:sz w:val="12"/>
                                </w:rPr>
                                <w:t>204</w:t>
                              </w:r>
                              <w:r>
                                <w:rPr>
                                  <w:spacing w:val="19"/>
                                  <w:sz w:val="12"/>
                                </w:rPr>
                                <w:t xml:space="preserve"> </w:t>
                              </w:r>
                              <w:r>
                                <w:rPr>
                                  <w:spacing w:val="-12"/>
                                  <w:position w:val="-4"/>
                                  <w:sz w:val="18"/>
                                </w:rPr>
                                <w:t>[</w:t>
                              </w:r>
                            </w:p>
                            <w:p w14:paraId="276D96F4" w14:textId="77777777" w:rsidR="00BD462C" w:rsidRDefault="00033D0F">
                              <w:pPr>
                                <w:spacing w:line="219" w:lineRule="exact"/>
                                <w:rPr>
                                  <w:sz w:val="18"/>
                                </w:rPr>
                              </w:pPr>
                              <w:bookmarkStart w:id="301" w:name="_bookmark264"/>
                              <w:bookmarkEnd w:id="301"/>
                              <w:r>
                                <w:rPr>
                                  <w:position w:val="5"/>
                                  <w:sz w:val="12"/>
                                </w:rPr>
                                <w:t>205</w:t>
                              </w:r>
                              <w:r>
                                <w:rPr>
                                  <w:spacing w:val="34"/>
                                  <w:position w:val="5"/>
                                  <w:sz w:val="12"/>
                                </w:rPr>
                                <w:t xml:space="preserve">  </w:t>
                              </w:r>
                              <w:r>
                                <w:rPr>
                                  <w:sz w:val="18"/>
                                </w:rPr>
                                <w:t>Anti-Dumping</w:t>
                              </w:r>
                              <w:r>
                                <w:rPr>
                                  <w:spacing w:val="60"/>
                                  <w:w w:val="150"/>
                                  <w:sz w:val="18"/>
                                </w:rPr>
                                <w:t xml:space="preserve"> </w:t>
                              </w:r>
                              <w:r>
                                <w:rPr>
                                  <w:sz w:val="18"/>
                                </w:rPr>
                                <w:t>Preliminary</w:t>
                              </w:r>
                              <w:r>
                                <w:rPr>
                                  <w:spacing w:val="64"/>
                                  <w:w w:val="150"/>
                                  <w:sz w:val="18"/>
                                </w:rPr>
                                <w:t xml:space="preserve"> </w:t>
                              </w:r>
                              <w:r>
                                <w:rPr>
                                  <w:sz w:val="18"/>
                                </w:rPr>
                                <w:t>Determination</w:t>
                              </w:r>
                              <w:r>
                                <w:rPr>
                                  <w:spacing w:val="79"/>
                                  <w:sz w:val="18"/>
                                </w:rPr>
                                <w:t xml:space="preserve"> </w:t>
                              </w:r>
                              <w:r>
                                <w:rPr>
                                  <w:sz w:val="18"/>
                                </w:rPr>
                                <w:t>(Exhibit</w:t>
                              </w:r>
                              <w:r>
                                <w:rPr>
                                  <w:spacing w:val="61"/>
                                  <w:w w:val="150"/>
                                  <w:sz w:val="18"/>
                                </w:rPr>
                                <w:t xml:space="preserve"> </w:t>
                              </w:r>
                              <w:r>
                                <w:rPr>
                                  <w:sz w:val="18"/>
                                </w:rPr>
                                <w:t>AUS-35),</w:t>
                              </w:r>
                              <w:r>
                                <w:rPr>
                                  <w:spacing w:val="78"/>
                                  <w:sz w:val="18"/>
                                </w:rPr>
                                <w:t xml:space="preserve"> </w:t>
                              </w:r>
                              <w:r>
                                <w:rPr>
                                  <w:sz w:val="18"/>
                                </w:rPr>
                                <w:t>p.</w:t>
                              </w:r>
                              <w:r>
                                <w:rPr>
                                  <w:spacing w:val="66"/>
                                  <w:w w:val="150"/>
                                  <w:sz w:val="18"/>
                                </w:rPr>
                                <w:t xml:space="preserve"> </w:t>
                              </w:r>
                              <w:r>
                                <w:rPr>
                                  <w:spacing w:val="-5"/>
                                  <w:sz w:val="18"/>
                                </w:rPr>
                                <w:t>24.</w:t>
                              </w:r>
                            </w:p>
                            <w:p w14:paraId="3244E449" w14:textId="77777777" w:rsidR="00BD462C" w:rsidRDefault="00BD462C">
                              <w:pPr>
                                <w:spacing w:before="4"/>
                                <w:rPr>
                                  <w:sz w:val="18"/>
                                </w:rPr>
                              </w:pPr>
                            </w:p>
                            <w:p w14:paraId="17F68F9A" w14:textId="77777777" w:rsidR="00BD462C" w:rsidRDefault="00033D0F">
                              <w:pPr>
                                <w:rPr>
                                  <w:sz w:val="18"/>
                                </w:rPr>
                              </w:pPr>
                              <w:bookmarkStart w:id="302" w:name="_bookmark265"/>
                              <w:bookmarkEnd w:id="302"/>
                              <w:r>
                                <w:rPr>
                                  <w:sz w:val="12"/>
                                </w:rPr>
                                <w:t>206</w:t>
                              </w:r>
                              <w:r>
                                <w:rPr>
                                  <w:spacing w:val="19"/>
                                  <w:sz w:val="12"/>
                                </w:rPr>
                                <w:t xml:space="preserve"> </w:t>
                              </w:r>
                              <w:r>
                                <w:rPr>
                                  <w:spacing w:val="-12"/>
                                  <w:position w:val="-4"/>
                                  <w:sz w:val="18"/>
                                </w:rPr>
                                <w:t>[</w:t>
                              </w:r>
                            </w:p>
                            <w:p w14:paraId="68EFBA92" w14:textId="77777777" w:rsidR="00BD462C" w:rsidRDefault="00033D0F">
                              <w:pPr>
                                <w:spacing w:before="1" w:line="215" w:lineRule="exact"/>
                                <w:rPr>
                                  <w:sz w:val="18"/>
                                </w:rPr>
                              </w:pPr>
                              <w:bookmarkStart w:id="303" w:name="_bookmark266"/>
                              <w:bookmarkEnd w:id="303"/>
                              <w:r>
                                <w:rPr>
                                  <w:sz w:val="12"/>
                                </w:rPr>
                                <w:t>207</w:t>
                              </w:r>
                              <w:r>
                                <w:rPr>
                                  <w:spacing w:val="19"/>
                                  <w:sz w:val="12"/>
                                </w:rPr>
                                <w:t xml:space="preserve"> </w:t>
                              </w:r>
                              <w:r>
                                <w:rPr>
                                  <w:spacing w:val="-12"/>
                                  <w:position w:val="-4"/>
                                  <w:sz w:val="18"/>
                                </w:rPr>
                                <w:t>[</w:t>
                              </w:r>
                            </w:p>
                          </w:txbxContent>
                        </wps:txbx>
                        <wps:bodyPr rot="0" vert="horz" wrap="square" lIns="0" tIns="0" rIns="0" bIns="0" anchor="t" anchorCtr="0" upright="1">
                          <a:noAutofit/>
                        </wps:bodyPr>
                      </wps:wsp>
                      <wps:wsp>
                        <wps:cNvPr id="1196" name="docshape123"/>
                        <wps:cNvSpPr txBox="1">
                          <a:spLocks noChangeArrowheads="1"/>
                        </wps:cNvSpPr>
                        <wps:spPr bwMode="auto">
                          <a:xfrm>
                            <a:off x="8246" y="1135"/>
                            <a:ext cx="7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07B74" w14:textId="77777777" w:rsidR="00BD462C" w:rsidRDefault="00033D0F">
                              <w:pPr>
                                <w:spacing w:line="182" w:lineRule="exact"/>
                                <w:rPr>
                                  <w:sz w:val="18"/>
                                </w:rPr>
                              </w:pPr>
                              <w:r>
                                <w:rPr>
                                  <w:w w:val="101"/>
                                  <w:sz w:val="18"/>
                                </w:rPr>
                                <w:t>]</w:t>
                              </w:r>
                            </w:p>
                          </w:txbxContent>
                        </wps:txbx>
                        <wps:bodyPr rot="0" vert="horz" wrap="square" lIns="0" tIns="0" rIns="0" bIns="0" anchor="t" anchorCtr="0" upright="1">
                          <a:noAutofit/>
                        </wps:bodyPr>
                      </wps:wsp>
                    </wpg:wgp>
                  </a:graphicData>
                </a:graphic>
              </wp:inline>
            </w:drawing>
          </mc:Choice>
          <mc:Fallback>
            <w:pict>
              <v:group w14:anchorId="6971E55D" id="docshapegroup118" o:spid="_x0000_s1031" alt="Redacted" style="width:453.6pt;height:77.05pt;mso-position-horizontal-relative:char;mso-position-vertical-relative:line" coordsize="9072,1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">
                <v:shape id="docshape119" o:spid="_x0000_s1032" style="position:absolute;width:9072;height:1541;visibility:visible;mso-wrap-style:square;v-text-anchor:top" coordsize="9072,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" path="m8299,1099r-2957,l5342,878,,878r,221l230,1099r,221l230,1541r8069,l8299,1320r,-221xm9072,658r-1243,l7829,442r-7599,l230,658r5463,l5693,878r3379,l9072,658xm9072,l840,r,221l,221,,442r1277,l1277,221r7795,l9072,xe" fillcolor="black" stroked="f">
                  <v:path arrowok="t" o:connecttype="custom" o:connectlocs="8299,1099;5342,1099;5342,878;0,878;0,1099;230,1099;230,1320;230,1541;8299,1541;8299,1320;8299,1099;9072,658;7829,658;7829,442;230,442;230,658;5693,658;5693,878;9072,878;9072,658;9072,0;840,0;840,221;0,221;0,442;1277,442;1277,221;9072,221;9072,0" o:connectangles="0,0,0,0,0,0,0,0,0,0,0,0,0,0,0,0,0,0,0,0,0,0,0,0,0,0,0,0,0"/>
                </v:shape>
                <v:shape id="docshape120" o:spid="_x0000_s1033" type="#_x0000_t202" style="position:absolute;top:34;width:208;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" filled="f" stroked="f">
                  <v:textbox inset="0,0,0,0">
                    <w:txbxContent>
                      <w:p w14:paraId="3027BBA2" w14:textId="77777777" w:rsidR="00BD462C" w:rsidRDefault="00033D0F">
                        <w:pPr>
                          <w:spacing w:line="120" w:lineRule="exact"/>
                          <w:rPr>
                            <w:sz w:val="12"/>
                          </w:rPr>
                        </w:pPr>
                        <w:bookmarkStart w:id="304" w:name="_bookmark262"/>
                        <w:bookmarkEnd w:id="304"/>
                        <w:r>
                          <w:rPr>
                            <w:spacing w:val="-5"/>
                            <w:sz w:val="12"/>
                          </w:rPr>
                          <w:t>203</w:t>
                        </w:r>
                      </w:p>
                    </w:txbxContent>
                  </v:textbox>
                </v:shape>
                <v:shape id="docshape121" o:spid="_x0000_s1034" type="#_x0000_t202" style="position:absolute;left:384;top:36;width:28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" filled="f" stroked="f">
                  <v:textbox inset="0,0,0,0">
                    <w:txbxContent>
                      <w:p w14:paraId="2237BB66" w14:textId="77777777" w:rsidR="00BD462C" w:rsidRDefault="00033D0F">
                        <w:pPr>
                          <w:spacing w:line="182" w:lineRule="exact"/>
                          <w:rPr>
                            <w:sz w:val="18"/>
                          </w:rPr>
                        </w:pPr>
                        <w:r>
                          <w:rPr>
                            <w:spacing w:val="-5"/>
                            <w:sz w:val="18"/>
                          </w:rPr>
                          <w:t>See</w:t>
                        </w:r>
                      </w:p>
                    </w:txbxContent>
                  </v:textbox>
                </v:shape>
                <v:shape id="docshape122" o:spid="_x0000_s1035" type="#_x0000_t202" style="position:absolute;top:256;width:5587;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" filled="f" stroked="f">
                  <v:textbox inset="0,0,0,0">
                    <w:txbxContent>
                      <w:p w14:paraId="2727E82E" w14:textId="77777777" w:rsidR="00BD462C" w:rsidRDefault="00033D0F">
                        <w:pPr>
                          <w:spacing w:line="184" w:lineRule="exact"/>
                          <w:ind w:left="1224"/>
                          <w:rPr>
                            <w:sz w:val="18"/>
                          </w:rPr>
                        </w:pPr>
                        <w:r>
                          <w:rPr>
                            <w:w w:val="101"/>
                            <w:sz w:val="18"/>
                          </w:rPr>
                          <w:t>]</w:t>
                        </w:r>
                      </w:p>
                      <w:p w14:paraId="4102E73B" w14:textId="77777777" w:rsidR="00BD462C" w:rsidRDefault="00033D0F">
                        <w:pPr>
                          <w:spacing w:line="218" w:lineRule="exact"/>
                          <w:rPr>
                            <w:sz w:val="18"/>
                          </w:rPr>
                        </w:pPr>
                        <w:bookmarkStart w:id="305" w:name="_bookmark263"/>
                        <w:bookmarkEnd w:id="305"/>
                        <w:r>
                          <w:rPr>
                            <w:sz w:val="12"/>
                          </w:rPr>
                          <w:t>204</w:t>
                        </w:r>
                        <w:r>
                          <w:rPr>
                            <w:spacing w:val="19"/>
                            <w:sz w:val="12"/>
                          </w:rPr>
                          <w:t xml:space="preserve"> </w:t>
                        </w:r>
                        <w:r>
                          <w:rPr>
                            <w:spacing w:val="-12"/>
                            <w:position w:val="-4"/>
                            <w:sz w:val="18"/>
                          </w:rPr>
                          <w:t>[</w:t>
                        </w:r>
                      </w:p>
                      <w:p w14:paraId="276D96F4" w14:textId="77777777" w:rsidR="00BD462C" w:rsidRDefault="00033D0F">
                        <w:pPr>
                          <w:spacing w:line="219" w:lineRule="exact"/>
                          <w:rPr>
                            <w:sz w:val="18"/>
                          </w:rPr>
                        </w:pPr>
                        <w:bookmarkStart w:id="306" w:name="_bookmark264"/>
                        <w:bookmarkEnd w:id="306"/>
                        <w:r>
                          <w:rPr>
                            <w:position w:val="5"/>
                            <w:sz w:val="12"/>
                          </w:rPr>
                          <w:t>205</w:t>
                        </w:r>
                        <w:r>
                          <w:rPr>
                            <w:spacing w:val="34"/>
                            <w:position w:val="5"/>
                            <w:sz w:val="12"/>
                          </w:rPr>
                          <w:t xml:space="preserve">  </w:t>
                        </w:r>
                        <w:r>
                          <w:rPr>
                            <w:sz w:val="18"/>
                          </w:rPr>
                          <w:t>Anti-Dumping</w:t>
                        </w:r>
                        <w:r>
                          <w:rPr>
                            <w:spacing w:val="60"/>
                            <w:w w:val="150"/>
                            <w:sz w:val="18"/>
                          </w:rPr>
                          <w:t xml:space="preserve"> </w:t>
                        </w:r>
                        <w:r>
                          <w:rPr>
                            <w:sz w:val="18"/>
                          </w:rPr>
                          <w:t>Preliminary</w:t>
                        </w:r>
                        <w:r>
                          <w:rPr>
                            <w:spacing w:val="64"/>
                            <w:w w:val="150"/>
                            <w:sz w:val="18"/>
                          </w:rPr>
                          <w:t xml:space="preserve"> </w:t>
                        </w:r>
                        <w:r>
                          <w:rPr>
                            <w:sz w:val="18"/>
                          </w:rPr>
                          <w:t>Determination</w:t>
                        </w:r>
                        <w:r>
                          <w:rPr>
                            <w:spacing w:val="79"/>
                            <w:sz w:val="18"/>
                          </w:rPr>
                          <w:t xml:space="preserve"> </w:t>
                        </w:r>
                        <w:r>
                          <w:rPr>
                            <w:sz w:val="18"/>
                          </w:rPr>
                          <w:t>(Exhibit</w:t>
                        </w:r>
                        <w:r>
                          <w:rPr>
                            <w:spacing w:val="61"/>
                            <w:w w:val="150"/>
                            <w:sz w:val="18"/>
                          </w:rPr>
                          <w:t xml:space="preserve"> </w:t>
                        </w:r>
                        <w:r>
                          <w:rPr>
                            <w:sz w:val="18"/>
                          </w:rPr>
                          <w:t>AUS-35),</w:t>
                        </w:r>
                        <w:r>
                          <w:rPr>
                            <w:spacing w:val="78"/>
                            <w:sz w:val="18"/>
                          </w:rPr>
                          <w:t xml:space="preserve"> </w:t>
                        </w:r>
                        <w:r>
                          <w:rPr>
                            <w:sz w:val="18"/>
                          </w:rPr>
                          <w:t>p.</w:t>
                        </w:r>
                        <w:r>
                          <w:rPr>
                            <w:spacing w:val="66"/>
                            <w:w w:val="150"/>
                            <w:sz w:val="18"/>
                          </w:rPr>
                          <w:t xml:space="preserve"> </w:t>
                        </w:r>
                        <w:r>
                          <w:rPr>
                            <w:spacing w:val="-5"/>
                            <w:sz w:val="18"/>
                          </w:rPr>
                          <w:t>24.</w:t>
                        </w:r>
                      </w:p>
                      <w:p w14:paraId="3244E449" w14:textId="77777777" w:rsidR="00BD462C" w:rsidRDefault="00BD462C">
                        <w:pPr>
                          <w:spacing w:before="4"/>
                          <w:rPr>
                            <w:sz w:val="18"/>
                          </w:rPr>
                        </w:pPr>
                      </w:p>
                      <w:p w14:paraId="17F68F9A" w14:textId="77777777" w:rsidR="00BD462C" w:rsidRDefault="00033D0F">
                        <w:pPr>
                          <w:rPr>
                            <w:sz w:val="18"/>
                          </w:rPr>
                        </w:pPr>
                        <w:bookmarkStart w:id="307" w:name="_bookmark265"/>
                        <w:bookmarkEnd w:id="307"/>
                        <w:r>
                          <w:rPr>
                            <w:sz w:val="12"/>
                          </w:rPr>
                          <w:t>206</w:t>
                        </w:r>
                        <w:r>
                          <w:rPr>
                            <w:spacing w:val="19"/>
                            <w:sz w:val="12"/>
                          </w:rPr>
                          <w:t xml:space="preserve"> </w:t>
                        </w:r>
                        <w:r>
                          <w:rPr>
                            <w:spacing w:val="-12"/>
                            <w:position w:val="-4"/>
                            <w:sz w:val="18"/>
                          </w:rPr>
                          <w:t>[</w:t>
                        </w:r>
                      </w:p>
                      <w:p w14:paraId="68EFBA92" w14:textId="77777777" w:rsidR="00BD462C" w:rsidRDefault="00033D0F">
                        <w:pPr>
                          <w:spacing w:before="1" w:line="215" w:lineRule="exact"/>
                          <w:rPr>
                            <w:sz w:val="18"/>
                          </w:rPr>
                        </w:pPr>
                        <w:bookmarkStart w:id="308" w:name="_bookmark266"/>
                        <w:bookmarkEnd w:id="308"/>
                        <w:r>
                          <w:rPr>
                            <w:sz w:val="12"/>
                          </w:rPr>
                          <w:t>207</w:t>
                        </w:r>
                        <w:r>
                          <w:rPr>
                            <w:spacing w:val="19"/>
                            <w:sz w:val="12"/>
                          </w:rPr>
                          <w:t xml:space="preserve"> </w:t>
                        </w:r>
                        <w:r>
                          <w:rPr>
                            <w:spacing w:val="-12"/>
                            <w:position w:val="-4"/>
                            <w:sz w:val="18"/>
                          </w:rPr>
                          <w:t>[</w:t>
                        </w:r>
                      </w:p>
                    </w:txbxContent>
                  </v:textbox>
                </v:shape>
                <v:shape id="docshape123" o:spid="_x0000_s1036" type="#_x0000_t202" style="position:absolute;left:8246;top:1135;width:7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" filled="f" stroked="f">
                  <v:textbox inset="0,0,0,0">
                    <w:txbxContent>
                      <w:p w14:paraId="45D07B74" w14:textId="77777777" w:rsidR="00BD462C" w:rsidRDefault="00033D0F">
                        <w:pPr>
                          <w:spacing w:line="182" w:lineRule="exact"/>
                          <w:rPr>
                            <w:sz w:val="18"/>
                          </w:rPr>
                        </w:pPr>
                        <w:r>
                          <w:rPr>
                            <w:w w:val="101"/>
                            <w:sz w:val="18"/>
                          </w:rPr>
                          <w:t>]</w:t>
                        </w:r>
                      </w:p>
                    </w:txbxContent>
                  </v:textbox>
                </v:shape>
                <w10:anchorlock/>
              </v:group>
            </w:pict>
          </mc:Fallback>
        </mc:AlternateContent>
      </w:r>
    </w:p>
    <w:p w14:paraId="0C38332E" w14:textId="77777777" w:rsidR="00BD462C" w:rsidRDefault="00BD462C">
      <w:pPr>
        <w:rPr>
          <w:sz w:val="20"/>
        </w:rPr>
        <w:sectPr w:rsidR="00BD462C">
          <w:type w:val="continuous"/>
          <w:pgSz w:w="11910" w:h="16840"/>
          <w:pgMar w:top="1700" w:right="500" w:bottom="280" w:left="1280" w:header="566" w:footer="590" w:gutter="0"/>
          <w:cols w:space="720"/>
        </w:sectPr>
      </w:pPr>
    </w:p>
    <w:p w14:paraId="63102F12"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7EEAAAB0"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0BA32A63"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0D9DC29A" w14:textId="5E5C0ECC" w:rsidR="00BD462C" w:rsidRDefault="00D70C7D">
      <w:pPr>
        <w:pStyle w:val="BodyText"/>
        <w:spacing w:before="3"/>
        <w:rPr>
          <w:sz w:val="6"/>
        </w:rPr>
      </w:pPr>
      <w:r>
        <w:rPr>
          <w:noProof/>
        </w:rPr>
        <mc:AlternateContent>
          <mc:Choice Requires="wps">
            <w:drawing>
              <wp:anchor distT="0" distB="0" distL="0" distR="0" simplePos="0" relativeHeight="487644160" behindDoc="1" locked="0" layoutInCell="1" allowOverlap="1" wp14:anchorId="51791B98" wp14:editId="525FC2EE">
                <wp:simplePos x="0" y="0"/>
                <wp:positionH relativeFrom="page">
                  <wp:posOffset>899160</wp:posOffset>
                </wp:positionH>
                <wp:positionV relativeFrom="paragraph">
                  <wp:posOffset>64135</wp:posOffset>
                </wp:positionV>
                <wp:extent cx="5696585" cy="186055"/>
                <wp:effectExtent l="0" t="0" r="0" b="0"/>
                <wp:wrapTopAndBottom/>
                <wp:docPr id="1184" name="docshape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658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E84D13" id="docshape124" o:spid="_x0000_s1026" alt="&quot;&quot;" style="position:absolute;margin-left:70.8pt;margin-top:5.05pt;width:448.55pt;height:14.65pt;z-index:-1567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" fillcolor="black" stroked="f">
                <w10:wrap type="topAndBottom" anchorx="page"/>
              </v:rect>
            </w:pict>
          </mc:Fallback>
        </mc:AlternateContent>
      </w:r>
      <w:r>
        <w:rPr>
          <w:noProof/>
        </w:rPr>
        <mc:AlternateContent>
          <mc:Choice Requires="wps">
            <w:drawing>
              <wp:anchor distT="0" distB="0" distL="0" distR="0" simplePos="0" relativeHeight="487644672" behindDoc="1" locked="0" layoutInCell="1" allowOverlap="1" wp14:anchorId="2E2464E5" wp14:editId="2A18EF4F">
                <wp:simplePos x="0" y="0"/>
                <wp:positionH relativeFrom="page">
                  <wp:posOffset>899160</wp:posOffset>
                </wp:positionH>
                <wp:positionV relativeFrom="paragraph">
                  <wp:posOffset>341630</wp:posOffset>
                </wp:positionV>
                <wp:extent cx="5708650" cy="186055"/>
                <wp:effectExtent l="0" t="0" r="0" b="0"/>
                <wp:wrapTopAndBottom/>
                <wp:docPr id="1182" name="docshape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865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F2E265" id="docshape125" o:spid="_x0000_s1026" alt="&quot;&quot;" style="position:absolute;margin-left:70.8pt;margin-top:26.9pt;width:449.5pt;height:14.65pt;z-index:-15671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" fillcolor="black" stroked="f">
                <w10:wrap type="topAndBottom" anchorx="page"/>
              </v:rect>
            </w:pict>
          </mc:Fallback>
        </mc:AlternateContent>
      </w:r>
    </w:p>
    <w:p w14:paraId="783F4EFB" w14:textId="77777777" w:rsidR="00BD462C" w:rsidRDefault="00BD462C">
      <w:pPr>
        <w:pStyle w:val="BodyText"/>
        <w:spacing w:before="10"/>
        <w:rPr>
          <w:sz w:val="9"/>
        </w:rPr>
      </w:pPr>
    </w:p>
    <w:p w14:paraId="2FC5E680" w14:textId="77777777" w:rsidR="00BD462C" w:rsidRDefault="00BD462C">
      <w:pPr>
        <w:pStyle w:val="BodyText"/>
        <w:spacing w:before="1"/>
        <w:rPr>
          <w:sz w:val="8"/>
        </w:rPr>
      </w:pPr>
    </w:p>
    <w:p w14:paraId="562884F4" w14:textId="551CFED6" w:rsidR="00BD462C" w:rsidRDefault="00D70C7D">
      <w:pPr>
        <w:pStyle w:val="BodyText"/>
        <w:tabs>
          <w:tab w:val="left" w:pos="4446"/>
        </w:tabs>
        <w:spacing w:before="52" w:line="360" w:lineRule="auto"/>
        <w:ind w:left="135" w:right="916" w:firstLine="5592"/>
        <w:jc w:val="both"/>
      </w:pPr>
      <w:r>
        <w:rPr>
          <w:noProof/>
        </w:rPr>
        <mc:AlternateContent>
          <mc:Choice Requires="wps">
            <w:drawing>
              <wp:anchor distT="0" distB="0" distL="114300" distR="114300" simplePos="0" relativeHeight="15787008" behindDoc="0" locked="0" layoutInCell="1" allowOverlap="1" wp14:anchorId="453F7464" wp14:editId="3A1E87C9">
                <wp:simplePos x="0" y="0"/>
                <wp:positionH relativeFrom="page">
                  <wp:posOffset>899160</wp:posOffset>
                </wp:positionH>
                <wp:positionV relativeFrom="paragraph">
                  <wp:posOffset>31750</wp:posOffset>
                </wp:positionV>
                <wp:extent cx="3493135" cy="186055"/>
                <wp:effectExtent l="0" t="0" r="0" b="0"/>
                <wp:wrapNone/>
                <wp:docPr id="1180" name="docshape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313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CBA662" id="docshape126" o:spid="_x0000_s1026" alt="&quot;&quot;" style="position:absolute;margin-left:70.8pt;margin-top:2.5pt;width:275.05pt;height:14.65pt;z-index:1578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" fillcolor="black" stroked="f">
                <w10:wrap anchorx="page"/>
              </v:rect>
            </w:pict>
          </mc:Fallback>
        </mc:AlternateContent>
      </w:r>
      <w:r>
        <w:rPr>
          <w:noProof/>
        </w:rPr>
        <mc:AlternateContent>
          <mc:Choice Requires="wps">
            <w:drawing>
              <wp:anchor distT="0" distB="0" distL="114300" distR="114300" simplePos="0" relativeHeight="478948864" behindDoc="1" locked="0" layoutInCell="1" allowOverlap="1" wp14:anchorId="2E60F9F2" wp14:editId="19A185DD">
                <wp:simplePos x="0" y="0"/>
                <wp:positionH relativeFrom="page">
                  <wp:posOffset>2386330</wp:posOffset>
                </wp:positionH>
                <wp:positionV relativeFrom="paragraph">
                  <wp:posOffset>589915</wp:posOffset>
                </wp:positionV>
                <wp:extent cx="1216025" cy="186055"/>
                <wp:effectExtent l="0" t="0" r="0" b="0"/>
                <wp:wrapNone/>
                <wp:docPr id="1178" name="docshape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602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F6C51D" id="docshape127" o:spid="_x0000_s1026" alt="&quot;&quot;" style="position:absolute;margin-left:187.9pt;margin-top:46.45pt;width:95.75pt;height:14.65pt;z-index:-2436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" fillcolor="black" stroked="f">
                <w10:wrap anchorx="page"/>
              </v:rect>
            </w:pict>
          </mc:Fallback>
        </mc:AlternateContent>
      </w:r>
      <w:r w:rsidR="00033D0F">
        <w:t>and on that basis, Treasury Wines acted to the best of its ability within the meaning of paragraph 5 of Annex II in providing information concerning</w:t>
      </w:r>
      <w:r w:rsidR="00033D0F">
        <w:tab/>
        <w:t>in the relevant form.</w:t>
      </w:r>
    </w:p>
    <w:p w14:paraId="6B817747" w14:textId="77777777" w:rsidR="00BD462C" w:rsidRDefault="00BD462C">
      <w:pPr>
        <w:pStyle w:val="BodyText"/>
        <w:spacing w:before="10"/>
        <w:rPr>
          <w:sz w:val="8"/>
        </w:rPr>
      </w:pPr>
    </w:p>
    <w:p w14:paraId="60C9DB8C" w14:textId="735316E3" w:rsidR="00BD462C" w:rsidRDefault="00D70C7D" w:rsidP="00A83285">
      <w:pPr>
        <w:pStyle w:val="BodyText"/>
        <w:numPr>
          <w:ilvl w:val="0"/>
          <w:numId w:val="69"/>
        </w:numPr>
        <w:spacing w:before="57"/>
      </w:pPr>
      <w:r>
        <w:rPr>
          <w:noProof/>
        </w:rPr>
        <mc:AlternateContent>
          <mc:Choice Requires="wps">
            <w:drawing>
              <wp:anchor distT="0" distB="0" distL="114300" distR="114300" simplePos="0" relativeHeight="15788032" behindDoc="0" locked="0" layoutInCell="1" allowOverlap="1" wp14:anchorId="596175AE" wp14:editId="248D6465">
                <wp:simplePos x="0" y="0"/>
                <wp:positionH relativeFrom="page">
                  <wp:posOffset>6167755</wp:posOffset>
                </wp:positionH>
                <wp:positionV relativeFrom="paragraph">
                  <wp:posOffset>32385</wp:posOffset>
                </wp:positionV>
                <wp:extent cx="494030" cy="186055"/>
                <wp:effectExtent l="0" t="0" r="0" b="0"/>
                <wp:wrapNone/>
                <wp:docPr id="1176" name="docshape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03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E91CAD" id="docshape128" o:spid="_x0000_s1026" alt="&quot;&quot;" style="position:absolute;margin-left:485.65pt;margin-top:2.55pt;width:38.9pt;height:14.65pt;z-index:1578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" fillcolor="black" stroked="f">
                <w10:wrap anchorx="page"/>
              </v:rect>
            </w:pict>
          </mc:Fallback>
        </mc:AlternateContent>
      </w:r>
      <w:r w:rsidR="00033D0F">
        <w:rPr>
          <w:position w:val="1"/>
        </w:rPr>
        <w:t>Although</w:t>
      </w:r>
      <w:r w:rsidR="00033D0F">
        <w:rPr>
          <w:spacing w:val="29"/>
          <w:position w:val="1"/>
        </w:rPr>
        <w:t xml:space="preserve"> </w:t>
      </w:r>
      <w:r w:rsidR="00033D0F">
        <w:rPr>
          <w:position w:val="1"/>
        </w:rPr>
        <w:t>China's</w:t>
      </w:r>
      <w:r w:rsidR="00033D0F">
        <w:rPr>
          <w:spacing w:val="32"/>
          <w:position w:val="1"/>
        </w:rPr>
        <w:t xml:space="preserve"> </w:t>
      </w:r>
      <w:r w:rsidR="00033D0F">
        <w:rPr>
          <w:position w:val="1"/>
        </w:rPr>
        <w:t>position</w:t>
      </w:r>
      <w:r w:rsidR="00033D0F">
        <w:rPr>
          <w:spacing w:val="29"/>
          <w:position w:val="1"/>
        </w:rPr>
        <w:t xml:space="preserve"> </w:t>
      </w:r>
      <w:r w:rsidR="00033D0F">
        <w:rPr>
          <w:position w:val="1"/>
        </w:rPr>
        <w:t>is</w:t>
      </w:r>
      <w:r w:rsidR="00033D0F">
        <w:rPr>
          <w:spacing w:val="32"/>
          <w:position w:val="1"/>
        </w:rPr>
        <w:t xml:space="preserve"> </w:t>
      </w:r>
      <w:r w:rsidR="00033D0F">
        <w:rPr>
          <w:position w:val="1"/>
        </w:rPr>
        <w:t>unclear,</w:t>
      </w:r>
      <w:r w:rsidR="00033D0F">
        <w:rPr>
          <w:spacing w:val="34"/>
          <w:position w:val="1"/>
        </w:rPr>
        <w:t xml:space="preserve"> </w:t>
      </w:r>
      <w:r w:rsidR="00033D0F">
        <w:rPr>
          <w:position w:val="1"/>
        </w:rPr>
        <w:t>to</w:t>
      </w:r>
      <w:r w:rsidR="00033D0F">
        <w:rPr>
          <w:spacing w:val="28"/>
          <w:position w:val="1"/>
        </w:rPr>
        <w:t xml:space="preserve"> </w:t>
      </w:r>
      <w:r w:rsidR="00033D0F">
        <w:rPr>
          <w:position w:val="1"/>
        </w:rPr>
        <w:t>the</w:t>
      </w:r>
      <w:r w:rsidR="00033D0F">
        <w:rPr>
          <w:spacing w:val="30"/>
          <w:position w:val="1"/>
        </w:rPr>
        <w:t xml:space="preserve"> </w:t>
      </w:r>
      <w:r w:rsidR="00033D0F">
        <w:rPr>
          <w:position w:val="1"/>
        </w:rPr>
        <w:t>extent</w:t>
      </w:r>
      <w:r w:rsidR="00033D0F">
        <w:rPr>
          <w:spacing w:val="31"/>
          <w:position w:val="1"/>
        </w:rPr>
        <w:t xml:space="preserve"> </w:t>
      </w:r>
      <w:r w:rsidR="00033D0F">
        <w:rPr>
          <w:position w:val="1"/>
        </w:rPr>
        <w:t>that</w:t>
      </w:r>
      <w:r w:rsidR="00033D0F">
        <w:rPr>
          <w:spacing w:val="31"/>
          <w:position w:val="1"/>
        </w:rPr>
        <w:t xml:space="preserve"> </w:t>
      </w:r>
      <w:r w:rsidR="00033D0F">
        <w:rPr>
          <w:position w:val="1"/>
        </w:rPr>
        <w:t>China</w:t>
      </w:r>
      <w:r w:rsidR="00033D0F">
        <w:rPr>
          <w:spacing w:val="30"/>
          <w:position w:val="1"/>
        </w:rPr>
        <w:t xml:space="preserve"> </w:t>
      </w:r>
      <w:r w:rsidR="00033D0F">
        <w:rPr>
          <w:position w:val="1"/>
        </w:rPr>
        <w:t>now</w:t>
      </w:r>
      <w:r w:rsidR="00033D0F">
        <w:rPr>
          <w:spacing w:val="31"/>
          <w:position w:val="1"/>
        </w:rPr>
        <w:t xml:space="preserve"> </w:t>
      </w:r>
      <w:r w:rsidR="00033D0F">
        <w:rPr>
          <w:position w:val="1"/>
        </w:rPr>
        <w:t>argues</w:t>
      </w:r>
    </w:p>
    <w:p w14:paraId="3AF87455" w14:textId="63BF1E1E" w:rsidR="00BD462C" w:rsidRDefault="00D70C7D">
      <w:pPr>
        <w:pStyle w:val="BodyText"/>
        <w:spacing w:before="3"/>
        <w:rPr>
          <w:sz w:val="9"/>
        </w:rPr>
      </w:pPr>
      <w:r>
        <w:rPr>
          <w:noProof/>
        </w:rPr>
        <mc:AlternateContent>
          <mc:Choice Requires="wps">
            <w:drawing>
              <wp:anchor distT="0" distB="0" distL="0" distR="0" simplePos="0" relativeHeight="487645184" behindDoc="1" locked="0" layoutInCell="1" allowOverlap="1" wp14:anchorId="512552B2" wp14:editId="649932CB">
                <wp:simplePos x="0" y="0"/>
                <wp:positionH relativeFrom="page">
                  <wp:posOffset>899160</wp:posOffset>
                </wp:positionH>
                <wp:positionV relativeFrom="paragraph">
                  <wp:posOffset>86995</wp:posOffset>
                </wp:positionV>
                <wp:extent cx="5708650" cy="186055"/>
                <wp:effectExtent l="0" t="0" r="0" b="0"/>
                <wp:wrapTopAndBottom/>
                <wp:docPr id="1174" name="docshape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865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2EF20C" id="docshape129" o:spid="_x0000_s1026" alt="&quot;&quot;" style="position:absolute;margin-left:70.8pt;margin-top:6.85pt;width:449.5pt;height:14.65pt;z-index:-15671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" fillcolor="black" stroked="f">
                <w10:wrap type="topAndBottom" anchorx="page"/>
              </v:rect>
            </w:pict>
          </mc:Fallback>
        </mc:AlternateContent>
      </w:r>
    </w:p>
    <w:p w14:paraId="6893BEFD" w14:textId="77777777" w:rsidR="00BD462C" w:rsidRDefault="00BD462C">
      <w:pPr>
        <w:pStyle w:val="BodyText"/>
        <w:spacing w:before="1"/>
        <w:rPr>
          <w:sz w:val="8"/>
        </w:rPr>
      </w:pPr>
    </w:p>
    <w:p w14:paraId="0712CF26" w14:textId="39451012" w:rsidR="00BD462C" w:rsidRDefault="00D70C7D">
      <w:pPr>
        <w:pStyle w:val="BodyText"/>
        <w:tabs>
          <w:tab w:val="left" w:pos="4383"/>
        </w:tabs>
        <w:spacing w:before="52" w:line="360" w:lineRule="auto"/>
        <w:ind w:left="135" w:right="913"/>
        <w:jc w:val="both"/>
      </w:pPr>
      <w:r>
        <w:rPr>
          <w:noProof/>
        </w:rPr>
        <mc:AlternateContent>
          <mc:Choice Requires="wps">
            <w:drawing>
              <wp:anchor distT="0" distB="0" distL="114300" distR="114300" simplePos="0" relativeHeight="478949888" behindDoc="1" locked="0" layoutInCell="1" allowOverlap="1" wp14:anchorId="1FE25A19" wp14:editId="404BF480">
                <wp:simplePos x="0" y="0"/>
                <wp:positionH relativeFrom="page">
                  <wp:posOffset>2380615</wp:posOffset>
                </wp:positionH>
                <wp:positionV relativeFrom="paragraph">
                  <wp:posOffset>1147445</wp:posOffset>
                </wp:positionV>
                <wp:extent cx="1216025" cy="186055"/>
                <wp:effectExtent l="0" t="0" r="0" b="0"/>
                <wp:wrapNone/>
                <wp:docPr id="1172" name="docshape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602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AEF112" id="docshape130" o:spid="_x0000_s1026" alt="&quot;&quot;" style="position:absolute;margin-left:187.45pt;margin-top:90.35pt;width:95.75pt;height:14.65pt;z-index:-2436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" fillcolor="black" stroked="f">
                <w10:wrap anchorx="page"/>
              </v:rect>
            </w:pict>
          </mc:Fallback>
        </mc:AlternateContent>
      </w:r>
      <w:r w:rsidR="00033D0F">
        <w:t>and that it was a "serious deficiency" and a "major reason" for MOFCOM's recourse to facts available, this information was not requested in Form 6-1-2, as required by paragraph 1 of Annex II, and nor did MOFCOM make any such finding in its Preliminary or Final Determinations.</w:t>
      </w:r>
      <w:r w:rsidR="00033D0F">
        <w:rPr>
          <w:spacing w:val="-14"/>
        </w:rPr>
        <w:t xml:space="preserve"> </w:t>
      </w:r>
      <w:hyperlink w:anchor="_bookmark270" w:history="1">
        <w:r w:rsidR="00033D0F">
          <w:rPr>
            <w:vertAlign w:val="superscript"/>
          </w:rPr>
          <w:t>209</w:t>
        </w:r>
      </w:hyperlink>
      <w:r w:rsidR="00033D0F">
        <w:t xml:space="preserve"> Moreover, MOFCOM failed to notify Treasury Wines of the alleged deficiencies </w:t>
      </w:r>
      <w:proofErr w:type="gramStart"/>
      <w:r w:rsidR="00033D0F">
        <w:t>concerning</w:t>
      </w:r>
      <w:r w:rsidR="00033D0F">
        <w:tab/>
        <w:t>,</w:t>
      </w:r>
      <w:r w:rsidR="00033D0F">
        <w:rPr>
          <w:spacing w:val="-1"/>
        </w:rPr>
        <w:t xml:space="preserve"> </w:t>
      </w:r>
      <w:r w:rsidR="00033D0F">
        <w:t>or</w:t>
      </w:r>
      <w:proofErr w:type="gramEnd"/>
      <w:r w:rsidR="00033D0F">
        <w:rPr>
          <w:spacing w:val="-1"/>
        </w:rPr>
        <w:t xml:space="preserve"> </w:t>
      </w:r>
      <w:r w:rsidR="00033D0F">
        <w:t>provide</w:t>
      </w:r>
      <w:r w:rsidR="00033D0F">
        <w:rPr>
          <w:spacing w:val="-4"/>
        </w:rPr>
        <w:t xml:space="preserve"> </w:t>
      </w:r>
      <w:r w:rsidR="00033D0F">
        <w:t>an</w:t>
      </w:r>
      <w:r w:rsidR="00033D0F">
        <w:rPr>
          <w:spacing w:val="-1"/>
        </w:rPr>
        <w:t xml:space="preserve"> </w:t>
      </w:r>
      <w:r w:rsidR="00033D0F">
        <w:t>opportunity</w:t>
      </w:r>
      <w:r w:rsidR="00033D0F">
        <w:rPr>
          <w:spacing w:val="-2"/>
        </w:rPr>
        <w:t xml:space="preserve"> </w:t>
      </w:r>
      <w:r w:rsidR="00033D0F">
        <w:t>for</w:t>
      </w:r>
      <w:r w:rsidR="00033D0F">
        <w:rPr>
          <w:spacing w:val="-1"/>
        </w:rPr>
        <w:t xml:space="preserve"> </w:t>
      </w:r>
      <w:r w:rsidR="00033D0F">
        <w:t>Treasury Wines</w:t>
      </w:r>
      <w:r w:rsidR="00033D0F">
        <w:rPr>
          <w:spacing w:val="-2"/>
        </w:rPr>
        <w:t xml:space="preserve"> </w:t>
      </w:r>
      <w:r w:rsidR="00033D0F">
        <w:t>to provide further explanations, as required by paragraph 6 of Annex II.</w:t>
      </w:r>
    </w:p>
    <w:p w14:paraId="77A1931B" w14:textId="77777777" w:rsidR="00BD462C" w:rsidRDefault="00BD462C">
      <w:pPr>
        <w:pStyle w:val="BodyText"/>
        <w:spacing w:before="7"/>
        <w:rPr>
          <w:sz w:val="8"/>
        </w:rPr>
      </w:pPr>
    </w:p>
    <w:p w14:paraId="0C957CC1" w14:textId="2C704D0B" w:rsidR="00BD462C" w:rsidRDefault="00D70C7D" w:rsidP="00A83285">
      <w:pPr>
        <w:pStyle w:val="BodyText"/>
        <w:numPr>
          <w:ilvl w:val="0"/>
          <w:numId w:val="69"/>
        </w:numPr>
        <w:spacing w:before="56" w:line="357" w:lineRule="auto"/>
        <w:ind w:right="922"/>
        <w:jc w:val="both"/>
      </w:pPr>
      <w:r>
        <w:rPr>
          <w:noProof/>
        </w:rPr>
        <mc:AlternateContent>
          <mc:Choice Requires="wps">
            <w:drawing>
              <wp:anchor distT="0" distB="0" distL="114300" distR="114300" simplePos="0" relativeHeight="15789056" behindDoc="0" locked="0" layoutInCell="1" allowOverlap="1" wp14:anchorId="49A725FB" wp14:editId="039B690B">
                <wp:simplePos x="0" y="0"/>
                <wp:positionH relativeFrom="page">
                  <wp:posOffset>899160</wp:posOffset>
                </wp:positionH>
                <wp:positionV relativeFrom="paragraph">
                  <wp:posOffset>311785</wp:posOffset>
                </wp:positionV>
                <wp:extent cx="1173480" cy="186055"/>
                <wp:effectExtent l="0" t="0" r="0" b="0"/>
                <wp:wrapNone/>
                <wp:docPr id="1170" name="docshape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348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56B716" id="docshape131" o:spid="_x0000_s1026" alt="&quot;&quot;" style="position:absolute;margin-left:70.8pt;margin-top:24.55pt;width:92.4pt;height:14.65pt;z-index:1578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" fillcolor="black" stroked="f">
                <w10:wrap anchorx="page"/>
              </v:rect>
            </w:pict>
          </mc:Fallback>
        </mc:AlternateContent>
      </w:r>
      <w:r w:rsidR="00033D0F">
        <w:rPr>
          <w:position w:val="1"/>
        </w:rPr>
        <w:t>If MOFCOM had</w:t>
      </w:r>
      <w:r w:rsidR="00033D0F">
        <w:rPr>
          <w:spacing w:val="-1"/>
          <w:position w:val="1"/>
        </w:rPr>
        <w:t xml:space="preserve"> </w:t>
      </w:r>
      <w:r w:rsidR="00033D0F">
        <w:rPr>
          <w:position w:val="1"/>
        </w:rPr>
        <w:t>legitimate concerns regarding the information</w:t>
      </w:r>
      <w:r w:rsidR="00033D0F">
        <w:rPr>
          <w:spacing w:val="-1"/>
          <w:position w:val="1"/>
        </w:rPr>
        <w:t xml:space="preserve"> </w:t>
      </w:r>
      <w:r w:rsidR="00033D0F">
        <w:rPr>
          <w:position w:val="1"/>
        </w:rPr>
        <w:t>provided</w:t>
      </w:r>
      <w:r w:rsidR="00033D0F">
        <w:rPr>
          <w:spacing w:val="-1"/>
          <w:position w:val="1"/>
        </w:rPr>
        <w:t xml:space="preserve"> </w:t>
      </w:r>
      <w:r w:rsidR="00033D0F">
        <w:rPr>
          <w:position w:val="1"/>
        </w:rPr>
        <w:t xml:space="preserve">concerning </w:t>
      </w:r>
      <w:r w:rsidR="00033D0F">
        <w:t>it</w:t>
      </w:r>
      <w:r w:rsidR="00033D0F">
        <w:rPr>
          <w:spacing w:val="8"/>
        </w:rPr>
        <w:t xml:space="preserve"> </w:t>
      </w:r>
      <w:r w:rsidR="00033D0F">
        <w:t>was</w:t>
      </w:r>
      <w:r w:rsidR="00033D0F">
        <w:rPr>
          <w:spacing w:val="9"/>
        </w:rPr>
        <w:t xml:space="preserve"> </w:t>
      </w:r>
      <w:r w:rsidR="00033D0F">
        <w:t>required</w:t>
      </w:r>
      <w:r w:rsidR="00033D0F">
        <w:rPr>
          <w:spacing w:val="5"/>
        </w:rPr>
        <w:t xml:space="preserve"> </w:t>
      </w:r>
      <w:r w:rsidR="00033D0F">
        <w:t>to</w:t>
      </w:r>
      <w:r w:rsidR="00033D0F">
        <w:rPr>
          <w:spacing w:val="5"/>
        </w:rPr>
        <w:t xml:space="preserve"> </w:t>
      </w:r>
      <w:r w:rsidR="00033D0F">
        <w:t>take</w:t>
      </w:r>
      <w:r w:rsidR="00033D0F">
        <w:rPr>
          <w:spacing w:val="7"/>
        </w:rPr>
        <w:t xml:space="preserve"> </w:t>
      </w:r>
      <w:r w:rsidR="00033D0F">
        <w:t>reasonable</w:t>
      </w:r>
      <w:r w:rsidR="00033D0F">
        <w:rPr>
          <w:spacing w:val="8"/>
        </w:rPr>
        <w:t xml:space="preserve"> </w:t>
      </w:r>
      <w:r w:rsidR="00033D0F">
        <w:t>steps</w:t>
      </w:r>
      <w:r w:rsidR="00033D0F">
        <w:rPr>
          <w:spacing w:val="9"/>
        </w:rPr>
        <w:t xml:space="preserve"> </w:t>
      </w:r>
      <w:r w:rsidR="00033D0F">
        <w:t>to</w:t>
      </w:r>
      <w:r w:rsidR="00033D0F">
        <w:rPr>
          <w:spacing w:val="5"/>
        </w:rPr>
        <w:t xml:space="preserve"> </w:t>
      </w:r>
      <w:r w:rsidR="00033D0F">
        <w:t>investigate</w:t>
      </w:r>
      <w:r w:rsidR="00033D0F">
        <w:rPr>
          <w:spacing w:val="7"/>
        </w:rPr>
        <w:t xml:space="preserve"> </w:t>
      </w:r>
      <w:r w:rsidR="00033D0F">
        <w:t>and</w:t>
      </w:r>
      <w:r w:rsidR="00033D0F">
        <w:rPr>
          <w:spacing w:val="5"/>
        </w:rPr>
        <w:t xml:space="preserve"> </w:t>
      </w:r>
      <w:r w:rsidR="00033D0F">
        <w:t>clarify</w:t>
      </w:r>
      <w:r w:rsidR="00033D0F">
        <w:rPr>
          <w:spacing w:val="9"/>
        </w:rPr>
        <w:t xml:space="preserve"> </w:t>
      </w:r>
      <w:r w:rsidR="00033D0F">
        <w:rPr>
          <w:spacing w:val="-2"/>
        </w:rPr>
        <w:t>before</w:t>
      </w:r>
    </w:p>
    <w:p w14:paraId="5DDFBB06" w14:textId="2BB312DC" w:rsidR="00BD462C" w:rsidRDefault="00D70C7D">
      <w:pPr>
        <w:pStyle w:val="BodyText"/>
        <w:spacing w:before="6" w:line="360" w:lineRule="auto"/>
        <w:ind w:left="136" w:right="916"/>
        <w:jc w:val="both"/>
      </w:pPr>
      <w:r>
        <w:rPr>
          <w:noProof/>
        </w:rPr>
        <mc:AlternateContent>
          <mc:Choice Requires="wps">
            <w:drawing>
              <wp:anchor distT="0" distB="0" distL="114300" distR="114300" simplePos="0" relativeHeight="15789568" behindDoc="0" locked="0" layoutInCell="1" allowOverlap="1" wp14:anchorId="6F879E3E" wp14:editId="4E145395">
                <wp:simplePos x="0" y="0"/>
                <wp:positionH relativeFrom="page">
                  <wp:posOffset>899160</wp:posOffset>
                </wp:positionH>
                <wp:positionV relativeFrom="paragraph">
                  <wp:posOffset>837565</wp:posOffset>
                </wp:positionV>
                <wp:extent cx="1054735" cy="186055"/>
                <wp:effectExtent l="0" t="0" r="0" b="0"/>
                <wp:wrapNone/>
                <wp:docPr id="1168" name="docshape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73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8DE57B" id="docshape132" o:spid="_x0000_s1026" alt="&quot;&quot;" style="position:absolute;margin-left:70.8pt;margin-top:65.95pt;width:83.05pt;height:14.65pt;z-index:1578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" fillcolor="black" stroked="f">
                <w10:wrap anchorx="page"/>
              </v:rect>
            </w:pict>
          </mc:Fallback>
        </mc:AlternateContent>
      </w:r>
      <w:r w:rsidR="00033D0F">
        <w:t>resorting</w:t>
      </w:r>
      <w:r w:rsidR="00033D0F">
        <w:rPr>
          <w:spacing w:val="-4"/>
        </w:rPr>
        <w:t xml:space="preserve"> </w:t>
      </w:r>
      <w:r w:rsidR="00033D0F">
        <w:t>to</w:t>
      </w:r>
      <w:r w:rsidR="00033D0F">
        <w:rPr>
          <w:spacing w:val="-8"/>
        </w:rPr>
        <w:t xml:space="preserve"> </w:t>
      </w:r>
      <w:r w:rsidR="00033D0F">
        <w:t>the</w:t>
      </w:r>
      <w:r w:rsidR="00033D0F">
        <w:rPr>
          <w:spacing w:val="-5"/>
        </w:rPr>
        <w:t xml:space="preserve"> </w:t>
      </w:r>
      <w:r w:rsidR="00033D0F">
        <w:t>facts</w:t>
      </w:r>
      <w:r w:rsidR="00033D0F">
        <w:rPr>
          <w:spacing w:val="-4"/>
        </w:rPr>
        <w:t xml:space="preserve"> </w:t>
      </w:r>
      <w:r w:rsidR="00033D0F">
        <w:t>available.</w:t>
      </w:r>
      <w:hyperlink w:anchor="_bookmark271" w:history="1">
        <w:r w:rsidR="00033D0F">
          <w:rPr>
            <w:vertAlign w:val="superscript"/>
          </w:rPr>
          <w:t>210</w:t>
        </w:r>
      </w:hyperlink>
      <w:r w:rsidR="00033D0F">
        <w:rPr>
          <w:spacing w:val="-4"/>
        </w:rPr>
        <w:t xml:space="preserve"> </w:t>
      </w:r>
      <w:r w:rsidR="00033D0F">
        <w:t>By</w:t>
      </w:r>
      <w:r w:rsidR="00033D0F">
        <w:rPr>
          <w:spacing w:val="-4"/>
        </w:rPr>
        <w:t xml:space="preserve"> </w:t>
      </w:r>
      <w:r w:rsidR="00033D0F">
        <w:t>not</w:t>
      </w:r>
      <w:r w:rsidR="00033D0F">
        <w:rPr>
          <w:spacing w:val="-5"/>
        </w:rPr>
        <w:t xml:space="preserve"> </w:t>
      </w:r>
      <w:r w:rsidR="00033D0F">
        <w:t>doing</w:t>
      </w:r>
      <w:r w:rsidR="00033D0F">
        <w:rPr>
          <w:spacing w:val="-4"/>
        </w:rPr>
        <w:t xml:space="preserve"> </w:t>
      </w:r>
      <w:r w:rsidR="00033D0F">
        <w:t>so</w:t>
      </w:r>
      <w:r w:rsidR="00033D0F">
        <w:rPr>
          <w:spacing w:val="-3"/>
        </w:rPr>
        <w:t xml:space="preserve"> </w:t>
      </w:r>
      <w:r w:rsidR="00033D0F">
        <w:t>and</w:t>
      </w:r>
      <w:r w:rsidR="00033D0F">
        <w:rPr>
          <w:spacing w:val="-8"/>
        </w:rPr>
        <w:t xml:space="preserve"> </w:t>
      </w:r>
      <w:r w:rsidR="00033D0F">
        <w:t>acting</w:t>
      </w:r>
      <w:r w:rsidR="00033D0F">
        <w:rPr>
          <w:spacing w:val="-4"/>
        </w:rPr>
        <w:t xml:space="preserve"> </w:t>
      </w:r>
      <w:r w:rsidR="00033D0F">
        <w:t>inconsistently</w:t>
      </w:r>
      <w:r w:rsidR="00033D0F">
        <w:rPr>
          <w:spacing w:val="-4"/>
        </w:rPr>
        <w:t xml:space="preserve"> </w:t>
      </w:r>
      <w:r w:rsidR="00033D0F">
        <w:t>with</w:t>
      </w:r>
      <w:r w:rsidR="00033D0F">
        <w:rPr>
          <w:spacing w:val="-8"/>
        </w:rPr>
        <w:t xml:space="preserve"> </w:t>
      </w:r>
      <w:r w:rsidR="00033D0F">
        <w:t>paragraphs</w:t>
      </w:r>
      <w:r w:rsidR="00033D0F">
        <w:rPr>
          <w:spacing w:val="-4"/>
        </w:rPr>
        <w:t xml:space="preserve"> </w:t>
      </w:r>
      <w:r w:rsidR="00033D0F">
        <w:t>1 and</w:t>
      </w:r>
      <w:r w:rsidR="00033D0F">
        <w:rPr>
          <w:spacing w:val="-14"/>
        </w:rPr>
        <w:t xml:space="preserve"> </w:t>
      </w:r>
      <w:r w:rsidR="00033D0F">
        <w:t>6</w:t>
      </w:r>
      <w:r w:rsidR="00033D0F">
        <w:rPr>
          <w:spacing w:val="-12"/>
        </w:rPr>
        <w:t xml:space="preserve"> </w:t>
      </w:r>
      <w:r w:rsidR="00033D0F">
        <w:t>of</w:t>
      </w:r>
      <w:r w:rsidR="00033D0F">
        <w:rPr>
          <w:spacing w:val="-14"/>
        </w:rPr>
        <w:t xml:space="preserve"> </w:t>
      </w:r>
      <w:r w:rsidR="00033D0F">
        <w:t>Annex</w:t>
      </w:r>
      <w:r w:rsidR="00033D0F">
        <w:rPr>
          <w:spacing w:val="-11"/>
        </w:rPr>
        <w:t xml:space="preserve"> </w:t>
      </w:r>
      <w:r w:rsidR="00033D0F">
        <w:t>II</w:t>
      </w:r>
      <w:r w:rsidR="00033D0F">
        <w:rPr>
          <w:spacing w:val="-12"/>
        </w:rPr>
        <w:t xml:space="preserve"> </w:t>
      </w:r>
      <w:r w:rsidR="00033D0F">
        <w:t>(as</w:t>
      </w:r>
      <w:r w:rsidR="00033D0F">
        <w:rPr>
          <w:spacing w:val="-11"/>
        </w:rPr>
        <w:t xml:space="preserve"> </w:t>
      </w:r>
      <w:r w:rsidR="00033D0F">
        <w:t>set</w:t>
      </w:r>
      <w:r w:rsidR="00033D0F">
        <w:rPr>
          <w:spacing w:val="-12"/>
        </w:rPr>
        <w:t xml:space="preserve"> </w:t>
      </w:r>
      <w:r w:rsidR="00033D0F">
        <w:t>out</w:t>
      </w:r>
      <w:r w:rsidR="00033D0F">
        <w:rPr>
          <w:spacing w:val="-12"/>
        </w:rPr>
        <w:t xml:space="preserve"> </w:t>
      </w:r>
      <w:r w:rsidR="00033D0F">
        <w:t>above),</w:t>
      </w:r>
      <w:r w:rsidR="00033D0F">
        <w:rPr>
          <w:spacing w:val="-11"/>
        </w:rPr>
        <w:t xml:space="preserve"> </w:t>
      </w:r>
      <w:r w:rsidR="00033D0F">
        <w:t>MOFCOM</w:t>
      </w:r>
      <w:r w:rsidR="00033D0F">
        <w:rPr>
          <w:spacing w:val="-12"/>
        </w:rPr>
        <w:t xml:space="preserve"> </w:t>
      </w:r>
      <w:r w:rsidR="00033D0F">
        <w:t>acted</w:t>
      </w:r>
      <w:r w:rsidR="00033D0F">
        <w:rPr>
          <w:spacing w:val="-14"/>
        </w:rPr>
        <w:t xml:space="preserve"> </w:t>
      </w:r>
      <w:r w:rsidR="00033D0F">
        <w:t>inconsistently</w:t>
      </w:r>
      <w:r w:rsidR="00033D0F">
        <w:rPr>
          <w:spacing w:val="-11"/>
        </w:rPr>
        <w:t xml:space="preserve"> </w:t>
      </w:r>
      <w:r w:rsidR="00033D0F">
        <w:t>with</w:t>
      </w:r>
      <w:r w:rsidR="00033D0F">
        <w:rPr>
          <w:spacing w:val="-14"/>
        </w:rPr>
        <w:t xml:space="preserve"> </w:t>
      </w:r>
      <w:r w:rsidR="00033D0F">
        <w:t>Article</w:t>
      </w:r>
      <w:r w:rsidR="00033D0F">
        <w:rPr>
          <w:spacing w:val="-1"/>
        </w:rPr>
        <w:t xml:space="preserve"> </w:t>
      </w:r>
      <w:r w:rsidR="00033D0F">
        <w:t>6.8</w:t>
      </w:r>
      <w:r w:rsidR="00033D0F">
        <w:rPr>
          <w:spacing w:val="-14"/>
        </w:rPr>
        <w:t xml:space="preserve"> </w:t>
      </w:r>
      <w:r w:rsidR="00033D0F">
        <w:t>in</w:t>
      </w:r>
      <w:r w:rsidR="00033D0F">
        <w:rPr>
          <w:spacing w:val="-14"/>
        </w:rPr>
        <w:t xml:space="preserve"> </w:t>
      </w:r>
      <w:r w:rsidR="00033D0F">
        <w:t>resorting to</w:t>
      </w:r>
      <w:r w:rsidR="00033D0F">
        <w:rPr>
          <w:spacing w:val="27"/>
        </w:rPr>
        <w:t xml:space="preserve"> </w:t>
      </w:r>
      <w:r w:rsidR="00033D0F">
        <w:t>facts</w:t>
      </w:r>
      <w:r w:rsidR="00033D0F">
        <w:rPr>
          <w:spacing w:val="31"/>
        </w:rPr>
        <w:t xml:space="preserve"> </w:t>
      </w:r>
      <w:r w:rsidR="00033D0F">
        <w:t>available</w:t>
      </w:r>
      <w:r w:rsidR="00033D0F">
        <w:rPr>
          <w:spacing w:val="24"/>
        </w:rPr>
        <w:t xml:space="preserve"> </w:t>
      </w:r>
      <w:r w:rsidR="00033D0F">
        <w:t>on</w:t>
      </w:r>
      <w:r w:rsidR="00033D0F">
        <w:rPr>
          <w:spacing w:val="27"/>
        </w:rPr>
        <w:t xml:space="preserve"> </w:t>
      </w:r>
      <w:r w:rsidR="00033D0F">
        <w:t>the</w:t>
      </w:r>
      <w:r w:rsidR="00033D0F">
        <w:rPr>
          <w:spacing w:val="29"/>
        </w:rPr>
        <w:t xml:space="preserve"> </w:t>
      </w:r>
      <w:r w:rsidR="00033D0F">
        <w:t>basis</w:t>
      </w:r>
      <w:r w:rsidR="00033D0F">
        <w:rPr>
          <w:spacing w:val="26"/>
        </w:rPr>
        <w:t xml:space="preserve"> </w:t>
      </w:r>
      <w:r w:rsidR="00033D0F">
        <w:t>that</w:t>
      </w:r>
      <w:r w:rsidR="00033D0F">
        <w:rPr>
          <w:spacing w:val="30"/>
        </w:rPr>
        <w:t xml:space="preserve"> </w:t>
      </w:r>
      <w:r w:rsidR="00033D0F">
        <w:t>Treasury</w:t>
      </w:r>
      <w:r w:rsidR="00033D0F">
        <w:rPr>
          <w:spacing w:val="30"/>
        </w:rPr>
        <w:t xml:space="preserve"> </w:t>
      </w:r>
      <w:r w:rsidR="00033D0F">
        <w:t>Wines</w:t>
      </w:r>
      <w:r w:rsidR="00033D0F">
        <w:rPr>
          <w:spacing w:val="31"/>
        </w:rPr>
        <w:t xml:space="preserve"> </w:t>
      </w:r>
      <w:r w:rsidR="00033D0F">
        <w:t>did</w:t>
      </w:r>
      <w:r w:rsidR="00033D0F">
        <w:rPr>
          <w:spacing w:val="27"/>
        </w:rPr>
        <w:t xml:space="preserve"> </w:t>
      </w:r>
      <w:r w:rsidR="00033D0F">
        <w:t>not</w:t>
      </w:r>
      <w:r w:rsidR="00033D0F">
        <w:rPr>
          <w:spacing w:val="30"/>
        </w:rPr>
        <w:t xml:space="preserve"> </w:t>
      </w:r>
      <w:r w:rsidR="00033D0F">
        <w:t>report</w:t>
      </w:r>
      <w:r w:rsidR="00033D0F">
        <w:rPr>
          <w:spacing w:val="30"/>
        </w:rPr>
        <w:t xml:space="preserve"> </w:t>
      </w:r>
      <w:r w:rsidR="00033D0F">
        <w:t>information</w:t>
      </w:r>
      <w:r w:rsidR="00033D0F">
        <w:rPr>
          <w:spacing w:val="27"/>
        </w:rPr>
        <w:t xml:space="preserve"> </w:t>
      </w:r>
      <w:r w:rsidR="00033D0F">
        <w:t>concerning</w:t>
      </w:r>
    </w:p>
    <w:p w14:paraId="6B16B6E2" w14:textId="77777777" w:rsidR="00BD462C" w:rsidRDefault="00033D0F">
      <w:pPr>
        <w:pStyle w:val="BodyText"/>
        <w:spacing w:line="290" w:lineRule="exact"/>
        <w:ind w:left="1849"/>
        <w:jc w:val="both"/>
      </w:pPr>
      <w:r>
        <w:t>in</w:t>
      </w:r>
      <w:r>
        <w:rPr>
          <w:spacing w:val="-2"/>
        </w:rPr>
        <w:t xml:space="preserve"> </w:t>
      </w:r>
      <w:r>
        <w:t>Form</w:t>
      </w:r>
      <w:r>
        <w:rPr>
          <w:spacing w:val="1"/>
        </w:rPr>
        <w:t xml:space="preserve"> </w:t>
      </w:r>
      <w:r>
        <w:t>6-1-</w:t>
      </w:r>
      <w:r>
        <w:rPr>
          <w:spacing w:val="-5"/>
        </w:rPr>
        <w:t>2.</w:t>
      </w:r>
    </w:p>
    <w:p w14:paraId="6172F6E8" w14:textId="77777777" w:rsidR="00BD462C" w:rsidRDefault="00BD462C">
      <w:pPr>
        <w:pStyle w:val="BodyText"/>
        <w:spacing w:before="2"/>
        <w:rPr>
          <w:sz w:val="25"/>
        </w:rPr>
      </w:pPr>
    </w:p>
    <w:p w14:paraId="12771766" w14:textId="77777777" w:rsidR="00BD462C" w:rsidRDefault="00033D0F">
      <w:pPr>
        <w:pStyle w:val="Heading3"/>
        <w:numPr>
          <w:ilvl w:val="0"/>
          <w:numId w:val="3"/>
        </w:numPr>
        <w:tabs>
          <w:tab w:val="left" w:pos="2689"/>
          <w:tab w:val="left" w:pos="2690"/>
        </w:tabs>
        <w:spacing w:before="0" w:line="362" w:lineRule="auto"/>
        <w:ind w:right="917"/>
      </w:pPr>
      <w:bookmarkStart w:id="309" w:name="2._Treasury_Wines_provided_the_requested"/>
      <w:bookmarkStart w:id="310" w:name="_bookmark267"/>
      <w:bookmarkEnd w:id="309"/>
      <w:bookmarkEnd w:id="310"/>
      <w:r>
        <w:t>Treasury</w:t>
      </w:r>
      <w:r>
        <w:rPr>
          <w:spacing w:val="-15"/>
        </w:rPr>
        <w:t xml:space="preserve"> </w:t>
      </w:r>
      <w:r>
        <w:t>Wines</w:t>
      </w:r>
      <w:r>
        <w:rPr>
          <w:spacing w:val="-14"/>
        </w:rPr>
        <w:t xml:space="preserve"> </w:t>
      </w:r>
      <w:r>
        <w:t>provided</w:t>
      </w:r>
      <w:r>
        <w:rPr>
          <w:spacing w:val="-14"/>
        </w:rPr>
        <w:t xml:space="preserve"> </w:t>
      </w:r>
      <w:r>
        <w:t>the</w:t>
      </w:r>
      <w:r>
        <w:rPr>
          <w:spacing w:val="-13"/>
        </w:rPr>
        <w:t xml:space="preserve"> </w:t>
      </w:r>
      <w:r>
        <w:t>requested</w:t>
      </w:r>
      <w:r>
        <w:rPr>
          <w:spacing w:val="-14"/>
        </w:rPr>
        <w:t xml:space="preserve"> </w:t>
      </w:r>
      <w:r>
        <w:t>data</w:t>
      </w:r>
      <w:r>
        <w:rPr>
          <w:spacing w:val="-13"/>
        </w:rPr>
        <w:t xml:space="preserve"> </w:t>
      </w:r>
      <w:r>
        <w:t>for</w:t>
      </w:r>
      <w:r>
        <w:rPr>
          <w:spacing w:val="-15"/>
        </w:rPr>
        <w:t xml:space="preserve"> </w:t>
      </w:r>
      <w:r>
        <w:t>Forms</w:t>
      </w:r>
      <w:r>
        <w:rPr>
          <w:spacing w:val="-14"/>
        </w:rPr>
        <w:t xml:space="preserve"> </w:t>
      </w:r>
      <w:r>
        <w:t>6-3</w:t>
      </w:r>
      <w:r>
        <w:rPr>
          <w:spacing w:val="-13"/>
        </w:rPr>
        <w:t xml:space="preserve"> </w:t>
      </w:r>
      <w:r>
        <w:t>and</w:t>
      </w:r>
      <w:r>
        <w:rPr>
          <w:spacing w:val="-14"/>
        </w:rPr>
        <w:t xml:space="preserve"> </w:t>
      </w:r>
      <w:r>
        <w:t>6-4 in a reasonable manner and did not "sample" or "self-select"</w:t>
      </w:r>
    </w:p>
    <w:p w14:paraId="7DC953DB" w14:textId="77777777" w:rsidR="00BD462C" w:rsidRDefault="00BD462C">
      <w:pPr>
        <w:pStyle w:val="BodyText"/>
        <w:spacing w:before="7"/>
        <w:rPr>
          <w:b/>
          <w:sz w:val="8"/>
        </w:rPr>
      </w:pPr>
    </w:p>
    <w:p w14:paraId="2FA2F46B" w14:textId="306A44C7" w:rsidR="00BD462C" w:rsidRDefault="00D70C7D" w:rsidP="00A83285">
      <w:pPr>
        <w:pStyle w:val="BodyText"/>
        <w:numPr>
          <w:ilvl w:val="0"/>
          <w:numId w:val="69"/>
        </w:numPr>
        <w:spacing w:before="57"/>
      </w:pPr>
      <w:r>
        <w:rPr>
          <w:noProof/>
        </w:rPr>
        <mc:AlternateContent>
          <mc:Choice Requires="wps">
            <w:drawing>
              <wp:anchor distT="0" distB="0" distL="114300" distR="114300" simplePos="0" relativeHeight="15790080" behindDoc="0" locked="0" layoutInCell="1" allowOverlap="1" wp14:anchorId="40CEAC75" wp14:editId="5F514357">
                <wp:simplePos x="0" y="0"/>
                <wp:positionH relativeFrom="page">
                  <wp:posOffset>4822190</wp:posOffset>
                </wp:positionH>
                <wp:positionV relativeFrom="paragraph">
                  <wp:posOffset>32385</wp:posOffset>
                </wp:positionV>
                <wp:extent cx="1837690" cy="186055"/>
                <wp:effectExtent l="0" t="0" r="0" b="0"/>
                <wp:wrapNone/>
                <wp:docPr id="1166" name="docshape1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769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9CD378" id="docshape133" o:spid="_x0000_s1026" alt="&quot;&quot;" style="position:absolute;margin-left:379.7pt;margin-top:2.55pt;width:144.7pt;height:14.65pt;z-index:1579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" fillcolor="black" stroked="f">
                <w10:wrap anchorx="page"/>
              </v:rect>
            </w:pict>
          </mc:Fallback>
        </mc:AlternateContent>
      </w:r>
      <w:bookmarkStart w:id="311" w:name="_bookmark268"/>
      <w:bookmarkEnd w:id="311"/>
      <w:r w:rsidR="00033D0F">
        <w:rPr>
          <w:position w:val="1"/>
        </w:rPr>
        <w:t>In</w:t>
      </w:r>
      <w:r w:rsidR="00033D0F">
        <w:rPr>
          <w:spacing w:val="26"/>
          <w:position w:val="1"/>
        </w:rPr>
        <w:t xml:space="preserve"> </w:t>
      </w:r>
      <w:r w:rsidR="00033D0F">
        <w:rPr>
          <w:position w:val="1"/>
        </w:rPr>
        <w:t>its</w:t>
      </w:r>
      <w:r w:rsidR="00033D0F">
        <w:rPr>
          <w:spacing w:val="30"/>
          <w:position w:val="1"/>
        </w:rPr>
        <w:t xml:space="preserve"> </w:t>
      </w:r>
      <w:r w:rsidR="00033D0F">
        <w:rPr>
          <w:position w:val="1"/>
        </w:rPr>
        <w:t>first</w:t>
      </w:r>
      <w:r w:rsidR="00033D0F">
        <w:rPr>
          <w:spacing w:val="28"/>
          <w:position w:val="1"/>
        </w:rPr>
        <w:t xml:space="preserve"> </w:t>
      </w:r>
      <w:r w:rsidR="00033D0F">
        <w:rPr>
          <w:position w:val="1"/>
        </w:rPr>
        <w:t>written</w:t>
      </w:r>
      <w:r w:rsidR="00033D0F">
        <w:rPr>
          <w:spacing w:val="26"/>
          <w:position w:val="1"/>
        </w:rPr>
        <w:t xml:space="preserve"> </w:t>
      </w:r>
      <w:r w:rsidR="00033D0F">
        <w:rPr>
          <w:position w:val="1"/>
        </w:rPr>
        <w:t>submission,</w:t>
      </w:r>
      <w:r w:rsidR="00033D0F">
        <w:rPr>
          <w:spacing w:val="31"/>
          <w:position w:val="1"/>
        </w:rPr>
        <w:t xml:space="preserve"> </w:t>
      </w:r>
      <w:r w:rsidR="00033D0F">
        <w:rPr>
          <w:position w:val="1"/>
        </w:rPr>
        <w:t>Australia</w:t>
      </w:r>
      <w:r w:rsidR="00033D0F">
        <w:rPr>
          <w:spacing w:val="27"/>
          <w:position w:val="1"/>
        </w:rPr>
        <w:t xml:space="preserve"> </w:t>
      </w:r>
      <w:r w:rsidR="00033D0F">
        <w:rPr>
          <w:position w:val="1"/>
        </w:rPr>
        <w:t>explains</w:t>
      </w:r>
      <w:r w:rsidR="00033D0F">
        <w:rPr>
          <w:spacing w:val="25"/>
          <w:position w:val="1"/>
        </w:rPr>
        <w:t xml:space="preserve"> </w:t>
      </w:r>
      <w:r w:rsidR="00033D0F">
        <w:rPr>
          <w:position w:val="1"/>
        </w:rPr>
        <w:t>how</w:t>
      </w:r>
    </w:p>
    <w:p w14:paraId="19876A17" w14:textId="06F13220" w:rsidR="00BD462C" w:rsidRDefault="00D70C7D">
      <w:pPr>
        <w:pStyle w:val="BodyText"/>
        <w:spacing w:before="3"/>
        <w:rPr>
          <w:sz w:val="9"/>
        </w:rPr>
      </w:pPr>
      <w:r>
        <w:rPr>
          <w:noProof/>
        </w:rPr>
        <mc:AlternateContent>
          <mc:Choice Requires="wps">
            <w:drawing>
              <wp:anchor distT="0" distB="0" distL="0" distR="0" simplePos="0" relativeHeight="487645696" behindDoc="1" locked="0" layoutInCell="1" allowOverlap="1" wp14:anchorId="1624F776" wp14:editId="7CD74CCC">
                <wp:simplePos x="0" y="0"/>
                <wp:positionH relativeFrom="page">
                  <wp:posOffset>899160</wp:posOffset>
                </wp:positionH>
                <wp:positionV relativeFrom="paragraph">
                  <wp:posOffset>86995</wp:posOffset>
                </wp:positionV>
                <wp:extent cx="5696585" cy="186055"/>
                <wp:effectExtent l="0" t="0" r="0" b="0"/>
                <wp:wrapTopAndBottom/>
                <wp:docPr id="1164" name="docshape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658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233FA5" id="docshape134" o:spid="_x0000_s1026" alt="&quot;&quot;" style="position:absolute;margin-left:70.8pt;margin-top:6.85pt;width:448.55pt;height:14.65pt;z-index:-15670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" fillcolor="black" stroked="f">
                <w10:wrap type="topAndBottom" anchorx="page"/>
              </v:rect>
            </w:pict>
          </mc:Fallback>
        </mc:AlternateContent>
      </w:r>
    </w:p>
    <w:p w14:paraId="7AFDB730" w14:textId="77777777" w:rsidR="00BD462C" w:rsidRDefault="00BD462C">
      <w:pPr>
        <w:pStyle w:val="BodyText"/>
        <w:spacing w:before="5"/>
        <w:rPr>
          <w:sz w:val="6"/>
        </w:rPr>
      </w:pPr>
    </w:p>
    <w:p w14:paraId="7269AD89" w14:textId="4BE50CC3" w:rsidR="00BD462C" w:rsidRDefault="00D70C7D">
      <w:pPr>
        <w:pStyle w:val="BodyText"/>
        <w:spacing w:before="72"/>
        <w:ind w:right="913"/>
        <w:jc w:val="right"/>
      </w:pPr>
      <w:r>
        <w:rPr>
          <w:noProof/>
        </w:rPr>
        <mc:AlternateContent>
          <mc:Choice Requires="wps">
            <w:drawing>
              <wp:anchor distT="0" distB="0" distL="114300" distR="114300" simplePos="0" relativeHeight="15790592" behindDoc="0" locked="0" layoutInCell="1" allowOverlap="1" wp14:anchorId="233618ED" wp14:editId="7C197B52">
                <wp:simplePos x="0" y="0"/>
                <wp:positionH relativeFrom="page">
                  <wp:posOffset>899160</wp:posOffset>
                </wp:positionH>
                <wp:positionV relativeFrom="paragraph">
                  <wp:posOffset>44450</wp:posOffset>
                </wp:positionV>
                <wp:extent cx="4956175" cy="186055"/>
                <wp:effectExtent l="0" t="0" r="0" b="0"/>
                <wp:wrapNone/>
                <wp:docPr id="1162" name="docshape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617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9163B3" id="docshape135" o:spid="_x0000_s1026" alt="&quot;&quot;" style="position:absolute;margin-left:70.8pt;margin-top:3.5pt;width:390.25pt;height:14.65pt;z-index:1579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" fillcolor="black" stroked="f">
                <w10:wrap anchorx="page"/>
              </v:rect>
            </w:pict>
          </mc:Fallback>
        </mc:AlternateContent>
      </w:r>
      <w:hyperlink w:anchor="_bookmark272" w:history="1">
        <w:r w:rsidR="00033D0F">
          <w:rPr>
            <w:vertAlign w:val="superscript"/>
          </w:rPr>
          <w:t>211</w:t>
        </w:r>
      </w:hyperlink>
      <w:r w:rsidR="00033D0F">
        <w:rPr>
          <w:spacing w:val="78"/>
        </w:rPr>
        <w:t xml:space="preserve"> </w:t>
      </w:r>
      <w:r w:rsidR="00033D0F">
        <w:rPr>
          <w:spacing w:val="-2"/>
        </w:rPr>
        <w:t>Australia</w:t>
      </w:r>
    </w:p>
    <w:p w14:paraId="5B335FC6" w14:textId="77777777" w:rsidR="00BD462C" w:rsidRDefault="00BD462C">
      <w:pPr>
        <w:pStyle w:val="BodyText"/>
        <w:rPr>
          <w:sz w:val="20"/>
        </w:rPr>
      </w:pPr>
    </w:p>
    <w:p w14:paraId="5CEE0446" w14:textId="66F47CC8" w:rsidR="00BD462C" w:rsidRDefault="0084302F">
      <w:pPr>
        <w:pStyle w:val="BodyText"/>
        <w:spacing w:before="8"/>
      </w:pPr>
      <w:r>
        <w:rPr>
          <w:noProof/>
        </w:rPr>
        <mc:AlternateContent>
          <mc:Choice Requires="wps">
            <w:drawing>
              <wp:anchor distT="0" distB="0" distL="0" distR="0" simplePos="0" relativeHeight="488018432" behindDoc="1" locked="0" layoutInCell="1" allowOverlap="1" wp14:anchorId="4C6401F0" wp14:editId="2A129630">
                <wp:simplePos x="0" y="0"/>
                <wp:positionH relativeFrom="page">
                  <wp:posOffset>812800</wp:posOffset>
                </wp:positionH>
                <wp:positionV relativeFrom="paragraph">
                  <wp:posOffset>196899</wp:posOffset>
                </wp:positionV>
                <wp:extent cx="1828800" cy="8890"/>
                <wp:effectExtent l="0" t="0" r="0" b="0"/>
                <wp:wrapTopAndBottom/>
                <wp:docPr id="1432" name="docshape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423D7F" id="docshape113" o:spid="_x0000_s1026" alt="&quot;&quot;" style="position:absolute;margin-left:64pt;margin-top:15.5pt;width:2in;height:.7pt;z-index:-15298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" fillcolor="black" stroked="f">
                <w10:wrap type="topAndBottom" anchorx="page"/>
              </v:rect>
            </w:pict>
          </mc:Fallback>
        </mc:AlternateContent>
      </w:r>
    </w:p>
    <w:p w14:paraId="3226C700" w14:textId="77777777" w:rsidR="00BD462C" w:rsidRDefault="00BD462C">
      <w:pPr>
        <w:pStyle w:val="BodyText"/>
        <w:spacing w:before="11"/>
        <w:rPr>
          <w:sz w:val="9"/>
        </w:rPr>
      </w:pPr>
    </w:p>
    <w:p w14:paraId="14AD0F1D" w14:textId="3958CDDF" w:rsidR="00BD462C" w:rsidRDefault="00D70C7D">
      <w:pPr>
        <w:ind w:left="135"/>
        <w:rPr>
          <w:sz w:val="12"/>
        </w:rPr>
      </w:pPr>
      <w:r>
        <w:rPr>
          <w:noProof/>
        </w:rPr>
        <mc:AlternateContent>
          <mc:Choice Requires="wps">
            <w:drawing>
              <wp:anchor distT="0" distB="0" distL="114300" distR="114300" simplePos="0" relativeHeight="15791104" behindDoc="0" locked="0" layoutInCell="1" allowOverlap="1" wp14:anchorId="2169276C" wp14:editId="3CEF9B1B">
                <wp:simplePos x="0" y="0"/>
                <wp:positionH relativeFrom="page">
                  <wp:posOffset>1045210</wp:posOffset>
                </wp:positionH>
                <wp:positionV relativeFrom="paragraph">
                  <wp:posOffset>-3810</wp:posOffset>
                </wp:positionV>
                <wp:extent cx="4410710" cy="137160"/>
                <wp:effectExtent l="0" t="0" r="0" b="0"/>
                <wp:wrapNone/>
                <wp:docPr id="1158" name="docshape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710" cy="137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CEA39B" w14:textId="01355632" w:rsidR="00BD462C" w:rsidRDefault="00033D0F">
                            <w:pPr>
                              <w:tabs>
                                <w:tab w:val="left" w:pos="6892"/>
                              </w:tabs>
                              <w:spacing w:line="216" w:lineRule="exact"/>
                              <w:ind w:right="-15"/>
                              <w:rPr>
                                <w:color w:val="000000"/>
                                <w:sz w:val="18"/>
                              </w:rPr>
                            </w:pPr>
                            <w:r>
                              <w:rPr>
                                <w:color w:val="000000"/>
                                <w:sz w:val="18"/>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9276C" id="docshape137" o:spid="_x0000_s1037" type="#_x0000_t202" alt="&quot;&quot;" style="position:absolute;left:0;text-align:left;margin-left:82.3pt;margin-top:-.3pt;width:347.3pt;height:10.8pt;z-index:1579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" fillcolor="black" stroked="f">
                <v:textbox inset="0,0,0,0">
                  <w:txbxContent>
                    <w:p w14:paraId="70CEA39B" w14:textId="01355632" w:rsidR="00BD462C" w:rsidRDefault="00033D0F">
                      <w:pPr>
                        <w:tabs>
                          <w:tab w:val="left" w:pos="6892"/>
                        </w:tabs>
                        <w:spacing w:line="216" w:lineRule="exact"/>
                        <w:ind w:right="-15"/>
                        <w:rPr>
                          <w:color w:val="000000"/>
                          <w:sz w:val="18"/>
                        </w:rPr>
                      </w:pPr>
                      <w:r>
                        <w:rPr>
                          <w:color w:val="000000"/>
                          <w:sz w:val="18"/>
                        </w:rPr>
                        <w:tab/>
                      </w:r>
                    </w:p>
                  </w:txbxContent>
                </v:textbox>
                <w10:wrap anchorx="page"/>
              </v:shape>
            </w:pict>
          </mc:Fallback>
        </mc:AlternateContent>
      </w:r>
      <w:bookmarkStart w:id="312" w:name="_bookmark269"/>
      <w:bookmarkEnd w:id="312"/>
      <w:r w:rsidR="00033D0F">
        <w:rPr>
          <w:spacing w:val="-5"/>
          <w:sz w:val="12"/>
        </w:rPr>
        <w:t>208</w:t>
      </w:r>
    </w:p>
    <w:p w14:paraId="4E298348" w14:textId="77777777" w:rsidR="00BD462C" w:rsidRDefault="00033D0F">
      <w:pPr>
        <w:spacing w:before="65"/>
        <w:ind w:left="135"/>
        <w:rPr>
          <w:sz w:val="18"/>
        </w:rPr>
      </w:pPr>
      <w:bookmarkStart w:id="313" w:name="_bookmark270"/>
      <w:bookmarkEnd w:id="313"/>
      <w:r>
        <w:rPr>
          <w:position w:val="5"/>
          <w:sz w:val="12"/>
        </w:rPr>
        <w:t>209</w:t>
      </w:r>
      <w:r>
        <w:rPr>
          <w:spacing w:val="13"/>
          <w:position w:val="5"/>
          <w:sz w:val="12"/>
        </w:rPr>
        <w:t xml:space="preserve"> </w:t>
      </w:r>
      <w:r>
        <w:rPr>
          <w:sz w:val="18"/>
        </w:rPr>
        <w:t>China's</w:t>
      </w:r>
      <w:r>
        <w:rPr>
          <w:spacing w:val="-5"/>
          <w:sz w:val="18"/>
        </w:rPr>
        <w:t xml:space="preserve"> </w:t>
      </w:r>
      <w:r>
        <w:rPr>
          <w:sz w:val="18"/>
        </w:rPr>
        <w:t>first</w:t>
      </w:r>
      <w:r>
        <w:rPr>
          <w:spacing w:val="-4"/>
          <w:sz w:val="18"/>
        </w:rPr>
        <w:t xml:space="preserve"> </w:t>
      </w:r>
      <w:r>
        <w:rPr>
          <w:sz w:val="18"/>
        </w:rPr>
        <w:t>written</w:t>
      </w:r>
      <w:r>
        <w:rPr>
          <w:spacing w:val="-7"/>
          <w:sz w:val="18"/>
        </w:rPr>
        <w:t xml:space="preserve"> </w:t>
      </w:r>
      <w:r>
        <w:rPr>
          <w:sz w:val="18"/>
        </w:rPr>
        <w:t>submission,</w:t>
      </w:r>
      <w:r>
        <w:rPr>
          <w:spacing w:val="2"/>
          <w:sz w:val="18"/>
        </w:rPr>
        <w:t xml:space="preserve"> </w:t>
      </w:r>
      <w:r>
        <w:rPr>
          <w:sz w:val="18"/>
        </w:rPr>
        <w:t>paras.</w:t>
      </w:r>
      <w:r>
        <w:rPr>
          <w:spacing w:val="-5"/>
          <w:sz w:val="18"/>
        </w:rPr>
        <w:t xml:space="preserve"> </w:t>
      </w:r>
      <w:r>
        <w:rPr>
          <w:sz w:val="18"/>
        </w:rPr>
        <w:t>331</w:t>
      </w:r>
      <w:r>
        <w:rPr>
          <w:spacing w:val="-2"/>
          <w:sz w:val="18"/>
        </w:rPr>
        <w:t xml:space="preserve"> </w:t>
      </w:r>
      <w:r>
        <w:rPr>
          <w:sz w:val="18"/>
        </w:rPr>
        <w:t>and</w:t>
      </w:r>
      <w:r>
        <w:rPr>
          <w:spacing w:val="-1"/>
          <w:sz w:val="18"/>
        </w:rPr>
        <w:t xml:space="preserve"> </w:t>
      </w:r>
      <w:r>
        <w:rPr>
          <w:spacing w:val="-4"/>
          <w:sz w:val="18"/>
        </w:rPr>
        <w:t>423.</w:t>
      </w:r>
    </w:p>
    <w:p w14:paraId="299E4064" w14:textId="012089BB" w:rsidR="00BD462C" w:rsidRDefault="00D70C7D">
      <w:pPr>
        <w:spacing w:before="1"/>
        <w:ind w:left="135"/>
        <w:rPr>
          <w:sz w:val="18"/>
        </w:rPr>
      </w:pPr>
      <w:r>
        <w:rPr>
          <w:noProof/>
        </w:rPr>
        <mc:AlternateContent>
          <mc:Choice Requires="wpg">
            <w:drawing>
              <wp:anchor distT="0" distB="0" distL="0" distR="0" simplePos="0" relativeHeight="487646720" behindDoc="1" locked="0" layoutInCell="1" allowOverlap="1" wp14:anchorId="5A1A1281" wp14:editId="5079B673">
                <wp:simplePos x="0" y="0"/>
                <wp:positionH relativeFrom="page">
                  <wp:posOffset>899160</wp:posOffset>
                </wp:positionH>
                <wp:positionV relativeFrom="paragraph">
                  <wp:posOffset>154940</wp:posOffset>
                </wp:positionV>
                <wp:extent cx="5760720" cy="815340"/>
                <wp:effectExtent l="0" t="0" r="0" b="0"/>
                <wp:wrapTopAndBottom/>
                <wp:docPr id="1152" name="docshapegroup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815340"/>
                          <a:chOff x="1416" y="244"/>
                          <a:chExt cx="9072" cy="1284"/>
                        </a:xfrm>
                      </wpg:grpSpPr>
                      <wps:wsp>
                        <wps:cNvPr id="1154" name="docshape139"/>
                        <wps:cNvSpPr>
                          <a:spLocks/>
                        </wps:cNvSpPr>
                        <wps:spPr bwMode="auto">
                          <a:xfrm>
                            <a:off x="1416" y="429"/>
                            <a:ext cx="9072" cy="1100"/>
                          </a:xfrm>
                          <a:custGeom>
                            <a:avLst/>
                            <a:gdLst>
                              <a:gd name="T0" fmla="+- 0 10478 1416"/>
                              <a:gd name="T1" fmla="*/ T0 w 9072"/>
                              <a:gd name="T2" fmla="+- 0 866 429"/>
                              <a:gd name="T3" fmla="*/ 866 h 1100"/>
                              <a:gd name="T4" fmla="+- 0 1416 1416"/>
                              <a:gd name="T5" fmla="*/ T4 w 9072"/>
                              <a:gd name="T6" fmla="+- 0 866 429"/>
                              <a:gd name="T7" fmla="*/ 866 h 1100"/>
                              <a:gd name="T8" fmla="+- 0 1416 1416"/>
                              <a:gd name="T9" fmla="*/ T8 w 9072"/>
                              <a:gd name="T10" fmla="+- 0 1087 429"/>
                              <a:gd name="T11" fmla="*/ 1087 h 1100"/>
                              <a:gd name="T12" fmla="+- 0 1416 1416"/>
                              <a:gd name="T13" fmla="*/ T12 w 9072"/>
                              <a:gd name="T14" fmla="+- 0 1308 429"/>
                              <a:gd name="T15" fmla="*/ 1308 h 1100"/>
                              <a:gd name="T16" fmla="+- 0 1416 1416"/>
                              <a:gd name="T17" fmla="*/ T16 w 9072"/>
                              <a:gd name="T18" fmla="+- 0 1528 429"/>
                              <a:gd name="T19" fmla="*/ 1528 h 1100"/>
                              <a:gd name="T20" fmla="+- 0 3677 1416"/>
                              <a:gd name="T21" fmla="*/ T20 w 9072"/>
                              <a:gd name="T22" fmla="+- 0 1528 429"/>
                              <a:gd name="T23" fmla="*/ 1528 h 1100"/>
                              <a:gd name="T24" fmla="+- 0 3677 1416"/>
                              <a:gd name="T25" fmla="*/ T24 w 9072"/>
                              <a:gd name="T26" fmla="+- 0 1308 429"/>
                              <a:gd name="T27" fmla="*/ 1308 h 1100"/>
                              <a:gd name="T28" fmla="+- 0 10478 1416"/>
                              <a:gd name="T29" fmla="*/ T28 w 9072"/>
                              <a:gd name="T30" fmla="+- 0 1308 429"/>
                              <a:gd name="T31" fmla="*/ 1308 h 1100"/>
                              <a:gd name="T32" fmla="+- 0 10478 1416"/>
                              <a:gd name="T33" fmla="*/ T32 w 9072"/>
                              <a:gd name="T34" fmla="+- 0 1087 429"/>
                              <a:gd name="T35" fmla="*/ 1087 h 1100"/>
                              <a:gd name="T36" fmla="+- 0 10478 1416"/>
                              <a:gd name="T37" fmla="*/ T36 w 9072"/>
                              <a:gd name="T38" fmla="+- 0 866 429"/>
                              <a:gd name="T39" fmla="*/ 866 h 1100"/>
                              <a:gd name="T40" fmla="+- 0 10488 1416"/>
                              <a:gd name="T41" fmla="*/ T40 w 9072"/>
                              <a:gd name="T42" fmla="+- 0 429 429"/>
                              <a:gd name="T43" fmla="*/ 429 h 1100"/>
                              <a:gd name="T44" fmla="+- 0 5803 1416"/>
                              <a:gd name="T45" fmla="*/ T44 w 9072"/>
                              <a:gd name="T46" fmla="+- 0 429 429"/>
                              <a:gd name="T47" fmla="*/ 429 h 1100"/>
                              <a:gd name="T48" fmla="+- 0 5803 1416"/>
                              <a:gd name="T49" fmla="*/ T48 w 9072"/>
                              <a:gd name="T50" fmla="+- 0 645 429"/>
                              <a:gd name="T51" fmla="*/ 645 h 1100"/>
                              <a:gd name="T52" fmla="+- 0 1416 1416"/>
                              <a:gd name="T53" fmla="*/ T52 w 9072"/>
                              <a:gd name="T54" fmla="+- 0 645 429"/>
                              <a:gd name="T55" fmla="*/ 645 h 1100"/>
                              <a:gd name="T56" fmla="+- 0 1416 1416"/>
                              <a:gd name="T57" fmla="*/ T56 w 9072"/>
                              <a:gd name="T58" fmla="+- 0 866 429"/>
                              <a:gd name="T59" fmla="*/ 866 h 1100"/>
                              <a:gd name="T60" fmla="+- 0 10478 1416"/>
                              <a:gd name="T61" fmla="*/ T60 w 9072"/>
                              <a:gd name="T62" fmla="+- 0 866 429"/>
                              <a:gd name="T63" fmla="*/ 866 h 1100"/>
                              <a:gd name="T64" fmla="+- 0 10478 1416"/>
                              <a:gd name="T65" fmla="*/ T64 w 9072"/>
                              <a:gd name="T66" fmla="+- 0 645 429"/>
                              <a:gd name="T67" fmla="*/ 645 h 1100"/>
                              <a:gd name="T68" fmla="+- 0 10488 1416"/>
                              <a:gd name="T69" fmla="*/ T68 w 9072"/>
                              <a:gd name="T70" fmla="+- 0 645 429"/>
                              <a:gd name="T71" fmla="*/ 645 h 1100"/>
                              <a:gd name="T72" fmla="+- 0 10488 1416"/>
                              <a:gd name="T73" fmla="*/ T72 w 9072"/>
                              <a:gd name="T74" fmla="+- 0 429 429"/>
                              <a:gd name="T75" fmla="*/ 429 h 1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072" h="1100">
                                <a:moveTo>
                                  <a:pt x="9062" y="437"/>
                                </a:moveTo>
                                <a:lnTo>
                                  <a:pt x="0" y="437"/>
                                </a:lnTo>
                                <a:lnTo>
                                  <a:pt x="0" y="658"/>
                                </a:lnTo>
                                <a:lnTo>
                                  <a:pt x="0" y="879"/>
                                </a:lnTo>
                                <a:lnTo>
                                  <a:pt x="0" y="1099"/>
                                </a:lnTo>
                                <a:lnTo>
                                  <a:pt x="2261" y="1099"/>
                                </a:lnTo>
                                <a:lnTo>
                                  <a:pt x="2261" y="879"/>
                                </a:lnTo>
                                <a:lnTo>
                                  <a:pt x="9062" y="879"/>
                                </a:lnTo>
                                <a:lnTo>
                                  <a:pt x="9062" y="658"/>
                                </a:lnTo>
                                <a:lnTo>
                                  <a:pt x="9062" y="437"/>
                                </a:lnTo>
                                <a:close/>
                                <a:moveTo>
                                  <a:pt x="9072" y="0"/>
                                </a:moveTo>
                                <a:lnTo>
                                  <a:pt x="4387" y="0"/>
                                </a:lnTo>
                                <a:lnTo>
                                  <a:pt x="4387" y="216"/>
                                </a:lnTo>
                                <a:lnTo>
                                  <a:pt x="0" y="216"/>
                                </a:lnTo>
                                <a:lnTo>
                                  <a:pt x="0" y="437"/>
                                </a:lnTo>
                                <a:lnTo>
                                  <a:pt x="9062" y="437"/>
                                </a:lnTo>
                                <a:lnTo>
                                  <a:pt x="9062" y="216"/>
                                </a:lnTo>
                                <a:lnTo>
                                  <a:pt x="9072" y="216"/>
                                </a:lnTo>
                                <a:lnTo>
                                  <a:pt x="90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 name="docshape140"/>
                        <wps:cNvSpPr txBox="1">
                          <a:spLocks noChangeArrowheads="1"/>
                        </wps:cNvSpPr>
                        <wps:spPr bwMode="auto">
                          <a:xfrm>
                            <a:off x="1416" y="244"/>
                            <a:ext cx="9072" cy="1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97D1B" w14:textId="77777777" w:rsidR="00BD462C" w:rsidRDefault="00033D0F">
                              <w:pPr>
                                <w:spacing w:line="183" w:lineRule="exact"/>
                                <w:rPr>
                                  <w:sz w:val="18"/>
                                </w:rPr>
                              </w:pPr>
                              <w:r>
                                <w:rPr>
                                  <w:sz w:val="18"/>
                                </w:rPr>
                                <w:t>and</w:t>
                              </w:r>
                              <w:r>
                                <w:rPr>
                                  <w:spacing w:val="-6"/>
                                  <w:sz w:val="18"/>
                                </w:rPr>
                                <w:t xml:space="preserve"> </w:t>
                              </w:r>
                              <w:r>
                                <w:rPr>
                                  <w:sz w:val="18"/>
                                </w:rPr>
                                <w:t>footnote 135,</w:t>
                              </w:r>
                              <w:r>
                                <w:rPr>
                                  <w:spacing w:val="-2"/>
                                  <w:sz w:val="18"/>
                                </w:rPr>
                                <w:t xml:space="preserve"> </w:t>
                              </w:r>
                              <w:r>
                                <w:rPr>
                                  <w:sz w:val="18"/>
                                </w:rPr>
                                <w:t>in</w:t>
                              </w:r>
                              <w:r>
                                <w:rPr>
                                  <w:spacing w:val="-6"/>
                                  <w:sz w:val="18"/>
                                </w:rPr>
                                <w:t xml:space="preserve"> </w:t>
                              </w:r>
                              <w:r>
                                <w:rPr>
                                  <w:sz w:val="18"/>
                                </w:rPr>
                                <w:t>turn referring</w:t>
                              </w:r>
                              <w:r>
                                <w:rPr>
                                  <w:spacing w:val="-5"/>
                                  <w:sz w:val="18"/>
                                </w:rPr>
                                <w:t xml:space="preserve"> </w:t>
                              </w:r>
                              <w:r>
                                <w:rPr>
                                  <w:sz w:val="18"/>
                                </w:rPr>
                                <w:t>to</w:t>
                              </w:r>
                              <w:r>
                                <w:rPr>
                                  <w:spacing w:val="-1"/>
                                  <w:sz w:val="18"/>
                                </w:rPr>
                                <w:t xml:space="preserve"> </w:t>
                              </w:r>
                              <w:r>
                                <w:rPr>
                                  <w:sz w:val="18"/>
                                </w:rPr>
                                <w:t>Appellate</w:t>
                              </w:r>
                              <w:r>
                                <w:rPr>
                                  <w:spacing w:val="-4"/>
                                  <w:sz w:val="18"/>
                                </w:rPr>
                                <w:t xml:space="preserve"> </w:t>
                              </w:r>
                              <w:r>
                                <w:rPr>
                                  <w:sz w:val="18"/>
                                </w:rPr>
                                <w:t>Body</w:t>
                              </w:r>
                              <w:r>
                                <w:rPr>
                                  <w:spacing w:val="-6"/>
                                  <w:sz w:val="18"/>
                                </w:rPr>
                                <w:t xml:space="preserve"> </w:t>
                              </w:r>
                              <w:r>
                                <w:rPr>
                                  <w:sz w:val="18"/>
                                </w:rPr>
                                <w:t>Report,</w:t>
                              </w:r>
                              <w:r>
                                <w:rPr>
                                  <w:spacing w:val="-3"/>
                                  <w:sz w:val="18"/>
                                </w:rPr>
                                <w:t xml:space="preserve"> </w:t>
                              </w:r>
                              <w:r>
                                <w:rPr>
                                  <w:i/>
                                  <w:sz w:val="18"/>
                                </w:rPr>
                                <w:t>EU–PET</w:t>
                              </w:r>
                              <w:r>
                                <w:rPr>
                                  <w:i/>
                                  <w:spacing w:val="-7"/>
                                  <w:sz w:val="18"/>
                                </w:rPr>
                                <w:t xml:space="preserve"> </w:t>
                              </w:r>
                              <w:r>
                                <w:rPr>
                                  <w:i/>
                                  <w:sz w:val="18"/>
                                </w:rPr>
                                <w:t>(Pakistan)</w:t>
                              </w:r>
                              <w:r>
                                <w:rPr>
                                  <w:sz w:val="18"/>
                                </w:rPr>
                                <w:t>,</w:t>
                              </w:r>
                              <w:r>
                                <w:rPr>
                                  <w:spacing w:val="-3"/>
                                  <w:sz w:val="18"/>
                                </w:rPr>
                                <w:t xml:space="preserve"> </w:t>
                              </w:r>
                              <w:r>
                                <w:rPr>
                                  <w:sz w:val="18"/>
                                </w:rPr>
                                <w:t>para.</w:t>
                              </w:r>
                              <w:r>
                                <w:rPr>
                                  <w:spacing w:val="-3"/>
                                  <w:sz w:val="18"/>
                                </w:rPr>
                                <w:t xml:space="preserve"> </w:t>
                              </w:r>
                              <w:r>
                                <w:rPr>
                                  <w:spacing w:val="-2"/>
                                  <w:sz w:val="18"/>
                                </w:rPr>
                                <w:t>5.130).</w:t>
                              </w:r>
                            </w:p>
                            <w:p w14:paraId="0841261D" w14:textId="77777777" w:rsidR="00BD462C" w:rsidRDefault="00033D0F">
                              <w:pPr>
                                <w:spacing w:line="218" w:lineRule="exact"/>
                                <w:rPr>
                                  <w:sz w:val="18"/>
                                </w:rPr>
                              </w:pPr>
                              <w:bookmarkStart w:id="314" w:name="_bookmark272"/>
                              <w:bookmarkEnd w:id="314"/>
                              <w:r>
                                <w:rPr>
                                  <w:position w:val="5"/>
                                  <w:sz w:val="12"/>
                                </w:rPr>
                                <w:t>211</w:t>
                              </w:r>
                              <w:r>
                                <w:rPr>
                                  <w:spacing w:val="66"/>
                                  <w:position w:val="5"/>
                                  <w:sz w:val="12"/>
                                </w:rPr>
                                <w:t xml:space="preserve"> </w:t>
                              </w:r>
                              <w:r>
                                <w:rPr>
                                  <w:sz w:val="18"/>
                                </w:rPr>
                                <w:t>Australia's</w:t>
                              </w:r>
                              <w:r>
                                <w:rPr>
                                  <w:spacing w:val="46"/>
                                  <w:sz w:val="18"/>
                                </w:rPr>
                                <w:t xml:space="preserve"> </w:t>
                              </w:r>
                              <w:r>
                                <w:rPr>
                                  <w:sz w:val="18"/>
                                </w:rPr>
                                <w:t>first</w:t>
                              </w:r>
                              <w:r>
                                <w:rPr>
                                  <w:spacing w:val="51"/>
                                  <w:sz w:val="18"/>
                                </w:rPr>
                                <w:t xml:space="preserve"> </w:t>
                              </w:r>
                              <w:r>
                                <w:rPr>
                                  <w:sz w:val="18"/>
                                </w:rPr>
                                <w:t>written</w:t>
                              </w:r>
                              <w:r>
                                <w:rPr>
                                  <w:spacing w:val="46"/>
                                  <w:sz w:val="18"/>
                                </w:rPr>
                                <w:t xml:space="preserve"> </w:t>
                              </w:r>
                              <w:r>
                                <w:rPr>
                                  <w:sz w:val="18"/>
                                </w:rPr>
                                <w:t>submission,</w:t>
                              </w:r>
                              <w:r>
                                <w:rPr>
                                  <w:spacing w:val="49"/>
                                  <w:sz w:val="18"/>
                                </w:rPr>
                                <w:t xml:space="preserve"> </w:t>
                              </w:r>
                              <w:r>
                                <w:rPr>
                                  <w:sz w:val="18"/>
                                </w:rPr>
                                <w:t>paras.</w:t>
                              </w:r>
                              <w:r>
                                <w:rPr>
                                  <w:spacing w:val="52"/>
                                  <w:sz w:val="18"/>
                                </w:rPr>
                                <w:t xml:space="preserve"> </w:t>
                              </w:r>
                              <w:r>
                                <w:rPr>
                                  <w:sz w:val="18"/>
                                </w:rPr>
                                <w:t>172-</w:t>
                              </w:r>
                              <w:r>
                                <w:rPr>
                                  <w:spacing w:val="-4"/>
                                  <w:sz w:val="18"/>
                                </w:rPr>
                                <w:t>182.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1A1281" id="docshapegroup138" o:spid="_x0000_s1038" alt="&quot;&quot;" style="position:absolute;left:0;text-align:left;margin-left:70.8pt;margin-top:12.2pt;width:453.6pt;height:64.2pt;z-index:-15669760;mso-wrap-distance-left:0;mso-wrap-distance-right:0;mso-position-horizontal-relative:page;mso-position-vertical-relative:text" coordorigin="1416,244" coordsize="9072,1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">
                <v:shape id="docshape139" o:spid="_x0000_s1039" style="position:absolute;left:1416;top:429;width:9072;height:1100;visibility:visible;mso-wrap-style:square;v-text-anchor:top" coordsize="9072,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" path="m9062,437l,437,,658,,879r,220l2261,1099r,-220l9062,879r,-221l9062,437xm9072,l4387,r,216l,216,,437r9062,l9062,216r10,l9072,xe" fillcolor="black" stroked="f">
                  <v:path arrowok="t" o:connecttype="custom" o:connectlocs="9062,866;0,866;0,1087;0,1308;0,1528;2261,1528;2261,1308;9062,1308;9062,1087;9062,866;9072,429;4387,429;4387,645;0,645;0,866;9062,866;9062,645;9072,645;9072,429" o:connectangles="0,0,0,0,0,0,0,0,0,0,0,0,0,0,0,0,0,0,0"/>
                </v:shape>
                <v:shape id="docshape140" o:spid="_x0000_s1040" type="#_x0000_t202" style="position:absolute;left:1416;top:244;width:9072;height:1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" filled="f" stroked="f">
                  <v:textbox inset="0,0,0,0">
                    <w:txbxContent>
                      <w:p w14:paraId="12F97D1B" w14:textId="77777777" w:rsidR="00BD462C" w:rsidRDefault="00033D0F">
                        <w:pPr>
                          <w:spacing w:line="183" w:lineRule="exact"/>
                          <w:rPr>
                            <w:sz w:val="18"/>
                          </w:rPr>
                        </w:pPr>
                        <w:r>
                          <w:rPr>
                            <w:sz w:val="18"/>
                          </w:rPr>
                          <w:t>and</w:t>
                        </w:r>
                        <w:r>
                          <w:rPr>
                            <w:spacing w:val="-6"/>
                            <w:sz w:val="18"/>
                          </w:rPr>
                          <w:t xml:space="preserve"> </w:t>
                        </w:r>
                        <w:r>
                          <w:rPr>
                            <w:sz w:val="18"/>
                          </w:rPr>
                          <w:t>footnote 135,</w:t>
                        </w:r>
                        <w:r>
                          <w:rPr>
                            <w:spacing w:val="-2"/>
                            <w:sz w:val="18"/>
                          </w:rPr>
                          <w:t xml:space="preserve"> </w:t>
                        </w:r>
                        <w:r>
                          <w:rPr>
                            <w:sz w:val="18"/>
                          </w:rPr>
                          <w:t>in</w:t>
                        </w:r>
                        <w:r>
                          <w:rPr>
                            <w:spacing w:val="-6"/>
                            <w:sz w:val="18"/>
                          </w:rPr>
                          <w:t xml:space="preserve"> </w:t>
                        </w:r>
                        <w:r>
                          <w:rPr>
                            <w:sz w:val="18"/>
                          </w:rPr>
                          <w:t>turn referring</w:t>
                        </w:r>
                        <w:r>
                          <w:rPr>
                            <w:spacing w:val="-5"/>
                            <w:sz w:val="18"/>
                          </w:rPr>
                          <w:t xml:space="preserve"> </w:t>
                        </w:r>
                        <w:r>
                          <w:rPr>
                            <w:sz w:val="18"/>
                          </w:rPr>
                          <w:t>to</w:t>
                        </w:r>
                        <w:r>
                          <w:rPr>
                            <w:spacing w:val="-1"/>
                            <w:sz w:val="18"/>
                          </w:rPr>
                          <w:t xml:space="preserve"> </w:t>
                        </w:r>
                        <w:r>
                          <w:rPr>
                            <w:sz w:val="18"/>
                          </w:rPr>
                          <w:t>Appellate</w:t>
                        </w:r>
                        <w:r>
                          <w:rPr>
                            <w:spacing w:val="-4"/>
                            <w:sz w:val="18"/>
                          </w:rPr>
                          <w:t xml:space="preserve"> </w:t>
                        </w:r>
                        <w:r>
                          <w:rPr>
                            <w:sz w:val="18"/>
                          </w:rPr>
                          <w:t>Body</w:t>
                        </w:r>
                        <w:r>
                          <w:rPr>
                            <w:spacing w:val="-6"/>
                            <w:sz w:val="18"/>
                          </w:rPr>
                          <w:t xml:space="preserve"> </w:t>
                        </w:r>
                        <w:r>
                          <w:rPr>
                            <w:sz w:val="18"/>
                          </w:rPr>
                          <w:t>Report,</w:t>
                        </w:r>
                        <w:r>
                          <w:rPr>
                            <w:spacing w:val="-3"/>
                            <w:sz w:val="18"/>
                          </w:rPr>
                          <w:t xml:space="preserve"> </w:t>
                        </w:r>
                        <w:r>
                          <w:rPr>
                            <w:i/>
                            <w:sz w:val="18"/>
                          </w:rPr>
                          <w:t>EU–PET</w:t>
                        </w:r>
                        <w:r>
                          <w:rPr>
                            <w:i/>
                            <w:spacing w:val="-7"/>
                            <w:sz w:val="18"/>
                          </w:rPr>
                          <w:t xml:space="preserve"> </w:t>
                        </w:r>
                        <w:r>
                          <w:rPr>
                            <w:i/>
                            <w:sz w:val="18"/>
                          </w:rPr>
                          <w:t>(Pakistan)</w:t>
                        </w:r>
                        <w:r>
                          <w:rPr>
                            <w:sz w:val="18"/>
                          </w:rPr>
                          <w:t>,</w:t>
                        </w:r>
                        <w:r>
                          <w:rPr>
                            <w:spacing w:val="-3"/>
                            <w:sz w:val="18"/>
                          </w:rPr>
                          <w:t xml:space="preserve"> </w:t>
                        </w:r>
                        <w:r>
                          <w:rPr>
                            <w:sz w:val="18"/>
                          </w:rPr>
                          <w:t>para.</w:t>
                        </w:r>
                        <w:r>
                          <w:rPr>
                            <w:spacing w:val="-3"/>
                            <w:sz w:val="18"/>
                          </w:rPr>
                          <w:t xml:space="preserve"> </w:t>
                        </w:r>
                        <w:r>
                          <w:rPr>
                            <w:spacing w:val="-2"/>
                            <w:sz w:val="18"/>
                          </w:rPr>
                          <w:t>5.130).</w:t>
                        </w:r>
                      </w:p>
                      <w:p w14:paraId="0841261D" w14:textId="77777777" w:rsidR="00BD462C" w:rsidRDefault="00033D0F">
                        <w:pPr>
                          <w:spacing w:line="218" w:lineRule="exact"/>
                          <w:rPr>
                            <w:sz w:val="18"/>
                          </w:rPr>
                        </w:pPr>
                        <w:bookmarkStart w:id="315" w:name="_bookmark272"/>
                        <w:bookmarkEnd w:id="315"/>
                        <w:r>
                          <w:rPr>
                            <w:position w:val="5"/>
                            <w:sz w:val="12"/>
                          </w:rPr>
                          <w:t>211</w:t>
                        </w:r>
                        <w:r>
                          <w:rPr>
                            <w:spacing w:val="66"/>
                            <w:position w:val="5"/>
                            <w:sz w:val="12"/>
                          </w:rPr>
                          <w:t xml:space="preserve"> </w:t>
                        </w:r>
                        <w:r>
                          <w:rPr>
                            <w:sz w:val="18"/>
                          </w:rPr>
                          <w:t>Australia's</w:t>
                        </w:r>
                        <w:r>
                          <w:rPr>
                            <w:spacing w:val="46"/>
                            <w:sz w:val="18"/>
                          </w:rPr>
                          <w:t xml:space="preserve"> </w:t>
                        </w:r>
                        <w:r>
                          <w:rPr>
                            <w:sz w:val="18"/>
                          </w:rPr>
                          <w:t>first</w:t>
                        </w:r>
                        <w:r>
                          <w:rPr>
                            <w:spacing w:val="51"/>
                            <w:sz w:val="18"/>
                          </w:rPr>
                          <w:t xml:space="preserve"> </w:t>
                        </w:r>
                        <w:r>
                          <w:rPr>
                            <w:sz w:val="18"/>
                          </w:rPr>
                          <w:t>written</w:t>
                        </w:r>
                        <w:r>
                          <w:rPr>
                            <w:spacing w:val="46"/>
                            <w:sz w:val="18"/>
                          </w:rPr>
                          <w:t xml:space="preserve"> </w:t>
                        </w:r>
                        <w:r>
                          <w:rPr>
                            <w:sz w:val="18"/>
                          </w:rPr>
                          <w:t>submission,</w:t>
                        </w:r>
                        <w:r>
                          <w:rPr>
                            <w:spacing w:val="49"/>
                            <w:sz w:val="18"/>
                          </w:rPr>
                          <w:t xml:space="preserve"> </w:t>
                        </w:r>
                        <w:r>
                          <w:rPr>
                            <w:sz w:val="18"/>
                          </w:rPr>
                          <w:t>paras.</w:t>
                        </w:r>
                        <w:r>
                          <w:rPr>
                            <w:spacing w:val="52"/>
                            <w:sz w:val="18"/>
                          </w:rPr>
                          <w:t xml:space="preserve"> </w:t>
                        </w:r>
                        <w:r>
                          <w:rPr>
                            <w:sz w:val="18"/>
                          </w:rPr>
                          <w:t>172-</w:t>
                        </w:r>
                        <w:r>
                          <w:rPr>
                            <w:spacing w:val="-4"/>
                            <w:sz w:val="18"/>
                          </w:rPr>
                          <w:t>182.</w:t>
                        </w:r>
                      </w:p>
                    </w:txbxContent>
                  </v:textbox>
                </v:shape>
                <w10:wrap type="topAndBottom" anchorx="page"/>
              </v:group>
            </w:pict>
          </mc:Fallback>
        </mc:AlternateContent>
      </w:r>
      <w:bookmarkStart w:id="316" w:name="_bookmark271"/>
      <w:bookmarkEnd w:id="316"/>
      <w:r w:rsidR="00033D0F">
        <w:rPr>
          <w:position w:val="5"/>
          <w:sz w:val="12"/>
        </w:rPr>
        <w:t>210</w:t>
      </w:r>
      <w:r w:rsidR="00033D0F">
        <w:rPr>
          <w:spacing w:val="8"/>
          <w:position w:val="5"/>
          <w:sz w:val="12"/>
        </w:rPr>
        <w:t xml:space="preserve"> </w:t>
      </w:r>
      <w:r w:rsidR="00033D0F">
        <w:rPr>
          <w:sz w:val="18"/>
        </w:rPr>
        <w:t>Panel</w:t>
      </w:r>
      <w:r w:rsidR="00033D0F">
        <w:rPr>
          <w:spacing w:val="-8"/>
          <w:sz w:val="18"/>
        </w:rPr>
        <w:t xml:space="preserve"> </w:t>
      </w:r>
      <w:r w:rsidR="00033D0F">
        <w:rPr>
          <w:sz w:val="18"/>
        </w:rPr>
        <w:t>Report,</w:t>
      </w:r>
      <w:r w:rsidR="00033D0F">
        <w:rPr>
          <w:spacing w:val="-8"/>
          <w:sz w:val="18"/>
        </w:rPr>
        <w:t xml:space="preserve"> </w:t>
      </w:r>
      <w:r w:rsidR="00033D0F">
        <w:rPr>
          <w:i/>
          <w:sz w:val="18"/>
        </w:rPr>
        <w:t>Korea</w:t>
      </w:r>
      <w:r w:rsidR="00033D0F">
        <w:rPr>
          <w:i/>
          <w:spacing w:val="-4"/>
          <w:sz w:val="18"/>
        </w:rPr>
        <w:t xml:space="preserve"> </w:t>
      </w:r>
      <w:r w:rsidR="00033D0F">
        <w:rPr>
          <w:i/>
          <w:sz w:val="18"/>
        </w:rPr>
        <w:t>–</w:t>
      </w:r>
      <w:r w:rsidR="00033D0F">
        <w:rPr>
          <w:i/>
          <w:spacing w:val="-6"/>
          <w:sz w:val="18"/>
        </w:rPr>
        <w:t xml:space="preserve"> </w:t>
      </w:r>
      <w:r w:rsidR="00033D0F">
        <w:rPr>
          <w:i/>
          <w:sz w:val="18"/>
        </w:rPr>
        <w:t>Stainless</w:t>
      </w:r>
      <w:r w:rsidR="00033D0F">
        <w:rPr>
          <w:i/>
          <w:spacing w:val="-5"/>
          <w:sz w:val="18"/>
        </w:rPr>
        <w:t xml:space="preserve"> </w:t>
      </w:r>
      <w:r w:rsidR="00033D0F">
        <w:rPr>
          <w:i/>
          <w:sz w:val="18"/>
        </w:rPr>
        <w:t>Steel</w:t>
      </w:r>
      <w:r w:rsidR="00033D0F">
        <w:rPr>
          <w:i/>
          <w:spacing w:val="-8"/>
          <w:sz w:val="18"/>
        </w:rPr>
        <w:t xml:space="preserve"> </w:t>
      </w:r>
      <w:r w:rsidR="00033D0F">
        <w:rPr>
          <w:i/>
          <w:sz w:val="18"/>
        </w:rPr>
        <w:t>Bars</w:t>
      </w:r>
      <w:r w:rsidR="00033D0F">
        <w:rPr>
          <w:sz w:val="18"/>
        </w:rPr>
        <w:t>,</w:t>
      </w:r>
      <w:r w:rsidR="00033D0F">
        <w:rPr>
          <w:spacing w:val="-4"/>
          <w:sz w:val="18"/>
        </w:rPr>
        <w:t xml:space="preserve"> </w:t>
      </w:r>
      <w:r w:rsidR="00033D0F">
        <w:rPr>
          <w:sz w:val="18"/>
        </w:rPr>
        <w:t>para.</w:t>
      </w:r>
      <w:r w:rsidR="00033D0F">
        <w:rPr>
          <w:spacing w:val="-4"/>
          <w:sz w:val="18"/>
        </w:rPr>
        <w:t xml:space="preserve"> </w:t>
      </w:r>
      <w:r w:rsidR="00033D0F">
        <w:rPr>
          <w:sz w:val="18"/>
        </w:rPr>
        <w:t>7.196</w:t>
      </w:r>
      <w:r w:rsidR="00033D0F">
        <w:rPr>
          <w:spacing w:val="-7"/>
          <w:sz w:val="18"/>
        </w:rPr>
        <w:t xml:space="preserve"> </w:t>
      </w:r>
      <w:r w:rsidR="00033D0F">
        <w:rPr>
          <w:sz w:val="18"/>
        </w:rPr>
        <w:t>(citing</w:t>
      </w:r>
      <w:r w:rsidR="00033D0F">
        <w:rPr>
          <w:spacing w:val="-10"/>
          <w:sz w:val="18"/>
        </w:rPr>
        <w:t xml:space="preserve"> </w:t>
      </w:r>
      <w:r w:rsidR="00033D0F">
        <w:rPr>
          <w:sz w:val="18"/>
        </w:rPr>
        <w:t>Panel</w:t>
      </w:r>
      <w:r w:rsidR="00033D0F">
        <w:rPr>
          <w:spacing w:val="-8"/>
          <w:sz w:val="18"/>
        </w:rPr>
        <w:t xml:space="preserve"> </w:t>
      </w:r>
      <w:r w:rsidR="00033D0F">
        <w:rPr>
          <w:sz w:val="18"/>
        </w:rPr>
        <w:t>Report,</w:t>
      </w:r>
      <w:r w:rsidR="00033D0F">
        <w:rPr>
          <w:spacing w:val="-8"/>
          <w:sz w:val="18"/>
        </w:rPr>
        <w:t xml:space="preserve"> </w:t>
      </w:r>
      <w:r w:rsidR="00033D0F">
        <w:rPr>
          <w:i/>
          <w:sz w:val="18"/>
        </w:rPr>
        <w:t>Morocco</w:t>
      </w:r>
      <w:r w:rsidR="00033D0F">
        <w:rPr>
          <w:i/>
          <w:spacing w:val="-3"/>
          <w:sz w:val="18"/>
        </w:rPr>
        <w:t xml:space="preserve"> </w:t>
      </w:r>
      <w:r w:rsidR="00033D0F">
        <w:rPr>
          <w:i/>
          <w:sz w:val="18"/>
        </w:rPr>
        <w:t>–</w:t>
      </w:r>
      <w:r w:rsidR="00033D0F">
        <w:rPr>
          <w:i/>
          <w:spacing w:val="-10"/>
          <w:sz w:val="18"/>
        </w:rPr>
        <w:t xml:space="preserve"> </w:t>
      </w:r>
      <w:r w:rsidR="00033D0F">
        <w:rPr>
          <w:i/>
          <w:sz w:val="18"/>
        </w:rPr>
        <w:t>Hot-Rolled</w:t>
      </w:r>
      <w:r w:rsidR="00033D0F">
        <w:rPr>
          <w:i/>
          <w:spacing w:val="-4"/>
          <w:sz w:val="18"/>
        </w:rPr>
        <w:t xml:space="preserve"> </w:t>
      </w:r>
      <w:r w:rsidR="00033D0F">
        <w:rPr>
          <w:i/>
          <w:sz w:val="18"/>
        </w:rPr>
        <w:t>Steel</w:t>
      </w:r>
      <w:r w:rsidR="00033D0F">
        <w:rPr>
          <w:i/>
          <w:spacing w:val="-9"/>
          <w:sz w:val="18"/>
        </w:rPr>
        <w:t xml:space="preserve"> </w:t>
      </w:r>
      <w:r w:rsidR="00033D0F">
        <w:rPr>
          <w:i/>
          <w:sz w:val="18"/>
        </w:rPr>
        <w:t>(Turkey</w:t>
      </w:r>
      <w:r w:rsidR="00033D0F">
        <w:rPr>
          <w:sz w:val="18"/>
        </w:rPr>
        <w:t>),</w:t>
      </w:r>
      <w:r w:rsidR="00033D0F">
        <w:rPr>
          <w:spacing w:val="-3"/>
          <w:sz w:val="18"/>
        </w:rPr>
        <w:t xml:space="preserve"> </w:t>
      </w:r>
      <w:r w:rsidR="00033D0F">
        <w:rPr>
          <w:spacing w:val="-2"/>
          <w:sz w:val="18"/>
        </w:rPr>
        <w:t>para.7.92</w:t>
      </w:r>
    </w:p>
    <w:p w14:paraId="371910FF" w14:textId="77777777" w:rsidR="00BD462C" w:rsidRDefault="00BD462C">
      <w:pPr>
        <w:rPr>
          <w:sz w:val="18"/>
        </w:rPr>
        <w:sectPr w:rsidR="00BD462C">
          <w:pgSz w:w="11910" w:h="16840"/>
          <w:pgMar w:top="860" w:right="500" w:bottom="780" w:left="1280" w:header="566" w:footer="590" w:gutter="0"/>
          <w:cols w:space="720"/>
        </w:sectPr>
      </w:pPr>
    </w:p>
    <w:p w14:paraId="57ADEA37"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45FF292E"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68DBA472"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4D40A858" w14:textId="77777777" w:rsidR="00BD462C" w:rsidRDefault="00033D0F">
      <w:pPr>
        <w:pStyle w:val="BodyText"/>
        <w:spacing w:before="102" w:line="360" w:lineRule="auto"/>
        <w:ind w:left="135" w:right="913"/>
        <w:jc w:val="both"/>
      </w:pPr>
      <w:r>
        <w:t>also</w:t>
      </w:r>
      <w:r>
        <w:rPr>
          <w:spacing w:val="-14"/>
        </w:rPr>
        <w:t xml:space="preserve"> </w:t>
      </w:r>
      <w:r>
        <w:t>explained</w:t>
      </w:r>
      <w:r>
        <w:rPr>
          <w:spacing w:val="-6"/>
        </w:rPr>
        <w:t xml:space="preserve"> </w:t>
      </w:r>
      <w:r>
        <w:t>why the approach</w:t>
      </w:r>
      <w:r>
        <w:rPr>
          <w:spacing w:val="-1"/>
        </w:rPr>
        <w:t xml:space="preserve"> </w:t>
      </w:r>
      <w:r>
        <w:t>was reasonable in</w:t>
      </w:r>
      <w:r>
        <w:rPr>
          <w:spacing w:val="-1"/>
        </w:rPr>
        <w:t xml:space="preserve"> </w:t>
      </w:r>
      <w:r>
        <w:t>the circumstances.</w:t>
      </w:r>
      <w:r>
        <w:rPr>
          <w:spacing w:val="-14"/>
        </w:rPr>
        <w:t xml:space="preserve"> </w:t>
      </w:r>
      <w:hyperlink w:anchor="_bookmark274" w:history="1">
        <w:r>
          <w:rPr>
            <w:vertAlign w:val="superscript"/>
          </w:rPr>
          <w:t>212</w:t>
        </w:r>
      </w:hyperlink>
      <w:r>
        <w:t xml:space="preserve"> This approach was necessary</w:t>
      </w:r>
      <w:r>
        <w:rPr>
          <w:spacing w:val="-2"/>
        </w:rPr>
        <w:t xml:space="preserve"> </w:t>
      </w:r>
      <w:r>
        <w:t>because,</w:t>
      </w:r>
      <w:r>
        <w:rPr>
          <w:spacing w:val="-1"/>
        </w:rPr>
        <w:t xml:space="preserve"> </w:t>
      </w:r>
      <w:r>
        <w:rPr>
          <w:i/>
        </w:rPr>
        <w:t>inter</w:t>
      </w:r>
      <w:r>
        <w:rPr>
          <w:i/>
          <w:spacing w:val="-5"/>
        </w:rPr>
        <w:t xml:space="preserve"> </w:t>
      </w:r>
      <w:r>
        <w:rPr>
          <w:i/>
        </w:rPr>
        <w:t>alia,</w:t>
      </w:r>
      <w:r>
        <w:rPr>
          <w:i/>
          <w:spacing w:val="-1"/>
        </w:rPr>
        <w:t xml:space="preserve"> </w:t>
      </w:r>
      <w:r>
        <w:t>MOFCOM</w:t>
      </w:r>
      <w:r>
        <w:rPr>
          <w:spacing w:val="-3"/>
        </w:rPr>
        <w:t xml:space="preserve"> </w:t>
      </w:r>
      <w:r>
        <w:t>refused</w:t>
      </w:r>
      <w:r>
        <w:rPr>
          <w:spacing w:val="-5"/>
        </w:rPr>
        <w:t xml:space="preserve"> </w:t>
      </w:r>
      <w:r>
        <w:t>to</w:t>
      </w:r>
      <w:r>
        <w:rPr>
          <w:spacing w:val="-6"/>
        </w:rPr>
        <w:t xml:space="preserve"> </w:t>
      </w:r>
      <w:r>
        <w:t>grant</w:t>
      </w:r>
      <w:r>
        <w:rPr>
          <w:spacing w:val="-3"/>
        </w:rPr>
        <w:t xml:space="preserve"> </w:t>
      </w:r>
      <w:r>
        <w:t>a reasonable</w:t>
      </w:r>
      <w:r>
        <w:rPr>
          <w:spacing w:val="-3"/>
        </w:rPr>
        <w:t xml:space="preserve"> </w:t>
      </w:r>
      <w:r>
        <w:t>extension</w:t>
      </w:r>
      <w:r>
        <w:rPr>
          <w:spacing w:val="-5"/>
        </w:rPr>
        <w:t xml:space="preserve"> </w:t>
      </w:r>
      <w:r>
        <w:t>for</w:t>
      </w:r>
      <w:r>
        <w:rPr>
          <w:spacing w:val="-1"/>
        </w:rPr>
        <w:t xml:space="preserve"> </w:t>
      </w:r>
      <w:r>
        <w:t>filing</w:t>
      </w:r>
      <w:r>
        <w:rPr>
          <w:spacing w:val="-2"/>
        </w:rPr>
        <w:t xml:space="preserve"> </w:t>
      </w:r>
      <w:r>
        <w:t>the questionnaire response and thereby acted in a manner inconsistent with Article 6.1.1.</w:t>
      </w:r>
      <w:r>
        <w:rPr>
          <w:spacing w:val="-14"/>
        </w:rPr>
        <w:t xml:space="preserve"> </w:t>
      </w:r>
      <w:hyperlink w:anchor="_bookmark275" w:history="1">
        <w:r>
          <w:rPr>
            <w:vertAlign w:val="superscript"/>
          </w:rPr>
          <w:t>213</w:t>
        </w:r>
      </w:hyperlink>
      <w:r>
        <w:t xml:space="preserve"> </w:t>
      </w:r>
      <w:proofErr w:type="gramStart"/>
      <w:r>
        <w:t>Taking</w:t>
      </w:r>
      <w:r>
        <w:rPr>
          <w:spacing w:val="-9"/>
        </w:rPr>
        <w:t xml:space="preserve"> </w:t>
      </w:r>
      <w:r>
        <w:t>into</w:t>
      </w:r>
      <w:r>
        <w:rPr>
          <w:spacing w:val="-11"/>
        </w:rPr>
        <w:t xml:space="preserve"> </w:t>
      </w:r>
      <w:r>
        <w:t>account</w:t>
      </w:r>
      <w:proofErr w:type="gramEnd"/>
      <w:r>
        <w:rPr>
          <w:spacing w:val="-9"/>
        </w:rPr>
        <w:t xml:space="preserve"> </w:t>
      </w:r>
      <w:r>
        <w:t>all</w:t>
      </w:r>
      <w:r>
        <w:rPr>
          <w:spacing w:val="-7"/>
        </w:rPr>
        <w:t xml:space="preserve"> </w:t>
      </w:r>
      <w:r>
        <w:t>relevant</w:t>
      </w:r>
      <w:r>
        <w:rPr>
          <w:spacing w:val="-9"/>
        </w:rPr>
        <w:t xml:space="preserve"> </w:t>
      </w:r>
      <w:r>
        <w:t>facts,</w:t>
      </w:r>
      <w:r>
        <w:rPr>
          <w:spacing w:val="-7"/>
        </w:rPr>
        <w:t xml:space="preserve"> </w:t>
      </w:r>
      <w:r>
        <w:t>an</w:t>
      </w:r>
      <w:r>
        <w:rPr>
          <w:spacing w:val="-11"/>
        </w:rPr>
        <w:t xml:space="preserve"> </w:t>
      </w:r>
      <w:r>
        <w:t>unbiased</w:t>
      </w:r>
      <w:r>
        <w:rPr>
          <w:spacing w:val="-14"/>
        </w:rPr>
        <w:t xml:space="preserve"> </w:t>
      </w:r>
      <w:r>
        <w:t>and</w:t>
      </w:r>
      <w:r>
        <w:rPr>
          <w:spacing w:val="-10"/>
        </w:rPr>
        <w:t xml:space="preserve"> </w:t>
      </w:r>
      <w:r>
        <w:t>objective</w:t>
      </w:r>
      <w:r>
        <w:rPr>
          <w:spacing w:val="-9"/>
        </w:rPr>
        <w:t xml:space="preserve"> </w:t>
      </w:r>
      <w:r>
        <w:t>investigating</w:t>
      </w:r>
      <w:r>
        <w:rPr>
          <w:spacing w:val="-8"/>
        </w:rPr>
        <w:t xml:space="preserve"> </w:t>
      </w:r>
      <w:r>
        <w:t>authority</w:t>
      </w:r>
      <w:r>
        <w:rPr>
          <w:spacing w:val="-8"/>
        </w:rPr>
        <w:t xml:space="preserve"> </w:t>
      </w:r>
      <w:r>
        <w:t>would have found that the information was submitted within a reasonable time and that Treasury Wines acted to the best of its ability within the meaning of paragraph 5 of Annex II.</w:t>
      </w:r>
    </w:p>
    <w:p w14:paraId="44870645" w14:textId="77777777" w:rsidR="00BD462C" w:rsidRDefault="00BD462C">
      <w:pPr>
        <w:pStyle w:val="BodyText"/>
        <w:spacing w:before="8"/>
        <w:rPr>
          <w:sz w:val="8"/>
        </w:rPr>
      </w:pPr>
    </w:p>
    <w:p w14:paraId="0B0857CA" w14:textId="2C863B3A" w:rsidR="00BD462C" w:rsidRDefault="00033D0F" w:rsidP="00A83285">
      <w:pPr>
        <w:pStyle w:val="BodyText"/>
        <w:numPr>
          <w:ilvl w:val="0"/>
          <w:numId w:val="69"/>
        </w:numPr>
        <w:spacing w:before="56" w:line="360" w:lineRule="auto"/>
        <w:ind w:right="913"/>
        <w:jc w:val="both"/>
      </w:pPr>
      <w:r>
        <w:rPr>
          <w:position w:val="1"/>
        </w:rPr>
        <w:t xml:space="preserve">China incorrectly </w:t>
      </w:r>
      <w:proofErr w:type="spellStart"/>
      <w:r>
        <w:rPr>
          <w:position w:val="1"/>
        </w:rPr>
        <w:t>characterises</w:t>
      </w:r>
      <w:proofErr w:type="spellEnd"/>
      <w:r>
        <w:rPr>
          <w:position w:val="1"/>
        </w:rPr>
        <w:t xml:space="preserve"> what Treasury Wines did as "sampling" within the </w:t>
      </w:r>
      <w:r>
        <w:t>meaning of Article 6.10 and argues that such sampling is impermissible and that the PCNs were "self-selected" and not "representative of domestic sales".</w:t>
      </w:r>
      <w:hyperlink w:anchor="_bookmark276" w:history="1">
        <w:r>
          <w:rPr>
            <w:vertAlign w:val="superscript"/>
          </w:rPr>
          <w:t>214</w:t>
        </w:r>
      </w:hyperlink>
      <w:r>
        <w:t xml:space="preserve"> China further argues that under Treasury Wines' approach, "an exporter could lower its dumping margin by only providing detailed cost information for those product types that have lower costs of production on the basis that these product types with the lower costs are somehow 'representative'".</w:t>
      </w:r>
      <w:hyperlink w:anchor="_bookmark277" w:history="1">
        <w:r>
          <w:rPr>
            <w:vertAlign w:val="superscript"/>
          </w:rPr>
          <w:t>215</w:t>
        </w:r>
      </w:hyperlink>
      <w:r>
        <w:t xml:space="preserve"> China imputes that Treasury Wines' provision of data was </w:t>
      </w:r>
      <w:proofErr w:type="spellStart"/>
      <w:r>
        <w:t>favourable</w:t>
      </w:r>
      <w:proofErr w:type="spellEnd"/>
      <w:r>
        <w:t xml:space="preserve"> to the company's own interests.</w:t>
      </w:r>
    </w:p>
    <w:p w14:paraId="5A1CA83D" w14:textId="77777777" w:rsidR="00BD462C" w:rsidRDefault="00BD462C">
      <w:pPr>
        <w:pStyle w:val="BodyText"/>
        <w:spacing w:before="7"/>
        <w:rPr>
          <w:sz w:val="8"/>
        </w:rPr>
      </w:pPr>
    </w:p>
    <w:p w14:paraId="186F0D6B" w14:textId="062A95B1" w:rsidR="00BD462C" w:rsidRDefault="00033D0F" w:rsidP="00A83285">
      <w:pPr>
        <w:pStyle w:val="BodyText"/>
        <w:numPr>
          <w:ilvl w:val="0"/>
          <w:numId w:val="69"/>
        </w:numPr>
        <w:spacing w:before="57" w:line="357" w:lineRule="auto"/>
        <w:ind w:right="916"/>
        <w:jc w:val="both"/>
      </w:pPr>
      <w:r>
        <w:rPr>
          <w:position w:val="1"/>
        </w:rPr>
        <w:t xml:space="preserve">It is clear Treasury Wines did not "sample" nor did it "self-select" data in order to </w:t>
      </w:r>
      <w:r>
        <w:t>reach</w:t>
      </w:r>
      <w:r>
        <w:rPr>
          <w:spacing w:val="-10"/>
        </w:rPr>
        <w:t xml:space="preserve"> </w:t>
      </w:r>
      <w:r>
        <w:t>a</w:t>
      </w:r>
      <w:r>
        <w:rPr>
          <w:spacing w:val="-9"/>
        </w:rPr>
        <w:t xml:space="preserve"> </w:t>
      </w:r>
      <w:proofErr w:type="spellStart"/>
      <w:r>
        <w:t>favourable</w:t>
      </w:r>
      <w:proofErr w:type="spellEnd"/>
      <w:r>
        <w:rPr>
          <w:spacing w:val="-8"/>
        </w:rPr>
        <w:t xml:space="preserve"> </w:t>
      </w:r>
      <w:r>
        <w:t>outcome.</w:t>
      </w:r>
      <w:r>
        <w:rPr>
          <w:spacing w:val="-7"/>
        </w:rPr>
        <w:t xml:space="preserve"> </w:t>
      </w:r>
      <w:r>
        <w:t>Rather,</w:t>
      </w:r>
      <w:r>
        <w:rPr>
          <w:spacing w:val="-7"/>
        </w:rPr>
        <w:t xml:space="preserve"> </w:t>
      </w:r>
      <w:r>
        <w:t>Treasury</w:t>
      </w:r>
      <w:r>
        <w:rPr>
          <w:spacing w:val="-7"/>
        </w:rPr>
        <w:t xml:space="preserve"> </w:t>
      </w:r>
      <w:r>
        <w:t>Wines</w:t>
      </w:r>
      <w:r>
        <w:rPr>
          <w:spacing w:val="-7"/>
        </w:rPr>
        <w:t xml:space="preserve"> </w:t>
      </w:r>
      <w:r>
        <w:t>provided</w:t>
      </w:r>
      <w:r>
        <w:rPr>
          <w:spacing w:val="-10"/>
        </w:rPr>
        <w:t xml:space="preserve"> </w:t>
      </w:r>
      <w:r>
        <w:t>all</w:t>
      </w:r>
      <w:r>
        <w:rPr>
          <w:spacing w:val="-7"/>
        </w:rPr>
        <w:t xml:space="preserve"> </w:t>
      </w:r>
      <w:r>
        <w:t>data</w:t>
      </w:r>
      <w:r>
        <w:rPr>
          <w:spacing w:val="-9"/>
        </w:rPr>
        <w:t xml:space="preserve"> </w:t>
      </w:r>
      <w:r>
        <w:t>explicitly</w:t>
      </w:r>
      <w:r>
        <w:rPr>
          <w:spacing w:val="-7"/>
        </w:rPr>
        <w:t xml:space="preserve"> </w:t>
      </w:r>
      <w:r>
        <w:t>requested</w:t>
      </w:r>
      <w:r>
        <w:rPr>
          <w:spacing w:val="-10"/>
        </w:rPr>
        <w:t xml:space="preserve"> </w:t>
      </w:r>
      <w:r>
        <w:t>for Forms 6-3 and 6-4 in two-parts and had valid reasons for providing it in that manner.</w:t>
      </w:r>
    </w:p>
    <w:p w14:paraId="776292DE" w14:textId="77777777" w:rsidR="00BD462C" w:rsidRDefault="00BD462C">
      <w:pPr>
        <w:pStyle w:val="BodyText"/>
        <w:spacing w:before="2"/>
        <w:rPr>
          <w:sz w:val="9"/>
        </w:rPr>
      </w:pPr>
    </w:p>
    <w:p w14:paraId="1BA9360D" w14:textId="774BE2F0" w:rsidR="00BD462C" w:rsidRDefault="00033D0F" w:rsidP="00A83285">
      <w:pPr>
        <w:pStyle w:val="BodyText"/>
        <w:numPr>
          <w:ilvl w:val="0"/>
          <w:numId w:val="69"/>
        </w:numPr>
        <w:spacing w:before="56" w:line="360" w:lineRule="auto"/>
        <w:ind w:right="915"/>
        <w:jc w:val="both"/>
      </w:pPr>
      <w:bookmarkStart w:id="317" w:name="_bookmark273"/>
      <w:bookmarkEnd w:id="317"/>
      <w:r>
        <w:rPr>
          <w:position w:val="1"/>
        </w:rPr>
        <w:t>China's</w:t>
      </w:r>
      <w:r>
        <w:rPr>
          <w:spacing w:val="40"/>
          <w:position w:val="1"/>
        </w:rPr>
        <w:t xml:space="preserve"> </w:t>
      </w:r>
      <w:r>
        <w:rPr>
          <w:position w:val="1"/>
        </w:rPr>
        <w:t>argument</w:t>
      </w:r>
      <w:r>
        <w:rPr>
          <w:spacing w:val="40"/>
          <w:position w:val="1"/>
        </w:rPr>
        <w:t xml:space="preserve"> </w:t>
      </w:r>
      <w:r>
        <w:rPr>
          <w:position w:val="1"/>
        </w:rPr>
        <w:t>misunderstands</w:t>
      </w:r>
      <w:r>
        <w:rPr>
          <w:spacing w:val="40"/>
          <w:position w:val="1"/>
        </w:rPr>
        <w:t xml:space="preserve"> </w:t>
      </w:r>
      <w:r>
        <w:rPr>
          <w:position w:val="1"/>
        </w:rPr>
        <w:t>the</w:t>
      </w:r>
      <w:r>
        <w:rPr>
          <w:spacing w:val="40"/>
          <w:position w:val="1"/>
        </w:rPr>
        <w:t xml:space="preserve"> </w:t>
      </w:r>
      <w:r>
        <w:rPr>
          <w:position w:val="1"/>
        </w:rPr>
        <w:t>dumping</w:t>
      </w:r>
      <w:r>
        <w:rPr>
          <w:spacing w:val="40"/>
          <w:position w:val="1"/>
        </w:rPr>
        <w:t xml:space="preserve"> </w:t>
      </w:r>
      <w:r>
        <w:rPr>
          <w:position w:val="1"/>
        </w:rPr>
        <w:t>calculations</w:t>
      </w:r>
      <w:r>
        <w:rPr>
          <w:spacing w:val="40"/>
          <w:position w:val="1"/>
        </w:rPr>
        <w:t xml:space="preserve"> </w:t>
      </w:r>
      <w:r>
        <w:rPr>
          <w:position w:val="1"/>
        </w:rPr>
        <w:t>undertaken</w:t>
      </w:r>
      <w:r>
        <w:rPr>
          <w:spacing w:val="40"/>
          <w:position w:val="1"/>
        </w:rPr>
        <w:t xml:space="preserve"> </w:t>
      </w:r>
      <w:r>
        <w:rPr>
          <w:position w:val="1"/>
        </w:rPr>
        <w:t xml:space="preserve">by </w:t>
      </w:r>
      <w:r>
        <w:t>MOFCOM. Those calculations were done on a PCN-by-PCN basis, requiring that the export price of specific PCNs sold in China be compared against the normal value of the matched PCNs</w:t>
      </w:r>
      <w:r>
        <w:rPr>
          <w:spacing w:val="-1"/>
        </w:rPr>
        <w:t xml:space="preserve"> </w:t>
      </w:r>
      <w:r>
        <w:t>sold</w:t>
      </w:r>
      <w:r>
        <w:rPr>
          <w:spacing w:val="-4"/>
        </w:rPr>
        <w:t xml:space="preserve"> </w:t>
      </w:r>
      <w:r>
        <w:t>in</w:t>
      </w:r>
      <w:r>
        <w:rPr>
          <w:spacing w:val="-4"/>
        </w:rPr>
        <w:t xml:space="preserve"> </w:t>
      </w:r>
      <w:r>
        <w:t>the</w:t>
      </w:r>
      <w:r>
        <w:rPr>
          <w:spacing w:val="-3"/>
        </w:rPr>
        <w:t xml:space="preserve"> </w:t>
      </w:r>
      <w:r>
        <w:t>Australian</w:t>
      </w:r>
      <w:r>
        <w:rPr>
          <w:spacing w:val="-4"/>
        </w:rPr>
        <w:t xml:space="preserve"> </w:t>
      </w:r>
      <w:r>
        <w:t>domestic</w:t>
      </w:r>
      <w:r>
        <w:rPr>
          <w:spacing w:val="-4"/>
        </w:rPr>
        <w:t xml:space="preserve"> </w:t>
      </w:r>
      <w:r>
        <w:t>market.</w:t>
      </w:r>
      <w:r>
        <w:rPr>
          <w:spacing w:val="-1"/>
        </w:rPr>
        <w:t xml:space="preserve"> </w:t>
      </w:r>
      <w:r>
        <w:t>There</w:t>
      </w:r>
      <w:r>
        <w:rPr>
          <w:spacing w:val="-2"/>
        </w:rPr>
        <w:t xml:space="preserve"> </w:t>
      </w:r>
      <w:r>
        <w:t>was</w:t>
      </w:r>
      <w:r>
        <w:rPr>
          <w:spacing w:val="-1"/>
        </w:rPr>
        <w:t xml:space="preserve"> </w:t>
      </w:r>
      <w:r>
        <w:t>no</w:t>
      </w:r>
      <w:r>
        <w:rPr>
          <w:spacing w:val="-5"/>
        </w:rPr>
        <w:t xml:space="preserve"> </w:t>
      </w:r>
      <w:r>
        <w:t>need</w:t>
      </w:r>
      <w:r>
        <w:rPr>
          <w:spacing w:val="-4"/>
        </w:rPr>
        <w:t xml:space="preserve"> </w:t>
      </w:r>
      <w:r>
        <w:t>to</w:t>
      </w:r>
      <w:r>
        <w:rPr>
          <w:spacing w:val="-5"/>
        </w:rPr>
        <w:t xml:space="preserve"> </w:t>
      </w:r>
      <w:r>
        <w:t>compare</w:t>
      </w:r>
      <w:r>
        <w:rPr>
          <w:spacing w:val="-2"/>
        </w:rPr>
        <w:t xml:space="preserve"> </w:t>
      </w:r>
      <w:r>
        <w:t>the</w:t>
      </w:r>
      <w:r>
        <w:rPr>
          <w:spacing w:val="-3"/>
        </w:rPr>
        <w:t xml:space="preserve"> </w:t>
      </w:r>
      <w:r>
        <w:t>export</w:t>
      </w:r>
      <w:r>
        <w:rPr>
          <w:spacing w:val="-2"/>
        </w:rPr>
        <w:t xml:space="preserve"> </w:t>
      </w:r>
      <w:r>
        <w:t>price of specific PCNs sold in China against the normal value of unmatched PCNs sold in Australia, nor</w:t>
      </w:r>
      <w:r>
        <w:rPr>
          <w:spacing w:val="-9"/>
        </w:rPr>
        <w:t xml:space="preserve"> </w:t>
      </w:r>
      <w:r>
        <w:t>was</w:t>
      </w:r>
      <w:r>
        <w:rPr>
          <w:spacing w:val="-9"/>
        </w:rPr>
        <w:t xml:space="preserve"> </w:t>
      </w:r>
      <w:r>
        <w:t>there</w:t>
      </w:r>
      <w:r>
        <w:rPr>
          <w:spacing w:val="-11"/>
        </w:rPr>
        <w:t xml:space="preserve"> </w:t>
      </w:r>
      <w:r>
        <w:t>a</w:t>
      </w:r>
      <w:r>
        <w:rPr>
          <w:spacing w:val="-7"/>
        </w:rPr>
        <w:t xml:space="preserve"> </w:t>
      </w:r>
      <w:r>
        <w:t>need</w:t>
      </w:r>
      <w:r>
        <w:rPr>
          <w:spacing w:val="-8"/>
        </w:rPr>
        <w:t xml:space="preserve"> </w:t>
      </w:r>
      <w:r>
        <w:t>to</w:t>
      </w:r>
      <w:r>
        <w:rPr>
          <w:spacing w:val="-13"/>
        </w:rPr>
        <w:t xml:space="preserve"> </w:t>
      </w:r>
      <w:r>
        <w:t>consider</w:t>
      </w:r>
      <w:r>
        <w:rPr>
          <w:spacing w:val="-14"/>
        </w:rPr>
        <w:t xml:space="preserve"> </w:t>
      </w:r>
      <w:r>
        <w:t>the</w:t>
      </w:r>
      <w:r>
        <w:rPr>
          <w:spacing w:val="-5"/>
        </w:rPr>
        <w:t xml:space="preserve"> </w:t>
      </w:r>
      <w:r>
        <w:t>"representativeness"</w:t>
      </w:r>
      <w:r>
        <w:rPr>
          <w:spacing w:val="-12"/>
        </w:rPr>
        <w:t xml:space="preserve"> </w:t>
      </w:r>
      <w:r>
        <w:t>of</w:t>
      </w:r>
      <w:r>
        <w:rPr>
          <w:spacing w:val="-13"/>
        </w:rPr>
        <w:t xml:space="preserve"> </w:t>
      </w:r>
      <w:r>
        <w:t>a</w:t>
      </w:r>
      <w:r>
        <w:rPr>
          <w:spacing w:val="-11"/>
        </w:rPr>
        <w:t xml:space="preserve"> </w:t>
      </w:r>
      <w:r>
        <w:t>particular</w:t>
      </w:r>
      <w:r>
        <w:rPr>
          <w:spacing w:val="-14"/>
        </w:rPr>
        <w:t xml:space="preserve"> </w:t>
      </w:r>
      <w:r>
        <w:t>PCN</w:t>
      </w:r>
      <w:r>
        <w:rPr>
          <w:spacing w:val="-12"/>
        </w:rPr>
        <w:t xml:space="preserve"> </w:t>
      </w:r>
      <w:r>
        <w:t>sold</w:t>
      </w:r>
      <w:r>
        <w:rPr>
          <w:spacing w:val="-13"/>
        </w:rPr>
        <w:t xml:space="preserve"> </w:t>
      </w:r>
      <w:r>
        <w:t>in</w:t>
      </w:r>
      <w:r>
        <w:rPr>
          <w:spacing w:val="-13"/>
        </w:rPr>
        <w:t xml:space="preserve"> </w:t>
      </w:r>
      <w:r>
        <w:t>Australia with other PCNs sold in Australia.</w:t>
      </w:r>
    </w:p>
    <w:p w14:paraId="458B5DAD" w14:textId="77777777" w:rsidR="00BD462C" w:rsidRDefault="00BD462C">
      <w:pPr>
        <w:pStyle w:val="BodyText"/>
        <w:rPr>
          <w:sz w:val="20"/>
        </w:rPr>
      </w:pPr>
    </w:p>
    <w:p w14:paraId="0E957E3B" w14:textId="77777777" w:rsidR="00BD462C" w:rsidRDefault="00BD462C">
      <w:pPr>
        <w:pStyle w:val="BodyText"/>
        <w:rPr>
          <w:sz w:val="20"/>
        </w:rPr>
      </w:pPr>
    </w:p>
    <w:p w14:paraId="181862BF" w14:textId="77777777" w:rsidR="00BD462C" w:rsidRDefault="00BD462C">
      <w:pPr>
        <w:pStyle w:val="BodyText"/>
        <w:rPr>
          <w:sz w:val="20"/>
        </w:rPr>
      </w:pPr>
    </w:p>
    <w:p w14:paraId="7A90ED89" w14:textId="77777777" w:rsidR="00BD462C" w:rsidRDefault="00BD462C">
      <w:pPr>
        <w:pStyle w:val="BodyText"/>
        <w:rPr>
          <w:sz w:val="20"/>
        </w:rPr>
      </w:pPr>
    </w:p>
    <w:p w14:paraId="24F58ACC" w14:textId="77777777" w:rsidR="00BD462C" w:rsidRDefault="00BD462C">
      <w:pPr>
        <w:pStyle w:val="BodyText"/>
        <w:rPr>
          <w:sz w:val="20"/>
        </w:rPr>
      </w:pPr>
    </w:p>
    <w:p w14:paraId="7ADA687B" w14:textId="35F06153" w:rsidR="00BD462C" w:rsidRDefault="0084302F">
      <w:pPr>
        <w:pStyle w:val="BodyText"/>
        <w:spacing w:before="11"/>
        <w:rPr>
          <w:sz w:val="17"/>
        </w:rPr>
      </w:pPr>
      <w:r>
        <w:rPr>
          <w:noProof/>
        </w:rPr>
        <mc:AlternateContent>
          <mc:Choice Requires="wps">
            <w:drawing>
              <wp:anchor distT="0" distB="0" distL="0" distR="0" simplePos="0" relativeHeight="488020480" behindDoc="1" locked="0" layoutInCell="1" allowOverlap="1" wp14:anchorId="61D279BA" wp14:editId="6EA0F024">
                <wp:simplePos x="0" y="0"/>
                <wp:positionH relativeFrom="page">
                  <wp:posOffset>812800</wp:posOffset>
                </wp:positionH>
                <wp:positionV relativeFrom="paragraph">
                  <wp:posOffset>140970</wp:posOffset>
                </wp:positionV>
                <wp:extent cx="1828800" cy="8890"/>
                <wp:effectExtent l="0" t="0" r="0" b="0"/>
                <wp:wrapTopAndBottom/>
                <wp:docPr id="1434" name="docshape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FEE833" id="docshape113" o:spid="_x0000_s1026" alt="&quot;&quot;" style="position:absolute;margin-left:64pt;margin-top:11.1pt;width:2in;height:.7pt;z-index:-15296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" fillcolor="black" stroked="f">
                <w10:wrap type="topAndBottom" anchorx="page"/>
              </v:rect>
            </w:pict>
          </mc:Fallback>
        </mc:AlternateContent>
      </w:r>
    </w:p>
    <w:p w14:paraId="27E7359D" w14:textId="77777777" w:rsidR="00BD462C" w:rsidRDefault="00033D0F">
      <w:pPr>
        <w:spacing w:before="107"/>
        <w:ind w:left="135"/>
        <w:rPr>
          <w:sz w:val="18"/>
        </w:rPr>
      </w:pPr>
      <w:bookmarkStart w:id="318" w:name="_bookmark274"/>
      <w:bookmarkEnd w:id="318"/>
      <w:r>
        <w:rPr>
          <w:position w:val="5"/>
          <w:sz w:val="12"/>
        </w:rPr>
        <w:t>212</w:t>
      </w:r>
      <w:r>
        <w:rPr>
          <w:spacing w:val="12"/>
          <w:position w:val="5"/>
          <w:sz w:val="12"/>
        </w:rPr>
        <w:t xml:space="preserve"> </w:t>
      </w:r>
      <w:r>
        <w:rPr>
          <w:sz w:val="18"/>
        </w:rPr>
        <w:t>Australia's</w:t>
      </w:r>
      <w:r>
        <w:rPr>
          <w:spacing w:val="-7"/>
          <w:sz w:val="18"/>
        </w:rPr>
        <w:t xml:space="preserve"> </w:t>
      </w:r>
      <w:r>
        <w:rPr>
          <w:sz w:val="18"/>
        </w:rPr>
        <w:t>first</w:t>
      </w:r>
      <w:r>
        <w:rPr>
          <w:spacing w:val="-5"/>
          <w:sz w:val="18"/>
        </w:rPr>
        <w:t xml:space="preserve"> </w:t>
      </w:r>
      <w:r>
        <w:rPr>
          <w:sz w:val="18"/>
        </w:rPr>
        <w:t>written</w:t>
      </w:r>
      <w:r>
        <w:rPr>
          <w:spacing w:val="-3"/>
          <w:sz w:val="18"/>
        </w:rPr>
        <w:t xml:space="preserve"> </w:t>
      </w:r>
      <w:r>
        <w:rPr>
          <w:sz w:val="18"/>
        </w:rPr>
        <w:t>submission, paras.</w:t>
      </w:r>
      <w:r>
        <w:rPr>
          <w:spacing w:val="-5"/>
          <w:sz w:val="18"/>
        </w:rPr>
        <w:t xml:space="preserve"> </w:t>
      </w:r>
      <w:r>
        <w:rPr>
          <w:sz w:val="18"/>
        </w:rPr>
        <w:t>172-</w:t>
      </w:r>
      <w:r>
        <w:rPr>
          <w:spacing w:val="-4"/>
          <w:sz w:val="18"/>
        </w:rPr>
        <w:t>182.</w:t>
      </w:r>
    </w:p>
    <w:p w14:paraId="6C00967C" w14:textId="77777777" w:rsidR="00BD462C" w:rsidRDefault="00033D0F">
      <w:pPr>
        <w:spacing w:before="1"/>
        <w:ind w:left="135"/>
        <w:rPr>
          <w:sz w:val="18"/>
        </w:rPr>
      </w:pPr>
      <w:bookmarkStart w:id="319" w:name="_bookmark275"/>
      <w:bookmarkEnd w:id="319"/>
      <w:r>
        <w:rPr>
          <w:position w:val="5"/>
          <w:sz w:val="12"/>
        </w:rPr>
        <w:t>213</w:t>
      </w:r>
      <w:r>
        <w:rPr>
          <w:spacing w:val="16"/>
          <w:position w:val="5"/>
          <w:sz w:val="12"/>
        </w:rPr>
        <w:t xml:space="preserve"> </w:t>
      </w:r>
      <w:r>
        <w:rPr>
          <w:sz w:val="18"/>
        </w:rPr>
        <w:t>See</w:t>
      </w:r>
      <w:r>
        <w:rPr>
          <w:spacing w:val="-2"/>
          <w:sz w:val="18"/>
        </w:rPr>
        <w:t xml:space="preserve"> </w:t>
      </w:r>
      <w:r>
        <w:rPr>
          <w:sz w:val="18"/>
        </w:rPr>
        <w:t>Section</w:t>
      </w:r>
      <w:r>
        <w:rPr>
          <w:spacing w:val="-3"/>
          <w:sz w:val="18"/>
        </w:rPr>
        <w:t xml:space="preserve"> </w:t>
      </w:r>
      <w:r>
        <w:rPr>
          <w:spacing w:val="-2"/>
          <w:sz w:val="18"/>
        </w:rPr>
        <w:t>VII.D.4.</w:t>
      </w:r>
    </w:p>
    <w:p w14:paraId="6D99F3B4" w14:textId="77777777" w:rsidR="00BD462C" w:rsidRDefault="00033D0F">
      <w:pPr>
        <w:spacing w:before="1"/>
        <w:ind w:left="136" w:right="910" w:hanging="1"/>
        <w:rPr>
          <w:sz w:val="18"/>
        </w:rPr>
      </w:pPr>
      <w:bookmarkStart w:id="320" w:name="_bookmark276"/>
      <w:bookmarkEnd w:id="320"/>
      <w:r>
        <w:rPr>
          <w:position w:val="5"/>
          <w:sz w:val="12"/>
        </w:rPr>
        <w:t>214</w:t>
      </w:r>
      <w:r>
        <w:rPr>
          <w:spacing w:val="9"/>
          <w:position w:val="5"/>
          <w:sz w:val="12"/>
        </w:rPr>
        <w:t xml:space="preserve"> </w:t>
      </w:r>
      <w:r>
        <w:rPr>
          <w:sz w:val="18"/>
        </w:rPr>
        <w:t>China's</w:t>
      </w:r>
      <w:r>
        <w:rPr>
          <w:spacing w:val="-8"/>
          <w:sz w:val="18"/>
        </w:rPr>
        <w:t xml:space="preserve"> </w:t>
      </w:r>
      <w:r>
        <w:rPr>
          <w:sz w:val="18"/>
        </w:rPr>
        <w:t>first</w:t>
      </w:r>
      <w:r>
        <w:rPr>
          <w:spacing w:val="-7"/>
          <w:sz w:val="18"/>
        </w:rPr>
        <w:t xml:space="preserve"> </w:t>
      </w:r>
      <w:r>
        <w:rPr>
          <w:sz w:val="18"/>
        </w:rPr>
        <w:t>written</w:t>
      </w:r>
      <w:r>
        <w:rPr>
          <w:spacing w:val="-8"/>
          <w:sz w:val="18"/>
        </w:rPr>
        <w:t xml:space="preserve"> </w:t>
      </w:r>
      <w:r>
        <w:rPr>
          <w:sz w:val="18"/>
        </w:rPr>
        <w:t>submission,</w:t>
      </w:r>
      <w:r>
        <w:rPr>
          <w:spacing w:val="-6"/>
          <w:sz w:val="18"/>
        </w:rPr>
        <w:t xml:space="preserve"> </w:t>
      </w:r>
      <w:r>
        <w:rPr>
          <w:sz w:val="18"/>
        </w:rPr>
        <w:t>paras.</w:t>
      </w:r>
      <w:r>
        <w:rPr>
          <w:spacing w:val="-7"/>
          <w:sz w:val="18"/>
        </w:rPr>
        <w:t xml:space="preserve"> </w:t>
      </w:r>
      <w:r>
        <w:rPr>
          <w:sz w:val="18"/>
        </w:rPr>
        <w:t>354-360,</w:t>
      </w:r>
      <w:r>
        <w:rPr>
          <w:spacing w:val="-6"/>
          <w:sz w:val="18"/>
        </w:rPr>
        <w:t xml:space="preserve"> </w:t>
      </w:r>
      <w:r>
        <w:rPr>
          <w:sz w:val="18"/>
        </w:rPr>
        <w:t>400-407,</w:t>
      </w:r>
      <w:r>
        <w:rPr>
          <w:spacing w:val="-7"/>
          <w:sz w:val="18"/>
        </w:rPr>
        <w:t xml:space="preserve"> </w:t>
      </w:r>
      <w:r>
        <w:rPr>
          <w:sz w:val="18"/>
        </w:rPr>
        <w:t>and</w:t>
      </w:r>
      <w:r>
        <w:rPr>
          <w:spacing w:val="-8"/>
          <w:sz w:val="18"/>
        </w:rPr>
        <w:t xml:space="preserve"> </w:t>
      </w:r>
      <w:r>
        <w:rPr>
          <w:sz w:val="18"/>
        </w:rPr>
        <w:t>459.</w:t>
      </w:r>
      <w:r>
        <w:rPr>
          <w:spacing w:val="-11"/>
          <w:sz w:val="18"/>
        </w:rPr>
        <w:t xml:space="preserve"> </w:t>
      </w:r>
      <w:r>
        <w:rPr>
          <w:sz w:val="18"/>
        </w:rPr>
        <w:t>See</w:t>
      </w:r>
      <w:r>
        <w:rPr>
          <w:spacing w:val="-3"/>
          <w:sz w:val="18"/>
        </w:rPr>
        <w:t xml:space="preserve"> </w:t>
      </w:r>
      <w:r>
        <w:rPr>
          <w:sz w:val="18"/>
        </w:rPr>
        <w:t>also</w:t>
      </w:r>
      <w:r>
        <w:rPr>
          <w:spacing w:val="-9"/>
          <w:sz w:val="18"/>
        </w:rPr>
        <w:t xml:space="preserve"> </w:t>
      </w:r>
      <w:r>
        <w:rPr>
          <w:sz w:val="18"/>
        </w:rPr>
        <w:t>China's</w:t>
      </w:r>
      <w:r>
        <w:rPr>
          <w:spacing w:val="-8"/>
          <w:sz w:val="18"/>
        </w:rPr>
        <w:t xml:space="preserve"> </w:t>
      </w:r>
      <w:r>
        <w:rPr>
          <w:sz w:val="18"/>
        </w:rPr>
        <w:t>opening</w:t>
      </w:r>
      <w:r>
        <w:rPr>
          <w:spacing w:val="-8"/>
          <w:sz w:val="18"/>
        </w:rPr>
        <w:t xml:space="preserve"> </w:t>
      </w:r>
      <w:r>
        <w:rPr>
          <w:sz w:val="18"/>
        </w:rPr>
        <w:t>statement</w:t>
      </w:r>
      <w:r>
        <w:rPr>
          <w:spacing w:val="-7"/>
          <w:sz w:val="18"/>
        </w:rPr>
        <w:t xml:space="preserve"> </w:t>
      </w:r>
      <w:r>
        <w:rPr>
          <w:sz w:val="18"/>
        </w:rPr>
        <w:t>at</w:t>
      </w:r>
      <w:r>
        <w:rPr>
          <w:spacing w:val="-7"/>
          <w:sz w:val="18"/>
        </w:rPr>
        <w:t xml:space="preserve"> </w:t>
      </w:r>
      <w:r>
        <w:rPr>
          <w:sz w:val="18"/>
        </w:rPr>
        <w:t>the</w:t>
      </w:r>
      <w:r>
        <w:rPr>
          <w:spacing w:val="-12"/>
          <w:sz w:val="18"/>
        </w:rPr>
        <w:t xml:space="preserve"> </w:t>
      </w:r>
      <w:r>
        <w:rPr>
          <w:sz w:val="18"/>
        </w:rPr>
        <w:t>first</w:t>
      </w:r>
      <w:r>
        <w:rPr>
          <w:spacing w:val="-3"/>
          <w:sz w:val="18"/>
        </w:rPr>
        <w:t xml:space="preserve"> </w:t>
      </w:r>
      <w:r>
        <w:rPr>
          <w:sz w:val="18"/>
        </w:rPr>
        <w:t>meeting of the Panel, para. 36.</w:t>
      </w:r>
    </w:p>
    <w:p w14:paraId="46272685" w14:textId="77777777" w:rsidR="00BD462C" w:rsidRDefault="00033D0F">
      <w:pPr>
        <w:spacing w:before="2"/>
        <w:ind w:left="135"/>
        <w:rPr>
          <w:sz w:val="18"/>
        </w:rPr>
      </w:pPr>
      <w:bookmarkStart w:id="321" w:name="_bookmark277"/>
      <w:bookmarkEnd w:id="321"/>
      <w:r>
        <w:rPr>
          <w:position w:val="5"/>
          <w:sz w:val="12"/>
        </w:rPr>
        <w:t>215</w:t>
      </w:r>
      <w:r>
        <w:rPr>
          <w:spacing w:val="13"/>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 xml:space="preserve">para. </w:t>
      </w:r>
      <w:r>
        <w:rPr>
          <w:spacing w:val="-4"/>
          <w:sz w:val="18"/>
        </w:rPr>
        <w:t>362.</w:t>
      </w:r>
    </w:p>
    <w:p w14:paraId="66FD85F8" w14:textId="77777777" w:rsidR="00BD462C" w:rsidRDefault="00BD462C">
      <w:pPr>
        <w:rPr>
          <w:sz w:val="18"/>
        </w:rPr>
        <w:sectPr w:rsidR="00BD462C">
          <w:pgSz w:w="11910" w:h="16840"/>
          <w:pgMar w:top="860" w:right="500" w:bottom="780" w:left="1280" w:header="566" w:footer="590" w:gutter="0"/>
          <w:cols w:space="720"/>
        </w:sectPr>
      </w:pPr>
    </w:p>
    <w:p w14:paraId="27096A24"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2F39A1E6"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5104BE95"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3E1045A7" w14:textId="77777777" w:rsidR="00BD462C" w:rsidRDefault="00033D0F">
      <w:pPr>
        <w:pStyle w:val="Heading3"/>
        <w:numPr>
          <w:ilvl w:val="0"/>
          <w:numId w:val="3"/>
        </w:numPr>
        <w:tabs>
          <w:tab w:val="left" w:pos="2689"/>
          <w:tab w:val="left" w:pos="2690"/>
        </w:tabs>
      </w:pPr>
      <w:bookmarkStart w:id="322" w:name="3._There_was_no_necessary_information_mi"/>
      <w:bookmarkStart w:id="323" w:name="_bookmark278"/>
      <w:bookmarkEnd w:id="322"/>
      <w:bookmarkEnd w:id="323"/>
      <w:r>
        <w:t>There</w:t>
      </w:r>
      <w:r>
        <w:rPr>
          <w:spacing w:val="-5"/>
        </w:rPr>
        <w:t xml:space="preserve"> </w:t>
      </w:r>
      <w:r>
        <w:t>was</w:t>
      </w:r>
      <w:r>
        <w:rPr>
          <w:spacing w:val="-4"/>
        </w:rPr>
        <w:t xml:space="preserve"> </w:t>
      </w:r>
      <w:r>
        <w:t>no</w:t>
      </w:r>
      <w:r>
        <w:rPr>
          <w:spacing w:val="-3"/>
        </w:rPr>
        <w:t xml:space="preserve"> </w:t>
      </w:r>
      <w:r>
        <w:t>necessary</w:t>
      </w:r>
      <w:r>
        <w:rPr>
          <w:spacing w:val="-2"/>
        </w:rPr>
        <w:t xml:space="preserve"> </w:t>
      </w:r>
      <w:r>
        <w:t>information</w:t>
      </w:r>
      <w:r>
        <w:rPr>
          <w:spacing w:val="-3"/>
        </w:rPr>
        <w:t xml:space="preserve"> </w:t>
      </w:r>
      <w:r>
        <w:t>missing</w:t>
      </w:r>
      <w:r>
        <w:rPr>
          <w:spacing w:val="-3"/>
        </w:rPr>
        <w:t xml:space="preserve"> </w:t>
      </w:r>
      <w:r>
        <w:t>from</w:t>
      </w:r>
      <w:r>
        <w:rPr>
          <w:spacing w:val="-2"/>
        </w:rPr>
        <w:t xml:space="preserve"> </w:t>
      </w:r>
      <w:r>
        <w:t>the</w:t>
      </w:r>
      <w:r>
        <w:rPr>
          <w:spacing w:val="-4"/>
        </w:rPr>
        <w:t xml:space="preserve"> </w:t>
      </w:r>
      <w:r>
        <w:rPr>
          <w:spacing w:val="-2"/>
        </w:rPr>
        <w:t>record</w:t>
      </w:r>
    </w:p>
    <w:p w14:paraId="114CE43F" w14:textId="77777777" w:rsidR="00BD462C" w:rsidRDefault="00BD462C">
      <w:pPr>
        <w:pStyle w:val="BodyText"/>
        <w:spacing w:before="7"/>
        <w:rPr>
          <w:b/>
          <w:sz w:val="20"/>
        </w:rPr>
      </w:pPr>
    </w:p>
    <w:p w14:paraId="4DDD10CA" w14:textId="1E342B63" w:rsidR="00BD462C" w:rsidRDefault="00033D0F" w:rsidP="00A83285">
      <w:pPr>
        <w:pStyle w:val="BodyText"/>
        <w:numPr>
          <w:ilvl w:val="0"/>
          <w:numId w:val="69"/>
        </w:numPr>
        <w:spacing w:before="56" w:line="360" w:lineRule="auto"/>
        <w:ind w:right="911"/>
        <w:jc w:val="both"/>
      </w:pPr>
      <w:r>
        <w:rPr>
          <w:position w:val="1"/>
        </w:rPr>
        <w:t xml:space="preserve">Australia maintains that there was no "necessary" information relating to cost of </w:t>
      </w:r>
      <w:r>
        <w:t>production missing from the record when the valid explanations and supplementary information submitted by Treasury Wines (within a reasonable time while acting to the best of its ability) are accounted for. China's submissions do not rebut Australia's position.</w:t>
      </w:r>
    </w:p>
    <w:p w14:paraId="34D9EF4C" w14:textId="77777777" w:rsidR="00BD462C" w:rsidRDefault="00033D0F">
      <w:pPr>
        <w:pStyle w:val="ListParagraph"/>
        <w:numPr>
          <w:ilvl w:val="1"/>
          <w:numId w:val="3"/>
        </w:numPr>
        <w:tabs>
          <w:tab w:val="left" w:pos="3539"/>
          <w:tab w:val="left" w:pos="3540"/>
        </w:tabs>
        <w:spacing w:before="158"/>
        <w:ind w:hanging="851"/>
        <w:jc w:val="both"/>
        <w:rPr>
          <w:sz w:val="24"/>
        </w:rPr>
      </w:pPr>
      <w:bookmarkStart w:id="324" w:name="(a)_Forms_6-1-1_and_6-1-2"/>
      <w:bookmarkEnd w:id="324"/>
      <w:r>
        <w:rPr>
          <w:sz w:val="24"/>
          <w:u w:val="single"/>
        </w:rPr>
        <w:t>Forms</w:t>
      </w:r>
      <w:r>
        <w:rPr>
          <w:spacing w:val="-3"/>
          <w:sz w:val="24"/>
          <w:u w:val="single"/>
        </w:rPr>
        <w:t xml:space="preserve"> </w:t>
      </w:r>
      <w:r>
        <w:rPr>
          <w:sz w:val="24"/>
          <w:u w:val="single"/>
        </w:rPr>
        <w:t>6-1-1</w:t>
      </w:r>
      <w:r>
        <w:rPr>
          <w:spacing w:val="-7"/>
          <w:sz w:val="24"/>
          <w:u w:val="single"/>
        </w:rPr>
        <w:t xml:space="preserve"> </w:t>
      </w:r>
      <w:r>
        <w:rPr>
          <w:sz w:val="24"/>
          <w:u w:val="single"/>
        </w:rPr>
        <w:t>and</w:t>
      </w:r>
      <w:r>
        <w:rPr>
          <w:spacing w:val="-1"/>
          <w:sz w:val="24"/>
          <w:u w:val="single"/>
        </w:rPr>
        <w:t xml:space="preserve"> </w:t>
      </w:r>
      <w:r>
        <w:rPr>
          <w:sz w:val="24"/>
          <w:u w:val="single"/>
        </w:rPr>
        <w:t>6-1-</w:t>
      </w:r>
      <w:r>
        <w:rPr>
          <w:spacing w:val="-10"/>
          <w:sz w:val="24"/>
          <w:u w:val="single"/>
        </w:rPr>
        <w:t>2</w:t>
      </w:r>
    </w:p>
    <w:p w14:paraId="27BE0F40" w14:textId="77777777" w:rsidR="00BD462C" w:rsidRDefault="00BD462C">
      <w:pPr>
        <w:pStyle w:val="BodyText"/>
        <w:spacing w:before="11"/>
        <w:rPr>
          <w:sz w:val="20"/>
        </w:rPr>
      </w:pPr>
    </w:p>
    <w:p w14:paraId="415BDF85" w14:textId="02D66101" w:rsidR="00BD462C" w:rsidRDefault="00033D0F" w:rsidP="00A83285">
      <w:pPr>
        <w:pStyle w:val="BodyText"/>
        <w:numPr>
          <w:ilvl w:val="0"/>
          <w:numId w:val="69"/>
        </w:numPr>
        <w:spacing w:before="56" w:line="360" w:lineRule="auto"/>
        <w:ind w:right="912"/>
        <w:jc w:val="both"/>
      </w:pPr>
      <w:r>
        <w:rPr>
          <w:position w:val="1"/>
        </w:rPr>
        <w:t>China</w:t>
      </w:r>
      <w:r>
        <w:rPr>
          <w:spacing w:val="-7"/>
          <w:position w:val="1"/>
        </w:rPr>
        <w:t xml:space="preserve"> </w:t>
      </w:r>
      <w:r>
        <w:rPr>
          <w:position w:val="1"/>
        </w:rPr>
        <w:t>agrees</w:t>
      </w:r>
      <w:r>
        <w:rPr>
          <w:spacing w:val="-5"/>
          <w:position w:val="1"/>
        </w:rPr>
        <w:t xml:space="preserve"> </w:t>
      </w:r>
      <w:r>
        <w:rPr>
          <w:position w:val="1"/>
        </w:rPr>
        <w:t>with</w:t>
      </w:r>
      <w:r>
        <w:rPr>
          <w:spacing w:val="-8"/>
          <w:position w:val="1"/>
        </w:rPr>
        <w:t xml:space="preserve"> </w:t>
      </w:r>
      <w:r>
        <w:rPr>
          <w:position w:val="1"/>
        </w:rPr>
        <w:t>Australia</w:t>
      </w:r>
      <w:r>
        <w:rPr>
          <w:spacing w:val="-7"/>
          <w:position w:val="1"/>
        </w:rPr>
        <w:t xml:space="preserve"> </w:t>
      </w:r>
      <w:r>
        <w:rPr>
          <w:position w:val="1"/>
        </w:rPr>
        <w:t>that</w:t>
      </w:r>
      <w:r>
        <w:rPr>
          <w:spacing w:val="-6"/>
          <w:position w:val="1"/>
        </w:rPr>
        <w:t xml:space="preserve"> </w:t>
      </w:r>
      <w:r>
        <w:rPr>
          <w:position w:val="1"/>
        </w:rPr>
        <w:t>the</w:t>
      </w:r>
      <w:r>
        <w:rPr>
          <w:spacing w:val="-6"/>
          <w:position w:val="1"/>
        </w:rPr>
        <w:t xml:space="preserve"> </w:t>
      </w:r>
      <w:r>
        <w:rPr>
          <w:position w:val="1"/>
        </w:rPr>
        <w:t>data</w:t>
      </w:r>
      <w:r>
        <w:rPr>
          <w:spacing w:val="-7"/>
          <w:position w:val="1"/>
        </w:rPr>
        <w:t xml:space="preserve"> </w:t>
      </w:r>
      <w:r>
        <w:rPr>
          <w:position w:val="1"/>
        </w:rPr>
        <w:t>in</w:t>
      </w:r>
      <w:r>
        <w:rPr>
          <w:spacing w:val="-8"/>
          <w:position w:val="1"/>
        </w:rPr>
        <w:t xml:space="preserve"> </w:t>
      </w:r>
      <w:r>
        <w:rPr>
          <w:position w:val="1"/>
        </w:rPr>
        <w:t>these</w:t>
      </w:r>
      <w:r>
        <w:rPr>
          <w:spacing w:val="-6"/>
          <w:position w:val="1"/>
        </w:rPr>
        <w:t xml:space="preserve"> </w:t>
      </w:r>
      <w:r>
        <w:rPr>
          <w:position w:val="1"/>
        </w:rPr>
        <w:t>forms</w:t>
      </w:r>
      <w:r>
        <w:rPr>
          <w:spacing w:val="-5"/>
          <w:position w:val="1"/>
        </w:rPr>
        <w:t xml:space="preserve"> </w:t>
      </w:r>
      <w:r>
        <w:rPr>
          <w:position w:val="1"/>
        </w:rPr>
        <w:t>is</w:t>
      </w:r>
      <w:r>
        <w:rPr>
          <w:spacing w:val="-5"/>
          <w:position w:val="1"/>
        </w:rPr>
        <w:t xml:space="preserve"> </w:t>
      </w:r>
      <w:r>
        <w:rPr>
          <w:position w:val="1"/>
        </w:rPr>
        <w:t>not</w:t>
      </w:r>
      <w:r>
        <w:rPr>
          <w:spacing w:val="-1"/>
          <w:position w:val="1"/>
        </w:rPr>
        <w:t xml:space="preserve"> </w:t>
      </w:r>
      <w:r>
        <w:rPr>
          <w:position w:val="1"/>
        </w:rPr>
        <w:t>used</w:t>
      </w:r>
      <w:r>
        <w:rPr>
          <w:spacing w:val="-8"/>
          <w:position w:val="1"/>
        </w:rPr>
        <w:t xml:space="preserve"> </w:t>
      </w:r>
      <w:r>
        <w:rPr>
          <w:position w:val="1"/>
        </w:rPr>
        <w:t>in</w:t>
      </w:r>
      <w:r>
        <w:rPr>
          <w:spacing w:val="-8"/>
          <w:position w:val="1"/>
        </w:rPr>
        <w:t xml:space="preserve"> </w:t>
      </w:r>
      <w:r>
        <w:rPr>
          <w:position w:val="1"/>
        </w:rPr>
        <w:t>the</w:t>
      </w:r>
      <w:r>
        <w:rPr>
          <w:spacing w:val="-2"/>
          <w:position w:val="1"/>
        </w:rPr>
        <w:t xml:space="preserve"> </w:t>
      </w:r>
      <w:r>
        <w:rPr>
          <w:position w:val="1"/>
        </w:rPr>
        <w:t xml:space="preserve">calculation </w:t>
      </w:r>
      <w:r>
        <w:t>of cost of production but argues that it is necessary to verify cost of production data.</w:t>
      </w:r>
      <w:r>
        <w:rPr>
          <w:spacing w:val="-14"/>
        </w:rPr>
        <w:t xml:space="preserve"> </w:t>
      </w:r>
      <w:hyperlink w:anchor="_bookmark279" w:history="1">
        <w:r>
          <w:rPr>
            <w:vertAlign w:val="superscript"/>
          </w:rPr>
          <w:t>216</w:t>
        </w:r>
      </w:hyperlink>
      <w:r>
        <w:t xml:space="preserve"> Treasury Wines explained to MOFCOM that the cost of production data could be verified by direct reference to Treasury Wines' accounting system.</w:t>
      </w:r>
      <w:hyperlink w:anchor="_bookmark280" w:history="1">
        <w:r>
          <w:rPr>
            <w:vertAlign w:val="superscript"/>
          </w:rPr>
          <w:t>217</w:t>
        </w:r>
      </w:hyperlink>
      <w:r>
        <w:t xml:space="preserve"> Thus, the absence in the forms of the beginning and ending inventories and consumption data does not mean that the cost of production data provided by Treasury Wines was unverifiable. Moreover, Treasury</w:t>
      </w:r>
      <w:r>
        <w:rPr>
          <w:spacing w:val="-2"/>
        </w:rPr>
        <w:t xml:space="preserve"> </w:t>
      </w:r>
      <w:r>
        <w:t xml:space="preserve">Wines provided valid reasons why the data could not be provided within the investigation </w:t>
      </w:r>
      <w:proofErr w:type="gramStart"/>
      <w:r>
        <w:t>timeline</w:t>
      </w:r>
      <w:proofErr w:type="gramEnd"/>
      <w:r>
        <w:t xml:space="preserve"> and</w:t>
      </w:r>
      <w:r>
        <w:rPr>
          <w:spacing w:val="-3"/>
        </w:rPr>
        <w:t xml:space="preserve"> </w:t>
      </w:r>
      <w:r>
        <w:t>it</w:t>
      </w:r>
      <w:r>
        <w:rPr>
          <w:spacing w:val="-1"/>
        </w:rPr>
        <w:t xml:space="preserve"> </w:t>
      </w:r>
      <w:r>
        <w:t>provided</w:t>
      </w:r>
      <w:r>
        <w:rPr>
          <w:spacing w:val="-3"/>
        </w:rPr>
        <w:t xml:space="preserve"> </w:t>
      </w:r>
      <w:r>
        <w:t>an</w:t>
      </w:r>
      <w:r>
        <w:rPr>
          <w:spacing w:val="-3"/>
        </w:rPr>
        <w:t xml:space="preserve"> </w:t>
      </w:r>
      <w:r>
        <w:t>alternative</w:t>
      </w:r>
      <w:r>
        <w:rPr>
          <w:spacing w:val="-1"/>
        </w:rPr>
        <w:t xml:space="preserve"> </w:t>
      </w:r>
      <w:r>
        <w:t>means to</w:t>
      </w:r>
      <w:r>
        <w:rPr>
          <w:spacing w:val="-4"/>
        </w:rPr>
        <w:t xml:space="preserve"> </w:t>
      </w:r>
      <w:r>
        <w:t>verify the</w:t>
      </w:r>
      <w:r>
        <w:rPr>
          <w:spacing w:val="-2"/>
        </w:rPr>
        <w:t xml:space="preserve"> </w:t>
      </w:r>
      <w:r>
        <w:t>cost</w:t>
      </w:r>
      <w:r>
        <w:rPr>
          <w:spacing w:val="-1"/>
        </w:rPr>
        <w:t xml:space="preserve"> </w:t>
      </w:r>
      <w:r>
        <w:t>of</w:t>
      </w:r>
      <w:r>
        <w:rPr>
          <w:spacing w:val="-3"/>
        </w:rPr>
        <w:t xml:space="preserve"> </w:t>
      </w:r>
      <w:r>
        <w:t>production</w:t>
      </w:r>
      <w:r>
        <w:rPr>
          <w:spacing w:val="-3"/>
        </w:rPr>
        <w:t xml:space="preserve"> </w:t>
      </w:r>
      <w:r>
        <w:t>data. If</w:t>
      </w:r>
      <w:r>
        <w:rPr>
          <w:spacing w:val="-3"/>
        </w:rPr>
        <w:t xml:space="preserve"> </w:t>
      </w:r>
      <w:r>
        <w:t>an</w:t>
      </w:r>
      <w:r>
        <w:rPr>
          <w:spacing w:val="-3"/>
        </w:rPr>
        <w:t xml:space="preserve"> </w:t>
      </w:r>
      <w:r>
        <w:t>unbiased</w:t>
      </w:r>
      <w:r>
        <w:rPr>
          <w:spacing w:val="-3"/>
        </w:rPr>
        <w:t xml:space="preserve"> </w:t>
      </w:r>
      <w:r>
        <w:t>and objective investigating authority was of the view that the common practice of verification through direct reference to an interested party's accounting system was not acceptable, it would have communicated this to the interested party so that any perceived deficiencies could be addressed. There is no evidence that MOFCOM did this. In these circumstances, MOFCOM</w:t>
      </w:r>
      <w:r>
        <w:rPr>
          <w:spacing w:val="-1"/>
        </w:rPr>
        <w:t xml:space="preserve"> </w:t>
      </w:r>
      <w:r>
        <w:t>was not</w:t>
      </w:r>
      <w:r>
        <w:rPr>
          <w:spacing w:val="-1"/>
        </w:rPr>
        <w:t xml:space="preserve"> </w:t>
      </w:r>
      <w:r>
        <w:t>justified</w:t>
      </w:r>
      <w:r>
        <w:rPr>
          <w:spacing w:val="-3"/>
        </w:rPr>
        <w:t xml:space="preserve"> </w:t>
      </w:r>
      <w:r>
        <w:t>in</w:t>
      </w:r>
      <w:r>
        <w:rPr>
          <w:spacing w:val="-3"/>
        </w:rPr>
        <w:t xml:space="preserve"> </w:t>
      </w:r>
      <w:r>
        <w:t>resorting to</w:t>
      </w:r>
      <w:r>
        <w:rPr>
          <w:spacing w:val="-4"/>
        </w:rPr>
        <w:t xml:space="preserve"> </w:t>
      </w:r>
      <w:r>
        <w:t>facts available</w:t>
      </w:r>
      <w:r>
        <w:rPr>
          <w:spacing w:val="-1"/>
        </w:rPr>
        <w:t xml:space="preserve"> </w:t>
      </w:r>
      <w:r>
        <w:t>in</w:t>
      </w:r>
      <w:r>
        <w:rPr>
          <w:spacing w:val="-3"/>
        </w:rPr>
        <w:t xml:space="preserve"> </w:t>
      </w:r>
      <w:r>
        <w:t>respect of</w:t>
      </w:r>
      <w:r>
        <w:rPr>
          <w:spacing w:val="-3"/>
        </w:rPr>
        <w:t xml:space="preserve"> </w:t>
      </w:r>
      <w:r>
        <w:t>Forms 6-1-1 and 6-1-2. To the extent that it relied on these forms in resorting to facts available, MOFCOM acted inconsistently with Article 6.8.</w:t>
      </w:r>
    </w:p>
    <w:p w14:paraId="7C9ABFEA" w14:textId="77777777" w:rsidR="00BD462C" w:rsidRDefault="00033D0F">
      <w:pPr>
        <w:pStyle w:val="ListParagraph"/>
        <w:numPr>
          <w:ilvl w:val="1"/>
          <w:numId w:val="3"/>
        </w:numPr>
        <w:tabs>
          <w:tab w:val="left" w:pos="3539"/>
          <w:tab w:val="left" w:pos="3540"/>
        </w:tabs>
        <w:spacing w:before="157"/>
        <w:ind w:hanging="851"/>
        <w:jc w:val="both"/>
        <w:rPr>
          <w:sz w:val="24"/>
        </w:rPr>
      </w:pPr>
      <w:bookmarkStart w:id="325" w:name="(b)_Forms_6-3_and_6-4"/>
      <w:bookmarkEnd w:id="325"/>
      <w:r>
        <w:rPr>
          <w:sz w:val="24"/>
          <w:u w:val="single"/>
        </w:rPr>
        <w:t>Forms</w:t>
      </w:r>
      <w:r>
        <w:rPr>
          <w:spacing w:val="-2"/>
          <w:sz w:val="24"/>
          <w:u w:val="single"/>
        </w:rPr>
        <w:t xml:space="preserve"> </w:t>
      </w:r>
      <w:r>
        <w:rPr>
          <w:sz w:val="24"/>
          <w:u w:val="single"/>
        </w:rPr>
        <w:t>6-3</w:t>
      </w:r>
      <w:r>
        <w:rPr>
          <w:spacing w:val="-6"/>
          <w:sz w:val="24"/>
          <w:u w:val="single"/>
        </w:rPr>
        <w:t xml:space="preserve"> </w:t>
      </w:r>
      <w:r>
        <w:rPr>
          <w:sz w:val="24"/>
          <w:u w:val="single"/>
        </w:rPr>
        <w:t>and</w:t>
      </w:r>
      <w:r>
        <w:rPr>
          <w:spacing w:val="1"/>
          <w:sz w:val="24"/>
          <w:u w:val="single"/>
        </w:rPr>
        <w:t xml:space="preserve"> </w:t>
      </w:r>
      <w:r>
        <w:rPr>
          <w:sz w:val="24"/>
          <w:u w:val="single"/>
        </w:rPr>
        <w:t>6-</w:t>
      </w:r>
      <w:r>
        <w:rPr>
          <w:spacing w:val="-10"/>
          <w:sz w:val="24"/>
          <w:u w:val="single"/>
        </w:rPr>
        <w:t>4</w:t>
      </w:r>
    </w:p>
    <w:p w14:paraId="57C1629A" w14:textId="77777777" w:rsidR="00BD462C" w:rsidRDefault="00BD462C">
      <w:pPr>
        <w:pStyle w:val="BodyText"/>
        <w:spacing w:before="7"/>
        <w:rPr>
          <w:sz w:val="20"/>
        </w:rPr>
      </w:pPr>
    </w:p>
    <w:p w14:paraId="172B74F8" w14:textId="28C765E3" w:rsidR="00BD462C" w:rsidRPr="00A83285" w:rsidRDefault="00033D0F" w:rsidP="00A83285">
      <w:pPr>
        <w:pStyle w:val="BodyText"/>
        <w:numPr>
          <w:ilvl w:val="0"/>
          <w:numId w:val="69"/>
        </w:numPr>
        <w:spacing w:before="56" w:line="360" w:lineRule="auto"/>
        <w:ind w:right="911"/>
        <w:jc w:val="both"/>
        <w:rPr>
          <w:sz w:val="20"/>
        </w:rPr>
      </w:pPr>
      <w:r w:rsidRPr="00A83285">
        <w:rPr>
          <w:position w:val="1"/>
        </w:rPr>
        <w:t xml:space="preserve">As explained above, Treasury Wines provided the cost of production and expense </w:t>
      </w:r>
      <w:r>
        <w:t>information</w:t>
      </w:r>
      <w:r w:rsidRPr="00A83285">
        <w:rPr>
          <w:spacing w:val="-4"/>
        </w:rPr>
        <w:t xml:space="preserve"> </w:t>
      </w:r>
      <w:r>
        <w:t>in</w:t>
      </w:r>
      <w:r w:rsidRPr="00A83285">
        <w:rPr>
          <w:spacing w:val="-4"/>
        </w:rPr>
        <w:t xml:space="preserve"> </w:t>
      </w:r>
      <w:r>
        <w:t>these</w:t>
      </w:r>
      <w:r w:rsidRPr="00A83285">
        <w:rPr>
          <w:spacing w:val="-2"/>
        </w:rPr>
        <w:t xml:space="preserve"> </w:t>
      </w:r>
      <w:r>
        <w:t>forms</w:t>
      </w:r>
      <w:r w:rsidRPr="00A83285">
        <w:rPr>
          <w:spacing w:val="-1"/>
        </w:rPr>
        <w:t xml:space="preserve"> </w:t>
      </w:r>
      <w:r>
        <w:t>for</w:t>
      </w:r>
      <w:r w:rsidRPr="00A83285">
        <w:rPr>
          <w:spacing w:val="-5"/>
        </w:rPr>
        <w:t xml:space="preserve"> </w:t>
      </w:r>
      <w:r>
        <w:t>all PCNs</w:t>
      </w:r>
      <w:r w:rsidRPr="00A83285">
        <w:rPr>
          <w:spacing w:val="-1"/>
        </w:rPr>
        <w:t xml:space="preserve"> </w:t>
      </w:r>
      <w:r>
        <w:t>sold</w:t>
      </w:r>
      <w:r w:rsidRPr="00A83285">
        <w:rPr>
          <w:spacing w:val="-4"/>
        </w:rPr>
        <w:t xml:space="preserve"> </w:t>
      </w:r>
      <w:r>
        <w:t>in</w:t>
      </w:r>
      <w:r w:rsidRPr="00A83285">
        <w:rPr>
          <w:spacing w:val="-4"/>
        </w:rPr>
        <w:t xml:space="preserve"> </w:t>
      </w:r>
      <w:r>
        <w:t>the</w:t>
      </w:r>
      <w:r w:rsidRPr="00A83285">
        <w:rPr>
          <w:spacing w:val="-7"/>
        </w:rPr>
        <w:t xml:space="preserve"> </w:t>
      </w:r>
      <w:r>
        <w:t>domestic</w:t>
      </w:r>
      <w:r w:rsidRPr="00A83285">
        <w:rPr>
          <w:spacing w:val="-4"/>
        </w:rPr>
        <w:t xml:space="preserve"> </w:t>
      </w:r>
      <w:r>
        <w:t>market</w:t>
      </w:r>
      <w:r w:rsidRPr="00A83285">
        <w:rPr>
          <w:spacing w:val="-2"/>
        </w:rPr>
        <w:t xml:space="preserve"> </w:t>
      </w:r>
      <w:r>
        <w:t>that</w:t>
      </w:r>
      <w:r w:rsidRPr="00A83285">
        <w:rPr>
          <w:spacing w:val="-2"/>
        </w:rPr>
        <w:t xml:space="preserve"> </w:t>
      </w:r>
      <w:r>
        <w:t>were</w:t>
      </w:r>
      <w:r w:rsidRPr="00A83285">
        <w:rPr>
          <w:spacing w:val="-2"/>
        </w:rPr>
        <w:t xml:space="preserve"> </w:t>
      </w:r>
      <w:r>
        <w:t>"like"</w:t>
      </w:r>
      <w:r w:rsidRPr="00A83285">
        <w:rPr>
          <w:spacing w:val="-3"/>
        </w:rPr>
        <w:t xml:space="preserve"> </w:t>
      </w:r>
      <w:r>
        <w:t>the</w:t>
      </w:r>
      <w:r w:rsidRPr="00A83285">
        <w:rPr>
          <w:spacing w:val="-2"/>
        </w:rPr>
        <w:t xml:space="preserve"> </w:t>
      </w:r>
      <w:r>
        <w:t xml:space="preserve">PCNs of the wine exported to China. Since MOFCOM determined dumping on a PCN-by-PCN basis, all necessary cost of production information was provided. </w:t>
      </w:r>
    </w:p>
    <w:p w14:paraId="79331100" w14:textId="6ECB20C3" w:rsidR="00BD462C" w:rsidRDefault="0084302F">
      <w:pPr>
        <w:pStyle w:val="BodyText"/>
        <w:spacing w:before="8"/>
        <w:rPr>
          <w:sz w:val="17"/>
        </w:rPr>
      </w:pPr>
      <w:r>
        <w:rPr>
          <w:noProof/>
        </w:rPr>
        <mc:AlternateContent>
          <mc:Choice Requires="wps">
            <w:drawing>
              <wp:anchor distT="0" distB="0" distL="0" distR="0" simplePos="0" relativeHeight="488022528" behindDoc="1" locked="0" layoutInCell="1" allowOverlap="1" wp14:anchorId="01B4BEAC" wp14:editId="5FF5ED05">
                <wp:simplePos x="0" y="0"/>
                <wp:positionH relativeFrom="page">
                  <wp:posOffset>812800</wp:posOffset>
                </wp:positionH>
                <wp:positionV relativeFrom="paragraph">
                  <wp:posOffset>140970</wp:posOffset>
                </wp:positionV>
                <wp:extent cx="1828800" cy="8890"/>
                <wp:effectExtent l="0" t="0" r="0" b="0"/>
                <wp:wrapTopAndBottom/>
                <wp:docPr id="1436" name="docshape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DD56C4" id="docshape113" o:spid="_x0000_s1026" alt="&quot;&quot;" style="position:absolute;margin-left:64pt;margin-top:11.1pt;width:2in;height:.7pt;z-index:-15293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" fillcolor="black" stroked="f">
                <w10:wrap type="topAndBottom" anchorx="page"/>
              </v:rect>
            </w:pict>
          </mc:Fallback>
        </mc:AlternateContent>
      </w:r>
    </w:p>
    <w:p w14:paraId="37203512" w14:textId="77777777" w:rsidR="00BD462C" w:rsidRDefault="00033D0F">
      <w:pPr>
        <w:spacing w:before="112"/>
        <w:ind w:left="135"/>
        <w:rPr>
          <w:sz w:val="18"/>
        </w:rPr>
      </w:pPr>
      <w:r>
        <w:rPr>
          <w:position w:val="5"/>
          <w:sz w:val="12"/>
        </w:rPr>
        <w:t>216</w:t>
      </w:r>
      <w:r>
        <w:rPr>
          <w:spacing w:val="11"/>
          <w:position w:val="5"/>
          <w:sz w:val="12"/>
        </w:rPr>
        <w:t xml:space="preserve"> </w:t>
      </w:r>
      <w:r>
        <w:rPr>
          <w:sz w:val="18"/>
        </w:rPr>
        <w:t>Australia's</w:t>
      </w:r>
      <w:r>
        <w:rPr>
          <w:spacing w:val="-7"/>
          <w:sz w:val="18"/>
        </w:rPr>
        <w:t xml:space="preserve"> </w:t>
      </w:r>
      <w:r>
        <w:rPr>
          <w:sz w:val="18"/>
        </w:rPr>
        <w:t>first</w:t>
      </w:r>
      <w:r>
        <w:rPr>
          <w:spacing w:val="-6"/>
          <w:sz w:val="18"/>
        </w:rPr>
        <w:t xml:space="preserve"> </w:t>
      </w:r>
      <w:r>
        <w:rPr>
          <w:sz w:val="18"/>
        </w:rPr>
        <w:t>written</w:t>
      </w:r>
      <w:r>
        <w:rPr>
          <w:spacing w:val="-4"/>
          <w:sz w:val="18"/>
        </w:rPr>
        <w:t xml:space="preserve"> </w:t>
      </w:r>
      <w:r>
        <w:rPr>
          <w:sz w:val="18"/>
        </w:rPr>
        <w:t>submission,</w:t>
      </w:r>
      <w:r>
        <w:rPr>
          <w:spacing w:val="-1"/>
          <w:sz w:val="18"/>
        </w:rPr>
        <w:t xml:space="preserve"> </w:t>
      </w:r>
      <w:r>
        <w:rPr>
          <w:sz w:val="18"/>
        </w:rPr>
        <w:t>paras.</w:t>
      </w:r>
      <w:r>
        <w:rPr>
          <w:spacing w:val="-6"/>
          <w:sz w:val="18"/>
        </w:rPr>
        <w:t xml:space="preserve"> </w:t>
      </w:r>
      <w:r>
        <w:rPr>
          <w:sz w:val="18"/>
        </w:rPr>
        <w:t>144-156,</w:t>
      </w:r>
      <w:r>
        <w:rPr>
          <w:spacing w:val="-6"/>
          <w:sz w:val="18"/>
        </w:rPr>
        <w:t xml:space="preserve"> </w:t>
      </w:r>
      <w:r>
        <w:rPr>
          <w:sz w:val="18"/>
        </w:rPr>
        <w:t>157-169;</w:t>
      </w:r>
      <w:r>
        <w:rPr>
          <w:spacing w:val="-8"/>
          <w:sz w:val="18"/>
        </w:rPr>
        <w:t xml:space="preserve"> </w:t>
      </w:r>
      <w:r>
        <w:rPr>
          <w:sz w:val="18"/>
        </w:rPr>
        <w:t>China's</w:t>
      </w:r>
      <w:r>
        <w:rPr>
          <w:spacing w:val="-3"/>
          <w:sz w:val="18"/>
        </w:rPr>
        <w:t xml:space="preserve"> </w:t>
      </w:r>
      <w:r>
        <w:rPr>
          <w:sz w:val="18"/>
        </w:rPr>
        <w:t>first</w:t>
      </w:r>
      <w:r>
        <w:rPr>
          <w:spacing w:val="-6"/>
          <w:sz w:val="18"/>
        </w:rPr>
        <w:t xml:space="preserve"> </w:t>
      </w:r>
      <w:r>
        <w:rPr>
          <w:sz w:val="18"/>
        </w:rPr>
        <w:t>written</w:t>
      </w:r>
      <w:r>
        <w:rPr>
          <w:spacing w:val="-8"/>
          <w:sz w:val="18"/>
        </w:rPr>
        <w:t xml:space="preserve"> </w:t>
      </w:r>
      <w:r>
        <w:rPr>
          <w:sz w:val="18"/>
        </w:rPr>
        <w:t>submission,</w:t>
      </w:r>
      <w:r>
        <w:rPr>
          <w:spacing w:val="-5"/>
          <w:sz w:val="18"/>
        </w:rPr>
        <w:t xml:space="preserve"> </w:t>
      </w:r>
      <w:r>
        <w:rPr>
          <w:sz w:val="18"/>
        </w:rPr>
        <w:t>paras.</w:t>
      </w:r>
      <w:r>
        <w:rPr>
          <w:spacing w:val="-2"/>
          <w:sz w:val="18"/>
        </w:rPr>
        <w:t xml:space="preserve"> </w:t>
      </w:r>
      <w:r>
        <w:rPr>
          <w:sz w:val="18"/>
        </w:rPr>
        <w:t>288-290,</w:t>
      </w:r>
      <w:r>
        <w:rPr>
          <w:spacing w:val="-6"/>
          <w:sz w:val="18"/>
        </w:rPr>
        <w:t xml:space="preserve"> </w:t>
      </w:r>
      <w:r>
        <w:rPr>
          <w:spacing w:val="-4"/>
          <w:sz w:val="18"/>
        </w:rPr>
        <w:t>319.</w:t>
      </w:r>
    </w:p>
    <w:p w14:paraId="69A0C7FB" w14:textId="77777777" w:rsidR="00BD462C" w:rsidRDefault="00033D0F">
      <w:pPr>
        <w:spacing w:before="1"/>
        <w:ind w:left="135"/>
        <w:rPr>
          <w:sz w:val="18"/>
        </w:rPr>
      </w:pPr>
      <w:bookmarkStart w:id="326" w:name="_bookmark280"/>
      <w:bookmarkEnd w:id="326"/>
      <w:r>
        <w:rPr>
          <w:position w:val="5"/>
          <w:sz w:val="12"/>
        </w:rPr>
        <w:t>217</w:t>
      </w:r>
      <w:r>
        <w:rPr>
          <w:spacing w:val="12"/>
          <w:position w:val="5"/>
          <w:sz w:val="12"/>
        </w:rPr>
        <w:t xml:space="preserve"> </w:t>
      </w:r>
      <w:r>
        <w:rPr>
          <w:sz w:val="18"/>
        </w:rPr>
        <w:t>Australia's</w:t>
      </w:r>
      <w:r>
        <w:rPr>
          <w:spacing w:val="-7"/>
          <w:sz w:val="18"/>
        </w:rPr>
        <w:t xml:space="preserve"> </w:t>
      </w:r>
      <w:r>
        <w:rPr>
          <w:sz w:val="18"/>
        </w:rPr>
        <w:t>first</w:t>
      </w:r>
      <w:r>
        <w:rPr>
          <w:spacing w:val="-5"/>
          <w:sz w:val="18"/>
        </w:rPr>
        <w:t xml:space="preserve"> </w:t>
      </w:r>
      <w:r>
        <w:rPr>
          <w:sz w:val="18"/>
        </w:rPr>
        <w:t>written</w:t>
      </w:r>
      <w:r>
        <w:rPr>
          <w:spacing w:val="-3"/>
          <w:sz w:val="18"/>
        </w:rPr>
        <w:t xml:space="preserve"> </w:t>
      </w:r>
      <w:r>
        <w:rPr>
          <w:sz w:val="18"/>
        </w:rPr>
        <w:t>submission, paras.</w:t>
      </w:r>
      <w:r>
        <w:rPr>
          <w:spacing w:val="-5"/>
          <w:sz w:val="18"/>
        </w:rPr>
        <w:t xml:space="preserve"> </w:t>
      </w:r>
      <w:r>
        <w:rPr>
          <w:sz w:val="18"/>
        </w:rPr>
        <w:t>145-</w:t>
      </w:r>
      <w:r>
        <w:rPr>
          <w:spacing w:val="-4"/>
          <w:sz w:val="18"/>
        </w:rPr>
        <w:t>146.</w:t>
      </w:r>
    </w:p>
    <w:p w14:paraId="5824DD38" w14:textId="77777777" w:rsidR="00BD462C" w:rsidRDefault="00BD462C">
      <w:pPr>
        <w:rPr>
          <w:sz w:val="18"/>
        </w:rPr>
        <w:sectPr w:rsidR="00BD462C">
          <w:pgSz w:w="11910" w:h="16840"/>
          <w:pgMar w:top="860" w:right="500" w:bottom="780" w:left="1280" w:header="566" w:footer="590" w:gutter="0"/>
          <w:cols w:space="720"/>
        </w:sectPr>
      </w:pPr>
    </w:p>
    <w:p w14:paraId="1947A2E9"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6C4177E5"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26A16F53"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1A38829F" w14:textId="004A4D87" w:rsidR="00BD462C" w:rsidRDefault="005B7350">
      <w:pPr>
        <w:pStyle w:val="BodyText"/>
        <w:spacing w:before="102" w:line="360" w:lineRule="auto"/>
        <w:ind w:left="135" w:right="916"/>
        <w:jc w:val="both"/>
      </w:pPr>
      <w:r>
        <w:t xml:space="preserve">Treasury Wines provided valid explanations for all other deficiencies alleged by MOFCOM including the reconciliation with </w:t>
      </w:r>
      <w:r w:rsidR="00033D0F">
        <w:t>other forms.</w:t>
      </w:r>
      <w:r w:rsidR="00033D0F">
        <w:rPr>
          <w:spacing w:val="-14"/>
        </w:rPr>
        <w:t xml:space="preserve"> </w:t>
      </w:r>
      <w:hyperlink w:anchor="_bookmark283" w:history="1">
        <w:r w:rsidR="00033D0F">
          <w:rPr>
            <w:vertAlign w:val="superscript"/>
          </w:rPr>
          <w:t>218</w:t>
        </w:r>
      </w:hyperlink>
      <w:r w:rsidR="00033D0F">
        <w:t xml:space="preserve"> In these circumstances, MOFCOM was not justified in resorting to facts available in respect of Forms 6-3 and 6-4. To the extent that it relied on these forms in resorting to facts available, MOFCOM acted inconsistently with Article 6.8.</w:t>
      </w:r>
    </w:p>
    <w:p w14:paraId="04F7BB79" w14:textId="77777777" w:rsidR="00BD462C" w:rsidRDefault="00033D0F">
      <w:pPr>
        <w:pStyle w:val="Heading3"/>
        <w:numPr>
          <w:ilvl w:val="0"/>
          <w:numId w:val="3"/>
        </w:numPr>
        <w:tabs>
          <w:tab w:val="left" w:pos="2689"/>
          <w:tab w:val="left" w:pos="2690"/>
        </w:tabs>
        <w:spacing w:before="160"/>
        <w:ind w:hanging="851"/>
      </w:pPr>
      <w:bookmarkStart w:id="327" w:name="_bookmark281"/>
      <w:bookmarkEnd w:id="327"/>
      <w:r>
        <w:t>MOFCOM</w:t>
      </w:r>
      <w:r>
        <w:rPr>
          <w:spacing w:val="-4"/>
        </w:rPr>
        <w:t xml:space="preserve"> </w:t>
      </w:r>
      <w:r>
        <w:t>acted</w:t>
      </w:r>
      <w:r>
        <w:rPr>
          <w:spacing w:val="-3"/>
        </w:rPr>
        <w:t xml:space="preserve"> </w:t>
      </w:r>
      <w:r>
        <w:t>inconsistently</w:t>
      </w:r>
      <w:r>
        <w:rPr>
          <w:spacing w:val="-2"/>
        </w:rPr>
        <w:t xml:space="preserve"> </w:t>
      </w:r>
      <w:r>
        <w:t>with</w:t>
      </w:r>
      <w:r>
        <w:rPr>
          <w:spacing w:val="-3"/>
        </w:rPr>
        <w:t xml:space="preserve"> </w:t>
      </w:r>
      <w:r>
        <w:t>paragraph</w:t>
      </w:r>
      <w:r>
        <w:rPr>
          <w:spacing w:val="-3"/>
        </w:rPr>
        <w:t xml:space="preserve"> </w:t>
      </w:r>
      <w:r>
        <w:t>1</w:t>
      </w:r>
      <w:r>
        <w:rPr>
          <w:spacing w:val="-6"/>
        </w:rPr>
        <w:t xml:space="preserve"> </w:t>
      </w:r>
      <w:r>
        <w:t>of</w:t>
      </w:r>
      <w:r>
        <w:rPr>
          <w:spacing w:val="-3"/>
        </w:rPr>
        <w:t xml:space="preserve"> </w:t>
      </w:r>
      <w:r>
        <w:t>Annex</w:t>
      </w:r>
      <w:r>
        <w:rPr>
          <w:spacing w:val="-4"/>
        </w:rPr>
        <w:t xml:space="preserve"> </w:t>
      </w:r>
      <w:r>
        <w:rPr>
          <w:spacing w:val="-5"/>
        </w:rPr>
        <w:t>II</w:t>
      </w:r>
    </w:p>
    <w:p w14:paraId="2EDFBCCB" w14:textId="77777777" w:rsidR="00BD462C" w:rsidRDefault="00BD462C">
      <w:pPr>
        <w:pStyle w:val="BodyText"/>
        <w:spacing w:before="7"/>
        <w:rPr>
          <w:b/>
          <w:sz w:val="20"/>
        </w:rPr>
      </w:pPr>
    </w:p>
    <w:p w14:paraId="585A7530" w14:textId="01DC5F92" w:rsidR="00BD462C" w:rsidRDefault="00033D0F" w:rsidP="005B7350">
      <w:pPr>
        <w:pStyle w:val="BodyText"/>
        <w:numPr>
          <w:ilvl w:val="0"/>
          <w:numId w:val="69"/>
        </w:numPr>
        <w:spacing w:before="56" w:line="360" w:lineRule="auto"/>
        <w:ind w:right="913"/>
        <w:jc w:val="both"/>
      </w:pPr>
      <w:r>
        <w:rPr>
          <w:position w:val="1"/>
        </w:rPr>
        <w:t xml:space="preserve">China has failed to rebut Australia's claims that MOFCOM acted inconsistently with </w:t>
      </w:r>
      <w:r>
        <w:t>Article</w:t>
      </w:r>
      <w:r>
        <w:rPr>
          <w:spacing w:val="-2"/>
        </w:rPr>
        <w:t xml:space="preserve"> </w:t>
      </w:r>
      <w:r>
        <w:t>6.8 and paragraph</w:t>
      </w:r>
      <w:r>
        <w:rPr>
          <w:spacing w:val="-4"/>
        </w:rPr>
        <w:t xml:space="preserve"> </w:t>
      </w:r>
      <w:r>
        <w:t>1 of Annex</w:t>
      </w:r>
      <w:r>
        <w:rPr>
          <w:spacing w:val="-1"/>
        </w:rPr>
        <w:t xml:space="preserve"> </w:t>
      </w:r>
      <w:r>
        <w:t>II. Paragraph 1 of Annex II requires an investigating authority to be "prompt and precise" in setting out the information it requires.</w:t>
      </w:r>
      <w:r>
        <w:rPr>
          <w:spacing w:val="-14"/>
        </w:rPr>
        <w:t xml:space="preserve"> </w:t>
      </w:r>
      <w:hyperlink w:anchor="_bookmark284" w:history="1">
        <w:r>
          <w:rPr>
            <w:vertAlign w:val="superscript"/>
          </w:rPr>
          <w:t>219</w:t>
        </w:r>
      </w:hyperlink>
      <w:r>
        <w:t xml:space="preserve"> Furthermore, an interested party must be aware of what information is required and the consequences of not providing that information before an investigation authority can resort to</w:t>
      </w:r>
      <w:r>
        <w:rPr>
          <w:spacing w:val="-5"/>
        </w:rPr>
        <w:t xml:space="preserve"> </w:t>
      </w:r>
      <w:r>
        <w:t>facts</w:t>
      </w:r>
      <w:r>
        <w:rPr>
          <w:spacing w:val="-1"/>
        </w:rPr>
        <w:t xml:space="preserve"> </w:t>
      </w:r>
      <w:r>
        <w:t>available.</w:t>
      </w:r>
      <w:hyperlink w:anchor="_bookmark285" w:history="1">
        <w:r>
          <w:rPr>
            <w:vertAlign w:val="superscript"/>
          </w:rPr>
          <w:t>220</w:t>
        </w:r>
      </w:hyperlink>
      <w:r>
        <w:rPr>
          <w:spacing w:val="-2"/>
        </w:rPr>
        <w:t xml:space="preserve"> </w:t>
      </w:r>
      <w:r>
        <w:t>China</w:t>
      </w:r>
      <w:r>
        <w:rPr>
          <w:spacing w:val="-3"/>
        </w:rPr>
        <w:t xml:space="preserve"> </w:t>
      </w:r>
      <w:r>
        <w:t>asserts</w:t>
      </w:r>
      <w:r>
        <w:rPr>
          <w:spacing w:val="-6"/>
        </w:rPr>
        <w:t xml:space="preserve"> </w:t>
      </w:r>
      <w:r>
        <w:t>that</w:t>
      </w:r>
      <w:r>
        <w:rPr>
          <w:spacing w:val="-2"/>
        </w:rPr>
        <w:t xml:space="preserve"> </w:t>
      </w:r>
      <w:r>
        <w:t>Australia's</w:t>
      </w:r>
      <w:r>
        <w:rPr>
          <w:spacing w:val="-1"/>
        </w:rPr>
        <w:t xml:space="preserve"> </w:t>
      </w:r>
      <w:r>
        <w:t>claims</w:t>
      </w:r>
      <w:r>
        <w:rPr>
          <w:spacing w:val="-1"/>
        </w:rPr>
        <w:t xml:space="preserve"> </w:t>
      </w:r>
      <w:r>
        <w:t>of</w:t>
      </w:r>
      <w:r>
        <w:rPr>
          <w:spacing w:val="-4"/>
        </w:rPr>
        <w:t xml:space="preserve"> </w:t>
      </w:r>
      <w:r>
        <w:t>inconsistency</w:t>
      </w:r>
      <w:r>
        <w:rPr>
          <w:spacing w:val="-1"/>
        </w:rPr>
        <w:t xml:space="preserve"> </w:t>
      </w:r>
      <w:r>
        <w:t>with</w:t>
      </w:r>
      <w:r>
        <w:rPr>
          <w:spacing w:val="-4"/>
        </w:rPr>
        <w:t xml:space="preserve"> </w:t>
      </w:r>
      <w:r>
        <w:t>paragraph</w:t>
      </w:r>
      <w:r>
        <w:rPr>
          <w:spacing w:val="-4"/>
        </w:rPr>
        <w:t xml:space="preserve"> </w:t>
      </w:r>
      <w:r>
        <w:t>1</w:t>
      </w:r>
      <w:r>
        <w:rPr>
          <w:spacing w:val="-5"/>
        </w:rPr>
        <w:t xml:space="preserve"> </w:t>
      </w:r>
      <w:r>
        <w:t>of Annex II "cannot be accepted" but provides no evidence or argument.</w:t>
      </w:r>
      <w:r>
        <w:rPr>
          <w:spacing w:val="-21"/>
        </w:rPr>
        <w:t xml:space="preserve"> </w:t>
      </w:r>
      <w:hyperlink w:anchor="_bookmark286" w:history="1">
        <w:r>
          <w:rPr>
            <w:vertAlign w:val="superscript"/>
          </w:rPr>
          <w:t>221</w:t>
        </w:r>
      </w:hyperlink>
    </w:p>
    <w:p w14:paraId="214E8A2E" w14:textId="77777777" w:rsidR="00BD462C" w:rsidRDefault="00BD462C">
      <w:pPr>
        <w:pStyle w:val="BodyText"/>
        <w:spacing w:before="10"/>
        <w:rPr>
          <w:sz w:val="8"/>
        </w:rPr>
      </w:pPr>
    </w:p>
    <w:p w14:paraId="5D17D516" w14:textId="3BDD0B70" w:rsidR="00BD462C" w:rsidRDefault="00D70C7D" w:rsidP="005B7350">
      <w:pPr>
        <w:pStyle w:val="BodyText"/>
        <w:numPr>
          <w:ilvl w:val="0"/>
          <w:numId w:val="69"/>
        </w:numPr>
        <w:tabs>
          <w:tab w:val="left" w:pos="1134"/>
        </w:tabs>
        <w:spacing w:before="56" w:line="360" w:lineRule="auto"/>
        <w:ind w:right="911"/>
        <w:jc w:val="right"/>
      </w:pPr>
      <w:r>
        <w:rPr>
          <w:noProof/>
        </w:rPr>
        <mc:AlternateContent>
          <mc:Choice Requires="wps">
            <w:drawing>
              <wp:anchor distT="0" distB="0" distL="114300" distR="114300" simplePos="0" relativeHeight="478954496" behindDoc="1" locked="0" layoutInCell="1" allowOverlap="1" wp14:anchorId="5FC7AC92" wp14:editId="223062E7">
                <wp:simplePos x="0" y="0"/>
                <wp:positionH relativeFrom="page">
                  <wp:posOffset>3679190</wp:posOffset>
                </wp:positionH>
                <wp:positionV relativeFrom="paragraph">
                  <wp:posOffset>309245</wp:posOffset>
                </wp:positionV>
                <wp:extent cx="1374775" cy="186055"/>
                <wp:effectExtent l="0" t="0" r="0" b="0"/>
                <wp:wrapNone/>
                <wp:docPr id="1146" name="docshape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477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555849" id="docshape143" o:spid="_x0000_s1026" alt="&quot;&quot;" style="position:absolute;margin-left:289.7pt;margin-top:24.35pt;width:108.25pt;height:14.65pt;z-index:-24361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" fillcolor="black" stroked="f">
                <w10:wrap anchorx="page"/>
              </v:rect>
            </w:pict>
          </mc:Fallback>
        </mc:AlternateContent>
      </w:r>
      <w:r>
        <w:rPr>
          <w:noProof/>
        </w:rPr>
        <mc:AlternateContent>
          <mc:Choice Requires="wps">
            <w:drawing>
              <wp:anchor distT="0" distB="0" distL="114300" distR="114300" simplePos="0" relativeHeight="478955008" behindDoc="1" locked="0" layoutInCell="1" allowOverlap="1" wp14:anchorId="0A343A2E" wp14:editId="4B9159D7">
                <wp:simplePos x="0" y="0"/>
                <wp:positionH relativeFrom="page">
                  <wp:posOffset>899160</wp:posOffset>
                </wp:positionH>
                <wp:positionV relativeFrom="paragraph">
                  <wp:posOffset>1147445</wp:posOffset>
                </wp:positionV>
                <wp:extent cx="1212850" cy="186055"/>
                <wp:effectExtent l="0" t="0" r="0" b="0"/>
                <wp:wrapNone/>
                <wp:docPr id="1144" name="docshape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CDD259" id="docshape144" o:spid="_x0000_s1026" alt="&quot;&quot;" style="position:absolute;margin-left:70.8pt;margin-top:90.35pt;width:95.5pt;height:14.65pt;z-index:-2436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" fillcolor="black" stroked="f">
                <w10:wrap anchorx="page"/>
              </v:rect>
            </w:pict>
          </mc:Fallback>
        </mc:AlternateContent>
      </w:r>
      <w:r w:rsidR="00033D0F">
        <w:rPr>
          <w:position w:val="1"/>
        </w:rPr>
        <w:t xml:space="preserve">As set out above, if China is correct that MOFCOM intended that the questionnaire </w:t>
      </w:r>
      <w:r w:rsidR="00033D0F">
        <w:t>to</w:t>
      </w:r>
      <w:r w:rsidR="00033D0F">
        <w:rPr>
          <w:spacing w:val="80"/>
        </w:rPr>
        <w:t xml:space="preserve"> </w:t>
      </w:r>
      <w:r w:rsidR="00033D0F">
        <w:t>seek</w:t>
      </w:r>
      <w:r w:rsidR="00033D0F">
        <w:rPr>
          <w:spacing w:val="80"/>
        </w:rPr>
        <w:t xml:space="preserve"> </w:t>
      </w:r>
      <w:r w:rsidR="00033D0F">
        <w:t>information</w:t>
      </w:r>
      <w:r w:rsidR="00033D0F">
        <w:rPr>
          <w:spacing w:val="80"/>
        </w:rPr>
        <w:t xml:space="preserve"> </w:t>
      </w:r>
      <w:r w:rsidR="00033D0F">
        <w:t>on</w:t>
      </w:r>
      <w:r w:rsidR="00033D0F">
        <w:rPr>
          <w:spacing w:val="80"/>
        </w:rPr>
        <w:t xml:space="preserve"> </w:t>
      </w:r>
      <w:r w:rsidR="00033D0F">
        <w:t>the</w:t>
      </w:r>
      <w:r w:rsidR="00033D0F">
        <w:rPr>
          <w:spacing w:val="80"/>
        </w:rPr>
        <w:t xml:space="preserve"> </w:t>
      </w:r>
      <w:r w:rsidR="00033D0F">
        <w:t>additional</w:t>
      </w:r>
      <w:r w:rsidR="00033D0F">
        <w:tab/>
        <w:t>,</w:t>
      </w:r>
      <w:r w:rsidR="00033D0F">
        <w:rPr>
          <w:spacing w:val="80"/>
        </w:rPr>
        <w:t xml:space="preserve"> </w:t>
      </w:r>
      <w:r w:rsidR="00033D0F">
        <w:t>then</w:t>
      </w:r>
      <w:r w:rsidR="00033D0F">
        <w:rPr>
          <w:spacing w:val="80"/>
        </w:rPr>
        <w:t xml:space="preserve"> </w:t>
      </w:r>
      <w:r w:rsidR="00033D0F">
        <w:t>MOFCOM</w:t>
      </w:r>
      <w:r w:rsidR="00033D0F">
        <w:rPr>
          <w:spacing w:val="80"/>
        </w:rPr>
        <w:t xml:space="preserve"> </w:t>
      </w:r>
      <w:r w:rsidR="00033D0F">
        <w:t>acted inconsistently</w:t>
      </w:r>
      <w:r w:rsidR="00033D0F">
        <w:rPr>
          <w:spacing w:val="-11"/>
        </w:rPr>
        <w:t xml:space="preserve"> </w:t>
      </w:r>
      <w:r w:rsidR="00033D0F">
        <w:t>with</w:t>
      </w:r>
      <w:r w:rsidR="00033D0F">
        <w:rPr>
          <w:spacing w:val="-14"/>
        </w:rPr>
        <w:t xml:space="preserve"> </w:t>
      </w:r>
      <w:r w:rsidR="00033D0F">
        <w:t>paragraph</w:t>
      </w:r>
      <w:r w:rsidR="00033D0F">
        <w:rPr>
          <w:spacing w:val="-8"/>
        </w:rPr>
        <w:t xml:space="preserve"> </w:t>
      </w:r>
      <w:r w:rsidR="00033D0F">
        <w:t>1</w:t>
      </w:r>
      <w:r w:rsidR="00033D0F">
        <w:rPr>
          <w:spacing w:val="-14"/>
        </w:rPr>
        <w:t xml:space="preserve"> </w:t>
      </w:r>
      <w:r w:rsidR="00033D0F">
        <w:t>of</w:t>
      </w:r>
      <w:r w:rsidR="00033D0F">
        <w:rPr>
          <w:spacing w:val="-13"/>
        </w:rPr>
        <w:t xml:space="preserve"> </w:t>
      </w:r>
      <w:r w:rsidR="00033D0F">
        <w:t>Annex</w:t>
      </w:r>
      <w:r w:rsidR="00033D0F">
        <w:rPr>
          <w:spacing w:val="-11"/>
        </w:rPr>
        <w:t xml:space="preserve"> </w:t>
      </w:r>
      <w:r w:rsidR="00033D0F">
        <w:t>II</w:t>
      </w:r>
      <w:r w:rsidR="00033D0F">
        <w:rPr>
          <w:spacing w:val="-11"/>
        </w:rPr>
        <w:t xml:space="preserve"> </w:t>
      </w:r>
      <w:r w:rsidR="00033D0F">
        <w:t>by</w:t>
      </w:r>
      <w:r w:rsidR="00033D0F">
        <w:rPr>
          <w:spacing w:val="-11"/>
        </w:rPr>
        <w:t xml:space="preserve"> </w:t>
      </w:r>
      <w:r w:rsidR="00033D0F">
        <w:t>failing</w:t>
      </w:r>
      <w:r w:rsidR="00033D0F">
        <w:rPr>
          <w:spacing w:val="-10"/>
        </w:rPr>
        <w:t xml:space="preserve"> </w:t>
      </w:r>
      <w:r w:rsidR="00033D0F">
        <w:t>to</w:t>
      </w:r>
      <w:r w:rsidR="00033D0F">
        <w:rPr>
          <w:spacing w:val="-14"/>
        </w:rPr>
        <w:t xml:space="preserve"> </w:t>
      </w:r>
      <w:r w:rsidR="00033D0F">
        <w:t>"specify</w:t>
      </w:r>
      <w:r w:rsidR="00033D0F">
        <w:rPr>
          <w:spacing w:val="-10"/>
        </w:rPr>
        <w:t xml:space="preserve"> </w:t>
      </w:r>
      <w:r w:rsidR="00033D0F">
        <w:t>in</w:t>
      </w:r>
      <w:r w:rsidR="00033D0F">
        <w:rPr>
          <w:spacing w:val="-14"/>
        </w:rPr>
        <w:t xml:space="preserve"> </w:t>
      </w:r>
      <w:r w:rsidR="00033D0F">
        <w:t>detail"</w:t>
      </w:r>
      <w:r w:rsidR="00033D0F">
        <w:rPr>
          <w:spacing w:val="-12"/>
        </w:rPr>
        <w:t xml:space="preserve"> </w:t>
      </w:r>
      <w:r w:rsidR="00033D0F">
        <w:t>that</w:t>
      </w:r>
      <w:r w:rsidR="00033D0F">
        <w:rPr>
          <w:spacing w:val="-11"/>
        </w:rPr>
        <w:t xml:space="preserve"> </w:t>
      </w:r>
      <w:r w:rsidR="00033D0F">
        <w:t>this</w:t>
      </w:r>
      <w:r w:rsidR="00033D0F">
        <w:rPr>
          <w:spacing w:val="-10"/>
        </w:rPr>
        <w:t xml:space="preserve"> </w:t>
      </w:r>
      <w:r w:rsidR="00033D0F">
        <w:t>information was</w:t>
      </w:r>
      <w:r w:rsidR="00033D0F">
        <w:rPr>
          <w:spacing w:val="74"/>
        </w:rPr>
        <w:t xml:space="preserve"> </w:t>
      </w:r>
      <w:r w:rsidR="00033D0F">
        <w:t>required.</w:t>
      </w:r>
      <w:r w:rsidR="00033D0F">
        <w:rPr>
          <w:spacing w:val="73"/>
        </w:rPr>
        <w:t xml:space="preserve"> </w:t>
      </w:r>
      <w:r w:rsidR="00033D0F">
        <w:t>In</w:t>
      </w:r>
      <w:r w:rsidR="00033D0F">
        <w:rPr>
          <w:spacing w:val="70"/>
        </w:rPr>
        <w:t xml:space="preserve"> </w:t>
      </w:r>
      <w:r w:rsidR="00033D0F">
        <w:t>addition,</w:t>
      </w:r>
      <w:r w:rsidR="00033D0F">
        <w:rPr>
          <w:spacing w:val="74"/>
        </w:rPr>
        <w:t xml:space="preserve"> </w:t>
      </w:r>
      <w:r w:rsidR="00033D0F">
        <w:t>if</w:t>
      </w:r>
      <w:r w:rsidR="00033D0F">
        <w:rPr>
          <w:spacing w:val="70"/>
        </w:rPr>
        <w:t xml:space="preserve"> </w:t>
      </w:r>
      <w:r w:rsidR="00033D0F">
        <w:t>China</w:t>
      </w:r>
      <w:r w:rsidR="00033D0F">
        <w:rPr>
          <w:spacing w:val="72"/>
        </w:rPr>
        <w:t xml:space="preserve"> </w:t>
      </w:r>
      <w:r w:rsidR="00033D0F">
        <w:t>is</w:t>
      </w:r>
      <w:r w:rsidR="00033D0F">
        <w:rPr>
          <w:spacing w:val="69"/>
        </w:rPr>
        <w:t xml:space="preserve"> </w:t>
      </w:r>
      <w:r w:rsidR="00033D0F">
        <w:t>correct</w:t>
      </w:r>
      <w:r w:rsidR="00033D0F">
        <w:rPr>
          <w:spacing w:val="78"/>
        </w:rPr>
        <w:t xml:space="preserve"> </w:t>
      </w:r>
      <w:r w:rsidR="00033D0F">
        <w:t>that</w:t>
      </w:r>
      <w:r w:rsidR="00033D0F">
        <w:rPr>
          <w:spacing w:val="73"/>
        </w:rPr>
        <w:t xml:space="preserve"> </w:t>
      </w:r>
      <w:r w:rsidR="00033D0F">
        <w:t>MOFCOM</w:t>
      </w:r>
      <w:r w:rsidR="00033D0F">
        <w:rPr>
          <w:spacing w:val="69"/>
        </w:rPr>
        <w:t xml:space="preserve"> </w:t>
      </w:r>
      <w:r w:rsidR="00033D0F">
        <w:t>intended</w:t>
      </w:r>
      <w:r w:rsidR="00033D0F">
        <w:rPr>
          <w:spacing w:val="70"/>
        </w:rPr>
        <w:t xml:space="preserve"> </w:t>
      </w:r>
      <w:r w:rsidR="00033D0F">
        <w:t>information</w:t>
      </w:r>
      <w:r w:rsidR="00033D0F">
        <w:rPr>
          <w:spacing w:val="70"/>
        </w:rPr>
        <w:t xml:space="preserve"> </w:t>
      </w:r>
      <w:r w:rsidR="00033D0F">
        <w:t>on to be</w:t>
      </w:r>
      <w:r w:rsidR="00033D0F">
        <w:rPr>
          <w:spacing w:val="40"/>
        </w:rPr>
        <w:t xml:space="preserve"> </w:t>
      </w:r>
      <w:r w:rsidR="00033D0F">
        <w:t>reported</w:t>
      </w:r>
      <w:r w:rsidR="00033D0F">
        <w:rPr>
          <w:spacing w:val="36"/>
        </w:rPr>
        <w:t xml:space="preserve"> </w:t>
      </w:r>
      <w:r w:rsidR="00033D0F">
        <w:t>in</w:t>
      </w:r>
      <w:r w:rsidR="00033D0F">
        <w:rPr>
          <w:spacing w:val="36"/>
        </w:rPr>
        <w:t xml:space="preserve"> </w:t>
      </w:r>
      <w:r w:rsidR="00033D0F">
        <w:t>Form</w:t>
      </w:r>
      <w:r w:rsidR="00033D0F">
        <w:rPr>
          <w:spacing w:val="37"/>
        </w:rPr>
        <w:t xml:space="preserve"> </w:t>
      </w:r>
      <w:r w:rsidR="00033D0F">
        <w:t>6-1-2, then MOFCOM acted</w:t>
      </w:r>
      <w:r w:rsidR="00033D0F">
        <w:rPr>
          <w:spacing w:val="36"/>
        </w:rPr>
        <w:t xml:space="preserve"> </w:t>
      </w:r>
      <w:r w:rsidR="00033D0F">
        <w:t>inconsistently with</w:t>
      </w:r>
    </w:p>
    <w:p w14:paraId="765686AE" w14:textId="77777777" w:rsidR="00BD462C" w:rsidRDefault="00033D0F">
      <w:pPr>
        <w:pStyle w:val="BodyText"/>
        <w:spacing w:line="285" w:lineRule="exact"/>
        <w:ind w:left="136"/>
      </w:pPr>
      <w:r>
        <w:t>paragraph</w:t>
      </w:r>
      <w:r>
        <w:rPr>
          <w:spacing w:val="-2"/>
        </w:rPr>
        <w:t xml:space="preserve"> </w:t>
      </w:r>
      <w:r>
        <w:t>1</w:t>
      </w:r>
      <w:r>
        <w:rPr>
          <w:spacing w:val="-5"/>
        </w:rPr>
        <w:t xml:space="preserve"> </w:t>
      </w:r>
      <w:r>
        <w:t>of</w:t>
      </w:r>
      <w:r>
        <w:rPr>
          <w:spacing w:val="-4"/>
        </w:rPr>
        <w:t xml:space="preserve"> </w:t>
      </w:r>
      <w:r>
        <w:t>Annex</w:t>
      </w:r>
      <w:r>
        <w:rPr>
          <w:spacing w:val="-1"/>
        </w:rPr>
        <w:t xml:space="preserve"> </w:t>
      </w:r>
      <w:r>
        <w:t>II</w:t>
      </w:r>
      <w:r>
        <w:rPr>
          <w:spacing w:val="-1"/>
        </w:rPr>
        <w:t xml:space="preserve"> </w:t>
      </w:r>
      <w:r>
        <w:t>by</w:t>
      </w:r>
      <w:r>
        <w:rPr>
          <w:spacing w:val="-1"/>
        </w:rPr>
        <w:t xml:space="preserve"> </w:t>
      </w:r>
      <w:r>
        <w:t>failing</w:t>
      </w:r>
      <w:r>
        <w:rPr>
          <w:spacing w:val="-1"/>
        </w:rPr>
        <w:t xml:space="preserve"> </w:t>
      </w:r>
      <w:r>
        <w:t>to</w:t>
      </w:r>
      <w:r>
        <w:rPr>
          <w:spacing w:val="-5"/>
        </w:rPr>
        <w:t xml:space="preserve"> </w:t>
      </w:r>
      <w:r>
        <w:t>"specify</w:t>
      </w:r>
      <w:r>
        <w:rPr>
          <w:spacing w:val="-1"/>
        </w:rPr>
        <w:t xml:space="preserve"> </w:t>
      </w:r>
      <w:r>
        <w:t>in</w:t>
      </w:r>
      <w:r>
        <w:rPr>
          <w:spacing w:val="-4"/>
        </w:rPr>
        <w:t xml:space="preserve"> </w:t>
      </w:r>
      <w:r>
        <w:t>detail"</w:t>
      </w:r>
      <w:r>
        <w:rPr>
          <w:spacing w:val="-3"/>
        </w:rPr>
        <w:t xml:space="preserve"> </w:t>
      </w:r>
      <w:r>
        <w:t>that</w:t>
      </w:r>
      <w:r>
        <w:rPr>
          <w:spacing w:val="-2"/>
        </w:rPr>
        <w:t xml:space="preserve"> </w:t>
      </w:r>
      <w:r>
        <w:t>this</w:t>
      </w:r>
      <w:r>
        <w:rPr>
          <w:spacing w:val="-1"/>
        </w:rPr>
        <w:t xml:space="preserve"> </w:t>
      </w:r>
      <w:r>
        <w:t>information</w:t>
      </w:r>
      <w:r>
        <w:rPr>
          <w:spacing w:val="-4"/>
        </w:rPr>
        <w:t xml:space="preserve"> </w:t>
      </w:r>
      <w:r>
        <w:t xml:space="preserve">was </w:t>
      </w:r>
      <w:r>
        <w:rPr>
          <w:spacing w:val="-2"/>
        </w:rPr>
        <w:t>required.</w:t>
      </w:r>
    </w:p>
    <w:p w14:paraId="7079AB4F" w14:textId="77777777" w:rsidR="00BD462C" w:rsidRDefault="00BD462C">
      <w:pPr>
        <w:pStyle w:val="BodyText"/>
        <w:spacing w:before="11"/>
        <w:rPr>
          <w:sz w:val="20"/>
        </w:rPr>
      </w:pPr>
    </w:p>
    <w:p w14:paraId="06ADD756" w14:textId="68E04809" w:rsidR="00BD462C" w:rsidRDefault="00033D0F" w:rsidP="005B7350">
      <w:pPr>
        <w:pStyle w:val="BodyText"/>
        <w:numPr>
          <w:ilvl w:val="0"/>
          <w:numId w:val="69"/>
        </w:numPr>
        <w:spacing w:before="56" w:line="357" w:lineRule="auto"/>
        <w:ind w:right="916"/>
        <w:jc w:val="both"/>
      </w:pPr>
      <w:r>
        <w:rPr>
          <w:position w:val="1"/>
        </w:rPr>
        <w:t>For the reasons set out above and in Australia's previous submissions, China has</w:t>
      </w:r>
      <w:r>
        <w:rPr>
          <w:spacing w:val="80"/>
          <w:position w:val="1"/>
        </w:rPr>
        <w:t xml:space="preserve"> </w:t>
      </w:r>
      <w:r>
        <w:t>failed to rebut Australia's claims that it acted inconsistently with Article 6.8 and paragraph 1 of Annex II with respect to the information requested from Treasury Wines.</w:t>
      </w:r>
    </w:p>
    <w:p w14:paraId="5D9F12F0" w14:textId="77777777" w:rsidR="00BD462C" w:rsidRDefault="00BD462C">
      <w:pPr>
        <w:pStyle w:val="BodyText"/>
        <w:rPr>
          <w:sz w:val="20"/>
        </w:rPr>
      </w:pPr>
    </w:p>
    <w:p w14:paraId="3AA67567" w14:textId="77777777" w:rsidR="00BD462C" w:rsidRDefault="00BD462C">
      <w:pPr>
        <w:pStyle w:val="BodyText"/>
        <w:rPr>
          <w:sz w:val="20"/>
        </w:rPr>
      </w:pPr>
    </w:p>
    <w:p w14:paraId="1EF2BFB2" w14:textId="0FD3CE8A" w:rsidR="00BD462C" w:rsidRDefault="00D70C7D">
      <w:pPr>
        <w:pStyle w:val="BodyText"/>
        <w:spacing w:before="3"/>
        <w:rPr>
          <w:sz w:val="21"/>
        </w:rPr>
      </w:pPr>
      <w:r>
        <w:rPr>
          <w:noProof/>
        </w:rPr>
        <mc:AlternateContent>
          <mc:Choice Requires="wps">
            <w:drawing>
              <wp:anchor distT="0" distB="0" distL="0" distR="0" simplePos="0" relativeHeight="487652864" behindDoc="1" locked="0" layoutInCell="1" allowOverlap="1" wp14:anchorId="2D5F9539" wp14:editId="4F9E26DC">
                <wp:simplePos x="0" y="0"/>
                <wp:positionH relativeFrom="page">
                  <wp:posOffset>899160</wp:posOffset>
                </wp:positionH>
                <wp:positionV relativeFrom="paragraph">
                  <wp:posOffset>180340</wp:posOffset>
                </wp:positionV>
                <wp:extent cx="1828800" cy="8890"/>
                <wp:effectExtent l="0" t="0" r="0" b="0"/>
                <wp:wrapTopAndBottom/>
                <wp:docPr id="1142" name="docshape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126AD7" id="docshape145" o:spid="_x0000_s1026" alt="&quot;&quot;" style="position:absolute;margin-left:70.8pt;margin-top:14.2pt;width:2in;height:.7pt;z-index:-15663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" fillcolor="black" stroked="f">
                <w10:wrap type="topAndBottom" anchorx="page"/>
              </v:rect>
            </w:pict>
          </mc:Fallback>
        </mc:AlternateContent>
      </w:r>
    </w:p>
    <w:p w14:paraId="61B0C9E2" w14:textId="77777777" w:rsidR="00BD462C" w:rsidRDefault="00033D0F">
      <w:pPr>
        <w:spacing w:before="112" w:line="218" w:lineRule="exact"/>
        <w:ind w:left="135"/>
        <w:rPr>
          <w:sz w:val="18"/>
        </w:rPr>
      </w:pPr>
      <w:bookmarkStart w:id="328" w:name="_bookmark283"/>
      <w:bookmarkEnd w:id="328"/>
      <w:r>
        <w:rPr>
          <w:position w:val="5"/>
          <w:sz w:val="12"/>
        </w:rPr>
        <w:t>218</w:t>
      </w:r>
      <w:r>
        <w:rPr>
          <w:spacing w:val="9"/>
          <w:position w:val="5"/>
          <w:sz w:val="12"/>
        </w:rPr>
        <w:t xml:space="preserve"> </w:t>
      </w:r>
      <w:r>
        <w:rPr>
          <w:sz w:val="18"/>
        </w:rPr>
        <w:t>Australia's</w:t>
      </w:r>
      <w:r>
        <w:rPr>
          <w:spacing w:val="-9"/>
          <w:sz w:val="18"/>
        </w:rPr>
        <w:t xml:space="preserve"> </w:t>
      </w:r>
      <w:r>
        <w:rPr>
          <w:sz w:val="18"/>
        </w:rPr>
        <w:t>first</w:t>
      </w:r>
      <w:r>
        <w:rPr>
          <w:spacing w:val="-7"/>
          <w:sz w:val="18"/>
        </w:rPr>
        <w:t xml:space="preserve"> </w:t>
      </w:r>
      <w:r>
        <w:rPr>
          <w:sz w:val="18"/>
        </w:rPr>
        <w:t>written</w:t>
      </w:r>
      <w:r>
        <w:rPr>
          <w:spacing w:val="-6"/>
          <w:sz w:val="18"/>
        </w:rPr>
        <w:t xml:space="preserve"> </w:t>
      </w:r>
      <w:r>
        <w:rPr>
          <w:sz w:val="18"/>
        </w:rPr>
        <w:t>submission,</w:t>
      </w:r>
      <w:r>
        <w:rPr>
          <w:spacing w:val="-3"/>
          <w:sz w:val="18"/>
        </w:rPr>
        <w:t xml:space="preserve"> </w:t>
      </w:r>
      <w:r>
        <w:rPr>
          <w:sz w:val="18"/>
        </w:rPr>
        <w:t>paras.</w:t>
      </w:r>
      <w:r>
        <w:rPr>
          <w:spacing w:val="-7"/>
          <w:sz w:val="18"/>
        </w:rPr>
        <w:t xml:space="preserve"> </w:t>
      </w:r>
      <w:r>
        <w:rPr>
          <w:sz w:val="18"/>
        </w:rPr>
        <w:t>172-189,</w:t>
      </w:r>
      <w:r>
        <w:rPr>
          <w:spacing w:val="-7"/>
          <w:sz w:val="18"/>
        </w:rPr>
        <w:t xml:space="preserve"> </w:t>
      </w:r>
      <w:r>
        <w:rPr>
          <w:sz w:val="18"/>
        </w:rPr>
        <w:t>190-213,</w:t>
      </w:r>
      <w:r>
        <w:rPr>
          <w:spacing w:val="-3"/>
          <w:sz w:val="18"/>
        </w:rPr>
        <w:t xml:space="preserve"> </w:t>
      </w:r>
      <w:r>
        <w:rPr>
          <w:sz w:val="18"/>
        </w:rPr>
        <w:t>216-217,</w:t>
      </w:r>
      <w:r>
        <w:rPr>
          <w:spacing w:val="-4"/>
          <w:sz w:val="18"/>
        </w:rPr>
        <w:t xml:space="preserve"> </w:t>
      </w:r>
      <w:r>
        <w:rPr>
          <w:sz w:val="18"/>
        </w:rPr>
        <w:t>223-</w:t>
      </w:r>
      <w:r>
        <w:rPr>
          <w:spacing w:val="-4"/>
          <w:sz w:val="18"/>
        </w:rPr>
        <w:t>229.</w:t>
      </w:r>
    </w:p>
    <w:p w14:paraId="563DC21C" w14:textId="77777777" w:rsidR="00BD462C" w:rsidRDefault="00033D0F">
      <w:pPr>
        <w:ind w:left="136" w:right="912" w:hanging="1"/>
        <w:rPr>
          <w:sz w:val="18"/>
        </w:rPr>
      </w:pPr>
      <w:bookmarkStart w:id="329" w:name="_bookmark284"/>
      <w:bookmarkEnd w:id="329"/>
      <w:r>
        <w:rPr>
          <w:position w:val="5"/>
          <w:sz w:val="12"/>
        </w:rPr>
        <w:t>219</w:t>
      </w:r>
      <w:r>
        <w:rPr>
          <w:spacing w:val="12"/>
          <w:position w:val="5"/>
          <w:sz w:val="12"/>
        </w:rPr>
        <w:t xml:space="preserve"> </w:t>
      </w:r>
      <w:r>
        <w:rPr>
          <w:sz w:val="18"/>
        </w:rPr>
        <w:t>Panel</w:t>
      </w:r>
      <w:r>
        <w:rPr>
          <w:spacing w:val="-6"/>
          <w:sz w:val="18"/>
        </w:rPr>
        <w:t xml:space="preserve"> </w:t>
      </w:r>
      <w:r>
        <w:rPr>
          <w:sz w:val="18"/>
        </w:rPr>
        <w:t>Report,</w:t>
      </w:r>
      <w:r>
        <w:rPr>
          <w:spacing w:val="-5"/>
          <w:sz w:val="18"/>
        </w:rPr>
        <w:t xml:space="preserve"> </w:t>
      </w:r>
      <w:r>
        <w:rPr>
          <w:i/>
          <w:sz w:val="18"/>
        </w:rPr>
        <w:t>EC</w:t>
      </w:r>
      <w:r>
        <w:rPr>
          <w:i/>
          <w:spacing w:val="-7"/>
          <w:sz w:val="18"/>
        </w:rPr>
        <w:t xml:space="preserve"> </w:t>
      </w:r>
      <w:r>
        <w:rPr>
          <w:i/>
          <w:sz w:val="18"/>
        </w:rPr>
        <w:t>–</w:t>
      </w:r>
      <w:r>
        <w:rPr>
          <w:i/>
          <w:spacing w:val="-2"/>
          <w:sz w:val="18"/>
        </w:rPr>
        <w:t xml:space="preserve"> </w:t>
      </w:r>
      <w:r>
        <w:rPr>
          <w:i/>
          <w:sz w:val="18"/>
        </w:rPr>
        <w:t>Salmon</w:t>
      </w:r>
      <w:r>
        <w:rPr>
          <w:i/>
          <w:spacing w:val="-5"/>
          <w:sz w:val="18"/>
        </w:rPr>
        <w:t xml:space="preserve"> </w:t>
      </w:r>
      <w:r>
        <w:rPr>
          <w:i/>
          <w:sz w:val="18"/>
        </w:rPr>
        <w:t>(Norway)</w:t>
      </w:r>
      <w:r>
        <w:rPr>
          <w:sz w:val="18"/>
        </w:rPr>
        <w:t>,</w:t>
      </w:r>
      <w:r>
        <w:rPr>
          <w:spacing w:val="-5"/>
          <w:sz w:val="18"/>
        </w:rPr>
        <w:t xml:space="preserve"> </w:t>
      </w:r>
      <w:r>
        <w:rPr>
          <w:sz w:val="18"/>
        </w:rPr>
        <w:t>para.</w:t>
      </w:r>
      <w:r>
        <w:rPr>
          <w:spacing w:val="-1"/>
          <w:sz w:val="18"/>
        </w:rPr>
        <w:t xml:space="preserve"> </w:t>
      </w:r>
      <w:r>
        <w:rPr>
          <w:sz w:val="18"/>
        </w:rPr>
        <w:t>7.453</w:t>
      </w:r>
      <w:r>
        <w:rPr>
          <w:spacing w:val="-9"/>
          <w:sz w:val="18"/>
        </w:rPr>
        <w:t xml:space="preserve"> </w:t>
      </w:r>
      <w:r>
        <w:rPr>
          <w:sz w:val="18"/>
        </w:rPr>
        <w:t>(citing</w:t>
      </w:r>
      <w:r>
        <w:rPr>
          <w:spacing w:val="-2"/>
          <w:sz w:val="18"/>
        </w:rPr>
        <w:t xml:space="preserve"> </w:t>
      </w:r>
      <w:r>
        <w:rPr>
          <w:sz w:val="18"/>
        </w:rPr>
        <w:t>Appellate</w:t>
      </w:r>
      <w:r>
        <w:rPr>
          <w:spacing w:val="-7"/>
          <w:sz w:val="18"/>
        </w:rPr>
        <w:t xml:space="preserve"> </w:t>
      </w:r>
      <w:r>
        <w:rPr>
          <w:sz w:val="18"/>
        </w:rPr>
        <w:t>Body</w:t>
      </w:r>
      <w:r>
        <w:rPr>
          <w:spacing w:val="-9"/>
          <w:sz w:val="18"/>
        </w:rPr>
        <w:t xml:space="preserve"> </w:t>
      </w:r>
      <w:r>
        <w:rPr>
          <w:sz w:val="18"/>
        </w:rPr>
        <w:t>Report,</w:t>
      </w:r>
      <w:r>
        <w:rPr>
          <w:spacing w:val="-5"/>
          <w:sz w:val="18"/>
        </w:rPr>
        <w:t xml:space="preserve"> </w:t>
      </w:r>
      <w:r>
        <w:rPr>
          <w:i/>
          <w:sz w:val="18"/>
        </w:rPr>
        <w:t>Mexico –</w:t>
      </w:r>
      <w:r>
        <w:rPr>
          <w:i/>
          <w:spacing w:val="-7"/>
          <w:sz w:val="18"/>
        </w:rPr>
        <w:t xml:space="preserve"> </w:t>
      </w:r>
      <w:r>
        <w:rPr>
          <w:i/>
          <w:sz w:val="18"/>
        </w:rPr>
        <w:t>Anti-Dumping</w:t>
      </w:r>
      <w:r>
        <w:rPr>
          <w:i/>
          <w:spacing w:val="-10"/>
          <w:sz w:val="18"/>
        </w:rPr>
        <w:t xml:space="preserve"> </w:t>
      </w:r>
      <w:r>
        <w:rPr>
          <w:i/>
          <w:sz w:val="18"/>
        </w:rPr>
        <w:t>Measures</w:t>
      </w:r>
      <w:r>
        <w:rPr>
          <w:i/>
          <w:spacing w:val="-7"/>
          <w:sz w:val="18"/>
        </w:rPr>
        <w:t xml:space="preserve"> </w:t>
      </w:r>
      <w:r>
        <w:rPr>
          <w:i/>
          <w:sz w:val="18"/>
        </w:rPr>
        <w:t>on</w:t>
      </w:r>
      <w:r>
        <w:rPr>
          <w:i/>
          <w:spacing w:val="-5"/>
          <w:sz w:val="18"/>
        </w:rPr>
        <w:t xml:space="preserve"> </w:t>
      </w:r>
      <w:r>
        <w:rPr>
          <w:i/>
          <w:sz w:val="18"/>
        </w:rPr>
        <w:t>Rice</w:t>
      </w:r>
      <w:r>
        <w:rPr>
          <w:sz w:val="18"/>
        </w:rPr>
        <w:t>, para. 259).</w:t>
      </w:r>
    </w:p>
    <w:p w14:paraId="1A4C924D" w14:textId="77777777" w:rsidR="00BD462C" w:rsidRDefault="00033D0F">
      <w:pPr>
        <w:ind w:left="135"/>
        <w:rPr>
          <w:sz w:val="18"/>
        </w:rPr>
      </w:pPr>
      <w:bookmarkStart w:id="330" w:name="_bookmark285"/>
      <w:bookmarkEnd w:id="330"/>
      <w:r>
        <w:rPr>
          <w:position w:val="5"/>
          <w:sz w:val="12"/>
        </w:rPr>
        <w:t>220</w:t>
      </w:r>
      <w:r>
        <w:rPr>
          <w:spacing w:val="16"/>
          <w:position w:val="5"/>
          <w:sz w:val="12"/>
        </w:rPr>
        <w:t xml:space="preserve"> </w:t>
      </w:r>
      <w:r>
        <w:rPr>
          <w:sz w:val="18"/>
        </w:rPr>
        <w:t>Appellate</w:t>
      </w:r>
      <w:r>
        <w:rPr>
          <w:spacing w:val="-7"/>
          <w:sz w:val="18"/>
        </w:rPr>
        <w:t xml:space="preserve"> </w:t>
      </w:r>
      <w:r>
        <w:rPr>
          <w:sz w:val="18"/>
        </w:rPr>
        <w:t>Body</w:t>
      </w:r>
      <w:r>
        <w:rPr>
          <w:spacing w:val="-4"/>
          <w:sz w:val="18"/>
        </w:rPr>
        <w:t xml:space="preserve"> </w:t>
      </w:r>
      <w:r>
        <w:rPr>
          <w:sz w:val="18"/>
        </w:rPr>
        <w:t>Report,</w:t>
      </w:r>
      <w:r>
        <w:rPr>
          <w:spacing w:val="-5"/>
          <w:sz w:val="18"/>
        </w:rPr>
        <w:t xml:space="preserve"> </w:t>
      </w:r>
      <w:r>
        <w:rPr>
          <w:i/>
          <w:sz w:val="18"/>
        </w:rPr>
        <w:t>Mexico –</w:t>
      </w:r>
      <w:r>
        <w:rPr>
          <w:i/>
          <w:spacing w:val="-2"/>
          <w:sz w:val="18"/>
        </w:rPr>
        <w:t xml:space="preserve"> </w:t>
      </w:r>
      <w:r>
        <w:rPr>
          <w:i/>
          <w:sz w:val="18"/>
        </w:rPr>
        <w:t>Anti-Dumping</w:t>
      </w:r>
      <w:r>
        <w:rPr>
          <w:i/>
          <w:spacing w:val="-5"/>
          <w:sz w:val="18"/>
        </w:rPr>
        <w:t xml:space="preserve"> </w:t>
      </w:r>
      <w:r>
        <w:rPr>
          <w:i/>
          <w:sz w:val="18"/>
        </w:rPr>
        <w:t>Measures</w:t>
      </w:r>
      <w:r>
        <w:rPr>
          <w:i/>
          <w:spacing w:val="-7"/>
          <w:sz w:val="18"/>
        </w:rPr>
        <w:t xml:space="preserve"> </w:t>
      </w:r>
      <w:r>
        <w:rPr>
          <w:i/>
          <w:sz w:val="18"/>
        </w:rPr>
        <w:t>on</w:t>
      </w:r>
      <w:r>
        <w:rPr>
          <w:i/>
          <w:spacing w:val="-6"/>
          <w:sz w:val="18"/>
        </w:rPr>
        <w:t xml:space="preserve"> </w:t>
      </w:r>
      <w:r>
        <w:rPr>
          <w:i/>
          <w:sz w:val="18"/>
        </w:rPr>
        <w:t>Rice</w:t>
      </w:r>
      <w:r>
        <w:rPr>
          <w:sz w:val="18"/>
        </w:rPr>
        <w:t>,</w:t>
      </w:r>
      <w:r>
        <w:rPr>
          <w:spacing w:val="-5"/>
          <w:sz w:val="18"/>
        </w:rPr>
        <w:t xml:space="preserve"> </w:t>
      </w:r>
      <w:r>
        <w:rPr>
          <w:sz w:val="18"/>
        </w:rPr>
        <w:t>para.</w:t>
      </w:r>
      <w:r>
        <w:rPr>
          <w:spacing w:val="4"/>
          <w:sz w:val="18"/>
        </w:rPr>
        <w:t xml:space="preserve"> </w:t>
      </w:r>
      <w:r>
        <w:rPr>
          <w:spacing w:val="-4"/>
          <w:sz w:val="18"/>
        </w:rPr>
        <w:t>259.</w:t>
      </w:r>
    </w:p>
    <w:p w14:paraId="06955D8E" w14:textId="77777777" w:rsidR="00BD462C" w:rsidRDefault="00033D0F">
      <w:pPr>
        <w:spacing w:before="1"/>
        <w:ind w:left="135"/>
        <w:rPr>
          <w:sz w:val="18"/>
        </w:rPr>
      </w:pPr>
      <w:bookmarkStart w:id="331" w:name="_bookmark286"/>
      <w:bookmarkEnd w:id="331"/>
      <w:r>
        <w:rPr>
          <w:position w:val="5"/>
          <w:sz w:val="12"/>
        </w:rPr>
        <w:t>221</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 paras.</w:t>
      </w:r>
      <w:r>
        <w:rPr>
          <w:spacing w:val="-4"/>
          <w:sz w:val="18"/>
        </w:rPr>
        <w:t xml:space="preserve"> </w:t>
      </w:r>
      <w:r>
        <w:rPr>
          <w:sz w:val="18"/>
        </w:rPr>
        <w:t>186,</w:t>
      </w:r>
      <w:r>
        <w:rPr>
          <w:spacing w:val="-4"/>
          <w:sz w:val="18"/>
        </w:rPr>
        <w:t xml:space="preserve"> </w:t>
      </w:r>
      <w:r>
        <w:rPr>
          <w:sz w:val="18"/>
        </w:rPr>
        <w:t xml:space="preserve">380, </w:t>
      </w:r>
      <w:r>
        <w:rPr>
          <w:spacing w:val="-4"/>
          <w:sz w:val="18"/>
        </w:rPr>
        <w:t>420.</w:t>
      </w:r>
    </w:p>
    <w:p w14:paraId="2B32D24D" w14:textId="77777777" w:rsidR="00BD462C" w:rsidRDefault="00033D0F">
      <w:pPr>
        <w:spacing w:before="1"/>
        <w:ind w:left="135"/>
        <w:rPr>
          <w:sz w:val="18"/>
        </w:rPr>
      </w:pPr>
      <w:bookmarkStart w:id="332" w:name="_bookmark287"/>
      <w:bookmarkEnd w:id="332"/>
      <w:r>
        <w:rPr>
          <w:position w:val="5"/>
          <w:sz w:val="12"/>
        </w:rPr>
        <w:t>222</w:t>
      </w:r>
      <w:r>
        <w:rPr>
          <w:spacing w:val="11"/>
          <w:position w:val="5"/>
          <w:sz w:val="12"/>
        </w:rPr>
        <w:t xml:space="preserve"> </w:t>
      </w:r>
      <w:r>
        <w:rPr>
          <w:sz w:val="18"/>
        </w:rPr>
        <w:t>China's</w:t>
      </w:r>
      <w:r>
        <w:rPr>
          <w:spacing w:val="-6"/>
          <w:sz w:val="18"/>
        </w:rPr>
        <w:t xml:space="preserve"> </w:t>
      </w:r>
      <w:r>
        <w:rPr>
          <w:sz w:val="18"/>
        </w:rPr>
        <w:t>first</w:t>
      </w:r>
      <w:r>
        <w:rPr>
          <w:spacing w:val="-6"/>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paras.</w:t>
      </w:r>
      <w:r>
        <w:rPr>
          <w:spacing w:val="-5"/>
          <w:sz w:val="18"/>
        </w:rPr>
        <w:t xml:space="preserve"> </w:t>
      </w:r>
      <w:r>
        <w:rPr>
          <w:sz w:val="18"/>
        </w:rPr>
        <w:t>304,</w:t>
      </w:r>
      <w:r>
        <w:rPr>
          <w:spacing w:val="-5"/>
          <w:sz w:val="18"/>
        </w:rPr>
        <w:t xml:space="preserve"> </w:t>
      </w:r>
      <w:r>
        <w:rPr>
          <w:sz w:val="18"/>
        </w:rPr>
        <w:t>335, 384,</w:t>
      </w:r>
      <w:r>
        <w:rPr>
          <w:spacing w:val="-1"/>
          <w:sz w:val="18"/>
        </w:rPr>
        <w:t xml:space="preserve"> </w:t>
      </w:r>
      <w:r>
        <w:rPr>
          <w:sz w:val="18"/>
        </w:rPr>
        <w:t>388, 425,</w:t>
      </w:r>
      <w:r>
        <w:rPr>
          <w:spacing w:val="-5"/>
          <w:sz w:val="18"/>
        </w:rPr>
        <w:t xml:space="preserve"> </w:t>
      </w:r>
      <w:r>
        <w:rPr>
          <w:spacing w:val="-4"/>
          <w:sz w:val="18"/>
        </w:rPr>
        <w:t>430.</w:t>
      </w:r>
    </w:p>
    <w:p w14:paraId="57BA92E9" w14:textId="77777777" w:rsidR="00BD462C" w:rsidRDefault="00BD462C">
      <w:pPr>
        <w:rPr>
          <w:sz w:val="18"/>
        </w:rPr>
        <w:sectPr w:rsidR="00BD462C">
          <w:pgSz w:w="11910" w:h="16840"/>
          <w:pgMar w:top="860" w:right="500" w:bottom="780" w:left="1280" w:header="566" w:footer="590" w:gutter="0"/>
          <w:cols w:space="720"/>
        </w:sectPr>
      </w:pPr>
    </w:p>
    <w:p w14:paraId="2BA2E4AA"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232B1671"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4708A7DF"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228542E6" w14:textId="77777777" w:rsidR="005B7350" w:rsidRDefault="005B7350" w:rsidP="00DA02D9">
      <w:pPr>
        <w:pStyle w:val="Heading3"/>
        <w:numPr>
          <w:ilvl w:val="0"/>
          <w:numId w:val="70"/>
        </w:numPr>
        <w:tabs>
          <w:tab w:val="left" w:pos="2689"/>
          <w:tab w:val="left" w:pos="2690"/>
        </w:tabs>
        <w:spacing w:before="165"/>
      </w:pPr>
      <w:r>
        <w:t>MOFCOM</w:t>
      </w:r>
      <w:r>
        <w:rPr>
          <w:spacing w:val="-16"/>
        </w:rPr>
        <w:t xml:space="preserve"> </w:t>
      </w:r>
      <w:r>
        <w:t>acted</w:t>
      </w:r>
      <w:r>
        <w:rPr>
          <w:spacing w:val="-14"/>
        </w:rPr>
        <w:t xml:space="preserve"> </w:t>
      </w:r>
      <w:r>
        <w:t>inconsistently</w:t>
      </w:r>
      <w:r>
        <w:rPr>
          <w:spacing w:val="-13"/>
        </w:rPr>
        <w:t xml:space="preserve"> </w:t>
      </w:r>
      <w:r>
        <w:t>with</w:t>
      </w:r>
      <w:r>
        <w:rPr>
          <w:spacing w:val="-14"/>
        </w:rPr>
        <w:t xml:space="preserve"> </w:t>
      </w:r>
      <w:r>
        <w:t>paragraphs</w:t>
      </w:r>
      <w:r>
        <w:rPr>
          <w:spacing w:val="-13"/>
        </w:rPr>
        <w:t xml:space="preserve"> </w:t>
      </w:r>
      <w:r>
        <w:t>3</w:t>
      </w:r>
      <w:r>
        <w:rPr>
          <w:spacing w:val="-18"/>
        </w:rPr>
        <w:t xml:space="preserve"> </w:t>
      </w:r>
      <w:r>
        <w:t>and</w:t>
      </w:r>
      <w:r>
        <w:rPr>
          <w:spacing w:val="-14"/>
        </w:rPr>
        <w:t xml:space="preserve"> </w:t>
      </w:r>
      <w:r>
        <w:t>5</w:t>
      </w:r>
      <w:r>
        <w:rPr>
          <w:spacing w:val="-13"/>
        </w:rPr>
        <w:t xml:space="preserve"> </w:t>
      </w:r>
      <w:r>
        <w:t>of</w:t>
      </w:r>
      <w:r>
        <w:rPr>
          <w:spacing w:val="-14"/>
        </w:rPr>
        <w:t xml:space="preserve"> </w:t>
      </w:r>
      <w:r>
        <w:t>Annex</w:t>
      </w:r>
      <w:r>
        <w:rPr>
          <w:spacing w:val="-4"/>
        </w:rPr>
        <w:t xml:space="preserve"> </w:t>
      </w:r>
      <w:r>
        <w:rPr>
          <w:spacing w:val="-5"/>
        </w:rPr>
        <w:t>II</w:t>
      </w:r>
    </w:p>
    <w:p w14:paraId="6D643D4E" w14:textId="77777777" w:rsidR="005B7350" w:rsidRDefault="005B7350" w:rsidP="005B7350">
      <w:pPr>
        <w:pStyle w:val="BodyText"/>
        <w:spacing w:before="11"/>
        <w:rPr>
          <w:b/>
          <w:sz w:val="20"/>
        </w:rPr>
      </w:pPr>
    </w:p>
    <w:p w14:paraId="321CE00B" w14:textId="75D6A094" w:rsidR="00BD462C" w:rsidRDefault="005B7350" w:rsidP="005B7350">
      <w:pPr>
        <w:pStyle w:val="BodyText"/>
        <w:numPr>
          <w:ilvl w:val="0"/>
          <w:numId w:val="69"/>
        </w:numPr>
        <w:spacing w:before="56" w:line="357" w:lineRule="auto"/>
        <w:ind w:right="912"/>
        <w:jc w:val="both"/>
      </w:pPr>
      <w:r>
        <w:rPr>
          <w:position w:val="1"/>
        </w:rPr>
        <w:t>China argues that Forms 6-1-1, 6-1-2, 6-3</w:t>
      </w:r>
      <w:r>
        <w:rPr>
          <w:spacing w:val="-1"/>
          <w:position w:val="1"/>
        </w:rPr>
        <w:t xml:space="preserve"> </w:t>
      </w:r>
      <w:r>
        <w:rPr>
          <w:position w:val="1"/>
        </w:rPr>
        <w:t>and</w:t>
      </w:r>
      <w:r>
        <w:rPr>
          <w:spacing w:val="-1"/>
          <w:position w:val="1"/>
        </w:rPr>
        <w:t xml:space="preserve"> </w:t>
      </w:r>
      <w:r>
        <w:rPr>
          <w:position w:val="1"/>
        </w:rPr>
        <w:t>6-4 could</w:t>
      </w:r>
      <w:r>
        <w:rPr>
          <w:spacing w:val="-1"/>
          <w:position w:val="1"/>
        </w:rPr>
        <w:t xml:space="preserve"> </w:t>
      </w:r>
      <w:r>
        <w:rPr>
          <w:position w:val="1"/>
        </w:rPr>
        <w:t>not be used</w:t>
      </w:r>
      <w:r>
        <w:rPr>
          <w:spacing w:val="-1"/>
          <w:position w:val="1"/>
        </w:rPr>
        <w:t xml:space="preserve"> </w:t>
      </w:r>
      <w:r>
        <w:rPr>
          <w:position w:val="1"/>
        </w:rPr>
        <w:t xml:space="preserve">without "undue </w:t>
      </w:r>
      <w:r>
        <w:t>difficulties</w:t>
      </w:r>
      <w:proofErr w:type="gramStart"/>
      <w:r>
        <w:t>", and</w:t>
      </w:r>
      <w:proofErr w:type="gramEnd"/>
      <w:r>
        <w:t xml:space="preserve"> were not submitted in a timely manner.</w:t>
      </w:r>
      <w:r>
        <w:rPr>
          <w:spacing w:val="-14"/>
        </w:rPr>
        <w:t xml:space="preserve"> </w:t>
      </w:r>
      <w:hyperlink w:anchor="_bookmark287" w:history="1">
        <w:r>
          <w:rPr>
            <w:vertAlign w:val="superscript"/>
          </w:rPr>
          <w:t>222</w:t>
        </w:r>
      </w:hyperlink>
      <w:r>
        <w:t xml:space="preserve"> According to China, these two criteria in paragraph 3 of Annex II were not met and MOFCOM was not required to take the </w:t>
      </w:r>
      <w:r w:rsidR="00033D0F">
        <w:t>information contained in the forms into account when its determinations were made.</w:t>
      </w:r>
      <w:r w:rsidR="00033D0F" w:rsidRPr="005B7350">
        <w:rPr>
          <w:spacing w:val="-14"/>
        </w:rPr>
        <w:t xml:space="preserve"> </w:t>
      </w:r>
      <w:hyperlink w:anchor="_bookmark288" w:history="1">
        <w:r w:rsidR="00033D0F" w:rsidRPr="005B7350">
          <w:rPr>
            <w:vertAlign w:val="superscript"/>
          </w:rPr>
          <w:t>223</w:t>
        </w:r>
      </w:hyperlink>
      <w:r w:rsidR="00033D0F">
        <w:t xml:space="preserve"> Contrary</w:t>
      </w:r>
      <w:r w:rsidR="00033D0F" w:rsidRPr="005B7350">
        <w:rPr>
          <w:spacing w:val="-2"/>
        </w:rPr>
        <w:t xml:space="preserve"> </w:t>
      </w:r>
      <w:r w:rsidR="00033D0F">
        <w:t>to</w:t>
      </w:r>
      <w:r w:rsidR="00033D0F" w:rsidRPr="005B7350">
        <w:rPr>
          <w:spacing w:val="-1"/>
        </w:rPr>
        <w:t xml:space="preserve"> </w:t>
      </w:r>
      <w:r w:rsidR="00033D0F">
        <w:t>China's</w:t>
      </w:r>
      <w:r w:rsidR="00033D0F" w:rsidRPr="005B7350">
        <w:rPr>
          <w:spacing w:val="-2"/>
        </w:rPr>
        <w:t xml:space="preserve"> </w:t>
      </w:r>
      <w:r w:rsidR="00033D0F">
        <w:t>assertions,</w:t>
      </w:r>
      <w:r w:rsidR="00033D0F" w:rsidRPr="005B7350">
        <w:rPr>
          <w:spacing w:val="-1"/>
        </w:rPr>
        <w:t xml:space="preserve"> </w:t>
      </w:r>
      <w:r w:rsidR="00033D0F">
        <w:t>MOFCOM</w:t>
      </w:r>
      <w:r w:rsidR="00033D0F" w:rsidRPr="005B7350">
        <w:rPr>
          <w:spacing w:val="-3"/>
        </w:rPr>
        <w:t xml:space="preserve"> </w:t>
      </w:r>
      <w:r w:rsidR="00033D0F">
        <w:t>did</w:t>
      </w:r>
      <w:r w:rsidR="00033D0F" w:rsidRPr="005B7350">
        <w:rPr>
          <w:spacing w:val="-5"/>
        </w:rPr>
        <w:t xml:space="preserve"> </w:t>
      </w:r>
      <w:r w:rsidR="00033D0F">
        <w:t xml:space="preserve">not </w:t>
      </w:r>
      <w:proofErr w:type="gramStart"/>
      <w:r w:rsidR="00033D0F">
        <w:t>make</w:t>
      </w:r>
      <w:r w:rsidR="00033D0F" w:rsidRPr="005B7350">
        <w:rPr>
          <w:spacing w:val="-3"/>
        </w:rPr>
        <w:t xml:space="preserve"> </w:t>
      </w:r>
      <w:r w:rsidR="00033D0F">
        <w:t>an</w:t>
      </w:r>
      <w:r w:rsidR="00033D0F" w:rsidRPr="005B7350">
        <w:rPr>
          <w:spacing w:val="-5"/>
        </w:rPr>
        <w:t xml:space="preserve"> </w:t>
      </w:r>
      <w:r w:rsidR="00033D0F">
        <w:t>assessment</w:t>
      </w:r>
      <w:r w:rsidR="00033D0F" w:rsidRPr="005B7350">
        <w:rPr>
          <w:spacing w:val="-3"/>
        </w:rPr>
        <w:t xml:space="preserve"> </w:t>
      </w:r>
      <w:r w:rsidR="00033D0F">
        <w:t>of</w:t>
      </w:r>
      <w:proofErr w:type="gramEnd"/>
      <w:r w:rsidR="00033D0F" w:rsidRPr="005B7350">
        <w:rPr>
          <w:spacing w:val="-5"/>
        </w:rPr>
        <w:t xml:space="preserve"> </w:t>
      </w:r>
      <w:r w:rsidR="00033D0F">
        <w:t>"undue difficulties". Moreover, the record does not support such a finding. In addition, the information was not untimely, and MOFCOM failed to make an assessment about whether the forms were submitted in a reasonable period.</w:t>
      </w:r>
    </w:p>
    <w:p w14:paraId="18CBCB28" w14:textId="77777777" w:rsidR="00BD462C" w:rsidRDefault="00BD462C">
      <w:pPr>
        <w:pStyle w:val="BodyText"/>
        <w:spacing w:before="11"/>
        <w:rPr>
          <w:sz w:val="8"/>
        </w:rPr>
      </w:pPr>
    </w:p>
    <w:p w14:paraId="5D3D8A1B" w14:textId="6F4CBD6E" w:rsidR="00BD462C" w:rsidRDefault="00033D0F" w:rsidP="005B7350">
      <w:pPr>
        <w:pStyle w:val="BodyText"/>
        <w:numPr>
          <w:ilvl w:val="0"/>
          <w:numId w:val="69"/>
        </w:numPr>
        <w:spacing w:before="56" w:line="357" w:lineRule="auto"/>
        <w:ind w:right="914"/>
        <w:jc w:val="both"/>
      </w:pPr>
      <w:r>
        <w:rPr>
          <w:position w:val="1"/>
        </w:rPr>
        <w:t xml:space="preserve">China also contends that Treasury Wines did not act to the best of its ability and did </w:t>
      </w:r>
      <w:r>
        <w:t>not demonstrate a willingness to cooperate.</w:t>
      </w:r>
      <w:hyperlink w:anchor="_bookmark289" w:history="1">
        <w:r>
          <w:rPr>
            <w:vertAlign w:val="superscript"/>
          </w:rPr>
          <w:t>224</w:t>
        </w:r>
      </w:hyperlink>
      <w:r>
        <w:t xml:space="preserve"> The record evidence directly contradicts China's arguments.</w:t>
      </w:r>
    </w:p>
    <w:p w14:paraId="1CE82014" w14:textId="77777777" w:rsidR="00BD462C" w:rsidRDefault="00033D0F" w:rsidP="00DA02D9">
      <w:pPr>
        <w:pStyle w:val="ListParagraph"/>
        <w:numPr>
          <w:ilvl w:val="1"/>
          <w:numId w:val="70"/>
        </w:numPr>
        <w:tabs>
          <w:tab w:val="left" w:pos="3539"/>
          <w:tab w:val="left" w:pos="3540"/>
        </w:tabs>
        <w:spacing w:before="164" w:line="357" w:lineRule="auto"/>
        <w:ind w:right="919"/>
        <w:jc w:val="both"/>
        <w:rPr>
          <w:sz w:val="24"/>
        </w:rPr>
      </w:pPr>
      <w:bookmarkStart w:id="333" w:name="(a)_MOFCOM_did_not_find_that_the_informa"/>
      <w:bookmarkEnd w:id="333"/>
      <w:r>
        <w:rPr>
          <w:sz w:val="24"/>
          <w:u w:val="single"/>
        </w:rPr>
        <w:t>MOFCOM did not find that the information could not be</w:t>
      </w:r>
      <w:r>
        <w:rPr>
          <w:sz w:val="24"/>
        </w:rPr>
        <w:t xml:space="preserve"> </w:t>
      </w:r>
      <w:r>
        <w:rPr>
          <w:sz w:val="24"/>
          <w:u w:val="single"/>
        </w:rPr>
        <w:t>used without undue difficulties</w:t>
      </w:r>
    </w:p>
    <w:p w14:paraId="102352D2" w14:textId="77777777" w:rsidR="00BD462C" w:rsidRDefault="00BD462C">
      <w:pPr>
        <w:pStyle w:val="BodyText"/>
        <w:spacing w:before="2"/>
        <w:rPr>
          <w:sz w:val="9"/>
        </w:rPr>
      </w:pPr>
    </w:p>
    <w:p w14:paraId="362CF491" w14:textId="36A0BCB3" w:rsidR="00BD462C" w:rsidRDefault="00033D0F" w:rsidP="005B7350">
      <w:pPr>
        <w:pStyle w:val="BodyText"/>
        <w:numPr>
          <w:ilvl w:val="0"/>
          <w:numId w:val="69"/>
        </w:numPr>
        <w:spacing w:before="56" w:line="357" w:lineRule="auto"/>
        <w:ind w:right="923"/>
      </w:pPr>
      <w:r>
        <w:rPr>
          <w:position w:val="1"/>
        </w:rPr>
        <w:t>China</w:t>
      </w:r>
      <w:r>
        <w:rPr>
          <w:spacing w:val="79"/>
          <w:w w:val="150"/>
          <w:position w:val="1"/>
        </w:rPr>
        <w:t xml:space="preserve"> </w:t>
      </w:r>
      <w:r>
        <w:rPr>
          <w:position w:val="1"/>
        </w:rPr>
        <w:t>asserts</w:t>
      </w:r>
      <w:r>
        <w:rPr>
          <w:spacing w:val="80"/>
          <w:w w:val="150"/>
          <w:position w:val="1"/>
        </w:rPr>
        <w:t xml:space="preserve"> </w:t>
      </w:r>
      <w:r>
        <w:rPr>
          <w:position w:val="1"/>
        </w:rPr>
        <w:t>that</w:t>
      </w:r>
      <w:r>
        <w:rPr>
          <w:spacing w:val="80"/>
          <w:w w:val="150"/>
          <w:position w:val="1"/>
        </w:rPr>
        <w:t xml:space="preserve"> </w:t>
      </w:r>
      <w:r>
        <w:rPr>
          <w:position w:val="1"/>
        </w:rPr>
        <w:t>because</w:t>
      </w:r>
      <w:r>
        <w:rPr>
          <w:spacing w:val="80"/>
          <w:w w:val="150"/>
          <w:position w:val="1"/>
        </w:rPr>
        <w:t xml:space="preserve"> </w:t>
      </w:r>
      <w:r>
        <w:rPr>
          <w:position w:val="1"/>
        </w:rPr>
        <w:t>Forms</w:t>
      </w:r>
      <w:r>
        <w:rPr>
          <w:spacing w:val="80"/>
          <w:w w:val="150"/>
          <w:position w:val="1"/>
        </w:rPr>
        <w:t xml:space="preserve"> </w:t>
      </w:r>
      <w:r>
        <w:rPr>
          <w:position w:val="1"/>
        </w:rPr>
        <w:t>6-1-1,</w:t>
      </w:r>
      <w:r>
        <w:rPr>
          <w:spacing w:val="80"/>
          <w:w w:val="150"/>
          <w:position w:val="1"/>
        </w:rPr>
        <w:t xml:space="preserve"> </w:t>
      </w:r>
      <w:r>
        <w:rPr>
          <w:position w:val="1"/>
        </w:rPr>
        <w:t>6-1-2,</w:t>
      </w:r>
      <w:r>
        <w:rPr>
          <w:spacing w:val="80"/>
          <w:w w:val="150"/>
          <w:position w:val="1"/>
        </w:rPr>
        <w:t xml:space="preserve"> </w:t>
      </w:r>
      <w:r>
        <w:rPr>
          <w:position w:val="1"/>
        </w:rPr>
        <w:t>6-3</w:t>
      </w:r>
      <w:r>
        <w:rPr>
          <w:spacing w:val="77"/>
          <w:w w:val="150"/>
          <w:position w:val="1"/>
        </w:rPr>
        <w:t xml:space="preserve"> </w:t>
      </w:r>
      <w:r>
        <w:rPr>
          <w:position w:val="1"/>
        </w:rPr>
        <w:t>and</w:t>
      </w:r>
      <w:r>
        <w:rPr>
          <w:spacing w:val="78"/>
          <w:w w:val="150"/>
          <w:position w:val="1"/>
        </w:rPr>
        <w:t xml:space="preserve"> </w:t>
      </w:r>
      <w:r>
        <w:rPr>
          <w:position w:val="1"/>
        </w:rPr>
        <w:t>6-4</w:t>
      </w:r>
      <w:r>
        <w:rPr>
          <w:spacing w:val="77"/>
          <w:w w:val="150"/>
          <w:position w:val="1"/>
        </w:rPr>
        <w:t xml:space="preserve"> </w:t>
      </w:r>
      <w:r>
        <w:rPr>
          <w:position w:val="1"/>
        </w:rPr>
        <w:t>submitted</w:t>
      </w:r>
      <w:r>
        <w:rPr>
          <w:spacing w:val="78"/>
          <w:w w:val="150"/>
          <w:position w:val="1"/>
        </w:rPr>
        <w:t xml:space="preserve"> </w:t>
      </w:r>
      <w:r>
        <w:rPr>
          <w:position w:val="1"/>
        </w:rPr>
        <w:t xml:space="preserve">by </w:t>
      </w:r>
      <w:r>
        <w:t>Treasury Wines were not complete, they could not be used without undue difficulties.</w:t>
      </w:r>
      <w:hyperlink w:anchor="_bookmark290" w:history="1">
        <w:r>
          <w:rPr>
            <w:vertAlign w:val="superscript"/>
          </w:rPr>
          <w:t>225</w:t>
        </w:r>
      </w:hyperlink>
    </w:p>
    <w:p w14:paraId="75AF33F1" w14:textId="77777777" w:rsidR="00BD462C" w:rsidRDefault="00BD462C">
      <w:pPr>
        <w:pStyle w:val="BodyText"/>
        <w:spacing w:before="3"/>
        <w:rPr>
          <w:sz w:val="9"/>
        </w:rPr>
      </w:pPr>
    </w:p>
    <w:p w14:paraId="5D689983" w14:textId="36C5DC33" w:rsidR="00BD462C" w:rsidRDefault="00033D0F" w:rsidP="005B7350">
      <w:pPr>
        <w:pStyle w:val="BodyText"/>
        <w:numPr>
          <w:ilvl w:val="0"/>
          <w:numId w:val="69"/>
        </w:numPr>
        <w:spacing w:before="56" w:line="360" w:lineRule="auto"/>
        <w:ind w:right="913"/>
        <w:jc w:val="both"/>
      </w:pPr>
      <w:r>
        <w:rPr>
          <w:position w:val="1"/>
        </w:rPr>
        <w:t>An</w:t>
      </w:r>
      <w:r>
        <w:rPr>
          <w:spacing w:val="-14"/>
          <w:position w:val="1"/>
        </w:rPr>
        <w:t xml:space="preserve"> </w:t>
      </w:r>
      <w:r>
        <w:rPr>
          <w:position w:val="1"/>
        </w:rPr>
        <w:t>investigating</w:t>
      </w:r>
      <w:r>
        <w:rPr>
          <w:spacing w:val="-9"/>
          <w:position w:val="1"/>
        </w:rPr>
        <w:t xml:space="preserve"> </w:t>
      </w:r>
      <w:r>
        <w:rPr>
          <w:position w:val="1"/>
        </w:rPr>
        <w:t>authority</w:t>
      </w:r>
      <w:r>
        <w:rPr>
          <w:spacing w:val="-14"/>
          <w:position w:val="1"/>
        </w:rPr>
        <w:t xml:space="preserve"> </w:t>
      </w:r>
      <w:r>
        <w:rPr>
          <w:position w:val="1"/>
        </w:rPr>
        <w:t>is</w:t>
      </w:r>
      <w:r>
        <w:rPr>
          <w:spacing w:val="-9"/>
          <w:position w:val="1"/>
        </w:rPr>
        <w:t xml:space="preserve"> </w:t>
      </w:r>
      <w:r>
        <w:rPr>
          <w:position w:val="1"/>
        </w:rPr>
        <w:t>required</w:t>
      </w:r>
      <w:r>
        <w:rPr>
          <w:spacing w:val="-14"/>
          <w:position w:val="1"/>
        </w:rPr>
        <w:t xml:space="preserve"> </w:t>
      </w:r>
      <w:r>
        <w:rPr>
          <w:position w:val="1"/>
        </w:rPr>
        <w:t>to</w:t>
      </w:r>
      <w:r>
        <w:rPr>
          <w:spacing w:val="-13"/>
          <w:position w:val="1"/>
        </w:rPr>
        <w:t xml:space="preserve"> </w:t>
      </w:r>
      <w:r>
        <w:rPr>
          <w:position w:val="1"/>
        </w:rPr>
        <w:t>explain</w:t>
      </w:r>
      <w:r>
        <w:rPr>
          <w:spacing w:val="-14"/>
          <w:position w:val="1"/>
        </w:rPr>
        <w:t xml:space="preserve"> </w:t>
      </w:r>
      <w:r>
        <w:rPr>
          <w:position w:val="1"/>
        </w:rPr>
        <w:t>in</w:t>
      </w:r>
      <w:r>
        <w:rPr>
          <w:spacing w:val="-14"/>
          <w:position w:val="1"/>
        </w:rPr>
        <w:t xml:space="preserve"> </w:t>
      </w:r>
      <w:r>
        <w:rPr>
          <w:position w:val="1"/>
        </w:rPr>
        <w:t>what</w:t>
      </w:r>
      <w:r>
        <w:rPr>
          <w:spacing w:val="-10"/>
          <w:position w:val="1"/>
        </w:rPr>
        <w:t xml:space="preserve"> </w:t>
      </w:r>
      <w:r>
        <w:rPr>
          <w:position w:val="1"/>
        </w:rPr>
        <w:t>way</w:t>
      </w:r>
      <w:r>
        <w:rPr>
          <w:spacing w:val="-11"/>
          <w:position w:val="1"/>
        </w:rPr>
        <w:t xml:space="preserve"> </w:t>
      </w:r>
      <w:r>
        <w:rPr>
          <w:position w:val="1"/>
        </w:rPr>
        <w:t>the</w:t>
      </w:r>
      <w:r>
        <w:rPr>
          <w:spacing w:val="-12"/>
          <w:position w:val="1"/>
        </w:rPr>
        <w:t xml:space="preserve"> </w:t>
      </w:r>
      <w:r>
        <w:rPr>
          <w:position w:val="1"/>
        </w:rPr>
        <w:t>information</w:t>
      </w:r>
      <w:r>
        <w:rPr>
          <w:spacing w:val="-14"/>
          <w:position w:val="1"/>
        </w:rPr>
        <w:t xml:space="preserve"> </w:t>
      </w:r>
      <w:r>
        <w:rPr>
          <w:position w:val="1"/>
        </w:rPr>
        <w:t>it</w:t>
      </w:r>
      <w:r>
        <w:rPr>
          <w:spacing w:val="-10"/>
          <w:position w:val="1"/>
        </w:rPr>
        <w:t xml:space="preserve"> </w:t>
      </w:r>
      <w:r>
        <w:rPr>
          <w:position w:val="1"/>
        </w:rPr>
        <w:t xml:space="preserve">rejects </w:t>
      </w:r>
      <w:r>
        <w:t>does not meet the requirements set out in paragraph 3 of Annex II.</w:t>
      </w:r>
      <w:hyperlink w:anchor="_bookmark291" w:history="1">
        <w:r>
          <w:rPr>
            <w:vertAlign w:val="superscript"/>
          </w:rPr>
          <w:t>226</w:t>
        </w:r>
      </w:hyperlink>
      <w:r>
        <w:t xml:space="preserve"> Whether using information would give rise to "undue difficulties" has been held to be a highly fact specific issue, requiring an investigating authority to explain the basis of its conclusion.</w:t>
      </w:r>
      <w:r>
        <w:rPr>
          <w:spacing w:val="-14"/>
        </w:rPr>
        <w:t xml:space="preserve"> </w:t>
      </w:r>
      <w:hyperlink w:anchor="_bookmark292" w:history="1">
        <w:r>
          <w:rPr>
            <w:vertAlign w:val="superscript"/>
          </w:rPr>
          <w:t>227</w:t>
        </w:r>
      </w:hyperlink>
      <w:r>
        <w:t xml:space="preserve"> </w:t>
      </w:r>
    </w:p>
    <w:p w14:paraId="10D62543" w14:textId="77777777" w:rsidR="00BD462C" w:rsidRDefault="00BD462C">
      <w:pPr>
        <w:pStyle w:val="BodyText"/>
        <w:rPr>
          <w:sz w:val="20"/>
        </w:rPr>
      </w:pPr>
    </w:p>
    <w:p w14:paraId="026039AF" w14:textId="77777777" w:rsidR="00BD462C" w:rsidRDefault="00BD462C">
      <w:pPr>
        <w:pStyle w:val="BodyText"/>
        <w:rPr>
          <w:sz w:val="20"/>
        </w:rPr>
      </w:pPr>
    </w:p>
    <w:p w14:paraId="4091A6D8" w14:textId="33037BFD" w:rsidR="00BD462C" w:rsidRDefault="00D70C7D">
      <w:pPr>
        <w:pStyle w:val="BodyText"/>
        <w:spacing w:before="5"/>
        <w:rPr>
          <w:sz w:val="10"/>
        </w:rPr>
      </w:pPr>
      <w:r>
        <w:rPr>
          <w:noProof/>
        </w:rPr>
        <mc:AlternateContent>
          <mc:Choice Requires="wps">
            <w:drawing>
              <wp:anchor distT="0" distB="0" distL="0" distR="0" simplePos="0" relativeHeight="487654400" behindDoc="1" locked="0" layoutInCell="1" allowOverlap="1" wp14:anchorId="08383C40" wp14:editId="354EEA92">
                <wp:simplePos x="0" y="0"/>
                <wp:positionH relativeFrom="page">
                  <wp:posOffset>899160</wp:posOffset>
                </wp:positionH>
                <wp:positionV relativeFrom="paragraph">
                  <wp:posOffset>95885</wp:posOffset>
                </wp:positionV>
                <wp:extent cx="1828800" cy="8890"/>
                <wp:effectExtent l="0" t="0" r="0" b="0"/>
                <wp:wrapTopAndBottom/>
                <wp:docPr id="1140" name="docshape1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07A62E" id="docshape146" o:spid="_x0000_s1026" alt="&quot;&quot;" style="position:absolute;margin-left:70.8pt;margin-top:7.55pt;width:2in;height:.7pt;z-index:-15662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" fillcolor="black" stroked="f">
                <w10:wrap type="topAndBottom" anchorx="page"/>
              </v:rect>
            </w:pict>
          </mc:Fallback>
        </mc:AlternateContent>
      </w:r>
    </w:p>
    <w:p w14:paraId="2EBA961F" w14:textId="77777777" w:rsidR="00BD462C" w:rsidRDefault="00033D0F">
      <w:pPr>
        <w:spacing w:before="112"/>
        <w:ind w:left="136" w:right="907" w:hanging="1"/>
        <w:jc w:val="both"/>
        <w:rPr>
          <w:sz w:val="18"/>
        </w:rPr>
      </w:pPr>
      <w:bookmarkStart w:id="334" w:name="_bookmark288"/>
      <w:bookmarkEnd w:id="334"/>
      <w:r>
        <w:rPr>
          <w:position w:val="5"/>
          <w:sz w:val="12"/>
        </w:rPr>
        <w:t>223</w:t>
      </w:r>
      <w:r>
        <w:rPr>
          <w:spacing w:val="22"/>
          <w:position w:val="5"/>
          <w:sz w:val="12"/>
        </w:rPr>
        <w:t xml:space="preserve"> </w:t>
      </w:r>
      <w:r>
        <w:rPr>
          <w:sz w:val="18"/>
        </w:rPr>
        <w:t xml:space="preserve">China explicitly refers to only these two criteria in paragraph 3 of Annex II in its first written submission. China does not offer any rebuttal to Australia's </w:t>
      </w:r>
      <w:r>
        <w:rPr>
          <w:i/>
          <w:sz w:val="18"/>
        </w:rPr>
        <w:t xml:space="preserve">prima facie </w:t>
      </w:r>
      <w:r>
        <w:rPr>
          <w:sz w:val="18"/>
        </w:rPr>
        <w:t xml:space="preserve">case that the information submitted by Treasury Wines met the criteria of paragraph 3 of Annex II and therefore MOFCOM was required to take that information into account when making its determinations. For completeness, Australia addresses China's arguments that the information was not verifiable in para. </w:t>
      </w:r>
      <w:hyperlink w:anchor="_bookmark294" w:history="1">
        <w:r>
          <w:rPr>
            <w:spacing w:val="-4"/>
            <w:sz w:val="18"/>
          </w:rPr>
          <w:t>159.</w:t>
        </w:r>
      </w:hyperlink>
    </w:p>
    <w:p w14:paraId="471DF216" w14:textId="77777777" w:rsidR="00BD462C" w:rsidRDefault="00033D0F">
      <w:pPr>
        <w:ind w:left="135"/>
        <w:jc w:val="both"/>
        <w:rPr>
          <w:sz w:val="18"/>
        </w:rPr>
      </w:pPr>
      <w:bookmarkStart w:id="335" w:name="_bookmark289"/>
      <w:bookmarkEnd w:id="335"/>
      <w:r>
        <w:rPr>
          <w:position w:val="5"/>
          <w:sz w:val="12"/>
        </w:rPr>
        <w:t>224</w:t>
      </w:r>
      <w:r>
        <w:rPr>
          <w:spacing w:val="12"/>
          <w:position w:val="5"/>
          <w:sz w:val="12"/>
        </w:rPr>
        <w:t xml:space="preserve"> </w:t>
      </w:r>
      <w:r>
        <w:rPr>
          <w:sz w:val="18"/>
        </w:rPr>
        <w:t>China's</w:t>
      </w:r>
      <w:r>
        <w:rPr>
          <w:spacing w:val="-7"/>
          <w:sz w:val="18"/>
        </w:rPr>
        <w:t xml:space="preserve"> </w:t>
      </w:r>
      <w:r>
        <w:rPr>
          <w:sz w:val="18"/>
        </w:rPr>
        <w:t>first</w:t>
      </w:r>
      <w:r>
        <w:rPr>
          <w:spacing w:val="-5"/>
          <w:sz w:val="18"/>
        </w:rPr>
        <w:t xml:space="preserve"> </w:t>
      </w:r>
      <w:r>
        <w:rPr>
          <w:sz w:val="18"/>
        </w:rPr>
        <w:t>written</w:t>
      </w:r>
      <w:r>
        <w:rPr>
          <w:spacing w:val="-7"/>
          <w:sz w:val="18"/>
        </w:rPr>
        <w:t xml:space="preserve"> </w:t>
      </w:r>
      <w:r>
        <w:rPr>
          <w:sz w:val="18"/>
        </w:rPr>
        <w:t>submission, paras.</w:t>
      </w:r>
      <w:r>
        <w:rPr>
          <w:spacing w:val="-6"/>
          <w:sz w:val="18"/>
        </w:rPr>
        <w:t xml:space="preserve"> </w:t>
      </w:r>
      <w:r>
        <w:rPr>
          <w:sz w:val="18"/>
        </w:rPr>
        <w:t>277,</w:t>
      </w:r>
      <w:r>
        <w:rPr>
          <w:spacing w:val="-4"/>
          <w:sz w:val="18"/>
        </w:rPr>
        <w:t xml:space="preserve"> </w:t>
      </w:r>
      <w:r>
        <w:rPr>
          <w:sz w:val="18"/>
        </w:rPr>
        <w:t>302-303,</w:t>
      </w:r>
      <w:r>
        <w:rPr>
          <w:spacing w:val="-5"/>
          <w:sz w:val="18"/>
        </w:rPr>
        <w:t xml:space="preserve"> </w:t>
      </w:r>
      <w:r>
        <w:rPr>
          <w:sz w:val="18"/>
        </w:rPr>
        <w:t>334,</w:t>
      </w:r>
      <w:r>
        <w:rPr>
          <w:spacing w:val="-4"/>
          <w:sz w:val="18"/>
        </w:rPr>
        <w:t xml:space="preserve"> </w:t>
      </w:r>
      <w:r>
        <w:rPr>
          <w:sz w:val="18"/>
        </w:rPr>
        <w:t>336,</w:t>
      </w:r>
      <w:r>
        <w:rPr>
          <w:spacing w:val="-5"/>
          <w:sz w:val="18"/>
        </w:rPr>
        <w:t xml:space="preserve"> </w:t>
      </w:r>
      <w:r>
        <w:rPr>
          <w:sz w:val="18"/>
        </w:rPr>
        <w:t>383-384,</w:t>
      </w:r>
      <w:r>
        <w:rPr>
          <w:spacing w:val="-4"/>
          <w:sz w:val="18"/>
        </w:rPr>
        <w:t xml:space="preserve"> </w:t>
      </w:r>
      <w:r>
        <w:rPr>
          <w:sz w:val="18"/>
        </w:rPr>
        <w:t>424-</w:t>
      </w:r>
      <w:r>
        <w:rPr>
          <w:spacing w:val="-4"/>
          <w:sz w:val="18"/>
        </w:rPr>
        <w:t>425.</w:t>
      </w:r>
    </w:p>
    <w:p w14:paraId="62DD1320" w14:textId="77777777" w:rsidR="00BD462C" w:rsidRDefault="00033D0F">
      <w:pPr>
        <w:spacing w:before="1" w:line="218" w:lineRule="exact"/>
        <w:ind w:left="135"/>
        <w:jc w:val="both"/>
        <w:rPr>
          <w:sz w:val="18"/>
        </w:rPr>
      </w:pPr>
      <w:bookmarkStart w:id="336" w:name="_bookmark290"/>
      <w:bookmarkEnd w:id="336"/>
      <w:r>
        <w:rPr>
          <w:position w:val="5"/>
          <w:sz w:val="12"/>
        </w:rPr>
        <w:t>225</w:t>
      </w:r>
      <w:r>
        <w:rPr>
          <w:spacing w:val="12"/>
          <w:position w:val="5"/>
          <w:sz w:val="12"/>
        </w:rPr>
        <w:t xml:space="preserve"> </w:t>
      </w:r>
      <w:r>
        <w:rPr>
          <w:sz w:val="18"/>
        </w:rPr>
        <w:t>China's</w:t>
      </w:r>
      <w:r>
        <w:rPr>
          <w:spacing w:val="-6"/>
          <w:sz w:val="18"/>
        </w:rPr>
        <w:t xml:space="preserve"> </w:t>
      </w:r>
      <w:r>
        <w:rPr>
          <w:sz w:val="18"/>
        </w:rPr>
        <w:t>first</w:t>
      </w:r>
      <w:r>
        <w:rPr>
          <w:spacing w:val="-5"/>
          <w:sz w:val="18"/>
        </w:rPr>
        <w:t xml:space="preserve"> </w:t>
      </w:r>
      <w:r>
        <w:rPr>
          <w:sz w:val="18"/>
        </w:rPr>
        <w:t>written</w:t>
      </w:r>
      <w:r>
        <w:rPr>
          <w:spacing w:val="-7"/>
          <w:sz w:val="18"/>
        </w:rPr>
        <w:t xml:space="preserve"> </w:t>
      </w:r>
      <w:r>
        <w:rPr>
          <w:sz w:val="18"/>
        </w:rPr>
        <w:t>submission, paras.</w:t>
      </w:r>
      <w:r>
        <w:rPr>
          <w:spacing w:val="-5"/>
          <w:sz w:val="18"/>
        </w:rPr>
        <w:t xml:space="preserve"> </w:t>
      </w:r>
      <w:r>
        <w:rPr>
          <w:sz w:val="18"/>
        </w:rPr>
        <w:t>304,</w:t>
      </w:r>
      <w:r>
        <w:rPr>
          <w:spacing w:val="-4"/>
          <w:sz w:val="18"/>
        </w:rPr>
        <w:t xml:space="preserve"> </w:t>
      </w:r>
      <w:r>
        <w:rPr>
          <w:sz w:val="18"/>
        </w:rPr>
        <w:t>335, 384,</w:t>
      </w:r>
      <w:r>
        <w:rPr>
          <w:spacing w:val="1"/>
          <w:sz w:val="18"/>
        </w:rPr>
        <w:t xml:space="preserve"> </w:t>
      </w:r>
      <w:r>
        <w:rPr>
          <w:spacing w:val="-4"/>
          <w:sz w:val="18"/>
        </w:rPr>
        <w:t>425.</w:t>
      </w:r>
    </w:p>
    <w:p w14:paraId="5633AA5C" w14:textId="77777777" w:rsidR="00BD462C" w:rsidRDefault="00033D0F">
      <w:pPr>
        <w:ind w:left="136" w:right="911" w:hanging="1"/>
        <w:jc w:val="both"/>
        <w:rPr>
          <w:sz w:val="18"/>
        </w:rPr>
      </w:pPr>
      <w:bookmarkStart w:id="337" w:name="_bookmark291"/>
      <w:bookmarkEnd w:id="337"/>
      <w:r>
        <w:rPr>
          <w:position w:val="5"/>
          <w:sz w:val="12"/>
        </w:rPr>
        <w:t>226</w:t>
      </w:r>
      <w:r>
        <w:rPr>
          <w:spacing w:val="40"/>
          <w:position w:val="5"/>
          <w:sz w:val="12"/>
        </w:rPr>
        <w:t xml:space="preserve"> </w:t>
      </w:r>
      <w:r>
        <w:rPr>
          <w:sz w:val="18"/>
        </w:rPr>
        <w:t>See Australia's</w:t>
      </w:r>
      <w:r>
        <w:rPr>
          <w:spacing w:val="25"/>
          <w:sz w:val="18"/>
        </w:rPr>
        <w:t xml:space="preserve"> </w:t>
      </w:r>
      <w:r>
        <w:rPr>
          <w:sz w:val="18"/>
        </w:rPr>
        <w:t>first</w:t>
      </w:r>
      <w:r>
        <w:rPr>
          <w:spacing w:val="26"/>
          <w:sz w:val="18"/>
        </w:rPr>
        <w:t xml:space="preserve"> </w:t>
      </w:r>
      <w:r>
        <w:rPr>
          <w:sz w:val="18"/>
        </w:rPr>
        <w:t>written submission,</w:t>
      </w:r>
      <w:r>
        <w:rPr>
          <w:spacing w:val="27"/>
          <w:sz w:val="18"/>
        </w:rPr>
        <w:t xml:space="preserve"> </w:t>
      </w:r>
      <w:r>
        <w:rPr>
          <w:sz w:val="18"/>
        </w:rPr>
        <w:t>paras.</w:t>
      </w:r>
      <w:r>
        <w:rPr>
          <w:spacing w:val="26"/>
          <w:sz w:val="18"/>
        </w:rPr>
        <w:t xml:space="preserve"> </w:t>
      </w:r>
      <w:r>
        <w:rPr>
          <w:sz w:val="18"/>
        </w:rPr>
        <w:t>68</w:t>
      </w:r>
      <w:r>
        <w:rPr>
          <w:spacing w:val="23"/>
          <w:sz w:val="18"/>
        </w:rPr>
        <w:t xml:space="preserve"> </w:t>
      </w:r>
      <w:r>
        <w:rPr>
          <w:sz w:val="18"/>
        </w:rPr>
        <w:t>and</w:t>
      </w:r>
      <w:r>
        <w:rPr>
          <w:spacing w:val="25"/>
          <w:sz w:val="18"/>
        </w:rPr>
        <w:t xml:space="preserve"> </w:t>
      </w:r>
      <w:r>
        <w:rPr>
          <w:sz w:val="18"/>
        </w:rPr>
        <w:t>71;</w:t>
      </w:r>
      <w:r>
        <w:rPr>
          <w:spacing w:val="24"/>
          <w:sz w:val="18"/>
        </w:rPr>
        <w:t xml:space="preserve"> </w:t>
      </w:r>
      <w:r>
        <w:rPr>
          <w:sz w:val="18"/>
        </w:rPr>
        <w:t>Panel</w:t>
      </w:r>
      <w:r>
        <w:rPr>
          <w:spacing w:val="26"/>
          <w:sz w:val="18"/>
        </w:rPr>
        <w:t xml:space="preserve"> </w:t>
      </w:r>
      <w:r>
        <w:rPr>
          <w:sz w:val="18"/>
        </w:rPr>
        <w:t>Report,</w:t>
      </w:r>
      <w:r>
        <w:rPr>
          <w:spacing w:val="26"/>
          <w:sz w:val="18"/>
        </w:rPr>
        <w:t xml:space="preserve"> </w:t>
      </w:r>
      <w:r>
        <w:rPr>
          <w:i/>
          <w:sz w:val="18"/>
        </w:rPr>
        <w:t>China</w:t>
      </w:r>
      <w:r>
        <w:rPr>
          <w:i/>
          <w:spacing w:val="27"/>
          <w:sz w:val="18"/>
        </w:rPr>
        <w:t xml:space="preserve"> </w:t>
      </w:r>
      <w:r>
        <w:rPr>
          <w:i/>
          <w:sz w:val="18"/>
        </w:rPr>
        <w:t>– Broiler</w:t>
      </w:r>
      <w:r>
        <w:rPr>
          <w:i/>
          <w:spacing w:val="24"/>
          <w:sz w:val="18"/>
        </w:rPr>
        <w:t xml:space="preserve"> </w:t>
      </w:r>
      <w:r>
        <w:rPr>
          <w:i/>
          <w:sz w:val="18"/>
        </w:rPr>
        <w:t>Products</w:t>
      </w:r>
      <w:r>
        <w:rPr>
          <w:i/>
          <w:spacing w:val="25"/>
          <w:sz w:val="18"/>
        </w:rPr>
        <w:t xml:space="preserve"> </w:t>
      </w:r>
      <w:r>
        <w:rPr>
          <w:i/>
          <w:sz w:val="18"/>
        </w:rPr>
        <w:t>(Article</w:t>
      </w:r>
      <w:r>
        <w:rPr>
          <w:i/>
          <w:spacing w:val="24"/>
          <w:sz w:val="18"/>
        </w:rPr>
        <w:t xml:space="preserve"> </w:t>
      </w:r>
      <w:r>
        <w:rPr>
          <w:i/>
          <w:sz w:val="18"/>
        </w:rPr>
        <w:t>21.5 -</w:t>
      </w:r>
      <w:r>
        <w:rPr>
          <w:i/>
          <w:spacing w:val="26"/>
          <w:sz w:val="18"/>
        </w:rPr>
        <w:t xml:space="preserve"> </w:t>
      </w:r>
      <w:r>
        <w:rPr>
          <w:i/>
          <w:sz w:val="18"/>
        </w:rPr>
        <w:t>US)</w:t>
      </w:r>
      <w:r>
        <w:rPr>
          <w:sz w:val="18"/>
        </w:rPr>
        <w:t>, para. 7.343.</w:t>
      </w:r>
    </w:p>
    <w:p w14:paraId="171B6F4E" w14:textId="77777777" w:rsidR="00BD462C" w:rsidRDefault="00033D0F">
      <w:pPr>
        <w:ind w:left="135"/>
        <w:rPr>
          <w:i/>
          <w:sz w:val="18"/>
        </w:rPr>
      </w:pPr>
      <w:bookmarkStart w:id="338" w:name="_bookmark292"/>
      <w:bookmarkEnd w:id="338"/>
      <w:r>
        <w:rPr>
          <w:position w:val="5"/>
          <w:sz w:val="12"/>
        </w:rPr>
        <w:t>227</w:t>
      </w:r>
      <w:r>
        <w:rPr>
          <w:spacing w:val="14"/>
          <w:position w:val="5"/>
          <w:sz w:val="12"/>
        </w:rPr>
        <w:t xml:space="preserve"> </w:t>
      </w:r>
      <w:r>
        <w:rPr>
          <w:sz w:val="18"/>
        </w:rPr>
        <w:t>Panel</w:t>
      </w:r>
      <w:r>
        <w:rPr>
          <w:spacing w:val="-3"/>
          <w:sz w:val="18"/>
        </w:rPr>
        <w:t xml:space="preserve"> </w:t>
      </w:r>
      <w:r>
        <w:rPr>
          <w:sz w:val="18"/>
        </w:rPr>
        <w:t>Report,</w:t>
      </w:r>
      <w:r>
        <w:rPr>
          <w:spacing w:val="-2"/>
          <w:sz w:val="18"/>
        </w:rPr>
        <w:t xml:space="preserve"> </w:t>
      </w:r>
      <w:r>
        <w:rPr>
          <w:i/>
          <w:sz w:val="18"/>
        </w:rPr>
        <w:t>US</w:t>
      </w:r>
      <w:r>
        <w:rPr>
          <w:i/>
          <w:spacing w:val="-5"/>
          <w:sz w:val="18"/>
        </w:rPr>
        <w:t xml:space="preserve"> </w:t>
      </w:r>
      <w:r>
        <w:rPr>
          <w:i/>
          <w:sz w:val="18"/>
        </w:rPr>
        <w:t>– Steel</w:t>
      </w:r>
      <w:r>
        <w:rPr>
          <w:i/>
          <w:spacing w:val="-3"/>
          <w:sz w:val="18"/>
        </w:rPr>
        <w:t xml:space="preserve"> </w:t>
      </w:r>
      <w:r>
        <w:rPr>
          <w:i/>
          <w:sz w:val="18"/>
        </w:rPr>
        <w:t>Plate</w:t>
      </w:r>
      <w:r>
        <w:rPr>
          <w:sz w:val="18"/>
        </w:rPr>
        <w:t>,</w:t>
      </w:r>
      <w:r>
        <w:rPr>
          <w:spacing w:val="-2"/>
          <w:sz w:val="18"/>
        </w:rPr>
        <w:t xml:space="preserve"> </w:t>
      </w:r>
      <w:r>
        <w:rPr>
          <w:sz w:val="18"/>
        </w:rPr>
        <w:t>paras.</w:t>
      </w:r>
      <w:r>
        <w:rPr>
          <w:spacing w:val="-3"/>
          <w:sz w:val="18"/>
        </w:rPr>
        <w:t xml:space="preserve"> </w:t>
      </w:r>
      <w:r>
        <w:rPr>
          <w:sz w:val="18"/>
        </w:rPr>
        <w:t>7.72</w:t>
      </w:r>
      <w:r>
        <w:rPr>
          <w:spacing w:val="-6"/>
          <w:sz w:val="18"/>
        </w:rPr>
        <w:t xml:space="preserve"> </w:t>
      </w:r>
      <w:r>
        <w:rPr>
          <w:sz w:val="18"/>
        </w:rPr>
        <w:t>and 7.74.</w:t>
      </w:r>
      <w:r>
        <w:rPr>
          <w:spacing w:val="-3"/>
          <w:sz w:val="18"/>
        </w:rPr>
        <w:t xml:space="preserve"> </w:t>
      </w:r>
      <w:r>
        <w:rPr>
          <w:sz w:val="18"/>
        </w:rPr>
        <w:t>See</w:t>
      </w:r>
      <w:r>
        <w:rPr>
          <w:spacing w:val="-4"/>
          <w:sz w:val="18"/>
        </w:rPr>
        <w:t xml:space="preserve"> </w:t>
      </w:r>
      <w:r>
        <w:rPr>
          <w:sz w:val="18"/>
        </w:rPr>
        <w:t>also</w:t>
      </w:r>
      <w:r>
        <w:rPr>
          <w:spacing w:val="-5"/>
          <w:sz w:val="18"/>
        </w:rPr>
        <w:t xml:space="preserve"> </w:t>
      </w:r>
      <w:r>
        <w:rPr>
          <w:sz w:val="18"/>
        </w:rPr>
        <w:t>Panel</w:t>
      </w:r>
      <w:r>
        <w:rPr>
          <w:spacing w:val="-3"/>
          <w:sz w:val="18"/>
        </w:rPr>
        <w:t xml:space="preserve"> </w:t>
      </w:r>
      <w:r>
        <w:rPr>
          <w:sz w:val="18"/>
        </w:rPr>
        <w:t>Report,</w:t>
      </w:r>
      <w:r>
        <w:rPr>
          <w:spacing w:val="-2"/>
          <w:sz w:val="18"/>
        </w:rPr>
        <w:t xml:space="preserve"> </w:t>
      </w:r>
      <w:r>
        <w:rPr>
          <w:i/>
          <w:sz w:val="18"/>
        </w:rPr>
        <w:t>China</w:t>
      </w:r>
      <w:r>
        <w:rPr>
          <w:i/>
          <w:spacing w:val="2"/>
          <w:sz w:val="18"/>
        </w:rPr>
        <w:t xml:space="preserve"> </w:t>
      </w:r>
      <w:r>
        <w:rPr>
          <w:i/>
          <w:sz w:val="18"/>
        </w:rPr>
        <w:t>–</w:t>
      </w:r>
      <w:r>
        <w:rPr>
          <w:i/>
          <w:spacing w:val="-8"/>
          <w:sz w:val="18"/>
        </w:rPr>
        <w:t xml:space="preserve"> </w:t>
      </w:r>
      <w:r>
        <w:rPr>
          <w:i/>
          <w:sz w:val="18"/>
        </w:rPr>
        <w:t>Broiler</w:t>
      </w:r>
      <w:r>
        <w:rPr>
          <w:i/>
          <w:spacing w:val="-10"/>
          <w:sz w:val="18"/>
        </w:rPr>
        <w:t xml:space="preserve"> </w:t>
      </w:r>
      <w:r>
        <w:rPr>
          <w:i/>
          <w:sz w:val="18"/>
        </w:rPr>
        <w:t>Products</w:t>
      </w:r>
      <w:r>
        <w:rPr>
          <w:i/>
          <w:spacing w:val="-4"/>
          <w:sz w:val="18"/>
        </w:rPr>
        <w:t xml:space="preserve"> </w:t>
      </w:r>
      <w:r>
        <w:rPr>
          <w:i/>
          <w:sz w:val="18"/>
        </w:rPr>
        <w:t>(Article</w:t>
      </w:r>
      <w:r>
        <w:rPr>
          <w:i/>
          <w:spacing w:val="-1"/>
          <w:sz w:val="18"/>
        </w:rPr>
        <w:t xml:space="preserve"> </w:t>
      </w:r>
      <w:r>
        <w:rPr>
          <w:i/>
          <w:sz w:val="18"/>
        </w:rPr>
        <w:t>21.5</w:t>
      </w:r>
      <w:r>
        <w:rPr>
          <w:i/>
          <w:spacing w:val="-1"/>
          <w:sz w:val="18"/>
        </w:rPr>
        <w:t xml:space="preserve"> </w:t>
      </w:r>
      <w:r>
        <w:rPr>
          <w:i/>
          <w:sz w:val="18"/>
        </w:rPr>
        <w:t>–</w:t>
      </w:r>
      <w:r>
        <w:rPr>
          <w:i/>
          <w:spacing w:val="-5"/>
          <w:sz w:val="18"/>
        </w:rPr>
        <w:t xml:space="preserve"> </w:t>
      </w:r>
      <w:r>
        <w:rPr>
          <w:i/>
          <w:spacing w:val="-4"/>
          <w:sz w:val="18"/>
        </w:rPr>
        <w:t>US),</w:t>
      </w:r>
    </w:p>
    <w:p w14:paraId="1289BBAF" w14:textId="77777777" w:rsidR="00BD462C" w:rsidRDefault="00033D0F">
      <w:pPr>
        <w:spacing w:before="2"/>
        <w:ind w:left="136"/>
        <w:rPr>
          <w:sz w:val="18"/>
        </w:rPr>
      </w:pPr>
      <w:r>
        <w:rPr>
          <w:sz w:val="18"/>
        </w:rPr>
        <w:t>paras.</w:t>
      </w:r>
      <w:r>
        <w:rPr>
          <w:spacing w:val="-1"/>
          <w:sz w:val="18"/>
        </w:rPr>
        <w:t xml:space="preserve"> </w:t>
      </w:r>
      <w:r>
        <w:rPr>
          <w:spacing w:val="-2"/>
          <w:sz w:val="18"/>
        </w:rPr>
        <w:t>7.342.</w:t>
      </w:r>
    </w:p>
    <w:p w14:paraId="04FD8915" w14:textId="77777777" w:rsidR="00BD462C" w:rsidRDefault="00BD462C">
      <w:pPr>
        <w:rPr>
          <w:sz w:val="18"/>
        </w:rPr>
        <w:sectPr w:rsidR="00BD462C">
          <w:pgSz w:w="11910" w:h="16840"/>
          <w:pgMar w:top="860" w:right="500" w:bottom="780" w:left="1280" w:header="566" w:footer="590" w:gutter="0"/>
          <w:cols w:space="720"/>
        </w:sectPr>
      </w:pPr>
      <w:bookmarkStart w:id="339" w:name="_bookmark293"/>
      <w:bookmarkEnd w:id="339"/>
    </w:p>
    <w:p w14:paraId="0D80AAD9"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1C26ED7F"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1C71F07D"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5A23AC99" w14:textId="315D53FB" w:rsidR="00BD462C" w:rsidRDefault="005B7350">
      <w:pPr>
        <w:pStyle w:val="BodyText"/>
        <w:spacing w:before="102" w:line="357" w:lineRule="auto"/>
        <w:ind w:left="135" w:right="923"/>
      </w:pPr>
      <w:r>
        <w:t>The rationale of "undue difficulties" does not appear in MOFCOM's determinations. In the Preliminary Determination, MOFCOM stated in relation to Form 6-1-1 that Treasury Wines "did</w:t>
      </w:r>
      <w:r>
        <w:rPr>
          <w:spacing w:val="-14"/>
        </w:rPr>
        <w:t xml:space="preserve"> </w:t>
      </w:r>
      <w:r>
        <w:t>not</w:t>
      </w:r>
      <w:r>
        <w:rPr>
          <w:spacing w:val="-6"/>
        </w:rPr>
        <w:t xml:space="preserve"> </w:t>
      </w:r>
      <w:r>
        <w:t>fill</w:t>
      </w:r>
      <w:r>
        <w:rPr>
          <w:spacing w:val="-10"/>
        </w:rPr>
        <w:t xml:space="preserve"> </w:t>
      </w:r>
      <w:r>
        <w:t>in</w:t>
      </w:r>
      <w:r>
        <w:rPr>
          <w:spacing w:val="-14"/>
        </w:rPr>
        <w:t xml:space="preserve"> </w:t>
      </w:r>
      <w:r>
        <w:t>the</w:t>
      </w:r>
      <w:r>
        <w:rPr>
          <w:spacing w:val="-11"/>
        </w:rPr>
        <w:t xml:space="preserve"> </w:t>
      </w:r>
      <w:r>
        <w:t>inventory,</w:t>
      </w:r>
      <w:r>
        <w:rPr>
          <w:spacing w:val="-10"/>
        </w:rPr>
        <w:t xml:space="preserve"> </w:t>
      </w:r>
      <w:r>
        <w:t>consumption</w:t>
      </w:r>
      <w:r>
        <w:rPr>
          <w:spacing w:val="-14"/>
        </w:rPr>
        <w:t xml:space="preserve"> </w:t>
      </w:r>
      <w:r>
        <w:t>and</w:t>
      </w:r>
      <w:r>
        <w:rPr>
          <w:spacing w:val="-8"/>
        </w:rPr>
        <w:t xml:space="preserve"> </w:t>
      </w:r>
      <w:r>
        <w:t>unit</w:t>
      </w:r>
      <w:r>
        <w:rPr>
          <w:spacing w:val="-11"/>
        </w:rPr>
        <w:t xml:space="preserve"> </w:t>
      </w:r>
      <w:r>
        <w:t>price</w:t>
      </w:r>
      <w:r>
        <w:rPr>
          <w:spacing w:val="-7"/>
        </w:rPr>
        <w:t xml:space="preserve"> </w:t>
      </w:r>
      <w:r>
        <w:t>of</w:t>
      </w:r>
      <w:r>
        <w:rPr>
          <w:spacing w:val="-9"/>
        </w:rPr>
        <w:t xml:space="preserve"> </w:t>
      </w:r>
      <w:r>
        <w:t>each</w:t>
      </w:r>
      <w:r>
        <w:rPr>
          <w:spacing w:val="-9"/>
        </w:rPr>
        <w:t xml:space="preserve"> </w:t>
      </w:r>
      <w:r>
        <w:t>raw</w:t>
      </w:r>
      <w:r>
        <w:rPr>
          <w:spacing w:val="-6"/>
        </w:rPr>
        <w:t xml:space="preserve"> </w:t>
      </w:r>
      <w:r>
        <w:t>material</w:t>
      </w:r>
      <w:r>
        <w:rPr>
          <w:spacing w:val="-10"/>
        </w:rPr>
        <w:t xml:space="preserve"> </w:t>
      </w:r>
      <w:r>
        <w:t>at</w:t>
      </w:r>
      <w:r>
        <w:rPr>
          <w:spacing w:val="-11"/>
        </w:rPr>
        <w:t xml:space="preserve"> </w:t>
      </w:r>
      <w:r>
        <w:t>the</w:t>
      </w:r>
      <w:r>
        <w:rPr>
          <w:spacing w:val="-12"/>
        </w:rPr>
        <w:t xml:space="preserve"> </w:t>
      </w:r>
      <w:r>
        <w:t>beginning and end of the period as required by the questionnaire."</w:t>
      </w:r>
      <w:hyperlink w:anchor="_bookmark293" w:history="1">
        <w:r>
          <w:rPr>
            <w:vertAlign w:val="superscript"/>
          </w:rPr>
          <w:t>228</w:t>
        </w:r>
      </w:hyperlink>
      <w:r>
        <w:t xml:space="preserve"> In relation to Form 6-1-2, MOFCOM stated that "the bulk liquor of the main raw materials for the product under investigation is self-produced, but the Company did not fill in the production cost of its own </w:t>
      </w:r>
      <w:r w:rsidR="00033D0F">
        <w:t>bulk</w:t>
      </w:r>
      <w:r w:rsidR="00033D0F">
        <w:rPr>
          <w:spacing w:val="40"/>
        </w:rPr>
        <w:t xml:space="preserve"> </w:t>
      </w:r>
      <w:r w:rsidR="00033D0F">
        <w:t>wine</w:t>
      </w:r>
      <w:r w:rsidR="00033D0F">
        <w:rPr>
          <w:spacing w:val="40"/>
        </w:rPr>
        <w:t xml:space="preserve"> </w:t>
      </w:r>
      <w:r w:rsidR="00033D0F">
        <w:t>in</w:t>
      </w:r>
      <w:r w:rsidR="00033D0F">
        <w:rPr>
          <w:spacing w:val="40"/>
        </w:rPr>
        <w:t xml:space="preserve"> </w:t>
      </w:r>
      <w:r w:rsidR="00033D0F">
        <w:t>accordance</w:t>
      </w:r>
      <w:r w:rsidR="00033D0F">
        <w:rPr>
          <w:spacing w:val="40"/>
        </w:rPr>
        <w:t xml:space="preserve"> </w:t>
      </w:r>
      <w:r w:rsidR="00033D0F">
        <w:t>with</w:t>
      </w:r>
      <w:r w:rsidR="00033D0F">
        <w:rPr>
          <w:spacing w:val="40"/>
        </w:rPr>
        <w:t xml:space="preserve"> </w:t>
      </w:r>
      <w:r w:rsidR="00033D0F">
        <w:t>the</w:t>
      </w:r>
      <w:r w:rsidR="00033D0F">
        <w:rPr>
          <w:spacing w:val="40"/>
        </w:rPr>
        <w:t xml:space="preserve"> </w:t>
      </w:r>
      <w:r w:rsidR="00033D0F">
        <w:t>requirements</w:t>
      </w:r>
      <w:r w:rsidR="00033D0F">
        <w:rPr>
          <w:spacing w:val="40"/>
        </w:rPr>
        <w:t xml:space="preserve"> </w:t>
      </w:r>
      <w:r w:rsidR="00033D0F">
        <w:t>of</w:t>
      </w:r>
      <w:r w:rsidR="00033D0F">
        <w:rPr>
          <w:spacing w:val="40"/>
        </w:rPr>
        <w:t xml:space="preserve"> </w:t>
      </w:r>
      <w:r w:rsidR="00033D0F">
        <w:t>the</w:t>
      </w:r>
      <w:r w:rsidR="00033D0F">
        <w:rPr>
          <w:spacing w:val="40"/>
        </w:rPr>
        <w:t xml:space="preserve"> </w:t>
      </w:r>
      <w:r w:rsidR="00033D0F">
        <w:t>questionnaire."</w:t>
      </w:r>
      <w:hyperlink w:anchor="_bookmark295" w:history="1">
        <w:r w:rsidR="00033D0F">
          <w:rPr>
            <w:vertAlign w:val="superscript"/>
          </w:rPr>
          <w:t>229</w:t>
        </w:r>
      </w:hyperlink>
      <w:r w:rsidR="00033D0F">
        <w:rPr>
          <w:spacing w:val="40"/>
        </w:rPr>
        <w:t xml:space="preserve"> </w:t>
      </w:r>
      <w:r w:rsidR="00033D0F">
        <w:t>Similar</w:t>
      </w:r>
      <w:r w:rsidR="00033D0F">
        <w:rPr>
          <w:spacing w:val="40"/>
        </w:rPr>
        <w:t xml:space="preserve"> </w:t>
      </w:r>
      <w:r w:rsidR="00033D0F">
        <w:t>reasons appear in the Final Determination.</w:t>
      </w:r>
      <w:r w:rsidR="00033D0F">
        <w:rPr>
          <w:spacing w:val="-19"/>
        </w:rPr>
        <w:t xml:space="preserve"> </w:t>
      </w:r>
      <w:hyperlink w:anchor="_bookmark296" w:history="1">
        <w:r w:rsidR="00033D0F">
          <w:rPr>
            <w:vertAlign w:val="superscript"/>
          </w:rPr>
          <w:t>230</w:t>
        </w:r>
      </w:hyperlink>
    </w:p>
    <w:p w14:paraId="25A14479" w14:textId="77777777" w:rsidR="00BD462C" w:rsidRDefault="00BD462C">
      <w:pPr>
        <w:pStyle w:val="BodyText"/>
        <w:spacing w:before="3"/>
        <w:rPr>
          <w:sz w:val="9"/>
        </w:rPr>
      </w:pPr>
    </w:p>
    <w:p w14:paraId="36CC9619" w14:textId="382E3752" w:rsidR="00BD462C" w:rsidRDefault="00033D0F" w:rsidP="005B7350">
      <w:pPr>
        <w:pStyle w:val="BodyText"/>
        <w:numPr>
          <w:ilvl w:val="0"/>
          <w:numId w:val="69"/>
        </w:numPr>
        <w:spacing w:before="56" w:line="360" w:lineRule="auto"/>
        <w:ind w:right="912"/>
        <w:jc w:val="both"/>
      </w:pPr>
      <w:r>
        <w:rPr>
          <w:position w:val="1"/>
        </w:rPr>
        <w:t xml:space="preserve">MOFCOM's determination to reject the information in Treasury Wines' is based on </w:t>
      </w:r>
      <w:r>
        <w:t>the lack of certain information, not because using the submitted information was unduly difficult. In relation to the submitted information, MOFCOM does not attempt to justify its rejection</w:t>
      </w:r>
      <w:r>
        <w:rPr>
          <w:spacing w:val="-10"/>
        </w:rPr>
        <w:t xml:space="preserve"> </w:t>
      </w:r>
      <w:r>
        <w:t>because</w:t>
      </w:r>
      <w:r>
        <w:rPr>
          <w:spacing w:val="-8"/>
        </w:rPr>
        <w:t xml:space="preserve"> </w:t>
      </w:r>
      <w:r>
        <w:t>of</w:t>
      </w:r>
      <w:r>
        <w:rPr>
          <w:spacing w:val="-10"/>
        </w:rPr>
        <w:t xml:space="preserve"> </w:t>
      </w:r>
      <w:r>
        <w:t>difficulty</w:t>
      </w:r>
      <w:r>
        <w:rPr>
          <w:spacing w:val="-7"/>
        </w:rPr>
        <w:t xml:space="preserve"> </w:t>
      </w:r>
      <w:r>
        <w:t>in</w:t>
      </w:r>
      <w:r>
        <w:rPr>
          <w:spacing w:val="-10"/>
        </w:rPr>
        <w:t xml:space="preserve"> </w:t>
      </w:r>
      <w:r>
        <w:t>using</w:t>
      </w:r>
      <w:r>
        <w:rPr>
          <w:spacing w:val="-7"/>
        </w:rPr>
        <w:t xml:space="preserve"> </w:t>
      </w:r>
      <w:r>
        <w:t>the</w:t>
      </w:r>
      <w:r>
        <w:rPr>
          <w:spacing w:val="-13"/>
        </w:rPr>
        <w:t xml:space="preserve"> </w:t>
      </w:r>
      <w:r>
        <w:t>information,</w:t>
      </w:r>
      <w:r>
        <w:rPr>
          <w:spacing w:val="-6"/>
        </w:rPr>
        <w:t xml:space="preserve"> </w:t>
      </w:r>
      <w:r>
        <w:t>but</w:t>
      </w:r>
      <w:r>
        <w:rPr>
          <w:spacing w:val="-8"/>
        </w:rPr>
        <w:t xml:space="preserve"> </w:t>
      </w:r>
      <w:r>
        <w:t>rather</w:t>
      </w:r>
      <w:r>
        <w:rPr>
          <w:spacing w:val="-11"/>
        </w:rPr>
        <w:t xml:space="preserve"> </w:t>
      </w:r>
      <w:r>
        <w:t>because</w:t>
      </w:r>
      <w:r>
        <w:rPr>
          <w:spacing w:val="-8"/>
        </w:rPr>
        <w:t xml:space="preserve"> </w:t>
      </w:r>
      <w:r>
        <w:t>what</w:t>
      </w:r>
      <w:r>
        <w:rPr>
          <w:spacing w:val="-8"/>
        </w:rPr>
        <w:t xml:space="preserve"> </w:t>
      </w:r>
      <w:r>
        <w:t>was</w:t>
      </w:r>
      <w:r>
        <w:rPr>
          <w:spacing w:val="-11"/>
        </w:rPr>
        <w:t xml:space="preserve"> </w:t>
      </w:r>
      <w:r>
        <w:t>provided could</w:t>
      </w:r>
      <w:r>
        <w:rPr>
          <w:spacing w:val="-1"/>
        </w:rPr>
        <w:t xml:space="preserve"> </w:t>
      </w:r>
      <w:r>
        <w:t>not be verified.</w:t>
      </w:r>
      <w:r>
        <w:rPr>
          <w:spacing w:val="-14"/>
        </w:rPr>
        <w:t xml:space="preserve"> </w:t>
      </w:r>
      <w:hyperlink w:anchor="_bookmark297" w:history="1">
        <w:r>
          <w:rPr>
            <w:vertAlign w:val="superscript"/>
          </w:rPr>
          <w:t>231</w:t>
        </w:r>
      </w:hyperlink>
      <w:r>
        <w:t xml:space="preserve"> For example, MOFCOM concluded that "the production costs and expenses of the product under investigation and like products could not be verified".</w:t>
      </w:r>
      <w:r>
        <w:rPr>
          <w:spacing w:val="-28"/>
        </w:rPr>
        <w:t xml:space="preserve"> </w:t>
      </w:r>
      <w:hyperlink w:anchor="_bookmark298" w:history="1">
        <w:r>
          <w:rPr>
            <w:vertAlign w:val="superscript"/>
          </w:rPr>
          <w:t>232</w:t>
        </w:r>
      </w:hyperlink>
    </w:p>
    <w:p w14:paraId="61A70323" w14:textId="77777777" w:rsidR="00BD462C" w:rsidRDefault="00BD462C">
      <w:pPr>
        <w:pStyle w:val="BodyText"/>
        <w:spacing w:before="8"/>
        <w:rPr>
          <w:sz w:val="8"/>
        </w:rPr>
      </w:pPr>
    </w:p>
    <w:p w14:paraId="5F304F8C" w14:textId="33B11FFE" w:rsidR="00BD462C" w:rsidRDefault="00033D0F" w:rsidP="005B7350">
      <w:pPr>
        <w:pStyle w:val="BodyText"/>
        <w:numPr>
          <w:ilvl w:val="0"/>
          <w:numId w:val="69"/>
        </w:numPr>
        <w:spacing w:before="56" w:line="357" w:lineRule="auto"/>
        <w:ind w:right="918"/>
        <w:jc w:val="both"/>
      </w:pPr>
      <w:r>
        <w:rPr>
          <w:position w:val="1"/>
        </w:rPr>
        <w:t>MOFCOM</w:t>
      </w:r>
      <w:r>
        <w:rPr>
          <w:spacing w:val="-14"/>
          <w:position w:val="1"/>
        </w:rPr>
        <w:t xml:space="preserve"> </w:t>
      </w:r>
      <w:r>
        <w:rPr>
          <w:position w:val="1"/>
        </w:rPr>
        <w:t>does</w:t>
      </w:r>
      <w:r>
        <w:rPr>
          <w:spacing w:val="-14"/>
          <w:position w:val="1"/>
        </w:rPr>
        <w:t xml:space="preserve"> </w:t>
      </w:r>
      <w:r>
        <w:rPr>
          <w:position w:val="1"/>
        </w:rPr>
        <w:t>not</w:t>
      </w:r>
      <w:r>
        <w:rPr>
          <w:spacing w:val="-10"/>
          <w:position w:val="1"/>
        </w:rPr>
        <w:t xml:space="preserve"> </w:t>
      </w:r>
      <w:r>
        <w:rPr>
          <w:position w:val="1"/>
        </w:rPr>
        <w:t>explain</w:t>
      </w:r>
      <w:r>
        <w:rPr>
          <w:spacing w:val="-14"/>
          <w:position w:val="1"/>
        </w:rPr>
        <w:t xml:space="preserve"> </w:t>
      </w:r>
      <w:r>
        <w:rPr>
          <w:position w:val="1"/>
        </w:rPr>
        <w:t>how</w:t>
      </w:r>
      <w:r>
        <w:rPr>
          <w:spacing w:val="-14"/>
          <w:position w:val="1"/>
        </w:rPr>
        <w:t xml:space="preserve"> </w:t>
      </w:r>
      <w:r>
        <w:rPr>
          <w:position w:val="1"/>
        </w:rPr>
        <w:t>the</w:t>
      </w:r>
      <w:r>
        <w:rPr>
          <w:spacing w:val="-11"/>
          <w:position w:val="1"/>
        </w:rPr>
        <w:t xml:space="preserve"> </w:t>
      </w:r>
      <w:r>
        <w:rPr>
          <w:position w:val="1"/>
        </w:rPr>
        <w:t>submitted</w:t>
      </w:r>
      <w:r>
        <w:rPr>
          <w:spacing w:val="-14"/>
          <w:position w:val="1"/>
        </w:rPr>
        <w:t xml:space="preserve"> </w:t>
      </w:r>
      <w:r>
        <w:rPr>
          <w:position w:val="1"/>
        </w:rPr>
        <w:t>information</w:t>
      </w:r>
      <w:r>
        <w:rPr>
          <w:spacing w:val="-14"/>
          <w:position w:val="1"/>
        </w:rPr>
        <w:t xml:space="preserve"> </w:t>
      </w:r>
      <w:r>
        <w:rPr>
          <w:position w:val="1"/>
        </w:rPr>
        <w:t>could</w:t>
      </w:r>
      <w:r>
        <w:rPr>
          <w:spacing w:val="-13"/>
          <w:position w:val="1"/>
        </w:rPr>
        <w:t xml:space="preserve"> </w:t>
      </w:r>
      <w:r>
        <w:rPr>
          <w:position w:val="1"/>
        </w:rPr>
        <w:t>not</w:t>
      </w:r>
      <w:r>
        <w:rPr>
          <w:spacing w:val="-14"/>
          <w:position w:val="1"/>
        </w:rPr>
        <w:t xml:space="preserve"> </w:t>
      </w:r>
      <w:r>
        <w:rPr>
          <w:position w:val="1"/>
        </w:rPr>
        <w:t>be</w:t>
      </w:r>
      <w:r>
        <w:rPr>
          <w:spacing w:val="-11"/>
          <w:position w:val="1"/>
        </w:rPr>
        <w:t xml:space="preserve"> </w:t>
      </w:r>
      <w:r>
        <w:rPr>
          <w:position w:val="1"/>
        </w:rPr>
        <w:t>used</w:t>
      </w:r>
      <w:r>
        <w:rPr>
          <w:spacing w:val="-14"/>
          <w:position w:val="1"/>
        </w:rPr>
        <w:t xml:space="preserve"> </w:t>
      </w:r>
      <w:r>
        <w:rPr>
          <w:position w:val="1"/>
        </w:rPr>
        <w:t xml:space="preserve">without </w:t>
      </w:r>
      <w:r>
        <w:t>"undue difficulties". China's arguments concerning the "undue difficulties" criterion of paragraph</w:t>
      </w:r>
      <w:r>
        <w:rPr>
          <w:spacing w:val="-11"/>
        </w:rPr>
        <w:t xml:space="preserve"> </w:t>
      </w:r>
      <w:r>
        <w:t>3</w:t>
      </w:r>
      <w:r>
        <w:rPr>
          <w:spacing w:val="-10"/>
        </w:rPr>
        <w:t xml:space="preserve"> </w:t>
      </w:r>
      <w:r>
        <w:t>of</w:t>
      </w:r>
      <w:r>
        <w:rPr>
          <w:spacing w:val="-14"/>
        </w:rPr>
        <w:t xml:space="preserve"> </w:t>
      </w:r>
      <w:r>
        <w:t>Annex</w:t>
      </w:r>
      <w:r>
        <w:rPr>
          <w:spacing w:val="-11"/>
        </w:rPr>
        <w:t xml:space="preserve"> </w:t>
      </w:r>
      <w:r>
        <w:t>II</w:t>
      </w:r>
      <w:r>
        <w:rPr>
          <w:spacing w:val="-12"/>
        </w:rPr>
        <w:t xml:space="preserve"> </w:t>
      </w:r>
      <w:r>
        <w:t>are</w:t>
      </w:r>
      <w:r>
        <w:rPr>
          <w:spacing w:val="-13"/>
        </w:rPr>
        <w:t xml:space="preserve"> </w:t>
      </w:r>
      <w:r>
        <w:rPr>
          <w:i/>
        </w:rPr>
        <w:t>ex</w:t>
      </w:r>
      <w:r>
        <w:rPr>
          <w:i/>
          <w:spacing w:val="-12"/>
        </w:rPr>
        <w:t xml:space="preserve"> </w:t>
      </w:r>
      <w:r>
        <w:rPr>
          <w:i/>
        </w:rPr>
        <w:t>post</w:t>
      </w:r>
      <w:r>
        <w:rPr>
          <w:i/>
          <w:spacing w:val="-12"/>
        </w:rPr>
        <w:t xml:space="preserve"> </w:t>
      </w:r>
      <w:r>
        <w:rPr>
          <w:i/>
        </w:rPr>
        <w:t>facto</w:t>
      </w:r>
      <w:r>
        <w:rPr>
          <w:i/>
          <w:spacing w:val="-12"/>
        </w:rPr>
        <w:t xml:space="preserve"> </w:t>
      </w:r>
      <w:proofErr w:type="spellStart"/>
      <w:r>
        <w:t>rationalisations</w:t>
      </w:r>
      <w:proofErr w:type="spellEnd"/>
      <w:r>
        <w:rPr>
          <w:spacing w:val="-11"/>
        </w:rPr>
        <w:t xml:space="preserve"> </w:t>
      </w:r>
      <w:r>
        <w:t>and</w:t>
      </w:r>
      <w:r>
        <w:rPr>
          <w:spacing w:val="-14"/>
        </w:rPr>
        <w:t xml:space="preserve"> </w:t>
      </w:r>
      <w:r>
        <w:t>should</w:t>
      </w:r>
      <w:r>
        <w:rPr>
          <w:spacing w:val="-9"/>
        </w:rPr>
        <w:t xml:space="preserve"> </w:t>
      </w:r>
      <w:r>
        <w:t>not</w:t>
      </w:r>
      <w:r>
        <w:rPr>
          <w:spacing w:val="-12"/>
        </w:rPr>
        <w:t xml:space="preserve"> </w:t>
      </w:r>
      <w:r>
        <w:t>be</w:t>
      </w:r>
      <w:r>
        <w:rPr>
          <w:spacing w:val="-8"/>
        </w:rPr>
        <w:t xml:space="preserve"> </w:t>
      </w:r>
      <w:r>
        <w:t>considered</w:t>
      </w:r>
      <w:r>
        <w:rPr>
          <w:spacing w:val="-14"/>
        </w:rPr>
        <w:t xml:space="preserve"> </w:t>
      </w:r>
      <w:r>
        <w:t>further by the Panel.</w:t>
      </w:r>
    </w:p>
    <w:p w14:paraId="5B689509" w14:textId="77777777" w:rsidR="00BD462C" w:rsidRDefault="00BD462C">
      <w:pPr>
        <w:pStyle w:val="BodyText"/>
        <w:spacing w:before="3"/>
        <w:rPr>
          <w:sz w:val="9"/>
        </w:rPr>
      </w:pPr>
    </w:p>
    <w:p w14:paraId="562A58AE" w14:textId="10868A46" w:rsidR="00BD462C" w:rsidRDefault="00033D0F" w:rsidP="005B7350">
      <w:pPr>
        <w:pStyle w:val="BodyText"/>
        <w:numPr>
          <w:ilvl w:val="0"/>
          <w:numId w:val="69"/>
        </w:numPr>
        <w:spacing w:before="56" w:line="360" w:lineRule="auto"/>
        <w:ind w:right="914"/>
        <w:jc w:val="both"/>
      </w:pPr>
      <w:bookmarkStart w:id="340" w:name="_bookmark294"/>
      <w:bookmarkEnd w:id="340"/>
      <w:r>
        <w:rPr>
          <w:position w:val="1"/>
        </w:rPr>
        <w:t xml:space="preserve">However, if these arguments are considered, as explained by Treasury Wines, the </w:t>
      </w:r>
      <w:r>
        <w:t>information in Forms 6-1-1 and 6-1-2 could be used as submitted for one of the two possible uses</w:t>
      </w:r>
      <w:r>
        <w:rPr>
          <w:spacing w:val="-13"/>
        </w:rPr>
        <w:t xml:space="preserve"> </w:t>
      </w:r>
      <w:r>
        <w:t>for the information.</w:t>
      </w:r>
      <w:r>
        <w:rPr>
          <w:spacing w:val="-14"/>
        </w:rPr>
        <w:t xml:space="preserve"> </w:t>
      </w:r>
      <w:hyperlink w:anchor="_bookmark299" w:history="1">
        <w:r>
          <w:rPr>
            <w:vertAlign w:val="superscript"/>
          </w:rPr>
          <w:t>233</w:t>
        </w:r>
      </w:hyperlink>
      <w:r>
        <w:t xml:space="preserve"> With</w:t>
      </w:r>
      <w:r>
        <w:rPr>
          <w:spacing w:val="-1"/>
        </w:rPr>
        <w:t xml:space="preserve"> </w:t>
      </w:r>
      <w:r>
        <w:t>respect to</w:t>
      </w:r>
      <w:r>
        <w:rPr>
          <w:spacing w:val="-1"/>
        </w:rPr>
        <w:t xml:space="preserve"> </w:t>
      </w:r>
      <w:r>
        <w:t>MOFCOM's assertion</w:t>
      </w:r>
      <w:r>
        <w:rPr>
          <w:spacing w:val="-1"/>
        </w:rPr>
        <w:t xml:space="preserve"> </w:t>
      </w:r>
      <w:r>
        <w:t>that information</w:t>
      </w:r>
      <w:r>
        <w:rPr>
          <w:spacing w:val="-1"/>
        </w:rPr>
        <w:t xml:space="preserve"> </w:t>
      </w:r>
      <w:r>
        <w:t>could</w:t>
      </w:r>
      <w:r>
        <w:rPr>
          <w:spacing w:val="-1"/>
        </w:rPr>
        <w:t xml:space="preserve"> </w:t>
      </w:r>
      <w:r>
        <w:t>not be</w:t>
      </w:r>
      <w:r>
        <w:rPr>
          <w:spacing w:val="-7"/>
        </w:rPr>
        <w:t xml:space="preserve"> </w:t>
      </w:r>
      <w:r>
        <w:t>verified,</w:t>
      </w:r>
      <w:r>
        <w:rPr>
          <w:spacing w:val="-5"/>
        </w:rPr>
        <w:t xml:space="preserve"> </w:t>
      </w:r>
      <w:r>
        <w:t>there</w:t>
      </w:r>
      <w:r>
        <w:rPr>
          <w:spacing w:val="-7"/>
        </w:rPr>
        <w:t xml:space="preserve"> </w:t>
      </w:r>
      <w:r>
        <w:t>is</w:t>
      </w:r>
      <w:r>
        <w:rPr>
          <w:spacing w:val="-6"/>
        </w:rPr>
        <w:t xml:space="preserve"> </w:t>
      </w:r>
      <w:r>
        <w:t>no</w:t>
      </w:r>
      <w:r>
        <w:rPr>
          <w:spacing w:val="-10"/>
        </w:rPr>
        <w:t xml:space="preserve"> </w:t>
      </w:r>
      <w:r>
        <w:t>evidence</w:t>
      </w:r>
      <w:r>
        <w:rPr>
          <w:spacing w:val="-7"/>
        </w:rPr>
        <w:t xml:space="preserve"> </w:t>
      </w:r>
      <w:r>
        <w:t>on</w:t>
      </w:r>
      <w:r>
        <w:rPr>
          <w:spacing w:val="-9"/>
        </w:rPr>
        <w:t xml:space="preserve"> </w:t>
      </w:r>
      <w:r>
        <w:t>the</w:t>
      </w:r>
      <w:r>
        <w:rPr>
          <w:spacing w:val="-3"/>
        </w:rPr>
        <w:t xml:space="preserve"> </w:t>
      </w:r>
      <w:r>
        <w:t>record</w:t>
      </w:r>
      <w:r>
        <w:rPr>
          <w:spacing w:val="-9"/>
        </w:rPr>
        <w:t xml:space="preserve"> </w:t>
      </w:r>
      <w:r>
        <w:t>that</w:t>
      </w:r>
      <w:r>
        <w:rPr>
          <w:spacing w:val="-7"/>
        </w:rPr>
        <w:t xml:space="preserve"> </w:t>
      </w:r>
      <w:r>
        <w:t>MOFCOM</w:t>
      </w:r>
      <w:r>
        <w:rPr>
          <w:spacing w:val="-7"/>
        </w:rPr>
        <w:t xml:space="preserve"> </w:t>
      </w:r>
      <w:r>
        <w:t>even</w:t>
      </w:r>
      <w:r>
        <w:rPr>
          <w:spacing w:val="-9"/>
        </w:rPr>
        <w:t xml:space="preserve"> </w:t>
      </w:r>
      <w:r>
        <w:t>considered</w:t>
      </w:r>
      <w:r>
        <w:rPr>
          <w:spacing w:val="-7"/>
        </w:rPr>
        <w:t xml:space="preserve"> </w:t>
      </w:r>
      <w:r>
        <w:t>the</w:t>
      </w:r>
      <w:r>
        <w:rPr>
          <w:spacing w:val="-7"/>
        </w:rPr>
        <w:t xml:space="preserve"> </w:t>
      </w:r>
      <w:r>
        <w:t>alternative method of verification proposed by Treasury Wines (</w:t>
      </w:r>
      <w:proofErr w:type="gramStart"/>
      <w:r>
        <w:t>i.e.</w:t>
      </w:r>
      <w:proofErr w:type="gramEnd"/>
      <w:r>
        <w:t xml:space="preserve"> direct verification against the company's accounting system) let alone that </w:t>
      </w:r>
      <w:proofErr w:type="spellStart"/>
      <w:r>
        <w:t>utilising</w:t>
      </w:r>
      <w:proofErr w:type="spellEnd"/>
      <w:r>
        <w:t xml:space="preserve"> that method would give rise to "undue difficulties".</w:t>
      </w:r>
      <w:r>
        <w:rPr>
          <w:spacing w:val="-11"/>
        </w:rPr>
        <w:t xml:space="preserve"> </w:t>
      </w:r>
      <w:r>
        <w:t>Given</w:t>
      </w:r>
      <w:r>
        <w:rPr>
          <w:spacing w:val="-14"/>
        </w:rPr>
        <w:t xml:space="preserve"> </w:t>
      </w:r>
      <w:r>
        <w:t>that</w:t>
      </w:r>
      <w:r>
        <w:rPr>
          <w:spacing w:val="-10"/>
        </w:rPr>
        <w:t xml:space="preserve"> </w:t>
      </w:r>
      <w:r>
        <w:t>verification</w:t>
      </w:r>
      <w:r>
        <w:rPr>
          <w:spacing w:val="-14"/>
        </w:rPr>
        <w:t xml:space="preserve"> </w:t>
      </w:r>
      <w:r>
        <w:t>against</w:t>
      </w:r>
      <w:r>
        <w:rPr>
          <w:spacing w:val="-10"/>
        </w:rPr>
        <w:t xml:space="preserve"> </w:t>
      </w:r>
      <w:r>
        <w:t>an</w:t>
      </w:r>
      <w:r>
        <w:rPr>
          <w:spacing w:val="-14"/>
        </w:rPr>
        <w:t xml:space="preserve"> </w:t>
      </w:r>
      <w:r>
        <w:t>exporter's</w:t>
      </w:r>
      <w:r>
        <w:rPr>
          <w:spacing w:val="-9"/>
        </w:rPr>
        <w:t xml:space="preserve"> </w:t>
      </w:r>
      <w:r>
        <w:t>accounting</w:t>
      </w:r>
      <w:r>
        <w:rPr>
          <w:spacing w:val="-10"/>
        </w:rPr>
        <w:t xml:space="preserve"> </w:t>
      </w:r>
      <w:r>
        <w:t>records</w:t>
      </w:r>
      <w:r>
        <w:rPr>
          <w:spacing w:val="-10"/>
        </w:rPr>
        <w:t xml:space="preserve"> </w:t>
      </w:r>
      <w:r>
        <w:t>is</w:t>
      </w:r>
      <w:r>
        <w:rPr>
          <w:spacing w:val="-10"/>
        </w:rPr>
        <w:t xml:space="preserve"> </w:t>
      </w:r>
      <w:r>
        <w:t>a</w:t>
      </w:r>
      <w:r>
        <w:rPr>
          <w:spacing w:val="-8"/>
        </w:rPr>
        <w:t xml:space="preserve"> </w:t>
      </w:r>
      <w:r>
        <w:t>common</w:t>
      </w:r>
      <w:r>
        <w:rPr>
          <w:spacing w:val="-14"/>
        </w:rPr>
        <w:t xml:space="preserve"> </w:t>
      </w:r>
      <w:r>
        <w:t>step in</w:t>
      </w:r>
      <w:r>
        <w:rPr>
          <w:spacing w:val="-4"/>
        </w:rPr>
        <w:t xml:space="preserve"> </w:t>
      </w:r>
      <w:r>
        <w:t>anti-dumping</w:t>
      </w:r>
      <w:r>
        <w:rPr>
          <w:spacing w:val="-1"/>
        </w:rPr>
        <w:t xml:space="preserve"> </w:t>
      </w:r>
      <w:r>
        <w:t>investigations, an</w:t>
      </w:r>
      <w:r>
        <w:rPr>
          <w:spacing w:val="-4"/>
        </w:rPr>
        <w:t xml:space="preserve"> </w:t>
      </w:r>
      <w:r>
        <w:t>unbiased</w:t>
      </w:r>
      <w:r>
        <w:rPr>
          <w:spacing w:val="-4"/>
        </w:rPr>
        <w:t xml:space="preserve"> </w:t>
      </w:r>
      <w:r>
        <w:t>and objective</w:t>
      </w:r>
      <w:r>
        <w:rPr>
          <w:spacing w:val="-2"/>
        </w:rPr>
        <w:t xml:space="preserve"> </w:t>
      </w:r>
      <w:r>
        <w:t>investigating</w:t>
      </w:r>
      <w:r>
        <w:rPr>
          <w:spacing w:val="-1"/>
        </w:rPr>
        <w:t xml:space="preserve"> </w:t>
      </w:r>
      <w:r>
        <w:t>authority</w:t>
      </w:r>
      <w:r>
        <w:rPr>
          <w:spacing w:val="-1"/>
        </w:rPr>
        <w:t xml:space="preserve"> </w:t>
      </w:r>
      <w:r>
        <w:t>would</w:t>
      </w:r>
      <w:r>
        <w:rPr>
          <w:spacing w:val="-4"/>
        </w:rPr>
        <w:t xml:space="preserve"> </w:t>
      </w:r>
      <w:r>
        <w:t>have investigated this method of verification and, for a profitable publicly listed company like Treasury Wines,</w:t>
      </w:r>
      <w:hyperlink w:anchor="_bookmark300" w:history="1">
        <w:r>
          <w:rPr>
            <w:vertAlign w:val="superscript"/>
          </w:rPr>
          <w:t>234</w:t>
        </w:r>
      </w:hyperlink>
      <w:r>
        <w:t xml:space="preserve"> would have found it to be acceptable and to not give rise to undue </w:t>
      </w:r>
      <w:r>
        <w:rPr>
          <w:spacing w:val="-2"/>
        </w:rPr>
        <w:t>difficulties.</w:t>
      </w:r>
    </w:p>
    <w:p w14:paraId="3198DFF5" w14:textId="77777777" w:rsidR="00BD462C" w:rsidRDefault="00BD462C">
      <w:pPr>
        <w:pStyle w:val="BodyText"/>
        <w:spacing w:before="9"/>
        <w:rPr>
          <w:sz w:val="8"/>
        </w:rPr>
      </w:pPr>
    </w:p>
    <w:p w14:paraId="50D47E30" w14:textId="07C89532" w:rsidR="00BD462C" w:rsidRDefault="00033D0F" w:rsidP="005B7350">
      <w:pPr>
        <w:pStyle w:val="BodyText"/>
        <w:numPr>
          <w:ilvl w:val="0"/>
          <w:numId w:val="69"/>
        </w:numPr>
        <w:spacing w:before="56" w:line="355" w:lineRule="auto"/>
        <w:ind w:right="923"/>
      </w:pPr>
      <w:r>
        <w:rPr>
          <w:position w:val="1"/>
        </w:rPr>
        <w:t>In</w:t>
      </w:r>
      <w:r>
        <w:rPr>
          <w:spacing w:val="40"/>
          <w:position w:val="1"/>
        </w:rPr>
        <w:t xml:space="preserve"> </w:t>
      </w:r>
      <w:r>
        <w:rPr>
          <w:position w:val="1"/>
        </w:rPr>
        <w:t>any</w:t>
      </w:r>
      <w:r>
        <w:rPr>
          <w:spacing w:val="40"/>
          <w:position w:val="1"/>
        </w:rPr>
        <w:t xml:space="preserve"> </w:t>
      </w:r>
      <w:r>
        <w:rPr>
          <w:position w:val="1"/>
        </w:rPr>
        <w:t>event,</w:t>
      </w:r>
      <w:r>
        <w:rPr>
          <w:spacing w:val="40"/>
          <w:position w:val="1"/>
        </w:rPr>
        <w:t xml:space="preserve"> </w:t>
      </w:r>
      <w:r>
        <w:rPr>
          <w:position w:val="1"/>
        </w:rPr>
        <w:t>as</w:t>
      </w:r>
      <w:r>
        <w:rPr>
          <w:spacing w:val="40"/>
          <w:position w:val="1"/>
        </w:rPr>
        <w:t xml:space="preserve"> </w:t>
      </w:r>
      <w:r>
        <w:rPr>
          <w:position w:val="1"/>
        </w:rPr>
        <w:t>Australia</w:t>
      </w:r>
      <w:r>
        <w:rPr>
          <w:spacing w:val="40"/>
          <w:position w:val="1"/>
        </w:rPr>
        <w:t xml:space="preserve"> </w:t>
      </w:r>
      <w:r>
        <w:rPr>
          <w:position w:val="1"/>
        </w:rPr>
        <w:t>set</w:t>
      </w:r>
      <w:r>
        <w:rPr>
          <w:spacing w:val="40"/>
          <w:position w:val="1"/>
        </w:rPr>
        <w:t xml:space="preserve"> </w:t>
      </w:r>
      <w:r>
        <w:rPr>
          <w:position w:val="1"/>
        </w:rPr>
        <w:t>out</w:t>
      </w:r>
      <w:r>
        <w:rPr>
          <w:spacing w:val="40"/>
          <w:position w:val="1"/>
        </w:rPr>
        <w:t xml:space="preserve"> </w:t>
      </w:r>
      <w:r>
        <w:rPr>
          <w:position w:val="1"/>
        </w:rPr>
        <w:t>in</w:t>
      </w:r>
      <w:r>
        <w:rPr>
          <w:spacing w:val="40"/>
          <w:position w:val="1"/>
        </w:rPr>
        <w:t xml:space="preserve"> </w:t>
      </w:r>
      <w:r>
        <w:rPr>
          <w:position w:val="1"/>
        </w:rPr>
        <w:t>its</w:t>
      </w:r>
      <w:r>
        <w:rPr>
          <w:spacing w:val="40"/>
          <w:position w:val="1"/>
        </w:rPr>
        <w:t xml:space="preserve"> </w:t>
      </w:r>
      <w:r>
        <w:rPr>
          <w:position w:val="1"/>
        </w:rPr>
        <w:t>first</w:t>
      </w:r>
      <w:r>
        <w:rPr>
          <w:spacing w:val="40"/>
          <w:position w:val="1"/>
        </w:rPr>
        <w:t xml:space="preserve"> </w:t>
      </w:r>
      <w:r>
        <w:rPr>
          <w:position w:val="1"/>
        </w:rPr>
        <w:t>written</w:t>
      </w:r>
      <w:r>
        <w:rPr>
          <w:spacing w:val="40"/>
          <w:position w:val="1"/>
        </w:rPr>
        <w:t xml:space="preserve"> </w:t>
      </w:r>
      <w:r>
        <w:rPr>
          <w:position w:val="1"/>
        </w:rPr>
        <w:t>submission,</w:t>
      </w:r>
      <w:r>
        <w:rPr>
          <w:spacing w:val="40"/>
          <w:position w:val="1"/>
        </w:rPr>
        <w:t xml:space="preserve"> </w:t>
      </w:r>
      <w:r>
        <w:rPr>
          <w:position w:val="1"/>
        </w:rPr>
        <w:t>there</w:t>
      </w:r>
      <w:r>
        <w:rPr>
          <w:spacing w:val="40"/>
          <w:position w:val="1"/>
        </w:rPr>
        <w:t xml:space="preserve"> </w:t>
      </w:r>
      <w:r>
        <w:rPr>
          <w:position w:val="1"/>
        </w:rPr>
        <w:t>was</w:t>
      </w:r>
      <w:r>
        <w:rPr>
          <w:spacing w:val="40"/>
          <w:position w:val="1"/>
        </w:rPr>
        <w:t xml:space="preserve"> </w:t>
      </w:r>
      <w:r>
        <w:rPr>
          <w:position w:val="1"/>
        </w:rPr>
        <w:lastRenderedPageBreak/>
        <w:t>no</w:t>
      </w:r>
      <w:r>
        <w:rPr>
          <w:spacing w:val="40"/>
          <w:position w:val="1"/>
        </w:rPr>
        <w:t xml:space="preserve"> </w:t>
      </w:r>
      <w:r>
        <w:t>necessary</w:t>
      </w:r>
      <w:r>
        <w:rPr>
          <w:spacing w:val="-7"/>
        </w:rPr>
        <w:t xml:space="preserve"> </w:t>
      </w:r>
      <w:r>
        <w:t>information</w:t>
      </w:r>
      <w:r>
        <w:rPr>
          <w:spacing w:val="-10"/>
        </w:rPr>
        <w:t xml:space="preserve"> </w:t>
      </w:r>
      <w:r>
        <w:t>missing</w:t>
      </w:r>
      <w:r>
        <w:rPr>
          <w:spacing w:val="-7"/>
        </w:rPr>
        <w:t xml:space="preserve"> </w:t>
      </w:r>
      <w:r>
        <w:t>in</w:t>
      </w:r>
      <w:r>
        <w:rPr>
          <w:spacing w:val="-10"/>
        </w:rPr>
        <w:t xml:space="preserve"> </w:t>
      </w:r>
      <w:r>
        <w:t>order</w:t>
      </w:r>
      <w:r>
        <w:rPr>
          <w:spacing w:val="-10"/>
        </w:rPr>
        <w:t xml:space="preserve"> </w:t>
      </w:r>
      <w:r>
        <w:t>for</w:t>
      </w:r>
      <w:r>
        <w:rPr>
          <w:spacing w:val="-11"/>
        </w:rPr>
        <w:t xml:space="preserve"> </w:t>
      </w:r>
      <w:r>
        <w:t>MOFCOM</w:t>
      </w:r>
      <w:r>
        <w:rPr>
          <w:spacing w:val="-8"/>
        </w:rPr>
        <w:t xml:space="preserve"> </w:t>
      </w:r>
      <w:r>
        <w:t>to</w:t>
      </w:r>
      <w:r>
        <w:rPr>
          <w:spacing w:val="-11"/>
        </w:rPr>
        <w:t xml:space="preserve"> </w:t>
      </w:r>
      <w:r>
        <w:t>use</w:t>
      </w:r>
      <w:r>
        <w:rPr>
          <w:spacing w:val="-7"/>
        </w:rPr>
        <w:t xml:space="preserve"> </w:t>
      </w:r>
      <w:r>
        <w:t>Treasury</w:t>
      </w:r>
      <w:r>
        <w:rPr>
          <w:spacing w:val="-7"/>
        </w:rPr>
        <w:t xml:space="preserve"> </w:t>
      </w:r>
      <w:r>
        <w:t>Wines'</w:t>
      </w:r>
      <w:r>
        <w:rPr>
          <w:spacing w:val="-9"/>
        </w:rPr>
        <w:t xml:space="preserve"> </w:t>
      </w:r>
      <w:r>
        <w:t>reported</w:t>
      </w:r>
      <w:r>
        <w:rPr>
          <w:spacing w:val="-10"/>
        </w:rPr>
        <w:t xml:space="preserve"> </w:t>
      </w:r>
      <w:r>
        <w:t>costs</w:t>
      </w:r>
      <w:r>
        <w:rPr>
          <w:spacing w:val="-6"/>
        </w:rPr>
        <w:t xml:space="preserve"> </w:t>
      </w:r>
      <w:r>
        <w:rPr>
          <w:spacing w:val="-5"/>
        </w:rPr>
        <w:t>of</w:t>
      </w:r>
    </w:p>
    <w:p w14:paraId="02F9DC85" w14:textId="5842B85E" w:rsidR="00BD462C" w:rsidRDefault="005B7350">
      <w:pPr>
        <w:pStyle w:val="BodyText"/>
        <w:spacing w:before="4"/>
        <w:rPr>
          <w:sz w:val="15"/>
        </w:rPr>
      </w:pPr>
      <w:r>
        <w:rPr>
          <w:noProof/>
        </w:rPr>
        <mc:AlternateContent>
          <mc:Choice Requires="wps">
            <w:drawing>
              <wp:anchor distT="0" distB="0" distL="0" distR="0" simplePos="0" relativeHeight="488344064" behindDoc="1" locked="0" layoutInCell="1" allowOverlap="1" wp14:anchorId="12A7CF09" wp14:editId="4ABE3A6D">
                <wp:simplePos x="0" y="0"/>
                <wp:positionH relativeFrom="page">
                  <wp:posOffset>812800</wp:posOffset>
                </wp:positionH>
                <wp:positionV relativeFrom="paragraph">
                  <wp:posOffset>118110</wp:posOffset>
                </wp:positionV>
                <wp:extent cx="1828800" cy="8890"/>
                <wp:effectExtent l="0" t="0" r="0" b="0"/>
                <wp:wrapTopAndBottom/>
                <wp:docPr id="1356" name="docshape1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D30991" id="docshape146" o:spid="_x0000_s1026" alt="&quot;&quot;" style="position:absolute;margin-left:64pt;margin-top:9.3pt;width:2in;height:.7pt;z-index:-14972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" fillcolor="black" stroked="f">
                <w10:wrap type="topAndBottom" anchorx="page"/>
              </v:rect>
            </w:pict>
          </mc:Fallback>
        </mc:AlternateContent>
      </w:r>
    </w:p>
    <w:p w14:paraId="2B769C5A" w14:textId="703F04E6" w:rsidR="005B7350" w:rsidRPr="005B7350" w:rsidRDefault="005B7350" w:rsidP="005B7350">
      <w:pPr>
        <w:spacing w:before="1"/>
        <w:ind w:left="135"/>
        <w:rPr>
          <w:sz w:val="18"/>
        </w:rPr>
      </w:pPr>
      <w:bookmarkStart w:id="341" w:name="_bookmark295"/>
      <w:bookmarkEnd w:id="341"/>
      <w:r>
        <w:rPr>
          <w:position w:val="5"/>
          <w:sz w:val="12"/>
        </w:rPr>
        <w:t>228</w:t>
      </w:r>
      <w:r>
        <w:rPr>
          <w:spacing w:val="12"/>
          <w:position w:val="5"/>
          <w:sz w:val="12"/>
        </w:rPr>
        <w:t xml:space="preserve"> </w:t>
      </w:r>
      <w:r>
        <w:rPr>
          <w:sz w:val="18"/>
        </w:rPr>
        <w:t>Anti-Dumping</w:t>
      </w:r>
      <w:r>
        <w:rPr>
          <w:spacing w:val="-5"/>
          <w:sz w:val="18"/>
        </w:rPr>
        <w:t xml:space="preserve"> </w:t>
      </w:r>
      <w:r>
        <w:rPr>
          <w:sz w:val="18"/>
        </w:rPr>
        <w:t>Preliminary</w:t>
      </w:r>
      <w:r>
        <w:rPr>
          <w:spacing w:val="-8"/>
          <w:sz w:val="18"/>
        </w:rPr>
        <w:t xml:space="preserve"> </w:t>
      </w:r>
      <w:r>
        <w:rPr>
          <w:sz w:val="18"/>
        </w:rPr>
        <w:t>Determination</w:t>
      </w:r>
      <w:r>
        <w:rPr>
          <w:spacing w:val="-6"/>
          <w:sz w:val="18"/>
        </w:rPr>
        <w:t xml:space="preserve"> </w:t>
      </w:r>
      <w:r>
        <w:rPr>
          <w:sz w:val="18"/>
        </w:rPr>
        <w:t>(Exhibit</w:t>
      </w:r>
      <w:r>
        <w:rPr>
          <w:spacing w:val="-5"/>
          <w:sz w:val="18"/>
        </w:rPr>
        <w:t xml:space="preserve"> </w:t>
      </w:r>
      <w:r>
        <w:rPr>
          <w:sz w:val="18"/>
        </w:rPr>
        <w:t xml:space="preserve">AUS-35), p. </w:t>
      </w:r>
      <w:r>
        <w:rPr>
          <w:spacing w:val="-5"/>
          <w:sz w:val="18"/>
        </w:rPr>
        <w:t>24.</w:t>
      </w:r>
    </w:p>
    <w:p w14:paraId="468D8F11" w14:textId="5E02C619" w:rsidR="00BD462C" w:rsidRDefault="00033D0F">
      <w:pPr>
        <w:spacing w:before="112"/>
        <w:ind w:left="135"/>
        <w:jc w:val="both"/>
        <w:rPr>
          <w:sz w:val="18"/>
        </w:rPr>
      </w:pPr>
      <w:r>
        <w:rPr>
          <w:position w:val="5"/>
          <w:sz w:val="12"/>
        </w:rPr>
        <w:t>229</w:t>
      </w:r>
      <w:r>
        <w:rPr>
          <w:spacing w:val="12"/>
          <w:position w:val="5"/>
          <w:sz w:val="12"/>
        </w:rPr>
        <w:t xml:space="preserve"> </w:t>
      </w:r>
      <w:r>
        <w:rPr>
          <w:sz w:val="18"/>
        </w:rPr>
        <w:t>Anti-Dumping</w:t>
      </w:r>
      <w:r>
        <w:rPr>
          <w:spacing w:val="-5"/>
          <w:sz w:val="18"/>
        </w:rPr>
        <w:t xml:space="preserve"> </w:t>
      </w:r>
      <w:r>
        <w:rPr>
          <w:sz w:val="18"/>
        </w:rPr>
        <w:t>Preliminary</w:t>
      </w:r>
      <w:r>
        <w:rPr>
          <w:spacing w:val="-8"/>
          <w:sz w:val="18"/>
        </w:rPr>
        <w:t xml:space="preserve"> </w:t>
      </w:r>
      <w:r>
        <w:rPr>
          <w:sz w:val="18"/>
        </w:rPr>
        <w:t>Determination</w:t>
      </w:r>
      <w:r>
        <w:rPr>
          <w:spacing w:val="-6"/>
          <w:sz w:val="18"/>
        </w:rPr>
        <w:t xml:space="preserve"> </w:t>
      </w:r>
      <w:r>
        <w:rPr>
          <w:sz w:val="18"/>
        </w:rPr>
        <w:t>(Exhibit</w:t>
      </w:r>
      <w:r>
        <w:rPr>
          <w:spacing w:val="-5"/>
          <w:sz w:val="18"/>
        </w:rPr>
        <w:t xml:space="preserve"> </w:t>
      </w:r>
      <w:r>
        <w:rPr>
          <w:sz w:val="18"/>
        </w:rPr>
        <w:t xml:space="preserve">AUS-35), p. </w:t>
      </w:r>
      <w:r>
        <w:rPr>
          <w:spacing w:val="-5"/>
          <w:sz w:val="18"/>
        </w:rPr>
        <w:t>24.</w:t>
      </w:r>
    </w:p>
    <w:p w14:paraId="3FB65439" w14:textId="77777777" w:rsidR="00BD462C" w:rsidRDefault="00033D0F">
      <w:pPr>
        <w:spacing w:before="1"/>
        <w:ind w:left="135"/>
        <w:jc w:val="both"/>
        <w:rPr>
          <w:sz w:val="18"/>
        </w:rPr>
      </w:pPr>
      <w:bookmarkStart w:id="342" w:name="_bookmark296"/>
      <w:bookmarkEnd w:id="342"/>
      <w:r>
        <w:rPr>
          <w:position w:val="5"/>
          <w:sz w:val="12"/>
        </w:rPr>
        <w:t>230</w:t>
      </w:r>
      <w:r>
        <w:rPr>
          <w:spacing w:val="12"/>
          <w:position w:val="5"/>
          <w:sz w:val="12"/>
        </w:rPr>
        <w:t xml:space="preserve"> </w:t>
      </w:r>
      <w:r>
        <w:rPr>
          <w:sz w:val="18"/>
        </w:rPr>
        <w:t>Anti-Dumping</w:t>
      </w:r>
      <w:r>
        <w:rPr>
          <w:spacing w:val="-6"/>
          <w:sz w:val="18"/>
        </w:rPr>
        <w:t xml:space="preserve"> </w:t>
      </w:r>
      <w:r>
        <w:rPr>
          <w:sz w:val="18"/>
        </w:rPr>
        <w:t>Final</w:t>
      </w:r>
      <w:r>
        <w:rPr>
          <w:spacing w:val="-1"/>
          <w:sz w:val="18"/>
        </w:rPr>
        <w:t xml:space="preserve"> </w:t>
      </w:r>
      <w:r>
        <w:rPr>
          <w:sz w:val="18"/>
        </w:rPr>
        <w:t>Determination</w:t>
      </w:r>
      <w:r>
        <w:rPr>
          <w:spacing w:val="-7"/>
          <w:sz w:val="18"/>
        </w:rPr>
        <w:t xml:space="preserve"> </w:t>
      </w:r>
      <w:r>
        <w:rPr>
          <w:sz w:val="18"/>
        </w:rPr>
        <w:t>(Exhibit</w:t>
      </w:r>
      <w:r>
        <w:rPr>
          <w:spacing w:val="-2"/>
          <w:sz w:val="18"/>
        </w:rPr>
        <w:t xml:space="preserve"> </w:t>
      </w:r>
      <w:r>
        <w:rPr>
          <w:sz w:val="18"/>
        </w:rPr>
        <w:t>AUS-2),</w:t>
      </w:r>
      <w:r>
        <w:rPr>
          <w:spacing w:val="-4"/>
          <w:sz w:val="18"/>
        </w:rPr>
        <w:t xml:space="preserve"> </w:t>
      </w:r>
      <w:r>
        <w:rPr>
          <w:sz w:val="18"/>
        </w:rPr>
        <w:t>p.</w:t>
      </w:r>
      <w:r>
        <w:rPr>
          <w:spacing w:val="-5"/>
          <w:sz w:val="18"/>
        </w:rPr>
        <w:t xml:space="preserve"> 59.</w:t>
      </w:r>
    </w:p>
    <w:p w14:paraId="50C9DF67" w14:textId="77777777" w:rsidR="00BD462C" w:rsidRDefault="00033D0F">
      <w:pPr>
        <w:spacing w:before="2" w:line="237" w:lineRule="auto"/>
        <w:ind w:left="136" w:right="909" w:hanging="1"/>
        <w:jc w:val="both"/>
        <w:rPr>
          <w:sz w:val="18"/>
        </w:rPr>
      </w:pPr>
      <w:bookmarkStart w:id="343" w:name="_bookmark297"/>
      <w:bookmarkEnd w:id="343"/>
      <w:r>
        <w:rPr>
          <w:position w:val="5"/>
          <w:sz w:val="12"/>
        </w:rPr>
        <w:t>231</w:t>
      </w:r>
      <w:r>
        <w:rPr>
          <w:spacing w:val="21"/>
          <w:position w:val="5"/>
          <w:sz w:val="12"/>
        </w:rPr>
        <w:t xml:space="preserve"> </w:t>
      </w:r>
      <w:r>
        <w:rPr>
          <w:sz w:val="18"/>
        </w:rPr>
        <w:t>See Anti-Dumping Final Determination (Exhibit AUS-2), pp. 59-60.</w:t>
      </w:r>
      <w:r>
        <w:rPr>
          <w:spacing w:val="-2"/>
          <w:sz w:val="18"/>
        </w:rPr>
        <w:t xml:space="preserve"> </w:t>
      </w:r>
      <w:r>
        <w:rPr>
          <w:sz w:val="18"/>
        </w:rPr>
        <w:t>MOFCOM's purported inability to verify information is confirmed as the basis of its determinations to reject information in China responses to the Panel's questions. See China's response to Panel question No. 2, paras. 2, 12, 14.</w:t>
      </w:r>
    </w:p>
    <w:p w14:paraId="6B8C644E" w14:textId="77777777" w:rsidR="00BD462C" w:rsidRDefault="00033D0F">
      <w:pPr>
        <w:spacing w:before="4"/>
        <w:ind w:left="135"/>
        <w:rPr>
          <w:sz w:val="18"/>
        </w:rPr>
      </w:pPr>
      <w:bookmarkStart w:id="344" w:name="_bookmark298"/>
      <w:bookmarkEnd w:id="344"/>
      <w:r>
        <w:rPr>
          <w:position w:val="5"/>
          <w:sz w:val="12"/>
        </w:rPr>
        <w:t>232</w:t>
      </w:r>
      <w:r>
        <w:rPr>
          <w:spacing w:val="12"/>
          <w:position w:val="5"/>
          <w:sz w:val="12"/>
        </w:rPr>
        <w:t xml:space="preserve"> </w:t>
      </w:r>
      <w:r>
        <w:rPr>
          <w:sz w:val="18"/>
        </w:rPr>
        <w:t>Anti-Dumping</w:t>
      </w:r>
      <w:r>
        <w:rPr>
          <w:spacing w:val="-6"/>
          <w:sz w:val="18"/>
        </w:rPr>
        <w:t xml:space="preserve"> </w:t>
      </w:r>
      <w:r>
        <w:rPr>
          <w:sz w:val="18"/>
        </w:rPr>
        <w:t>Final</w:t>
      </w:r>
      <w:r>
        <w:rPr>
          <w:spacing w:val="-1"/>
          <w:sz w:val="18"/>
        </w:rPr>
        <w:t xml:space="preserve"> </w:t>
      </w:r>
      <w:r>
        <w:rPr>
          <w:sz w:val="18"/>
        </w:rPr>
        <w:t>Determination</w:t>
      </w:r>
      <w:r>
        <w:rPr>
          <w:spacing w:val="-7"/>
          <w:sz w:val="18"/>
        </w:rPr>
        <w:t xml:space="preserve"> </w:t>
      </w:r>
      <w:r>
        <w:rPr>
          <w:sz w:val="18"/>
        </w:rPr>
        <w:t>(Exhibit</w:t>
      </w:r>
      <w:r>
        <w:rPr>
          <w:spacing w:val="-1"/>
          <w:sz w:val="18"/>
        </w:rPr>
        <w:t xml:space="preserve"> </w:t>
      </w:r>
      <w:r>
        <w:rPr>
          <w:sz w:val="18"/>
        </w:rPr>
        <w:t>AUS-2),</w:t>
      </w:r>
      <w:r>
        <w:rPr>
          <w:spacing w:val="-4"/>
          <w:sz w:val="18"/>
        </w:rPr>
        <w:t xml:space="preserve"> </w:t>
      </w:r>
      <w:r>
        <w:rPr>
          <w:sz w:val="18"/>
        </w:rPr>
        <w:t>p.</w:t>
      </w:r>
      <w:r>
        <w:rPr>
          <w:spacing w:val="-5"/>
          <w:sz w:val="18"/>
        </w:rPr>
        <w:t xml:space="preserve"> 60.</w:t>
      </w:r>
    </w:p>
    <w:p w14:paraId="03F10824" w14:textId="77777777" w:rsidR="00BD462C" w:rsidRDefault="00033D0F">
      <w:pPr>
        <w:spacing w:before="1"/>
        <w:ind w:left="135"/>
        <w:rPr>
          <w:sz w:val="18"/>
        </w:rPr>
      </w:pPr>
      <w:bookmarkStart w:id="345" w:name="_bookmark299"/>
      <w:bookmarkEnd w:id="345"/>
      <w:r>
        <w:rPr>
          <w:position w:val="5"/>
          <w:sz w:val="12"/>
        </w:rPr>
        <w:t>233</w:t>
      </w:r>
      <w:r>
        <w:rPr>
          <w:spacing w:val="12"/>
          <w:position w:val="5"/>
          <w:sz w:val="12"/>
        </w:rPr>
        <w:t xml:space="preserve"> </w:t>
      </w:r>
      <w:r>
        <w:rPr>
          <w:sz w:val="18"/>
        </w:rPr>
        <w:t>Australia's</w:t>
      </w:r>
      <w:r>
        <w:rPr>
          <w:spacing w:val="-5"/>
          <w:sz w:val="18"/>
        </w:rPr>
        <w:t xml:space="preserve"> </w:t>
      </w:r>
      <w:r>
        <w:rPr>
          <w:sz w:val="18"/>
        </w:rPr>
        <w:t>first</w:t>
      </w:r>
      <w:r>
        <w:rPr>
          <w:spacing w:val="-5"/>
          <w:sz w:val="18"/>
        </w:rPr>
        <w:t xml:space="preserve"> </w:t>
      </w:r>
      <w:r>
        <w:rPr>
          <w:sz w:val="18"/>
        </w:rPr>
        <w:t>written</w:t>
      </w:r>
      <w:r>
        <w:rPr>
          <w:spacing w:val="-2"/>
          <w:sz w:val="18"/>
        </w:rPr>
        <w:t xml:space="preserve"> </w:t>
      </w:r>
      <w:r>
        <w:rPr>
          <w:sz w:val="18"/>
        </w:rPr>
        <w:t>submission,</w:t>
      </w:r>
      <w:r>
        <w:rPr>
          <w:spacing w:val="1"/>
          <w:sz w:val="18"/>
        </w:rPr>
        <w:t xml:space="preserve"> </w:t>
      </w:r>
      <w:r>
        <w:rPr>
          <w:sz w:val="18"/>
        </w:rPr>
        <w:t>paras.</w:t>
      </w:r>
      <w:r>
        <w:rPr>
          <w:spacing w:val="-5"/>
          <w:sz w:val="18"/>
        </w:rPr>
        <w:t xml:space="preserve"> </w:t>
      </w:r>
      <w:r>
        <w:rPr>
          <w:sz w:val="18"/>
        </w:rPr>
        <w:t>146</w:t>
      </w:r>
      <w:r>
        <w:rPr>
          <w:spacing w:val="-3"/>
          <w:sz w:val="18"/>
        </w:rPr>
        <w:t xml:space="preserve"> </w:t>
      </w:r>
      <w:r>
        <w:rPr>
          <w:sz w:val="18"/>
        </w:rPr>
        <w:t>and</w:t>
      </w:r>
      <w:r>
        <w:rPr>
          <w:spacing w:val="-6"/>
          <w:sz w:val="18"/>
        </w:rPr>
        <w:t xml:space="preserve"> </w:t>
      </w:r>
      <w:r>
        <w:rPr>
          <w:spacing w:val="-4"/>
          <w:sz w:val="18"/>
        </w:rPr>
        <w:t>161.</w:t>
      </w:r>
    </w:p>
    <w:p w14:paraId="50D1EDAC" w14:textId="77777777" w:rsidR="00BD462C" w:rsidRDefault="00033D0F">
      <w:pPr>
        <w:spacing w:before="1"/>
        <w:ind w:left="135"/>
        <w:rPr>
          <w:sz w:val="18"/>
        </w:rPr>
      </w:pPr>
      <w:bookmarkStart w:id="346" w:name="_bookmark300"/>
      <w:bookmarkEnd w:id="346"/>
      <w:r>
        <w:rPr>
          <w:position w:val="5"/>
          <w:sz w:val="12"/>
        </w:rPr>
        <w:t>234</w:t>
      </w:r>
      <w:r>
        <w:rPr>
          <w:spacing w:val="12"/>
          <w:position w:val="5"/>
          <w:sz w:val="12"/>
        </w:rPr>
        <w:t xml:space="preserve"> </w:t>
      </w:r>
      <w:r>
        <w:rPr>
          <w:sz w:val="18"/>
        </w:rPr>
        <w:t>Australia's</w:t>
      </w:r>
      <w:r>
        <w:rPr>
          <w:spacing w:val="-6"/>
          <w:sz w:val="18"/>
        </w:rPr>
        <w:t xml:space="preserve"> </w:t>
      </w:r>
      <w:r>
        <w:rPr>
          <w:sz w:val="18"/>
        </w:rPr>
        <w:t>first</w:t>
      </w:r>
      <w:r>
        <w:rPr>
          <w:spacing w:val="-6"/>
          <w:sz w:val="18"/>
        </w:rPr>
        <w:t xml:space="preserve"> </w:t>
      </w:r>
      <w:r>
        <w:rPr>
          <w:sz w:val="18"/>
        </w:rPr>
        <w:t>written</w:t>
      </w:r>
      <w:r>
        <w:rPr>
          <w:spacing w:val="-2"/>
          <w:sz w:val="18"/>
        </w:rPr>
        <w:t xml:space="preserve"> </w:t>
      </w:r>
      <w:r>
        <w:rPr>
          <w:sz w:val="18"/>
        </w:rPr>
        <w:t>submission, para.</w:t>
      </w:r>
      <w:r>
        <w:rPr>
          <w:spacing w:val="-5"/>
          <w:sz w:val="18"/>
        </w:rPr>
        <w:t xml:space="preserve"> </w:t>
      </w:r>
      <w:r>
        <w:rPr>
          <w:spacing w:val="-4"/>
          <w:sz w:val="18"/>
        </w:rPr>
        <w:t>261.</w:t>
      </w:r>
    </w:p>
    <w:p w14:paraId="2097B9DA" w14:textId="77777777" w:rsidR="00BD462C" w:rsidRDefault="00BD462C">
      <w:pPr>
        <w:rPr>
          <w:sz w:val="18"/>
        </w:rPr>
        <w:sectPr w:rsidR="00BD462C">
          <w:pgSz w:w="11910" w:h="16840"/>
          <w:pgMar w:top="860" w:right="500" w:bottom="780" w:left="1280" w:header="566" w:footer="590" w:gutter="0"/>
          <w:cols w:space="720"/>
        </w:sectPr>
      </w:pPr>
    </w:p>
    <w:p w14:paraId="77C195EA"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58A13B46"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3C6BE3A4"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1208E40C" w14:textId="77777777" w:rsidR="00BD462C" w:rsidRDefault="00033D0F">
      <w:pPr>
        <w:pStyle w:val="BodyText"/>
        <w:spacing w:before="102" w:line="360" w:lineRule="auto"/>
        <w:ind w:left="136" w:right="915"/>
        <w:jc w:val="both"/>
      </w:pPr>
      <w:r>
        <w:t>production.</w:t>
      </w:r>
      <w:r>
        <w:rPr>
          <w:spacing w:val="-14"/>
        </w:rPr>
        <w:t xml:space="preserve"> </w:t>
      </w:r>
      <w:hyperlink w:anchor="_bookmark301" w:history="1">
        <w:r>
          <w:rPr>
            <w:vertAlign w:val="superscript"/>
          </w:rPr>
          <w:t>235</w:t>
        </w:r>
      </w:hyperlink>
      <w:r>
        <w:t xml:space="preserve"> MOFCOM could have used the submitted information without "undue difficulties" in</w:t>
      </w:r>
      <w:r>
        <w:rPr>
          <w:spacing w:val="-1"/>
        </w:rPr>
        <w:t xml:space="preserve"> </w:t>
      </w:r>
      <w:r>
        <w:t>order</w:t>
      </w:r>
      <w:r>
        <w:rPr>
          <w:spacing w:val="-1"/>
        </w:rPr>
        <w:t xml:space="preserve"> </w:t>
      </w:r>
      <w:r>
        <w:t>to</w:t>
      </w:r>
      <w:r>
        <w:rPr>
          <w:spacing w:val="-1"/>
        </w:rPr>
        <w:t xml:space="preserve"> </w:t>
      </w:r>
      <w:r>
        <w:t>determine the costs of</w:t>
      </w:r>
      <w:r>
        <w:rPr>
          <w:spacing w:val="-1"/>
        </w:rPr>
        <w:t xml:space="preserve"> </w:t>
      </w:r>
      <w:r>
        <w:t>production</w:t>
      </w:r>
      <w:r>
        <w:rPr>
          <w:spacing w:val="-1"/>
        </w:rPr>
        <w:t xml:space="preserve"> </w:t>
      </w:r>
      <w:r>
        <w:t>for Treasury Wines and</w:t>
      </w:r>
      <w:r>
        <w:rPr>
          <w:spacing w:val="-1"/>
        </w:rPr>
        <w:t xml:space="preserve"> </w:t>
      </w:r>
      <w:r>
        <w:t>ascertain</w:t>
      </w:r>
      <w:r>
        <w:rPr>
          <w:spacing w:val="-1"/>
        </w:rPr>
        <w:t xml:space="preserve"> </w:t>
      </w:r>
      <w:r>
        <w:t>a normal value based on the information provided by the company.</w:t>
      </w:r>
    </w:p>
    <w:p w14:paraId="7A214F30" w14:textId="77777777" w:rsidR="00BD462C" w:rsidRDefault="00033D0F" w:rsidP="00DA02D9">
      <w:pPr>
        <w:pStyle w:val="ListParagraph"/>
        <w:numPr>
          <w:ilvl w:val="1"/>
          <w:numId w:val="70"/>
        </w:numPr>
        <w:tabs>
          <w:tab w:val="left" w:pos="3539"/>
          <w:tab w:val="left" w:pos="3540"/>
        </w:tabs>
        <w:spacing w:before="160" w:line="357" w:lineRule="auto"/>
        <w:ind w:right="916"/>
        <w:jc w:val="both"/>
        <w:rPr>
          <w:sz w:val="24"/>
        </w:rPr>
      </w:pPr>
      <w:bookmarkStart w:id="347" w:name="(b)_Information_submitted_after_the_Prel"/>
      <w:bookmarkEnd w:id="347"/>
      <w:r>
        <w:rPr>
          <w:sz w:val="24"/>
          <w:u w:val="single"/>
        </w:rPr>
        <w:t>Information submitted after the Preliminary</w:t>
      </w:r>
      <w:r>
        <w:rPr>
          <w:sz w:val="24"/>
        </w:rPr>
        <w:t xml:space="preserve"> </w:t>
      </w:r>
      <w:r>
        <w:rPr>
          <w:sz w:val="24"/>
          <w:u w:val="single"/>
        </w:rPr>
        <w:t>Determination was not untimely</w:t>
      </w:r>
    </w:p>
    <w:p w14:paraId="6AE7D26E" w14:textId="77777777" w:rsidR="00BD462C" w:rsidRDefault="00BD462C">
      <w:pPr>
        <w:pStyle w:val="BodyText"/>
        <w:spacing w:before="3"/>
        <w:rPr>
          <w:sz w:val="9"/>
        </w:rPr>
      </w:pPr>
    </w:p>
    <w:p w14:paraId="5A80B8AD" w14:textId="5808800C" w:rsidR="00BD462C" w:rsidRDefault="00033D0F" w:rsidP="00407B63">
      <w:pPr>
        <w:pStyle w:val="BodyText"/>
        <w:numPr>
          <w:ilvl w:val="0"/>
          <w:numId w:val="69"/>
        </w:numPr>
        <w:spacing w:before="56" w:line="360" w:lineRule="auto"/>
        <w:ind w:left="567" w:right="915"/>
        <w:jc w:val="both"/>
      </w:pPr>
      <w:r>
        <w:rPr>
          <w:position w:val="1"/>
        </w:rPr>
        <w:t>China</w:t>
      </w:r>
      <w:r>
        <w:rPr>
          <w:spacing w:val="-3"/>
          <w:position w:val="1"/>
        </w:rPr>
        <w:t xml:space="preserve"> </w:t>
      </w:r>
      <w:r>
        <w:rPr>
          <w:position w:val="1"/>
        </w:rPr>
        <w:t>also</w:t>
      </w:r>
      <w:r>
        <w:rPr>
          <w:spacing w:val="-5"/>
          <w:position w:val="1"/>
        </w:rPr>
        <w:t xml:space="preserve"> </w:t>
      </w:r>
      <w:r>
        <w:rPr>
          <w:position w:val="1"/>
        </w:rPr>
        <w:t>argues</w:t>
      </w:r>
      <w:r>
        <w:rPr>
          <w:spacing w:val="-1"/>
          <w:position w:val="1"/>
        </w:rPr>
        <w:t xml:space="preserve"> </w:t>
      </w:r>
      <w:r>
        <w:rPr>
          <w:position w:val="1"/>
        </w:rPr>
        <w:t>that</w:t>
      </w:r>
      <w:r>
        <w:rPr>
          <w:spacing w:val="-2"/>
          <w:position w:val="1"/>
        </w:rPr>
        <w:t xml:space="preserve"> </w:t>
      </w:r>
      <w:r>
        <w:rPr>
          <w:position w:val="1"/>
        </w:rPr>
        <w:t>Forms</w:t>
      </w:r>
      <w:r>
        <w:rPr>
          <w:spacing w:val="-1"/>
          <w:position w:val="1"/>
        </w:rPr>
        <w:t xml:space="preserve"> </w:t>
      </w:r>
      <w:r>
        <w:rPr>
          <w:position w:val="1"/>
        </w:rPr>
        <w:t>6-1-1,</w:t>
      </w:r>
      <w:r>
        <w:rPr>
          <w:spacing w:val="-1"/>
          <w:position w:val="1"/>
        </w:rPr>
        <w:t xml:space="preserve"> </w:t>
      </w:r>
      <w:r>
        <w:rPr>
          <w:position w:val="1"/>
        </w:rPr>
        <w:t>6-1-2, 6-3 and 6-4 were</w:t>
      </w:r>
      <w:r>
        <w:rPr>
          <w:spacing w:val="-2"/>
          <w:position w:val="1"/>
        </w:rPr>
        <w:t xml:space="preserve"> </w:t>
      </w:r>
      <w:r>
        <w:rPr>
          <w:position w:val="1"/>
        </w:rPr>
        <w:t>not</w:t>
      </w:r>
      <w:r>
        <w:rPr>
          <w:spacing w:val="-2"/>
          <w:position w:val="1"/>
        </w:rPr>
        <w:t xml:space="preserve"> </w:t>
      </w:r>
      <w:r>
        <w:rPr>
          <w:position w:val="1"/>
        </w:rPr>
        <w:t>supplied</w:t>
      </w:r>
      <w:r>
        <w:rPr>
          <w:spacing w:val="-4"/>
          <w:position w:val="1"/>
        </w:rPr>
        <w:t xml:space="preserve"> </w:t>
      </w:r>
      <w:r>
        <w:rPr>
          <w:position w:val="1"/>
        </w:rPr>
        <w:t>in</w:t>
      </w:r>
      <w:r>
        <w:rPr>
          <w:spacing w:val="-4"/>
          <w:position w:val="1"/>
        </w:rPr>
        <w:t xml:space="preserve"> </w:t>
      </w:r>
      <w:r>
        <w:rPr>
          <w:position w:val="1"/>
        </w:rPr>
        <w:t>a</w:t>
      </w:r>
      <w:r>
        <w:rPr>
          <w:spacing w:val="-3"/>
          <w:position w:val="1"/>
        </w:rPr>
        <w:t xml:space="preserve"> </w:t>
      </w:r>
      <w:r>
        <w:rPr>
          <w:position w:val="1"/>
        </w:rPr>
        <w:t xml:space="preserve">"timely </w:t>
      </w:r>
      <w:r>
        <w:t>fashion".</w:t>
      </w:r>
      <w:r>
        <w:rPr>
          <w:spacing w:val="-14"/>
        </w:rPr>
        <w:t xml:space="preserve"> </w:t>
      </w:r>
      <w:hyperlink w:anchor="_bookmark302" w:history="1">
        <w:r>
          <w:rPr>
            <w:vertAlign w:val="superscript"/>
          </w:rPr>
          <w:t>236</w:t>
        </w:r>
      </w:hyperlink>
      <w:r>
        <w:t xml:space="preserve"> According to China, the updated forms were submitted after the Preliminary Determination and, on that basis, not supplied in a "timely fashion" within the meaning of paragraph 3 of Annex II.</w:t>
      </w:r>
    </w:p>
    <w:p w14:paraId="1739A249" w14:textId="77777777" w:rsidR="00BD462C" w:rsidRDefault="00BD462C">
      <w:pPr>
        <w:pStyle w:val="BodyText"/>
        <w:spacing w:before="8"/>
        <w:rPr>
          <w:sz w:val="8"/>
        </w:rPr>
      </w:pPr>
    </w:p>
    <w:p w14:paraId="19139168" w14:textId="26BD6D73" w:rsidR="00BD462C" w:rsidRDefault="00033D0F" w:rsidP="009B7B7C">
      <w:pPr>
        <w:pStyle w:val="BodyText"/>
        <w:numPr>
          <w:ilvl w:val="0"/>
          <w:numId w:val="69"/>
        </w:numPr>
        <w:spacing w:before="56" w:line="357" w:lineRule="auto"/>
        <w:ind w:right="914" w:hanging="638"/>
        <w:jc w:val="both"/>
      </w:pPr>
      <w:r>
        <w:rPr>
          <w:position w:val="1"/>
        </w:rPr>
        <w:t>It is well established that an investigating authority is not entitled to reject</w:t>
      </w:r>
      <w:r>
        <w:rPr>
          <w:spacing w:val="80"/>
          <w:position w:val="1"/>
        </w:rPr>
        <w:t xml:space="preserve"> </w:t>
      </w:r>
      <w:r>
        <w:t>information for the sole reason that it was submitted after a deadline.</w:t>
      </w:r>
      <w:hyperlink w:anchor="_bookmark303" w:history="1">
        <w:r>
          <w:rPr>
            <w:vertAlign w:val="superscript"/>
          </w:rPr>
          <w:t>237</w:t>
        </w:r>
      </w:hyperlink>
      <w:r>
        <w:t xml:space="preserve"> An investigation authority must consider whether the information was nonetheless submitted in a "timely fashion", or within a "reasonable period".</w:t>
      </w:r>
      <w:r>
        <w:rPr>
          <w:spacing w:val="-29"/>
        </w:rPr>
        <w:t xml:space="preserve"> </w:t>
      </w:r>
      <w:hyperlink w:anchor="_bookmark304" w:history="1">
        <w:r>
          <w:rPr>
            <w:vertAlign w:val="superscript"/>
          </w:rPr>
          <w:t>238</w:t>
        </w:r>
      </w:hyperlink>
      <w:r>
        <w:t xml:space="preserve"> This is a highly fact specific assessment.</w:t>
      </w:r>
    </w:p>
    <w:p w14:paraId="1EBDEFD1" w14:textId="77777777" w:rsidR="00BD462C" w:rsidRDefault="00BD462C">
      <w:pPr>
        <w:pStyle w:val="BodyText"/>
        <w:spacing w:before="3"/>
        <w:rPr>
          <w:sz w:val="9"/>
        </w:rPr>
      </w:pPr>
    </w:p>
    <w:p w14:paraId="77A5DEC4" w14:textId="0E181FEF" w:rsidR="00BD462C" w:rsidRDefault="00033D0F" w:rsidP="009B7B7C">
      <w:pPr>
        <w:pStyle w:val="BodyText"/>
        <w:numPr>
          <w:ilvl w:val="0"/>
          <w:numId w:val="69"/>
        </w:numPr>
        <w:spacing w:before="56" w:line="360" w:lineRule="auto"/>
        <w:ind w:right="913" w:hanging="638"/>
        <w:jc w:val="both"/>
      </w:pPr>
      <w:r>
        <w:rPr>
          <w:position w:val="1"/>
        </w:rPr>
        <w:t xml:space="preserve">There is no evidence that MOFCOM considered whether the information was </w:t>
      </w:r>
      <w:r>
        <w:t>submitted within a "reasonable period". Treasury Wines' submission of the updated version of</w:t>
      </w:r>
      <w:r>
        <w:rPr>
          <w:spacing w:val="-14"/>
        </w:rPr>
        <w:t xml:space="preserve"> </w:t>
      </w:r>
      <w:r>
        <w:t>the</w:t>
      </w:r>
      <w:r>
        <w:rPr>
          <w:spacing w:val="-14"/>
        </w:rPr>
        <w:t xml:space="preserve"> </w:t>
      </w:r>
      <w:r>
        <w:t>forms</w:t>
      </w:r>
      <w:r>
        <w:rPr>
          <w:spacing w:val="-13"/>
        </w:rPr>
        <w:t xml:space="preserve"> </w:t>
      </w:r>
      <w:r>
        <w:t>after</w:t>
      </w:r>
      <w:r>
        <w:rPr>
          <w:spacing w:val="-14"/>
        </w:rPr>
        <w:t xml:space="preserve"> </w:t>
      </w:r>
      <w:r>
        <w:t>MOFCOM</w:t>
      </w:r>
      <w:r>
        <w:rPr>
          <w:spacing w:val="-13"/>
        </w:rPr>
        <w:t xml:space="preserve"> </w:t>
      </w:r>
      <w:r>
        <w:t>published</w:t>
      </w:r>
      <w:r>
        <w:rPr>
          <w:spacing w:val="-14"/>
        </w:rPr>
        <w:t xml:space="preserve"> </w:t>
      </w:r>
      <w:r>
        <w:t>the</w:t>
      </w:r>
      <w:r>
        <w:rPr>
          <w:spacing w:val="-13"/>
        </w:rPr>
        <w:t xml:space="preserve"> </w:t>
      </w:r>
      <w:r>
        <w:t>Preliminary</w:t>
      </w:r>
      <w:r>
        <w:rPr>
          <w:spacing w:val="-14"/>
        </w:rPr>
        <w:t xml:space="preserve"> </w:t>
      </w:r>
      <w:r>
        <w:t>Determination</w:t>
      </w:r>
      <w:r>
        <w:rPr>
          <w:spacing w:val="-14"/>
        </w:rPr>
        <w:t xml:space="preserve"> </w:t>
      </w:r>
      <w:r>
        <w:t>does</w:t>
      </w:r>
      <w:r>
        <w:rPr>
          <w:spacing w:val="-13"/>
        </w:rPr>
        <w:t xml:space="preserve"> </w:t>
      </w:r>
      <w:r>
        <w:t>not,</w:t>
      </w:r>
      <w:r>
        <w:rPr>
          <w:spacing w:val="-14"/>
        </w:rPr>
        <w:t xml:space="preserve"> </w:t>
      </w:r>
      <w:r>
        <w:t>without</w:t>
      </w:r>
      <w:r>
        <w:rPr>
          <w:spacing w:val="-13"/>
        </w:rPr>
        <w:t xml:space="preserve"> </w:t>
      </w:r>
      <w:r>
        <w:t>more, make the</w:t>
      </w:r>
      <w:r>
        <w:rPr>
          <w:spacing w:val="-4"/>
        </w:rPr>
        <w:t xml:space="preserve"> </w:t>
      </w:r>
      <w:r>
        <w:t>information</w:t>
      </w:r>
      <w:r>
        <w:rPr>
          <w:spacing w:val="-1"/>
        </w:rPr>
        <w:t xml:space="preserve"> </w:t>
      </w:r>
      <w:r>
        <w:t>untimely.</w:t>
      </w:r>
      <w:r>
        <w:rPr>
          <w:spacing w:val="-2"/>
        </w:rPr>
        <w:t xml:space="preserve"> </w:t>
      </w:r>
      <w:r>
        <w:t>Treasury Wines submitted</w:t>
      </w:r>
      <w:r>
        <w:rPr>
          <w:spacing w:val="-1"/>
        </w:rPr>
        <w:t xml:space="preserve"> </w:t>
      </w:r>
      <w:r>
        <w:t>the updated</w:t>
      </w:r>
      <w:r>
        <w:rPr>
          <w:spacing w:val="-1"/>
        </w:rPr>
        <w:t xml:space="preserve"> </w:t>
      </w:r>
      <w:r>
        <w:t>forms in</w:t>
      </w:r>
      <w:r>
        <w:rPr>
          <w:spacing w:val="-1"/>
        </w:rPr>
        <w:t xml:space="preserve"> </w:t>
      </w:r>
      <w:r>
        <w:t>response to the Preliminary Determination on 7 December 2020, within the deadline set by MOFCOM. MOFCOM then proceeded to issue a Supplementary Questionnaire some two months later, in February 2021. The fact that MOFCOM issued a Supplementary Questionnaire requesting further information and evidence from Treasury Wines after publishing the Preliminary Determination is evidence that MOFCOM was still able to consider information submitted after that time.</w:t>
      </w:r>
    </w:p>
    <w:p w14:paraId="31600E19" w14:textId="77777777" w:rsidR="00BD462C" w:rsidRDefault="00033D0F" w:rsidP="00DA02D9">
      <w:pPr>
        <w:pStyle w:val="ListParagraph"/>
        <w:numPr>
          <w:ilvl w:val="1"/>
          <w:numId w:val="70"/>
        </w:numPr>
        <w:tabs>
          <w:tab w:val="left" w:pos="3539"/>
          <w:tab w:val="left" w:pos="3540"/>
        </w:tabs>
        <w:spacing w:before="157"/>
        <w:ind w:hanging="851"/>
        <w:jc w:val="both"/>
        <w:rPr>
          <w:sz w:val="24"/>
        </w:rPr>
      </w:pPr>
      <w:bookmarkStart w:id="348" w:name="(c)_Relationship_between_paragraphs_3_an"/>
      <w:bookmarkEnd w:id="348"/>
      <w:r>
        <w:rPr>
          <w:sz w:val="24"/>
          <w:u w:val="single"/>
        </w:rPr>
        <w:t>Relationship</w:t>
      </w:r>
      <w:r>
        <w:rPr>
          <w:spacing w:val="-4"/>
          <w:sz w:val="24"/>
          <w:u w:val="single"/>
        </w:rPr>
        <w:t xml:space="preserve"> </w:t>
      </w:r>
      <w:r>
        <w:rPr>
          <w:sz w:val="24"/>
          <w:u w:val="single"/>
        </w:rPr>
        <w:t>between</w:t>
      </w:r>
      <w:r>
        <w:rPr>
          <w:spacing w:val="-4"/>
          <w:sz w:val="24"/>
          <w:u w:val="single"/>
        </w:rPr>
        <w:t xml:space="preserve"> </w:t>
      </w:r>
      <w:r>
        <w:rPr>
          <w:sz w:val="24"/>
          <w:u w:val="single"/>
        </w:rPr>
        <w:t>paragraphs</w:t>
      </w:r>
      <w:r>
        <w:rPr>
          <w:spacing w:val="-1"/>
          <w:sz w:val="24"/>
          <w:u w:val="single"/>
        </w:rPr>
        <w:t xml:space="preserve"> </w:t>
      </w:r>
      <w:r>
        <w:rPr>
          <w:sz w:val="24"/>
          <w:u w:val="single"/>
        </w:rPr>
        <w:t>3</w:t>
      </w:r>
      <w:r>
        <w:rPr>
          <w:spacing w:val="-4"/>
          <w:sz w:val="24"/>
          <w:u w:val="single"/>
        </w:rPr>
        <w:t xml:space="preserve"> </w:t>
      </w:r>
      <w:r>
        <w:rPr>
          <w:sz w:val="24"/>
          <w:u w:val="single"/>
        </w:rPr>
        <w:t>and 6</w:t>
      </w:r>
      <w:r>
        <w:rPr>
          <w:spacing w:val="-5"/>
          <w:sz w:val="24"/>
          <w:u w:val="single"/>
        </w:rPr>
        <w:t xml:space="preserve"> </w:t>
      </w:r>
      <w:r>
        <w:rPr>
          <w:sz w:val="24"/>
          <w:u w:val="single"/>
        </w:rPr>
        <w:t>of</w:t>
      </w:r>
      <w:r>
        <w:rPr>
          <w:spacing w:val="-4"/>
          <w:sz w:val="24"/>
          <w:u w:val="single"/>
        </w:rPr>
        <w:t xml:space="preserve"> </w:t>
      </w:r>
      <w:r>
        <w:rPr>
          <w:sz w:val="24"/>
          <w:u w:val="single"/>
        </w:rPr>
        <w:t xml:space="preserve">Annex </w:t>
      </w:r>
      <w:r>
        <w:rPr>
          <w:spacing w:val="-5"/>
          <w:sz w:val="24"/>
          <w:u w:val="single"/>
        </w:rPr>
        <w:t>II</w:t>
      </w:r>
    </w:p>
    <w:p w14:paraId="4D09A987" w14:textId="77777777" w:rsidR="00BD462C" w:rsidRDefault="00BD462C">
      <w:pPr>
        <w:pStyle w:val="BodyText"/>
        <w:spacing w:before="11"/>
        <w:rPr>
          <w:sz w:val="20"/>
        </w:rPr>
      </w:pPr>
    </w:p>
    <w:p w14:paraId="12D9580C" w14:textId="5419170C" w:rsidR="00BD462C" w:rsidRPr="00407B63" w:rsidRDefault="007D270C" w:rsidP="00407B63">
      <w:pPr>
        <w:pStyle w:val="BodyText"/>
        <w:numPr>
          <w:ilvl w:val="0"/>
          <w:numId w:val="69"/>
        </w:numPr>
        <w:spacing w:before="56" w:line="355" w:lineRule="auto"/>
        <w:ind w:right="923"/>
      </w:pPr>
      <w:r>
        <w:rPr>
          <w:noProof/>
        </w:rPr>
        <mc:AlternateContent>
          <mc:Choice Requires="wps">
            <w:drawing>
              <wp:anchor distT="0" distB="0" distL="0" distR="0" simplePos="0" relativeHeight="488337920" behindDoc="1" locked="0" layoutInCell="1" allowOverlap="1" wp14:anchorId="14B5E9F9" wp14:editId="148710D6">
                <wp:simplePos x="0" y="0"/>
                <wp:positionH relativeFrom="page">
                  <wp:posOffset>812800</wp:posOffset>
                </wp:positionH>
                <wp:positionV relativeFrom="paragraph">
                  <wp:posOffset>848360</wp:posOffset>
                </wp:positionV>
                <wp:extent cx="1828800" cy="8890"/>
                <wp:effectExtent l="0" t="0" r="0" b="0"/>
                <wp:wrapTopAndBottom/>
                <wp:docPr id="1372" name="docshape1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446DBB" id="docshape146" o:spid="_x0000_s1026" alt="&quot;&quot;" style="position:absolute;margin-left:64pt;margin-top:66.8pt;width:2in;height:.7pt;z-index:-14978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" fillcolor="black" stroked="f">
                <w10:wrap type="topAndBottom" anchorx="page"/>
              </v:rect>
            </w:pict>
          </mc:Fallback>
        </mc:AlternateContent>
      </w:r>
      <w:r w:rsidR="00033D0F">
        <w:rPr>
          <w:position w:val="1"/>
        </w:rPr>
        <w:t>China</w:t>
      </w:r>
      <w:r w:rsidR="00033D0F">
        <w:rPr>
          <w:spacing w:val="-8"/>
          <w:position w:val="1"/>
        </w:rPr>
        <w:t xml:space="preserve"> </w:t>
      </w:r>
      <w:r w:rsidR="00033D0F">
        <w:rPr>
          <w:position w:val="1"/>
        </w:rPr>
        <w:t>argues</w:t>
      </w:r>
      <w:r w:rsidR="00033D0F">
        <w:rPr>
          <w:spacing w:val="-6"/>
          <w:position w:val="1"/>
        </w:rPr>
        <w:t xml:space="preserve"> </w:t>
      </w:r>
      <w:r w:rsidR="00033D0F">
        <w:rPr>
          <w:position w:val="1"/>
        </w:rPr>
        <w:t>that</w:t>
      </w:r>
      <w:r w:rsidR="00033D0F">
        <w:rPr>
          <w:spacing w:val="-7"/>
          <w:position w:val="1"/>
        </w:rPr>
        <w:t xml:space="preserve"> </w:t>
      </w:r>
      <w:r w:rsidR="00033D0F">
        <w:rPr>
          <w:position w:val="1"/>
        </w:rPr>
        <w:t>pursuant</w:t>
      </w:r>
      <w:r w:rsidR="00033D0F">
        <w:rPr>
          <w:spacing w:val="-7"/>
          <w:position w:val="1"/>
        </w:rPr>
        <w:t xml:space="preserve"> </w:t>
      </w:r>
      <w:r w:rsidR="00033D0F">
        <w:rPr>
          <w:position w:val="1"/>
        </w:rPr>
        <w:t>to</w:t>
      </w:r>
      <w:r w:rsidR="00033D0F">
        <w:rPr>
          <w:spacing w:val="-5"/>
          <w:position w:val="1"/>
        </w:rPr>
        <w:t xml:space="preserve"> </w:t>
      </w:r>
      <w:r w:rsidR="00033D0F">
        <w:rPr>
          <w:position w:val="1"/>
        </w:rPr>
        <w:t>paragraph</w:t>
      </w:r>
      <w:r w:rsidR="00033D0F">
        <w:rPr>
          <w:spacing w:val="-4"/>
          <w:position w:val="1"/>
        </w:rPr>
        <w:t xml:space="preserve"> </w:t>
      </w:r>
      <w:r w:rsidR="00033D0F">
        <w:rPr>
          <w:position w:val="1"/>
        </w:rPr>
        <w:t>6</w:t>
      </w:r>
      <w:r w:rsidR="00033D0F">
        <w:rPr>
          <w:spacing w:val="-5"/>
          <w:position w:val="1"/>
        </w:rPr>
        <w:t xml:space="preserve"> </w:t>
      </w:r>
      <w:r w:rsidR="00033D0F">
        <w:rPr>
          <w:position w:val="1"/>
        </w:rPr>
        <w:t>of</w:t>
      </w:r>
      <w:r w:rsidR="00033D0F">
        <w:rPr>
          <w:spacing w:val="-9"/>
          <w:position w:val="1"/>
        </w:rPr>
        <w:t xml:space="preserve"> </w:t>
      </w:r>
      <w:r w:rsidR="00033D0F">
        <w:rPr>
          <w:position w:val="1"/>
        </w:rPr>
        <w:t>Annex</w:t>
      </w:r>
      <w:r w:rsidR="00033D0F">
        <w:rPr>
          <w:spacing w:val="-6"/>
          <w:position w:val="1"/>
        </w:rPr>
        <w:t xml:space="preserve"> </w:t>
      </w:r>
      <w:r w:rsidR="00033D0F">
        <w:rPr>
          <w:position w:val="1"/>
        </w:rPr>
        <w:t>II,</w:t>
      </w:r>
      <w:r w:rsidR="00033D0F">
        <w:rPr>
          <w:spacing w:val="-5"/>
          <w:position w:val="1"/>
        </w:rPr>
        <w:t xml:space="preserve"> </w:t>
      </w:r>
      <w:r w:rsidR="00033D0F">
        <w:rPr>
          <w:position w:val="1"/>
        </w:rPr>
        <w:t>an</w:t>
      </w:r>
      <w:r w:rsidR="00033D0F">
        <w:rPr>
          <w:spacing w:val="-9"/>
          <w:position w:val="1"/>
        </w:rPr>
        <w:t xml:space="preserve"> </w:t>
      </w:r>
      <w:r w:rsidR="00033D0F">
        <w:rPr>
          <w:position w:val="1"/>
        </w:rPr>
        <w:t>interested</w:t>
      </w:r>
      <w:r w:rsidR="00033D0F">
        <w:rPr>
          <w:spacing w:val="-9"/>
          <w:position w:val="1"/>
        </w:rPr>
        <w:t xml:space="preserve"> </w:t>
      </w:r>
      <w:r w:rsidR="00033D0F">
        <w:rPr>
          <w:position w:val="1"/>
        </w:rPr>
        <w:t>party</w:t>
      </w:r>
      <w:r w:rsidR="00033D0F">
        <w:rPr>
          <w:spacing w:val="-6"/>
          <w:position w:val="1"/>
        </w:rPr>
        <w:t xml:space="preserve"> </w:t>
      </w:r>
      <w:r w:rsidR="00033D0F">
        <w:rPr>
          <w:position w:val="1"/>
        </w:rPr>
        <w:t>must</w:t>
      </w:r>
      <w:r w:rsidR="00033D0F">
        <w:rPr>
          <w:spacing w:val="-7"/>
          <w:position w:val="1"/>
        </w:rPr>
        <w:t xml:space="preserve"> </w:t>
      </w:r>
      <w:r w:rsidR="00033D0F">
        <w:rPr>
          <w:position w:val="1"/>
        </w:rPr>
        <w:t xml:space="preserve">have </w:t>
      </w:r>
      <w:r w:rsidR="00033D0F">
        <w:rPr>
          <w:spacing w:val="-2"/>
        </w:rPr>
        <w:t>an</w:t>
      </w:r>
      <w:r w:rsidR="00033D0F">
        <w:rPr>
          <w:spacing w:val="-6"/>
        </w:rPr>
        <w:t xml:space="preserve"> </w:t>
      </w:r>
      <w:r w:rsidR="00033D0F">
        <w:rPr>
          <w:spacing w:val="-2"/>
        </w:rPr>
        <w:t>opportunity</w:t>
      </w:r>
      <w:r w:rsidR="00033D0F">
        <w:rPr>
          <w:spacing w:val="-1"/>
        </w:rPr>
        <w:t xml:space="preserve"> </w:t>
      </w:r>
      <w:r w:rsidR="00033D0F">
        <w:rPr>
          <w:spacing w:val="-2"/>
        </w:rPr>
        <w:t>to</w:t>
      </w:r>
      <w:r w:rsidR="00033D0F">
        <w:rPr>
          <w:spacing w:val="-5"/>
        </w:rPr>
        <w:t xml:space="preserve"> </w:t>
      </w:r>
      <w:r w:rsidR="00033D0F">
        <w:rPr>
          <w:spacing w:val="-2"/>
        </w:rPr>
        <w:t>provide</w:t>
      </w:r>
      <w:r w:rsidR="00033D0F">
        <w:rPr>
          <w:spacing w:val="-3"/>
        </w:rPr>
        <w:t xml:space="preserve"> </w:t>
      </w:r>
      <w:r w:rsidR="00033D0F">
        <w:rPr>
          <w:spacing w:val="-2"/>
        </w:rPr>
        <w:t>further</w:t>
      </w:r>
      <w:r w:rsidR="00033D0F">
        <w:rPr>
          <w:spacing w:val="-6"/>
        </w:rPr>
        <w:t xml:space="preserve"> </w:t>
      </w:r>
      <w:r w:rsidR="00033D0F">
        <w:rPr>
          <w:spacing w:val="-2"/>
        </w:rPr>
        <w:t>explanations,</w:t>
      </w:r>
      <w:r w:rsidR="00033D0F">
        <w:rPr>
          <w:spacing w:val="-1"/>
        </w:rPr>
        <w:t xml:space="preserve"> </w:t>
      </w:r>
      <w:r w:rsidR="00033D0F">
        <w:rPr>
          <w:spacing w:val="-2"/>
        </w:rPr>
        <w:t>"although</w:t>
      </w:r>
      <w:r w:rsidR="00033D0F">
        <w:rPr>
          <w:spacing w:val="-5"/>
        </w:rPr>
        <w:t xml:space="preserve"> </w:t>
      </w:r>
      <w:r w:rsidR="00033D0F">
        <w:rPr>
          <w:spacing w:val="-2"/>
        </w:rPr>
        <w:t>this</w:t>
      </w:r>
      <w:r w:rsidR="00033D0F">
        <w:t xml:space="preserve"> </w:t>
      </w:r>
      <w:r w:rsidR="00033D0F">
        <w:rPr>
          <w:spacing w:val="-2"/>
        </w:rPr>
        <w:t>does</w:t>
      </w:r>
      <w:r w:rsidR="00033D0F">
        <w:rPr>
          <w:spacing w:val="-1"/>
        </w:rPr>
        <w:t xml:space="preserve"> </w:t>
      </w:r>
      <w:r w:rsidR="00033D0F">
        <w:rPr>
          <w:spacing w:val="-2"/>
        </w:rPr>
        <w:t>not</w:t>
      </w:r>
      <w:r w:rsidR="00033D0F">
        <w:rPr>
          <w:spacing w:val="-1"/>
        </w:rPr>
        <w:t xml:space="preserve"> </w:t>
      </w:r>
      <w:r w:rsidR="00033D0F">
        <w:rPr>
          <w:spacing w:val="-2"/>
        </w:rPr>
        <w:t>mean</w:t>
      </w:r>
      <w:r w:rsidR="00033D0F">
        <w:rPr>
          <w:spacing w:val="-6"/>
        </w:rPr>
        <w:t xml:space="preserve"> </w:t>
      </w:r>
      <w:r w:rsidR="00033D0F">
        <w:rPr>
          <w:spacing w:val="-2"/>
        </w:rPr>
        <w:t>that</w:t>
      </w:r>
      <w:r w:rsidR="00033D0F">
        <w:rPr>
          <w:spacing w:val="-1"/>
        </w:rPr>
        <w:t xml:space="preserve"> </w:t>
      </w:r>
      <w:r w:rsidR="00033D0F">
        <w:rPr>
          <w:spacing w:val="-2"/>
        </w:rPr>
        <w:t>a</w:t>
      </w:r>
      <w:r w:rsidR="00033D0F">
        <w:rPr>
          <w:spacing w:val="-3"/>
        </w:rPr>
        <w:t xml:space="preserve"> </w:t>
      </w:r>
      <w:r w:rsidR="00033D0F">
        <w:rPr>
          <w:spacing w:val="-2"/>
        </w:rPr>
        <w:t>party</w:t>
      </w:r>
      <w:r w:rsidR="00033D0F">
        <w:rPr>
          <w:spacing w:val="-1"/>
        </w:rPr>
        <w:t xml:space="preserve"> </w:t>
      </w:r>
      <w:r w:rsidR="00033D0F">
        <w:rPr>
          <w:spacing w:val="-5"/>
        </w:rPr>
        <w:t>may</w:t>
      </w:r>
    </w:p>
    <w:p w14:paraId="3713779C" w14:textId="77777777" w:rsidR="00BD462C" w:rsidRDefault="00033D0F">
      <w:pPr>
        <w:spacing w:before="112"/>
        <w:ind w:left="135"/>
        <w:rPr>
          <w:sz w:val="18"/>
        </w:rPr>
      </w:pPr>
      <w:bookmarkStart w:id="349" w:name="_bookmark301"/>
      <w:bookmarkEnd w:id="349"/>
      <w:r>
        <w:rPr>
          <w:position w:val="5"/>
          <w:sz w:val="12"/>
        </w:rPr>
        <w:t>235</w:t>
      </w:r>
      <w:r>
        <w:rPr>
          <w:spacing w:val="10"/>
          <w:position w:val="5"/>
          <w:sz w:val="12"/>
        </w:rPr>
        <w:t xml:space="preserve"> </w:t>
      </w:r>
      <w:r>
        <w:rPr>
          <w:sz w:val="18"/>
        </w:rPr>
        <w:t>Australia's</w:t>
      </w:r>
      <w:r>
        <w:rPr>
          <w:spacing w:val="-8"/>
          <w:sz w:val="18"/>
        </w:rPr>
        <w:t xml:space="preserve"> </w:t>
      </w:r>
      <w:r>
        <w:rPr>
          <w:sz w:val="18"/>
        </w:rPr>
        <w:t>first</w:t>
      </w:r>
      <w:r>
        <w:rPr>
          <w:spacing w:val="-8"/>
          <w:sz w:val="18"/>
        </w:rPr>
        <w:t xml:space="preserve"> </w:t>
      </w:r>
      <w:r>
        <w:rPr>
          <w:sz w:val="18"/>
        </w:rPr>
        <w:t>written</w:t>
      </w:r>
      <w:r>
        <w:rPr>
          <w:spacing w:val="-4"/>
          <w:sz w:val="18"/>
        </w:rPr>
        <w:t xml:space="preserve"> </w:t>
      </w:r>
      <w:r>
        <w:rPr>
          <w:sz w:val="18"/>
        </w:rPr>
        <w:t>submission,</w:t>
      </w:r>
      <w:r>
        <w:rPr>
          <w:spacing w:val="-2"/>
          <w:sz w:val="18"/>
        </w:rPr>
        <w:t xml:space="preserve"> </w:t>
      </w:r>
      <w:r>
        <w:rPr>
          <w:sz w:val="18"/>
        </w:rPr>
        <w:t>paras.</w:t>
      </w:r>
      <w:r>
        <w:rPr>
          <w:spacing w:val="-8"/>
          <w:sz w:val="18"/>
        </w:rPr>
        <w:t xml:space="preserve"> </w:t>
      </w:r>
      <w:r>
        <w:rPr>
          <w:sz w:val="18"/>
        </w:rPr>
        <w:t>144-145,</w:t>
      </w:r>
      <w:r>
        <w:rPr>
          <w:spacing w:val="-6"/>
          <w:sz w:val="18"/>
        </w:rPr>
        <w:t xml:space="preserve"> </w:t>
      </w:r>
      <w:r>
        <w:rPr>
          <w:sz w:val="18"/>
        </w:rPr>
        <w:t>157-159,</w:t>
      </w:r>
      <w:r>
        <w:rPr>
          <w:spacing w:val="-2"/>
          <w:sz w:val="18"/>
        </w:rPr>
        <w:t xml:space="preserve"> </w:t>
      </w:r>
      <w:r>
        <w:rPr>
          <w:sz w:val="18"/>
        </w:rPr>
        <w:t>172-189,</w:t>
      </w:r>
      <w:r>
        <w:rPr>
          <w:spacing w:val="-3"/>
          <w:sz w:val="18"/>
        </w:rPr>
        <w:t xml:space="preserve"> </w:t>
      </w:r>
      <w:r>
        <w:rPr>
          <w:spacing w:val="-4"/>
          <w:sz w:val="18"/>
        </w:rPr>
        <w:t>218.</w:t>
      </w:r>
    </w:p>
    <w:p w14:paraId="00E07ECE" w14:textId="77777777" w:rsidR="00BD462C" w:rsidRDefault="00033D0F">
      <w:pPr>
        <w:spacing w:before="1"/>
        <w:ind w:left="135"/>
        <w:rPr>
          <w:sz w:val="18"/>
        </w:rPr>
      </w:pPr>
      <w:bookmarkStart w:id="350" w:name="_bookmark302"/>
      <w:bookmarkEnd w:id="350"/>
      <w:r>
        <w:rPr>
          <w:position w:val="5"/>
          <w:sz w:val="12"/>
        </w:rPr>
        <w:t>236</w:t>
      </w:r>
      <w:r>
        <w:rPr>
          <w:spacing w:val="12"/>
          <w:position w:val="5"/>
          <w:sz w:val="12"/>
        </w:rPr>
        <w:t xml:space="preserve"> </w:t>
      </w:r>
      <w:r>
        <w:rPr>
          <w:sz w:val="18"/>
        </w:rPr>
        <w:t>See</w:t>
      </w:r>
      <w:r>
        <w:rPr>
          <w:spacing w:val="-5"/>
          <w:sz w:val="18"/>
        </w:rPr>
        <w:t xml:space="preserve"> </w:t>
      </w:r>
      <w:r>
        <w:rPr>
          <w:sz w:val="18"/>
        </w:rPr>
        <w:t>China's</w:t>
      </w:r>
      <w:r>
        <w:rPr>
          <w:spacing w:val="-6"/>
          <w:sz w:val="18"/>
        </w:rPr>
        <w:t xml:space="preserve"> </w:t>
      </w:r>
      <w:r>
        <w:rPr>
          <w:sz w:val="18"/>
        </w:rPr>
        <w:t>first</w:t>
      </w:r>
      <w:r>
        <w:rPr>
          <w:spacing w:val="-5"/>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paras.</w:t>
      </w:r>
      <w:r>
        <w:rPr>
          <w:spacing w:val="-5"/>
          <w:sz w:val="18"/>
        </w:rPr>
        <w:t xml:space="preserve"> </w:t>
      </w:r>
      <w:r>
        <w:rPr>
          <w:sz w:val="18"/>
        </w:rPr>
        <w:t>304,</w:t>
      </w:r>
      <w:r>
        <w:rPr>
          <w:spacing w:val="-4"/>
          <w:sz w:val="18"/>
        </w:rPr>
        <w:t xml:space="preserve"> </w:t>
      </w:r>
      <w:r>
        <w:rPr>
          <w:sz w:val="18"/>
        </w:rPr>
        <w:t>335,</w:t>
      </w:r>
      <w:r>
        <w:rPr>
          <w:spacing w:val="1"/>
          <w:sz w:val="18"/>
        </w:rPr>
        <w:t xml:space="preserve"> </w:t>
      </w:r>
      <w:r>
        <w:rPr>
          <w:sz w:val="18"/>
        </w:rPr>
        <w:t xml:space="preserve">384, </w:t>
      </w:r>
      <w:r>
        <w:rPr>
          <w:spacing w:val="-4"/>
          <w:sz w:val="18"/>
        </w:rPr>
        <w:t>425.</w:t>
      </w:r>
    </w:p>
    <w:p w14:paraId="3F6D643A" w14:textId="77777777" w:rsidR="00BD462C" w:rsidRDefault="00033D0F">
      <w:pPr>
        <w:spacing w:before="1"/>
        <w:ind w:left="135"/>
        <w:rPr>
          <w:sz w:val="18"/>
        </w:rPr>
      </w:pPr>
      <w:bookmarkStart w:id="351" w:name="_bookmark303"/>
      <w:bookmarkEnd w:id="351"/>
      <w:r>
        <w:rPr>
          <w:position w:val="5"/>
          <w:sz w:val="12"/>
        </w:rPr>
        <w:t>237</w:t>
      </w:r>
      <w:r>
        <w:rPr>
          <w:spacing w:val="14"/>
          <w:position w:val="5"/>
          <w:sz w:val="12"/>
        </w:rPr>
        <w:t xml:space="preserve"> </w:t>
      </w:r>
      <w:r>
        <w:rPr>
          <w:sz w:val="18"/>
        </w:rPr>
        <w:t>See</w:t>
      </w:r>
      <w:r>
        <w:rPr>
          <w:spacing w:val="-4"/>
          <w:sz w:val="18"/>
        </w:rPr>
        <w:t xml:space="preserve"> </w:t>
      </w:r>
      <w:r>
        <w:rPr>
          <w:sz w:val="18"/>
        </w:rPr>
        <w:t>Appellate</w:t>
      </w:r>
      <w:r>
        <w:rPr>
          <w:spacing w:val="-9"/>
          <w:sz w:val="18"/>
        </w:rPr>
        <w:t xml:space="preserve"> </w:t>
      </w:r>
      <w:r>
        <w:rPr>
          <w:sz w:val="18"/>
        </w:rPr>
        <w:t>Body</w:t>
      </w:r>
      <w:r>
        <w:rPr>
          <w:spacing w:val="-6"/>
          <w:sz w:val="18"/>
        </w:rPr>
        <w:t xml:space="preserve"> </w:t>
      </w:r>
      <w:r>
        <w:rPr>
          <w:sz w:val="18"/>
        </w:rPr>
        <w:t>Report,</w:t>
      </w:r>
      <w:r>
        <w:rPr>
          <w:spacing w:val="-2"/>
          <w:sz w:val="18"/>
        </w:rPr>
        <w:t xml:space="preserve"> </w:t>
      </w:r>
      <w:r>
        <w:rPr>
          <w:i/>
          <w:sz w:val="18"/>
        </w:rPr>
        <w:t>US</w:t>
      </w:r>
      <w:r>
        <w:rPr>
          <w:i/>
          <w:spacing w:val="-1"/>
          <w:sz w:val="18"/>
        </w:rPr>
        <w:t xml:space="preserve"> </w:t>
      </w:r>
      <w:r>
        <w:rPr>
          <w:i/>
          <w:sz w:val="18"/>
        </w:rPr>
        <w:t>–</w:t>
      </w:r>
      <w:r>
        <w:rPr>
          <w:i/>
          <w:spacing w:val="-9"/>
          <w:sz w:val="18"/>
        </w:rPr>
        <w:t xml:space="preserve"> </w:t>
      </w:r>
      <w:r>
        <w:rPr>
          <w:i/>
          <w:sz w:val="18"/>
        </w:rPr>
        <w:t>Hot-Rolled</w:t>
      </w:r>
      <w:r>
        <w:rPr>
          <w:i/>
          <w:spacing w:val="-2"/>
          <w:sz w:val="18"/>
        </w:rPr>
        <w:t xml:space="preserve"> </w:t>
      </w:r>
      <w:r>
        <w:rPr>
          <w:i/>
          <w:sz w:val="18"/>
        </w:rPr>
        <w:t>Steel</w:t>
      </w:r>
      <w:r>
        <w:rPr>
          <w:sz w:val="18"/>
        </w:rPr>
        <w:t>,</w:t>
      </w:r>
      <w:r>
        <w:rPr>
          <w:spacing w:val="2"/>
          <w:sz w:val="18"/>
        </w:rPr>
        <w:t xml:space="preserve"> </w:t>
      </w:r>
      <w:r>
        <w:rPr>
          <w:sz w:val="18"/>
        </w:rPr>
        <w:t>para.</w:t>
      </w:r>
      <w:r>
        <w:rPr>
          <w:spacing w:val="-3"/>
          <w:sz w:val="18"/>
        </w:rPr>
        <w:t xml:space="preserve"> </w:t>
      </w:r>
      <w:r>
        <w:rPr>
          <w:sz w:val="18"/>
        </w:rPr>
        <w:t>89.</w:t>
      </w:r>
      <w:r>
        <w:rPr>
          <w:spacing w:val="-3"/>
          <w:sz w:val="18"/>
        </w:rPr>
        <w:t xml:space="preserve"> </w:t>
      </w:r>
      <w:r>
        <w:rPr>
          <w:sz w:val="18"/>
        </w:rPr>
        <w:t>See</w:t>
      </w:r>
      <w:r>
        <w:rPr>
          <w:spacing w:val="-4"/>
          <w:sz w:val="18"/>
        </w:rPr>
        <w:t xml:space="preserve"> </w:t>
      </w:r>
      <w:r>
        <w:rPr>
          <w:sz w:val="18"/>
        </w:rPr>
        <w:t>also</w:t>
      </w:r>
      <w:r>
        <w:rPr>
          <w:spacing w:val="-1"/>
          <w:sz w:val="18"/>
        </w:rPr>
        <w:t xml:space="preserve"> </w:t>
      </w:r>
      <w:r>
        <w:rPr>
          <w:sz w:val="18"/>
        </w:rPr>
        <w:t>Australia's</w:t>
      </w:r>
      <w:r>
        <w:rPr>
          <w:spacing w:val="-4"/>
          <w:sz w:val="18"/>
        </w:rPr>
        <w:t xml:space="preserve"> </w:t>
      </w:r>
      <w:r>
        <w:rPr>
          <w:sz w:val="18"/>
        </w:rPr>
        <w:t>first</w:t>
      </w:r>
      <w:r>
        <w:rPr>
          <w:spacing w:val="-3"/>
          <w:sz w:val="18"/>
        </w:rPr>
        <w:t xml:space="preserve"> </w:t>
      </w:r>
      <w:r>
        <w:rPr>
          <w:sz w:val="18"/>
        </w:rPr>
        <w:t>written</w:t>
      </w:r>
      <w:r>
        <w:rPr>
          <w:spacing w:val="-5"/>
          <w:sz w:val="18"/>
        </w:rPr>
        <w:t xml:space="preserve"> </w:t>
      </w:r>
      <w:r>
        <w:rPr>
          <w:sz w:val="18"/>
        </w:rPr>
        <w:t>submission,</w:t>
      </w:r>
      <w:r>
        <w:rPr>
          <w:spacing w:val="-2"/>
          <w:sz w:val="18"/>
        </w:rPr>
        <w:t xml:space="preserve"> </w:t>
      </w:r>
      <w:r>
        <w:rPr>
          <w:sz w:val="18"/>
        </w:rPr>
        <w:t>para.</w:t>
      </w:r>
      <w:r>
        <w:rPr>
          <w:spacing w:val="-3"/>
          <w:sz w:val="18"/>
        </w:rPr>
        <w:t xml:space="preserve"> </w:t>
      </w:r>
      <w:r>
        <w:rPr>
          <w:spacing w:val="-5"/>
          <w:sz w:val="18"/>
        </w:rPr>
        <w:t>69.</w:t>
      </w:r>
    </w:p>
    <w:p w14:paraId="62AAD22C" w14:textId="77777777" w:rsidR="00BD462C" w:rsidRDefault="00033D0F">
      <w:pPr>
        <w:spacing w:before="1"/>
        <w:ind w:left="135"/>
        <w:rPr>
          <w:sz w:val="18"/>
        </w:rPr>
      </w:pPr>
      <w:bookmarkStart w:id="352" w:name="_bookmark304"/>
      <w:bookmarkEnd w:id="352"/>
      <w:r>
        <w:rPr>
          <w:position w:val="5"/>
          <w:sz w:val="12"/>
        </w:rPr>
        <w:t>238</w:t>
      </w:r>
      <w:r>
        <w:rPr>
          <w:spacing w:val="14"/>
          <w:position w:val="5"/>
          <w:sz w:val="12"/>
        </w:rPr>
        <w:t xml:space="preserve"> </w:t>
      </w:r>
      <w:r>
        <w:rPr>
          <w:sz w:val="18"/>
        </w:rPr>
        <w:t>Appellate</w:t>
      </w:r>
      <w:r>
        <w:rPr>
          <w:spacing w:val="-9"/>
          <w:sz w:val="18"/>
        </w:rPr>
        <w:t xml:space="preserve"> </w:t>
      </w:r>
      <w:r>
        <w:rPr>
          <w:sz w:val="18"/>
        </w:rPr>
        <w:t>Body</w:t>
      </w:r>
      <w:r>
        <w:rPr>
          <w:spacing w:val="-6"/>
          <w:sz w:val="18"/>
        </w:rPr>
        <w:t xml:space="preserve"> </w:t>
      </w:r>
      <w:r>
        <w:rPr>
          <w:sz w:val="18"/>
        </w:rPr>
        <w:t>Report,</w:t>
      </w:r>
      <w:r>
        <w:rPr>
          <w:spacing w:val="-3"/>
          <w:sz w:val="18"/>
        </w:rPr>
        <w:t xml:space="preserve"> </w:t>
      </w:r>
      <w:r>
        <w:rPr>
          <w:i/>
          <w:sz w:val="18"/>
        </w:rPr>
        <w:t>US</w:t>
      </w:r>
      <w:r>
        <w:rPr>
          <w:i/>
          <w:spacing w:val="-1"/>
          <w:sz w:val="18"/>
        </w:rPr>
        <w:t xml:space="preserve"> </w:t>
      </w:r>
      <w:r>
        <w:rPr>
          <w:i/>
          <w:sz w:val="18"/>
        </w:rPr>
        <w:t>–</w:t>
      </w:r>
      <w:r>
        <w:rPr>
          <w:i/>
          <w:spacing w:val="-9"/>
          <w:sz w:val="18"/>
        </w:rPr>
        <w:t xml:space="preserve"> </w:t>
      </w:r>
      <w:r>
        <w:rPr>
          <w:i/>
          <w:sz w:val="18"/>
        </w:rPr>
        <w:t>Hot-Rolled</w:t>
      </w:r>
      <w:r>
        <w:rPr>
          <w:i/>
          <w:spacing w:val="-3"/>
          <w:sz w:val="18"/>
        </w:rPr>
        <w:t xml:space="preserve"> </w:t>
      </w:r>
      <w:r>
        <w:rPr>
          <w:i/>
          <w:sz w:val="18"/>
        </w:rPr>
        <w:t>Steel</w:t>
      </w:r>
      <w:r>
        <w:rPr>
          <w:sz w:val="18"/>
        </w:rPr>
        <w:t>,</w:t>
      </w:r>
      <w:r>
        <w:rPr>
          <w:spacing w:val="2"/>
          <w:sz w:val="18"/>
        </w:rPr>
        <w:t xml:space="preserve"> </w:t>
      </w:r>
      <w:r>
        <w:rPr>
          <w:sz w:val="18"/>
        </w:rPr>
        <w:t>paras.</w:t>
      </w:r>
      <w:r>
        <w:rPr>
          <w:spacing w:val="-3"/>
          <w:sz w:val="18"/>
        </w:rPr>
        <w:t xml:space="preserve"> </w:t>
      </w:r>
      <w:r>
        <w:rPr>
          <w:sz w:val="18"/>
        </w:rPr>
        <w:t>81-83.</w:t>
      </w:r>
      <w:r>
        <w:rPr>
          <w:spacing w:val="1"/>
          <w:sz w:val="18"/>
        </w:rPr>
        <w:t xml:space="preserve"> </w:t>
      </w:r>
      <w:r>
        <w:rPr>
          <w:sz w:val="18"/>
        </w:rPr>
        <w:t>See</w:t>
      </w:r>
      <w:r>
        <w:rPr>
          <w:spacing w:val="1"/>
          <w:sz w:val="18"/>
        </w:rPr>
        <w:t xml:space="preserve"> </w:t>
      </w:r>
      <w:r>
        <w:rPr>
          <w:sz w:val="18"/>
        </w:rPr>
        <w:t>also</w:t>
      </w:r>
      <w:r>
        <w:rPr>
          <w:spacing w:val="-1"/>
          <w:sz w:val="18"/>
        </w:rPr>
        <w:t xml:space="preserve"> </w:t>
      </w:r>
      <w:r>
        <w:rPr>
          <w:sz w:val="18"/>
        </w:rPr>
        <w:t>Panel</w:t>
      </w:r>
      <w:r>
        <w:rPr>
          <w:spacing w:val="-8"/>
          <w:sz w:val="18"/>
        </w:rPr>
        <w:t xml:space="preserve"> </w:t>
      </w:r>
      <w:r>
        <w:rPr>
          <w:sz w:val="18"/>
        </w:rPr>
        <w:t>Report,</w:t>
      </w:r>
      <w:r>
        <w:rPr>
          <w:spacing w:val="2"/>
          <w:sz w:val="18"/>
        </w:rPr>
        <w:t xml:space="preserve"> </w:t>
      </w:r>
      <w:r>
        <w:rPr>
          <w:i/>
          <w:sz w:val="18"/>
        </w:rPr>
        <w:t>US</w:t>
      </w:r>
      <w:r>
        <w:rPr>
          <w:i/>
          <w:spacing w:val="-6"/>
          <w:sz w:val="18"/>
        </w:rPr>
        <w:t xml:space="preserve"> </w:t>
      </w:r>
      <w:r>
        <w:rPr>
          <w:i/>
          <w:sz w:val="18"/>
        </w:rPr>
        <w:t>– Steel</w:t>
      </w:r>
      <w:r>
        <w:rPr>
          <w:i/>
          <w:spacing w:val="-8"/>
          <w:sz w:val="18"/>
        </w:rPr>
        <w:t xml:space="preserve"> </w:t>
      </w:r>
      <w:r>
        <w:rPr>
          <w:i/>
          <w:sz w:val="18"/>
        </w:rPr>
        <w:t>Plate</w:t>
      </w:r>
      <w:r>
        <w:rPr>
          <w:sz w:val="18"/>
        </w:rPr>
        <w:t>,</w:t>
      </w:r>
      <w:r>
        <w:rPr>
          <w:spacing w:val="-3"/>
          <w:sz w:val="18"/>
        </w:rPr>
        <w:t xml:space="preserve"> </w:t>
      </w:r>
      <w:r>
        <w:rPr>
          <w:sz w:val="18"/>
        </w:rPr>
        <w:t>para.</w:t>
      </w:r>
      <w:r>
        <w:rPr>
          <w:spacing w:val="-3"/>
          <w:sz w:val="18"/>
        </w:rPr>
        <w:t xml:space="preserve"> </w:t>
      </w:r>
      <w:r>
        <w:rPr>
          <w:spacing w:val="-2"/>
          <w:sz w:val="18"/>
        </w:rPr>
        <w:t>7.76.</w:t>
      </w:r>
    </w:p>
    <w:p w14:paraId="4E4DC3C4" w14:textId="77777777" w:rsidR="00BD462C" w:rsidRDefault="00BD462C">
      <w:pPr>
        <w:rPr>
          <w:sz w:val="18"/>
        </w:rPr>
        <w:sectPr w:rsidR="00BD462C">
          <w:pgSz w:w="11910" w:h="16840"/>
          <w:pgMar w:top="860" w:right="500" w:bottom="780" w:left="1280" w:header="566" w:footer="590" w:gutter="0"/>
          <w:cols w:space="720"/>
        </w:sectPr>
      </w:pPr>
    </w:p>
    <w:p w14:paraId="185C119E"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1F1CA4F4"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28F0F437"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3ED5B813" w14:textId="77777777" w:rsidR="00BD462C" w:rsidRDefault="00033D0F">
      <w:pPr>
        <w:pStyle w:val="BodyText"/>
        <w:spacing w:before="102" w:line="360" w:lineRule="auto"/>
        <w:ind w:left="136" w:right="912"/>
        <w:jc w:val="both"/>
      </w:pPr>
      <w:r>
        <w:t>submit</w:t>
      </w:r>
      <w:r>
        <w:rPr>
          <w:spacing w:val="-4"/>
        </w:rPr>
        <w:t xml:space="preserve"> </w:t>
      </w:r>
      <w:r>
        <w:t>new information".</w:t>
      </w:r>
      <w:r>
        <w:rPr>
          <w:spacing w:val="-14"/>
        </w:rPr>
        <w:t xml:space="preserve"> </w:t>
      </w:r>
      <w:hyperlink w:anchor="_bookmark305" w:history="1">
        <w:r>
          <w:rPr>
            <w:vertAlign w:val="superscript"/>
          </w:rPr>
          <w:t>239</w:t>
        </w:r>
      </w:hyperlink>
      <w:r>
        <w:t xml:space="preserve"> Australia will discuss further below, it does not accept China's narrow interpretation of paragraph 6 of Annex II.</w:t>
      </w:r>
      <w:hyperlink w:anchor="_bookmark306" w:history="1">
        <w:r>
          <w:rPr>
            <w:vertAlign w:val="superscript"/>
          </w:rPr>
          <w:t>240</w:t>
        </w:r>
      </w:hyperlink>
      <w:r>
        <w:t xml:space="preserve"> However, even if China's contention about</w:t>
      </w:r>
      <w:r>
        <w:rPr>
          <w:spacing w:val="-2"/>
        </w:rPr>
        <w:t xml:space="preserve"> </w:t>
      </w:r>
      <w:r>
        <w:t>the</w:t>
      </w:r>
      <w:r>
        <w:rPr>
          <w:spacing w:val="-3"/>
        </w:rPr>
        <w:t xml:space="preserve"> </w:t>
      </w:r>
      <w:r>
        <w:t>scope</w:t>
      </w:r>
      <w:r>
        <w:rPr>
          <w:spacing w:val="-3"/>
        </w:rPr>
        <w:t xml:space="preserve"> </w:t>
      </w:r>
      <w:r>
        <w:t>of</w:t>
      </w:r>
      <w:r>
        <w:rPr>
          <w:spacing w:val="-4"/>
        </w:rPr>
        <w:t xml:space="preserve"> </w:t>
      </w:r>
      <w:r>
        <w:t>paragraph 6 of Annex II</w:t>
      </w:r>
      <w:r>
        <w:rPr>
          <w:spacing w:val="-1"/>
        </w:rPr>
        <w:t xml:space="preserve"> </w:t>
      </w:r>
      <w:r>
        <w:t>is</w:t>
      </w:r>
      <w:r>
        <w:rPr>
          <w:spacing w:val="-1"/>
        </w:rPr>
        <w:t xml:space="preserve"> </w:t>
      </w:r>
      <w:r>
        <w:t>correct,</w:t>
      </w:r>
      <w:r>
        <w:rPr>
          <w:spacing w:val="-1"/>
        </w:rPr>
        <w:t xml:space="preserve"> </w:t>
      </w:r>
      <w:r>
        <w:t>this</w:t>
      </w:r>
      <w:r>
        <w:rPr>
          <w:spacing w:val="-1"/>
        </w:rPr>
        <w:t xml:space="preserve"> </w:t>
      </w:r>
      <w:r>
        <w:t>is</w:t>
      </w:r>
      <w:r>
        <w:rPr>
          <w:spacing w:val="-1"/>
        </w:rPr>
        <w:t xml:space="preserve"> </w:t>
      </w:r>
      <w:r>
        <w:t>not</w:t>
      </w:r>
      <w:r>
        <w:rPr>
          <w:spacing w:val="-2"/>
        </w:rPr>
        <w:t xml:space="preserve"> </w:t>
      </w:r>
      <w:r>
        <w:t>dispositive</w:t>
      </w:r>
      <w:r>
        <w:rPr>
          <w:spacing w:val="-2"/>
        </w:rPr>
        <w:t xml:space="preserve"> </w:t>
      </w:r>
      <w:r>
        <w:t>as</w:t>
      </w:r>
      <w:r>
        <w:rPr>
          <w:spacing w:val="-1"/>
        </w:rPr>
        <w:t xml:space="preserve"> </w:t>
      </w:r>
      <w:r>
        <w:t>to</w:t>
      </w:r>
      <w:r>
        <w:rPr>
          <w:spacing w:val="-5"/>
        </w:rPr>
        <w:t xml:space="preserve"> </w:t>
      </w:r>
      <w:r>
        <w:t>whether</w:t>
      </w:r>
      <w:r>
        <w:rPr>
          <w:spacing w:val="-5"/>
        </w:rPr>
        <w:t xml:space="preserve"> </w:t>
      </w:r>
      <w:r>
        <w:t>the information submitted by Treasury Wines met the criteria of paragraph 3 of Annex II. Before rejecting the updated forms submitted by Treasury Wines, MOFCOM was required to assess the information against the criteria in paragraph 3 of Annex II. This is independent from the scope of paragraph 6. As explained above, Treasury Wines' updated Forms 6-1-1, 6-1-2, 6-3 and 6-4 did meet these criteria and as such, MOFCOM was required to take the information into account when making its determinations.</w:t>
      </w:r>
    </w:p>
    <w:p w14:paraId="28037F6E" w14:textId="77777777" w:rsidR="00BD462C" w:rsidRDefault="00033D0F" w:rsidP="00DA02D9">
      <w:pPr>
        <w:pStyle w:val="ListParagraph"/>
        <w:numPr>
          <w:ilvl w:val="1"/>
          <w:numId w:val="70"/>
        </w:numPr>
        <w:tabs>
          <w:tab w:val="left" w:pos="3539"/>
          <w:tab w:val="left" w:pos="3540"/>
        </w:tabs>
        <w:spacing w:before="159" w:line="357" w:lineRule="auto"/>
        <w:ind w:right="913"/>
        <w:jc w:val="both"/>
        <w:rPr>
          <w:sz w:val="24"/>
        </w:rPr>
      </w:pPr>
      <w:bookmarkStart w:id="353" w:name="(d)_Treasury_Wines_did_not_demonstrate_a"/>
      <w:bookmarkEnd w:id="353"/>
      <w:r>
        <w:rPr>
          <w:sz w:val="24"/>
          <w:u w:val="single"/>
        </w:rPr>
        <w:t>Treasury Wines did not demonstrate an unwillingness to</w:t>
      </w:r>
      <w:r>
        <w:rPr>
          <w:sz w:val="24"/>
        </w:rPr>
        <w:t xml:space="preserve"> </w:t>
      </w:r>
      <w:r>
        <w:rPr>
          <w:spacing w:val="-2"/>
          <w:sz w:val="24"/>
          <w:u w:val="single"/>
        </w:rPr>
        <w:t>cooperate</w:t>
      </w:r>
    </w:p>
    <w:p w14:paraId="293C603A" w14:textId="77777777" w:rsidR="00BD462C" w:rsidRDefault="00BD462C">
      <w:pPr>
        <w:pStyle w:val="BodyText"/>
        <w:spacing w:before="2"/>
        <w:rPr>
          <w:sz w:val="9"/>
        </w:rPr>
      </w:pPr>
    </w:p>
    <w:p w14:paraId="0C444C91" w14:textId="03C8C4C7" w:rsidR="00BD462C" w:rsidRDefault="00033D0F" w:rsidP="00407B63">
      <w:pPr>
        <w:pStyle w:val="BodyText"/>
        <w:numPr>
          <w:ilvl w:val="0"/>
          <w:numId w:val="69"/>
        </w:numPr>
        <w:spacing w:before="56" w:line="357" w:lineRule="auto"/>
        <w:ind w:right="923"/>
      </w:pPr>
      <w:r>
        <w:rPr>
          <w:position w:val="1"/>
        </w:rPr>
        <w:t xml:space="preserve">China argues that Treasury Wines' information was not ideal, and that the company </w:t>
      </w:r>
      <w:r>
        <w:t>did not act to the best of its ability and did not demonstrate a willingness to cooperate.</w:t>
      </w:r>
      <w:r>
        <w:rPr>
          <w:spacing w:val="-23"/>
        </w:rPr>
        <w:t xml:space="preserve"> </w:t>
      </w:r>
      <w:hyperlink w:anchor="_bookmark307" w:history="1">
        <w:r>
          <w:rPr>
            <w:vertAlign w:val="superscript"/>
          </w:rPr>
          <w:t>241</w:t>
        </w:r>
      </w:hyperlink>
    </w:p>
    <w:p w14:paraId="333A12B2" w14:textId="77777777" w:rsidR="00BD462C" w:rsidRDefault="00BD462C">
      <w:pPr>
        <w:pStyle w:val="BodyText"/>
        <w:spacing w:before="3"/>
        <w:rPr>
          <w:sz w:val="9"/>
        </w:rPr>
      </w:pPr>
    </w:p>
    <w:p w14:paraId="55EBFD18" w14:textId="494553EA" w:rsidR="00BD462C" w:rsidRDefault="00033D0F" w:rsidP="009B7B7C">
      <w:pPr>
        <w:pStyle w:val="BodyText"/>
        <w:numPr>
          <w:ilvl w:val="0"/>
          <w:numId w:val="69"/>
        </w:numPr>
        <w:spacing w:before="56" w:line="360" w:lineRule="auto"/>
        <w:ind w:right="912"/>
        <w:jc w:val="both"/>
      </w:pPr>
      <w:r>
        <w:rPr>
          <w:position w:val="1"/>
        </w:rPr>
        <w:t>China's</w:t>
      </w:r>
      <w:r>
        <w:rPr>
          <w:spacing w:val="-2"/>
          <w:position w:val="1"/>
        </w:rPr>
        <w:t xml:space="preserve"> </w:t>
      </w:r>
      <w:r>
        <w:rPr>
          <w:position w:val="1"/>
        </w:rPr>
        <w:t>contentions</w:t>
      </w:r>
      <w:r>
        <w:rPr>
          <w:spacing w:val="-2"/>
          <w:position w:val="1"/>
        </w:rPr>
        <w:t xml:space="preserve"> </w:t>
      </w:r>
      <w:r>
        <w:rPr>
          <w:position w:val="1"/>
        </w:rPr>
        <w:t>are</w:t>
      </w:r>
      <w:r>
        <w:rPr>
          <w:spacing w:val="-3"/>
          <w:position w:val="1"/>
        </w:rPr>
        <w:t xml:space="preserve"> </w:t>
      </w:r>
      <w:r>
        <w:rPr>
          <w:position w:val="1"/>
        </w:rPr>
        <w:t>directly</w:t>
      </w:r>
      <w:r>
        <w:rPr>
          <w:spacing w:val="-2"/>
          <w:position w:val="1"/>
        </w:rPr>
        <w:t xml:space="preserve"> </w:t>
      </w:r>
      <w:r>
        <w:rPr>
          <w:position w:val="1"/>
        </w:rPr>
        <w:t>contradicted</w:t>
      </w:r>
      <w:r>
        <w:rPr>
          <w:spacing w:val="-5"/>
          <w:position w:val="1"/>
        </w:rPr>
        <w:t xml:space="preserve"> </w:t>
      </w:r>
      <w:r>
        <w:rPr>
          <w:position w:val="1"/>
        </w:rPr>
        <w:t>by</w:t>
      </w:r>
      <w:r>
        <w:rPr>
          <w:spacing w:val="-2"/>
          <w:position w:val="1"/>
        </w:rPr>
        <w:t xml:space="preserve"> </w:t>
      </w:r>
      <w:r>
        <w:rPr>
          <w:position w:val="1"/>
        </w:rPr>
        <w:t>the</w:t>
      </w:r>
      <w:r>
        <w:rPr>
          <w:spacing w:val="-3"/>
          <w:position w:val="1"/>
        </w:rPr>
        <w:t xml:space="preserve"> </w:t>
      </w:r>
      <w:r>
        <w:rPr>
          <w:position w:val="1"/>
        </w:rPr>
        <w:t>facts</w:t>
      </w:r>
      <w:r>
        <w:rPr>
          <w:spacing w:val="-2"/>
          <w:position w:val="1"/>
        </w:rPr>
        <w:t xml:space="preserve"> </w:t>
      </w:r>
      <w:r>
        <w:rPr>
          <w:position w:val="1"/>
        </w:rPr>
        <w:t>on</w:t>
      </w:r>
      <w:r>
        <w:rPr>
          <w:spacing w:val="-5"/>
          <w:position w:val="1"/>
        </w:rPr>
        <w:t xml:space="preserve"> </w:t>
      </w:r>
      <w:r>
        <w:rPr>
          <w:position w:val="1"/>
        </w:rPr>
        <w:t>the</w:t>
      </w:r>
      <w:r>
        <w:rPr>
          <w:spacing w:val="-4"/>
          <w:position w:val="1"/>
        </w:rPr>
        <w:t xml:space="preserve"> </w:t>
      </w:r>
      <w:r>
        <w:rPr>
          <w:position w:val="1"/>
        </w:rPr>
        <w:t>record.</w:t>
      </w:r>
      <w:r>
        <w:rPr>
          <w:spacing w:val="-2"/>
          <w:position w:val="1"/>
        </w:rPr>
        <w:t xml:space="preserve"> </w:t>
      </w:r>
      <w:r>
        <w:rPr>
          <w:position w:val="1"/>
        </w:rPr>
        <w:t>Not</w:t>
      </w:r>
      <w:r>
        <w:rPr>
          <w:spacing w:val="-3"/>
          <w:position w:val="1"/>
        </w:rPr>
        <w:t xml:space="preserve"> </w:t>
      </w:r>
      <w:r>
        <w:rPr>
          <w:position w:val="1"/>
        </w:rPr>
        <w:t>only</w:t>
      </w:r>
      <w:r>
        <w:rPr>
          <w:spacing w:val="-2"/>
          <w:position w:val="1"/>
        </w:rPr>
        <w:t xml:space="preserve"> </w:t>
      </w:r>
      <w:r>
        <w:rPr>
          <w:position w:val="1"/>
        </w:rPr>
        <w:t xml:space="preserve">did </w:t>
      </w:r>
      <w:r>
        <w:t xml:space="preserve">Treasury Wines demonstrate a </w:t>
      </w:r>
      <w:r>
        <w:rPr>
          <w:i/>
        </w:rPr>
        <w:t xml:space="preserve">willingness </w:t>
      </w:r>
      <w:r>
        <w:t xml:space="preserve">to cooperate, but Treasury Wines did, </w:t>
      </w:r>
      <w:r>
        <w:rPr>
          <w:i/>
        </w:rPr>
        <w:t>in fact</w:t>
      </w:r>
      <w:r>
        <w:t>, cooperate with MOFCOM throughout the investigation. For example, Treasury Wines responded to the Anti-Dumping Questionnaire, explained in detailed comments why it had responded in the way that it did within the timeframe set by MOFCOM for commenting on the Preliminary Determination, resubmitted information which MOFCOM alleged was deficient, and also responded to the Supplementary Questionnaire. Treasury Wines was clearly disposed to do what MOFCOM required, and willing to cooperate.</w:t>
      </w:r>
    </w:p>
    <w:p w14:paraId="59597808" w14:textId="77777777" w:rsidR="00BD462C" w:rsidRDefault="00BD462C">
      <w:pPr>
        <w:pStyle w:val="BodyText"/>
        <w:spacing w:before="7"/>
        <w:rPr>
          <w:sz w:val="8"/>
        </w:rPr>
      </w:pPr>
    </w:p>
    <w:p w14:paraId="7E3E47A9" w14:textId="18261D9F" w:rsidR="00BD462C" w:rsidRPr="009B7B7C" w:rsidRDefault="009B7B7C" w:rsidP="009B7B7C">
      <w:pPr>
        <w:pStyle w:val="BodyText"/>
        <w:numPr>
          <w:ilvl w:val="0"/>
          <w:numId w:val="69"/>
        </w:numPr>
        <w:spacing w:before="5" w:line="360" w:lineRule="auto"/>
        <w:ind w:right="912"/>
        <w:jc w:val="both"/>
        <w:rPr>
          <w:sz w:val="28"/>
        </w:rPr>
      </w:pPr>
      <w:r>
        <w:rPr>
          <w:noProof/>
        </w:rPr>
        <mc:AlternateContent>
          <mc:Choice Requires="wps">
            <w:drawing>
              <wp:anchor distT="0" distB="0" distL="0" distR="0" simplePos="0" relativeHeight="487655936" behindDoc="1" locked="0" layoutInCell="1" allowOverlap="1" wp14:anchorId="1E337CA4" wp14:editId="041871C3">
                <wp:simplePos x="0" y="0"/>
                <wp:positionH relativeFrom="page">
                  <wp:posOffset>899160</wp:posOffset>
                </wp:positionH>
                <wp:positionV relativeFrom="paragraph">
                  <wp:posOffset>1689735</wp:posOffset>
                </wp:positionV>
                <wp:extent cx="1828800" cy="8890"/>
                <wp:effectExtent l="0" t="0" r="0" b="0"/>
                <wp:wrapTopAndBottom/>
                <wp:docPr id="1134" name="docshape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AB181E" id="docshape149" o:spid="_x0000_s1026" alt="&quot;&quot;" style="position:absolute;margin-left:70.8pt;margin-top:133.05pt;width:2in;height:.7pt;z-index:-15660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" fillcolor="black" stroked="f">
                <w10:wrap type="topAndBottom" anchorx="page"/>
              </v:rect>
            </w:pict>
          </mc:Fallback>
        </mc:AlternateContent>
      </w:r>
      <w:r w:rsidR="00033D0F" w:rsidRPr="009B7B7C">
        <w:rPr>
          <w:position w:val="1"/>
        </w:rPr>
        <w:t>On the contrary, MOFCOM's failure to engage in a dialogue with Treasury</w:t>
      </w:r>
      <w:r w:rsidR="00033D0F" w:rsidRPr="009B7B7C">
        <w:rPr>
          <w:spacing w:val="-1"/>
          <w:position w:val="1"/>
        </w:rPr>
        <w:t xml:space="preserve"> </w:t>
      </w:r>
      <w:r w:rsidR="00033D0F" w:rsidRPr="009B7B7C">
        <w:rPr>
          <w:position w:val="1"/>
        </w:rPr>
        <w:t xml:space="preserve">Wines </w:t>
      </w:r>
      <w:r w:rsidR="00033D0F">
        <w:t>shows</w:t>
      </w:r>
      <w:r w:rsidR="00033D0F" w:rsidRPr="009B7B7C">
        <w:rPr>
          <w:spacing w:val="-8"/>
        </w:rPr>
        <w:t xml:space="preserve"> </w:t>
      </w:r>
      <w:r w:rsidR="00033D0F">
        <w:t>its</w:t>
      </w:r>
      <w:r w:rsidR="00033D0F" w:rsidRPr="009B7B7C">
        <w:rPr>
          <w:spacing w:val="-8"/>
        </w:rPr>
        <w:t xml:space="preserve"> </w:t>
      </w:r>
      <w:r w:rsidR="00033D0F">
        <w:t>lack</w:t>
      </w:r>
      <w:r w:rsidR="00033D0F" w:rsidRPr="009B7B7C">
        <w:rPr>
          <w:spacing w:val="-8"/>
        </w:rPr>
        <w:t xml:space="preserve"> </w:t>
      </w:r>
      <w:r w:rsidR="00033D0F">
        <w:t>of</w:t>
      </w:r>
      <w:r w:rsidR="00033D0F" w:rsidRPr="009B7B7C">
        <w:rPr>
          <w:spacing w:val="-11"/>
        </w:rPr>
        <w:t xml:space="preserve"> </w:t>
      </w:r>
      <w:r w:rsidR="00033D0F">
        <w:t>cooperation.</w:t>
      </w:r>
      <w:r w:rsidR="00033D0F" w:rsidRPr="009B7B7C">
        <w:rPr>
          <w:spacing w:val="-8"/>
        </w:rPr>
        <w:t xml:space="preserve"> </w:t>
      </w:r>
      <w:r w:rsidR="00033D0F">
        <w:t>MOFCOM</w:t>
      </w:r>
      <w:r w:rsidR="00033D0F" w:rsidRPr="009B7B7C">
        <w:rPr>
          <w:spacing w:val="-9"/>
        </w:rPr>
        <w:t xml:space="preserve"> </w:t>
      </w:r>
      <w:r w:rsidR="00033D0F">
        <w:t>did</w:t>
      </w:r>
      <w:r w:rsidR="00033D0F" w:rsidRPr="009B7B7C">
        <w:rPr>
          <w:spacing w:val="-11"/>
        </w:rPr>
        <w:t xml:space="preserve"> </w:t>
      </w:r>
      <w:r w:rsidR="00033D0F">
        <w:t>not</w:t>
      </w:r>
      <w:r w:rsidR="00033D0F" w:rsidRPr="009B7B7C">
        <w:rPr>
          <w:spacing w:val="-9"/>
        </w:rPr>
        <w:t xml:space="preserve"> </w:t>
      </w:r>
      <w:r w:rsidR="00033D0F">
        <w:t>initiate</w:t>
      </w:r>
      <w:r w:rsidR="00033D0F" w:rsidRPr="009B7B7C">
        <w:rPr>
          <w:spacing w:val="-9"/>
        </w:rPr>
        <w:t xml:space="preserve"> </w:t>
      </w:r>
      <w:r w:rsidR="00033D0F">
        <w:t>any</w:t>
      </w:r>
      <w:r w:rsidR="00033D0F" w:rsidRPr="009B7B7C">
        <w:rPr>
          <w:spacing w:val="-13"/>
        </w:rPr>
        <w:t xml:space="preserve"> </w:t>
      </w:r>
      <w:r w:rsidR="00033D0F">
        <w:t>contact</w:t>
      </w:r>
      <w:r w:rsidR="00033D0F" w:rsidRPr="009B7B7C">
        <w:rPr>
          <w:spacing w:val="-9"/>
        </w:rPr>
        <w:t xml:space="preserve"> </w:t>
      </w:r>
      <w:r w:rsidR="00033D0F">
        <w:t>with</w:t>
      </w:r>
      <w:r w:rsidR="00033D0F" w:rsidRPr="009B7B7C">
        <w:rPr>
          <w:spacing w:val="-11"/>
        </w:rPr>
        <w:t xml:space="preserve"> </w:t>
      </w:r>
      <w:r w:rsidR="00033D0F">
        <w:t>Treasury</w:t>
      </w:r>
      <w:r w:rsidR="00033D0F" w:rsidRPr="009B7B7C">
        <w:rPr>
          <w:spacing w:val="-8"/>
        </w:rPr>
        <w:t xml:space="preserve"> </w:t>
      </w:r>
      <w:r w:rsidR="00033D0F">
        <w:t>Wines</w:t>
      </w:r>
      <w:r w:rsidR="00033D0F" w:rsidRPr="009B7B7C">
        <w:rPr>
          <w:spacing w:val="-8"/>
        </w:rPr>
        <w:t xml:space="preserve"> </w:t>
      </w:r>
      <w:r w:rsidR="00033D0F">
        <w:t>after the issuing the Supplementary Questionnaire. MOFCOM did not even acknowledge Treasury Wines' response to the Preliminary Determination in the Supplementary Questionnaire. Cooperation requires joint effort from the interested party and investigating authority.</w:t>
      </w:r>
    </w:p>
    <w:p w14:paraId="36500CEA" w14:textId="77777777" w:rsidR="00BD462C" w:rsidRDefault="00033D0F">
      <w:pPr>
        <w:spacing w:before="112"/>
        <w:ind w:left="135"/>
        <w:rPr>
          <w:sz w:val="18"/>
        </w:rPr>
      </w:pPr>
      <w:bookmarkStart w:id="354" w:name="_bookmark305"/>
      <w:bookmarkEnd w:id="354"/>
      <w:r>
        <w:rPr>
          <w:position w:val="5"/>
          <w:sz w:val="12"/>
        </w:rPr>
        <w:t>239</w:t>
      </w:r>
      <w:r>
        <w:rPr>
          <w:spacing w:val="13"/>
          <w:position w:val="5"/>
          <w:sz w:val="12"/>
        </w:rPr>
        <w:t xml:space="preserve"> </w:t>
      </w:r>
      <w:r>
        <w:rPr>
          <w:sz w:val="18"/>
        </w:rPr>
        <w:t>China's</w:t>
      </w:r>
      <w:r>
        <w:rPr>
          <w:spacing w:val="-5"/>
          <w:sz w:val="18"/>
        </w:rPr>
        <w:t xml:space="preserve"> </w:t>
      </w:r>
      <w:r>
        <w:rPr>
          <w:sz w:val="18"/>
        </w:rPr>
        <w:t>first</w:t>
      </w:r>
      <w:r>
        <w:rPr>
          <w:spacing w:val="-4"/>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paras.</w:t>
      </w:r>
      <w:r>
        <w:rPr>
          <w:spacing w:val="-4"/>
          <w:sz w:val="18"/>
        </w:rPr>
        <w:t xml:space="preserve"> </w:t>
      </w:r>
      <w:r>
        <w:rPr>
          <w:sz w:val="18"/>
        </w:rPr>
        <w:t>306,</w:t>
      </w:r>
      <w:r>
        <w:rPr>
          <w:spacing w:val="-4"/>
          <w:sz w:val="18"/>
        </w:rPr>
        <w:t xml:space="preserve"> 309.</w:t>
      </w:r>
    </w:p>
    <w:p w14:paraId="380C43DA" w14:textId="77777777" w:rsidR="00BD462C" w:rsidRDefault="00033D0F">
      <w:pPr>
        <w:spacing w:before="1"/>
        <w:ind w:left="135"/>
        <w:rPr>
          <w:sz w:val="18"/>
        </w:rPr>
      </w:pPr>
      <w:bookmarkStart w:id="355" w:name="_bookmark306"/>
      <w:bookmarkEnd w:id="355"/>
      <w:r>
        <w:rPr>
          <w:position w:val="5"/>
          <w:sz w:val="12"/>
        </w:rPr>
        <w:t>240</w:t>
      </w:r>
      <w:r>
        <w:rPr>
          <w:spacing w:val="13"/>
          <w:position w:val="5"/>
          <w:sz w:val="12"/>
        </w:rPr>
        <w:t xml:space="preserve"> </w:t>
      </w:r>
      <w:r>
        <w:rPr>
          <w:sz w:val="18"/>
        </w:rPr>
        <w:t>See</w:t>
      </w:r>
      <w:r>
        <w:rPr>
          <w:spacing w:val="-5"/>
          <w:sz w:val="18"/>
        </w:rPr>
        <w:t xml:space="preserve"> </w:t>
      </w:r>
      <w:r>
        <w:rPr>
          <w:sz w:val="18"/>
        </w:rPr>
        <w:t>paras.</w:t>
      </w:r>
      <w:r>
        <w:rPr>
          <w:spacing w:val="1"/>
          <w:sz w:val="18"/>
        </w:rPr>
        <w:t xml:space="preserve"> </w:t>
      </w:r>
      <w:hyperlink w:anchor="_bookmark314" w:history="1">
        <w:r>
          <w:rPr>
            <w:sz w:val="18"/>
          </w:rPr>
          <w:t>174</w:t>
        </w:r>
      </w:hyperlink>
      <w:hyperlink w:anchor="_bookmark318" w:history="1">
        <w:r>
          <w:rPr>
            <w:sz w:val="18"/>
          </w:rPr>
          <w:t>-</w:t>
        </w:r>
        <w:r>
          <w:rPr>
            <w:spacing w:val="-4"/>
            <w:sz w:val="18"/>
          </w:rPr>
          <w:t>177.</w:t>
        </w:r>
      </w:hyperlink>
    </w:p>
    <w:p w14:paraId="4993C9AD" w14:textId="77777777" w:rsidR="00BD462C" w:rsidRDefault="00033D0F">
      <w:pPr>
        <w:spacing w:before="1"/>
        <w:ind w:left="135"/>
        <w:rPr>
          <w:sz w:val="18"/>
        </w:rPr>
      </w:pPr>
      <w:bookmarkStart w:id="356" w:name="_bookmark307"/>
      <w:bookmarkEnd w:id="356"/>
      <w:r>
        <w:rPr>
          <w:position w:val="5"/>
          <w:sz w:val="12"/>
        </w:rPr>
        <w:t>241</w:t>
      </w:r>
      <w:r>
        <w:rPr>
          <w:spacing w:val="12"/>
          <w:position w:val="5"/>
          <w:sz w:val="12"/>
        </w:rPr>
        <w:t xml:space="preserve"> </w:t>
      </w:r>
      <w:r>
        <w:rPr>
          <w:sz w:val="18"/>
        </w:rPr>
        <w:t>China's</w:t>
      </w:r>
      <w:r>
        <w:rPr>
          <w:spacing w:val="-6"/>
          <w:sz w:val="18"/>
        </w:rPr>
        <w:t xml:space="preserve"> </w:t>
      </w:r>
      <w:r>
        <w:rPr>
          <w:sz w:val="18"/>
        </w:rPr>
        <w:t>first</w:t>
      </w:r>
      <w:r>
        <w:rPr>
          <w:spacing w:val="-6"/>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paras.</w:t>
      </w:r>
      <w:r>
        <w:rPr>
          <w:spacing w:val="-6"/>
          <w:sz w:val="18"/>
        </w:rPr>
        <w:t xml:space="preserve"> </w:t>
      </w:r>
      <w:r>
        <w:rPr>
          <w:sz w:val="18"/>
        </w:rPr>
        <w:t>302-303,</w:t>
      </w:r>
      <w:r>
        <w:rPr>
          <w:spacing w:val="1"/>
          <w:sz w:val="18"/>
        </w:rPr>
        <w:t xml:space="preserve"> </w:t>
      </w:r>
      <w:r>
        <w:rPr>
          <w:spacing w:val="-4"/>
          <w:sz w:val="18"/>
        </w:rPr>
        <w:t>334.</w:t>
      </w:r>
    </w:p>
    <w:p w14:paraId="45ACD6A0" w14:textId="77777777" w:rsidR="00BD462C" w:rsidRDefault="00BD462C">
      <w:pPr>
        <w:rPr>
          <w:sz w:val="18"/>
        </w:rPr>
        <w:sectPr w:rsidR="00BD462C">
          <w:pgSz w:w="11910" w:h="16840"/>
          <w:pgMar w:top="860" w:right="500" w:bottom="780" w:left="1280" w:header="566" w:footer="590" w:gutter="0"/>
          <w:cols w:space="720"/>
        </w:sectPr>
      </w:pPr>
    </w:p>
    <w:p w14:paraId="12B29DBB"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6959CE19"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354473A4"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1E153D43" w14:textId="364B009A" w:rsidR="00BD462C" w:rsidRDefault="009B7B7C">
      <w:pPr>
        <w:pStyle w:val="BodyText"/>
        <w:spacing w:before="102" w:line="357" w:lineRule="auto"/>
        <w:ind w:left="135" w:right="923"/>
      </w:pPr>
      <w:r>
        <w:t xml:space="preserve">The </w:t>
      </w:r>
      <w:r w:rsidR="00033D0F">
        <w:t>record</w:t>
      </w:r>
      <w:r w:rsidR="00033D0F">
        <w:rPr>
          <w:spacing w:val="40"/>
        </w:rPr>
        <w:t xml:space="preserve"> </w:t>
      </w:r>
      <w:r w:rsidR="00033D0F">
        <w:t>clearly</w:t>
      </w:r>
      <w:r w:rsidR="00033D0F">
        <w:rPr>
          <w:spacing w:val="40"/>
        </w:rPr>
        <w:t xml:space="preserve"> </w:t>
      </w:r>
      <w:r w:rsidR="00033D0F">
        <w:t>shows</w:t>
      </w:r>
      <w:r w:rsidR="00033D0F">
        <w:rPr>
          <w:spacing w:val="40"/>
        </w:rPr>
        <w:t xml:space="preserve"> </w:t>
      </w:r>
      <w:r w:rsidR="00033D0F">
        <w:t>that</w:t>
      </w:r>
      <w:r w:rsidR="00033D0F">
        <w:rPr>
          <w:spacing w:val="40"/>
        </w:rPr>
        <w:t xml:space="preserve"> </w:t>
      </w:r>
      <w:r w:rsidR="00033D0F">
        <w:t>the</w:t>
      </w:r>
      <w:r w:rsidR="00033D0F">
        <w:rPr>
          <w:spacing w:val="39"/>
        </w:rPr>
        <w:t xml:space="preserve"> </w:t>
      </w:r>
      <w:r w:rsidR="00033D0F">
        <w:t>lack</w:t>
      </w:r>
      <w:r w:rsidR="00033D0F">
        <w:rPr>
          <w:spacing w:val="40"/>
        </w:rPr>
        <w:t xml:space="preserve"> </w:t>
      </w:r>
      <w:r w:rsidR="00033D0F">
        <w:t>of</w:t>
      </w:r>
      <w:r w:rsidR="00033D0F">
        <w:rPr>
          <w:spacing w:val="38"/>
        </w:rPr>
        <w:t xml:space="preserve"> </w:t>
      </w:r>
      <w:r w:rsidR="00033D0F">
        <w:t>cooperation</w:t>
      </w:r>
      <w:r w:rsidR="00033D0F">
        <w:rPr>
          <w:spacing w:val="38"/>
        </w:rPr>
        <w:t xml:space="preserve"> </w:t>
      </w:r>
      <w:r w:rsidR="00033D0F">
        <w:t>was</w:t>
      </w:r>
      <w:r w:rsidR="00033D0F">
        <w:rPr>
          <w:spacing w:val="40"/>
        </w:rPr>
        <w:t xml:space="preserve"> </w:t>
      </w:r>
      <w:r w:rsidR="00033D0F">
        <w:t>on</w:t>
      </w:r>
      <w:r w:rsidR="00033D0F">
        <w:rPr>
          <w:spacing w:val="38"/>
        </w:rPr>
        <w:t xml:space="preserve"> </w:t>
      </w:r>
      <w:r w:rsidR="00033D0F">
        <w:t>the</w:t>
      </w:r>
      <w:r w:rsidR="00033D0F">
        <w:rPr>
          <w:spacing w:val="39"/>
        </w:rPr>
        <w:t xml:space="preserve"> </w:t>
      </w:r>
      <w:r w:rsidR="00033D0F">
        <w:t>part</w:t>
      </w:r>
      <w:r w:rsidR="00033D0F">
        <w:rPr>
          <w:spacing w:val="40"/>
        </w:rPr>
        <w:t xml:space="preserve"> </w:t>
      </w:r>
      <w:r w:rsidR="00033D0F">
        <w:t>of</w:t>
      </w:r>
      <w:r w:rsidR="00033D0F">
        <w:rPr>
          <w:spacing w:val="38"/>
        </w:rPr>
        <w:t xml:space="preserve"> </w:t>
      </w:r>
      <w:r w:rsidR="00033D0F">
        <w:t>MOFCOM</w:t>
      </w:r>
      <w:r w:rsidR="00033D0F">
        <w:rPr>
          <w:spacing w:val="40"/>
        </w:rPr>
        <w:t xml:space="preserve"> </w:t>
      </w:r>
      <w:r w:rsidR="00033D0F">
        <w:t>and</w:t>
      </w:r>
      <w:r w:rsidR="00033D0F">
        <w:rPr>
          <w:spacing w:val="40"/>
        </w:rPr>
        <w:t xml:space="preserve"> </w:t>
      </w:r>
      <w:r w:rsidR="00033D0F">
        <w:t>not Treasury Wines.</w:t>
      </w:r>
    </w:p>
    <w:p w14:paraId="2FDBEF49" w14:textId="77777777" w:rsidR="00BD462C" w:rsidRDefault="00BD462C">
      <w:pPr>
        <w:pStyle w:val="BodyText"/>
        <w:spacing w:before="3"/>
        <w:rPr>
          <w:sz w:val="9"/>
        </w:rPr>
      </w:pPr>
    </w:p>
    <w:p w14:paraId="237782FC" w14:textId="3A0C50AA" w:rsidR="00BD462C" w:rsidRDefault="00033D0F" w:rsidP="009B7B7C">
      <w:pPr>
        <w:pStyle w:val="BodyText"/>
        <w:numPr>
          <w:ilvl w:val="0"/>
          <w:numId w:val="69"/>
        </w:numPr>
        <w:spacing w:before="56" w:line="360" w:lineRule="auto"/>
        <w:ind w:right="912"/>
        <w:jc w:val="both"/>
      </w:pPr>
      <w:r>
        <w:rPr>
          <w:position w:val="1"/>
        </w:rPr>
        <w:t>China</w:t>
      </w:r>
      <w:r>
        <w:rPr>
          <w:spacing w:val="40"/>
          <w:position w:val="1"/>
        </w:rPr>
        <w:t xml:space="preserve"> </w:t>
      </w:r>
      <w:r>
        <w:rPr>
          <w:position w:val="1"/>
        </w:rPr>
        <w:t>also</w:t>
      </w:r>
      <w:r>
        <w:rPr>
          <w:spacing w:val="40"/>
          <w:position w:val="1"/>
        </w:rPr>
        <w:t xml:space="preserve"> </w:t>
      </w:r>
      <w:r>
        <w:rPr>
          <w:position w:val="1"/>
        </w:rPr>
        <w:t>argues</w:t>
      </w:r>
      <w:r>
        <w:rPr>
          <w:spacing w:val="40"/>
          <w:position w:val="1"/>
        </w:rPr>
        <w:t xml:space="preserve"> </w:t>
      </w:r>
      <w:r>
        <w:rPr>
          <w:position w:val="1"/>
        </w:rPr>
        <w:t>that</w:t>
      </w:r>
      <w:r>
        <w:rPr>
          <w:spacing w:val="40"/>
          <w:position w:val="1"/>
        </w:rPr>
        <w:t xml:space="preserve"> </w:t>
      </w:r>
      <w:r>
        <w:rPr>
          <w:position w:val="1"/>
        </w:rPr>
        <w:t>Treasury</w:t>
      </w:r>
      <w:r>
        <w:rPr>
          <w:spacing w:val="40"/>
          <w:position w:val="1"/>
        </w:rPr>
        <w:t xml:space="preserve"> </w:t>
      </w:r>
      <w:r>
        <w:rPr>
          <w:position w:val="1"/>
        </w:rPr>
        <w:t>Wines'</w:t>
      </w:r>
      <w:r>
        <w:rPr>
          <w:spacing w:val="40"/>
          <w:position w:val="1"/>
        </w:rPr>
        <w:t xml:space="preserve"> </w:t>
      </w:r>
      <w:r>
        <w:rPr>
          <w:position w:val="1"/>
        </w:rPr>
        <w:t>failure</w:t>
      </w:r>
      <w:r>
        <w:rPr>
          <w:spacing w:val="40"/>
          <w:position w:val="1"/>
        </w:rPr>
        <w:t xml:space="preserve"> </w:t>
      </w:r>
      <w:r>
        <w:rPr>
          <w:position w:val="1"/>
        </w:rPr>
        <w:t>to</w:t>
      </w:r>
      <w:r>
        <w:rPr>
          <w:spacing w:val="40"/>
          <w:position w:val="1"/>
        </w:rPr>
        <w:t xml:space="preserve"> </w:t>
      </w:r>
      <w:r>
        <w:rPr>
          <w:position w:val="1"/>
        </w:rPr>
        <w:t>provide</w:t>
      </w:r>
      <w:r>
        <w:rPr>
          <w:spacing w:val="40"/>
          <w:position w:val="1"/>
        </w:rPr>
        <w:t xml:space="preserve"> </w:t>
      </w:r>
      <w:r>
        <w:rPr>
          <w:position w:val="1"/>
        </w:rPr>
        <w:t>updated</w:t>
      </w:r>
      <w:r>
        <w:rPr>
          <w:spacing w:val="40"/>
          <w:position w:val="1"/>
        </w:rPr>
        <w:t xml:space="preserve"> </w:t>
      </w:r>
      <w:r>
        <w:rPr>
          <w:position w:val="1"/>
        </w:rPr>
        <w:t xml:space="preserve">forms </w:t>
      </w:r>
      <w:r>
        <w:t>demonstrates</w:t>
      </w:r>
      <w:r>
        <w:rPr>
          <w:spacing w:val="-14"/>
        </w:rPr>
        <w:t xml:space="preserve"> </w:t>
      </w:r>
      <w:r>
        <w:t>it</w:t>
      </w:r>
      <w:r>
        <w:rPr>
          <w:spacing w:val="-13"/>
        </w:rPr>
        <w:t xml:space="preserve"> </w:t>
      </w:r>
      <w:r>
        <w:t>was</w:t>
      </w:r>
      <w:r>
        <w:rPr>
          <w:spacing w:val="-5"/>
        </w:rPr>
        <w:t xml:space="preserve"> </w:t>
      </w:r>
      <w:r>
        <w:t>not</w:t>
      </w:r>
      <w:r>
        <w:rPr>
          <w:spacing w:val="-6"/>
        </w:rPr>
        <w:t xml:space="preserve"> </w:t>
      </w:r>
      <w:r>
        <w:t>willing</w:t>
      </w:r>
      <w:r>
        <w:rPr>
          <w:spacing w:val="-5"/>
        </w:rPr>
        <w:t xml:space="preserve"> </w:t>
      </w:r>
      <w:r>
        <w:t>to</w:t>
      </w:r>
      <w:r>
        <w:rPr>
          <w:spacing w:val="-8"/>
        </w:rPr>
        <w:t xml:space="preserve"> </w:t>
      </w:r>
      <w:r>
        <w:t>cooperate.</w:t>
      </w:r>
      <w:r>
        <w:rPr>
          <w:spacing w:val="-14"/>
        </w:rPr>
        <w:t xml:space="preserve"> </w:t>
      </w:r>
      <w:hyperlink w:anchor="_bookmark308" w:history="1">
        <w:r>
          <w:rPr>
            <w:vertAlign w:val="superscript"/>
          </w:rPr>
          <w:t>242</w:t>
        </w:r>
      </w:hyperlink>
      <w:r>
        <w:rPr>
          <w:spacing w:val="-5"/>
        </w:rPr>
        <w:t xml:space="preserve"> </w:t>
      </w:r>
      <w:r>
        <w:t>Yet</w:t>
      </w:r>
      <w:r>
        <w:rPr>
          <w:spacing w:val="-1"/>
        </w:rPr>
        <w:t xml:space="preserve"> </w:t>
      </w:r>
      <w:r>
        <w:t>China</w:t>
      </w:r>
      <w:r>
        <w:rPr>
          <w:spacing w:val="-7"/>
        </w:rPr>
        <w:t xml:space="preserve"> </w:t>
      </w:r>
      <w:r>
        <w:t>also</w:t>
      </w:r>
      <w:r>
        <w:rPr>
          <w:spacing w:val="-9"/>
        </w:rPr>
        <w:t xml:space="preserve"> </w:t>
      </w:r>
      <w:r>
        <w:t>argues</w:t>
      </w:r>
      <w:r>
        <w:rPr>
          <w:spacing w:val="-5"/>
        </w:rPr>
        <w:t xml:space="preserve"> </w:t>
      </w:r>
      <w:r>
        <w:t>that</w:t>
      </w:r>
      <w:r>
        <w:rPr>
          <w:spacing w:val="-6"/>
        </w:rPr>
        <w:t xml:space="preserve"> </w:t>
      </w:r>
      <w:r>
        <w:t>MOFCOM</w:t>
      </w:r>
      <w:r>
        <w:rPr>
          <w:spacing w:val="-6"/>
        </w:rPr>
        <w:t xml:space="preserve"> </w:t>
      </w:r>
      <w:r>
        <w:t>was</w:t>
      </w:r>
      <w:r>
        <w:rPr>
          <w:spacing w:val="-5"/>
        </w:rPr>
        <w:t xml:space="preserve"> </w:t>
      </w:r>
      <w:r>
        <w:t>not required</w:t>
      </w:r>
      <w:r>
        <w:rPr>
          <w:spacing w:val="-3"/>
        </w:rPr>
        <w:t xml:space="preserve"> </w:t>
      </w:r>
      <w:r>
        <w:t>to</w:t>
      </w:r>
      <w:r>
        <w:rPr>
          <w:spacing w:val="-4"/>
        </w:rPr>
        <w:t xml:space="preserve"> </w:t>
      </w:r>
      <w:proofErr w:type="gramStart"/>
      <w:r>
        <w:t>take</w:t>
      </w:r>
      <w:r>
        <w:rPr>
          <w:spacing w:val="-1"/>
        </w:rPr>
        <w:t xml:space="preserve"> </w:t>
      </w:r>
      <w:r>
        <w:t>into</w:t>
      </w:r>
      <w:r>
        <w:rPr>
          <w:spacing w:val="-4"/>
        </w:rPr>
        <w:t xml:space="preserve"> </w:t>
      </w:r>
      <w:r>
        <w:t>account</w:t>
      </w:r>
      <w:proofErr w:type="gramEnd"/>
      <w:r>
        <w:t xml:space="preserve"> the</w:t>
      </w:r>
      <w:r>
        <w:rPr>
          <w:spacing w:val="-2"/>
        </w:rPr>
        <w:t xml:space="preserve"> </w:t>
      </w:r>
      <w:r>
        <w:t>information</w:t>
      </w:r>
      <w:r>
        <w:rPr>
          <w:spacing w:val="-3"/>
        </w:rPr>
        <w:t xml:space="preserve"> </w:t>
      </w:r>
      <w:r>
        <w:t>submitted</w:t>
      </w:r>
      <w:r>
        <w:rPr>
          <w:spacing w:val="-3"/>
        </w:rPr>
        <w:t xml:space="preserve"> </w:t>
      </w:r>
      <w:r>
        <w:t>after</w:t>
      </w:r>
      <w:r>
        <w:rPr>
          <w:spacing w:val="-4"/>
        </w:rPr>
        <w:t xml:space="preserve"> </w:t>
      </w:r>
      <w:r>
        <w:t>the</w:t>
      </w:r>
      <w:r>
        <w:rPr>
          <w:spacing w:val="-2"/>
        </w:rPr>
        <w:t xml:space="preserve"> </w:t>
      </w:r>
      <w:r>
        <w:t>Preliminary Determination as</w:t>
      </w:r>
      <w:r>
        <w:rPr>
          <w:spacing w:val="-14"/>
        </w:rPr>
        <w:t xml:space="preserve"> </w:t>
      </w:r>
      <w:r>
        <w:t>it was not supplied</w:t>
      </w:r>
      <w:r>
        <w:rPr>
          <w:spacing w:val="-1"/>
        </w:rPr>
        <w:t xml:space="preserve"> </w:t>
      </w:r>
      <w:r>
        <w:t>in</w:t>
      </w:r>
      <w:r>
        <w:rPr>
          <w:spacing w:val="-1"/>
        </w:rPr>
        <w:t xml:space="preserve"> </w:t>
      </w:r>
      <w:r>
        <w:t>a "timely fashion".</w:t>
      </w:r>
      <w:r>
        <w:rPr>
          <w:spacing w:val="-14"/>
        </w:rPr>
        <w:t xml:space="preserve"> </w:t>
      </w:r>
      <w:hyperlink w:anchor="_bookmark309" w:history="1">
        <w:r>
          <w:rPr>
            <w:vertAlign w:val="superscript"/>
          </w:rPr>
          <w:t>243</w:t>
        </w:r>
      </w:hyperlink>
      <w:r>
        <w:t xml:space="preserve"> If MOFCOM actually adopted</w:t>
      </w:r>
      <w:r>
        <w:rPr>
          <w:spacing w:val="-1"/>
        </w:rPr>
        <w:t xml:space="preserve"> </w:t>
      </w:r>
      <w:r>
        <w:t>these conflicting standards that China argues Treasury Wines was expected to meet (it is not clear from the record</w:t>
      </w:r>
      <w:r>
        <w:rPr>
          <w:spacing w:val="-5"/>
        </w:rPr>
        <w:t xml:space="preserve"> </w:t>
      </w:r>
      <w:r>
        <w:t>that</w:t>
      </w:r>
      <w:r>
        <w:rPr>
          <w:spacing w:val="-8"/>
        </w:rPr>
        <w:t xml:space="preserve"> </w:t>
      </w:r>
      <w:r>
        <w:t>MOFCOM</w:t>
      </w:r>
      <w:r>
        <w:rPr>
          <w:spacing w:val="-8"/>
        </w:rPr>
        <w:t xml:space="preserve"> </w:t>
      </w:r>
      <w:r>
        <w:t>adopted</w:t>
      </w:r>
      <w:r>
        <w:rPr>
          <w:spacing w:val="-5"/>
        </w:rPr>
        <w:t xml:space="preserve"> </w:t>
      </w:r>
      <w:r>
        <w:t>them),</w:t>
      </w:r>
      <w:r>
        <w:rPr>
          <w:spacing w:val="-6"/>
        </w:rPr>
        <w:t xml:space="preserve"> </w:t>
      </w:r>
      <w:r>
        <w:t>they</w:t>
      </w:r>
      <w:r>
        <w:rPr>
          <w:spacing w:val="40"/>
        </w:rPr>
        <w:t xml:space="preserve"> </w:t>
      </w:r>
      <w:r>
        <w:t>demonstrate</w:t>
      </w:r>
      <w:r>
        <w:rPr>
          <w:spacing w:val="-8"/>
        </w:rPr>
        <w:t xml:space="preserve"> </w:t>
      </w:r>
      <w:r>
        <w:t>the</w:t>
      </w:r>
      <w:r>
        <w:rPr>
          <w:spacing w:val="-8"/>
        </w:rPr>
        <w:t xml:space="preserve"> </w:t>
      </w:r>
      <w:r>
        <w:t>unreasonable</w:t>
      </w:r>
      <w:r>
        <w:rPr>
          <w:spacing w:val="-8"/>
        </w:rPr>
        <w:t xml:space="preserve"> </w:t>
      </w:r>
      <w:r>
        <w:t>burden</w:t>
      </w:r>
      <w:r>
        <w:rPr>
          <w:spacing w:val="-5"/>
        </w:rPr>
        <w:t xml:space="preserve"> </w:t>
      </w:r>
      <w:r>
        <w:t>MOFCOM placed on the company during the investigation. The Appellate Body has explained that investigating authorities are entitled to expect a "very significant degree of effort [...] from investigated</w:t>
      </w:r>
      <w:r>
        <w:rPr>
          <w:spacing w:val="-14"/>
        </w:rPr>
        <w:t xml:space="preserve"> </w:t>
      </w:r>
      <w:r>
        <w:t>exporters",</w:t>
      </w:r>
      <w:r>
        <w:rPr>
          <w:spacing w:val="-14"/>
        </w:rPr>
        <w:t xml:space="preserve"> </w:t>
      </w:r>
      <w:r>
        <w:t>but</w:t>
      </w:r>
      <w:r>
        <w:rPr>
          <w:spacing w:val="-13"/>
        </w:rPr>
        <w:t xml:space="preserve"> </w:t>
      </w:r>
      <w:r>
        <w:t>they</w:t>
      </w:r>
      <w:r>
        <w:rPr>
          <w:spacing w:val="-11"/>
        </w:rPr>
        <w:t xml:space="preserve"> </w:t>
      </w:r>
      <w:r>
        <w:t>are</w:t>
      </w:r>
      <w:r>
        <w:rPr>
          <w:spacing w:val="-12"/>
        </w:rPr>
        <w:t xml:space="preserve"> </w:t>
      </w:r>
      <w:r>
        <w:t>"not</w:t>
      </w:r>
      <w:r>
        <w:rPr>
          <w:spacing w:val="-11"/>
        </w:rPr>
        <w:t xml:space="preserve"> </w:t>
      </w:r>
      <w:r>
        <w:t>entitled</w:t>
      </w:r>
      <w:r>
        <w:rPr>
          <w:spacing w:val="-14"/>
        </w:rPr>
        <w:t xml:space="preserve"> </w:t>
      </w:r>
      <w:r>
        <w:t>to</w:t>
      </w:r>
      <w:r>
        <w:rPr>
          <w:spacing w:val="-14"/>
        </w:rPr>
        <w:t xml:space="preserve"> </w:t>
      </w:r>
      <w:r>
        <w:t>insist</w:t>
      </w:r>
      <w:r>
        <w:rPr>
          <w:spacing w:val="-10"/>
        </w:rPr>
        <w:t xml:space="preserve"> </w:t>
      </w:r>
      <w:r>
        <w:t>upon</w:t>
      </w:r>
      <w:r>
        <w:rPr>
          <w:spacing w:val="-14"/>
        </w:rPr>
        <w:t xml:space="preserve"> </w:t>
      </w:r>
      <w:r>
        <w:rPr>
          <w:i/>
        </w:rPr>
        <w:t>absolute</w:t>
      </w:r>
      <w:r>
        <w:rPr>
          <w:i/>
          <w:spacing w:val="-11"/>
        </w:rPr>
        <w:t xml:space="preserve"> </w:t>
      </w:r>
      <w:r>
        <w:t>standards</w:t>
      </w:r>
      <w:r>
        <w:rPr>
          <w:spacing w:val="-10"/>
        </w:rPr>
        <w:t xml:space="preserve"> </w:t>
      </w:r>
      <w:r>
        <w:t>or</w:t>
      </w:r>
      <w:r>
        <w:rPr>
          <w:spacing w:val="-14"/>
        </w:rPr>
        <w:t xml:space="preserve"> </w:t>
      </w:r>
      <w:r>
        <w:t xml:space="preserve">impose </w:t>
      </w:r>
      <w:r>
        <w:rPr>
          <w:i/>
        </w:rPr>
        <w:t>unreasonable</w:t>
      </w:r>
      <w:r>
        <w:rPr>
          <w:i/>
          <w:spacing w:val="-2"/>
        </w:rPr>
        <w:t xml:space="preserve"> </w:t>
      </w:r>
      <w:r>
        <w:t>burdens</w:t>
      </w:r>
      <w:r>
        <w:rPr>
          <w:spacing w:val="-1"/>
        </w:rPr>
        <w:t xml:space="preserve"> </w:t>
      </w:r>
      <w:r>
        <w:t>upon</w:t>
      </w:r>
      <w:r>
        <w:rPr>
          <w:spacing w:val="-4"/>
        </w:rPr>
        <w:t xml:space="preserve"> </w:t>
      </w:r>
      <w:r>
        <w:t>those</w:t>
      </w:r>
      <w:r>
        <w:rPr>
          <w:spacing w:val="-2"/>
        </w:rPr>
        <w:t xml:space="preserve"> </w:t>
      </w:r>
      <w:r>
        <w:t>exporters."</w:t>
      </w:r>
      <w:hyperlink w:anchor="_bookmark310" w:history="1">
        <w:r>
          <w:rPr>
            <w:vertAlign w:val="superscript"/>
          </w:rPr>
          <w:t>244</w:t>
        </w:r>
      </w:hyperlink>
      <w:r>
        <w:rPr>
          <w:spacing w:val="-2"/>
        </w:rPr>
        <w:t xml:space="preserve"> </w:t>
      </w:r>
      <w:r>
        <w:t>Despite</w:t>
      </w:r>
      <w:r>
        <w:rPr>
          <w:spacing w:val="-2"/>
        </w:rPr>
        <w:t xml:space="preserve"> </w:t>
      </w:r>
      <w:r>
        <w:t>Treasury</w:t>
      </w:r>
      <w:r>
        <w:rPr>
          <w:spacing w:val="-1"/>
        </w:rPr>
        <w:t xml:space="preserve"> </w:t>
      </w:r>
      <w:r>
        <w:t>Wines'</w:t>
      </w:r>
      <w:r>
        <w:rPr>
          <w:spacing w:val="-3"/>
        </w:rPr>
        <w:t xml:space="preserve"> </w:t>
      </w:r>
      <w:r>
        <w:t>participation</w:t>
      </w:r>
      <w:r>
        <w:rPr>
          <w:spacing w:val="-4"/>
        </w:rPr>
        <w:t xml:space="preserve"> </w:t>
      </w:r>
      <w:r>
        <w:t>in</w:t>
      </w:r>
      <w:r>
        <w:rPr>
          <w:spacing w:val="-4"/>
        </w:rPr>
        <w:t xml:space="preserve"> </w:t>
      </w:r>
      <w:r>
        <w:t>the investigation with a "very significant degree of effort", MOFCOM imposed "unreasonable burdens" on</w:t>
      </w:r>
      <w:r>
        <w:rPr>
          <w:spacing w:val="-4"/>
        </w:rPr>
        <w:t xml:space="preserve"> </w:t>
      </w:r>
      <w:r>
        <w:t>the</w:t>
      </w:r>
      <w:r>
        <w:rPr>
          <w:spacing w:val="-3"/>
        </w:rPr>
        <w:t xml:space="preserve"> </w:t>
      </w:r>
      <w:r>
        <w:t>company.</w:t>
      </w:r>
      <w:r>
        <w:rPr>
          <w:spacing w:val="-1"/>
        </w:rPr>
        <w:t xml:space="preserve"> </w:t>
      </w:r>
      <w:r>
        <w:t>Treasury</w:t>
      </w:r>
      <w:r>
        <w:rPr>
          <w:spacing w:val="-1"/>
        </w:rPr>
        <w:t xml:space="preserve"> </w:t>
      </w:r>
      <w:r>
        <w:t>Wines'</w:t>
      </w:r>
      <w:r>
        <w:rPr>
          <w:spacing w:val="-3"/>
        </w:rPr>
        <w:t xml:space="preserve"> </w:t>
      </w:r>
      <w:r>
        <w:t>failure</w:t>
      </w:r>
      <w:r>
        <w:rPr>
          <w:spacing w:val="-7"/>
        </w:rPr>
        <w:t xml:space="preserve"> </w:t>
      </w:r>
      <w:r>
        <w:t>to</w:t>
      </w:r>
      <w:r>
        <w:rPr>
          <w:spacing w:val="-5"/>
        </w:rPr>
        <w:t xml:space="preserve"> </w:t>
      </w:r>
      <w:r>
        <w:t>meet</w:t>
      </w:r>
      <w:r>
        <w:rPr>
          <w:spacing w:val="-2"/>
        </w:rPr>
        <w:t xml:space="preserve"> </w:t>
      </w:r>
      <w:r>
        <w:t>the</w:t>
      </w:r>
      <w:r>
        <w:rPr>
          <w:spacing w:val="-3"/>
        </w:rPr>
        <w:t xml:space="preserve"> </w:t>
      </w:r>
      <w:r>
        <w:t>absolute</w:t>
      </w:r>
      <w:r>
        <w:rPr>
          <w:spacing w:val="-2"/>
        </w:rPr>
        <w:t xml:space="preserve"> </w:t>
      </w:r>
      <w:r>
        <w:t>standards that</w:t>
      </w:r>
      <w:r>
        <w:rPr>
          <w:spacing w:val="-2"/>
        </w:rPr>
        <w:t xml:space="preserve"> </w:t>
      </w:r>
      <w:r>
        <w:t>China now contends was required is not evidence of the company's failure to cooperate. Rather, Treasury Wines' participation must be assessed against the standards set out in the Anti- Dumping Agreement. The record demonstrates that Treasury Wines acted to the best of its ability, within the meaning of paragraph 5 of Annex II. Even if the information it submitted was not ideal, MOFCOM was not permitted to disregard it.</w:t>
      </w:r>
    </w:p>
    <w:p w14:paraId="3AE8D19E" w14:textId="77777777" w:rsidR="00BD462C" w:rsidRDefault="00BD462C">
      <w:pPr>
        <w:pStyle w:val="BodyText"/>
        <w:spacing w:before="7"/>
        <w:rPr>
          <w:sz w:val="8"/>
        </w:rPr>
      </w:pPr>
    </w:p>
    <w:p w14:paraId="10BE6C99" w14:textId="3C8609AE" w:rsidR="00BD462C" w:rsidRDefault="00033D0F" w:rsidP="009B7B7C">
      <w:pPr>
        <w:pStyle w:val="BodyText"/>
        <w:numPr>
          <w:ilvl w:val="0"/>
          <w:numId w:val="69"/>
        </w:numPr>
        <w:spacing w:before="56" w:line="357" w:lineRule="auto"/>
        <w:ind w:right="917"/>
        <w:jc w:val="both"/>
      </w:pPr>
      <w:r>
        <w:rPr>
          <w:position w:val="1"/>
        </w:rPr>
        <w:t>Finally,</w:t>
      </w:r>
      <w:r>
        <w:rPr>
          <w:spacing w:val="40"/>
          <w:position w:val="1"/>
        </w:rPr>
        <w:t xml:space="preserve"> </w:t>
      </w:r>
      <w:r>
        <w:rPr>
          <w:position w:val="1"/>
        </w:rPr>
        <w:t>Australia</w:t>
      </w:r>
      <w:r>
        <w:rPr>
          <w:spacing w:val="40"/>
          <w:position w:val="1"/>
        </w:rPr>
        <w:t xml:space="preserve"> </w:t>
      </w:r>
      <w:r>
        <w:rPr>
          <w:position w:val="1"/>
        </w:rPr>
        <w:t>has</w:t>
      </w:r>
      <w:r>
        <w:rPr>
          <w:spacing w:val="40"/>
          <w:position w:val="1"/>
        </w:rPr>
        <w:t xml:space="preserve"> </w:t>
      </w:r>
      <w:r>
        <w:rPr>
          <w:position w:val="1"/>
        </w:rPr>
        <w:t>explained</w:t>
      </w:r>
      <w:r>
        <w:rPr>
          <w:spacing w:val="40"/>
          <w:position w:val="1"/>
        </w:rPr>
        <w:t xml:space="preserve"> </w:t>
      </w:r>
      <w:r>
        <w:rPr>
          <w:position w:val="1"/>
        </w:rPr>
        <w:t>above</w:t>
      </w:r>
      <w:r>
        <w:rPr>
          <w:spacing w:val="40"/>
          <w:position w:val="1"/>
        </w:rPr>
        <w:t xml:space="preserve"> </w:t>
      </w:r>
      <w:r>
        <w:rPr>
          <w:position w:val="1"/>
        </w:rPr>
        <w:t>that</w:t>
      </w:r>
      <w:r>
        <w:rPr>
          <w:spacing w:val="40"/>
          <w:position w:val="1"/>
        </w:rPr>
        <w:t xml:space="preserve"> </w:t>
      </w:r>
      <w:r>
        <w:rPr>
          <w:position w:val="1"/>
        </w:rPr>
        <w:t>Treasury</w:t>
      </w:r>
      <w:r>
        <w:rPr>
          <w:spacing w:val="40"/>
          <w:position w:val="1"/>
        </w:rPr>
        <w:t xml:space="preserve"> </w:t>
      </w:r>
      <w:r>
        <w:rPr>
          <w:position w:val="1"/>
        </w:rPr>
        <w:t>Wines</w:t>
      </w:r>
      <w:r>
        <w:rPr>
          <w:spacing w:val="40"/>
          <w:position w:val="1"/>
        </w:rPr>
        <w:t xml:space="preserve"> </w:t>
      </w:r>
      <w:r>
        <w:rPr>
          <w:position w:val="1"/>
        </w:rPr>
        <w:t>did</w:t>
      </w:r>
      <w:r>
        <w:rPr>
          <w:spacing w:val="40"/>
          <w:position w:val="1"/>
        </w:rPr>
        <w:t xml:space="preserve"> </w:t>
      </w:r>
      <w:r>
        <w:rPr>
          <w:position w:val="1"/>
        </w:rPr>
        <w:t>not</w:t>
      </w:r>
      <w:r>
        <w:rPr>
          <w:spacing w:val="40"/>
          <w:position w:val="1"/>
        </w:rPr>
        <w:t xml:space="preserve"> </w:t>
      </w:r>
      <w:r>
        <w:rPr>
          <w:position w:val="1"/>
        </w:rPr>
        <w:t>"sample"</w:t>
      </w:r>
      <w:r>
        <w:rPr>
          <w:spacing w:val="40"/>
          <w:position w:val="1"/>
        </w:rPr>
        <w:t xml:space="preserve"> </w:t>
      </w:r>
      <w:r>
        <w:rPr>
          <w:position w:val="1"/>
        </w:rPr>
        <w:t xml:space="preserve">or </w:t>
      </w:r>
      <w:r>
        <w:t>"self-select" when providing information to MOFCOM within the timeframe.</w:t>
      </w:r>
      <w:hyperlink w:anchor="_bookmark311" w:history="1">
        <w:r>
          <w:rPr>
            <w:vertAlign w:val="superscript"/>
          </w:rPr>
          <w:t>245</w:t>
        </w:r>
      </w:hyperlink>
      <w:r>
        <w:t xml:space="preserve"> As such, </w:t>
      </w:r>
      <w:r>
        <w:rPr>
          <w:spacing w:val="-2"/>
        </w:rPr>
        <w:t>China's allegations of</w:t>
      </w:r>
      <w:r>
        <w:rPr>
          <w:spacing w:val="-7"/>
        </w:rPr>
        <w:t xml:space="preserve"> </w:t>
      </w:r>
      <w:r>
        <w:rPr>
          <w:spacing w:val="-2"/>
        </w:rPr>
        <w:t>"self-selection"</w:t>
      </w:r>
      <w:r>
        <w:rPr>
          <w:spacing w:val="-6"/>
        </w:rPr>
        <w:t xml:space="preserve"> </w:t>
      </w:r>
      <w:r>
        <w:rPr>
          <w:spacing w:val="-2"/>
        </w:rPr>
        <w:t>are</w:t>
      </w:r>
      <w:r>
        <w:rPr>
          <w:spacing w:val="-5"/>
        </w:rPr>
        <w:t xml:space="preserve"> </w:t>
      </w:r>
      <w:r>
        <w:rPr>
          <w:spacing w:val="-2"/>
        </w:rPr>
        <w:t>unfounded</w:t>
      </w:r>
      <w:r>
        <w:rPr>
          <w:spacing w:val="-7"/>
        </w:rPr>
        <w:t xml:space="preserve"> </w:t>
      </w:r>
      <w:r>
        <w:rPr>
          <w:spacing w:val="-2"/>
        </w:rPr>
        <w:t>and are not</w:t>
      </w:r>
      <w:r>
        <w:rPr>
          <w:spacing w:val="-3"/>
        </w:rPr>
        <w:t xml:space="preserve"> </w:t>
      </w:r>
      <w:r>
        <w:rPr>
          <w:spacing w:val="-2"/>
        </w:rPr>
        <w:t>evidence</w:t>
      </w:r>
      <w:r>
        <w:rPr>
          <w:spacing w:val="-5"/>
        </w:rPr>
        <w:t xml:space="preserve"> </w:t>
      </w:r>
      <w:r>
        <w:rPr>
          <w:spacing w:val="-2"/>
        </w:rPr>
        <w:t>that Treasury</w:t>
      </w:r>
      <w:r>
        <w:rPr>
          <w:spacing w:val="-3"/>
        </w:rPr>
        <w:t xml:space="preserve"> </w:t>
      </w:r>
      <w:r>
        <w:rPr>
          <w:spacing w:val="-2"/>
        </w:rPr>
        <w:t xml:space="preserve">Wines </w:t>
      </w:r>
      <w:r>
        <w:t>was unwilling to cooperate.</w:t>
      </w:r>
    </w:p>
    <w:p w14:paraId="7458E705" w14:textId="77777777" w:rsidR="00BD462C" w:rsidRDefault="00033D0F" w:rsidP="00DA02D9">
      <w:pPr>
        <w:pStyle w:val="ListParagraph"/>
        <w:numPr>
          <w:ilvl w:val="1"/>
          <w:numId w:val="70"/>
        </w:numPr>
        <w:tabs>
          <w:tab w:val="left" w:pos="3539"/>
          <w:tab w:val="left" w:pos="3540"/>
        </w:tabs>
        <w:spacing w:before="165"/>
        <w:ind w:hanging="851"/>
        <w:jc w:val="both"/>
        <w:rPr>
          <w:sz w:val="24"/>
        </w:rPr>
      </w:pPr>
      <w:r>
        <w:rPr>
          <w:spacing w:val="-2"/>
          <w:sz w:val="24"/>
          <w:u w:val="single"/>
        </w:rPr>
        <w:t>Conclusion</w:t>
      </w:r>
    </w:p>
    <w:p w14:paraId="11A3A8ED" w14:textId="77777777" w:rsidR="00BD462C" w:rsidRDefault="00BD462C">
      <w:pPr>
        <w:pStyle w:val="BodyText"/>
        <w:spacing w:before="11"/>
        <w:rPr>
          <w:sz w:val="20"/>
        </w:rPr>
      </w:pPr>
    </w:p>
    <w:p w14:paraId="26A2CFBC" w14:textId="7F71657E" w:rsidR="00BD462C" w:rsidRPr="009B7B7C" w:rsidRDefault="00033D0F" w:rsidP="009B7B7C">
      <w:pPr>
        <w:pStyle w:val="BodyText"/>
        <w:numPr>
          <w:ilvl w:val="0"/>
          <w:numId w:val="69"/>
        </w:numPr>
        <w:spacing w:before="56" w:line="357" w:lineRule="auto"/>
        <w:ind w:right="923"/>
      </w:pPr>
      <w:r>
        <w:rPr>
          <w:position w:val="1"/>
        </w:rPr>
        <w:t>China</w:t>
      </w:r>
      <w:r>
        <w:rPr>
          <w:spacing w:val="-4"/>
          <w:position w:val="1"/>
        </w:rPr>
        <w:t xml:space="preserve"> </w:t>
      </w:r>
      <w:r>
        <w:rPr>
          <w:position w:val="1"/>
        </w:rPr>
        <w:t>has</w:t>
      </w:r>
      <w:r>
        <w:rPr>
          <w:spacing w:val="-2"/>
          <w:position w:val="1"/>
        </w:rPr>
        <w:t xml:space="preserve"> </w:t>
      </w:r>
      <w:r>
        <w:rPr>
          <w:position w:val="1"/>
        </w:rPr>
        <w:t>failed</w:t>
      </w:r>
      <w:r>
        <w:rPr>
          <w:spacing w:val="-5"/>
          <w:position w:val="1"/>
        </w:rPr>
        <w:t xml:space="preserve"> </w:t>
      </w:r>
      <w:r>
        <w:rPr>
          <w:position w:val="1"/>
        </w:rPr>
        <w:t>to</w:t>
      </w:r>
      <w:r>
        <w:rPr>
          <w:spacing w:val="-6"/>
          <w:position w:val="1"/>
        </w:rPr>
        <w:t xml:space="preserve"> </w:t>
      </w:r>
      <w:r>
        <w:rPr>
          <w:position w:val="1"/>
        </w:rPr>
        <w:t>rebut</w:t>
      </w:r>
      <w:r>
        <w:rPr>
          <w:spacing w:val="-3"/>
          <w:position w:val="1"/>
        </w:rPr>
        <w:t xml:space="preserve"> </w:t>
      </w:r>
      <w:r>
        <w:rPr>
          <w:position w:val="1"/>
        </w:rPr>
        <w:t>Australia's</w:t>
      </w:r>
      <w:r>
        <w:rPr>
          <w:spacing w:val="-2"/>
          <w:position w:val="1"/>
        </w:rPr>
        <w:t xml:space="preserve"> </w:t>
      </w:r>
      <w:r>
        <w:rPr>
          <w:position w:val="1"/>
        </w:rPr>
        <w:t>claims</w:t>
      </w:r>
      <w:r>
        <w:rPr>
          <w:spacing w:val="-7"/>
          <w:position w:val="1"/>
        </w:rPr>
        <w:t xml:space="preserve"> </w:t>
      </w:r>
      <w:r>
        <w:rPr>
          <w:position w:val="1"/>
        </w:rPr>
        <w:t>that</w:t>
      </w:r>
      <w:r>
        <w:rPr>
          <w:spacing w:val="-3"/>
          <w:position w:val="1"/>
        </w:rPr>
        <w:t xml:space="preserve"> </w:t>
      </w:r>
      <w:r>
        <w:rPr>
          <w:position w:val="1"/>
        </w:rPr>
        <w:t>the</w:t>
      </w:r>
      <w:r>
        <w:rPr>
          <w:spacing w:val="-3"/>
          <w:position w:val="1"/>
        </w:rPr>
        <w:t xml:space="preserve"> </w:t>
      </w:r>
      <w:r>
        <w:rPr>
          <w:position w:val="1"/>
        </w:rPr>
        <w:t>information</w:t>
      </w:r>
      <w:r>
        <w:rPr>
          <w:spacing w:val="-5"/>
          <w:position w:val="1"/>
        </w:rPr>
        <w:t xml:space="preserve"> </w:t>
      </w:r>
      <w:r>
        <w:rPr>
          <w:position w:val="1"/>
        </w:rPr>
        <w:t>supplied</w:t>
      </w:r>
      <w:r>
        <w:rPr>
          <w:spacing w:val="-5"/>
          <w:position w:val="1"/>
        </w:rPr>
        <w:t xml:space="preserve"> </w:t>
      </w:r>
      <w:r>
        <w:rPr>
          <w:position w:val="1"/>
        </w:rPr>
        <w:t>by</w:t>
      </w:r>
      <w:r>
        <w:rPr>
          <w:spacing w:val="-2"/>
          <w:position w:val="1"/>
        </w:rPr>
        <w:t xml:space="preserve"> </w:t>
      </w:r>
      <w:r>
        <w:rPr>
          <w:position w:val="1"/>
        </w:rPr>
        <w:t xml:space="preserve">Treasury </w:t>
      </w:r>
      <w:r>
        <w:t>Wines</w:t>
      </w:r>
      <w:r>
        <w:rPr>
          <w:spacing w:val="29"/>
        </w:rPr>
        <w:t xml:space="preserve"> </w:t>
      </w:r>
      <w:r>
        <w:t>in</w:t>
      </w:r>
      <w:r>
        <w:rPr>
          <w:spacing w:val="25"/>
        </w:rPr>
        <w:t xml:space="preserve"> </w:t>
      </w:r>
      <w:r>
        <w:t>Forms</w:t>
      </w:r>
      <w:r>
        <w:rPr>
          <w:spacing w:val="29"/>
        </w:rPr>
        <w:t xml:space="preserve"> </w:t>
      </w:r>
      <w:r>
        <w:t>6-1-1,</w:t>
      </w:r>
      <w:r>
        <w:rPr>
          <w:spacing w:val="29"/>
        </w:rPr>
        <w:t xml:space="preserve"> </w:t>
      </w:r>
      <w:r>
        <w:t>6-1-2,</w:t>
      </w:r>
      <w:r>
        <w:rPr>
          <w:spacing w:val="29"/>
        </w:rPr>
        <w:t xml:space="preserve"> </w:t>
      </w:r>
      <w:r>
        <w:t>6-3</w:t>
      </w:r>
      <w:r>
        <w:rPr>
          <w:spacing w:val="25"/>
        </w:rPr>
        <w:t xml:space="preserve"> </w:t>
      </w:r>
      <w:r>
        <w:t>and</w:t>
      </w:r>
      <w:r>
        <w:rPr>
          <w:spacing w:val="26"/>
        </w:rPr>
        <w:t xml:space="preserve"> </w:t>
      </w:r>
      <w:r>
        <w:t>6-4</w:t>
      </w:r>
      <w:r>
        <w:rPr>
          <w:spacing w:val="30"/>
        </w:rPr>
        <w:t xml:space="preserve"> </w:t>
      </w:r>
      <w:r>
        <w:t>met</w:t>
      </w:r>
      <w:r>
        <w:rPr>
          <w:spacing w:val="29"/>
        </w:rPr>
        <w:t xml:space="preserve"> </w:t>
      </w:r>
      <w:r>
        <w:t>the</w:t>
      </w:r>
      <w:r>
        <w:rPr>
          <w:spacing w:val="27"/>
        </w:rPr>
        <w:t xml:space="preserve"> </w:t>
      </w:r>
      <w:r>
        <w:t>criteria</w:t>
      </w:r>
      <w:r>
        <w:rPr>
          <w:spacing w:val="27"/>
        </w:rPr>
        <w:t xml:space="preserve"> </w:t>
      </w:r>
      <w:r>
        <w:t>of</w:t>
      </w:r>
      <w:r>
        <w:rPr>
          <w:spacing w:val="30"/>
        </w:rPr>
        <w:t xml:space="preserve"> </w:t>
      </w:r>
      <w:r>
        <w:t>paragraph</w:t>
      </w:r>
      <w:r>
        <w:rPr>
          <w:spacing w:val="30"/>
        </w:rPr>
        <w:t xml:space="preserve"> </w:t>
      </w:r>
      <w:r>
        <w:t>3</w:t>
      </w:r>
      <w:r>
        <w:rPr>
          <w:spacing w:val="25"/>
        </w:rPr>
        <w:t xml:space="preserve"> </w:t>
      </w:r>
    </w:p>
    <w:p w14:paraId="4F081EE9" w14:textId="546E61BA" w:rsidR="00BD462C" w:rsidRDefault="00D70C7D">
      <w:pPr>
        <w:pStyle w:val="BodyText"/>
        <w:spacing w:before="4"/>
        <w:rPr>
          <w:sz w:val="13"/>
        </w:rPr>
      </w:pPr>
      <w:r>
        <w:rPr>
          <w:noProof/>
        </w:rPr>
        <mc:AlternateContent>
          <mc:Choice Requires="wps">
            <w:drawing>
              <wp:anchor distT="0" distB="0" distL="0" distR="0" simplePos="0" relativeHeight="487656448" behindDoc="1" locked="0" layoutInCell="1" allowOverlap="1" wp14:anchorId="73944D6A" wp14:editId="0145A456">
                <wp:simplePos x="0" y="0"/>
                <wp:positionH relativeFrom="page">
                  <wp:posOffset>899160</wp:posOffset>
                </wp:positionH>
                <wp:positionV relativeFrom="paragraph">
                  <wp:posOffset>119380</wp:posOffset>
                </wp:positionV>
                <wp:extent cx="1828800" cy="8890"/>
                <wp:effectExtent l="0" t="0" r="0" b="0"/>
                <wp:wrapTopAndBottom/>
                <wp:docPr id="1132" name="docshape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41A0F9" id="docshape150" o:spid="_x0000_s1026" alt="&quot;&quot;" style="position:absolute;margin-left:70.8pt;margin-top:9.4pt;width:2in;height:.7pt;z-index:-15660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" fillcolor="black" stroked="f">
                <w10:wrap type="topAndBottom" anchorx="page"/>
              </v:rect>
            </w:pict>
          </mc:Fallback>
        </mc:AlternateContent>
      </w:r>
    </w:p>
    <w:p w14:paraId="0596B2A8" w14:textId="77777777" w:rsidR="00BD462C" w:rsidRDefault="00033D0F">
      <w:pPr>
        <w:spacing w:before="107"/>
        <w:ind w:left="135"/>
        <w:rPr>
          <w:sz w:val="18"/>
        </w:rPr>
      </w:pPr>
      <w:bookmarkStart w:id="357" w:name="_bookmark308"/>
      <w:bookmarkEnd w:id="357"/>
      <w:r>
        <w:rPr>
          <w:position w:val="5"/>
          <w:sz w:val="12"/>
        </w:rPr>
        <w:t>242</w:t>
      </w:r>
      <w:r>
        <w:rPr>
          <w:spacing w:val="12"/>
          <w:position w:val="5"/>
          <w:sz w:val="12"/>
        </w:rPr>
        <w:t xml:space="preserve"> </w:t>
      </w:r>
      <w:r>
        <w:rPr>
          <w:sz w:val="18"/>
        </w:rPr>
        <w:t>China's</w:t>
      </w:r>
      <w:r>
        <w:rPr>
          <w:spacing w:val="-6"/>
          <w:sz w:val="18"/>
        </w:rPr>
        <w:t xml:space="preserve"> </w:t>
      </w:r>
      <w:r>
        <w:rPr>
          <w:sz w:val="18"/>
        </w:rPr>
        <w:t>first</w:t>
      </w:r>
      <w:r>
        <w:rPr>
          <w:spacing w:val="-5"/>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paras.</w:t>
      </w:r>
      <w:r>
        <w:rPr>
          <w:spacing w:val="-5"/>
          <w:sz w:val="18"/>
        </w:rPr>
        <w:t xml:space="preserve"> </w:t>
      </w:r>
      <w:r>
        <w:rPr>
          <w:sz w:val="18"/>
        </w:rPr>
        <w:t>301,</w:t>
      </w:r>
      <w:r>
        <w:rPr>
          <w:spacing w:val="-4"/>
          <w:sz w:val="18"/>
        </w:rPr>
        <w:t xml:space="preserve"> </w:t>
      </w:r>
      <w:r>
        <w:rPr>
          <w:sz w:val="18"/>
        </w:rPr>
        <w:t>333, 382, and</w:t>
      </w:r>
      <w:r>
        <w:rPr>
          <w:spacing w:val="-3"/>
          <w:sz w:val="18"/>
        </w:rPr>
        <w:t xml:space="preserve"> </w:t>
      </w:r>
      <w:r>
        <w:rPr>
          <w:spacing w:val="-4"/>
          <w:sz w:val="18"/>
        </w:rPr>
        <w:t>422.</w:t>
      </w:r>
    </w:p>
    <w:p w14:paraId="01507AA0" w14:textId="77777777" w:rsidR="00BD462C" w:rsidRDefault="00033D0F">
      <w:pPr>
        <w:spacing w:before="1"/>
        <w:ind w:left="135"/>
        <w:rPr>
          <w:sz w:val="18"/>
        </w:rPr>
      </w:pPr>
      <w:bookmarkStart w:id="358" w:name="_bookmark309"/>
      <w:bookmarkEnd w:id="358"/>
      <w:r>
        <w:rPr>
          <w:position w:val="5"/>
          <w:sz w:val="12"/>
        </w:rPr>
        <w:t>243</w:t>
      </w:r>
      <w:r>
        <w:rPr>
          <w:spacing w:val="12"/>
          <w:position w:val="5"/>
          <w:sz w:val="12"/>
        </w:rPr>
        <w:t xml:space="preserve"> </w:t>
      </w:r>
      <w:r>
        <w:rPr>
          <w:sz w:val="18"/>
        </w:rPr>
        <w:t>China's</w:t>
      </w:r>
      <w:r>
        <w:rPr>
          <w:spacing w:val="-6"/>
          <w:sz w:val="18"/>
        </w:rPr>
        <w:t xml:space="preserve"> </w:t>
      </w:r>
      <w:r>
        <w:rPr>
          <w:sz w:val="18"/>
        </w:rPr>
        <w:t>first</w:t>
      </w:r>
      <w:r>
        <w:rPr>
          <w:spacing w:val="-5"/>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paras.</w:t>
      </w:r>
      <w:r>
        <w:rPr>
          <w:spacing w:val="-5"/>
          <w:sz w:val="18"/>
        </w:rPr>
        <w:t xml:space="preserve"> </w:t>
      </w:r>
      <w:r>
        <w:rPr>
          <w:sz w:val="18"/>
        </w:rPr>
        <w:t>304,</w:t>
      </w:r>
      <w:r>
        <w:rPr>
          <w:spacing w:val="-4"/>
          <w:sz w:val="18"/>
        </w:rPr>
        <w:t xml:space="preserve"> </w:t>
      </w:r>
      <w:r>
        <w:rPr>
          <w:sz w:val="18"/>
        </w:rPr>
        <w:t>335, 384, and</w:t>
      </w:r>
      <w:r>
        <w:rPr>
          <w:spacing w:val="-3"/>
          <w:sz w:val="18"/>
        </w:rPr>
        <w:t xml:space="preserve"> </w:t>
      </w:r>
      <w:r>
        <w:rPr>
          <w:spacing w:val="-4"/>
          <w:sz w:val="18"/>
        </w:rPr>
        <w:t>425.</w:t>
      </w:r>
    </w:p>
    <w:p w14:paraId="077D0A52" w14:textId="77777777" w:rsidR="00BD462C" w:rsidRDefault="00033D0F">
      <w:pPr>
        <w:spacing w:before="1"/>
        <w:ind w:left="135"/>
        <w:rPr>
          <w:sz w:val="18"/>
        </w:rPr>
      </w:pPr>
      <w:bookmarkStart w:id="359" w:name="_bookmark310"/>
      <w:bookmarkEnd w:id="359"/>
      <w:r>
        <w:rPr>
          <w:position w:val="5"/>
          <w:sz w:val="12"/>
        </w:rPr>
        <w:t>244</w:t>
      </w:r>
      <w:r>
        <w:rPr>
          <w:spacing w:val="14"/>
          <w:position w:val="5"/>
          <w:sz w:val="12"/>
        </w:rPr>
        <w:t xml:space="preserve"> </w:t>
      </w:r>
      <w:r>
        <w:rPr>
          <w:sz w:val="18"/>
        </w:rPr>
        <w:t>Appellate</w:t>
      </w:r>
      <w:r>
        <w:rPr>
          <w:spacing w:val="-9"/>
          <w:sz w:val="18"/>
        </w:rPr>
        <w:t xml:space="preserve"> </w:t>
      </w:r>
      <w:r>
        <w:rPr>
          <w:sz w:val="18"/>
        </w:rPr>
        <w:t>Body</w:t>
      </w:r>
      <w:r>
        <w:rPr>
          <w:spacing w:val="-6"/>
          <w:sz w:val="18"/>
        </w:rPr>
        <w:t xml:space="preserve"> </w:t>
      </w:r>
      <w:r>
        <w:rPr>
          <w:sz w:val="18"/>
        </w:rPr>
        <w:t>Report,</w:t>
      </w:r>
      <w:r>
        <w:rPr>
          <w:spacing w:val="-3"/>
          <w:sz w:val="18"/>
        </w:rPr>
        <w:t xml:space="preserve"> </w:t>
      </w:r>
      <w:r>
        <w:rPr>
          <w:i/>
          <w:sz w:val="18"/>
        </w:rPr>
        <w:t>US</w:t>
      </w:r>
      <w:r>
        <w:rPr>
          <w:i/>
          <w:spacing w:val="-2"/>
          <w:sz w:val="18"/>
        </w:rPr>
        <w:t xml:space="preserve"> </w:t>
      </w:r>
      <w:r>
        <w:rPr>
          <w:i/>
          <w:sz w:val="18"/>
        </w:rPr>
        <w:t>–</w:t>
      </w:r>
      <w:r>
        <w:rPr>
          <w:i/>
          <w:spacing w:val="-9"/>
          <w:sz w:val="18"/>
        </w:rPr>
        <w:t xml:space="preserve"> </w:t>
      </w:r>
      <w:r>
        <w:rPr>
          <w:i/>
          <w:sz w:val="18"/>
        </w:rPr>
        <w:t>Hot-Rolled</w:t>
      </w:r>
      <w:r>
        <w:rPr>
          <w:i/>
          <w:spacing w:val="-2"/>
          <w:sz w:val="18"/>
        </w:rPr>
        <w:t xml:space="preserve"> </w:t>
      </w:r>
      <w:r>
        <w:rPr>
          <w:i/>
          <w:sz w:val="18"/>
        </w:rPr>
        <w:t>Steel</w:t>
      </w:r>
      <w:r>
        <w:rPr>
          <w:sz w:val="18"/>
        </w:rPr>
        <w:t>,</w:t>
      </w:r>
      <w:r>
        <w:rPr>
          <w:spacing w:val="2"/>
          <w:sz w:val="18"/>
        </w:rPr>
        <w:t xml:space="preserve"> </w:t>
      </w:r>
      <w:r>
        <w:rPr>
          <w:sz w:val="18"/>
        </w:rPr>
        <w:t>para.</w:t>
      </w:r>
      <w:r>
        <w:rPr>
          <w:spacing w:val="-3"/>
          <w:sz w:val="18"/>
        </w:rPr>
        <w:t xml:space="preserve"> </w:t>
      </w:r>
      <w:r>
        <w:rPr>
          <w:sz w:val="18"/>
        </w:rPr>
        <w:t>102.</w:t>
      </w:r>
      <w:r>
        <w:rPr>
          <w:spacing w:val="-4"/>
          <w:sz w:val="18"/>
        </w:rPr>
        <w:t xml:space="preserve"> </w:t>
      </w:r>
      <w:r>
        <w:rPr>
          <w:sz w:val="18"/>
        </w:rPr>
        <w:t>(emphasis</w:t>
      </w:r>
      <w:r>
        <w:rPr>
          <w:spacing w:val="1"/>
          <w:sz w:val="18"/>
        </w:rPr>
        <w:t xml:space="preserve"> </w:t>
      </w:r>
      <w:r>
        <w:rPr>
          <w:spacing w:val="-2"/>
          <w:sz w:val="18"/>
        </w:rPr>
        <w:t>original)</w:t>
      </w:r>
    </w:p>
    <w:p w14:paraId="6301961F" w14:textId="77777777" w:rsidR="00BD462C" w:rsidRDefault="00033D0F">
      <w:pPr>
        <w:spacing w:before="1"/>
        <w:ind w:left="135" w:right="923"/>
        <w:rPr>
          <w:sz w:val="18"/>
        </w:rPr>
      </w:pPr>
      <w:bookmarkStart w:id="360" w:name="_bookmark311"/>
      <w:bookmarkEnd w:id="360"/>
      <w:r>
        <w:rPr>
          <w:position w:val="5"/>
          <w:sz w:val="12"/>
        </w:rPr>
        <w:t>245</w:t>
      </w:r>
      <w:r>
        <w:rPr>
          <w:spacing w:val="26"/>
          <w:position w:val="5"/>
          <w:sz w:val="12"/>
        </w:rPr>
        <w:t xml:space="preserve"> </w:t>
      </w:r>
      <w:r>
        <w:rPr>
          <w:sz w:val="18"/>
        </w:rPr>
        <w:t xml:space="preserve">See above paras. </w:t>
      </w:r>
      <w:hyperlink w:anchor="_bookmark268" w:history="1">
        <w:r>
          <w:rPr>
            <w:sz w:val="18"/>
          </w:rPr>
          <w:t>143</w:t>
        </w:r>
      </w:hyperlink>
      <w:hyperlink w:anchor="_bookmark273" w:history="1">
        <w:r>
          <w:rPr>
            <w:sz w:val="18"/>
          </w:rPr>
          <w:t>-146.</w:t>
        </w:r>
      </w:hyperlink>
      <w:r>
        <w:rPr>
          <w:sz w:val="18"/>
        </w:rPr>
        <w:t xml:space="preserve"> See also Australia's response to Panel question No. 3, paras. 17-24. At section </w:t>
      </w:r>
      <w:hyperlink w:anchor="_bookmark1362" w:history="1">
        <w:r>
          <w:rPr>
            <w:sz w:val="18"/>
          </w:rPr>
          <w:t>VII.D.4</w:t>
        </w:r>
      </w:hyperlink>
      <w:r>
        <w:rPr>
          <w:sz w:val="18"/>
        </w:rPr>
        <w:t xml:space="preserve"> of this submission, Australia explains how MOFCOM failed to give due consideration to Treasury</w:t>
      </w:r>
      <w:r>
        <w:rPr>
          <w:spacing w:val="-1"/>
          <w:sz w:val="18"/>
        </w:rPr>
        <w:t xml:space="preserve"> </w:t>
      </w:r>
      <w:r>
        <w:rPr>
          <w:sz w:val="18"/>
        </w:rPr>
        <w:t>Wines' extension request.</w:t>
      </w:r>
    </w:p>
    <w:p w14:paraId="4EE920A7" w14:textId="77777777" w:rsidR="00BD462C" w:rsidRDefault="00BD462C">
      <w:pPr>
        <w:rPr>
          <w:sz w:val="18"/>
        </w:rPr>
        <w:sectPr w:rsidR="00BD462C">
          <w:pgSz w:w="11910" w:h="16840"/>
          <w:pgMar w:top="860" w:right="500" w:bottom="780" w:left="1280" w:header="566" w:footer="590" w:gutter="0"/>
          <w:cols w:space="720"/>
        </w:sectPr>
      </w:pPr>
    </w:p>
    <w:p w14:paraId="609692B7" w14:textId="77777777" w:rsidR="00BD462C" w:rsidRDefault="00033D0F">
      <w:pPr>
        <w:tabs>
          <w:tab w:val="left" w:pos="6087"/>
        </w:tabs>
        <w:spacing w:before="1"/>
        <w:ind w:left="135"/>
        <w:jc w:val="both"/>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0B874D7A" w14:textId="77777777" w:rsidR="00BD462C" w:rsidRDefault="00033D0F">
      <w:pPr>
        <w:spacing w:before="1"/>
        <w:ind w:left="135"/>
        <w:jc w:val="both"/>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60B3F060" w14:textId="77777777" w:rsidR="00BD462C" w:rsidRDefault="00033D0F">
      <w:pPr>
        <w:tabs>
          <w:tab w:val="left" w:pos="7652"/>
        </w:tabs>
        <w:ind w:left="135"/>
        <w:jc w:val="both"/>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72196F69" w14:textId="52144605" w:rsidR="00BD462C" w:rsidRDefault="009B7B7C">
      <w:pPr>
        <w:pStyle w:val="BodyText"/>
        <w:spacing w:before="102" w:line="360" w:lineRule="auto"/>
        <w:ind w:left="135" w:right="918"/>
        <w:jc w:val="both"/>
      </w:pPr>
      <w:r>
        <w:t>of</w:t>
      </w:r>
      <w:r>
        <w:rPr>
          <w:spacing w:val="26"/>
        </w:rPr>
        <w:t xml:space="preserve"> </w:t>
      </w:r>
      <w:r>
        <w:t>Annex</w:t>
      </w:r>
      <w:r>
        <w:rPr>
          <w:spacing w:val="28"/>
        </w:rPr>
        <w:t xml:space="preserve"> </w:t>
      </w:r>
      <w:r>
        <w:t>II,</w:t>
      </w:r>
      <w:r>
        <w:rPr>
          <w:spacing w:val="30"/>
        </w:rPr>
        <w:t xml:space="preserve"> </w:t>
      </w:r>
      <w:r>
        <w:rPr>
          <w:spacing w:val="-5"/>
        </w:rPr>
        <w:t>and</w:t>
      </w:r>
      <w:r>
        <w:t xml:space="preserve"> </w:t>
      </w:r>
      <w:r w:rsidR="00033D0F">
        <w:t>MOFCOM</w:t>
      </w:r>
      <w:r w:rsidR="00033D0F">
        <w:rPr>
          <w:spacing w:val="-14"/>
        </w:rPr>
        <w:t xml:space="preserve"> </w:t>
      </w:r>
      <w:r w:rsidR="00033D0F">
        <w:t>should</w:t>
      </w:r>
      <w:r w:rsidR="00033D0F">
        <w:rPr>
          <w:spacing w:val="-14"/>
        </w:rPr>
        <w:t xml:space="preserve"> </w:t>
      </w:r>
      <w:r w:rsidR="00033D0F">
        <w:t>have</w:t>
      </w:r>
      <w:r w:rsidR="00033D0F">
        <w:rPr>
          <w:spacing w:val="-13"/>
        </w:rPr>
        <w:t xml:space="preserve"> </w:t>
      </w:r>
      <w:r w:rsidR="00033D0F">
        <w:t>taken</w:t>
      </w:r>
      <w:r w:rsidR="00033D0F">
        <w:rPr>
          <w:spacing w:val="-14"/>
        </w:rPr>
        <w:t xml:space="preserve"> </w:t>
      </w:r>
      <w:r w:rsidR="00033D0F">
        <w:t>it</w:t>
      </w:r>
      <w:r w:rsidR="00033D0F">
        <w:rPr>
          <w:spacing w:val="-13"/>
        </w:rPr>
        <w:t xml:space="preserve"> </w:t>
      </w:r>
      <w:r w:rsidR="00033D0F">
        <w:t>into</w:t>
      </w:r>
      <w:r w:rsidR="00033D0F">
        <w:rPr>
          <w:spacing w:val="-14"/>
        </w:rPr>
        <w:t xml:space="preserve"> </w:t>
      </w:r>
      <w:r w:rsidR="00033D0F">
        <w:t>account</w:t>
      </w:r>
      <w:r w:rsidR="00033D0F">
        <w:rPr>
          <w:spacing w:val="-13"/>
        </w:rPr>
        <w:t xml:space="preserve"> </w:t>
      </w:r>
      <w:r w:rsidR="00033D0F">
        <w:t>when</w:t>
      </w:r>
      <w:r w:rsidR="00033D0F">
        <w:rPr>
          <w:spacing w:val="-14"/>
        </w:rPr>
        <w:t xml:space="preserve"> </w:t>
      </w:r>
      <w:r w:rsidR="00033D0F">
        <w:t>making</w:t>
      </w:r>
      <w:r w:rsidR="00033D0F">
        <w:rPr>
          <w:spacing w:val="-14"/>
        </w:rPr>
        <w:t xml:space="preserve"> </w:t>
      </w:r>
      <w:r w:rsidR="00033D0F">
        <w:t>determinations.</w:t>
      </w:r>
      <w:r w:rsidR="00033D0F">
        <w:rPr>
          <w:spacing w:val="-13"/>
        </w:rPr>
        <w:t xml:space="preserve"> </w:t>
      </w:r>
      <w:r w:rsidR="00033D0F">
        <w:t>China's</w:t>
      </w:r>
      <w:r w:rsidR="00033D0F">
        <w:rPr>
          <w:spacing w:val="-14"/>
        </w:rPr>
        <w:t xml:space="preserve"> </w:t>
      </w:r>
      <w:r w:rsidR="00033D0F">
        <w:t>contentions that the information did not meet two criteria, that the information was not supplied in a "timely fashion" and could not be used without "undue difficulties", are not supported by evidence on the record. China offers no rebuttal to Australia's claims that the information satisfied the other criteria of paragraph 3 of Annex II.</w:t>
      </w:r>
    </w:p>
    <w:p w14:paraId="54D3F57F" w14:textId="77777777" w:rsidR="00BD462C" w:rsidRDefault="00BD462C">
      <w:pPr>
        <w:pStyle w:val="BodyText"/>
        <w:spacing w:before="11"/>
        <w:rPr>
          <w:sz w:val="8"/>
        </w:rPr>
      </w:pPr>
    </w:p>
    <w:p w14:paraId="627DE7C5" w14:textId="06D86F8D" w:rsidR="00BD462C" w:rsidRDefault="00033D0F" w:rsidP="009B7B7C">
      <w:pPr>
        <w:pStyle w:val="BodyText"/>
        <w:numPr>
          <w:ilvl w:val="0"/>
          <w:numId w:val="69"/>
        </w:numPr>
        <w:spacing w:before="56" w:line="357" w:lineRule="auto"/>
        <w:ind w:right="915"/>
        <w:jc w:val="both"/>
      </w:pPr>
      <w:r>
        <w:rPr>
          <w:position w:val="1"/>
        </w:rPr>
        <w:t>Even</w:t>
      </w:r>
      <w:r>
        <w:rPr>
          <w:spacing w:val="-8"/>
          <w:position w:val="1"/>
        </w:rPr>
        <w:t xml:space="preserve"> </w:t>
      </w:r>
      <w:r>
        <w:rPr>
          <w:position w:val="1"/>
        </w:rPr>
        <w:t>if</w:t>
      </w:r>
      <w:r>
        <w:rPr>
          <w:spacing w:val="-9"/>
          <w:position w:val="1"/>
        </w:rPr>
        <w:t xml:space="preserve"> </w:t>
      </w:r>
      <w:r>
        <w:rPr>
          <w:position w:val="1"/>
        </w:rPr>
        <w:t>the</w:t>
      </w:r>
      <w:r>
        <w:rPr>
          <w:spacing w:val="-6"/>
          <w:position w:val="1"/>
        </w:rPr>
        <w:t xml:space="preserve"> </w:t>
      </w:r>
      <w:r>
        <w:rPr>
          <w:position w:val="1"/>
        </w:rPr>
        <w:t>Panel</w:t>
      </w:r>
      <w:r>
        <w:rPr>
          <w:spacing w:val="-5"/>
          <w:position w:val="1"/>
        </w:rPr>
        <w:t xml:space="preserve"> </w:t>
      </w:r>
      <w:r>
        <w:rPr>
          <w:position w:val="1"/>
        </w:rPr>
        <w:t>were</w:t>
      </w:r>
      <w:r>
        <w:rPr>
          <w:spacing w:val="-6"/>
          <w:position w:val="1"/>
        </w:rPr>
        <w:t xml:space="preserve"> </w:t>
      </w:r>
      <w:r>
        <w:rPr>
          <w:position w:val="1"/>
        </w:rPr>
        <w:t>to</w:t>
      </w:r>
      <w:r>
        <w:rPr>
          <w:spacing w:val="-10"/>
          <w:position w:val="1"/>
        </w:rPr>
        <w:t xml:space="preserve"> </w:t>
      </w:r>
      <w:r>
        <w:rPr>
          <w:position w:val="1"/>
        </w:rPr>
        <w:t>consider</w:t>
      </w:r>
      <w:r>
        <w:rPr>
          <w:spacing w:val="-9"/>
          <w:position w:val="1"/>
        </w:rPr>
        <w:t xml:space="preserve"> </w:t>
      </w:r>
      <w:r>
        <w:rPr>
          <w:position w:val="1"/>
        </w:rPr>
        <w:t>that</w:t>
      </w:r>
      <w:r>
        <w:rPr>
          <w:spacing w:val="-7"/>
          <w:position w:val="1"/>
        </w:rPr>
        <w:t xml:space="preserve"> </w:t>
      </w:r>
      <w:r>
        <w:rPr>
          <w:position w:val="1"/>
        </w:rPr>
        <w:t>the</w:t>
      </w:r>
      <w:r>
        <w:rPr>
          <w:spacing w:val="-6"/>
          <w:position w:val="1"/>
        </w:rPr>
        <w:t xml:space="preserve"> </w:t>
      </w:r>
      <w:r>
        <w:rPr>
          <w:position w:val="1"/>
        </w:rPr>
        <w:t>information</w:t>
      </w:r>
      <w:r>
        <w:rPr>
          <w:spacing w:val="-9"/>
          <w:position w:val="1"/>
        </w:rPr>
        <w:t xml:space="preserve"> </w:t>
      </w:r>
      <w:r>
        <w:rPr>
          <w:position w:val="1"/>
        </w:rPr>
        <w:t>submitted</w:t>
      </w:r>
      <w:r>
        <w:rPr>
          <w:spacing w:val="-8"/>
          <w:position w:val="1"/>
        </w:rPr>
        <w:t xml:space="preserve"> </w:t>
      </w:r>
      <w:r>
        <w:rPr>
          <w:position w:val="1"/>
        </w:rPr>
        <w:t>by</w:t>
      </w:r>
      <w:r>
        <w:rPr>
          <w:spacing w:val="-6"/>
          <w:position w:val="1"/>
        </w:rPr>
        <w:t xml:space="preserve"> </w:t>
      </w:r>
      <w:r>
        <w:rPr>
          <w:position w:val="1"/>
        </w:rPr>
        <w:t>Treasury</w:t>
      </w:r>
      <w:r>
        <w:rPr>
          <w:spacing w:val="-5"/>
          <w:position w:val="1"/>
        </w:rPr>
        <w:t xml:space="preserve"> </w:t>
      </w:r>
      <w:r>
        <w:rPr>
          <w:position w:val="1"/>
        </w:rPr>
        <w:t xml:space="preserve">Wines </w:t>
      </w:r>
      <w:r>
        <w:t>was</w:t>
      </w:r>
      <w:r>
        <w:rPr>
          <w:spacing w:val="-7"/>
        </w:rPr>
        <w:t xml:space="preserve"> </w:t>
      </w:r>
      <w:r>
        <w:t>not</w:t>
      </w:r>
      <w:r>
        <w:rPr>
          <w:spacing w:val="-8"/>
        </w:rPr>
        <w:t xml:space="preserve"> </w:t>
      </w:r>
      <w:r>
        <w:t>ideal,</w:t>
      </w:r>
      <w:r>
        <w:rPr>
          <w:spacing w:val="-6"/>
        </w:rPr>
        <w:t xml:space="preserve"> </w:t>
      </w:r>
      <w:r>
        <w:t>the</w:t>
      </w:r>
      <w:r>
        <w:rPr>
          <w:spacing w:val="-8"/>
        </w:rPr>
        <w:t xml:space="preserve"> </w:t>
      </w:r>
      <w:r>
        <w:t>evidence</w:t>
      </w:r>
      <w:r>
        <w:rPr>
          <w:spacing w:val="-8"/>
        </w:rPr>
        <w:t xml:space="preserve"> </w:t>
      </w:r>
      <w:r>
        <w:t>on</w:t>
      </w:r>
      <w:r>
        <w:rPr>
          <w:spacing w:val="-10"/>
        </w:rPr>
        <w:t xml:space="preserve"> </w:t>
      </w:r>
      <w:r>
        <w:t>the</w:t>
      </w:r>
      <w:r>
        <w:rPr>
          <w:spacing w:val="-8"/>
        </w:rPr>
        <w:t xml:space="preserve"> </w:t>
      </w:r>
      <w:r>
        <w:t>record</w:t>
      </w:r>
      <w:r>
        <w:rPr>
          <w:spacing w:val="-5"/>
        </w:rPr>
        <w:t xml:space="preserve"> </w:t>
      </w:r>
      <w:r>
        <w:t>directly</w:t>
      </w:r>
      <w:r>
        <w:rPr>
          <w:spacing w:val="-7"/>
        </w:rPr>
        <w:t xml:space="preserve"> </w:t>
      </w:r>
      <w:r>
        <w:t>contradicts</w:t>
      </w:r>
      <w:r>
        <w:rPr>
          <w:spacing w:val="-7"/>
        </w:rPr>
        <w:t xml:space="preserve"> </w:t>
      </w:r>
      <w:r>
        <w:t>China's</w:t>
      </w:r>
      <w:r>
        <w:rPr>
          <w:spacing w:val="-7"/>
        </w:rPr>
        <w:t xml:space="preserve"> </w:t>
      </w:r>
      <w:r>
        <w:t>assertions</w:t>
      </w:r>
      <w:r>
        <w:rPr>
          <w:spacing w:val="-7"/>
        </w:rPr>
        <w:t xml:space="preserve"> </w:t>
      </w:r>
      <w:r>
        <w:t>that</w:t>
      </w:r>
      <w:r>
        <w:rPr>
          <w:spacing w:val="-8"/>
        </w:rPr>
        <w:t xml:space="preserve"> </w:t>
      </w:r>
      <w:r>
        <w:t>Treasury Wines</w:t>
      </w:r>
      <w:r>
        <w:rPr>
          <w:spacing w:val="-6"/>
        </w:rPr>
        <w:t xml:space="preserve"> </w:t>
      </w:r>
      <w:r>
        <w:t>did</w:t>
      </w:r>
      <w:r>
        <w:rPr>
          <w:spacing w:val="-9"/>
        </w:rPr>
        <w:t xml:space="preserve"> </w:t>
      </w:r>
      <w:r>
        <w:t>not</w:t>
      </w:r>
      <w:r>
        <w:rPr>
          <w:spacing w:val="-7"/>
        </w:rPr>
        <w:t xml:space="preserve"> </w:t>
      </w:r>
      <w:r>
        <w:t>act</w:t>
      </w:r>
      <w:r>
        <w:rPr>
          <w:spacing w:val="-7"/>
        </w:rPr>
        <w:t xml:space="preserve"> </w:t>
      </w:r>
      <w:r>
        <w:t>to</w:t>
      </w:r>
      <w:r>
        <w:rPr>
          <w:spacing w:val="-10"/>
        </w:rPr>
        <w:t xml:space="preserve"> </w:t>
      </w:r>
      <w:r>
        <w:t>the</w:t>
      </w:r>
      <w:r>
        <w:rPr>
          <w:spacing w:val="-7"/>
        </w:rPr>
        <w:t xml:space="preserve"> </w:t>
      </w:r>
      <w:r>
        <w:t>best</w:t>
      </w:r>
      <w:r>
        <w:rPr>
          <w:spacing w:val="-7"/>
        </w:rPr>
        <w:t xml:space="preserve"> </w:t>
      </w:r>
      <w:r>
        <w:t>of</w:t>
      </w:r>
      <w:r>
        <w:rPr>
          <w:spacing w:val="-9"/>
        </w:rPr>
        <w:t xml:space="preserve"> </w:t>
      </w:r>
      <w:r>
        <w:t>its</w:t>
      </w:r>
      <w:r>
        <w:rPr>
          <w:spacing w:val="-6"/>
        </w:rPr>
        <w:t xml:space="preserve"> </w:t>
      </w:r>
      <w:r>
        <w:t>ability</w:t>
      </w:r>
      <w:r>
        <w:rPr>
          <w:spacing w:val="-6"/>
        </w:rPr>
        <w:t xml:space="preserve"> </w:t>
      </w:r>
      <w:r>
        <w:t>and</w:t>
      </w:r>
      <w:r>
        <w:rPr>
          <w:spacing w:val="-9"/>
        </w:rPr>
        <w:t xml:space="preserve"> </w:t>
      </w:r>
      <w:r>
        <w:t>did</w:t>
      </w:r>
      <w:r>
        <w:rPr>
          <w:spacing w:val="-9"/>
        </w:rPr>
        <w:t xml:space="preserve"> </w:t>
      </w:r>
      <w:r>
        <w:t>not</w:t>
      </w:r>
      <w:r>
        <w:rPr>
          <w:spacing w:val="-7"/>
        </w:rPr>
        <w:t xml:space="preserve"> </w:t>
      </w:r>
      <w:r>
        <w:t>demonstrate</w:t>
      </w:r>
      <w:r>
        <w:rPr>
          <w:spacing w:val="-7"/>
        </w:rPr>
        <w:t xml:space="preserve"> </w:t>
      </w:r>
      <w:r>
        <w:t>a</w:t>
      </w:r>
      <w:r>
        <w:rPr>
          <w:spacing w:val="-8"/>
        </w:rPr>
        <w:t xml:space="preserve"> </w:t>
      </w:r>
      <w:r>
        <w:t>willingness</w:t>
      </w:r>
      <w:r>
        <w:rPr>
          <w:spacing w:val="-6"/>
        </w:rPr>
        <w:t xml:space="preserve"> </w:t>
      </w:r>
      <w:r>
        <w:t>to</w:t>
      </w:r>
      <w:r>
        <w:rPr>
          <w:spacing w:val="-10"/>
        </w:rPr>
        <w:t xml:space="preserve"> </w:t>
      </w:r>
      <w:r>
        <w:t>cooperate. MOFCOM was not permitted to disregard all information submitted by Treasury Wines in Forms</w:t>
      </w:r>
      <w:r>
        <w:rPr>
          <w:spacing w:val="-2"/>
        </w:rPr>
        <w:t xml:space="preserve"> </w:t>
      </w:r>
      <w:r>
        <w:t>6-1-1,</w:t>
      </w:r>
      <w:r>
        <w:rPr>
          <w:spacing w:val="-2"/>
        </w:rPr>
        <w:t xml:space="preserve"> </w:t>
      </w:r>
      <w:r>
        <w:t>6-1-2,</w:t>
      </w:r>
      <w:r>
        <w:rPr>
          <w:spacing w:val="-2"/>
        </w:rPr>
        <w:t xml:space="preserve"> </w:t>
      </w:r>
      <w:r>
        <w:t>6-3</w:t>
      </w:r>
      <w:r>
        <w:rPr>
          <w:spacing w:val="-6"/>
        </w:rPr>
        <w:t xml:space="preserve"> </w:t>
      </w:r>
      <w:r>
        <w:t>and</w:t>
      </w:r>
      <w:r>
        <w:rPr>
          <w:spacing w:val="-1"/>
        </w:rPr>
        <w:t xml:space="preserve"> </w:t>
      </w:r>
      <w:r>
        <w:t>6-4</w:t>
      </w:r>
      <w:r>
        <w:rPr>
          <w:spacing w:val="-1"/>
        </w:rPr>
        <w:t xml:space="preserve"> </w:t>
      </w:r>
      <w:r>
        <w:t>on</w:t>
      </w:r>
      <w:r>
        <w:rPr>
          <w:spacing w:val="-5"/>
        </w:rPr>
        <w:t xml:space="preserve"> </w:t>
      </w:r>
      <w:r>
        <w:t>the</w:t>
      </w:r>
      <w:r>
        <w:rPr>
          <w:spacing w:val="-4"/>
        </w:rPr>
        <w:t xml:space="preserve"> </w:t>
      </w:r>
      <w:r>
        <w:t>premise</w:t>
      </w:r>
      <w:r>
        <w:rPr>
          <w:spacing w:val="-3"/>
        </w:rPr>
        <w:t xml:space="preserve"> </w:t>
      </w:r>
      <w:r>
        <w:t>that</w:t>
      </w:r>
      <w:r>
        <w:rPr>
          <w:spacing w:val="-3"/>
        </w:rPr>
        <w:t xml:space="preserve"> </w:t>
      </w:r>
      <w:r>
        <w:t>the</w:t>
      </w:r>
      <w:r>
        <w:rPr>
          <w:spacing w:val="-4"/>
        </w:rPr>
        <w:t xml:space="preserve"> </w:t>
      </w:r>
      <w:r>
        <w:t>company</w:t>
      </w:r>
      <w:r>
        <w:rPr>
          <w:spacing w:val="-2"/>
        </w:rPr>
        <w:t xml:space="preserve"> </w:t>
      </w:r>
      <w:r>
        <w:t>did</w:t>
      </w:r>
      <w:r>
        <w:rPr>
          <w:spacing w:val="-5"/>
        </w:rPr>
        <w:t xml:space="preserve"> </w:t>
      </w:r>
      <w:r>
        <w:t>not</w:t>
      </w:r>
      <w:r>
        <w:rPr>
          <w:spacing w:val="-3"/>
        </w:rPr>
        <w:t xml:space="preserve"> </w:t>
      </w:r>
      <w:r>
        <w:t>act</w:t>
      </w:r>
      <w:r>
        <w:rPr>
          <w:spacing w:val="-3"/>
        </w:rPr>
        <w:t xml:space="preserve"> </w:t>
      </w:r>
      <w:r>
        <w:t>to</w:t>
      </w:r>
      <w:r>
        <w:rPr>
          <w:spacing w:val="-6"/>
        </w:rPr>
        <w:t xml:space="preserve"> </w:t>
      </w:r>
      <w:r>
        <w:t>the</w:t>
      </w:r>
      <w:r>
        <w:rPr>
          <w:spacing w:val="-4"/>
        </w:rPr>
        <w:t xml:space="preserve"> </w:t>
      </w:r>
      <w:r>
        <w:t>best</w:t>
      </w:r>
      <w:r>
        <w:rPr>
          <w:spacing w:val="-3"/>
        </w:rPr>
        <w:t xml:space="preserve"> </w:t>
      </w:r>
      <w:r>
        <w:t>of</w:t>
      </w:r>
      <w:r>
        <w:rPr>
          <w:spacing w:val="-5"/>
        </w:rPr>
        <w:t xml:space="preserve"> </w:t>
      </w:r>
      <w:r>
        <w:t xml:space="preserve">its </w:t>
      </w:r>
      <w:r>
        <w:rPr>
          <w:spacing w:val="-2"/>
        </w:rPr>
        <w:t>ability.</w:t>
      </w:r>
    </w:p>
    <w:p w14:paraId="13315A38" w14:textId="77777777" w:rsidR="00BD462C" w:rsidRDefault="00BD462C">
      <w:pPr>
        <w:pStyle w:val="BodyText"/>
        <w:spacing w:before="8"/>
        <w:rPr>
          <w:sz w:val="9"/>
        </w:rPr>
      </w:pPr>
    </w:p>
    <w:p w14:paraId="675ECE2A" w14:textId="2AAB13BB" w:rsidR="00BD462C" w:rsidRDefault="00033D0F" w:rsidP="009B7B7C">
      <w:pPr>
        <w:pStyle w:val="BodyText"/>
        <w:numPr>
          <w:ilvl w:val="0"/>
          <w:numId w:val="69"/>
        </w:numPr>
        <w:spacing w:before="56" w:line="357" w:lineRule="auto"/>
        <w:ind w:right="919"/>
        <w:jc w:val="both"/>
      </w:pPr>
      <w:r>
        <w:rPr>
          <w:position w:val="1"/>
        </w:rPr>
        <w:t>Based on the reasons set out above and in Australia's previous submissions, China</w:t>
      </w:r>
      <w:r>
        <w:rPr>
          <w:spacing w:val="40"/>
          <w:position w:val="1"/>
        </w:rPr>
        <w:t xml:space="preserve"> </w:t>
      </w:r>
      <w:r>
        <w:t>has failed to rebut Australia's claims that MOFCOM acted inconsistently with Article 6.8 and paragraphs 3 and 5 of Annex II.</w:t>
      </w:r>
    </w:p>
    <w:p w14:paraId="3B180776" w14:textId="77777777" w:rsidR="00BD462C" w:rsidRDefault="00033D0F" w:rsidP="00DA02D9">
      <w:pPr>
        <w:pStyle w:val="Heading3"/>
        <w:numPr>
          <w:ilvl w:val="0"/>
          <w:numId w:val="70"/>
        </w:numPr>
        <w:tabs>
          <w:tab w:val="left" w:pos="2689"/>
          <w:tab w:val="left" w:pos="2690"/>
        </w:tabs>
        <w:spacing w:before="165"/>
      </w:pPr>
      <w:bookmarkStart w:id="361" w:name="6._MOFCOM_acted_inconsistently_with_para"/>
      <w:bookmarkStart w:id="362" w:name="_bookmark312"/>
      <w:bookmarkEnd w:id="361"/>
      <w:bookmarkEnd w:id="362"/>
      <w:r>
        <w:t>MOFCOM</w:t>
      </w:r>
      <w:r>
        <w:rPr>
          <w:spacing w:val="-4"/>
        </w:rPr>
        <w:t xml:space="preserve"> </w:t>
      </w:r>
      <w:r>
        <w:t>acted</w:t>
      </w:r>
      <w:r>
        <w:rPr>
          <w:spacing w:val="-3"/>
        </w:rPr>
        <w:t xml:space="preserve"> </w:t>
      </w:r>
      <w:r>
        <w:t>inconsistently</w:t>
      </w:r>
      <w:r>
        <w:rPr>
          <w:spacing w:val="-2"/>
        </w:rPr>
        <w:t xml:space="preserve"> </w:t>
      </w:r>
      <w:r>
        <w:t>with</w:t>
      </w:r>
      <w:r>
        <w:rPr>
          <w:spacing w:val="-3"/>
        </w:rPr>
        <w:t xml:space="preserve"> </w:t>
      </w:r>
      <w:r>
        <w:t>paragraph</w:t>
      </w:r>
      <w:r>
        <w:rPr>
          <w:spacing w:val="-4"/>
        </w:rPr>
        <w:t xml:space="preserve"> </w:t>
      </w:r>
      <w:r>
        <w:t>6</w:t>
      </w:r>
      <w:r>
        <w:rPr>
          <w:spacing w:val="-5"/>
        </w:rPr>
        <w:t xml:space="preserve"> </w:t>
      </w:r>
      <w:r>
        <w:t>of</w:t>
      </w:r>
      <w:r>
        <w:rPr>
          <w:spacing w:val="-4"/>
        </w:rPr>
        <w:t xml:space="preserve"> </w:t>
      </w:r>
      <w:r>
        <w:t>Annex</w:t>
      </w:r>
      <w:r>
        <w:rPr>
          <w:spacing w:val="-3"/>
        </w:rPr>
        <w:t xml:space="preserve"> </w:t>
      </w:r>
      <w:r>
        <w:rPr>
          <w:spacing w:val="-5"/>
        </w:rPr>
        <w:t>II</w:t>
      </w:r>
    </w:p>
    <w:p w14:paraId="23E30A6B" w14:textId="77777777" w:rsidR="00BD462C" w:rsidRDefault="00BD462C">
      <w:pPr>
        <w:pStyle w:val="BodyText"/>
        <w:spacing w:before="11"/>
        <w:rPr>
          <w:b/>
          <w:sz w:val="20"/>
        </w:rPr>
      </w:pPr>
    </w:p>
    <w:p w14:paraId="58136876" w14:textId="09C7E6D3" w:rsidR="00BD462C" w:rsidRDefault="00033D0F" w:rsidP="009B7B7C">
      <w:pPr>
        <w:pStyle w:val="BodyText"/>
        <w:numPr>
          <w:ilvl w:val="0"/>
          <w:numId w:val="69"/>
        </w:numPr>
        <w:spacing w:before="56" w:line="360" w:lineRule="auto"/>
        <w:ind w:right="916"/>
        <w:jc w:val="both"/>
      </w:pPr>
      <w:r>
        <w:rPr>
          <w:position w:val="1"/>
        </w:rPr>
        <w:t xml:space="preserve">Australia sets out the extent of its claims with respect to paragraph 6 of Annex II in </w:t>
      </w:r>
      <w:r>
        <w:t>its response to Panel question No. 1.</w:t>
      </w:r>
      <w:r>
        <w:rPr>
          <w:spacing w:val="-14"/>
        </w:rPr>
        <w:t xml:space="preserve"> </w:t>
      </w:r>
      <w:hyperlink w:anchor="_bookmark315" w:history="1">
        <w:r>
          <w:rPr>
            <w:vertAlign w:val="superscript"/>
          </w:rPr>
          <w:t>246</w:t>
        </w:r>
      </w:hyperlink>
      <w:r>
        <w:t xml:space="preserve"> In this section, Australia responds to China's arguments concerning the scope of paragraph 6 of Annex II, and that MOFCOM informed Treasury Wines "forthwith" of the reasons for rejecting information.</w:t>
      </w:r>
    </w:p>
    <w:p w14:paraId="7B9B5C8B" w14:textId="77777777" w:rsidR="00BD462C" w:rsidRDefault="00033D0F" w:rsidP="00DA02D9">
      <w:pPr>
        <w:pStyle w:val="ListParagraph"/>
        <w:numPr>
          <w:ilvl w:val="1"/>
          <w:numId w:val="70"/>
        </w:numPr>
        <w:tabs>
          <w:tab w:val="left" w:pos="3539"/>
          <w:tab w:val="left" w:pos="3540"/>
        </w:tabs>
        <w:spacing w:before="158"/>
        <w:ind w:hanging="851"/>
        <w:jc w:val="both"/>
        <w:rPr>
          <w:sz w:val="24"/>
        </w:rPr>
      </w:pPr>
      <w:bookmarkStart w:id="363" w:name="(a)_China's_interpretation_of_paragraph_"/>
      <w:bookmarkStart w:id="364" w:name="_bookmark313"/>
      <w:bookmarkEnd w:id="363"/>
      <w:bookmarkEnd w:id="364"/>
      <w:r>
        <w:rPr>
          <w:sz w:val="24"/>
          <w:u w:val="single"/>
        </w:rPr>
        <w:t>China's</w:t>
      </w:r>
      <w:r>
        <w:rPr>
          <w:spacing w:val="-3"/>
          <w:sz w:val="24"/>
          <w:u w:val="single"/>
        </w:rPr>
        <w:t xml:space="preserve"> </w:t>
      </w:r>
      <w:r>
        <w:rPr>
          <w:sz w:val="24"/>
          <w:u w:val="single"/>
        </w:rPr>
        <w:t>interpretation</w:t>
      </w:r>
      <w:r>
        <w:rPr>
          <w:spacing w:val="-5"/>
          <w:sz w:val="24"/>
          <w:u w:val="single"/>
        </w:rPr>
        <w:t xml:space="preserve"> </w:t>
      </w:r>
      <w:r>
        <w:rPr>
          <w:sz w:val="24"/>
          <w:u w:val="single"/>
        </w:rPr>
        <w:t>of</w:t>
      </w:r>
      <w:r>
        <w:rPr>
          <w:spacing w:val="-5"/>
          <w:sz w:val="24"/>
          <w:u w:val="single"/>
        </w:rPr>
        <w:t xml:space="preserve"> </w:t>
      </w:r>
      <w:r>
        <w:rPr>
          <w:sz w:val="24"/>
          <w:u w:val="single"/>
        </w:rPr>
        <w:t>paragraph</w:t>
      </w:r>
      <w:r>
        <w:rPr>
          <w:spacing w:val="-5"/>
          <w:sz w:val="24"/>
          <w:u w:val="single"/>
        </w:rPr>
        <w:t xml:space="preserve"> </w:t>
      </w:r>
      <w:r>
        <w:rPr>
          <w:sz w:val="24"/>
          <w:u w:val="single"/>
        </w:rPr>
        <w:t>6</w:t>
      </w:r>
      <w:r>
        <w:rPr>
          <w:spacing w:val="-2"/>
          <w:sz w:val="24"/>
          <w:u w:val="single"/>
        </w:rPr>
        <w:t xml:space="preserve"> </w:t>
      </w:r>
      <w:r>
        <w:rPr>
          <w:sz w:val="24"/>
          <w:u w:val="single"/>
        </w:rPr>
        <w:t>is</w:t>
      </w:r>
      <w:r>
        <w:rPr>
          <w:spacing w:val="-2"/>
          <w:sz w:val="24"/>
          <w:u w:val="single"/>
        </w:rPr>
        <w:t xml:space="preserve"> </w:t>
      </w:r>
      <w:r>
        <w:rPr>
          <w:sz w:val="24"/>
          <w:u w:val="single"/>
        </w:rPr>
        <w:t>unduly</w:t>
      </w:r>
      <w:r>
        <w:rPr>
          <w:spacing w:val="-2"/>
          <w:sz w:val="24"/>
          <w:u w:val="single"/>
        </w:rPr>
        <w:t xml:space="preserve"> narrow</w:t>
      </w:r>
    </w:p>
    <w:p w14:paraId="123A2CFF" w14:textId="77777777" w:rsidR="00BD462C" w:rsidRDefault="00BD462C">
      <w:pPr>
        <w:pStyle w:val="BodyText"/>
        <w:spacing w:before="11"/>
        <w:rPr>
          <w:sz w:val="20"/>
        </w:rPr>
      </w:pPr>
    </w:p>
    <w:p w14:paraId="5CDCE6B6" w14:textId="3C51E692" w:rsidR="00BD462C" w:rsidRDefault="009B7B7C" w:rsidP="009B7B7C">
      <w:pPr>
        <w:pStyle w:val="BodyText"/>
        <w:numPr>
          <w:ilvl w:val="0"/>
          <w:numId w:val="69"/>
        </w:numPr>
        <w:spacing w:before="56" w:line="357" w:lineRule="auto"/>
        <w:ind w:right="916"/>
        <w:jc w:val="both"/>
      </w:pPr>
      <w:r>
        <w:rPr>
          <w:position w:val="1"/>
        </w:rPr>
        <w:t>C</w:t>
      </w:r>
      <w:r w:rsidR="00033D0F">
        <w:rPr>
          <w:position w:val="1"/>
        </w:rPr>
        <w:t xml:space="preserve">hina argues that pursuant to paragraph 6 of Annex II, parties "must </w:t>
      </w:r>
      <w:r w:rsidR="00033D0F">
        <w:rPr>
          <w:i/>
          <w:position w:val="1"/>
        </w:rPr>
        <w:t xml:space="preserve">only </w:t>
      </w:r>
      <w:r w:rsidR="00033D0F">
        <w:rPr>
          <w:position w:val="1"/>
        </w:rPr>
        <w:t xml:space="preserve">get an </w:t>
      </w:r>
      <w:r w:rsidR="00033D0F">
        <w:t>opportunity</w:t>
      </w:r>
      <w:r w:rsidR="00033D0F">
        <w:rPr>
          <w:spacing w:val="-4"/>
        </w:rPr>
        <w:t xml:space="preserve"> </w:t>
      </w:r>
      <w:r w:rsidR="00033D0F">
        <w:t>to 'provide further explanations'".</w:t>
      </w:r>
      <w:r w:rsidR="00033D0F">
        <w:rPr>
          <w:spacing w:val="-14"/>
        </w:rPr>
        <w:t xml:space="preserve"> </w:t>
      </w:r>
      <w:hyperlink w:anchor="_bookmark316" w:history="1">
        <w:r w:rsidR="00033D0F">
          <w:rPr>
            <w:vertAlign w:val="superscript"/>
          </w:rPr>
          <w:t>247</w:t>
        </w:r>
      </w:hyperlink>
      <w:r w:rsidR="00033D0F">
        <w:t xml:space="preserve"> Citing the panel in </w:t>
      </w:r>
      <w:r w:rsidR="00033D0F">
        <w:rPr>
          <w:i/>
        </w:rPr>
        <w:t>Korea – Certain Paper</w:t>
      </w:r>
      <w:r w:rsidR="00033D0F">
        <w:t>, China argues that paragraph 6 does not give interested parties a second chance to submit information.</w:t>
      </w:r>
      <w:r w:rsidR="00033D0F">
        <w:rPr>
          <w:spacing w:val="-34"/>
        </w:rPr>
        <w:t xml:space="preserve"> </w:t>
      </w:r>
      <w:hyperlink w:anchor="_bookmark317" w:history="1">
        <w:r w:rsidR="00033D0F">
          <w:rPr>
            <w:vertAlign w:val="superscript"/>
          </w:rPr>
          <w:t>248</w:t>
        </w:r>
      </w:hyperlink>
    </w:p>
    <w:p w14:paraId="218BB72D" w14:textId="77777777" w:rsidR="00BD462C" w:rsidRDefault="00BD462C">
      <w:pPr>
        <w:pStyle w:val="BodyText"/>
        <w:spacing w:before="3"/>
        <w:rPr>
          <w:sz w:val="9"/>
        </w:rPr>
      </w:pPr>
    </w:p>
    <w:p w14:paraId="07FEF1C6" w14:textId="638E5339" w:rsidR="00BD462C" w:rsidRDefault="00033D0F" w:rsidP="009B7B7C">
      <w:pPr>
        <w:pStyle w:val="BodyText"/>
        <w:numPr>
          <w:ilvl w:val="0"/>
          <w:numId w:val="69"/>
        </w:numPr>
        <w:spacing w:before="56" w:line="357" w:lineRule="auto"/>
        <w:ind w:right="910"/>
      </w:pPr>
      <w:r>
        <w:rPr>
          <w:position w:val="1"/>
        </w:rPr>
        <w:t xml:space="preserve">There is no support for China's assertion. First, the factual circumstances in </w:t>
      </w:r>
      <w:r>
        <w:rPr>
          <w:i/>
          <w:position w:val="1"/>
        </w:rPr>
        <w:t xml:space="preserve">Korea – </w:t>
      </w:r>
      <w:r>
        <w:rPr>
          <w:i/>
        </w:rPr>
        <w:t>Certain</w:t>
      </w:r>
      <w:r>
        <w:rPr>
          <w:i/>
          <w:spacing w:val="56"/>
        </w:rPr>
        <w:t xml:space="preserve"> </w:t>
      </w:r>
      <w:r>
        <w:rPr>
          <w:i/>
        </w:rPr>
        <w:t>Paper</w:t>
      </w:r>
      <w:r>
        <w:rPr>
          <w:i/>
          <w:spacing w:val="54"/>
        </w:rPr>
        <w:t xml:space="preserve"> </w:t>
      </w:r>
      <w:r>
        <w:t>must</w:t>
      </w:r>
      <w:r>
        <w:rPr>
          <w:spacing w:val="56"/>
        </w:rPr>
        <w:t xml:space="preserve"> </w:t>
      </w:r>
      <w:r>
        <w:t>be</w:t>
      </w:r>
      <w:r>
        <w:rPr>
          <w:spacing w:val="55"/>
        </w:rPr>
        <w:t xml:space="preserve"> </w:t>
      </w:r>
      <w:r>
        <w:t>distinguished</w:t>
      </w:r>
      <w:r>
        <w:rPr>
          <w:spacing w:val="53"/>
        </w:rPr>
        <w:t xml:space="preserve"> </w:t>
      </w:r>
      <w:r>
        <w:t>from</w:t>
      </w:r>
      <w:r>
        <w:rPr>
          <w:spacing w:val="59"/>
        </w:rPr>
        <w:t xml:space="preserve"> </w:t>
      </w:r>
      <w:r>
        <w:t>those</w:t>
      </w:r>
      <w:r>
        <w:rPr>
          <w:spacing w:val="55"/>
        </w:rPr>
        <w:t xml:space="preserve"> </w:t>
      </w:r>
      <w:r>
        <w:t>before</w:t>
      </w:r>
      <w:r>
        <w:rPr>
          <w:spacing w:val="55"/>
        </w:rPr>
        <w:t xml:space="preserve"> </w:t>
      </w:r>
      <w:r>
        <w:t>the</w:t>
      </w:r>
      <w:r>
        <w:rPr>
          <w:spacing w:val="55"/>
        </w:rPr>
        <w:t xml:space="preserve"> </w:t>
      </w:r>
      <w:r>
        <w:t>Panel.</w:t>
      </w:r>
      <w:r>
        <w:rPr>
          <w:spacing w:val="56"/>
        </w:rPr>
        <w:t xml:space="preserve"> </w:t>
      </w:r>
      <w:r>
        <w:t>In</w:t>
      </w:r>
      <w:r>
        <w:rPr>
          <w:spacing w:val="53"/>
        </w:rPr>
        <w:t xml:space="preserve"> </w:t>
      </w:r>
      <w:r>
        <w:t>that</w:t>
      </w:r>
      <w:r>
        <w:rPr>
          <w:spacing w:val="60"/>
        </w:rPr>
        <w:t xml:space="preserve"> </w:t>
      </w:r>
      <w:r>
        <w:t>dispute,</w:t>
      </w:r>
      <w:r>
        <w:rPr>
          <w:spacing w:val="57"/>
        </w:rPr>
        <w:t xml:space="preserve"> </w:t>
      </w:r>
      <w:r>
        <w:rPr>
          <w:spacing w:val="-5"/>
        </w:rPr>
        <w:t>the</w:t>
      </w:r>
    </w:p>
    <w:p w14:paraId="5A8DE3CA" w14:textId="40F2C33C" w:rsidR="00BD462C" w:rsidRDefault="0084302F">
      <w:pPr>
        <w:pStyle w:val="BodyText"/>
        <w:spacing w:before="10"/>
        <w:rPr>
          <w:sz w:val="29"/>
        </w:rPr>
      </w:pPr>
      <w:r>
        <w:rPr>
          <w:noProof/>
        </w:rPr>
        <mc:AlternateContent>
          <mc:Choice Requires="wps">
            <w:drawing>
              <wp:anchor distT="0" distB="0" distL="0" distR="0" simplePos="0" relativeHeight="488024576" behindDoc="1" locked="0" layoutInCell="1" allowOverlap="1" wp14:anchorId="3C38AB1D" wp14:editId="30A2B032">
                <wp:simplePos x="0" y="0"/>
                <wp:positionH relativeFrom="page">
                  <wp:posOffset>812800</wp:posOffset>
                </wp:positionH>
                <wp:positionV relativeFrom="paragraph">
                  <wp:posOffset>232410</wp:posOffset>
                </wp:positionV>
                <wp:extent cx="1828800" cy="8890"/>
                <wp:effectExtent l="0" t="0" r="0" b="0"/>
                <wp:wrapTopAndBottom/>
                <wp:docPr id="1438" name="docshape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BE997E" id="docshape113" o:spid="_x0000_s1026" alt="&quot;&quot;" style="position:absolute;margin-left:64pt;margin-top:18.3pt;width:2in;height:.7pt;z-index:-15291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" fillcolor="black" stroked="f">
                <w10:wrap type="topAndBottom" anchorx="page"/>
              </v:rect>
            </w:pict>
          </mc:Fallback>
        </mc:AlternateContent>
      </w:r>
    </w:p>
    <w:p w14:paraId="10689254" w14:textId="77777777" w:rsidR="00BD462C" w:rsidRDefault="00033D0F">
      <w:pPr>
        <w:spacing w:before="112"/>
        <w:ind w:left="135"/>
        <w:rPr>
          <w:sz w:val="18"/>
        </w:rPr>
      </w:pPr>
      <w:bookmarkStart w:id="365" w:name="_bookmark315"/>
      <w:bookmarkEnd w:id="365"/>
      <w:r>
        <w:rPr>
          <w:position w:val="5"/>
          <w:sz w:val="12"/>
        </w:rPr>
        <w:t>246</w:t>
      </w:r>
      <w:r>
        <w:rPr>
          <w:spacing w:val="14"/>
          <w:position w:val="5"/>
          <w:sz w:val="12"/>
        </w:rPr>
        <w:t xml:space="preserve"> </w:t>
      </w:r>
      <w:r>
        <w:rPr>
          <w:sz w:val="18"/>
        </w:rPr>
        <w:t>Australia's response</w:t>
      </w:r>
      <w:r>
        <w:rPr>
          <w:spacing w:val="-5"/>
          <w:sz w:val="18"/>
        </w:rPr>
        <w:t xml:space="preserve"> </w:t>
      </w:r>
      <w:r>
        <w:rPr>
          <w:sz w:val="18"/>
        </w:rPr>
        <w:t>to</w:t>
      </w:r>
      <w:r>
        <w:rPr>
          <w:spacing w:val="-6"/>
          <w:sz w:val="18"/>
        </w:rPr>
        <w:t xml:space="preserve"> </w:t>
      </w:r>
      <w:r>
        <w:rPr>
          <w:sz w:val="18"/>
        </w:rPr>
        <w:t>Panel</w:t>
      </w:r>
      <w:r>
        <w:rPr>
          <w:spacing w:val="-3"/>
          <w:sz w:val="18"/>
        </w:rPr>
        <w:t xml:space="preserve"> </w:t>
      </w:r>
      <w:r>
        <w:rPr>
          <w:sz w:val="18"/>
        </w:rPr>
        <w:t>question</w:t>
      </w:r>
      <w:r>
        <w:rPr>
          <w:spacing w:val="-6"/>
          <w:sz w:val="18"/>
        </w:rPr>
        <w:t xml:space="preserve"> </w:t>
      </w:r>
      <w:r>
        <w:rPr>
          <w:sz w:val="18"/>
        </w:rPr>
        <w:t>No.</w:t>
      </w:r>
      <w:r>
        <w:rPr>
          <w:spacing w:val="-4"/>
          <w:sz w:val="18"/>
        </w:rPr>
        <w:t xml:space="preserve"> </w:t>
      </w:r>
      <w:r>
        <w:rPr>
          <w:sz w:val="18"/>
        </w:rPr>
        <w:t>1,</w:t>
      </w:r>
      <w:r>
        <w:rPr>
          <w:spacing w:val="-2"/>
          <w:sz w:val="18"/>
        </w:rPr>
        <w:t xml:space="preserve"> </w:t>
      </w:r>
      <w:r>
        <w:rPr>
          <w:sz w:val="18"/>
        </w:rPr>
        <w:t>paras.</w:t>
      </w:r>
      <w:r>
        <w:rPr>
          <w:spacing w:val="1"/>
          <w:sz w:val="18"/>
        </w:rPr>
        <w:t xml:space="preserve"> </w:t>
      </w:r>
      <w:r>
        <w:rPr>
          <w:sz w:val="18"/>
        </w:rPr>
        <w:t>4-</w:t>
      </w:r>
      <w:r>
        <w:rPr>
          <w:spacing w:val="-5"/>
          <w:sz w:val="18"/>
        </w:rPr>
        <w:t>9.</w:t>
      </w:r>
    </w:p>
    <w:p w14:paraId="16C2611B" w14:textId="77777777" w:rsidR="00BD462C" w:rsidRDefault="00033D0F">
      <w:pPr>
        <w:spacing w:before="1"/>
        <w:ind w:left="135"/>
        <w:rPr>
          <w:sz w:val="18"/>
        </w:rPr>
      </w:pPr>
      <w:bookmarkStart w:id="366" w:name="_bookmark316"/>
      <w:bookmarkEnd w:id="366"/>
      <w:r>
        <w:rPr>
          <w:position w:val="5"/>
          <w:sz w:val="12"/>
        </w:rPr>
        <w:t>247</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 xml:space="preserve">submission, para. </w:t>
      </w:r>
      <w:r>
        <w:rPr>
          <w:spacing w:val="-4"/>
          <w:sz w:val="18"/>
        </w:rPr>
        <w:t>229.</w:t>
      </w:r>
    </w:p>
    <w:p w14:paraId="3A141250" w14:textId="77777777" w:rsidR="00BD462C" w:rsidRDefault="00033D0F">
      <w:pPr>
        <w:spacing w:before="1"/>
        <w:ind w:left="135"/>
        <w:rPr>
          <w:sz w:val="18"/>
        </w:rPr>
      </w:pPr>
      <w:bookmarkStart w:id="367" w:name="_bookmark317"/>
      <w:bookmarkEnd w:id="367"/>
      <w:r>
        <w:rPr>
          <w:position w:val="5"/>
          <w:sz w:val="12"/>
        </w:rPr>
        <w:t>248</w:t>
      </w:r>
      <w:r>
        <w:rPr>
          <w:spacing w:val="13"/>
          <w:position w:val="5"/>
          <w:sz w:val="12"/>
        </w:rPr>
        <w:t xml:space="preserve"> </w:t>
      </w:r>
      <w:r>
        <w:rPr>
          <w:sz w:val="18"/>
        </w:rPr>
        <w:t>China's</w:t>
      </w:r>
      <w:r>
        <w:rPr>
          <w:spacing w:val="-5"/>
          <w:sz w:val="18"/>
        </w:rPr>
        <w:t xml:space="preserve"> </w:t>
      </w:r>
      <w:r>
        <w:rPr>
          <w:sz w:val="18"/>
        </w:rPr>
        <w:t>first</w:t>
      </w:r>
      <w:r>
        <w:rPr>
          <w:spacing w:val="-4"/>
          <w:sz w:val="18"/>
        </w:rPr>
        <w:t xml:space="preserve"> </w:t>
      </w:r>
      <w:r>
        <w:rPr>
          <w:sz w:val="18"/>
        </w:rPr>
        <w:t>written</w:t>
      </w:r>
      <w:r>
        <w:rPr>
          <w:spacing w:val="-6"/>
          <w:sz w:val="18"/>
        </w:rPr>
        <w:t xml:space="preserve"> </w:t>
      </w:r>
      <w:r>
        <w:rPr>
          <w:sz w:val="18"/>
        </w:rPr>
        <w:t>submission,</w:t>
      </w:r>
      <w:r>
        <w:rPr>
          <w:spacing w:val="2"/>
          <w:sz w:val="18"/>
        </w:rPr>
        <w:t xml:space="preserve"> </w:t>
      </w:r>
      <w:r>
        <w:rPr>
          <w:sz w:val="18"/>
        </w:rPr>
        <w:t>para. 228</w:t>
      </w:r>
      <w:r>
        <w:rPr>
          <w:spacing w:val="-10"/>
          <w:sz w:val="18"/>
        </w:rPr>
        <w:t xml:space="preserve"> </w:t>
      </w:r>
      <w:r>
        <w:rPr>
          <w:sz w:val="18"/>
        </w:rPr>
        <w:t>(citing</w:t>
      </w:r>
      <w:r>
        <w:rPr>
          <w:spacing w:val="-5"/>
          <w:sz w:val="18"/>
        </w:rPr>
        <w:t xml:space="preserve"> </w:t>
      </w:r>
      <w:r>
        <w:rPr>
          <w:sz w:val="18"/>
        </w:rPr>
        <w:t>Panel</w:t>
      </w:r>
      <w:r>
        <w:rPr>
          <w:spacing w:val="-5"/>
          <w:sz w:val="18"/>
        </w:rPr>
        <w:t xml:space="preserve"> </w:t>
      </w:r>
      <w:r>
        <w:rPr>
          <w:sz w:val="18"/>
        </w:rPr>
        <w:t>Report,</w:t>
      </w:r>
      <w:r>
        <w:rPr>
          <w:spacing w:val="-3"/>
          <w:sz w:val="18"/>
        </w:rPr>
        <w:t xml:space="preserve"> </w:t>
      </w:r>
      <w:r>
        <w:rPr>
          <w:i/>
          <w:sz w:val="18"/>
        </w:rPr>
        <w:t>Korea</w:t>
      </w:r>
      <w:r>
        <w:rPr>
          <w:i/>
          <w:spacing w:val="-4"/>
          <w:sz w:val="18"/>
        </w:rPr>
        <w:t xml:space="preserve"> </w:t>
      </w:r>
      <w:r>
        <w:rPr>
          <w:i/>
          <w:sz w:val="18"/>
        </w:rPr>
        <w:t>–</w:t>
      </w:r>
      <w:r>
        <w:rPr>
          <w:i/>
          <w:spacing w:val="-5"/>
          <w:sz w:val="18"/>
        </w:rPr>
        <w:t xml:space="preserve"> </w:t>
      </w:r>
      <w:r>
        <w:rPr>
          <w:i/>
          <w:sz w:val="18"/>
        </w:rPr>
        <w:t>Certain</w:t>
      </w:r>
      <w:r>
        <w:rPr>
          <w:i/>
          <w:spacing w:val="-4"/>
          <w:sz w:val="18"/>
        </w:rPr>
        <w:t xml:space="preserve"> </w:t>
      </w:r>
      <w:r>
        <w:rPr>
          <w:i/>
          <w:sz w:val="18"/>
        </w:rPr>
        <w:t>Paper</w:t>
      </w:r>
      <w:r>
        <w:rPr>
          <w:sz w:val="18"/>
        </w:rPr>
        <w:t>,</w:t>
      </w:r>
      <w:r>
        <w:rPr>
          <w:spacing w:val="-3"/>
          <w:sz w:val="18"/>
        </w:rPr>
        <w:t xml:space="preserve"> </w:t>
      </w:r>
      <w:r>
        <w:rPr>
          <w:sz w:val="18"/>
        </w:rPr>
        <w:t>para.</w:t>
      </w:r>
      <w:r>
        <w:rPr>
          <w:spacing w:val="-4"/>
          <w:sz w:val="18"/>
        </w:rPr>
        <w:t xml:space="preserve"> </w:t>
      </w:r>
      <w:r>
        <w:rPr>
          <w:spacing w:val="-2"/>
          <w:sz w:val="18"/>
        </w:rPr>
        <w:t>7.85).</w:t>
      </w:r>
    </w:p>
    <w:p w14:paraId="2F0F682C" w14:textId="77777777" w:rsidR="00BD462C" w:rsidRDefault="00BD462C">
      <w:pPr>
        <w:rPr>
          <w:sz w:val="18"/>
        </w:rPr>
        <w:sectPr w:rsidR="00BD462C">
          <w:pgSz w:w="11910" w:h="16840"/>
          <w:pgMar w:top="860" w:right="500" w:bottom="780" w:left="1280" w:header="566" w:footer="590" w:gutter="0"/>
          <w:cols w:space="720"/>
        </w:sectPr>
      </w:pPr>
    </w:p>
    <w:p w14:paraId="7D1C230B" w14:textId="77777777" w:rsidR="00BD462C" w:rsidRDefault="00033D0F">
      <w:pPr>
        <w:tabs>
          <w:tab w:val="left" w:pos="6087"/>
        </w:tabs>
        <w:spacing w:before="1"/>
        <w:ind w:left="135"/>
        <w:jc w:val="both"/>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3B794CA4" w14:textId="77777777" w:rsidR="00BD462C" w:rsidRDefault="00033D0F">
      <w:pPr>
        <w:spacing w:before="1"/>
        <w:ind w:left="135"/>
        <w:jc w:val="both"/>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377DFBEE" w14:textId="77777777" w:rsidR="00BD462C" w:rsidRDefault="00033D0F">
      <w:pPr>
        <w:tabs>
          <w:tab w:val="left" w:pos="7652"/>
        </w:tabs>
        <w:ind w:left="135"/>
        <w:jc w:val="both"/>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7736B6D2" w14:textId="77777777" w:rsidR="00BD462C" w:rsidRDefault="00033D0F">
      <w:pPr>
        <w:pStyle w:val="BodyText"/>
        <w:spacing w:before="102" w:line="360" w:lineRule="auto"/>
        <w:ind w:left="135" w:right="912"/>
        <w:jc w:val="both"/>
      </w:pPr>
      <w:r>
        <w:t>respondent company did</w:t>
      </w:r>
      <w:r>
        <w:rPr>
          <w:spacing w:val="-2"/>
        </w:rPr>
        <w:t xml:space="preserve"> </w:t>
      </w:r>
      <w:r>
        <w:t>not submit any information</w:t>
      </w:r>
      <w:r>
        <w:rPr>
          <w:spacing w:val="-2"/>
        </w:rPr>
        <w:t xml:space="preserve"> </w:t>
      </w:r>
      <w:r>
        <w:t>initially concerning sales made</w:t>
      </w:r>
      <w:r>
        <w:rPr>
          <w:spacing w:val="-5"/>
        </w:rPr>
        <w:t xml:space="preserve"> </w:t>
      </w:r>
      <w:r>
        <w:t>through an</w:t>
      </w:r>
      <w:r>
        <w:rPr>
          <w:spacing w:val="-14"/>
        </w:rPr>
        <w:t xml:space="preserve"> </w:t>
      </w:r>
      <w:r>
        <w:t>affiliated</w:t>
      </w:r>
      <w:r>
        <w:rPr>
          <w:spacing w:val="-14"/>
        </w:rPr>
        <w:t xml:space="preserve"> </w:t>
      </w:r>
      <w:r>
        <w:t>company.</w:t>
      </w:r>
      <w:r>
        <w:rPr>
          <w:spacing w:val="-13"/>
        </w:rPr>
        <w:t xml:space="preserve"> </w:t>
      </w:r>
      <w:hyperlink w:anchor="_bookmark319" w:history="1">
        <w:r>
          <w:rPr>
            <w:vertAlign w:val="superscript"/>
          </w:rPr>
          <w:t>249</w:t>
        </w:r>
      </w:hyperlink>
      <w:r>
        <w:rPr>
          <w:spacing w:val="-14"/>
        </w:rPr>
        <w:t xml:space="preserve"> </w:t>
      </w:r>
      <w:r>
        <w:t>Subsequently,</w:t>
      </w:r>
      <w:r>
        <w:rPr>
          <w:spacing w:val="-9"/>
        </w:rPr>
        <w:t xml:space="preserve"> </w:t>
      </w:r>
      <w:r>
        <w:t>after</w:t>
      </w:r>
      <w:r>
        <w:rPr>
          <w:spacing w:val="-11"/>
        </w:rPr>
        <w:t xml:space="preserve"> </w:t>
      </w:r>
      <w:r>
        <w:t>being</w:t>
      </w:r>
      <w:r>
        <w:rPr>
          <w:spacing w:val="-7"/>
        </w:rPr>
        <w:t xml:space="preserve"> </w:t>
      </w:r>
      <w:r>
        <w:t>informed</w:t>
      </w:r>
      <w:r>
        <w:rPr>
          <w:spacing w:val="-5"/>
        </w:rPr>
        <w:t xml:space="preserve"> </w:t>
      </w:r>
      <w:r>
        <w:t>by</w:t>
      </w:r>
      <w:r>
        <w:rPr>
          <w:spacing w:val="-7"/>
        </w:rPr>
        <w:t xml:space="preserve"> </w:t>
      </w:r>
      <w:r>
        <w:t>the</w:t>
      </w:r>
      <w:r>
        <w:rPr>
          <w:spacing w:val="-8"/>
        </w:rPr>
        <w:t xml:space="preserve"> </w:t>
      </w:r>
      <w:r>
        <w:t>investigating</w:t>
      </w:r>
      <w:r>
        <w:rPr>
          <w:spacing w:val="-7"/>
        </w:rPr>
        <w:t xml:space="preserve"> </w:t>
      </w:r>
      <w:r>
        <w:t>authority</w:t>
      </w:r>
      <w:r>
        <w:rPr>
          <w:spacing w:val="-7"/>
        </w:rPr>
        <w:t xml:space="preserve"> </w:t>
      </w:r>
      <w:r>
        <w:t>of the defects, the respondent company submitted</w:t>
      </w:r>
      <w:r>
        <w:rPr>
          <w:spacing w:val="-1"/>
        </w:rPr>
        <w:t xml:space="preserve"> </w:t>
      </w:r>
      <w:r>
        <w:t>sales information pertaining to</w:t>
      </w:r>
      <w:r>
        <w:rPr>
          <w:spacing w:val="-1"/>
        </w:rPr>
        <w:t xml:space="preserve"> </w:t>
      </w:r>
      <w:r>
        <w:t>its affiliated company</w:t>
      </w:r>
      <w:r>
        <w:rPr>
          <w:spacing w:val="-12"/>
        </w:rPr>
        <w:t xml:space="preserve"> </w:t>
      </w:r>
      <w:r>
        <w:t>for</w:t>
      </w:r>
      <w:r>
        <w:rPr>
          <w:spacing w:val="-14"/>
        </w:rPr>
        <w:t xml:space="preserve"> </w:t>
      </w:r>
      <w:r>
        <w:t>the</w:t>
      </w:r>
      <w:r>
        <w:rPr>
          <w:spacing w:val="-7"/>
        </w:rPr>
        <w:t xml:space="preserve"> </w:t>
      </w:r>
      <w:r>
        <w:t>first</w:t>
      </w:r>
      <w:r>
        <w:rPr>
          <w:spacing w:val="-11"/>
        </w:rPr>
        <w:t xml:space="preserve"> </w:t>
      </w:r>
      <w:r>
        <w:t>time</w:t>
      </w:r>
      <w:r>
        <w:rPr>
          <w:spacing w:val="-12"/>
        </w:rPr>
        <w:t xml:space="preserve"> </w:t>
      </w:r>
      <w:r>
        <w:t>in</w:t>
      </w:r>
      <w:r>
        <w:rPr>
          <w:spacing w:val="-14"/>
        </w:rPr>
        <w:t xml:space="preserve"> </w:t>
      </w:r>
      <w:r>
        <w:t>the</w:t>
      </w:r>
      <w:r>
        <w:rPr>
          <w:spacing w:val="-12"/>
        </w:rPr>
        <w:t xml:space="preserve"> </w:t>
      </w:r>
      <w:r>
        <w:t>investigation.</w:t>
      </w:r>
      <w:r>
        <w:rPr>
          <w:spacing w:val="-11"/>
        </w:rPr>
        <w:t xml:space="preserve"> </w:t>
      </w:r>
      <w:r>
        <w:t>In</w:t>
      </w:r>
      <w:r>
        <w:rPr>
          <w:spacing w:val="-14"/>
        </w:rPr>
        <w:t xml:space="preserve"> </w:t>
      </w:r>
      <w:r>
        <w:t>the</w:t>
      </w:r>
      <w:r>
        <w:rPr>
          <w:spacing w:val="-12"/>
        </w:rPr>
        <w:t xml:space="preserve"> </w:t>
      </w:r>
      <w:r>
        <w:t>underlying</w:t>
      </w:r>
      <w:r>
        <w:rPr>
          <w:spacing w:val="-10"/>
        </w:rPr>
        <w:t xml:space="preserve"> </w:t>
      </w:r>
      <w:r>
        <w:t>investigation,</w:t>
      </w:r>
      <w:r>
        <w:rPr>
          <w:spacing w:val="-10"/>
        </w:rPr>
        <w:t xml:space="preserve"> </w:t>
      </w:r>
      <w:r>
        <w:t>Treasury</w:t>
      </w:r>
      <w:r>
        <w:rPr>
          <w:spacing w:val="-11"/>
        </w:rPr>
        <w:t xml:space="preserve"> </w:t>
      </w:r>
      <w:r>
        <w:t>Wines provided</w:t>
      </w:r>
      <w:r>
        <w:rPr>
          <w:spacing w:val="-10"/>
        </w:rPr>
        <w:t xml:space="preserve"> </w:t>
      </w:r>
      <w:r>
        <w:t>a</w:t>
      </w:r>
      <w:r>
        <w:rPr>
          <w:spacing w:val="-9"/>
        </w:rPr>
        <w:t xml:space="preserve"> </w:t>
      </w:r>
      <w:r>
        <w:t>comprehensive</w:t>
      </w:r>
      <w:r>
        <w:rPr>
          <w:spacing w:val="-8"/>
        </w:rPr>
        <w:t xml:space="preserve"> </w:t>
      </w:r>
      <w:r>
        <w:t>and</w:t>
      </w:r>
      <w:r>
        <w:rPr>
          <w:spacing w:val="-10"/>
        </w:rPr>
        <w:t xml:space="preserve"> </w:t>
      </w:r>
      <w:r>
        <w:t>timely</w:t>
      </w:r>
      <w:r>
        <w:rPr>
          <w:spacing w:val="-7"/>
        </w:rPr>
        <w:t xml:space="preserve"> </w:t>
      </w:r>
      <w:r>
        <w:t>response</w:t>
      </w:r>
      <w:r>
        <w:rPr>
          <w:spacing w:val="-8"/>
        </w:rPr>
        <w:t xml:space="preserve"> </w:t>
      </w:r>
      <w:r>
        <w:t>to</w:t>
      </w:r>
      <w:r>
        <w:rPr>
          <w:spacing w:val="-10"/>
        </w:rPr>
        <w:t xml:space="preserve"> </w:t>
      </w:r>
      <w:r>
        <w:t>the</w:t>
      </w:r>
      <w:r>
        <w:rPr>
          <w:spacing w:val="-8"/>
        </w:rPr>
        <w:t xml:space="preserve"> </w:t>
      </w:r>
      <w:r>
        <w:t>Anti-Dumping</w:t>
      </w:r>
      <w:r>
        <w:rPr>
          <w:spacing w:val="-7"/>
        </w:rPr>
        <w:t xml:space="preserve"> </w:t>
      </w:r>
      <w:r>
        <w:t>Questionnaire,</w:t>
      </w:r>
      <w:r>
        <w:rPr>
          <w:spacing w:val="-6"/>
        </w:rPr>
        <w:t xml:space="preserve"> </w:t>
      </w:r>
      <w:r>
        <w:t>including detailed responses to all requested forms. This is not a situation where Treasury Wines submitted</w:t>
      </w:r>
      <w:r>
        <w:rPr>
          <w:spacing w:val="40"/>
        </w:rPr>
        <w:t xml:space="preserve"> </w:t>
      </w:r>
      <w:r>
        <w:t>new</w:t>
      </w:r>
      <w:r>
        <w:rPr>
          <w:spacing w:val="40"/>
        </w:rPr>
        <w:t xml:space="preserve"> </w:t>
      </w:r>
      <w:r>
        <w:t>information,</w:t>
      </w:r>
      <w:r>
        <w:rPr>
          <w:spacing w:val="40"/>
        </w:rPr>
        <w:t xml:space="preserve"> </w:t>
      </w:r>
      <w:r>
        <w:t>as</w:t>
      </w:r>
      <w:r>
        <w:rPr>
          <w:spacing w:val="40"/>
        </w:rPr>
        <w:t xml:space="preserve"> </w:t>
      </w:r>
      <w:r>
        <w:t>was</w:t>
      </w:r>
      <w:r>
        <w:rPr>
          <w:spacing w:val="40"/>
        </w:rPr>
        <w:t xml:space="preserve"> </w:t>
      </w:r>
      <w:r>
        <w:t>the</w:t>
      </w:r>
      <w:r>
        <w:rPr>
          <w:spacing w:val="40"/>
        </w:rPr>
        <w:t xml:space="preserve"> </w:t>
      </w:r>
      <w:r>
        <w:t>case</w:t>
      </w:r>
      <w:r>
        <w:rPr>
          <w:spacing w:val="40"/>
        </w:rPr>
        <w:t xml:space="preserve"> </w:t>
      </w:r>
      <w:r>
        <w:t>in</w:t>
      </w:r>
      <w:r>
        <w:rPr>
          <w:spacing w:val="40"/>
        </w:rPr>
        <w:t xml:space="preserve"> </w:t>
      </w:r>
      <w:r>
        <w:rPr>
          <w:i/>
        </w:rPr>
        <w:t>Korea</w:t>
      </w:r>
      <w:r>
        <w:rPr>
          <w:i/>
          <w:spacing w:val="40"/>
        </w:rPr>
        <w:t xml:space="preserve"> </w:t>
      </w:r>
      <w:r>
        <w:rPr>
          <w:i/>
        </w:rPr>
        <w:t>–</w:t>
      </w:r>
      <w:r>
        <w:rPr>
          <w:i/>
          <w:spacing w:val="40"/>
        </w:rPr>
        <w:t xml:space="preserve"> </w:t>
      </w:r>
      <w:r>
        <w:rPr>
          <w:i/>
        </w:rPr>
        <w:t>Certain</w:t>
      </w:r>
      <w:r>
        <w:rPr>
          <w:i/>
          <w:spacing w:val="40"/>
        </w:rPr>
        <w:t xml:space="preserve"> </w:t>
      </w:r>
      <w:r>
        <w:rPr>
          <w:i/>
        </w:rPr>
        <w:t>Paper</w:t>
      </w:r>
      <w:r>
        <w:t>,</w:t>
      </w:r>
      <w:r>
        <w:rPr>
          <w:spacing w:val="40"/>
        </w:rPr>
        <w:t xml:space="preserve"> </w:t>
      </w:r>
      <w:r>
        <w:t>but</w:t>
      </w:r>
      <w:r>
        <w:rPr>
          <w:spacing w:val="40"/>
        </w:rPr>
        <w:t xml:space="preserve"> </w:t>
      </w:r>
      <w:r>
        <w:t>rather Treasury Wines "resubmitted"</w:t>
      </w:r>
      <w:r>
        <w:rPr>
          <w:spacing w:val="-2"/>
        </w:rPr>
        <w:t xml:space="preserve"> </w:t>
      </w:r>
      <w:r>
        <w:t>forms with</w:t>
      </w:r>
      <w:r>
        <w:rPr>
          <w:spacing w:val="-3"/>
        </w:rPr>
        <w:t xml:space="preserve"> </w:t>
      </w:r>
      <w:r>
        <w:t>information</w:t>
      </w:r>
      <w:r>
        <w:rPr>
          <w:spacing w:val="-3"/>
        </w:rPr>
        <w:t xml:space="preserve"> </w:t>
      </w:r>
      <w:r>
        <w:t>to</w:t>
      </w:r>
      <w:r>
        <w:rPr>
          <w:spacing w:val="-4"/>
        </w:rPr>
        <w:t xml:space="preserve"> </w:t>
      </w:r>
      <w:r>
        <w:t>supplement</w:t>
      </w:r>
      <w:r>
        <w:rPr>
          <w:spacing w:val="-1"/>
        </w:rPr>
        <w:t xml:space="preserve"> </w:t>
      </w:r>
      <w:r>
        <w:t>what</w:t>
      </w:r>
      <w:r>
        <w:rPr>
          <w:spacing w:val="-1"/>
        </w:rPr>
        <w:t xml:space="preserve"> </w:t>
      </w:r>
      <w:r>
        <w:t>had already been provided. Indeed, MOFCOM subsequently requested supplementary information in its Supplementary Questionnaire, confirming that the provision of additional, but connected information was a routine part of MOFCOM's investigation.</w:t>
      </w:r>
    </w:p>
    <w:p w14:paraId="09107C92" w14:textId="77777777" w:rsidR="00BD462C" w:rsidRDefault="00BD462C">
      <w:pPr>
        <w:pStyle w:val="BodyText"/>
        <w:spacing w:before="9"/>
        <w:rPr>
          <w:sz w:val="8"/>
        </w:rPr>
      </w:pPr>
    </w:p>
    <w:p w14:paraId="5ACB814E" w14:textId="77777777" w:rsidR="009B7B7C" w:rsidRPr="009B7B7C" w:rsidRDefault="009B7B7C" w:rsidP="009B7B7C">
      <w:pPr>
        <w:pStyle w:val="BodyText"/>
        <w:numPr>
          <w:ilvl w:val="0"/>
          <w:numId w:val="69"/>
        </w:numPr>
        <w:spacing w:before="6" w:line="357" w:lineRule="auto"/>
        <w:ind w:right="917"/>
        <w:jc w:val="both"/>
        <w:rPr>
          <w:sz w:val="23"/>
        </w:rPr>
      </w:pPr>
      <w:r w:rsidRPr="009B7B7C">
        <w:rPr>
          <w:position w:val="1"/>
        </w:rPr>
        <w:t>S</w:t>
      </w:r>
      <w:r w:rsidR="00033D0F" w:rsidRPr="009B7B7C">
        <w:rPr>
          <w:position w:val="1"/>
        </w:rPr>
        <w:t xml:space="preserve">econd, China's distinction between "explanations" and "information" is tenuous at </w:t>
      </w:r>
      <w:r w:rsidR="00033D0F">
        <w:t xml:space="preserve">best. The ordinary meaning of "explanations", in the context of paragraph 6 of Annex II, is "[t]he </w:t>
      </w:r>
      <w:proofErr w:type="gramStart"/>
      <w:r w:rsidR="00033D0F">
        <w:t>action</w:t>
      </w:r>
      <w:proofErr w:type="gramEnd"/>
      <w:r w:rsidR="00033D0F">
        <w:t xml:space="preserve"> or process of explaining something."</w:t>
      </w:r>
      <w:hyperlink w:anchor="_bookmark320" w:history="1">
        <w:r w:rsidR="00033D0F" w:rsidRPr="009B7B7C">
          <w:rPr>
            <w:vertAlign w:val="superscript"/>
          </w:rPr>
          <w:t>250</w:t>
        </w:r>
      </w:hyperlink>
      <w:r w:rsidR="00033D0F">
        <w:t xml:space="preserve"> The action of explaining something may involve describing, </w:t>
      </w:r>
      <w:proofErr w:type="spellStart"/>
      <w:r w:rsidR="00033D0F">
        <w:t>analysing</w:t>
      </w:r>
      <w:proofErr w:type="spellEnd"/>
      <w:r w:rsidR="00033D0F">
        <w:t>, or providing information or evidence. As such, it is arbitrary to draw</w:t>
      </w:r>
      <w:r w:rsidR="00033D0F" w:rsidRPr="009B7B7C">
        <w:rPr>
          <w:spacing w:val="-2"/>
        </w:rPr>
        <w:t xml:space="preserve"> </w:t>
      </w:r>
      <w:r w:rsidR="00033D0F">
        <w:t>a</w:t>
      </w:r>
      <w:r w:rsidR="00033D0F" w:rsidRPr="009B7B7C">
        <w:rPr>
          <w:spacing w:val="-3"/>
        </w:rPr>
        <w:t xml:space="preserve"> </w:t>
      </w:r>
      <w:r w:rsidR="00033D0F">
        <w:t>distinction</w:t>
      </w:r>
      <w:r w:rsidR="00033D0F" w:rsidRPr="009B7B7C">
        <w:rPr>
          <w:spacing w:val="-4"/>
        </w:rPr>
        <w:t xml:space="preserve"> </w:t>
      </w:r>
      <w:r w:rsidR="00033D0F">
        <w:t>between</w:t>
      </w:r>
      <w:r w:rsidR="00033D0F" w:rsidRPr="009B7B7C">
        <w:rPr>
          <w:spacing w:val="-4"/>
        </w:rPr>
        <w:t xml:space="preserve"> </w:t>
      </w:r>
      <w:r w:rsidR="00033D0F">
        <w:t>explanations</w:t>
      </w:r>
      <w:r w:rsidR="00033D0F" w:rsidRPr="009B7B7C">
        <w:rPr>
          <w:spacing w:val="-1"/>
        </w:rPr>
        <w:t xml:space="preserve"> </w:t>
      </w:r>
      <w:r w:rsidR="00033D0F">
        <w:t>and</w:t>
      </w:r>
      <w:r w:rsidR="00033D0F" w:rsidRPr="009B7B7C">
        <w:rPr>
          <w:spacing w:val="-4"/>
        </w:rPr>
        <w:t xml:space="preserve"> </w:t>
      </w:r>
      <w:r w:rsidR="00033D0F">
        <w:t>information</w:t>
      </w:r>
      <w:r w:rsidR="00033D0F" w:rsidRPr="009B7B7C">
        <w:rPr>
          <w:spacing w:val="-4"/>
        </w:rPr>
        <w:t xml:space="preserve"> </w:t>
      </w:r>
      <w:r w:rsidR="00033D0F">
        <w:t>devoid</w:t>
      </w:r>
      <w:r w:rsidR="00033D0F" w:rsidRPr="009B7B7C">
        <w:rPr>
          <w:spacing w:val="-4"/>
        </w:rPr>
        <w:t xml:space="preserve"> </w:t>
      </w:r>
      <w:r w:rsidR="00033D0F">
        <w:t xml:space="preserve">from factual circumstances. In the underlying investigation, there was a clear nexus between the information requested, Treasury Wines' explanations, and information submitted in the context of those explanations. It possible to conceive of circumstances, such as the case in </w:t>
      </w:r>
      <w:r w:rsidR="00033D0F" w:rsidRPr="009B7B7C">
        <w:rPr>
          <w:i/>
        </w:rPr>
        <w:t>Korea – Certain Paper</w:t>
      </w:r>
      <w:r w:rsidR="00033D0F">
        <w:t>,</w:t>
      </w:r>
      <w:r w:rsidR="00033D0F" w:rsidRPr="009B7B7C">
        <w:rPr>
          <w:spacing w:val="-5"/>
        </w:rPr>
        <w:t xml:space="preserve"> </w:t>
      </w:r>
      <w:r w:rsidR="00033D0F">
        <w:t>where</w:t>
      </w:r>
      <w:r w:rsidR="00033D0F" w:rsidRPr="009B7B7C">
        <w:rPr>
          <w:spacing w:val="-7"/>
        </w:rPr>
        <w:t xml:space="preserve"> </w:t>
      </w:r>
      <w:r w:rsidR="00033D0F">
        <w:t>there</w:t>
      </w:r>
      <w:r w:rsidR="00033D0F" w:rsidRPr="009B7B7C">
        <w:rPr>
          <w:spacing w:val="-7"/>
        </w:rPr>
        <w:t xml:space="preserve"> </w:t>
      </w:r>
      <w:r w:rsidR="00033D0F">
        <w:t>is</w:t>
      </w:r>
      <w:r w:rsidR="00033D0F" w:rsidRPr="009B7B7C">
        <w:rPr>
          <w:spacing w:val="-6"/>
        </w:rPr>
        <w:t xml:space="preserve"> </w:t>
      </w:r>
      <w:r w:rsidR="00033D0F">
        <w:t>no</w:t>
      </w:r>
      <w:r w:rsidR="00033D0F" w:rsidRPr="009B7B7C">
        <w:rPr>
          <w:spacing w:val="-5"/>
        </w:rPr>
        <w:t xml:space="preserve"> </w:t>
      </w:r>
      <w:r w:rsidR="00033D0F">
        <w:t>nexus</w:t>
      </w:r>
      <w:r w:rsidR="00033D0F" w:rsidRPr="009B7B7C">
        <w:rPr>
          <w:spacing w:val="-6"/>
        </w:rPr>
        <w:t xml:space="preserve"> </w:t>
      </w:r>
      <w:r w:rsidR="00033D0F">
        <w:t>between</w:t>
      </w:r>
      <w:r w:rsidR="00033D0F" w:rsidRPr="009B7B7C">
        <w:rPr>
          <w:spacing w:val="-9"/>
        </w:rPr>
        <w:t xml:space="preserve"> </w:t>
      </w:r>
      <w:r w:rsidR="00033D0F">
        <w:t>the</w:t>
      </w:r>
      <w:r w:rsidR="00033D0F" w:rsidRPr="009B7B7C">
        <w:rPr>
          <w:spacing w:val="-3"/>
        </w:rPr>
        <w:t xml:space="preserve"> </w:t>
      </w:r>
      <w:r w:rsidR="00033D0F">
        <w:t>explanation</w:t>
      </w:r>
      <w:r w:rsidR="00033D0F" w:rsidRPr="009B7B7C">
        <w:rPr>
          <w:spacing w:val="-9"/>
        </w:rPr>
        <w:t xml:space="preserve"> </w:t>
      </w:r>
      <w:r w:rsidR="00033D0F">
        <w:t>and</w:t>
      </w:r>
      <w:r w:rsidR="00033D0F" w:rsidRPr="009B7B7C">
        <w:rPr>
          <w:spacing w:val="-4"/>
        </w:rPr>
        <w:t xml:space="preserve"> </w:t>
      </w:r>
      <w:r w:rsidR="00033D0F">
        <w:t>the</w:t>
      </w:r>
      <w:r w:rsidR="00033D0F" w:rsidRPr="009B7B7C">
        <w:rPr>
          <w:spacing w:val="-7"/>
        </w:rPr>
        <w:t xml:space="preserve"> </w:t>
      </w:r>
      <w:r w:rsidR="00033D0F">
        <w:t>information,</w:t>
      </w:r>
      <w:r w:rsidR="00033D0F" w:rsidRPr="009B7B7C">
        <w:rPr>
          <w:spacing w:val="-5"/>
        </w:rPr>
        <w:t xml:space="preserve"> </w:t>
      </w:r>
      <w:r w:rsidR="00033D0F">
        <w:t>however</w:t>
      </w:r>
      <w:r w:rsidR="00033D0F" w:rsidRPr="009B7B7C">
        <w:rPr>
          <w:spacing w:val="-5"/>
        </w:rPr>
        <w:t xml:space="preserve"> </w:t>
      </w:r>
      <w:r w:rsidR="00033D0F">
        <w:t>this</w:t>
      </w:r>
      <w:r w:rsidR="00033D0F" w:rsidRPr="009B7B7C">
        <w:rPr>
          <w:spacing w:val="-6"/>
        </w:rPr>
        <w:t xml:space="preserve"> </w:t>
      </w:r>
      <w:r w:rsidR="00033D0F">
        <w:t>is not</w:t>
      </w:r>
      <w:r w:rsidR="00033D0F" w:rsidRPr="009B7B7C">
        <w:rPr>
          <w:spacing w:val="-2"/>
        </w:rPr>
        <w:t xml:space="preserve"> </w:t>
      </w:r>
      <w:r w:rsidR="00033D0F">
        <w:t>the</w:t>
      </w:r>
      <w:r w:rsidR="00033D0F" w:rsidRPr="009B7B7C">
        <w:rPr>
          <w:spacing w:val="-3"/>
        </w:rPr>
        <w:t xml:space="preserve"> </w:t>
      </w:r>
      <w:r w:rsidR="00033D0F">
        <w:t>situation</w:t>
      </w:r>
      <w:r w:rsidR="00033D0F" w:rsidRPr="009B7B7C">
        <w:rPr>
          <w:spacing w:val="-4"/>
        </w:rPr>
        <w:t xml:space="preserve"> </w:t>
      </w:r>
      <w:r w:rsidR="00033D0F">
        <w:t>before the</w:t>
      </w:r>
      <w:r w:rsidR="00033D0F" w:rsidRPr="009B7B7C">
        <w:rPr>
          <w:spacing w:val="-3"/>
        </w:rPr>
        <w:t xml:space="preserve"> </w:t>
      </w:r>
      <w:r w:rsidR="00033D0F">
        <w:t>Panel.</w:t>
      </w:r>
      <w:r w:rsidR="00033D0F" w:rsidRPr="009B7B7C">
        <w:rPr>
          <w:spacing w:val="-1"/>
        </w:rPr>
        <w:t xml:space="preserve"> </w:t>
      </w:r>
      <w:r w:rsidR="00033D0F">
        <w:t>China's</w:t>
      </w:r>
      <w:r w:rsidR="00033D0F" w:rsidRPr="009B7B7C">
        <w:rPr>
          <w:spacing w:val="-1"/>
        </w:rPr>
        <w:t xml:space="preserve"> </w:t>
      </w:r>
      <w:r w:rsidR="00033D0F">
        <w:t>assertion</w:t>
      </w:r>
      <w:r w:rsidR="00033D0F" w:rsidRPr="009B7B7C">
        <w:rPr>
          <w:spacing w:val="-4"/>
        </w:rPr>
        <w:t xml:space="preserve"> </w:t>
      </w:r>
      <w:r w:rsidR="00033D0F">
        <w:t>that</w:t>
      </w:r>
      <w:r w:rsidR="00033D0F" w:rsidRPr="009B7B7C">
        <w:rPr>
          <w:spacing w:val="-2"/>
        </w:rPr>
        <w:t xml:space="preserve"> </w:t>
      </w:r>
      <w:r w:rsidR="00033D0F">
        <w:t>paragraph 6 of</w:t>
      </w:r>
      <w:r w:rsidR="00033D0F" w:rsidRPr="009B7B7C">
        <w:rPr>
          <w:spacing w:val="-4"/>
        </w:rPr>
        <w:t xml:space="preserve"> </w:t>
      </w:r>
      <w:r w:rsidR="00033D0F">
        <w:t>Annex</w:t>
      </w:r>
      <w:r w:rsidR="00033D0F" w:rsidRPr="009B7B7C">
        <w:rPr>
          <w:spacing w:val="-1"/>
        </w:rPr>
        <w:t xml:space="preserve"> </w:t>
      </w:r>
      <w:r w:rsidR="00033D0F">
        <w:t>II</w:t>
      </w:r>
      <w:r w:rsidR="00033D0F" w:rsidRPr="009B7B7C">
        <w:rPr>
          <w:spacing w:val="-1"/>
        </w:rPr>
        <w:t xml:space="preserve"> </w:t>
      </w:r>
      <w:r w:rsidR="00033D0F">
        <w:t>only</w:t>
      </w:r>
      <w:r w:rsidR="00033D0F" w:rsidRPr="009B7B7C">
        <w:rPr>
          <w:spacing w:val="-1"/>
        </w:rPr>
        <w:t xml:space="preserve"> </w:t>
      </w:r>
      <w:r w:rsidR="00033D0F">
        <w:t>obliges an investigating authority to provide explanations as distinct from information is unduly narrow as it fails to account for the complex factual circumstances faced by investigating authorities and interested parties.</w:t>
      </w:r>
      <w:bookmarkStart w:id="368" w:name="_bookmark318"/>
      <w:bookmarkEnd w:id="368"/>
    </w:p>
    <w:p w14:paraId="20151819" w14:textId="5A7B9115" w:rsidR="00BD462C" w:rsidRPr="009B7B7C" w:rsidRDefault="009B7B7C" w:rsidP="009B7B7C">
      <w:pPr>
        <w:pStyle w:val="BodyText"/>
        <w:numPr>
          <w:ilvl w:val="0"/>
          <w:numId w:val="69"/>
        </w:numPr>
        <w:spacing w:before="6" w:line="357" w:lineRule="auto"/>
        <w:ind w:right="917"/>
        <w:jc w:val="both"/>
        <w:rPr>
          <w:sz w:val="23"/>
        </w:rPr>
      </w:pPr>
      <w:r>
        <w:rPr>
          <w:noProof/>
        </w:rPr>
        <mc:AlternateContent>
          <mc:Choice Requires="wps">
            <w:drawing>
              <wp:anchor distT="0" distB="0" distL="0" distR="0" simplePos="0" relativeHeight="488026624" behindDoc="1" locked="0" layoutInCell="1" allowOverlap="1" wp14:anchorId="6324281F" wp14:editId="05220D67">
                <wp:simplePos x="0" y="0"/>
                <wp:positionH relativeFrom="page">
                  <wp:posOffset>854710</wp:posOffset>
                </wp:positionH>
                <wp:positionV relativeFrom="paragraph">
                  <wp:posOffset>1393190</wp:posOffset>
                </wp:positionV>
                <wp:extent cx="1828800" cy="8890"/>
                <wp:effectExtent l="0" t="0" r="0" b="0"/>
                <wp:wrapTopAndBottom/>
                <wp:docPr id="1440" name="docshape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25DB0D" id="docshape113" o:spid="_x0000_s1026" alt="&quot;&quot;" style="position:absolute;margin-left:67.3pt;margin-top:109.7pt;width:2in;height:.7pt;z-index:-15289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" fillcolor="black" stroked="f">
                <w10:wrap type="topAndBottom" anchorx="page"/>
              </v:rect>
            </w:pict>
          </mc:Fallback>
        </mc:AlternateContent>
      </w:r>
      <w:r w:rsidR="00033D0F" w:rsidRPr="009B7B7C">
        <w:rPr>
          <w:position w:val="1"/>
        </w:rPr>
        <w:t xml:space="preserve">Finally, and in any event, China's argument that paragraph 6 of Annex II provides </w:t>
      </w:r>
      <w:r w:rsidR="00033D0F">
        <w:t>"only" for an opportunity to submit further explanations is moot. The premise of China's arguments appears to be that MOFCOM did, in fact, consider the forms resubmitted by Treasury</w:t>
      </w:r>
      <w:r w:rsidR="00033D0F" w:rsidRPr="009B7B7C">
        <w:rPr>
          <w:spacing w:val="64"/>
        </w:rPr>
        <w:t xml:space="preserve"> </w:t>
      </w:r>
      <w:r w:rsidR="00033D0F">
        <w:t>Wines</w:t>
      </w:r>
      <w:r w:rsidR="00033D0F" w:rsidRPr="009B7B7C">
        <w:rPr>
          <w:spacing w:val="65"/>
        </w:rPr>
        <w:t xml:space="preserve"> </w:t>
      </w:r>
      <w:r w:rsidR="00033D0F">
        <w:t>and</w:t>
      </w:r>
      <w:r w:rsidR="00033D0F" w:rsidRPr="009B7B7C">
        <w:rPr>
          <w:spacing w:val="62"/>
        </w:rPr>
        <w:t xml:space="preserve"> </w:t>
      </w:r>
      <w:r w:rsidR="00033D0F">
        <w:t>these</w:t>
      </w:r>
      <w:r w:rsidR="00033D0F" w:rsidRPr="009B7B7C">
        <w:rPr>
          <w:spacing w:val="64"/>
        </w:rPr>
        <w:t xml:space="preserve"> </w:t>
      </w:r>
      <w:r w:rsidR="00033D0F">
        <w:t>were</w:t>
      </w:r>
      <w:r w:rsidR="00033D0F" w:rsidRPr="009B7B7C">
        <w:rPr>
          <w:spacing w:val="64"/>
        </w:rPr>
        <w:t xml:space="preserve"> </w:t>
      </w:r>
      <w:r w:rsidR="00033D0F">
        <w:t>rejected</w:t>
      </w:r>
      <w:r w:rsidR="00033D0F" w:rsidRPr="009B7B7C">
        <w:rPr>
          <w:spacing w:val="62"/>
        </w:rPr>
        <w:t xml:space="preserve"> </w:t>
      </w:r>
      <w:r w:rsidR="00033D0F">
        <w:t>on</w:t>
      </w:r>
      <w:r w:rsidR="00033D0F" w:rsidRPr="009B7B7C">
        <w:rPr>
          <w:spacing w:val="62"/>
        </w:rPr>
        <w:t xml:space="preserve"> </w:t>
      </w:r>
      <w:r w:rsidR="00033D0F">
        <w:t>the</w:t>
      </w:r>
      <w:r w:rsidR="00033D0F" w:rsidRPr="009B7B7C">
        <w:rPr>
          <w:spacing w:val="62"/>
        </w:rPr>
        <w:t xml:space="preserve"> </w:t>
      </w:r>
      <w:r w:rsidR="00033D0F">
        <w:t>basis</w:t>
      </w:r>
      <w:r w:rsidR="00033D0F" w:rsidRPr="009B7B7C">
        <w:rPr>
          <w:spacing w:val="65"/>
        </w:rPr>
        <w:t xml:space="preserve"> </w:t>
      </w:r>
      <w:r w:rsidR="00033D0F">
        <w:t>that</w:t>
      </w:r>
      <w:r w:rsidR="00033D0F" w:rsidRPr="009B7B7C">
        <w:rPr>
          <w:spacing w:val="64"/>
        </w:rPr>
        <w:t xml:space="preserve"> </w:t>
      </w:r>
      <w:r w:rsidR="00033D0F">
        <w:t>they</w:t>
      </w:r>
      <w:r w:rsidR="00033D0F" w:rsidRPr="009B7B7C">
        <w:rPr>
          <w:spacing w:val="65"/>
        </w:rPr>
        <w:t xml:space="preserve"> </w:t>
      </w:r>
      <w:r w:rsidR="00033D0F">
        <w:t>were</w:t>
      </w:r>
      <w:r w:rsidR="00033D0F" w:rsidRPr="009B7B7C">
        <w:rPr>
          <w:spacing w:val="64"/>
        </w:rPr>
        <w:t xml:space="preserve"> </w:t>
      </w:r>
      <w:r w:rsidR="00033D0F">
        <w:t>not</w:t>
      </w:r>
      <w:r w:rsidR="00033D0F" w:rsidRPr="009B7B7C">
        <w:rPr>
          <w:spacing w:val="64"/>
        </w:rPr>
        <w:t xml:space="preserve"> </w:t>
      </w:r>
      <w:r w:rsidR="00033D0F">
        <w:t>timely,</w:t>
      </w:r>
    </w:p>
    <w:p w14:paraId="644A3964" w14:textId="40F82A9D" w:rsidR="00BD462C" w:rsidRDefault="00033D0F">
      <w:pPr>
        <w:spacing w:before="112"/>
        <w:ind w:left="135"/>
        <w:rPr>
          <w:sz w:val="18"/>
        </w:rPr>
      </w:pPr>
      <w:bookmarkStart w:id="369" w:name="_bookmark319"/>
      <w:bookmarkEnd w:id="369"/>
      <w:r>
        <w:rPr>
          <w:position w:val="5"/>
          <w:sz w:val="12"/>
        </w:rPr>
        <w:t>249</w:t>
      </w:r>
      <w:r>
        <w:rPr>
          <w:spacing w:val="15"/>
          <w:position w:val="5"/>
          <w:sz w:val="12"/>
        </w:rPr>
        <w:t xml:space="preserve"> </w:t>
      </w:r>
      <w:r>
        <w:rPr>
          <w:sz w:val="18"/>
        </w:rPr>
        <w:t>Panel</w:t>
      </w:r>
      <w:r>
        <w:rPr>
          <w:spacing w:val="-3"/>
          <w:sz w:val="18"/>
        </w:rPr>
        <w:t xml:space="preserve"> </w:t>
      </w:r>
      <w:r>
        <w:rPr>
          <w:sz w:val="18"/>
        </w:rPr>
        <w:t>Report,</w:t>
      </w:r>
      <w:r>
        <w:rPr>
          <w:spacing w:val="-1"/>
          <w:sz w:val="18"/>
        </w:rPr>
        <w:t xml:space="preserve"> </w:t>
      </w:r>
      <w:r>
        <w:rPr>
          <w:i/>
          <w:sz w:val="18"/>
        </w:rPr>
        <w:t>Korea</w:t>
      </w:r>
      <w:r>
        <w:rPr>
          <w:i/>
          <w:spacing w:val="-3"/>
          <w:sz w:val="18"/>
        </w:rPr>
        <w:t xml:space="preserve"> </w:t>
      </w:r>
      <w:r>
        <w:rPr>
          <w:i/>
          <w:sz w:val="18"/>
        </w:rPr>
        <w:t>–</w:t>
      </w:r>
      <w:r>
        <w:rPr>
          <w:i/>
          <w:spacing w:val="-4"/>
          <w:sz w:val="18"/>
        </w:rPr>
        <w:t xml:space="preserve"> </w:t>
      </w:r>
      <w:r>
        <w:rPr>
          <w:i/>
          <w:sz w:val="18"/>
        </w:rPr>
        <w:t>Certain</w:t>
      </w:r>
      <w:r>
        <w:rPr>
          <w:i/>
          <w:spacing w:val="-6"/>
          <w:sz w:val="18"/>
        </w:rPr>
        <w:t xml:space="preserve"> </w:t>
      </w:r>
      <w:r>
        <w:rPr>
          <w:i/>
          <w:sz w:val="18"/>
        </w:rPr>
        <w:t>Paper</w:t>
      </w:r>
      <w:r>
        <w:rPr>
          <w:sz w:val="18"/>
        </w:rPr>
        <w:t>,</w:t>
      </w:r>
      <w:r>
        <w:rPr>
          <w:spacing w:val="-2"/>
          <w:sz w:val="18"/>
        </w:rPr>
        <w:t xml:space="preserve"> </w:t>
      </w:r>
      <w:r>
        <w:rPr>
          <w:sz w:val="18"/>
        </w:rPr>
        <w:t>para.</w:t>
      </w:r>
      <w:r>
        <w:rPr>
          <w:spacing w:val="-2"/>
          <w:sz w:val="18"/>
        </w:rPr>
        <w:t xml:space="preserve"> </w:t>
      </w:r>
      <w:r>
        <w:rPr>
          <w:spacing w:val="-4"/>
          <w:sz w:val="18"/>
        </w:rPr>
        <w:t>7.81.</w:t>
      </w:r>
    </w:p>
    <w:p w14:paraId="0E88A805" w14:textId="77777777" w:rsidR="00BD462C" w:rsidRDefault="00033D0F">
      <w:pPr>
        <w:spacing w:before="1"/>
        <w:ind w:left="135" w:right="923"/>
        <w:rPr>
          <w:sz w:val="18"/>
        </w:rPr>
      </w:pPr>
      <w:bookmarkStart w:id="370" w:name="_bookmark320"/>
      <w:bookmarkEnd w:id="370"/>
      <w:r>
        <w:rPr>
          <w:position w:val="5"/>
          <w:sz w:val="12"/>
        </w:rPr>
        <w:t>250</w:t>
      </w:r>
      <w:r>
        <w:rPr>
          <w:spacing w:val="75"/>
          <w:position w:val="5"/>
          <w:sz w:val="12"/>
        </w:rPr>
        <w:t xml:space="preserve"> </w:t>
      </w:r>
      <w:r>
        <w:rPr>
          <w:sz w:val="18"/>
        </w:rPr>
        <w:t>Oxford</w:t>
      </w:r>
      <w:r>
        <w:rPr>
          <w:spacing w:val="40"/>
          <w:sz w:val="18"/>
        </w:rPr>
        <w:t xml:space="preserve"> </w:t>
      </w:r>
      <w:r>
        <w:rPr>
          <w:sz w:val="18"/>
        </w:rPr>
        <w:t>English</w:t>
      </w:r>
      <w:r>
        <w:rPr>
          <w:spacing w:val="40"/>
          <w:sz w:val="18"/>
        </w:rPr>
        <w:t xml:space="preserve"> </w:t>
      </w:r>
      <w:r>
        <w:rPr>
          <w:sz w:val="18"/>
        </w:rPr>
        <w:t>Dictionary</w:t>
      </w:r>
      <w:r>
        <w:rPr>
          <w:spacing w:val="40"/>
          <w:sz w:val="18"/>
        </w:rPr>
        <w:t xml:space="preserve"> </w:t>
      </w:r>
      <w:r>
        <w:rPr>
          <w:sz w:val="18"/>
        </w:rPr>
        <w:t>online,</w:t>
      </w:r>
      <w:r>
        <w:rPr>
          <w:spacing w:val="40"/>
          <w:sz w:val="18"/>
        </w:rPr>
        <w:t xml:space="preserve"> </w:t>
      </w:r>
      <w:r>
        <w:rPr>
          <w:sz w:val="18"/>
        </w:rPr>
        <w:t>definition</w:t>
      </w:r>
      <w:r>
        <w:rPr>
          <w:spacing w:val="40"/>
          <w:sz w:val="18"/>
        </w:rPr>
        <w:t xml:space="preserve"> </w:t>
      </w:r>
      <w:r>
        <w:rPr>
          <w:sz w:val="18"/>
        </w:rPr>
        <w:t>of</w:t>
      </w:r>
      <w:r>
        <w:rPr>
          <w:spacing w:val="40"/>
          <w:sz w:val="18"/>
        </w:rPr>
        <w:t xml:space="preserve"> </w:t>
      </w:r>
      <w:r>
        <w:rPr>
          <w:sz w:val="18"/>
        </w:rPr>
        <w:t>"explanations",</w:t>
      </w:r>
      <w:r>
        <w:rPr>
          <w:spacing w:val="40"/>
          <w:sz w:val="18"/>
        </w:rPr>
        <w:t xml:space="preserve"> </w:t>
      </w:r>
      <w:hyperlink r:id="rId12">
        <w:r>
          <w:rPr>
            <w:color w:val="0562C1"/>
            <w:sz w:val="18"/>
            <w:u w:val="single" w:color="0562C1"/>
          </w:rPr>
          <w:t>https://www.oed.com/view/Entry/66604</w:t>
        </w:r>
        <w:r>
          <w:rPr>
            <w:sz w:val="18"/>
          </w:rPr>
          <w:t>,</w:t>
        </w:r>
      </w:hyperlink>
      <w:r>
        <w:rPr>
          <w:spacing w:val="40"/>
          <w:sz w:val="18"/>
        </w:rPr>
        <w:t xml:space="preserve"> </w:t>
      </w:r>
      <w:r>
        <w:rPr>
          <w:sz w:val="18"/>
        </w:rPr>
        <w:t>accessed 28 November 2022.</w:t>
      </w:r>
    </w:p>
    <w:p w14:paraId="2BA27081" w14:textId="77777777" w:rsidR="00BD462C" w:rsidRDefault="00BD462C">
      <w:pPr>
        <w:rPr>
          <w:sz w:val="18"/>
        </w:rPr>
        <w:sectPr w:rsidR="00BD462C">
          <w:pgSz w:w="11910" w:h="16840"/>
          <w:pgMar w:top="860" w:right="500" w:bottom="780" w:left="1280" w:header="566" w:footer="590" w:gutter="0"/>
          <w:cols w:space="720"/>
        </w:sectPr>
      </w:pPr>
    </w:p>
    <w:p w14:paraId="11C2D08B"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79C72980"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68901EDD"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7BFCFECA" w14:textId="02717E20" w:rsidR="00BD462C" w:rsidRDefault="009B7B7C">
      <w:pPr>
        <w:pStyle w:val="BodyText"/>
        <w:spacing w:before="102" w:line="360" w:lineRule="auto"/>
        <w:ind w:left="135" w:right="917"/>
        <w:jc w:val="both"/>
      </w:pPr>
      <w:r>
        <w:t xml:space="preserve">the </w:t>
      </w:r>
      <w:r w:rsidR="00033D0F">
        <w:t>information</w:t>
      </w:r>
      <w:r w:rsidR="00033D0F">
        <w:rPr>
          <w:spacing w:val="-14"/>
        </w:rPr>
        <w:t xml:space="preserve"> </w:t>
      </w:r>
      <w:r w:rsidR="00033D0F">
        <w:t>contained</w:t>
      </w:r>
      <w:r w:rsidR="00033D0F">
        <w:rPr>
          <w:spacing w:val="-14"/>
        </w:rPr>
        <w:t xml:space="preserve"> </w:t>
      </w:r>
      <w:r w:rsidR="00033D0F">
        <w:t>therein</w:t>
      </w:r>
      <w:r w:rsidR="00033D0F">
        <w:rPr>
          <w:spacing w:val="-13"/>
        </w:rPr>
        <w:t xml:space="preserve"> </w:t>
      </w:r>
      <w:r w:rsidR="00033D0F">
        <w:t>could</w:t>
      </w:r>
      <w:r w:rsidR="00033D0F">
        <w:rPr>
          <w:spacing w:val="-13"/>
        </w:rPr>
        <w:t xml:space="preserve"> </w:t>
      </w:r>
      <w:r w:rsidR="00033D0F">
        <w:t>not</w:t>
      </w:r>
      <w:r w:rsidR="00033D0F">
        <w:rPr>
          <w:spacing w:val="-8"/>
        </w:rPr>
        <w:t xml:space="preserve"> </w:t>
      </w:r>
      <w:r w:rsidR="00033D0F">
        <w:t>be</w:t>
      </w:r>
      <w:r w:rsidR="00033D0F">
        <w:rPr>
          <w:spacing w:val="-13"/>
        </w:rPr>
        <w:t xml:space="preserve"> </w:t>
      </w:r>
      <w:r w:rsidR="00033D0F">
        <w:t>used</w:t>
      </w:r>
      <w:r w:rsidR="00033D0F">
        <w:rPr>
          <w:spacing w:val="-14"/>
        </w:rPr>
        <w:t xml:space="preserve"> </w:t>
      </w:r>
      <w:r w:rsidR="00033D0F">
        <w:t>without</w:t>
      </w:r>
      <w:r w:rsidR="00033D0F">
        <w:rPr>
          <w:spacing w:val="-11"/>
        </w:rPr>
        <w:t xml:space="preserve"> </w:t>
      </w:r>
      <w:r w:rsidR="00033D0F">
        <w:t>undue</w:t>
      </w:r>
      <w:r w:rsidR="00033D0F">
        <w:rPr>
          <w:spacing w:val="-8"/>
        </w:rPr>
        <w:t xml:space="preserve"> </w:t>
      </w:r>
      <w:r w:rsidR="00033D0F">
        <w:t>difficulties,</w:t>
      </w:r>
      <w:r w:rsidR="00033D0F">
        <w:rPr>
          <w:spacing w:val="-11"/>
        </w:rPr>
        <w:t xml:space="preserve"> </w:t>
      </w:r>
      <w:r w:rsidR="00033D0F">
        <w:t>and</w:t>
      </w:r>
      <w:r w:rsidR="00033D0F">
        <w:rPr>
          <w:spacing w:val="-14"/>
        </w:rPr>
        <w:t xml:space="preserve"> </w:t>
      </w:r>
      <w:r w:rsidR="00033D0F">
        <w:t>even</w:t>
      </w:r>
      <w:r w:rsidR="00033D0F">
        <w:rPr>
          <w:spacing w:val="-14"/>
        </w:rPr>
        <w:t xml:space="preserve"> </w:t>
      </w:r>
      <w:r w:rsidR="00033D0F">
        <w:t>with</w:t>
      </w:r>
      <w:r w:rsidR="00033D0F">
        <w:rPr>
          <w:spacing w:val="-13"/>
        </w:rPr>
        <w:t xml:space="preserve"> </w:t>
      </w:r>
      <w:r w:rsidR="00033D0F">
        <w:t>the provision</w:t>
      </w:r>
      <w:r w:rsidR="00033D0F">
        <w:rPr>
          <w:spacing w:val="-5"/>
        </w:rPr>
        <w:t xml:space="preserve"> </w:t>
      </w:r>
      <w:r w:rsidR="00033D0F">
        <w:t>of</w:t>
      </w:r>
      <w:r w:rsidR="00033D0F">
        <w:rPr>
          <w:spacing w:val="-5"/>
        </w:rPr>
        <w:t xml:space="preserve"> </w:t>
      </w:r>
      <w:r w:rsidR="00033D0F">
        <w:t>additional</w:t>
      </w:r>
      <w:r w:rsidR="00033D0F">
        <w:rPr>
          <w:spacing w:val="-1"/>
        </w:rPr>
        <w:t xml:space="preserve"> </w:t>
      </w:r>
      <w:r w:rsidR="00033D0F">
        <w:t>information,</w:t>
      </w:r>
      <w:r w:rsidR="00033D0F">
        <w:rPr>
          <w:spacing w:val="-2"/>
        </w:rPr>
        <w:t xml:space="preserve"> </w:t>
      </w:r>
      <w:r w:rsidR="00033D0F">
        <w:t>necessary</w:t>
      </w:r>
      <w:r w:rsidR="00033D0F">
        <w:rPr>
          <w:spacing w:val="-2"/>
        </w:rPr>
        <w:t xml:space="preserve"> </w:t>
      </w:r>
      <w:r w:rsidR="00033D0F">
        <w:t>information</w:t>
      </w:r>
      <w:r w:rsidR="00033D0F">
        <w:rPr>
          <w:spacing w:val="-5"/>
        </w:rPr>
        <w:t xml:space="preserve"> </w:t>
      </w:r>
      <w:r w:rsidR="00033D0F">
        <w:t>was</w:t>
      </w:r>
      <w:r w:rsidR="00033D0F">
        <w:rPr>
          <w:spacing w:val="-2"/>
        </w:rPr>
        <w:t xml:space="preserve"> </w:t>
      </w:r>
      <w:r w:rsidR="00033D0F">
        <w:t>nonetheless</w:t>
      </w:r>
      <w:r w:rsidR="00033D0F">
        <w:rPr>
          <w:spacing w:val="-2"/>
        </w:rPr>
        <w:t xml:space="preserve"> </w:t>
      </w:r>
      <w:r w:rsidR="00033D0F">
        <w:t>missing</w:t>
      </w:r>
      <w:r w:rsidR="00033D0F">
        <w:rPr>
          <w:spacing w:val="-2"/>
        </w:rPr>
        <w:t xml:space="preserve"> </w:t>
      </w:r>
      <w:r w:rsidR="00033D0F">
        <w:t>from</w:t>
      </w:r>
      <w:r w:rsidR="00033D0F">
        <w:rPr>
          <w:spacing w:val="-4"/>
        </w:rPr>
        <w:t xml:space="preserve"> </w:t>
      </w:r>
      <w:r w:rsidR="00033D0F">
        <w:t>the record.</w:t>
      </w:r>
      <w:r w:rsidR="00033D0F">
        <w:rPr>
          <w:spacing w:val="-29"/>
        </w:rPr>
        <w:t xml:space="preserve"> </w:t>
      </w:r>
      <w:hyperlink w:anchor="_bookmark321" w:history="1">
        <w:r w:rsidR="00033D0F">
          <w:rPr>
            <w:vertAlign w:val="superscript"/>
          </w:rPr>
          <w:t>251</w:t>
        </w:r>
      </w:hyperlink>
    </w:p>
    <w:p w14:paraId="33C78AE9" w14:textId="77777777" w:rsidR="00BD462C" w:rsidRDefault="00033D0F" w:rsidP="00DA02D9">
      <w:pPr>
        <w:pStyle w:val="ListParagraph"/>
        <w:numPr>
          <w:ilvl w:val="1"/>
          <w:numId w:val="70"/>
        </w:numPr>
        <w:tabs>
          <w:tab w:val="left" w:pos="3539"/>
          <w:tab w:val="left" w:pos="3540"/>
        </w:tabs>
        <w:spacing w:before="160" w:line="357" w:lineRule="auto"/>
        <w:ind w:right="917"/>
        <w:jc w:val="both"/>
        <w:rPr>
          <w:sz w:val="24"/>
        </w:rPr>
      </w:pPr>
      <w:bookmarkStart w:id="371" w:name="(b)_MOFCOM's_reasons_for_rejection_were_"/>
      <w:bookmarkEnd w:id="371"/>
      <w:r>
        <w:rPr>
          <w:sz w:val="24"/>
          <w:u w:val="single"/>
        </w:rPr>
        <w:t>MOFCOM's reasons for rejection were not provided</w:t>
      </w:r>
      <w:r>
        <w:rPr>
          <w:sz w:val="24"/>
        </w:rPr>
        <w:t xml:space="preserve"> </w:t>
      </w:r>
      <w:r>
        <w:rPr>
          <w:spacing w:val="-2"/>
          <w:sz w:val="24"/>
          <w:u w:val="single"/>
        </w:rPr>
        <w:t>"forthwith"</w:t>
      </w:r>
    </w:p>
    <w:p w14:paraId="0928EC7B" w14:textId="77777777" w:rsidR="00BD462C" w:rsidRDefault="00BD462C">
      <w:pPr>
        <w:pStyle w:val="BodyText"/>
        <w:spacing w:before="3"/>
        <w:rPr>
          <w:sz w:val="9"/>
        </w:rPr>
      </w:pPr>
    </w:p>
    <w:p w14:paraId="0204EA60" w14:textId="33CBD821" w:rsidR="00BD462C" w:rsidRDefault="00033D0F" w:rsidP="009B7B7C">
      <w:pPr>
        <w:pStyle w:val="BodyText"/>
        <w:numPr>
          <w:ilvl w:val="0"/>
          <w:numId w:val="69"/>
        </w:numPr>
        <w:spacing w:before="56" w:line="360" w:lineRule="auto"/>
        <w:ind w:right="913"/>
        <w:jc w:val="both"/>
      </w:pPr>
      <w:r>
        <w:rPr>
          <w:position w:val="1"/>
        </w:rPr>
        <w:t xml:space="preserve">China argues that MOFCOM provided reasons for the rejection of Treasury Wines' </w:t>
      </w:r>
      <w:r>
        <w:t>evidence</w:t>
      </w:r>
      <w:r>
        <w:rPr>
          <w:spacing w:val="-14"/>
        </w:rPr>
        <w:t xml:space="preserve"> </w:t>
      </w:r>
      <w:r>
        <w:t>"forthwith".</w:t>
      </w:r>
      <w:r>
        <w:rPr>
          <w:spacing w:val="-14"/>
        </w:rPr>
        <w:t xml:space="preserve"> </w:t>
      </w:r>
      <w:hyperlink w:anchor="_bookmark322" w:history="1">
        <w:r>
          <w:rPr>
            <w:vertAlign w:val="superscript"/>
          </w:rPr>
          <w:t>252</w:t>
        </w:r>
      </w:hyperlink>
      <w:r>
        <w:rPr>
          <w:spacing w:val="-13"/>
        </w:rPr>
        <w:t xml:space="preserve"> </w:t>
      </w:r>
      <w:r>
        <w:t>In</w:t>
      </w:r>
      <w:r>
        <w:rPr>
          <w:spacing w:val="-14"/>
        </w:rPr>
        <w:t xml:space="preserve"> </w:t>
      </w:r>
      <w:r>
        <w:t>support</w:t>
      </w:r>
      <w:r>
        <w:rPr>
          <w:spacing w:val="-13"/>
        </w:rPr>
        <w:t xml:space="preserve"> </w:t>
      </w:r>
      <w:r>
        <w:t>of</w:t>
      </w:r>
      <w:r>
        <w:rPr>
          <w:spacing w:val="-10"/>
        </w:rPr>
        <w:t xml:space="preserve"> </w:t>
      </w:r>
      <w:r>
        <w:t>its</w:t>
      </w:r>
      <w:r>
        <w:rPr>
          <w:spacing w:val="-10"/>
        </w:rPr>
        <w:t xml:space="preserve"> </w:t>
      </w:r>
      <w:r>
        <w:t>assertion,</w:t>
      </w:r>
      <w:r>
        <w:rPr>
          <w:spacing w:val="-10"/>
        </w:rPr>
        <w:t xml:space="preserve"> </w:t>
      </w:r>
      <w:r>
        <w:t>China</w:t>
      </w:r>
      <w:r>
        <w:rPr>
          <w:spacing w:val="-12"/>
        </w:rPr>
        <w:t xml:space="preserve"> </w:t>
      </w:r>
      <w:r>
        <w:t>refers</w:t>
      </w:r>
      <w:r>
        <w:rPr>
          <w:spacing w:val="-10"/>
        </w:rPr>
        <w:t xml:space="preserve"> </w:t>
      </w:r>
      <w:r>
        <w:t>only</w:t>
      </w:r>
      <w:r>
        <w:rPr>
          <w:spacing w:val="-11"/>
        </w:rPr>
        <w:t xml:space="preserve"> </w:t>
      </w:r>
      <w:r>
        <w:t>to</w:t>
      </w:r>
      <w:r>
        <w:rPr>
          <w:spacing w:val="-14"/>
        </w:rPr>
        <w:t xml:space="preserve"> </w:t>
      </w:r>
      <w:r>
        <w:t>the</w:t>
      </w:r>
      <w:r>
        <w:rPr>
          <w:spacing w:val="-6"/>
        </w:rPr>
        <w:t xml:space="preserve"> </w:t>
      </w:r>
      <w:r>
        <w:t>deficiencies</w:t>
      </w:r>
      <w:r>
        <w:rPr>
          <w:spacing w:val="-10"/>
        </w:rPr>
        <w:t xml:space="preserve"> </w:t>
      </w:r>
      <w:r>
        <w:t>raised in the Preliminary Determination. China largely ignores the provision of information in response to the Preliminary Determination, and importantly, the Supplementary Questionnaire. Treasury Wines provided a timely response to the Supplementary Questionnaire on 9 February 2021. MOFCOM did not make any contact with Treasury Wines until the Final Disclosure was issued more than four weeks later.</w:t>
      </w:r>
    </w:p>
    <w:p w14:paraId="11A0277D" w14:textId="77777777" w:rsidR="00BD462C" w:rsidRDefault="00BD462C">
      <w:pPr>
        <w:pStyle w:val="BodyText"/>
        <w:spacing w:before="5"/>
        <w:rPr>
          <w:sz w:val="8"/>
        </w:rPr>
      </w:pPr>
    </w:p>
    <w:p w14:paraId="4817AC3F" w14:textId="16502553" w:rsidR="00BD462C" w:rsidRDefault="00033D0F" w:rsidP="009B7B7C">
      <w:pPr>
        <w:pStyle w:val="BodyText"/>
        <w:numPr>
          <w:ilvl w:val="0"/>
          <w:numId w:val="69"/>
        </w:numPr>
        <w:spacing w:before="56" w:line="360" w:lineRule="auto"/>
        <w:ind w:right="910"/>
        <w:jc w:val="both"/>
      </w:pPr>
      <w:r>
        <w:rPr>
          <w:position w:val="1"/>
        </w:rPr>
        <w:t xml:space="preserve">China's assertion that the Final Disclosure was the "first possible point" where </w:t>
      </w:r>
      <w:r>
        <w:t>Treasury Wines could be informed of the deficiencies is without merit.</w:t>
      </w:r>
      <w:hyperlink w:anchor="_bookmark323" w:history="1">
        <w:r>
          <w:rPr>
            <w:vertAlign w:val="superscript"/>
          </w:rPr>
          <w:t>253</w:t>
        </w:r>
      </w:hyperlink>
      <w:r>
        <w:t xml:space="preserve"> Paragraph 6 of Annex</w:t>
      </w:r>
      <w:r>
        <w:rPr>
          <w:spacing w:val="-1"/>
        </w:rPr>
        <w:t xml:space="preserve"> </w:t>
      </w:r>
      <w:r>
        <w:t>II does not prescribe the form in which notice must take. It is within MOFCOM discretion how it notifies interested parties that evidence is not accepted, provided that the notice is provided without delay. As such, it was open to MOFCOM to provide notice to Treasury Wines independent of the Final Disclosure. Indeed, MOFCOM was obliged to</w:t>
      </w:r>
      <w:r>
        <w:rPr>
          <w:spacing w:val="-1"/>
        </w:rPr>
        <w:t xml:space="preserve"> </w:t>
      </w:r>
      <w:r>
        <w:t>do so. In waiting for the Final Disclosure to give Treasury Wines notice, MOFCOM acted inconsistently with paragraph 6 of Annex II.</w:t>
      </w:r>
    </w:p>
    <w:p w14:paraId="4F37C274" w14:textId="77777777" w:rsidR="00BD462C" w:rsidRDefault="00033D0F" w:rsidP="00DA02D9">
      <w:pPr>
        <w:pStyle w:val="ListParagraph"/>
        <w:numPr>
          <w:ilvl w:val="1"/>
          <w:numId w:val="70"/>
        </w:numPr>
        <w:tabs>
          <w:tab w:val="left" w:pos="3539"/>
          <w:tab w:val="left" w:pos="3540"/>
        </w:tabs>
        <w:spacing w:before="157"/>
        <w:ind w:hanging="851"/>
        <w:jc w:val="both"/>
        <w:rPr>
          <w:sz w:val="24"/>
        </w:rPr>
      </w:pPr>
      <w:bookmarkStart w:id="372" w:name="(c)_The_reasons_provided_by_MOFCOM's_wer"/>
      <w:bookmarkEnd w:id="372"/>
      <w:r>
        <w:rPr>
          <w:sz w:val="24"/>
          <w:u w:val="single"/>
        </w:rPr>
        <w:t>The</w:t>
      </w:r>
      <w:r>
        <w:rPr>
          <w:spacing w:val="-5"/>
          <w:sz w:val="24"/>
          <w:u w:val="single"/>
        </w:rPr>
        <w:t xml:space="preserve"> </w:t>
      </w:r>
      <w:r>
        <w:rPr>
          <w:sz w:val="24"/>
          <w:u w:val="single"/>
        </w:rPr>
        <w:t>reasons</w:t>
      </w:r>
      <w:r>
        <w:rPr>
          <w:spacing w:val="-2"/>
          <w:sz w:val="24"/>
          <w:u w:val="single"/>
        </w:rPr>
        <w:t xml:space="preserve"> </w:t>
      </w:r>
      <w:r>
        <w:rPr>
          <w:sz w:val="24"/>
          <w:u w:val="single"/>
        </w:rPr>
        <w:t>provided</w:t>
      </w:r>
      <w:r>
        <w:rPr>
          <w:spacing w:val="-6"/>
          <w:sz w:val="24"/>
          <w:u w:val="single"/>
        </w:rPr>
        <w:t xml:space="preserve"> </w:t>
      </w:r>
      <w:r>
        <w:rPr>
          <w:sz w:val="24"/>
          <w:u w:val="single"/>
        </w:rPr>
        <w:t>by</w:t>
      </w:r>
      <w:r>
        <w:rPr>
          <w:spacing w:val="-2"/>
          <w:sz w:val="24"/>
          <w:u w:val="single"/>
        </w:rPr>
        <w:t xml:space="preserve"> </w:t>
      </w:r>
      <w:r>
        <w:rPr>
          <w:sz w:val="24"/>
          <w:u w:val="single"/>
        </w:rPr>
        <w:t>MOFCOM's</w:t>
      </w:r>
      <w:r>
        <w:rPr>
          <w:spacing w:val="-3"/>
          <w:sz w:val="24"/>
          <w:u w:val="single"/>
        </w:rPr>
        <w:t xml:space="preserve"> </w:t>
      </w:r>
      <w:r>
        <w:rPr>
          <w:sz w:val="24"/>
          <w:u w:val="single"/>
        </w:rPr>
        <w:t>were</w:t>
      </w:r>
      <w:r>
        <w:rPr>
          <w:spacing w:val="-3"/>
          <w:sz w:val="24"/>
          <w:u w:val="single"/>
        </w:rPr>
        <w:t xml:space="preserve"> </w:t>
      </w:r>
      <w:r>
        <w:rPr>
          <w:sz w:val="24"/>
          <w:u w:val="single"/>
        </w:rPr>
        <w:t>not</w:t>
      </w:r>
      <w:r>
        <w:rPr>
          <w:spacing w:val="-3"/>
          <w:sz w:val="24"/>
          <w:u w:val="single"/>
        </w:rPr>
        <w:t xml:space="preserve"> </w:t>
      </w:r>
      <w:r>
        <w:rPr>
          <w:spacing w:val="-2"/>
          <w:sz w:val="24"/>
          <w:u w:val="single"/>
        </w:rPr>
        <w:t>precise</w:t>
      </w:r>
    </w:p>
    <w:p w14:paraId="292BC69E" w14:textId="77777777" w:rsidR="00BD462C" w:rsidRDefault="00BD462C">
      <w:pPr>
        <w:pStyle w:val="BodyText"/>
        <w:spacing w:before="11"/>
        <w:rPr>
          <w:sz w:val="20"/>
        </w:rPr>
      </w:pPr>
    </w:p>
    <w:p w14:paraId="0F6F5326" w14:textId="38184DE5" w:rsidR="00BD462C" w:rsidRDefault="00033D0F" w:rsidP="009B7B7C">
      <w:pPr>
        <w:pStyle w:val="BodyText"/>
        <w:numPr>
          <w:ilvl w:val="0"/>
          <w:numId w:val="69"/>
        </w:numPr>
        <w:spacing w:before="56" w:line="360" w:lineRule="auto"/>
        <w:ind w:right="913"/>
        <w:jc w:val="both"/>
      </w:pPr>
      <w:r>
        <w:rPr>
          <w:position w:val="1"/>
        </w:rPr>
        <w:t xml:space="preserve">Moreover, the reasons provided by MOFCOM for its rejection of the information in </w:t>
      </w:r>
      <w:r>
        <w:t>its Final Determination</w:t>
      </w:r>
      <w:r>
        <w:rPr>
          <w:spacing w:val="-1"/>
        </w:rPr>
        <w:t xml:space="preserve"> </w:t>
      </w:r>
      <w:r>
        <w:t>were not sufficiently precise. China argues that MOFCOM considered the</w:t>
      </w:r>
      <w:r>
        <w:rPr>
          <w:spacing w:val="-14"/>
        </w:rPr>
        <w:t xml:space="preserve"> </w:t>
      </w:r>
      <w:r>
        <w:t>deficiencies in</w:t>
      </w:r>
      <w:r>
        <w:rPr>
          <w:spacing w:val="-1"/>
        </w:rPr>
        <w:t xml:space="preserve"> </w:t>
      </w:r>
      <w:r>
        <w:t>Treasury Wines' information</w:t>
      </w:r>
      <w:r>
        <w:rPr>
          <w:spacing w:val="-1"/>
        </w:rPr>
        <w:t xml:space="preserve"> </w:t>
      </w:r>
      <w:r>
        <w:t>holistically, and</w:t>
      </w:r>
      <w:r>
        <w:rPr>
          <w:spacing w:val="-1"/>
        </w:rPr>
        <w:t xml:space="preserve"> </w:t>
      </w:r>
      <w:r>
        <w:t>not on</w:t>
      </w:r>
      <w:r>
        <w:rPr>
          <w:spacing w:val="-1"/>
        </w:rPr>
        <w:t xml:space="preserve"> </w:t>
      </w:r>
      <w:r>
        <w:t>an individual basis.</w:t>
      </w:r>
      <w:r>
        <w:rPr>
          <w:spacing w:val="-14"/>
        </w:rPr>
        <w:t xml:space="preserve"> </w:t>
      </w:r>
      <w:hyperlink w:anchor="_bookmark324" w:history="1">
        <w:r>
          <w:rPr>
            <w:vertAlign w:val="superscript"/>
          </w:rPr>
          <w:t>254</w:t>
        </w:r>
      </w:hyperlink>
      <w:r>
        <w:t xml:space="preserve"> Australia</w:t>
      </w:r>
      <w:r>
        <w:rPr>
          <w:spacing w:val="11"/>
        </w:rPr>
        <w:t xml:space="preserve"> </w:t>
      </w:r>
      <w:r>
        <w:t>argues</w:t>
      </w:r>
      <w:r>
        <w:rPr>
          <w:spacing w:val="14"/>
        </w:rPr>
        <w:t xml:space="preserve"> </w:t>
      </w:r>
      <w:r>
        <w:t>that</w:t>
      </w:r>
      <w:r>
        <w:rPr>
          <w:spacing w:val="13"/>
        </w:rPr>
        <w:t xml:space="preserve"> </w:t>
      </w:r>
      <w:r>
        <w:t>China's</w:t>
      </w:r>
      <w:r>
        <w:rPr>
          <w:spacing w:val="13"/>
        </w:rPr>
        <w:t xml:space="preserve"> </w:t>
      </w:r>
      <w:r>
        <w:t>argument</w:t>
      </w:r>
      <w:r>
        <w:rPr>
          <w:spacing w:val="13"/>
        </w:rPr>
        <w:t xml:space="preserve"> </w:t>
      </w:r>
      <w:r>
        <w:t>is</w:t>
      </w:r>
      <w:r>
        <w:rPr>
          <w:spacing w:val="14"/>
        </w:rPr>
        <w:t xml:space="preserve"> </w:t>
      </w:r>
      <w:r>
        <w:t>an</w:t>
      </w:r>
      <w:r>
        <w:rPr>
          <w:spacing w:val="9"/>
        </w:rPr>
        <w:t xml:space="preserve"> </w:t>
      </w:r>
      <w:r>
        <w:rPr>
          <w:i/>
        </w:rPr>
        <w:t>ex</w:t>
      </w:r>
      <w:r>
        <w:rPr>
          <w:i/>
          <w:spacing w:val="13"/>
        </w:rPr>
        <w:t xml:space="preserve"> </w:t>
      </w:r>
      <w:r>
        <w:rPr>
          <w:i/>
        </w:rPr>
        <w:t>post</w:t>
      </w:r>
      <w:r>
        <w:rPr>
          <w:i/>
          <w:spacing w:val="13"/>
        </w:rPr>
        <w:t xml:space="preserve"> </w:t>
      </w:r>
      <w:r>
        <w:rPr>
          <w:i/>
        </w:rPr>
        <w:t>facto</w:t>
      </w:r>
      <w:r>
        <w:rPr>
          <w:i/>
          <w:spacing w:val="13"/>
        </w:rPr>
        <w:t xml:space="preserve"> </w:t>
      </w:r>
      <w:proofErr w:type="spellStart"/>
      <w:r>
        <w:t>rationalisation</w:t>
      </w:r>
      <w:proofErr w:type="spellEnd"/>
      <w:r>
        <w:rPr>
          <w:spacing w:val="9"/>
        </w:rPr>
        <w:t xml:space="preserve"> </w:t>
      </w:r>
      <w:r>
        <w:t>and</w:t>
      </w:r>
      <w:r>
        <w:rPr>
          <w:spacing w:val="10"/>
        </w:rPr>
        <w:t xml:space="preserve"> </w:t>
      </w:r>
      <w:r>
        <w:t>should</w:t>
      </w:r>
      <w:r>
        <w:rPr>
          <w:spacing w:val="10"/>
        </w:rPr>
        <w:t xml:space="preserve"> </w:t>
      </w:r>
      <w:r>
        <w:t>not</w:t>
      </w:r>
      <w:r>
        <w:rPr>
          <w:spacing w:val="13"/>
        </w:rPr>
        <w:t xml:space="preserve"> </w:t>
      </w:r>
      <w:r>
        <w:rPr>
          <w:spacing w:val="-5"/>
        </w:rPr>
        <w:t>be</w:t>
      </w:r>
    </w:p>
    <w:p w14:paraId="3CD591AD" w14:textId="77777777" w:rsidR="00BD462C" w:rsidRDefault="00BD462C">
      <w:pPr>
        <w:pStyle w:val="BodyText"/>
        <w:rPr>
          <w:sz w:val="20"/>
        </w:rPr>
      </w:pPr>
    </w:p>
    <w:p w14:paraId="68426E84" w14:textId="77777777" w:rsidR="00BD462C" w:rsidRDefault="00BD462C">
      <w:pPr>
        <w:pStyle w:val="BodyText"/>
        <w:rPr>
          <w:sz w:val="20"/>
        </w:rPr>
      </w:pPr>
    </w:p>
    <w:p w14:paraId="5796A188" w14:textId="23B4D137" w:rsidR="00BD462C" w:rsidRDefault="003A07AC">
      <w:pPr>
        <w:pStyle w:val="BodyText"/>
        <w:spacing w:before="8"/>
        <w:rPr>
          <w:sz w:val="15"/>
        </w:rPr>
      </w:pPr>
      <w:r>
        <w:rPr>
          <w:noProof/>
        </w:rPr>
        <mc:AlternateContent>
          <mc:Choice Requires="wps">
            <w:drawing>
              <wp:anchor distT="0" distB="0" distL="0" distR="0" simplePos="0" relativeHeight="488028672" behindDoc="1" locked="0" layoutInCell="1" allowOverlap="1" wp14:anchorId="6ACB00FF" wp14:editId="4163F653">
                <wp:simplePos x="0" y="0"/>
                <wp:positionH relativeFrom="page">
                  <wp:posOffset>812800</wp:posOffset>
                </wp:positionH>
                <wp:positionV relativeFrom="paragraph">
                  <wp:posOffset>126414</wp:posOffset>
                </wp:positionV>
                <wp:extent cx="1828800" cy="8890"/>
                <wp:effectExtent l="0" t="0" r="0" b="0"/>
                <wp:wrapTopAndBottom/>
                <wp:docPr id="1480" name="docshape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1218DC" id="docshape113" o:spid="_x0000_s1026" alt="&quot;&quot;" style="position:absolute;margin-left:64pt;margin-top:9.95pt;width:2in;height:.7pt;z-index:-15287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" fillcolor="black" stroked="f">
                <w10:wrap type="topAndBottom" anchorx="page"/>
              </v:rect>
            </w:pict>
          </mc:Fallback>
        </mc:AlternateContent>
      </w:r>
    </w:p>
    <w:p w14:paraId="48BFC79B" w14:textId="77777777" w:rsidR="00BD462C" w:rsidRDefault="00033D0F">
      <w:pPr>
        <w:spacing w:before="107"/>
        <w:ind w:left="136" w:right="923" w:hanging="1"/>
        <w:rPr>
          <w:sz w:val="18"/>
        </w:rPr>
      </w:pPr>
      <w:bookmarkStart w:id="373" w:name="_bookmark321"/>
      <w:bookmarkEnd w:id="373"/>
      <w:r>
        <w:rPr>
          <w:position w:val="5"/>
          <w:sz w:val="12"/>
        </w:rPr>
        <w:t>251</w:t>
      </w:r>
      <w:r>
        <w:rPr>
          <w:spacing w:val="30"/>
          <w:position w:val="5"/>
          <w:sz w:val="12"/>
        </w:rPr>
        <w:t xml:space="preserve"> </w:t>
      </w:r>
      <w:r>
        <w:rPr>
          <w:sz w:val="18"/>
        </w:rPr>
        <w:t>For example, in relation to Form 6-1-1,</w:t>
      </w:r>
      <w:r>
        <w:rPr>
          <w:spacing w:val="18"/>
          <w:sz w:val="18"/>
        </w:rPr>
        <w:t xml:space="preserve"> </w:t>
      </w:r>
      <w:r>
        <w:rPr>
          <w:sz w:val="18"/>
        </w:rPr>
        <w:t>China argues that "even that updated version was not</w:t>
      </w:r>
      <w:r>
        <w:rPr>
          <w:spacing w:val="17"/>
          <w:sz w:val="18"/>
        </w:rPr>
        <w:t xml:space="preserve"> </w:t>
      </w:r>
      <w:r>
        <w:rPr>
          <w:sz w:val="18"/>
        </w:rPr>
        <w:t>complete".</w:t>
      </w:r>
      <w:r>
        <w:rPr>
          <w:spacing w:val="17"/>
          <w:sz w:val="18"/>
        </w:rPr>
        <w:t xml:space="preserve"> </w:t>
      </w:r>
      <w:r>
        <w:rPr>
          <w:sz w:val="18"/>
        </w:rPr>
        <w:t>China's first written submission, para. 304.</w:t>
      </w:r>
    </w:p>
    <w:p w14:paraId="0059600D" w14:textId="77777777" w:rsidR="00BD462C" w:rsidRDefault="00033D0F">
      <w:pPr>
        <w:spacing w:before="2"/>
        <w:ind w:left="135"/>
        <w:rPr>
          <w:sz w:val="18"/>
        </w:rPr>
      </w:pPr>
      <w:bookmarkStart w:id="374" w:name="_bookmark322"/>
      <w:bookmarkEnd w:id="374"/>
      <w:r>
        <w:rPr>
          <w:position w:val="5"/>
          <w:sz w:val="12"/>
        </w:rPr>
        <w:t>252</w:t>
      </w:r>
      <w:r>
        <w:rPr>
          <w:spacing w:val="12"/>
          <w:position w:val="5"/>
          <w:sz w:val="12"/>
        </w:rPr>
        <w:t xml:space="preserve"> </w:t>
      </w:r>
      <w:r>
        <w:rPr>
          <w:sz w:val="18"/>
        </w:rPr>
        <w:t>China's</w:t>
      </w:r>
      <w:r>
        <w:rPr>
          <w:spacing w:val="-6"/>
          <w:sz w:val="18"/>
        </w:rPr>
        <w:t xml:space="preserve"> </w:t>
      </w:r>
      <w:r>
        <w:rPr>
          <w:sz w:val="18"/>
        </w:rPr>
        <w:t>first</w:t>
      </w:r>
      <w:r>
        <w:rPr>
          <w:spacing w:val="-5"/>
          <w:sz w:val="18"/>
        </w:rPr>
        <w:t xml:space="preserve"> </w:t>
      </w:r>
      <w:r>
        <w:rPr>
          <w:sz w:val="18"/>
        </w:rPr>
        <w:t>written</w:t>
      </w:r>
      <w:r>
        <w:rPr>
          <w:spacing w:val="-7"/>
          <w:sz w:val="18"/>
        </w:rPr>
        <w:t xml:space="preserve"> </w:t>
      </w:r>
      <w:r>
        <w:rPr>
          <w:sz w:val="18"/>
        </w:rPr>
        <w:t>submission, paras.</w:t>
      </w:r>
      <w:r>
        <w:rPr>
          <w:spacing w:val="-5"/>
          <w:sz w:val="18"/>
        </w:rPr>
        <w:t xml:space="preserve"> </w:t>
      </w:r>
      <w:r>
        <w:rPr>
          <w:sz w:val="18"/>
        </w:rPr>
        <w:t>304,</w:t>
      </w:r>
      <w:r>
        <w:rPr>
          <w:spacing w:val="-4"/>
          <w:sz w:val="18"/>
        </w:rPr>
        <w:t xml:space="preserve"> </w:t>
      </w:r>
      <w:r>
        <w:rPr>
          <w:sz w:val="18"/>
        </w:rPr>
        <w:t>339, 386,</w:t>
      </w:r>
      <w:r>
        <w:rPr>
          <w:spacing w:val="1"/>
          <w:sz w:val="18"/>
        </w:rPr>
        <w:t xml:space="preserve"> </w:t>
      </w:r>
      <w:r>
        <w:rPr>
          <w:spacing w:val="-4"/>
          <w:sz w:val="18"/>
        </w:rPr>
        <w:t>427.</w:t>
      </w:r>
    </w:p>
    <w:p w14:paraId="7FC684EC" w14:textId="77777777" w:rsidR="00BD462C" w:rsidRDefault="00033D0F">
      <w:pPr>
        <w:spacing w:before="1"/>
        <w:ind w:left="135"/>
        <w:rPr>
          <w:sz w:val="18"/>
        </w:rPr>
      </w:pPr>
      <w:bookmarkStart w:id="375" w:name="_bookmark323"/>
      <w:bookmarkEnd w:id="375"/>
      <w:r>
        <w:rPr>
          <w:position w:val="5"/>
          <w:sz w:val="12"/>
        </w:rPr>
        <w:t>253</w:t>
      </w:r>
      <w:r>
        <w:rPr>
          <w:spacing w:val="13"/>
          <w:position w:val="5"/>
          <w:sz w:val="12"/>
        </w:rPr>
        <w:t xml:space="preserve"> </w:t>
      </w:r>
      <w:r>
        <w:rPr>
          <w:sz w:val="18"/>
        </w:rPr>
        <w:t>China's</w:t>
      </w:r>
      <w:r>
        <w:rPr>
          <w:spacing w:val="-5"/>
          <w:sz w:val="18"/>
        </w:rPr>
        <w:t xml:space="preserve"> </w:t>
      </w:r>
      <w:r>
        <w:rPr>
          <w:sz w:val="18"/>
        </w:rPr>
        <w:t>first</w:t>
      </w:r>
      <w:r>
        <w:rPr>
          <w:spacing w:val="-4"/>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paras.</w:t>
      </w:r>
      <w:r>
        <w:rPr>
          <w:spacing w:val="-4"/>
          <w:sz w:val="18"/>
        </w:rPr>
        <w:t xml:space="preserve"> </w:t>
      </w:r>
      <w:r>
        <w:rPr>
          <w:sz w:val="18"/>
        </w:rPr>
        <w:t>340,</w:t>
      </w:r>
      <w:r>
        <w:rPr>
          <w:spacing w:val="-4"/>
          <w:sz w:val="18"/>
        </w:rPr>
        <w:t xml:space="preserve"> 429.</w:t>
      </w:r>
    </w:p>
    <w:p w14:paraId="7DE64665" w14:textId="77777777" w:rsidR="00BD462C" w:rsidRDefault="00033D0F">
      <w:pPr>
        <w:spacing w:before="1"/>
        <w:ind w:left="135"/>
        <w:rPr>
          <w:sz w:val="18"/>
        </w:rPr>
      </w:pPr>
      <w:bookmarkStart w:id="376" w:name="_bookmark324"/>
      <w:bookmarkEnd w:id="376"/>
      <w:r>
        <w:rPr>
          <w:position w:val="5"/>
          <w:sz w:val="12"/>
        </w:rPr>
        <w:t>254</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 xml:space="preserve">submission, para. </w:t>
      </w:r>
      <w:r>
        <w:rPr>
          <w:spacing w:val="-4"/>
          <w:sz w:val="18"/>
        </w:rPr>
        <w:t>272.</w:t>
      </w:r>
    </w:p>
    <w:p w14:paraId="0627983E" w14:textId="77777777" w:rsidR="00BD462C" w:rsidRDefault="00BD462C">
      <w:pPr>
        <w:rPr>
          <w:sz w:val="18"/>
        </w:rPr>
        <w:sectPr w:rsidR="00BD462C">
          <w:pgSz w:w="11910" w:h="16840"/>
          <w:pgMar w:top="860" w:right="500" w:bottom="780" w:left="1280" w:header="566" w:footer="590" w:gutter="0"/>
          <w:cols w:space="720"/>
        </w:sectPr>
      </w:pPr>
    </w:p>
    <w:p w14:paraId="38082644"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2BB0CAD5"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386215D6"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25EC7F05" w14:textId="77777777" w:rsidR="00BD462C" w:rsidRDefault="00033D0F">
      <w:pPr>
        <w:pStyle w:val="BodyText"/>
        <w:spacing w:before="102" w:line="360" w:lineRule="auto"/>
        <w:ind w:left="135" w:right="914"/>
        <w:jc w:val="both"/>
      </w:pPr>
      <w:r>
        <w:t>considered</w:t>
      </w:r>
      <w:r>
        <w:rPr>
          <w:spacing w:val="-14"/>
        </w:rPr>
        <w:t xml:space="preserve"> </w:t>
      </w:r>
      <w:r>
        <w:t>by</w:t>
      </w:r>
      <w:r>
        <w:rPr>
          <w:spacing w:val="-13"/>
        </w:rPr>
        <w:t xml:space="preserve"> </w:t>
      </w:r>
      <w:r>
        <w:t>the</w:t>
      </w:r>
      <w:r>
        <w:rPr>
          <w:spacing w:val="-3"/>
        </w:rPr>
        <w:t xml:space="preserve"> </w:t>
      </w:r>
      <w:r>
        <w:t>Panel.</w:t>
      </w:r>
      <w:r>
        <w:rPr>
          <w:spacing w:val="-14"/>
        </w:rPr>
        <w:t xml:space="preserve"> </w:t>
      </w:r>
      <w:hyperlink w:anchor="_bookmark326" w:history="1">
        <w:r>
          <w:rPr>
            <w:vertAlign w:val="superscript"/>
          </w:rPr>
          <w:t>255</w:t>
        </w:r>
      </w:hyperlink>
      <w:r>
        <w:rPr>
          <w:spacing w:val="-3"/>
        </w:rPr>
        <w:t xml:space="preserve"> </w:t>
      </w:r>
      <w:r>
        <w:t>However,</w:t>
      </w:r>
      <w:r>
        <w:rPr>
          <w:spacing w:val="-1"/>
        </w:rPr>
        <w:t xml:space="preserve"> </w:t>
      </w:r>
      <w:r>
        <w:t>even</w:t>
      </w:r>
      <w:r>
        <w:rPr>
          <w:spacing w:val="-5"/>
        </w:rPr>
        <w:t xml:space="preserve"> </w:t>
      </w:r>
      <w:r>
        <w:t>if</w:t>
      </w:r>
      <w:r>
        <w:rPr>
          <w:spacing w:val="-5"/>
        </w:rPr>
        <w:t xml:space="preserve"> </w:t>
      </w:r>
      <w:r>
        <w:t>the</w:t>
      </w:r>
      <w:r>
        <w:rPr>
          <w:spacing w:val="-4"/>
        </w:rPr>
        <w:t xml:space="preserve"> </w:t>
      </w:r>
      <w:r>
        <w:t>Panel</w:t>
      </w:r>
      <w:r>
        <w:rPr>
          <w:spacing w:val="-1"/>
        </w:rPr>
        <w:t xml:space="preserve"> </w:t>
      </w:r>
      <w:r>
        <w:t>agrees</w:t>
      </w:r>
      <w:r>
        <w:rPr>
          <w:spacing w:val="-2"/>
        </w:rPr>
        <w:t xml:space="preserve"> </w:t>
      </w:r>
      <w:r>
        <w:t>that</w:t>
      </w:r>
      <w:r>
        <w:rPr>
          <w:spacing w:val="-3"/>
        </w:rPr>
        <w:t xml:space="preserve"> </w:t>
      </w:r>
      <w:r>
        <w:t>the</w:t>
      </w:r>
      <w:r>
        <w:rPr>
          <w:spacing w:val="-4"/>
        </w:rPr>
        <w:t xml:space="preserve"> </w:t>
      </w:r>
      <w:r>
        <w:t>phrases</w:t>
      </w:r>
      <w:r>
        <w:rPr>
          <w:spacing w:val="-2"/>
        </w:rPr>
        <w:t xml:space="preserve"> </w:t>
      </w:r>
      <w:r>
        <w:t>"in</w:t>
      </w:r>
      <w:r>
        <w:rPr>
          <w:spacing w:val="-5"/>
        </w:rPr>
        <w:t xml:space="preserve"> </w:t>
      </w:r>
      <w:r>
        <w:t>summary" or "to sum up" evidence a holistic analysis, as China contends, MOFCOM failed to provide "reasons" of the standard required by paragraph 6 of Annex II.</w:t>
      </w:r>
    </w:p>
    <w:p w14:paraId="7CD1B935" w14:textId="77777777" w:rsidR="00BD462C" w:rsidRDefault="00BD462C">
      <w:pPr>
        <w:pStyle w:val="BodyText"/>
        <w:spacing w:before="11"/>
        <w:rPr>
          <w:sz w:val="8"/>
        </w:rPr>
      </w:pPr>
    </w:p>
    <w:p w14:paraId="14BB10A8" w14:textId="74DF618D" w:rsidR="00BD462C" w:rsidRDefault="00033D0F" w:rsidP="009B7B7C">
      <w:pPr>
        <w:pStyle w:val="BodyText"/>
        <w:numPr>
          <w:ilvl w:val="0"/>
          <w:numId w:val="69"/>
        </w:numPr>
        <w:spacing w:before="56" w:line="357" w:lineRule="auto"/>
        <w:ind w:right="916"/>
        <w:jc w:val="both"/>
      </w:pPr>
      <w:r>
        <w:rPr>
          <w:position w:val="1"/>
        </w:rPr>
        <w:t xml:space="preserve">The ordinary meaning of "reason" is "an account or explanation of, or answer to, </w:t>
      </w:r>
      <w:r>
        <w:t>something".</w:t>
      </w:r>
      <w:hyperlink w:anchor="_bookmark327" w:history="1">
        <w:r>
          <w:rPr>
            <w:vertAlign w:val="superscript"/>
          </w:rPr>
          <w:t>256</w:t>
        </w:r>
      </w:hyperlink>
      <w:r>
        <w:rPr>
          <w:spacing w:val="-14"/>
        </w:rPr>
        <w:t xml:space="preserve"> </w:t>
      </w:r>
      <w:r>
        <w:t>MOFCOM's</w:t>
      </w:r>
      <w:r>
        <w:rPr>
          <w:spacing w:val="-14"/>
        </w:rPr>
        <w:t xml:space="preserve"> </w:t>
      </w:r>
      <w:r>
        <w:t>use</w:t>
      </w:r>
      <w:r>
        <w:rPr>
          <w:spacing w:val="-13"/>
        </w:rPr>
        <w:t xml:space="preserve"> </w:t>
      </w:r>
      <w:r>
        <w:t>of</w:t>
      </w:r>
      <w:r>
        <w:rPr>
          <w:spacing w:val="-14"/>
        </w:rPr>
        <w:t xml:space="preserve"> </w:t>
      </w:r>
      <w:r>
        <w:t>the</w:t>
      </w:r>
      <w:r>
        <w:rPr>
          <w:spacing w:val="-13"/>
        </w:rPr>
        <w:t xml:space="preserve"> </w:t>
      </w:r>
      <w:r>
        <w:t>phrases</w:t>
      </w:r>
      <w:r>
        <w:rPr>
          <w:spacing w:val="-14"/>
        </w:rPr>
        <w:t xml:space="preserve"> </w:t>
      </w:r>
      <w:r>
        <w:t>"in</w:t>
      </w:r>
      <w:r>
        <w:rPr>
          <w:spacing w:val="-13"/>
        </w:rPr>
        <w:t xml:space="preserve"> </w:t>
      </w:r>
      <w:r>
        <w:t>summary"</w:t>
      </w:r>
      <w:r>
        <w:rPr>
          <w:spacing w:val="-14"/>
        </w:rPr>
        <w:t xml:space="preserve"> </w:t>
      </w:r>
      <w:r>
        <w:t>and</w:t>
      </w:r>
      <w:r>
        <w:rPr>
          <w:spacing w:val="-14"/>
        </w:rPr>
        <w:t xml:space="preserve"> </w:t>
      </w:r>
      <w:r>
        <w:t>"to</w:t>
      </w:r>
      <w:r>
        <w:rPr>
          <w:spacing w:val="-13"/>
        </w:rPr>
        <w:t xml:space="preserve"> </w:t>
      </w:r>
      <w:r>
        <w:t>sum</w:t>
      </w:r>
      <w:r>
        <w:rPr>
          <w:spacing w:val="-14"/>
        </w:rPr>
        <w:t xml:space="preserve"> </w:t>
      </w:r>
      <w:r>
        <w:t>up"</w:t>
      </w:r>
      <w:r>
        <w:rPr>
          <w:spacing w:val="-13"/>
        </w:rPr>
        <w:t xml:space="preserve"> </w:t>
      </w:r>
      <w:r>
        <w:t>to</w:t>
      </w:r>
      <w:r>
        <w:rPr>
          <w:spacing w:val="-13"/>
        </w:rPr>
        <w:t xml:space="preserve"> </w:t>
      </w:r>
      <w:r>
        <w:t>do</w:t>
      </w:r>
      <w:r>
        <w:rPr>
          <w:spacing w:val="-12"/>
        </w:rPr>
        <w:t xml:space="preserve"> </w:t>
      </w:r>
      <w:r>
        <w:t>not</w:t>
      </w:r>
      <w:r>
        <w:rPr>
          <w:spacing w:val="-9"/>
        </w:rPr>
        <w:t xml:space="preserve"> </w:t>
      </w:r>
      <w:r>
        <w:t>provide an account or explanation of the "holistic analysis" China now argues it undertook, and the varying level of importance assigned to different parts of the analysis.</w:t>
      </w:r>
    </w:p>
    <w:p w14:paraId="677AADCF" w14:textId="77777777" w:rsidR="00BD462C" w:rsidRDefault="00BD462C">
      <w:pPr>
        <w:pStyle w:val="BodyText"/>
        <w:spacing w:before="3"/>
        <w:rPr>
          <w:sz w:val="9"/>
        </w:rPr>
      </w:pPr>
    </w:p>
    <w:p w14:paraId="686AC18D" w14:textId="63384D0D" w:rsidR="00BD462C" w:rsidRDefault="00033D0F" w:rsidP="009B7B7C">
      <w:pPr>
        <w:pStyle w:val="BodyText"/>
        <w:numPr>
          <w:ilvl w:val="0"/>
          <w:numId w:val="69"/>
        </w:numPr>
        <w:spacing w:before="56" w:line="360" w:lineRule="auto"/>
        <w:ind w:right="914"/>
        <w:jc w:val="both"/>
      </w:pPr>
      <w:r>
        <w:rPr>
          <w:position w:val="1"/>
        </w:rPr>
        <w:t>For</w:t>
      </w:r>
      <w:r>
        <w:rPr>
          <w:spacing w:val="-1"/>
          <w:position w:val="1"/>
        </w:rPr>
        <w:t xml:space="preserve"> </w:t>
      </w:r>
      <w:r>
        <w:rPr>
          <w:position w:val="1"/>
        </w:rPr>
        <w:t>example, China now contends that the principal basis to</w:t>
      </w:r>
      <w:r>
        <w:rPr>
          <w:spacing w:val="-1"/>
          <w:position w:val="1"/>
        </w:rPr>
        <w:t xml:space="preserve"> </w:t>
      </w:r>
      <w:r>
        <w:rPr>
          <w:position w:val="1"/>
        </w:rPr>
        <w:t>resort to</w:t>
      </w:r>
      <w:r>
        <w:rPr>
          <w:spacing w:val="-1"/>
          <w:position w:val="1"/>
        </w:rPr>
        <w:t xml:space="preserve"> </w:t>
      </w:r>
      <w:r>
        <w:rPr>
          <w:position w:val="1"/>
        </w:rPr>
        <w:t xml:space="preserve">facts available </w:t>
      </w:r>
      <w:r>
        <w:t>was Treasury Wines' failure to</w:t>
      </w:r>
      <w:r>
        <w:rPr>
          <w:spacing w:val="-1"/>
        </w:rPr>
        <w:t xml:space="preserve"> </w:t>
      </w:r>
      <w:r>
        <w:t>report the cost of production</w:t>
      </w:r>
      <w:r>
        <w:rPr>
          <w:spacing w:val="-1"/>
        </w:rPr>
        <w:t xml:space="preserve"> </w:t>
      </w:r>
      <w:r>
        <w:t>of all PCNs sold</w:t>
      </w:r>
      <w:r>
        <w:rPr>
          <w:spacing w:val="-1"/>
        </w:rPr>
        <w:t xml:space="preserve"> </w:t>
      </w:r>
      <w:r>
        <w:t>on</w:t>
      </w:r>
      <w:r>
        <w:rPr>
          <w:spacing w:val="-1"/>
        </w:rPr>
        <w:t xml:space="preserve"> </w:t>
      </w:r>
      <w:r>
        <w:t>the domestic market. MOFCOM was obliged to inform Treasury Wines without delay that the failure to report</w:t>
      </w:r>
      <w:r>
        <w:rPr>
          <w:spacing w:val="-7"/>
        </w:rPr>
        <w:t xml:space="preserve"> </w:t>
      </w:r>
      <w:r>
        <w:t>this</w:t>
      </w:r>
      <w:r>
        <w:rPr>
          <w:spacing w:val="-10"/>
        </w:rPr>
        <w:t xml:space="preserve"> </w:t>
      </w:r>
      <w:r>
        <w:t>information</w:t>
      </w:r>
      <w:r>
        <w:rPr>
          <w:spacing w:val="-9"/>
        </w:rPr>
        <w:t xml:space="preserve"> </w:t>
      </w:r>
      <w:r>
        <w:t>was</w:t>
      </w:r>
      <w:r>
        <w:rPr>
          <w:spacing w:val="-10"/>
        </w:rPr>
        <w:t xml:space="preserve"> </w:t>
      </w:r>
      <w:r>
        <w:t>the</w:t>
      </w:r>
      <w:r>
        <w:rPr>
          <w:spacing w:val="-7"/>
        </w:rPr>
        <w:t xml:space="preserve"> </w:t>
      </w:r>
      <w:r>
        <w:t>"major</w:t>
      </w:r>
      <w:r>
        <w:rPr>
          <w:spacing w:val="-10"/>
        </w:rPr>
        <w:t xml:space="preserve"> </w:t>
      </w:r>
      <w:r>
        <w:t>reason"</w:t>
      </w:r>
      <w:r>
        <w:rPr>
          <w:spacing w:val="-8"/>
        </w:rPr>
        <w:t xml:space="preserve"> </w:t>
      </w:r>
      <w:r>
        <w:t>for</w:t>
      </w:r>
      <w:r>
        <w:rPr>
          <w:spacing w:val="-10"/>
        </w:rPr>
        <w:t xml:space="preserve"> </w:t>
      </w:r>
      <w:r>
        <w:t>resort</w:t>
      </w:r>
      <w:r>
        <w:rPr>
          <w:spacing w:val="-7"/>
        </w:rPr>
        <w:t xml:space="preserve"> </w:t>
      </w:r>
      <w:r>
        <w:t>to</w:t>
      </w:r>
      <w:r>
        <w:rPr>
          <w:spacing w:val="-10"/>
        </w:rPr>
        <w:t xml:space="preserve"> </w:t>
      </w:r>
      <w:r>
        <w:t>facts</w:t>
      </w:r>
      <w:r>
        <w:rPr>
          <w:spacing w:val="-10"/>
        </w:rPr>
        <w:t xml:space="preserve"> </w:t>
      </w:r>
      <w:r>
        <w:t>available</w:t>
      </w:r>
      <w:r>
        <w:rPr>
          <w:spacing w:val="-12"/>
        </w:rPr>
        <w:t xml:space="preserve"> </w:t>
      </w:r>
      <w:r>
        <w:t>and</w:t>
      </w:r>
      <w:r>
        <w:rPr>
          <w:spacing w:val="-14"/>
        </w:rPr>
        <w:t xml:space="preserve"> </w:t>
      </w:r>
      <w:r>
        <w:t>given</w:t>
      </w:r>
      <w:r>
        <w:rPr>
          <w:spacing w:val="-14"/>
        </w:rPr>
        <w:t xml:space="preserve"> </w:t>
      </w:r>
      <w:r>
        <w:t>Treasury Wines an opportunity to provide further explanations. MOFCOM failed to do so.</w:t>
      </w:r>
    </w:p>
    <w:p w14:paraId="629038E1" w14:textId="77777777" w:rsidR="00BD462C" w:rsidRDefault="00033D0F" w:rsidP="00DA02D9">
      <w:pPr>
        <w:pStyle w:val="ListParagraph"/>
        <w:numPr>
          <w:ilvl w:val="1"/>
          <w:numId w:val="70"/>
        </w:numPr>
        <w:tabs>
          <w:tab w:val="left" w:pos="3539"/>
          <w:tab w:val="left" w:pos="3540"/>
        </w:tabs>
        <w:spacing w:before="156"/>
        <w:ind w:hanging="851"/>
        <w:jc w:val="both"/>
        <w:rPr>
          <w:sz w:val="24"/>
        </w:rPr>
      </w:pPr>
      <w:r>
        <w:rPr>
          <w:spacing w:val="-2"/>
          <w:sz w:val="24"/>
          <w:u w:val="single"/>
        </w:rPr>
        <w:t>Conclusion</w:t>
      </w:r>
    </w:p>
    <w:p w14:paraId="51E2F6D7" w14:textId="77777777" w:rsidR="00BD462C" w:rsidRDefault="00BD462C">
      <w:pPr>
        <w:pStyle w:val="BodyText"/>
        <w:spacing w:before="11"/>
        <w:rPr>
          <w:sz w:val="20"/>
        </w:rPr>
      </w:pPr>
    </w:p>
    <w:p w14:paraId="0B246D8D" w14:textId="20490DAA" w:rsidR="00BD462C" w:rsidRDefault="00033D0F" w:rsidP="009B7B7C">
      <w:pPr>
        <w:pStyle w:val="BodyText"/>
        <w:numPr>
          <w:ilvl w:val="0"/>
          <w:numId w:val="69"/>
        </w:numPr>
        <w:spacing w:before="56" w:line="360" w:lineRule="auto"/>
        <w:ind w:right="914"/>
        <w:jc w:val="both"/>
      </w:pPr>
      <w:r>
        <w:rPr>
          <w:position w:val="1"/>
        </w:rPr>
        <w:t xml:space="preserve">China has failed to rebut Australia's claims that MOFCOM failed to notify Treasury </w:t>
      </w:r>
      <w:r>
        <w:t xml:space="preserve">Wines "forthwith" that its information was not </w:t>
      </w:r>
      <w:proofErr w:type="gramStart"/>
      <w:r>
        <w:t>accepted, and</w:t>
      </w:r>
      <w:proofErr w:type="gramEnd"/>
      <w:r>
        <w:t xml:space="preserve"> failed to provide "reasons" which</w:t>
      </w:r>
      <w:r>
        <w:rPr>
          <w:spacing w:val="-14"/>
        </w:rPr>
        <w:t xml:space="preserve"> </w:t>
      </w:r>
      <w:r>
        <w:t>sufficiently</w:t>
      </w:r>
      <w:r>
        <w:rPr>
          <w:spacing w:val="-14"/>
        </w:rPr>
        <w:t xml:space="preserve"> </w:t>
      </w:r>
      <w:r>
        <w:t>explained</w:t>
      </w:r>
      <w:r>
        <w:rPr>
          <w:spacing w:val="-13"/>
        </w:rPr>
        <w:t xml:space="preserve"> </w:t>
      </w:r>
      <w:r>
        <w:t>why</w:t>
      </w:r>
      <w:r>
        <w:rPr>
          <w:spacing w:val="-14"/>
        </w:rPr>
        <w:t xml:space="preserve"> </w:t>
      </w:r>
      <w:r>
        <w:t>MOFCOM</w:t>
      </w:r>
      <w:r>
        <w:rPr>
          <w:spacing w:val="-13"/>
        </w:rPr>
        <w:t xml:space="preserve"> </w:t>
      </w:r>
      <w:r>
        <w:t>was</w:t>
      </w:r>
      <w:r>
        <w:rPr>
          <w:spacing w:val="-14"/>
        </w:rPr>
        <w:t xml:space="preserve"> </w:t>
      </w:r>
      <w:r>
        <w:t>rejecting</w:t>
      </w:r>
      <w:r>
        <w:rPr>
          <w:spacing w:val="-13"/>
        </w:rPr>
        <w:t xml:space="preserve"> </w:t>
      </w:r>
      <w:r>
        <w:t>the</w:t>
      </w:r>
      <w:r>
        <w:rPr>
          <w:spacing w:val="-14"/>
        </w:rPr>
        <w:t xml:space="preserve"> </w:t>
      </w:r>
      <w:r>
        <w:t>information.</w:t>
      </w:r>
      <w:r>
        <w:rPr>
          <w:spacing w:val="-14"/>
        </w:rPr>
        <w:t xml:space="preserve"> </w:t>
      </w:r>
      <w:r>
        <w:t>Moreover,</w:t>
      </w:r>
      <w:r>
        <w:rPr>
          <w:spacing w:val="-13"/>
        </w:rPr>
        <w:t xml:space="preserve"> </w:t>
      </w:r>
      <w:r>
        <w:t>Australia has explained that China's interpretation of paragraph 6 of Annex II is unduly narrow.</w:t>
      </w:r>
    </w:p>
    <w:p w14:paraId="0F8B6CBA" w14:textId="77777777" w:rsidR="00BD462C" w:rsidRDefault="00BD462C">
      <w:pPr>
        <w:pStyle w:val="BodyText"/>
        <w:spacing w:before="8"/>
        <w:rPr>
          <w:sz w:val="8"/>
        </w:rPr>
      </w:pPr>
    </w:p>
    <w:p w14:paraId="72D6DF61" w14:textId="3B2ECD10" w:rsidR="00BD462C" w:rsidRDefault="00033D0F" w:rsidP="009B7B7C">
      <w:pPr>
        <w:pStyle w:val="BodyText"/>
        <w:numPr>
          <w:ilvl w:val="0"/>
          <w:numId w:val="69"/>
        </w:numPr>
        <w:spacing w:before="56" w:line="355" w:lineRule="auto"/>
      </w:pPr>
      <w:r>
        <w:rPr>
          <w:position w:val="1"/>
        </w:rPr>
        <w:t>For the reasons set out above and in Australia's previous submissions,</w:t>
      </w:r>
      <w:r>
        <w:rPr>
          <w:spacing w:val="18"/>
          <w:position w:val="1"/>
        </w:rPr>
        <w:t xml:space="preserve"> </w:t>
      </w:r>
      <w:r>
        <w:rPr>
          <w:position w:val="1"/>
        </w:rPr>
        <w:t xml:space="preserve">China acted </w:t>
      </w:r>
      <w:r>
        <w:t>inconsistently with Article 6.8 and paragraph 6 of Annex II.</w:t>
      </w:r>
    </w:p>
    <w:p w14:paraId="384474D7" w14:textId="77777777" w:rsidR="00BD462C" w:rsidRDefault="00033D0F" w:rsidP="00DA02D9">
      <w:pPr>
        <w:pStyle w:val="Heading3"/>
        <w:numPr>
          <w:ilvl w:val="0"/>
          <w:numId w:val="70"/>
        </w:numPr>
        <w:tabs>
          <w:tab w:val="left" w:pos="2689"/>
          <w:tab w:val="left" w:pos="2690"/>
        </w:tabs>
        <w:spacing w:before="166" w:line="362" w:lineRule="auto"/>
        <w:ind w:right="917"/>
      </w:pPr>
      <w:bookmarkStart w:id="377" w:name="7._MOFCOM's_selection_of_facts_was_not_a"/>
      <w:bookmarkStart w:id="378" w:name="_bookmark325"/>
      <w:bookmarkEnd w:id="377"/>
      <w:bookmarkEnd w:id="378"/>
      <w:r>
        <w:t>MOFCOM's selection of facts was not a reasonable replacement for the missing necessary information</w:t>
      </w:r>
    </w:p>
    <w:p w14:paraId="35432576" w14:textId="77777777" w:rsidR="00BD462C" w:rsidRDefault="00BD462C">
      <w:pPr>
        <w:pStyle w:val="BodyText"/>
        <w:spacing w:before="7"/>
        <w:rPr>
          <w:b/>
          <w:sz w:val="8"/>
        </w:rPr>
      </w:pPr>
    </w:p>
    <w:p w14:paraId="6C00F309" w14:textId="50BAE3A2" w:rsidR="00BD462C" w:rsidRDefault="00033D0F" w:rsidP="009B7B7C">
      <w:pPr>
        <w:pStyle w:val="BodyText"/>
        <w:numPr>
          <w:ilvl w:val="0"/>
          <w:numId w:val="69"/>
        </w:numPr>
        <w:spacing w:before="56" w:line="360" w:lineRule="auto"/>
        <w:ind w:right="910"/>
        <w:jc w:val="both"/>
      </w:pPr>
      <w:r>
        <w:rPr>
          <w:position w:val="1"/>
        </w:rPr>
        <w:t xml:space="preserve">Australia does not accept that MOFCOM was permitted to use facts available to </w:t>
      </w:r>
      <w:r>
        <w:t>determine the cost of production for Treasury Wines necessary for the below cost test, and ultimately</w:t>
      </w:r>
      <w:r>
        <w:rPr>
          <w:spacing w:val="-3"/>
        </w:rPr>
        <w:t xml:space="preserve"> </w:t>
      </w:r>
      <w:r>
        <w:t>the constructed</w:t>
      </w:r>
      <w:r>
        <w:rPr>
          <w:spacing w:val="-2"/>
        </w:rPr>
        <w:t xml:space="preserve"> </w:t>
      </w:r>
      <w:r>
        <w:t xml:space="preserve">normal value. </w:t>
      </w:r>
    </w:p>
    <w:p w14:paraId="7B7891EF" w14:textId="1376A342" w:rsidR="00BD462C" w:rsidRDefault="003A07AC">
      <w:pPr>
        <w:pStyle w:val="BodyText"/>
        <w:rPr>
          <w:sz w:val="11"/>
        </w:rPr>
      </w:pPr>
      <w:r>
        <w:rPr>
          <w:noProof/>
        </w:rPr>
        <mc:AlternateContent>
          <mc:Choice Requires="wps">
            <w:drawing>
              <wp:anchor distT="0" distB="0" distL="0" distR="0" simplePos="0" relativeHeight="488030720" behindDoc="1" locked="0" layoutInCell="1" allowOverlap="1" wp14:anchorId="4961E049" wp14:editId="4FF01841">
                <wp:simplePos x="0" y="0"/>
                <wp:positionH relativeFrom="page">
                  <wp:posOffset>812800</wp:posOffset>
                </wp:positionH>
                <wp:positionV relativeFrom="paragraph">
                  <wp:posOffset>90854</wp:posOffset>
                </wp:positionV>
                <wp:extent cx="1828800" cy="8890"/>
                <wp:effectExtent l="0" t="0" r="0" b="0"/>
                <wp:wrapTopAndBottom/>
                <wp:docPr id="1482" name="docshape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C0830D" id="docshape113" o:spid="_x0000_s1026" alt="&quot;&quot;" style="position:absolute;margin-left:64pt;margin-top:7.15pt;width:2in;height:.7pt;z-index:-15285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" fillcolor="black" stroked="f">
                <w10:wrap type="topAndBottom" anchorx="page"/>
              </v:rect>
            </w:pict>
          </mc:Fallback>
        </mc:AlternateContent>
      </w:r>
    </w:p>
    <w:p w14:paraId="5B836CCB" w14:textId="77777777" w:rsidR="00BD462C" w:rsidRDefault="00033D0F">
      <w:pPr>
        <w:spacing w:before="112"/>
        <w:ind w:left="135"/>
        <w:rPr>
          <w:sz w:val="18"/>
        </w:rPr>
      </w:pPr>
      <w:bookmarkStart w:id="379" w:name="_bookmark326"/>
      <w:bookmarkEnd w:id="379"/>
      <w:r>
        <w:rPr>
          <w:position w:val="5"/>
          <w:sz w:val="12"/>
        </w:rPr>
        <w:t>255</w:t>
      </w:r>
      <w:r>
        <w:rPr>
          <w:spacing w:val="15"/>
          <w:position w:val="5"/>
          <w:sz w:val="12"/>
        </w:rPr>
        <w:t xml:space="preserve"> </w:t>
      </w:r>
      <w:r>
        <w:rPr>
          <w:sz w:val="18"/>
        </w:rPr>
        <w:t>See</w:t>
      </w:r>
      <w:r>
        <w:rPr>
          <w:spacing w:val="-4"/>
          <w:sz w:val="18"/>
        </w:rPr>
        <w:t xml:space="preserve"> </w:t>
      </w:r>
      <w:r>
        <w:rPr>
          <w:sz w:val="18"/>
        </w:rPr>
        <w:t>above,</w:t>
      </w:r>
      <w:r>
        <w:rPr>
          <w:spacing w:val="-1"/>
          <w:sz w:val="18"/>
        </w:rPr>
        <w:t xml:space="preserve"> </w:t>
      </w:r>
      <w:r>
        <w:rPr>
          <w:sz w:val="18"/>
        </w:rPr>
        <w:t>section</w:t>
      </w:r>
      <w:r>
        <w:rPr>
          <w:spacing w:val="-5"/>
          <w:sz w:val="18"/>
        </w:rPr>
        <w:t xml:space="preserve"> </w:t>
      </w:r>
      <w:hyperlink w:anchor="_bookmark150" w:history="1">
        <w:r>
          <w:rPr>
            <w:spacing w:val="-2"/>
            <w:sz w:val="18"/>
          </w:rPr>
          <w:t>III.B.2</w:t>
        </w:r>
      </w:hyperlink>
    </w:p>
    <w:p w14:paraId="5BF18209" w14:textId="77777777" w:rsidR="00BD462C" w:rsidRDefault="00033D0F">
      <w:pPr>
        <w:spacing w:before="1"/>
        <w:ind w:left="135"/>
        <w:rPr>
          <w:sz w:val="18"/>
        </w:rPr>
      </w:pPr>
      <w:bookmarkStart w:id="380" w:name="_bookmark327"/>
      <w:bookmarkEnd w:id="380"/>
      <w:r>
        <w:rPr>
          <w:position w:val="5"/>
          <w:sz w:val="12"/>
        </w:rPr>
        <w:t>256</w:t>
      </w:r>
      <w:r>
        <w:rPr>
          <w:spacing w:val="7"/>
          <w:position w:val="5"/>
          <w:sz w:val="12"/>
        </w:rPr>
        <w:t xml:space="preserve"> </w:t>
      </w:r>
      <w:r>
        <w:rPr>
          <w:sz w:val="18"/>
        </w:rPr>
        <w:t>Oxford</w:t>
      </w:r>
      <w:r>
        <w:rPr>
          <w:spacing w:val="-10"/>
          <w:sz w:val="18"/>
        </w:rPr>
        <w:t xml:space="preserve"> </w:t>
      </w:r>
      <w:r>
        <w:rPr>
          <w:sz w:val="18"/>
        </w:rPr>
        <w:t>English</w:t>
      </w:r>
      <w:r>
        <w:rPr>
          <w:spacing w:val="-5"/>
          <w:sz w:val="18"/>
        </w:rPr>
        <w:t xml:space="preserve"> </w:t>
      </w:r>
      <w:r>
        <w:rPr>
          <w:sz w:val="18"/>
        </w:rPr>
        <w:t>Dictionary</w:t>
      </w:r>
      <w:r>
        <w:rPr>
          <w:spacing w:val="-9"/>
          <w:sz w:val="18"/>
        </w:rPr>
        <w:t xml:space="preserve"> </w:t>
      </w:r>
      <w:r>
        <w:rPr>
          <w:sz w:val="18"/>
        </w:rPr>
        <w:t>online,</w:t>
      </w:r>
      <w:r>
        <w:rPr>
          <w:spacing w:val="-7"/>
          <w:sz w:val="18"/>
        </w:rPr>
        <w:t xml:space="preserve"> </w:t>
      </w:r>
      <w:r>
        <w:rPr>
          <w:sz w:val="18"/>
        </w:rPr>
        <w:t>definition</w:t>
      </w:r>
      <w:r>
        <w:rPr>
          <w:spacing w:val="-9"/>
          <w:sz w:val="18"/>
        </w:rPr>
        <w:t xml:space="preserve"> </w:t>
      </w:r>
      <w:r>
        <w:rPr>
          <w:sz w:val="18"/>
        </w:rPr>
        <w:t>of</w:t>
      </w:r>
      <w:r>
        <w:rPr>
          <w:spacing w:val="-3"/>
          <w:sz w:val="18"/>
        </w:rPr>
        <w:t xml:space="preserve"> </w:t>
      </w:r>
      <w:r>
        <w:rPr>
          <w:sz w:val="18"/>
        </w:rPr>
        <w:t>"reason",</w:t>
      </w:r>
      <w:r>
        <w:rPr>
          <w:spacing w:val="-6"/>
          <w:sz w:val="18"/>
        </w:rPr>
        <w:t xml:space="preserve"> </w:t>
      </w:r>
      <w:r>
        <w:rPr>
          <w:sz w:val="18"/>
        </w:rPr>
        <w:t>https://</w:t>
      </w:r>
      <w:hyperlink r:id="rId13">
        <w:r>
          <w:rPr>
            <w:sz w:val="18"/>
          </w:rPr>
          <w:t>www.oed.com/view/Entry/159068</w:t>
        </w:r>
      </w:hyperlink>
      <w:r>
        <w:rPr>
          <w:spacing w:val="-10"/>
          <w:sz w:val="18"/>
        </w:rPr>
        <w:t xml:space="preserve"> </w:t>
      </w:r>
      <w:r>
        <w:rPr>
          <w:spacing w:val="-2"/>
          <w:sz w:val="18"/>
        </w:rPr>
        <w:t>(accessed</w:t>
      </w:r>
    </w:p>
    <w:p w14:paraId="5B166863" w14:textId="77777777" w:rsidR="00BD462C" w:rsidRDefault="00033D0F">
      <w:pPr>
        <w:spacing w:before="1"/>
        <w:ind w:left="136" w:right="923" w:hanging="1"/>
        <w:rPr>
          <w:sz w:val="18"/>
        </w:rPr>
      </w:pPr>
      <w:r>
        <w:rPr>
          <w:sz w:val="18"/>
        </w:rPr>
        <w:t>28 November 2022).</w:t>
      </w:r>
      <w:r>
        <w:rPr>
          <w:spacing w:val="-2"/>
          <w:sz w:val="18"/>
        </w:rPr>
        <w:t xml:space="preserve"> </w:t>
      </w:r>
      <w:r>
        <w:rPr>
          <w:sz w:val="18"/>
        </w:rPr>
        <w:t>See</w:t>
      </w:r>
      <w:r>
        <w:rPr>
          <w:spacing w:val="-3"/>
          <w:sz w:val="18"/>
        </w:rPr>
        <w:t xml:space="preserve"> </w:t>
      </w:r>
      <w:r>
        <w:rPr>
          <w:sz w:val="18"/>
        </w:rPr>
        <w:t>also,</w:t>
      </w:r>
      <w:r>
        <w:rPr>
          <w:spacing w:val="-6"/>
          <w:sz w:val="18"/>
        </w:rPr>
        <w:t xml:space="preserve"> </w:t>
      </w:r>
      <w:r>
        <w:rPr>
          <w:sz w:val="18"/>
        </w:rPr>
        <w:t>Panel</w:t>
      </w:r>
      <w:r>
        <w:rPr>
          <w:spacing w:val="-2"/>
          <w:sz w:val="18"/>
        </w:rPr>
        <w:t xml:space="preserve"> </w:t>
      </w:r>
      <w:r>
        <w:rPr>
          <w:sz w:val="18"/>
        </w:rPr>
        <w:t>Report,</w:t>
      </w:r>
      <w:r>
        <w:rPr>
          <w:spacing w:val="-1"/>
          <w:sz w:val="18"/>
        </w:rPr>
        <w:t xml:space="preserve"> </w:t>
      </w:r>
      <w:r>
        <w:rPr>
          <w:i/>
          <w:sz w:val="18"/>
        </w:rPr>
        <w:t>Argentina</w:t>
      </w:r>
      <w:r>
        <w:rPr>
          <w:i/>
          <w:spacing w:val="-1"/>
          <w:sz w:val="18"/>
        </w:rPr>
        <w:t xml:space="preserve"> </w:t>
      </w:r>
      <w:r>
        <w:rPr>
          <w:i/>
          <w:sz w:val="18"/>
        </w:rPr>
        <w:t>–</w:t>
      </w:r>
      <w:r>
        <w:rPr>
          <w:i/>
          <w:spacing w:val="-3"/>
          <w:sz w:val="18"/>
        </w:rPr>
        <w:t xml:space="preserve"> </w:t>
      </w:r>
      <w:r>
        <w:rPr>
          <w:i/>
          <w:sz w:val="18"/>
        </w:rPr>
        <w:t>Poultry</w:t>
      </w:r>
      <w:r>
        <w:rPr>
          <w:i/>
          <w:spacing w:val="-4"/>
          <w:sz w:val="18"/>
        </w:rPr>
        <w:t xml:space="preserve"> </w:t>
      </w:r>
      <w:r>
        <w:rPr>
          <w:i/>
          <w:sz w:val="18"/>
        </w:rPr>
        <w:t>Anti-Dumping Duties</w:t>
      </w:r>
      <w:r>
        <w:rPr>
          <w:sz w:val="18"/>
        </w:rPr>
        <w:t>,</w:t>
      </w:r>
      <w:r>
        <w:rPr>
          <w:spacing w:val="-1"/>
          <w:sz w:val="18"/>
        </w:rPr>
        <w:t xml:space="preserve"> </w:t>
      </w:r>
      <w:r>
        <w:rPr>
          <w:sz w:val="18"/>
        </w:rPr>
        <w:t>para.</w:t>
      </w:r>
      <w:r>
        <w:rPr>
          <w:spacing w:val="-2"/>
          <w:sz w:val="18"/>
        </w:rPr>
        <w:t xml:space="preserve"> </w:t>
      </w:r>
      <w:r>
        <w:rPr>
          <w:sz w:val="18"/>
        </w:rPr>
        <w:t>7.225.</w:t>
      </w:r>
      <w:r>
        <w:rPr>
          <w:spacing w:val="-2"/>
          <w:sz w:val="18"/>
        </w:rPr>
        <w:t xml:space="preserve"> </w:t>
      </w:r>
      <w:r>
        <w:rPr>
          <w:sz w:val="18"/>
        </w:rPr>
        <w:t>In</w:t>
      </w:r>
      <w:r>
        <w:rPr>
          <w:spacing w:val="-4"/>
          <w:sz w:val="18"/>
        </w:rPr>
        <w:t xml:space="preserve"> </w:t>
      </w:r>
      <w:r>
        <w:rPr>
          <w:sz w:val="18"/>
        </w:rPr>
        <w:t>differentiating</w:t>
      </w:r>
      <w:r>
        <w:rPr>
          <w:spacing w:val="-3"/>
          <w:sz w:val="18"/>
        </w:rPr>
        <w:t xml:space="preserve"> </w:t>
      </w:r>
      <w:r>
        <w:rPr>
          <w:sz w:val="18"/>
        </w:rPr>
        <w:t>"facts" and "reasons", the panel found that a "reason" is a "motive, cause or justification".</w:t>
      </w:r>
    </w:p>
    <w:p w14:paraId="05AF84FF" w14:textId="77777777" w:rsidR="00BD462C" w:rsidRDefault="00BD462C">
      <w:pPr>
        <w:rPr>
          <w:sz w:val="18"/>
        </w:rPr>
        <w:sectPr w:rsidR="00BD462C">
          <w:pgSz w:w="11910" w:h="16840"/>
          <w:pgMar w:top="860" w:right="500" w:bottom="780" w:left="1280" w:header="566" w:footer="590" w:gutter="0"/>
          <w:cols w:space="720"/>
        </w:sectPr>
      </w:pPr>
    </w:p>
    <w:p w14:paraId="398DD4BF"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11278060"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3374A650" w14:textId="2CBBAD45" w:rsidR="00BD462C" w:rsidRDefault="00033D0F">
      <w:pPr>
        <w:tabs>
          <w:tab w:val="left" w:pos="7652"/>
        </w:tabs>
        <w:ind w:left="135"/>
        <w:rPr>
          <w:spacing w:val="-4"/>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36F30DBA" w14:textId="2562745C" w:rsidR="009B7B7C" w:rsidRDefault="009B7B7C">
      <w:pPr>
        <w:tabs>
          <w:tab w:val="left" w:pos="7652"/>
        </w:tabs>
        <w:ind w:left="135"/>
        <w:rPr>
          <w:spacing w:val="-4"/>
          <w:sz w:val="20"/>
        </w:rPr>
      </w:pPr>
    </w:p>
    <w:p w14:paraId="1D1D10D3" w14:textId="744B9D4F" w:rsidR="00BD462C" w:rsidRPr="009B7B7C" w:rsidRDefault="009B7B7C" w:rsidP="009B7B7C">
      <w:pPr>
        <w:tabs>
          <w:tab w:val="left" w:pos="7652"/>
        </w:tabs>
        <w:ind w:left="135"/>
        <w:rPr>
          <w:rFonts w:asciiTheme="minorHAnsi" w:hAnsiTheme="minorHAnsi" w:cstheme="minorHAnsi"/>
          <w:sz w:val="24"/>
          <w:szCs w:val="24"/>
        </w:rPr>
      </w:pPr>
      <w:r w:rsidRPr="009B7B7C">
        <w:rPr>
          <w:rFonts w:asciiTheme="minorHAnsi" w:hAnsiTheme="minorHAnsi" w:cstheme="minorHAnsi"/>
          <w:noProof/>
          <w:sz w:val="24"/>
          <w:szCs w:val="24"/>
        </w:rPr>
        <mc:AlternateContent>
          <mc:Choice Requires="wps">
            <w:drawing>
              <wp:anchor distT="0" distB="0" distL="114300" distR="114300" simplePos="0" relativeHeight="15799296" behindDoc="0" locked="0" layoutInCell="1" allowOverlap="1" wp14:anchorId="0D146C9F" wp14:editId="517BE1FC">
                <wp:simplePos x="0" y="0"/>
                <wp:positionH relativeFrom="page">
                  <wp:posOffset>3079115</wp:posOffset>
                </wp:positionH>
                <wp:positionV relativeFrom="paragraph">
                  <wp:posOffset>366818</wp:posOffset>
                </wp:positionV>
                <wp:extent cx="895985" cy="186055"/>
                <wp:effectExtent l="0" t="0" r="0" b="0"/>
                <wp:wrapNone/>
                <wp:docPr id="1122" name="docshape1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98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620A7E" id="docshape155" o:spid="_x0000_s1026" alt="&quot;&quot;" style="position:absolute;margin-left:242.45pt;margin-top:28.9pt;width:70.55pt;height:14.65pt;z-index:1579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" fillcolor="black" stroked="f">
                <w10:wrap anchorx="page"/>
              </v:rect>
            </w:pict>
          </mc:Fallback>
        </mc:AlternateContent>
      </w:r>
      <w:r w:rsidRPr="009B7B7C">
        <w:rPr>
          <w:rFonts w:asciiTheme="minorHAnsi" w:hAnsiTheme="minorHAnsi" w:cstheme="minorHAnsi"/>
          <w:sz w:val="24"/>
          <w:szCs w:val="24"/>
        </w:rPr>
        <w:t xml:space="preserve">Assuming, </w:t>
      </w:r>
      <w:r w:rsidRPr="009B7B7C">
        <w:rPr>
          <w:rFonts w:asciiTheme="minorHAnsi" w:hAnsiTheme="minorHAnsi" w:cstheme="minorHAnsi"/>
          <w:i/>
          <w:sz w:val="24"/>
          <w:szCs w:val="24"/>
        </w:rPr>
        <w:t>arguendo</w:t>
      </w:r>
      <w:r w:rsidRPr="009B7B7C">
        <w:rPr>
          <w:rFonts w:asciiTheme="minorHAnsi" w:hAnsiTheme="minorHAnsi" w:cstheme="minorHAnsi"/>
          <w:sz w:val="24"/>
          <w:szCs w:val="24"/>
        </w:rPr>
        <w:t>,</w:t>
      </w:r>
      <w:r w:rsidRPr="009B7B7C">
        <w:rPr>
          <w:rFonts w:asciiTheme="minorHAnsi" w:hAnsiTheme="minorHAnsi" w:cstheme="minorHAnsi"/>
          <w:spacing w:val="-2"/>
          <w:sz w:val="24"/>
          <w:szCs w:val="24"/>
        </w:rPr>
        <w:t xml:space="preserve"> </w:t>
      </w:r>
      <w:r w:rsidRPr="009B7B7C">
        <w:rPr>
          <w:rFonts w:asciiTheme="minorHAnsi" w:hAnsiTheme="minorHAnsi" w:cstheme="minorHAnsi"/>
          <w:sz w:val="24"/>
          <w:szCs w:val="24"/>
        </w:rPr>
        <w:t>the Panel</w:t>
      </w:r>
      <w:r w:rsidRPr="009B7B7C">
        <w:rPr>
          <w:rFonts w:asciiTheme="minorHAnsi" w:hAnsiTheme="minorHAnsi" w:cstheme="minorHAnsi"/>
          <w:spacing w:val="-2"/>
          <w:sz w:val="24"/>
          <w:szCs w:val="24"/>
        </w:rPr>
        <w:t xml:space="preserve"> </w:t>
      </w:r>
      <w:r w:rsidRPr="009B7B7C">
        <w:rPr>
          <w:rFonts w:asciiTheme="minorHAnsi" w:hAnsiTheme="minorHAnsi" w:cstheme="minorHAnsi"/>
          <w:sz w:val="24"/>
          <w:szCs w:val="24"/>
        </w:rPr>
        <w:t>finds MOFCOM was permitted to use facts available, China has failed to rebut Australia's claims that MOFCOM acted</w:t>
      </w:r>
      <w:r w:rsidRPr="009B7B7C">
        <w:rPr>
          <w:rFonts w:asciiTheme="minorHAnsi" w:hAnsiTheme="minorHAnsi" w:cstheme="minorHAnsi"/>
          <w:spacing w:val="74"/>
          <w:w w:val="150"/>
          <w:sz w:val="24"/>
          <w:szCs w:val="24"/>
        </w:rPr>
        <w:t xml:space="preserve"> </w:t>
      </w:r>
      <w:r w:rsidRPr="009B7B7C">
        <w:rPr>
          <w:rFonts w:asciiTheme="minorHAnsi" w:hAnsiTheme="minorHAnsi" w:cstheme="minorHAnsi"/>
          <w:sz w:val="24"/>
          <w:szCs w:val="24"/>
        </w:rPr>
        <w:t>inconsistently</w:t>
      </w:r>
      <w:r w:rsidRPr="009B7B7C">
        <w:rPr>
          <w:rFonts w:asciiTheme="minorHAnsi" w:hAnsiTheme="minorHAnsi" w:cstheme="minorHAnsi"/>
          <w:spacing w:val="77"/>
          <w:w w:val="150"/>
          <w:sz w:val="24"/>
          <w:szCs w:val="24"/>
        </w:rPr>
        <w:t xml:space="preserve"> </w:t>
      </w:r>
      <w:r w:rsidRPr="009B7B7C">
        <w:rPr>
          <w:rFonts w:asciiTheme="minorHAnsi" w:hAnsiTheme="minorHAnsi" w:cstheme="minorHAnsi"/>
          <w:sz w:val="24"/>
          <w:szCs w:val="24"/>
        </w:rPr>
        <w:t>with</w:t>
      </w:r>
      <w:r w:rsidRPr="009B7B7C">
        <w:rPr>
          <w:rFonts w:asciiTheme="minorHAnsi" w:hAnsiTheme="minorHAnsi" w:cstheme="minorHAnsi"/>
          <w:spacing w:val="74"/>
          <w:w w:val="150"/>
          <w:sz w:val="24"/>
          <w:szCs w:val="24"/>
        </w:rPr>
        <w:t xml:space="preserve"> </w:t>
      </w:r>
      <w:r w:rsidRPr="009B7B7C">
        <w:rPr>
          <w:rFonts w:asciiTheme="minorHAnsi" w:hAnsiTheme="minorHAnsi" w:cstheme="minorHAnsi"/>
          <w:sz w:val="24"/>
          <w:szCs w:val="24"/>
        </w:rPr>
        <w:t>Article</w:t>
      </w:r>
      <w:r w:rsidRPr="009B7B7C">
        <w:rPr>
          <w:rFonts w:asciiTheme="minorHAnsi" w:hAnsiTheme="minorHAnsi" w:cstheme="minorHAnsi"/>
          <w:spacing w:val="76"/>
          <w:w w:val="150"/>
          <w:sz w:val="24"/>
          <w:szCs w:val="24"/>
        </w:rPr>
        <w:t xml:space="preserve"> </w:t>
      </w:r>
      <w:r w:rsidRPr="009B7B7C">
        <w:rPr>
          <w:rFonts w:asciiTheme="minorHAnsi" w:hAnsiTheme="minorHAnsi" w:cstheme="minorHAnsi"/>
          <w:sz w:val="24"/>
          <w:szCs w:val="24"/>
        </w:rPr>
        <w:t>6.8</w:t>
      </w:r>
      <w:r w:rsidRPr="009B7B7C">
        <w:rPr>
          <w:rFonts w:asciiTheme="minorHAnsi" w:hAnsiTheme="minorHAnsi" w:cstheme="minorHAnsi"/>
          <w:spacing w:val="73"/>
          <w:w w:val="150"/>
          <w:sz w:val="24"/>
          <w:szCs w:val="24"/>
        </w:rPr>
        <w:t xml:space="preserve"> </w:t>
      </w:r>
      <w:r w:rsidRPr="009B7B7C">
        <w:rPr>
          <w:rFonts w:asciiTheme="minorHAnsi" w:hAnsiTheme="minorHAnsi" w:cstheme="minorHAnsi"/>
          <w:sz w:val="24"/>
          <w:szCs w:val="24"/>
        </w:rPr>
        <w:t>and</w:t>
      </w:r>
      <w:r w:rsidRPr="009B7B7C">
        <w:rPr>
          <w:rFonts w:asciiTheme="minorHAnsi" w:hAnsiTheme="minorHAnsi" w:cstheme="minorHAnsi"/>
          <w:spacing w:val="74"/>
          <w:w w:val="150"/>
          <w:sz w:val="24"/>
          <w:szCs w:val="24"/>
        </w:rPr>
        <w:t xml:space="preserve"> </w:t>
      </w:r>
      <w:r w:rsidRPr="009B7B7C">
        <w:rPr>
          <w:rFonts w:asciiTheme="minorHAnsi" w:hAnsiTheme="minorHAnsi" w:cstheme="minorHAnsi"/>
          <w:sz w:val="24"/>
          <w:szCs w:val="24"/>
        </w:rPr>
        <w:t>paragraph</w:t>
      </w:r>
      <w:r w:rsidRPr="009B7B7C">
        <w:rPr>
          <w:rFonts w:asciiTheme="minorHAnsi" w:hAnsiTheme="minorHAnsi" w:cstheme="minorHAnsi"/>
          <w:spacing w:val="-4"/>
          <w:sz w:val="24"/>
          <w:szCs w:val="24"/>
        </w:rPr>
        <w:t xml:space="preserve"> </w:t>
      </w:r>
      <w:r w:rsidRPr="009B7B7C">
        <w:rPr>
          <w:rFonts w:asciiTheme="minorHAnsi" w:hAnsiTheme="minorHAnsi" w:cstheme="minorHAnsi"/>
          <w:sz w:val="24"/>
          <w:szCs w:val="24"/>
        </w:rPr>
        <w:t>7</w:t>
      </w:r>
      <w:r w:rsidRPr="009B7B7C">
        <w:rPr>
          <w:rFonts w:asciiTheme="minorHAnsi" w:hAnsiTheme="minorHAnsi" w:cstheme="minorHAnsi"/>
          <w:spacing w:val="73"/>
          <w:w w:val="150"/>
          <w:sz w:val="24"/>
          <w:szCs w:val="24"/>
        </w:rPr>
        <w:t xml:space="preserve"> </w:t>
      </w:r>
      <w:r w:rsidRPr="009B7B7C">
        <w:rPr>
          <w:rFonts w:asciiTheme="minorHAnsi" w:hAnsiTheme="minorHAnsi" w:cstheme="minorHAnsi"/>
          <w:sz w:val="24"/>
          <w:szCs w:val="24"/>
        </w:rPr>
        <w:t>of</w:t>
      </w:r>
      <w:r w:rsidRPr="009B7B7C">
        <w:rPr>
          <w:rFonts w:asciiTheme="minorHAnsi" w:hAnsiTheme="minorHAnsi" w:cstheme="minorHAnsi"/>
          <w:spacing w:val="74"/>
          <w:w w:val="150"/>
          <w:sz w:val="24"/>
          <w:szCs w:val="24"/>
        </w:rPr>
        <w:t xml:space="preserve"> </w:t>
      </w:r>
      <w:r w:rsidRPr="009B7B7C">
        <w:rPr>
          <w:rFonts w:asciiTheme="minorHAnsi" w:hAnsiTheme="minorHAnsi" w:cstheme="minorHAnsi"/>
          <w:sz w:val="24"/>
          <w:szCs w:val="24"/>
        </w:rPr>
        <w:t>Annex</w:t>
      </w:r>
      <w:r w:rsidRPr="009B7B7C">
        <w:rPr>
          <w:rFonts w:asciiTheme="minorHAnsi" w:hAnsiTheme="minorHAnsi" w:cstheme="minorHAnsi"/>
          <w:spacing w:val="77"/>
          <w:w w:val="150"/>
          <w:sz w:val="24"/>
          <w:szCs w:val="24"/>
        </w:rPr>
        <w:t xml:space="preserve"> </w:t>
      </w:r>
      <w:r w:rsidRPr="009B7B7C">
        <w:rPr>
          <w:rFonts w:asciiTheme="minorHAnsi" w:hAnsiTheme="minorHAnsi" w:cstheme="minorHAnsi"/>
          <w:sz w:val="24"/>
          <w:szCs w:val="24"/>
        </w:rPr>
        <w:t>II</w:t>
      </w:r>
      <w:r w:rsidRPr="009B7B7C">
        <w:rPr>
          <w:rFonts w:asciiTheme="minorHAnsi" w:hAnsiTheme="minorHAnsi" w:cstheme="minorHAnsi"/>
          <w:spacing w:val="77"/>
          <w:w w:val="150"/>
          <w:sz w:val="24"/>
          <w:szCs w:val="24"/>
        </w:rPr>
        <w:t xml:space="preserve"> </w:t>
      </w:r>
      <w:r w:rsidRPr="009B7B7C">
        <w:rPr>
          <w:rFonts w:asciiTheme="minorHAnsi" w:hAnsiTheme="minorHAnsi" w:cstheme="minorHAnsi"/>
          <w:sz w:val="24"/>
          <w:szCs w:val="24"/>
        </w:rPr>
        <w:t>by</w:t>
      </w:r>
      <w:r w:rsidRPr="009B7B7C">
        <w:rPr>
          <w:rFonts w:asciiTheme="minorHAnsi" w:hAnsiTheme="minorHAnsi" w:cstheme="minorHAnsi"/>
          <w:spacing w:val="77"/>
          <w:w w:val="150"/>
          <w:sz w:val="24"/>
          <w:szCs w:val="24"/>
        </w:rPr>
        <w:t xml:space="preserve"> </w:t>
      </w:r>
      <w:r w:rsidRPr="009B7B7C">
        <w:rPr>
          <w:rFonts w:asciiTheme="minorHAnsi" w:hAnsiTheme="minorHAnsi" w:cstheme="minorHAnsi"/>
          <w:sz w:val="24"/>
          <w:szCs w:val="24"/>
        </w:rPr>
        <w:t>selecting</w:t>
      </w:r>
      <w:r w:rsidRPr="009B7B7C">
        <w:rPr>
          <w:rFonts w:asciiTheme="minorHAnsi" w:hAnsiTheme="minorHAnsi" w:cstheme="minorHAnsi"/>
          <w:spacing w:val="77"/>
          <w:w w:val="150"/>
          <w:sz w:val="24"/>
          <w:szCs w:val="24"/>
        </w:rPr>
        <w:t xml:space="preserve"> </w:t>
      </w:r>
      <w:r w:rsidRPr="009B7B7C">
        <w:rPr>
          <w:rFonts w:asciiTheme="minorHAnsi" w:hAnsiTheme="minorHAnsi" w:cstheme="minorHAnsi"/>
          <w:sz w:val="24"/>
          <w:szCs w:val="24"/>
        </w:rPr>
        <w:t xml:space="preserve">the                                  </w:t>
      </w:r>
      <w:r w:rsidR="00033D0F" w:rsidRPr="009B7B7C">
        <w:rPr>
          <w:rFonts w:asciiTheme="minorHAnsi" w:hAnsiTheme="minorHAnsi" w:cstheme="minorHAnsi"/>
          <w:sz w:val="24"/>
          <w:szCs w:val="24"/>
        </w:rPr>
        <w:t>as</w:t>
      </w:r>
      <w:r w:rsidR="00033D0F" w:rsidRPr="009B7B7C">
        <w:rPr>
          <w:rFonts w:asciiTheme="minorHAnsi" w:hAnsiTheme="minorHAnsi" w:cstheme="minorHAnsi"/>
          <w:spacing w:val="-7"/>
          <w:sz w:val="24"/>
          <w:szCs w:val="24"/>
        </w:rPr>
        <w:t xml:space="preserve"> </w:t>
      </w:r>
      <w:r w:rsidR="00033D0F" w:rsidRPr="009B7B7C">
        <w:rPr>
          <w:rFonts w:asciiTheme="minorHAnsi" w:hAnsiTheme="minorHAnsi" w:cstheme="minorHAnsi"/>
          <w:sz w:val="24"/>
          <w:szCs w:val="24"/>
        </w:rPr>
        <w:t>the</w:t>
      </w:r>
      <w:r w:rsidR="00033D0F" w:rsidRPr="009B7B7C">
        <w:rPr>
          <w:rFonts w:asciiTheme="minorHAnsi" w:hAnsiTheme="minorHAnsi" w:cstheme="minorHAnsi"/>
          <w:spacing w:val="-4"/>
          <w:sz w:val="24"/>
          <w:szCs w:val="24"/>
        </w:rPr>
        <w:t xml:space="preserve"> </w:t>
      </w:r>
      <w:r w:rsidR="00033D0F" w:rsidRPr="009B7B7C">
        <w:rPr>
          <w:rFonts w:asciiTheme="minorHAnsi" w:hAnsiTheme="minorHAnsi" w:cstheme="minorHAnsi"/>
          <w:sz w:val="24"/>
          <w:szCs w:val="24"/>
        </w:rPr>
        <w:t>replacement</w:t>
      </w:r>
      <w:r w:rsidR="00033D0F" w:rsidRPr="009B7B7C">
        <w:rPr>
          <w:rFonts w:asciiTheme="minorHAnsi" w:hAnsiTheme="minorHAnsi" w:cstheme="minorHAnsi"/>
          <w:spacing w:val="-8"/>
          <w:sz w:val="24"/>
          <w:szCs w:val="24"/>
        </w:rPr>
        <w:t xml:space="preserve"> </w:t>
      </w:r>
      <w:r w:rsidR="00033D0F" w:rsidRPr="009B7B7C">
        <w:rPr>
          <w:rFonts w:asciiTheme="minorHAnsi" w:hAnsiTheme="minorHAnsi" w:cstheme="minorHAnsi"/>
          <w:sz w:val="24"/>
          <w:szCs w:val="24"/>
        </w:rPr>
        <w:t>fact</w:t>
      </w:r>
      <w:r w:rsidR="00033D0F" w:rsidRPr="009B7B7C">
        <w:rPr>
          <w:rFonts w:asciiTheme="minorHAnsi" w:hAnsiTheme="minorHAnsi" w:cstheme="minorHAnsi"/>
          <w:spacing w:val="-3"/>
          <w:sz w:val="24"/>
          <w:szCs w:val="24"/>
        </w:rPr>
        <w:t xml:space="preserve"> </w:t>
      </w:r>
      <w:r w:rsidR="00033D0F" w:rsidRPr="009B7B7C">
        <w:rPr>
          <w:rFonts w:asciiTheme="minorHAnsi" w:hAnsiTheme="minorHAnsi" w:cstheme="minorHAnsi"/>
          <w:sz w:val="24"/>
          <w:szCs w:val="24"/>
        </w:rPr>
        <w:t>to</w:t>
      </w:r>
      <w:r w:rsidR="00033D0F" w:rsidRPr="009B7B7C">
        <w:rPr>
          <w:rFonts w:asciiTheme="minorHAnsi" w:hAnsiTheme="minorHAnsi" w:cstheme="minorHAnsi"/>
          <w:spacing w:val="-6"/>
          <w:sz w:val="24"/>
          <w:szCs w:val="24"/>
        </w:rPr>
        <w:t xml:space="preserve"> </w:t>
      </w:r>
      <w:r w:rsidR="00033D0F" w:rsidRPr="009B7B7C">
        <w:rPr>
          <w:rFonts w:asciiTheme="minorHAnsi" w:hAnsiTheme="minorHAnsi" w:cstheme="minorHAnsi"/>
          <w:sz w:val="24"/>
          <w:szCs w:val="24"/>
        </w:rPr>
        <w:t>determine</w:t>
      </w:r>
      <w:r w:rsidR="00033D0F" w:rsidRPr="009B7B7C">
        <w:rPr>
          <w:rFonts w:asciiTheme="minorHAnsi" w:hAnsiTheme="minorHAnsi" w:cstheme="minorHAnsi"/>
          <w:spacing w:val="-8"/>
          <w:sz w:val="24"/>
          <w:szCs w:val="24"/>
        </w:rPr>
        <w:t xml:space="preserve"> </w:t>
      </w:r>
      <w:r w:rsidR="00033D0F" w:rsidRPr="009B7B7C">
        <w:rPr>
          <w:rFonts w:asciiTheme="minorHAnsi" w:hAnsiTheme="minorHAnsi" w:cstheme="minorHAnsi"/>
          <w:sz w:val="24"/>
          <w:szCs w:val="24"/>
        </w:rPr>
        <w:t>the</w:t>
      </w:r>
      <w:r w:rsidR="00033D0F" w:rsidRPr="009B7B7C">
        <w:rPr>
          <w:rFonts w:asciiTheme="minorHAnsi" w:hAnsiTheme="minorHAnsi" w:cstheme="minorHAnsi"/>
          <w:spacing w:val="-8"/>
          <w:sz w:val="24"/>
          <w:szCs w:val="24"/>
        </w:rPr>
        <w:t xml:space="preserve"> </w:t>
      </w:r>
      <w:r w:rsidR="00033D0F" w:rsidRPr="009B7B7C">
        <w:rPr>
          <w:rFonts w:asciiTheme="minorHAnsi" w:hAnsiTheme="minorHAnsi" w:cstheme="minorHAnsi"/>
          <w:sz w:val="24"/>
          <w:szCs w:val="24"/>
        </w:rPr>
        <w:t>cost</w:t>
      </w:r>
      <w:r w:rsidR="00033D0F" w:rsidRPr="009B7B7C">
        <w:rPr>
          <w:rFonts w:asciiTheme="minorHAnsi" w:hAnsiTheme="minorHAnsi" w:cstheme="minorHAnsi"/>
          <w:spacing w:val="-8"/>
          <w:sz w:val="24"/>
          <w:szCs w:val="24"/>
        </w:rPr>
        <w:t xml:space="preserve"> </w:t>
      </w:r>
      <w:r w:rsidR="00033D0F" w:rsidRPr="009B7B7C">
        <w:rPr>
          <w:rFonts w:asciiTheme="minorHAnsi" w:hAnsiTheme="minorHAnsi" w:cstheme="minorHAnsi"/>
          <w:sz w:val="24"/>
          <w:szCs w:val="24"/>
        </w:rPr>
        <w:t>of</w:t>
      </w:r>
      <w:r w:rsidR="00033D0F" w:rsidRPr="009B7B7C">
        <w:rPr>
          <w:rFonts w:asciiTheme="minorHAnsi" w:hAnsiTheme="minorHAnsi" w:cstheme="minorHAnsi"/>
          <w:spacing w:val="-5"/>
          <w:sz w:val="24"/>
          <w:szCs w:val="24"/>
        </w:rPr>
        <w:t xml:space="preserve"> </w:t>
      </w:r>
      <w:r w:rsidR="00033D0F" w:rsidRPr="009B7B7C">
        <w:rPr>
          <w:rFonts w:asciiTheme="minorHAnsi" w:hAnsiTheme="minorHAnsi" w:cstheme="minorHAnsi"/>
          <w:sz w:val="24"/>
          <w:szCs w:val="24"/>
        </w:rPr>
        <w:t>production</w:t>
      </w:r>
      <w:r w:rsidR="00033D0F" w:rsidRPr="009B7B7C">
        <w:rPr>
          <w:rFonts w:asciiTheme="minorHAnsi" w:hAnsiTheme="minorHAnsi" w:cstheme="minorHAnsi"/>
          <w:spacing w:val="-5"/>
          <w:sz w:val="24"/>
          <w:szCs w:val="24"/>
        </w:rPr>
        <w:t xml:space="preserve"> </w:t>
      </w:r>
      <w:r w:rsidR="00033D0F" w:rsidRPr="009B7B7C">
        <w:rPr>
          <w:rFonts w:asciiTheme="minorHAnsi" w:hAnsiTheme="minorHAnsi" w:cstheme="minorHAnsi"/>
          <w:sz w:val="24"/>
          <w:szCs w:val="24"/>
        </w:rPr>
        <w:t>used</w:t>
      </w:r>
      <w:r w:rsidR="00033D0F" w:rsidRPr="009B7B7C">
        <w:rPr>
          <w:rFonts w:asciiTheme="minorHAnsi" w:hAnsiTheme="minorHAnsi" w:cstheme="minorHAnsi"/>
          <w:spacing w:val="-10"/>
          <w:sz w:val="24"/>
          <w:szCs w:val="24"/>
        </w:rPr>
        <w:t xml:space="preserve"> </w:t>
      </w:r>
      <w:r w:rsidR="00033D0F" w:rsidRPr="009B7B7C">
        <w:rPr>
          <w:rFonts w:asciiTheme="minorHAnsi" w:hAnsiTheme="minorHAnsi" w:cstheme="minorHAnsi"/>
          <w:sz w:val="24"/>
          <w:szCs w:val="24"/>
        </w:rPr>
        <w:t>in</w:t>
      </w:r>
      <w:r w:rsidR="00033D0F" w:rsidRPr="009B7B7C">
        <w:rPr>
          <w:rFonts w:asciiTheme="minorHAnsi" w:hAnsiTheme="minorHAnsi" w:cstheme="minorHAnsi"/>
          <w:spacing w:val="-10"/>
          <w:sz w:val="24"/>
          <w:szCs w:val="24"/>
        </w:rPr>
        <w:t xml:space="preserve"> </w:t>
      </w:r>
      <w:r w:rsidR="00033D0F" w:rsidRPr="009B7B7C">
        <w:rPr>
          <w:rFonts w:asciiTheme="minorHAnsi" w:hAnsiTheme="minorHAnsi" w:cstheme="minorHAnsi"/>
          <w:sz w:val="24"/>
          <w:szCs w:val="24"/>
        </w:rPr>
        <w:t>the</w:t>
      </w:r>
      <w:r w:rsidR="00033D0F" w:rsidRPr="009B7B7C">
        <w:rPr>
          <w:rFonts w:asciiTheme="minorHAnsi" w:hAnsiTheme="minorHAnsi" w:cstheme="minorHAnsi"/>
          <w:spacing w:val="-4"/>
          <w:sz w:val="24"/>
          <w:szCs w:val="24"/>
        </w:rPr>
        <w:t xml:space="preserve"> </w:t>
      </w:r>
      <w:r w:rsidR="00033D0F" w:rsidRPr="009B7B7C">
        <w:rPr>
          <w:rFonts w:asciiTheme="minorHAnsi" w:hAnsiTheme="minorHAnsi" w:cstheme="minorHAnsi"/>
          <w:sz w:val="24"/>
          <w:szCs w:val="24"/>
        </w:rPr>
        <w:t>below cost test, and in the constructed normal value for Treasury Wines.</w:t>
      </w:r>
    </w:p>
    <w:p w14:paraId="7F1B263F" w14:textId="77777777" w:rsidR="00BD462C" w:rsidRDefault="00BD462C">
      <w:pPr>
        <w:pStyle w:val="BodyText"/>
        <w:spacing w:before="3"/>
        <w:rPr>
          <w:sz w:val="9"/>
        </w:rPr>
      </w:pPr>
    </w:p>
    <w:p w14:paraId="4F97368C" w14:textId="32933F83" w:rsidR="00BD462C" w:rsidRDefault="00033D0F" w:rsidP="009B7B7C">
      <w:pPr>
        <w:pStyle w:val="BodyText"/>
        <w:numPr>
          <w:ilvl w:val="0"/>
          <w:numId w:val="69"/>
        </w:numPr>
        <w:spacing w:before="56" w:line="360" w:lineRule="auto"/>
        <w:ind w:right="915"/>
        <w:jc w:val="both"/>
      </w:pPr>
      <w:r>
        <w:rPr>
          <w:position w:val="1"/>
        </w:rPr>
        <w:t xml:space="preserve">China provides three bases as </w:t>
      </w:r>
      <w:r>
        <w:rPr>
          <w:i/>
          <w:position w:val="1"/>
        </w:rPr>
        <w:t>ex</w:t>
      </w:r>
      <w:r>
        <w:rPr>
          <w:i/>
          <w:spacing w:val="-2"/>
          <w:position w:val="1"/>
        </w:rPr>
        <w:t xml:space="preserve"> </w:t>
      </w:r>
      <w:r>
        <w:rPr>
          <w:i/>
          <w:position w:val="1"/>
        </w:rPr>
        <w:t>post facto</w:t>
      </w:r>
      <w:r>
        <w:rPr>
          <w:i/>
          <w:spacing w:val="-2"/>
          <w:position w:val="1"/>
        </w:rPr>
        <w:t xml:space="preserve"> </w:t>
      </w:r>
      <w:r>
        <w:rPr>
          <w:position w:val="1"/>
        </w:rPr>
        <w:t>justifications for</w:t>
      </w:r>
      <w:r>
        <w:rPr>
          <w:spacing w:val="-1"/>
          <w:position w:val="1"/>
        </w:rPr>
        <w:t xml:space="preserve"> </w:t>
      </w:r>
      <w:r>
        <w:rPr>
          <w:position w:val="1"/>
        </w:rPr>
        <w:t>MOFCOM's selection</w:t>
      </w:r>
      <w:r>
        <w:rPr>
          <w:spacing w:val="-1"/>
          <w:position w:val="1"/>
        </w:rPr>
        <w:t xml:space="preserve"> </w:t>
      </w:r>
      <w:r>
        <w:rPr>
          <w:position w:val="1"/>
        </w:rPr>
        <w:t xml:space="preserve">of </w:t>
      </w:r>
      <w:r>
        <w:t>facts.</w:t>
      </w:r>
      <w:r>
        <w:rPr>
          <w:spacing w:val="-14"/>
        </w:rPr>
        <w:t xml:space="preserve"> </w:t>
      </w:r>
      <w:hyperlink w:anchor="_bookmark328" w:history="1">
        <w:r>
          <w:rPr>
            <w:vertAlign w:val="superscript"/>
          </w:rPr>
          <w:t>257</w:t>
        </w:r>
      </w:hyperlink>
      <w:r>
        <w:rPr>
          <w:spacing w:val="-14"/>
        </w:rPr>
        <w:t xml:space="preserve"> </w:t>
      </w:r>
      <w:r>
        <w:t>China</w:t>
      </w:r>
      <w:r>
        <w:rPr>
          <w:spacing w:val="-13"/>
        </w:rPr>
        <w:t xml:space="preserve"> </w:t>
      </w:r>
      <w:r>
        <w:t>also</w:t>
      </w:r>
      <w:r>
        <w:rPr>
          <w:spacing w:val="-14"/>
        </w:rPr>
        <w:t xml:space="preserve"> </w:t>
      </w:r>
      <w:r>
        <w:t>argues</w:t>
      </w:r>
      <w:r>
        <w:rPr>
          <w:spacing w:val="-13"/>
        </w:rPr>
        <w:t xml:space="preserve"> </w:t>
      </w:r>
      <w:r>
        <w:t>that</w:t>
      </w:r>
      <w:r>
        <w:rPr>
          <w:spacing w:val="-14"/>
        </w:rPr>
        <w:t xml:space="preserve"> </w:t>
      </w:r>
      <w:r>
        <w:t>MOFCOM</w:t>
      </w:r>
      <w:r>
        <w:rPr>
          <w:spacing w:val="-13"/>
        </w:rPr>
        <w:t xml:space="preserve"> </w:t>
      </w:r>
      <w:r>
        <w:t>had</w:t>
      </w:r>
      <w:r>
        <w:rPr>
          <w:spacing w:val="-14"/>
        </w:rPr>
        <w:t xml:space="preserve"> </w:t>
      </w:r>
      <w:r>
        <w:t>"more</w:t>
      </w:r>
      <w:r>
        <w:rPr>
          <w:spacing w:val="-14"/>
        </w:rPr>
        <w:t xml:space="preserve"> </w:t>
      </w:r>
      <w:r>
        <w:t>flexibility"</w:t>
      </w:r>
      <w:r>
        <w:rPr>
          <w:spacing w:val="-13"/>
        </w:rPr>
        <w:t xml:space="preserve"> </w:t>
      </w:r>
      <w:r>
        <w:t>in</w:t>
      </w:r>
      <w:r>
        <w:rPr>
          <w:spacing w:val="-14"/>
        </w:rPr>
        <w:t xml:space="preserve"> </w:t>
      </w:r>
      <w:r>
        <w:t>its</w:t>
      </w:r>
      <w:r>
        <w:rPr>
          <w:spacing w:val="-13"/>
        </w:rPr>
        <w:t xml:space="preserve"> </w:t>
      </w:r>
      <w:r>
        <w:t>selection</w:t>
      </w:r>
      <w:r>
        <w:rPr>
          <w:spacing w:val="-14"/>
        </w:rPr>
        <w:t xml:space="preserve"> </w:t>
      </w:r>
      <w:r>
        <w:t>of</w:t>
      </w:r>
      <w:r>
        <w:rPr>
          <w:spacing w:val="-13"/>
        </w:rPr>
        <w:t xml:space="preserve"> </w:t>
      </w:r>
      <w:r>
        <w:t>facts</w:t>
      </w:r>
      <w:r>
        <w:rPr>
          <w:spacing w:val="-14"/>
        </w:rPr>
        <w:t xml:space="preserve"> </w:t>
      </w:r>
      <w:r>
        <w:t>because there</w:t>
      </w:r>
      <w:r>
        <w:rPr>
          <w:spacing w:val="-14"/>
        </w:rPr>
        <w:t xml:space="preserve"> </w:t>
      </w:r>
      <w:r>
        <w:t>was</w:t>
      </w:r>
      <w:r>
        <w:rPr>
          <w:spacing w:val="-3"/>
        </w:rPr>
        <w:t xml:space="preserve"> </w:t>
      </w:r>
      <w:r>
        <w:t>not a</w:t>
      </w:r>
      <w:r>
        <w:rPr>
          <w:spacing w:val="-3"/>
        </w:rPr>
        <w:t xml:space="preserve"> </w:t>
      </w:r>
      <w:r>
        <w:t>"high</w:t>
      </w:r>
      <w:r>
        <w:rPr>
          <w:spacing w:val="-4"/>
        </w:rPr>
        <w:t xml:space="preserve"> </w:t>
      </w:r>
      <w:r>
        <w:t>level of</w:t>
      </w:r>
      <w:r>
        <w:rPr>
          <w:spacing w:val="-4"/>
        </w:rPr>
        <w:t xml:space="preserve"> </w:t>
      </w:r>
      <w:r>
        <w:t>cooperation".</w:t>
      </w:r>
      <w:r>
        <w:rPr>
          <w:spacing w:val="-14"/>
        </w:rPr>
        <w:t xml:space="preserve"> </w:t>
      </w:r>
      <w:hyperlink w:anchor="_bookmark329" w:history="1">
        <w:r>
          <w:rPr>
            <w:vertAlign w:val="superscript"/>
          </w:rPr>
          <w:t>258</w:t>
        </w:r>
      </w:hyperlink>
      <w:r>
        <w:rPr>
          <w:spacing w:val="-2"/>
        </w:rPr>
        <w:t xml:space="preserve"> </w:t>
      </w:r>
      <w:r>
        <w:t>There</w:t>
      </w:r>
      <w:r>
        <w:rPr>
          <w:spacing w:val="-2"/>
        </w:rPr>
        <w:t xml:space="preserve"> </w:t>
      </w:r>
      <w:r>
        <w:t>is</w:t>
      </w:r>
      <w:r>
        <w:rPr>
          <w:spacing w:val="-1"/>
        </w:rPr>
        <w:t xml:space="preserve"> </w:t>
      </w:r>
      <w:r>
        <w:t>no support</w:t>
      </w:r>
      <w:r>
        <w:rPr>
          <w:spacing w:val="-2"/>
        </w:rPr>
        <w:t xml:space="preserve"> </w:t>
      </w:r>
      <w:r>
        <w:t>for China's</w:t>
      </w:r>
      <w:r>
        <w:rPr>
          <w:spacing w:val="-1"/>
        </w:rPr>
        <w:t xml:space="preserve"> </w:t>
      </w:r>
      <w:r>
        <w:t>interpretation, and in any event, the record evidence does not support these assertions.</w:t>
      </w:r>
    </w:p>
    <w:p w14:paraId="771475D8" w14:textId="77777777" w:rsidR="00BD462C" w:rsidRDefault="00033D0F" w:rsidP="00DA02D9">
      <w:pPr>
        <w:pStyle w:val="ListParagraph"/>
        <w:numPr>
          <w:ilvl w:val="1"/>
          <w:numId w:val="70"/>
        </w:numPr>
        <w:tabs>
          <w:tab w:val="left" w:pos="3539"/>
          <w:tab w:val="left" w:pos="3540"/>
        </w:tabs>
        <w:spacing w:before="157"/>
        <w:ind w:hanging="851"/>
        <w:jc w:val="both"/>
        <w:rPr>
          <w:sz w:val="24"/>
        </w:rPr>
      </w:pPr>
      <w:bookmarkStart w:id="381" w:name="(a)_China's_justifications_for_MOFCOM's_"/>
      <w:bookmarkEnd w:id="381"/>
      <w:r>
        <w:rPr>
          <w:sz w:val="24"/>
          <w:u w:val="single"/>
        </w:rPr>
        <w:t>China's</w:t>
      </w:r>
      <w:r>
        <w:rPr>
          <w:spacing w:val="12"/>
          <w:sz w:val="24"/>
          <w:u w:val="single"/>
        </w:rPr>
        <w:t xml:space="preserve"> </w:t>
      </w:r>
      <w:r>
        <w:rPr>
          <w:sz w:val="24"/>
          <w:u w:val="single"/>
        </w:rPr>
        <w:t>justifications</w:t>
      </w:r>
      <w:r>
        <w:rPr>
          <w:spacing w:val="13"/>
          <w:sz w:val="24"/>
          <w:u w:val="single"/>
        </w:rPr>
        <w:t xml:space="preserve"> </w:t>
      </w:r>
      <w:r>
        <w:rPr>
          <w:sz w:val="24"/>
          <w:u w:val="single"/>
        </w:rPr>
        <w:t>for</w:t>
      </w:r>
      <w:r>
        <w:rPr>
          <w:spacing w:val="8"/>
          <w:sz w:val="24"/>
          <w:u w:val="single"/>
        </w:rPr>
        <w:t xml:space="preserve"> </w:t>
      </w:r>
      <w:r>
        <w:rPr>
          <w:sz w:val="24"/>
          <w:u w:val="single"/>
        </w:rPr>
        <w:t>MOFCOM's</w:t>
      </w:r>
      <w:r>
        <w:rPr>
          <w:spacing w:val="13"/>
          <w:sz w:val="24"/>
          <w:u w:val="single"/>
        </w:rPr>
        <w:t xml:space="preserve"> </w:t>
      </w:r>
      <w:r>
        <w:rPr>
          <w:sz w:val="24"/>
          <w:u w:val="single"/>
        </w:rPr>
        <w:t>selection</w:t>
      </w:r>
      <w:r>
        <w:rPr>
          <w:spacing w:val="9"/>
          <w:sz w:val="24"/>
          <w:u w:val="single"/>
        </w:rPr>
        <w:t xml:space="preserve"> </w:t>
      </w:r>
      <w:r>
        <w:rPr>
          <w:sz w:val="24"/>
          <w:u w:val="single"/>
        </w:rPr>
        <w:t>of</w:t>
      </w:r>
      <w:r>
        <w:rPr>
          <w:spacing w:val="9"/>
          <w:sz w:val="24"/>
          <w:u w:val="single"/>
        </w:rPr>
        <w:t xml:space="preserve"> </w:t>
      </w:r>
      <w:r>
        <w:rPr>
          <w:sz w:val="24"/>
          <w:u w:val="single"/>
        </w:rPr>
        <w:t>facts</w:t>
      </w:r>
      <w:r>
        <w:rPr>
          <w:spacing w:val="13"/>
          <w:sz w:val="24"/>
          <w:u w:val="single"/>
        </w:rPr>
        <w:t xml:space="preserve"> </w:t>
      </w:r>
      <w:r>
        <w:rPr>
          <w:spacing w:val="-5"/>
          <w:sz w:val="24"/>
          <w:u w:val="single"/>
        </w:rPr>
        <w:t>are</w:t>
      </w:r>
    </w:p>
    <w:p w14:paraId="66F9C944" w14:textId="77777777" w:rsidR="00BD462C" w:rsidRDefault="00033D0F">
      <w:pPr>
        <w:spacing w:before="144"/>
        <w:ind w:left="3539"/>
        <w:jc w:val="both"/>
        <w:rPr>
          <w:sz w:val="24"/>
        </w:rPr>
      </w:pPr>
      <w:r>
        <w:rPr>
          <w:i/>
          <w:sz w:val="24"/>
          <w:u w:val="single"/>
        </w:rPr>
        <w:t>ex</w:t>
      </w:r>
      <w:r>
        <w:rPr>
          <w:i/>
          <w:spacing w:val="-1"/>
          <w:sz w:val="24"/>
          <w:u w:val="single"/>
        </w:rPr>
        <w:t xml:space="preserve"> </w:t>
      </w:r>
      <w:r>
        <w:rPr>
          <w:i/>
          <w:sz w:val="24"/>
          <w:u w:val="single"/>
        </w:rPr>
        <w:t>post</w:t>
      </w:r>
      <w:r>
        <w:rPr>
          <w:i/>
          <w:spacing w:val="-1"/>
          <w:sz w:val="24"/>
          <w:u w:val="single"/>
        </w:rPr>
        <w:t xml:space="preserve"> </w:t>
      </w:r>
      <w:r>
        <w:rPr>
          <w:i/>
          <w:sz w:val="24"/>
          <w:u w:val="single"/>
        </w:rPr>
        <w:t xml:space="preserve">facto </w:t>
      </w:r>
      <w:proofErr w:type="spellStart"/>
      <w:r>
        <w:rPr>
          <w:spacing w:val="-2"/>
          <w:sz w:val="24"/>
          <w:u w:val="single"/>
        </w:rPr>
        <w:t>rationalisations</w:t>
      </w:r>
      <w:proofErr w:type="spellEnd"/>
    </w:p>
    <w:p w14:paraId="17AB21D4" w14:textId="77777777" w:rsidR="00BD462C" w:rsidRDefault="00BD462C">
      <w:pPr>
        <w:pStyle w:val="BodyText"/>
        <w:spacing w:before="11"/>
        <w:rPr>
          <w:sz w:val="20"/>
        </w:rPr>
      </w:pPr>
    </w:p>
    <w:p w14:paraId="1B3D799D" w14:textId="008A040A" w:rsidR="00BD462C" w:rsidRDefault="00033D0F" w:rsidP="009B7B7C">
      <w:pPr>
        <w:pStyle w:val="BodyText"/>
        <w:numPr>
          <w:ilvl w:val="0"/>
          <w:numId w:val="69"/>
        </w:numPr>
        <w:spacing w:before="57" w:line="360" w:lineRule="auto"/>
        <w:ind w:right="916"/>
        <w:jc w:val="both"/>
      </w:pPr>
      <w:r>
        <w:rPr>
          <w:position w:val="1"/>
        </w:rPr>
        <w:t xml:space="preserve">The parties agree that an investigating authority is under an obligation to use the </w:t>
      </w:r>
      <w:r>
        <w:t>"best</w:t>
      </w:r>
      <w:r>
        <w:rPr>
          <w:spacing w:val="-14"/>
        </w:rPr>
        <w:t xml:space="preserve"> </w:t>
      </w:r>
      <w:r>
        <w:t>information</w:t>
      </w:r>
      <w:r>
        <w:rPr>
          <w:spacing w:val="-3"/>
        </w:rPr>
        <w:t xml:space="preserve"> </w:t>
      </w:r>
      <w:r>
        <w:t>available".</w:t>
      </w:r>
      <w:r>
        <w:rPr>
          <w:spacing w:val="-14"/>
        </w:rPr>
        <w:t xml:space="preserve"> </w:t>
      </w:r>
      <w:hyperlink w:anchor="_bookmark330" w:history="1">
        <w:r>
          <w:rPr>
            <w:vertAlign w:val="superscript"/>
          </w:rPr>
          <w:t>259</w:t>
        </w:r>
      </w:hyperlink>
      <w:r>
        <w:t xml:space="preserve"> Implicit in this obligation is the requirement to undertake an evaluation</w:t>
      </w:r>
      <w:r>
        <w:rPr>
          <w:spacing w:val="-4"/>
        </w:rPr>
        <w:t xml:space="preserve"> </w:t>
      </w:r>
      <w:r>
        <w:t>of</w:t>
      </w:r>
      <w:r>
        <w:rPr>
          <w:spacing w:val="-4"/>
        </w:rPr>
        <w:t xml:space="preserve"> </w:t>
      </w:r>
      <w:r>
        <w:t>the</w:t>
      </w:r>
      <w:r>
        <w:rPr>
          <w:spacing w:val="-3"/>
        </w:rPr>
        <w:t xml:space="preserve"> </w:t>
      </w:r>
      <w:r>
        <w:t>facts</w:t>
      </w:r>
      <w:r>
        <w:rPr>
          <w:spacing w:val="-1"/>
        </w:rPr>
        <w:t xml:space="preserve"> </w:t>
      </w:r>
      <w:r>
        <w:t>on</w:t>
      </w:r>
      <w:r>
        <w:rPr>
          <w:spacing w:val="-4"/>
        </w:rPr>
        <w:t xml:space="preserve"> </w:t>
      </w:r>
      <w:r>
        <w:t>the</w:t>
      </w:r>
      <w:r>
        <w:rPr>
          <w:spacing w:val="-3"/>
        </w:rPr>
        <w:t xml:space="preserve"> </w:t>
      </w:r>
      <w:r>
        <w:t>record. There</w:t>
      </w:r>
      <w:r>
        <w:rPr>
          <w:spacing w:val="-2"/>
        </w:rPr>
        <w:t xml:space="preserve"> </w:t>
      </w:r>
      <w:r>
        <w:t>is</w:t>
      </w:r>
      <w:r>
        <w:rPr>
          <w:spacing w:val="-1"/>
        </w:rPr>
        <w:t xml:space="preserve"> </w:t>
      </w:r>
      <w:r>
        <w:t>also</w:t>
      </w:r>
      <w:r>
        <w:rPr>
          <w:spacing w:val="-5"/>
        </w:rPr>
        <w:t xml:space="preserve"> </w:t>
      </w:r>
      <w:r>
        <w:t>no</w:t>
      </w:r>
      <w:r>
        <w:rPr>
          <w:spacing w:val="-5"/>
        </w:rPr>
        <w:t xml:space="preserve"> </w:t>
      </w:r>
      <w:r>
        <w:t>disagreement</w:t>
      </w:r>
      <w:r>
        <w:rPr>
          <w:spacing w:val="-2"/>
        </w:rPr>
        <w:t xml:space="preserve"> </w:t>
      </w:r>
      <w:r>
        <w:t>between</w:t>
      </w:r>
      <w:r>
        <w:rPr>
          <w:spacing w:val="-4"/>
        </w:rPr>
        <w:t xml:space="preserve"> </w:t>
      </w:r>
      <w:r>
        <w:t>the</w:t>
      </w:r>
      <w:r>
        <w:rPr>
          <w:spacing w:val="-3"/>
        </w:rPr>
        <w:t xml:space="preserve"> </w:t>
      </w:r>
      <w:r>
        <w:t>parties</w:t>
      </w:r>
      <w:r>
        <w:rPr>
          <w:spacing w:val="-1"/>
        </w:rPr>
        <w:t xml:space="preserve"> </w:t>
      </w:r>
      <w:r>
        <w:t>that such an evaluation is required.</w:t>
      </w:r>
      <w:r>
        <w:rPr>
          <w:spacing w:val="-14"/>
        </w:rPr>
        <w:t xml:space="preserve"> </w:t>
      </w:r>
      <w:hyperlink w:anchor="_bookmark331" w:history="1">
        <w:r>
          <w:rPr>
            <w:vertAlign w:val="superscript"/>
          </w:rPr>
          <w:t>260</w:t>
        </w:r>
      </w:hyperlink>
      <w:r>
        <w:t xml:space="preserve"> In this regard, the Appellate Body has explained that the selection of facts is a </w:t>
      </w:r>
      <w:r>
        <w:rPr>
          <w:i/>
        </w:rPr>
        <w:t xml:space="preserve">process </w:t>
      </w:r>
      <w:r>
        <w:t>that an investigating authority must undertake:</w:t>
      </w:r>
    </w:p>
    <w:p w14:paraId="206F4D56" w14:textId="77777777" w:rsidR="00BD462C" w:rsidRDefault="00033D0F">
      <w:pPr>
        <w:spacing w:before="155" w:line="276" w:lineRule="auto"/>
        <w:ind w:left="985" w:right="917"/>
        <w:jc w:val="both"/>
      </w:pPr>
      <w:r>
        <w:t>Ascertaining</w:t>
      </w:r>
      <w:r>
        <w:rPr>
          <w:spacing w:val="-2"/>
        </w:rPr>
        <w:t xml:space="preserve"> </w:t>
      </w:r>
      <w:r>
        <w:t>which</w:t>
      </w:r>
      <w:r>
        <w:rPr>
          <w:spacing w:val="-4"/>
        </w:rPr>
        <w:t xml:space="preserve"> </w:t>
      </w:r>
      <w:r>
        <w:t>"facts</w:t>
      </w:r>
      <w:r>
        <w:rPr>
          <w:spacing w:val="-3"/>
        </w:rPr>
        <w:t xml:space="preserve"> </w:t>
      </w:r>
      <w:r>
        <w:t>available"</w:t>
      </w:r>
      <w:r>
        <w:rPr>
          <w:spacing w:val="-5"/>
        </w:rPr>
        <w:t xml:space="preserve"> </w:t>
      </w:r>
      <w:r>
        <w:t>reasonably</w:t>
      </w:r>
      <w:r>
        <w:rPr>
          <w:spacing w:val="-2"/>
        </w:rPr>
        <w:t xml:space="preserve"> </w:t>
      </w:r>
      <w:r>
        <w:t>replace</w:t>
      </w:r>
      <w:r>
        <w:rPr>
          <w:spacing w:val="-3"/>
        </w:rPr>
        <w:t xml:space="preserve"> </w:t>
      </w:r>
      <w:r>
        <w:t>the</w:t>
      </w:r>
      <w:r>
        <w:rPr>
          <w:spacing w:val="-3"/>
        </w:rPr>
        <w:t xml:space="preserve"> </w:t>
      </w:r>
      <w:r>
        <w:t>missing</w:t>
      </w:r>
      <w:r>
        <w:rPr>
          <w:spacing w:val="-2"/>
        </w:rPr>
        <w:t xml:space="preserve"> </w:t>
      </w:r>
      <w:r>
        <w:t>"necessary</w:t>
      </w:r>
      <w:r>
        <w:rPr>
          <w:spacing w:val="-3"/>
        </w:rPr>
        <w:t xml:space="preserve"> </w:t>
      </w:r>
      <w:r>
        <w:t>information" calls</w:t>
      </w:r>
      <w:r>
        <w:rPr>
          <w:spacing w:val="-13"/>
        </w:rPr>
        <w:t xml:space="preserve"> </w:t>
      </w:r>
      <w:r>
        <w:t>for</w:t>
      </w:r>
      <w:r>
        <w:rPr>
          <w:spacing w:val="-12"/>
        </w:rPr>
        <w:t xml:space="preserve"> </w:t>
      </w:r>
      <w:r>
        <w:t>a</w:t>
      </w:r>
      <w:r>
        <w:rPr>
          <w:spacing w:val="-13"/>
        </w:rPr>
        <w:t xml:space="preserve"> </w:t>
      </w:r>
      <w:r>
        <w:t>process</w:t>
      </w:r>
      <w:r>
        <w:rPr>
          <w:spacing w:val="-9"/>
        </w:rPr>
        <w:t xml:space="preserve"> </w:t>
      </w:r>
      <w:r>
        <w:t>of</w:t>
      </w:r>
      <w:r>
        <w:rPr>
          <w:spacing w:val="-12"/>
        </w:rPr>
        <w:t xml:space="preserve"> </w:t>
      </w:r>
      <w:r>
        <w:t>reasoning</w:t>
      </w:r>
      <w:r>
        <w:rPr>
          <w:spacing w:val="-10"/>
        </w:rPr>
        <w:t xml:space="preserve"> </w:t>
      </w:r>
      <w:r>
        <w:t>and</w:t>
      </w:r>
      <w:r>
        <w:rPr>
          <w:spacing w:val="-13"/>
        </w:rPr>
        <w:t xml:space="preserve"> </w:t>
      </w:r>
      <w:r>
        <w:t>evaluation</w:t>
      </w:r>
      <w:r>
        <w:rPr>
          <w:spacing w:val="-12"/>
        </w:rPr>
        <w:t xml:space="preserve"> </w:t>
      </w:r>
      <w:r>
        <w:t>of</w:t>
      </w:r>
      <w:r>
        <w:rPr>
          <w:spacing w:val="-12"/>
        </w:rPr>
        <w:t xml:space="preserve"> </w:t>
      </w:r>
      <w:r>
        <w:t>all</w:t>
      </w:r>
      <w:r>
        <w:rPr>
          <w:spacing w:val="-11"/>
        </w:rPr>
        <w:t xml:space="preserve"> </w:t>
      </w:r>
      <w:r>
        <w:t>substantiated</w:t>
      </w:r>
      <w:r>
        <w:rPr>
          <w:spacing w:val="-13"/>
        </w:rPr>
        <w:t xml:space="preserve"> </w:t>
      </w:r>
      <w:r>
        <w:t>facts</w:t>
      </w:r>
      <w:r>
        <w:rPr>
          <w:spacing w:val="-7"/>
        </w:rPr>
        <w:t xml:space="preserve"> </w:t>
      </w:r>
      <w:r>
        <w:t>on</w:t>
      </w:r>
      <w:r>
        <w:rPr>
          <w:spacing w:val="-9"/>
        </w:rPr>
        <w:t xml:space="preserve"> </w:t>
      </w:r>
      <w:r>
        <w:t>the</w:t>
      </w:r>
      <w:r>
        <w:rPr>
          <w:spacing w:val="-12"/>
        </w:rPr>
        <w:t xml:space="preserve"> </w:t>
      </w:r>
      <w:r>
        <w:t>record.</w:t>
      </w:r>
      <w:r>
        <w:rPr>
          <w:spacing w:val="-11"/>
        </w:rPr>
        <w:t xml:space="preserve"> </w:t>
      </w:r>
      <w:r>
        <w:t>In</w:t>
      </w:r>
      <w:r>
        <w:rPr>
          <w:spacing w:val="-13"/>
        </w:rPr>
        <w:t xml:space="preserve"> </w:t>
      </w:r>
      <w:r>
        <w:t>such a</w:t>
      </w:r>
      <w:r>
        <w:rPr>
          <w:spacing w:val="-4"/>
        </w:rPr>
        <w:t xml:space="preserve"> </w:t>
      </w:r>
      <w:r>
        <w:t>process,</w:t>
      </w:r>
      <w:r>
        <w:rPr>
          <w:spacing w:val="-2"/>
        </w:rPr>
        <w:t xml:space="preserve"> </w:t>
      </w:r>
      <w:r>
        <w:t>no</w:t>
      </w:r>
      <w:r>
        <w:rPr>
          <w:spacing w:val="-1"/>
        </w:rPr>
        <w:t xml:space="preserve"> </w:t>
      </w:r>
      <w:r>
        <w:t>substantiated</w:t>
      </w:r>
      <w:r>
        <w:rPr>
          <w:spacing w:val="-5"/>
        </w:rPr>
        <w:t xml:space="preserve"> </w:t>
      </w:r>
      <w:r>
        <w:t>facts on the record can be a</w:t>
      </w:r>
      <w:r>
        <w:rPr>
          <w:spacing w:val="-5"/>
        </w:rPr>
        <w:t xml:space="preserve"> </w:t>
      </w:r>
      <w:r>
        <w:t>priori</w:t>
      </w:r>
      <w:r>
        <w:rPr>
          <w:spacing w:val="-2"/>
        </w:rPr>
        <w:t xml:space="preserve"> </w:t>
      </w:r>
      <w:r>
        <w:t>excluded</w:t>
      </w:r>
      <w:r>
        <w:rPr>
          <w:spacing w:val="-5"/>
        </w:rPr>
        <w:t xml:space="preserve"> </w:t>
      </w:r>
      <w:r>
        <w:t>from consideration. […] Determinations under Article 6.8, however, must be based on "facts" that reasonably replace the missing "necessary information"</w:t>
      </w:r>
      <w:r>
        <w:rPr>
          <w:spacing w:val="-1"/>
        </w:rPr>
        <w:t xml:space="preserve"> </w:t>
      </w:r>
      <w:r>
        <w:t>in order to arrive at an accurate determination […].</w:t>
      </w:r>
      <w:r>
        <w:rPr>
          <w:spacing w:val="-16"/>
        </w:rPr>
        <w:t xml:space="preserve"> </w:t>
      </w:r>
      <w:hyperlink w:anchor="_bookmark332" w:history="1">
        <w:r>
          <w:rPr>
            <w:vertAlign w:val="superscript"/>
          </w:rPr>
          <w:t>261</w:t>
        </w:r>
      </w:hyperlink>
      <w:r>
        <w:t xml:space="preserve"> (footnotes omitted)</w:t>
      </w:r>
    </w:p>
    <w:p w14:paraId="68F692CA" w14:textId="77777777" w:rsidR="00BD462C" w:rsidRDefault="00BD462C">
      <w:pPr>
        <w:pStyle w:val="BodyText"/>
        <w:spacing w:before="5"/>
        <w:rPr>
          <w:sz w:val="15"/>
        </w:rPr>
      </w:pPr>
    </w:p>
    <w:p w14:paraId="566A3236" w14:textId="292766C1" w:rsidR="00BD462C" w:rsidRDefault="00033D0F" w:rsidP="009B7B7C">
      <w:pPr>
        <w:pStyle w:val="BodyText"/>
        <w:numPr>
          <w:ilvl w:val="0"/>
          <w:numId w:val="69"/>
        </w:numPr>
        <w:spacing w:before="56" w:line="357" w:lineRule="auto"/>
        <w:ind w:right="917"/>
        <w:jc w:val="both"/>
      </w:pPr>
      <w:r>
        <w:rPr>
          <w:position w:val="1"/>
        </w:rPr>
        <w:t>There</w:t>
      </w:r>
      <w:r>
        <w:rPr>
          <w:spacing w:val="40"/>
          <w:position w:val="1"/>
        </w:rPr>
        <w:t xml:space="preserve"> </w:t>
      </w:r>
      <w:r>
        <w:rPr>
          <w:position w:val="1"/>
        </w:rPr>
        <w:t>must</w:t>
      </w:r>
      <w:r>
        <w:rPr>
          <w:spacing w:val="40"/>
          <w:position w:val="1"/>
        </w:rPr>
        <w:t xml:space="preserve"> </w:t>
      </w:r>
      <w:r>
        <w:rPr>
          <w:position w:val="1"/>
        </w:rPr>
        <w:t>be</w:t>
      </w:r>
      <w:r>
        <w:rPr>
          <w:spacing w:val="40"/>
          <w:position w:val="1"/>
        </w:rPr>
        <w:t xml:space="preserve"> </w:t>
      </w:r>
      <w:r>
        <w:rPr>
          <w:position w:val="1"/>
        </w:rPr>
        <w:t>evidence</w:t>
      </w:r>
      <w:r>
        <w:rPr>
          <w:spacing w:val="40"/>
          <w:position w:val="1"/>
        </w:rPr>
        <w:t xml:space="preserve"> </w:t>
      </w:r>
      <w:r>
        <w:rPr>
          <w:position w:val="1"/>
        </w:rPr>
        <w:t>of</w:t>
      </w:r>
      <w:r>
        <w:rPr>
          <w:spacing w:val="40"/>
          <w:position w:val="1"/>
        </w:rPr>
        <w:t xml:space="preserve"> </w:t>
      </w:r>
      <w:r>
        <w:rPr>
          <w:position w:val="1"/>
        </w:rPr>
        <w:t>this</w:t>
      </w:r>
      <w:r>
        <w:rPr>
          <w:spacing w:val="40"/>
          <w:position w:val="1"/>
        </w:rPr>
        <w:t xml:space="preserve"> </w:t>
      </w:r>
      <w:r>
        <w:rPr>
          <w:position w:val="1"/>
        </w:rPr>
        <w:t>reasoning</w:t>
      </w:r>
      <w:r>
        <w:rPr>
          <w:spacing w:val="40"/>
          <w:position w:val="1"/>
        </w:rPr>
        <w:t xml:space="preserve"> </w:t>
      </w:r>
      <w:r>
        <w:rPr>
          <w:position w:val="1"/>
        </w:rPr>
        <w:t>and</w:t>
      </w:r>
      <w:r>
        <w:rPr>
          <w:spacing w:val="40"/>
          <w:position w:val="1"/>
        </w:rPr>
        <w:t xml:space="preserve"> </w:t>
      </w:r>
      <w:r>
        <w:rPr>
          <w:position w:val="1"/>
        </w:rPr>
        <w:t>evaluation</w:t>
      </w:r>
      <w:r>
        <w:rPr>
          <w:spacing w:val="40"/>
          <w:position w:val="1"/>
        </w:rPr>
        <w:t xml:space="preserve"> </w:t>
      </w:r>
      <w:r>
        <w:rPr>
          <w:position w:val="1"/>
        </w:rPr>
        <w:t>either</w:t>
      </w:r>
      <w:r>
        <w:rPr>
          <w:spacing w:val="40"/>
          <w:position w:val="1"/>
        </w:rPr>
        <w:t xml:space="preserve"> </w:t>
      </w:r>
      <w:r>
        <w:rPr>
          <w:position w:val="1"/>
        </w:rPr>
        <w:t>in</w:t>
      </w:r>
      <w:r>
        <w:rPr>
          <w:spacing w:val="40"/>
          <w:position w:val="1"/>
        </w:rPr>
        <w:t xml:space="preserve"> </w:t>
      </w:r>
      <w:r>
        <w:rPr>
          <w:position w:val="1"/>
        </w:rPr>
        <w:t xml:space="preserve">the </w:t>
      </w:r>
      <w:r>
        <w:t>determinations, or elsewhere on the record. No such evidence exists in the present case.</w:t>
      </w:r>
      <w:r>
        <w:rPr>
          <w:spacing w:val="80"/>
        </w:rPr>
        <w:t xml:space="preserve"> </w:t>
      </w:r>
      <w:r>
        <w:t>The full extent of MOFCOM's so-called reasoning and evaluation is as follows:</w:t>
      </w:r>
    </w:p>
    <w:p w14:paraId="1F26A282" w14:textId="679DBAC6" w:rsidR="00BD462C" w:rsidRPr="009B7B7C" w:rsidRDefault="00033D0F" w:rsidP="009B7B7C">
      <w:pPr>
        <w:spacing w:before="164" w:line="276" w:lineRule="auto"/>
        <w:ind w:left="985" w:right="919"/>
        <w:jc w:val="both"/>
      </w:pPr>
      <w:r>
        <w:t>After comparisons, the Investigating Authority temporarily decided to</w:t>
      </w:r>
      <w:r>
        <w:rPr>
          <w:spacing w:val="-1"/>
        </w:rPr>
        <w:t xml:space="preserve"> </w:t>
      </w:r>
      <w:r>
        <w:t>use the data of some product</w:t>
      </w:r>
      <w:r>
        <w:rPr>
          <w:spacing w:val="-1"/>
        </w:rPr>
        <w:t xml:space="preserve"> </w:t>
      </w:r>
      <w:r>
        <w:t>types</w:t>
      </w:r>
      <w:r>
        <w:rPr>
          <w:spacing w:val="-4"/>
        </w:rPr>
        <w:t xml:space="preserve"> </w:t>
      </w:r>
      <w:r>
        <w:t>reported</w:t>
      </w:r>
      <w:r>
        <w:rPr>
          <w:spacing w:val="-5"/>
        </w:rPr>
        <w:t xml:space="preserve"> </w:t>
      </w:r>
      <w:r>
        <w:t>by the</w:t>
      </w:r>
      <w:r>
        <w:rPr>
          <w:spacing w:val="-4"/>
        </w:rPr>
        <w:t xml:space="preserve"> </w:t>
      </w:r>
      <w:r>
        <w:t>Company</w:t>
      </w:r>
      <w:r>
        <w:rPr>
          <w:spacing w:val="-3"/>
        </w:rPr>
        <w:t xml:space="preserve"> </w:t>
      </w:r>
      <w:r>
        <w:t>to</w:t>
      </w:r>
      <w:r>
        <w:rPr>
          <w:spacing w:val="-1"/>
        </w:rPr>
        <w:t xml:space="preserve"> </w:t>
      </w:r>
      <w:r>
        <w:t>determine the</w:t>
      </w:r>
      <w:r>
        <w:rPr>
          <w:spacing w:val="-4"/>
        </w:rPr>
        <w:t xml:space="preserve"> </w:t>
      </w:r>
      <w:r>
        <w:t>production costs and</w:t>
      </w:r>
      <w:r>
        <w:rPr>
          <w:spacing w:val="-5"/>
        </w:rPr>
        <w:t xml:space="preserve"> </w:t>
      </w:r>
      <w:r>
        <w:t>expenses</w:t>
      </w:r>
      <w:r>
        <w:rPr>
          <w:spacing w:val="-4"/>
        </w:rPr>
        <w:t xml:space="preserve"> </w:t>
      </w:r>
      <w:r>
        <w:t>of the product under investigation and like products.</w:t>
      </w:r>
      <w:r>
        <w:rPr>
          <w:spacing w:val="-11"/>
        </w:rPr>
        <w:t xml:space="preserve"> </w:t>
      </w:r>
      <w:hyperlink w:anchor="_bookmark333" w:history="1">
        <w:r>
          <w:rPr>
            <w:vertAlign w:val="superscript"/>
          </w:rPr>
          <w:t>262</w:t>
        </w:r>
      </w:hyperlink>
    </w:p>
    <w:p w14:paraId="28352A0C" w14:textId="4FCAC541" w:rsidR="00BD462C" w:rsidRDefault="003A07AC">
      <w:pPr>
        <w:pStyle w:val="BodyText"/>
        <w:spacing w:before="9"/>
        <w:rPr>
          <w:sz w:val="22"/>
        </w:rPr>
      </w:pPr>
      <w:r>
        <w:rPr>
          <w:noProof/>
        </w:rPr>
        <mc:AlternateContent>
          <mc:Choice Requires="wps">
            <w:drawing>
              <wp:anchor distT="0" distB="0" distL="0" distR="0" simplePos="0" relativeHeight="488032768" behindDoc="1" locked="0" layoutInCell="1" allowOverlap="1" wp14:anchorId="30FE35A4" wp14:editId="6E6D4B4D">
                <wp:simplePos x="0" y="0"/>
                <wp:positionH relativeFrom="page">
                  <wp:posOffset>812800</wp:posOffset>
                </wp:positionH>
                <wp:positionV relativeFrom="paragraph">
                  <wp:posOffset>182929</wp:posOffset>
                </wp:positionV>
                <wp:extent cx="1828800" cy="8890"/>
                <wp:effectExtent l="0" t="0" r="0" b="0"/>
                <wp:wrapTopAndBottom/>
                <wp:docPr id="1484" name="docshape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1692CE" id="docshape113" o:spid="_x0000_s1026" alt="&quot;&quot;" style="position:absolute;margin-left:64pt;margin-top:14.4pt;width:2in;height:.7pt;z-index:-15283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" fillcolor="black" stroked="f">
                <w10:wrap type="topAndBottom" anchorx="page"/>
              </v:rect>
            </w:pict>
          </mc:Fallback>
        </mc:AlternateContent>
      </w:r>
    </w:p>
    <w:p w14:paraId="1A9AD984" w14:textId="77777777" w:rsidR="00BD462C" w:rsidRDefault="00033D0F">
      <w:pPr>
        <w:spacing w:before="112" w:line="218" w:lineRule="exact"/>
        <w:ind w:left="135"/>
        <w:rPr>
          <w:sz w:val="18"/>
        </w:rPr>
      </w:pPr>
      <w:bookmarkStart w:id="382" w:name="_bookmark328"/>
      <w:bookmarkEnd w:id="382"/>
      <w:r>
        <w:rPr>
          <w:position w:val="5"/>
          <w:sz w:val="12"/>
        </w:rPr>
        <w:t>257</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 xml:space="preserve">submission, para. </w:t>
      </w:r>
      <w:r>
        <w:rPr>
          <w:spacing w:val="-4"/>
          <w:sz w:val="18"/>
        </w:rPr>
        <w:t>457.</w:t>
      </w:r>
    </w:p>
    <w:p w14:paraId="4197578C" w14:textId="77777777" w:rsidR="00BD462C" w:rsidRDefault="00033D0F">
      <w:pPr>
        <w:spacing w:line="218" w:lineRule="exact"/>
        <w:ind w:left="135"/>
        <w:rPr>
          <w:sz w:val="18"/>
        </w:rPr>
      </w:pPr>
      <w:bookmarkStart w:id="383" w:name="_bookmark329"/>
      <w:bookmarkEnd w:id="383"/>
      <w:r>
        <w:rPr>
          <w:position w:val="5"/>
          <w:sz w:val="12"/>
        </w:rPr>
        <w:t>258</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 xml:space="preserve">submission, para. </w:t>
      </w:r>
      <w:r>
        <w:rPr>
          <w:spacing w:val="-4"/>
          <w:sz w:val="18"/>
        </w:rPr>
        <w:t>454.</w:t>
      </w:r>
    </w:p>
    <w:p w14:paraId="66067158" w14:textId="77777777" w:rsidR="00BD462C" w:rsidRDefault="00033D0F">
      <w:pPr>
        <w:spacing w:before="1"/>
        <w:ind w:left="135"/>
        <w:rPr>
          <w:sz w:val="18"/>
        </w:rPr>
      </w:pPr>
      <w:bookmarkStart w:id="384" w:name="_bookmark330"/>
      <w:bookmarkEnd w:id="384"/>
      <w:r>
        <w:rPr>
          <w:position w:val="5"/>
          <w:sz w:val="12"/>
        </w:rPr>
        <w:t>259</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 xml:space="preserve">submission, para. </w:t>
      </w:r>
      <w:r>
        <w:rPr>
          <w:spacing w:val="-4"/>
          <w:sz w:val="18"/>
        </w:rPr>
        <w:t>232.</w:t>
      </w:r>
    </w:p>
    <w:p w14:paraId="203734DB" w14:textId="77777777" w:rsidR="00BD462C" w:rsidRDefault="00033D0F">
      <w:pPr>
        <w:spacing w:before="1"/>
        <w:ind w:left="135"/>
        <w:rPr>
          <w:sz w:val="18"/>
        </w:rPr>
      </w:pPr>
      <w:bookmarkStart w:id="385" w:name="_bookmark331"/>
      <w:bookmarkEnd w:id="385"/>
      <w:r>
        <w:rPr>
          <w:position w:val="5"/>
          <w:sz w:val="12"/>
        </w:rPr>
        <w:t>260</w:t>
      </w:r>
      <w:r>
        <w:rPr>
          <w:spacing w:val="13"/>
          <w:position w:val="5"/>
          <w:sz w:val="12"/>
        </w:rPr>
        <w:t xml:space="preserve"> </w:t>
      </w:r>
      <w:r>
        <w:rPr>
          <w:sz w:val="18"/>
        </w:rPr>
        <w:t>See</w:t>
      </w:r>
      <w:r>
        <w:rPr>
          <w:spacing w:val="-5"/>
          <w:sz w:val="18"/>
        </w:rPr>
        <w:t xml:space="preserve"> </w:t>
      </w:r>
      <w:r>
        <w:rPr>
          <w:sz w:val="18"/>
        </w:rPr>
        <w:t>China's</w:t>
      </w:r>
      <w:r>
        <w:rPr>
          <w:spacing w:val="-5"/>
          <w:sz w:val="18"/>
        </w:rPr>
        <w:t xml:space="preserve"> </w:t>
      </w:r>
      <w:r>
        <w:rPr>
          <w:sz w:val="18"/>
        </w:rPr>
        <w:t>first</w:t>
      </w:r>
      <w:r>
        <w:rPr>
          <w:spacing w:val="-4"/>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paras.</w:t>
      </w:r>
      <w:r>
        <w:rPr>
          <w:spacing w:val="-4"/>
          <w:sz w:val="18"/>
        </w:rPr>
        <w:t xml:space="preserve"> 456.</w:t>
      </w:r>
    </w:p>
    <w:p w14:paraId="00F38104" w14:textId="77777777" w:rsidR="00BD462C" w:rsidRDefault="00033D0F">
      <w:pPr>
        <w:spacing w:before="1"/>
        <w:ind w:left="136" w:right="912" w:hanging="1"/>
        <w:jc w:val="both"/>
        <w:rPr>
          <w:sz w:val="18"/>
        </w:rPr>
      </w:pPr>
      <w:bookmarkStart w:id="386" w:name="_bookmark332"/>
      <w:bookmarkEnd w:id="386"/>
      <w:r>
        <w:rPr>
          <w:position w:val="5"/>
          <w:sz w:val="12"/>
        </w:rPr>
        <w:t>261</w:t>
      </w:r>
      <w:r>
        <w:rPr>
          <w:spacing w:val="-7"/>
          <w:position w:val="5"/>
          <w:sz w:val="12"/>
        </w:rPr>
        <w:t xml:space="preserve"> </w:t>
      </w:r>
      <w:r>
        <w:rPr>
          <w:sz w:val="18"/>
        </w:rPr>
        <w:t>Appellate</w:t>
      </w:r>
      <w:r>
        <w:rPr>
          <w:spacing w:val="-10"/>
          <w:sz w:val="18"/>
        </w:rPr>
        <w:t xml:space="preserve"> </w:t>
      </w:r>
      <w:r>
        <w:rPr>
          <w:sz w:val="18"/>
        </w:rPr>
        <w:t>Body</w:t>
      </w:r>
      <w:r>
        <w:rPr>
          <w:spacing w:val="-11"/>
          <w:sz w:val="18"/>
        </w:rPr>
        <w:t xml:space="preserve"> </w:t>
      </w:r>
      <w:r>
        <w:rPr>
          <w:sz w:val="18"/>
        </w:rPr>
        <w:t>Report,</w:t>
      </w:r>
      <w:r>
        <w:rPr>
          <w:spacing w:val="-10"/>
          <w:sz w:val="18"/>
        </w:rPr>
        <w:t xml:space="preserve"> </w:t>
      </w:r>
      <w:r>
        <w:rPr>
          <w:i/>
          <w:sz w:val="18"/>
        </w:rPr>
        <w:t>US</w:t>
      </w:r>
      <w:r>
        <w:rPr>
          <w:i/>
          <w:spacing w:val="-10"/>
          <w:sz w:val="18"/>
        </w:rPr>
        <w:t xml:space="preserve"> </w:t>
      </w:r>
      <w:r>
        <w:rPr>
          <w:i/>
          <w:sz w:val="18"/>
        </w:rPr>
        <w:t>–</w:t>
      </w:r>
      <w:r>
        <w:rPr>
          <w:i/>
          <w:spacing w:val="-8"/>
          <w:sz w:val="18"/>
        </w:rPr>
        <w:t xml:space="preserve"> </w:t>
      </w:r>
      <w:r>
        <w:rPr>
          <w:i/>
          <w:sz w:val="18"/>
        </w:rPr>
        <w:t>Anti-Dumping</w:t>
      </w:r>
      <w:r>
        <w:rPr>
          <w:i/>
          <w:spacing w:val="-11"/>
          <w:sz w:val="18"/>
        </w:rPr>
        <w:t xml:space="preserve"> </w:t>
      </w:r>
      <w:r>
        <w:rPr>
          <w:i/>
          <w:sz w:val="18"/>
        </w:rPr>
        <w:t>Methodologies</w:t>
      </w:r>
      <w:r>
        <w:rPr>
          <w:i/>
          <w:spacing w:val="-10"/>
          <w:sz w:val="18"/>
        </w:rPr>
        <w:t xml:space="preserve"> </w:t>
      </w:r>
      <w:r>
        <w:rPr>
          <w:i/>
          <w:sz w:val="18"/>
        </w:rPr>
        <w:t>(China)</w:t>
      </w:r>
      <w:r>
        <w:rPr>
          <w:sz w:val="18"/>
        </w:rPr>
        <w:t>,</w:t>
      </w:r>
      <w:r>
        <w:rPr>
          <w:spacing w:val="-10"/>
          <w:sz w:val="18"/>
        </w:rPr>
        <w:t xml:space="preserve"> </w:t>
      </w:r>
      <w:r>
        <w:rPr>
          <w:sz w:val="18"/>
        </w:rPr>
        <w:t>para.</w:t>
      </w:r>
      <w:r>
        <w:rPr>
          <w:spacing w:val="-7"/>
          <w:sz w:val="18"/>
        </w:rPr>
        <w:t xml:space="preserve"> </w:t>
      </w:r>
      <w:r>
        <w:rPr>
          <w:sz w:val="18"/>
        </w:rPr>
        <w:t>5.172.</w:t>
      </w:r>
      <w:r>
        <w:rPr>
          <w:spacing w:val="-8"/>
          <w:sz w:val="18"/>
        </w:rPr>
        <w:t xml:space="preserve"> </w:t>
      </w:r>
      <w:r>
        <w:rPr>
          <w:sz w:val="18"/>
        </w:rPr>
        <w:t>See</w:t>
      </w:r>
      <w:r>
        <w:rPr>
          <w:spacing w:val="-9"/>
          <w:sz w:val="18"/>
        </w:rPr>
        <w:t xml:space="preserve"> </w:t>
      </w:r>
      <w:r>
        <w:rPr>
          <w:sz w:val="18"/>
        </w:rPr>
        <w:t>also</w:t>
      </w:r>
      <w:r>
        <w:rPr>
          <w:spacing w:val="-9"/>
          <w:sz w:val="18"/>
        </w:rPr>
        <w:t xml:space="preserve"> </w:t>
      </w:r>
      <w:r>
        <w:rPr>
          <w:i/>
          <w:sz w:val="18"/>
        </w:rPr>
        <w:t>US</w:t>
      </w:r>
      <w:r>
        <w:rPr>
          <w:i/>
          <w:spacing w:val="-11"/>
          <w:sz w:val="18"/>
        </w:rPr>
        <w:t xml:space="preserve"> </w:t>
      </w:r>
      <w:r>
        <w:rPr>
          <w:i/>
          <w:sz w:val="18"/>
        </w:rPr>
        <w:t>–</w:t>
      </w:r>
      <w:r>
        <w:rPr>
          <w:i/>
          <w:spacing w:val="-8"/>
          <w:sz w:val="18"/>
        </w:rPr>
        <w:t xml:space="preserve"> </w:t>
      </w:r>
      <w:r>
        <w:rPr>
          <w:i/>
          <w:sz w:val="18"/>
        </w:rPr>
        <w:t>Carbon</w:t>
      </w:r>
      <w:r>
        <w:rPr>
          <w:i/>
          <w:spacing w:val="-11"/>
          <w:sz w:val="18"/>
        </w:rPr>
        <w:t xml:space="preserve"> </w:t>
      </w:r>
      <w:r>
        <w:rPr>
          <w:i/>
          <w:sz w:val="18"/>
        </w:rPr>
        <w:t>Steel</w:t>
      </w:r>
      <w:r>
        <w:rPr>
          <w:i/>
          <w:spacing w:val="-7"/>
          <w:sz w:val="18"/>
        </w:rPr>
        <w:t xml:space="preserve"> </w:t>
      </w:r>
      <w:r>
        <w:rPr>
          <w:i/>
          <w:sz w:val="18"/>
        </w:rPr>
        <w:t>(India)</w:t>
      </w:r>
      <w:r>
        <w:rPr>
          <w:sz w:val="18"/>
        </w:rPr>
        <w:t>,</w:t>
      </w:r>
      <w:r>
        <w:rPr>
          <w:spacing w:val="-7"/>
          <w:sz w:val="18"/>
        </w:rPr>
        <w:t xml:space="preserve"> </w:t>
      </w:r>
      <w:r>
        <w:rPr>
          <w:sz w:val="18"/>
        </w:rPr>
        <w:t>in</w:t>
      </w:r>
      <w:r>
        <w:rPr>
          <w:spacing w:val="-9"/>
          <w:sz w:val="18"/>
        </w:rPr>
        <w:t xml:space="preserve"> </w:t>
      </w:r>
      <w:r>
        <w:rPr>
          <w:sz w:val="18"/>
        </w:rPr>
        <w:t>which, in relation</w:t>
      </w:r>
      <w:r>
        <w:rPr>
          <w:spacing w:val="-3"/>
          <w:sz w:val="18"/>
        </w:rPr>
        <w:t xml:space="preserve"> </w:t>
      </w:r>
      <w:r>
        <w:rPr>
          <w:sz w:val="18"/>
        </w:rPr>
        <w:t>to the comparable</w:t>
      </w:r>
      <w:r>
        <w:rPr>
          <w:spacing w:val="-2"/>
          <w:sz w:val="18"/>
        </w:rPr>
        <w:t xml:space="preserve"> </w:t>
      </w:r>
      <w:r>
        <w:rPr>
          <w:sz w:val="18"/>
        </w:rPr>
        <w:t>provision</w:t>
      </w:r>
      <w:r>
        <w:rPr>
          <w:spacing w:val="-3"/>
          <w:sz w:val="18"/>
        </w:rPr>
        <w:t xml:space="preserve"> </w:t>
      </w:r>
      <w:r>
        <w:rPr>
          <w:sz w:val="18"/>
        </w:rPr>
        <w:t>in</w:t>
      </w:r>
      <w:r>
        <w:rPr>
          <w:spacing w:val="-3"/>
          <w:sz w:val="18"/>
        </w:rPr>
        <w:t xml:space="preserve"> </w:t>
      </w:r>
      <w:r>
        <w:rPr>
          <w:sz w:val="18"/>
        </w:rPr>
        <w:t>the SCM Agreement, Article</w:t>
      </w:r>
      <w:r>
        <w:rPr>
          <w:spacing w:val="-2"/>
          <w:sz w:val="18"/>
        </w:rPr>
        <w:t xml:space="preserve"> </w:t>
      </w:r>
      <w:r>
        <w:rPr>
          <w:sz w:val="18"/>
        </w:rPr>
        <w:t>12.7, the</w:t>
      </w:r>
      <w:r>
        <w:rPr>
          <w:spacing w:val="-2"/>
          <w:sz w:val="18"/>
        </w:rPr>
        <w:t xml:space="preserve"> </w:t>
      </w:r>
      <w:r>
        <w:rPr>
          <w:sz w:val="18"/>
        </w:rPr>
        <w:t>Appellate</w:t>
      </w:r>
      <w:r>
        <w:rPr>
          <w:spacing w:val="-2"/>
          <w:sz w:val="18"/>
        </w:rPr>
        <w:t xml:space="preserve"> </w:t>
      </w:r>
      <w:r>
        <w:rPr>
          <w:sz w:val="18"/>
        </w:rPr>
        <w:t>Body explained</w:t>
      </w:r>
      <w:r>
        <w:rPr>
          <w:spacing w:val="-3"/>
          <w:sz w:val="18"/>
        </w:rPr>
        <w:t xml:space="preserve"> </w:t>
      </w:r>
      <w:r>
        <w:rPr>
          <w:sz w:val="18"/>
        </w:rPr>
        <w:t>that</w:t>
      </w:r>
      <w:r>
        <w:rPr>
          <w:spacing w:val="-1"/>
          <w:sz w:val="18"/>
        </w:rPr>
        <w:t xml:space="preserve"> </w:t>
      </w:r>
      <w:r>
        <w:rPr>
          <w:sz w:val="18"/>
        </w:rPr>
        <w:t>"ascertaining the</w:t>
      </w:r>
      <w:r>
        <w:rPr>
          <w:spacing w:val="-4"/>
          <w:sz w:val="18"/>
        </w:rPr>
        <w:t xml:space="preserve"> </w:t>
      </w:r>
      <w:r>
        <w:rPr>
          <w:sz w:val="18"/>
        </w:rPr>
        <w:t>reasonable</w:t>
      </w:r>
      <w:r>
        <w:rPr>
          <w:spacing w:val="-4"/>
          <w:sz w:val="18"/>
        </w:rPr>
        <w:t xml:space="preserve"> </w:t>
      </w:r>
      <w:r>
        <w:rPr>
          <w:sz w:val="18"/>
        </w:rPr>
        <w:t>replacements</w:t>
      </w:r>
      <w:r>
        <w:rPr>
          <w:spacing w:val="-4"/>
          <w:sz w:val="18"/>
        </w:rPr>
        <w:t xml:space="preserve"> </w:t>
      </w:r>
      <w:r>
        <w:rPr>
          <w:sz w:val="18"/>
        </w:rPr>
        <w:t>for</w:t>
      </w:r>
      <w:r>
        <w:rPr>
          <w:spacing w:val="-6"/>
          <w:sz w:val="18"/>
        </w:rPr>
        <w:t xml:space="preserve"> </w:t>
      </w:r>
      <w:r>
        <w:rPr>
          <w:sz w:val="18"/>
        </w:rPr>
        <w:t>the missing</w:t>
      </w:r>
      <w:r>
        <w:rPr>
          <w:spacing w:val="-4"/>
          <w:sz w:val="18"/>
        </w:rPr>
        <w:t xml:space="preserve"> </w:t>
      </w:r>
      <w:r>
        <w:rPr>
          <w:sz w:val="18"/>
        </w:rPr>
        <w:t>'necessary</w:t>
      </w:r>
      <w:r>
        <w:rPr>
          <w:spacing w:val="-1"/>
          <w:sz w:val="18"/>
        </w:rPr>
        <w:t xml:space="preserve"> </w:t>
      </w:r>
      <w:r>
        <w:rPr>
          <w:sz w:val="18"/>
        </w:rPr>
        <w:t>information'</w:t>
      </w:r>
      <w:r>
        <w:rPr>
          <w:spacing w:val="-2"/>
          <w:sz w:val="18"/>
        </w:rPr>
        <w:t xml:space="preserve"> </w:t>
      </w:r>
      <w:r>
        <w:rPr>
          <w:sz w:val="18"/>
        </w:rPr>
        <w:t>involves a</w:t>
      </w:r>
      <w:r>
        <w:rPr>
          <w:spacing w:val="-6"/>
          <w:sz w:val="18"/>
        </w:rPr>
        <w:t xml:space="preserve"> </w:t>
      </w:r>
      <w:r>
        <w:rPr>
          <w:sz w:val="18"/>
        </w:rPr>
        <w:t>process of</w:t>
      </w:r>
      <w:r>
        <w:rPr>
          <w:spacing w:val="-3"/>
          <w:sz w:val="18"/>
        </w:rPr>
        <w:t xml:space="preserve"> </w:t>
      </w:r>
      <w:r>
        <w:rPr>
          <w:sz w:val="18"/>
        </w:rPr>
        <w:t>reasoning</w:t>
      </w:r>
      <w:r>
        <w:rPr>
          <w:spacing w:val="-4"/>
          <w:sz w:val="18"/>
        </w:rPr>
        <w:t xml:space="preserve"> </w:t>
      </w:r>
      <w:r>
        <w:rPr>
          <w:sz w:val="18"/>
        </w:rPr>
        <w:t>and</w:t>
      </w:r>
      <w:r>
        <w:rPr>
          <w:spacing w:val="-5"/>
          <w:sz w:val="18"/>
        </w:rPr>
        <w:t xml:space="preserve"> </w:t>
      </w:r>
      <w:r>
        <w:rPr>
          <w:sz w:val="18"/>
        </w:rPr>
        <w:t>evaluation.</w:t>
      </w:r>
      <w:r>
        <w:rPr>
          <w:spacing w:val="-3"/>
          <w:sz w:val="18"/>
        </w:rPr>
        <w:t xml:space="preserve"> </w:t>
      </w:r>
      <w:r>
        <w:rPr>
          <w:sz w:val="18"/>
        </w:rPr>
        <w:t>As</w:t>
      </w:r>
      <w:r>
        <w:rPr>
          <w:spacing w:val="-4"/>
          <w:sz w:val="18"/>
        </w:rPr>
        <w:t xml:space="preserve"> </w:t>
      </w:r>
      <w:r>
        <w:rPr>
          <w:sz w:val="18"/>
        </w:rPr>
        <w:t xml:space="preserve">with Article 6.8 of the Anti-Dumping Agreement, this in turn calls for a consideration of all substantiated facts on the record." (Appellate Body Report, </w:t>
      </w:r>
      <w:r>
        <w:rPr>
          <w:i/>
          <w:sz w:val="18"/>
        </w:rPr>
        <w:t>US – Carbon Steel (India)</w:t>
      </w:r>
      <w:r>
        <w:rPr>
          <w:sz w:val="18"/>
        </w:rPr>
        <w:t>, para 4.424.)</w:t>
      </w:r>
    </w:p>
    <w:p w14:paraId="18A9268F" w14:textId="77777777" w:rsidR="00BD462C" w:rsidRDefault="00033D0F">
      <w:pPr>
        <w:ind w:left="135"/>
        <w:jc w:val="both"/>
        <w:rPr>
          <w:sz w:val="18"/>
        </w:rPr>
      </w:pPr>
      <w:bookmarkStart w:id="387" w:name="_bookmark333"/>
      <w:bookmarkEnd w:id="387"/>
      <w:r>
        <w:rPr>
          <w:position w:val="5"/>
          <w:sz w:val="12"/>
        </w:rPr>
        <w:lastRenderedPageBreak/>
        <w:t>262</w:t>
      </w:r>
      <w:r>
        <w:rPr>
          <w:spacing w:val="11"/>
          <w:position w:val="5"/>
          <w:sz w:val="12"/>
        </w:rPr>
        <w:t xml:space="preserve"> </w:t>
      </w:r>
      <w:r>
        <w:rPr>
          <w:sz w:val="18"/>
        </w:rPr>
        <w:t>Anti-Dumping</w:t>
      </w:r>
      <w:r>
        <w:rPr>
          <w:spacing w:val="-7"/>
          <w:sz w:val="18"/>
        </w:rPr>
        <w:t xml:space="preserve"> </w:t>
      </w:r>
      <w:r>
        <w:rPr>
          <w:sz w:val="18"/>
        </w:rPr>
        <w:t>Final</w:t>
      </w:r>
      <w:r>
        <w:rPr>
          <w:spacing w:val="-3"/>
          <w:sz w:val="18"/>
        </w:rPr>
        <w:t xml:space="preserve"> </w:t>
      </w:r>
      <w:r>
        <w:rPr>
          <w:sz w:val="18"/>
        </w:rPr>
        <w:t>Determination</w:t>
      </w:r>
      <w:r>
        <w:rPr>
          <w:spacing w:val="-8"/>
          <w:sz w:val="18"/>
        </w:rPr>
        <w:t xml:space="preserve"> </w:t>
      </w:r>
      <w:r>
        <w:rPr>
          <w:sz w:val="18"/>
        </w:rPr>
        <w:t>(Exhibit</w:t>
      </w:r>
      <w:r>
        <w:rPr>
          <w:spacing w:val="-2"/>
          <w:sz w:val="18"/>
        </w:rPr>
        <w:t xml:space="preserve"> </w:t>
      </w:r>
      <w:r>
        <w:rPr>
          <w:sz w:val="18"/>
        </w:rPr>
        <w:t>AUS-2),</w:t>
      </w:r>
      <w:r>
        <w:rPr>
          <w:spacing w:val="-6"/>
          <w:sz w:val="18"/>
        </w:rPr>
        <w:t xml:space="preserve"> </w:t>
      </w:r>
      <w:r>
        <w:rPr>
          <w:sz w:val="18"/>
        </w:rPr>
        <w:t>pp.</w:t>
      </w:r>
      <w:r>
        <w:rPr>
          <w:spacing w:val="-1"/>
          <w:sz w:val="18"/>
        </w:rPr>
        <w:t xml:space="preserve"> </w:t>
      </w:r>
      <w:r>
        <w:rPr>
          <w:sz w:val="18"/>
        </w:rPr>
        <w:t>60-</w:t>
      </w:r>
      <w:r>
        <w:rPr>
          <w:spacing w:val="-5"/>
          <w:sz w:val="18"/>
        </w:rPr>
        <w:t>61.</w:t>
      </w:r>
    </w:p>
    <w:p w14:paraId="2C3906F5" w14:textId="77777777" w:rsidR="00BD462C" w:rsidRDefault="00BD462C">
      <w:pPr>
        <w:jc w:val="both"/>
        <w:rPr>
          <w:sz w:val="18"/>
        </w:rPr>
        <w:sectPr w:rsidR="00BD462C">
          <w:pgSz w:w="11910" w:h="16840"/>
          <w:pgMar w:top="860" w:right="500" w:bottom="780" w:left="1280" w:header="566" w:footer="590" w:gutter="0"/>
          <w:cols w:space="720"/>
        </w:sectPr>
      </w:pPr>
    </w:p>
    <w:p w14:paraId="22CC9D2A"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1EB62046"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4C00EE9D"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5ACEE2AD" w14:textId="77777777" w:rsidR="00BD462C" w:rsidRDefault="00033D0F">
      <w:pPr>
        <w:pStyle w:val="BodyText"/>
        <w:spacing w:before="102" w:line="357" w:lineRule="auto"/>
        <w:ind w:left="135" w:right="923"/>
      </w:pPr>
      <w:r>
        <w:t>MOFCOM's</w:t>
      </w:r>
      <w:r>
        <w:rPr>
          <w:spacing w:val="40"/>
        </w:rPr>
        <w:t xml:space="preserve"> </w:t>
      </w:r>
      <w:r>
        <w:t>passing</w:t>
      </w:r>
      <w:r>
        <w:rPr>
          <w:spacing w:val="40"/>
        </w:rPr>
        <w:t xml:space="preserve"> </w:t>
      </w:r>
      <w:r>
        <w:t>reference</w:t>
      </w:r>
      <w:r>
        <w:rPr>
          <w:spacing w:val="40"/>
        </w:rPr>
        <w:t xml:space="preserve"> </w:t>
      </w:r>
      <w:r>
        <w:t>to</w:t>
      </w:r>
      <w:r>
        <w:rPr>
          <w:spacing w:val="37"/>
        </w:rPr>
        <w:t xml:space="preserve"> </w:t>
      </w:r>
      <w:r>
        <w:t>"[a]</w:t>
      </w:r>
      <w:proofErr w:type="spellStart"/>
      <w:r>
        <w:t>fter</w:t>
      </w:r>
      <w:proofErr w:type="spellEnd"/>
      <w:r>
        <w:rPr>
          <w:spacing w:val="40"/>
        </w:rPr>
        <w:t xml:space="preserve"> </w:t>
      </w:r>
      <w:r>
        <w:t>comparisons"</w:t>
      </w:r>
      <w:r>
        <w:rPr>
          <w:spacing w:val="39"/>
        </w:rPr>
        <w:t xml:space="preserve"> </w:t>
      </w:r>
      <w:r>
        <w:t>in</w:t>
      </w:r>
      <w:r>
        <w:rPr>
          <w:spacing w:val="38"/>
        </w:rPr>
        <w:t xml:space="preserve"> </w:t>
      </w:r>
      <w:r>
        <w:t>no</w:t>
      </w:r>
      <w:r>
        <w:rPr>
          <w:spacing w:val="37"/>
        </w:rPr>
        <w:t xml:space="preserve"> </w:t>
      </w:r>
      <w:r>
        <w:t>way</w:t>
      </w:r>
      <w:r>
        <w:rPr>
          <w:spacing w:val="40"/>
        </w:rPr>
        <w:t xml:space="preserve"> </w:t>
      </w:r>
      <w:r>
        <w:t>evidences</w:t>
      </w:r>
      <w:r>
        <w:rPr>
          <w:spacing w:val="40"/>
        </w:rPr>
        <w:t xml:space="preserve"> </w:t>
      </w:r>
      <w:r>
        <w:t>the</w:t>
      </w:r>
      <w:r>
        <w:rPr>
          <w:spacing w:val="39"/>
        </w:rPr>
        <w:t xml:space="preserve"> </w:t>
      </w:r>
      <w:r>
        <w:t xml:space="preserve">required </w:t>
      </w:r>
      <w:r>
        <w:rPr>
          <w:spacing w:val="-2"/>
        </w:rPr>
        <w:t>process.</w:t>
      </w:r>
    </w:p>
    <w:p w14:paraId="4DDADCB7" w14:textId="05FE5027" w:rsidR="00BD462C" w:rsidRDefault="00033D0F" w:rsidP="009B7B7C">
      <w:pPr>
        <w:pStyle w:val="BodyText"/>
        <w:numPr>
          <w:ilvl w:val="0"/>
          <w:numId w:val="69"/>
        </w:numPr>
        <w:spacing w:before="169" w:line="357" w:lineRule="auto"/>
        <w:ind w:right="914"/>
        <w:jc w:val="both"/>
      </w:pPr>
      <w:r>
        <w:rPr>
          <w:position w:val="1"/>
        </w:rPr>
        <w:t>China now provides three distinct bases for MOFCOM's selection of facts.</w:t>
      </w:r>
      <w:r>
        <w:rPr>
          <w:spacing w:val="-14"/>
          <w:position w:val="1"/>
        </w:rPr>
        <w:t xml:space="preserve"> </w:t>
      </w:r>
      <w:hyperlink w:anchor="_bookmark334" w:history="1">
        <w:r>
          <w:rPr>
            <w:position w:val="1"/>
            <w:vertAlign w:val="superscript"/>
          </w:rPr>
          <w:t>263</w:t>
        </w:r>
      </w:hyperlink>
      <w:r>
        <w:rPr>
          <w:position w:val="1"/>
        </w:rPr>
        <w:t xml:space="preserve"> It is </w:t>
      </w:r>
      <w:r>
        <w:t>abundantly</w:t>
      </w:r>
      <w:r>
        <w:rPr>
          <w:spacing w:val="-1"/>
        </w:rPr>
        <w:t xml:space="preserve"> </w:t>
      </w:r>
      <w:r>
        <w:t>clear</w:t>
      </w:r>
      <w:r>
        <w:rPr>
          <w:spacing w:val="-5"/>
        </w:rPr>
        <w:t xml:space="preserve"> </w:t>
      </w:r>
      <w:r>
        <w:t>that</w:t>
      </w:r>
      <w:r>
        <w:rPr>
          <w:spacing w:val="-2"/>
        </w:rPr>
        <w:t xml:space="preserve"> </w:t>
      </w:r>
      <w:r>
        <w:t>these</w:t>
      </w:r>
      <w:r>
        <w:rPr>
          <w:spacing w:val="-2"/>
        </w:rPr>
        <w:t xml:space="preserve"> </w:t>
      </w:r>
      <w:r>
        <w:t>reasons</w:t>
      </w:r>
      <w:r>
        <w:rPr>
          <w:spacing w:val="-1"/>
        </w:rPr>
        <w:t xml:space="preserve"> </w:t>
      </w:r>
      <w:r>
        <w:t>do</w:t>
      </w:r>
      <w:r>
        <w:rPr>
          <w:spacing w:val="-5"/>
        </w:rPr>
        <w:t xml:space="preserve"> </w:t>
      </w:r>
      <w:r>
        <w:t>not</w:t>
      </w:r>
      <w:r>
        <w:rPr>
          <w:spacing w:val="-2"/>
        </w:rPr>
        <w:t xml:space="preserve"> </w:t>
      </w:r>
      <w:r>
        <w:t>appear</w:t>
      </w:r>
      <w:r>
        <w:rPr>
          <w:spacing w:val="-5"/>
        </w:rPr>
        <w:t xml:space="preserve"> </w:t>
      </w:r>
      <w:r>
        <w:t>in</w:t>
      </w:r>
      <w:r>
        <w:rPr>
          <w:spacing w:val="-4"/>
        </w:rPr>
        <w:t xml:space="preserve"> </w:t>
      </w:r>
      <w:r>
        <w:t>MOFCOM's</w:t>
      </w:r>
      <w:r>
        <w:rPr>
          <w:spacing w:val="-1"/>
        </w:rPr>
        <w:t xml:space="preserve"> </w:t>
      </w:r>
      <w:r>
        <w:t>Final Determination,</w:t>
      </w:r>
      <w:r>
        <w:rPr>
          <w:spacing w:val="-1"/>
        </w:rPr>
        <w:t xml:space="preserve"> </w:t>
      </w:r>
      <w:r>
        <w:t>nor</w:t>
      </w:r>
      <w:r>
        <w:rPr>
          <w:spacing w:val="-5"/>
        </w:rPr>
        <w:t xml:space="preserve"> </w:t>
      </w:r>
      <w:r>
        <w:t xml:space="preserve">its Preliminary Determination. These </w:t>
      </w:r>
      <w:r>
        <w:rPr>
          <w:i/>
        </w:rPr>
        <w:t>ex</w:t>
      </w:r>
      <w:r>
        <w:rPr>
          <w:i/>
          <w:spacing w:val="-2"/>
        </w:rPr>
        <w:t xml:space="preserve"> </w:t>
      </w:r>
      <w:r>
        <w:rPr>
          <w:i/>
        </w:rPr>
        <w:t xml:space="preserve">post facto </w:t>
      </w:r>
      <w:r>
        <w:t>justifications should not be considered further. In</w:t>
      </w:r>
      <w:r>
        <w:rPr>
          <w:spacing w:val="-2"/>
        </w:rPr>
        <w:t xml:space="preserve"> </w:t>
      </w:r>
      <w:r>
        <w:t>any event, they are also</w:t>
      </w:r>
      <w:r>
        <w:rPr>
          <w:spacing w:val="-2"/>
        </w:rPr>
        <w:t xml:space="preserve"> </w:t>
      </w:r>
      <w:r>
        <w:t>not supported by facts on</w:t>
      </w:r>
      <w:r>
        <w:rPr>
          <w:spacing w:val="-2"/>
        </w:rPr>
        <w:t xml:space="preserve"> </w:t>
      </w:r>
      <w:r>
        <w:t xml:space="preserve">the record, as will be discussed </w:t>
      </w:r>
      <w:r>
        <w:rPr>
          <w:spacing w:val="-2"/>
        </w:rPr>
        <w:t>below.</w:t>
      </w:r>
    </w:p>
    <w:p w14:paraId="60523876" w14:textId="77777777" w:rsidR="00BD462C" w:rsidRDefault="00033D0F" w:rsidP="00DA02D9">
      <w:pPr>
        <w:pStyle w:val="ListParagraph"/>
        <w:numPr>
          <w:ilvl w:val="1"/>
          <w:numId w:val="70"/>
        </w:numPr>
        <w:tabs>
          <w:tab w:val="left" w:pos="3539"/>
          <w:tab w:val="left" w:pos="3540"/>
        </w:tabs>
        <w:spacing w:before="159" w:line="362" w:lineRule="auto"/>
        <w:ind w:right="921"/>
        <w:jc w:val="both"/>
        <w:rPr>
          <w:sz w:val="24"/>
        </w:rPr>
      </w:pPr>
      <w:bookmarkStart w:id="388" w:name="(b)_China_has_failed_to_demonstrate_MOFC"/>
      <w:bookmarkEnd w:id="388"/>
      <w:r>
        <w:rPr>
          <w:sz w:val="24"/>
          <w:u w:val="single"/>
        </w:rPr>
        <w:t>China has failed to demonstrate MOFCOM selected the</w:t>
      </w:r>
      <w:r>
        <w:rPr>
          <w:sz w:val="24"/>
        </w:rPr>
        <w:t xml:space="preserve"> </w:t>
      </w:r>
      <w:r>
        <w:rPr>
          <w:sz w:val="24"/>
          <w:u w:val="single"/>
        </w:rPr>
        <w:t>best information available</w:t>
      </w:r>
    </w:p>
    <w:p w14:paraId="4D4CFADB" w14:textId="77777777" w:rsidR="00BD462C" w:rsidRDefault="00BD462C">
      <w:pPr>
        <w:pStyle w:val="BodyText"/>
        <w:spacing w:before="8"/>
        <w:rPr>
          <w:sz w:val="8"/>
        </w:rPr>
      </w:pPr>
    </w:p>
    <w:p w14:paraId="1D40844B" w14:textId="7C8035AA" w:rsidR="00BD462C" w:rsidRDefault="00033D0F" w:rsidP="009B7B7C">
      <w:pPr>
        <w:pStyle w:val="BodyText"/>
        <w:numPr>
          <w:ilvl w:val="0"/>
          <w:numId w:val="69"/>
        </w:numPr>
        <w:spacing w:before="56" w:line="357" w:lineRule="auto"/>
        <w:ind w:right="908"/>
        <w:jc w:val="both"/>
      </w:pPr>
      <w:r>
        <w:rPr>
          <w:position w:val="1"/>
        </w:rPr>
        <w:t xml:space="preserve">Recalling the agreement between the parties that an investigating authority must </w:t>
      </w:r>
      <w:r>
        <w:t>conduct</w:t>
      </w:r>
      <w:r>
        <w:rPr>
          <w:spacing w:val="-14"/>
        </w:rPr>
        <w:t xml:space="preserve"> </w:t>
      </w:r>
      <w:r>
        <w:t>a</w:t>
      </w:r>
      <w:r>
        <w:rPr>
          <w:spacing w:val="-14"/>
        </w:rPr>
        <w:t xml:space="preserve"> </w:t>
      </w:r>
      <w:r>
        <w:t>comparative</w:t>
      </w:r>
      <w:r>
        <w:rPr>
          <w:spacing w:val="-13"/>
        </w:rPr>
        <w:t xml:space="preserve"> </w:t>
      </w:r>
      <w:r>
        <w:t>evaluation</w:t>
      </w:r>
      <w:r>
        <w:rPr>
          <w:spacing w:val="-14"/>
        </w:rPr>
        <w:t xml:space="preserve"> </w:t>
      </w:r>
      <w:r>
        <w:t>or</w:t>
      </w:r>
      <w:r>
        <w:rPr>
          <w:spacing w:val="-13"/>
        </w:rPr>
        <w:t xml:space="preserve"> </w:t>
      </w:r>
      <w:r>
        <w:t>assessment</w:t>
      </w:r>
      <w:r>
        <w:rPr>
          <w:spacing w:val="-14"/>
        </w:rPr>
        <w:t xml:space="preserve"> </w:t>
      </w:r>
      <w:r>
        <w:t>of</w:t>
      </w:r>
      <w:r>
        <w:rPr>
          <w:spacing w:val="-13"/>
        </w:rPr>
        <w:t xml:space="preserve"> </w:t>
      </w:r>
      <w:r>
        <w:t>all</w:t>
      </w:r>
      <w:r>
        <w:rPr>
          <w:spacing w:val="-14"/>
        </w:rPr>
        <w:t xml:space="preserve"> </w:t>
      </w:r>
      <w:r>
        <w:t>available</w:t>
      </w:r>
      <w:r>
        <w:rPr>
          <w:spacing w:val="-14"/>
        </w:rPr>
        <w:t xml:space="preserve"> </w:t>
      </w:r>
      <w:r>
        <w:t>facts</w:t>
      </w:r>
      <w:r>
        <w:rPr>
          <w:spacing w:val="-13"/>
        </w:rPr>
        <w:t xml:space="preserve"> </w:t>
      </w:r>
      <w:r>
        <w:t>on</w:t>
      </w:r>
      <w:r>
        <w:rPr>
          <w:spacing w:val="-14"/>
        </w:rPr>
        <w:t xml:space="preserve"> </w:t>
      </w:r>
      <w:r>
        <w:t>the</w:t>
      </w:r>
      <w:r>
        <w:rPr>
          <w:spacing w:val="-13"/>
        </w:rPr>
        <w:t xml:space="preserve"> </w:t>
      </w:r>
      <w:r>
        <w:t>record,</w:t>
      </w:r>
      <w:r>
        <w:rPr>
          <w:spacing w:val="-14"/>
        </w:rPr>
        <w:t xml:space="preserve"> </w:t>
      </w:r>
      <w:hyperlink w:anchor="_bookmark335" w:history="1">
        <w:r>
          <w:rPr>
            <w:vertAlign w:val="superscript"/>
          </w:rPr>
          <w:t>264</w:t>
        </w:r>
      </w:hyperlink>
      <w:r>
        <w:rPr>
          <w:spacing w:val="-13"/>
        </w:rPr>
        <w:t xml:space="preserve"> </w:t>
      </w:r>
      <w:r>
        <w:t xml:space="preserve">implicit in China's position is that MOFCOM </w:t>
      </w:r>
      <w:r>
        <w:rPr>
          <w:i/>
        </w:rPr>
        <w:t xml:space="preserve">did </w:t>
      </w:r>
      <w:r>
        <w:t>undertake an evaluation of the facts on the record despite there being no evidence of this. However, China argues that MOFCOM did so on the basis</w:t>
      </w:r>
      <w:r>
        <w:rPr>
          <w:spacing w:val="-14"/>
        </w:rPr>
        <w:t xml:space="preserve"> </w:t>
      </w:r>
      <w:r>
        <w:t>of</w:t>
      </w:r>
      <w:r>
        <w:rPr>
          <w:spacing w:val="-14"/>
        </w:rPr>
        <w:t xml:space="preserve"> </w:t>
      </w:r>
      <w:r>
        <w:t>a</w:t>
      </w:r>
      <w:r>
        <w:rPr>
          <w:spacing w:val="-13"/>
        </w:rPr>
        <w:t xml:space="preserve"> </w:t>
      </w:r>
      <w:r>
        <w:t>"more</w:t>
      </w:r>
      <w:r>
        <w:rPr>
          <w:spacing w:val="-14"/>
        </w:rPr>
        <w:t xml:space="preserve"> </w:t>
      </w:r>
      <w:r>
        <w:t>limited</w:t>
      </w:r>
      <w:r>
        <w:rPr>
          <w:spacing w:val="-13"/>
        </w:rPr>
        <w:t xml:space="preserve"> </w:t>
      </w:r>
      <w:r>
        <w:t>and</w:t>
      </w:r>
      <w:r>
        <w:rPr>
          <w:spacing w:val="-14"/>
        </w:rPr>
        <w:t xml:space="preserve"> </w:t>
      </w:r>
      <w:r>
        <w:t>less</w:t>
      </w:r>
      <w:r>
        <w:rPr>
          <w:spacing w:val="-9"/>
        </w:rPr>
        <w:t xml:space="preserve"> </w:t>
      </w:r>
      <w:r>
        <w:t>robust</w:t>
      </w:r>
      <w:r>
        <w:rPr>
          <w:spacing w:val="-11"/>
        </w:rPr>
        <w:t xml:space="preserve"> </w:t>
      </w:r>
      <w:r>
        <w:t>record"</w:t>
      </w:r>
      <w:r>
        <w:rPr>
          <w:spacing w:val="-8"/>
        </w:rPr>
        <w:t xml:space="preserve"> </w:t>
      </w:r>
      <w:r>
        <w:t>because</w:t>
      </w:r>
      <w:r>
        <w:rPr>
          <w:spacing w:val="-12"/>
        </w:rPr>
        <w:t xml:space="preserve"> </w:t>
      </w:r>
      <w:r>
        <w:t>Treasury</w:t>
      </w:r>
      <w:r>
        <w:rPr>
          <w:spacing w:val="-6"/>
        </w:rPr>
        <w:t xml:space="preserve"> </w:t>
      </w:r>
      <w:r>
        <w:t>Wines</w:t>
      </w:r>
      <w:r>
        <w:rPr>
          <w:spacing w:val="-10"/>
        </w:rPr>
        <w:t xml:space="preserve"> </w:t>
      </w:r>
      <w:r>
        <w:t>did</w:t>
      </w:r>
      <w:r>
        <w:rPr>
          <w:spacing w:val="-14"/>
        </w:rPr>
        <w:t xml:space="preserve"> </w:t>
      </w:r>
      <w:r>
        <w:t>not</w:t>
      </w:r>
      <w:r>
        <w:rPr>
          <w:spacing w:val="-7"/>
        </w:rPr>
        <w:t xml:space="preserve"> </w:t>
      </w:r>
      <w:r>
        <w:t>cooperate.</w:t>
      </w:r>
      <w:r>
        <w:rPr>
          <w:spacing w:val="-14"/>
        </w:rPr>
        <w:t xml:space="preserve"> </w:t>
      </w:r>
      <w:hyperlink w:anchor="_bookmark336" w:history="1">
        <w:r>
          <w:rPr>
            <w:vertAlign w:val="superscript"/>
          </w:rPr>
          <w:t>265</w:t>
        </w:r>
      </w:hyperlink>
      <w:r>
        <w:t xml:space="preserve"> There is no legal or factual basis for China's assertions.</w:t>
      </w:r>
    </w:p>
    <w:p w14:paraId="4F1FF7D4" w14:textId="77777777" w:rsidR="00BD462C" w:rsidRDefault="00BD462C">
      <w:pPr>
        <w:pStyle w:val="BodyText"/>
        <w:spacing w:before="8"/>
        <w:rPr>
          <w:sz w:val="9"/>
        </w:rPr>
      </w:pPr>
    </w:p>
    <w:p w14:paraId="18735DE7" w14:textId="0A4FC100" w:rsidR="00BD462C" w:rsidRDefault="00D70C7D" w:rsidP="009B7B7C">
      <w:pPr>
        <w:pStyle w:val="BodyText"/>
        <w:numPr>
          <w:ilvl w:val="0"/>
          <w:numId w:val="69"/>
        </w:numPr>
        <w:spacing w:before="56" w:line="357" w:lineRule="auto"/>
        <w:ind w:right="916"/>
        <w:jc w:val="both"/>
      </w:pPr>
      <w:r>
        <w:rPr>
          <w:noProof/>
        </w:rPr>
        <mc:AlternateContent>
          <mc:Choice Requires="wps">
            <w:drawing>
              <wp:anchor distT="0" distB="0" distL="114300" distR="114300" simplePos="0" relativeHeight="478961664" behindDoc="1" locked="0" layoutInCell="1" allowOverlap="1" wp14:anchorId="6C69A83C" wp14:editId="04B62F51">
                <wp:simplePos x="0" y="0"/>
                <wp:positionH relativeFrom="page">
                  <wp:posOffset>5142230</wp:posOffset>
                </wp:positionH>
                <wp:positionV relativeFrom="paragraph">
                  <wp:posOffset>589280</wp:posOffset>
                </wp:positionV>
                <wp:extent cx="1517650" cy="186055"/>
                <wp:effectExtent l="0" t="0" r="0" b="0"/>
                <wp:wrapNone/>
                <wp:docPr id="1118" name="docshape1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765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EB2C6C" id="docshape157" o:spid="_x0000_s1026" alt="&quot;&quot;" style="position:absolute;margin-left:404.9pt;margin-top:46.4pt;width:119.5pt;height:14.65pt;z-index:-24354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" fillcolor="black" stroked="f">
                <w10:wrap anchorx="page"/>
              </v:rect>
            </w:pict>
          </mc:Fallback>
        </mc:AlternateContent>
      </w:r>
      <w:r w:rsidR="00033D0F">
        <w:rPr>
          <w:position w:val="1"/>
        </w:rPr>
        <w:t>As</w:t>
      </w:r>
      <w:r w:rsidR="00033D0F">
        <w:rPr>
          <w:spacing w:val="-1"/>
          <w:position w:val="1"/>
        </w:rPr>
        <w:t xml:space="preserve"> </w:t>
      </w:r>
      <w:r w:rsidR="00033D0F">
        <w:rPr>
          <w:position w:val="1"/>
        </w:rPr>
        <w:t>part</w:t>
      </w:r>
      <w:r w:rsidR="00033D0F">
        <w:rPr>
          <w:spacing w:val="-2"/>
          <w:position w:val="1"/>
        </w:rPr>
        <w:t xml:space="preserve"> </w:t>
      </w:r>
      <w:r w:rsidR="00033D0F">
        <w:rPr>
          <w:position w:val="1"/>
        </w:rPr>
        <w:t>of</w:t>
      </w:r>
      <w:r w:rsidR="00033D0F">
        <w:rPr>
          <w:spacing w:val="-4"/>
          <w:position w:val="1"/>
        </w:rPr>
        <w:t xml:space="preserve"> </w:t>
      </w:r>
      <w:r w:rsidR="00033D0F">
        <w:rPr>
          <w:position w:val="1"/>
        </w:rPr>
        <w:t>the</w:t>
      </w:r>
      <w:r w:rsidR="00033D0F">
        <w:rPr>
          <w:spacing w:val="-3"/>
          <w:position w:val="1"/>
        </w:rPr>
        <w:t xml:space="preserve"> </w:t>
      </w:r>
      <w:r w:rsidR="00033D0F">
        <w:rPr>
          <w:position w:val="1"/>
        </w:rPr>
        <w:t>process</w:t>
      </w:r>
      <w:r w:rsidR="00033D0F">
        <w:rPr>
          <w:spacing w:val="-1"/>
          <w:position w:val="1"/>
        </w:rPr>
        <w:t xml:space="preserve"> </w:t>
      </w:r>
      <w:r w:rsidR="00033D0F">
        <w:rPr>
          <w:position w:val="1"/>
        </w:rPr>
        <w:t>of</w:t>
      </w:r>
      <w:r w:rsidR="00033D0F">
        <w:rPr>
          <w:spacing w:val="-4"/>
          <w:position w:val="1"/>
        </w:rPr>
        <w:t xml:space="preserve"> </w:t>
      </w:r>
      <w:r w:rsidR="00033D0F">
        <w:rPr>
          <w:position w:val="1"/>
        </w:rPr>
        <w:t>selecting</w:t>
      </w:r>
      <w:r w:rsidR="00033D0F">
        <w:rPr>
          <w:spacing w:val="-1"/>
          <w:position w:val="1"/>
        </w:rPr>
        <w:t xml:space="preserve"> </w:t>
      </w:r>
      <w:r w:rsidR="00033D0F">
        <w:rPr>
          <w:position w:val="1"/>
        </w:rPr>
        <w:t>a</w:t>
      </w:r>
      <w:r w:rsidR="00033D0F">
        <w:rPr>
          <w:spacing w:val="-3"/>
          <w:position w:val="1"/>
        </w:rPr>
        <w:t xml:space="preserve"> </w:t>
      </w:r>
      <w:r w:rsidR="00033D0F">
        <w:rPr>
          <w:position w:val="1"/>
        </w:rPr>
        <w:t>reasonable</w:t>
      </w:r>
      <w:r w:rsidR="00033D0F">
        <w:rPr>
          <w:spacing w:val="-2"/>
          <w:position w:val="1"/>
        </w:rPr>
        <w:t xml:space="preserve"> </w:t>
      </w:r>
      <w:r w:rsidR="00033D0F">
        <w:rPr>
          <w:position w:val="1"/>
        </w:rPr>
        <w:t>replacement, no</w:t>
      </w:r>
      <w:r w:rsidR="00033D0F">
        <w:rPr>
          <w:spacing w:val="-5"/>
          <w:position w:val="1"/>
        </w:rPr>
        <w:t xml:space="preserve"> </w:t>
      </w:r>
      <w:r w:rsidR="00033D0F">
        <w:rPr>
          <w:position w:val="1"/>
        </w:rPr>
        <w:t>facts</w:t>
      </w:r>
      <w:r w:rsidR="00033D0F">
        <w:rPr>
          <w:spacing w:val="-1"/>
          <w:position w:val="1"/>
        </w:rPr>
        <w:t xml:space="preserve"> </w:t>
      </w:r>
      <w:r w:rsidR="00033D0F">
        <w:rPr>
          <w:position w:val="1"/>
        </w:rPr>
        <w:t>can</w:t>
      </w:r>
      <w:r w:rsidR="00033D0F">
        <w:rPr>
          <w:spacing w:val="-4"/>
          <w:position w:val="1"/>
        </w:rPr>
        <w:t xml:space="preserve"> </w:t>
      </w:r>
      <w:r w:rsidR="00033D0F">
        <w:rPr>
          <w:position w:val="1"/>
        </w:rPr>
        <w:t>be</w:t>
      </w:r>
      <w:r w:rsidR="00033D0F">
        <w:rPr>
          <w:spacing w:val="-3"/>
          <w:position w:val="1"/>
        </w:rPr>
        <w:t xml:space="preserve"> </w:t>
      </w:r>
      <w:r w:rsidR="00033D0F">
        <w:rPr>
          <w:i/>
          <w:position w:val="1"/>
        </w:rPr>
        <w:t>a</w:t>
      </w:r>
      <w:r w:rsidR="00033D0F">
        <w:rPr>
          <w:i/>
          <w:spacing w:val="-2"/>
          <w:position w:val="1"/>
        </w:rPr>
        <w:t xml:space="preserve"> </w:t>
      </w:r>
      <w:r w:rsidR="00033D0F">
        <w:rPr>
          <w:i/>
          <w:position w:val="1"/>
        </w:rPr>
        <w:t xml:space="preserve">priori </w:t>
      </w:r>
      <w:r w:rsidR="00033D0F">
        <w:t>excluded from consideration. Yet this is precisely what China asserts MOFCOM did. China argues</w:t>
      </w:r>
      <w:r w:rsidR="00033D0F">
        <w:rPr>
          <w:spacing w:val="80"/>
        </w:rPr>
        <w:t xml:space="preserve"> </w:t>
      </w:r>
      <w:r w:rsidR="00033D0F">
        <w:t>that</w:t>
      </w:r>
      <w:r w:rsidR="00033D0F">
        <w:rPr>
          <w:spacing w:val="40"/>
        </w:rPr>
        <w:t xml:space="preserve"> </w:t>
      </w:r>
      <w:r w:rsidR="00033D0F">
        <w:t>MOFCOM</w:t>
      </w:r>
      <w:r w:rsidR="00033D0F">
        <w:rPr>
          <w:spacing w:val="40"/>
        </w:rPr>
        <w:t xml:space="preserve"> </w:t>
      </w:r>
      <w:r w:rsidR="00033D0F">
        <w:t>evaluated</w:t>
      </w:r>
      <w:r w:rsidR="00033D0F">
        <w:rPr>
          <w:spacing w:val="40"/>
        </w:rPr>
        <w:t xml:space="preserve"> </w:t>
      </w:r>
      <w:r w:rsidR="00033D0F">
        <w:t>information</w:t>
      </w:r>
      <w:r w:rsidR="00033D0F">
        <w:rPr>
          <w:spacing w:val="40"/>
        </w:rPr>
        <w:t xml:space="preserve"> </w:t>
      </w:r>
      <w:r w:rsidR="00033D0F">
        <w:t>pertaining</w:t>
      </w:r>
      <w:r w:rsidR="00033D0F">
        <w:rPr>
          <w:spacing w:val="80"/>
        </w:rPr>
        <w:t xml:space="preserve"> </w:t>
      </w:r>
      <w:r w:rsidR="00033D0F">
        <w:t>to</w:t>
      </w:r>
      <w:r w:rsidR="00033D0F">
        <w:rPr>
          <w:spacing w:val="40"/>
        </w:rPr>
        <w:t xml:space="preserve"> </w:t>
      </w:r>
      <w:r w:rsidR="00033D0F">
        <w:t>the</w:t>
      </w:r>
    </w:p>
    <w:p w14:paraId="1CE63140" w14:textId="50269A36" w:rsidR="00BD462C" w:rsidRDefault="00D70C7D">
      <w:pPr>
        <w:pStyle w:val="BodyText"/>
        <w:spacing w:before="7" w:line="357" w:lineRule="auto"/>
        <w:ind w:left="1369" w:right="917" w:firstLine="470"/>
        <w:jc w:val="both"/>
      </w:pPr>
      <w:r>
        <w:rPr>
          <w:noProof/>
        </w:rPr>
        <mc:AlternateContent>
          <mc:Choice Requires="wps">
            <w:drawing>
              <wp:anchor distT="0" distB="0" distL="114300" distR="114300" simplePos="0" relativeHeight="15800832" behindDoc="0" locked="0" layoutInCell="1" allowOverlap="1" wp14:anchorId="2F7C3C65" wp14:editId="5C41DA3D">
                <wp:simplePos x="0" y="0"/>
                <wp:positionH relativeFrom="page">
                  <wp:posOffset>899160</wp:posOffset>
                </wp:positionH>
                <wp:positionV relativeFrom="paragraph">
                  <wp:posOffset>3175</wp:posOffset>
                </wp:positionV>
                <wp:extent cx="1042670" cy="186055"/>
                <wp:effectExtent l="0" t="0" r="0" b="0"/>
                <wp:wrapNone/>
                <wp:docPr id="1116" name="docshape1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67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2870FB" id="docshape158" o:spid="_x0000_s1026" alt="&quot;&quot;" style="position:absolute;margin-left:70.8pt;margin-top:.25pt;width:82.1pt;height:14.65pt;z-index:1580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" fillcolor="black" stroked="f">
                <w10:wrap anchorx="page"/>
              </v:rect>
            </w:pict>
          </mc:Fallback>
        </mc:AlternateContent>
      </w:r>
      <w:r>
        <w:rPr>
          <w:noProof/>
        </w:rPr>
        <mc:AlternateContent>
          <mc:Choice Requires="wps">
            <w:drawing>
              <wp:anchor distT="0" distB="0" distL="114300" distR="114300" simplePos="0" relativeHeight="15801344" behindDoc="0" locked="0" layoutInCell="1" allowOverlap="1" wp14:anchorId="4C25BB58" wp14:editId="4D063D5E">
                <wp:simplePos x="0" y="0"/>
                <wp:positionH relativeFrom="page">
                  <wp:posOffset>899160</wp:posOffset>
                </wp:positionH>
                <wp:positionV relativeFrom="paragraph">
                  <wp:posOffset>280670</wp:posOffset>
                </wp:positionV>
                <wp:extent cx="737870" cy="186055"/>
                <wp:effectExtent l="0" t="0" r="0" b="0"/>
                <wp:wrapNone/>
                <wp:docPr id="1114" name="docshape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87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B5A57E" id="docshape159" o:spid="_x0000_s1026" alt="&quot;&quot;" style="position:absolute;margin-left:70.8pt;margin-top:22.1pt;width:58.1pt;height:14.65pt;z-index:1580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" fillcolor="black" stroked="f">
                <w10:wrap anchorx="page"/>
              </v:rect>
            </w:pict>
          </mc:Fallback>
        </mc:AlternateContent>
      </w:r>
      <w:r w:rsidR="00033D0F">
        <w:t>in order to select a reasonable replacement. MOFCOM's selection of these as</w:t>
      </w:r>
      <w:r w:rsidR="00033D0F">
        <w:rPr>
          <w:spacing w:val="17"/>
        </w:rPr>
        <w:t xml:space="preserve"> </w:t>
      </w:r>
      <w:r w:rsidR="00033D0F">
        <w:t>a starting</w:t>
      </w:r>
      <w:r w:rsidR="00033D0F">
        <w:rPr>
          <w:spacing w:val="17"/>
        </w:rPr>
        <w:t xml:space="preserve"> </w:t>
      </w:r>
      <w:r w:rsidR="00033D0F">
        <w:t>point</w:t>
      </w:r>
      <w:r w:rsidR="00033D0F">
        <w:rPr>
          <w:spacing w:val="16"/>
        </w:rPr>
        <w:t xml:space="preserve"> </w:t>
      </w:r>
      <w:r w:rsidR="00033D0F">
        <w:t>is illogical</w:t>
      </w:r>
      <w:r w:rsidR="00033D0F">
        <w:rPr>
          <w:spacing w:val="18"/>
        </w:rPr>
        <w:t xml:space="preserve"> </w:t>
      </w:r>
      <w:r w:rsidR="00033D0F">
        <w:t>and arbitrary</w:t>
      </w:r>
      <w:r w:rsidR="00033D0F">
        <w:rPr>
          <w:spacing w:val="17"/>
        </w:rPr>
        <w:t xml:space="preserve"> </w:t>
      </w:r>
      <w:r w:rsidR="00033D0F">
        <w:t>given its</w:t>
      </w:r>
      <w:r w:rsidR="00033D0F">
        <w:rPr>
          <w:spacing w:val="17"/>
        </w:rPr>
        <w:t xml:space="preserve"> </w:t>
      </w:r>
      <w:r w:rsidR="00033D0F">
        <w:t>rejection of all</w:t>
      </w:r>
      <w:r w:rsidR="00033D0F">
        <w:rPr>
          <w:spacing w:val="18"/>
        </w:rPr>
        <w:t xml:space="preserve"> </w:t>
      </w:r>
      <w:r w:rsidR="00033D0F">
        <w:t>information</w:t>
      </w:r>
    </w:p>
    <w:p w14:paraId="6EB23F0F" w14:textId="734C91D9" w:rsidR="009263FF" w:rsidRDefault="00033D0F" w:rsidP="009263FF">
      <w:pPr>
        <w:pStyle w:val="BodyText"/>
        <w:spacing w:before="5"/>
        <w:ind w:left="135"/>
        <w:jc w:val="both"/>
      </w:pPr>
      <w:r>
        <w:t>provided</w:t>
      </w:r>
      <w:r>
        <w:rPr>
          <w:spacing w:val="-7"/>
        </w:rPr>
        <w:t xml:space="preserve"> </w:t>
      </w:r>
      <w:r>
        <w:t>by</w:t>
      </w:r>
      <w:r>
        <w:rPr>
          <w:spacing w:val="-3"/>
        </w:rPr>
        <w:t xml:space="preserve"> </w:t>
      </w:r>
      <w:r>
        <w:t>Treasury</w:t>
      </w:r>
      <w:r>
        <w:rPr>
          <w:spacing w:val="-3"/>
        </w:rPr>
        <w:t xml:space="preserve"> </w:t>
      </w:r>
      <w:r>
        <w:rPr>
          <w:spacing w:val="-2"/>
        </w:rPr>
        <w:t>Wines.</w:t>
      </w:r>
    </w:p>
    <w:p w14:paraId="36FBCCEE" w14:textId="192259B4" w:rsidR="009263FF" w:rsidRDefault="009263FF" w:rsidP="009263FF">
      <w:pPr>
        <w:pStyle w:val="BodyText"/>
        <w:spacing w:before="5"/>
        <w:ind w:left="135"/>
        <w:jc w:val="both"/>
      </w:pPr>
    </w:p>
    <w:p w14:paraId="1675356B" w14:textId="5B841A95" w:rsidR="00BD462C" w:rsidRDefault="009263FF" w:rsidP="009263FF">
      <w:pPr>
        <w:pStyle w:val="BodyText"/>
        <w:numPr>
          <w:ilvl w:val="0"/>
          <w:numId w:val="69"/>
        </w:numPr>
        <w:spacing w:before="5"/>
        <w:jc w:val="both"/>
      </w:pPr>
      <w:r>
        <w:rPr>
          <w:noProof/>
        </w:rPr>
        <mc:AlternateContent>
          <mc:Choice Requires="wps">
            <w:drawing>
              <wp:anchor distT="0" distB="0" distL="114300" distR="114300" simplePos="0" relativeHeight="478963200" behindDoc="1" locked="0" layoutInCell="1" allowOverlap="1" wp14:anchorId="5E90F1D7" wp14:editId="26FE05B7">
                <wp:simplePos x="0" y="0"/>
                <wp:positionH relativeFrom="page">
                  <wp:posOffset>5854489</wp:posOffset>
                </wp:positionH>
                <wp:positionV relativeFrom="paragraph">
                  <wp:posOffset>4657</wp:posOffset>
                </wp:positionV>
                <wp:extent cx="432858" cy="186055"/>
                <wp:effectExtent l="0" t="0" r="5715" b="4445"/>
                <wp:wrapNone/>
                <wp:docPr id="1112" name="docshape1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858"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872D3B" id="docshape160" o:spid="_x0000_s1026" alt="&quot;&quot;" style="position:absolute;margin-left:461pt;margin-top:.35pt;width:34.1pt;height:14.65pt;z-index:-2435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" fillcolor="black" stroked="f">
                <w10:wrap anchorx="page"/>
              </v:rect>
            </w:pict>
          </mc:Fallback>
        </mc:AlternateContent>
      </w:r>
      <w:r w:rsidR="00033D0F">
        <w:rPr>
          <w:position w:val="1"/>
        </w:rPr>
        <w:t>First,</w:t>
      </w:r>
      <w:r w:rsidR="00033D0F">
        <w:rPr>
          <w:spacing w:val="40"/>
          <w:position w:val="1"/>
        </w:rPr>
        <w:t xml:space="preserve"> </w:t>
      </w:r>
      <w:r w:rsidR="00033D0F">
        <w:rPr>
          <w:position w:val="1"/>
        </w:rPr>
        <w:t>China</w:t>
      </w:r>
      <w:r w:rsidR="00033D0F">
        <w:rPr>
          <w:spacing w:val="40"/>
          <w:position w:val="1"/>
        </w:rPr>
        <w:t xml:space="preserve"> </w:t>
      </w:r>
      <w:r w:rsidR="00033D0F">
        <w:rPr>
          <w:position w:val="1"/>
        </w:rPr>
        <w:t>infers</w:t>
      </w:r>
      <w:r w:rsidR="00033D0F">
        <w:rPr>
          <w:spacing w:val="40"/>
          <w:position w:val="1"/>
        </w:rPr>
        <w:t xml:space="preserve"> </w:t>
      </w:r>
      <w:r w:rsidR="00033D0F">
        <w:rPr>
          <w:position w:val="1"/>
        </w:rPr>
        <w:t>that</w:t>
      </w:r>
      <w:r w:rsidR="00033D0F">
        <w:rPr>
          <w:spacing w:val="40"/>
          <w:position w:val="1"/>
        </w:rPr>
        <w:t xml:space="preserve"> </w:t>
      </w:r>
      <w:r w:rsidR="00033D0F">
        <w:rPr>
          <w:position w:val="1"/>
        </w:rPr>
        <w:t>MOFCOM</w:t>
      </w:r>
      <w:r w:rsidR="00033D0F">
        <w:rPr>
          <w:spacing w:val="40"/>
          <w:position w:val="1"/>
        </w:rPr>
        <w:t xml:space="preserve"> </w:t>
      </w:r>
      <w:r w:rsidR="00033D0F">
        <w:rPr>
          <w:position w:val="1"/>
        </w:rPr>
        <w:t>was</w:t>
      </w:r>
      <w:r w:rsidR="00033D0F">
        <w:rPr>
          <w:spacing w:val="40"/>
          <w:position w:val="1"/>
        </w:rPr>
        <w:t xml:space="preserve"> </w:t>
      </w:r>
      <w:r w:rsidR="00033D0F">
        <w:rPr>
          <w:position w:val="1"/>
        </w:rPr>
        <w:t>limited</w:t>
      </w:r>
      <w:r w:rsidR="00033D0F">
        <w:rPr>
          <w:spacing w:val="40"/>
          <w:position w:val="1"/>
        </w:rPr>
        <w:t xml:space="preserve"> </w:t>
      </w:r>
      <w:r w:rsidR="00033D0F">
        <w:rPr>
          <w:position w:val="1"/>
        </w:rPr>
        <w:t>to</w:t>
      </w:r>
      <w:r w:rsidR="00033D0F">
        <w:rPr>
          <w:spacing w:val="40"/>
          <w:position w:val="1"/>
        </w:rPr>
        <w:t xml:space="preserve"> </w:t>
      </w:r>
      <w:r w:rsidR="00033D0F">
        <w:rPr>
          <w:position w:val="1"/>
        </w:rPr>
        <w:t>examining</w:t>
      </w:r>
      <w:r w:rsidR="00033D0F">
        <w:rPr>
          <w:spacing w:val="40"/>
          <w:position w:val="1"/>
        </w:rPr>
        <w:t xml:space="preserve"> </w:t>
      </w:r>
      <w:proofErr w:type="gramStart"/>
      <w:r w:rsidR="00033D0F">
        <w:rPr>
          <w:position w:val="1"/>
        </w:rPr>
        <w:t>the</w:t>
      </w:r>
      <w:r w:rsidR="00033D0F">
        <w:rPr>
          <w:position w:val="1"/>
        </w:rPr>
        <w:tab/>
      </w:r>
      <w:r>
        <w:rPr>
          <w:position w:val="1"/>
        </w:rPr>
        <w:t xml:space="preserve">              </w:t>
      </w:r>
      <w:r w:rsidR="00033D0F">
        <w:rPr>
          <w:spacing w:val="-2"/>
          <w:position w:val="1"/>
        </w:rPr>
        <w:t>because</w:t>
      </w:r>
      <w:proofErr w:type="gramEnd"/>
    </w:p>
    <w:p w14:paraId="298F15C6" w14:textId="77777777" w:rsidR="00BD462C" w:rsidRDefault="00033D0F">
      <w:pPr>
        <w:pStyle w:val="BodyText"/>
        <w:spacing w:before="140" w:line="362" w:lineRule="auto"/>
        <w:ind w:left="135" w:right="910"/>
        <w:jc w:val="both"/>
      </w:pPr>
      <w:r>
        <w:t>Treasury Wines provided this information within the deadline.</w:t>
      </w:r>
      <w:hyperlink w:anchor="_bookmark337" w:history="1">
        <w:r>
          <w:rPr>
            <w:vertAlign w:val="superscript"/>
          </w:rPr>
          <w:t>266</w:t>
        </w:r>
      </w:hyperlink>
      <w:r>
        <w:t xml:space="preserve"> Australia has already established that information cannot be disregard simply because it was submitted after a deadline,</w:t>
      </w:r>
      <w:r>
        <w:rPr>
          <w:spacing w:val="34"/>
        </w:rPr>
        <w:t xml:space="preserve"> </w:t>
      </w:r>
      <w:r>
        <w:t>especially</w:t>
      </w:r>
      <w:r>
        <w:rPr>
          <w:spacing w:val="33"/>
        </w:rPr>
        <w:t xml:space="preserve"> </w:t>
      </w:r>
      <w:r>
        <w:t>in</w:t>
      </w:r>
      <w:r>
        <w:rPr>
          <w:spacing w:val="30"/>
        </w:rPr>
        <w:t xml:space="preserve"> </w:t>
      </w:r>
      <w:r>
        <w:t>circumstances</w:t>
      </w:r>
      <w:r>
        <w:rPr>
          <w:spacing w:val="34"/>
        </w:rPr>
        <w:t xml:space="preserve"> </w:t>
      </w:r>
      <w:r>
        <w:t>where</w:t>
      </w:r>
      <w:r>
        <w:rPr>
          <w:spacing w:val="32"/>
        </w:rPr>
        <w:t xml:space="preserve"> </w:t>
      </w:r>
      <w:r>
        <w:t>MOFCOM</w:t>
      </w:r>
      <w:r>
        <w:rPr>
          <w:spacing w:val="33"/>
        </w:rPr>
        <w:t xml:space="preserve"> </w:t>
      </w:r>
      <w:r>
        <w:t>had</w:t>
      </w:r>
      <w:r>
        <w:rPr>
          <w:spacing w:val="30"/>
        </w:rPr>
        <w:t xml:space="preserve"> </w:t>
      </w:r>
      <w:r>
        <w:t>sufficient</w:t>
      </w:r>
      <w:r>
        <w:rPr>
          <w:spacing w:val="33"/>
        </w:rPr>
        <w:t xml:space="preserve"> </w:t>
      </w:r>
      <w:r>
        <w:t>time</w:t>
      </w:r>
      <w:r>
        <w:rPr>
          <w:spacing w:val="32"/>
        </w:rPr>
        <w:t xml:space="preserve"> </w:t>
      </w:r>
      <w:r>
        <w:t>to</w:t>
      </w:r>
      <w:r>
        <w:rPr>
          <w:spacing w:val="30"/>
        </w:rPr>
        <w:t xml:space="preserve"> </w:t>
      </w:r>
      <w:r>
        <w:t>consider</w:t>
      </w:r>
      <w:r>
        <w:rPr>
          <w:spacing w:val="29"/>
        </w:rPr>
        <w:t xml:space="preserve"> </w:t>
      </w:r>
      <w:r>
        <w:t>the</w:t>
      </w:r>
    </w:p>
    <w:p w14:paraId="714326D7" w14:textId="77777777" w:rsidR="00BD462C" w:rsidRDefault="00BD462C">
      <w:pPr>
        <w:pStyle w:val="BodyText"/>
        <w:rPr>
          <w:sz w:val="20"/>
        </w:rPr>
      </w:pPr>
    </w:p>
    <w:p w14:paraId="3836051C" w14:textId="77777777" w:rsidR="00BD462C" w:rsidRDefault="00BD462C">
      <w:pPr>
        <w:pStyle w:val="BodyText"/>
        <w:rPr>
          <w:sz w:val="20"/>
        </w:rPr>
      </w:pPr>
    </w:p>
    <w:p w14:paraId="0B6ED885" w14:textId="77777777" w:rsidR="00BD462C" w:rsidRDefault="00BD462C">
      <w:pPr>
        <w:pStyle w:val="BodyText"/>
        <w:rPr>
          <w:sz w:val="20"/>
        </w:rPr>
      </w:pPr>
    </w:p>
    <w:p w14:paraId="36751586" w14:textId="06961ED2" w:rsidR="00BD462C" w:rsidRDefault="003A07AC">
      <w:pPr>
        <w:pStyle w:val="BodyText"/>
        <w:spacing w:before="2"/>
        <w:rPr>
          <w:sz w:val="13"/>
        </w:rPr>
      </w:pPr>
      <w:r>
        <w:rPr>
          <w:noProof/>
        </w:rPr>
        <mc:AlternateContent>
          <mc:Choice Requires="wps">
            <w:drawing>
              <wp:anchor distT="0" distB="0" distL="0" distR="0" simplePos="0" relativeHeight="488034816" behindDoc="1" locked="0" layoutInCell="1" allowOverlap="1" wp14:anchorId="48291CEE" wp14:editId="1211C2AE">
                <wp:simplePos x="0" y="0"/>
                <wp:positionH relativeFrom="page">
                  <wp:posOffset>812800</wp:posOffset>
                </wp:positionH>
                <wp:positionV relativeFrom="paragraph">
                  <wp:posOffset>104824</wp:posOffset>
                </wp:positionV>
                <wp:extent cx="1828800" cy="8890"/>
                <wp:effectExtent l="0" t="0" r="0" b="0"/>
                <wp:wrapTopAndBottom/>
                <wp:docPr id="1486" name="docshape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971D7A" id="docshape113" o:spid="_x0000_s1026" alt="&quot;&quot;" style="position:absolute;margin-left:64pt;margin-top:8.25pt;width:2in;height:.7pt;z-index:-15281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" fillcolor="black" stroked="f">
                <w10:wrap type="topAndBottom" anchorx="page"/>
              </v:rect>
            </w:pict>
          </mc:Fallback>
        </mc:AlternateContent>
      </w:r>
    </w:p>
    <w:p w14:paraId="44C779CA" w14:textId="77777777" w:rsidR="00BD462C" w:rsidRDefault="00033D0F">
      <w:pPr>
        <w:spacing w:before="112"/>
        <w:ind w:left="135"/>
        <w:rPr>
          <w:sz w:val="18"/>
        </w:rPr>
      </w:pPr>
      <w:bookmarkStart w:id="389" w:name="_bookmark334"/>
      <w:bookmarkEnd w:id="389"/>
      <w:r>
        <w:rPr>
          <w:position w:val="5"/>
          <w:sz w:val="12"/>
        </w:rPr>
        <w:t>263</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 xml:space="preserve">submission, para. </w:t>
      </w:r>
      <w:r>
        <w:rPr>
          <w:spacing w:val="-4"/>
          <w:sz w:val="18"/>
        </w:rPr>
        <w:t>457.</w:t>
      </w:r>
    </w:p>
    <w:p w14:paraId="3398187E" w14:textId="77777777" w:rsidR="00BD462C" w:rsidRDefault="00033D0F">
      <w:pPr>
        <w:spacing w:before="1"/>
        <w:ind w:left="135"/>
        <w:rPr>
          <w:sz w:val="18"/>
        </w:rPr>
      </w:pPr>
      <w:bookmarkStart w:id="390" w:name="_bookmark335"/>
      <w:bookmarkEnd w:id="390"/>
      <w:r>
        <w:rPr>
          <w:position w:val="5"/>
          <w:sz w:val="12"/>
        </w:rPr>
        <w:t>264</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 xml:space="preserve">submission, para. </w:t>
      </w:r>
      <w:r>
        <w:rPr>
          <w:spacing w:val="-4"/>
          <w:sz w:val="18"/>
        </w:rPr>
        <w:t>456.</w:t>
      </w:r>
    </w:p>
    <w:p w14:paraId="6CF07901" w14:textId="77777777" w:rsidR="00BD462C" w:rsidRDefault="00033D0F">
      <w:pPr>
        <w:spacing w:before="1"/>
        <w:ind w:left="135"/>
        <w:rPr>
          <w:sz w:val="18"/>
        </w:rPr>
      </w:pPr>
      <w:bookmarkStart w:id="391" w:name="_bookmark336"/>
      <w:bookmarkEnd w:id="391"/>
      <w:r>
        <w:rPr>
          <w:position w:val="5"/>
          <w:sz w:val="12"/>
        </w:rPr>
        <w:t>265</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paras.</w:t>
      </w:r>
      <w:r>
        <w:rPr>
          <w:spacing w:val="-5"/>
          <w:sz w:val="18"/>
        </w:rPr>
        <w:t xml:space="preserve"> </w:t>
      </w:r>
      <w:r>
        <w:rPr>
          <w:sz w:val="18"/>
        </w:rPr>
        <w:t>456-</w:t>
      </w:r>
      <w:r>
        <w:rPr>
          <w:spacing w:val="-4"/>
          <w:sz w:val="18"/>
        </w:rPr>
        <w:t>457.</w:t>
      </w:r>
    </w:p>
    <w:p w14:paraId="605F1665" w14:textId="77777777" w:rsidR="00BD462C" w:rsidRDefault="00033D0F">
      <w:pPr>
        <w:spacing w:before="1"/>
        <w:ind w:left="135"/>
        <w:rPr>
          <w:sz w:val="18"/>
        </w:rPr>
      </w:pPr>
      <w:bookmarkStart w:id="392" w:name="_bookmark337"/>
      <w:bookmarkEnd w:id="392"/>
      <w:r>
        <w:rPr>
          <w:position w:val="5"/>
          <w:sz w:val="12"/>
        </w:rPr>
        <w:t>266</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 xml:space="preserve">submission, para. </w:t>
      </w:r>
      <w:r>
        <w:rPr>
          <w:spacing w:val="-4"/>
          <w:sz w:val="18"/>
        </w:rPr>
        <w:t>457.</w:t>
      </w:r>
    </w:p>
    <w:p w14:paraId="3AEB046C" w14:textId="77777777" w:rsidR="00BD462C" w:rsidRDefault="00BD462C">
      <w:pPr>
        <w:rPr>
          <w:sz w:val="18"/>
        </w:rPr>
        <w:sectPr w:rsidR="00BD462C">
          <w:pgSz w:w="11910" w:h="16840"/>
          <w:pgMar w:top="860" w:right="500" w:bottom="780" w:left="1280" w:header="566" w:footer="590" w:gutter="0"/>
          <w:cols w:space="720"/>
        </w:sectPr>
      </w:pPr>
    </w:p>
    <w:p w14:paraId="65157401"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0310433A"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21EFBB06"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04E69C71" w14:textId="77777777" w:rsidR="00BD462C" w:rsidRDefault="00033D0F">
      <w:pPr>
        <w:pStyle w:val="BodyText"/>
        <w:spacing w:before="102" w:line="357" w:lineRule="auto"/>
        <w:ind w:left="135"/>
      </w:pPr>
      <w:r>
        <w:t>additional</w:t>
      </w:r>
      <w:r>
        <w:rPr>
          <w:spacing w:val="80"/>
        </w:rPr>
        <w:t xml:space="preserve"> </w:t>
      </w:r>
      <w:r>
        <w:t>information</w:t>
      </w:r>
      <w:r>
        <w:rPr>
          <w:spacing w:val="80"/>
        </w:rPr>
        <w:t xml:space="preserve"> </w:t>
      </w:r>
      <w:r>
        <w:t>and</w:t>
      </w:r>
      <w:r>
        <w:rPr>
          <w:spacing w:val="80"/>
        </w:rPr>
        <w:t xml:space="preserve"> </w:t>
      </w:r>
      <w:r>
        <w:t>MOFCOM</w:t>
      </w:r>
      <w:r>
        <w:rPr>
          <w:spacing w:val="80"/>
        </w:rPr>
        <w:t xml:space="preserve"> </w:t>
      </w:r>
      <w:r>
        <w:t>itself</w:t>
      </w:r>
      <w:r>
        <w:rPr>
          <w:spacing w:val="80"/>
        </w:rPr>
        <w:t xml:space="preserve"> </w:t>
      </w:r>
      <w:r>
        <w:t>requested</w:t>
      </w:r>
      <w:r>
        <w:rPr>
          <w:spacing w:val="80"/>
        </w:rPr>
        <w:t xml:space="preserve"> </w:t>
      </w:r>
      <w:r>
        <w:t>additional</w:t>
      </w:r>
      <w:r>
        <w:rPr>
          <w:spacing w:val="80"/>
        </w:rPr>
        <w:t xml:space="preserve"> </w:t>
      </w:r>
      <w:r>
        <w:t>information</w:t>
      </w:r>
      <w:r>
        <w:rPr>
          <w:spacing w:val="80"/>
        </w:rPr>
        <w:t xml:space="preserve"> </w:t>
      </w:r>
      <w:r>
        <w:t>in</w:t>
      </w:r>
      <w:r>
        <w:rPr>
          <w:spacing w:val="80"/>
        </w:rPr>
        <w:t xml:space="preserve"> </w:t>
      </w:r>
      <w:r>
        <w:t>the</w:t>
      </w:r>
      <w:r>
        <w:rPr>
          <w:spacing w:val="40"/>
        </w:rPr>
        <w:t xml:space="preserve"> </w:t>
      </w:r>
      <w:r>
        <w:t>Supplementary Questionnaire.</w:t>
      </w:r>
    </w:p>
    <w:p w14:paraId="1E0C5B91" w14:textId="77777777" w:rsidR="00BD462C" w:rsidRDefault="00BD462C">
      <w:pPr>
        <w:pStyle w:val="BodyText"/>
        <w:spacing w:before="3"/>
        <w:rPr>
          <w:sz w:val="9"/>
        </w:rPr>
      </w:pPr>
    </w:p>
    <w:p w14:paraId="5B218C36" w14:textId="5D462176" w:rsidR="00BD462C" w:rsidRDefault="00033D0F" w:rsidP="009263FF">
      <w:pPr>
        <w:pStyle w:val="BodyText"/>
        <w:numPr>
          <w:ilvl w:val="0"/>
          <w:numId w:val="69"/>
        </w:numPr>
        <w:spacing w:before="56" w:line="360" w:lineRule="auto"/>
        <w:ind w:right="910" w:hanging="638"/>
        <w:jc w:val="both"/>
      </w:pPr>
      <w:r>
        <w:rPr>
          <w:position w:val="1"/>
        </w:rPr>
        <w:t xml:space="preserve">Second, China asserts that using cost information from Treasury Wines meant </w:t>
      </w:r>
      <w:r>
        <w:t>MOFCOM could</w:t>
      </w:r>
      <w:r>
        <w:rPr>
          <w:spacing w:val="-2"/>
        </w:rPr>
        <w:t xml:space="preserve"> </w:t>
      </w:r>
      <w:r>
        <w:t>avoid</w:t>
      </w:r>
      <w:r>
        <w:rPr>
          <w:spacing w:val="-2"/>
        </w:rPr>
        <w:t xml:space="preserve"> </w:t>
      </w:r>
      <w:r>
        <w:t>using</w:t>
      </w:r>
      <w:r>
        <w:rPr>
          <w:spacing w:val="-3"/>
        </w:rPr>
        <w:t xml:space="preserve"> </w:t>
      </w:r>
      <w:r>
        <w:t>secondary sources. China does not establish, but merely asserts, the information is not a secondary source. In any event, simply because the information selected was provided by Treasury Wines itself does not, without more, mean it is a reasonable replacement for the missing necessary information.</w:t>
      </w:r>
    </w:p>
    <w:p w14:paraId="310CD8D9" w14:textId="77777777" w:rsidR="00BD462C" w:rsidRDefault="00BD462C">
      <w:pPr>
        <w:pStyle w:val="BodyText"/>
        <w:spacing w:before="5"/>
        <w:rPr>
          <w:sz w:val="8"/>
        </w:rPr>
      </w:pPr>
    </w:p>
    <w:p w14:paraId="45EE4FA4" w14:textId="77777777" w:rsidR="0076321F" w:rsidRDefault="0076321F" w:rsidP="0076321F">
      <w:pPr>
        <w:pStyle w:val="BodyText"/>
        <w:numPr>
          <w:ilvl w:val="0"/>
          <w:numId w:val="69"/>
        </w:numPr>
        <w:tabs>
          <w:tab w:val="left" w:pos="6083"/>
          <w:tab w:val="left" w:pos="8156"/>
        </w:tabs>
        <w:spacing w:before="57" w:line="360" w:lineRule="auto"/>
        <w:ind w:right="914" w:hanging="638"/>
        <w:jc w:val="both"/>
      </w:pPr>
      <w:r>
        <w:rPr>
          <w:noProof/>
        </w:rPr>
        <mc:AlternateContent>
          <mc:Choice Requires="wps">
            <w:drawing>
              <wp:anchor distT="0" distB="0" distL="114300" distR="114300" simplePos="0" relativeHeight="478965248" behindDoc="1" locked="0" layoutInCell="1" allowOverlap="1" wp14:anchorId="226AA58A" wp14:editId="1FA25238">
                <wp:simplePos x="0" y="0"/>
                <wp:positionH relativeFrom="page">
                  <wp:posOffset>5240867</wp:posOffset>
                </wp:positionH>
                <wp:positionV relativeFrom="paragraph">
                  <wp:posOffset>1988397</wp:posOffset>
                </wp:positionV>
                <wp:extent cx="736811" cy="186055"/>
                <wp:effectExtent l="0" t="0" r="6350" b="4445"/>
                <wp:wrapNone/>
                <wp:docPr id="1106" name="docshape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811"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2E56BB" id="docshape163" o:spid="_x0000_s1026" alt="&quot;&quot;" style="position:absolute;margin-left:412.65pt;margin-top:156.55pt;width:58pt;height:14.65pt;z-index:-2435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" fillcolor="black" stroked="f">
                <w10:wrap anchorx="page"/>
              </v:rect>
            </w:pict>
          </mc:Fallback>
        </mc:AlternateContent>
      </w:r>
      <w:r w:rsidR="00D70C7D">
        <w:rPr>
          <w:noProof/>
        </w:rPr>
        <mc:AlternateContent>
          <mc:Choice Requires="wps">
            <w:drawing>
              <wp:anchor distT="0" distB="0" distL="114300" distR="114300" simplePos="0" relativeHeight="478964736" behindDoc="1" locked="0" layoutInCell="1" allowOverlap="1" wp14:anchorId="3324B619" wp14:editId="63883453">
                <wp:simplePos x="0" y="0"/>
                <wp:positionH relativeFrom="page">
                  <wp:posOffset>3484033</wp:posOffset>
                </wp:positionH>
                <wp:positionV relativeFrom="paragraph">
                  <wp:posOffset>868680</wp:posOffset>
                </wp:positionV>
                <wp:extent cx="2508250" cy="186055"/>
                <wp:effectExtent l="0" t="0" r="6350" b="4445"/>
                <wp:wrapNone/>
                <wp:docPr id="1108" name="docshape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825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46FDBF" id="docshape162" o:spid="_x0000_s1026" alt="&quot;&quot;" style="position:absolute;margin-left:274.35pt;margin-top:68.4pt;width:197.5pt;height:14.65pt;z-index:-2435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" fillcolor="black" stroked="f">
                <w10:wrap anchorx="page"/>
              </v:rect>
            </w:pict>
          </mc:Fallback>
        </mc:AlternateContent>
      </w:r>
      <w:r w:rsidR="00033D0F">
        <w:rPr>
          <w:position w:val="1"/>
        </w:rPr>
        <w:t xml:space="preserve">Finally, China argues that the information was not "excessively high". Whether </w:t>
      </w:r>
      <w:r w:rsidR="00033D0F">
        <w:t>information is (or is not) "excessively high" is not dispositive, and nor is it the correct legal standard to be applied under Article 6.8 and paragraph 7 of Annex II. In this respect, China asserts that Australia's complaint is that</w:t>
      </w:r>
      <w:r w:rsidR="00033D0F">
        <w:tab/>
      </w:r>
      <w:r w:rsidR="00033D0F">
        <w:tab/>
      </w:r>
      <w:hyperlink w:anchor="_bookmark338" w:history="1">
        <w:r w:rsidR="00033D0F">
          <w:rPr>
            <w:vertAlign w:val="superscript"/>
          </w:rPr>
          <w:t>267</w:t>
        </w:r>
      </w:hyperlink>
      <w:r w:rsidR="00033D0F">
        <w:t xml:space="preserve"> This is incorrect. Australia claims that MOFCOM's selection of facts was not a reasonable replacement for the allegedly missing necessary information in order to lead to an accurate dumping determination – the applicable legal standard. Information must be the "best information available". The fact that that the</w:t>
      </w:r>
      <w:r w:rsidR="00033D0F">
        <w:tab/>
        <w:t>was</w:t>
      </w:r>
      <w:r>
        <w:t xml:space="preserve"> </w:t>
      </w:r>
      <w:r w:rsidR="00033D0F">
        <w:t>not</w:t>
      </w:r>
      <w:r w:rsidR="00033D0F">
        <w:rPr>
          <w:spacing w:val="-14"/>
        </w:rPr>
        <w:t xml:space="preserve"> </w:t>
      </w:r>
      <w:r w:rsidR="00033D0F">
        <w:t>"excessively</w:t>
      </w:r>
      <w:r w:rsidR="00033D0F">
        <w:rPr>
          <w:spacing w:val="-13"/>
        </w:rPr>
        <w:t xml:space="preserve"> </w:t>
      </w:r>
      <w:r w:rsidR="00033D0F">
        <w:t>high",</w:t>
      </w:r>
      <w:r w:rsidR="00033D0F">
        <w:rPr>
          <w:spacing w:val="-14"/>
        </w:rPr>
        <w:t xml:space="preserve"> </w:t>
      </w:r>
      <w:r w:rsidR="00033D0F">
        <w:t>does not, without more, make it the best information available.</w:t>
      </w:r>
    </w:p>
    <w:p w14:paraId="627228CF" w14:textId="77777777" w:rsidR="0076321F" w:rsidRDefault="0076321F" w:rsidP="0076321F">
      <w:pPr>
        <w:pStyle w:val="ListParagraph"/>
        <w:rPr>
          <w:position w:val="1"/>
        </w:rPr>
      </w:pPr>
    </w:p>
    <w:p w14:paraId="14AF45B5" w14:textId="07D9B480" w:rsidR="00BD462C" w:rsidRDefault="00D70C7D" w:rsidP="0076321F">
      <w:pPr>
        <w:pStyle w:val="BodyText"/>
        <w:numPr>
          <w:ilvl w:val="0"/>
          <w:numId w:val="69"/>
        </w:numPr>
        <w:tabs>
          <w:tab w:val="left" w:pos="6083"/>
          <w:tab w:val="left" w:pos="8156"/>
        </w:tabs>
        <w:spacing w:before="57" w:line="360" w:lineRule="auto"/>
        <w:ind w:right="914" w:hanging="638"/>
        <w:jc w:val="both"/>
      </w:pPr>
      <w:r>
        <w:rPr>
          <w:noProof/>
        </w:rPr>
        <mc:AlternateContent>
          <mc:Choice Requires="wps">
            <w:drawing>
              <wp:anchor distT="0" distB="0" distL="114300" distR="114300" simplePos="0" relativeHeight="478965760" behindDoc="1" locked="0" layoutInCell="1" allowOverlap="1" wp14:anchorId="38867F3E" wp14:editId="655E4F9E">
                <wp:simplePos x="0" y="0"/>
                <wp:positionH relativeFrom="page">
                  <wp:posOffset>4486910</wp:posOffset>
                </wp:positionH>
                <wp:positionV relativeFrom="paragraph">
                  <wp:posOffset>31750</wp:posOffset>
                </wp:positionV>
                <wp:extent cx="816610" cy="186055"/>
                <wp:effectExtent l="0" t="0" r="0" b="0"/>
                <wp:wrapNone/>
                <wp:docPr id="1104" name="docshape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61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916193" id="docshape164" o:spid="_x0000_s1026" alt="&quot;&quot;" style="position:absolute;margin-left:353.3pt;margin-top:2.5pt;width:64.3pt;height:14.65pt;z-index:-24350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" fillcolor="black" stroked="f">
                <w10:wrap anchorx="page"/>
              </v:rect>
            </w:pict>
          </mc:Fallback>
        </mc:AlternateContent>
      </w:r>
      <w:r w:rsidR="009263FF" w:rsidRPr="0076321F">
        <w:rPr>
          <w:position w:val="1"/>
        </w:rPr>
        <w:t>I</w:t>
      </w:r>
      <w:r w:rsidR="00033D0F" w:rsidRPr="0076321F">
        <w:rPr>
          <w:position w:val="1"/>
        </w:rPr>
        <w:t>n</w:t>
      </w:r>
      <w:r w:rsidR="00033D0F" w:rsidRPr="0076321F">
        <w:rPr>
          <w:spacing w:val="40"/>
          <w:position w:val="1"/>
        </w:rPr>
        <w:t xml:space="preserve"> </w:t>
      </w:r>
      <w:r w:rsidR="00033D0F" w:rsidRPr="0076321F">
        <w:rPr>
          <w:position w:val="1"/>
        </w:rPr>
        <w:t>any</w:t>
      </w:r>
      <w:r w:rsidR="00033D0F" w:rsidRPr="0076321F">
        <w:rPr>
          <w:spacing w:val="40"/>
          <w:position w:val="1"/>
        </w:rPr>
        <w:t xml:space="preserve"> </w:t>
      </w:r>
      <w:r w:rsidR="00033D0F" w:rsidRPr="0076321F">
        <w:rPr>
          <w:position w:val="1"/>
        </w:rPr>
        <w:t>event,</w:t>
      </w:r>
      <w:r w:rsidR="00033D0F" w:rsidRPr="0076321F">
        <w:rPr>
          <w:spacing w:val="40"/>
          <w:position w:val="1"/>
        </w:rPr>
        <w:t xml:space="preserve"> </w:t>
      </w:r>
      <w:r w:rsidR="00033D0F" w:rsidRPr="0076321F">
        <w:rPr>
          <w:position w:val="1"/>
        </w:rPr>
        <w:t>in</w:t>
      </w:r>
      <w:r w:rsidR="00033D0F" w:rsidRPr="0076321F">
        <w:rPr>
          <w:spacing w:val="40"/>
          <w:position w:val="1"/>
        </w:rPr>
        <w:t xml:space="preserve"> </w:t>
      </w:r>
      <w:r w:rsidR="00033D0F" w:rsidRPr="0076321F">
        <w:rPr>
          <w:position w:val="1"/>
        </w:rPr>
        <w:t>order</w:t>
      </w:r>
      <w:r w:rsidR="00033D0F" w:rsidRPr="0076321F">
        <w:rPr>
          <w:spacing w:val="40"/>
          <w:position w:val="1"/>
        </w:rPr>
        <w:t xml:space="preserve"> </w:t>
      </w:r>
      <w:r w:rsidR="00033D0F" w:rsidRPr="0076321F">
        <w:rPr>
          <w:position w:val="1"/>
        </w:rPr>
        <w:t>to</w:t>
      </w:r>
      <w:r w:rsidR="00033D0F" w:rsidRPr="0076321F">
        <w:rPr>
          <w:spacing w:val="40"/>
          <w:position w:val="1"/>
        </w:rPr>
        <w:t xml:space="preserve"> </w:t>
      </w:r>
      <w:r w:rsidR="00033D0F" w:rsidRPr="0076321F">
        <w:rPr>
          <w:position w:val="1"/>
        </w:rPr>
        <w:t>demonstrate</w:t>
      </w:r>
      <w:r w:rsidR="00033D0F" w:rsidRPr="0076321F">
        <w:rPr>
          <w:spacing w:val="40"/>
          <w:position w:val="1"/>
        </w:rPr>
        <w:t xml:space="preserve"> </w:t>
      </w:r>
      <w:r w:rsidR="00033D0F" w:rsidRPr="0076321F">
        <w:rPr>
          <w:position w:val="1"/>
        </w:rPr>
        <w:t>that</w:t>
      </w:r>
      <w:r w:rsidR="00033D0F" w:rsidRPr="0076321F">
        <w:rPr>
          <w:spacing w:val="40"/>
          <w:position w:val="1"/>
        </w:rPr>
        <w:t xml:space="preserve"> </w:t>
      </w:r>
      <w:r w:rsidR="00033D0F" w:rsidRPr="0076321F">
        <w:rPr>
          <w:position w:val="1"/>
        </w:rPr>
        <w:t>the</w:t>
      </w:r>
      <w:r w:rsidR="00033D0F" w:rsidRPr="0076321F">
        <w:rPr>
          <w:position w:val="1"/>
        </w:rPr>
        <w:tab/>
        <w:t>was</w:t>
      </w:r>
      <w:r w:rsidR="00033D0F" w:rsidRPr="0076321F">
        <w:rPr>
          <w:spacing w:val="25"/>
          <w:position w:val="1"/>
        </w:rPr>
        <w:t xml:space="preserve"> </w:t>
      </w:r>
      <w:r w:rsidR="00033D0F" w:rsidRPr="0076321F">
        <w:rPr>
          <w:position w:val="1"/>
        </w:rPr>
        <w:t>not</w:t>
      </w:r>
      <w:r w:rsidR="00033D0F" w:rsidRPr="0076321F">
        <w:rPr>
          <w:spacing w:val="27"/>
          <w:position w:val="1"/>
        </w:rPr>
        <w:t xml:space="preserve"> </w:t>
      </w:r>
      <w:r w:rsidR="00033D0F" w:rsidRPr="0076321F">
        <w:rPr>
          <w:spacing w:val="-2"/>
          <w:position w:val="1"/>
        </w:rPr>
        <w:t>"excessively</w:t>
      </w:r>
    </w:p>
    <w:p w14:paraId="2311FE4F" w14:textId="601F1F3C" w:rsidR="00BD462C" w:rsidRDefault="00D70C7D">
      <w:pPr>
        <w:pStyle w:val="BodyText"/>
        <w:tabs>
          <w:tab w:val="left" w:pos="7278"/>
        </w:tabs>
        <w:spacing w:before="145" w:line="362" w:lineRule="auto"/>
        <w:ind w:left="135" w:right="916"/>
      </w:pPr>
      <w:r>
        <w:rPr>
          <w:noProof/>
        </w:rPr>
        <mc:AlternateContent>
          <mc:Choice Requires="wps">
            <w:drawing>
              <wp:anchor distT="0" distB="0" distL="114300" distR="114300" simplePos="0" relativeHeight="478966272" behindDoc="1" locked="0" layoutInCell="1" allowOverlap="1" wp14:anchorId="4DF8D1A9" wp14:editId="6C6DD80C">
                <wp:simplePos x="0" y="0"/>
                <wp:positionH relativeFrom="page">
                  <wp:posOffset>4639310</wp:posOffset>
                </wp:positionH>
                <wp:positionV relativeFrom="paragraph">
                  <wp:posOffset>371475</wp:posOffset>
                </wp:positionV>
                <wp:extent cx="740410" cy="186055"/>
                <wp:effectExtent l="0" t="0" r="0" b="0"/>
                <wp:wrapNone/>
                <wp:docPr id="1102" name="docshape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041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27511D" id="docshape165" o:spid="_x0000_s1026" alt="&quot;&quot;" style="position:absolute;margin-left:365.3pt;margin-top:29.25pt;width:58.3pt;height:14.65pt;z-index:-2435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" fillcolor="black" stroked="f">
                <w10:wrap anchorx="page"/>
              </v:rect>
            </w:pict>
          </mc:Fallback>
        </mc:AlternateContent>
      </w:r>
      <w:r w:rsidR="00033D0F">
        <w:t>high"</w:t>
      </w:r>
      <w:r w:rsidR="00033D0F">
        <w:rPr>
          <w:spacing w:val="-7"/>
        </w:rPr>
        <w:t xml:space="preserve"> </w:t>
      </w:r>
      <w:r w:rsidR="00033D0F">
        <w:t>China</w:t>
      </w:r>
      <w:r w:rsidR="00033D0F">
        <w:rPr>
          <w:spacing w:val="-7"/>
        </w:rPr>
        <w:t xml:space="preserve"> </w:t>
      </w:r>
      <w:r w:rsidR="00033D0F">
        <w:t>relies</w:t>
      </w:r>
      <w:r w:rsidR="00033D0F">
        <w:rPr>
          <w:spacing w:val="-5"/>
        </w:rPr>
        <w:t xml:space="preserve"> </w:t>
      </w:r>
      <w:r w:rsidR="00033D0F">
        <w:t>on</w:t>
      </w:r>
      <w:r w:rsidR="00033D0F">
        <w:rPr>
          <w:spacing w:val="-8"/>
        </w:rPr>
        <w:t xml:space="preserve"> </w:t>
      </w:r>
      <w:r w:rsidR="00033D0F">
        <w:t>the</w:t>
      </w:r>
      <w:r w:rsidR="00033D0F">
        <w:rPr>
          <w:spacing w:val="-6"/>
        </w:rPr>
        <w:t xml:space="preserve"> </w:t>
      </w:r>
      <w:r w:rsidR="00033D0F">
        <w:t>very</w:t>
      </w:r>
      <w:r w:rsidR="00033D0F">
        <w:rPr>
          <w:spacing w:val="-5"/>
        </w:rPr>
        <w:t xml:space="preserve"> </w:t>
      </w:r>
      <w:r w:rsidR="00033D0F">
        <w:t>information</w:t>
      </w:r>
      <w:r w:rsidR="00033D0F">
        <w:rPr>
          <w:spacing w:val="-8"/>
        </w:rPr>
        <w:t xml:space="preserve"> </w:t>
      </w:r>
      <w:r w:rsidR="00033D0F">
        <w:t>it</w:t>
      </w:r>
      <w:r w:rsidR="00033D0F">
        <w:rPr>
          <w:spacing w:val="-6"/>
        </w:rPr>
        <w:t xml:space="preserve"> </w:t>
      </w:r>
      <w:r w:rsidR="00033D0F">
        <w:t>alleges</w:t>
      </w:r>
      <w:r w:rsidR="00033D0F">
        <w:rPr>
          <w:spacing w:val="-5"/>
        </w:rPr>
        <w:t xml:space="preserve"> </w:t>
      </w:r>
      <w:r w:rsidR="00033D0F">
        <w:t>MOFCOM</w:t>
      </w:r>
      <w:r w:rsidR="00033D0F">
        <w:rPr>
          <w:spacing w:val="-6"/>
        </w:rPr>
        <w:t xml:space="preserve"> </w:t>
      </w:r>
      <w:r w:rsidR="00033D0F">
        <w:t>did</w:t>
      </w:r>
      <w:r w:rsidR="00033D0F">
        <w:rPr>
          <w:spacing w:val="-8"/>
        </w:rPr>
        <w:t xml:space="preserve"> </w:t>
      </w:r>
      <w:r w:rsidR="00033D0F">
        <w:t>not</w:t>
      </w:r>
      <w:r w:rsidR="00033D0F">
        <w:rPr>
          <w:spacing w:val="-6"/>
        </w:rPr>
        <w:t xml:space="preserve"> </w:t>
      </w:r>
      <w:r w:rsidR="00033D0F">
        <w:t>consider</w:t>
      </w:r>
      <w:r w:rsidR="00033D0F">
        <w:rPr>
          <w:spacing w:val="-9"/>
        </w:rPr>
        <w:t xml:space="preserve"> </w:t>
      </w:r>
      <w:r w:rsidR="00033D0F">
        <w:t>because</w:t>
      </w:r>
      <w:r w:rsidR="00033D0F">
        <w:rPr>
          <w:spacing w:val="-6"/>
        </w:rPr>
        <w:t xml:space="preserve"> </w:t>
      </w:r>
      <w:r w:rsidR="00033D0F">
        <w:t>it</w:t>
      </w:r>
      <w:r w:rsidR="00033D0F">
        <w:rPr>
          <w:spacing w:val="-6"/>
        </w:rPr>
        <w:t xml:space="preserve"> </w:t>
      </w:r>
      <w:r w:rsidR="00033D0F">
        <w:t>was not</w:t>
      </w:r>
      <w:r w:rsidR="00033D0F">
        <w:rPr>
          <w:spacing w:val="29"/>
        </w:rPr>
        <w:t xml:space="preserve"> </w:t>
      </w:r>
      <w:r w:rsidR="00033D0F">
        <w:t>submitted</w:t>
      </w:r>
      <w:r w:rsidR="00033D0F">
        <w:rPr>
          <w:spacing w:val="29"/>
        </w:rPr>
        <w:t xml:space="preserve"> </w:t>
      </w:r>
      <w:r w:rsidR="00033D0F">
        <w:t>within</w:t>
      </w:r>
      <w:r w:rsidR="00033D0F">
        <w:rPr>
          <w:spacing w:val="28"/>
        </w:rPr>
        <w:t xml:space="preserve"> </w:t>
      </w:r>
      <w:r w:rsidR="00033D0F">
        <w:t>the</w:t>
      </w:r>
      <w:r w:rsidR="00033D0F">
        <w:rPr>
          <w:spacing w:val="31"/>
        </w:rPr>
        <w:t xml:space="preserve"> </w:t>
      </w:r>
      <w:r w:rsidR="00033D0F">
        <w:t>deadline.</w:t>
      </w:r>
      <w:r w:rsidR="00033D0F">
        <w:rPr>
          <w:spacing w:val="32"/>
        </w:rPr>
        <w:t xml:space="preserve"> </w:t>
      </w:r>
      <w:r w:rsidR="00033D0F">
        <w:t>China</w:t>
      </w:r>
      <w:r w:rsidR="00033D0F">
        <w:rPr>
          <w:spacing w:val="30"/>
        </w:rPr>
        <w:t xml:space="preserve"> </w:t>
      </w:r>
      <w:r w:rsidR="00033D0F">
        <w:t>argues</w:t>
      </w:r>
      <w:r w:rsidR="00033D0F">
        <w:rPr>
          <w:spacing w:val="28"/>
        </w:rPr>
        <w:t xml:space="preserve"> </w:t>
      </w:r>
      <w:r w:rsidR="00033D0F">
        <w:t>that</w:t>
      </w:r>
      <w:r w:rsidR="00033D0F">
        <w:rPr>
          <w:spacing w:val="32"/>
        </w:rPr>
        <w:t xml:space="preserve"> </w:t>
      </w:r>
      <w:r w:rsidR="00033D0F">
        <w:rPr>
          <w:spacing w:val="-5"/>
        </w:rPr>
        <w:t>the</w:t>
      </w:r>
      <w:r w:rsidR="00033D0F">
        <w:tab/>
        <w:t>was</w:t>
      </w:r>
      <w:r w:rsidR="00033D0F">
        <w:rPr>
          <w:spacing w:val="28"/>
        </w:rPr>
        <w:t xml:space="preserve"> </w:t>
      </w:r>
      <w:r w:rsidR="00033D0F">
        <w:t>comparable</w:t>
      </w:r>
      <w:r w:rsidR="00033D0F">
        <w:rPr>
          <w:spacing w:val="29"/>
        </w:rPr>
        <w:t xml:space="preserve"> </w:t>
      </w:r>
      <w:r w:rsidR="00033D0F">
        <w:rPr>
          <w:spacing w:val="-5"/>
        </w:rPr>
        <w:t>to</w:t>
      </w:r>
    </w:p>
    <w:p w14:paraId="0455D01B" w14:textId="220A8299" w:rsidR="00BD462C" w:rsidRDefault="00D70C7D">
      <w:pPr>
        <w:pStyle w:val="BodyText"/>
        <w:ind w:left="136"/>
        <w:rPr>
          <w:sz w:val="20"/>
        </w:rPr>
      </w:pPr>
      <w:r>
        <w:rPr>
          <w:noProof/>
          <w:sz w:val="20"/>
        </w:rPr>
        <mc:AlternateContent>
          <mc:Choice Requires="wpg">
            <w:drawing>
              <wp:inline distT="0" distB="0" distL="0" distR="0" wp14:anchorId="7DC0F0A7" wp14:editId="11F40BE7">
                <wp:extent cx="5712460" cy="186055"/>
                <wp:effectExtent l="3810" t="0" r="0" b="0"/>
                <wp:docPr id="1098" name="docshapegroup166" descr="Redac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2460" cy="186055"/>
                          <a:chOff x="0" y="0"/>
                          <a:chExt cx="8996" cy="293"/>
                        </a:xfrm>
                      </wpg:grpSpPr>
                      <wps:wsp>
                        <wps:cNvPr id="1100" name="docshape167"/>
                        <wps:cNvSpPr>
                          <a:spLocks noChangeArrowheads="1"/>
                        </wps:cNvSpPr>
                        <wps:spPr bwMode="auto">
                          <a:xfrm>
                            <a:off x="0" y="0"/>
                            <a:ext cx="8996" cy="29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26BDF56" id="docshapegroup166" o:spid="_x0000_s1026" alt="Redacted" style="width:449.8pt;height:14.65pt;mso-position-horizontal-relative:char;mso-position-vertical-relative:line" coordsize="8996,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">
                <v:rect id="docshape167" o:spid="_x0000_s1027" style="position:absolute;width:8996;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" fillcolor="black" stroked="f"/>
                <w10:anchorlock/>
              </v:group>
            </w:pict>
          </mc:Fallback>
        </mc:AlternateContent>
      </w:r>
    </w:p>
    <w:p w14:paraId="6B1D4026" w14:textId="50946C0F" w:rsidR="00BD462C" w:rsidRDefault="007D270C">
      <w:pPr>
        <w:pStyle w:val="BodyText"/>
        <w:spacing w:before="110"/>
        <w:ind w:left="4393"/>
        <w:jc w:val="both"/>
      </w:pPr>
      <w:r>
        <w:rPr>
          <w:noProof/>
        </w:rPr>
        <mc:AlternateContent>
          <mc:Choice Requires="wps">
            <w:drawing>
              <wp:anchor distT="0" distB="0" distL="114300" distR="114300" simplePos="0" relativeHeight="488333824" behindDoc="0" locked="0" layoutInCell="1" allowOverlap="1" wp14:anchorId="40C913B3" wp14:editId="6E214B18">
                <wp:simplePos x="0" y="0"/>
                <wp:positionH relativeFrom="page">
                  <wp:posOffset>897467</wp:posOffset>
                </wp:positionH>
                <wp:positionV relativeFrom="paragraph">
                  <wp:posOffset>56938</wp:posOffset>
                </wp:positionV>
                <wp:extent cx="2637366" cy="186055"/>
                <wp:effectExtent l="0" t="0" r="0" b="4445"/>
                <wp:wrapNone/>
                <wp:docPr id="1340" name="docshape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7366"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FCA728" id="docshape170" o:spid="_x0000_s1026" alt="&quot;&quot;" style="position:absolute;margin-left:70.65pt;margin-top:4.5pt;width:207.65pt;height:14.65pt;z-index:48833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" fillcolor="black" stroked="f">
                <w10:wrap anchorx="page"/>
              </v:rect>
            </w:pict>
          </mc:Fallback>
        </mc:AlternateContent>
      </w:r>
      <w:r w:rsidR="00D70C7D">
        <w:rPr>
          <w:noProof/>
        </w:rPr>
        <mc:AlternateContent>
          <mc:Choice Requires="wps">
            <w:drawing>
              <wp:anchor distT="0" distB="0" distL="114300" distR="114300" simplePos="0" relativeHeight="15805952" behindDoc="0" locked="0" layoutInCell="1" allowOverlap="1" wp14:anchorId="5AB15935" wp14:editId="0E4ACABD">
                <wp:simplePos x="0" y="0"/>
                <wp:positionH relativeFrom="page">
                  <wp:posOffset>4587240</wp:posOffset>
                </wp:positionH>
                <wp:positionV relativeFrom="paragraph">
                  <wp:posOffset>68580</wp:posOffset>
                </wp:positionV>
                <wp:extent cx="2072640" cy="186055"/>
                <wp:effectExtent l="0" t="0" r="0" b="0"/>
                <wp:wrapNone/>
                <wp:docPr id="1094" name="docshape1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264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F0BC39" id="docshape169" o:spid="_x0000_s1026" alt="&quot;&quot;" style="position:absolute;margin-left:361.2pt;margin-top:5.4pt;width:163.2pt;height:14.65pt;z-index:1580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" fillcolor="black" stroked="f">
                <w10:wrap anchorx="page"/>
              </v:rect>
            </w:pict>
          </mc:Fallback>
        </mc:AlternateContent>
      </w:r>
      <w:r w:rsidR="00033D0F">
        <w:t>Whether</w:t>
      </w:r>
      <w:r w:rsidR="00033D0F">
        <w:rPr>
          <w:spacing w:val="32"/>
        </w:rPr>
        <w:t xml:space="preserve"> </w:t>
      </w:r>
      <w:r w:rsidR="00033D0F">
        <w:rPr>
          <w:spacing w:val="-5"/>
        </w:rPr>
        <w:t>the</w:t>
      </w:r>
    </w:p>
    <w:p w14:paraId="5C32CF50" w14:textId="13345A7B" w:rsidR="00BD462C" w:rsidRDefault="00D70C7D">
      <w:pPr>
        <w:pStyle w:val="BodyText"/>
        <w:spacing w:before="144" w:line="360" w:lineRule="auto"/>
        <w:ind w:left="135" w:right="911" w:firstLine="2064"/>
        <w:jc w:val="both"/>
      </w:pPr>
      <w:r>
        <w:rPr>
          <w:noProof/>
        </w:rPr>
        <mc:AlternateContent>
          <mc:Choice Requires="wps">
            <w:drawing>
              <wp:anchor distT="0" distB="0" distL="114300" distR="114300" simplePos="0" relativeHeight="15806464" behindDoc="0" locked="0" layoutInCell="1" allowOverlap="1" wp14:anchorId="60B81B98" wp14:editId="6650613E">
                <wp:simplePos x="0" y="0"/>
                <wp:positionH relativeFrom="page">
                  <wp:posOffset>899160</wp:posOffset>
                </wp:positionH>
                <wp:positionV relativeFrom="paragraph">
                  <wp:posOffset>90170</wp:posOffset>
                </wp:positionV>
                <wp:extent cx="1280160" cy="186055"/>
                <wp:effectExtent l="0" t="0" r="0" b="0"/>
                <wp:wrapNone/>
                <wp:docPr id="1092" name="docshape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529122" id="docshape170" o:spid="_x0000_s1026" alt="&quot;&quot;" style="position:absolute;margin-left:70.8pt;margin-top:7.1pt;width:100.8pt;height:14.65pt;z-index:1580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" fillcolor="black" stroked="f">
                <w10:wrap anchorx="page"/>
              </v:rect>
            </w:pict>
          </mc:Fallback>
        </mc:AlternateContent>
      </w:r>
      <w:r>
        <w:rPr>
          <w:noProof/>
        </w:rPr>
        <mc:AlternateContent>
          <mc:Choice Requires="wps">
            <w:drawing>
              <wp:anchor distT="0" distB="0" distL="114300" distR="114300" simplePos="0" relativeHeight="15806976" behindDoc="0" locked="0" layoutInCell="1" allowOverlap="1" wp14:anchorId="12079227" wp14:editId="34AF6449">
                <wp:simplePos x="0" y="0"/>
                <wp:positionH relativeFrom="page">
                  <wp:posOffset>3002280</wp:posOffset>
                </wp:positionH>
                <wp:positionV relativeFrom="paragraph">
                  <wp:posOffset>928370</wp:posOffset>
                </wp:positionV>
                <wp:extent cx="3657600" cy="186055"/>
                <wp:effectExtent l="0" t="0" r="0" b="0"/>
                <wp:wrapNone/>
                <wp:docPr id="1090" name="docshape1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1B1910" id="docshape171" o:spid="_x0000_s1026" alt="&quot;&quot;" style="position:absolute;margin-left:236.4pt;margin-top:73.1pt;width:4in;height:14.65pt;z-index:1580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" fillcolor="black" stroked="f">
                <w10:wrap anchorx="page"/>
              </v:rect>
            </w:pict>
          </mc:Fallback>
        </mc:AlternateContent>
      </w:r>
      <w:r w:rsidR="00033D0F">
        <w:t>is</w:t>
      </w:r>
      <w:r w:rsidR="00033D0F">
        <w:rPr>
          <w:spacing w:val="-6"/>
        </w:rPr>
        <w:t xml:space="preserve"> </w:t>
      </w:r>
      <w:r w:rsidR="00033D0F">
        <w:t>meaningless</w:t>
      </w:r>
      <w:r w:rsidR="00033D0F">
        <w:rPr>
          <w:spacing w:val="-6"/>
        </w:rPr>
        <w:t xml:space="preserve"> </w:t>
      </w:r>
      <w:r w:rsidR="00033D0F">
        <w:t>in</w:t>
      </w:r>
      <w:r w:rsidR="00033D0F">
        <w:rPr>
          <w:spacing w:val="-9"/>
        </w:rPr>
        <w:t xml:space="preserve"> </w:t>
      </w:r>
      <w:r w:rsidR="00033D0F">
        <w:t>isolation</w:t>
      </w:r>
      <w:r w:rsidR="00033D0F">
        <w:rPr>
          <w:spacing w:val="-9"/>
        </w:rPr>
        <w:t xml:space="preserve"> </w:t>
      </w:r>
      <w:r w:rsidR="00033D0F">
        <w:t>from</w:t>
      </w:r>
      <w:r w:rsidR="00033D0F">
        <w:rPr>
          <w:spacing w:val="-7"/>
        </w:rPr>
        <w:t xml:space="preserve"> </w:t>
      </w:r>
      <w:r w:rsidR="00033D0F">
        <w:t>the</w:t>
      </w:r>
      <w:r w:rsidR="00033D0F">
        <w:rPr>
          <w:spacing w:val="-3"/>
        </w:rPr>
        <w:t xml:space="preserve"> </w:t>
      </w:r>
      <w:r w:rsidR="00033D0F">
        <w:t>respective</w:t>
      </w:r>
      <w:r w:rsidR="00033D0F">
        <w:rPr>
          <w:spacing w:val="-7"/>
        </w:rPr>
        <w:t xml:space="preserve"> </w:t>
      </w:r>
      <w:r w:rsidR="00033D0F">
        <w:t>matching</w:t>
      </w:r>
      <w:r w:rsidR="00033D0F">
        <w:rPr>
          <w:spacing w:val="-6"/>
        </w:rPr>
        <w:t xml:space="preserve"> </w:t>
      </w:r>
      <w:r w:rsidR="00033D0F">
        <w:t>export</w:t>
      </w:r>
      <w:r w:rsidR="00033D0F">
        <w:rPr>
          <w:spacing w:val="-7"/>
        </w:rPr>
        <w:t xml:space="preserve"> </w:t>
      </w:r>
      <w:r w:rsidR="00033D0F">
        <w:t>volumes the domestic PCNs account for. In order to determine an accurate margin of dumping on a PCN-by-PCN basis (the methodology applied by MOFCOM), the domestic PCNs must reflect the makeup of the export PCNs.</w:t>
      </w:r>
    </w:p>
    <w:p w14:paraId="24482447" w14:textId="18EA4E47" w:rsidR="00BD462C" w:rsidRDefault="003A07AC">
      <w:pPr>
        <w:pStyle w:val="BodyText"/>
        <w:rPr>
          <w:sz w:val="28"/>
        </w:rPr>
      </w:pPr>
      <w:r>
        <w:rPr>
          <w:noProof/>
        </w:rPr>
        <mc:AlternateContent>
          <mc:Choice Requires="wps">
            <w:drawing>
              <wp:anchor distT="0" distB="0" distL="0" distR="0" simplePos="0" relativeHeight="488036864" behindDoc="1" locked="0" layoutInCell="1" allowOverlap="1" wp14:anchorId="6FC9CBFD" wp14:editId="6D065320">
                <wp:simplePos x="0" y="0"/>
                <wp:positionH relativeFrom="page">
                  <wp:posOffset>812800</wp:posOffset>
                </wp:positionH>
                <wp:positionV relativeFrom="paragraph">
                  <wp:posOffset>217805</wp:posOffset>
                </wp:positionV>
                <wp:extent cx="1828800" cy="8890"/>
                <wp:effectExtent l="0" t="0" r="0" b="0"/>
                <wp:wrapTopAndBottom/>
                <wp:docPr id="1488" name="docshape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7BC8ED" id="docshape113" o:spid="_x0000_s1026" alt="&quot;&quot;" style="position:absolute;margin-left:64pt;margin-top:17.15pt;width:2in;height:.7pt;z-index:-15279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" fillcolor="black" stroked="f">
                <w10:wrap type="topAndBottom" anchorx="page"/>
              </v:rect>
            </w:pict>
          </mc:Fallback>
        </mc:AlternateContent>
      </w:r>
    </w:p>
    <w:p w14:paraId="7EA48710" w14:textId="77777777" w:rsidR="00BD462C" w:rsidRDefault="00033D0F">
      <w:pPr>
        <w:tabs>
          <w:tab w:val="left" w:pos="7666"/>
        </w:tabs>
        <w:spacing w:before="112"/>
        <w:ind w:left="136" w:right="913" w:hanging="1"/>
        <w:jc w:val="both"/>
        <w:rPr>
          <w:sz w:val="18"/>
        </w:rPr>
      </w:pPr>
      <w:bookmarkStart w:id="393" w:name="_bookmark338"/>
      <w:bookmarkEnd w:id="393"/>
      <w:r>
        <w:rPr>
          <w:position w:val="5"/>
          <w:sz w:val="12"/>
        </w:rPr>
        <w:t>267</w:t>
      </w:r>
      <w:r>
        <w:rPr>
          <w:spacing w:val="40"/>
          <w:position w:val="5"/>
          <w:sz w:val="12"/>
        </w:rPr>
        <w:t xml:space="preserve"> </w:t>
      </w:r>
      <w:r>
        <w:rPr>
          <w:sz w:val="18"/>
        </w:rPr>
        <w:t xml:space="preserve">China's first written submission, para. 449. China argues that the issue before the panel in </w:t>
      </w:r>
      <w:r>
        <w:rPr>
          <w:i/>
          <w:sz w:val="18"/>
        </w:rPr>
        <w:t xml:space="preserve">Mexico – Anti-Dumping Measures on Rice </w:t>
      </w:r>
      <w:r>
        <w:rPr>
          <w:sz w:val="18"/>
        </w:rPr>
        <w:t>does not arise because MOFCOM did not select</w:t>
      </w:r>
      <w:r>
        <w:rPr>
          <w:sz w:val="18"/>
        </w:rPr>
        <w:tab/>
        <w:t>(China's first written submission,</w:t>
      </w:r>
      <w:r>
        <w:rPr>
          <w:spacing w:val="40"/>
          <w:sz w:val="18"/>
        </w:rPr>
        <w:t xml:space="preserve"> </w:t>
      </w:r>
      <w:r>
        <w:rPr>
          <w:sz w:val="18"/>
        </w:rPr>
        <w:t>para. 452.)</w:t>
      </w:r>
      <w:r>
        <w:rPr>
          <w:spacing w:val="40"/>
          <w:sz w:val="18"/>
        </w:rPr>
        <w:t xml:space="preserve"> </w:t>
      </w:r>
      <w:r>
        <w:rPr>
          <w:sz w:val="18"/>
        </w:rPr>
        <w:t>This</w:t>
      </w:r>
      <w:r>
        <w:rPr>
          <w:spacing w:val="40"/>
          <w:sz w:val="18"/>
        </w:rPr>
        <w:t xml:space="preserve"> </w:t>
      </w:r>
      <w:r>
        <w:rPr>
          <w:sz w:val="18"/>
        </w:rPr>
        <w:t>is</w:t>
      </w:r>
      <w:r>
        <w:rPr>
          <w:spacing w:val="40"/>
          <w:sz w:val="18"/>
        </w:rPr>
        <w:t xml:space="preserve"> </w:t>
      </w:r>
      <w:r>
        <w:rPr>
          <w:sz w:val="18"/>
        </w:rPr>
        <w:t>incorrect.</w:t>
      </w:r>
      <w:r>
        <w:rPr>
          <w:spacing w:val="40"/>
          <w:sz w:val="18"/>
        </w:rPr>
        <w:t xml:space="preserve"> </w:t>
      </w:r>
      <w:r>
        <w:rPr>
          <w:sz w:val="18"/>
        </w:rPr>
        <w:t>China</w:t>
      </w:r>
      <w:r>
        <w:rPr>
          <w:spacing w:val="40"/>
          <w:sz w:val="18"/>
        </w:rPr>
        <w:t xml:space="preserve"> </w:t>
      </w:r>
      <w:r>
        <w:rPr>
          <w:sz w:val="18"/>
        </w:rPr>
        <w:t>concedes</w:t>
      </w:r>
      <w:r>
        <w:rPr>
          <w:spacing w:val="40"/>
          <w:sz w:val="18"/>
        </w:rPr>
        <w:t xml:space="preserve"> </w:t>
      </w:r>
      <w:r>
        <w:rPr>
          <w:sz w:val="18"/>
        </w:rPr>
        <w:t>that</w:t>
      </w:r>
      <w:r>
        <w:rPr>
          <w:spacing w:val="40"/>
          <w:sz w:val="18"/>
        </w:rPr>
        <w:t xml:space="preserve"> </w:t>
      </w:r>
      <w:r>
        <w:rPr>
          <w:sz w:val="18"/>
        </w:rPr>
        <w:t>MOFCOM</w:t>
      </w:r>
      <w:r>
        <w:rPr>
          <w:spacing w:val="40"/>
          <w:sz w:val="18"/>
        </w:rPr>
        <w:t xml:space="preserve"> </w:t>
      </w:r>
      <w:r>
        <w:rPr>
          <w:sz w:val="18"/>
        </w:rPr>
        <w:t>did,</w:t>
      </w:r>
      <w:r>
        <w:rPr>
          <w:spacing w:val="40"/>
          <w:sz w:val="18"/>
        </w:rPr>
        <w:t xml:space="preserve"> </w:t>
      </w:r>
      <w:r>
        <w:rPr>
          <w:sz w:val="18"/>
        </w:rPr>
        <w:t>in</w:t>
      </w:r>
      <w:r>
        <w:rPr>
          <w:spacing w:val="40"/>
          <w:sz w:val="18"/>
        </w:rPr>
        <w:t xml:space="preserve"> </w:t>
      </w:r>
      <w:r>
        <w:rPr>
          <w:sz w:val="18"/>
        </w:rPr>
        <w:t>fact,</w:t>
      </w:r>
    </w:p>
    <w:p w14:paraId="08DE77C3" w14:textId="0CE35011" w:rsidR="00BD462C" w:rsidRDefault="00D70C7D">
      <w:pPr>
        <w:ind w:left="135" w:right="909" w:firstLine="820"/>
        <w:jc w:val="both"/>
        <w:rPr>
          <w:sz w:val="18"/>
        </w:rPr>
      </w:pPr>
      <w:r>
        <w:rPr>
          <w:noProof/>
        </w:rPr>
        <mc:AlternateContent>
          <mc:Choice Requires="wps">
            <w:drawing>
              <wp:anchor distT="0" distB="0" distL="114300" distR="114300" simplePos="0" relativeHeight="478968832" behindDoc="1" locked="0" layoutInCell="1" allowOverlap="1" wp14:anchorId="60BDCFE7" wp14:editId="47A7196A">
                <wp:simplePos x="0" y="0"/>
                <wp:positionH relativeFrom="page">
                  <wp:posOffset>899160</wp:posOffset>
                </wp:positionH>
                <wp:positionV relativeFrom="paragraph">
                  <wp:posOffset>1905</wp:posOffset>
                </wp:positionV>
                <wp:extent cx="557530" cy="137160"/>
                <wp:effectExtent l="0" t="0" r="0" b="0"/>
                <wp:wrapNone/>
                <wp:docPr id="1086" name="docshape1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530" cy="137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15498B" id="docshape173" o:spid="_x0000_s1026" alt="&quot;&quot;" style="position:absolute;margin-left:70.8pt;margin-top:.15pt;width:43.9pt;height:10.8pt;z-index:-24347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" fillcolor="black" stroked="f">
                <w10:wrap anchorx="page"/>
              </v:rect>
            </w:pict>
          </mc:Fallback>
        </mc:AlternateContent>
      </w:r>
      <w:r>
        <w:rPr>
          <w:noProof/>
        </w:rPr>
        <mc:AlternateContent>
          <mc:Choice Requires="wps">
            <w:drawing>
              <wp:anchor distT="0" distB="0" distL="114300" distR="114300" simplePos="0" relativeHeight="478969344" behindDoc="1" locked="0" layoutInCell="1" allowOverlap="1" wp14:anchorId="6CDDB026" wp14:editId="7086C9A0">
                <wp:simplePos x="0" y="0"/>
                <wp:positionH relativeFrom="page">
                  <wp:posOffset>4133215</wp:posOffset>
                </wp:positionH>
                <wp:positionV relativeFrom="paragraph">
                  <wp:posOffset>-274320</wp:posOffset>
                </wp:positionV>
                <wp:extent cx="2515235" cy="295275"/>
                <wp:effectExtent l="0" t="0" r="0" b="0"/>
                <wp:wrapNone/>
                <wp:docPr id="1084" name="docshape1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5235" cy="295275"/>
                        </a:xfrm>
                        <a:custGeom>
                          <a:avLst/>
                          <a:gdLst>
                            <a:gd name="T0" fmla="+- 0 10472 6512"/>
                            <a:gd name="T1" fmla="*/ T0 w 3961"/>
                            <a:gd name="T2" fmla="+- 0 -212 -432"/>
                            <a:gd name="T3" fmla="*/ -212 h 465"/>
                            <a:gd name="T4" fmla="+- 0 8862 6512"/>
                            <a:gd name="T5" fmla="*/ T4 w 3961"/>
                            <a:gd name="T6" fmla="+- 0 -212 -432"/>
                            <a:gd name="T7" fmla="*/ -212 h 465"/>
                            <a:gd name="T8" fmla="+- 0 8862 6512"/>
                            <a:gd name="T9" fmla="*/ T8 w 3961"/>
                            <a:gd name="T10" fmla="+- 0 -432 -432"/>
                            <a:gd name="T11" fmla="*/ -432 h 465"/>
                            <a:gd name="T12" fmla="+- 0 6512 6512"/>
                            <a:gd name="T13" fmla="*/ T12 w 3961"/>
                            <a:gd name="T14" fmla="+- 0 -432 -432"/>
                            <a:gd name="T15" fmla="*/ -432 h 465"/>
                            <a:gd name="T16" fmla="+- 0 6512 6512"/>
                            <a:gd name="T17" fmla="*/ T16 w 3961"/>
                            <a:gd name="T18" fmla="+- 0 -188 -432"/>
                            <a:gd name="T19" fmla="*/ -188 h 465"/>
                            <a:gd name="T20" fmla="+- 0 7962 6512"/>
                            <a:gd name="T21" fmla="*/ T20 w 3961"/>
                            <a:gd name="T22" fmla="+- 0 -188 -432"/>
                            <a:gd name="T23" fmla="*/ -188 h 465"/>
                            <a:gd name="T24" fmla="+- 0 7962 6512"/>
                            <a:gd name="T25" fmla="*/ T24 w 3961"/>
                            <a:gd name="T26" fmla="+- 0 32 -432"/>
                            <a:gd name="T27" fmla="*/ 32 h 465"/>
                            <a:gd name="T28" fmla="+- 0 10472 6512"/>
                            <a:gd name="T29" fmla="*/ T28 w 3961"/>
                            <a:gd name="T30" fmla="+- 0 32 -432"/>
                            <a:gd name="T31" fmla="*/ 32 h 465"/>
                            <a:gd name="T32" fmla="+- 0 10472 6512"/>
                            <a:gd name="T33" fmla="*/ T32 w 3961"/>
                            <a:gd name="T34" fmla="+- 0 -212 -432"/>
                            <a:gd name="T35" fmla="*/ -212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61" h="465">
                              <a:moveTo>
                                <a:pt x="3960" y="220"/>
                              </a:moveTo>
                              <a:lnTo>
                                <a:pt x="2350" y="220"/>
                              </a:lnTo>
                              <a:lnTo>
                                <a:pt x="2350" y="0"/>
                              </a:lnTo>
                              <a:lnTo>
                                <a:pt x="0" y="0"/>
                              </a:lnTo>
                              <a:lnTo>
                                <a:pt x="0" y="244"/>
                              </a:lnTo>
                              <a:lnTo>
                                <a:pt x="1450" y="244"/>
                              </a:lnTo>
                              <a:lnTo>
                                <a:pt x="1450" y="464"/>
                              </a:lnTo>
                              <a:lnTo>
                                <a:pt x="3960" y="464"/>
                              </a:lnTo>
                              <a:lnTo>
                                <a:pt x="3960" y="2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6DB13" id="docshape174" o:spid="_x0000_s1026" alt="&quot;&quot;" style="position:absolute;margin-left:325.45pt;margin-top:-21.6pt;width:198.05pt;height:23.25pt;z-index:-2434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961,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" path="m3960,220r-1610,l2350,,,,,244r1450,l1450,464r2510,l3960,220xe" fillcolor="black" stroked="f">
                <v:path arrowok="t" o:connecttype="custom" o:connectlocs="2514600,-134620;1492250,-134620;1492250,-274320;0,-274320;0,-119380;920750,-119380;920750,20320;2514600,20320;2514600,-134620" o:connectangles="0,0,0,0,0,0,0,0,0"/>
                <w10:wrap anchorx="page"/>
              </v:shape>
            </w:pict>
          </mc:Fallback>
        </mc:AlternateContent>
      </w:r>
      <w:r w:rsidR="00033D0F">
        <w:rPr>
          <w:sz w:val="18"/>
        </w:rPr>
        <w:t>],</w:t>
      </w:r>
      <w:r w:rsidR="00033D0F">
        <w:rPr>
          <w:spacing w:val="-6"/>
          <w:sz w:val="18"/>
        </w:rPr>
        <w:t xml:space="preserve"> </w:t>
      </w:r>
      <w:r w:rsidR="00033D0F">
        <w:rPr>
          <w:sz w:val="18"/>
        </w:rPr>
        <w:t>the</w:t>
      </w:r>
      <w:r w:rsidR="00033D0F">
        <w:rPr>
          <w:spacing w:val="-3"/>
          <w:sz w:val="18"/>
        </w:rPr>
        <w:t xml:space="preserve"> </w:t>
      </w:r>
      <w:r w:rsidR="00033D0F">
        <w:rPr>
          <w:sz w:val="18"/>
        </w:rPr>
        <w:t>body</w:t>
      </w:r>
      <w:r w:rsidR="00033D0F">
        <w:rPr>
          <w:spacing w:val="-5"/>
          <w:sz w:val="18"/>
        </w:rPr>
        <w:t xml:space="preserve"> </w:t>
      </w:r>
      <w:r w:rsidR="00033D0F">
        <w:rPr>
          <w:sz w:val="18"/>
        </w:rPr>
        <w:t>of</w:t>
      </w:r>
      <w:r w:rsidR="00033D0F">
        <w:rPr>
          <w:spacing w:val="-7"/>
          <w:sz w:val="18"/>
        </w:rPr>
        <w:t xml:space="preserve"> </w:t>
      </w:r>
      <w:r w:rsidR="00033D0F">
        <w:rPr>
          <w:sz w:val="18"/>
        </w:rPr>
        <w:t>information</w:t>
      </w:r>
      <w:r w:rsidR="00033D0F">
        <w:rPr>
          <w:spacing w:val="-8"/>
          <w:sz w:val="18"/>
        </w:rPr>
        <w:t xml:space="preserve"> </w:t>
      </w:r>
      <w:r w:rsidR="00033D0F">
        <w:rPr>
          <w:sz w:val="18"/>
        </w:rPr>
        <w:t>it</w:t>
      </w:r>
      <w:r w:rsidR="00033D0F">
        <w:rPr>
          <w:spacing w:val="-2"/>
          <w:sz w:val="18"/>
        </w:rPr>
        <w:t xml:space="preserve"> </w:t>
      </w:r>
      <w:r w:rsidR="00033D0F">
        <w:rPr>
          <w:sz w:val="18"/>
        </w:rPr>
        <w:t>asserts</w:t>
      </w:r>
      <w:r w:rsidR="00033D0F">
        <w:rPr>
          <w:spacing w:val="-8"/>
          <w:sz w:val="18"/>
        </w:rPr>
        <w:t xml:space="preserve"> </w:t>
      </w:r>
      <w:r w:rsidR="00033D0F">
        <w:rPr>
          <w:sz w:val="18"/>
        </w:rPr>
        <w:t>is</w:t>
      </w:r>
      <w:r w:rsidR="00033D0F">
        <w:rPr>
          <w:spacing w:val="-3"/>
          <w:sz w:val="18"/>
        </w:rPr>
        <w:t xml:space="preserve"> </w:t>
      </w:r>
      <w:r w:rsidR="00033D0F">
        <w:rPr>
          <w:sz w:val="18"/>
        </w:rPr>
        <w:t>relevant.</w:t>
      </w:r>
      <w:r w:rsidR="00033D0F">
        <w:rPr>
          <w:spacing w:val="-7"/>
          <w:sz w:val="18"/>
        </w:rPr>
        <w:t xml:space="preserve"> </w:t>
      </w:r>
      <w:r w:rsidR="00033D0F">
        <w:rPr>
          <w:sz w:val="18"/>
        </w:rPr>
        <w:t>In</w:t>
      </w:r>
      <w:r w:rsidR="00033D0F">
        <w:rPr>
          <w:spacing w:val="-8"/>
          <w:sz w:val="18"/>
        </w:rPr>
        <w:t xml:space="preserve"> </w:t>
      </w:r>
      <w:r w:rsidR="00033D0F">
        <w:rPr>
          <w:sz w:val="18"/>
        </w:rPr>
        <w:t>any</w:t>
      </w:r>
      <w:r w:rsidR="00033D0F">
        <w:rPr>
          <w:spacing w:val="-5"/>
          <w:sz w:val="18"/>
        </w:rPr>
        <w:t xml:space="preserve"> </w:t>
      </w:r>
      <w:r w:rsidR="00033D0F">
        <w:rPr>
          <w:sz w:val="18"/>
        </w:rPr>
        <w:t>event,</w:t>
      </w:r>
      <w:r w:rsidR="00033D0F">
        <w:rPr>
          <w:spacing w:val="-1"/>
          <w:sz w:val="18"/>
        </w:rPr>
        <w:t xml:space="preserve"> </w:t>
      </w:r>
      <w:r w:rsidR="00033D0F">
        <w:rPr>
          <w:sz w:val="18"/>
        </w:rPr>
        <w:t>China's</w:t>
      </w:r>
      <w:r w:rsidR="00033D0F">
        <w:rPr>
          <w:spacing w:val="-3"/>
          <w:sz w:val="18"/>
        </w:rPr>
        <w:t xml:space="preserve"> </w:t>
      </w:r>
      <w:r w:rsidR="00033D0F">
        <w:rPr>
          <w:sz w:val="18"/>
        </w:rPr>
        <w:t>contention</w:t>
      </w:r>
      <w:r w:rsidR="00033D0F">
        <w:rPr>
          <w:spacing w:val="-8"/>
          <w:sz w:val="18"/>
        </w:rPr>
        <w:t xml:space="preserve"> </w:t>
      </w:r>
      <w:r w:rsidR="00033D0F">
        <w:rPr>
          <w:sz w:val="18"/>
        </w:rPr>
        <w:t>that</w:t>
      </w:r>
      <w:r w:rsidR="00033D0F">
        <w:rPr>
          <w:spacing w:val="-2"/>
          <w:sz w:val="18"/>
        </w:rPr>
        <w:t xml:space="preserve"> </w:t>
      </w:r>
      <w:r w:rsidR="00033D0F">
        <w:rPr>
          <w:sz w:val="18"/>
        </w:rPr>
        <w:t>the</w:t>
      </w:r>
      <w:r w:rsidR="00033D0F">
        <w:rPr>
          <w:spacing w:val="-3"/>
          <w:sz w:val="18"/>
        </w:rPr>
        <w:t xml:space="preserve"> </w:t>
      </w:r>
      <w:r w:rsidR="00033D0F">
        <w:rPr>
          <w:sz w:val="18"/>
        </w:rPr>
        <w:t>reasoning</w:t>
      </w:r>
      <w:r w:rsidR="00033D0F">
        <w:rPr>
          <w:spacing w:val="-3"/>
          <w:sz w:val="18"/>
        </w:rPr>
        <w:t xml:space="preserve"> </w:t>
      </w:r>
      <w:r w:rsidR="00033D0F">
        <w:rPr>
          <w:sz w:val="18"/>
        </w:rPr>
        <w:t>of</w:t>
      </w:r>
      <w:r w:rsidR="00033D0F">
        <w:rPr>
          <w:spacing w:val="-2"/>
          <w:sz w:val="18"/>
        </w:rPr>
        <w:t xml:space="preserve"> </w:t>
      </w:r>
      <w:r w:rsidR="00033D0F">
        <w:rPr>
          <w:sz w:val="18"/>
        </w:rPr>
        <w:t>the</w:t>
      </w:r>
      <w:r w:rsidR="00033D0F">
        <w:rPr>
          <w:spacing w:val="-3"/>
          <w:sz w:val="18"/>
        </w:rPr>
        <w:t xml:space="preserve"> </w:t>
      </w:r>
      <w:r w:rsidR="00033D0F">
        <w:rPr>
          <w:sz w:val="18"/>
        </w:rPr>
        <w:t>panel</w:t>
      </w:r>
      <w:r w:rsidR="00033D0F">
        <w:rPr>
          <w:spacing w:val="-2"/>
          <w:sz w:val="18"/>
        </w:rPr>
        <w:t xml:space="preserve"> </w:t>
      </w:r>
      <w:r w:rsidR="00033D0F">
        <w:rPr>
          <w:sz w:val="18"/>
        </w:rPr>
        <w:t xml:space="preserve">in </w:t>
      </w:r>
      <w:r w:rsidR="00033D0F">
        <w:rPr>
          <w:i/>
          <w:sz w:val="18"/>
        </w:rPr>
        <w:t>Mexico</w:t>
      </w:r>
      <w:r w:rsidR="00033D0F">
        <w:rPr>
          <w:i/>
          <w:spacing w:val="-5"/>
          <w:sz w:val="18"/>
        </w:rPr>
        <w:t xml:space="preserve"> </w:t>
      </w:r>
      <w:r w:rsidR="00033D0F">
        <w:rPr>
          <w:i/>
          <w:sz w:val="18"/>
        </w:rPr>
        <w:t>–</w:t>
      </w:r>
      <w:r w:rsidR="00033D0F">
        <w:rPr>
          <w:i/>
          <w:spacing w:val="-7"/>
          <w:sz w:val="18"/>
        </w:rPr>
        <w:t xml:space="preserve"> </w:t>
      </w:r>
      <w:r w:rsidR="00033D0F">
        <w:rPr>
          <w:i/>
          <w:sz w:val="18"/>
        </w:rPr>
        <w:t>Anti-Dumping</w:t>
      </w:r>
      <w:r w:rsidR="00033D0F">
        <w:rPr>
          <w:i/>
          <w:spacing w:val="-5"/>
          <w:sz w:val="18"/>
        </w:rPr>
        <w:t xml:space="preserve"> </w:t>
      </w:r>
      <w:r w:rsidR="00033D0F">
        <w:rPr>
          <w:i/>
          <w:sz w:val="18"/>
        </w:rPr>
        <w:t>Measures</w:t>
      </w:r>
      <w:r w:rsidR="00033D0F">
        <w:rPr>
          <w:i/>
          <w:spacing w:val="-7"/>
          <w:sz w:val="18"/>
        </w:rPr>
        <w:t xml:space="preserve"> </w:t>
      </w:r>
      <w:r w:rsidR="00033D0F">
        <w:rPr>
          <w:i/>
          <w:sz w:val="18"/>
        </w:rPr>
        <w:t>on</w:t>
      </w:r>
      <w:r w:rsidR="00033D0F">
        <w:rPr>
          <w:i/>
          <w:spacing w:val="-5"/>
          <w:sz w:val="18"/>
        </w:rPr>
        <w:t xml:space="preserve"> </w:t>
      </w:r>
      <w:r w:rsidR="00033D0F">
        <w:rPr>
          <w:i/>
          <w:sz w:val="18"/>
        </w:rPr>
        <w:t>Rice</w:t>
      </w:r>
      <w:r w:rsidR="00033D0F">
        <w:rPr>
          <w:i/>
          <w:spacing w:val="-8"/>
          <w:sz w:val="18"/>
        </w:rPr>
        <w:t xml:space="preserve"> </w:t>
      </w:r>
      <w:r w:rsidR="00033D0F">
        <w:rPr>
          <w:sz w:val="18"/>
        </w:rPr>
        <w:t>only</w:t>
      </w:r>
      <w:r w:rsidR="00033D0F">
        <w:rPr>
          <w:spacing w:val="-4"/>
          <w:sz w:val="18"/>
        </w:rPr>
        <w:t xml:space="preserve"> </w:t>
      </w:r>
      <w:r w:rsidR="00033D0F">
        <w:rPr>
          <w:sz w:val="18"/>
        </w:rPr>
        <w:t>applies</w:t>
      </w:r>
      <w:r w:rsidR="00033D0F">
        <w:rPr>
          <w:spacing w:val="-7"/>
          <w:sz w:val="18"/>
        </w:rPr>
        <w:t xml:space="preserve"> </w:t>
      </w:r>
      <w:r w:rsidR="00033D0F">
        <w:rPr>
          <w:sz w:val="18"/>
        </w:rPr>
        <w:t>when</w:t>
      </w:r>
      <w:r w:rsidR="00033D0F">
        <w:rPr>
          <w:spacing w:val="-7"/>
          <w:sz w:val="18"/>
        </w:rPr>
        <w:t xml:space="preserve"> </w:t>
      </w:r>
      <w:r w:rsidR="00033D0F">
        <w:rPr>
          <w:sz w:val="18"/>
        </w:rPr>
        <w:t>the</w:t>
      </w:r>
      <w:r w:rsidR="00033D0F">
        <w:rPr>
          <w:spacing w:val="-7"/>
          <w:sz w:val="18"/>
        </w:rPr>
        <w:t xml:space="preserve"> </w:t>
      </w:r>
      <w:r w:rsidR="00033D0F">
        <w:rPr>
          <w:sz w:val="18"/>
        </w:rPr>
        <w:t>highest</w:t>
      </w:r>
      <w:r w:rsidR="00033D0F">
        <w:rPr>
          <w:spacing w:val="-6"/>
          <w:sz w:val="18"/>
        </w:rPr>
        <w:t xml:space="preserve"> </w:t>
      </w:r>
      <w:r w:rsidR="00033D0F">
        <w:rPr>
          <w:sz w:val="18"/>
        </w:rPr>
        <w:t>cost</w:t>
      </w:r>
      <w:r w:rsidR="00033D0F">
        <w:rPr>
          <w:spacing w:val="-6"/>
          <w:sz w:val="18"/>
        </w:rPr>
        <w:t xml:space="preserve"> </w:t>
      </w:r>
      <w:r w:rsidR="00033D0F">
        <w:rPr>
          <w:sz w:val="18"/>
        </w:rPr>
        <w:t>is</w:t>
      </w:r>
      <w:r w:rsidR="00033D0F">
        <w:rPr>
          <w:spacing w:val="-7"/>
          <w:sz w:val="18"/>
        </w:rPr>
        <w:t xml:space="preserve"> </w:t>
      </w:r>
      <w:r w:rsidR="00033D0F">
        <w:rPr>
          <w:sz w:val="18"/>
        </w:rPr>
        <w:t>selected</w:t>
      </w:r>
      <w:r w:rsidR="00033D0F">
        <w:rPr>
          <w:spacing w:val="-8"/>
          <w:sz w:val="18"/>
        </w:rPr>
        <w:t xml:space="preserve"> </w:t>
      </w:r>
      <w:r w:rsidR="00033D0F">
        <w:rPr>
          <w:sz w:val="18"/>
        </w:rPr>
        <w:t>is</w:t>
      </w:r>
      <w:r w:rsidR="00033D0F">
        <w:rPr>
          <w:spacing w:val="-7"/>
          <w:sz w:val="18"/>
        </w:rPr>
        <w:t xml:space="preserve"> </w:t>
      </w:r>
      <w:r w:rsidR="00033D0F">
        <w:rPr>
          <w:sz w:val="18"/>
        </w:rPr>
        <w:t>reductive.</w:t>
      </w:r>
      <w:r w:rsidR="00033D0F">
        <w:rPr>
          <w:spacing w:val="-10"/>
          <w:sz w:val="18"/>
        </w:rPr>
        <w:t xml:space="preserve"> </w:t>
      </w:r>
      <w:r w:rsidR="00033D0F">
        <w:rPr>
          <w:sz w:val="18"/>
        </w:rPr>
        <w:t>The</w:t>
      </w:r>
      <w:r w:rsidR="00033D0F">
        <w:rPr>
          <w:spacing w:val="-7"/>
          <w:sz w:val="18"/>
        </w:rPr>
        <w:t xml:space="preserve"> </w:t>
      </w:r>
      <w:r w:rsidR="00033D0F">
        <w:rPr>
          <w:sz w:val="18"/>
        </w:rPr>
        <w:t>Appellate</w:t>
      </w:r>
      <w:r w:rsidR="00033D0F">
        <w:rPr>
          <w:spacing w:val="-7"/>
          <w:sz w:val="18"/>
        </w:rPr>
        <w:t xml:space="preserve"> </w:t>
      </w:r>
      <w:r w:rsidR="00033D0F">
        <w:rPr>
          <w:sz w:val="18"/>
        </w:rPr>
        <w:t>Body</w:t>
      </w:r>
      <w:r w:rsidR="00033D0F">
        <w:rPr>
          <w:spacing w:val="-9"/>
          <w:sz w:val="18"/>
        </w:rPr>
        <w:t xml:space="preserve"> </w:t>
      </w:r>
      <w:r w:rsidR="00033D0F">
        <w:rPr>
          <w:sz w:val="18"/>
        </w:rPr>
        <w:t>(and the panel) found that in selecting the best information available, an investigating authority is required to undertake a comparative evaluation of the information on the record. MOFCOM failed to do so.</w:t>
      </w:r>
    </w:p>
    <w:p w14:paraId="59A52C8F" w14:textId="77777777" w:rsidR="00BD462C" w:rsidRDefault="00033D0F">
      <w:pPr>
        <w:spacing w:before="2"/>
        <w:ind w:left="135"/>
        <w:jc w:val="both"/>
        <w:rPr>
          <w:sz w:val="18"/>
        </w:rPr>
      </w:pPr>
      <w:bookmarkStart w:id="394" w:name="_bookmark339"/>
      <w:bookmarkEnd w:id="394"/>
      <w:r>
        <w:rPr>
          <w:position w:val="5"/>
          <w:sz w:val="12"/>
        </w:rPr>
        <w:t>268</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 xml:space="preserve">submission, para. </w:t>
      </w:r>
      <w:r>
        <w:rPr>
          <w:spacing w:val="-4"/>
          <w:sz w:val="18"/>
        </w:rPr>
        <w:t>457.</w:t>
      </w:r>
    </w:p>
    <w:p w14:paraId="30AB570C" w14:textId="77777777" w:rsidR="00BD462C" w:rsidRDefault="00BD462C">
      <w:pPr>
        <w:jc w:val="both"/>
        <w:rPr>
          <w:sz w:val="18"/>
        </w:rPr>
        <w:sectPr w:rsidR="00BD462C">
          <w:pgSz w:w="11910" w:h="16840"/>
          <w:pgMar w:top="860" w:right="500" w:bottom="780" w:left="1280" w:header="566" w:footer="590" w:gutter="0"/>
          <w:cols w:space="720"/>
        </w:sectPr>
      </w:pPr>
    </w:p>
    <w:p w14:paraId="38372CD2"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37BF3660"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3D95E2A8"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3A252272" w14:textId="679E126B" w:rsidR="00BD462C" w:rsidRDefault="00D70C7D">
      <w:pPr>
        <w:pStyle w:val="BodyText"/>
        <w:spacing w:before="3"/>
        <w:rPr>
          <w:sz w:val="6"/>
        </w:rPr>
      </w:pPr>
      <w:r>
        <w:rPr>
          <w:noProof/>
        </w:rPr>
        <mc:AlternateContent>
          <mc:Choice Requires="wps">
            <w:drawing>
              <wp:anchor distT="0" distB="0" distL="0" distR="0" simplePos="0" relativeHeight="487668736" behindDoc="1" locked="0" layoutInCell="1" allowOverlap="1" wp14:anchorId="0FBB9CD7" wp14:editId="7DF20252">
                <wp:simplePos x="0" y="0"/>
                <wp:positionH relativeFrom="page">
                  <wp:posOffset>899160</wp:posOffset>
                </wp:positionH>
                <wp:positionV relativeFrom="paragraph">
                  <wp:posOffset>64135</wp:posOffset>
                </wp:positionV>
                <wp:extent cx="5760720" cy="186055"/>
                <wp:effectExtent l="0" t="0" r="0" b="0"/>
                <wp:wrapTopAndBottom/>
                <wp:docPr id="1082" name="docshape1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831219" id="docshape175" o:spid="_x0000_s1026" alt="&quot;&quot;" style="position:absolute;margin-left:70.8pt;margin-top:5.05pt;width:453.6pt;height:14.65pt;z-index:-15647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" fillcolor="black" stroked="f">
                <w10:wrap type="topAndBottom" anchorx="page"/>
              </v:rect>
            </w:pict>
          </mc:Fallback>
        </mc:AlternateContent>
      </w:r>
    </w:p>
    <w:p w14:paraId="3DA739F8" w14:textId="77777777" w:rsidR="00BD462C" w:rsidRDefault="00BD462C">
      <w:pPr>
        <w:pStyle w:val="BodyText"/>
        <w:spacing w:before="8"/>
        <w:rPr>
          <w:sz w:val="7"/>
        </w:rPr>
      </w:pPr>
    </w:p>
    <w:p w14:paraId="5367AEAB" w14:textId="4153AE7B" w:rsidR="00BD462C" w:rsidRDefault="00D70C7D">
      <w:pPr>
        <w:pStyle w:val="BodyText"/>
        <w:tabs>
          <w:tab w:val="left" w:pos="7407"/>
        </w:tabs>
        <w:spacing w:before="52"/>
        <w:ind w:left="2776"/>
      </w:pPr>
      <w:r>
        <w:rPr>
          <w:noProof/>
        </w:rPr>
        <mc:AlternateContent>
          <mc:Choice Requires="wps">
            <w:drawing>
              <wp:anchor distT="0" distB="0" distL="114300" distR="114300" simplePos="0" relativeHeight="15809536" behindDoc="0" locked="0" layoutInCell="1" allowOverlap="1" wp14:anchorId="2B7CA179" wp14:editId="48500617">
                <wp:simplePos x="0" y="0"/>
                <wp:positionH relativeFrom="page">
                  <wp:posOffset>899160</wp:posOffset>
                </wp:positionH>
                <wp:positionV relativeFrom="paragraph">
                  <wp:posOffset>31750</wp:posOffset>
                </wp:positionV>
                <wp:extent cx="1676400" cy="186055"/>
                <wp:effectExtent l="0" t="0" r="0" b="0"/>
                <wp:wrapNone/>
                <wp:docPr id="1080" name="docshape1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3D6BD8" id="docshape176" o:spid="_x0000_s1026" alt="&quot;&quot;" style="position:absolute;margin-left:70.8pt;margin-top:2.5pt;width:132pt;height:14.65pt;z-index:1580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" fillcolor="black" stroked="f">
                <w10:wrap anchorx="page"/>
              </v:rect>
            </w:pict>
          </mc:Fallback>
        </mc:AlternateContent>
      </w:r>
      <w:r>
        <w:rPr>
          <w:noProof/>
        </w:rPr>
        <mc:AlternateContent>
          <mc:Choice Requires="wps">
            <w:drawing>
              <wp:anchor distT="0" distB="0" distL="114300" distR="114300" simplePos="0" relativeHeight="478971392" behindDoc="1" locked="0" layoutInCell="1" allowOverlap="1" wp14:anchorId="674B6FBA" wp14:editId="41067566">
                <wp:simplePos x="0" y="0"/>
                <wp:positionH relativeFrom="page">
                  <wp:posOffset>3246120</wp:posOffset>
                </wp:positionH>
                <wp:positionV relativeFrom="paragraph">
                  <wp:posOffset>31750</wp:posOffset>
                </wp:positionV>
                <wp:extent cx="2240280" cy="186055"/>
                <wp:effectExtent l="0" t="0" r="0" b="0"/>
                <wp:wrapNone/>
                <wp:docPr id="1078" name="docshape1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028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D1A2A5" id="docshape177" o:spid="_x0000_s1026" alt="&quot;&quot;" style="position:absolute;margin-left:255.6pt;margin-top:2.5pt;width:176.4pt;height:14.65pt;z-index:-24345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" fillcolor="black" stroked="f">
                <w10:wrap anchorx="page"/>
              </v:rect>
            </w:pict>
          </mc:Fallback>
        </mc:AlternateContent>
      </w:r>
      <w:r w:rsidR="00033D0F">
        <w:t>,</w:t>
      </w:r>
      <w:r w:rsidR="00033D0F">
        <w:rPr>
          <w:spacing w:val="-6"/>
        </w:rPr>
        <w:t xml:space="preserve"> </w:t>
      </w:r>
      <w:r w:rsidR="00033D0F">
        <w:t>given</w:t>
      </w:r>
      <w:r w:rsidR="00033D0F">
        <w:rPr>
          <w:spacing w:val="-7"/>
        </w:rPr>
        <w:t xml:space="preserve"> </w:t>
      </w:r>
      <w:r w:rsidR="00033D0F">
        <w:rPr>
          <w:spacing w:val="-5"/>
        </w:rPr>
        <w:t>the</w:t>
      </w:r>
      <w:r w:rsidR="00033D0F">
        <w:tab/>
        <w:t>exported</w:t>
      </w:r>
      <w:r w:rsidR="00033D0F">
        <w:rPr>
          <w:spacing w:val="-10"/>
        </w:rPr>
        <w:t xml:space="preserve"> </w:t>
      </w:r>
      <w:r w:rsidR="00033D0F">
        <w:t>to</w:t>
      </w:r>
      <w:r w:rsidR="00033D0F">
        <w:rPr>
          <w:spacing w:val="-10"/>
        </w:rPr>
        <w:t xml:space="preserve"> </w:t>
      </w:r>
      <w:r w:rsidR="00033D0F">
        <w:rPr>
          <w:spacing w:val="-2"/>
        </w:rPr>
        <w:t>China,</w:t>
      </w:r>
    </w:p>
    <w:p w14:paraId="4BA4AC37" w14:textId="659E79C9" w:rsidR="00BD462C" w:rsidRDefault="00D70C7D">
      <w:pPr>
        <w:pStyle w:val="BodyText"/>
        <w:tabs>
          <w:tab w:val="left" w:pos="2862"/>
        </w:tabs>
        <w:spacing w:before="149"/>
        <w:ind w:left="135"/>
      </w:pPr>
      <w:r>
        <w:rPr>
          <w:noProof/>
        </w:rPr>
        <mc:AlternateContent>
          <mc:Choice Requires="wps">
            <w:drawing>
              <wp:anchor distT="0" distB="0" distL="114300" distR="114300" simplePos="0" relativeHeight="478971904" behindDoc="1" locked="0" layoutInCell="1" allowOverlap="1" wp14:anchorId="540A2B6E" wp14:editId="2FD2AA1D">
                <wp:simplePos x="0" y="0"/>
                <wp:positionH relativeFrom="page">
                  <wp:posOffset>1143000</wp:posOffset>
                </wp:positionH>
                <wp:positionV relativeFrom="paragraph">
                  <wp:posOffset>93345</wp:posOffset>
                </wp:positionV>
                <wp:extent cx="1450975" cy="186055"/>
                <wp:effectExtent l="0" t="0" r="0" b="0"/>
                <wp:wrapNone/>
                <wp:docPr id="1076" name="docshape1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097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D28EFE" id="docshape178" o:spid="_x0000_s1026" alt="&quot;&quot;" style="position:absolute;margin-left:90pt;margin-top:7.35pt;width:114.25pt;height:14.65pt;z-index:-24344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" fillcolor="black" stroked="f">
                <w10:wrap anchorx="page"/>
              </v:rect>
            </w:pict>
          </mc:Fallback>
        </mc:AlternateContent>
      </w:r>
      <w:r w:rsidR="00033D0F">
        <w:rPr>
          <w:spacing w:val="-5"/>
        </w:rPr>
        <w:t>the</w:t>
      </w:r>
      <w:r w:rsidR="00033D0F">
        <w:tab/>
        <w:t>subsequently</w:t>
      </w:r>
      <w:r w:rsidR="00033D0F">
        <w:rPr>
          <w:spacing w:val="3"/>
        </w:rPr>
        <w:t xml:space="preserve"> </w:t>
      </w:r>
      <w:r w:rsidR="00033D0F">
        <w:t>submitted</w:t>
      </w:r>
      <w:r w:rsidR="00033D0F">
        <w:rPr>
          <w:spacing w:val="-1"/>
        </w:rPr>
        <w:t xml:space="preserve"> </w:t>
      </w:r>
      <w:r w:rsidR="00033D0F">
        <w:t>by</w:t>
      </w:r>
      <w:r w:rsidR="00033D0F">
        <w:rPr>
          <w:spacing w:val="2"/>
        </w:rPr>
        <w:t xml:space="preserve"> </w:t>
      </w:r>
      <w:r w:rsidR="00033D0F">
        <w:t>Treasury</w:t>
      </w:r>
      <w:r w:rsidR="00033D0F">
        <w:rPr>
          <w:spacing w:val="3"/>
        </w:rPr>
        <w:t xml:space="preserve"> </w:t>
      </w:r>
      <w:r w:rsidR="00033D0F">
        <w:t>Wines</w:t>
      </w:r>
      <w:r w:rsidR="00033D0F">
        <w:rPr>
          <w:spacing w:val="3"/>
        </w:rPr>
        <w:t xml:space="preserve"> </w:t>
      </w:r>
      <w:r w:rsidR="00033D0F">
        <w:t>accounted</w:t>
      </w:r>
      <w:r w:rsidR="00033D0F">
        <w:rPr>
          <w:spacing w:val="4"/>
        </w:rPr>
        <w:t xml:space="preserve"> </w:t>
      </w:r>
      <w:r w:rsidR="00033D0F">
        <w:t>for</w:t>
      </w:r>
      <w:r w:rsidR="00033D0F">
        <w:rPr>
          <w:spacing w:val="4"/>
        </w:rPr>
        <w:t xml:space="preserve"> </w:t>
      </w:r>
      <w:r w:rsidR="00033D0F">
        <w:t>such</w:t>
      </w:r>
      <w:r w:rsidR="00033D0F">
        <w:rPr>
          <w:spacing w:val="4"/>
        </w:rPr>
        <w:t xml:space="preserve"> </w:t>
      </w:r>
      <w:r w:rsidR="00033D0F">
        <w:rPr>
          <w:spacing w:val="-10"/>
        </w:rPr>
        <w:t>a</w:t>
      </w:r>
    </w:p>
    <w:p w14:paraId="3149D196" w14:textId="77777777" w:rsidR="0076321F" w:rsidRDefault="00D70C7D" w:rsidP="0076321F">
      <w:pPr>
        <w:pStyle w:val="BodyText"/>
        <w:tabs>
          <w:tab w:val="left" w:pos="4047"/>
        </w:tabs>
        <w:spacing w:before="144" w:line="360" w:lineRule="auto"/>
        <w:ind w:left="135" w:right="912"/>
        <w:jc w:val="both"/>
      </w:pPr>
      <w:r>
        <w:rPr>
          <w:noProof/>
        </w:rPr>
        <mc:AlternateContent>
          <mc:Choice Requires="wps">
            <w:drawing>
              <wp:anchor distT="0" distB="0" distL="114300" distR="114300" simplePos="0" relativeHeight="478972416" behindDoc="1" locked="0" layoutInCell="1" allowOverlap="1" wp14:anchorId="2530F447" wp14:editId="66E6A199">
                <wp:simplePos x="0" y="0"/>
                <wp:positionH relativeFrom="page">
                  <wp:posOffset>2313305</wp:posOffset>
                </wp:positionH>
                <wp:positionV relativeFrom="paragraph">
                  <wp:posOffset>648335</wp:posOffset>
                </wp:positionV>
                <wp:extent cx="975360" cy="186055"/>
                <wp:effectExtent l="0" t="0" r="0" b="0"/>
                <wp:wrapNone/>
                <wp:docPr id="1074" name="docshape1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536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DB85E2" id="docshape179" o:spid="_x0000_s1026" alt="&quot;&quot;" style="position:absolute;margin-left:182.15pt;margin-top:51.05pt;width:76.8pt;height:14.65pt;z-index:-24344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" fillcolor="black" stroked="f">
                <w10:wrap anchorx="page"/>
              </v:rect>
            </w:pict>
          </mc:Fallback>
        </mc:AlternateContent>
      </w:r>
      <w:r w:rsidR="00033D0F">
        <w:t>small</w:t>
      </w:r>
      <w:r w:rsidR="00033D0F">
        <w:rPr>
          <w:spacing w:val="-2"/>
        </w:rPr>
        <w:t xml:space="preserve"> </w:t>
      </w:r>
      <w:r w:rsidR="00033D0F">
        <w:t>portion of wine exported to China that they provide no meaningful comparison.</w:t>
      </w:r>
      <w:r w:rsidR="00033D0F">
        <w:rPr>
          <w:spacing w:val="-14"/>
        </w:rPr>
        <w:t xml:space="preserve"> </w:t>
      </w:r>
      <w:hyperlink w:anchor="_bookmark341" w:history="1">
        <w:r w:rsidR="00033D0F">
          <w:rPr>
            <w:vertAlign w:val="superscript"/>
          </w:rPr>
          <w:t>270</w:t>
        </w:r>
      </w:hyperlink>
      <w:r w:rsidR="00033D0F">
        <w:t xml:space="preserve"> In this regard, not only has China failed to consider respective matching export volumes in its arguments that the</w:t>
      </w:r>
      <w:r w:rsidR="00033D0F">
        <w:tab/>
        <w:t xml:space="preserve">was representative, </w:t>
      </w:r>
      <w:proofErr w:type="gramStart"/>
      <w:r w:rsidR="00033D0F">
        <w:t>it</w:t>
      </w:r>
      <w:proofErr w:type="gramEnd"/>
      <w:r w:rsidR="00033D0F">
        <w:t xml:space="preserve"> ignores all other product characteristics. An objective and unbiased investigating authority would have </w:t>
      </w:r>
      <w:proofErr w:type="gramStart"/>
      <w:r w:rsidR="00033D0F">
        <w:t>given consideration to</w:t>
      </w:r>
      <w:proofErr w:type="gramEnd"/>
      <w:r w:rsidR="00033D0F">
        <w:t xml:space="preserve"> prices, volume, and other product characteristics when undertaking a genuine</w:t>
      </w:r>
      <w:r w:rsidR="00033D0F">
        <w:rPr>
          <w:spacing w:val="-7"/>
        </w:rPr>
        <w:t xml:space="preserve"> </w:t>
      </w:r>
      <w:r w:rsidR="00033D0F">
        <w:t>evaluation</w:t>
      </w:r>
      <w:r w:rsidR="00033D0F">
        <w:rPr>
          <w:spacing w:val="-9"/>
        </w:rPr>
        <w:t xml:space="preserve"> </w:t>
      </w:r>
      <w:r w:rsidR="00033D0F">
        <w:t>of</w:t>
      </w:r>
      <w:r w:rsidR="00033D0F">
        <w:rPr>
          <w:spacing w:val="-9"/>
        </w:rPr>
        <w:t xml:space="preserve"> </w:t>
      </w:r>
      <w:r w:rsidR="00033D0F">
        <w:t>all</w:t>
      </w:r>
      <w:r w:rsidR="00033D0F">
        <w:rPr>
          <w:spacing w:val="-5"/>
        </w:rPr>
        <w:t xml:space="preserve"> </w:t>
      </w:r>
      <w:r w:rsidR="00033D0F">
        <w:t>facts</w:t>
      </w:r>
      <w:r w:rsidR="00033D0F">
        <w:rPr>
          <w:spacing w:val="-6"/>
        </w:rPr>
        <w:t xml:space="preserve"> </w:t>
      </w:r>
      <w:r w:rsidR="00033D0F">
        <w:t>on</w:t>
      </w:r>
      <w:r w:rsidR="00033D0F">
        <w:rPr>
          <w:spacing w:val="-9"/>
        </w:rPr>
        <w:t xml:space="preserve"> </w:t>
      </w:r>
      <w:r w:rsidR="00033D0F">
        <w:t>the</w:t>
      </w:r>
      <w:r w:rsidR="00033D0F">
        <w:rPr>
          <w:spacing w:val="-3"/>
        </w:rPr>
        <w:t xml:space="preserve"> </w:t>
      </w:r>
      <w:r w:rsidR="00033D0F">
        <w:t>record</w:t>
      </w:r>
      <w:r w:rsidR="00033D0F">
        <w:rPr>
          <w:spacing w:val="-9"/>
        </w:rPr>
        <w:t xml:space="preserve"> </w:t>
      </w:r>
      <w:r w:rsidR="00033D0F">
        <w:t>in</w:t>
      </w:r>
      <w:r w:rsidR="00033D0F">
        <w:rPr>
          <w:spacing w:val="-9"/>
        </w:rPr>
        <w:t xml:space="preserve"> </w:t>
      </w:r>
      <w:r w:rsidR="00033D0F">
        <w:t>selecting</w:t>
      </w:r>
      <w:r w:rsidR="00033D0F">
        <w:rPr>
          <w:spacing w:val="-6"/>
        </w:rPr>
        <w:t xml:space="preserve"> </w:t>
      </w:r>
      <w:r w:rsidR="00033D0F">
        <w:t>a</w:t>
      </w:r>
      <w:r w:rsidR="00033D0F">
        <w:rPr>
          <w:spacing w:val="-8"/>
        </w:rPr>
        <w:t xml:space="preserve"> </w:t>
      </w:r>
      <w:r w:rsidR="00033D0F">
        <w:t>reasonable</w:t>
      </w:r>
      <w:r w:rsidR="00033D0F">
        <w:rPr>
          <w:spacing w:val="-7"/>
        </w:rPr>
        <w:t xml:space="preserve"> </w:t>
      </w:r>
      <w:r w:rsidR="00033D0F">
        <w:t>replacement.</w:t>
      </w:r>
      <w:r w:rsidR="00033D0F">
        <w:rPr>
          <w:spacing w:val="-6"/>
        </w:rPr>
        <w:t xml:space="preserve"> </w:t>
      </w:r>
      <w:r w:rsidR="00033D0F">
        <w:t>MOFCOM failed to do so.</w:t>
      </w:r>
    </w:p>
    <w:p w14:paraId="64B73144" w14:textId="5DB05759" w:rsidR="00BD462C" w:rsidRDefault="00033D0F" w:rsidP="0076321F">
      <w:pPr>
        <w:pStyle w:val="BodyText"/>
        <w:numPr>
          <w:ilvl w:val="0"/>
          <w:numId w:val="69"/>
        </w:numPr>
        <w:tabs>
          <w:tab w:val="left" w:pos="4047"/>
        </w:tabs>
        <w:spacing w:before="144" w:line="360" w:lineRule="auto"/>
        <w:ind w:right="912" w:hanging="638"/>
        <w:jc w:val="both"/>
      </w:pPr>
      <w:r>
        <w:rPr>
          <w:position w:val="1"/>
        </w:rPr>
        <w:t xml:space="preserve">China disagrees with Australia's "implied suggestion" that the lowest cost of </w:t>
      </w:r>
      <w:r>
        <w:t>production,</w:t>
      </w:r>
      <w:r>
        <w:rPr>
          <w:spacing w:val="-14"/>
        </w:rPr>
        <w:t xml:space="preserve"> </w:t>
      </w:r>
      <w:r>
        <w:t>or</w:t>
      </w:r>
      <w:r>
        <w:rPr>
          <w:spacing w:val="-8"/>
        </w:rPr>
        <w:t xml:space="preserve"> </w:t>
      </w:r>
      <w:r>
        <w:t>average</w:t>
      </w:r>
      <w:r>
        <w:rPr>
          <w:spacing w:val="-3"/>
        </w:rPr>
        <w:t xml:space="preserve"> </w:t>
      </w:r>
      <w:r>
        <w:t>cost</w:t>
      </w:r>
      <w:r>
        <w:rPr>
          <w:spacing w:val="-3"/>
        </w:rPr>
        <w:t xml:space="preserve"> </w:t>
      </w:r>
      <w:r>
        <w:t>of production,</w:t>
      </w:r>
      <w:r>
        <w:rPr>
          <w:spacing w:val="-2"/>
        </w:rPr>
        <w:t xml:space="preserve"> </w:t>
      </w:r>
      <w:r>
        <w:t>would have</w:t>
      </w:r>
      <w:r>
        <w:rPr>
          <w:spacing w:val="-3"/>
        </w:rPr>
        <w:t xml:space="preserve"> </w:t>
      </w:r>
      <w:r>
        <w:t>been</w:t>
      </w:r>
      <w:r>
        <w:rPr>
          <w:spacing w:val="-5"/>
        </w:rPr>
        <w:t xml:space="preserve"> </w:t>
      </w:r>
      <w:r>
        <w:t>more</w:t>
      </w:r>
      <w:r>
        <w:rPr>
          <w:spacing w:val="-3"/>
        </w:rPr>
        <w:t xml:space="preserve"> </w:t>
      </w:r>
      <w:r>
        <w:t>appropriate.</w:t>
      </w:r>
      <w:r>
        <w:rPr>
          <w:spacing w:val="-14"/>
        </w:rPr>
        <w:t xml:space="preserve"> </w:t>
      </w:r>
      <w:hyperlink w:anchor="_bookmark342" w:history="1">
        <w:r>
          <w:rPr>
            <w:vertAlign w:val="superscript"/>
          </w:rPr>
          <w:t>271</w:t>
        </w:r>
      </w:hyperlink>
      <w:r>
        <w:rPr>
          <w:spacing w:val="-3"/>
        </w:rPr>
        <w:t xml:space="preserve"> </w:t>
      </w:r>
      <w:r>
        <w:t>Not</w:t>
      </w:r>
      <w:r>
        <w:rPr>
          <w:spacing w:val="-3"/>
        </w:rPr>
        <w:t xml:space="preserve"> </w:t>
      </w:r>
      <w:r>
        <w:t>only</w:t>
      </w:r>
      <w:r>
        <w:rPr>
          <w:spacing w:val="-2"/>
        </w:rPr>
        <w:t xml:space="preserve"> </w:t>
      </w:r>
      <w:r>
        <w:t>is China attempting to</w:t>
      </w:r>
      <w:r>
        <w:rPr>
          <w:spacing w:val="-2"/>
        </w:rPr>
        <w:t xml:space="preserve"> </w:t>
      </w:r>
      <w:r>
        <w:t xml:space="preserve">rebut arguments not made by Australia, </w:t>
      </w:r>
      <w:proofErr w:type="gramStart"/>
      <w:r>
        <w:t>these examples</w:t>
      </w:r>
      <w:proofErr w:type="gramEnd"/>
      <w:r>
        <w:t xml:space="preserve"> provide further evidence</w:t>
      </w:r>
      <w:r>
        <w:rPr>
          <w:spacing w:val="-8"/>
        </w:rPr>
        <w:t xml:space="preserve"> </w:t>
      </w:r>
      <w:r>
        <w:t>of</w:t>
      </w:r>
      <w:r>
        <w:rPr>
          <w:spacing w:val="-10"/>
        </w:rPr>
        <w:t xml:space="preserve"> </w:t>
      </w:r>
      <w:r>
        <w:t>MOFCOM's</w:t>
      </w:r>
      <w:r>
        <w:rPr>
          <w:spacing w:val="-7"/>
        </w:rPr>
        <w:t xml:space="preserve"> </w:t>
      </w:r>
      <w:r>
        <w:t>failure</w:t>
      </w:r>
      <w:r>
        <w:rPr>
          <w:spacing w:val="-8"/>
        </w:rPr>
        <w:t xml:space="preserve"> </w:t>
      </w:r>
      <w:r>
        <w:t>to</w:t>
      </w:r>
      <w:r>
        <w:rPr>
          <w:spacing w:val="-11"/>
        </w:rPr>
        <w:t xml:space="preserve"> </w:t>
      </w:r>
      <w:r>
        <w:t>engage</w:t>
      </w:r>
      <w:r>
        <w:rPr>
          <w:spacing w:val="-13"/>
        </w:rPr>
        <w:t xml:space="preserve"> </w:t>
      </w:r>
      <w:r>
        <w:t>in</w:t>
      </w:r>
      <w:r>
        <w:rPr>
          <w:spacing w:val="-10"/>
        </w:rPr>
        <w:t xml:space="preserve"> </w:t>
      </w:r>
      <w:r>
        <w:t>a</w:t>
      </w:r>
      <w:r>
        <w:rPr>
          <w:spacing w:val="-9"/>
        </w:rPr>
        <w:t xml:space="preserve"> </w:t>
      </w:r>
      <w:r>
        <w:t>process</w:t>
      </w:r>
      <w:r>
        <w:rPr>
          <w:spacing w:val="-7"/>
        </w:rPr>
        <w:t xml:space="preserve"> </w:t>
      </w:r>
      <w:r>
        <w:t>of</w:t>
      </w:r>
      <w:r>
        <w:rPr>
          <w:spacing w:val="-10"/>
        </w:rPr>
        <w:t xml:space="preserve"> </w:t>
      </w:r>
      <w:r>
        <w:t>reasoning</w:t>
      </w:r>
      <w:r>
        <w:rPr>
          <w:spacing w:val="-7"/>
        </w:rPr>
        <w:t xml:space="preserve"> </w:t>
      </w:r>
      <w:r>
        <w:t>and</w:t>
      </w:r>
      <w:r>
        <w:rPr>
          <w:spacing w:val="-10"/>
        </w:rPr>
        <w:t xml:space="preserve"> </w:t>
      </w:r>
      <w:r>
        <w:t>evaluation.</w:t>
      </w:r>
      <w:r>
        <w:rPr>
          <w:spacing w:val="-7"/>
        </w:rPr>
        <w:t xml:space="preserve"> </w:t>
      </w:r>
      <w:r>
        <w:t>There</w:t>
      </w:r>
      <w:r>
        <w:rPr>
          <w:spacing w:val="-8"/>
        </w:rPr>
        <w:t xml:space="preserve"> </w:t>
      </w:r>
      <w:r>
        <w:t>is</w:t>
      </w:r>
      <w:r>
        <w:rPr>
          <w:spacing w:val="-7"/>
        </w:rPr>
        <w:t xml:space="preserve"> </w:t>
      </w:r>
      <w:r>
        <w:t>no evidence</w:t>
      </w:r>
      <w:r>
        <w:rPr>
          <w:spacing w:val="-2"/>
        </w:rPr>
        <w:t xml:space="preserve"> </w:t>
      </w:r>
      <w:r>
        <w:t>on</w:t>
      </w:r>
      <w:r>
        <w:rPr>
          <w:spacing w:val="-4"/>
        </w:rPr>
        <w:t xml:space="preserve"> </w:t>
      </w:r>
      <w:r>
        <w:t>the record</w:t>
      </w:r>
      <w:r>
        <w:rPr>
          <w:spacing w:val="-4"/>
        </w:rPr>
        <w:t xml:space="preserve"> </w:t>
      </w:r>
      <w:r>
        <w:t>that</w:t>
      </w:r>
      <w:r>
        <w:rPr>
          <w:spacing w:val="-2"/>
        </w:rPr>
        <w:t xml:space="preserve"> </w:t>
      </w:r>
      <w:r>
        <w:t>MOFCOM</w:t>
      </w:r>
      <w:r>
        <w:rPr>
          <w:spacing w:val="-2"/>
        </w:rPr>
        <w:t xml:space="preserve"> </w:t>
      </w:r>
      <w:r>
        <w:t>considered</w:t>
      </w:r>
      <w:r>
        <w:rPr>
          <w:spacing w:val="-4"/>
        </w:rPr>
        <w:t xml:space="preserve"> </w:t>
      </w:r>
      <w:r>
        <w:t>these</w:t>
      </w:r>
      <w:r>
        <w:rPr>
          <w:spacing w:val="-2"/>
        </w:rPr>
        <w:t xml:space="preserve"> </w:t>
      </w:r>
      <w:r>
        <w:t>two</w:t>
      </w:r>
      <w:r>
        <w:rPr>
          <w:spacing w:val="-5"/>
        </w:rPr>
        <w:t xml:space="preserve"> </w:t>
      </w:r>
      <w:r>
        <w:t>potential replacement</w:t>
      </w:r>
      <w:r>
        <w:rPr>
          <w:spacing w:val="-2"/>
        </w:rPr>
        <w:t xml:space="preserve"> </w:t>
      </w:r>
      <w:r>
        <w:t>facts</w:t>
      </w:r>
      <w:r>
        <w:rPr>
          <w:spacing w:val="-1"/>
        </w:rPr>
        <w:t xml:space="preserve"> </w:t>
      </w:r>
      <w:r>
        <w:t>and made a reasoned choice not to use them.</w:t>
      </w:r>
    </w:p>
    <w:p w14:paraId="62E9E015" w14:textId="77777777" w:rsidR="00BD462C" w:rsidRDefault="00033D0F" w:rsidP="00DA02D9">
      <w:pPr>
        <w:pStyle w:val="ListParagraph"/>
        <w:numPr>
          <w:ilvl w:val="1"/>
          <w:numId w:val="70"/>
        </w:numPr>
        <w:tabs>
          <w:tab w:val="left" w:pos="3539"/>
          <w:tab w:val="left" w:pos="3540"/>
        </w:tabs>
        <w:spacing w:before="158" w:line="362" w:lineRule="auto"/>
        <w:ind w:right="916"/>
        <w:jc w:val="both"/>
        <w:rPr>
          <w:sz w:val="24"/>
        </w:rPr>
      </w:pPr>
      <w:bookmarkStart w:id="395" w:name="(c)_The_alleged_lack_of_cooperation_does"/>
      <w:bookmarkEnd w:id="395"/>
      <w:r>
        <w:rPr>
          <w:spacing w:val="-2"/>
          <w:sz w:val="24"/>
          <w:u w:val="single"/>
        </w:rPr>
        <w:t>The</w:t>
      </w:r>
      <w:r>
        <w:rPr>
          <w:spacing w:val="-6"/>
          <w:sz w:val="24"/>
          <w:u w:val="single"/>
        </w:rPr>
        <w:t xml:space="preserve"> </w:t>
      </w:r>
      <w:r>
        <w:rPr>
          <w:spacing w:val="-2"/>
          <w:sz w:val="24"/>
          <w:u w:val="single"/>
        </w:rPr>
        <w:t>alleged</w:t>
      </w:r>
      <w:r>
        <w:rPr>
          <w:spacing w:val="-9"/>
          <w:sz w:val="24"/>
          <w:u w:val="single"/>
        </w:rPr>
        <w:t xml:space="preserve"> </w:t>
      </w:r>
      <w:r>
        <w:rPr>
          <w:spacing w:val="-2"/>
          <w:sz w:val="24"/>
          <w:u w:val="single"/>
        </w:rPr>
        <w:t>lack</w:t>
      </w:r>
      <w:r>
        <w:rPr>
          <w:spacing w:val="-5"/>
          <w:sz w:val="24"/>
          <w:u w:val="single"/>
        </w:rPr>
        <w:t xml:space="preserve"> </w:t>
      </w:r>
      <w:r>
        <w:rPr>
          <w:spacing w:val="-2"/>
          <w:sz w:val="24"/>
          <w:u w:val="single"/>
        </w:rPr>
        <w:t>of</w:t>
      </w:r>
      <w:r>
        <w:rPr>
          <w:spacing w:val="-9"/>
          <w:sz w:val="24"/>
          <w:u w:val="single"/>
        </w:rPr>
        <w:t xml:space="preserve"> </w:t>
      </w:r>
      <w:r>
        <w:rPr>
          <w:spacing w:val="-2"/>
          <w:sz w:val="24"/>
          <w:u w:val="single"/>
        </w:rPr>
        <w:t>cooperation does</w:t>
      </w:r>
      <w:r>
        <w:rPr>
          <w:spacing w:val="-4"/>
          <w:sz w:val="24"/>
          <w:u w:val="single"/>
        </w:rPr>
        <w:t xml:space="preserve"> </w:t>
      </w:r>
      <w:r>
        <w:rPr>
          <w:spacing w:val="-2"/>
          <w:sz w:val="24"/>
          <w:u w:val="single"/>
        </w:rPr>
        <w:t>not</w:t>
      </w:r>
      <w:r>
        <w:rPr>
          <w:spacing w:val="-5"/>
          <w:sz w:val="24"/>
          <w:u w:val="single"/>
        </w:rPr>
        <w:t xml:space="preserve"> </w:t>
      </w:r>
      <w:r>
        <w:rPr>
          <w:spacing w:val="-2"/>
          <w:sz w:val="24"/>
          <w:u w:val="single"/>
        </w:rPr>
        <w:t>justify</w:t>
      </w:r>
      <w:r>
        <w:rPr>
          <w:spacing w:val="-5"/>
          <w:sz w:val="24"/>
          <w:u w:val="single"/>
        </w:rPr>
        <w:t xml:space="preserve"> </w:t>
      </w:r>
      <w:r>
        <w:rPr>
          <w:spacing w:val="-2"/>
          <w:sz w:val="24"/>
          <w:u w:val="single"/>
        </w:rPr>
        <w:t>MOFCOM's</w:t>
      </w:r>
      <w:r>
        <w:rPr>
          <w:spacing w:val="-2"/>
          <w:sz w:val="24"/>
        </w:rPr>
        <w:t xml:space="preserve"> </w:t>
      </w:r>
      <w:r>
        <w:rPr>
          <w:sz w:val="24"/>
          <w:u w:val="single"/>
        </w:rPr>
        <w:t>selection of facts</w:t>
      </w:r>
    </w:p>
    <w:p w14:paraId="4146726D" w14:textId="77777777" w:rsidR="00BD462C" w:rsidRDefault="00BD462C">
      <w:pPr>
        <w:pStyle w:val="BodyText"/>
        <w:spacing w:before="7"/>
        <w:rPr>
          <w:sz w:val="8"/>
        </w:rPr>
      </w:pPr>
    </w:p>
    <w:p w14:paraId="34A1A1B9" w14:textId="77777777" w:rsidR="0076321F" w:rsidRDefault="00033D0F" w:rsidP="0076321F">
      <w:pPr>
        <w:pStyle w:val="BodyText"/>
        <w:numPr>
          <w:ilvl w:val="0"/>
          <w:numId w:val="69"/>
        </w:numPr>
        <w:spacing w:before="56" w:line="357" w:lineRule="auto"/>
        <w:ind w:right="913" w:hanging="496"/>
        <w:jc w:val="both"/>
      </w:pPr>
      <w:r>
        <w:rPr>
          <w:position w:val="1"/>
        </w:rPr>
        <w:t xml:space="preserve">China argues that if there is no "high level of cooperation, an investigating authority </w:t>
      </w:r>
      <w:r>
        <w:t>has</w:t>
      </w:r>
      <w:r>
        <w:rPr>
          <w:spacing w:val="-5"/>
        </w:rPr>
        <w:t xml:space="preserve"> </w:t>
      </w:r>
      <w:r>
        <w:t>more flexibility" in its selection of facts.</w:t>
      </w:r>
      <w:r>
        <w:rPr>
          <w:spacing w:val="-14"/>
        </w:rPr>
        <w:t xml:space="preserve"> </w:t>
      </w:r>
      <w:hyperlink w:anchor="_bookmark343" w:history="1">
        <w:r>
          <w:rPr>
            <w:vertAlign w:val="superscript"/>
          </w:rPr>
          <w:t>272</w:t>
        </w:r>
      </w:hyperlink>
      <w:r>
        <w:t xml:space="preserve"> China's assertion has no basis in the texts of Article 6.8 or Annex II.</w:t>
      </w:r>
    </w:p>
    <w:p w14:paraId="29761C3F" w14:textId="21D64855" w:rsidR="00BD462C" w:rsidRDefault="00033D0F" w:rsidP="0076321F">
      <w:pPr>
        <w:pStyle w:val="BodyText"/>
        <w:numPr>
          <w:ilvl w:val="0"/>
          <w:numId w:val="69"/>
        </w:numPr>
        <w:spacing w:before="56" w:line="357" w:lineRule="auto"/>
        <w:ind w:right="913" w:hanging="496"/>
        <w:jc w:val="both"/>
      </w:pPr>
      <w:r w:rsidRPr="0076321F">
        <w:rPr>
          <w:position w:val="1"/>
        </w:rPr>
        <w:t xml:space="preserve">Even in circumstances where the criteria set out in Article 6.8 to resort to facts </w:t>
      </w:r>
      <w:r>
        <w:t>available are met, an investigating authority does not have an unlimited discretion when selecting facts to replace missing information.</w:t>
      </w:r>
      <w:r w:rsidRPr="0076321F">
        <w:rPr>
          <w:spacing w:val="-14"/>
        </w:rPr>
        <w:t xml:space="preserve"> </w:t>
      </w:r>
      <w:hyperlink w:anchor="_bookmark344" w:history="1">
        <w:r w:rsidRPr="0076321F">
          <w:rPr>
            <w:vertAlign w:val="superscript"/>
          </w:rPr>
          <w:t>273</w:t>
        </w:r>
      </w:hyperlink>
      <w:r>
        <w:t xml:space="preserve"> On this point China agrees, and acknowledges</w:t>
      </w:r>
      <w:r w:rsidRPr="0076321F">
        <w:rPr>
          <w:spacing w:val="-2"/>
        </w:rPr>
        <w:t xml:space="preserve"> </w:t>
      </w:r>
      <w:r>
        <w:t>that</w:t>
      </w:r>
      <w:r w:rsidRPr="0076321F">
        <w:rPr>
          <w:spacing w:val="-3"/>
        </w:rPr>
        <w:t xml:space="preserve"> </w:t>
      </w:r>
      <w:r>
        <w:t>even</w:t>
      </w:r>
      <w:r w:rsidRPr="0076321F">
        <w:rPr>
          <w:spacing w:val="-5"/>
        </w:rPr>
        <w:t xml:space="preserve"> </w:t>
      </w:r>
      <w:r>
        <w:t>in</w:t>
      </w:r>
      <w:r w:rsidRPr="0076321F">
        <w:rPr>
          <w:spacing w:val="-5"/>
        </w:rPr>
        <w:t xml:space="preserve"> </w:t>
      </w:r>
      <w:r>
        <w:t>circumstances</w:t>
      </w:r>
      <w:r w:rsidRPr="0076321F">
        <w:rPr>
          <w:spacing w:val="-1"/>
        </w:rPr>
        <w:t xml:space="preserve"> </w:t>
      </w:r>
      <w:r>
        <w:t>where</w:t>
      </w:r>
      <w:r w:rsidRPr="0076321F">
        <w:rPr>
          <w:spacing w:val="-3"/>
        </w:rPr>
        <w:t xml:space="preserve"> </w:t>
      </w:r>
      <w:r>
        <w:t>there</w:t>
      </w:r>
      <w:r w:rsidRPr="0076321F">
        <w:rPr>
          <w:spacing w:val="-3"/>
        </w:rPr>
        <w:t xml:space="preserve"> </w:t>
      </w:r>
      <w:r>
        <w:t>is</w:t>
      </w:r>
      <w:r w:rsidRPr="0076321F">
        <w:rPr>
          <w:spacing w:val="-2"/>
        </w:rPr>
        <w:t xml:space="preserve"> </w:t>
      </w:r>
      <w:r>
        <w:t>a</w:t>
      </w:r>
      <w:r w:rsidRPr="0076321F">
        <w:rPr>
          <w:spacing w:val="-4"/>
        </w:rPr>
        <w:t xml:space="preserve"> </w:t>
      </w:r>
      <w:r>
        <w:t>lack</w:t>
      </w:r>
      <w:r w:rsidRPr="0076321F">
        <w:rPr>
          <w:spacing w:val="-2"/>
        </w:rPr>
        <w:t xml:space="preserve"> </w:t>
      </w:r>
      <w:r>
        <w:t>of</w:t>
      </w:r>
      <w:r w:rsidRPr="0076321F">
        <w:rPr>
          <w:spacing w:val="-5"/>
        </w:rPr>
        <w:t xml:space="preserve"> </w:t>
      </w:r>
      <w:r>
        <w:t>cooperation,</w:t>
      </w:r>
      <w:r w:rsidRPr="0076321F">
        <w:rPr>
          <w:spacing w:val="-2"/>
        </w:rPr>
        <w:t xml:space="preserve"> </w:t>
      </w:r>
      <w:r>
        <w:t>"this</w:t>
      </w:r>
      <w:r w:rsidRPr="0076321F">
        <w:rPr>
          <w:spacing w:val="-2"/>
        </w:rPr>
        <w:t xml:space="preserve"> </w:t>
      </w:r>
      <w:r>
        <w:t>does</w:t>
      </w:r>
      <w:r w:rsidRPr="0076321F">
        <w:rPr>
          <w:spacing w:val="-1"/>
        </w:rPr>
        <w:t xml:space="preserve"> </w:t>
      </w:r>
      <w:r w:rsidRPr="0076321F">
        <w:rPr>
          <w:spacing w:val="-5"/>
        </w:rPr>
        <w:t>not</w:t>
      </w:r>
    </w:p>
    <w:p w14:paraId="33266006" w14:textId="77777777" w:rsidR="00BD462C" w:rsidRDefault="00BD462C">
      <w:pPr>
        <w:pStyle w:val="BodyText"/>
        <w:rPr>
          <w:sz w:val="20"/>
        </w:rPr>
      </w:pPr>
    </w:p>
    <w:p w14:paraId="623E966D" w14:textId="5F74C8ED" w:rsidR="00BD462C" w:rsidRDefault="00D70C7D">
      <w:pPr>
        <w:pStyle w:val="BodyText"/>
        <w:spacing w:before="5"/>
        <w:rPr>
          <w:sz w:val="13"/>
        </w:rPr>
      </w:pPr>
      <w:r>
        <w:rPr>
          <w:noProof/>
        </w:rPr>
        <mc:AlternateContent>
          <mc:Choice Requires="wps">
            <w:drawing>
              <wp:anchor distT="0" distB="0" distL="0" distR="0" simplePos="0" relativeHeight="487669248" behindDoc="1" locked="0" layoutInCell="1" allowOverlap="1" wp14:anchorId="3091CAC3" wp14:editId="52597F1B">
                <wp:simplePos x="0" y="0"/>
                <wp:positionH relativeFrom="page">
                  <wp:posOffset>899160</wp:posOffset>
                </wp:positionH>
                <wp:positionV relativeFrom="paragraph">
                  <wp:posOffset>119380</wp:posOffset>
                </wp:positionV>
                <wp:extent cx="1828800" cy="8890"/>
                <wp:effectExtent l="0" t="0" r="0" b="0"/>
                <wp:wrapTopAndBottom/>
                <wp:docPr id="1072" name="docshape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18F6C0" id="docshape180" o:spid="_x0000_s1026" alt="&quot;&quot;" style="position:absolute;margin-left:70.8pt;margin-top:9.4pt;width:2in;height:.7pt;z-index:-15647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" fillcolor="black" stroked="f">
                <w10:wrap type="topAndBottom" anchorx="page"/>
              </v:rect>
            </w:pict>
          </mc:Fallback>
        </mc:AlternateContent>
      </w:r>
    </w:p>
    <w:p w14:paraId="161DC20B" w14:textId="77777777" w:rsidR="00BD462C" w:rsidRDefault="00033D0F">
      <w:pPr>
        <w:tabs>
          <w:tab w:val="left" w:pos="7148"/>
        </w:tabs>
        <w:spacing w:before="112"/>
        <w:ind w:left="135"/>
        <w:rPr>
          <w:sz w:val="18"/>
        </w:rPr>
      </w:pPr>
      <w:bookmarkStart w:id="396" w:name="_bookmark340"/>
      <w:bookmarkEnd w:id="396"/>
      <w:r>
        <w:rPr>
          <w:position w:val="5"/>
          <w:sz w:val="12"/>
        </w:rPr>
        <w:t>269</w:t>
      </w:r>
      <w:r>
        <w:rPr>
          <w:spacing w:val="43"/>
          <w:position w:val="5"/>
          <w:sz w:val="12"/>
        </w:rPr>
        <w:t xml:space="preserve"> </w:t>
      </w:r>
      <w:r>
        <w:rPr>
          <w:sz w:val="18"/>
        </w:rPr>
        <w:t>The</w:t>
      </w:r>
      <w:r>
        <w:rPr>
          <w:spacing w:val="25"/>
          <w:sz w:val="18"/>
        </w:rPr>
        <w:t xml:space="preserve"> </w:t>
      </w:r>
      <w:r>
        <w:rPr>
          <w:sz w:val="18"/>
        </w:rPr>
        <w:t>production</w:t>
      </w:r>
      <w:r>
        <w:rPr>
          <w:spacing w:val="24"/>
          <w:sz w:val="18"/>
        </w:rPr>
        <w:t xml:space="preserve"> </w:t>
      </w:r>
      <w:r>
        <w:rPr>
          <w:sz w:val="18"/>
        </w:rPr>
        <w:t>cost</w:t>
      </w:r>
      <w:r>
        <w:rPr>
          <w:spacing w:val="25"/>
          <w:sz w:val="18"/>
        </w:rPr>
        <w:t xml:space="preserve"> </w:t>
      </w:r>
      <w:r>
        <w:rPr>
          <w:sz w:val="18"/>
        </w:rPr>
        <w:t>of</w:t>
      </w:r>
      <w:r>
        <w:rPr>
          <w:spacing w:val="25"/>
          <w:sz w:val="18"/>
        </w:rPr>
        <w:t xml:space="preserve"> </w:t>
      </w:r>
      <w:r>
        <w:rPr>
          <w:spacing w:val="-5"/>
          <w:sz w:val="18"/>
        </w:rPr>
        <w:t>the</w:t>
      </w:r>
      <w:r>
        <w:rPr>
          <w:sz w:val="18"/>
        </w:rPr>
        <w:tab/>
        <w:t>See</w:t>
      </w:r>
      <w:r>
        <w:rPr>
          <w:spacing w:val="21"/>
          <w:sz w:val="18"/>
        </w:rPr>
        <w:t xml:space="preserve"> </w:t>
      </w:r>
      <w:r>
        <w:rPr>
          <w:sz w:val="18"/>
        </w:rPr>
        <w:t>Australian</w:t>
      </w:r>
      <w:r>
        <w:rPr>
          <w:spacing w:val="22"/>
          <w:sz w:val="18"/>
        </w:rPr>
        <w:t xml:space="preserve"> </w:t>
      </w:r>
      <w:r>
        <w:rPr>
          <w:spacing w:val="-2"/>
          <w:sz w:val="18"/>
        </w:rPr>
        <w:t>Government</w:t>
      </w:r>
    </w:p>
    <w:p w14:paraId="0EA9EFCC" w14:textId="2676C280" w:rsidR="00BD462C" w:rsidRDefault="00D70C7D">
      <w:pPr>
        <w:spacing w:before="4" w:line="235" w:lineRule="auto"/>
        <w:ind w:left="135" w:right="910"/>
        <w:rPr>
          <w:sz w:val="18"/>
        </w:rPr>
      </w:pPr>
      <w:r>
        <w:rPr>
          <w:noProof/>
        </w:rPr>
        <mc:AlternateContent>
          <mc:Choice Requires="wps">
            <w:drawing>
              <wp:anchor distT="0" distB="0" distL="114300" distR="114300" simplePos="0" relativeHeight="478972928" behindDoc="1" locked="0" layoutInCell="1" allowOverlap="1" wp14:anchorId="641C68C3" wp14:editId="3FD4EF21">
                <wp:simplePos x="0" y="0"/>
                <wp:positionH relativeFrom="page">
                  <wp:posOffset>2407920</wp:posOffset>
                </wp:positionH>
                <wp:positionV relativeFrom="paragraph">
                  <wp:posOffset>-140970</wp:posOffset>
                </wp:positionV>
                <wp:extent cx="2898775" cy="140335"/>
                <wp:effectExtent l="0" t="0" r="0" b="0"/>
                <wp:wrapNone/>
                <wp:docPr id="1070" name="docshape1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775" cy="140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38145C" w14:textId="38009BCE" w:rsidR="00BD462C" w:rsidRDefault="00BD462C">
                            <w:pPr>
                              <w:spacing w:before="1" w:line="219" w:lineRule="exact"/>
                              <w:jc w:val="right"/>
                              <w:rPr>
                                <w:color w:val="000000"/>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C68C3" id="docshape181" o:spid="_x0000_s1041" type="#_x0000_t202" alt="&quot;&quot;" style="position:absolute;left:0;text-align:left;margin-left:189.6pt;margin-top:-11.1pt;width:228.25pt;height:11.05pt;z-index:-24343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" fillcolor="black" stroked="f">
                <v:textbox inset="0,0,0,0">
                  <w:txbxContent>
                    <w:p w14:paraId="6938145C" w14:textId="38009BCE" w:rsidR="00BD462C" w:rsidRDefault="00BD462C">
                      <w:pPr>
                        <w:spacing w:before="1" w:line="219" w:lineRule="exact"/>
                        <w:jc w:val="right"/>
                        <w:rPr>
                          <w:color w:val="000000"/>
                          <w:sz w:val="18"/>
                        </w:rPr>
                      </w:pPr>
                    </w:p>
                  </w:txbxContent>
                </v:textbox>
                <w10:wrap anchorx="page"/>
              </v:shape>
            </w:pict>
          </mc:Fallback>
        </mc:AlternateContent>
      </w:r>
      <w:r w:rsidR="00033D0F">
        <w:rPr>
          <w:sz w:val="18"/>
        </w:rPr>
        <w:t>Section II Dumping Tables (confidential version) (Exhibit AUS-5</w:t>
      </w:r>
      <w:r w:rsidR="00033D0F">
        <w:rPr>
          <w:spacing w:val="-1"/>
          <w:sz w:val="18"/>
        </w:rPr>
        <w:t xml:space="preserve"> </w:t>
      </w:r>
      <w:r w:rsidR="00033D0F">
        <w:rPr>
          <w:sz w:val="18"/>
        </w:rPr>
        <w:t>(BCI)),</w:t>
      </w:r>
      <w:r w:rsidR="00033D0F">
        <w:rPr>
          <w:spacing w:val="-2"/>
          <w:sz w:val="18"/>
        </w:rPr>
        <w:t xml:space="preserve"> </w:t>
      </w:r>
      <w:r w:rsidR="00033D0F">
        <w:rPr>
          <w:sz w:val="18"/>
        </w:rPr>
        <w:t>p. 10;</w:t>
      </w:r>
      <w:r w:rsidR="00033D0F">
        <w:rPr>
          <w:spacing w:val="-1"/>
          <w:sz w:val="18"/>
        </w:rPr>
        <w:t xml:space="preserve"> </w:t>
      </w:r>
      <w:r w:rsidR="00033D0F">
        <w:rPr>
          <w:sz w:val="18"/>
        </w:rPr>
        <w:t>MOFCOM Essential Facts Disclosure Calculation Sheet (confidential version) (Exhibit AUS-4 (BCI)), sheet 2 row 26.</w:t>
      </w:r>
    </w:p>
    <w:p w14:paraId="286129BF" w14:textId="77777777" w:rsidR="00BD462C" w:rsidRDefault="00033D0F">
      <w:pPr>
        <w:spacing w:before="3"/>
        <w:ind w:left="135"/>
        <w:rPr>
          <w:sz w:val="18"/>
        </w:rPr>
      </w:pPr>
      <w:bookmarkStart w:id="397" w:name="_bookmark341"/>
      <w:bookmarkEnd w:id="397"/>
      <w:r>
        <w:rPr>
          <w:position w:val="5"/>
          <w:sz w:val="12"/>
        </w:rPr>
        <w:t>270</w:t>
      </w:r>
      <w:r>
        <w:rPr>
          <w:spacing w:val="12"/>
          <w:position w:val="5"/>
          <w:sz w:val="12"/>
        </w:rPr>
        <w:t xml:space="preserve"> </w:t>
      </w:r>
      <w:r>
        <w:rPr>
          <w:sz w:val="18"/>
        </w:rPr>
        <w:t>See</w:t>
      </w:r>
      <w:r>
        <w:rPr>
          <w:spacing w:val="-6"/>
          <w:sz w:val="18"/>
        </w:rPr>
        <w:t xml:space="preserve"> </w:t>
      </w:r>
      <w:r>
        <w:rPr>
          <w:sz w:val="18"/>
        </w:rPr>
        <w:t>Australia's</w:t>
      </w:r>
      <w:r>
        <w:rPr>
          <w:spacing w:val="-5"/>
          <w:sz w:val="18"/>
        </w:rPr>
        <w:t xml:space="preserve"> </w:t>
      </w:r>
      <w:r>
        <w:rPr>
          <w:sz w:val="18"/>
        </w:rPr>
        <w:t>first</w:t>
      </w:r>
      <w:r>
        <w:rPr>
          <w:spacing w:val="-5"/>
          <w:sz w:val="18"/>
        </w:rPr>
        <w:t xml:space="preserve"> </w:t>
      </w:r>
      <w:r>
        <w:rPr>
          <w:sz w:val="18"/>
        </w:rPr>
        <w:t>written</w:t>
      </w:r>
      <w:r>
        <w:rPr>
          <w:spacing w:val="-2"/>
          <w:sz w:val="18"/>
        </w:rPr>
        <w:t xml:space="preserve"> </w:t>
      </w:r>
      <w:r>
        <w:rPr>
          <w:sz w:val="18"/>
        </w:rPr>
        <w:t>submission, para.</w:t>
      </w:r>
      <w:r>
        <w:rPr>
          <w:spacing w:val="-5"/>
          <w:sz w:val="18"/>
        </w:rPr>
        <w:t xml:space="preserve"> </w:t>
      </w:r>
      <w:r>
        <w:rPr>
          <w:spacing w:val="-4"/>
          <w:sz w:val="18"/>
        </w:rPr>
        <w:t>172.</w:t>
      </w:r>
    </w:p>
    <w:p w14:paraId="328B468D" w14:textId="77777777" w:rsidR="00BD462C" w:rsidRDefault="00033D0F">
      <w:pPr>
        <w:spacing w:before="1"/>
        <w:ind w:left="135"/>
        <w:rPr>
          <w:sz w:val="18"/>
        </w:rPr>
      </w:pPr>
      <w:bookmarkStart w:id="398" w:name="_bookmark342"/>
      <w:bookmarkEnd w:id="398"/>
      <w:r>
        <w:rPr>
          <w:position w:val="5"/>
          <w:sz w:val="12"/>
        </w:rPr>
        <w:t>271</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 xml:space="preserve">submission, para. </w:t>
      </w:r>
      <w:r>
        <w:rPr>
          <w:spacing w:val="-4"/>
          <w:sz w:val="18"/>
        </w:rPr>
        <w:t>458.</w:t>
      </w:r>
    </w:p>
    <w:p w14:paraId="241E519C" w14:textId="77777777" w:rsidR="00BD462C" w:rsidRDefault="00033D0F">
      <w:pPr>
        <w:spacing w:before="1"/>
        <w:ind w:left="135"/>
        <w:rPr>
          <w:sz w:val="18"/>
        </w:rPr>
      </w:pPr>
      <w:bookmarkStart w:id="399" w:name="_bookmark343"/>
      <w:bookmarkEnd w:id="399"/>
      <w:r>
        <w:rPr>
          <w:position w:val="5"/>
          <w:sz w:val="12"/>
        </w:rPr>
        <w:t>272</w:t>
      </w:r>
      <w:r>
        <w:rPr>
          <w:spacing w:val="13"/>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 xml:space="preserve">para. </w:t>
      </w:r>
      <w:r>
        <w:rPr>
          <w:spacing w:val="-4"/>
          <w:sz w:val="18"/>
        </w:rPr>
        <w:t>454.</w:t>
      </w:r>
    </w:p>
    <w:p w14:paraId="3A2DA4F7" w14:textId="77777777" w:rsidR="00BD462C" w:rsidRDefault="00033D0F">
      <w:pPr>
        <w:spacing w:before="1"/>
        <w:ind w:left="135"/>
        <w:rPr>
          <w:sz w:val="18"/>
        </w:rPr>
      </w:pPr>
      <w:bookmarkStart w:id="400" w:name="_bookmark344"/>
      <w:bookmarkEnd w:id="400"/>
      <w:r>
        <w:rPr>
          <w:position w:val="5"/>
          <w:sz w:val="12"/>
        </w:rPr>
        <w:t>273</w:t>
      </w:r>
      <w:r>
        <w:rPr>
          <w:spacing w:val="16"/>
          <w:position w:val="5"/>
          <w:sz w:val="12"/>
        </w:rPr>
        <w:t xml:space="preserve"> </w:t>
      </w:r>
      <w:r>
        <w:rPr>
          <w:sz w:val="18"/>
        </w:rPr>
        <w:t>Appellate</w:t>
      </w:r>
      <w:r>
        <w:rPr>
          <w:spacing w:val="-7"/>
          <w:sz w:val="18"/>
        </w:rPr>
        <w:t xml:space="preserve"> </w:t>
      </w:r>
      <w:r>
        <w:rPr>
          <w:sz w:val="18"/>
        </w:rPr>
        <w:t>Body</w:t>
      </w:r>
      <w:r>
        <w:rPr>
          <w:spacing w:val="-4"/>
          <w:sz w:val="18"/>
        </w:rPr>
        <w:t xml:space="preserve"> </w:t>
      </w:r>
      <w:r>
        <w:rPr>
          <w:sz w:val="18"/>
        </w:rPr>
        <w:t>Report,</w:t>
      </w:r>
      <w:r>
        <w:rPr>
          <w:spacing w:val="-5"/>
          <w:sz w:val="18"/>
        </w:rPr>
        <w:t xml:space="preserve"> </w:t>
      </w:r>
      <w:r>
        <w:rPr>
          <w:i/>
          <w:sz w:val="18"/>
        </w:rPr>
        <w:t>Mexico –</w:t>
      </w:r>
      <w:r>
        <w:rPr>
          <w:i/>
          <w:spacing w:val="-2"/>
          <w:sz w:val="18"/>
        </w:rPr>
        <w:t xml:space="preserve"> </w:t>
      </w:r>
      <w:r>
        <w:rPr>
          <w:i/>
          <w:sz w:val="18"/>
        </w:rPr>
        <w:t>Anti-Dumping</w:t>
      </w:r>
      <w:r>
        <w:rPr>
          <w:i/>
          <w:spacing w:val="-5"/>
          <w:sz w:val="18"/>
        </w:rPr>
        <w:t xml:space="preserve"> </w:t>
      </w:r>
      <w:r>
        <w:rPr>
          <w:i/>
          <w:sz w:val="18"/>
        </w:rPr>
        <w:t>Measures</w:t>
      </w:r>
      <w:r>
        <w:rPr>
          <w:i/>
          <w:spacing w:val="-7"/>
          <w:sz w:val="18"/>
        </w:rPr>
        <w:t xml:space="preserve"> </w:t>
      </w:r>
      <w:r>
        <w:rPr>
          <w:i/>
          <w:sz w:val="18"/>
        </w:rPr>
        <w:t>on</w:t>
      </w:r>
      <w:r>
        <w:rPr>
          <w:i/>
          <w:spacing w:val="-6"/>
          <w:sz w:val="18"/>
        </w:rPr>
        <w:t xml:space="preserve"> </w:t>
      </w:r>
      <w:r>
        <w:rPr>
          <w:i/>
          <w:sz w:val="18"/>
        </w:rPr>
        <w:t>Rice</w:t>
      </w:r>
      <w:r>
        <w:rPr>
          <w:sz w:val="18"/>
        </w:rPr>
        <w:t>,</w:t>
      </w:r>
      <w:r>
        <w:rPr>
          <w:spacing w:val="-5"/>
          <w:sz w:val="18"/>
        </w:rPr>
        <w:t xml:space="preserve"> </w:t>
      </w:r>
      <w:r>
        <w:rPr>
          <w:sz w:val="18"/>
        </w:rPr>
        <w:t>para.</w:t>
      </w:r>
      <w:r>
        <w:rPr>
          <w:spacing w:val="4"/>
          <w:sz w:val="18"/>
        </w:rPr>
        <w:t xml:space="preserve"> </w:t>
      </w:r>
      <w:r>
        <w:rPr>
          <w:spacing w:val="-4"/>
          <w:sz w:val="18"/>
        </w:rPr>
        <w:t>289.</w:t>
      </w:r>
    </w:p>
    <w:p w14:paraId="041E62AA" w14:textId="77777777" w:rsidR="00BD462C" w:rsidRDefault="00BD462C">
      <w:pPr>
        <w:rPr>
          <w:sz w:val="18"/>
        </w:rPr>
        <w:sectPr w:rsidR="00BD462C">
          <w:pgSz w:w="11910" w:h="16840"/>
          <w:pgMar w:top="860" w:right="500" w:bottom="780" w:left="1280" w:header="566" w:footer="590" w:gutter="0"/>
          <w:cols w:space="720"/>
        </w:sectPr>
      </w:pPr>
    </w:p>
    <w:p w14:paraId="1CBBB973"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68C63243"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16832B1B"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41195A77" w14:textId="32018175" w:rsidR="00BD462C" w:rsidRDefault="00D70C7D">
      <w:pPr>
        <w:pStyle w:val="BodyText"/>
        <w:tabs>
          <w:tab w:val="left" w:pos="8660"/>
        </w:tabs>
        <w:spacing w:before="102" w:line="360" w:lineRule="auto"/>
        <w:ind w:left="135" w:right="917"/>
        <w:jc w:val="both"/>
      </w:pPr>
      <w:r>
        <w:rPr>
          <w:noProof/>
        </w:rPr>
        <mc:AlternateContent>
          <mc:Choice Requires="wps">
            <w:drawing>
              <wp:anchor distT="0" distB="0" distL="114300" distR="114300" simplePos="0" relativeHeight="478974976" behindDoc="1" locked="0" layoutInCell="1" allowOverlap="1" wp14:anchorId="30EBFD72" wp14:editId="38D257E7">
                <wp:simplePos x="0" y="0"/>
                <wp:positionH relativeFrom="page">
                  <wp:posOffset>2785745</wp:posOffset>
                </wp:positionH>
                <wp:positionV relativeFrom="paragraph">
                  <wp:posOffset>621665</wp:posOffset>
                </wp:positionV>
                <wp:extent cx="3429000" cy="186055"/>
                <wp:effectExtent l="0" t="0" r="0" b="0"/>
                <wp:wrapNone/>
                <wp:docPr id="1068" name="docshape1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B11ABD" id="docshape182" o:spid="_x0000_s1026" alt="&quot;&quot;" style="position:absolute;margin-left:219.35pt;margin-top:48.95pt;width:270pt;height:14.65pt;z-index:-2434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" fillcolor="black" stroked="f">
                <w10:wrap anchorx="page"/>
              </v:rect>
            </w:pict>
          </mc:Fallback>
        </mc:AlternateContent>
      </w:r>
      <w:r w:rsidR="00033D0F">
        <w:t>justify arbitrary selection of the data to be used in the place of the missing data" and an investigating authority does not have "</w:t>
      </w:r>
      <w:r w:rsidR="00033D0F">
        <w:rPr>
          <w:i/>
        </w:rPr>
        <w:t>carte blanche</w:t>
      </w:r>
      <w:r w:rsidR="00033D0F">
        <w:t>".</w:t>
      </w:r>
      <w:hyperlink w:anchor="_bookmark345" w:history="1">
        <w:r w:rsidR="00033D0F">
          <w:rPr>
            <w:vertAlign w:val="superscript"/>
          </w:rPr>
          <w:t>274</w:t>
        </w:r>
      </w:hyperlink>
      <w:r w:rsidR="00033D0F">
        <w:t xml:space="preserve"> MOFCOM's arbitrary exclusion of certain</w:t>
      </w:r>
      <w:r w:rsidR="00033D0F">
        <w:rPr>
          <w:spacing w:val="69"/>
          <w:w w:val="150"/>
        </w:rPr>
        <w:t xml:space="preserve"> </w:t>
      </w:r>
      <w:r w:rsidR="00033D0F">
        <w:t>data</w:t>
      </w:r>
      <w:r w:rsidR="00033D0F">
        <w:rPr>
          <w:spacing w:val="72"/>
          <w:w w:val="150"/>
        </w:rPr>
        <w:t xml:space="preserve"> </w:t>
      </w:r>
      <w:r w:rsidR="00033D0F">
        <w:t>submitted</w:t>
      </w:r>
      <w:r w:rsidR="00033D0F">
        <w:rPr>
          <w:spacing w:val="70"/>
          <w:w w:val="150"/>
        </w:rPr>
        <w:t xml:space="preserve"> </w:t>
      </w:r>
      <w:r w:rsidR="00033D0F">
        <w:rPr>
          <w:spacing w:val="-5"/>
        </w:rPr>
        <w:t>by</w:t>
      </w:r>
      <w:r w:rsidR="00033D0F">
        <w:tab/>
        <w:t>is</w:t>
      </w:r>
      <w:r w:rsidR="00033D0F">
        <w:rPr>
          <w:spacing w:val="69"/>
          <w:w w:val="150"/>
        </w:rPr>
        <w:t xml:space="preserve"> </w:t>
      </w:r>
      <w:r w:rsidR="00033D0F">
        <w:rPr>
          <w:spacing w:val="-5"/>
        </w:rPr>
        <w:t>an</w:t>
      </w:r>
    </w:p>
    <w:p w14:paraId="04B04ECA" w14:textId="77777777" w:rsidR="00BD462C" w:rsidRDefault="00033D0F">
      <w:pPr>
        <w:spacing w:line="290" w:lineRule="exact"/>
        <w:ind w:left="136"/>
        <w:jc w:val="both"/>
        <w:rPr>
          <w:sz w:val="24"/>
        </w:rPr>
      </w:pPr>
      <w:r>
        <w:rPr>
          <w:sz w:val="24"/>
        </w:rPr>
        <w:t>example</w:t>
      </w:r>
      <w:r>
        <w:rPr>
          <w:spacing w:val="-5"/>
          <w:sz w:val="24"/>
        </w:rPr>
        <w:t xml:space="preserve"> </w:t>
      </w:r>
      <w:r>
        <w:rPr>
          <w:sz w:val="24"/>
        </w:rPr>
        <w:t>of</w:t>
      </w:r>
      <w:r>
        <w:rPr>
          <w:spacing w:val="-5"/>
          <w:sz w:val="24"/>
        </w:rPr>
        <w:t xml:space="preserve"> </w:t>
      </w:r>
      <w:r>
        <w:rPr>
          <w:sz w:val="24"/>
        </w:rPr>
        <w:t>acting</w:t>
      </w:r>
      <w:r>
        <w:rPr>
          <w:spacing w:val="-2"/>
          <w:sz w:val="24"/>
        </w:rPr>
        <w:t xml:space="preserve"> </w:t>
      </w:r>
      <w:r>
        <w:rPr>
          <w:sz w:val="24"/>
        </w:rPr>
        <w:t>with</w:t>
      </w:r>
      <w:r>
        <w:rPr>
          <w:spacing w:val="-4"/>
          <w:sz w:val="24"/>
        </w:rPr>
        <w:t xml:space="preserve"> </w:t>
      </w:r>
      <w:r>
        <w:rPr>
          <w:i/>
          <w:sz w:val="24"/>
        </w:rPr>
        <w:t>carte</w:t>
      </w:r>
      <w:r>
        <w:rPr>
          <w:i/>
          <w:spacing w:val="-3"/>
          <w:sz w:val="24"/>
        </w:rPr>
        <w:t xml:space="preserve"> </w:t>
      </w:r>
      <w:r>
        <w:rPr>
          <w:i/>
          <w:sz w:val="24"/>
        </w:rPr>
        <w:t>blanche,</w:t>
      </w:r>
      <w:r>
        <w:rPr>
          <w:i/>
          <w:spacing w:val="-1"/>
          <w:sz w:val="24"/>
        </w:rPr>
        <w:t xml:space="preserve"> </w:t>
      </w:r>
      <w:r>
        <w:rPr>
          <w:sz w:val="24"/>
        </w:rPr>
        <w:t>contrary</w:t>
      </w:r>
      <w:r>
        <w:rPr>
          <w:spacing w:val="-1"/>
          <w:sz w:val="24"/>
        </w:rPr>
        <w:t xml:space="preserve"> </w:t>
      </w:r>
      <w:r>
        <w:rPr>
          <w:sz w:val="24"/>
        </w:rPr>
        <w:t>to</w:t>
      </w:r>
      <w:r>
        <w:rPr>
          <w:spacing w:val="-1"/>
          <w:sz w:val="24"/>
        </w:rPr>
        <w:t xml:space="preserve"> </w:t>
      </w:r>
      <w:r>
        <w:rPr>
          <w:sz w:val="24"/>
        </w:rPr>
        <w:t>China's</w:t>
      </w:r>
      <w:r>
        <w:rPr>
          <w:spacing w:val="-2"/>
          <w:sz w:val="24"/>
        </w:rPr>
        <w:t xml:space="preserve"> </w:t>
      </w:r>
      <w:r>
        <w:rPr>
          <w:sz w:val="24"/>
        </w:rPr>
        <w:t>own</w:t>
      </w:r>
      <w:r>
        <w:rPr>
          <w:spacing w:val="-4"/>
          <w:sz w:val="24"/>
        </w:rPr>
        <w:t xml:space="preserve"> </w:t>
      </w:r>
      <w:r>
        <w:rPr>
          <w:spacing w:val="-2"/>
          <w:sz w:val="24"/>
        </w:rPr>
        <w:t>submissions.</w:t>
      </w:r>
    </w:p>
    <w:p w14:paraId="7ACB60C3" w14:textId="77777777" w:rsidR="00BD462C" w:rsidRDefault="00BD462C">
      <w:pPr>
        <w:pStyle w:val="BodyText"/>
        <w:spacing w:before="12"/>
        <w:rPr>
          <w:sz w:val="20"/>
        </w:rPr>
      </w:pPr>
    </w:p>
    <w:p w14:paraId="674C20AF" w14:textId="705D3142" w:rsidR="00BD462C" w:rsidRDefault="00D70C7D" w:rsidP="0076321F">
      <w:pPr>
        <w:pStyle w:val="BodyText"/>
        <w:numPr>
          <w:ilvl w:val="0"/>
          <w:numId w:val="69"/>
        </w:numPr>
        <w:spacing w:before="56"/>
        <w:jc w:val="both"/>
      </w:pPr>
      <w:r>
        <w:rPr>
          <w:noProof/>
        </w:rPr>
        <mc:AlternateContent>
          <mc:Choice Requires="wps">
            <w:drawing>
              <wp:anchor distT="0" distB="0" distL="114300" distR="114300" simplePos="0" relativeHeight="15814144" behindDoc="0" locked="0" layoutInCell="1" allowOverlap="1" wp14:anchorId="6866DAE0" wp14:editId="78831347">
                <wp:simplePos x="0" y="0"/>
                <wp:positionH relativeFrom="page">
                  <wp:posOffset>5690870</wp:posOffset>
                </wp:positionH>
                <wp:positionV relativeFrom="paragraph">
                  <wp:posOffset>31750</wp:posOffset>
                </wp:positionV>
                <wp:extent cx="969010" cy="186055"/>
                <wp:effectExtent l="0" t="0" r="0" b="0"/>
                <wp:wrapNone/>
                <wp:docPr id="1066" name="docshape1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901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470165" id="docshape183" o:spid="_x0000_s1026" alt="&quot;&quot;" style="position:absolute;margin-left:448.1pt;margin-top:2.5pt;width:76.3pt;height:14.65pt;z-index:1581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" fillcolor="black" stroked="f">
                <w10:wrap anchorx="page"/>
              </v:rect>
            </w:pict>
          </mc:Fallback>
        </mc:AlternateContent>
      </w:r>
      <w:r w:rsidR="00033D0F">
        <w:rPr>
          <w:position w:val="1"/>
        </w:rPr>
        <w:t>China</w:t>
      </w:r>
      <w:r w:rsidR="00033D0F">
        <w:rPr>
          <w:spacing w:val="40"/>
          <w:position w:val="1"/>
        </w:rPr>
        <w:t xml:space="preserve"> </w:t>
      </w:r>
      <w:r w:rsidR="00033D0F">
        <w:rPr>
          <w:position w:val="1"/>
        </w:rPr>
        <w:t>also</w:t>
      </w:r>
      <w:r w:rsidR="00033D0F">
        <w:rPr>
          <w:spacing w:val="39"/>
          <w:position w:val="1"/>
        </w:rPr>
        <w:t xml:space="preserve"> </w:t>
      </w:r>
      <w:r w:rsidR="00033D0F">
        <w:rPr>
          <w:position w:val="1"/>
        </w:rPr>
        <w:t>argues</w:t>
      </w:r>
      <w:r w:rsidR="00033D0F">
        <w:rPr>
          <w:spacing w:val="40"/>
          <w:position w:val="1"/>
        </w:rPr>
        <w:t xml:space="preserve"> </w:t>
      </w:r>
      <w:r w:rsidR="00033D0F">
        <w:rPr>
          <w:position w:val="1"/>
        </w:rPr>
        <w:t>that</w:t>
      </w:r>
      <w:r w:rsidR="00033D0F">
        <w:rPr>
          <w:spacing w:val="40"/>
          <w:position w:val="1"/>
        </w:rPr>
        <w:t xml:space="preserve"> </w:t>
      </w:r>
      <w:r w:rsidR="00033D0F">
        <w:rPr>
          <w:position w:val="1"/>
        </w:rPr>
        <w:t>if</w:t>
      </w:r>
      <w:r w:rsidR="00033D0F">
        <w:rPr>
          <w:spacing w:val="39"/>
          <w:position w:val="1"/>
        </w:rPr>
        <w:t xml:space="preserve"> </w:t>
      </w:r>
      <w:r w:rsidR="00033D0F">
        <w:rPr>
          <w:position w:val="1"/>
        </w:rPr>
        <w:t>MOFCOM</w:t>
      </w:r>
      <w:r w:rsidR="00033D0F">
        <w:rPr>
          <w:spacing w:val="40"/>
          <w:position w:val="1"/>
        </w:rPr>
        <w:t xml:space="preserve"> </w:t>
      </w:r>
      <w:r w:rsidR="00033D0F">
        <w:rPr>
          <w:position w:val="1"/>
        </w:rPr>
        <w:t>used</w:t>
      </w:r>
      <w:r w:rsidR="00033D0F">
        <w:rPr>
          <w:spacing w:val="39"/>
          <w:position w:val="1"/>
        </w:rPr>
        <w:t xml:space="preserve"> </w:t>
      </w:r>
      <w:r w:rsidR="00033D0F">
        <w:rPr>
          <w:position w:val="1"/>
        </w:rPr>
        <w:t>either</w:t>
      </w:r>
      <w:r w:rsidR="00033D0F">
        <w:rPr>
          <w:spacing w:val="40"/>
          <w:position w:val="1"/>
        </w:rPr>
        <w:t xml:space="preserve"> </w:t>
      </w:r>
      <w:r w:rsidR="00033D0F">
        <w:rPr>
          <w:position w:val="1"/>
        </w:rPr>
        <w:t>the</w:t>
      </w:r>
      <w:r w:rsidR="00033D0F">
        <w:rPr>
          <w:spacing w:val="40"/>
          <w:position w:val="1"/>
        </w:rPr>
        <w:t xml:space="preserve"> </w:t>
      </w:r>
      <w:r w:rsidR="00033D0F">
        <w:rPr>
          <w:position w:val="1"/>
        </w:rPr>
        <w:t>lowest</w:t>
      </w:r>
      <w:r w:rsidR="00033D0F">
        <w:rPr>
          <w:spacing w:val="40"/>
          <w:position w:val="1"/>
        </w:rPr>
        <w:t xml:space="preserve"> </w:t>
      </w:r>
      <w:r w:rsidR="00033D0F">
        <w:rPr>
          <w:position w:val="1"/>
        </w:rPr>
        <w:t>of</w:t>
      </w:r>
      <w:r w:rsidR="00033D0F">
        <w:rPr>
          <w:spacing w:val="39"/>
          <w:position w:val="1"/>
        </w:rPr>
        <w:t xml:space="preserve"> </w:t>
      </w:r>
      <w:r w:rsidR="00033D0F">
        <w:rPr>
          <w:position w:val="1"/>
        </w:rPr>
        <w:t>the</w:t>
      </w:r>
    </w:p>
    <w:p w14:paraId="6E8EBF8D" w14:textId="5BB7D262" w:rsidR="00BD462C" w:rsidRDefault="00D70C7D">
      <w:pPr>
        <w:pStyle w:val="BodyText"/>
        <w:spacing w:before="144" w:line="360" w:lineRule="auto"/>
        <w:ind w:left="135" w:right="916" w:firstLine="1876"/>
        <w:jc w:val="both"/>
      </w:pPr>
      <w:r>
        <w:rPr>
          <w:noProof/>
        </w:rPr>
        <mc:AlternateContent>
          <mc:Choice Requires="wps">
            <w:drawing>
              <wp:anchor distT="0" distB="0" distL="114300" distR="114300" simplePos="0" relativeHeight="15814656" behindDoc="0" locked="0" layoutInCell="1" allowOverlap="1" wp14:anchorId="762433F7" wp14:editId="57878D3E">
                <wp:simplePos x="0" y="0"/>
                <wp:positionH relativeFrom="page">
                  <wp:posOffset>899160</wp:posOffset>
                </wp:positionH>
                <wp:positionV relativeFrom="paragraph">
                  <wp:posOffset>90170</wp:posOffset>
                </wp:positionV>
                <wp:extent cx="1121410" cy="186055"/>
                <wp:effectExtent l="0" t="0" r="0" b="0"/>
                <wp:wrapNone/>
                <wp:docPr id="1064" name="docshape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141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8CAC91" id="docshape184" o:spid="_x0000_s1026" alt="&quot;&quot;" style="position:absolute;margin-left:70.8pt;margin-top:7.1pt;width:88.3pt;height:14.65pt;z-index:1581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" fillcolor="black" stroked="f">
                <w10:wrap anchorx="page"/>
              </v:rect>
            </w:pict>
          </mc:Fallback>
        </mc:AlternateContent>
      </w:r>
      <w:r>
        <w:rPr>
          <w:noProof/>
        </w:rPr>
        <mc:AlternateContent>
          <mc:Choice Requires="wps">
            <w:drawing>
              <wp:anchor distT="0" distB="0" distL="114300" distR="114300" simplePos="0" relativeHeight="15815168" behindDoc="0" locked="0" layoutInCell="1" allowOverlap="1" wp14:anchorId="65EA74C1" wp14:editId="06426682">
                <wp:simplePos x="0" y="0"/>
                <wp:positionH relativeFrom="page">
                  <wp:posOffset>3404870</wp:posOffset>
                </wp:positionH>
                <wp:positionV relativeFrom="paragraph">
                  <wp:posOffset>1205865</wp:posOffset>
                </wp:positionV>
                <wp:extent cx="3255010" cy="186055"/>
                <wp:effectExtent l="0" t="0" r="0" b="0"/>
                <wp:wrapNone/>
                <wp:docPr id="1062" name="docshape1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501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48613C" id="docshape185" o:spid="_x0000_s1026" alt="&quot;&quot;" style="position:absolute;margin-left:268.1pt;margin-top:94.95pt;width:256.3pt;height:14.65pt;z-index:1581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" fillcolor="black" stroked="f">
                <w10:wrap anchorx="page"/>
              </v:rect>
            </w:pict>
          </mc:Fallback>
        </mc:AlternateContent>
      </w:r>
      <w:r w:rsidR="00033D0F">
        <w:t>it would "</w:t>
      </w:r>
      <w:proofErr w:type="spellStart"/>
      <w:r w:rsidR="00033D0F">
        <w:t>incentivise</w:t>
      </w:r>
      <w:proofErr w:type="spellEnd"/>
      <w:r w:rsidR="00033D0F">
        <w:t xml:space="preserve"> exporting producers to manipulate the dumping margin calculation."</w:t>
      </w:r>
      <w:hyperlink w:anchor="_bookmark346" w:history="1">
        <w:r w:rsidR="00033D0F">
          <w:rPr>
            <w:vertAlign w:val="superscript"/>
          </w:rPr>
          <w:t>275</w:t>
        </w:r>
      </w:hyperlink>
      <w:r w:rsidR="00033D0F">
        <w:t xml:space="preserve"> Again, this reasoning does not appear in MOFCOM's determinations. In any event, Australia has set out in detail how Treasury Wines did not manipulate the presentation of its data (including by withholding data) in order to receive a </w:t>
      </w:r>
      <w:proofErr w:type="spellStart"/>
      <w:r w:rsidR="00033D0F">
        <w:t>favourable</w:t>
      </w:r>
      <w:proofErr w:type="spellEnd"/>
      <w:r w:rsidR="00033D0F">
        <w:t xml:space="preserve"> dumping</w:t>
      </w:r>
      <w:r w:rsidR="00033D0F">
        <w:rPr>
          <w:spacing w:val="80"/>
        </w:rPr>
        <w:t xml:space="preserve"> </w:t>
      </w:r>
      <w:r w:rsidR="00033D0F">
        <w:t>margin.</w:t>
      </w:r>
      <w:hyperlink w:anchor="_bookmark347" w:history="1">
        <w:r w:rsidR="00033D0F">
          <w:rPr>
            <w:vertAlign w:val="superscript"/>
          </w:rPr>
          <w:t>276</w:t>
        </w:r>
      </w:hyperlink>
      <w:r w:rsidR="00033D0F">
        <w:rPr>
          <w:spacing w:val="80"/>
        </w:rPr>
        <w:t xml:space="preserve"> </w:t>
      </w:r>
      <w:r w:rsidR="00033D0F">
        <w:t>Treasury</w:t>
      </w:r>
      <w:r w:rsidR="00033D0F">
        <w:rPr>
          <w:spacing w:val="80"/>
        </w:rPr>
        <w:t xml:space="preserve"> </w:t>
      </w:r>
      <w:r w:rsidR="00033D0F">
        <w:t>Wines</w:t>
      </w:r>
    </w:p>
    <w:p w14:paraId="7557663A" w14:textId="2CAACB21" w:rsidR="00BD462C" w:rsidRDefault="00D70C7D">
      <w:pPr>
        <w:pStyle w:val="BodyText"/>
        <w:ind w:left="136"/>
        <w:rPr>
          <w:sz w:val="20"/>
        </w:rPr>
      </w:pPr>
      <w:r>
        <w:rPr>
          <w:noProof/>
          <w:sz w:val="20"/>
        </w:rPr>
        <mc:AlternateContent>
          <mc:Choice Requires="wpg">
            <w:drawing>
              <wp:inline distT="0" distB="0" distL="0" distR="0" wp14:anchorId="557785C2" wp14:editId="4E77327E">
                <wp:extent cx="5748655" cy="186055"/>
                <wp:effectExtent l="3810" t="0" r="635" b="0"/>
                <wp:docPr id="1058" name="docshapegroup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8655" cy="186055"/>
                          <a:chOff x="0" y="0"/>
                          <a:chExt cx="9053" cy="293"/>
                        </a:xfrm>
                      </wpg:grpSpPr>
                      <wps:wsp>
                        <wps:cNvPr id="1060" name="docshape187" descr="Redacted"/>
                        <wps:cNvSpPr>
                          <a:spLocks noChangeArrowheads="1"/>
                        </wps:cNvSpPr>
                        <wps:spPr bwMode="auto">
                          <a:xfrm>
                            <a:off x="0" y="0"/>
                            <a:ext cx="9053" cy="29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96FA6D6" id="docshapegroup186" o:spid="_x0000_s1026" alt="&quot;&quot;" style="width:452.65pt;height:14.65pt;mso-position-horizontal-relative:char;mso-position-vertical-relative:line" coordsize="9053,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">
                <v:rect id="docshape187" o:spid="_x0000_s1027" alt="Redacted" style="position:absolute;width:9053;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" fillcolor="black" stroked="f"/>
                <w10:anchorlock/>
              </v:group>
            </w:pict>
          </mc:Fallback>
        </mc:AlternateContent>
      </w:r>
    </w:p>
    <w:p w14:paraId="34F9AF64" w14:textId="77777777" w:rsidR="00BD462C" w:rsidRDefault="00BD462C">
      <w:pPr>
        <w:pStyle w:val="BodyText"/>
        <w:spacing w:before="8"/>
        <w:rPr>
          <w:sz w:val="5"/>
        </w:rPr>
      </w:pPr>
    </w:p>
    <w:p w14:paraId="69CA4D97" w14:textId="77777777" w:rsidR="00BD462C" w:rsidRDefault="00BD462C">
      <w:pPr>
        <w:rPr>
          <w:sz w:val="5"/>
        </w:rPr>
        <w:sectPr w:rsidR="00BD462C">
          <w:pgSz w:w="11910" w:h="16840"/>
          <w:pgMar w:top="860" w:right="500" w:bottom="780" w:left="1280" w:header="566" w:footer="590" w:gutter="0"/>
          <w:cols w:space="720"/>
        </w:sectPr>
      </w:pPr>
    </w:p>
    <w:p w14:paraId="110F97E3" w14:textId="61EC925B" w:rsidR="00BD462C" w:rsidRDefault="0076321F">
      <w:pPr>
        <w:pStyle w:val="BodyText"/>
        <w:spacing w:before="44" w:line="720" w:lineRule="auto"/>
        <w:ind w:left="135"/>
      </w:pPr>
      <w:r>
        <w:rPr>
          <w:noProof/>
        </w:rPr>
        <mc:AlternateContent>
          <mc:Choice Requires="wps">
            <w:drawing>
              <wp:anchor distT="0" distB="0" distL="114300" distR="114300" simplePos="0" relativeHeight="488350208" behindDoc="0" locked="0" layoutInCell="1" allowOverlap="1" wp14:anchorId="4BB79F53" wp14:editId="2B5B0888">
                <wp:simplePos x="0" y="0"/>
                <wp:positionH relativeFrom="page">
                  <wp:posOffset>898102</wp:posOffset>
                </wp:positionH>
                <wp:positionV relativeFrom="paragraph">
                  <wp:posOffset>1103630</wp:posOffset>
                </wp:positionV>
                <wp:extent cx="5696585" cy="186055"/>
                <wp:effectExtent l="0" t="0" r="0" b="4445"/>
                <wp:wrapNone/>
                <wp:docPr id="1384" name="docshape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658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45079C" id="docshape190" o:spid="_x0000_s1026" alt="&quot;&quot;" style="position:absolute;margin-left:70.7pt;margin-top:86.9pt;width:448.55pt;height:14.65pt;z-index:48835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" fillcolor="black" stroked="f">
                <w10:wrap anchorx="page"/>
              </v:rect>
            </w:pict>
          </mc:Fallback>
        </mc:AlternateContent>
      </w:r>
      <w:r w:rsidR="00D70C7D">
        <w:rPr>
          <w:noProof/>
        </w:rPr>
        <mc:AlternateContent>
          <mc:Choice Requires="wps">
            <w:drawing>
              <wp:anchor distT="0" distB="0" distL="114300" distR="114300" simplePos="0" relativeHeight="15816192" behindDoc="0" locked="0" layoutInCell="1" allowOverlap="1" wp14:anchorId="6553584A" wp14:editId="3C633AAE">
                <wp:simplePos x="0" y="0"/>
                <wp:positionH relativeFrom="page">
                  <wp:posOffset>899160</wp:posOffset>
                </wp:positionH>
                <wp:positionV relativeFrom="paragraph">
                  <wp:posOffset>307340</wp:posOffset>
                </wp:positionV>
                <wp:extent cx="4681855" cy="186055"/>
                <wp:effectExtent l="0" t="0" r="0" b="0"/>
                <wp:wrapNone/>
                <wp:docPr id="1056" name="docshape1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185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424D5D" id="docshape188" o:spid="_x0000_s1026" alt="&quot;&quot;" style="position:absolute;margin-left:70.8pt;margin-top:24.2pt;width:368.65pt;height:14.65pt;z-index:1581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" fillcolor="black" stroked="f">
                <w10:wrap anchorx="page"/>
              </v:rect>
            </w:pict>
          </mc:Fallback>
        </mc:AlternateContent>
      </w:r>
      <w:r w:rsidR="00D70C7D">
        <w:rPr>
          <w:noProof/>
        </w:rPr>
        <mc:AlternateContent>
          <mc:Choice Requires="wps">
            <w:drawing>
              <wp:anchor distT="0" distB="0" distL="114300" distR="114300" simplePos="0" relativeHeight="15816704" behindDoc="0" locked="0" layoutInCell="1" allowOverlap="1" wp14:anchorId="496EEF8A" wp14:editId="45CEFA8E">
                <wp:simplePos x="0" y="0"/>
                <wp:positionH relativeFrom="page">
                  <wp:posOffset>1499870</wp:posOffset>
                </wp:positionH>
                <wp:positionV relativeFrom="paragraph">
                  <wp:posOffset>584835</wp:posOffset>
                </wp:positionV>
                <wp:extent cx="5160010" cy="186055"/>
                <wp:effectExtent l="0" t="0" r="0" b="0"/>
                <wp:wrapNone/>
                <wp:docPr id="1054" name="docshape1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001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148DF8" id="docshape189" o:spid="_x0000_s1026" alt="&quot;&quot;" style="position:absolute;margin-left:118.1pt;margin-top:46.05pt;width:406.3pt;height:14.65pt;z-index:1581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" fillcolor="black" stroked="f">
                <w10:wrap anchorx="page"/>
              </v:rect>
            </w:pict>
          </mc:Fallback>
        </mc:AlternateContent>
      </w:r>
      <w:r w:rsidR="00D70C7D">
        <w:rPr>
          <w:noProof/>
        </w:rPr>
        <mc:AlternateContent>
          <mc:Choice Requires="wps">
            <w:drawing>
              <wp:anchor distT="0" distB="0" distL="114300" distR="114300" simplePos="0" relativeHeight="15817216" behindDoc="0" locked="0" layoutInCell="1" allowOverlap="1" wp14:anchorId="3FE8671C" wp14:editId="306EEF28">
                <wp:simplePos x="0" y="0"/>
                <wp:positionH relativeFrom="page">
                  <wp:posOffset>899160</wp:posOffset>
                </wp:positionH>
                <wp:positionV relativeFrom="paragraph">
                  <wp:posOffset>864870</wp:posOffset>
                </wp:positionV>
                <wp:extent cx="5696585" cy="186055"/>
                <wp:effectExtent l="0" t="0" r="0" b="0"/>
                <wp:wrapNone/>
                <wp:docPr id="1052" name="docshape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658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0E8B72" id="docshape190" o:spid="_x0000_s1026" alt="&quot;&quot;" style="position:absolute;margin-left:70.8pt;margin-top:68.1pt;width:448.55pt;height:14.65pt;z-index:1581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" fillcolor="black" stroked="f">
                <w10:wrap anchorx="page"/>
              </v:rect>
            </w:pict>
          </mc:Fallback>
        </mc:AlternateContent>
      </w:r>
      <w:r w:rsidR="00033D0F">
        <w:t>This</w:t>
      </w:r>
      <w:r w:rsidR="00033D0F">
        <w:rPr>
          <w:spacing w:val="80"/>
        </w:rPr>
        <w:t xml:space="preserve"> </w:t>
      </w:r>
      <w:proofErr w:type="spellStart"/>
      <w:r w:rsidR="00033D0F">
        <w:t>behaviour</w:t>
      </w:r>
      <w:proofErr w:type="spellEnd"/>
      <w:r w:rsidR="00033D0F">
        <w:rPr>
          <w:spacing w:val="80"/>
        </w:rPr>
        <w:t xml:space="preserve"> </w:t>
      </w:r>
      <w:r w:rsidR="00033D0F">
        <w:t>is</w:t>
      </w:r>
      <w:r w:rsidR="00033D0F">
        <w:rPr>
          <w:spacing w:val="80"/>
        </w:rPr>
        <w:t xml:space="preserve"> </w:t>
      </w:r>
      <w:r w:rsidR="00033D0F">
        <w:t>evidence</w:t>
      </w:r>
      <w:r w:rsidR="00033D0F">
        <w:rPr>
          <w:spacing w:val="80"/>
        </w:rPr>
        <w:t xml:space="preserve"> </w:t>
      </w:r>
      <w:r w:rsidR="00033D0F">
        <w:t>of</w:t>
      </w:r>
      <w:r w:rsidR="00033D0F">
        <w:rPr>
          <w:spacing w:val="40"/>
        </w:rPr>
        <w:t xml:space="preserve"> </w:t>
      </w:r>
      <w:r w:rsidR="00033D0F">
        <w:rPr>
          <w:spacing w:val="-4"/>
        </w:rPr>
        <w:t>been</w:t>
      </w:r>
    </w:p>
    <w:p w14:paraId="1E42A6E0" w14:textId="77777777" w:rsidR="00BD462C" w:rsidRDefault="00033D0F">
      <w:pPr>
        <w:rPr>
          <w:sz w:val="24"/>
        </w:rPr>
      </w:pPr>
      <w:r>
        <w:br w:type="column"/>
      </w:r>
    </w:p>
    <w:p w14:paraId="2A8EE004" w14:textId="5172C93B" w:rsidR="00BD462C" w:rsidRDefault="00D70C7D" w:rsidP="0076321F">
      <w:pPr>
        <w:pStyle w:val="BodyText"/>
        <w:spacing w:before="192"/>
        <w:ind w:left="136"/>
        <w:sectPr w:rsidR="00BD462C">
          <w:type w:val="continuous"/>
          <w:pgSz w:w="11910" w:h="16840"/>
          <w:pgMar w:top="1700" w:right="500" w:bottom="280" w:left="1280" w:header="566" w:footer="590" w:gutter="0"/>
          <w:cols w:num="2" w:space="720" w:equalWidth="0">
            <w:col w:w="3551" w:space="3821"/>
            <w:col w:w="2758"/>
          </w:cols>
        </w:sectPr>
      </w:pPr>
      <w:r>
        <w:rPr>
          <w:noProof/>
        </w:rPr>
        <mc:AlternateContent>
          <mc:Choice Requires="wps">
            <w:drawing>
              <wp:anchor distT="0" distB="0" distL="114300" distR="114300" simplePos="0" relativeHeight="15815680" behindDoc="0" locked="0" layoutInCell="1" allowOverlap="1" wp14:anchorId="51C87F2D" wp14:editId="2AD995A5">
                <wp:simplePos x="0" y="0"/>
                <wp:positionH relativeFrom="page">
                  <wp:posOffset>3163570</wp:posOffset>
                </wp:positionH>
                <wp:positionV relativeFrom="paragraph">
                  <wp:posOffset>-159385</wp:posOffset>
                </wp:positionV>
                <wp:extent cx="3496310" cy="186055"/>
                <wp:effectExtent l="0" t="0" r="0" b="0"/>
                <wp:wrapNone/>
                <wp:docPr id="1050" name="docshape1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631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A3B5F2" id="docshape191" o:spid="_x0000_s1026" alt="&quot;&quot;" style="position:absolute;margin-left:249.1pt;margin-top:-12.55pt;width:275.3pt;height:14.65pt;z-index:1581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" fillcolor="black" stroked="f">
                <w10:wrap anchorx="page"/>
              </v:rect>
            </w:pict>
          </mc:Fallback>
        </mc:AlternateContent>
      </w:r>
      <w:r w:rsidR="00033D0F">
        <w:t>.</w:t>
      </w:r>
      <w:r w:rsidR="00033D0F">
        <w:rPr>
          <w:spacing w:val="17"/>
        </w:rPr>
        <w:t xml:space="preserve"> </w:t>
      </w:r>
      <w:r w:rsidR="00033D0F">
        <w:t>Had</w:t>
      </w:r>
      <w:r w:rsidR="00033D0F">
        <w:rPr>
          <w:spacing w:val="16"/>
        </w:rPr>
        <w:t xml:space="preserve"> </w:t>
      </w:r>
      <w:r w:rsidR="00033D0F">
        <w:t>this</w:t>
      </w:r>
      <w:r w:rsidR="00033D0F">
        <w:rPr>
          <w:spacing w:val="19"/>
        </w:rPr>
        <w:t xml:space="preserve"> </w:t>
      </w:r>
      <w:r w:rsidR="00033D0F">
        <w:rPr>
          <w:spacing w:val="-2"/>
        </w:rPr>
        <w:t>indeed</w:t>
      </w:r>
    </w:p>
    <w:p w14:paraId="4634B851" w14:textId="0EC25CE7" w:rsidR="00BD462C" w:rsidRDefault="00BD462C" w:rsidP="0076321F">
      <w:pPr>
        <w:pStyle w:val="BodyText"/>
        <w:rPr>
          <w:sz w:val="20"/>
        </w:rPr>
      </w:pPr>
    </w:p>
    <w:p w14:paraId="6F8FE479" w14:textId="77777777" w:rsidR="00BD462C" w:rsidRDefault="00BD462C">
      <w:pPr>
        <w:pStyle w:val="BodyText"/>
        <w:spacing w:before="2"/>
        <w:rPr>
          <w:sz w:val="18"/>
        </w:rPr>
      </w:pPr>
    </w:p>
    <w:p w14:paraId="7E3CE91E" w14:textId="3F9E9F33" w:rsidR="00BD462C" w:rsidRDefault="00D70C7D" w:rsidP="0076321F">
      <w:pPr>
        <w:pStyle w:val="BodyText"/>
        <w:numPr>
          <w:ilvl w:val="0"/>
          <w:numId w:val="69"/>
        </w:numPr>
        <w:tabs>
          <w:tab w:val="left" w:pos="7873"/>
        </w:tabs>
        <w:spacing w:before="56" w:line="360" w:lineRule="auto"/>
        <w:ind w:right="915" w:hanging="496"/>
        <w:jc w:val="both"/>
      </w:pPr>
      <w:r>
        <w:rPr>
          <w:noProof/>
        </w:rPr>
        <mc:AlternateContent>
          <mc:Choice Requires="wps">
            <w:drawing>
              <wp:anchor distT="0" distB="0" distL="114300" distR="114300" simplePos="0" relativeHeight="478979072" behindDoc="1" locked="0" layoutInCell="1" allowOverlap="1" wp14:anchorId="2F090CC3" wp14:editId="7D3768B3">
                <wp:simplePos x="0" y="0"/>
                <wp:positionH relativeFrom="page">
                  <wp:posOffset>3429000</wp:posOffset>
                </wp:positionH>
                <wp:positionV relativeFrom="paragraph">
                  <wp:posOffset>1703282</wp:posOffset>
                </wp:positionV>
                <wp:extent cx="2248535" cy="186055"/>
                <wp:effectExtent l="0" t="0" r="0" b="4445"/>
                <wp:wrapNone/>
                <wp:docPr id="1044" name="docshape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853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5907D0" id="docshape194" o:spid="_x0000_s1026" alt="&quot;&quot;" style="position:absolute;margin-left:270pt;margin-top:134.1pt;width:177.05pt;height:14.65pt;z-index:-24337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" fillcolor="black" stroked="f">
                <w10:wrap anchorx="page"/>
              </v:rect>
            </w:pict>
          </mc:Fallback>
        </mc:AlternateContent>
      </w:r>
      <w:r w:rsidR="00033D0F">
        <w:rPr>
          <w:position w:val="1"/>
        </w:rPr>
        <w:t>China's</w:t>
      </w:r>
      <w:r w:rsidR="00033D0F">
        <w:rPr>
          <w:spacing w:val="-11"/>
          <w:position w:val="1"/>
        </w:rPr>
        <w:t xml:space="preserve"> </w:t>
      </w:r>
      <w:r w:rsidR="00033D0F">
        <w:rPr>
          <w:position w:val="1"/>
        </w:rPr>
        <w:t>attempts</w:t>
      </w:r>
      <w:r w:rsidR="00033D0F">
        <w:rPr>
          <w:spacing w:val="-11"/>
          <w:position w:val="1"/>
        </w:rPr>
        <w:t xml:space="preserve"> </w:t>
      </w:r>
      <w:r w:rsidR="00033D0F">
        <w:rPr>
          <w:position w:val="1"/>
        </w:rPr>
        <w:t>to</w:t>
      </w:r>
      <w:r w:rsidR="00033D0F">
        <w:rPr>
          <w:spacing w:val="-14"/>
          <w:position w:val="1"/>
        </w:rPr>
        <w:t xml:space="preserve"> </w:t>
      </w:r>
      <w:r w:rsidR="00033D0F">
        <w:rPr>
          <w:position w:val="1"/>
        </w:rPr>
        <w:t>distinguish</w:t>
      </w:r>
      <w:r w:rsidR="00033D0F">
        <w:rPr>
          <w:spacing w:val="-14"/>
          <w:position w:val="1"/>
        </w:rPr>
        <w:t xml:space="preserve"> </w:t>
      </w:r>
      <w:r w:rsidR="00033D0F">
        <w:rPr>
          <w:position w:val="1"/>
        </w:rPr>
        <w:t>the</w:t>
      </w:r>
      <w:r w:rsidR="00033D0F">
        <w:rPr>
          <w:spacing w:val="-12"/>
          <w:position w:val="1"/>
        </w:rPr>
        <w:t xml:space="preserve"> </w:t>
      </w:r>
      <w:r w:rsidR="00033D0F">
        <w:rPr>
          <w:position w:val="1"/>
        </w:rPr>
        <w:t>present</w:t>
      </w:r>
      <w:r w:rsidR="00033D0F">
        <w:rPr>
          <w:spacing w:val="-12"/>
          <w:position w:val="1"/>
        </w:rPr>
        <w:t xml:space="preserve"> </w:t>
      </w:r>
      <w:r w:rsidR="00033D0F">
        <w:rPr>
          <w:position w:val="1"/>
        </w:rPr>
        <w:t>case</w:t>
      </w:r>
      <w:r w:rsidR="00033D0F">
        <w:rPr>
          <w:spacing w:val="-13"/>
          <w:position w:val="1"/>
        </w:rPr>
        <w:t xml:space="preserve"> </w:t>
      </w:r>
      <w:r w:rsidR="00033D0F">
        <w:rPr>
          <w:position w:val="1"/>
        </w:rPr>
        <w:t>from</w:t>
      </w:r>
      <w:r w:rsidR="00033D0F">
        <w:rPr>
          <w:spacing w:val="-13"/>
          <w:position w:val="1"/>
        </w:rPr>
        <w:t xml:space="preserve"> </w:t>
      </w:r>
      <w:r w:rsidR="00033D0F">
        <w:rPr>
          <w:position w:val="1"/>
        </w:rPr>
        <w:t>the</w:t>
      </w:r>
      <w:r w:rsidR="00033D0F">
        <w:rPr>
          <w:spacing w:val="-13"/>
          <w:position w:val="1"/>
        </w:rPr>
        <w:t xml:space="preserve"> </w:t>
      </w:r>
      <w:r w:rsidR="00033D0F">
        <w:rPr>
          <w:position w:val="1"/>
        </w:rPr>
        <w:t>dispute</w:t>
      </w:r>
      <w:r w:rsidR="00033D0F">
        <w:rPr>
          <w:spacing w:val="-13"/>
          <w:position w:val="1"/>
        </w:rPr>
        <w:t xml:space="preserve"> </w:t>
      </w:r>
      <w:r w:rsidR="00033D0F">
        <w:rPr>
          <w:position w:val="1"/>
        </w:rPr>
        <w:t>in</w:t>
      </w:r>
      <w:r w:rsidR="00033D0F">
        <w:rPr>
          <w:spacing w:val="-14"/>
          <w:position w:val="1"/>
        </w:rPr>
        <w:t xml:space="preserve"> </w:t>
      </w:r>
      <w:r w:rsidR="00033D0F">
        <w:rPr>
          <w:i/>
          <w:position w:val="1"/>
        </w:rPr>
        <w:t>Canada</w:t>
      </w:r>
      <w:r w:rsidR="00033D0F">
        <w:rPr>
          <w:i/>
          <w:spacing w:val="-14"/>
          <w:position w:val="1"/>
        </w:rPr>
        <w:t xml:space="preserve"> </w:t>
      </w:r>
      <w:r w:rsidR="00033D0F">
        <w:rPr>
          <w:i/>
          <w:position w:val="1"/>
        </w:rPr>
        <w:t>–</w:t>
      </w:r>
      <w:r w:rsidR="00033D0F">
        <w:rPr>
          <w:i/>
          <w:spacing w:val="-12"/>
          <w:position w:val="1"/>
        </w:rPr>
        <w:t xml:space="preserve"> </w:t>
      </w:r>
      <w:r w:rsidR="00033D0F">
        <w:rPr>
          <w:i/>
          <w:position w:val="1"/>
        </w:rPr>
        <w:t xml:space="preserve">Welded </w:t>
      </w:r>
      <w:r w:rsidR="00033D0F">
        <w:rPr>
          <w:i/>
        </w:rPr>
        <w:t xml:space="preserve">Pipe </w:t>
      </w:r>
      <w:r w:rsidR="00033D0F">
        <w:t>are without merit.</w:t>
      </w:r>
      <w:hyperlink w:anchor="_bookmark348" w:history="1">
        <w:r w:rsidR="00033D0F">
          <w:rPr>
            <w:vertAlign w:val="superscript"/>
          </w:rPr>
          <w:t>277</w:t>
        </w:r>
      </w:hyperlink>
      <w:r w:rsidR="00033D0F">
        <w:t xml:space="preserve"> In that dispute, the panel held that "by singling out the highest transaction-specific amount of dumping from a cooperative exporter without any comparative evaluation and assessment, and without any form of explanation, the [investigating authority] went beyond what was appropriate and necessary to achieve the objectives of encouraging cooperation and preventing circumvention."</w:t>
      </w:r>
      <w:hyperlink w:anchor="_bookmark349" w:history="1">
        <w:r w:rsidR="00033D0F">
          <w:rPr>
            <w:vertAlign w:val="superscript"/>
          </w:rPr>
          <w:t>278</w:t>
        </w:r>
      </w:hyperlink>
      <w:r w:rsidR="00033D0F">
        <w:t xml:space="preserve"> In this dispute, MOFCOM</w:t>
      </w:r>
      <w:r w:rsidR="0076321F">
        <w:rPr>
          <w:spacing w:val="51"/>
        </w:rPr>
        <w:t xml:space="preserve"> </w:t>
      </w:r>
      <w:r w:rsidR="00033D0F">
        <w:t>selected</w:t>
      </w:r>
      <w:r w:rsidR="00033D0F">
        <w:rPr>
          <w:spacing w:val="50"/>
        </w:rPr>
        <w:t xml:space="preserve">  </w:t>
      </w:r>
      <w:r w:rsidR="00033D0F">
        <w:rPr>
          <w:spacing w:val="-5"/>
        </w:rPr>
        <w:t>the</w:t>
      </w:r>
      <w:r w:rsidR="00033D0F">
        <w:tab/>
        <w:t>without</w:t>
      </w:r>
      <w:r w:rsidR="00033D0F">
        <w:rPr>
          <w:spacing w:val="50"/>
        </w:rPr>
        <w:t xml:space="preserve">  </w:t>
      </w:r>
      <w:r w:rsidR="00033D0F">
        <w:rPr>
          <w:spacing w:val="-5"/>
        </w:rPr>
        <w:t>any</w:t>
      </w:r>
    </w:p>
    <w:p w14:paraId="01C82B26" w14:textId="77777777" w:rsidR="00BD462C" w:rsidRDefault="00033D0F">
      <w:pPr>
        <w:pStyle w:val="BodyText"/>
        <w:spacing w:line="360" w:lineRule="auto"/>
        <w:ind w:left="136" w:right="911"/>
        <w:jc w:val="both"/>
      </w:pPr>
      <w:r>
        <w:t>comparative evaluation and assessment, and without any form of explanation, despite Treasury Wines' cooperation and extensive submission of information. As such, MOFCOM's conduct</w:t>
      </w:r>
      <w:r>
        <w:rPr>
          <w:spacing w:val="10"/>
        </w:rPr>
        <w:t xml:space="preserve"> </w:t>
      </w:r>
      <w:r>
        <w:t>went</w:t>
      </w:r>
      <w:r>
        <w:rPr>
          <w:spacing w:val="12"/>
        </w:rPr>
        <w:t xml:space="preserve"> </w:t>
      </w:r>
      <w:r>
        <w:t>beyond</w:t>
      </w:r>
      <w:r>
        <w:rPr>
          <w:spacing w:val="9"/>
        </w:rPr>
        <w:t xml:space="preserve"> </w:t>
      </w:r>
      <w:r>
        <w:t>what</w:t>
      </w:r>
      <w:r>
        <w:rPr>
          <w:spacing w:val="12"/>
        </w:rPr>
        <w:t xml:space="preserve"> </w:t>
      </w:r>
      <w:r>
        <w:t>was</w:t>
      </w:r>
      <w:r>
        <w:rPr>
          <w:spacing w:val="13"/>
        </w:rPr>
        <w:t xml:space="preserve"> </w:t>
      </w:r>
      <w:r>
        <w:t>necessary</w:t>
      </w:r>
      <w:r>
        <w:rPr>
          <w:spacing w:val="7"/>
        </w:rPr>
        <w:t xml:space="preserve"> </w:t>
      </w:r>
      <w:r>
        <w:t>in</w:t>
      </w:r>
      <w:r>
        <w:rPr>
          <w:spacing w:val="10"/>
        </w:rPr>
        <w:t xml:space="preserve"> </w:t>
      </w:r>
      <w:r>
        <w:t>order</w:t>
      </w:r>
      <w:r>
        <w:rPr>
          <w:spacing w:val="8"/>
        </w:rPr>
        <w:t xml:space="preserve"> </w:t>
      </w:r>
      <w:r>
        <w:t>to</w:t>
      </w:r>
      <w:r>
        <w:rPr>
          <w:spacing w:val="9"/>
        </w:rPr>
        <w:t xml:space="preserve"> </w:t>
      </w:r>
      <w:r>
        <w:t>encourage</w:t>
      </w:r>
      <w:r>
        <w:rPr>
          <w:spacing w:val="11"/>
        </w:rPr>
        <w:t xml:space="preserve"> </w:t>
      </w:r>
      <w:r>
        <w:t>cooperation.</w:t>
      </w:r>
      <w:r>
        <w:rPr>
          <w:spacing w:val="12"/>
        </w:rPr>
        <w:t xml:space="preserve"> </w:t>
      </w:r>
      <w:r>
        <w:t>China</w:t>
      </w:r>
      <w:r>
        <w:rPr>
          <w:spacing w:val="12"/>
        </w:rPr>
        <w:t xml:space="preserve"> </w:t>
      </w:r>
      <w:r>
        <w:rPr>
          <w:spacing w:val="-2"/>
        </w:rPr>
        <w:t>argues</w:t>
      </w:r>
    </w:p>
    <w:p w14:paraId="772BFF08" w14:textId="2CDC7C47" w:rsidR="00BD462C" w:rsidRDefault="00AC5C65">
      <w:pPr>
        <w:pStyle w:val="BodyText"/>
        <w:rPr>
          <w:sz w:val="20"/>
        </w:rPr>
      </w:pPr>
      <w:r>
        <w:rPr>
          <w:noProof/>
        </w:rPr>
        <mc:AlternateContent>
          <mc:Choice Requires="wps">
            <w:drawing>
              <wp:anchor distT="0" distB="0" distL="0" distR="0" simplePos="0" relativeHeight="488331776" behindDoc="1" locked="0" layoutInCell="1" allowOverlap="1" wp14:anchorId="63E2130E" wp14:editId="219875EE">
                <wp:simplePos x="0" y="0"/>
                <wp:positionH relativeFrom="page">
                  <wp:posOffset>812800</wp:posOffset>
                </wp:positionH>
                <wp:positionV relativeFrom="paragraph">
                  <wp:posOffset>319405</wp:posOffset>
                </wp:positionV>
                <wp:extent cx="1828800" cy="8890"/>
                <wp:effectExtent l="0" t="0" r="0" b="0"/>
                <wp:wrapTopAndBottom/>
                <wp:docPr id="1338" name="docshape5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D4904F" id="docshape591" o:spid="_x0000_s1026" alt="&quot;&quot;" style="position:absolute;margin-left:64pt;margin-top:25.15pt;width:2in;height:.7pt;z-index:-14984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" fillcolor="black" stroked="f">
                <w10:wrap type="topAndBottom" anchorx="page"/>
              </v:rect>
            </w:pict>
          </mc:Fallback>
        </mc:AlternateContent>
      </w:r>
    </w:p>
    <w:p w14:paraId="6DE3D8E1" w14:textId="3826356E" w:rsidR="00BD462C" w:rsidRDefault="00BD462C">
      <w:pPr>
        <w:pStyle w:val="BodyText"/>
        <w:rPr>
          <w:sz w:val="21"/>
        </w:rPr>
      </w:pPr>
    </w:p>
    <w:p w14:paraId="59043423" w14:textId="77777777" w:rsidR="00BD462C" w:rsidRDefault="00033D0F">
      <w:pPr>
        <w:spacing w:before="115" w:line="235" w:lineRule="auto"/>
        <w:ind w:left="135" w:right="923"/>
        <w:rPr>
          <w:sz w:val="18"/>
        </w:rPr>
      </w:pPr>
      <w:bookmarkStart w:id="401" w:name="_bookmark345"/>
      <w:bookmarkEnd w:id="401"/>
      <w:r>
        <w:rPr>
          <w:position w:val="5"/>
          <w:sz w:val="12"/>
        </w:rPr>
        <w:t>274</w:t>
      </w:r>
      <w:r>
        <w:rPr>
          <w:spacing w:val="36"/>
          <w:position w:val="5"/>
          <w:sz w:val="12"/>
        </w:rPr>
        <w:t xml:space="preserve"> </w:t>
      </w:r>
      <w:r>
        <w:rPr>
          <w:sz w:val="18"/>
        </w:rPr>
        <w:t>China's first</w:t>
      </w:r>
      <w:r>
        <w:rPr>
          <w:spacing w:val="18"/>
          <w:sz w:val="18"/>
        </w:rPr>
        <w:t xml:space="preserve"> </w:t>
      </w:r>
      <w:r>
        <w:rPr>
          <w:sz w:val="18"/>
        </w:rPr>
        <w:t>written submission,</w:t>
      </w:r>
      <w:r>
        <w:rPr>
          <w:spacing w:val="19"/>
          <w:sz w:val="18"/>
        </w:rPr>
        <w:t xml:space="preserve"> </w:t>
      </w:r>
      <w:r>
        <w:rPr>
          <w:sz w:val="18"/>
        </w:rPr>
        <w:t>para.</w:t>
      </w:r>
      <w:r>
        <w:rPr>
          <w:spacing w:val="18"/>
          <w:sz w:val="18"/>
        </w:rPr>
        <w:t xml:space="preserve"> </w:t>
      </w:r>
      <w:r>
        <w:rPr>
          <w:sz w:val="18"/>
        </w:rPr>
        <w:t>456,</w:t>
      </w:r>
      <w:r>
        <w:rPr>
          <w:spacing w:val="19"/>
          <w:sz w:val="18"/>
        </w:rPr>
        <w:t xml:space="preserve"> </w:t>
      </w:r>
      <w:r>
        <w:rPr>
          <w:sz w:val="18"/>
        </w:rPr>
        <w:t>referring to Panel</w:t>
      </w:r>
      <w:r>
        <w:rPr>
          <w:spacing w:val="18"/>
          <w:sz w:val="18"/>
        </w:rPr>
        <w:t xml:space="preserve"> </w:t>
      </w:r>
      <w:r>
        <w:rPr>
          <w:sz w:val="18"/>
        </w:rPr>
        <w:t>Report,</w:t>
      </w:r>
      <w:r>
        <w:rPr>
          <w:spacing w:val="19"/>
          <w:sz w:val="18"/>
        </w:rPr>
        <w:t xml:space="preserve"> </w:t>
      </w:r>
      <w:r>
        <w:rPr>
          <w:i/>
          <w:sz w:val="18"/>
        </w:rPr>
        <w:t>Korea – Certain Paper (Article</w:t>
      </w:r>
      <w:r>
        <w:rPr>
          <w:i/>
          <w:spacing w:val="20"/>
          <w:sz w:val="18"/>
        </w:rPr>
        <w:t xml:space="preserve"> </w:t>
      </w:r>
      <w:r>
        <w:rPr>
          <w:i/>
          <w:sz w:val="18"/>
        </w:rPr>
        <w:t>21.5 -</w:t>
      </w:r>
      <w:r>
        <w:rPr>
          <w:i/>
          <w:spacing w:val="18"/>
          <w:sz w:val="18"/>
        </w:rPr>
        <w:t xml:space="preserve"> </w:t>
      </w:r>
      <w:r>
        <w:rPr>
          <w:i/>
          <w:sz w:val="18"/>
        </w:rPr>
        <w:t>Indonesia)</w:t>
      </w:r>
      <w:r>
        <w:rPr>
          <w:sz w:val="18"/>
        </w:rPr>
        <w:t>, para. 6.26.</w:t>
      </w:r>
    </w:p>
    <w:p w14:paraId="1150FB0F" w14:textId="77777777" w:rsidR="00BD462C" w:rsidRDefault="00033D0F">
      <w:pPr>
        <w:spacing w:before="3"/>
        <w:ind w:left="135"/>
        <w:rPr>
          <w:sz w:val="18"/>
        </w:rPr>
      </w:pPr>
      <w:bookmarkStart w:id="402" w:name="_bookmark346"/>
      <w:bookmarkEnd w:id="402"/>
      <w:r>
        <w:rPr>
          <w:position w:val="5"/>
          <w:sz w:val="12"/>
        </w:rPr>
        <w:t>275</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 xml:space="preserve">submission, para. </w:t>
      </w:r>
      <w:r>
        <w:rPr>
          <w:spacing w:val="-4"/>
          <w:sz w:val="18"/>
        </w:rPr>
        <w:t>459.</w:t>
      </w:r>
    </w:p>
    <w:p w14:paraId="6ABC27D8" w14:textId="77777777" w:rsidR="00BD462C" w:rsidRDefault="00033D0F">
      <w:pPr>
        <w:spacing w:before="1"/>
        <w:ind w:left="135"/>
        <w:rPr>
          <w:sz w:val="18"/>
        </w:rPr>
      </w:pPr>
      <w:bookmarkStart w:id="403" w:name="_bookmark347"/>
      <w:bookmarkEnd w:id="403"/>
      <w:r>
        <w:rPr>
          <w:position w:val="5"/>
          <w:sz w:val="12"/>
        </w:rPr>
        <w:t>276</w:t>
      </w:r>
      <w:r>
        <w:rPr>
          <w:spacing w:val="14"/>
          <w:position w:val="5"/>
          <w:sz w:val="12"/>
        </w:rPr>
        <w:t xml:space="preserve"> </w:t>
      </w:r>
      <w:r>
        <w:rPr>
          <w:sz w:val="18"/>
        </w:rPr>
        <w:t>See</w:t>
      </w:r>
      <w:r>
        <w:rPr>
          <w:spacing w:val="-4"/>
          <w:sz w:val="18"/>
        </w:rPr>
        <w:t xml:space="preserve"> </w:t>
      </w:r>
      <w:r>
        <w:rPr>
          <w:sz w:val="18"/>
        </w:rPr>
        <w:t>above</w:t>
      </w:r>
      <w:r>
        <w:rPr>
          <w:spacing w:val="-4"/>
          <w:sz w:val="18"/>
        </w:rPr>
        <w:t xml:space="preserve"> </w:t>
      </w:r>
      <w:r>
        <w:rPr>
          <w:sz w:val="18"/>
        </w:rPr>
        <w:t>section</w:t>
      </w:r>
      <w:r>
        <w:rPr>
          <w:spacing w:val="-5"/>
          <w:sz w:val="18"/>
        </w:rPr>
        <w:t xml:space="preserve"> </w:t>
      </w:r>
      <w:hyperlink w:anchor="_bookmark267" w:history="1">
        <w:r>
          <w:rPr>
            <w:sz w:val="18"/>
          </w:rPr>
          <w:t>III.D.2.</w:t>
        </w:r>
      </w:hyperlink>
      <w:r>
        <w:rPr>
          <w:spacing w:val="2"/>
          <w:sz w:val="18"/>
        </w:rPr>
        <w:t xml:space="preserve"> </w:t>
      </w:r>
      <w:r>
        <w:rPr>
          <w:sz w:val="18"/>
        </w:rPr>
        <w:t>See also</w:t>
      </w:r>
      <w:r>
        <w:rPr>
          <w:spacing w:val="-5"/>
          <w:sz w:val="18"/>
        </w:rPr>
        <w:t xml:space="preserve"> </w:t>
      </w:r>
      <w:r>
        <w:rPr>
          <w:sz w:val="18"/>
        </w:rPr>
        <w:t>Australia's</w:t>
      </w:r>
      <w:r>
        <w:rPr>
          <w:spacing w:val="-4"/>
          <w:sz w:val="18"/>
        </w:rPr>
        <w:t xml:space="preserve"> </w:t>
      </w:r>
      <w:r>
        <w:rPr>
          <w:sz w:val="18"/>
        </w:rPr>
        <w:t>response</w:t>
      </w:r>
      <w:r>
        <w:rPr>
          <w:spacing w:val="-4"/>
          <w:sz w:val="18"/>
        </w:rPr>
        <w:t xml:space="preserve"> </w:t>
      </w:r>
      <w:r>
        <w:rPr>
          <w:sz w:val="18"/>
        </w:rPr>
        <w:t>to</w:t>
      </w:r>
      <w:r>
        <w:rPr>
          <w:spacing w:val="-5"/>
          <w:sz w:val="18"/>
        </w:rPr>
        <w:t xml:space="preserve"> </w:t>
      </w:r>
      <w:r>
        <w:rPr>
          <w:sz w:val="18"/>
        </w:rPr>
        <w:t>Panel</w:t>
      </w:r>
      <w:r>
        <w:rPr>
          <w:spacing w:val="-3"/>
          <w:sz w:val="18"/>
        </w:rPr>
        <w:t xml:space="preserve"> </w:t>
      </w:r>
      <w:r>
        <w:rPr>
          <w:sz w:val="18"/>
        </w:rPr>
        <w:t>questions</w:t>
      </w:r>
      <w:r>
        <w:rPr>
          <w:spacing w:val="-9"/>
          <w:sz w:val="18"/>
        </w:rPr>
        <w:t xml:space="preserve"> </w:t>
      </w:r>
      <w:r>
        <w:rPr>
          <w:sz w:val="18"/>
        </w:rPr>
        <w:t>Nos.</w:t>
      </w:r>
      <w:r>
        <w:rPr>
          <w:spacing w:val="2"/>
          <w:sz w:val="18"/>
        </w:rPr>
        <w:t xml:space="preserve"> </w:t>
      </w:r>
      <w:r>
        <w:rPr>
          <w:sz w:val="18"/>
        </w:rPr>
        <w:t>3</w:t>
      </w:r>
      <w:r>
        <w:rPr>
          <w:spacing w:val="-6"/>
          <w:sz w:val="18"/>
        </w:rPr>
        <w:t xml:space="preserve"> </w:t>
      </w:r>
      <w:r>
        <w:rPr>
          <w:sz w:val="18"/>
        </w:rPr>
        <w:t>and</w:t>
      </w:r>
      <w:r>
        <w:rPr>
          <w:spacing w:val="-5"/>
          <w:sz w:val="18"/>
        </w:rPr>
        <w:t xml:space="preserve"> </w:t>
      </w:r>
      <w:r>
        <w:rPr>
          <w:sz w:val="18"/>
        </w:rPr>
        <w:t>4,</w:t>
      </w:r>
      <w:r>
        <w:rPr>
          <w:spacing w:val="2"/>
          <w:sz w:val="18"/>
        </w:rPr>
        <w:t xml:space="preserve"> </w:t>
      </w:r>
      <w:r>
        <w:rPr>
          <w:sz w:val="18"/>
        </w:rPr>
        <w:t>paras.</w:t>
      </w:r>
      <w:r>
        <w:rPr>
          <w:spacing w:val="-3"/>
          <w:sz w:val="18"/>
        </w:rPr>
        <w:t xml:space="preserve"> </w:t>
      </w:r>
      <w:r>
        <w:rPr>
          <w:sz w:val="18"/>
        </w:rPr>
        <w:t>17-</w:t>
      </w:r>
      <w:r>
        <w:rPr>
          <w:spacing w:val="-5"/>
          <w:sz w:val="18"/>
        </w:rPr>
        <w:t>27.</w:t>
      </w:r>
    </w:p>
    <w:p w14:paraId="4F51688D" w14:textId="77777777" w:rsidR="00BD462C" w:rsidRDefault="00033D0F">
      <w:pPr>
        <w:spacing w:before="1"/>
        <w:ind w:left="135"/>
        <w:rPr>
          <w:sz w:val="18"/>
        </w:rPr>
      </w:pPr>
      <w:bookmarkStart w:id="404" w:name="_bookmark348"/>
      <w:bookmarkEnd w:id="404"/>
      <w:r>
        <w:rPr>
          <w:position w:val="5"/>
          <w:sz w:val="12"/>
        </w:rPr>
        <w:t>277</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 xml:space="preserve">submission, para. </w:t>
      </w:r>
      <w:r>
        <w:rPr>
          <w:spacing w:val="-4"/>
          <w:sz w:val="18"/>
        </w:rPr>
        <w:t>460.</w:t>
      </w:r>
    </w:p>
    <w:p w14:paraId="0124D653" w14:textId="77777777" w:rsidR="00BD462C" w:rsidRDefault="00033D0F">
      <w:pPr>
        <w:spacing w:before="1"/>
        <w:ind w:left="135"/>
        <w:rPr>
          <w:sz w:val="18"/>
        </w:rPr>
      </w:pPr>
      <w:bookmarkStart w:id="405" w:name="_bookmark349"/>
      <w:bookmarkEnd w:id="405"/>
      <w:r>
        <w:rPr>
          <w:position w:val="5"/>
          <w:sz w:val="12"/>
        </w:rPr>
        <w:t>278</w:t>
      </w:r>
      <w:r>
        <w:rPr>
          <w:spacing w:val="13"/>
          <w:position w:val="5"/>
          <w:sz w:val="12"/>
        </w:rPr>
        <w:t xml:space="preserve"> </w:t>
      </w:r>
      <w:r>
        <w:rPr>
          <w:sz w:val="18"/>
        </w:rPr>
        <w:t>China's</w:t>
      </w:r>
      <w:r>
        <w:rPr>
          <w:spacing w:val="-4"/>
          <w:sz w:val="18"/>
        </w:rPr>
        <w:t xml:space="preserve"> </w:t>
      </w:r>
      <w:r>
        <w:rPr>
          <w:sz w:val="18"/>
        </w:rPr>
        <w:t>first</w:t>
      </w:r>
      <w:r>
        <w:rPr>
          <w:spacing w:val="-4"/>
          <w:sz w:val="18"/>
        </w:rPr>
        <w:t xml:space="preserve"> </w:t>
      </w:r>
      <w:r>
        <w:rPr>
          <w:sz w:val="18"/>
        </w:rPr>
        <w:t>written</w:t>
      </w:r>
      <w:r>
        <w:rPr>
          <w:spacing w:val="-6"/>
          <w:sz w:val="18"/>
        </w:rPr>
        <w:t xml:space="preserve"> </w:t>
      </w:r>
      <w:r>
        <w:rPr>
          <w:sz w:val="18"/>
        </w:rPr>
        <w:t>submission,</w:t>
      </w:r>
      <w:r>
        <w:rPr>
          <w:spacing w:val="2"/>
          <w:sz w:val="18"/>
        </w:rPr>
        <w:t xml:space="preserve"> </w:t>
      </w:r>
      <w:r>
        <w:rPr>
          <w:sz w:val="18"/>
        </w:rPr>
        <w:t>para.</w:t>
      </w:r>
      <w:r>
        <w:rPr>
          <w:spacing w:val="1"/>
          <w:sz w:val="18"/>
        </w:rPr>
        <w:t xml:space="preserve"> </w:t>
      </w:r>
      <w:r>
        <w:rPr>
          <w:sz w:val="18"/>
        </w:rPr>
        <w:t>460</w:t>
      </w:r>
      <w:r>
        <w:rPr>
          <w:spacing w:val="-7"/>
          <w:sz w:val="18"/>
        </w:rPr>
        <w:t xml:space="preserve"> </w:t>
      </w:r>
      <w:r>
        <w:rPr>
          <w:sz w:val="18"/>
        </w:rPr>
        <w:t>referring</w:t>
      </w:r>
      <w:r>
        <w:rPr>
          <w:spacing w:val="-5"/>
          <w:sz w:val="18"/>
        </w:rPr>
        <w:t xml:space="preserve"> </w:t>
      </w:r>
      <w:r>
        <w:rPr>
          <w:sz w:val="18"/>
        </w:rPr>
        <w:t>to</w:t>
      </w:r>
      <w:r>
        <w:rPr>
          <w:spacing w:val="-5"/>
          <w:sz w:val="18"/>
        </w:rPr>
        <w:t xml:space="preserve"> </w:t>
      </w:r>
      <w:r>
        <w:rPr>
          <w:sz w:val="18"/>
        </w:rPr>
        <w:t>Panel</w:t>
      </w:r>
      <w:r>
        <w:rPr>
          <w:spacing w:val="-9"/>
          <w:sz w:val="18"/>
        </w:rPr>
        <w:t xml:space="preserve"> </w:t>
      </w:r>
      <w:r>
        <w:rPr>
          <w:sz w:val="18"/>
        </w:rPr>
        <w:t>Report,</w:t>
      </w:r>
      <w:r>
        <w:rPr>
          <w:spacing w:val="-3"/>
          <w:sz w:val="18"/>
        </w:rPr>
        <w:t xml:space="preserve"> </w:t>
      </w:r>
      <w:r>
        <w:rPr>
          <w:i/>
          <w:sz w:val="18"/>
        </w:rPr>
        <w:t>Canada</w:t>
      </w:r>
      <w:r>
        <w:rPr>
          <w:i/>
          <w:spacing w:val="1"/>
          <w:sz w:val="18"/>
        </w:rPr>
        <w:t xml:space="preserve"> </w:t>
      </w:r>
      <w:r>
        <w:rPr>
          <w:i/>
          <w:sz w:val="18"/>
        </w:rPr>
        <w:t>–</w:t>
      </w:r>
      <w:r>
        <w:rPr>
          <w:i/>
          <w:spacing w:val="-9"/>
          <w:sz w:val="18"/>
        </w:rPr>
        <w:t xml:space="preserve"> </w:t>
      </w:r>
      <w:r>
        <w:rPr>
          <w:i/>
          <w:sz w:val="18"/>
        </w:rPr>
        <w:t>Welded</w:t>
      </w:r>
      <w:r>
        <w:rPr>
          <w:i/>
          <w:spacing w:val="-4"/>
          <w:sz w:val="18"/>
        </w:rPr>
        <w:t xml:space="preserve"> </w:t>
      </w:r>
      <w:r>
        <w:rPr>
          <w:i/>
          <w:sz w:val="18"/>
        </w:rPr>
        <w:t>Pipe</w:t>
      </w:r>
      <w:r>
        <w:rPr>
          <w:sz w:val="18"/>
        </w:rPr>
        <w:t>,</w:t>
      </w:r>
      <w:r>
        <w:rPr>
          <w:spacing w:val="2"/>
          <w:sz w:val="18"/>
        </w:rPr>
        <w:t xml:space="preserve"> </w:t>
      </w:r>
      <w:r>
        <w:rPr>
          <w:sz w:val="18"/>
        </w:rPr>
        <w:t>para.</w:t>
      </w:r>
      <w:r>
        <w:rPr>
          <w:spacing w:val="-4"/>
          <w:sz w:val="18"/>
        </w:rPr>
        <w:t xml:space="preserve"> </w:t>
      </w:r>
      <w:r>
        <w:rPr>
          <w:spacing w:val="-2"/>
          <w:sz w:val="18"/>
        </w:rPr>
        <w:t>7.143.</w:t>
      </w:r>
    </w:p>
    <w:p w14:paraId="7D3ECD3F" w14:textId="77777777" w:rsidR="00BD462C" w:rsidRDefault="00BD462C">
      <w:pPr>
        <w:rPr>
          <w:sz w:val="18"/>
        </w:rPr>
        <w:sectPr w:rsidR="00BD462C">
          <w:type w:val="continuous"/>
          <w:pgSz w:w="11910" w:h="16840"/>
          <w:pgMar w:top="1700" w:right="500" w:bottom="280" w:left="1280" w:header="566" w:footer="590" w:gutter="0"/>
          <w:cols w:space="720"/>
        </w:sectPr>
      </w:pPr>
    </w:p>
    <w:p w14:paraId="6D54D256"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6A161A8F"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6D05E0C0"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158C08CF" w14:textId="2BE97FB4" w:rsidR="00BD462C" w:rsidRDefault="00D70C7D">
      <w:pPr>
        <w:pStyle w:val="BodyText"/>
        <w:tabs>
          <w:tab w:val="left" w:pos="8598"/>
        </w:tabs>
        <w:spacing w:before="102" w:line="360" w:lineRule="auto"/>
        <w:ind w:left="135" w:right="914"/>
        <w:jc w:val="both"/>
      </w:pPr>
      <w:r>
        <w:rPr>
          <w:noProof/>
        </w:rPr>
        <mc:AlternateContent>
          <mc:Choice Requires="wps">
            <w:drawing>
              <wp:anchor distT="0" distB="0" distL="114300" distR="114300" simplePos="0" relativeHeight="478981120" behindDoc="1" locked="0" layoutInCell="1" allowOverlap="1" wp14:anchorId="5E487E45" wp14:editId="3AD02F61">
                <wp:simplePos x="0" y="0"/>
                <wp:positionH relativeFrom="page">
                  <wp:posOffset>1706245</wp:posOffset>
                </wp:positionH>
                <wp:positionV relativeFrom="paragraph">
                  <wp:posOffset>624205</wp:posOffset>
                </wp:positionV>
                <wp:extent cx="4516120" cy="203835"/>
                <wp:effectExtent l="0" t="0" r="0" b="0"/>
                <wp:wrapNone/>
                <wp:docPr id="1040" name="docshape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6120" cy="2038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D0E0B0" id="docshape196" o:spid="_x0000_s1026" alt="&quot;&quot;" style="position:absolute;margin-left:134.35pt;margin-top:49.15pt;width:355.6pt;height:16.05pt;z-index:-24335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" fillcolor="black" stroked="f">
                <w10:wrap anchorx="page"/>
              </v:rect>
            </w:pict>
          </mc:Fallback>
        </mc:AlternateContent>
      </w:r>
      <w:r w:rsidR="00033D0F">
        <w:t xml:space="preserve">there is a distinction to be made between </w:t>
      </w:r>
      <w:proofErr w:type="spellStart"/>
      <w:r w:rsidR="00033D0F">
        <w:t>incentivising</w:t>
      </w:r>
      <w:proofErr w:type="spellEnd"/>
      <w:r w:rsidR="00033D0F">
        <w:t xml:space="preserve"> cooperation and </w:t>
      </w:r>
      <w:proofErr w:type="spellStart"/>
      <w:r w:rsidR="00033D0F">
        <w:t>incentivising</w:t>
      </w:r>
      <w:proofErr w:type="spellEnd"/>
      <w:r w:rsidR="00033D0F">
        <w:t xml:space="preserve"> manipulation</w:t>
      </w:r>
      <w:r w:rsidR="00033D0F">
        <w:rPr>
          <w:spacing w:val="-2"/>
        </w:rPr>
        <w:t xml:space="preserve"> </w:t>
      </w:r>
      <w:r w:rsidR="00033D0F">
        <w:t>of dumping margins.</w:t>
      </w:r>
      <w:hyperlink w:anchor="_bookmark351" w:history="1">
        <w:r w:rsidR="00033D0F">
          <w:rPr>
            <w:vertAlign w:val="superscript"/>
          </w:rPr>
          <w:t>279</w:t>
        </w:r>
      </w:hyperlink>
      <w:r w:rsidR="00033D0F">
        <w:t xml:space="preserve"> Implicit in</w:t>
      </w:r>
      <w:r w:rsidR="00033D0F">
        <w:rPr>
          <w:spacing w:val="-2"/>
        </w:rPr>
        <w:t xml:space="preserve"> </w:t>
      </w:r>
      <w:r w:rsidR="00033D0F">
        <w:t>China's argument is that it was necessary for MOFCOM</w:t>
      </w:r>
      <w:r w:rsidR="00033D0F">
        <w:rPr>
          <w:spacing w:val="4"/>
        </w:rPr>
        <w:t xml:space="preserve"> </w:t>
      </w:r>
      <w:r w:rsidR="00033D0F">
        <w:rPr>
          <w:spacing w:val="-5"/>
        </w:rPr>
        <w:t>to</w:t>
      </w:r>
      <w:r w:rsidR="00033D0F">
        <w:tab/>
      </w:r>
      <w:r w:rsidR="00033D0F">
        <w:rPr>
          <w:spacing w:val="-2"/>
        </w:rPr>
        <w:t>would</w:t>
      </w:r>
    </w:p>
    <w:p w14:paraId="383AA5C5" w14:textId="77777777" w:rsidR="00BD462C" w:rsidRDefault="00033D0F">
      <w:pPr>
        <w:pStyle w:val="BodyText"/>
        <w:spacing w:line="360" w:lineRule="auto"/>
        <w:ind w:left="135" w:right="917"/>
        <w:jc w:val="both"/>
      </w:pPr>
      <w:proofErr w:type="spellStart"/>
      <w:r>
        <w:t>incentivise</w:t>
      </w:r>
      <w:proofErr w:type="spellEnd"/>
      <w:r>
        <w:t xml:space="preserve"> manipulation of dumping margins. China itself acknowledges that MOFCOM's selection</w:t>
      </w:r>
      <w:r>
        <w:rPr>
          <w:spacing w:val="-14"/>
        </w:rPr>
        <w:t xml:space="preserve"> </w:t>
      </w:r>
      <w:r>
        <w:t>of</w:t>
      </w:r>
      <w:r>
        <w:rPr>
          <w:spacing w:val="-14"/>
        </w:rPr>
        <w:t xml:space="preserve"> </w:t>
      </w:r>
      <w:r>
        <w:t>facts</w:t>
      </w:r>
      <w:r>
        <w:rPr>
          <w:spacing w:val="-13"/>
        </w:rPr>
        <w:t xml:space="preserve"> </w:t>
      </w:r>
      <w:r>
        <w:t>was</w:t>
      </w:r>
      <w:r>
        <w:rPr>
          <w:spacing w:val="-14"/>
        </w:rPr>
        <w:t xml:space="preserve"> </w:t>
      </w:r>
      <w:r>
        <w:t>designed</w:t>
      </w:r>
      <w:r>
        <w:rPr>
          <w:spacing w:val="-13"/>
        </w:rPr>
        <w:t xml:space="preserve"> </w:t>
      </w:r>
      <w:r>
        <w:t>to</w:t>
      </w:r>
      <w:r>
        <w:rPr>
          <w:spacing w:val="-14"/>
        </w:rPr>
        <w:t xml:space="preserve"> </w:t>
      </w:r>
      <w:proofErr w:type="spellStart"/>
      <w:r>
        <w:t>disincentivise</w:t>
      </w:r>
      <w:proofErr w:type="spellEnd"/>
      <w:r>
        <w:rPr>
          <w:spacing w:val="-13"/>
        </w:rPr>
        <w:t xml:space="preserve"> </w:t>
      </w:r>
      <w:r>
        <w:t>the</w:t>
      </w:r>
      <w:r>
        <w:rPr>
          <w:spacing w:val="-14"/>
        </w:rPr>
        <w:t xml:space="preserve"> </w:t>
      </w:r>
      <w:r>
        <w:t>alleged</w:t>
      </w:r>
      <w:r>
        <w:rPr>
          <w:spacing w:val="-14"/>
        </w:rPr>
        <w:t xml:space="preserve"> </w:t>
      </w:r>
      <w:r>
        <w:t>manipulation</w:t>
      </w:r>
      <w:r>
        <w:rPr>
          <w:spacing w:val="-13"/>
        </w:rPr>
        <w:t xml:space="preserve"> </w:t>
      </w:r>
      <w:r>
        <w:t>of</w:t>
      </w:r>
      <w:r>
        <w:rPr>
          <w:spacing w:val="-14"/>
        </w:rPr>
        <w:t xml:space="preserve"> </w:t>
      </w:r>
      <w:r>
        <w:t>dumping</w:t>
      </w:r>
      <w:r>
        <w:rPr>
          <w:spacing w:val="-13"/>
        </w:rPr>
        <w:t xml:space="preserve"> </w:t>
      </w:r>
      <w:r>
        <w:t>margins, i.e., it was not a selection of facts in order to arrive at an accurate dumping determination.</w:t>
      </w:r>
    </w:p>
    <w:p w14:paraId="3CF655BA" w14:textId="77777777" w:rsidR="00BD462C" w:rsidRDefault="00BD462C">
      <w:pPr>
        <w:pStyle w:val="BodyText"/>
        <w:spacing w:before="8"/>
        <w:rPr>
          <w:sz w:val="8"/>
        </w:rPr>
      </w:pPr>
    </w:p>
    <w:p w14:paraId="51438E45" w14:textId="46A2C6A5" w:rsidR="00BD462C" w:rsidRDefault="00033D0F" w:rsidP="0076321F">
      <w:pPr>
        <w:pStyle w:val="BodyText"/>
        <w:numPr>
          <w:ilvl w:val="0"/>
          <w:numId w:val="69"/>
        </w:numPr>
        <w:spacing w:before="56" w:line="360" w:lineRule="auto"/>
        <w:ind w:right="915" w:hanging="638"/>
        <w:jc w:val="both"/>
      </w:pPr>
      <w:r>
        <w:rPr>
          <w:position w:val="1"/>
        </w:rPr>
        <w:t>In</w:t>
      </w:r>
      <w:r>
        <w:rPr>
          <w:spacing w:val="-14"/>
          <w:position w:val="1"/>
        </w:rPr>
        <w:t xml:space="preserve"> </w:t>
      </w:r>
      <w:r>
        <w:rPr>
          <w:position w:val="1"/>
        </w:rPr>
        <w:t>any</w:t>
      </w:r>
      <w:r>
        <w:rPr>
          <w:spacing w:val="-14"/>
          <w:position w:val="1"/>
        </w:rPr>
        <w:t xml:space="preserve"> </w:t>
      </w:r>
      <w:r>
        <w:rPr>
          <w:position w:val="1"/>
        </w:rPr>
        <w:t>event,</w:t>
      </w:r>
      <w:r>
        <w:rPr>
          <w:spacing w:val="-13"/>
          <w:position w:val="1"/>
        </w:rPr>
        <w:t xml:space="preserve"> </w:t>
      </w:r>
      <w:r>
        <w:rPr>
          <w:position w:val="1"/>
        </w:rPr>
        <w:t>Australia</w:t>
      </w:r>
      <w:r>
        <w:rPr>
          <w:spacing w:val="-14"/>
          <w:position w:val="1"/>
        </w:rPr>
        <w:t xml:space="preserve"> </w:t>
      </w:r>
      <w:r>
        <w:rPr>
          <w:position w:val="1"/>
        </w:rPr>
        <w:t>has</w:t>
      </w:r>
      <w:r>
        <w:rPr>
          <w:spacing w:val="-13"/>
          <w:position w:val="1"/>
        </w:rPr>
        <w:t xml:space="preserve"> </w:t>
      </w:r>
      <w:r>
        <w:rPr>
          <w:position w:val="1"/>
        </w:rPr>
        <w:t>demonstrated</w:t>
      </w:r>
      <w:r>
        <w:rPr>
          <w:spacing w:val="-14"/>
          <w:position w:val="1"/>
        </w:rPr>
        <w:t xml:space="preserve"> </w:t>
      </w:r>
      <w:r>
        <w:rPr>
          <w:position w:val="1"/>
        </w:rPr>
        <w:t>that</w:t>
      </w:r>
      <w:r>
        <w:rPr>
          <w:spacing w:val="-10"/>
          <w:position w:val="1"/>
        </w:rPr>
        <w:t xml:space="preserve"> </w:t>
      </w:r>
      <w:r>
        <w:rPr>
          <w:position w:val="1"/>
        </w:rPr>
        <w:t>China's</w:t>
      </w:r>
      <w:r>
        <w:rPr>
          <w:spacing w:val="-14"/>
          <w:position w:val="1"/>
        </w:rPr>
        <w:t xml:space="preserve"> </w:t>
      </w:r>
      <w:r>
        <w:rPr>
          <w:position w:val="1"/>
        </w:rPr>
        <w:t>contention</w:t>
      </w:r>
      <w:r>
        <w:rPr>
          <w:spacing w:val="-14"/>
          <w:position w:val="1"/>
        </w:rPr>
        <w:t xml:space="preserve"> </w:t>
      </w:r>
      <w:r>
        <w:rPr>
          <w:position w:val="1"/>
        </w:rPr>
        <w:t>that</w:t>
      </w:r>
      <w:r>
        <w:rPr>
          <w:spacing w:val="-10"/>
          <w:position w:val="1"/>
        </w:rPr>
        <w:t xml:space="preserve"> </w:t>
      </w:r>
      <w:r>
        <w:rPr>
          <w:position w:val="1"/>
        </w:rPr>
        <w:t>Treasury</w:t>
      </w:r>
      <w:r>
        <w:rPr>
          <w:spacing w:val="-14"/>
          <w:position w:val="1"/>
        </w:rPr>
        <w:t xml:space="preserve"> </w:t>
      </w:r>
      <w:r>
        <w:rPr>
          <w:position w:val="1"/>
        </w:rPr>
        <w:t xml:space="preserve">Wines </w:t>
      </w:r>
      <w:r>
        <w:t>did not act to the best of its ability cannot be maintained. It was MOFCOM, not Treasury Wines, who failed to cooperate. Therefore, the greater degree of flexibility China alleges to exist does not apply on the facts of this dispute.</w:t>
      </w:r>
    </w:p>
    <w:p w14:paraId="27B5D4C5" w14:textId="77777777" w:rsidR="00BD462C" w:rsidRDefault="00033D0F" w:rsidP="00DA02D9">
      <w:pPr>
        <w:pStyle w:val="ListParagraph"/>
        <w:numPr>
          <w:ilvl w:val="1"/>
          <w:numId w:val="70"/>
        </w:numPr>
        <w:tabs>
          <w:tab w:val="left" w:pos="3539"/>
          <w:tab w:val="left" w:pos="3540"/>
        </w:tabs>
        <w:spacing w:before="158"/>
        <w:ind w:hanging="851"/>
        <w:jc w:val="both"/>
        <w:rPr>
          <w:sz w:val="24"/>
        </w:rPr>
      </w:pPr>
      <w:r>
        <w:rPr>
          <w:spacing w:val="-2"/>
          <w:sz w:val="24"/>
          <w:u w:val="single"/>
        </w:rPr>
        <w:t>Conclusion</w:t>
      </w:r>
    </w:p>
    <w:p w14:paraId="05B04C08" w14:textId="77777777" w:rsidR="00BD462C" w:rsidRDefault="00BD462C">
      <w:pPr>
        <w:pStyle w:val="BodyText"/>
        <w:spacing w:before="11"/>
        <w:rPr>
          <w:sz w:val="20"/>
        </w:rPr>
      </w:pPr>
    </w:p>
    <w:p w14:paraId="537D53A4" w14:textId="38554700" w:rsidR="00BD462C" w:rsidRDefault="0076321F" w:rsidP="0076321F">
      <w:pPr>
        <w:pStyle w:val="BodyText"/>
        <w:numPr>
          <w:ilvl w:val="0"/>
          <w:numId w:val="69"/>
        </w:numPr>
        <w:spacing w:before="56" w:line="357" w:lineRule="auto"/>
        <w:ind w:right="917" w:hanging="638"/>
        <w:jc w:val="both"/>
      </w:pPr>
      <w:r>
        <w:rPr>
          <w:noProof/>
        </w:rPr>
        <mc:AlternateContent>
          <mc:Choice Requires="wps">
            <w:drawing>
              <wp:anchor distT="0" distB="0" distL="114300" distR="114300" simplePos="0" relativeHeight="15819264" behindDoc="0" locked="0" layoutInCell="1" allowOverlap="1" wp14:anchorId="1763F49E" wp14:editId="6BEE8445">
                <wp:simplePos x="0" y="0"/>
                <wp:positionH relativeFrom="page">
                  <wp:posOffset>1816100</wp:posOffset>
                </wp:positionH>
                <wp:positionV relativeFrom="paragraph">
                  <wp:posOffset>1136227</wp:posOffset>
                </wp:positionV>
                <wp:extent cx="753533" cy="186055"/>
                <wp:effectExtent l="0" t="0" r="8890" b="4445"/>
                <wp:wrapNone/>
                <wp:docPr id="1036" name="docshape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533"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59BC95" id="docshape198" o:spid="_x0000_s1026" alt="&quot;&quot;" style="position:absolute;margin-left:143pt;margin-top:89.45pt;width:59.35pt;height:14.65pt;z-index:1581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" fillcolor="black" stroked="f">
                <w10:wrap anchorx="page"/>
              </v:rect>
            </w:pict>
          </mc:Fallback>
        </mc:AlternateContent>
      </w:r>
      <w:r w:rsidR="00033D0F">
        <w:rPr>
          <w:position w:val="1"/>
        </w:rPr>
        <w:t>MOFCOM</w:t>
      </w:r>
      <w:r w:rsidR="00033D0F">
        <w:rPr>
          <w:spacing w:val="-2"/>
          <w:position w:val="1"/>
        </w:rPr>
        <w:t xml:space="preserve"> </w:t>
      </w:r>
      <w:r w:rsidR="00033D0F">
        <w:rPr>
          <w:position w:val="1"/>
        </w:rPr>
        <w:t>failed</w:t>
      </w:r>
      <w:r w:rsidR="00033D0F">
        <w:rPr>
          <w:spacing w:val="-4"/>
          <w:position w:val="1"/>
        </w:rPr>
        <w:t xml:space="preserve"> </w:t>
      </w:r>
      <w:r w:rsidR="00033D0F">
        <w:rPr>
          <w:position w:val="1"/>
        </w:rPr>
        <w:t>to</w:t>
      </w:r>
      <w:r w:rsidR="00033D0F">
        <w:rPr>
          <w:spacing w:val="-5"/>
          <w:position w:val="1"/>
        </w:rPr>
        <w:t xml:space="preserve"> </w:t>
      </w:r>
      <w:r w:rsidR="00033D0F">
        <w:rPr>
          <w:position w:val="1"/>
        </w:rPr>
        <w:t>undertake</w:t>
      </w:r>
      <w:r w:rsidR="00033D0F">
        <w:rPr>
          <w:spacing w:val="-2"/>
          <w:position w:val="1"/>
        </w:rPr>
        <w:t xml:space="preserve"> </w:t>
      </w:r>
      <w:r w:rsidR="00033D0F">
        <w:rPr>
          <w:position w:val="1"/>
        </w:rPr>
        <w:t>"a</w:t>
      </w:r>
      <w:r w:rsidR="00033D0F">
        <w:rPr>
          <w:spacing w:val="-3"/>
          <w:position w:val="1"/>
        </w:rPr>
        <w:t xml:space="preserve"> </w:t>
      </w:r>
      <w:r w:rsidR="00033D0F">
        <w:rPr>
          <w:position w:val="1"/>
        </w:rPr>
        <w:t>process</w:t>
      </w:r>
      <w:r w:rsidR="00033D0F">
        <w:rPr>
          <w:spacing w:val="-1"/>
          <w:position w:val="1"/>
        </w:rPr>
        <w:t xml:space="preserve"> </w:t>
      </w:r>
      <w:r w:rsidR="00033D0F">
        <w:rPr>
          <w:position w:val="1"/>
        </w:rPr>
        <w:t>of</w:t>
      </w:r>
      <w:r w:rsidR="00033D0F">
        <w:rPr>
          <w:spacing w:val="-4"/>
          <w:position w:val="1"/>
        </w:rPr>
        <w:t xml:space="preserve"> </w:t>
      </w:r>
      <w:r w:rsidR="00033D0F">
        <w:rPr>
          <w:position w:val="1"/>
        </w:rPr>
        <w:t>reasoning</w:t>
      </w:r>
      <w:r w:rsidR="00033D0F">
        <w:rPr>
          <w:spacing w:val="-1"/>
          <w:position w:val="1"/>
        </w:rPr>
        <w:t xml:space="preserve"> </w:t>
      </w:r>
      <w:r w:rsidR="00033D0F">
        <w:rPr>
          <w:position w:val="1"/>
        </w:rPr>
        <w:t>and</w:t>
      </w:r>
      <w:r w:rsidR="00033D0F">
        <w:rPr>
          <w:spacing w:val="-4"/>
          <w:position w:val="1"/>
        </w:rPr>
        <w:t xml:space="preserve"> </w:t>
      </w:r>
      <w:r w:rsidR="00033D0F">
        <w:rPr>
          <w:position w:val="1"/>
        </w:rPr>
        <w:t>evaluation"</w:t>
      </w:r>
      <w:r w:rsidR="00033D0F">
        <w:rPr>
          <w:spacing w:val="-3"/>
          <w:position w:val="1"/>
        </w:rPr>
        <w:t xml:space="preserve"> </w:t>
      </w:r>
      <w:r w:rsidR="00033D0F">
        <w:rPr>
          <w:position w:val="1"/>
        </w:rPr>
        <w:t>to</w:t>
      </w:r>
      <w:r w:rsidR="00033D0F">
        <w:rPr>
          <w:spacing w:val="-5"/>
          <w:position w:val="1"/>
        </w:rPr>
        <w:t xml:space="preserve"> </w:t>
      </w:r>
      <w:r w:rsidR="00033D0F">
        <w:rPr>
          <w:position w:val="1"/>
        </w:rPr>
        <w:t>select</w:t>
      </w:r>
      <w:r w:rsidR="00033D0F">
        <w:rPr>
          <w:spacing w:val="-2"/>
          <w:position w:val="1"/>
        </w:rPr>
        <w:t xml:space="preserve"> </w:t>
      </w:r>
      <w:r w:rsidR="00033D0F">
        <w:rPr>
          <w:position w:val="1"/>
        </w:rPr>
        <w:t xml:space="preserve">facts </w:t>
      </w:r>
      <w:r w:rsidR="00033D0F">
        <w:t xml:space="preserve">which reasonably replaced the alleged missing necessary information in order to arrive at an accurate determination of dumping. China's </w:t>
      </w:r>
      <w:r w:rsidR="00033D0F">
        <w:rPr>
          <w:i/>
        </w:rPr>
        <w:t xml:space="preserve">ex post facto </w:t>
      </w:r>
      <w:proofErr w:type="spellStart"/>
      <w:r w:rsidR="00033D0F">
        <w:t>rationalisations</w:t>
      </w:r>
      <w:proofErr w:type="spellEnd"/>
      <w:r w:rsidR="00033D0F">
        <w:t xml:space="preserve"> in no way justify MOFCOM's</w:t>
      </w:r>
      <w:r w:rsidR="00033D0F">
        <w:rPr>
          <w:spacing w:val="40"/>
        </w:rPr>
        <w:t xml:space="preserve"> </w:t>
      </w:r>
      <w:r w:rsidR="00033D0F">
        <w:t>selection</w:t>
      </w:r>
      <w:r w:rsidR="00033D0F">
        <w:rPr>
          <w:spacing w:val="37"/>
        </w:rPr>
        <w:t xml:space="preserve"> </w:t>
      </w:r>
      <w:r w:rsidR="00033D0F">
        <w:t>of</w:t>
      </w:r>
      <w:r w:rsidR="00033D0F">
        <w:rPr>
          <w:spacing w:val="38"/>
        </w:rPr>
        <w:t xml:space="preserve"> </w:t>
      </w:r>
      <w:proofErr w:type="gramStart"/>
      <w:r w:rsidR="00033D0F">
        <w:t>facts,</w:t>
      </w:r>
      <w:r w:rsidR="00033D0F">
        <w:rPr>
          <w:spacing w:val="40"/>
        </w:rPr>
        <w:t xml:space="preserve"> </w:t>
      </w:r>
      <w:r w:rsidR="00033D0F">
        <w:t>or</w:t>
      </w:r>
      <w:proofErr w:type="gramEnd"/>
      <w:r w:rsidR="00033D0F">
        <w:rPr>
          <w:spacing w:val="40"/>
        </w:rPr>
        <w:t xml:space="preserve"> </w:t>
      </w:r>
      <w:r w:rsidR="00033D0F">
        <w:t>demonstrate</w:t>
      </w:r>
      <w:r w:rsidR="00033D0F">
        <w:rPr>
          <w:spacing w:val="39"/>
        </w:rPr>
        <w:t xml:space="preserve"> </w:t>
      </w:r>
      <w:r w:rsidR="00033D0F">
        <w:t>that</w:t>
      </w:r>
      <w:r w:rsidR="00033D0F">
        <w:rPr>
          <w:spacing w:val="40"/>
        </w:rPr>
        <w:t xml:space="preserve"> </w:t>
      </w:r>
      <w:r w:rsidR="00033D0F">
        <w:t>the</w:t>
      </w:r>
      <w:r w:rsidR="00033D0F">
        <w:rPr>
          <w:spacing w:val="39"/>
        </w:rPr>
        <w:t xml:space="preserve"> </w:t>
      </w:r>
      <w:r w:rsidR="00033D0F">
        <w:t>cost</w:t>
      </w:r>
      <w:r w:rsidR="00033D0F">
        <w:rPr>
          <w:spacing w:val="40"/>
        </w:rPr>
        <w:t xml:space="preserve"> </w:t>
      </w:r>
      <w:r w:rsidR="00033D0F">
        <w:t>of</w:t>
      </w:r>
      <w:r w:rsidR="00033D0F">
        <w:rPr>
          <w:spacing w:val="38"/>
        </w:rPr>
        <w:t xml:space="preserve"> </w:t>
      </w:r>
      <w:r w:rsidR="00033D0F">
        <w:t>production</w:t>
      </w:r>
      <w:r w:rsidR="00033D0F">
        <w:rPr>
          <w:spacing w:val="40"/>
        </w:rPr>
        <w:t xml:space="preserve"> </w:t>
      </w:r>
      <w:r w:rsidR="00033D0F">
        <w:t>for</w:t>
      </w:r>
      <w:r w:rsidR="00033D0F">
        <w:rPr>
          <w:spacing w:val="40"/>
        </w:rPr>
        <w:t xml:space="preserve"> </w:t>
      </w:r>
      <w:r w:rsidR="00033D0F">
        <w:t>the</w:t>
      </w:r>
      <w:r>
        <w:tab/>
      </w:r>
      <w:r>
        <w:tab/>
      </w:r>
      <w:r w:rsidR="00033D0F">
        <w:t>was</w:t>
      </w:r>
      <w:r w:rsidR="00033D0F" w:rsidRPr="0076321F">
        <w:rPr>
          <w:spacing w:val="-2"/>
        </w:rPr>
        <w:t xml:space="preserve"> </w:t>
      </w:r>
      <w:r w:rsidR="00033D0F">
        <w:t>the</w:t>
      </w:r>
      <w:r w:rsidR="00033D0F" w:rsidRPr="0076321F">
        <w:rPr>
          <w:spacing w:val="-4"/>
        </w:rPr>
        <w:t xml:space="preserve"> </w:t>
      </w:r>
      <w:r w:rsidR="00033D0F">
        <w:t>"best</w:t>
      </w:r>
      <w:r w:rsidR="00033D0F" w:rsidRPr="0076321F">
        <w:rPr>
          <w:spacing w:val="-3"/>
        </w:rPr>
        <w:t xml:space="preserve"> </w:t>
      </w:r>
      <w:r w:rsidR="00033D0F">
        <w:t>information</w:t>
      </w:r>
      <w:r w:rsidR="00033D0F" w:rsidRPr="0076321F">
        <w:rPr>
          <w:spacing w:val="-4"/>
        </w:rPr>
        <w:t xml:space="preserve"> </w:t>
      </w:r>
      <w:r w:rsidR="00033D0F" w:rsidRPr="0076321F">
        <w:rPr>
          <w:spacing w:val="-2"/>
        </w:rPr>
        <w:t>available".</w:t>
      </w:r>
    </w:p>
    <w:p w14:paraId="09FEAD5F" w14:textId="77777777" w:rsidR="00BD462C" w:rsidRDefault="00BD462C">
      <w:pPr>
        <w:pStyle w:val="BodyText"/>
        <w:spacing w:before="12"/>
        <w:rPr>
          <w:sz w:val="20"/>
        </w:rPr>
      </w:pPr>
    </w:p>
    <w:p w14:paraId="0A4DD37B" w14:textId="279F78D5" w:rsidR="00BD462C" w:rsidRDefault="00033D0F" w:rsidP="0076321F">
      <w:pPr>
        <w:pStyle w:val="BodyText"/>
        <w:numPr>
          <w:ilvl w:val="0"/>
          <w:numId w:val="69"/>
        </w:numPr>
        <w:spacing w:before="56" w:line="357" w:lineRule="auto"/>
        <w:ind w:right="917"/>
        <w:jc w:val="both"/>
      </w:pPr>
      <w:r>
        <w:rPr>
          <w:position w:val="1"/>
        </w:rPr>
        <w:t>Based</w:t>
      </w:r>
      <w:r>
        <w:rPr>
          <w:spacing w:val="-9"/>
          <w:position w:val="1"/>
        </w:rPr>
        <w:t xml:space="preserve"> </w:t>
      </w:r>
      <w:r>
        <w:rPr>
          <w:position w:val="1"/>
        </w:rPr>
        <w:t>on</w:t>
      </w:r>
      <w:r>
        <w:rPr>
          <w:spacing w:val="-9"/>
          <w:position w:val="1"/>
        </w:rPr>
        <w:t xml:space="preserve"> </w:t>
      </w:r>
      <w:r>
        <w:rPr>
          <w:position w:val="1"/>
        </w:rPr>
        <w:t>the</w:t>
      </w:r>
      <w:r>
        <w:rPr>
          <w:spacing w:val="-3"/>
          <w:position w:val="1"/>
        </w:rPr>
        <w:t xml:space="preserve"> </w:t>
      </w:r>
      <w:r>
        <w:rPr>
          <w:position w:val="1"/>
        </w:rPr>
        <w:t>reasons</w:t>
      </w:r>
      <w:r>
        <w:rPr>
          <w:spacing w:val="-6"/>
          <w:position w:val="1"/>
        </w:rPr>
        <w:t xml:space="preserve"> </w:t>
      </w:r>
      <w:r>
        <w:rPr>
          <w:position w:val="1"/>
        </w:rPr>
        <w:t>set</w:t>
      </w:r>
      <w:r>
        <w:rPr>
          <w:spacing w:val="-7"/>
          <w:position w:val="1"/>
        </w:rPr>
        <w:t xml:space="preserve"> </w:t>
      </w:r>
      <w:r>
        <w:rPr>
          <w:position w:val="1"/>
        </w:rPr>
        <w:t>out</w:t>
      </w:r>
      <w:r>
        <w:rPr>
          <w:spacing w:val="-7"/>
          <w:position w:val="1"/>
        </w:rPr>
        <w:t xml:space="preserve"> </w:t>
      </w:r>
      <w:r>
        <w:rPr>
          <w:position w:val="1"/>
        </w:rPr>
        <w:t>above,</w:t>
      </w:r>
      <w:r>
        <w:rPr>
          <w:spacing w:val="-5"/>
          <w:position w:val="1"/>
        </w:rPr>
        <w:t xml:space="preserve"> </w:t>
      </w:r>
      <w:r>
        <w:rPr>
          <w:position w:val="1"/>
        </w:rPr>
        <w:t>and</w:t>
      </w:r>
      <w:r>
        <w:rPr>
          <w:spacing w:val="-4"/>
          <w:position w:val="1"/>
        </w:rPr>
        <w:t xml:space="preserve"> </w:t>
      </w:r>
      <w:r>
        <w:rPr>
          <w:position w:val="1"/>
        </w:rPr>
        <w:t>in</w:t>
      </w:r>
      <w:r>
        <w:rPr>
          <w:spacing w:val="-9"/>
          <w:position w:val="1"/>
        </w:rPr>
        <w:t xml:space="preserve"> </w:t>
      </w:r>
      <w:r>
        <w:rPr>
          <w:position w:val="1"/>
        </w:rPr>
        <w:t>Australia's</w:t>
      </w:r>
      <w:r>
        <w:rPr>
          <w:spacing w:val="-6"/>
          <w:position w:val="1"/>
        </w:rPr>
        <w:t xml:space="preserve"> </w:t>
      </w:r>
      <w:r>
        <w:rPr>
          <w:position w:val="1"/>
        </w:rPr>
        <w:t>first</w:t>
      </w:r>
      <w:r>
        <w:rPr>
          <w:spacing w:val="-7"/>
          <w:position w:val="1"/>
        </w:rPr>
        <w:t xml:space="preserve"> </w:t>
      </w:r>
      <w:r>
        <w:rPr>
          <w:position w:val="1"/>
        </w:rPr>
        <w:t>written</w:t>
      </w:r>
      <w:r>
        <w:rPr>
          <w:spacing w:val="-9"/>
          <w:position w:val="1"/>
        </w:rPr>
        <w:t xml:space="preserve"> </w:t>
      </w:r>
      <w:r>
        <w:rPr>
          <w:position w:val="1"/>
        </w:rPr>
        <w:t>submission,</w:t>
      </w:r>
      <w:r>
        <w:rPr>
          <w:spacing w:val="-5"/>
          <w:position w:val="1"/>
        </w:rPr>
        <w:t xml:space="preserve"> </w:t>
      </w:r>
      <w:r>
        <w:rPr>
          <w:position w:val="1"/>
        </w:rPr>
        <w:t xml:space="preserve">China </w:t>
      </w:r>
      <w:r>
        <w:t>has failed to rebut Australia's claims that MOFCOM acted inconsistently with Article 6.8 and paragraph 7 of Annex II in its selection of facts for Treasury Wines' cost of production.</w:t>
      </w:r>
    </w:p>
    <w:p w14:paraId="66B6D179" w14:textId="77777777" w:rsidR="00BD462C" w:rsidRDefault="00033D0F" w:rsidP="00DA02D9">
      <w:pPr>
        <w:pStyle w:val="Heading3"/>
        <w:numPr>
          <w:ilvl w:val="0"/>
          <w:numId w:val="70"/>
        </w:numPr>
        <w:tabs>
          <w:tab w:val="left" w:pos="2689"/>
          <w:tab w:val="left" w:pos="2690"/>
        </w:tabs>
        <w:spacing w:before="164"/>
      </w:pPr>
      <w:bookmarkStart w:id="406" w:name="8._Articles_2.1,_2.2,_2.2.1_and_2.2.1.1"/>
      <w:bookmarkStart w:id="407" w:name="_bookmark350"/>
      <w:bookmarkEnd w:id="406"/>
      <w:bookmarkEnd w:id="407"/>
      <w:r>
        <w:t>Articles</w:t>
      </w:r>
      <w:r>
        <w:rPr>
          <w:spacing w:val="-1"/>
        </w:rPr>
        <w:t xml:space="preserve"> </w:t>
      </w:r>
      <w:r>
        <w:t>2.1,</w:t>
      </w:r>
      <w:r>
        <w:rPr>
          <w:spacing w:val="-1"/>
        </w:rPr>
        <w:t xml:space="preserve"> </w:t>
      </w:r>
      <w:r>
        <w:t>2.2,</w:t>
      </w:r>
      <w:r>
        <w:rPr>
          <w:spacing w:val="-4"/>
        </w:rPr>
        <w:t xml:space="preserve"> </w:t>
      </w:r>
      <w:r>
        <w:t>2.2.1</w:t>
      </w:r>
      <w:r>
        <w:rPr>
          <w:spacing w:val="-2"/>
        </w:rPr>
        <w:t xml:space="preserve"> </w:t>
      </w:r>
      <w:r>
        <w:t>and</w:t>
      </w:r>
      <w:r>
        <w:rPr>
          <w:spacing w:val="-4"/>
        </w:rPr>
        <w:t xml:space="preserve"> </w:t>
      </w:r>
      <w:r>
        <w:rPr>
          <w:spacing w:val="-2"/>
        </w:rPr>
        <w:t>2.2.1.1</w:t>
      </w:r>
    </w:p>
    <w:p w14:paraId="0E8F0D37" w14:textId="77777777" w:rsidR="00BD462C" w:rsidRDefault="00BD462C">
      <w:pPr>
        <w:pStyle w:val="BodyText"/>
        <w:spacing w:before="11"/>
        <w:rPr>
          <w:b/>
          <w:sz w:val="20"/>
        </w:rPr>
      </w:pPr>
    </w:p>
    <w:p w14:paraId="20FAACEE" w14:textId="0CCD57F1" w:rsidR="00BD462C" w:rsidRDefault="00033D0F" w:rsidP="0076321F">
      <w:pPr>
        <w:pStyle w:val="BodyText"/>
        <w:numPr>
          <w:ilvl w:val="0"/>
          <w:numId w:val="69"/>
        </w:numPr>
        <w:spacing w:before="56" w:line="357" w:lineRule="auto"/>
        <w:ind w:right="913"/>
        <w:jc w:val="both"/>
      </w:pPr>
      <w:r>
        <w:rPr>
          <w:position w:val="1"/>
        </w:rPr>
        <w:t>As a result of MOFCOM acting inconsistently with</w:t>
      </w:r>
      <w:r>
        <w:rPr>
          <w:spacing w:val="-4"/>
          <w:position w:val="1"/>
        </w:rPr>
        <w:t xml:space="preserve"> </w:t>
      </w:r>
      <w:r>
        <w:rPr>
          <w:position w:val="1"/>
        </w:rPr>
        <w:t xml:space="preserve">Article 6.8 and paragraphs 1, 3, 5, </w:t>
      </w:r>
      <w:r>
        <w:t>6 and 7 of Annex II, the foundation for its dumping determination for Treasury Wines was fatally flawed, resulting in a dumping determination that was inconsistent with Articles 2.1, 2.2, 2.2.1 and 2.2.1.1.</w:t>
      </w:r>
      <w:hyperlink w:anchor="_bookmark352" w:history="1">
        <w:r>
          <w:rPr>
            <w:vertAlign w:val="superscript"/>
          </w:rPr>
          <w:t>280</w:t>
        </w:r>
      </w:hyperlink>
    </w:p>
    <w:p w14:paraId="436A4E78" w14:textId="77777777" w:rsidR="00BD462C" w:rsidRDefault="00BD462C">
      <w:pPr>
        <w:pStyle w:val="BodyText"/>
        <w:rPr>
          <w:sz w:val="20"/>
        </w:rPr>
      </w:pPr>
    </w:p>
    <w:p w14:paraId="60512F1A" w14:textId="77777777" w:rsidR="00BD462C" w:rsidRDefault="00BD462C">
      <w:pPr>
        <w:pStyle w:val="BodyText"/>
        <w:rPr>
          <w:sz w:val="20"/>
        </w:rPr>
      </w:pPr>
    </w:p>
    <w:p w14:paraId="2588ECA9" w14:textId="173B88D3" w:rsidR="00BD462C" w:rsidRDefault="00AC5C65">
      <w:pPr>
        <w:pStyle w:val="BodyText"/>
        <w:rPr>
          <w:sz w:val="20"/>
        </w:rPr>
      </w:pPr>
      <w:r>
        <w:rPr>
          <w:noProof/>
        </w:rPr>
        <mc:AlternateContent>
          <mc:Choice Requires="wps">
            <w:drawing>
              <wp:anchor distT="0" distB="0" distL="0" distR="0" simplePos="0" relativeHeight="488329728" behindDoc="1" locked="0" layoutInCell="1" allowOverlap="1" wp14:anchorId="4D16FBB9" wp14:editId="61FCD04E">
                <wp:simplePos x="0" y="0"/>
                <wp:positionH relativeFrom="page">
                  <wp:posOffset>812800</wp:posOffset>
                </wp:positionH>
                <wp:positionV relativeFrom="paragraph">
                  <wp:posOffset>259715</wp:posOffset>
                </wp:positionV>
                <wp:extent cx="1828800" cy="8890"/>
                <wp:effectExtent l="0" t="0" r="0" b="0"/>
                <wp:wrapTopAndBottom/>
                <wp:docPr id="1336" name="docshape5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ECDB5E" id="docshape591" o:spid="_x0000_s1026" alt="&quot;&quot;" style="position:absolute;margin-left:64pt;margin-top:20.45pt;width:2in;height:.7pt;z-index:-14986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" fillcolor="black" stroked="f">
                <w10:wrap type="topAndBottom" anchorx="page"/>
              </v:rect>
            </w:pict>
          </mc:Fallback>
        </mc:AlternateContent>
      </w:r>
    </w:p>
    <w:p w14:paraId="10EBDEAC" w14:textId="72B14F49" w:rsidR="00BD462C" w:rsidRDefault="00BD462C">
      <w:pPr>
        <w:pStyle w:val="BodyText"/>
        <w:spacing w:before="3"/>
        <w:rPr>
          <w:sz w:val="13"/>
        </w:rPr>
      </w:pPr>
    </w:p>
    <w:p w14:paraId="43CA26B4" w14:textId="77777777" w:rsidR="00BD462C" w:rsidRDefault="00033D0F">
      <w:pPr>
        <w:spacing w:before="112"/>
        <w:ind w:left="135"/>
        <w:rPr>
          <w:sz w:val="18"/>
        </w:rPr>
      </w:pPr>
      <w:bookmarkStart w:id="408" w:name="_bookmark351"/>
      <w:bookmarkEnd w:id="408"/>
      <w:r>
        <w:rPr>
          <w:position w:val="5"/>
          <w:sz w:val="12"/>
        </w:rPr>
        <w:t>279</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 xml:space="preserve">submission, para. </w:t>
      </w:r>
      <w:r>
        <w:rPr>
          <w:spacing w:val="-4"/>
          <w:sz w:val="18"/>
        </w:rPr>
        <w:t>460.</w:t>
      </w:r>
    </w:p>
    <w:p w14:paraId="3D3BA666" w14:textId="77777777" w:rsidR="00BD462C" w:rsidRDefault="00033D0F">
      <w:pPr>
        <w:spacing w:before="1"/>
        <w:ind w:left="135"/>
        <w:rPr>
          <w:sz w:val="18"/>
        </w:rPr>
      </w:pPr>
      <w:bookmarkStart w:id="409" w:name="_bookmark352"/>
      <w:bookmarkEnd w:id="409"/>
      <w:r>
        <w:rPr>
          <w:position w:val="5"/>
          <w:sz w:val="12"/>
        </w:rPr>
        <w:t>280</w:t>
      </w:r>
      <w:r>
        <w:rPr>
          <w:spacing w:val="12"/>
          <w:position w:val="5"/>
          <w:sz w:val="12"/>
        </w:rPr>
        <w:t xml:space="preserve"> </w:t>
      </w:r>
      <w:r>
        <w:rPr>
          <w:sz w:val="18"/>
        </w:rPr>
        <w:t>Australia's</w:t>
      </w:r>
      <w:r>
        <w:rPr>
          <w:spacing w:val="-7"/>
          <w:sz w:val="18"/>
        </w:rPr>
        <w:t xml:space="preserve"> </w:t>
      </w:r>
      <w:r>
        <w:rPr>
          <w:sz w:val="18"/>
        </w:rPr>
        <w:t>first</w:t>
      </w:r>
      <w:r>
        <w:rPr>
          <w:spacing w:val="-5"/>
          <w:sz w:val="18"/>
        </w:rPr>
        <w:t xml:space="preserve"> </w:t>
      </w:r>
      <w:r>
        <w:rPr>
          <w:sz w:val="18"/>
        </w:rPr>
        <w:t>written</w:t>
      </w:r>
      <w:r>
        <w:rPr>
          <w:spacing w:val="-3"/>
          <w:sz w:val="18"/>
        </w:rPr>
        <w:t xml:space="preserve"> </w:t>
      </w:r>
      <w:r>
        <w:rPr>
          <w:sz w:val="18"/>
        </w:rPr>
        <w:t>submission, paras.</w:t>
      </w:r>
      <w:r>
        <w:rPr>
          <w:spacing w:val="-5"/>
          <w:sz w:val="18"/>
        </w:rPr>
        <w:t xml:space="preserve"> </w:t>
      </w:r>
      <w:r>
        <w:rPr>
          <w:sz w:val="18"/>
        </w:rPr>
        <w:t>240-</w:t>
      </w:r>
      <w:r>
        <w:rPr>
          <w:spacing w:val="-4"/>
          <w:sz w:val="18"/>
        </w:rPr>
        <w:t>285.</w:t>
      </w:r>
    </w:p>
    <w:p w14:paraId="346B7D2F" w14:textId="77777777" w:rsidR="00BD462C" w:rsidRDefault="00BD462C">
      <w:pPr>
        <w:rPr>
          <w:sz w:val="18"/>
        </w:rPr>
        <w:sectPr w:rsidR="00BD462C">
          <w:pgSz w:w="11910" w:h="16840"/>
          <w:pgMar w:top="860" w:right="500" w:bottom="780" w:left="1280" w:header="566" w:footer="590" w:gutter="0"/>
          <w:cols w:space="720"/>
        </w:sectPr>
      </w:pPr>
    </w:p>
    <w:p w14:paraId="1AAE3DA8"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298017BF"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321BB954"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6CA1952B" w14:textId="77777777" w:rsidR="00BD462C" w:rsidRDefault="00033D0F" w:rsidP="00DA02D9">
      <w:pPr>
        <w:pStyle w:val="Heading3"/>
        <w:numPr>
          <w:ilvl w:val="0"/>
          <w:numId w:val="70"/>
        </w:numPr>
        <w:tabs>
          <w:tab w:val="left" w:pos="2689"/>
          <w:tab w:val="left" w:pos="2690"/>
        </w:tabs>
      </w:pPr>
      <w:bookmarkStart w:id="410" w:name="9._MOFCOM_did_not_make_a_fair_comparison"/>
      <w:bookmarkStart w:id="411" w:name="_bookmark353"/>
      <w:bookmarkEnd w:id="410"/>
      <w:bookmarkEnd w:id="411"/>
      <w:r>
        <w:t>MOFCOM</w:t>
      </w:r>
      <w:r>
        <w:rPr>
          <w:spacing w:val="-3"/>
        </w:rPr>
        <w:t xml:space="preserve"> </w:t>
      </w:r>
      <w:r>
        <w:t>did</w:t>
      </w:r>
      <w:r>
        <w:rPr>
          <w:spacing w:val="-2"/>
        </w:rPr>
        <w:t xml:space="preserve"> </w:t>
      </w:r>
      <w:r>
        <w:t>not</w:t>
      </w:r>
      <w:r>
        <w:rPr>
          <w:spacing w:val="-6"/>
        </w:rPr>
        <w:t xml:space="preserve"> </w:t>
      </w:r>
      <w:r>
        <w:t>make</w:t>
      </w:r>
      <w:r>
        <w:rPr>
          <w:spacing w:val="-4"/>
        </w:rPr>
        <w:t xml:space="preserve"> </w:t>
      </w:r>
      <w:r>
        <w:t>a</w:t>
      </w:r>
      <w:r>
        <w:rPr>
          <w:spacing w:val="-2"/>
        </w:rPr>
        <w:t xml:space="preserve"> </w:t>
      </w:r>
      <w:r>
        <w:t>fair</w:t>
      </w:r>
      <w:r>
        <w:rPr>
          <w:spacing w:val="-2"/>
        </w:rPr>
        <w:t xml:space="preserve"> </w:t>
      </w:r>
      <w:r>
        <w:t>comparison</w:t>
      </w:r>
      <w:r>
        <w:rPr>
          <w:spacing w:val="-3"/>
        </w:rPr>
        <w:t xml:space="preserve"> </w:t>
      </w:r>
      <w:r>
        <w:t>under</w:t>
      </w:r>
      <w:r>
        <w:rPr>
          <w:spacing w:val="-2"/>
        </w:rPr>
        <w:t xml:space="preserve"> </w:t>
      </w:r>
      <w:r>
        <w:t>Article</w:t>
      </w:r>
      <w:r>
        <w:rPr>
          <w:spacing w:val="1"/>
        </w:rPr>
        <w:t xml:space="preserve"> </w:t>
      </w:r>
      <w:r>
        <w:rPr>
          <w:spacing w:val="-5"/>
        </w:rPr>
        <w:t>2.4</w:t>
      </w:r>
    </w:p>
    <w:p w14:paraId="0DE481AB" w14:textId="77777777" w:rsidR="00BD462C" w:rsidRDefault="00BD462C">
      <w:pPr>
        <w:pStyle w:val="BodyText"/>
        <w:spacing w:before="7"/>
        <w:rPr>
          <w:b/>
          <w:sz w:val="20"/>
        </w:rPr>
      </w:pPr>
    </w:p>
    <w:p w14:paraId="124F3818" w14:textId="5AB1EAED" w:rsidR="00BD462C" w:rsidRDefault="00033D0F" w:rsidP="0076321F">
      <w:pPr>
        <w:pStyle w:val="BodyText"/>
        <w:numPr>
          <w:ilvl w:val="0"/>
          <w:numId w:val="69"/>
        </w:numPr>
        <w:spacing w:before="56" w:line="360" w:lineRule="auto"/>
        <w:ind w:right="911"/>
        <w:jc w:val="both"/>
      </w:pPr>
      <w:r>
        <w:rPr>
          <w:position w:val="1"/>
        </w:rPr>
        <w:t>Even</w:t>
      </w:r>
      <w:r>
        <w:rPr>
          <w:spacing w:val="-10"/>
          <w:position w:val="1"/>
        </w:rPr>
        <w:t xml:space="preserve"> </w:t>
      </w:r>
      <w:r>
        <w:rPr>
          <w:position w:val="1"/>
        </w:rPr>
        <w:t>if</w:t>
      </w:r>
      <w:r>
        <w:rPr>
          <w:spacing w:val="-10"/>
          <w:position w:val="1"/>
        </w:rPr>
        <w:t xml:space="preserve"> </w:t>
      </w:r>
      <w:r>
        <w:rPr>
          <w:position w:val="1"/>
        </w:rPr>
        <w:t>the</w:t>
      </w:r>
      <w:r>
        <w:rPr>
          <w:spacing w:val="-8"/>
          <w:position w:val="1"/>
        </w:rPr>
        <w:t xml:space="preserve"> </w:t>
      </w:r>
      <w:r>
        <w:rPr>
          <w:position w:val="1"/>
        </w:rPr>
        <w:t>Panel</w:t>
      </w:r>
      <w:r>
        <w:rPr>
          <w:spacing w:val="-6"/>
          <w:position w:val="1"/>
        </w:rPr>
        <w:t xml:space="preserve"> </w:t>
      </w:r>
      <w:r>
        <w:rPr>
          <w:position w:val="1"/>
        </w:rPr>
        <w:t>finds</w:t>
      </w:r>
      <w:r>
        <w:rPr>
          <w:spacing w:val="-7"/>
          <w:position w:val="1"/>
        </w:rPr>
        <w:t xml:space="preserve"> </w:t>
      </w:r>
      <w:r>
        <w:rPr>
          <w:position w:val="1"/>
        </w:rPr>
        <w:t>MOFCOM's</w:t>
      </w:r>
      <w:r>
        <w:rPr>
          <w:spacing w:val="-7"/>
          <w:position w:val="1"/>
        </w:rPr>
        <w:t xml:space="preserve"> </w:t>
      </w:r>
      <w:r>
        <w:rPr>
          <w:position w:val="1"/>
        </w:rPr>
        <w:t>calculation</w:t>
      </w:r>
      <w:r>
        <w:rPr>
          <w:spacing w:val="-10"/>
          <w:position w:val="1"/>
        </w:rPr>
        <w:t xml:space="preserve"> </w:t>
      </w:r>
      <w:r>
        <w:rPr>
          <w:position w:val="1"/>
        </w:rPr>
        <w:t>of</w:t>
      </w:r>
      <w:r>
        <w:rPr>
          <w:spacing w:val="-10"/>
          <w:position w:val="1"/>
        </w:rPr>
        <w:t xml:space="preserve"> </w:t>
      </w:r>
      <w:r>
        <w:rPr>
          <w:position w:val="1"/>
        </w:rPr>
        <w:t>the</w:t>
      </w:r>
      <w:r>
        <w:rPr>
          <w:spacing w:val="-8"/>
          <w:position w:val="1"/>
        </w:rPr>
        <w:t xml:space="preserve"> </w:t>
      </w:r>
      <w:r>
        <w:rPr>
          <w:position w:val="1"/>
        </w:rPr>
        <w:t>normal</w:t>
      </w:r>
      <w:r>
        <w:rPr>
          <w:spacing w:val="-6"/>
          <w:position w:val="1"/>
        </w:rPr>
        <w:t xml:space="preserve"> </w:t>
      </w:r>
      <w:r>
        <w:rPr>
          <w:position w:val="1"/>
        </w:rPr>
        <w:t>value</w:t>
      </w:r>
      <w:r>
        <w:rPr>
          <w:spacing w:val="-8"/>
          <w:position w:val="1"/>
        </w:rPr>
        <w:t xml:space="preserve"> </w:t>
      </w:r>
      <w:r>
        <w:rPr>
          <w:position w:val="1"/>
        </w:rPr>
        <w:t>for</w:t>
      </w:r>
      <w:r>
        <w:rPr>
          <w:spacing w:val="-11"/>
          <w:position w:val="1"/>
        </w:rPr>
        <w:t xml:space="preserve"> </w:t>
      </w:r>
      <w:r>
        <w:rPr>
          <w:position w:val="1"/>
        </w:rPr>
        <w:t>Treasury</w:t>
      </w:r>
      <w:r>
        <w:rPr>
          <w:spacing w:val="-7"/>
          <w:position w:val="1"/>
        </w:rPr>
        <w:t xml:space="preserve"> </w:t>
      </w:r>
      <w:r>
        <w:rPr>
          <w:position w:val="1"/>
        </w:rPr>
        <w:t xml:space="preserve">Wines </w:t>
      </w:r>
      <w:r>
        <w:t>is consistent with the Anti-Dumping Agreement, MOFCOM still failed to make a fair comparison between its normal value and export prices as required by Article 2.4.</w:t>
      </w:r>
      <w:r>
        <w:rPr>
          <w:spacing w:val="-29"/>
        </w:rPr>
        <w:t xml:space="preserve"> </w:t>
      </w:r>
      <w:hyperlink w:anchor="_bookmark355" w:history="1">
        <w:r>
          <w:rPr>
            <w:vertAlign w:val="superscript"/>
          </w:rPr>
          <w:t>281</w:t>
        </w:r>
      </w:hyperlink>
    </w:p>
    <w:p w14:paraId="7F8B0711" w14:textId="06F77A58" w:rsidR="00BD462C" w:rsidRDefault="00033D0F" w:rsidP="0076321F">
      <w:pPr>
        <w:pStyle w:val="BodyText"/>
        <w:numPr>
          <w:ilvl w:val="0"/>
          <w:numId w:val="69"/>
        </w:numPr>
        <w:spacing w:before="56" w:line="360" w:lineRule="auto"/>
        <w:ind w:right="911"/>
        <w:jc w:val="both"/>
      </w:pPr>
      <w:r>
        <w:rPr>
          <w:position w:val="1"/>
        </w:rPr>
        <w:t xml:space="preserve">In determining the normal value for Treasury Wines, MOFCOM's selected domestic </w:t>
      </w:r>
      <w:r>
        <w:t>sales prices and costs used for the constructed normal value reflected significant differences affecting price</w:t>
      </w:r>
      <w:r>
        <w:rPr>
          <w:spacing w:val="-1"/>
        </w:rPr>
        <w:t xml:space="preserve"> </w:t>
      </w:r>
      <w:r>
        <w:t>comparability with</w:t>
      </w:r>
      <w:r>
        <w:rPr>
          <w:spacing w:val="-3"/>
        </w:rPr>
        <w:t xml:space="preserve"> </w:t>
      </w:r>
      <w:r>
        <w:t>export</w:t>
      </w:r>
      <w:r>
        <w:rPr>
          <w:spacing w:val="-1"/>
        </w:rPr>
        <w:t xml:space="preserve"> </w:t>
      </w:r>
      <w:r>
        <w:t>prices making them</w:t>
      </w:r>
      <w:r>
        <w:rPr>
          <w:spacing w:val="-2"/>
        </w:rPr>
        <w:t xml:space="preserve"> </w:t>
      </w:r>
      <w:r>
        <w:t>unsuitable</w:t>
      </w:r>
      <w:r>
        <w:rPr>
          <w:spacing w:val="-1"/>
        </w:rPr>
        <w:t xml:space="preserve"> </w:t>
      </w:r>
      <w:r>
        <w:t>for comparison with export sales unless appropriate adjustments were made.</w:t>
      </w:r>
      <w:r>
        <w:rPr>
          <w:spacing w:val="-14"/>
        </w:rPr>
        <w:t xml:space="preserve"> </w:t>
      </w:r>
      <w:hyperlink w:anchor="_bookmark356" w:history="1">
        <w:r>
          <w:rPr>
            <w:vertAlign w:val="superscript"/>
          </w:rPr>
          <w:t>282</w:t>
        </w:r>
      </w:hyperlink>
      <w:r>
        <w:t xml:space="preserve"> These differences concerned, </w:t>
      </w:r>
      <w:r>
        <w:rPr>
          <w:i/>
        </w:rPr>
        <w:t>inter</w:t>
      </w:r>
      <w:r>
        <w:rPr>
          <w:i/>
          <w:spacing w:val="-4"/>
        </w:rPr>
        <w:t xml:space="preserve"> </w:t>
      </w:r>
      <w:r>
        <w:rPr>
          <w:i/>
        </w:rPr>
        <w:t>alia</w:t>
      </w:r>
      <w:r>
        <w:t>, levels of trade and product mix (</w:t>
      </w:r>
      <w:proofErr w:type="gramStart"/>
      <w:r>
        <w:t>e.g.</w:t>
      </w:r>
      <w:proofErr w:type="gramEnd"/>
      <w:r>
        <w:t xml:space="preserve"> physical characteristics, quality, consumer preferences,</w:t>
      </w:r>
      <w:r>
        <w:rPr>
          <w:spacing w:val="-14"/>
        </w:rPr>
        <w:t xml:space="preserve"> </w:t>
      </w:r>
      <w:r>
        <w:t>and</w:t>
      </w:r>
      <w:r>
        <w:rPr>
          <w:spacing w:val="-13"/>
        </w:rPr>
        <w:t xml:space="preserve"> </w:t>
      </w:r>
      <w:r>
        <w:t>price).</w:t>
      </w:r>
      <w:r>
        <w:rPr>
          <w:spacing w:val="-14"/>
        </w:rPr>
        <w:t xml:space="preserve"> </w:t>
      </w:r>
      <w:hyperlink w:anchor="_bookmark357" w:history="1">
        <w:r>
          <w:rPr>
            <w:vertAlign w:val="superscript"/>
          </w:rPr>
          <w:t>283</w:t>
        </w:r>
      </w:hyperlink>
      <w:r>
        <w:rPr>
          <w:spacing w:val="-3"/>
        </w:rPr>
        <w:t xml:space="preserve"> </w:t>
      </w:r>
      <w:r>
        <w:t>They</w:t>
      </w:r>
      <w:r>
        <w:rPr>
          <w:spacing w:val="-3"/>
        </w:rPr>
        <w:t xml:space="preserve"> </w:t>
      </w:r>
      <w:r>
        <w:t>were</w:t>
      </w:r>
      <w:r>
        <w:rPr>
          <w:spacing w:val="-4"/>
        </w:rPr>
        <w:t xml:space="preserve"> </w:t>
      </w:r>
      <w:r>
        <w:t>not</w:t>
      </w:r>
      <w:r>
        <w:rPr>
          <w:spacing w:val="-4"/>
        </w:rPr>
        <w:t xml:space="preserve"> </w:t>
      </w:r>
      <w:r>
        <w:t>taken</w:t>
      </w:r>
      <w:r>
        <w:rPr>
          <w:spacing w:val="-5"/>
        </w:rPr>
        <w:t xml:space="preserve"> </w:t>
      </w:r>
      <w:r>
        <w:t>into</w:t>
      </w:r>
      <w:r>
        <w:rPr>
          <w:spacing w:val="-2"/>
        </w:rPr>
        <w:t xml:space="preserve"> </w:t>
      </w:r>
      <w:r>
        <w:t>account</w:t>
      </w:r>
      <w:r>
        <w:rPr>
          <w:spacing w:val="-4"/>
        </w:rPr>
        <w:t xml:space="preserve"> </w:t>
      </w:r>
      <w:r>
        <w:t>by</w:t>
      </w:r>
      <w:r>
        <w:rPr>
          <w:spacing w:val="-3"/>
        </w:rPr>
        <w:t xml:space="preserve"> </w:t>
      </w:r>
      <w:r>
        <w:t>MOFCOM</w:t>
      </w:r>
      <w:r>
        <w:rPr>
          <w:spacing w:val="-4"/>
        </w:rPr>
        <w:t xml:space="preserve"> </w:t>
      </w:r>
      <w:r>
        <w:t>when</w:t>
      </w:r>
      <w:r>
        <w:rPr>
          <w:spacing w:val="-5"/>
        </w:rPr>
        <w:t xml:space="preserve"> </w:t>
      </w:r>
      <w:r>
        <w:t>determining normal value and, therefore, needed to be taken into account when ensuring a fair comparison between normal value and export price under Article 2.4 by making the appropriate adjustments.</w:t>
      </w:r>
      <w:hyperlink w:anchor="_bookmark358" w:history="1">
        <w:r>
          <w:rPr>
            <w:vertAlign w:val="superscript"/>
          </w:rPr>
          <w:t>284</w:t>
        </w:r>
      </w:hyperlink>
      <w:r>
        <w:t xml:space="preserve"> Although MOFCOM made some adjustments, it omitted crucial adjustments</w:t>
      </w:r>
      <w:r>
        <w:rPr>
          <w:spacing w:val="-1"/>
        </w:rPr>
        <w:t xml:space="preserve"> </w:t>
      </w:r>
      <w:r>
        <w:t>related</w:t>
      </w:r>
      <w:r>
        <w:rPr>
          <w:spacing w:val="-4"/>
        </w:rPr>
        <w:t xml:space="preserve"> </w:t>
      </w:r>
      <w:r>
        <w:t>to</w:t>
      </w:r>
      <w:r>
        <w:rPr>
          <w:spacing w:val="-5"/>
        </w:rPr>
        <w:t xml:space="preserve"> </w:t>
      </w:r>
      <w:r>
        <w:t>the</w:t>
      </w:r>
      <w:r>
        <w:rPr>
          <w:spacing w:val="-3"/>
        </w:rPr>
        <w:t xml:space="preserve"> </w:t>
      </w:r>
      <w:r>
        <w:t>above</w:t>
      </w:r>
      <w:r>
        <w:rPr>
          <w:spacing w:val="-2"/>
        </w:rPr>
        <w:t xml:space="preserve"> </w:t>
      </w:r>
      <w:r>
        <w:t>level of</w:t>
      </w:r>
      <w:r>
        <w:rPr>
          <w:spacing w:val="-4"/>
        </w:rPr>
        <w:t xml:space="preserve"> </w:t>
      </w:r>
      <w:r>
        <w:t>trade</w:t>
      </w:r>
      <w:r>
        <w:rPr>
          <w:spacing w:val="-3"/>
        </w:rPr>
        <w:t xml:space="preserve"> </w:t>
      </w:r>
      <w:r>
        <w:t>and</w:t>
      </w:r>
      <w:r>
        <w:rPr>
          <w:spacing w:val="-4"/>
        </w:rPr>
        <w:t xml:space="preserve"> </w:t>
      </w:r>
      <w:r>
        <w:t>product mix</w:t>
      </w:r>
      <w:r>
        <w:rPr>
          <w:spacing w:val="-1"/>
        </w:rPr>
        <w:t xml:space="preserve"> </w:t>
      </w:r>
      <w:r>
        <w:t>differences as</w:t>
      </w:r>
      <w:r>
        <w:rPr>
          <w:spacing w:val="-1"/>
        </w:rPr>
        <w:t xml:space="preserve"> </w:t>
      </w:r>
      <w:r>
        <w:t>well as</w:t>
      </w:r>
      <w:r>
        <w:rPr>
          <w:spacing w:val="-1"/>
        </w:rPr>
        <w:t xml:space="preserve"> </w:t>
      </w:r>
      <w:r>
        <w:t>"other discounts and rebates and advertising fees" requested by Treasury Wines.</w:t>
      </w:r>
      <w:hyperlink w:anchor="_bookmark359" w:history="1">
        <w:r>
          <w:rPr>
            <w:vertAlign w:val="superscript"/>
          </w:rPr>
          <w:t>285</w:t>
        </w:r>
      </w:hyperlink>
    </w:p>
    <w:p w14:paraId="139B0ADE" w14:textId="77777777" w:rsidR="00BD462C" w:rsidRDefault="00033D0F" w:rsidP="00DA02D9">
      <w:pPr>
        <w:pStyle w:val="ListParagraph"/>
        <w:numPr>
          <w:ilvl w:val="1"/>
          <w:numId w:val="70"/>
        </w:numPr>
        <w:tabs>
          <w:tab w:val="left" w:pos="3539"/>
          <w:tab w:val="left" w:pos="3540"/>
        </w:tabs>
        <w:spacing w:before="159" w:line="357" w:lineRule="auto"/>
        <w:ind w:right="913"/>
        <w:jc w:val="both"/>
        <w:rPr>
          <w:sz w:val="24"/>
        </w:rPr>
      </w:pPr>
      <w:r>
        <w:rPr>
          <w:sz w:val="24"/>
          <w:u w:val="single"/>
        </w:rPr>
        <w:t>MOFCOM did not adjust for level of trade and timing of</w:t>
      </w:r>
      <w:r>
        <w:rPr>
          <w:sz w:val="24"/>
        </w:rPr>
        <w:t xml:space="preserve"> </w:t>
      </w:r>
      <w:r>
        <w:rPr>
          <w:spacing w:val="-2"/>
          <w:sz w:val="24"/>
          <w:u w:val="single"/>
        </w:rPr>
        <w:t>sales</w:t>
      </w:r>
    </w:p>
    <w:p w14:paraId="3DFCAB82" w14:textId="77777777" w:rsidR="00BD462C" w:rsidRDefault="00BD462C">
      <w:pPr>
        <w:pStyle w:val="BodyText"/>
        <w:spacing w:before="2"/>
        <w:rPr>
          <w:sz w:val="9"/>
        </w:rPr>
      </w:pPr>
    </w:p>
    <w:p w14:paraId="214C714C" w14:textId="235776F6" w:rsidR="00BD462C" w:rsidRDefault="00D70C7D" w:rsidP="0076321F">
      <w:pPr>
        <w:pStyle w:val="BodyText"/>
        <w:numPr>
          <w:ilvl w:val="0"/>
          <w:numId w:val="69"/>
        </w:numPr>
        <w:spacing w:before="56"/>
      </w:pPr>
      <w:r>
        <w:rPr>
          <w:noProof/>
        </w:rPr>
        <mc:AlternateContent>
          <mc:Choice Requires="wps">
            <w:drawing>
              <wp:anchor distT="0" distB="0" distL="114300" distR="114300" simplePos="0" relativeHeight="15821824" behindDoc="0" locked="0" layoutInCell="1" allowOverlap="1" wp14:anchorId="3818F506" wp14:editId="6BA01AB9">
                <wp:simplePos x="0" y="0"/>
                <wp:positionH relativeFrom="page">
                  <wp:posOffset>3987799</wp:posOffset>
                </wp:positionH>
                <wp:positionV relativeFrom="paragraph">
                  <wp:posOffset>31115</wp:posOffset>
                </wp:positionV>
                <wp:extent cx="2672503" cy="186055"/>
                <wp:effectExtent l="0" t="0" r="0" b="4445"/>
                <wp:wrapNone/>
                <wp:docPr id="1032" name="docshape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2503"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3C1B27" id="docshape200" o:spid="_x0000_s1026" alt="&quot;&quot;" style="position:absolute;margin-left:314pt;margin-top:2.45pt;width:210.45pt;height:14.65pt;z-index:1582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" fillcolor="black" stroked="f">
                <w10:wrap anchorx="page"/>
              </v:rect>
            </w:pict>
          </mc:Fallback>
        </mc:AlternateContent>
      </w:r>
      <w:bookmarkStart w:id="412" w:name="_bookmark354"/>
      <w:bookmarkEnd w:id="412"/>
      <w:r w:rsidR="00033D0F">
        <w:rPr>
          <w:position w:val="1"/>
        </w:rPr>
        <w:t>Treasury</w:t>
      </w:r>
      <w:r w:rsidR="00033D0F">
        <w:rPr>
          <w:spacing w:val="80"/>
          <w:position w:val="1"/>
        </w:rPr>
        <w:t xml:space="preserve"> </w:t>
      </w:r>
      <w:r w:rsidR="00033D0F">
        <w:rPr>
          <w:position w:val="1"/>
        </w:rPr>
        <w:t>Wines</w:t>
      </w:r>
      <w:r w:rsidR="00033D0F">
        <w:rPr>
          <w:spacing w:val="80"/>
          <w:position w:val="1"/>
        </w:rPr>
        <w:t xml:space="preserve"> </w:t>
      </w:r>
      <w:r w:rsidR="00033D0F">
        <w:rPr>
          <w:position w:val="1"/>
        </w:rPr>
        <w:t>established</w:t>
      </w:r>
      <w:r w:rsidR="00033D0F">
        <w:rPr>
          <w:spacing w:val="80"/>
          <w:position w:val="1"/>
        </w:rPr>
        <w:t xml:space="preserve"> </w:t>
      </w:r>
      <w:r w:rsidR="00033D0F">
        <w:rPr>
          <w:position w:val="1"/>
        </w:rPr>
        <w:t>that</w:t>
      </w:r>
    </w:p>
    <w:p w14:paraId="0CA326A3" w14:textId="1EED72F1" w:rsidR="00BD462C" w:rsidRDefault="00D70C7D">
      <w:pPr>
        <w:pStyle w:val="BodyText"/>
        <w:spacing w:before="8"/>
        <w:rPr>
          <w:sz w:val="9"/>
        </w:rPr>
      </w:pPr>
      <w:r>
        <w:rPr>
          <w:noProof/>
        </w:rPr>
        <mc:AlternateContent>
          <mc:Choice Requires="wps">
            <w:drawing>
              <wp:anchor distT="0" distB="0" distL="0" distR="0" simplePos="0" relativeHeight="487680512" behindDoc="1" locked="0" layoutInCell="1" allowOverlap="1" wp14:anchorId="55368E4C" wp14:editId="6455C147">
                <wp:simplePos x="0" y="0"/>
                <wp:positionH relativeFrom="page">
                  <wp:posOffset>899160</wp:posOffset>
                </wp:positionH>
                <wp:positionV relativeFrom="paragraph">
                  <wp:posOffset>90805</wp:posOffset>
                </wp:positionV>
                <wp:extent cx="5718175" cy="186055"/>
                <wp:effectExtent l="0" t="0" r="0" b="0"/>
                <wp:wrapTopAndBottom/>
                <wp:docPr id="1030" name="docshape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817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686290" id="docshape201" o:spid="_x0000_s1026" alt="&quot;&quot;" style="position:absolute;margin-left:70.8pt;margin-top:7.15pt;width:450.25pt;height:14.65pt;z-index:-15635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" fillcolor="black" stroked="f">
                <w10:wrap type="topAndBottom" anchorx="page"/>
              </v:rect>
            </w:pict>
          </mc:Fallback>
        </mc:AlternateContent>
      </w:r>
    </w:p>
    <w:p w14:paraId="6A0DED44" w14:textId="77777777" w:rsidR="00BD462C" w:rsidRDefault="00BD462C">
      <w:pPr>
        <w:pStyle w:val="BodyText"/>
        <w:spacing w:before="8"/>
        <w:rPr>
          <w:sz w:val="7"/>
        </w:rPr>
      </w:pPr>
    </w:p>
    <w:p w14:paraId="3354306E" w14:textId="77777777" w:rsidR="00BD462C" w:rsidRDefault="00033D0F">
      <w:pPr>
        <w:pStyle w:val="BodyText"/>
        <w:spacing w:before="52" w:line="362" w:lineRule="auto"/>
        <w:ind w:left="136" w:right="916"/>
        <w:jc w:val="both"/>
      </w:pPr>
      <w:r>
        <w:t>Notwithstanding</w:t>
      </w:r>
      <w:r>
        <w:rPr>
          <w:spacing w:val="-12"/>
        </w:rPr>
        <w:t xml:space="preserve"> </w:t>
      </w:r>
      <w:r>
        <w:t>this</w:t>
      </w:r>
      <w:r>
        <w:rPr>
          <w:spacing w:val="-12"/>
        </w:rPr>
        <w:t xml:space="preserve"> </w:t>
      </w:r>
      <w:r>
        <w:t>evidence,</w:t>
      </w:r>
      <w:r>
        <w:rPr>
          <w:spacing w:val="-7"/>
        </w:rPr>
        <w:t xml:space="preserve"> </w:t>
      </w:r>
      <w:r>
        <w:t>the</w:t>
      </w:r>
      <w:r>
        <w:rPr>
          <w:spacing w:val="-9"/>
        </w:rPr>
        <w:t xml:space="preserve"> </w:t>
      </w:r>
      <w:r>
        <w:t>Final</w:t>
      </w:r>
      <w:r>
        <w:rPr>
          <w:spacing w:val="-7"/>
        </w:rPr>
        <w:t xml:space="preserve"> </w:t>
      </w:r>
      <w:r>
        <w:t>Determination</w:t>
      </w:r>
      <w:r>
        <w:rPr>
          <w:spacing w:val="-11"/>
        </w:rPr>
        <w:t xml:space="preserve"> </w:t>
      </w:r>
      <w:r>
        <w:t>does</w:t>
      </w:r>
      <w:r>
        <w:rPr>
          <w:spacing w:val="-8"/>
        </w:rPr>
        <w:t xml:space="preserve"> </w:t>
      </w:r>
      <w:r>
        <w:t>not</w:t>
      </w:r>
      <w:r>
        <w:rPr>
          <w:spacing w:val="-9"/>
        </w:rPr>
        <w:t xml:space="preserve"> </w:t>
      </w:r>
      <w:r>
        <w:t>mention</w:t>
      </w:r>
      <w:r>
        <w:rPr>
          <w:spacing w:val="-11"/>
        </w:rPr>
        <w:t xml:space="preserve"> </w:t>
      </w:r>
      <w:r>
        <w:t>level</w:t>
      </w:r>
      <w:r>
        <w:rPr>
          <w:spacing w:val="-7"/>
        </w:rPr>
        <w:t xml:space="preserve"> </w:t>
      </w:r>
      <w:r>
        <w:t>of</w:t>
      </w:r>
      <w:r>
        <w:rPr>
          <w:spacing w:val="-11"/>
        </w:rPr>
        <w:t xml:space="preserve"> </w:t>
      </w:r>
      <w:r>
        <w:t>trade</w:t>
      </w:r>
      <w:r>
        <w:rPr>
          <w:spacing w:val="-9"/>
        </w:rPr>
        <w:t xml:space="preserve"> </w:t>
      </w:r>
      <w:r>
        <w:t>in</w:t>
      </w:r>
      <w:r>
        <w:rPr>
          <w:spacing w:val="-11"/>
        </w:rPr>
        <w:t xml:space="preserve"> </w:t>
      </w:r>
      <w:r>
        <w:t>the context of the determination</w:t>
      </w:r>
      <w:r>
        <w:rPr>
          <w:spacing w:val="-1"/>
        </w:rPr>
        <w:t xml:space="preserve"> </w:t>
      </w:r>
      <w:r>
        <w:t>of margins of dumping and</w:t>
      </w:r>
      <w:r>
        <w:rPr>
          <w:spacing w:val="-1"/>
        </w:rPr>
        <w:t xml:space="preserve"> </w:t>
      </w:r>
      <w:r>
        <w:t>there is no</w:t>
      </w:r>
      <w:r>
        <w:rPr>
          <w:spacing w:val="-1"/>
        </w:rPr>
        <w:t xml:space="preserve"> </w:t>
      </w:r>
      <w:r>
        <w:t>evidence that MOFCOM considered</w:t>
      </w:r>
      <w:r>
        <w:rPr>
          <w:spacing w:val="33"/>
        </w:rPr>
        <w:t xml:space="preserve"> </w:t>
      </w:r>
      <w:r>
        <w:t>or</w:t>
      </w:r>
      <w:r>
        <w:rPr>
          <w:spacing w:val="32"/>
        </w:rPr>
        <w:t xml:space="preserve"> </w:t>
      </w:r>
      <w:r>
        <w:t>made</w:t>
      </w:r>
      <w:r>
        <w:rPr>
          <w:spacing w:val="35"/>
        </w:rPr>
        <w:t xml:space="preserve"> </w:t>
      </w:r>
      <w:r>
        <w:t>any</w:t>
      </w:r>
      <w:r>
        <w:rPr>
          <w:spacing w:val="36"/>
        </w:rPr>
        <w:t xml:space="preserve"> </w:t>
      </w:r>
      <w:r>
        <w:t>adjustments</w:t>
      </w:r>
      <w:r>
        <w:rPr>
          <w:spacing w:val="36"/>
        </w:rPr>
        <w:t xml:space="preserve"> </w:t>
      </w:r>
      <w:r>
        <w:t>to</w:t>
      </w:r>
      <w:r>
        <w:rPr>
          <w:spacing w:val="32"/>
        </w:rPr>
        <w:t xml:space="preserve"> </w:t>
      </w:r>
      <w:r>
        <w:t>account</w:t>
      </w:r>
      <w:r>
        <w:rPr>
          <w:spacing w:val="35"/>
        </w:rPr>
        <w:t xml:space="preserve"> </w:t>
      </w:r>
      <w:r>
        <w:t>for</w:t>
      </w:r>
      <w:r>
        <w:rPr>
          <w:spacing w:val="32"/>
        </w:rPr>
        <w:t xml:space="preserve"> </w:t>
      </w:r>
      <w:r>
        <w:t>differences</w:t>
      </w:r>
      <w:r>
        <w:rPr>
          <w:spacing w:val="36"/>
        </w:rPr>
        <w:t xml:space="preserve"> </w:t>
      </w:r>
      <w:r>
        <w:t>in</w:t>
      </w:r>
      <w:r>
        <w:rPr>
          <w:spacing w:val="33"/>
        </w:rPr>
        <w:t xml:space="preserve"> </w:t>
      </w:r>
      <w:r>
        <w:t>levels</w:t>
      </w:r>
      <w:r>
        <w:rPr>
          <w:spacing w:val="36"/>
        </w:rPr>
        <w:t xml:space="preserve"> </w:t>
      </w:r>
      <w:r>
        <w:t>of</w:t>
      </w:r>
      <w:r>
        <w:rPr>
          <w:spacing w:val="33"/>
        </w:rPr>
        <w:t xml:space="preserve"> </w:t>
      </w:r>
      <w:r>
        <w:t>trade</w:t>
      </w:r>
      <w:r>
        <w:rPr>
          <w:spacing w:val="35"/>
        </w:rPr>
        <w:t xml:space="preserve"> </w:t>
      </w:r>
      <w:r>
        <w:t>in</w:t>
      </w:r>
      <w:r>
        <w:rPr>
          <w:spacing w:val="33"/>
        </w:rPr>
        <w:t xml:space="preserve"> </w:t>
      </w:r>
      <w:r>
        <w:t>that</w:t>
      </w:r>
    </w:p>
    <w:p w14:paraId="3FD2C6ED" w14:textId="77777777" w:rsidR="00BD462C" w:rsidRDefault="00BD462C">
      <w:pPr>
        <w:pStyle w:val="BodyText"/>
        <w:rPr>
          <w:sz w:val="20"/>
        </w:rPr>
      </w:pPr>
    </w:p>
    <w:p w14:paraId="14263935" w14:textId="77777777" w:rsidR="00BD462C" w:rsidRDefault="00BD462C">
      <w:pPr>
        <w:pStyle w:val="BodyText"/>
        <w:rPr>
          <w:sz w:val="20"/>
        </w:rPr>
      </w:pPr>
    </w:p>
    <w:p w14:paraId="196D6832" w14:textId="6EA18F44" w:rsidR="00BD462C" w:rsidRDefault="00D70C7D">
      <w:pPr>
        <w:pStyle w:val="BodyText"/>
        <w:spacing w:before="5"/>
        <w:rPr>
          <w:sz w:val="10"/>
        </w:rPr>
      </w:pPr>
      <w:r>
        <w:rPr>
          <w:noProof/>
        </w:rPr>
        <mc:AlternateContent>
          <mc:Choice Requires="wps">
            <w:drawing>
              <wp:anchor distT="0" distB="0" distL="0" distR="0" simplePos="0" relativeHeight="487681024" behindDoc="1" locked="0" layoutInCell="1" allowOverlap="1" wp14:anchorId="28FDE236" wp14:editId="48E4A26D">
                <wp:simplePos x="0" y="0"/>
                <wp:positionH relativeFrom="page">
                  <wp:posOffset>899160</wp:posOffset>
                </wp:positionH>
                <wp:positionV relativeFrom="paragraph">
                  <wp:posOffset>95885</wp:posOffset>
                </wp:positionV>
                <wp:extent cx="1828800" cy="8890"/>
                <wp:effectExtent l="0" t="0" r="0" b="0"/>
                <wp:wrapTopAndBottom/>
                <wp:docPr id="1028" name="docshape2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735A17" id="docshape202" o:spid="_x0000_s1026" alt="&quot;&quot;" style="position:absolute;margin-left:70.8pt;margin-top:7.55pt;width:2in;height:.7pt;z-index:-15635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" fillcolor="black" stroked="f">
                <w10:wrap type="topAndBottom" anchorx="page"/>
              </v:rect>
            </w:pict>
          </mc:Fallback>
        </mc:AlternateContent>
      </w:r>
    </w:p>
    <w:p w14:paraId="1542F3A6" w14:textId="77777777" w:rsidR="00BD462C" w:rsidRDefault="00033D0F">
      <w:pPr>
        <w:spacing w:before="112"/>
        <w:ind w:left="135"/>
        <w:rPr>
          <w:sz w:val="18"/>
        </w:rPr>
      </w:pPr>
      <w:bookmarkStart w:id="413" w:name="_bookmark355"/>
      <w:bookmarkEnd w:id="413"/>
      <w:r>
        <w:rPr>
          <w:position w:val="5"/>
          <w:sz w:val="12"/>
        </w:rPr>
        <w:t>281</w:t>
      </w:r>
      <w:r>
        <w:rPr>
          <w:spacing w:val="13"/>
          <w:position w:val="5"/>
          <w:sz w:val="12"/>
        </w:rPr>
        <w:t xml:space="preserve"> </w:t>
      </w:r>
      <w:r>
        <w:rPr>
          <w:sz w:val="18"/>
        </w:rPr>
        <w:t>Australia's</w:t>
      </w:r>
      <w:r>
        <w:rPr>
          <w:spacing w:val="-6"/>
          <w:sz w:val="18"/>
        </w:rPr>
        <w:t xml:space="preserve"> </w:t>
      </w:r>
      <w:r>
        <w:rPr>
          <w:sz w:val="18"/>
        </w:rPr>
        <w:t>first</w:t>
      </w:r>
      <w:r>
        <w:rPr>
          <w:spacing w:val="-4"/>
          <w:sz w:val="18"/>
        </w:rPr>
        <w:t xml:space="preserve"> </w:t>
      </w:r>
      <w:r>
        <w:rPr>
          <w:sz w:val="18"/>
        </w:rPr>
        <w:t>written</w:t>
      </w:r>
      <w:r>
        <w:rPr>
          <w:spacing w:val="-2"/>
          <w:sz w:val="18"/>
        </w:rPr>
        <w:t xml:space="preserve"> </w:t>
      </w:r>
      <w:r>
        <w:rPr>
          <w:sz w:val="18"/>
        </w:rPr>
        <w:t>submission,</w:t>
      </w:r>
      <w:r>
        <w:rPr>
          <w:spacing w:val="1"/>
          <w:sz w:val="18"/>
        </w:rPr>
        <w:t xml:space="preserve"> </w:t>
      </w:r>
      <w:r>
        <w:rPr>
          <w:sz w:val="18"/>
        </w:rPr>
        <w:t>paras.</w:t>
      </w:r>
      <w:r>
        <w:rPr>
          <w:spacing w:val="-5"/>
          <w:sz w:val="18"/>
        </w:rPr>
        <w:t xml:space="preserve"> </w:t>
      </w:r>
      <w:r>
        <w:rPr>
          <w:sz w:val="18"/>
        </w:rPr>
        <w:t>493</w:t>
      </w:r>
      <w:r>
        <w:rPr>
          <w:spacing w:val="-7"/>
          <w:sz w:val="18"/>
        </w:rPr>
        <w:t xml:space="preserve"> </w:t>
      </w:r>
      <w:r>
        <w:rPr>
          <w:sz w:val="18"/>
        </w:rPr>
        <w:t>-</w:t>
      </w:r>
      <w:r>
        <w:rPr>
          <w:spacing w:val="-4"/>
          <w:sz w:val="18"/>
        </w:rPr>
        <w:t>523.</w:t>
      </w:r>
    </w:p>
    <w:p w14:paraId="4489E499" w14:textId="77777777" w:rsidR="00BD462C" w:rsidRDefault="00033D0F">
      <w:pPr>
        <w:spacing w:before="1"/>
        <w:ind w:left="135"/>
        <w:rPr>
          <w:sz w:val="18"/>
        </w:rPr>
      </w:pPr>
      <w:bookmarkStart w:id="414" w:name="_bookmark356"/>
      <w:bookmarkEnd w:id="414"/>
      <w:r>
        <w:rPr>
          <w:position w:val="5"/>
          <w:sz w:val="12"/>
        </w:rPr>
        <w:t>282</w:t>
      </w:r>
      <w:r>
        <w:rPr>
          <w:spacing w:val="12"/>
          <w:position w:val="5"/>
          <w:sz w:val="12"/>
        </w:rPr>
        <w:t xml:space="preserve"> </w:t>
      </w:r>
      <w:r>
        <w:rPr>
          <w:sz w:val="18"/>
        </w:rPr>
        <w:t>Australia's</w:t>
      </w:r>
      <w:r>
        <w:rPr>
          <w:spacing w:val="-6"/>
          <w:sz w:val="18"/>
        </w:rPr>
        <w:t xml:space="preserve"> </w:t>
      </w:r>
      <w:r>
        <w:rPr>
          <w:sz w:val="18"/>
        </w:rPr>
        <w:t>first</w:t>
      </w:r>
      <w:r>
        <w:rPr>
          <w:spacing w:val="-6"/>
          <w:sz w:val="18"/>
        </w:rPr>
        <w:t xml:space="preserve"> </w:t>
      </w:r>
      <w:r>
        <w:rPr>
          <w:sz w:val="18"/>
        </w:rPr>
        <w:t>written</w:t>
      </w:r>
      <w:r>
        <w:rPr>
          <w:spacing w:val="-2"/>
          <w:sz w:val="18"/>
        </w:rPr>
        <w:t xml:space="preserve"> </w:t>
      </w:r>
      <w:r>
        <w:rPr>
          <w:sz w:val="18"/>
        </w:rPr>
        <w:t>submission, para.</w:t>
      </w:r>
      <w:r>
        <w:rPr>
          <w:spacing w:val="-5"/>
          <w:sz w:val="18"/>
        </w:rPr>
        <w:t xml:space="preserve"> </w:t>
      </w:r>
      <w:r>
        <w:rPr>
          <w:spacing w:val="-4"/>
          <w:sz w:val="18"/>
        </w:rPr>
        <w:t>270.</w:t>
      </w:r>
    </w:p>
    <w:p w14:paraId="79138B62" w14:textId="77777777" w:rsidR="00BD462C" w:rsidRDefault="00033D0F">
      <w:pPr>
        <w:spacing w:before="1" w:line="218" w:lineRule="exact"/>
        <w:ind w:left="135"/>
        <w:rPr>
          <w:sz w:val="18"/>
        </w:rPr>
      </w:pPr>
      <w:bookmarkStart w:id="415" w:name="_bookmark357"/>
      <w:bookmarkEnd w:id="415"/>
      <w:r>
        <w:rPr>
          <w:position w:val="5"/>
          <w:sz w:val="12"/>
        </w:rPr>
        <w:t>283</w:t>
      </w:r>
      <w:r>
        <w:rPr>
          <w:spacing w:val="11"/>
          <w:position w:val="5"/>
          <w:sz w:val="12"/>
        </w:rPr>
        <w:t xml:space="preserve"> </w:t>
      </w:r>
      <w:r>
        <w:rPr>
          <w:sz w:val="18"/>
        </w:rPr>
        <w:t>Australia's</w:t>
      </w:r>
      <w:r>
        <w:rPr>
          <w:spacing w:val="-6"/>
          <w:sz w:val="18"/>
        </w:rPr>
        <w:t xml:space="preserve"> </w:t>
      </w:r>
      <w:r>
        <w:rPr>
          <w:sz w:val="18"/>
        </w:rPr>
        <w:t>first</w:t>
      </w:r>
      <w:r>
        <w:rPr>
          <w:spacing w:val="-5"/>
          <w:sz w:val="18"/>
        </w:rPr>
        <w:t xml:space="preserve"> </w:t>
      </w:r>
      <w:r>
        <w:rPr>
          <w:sz w:val="18"/>
        </w:rPr>
        <w:t>written</w:t>
      </w:r>
      <w:r>
        <w:rPr>
          <w:spacing w:val="-3"/>
          <w:sz w:val="18"/>
        </w:rPr>
        <w:t xml:space="preserve"> </w:t>
      </w:r>
      <w:r>
        <w:rPr>
          <w:sz w:val="18"/>
        </w:rPr>
        <w:t>submission, para.</w:t>
      </w:r>
      <w:r>
        <w:rPr>
          <w:spacing w:val="-6"/>
          <w:sz w:val="18"/>
        </w:rPr>
        <w:t xml:space="preserve"> </w:t>
      </w:r>
      <w:r>
        <w:rPr>
          <w:sz w:val="18"/>
        </w:rPr>
        <w:t>271-</w:t>
      </w:r>
      <w:r>
        <w:rPr>
          <w:spacing w:val="-4"/>
          <w:sz w:val="18"/>
        </w:rPr>
        <w:t>285.</w:t>
      </w:r>
    </w:p>
    <w:p w14:paraId="7DD72B94" w14:textId="77777777" w:rsidR="00BD462C" w:rsidRDefault="00033D0F">
      <w:pPr>
        <w:ind w:left="135" w:right="909"/>
        <w:jc w:val="both"/>
        <w:rPr>
          <w:sz w:val="18"/>
        </w:rPr>
      </w:pPr>
      <w:bookmarkStart w:id="416" w:name="_bookmark358"/>
      <w:bookmarkEnd w:id="416"/>
      <w:r>
        <w:rPr>
          <w:position w:val="5"/>
          <w:sz w:val="12"/>
        </w:rPr>
        <w:t>284</w:t>
      </w:r>
      <w:r>
        <w:rPr>
          <w:spacing w:val="31"/>
          <w:position w:val="5"/>
          <w:sz w:val="12"/>
        </w:rPr>
        <w:t xml:space="preserve"> </w:t>
      </w:r>
      <w:r>
        <w:rPr>
          <w:sz w:val="18"/>
        </w:rPr>
        <w:t xml:space="preserve">The Appellate Body in </w:t>
      </w:r>
      <w:r>
        <w:rPr>
          <w:i/>
          <w:sz w:val="18"/>
        </w:rPr>
        <w:t xml:space="preserve">EU – Biodiesel (Argentina) </w:t>
      </w:r>
      <w:r>
        <w:rPr>
          <w:sz w:val="18"/>
        </w:rPr>
        <w:t xml:space="preserve">observed that "[t]he manner in which the normal value is calculated pursuant to Article 2.2 of the Anti-Dumping Agreement may inform the types of adjustments required under Article 2.4" (Appellate Body Report, </w:t>
      </w:r>
      <w:r>
        <w:rPr>
          <w:i/>
          <w:sz w:val="18"/>
        </w:rPr>
        <w:t>EU – Biodiesel (Argentina)</w:t>
      </w:r>
      <w:r>
        <w:rPr>
          <w:sz w:val="18"/>
        </w:rPr>
        <w:t>, para. 6.48). China acknowledges that MOFCOM did not take these differences</w:t>
      </w:r>
      <w:r>
        <w:rPr>
          <w:spacing w:val="40"/>
          <w:sz w:val="18"/>
        </w:rPr>
        <w:t xml:space="preserve"> </w:t>
      </w:r>
      <w:r>
        <w:rPr>
          <w:sz w:val="18"/>
        </w:rPr>
        <w:t>into</w:t>
      </w:r>
      <w:r>
        <w:rPr>
          <w:spacing w:val="40"/>
          <w:sz w:val="18"/>
        </w:rPr>
        <w:t xml:space="preserve"> </w:t>
      </w:r>
      <w:r>
        <w:rPr>
          <w:sz w:val="18"/>
        </w:rPr>
        <w:t>account</w:t>
      </w:r>
      <w:r>
        <w:rPr>
          <w:spacing w:val="40"/>
          <w:sz w:val="18"/>
        </w:rPr>
        <w:t xml:space="preserve"> </w:t>
      </w:r>
      <w:r>
        <w:rPr>
          <w:sz w:val="18"/>
        </w:rPr>
        <w:t>when</w:t>
      </w:r>
      <w:r>
        <w:rPr>
          <w:spacing w:val="40"/>
          <w:sz w:val="18"/>
        </w:rPr>
        <w:t xml:space="preserve"> </w:t>
      </w:r>
      <w:r>
        <w:rPr>
          <w:sz w:val="18"/>
        </w:rPr>
        <w:t>determining</w:t>
      </w:r>
      <w:r>
        <w:rPr>
          <w:spacing w:val="40"/>
          <w:sz w:val="18"/>
        </w:rPr>
        <w:t xml:space="preserve"> </w:t>
      </w:r>
      <w:r>
        <w:rPr>
          <w:sz w:val="18"/>
        </w:rPr>
        <w:t>Treasury</w:t>
      </w:r>
      <w:r>
        <w:rPr>
          <w:spacing w:val="40"/>
          <w:sz w:val="18"/>
        </w:rPr>
        <w:t xml:space="preserve"> </w:t>
      </w:r>
      <w:r>
        <w:rPr>
          <w:sz w:val="18"/>
        </w:rPr>
        <w:t>Wines'</w:t>
      </w:r>
      <w:r>
        <w:rPr>
          <w:spacing w:val="40"/>
          <w:sz w:val="18"/>
        </w:rPr>
        <w:t xml:space="preserve"> </w:t>
      </w:r>
      <w:r>
        <w:rPr>
          <w:sz w:val="18"/>
        </w:rPr>
        <w:t>normal</w:t>
      </w:r>
      <w:r>
        <w:rPr>
          <w:spacing w:val="40"/>
          <w:sz w:val="18"/>
        </w:rPr>
        <w:t xml:space="preserve"> </w:t>
      </w:r>
      <w:r>
        <w:rPr>
          <w:sz w:val="18"/>
        </w:rPr>
        <w:t>values.</w:t>
      </w:r>
      <w:r>
        <w:rPr>
          <w:spacing w:val="40"/>
          <w:sz w:val="18"/>
        </w:rPr>
        <w:t xml:space="preserve"> </w:t>
      </w:r>
      <w:r>
        <w:rPr>
          <w:sz w:val="18"/>
        </w:rPr>
        <w:t>See</w:t>
      </w:r>
      <w:r>
        <w:rPr>
          <w:spacing w:val="40"/>
          <w:sz w:val="18"/>
        </w:rPr>
        <w:t xml:space="preserve"> </w:t>
      </w:r>
      <w:r>
        <w:rPr>
          <w:sz w:val="18"/>
        </w:rPr>
        <w:t>China's</w:t>
      </w:r>
      <w:r>
        <w:rPr>
          <w:spacing w:val="40"/>
          <w:sz w:val="18"/>
        </w:rPr>
        <w:t xml:space="preserve"> </w:t>
      </w:r>
      <w:r>
        <w:rPr>
          <w:sz w:val="18"/>
        </w:rPr>
        <w:t>first</w:t>
      </w:r>
      <w:r>
        <w:rPr>
          <w:spacing w:val="40"/>
          <w:sz w:val="18"/>
        </w:rPr>
        <w:t xml:space="preserve"> </w:t>
      </w:r>
      <w:r>
        <w:rPr>
          <w:sz w:val="18"/>
        </w:rPr>
        <w:t>written</w:t>
      </w:r>
      <w:r>
        <w:rPr>
          <w:spacing w:val="40"/>
          <w:sz w:val="18"/>
        </w:rPr>
        <w:t xml:space="preserve"> </w:t>
      </w:r>
      <w:r>
        <w:rPr>
          <w:sz w:val="18"/>
        </w:rPr>
        <w:t>submission, paras.</w:t>
      </w:r>
      <w:r>
        <w:rPr>
          <w:spacing w:val="-2"/>
          <w:sz w:val="18"/>
        </w:rPr>
        <w:t xml:space="preserve"> </w:t>
      </w:r>
      <w:r>
        <w:rPr>
          <w:sz w:val="18"/>
        </w:rPr>
        <w:t>503-510.</w:t>
      </w:r>
    </w:p>
    <w:p w14:paraId="42AFCC12" w14:textId="664E3B30" w:rsidR="00BD462C" w:rsidRDefault="00D70C7D">
      <w:pPr>
        <w:ind w:left="135"/>
        <w:jc w:val="both"/>
        <w:rPr>
          <w:sz w:val="18"/>
        </w:rPr>
      </w:pPr>
      <w:r>
        <w:rPr>
          <w:noProof/>
        </w:rPr>
        <mc:AlternateContent>
          <mc:Choice Requires="wps">
            <w:drawing>
              <wp:anchor distT="0" distB="0" distL="114300" distR="114300" simplePos="0" relativeHeight="478983680" behindDoc="1" locked="0" layoutInCell="1" allowOverlap="1" wp14:anchorId="2EDBFAF9" wp14:editId="795E492B">
                <wp:simplePos x="0" y="0"/>
                <wp:positionH relativeFrom="page">
                  <wp:posOffset>899160</wp:posOffset>
                </wp:positionH>
                <wp:positionV relativeFrom="paragraph">
                  <wp:posOffset>139065</wp:posOffset>
                </wp:positionV>
                <wp:extent cx="5760720" cy="421005"/>
                <wp:effectExtent l="0" t="0" r="0" b="0"/>
                <wp:wrapNone/>
                <wp:docPr id="1026" name="docshape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0720" cy="421005"/>
                        </a:xfrm>
                        <a:custGeom>
                          <a:avLst/>
                          <a:gdLst>
                            <a:gd name="T0" fmla="+- 0 10488 1416"/>
                            <a:gd name="T1" fmla="*/ T0 w 9072"/>
                            <a:gd name="T2" fmla="+- 0 219 219"/>
                            <a:gd name="T3" fmla="*/ 219 h 663"/>
                            <a:gd name="T4" fmla="+- 0 6504 1416"/>
                            <a:gd name="T5" fmla="*/ T4 w 9072"/>
                            <a:gd name="T6" fmla="+- 0 219 219"/>
                            <a:gd name="T7" fmla="*/ 219 h 663"/>
                            <a:gd name="T8" fmla="+- 0 6504 1416"/>
                            <a:gd name="T9" fmla="*/ T8 w 9072"/>
                            <a:gd name="T10" fmla="+- 0 440 219"/>
                            <a:gd name="T11" fmla="*/ 440 h 663"/>
                            <a:gd name="T12" fmla="+- 0 1416 1416"/>
                            <a:gd name="T13" fmla="*/ T12 w 9072"/>
                            <a:gd name="T14" fmla="+- 0 440 219"/>
                            <a:gd name="T15" fmla="*/ 440 h 663"/>
                            <a:gd name="T16" fmla="+- 0 1416 1416"/>
                            <a:gd name="T17" fmla="*/ T16 w 9072"/>
                            <a:gd name="T18" fmla="+- 0 661 219"/>
                            <a:gd name="T19" fmla="*/ 661 h 663"/>
                            <a:gd name="T20" fmla="+- 0 1416 1416"/>
                            <a:gd name="T21" fmla="*/ T20 w 9072"/>
                            <a:gd name="T22" fmla="+- 0 882 219"/>
                            <a:gd name="T23" fmla="*/ 882 h 663"/>
                            <a:gd name="T24" fmla="+- 0 4560 1416"/>
                            <a:gd name="T25" fmla="*/ T24 w 9072"/>
                            <a:gd name="T26" fmla="+- 0 882 219"/>
                            <a:gd name="T27" fmla="*/ 882 h 663"/>
                            <a:gd name="T28" fmla="+- 0 4560 1416"/>
                            <a:gd name="T29" fmla="*/ T28 w 9072"/>
                            <a:gd name="T30" fmla="+- 0 661 219"/>
                            <a:gd name="T31" fmla="*/ 661 h 663"/>
                            <a:gd name="T32" fmla="+- 0 10387 1416"/>
                            <a:gd name="T33" fmla="*/ T32 w 9072"/>
                            <a:gd name="T34" fmla="+- 0 661 219"/>
                            <a:gd name="T35" fmla="*/ 661 h 663"/>
                            <a:gd name="T36" fmla="+- 0 10387 1416"/>
                            <a:gd name="T37" fmla="*/ T36 w 9072"/>
                            <a:gd name="T38" fmla="+- 0 440 219"/>
                            <a:gd name="T39" fmla="*/ 440 h 663"/>
                            <a:gd name="T40" fmla="+- 0 10488 1416"/>
                            <a:gd name="T41" fmla="*/ T40 w 9072"/>
                            <a:gd name="T42" fmla="+- 0 440 219"/>
                            <a:gd name="T43" fmla="*/ 440 h 663"/>
                            <a:gd name="T44" fmla="+- 0 10488 1416"/>
                            <a:gd name="T45" fmla="*/ T44 w 9072"/>
                            <a:gd name="T46" fmla="+- 0 219 219"/>
                            <a:gd name="T47" fmla="*/ 219 h 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072" h="663">
                              <a:moveTo>
                                <a:pt x="9072" y="0"/>
                              </a:moveTo>
                              <a:lnTo>
                                <a:pt x="5088" y="0"/>
                              </a:lnTo>
                              <a:lnTo>
                                <a:pt x="5088" y="221"/>
                              </a:lnTo>
                              <a:lnTo>
                                <a:pt x="0" y="221"/>
                              </a:lnTo>
                              <a:lnTo>
                                <a:pt x="0" y="442"/>
                              </a:lnTo>
                              <a:lnTo>
                                <a:pt x="0" y="663"/>
                              </a:lnTo>
                              <a:lnTo>
                                <a:pt x="3144" y="663"/>
                              </a:lnTo>
                              <a:lnTo>
                                <a:pt x="3144" y="442"/>
                              </a:lnTo>
                              <a:lnTo>
                                <a:pt x="8971" y="442"/>
                              </a:lnTo>
                              <a:lnTo>
                                <a:pt x="8971" y="221"/>
                              </a:lnTo>
                              <a:lnTo>
                                <a:pt x="9072" y="221"/>
                              </a:lnTo>
                              <a:lnTo>
                                <a:pt x="90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CEC5B" id="docshape203" o:spid="_x0000_s1026" alt="&quot;&quot;" style="position:absolute;margin-left:70.8pt;margin-top:10.95pt;width:453.6pt;height:33.15pt;z-index:-2433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72,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" path="m9072,l5088,r,221l,221,,442,,663r3144,l3144,442r5827,l8971,221r101,l9072,xe" fillcolor="black" stroked="f">
                <v:path arrowok="t" o:connecttype="custom" o:connectlocs="5760720,139065;3230880,139065;3230880,279400;0,279400;0,419735;0,560070;1996440,560070;1996440,419735;5696585,419735;5696585,279400;5760720,279400;5760720,139065" o:connectangles="0,0,0,0,0,0,0,0,0,0,0,0"/>
                <w10:wrap anchorx="page"/>
              </v:shape>
            </w:pict>
          </mc:Fallback>
        </mc:AlternateContent>
      </w:r>
      <w:bookmarkStart w:id="417" w:name="_bookmark359"/>
      <w:bookmarkEnd w:id="417"/>
      <w:r w:rsidR="00033D0F">
        <w:rPr>
          <w:position w:val="5"/>
          <w:sz w:val="12"/>
        </w:rPr>
        <w:t>285</w:t>
      </w:r>
      <w:r w:rsidR="00033D0F">
        <w:rPr>
          <w:spacing w:val="12"/>
          <w:position w:val="5"/>
          <w:sz w:val="12"/>
        </w:rPr>
        <w:t xml:space="preserve"> </w:t>
      </w:r>
      <w:r w:rsidR="00033D0F">
        <w:rPr>
          <w:sz w:val="18"/>
        </w:rPr>
        <w:t>Australia's</w:t>
      </w:r>
      <w:r w:rsidR="00033D0F">
        <w:rPr>
          <w:spacing w:val="-7"/>
          <w:sz w:val="18"/>
        </w:rPr>
        <w:t xml:space="preserve"> </w:t>
      </w:r>
      <w:r w:rsidR="00033D0F">
        <w:rPr>
          <w:sz w:val="18"/>
        </w:rPr>
        <w:t>first</w:t>
      </w:r>
      <w:r w:rsidR="00033D0F">
        <w:rPr>
          <w:spacing w:val="-5"/>
          <w:sz w:val="18"/>
        </w:rPr>
        <w:t xml:space="preserve"> </w:t>
      </w:r>
      <w:r w:rsidR="00033D0F">
        <w:rPr>
          <w:sz w:val="18"/>
        </w:rPr>
        <w:t>written</w:t>
      </w:r>
      <w:r w:rsidR="00033D0F">
        <w:rPr>
          <w:spacing w:val="-3"/>
          <w:sz w:val="18"/>
        </w:rPr>
        <w:t xml:space="preserve"> </w:t>
      </w:r>
      <w:r w:rsidR="00033D0F">
        <w:rPr>
          <w:sz w:val="18"/>
        </w:rPr>
        <w:t>submission, paras.</w:t>
      </w:r>
      <w:r w:rsidR="00033D0F">
        <w:rPr>
          <w:spacing w:val="-6"/>
          <w:sz w:val="18"/>
        </w:rPr>
        <w:t xml:space="preserve"> </w:t>
      </w:r>
      <w:r w:rsidR="00033D0F">
        <w:rPr>
          <w:sz w:val="18"/>
        </w:rPr>
        <w:t>499-500;</w:t>
      </w:r>
      <w:r w:rsidR="00033D0F">
        <w:rPr>
          <w:spacing w:val="-8"/>
          <w:sz w:val="18"/>
        </w:rPr>
        <w:t xml:space="preserve"> </w:t>
      </w:r>
      <w:r w:rsidR="00033D0F">
        <w:rPr>
          <w:sz w:val="18"/>
        </w:rPr>
        <w:t>516-</w:t>
      </w:r>
      <w:r w:rsidR="00033D0F">
        <w:rPr>
          <w:spacing w:val="-5"/>
          <w:sz w:val="18"/>
        </w:rPr>
        <w:t>17.</w:t>
      </w:r>
    </w:p>
    <w:p w14:paraId="6D349964" w14:textId="77777777" w:rsidR="00BD462C" w:rsidRDefault="00033D0F">
      <w:pPr>
        <w:ind w:left="135"/>
        <w:jc w:val="both"/>
        <w:rPr>
          <w:sz w:val="18"/>
        </w:rPr>
      </w:pPr>
      <w:bookmarkStart w:id="418" w:name="_bookmark360"/>
      <w:bookmarkEnd w:id="418"/>
      <w:r>
        <w:rPr>
          <w:position w:val="5"/>
          <w:sz w:val="12"/>
        </w:rPr>
        <w:t>286</w:t>
      </w:r>
      <w:r>
        <w:rPr>
          <w:spacing w:val="9"/>
          <w:position w:val="5"/>
          <w:sz w:val="12"/>
        </w:rPr>
        <w:t xml:space="preserve"> </w:t>
      </w:r>
      <w:r>
        <w:rPr>
          <w:sz w:val="18"/>
        </w:rPr>
        <w:t>Australia's</w:t>
      </w:r>
      <w:r>
        <w:rPr>
          <w:spacing w:val="8"/>
          <w:sz w:val="18"/>
        </w:rPr>
        <w:t xml:space="preserve"> </w:t>
      </w:r>
      <w:r>
        <w:rPr>
          <w:sz w:val="18"/>
        </w:rPr>
        <w:t>first</w:t>
      </w:r>
      <w:r>
        <w:rPr>
          <w:spacing w:val="13"/>
          <w:sz w:val="18"/>
        </w:rPr>
        <w:t xml:space="preserve"> </w:t>
      </w:r>
      <w:r>
        <w:rPr>
          <w:sz w:val="18"/>
        </w:rPr>
        <w:t>written</w:t>
      </w:r>
      <w:r>
        <w:rPr>
          <w:spacing w:val="9"/>
          <w:sz w:val="18"/>
        </w:rPr>
        <w:t xml:space="preserve"> </w:t>
      </w:r>
      <w:r>
        <w:rPr>
          <w:sz w:val="18"/>
        </w:rPr>
        <w:t>submission,</w:t>
      </w:r>
      <w:r>
        <w:rPr>
          <w:spacing w:val="10"/>
          <w:sz w:val="18"/>
        </w:rPr>
        <w:t xml:space="preserve"> </w:t>
      </w:r>
      <w:r>
        <w:rPr>
          <w:sz w:val="18"/>
        </w:rPr>
        <w:t>paras.</w:t>
      </w:r>
      <w:r>
        <w:rPr>
          <w:spacing w:val="10"/>
          <w:sz w:val="18"/>
        </w:rPr>
        <w:t xml:space="preserve"> </w:t>
      </w:r>
      <w:r>
        <w:rPr>
          <w:sz w:val="18"/>
        </w:rPr>
        <w:t>122</w:t>
      </w:r>
      <w:r>
        <w:rPr>
          <w:spacing w:val="10"/>
          <w:sz w:val="18"/>
        </w:rPr>
        <w:t xml:space="preserve"> </w:t>
      </w:r>
      <w:r>
        <w:rPr>
          <w:sz w:val="18"/>
        </w:rPr>
        <w:t>and</w:t>
      </w:r>
      <w:r>
        <w:rPr>
          <w:spacing w:val="13"/>
          <w:sz w:val="18"/>
        </w:rPr>
        <w:t xml:space="preserve"> </w:t>
      </w:r>
      <w:r>
        <w:rPr>
          <w:sz w:val="18"/>
        </w:rPr>
        <w:t>503.</w:t>
      </w:r>
      <w:r>
        <w:rPr>
          <w:spacing w:val="14"/>
          <w:sz w:val="18"/>
        </w:rPr>
        <w:t xml:space="preserve"> </w:t>
      </w:r>
      <w:r>
        <w:rPr>
          <w:sz w:val="18"/>
        </w:rPr>
        <w:t>See</w:t>
      </w:r>
      <w:r>
        <w:rPr>
          <w:spacing w:val="13"/>
          <w:sz w:val="18"/>
        </w:rPr>
        <w:t xml:space="preserve"> </w:t>
      </w:r>
      <w:r>
        <w:rPr>
          <w:spacing w:val="-4"/>
          <w:sz w:val="18"/>
        </w:rPr>
        <w:t>also</w:t>
      </w:r>
    </w:p>
    <w:p w14:paraId="7B955EDE" w14:textId="17CC1E58" w:rsidR="00BD462C" w:rsidRPr="0076321F" w:rsidRDefault="00D70C7D" w:rsidP="0076321F">
      <w:pPr>
        <w:pStyle w:val="BodyText"/>
        <w:ind w:left="135"/>
        <w:rPr>
          <w:spacing w:val="-2"/>
          <w:sz w:val="20"/>
        </w:rPr>
      </w:pPr>
      <w:r>
        <w:rPr>
          <w:noProof/>
        </w:rPr>
        <w:lastRenderedPageBreak/>
        <mc:AlternateContent>
          <mc:Choice Requires="wps">
            <w:drawing>
              <wp:anchor distT="0" distB="0" distL="0" distR="0" simplePos="0" relativeHeight="487681536" behindDoc="1" locked="0" layoutInCell="1" allowOverlap="1" wp14:anchorId="4837F5A1" wp14:editId="71F841A7">
                <wp:simplePos x="0" y="0"/>
                <wp:positionH relativeFrom="page">
                  <wp:posOffset>2868295</wp:posOffset>
                </wp:positionH>
                <wp:positionV relativeFrom="paragraph">
                  <wp:posOffset>162560</wp:posOffset>
                </wp:positionV>
                <wp:extent cx="42545" cy="116205"/>
                <wp:effectExtent l="0" t="0" r="0" b="0"/>
                <wp:wrapTopAndBottom/>
                <wp:docPr id="1024" name="docshape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32B98" w14:textId="77777777" w:rsidR="00BD462C" w:rsidRDefault="00033D0F">
                            <w:pPr>
                              <w:spacing w:line="182" w:lineRule="exact"/>
                              <w:rPr>
                                <w:sz w:val="18"/>
                              </w:rPr>
                            </w:pPr>
                            <w:r>
                              <w:rPr>
                                <w:w w:val="101"/>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7F5A1" id="docshape204" o:spid="_x0000_s1042" type="#_x0000_t202" alt="&quot;&quot;" style="position:absolute;left:0;text-align:left;margin-left:225.85pt;margin-top:12.8pt;width:3.35pt;height:9.15pt;z-index:-15634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" filled="f" stroked="f">
                <v:textbox inset="0,0,0,0">
                  <w:txbxContent>
                    <w:p w14:paraId="5A232B98" w14:textId="77777777" w:rsidR="00BD462C" w:rsidRDefault="00033D0F">
                      <w:pPr>
                        <w:spacing w:line="182" w:lineRule="exact"/>
                        <w:rPr>
                          <w:sz w:val="18"/>
                        </w:rPr>
                      </w:pPr>
                      <w:r>
                        <w:rPr>
                          <w:w w:val="101"/>
                          <w:sz w:val="18"/>
                        </w:rPr>
                        <w:t>.</w:t>
                      </w:r>
                    </w:p>
                  </w:txbxContent>
                </v:textbox>
                <w10:wrap type="topAndBottom" anchorx="page"/>
              </v:shape>
            </w:pict>
          </mc:Fallback>
        </mc:AlternateContent>
      </w:r>
      <w:r w:rsidR="0076321F">
        <w:rPr>
          <w:i/>
          <w:sz w:val="20"/>
        </w:rPr>
        <w:t>C</w:t>
      </w:r>
      <w:r w:rsidR="00033D0F">
        <w:rPr>
          <w:i/>
          <w:sz w:val="20"/>
        </w:rPr>
        <w:t>hina</w:t>
      </w:r>
      <w:r w:rsidR="00033D0F">
        <w:rPr>
          <w:i/>
          <w:spacing w:val="-9"/>
          <w:sz w:val="20"/>
        </w:rPr>
        <w:t xml:space="preserve"> </w:t>
      </w:r>
      <w:r w:rsidR="00033D0F">
        <w:rPr>
          <w:i/>
          <w:sz w:val="20"/>
        </w:rPr>
        <w:t>–</w:t>
      </w:r>
      <w:r w:rsidR="00033D0F">
        <w:rPr>
          <w:i/>
          <w:spacing w:val="-10"/>
          <w:sz w:val="20"/>
        </w:rPr>
        <w:t xml:space="preserve"> </w:t>
      </w:r>
      <w:r w:rsidR="00033D0F">
        <w:rPr>
          <w:i/>
          <w:sz w:val="20"/>
        </w:rPr>
        <w:t>Anti-Dumping</w:t>
      </w:r>
      <w:r w:rsidR="00033D0F">
        <w:rPr>
          <w:i/>
          <w:spacing w:val="-8"/>
          <w:sz w:val="20"/>
        </w:rPr>
        <w:t xml:space="preserve"> </w:t>
      </w:r>
      <w:r w:rsidR="00033D0F">
        <w:rPr>
          <w:i/>
          <w:sz w:val="20"/>
        </w:rPr>
        <w:t>and</w:t>
      </w:r>
      <w:r w:rsidR="00033D0F">
        <w:rPr>
          <w:i/>
          <w:spacing w:val="-5"/>
          <w:sz w:val="20"/>
        </w:rPr>
        <w:t xml:space="preserve"> </w:t>
      </w:r>
      <w:r w:rsidR="00033D0F">
        <w:rPr>
          <w:i/>
          <w:sz w:val="20"/>
        </w:rPr>
        <w:t>Countervailing</w:t>
      </w:r>
      <w:r w:rsidR="00033D0F">
        <w:rPr>
          <w:i/>
          <w:spacing w:val="-9"/>
          <w:sz w:val="20"/>
        </w:rPr>
        <w:t xml:space="preserve"> </w:t>
      </w:r>
      <w:r w:rsidR="00033D0F">
        <w:rPr>
          <w:i/>
          <w:sz w:val="20"/>
        </w:rPr>
        <w:t>Duty</w:t>
      </w:r>
      <w:r w:rsidR="00033D0F">
        <w:rPr>
          <w:i/>
          <w:spacing w:val="-8"/>
          <w:sz w:val="20"/>
        </w:rPr>
        <w:t xml:space="preserve"> </w:t>
      </w:r>
      <w:r w:rsidR="00033D0F">
        <w:rPr>
          <w:i/>
          <w:spacing w:val="-2"/>
          <w:sz w:val="20"/>
        </w:rPr>
        <w:t>Measures</w:t>
      </w:r>
      <w:r w:rsidR="00033D0F">
        <w:rPr>
          <w:i/>
          <w:sz w:val="20"/>
        </w:rPr>
        <w:tab/>
      </w:r>
      <w:r w:rsidR="0076321F">
        <w:rPr>
          <w:i/>
          <w:sz w:val="20"/>
        </w:rPr>
        <w:tab/>
      </w:r>
      <w:r w:rsidR="0076321F">
        <w:rPr>
          <w:i/>
          <w:sz w:val="20"/>
        </w:rPr>
        <w:tab/>
      </w:r>
      <w:r w:rsidR="00033D0F">
        <w:rPr>
          <w:sz w:val="20"/>
        </w:rPr>
        <w:t>Australia's</w:t>
      </w:r>
      <w:r w:rsidR="00033D0F">
        <w:rPr>
          <w:spacing w:val="-11"/>
          <w:sz w:val="20"/>
        </w:rPr>
        <w:t xml:space="preserve"> </w:t>
      </w:r>
      <w:r w:rsidR="00033D0F">
        <w:rPr>
          <w:sz w:val="20"/>
        </w:rPr>
        <w:t>Second</w:t>
      </w:r>
      <w:r w:rsidR="00033D0F">
        <w:rPr>
          <w:spacing w:val="-10"/>
          <w:sz w:val="20"/>
        </w:rPr>
        <w:t xml:space="preserve"> </w:t>
      </w:r>
      <w:r w:rsidR="00033D0F">
        <w:rPr>
          <w:sz w:val="20"/>
        </w:rPr>
        <w:t>Written</w:t>
      </w:r>
      <w:r w:rsidR="00033D0F">
        <w:rPr>
          <w:spacing w:val="-10"/>
          <w:sz w:val="20"/>
        </w:rPr>
        <w:t xml:space="preserve"> </w:t>
      </w:r>
      <w:r w:rsidR="00033D0F">
        <w:rPr>
          <w:spacing w:val="-2"/>
          <w:sz w:val="20"/>
        </w:rPr>
        <w:t>Submission</w:t>
      </w:r>
      <w:r w:rsidR="0076321F">
        <w:rPr>
          <w:spacing w:val="-2"/>
          <w:sz w:val="20"/>
        </w:rPr>
        <w:br/>
      </w:r>
      <w:r w:rsidR="00033D0F">
        <w:rPr>
          <w:i/>
          <w:sz w:val="20"/>
        </w:rPr>
        <w:t>On</w:t>
      </w:r>
      <w:r w:rsidR="00033D0F">
        <w:rPr>
          <w:i/>
          <w:spacing w:val="-2"/>
          <w:sz w:val="20"/>
        </w:rPr>
        <w:t xml:space="preserve"> </w:t>
      </w:r>
      <w:r w:rsidR="00033D0F">
        <w:rPr>
          <w:i/>
          <w:sz w:val="20"/>
        </w:rPr>
        <w:t>Wine</w:t>
      </w:r>
      <w:r w:rsidR="00033D0F">
        <w:rPr>
          <w:i/>
          <w:spacing w:val="-4"/>
          <w:sz w:val="20"/>
        </w:rPr>
        <w:t xml:space="preserve"> </w:t>
      </w:r>
      <w:r w:rsidR="00033D0F">
        <w:rPr>
          <w:i/>
          <w:sz w:val="20"/>
        </w:rPr>
        <w:t>from</w:t>
      </w:r>
      <w:r w:rsidR="00033D0F">
        <w:rPr>
          <w:i/>
          <w:spacing w:val="-4"/>
          <w:sz w:val="20"/>
        </w:rPr>
        <w:t xml:space="preserve"> </w:t>
      </w:r>
      <w:r w:rsidR="00033D0F">
        <w:rPr>
          <w:i/>
          <w:spacing w:val="-2"/>
          <w:sz w:val="20"/>
        </w:rPr>
        <w:t>Australia</w:t>
      </w:r>
    </w:p>
    <w:p w14:paraId="2C656DED" w14:textId="23C166AA" w:rsidR="00BD462C" w:rsidRDefault="00033D0F">
      <w:pPr>
        <w:tabs>
          <w:tab w:val="left" w:pos="7652"/>
        </w:tabs>
        <w:ind w:left="135"/>
        <w:rPr>
          <w:sz w:val="20"/>
        </w:rPr>
      </w:pPr>
      <w:r>
        <w:rPr>
          <w:spacing w:val="-2"/>
          <w:sz w:val="20"/>
        </w:rPr>
        <w:t>(DS602</w:t>
      </w:r>
      <w:r w:rsidR="0076321F">
        <w:rPr>
          <w:spacing w:val="-2"/>
          <w:sz w:val="20"/>
        </w:rPr>
        <w:t>)</w:t>
      </w:r>
      <w:r w:rsidR="0076321F">
        <w:rPr>
          <w:spacing w:val="-2"/>
          <w:sz w:val="20"/>
        </w:rPr>
        <w:tab/>
      </w:r>
      <w:r>
        <w:rPr>
          <w:sz w:val="20"/>
        </w:rPr>
        <w:t>28</w:t>
      </w:r>
      <w:r>
        <w:rPr>
          <w:spacing w:val="-8"/>
          <w:sz w:val="20"/>
        </w:rPr>
        <w:t xml:space="preserve"> </w:t>
      </w:r>
      <w:r>
        <w:rPr>
          <w:sz w:val="20"/>
        </w:rPr>
        <w:t>November</w:t>
      </w:r>
      <w:r>
        <w:rPr>
          <w:spacing w:val="-2"/>
          <w:sz w:val="20"/>
        </w:rPr>
        <w:t xml:space="preserve"> </w:t>
      </w:r>
      <w:r>
        <w:rPr>
          <w:spacing w:val="-4"/>
          <w:sz w:val="20"/>
        </w:rPr>
        <w:t>2022</w:t>
      </w:r>
    </w:p>
    <w:p w14:paraId="4A36D991" w14:textId="77777777" w:rsidR="00BD462C" w:rsidRDefault="00033D0F">
      <w:pPr>
        <w:pStyle w:val="BodyText"/>
        <w:spacing w:before="102" w:line="357" w:lineRule="auto"/>
        <w:ind w:left="135" w:right="923"/>
      </w:pPr>
      <w:r>
        <w:t>context.</w:t>
      </w:r>
      <w:hyperlink w:anchor="_bookmark362" w:history="1">
        <w:r>
          <w:rPr>
            <w:vertAlign w:val="superscript"/>
          </w:rPr>
          <w:t>287</w:t>
        </w:r>
      </w:hyperlink>
      <w:r>
        <w:rPr>
          <w:spacing w:val="70"/>
        </w:rPr>
        <w:t xml:space="preserve"> </w:t>
      </w:r>
      <w:r>
        <w:t>This</w:t>
      </w:r>
      <w:r>
        <w:rPr>
          <w:spacing w:val="71"/>
        </w:rPr>
        <w:t xml:space="preserve"> </w:t>
      </w:r>
      <w:r>
        <w:t>complete</w:t>
      </w:r>
      <w:r>
        <w:rPr>
          <w:spacing w:val="65"/>
        </w:rPr>
        <w:t xml:space="preserve"> </w:t>
      </w:r>
      <w:r>
        <w:t>absence</w:t>
      </w:r>
      <w:r>
        <w:rPr>
          <w:spacing w:val="69"/>
        </w:rPr>
        <w:t xml:space="preserve"> </w:t>
      </w:r>
      <w:r>
        <w:t>is</w:t>
      </w:r>
      <w:r>
        <w:rPr>
          <w:spacing w:val="71"/>
        </w:rPr>
        <w:t xml:space="preserve"> </w:t>
      </w:r>
      <w:r>
        <w:t>a</w:t>
      </w:r>
      <w:r>
        <w:rPr>
          <w:spacing w:val="69"/>
        </w:rPr>
        <w:t xml:space="preserve"> </w:t>
      </w:r>
      <w:r>
        <w:rPr>
          <w:i/>
        </w:rPr>
        <w:t>prima</w:t>
      </w:r>
      <w:r>
        <w:rPr>
          <w:i/>
          <w:spacing w:val="65"/>
        </w:rPr>
        <w:t xml:space="preserve"> </w:t>
      </w:r>
      <w:r>
        <w:rPr>
          <w:i/>
        </w:rPr>
        <w:t>facie</w:t>
      </w:r>
      <w:r>
        <w:rPr>
          <w:i/>
          <w:spacing w:val="69"/>
        </w:rPr>
        <w:t xml:space="preserve"> </w:t>
      </w:r>
      <w:r>
        <w:t>breach</w:t>
      </w:r>
      <w:r>
        <w:rPr>
          <w:spacing w:val="67"/>
        </w:rPr>
        <w:t xml:space="preserve"> </w:t>
      </w:r>
      <w:r>
        <w:t>of</w:t>
      </w:r>
      <w:r>
        <w:rPr>
          <w:spacing w:val="68"/>
        </w:rPr>
        <w:t xml:space="preserve"> </w:t>
      </w:r>
      <w:r>
        <w:t>the</w:t>
      </w:r>
      <w:r>
        <w:rPr>
          <w:spacing w:val="69"/>
        </w:rPr>
        <w:t xml:space="preserve"> </w:t>
      </w:r>
      <w:r>
        <w:t>second</w:t>
      </w:r>
      <w:r>
        <w:rPr>
          <w:spacing w:val="67"/>
        </w:rPr>
        <w:t xml:space="preserve"> </w:t>
      </w:r>
      <w:r>
        <w:t>sentence</w:t>
      </w:r>
      <w:r>
        <w:rPr>
          <w:spacing w:val="69"/>
        </w:rPr>
        <w:t xml:space="preserve"> </w:t>
      </w:r>
      <w:r>
        <w:t>of Article 2.4.</w:t>
      </w:r>
    </w:p>
    <w:p w14:paraId="3545598E" w14:textId="77777777" w:rsidR="00BD462C" w:rsidRDefault="00BD462C">
      <w:pPr>
        <w:pStyle w:val="BodyText"/>
        <w:spacing w:before="3"/>
        <w:rPr>
          <w:sz w:val="9"/>
        </w:rPr>
      </w:pPr>
    </w:p>
    <w:p w14:paraId="40897A2C" w14:textId="65676D58" w:rsidR="00BD462C" w:rsidRDefault="00033D0F" w:rsidP="0076321F">
      <w:pPr>
        <w:pStyle w:val="BodyText"/>
        <w:numPr>
          <w:ilvl w:val="0"/>
          <w:numId w:val="69"/>
        </w:numPr>
        <w:spacing w:before="56" w:line="360" w:lineRule="auto"/>
        <w:ind w:right="914"/>
        <w:jc w:val="both"/>
      </w:pPr>
      <w:r>
        <w:rPr>
          <w:position w:val="1"/>
        </w:rPr>
        <w:t>Further,</w:t>
      </w:r>
      <w:r>
        <w:rPr>
          <w:spacing w:val="-5"/>
          <w:position w:val="1"/>
        </w:rPr>
        <w:t xml:space="preserve"> </w:t>
      </w:r>
      <w:r>
        <w:rPr>
          <w:position w:val="1"/>
        </w:rPr>
        <w:t>by</w:t>
      </w:r>
      <w:r>
        <w:rPr>
          <w:spacing w:val="-6"/>
          <w:position w:val="1"/>
        </w:rPr>
        <w:t xml:space="preserve"> </w:t>
      </w:r>
      <w:r>
        <w:rPr>
          <w:position w:val="1"/>
        </w:rPr>
        <w:t>not</w:t>
      </w:r>
      <w:r>
        <w:rPr>
          <w:spacing w:val="-7"/>
          <w:position w:val="1"/>
        </w:rPr>
        <w:t xml:space="preserve"> </w:t>
      </w:r>
      <w:r>
        <w:rPr>
          <w:position w:val="1"/>
        </w:rPr>
        <w:t>making</w:t>
      </w:r>
      <w:r>
        <w:rPr>
          <w:spacing w:val="-6"/>
          <w:position w:val="1"/>
        </w:rPr>
        <w:t xml:space="preserve"> </w:t>
      </w:r>
      <w:r>
        <w:rPr>
          <w:position w:val="1"/>
        </w:rPr>
        <w:t>the</w:t>
      </w:r>
      <w:r>
        <w:rPr>
          <w:spacing w:val="-7"/>
          <w:position w:val="1"/>
        </w:rPr>
        <w:t xml:space="preserve"> </w:t>
      </w:r>
      <w:r>
        <w:rPr>
          <w:position w:val="1"/>
        </w:rPr>
        <w:t>adjustments,</w:t>
      </w:r>
      <w:r>
        <w:rPr>
          <w:spacing w:val="-5"/>
          <w:position w:val="1"/>
        </w:rPr>
        <w:t xml:space="preserve"> </w:t>
      </w:r>
      <w:r>
        <w:rPr>
          <w:position w:val="1"/>
        </w:rPr>
        <w:t>MOFCOM</w:t>
      </w:r>
      <w:r>
        <w:rPr>
          <w:spacing w:val="-7"/>
          <w:position w:val="1"/>
        </w:rPr>
        <w:t xml:space="preserve"> </w:t>
      </w:r>
      <w:r>
        <w:rPr>
          <w:position w:val="1"/>
        </w:rPr>
        <w:t>also</w:t>
      </w:r>
      <w:r>
        <w:rPr>
          <w:spacing w:val="-10"/>
          <w:position w:val="1"/>
        </w:rPr>
        <w:t xml:space="preserve"> </w:t>
      </w:r>
      <w:r>
        <w:rPr>
          <w:position w:val="1"/>
        </w:rPr>
        <w:t>acted</w:t>
      </w:r>
      <w:r>
        <w:rPr>
          <w:spacing w:val="-9"/>
          <w:position w:val="1"/>
        </w:rPr>
        <w:t xml:space="preserve"> </w:t>
      </w:r>
      <w:r>
        <w:rPr>
          <w:position w:val="1"/>
        </w:rPr>
        <w:t>inconsistently</w:t>
      </w:r>
      <w:r>
        <w:rPr>
          <w:spacing w:val="-6"/>
          <w:position w:val="1"/>
        </w:rPr>
        <w:t xml:space="preserve"> </w:t>
      </w:r>
      <w:r>
        <w:rPr>
          <w:position w:val="1"/>
        </w:rPr>
        <w:t>with</w:t>
      </w:r>
      <w:r>
        <w:rPr>
          <w:spacing w:val="-9"/>
          <w:position w:val="1"/>
        </w:rPr>
        <w:t xml:space="preserve"> </w:t>
      </w:r>
      <w:r>
        <w:rPr>
          <w:position w:val="1"/>
        </w:rPr>
        <w:t xml:space="preserve">the </w:t>
      </w:r>
      <w:r>
        <w:t>third</w:t>
      </w:r>
      <w:r>
        <w:rPr>
          <w:spacing w:val="-14"/>
        </w:rPr>
        <w:t xml:space="preserve"> </w:t>
      </w:r>
      <w:r>
        <w:t>sentence of Article</w:t>
      </w:r>
      <w:r>
        <w:rPr>
          <w:spacing w:val="-2"/>
        </w:rPr>
        <w:t xml:space="preserve"> </w:t>
      </w:r>
      <w:r>
        <w:t>2.4.</w:t>
      </w:r>
      <w:r>
        <w:rPr>
          <w:spacing w:val="-14"/>
        </w:rPr>
        <w:t xml:space="preserve"> </w:t>
      </w:r>
      <w:hyperlink w:anchor="_bookmark363" w:history="1">
        <w:r>
          <w:rPr>
            <w:vertAlign w:val="superscript"/>
          </w:rPr>
          <w:t>288</w:t>
        </w:r>
      </w:hyperlink>
      <w:r>
        <w:t xml:space="preserve"> Contrary to China's argument, as explained above, the mere fact that MOFCOM compared the normal value and export price at the </w:t>
      </w:r>
      <w:r>
        <w:rPr>
          <w:i/>
        </w:rPr>
        <w:t xml:space="preserve">ex-factory </w:t>
      </w:r>
      <w:r>
        <w:t>level does not establish that it compared them at the same level of trade and does not establish that it complied with the mandatory requirements in the second and third sentences.</w:t>
      </w:r>
      <w:r>
        <w:rPr>
          <w:spacing w:val="-27"/>
        </w:rPr>
        <w:t xml:space="preserve"> </w:t>
      </w:r>
      <w:hyperlink w:anchor="_bookmark364" w:history="1">
        <w:r>
          <w:rPr>
            <w:vertAlign w:val="superscript"/>
          </w:rPr>
          <w:t>289</w:t>
        </w:r>
      </w:hyperlink>
    </w:p>
    <w:p w14:paraId="7520BECD" w14:textId="0D659863" w:rsidR="00BD462C" w:rsidRDefault="00033D0F" w:rsidP="0076321F">
      <w:pPr>
        <w:pStyle w:val="BodyText"/>
        <w:numPr>
          <w:ilvl w:val="0"/>
          <w:numId w:val="69"/>
        </w:numPr>
        <w:spacing w:before="159" w:line="357" w:lineRule="auto"/>
        <w:ind w:right="914"/>
        <w:jc w:val="both"/>
      </w:pPr>
      <w:bookmarkStart w:id="419" w:name="_bookmark361"/>
      <w:bookmarkEnd w:id="419"/>
      <w:r>
        <w:rPr>
          <w:position w:val="1"/>
        </w:rPr>
        <w:t>Likewise, as Australia has demonstrated,</w:t>
      </w:r>
      <w:r>
        <w:rPr>
          <w:spacing w:val="-14"/>
          <w:position w:val="1"/>
        </w:rPr>
        <w:t xml:space="preserve"> </w:t>
      </w:r>
      <w:hyperlink w:anchor="_bookmark365" w:history="1">
        <w:r>
          <w:rPr>
            <w:position w:val="1"/>
            <w:vertAlign w:val="superscript"/>
          </w:rPr>
          <w:t>290</w:t>
        </w:r>
      </w:hyperlink>
      <w:r>
        <w:rPr>
          <w:position w:val="1"/>
        </w:rPr>
        <w:t xml:space="preserve"> the evidence contradicts China's claim </w:t>
      </w:r>
      <w:r>
        <w:t>that MOFCOM compared sales made at "as nearly as possible the same time". There is no reference</w:t>
      </w:r>
      <w:r>
        <w:rPr>
          <w:spacing w:val="-14"/>
        </w:rPr>
        <w:t xml:space="preserve"> </w:t>
      </w:r>
      <w:r>
        <w:t>to</w:t>
      </w:r>
      <w:r>
        <w:rPr>
          <w:spacing w:val="-14"/>
        </w:rPr>
        <w:t xml:space="preserve"> </w:t>
      </w:r>
      <w:r>
        <w:t>this</w:t>
      </w:r>
      <w:r>
        <w:rPr>
          <w:spacing w:val="-13"/>
        </w:rPr>
        <w:t xml:space="preserve"> </w:t>
      </w:r>
      <w:r>
        <w:t>being</w:t>
      </w:r>
      <w:r>
        <w:rPr>
          <w:spacing w:val="-11"/>
        </w:rPr>
        <w:t xml:space="preserve"> </w:t>
      </w:r>
      <w:r>
        <w:t>a</w:t>
      </w:r>
      <w:r>
        <w:rPr>
          <w:spacing w:val="-13"/>
        </w:rPr>
        <w:t xml:space="preserve"> </w:t>
      </w:r>
      <w:r>
        <w:t>consideration</w:t>
      </w:r>
      <w:r>
        <w:rPr>
          <w:spacing w:val="-14"/>
        </w:rPr>
        <w:t xml:space="preserve"> </w:t>
      </w:r>
      <w:r>
        <w:t>in</w:t>
      </w:r>
      <w:r>
        <w:rPr>
          <w:spacing w:val="-14"/>
        </w:rPr>
        <w:t xml:space="preserve"> </w:t>
      </w:r>
      <w:r>
        <w:t>MOFCOM's</w:t>
      </w:r>
      <w:r>
        <w:rPr>
          <w:spacing w:val="-10"/>
        </w:rPr>
        <w:t xml:space="preserve"> </w:t>
      </w:r>
      <w:r>
        <w:t>comparison.</w:t>
      </w:r>
      <w:r>
        <w:rPr>
          <w:spacing w:val="-12"/>
        </w:rPr>
        <w:t xml:space="preserve"> </w:t>
      </w:r>
      <w:r>
        <w:t>By</w:t>
      </w:r>
      <w:r>
        <w:rPr>
          <w:spacing w:val="-12"/>
        </w:rPr>
        <w:t xml:space="preserve"> </w:t>
      </w:r>
      <w:r>
        <w:t>not</w:t>
      </w:r>
      <w:r>
        <w:rPr>
          <w:spacing w:val="-12"/>
        </w:rPr>
        <w:t xml:space="preserve"> </w:t>
      </w:r>
      <w:r>
        <w:t>even</w:t>
      </w:r>
      <w:r>
        <w:rPr>
          <w:spacing w:val="-14"/>
        </w:rPr>
        <w:t xml:space="preserve"> </w:t>
      </w:r>
      <w:r>
        <w:t>considering</w:t>
      </w:r>
      <w:r>
        <w:rPr>
          <w:spacing w:val="-11"/>
        </w:rPr>
        <w:t xml:space="preserve"> </w:t>
      </w:r>
      <w:r>
        <w:t>the necessity of adjustments for timing of sales – as the record of evidence shows – MOFCOM again acted inconsistently with the second and third sentences of Article 2.4.</w:t>
      </w:r>
    </w:p>
    <w:p w14:paraId="0444AFFE" w14:textId="77777777" w:rsidR="00BD462C" w:rsidRDefault="00033D0F" w:rsidP="00831B37">
      <w:pPr>
        <w:pStyle w:val="ListParagraph"/>
        <w:numPr>
          <w:ilvl w:val="1"/>
          <w:numId w:val="70"/>
        </w:numPr>
        <w:spacing w:before="160" w:line="360" w:lineRule="auto"/>
        <w:ind w:left="2552" w:right="918" w:hanging="567"/>
        <w:jc w:val="both"/>
        <w:rPr>
          <w:sz w:val="24"/>
        </w:rPr>
      </w:pPr>
      <w:r>
        <w:rPr>
          <w:sz w:val="24"/>
          <w:u w:val="single"/>
        </w:rPr>
        <w:t>MOFCOM did not fulfil its procedural obligation under</w:t>
      </w:r>
      <w:r>
        <w:rPr>
          <w:sz w:val="24"/>
        </w:rPr>
        <w:t xml:space="preserve"> </w:t>
      </w:r>
      <w:r>
        <w:rPr>
          <w:sz w:val="24"/>
          <w:u w:val="single"/>
        </w:rPr>
        <w:t>Article</w:t>
      </w:r>
      <w:r>
        <w:rPr>
          <w:spacing w:val="-3"/>
          <w:sz w:val="24"/>
          <w:u w:val="single"/>
        </w:rPr>
        <w:t xml:space="preserve"> </w:t>
      </w:r>
      <w:r>
        <w:rPr>
          <w:sz w:val="24"/>
          <w:u w:val="single"/>
        </w:rPr>
        <w:t>2.4 which prevented Treasury Wines requesting</w:t>
      </w:r>
      <w:r>
        <w:rPr>
          <w:sz w:val="24"/>
        </w:rPr>
        <w:t xml:space="preserve"> </w:t>
      </w:r>
      <w:r>
        <w:rPr>
          <w:sz w:val="24"/>
          <w:u w:val="single"/>
        </w:rPr>
        <w:t>relevant adjustments</w:t>
      </w:r>
    </w:p>
    <w:p w14:paraId="197300D2" w14:textId="21EE81A3" w:rsidR="00BD462C" w:rsidRPr="0076321F" w:rsidRDefault="0076321F" w:rsidP="0076321F">
      <w:pPr>
        <w:pStyle w:val="BodyText"/>
        <w:numPr>
          <w:ilvl w:val="0"/>
          <w:numId w:val="69"/>
        </w:numPr>
        <w:spacing w:before="164" w:line="357" w:lineRule="auto"/>
        <w:ind w:right="909"/>
        <w:jc w:val="both"/>
      </w:pPr>
      <w:r>
        <w:rPr>
          <w:noProof/>
        </w:rPr>
        <mc:AlternateContent>
          <mc:Choice Requires="wps">
            <w:drawing>
              <wp:anchor distT="0" distB="0" distL="0" distR="0" simplePos="0" relativeHeight="488352256" behindDoc="1" locked="0" layoutInCell="1" allowOverlap="1" wp14:anchorId="79754AB2" wp14:editId="1394171A">
                <wp:simplePos x="0" y="0"/>
                <wp:positionH relativeFrom="page">
                  <wp:posOffset>812800</wp:posOffset>
                </wp:positionH>
                <wp:positionV relativeFrom="paragraph">
                  <wp:posOffset>2039620</wp:posOffset>
                </wp:positionV>
                <wp:extent cx="1828800" cy="8890"/>
                <wp:effectExtent l="0" t="0" r="0" b="0"/>
                <wp:wrapTopAndBottom/>
                <wp:docPr id="1022" name="docshape2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7E4E7F" id="docshape205" o:spid="_x0000_s1026" alt="&quot;&quot;" style="position:absolute;margin-left:64pt;margin-top:160.6pt;width:2in;height:.7pt;z-index:-14964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" fillcolor="black" stroked="f">
                <w10:wrap type="topAndBottom" anchorx="page"/>
              </v:rect>
            </w:pict>
          </mc:Fallback>
        </mc:AlternateContent>
      </w:r>
      <w:r w:rsidR="00033D0F">
        <w:rPr>
          <w:position w:val="1"/>
        </w:rPr>
        <w:t>As Australia has demonstrated</w:t>
      </w:r>
      <w:hyperlink w:anchor="_bookmark366" w:history="1">
        <w:r w:rsidR="00033D0F">
          <w:rPr>
            <w:position w:val="1"/>
            <w:vertAlign w:val="superscript"/>
          </w:rPr>
          <w:t>291</w:t>
        </w:r>
      </w:hyperlink>
      <w:r w:rsidR="00033D0F">
        <w:rPr>
          <w:position w:val="1"/>
        </w:rPr>
        <w:t>, MOFCOM's failure to meet the Article 2.4</w:t>
      </w:r>
      <w:r w:rsidR="00033D0F">
        <w:rPr>
          <w:spacing w:val="40"/>
          <w:position w:val="1"/>
        </w:rPr>
        <w:t xml:space="preserve"> </w:t>
      </w:r>
      <w:r w:rsidR="00033D0F">
        <w:t>procedural obligation during its investigation prevented Treasury Wines from requesting relevant adjustments arising from MOFCOM's methodology. Since the company was "left in the</w:t>
      </w:r>
      <w:r w:rsidR="00033D0F">
        <w:rPr>
          <w:spacing w:val="-14"/>
        </w:rPr>
        <w:t xml:space="preserve"> </w:t>
      </w:r>
      <w:r w:rsidR="00033D0F">
        <w:t>dark",</w:t>
      </w:r>
      <w:r w:rsidR="00033D0F">
        <w:rPr>
          <w:spacing w:val="-14"/>
        </w:rPr>
        <w:t xml:space="preserve"> </w:t>
      </w:r>
      <w:hyperlink w:anchor="_bookmark367" w:history="1">
        <w:r w:rsidR="00033D0F">
          <w:rPr>
            <w:vertAlign w:val="superscript"/>
          </w:rPr>
          <w:t>292</w:t>
        </w:r>
      </w:hyperlink>
      <w:r w:rsidR="00033D0F">
        <w:rPr>
          <w:spacing w:val="-3"/>
        </w:rPr>
        <w:t xml:space="preserve"> </w:t>
      </w:r>
      <w:r w:rsidR="00033D0F">
        <w:t>it</w:t>
      </w:r>
      <w:r w:rsidR="00033D0F">
        <w:rPr>
          <w:spacing w:val="-1"/>
        </w:rPr>
        <w:t xml:space="preserve"> </w:t>
      </w:r>
      <w:r w:rsidR="00033D0F">
        <w:t>was incumbent</w:t>
      </w:r>
      <w:r w:rsidR="00033D0F">
        <w:rPr>
          <w:spacing w:val="-1"/>
        </w:rPr>
        <w:t xml:space="preserve"> </w:t>
      </w:r>
      <w:r w:rsidR="00033D0F">
        <w:t>upon MOFCOM</w:t>
      </w:r>
      <w:r w:rsidR="00033D0F">
        <w:rPr>
          <w:spacing w:val="-1"/>
        </w:rPr>
        <w:t xml:space="preserve"> </w:t>
      </w:r>
      <w:r w:rsidR="00033D0F">
        <w:t>to "find</w:t>
      </w:r>
      <w:r w:rsidR="00033D0F">
        <w:rPr>
          <w:spacing w:val="-3"/>
        </w:rPr>
        <w:t xml:space="preserve"> </w:t>
      </w:r>
      <w:r w:rsidR="00033D0F">
        <w:t>ways to disclose</w:t>
      </w:r>
      <w:r w:rsidR="00033D0F">
        <w:rPr>
          <w:spacing w:val="-1"/>
        </w:rPr>
        <w:t xml:space="preserve"> </w:t>
      </w:r>
      <w:r w:rsidR="00033D0F">
        <w:t>as much</w:t>
      </w:r>
      <w:r w:rsidR="00033D0F">
        <w:rPr>
          <w:spacing w:val="-3"/>
        </w:rPr>
        <w:t xml:space="preserve"> </w:t>
      </w:r>
      <w:r w:rsidR="00033D0F">
        <w:t>information on the normal value as the exporter would need to meaningfully participate in the fair comparison</w:t>
      </w:r>
      <w:r w:rsidR="00033D0F">
        <w:rPr>
          <w:spacing w:val="80"/>
        </w:rPr>
        <w:t xml:space="preserve"> </w:t>
      </w:r>
      <w:r w:rsidR="00033D0F">
        <w:t>process",</w:t>
      </w:r>
      <w:r w:rsidR="00033D0F">
        <w:rPr>
          <w:spacing w:val="-33"/>
        </w:rPr>
        <w:t xml:space="preserve"> </w:t>
      </w:r>
      <w:hyperlink w:anchor="_bookmark368" w:history="1">
        <w:r w:rsidR="00033D0F">
          <w:rPr>
            <w:vertAlign w:val="superscript"/>
          </w:rPr>
          <w:t>293</w:t>
        </w:r>
      </w:hyperlink>
      <w:r w:rsidR="00033D0F">
        <w:rPr>
          <w:spacing w:val="80"/>
        </w:rPr>
        <w:t xml:space="preserve"> </w:t>
      </w:r>
      <w:r w:rsidR="00033D0F">
        <w:t>which</w:t>
      </w:r>
      <w:r w:rsidR="00033D0F">
        <w:rPr>
          <w:spacing w:val="80"/>
        </w:rPr>
        <w:t xml:space="preserve"> </w:t>
      </w:r>
      <w:r w:rsidR="00033D0F">
        <w:t>it</w:t>
      </w:r>
      <w:r w:rsidR="00033D0F">
        <w:rPr>
          <w:spacing w:val="80"/>
        </w:rPr>
        <w:t xml:space="preserve"> </w:t>
      </w:r>
      <w:r w:rsidR="00033D0F">
        <w:t>did</w:t>
      </w:r>
      <w:r w:rsidR="00033D0F">
        <w:rPr>
          <w:spacing w:val="80"/>
        </w:rPr>
        <w:t xml:space="preserve"> </w:t>
      </w:r>
      <w:r w:rsidR="00033D0F">
        <w:t>not</w:t>
      </w:r>
      <w:r w:rsidR="00033D0F">
        <w:rPr>
          <w:spacing w:val="80"/>
        </w:rPr>
        <w:t xml:space="preserve"> </w:t>
      </w:r>
      <w:r w:rsidR="00033D0F">
        <w:t>do.</w:t>
      </w:r>
      <w:r w:rsidR="00033D0F">
        <w:rPr>
          <w:spacing w:val="-34"/>
        </w:rPr>
        <w:t xml:space="preserve"> </w:t>
      </w:r>
      <w:hyperlink w:anchor="_bookmark369" w:history="1">
        <w:r w:rsidR="00033D0F">
          <w:rPr>
            <w:vertAlign w:val="superscript"/>
          </w:rPr>
          <w:t>294</w:t>
        </w:r>
      </w:hyperlink>
      <w:r w:rsidR="00033D0F">
        <w:rPr>
          <w:spacing w:val="80"/>
        </w:rPr>
        <w:t xml:space="preserve"> </w:t>
      </w:r>
      <w:r w:rsidR="00033D0F">
        <w:t>MOFCOM</w:t>
      </w:r>
      <w:r w:rsidR="00033D0F">
        <w:rPr>
          <w:spacing w:val="80"/>
        </w:rPr>
        <w:t xml:space="preserve"> </w:t>
      </w:r>
      <w:r w:rsidR="00033D0F">
        <w:t>was</w:t>
      </w:r>
      <w:r w:rsidR="00033D0F">
        <w:rPr>
          <w:spacing w:val="80"/>
        </w:rPr>
        <w:t xml:space="preserve"> </w:t>
      </w:r>
      <w:r w:rsidR="00033D0F">
        <w:t>still</w:t>
      </w:r>
      <w:r w:rsidR="00033D0F">
        <w:rPr>
          <w:spacing w:val="80"/>
        </w:rPr>
        <w:t xml:space="preserve"> </w:t>
      </w:r>
      <w:r w:rsidR="00033D0F">
        <w:t>obliged</w:t>
      </w:r>
      <w:r w:rsidR="00033D0F">
        <w:rPr>
          <w:spacing w:val="80"/>
        </w:rPr>
        <w:t xml:space="preserve"> </w:t>
      </w:r>
      <w:r w:rsidR="00033D0F">
        <w:t>to</w:t>
      </w:r>
      <w:r w:rsidR="00033D0F">
        <w:rPr>
          <w:spacing w:val="80"/>
        </w:rPr>
        <w:t xml:space="preserve"> </w:t>
      </w:r>
      <w:r w:rsidR="00033D0F">
        <w:t>make</w:t>
      </w:r>
    </w:p>
    <w:p w14:paraId="6BF324DE" w14:textId="0C25D1CE" w:rsidR="00BD462C" w:rsidRDefault="00033D0F">
      <w:pPr>
        <w:spacing w:before="112"/>
        <w:ind w:left="135"/>
        <w:jc w:val="both"/>
        <w:rPr>
          <w:sz w:val="18"/>
        </w:rPr>
      </w:pPr>
      <w:bookmarkStart w:id="420" w:name="_bookmark362"/>
      <w:bookmarkEnd w:id="420"/>
      <w:r>
        <w:rPr>
          <w:position w:val="5"/>
          <w:sz w:val="12"/>
        </w:rPr>
        <w:t>287</w:t>
      </w:r>
      <w:r>
        <w:rPr>
          <w:spacing w:val="14"/>
          <w:position w:val="5"/>
          <w:sz w:val="12"/>
        </w:rPr>
        <w:t xml:space="preserve"> </w:t>
      </w:r>
      <w:r>
        <w:rPr>
          <w:sz w:val="18"/>
        </w:rPr>
        <w:t>See</w:t>
      </w:r>
      <w:r>
        <w:rPr>
          <w:spacing w:val="-5"/>
          <w:sz w:val="18"/>
        </w:rPr>
        <w:t xml:space="preserve"> </w:t>
      </w:r>
      <w:r>
        <w:rPr>
          <w:sz w:val="18"/>
        </w:rPr>
        <w:t>paras</w:t>
      </w:r>
      <w:r>
        <w:rPr>
          <w:spacing w:val="-4"/>
          <w:sz w:val="18"/>
        </w:rPr>
        <w:t xml:space="preserve"> </w:t>
      </w:r>
      <w:hyperlink w:anchor="_bookmark203" w:history="1">
        <w:r>
          <w:rPr>
            <w:sz w:val="18"/>
          </w:rPr>
          <w:t>106</w:t>
        </w:r>
      </w:hyperlink>
      <w:hyperlink w:anchor="_bookmark210" w:history="1">
        <w:r>
          <w:rPr>
            <w:sz w:val="18"/>
          </w:rPr>
          <w:t>-111.</w:t>
        </w:r>
      </w:hyperlink>
      <w:r>
        <w:rPr>
          <w:spacing w:val="1"/>
          <w:sz w:val="18"/>
        </w:rPr>
        <w:t xml:space="preserve"> </w:t>
      </w:r>
      <w:r>
        <w:rPr>
          <w:sz w:val="18"/>
        </w:rPr>
        <w:t>See also</w:t>
      </w:r>
      <w:r>
        <w:rPr>
          <w:spacing w:val="-6"/>
          <w:sz w:val="18"/>
        </w:rPr>
        <w:t xml:space="preserve"> </w:t>
      </w:r>
      <w:r>
        <w:rPr>
          <w:sz w:val="18"/>
        </w:rPr>
        <w:t>Australia's</w:t>
      </w:r>
      <w:r>
        <w:rPr>
          <w:spacing w:val="-4"/>
          <w:sz w:val="18"/>
        </w:rPr>
        <w:t xml:space="preserve"> </w:t>
      </w:r>
      <w:r>
        <w:rPr>
          <w:sz w:val="18"/>
        </w:rPr>
        <w:t>first</w:t>
      </w:r>
      <w:r>
        <w:rPr>
          <w:spacing w:val="-3"/>
          <w:sz w:val="18"/>
        </w:rPr>
        <w:t xml:space="preserve"> </w:t>
      </w:r>
      <w:r>
        <w:rPr>
          <w:sz w:val="18"/>
        </w:rPr>
        <w:t>written</w:t>
      </w:r>
      <w:r>
        <w:rPr>
          <w:spacing w:val="-6"/>
          <w:sz w:val="18"/>
        </w:rPr>
        <w:t xml:space="preserve"> </w:t>
      </w:r>
      <w:r>
        <w:rPr>
          <w:sz w:val="18"/>
        </w:rPr>
        <w:t>submission</w:t>
      </w:r>
      <w:r>
        <w:rPr>
          <w:spacing w:val="-5"/>
          <w:sz w:val="18"/>
        </w:rPr>
        <w:t xml:space="preserve"> </w:t>
      </w:r>
      <w:r>
        <w:rPr>
          <w:sz w:val="18"/>
        </w:rPr>
        <w:t>at</w:t>
      </w:r>
      <w:r>
        <w:rPr>
          <w:spacing w:val="-8"/>
          <w:sz w:val="18"/>
        </w:rPr>
        <w:t xml:space="preserve"> </w:t>
      </w:r>
      <w:r>
        <w:rPr>
          <w:sz w:val="18"/>
        </w:rPr>
        <w:t>paras.</w:t>
      </w:r>
      <w:r>
        <w:rPr>
          <w:spacing w:val="-4"/>
          <w:sz w:val="18"/>
        </w:rPr>
        <w:t xml:space="preserve"> </w:t>
      </w:r>
      <w:r>
        <w:rPr>
          <w:sz w:val="18"/>
        </w:rPr>
        <w:t>502-</w:t>
      </w:r>
      <w:r>
        <w:rPr>
          <w:spacing w:val="-4"/>
          <w:sz w:val="18"/>
        </w:rPr>
        <w:t>508.</w:t>
      </w:r>
    </w:p>
    <w:p w14:paraId="69DA5BC5" w14:textId="77777777" w:rsidR="00BD462C" w:rsidRDefault="00033D0F">
      <w:pPr>
        <w:spacing w:before="1"/>
        <w:ind w:left="136" w:right="909" w:hanging="1"/>
        <w:jc w:val="both"/>
        <w:rPr>
          <w:sz w:val="18"/>
        </w:rPr>
      </w:pPr>
      <w:bookmarkStart w:id="421" w:name="_bookmark363"/>
      <w:bookmarkEnd w:id="421"/>
      <w:r>
        <w:rPr>
          <w:position w:val="5"/>
          <w:sz w:val="12"/>
        </w:rPr>
        <w:t>288</w:t>
      </w:r>
      <w:r>
        <w:rPr>
          <w:spacing w:val="21"/>
          <w:position w:val="5"/>
          <w:sz w:val="12"/>
        </w:rPr>
        <w:t xml:space="preserve"> </w:t>
      </w:r>
      <w:r>
        <w:rPr>
          <w:sz w:val="18"/>
        </w:rPr>
        <w:t xml:space="preserve">China argues that "Australia has not raised a </w:t>
      </w:r>
      <w:r>
        <w:rPr>
          <w:i/>
          <w:sz w:val="18"/>
        </w:rPr>
        <w:t xml:space="preserve">claim </w:t>
      </w:r>
      <w:r>
        <w:rPr>
          <w:sz w:val="18"/>
        </w:rPr>
        <w:t>related to 'level of trade'</w:t>
      </w:r>
      <w:r>
        <w:rPr>
          <w:spacing w:val="-1"/>
          <w:sz w:val="18"/>
        </w:rPr>
        <w:t xml:space="preserve"> </w:t>
      </w:r>
      <w:r>
        <w:rPr>
          <w:sz w:val="18"/>
        </w:rPr>
        <w:t>under the third sentence. Its claim</w:t>
      </w:r>
      <w:r>
        <w:rPr>
          <w:spacing w:val="-1"/>
          <w:sz w:val="18"/>
        </w:rPr>
        <w:t xml:space="preserve"> </w:t>
      </w:r>
      <w:r>
        <w:rPr>
          <w:sz w:val="18"/>
        </w:rPr>
        <w:t>is limited to</w:t>
      </w:r>
      <w:r>
        <w:rPr>
          <w:spacing w:val="30"/>
          <w:sz w:val="18"/>
        </w:rPr>
        <w:t xml:space="preserve"> </w:t>
      </w:r>
      <w:r>
        <w:rPr>
          <w:sz w:val="18"/>
        </w:rPr>
        <w:t>a</w:t>
      </w:r>
      <w:r>
        <w:rPr>
          <w:spacing w:val="29"/>
          <w:sz w:val="18"/>
        </w:rPr>
        <w:t xml:space="preserve"> </w:t>
      </w:r>
      <w:r>
        <w:rPr>
          <w:sz w:val="18"/>
        </w:rPr>
        <w:t>violation</w:t>
      </w:r>
      <w:r>
        <w:rPr>
          <w:spacing w:val="25"/>
          <w:sz w:val="18"/>
        </w:rPr>
        <w:t xml:space="preserve"> </w:t>
      </w:r>
      <w:r>
        <w:rPr>
          <w:sz w:val="18"/>
        </w:rPr>
        <w:t>of</w:t>
      </w:r>
      <w:r>
        <w:rPr>
          <w:spacing w:val="27"/>
          <w:sz w:val="18"/>
        </w:rPr>
        <w:t xml:space="preserve"> </w:t>
      </w:r>
      <w:r>
        <w:rPr>
          <w:sz w:val="18"/>
        </w:rPr>
        <w:t>the</w:t>
      </w:r>
      <w:r>
        <w:rPr>
          <w:spacing w:val="26"/>
          <w:sz w:val="18"/>
        </w:rPr>
        <w:t xml:space="preserve"> </w:t>
      </w:r>
      <w:r>
        <w:rPr>
          <w:sz w:val="18"/>
        </w:rPr>
        <w:t>second</w:t>
      </w:r>
      <w:r>
        <w:rPr>
          <w:spacing w:val="30"/>
          <w:sz w:val="18"/>
        </w:rPr>
        <w:t xml:space="preserve"> </w:t>
      </w:r>
      <w:r>
        <w:rPr>
          <w:sz w:val="18"/>
        </w:rPr>
        <w:t>sentence</w:t>
      </w:r>
      <w:r>
        <w:rPr>
          <w:spacing w:val="26"/>
          <w:sz w:val="18"/>
        </w:rPr>
        <w:t xml:space="preserve"> </w:t>
      </w:r>
      <w:r>
        <w:rPr>
          <w:sz w:val="18"/>
        </w:rPr>
        <w:t>of</w:t>
      </w:r>
      <w:r>
        <w:rPr>
          <w:spacing w:val="27"/>
          <w:sz w:val="18"/>
        </w:rPr>
        <w:t xml:space="preserve"> </w:t>
      </w:r>
      <w:r>
        <w:rPr>
          <w:sz w:val="18"/>
        </w:rPr>
        <w:t>Article</w:t>
      </w:r>
      <w:r>
        <w:rPr>
          <w:spacing w:val="31"/>
          <w:sz w:val="18"/>
        </w:rPr>
        <w:t xml:space="preserve"> </w:t>
      </w:r>
      <w:r>
        <w:rPr>
          <w:sz w:val="18"/>
        </w:rPr>
        <w:t>2.4</w:t>
      </w:r>
      <w:r>
        <w:rPr>
          <w:spacing w:val="29"/>
          <w:sz w:val="18"/>
        </w:rPr>
        <w:t xml:space="preserve"> </w:t>
      </w:r>
      <w:r>
        <w:rPr>
          <w:sz w:val="18"/>
        </w:rPr>
        <w:t>of</w:t>
      </w:r>
      <w:r>
        <w:rPr>
          <w:spacing w:val="32"/>
          <w:sz w:val="18"/>
        </w:rPr>
        <w:t xml:space="preserve"> </w:t>
      </w:r>
      <w:r>
        <w:rPr>
          <w:sz w:val="18"/>
        </w:rPr>
        <w:t>the</w:t>
      </w:r>
      <w:r>
        <w:rPr>
          <w:spacing w:val="31"/>
          <w:sz w:val="18"/>
        </w:rPr>
        <w:t xml:space="preserve"> </w:t>
      </w:r>
      <w:r>
        <w:rPr>
          <w:sz w:val="18"/>
        </w:rPr>
        <w:t>Anti-Dumping</w:t>
      </w:r>
      <w:r>
        <w:rPr>
          <w:spacing w:val="31"/>
          <w:sz w:val="18"/>
        </w:rPr>
        <w:t xml:space="preserve"> </w:t>
      </w:r>
      <w:r>
        <w:rPr>
          <w:sz w:val="18"/>
        </w:rPr>
        <w:t>Agreement'</w:t>
      </w:r>
      <w:r>
        <w:rPr>
          <w:spacing w:val="28"/>
          <w:sz w:val="18"/>
        </w:rPr>
        <w:t xml:space="preserve"> </w:t>
      </w:r>
      <w:r>
        <w:rPr>
          <w:sz w:val="18"/>
        </w:rPr>
        <w:t>(China's</w:t>
      </w:r>
      <w:r>
        <w:rPr>
          <w:spacing w:val="26"/>
          <w:sz w:val="18"/>
        </w:rPr>
        <w:t xml:space="preserve"> </w:t>
      </w:r>
      <w:r>
        <w:rPr>
          <w:sz w:val="18"/>
        </w:rPr>
        <w:t>first</w:t>
      </w:r>
      <w:r>
        <w:rPr>
          <w:spacing w:val="31"/>
          <w:sz w:val="18"/>
        </w:rPr>
        <w:t xml:space="preserve"> </w:t>
      </w:r>
      <w:r>
        <w:rPr>
          <w:sz w:val="18"/>
        </w:rPr>
        <w:t>written</w:t>
      </w:r>
      <w:r>
        <w:rPr>
          <w:spacing w:val="30"/>
          <w:sz w:val="18"/>
        </w:rPr>
        <w:t xml:space="preserve"> </w:t>
      </w:r>
      <w:r>
        <w:rPr>
          <w:sz w:val="18"/>
        </w:rPr>
        <w:t xml:space="preserve">submission, para. 835, emphasis added), referencing Australia's </w:t>
      </w:r>
      <w:r>
        <w:rPr>
          <w:i/>
          <w:sz w:val="18"/>
        </w:rPr>
        <w:t xml:space="preserve">argument </w:t>
      </w:r>
      <w:r>
        <w:rPr>
          <w:sz w:val="18"/>
        </w:rPr>
        <w:t>in its first written submission. China confuses the difference between</w:t>
      </w:r>
      <w:r>
        <w:rPr>
          <w:spacing w:val="-3"/>
          <w:sz w:val="18"/>
        </w:rPr>
        <w:t xml:space="preserve"> </w:t>
      </w:r>
      <w:r>
        <w:rPr>
          <w:sz w:val="18"/>
        </w:rPr>
        <w:t>a "claim" and an</w:t>
      </w:r>
      <w:r>
        <w:rPr>
          <w:spacing w:val="-3"/>
          <w:sz w:val="18"/>
        </w:rPr>
        <w:t xml:space="preserve"> </w:t>
      </w:r>
      <w:r>
        <w:rPr>
          <w:sz w:val="18"/>
        </w:rPr>
        <w:t>"argument". Australia's</w:t>
      </w:r>
      <w:r>
        <w:rPr>
          <w:spacing w:val="-2"/>
          <w:sz w:val="18"/>
        </w:rPr>
        <w:t xml:space="preserve"> </w:t>
      </w:r>
      <w:r>
        <w:rPr>
          <w:sz w:val="18"/>
        </w:rPr>
        <w:t>"claim"</w:t>
      </w:r>
      <w:r>
        <w:rPr>
          <w:spacing w:val="-4"/>
          <w:sz w:val="18"/>
        </w:rPr>
        <w:t xml:space="preserve"> </w:t>
      </w:r>
      <w:r>
        <w:rPr>
          <w:sz w:val="18"/>
        </w:rPr>
        <w:t>under Article 2.4 is</w:t>
      </w:r>
      <w:r>
        <w:rPr>
          <w:spacing w:val="-2"/>
          <w:sz w:val="18"/>
        </w:rPr>
        <w:t xml:space="preserve"> </w:t>
      </w:r>
      <w:r>
        <w:rPr>
          <w:sz w:val="18"/>
        </w:rPr>
        <w:t>set out</w:t>
      </w:r>
      <w:r>
        <w:rPr>
          <w:spacing w:val="-1"/>
          <w:sz w:val="18"/>
        </w:rPr>
        <w:t xml:space="preserve"> </w:t>
      </w:r>
      <w:r>
        <w:rPr>
          <w:sz w:val="18"/>
        </w:rPr>
        <w:t>in</w:t>
      </w:r>
      <w:r>
        <w:rPr>
          <w:spacing w:val="-3"/>
          <w:sz w:val="18"/>
        </w:rPr>
        <w:t xml:space="preserve"> </w:t>
      </w:r>
      <w:r>
        <w:rPr>
          <w:sz w:val="18"/>
        </w:rPr>
        <w:t>paragraph xiv of</w:t>
      </w:r>
      <w:r>
        <w:rPr>
          <w:spacing w:val="-1"/>
          <w:sz w:val="18"/>
        </w:rPr>
        <w:t xml:space="preserve"> </w:t>
      </w:r>
      <w:r>
        <w:rPr>
          <w:sz w:val="18"/>
        </w:rPr>
        <w:t>its</w:t>
      </w:r>
      <w:r>
        <w:rPr>
          <w:spacing w:val="-2"/>
          <w:sz w:val="18"/>
        </w:rPr>
        <w:t xml:space="preserve"> </w:t>
      </w:r>
      <w:r>
        <w:rPr>
          <w:sz w:val="18"/>
        </w:rPr>
        <w:t>Panel</w:t>
      </w:r>
      <w:r>
        <w:rPr>
          <w:spacing w:val="-1"/>
          <w:sz w:val="18"/>
        </w:rPr>
        <w:t xml:space="preserve"> </w:t>
      </w:r>
      <w:r>
        <w:rPr>
          <w:sz w:val="18"/>
        </w:rPr>
        <w:t>Request</w:t>
      </w:r>
      <w:r>
        <w:rPr>
          <w:spacing w:val="-1"/>
          <w:sz w:val="18"/>
        </w:rPr>
        <w:t xml:space="preserve"> </w:t>
      </w:r>
      <w:r>
        <w:rPr>
          <w:sz w:val="18"/>
        </w:rPr>
        <w:t>in broad terms that covered the entirety of Article 2.4. It is irrelevant that Australia focused its "argument" in its first written submission on the mandatory requirement in the second sentence of Article 2.4.</w:t>
      </w:r>
    </w:p>
    <w:p w14:paraId="78FF8FF8" w14:textId="77777777" w:rsidR="00BD462C" w:rsidRDefault="00033D0F">
      <w:pPr>
        <w:spacing w:before="1" w:line="218" w:lineRule="exact"/>
        <w:ind w:left="135"/>
        <w:jc w:val="both"/>
        <w:rPr>
          <w:sz w:val="18"/>
        </w:rPr>
      </w:pPr>
      <w:bookmarkStart w:id="422" w:name="_bookmark364"/>
      <w:bookmarkEnd w:id="422"/>
      <w:r>
        <w:rPr>
          <w:position w:val="5"/>
          <w:sz w:val="12"/>
        </w:rPr>
        <w:t>289</w:t>
      </w:r>
      <w:r>
        <w:rPr>
          <w:spacing w:val="13"/>
          <w:position w:val="5"/>
          <w:sz w:val="12"/>
        </w:rPr>
        <w:t xml:space="preserve"> </w:t>
      </w:r>
      <w:r>
        <w:rPr>
          <w:sz w:val="18"/>
        </w:rPr>
        <w:t>See</w:t>
      </w:r>
      <w:r>
        <w:rPr>
          <w:spacing w:val="-5"/>
          <w:sz w:val="18"/>
        </w:rPr>
        <w:t xml:space="preserve"> </w:t>
      </w:r>
      <w:r>
        <w:rPr>
          <w:sz w:val="18"/>
        </w:rPr>
        <w:t>paras.</w:t>
      </w:r>
      <w:r>
        <w:rPr>
          <w:spacing w:val="1"/>
          <w:sz w:val="18"/>
        </w:rPr>
        <w:t xml:space="preserve"> </w:t>
      </w:r>
      <w:hyperlink w:anchor="_bookmark203" w:history="1">
        <w:r>
          <w:rPr>
            <w:sz w:val="18"/>
          </w:rPr>
          <w:t>106</w:t>
        </w:r>
      </w:hyperlink>
      <w:hyperlink w:anchor="_bookmark210" w:history="1">
        <w:r>
          <w:rPr>
            <w:sz w:val="18"/>
          </w:rPr>
          <w:t>-</w:t>
        </w:r>
        <w:r>
          <w:rPr>
            <w:spacing w:val="-4"/>
            <w:sz w:val="18"/>
          </w:rPr>
          <w:t>111.</w:t>
        </w:r>
      </w:hyperlink>
    </w:p>
    <w:p w14:paraId="7F432383" w14:textId="77777777" w:rsidR="00BD462C" w:rsidRDefault="00033D0F">
      <w:pPr>
        <w:spacing w:line="218" w:lineRule="exact"/>
        <w:ind w:left="135"/>
        <w:jc w:val="both"/>
        <w:rPr>
          <w:sz w:val="18"/>
        </w:rPr>
      </w:pPr>
      <w:bookmarkStart w:id="423" w:name="_bookmark365"/>
      <w:bookmarkEnd w:id="423"/>
      <w:r>
        <w:rPr>
          <w:position w:val="5"/>
          <w:sz w:val="12"/>
        </w:rPr>
        <w:t>290</w:t>
      </w:r>
      <w:r>
        <w:rPr>
          <w:spacing w:val="14"/>
          <w:position w:val="5"/>
          <w:sz w:val="12"/>
        </w:rPr>
        <w:t xml:space="preserve"> </w:t>
      </w:r>
      <w:r>
        <w:rPr>
          <w:sz w:val="18"/>
        </w:rPr>
        <w:t>See</w:t>
      </w:r>
      <w:r>
        <w:rPr>
          <w:spacing w:val="-5"/>
          <w:sz w:val="18"/>
        </w:rPr>
        <w:t xml:space="preserve"> </w:t>
      </w:r>
      <w:r>
        <w:rPr>
          <w:sz w:val="18"/>
        </w:rPr>
        <w:t>paras.</w:t>
      </w:r>
      <w:r>
        <w:rPr>
          <w:spacing w:val="1"/>
          <w:sz w:val="18"/>
        </w:rPr>
        <w:t xml:space="preserve"> </w:t>
      </w:r>
      <w:r>
        <w:rPr>
          <w:sz w:val="18"/>
        </w:rPr>
        <w:t>94</w:t>
      </w:r>
      <w:hyperlink w:anchor="_bookmark238" w:history="1">
        <w:r>
          <w:rPr>
            <w:sz w:val="18"/>
          </w:rPr>
          <w:t>-</w:t>
        </w:r>
        <w:r>
          <w:rPr>
            <w:spacing w:val="-4"/>
            <w:sz w:val="18"/>
          </w:rPr>
          <w:t>121.</w:t>
        </w:r>
      </w:hyperlink>
    </w:p>
    <w:p w14:paraId="4DB653B2" w14:textId="77777777" w:rsidR="00BD462C" w:rsidRDefault="00033D0F">
      <w:pPr>
        <w:spacing w:before="1"/>
        <w:ind w:left="135"/>
        <w:rPr>
          <w:sz w:val="18"/>
        </w:rPr>
      </w:pPr>
      <w:bookmarkStart w:id="424" w:name="_bookmark366"/>
      <w:bookmarkEnd w:id="424"/>
      <w:r>
        <w:rPr>
          <w:position w:val="5"/>
          <w:sz w:val="12"/>
        </w:rPr>
        <w:t>291</w:t>
      </w:r>
      <w:r>
        <w:rPr>
          <w:spacing w:val="13"/>
          <w:position w:val="5"/>
          <w:sz w:val="12"/>
        </w:rPr>
        <w:t xml:space="preserve"> </w:t>
      </w:r>
      <w:r>
        <w:rPr>
          <w:sz w:val="18"/>
        </w:rPr>
        <w:t>See</w:t>
      </w:r>
      <w:r>
        <w:rPr>
          <w:spacing w:val="-6"/>
          <w:sz w:val="18"/>
        </w:rPr>
        <w:t xml:space="preserve"> </w:t>
      </w:r>
      <w:r>
        <w:rPr>
          <w:sz w:val="18"/>
        </w:rPr>
        <w:t>paras. 96-103.</w:t>
      </w:r>
      <w:r>
        <w:rPr>
          <w:spacing w:val="-5"/>
          <w:sz w:val="18"/>
        </w:rPr>
        <w:t xml:space="preserve"> </w:t>
      </w:r>
      <w:r>
        <w:rPr>
          <w:sz w:val="18"/>
        </w:rPr>
        <w:t>See</w:t>
      </w:r>
      <w:r>
        <w:rPr>
          <w:spacing w:val="-5"/>
          <w:sz w:val="18"/>
        </w:rPr>
        <w:t xml:space="preserve"> </w:t>
      </w:r>
      <w:r>
        <w:rPr>
          <w:sz w:val="18"/>
        </w:rPr>
        <w:t>also</w:t>
      </w:r>
      <w:r>
        <w:rPr>
          <w:spacing w:val="-7"/>
          <w:sz w:val="18"/>
        </w:rPr>
        <w:t xml:space="preserve"> </w:t>
      </w:r>
      <w:r>
        <w:rPr>
          <w:sz w:val="18"/>
        </w:rPr>
        <w:t>Australia's</w:t>
      </w:r>
      <w:r>
        <w:rPr>
          <w:spacing w:val="-5"/>
          <w:sz w:val="18"/>
        </w:rPr>
        <w:t xml:space="preserve"> </w:t>
      </w:r>
      <w:r>
        <w:rPr>
          <w:sz w:val="18"/>
        </w:rPr>
        <w:t>first</w:t>
      </w:r>
      <w:r>
        <w:rPr>
          <w:spacing w:val="-1"/>
          <w:sz w:val="18"/>
        </w:rPr>
        <w:t xml:space="preserve"> </w:t>
      </w:r>
      <w:r>
        <w:rPr>
          <w:sz w:val="18"/>
        </w:rPr>
        <w:t>written</w:t>
      </w:r>
      <w:r>
        <w:rPr>
          <w:spacing w:val="-6"/>
          <w:sz w:val="18"/>
        </w:rPr>
        <w:t xml:space="preserve"> </w:t>
      </w:r>
      <w:r>
        <w:rPr>
          <w:sz w:val="18"/>
        </w:rPr>
        <w:t>submission,</w:t>
      </w:r>
      <w:r>
        <w:rPr>
          <w:spacing w:val="-4"/>
          <w:sz w:val="18"/>
        </w:rPr>
        <w:t xml:space="preserve"> </w:t>
      </w:r>
      <w:r>
        <w:rPr>
          <w:sz w:val="18"/>
        </w:rPr>
        <w:t>paras. 493-</w:t>
      </w:r>
      <w:r>
        <w:rPr>
          <w:spacing w:val="-4"/>
          <w:sz w:val="18"/>
        </w:rPr>
        <w:t>522.</w:t>
      </w:r>
    </w:p>
    <w:p w14:paraId="66B5BE49" w14:textId="77777777" w:rsidR="00BD462C" w:rsidRDefault="00033D0F">
      <w:pPr>
        <w:spacing w:before="1"/>
        <w:ind w:left="135"/>
        <w:rPr>
          <w:sz w:val="18"/>
        </w:rPr>
      </w:pPr>
      <w:bookmarkStart w:id="425" w:name="_bookmark367"/>
      <w:bookmarkEnd w:id="425"/>
      <w:r>
        <w:rPr>
          <w:position w:val="5"/>
          <w:sz w:val="12"/>
        </w:rPr>
        <w:t>292</w:t>
      </w:r>
      <w:r>
        <w:rPr>
          <w:spacing w:val="13"/>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 xml:space="preserve">para. </w:t>
      </w:r>
      <w:r>
        <w:rPr>
          <w:spacing w:val="-4"/>
          <w:sz w:val="18"/>
        </w:rPr>
        <w:t>818.</w:t>
      </w:r>
    </w:p>
    <w:p w14:paraId="6551E290" w14:textId="77777777" w:rsidR="00BD462C" w:rsidRDefault="00033D0F">
      <w:pPr>
        <w:spacing w:before="1"/>
        <w:ind w:left="135"/>
        <w:rPr>
          <w:sz w:val="18"/>
        </w:rPr>
      </w:pPr>
      <w:bookmarkStart w:id="426" w:name="_bookmark368"/>
      <w:bookmarkEnd w:id="426"/>
      <w:r>
        <w:rPr>
          <w:position w:val="5"/>
          <w:sz w:val="12"/>
        </w:rPr>
        <w:t>293</w:t>
      </w:r>
      <w:r>
        <w:rPr>
          <w:spacing w:val="13"/>
          <w:position w:val="5"/>
          <w:sz w:val="12"/>
        </w:rPr>
        <w:t xml:space="preserve"> </w:t>
      </w:r>
      <w:r>
        <w:rPr>
          <w:sz w:val="18"/>
        </w:rPr>
        <w:t>China's</w:t>
      </w:r>
      <w:r>
        <w:rPr>
          <w:spacing w:val="-5"/>
          <w:sz w:val="18"/>
        </w:rPr>
        <w:t xml:space="preserve"> </w:t>
      </w:r>
      <w:r>
        <w:rPr>
          <w:sz w:val="18"/>
        </w:rPr>
        <w:t>first</w:t>
      </w:r>
      <w:r>
        <w:rPr>
          <w:spacing w:val="-3"/>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para.</w:t>
      </w:r>
      <w:r>
        <w:rPr>
          <w:spacing w:val="1"/>
          <w:sz w:val="18"/>
        </w:rPr>
        <w:t xml:space="preserve"> </w:t>
      </w:r>
      <w:r>
        <w:rPr>
          <w:sz w:val="18"/>
        </w:rPr>
        <w:t>819</w:t>
      </w:r>
      <w:r>
        <w:rPr>
          <w:spacing w:val="-7"/>
          <w:sz w:val="18"/>
        </w:rPr>
        <w:t xml:space="preserve"> </w:t>
      </w:r>
      <w:r>
        <w:rPr>
          <w:sz w:val="18"/>
        </w:rPr>
        <w:t>quoting</w:t>
      </w:r>
      <w:r>
        <w:rPr>
          <w:spacing w:val="-4"/>
          <w:sz w:val="18"/>
        </w:rPr>
        <w:t xml:space="preserve"> </w:t>
      </w:r>
      <w:r>
        <w:rPr>
          <w:sz w:val="18"/>
        </w:rPr>
        <w:t>Panel</w:t>
      </w:r>
      <w:r>
        <w:rPr>
          <w:spacing w:val="-9"/>
          <w:sz w:val="18"/>
        </w:rPr>
        <w:t xml:space="preserve"> </w:t>
      </w:r>
      <w:r>
        <w:rPr>
          <w:sz w:val="18"/>
        </w:rPr>
        <w:t>Report,</w:t>
      </w:r>
      <w:r>
        <w:rPr>
          <w:spacing w:val="-3"/>
          <w:sz w:val="18"/>
        </w:rPr>
        <w:t xml:space="preserve"> </w:t>
      </w:r>
      <w:r>
        <w:rPr>
          <w:i/>
          <w:sz w:val="18"/>
        </w:rPr>
        <w:t>EC –</w:t>
      </w:r>
      <w:r>
        <w:rPr>
          <w:i/>
          <w:spacing w:val="-5"/>
          <w:sz w:val="18"/>
        </w:rPr>
        <w:t xml:space="preserve"> </w:t>
      </w:r>
      <w:r>
        <w:rPr>
          <w:i/>
          <w:sz w:val="18"/>
        </w:rPr>
        <w:t>Fasteners</w:t>
      </w:r>
      <w:r>
        <w:rPr>
          <w:i/>
          <w:spacing w:val="-5"/>
          <w:sz w:val="18"/>
        </w:rPr>
        <w:t xml:space="preserve"> </w:t>
      </w:r>
      <w:r>
        <w:rPr>
          <w:i/>
          <w:sz w:val="18"/>
        </w:rPr>
        <w:t>(China)</w:t>
      </w:r>
      <w:r>
        <w:rPr>
          <w:sz w:val="18"/>
        </w:rPr>
        <w:t>,</w:t>
      </w:r>
      <w:r>
        <w:rPr>
          <w:spacing w:val="-3"/>
          <w:sz w:val="18"/>
        </w:rPr>
        <w:t xml:space="preserve"> </w:t>
      </w:r>
      <w:r>
        <w:rPr>
          <w:sz w:val="18"/>
        </w:rPr>
        <w:t>para.</w:t>
      </w:r>
      <w:r>
        <w:rPr>
          <w:spacing w:val="-4"/>
          <w:sz w:val="18"/>
        </w:rPr>
        <w:t xml:space="preserve"> </w:t>
      </w:r>
      <w:r>
        <w:rPr>
          <w:spacing w:val="-2"/>
          <w:sz w:val="18"/>
        </w:rPr>
        <w:t>7.149.</w:t>
      </w:r>
    </w:p>
    <w:p w14:paraId="116DABAC" w14:textId="77777777" w:rsidR="00BD462C" w:rsidRDefault="00033D0F">
      <w:pPr>
        <w:spacing w:before="2"/>
        <w:ind w:left="135"/>
        <w:rPr>
          <w:sz w:val="18"/>
        </w:rPr>
      </w:pPr>
      <w:bookmarkStart w:id="427" w:name="_bookmark369"/>
      <w:bookmarkEnd w:id="427"/>
      <w:r>
        <w:rPr>
          <w:position w:val="5"/>
          <w:sz w:val="12"/>
        </w:rPr>
        <w:t>294</w:t>
      </w:r>
      <w:r>
        <w:rPr>
          <w:spacing w:val="14"/>
          <w:position w:val="5"/>
          <w:sz w:val="12"/>
        </w:rPr>
        <w:t xml:space="preserve"> </w:t>
      </w:r>
      <w:r>
        <w:rPr>
          <w:sz w:val="18"/>
        </w:rPr>
        <w:t>See</w:t>
      </w:r>
      <w:r>
        <w:rPr>
          <w:spacing w:val="-5"/>
          <w:sz w:val="18"/>
        </w:rPr>
        <w:t xml:space="preserve"> </w:t>
      </w:r>
      <w:r>
        <w:rPr>
          <w:sz w:val="18"/>
        </w:rPr>
        <w:t>paras.</w:t>
      </w:r>
      <w:r>
        <w:rPr>
          <w:spacing w:val="1"/>
          <w:sz w:val="18"/>
        </w:rPr>
        <w:t xml:space="preserve"> </w:t>
      </w:r>
      <w:hyperlink w:anchor="_bookmark196" w:history="1">
        <w:r>
          <w:rPr>
            <w:sz w:val="18"/>
          </w:rPr>
          <w:t>105</w:t>
        </w:r>
      </w:hyperlink>
      <w:hyperlink w:anchor="_bookmark203" w:history="1">
        <w:r>
          <w:rPr>
            <w:sz w:val="18"/>
          </w:rPr>
          <w:t>-</w:t>
        </w:r>
        <w:r>
          <w:rPr>
            <w:spacing w:val="-4"/>
            <w:sz w:val="18"/>
          </w:rPr>
          <w:t>106.</w:t>
        </w:r>
      </w:hyperlink>
    </w:p>
    <w:p w14:paraId="375F948A" w14:textId="77777777" w:rsidR="00BD462C" w:rsidRDefault="00BD462C">
      <w:pPr>
        <w:rPr>
          <w:sz w:val="18"/>
        </w:rPr>
        <w:sectPr w:rsidR="00BD462C">
          <w:pgSz w:w="11910" w:h="16840"/>
          <w:pgMar w:top="860" w:right="500" w:bottom="780" w:left="1280" w:header="566" w:footer="590" w:gutter="0"/>
          <w:cols w:space="720"/>
        </w:sectPr>
      </w:pPr>
    </w:p>
    <w:p w14:paraId="68D24EAB"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6720DC79"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72B6EC70"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6E9986C3" w14:textId="77777777" w:rsidR="00BD462C" w:rsidRDefault="00033D0F">
      <w:pPr>
        <w:pStyle w:val="BodyText"/>
        <w:spacing w:before="102" w:line="357" w:lineRule="auto"/>
        <w:ind w:left="135" w:right="923"/>
      </w:pPr>
      <w:r>
        <w:t>adjustments</w:t>
      </w:r>
      <w:r>
        <w:rPr>
          <w:spacing w:val="-2"/>
        </w:rPr>
        <w:t xml:space="preserve"> </w:t>
      </w:r>
      <w:r>
        <w:t>"where</w:t>
      </w:r>
      <w:r>
        <w:rPr>
          <w:spacing w:val="-3"/>
        </w:rPr>
        <w:t xml:space="preserve"> </w:t>
      </w:r>
      <w:r>
        <w:t>it</w:t>
      </w:r>
      <w:r>
        <w:rPr>
          <w:spacing w:val="-3"/>
        </w:rPr>
        <w:t xml:space="preserve"> </w:t>
      </w:r>
      <w:r>
        <w:t>is</w:t>
      </w:r>
      <w:r>
        <w:rPr>
          <w:spacing w:val="-2"/>
        </w:rPr>
        <w:t xml:space="preserve"> </w:t>
      </w:r>
      <w:r>
        <w:t>demonstrated</w:t>
      </w:r>
      <w:r>
        <w:rPr>
          <w:spacing w:val="-5"/>
        </w:rPr>
        <w:t xml:space="preserve"> </w:t>
      </w:r>
      <w:r>
        <w:t>by</w:t>
      </w:r>
      <w:r>
        <w:rPr>
          <w:spacing w:val="-2"/>
        </w:rPr>
        <w:t xml:space="preserve"> </w:t>
      </w:r>
      <w:r>
        <w:t>one</w:t>
      </w:r>
      <w:r>
        <w:rPr>
          <w:spacing w:val="-4"/>
        </w:rPr>
        <w:t xml:space="preserve"> </w:t>
      </w:r>
      <w:r>
        <w:t>or</w:t>
      </w:r>
      <w:r>
        <w:rPr>
          <w:spacing w:val="-1"/>
        </w:rPr>
        <w:t xml:space="preserve"> </w:t>
      </w:r>
      <w:r>
        <w:t>another</w:t>
      </w:r>
      <w:r>
        <w:rPr>
          <w:spacing w:val="-6"/>
        </w:rPr>
        <w:t xml:space="preserve"> </w:t>
      </w:r>
      <w:r>
        <w:t>party</w:t>
      </w:r>
      <w:r>
        <w:rPr>
          <w:spacing w:val="-2"/>
        </w:rPr>
        <w:t xml:space="preserve"> </w:t>
      </w:r>
      <w:r>
        <w:t>in</w:t>
      </w:r>
      <w:r>
        <w:rPr>
          <w:spacing w:val="-5"/>
        </w:rPr>
        <w:t xml:space="preserve"> </w:t>
      </w:r>
      <w:r>
        <w:t>a</w:t>
      </w:r>
      <w:r>
        <w:rPr>
          <w:spacing w:val="-4"/>
        </w:rPr>
        <w:t xml:space="preserve"> </w:t>
      </w:r>
      <w:r>
        <w:t>particular</w:t>
      </w:r>
      <w:r>
        <w:rPr>
          <w:spacing w:val="-6"/>
        </w:rPr>
        <w:t xml:space="preserve"> </w:t>
      </w:r>
      <w:r>
        <w:t>case,</w:t>
      </w:r>
      <w:r>
        <w:rPr>
          <w:spacing w:val="-1"/>
        </w:rPr>
        <w:t xml:space="preserve"> </w:t>
      </w:r>
      <w:r>
        <w:t>or</w:t>
      </w:r>
      <w:r>
        <w:rPr>
          <w:spacing w:val="-6"/>
        </w:rPr>
        <w:t xml:space="preserve"> </w:t>
      </w:r>
      <w:r>
        <w:t>by</w:t>
      </w:r>
      <w:r>
        <w:rPr>
          <w:spacing w:val="-2"/>
        </w:rPr>
        <w:t xml:space="preserve"> </w:t>
      </w:r>
      <w:r>
        <w:t>the data itself that a given difference affects price comparability",</w:t>
      </w:r>
      <w:hyperlink w:anchor="_bookmark370" w:history="1">
        <w:r>
          <w:rPr>
            <w:vertAlign w:val="superscript"/>
          </w:rPr>
          <w:t>295</w:t>
        </w:r>
      </w:hyperlink>
      <w:r>
        <w:t xml:space="preserve"> which it also did not do.</w:t>
      </w:r>
      <w:r>
        <w:rPr>
          <w:spacing w:val="-31"/>
        </w:rPr>
        <w:t xml:space="preserve"> </w:t>
      </w:r>
      <w:hyperlink w:anchor="_bookmark371" w:history="1">
        <w:r>
          <w:rPr>
            <w:vertAlign w:val="superscript"/>
          </w:rPr>
          <w:t>296</w:t>
        </w:r>
      </w:hyperlink>
    </w:p>
    <w:p w14:paraId="12D3CD45" w14:textId="77777777" w:rsidR="00BD462C" w:rsidRDefault="00033D0F" w:rsidP="00DA02D9">
      <w:pPr>
        <w:pStyle w:val="ListParagraph"/>
        <w:numPr>
          <w:ilvl w:val="1"/>
          <w:numId w:val="70"/>
        </w:numPr>
        <w:tabs>
          <w:tab w:val="left" w:pos="3539"/>
          <w:tab w:val="left" w:pos="3540"/>
        </w:tabs>
        <w:spacing w:before="164" w:line="362" w:lineRule="auto"/>
        <w:ind w:right="917"/>
        <w:rPr>
          <w:sz w:val="24"/>
        </w:rPr>
      </w:pPr>
      <w:bookmarkStart w:id="428" w:name="(c)_MOFCOM_erroneously_rejected_adjustme"/>
      <w:bookmarkEnd w:id="428"/>
      <w:r>
        <w:rPr>
          <w:sz w:val="24"/>
          <w:u w:val="single"/>
        </w:rPr>
        <w:t>MOFCOM</w:t>
      </w:r>
      <w:r>
        <w:rPr>
          <w:spacing w:val="-3"/>
          <w:sz w:val="24"/>
          <w:u w:val="single"/>
        </w:rPr>
        <w:t xml:space="preserve"> </w:t>
      </w:r>
      <w:r>
        <w:rPr>
          <w:sz w:val="24"/>
          <w:u w:val="single"/>
        </w:rPr>
        <w:t>erroneously</w:t>
      </w:r>
      <w:r>
        <w:rPr>
          <w:spacing w:val="-2"/>
          <w:sz w:val="24"/>
          <w:u w:val="single"/>
        </w:rPr>
        <w:t xml:space="preserve"> </w:t>
      </w:r>
      <w:r>
        <w:rPr>
          <w:sz w:val="24"/>
          <w:u w:val="single"/>
        </w:rPr>
        <w:t>rejected</w:t>
      </w:r>
      <w:r>
        <w:rPr>
          <w:spacing w:val="-6"/>
          <w:sz w:val="24"/>
          <w:u w:val="single"/>
        </w:rPr>
        <w:t xml:space="preserve"> </w:t>
      </w:r>
      <w:r>
        <w:rPr>
          <w:sz w:val="24"/>
          <w:u w:val="single"/>
        </w:rPr>
        <w:t>adjustments</w:t>
      </w:r>
      <w:r>
        <w:rPr>
          <w:spacing w:val="-6"/>
          <w:sz w:val="24"/>
          <w:u w:val="single"/>
        </w:rPr>
        <w:t xml:space="preserve"> </w:t>
      </w:r>
      <w:r>
        <w:rPr>
          <w:sz w:val="24"/>
          <w:u w:val="single"/>
        </w:rPr>
        <w:t>requested</w:t>
      </w:r>
      <w:r>
        <w:rPr>
          <w:spacing w:val="-6"/>
          <w:sz w:val="24"/>
          <w:u w:val="single"/>
        </w:rPr>
        <w:t xml:space="preserve"> </w:t>
      </w:r>
      <w:r>
        <w:rPr>
          <w:sz w:val="24"/>
          <w:u w:val="single"/>
        </w:rPr>
        <w:t>by</w:t>
      </w:r>
      <w:r>
        <w:rPr>
          <w:sz w:val="24"/>
        </w:rPr>
        <w:t xml:space="preserve"> </w:t>
      </w:r>
      <w:r>
        <w:rPr>
          <w:sz w:val="24"/>
          <w:u w:val="single"/>
        </w:rPr>
        <w:t>Treasury Wines</w:t>
      </w:r>
    </w:p>
    <w:p w14:paraId="62768F3B" w14:textId="77777777" w:rsidR="00BD462C" w:rsidRDefault="00BD462C">
      <w:pPr>
        <w:pStyle w:val="BodyText"/>
        <w:spacing w:before="3"/>
        <w:rPr>
          <w:sz w:val="8"/>
        </w:rPr>
      </w:pPr>
    </w:p>
    <w:p w14:paraId="7961A8FD" w14:textId="286A7072" w:rsidR="00BD462C" w:rsidRDefault="00033D0F" w:rsidP="0076321F">
      <w:pPr>
        <w:pStyle w:val="BodyText"/>
        <w:numPr>
          <w:ilvl w:val="0"/>
          <w:numId w:val="69"/>
        </w:numPr>
        <w:spacing w:before="56" w:line="360" w:lineRule="auto"/>
        <w:ind w:right="913" w:hanging="638"/>
        <w:jc w:val="both"/>
      </w:pPr>
      <w:r>
        <w:rPr>
          <w:position w:val="1"/>
        </w:rPr>
        <w:t xml:space="preserve">MOFCOM accepted Treasury Wines' requested adjustments for "invoice discount, </w:t>
      </w:r>
      <w:r>
        <w:t>wine</w:t>
      </w:r>
      <w:r>
        <w:rPr>
          <w:spacing w:val="-4"/>
        </w:rPr>
        <w:t xml:space="preserve"> </w:t>
      </w:r>
      <w:proofErr w:type="spellStart"/>
      <w:r>
        <w:t>equalisation</w:t>
      </w:r>
      <w:proofErr w:type="spellEnd"/>
      <w:r>
        <w:rPr>
          <w:spacing w:val="-5"/>
        </w:rPr>
        <w:t xml:space="preserve"> </w:t>
      </w:r>
      <w:r>
        <w:t>tax</w:t>
      </w:r>
      <w:r>
        <w:rPr>
          <w:spacing w:val="-2"/>
        </w:rPr>
        <w:t xml:space="preserve"> </w:t>
      </w:r>
      <w:r>
        <w:t>adjustment,</w:t>
      </w:r>
      <w:r>
        <w:rPr>
          <w:spacing w:val="-1"/>
        </w:rPr>
        <w:t xml:space="preserve"> </w:t>
      </w:r>
      <w:r>
        <w:t>inland</w:t>
      </w:r>
      <w:r>
        <w:rPr>
          <w:spacing w:val="-5"/>
        </w:rPr>
        <w:t xml:space="preserve"> </w:t>
      </w:r>
      <w:r>
        <w:t>freight</w:t>
      </w:r>
      <w:r>
        <w:rPr>
          <w:spacing w:val="-3"/>
        </w:rPr>
        <w:t xml:space="preserve"> </w:t>
      </w:r>
      <w:r>
        <w:t>and</w:t>
      </w:r>
      <w:r>
        <w:rPr>
          <w:spacing w:val="-5"/>
        </w:rPr>
        <w:t xml:space="preserve"> </w:t>
      </w:r>
      <w:r>
        <w:t>other</w:t>
      </w:r>
      <w:r>
        <w:rPr>
          <w:spacing w:val="-1"/>
        </w:rPr>
        <w:t xml:space="preserve"> </w:t>
      </w:r>
      <w:r>
        <w:t>adjustment</w:t>
      </w:r>
      <w:r>
        <w:rPr>
          <w:spacing w:val="-3"/>
        </w:rPr>
        <w:t xml:space="preserve"> </w:t>
      </w:r>
      <w:r>
        <w:t>items"</w:t>
      </w:r>
      <w:r>
        <w:rPr>
          <w:spacing w:val="-4"/>
        </w:rPr>
        <w:t xml:space="preserve"> </w:t>
      </w:r>
      <w:r>
        <w:t>but</w:t>
      </w:r>
      <w:r>
        <w:rPr>
          <w:spacing w:val="-3"/>
        </w:rPr>
        <w:t xml:space="preserve"> </w:t>
      </w:r>
      <w:r>
        <w:t>rejected</w:t>
      </w:r>
      <w:r>
        <w:rPr>
          <w:spacing w:val="-5"/>
        </w:rPr>
        <w:t xml:space="preserve"> </w:t>
      </w:r>
      <w:r>
        <w:t>its claims</w:t>
      </w:r>
      <w:r>
        <w:rPr>
          <w:spacing w:val="-14"/>
        </w:rPr>
        <w:t xml:space="preserve"> </w:t>
      </w:r>
      <w:r>
        <w:t>for</w:t>
      </w:r>
      <w:r>
        <w:rPr>
          <w:spacing w:val="-14"/>
        </w:rPr>
        <w:t xml:space="preserve"> </w:t>
      </w:r>
      <w:r>
        <w:t>"other</w:t>
      </w:r>
      <w:r>
        <w:rPr>
          <w:spacing w:val="-13"/>
        </w:rPr>
        <w:t xml:space="preserve"> </w:t>
      </w:r>
      <w:r>
        <w:t>discounts</w:t>
      </w:r>
      <w:r>
        <w:rPr>
          <w:spacing w:val="-14"/>
        </w:rPr>
        <w:t xml:space="preserve"> </w:t>
      </w:r>
      <w:r>
        <w:t>and</w:t>
      </w:r>
      <w:r>
        <w:rPr>
          <w:spacing w:val="-10"/>
        </w:rPr>
        <w:t xml:space="preserve"> </w:t>
      </w:r>
      <w:r>
        <w:t>rebates</w:t>
      </w:r>
      <w:r>
        <w:rPr>
          <w:spacing w:val="-7"/>
        </w:rPr>
        <w:t xml:space="preserve"> </w:t>
      </w:r>
      <w:r>
        <w:t>and</w:t>
      </w:r>
      <w:r>
        <w:rPr>
          <w:spacing w:val="-10"/>
        </w:rPr>
        <w:t xml:space="preserve"> </w:t>
      </w:r>
      <w:r>
        <w:t>advertising</w:t>
      </w:r>
      <w:r>
        <w:rPr>
          <w:spacing w:val="-7"/>
        </w:rPr>
        <w:t xml:space="preserve"> </w:t>
      </w:r>
      <w:r>
        <w:t>fees",</w:t>
      </w:r>
      <w:r>
        <w:rPr>
          <w:spacing w:val="-14"/>
        </w:rPr>
        <w:t xml:space="preserve"> </w:t>
      </w:r>
      <w:hyperlink w:anchor="_bookmark372" w:history="1">
        <w:r>
          <w:rPr>
            <w:vertAlign w:val="superscript"/>
          </w:rPr>
          <w:t>297</w:t>
        </w:r>
      </w:hyperlink>
      <w:r>
        <w:rPr>
          <w:spacing w:val="-7"/>
        </w:rPr>
        <w:t xml:space="preserve"> </w:t>
      </w:r>
      <w:r>
        <w:t>apparently</w:t>
      </w:r>
      <w:r>
        <w:rPr>
          <w:spacing w:val="-7"/>
        </w:rPr>
        <w:t xml:space="preserve"> </w:t>
      </w:r>
      <w:r>
        <w:t>because</w:t>
      </w:r>
      <w:r>
        <w:rPr>
          <w:spacing w:val="-8"/>
        </w:rPr>
        <w:t xml:space="preserve"> </w:t>
      </w:r>
      <w:r>
        <w:t>Treasury Wines did not include "[s]</w:t>
      </w:r>
      <w:proofErr w:type="spellStart"/>
      <w:r>
        <w:t>ome</w:t>
      </w:r>
      <w:proofErr w:type="spellEnd"/>
      <w:r>
        <w:t xml:space="preserve"> of the information requested in the questionnaire".</w:t>
      </w:r>
      <w:r>
        <w:rPr>
          <w:spacing w:val="-14"/>
        </w:rPr>
        <w:t xml:space="preserve"> </w:t>
      </w:r>
      <w:hyperlink w:anchor="_bookmark373" w:history="1">
        <w:r>
          <w:rPr>
            <w:vertAlign w:val="superscript"/>
          </w:rPr>
          <w:t>298</w:t>
        </w:r>
      </w:hyperlink>
      <w:r>
        <w:t xml:space="preserve"> MOFCOM</w:t>
      </w:r>
      <w:r>
        <w:rPr>
          <w:spacing w:val="-14"/>
        </w:rPr>
        <w:t xml:space="preserve"> </w:t>
      </w:r>
      <w:r>
        <w:t>concluded</w:t>
      </w:r>
      <w:r>
        <w:rPr>
          <w:spacing w:val="-14"/>
        </w:rPr>
        <w:t xml:space="preserve"> </w:t>
      </w:r>
      <w:r>
        <w:t>in</w:t>
      </w:r>
      <w:r>
        <w:rPr>
          <w:spacing w:val="-13"/>
        </w:rPr>
        <w:t xml:space="preserve"> </w:t>
      </w:r>
      <w:r>
        <w:t>its</w:t>
      </w:r>
      <w:r>
        <w:rPr>
          <w:spacing w:val="-14"/>
        </w:rPr>
        <w:t xml:space="preserve"> </w:t>
      </w:r>
      <w:r>
        <w:t>Preliminary</w:t>
      </w:r>
      <w:r>
        <w:rPr>
          <w:spacing w:val="-13"/>
        </w:rPr>
        <w:t xml:space="preserve"> </w:t>
      </w:r>
      <w:r>
        <w:t>Determination</w:t>
      </w:r>
      <w:r>
        <w:rPr>
          <w:spacing w:val="-14"/>
        </w:rPr>
        <w:t xml:space="preserve"> </w:t>
      </w:r>
      <w:r>
        <w:t>that</w:t>
      </w:r>
      <w:r>
        <w:rPr>
          <w:spacing w:val="-13"/>
        </w:rPr>
        <w:t xml:space="preserve"> </w:t>
      </w:r>
      <w:r>
        <w:t>"insufficient</w:t>
      </w:r>
      <w:r>
        <w:rPr>
          <w:spacing w:val="-14"/>
        </w:rPr>
        <w:t xml:space="preserve"> </w:t>
      </w:r>
      <w:r>
        <w:t>evidence</w:t>
      </w:r>
      <w:r>
        <w:rPr>
          <w:spacing w:val="-14"/>
        </w:rPr>
        <w:t xml:space="preserve"> </w:t>
      </w:r>
      <w:r>
        <w:t>was</w:t>
      </w:r>
      <w:r>
        <w:rPr>
          <w:spacing w:val="-13"/>
        </w:rPr>
        <w:t xml:space="preserve"> </w:t>
      </w:r>
      <w:r>
        <w:t>provided to support the claimed adjustments",</w:t>
      </w:r>
      <w:hyperlink w:anchor="_bookmark374" w:history="1">
        <w:r>
          <w:rPr>
            <w:vertAlign w:val="superscript"/>
          </w:rPr>
          <w:t>299</w:t>
        </w:r>
      </w:hyperlink>
      <w:r>
        <w:t xml:space="preserve"> to which Treasury Wines responded in extensive detail, referencing its original response as well as providing supplementary information.</w:t>
      </w:r>
      <w:r>
        <w:rPr>
          <w:spacing w:val="-14"/>
        </w:rPr>
        <w:t xml:space="preserve"> </w:t>
      </w:r>
      <w:hyperlink w:anchor="_bookmark375" w:history="1">
        <w:r>
          <w:rPr>
            <w:vertAlign w:val="superscript"/>
          </w:rPr>
          <w:t>300</w:t>
        </w:r>
      </w:hyperlink>
      <w:r>
        <w:t xml:space="preserve"> Despite that comprehensive response, China claimed that Treasury Wines "did not explain how</w:t>
      </w:r>
      <w:r>
        <w:rPr>
          <w:spacing w:val="-14"/>
        </w:rPr>
        <w:t xml:space="preserve"> </w:t>
      </w:r>
      <w:r>
        <w:t>these</w:t>
      </w:r>
      <w:r>
        <w:rPr>
          <w:spacing w:val="-14"/>
        </w:rPr>
        <w:t xml:space="preserve"> </w:t>
      </w:r>
      <w:r>
        <w:t>were</w:t>
      </w:r>
      <w:r>
        <w:rPr>
          <w:spacing w:val="-13"/>
        </w:rPr>
        <w:t xml:space="preserve"> </w:t>
      </w:r>
      <w:r>
        <w:t>directly</w:t>
      </w:r>
      <w:r>
        <w:rPr>
          <w:spacing w:val="-14"/>
        </w:rPr>
        <w:t xml:space="preserve"> </w:t>
      </w:r>
      <w:r>
        <w:t>linked</w:t>
      </w:r>
      <w:r>
        <w:rPr>
          <w:spacing w:val="-13"/>
        </w:rPr>
        <w:t xml:space="preserve"> </w:t>
      </w:r>
      <w:r>
        <w:t>to</w:t>
      </w:r>
      <w:r>
        <w:rPr>
          <w:spacing w:val="-14"/>
        </w:rPr>
        <w:t xml:space="preserve"> </w:t>
      </w:r>
      <w:r>
        <w:t>(export</w:t>
      </w:r>
      <w:r>
        <w:rPr>
          <w:spacing w:val="-13"/>
        </w:rPr>
        <w:t xml:space="preserve"> </w:t>
      </w:r>
      <w:r>
        <w:t>or</w:t>
      </w:r>
      <w:r>
        <w:rPr>
          <w:spacing w:val="-14"/>
        </w:rPr>
        <w:t xml:space="preserve"> </w:t>
      </w:r>
      <w:r>
        <w:t>domestic)</w:t>
      </w:r>
      <w:r>
        <w:rPr>
          <w:spacing w:val="-14"/>
        </w:rPr>
        <w:t xml:space="preserve"> </w:t>
      </w:r>
      <w:r>
        <w:t>sales</w:t>
      </w:r>
      <w:r>
        <w:rPr>
          <w:spacing w:val="-13"/>
        </w:rPr>
        <w:t xml:space="preserve"> </w:t>
      </w:r>
      <w:r>
        <w:t>of</w:t>
      </w:r>
      <w:r>
        <w:rPr>
          <w:spacing w:val="-14"/>
        </w:rPr>
        <w:t xml:space="preserve"> </w:t>
      </w:r>
      <w:r>
        <w:t>the</w:t>
      </w:r>
      <w:r>
        <w:rPr>
          <w:spacing w:val="-13"/>
        </w:rPr>
        <w:t xml:space="preserve"> </w:t>
      </w:r>
      <w:r>
        <w:t>product</w:t>
      </w:r>
      <w:r>
        <w:rPr>
          <w:spacing w:val="-14"/>
        </w:rPr>
        <w:t xml:space="preserve"> </w:t>
      </w:r>
      <w:r>
        <w:t>under</w:t>
      </w:r>
      <w:r>
        <w:rPr>
          <w:spacing w:val="-13"/>
        </w:rPr>
        <w:t xml:space="preserve"> </w:t>
      </w:r>
      <w:r>
        <w:t>investigation and why this would have an impact on price comparability"</w:t>
      </w:r>
      <w:hyperlink w:anchor="_bookmark376" w:history="1">
        <w:r>
          <w:rPr>
            <w:vertAlign w:val="superscript"/>
          </w:rPr>
          <w:t>301</w:t>
        </w:r>
      </w:hyperlink>
      <w:r>
        <w:t>.</w:t>
      </w:r>
    </w:p>
    <w:p w14:paraId="329CFAF5" w14:textId="521096B1" w:rsidR="00BD462C" w:rsidRDefault="00D70C7D">
      <w:pPr>
        <w:pStyle w:val="BodyText"/>
        <w:ind w:left="136"/>
        <w:rPr>
          <w:sz w:val="20"/>
        </w:rPr>
      </w:pPr>
      <w:r>
        <w:rPr>
          <w:noProof/>
          <w:sz w:val="20"/>
        </w:rPr>
        <mc:AlternateContent>
          <mc:Choice Requires="wpg">
            <w:drawing>
              <wp:inline distT="0" distB="0" distL="0" distR="0" wp14:anchorId="54FF02F1" wp14:editId="0962EE4F">
                <wp:extent cx="5697220" cy="186055"/>
                <wp:effectExtent l="3810" t="4445" r="4445" b="0"/>
                <wp:docPr id="1016" name="docshapegroup207" descr="Redac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7220" cy="186055"/>
                          <a:chOff x="0" y="0"/>
                          <a:chExt cx="8972" cy="293"/>
                        </a:xfrm>
                      </wpg:grpSpPr>
                      <wps:wsp>
                        <wps:cNvPr id="1018" name="docshape208"/>
                        <wps:cNvSpPr>
                          <a:spLocks noChangeArrowheads="1"/>
                        </wps:cNvSpPr>
                        <wps:spPr bwMode="auto">
                          <a:xfrm>
                            <a:off x="0" y="0"/>
                            <a:ext cx="8972" cy="29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9B01233" id="docshapegroup207" o:spid="_x0000_s1026" alt="Redacted" style="width:448.6pt;height:14.65pt;mso-position-horizontal-relative:char;mso-position-vertical-relative:line" coordsize="8972,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">
                <v:rect id="docshape208" o:spid="_x0000_s1027" style="position:absolute;width:8972;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" fillcolor="black" stroked="f"/>
                <w10:anchorlock/>
              </v:group>
            </w:pict>
          </mc:Fallback>
        </mc:AlternateContent>
      </w:r>
    </w:p>
    <w:p w14:paraId="4B544505" w14:textId="77B3DDEF" w:rsidR="00BD462C" w:rsidRDefault="00D70C7D">
      <w:pPr>
        <w:pStyle w:val="BodyText"/>
        <w:spacing w:before="3"/>
        <w:rPr>
          <w:sz w:val="7"/>
        </w:rPr>
      </w:pPr>
      <w:r>
        <w:rPr>
          <w:noProof/>
        </w:rPr>
        <mc:AlternateContent>
          <mc:Choice Requires="wps">
            <w:drawing>
              <wp:anchor distT="0" distB="0" distL="0" distR="0" simplePos="0" relativeHeight="487684096" behindDoc="1" locked="0" layoutInCell="1" allowOverlap="1" wp14:anchorId="5620AFBE" wp14:editId="312B5732">
                <wp:simplePos x="0" y="0"/>
                <wp:positionH relativeFrom="page">
                  <wp:posOffset>899160</wp:posOffset>
                </wp:positionH>
                <wp:positionV relativeFrom="paragraph">
                  <wp:posOffset>71755</wp:posOffset>
                </wp:positionV>
                <wp:extent cx="5638800" cy="186055"/>
                <wp:effectExtent l="0" t="0" r="0" b="0"/>
                <wp:wrapTopAndBottom/>
                <wp:docPr id="1014" name="docshape2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D17B46" id="docshape209" o:spid="_x0000_s1026" alt="&quot;&quot;" style="position:absolute;margin-left:70.8pt;margin-top:5.65pt;width:444pt;height:14.65pt;z-index:-15632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" fillcolor="black" stroked="f">
                <w10:wrap type="topAndBottom" anchorx="page"/>
              </v:rect>
            </w:pict>
          </mc:Fallback>
        </mc:AlternateContent>
      </w:r>
    </w:p>
    <w:p w14:paraId="7AE8BD9C" w14:textId="77777777" w:rsidR="00BD462C" w:rsidRDefault="00BD462C">
      <w:pPr>
        <w:pStyle w:val="BodyText"/>
        <w:spacing w:before="8"/>
        <w:rPr>
          <w:sz w:val="20"/>
        </w:rPr>
      </w:pPr>
    </w:p>
    <w:p w14:paraId="336F3932" w14:textId="36D91EEF" w:rsidR="00BD462C" w:rsidRPr="0076321F" w:rsidRDefault="0076321F" w:rsidP="0076321F">
      <w:pPr>
        <w:pStyle w:val="BodyText"/>
        <w:numPr>
          <w:ilvl w:val="0"/>
          <w:numId w:val="69"/>
        </w:numPr>
        <w:spacing w:before="56" w:line="360" w:lineRule="auto"/>
        <w:ind w:right="915" w:hanging="638"/>
        <w:jc w:val="both"/>
      </w:pPr>
      <w:r>
        <w:rPr>
          <w:noProof/>
        </w:rPr>
        <mc:AlternateContent>
          <mc:Choice Requires="wps">
            <w:drawing>
              <wp:anchor distT="0" distB="0" distL="0" distR="0" simplePos="0" relativeHeight="488309248" behindDoc="1" locked="0" layoutInCell="1" allowOverlap="1" wp14:anchorId="6B0F63FE" wp14:editId="42849037">
                <wp:simplePos x="0" y="0"/>
                <wp:positionH relativeFrom="page">
                  <wp:posOffset>812800</wp:posOffset>
                </wp:positionH>
                <wp:positionV relativeFrom="paragraph">
                  <wp:posOffset>2478405</wp:posOffset>
                </wp:positionV>
                <wp:extent cx="1828800" cy="8890"/>
                <wp:effectExtent l="0" t="0" r="0" b="0"/>
                <wp:wrapTopAndBottom/>
                <wp:docPr id="1130" name="docshape2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727CB0" id="docshape202" o:spid="_x0000_s1026" alt="&quot;&quot;" style="position:absolute;margin-left:64pt;margin-top:195.15pt;width:2in;height:.7pt;z-index:-15007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" fillcolor="black" stroked="f">
                <w10:wrap type="topAndBottom" anchorx="page"/>
              </v:rect>
            </w:pict>
          </mc:Fallback>
        </mc:AlternateContent>
      </w:r>
      <w:r w:rsidR="00033D0F">
        <w:rPr>
          <w:position w:val="1"/>
        </w:rPr>
        <w:t>China</w:t>
      </w:r>
      <w:r w:rsidR="00033D0F">
        <w:rPr>
          <w:spacing w:val="-8"/>
          <w:position w:val="1"/>
        </w:rPr>
        <w:t xml:space="preserve"> </w:t>
      </w:r>
      <w:r w:rsidR="00033D0F">
        <w:rPr>
          <w:position w:val="1"/>
        </w:rPr>
        <w:t>acknowledged</w:t>
      </w:r>
      <w:r w:rsidR="00033D0F">
        <w:rPr>
          <w:spacing w:val="-9"/>
          <w:position w:val="1"/>
        </w:rPr>
        <w:t xml:space="preserve"> </w:t>
      </w:r>
      <w:r w:rsidR="00033D0F">
        <w:rPr>
          <w:position w:val="1"/>
        </w:rPr>
        <w:t>that</w:t>
      </w:r>
      <w:r w:rsidR="00033D0F">
        <w:rPr>
          <w:spacing w:val="-7"/>
          <w:position w:val="1"/>
        </w:rPr>
        <w:t xml:space="preserve"> </w:t>
      </w:r>
      <w:r w:rsidR="00033D0F">
        <w:rPr>
          <w:position w:val="1"/>
        </w:rPr>
        <w:t>"discounts,</w:t>
      </w:r>
      <w:r w:rsidR="00033D0F">
        <w:rPr>
          <w:spacing w:val="-5"/>
          <w:position w:val="1"/>
        </w:rPr>
        <w:t xml:space="preserve"> </w:t>
      </w:r>
      <w:r w:rsidR="00033D0F">
        <w:rPr>
          <w:position w:val="1"/>
        </w:rPr>
        <w:t>rebates</w:t>
      </w:r>
      <w:r w:rsidR="00033D0F">
        <w:rPr>
          <w:spacing w:val="-6"/>
          <w:position w:val="1"/>
        </w:rPr>
        <w:t xml:space="preserve"> </w:t>
      </w:r>
      <w:r w:rsidR="00033D0F">
        <w:rPr>
          <w:position w:val="1"/>
        </w:rPr>
        <w:t>and</w:t>
      </w:r>
      <w:r w:rsidR="00033D0F">
        <w:rPr>
          <w:spacing w:val="-4"/>
          <w:position w:val="1"/>
        </w:rPr>
        <w:t xml:space="preserve"> </w:t>
      </w:r>
      <w:r w:rsidR="00033D0F">
        <w:rPr>
          <w:position w:val="1"/>
        </w:rPr>
        <w:t>advertising</w:t>
      </w:r>
      <w:r w:rsidR="00033D0F">
        <w:rPr>
          <w:spacing w:val="-6"/>
          <w:position w:val="1"/>
        </w:rPr>
        <w:t xml:space="preserve"> </w:t>
      </w:r>
      <w:r w:rsidR="00033D0F">
        <w:rPr>
          <w:position w:val="1"/>
        </w:rPr>
        <w:t>fees</w:t>
      </w:r>
      <w:r w:rsidR="00033D0F">
        <w:rPr>
          <w:spacing w:val="-6"/>
          <w:position w:val="1"/>
        </w:rPr>
        <w:t xml:space="preserve"> </w:t>
      </w:r>
      <w:r w:rsidR="00033D0F">
        <w:rPr>
          <w:position w:val="1"/>
        </w:rPr>
        <w:t>could,</w:t>
      </w:r>
      <w:r w:rsidR="00033D0F">
        <w:rPr>
          <w:spacing w:val="-5"/>
          <w:position w:val="1"/>
        </w:rPr>
        <w:t xml:space="preserve"> </w:t>
      </w:r>
      <w:r w:rsidR="00033D0F">
        <w:rPr>
          <w:position w:val="1"/>
        </w:rPr>
        <w:t>in</w:t>
      </w:r>
      <w:r w:rsidR="00033D0F">
        <w:rPr>
          <w:spacing w:val="-9"/>
          <w:position w:val="1"/>
        </w:rPr>
        <w:t xml:space="preserve"> </w:t>
      </w:r>
      <w:r w:rsidR="00033D0F">
        <w:rPr>
          <w:position w:val="1"/>
        </w:rPr>
        <w:t xml:space="preserve">principle, </w:t>
      </w:r>
      <w:r w:rsidR="00033D0F">
        <w:t>give rise to the need to make a due allowance in the form of an adjustment to either the export price or the normal value (or both)".</w:t>
      </w:r>
      <w:r w:rsidR="00033D0F">
        <w:rPr>
          <w:spacing w:val="-14"/>
        </w:rPr>
        <w:t xml:space="preserve"> </w:t>
      </w:r>
      <w:hyperlink w:anchor="_bookmark378" w:history="1">
        <w:r w:rsidR="00033D0F">
          <w:rPr>
            <w:vertAlign w:val="superscript"/>
          </w:rPr>
          <w:t>303</w:t>
        </w:r>
      </w:hyperlink>
      <w:r w:rsidR="00033D0F">
        <w:t xml:space="preserve"> The adjustments sought by Treasury Wines indicate</w:t>
      </w:r>
      <w:r w:rsidR="00033D0F">
        <w:rPr>
          <w:spacing w:val="-8"/>
        </w:rPr>
        <w:t xml:space="preserve"> </w:t>
      </w:r>
      <w:r w:rsidR="00033D0F">
        <w:t>that</w:t>
      </w:r>
      <w:r w:rsidR="00033D0F">
        <w:rPr>
          <w:spacing w:val="-8"/>
        </w:rPr>
        <w:t xml:space="preserve"> </w:t>
      </w:r>
      <w:r w:rsidR="00033D0F">
        <w:t>such</w:t>
      </w:r>
      <w:r w:rsidR="00033D0F">
        <w:rPr>
          <w:spacing w:val="-5"/>
        </w:rPr>
        <w:t xml:space="preserve"> </w:t>
      </w:r>
      <w:r w:rsidR="00033D0F">
        <w:t>differences</w:t>
      </w:r>
      <w:r w:rsidR="00033D0F">
        <w:rPr>
          <w:spacing w:val="-2"/>
        </w:rPr>
        <w:t xml:space="preserve"> </w:t>
      </w:r>
      <w:r w:rsidR="00033D0F">
        <w:t>did</w:t>
      </w:r>
      <w:r w:rsidR="00033D0F">
        <w:rPr>
          <w:spacing w:val="-10"/>
        </w:rPr>
        <w:t xml:space="preserve"> </w:t>
      </w:r>
      <w:r w:rsidR="00033D0F">
        <w:t>in</w:t>
      </w:r>
      <w:r w:rsidR="00033D0F">
        <w:rPr>
          <w:spacing w:val="-5"/>
        </w:rPr>
        <w:t xml:space="preserve"> </w:t>
      </w:r>
      <w:r w:rsidR="00033D0F">
        <w:t>fact</w:t>
      </w:r>
      <w:r w:rsidR="00033D0F">
        <w:rPr>
          <w:spacing w:val="-3"/>
        </w:rPr>
        <w:t xml:space="preserve"> </w:t>
      </w:r>
      <w:r w:rsidR="00033D0F">
        <w:t>affect</w:t>
      </w:r>
      <w:r w:rsidR="00033D0F">
        <w:rPr>
          <w:spacing w:val="-3"/>
        </w:rPr>
        <w:t xml:space="preserve"> </w:t>
      </w:r>
      <w:r w:rsidR="00033D0F">
        <w:t>price</w:t>
      </w:r>
      <w:r w:rsidR="00033D0F">
        <w:rPr>
          <w:spacing w:val="-8"/>
        </w:rPr>
        <w:t xml:space="preserve"> </w:t>
      </w:r>
      <w:r w:rsidR="00033D0F">
        <w:t>comparability.</w:t>
      </w:r>
      <w:r w:rsidR="00033D0F">
        <w:rPr>
          <w:spacing w:val="-7"/>
        </w:rPr>
        <w:t xml:space="preserve"> </w:t>
      </w:r>
      <w:r w:rsidR="00033D0F">
        <w:t>The</w:t>
      </w:r>
      <w:r w:rsidR="00033D0F">
        <w:rPr>
          <w:spacing w:val="-4"/>
        </w:rPr>
        <w:t xml:space="preserve"> </w:t>
      </w:r>
      <w:r w:rsidR="00033D0F">
        <w:t>record</w:t>
      </w:r>
      <w:r w:rsidR="00033D0F">
        <w:rPr>
          <w:spacing w:val="-5"/>
        </w:rPr>
        <w:t xml:space="preserve"> </w:t>
      </w:r>
      <w:r w:rsidR="00033D0F">
        <w:t>does</w:t>
      </w:r>
      <w:r w:rsidR="00033D0F">
        <w:rPr>
          <w:spacing w:val="-2"/>
        </w:rPr>
        <w:t xml:space="preserve"> </w:t>
      </w:r>
      <w:r w:rsidR="00033D0F">
        <w:t>not</w:t>
      </w:r>
      <w:r w:rsidR="00033D0F">
        <w:rPr>
          <w:spacing w:val="-3"/>
        </w:rPr>
        <w:t xml:space="preserve"> </w:t>
      </w:r>
      <w:r w:rsidR="00033D0F">
        <w:t>show that</w:t>
      </w:r>
      <w:r w:rsidR="00033D0F">
        <w:rPr>
          <w:spacing w:val="-14"/>
        </w:rPr>
        <w:t xml:space="preserve"> </w:t>
      </w:r>
      <w:r w:rsidR="00033D0F">
        <w:t>MOFCOM</w:t>
      </w:r>
      <w:r w:rsidR="00033D0F">
        <w:rPr>
          <w:spacing w:val="-14"/>
        </w:rPr>
        <w:t xml:space="preserve"> </w:t>
      </w:r>
      <w:r w:rsidR="00033D0F">
        <w:t>made</w:t>
      </w:r>
      <w:r w:rsidR="00033D0F">
        <w:rPr>
          <w:spacing w:val="-13"/>
        </w:rPr>
        <w:t xml:space="preserve"> </w:t>
      </w:r>
      <w:r w:rsidR="00033D0F">
        <w:t>any</w:t>
      </w:r>
      <w:r w:rsidR="00033D0F">
        <w:rPr>
          <w:spacing w:val="-14"/>
        </w:rPr>
        <w:t xml:space="preserve"> </w:t>
      </w:r>
      <w:r w:rsidR="00033D0F">
        <w:t>attempt</w:t>
      </w:r>
      <w:r w:rsidR="00033D0F">
        <w:rPr>
          <w:spacing w:val="-13"/>
        </w:rPr>
        <w:t xml:space="preserve"> </w:t>
      </w:r>
      <w:r w:rsidR="00033D0F">
        <w:t>to</w:t>
      </w:r>
      <w:r w:rsidR="00033D0F">
        <w:rPr>
          <w:spacing w:val="-14"/>
        </w:rPr>
        <w:t xml:space="preserve"> </w:t>
      </w:r>
      <w:r w:rsidR="00033D0F">
        <w:t>clarify</w:t>
      </w:r>
      <w:r w:rsidR="00033D0F">
        <w:rPr>
          <w:spacing w:val="-13"/>
        </w:rPr>
        <w:t xml:space="preserve"> </w:t>
      </w:r>
      <w:r w:rsidR="00033D0F">
        <w:t>the</w:t>
      </w:r>
      <w:r w:rsidR="00033D0F">
        <w:rPr>
          <w:spacing w:val="-14"/>
        </w:rPr>
        <w:t xml:space="preserve"> </w:t>
      </w:r>
      <w:r w:rsidR="00033D0F">
        <w:t>information</w:t>
      </w:r>
      <w:r w:rsidR="00033D0F">
        <w:rPr>
          <w:spacing w:val="-14"/>
        </w:rPr>
        <w:t xml:space="preserve"> </w:t>
      </w:r>
      <w:r w:rsidR="00033D0F">
        <w:t>provided</w:t>
      </w:r>
      <w:r w:rsidR="00033D0F">
        <w:rPr>
          <w:spacing w:val="-13"/>
        </w:rPr>
        <w:t xml:space="preserve"> </w:t>
      </w:r>
      <w:r w:rsidR="00033D0F">
        <w:t>by</w:t>
      </w:r>
      <w:r w:rsidR="00033D0F">
        <w:rPr>
          <w:spacing w:val="-14"/>
        </w:rPr>
        <w:t xml:space="preserve"> </w:t>
      </w:r>
      <w:r w:rsidR="00033D0F">
        <w:t>Treasury</w:t>
      </w:r>
      <w:r w:rsidR="00033D0F">
        <w:rPr>
          <w:spacing w:val="-13"/>
        </w:rPr>
        <w:t xml:space="preserve"> </w:t>
      </w:r>
      <w:r w:rsidR="00033D0F">
        <w:t>Wines.</w:t>
      </w:r>
      <w:r w:rsidR="00033D0F">
        <w:rPr>
          <w:spacing w:val="-14"/>
        </w:rPr>
        <w:t xml:space="preserve"> </w:t>
      </w:r>
      <w:r w:rsidR="00033D0F">
        <w:t>China stated only that "it was incumbent on Treasury Wines to not only show the existence of a difference,</w:t>
      </w:r>
      <w:r w:rsidR="00033D0F">
        <w:rPr>
          <w:spacing w:val="-2"/>
        </w:rPr>
        <w:t xml:space="preserve"> </w:t>
      </w:r>
      <w:r w:rsidR="00033D0F">
        <w:t>but</w:t>
      </w:r>
      <w:r w:rsidR="00033D0F">
        <w:rPr>
          <w:spacing w:val="-3"/>
        </w:rPr>
        <w:t xml:space="preserve"> </w:t>
      </w:r>
      <w:r w:rsidR="00033D0F">
        <w:t>also</w:t>
      </w:r>
      <w:r w:rsidR="00033D0F">
        <w:rPr>
          <w:spacing w:val="-6"/>
        </w:rPr>
        <w:t xml:space="preserve"> </w:t>
      </w:r>
      <w:r w:rsidR="00033D0F">
        <w:t>that</w:t>
      </w:r>
      <w:r w:rsidR="00033D0F">
        <w:rPr>
          <w:spacing w:val="-3"/>
        </w:rPr>
        <w:t xml:space="preserve"> </w:t>
      </w:r>
      <w:r w:rsidR="00033D0F">
        <w:t>this</w:t>
      </w:r>
      <w:r w:rsidR="00033D0F">
        <w:rPr>
          <w:spacing w:val="-3"/>
        </w:rPr>
        <w:t xml:space="preserve"> </w:t>
      </w:r>
      <w:r w:rsidR="00033D0F">
        <w:t>difference</w:t>
      </w:r>
      <w:r w:rsidR="00033D0F">
        <w:rPr>
          <w:spacing w:val="-3"/>
        </w:rPr>
        <w:t xml:space="preserve"> </w:t>
      </w:r>
      <w:r w:rsidR="00033D0F">
        <w:t>has</w:t>
      </w:r>
      <w:r w:rsidR="00033D0F">
        <w:rPr>
          <w:spacing w:val="-3"/>
        </w:rPr>
        <w:t xml:space="preserve"> </w:t>
      </w:r>
      <w:r w:rsidR="00033D0F">
        <w:t>an</w:t>
      </w:r>
      <w:r w:rsidR="00033D0F">
        <w:rPr>
          <w:spacing w:val="-5"/>
        </w:rPr>
        <w:t xml:space="preserve"> </w:t>
      </w:r>
      <w:r w:rsidR="00033D0F">
        <w:t>impact</w:t>
      </w:r>
      <w:r w:rsidR="00033D0F">
        <w:rPr>
          <w:spacing w:val="-3"/>
        </w:rPr>
        <w:t xml:space="preserve"> </w:t>
      </w:r>
      <w:r w:rsidR="00033D0F">
        <w:t>on</w:t>
      </w:r>
      <w:r w:rsidR="00033D0F">
        <w:rPr>
          <w:spacing w:val="-5"/>
        </w:rPr>
        <w:t xml:space="preserve"> </w:t>
      </w:r>
      <w:r w:rsidR="00033D0F">
        <w:t>price</w:t>
      </w:r>
      <w:r w:rsidR="00033D0F">
        <w:rPr>
          <w:spacing w:val="-3"/>
        </w:rPr>
        <w:t xml:space="preserve"> </w:t>
      </w:r>
      <w:r w:rsidR="00033D0F">
        <w:t>comparability.</w:t>
      </w:r>
      <w:r w:rsidR="00033D0F">
        <w:rPr>
          <w:spacing w:val="-3"/>
        </w:rPr>
        <w:t xml:space="preserve"> </w:t>
      </w:r>
      <w:r w:rsidR="00033D0F">
        <w:t>Treasury</w:t>
      </w:r>
      <w:r w:rsidR="00033D0F">
        <w:rPr>
          <w:spacing w:val="-3"/>
        </w:rPr>
        <w:t xml:space="preserve"> </w:t>
      </w:r>
      <w:r w:rsidR="00033D0F">
        <w:t>Wines did not do so."</w:t>
      </w:r>
      <w:r w:rsidR="00033D0F">
        <w:rPr>
          <w:spacing w:val="-13"/>
        </w:rPr>
        <w:t xml:space="preserve"> </w:t>
      </w:r>
      <w:hyperlink w:anchor="_bookmark379" w:history="1">
        <w:r w:rsidR="00033D0F">
          <w:rPr>
            <w:vertAlign w:val="superscript"/>
          </w:rPr>
          <w:t>304</w:t>
        </w:r>
      </w:hyperlink>
    </w:p>
    <w:p w14:paraId="4CF1F40D" w14:textId="76F1D72F" w:rsidR="00BD462C" w:rsidRDefault="00033D0F">
      <w:pPr>
        <w:spacing w:before="112" w:line="218" w:lineRule="exact"/>
        <w:ind w:left="135"/>
        <w:rPr>
          <w:sz w:val="18"/>
        </w:rPr>
      </w:pPr>
      <w:bookmarkStart w:id="429" w:name="_bookmark370"/>
      <w:bookmarkEnd w:id="429"/>
      <w:r>
        <w:rPr>
          <w:position w:val="5"/>
          <w:sz w:val="12"/>
        </w:rPr>
        <w:t>295</w:t>
      </w:r>
      <w:r>
        <w:rPr>
          <w:spacing w:val="15"/>
          <w:position w:val="5"/>
          <w:sz w:val="12"/>
        </w:rPr>
        <w:t xml:space="preserve"> </w:t>
      </w:r>
      <w:r>
        <w:rPr>
          <w:sz w:val="18"/>
        </w:rPr>
        <w:t>Panel</w:t>
      </w:r>
      <w:r>
        <w:rPr>
          <w:spacing w:val="-3"/>
          <w:sz w:val="18"/>
        </w:rPr>
        <w:t xml:space="preserve"> </w:t>
      </w:r>
      <w:r>
        <w:rPr>
          <w:sz w:val="18"/>
        </w:rPr>
        <w:t>Report,</w:t>
      </w:r>
      <w:r>
        <w:rPr>
          <w:spacing w:val="-6"/>
          <w:sz w:val="18"/>
        </w:rPr>
        <w:t xml:space="preserve"> </w:t>
      </w:r>
      <w:r>
        <w:rPr>
          <w:i/>
          <w:sz w:val="18"/>
        </w:rPr>
        <w:t>Egypt</w:t>
      </w:r>
      <w:r>
        <w:rPr>
          <w:i/>
          <w:spacing w:val="2"/>
          <w:sz w:val="18"/>
        </w:rPr>
        <w:t xml:space="preserve"> </w:t>
      </w:r>
      <w:r>
        <w:rPr>
          <w:i/>
          <w:sz w:val="18"/>
        </w:rPr>
        <w:t>–</w:t>
      </w:r>
      <w:r>
        <w:rPr>
          <w:i/>
          <w:spacing w:val="-4"/>
          <w:sz w:val="18"/>
        </w:rPr>
        <w:t xml:space="preserve"> </w:t>
      </w:r>
      <w:r>
        <w:rPr>
          <w:i/>
          <w:sz w:val="18"/>
        </w:rPr>
        <w:t>Steel</w:t>
      </w:r>
      <w:r>
        <w:rPr>
          <w:i/>
          <w:spacing w:val="-2"/>
          <w:sz w:val="18"/>
        </w:rPr>
        <w:t xml:space="preserve"> </w:t>
      </w:r>
      <w:r>
        <w:rPr>
          <w:i/>
          <w:sz w:val="18"/>
        </w:rPr>
        <w:t>Rebar</w:t>
      </w:r>
      <w:r>
        <w:rPr>
          <w:sz w:val="18"/>
        </w:rPr>
        <w:t>,</w:t>
      </w:r>
      <w:r>
        <w:rPr>
          <w:spacing w:val="3"/>
          <w:sz w:val="18"/>
        </w:rPr>
        <w:t xml:space="preserve"> </w:t>
      </w:r>
      <w:r>
        <w:rPr>
          <w:sz w:val="18"/>
        </w:rPr>
        <w:t>para</w:t>
      </w:r>
      <w:r>
        <w:rPr>
          <w:spacing w:val="-5"/>
          <w:sz w:val="18"/>
        </w:rPr>
        <w:t xml:space="preserve"> </w:t>
      </w:r>
      <w:r>
        <w:rPr>
          <w:spacing w:val="-2"/>
          <w:sz w:val="18"/>
        </w:rPr>
        <w:t>7.352.</w:t>
      </w:r>
    </w:p>
    <w:p w14:paraId="792C7C19" w14:textId="77777777" w:rsidR="00BD462C" w:rsidRDefault="00033D0F">
      <w:pPr>
        <w:spacing w:line="218" w:lineRule="exact"/>
        <w:ind w:left="135"/>
        <w:rPr>
          <w:sz w:val="18"/>
        </w:rPr>
      </w:pPr>
      <w:bookmarkStart w:id="430" w:name="_bookmark371"/>
      <w:bookmarkEnd w:id="430"/>
      <w:r>
        <w:rPr>
          <w:position w:val="5"/>
          <w:sz w:val="12"/>
        </w:rPr>
        <w:t>296</w:t>
      </w:r>
      <w:r>
        <w:rPr>
          <w:spacing w:val="15"/>
          <w:position w:val="5"/>
          <w:sz w:val="12"/>
        </w:rPr>
        <w:t xml:space="preserve"> </w:t>
      </w:r>
      <w:r>
        <w:rPr>
          <w:sz w:val="18"/>
        </w:rPr>
        <w:t>See</w:t>
      </w:r>
      <w:r>
        <w:rPr>
          <w:spacing w:val="-3"/>
          <w:sz w:val="18"/>
        </w:rPr>
        <w:t xml:space="preserve"> </w:t>
      </w:r>
      <w:r>
        <w:rPr>
          <w:sz w:val="18"/>
        </w:rPr>
        <w:t>paragraphs</w:t>
      </w:r>
      <w:r>
        <w:rPr>
          <w:spacing w:val="-3"/>
          <w:sz w:val="18"/>
        </w:rPr>
        <w:t xml:space="preserve"> </w:t>
      </w:r>
      <w:r>
        <w:rPr>
          <w:sz w:val="18"/>
        </w:rPr>
        <w:t>104-</w:t>
      </w:r>
      <w:r>
        <w:rPr>
          <w:spacing w:val="-4"/>
          <w:sz w:val="18"/>
        </w:rPr>
        <w:t>105.</w:t>
      </w:r>
    </w:p>
    <w:p w14:paraId="3AA1C212" w14:textId="77777777" w:rsidR="00BD462C" w:rsidRDefault="00033D0F">
      <w:pPr>
        <w:spacing w:before="1"/>
        <w:ind w:left="135"/>
        <w:rPr>
          <w:sz w:val="18"/>
        </w:rPr>
      </w:pPr>
      <w:bookmarkStart w:id="431" w:name="_bookmark372"/>
      <w:bookmarkEnd w:id="431"/>
      <w:r>
        <w:rPr>
          <w:position w:val="5"/>
          <w:sz w:val="12"/>
        </w:rPr>
        <w:t>297</w:t>
      </w:r>
      <w:r>
        <w:rPr>
          <w:spacing w:val="11"/>
          <w:position w:val="5"/>
          <w:sz w:val="12"/>
        </w:rPr>
        <w:t xml:space="preserve"> </w:t>
      </w:r>
      <w:r>
        <w:rPr>
          <w:sz w:val="18"/>
        </w:rPr>
        <w:t>Anti-Dumping</w:t>
      </w:r>
      <w:r>
        <w:rPr>
          <w:spacing w:val="-7"/>
          <w:sz w:val="18"/>
        </w:rPr>
        <w:t xml:space="preserve"> </w:t>
      </w:r>
      <w:r>
        <w:rPr>
          <w:sz w:val="18"/>
        </w:rPr>
        <w:t>Final</w:t>
      </w:r>
      <w:r>
        <w:rPr>
          <w:spacing w:val="-3"/>
          <w:sz w:val="18"/>
        </w:rPr>
        <w:t xml:space="preserve"> </w:t>
      </w:r>
      <w:r>
        <w:rPr>
          <w:sz w:val="18"/>
        </w:rPr>
        <w:t>Determination</w:t>
      </w:r>
      <w:r>
        <w:rPr>
          <w:spacing w:val="-8"/>
          <w:sz w:val="18"/>
        </w:rPr>
        <w:t xml:space="preserve"> </w:t>
      </w:r>
      <w:r>
        <w:rPr>
          <w:sz w:val="18"/>
        </w:rPr>
        <w:t>(Exhibit</w:t>
      </w:r>
      <w:r>
        <w:rPr>
          <w:spacing w:val="-2"/>
          <w:sz w:val="18"/>
        </w:rPr>
        <w:t xml:space="preserve"> </w:t>
      </w:r>
      <w:r>
        <w:rPr>
          <w:sz w:val="18"/>
        </w:rPr>
        <w:t>AUS-2),</w:t>
      </w:r>
      <w:r>
        <w:rPr>
          <w:spacing w:val="-6"/>
          <w:sz w:val="18"/>
        </w:rPr>
        <w:t xml:space="preserve"> </w:t>
      </w:r>
      <w:r>
        <w:rPr>
          <w:sz w:val="18"/>
        </w:rPr>
        <w:t>pp.</w:t>
      </w:r>
      <w:r>
        <w:rPr>
          <w:spacing w:val="-1"/>
          <w:sz w:val="18"/>
        </w:rPr>
        <w:t xml:space="preserve"> </w:t>
      </w:r>
      <w:r>
        <w:rPr>
          <w:sz w:val="18"/>
        </w:rPr>
        <w:t>70-</w:t>
      </w:r>
      <w:r>
        <w:rPr>
          <w:spacing w:val="-5"/>
          <w:sz w:val="18"/>
        </w:rPr>
        <w:t>71.</w:t>
      </w:r>
    </w:p>
    <w:p w14:paraId="6A9EF119" w14:textId="77777777" w:rsidR="00BD462C" w:rsidRDefault="00033D0F">
      <w:pPr>
        <w:spacing w:before="1"/>
        <w:ind w:left="135"/>
        <w:rPr>
          <w:sz w:val="18"/>
        </w:rPr>
      </w:pPr>
      <w:bookmarkStart w:id="432" w:name="_bookmark373"/>
      <w:bookmarkEnd w:id="432"/>
      <w:r>
        <w:rPr>
          <w:position w:val="5"/>
          <w:sz w:val="12"/>
        </w:rPr>
        <w:t>298</w:t>
      </w:r>
      <w:r>
        <w:rPr>
          <w:spacing w:val="13"/>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 xml:space="preserve">para. </w:t>
      </w:r>
      <w:r>
        <w:rPr>
          <w:spacing w:val="-4"/>
          <w:sz w:val="18"/>
        </w:rPr>
        <w:t>871.</w:t>
      </w:r>
    </w:p>
    <w:p w14:paraId="6E942DA3" w14:textId="25418405" w:rsidR="00BD462C" w:rsidRDefault="00D70C7D">
      <w:pPr>
        <w:spacing w:before="1"/>
        <w:ind w:left="135"/>
        <w:rPr>
          <w:sz w:val="18"/>
        </w:rPr>
      </w:pPr>
      <w:r>
        <w:rPr>
          <w:noProof/>
        </w:rPr>
        <mc:AlternateContent>
          <mc:Choice Requires="wps">
            <w:drawing>
              <wp:anchor distT="0" distB="0" distL="114300" distR="114300" simplePos="0" relativeHeight="15825920" behindDoc="0" locked="0" layoutInCell="1" allowOverlap="1" wp14:anchorId="4511DB5F" wp14:editId="027EB17F">
                <wp:simplePos x="0" y="0"/>
                <wp:positionH relativeFrom="page">
                  <wp:posOffset>1045210</wp:posOffset>
                </wp:positionH>
                <wp:positionV relativeFrom="paragraph">
                  <wp:posOffset>139700</wp:posOffset>
                </wp:positionV>
                <wp:extent cx="4234180" cy="137160"/>
                <wp:effectExtent l="0" t="0" r="0" b="0"/>
                <wp:wrapNone/>
                <wp:docPr id="1010" name="docshape2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4180" cy="137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7E82E6" w14:textId="040B2E83" w:rsidR="00BD462C" w:rsidRDefault="00BD462C">
                            <w:pPr>
                              <w:spacing w:line="216" w:lineRule="exact"/>
                              <w:rPr>
                                <w:color w:val="000000"/>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1DB5F" id="docshape211" o:spid="_x0000_s1043" type="#_x0000_t202" alt="&quot;&quot;" style="position:absolute;left:0;text-align:left;margin-left:82.3pt;margin-top:11pt;width:333.4pt;height:10.8pt;z-index:1582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" fillcolor="black" stroked="f">
                <v:textbox inset="0,0,0,0">
                  <w:txbxContent>
                    <w:p w14:paraId="137E82E6" w14:textId="040B2E83" w:rsidR="00BD462C" w:rsidRDefault="00BD462C">
                      <w:pPr>
                        <w:spacing w:line="216" w:lineRule="exact"/>
                        <w:rPr>
                          <w:color w:val="000000"/>
                          <w:sz w:val="18"/>
                        </w:rPr>
                      </w:pPr>
                    </w:p>
                  </w:txbxContent>
                </v:textbox>
                <w10:wrap anchorx="page"/>
              </v:shape>
            </w:pict>
          </mc:Fallback>
        </mc:AlternateContent>
      </w:r>
      <w:bookmarkStart w:id="433" w:name="_bookmark374"/>
      <w:bookmarkEnd w:id="433"/>
      <w:r w:rsidR="00033D0F">
        <w:rPr>
          <w:position w:val="5"/>
          <w:sz w:val="12"/>
        </w:rPr>
        <w:t>299</w:t>
      </w:r>
      <w:r w:rsidR="00033D0F">
        <w:rPr>
          <w:spacing w:val="12"/>
          <w:position w:val="5"/>
          <w:sz w:val="12"/>
        </w:rPr>
        <w:t xml:space="preserve"> </w:t>
      </w:r>
      <w:r w:rsidR="00033D0F">
        <w:rPr>
          <w:sz w:val="18"/>
        </w:rPr>
        <w:t>Preliminary</w:t>
      </w:r>
      <w:r w:rsidR="00033D0F">
        <w:rPr>
          <w:spacing w:val="-3"/>
          <w:sz w:val="18"/>
        </w:rPr>
        <w:t xml:space="preserve"> </w:t>
      </w:r>
      <w:r w:rsidR="00033D0F">
        <w:rPr>
          <w:sz w:val="18"/>
        </w:rPr>
        <w:t>Determination,</w:t>
      </w:r>
      <w:r w:rsidR="00033D0F">
        <w:rPr>
          <w:spacing w:val="-4"/>
          <w:sz w:val="18"/>
        </w:rPr>
        <w:t xml:space="preserve"> </w:t>
      </w:r>
      <w:r w:rsidR="00033D0F">
        <w:rPr>
          <w:sz w:val="18"/>
        </w:rPr>
        <w:t>Exhibit</w:t>
      </w:r>
      <w:r w:rsidR="00033D0F">
        <w:rPr>
          <w:spacing w:val="-5"/>
          <w:sz w:val="18"/>
        </w:rPr>
        <w:t xml:space="preserve"> </w:t>
      </w:r>
      <w:r w:rsidR="00033D0F">
        <w:rPr>
          <w:sz w:val="18"/>
        </w:rPr>
        <w:t>CHN-3,</w:t>
      </w:r>
      <w:r w:rsidR="00033D0F">
        <w:rPr>
          <w:spacing w:val="-4"/>
          <w:sz w:val="18"/>
        </w:rPr>
        <w:t xml:space="preserve"> </w:t>
      </w:r>
      <w:r w:rsidR="00033D0F">
        <w:rPr>
          <w:sz w:val="18"/>
        </w:rPr>
        <w:t>page</w:t>
      </w:r>
      <w:r w:rsidR="00033D0F">
        <w:rPr>
          <w:spacing w:val="-2"/>
          <w:sz w:val="18"/>
        </w:rPr>
        <w:t xml:space="preserve"> </w:t>
      </w:r>
      <w:r w:rsidR="00033D0F">
        <w:rPr>
          <w:spacing w:val="-5"/>
          <w:sz w:val="18"/>
        </w:rPr>
        <w:t>23.</w:t>
      </w:r>
    </w:p>
    <w:p w14:paraId="45A7B316" w14:textId="77777777" w:rsidR="00BD462C" w:rsidRDefault="00033D0F">
      <w:pPr>
        <w:spacing w:before="5"/>
        <w:ind w:left="135"/>
        <w:rPr>
          <w:sz w:val="12"/>
        </w:rPr>
      </w:pPr>
      <w:bookmarkStart w:id="434" w:name="_bookmark375"/>
      <w:bookmarkEnd w:id="434"/>
      <w:r>
        <w:rPr>
          <w:spacing w:val="-5"/>
          <w:sz w:val="12"/>
        </w:rPr>
        <w:t>300</w:t>
      </w:r>
    </w:p>
    <w:p w14:paraId="4D8E29FC" w14:textId="1F2EA43B" w:rsidR="00BD462C" w:rsidRDefault="00D70C7D">
      <w:pPr>
        <w:spacing w:before="65"/>
        <w:ind w:left="135"/>
        <w:rPr>
          <w:sz w:val="18"/>
        </w:rPr>
      </w:pPr>
      <w:r>
        <w:rPr>
          <w:noProof/>
        </w:rPr>
        <mc:AlternateContent>
          <mc:Choice Requires="wps">
            <w:drawing>
              <wp:anchor distT="0" distB="0" distL="114300" distR="114300" simplePos="0" relativeHeight="15825408" behindDoc="0" locked="0" layoutInCell="1" allowOverlap="1" wp14:anchorId="59199E62" wp14:editId="66BCDED8">
                <wp:simplePos x="0" y="0"/>
                <wp:positionH relativeFrom="page">
                  <wp:posOffset>1045210</wp:posOffset>
                </wp:positionH>
                <wp:positionV relativeFrom="paragraph">
                  <wp:posOffset>180340</wp:posOffset>
                </wp:positionV>
                <wp:extent cx="4529455" cy="140335"/>
                <wp:effectExtent l="0" t="0" r="0" b="0"/>
                <wp:wrapNone/>
                <wp:docPr id="1008" name="docshape2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9455" cy="140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DDAA33" w14:textId="5D211F64" w:rsidR="00BD462C" w:rsidRDefault="00033D0F">
                            <w:pPr>
                              <w:tabs>
                                <w:tab w:val="left" w:pos="7079"/>
                              </w:tabs>
                              <w:spacing w:before="1" w:line="219" w:lineRule="exact"/>
                              <w:ind w:right="-15"/>
                              <w:rPr>
                                <w:color w:val="000000"/>
                                <w:sz w:val="18"/>
                              </w:rPr>
                            </w:pPr>
                            <w:r>
                              <w:rPr>
                                <w:color w:val="000000"/>
                                <w:sz w:val="18"/>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99E62" id="docshape212" o:spid="_x0000_s1044" type="#_x0000_t202" alt="&quot;&quot;" style="position:absolute;left:0;text-align:left;margin-left:82.3pt;margin-top:14.2pt;width:356.65pt;height:11.05pt;z-index:1582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" fillcolor="black" stroked="f">
                <v:textbox inset="0,0,0,0">
                  <w:txbxContent>
                    <w:p w14:paraId="2EDDAA33" w14:textId="5D211F64" w:rsidR="00BD462C" w:rsidRDefault="00033D0F">
                      <w:pPr>
                        <w:tabs>
                          <w:tab w:val="left" w:pos="7079"/>
                        </w:tabs>
                        <w:spacing w:before="1" w:line="219" w:lineRule="exact"/>
                        <w:ind w:right="-15"/>
                        <w:rPr>
                          <w:color w:val="000000"/>
                          <w:sz w:val="18"/>
                        </w:rPr>
                      </w:pPr>
                      <w:r>
                        <w:rPr>
                          <w:color w:val="000000"/>
                          <w:sz w:val="18"/>
                        </w:rPr>
                        <w:tab/>
                      </w:r>
                    </w:p>
                  </w:txbxContent>
                </v:textbox>
                <w10:wrap anchorx="page"/>
              </v:shape>
            </w:pict>
          </mc:Fallback>
        </mc:AlternateContent>
      </w:r>
      <w:bookmarkStart w:id="435" w:name="_bookmark376"/>
      <w:bookmarkEnd w:id="435"/>
      <w:r w:rsidR="00033D0F">
        <w:rPr>
          <w:position w:val="5"/>
          <w:sz w:val="12"/>
        </w:rPr>
        <w:t>301</w:t>
      </w:r>
      <w:r w:rsidR="00033D0F">
        <w:rPr>
          <w:spacing w:val="13"/>
          <w:position w:val="5"/>
          <w:sz w:val="12"/>
        </w:rPr>
        <w:t xml:space="preserve"> </w:t>
      </w:r>
      <w:r w:rsidR="00033D0F">
        <w:rPr>
          <w:sz w:val="18"/>
        </w:rPr>
        <w:t>China's</w:t>
      </w:r>
      <w:r w:rsidR="00033D0F">
        <w:rPr>
          <w:spacing w:val="-5"/>
          <w:sz w:val="18"/>
        </w:rPr>
        <w:t xml:space="preserve"> </w:t>
      </w:r>
      <w:r w:rsidR="00033D0F">
        <w:rPr>
          <w:sz w:val="18"/>
        </w:rPr>
        <w:t>first</w:t>
      </w:r>
      <w:r w:rsidR="00033D0F">
        <w:rPr>
          <w:spacing w:val="-5"/>
          <w:sz w:val="18"/>
        </w:rPr>
        <w:t xml:space="preserve"> </w:t>
      </w:r>
      <w:r w:rsidR="00033D0F">
        <w:rPr>
          <w:sz w:val="18"/>
        </w:rPr>
        <w:t>written</w:t>
      </w:r>
      <w:r w:rsidR="00033D0F">
        <w:rPr>
          <w:spacing w:val="-6"/>
          <w:sz w:val="18"/>
        </w:rPr>
        <w:t xml:space="preserve"> </w:t>
      </w:r>
      <w:r w:rsidR="00033D0F">
        <w:rPr>
          <w:sz w:val="18"/>
        </w:rPr>
        <w:t>submission,</w:t>
      </w:r>
      <w:r w:rsidR="00033D0F">
        <w:rPr>
          <w:spacing w:val="1"/>
          <w:sz w:val="18"/>
        </w:rPr>
        <w:t xml:space="preserve"> </w:t>
      </w:r>
      <w:r w:rsidR="00033D0F">
        <w:rPr>
          <w:sz w:val="18"/>
        </w:rPr>
        <w:t xml:space="preserve">para. </w:t>
      </w:r>
      <w:r w:rsidR="00033D0F">
        <w:rPr>
          <w:spacing w:val="-4"/>
          <w:sz w:val="18"/>
        </w:rPr>
        <w:t>872.</w:t>
      </w:r>
    </w:p>
    <w:p w14:paraId="61ED7DF7" w14:textId="77777777" w:rsidR="00BD462C" w:rsidRDefault="00033D0F">
      <w:pPr>
        <w:spacing w:before="11"/>
        <w:ind w:left="135"/>
        <w:rPr>
          <w:sz w:val="12"/>
        </w:rPr>
      </w:pPr>
      <w:bookmarkStart w:id="436" w:name="_bookmark377"/>
      <w:bookmarkEnd w:id="436"/>
      <w:r>
        <w:rPr>
          <w:spacing w:val="-5"/>
          <w:sz w:val="12"/>
        </w:rPr>
        <w:t>302</w:t>
      </w:r>
    </w:p>
    <w:p w14:paraId="6F064944" w14:textId="77777777" w:rsidR="00BD462C" w:rsidRDefault="00033D0F">
      <w:pPr>
        <w:spacing w:before="65"/>
        <w:ind w:left="135"/>
        <w:rPr>
          <w:sz w:val="18"/>
        </w:rPr>
      </w:pPr>
      <w:bookmarkStart w:id="437" w:name="_bookmark378"/>
      <w:bookmarkEnd w:id="437"/>
      <w:r>
        <w:rPr>
          <w:position w:val="5"/>
          <w:sz w:val="12"/>
        </w:rPr>
        <w:t>303</w:t>
      </w:r>
      <w:r>
        <w:rPr>
          <w:spacing w:val="13"/>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 xml:space="preserve">para. </w:t>
      </w:r>
      <w:r>
        <w:rPr>
          <w:spacing w:val="-4"/>
          <w:sz w:val="18"/>
        </w:rPr>
        <w:t>873.</w:t>
      </w:r>
    </w:p>
    <w:p w14:paraId="5F359C0E" w14:textId="77777777" w:rsidR="00BD462C" w:rsidRDefault="00033D0F">
      <w:pPr>
        <w:spacing w:before="1"/>
        <w:ind w:left="135"/>
        <w:rPr>
          <w:sz w:val="18"/>
        </w:rPr>
      </w:pPr>
      <w:bookmarkStart w:id="438" w:name="_bookmark379"/>
      <w:bookmarkEnd w:id="438"/>
      <w:r>
        <w:rPr>
          <w:position w:val="5"/>
          <w:sz w:val="12"/>
        </w:rPr>
        <w:t>304</w:t>
      </w:r>
      <w:r>
        <w:rPr>
          <w:spacing w:val="13"/>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 xml:space="preserve">para. </w:t>
      </w:r>
      <w:r>
        <w:rPr>
          <w:spacing w:val="-4"/>
          <w:sz w:val="18"/>
        </w:rPr>
        <w:t>875.</w:t>
      </w:r>
    </w:p>
    <w:p w14:paraId="26B0A3B9" w14:textId="77777777" w:rsidR="00BD462C" w:rsidRDefault="00BD462C">
      <w:pPr>
        <w:rPr>
          <w:sz w:val="18"/>
        </w:rPr>
        <w:sectPr w:rsidR="00BD462C">
          <w:pgSz w:w="11910" w:h="16840"/>
          <w:pgMar w:top="860" w:right="500" w:bottom="780" w:left="1280" w:header="566" w:footer="590" w:gutter="0"/>
          <w:cols w:space="720"/>
        </w:sectPr>
      </w:pPr>
    </w:p>
    <w:p w14:paraId="6185B37E"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6143C6F5"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00348B36"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7ACD40CC" w14:textId="0ABA2B0E" w:rsidR="00BD462C" w:rsidRDefault="00033D0F" w:rsidP="0076321F">
      <w:pPr>
        <w:pStyle w:val="BodyText"/>
        <w:numPr>
          <w:ilvl w:val="0"/>
          <w:numId w:val="69"/>
        </w:numPr>
        <w:spacing w:before="107" w:line="357" w:lineRule="auto"/>
        <w:ind w:right="912" w:hanging="638"/>
        <w:jc w:val="both"/>
      </w:pPr>
      <w:r>
        <w:rPr>
          <w:position w:val="1"/>
        </w:rPr>
        <w:t>Regarding China's claim that "Australia does not argue that these differences</w:t>
      </w:r>
      <w:r>
        <w:rPr>
          <w:spacing w:val="80"/>
          <w:position w:val="1"/>
        </w:rPr>
        <w:t xml:space="preserve"> </w:t>
      </w:r>
      <w:r>
        <w:t>identified</w:t>
      </w:r>
      <w:r>
        <w:rPr>
          <w:spacing w:val="40"/>
        </w:rPr>
        <w:t xml:space="preserve"> </w:t>
      </w:r>
      <w:r>
        <w:t>by</w:t>
      </w:r>
      <w:r>
        <w:rPr>
          <w:spacing w:val="40"/>
        </w:rPr>
        <w:t xml:space="preserve"> </w:t>
      </w:r>
      <w:r>
        <w:t>Treasury</w:t>
      </w:r>
      <w:r>
        <w:rPr>
          <w:spacing w:val="40"/>
        </w:rPr>
        <w:t xml:space="preserve"> </w:t>
      </w:r>
      <w:r>
        <w:t>Wines</w:t>
      </w:r>
      <w:r>
        <w:rPr>
          <w:spacing w:val="40"/>
        </w:rPr>
        <w:t xml:space="preserve"> </w:t>
      </w:r>
      <w:r>
        <w:t>affect</w:t>
      </w:r>
      <w:r>
        <w:rPr>
          <w:spacing w:val="40"/>
        </w:rPr>
        <w:t xml:space="preserve"> </w:t>
      </w:r>
      <w:r>
        <w:t>price</w:t>
      </w:r>
      <w:r>
        <w:rPr>
          <w:spacing w:val="40"/>
        </w:rPr>
        <w:t xml:space="preserve"> </w:t>
      </w:r>
      <w:r>
        <w:t>comparability",</w:t>
      </w:r>
      <w:hyperlink w:anchor="_bookmark380" w:history="1">
        <w:r>
          <w:rPr>
            <w:vertAlign w:val="superscript"/>
          </w:rPr>
          <w:t>305</w:t>
        </w:r>
      </w:hyperlink>
      <w:r>
        <w:rPr>
          <w:spacing w:val="40"/>
        </w:rPr>
        <w:t xml:space="preserve"> </w:t>
      </w:r>
      <w:r>
        <w:t>Australia</w:t>
      </w:r>
      <w:r>
        <w:rPr>
          <w:spacing w:val="40"/>
        </w:rPr>
        <w:t xml:space="preserve"> </w:t>
      </w:r>
      <w:r>
        <w:t>refers</w:t>
      </w:r>
      <w:r>
        <w:rPr>
          <w:spacing w:val="40"/>
        </w:rPr>
        <w:t xml:space="preserve"> </w:t>
      </w:r>
      <w:r>
        <w:t>back</w:t>
      </w:r>
      <w:r>
        <w:rPr>
          <w:spacing w:val="40"/>
        </w:rPr>
        <w:t xml:space="preserve"> </w:t>
      </w:r>
      <w:r>
        <w:t>to Treasury</w:t>
      </w:r>
      <w:r>
        <w:rPr>
          <w:spacing w:val="-1"/>
        </w:rPr>
        <w:t xml:space="preserve"> </w:t>
      </w:r>
      <w:r>
        <w:t>Wines' request for adjustments and subsequent comments.</w:t>
      </w:r>
      <w:hyperlink w:anchor="_bookmark381" w:history="1">
        <w:r>
          <w:rPr>
            <w:vertAlign w:val="superscript"/>
          </w:rPr>
          <w:t>306</w:t>
        </w:r>
      </w:hyperlink>
      <w:r>
        <w:t xml:space="preserve"> China's assumption that "the same adjustments were claimed on both the normal value (domestic sales) side as on</w:t>
      </w:r>
      <w:r>
        <w:rPr>
          <w:spacing w:val="-8"/>
        </w:rPr>
        <w:t xml:space="preserve"> </w:t>
      </w:r>
      <w:r>
        <w:t>the</w:t>
      </w:r>
      <w:r>
        <w:rPr>
          <w:spacing w:val="-2"/>
        </w:rPr>
        <w:t xml:space="preserve"> </w:t>
      </w:r>
      <w:r>
        <w:t>export</w:t>
      </w:r>
      <w:r>
        <w:rPr>
          <w:spacing w:val="-6"/>
        </w:rPr>
        <w:t xml:space="preserve"> </w:t>
      </w:r>
      <w:r>
        <w:t>side,</w:t>
      </w:r>
      <w:r>
        <w:rPr>
          <w:spacing w:val="-4"/>
        </w:rPr>
        <w:t xml:space="preserve"> </w:t>
      </w:r>
      <w:r>
        <w:t>thereby</w:t>
      </w:r>
      <w:r>
        <w:rPr>
          <w:spacing w:val="-5"/>
        </w:rPr>
        <w:t xml:space="preserve"> </w:t>
      </w:r>
      <w:r>
        <w:t>indicating</w:t>
      </w:r>
      <w:r>
        <w:rPr>
          <w:spacing w:val="-5"/>
        </w:rPr>
        <w:t xml:space="preserve"> </w:t>
      </w:r>
      <w:r>
        <w:t>that</w:t>
      </w:r>
      <w:r>
        <w:rPr>
          <w:spacing w:val="-6"/>
        </w:rPr>
        <w:t xml:space="preserve"> </w:t>
      </w:r>
      <w:r>
        <w:t>there</w:t>
      </w:r>
      <w:r>
        <w:rPr>
          <w:spacing w:val="-6"/>
        </w:rPr>
        <w:t xml:space="preserve"> </w:t>
      </w:r>
      <w:r>
        <w:t>is</w:t>
      </w:r>
      <w:r>
        <w:rPr>
          <w:spacing w:val="-5"/>
        </w:rPr>
        <w:t xml:space="preserve"> </w:t>
      </w:r>
      <w:r>
        <w:t>no</w:t>
      </w:r>
      <w:r>
        <w:rPr>
          <w:spacing w:val="-4"/>
        </w:rPr>
        <w:t xml:space="preserve"> </w:t>
      </w:r>
      <w:r>
        <w:t>impact</w:t>
      </w:r>
      <w:r>
        <w:rPr>
          <w:spacing w:val="-6"/>
        </w:rPr>
        <w:t xml:space="preserve"> </w:t>
      </w:r>
      <w:r>
        <w:t>on</w:t>
      </w:r>
      <w:r>
        <w:rPr>
          <w:spacing w:val="-3"/>
        </w:rPr>
        <w:t xml:space="preserve"> </w:t>
      </w:r>
      <w:r>
        <w:t>price</w:t>
      </w:r>
      <w:r>
        <w:rPr>
          <w:spacing w:val="-6"/>
        </w:rPr>
        <w:t xml:space="preserve"> </w:t>
      </w:r>
      <w:r>
        <w:t>comparability"</w:t>
      </w:r>
      <w:hyperlink w:anchor="_bookmark382" w:history="1">
        <w:r>
          <w:rPr>
            <w:vertAlign w:val="superscript"/>
          </w:rPr>
          <w:t>307</w:t>
        </w:r>
      </w:hyperlink>
      <w:r>
        <w:rPr>
          <w:spacing w:val="-5"/>
        </w:rPr>
        <w:t xml:space="preserve"> </w:t>
      </w:r>
      <w:r>
        <w:t>is</w:t>
      </w:r>
      <w:r>
        <w:rPr>
          <w:spacing w:val="-5"/>
        </w:rPr>
        <w:t xml:space="preserve"> </w:t>
      </w:r>
      <w:r>
        <w:t>not grounded in the facts.</w:t>
      </w:r>
    </w:p>
    <w:p w14:paraId="2F3BDC6E" w14:textId="77777777" w:rsidR="00BD462C" w:rsidRDefault="00BD462C">
      <w:pPr>
        <w:pStyle w:val="BodyText"/>
        <w:spacing w:before="8"/>
        <w:rPr>
          <w:sz w:val="9"/>
        </w:rPr>
      </w:pPr>
    </w:p>
    <w:p w14:paraId="268435AA" w14:textId="28BEA5BB" w:rsidR="00BD462C" w:rsidRDefault="00033D0F" w:rsidP="0076321F">
      <w:pPr>
        <w:pStyle w:val="BodyText"/>
        <w:numPr>
          <w:ilvl w:val="0"/>
          <w:numId w:val="69"/>
        </w:numPr>
        <w:spacing w:before="56" w:line="360" w:lineRule="auto"/>
        <w:ind w:right="915" w:hanging="638"/>
        <w:jc w:val="both"/>
      </w:pPr>
      <w:r>
        <w:rPr>
          <w:position w:val="1"/>
        </w:rPr>
        <w:t>Australia</w:t>
      </w:r>
      <w:r>
        <w:rPr>
          <w:spacing w:val="-3"/>
          <w:position w:val="1"/>
        </w:rPr>
        <w:t xml:space="preserve"> </w:t>
      </w:r>
      <w:r>
        <w:rPr>
          <w:position w:val="1"/>
        </w:rPr>
        <w:t>submits</w:t>
      </w:r>
      <w:r>
        <w:rPr>
          <w:spacing w:val="-1"/>
          <w:position w:val="1"/>
        </w:rPr>
        <w:t xml:space="preserve"> </w:t>
      </w:r>
      <w:r>
        <w:rPr>
          <w:position w:val="1"/>
        </w:rPr>
        <w:t xml:space="preserve">that an unbiased and objective investigating authority would have </w:t>
      </w:r>
      <w:r>
        <w:t>sought to correct the deficiency through engaging with the exporter and participating in a dialogue to understand the effect of this data on its comparison under Article 2.4 before deciding whether to reject them.</w:t>
      </w:r>
    </w:p>
    <w:p w14:paraId="390B7C19" w14:textId="77777777" w:rsidR="00BD462C" w:rsidRDefault="00033D0F" w:rsidP="00DA02D9">
      <w:pPr>
        <w:pStyle w:val="ListParagraph"/>
        <w:numPr>
          <w:ilvl w:val="1"/>
          <w:numId w:val="70"/>
        </w:numPr>
        <w:tabs>
          <w:tab w:val="left" w:pos="3539"/>
          <w:tab w:val="left" w:pos="3540"/>
        </w:tabs>
        <w:spacing w:before="158" w:line="357" w:lineRule="auto"/>
        <w:ind w:right="921"/>
        <w:jc w:val="both"/>
        <w:rPr>
          <w:sz w:val="24"/>
        </w:rPr>
      </w:pPr>
      <w:bookmarkStart w:id="439" w:name="(d)_MOFCOM_did_not_make_&quot;due_allowance&quot;_"/>
      <w:bookmarkEnd w:id="439"/>
      <w:r>
        <w:rPr>
          <w:sz w:val="24"/>
          <w:u w:val="single"/>
        </w:rPr>
        <w:t>MOFCOM did not make "due allowance" for differences</w:t>
      </w:r>
      <w:r>
        <w:rPr>
          <w:sz w:val="24"/>
        </w:rPr>
        <w:t xml:space="preserve"> </w:t>
      </w:r>
      <w:r>
        <w:rPr>
          <w:sz w:val="24"/>
          <w:u w:val="single"/>
        </w:rPr>
        <w:t>affecting price</w:t>
      </w:r>
    </w:p>
    <w:p w14:paraId="08A48D8C" w14:textId="77777777" w:rsidR="00BD462C" w:rsidRDefault="00BD462C">
      <w:pPr>
        <w:pStyle w:val="BodyText"/>
        <w:spacing w:before="2"/>
        <w:rPr>
          <w:sz w:val="9"/>
        </w:rPr>
      </w:pPr>
    </w:p>
    <w:p w14:paraId="2BD6EBC2" w14:textId="117EDCC9" w:rsidR="00BD462C" w:rsidRDefault="00033D0F" w:rsidP="0076321F">
      <w:pPr>
        <w:pStyle w:val="BodyText"/>
        <w:numPr>
          <w:ilvl w:val="0"/>
          <w:numId w:val="69"/>
        </w:numPr>
        <w:spacing w:before="56" w:line="360" w:lineRule="auto"/>
        <w:ind w:right="914" w:hanging="638"/>
        <w:jc w:val="both"/>
      </w:pPr>
      <w:r>
        <w:rPr>
          <w:position w:val="1"/>
        </w:rPr>
        <w:t>Separately to Treasury Wines' specific requests, MOFCOM failed to meet its</w:t>
      </w:r>
      <w:r>
        <w:rPr>
          <w:spacing w:val="40"/>
          <w:position w:val="1"/>
        </w:rPr>
        <w:t xml:space="preserve"> </w:t>
      </w:r>
      <w:r>
        <w:t>procedural requirements under Article 2.4, which precluded it from making "due allowance" in</w:t>
      </w:r>
      <w:r>
        <w:rPr>
          <w:spacing w:val="-14"/>
        </w:rPr>
        <w:t xml:space="preserve"> </w:t>
      </w:r>
      <w:r>
        <w:t>the</w:t>
      </w:r>
      <w:r>
        <w:rPr>
          <w:spacing w:val="-9"/>
        </w:rPr>
        <w:t xml:space="preserve"> </w:t>
      </w:r>
      <w:r>
        <w:t>form of other adjustments</w:t>
      </w:r>
      <w:r>
        <w:rPr>
          <w:spacing w:val="-1"/>
        </w:rPr>
        <w:t xml:space="preserve"> </w:t>
      </w:r>
      <w:r>
        <w:t>for</w:t>
      </w:r>
      <w:r>
        <w:rPr>
          <w:spacing w:val="-5"/>
        </w:rPr>
        <w:t xml:space="preserve"> </w:t>
      </w:r>
      <w:r>
        <w:t>what it</w:t>
      </w:r>
      <w:r>
        <w:rPr>
          <w:spacing w:val="-2"/>
        </w:rPr>
        <w:t xml:space="preserve"> </w:t>
      </w:r>
      <w:proofErr w:type="spellStart"/>
      <w:r>
        <w:t>recognised</w:t>
      </w:r>
      <w:proofErr w:type="spellEnd"/>
      <w:r>
        <w:rPr>
          <w:spacing w:val="-4"/>
        </w:rPr>
        <w:t xml:space="preserve"> </w:t>
      </w:r>
      <w:r>
        <w:t>as</w:t>
      </w:r>
      <w:r>
        <w:rPr>
          <w:spacing w:val="-1"/>
        </w:rPr>
        <w:t xml:space="preserve"> </w:t>
      </w:r>
      <w:r>
        <w:t>"the</w:t>
      </w:r>
      <w:r>
        <w:rPr>
          <w:spacing w:val="-3"/>
        </w:rPr>
        <w:t xml:space="preserve"> </w:t>
      </w:r>
      <w:r>
        <w:t>logical consequence"</w:t>
      </w:r>
      <w:r>
        <w:rPr>
          <w:spacing w:val="-14"/>
        </w:rPr>
        <w:t xml:space="preserve"> </w:t>
      </w:r>
      <w:hyperlink w:anchor="_bookmark383" w:history="1">
        <w:r>
          <w:rPr>
            <w:vertAlign w:val="superscript"/>
          </w:rPr>
          <w:t>308</w:t>
        </w:r>
      </w:hyperlink>
      <w:r>
        <w:rPr>
          <w:spacing w:val="-1"/>
        </w:rPr>
        <w:t xml:space="preserve"> </w:t>
      </w:r>
      <w:r>
        <w:t>of its methodology.</w:t>
      </w:r>
      <w:r>
        <w:rPr>
          <w:spacing w:val="-34"/>
        </w:rPr>
        <w:t xml:space="preserve"> </w:t>
      </w:r>
      <w:hyperlink w:anchor="_bookmark384" w:history="1">
        <w:r>
          <w:rPr>
            <w:vertAlign w:val="superscript"/>
          </w:rPr>
          <w:t>309</w:t>
        </w:r>
      </w:hyperlink>
    </w:p>
    <w:p w14:paraId="6F1F3848" w14:textId="77777777" w:rsidR="00BD462C" w:rsidRDefault="00BD462C">
      <w:pPr>
        <w:pStyle w:val="BodyText"/>
        <w:spacing w:before="9"/>
        <w:rPr>
          <w:sz w:val="8"/>
        </w:rPr>
      </w:pPr>
    </w:p>
    <w:p w14:paraId="1BBF14F3" w14:textId="471B212E" w:rsidR="00BD462C" w:rsidRDefault="00D70C7D" w:rsidP="0076321F">
      <w:pPr>
        <w:pStyle w:val="BodyText"/>
        <w:numPr>
          <w:ilvl w:val="0"/>
          <w:numId w:val="69"/>
        </w:numPr>
        <w:spacing w:before="56" w:line="360" w:lineRule="auto"/>
        <w:ind w:right="912" w:hanging="638"/>
        <w:jc w:val="both"/>
      </w:pPr>
      <w:r>
        <w:rPr>
          <w:noProof/>
        </w:rPr>
        <mc:AlternateContent>
          <mc:Choice Requires="wps">
            <w:drawing>
              <wp:anchor distT="0" distB="0" distL="114300" distR="114300" simplePos="0" relativeHeight="478988288" behindDoc="1" locked="0" layoutInCell="1" allowOverlap="1" wp14:anchorId="41EC85B9" wp14:editId="4F761E34">
                <wp:simplePos x="0" y="0"/>
                <wp:positionH relativeFrom="page">
                  <wp:posOffset>4224867</wp:posOffset>
                </wp:positionH>
                <wp:positionV relativeFrom="paragraph">
                  <wp:posOffset>1146175</wp:posOffset>
                </wp:positionV>
                <wp:extent cx="2446866" cy="186055"/>
                <wp:effectExtent l="0" t="0" r="0" b="4445"/>
                <wp:wrapNone/>
                <wp:docPr id="1006" name="docshape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6866"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02FA4B" id="docshape213" o:spid="_x0000_s1026" alt="&quot;&quot;" style="position:absolute;margin-left:332.65pt;margin-top:90.25pt;width:192.65pt;height:14.65pt;z-index:-24328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" fillcolor="black" stroked="f">
                <w10:wrap anchorx="page"/>
              </v:rect>
            </w:pict>
          </mc:Fallback>
        </mc:AlternateContent>
      </w:r>
      <w:r w:rsidR="00033D0F">
        <w:rPr>
          <w:position w:val="1"/>
        </w:rPr>
        <w:t xml:space="preserve">Treasury Wines demonstrated significant differences between wines that affected </w:t>
      </w:r>
      <w:r w:rsidR="00033D0F">
        <w:t xml:space="preserve">price comparability. Its domestic and export sales comprised a diverse product mix including different physical characteristics, </w:t>
      </w:r>
      <w:proofErr w:type="gramStart"/>
      <w:r w:rsidR="00033D0F">
        <w:t>quality</w:t>
      </w:r>
      <w:proofErr w:type="gramEnd"/>
      <w:r w:rsidR="00033D0F">
        <w:t xml:space="preserve"> and consumer preferences.</w:t>
      </w:r>
      <w:r w:rsidR="00033D0F">
        <w:rPr>
          <w:spacing w:val="-14"/>
        </w:rPr>
        <w:t xml:space="preserve"> </w:t>
      </w:r>
      <w:hyperlink w:anchor="_bookmark385" w:history="1">
        <w:r w:rsidR="00033D0F">
          <w:rPr>
            <w:vertAlign w:val="superscript"/>
          </w:rPr>
          <w:t>310</w:t>
        </w:r>
      </w:hyperlink>
      <w:r w:rsidR="00033D0F">
        <w:t xml:space="preserve"> MOFCOM gave no consideration to, nor made any adjustments for, these differences. This deficiency was exacerbated</w:t>
      </w:r>
      <w:r w:rsidR="00033D0F">
        <w:rPr>
          <w:spacing w:val="40"/>
        </w:rPr>
        <w:t xml:space="preserve"> </w:t>
      </w:r>
      <w:r w:rsidR="00033D0F">
        <w:t>by</w:t>
      </w:r>
      <w:r w:rsidR="00033D0F">
        <w:rPr>
          <w:spacing w:val="40"/>
        </w:rPr>
        <w:t xml:space="preserve"> </w:t>
      </w:r>
      <w:r w:rsidR="00033D0F">
        <w:t>MOFCOM's</w:t>
      </w:r>
      <w:r w:rsidR="00033D0F">
        <w:rPr>
          <w:spacing w:val="40"/>
        </w:rPr>
        <w:t xml:space="preserve"> </w:t>
      </w:r>
      <w:r w:rsidR="00033D0F">
        <w:t>reliance</w:t>
      </w:r>
      <w:r w:rsidR="00033D0F">
        <w:rPr>
          <w:spacing w:val="40"/>
        </w:rPr>
        <w:t xml:space="preserve"> </w:t>
      </w:r>
      <w:r w:rsidR="00033D0F">
        <w:t>on</w:t>
      </w:r>
    </w:p>
    <w:p w14:paraId="0C936C3F" w14:textId="77777777" w:rsidR="00BD462C" w:rsidRDefault="00033D0F" w:rsidP="0076321F">
      <w:pPr>
        <w:pStyle w:val="BodyText"/>
        <w:spacing w:line="357" w:lineRule="auto"/>
        <w:ind w:left="136" w:right="923"/>
        <w:jc w:val="both"/>
      </w:pPr>
      <w:r>
        <w:t xml:space="preserve">This complete absence of adjustments is a </w:t>
      </w:r>
      <w:r>
        <w:rPr>
          <w:i/>
        </w:rPr>
        <w:t xml:space="preserve">prima facie </w:t>
      </w:r>
      <w:r>
        <w:t>breach of the second and third sentences of Article 2.4.</w:t>
      </w:r>
      <w:hyperlink w:anchor="_bookmark387" w:history="1">
        <w:r>
          <w:rPr>
            <w:vertAlign w:val="superscript"/>
          </w:rPr>
          <w:t>312</w:t>
        </w:r>
      </w:hyperlink>
    </w:p>
    <w:p w14:paraId="0EAC68AF" w14:textId="77777777" w:rsidR="00BD462C" w:rsidRDefault="00BD462C">
      <w:pPr>
        <w:pStyle w:val="BodyText"/>
        <w:rPr>
          <w:sz w:val="20"/>
        </w:rPr>
      </w:pPr>
    </w:p>
    <w:p w14:paraId="0738B31B" w14:textId="77777777" w:rsidR="00BD462C" w:rsidRDefault="00BD462C">
      <w:pPr>
        <w:pStyle w:val="BodyText"/>
        <w:rPr>
          <w:sz w:val="20"/>
        </w:rPr>
      </w:pPr>
    </w:p>
    <w:p w14:paraId="253BC8C2" w14:textId="77777777" w:rsidR="00BD462C" w:rsidRDefault="00BD462C">
      <w:pPr>
        <w:pStyle w:val="BodyText"/>
        <w:rPr>
          <w:sz w:val="20"/>
        </w:rPr>
      </w:pPr>
    </w:p>
    <w:p w14:paraId="01918BEE" w14:textId="26D757FB" w:rsidR="00BD462C" w:rsidRDefault="00D70C7D">
      <w:pPr>
        <w:pStyle w:val="BodyText"/>
        <w:spacing w:before="11"/>
        <w:rPr>
          <w:sz w:val="26"/>
        </w:rPr>
      </w:pPr>
      <w:r>
        <w:rPr>
          <w:noProof/>
        </w:rPr>
        <mc:AlternateContent>
          <mc:Choice Requires="wps">
            <w:drawing>
              <wp:anchor distT="0" distB="0" distL="0" distR="0" simplePos="0" relativeHeight="487686656" behindDoc="1" locked="0" layoutInCell="1" allowOverlap="1" wp14:anchorId="16B1BAFF" wp14:editId="7258D111">
                <wp:simplePos x="0" y="0"/>
                <wp:positionH relativeFrom="page">
                  <wp:posOffset>899160</wp:posOffset>
                </wp:positionH>
                <wp:positionV relativeFrom="paragraph">
                  <wp:posOffset>224155</wp:posOffset>
                </wp:positionV>
                <wp:extent cx="1828800" cy="8890"/>
                <wp:effectExtent l="0" t="0" r="0" b="0"/>
                <wp:wrapTopAndBottom/>
                <wp:docPr id="1004" name="docshape2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AA50B8" id="docshape214" o:spid="_x0000_s1026" alt="&quot;&quot;" style="position:absolute;margin-left:70.8pt;margin-top:17.65pt;width:2in;height:.7pt;z-index:-15629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" fillcolor="black" stroked="f">
                <w10:wrap type="topAndBottom" anchorx="page"/>
              </v:rect>
            </w:pict>
          </mc:Fallback>
        </mc:AlternateContent>
      </w:r>
    </w:p>
    <w:p w14:paraId="47B1C795" w14:textId="77777777" w:rsidR="00BD462C" w:rsidRDefault="00033D0F">
      <w:pPr>
        <w:spacing w:before="112"/>
        <w:ind w:left="135"/>
        <w:rPr>
          <w:sz w:val="18"/>
        </w:rPr>
      </w:pPr>
      <w:bookmarkStart w:id="440" w:name="_bookmark380"/>
      <w:bookmarkEnd w:id="440"/>
      <w:r>
        <w:rPr>
          <w:position w:val="5"/>
          <w:sz w:val="12"/>
        </w:rPr>
        <w:t>305</w:t>
      </w:r>
      <w:r>
        <w:rPr>
          <w:spacing w:val="13"/>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 xml:space="preserve">para. </w:t>
      </w:r>
      <w:r>
        <w:rPr>
          <w:spacing w:val="-4"/>
          <w:sz w:val="18"/>
        </w:rPr>
        <w:t>876.</w:t>
      </w:r>
    </w:p>
    <w:p w14:paraId="0A4279B9" w14:textId="347E35B7" w:rsidR="00BD462C" w:rsidRDefault="00D70C7D">
      <w:pPr>
        <w:spacing w:before="10"/>
        <w:ind w:left="135"/>
        <w:rPr>
          <w:sz w:val="12"/>
        </w:rPr>
      </w:pPr>
      <w:r>
        <w:rPr>
          <w:noProof/>
        </w:rPr>
        <mc:AlternateContent>
          <mc:Choice Requires="wps">
            <w:drawing>
              <wp:anchor distT="0" distB="0" distL="114300" distR="114300" simplePos="0" relativeHeight="15827456" behindDoc="0" locked="0" layoutInCell="1" allowOverlap="1" wp14:anchorId="3B5F7D29" wp14:editId="54597C13">
                <wp:simplePos x="0" y="0"/>
                <wp:positionH relativeFrom="page">
                  <wp:posOffset>1045210</wp:posOffset>
                </wp:positionH>
                <wp:positionV relativeFrom="paragraph">
                  <wp:posOffset>-635</wp:posOffset>
                </wp:positionV>
                <wp:extent cx="4114800" cy="140335"/>
                <wp:effectExtent l="0" t="0" r="0" b="0"/>
                <wp:wrapNone/>
                <wp:docPr id="1002" name="docshape2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40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26C657" w14:textId="6261CDCD" w:rsidR="00BD462C" w:rsidRDefault="00BD462C">
                            <w:pPr>
                              <w:spacing w:before="1" w:line="219" w:lineRule="exact"/>
                              <w:rPr>
                                <w:color w:val="000000"/>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F7D29" id="docshape215" o:spid="_x0000_s1045" type="#_x0000_t202" alt="&quot;&quot;" style="position:absolute;left:0;text-align:left;margin-left:82.3pt;margin-top:-.05pt;width:324pt;height:11.05pt;z-index:1582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" fillcolor="black" stroked="f">
                <v:textbox inset="0,0,0,0">
                  <w:txbxContent>
                    <w:p w14:paraId="4226C657" w14:textId="6261CDCD" w:rsidR="00BD462C" w:rsidRDefault="00BD462C">
                      <w:pPr>
                        <w:spacing w:before="1" w:line="219" w:lineRule="exact"/>
                        <w:rPr>
                          <w:color w:val="000000"/>
                          <w:sz w:val="18"/>
                        </w:rPr>
                      </w:pPr>
                    </w:p>
                  </w:txbxContent>
                </v:textbox>
                <w10:wrap anchorx="page"/>
              </v:shape>
            </w:pict>
          </mc:Fallback>
        </mc:AlternateContent>
      </w:r>
      <w:bookmarkStart w:id="441" w:name="_bookmark381"/>
      <w:bookmarkEnd w:id="441"/>
      <w:r w:rsidR="00033D0F">
        <w:rPr>
          <w:spacing w:val="-5"/>
          <w:sz w:val="12"/>
        </w:rPr>
        <w:t>306</w:t>
      </w:r>
    </w:p>
    <w:p w14:paraId="33445DF0" w14:textId="77777777" w:rsidR="00BD462C" w:rsidRDefault="00033D0F">
      <w:pPr>
        <w:spacing w:before="65" w:line="218" w:lineRule="exact"/>
        <w:ind w:left="135"/>
        <w:rPr>
          <w:sz w:val="18"/>
        </w:rPr>
      </w:pPr>
      <w:bookmarkStart w:id="442" w:name="_bookmark382"/>
      <w:bookmarkEnd w:id="442"/>
      <w:r>
        <w:rPr>
          <w:position w:val="5"/>
          <w:sz w:val="12"/>
        </w:rPr>
        <w:t>307</w:t>
      </w:r>
      <w:r>
        <w:rPr>
          <w:spacing w:val="13"/>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 xml:space="preserve">para. </w:t>
      </w:r>
      <w:r>
        <w:rPr>
          <w:spacing w:val="-4"/>
          <w:sz w:val="18"/>
        </w:rPr>
        <w:t>876.</w:t>
      </w:r>
    </w:p>
    <w:p w14:paraId="60D48EB6" w14:textId="77777777" w:rsidR="00BD462C" w:rsidRDefault="00033D0F">
      <w:pPr>
        <w:spacing w:line="218" w:lineRule="exact"/>
        <w:ind w:left="135"/>
        <w:rPr>
          <w:sz w:val="18"/>
        </w:rPr>
      </w:pPr>
      <w:bookmarkStart w:id="443" w:name="_bookmark383"/>
      <w:bookmarkEnd w:id="443"/>
      <w:r>
        <w:rPr>
          <w:position w:val="5"/>
          <w:sz w:val="12"/>
        </w:rPr>
        <w:t>308</w:t>
      </w:r>
      <w:r>
        <w:rPr>
          <w:spacing w:val="13"/>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 xml:space="preserve">para. </w:t>
      </w:r>
      <w:r>
        <w:rPr>
          <w:spacing w:val="-4"/>
          <w:sz w:val="18"/>
        </w:rPr>
        <w:t>853.</w:t>
      </w:r>
    </w:p>
    <w:p w14:paraId="5573C3BE" w14:textId="77777777" w:rsidR="00BD462C" w:rsidRDefault="00033D0F">
      <w:pPr>
        <w:spacing w:before="1"/>
        <w:ind w:left="135"/>
        <w:rPr>
          <w:sz w:val="18"/>
        </w:rPr>
      </w:pPr>
      <w:bookmarkStart w:id="444" w:name="_bookmark384"/>
      <w:bookmarkEnd w:id="444"/>
      <w:r>
        <w:rPr>
          <w:position w:val="5"/>
          <w:sz w:val="12"/>
        </w:rPr>
        <w:t>309</w:t>
      </w:r>
      <w:r>
        <w:rPr>
          <w:spacing w:val="13"/>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 xml:space="preserve">para. </w:t>
      </w:r>
      <w:r>
        <w:rPr>
          <w:spacing w:val="-4"/>
          <w:sz w:val="18"/>
        </w:rPr>
        <w:t>818.</w:t>
      </w:r>
    </w:p>
    <w:p w14:paraId="552931E1" w14:textId="77777777" w:rsidR="00BD462C" w:rsidRDefault="00033D0F">
      <w:pPr>
        <w:spacing w:before="1"/>
        <w:ind w:left="135"/>
        <w:rPr>
          <w:sz w:val="18"/>
        </w:rPr>
      </w:pPr>
      <w:bookmarkStart w:id="445" w:name="_bookmark385"/>
      <w:bookmarkEnd w:id="445"/>
      <w:r>
        <w:rPr>
          <w:position w:val="5"/>
          <w:sz w:val="12"/>
        </w:rPr>
        <w:t>310</w:t>
      </w:r>
      <w:r>
        <w:rPr>
          <w:spacing w:val="13"/>
          <w:position w:val="5"/>
          <w:sz w:val="12"/>
        </w:rPr>
        <w:t xml:space="preserve"> </w:t>
      </w:r>
      <w:r>
        <w:rPr>
          <w:sz w:val="18"/>
        </w:rPr>
        <w:t>Australia's</w:t>
      </w:r>
      <w:r>
        <w:rPr>
          <w:spacing w:val="-5"/>
          <w:sz w:val="18"/>
        </w:rPr>
        <w:t xml:space="preserve"> </w:t>
      </w:r>
      <w:r>
        <w:rPr>
          <w:sz w:val="18"/>
        </w:rPr>
        <w:t>first</w:t>
      </w:r>
      <w:r>
        <w:rPr>
          <w:spacing w:val="-3"/>
          <w:sz w:val="18"/>
        </w:rPr>
        <w:t xml:space="preserve"> </w:t>
      </w:r>
      <w:r>
        <w:rPr>
          <w:sz w:val="18"/>
        </w:rPr>
        <w:t>written</w:t>
      </w:r>
      <w:r>
        <w:rPr>
          <w:spacing w:val="-2"/>
          <w:sz w:val="18"/>
        </w:rPr>
        <w:t xml:space="preserve"> </w:t>
      </w:r>
      <w:r>
        <w:rPr>
          <w:sz w:val="18"/>
        </w:rPr>
        <w:t>submission,</w:t>
      </w:r>
      <w:r>
        <w:rPr>
          <w:spacing w:val="2"/>
          <w:sz w:val="18"/>
        </w:rPr>
        <w:t xml:space="preserve"> </w:t>
      </w:r>
      <w:r>
        <w:rPr>
          <w:sz w:val="18"/>
        </w:rPr>
        <w:t>para.</w:t>
      </w:r>
      <w:r>
        <w:rPr>
          <w:spacing w:val="-4"/>
          <w:sz w:val="18"/>
        </w:rPr>
        <w:t xml:space="preserve"> </w:t>
      </w:r>
      <w:r>
        <w:rPr>
          <w:sz w:val="18"/>
        </w:rPr>
        <w:t>509</w:t>
      </w:r>
      <w:r>
        <w:rPr>
          <w:spacing w:val="-2"/>
          <w:sz w:val="18"/>
        </w:rPr>
        <w:t xml:space="preserve"> </w:t>
      </w:r>
      <w:r>
        <w:rPr>
          <w:sz w:val="18"/>
        </w:rPr>
        <w:t>and</w:t>
      </w:r>
      <w:r>
        <w:rPr>
          <w:spacing w:val="-6"/>
          <w:sz w:val="18"/>
        </w:rPr>
        <w:t xml:space="preserve"> </w:t>
      </w:r>
      <w:r>
        <w:rPr>
          <w:sz w:val="18"/>
        </w:rPr>
        <w:t>Exhibit AUS-5</w:t>
      </w:r>
      <w:r>
        <w:rPr>
          <w:spacing w:val="-6"/>
          <w:sz w:val="18"/>
        </w:rPr>
        <w:t xml:space="preserve"> </w:t>
      </w:r>
      <w:r>
        <w:rPr>
          <w:sz w:val="18"/>
        </w:rPr>
        <w:t>(BCI),</w:t>
      </w:r>
      <w:r>
        <w:rPr>
          <w:spacing w:val="-3"/>
          <w:sz w:val="18"/>
        </w:rPr>
        <w:t xml:space="preserve"> </w:t>
      </w:r>
      <w:r>
        <w:rPr>
          <w:sz w:val="18"/>
        </w:rPr>
        <w:t>Tables</w:t>
      </w:r>
      <w:r>
        <w:rPr>
          <w:spacing w:val="-1"/>
          <w:sz w:val="18"/>
        </w:rPr>
        <w:t xml:space="preserve"> </w:t>
      </w:r>
      <w:r>
        <w:rPr>
          <w:sz w:val="18"/>
        </w:rPr>
        <w:t>1</w:t>
      </w:r>
      <w:r>
        <w:rPr>
          <w:spacing w:val="-6"/>
          <w:sz w:val="18"/>
        </w:rPr>
        <w:t xml:space="preserve"> </w:t>
      </w:r>
      <w:r>
        <w:rPr>
          <w:sz w:val="18"/>
        </w:rPr>
        <w:t>and</w:t>
      </w:r>
      <w:r>
        <w:rPr>
          <w:spacing w:val="-6"/>
          <w:sz w:val="18"/>
        </w:rPr>
        <w:t xml:space="preserve"> </w:t>
      </w:r>
      <w:r>
        <w:rPr>
          <w:spacing w:val="-5"/>
          <w:sz w:val="18"/>
        </w:rPr>
        <w:t>3.</w:t>
      </w:r>
    </w:p>
    <w:p w14:paraId="286B671F" w14:textId="77777777" w:rsidR="00BD462C" w:rsidRDefault="00033D0F">
      <w:pPr>
        <w:spacing w:before="1"/>
        <w:ind w:left="135"/>
        <w:rPr>
          <w:sz w:val="18"/>
        </w:rPr>
      </w:pPr>
      <w:bookmarkStart w:id="446" w:name="_bookmark386"/>
      <w:bookmarkEnd w:id="446"/>
      <w:r>
        <w:rPr>
          <w:position w:val="5"/>
          <w:sz w:val="12"/>
        </w:rPr>
        <w:t>311</w:t>
      </w:r>
      <w:r>
        <w:rPr>
          <w:spacing w:val="12"/>
          <w:position w:val="5"/>
          <w:sz w:val="12"/>
        </w:rPr>
        <w:t xml:space="preserve"> </w:t>
      </w:r>
      <w:r>
        <w:rPr>
          <w:sz w:val="18"/>
        </w:rPr>
        <w:t>Australia's</w:t>
      </w:r>
      <w:r>
        <w:rPr>
          <w:spacing w:val="-7"/>
          <w:sz w:val="18"/>
        </w:rPr>
        <w:t xml:space="preserve"> </w:t>
      </w:r>
      <w:r>
        <w:rPr>
          <w:sz w:val="18"/>
        </w:rPr>
        <w:t>first</w:t>
      </w:r>
      <w:r>
        <w:rPr>
          <w:spacing w:val="-5"/>
          <w:sz w:val="18"/>
        </w:rPr>
        <w:t xml:space="preserve"> </w:t>
      </w:r>
      <w:r>
        <w:rPr>
          <w:sz w:val="18"/>
        </w:rPr>
        <w:t>written</w:t>
      </w:r>
      <w:r>
        <w:rPr>
          <w:spacing w:val="-3"/>
          <w:sz w:val="18"/>
        </w:rPr>
        <w:t xml:space="preserve"> </w:t>
      </w:r>
      <w:r>
        <w:rPr>
          <w:sz w:val="18"/>
        </w:rPr>
        <w:t>submission, paras.</w:t>
      </w:r>
      <w:r>
        <w:rPr>
          <w:spacing w:val="-5"/>
          <w:sz w:val="18"/>
        </w:rPr>
        <w:t xml:space="preserve"> </w:t>
      </w:r>
      <w:r>
        <w:rPr>
          <w:sz w:val="18"/>
        </w:rPr>
        <w:t>510-</w:t>
      </w:r>
      <w:r>
        <w:rPr>
          <w:spacing w:val="-4"/>
          <w:sz w:val="18"/>
        </w:rPr>
        <w:t>511.</w:t>
      </w:r>
    </w:p>
    <w:p w14:paraId="3B5FD6B2" w14:textId="77777777" w:rsidR="00BD462C" w:rsidRDefault="00033D0F">
      <w:pPr>
        <w:spacing w:before="1"/>
        <w:ind w:left="135"/>
        <w:rPr>
          <w:sz w:val="18"/>
        </w:rPr>
      </w:pPr>
      <w:bookmarkStart w:id="447" w:name="_bookmark387"/>
      <w:bookmarkEnd w:id="447"/>
      <w:r>
        <w:rPr>
          <w:position w:val="5"/>
          <w:sz w:val="12"/>
        </w:rPr>
        <w:t>312</w:t>
      </w:r>
      <w:r>
        <w:rPr>
          <w:spacing w:val="11"/>
          <w:position w:val="5"/>
          <w:sz w:val="12"/>
        </w:rPr>
        <w:t xml:space="preserve"> </w:t>
      </w:r>
      <w:r>
        <w:rPr>
          <w:sz w:val="18"/>
        </w:rPr>
        <w:t>Australia's</w:t>
      </w:r>
      <w:r>
        <w:rPr>
          <w:spacing w:val="-6"/>
          <w:sz w:val="18"/>
        </w:rPr>
        <w:t xml:space="preserve"> </w:t>
      </w:r>
      <w:r>
        <w:rPr>
          <w:sz w:val="18"/>
        </w:rPr>
        <w:t>first</w:t>
      </w:r>
      <w:r>
        <w:rPr>
          <w:spacing w:val="-5"/>
          <w:sz w:val="18"/>
        </w:rPr>
        <w:t xml:space="preserve"> </w:t>
      </w:r>
      <w:r>
        <w:rPr>
          <w:sz w:val="18"/>
        </w:rPr>
        <w:t>written</w:t>
      </w:r>
      <w:r>
        <w:rPr>
          <w:spacing w:val="-3"/>
          <w:sz w:val="18"/>
        </w:rPr>
        <w:t xml:space="preserve"> </w:t>
      </w:r>
      <w:r>
        <w:rPr>
          <w:sz w:val="18"/>
        </w:rPr>
        <w:t>submission, para.</w:t>
      </w:r>
      <w:r>
        <w:rPr>
          <w:spacing w:val="-6"/>
          <w:sz w:val="18"/>
        </w:rPr>
        <w:t xml:space="preserve"> </w:t>
      </w:r>
      <w:r>
        <w:rPr>
          <w:sz w:val="18"/>
        </w:rPr>
        <w:t>512-</w:t>
      </w:r>
      <w:r>
        <w:rPr>
          <w:spacing w:val="-4"/>
          <w:sz w:val="18"/>
        </w:rPr>
        <w:t>517.</w:t>
      </w:r>
    </w:p>
    <w:p w14:paraId="66BC3A9C" w14:textId="77777777" w:rsidR="00BD462C" w:rsidRDefault="00BD462C">
      <w:pPr>
        <w:rPr>
          <w:sz w:val="18"/>
        </w:rPr>
        <w:sectPr w:rsidR="00BD462C">
          <w:pgSz w:w="11910" w:h="16840"/>
          <w:pgMar w:top="860" w:right="500" w:bottom="780" w:left="1280" w:header="566" w:footer="590" w:gutter="0"/>
          <w:cols w:space="720"/>
        </w:sectPr>
      </w:pPr>
    </w:p>
    <w:p w14:paraId="5E216B9B"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4329F997"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3C58FF5B"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3D49164F" w14:textId="18896140" w:rsidR="00BD462C" w:rsidRDefault="00033D0F" w:rsidP="00CA5625">
      <w:pPr>
        <w:pStyle w:val="BodyText"/>
        <w:numPr>
          <w:ilvl w:val="0"/>
          <w:numId w:val="69"/>
        </w:numPr>
        <w:spacing w:before="107" w:line="360" w:lineRule="auto"/>
        <w:ind w:right="910" w:hanging="638"/>
      </w:pPr>
      <w:r>
        <w:rPr>
          <w:position w:val="1"/>
        </w:rPr>
        <w:t xml:space="preserve">In its first written submission, China vaguely stated that "the manner in which the </w:t>
      </w:r>
      <w:r>
        <w:t>normal</w:t>
      </w:r>
      <w:r>
        <w:rPr>
          <w:spacing w:val="-1"/>
        </w:rPr>
        <w:t xml:space="preserve"> </w:t>
      </w:r>
      <w:r>
        <w:t>value</w:t>
      </w:r>
      <w:r>
        <w:rPr>
          <w:spacing w:val="-4"/>
        </w:rPr>
        <w:t xml:space="preserve"> </w:t>
      </w:r>
      <w:r>
        <w:t>has</w:t>
      </w:r>
      <w:r>
        <w:rPr>
          <w:spacing w:val="-2"/>
        </w:rPr>
        <w:t xml:space="preserve"> </w:t>
      </w:r>
      <w:r>
        <w:t>been determined could be pertinent</w:t>
      </w:r>
      <w:r>
        <w:rPr>
          <w:spacing w:val="-3"/>
        </w:rPr>
        <w:t xml:space="preserve"> </w:t>
      </w:r>
      <w:r>
        <w:t>to</w:t>
      </w:r>
      <w:r>
        <w:rPr>
          <w:spacing w:val="-6"/>
        </w:rPr>
        <w:t xml:space="preserve"> </w:t>
      </w:r>
      <w:r>
        <w:t>the question</w:t>
      </w:r>
      <w:r>
        <w:rPr>
          <w:spacing w:val="-1"/>
        </w:rPr>
        <w:t xml:space="preserve"> </w:t>
      </w:r>
      <w:r>
        <w:t>how</w:t>
      </w:r>
      <w:r>
        <w:rPr>
          <w:spacing w:val="-3"/>
        </w:rPr>
        <w:t xml:space="preserve"> </w:t>
      </w:r>
      <w:r>
        <w:t>a fair</w:t>
      </w:r>
      <w:r>
        <w:rPr>
          <w:spacing w:val="-1"/>
        </w:rPr>
        <w:t xml:space="preserve"> </w:t>
      </w:r>
      <w:r>
        <w:t>comparison has to be made."</w:t>
      </w:r>
      <w:hyperlink w:anchor="_bookmark389" w:history="1">
        <w:r>
          <w:rPr>
            <w:vertAlign w:val="superscript"/>
          </w:rPr>
          <w:t>313</w:t>
        </w:r>
      </w:hyperlink>
      <w:r>
        <w:rPr>
          <w:spacing w:val="-11"/>
        </w:rPr>
        <w:t xml:space="preserve"> </w:t>
      </w:r>
      <w:r>
        <w:t xml:space="preserve">It referenced the Appellate Body's view that a lack of cooperation may lead to a "less </w:t>
      </w:r>
      <w:proofErr w:type="spellStart"/>
      <w:r>
        <w:t>favourable</w:t>
      </w:r>
      <w:proofErr w:type="spellEnd"/>
      <w:r>
        <w:t>" result</w:t>
      </w:r>
      <w:hyperlink w:anchor="_bookmark390" w:history="1">
        <w:r>
          <w:rPr>
            <w:vertAlign w:val="superscript"/>
          </w:rPr>
          <w:t>314</w:t>
        </w:r>
      </w:hyperlink>
      <w:r>
        <w:t xml:space="preserve"> and </w:t>
      </w:r>
      <w:proofErr w:type="spellStart"/>
      <w:r>
        <w:t>emphasised</w:t>
      </w:r>
      <w:proofErr w:type="spellEnd"/>
      <w:r>
        <w:t xml:space="preserve"> that "a failure to provide certain information may have ramifications beyond the category into which</w:t>
      </w:r>
      <w:r>
        <w:rPr>
          <w:spacing w:val="-4"/>
        </w:rPr>
        <w:t xml:space="preserve"> </w:t>
      </w:r>
      <w:r>
        <w:t>it falls."</w:t>
      </w:r>
      <w:hyperlink w:anchor="_bookmark391" w:history="1">
        <w:r>
          <w:rPr>
            <w:vertAlign w:val="superscript"/>
          </w:rPr>
          <w:t>315</w:t>
        </w:r>
      </w:hyperlink>
      <w:r>
        <w:t xml:space="preserve"> China did not clearly articulate what it considers that to mean in the context of its actual investigation. It appears that China incorrectly considers Article 2.4 to be a mechanism for effectively punishing exporters deemed to be insufficiently cooperative.</w:t>
      </w:r>
      <w:hyperlink w:anchor="_bookmark392" w:history="1">
        <w:r>
          <w:rPr>
            <w:vertAlign w:val="superscript"/>
          </w:rPr>
          <w:t>316</w:t>
        </w:r>
      </w:hyperlink>
    </w:p>
    <w:p w14:paraId="37E99CC8" w14:textId="77777777" w:rsidR="00BD462C" w:rsidRDefault="00BD462C">
      <w:pPr>
        <w:pStyle w:val="BodyText"/>
        <w:spacing w:before="2"/>
        <w:rPr>
          <w:sz w:val="8"/>
        </w:rPr>
      </w:pPr>
    </w:p>
    <w:p w14:paraId="18307475" w14:textId="7A468840" w:rsidR="00BD462C" w:rsidRDefault="00033D0F" w:rsidP="0076321F">
      <w:pPr>
        <w:pStyle w:val="BodyText"/>
        <w:numPr>
          <w:ilvl w:val="0"/>
          <w:numId w:val="69"/>
        </w:numPr>
        <w:spacing w:before="56" w:line="360" w:lineRule="auto"/>
        <w:ind w:right="913" w:hanging="638"/>
        <w:jc w:val="both"/>
      </w:pPr>
      <w:r>
        <w:rPr>
          <w:position w:val="1"/>
        </w:rPr>
        <w:t xml:space="preserve">Having deprived Treasury Wines of information about its calculations and </w:t>
      </w:r>
      <w:r>
        <w:t>methodologies, and thereby prevented it from requesting other relevant adjustments, MOFCOM</w:t>
      </w:r>
      <w:r>
        <w:rPr>
          <w:spacing w:val="-2"/>
        </w:rPr>
        <w:t xml:space="preserve"> </w:t>
      </w:r>
      <w:r>
        <w:t>apparently</w:t>
      </w:r>
      <w:r>
        <w:rPr>
          <w:spacing w:val="-1"/>
        </w:rPr>
        <w:t xml:space="preserve"> </w:t>
      </w:r>
      <w:r>
        <w:t>perceived</w:t>
      </w:r>
      <w:r>
        <w:rPr>
          <w:spacing w:val="-4"/>
        </w:rPr>
        <w:t xml:space="preserve"> </w:t>
      </w:r>
      <w:r>
        <w:t>no</w:t>
      </w:r>
      <w:r>
        <w:rPr>
          <w:spacing w:val="-5"/>
        </w:rPr>
        <w:t xml:space="preserve"> </w:t>
      </w:r>
      <w:r>
        <w:t>obligation</w:t>
      </w:r>
      <w:r>
        <w:rPr>
          <w:spacing w:val="-4"/>
        </w:rPr>
        <w:t xml:space="preserve"> </w:t>
      </w:r>
      <w:r>
        <w:t>to</w:t>
      </w:r>
      <w:r>
        <w:rPr>
          <w:spacing w:val="-5"/>
        </w:rPr>
        <w:t xml:space="preserve"> </w:t>
      </w:r>
      <w:r>
        <w:t>make</w:t>
      </w:r>
      <w:r>
        <w:rPr>
          <w:spacing w:val="-2"/>
        </w:rPr>
        <w:t xml:space="preserve"> </w:t>
      </w:r>
      <w:r>
        <w:t>any</w:t>
      </w:r>
      <w:r>
        <w:rPr>
          <w:spacing w:val="-1"/>
        </w:rPr>
        <w:t xml:space="preserve"> </w:t>
      </w:r>
      <w:r>
        <w:t>other</w:t>
      </w:r>
      <w:r>
        <w:rPr>
          <w:spacing w:val="-5"/>
        </w:rPr>
        <w:t xml:space="preserve"> </w:t>
      </w:r>
      <w:r>
        <w:t>adjustments</w:t>
      </w:r>
      <w:r>
        <w:rPr>
          <w:spacing w:val="-1"/>
        </w:rPr>
        <w:t xml:space="preserve"> </w:t>
      </w:r>
      <w:r>
        <w:t>to</w:t>
      </w:r>
      <w:r>
        <w:rPr>
          <w:spacing w:val="-5"/>
        </w:rPr>
        <w:t xml:space="preserve"> </w:t>
      </w:r>
      <w:r>
        <w:t>ensure</w:t>
      </w:r>
      <w:r>
        <w:rPr>
          <w:spacing w:val="-2"/>
        </w:rPr>
        <w:t xml:space="preserve"> </w:t>
      </w:r>
      <w:r>
        <w:t>a</w:t>
      </w:r>
      <w:r>
        <w:rPr>
          <w:spacing w:val="-3"/>
        </w:rPr>
        <w:t xml:space="preserve"> </w:t>
      </w:r>
      <w:r>
        <w:t>fair comparison in accordance with Article 2.4.</w:t>
      </w:r>
    </w:p>
    <w:p w14:paraId="15F07124" w14:textId="77777777" w:rsidR="00BD462C" w:rsidRDefault="00BD462C">
      <w:pPr>
        <w:pStyle w:val="BodyText"/>
        <w:spacing w:before="9"/>
        <w:rPr>
          <w:sz w:val="8"/>
        </w:rPr>
      </w:pPr>
    </w:p>
    <w:p w14:paraId="4431343D" w14:textId="35F73A2B" w:rsidR="00BD462C" w:rsidRDefault="00033D0F" w:rsidP="00CA5625">
      <w:pPr>
        <w:pStyle w:val="BodyText"/>
        <w:numPr>
          <w:ilvl w:val="0"/>
          <w:numId w:val="69"/>
        </w:numPr>
        <w:spacing w:before="56" w:line="360" w:lineRule="auto"/>
        <w:ind w:right="917" w:hanging="638"/>
      </w:pPr>
      <w:r>
        <w:rPr>
          <w:position w:val="1"/>
        </w:rPr>
        <w:t>In</w:t>
      </w:r>
      <w:r>
        <w:rPr>
          <w:spacing w:val="-4"/>
          <w:position w:val="1"/>
        </w:rPr>
        <w:t xml:space="preserve"> </w:t>
      </w:r>
      <w:r>
        <w:rPr>
          <w:position w:val="1"/>
        </w:rPr>
        <w:t>its</w:t>
      </w:r>
      <w:r>
        <w:rPr>
          <w:spacing w:val="-1"/>
          <w:position w:val="1"/>
        </w:rPr>
        <w:t xml:space="preserve"> </w:t>
      </w:r>
      <w:r>
        <w:rPr>
          <w:position w:val="1"/>
        </w:rPr>
        <w:t>first</w:t>
      </w:r>
      <w:r>
        <w:rPr>
          <w:spacing w:val="-2"/>
          <w:position w:val="1"/>
        </w:rPr>
        <w:t xml:space="preserve"> </w:t>
      </w:r>
      <w:r>
        <w:rPr>
          <w:position w:val="1"/>
        </w:rPr>
        <w:t>written</w:t>
      </w:r>
      <w:r>
        <w:rPr>
          <w:spacing w:val="-4"/>
          <w:position w:val="1"/>
        </w:rPr>
        <w:t xml:space="preserve"> </w:t>
      </w:r>
      <w:r>
        <w:rPr>
          <w:position w:val="1"/>
        </w:rPr>
        <w:t>submission,</w:t>
      </w:r>
      <w:r>
        <w:rPr>
          <w:spacing w:val="-1"/>
          <w:position w:val="1"/>
        </w:rPr>
        <w:t xml:space="preserve"> </w:t>
      </w:r>
      <w:r>
        <w:rPr>
          <w:position w:val="1"/>
        </w:rPr>
        <w:t>China</w:t>
      </w:r>
      <w:r>
        <w:rPr>
          <w:spacing w:val="-3"/>
          <w:position w:val="1"/>
        </w:rPr>
        <w:t xml:space="preserve"> </w:t>
      </w:r>
      <w:r>
        <w:rPr>
          <w:position w:val="1"/>
        </w:rPr>
        <w:t>stated</w:t>
      </w:r>
      <w:r>
        <w:rPr>
          <w:spacing w:val="-4"/>
          <w:position w:val="1"/>
        </w:rPr>
        <w:t xml:space="preserve"> </w:t>
      </w:r>
      <w:r>
        <w:rPr>
          <w:position w:val="1"/>
        </w:rPr>
        <w:t>that</w:t>
      </w:r>
      <w:r>
        <w:rPr>
          <w:spacing w:val="-2"/>
          <w:position w:val="1"/>
        </w:rPr>
        <w:t xml:space="preserve"> </w:t>
      </w:r>
      <w:r>
        <w:rPr>
          <w:position w:val="1"/>
        </w:rPr>
        <w:t>"[g]</w:t>
      </w:r>
      <w:proofErr w:type="spellStart"/>
      <w:r>
        <w:rPr>
          <w:position w:val="1"/>
        </w:rPr>
        <w:t>iven</w:t>
      </w:r>
      <w:proofErr w:type="spellEnd"/>
      <w:r>
        <w:rPr>
          <w:spacing w:val="-4"/>
          <w:position w:val="1"/>
        </w:rPr>
        <w:t xml:space="preserve"> </w:t>
      </w:r>
      <w:r>
        <w:rPr>
          <w:position w:val="1"/>
        </w:rPr>
        <w:t>that</w:t>
      </w:r>
      <w:r>
        <w:rPr>
          <w:spacing w:val="-2"/>
          <w:position w:val="1"/>
        </w:rPr>
        <w:t xml:space="preserve"> </w:t>
      </w:r>
      <w:r>
        <w:rPr>
          <w:position w:val="1"/>
        </w:rPr>
        <w:t>neither</w:t>
      </w:r>
      <w:r>
        <w:rPr>
          <w:spacing w:val="-5"/>
          <w:position w:val="1"/>
        </w:rPr>
        <w:t xml:space="preserve"> </w:t>
      </w:r>
      <w:r>
        <w:rPr>
          <w:position w:val="1"/>
        </w:rPr>
        <w:t>Treasury</w:t>
      </w:r>
      <w:r>
        <w:rPr>
          <w:spacing w:val="-1"/>
          <w:position w:val="1"/>
        </w:rPr>
        <w:t xml:space="preserve"> </w:t>
      </w:r>
      <w:r>
        <w:rPr>
          <w:position w:val="1"/>
        </w:rPr>
        <w:t xml:space="preserve">Wines </w:t>
      </w:r>
      <w:r>
        <w:t>nor Casella Wines ever requested an adjustment for differences in quality, China considers that there was no obligation on MOFCOM under the third sentence of</w:t>
      </w:r>
      <w:r>
        <w:rPr>
          <w:spacing w:val="39"/>
        </w:rPr>
        <w:t xml:space="preserve"> </w:t>
      </w:r>
      <w:r>
        <w:t>Article 2.4 of the</w:t>
      </w:r>
      <w:r w:rsidR="00CA5625">
        <w:rPr>
          <w:spacing w:val="80"/>
        </w:rPr>
        <w:t xml:space="preserve"> </w:t>
      </w:r>
      <w:r>
        <w:t>Anti-Dumping Agreement to make an adjustment for differences in quality."</w:t>
      </w:r>
      <w:hyperlink w:anchor="_bookmark393" w:history="1">
        <w:r>
          <w:rPr>
            <w:vertAlign w:val="superscript"/>
          </w:rPr>
          <w:t>317</w:t>
        </w:r>
      </w:hyperlink>
    </w:p>
    <w:p w14:paraId="2EADF0E9" w14:textId="77777777" w:rsidR="00BD462C" w:rsidRDefault="00BD462C">
      <w:pPr>
        <w:pStyle w:val="BodyText"/>
        <w:spacing w:before="4"/>
        <w:rPr>
          <w:sz w:val="8"/>
        </w:rPr>
      </w:pPr>
    </w:p>
    <w:p w14:paraId="61FFF1EF" w14:textId="1A5D359A" w:rsidR="00BD462C" w:rsidRDefault="00033D0F" w:rsidP="0076321F">
      <w:pPr>
        <w:pStyle w:val="BodyText"/>
        <w:numPr>
          <w:ilvl w:val="0"/>
          <w:numId w:val="69"/>
        </w:numPr>
        <w:spacing w:before="56" w:line="360" w:lineRule="auto"/>
        <w:ind w:right="915" w:hanging="638"/>
        <w:jc w:val="both"/>
      </w:pPr>
      <w:bookmarkStart w:id="448" w:name="_bookmark388"/>
      <w:bookmarkEnd w:id="448"/>
      <w:r>
        <w:rPr>
          <w:position w:val="1"/>
        </w:rPr>
        <w:t>This</w:t>
      </w:r>
      <w:r>
        <w:rPr>
          <w:spacing w:val="-1"/>
          <w:position w:val="1"/>
        </w:rPr>
        <w:t xml:space="preserve"> </w:t>
      </w:r>
      <w:r>
        <w:rPr>
          <w:position w:val="1"/>
        </w:rPr>
        <w:t>gives</w:t>
      </w:r>
      <w:r>
        <w:rPr>
          <w:spacing w:val="-1"/>
          <w:position w:val="1"/>
        </w:rPr>
        <w:t xml:space="preserve"> </w:t>
      </w:r>
      <w:r>
        <w:rPr>
          <w:position w:val="1"/>
        </w:rPr>
        <w:t>effect</w:t>
      </w:r>
      <w:r>
        <w:rPr>
          <w:spacing w:val="-2"/>
          <w:position w:val="1"/>
        </w:rPr>
        <w:t xml:space="preserve"> </w:t>
      </w:r>
      <w:r>
        <w:rPr>
          <w:position w:val="1"/>
        </w:rPr>
        <w:t>to</w:t>
      </w:r>
      <w:r>
        <w:rPr>
          <w:spacing w:val="-5"/>
          <w:position w:val="1"/>
        </w:rPr>
        <w:t xml:space="preserve"> </w:t>
      </w:r>
      <w:r>
        <w:rPr>
          <w:position w:val="1"/>
        </w:rPr>
        <w:t>China's</w:t>
      </w:r>
      <w:r>
        <w:rPr>
          <w:spacing w:val="-1"/>
          <w:position w:val="1"/>
        </w:rPr>
        <w:t xml:space="preserve"> </w:t>
      </w:r>
      <w:r>
        <w:rPr>
          <w:position w:val="1"/>
        </w:rPr>
        <w:t>assertion</w:t>
      </w:r>
      <w:r>
        <w:rPr>
          <w:spacing w:val="-4"/>
          <w:position w:val="1"/>
        </w:rPr>
        <w:t xml:space="preserve"> </w:t>
      </w:r>
      <w:r>
        <w:rPr>
          <w:position w:val="1"/>
        </w:rPr>
        <w:t>that</w:t>
      </w:r>
      <w:r>
        <w:rPr>
          <w:spacing w:val="-2"/>
          <w:position w:val="1"/>
        </w:rPr>
        <w:t xml:space="preserve"> </w:t>
      </w:r>
      <w:r>
        <w:rPr>
          <w:position w:val="1"/>
        </w:rPr>
        <w:t>"if</w:t>
      </w:r>
      <w:r>
        <w:rPr>
          <w:spacing w:val="-4"/>
          <w:position w:val="1"/>
        </w:rPr>
        <w:t xml:space="preserve"> </w:t>
      </w:r>
      <w:r>
        <w:rPr>
          <w:position w:val="1"/>
        </w:rPr>
        <w:t>it</w:t>
      </w:r>
      <w:r>
        <w:rPr>
          <w:spacing w:val="-7"/>
          <w:position w:val="1"/>
        </w:rPr>
        <w:t xml:space="preserve"> </w:t>
      </w:r>
      <w:r>
        <w:rPr>
          <w:position w:val="1"/>
        </w:rPr>
        <w:t>is</w:t>
      </w:r>
      <w:r>
        <w:rPr>
          <w:spacing w:val="-1"/>
          <w:position w:val="1"/>
        </w:rPr>
        <w:t xml:space="preserve"> </w:t>
      </w:r>
      <w:r>
        <w:rPr>
          <w:position w:val="1"/>
        </w:rPr>
        <w:t>not</w:t>
      </w:r>
      <w:r>
        <w:rPr>
          <w:spacing w:val="-2"/>
          <w:position w:val="1"/>
        </w:rPr>
        <w:t xml:space="preserve"> </w:t>
      </w:r>
      <w:r>
        <w:rPr>
          <w:position w:val="1"/>
        </w:rPr>
        <w:t>demonstrated</w:t>
      </w:r>
      <w:r>
        <w:rPr>
          <w:spacing w:val="-4"/>
          <w:position w:val="1"/>
        </w:rPr>
        <w:t xml:space="preserve"> </w:t>
      </w:r>
      <w:r>
        <w:rPr>
          <w:position w:val="1"/>
        </w:rPr>
        <w:t>to</w:t>
      </w:r>
      <w:r>
        <w:rPr>
          <w:spacing w:val="-5"/>
          <w:position w:val="1"/>
        </w:rPr>
        <w:t xml:space="preserve"> </w:t>
      </w:r>
      <w:r>
        <w:rPr>
          <w:position w:val="1"/>
        </w:rPr>
        <w:t>the</w:t>
      </w:r>
      <w:r>
        <w:rPr>
          <w:spacing w:val="-2"/>
          <w:position w:val="1"/>
        </w:rPr>
        <w:t xml:space="preserve"> </w:t>
      </w:r>
      <w:r>
        <w:rPr>
          <w:position w:val="1"/>
        </w:rPr>
        <w:t xml:space="preserve">authorities </w:t>
      </w:r>
      <w:r>
        <w:t>that</w:t>
      </w:r>
      <w:r>
        <w:rPr>
          <w:spacing w:val="-4"/>
        </w:rPr>
        <w:t xml:space="preserve"> </w:t>
      </w:r>
      <w:r>
        <w:t>there</w:t>
      </w:r>
      <w:r>
        <w:rPr>
          <w:spacing w:val="-4"/>
        </w:rPr>
        <w:t xml:space="preserve"> </w:t>
      </w:r>
      <w:r>
        <w:t>is</w:t>
      </w:r>
      <w:r>
        <w:rPr>
          <w:spacing w:val="-3"/>
        </w:rPr>
        <w:t xml:space="preserve"> </w:t>
      </w:r>
      <w:r>
        <w:t>a</w:t>
      </w:r>
      <w:r>
        <w:rPr>
          <w:spacing w:val="-5"/>
        </w:rPr>
        <w:t xml:space="preserve"> </w:t>
      </w:r>
      <w:r>
        <w:t>difference</w:t>
      </w:r>
      <w:r>
        <w:rPr>
          <w:spacing w:val="-4"/>
        </w:rPr>
        <w:t xml:space="preserve"> </w:t>
      </w:r>
      <w:r>
        <w:t>affecting</w:t>
      </w:r>
      <w:r>
        <w:rPr>
          <w:spacing w:val="-3"/>
        </w:rPr>
        <w:t xml:space="preserve"> </w:t>
      </w:r>
      <w:r>
        <w:t>price</w:t>
      </w:r>
      <w:r>
        <w:rPr>
          <w:spacing w:val="-4"/>
        </w:rPr>
        <w:t xml:space="preserve"> </w:t>
      </w:r>
      <w:r>
        <w:t>comparability,</w:t>
      </w:r>
      <w:r>
        <w:rPr>
          <w:spacing w:val="-2"/>
        </w:rPr>
        <w:t xml:space="preserve"> </w:t>
      </w:r>
      <w:r>
        <w:t>then</w:t>
      </w:r>
      <w:r>
        <w:rPr>
          <w:spacing w:val="-6"/>
        </w:rPr>
        <w:t xml:space="preserve"> </w:t>
      </w:r>
      <w:r>
        <w:t>there</w:t>
      </w:r>
      <w:r>
        <w:rPr>
          <w:spacing w:val="-4"/>
        </w:rPr>
        <w:t xml:space="preserve"> </w:t>
      </w:r>
      <w:r>
        <w:t>is</w:t>
      </w:r>
      <w:r>
        <w:rPr>
          <w:spacing w:val="-3"/>
        </w:rPr>
        <w:t xml:space="preserve"> </w:t>
      </w:r>
      <w:r>
        <w:t>no</w:t>
      </w:r>
      <w:r>
        <w:rPr>
          <w:spacing w:val="-7"/>
        </w:rPr>
        <w:t xml:space="preserve"> </w:t>
      </w:r>
      <w:r>
        <w:t>obligation</w:t>
      </w:r>
      <w:r>
        <w:rPr>
          <w:spacing w:val="-6"/>
        </w:rPr>
        <w:t xml:space="preserve"> </w:t>
      </w:r>
      <w:r>
        <w:t>to</w:t>
      </w:r>
      <w:r>
        <w:rPr>
          <w:spacing w:val="-7"/>
        </w:rPr>
        <w:t xml:space="preserve"> </w:t>
      </w:r>
      <w:r>
        <w:t>make</w:t>
      </w:r>
      <w:r>
        <w:rPr>
          <w:spacing w:val="-4"/>
        </w:rPr>
        <w:t xml:space="preserve"> </w:t>
      </w:r>
      <w:r>
        <w:t>an adjustment".</w:t>
      </w:r>
      <w:hyperlink w:anchor="_bookmark394" w:history="1">
        <w:r>
          <w:rPr>
            <w:vertAlign w:val="superscript"/>
          </w:rPr>
          <w:t>318</w:t>
        </w:r>
      </w:hyperlink>
      <w:r>
        <w:t xml:space="preserve"> China considered that MOFCOM was under no obligation to "take steps to achieve</w:t>
      </w:r>
      <w:r>
        <w:rPr>
          <w:spacing w:val="-3"/>
        </w:rPr>
        <w:t xml:space="preserve"> </w:t>
      </w:r>
      <w:r>
        <w:t>clarity</w:t>
      </w:r>
      <w:r>
        <w:rPr>
          <w:spacing w:val="-2"/>
        </w:rPr>
        <w:t xml:space="preserve"> </w:t>
      </w:r>
      <w:r>
        <w:t>as</w:t>
      </w:r>
      <w:r>
        <w:rPr>
          <w:spacing w:val="-6"/>
        </w:rPr>
        <w:t xml:space="preserve"> </w:t>
      </w:r>
      <w:r>
        <w:t>to</w:t>
      </w:r>
      <w:r>
        <w:rPr>
          <w:spacing w:val="-6"/>
        </w:rPr>
        <w:t xml:space="preserve"> </w:t>
      </w:r>
      <w:r>
        <w:t>the</w:t>
      </w:r>
      <w:r>
        <w:rPr>
          <w:spacing w:val="-3"/>
        </w:rPr>
        <w:t xml:space="preserve"> </w:t>
      </w:r>
      <w:r>
        <w:t>adjustment</w:t>
      </w:r>
      <w:r>
        <w:rPr>
          <w:spacing w:val="-3"/>
        </w:rPr>
        <w:t xml:space="preserve"> </w:t>
      </w:r>
      <w:r>
        <w:t>claimed</w:t>
      </w:r>
      <w:r>
        <w:rPr>
          <w:spacing w:val="-5"/>
        </w:rPr>
        <w:t xml:space="preserve"> </w:t>
      </w:r>
      <w:r>
        <w:t>and</w:t>
      </w:r>
      <w:r>
        <w:rPr>
          <w:spacing w:val="-5"/>
        </w:rPr>
        <w:t xml:space="preserve"> </w:t>
      </w:r>
      <w:r>
        <w:t>then</w:t>
      </w:r>
      <w:r>
        <w:rPr>
          <w:spacing w:val="-5"/>
        </w:rPr>
        <w:t xml:space="preserve"> </w:t>
      </w:r>
      <w:r>
        <w:t>determine</w:t>
      </w:r>
      <w:r>
        <w:rPr>
          <w:spacing w:val="-4"/>
        </w:rPr>
        <w:t xml:space="preserve"> </w:t>
      </w:r>
      <w:r>
        <w:t>whether</w:t>
      </w:r>
      <w:r>
        <w:rPr>
          <w:spacing w:val="-6"/>
        </w:rPr>
        <w:t xml:space="preserve"> </w:t>
      </w:r>
      <w:r>
        <w:t>and</w:t>
      </w:r>
      <w:r>
        <w:rPr>
          <w:spacing w:val="-5"/>
        </w:rPr>
        <w:t xml:space="preserve"> </w:t>
      </w:r>
      <w:r>
        <w:t>to</w:t>
      </w:r>
      <w:r>
        <w:rPr>
          <w:spacing w:val="-6"/>
        </w:rPr>
        <w:t xml:space="preserve"> </w:t>
      </w:r>
      <w:r>
        <w:t>what</w:t>
      </w:r>
      <w:r>
        <w:rPr>
          <w:spacing w:val="-3"/>
        </w:rPr>
        <w:t xml:space="preserve"> </w:t>
      </w:r>
      <w:r>
        <w:t>extent that adjustment is merited"</w:t>
      </w:r>
      <w:hyperlink w:anchor="_bookmark395" w:history="1">
        <w:r>
          <w:rPr>
            <w:vertAlign w:val="superscript"/>
          </w:rPr>
          <w:t>319</w:t>
        </w:r>
      </w:hyperlink>
      <w:r>
        <w:t xml:space="preserve"> because "no request was made at all."</w:t>
      </w:r>
      <w:hyperlink w:anchor="_bookmark396" w:history="1">
        <w:r>
          <w:rPr>
            <w:vertAlign w:val="superscript"/>
          </w:rPr>
          <w:t>320</w:t>
        </w:r>
      </w:hyperlink>
    </w:p>
    <w:p w14:paraId="193F3B21" w14:textId="582FEFB7" w:rsidR="00BD462C" w:rsidRDefault="00D70C7D">
      <w:pPr>
        <w:pStyle w:val="BodyText"/>
        <w:spacing w:before="7"/>
        <w:rPr>
          <w:sz w:val="13"/>
        </w:rPr>
      </w:pPr>
      <w:r>
        <w:rPr>
          <w:noProof/>
        </w:rPr>
        <mc:AlternateContent>
          <mc:Choice Requires="wps">
            <w:drawing>
              <wp:anchor distT="0" distB="0" distL="0" distR="0" simplePos="0" relativeHeight="487688192" behindDoc="1" locked="0" layoutInCell="1" allowOverlap="1" wp14:anchorId="78A5A0EB" wp14:editId="07F9CB55">
                <wp:simplePos x="0" y="0"/>
                <wp:positionH relativeFrom="page">
                  <wp:posOffset>899160</wp:posOffset>
                </wp:positionH>
                <wp:positionV relativeFrom="paragraph">
                  <wp:posOffset>120650</wp:posOffset>
                </wp:positionV>
                <wp:extent cx="1828800" cy="8890"/>
                <wp:effectExtent l="0" t="0" r="0" b="0"/>
                <wp:wrapTopAndBottom/>
                <wp:docPr id="1000" name="docshape2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E770CF" id="docshape216" o:spid="_x0000_s1026" alt="&quot;&quot;" style="position:absolute;margin-left:70.8pt;margin-top:9.5pt;width:2in;height:.7pt;z-index:-15628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" fillcolor="black" stroked="f">
                <w10:wrap type="topAndBottom" anchorx="page"/>
              </v:rect>
            </w:pict>
          </mc:Fallback>
        </mc:AlternateContent>
      </w:r>
    </w:p>
    <w:p w14:paraId="29CC318A" w14:textId="77777777" w:rsidR="00BD462C" w:rsidRDefault="00033D0F">
      <w:pPr>
        <w:spacing w:before="112"/>
        <w:ind w:left="135"/>
        <w:rPr>
          <w:sz w:val="18"/>
        </w:rPr>
      </w:pPr>
      <w:bookmarkStart w:id="449" w:name="_bookmark389"/>
      <w:bookmarkEnd w:id="449"/>
      <w:r>
        <w:rPr>
          <w:position w:val="5"/>
          <w:sz w:val="12"/>
        </w:rPr>
        <w:t>313</w:t>
      </w:r>
      <w:r>
        <w:rPr>
          <w:spacing w:val="13"/>
          <w:position w:val="5"/>
          <w:sz w:val="12"/>
        </w:rPr>
        <w:t xml:space="preserve"> </w:t>
      </w:r>
      <w:r>
        <w:rPr>
          <w:sz w:val="18"/>
        </w:rPr>
        <w:t>China's</w:t>
      </w:r>
      <w:r>
        <w:rPr>
          <w:spacing w:val="-5"/>
          <w:sz w:val="18"/>
        </w:rPr>
        <w:t xml:space="preserve"> </w:t>
      </w:r>
      <w:r>
        <w:rPr>
          <w:sz w:val="18"/>
        </w:rPr>
        <w:t>first</w:t>
      </w:r>
      <w:r>
        <w:rPr>
          <w:spacing w:val="-4"/>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paras.</w:t>
      </w:r>
      <w:r>
        <w:rPr>
          <w:spacing w:val="-4"/>
          <w:sz w:val="18"/>
        </w:rPr>
        <w:t xml:space="preserve"> </w:t>
      </w:r>
      <w:r>
        <w:rPr>
          <w:sz w:val="18"/>
        </w:rPr>
        <w:t>811;</w:t>
      </w:r>
      <w:r>
        <w:rPr>
          <w:spacing w:val="-3"/>
          <w:sz w:val="18"/>
        </w:rPr>
        <w:t xml:space="preserve"> </w:t>
      </w:r>
      <w:r>
        <w:rPr>
          <w:sz w:val="18"/>
        </w:rPr>
        <w:t>and</w:t>
      </w:r>
      <w:r>
        <w:rPr>
          <w:spacing w:val="-1"/>
          <w:sz w:val="18"/>
        </w:rPr>
        <w:t xml:space="preserve"> </w:t>
      </w:r>
      <w:r>
        <w:rPr>
          <w:spacing w:val="-4"/>
          <w:sz w:val="18"/>
        </w:rPr>
        <w:t>853.</w:t>
      </w:r>
    </w:p>
    <w:p w14:paraId="199538BA" w14:textId="77777777" w:rsidR="00BD462C" w:rsidRDefault="00033D0F">
      <w:pPr>
        <w:spacing w:before="1"/>
        <w:ind w:left="135"/>
        <w:rPr>
          <w:sz w:val="18"/>
        </w:rPr>
      </w:pPr>
      <w:bookmarkStart w:id="450" w:name="_bookmark390"/>
      <w:bookmarkEnd w:id="450"/>
      <w:r>
        <w:rPr>
          <w:position w:val="5"/>
          <w:sz w:val="12"/>
        </w:rPr>
        <w:t>314</w:t>
      </w:r>
      <w:r>
        <w:rPr>
          <w:spacing w:val="15"/>
          <w:position w:val="5"/>
          <w:sz w:val="12"/>
        </w:rPr>
        <w:t xml:space="preserve"> </w:t>
      </w:r>
      <w:r>
        <w:rPr>
          <w:sz w:val="18"/>
        </w:rPr>
        <w:t>Appellate</w:t>
      </w:r>
      <w:r>
        <w:rPr>
          <w:spacing w:val="-9"/>
          <w:sz w:val="18"/>
        </w:rPr>
        <w:t xml:space="preserve"> </w:t>
      </w:r>
      <w:r>
        <w:rPr>
          <w:sz w:val="18"/>
        </w:rPr>
        <w:t>Body</w:t>
      </w:r>
      <w:r>
        <w:rPr>
          <w:spacing w:val="-5"/>
          <w:sz w:val="18"/>
        </w:rPr>
        <w:t xml:space="preserve"> </w:t>
      </w:r>
      <w:r>
        <w:rPr>
          <w:sz w:val="18"/>
        </w:rPr>
        <w:t>Report,</w:t>
      </w:r>
      <w:r>
        <w:rPr>
          <w:spacing w:val="-2"/>
          <w:sz w:val="18"/>
        </w:rPr>
        <w:t xml:space="preserve"> </w:t>
      </w:r>
      <w:r>
        <w:rPr>
          <w:i/>
          <w:sz w:val="18"/>
        </w:rPr>
        <w:t>US</w:t>
      </w:r>
      <w:r>
        <w:rPr>
          <w:i/>
          <w:spacing w:val="-1"/>
          <w:sz w:val="18"/>
        </w:rPr>
        <w:t xml:space="preserve"> </w:t>
      </w:r>
      <w:r>
        <w:rPr>
          <w:i/>
          <w:sz w:val="18"/>
        </w:rPr>
        <w:t>–</w:t>
      </w:r>
      <w:r>
        <w:rPr>
          <w:i/>
          <w:spacing w:val="-9"/>
          <w:sz w:val="18"/>
        </w:rPr>
        <w:t xml:space="preserve"> </w:t>
      </w:r>
      <w:r>
        <w:rPr>
          <w:i/>
          <w:sz w:val="18"/>
        </w:rPr>
        <w:t>Hot-Rolled</w:t>
      </w:r>
      <w:r>
        <w:rPr>
          <w:i/>
          <w:spacing w:val="-1"/>
          <w:sz w:val="18"/>
        </w:rPr>
        <w:t xml:space="preserve"> </w:t>
      </w:r>
      <w:r>
        <w:rPr>
          <w:i/>
          <w:sz w:val="18"/>
        </w:rPr>
        <w:t>Steel</w:t>
      </w:r>
      <w:r>
        <w:rPr>
          <w:sz w:val="18"/>
        </w:rPr>
        <w:t>,</w:t>
      </w:r>
      <w:r>
        <w:rPr>
          <w:spacing w:val="3"/>
          <w:sz w:val="18"/>
        </w:rPr>
        <w:t xml:space="preserve"> </w:t>
      </w:r>
      <w:r>
        <w:rPr>
          <w:sz w:val="18"/>
        </w:rPr>
        <w:t>para.</w:t>
      </w:r>
      <w:r>
        <w:rPr>
          <w:spacing w:val="-3"/>
          <w:sz w:val="18"/>
        </w:rPr>
        <w:t xml:space="preserve"> </w:t>
      </w:r>
      <w:r>
        <w:rPr>
          <w:spacing w:val="-5"/>
          <w:sz w:val="18"/>
        </w:rPr>
        <w:t>99.</w:t>
      </w:r>
    </w:p>
    <w:p w14:paraId="0CADF6E3" w14:textId="77777777" w:rsidR="00BD462C" w:rsidRDefault="00033D0F">
      <w:pPr>
        <w:spacing w:before="1"/>
        <w:ind w:left="135"/>
        <w:rPr>
          <w:sz w:val="18"/>
        </w:rPr>
      </w:pPr>
      <w:bookmarkStart w:id="451" w:name="_bookmark391"/>
      <w:bookmarkEnd w:id="451"/>
      <w:r>
        <w:rPr>
          <w:position w:val="5"/>
          <w:sz w:val="12"/>
        </w:rPr>
        <w:t>315</w:t>
      </w:r>
      <w:r>
        <w:rPr>
          <w:spacing w:val="15"/>
          <w:position w:val="5"/>
          <w:sz w:val="12"/>
        </w:rPr>
        <w:t xml:space="preserve"> </w:t>
      </w:r>
      <w:r>
        <w:rPr>
          <w:sz w:val="18"/>
        </w:rPr>
        <w:t>Panel</w:t>
      </w:r>
      <w:r>
        <w:rPr>
          <w:spacing w:val="-3"/>
          <w:sz w:val="18"/>
        </w:rPr>
        <w:t xml:space="preserve"> </w:t>
      </w:r>
      <w:r>
        <w:rPr>
          <w:sz w:val="18"/>
        </w:rPr>
        <w:t>Report,</w:t>
      </w:r>
      <w:r>
        <w:rPr>
          <w:spacing w:val="-2"/>
          <w:sz w:val="18"/>
        </w:rPr>
        <w:t xml:space="preserve"> </w:t>
      </w:r>
      <w:r>
        <w:rPr>
          <w:i/>
          <w:sz w:val="18"/>
        </w:rPr>
        <w:t>US</w:t>
      </w:r>
      <w:r>
        <w:rPr>
          <w:i/>
          <w:spacing w:val="-5"/>
          <w:sz w:val="18"/>
        </w:rPr>
        <w:t xml:space="preserve"> </w:t>
      </w:r>
      <w:r>
        <w:rPr>
          <w:i/>
          <w:sz w:val="18"/>
        </w:rPr>
        <w:t>– Steel</w:t>
      </w:r>
      <w:r>
        <w:rPr>
          <w:i/>
          <w:spacing w:val="-2"/>
          <w:sz w:val="18"/>
        </w:rPr>
        <w:t xml:space="preserve"> </w:t>
      </w:r>
      <w:r>
        <w:rPr>
          <w:i/>
          <w:sz w:val="18"/>
        </w:rPr>
        <w:t>Plate</w:t>
      </w:r>
      <w:r>
        <w:rPr>
          <w:sz w:val="18"/>
        </w:rPr>
        <w:t>,</w:t>
      </w:r>
      <w:r>
        <w:rPr>
          <w:spacing w:val="-2"/>
          <w:sz w:val="18"/>
        </w:rPr>
        <w:t xml:space="preserve"> </w:t>
      </w:r>
      <w:r>
        <w:rPr>
          <w:sz w:val="18"/>
        </w:rPr>
        <w:t>para.</w:t>
      </w:r>
      <w:r>
        <w:rPr>
          <w:spacing w:val="-3"/>
          <w:sz w:val="18"/>
        </w:rPr>
        <w:t xml:space="preserve"> </w:t>
      </w:r>
      <w:r>
        <w:rPr>
          <w:spacing w:val="-4"/>
          <w:sz w:val="18"/>
        </w:rPr>
        <w:t>7.60.</w:t>
      </w:r>
    </w:p>
    <w:p w14:paraId="08E5289A" w14:textId="77777777" w:rsidR="00BD462C" w:rsidRDefault="00033D0F">
      <w:pPr>
        <w:spacing w:before="1" w:line="218" w:lineRule="exact"/>
        <w:ind w:left="135"/>
        <w:rPr>
          <w:sz w:val="18"/>
        </w:rPr>
      </w:pPr>
      <w:bookmarkStart w:id="452" w:name="_bookmark392"/>
      <w:bookmarkEnd w:id="452"/>
      <w:r>
        <w:rPr>
          <w:position w:val="5"/>
          <w:sz w:val="12"/>
        </w:rPr>
        <w:t>316</w:t>
      </w:r>
      <w:r>
        <w:rPr>
          <w:spacing w:val="13"/>
          <w:position w:val="5"/>
          <w:sz w:val="12"/>
        </w:rPr>
        <w:t xml:space="preserve"> </w:t>
      </w:r>
      <w:r>
        <w:rPr>
          <w:sz w:val="18"/>
        </w:rPr>
        <w:t>See</w:t>
      </w:r>
      <w:r>
        <w:rPr>
          <w:spacing w:val="-5"/>
          <w:sz w:val="18"/>
        </w:rPr>
        <w:t xml:space="preserve"> </w:t>
      </w:r>
      <w:r>
        <w:rPr>
          <w:sz w:val="18"/>
        </w:rPr>
        <w:t>paras.</w:t>
      </w:r>
      <w:r>
        <w:rPr>
          <w:spacing w:val="1"/>
          <w:sz w:val="18"/>
        </w:rPr>
        <w:t xml:space="preserve"> </w:t>
      </w:r>
      <w:hyperlink w:anchor="_bookmark167" w:history="1">
        <w:r>
          <w:rPr>
            <w:sz w:val="18"/>
          </w:rPr>
          <w:t>91</w:t>
        </w:r>
      </w:hyperlink>
      <w:hyperlink w:anchor="_bookmark238" w:history="1">
        <w:r>
          <w:rPr>
            <w:sz w:val="18"/>
          </w:rPr>
          <w:t>-</w:t>
        </w:r>
        <w:r>
          <w:rPr>
            <w:spacing w:val="-4"/>
            <w:sz w:val="18"/>
          </w:rPr>
          <w:t>121.</w:t>
        </w:r>
      </w:hyperlink>
    </w:p>
    <w:p w14:paraId="5A535005" w14:textId="77777777" w:rsidR="00BD462C" w:rsidRDefault="00033D0F">
      <w:pPr>
        <w:spacing w:line="218" w:lineRule="exact"/>
        <w:ind w:left="135"/>
        <w:rPr>
          <w:sz w:val="18"/>
        </w:rPr>
      </w:pPr>
      <w:bookmarkStart w:id="453" w:name="_bookmark393"/>
      <w:bookmarkEnd w:id="453"/>
      <w:r>
        <w:rPr>
          <w:position w:val="5"/>
          <w:sz w:val="12"/>
        </w:rPr>
        <w:t>317</w:t>
      </w:r>
      <w:r>
        <w:rPr>
          <w:spacing w:val="13"/>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 xml:space="preserve">para. </w:t>
      </w:r>
      <w:r>
        <w:rPr>
          <w:spacing w:val="-4"/>
          <w:sz w:val="18"/>
        </w:rPr>
        <w:t>860.</w:t>
      </w:r>
    </w:p>
    <w:p w14:paraId="4931B2DF" w14:textId="77777777" w:rsidR="00BD462C" w:rsidRDefault="00033D0F">
      <w:pPr>
        <w:spacing w:before="1"/>
        <w:ind w:left="135"/>
        <w:rPr>
          <w:sz w:val="18"/>
        </w:rPr>
      </w:pPr>
      <w:bookmarkStart w:id="454" w:name="_bookmark394"/>
      <w:bookmarkEnd w:id="454"/>
      <w:r>
        <w:rPr>
          <w:position w:val="5"/>
          <w:sz w:val="12"/>
        </w:rPr>
        <w:t>318</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 xml:space="preserve">para. </w:t>
      </w:r>
      <w:r>
        <w:rPr>
          <w:spacing w:val="-5"/>
          <w:sz w:val="18"/>
        </w:rPr>
        <w:t>815</w:t>
      </w:r>
    </w:p>
    <w:p w14:paraId="12A7F3CD" w14:textId="77777777" w:rsidR="00BD462C" w:rsidRDefault="00033D0F">
      <w:pPr>
        <w:spacing w:before="1"/>
        <w:ind w:left="135"/>
        <w:rPr>
          <w:sz w:val="18"/>
        </w:rPr>
      </w:pPr>
      <w:bookmarkStart w:id="455" w:name="_bookmark395"/>
      <w:bookmarkEnd w:id="455"/>
      <w:r>
        <w:rPr>
          <w:position w:val="5"/>
          <w:sz w:val="12"/>
        </w:rPr>
        <w:t>319</w:t>
      </w:r>
      <w:r>
        <w:rPr>
          <w:spacing w:val="14"/>
          <w:position w:val="5"/>
          <w:sz w:val="12"/>
        </w:rPr>
        <w:t xml:space="preserve"> </w:t>
      </w:r>
      <w:r>
        <w:rPr>
          <w:sz w:val="18"/>
        </w:rPr>
        <w:t>Appellate</w:t>
      </w:r>
      <w:r>
        <w:rPr>
          <w:spacing w:val="-8"/>
          <w:sz w:val="18"/>
        </w:rPr>
        <w:t xml:space="preserve"> </w:t>
      </w:r>
      <w:r>
        <w:rPr>
          <w:sz w:val="18"/>
        </w:rPr>
        <w:t>Body</w:t>
      </w:r>
      <w:r>
        <w:rPr>
          <w:spacing w:val="-6"/>
          <w:sz w:val="18"/>
        </w:rPr>
        <w:t xml:space="preserve"> </w:t>
      </w:r>
      <w:r>
        <w:rPr>
          <w:sz w:val="18"/>
        </w:rPr>
        <w:t>Report,</w:t>
      </w:r>
      <w:r>
        <w:rPr>
          <w:spacing w:val="-2"/>
          <w:sz w:val="18"/>
        </w:rPr>
        <w:t xml:space="preserve"> </w:t>
      </w:r>
      <w:r>
        <w:rPr>
          <w:i/>
          <w:sz w:val="18"/>
        </w:rPr>
        <w:t>EC</w:t>
      </w:r>
      <w:r>
        <w:rPr>
          <w:i/>
          <w:spacing w:val="-3"/>
          <w:sz w:val="18"/>
        </w:rPr>
        <w:t xml:space="preserve"> </w:t>
      </w:r>
      <w:r>
        <w:rPr>
          <w:i/>
          <w:sz w:val="18"/>
        </w:rPr>
        <w:t>– Fasteners</w:t>
      </w:r>
      <w:r>
        <w:rPr>
          <w:i/>
          <w:spacing w:val="-4"/>
          <w:sz w:val="18"/>
        </w:rPr>
        <w:t xml:space="preserve"> </w:t>
      </w:r>
      <w:r>
        <w:rPr>
          <w:i/>
          <w:sz w:val="18"/>
        </w:rPr>
        <w:t>(China)</w:t>
      </w:r>
      <w:r>
        <w:rPr>
          <w:sz w:val="18"/>
        </w:rPr>
        <w:t>,</w:t>
      </w:r>
      <w:r>
        <w:rPr>
          <w:spacing w:val="-2"/>
          <w:sz w:val="18"/>
        </w:rPr>
        <w:t xml:space="preserve"> </w:t>
      </w:r>
      <w:r>
        <w:rPr>
          <w:sz w:val="18"/>
        </w:rPr>
        <w:t>para.</w:t>
      </w:r>
      <w:r>
        <w:rPr>
          <w:spacing w:val="2"/>
          <w:sz w:val="18"/>
        </w:rPr>
        <w:t xml:space="preserve"> </w:t>
      </w:r>
      <w:r>
        <w:rPr>
          <w:spacing w:val="-4"/>
          <w:sz w:val="18"/>
        </w:rPr>
        <w:t>488.</w:t>
      </w:r>
    </w:p>
    <w:p w14:paraId="5040AA55" w14:textId="77777777" w:rsidR="00BD462C" w:rsidRDefault="00033D0F">
      <w:pPr>
        <w:spacing w:before="1"/>
        <w:ind w:left="135"/>
        <w:rPr>
          <w:sz w:val="18"/>
        </w:rPr>
      </w:pPr>
      <w:bookmarkStart w:id="456" w:name="_bookmark396"/>
      <w:bookmarkEnd w:id="456"/>
      <w:r>
        <w:rPr>
          <w:position w:val="5"/>
          <w:sz w:val="12"/>
        </w:rPr>
        <w:t>320</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 xml:space="preserve">para. </w:t>
      </w:r>
      <w:r>
        <w:rPr>
          <w:spacing w:val="-5"/>
          <w:sz w:val="18"/>
        </w:rPr>
        <w:t>860</w:t>
      </w:r>
    </w:p>
    <w:p w14:paraId="5BD354D2" w14:textId="77777777" w:rsidR="00BD462C" w:rsidRDefault="00033D0F">
      <w:pPr>
        <w:spacing w:before="1"/>
        <w:ind w:left="135"/>
        <w:rPr>
          <w:sz w:val="18"/>
        </w:rPr>
      </w:pPr>
      <w:bookmarkStart w:id="457" w:name="_bookmark397"/>
      <w:bookmarkEnd w:id="457"/>
      <w:r>
        <w:rPr>
          <w:position w:val="5"/>
          <w:sz w:val="12"/>
        </w:rPr>
        <w:t>321</w:t>
      </w:r>
      <w:r>
        <w:rPr>
          <w:spacing w:val="14"/>
          <w:position w:val="5"/>
          <w:sz w:val="12"/>
        </w:rPr>
        <w:t xml:space="preserve"> </w:t>
      </w:r>
      <w:r>
        <w:rPr>
          <w:sz w:val="18"/>
        </w:rPr>
        <w:t>See</w:t>
      </w:r>
      <w:r>
        <w:rPr>
          <w:spacing w:val="-4"/>
          <w:sz w:val="18"/>
        </w:rPr>
        <w:t xml:space="preserve"> </w:t>
      </w:r>
      <w:r>
        <w:rPr>
          <w:sz w:val="18"/>
        </w:rPr>
        <w:t>paras.</w:t>
      </w:r>
      <w:r>
        <w:rPr>
          <w:spacing w:val="1"/>
          <w:sz w:val="18"/>
        </w:rPr>
        <w:t xml:space="preserve"> </w:t>
      </w:r>
      <w:hyperlink w:anchor="_bookmark176" w:history="1">
        <w:r>
          <w:rPr>
            <w:sz w:val="18"/>
          </w:rPr>
          <w:t>96</w:t>
        </w:r>
      </w:hyperlink>
      <w:hyperlink w:anchor="_bookmark196" w:history="1">
        <w:r>
          <w:rPr>
            <w:sz w:val="18"/>
          </w:rPr>
          <w:t>-</w:t>
        </w:r>
        <w:r>
          <w:rPr>
            <w:spacing w:val="-4"/>
            <w:sz w:val="18"/>
          </w:rPr>
          <w:t>105.</w:t>
        </w:r>
      </w:hyperlink>
    </w:p>
    <w:p w14:paraId="5569E33D" w14:textId="77777777" w:rsidR="00BD462C" w:rsidRDefault="00BD462C">
      <w:pPr>
        <w:rPr>
          <w:sz w:val="18"/>
        </w:rPr>
        <w:sectPr w:rsidR="00BD462C">
          <w:pgSz w:w="11910" w:h="16840"/>
          <w:pgMar w:top="860" w:right="500" w:bottom="780" w:left="1280" w:header="566" w:footer="590" w:gutter="0"/>
          <w:cols w:space="720"/>
        </w:sectPr>
      </w:pPr>
    </w:p>
    <w:p w14:paraId="5A3F8B07"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52C56CA6"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7AE605BA"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6576A036" w14:textId="76EFA2AB" w:rsidR="00BD462C" w:rsidRDefault="00CA5625" w:rsidP="00CA5625">
      <w:pPr>
        <w:pStyle w:val="BodyText"/>
        <w:numPr>
          <w:ilvl w:val="0"/>
          <w:numId w:val="69"/>
        </w:numPr>
        <w:spacing w:before="164" w:line="352" w:lineRule="auto"/>
        <w:ind w:right="916" w:hanging="638"/>
        <w:jc w:val="both"/>
      </w:pPr>
      <w:r>
        <w:rPr>
          <w:position w:val="1"/>
        </w:rPr>
        <w:t>As Australia has demonstrated</w:t>
      </w:r>
      <w:hyperlink w:anchor="_bookmark397" w:history="1">
        <w:r>
          <w:rPr>
            <w:position w:val="1"/>
            <w:vertAlign w:val="superscript"/>
          </w:rPr>
          <w:t>321</w:t>
        </w:r>
      </w:hyperlink>
      <w:r>
        <w:rPr>
          <w:position w:val="1"/>
        </w:rPr>
        <w:t xml:space="preserve">, the sampled companies' obligation to request </w:t>
      </w:r>
      <w:r>
        <w:t>adjustments was dependent upon MOFCOM's obligation to meet its procedural obligations under</w:t>
      </w:r>
      <w:r>
        <w:rPr>
          <w:spacing w:val="34"/>
        </w:rPr>
        <w:t xml:space="preserve"> </w:t>
      </w:r>
      <w:r>
        <w:t>the</w:t>
      </w:r>
      <w:r>
        <w:rPr>
          <w:spacing w:val="32"/>
        </w:rPr>
        <w:t xml:space="preserve"> </w:t>
      </w:r>
      <w:r>
        <w:t>sixth</w:t>
      </w:r>
      <w:r>
        <w:rPr>
          <w:spacing w:val="30"/>
        </w:rPr>
        <w:t xml:space="preserve"> </w:t>
      </w:r>
      <w:r>
        <w:t>sentence</w:t>
      </w:r>
      <w:r>
        <w:rPr>
          <w:spacing w:val="32"/>
        </w:rPr>
        <w:t xml:space="preserve"> </w:t>
      </w:r>
      <w:r>
        <w:t>of</w:t>
      </w:r>
      <w:r>
        <w:rPr>
          <w:spacing w:val="35"/>
        </w:rPr>
        <w:t xml:space="preserve"> </w:t>
      </w:r>
      <w:r>
        <w:t>Article</w:t>
      </w:r>
      <w:r>
        <w:rPr>
          <w:spacing w:val="-1"/>
        </w:rPr>
        <w:t xml:space="preserve"> </w:t>
      </w:r>
      <w:r>
        <w:t xml:space="preserve">2.4. </w:t>
      </w:r>
      <w:r w:rsidR="0076321F">
        <w:t>This</w:t>
      </w:r>
      <w:r w:rsidR="0076321F">
        <w:rPr>
          <w:spacing w:val="34"/>
        </w:rPr>
        <w:t xml:space="preserve"> </w:t>
      </w:r>
      <w:r w:rsidR="0076321F">
        <w:t>constitutes</w:t>
      </w:r>
      <w:r w:rsidR="0076321F">
        <w:rPr>
          <w:spacing w:val="34"/>
        </w:rPr>
        <w:t xml:space="preserve"> </w:t>
      </w:r>
      <w:r w:rsidR="0076321F">
        <w:t>the</w:t>
      </w:r>
      <w:r w:rsidR="0076321F">
        <w:rPr>
          <w:spacing w:val="32"/>
        </w:rPr>
        <w:t xml:space="preserve"> </w:t>
      </w:r>
      <w:r w:rsidR="0076321F">
        <w:t>threshold</w:t>
      </w:r>
      <w:r w:rsidR="0076321F">
        <w:rPr>
          <w:spacing w:val="31"/>
        </w:rPr>
        <w:t xml:space="preserve"> </w:t>
      </w:r>
      <w:r w:rsidR="0076321F">
        <w:t>requirement</w:t>
      </w:r>
      <w:r w:rsidR="0076321F">
        <w:rPr>
          <w:spacing w:val="33"/>
        </w:rPr>
        <w:t xml:space="preserve"> </w:t>
      </w:r>
      <w:r w:rsidR="0076321F">
        <w:t>for</w:t>
      </w:r>
      <w:r w:rsidR="0076321F">
        <w:rPr>
          <w:spacing w:val="29"/>
        </w:rPr>
        <w:t xml:space="preserve"> </w:t>
      </w:r>
      <w:r w:rsidR="0076321F">
        <w:t xml:space="preserve">an </w:t>
      </w:r>
      <w:r w:rsidR="00033D0F">
        <w:t>exporter</w:t>
      </w:r>
      <w:r w:rsidR="00033D0F">
        <w:rPr>
          <w:spacing w:val="-9"/>
        </w:rPr>
        <w:t xml:space="preserve"> </w:t>
      </w:r>
      <w:r w:rsidR="00033D0F">
        <w:t>to</w:t>
      </w:r>
      <w:r w:rsidR="00033D0F">
        <w:rPr>
          <w:spacing w:val="-9"/>
        </w:rPr>
        <w:t xml:space="preserve"> </w:t>
      </w:r>
      <w:r w:rsidR="00033D0F">
        <w:t>"meaningfully</w:t>
      </w:r>
      <w:r w:rsidR="00033D0F">
        <w:rPr>
          <w:spacing w:val="-4"/>
        </w:rPr>
        <w:t xml:space="preserve"> </w:t>
      </w:r>
      <w:r w:rsidR="00033D0F">
        <w:t>participate</w:t>
      </w:r>
      <w:r w:rsidR="00033D0F">
        <w:rPr>
          <w:spacing w:val="-6"/>
        </w:rPr>
        <w:t xml:space="preserve"> </w:t>
      </w:r>
      <w:r w:rsidR="00033D0F">
        <w:t>in</w:t>
      </w:r>
      <w:r w:rsidR="00033D0F">
        <w:rPr>
          <w:spacing w:val="-8"/>
        </w:rPr>
        <w:t xml:space="preserve"> </w:t>
      </w:r>
      <w:r w:rsidR="00033D0F">
        <w:t>the</w:t>
      </w:r>
      <w:r w:rsidR="00033D0F">
        <w:rPr>
          <w:spacing w:val="-6"/>
        </w:rPr>
        <w:t xml:space="preserve"> </w:t>
      </w:r>
      <w:r w:rsidR="00033D0F">
        <w:t>fair</w:t>
      </w:r>
      <w:r w:rsidR="00033D0F">
        <w:rPr>
          <w:spacing w:val="-9"/>
        </w:rPr>
        <w:t xml:space="preserve"> </w:t>
      </w:r>
      <w:r w:rsidR="00033D0F">
        <w:t>comparison</w:t>
      </w:r>
      <w:r w:rsidR="00033D0F">
        <w:rPr>
          <w:spacing w:val="-8"/>
        </w:rPr>
        <w:t xml:space="preserve"> </w:t>
      </w:r>
      <w:r w:rsidR="00033D0F">
        <w:t>process",</w:t>
      </w:r>
      <w:hyperlink w:anchor="_bookmark400" w:history="1">
        <w:r w:rsidR="00033D0F">
          <w:rPr>
            <w:vertAlign w:val="superscript"/>
          </w:rPr>
          <w:t>322</w:t>
        </w:r>
      </w:hyperlink>
      <w:r w:rsidR="00033D0F">
        <w:rPr>
          <w:spacing w:val="-4"/>
        </w:rPr>
        <w:t xml:space="preserve"> </w:t>
      </w:r>
      <w:r w:rsidR="00033D0F">
        <w:t>especially</w:t>
      </w:r>
      <w:r w:rsidR="00033D0F">
        <w:rPr>
          <w:spacing w:val="-4"/>
        </w:rPr>
        <w:t xml:space="preserve"> </w:t>
      </w:r>
      <w:r w:rsidR="00033D0F">
        <w:t>when</w:t>
      </w:r>
      <w:r w:rsidR="00033D0F">
        <w:rPr>
          <w:spacing w:val="-8"/>
        </w:rPr>
        <w:t xml:space="preserve"> </w:t>
      </w:r>
      <w:r w:rsidR="00033D0F">
        <w:t>"left in the dark"</w:t>
      </w:r>
      <w:r w:rsidR="00033D0F">
        <w:rPr>
          <w:spacing w:val="-14"/>
        </w:rPr>
        <w:t xml:space="preserve"> </w:t>
      </w:r>
      <w:hyperlink w:anchor="_bookmark401" w:history="1">
        <w:r w:rsidR="00033D0F">
          <w:rPr>
            <w:vertAlign w:val="superscript"/>
          </w:rPr>
          <w:t>323</w:t>
        </w:r>
      </w:hyperlink>
      <w:r w:rsidR="00033D0F">
        <w:t xml:space="preserve"> by an investigating authority. The reason for the absence of requests for adjustments is MOFCOM's failure to abide by this obligation.</w:t>
      </w:r>
      <w:r w:rsidR="00033D0F">
        <w:rPr>
          <w:spacing w:val="-27"/>
        </w:rPr>
        <w:t xml:space="preserve"> </w:t>
      </w:r>
      <w:hyperlink w:anchor="_bookmark402" w:history="1">
        <w:r w:rsidR="00033D0F">
          <w:rPr>
            <w:vertAlign w:val="superscript"/>
          </w:rPr>
          <w:t>324</w:t>
        </w:r>
      </w:hyperlink>
    </w:p>
    <w:p w14:paraId="12ED2A56" w14:textId="77777777" w:rsidR="00BD462C" w:rsidRDefault="00BD462C">
      <w:pPr>
        <w:pStyle w:val="BodyText"/>
        <w:spacing w:before="11"/>
        <w:rPr>
          <w:sz w:val="8"/>
        </w:rPr>
      </w:pPr>
    </w:p>
    <w:p w14:paraId="2F7DDC3E" w14:textId="73C9220E" w:rsidR="00BD462C" w:rsidRDefault="00033D0F" w:rsidP="00CA5625">
      <w:pPr>
        <w:pStyle w:val="BodyText"/>
        <w:numPr>
          <w:ilvl w:val="0"/>
          <w:numId w:val="69"/>
        </w:numPr>
        <w:spacing w:before="56" w:line="360" w:lineRule="auto"/>
        <w:ind w:right="917"/>
        <w:jc w:val="both"/>
      </w:pPr>
      <w:bookmarkStart w:id="458" w:name="_bookmark398"/>
      <w:bookmarkEnd w:id="458"/>
      <w:r>
        <w:rPr>
          <w:position w:val="1"/>
        </w:rPr>
        <w:t xml:space="preserve">MOFCOM sought a large amount of information from Treasury Wines but never </w:t>
      </w:r>
      <w:r>
        <w:t>indicated</w:t>
      </w:r>
      <w:r>
        <w:rPr>
          <w:spacing w:val="-1"/>
        </w:rPr>
        <w:t xml:space="preserve"> </w:t>
      </w:r>
      <w:r>
        <w:t>what information</w:t>
      </w:r>
      <w:r>
        <w:rPr>
          <w:spacing w:val="-1"/>
        </w:rPr>
        <w:t xml:space="preserve"> </w:t>
      </w:r>
      <w:r>
        <w:t>it actually required</w:t>
      </w:r>
      <w:r>
        <w:rPr>
          <w:spacing w:val="-1"/>
        </w:rPr>
        <w:t xml:space="preserve"> </w:t>
      </w:r>
      <w:r>
        <w:t>to ensure a fair</w:t>
      </w:r>
      <w:r>
        <w:rPr>
          <w:spacing w:val="-1"/>
        </w:rPr>
        <w:t xml:space="preserve"> </w:t>
      </w:r>
      <w:r>
        <w:t>comparison. When</w:t>
      </w:r>
      <w:r>
        <w:rPr>
          <w:spacing w:val="-1"/>
        </w:rPr>
        <w:t xml:space="preserve"> </w:t>
      </w:r>
      <w:r>
        <w:t>MOFCOM identified</w:t>
      </w:r>
      <w:r>
        <w:rPr>
          <w:spacing w:val="-5"/>
        </w:rPr>
        <w:t xml:space="preserve"> </w:t>
      </w:r>
      <w:r>
        <w:t>that</w:t>
      </w:r>
      <w:r>
        <w:rPr>
          <w:spacing w:val="-8"/>
        </w:rPr>
        <w:t xml:space="preserve"> </w:t>
      </w:r>
      <w:r>
        <w:t>it</w:t>
      </w:r>
      <w:r>
        <w:rPr>
          <w:spacing w:val="-3"/>
        </w:rPr>
        <w:t xml:space="preserve"> </w:t>
      </w:r>
      <w:r>
        <w:t>required</w:t>
      </w:r>
      <w:r>
        <w:rPr>
          <w:spacing w:val="-5"/>
        </w:rPr>
        <w:t xml:space="preserve"> </w:t>
      </w:r>
      <w:r>
        <w:t>certain</w:t>
      </w:r>
      <w:r>
        <w:rPr>
          <w:spacing w:val="-5"/>
        </w:rPr>
        <w:t xml:space="preserve"> </w:t>
      </w:r>
      <w:r>
        <w:t>information</w:t>
      </w:r>
      <w:r>
        <w:rPr>
          <w:spacing w:val="-5"/>
        </w:rPr>
        <w:t xml:space="preserve"> </w:t>
      </w:r>
      <w:r>
        <w:t>that had</w:t>
      </w:r>
      <w:r>
        <w:rPr>
          <w:spacing w:val="-5"/>
        </w:rPr>
        <w:t xml:space="preserve"> </w:t>
      </w:r>
      <w:r>
        <w:t>allegedly</w:t>
      </w:r>
      <w:r>
        <w:rPr>
          <w:spacing w:val="-2"/>
        </w:rPr>
        <w:t xml:space="preserve"> </w:t>
      </w:r>
      <w:r>
        <w:t>not</w:t>
      </w:r>
      <w:r>
        <w:rPr>
          <w:spacing w:val="-3"/>
        </w:rPr>
        <w:t xml:space="preserve"> </w:t>
      </w:r>
      <w:r>
        <w:t>been</w:t>
      </w:r>
      <w:r>
        <w:rPr>
          <w:spacing w:val="-5"/>
        </w:rPr>
        <w:t xml:space="preserve"> </w:t>
      </w:r>
      <w:r>
        <w:t>provided,</w:t>
      </w:r>
      <w:r>
        <w:rPr>
          <w:spacing w:val="-2"/>
        </w:rPr>
        <w:t xml:space="preserve"> </w:t>
      </w:r>
      <w:r>
        <w:t>it</w:t>
      </w:r>
      <w:r>
        <w:rPr>
          <w:spacing w:val="-3"/>
        </w:rPr>
        <w:t xml:space="preserve"> </w:t>
      </w:r>
      <w:r>
        <w:t>did</w:t>
      </w:r>
      <w:r>
        <w:rPr>
          <w:spacing w:val="-5"/>
        </w:rPr>
        <w:t xml:space="preserve"> </w:t>
      </w:r>
      <w:r>
        <w:t>not engage</w:t>
      </w:r>
      <w:r>
        <w:rPr>
          <w:spacing w:val="-2"/>
        </w:rPr>
        <w:t xml:space="preserve"> </w:t>
      </w:r>
      <w:r>
        <w:t>in</w:t>
      </w:r>
      <w:r>
        <w:rPr>
          <w:spacing w:val="-4"/>
        </w:rPr>
        <w:t xml:space="preserve"> </w:t>
      </w:r>
      <w:r>
        <w:t>a</w:t>
      </w:r>
      <w:r>
        <w:rPr>
          <w:spacing w:val="-3"/>
        </w:rPr>
        <w:t xml:space="preserve"> </w:t>
      </w:r>
      <w:r>
        <w:t>dialogue</w:t>
      </w:r>
      <w:r>
        <w:rPr>
          <w:spacing w:val="-3"/>
        </w:rPr>
        <w:t xml:space="preserve"> </w:t>
      </w:r>
      <w:r>
        <w:t>with</w:t>
      </w:r>
      <w:r>
        <w:rPr>
          <w:spacing w:val="-4"/>
        </w:rPr>
        <w:t xml:space="preserve"> </w:t>
      </w:r>
      <w:r>
        <w:t>Treasury</w:t>
      </w:r>
      <w:r>
        <w:rPr>
          <w:spacing w:val="-1"/>
        </w:rPr>
        <w:t xml:space="preserve"> </w:t>
      </w:r>
      <w:r>
        <w:t>Wines.</w:t>
      </w:r>
      <w:r>
        <w:rPr>
          <w:spacing w:val="-1"/>
        </w:rPr>
        <w:t xml:space="preserve"> </w:t>
      </w:r>
      <w:r>
        <w:t>Instead, MOFCOM</w:t>
      </w:r>
      <w:r>
        <w:rPr>
          <w:spacing w:val="-2"/>
        </w:rPr>
        <w:t xml:space="preserve"> </w:t>
      </w:r>
      <w:r>
        <w:t>supplemented</w:t>
      </w:r>
      <w:r>
        <w:rPr>
          <w:spacing w:val="-4"/>
        </w:rPr>
        <w:t xml:space="preserve"> </w:t>
      </w:r>
      <w:r>
        <w:t>this</w:t>
      </w:r>
      <w:r>
        <w:rPr>
          <w:spacing w:val="-1"/>
        </w:rPr>
        <w:t xml:space="preserve"> </w:t>
      </w:r>
      <w:r>
        <w:t>information by</w:t>
      </w:r>
      <w:r>
        <w:rPr>
          <w:spacing w:val="-6"/>
        </w:rPr>
        <w:t xml:space="preserve"> </w:t>
      </w:r>
      <w:r>
        <w:t>applying</w:t>
      </w:r>
      <w:r>
        <w:rPr>
          <w:spacing w:val="-6"/>
        </w:rPr>
        <w:t xml:space="preserve"> </w:t>
      </w:r>
      <w:r>
        <w:t>a</w:t>
      </w:r>
      <w:r>
        <w:rPr>
          <w:spacing w:val="-8"/>
        </w:rPr>
        <w:t xml:space="preserve"> </w:t>
      </w:r>
      <w:r>
        <w:t>methodology</w:t>
      </w:r>
      <w:r>
        <w:rPr>
          <w:spacing w:val="-6"/>
        </w:rPr>
        <w:t xml:space="preserve"> </w:t>
      </w:r>
      <w:r>
        <w:t>that</w:t>
      </w:r>
      <w:r>
        <w:rPr>
          <w:spacing w:val="-7"/>
        </w:rPr>
        <w:t xml:space="preserve"> </w:t>
      </w:r>
      <w:r>
        <w:t>it</w:t>
      </w:r>
      <w:r>
        <w:rPr>
          <w:spacing w:val="-7"/>
        </w:rPr>
        <w:t xml:space="preserve"> </w:t>
      </w:r>
      <w:r>
        <w:t>did</w:t>
      </w:r>
      <w:r>
        <w:rPr>
          <w:spacing w:val="-4"/>
        </w:rPr>
        <w:t xml:space="preserve"> </w:t>
      </w:r>
      <w:r>
        <w:t>not</w:t>
      </w:r>
      <w:r>
        <w:rPr>
          <w:spacing w:val="-2"/>
        </w:rPr>
        <w:t xml:space="preserve"> </w:t>
      </w:r>
      <w:r>
        <w:t>disclose</w:t>
      </w:r>
      <w:r>
        <w:rPr>
          <w:spacing w:val="-7"/>
        </w:rPr>
        <w:t xml:space="preserve"> </w:t>
      </w:r>
      <w:r>
        <w:t>to</w:t>
      </w:r>
      <w:r>
        <w:rPr>
          <w:spacing w:val="-10"/>
        </w:rPr>
        <w:t xml:space="preserve"> </w:t>
      </w:r>
      <w:r>
        <w:t>Treasury</w:t>
      </w:r>
      <w:r>
        <w:rPr>
          <w:spacing w:val="-6"/>
        </w:rPr>
        <w:t xml:space="preserve"> </w:t>
      </w:r>
      <w:r>
        <w:t>Wines</w:t>
      </w:r>
      <w:r>
        <w:rPr>
          <w:spacing w:val="-6"/>
        </w:rPr>
        <w:t xml:space="preserve"> </w:t>
      </w:r>
      <w:r>
        <w:t>during</w:t>
      </w:r>
      <w:r>
        <w:rPr>
          <w:spacing w:val="-6"/>
        </w:rPr>
        <w:t xml:space="preserve"> </w:t>
      </w:r>
      <w:r>
        <w:t>the</w:t>
      </w:r>
      <w:r>
        <w:rPr>
          <w:spacing w:val="-7"/>
        </w:rPr>
        <w:t xml:space="preserve"> </w:t>
      </w:r>
      <w:r>
        <w:t>investigation.</w:t>
      </w:r>
    </w:p>
    <w:p w14:paraId="0A76F671" w14:textId="77777777" w:rsidR="00BD462C" w:rsidRDefault="00BD462C">
      <w:pPr>
        <w:pStyle w:val="BodyText"/>
        <w:spacing w:before="6"/>
        <w:rPr>
          <w:sz w:val="8"/>
        </w:rPr>
      </w:pPr>
    </w:p>
    <w:bookmarkStart w:id="459" w:name="_bookmark399"/>
    <w:bookmarkEnd w:id="459"/>
    <w:p w14:paraId="0FDB001B" w14:textId="5D763403" w:rsidR="00BD462C" w:rsidRPr="00CA5625" w:rsidRDefault="00CA5625" w:rsidP="00CA5625">
      <w:pPr>
        <w:pStyle w:val="BodyText"/>
        <w:numPr>
          <w:ilvl w:val="0"/>
          <w:numId w:val="69"/>
        </w:numPr>
        <w:spacing w:before="56" w:line="360" w:lineRule="auto"/>
        <w:ind w:right="908"/>
        <w:jc w:val="both"/>
      </w:pPr>
      <w:r>
        <w:rPr>
          <w:noProof/>
        </w:rPr>
        <mc:AlternateContent>
          <mc:Choice Requires="wps">
            <w:drawing>
              <wp:anchor distT="0" distB="0" distL="0" distR="0" simplePos="0" relativeHeight="487688704" behindDoc="1" locked="0" layoutInCell="1" allowOverlap="1" wp14:anchorId="6F8C9478" wp14:editId="104B42D6">
                <wp:simplePos x="0" y="0"/>
                <wp:positionH relativeFrom="page">
                  <wp:posOffset>953770</wp:posOffset>
                </wp:positionH>
                <wp:positionV relativeFrom="paragraph">
                  <wp:posOffset>2829560</wp:posOffset>
                </wp:positionV>
                <wp:extent cx="1828800" cy="8890"/>
                <wp:effectExtent l="0" t="0" r="0" b="0"/>
                <wp:wrapTopAndBottom/>
                <wp:docPr id="998" name="docshape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425F24" id="docshape217" o:spid="_x0000_s1026" alt="&quot;&quot;" style="position:absolute;margin-left:75.1pt;margin-top:222.8pt;width:2in;height:.7pt;z-index:-15627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" fillcolor="black" stroked="f">
                <w10:wrap type="topAndBottom" anchorx="page"/>
              </v:rect>
            </w:pict>
          </mc:Fallback>
        </mc:AlternateContent>
      </w:r>
      <w:r w:rsidR="00033D0F">
        <w:rPr>
          <w:position w:val="1"/>
        </w:rPr>
        <w:t xml:space="preserve">Having done that, MOFCOM failed to make any adjustments for what it </w:t>
      </w:r>
      <w:proofErr w:type="spellStart"/>
      <w:r w:rsidR="00033D0F">
        <w:rPr>
          <w:position w:val="1"/>
        </w:rPr>
        <w:t>recognised</w:t>
      </w:r>
      <w:proofErr w:type="spellEnd"/>
      <w:r w:rsidR="00033D0F">
        <w:rPr>
          <w:position w:val="1"/>
        </w:rPr>
        <w:t xml:space="preserve"> </w:t>
      </w:r>
      <w:r w:rsidR="00033D0F">
        <w:t>as "the logical consequence"</w:t>
      </w:r>
      <w:r w:rsidR="00033D0F">
        <w:rPr>
          <w:spacing w:val="-14"/>
        </w:rPr>
        <w:t xml:space="preserve"> </w:t>
      </w:r>
      <w:hyperlink w:anchor="_bookmark403" w:history="1">
        <w:r w:rsidR="00033D0F">
          <w:rPr>
            <w:vertAlign w:val="superscript"/>
          </w:rPr>
          <w:t>325</w:t>
        </w:r>
      </w:hyperlink>
      <w:r w:rsidR="00033D0F">
        <w:t xml:space="preserve"> of its methodology, attributing this outcome to "ramifications" related to the use of facts available. MOFCOM failed to meet its procedural obligation</w:t>
      </w:r>
      <w:r w:rsidR="00033D0F">
        <w:rPr>
          <w:spacing w:val="-14"/>
        </w:rPr>
        <w:t xml:space="preserve"> </w:t>
      </w:r>
      <w:r w:rsidR="00033D0F">
        <w:t>under</w:t>
      </w:r>
      <w:r w:rsidR="00033D0F">
        <w:rPr>
          <w:spacing w:val="-14"/>
        </w:rPr>
        <w:t xml:space="preserve"> </w:t>
      </w:r>
      <w:r w:rsidR="00033D0F">
        <w:t>Article</w:t>
      </w:r>
      <w:r w:rsidR="00033D0F">
        <w:rPr>
          <w:spacing w:val="-11"/>
        </w:rPr>
        <w:t xml:space="preserve"> </w:t>
      </w:r>
      <w:r w:rsidR="00033D0F">
        <w:t>2.4</w:t>
      </w:r>
      <w:r w:rsidR="00033D0F">
        <w:rPr>
          <w:spacing w:val="-14"/>
        </w:rPr>
        <w:t xml:space="preserve"> </w:t>
      </w:r>
      <w:r w:rsidR="00033D0F">
        <w:t>then</w:t>
      </w:r>
      <w:r w:rsidR="00033D0F">
        <w:rPr>
          <w:spacing w:val="-13"/>
        </w:rPr>
        <w:t xml:space="preserve"> </w:t>
      </w:r>
      <w:r w:rsidR="00033D0F">
        <w:t>ignored</w:t>
      </w:r>
      <w:r w:rsidR="00033D0F">
        <w:rPr>
          <w:spacing w:val="-14"/>
        </w:rPr>
        <w:t xml:space="preserve"> </w:t>
      </w:r>
      <w:r w:rsidR="00033D0F">
        <w:t>its</w:t>
      </w:r>
      <w:r w:rsidR="00033D0F">
        <w:rPr>
          <w:spacing w:val="-9"/>
        </w:rPr>
        <w:t xml:space="preserve"> </w:t>
      </w:r>
      <w:r w:rsidR="00033D0F">
        <w:t>obligation</w:t>
      </w:r>
      <w:r w:rsidR="00033D0F">
        <w:rPr>
          <w:spacing w:val="-14"/>
        </w:rPr>
        <w:t xml:space="preserve"> </w:t>
      </w:r>
      <w:r w:rsidR="00033D0F">
        <w:t>to</w:t>
      </w:r>
      <w:r w:rsidR="00033D0F">
        <w:rPr>
          <w:spacing w:val="-13"/>
        </w:rPr>
        <w:t xml:space="preserve"> </w:t>
      </w:r>
      <w:r w:rsidR="00033D0F">
        <w:t>make</w:t>
      </w:r>
      <w:r w:rsidR="00033D0F">
        <w:rPr>
          <w:spacing w:val="-12"/>
        </w:rPr>
        <w:t xml:space="preserve"> </w:t>
      </w:r>
      <w:r w:rsidR="00033D0F">
        <w:t>adjustments</w:t>
      </w:r>
      <w:r w:rsidR="00033D0F">
        <w:rPr>
          <w:spacing w:val="-10"/>
        </w:rPr>
        <w:t xml:space="preserve"> </w:t>
      </w:r>
      <w:r w:rsidR="00033D0F">
        <w:t>that</w:t>
      </w:r>
      <w:r w:rsidR="00033D0F">
        <w:rPr>
          <w:spacing w:val="-11"/>
        </w:rPr>
        <w:t xml:space="preserve"> </w:t>
      </w:r>
      <w:r w:rsidR="00033D0F">
        <w:t>had</w:t>
      </w:r>
      <w:r w:rsidR="00033D0F">
        <w:rPr>
          <w:spacing w:val="-14"/>
        </w:rPr>
        <w:t xml:space="preserve"> </w:t>
      </w:r>
      <w:r w:rsidR="00033D0F">
        <w:t>not</w:t>
      </w:r>
      <w:r w:rsidR="00033D0F">
        <w:rPr>
          <w:spacing w:val="-10"/>
        </w:rPr>
        <w:t xml:space="preserve"> </w:t>
      </w:r>
      <w:r w:rsidR="00033D0F">
        <w:t>been specifically</w:t>
      </w:r>
      <w:r w:rsidR="00033D0F">
        <w:rPr>
          <w:spacing w:val="-7"/>
        </w:rPr>
        <w:t xml:space="preserve"> </w:t>
      </w:r>
      <w:r w:rsidR="00033D0F">
        <w:t>requested by Treasury Wines, which it had "left in the dark"</w:t>
      </w:r>
      <w:r w:rsidR="00033D0F">
        <w:rPr>
          <w:spacing w:val="-14"/>
        </w:rPr>
        <w:t xml:space="preserve"> </w:t>
      </w:r>
      <w:hyperlink w:anchor="_bookmark404" w:history="1">
        <w:r w:rsidR="00033D0F">
          <w:rPr>
            <w:vertAlign w:val="superscript"/>
          </w:rPr>
          <w:t>326</w:t>
        </w:r>
      </w:hyperlink>
      <w:r w:rsidR="00033D0F">
        <w:t xml:space="preserve"> in order for it "to meaningfully participate in the fair comparison process".</w:t>
      </w:r>
      <w:r w:rsidR="00033D0F">
        <w:rPr>
          <w:spacing w:val="-14"/>
        </w:rPr>
        <w:t xml:space="preserve"> </w:t>
      </w:r>
      <w:hyperlink w:anchor="_bookmark405" w:history="1">
        <w:r w:rsidR="00033D0F">
          <w:rPr>
            <w:vertAlign w:val="superscript"/>
          </w:rPr>
          <w:t>327</w:t>
        </w:r>
      </w:hyperlink>
      <w:r w:rsidR="00033D0F">
        <w:t xml:space="preserve"> MOFCOM effectively </w:t>
      </w:r>
      <w:proofErr w:type="spellStart"/>
      <w:r w:rsidR="00033D0F">
        <w:t>penalised</w:t>
      </w:r>
      <w:proofErr w:type="spellEnd"/>
      <w:r w:rsidR="00033D0F">
        <w:t xml:space="preserve"> Treasury Wines for not requesting any adjustments to account for an undisclosed methodology</w:t>
      </w:r>
      <w:r w:rsidR="00033D0F">
        <w:rPr>
          <w:spacing w:val="-14"/>
        </w:rPr>
        <w:t xml:space="preserve"> </w:t>
      </w:r>
      <w:r w:rsidR="00033D0F">
        <w:t>and</w:t>
      </w:r>
      <w:r w:rsidR="00033D0F">
        <w:rPr>
          <w:spacing w:val="-14"/>
        </w:rPr>
        <w:t xml:space="preserve"> </w:t>
      </w:r>
      <w:r w:rsidR="00033D0F">
        <w:t>unknowable</w:t>
      </w:r>
      <w:r w:rsidR="00033D0F">
        <w:rPr>
          <w:spacing w:val="-13"/>
        </w:rPr>
        <w:t xml:space="preserve"> </w:t>
      </w:r>
      <w:r w:rsidR="00033D0F">
        <w:t>"consequence"</w:t>
      </w:r>
      <w:r w:rsidR="00033D0F">
        <w:rPr>
          <w:spacing w:val="-14"/>
        </w:rPr>
        <w:t xml:space="preserve"> </w:t>
      </w:r>
      <w:hyperlink w:anchor="_bookmark406" w:history="1">
        <w:r w:rsidR="00033D0F">
          <w:rPr>
            <w:vertAlign w:val="superscript"/>
          </w:rPr>
          <w:t>328</w:t>
        </w:r>
      </w:hyperlink>
      <w:r w:rsidR="00033D0F">
        <w:rPr>
          <w:spacing w:val="-13"/>
        </w:rPr>
        <w:t xml:space="preserve"> </w:t>
      </w:r>
      <w:r w:rsidR="00033D0F">
        <w:t>of</w:t>
      </w:r>
      <w:r w:rsidR="00033D0F">
        <w:rPr>
          <w:spacing w:val="-7"/>
        </w:rPr>
        <w:t xml:space="preserve"> </w:t>
      </w:r>
      <w:r w:rsidR="00033D0F">
        <w:t>Treasury</w:t>
      </w:r>
      <w:r w:rsidR="00033D0F">
        <w:rPr>
          <w:spacing w:val="-10"/>
        </w:rPr>
        <w:t xml:space="preserve"> </w:t>
      </w:r>
      <w:r w:rsidR="00033D0F">
        <w:t>Wines'</w:t>
      </w:r>
      <w:r w:rsidR="00033D0F">
        <w:rPr>
          <w:spacing w:val="-13"/>
        </w:rPr>
        <w:t xml:space="preserve"> </w:t>
      </w:r>
      <w:r w:rsidR="00033D0F">
        <w:t>alleged</w:t>
      </w:r>
      <w:r w:rsidR="00033D0F">
        <w:rPr>
          <w:spacing w:val="-14"/>
        </w:rPr>
        <w:t xml:space="preserve"> </w:t>
      </w:r>
      <w:r w:rsidR="00033D0F">
        <w:t>failure</w:t>
      </w:r>
      <w:r w:rsidR="00033D0F">
        <w:rPr>
          <w:spacing w:val="-11"/>
        </w:rPr>
        <w:t xml:space="preserve"> </w:t>
      </w:r>
      <w:r w:rsidR="00033D0F">
        <w:t>to</w:t>
      </w:r>
      <w:r w:rsidR="00033D0F">
        <w:rPr>
          <w:spacing w:val="-10"/>
        </w:rPr>
        <w:t xml:space="preserve"> </w:t>
      </w:r>
      <w:r w:rsidR="00033D0F">
        <w:t>provide information that MOFCOM had never indicated as necessary to ensure a fair comparison in the first place.</w:t>
      </w:r>
    </w:p>
    <w:p w14:paraId="5F9FB94A" w14:textId="77777777" w:rsidR="00BD462C" w:rsidRPr="00CA5625" w:rsidRDefault="00033D0F">
      <w:pPr>
        <w:spacing w:before="112"/>
        <w:ind w:left="135"/>
        <w:jc w:val="both"/>
        <w:rPr>
          <w:sz w:val="16"/>
          <w:szCs w:val="16"/>
        </w:rPr>
      </w:pPr>
      <w:bookmarkStart w:id="460" w:name="_bookmark400"/>
      <w:bookmarkEnd w:id="460"/>
      <w:r w:rsidRPr="00CA5625">
        <w:rPr>
          <w:position w:val="5"/>
          <w:sz w:val="16"/>
          <w:szCs w:val="16"/>
        </w:rPr>
        <w:t>322</w:t>
      </w:r>
      <w:r w:rsidRPr="00CA5625">
        <w:rPr>
          <w:spacing w:val="12"/>
          <w:position w:val="5"/>
          <w:sz w:val="16"/>
          <w:szCs w:val="16"/>
        </w:rPr>
        <w:t xml:space="preserve"> </w:t>
      </w:r>
      <w:r w:rsidRPr="00CA5625">
        <w:rPr>
          <w:sz w:val="16"/>
          <w:szCs w:val="16"/>
        </w:rPr>
        <w:t>China's</w:t>
      </w:r>
      <w:r w:rsidRPr="00CA5625">
        <w:rPr>
          <w:spacing w:val="-6"/>
          <w:sz w:val="16"/>
          <w:szCs w:val="16"/>
        </w:rPr>
        <w:t xml:space="preserve"> </w:t>
      </w:r>
      <w:r w:rsidRPr="00CA5625">
        <w:rPr>
          <w:sz w:val="16"/>
          <w:szCs w:val="16"/>
        </w:rPr>
        <w:t>first</w:t>
      </w:r>
      <w:r w:rsidRPr="00CA5625">
        <w:rPr>
          <w:spacing w:val="-4"/>
          <w:sz w:val="16"/>
          <w:szCs w:val="16"/>
        </w:rPr>
        <w:t xml:space="preserve"> </w:t>
      </w:r>
      <w:r w:rsidRPr="00CA5625">
        <w:rPr>
          <w:sz w:val="16"/>
          <w:szCs w:val="16"/>
        </w:rPr>
        <w:t>written</w:t>
      </w:r>
      <w:r w:rsidRPr="00CA5625">
        <w:rPr>
          <w:spacing w:val="-7"/>
          <w:sz w:val="16"/>
          <w:szCs w:val="16"/>
        </w:rPr>
        <w:t xml:space="preserve"> </w:t>
      </w:r>
      <w:r w:rsidRPr="00CA5625">
        <w:rPr>
          <w:sz w:val="16"/>
          <w:szCs w:val="16"/>
        </w:rPr>
        <w:t>submission, paras.</w:t>
      </w:r>
      <w:r w:rsidRPr="00CA5625">
        <w:rPr>
          <w:spacing w:val="-4"/>
          <w:sz w:val="16"/>
          <w:szCs w:val="16"/>
        </w:rPr>
        <w:t xml:space="preserve"> </w:t>
      </w:r>
      <w:r w:rsidRPr="00CA5625">
        <w:rPr>
          <w:sz w:val="16"/>
          <w:szCs w:val="16"/>
        </w:rPr>
        <w:t>817-</w:t>
      </w:r>
      <w:r w:rsidRPr="00CA5625">
        <w:rPr>
          <w:spacing w:val="-4"/>
          <w:sz w:val="16"/>
          <w:szCs w:val="16"/>
        </w:rPr>
        <w:t>820.</w:t>
      </w:r>
    </w:p>
    <w:p w14:paraId="0D942F8A" w14:textId="77777777" w:rsidR="00BD462C" w:rsidRPr="00CA5625" w:rsidRDefault="00033D0F">
      <w:pPr>
        <w:spacing w:before="1"/>
        <w:ind w:left="135"/>
        <w:jc w:val="both"/>
        <w:rPr>
          <w:sz w:val="16"/>
          <w:szCs w:val="16"/>
        </w:rPr>
      </w:pPr>
      <w:bookmarkStart w:id="461" w:name="_bookmark401"/>
      <w:bookmarkEnd w:id="461"/>
      <w:r w:rsidRPr="00CA5625">
        <w:rPr>
          <w:position w:val="5"/>
          <w:sz w:val="16"/>
          <w:szCs w:val="16"/>
        </w:rPr>
        <w:t>323</w:t>
      </w:r>
      <w:r w:rsidRPr="00CA5625">
        <w:rPr>
          <w:spacing w:val="13"/>
          <w:position w:val="5"/>
          <w:sz w:val="16"/>
          <w:szCs w:val="16"/>
        </w:rPr>
        <w:t xml:space="preserve"> </w:t>
      </w:r>
      <w:r w:rsidRPr="00CA5625">
        <w:rPr>
          <w:sz w:val="16"/>
          <w:szCs w:val="16"/>
        </w:rPr>
        <w:t>China's</w:t>
      </w:r>
      <w:r w:rsidRPr="00CA5625">
        <w:rPr>
          <w:spacing w:val="-5"/>
          <w:sz w:val="16"/>
          <w:szCs w:val="16"/>
        </w:rPr>
        <w:t xml:space="preserve"> </w:t>
      </w:r>
      <w:r w:rsidRPr="00CA5625">
        <w:rPr>
          <w:sz w:val="16"/>
          <w:szCs w:val="16"/>
        </w:rPr>
        <w:t>first</w:t>
      </w:r>
      <w:r w:rsidRPr="00CA5625">
        <w:rPr>
          <w:spacing w:val="-5"/>
          <w:sz w:val="16"/>
          <w:szCs w:val="16"/>
        </w:rPr>
        <w:t xml:space="preserve"> </w:t>
      </w:r>
      <w:r w:rsidRPr="00CA5625">
        <w:rPr>
          <w:sz w:val="16"/>
          <w:szCs w:val="16"/>
        </w:rPr>
        <w:t>written</w:t>
      </w:r>
      <w:r w:rsidRPr="00CA5625">
        <w:rPr>
          <w:spacing w:val="-6"/>
          <w:sz w:val="16"/>
          <w:szCs w:val="16"/>
        </w:rPr>
        <w:t xml:space="preserve"> </w:t>
      </w:r>
      <w:r w:rsidRPr="00CA5625">
        <w:rPr>
          <w:sz w:val="16"/>
          <w:szCs w:val="16"/>
        </w:rPr>
        <w:t>submission,</w:t>
      </w:r>
      <w:r w:rsidRPr="00CA5625">
        <w:rPr>
          <w:spacing w:val="1"/>
          <w:sz w:val="16"/>
          <w:szCs w:val="16"/>
        </w:rPr>
        <w:t xml:space="preserve"> </w:t>
      </w:r>
      <w:r w:rsidRPr="00CA5625">
        <w:rPr>
          <w:sz w:val="16"/>
          <w:szCs w:val="16"/>
        </w:rPr>
        <w:t xml:space="preserve">para. </w:t>
      </w:r>
      <w:r w:rsidRPr="00CA5625">
        <w:rPr>
          <w:spacing w:val="-4"/>
          <w:sz w:val="16"/>
          <w:szCs w:val="16"/>
        </w:rPr>
        <w:t>818.</w:t>
      </w:r>
    </w:p>
    <w:p w14:paraId="0F0EEFCF" w14:textId="6F9410B2" w:rsidR="00BD462C" w:rsidRPr="00CA5625" w:rsidRDefault="00D70C7D" w:rsidP="00CA5625">
      <w:pPr>
        <w:spacing w:before="2" w:line="237" w:lineRule="auto"/>
        <w:ind w:left="135" w:right="905"/>
        <w:jc w:val="both"/>
        <w:rPr>
          <w:sz w:val="16"/>
          <w:szCs w:val="16"/>
        </w:rPr>
      </w:pPr>
      <w:r w:rsidRPr="00CA5625">
        <w:rPr>
          <w:noProof/>
          <w:sz w:val="16"/>
          <w:szCs w:val="16"/>
        </w:rPr>
        <mc:AlternateContent>
          <mc:Choice Requires="wps">
            <w:drawing>
              <wp:anchor distT="0" distB="0" distL="114300" distR="114300" simplePos="0" relativeHeight="15828992" behindDoc="0" locked="0" layoutInCell="1" allowOverlap="1" wp14:anchorId="7F28A365" wp14:editId="1F761112">
                <wp:simplePos x="0" y="0"/>
                <wp:positionH relativeFrom="page">
                  <wp:posOffset>3988435</wp:posOffset>
                </wp:positionH>
                <wp:positionV relativeFrom="paragraph">
                  <wp:posOffset>270510</wp:posOffset>
                </wp:positionV>
                <wp:extent cx="911225" cy="137160"/>
                <wp:effectExtent l="0" t="0" r="3175" b="0"/>
                <wp:wrapNone/>
                <wp:docPr id="996" name="docshape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137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8B6B9" id="docshape218" o:spid="_x0000_s1026" alt="&quot;&quot;" style="position:absolute;margin-left:314.05pt;margin-top:21.3pt;width:71.75pt;height:10.8pt;z-index:1582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" fillcolor="black" stroked="f">
                <w10:wrap anchorx="page"/>
              </v:rect>
            </w:pict>
          </mc:Fallback>
        </mc:AlternateContent>
      </w:r>
      <w:bookmarkStart w:id="462" w:name="_bookmark402"/>
      <w:bookmarkEnd w:id="462"/>
      <w:r w:rsidR="00033D0F" w:rsidRPr="00CA5625">
        <w:rPr>
          <w:position w:val="5"/>
          <w:sz w:val="16"/>
          <w:szCs w:val="16"/>
        </w:rPr>
        <w:t>324</w:t>
      </w:r>
      <w:r w:rsidR="00033D0F" w:rsidRPr="00CA5625">
        <w:rPr>
          <w:spacing w:val="18"/>
          <w:position w:val="5"/>
          <w:sz w:val="16"/>
          <w:szCs w:val="16"/>
        </w:rPr>
        <w:t xml:space="preserve"> </w:t>
      </w:r>
      <w:r w:rsidR="00033D0F" w:rsidRPr="00CA5625">
        <w:rPr>
          <w:sz w:val="16"/>
          <w:szCs w:val="16"/>
        </w:rPr>
        <w:t>China argues</w:t>
      </w:r>
      <w:r w:rsidR="00033D0F" w:rsidRPr="00CA5625">
        <w:rPr>
          <w:spacing w:val="-1"/>
          <w:sz w:val="16"/>
          <w:szCs w:val="16"/>
        </w:rPr>
        <w:t xml:space="preserve"> </w:t>
      </w:r>
      <w:r w:rsidR="00033D0F" w:rsidRPr="00CA5625">
        <w:rPr>
          <w:sz w:val="16"/>
          <w:szCs w:val="16"/>
        </w:rPr>
        <w:t>that "Treasury</w:t>
      </w:r>
      <w:r w:rsidR="00033D0F" w:rsidRPr="00CA5625">
        <w:rPr>
          <w:spacing w:val="-3"/>
          <w:sz w:val="16"/>
          <w:szCs w:val="16"/>
        </w:rPr>
        <w:t xml:space="preserve"> </w:t>
      </w:r>
      <w:r w:rsidR="00033D0F" w:rsidRPr="00CA5625">
        <w:rPr>
          <w:sz w:val="16"/>
          <w:szCs w:val="16"/>
        </w:rPr>
        <w:t>Wines</w:t>
      </w:r>
      <w:r w:rsidR="00033D0F" w:rsidRPr="00CA5625">
        <w:rPr>
          <w:spacing w:val="-1"/>
          <w:sz w:val="16"/>
          <w:szCs w:val="16"/>
        </w:rPr>
        <w:t xml:space="preserve"> </w:t>
      </w:r>
      <w:r w:rsidR="00033D0F" w:rsidRPr="00CA5625">
        <w:rPr>
          <w:sz w:val="16"/>
          <w:szCs w:val="16"/>
        </w:rPr>
        <w:t>did</w:t>
      </w:r>
      <w:r w:rsidR="00033D0F" w:rsidRPr="00CA5625">
        <w:rPr>
          <w:spacing w:val="-2"/>
          <w:sz w:val="16"/>
          <w:szCs w:val="16"/>
        </w:rPr>
        <w:t xml:space="preserve"> </w:t>
      </w:r>
      <w:r w:rsidR="00033D0F" w:rsidRPr="00CA5625">
        <w:rPr>
          <w:sz w:val="16"/>
          <w:szCs w:val="16"/>
        </w:rPr>
        <w:t>not claim</w:t>
      </w:r>
      <w:r w:rsidR="00033D0F" w:rsidRPr="00CA5625">
        <w:rPr>
          <w:spacing w:val="-3"/>
          <w:sz w:val="16"/>
          <w:szCs w:val="16"/>
        </w:rPr>
        <w:t xml:space="preserve"> </w:t>
      </w:r>
      <w:r w:rsidR="00033D0F" w:rsidRPr="00CA5625">
        <w:rPr>
          <w:sz w:val="16"/>
          <w:szCs w:val="16"/>
        </w:rPr>
        <w:t>an adjustment</w:t>
      </w:r>
      <w:r w:rsidR="00033D0F" w:rsidRPr="00CA5625">
        <w:rPr>
          <w:spacing w:val="-1"/>
          <w:sz w:val="16"/>
          <w:szCs w:val="16"/>
        </w:rPr>
        <w:t xml:space="preserve"> </w:t>
      </w:r>
      <w:r w:rsidR="00033D0F" w:rsidRPr="00CA5625">
        <w:rPr>
          <w:sz w:val="16"/>
          <w:szCs w:val="16"/>
        </w:rPr>
        <w:t>for differences in</w:t>
      </w:r>
      <w:r w:rsidR="00033D0F" w:rsidRPr="00CA5625">
        <w:rPr>
          <w:spacing w:val="-2"/>
          <w:sz w:val="16"/>
          <w:szCs w:val="16"/>
        </w:rPr>
        <w:t xml:space="preserve"> </w:t>
      </w:r>
      <w:r w:rsidR="00033D0F" w:rsidRPr="00CA5625">
        <w:rPr>
          <w:sz w:val="16"/>
          <w:szCs w:val="16"/>
        </w:rPr>
        <w:t>quality</w:t>
      </w:r>
      <w:r w:rsidR="00033D0F" w:rsidRPr="00CA5625">
        <w:rPr>
          <w:spacing w:val="-3"/>
          <w:sz w:val="16"/>
          <w:szCs w:val="16"/>
        </w:rPr>
        <w:t xml:space="preserve"> </w:t>
      </w:r>
      <w:r w:rsidR="00033D0F" w:rsidRPr="00CA5625">
        <w:rPr>
          <w:sz w:val="16"/>
          <w:szCs w:val="16"/>
        </w:rPr>
        <w:t>in its questionnaire reply. China notes</w:t>
      </w:r>
      <w:r w:rsidR="00033D0F" w:rsidRPr="00CA5625">
        <w:rPr>
          <w:spacing w:val="-2"/>
          <w:sz w:val="16"/>
          <w:szCs w:val="16"/>
        </w:rPr>
        <w:t xml:space="preserve"> </w:t>
      </w:r>
      <w:r w:rsidR="00033D0F" w:rsidRPr="00CA5625">
        <w:rPr>
          <w:sz w:val="16"/>
          <w:szCs w:val="16"/>
        </w:rPr>
        <w:t>that</w:t>
      </w:r>
      <w:r w:rsidR="00033D0F" w:rsidRPr="00CA5625">
        <w:rPr>
          <w:spacing w:val="-1"/>
          <w:sz w:val="16"/>
          <w:szCs w:val="16"/>
        </w:rPr>
        <w:t xml:space="preserve"> </w:t>
      </w:r>
      <w:r w:rsidR="00033D0F" w:rsidRPr="00CA5625">
        <w:rPr>
          <w:sz w:val="16"/>
          <w:szCs w:val="16"/>
        </w:rPr>
        <w:t>the</w:t>
      </w:r>
      <w:r w:rsidR="00033D0F" w:rsidRPr="00CA5625">
        <w:rPr>
          <w:spacing w:val="-2"/>
          <w:sz w:val="16"/>
          <w:szCs w:val="16"/>
        </w:rPr>
        <w:t xml:space="preserve"> </w:t>
      </w:r>
      <w:r w:rsidR="00033D0F" w:rsidRPr="00CA5625">
        <w:rPr>
          <w:sz w:val="16"/>
          <w:szCs w:val="16"/>
        </w:rPr>
        <w:t>absence</w:t>
      </w:r>
      <w:r w:rsidR="00033D0F" w:rsidRPr="00CA5625">
        <w:rPr>
          <w:spacing w:val="-2"/>
          <w:sz w:val="16"/>
          <w:szCs w:val="16"/>
        </w:rPr>
        <w:t xml:space="preserve"> </w:t>
      </w:r>
      <w:r w:rsidR="00033D0F" w:rsidRPr="00CA5625">
        <w:rPr>
          <w:sz w:val="16"/>
          <w:szCs w:val="16"/>
        </w:rPr>
        <w:t>of</w:t>
      </w:r>
      <w:r w:rsidR="00033D0F" w:rsidRPr="00CA5625">
        <w:rPr>
          <w:spacing w:val="-1"/>
          <w:sz w:val="16"/>
          <w:szCs w:val="16"/>
        </w:rPr>
        <w:t xml:space="preserve"> </w:t>
      </w:r>
      <w:r w:rsidR="00033D0F" w:rsidRPr="00CA5625">
        <w:rPr>
          <w:sz w:val="16"/>
          <w:szCs w:val="16"/>
        </w:rPr>
        <w:t>such</w:t>
      </w:r>
      <w:r w:rsidR="00033D0F" w:rsidRPr="00CA5625">
        <w:rPr>
          <w:spacing w:val="-3"/>
          <w:sz w:val="16"/>
          <w:szCs w:val="16"/>
        </w:rPr>
        <w:t xml:space="preserve"> </w:t>
      </w:r>
      <w:r w:rsidR="00033D0F" w:rsidRPr="00CA5625">
        <w:rPr>
          <w:sz w:val="16"/>
          <w:szCs w:val="16"/>
        </w:rPr>
        <w:t>a claim</w:t>
      </w:r>
      <w:r w:rsidR="00033D0F" w:rsidRPr="00CA5625">
        <w:rPr>
          <w:spacing w:val="-4"/>
          <w:sz w:val="16"/>
          <w:szCs w:val="16"/>
        </w:rPr>
        <w:t xml:space="preserve"> </w:t>
      </w:r>
      <w:r w:rsidR="00033D0F" w:rsidRPr="00CA5625">
        <w:rPr>
          <w:sz w:val="16"/>
          <w:szCs w:val="16"/>
        </w:rPr>
        <w:t>does</w:t>
      </w:r>
      <w:r w:rsidR="00033D0F" w:rsidRPr="00CA5625">
        <w:rPr>
          <w:spacing w:val="-2"/>
          <w:sz w:val="16"/>
          <w:szCs w:val="16"/>
        </w:rPr>
        <w:t xml:space="preserve"> </w:t>
      </w:r>
      <w:r w:rsidR="00033D0F" w:rsidRPr="00CA5625">
        <w:rPr>
          <w:sz w:val="16"/>
          <w:szCs w:val="16"/>
        </w:rPr>
        <w:t>not</w:t>
      </w:r>
      <w:r w:rsidR="00033D0F" w:rsidRPr="00CA5625">
        <w:rPr>
          <w:spacing w:val="-1"/>
          <w:sz w:val="16"/>
          <w:szCs w:val="16"/>
        </w:rPr>
        <w:t xml:space="preserve"> </w:t>
      </w:r>
      <w:r w:rsidR="00033D0F" w:rsidRPr="00CA5625">
        <w:rPr>
          <w:sz w:val="16"/>
          <w:szCs w:val="16"/>
        </w:rPr>
        <w:t>come</w:t>
      </w:r>
      <w:r w:rsidR="00033D0F" w:rsidRPr="00CA5625">
        <w:rPr>
          <w:spacing w:val="-2"/>
          <w:sz w:val="16"/>
          <w:szCs w:val="16"/>
        </w:rPr>
        <w:t xml:space="preserve"> </w:t>
      </w:r>
      <w:r w:rsidR="00033D0F" w:rsidRPr="00CA5625">
        <w:rPr>
          <w:sz w:val="16"/>
          <w:szCs w:val="16"/>
        </w:rPr>
        <w:t>as</w:t>
      </w:r>
      <w:r w:rsidR="00033D0F" w:rsidRPr="00CA5625">
        <w:rPr>
          <w:spacing w:val="-2"/>
          <w:sz w:val="16"/>
          <w:szCs w:val="16"/>
        </w:rPr>
        <w:t xml:space="preserve"> </w:t>
      </w:r>
      <w:r w:rsidR="00033D0F" w:rsidRPr="00CA5625">
        <w:rPr>
          <w:sz w:val="16"/>
          <w:szCs w:val="16"/>
        </w:rPr>
        <w:t>a</w:t>
      </w:r>
      <w:r w:rsidR="00033D0F" w:rsidRPr="00CA5625">
        <w:rPr>
          <w:spacing w:val="-4"/>
          <w:sz w:val="16"/>
          <w:szCs w:val="16"/>
        </w:rPr>
        <w:t xml:space="preserve"> </w:t>
      </w:r>
      <w:r w:rsidR="00033D0F" w:rsidRPr="00CA5625">
        <w:rPr>
          <w:sz w:val="16"/>
          <w:szCs w:val="16"/>
        </w:rPr>
        <w:t>surprise. As</w:t>
      </w:r>
      <w:r w:rsidR="00033D0F" w:rsidRPr="00CA5625">
        <w:rPr>
          <w:spacing w:val="-2"/>
          <w:sz w:val="16"/>
          <w:szCs w:val="16"/>
        </w:rPr>
        <w:t xml:space="preserve"> </w:t>
      </w:r>
      <w:r w:rsidR="00033D0F" w:rsidRPr="00CA5625">
        <w:rPr>
          <w:sz w:val="16"/>
          <w:szCs w:val="16"/>
        </w:rPr>
        <w:t>can</w:t>
      </w:r>
      <w:r w:rsidR="00033D0F" w:rsidRPr="00CA5625">
        <w:rPr>
          <w:spacing w:val="-3"/>
          <w:sz w:val="16"/>
          <w:szCs w:val="16"/>
        </w:rPr>
        <w:t xml:space="preserve"> </w:t>
      </w:r>
      <w:r w:rsidR="00033D0F" w:rsidRPr="00CA5625">
        <w:rPr>
          <w:sz w:val="16"/>
          <w:szCs w:val="16"/>
        </w:rPr>
        <w:t>be</w:t>
      </w:r>
      <w:r w:rsidR="00033D0F" w:rsidRPr="00CA5625">
        <w:rPr>
          <w:spacing w:val="-2"/>
          <w:sz w:val="16"/>
          <w:szCs w:val="16"/>
        </w:rPr>
        <w:t xml:space="preserve"> </w:t>
      </w:r>
      <w:r w:rsidR="00033D0F" w:rsidRPr="00CA5625">
        <w:rPr>
          <w:sz w:val="16"/>
          <w:szCs w:val="16"/>
        </w:rPr>
        <w:t>observed</w:t>
      </w:r>
      <w:r w:rsidR="00033D0F" w:rsidRPr="00CA5625">
        <w:rPr>
          <w:spacing w:val="-3"/>
          <w:sz w:val="16"/>
          <w:szCs w:val="16"/>
        </w:rPr>
        <w:t xml:space="preserve"> </w:t>
      </w:r>
      <w:r w:rsidR="00033D0F" w:rsidRPr="00CA5625">
        <w:rPr>
          <w:sz w:val="16"/>
          <w:szCs w:val="16"/>
        </w:rPr>
        <w:t>from</w:t>
      </w:r>
      <w:r w:rsidR="00033D0F" w:rsidRPr="00CA5625">
        <w:rPr>
          <w:spacing w:val="-9"/>
          <w:sz w:val="16"/>
          <w:szCs w:val="16"/>
        </w:rPr>
        <w:t xml:space="preserve"> </w:t>
      </w:r>
      <w:r w:rsidR="00033D0F" w:rsidRPr="00CA5625">
        <w:rPr>
          <w:sz w:val="16"/>
          <w:szCs w:val="16"/>
        </w:rPr>
        <w:t>Tables</w:t>
      </w:r>
      <w:r w:rsidR="00033D0F" w:rsidRPr="00CA5625">
        <w:rPr>
          <w:spacing w:val="-2"/>
          <w:sz w:val="16"/>
          <w:szCs w:val="16"/>
        </w:rPr>
        <w:t xml:space="preserve"> </w:t>
      </w:r>
      <w:r w:rsidR="00033D0F" w:rsidRPr="00CA5625">
        <w:rPr>
          <w:sz w:val="16"/>
          <w:szCs w:val="16"/>
        </w:rPr>
        <w:t>1 and</w:t>
      </w:r>
      <w:r w:rsidR="00033D0F" w:rsidRPr="00CA5625">
        <w:rPr>
          <w:spacing w:val="-3"/>
          <w:sz w:val="16"/>
          <w:szCs w:val="16"/>
        </w:rPr>
        <w:t xml:space="preserve"> </w:t>
      </w:r>
      <w:r w:rsidR="00033D0F" w:rsidRPr="00CA5625">
        <w:rPr>
          <w:sz w:val="16"/>
          <w:szCs w:val="16"/>
        </w:rPr>
        <w:t>3</w:t>
      </w:r>
      <w:r w:rsidR="00033D0F" w:rsidRPr="00CA5625">
        <w:rPr>
          <w:spacing w:val="-4"/>
          <w:sz w:val="16"/>
          <w:szCs w:val="16"/>
        </w:rPr>
        <w:t xml:space="preserve"> </w:t>
      </w:r>
      <w:r w:rsidR="00033D0F" w:rsidRPr="00CA5625">
        <w:rPr>
          <w:sz w:val="16"/>
          <w:szCs w:val="16"/>
        </w:rPr>
        <w:t>of</w:t>
      </w:r>
      <w:r w:rsidR="00033D0F" w:rsidRPr="00CA5625">
        <w:rPr>
          <w:spacing w:val="-1"/>
          <w:sz w:val="16"/>
          <w:szCs w:val="16"/>
        </w:rPr>
        <w:t xml:space="preserve"> </w:t>
      </w:r>
      <w:r w:rsidR="00033D0F" w:rsidRPr="00CA5625">
        <w:rPr>
          <w:sz w:val="16"/>
          <w:szCs w:val="16"/>
        </w:rPr>
        <w:t>Exhibit</w:t>
      </w:r>
      <w:r w:rsidR="00033D0F" w:rsidRPr="00CA5625">
        <w:rPr>
          <w:spacing w:val="-1"/>
          <w:sz w:val="16"/>
          <w:szCs w:val="16"/>
        </w:rPr>
        <w:t xml:space="preserve"> </w:t>
      </w:r>
      <w:r w:rsidR="00033D0F" w:rsidRPr="00CA5625">
        <w:rPr>
          <w:sz w:val="16"/>
          <w:szCs w:val="16"/>
        </w:rPr>
        <w:t>AUS-5 (BCI), the share of</w:t>
      </w:r>
      <w:r w:rsidR="00033D0F" w:rsidRPr="00CA5625">
        <w:rPr>
          <w:spacing w:val="23"/>
          <w:sz w:val="16"/>
          <w:szCs w:val="16"/>
        </w:rPr>
        <w:t xml:space="preserve"> </w:t>
      </w:r>
      <w:r w:rsidR="00033D0F" w:rsidRPr="00CA5625">
        <w:rPr>
          <w:sz w:val="16"/>
          <w:szCs w:val="16"/>
        </w:rPr>
        <w:t>low-quality wines in total</w:t>
      </w:r>
      <w:r w:rsidR="00033D0F" w:rsidRPr="00CA5625">
        <w:rPr>
          <w:spacing w:val="23"/>
          <w:sz w:val="16"/>
          <w:szCs w:val="16"/>
        </w:rPr>
        <w:t xml:space="preserve"> </w:t>
      </w:r>
      <w:r w:rsidR="00033D0F" w:rsidRPr="00CA5625">
        <w:rPr>
          <w:sz w:val="16"/>
          <w:szCs w:val="16"/>
        </w:rPr>
        <w:t>sales on the domestic and export market was similar (i.e.</w:t>
      </w:r>
      <w:r w:rsidR="00CA5625">
        <w:rPr>
          <w:sz w:val="16"/>
          <w:szCs w:val="16"/>
        </w:rPr>
        <w:t xml:space="preserve">                                            </w:t>
      </w:r>
      <w:r w:rsidR="00033D0F" w:rsidRPr="00CA5625">
        <w:rPr>
          <w:sz w:val="16"/>
          <w:szCs w:val="16"/>
        </w:rPr>
        <w:t xml:space="preserve">respectively" and that "if an adjustment would need to be made on account of differences in quality, this would be a downward adjustment to the export price or an upward adjustment to the normal value" (China's first written submission, para. 852). This argument is </w:t>
      </w:r>
      <w:r w:rsidR="00033D0F" w:rsidRPr="00CA5625">
        <w:rPr>
          <w:i/>
          <w:sz w:val="16"/>
          <w:szCs w:val="16"/>
        </w:rPr>
        <w:t xml:space="preserve">ex post facto. </w:t>
      </w:r>
      <w:r w:rsidR="00033D0F" w:rsidRPr="00CA5625">
        <w:rPr>
          <w:sz w:val="16"/>
          <w:szCs w:val="16"/>
        </w:rPr>
        <w:t xml:space="preserve">There is no evidence on MOFCOM's record that this was a consideration in its decision to not </w:t>
      </w:r>
      <w:proofErr w:type="gramStart"/>
      <w:r w:rsidR="00033D0F" w:rsidRPr="00CA5625">
        <w:rPr>
          <w:sz w:val="16"/>
          <w:szCs w:val="16"/>
        </w:rPr>
        <w:t>make adjustments</w:t>
      </w:r>
      <w:proofErr w:type="gramEnd"/>
      <w:r w:rsidR="00033D0F" w:rsidRPr="00CA5625">
        <w:rPr>
          <w:sz w:val="16"/>
          <w:szCs w:val="16"/>
        </w:rPr>
        <w:t>. Moreover, this argument is factually incorrect. It appears that China's argument is grounded in the application of an average normal value and export price. Following MOFCOM's methodology, adjustments would be made on a PCN-by-PCN basis, not on an average basis. Thus, the quality of the wines being compared for normal values</w:t>
      </w:r>
      <w:r w:rsidR="00033D0F" w:rsidRPr="00CA5625">
        <w:rPr>
          <w:spacing w:val="-2"/>
          <w:sz w:val="16"/>
          <w:szCs w:val="16"/>
        </w:rPr>
        <w:t xml:space="preserve"> </w:t>
      </w:r>
      <w:r w:rsidR="00033D0F" w:rsidRPr="00CA5625">
        <w:rPr>
          <w:sz w:val="16"/>
          <w:szCs w:val="16"/>
        </w:rPr>
        <w:t>and</w:t>
      </w:r>
      <w:r w:rsidR="00033D0F" w:rsidRPr="00CA5625">
        <w:rPr>
          <w:spacing w:val="-3"/>
          <w:sz w:val="16"/>
          <w:szCs w:val="16"/>
        </w:rPr>
        <w:t xml:space="preserve"> </w:t>
      </w:r>
      <w:r w:rsidR="00033D0F" w:rsidRPr="00CA5625">
        <w:rPr>
          <w:sz w:val="16"/>
          <w:szCs w:val="16"/>
        </w:rPr>
        <w:t>export prices would</w:t>
      </w:r>
      <w:r w:rsidR="00033D0F" w:rsidRPr="00CA5625">
        <w:rPr>
          <w:spacing w:val="-3"/>
          <w:sz w:val="16"/>
          <w:szCs w:val="16"/>
        </w:rPr>
        <w:t xml:space="preserve"> </w:t>
      </w:r>
      <w:r w:rsidR="00033D0F" w:rsidRPr="00CA5625">
        <w:rPr>
          <w:sz w:val="16"/>
          <w:szCs w:val="16"/>
        </w:rPr>
        <w:t>be</w:t>
      </w:r>
      <w:r w:rsidR="00033D0F" w:rsidRPr="00CA5625">
        <w:rPr>
          <w:spacing w:val="-2"/>
          <w:sz w:val="16"/>
          <w:szCs w:val="16"/>
        </w:rPr>
        <w:t xml:space="preserve"> </w:t>
      </w:r>
      <w:r w:rsidR="00033D0F" w:rsidRPr="00CA5625">
        <w:rPr>
          <w:sz w:val="16"/>
          <w:szCs w:val="16"/>
        </w:rPr>
        <w:t>comparable. For</w:t>
      </w:r>
      <w:r w:rsidR="00033D0F" w:rsidRPr="00CA5625">
        <w:rPr>
          <w:spacing w:val="-4"/>
          <w:sz w:val="16"/>
          <w:szCs w:val="16"/>
        </w:rPr>
        <w:t xml:space="preserve"> </w:t>
      </w:r>
      <w:r w:rsidR="00033D0F" w:rsidRPr="00CA5625">
        <w:rPr>
          <w:sz w:val="16"/>
          <w:szCs w:val="16"/>
        </w:rPr>
        <w:t>example, where the premium</w:t>
      </w:r>
      <w:r w:rsidR="00033D0F" w:rsidRPr="00CA5625">
        <w:rPr>
          <w:spacing w:val="-5"/>
          <w:sz w:val="16"/>
          <w:szCs w:val="16"/>
        </w:rPr>
        <w:t xml:space="preserve"> </w:t>
      </w:r>
      <w:r w:rsidR="00033D0F" w:rsidRPr="00CA5625">
        <w:rPr>
          <w:sz w:val="16"/>
          <w:szCs w:val="16"/>
        </w:rPr>
        <w:t>wine</w:t>
      </w:r>
      <w:r w:rsidR="00033D0F" w:rsidRPr="00CA5625">
        <w:rPr>
          <w:spacing w:val="-2"/>
          <w:sz w:val="16"/>
          <w:szCs w:val="16"/>
        </w:rPr>
        <w:t xml:space="preserve"> </w:t>
      </w:r>
      <w:r w:rsidR="00033D0F" w:rsidRPr="00CA5625">
        <w:rPr>
          <w:sz w:val="16"/>
          <w:szCs w:val="16"/>
        </w:rPr>
        <w:t>normal</w:t>
      </w:r>
      <w:r w:rsidR="00033D0F" w:rsidRPr="00CA5625">
        <w:rPr>
          <w:spacing w:val="-1"/>
          <w:sz w:val="16"/>
          <w:szCs w:val="16"/>
        </w:rPr>
        <w:t xml:space="preserve"> </w:t>
      </w:r>
      <w:r w:rsidR="00033D0F" w:rsidRPr="00CA5625">
        <w:rPr>
          <w:sz w:val="16"/>
          <w:szCs w:val="16"/>
        </w:rPr>
        <w:t>value is compared</w:t>
      </w:r>
      <w:r w:rsidR="00033D0F" w:rsidRPr="00CA5625">
        <w:rPr>
          <w:spacing w:val="-3"/>
          <w:sz w:val="16"/>
          <w:szCs w:val="16"/>
        </w:rPr>
        <w:t xml:space="preserve"> </w:t>
      </w:r>
      <w:r w:rsidR="00033D0F" w:rsidRPr="00CA5625">
        <w:rPr>
          <w:sz w:val="16"/>
          <w:szCs w:val="16"/>
        </w:rPr>
        <w:t>to</w:t>
      </w:r>
      <w:r w:rsidR="00033D0F" w:rsidRPr="00CA5625">
        <w:rPr>
          <w:spacing w:val="-3"/>
          <w:sz w:val="16"/>
          <w:szCs w:val="16"/>
        </w:rPr>
        <w:t xml:space="preserve"> </w:t>
      </w:r>
      <w:r w:rsidR="00033D0F" w:rsidRPr="00CA5625">
        <w:rPr>
          <w:sz w:val="16"/>
          <w:szCs w:val="16"/>
        </w:rPr>
        <w:t>a</w:t>
      </w:r>
      <w:r w:rsidR="00033D0F" w:rsidRPr="00CA5625">
        <w:rPr>
          <w:spacing w:val="-4"/>
          <w:sz w:val="16"/>
          <w:szCs w:val="16"/>
        </w:rPr>
        <w:t xml:space="preserve"> </w:t>
      </w:r>
      <w:r w:rsidR="00033D0F" w:rsidRPr="00CA5625">
        <w:rPr>
          <w:sz w:val="16"/>
          <w:szCs w:val="16"/>
        </w:rPr>
        <w:t>lower quality</w:t>
      </w:r>
      <w:r w:rsidR="00033D0F" w:rsidRPr="00CA5625">
        <w:rPr>
          <w:spacing w:val="-5"/>
          <w:sz w:val="16"/>
          <w:szCs w:val="16"/>
        </w:rPr>
        <w:t xml:space="preserve"> </w:t>
      </w:r>
      <w:r w:rsidR="00033D0F" w:rsidRPr="00CA5625">
        <w:rPr>
          <w:sz w:val="16"/>
          <w:szCs w:val="16"/>
        </w:rPr>
        <w:t>wine export</w:t>
      </w:r>
      <w:r w:rsidR="00033D0F" w:rsidRPr="00CA5625">
        <w:rPr>
          <w:spacing w:val="-2"/>
          <w:sz w:val="16"/>
          <w:szCs w:val="16"/>
        </w:rPr>
        <w:t xml:space="preserve"> </w:t>
      </w:r>
      <w:r w:rsidR="00033D0F" w:rsidRPr="00CA5625">
        <w:rPr>
          <w:sz w:val="16"/>
          <w:szCs w:val="16"/>
        </w:rPr>
        <w:t>price,</w:t>
      </w:r>
      <w:r w:rsidR="00033D0F" w:rsidRPr="00CA5625">
        <w:rPr>
          <w:spacing w:val="-1"/>
          <w:sz w:val="16"/>
          <w:szCs w:val="16"/>
        </w:rPr>
        <w:t xml:space="preserve"> </w:t>
      </w:r>
      <w:r w:rsidR="00033D0F" w:rsidRPr="00CA5625">
        <w:rPr>
          <w:sz w:val="16"/>
          <w:szCs w:val="16"/>
        </w:rPr>
        <w:t>the normal</w:t>
      </w:r>
      <w:r w:rsidR="00033D0F" w:rsidRPr="00CA5625">
        <w:rPr>
          <w:spacing w:val="-2"/>
          <w:sz w:val="16"/>
          <w:szCs w:val="16"/>
        </w:rPr>
        <w:t xml:space="preserve"> </w:t>
      </w:r>
      <w:r w:rsidR="00033D0F" w:rsidRPr="00CA5625">
        <w:rPr>
          <w:sz w:val="16"/>
          <w:szCs w:val="16"/>
        </w:rPr>
        <w:t>value would be adjusted</w:t>
      </w:r>
      <w:r w:rsidR="00033D0F" w:rsidRPr="00CA5625">
        <w:rPr>
          <w:spacing w:val="-4"/>
          <w:sz w:val="16"/>
          <w:szCs w:val="16"/>
        </w:rPr>
        <w:t xml:space="preserve"> </w:t>
      </w:r>
      <w:proofErr w:type="gramStart"/>
      <w:r w:rsidR="00033D0F" w:rsidRPr="00CA5625">
        <w:rPr>
          <w:sz w:val="16"/>
          <w:szCs w:val="16"/>
        </w:rPr>
        <w:t>downward</w:t>
      </w:r>
      <w:proofErr w:type="gramEnd"/>
      <w:r w:rsidR="00033D0F" w:rsidRPr="00CA5625">
        <w:rPr>
          <w:sz w:val="16"/>
          <w:szCs w:val="16"/>
        </w:rPr>
        <w:t xml:space="preserve"> or</w:t>
      </w:r>
      <w:r w:rsidR="00033D0F" w:rsidRPr="00CA5625">
        <w:rPr>
          <w:spacing w:val="-5"/>
          <w:sz w:val="16"/>
          <w:szCs w:val="16"/>
        </w:rPr>
        <w:t xml:space="preserve"> </w:t>
      </w:r>
      <w:r w:rsidR="00033D0F" w:rsidRPr="00CA5625">
        <w:rPr>
          <w:sz w:val="16"/>
          <w:szCs w:val="16"/>
        </w:rPr>
        <w:t>the</w:t>
      </w:r>
      <w:r w:rsidR="00033D0F" w:rsidRPr="00CA5625">
        <w:rPr>
          <w:spacing w:val="-3"/>
          <w:sz w:val="16"/>
          <w:szCs w:val="16"/>
        </w:rPr>
        <w:t xml:space="preserve"> </w:t>
      </w:r>
      <w:r w:rsidR="00033D0F" w:rsidRPr="00CA5625">
        <w:rPr>
          <w:sz w:val="16"/>
          <w:szCs w:val="16"/>
        </w:rPr>
        <w:t>export</w:t>
      </w:r>
      <w:r w:rsidR="00033D0F" w:rsidRPr="00CA5625">
        <w:rPr>
          <w:spacing w:val="-2"/>
          <w:sz w:val="16"/>
          <w:szCs w:val="16"/>
        </w:rPr>
        <w:t xml:space="preserve"> </w:t>
      </w:r>
      <w:r w:rsidR="00033D0F" w:rsidRPr="00CA5625">
        <w:rPr>
          <w:sz w:val="16"/>
          <w:szCs w:val="16"/>
        </w:rPr>
        <w:t>price adjusted</w:t>
      </w:r>
      <w:r w:rsidR="00033D0F" w:rsidRPr="00CA5625">
        <w:rPr>
          <w:spacing w:val="-4"/>
          <w:sz w:val="16"/>
          <w:szCs w:val="16"/>
        </w:rPr>
        <w:t xml:space="preserve"> </w:t>
      </w:r>
      <w:r w:rsidR="00033D0F" w:rsidRPr="00CA5625">
        <w:rPr>
          <w:sz w:val="16"/>
          <w:szCs w:val="16"/>
        </w:rPr>
        <w:t>upward</w:t>
      </w:r>
      <w:r w:rsidR="00033D0F" w:rsidRPr="00CA5625">
        <w:rPr>
          <w:spacing w:val="-4"/>
          <w:sz w:val="16"/>
          <w:szCs w:val="16"/>
        </w:rPr>
        <w:t xml:space="preserve"> </w:t>
      </w:r>
      <w:r w:rsidR="00033D0F" w:rsidRPr="00CA5625">
        <w:rPr>
          <w:sz w:val="16"/>
          <w:szCs w:val="16"/>
        </w:rPr>
        <w:t>to</w:t>
      </w:r>
      <w:r w:rsidR="00033D0F" w:rsidRPr="00CA5625">
        <w:rPr>
          <w:spacing w:val="-4"/>
          <w:sz w:val="16"/>
          <w:szCs w:val="16"/>
        </w:rPr>
        <w:t xml:space="preserve"> </w:t>
      </w:r>
      <w:r w:rsidR="00033D0F" w:rsidRPr="00CA5625">
        <w:rPr>
          <w:sz w:val="16"/>
          <w:szCs w:val="16"/>
        </w:rPr>
        <w:t>allow</w:t>
      </w:r>
      <w:r w:rsidR="00033D0F" w:rsidRPr="00CA5625">
        <w:rPr>
          <w:spacing w:val="-5"/>
          <w:sz w:val="16"/>
          <w:szCs w:val="16"/>
        </w:rPr>
        <w:t xml:space="preserve"> </w:t>
      </w:r>
      <w:r w:rsidR="00033D0F" w:rsidRPr="00CA5625">
        <w:rPr>
          <w:sz w:val="16"/>
          <w:szCs w:val="16"/>
        </w:rPr>
        <w:t>for a fair</w:t>
      </w:r>
      <w:r w:rsidR="00033D0F" w:rsidRPr="00CA5625">
        <w:rPr>
          <w:spacing w:val="-8"/>
          <w:sz w:val="16"/>
          <w:szCs w:val="16"/>
        </w:rPr>
        <w:t xml:space="preserve"> </w:t>
      </w:r>
      <w:r w:rsidR="00033D0F" w:rsidRPr="00CA5625">
        <w:rPr>
          <w:sz w:val="16"/>
          <w:szCs w:val="16"/>
        </w:rPr>
        <w:t>comparison.</w:t>
      </w:r>
    </w:p>
    <w:p w14:paraId="4B128AC7" w14:textId="77777777" w:rsidR="00BD462C" w:rsidRPr="00CA5625" w:rsidRDefault="00033D0F">
      <w:pPr>
        <w:ind w:left="135"/>
        <w:rPr>
          <w:sz w:val="16"/>
          <w:szCs w:val="16"/>
        </w:rPr>
      </w:pPr>
      <w:bookmarkStart w:id="463" w:name="_bookmark403"/>
      <w:bookmarkEnd w:id="463"/>
      <w:r w:rsidRPr="00CA5625">
        <w:rPr>
          <w:position w:val="5"/>
          <w:sz w:val="16"/>
          <w:szCs w:val="16"/>
        </w:rPr>
        <w:t>325</w:t>
      </w:r>
      <w:r w:rsidRPr="00CA5625">
        <w:rPr>
          <w:spacing w:val="13"/>
          <w:position w:val="5"/>
          <w:sz w:val="16"/>
          <w:szCs w:val="16"/>
        </w:rPr>
        <w:t xml:space="preserve"> </w:t>
      </w:r>
      <w:r w:rsidRPr="00CA5625">
        <w:rPr>
          <w:sz w:val="16"/>
          <w:szCs w:val="16"/>
        </w:rPr>
        <w:t>China's</w:t>
      </w:r>
      <w:r w:rsidRPr="00CA5625">
        <w:rPr>
          <w:spacing w:val="-5"/>
          <w:sz w:val="16"/>
          <w:szCs w:val="16"/>
        </w:rPr>
        <w:t xml:space="preserve"> </w:t>
      </w:r>
      <w:r w:rsidRPr="00CA5625">
        <w:rPr>
          <w:sz w:val="16"/>
          <w:szCs w:val="16"/>
        </w:rPr>
        <w:t>first</w:t>
      </w:r>
      <w:r w:rsidRPr="00CA5625">
        <w:rPr>
          <w:spacing w:val="-5"/>
          <w:sz w:val="16"/>
          <w:szCs w:val="16"/>
        </w:rPr>
        <w:t xml:space="preserve"> </w:t>
      </w:r>
      <w:r w:rsidRPr="00CA5625">
        <w:rPr>
          <w:sz w:val="16"/>
          <w:szCs w:val="16"/>
        </w:rPr>
        <w:t>written</w:t>
      </w:r>
      <w:r w:rsidRPr="00CA5625">
        <w:rPr>
          <w:spacing w:val="-6"/>
          <w:sz w:val="16"/>
          <w:szCs w:val="16"/>
        </w:rPr>
        <w:t xml:space="preserve"> </w:t>
      </w:r>
      <w:r w:rsidRPr="00CA5625">
        <w:rPr>
          <w:sz w:val="16"/>
          <w:szCs w:val="16"/>
        </w:rPr>
        <w:t>submission,</w:t>
      </w:r>
      <w:r w:rsidRPr="00CA5625">
        <w:rPr>
          <w:spacing w:val="1"/>
          <w:sz w:val="16"/>
          <w:szCs w:val="16"/>
        </w:rPr>
        <w:t xml:space="preserve"> </w:t>
      </w:r>
      <w:r w:rsidRPr="00CA5625">
        <w:rPr>
          <w:sz w:val="16"/>
          <w:szCs w:val="16"/>
        </w:rPr>
        <w:t xml:space="preserve">para. </w:t>
      </w:r>
      <w:r w:rsidRPr="00CA5625">
        <w:rPr>
          <w:spacing w:val="-4"/>
          <w:sz w:val="16"/>
          <w:szCs w:val="16"/>
        </w:rPr>
        <w:t>853.</w:t>
      </w:r>
    </w:p>
    <w:p w14:paraId="2162BF13" w14:textId="77777777" w:rsidR="00BD462C" w:rsidRPr="00CA5625" w:rsidRDefault="00033D0F">
      <w:pPr>
        <w:spacing w:before="1"/>
        <w:ind w:left="135"/>
        <w:rPr>
          <w:sz w:val="16"/>
          <w:szCs w:val="16"/>
        </w:rPr>
      </w:pPr>
      <w:bookmarkStart w:id="464" w:name="_bookmark404"/>
      <w:bookmarkEnd w:id="464"/>
      <w:r w:rsidRPr="00CA5625">
        <w:rPr>
          <w:position w:val="5"/>
          <w:sz w:val="16"/>
          <w:szCs w:val="16"/>
        </w:rPr>
        <w:t>326</w:t>
      </w:r>
      <w:r w:rsidRPr="00CA5625">
        <w:rPr>
          <w:spacing w:val="13"/>
          <w:position w:val="5"/>
          <w:sz w:val="16"/>
          <w:szCs w:val="16"/>
        </w:rPr>
        <w:t xml:space="preserve"> </w:t>
      </w:r>
      <w:r w:rsidRPr="00CA5625">
        <w:rPr>
          <w:sz w:val="16"/>
          <w:szCs w:val="16"/>
        </w:rPr>
        <w:t>China's</w:t>
      </w:r>
      <w:r w:rsidRPr="00CA5625">
        <w:rPr>
          <w:spacing w:val="-5"/>
          <w:sz w:val="16"/>
          <w:szCs w:val="16"/>
        </w:rPr>
        <w:t xml:space="preserve"> </w:t>
      </w:r>
      <w:r w:rsidRPr="00CA5625">
        <w:rPr>
          <w:sz w:val="16"/>
          <w:szCs w:val="16"/>
        </w:rPr>
        <w:t>first</w:t>
      </w:r>
      <w:r w:rsidRPr="00CA5625">
        <w:rPr>
          <w:spacing w:val="-5"/>
          <w:sz w:val="16"/>
          <w:szCs w:val="16"/>
        </w:rPr>
        <w:t xml:space="preserve"> </w:t>
      </w:r>
      <w:r w:rsidRPr="00CA5625">
        <w:rPr>
          <w:sz w:val="16"/>
          <w:szCs w:val="16"/>
        </w:rPr>
        <w:t>written</w:t>
      </w:r>
      <w:r w:rsidRPr="00CA5625">
        <w:rPr>
          <w:spacing w:val="-6"/>
          <w:sz w:val="16"/>
          <w:szCs w:val="16"/>
        </w:rPr>
        <w:t xml:space="preserve"> </w:t>
      </w:r>
      <w:r w:rsidRPr="00CA5625">
        <w:rPr>
          <w:sz w:val="16"/>
          <w:szCs w:val="16"/>
        </w:rPr>
        <w:t>submission,</w:t>
      </w:r>
      <w:r w:rsidRPr="00CA5625">
        <w:rPr>
          <w:spacing w:val="1"/>
          <w:sz w:val="16"/>
          <w:szCs w:val="16"/>
        </w:rPr>
        <w:t xml:space="preserve"> </w:t>
      </w:r>
      <w:r w:rsidRPr="00CA5625">
        <w:rPr>
          <w:sz w:val="16"/>
          <w:szCs w:val="16"/>
        </w:rPr>
        <w:t xml:space="preserve">para. </w:t>
      </w:r>
      <w:r w:rsidRPr="00CA5625">
        <w:rPr>
          <w:spacing w:val="-4"/>
          <w:sz w:val="16"/>
          <w:szCs w:val="16"/>
        </w:rPr>
        <w:t>818.</w:t>
      </w:r>
    </w:p>
    <w:p w14:paraId="6448FA04" w14:textId="77777777" w:rsidR="00BD462C" w:rsidRPr="00CA5625" w:rsidRDefault="00033D0F">
      <w:pPr>
        <w:spacing w:before="1"/>
        <w:ind w:left="135"/>
        <w:rPr>
          <w:sz w:val="16"/>
          <w:szCs w:val="16"/>
        </w:rPr>
      </w:pPr>
      <w:bookmarkStart w:id="465" w:name="_bookmark405"/>
      <w:bookmarkEnd w:id="465"/>
      <w:r w:rsidRPr="00CA5625">
        <w:rPr>
          <w:position w:val="5"/>
          <w:sz w:val="16"/>
          <w:szCs w:val="16"/>
        </w:rPr>
        <w:t>327</w:t>
      </w:r>
      <w:r w:rsidRPr="00CA5625">
        <w:rPr>
          <w:spacing w:val="13"/>
          <w:position w:val="5"/>
          <w:sz w:val="16"/>
          <w:szCs w:val="16"/>
        </w:rPr>
        <w:t xml:space="preserve"> </w:t>
      </w:r>
      <w:r w:rsidRPr="00CA5625">
        <w:rPr>
          <w:sz w:val="16"/>
          <w:szCs w:val="16"/>
        </w:rPr>
        <w:t>China's</w:t>
      </w:r>
      <w:r w:rsidRPr="00CA5625">
        <w:rPr>
          <w:spacing w:val="-6"/>
          <w:sz w:val="16"/>
          <w:szCs w:val="16"/>
        </w:rPr>
        <w:t xml:space="preserve"> </w:t>
      </w:r>
      <w:r w:rsidRPr="00CA5625">
        <w:rPr>
          <w:sz w:val="16"/>
          <w:szCs w:val="16"/>
        </w:rPr>
        <w:t>first</w:t>
      </w:r>
      <w:r w:rsidRPr="00CA5625">
        <w:rPr>
          <w:spacing w:val="-5"/>
          <w:sz w:val="16"/>
          <w:szCs w:val="16"/>
        </w:rPr>
        <w:t xml:space="preserve"> </w:t>
      </w:r>
      <w:r w:rsidRPr="00CA5625">
        <w:rPr>
          <w:sz w:val="16"/>
          <w:szCs w:val="16"/>
        </w:rPr>
        <w:t>written</w:t>
      </w:r>
      <w:r w:rsidRPr="00CA5625">
        <w:rPr>
          <w:spacing w:val="-6"/>
          <w:sz w:val="16"/>
          <w:szCs w:val="16"/>
        </w:rPr>
        <w:t xml:space="preserve"> </w:t>
      </w:r>
      <w:r w:rsidRPr="00CA5625">
        <w:rPr>
          <w:sz w:val="16"/>
          <w:szCs w:val="16"/>
        </w:rPr>
        <w:t>submission,</w:t>
      </w:r>
      <w:r w:rsidRPr="00CA5625">
        <w:rPr>
          <w:spacing w:val="1"/>
          <w:sz w:val="16"/>
          <w:szCs w:val="16"/>
        </w:rPr>
        <w:t xml:space="preserve"> </w:t>
      </w:r>
      <w:r w:rsidRPr="00CA5625">
        <w:rPr>
          <w:sz w:val="16"/>
          <w:szCs w:val="16"/>
        </w:rPr>
        <w:t>paras.</w:t>
      </w:r>
      <w:r w:rsidRPr="00CA5625">
        <w:rPr>
          <w:spacing w:val="-5"/>
          <w:sz w:val="16"/>
          <w:szCs w:val="16"/>
        </w:rPr>
        <w:t xml:space="preserve"> </w:t>
      </w:r>
      <w:r w:rsidRPr="00CA5625">
        <w:rPr>
          <w:sz w:val="16"/>
          <w:szCs w:val="16"/>
        </w:rPr>
        <w:t>817-</w:t>
      </w:r>
      <w:r w:rsidRPr="00CA5625">
        <w:rPr>
          <w:spacing w:val="-4"/>
          <w:sz w:val="16"/>
          <w:szCs w:val="16"/>
        </w:rPr>
        <w:t>820.</w:t>
      </w:r>
    </w:p>
    <w:p w14:paraId="5EAC5B8B" w14:textId="77777777" w:rsidR="00BD462C" w:rsidRPr="00CA5625" w:rsidRDefault="00033D0F">
      <w:pPr>
        <w:spacing w:before="1"/>
        <w:ind w:left="135"/>
        <w:rPr>
          <w:sz w:val="16"/>
          <w:szCs w:val="16"/>
        </w:rPr>
      </w:pPr>
      <w:bookmarkStart w:id="466" w:name="_bookmark406"/>
      <w:bookmarkEnd w:id="466"/>
      <w:r w:rsidRPr="00CA5625">
        <w:rPr>
          <w:position w:val="5"/>
          <w:sz w:val="16"/>
          <w:szCs w:val="16"/>
        </w:rPr>
        <w:t>328</w:t>
      </w:r>
      <w:r w:rsidRPr="00CA5625">
        <w:rPr>
          <w:spacing w:val="14"/>
          <w:position w:val="5"/>
          <w:sz w:val="16"/>
          <w:szCs w:val="16"/>
        </w:rPr>
        <w:t xml:space="preserve"> </w:t>
      </w:r>
      <w:r w:rsidRPr="00CA5625">
        <w:rPr>
          <w:sz w:val="16"/>
          <w:szCs w:val="16"/>
        </w:rPr>
        <w:t>Panel</w:t>
      </w:r>
      <w:r w:rsidRPr="00CA5625">
        <w:rPr>
          <w:spacing w:val="-4"/>
          <w:sz w:val="16"/>
          <w:szCs w:val="16"/>
        </w:rPr>
        <w:t xml:space="preserve"> </w:t>
      </w:r>
      <w:r w:rsidRPr="00CA5625">
        <w:rPr>
          <w:sz w:val="16"/>
          <w:szCs w:val="16"/>
        </w:rPr>
        <w:t>Report,</w:t>
      </w:r>
      <w:r w:rsidRPr="00CA5625">
        <w:rPr>
          <w:spacing w:val="-3"/>
          <w:sz w:val="16"/>
          <w:szCs w:val="16"/>
        </w:rPr>
        <w:t xml:space="preserve"> </w:t>
      </w:r>
      <w:r w:rsidRPr="00CA5625">
        <w:rPr>
          <w:i/>
          <w:sz w:val="16"/>
          <w:szCs w:val="16"/>
        </w:rPr>
        <w:t>US</w:t>
      </w:r>
      <w:r w:rsidRPr="00CA5625">
        <w:rPr>
          <w:i/>
          <w:spacing w:val="-6"/>
          <w:sz w:val="16"/>
          <w:szCs w:val="16"/>
        </w:rPr>
        <w:t xml:space="preserve"> </w:t>
      </w:r>
      <w:r w:rsidRPr="00CA5625">
        <w:rPr>
          <w:i/>
          <w:sz w:val="16"/>
          <w:szCs w:val="16"/>
        </w:rPr>
        <w:t>–</w:t>
      </w:r>
      <w:r w:rsidRPr="00CA5625">
        <w:rPr>
          <w:i/>
          <w:spacing w:val="-1"/>
          <w:sz w:val="16"/>
          <w:szCs w:val="16"/>
        </w:rPr>
        <w:t xml:space="preserve"> </w:t>
      </w:r>
      <w:r w:rsidRPr="00CA5625">
        <w:rPr>
          <w:i/>
          <w:sz w:val="16"/>
          <w:szCs w:val="16"/>
        </w:rPr>
        <w:t>Steel</w:t>
      </w:r>
      <w:r w:rsidRPr="00CA5625">
        <w:rPr>
          <w:i/>
          <w:spacing w:val="-3"/>
          <w:sz w:val="16"/>
          <w:szCs w:val="16"/>
        </w:rPr>
        <w:t xml:space="preserve"> </w:t>
      </w:r>
      <w:r w:rsidRPr="00CA5625">
        <w:rPr>
          <w:i/>
          <w:sz w:val="16"/>
          <w:szCs w:val="16"/>
        </w:rPr>
        <w:t>Plate</w:t>
      </w:r>
      <w:r w:rsidRPr="00CA5625">
        <w:rPr>
          <w:sz w:val="16"/>
          <w:szCs w:val="16"/>
        </w:rPr>
        <w:t>,</w:t>
      </w:r>
      <w:r w:rsidRPr="00CA5625">
        <w:rPr>
          <w:spacing w:val="-3"/>
          <w:sz w:val="16"/>
          <w:szCs w:val="16"/>
        </w:rPr>
        <w:t xml:space="preserve"> </w:t>
      </w:r>
      <w:r w:rsidRPr="00CA5625">
        <w:rPr>
          <w:sz w:val="16"/>
          <w:szCs w:val="16"/>
        </w:rPr>
        <w:t>paras.</w:t>
      </w:r>
      <w:r w:rsidRPr="00CA5625">
        <w:rPr>
          <w:spacing w:val="-4"/>
          <w:sz w:val="16"/>
          <w:szCs w:val="16"/>
        </w:rPr>
        <w:t xml:space="preserve"> </w:t>
      </w:r>
      <w:r w:rsidRPr="00CA5625">
        <w:rPr>
          <w:sz w:val="16"/>
          <w:szCs w:val="16"/>
        </w:rPr>
        <w:t>7.60-7.61.</w:t>
      </w:r>
      <w:r w:rsidRPr="00CA5625">
        <w:rPr>
          <w:spacing w:val="-3"/>
          <w:sz w:val="16"/>
          <w:szCs w:val="16"/>
        </w:rPr>
        <w:t xml:space="preserve"> </w:t>
      </w:r>
      <w:r w:rsidRPr="00CA5625">
        <w:rPr>
          <w:sz w:val="16"/>
          <w:szCs w:val="16"/>
        </w:rPr>
        <w:t>(</w:t>
      </w:r>
      <w:proofErr w:type="gramStart"/>
      <w:r w:rsidRPr="00CA5625">
        <w:rPr>
          <w:sz w:val="16"/>
          <w:szCs w:val="16"/>
        </w:rPr>
        <w:t>footnotes</w:t>
      </w:r>
      <w:proofErr w:type="gramEnd"/>
      <w:r w:rsidRPr="00CA5625">
        <w:rPr>
          <w:spacing w:val="-5"/>
          <w:sz w:val="16"/>
          <w:szCs w:val="16"/>
        </w:rPr>
        <w:t xml:space="preserve"> </w:t>
      </w:r>
      <w:r w:rsidRPr="00CA5625">
        <w:rPr>
          <w:spacing w:val="-2"/>
          <w:sz w:val="16"/>
          <w:szCs w:val="16"/>
        </w:rPr>
        <w:t>omitted)</w:t>
      </w:r>
    </w:p>
    <w:p w14:paraId="1540D983" w14:textId="77777777" w:rsidR="00BD462C" w:rsidRDefault="00BD462C">
      <w:pPr>
        <w:rPr>
          <w:sz w:val="18"/>
        </w:rPr>
        <w:sectPr w:rsidR="00BD462C">
          <w:pgSz w:w="11910" w:h="16840"/>
          <w:pgMar w:top="860" w:right="500" w:bottom="780" w:left="1280" w:header="566" w:footer="590" w:gutter="0"/>
          <w:cols w:space="720"/>
        </w:sectPr>
      </w:pPr>
    </w:p>
    <w:p w14:paraId="73E52D49"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3A073A4A"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4253EA98"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285BAE86" w14:textId="100451CE" w:rsidR="00BD462C" w:rsidRDefault="00CA5625" w:rsidP="00CA5625">
      <w:pPr>
        <w:pStyle w:val="BodyText"/>
        <w:numPr>
          <w:ilvl w:val="0"/>
          <w:numId w:val="69"/>
        </w:numPr>
        <w:spacing w:before="56" w:line="355" w:lineRule="auto"/>
        <w:ind w:right="923" w:hanging="780"/>
      </w:pPr>
      <w:r>
        <w:rPr>
          <w:position w:val="1"/>
        </w:rPr>
        <w:t xml:space="preserve">Australia makes a further observation with respect to China's claim that "even after </w:t>
      </w:r>
      <w:r>
        <w:t>having</w:t>
      </w:r>
      <w:r>
        <w:rPr>
          <w:spacing w:val="1"/>
        </w:rPr>
        <w:t xml:space="preserve"> </w:t>
      </w:r>
      <w:r>
        <w:t>been informed of</w:t>
      </w:r>
      <w:r>
        <w:rPr>
          <w:spacing w:val="1"/>
        </w:rPr>
        <w:t xml:space="preserve"> </w:t>
      </w:r>
      <w:r>
        <w:t>the</w:t>
      </w:r>
      <w:r>
        <w:rPr>
          <w:spacing w:val="2"/>
        </w:rPr>
        <w:t xml:space="preserve"> </w:t>
      </w:r>
      <w:r>
        <w:t>use</w:t>
      </w:r>
      <w:r>
        <w:rPr>
          <w:spacing w:val="1"/>
        </w:rPr>
        <w:t xml:space="preserve"> </w:t>
      </w:r>
      <w:r>
        <w:t>of</w:t>
      </w:r>
      <w:r>
        <w:rPr>
          <w:spacing w:val="5"/>
        </w:rPr>
        <w:t xml:space="preserve"> </w:t>
      </w:r>
      <w:r>
        <w:t>facts</w:t>
      </w:r>
      <w:r>
        <w:rPr>
          <w:spacing w:val="4"/>
        </w:rPr>
        <w:t xml:space="preserve"> </w:t>
      </w:r>
      <w:r>
        <w:t>available</w:t>
      </w:r>
      <w:r>
        <w:rPr>
          <w:spacing w:val="-2"/>
        </w:rPr>
        <w:t xml:space="preserve"> </w:t>
      </w:r>
      <w:r>
        <w:t>–</w:t>
      </w:r>
      <w:r>
        <w:rPr>
          <w:spacing w:val="3"/>
        </w:rPr>
        <w:t xml:space="preserve"> </w:t>
      </w:r>
      <w:r>
        <w:t>and which</w:t>
      </w:r>
      <w:r>
        <w:rPr>
          <w:spacing w:val="-1"/>
        </w:rPr>
        <w:t xml:space="preserve"> </w:t>
      </w:r>
      <w:r>
        <w:t>facts</w:t>
      </w:r>
      <w:r>
        <w:rPr>
          <w:spacing w:val="4"/>
        </w:rPr>
        <w:t xml:space="preserve"> </w:t>
      </w:r>
      <w:r>
        <w:t>available</w:t>
      </w:r>
      <w:r>
        <w:rPr>
          <w:spacing w:val="2"/>
        </w:rPr>
        <w:t xml:space="preserve"> </w:t>
      </w:r>
      <w:r>
        <w:t>were</w:t>
      </w:r>
      <w:r>
        <w:rPr>
          <w:spacing w:val="2"/>
        </w:rPr>
        <w:t xml:space="preserve"> </w:t>
      </w:r>
      <w:r>
        <w:t>used –</w:t>
      </w:r>
      <w:r>
        <w:rPr>
          <w:spacing w:val="3"/>
        </w:rPr>
        <w:t xml:space="preserve"> </w:t>
      </w:r>
      <w:r>
        <w:rPr>
          <w:spacing w:val="-5"/>
        </w:rPr>
        <w:t>in</w:t>
      </w:r>
      <w:r>
        <w:t xml:space="preserve"> </w:t>
      </w:r>
      <w:r w:rsidR="00033D0F">
        <w:t>the</w:t>
      </w:r>
      <w:r w:rsidR="00033D0F" w:rsidRPr="00CA5625">
        <w:rPr>
          <w:spacing w:val="-7"/>
        </w:rPr>
        <w:t xml:space="preserve"> </w:t>
      </w:r>
      <w:r w:rsidR="00033D0F">
        <w:t>Preliminary</w:t>
      </w:r>
      <w:r w:rsidR="00033D0F" w:rsidRPr="00CA5625">
        <w:rPr>
          <w:spacing w:val="-6"/>
        </w:rPr>
        <w:t xml:space="preserve"> </w:t>
      </w:r>
      <w:r w:rsidR="00033D0F">
        <w:t>Determination,</w:t>
      </w:r>
      <w:r w:rsidR="00033D0F" w:rsidRPr="00CA5625">
        <w:rPr>
          <w:spacing w:val="-5"/>
        </w:rPr>
        <w:t xml:space="preserve"> </w:t>
      </w:r>
      <w:r w:rsidR="00033D0F">
        <w:t>Treasury</w:t>
      </w:r>
      <w:r w:rsidR="00033D0F" w:rsidRPr="00CA5625">
        <w:rPr>
          <w:spacing w:val="-6"/>
        </w:rPr>
        <w:t xml:space="preserve"> </w:t>
      </w:r>
      <w:r w:rsidR="00033D0F">
        <w:t>Wines</w:t>
      </w:r>
      <w:r w:rsidR="00033D0F" w:rsidRPr="00CA5625">
        <w:rPr>
          <w:spacing w:val="-6"/>
        </w:rPr>
        <w:t xml:space="preserve"> </w:t>
      </w:r>
      <w:r w:rsidR="00033D0F">
        <w:t>did</w:t>
      </w:r>
      <w:r w:rsidR="00033D0F" w:rsidRPr="00CA5625">
        <w:rPr>
          <w:spacing w:val="-9"/>
        </w:rPr>
        <w:t xml:space="preserve"> </w:t>
      </w:r>
      <w:r w:rsidR="00033D0F">
        <w:t>not</w:t>
      </w:r>
      <w:r w:rsidR="00033D0F" w:rsidRPr="00CA5625">
        <w:rPr>
          <w:spacing w:val="-7"/>
        </w:rPr>
        <w:t xml:space="preserve"> </w:t>
      </w:r>
      <w:r w:rsidR="00033D0F">
        <w:t>request</w:t>
      </w:r>
      <w:r w:rsidR="00033D0F" w:rsidRPr="00CA5625">
        <w:rPr>
          <w:spacing w:val="-7"/>
        </w:rPr>
        <w:t xml:space="preserve"> </w:t>
      </w:r>
      <w:r w:rsidR="00033D0F">
        <w:t>an</w:t>
      </w:r>
      <w:r w:rsidR="00033D0F" w:rsidRPr="00CA5625">
        <w:rPr>
          <w:spacing w:val="-4"/>
        </w:rPr>
        <w:t xml:space="preserve"> </w:t>
      </w:r>
      <w:r w:rsidR="00033D0F">
        <w:t>adjustment</w:t>
      </w:r>
      <w:r w:rsidR="00033D0F" w:rsidRPr="00CA5625">
        <w:rPr>
          <w:spacing w:val="-7"/>
        </w:rPr>
        <w:t xml:space="preserve"> </w:t>
      </w:r>
      <w:r w:rsidR="00033D0F">
        <w:t>for</w:t>
      </w:r>
      <w:r w:rsidR="00033D0F" w:rsidRPr="00CA5625">
        <w:rPr>
          <w:spacing w:val="-5"/>
        </w:rPr>
        <w:t xml:space="preserve"> </w:t>
      </w:r>
      <w:r w:rsidR="00033D0F">
        <w:t>differences in quality."</w:t>
      </w:r>
      <w:hyperlink w:anchor="_bookmark407" w:history="1">
        <w:r w:rsidR="00033D0F" w:rsidRPr="00CA5625">
          <w:rPr>
            <w:vertAlign w:val="superscript"/>
          </w:rPr>
          <w:t>329</w:t>
        </w:r>
      </w:hyperlink>
      <w:r w:rsidR="00033D0F">
        <w:t xml:space="preserve"> This over-states MOFCOM's actual level of disclosure. The record of evidence does</w:t>
      </w:r>
      <w:r w:rsidR="00033D0F" w:rsidRPr="00CA5625">
        <w:rPr>
          <w:spacing w:val="-2"/>
        </w:rPr>
        <w:t xml:space="preserve"> </w:t>
      </w:r>
      <w:r w:rsidR="00033D0F">
        <w:t>not</w:t>
      </w:r>
      <w:r w:rsidR="00033D0F" w:rsidRPr="00CA5625">
        <w:rPr>
          <w:spacing w:val="-3"/>
        </w:rPr>
        <w:t xml:space="preserve"> </w:t>
      </w:r>
      <w:r w:rsidR="00033D0F">
        <w:t>indicate</w:t>
      </w:r>
      <w:r w:rsidR="00033D0F" w:rsidRPr="00CA5625">
        <w:rPr>
          <w:spacing w:val="-3"/>
        </w:rPr>
        <w:t xml:space="preserve"> </w:t>
      </w:r>
      <w:r w:rsidR="00033D0F">
        <w:t>that</w:t>
      </w:r>
      <w:r w:rsidR="00033D0F" w:rsidRPr="00CA5625">
        <w:rPr>
          <w:spacing w:val="-3"/>
        </w:rPr>
        <w:t xml:space="preserve"> </w:t>
      </w:r>
      <w:r w:rsidR="00033D0F">
        <w:t>MOFCOM</w:t>
      </w:r>
      <w:r w:rsidR="00033D0F" w:rsidRPr="00CA5625">
        <w:rPr>
          <w:spacing w:val="-3"/>
        </w:rPr>
        <w:t xml:space="preserve"> </w:t>
      </w:r>
      <w:r w:rsidR="00033D0F">
        <w:t>informed</w:t>
      </w:r>
      <w:r w:rsidR="00033D0F" w:rsidRPr="00CA5625">
        <w:rPr>
          <w:spacing w:val="-5"/>
        </w:rPr>
        <w:t xml:space="preserve"> </w:t>
      </w:r>
      <w:r w:rsidR="00033D0F">
        <w:t>Treasury</w:t>
      </w:r>
      <w:r w:rsidR="00033D0F" w:rsidRPr="00CA5625">
        <w:rPr>
          <w:spacing w:val="-2"/>
        </w:rPr>
        <w:t xml:space="preserve"> </w:t>
      </w:r>
      <w:r w:rsidR="00033D0F">
        <w:t>Wines</w:t>
      </w:r>
      <w:r w:rsidR="00033D0F" w:rsidRPr="00CA5625">
        <w:rPr>
          <w:spacing w:val="-1"/>
        </w:rPr>
        <w:t xml:space="preserve"> </w:t>
      </w:r>
      <w:r w:rsidR="00033D0F">
        <w:t>"which</w:t>
      </w:r>
      <w:r w:rsidR="00033D0F" w:rsidRPr="00CA5625">
        <w:rPr>
          <w:spacing w:val="-5"/>
        </w:rPr>
        <w:t xml:space="preserve"> </w:t>
      </w:r>
      <w:r w:rsidR="00033D0F">
        <w:t>facts</w:t>
      </w:r>
      <w:r w:rsidR="00033D0F" w:rsidRPr="00CA5625">
        <w:rPr>
          <w:spacing w:val="-2"/>
        </w:rPr>
        <w:t xml:space="preserve"> </w:t>
      </w:r>
      <w:r w:rsidR="00033D0F">
        <w:t>available</w:t>
      </w:r>
      <w:r w:rsidR="00033D0F" w:rsidRPr="00CA5625">
        <w:rPr>
          <w:spacing w:val="-3"/>
        </w:rPr>
        <w:t xml:space="preserve"> </w:t>
      </w:r>
      <w:r w:rsidR="00033D0F">
        <w:t>were</w:t>
      </w:r>
      <w:r w:rsidR="00033D0F" w:rsidRPr="00CA5625">
        <w:rPr>
          <w:spacing w:val="-3"/>
        </w:rPr>
        <w:t xml:space="preserve"> </w:t>
      </w:r>
      <w:r w:rsidR="00033D0F">
        <w:t>used", let alone how they were used.</w:t>
      </w:r>
    </w:p>
    <w:p w14:paraId="60431455" w14:textId="77777777" w:rsidR="00BD462C" w:rsidRDefault="00BD462C">
      <w:pPr>
        <w:pStyle w:val="BodyText"/>
        <w:spacing w:before="8"/>
        <w:rPr>
          <w:sz w:val="8"/>
        </w:rPr>
      </w:pPr>
    </w:p>
    <w:p w14:paraId="086FEFED" w14:textId="267562F7" w:rsidR="00BD462C" w:rsidRDefault="00033D0F" w:rsidP="00CA5625">
      <w:pPr>
        <w:pStyle w:val="BodyText"/>
        <w:numPr>
          <w:ilvl w:val="0"/>
          <w:numId w:val="69"/>
        </w:numPr>
        <w:spacing w:before="56" w:line="360" w:lineRule="auto"/>
        <w:ind w:right="913" w:hanging="780"/>
        <w:jc w:val="both"/>
      </w:pPr>
      <w:r>
        <w:rPr>
          <w:position w:val="1"/>
        </w:rPr>
        <w:t>The same errors of disclosure apply to MOFCOM's consideration of Treasury</w:t>
      </w:r>
      <w:r>
        <w:rPr>
          <w:spacing w:val="-1"/>
          <w:position w:val="1"/>
        </w:rPr>
        <w:t xml:space="preserve"> </w:t>
      </w:r>
      <w:r>
        <w:rPr>
          <w:position w:val="1"/>
        </w:rPr>
        <w:t xml:space="preserve">Wines' </w:t>
      </w:r>
      <w:r>
        <w:t>other requests for adjustments. Having failed to make adequately and timely disclosure of relevant information, MOFCOM expected Treasury Wines to make requests for adjustments "in the dark".</w:t>
      </w:r>
      <w:r>
        <w:rPr>
          <w:spacing w:val="-24"/>
        </w:rPr>
        <w:t xml:space="preserve"> </w:t>
      </w:r>
      <w:hyperlink w:anchor="_bookmark408" w:history="1">
        <w:r>
          <w:rPr>
            <w:vertAlign w:val="superscript"/>
          </w:rPr>
          <w:t>330</w:t>
        </w:r>
      </w:hyperlink>
      <w:r>
        <w:t xml:space="preserve"> (This is even more the case for the other sampled exporters.)</w:t>
      </w:r>
    </w:p>
    <w:p w14:paraId="495411EB" w14:textId="77777777" w:rsidR="00BD462C" w:rsidRDefault="00BD462C">
      <w:pPr>
        <w:pStyle w:val="BodyText"/>
        <w:spacing w:before="9"/>
        <w:rPr>
          <w:sz w:val="8"/>
        </w:rPr>
      </w:pPr>
    </w:p>
    <w:p w14:paraId="39402E67" w14:textId="3F1284C4" w:rsidR="00BD462C" w:rsidRDefault="00033D0F" w:rsidP="00CA5625">
      <w:pPr>
        <w:pStyle w:val="BodyText"/>
        <w:numPr>
          <w:ilvl w:val="0"/>
          <w:numId w:val="69"/>
        </w:numPr>
        <w:spacing w:before="56" w:line="360" w:lineRule="auto"/>
        <w:ind w:right="912" w:hanging="780"/>
        <w:jc w:val="both"/>
      </w:pPr>
      <w:r>
        <w:rPr>
          <w:position w:val="1"/>
        </w:rPr>
        <w:t>MOFCOM stated that "[s]</w:t>
      </w:r>
      <w:proofErr w:type="spellStart"/>
      <w:r>
        <w:rPr>
          <w:position w:val="1"/>
        </w:rPr>
        <w:t>ome</w:t>
      </w:r>
      <w:proofErr w:type="spellEnd"/>
      <w:r>
        <w:rPr>
          <w:position w:val="1"/>
        </w:rPr>
        <w:t xml:space="preserve"> of the information requested in the questionnaire, </w:t>
      </w:r>
      <w:r>
        <w:t>however, was not included."</w:t>
      </w:r>
      <w:hyperlink w:anchor="_bookmark409" w:history="1">
        <w:r>
          <w:rPr>
            <w:vertAlign w:val="superscript"/>
          </w:rPr>
          <w:t>331</w:t>
        </w:r>
      </w:hyperlink>
      <w:r>
        <w:t xml:space="preserve"> Following Treasury Wines' response to the preliminary determination</w:t>
      </w:r>
      <w:hyperlink w:anchor="_bookmark410" w:history="1">
        <w:r>
          <w:rPr>
            <w:vertAlign w:val="superscript"/>
          </w:rPr>
          <w:t>332</w:t>
        </w:r>
      </w:hyperlink>
      <w:r>
        <w:t xml:space="preserve"> elaborating on its original questionnaire response</w:t>
      </w:r>
      <w:hyperlink w:anchor="_bookmark411" w:history="1">
        <w:r>
          <w:rPr>
            <w:vertAlign w:val="superscript"/>
          </w:rPr>
          <w:t>333</w:t>
        </w:r>
      </w:hyperlink>
      <w:r>
        <w:t>, China claimed that it "did not explain how these were directly linked to (export or domestic) sales of the product under</w:t>
      </w:r>
      <w:r>
        <w:rPr>
          <w:spacing w:val="-4"/>
        </w:rPr>
        <w:t xml:space="preserve"> </w:t>
      </w:r>
      <w:r>
        <w:t>investigation</w:t>
      </w:r>
      <w:r>
        <w:rPr>
          <w:spacing w:val="-8"/>
        </w:rPr>
        <w:t xml:space="preserve"> </w:t>
      </w:r>
      <w:r>
        <w:t>and</w:t>
      </w:r>
      <w:r>
        <w:rPr>
          <w:spacing w:val="-3"/>
        </w:rPr>
        <w:t xml:space="preserve"> </w:t>
      </w:r>
      <w:r>
        <w:t>why</w:t>
      </w:r>
      <w:r>
        <w:rPr>
          <w:spacing w:val="-5"/>
        </w:rPr>
        <w:t xml:space="preserve"> </w:t>
      </w:r>
      <w:r>
        <w:t>this</w:t>
      </w:r>
      <w:r>
        <w:rPr>
          <w:spacing w:val="-5"/>
        </w:rPr>
        <w:t xml:space="preserve"> </w:t>
      </w:r>
      <w:r>
        <w:t>would</w:t>
      </w:r>
      <w:r>
        <w:rPr>
          <w:spacing w:val="-8"/>
        </w:rPr>
        <w:t xml:space="preserve"> </w:t>
      </w:r>
      <w:r>
        <w:t>have</w:t>
      </w:r>
      <w:r>
        <w:rPr>
          <w:spacing w:val="-6"/>
        </w:rPr>
        <w:t xml:space="preserve"> </w:t>
      </w:r>
      <w:r>
        <w:t>an</w:t>
      </w:r>
      <w:r>
        <w:rPr>
          <w:spacing w:val="-3"/>
        </w:rPr>
        <w:t xml:space="preserve"> </w:t>
      </w:r>
      <w:r>
        <w:t>impact</w:t>
      </w:r>
      <w:r>
        <w:rPr>
          <w:spacing w:val="-6"/>
        </w:rPr>
        <w:t xml:space="preserve"> </w:t>
      </w:r>
      <w:r>
        <w:t>on</w:t>
      </w:r>
      <w:r>
        <w:rPr>
          <w:spacing w:val="-3"/>
        </w:rPr>
        <w:t xml:space="preserve"> </w:t>
      </w:r>
      <w:r>
        <w:t>price</w:t>
      </w:r>
      <w:r>
        <w:rPr>
          <w:spacing w:val="-1"/>
        </w:rPr>
        <w:t xml:space="preserve"> </w:t>
      </w:r>
      <w:r>
        <w:t>comparability"</w:t>
      </w:r>
      <w:hyperlink w:anchor="_bookmark412" w:history="1">
        <w:r>
          <w:rPr>
            <w:vertAlign w:val="superscript"/>
          </w:rPr>
          <w:t>334</w:t>
        </w:r>
      </w:hyperlink>
      <w:r>
        <w:rPr>
          <w:spacing w:val="-5"/>
        </w:rPr>
        <w:t xml:space="preserve"> </w:t>
      </w:r>
      <w:r>
        <w:t>but</w:t>
      </w:r>
      <w:r>
        <w:rPr>
          <w:spacing w:val="-1"/>
        </w:rPr>
        <w:t xml:space="preserve"> </w:t>
      </w:r>
      <w:r>
        <w:t>did</w:t>
      </w:r>
      <w:r>
        <w:rPr>
          <w:spacing w:val="-8"/>
        </w:rPr>
        <w:t xml:space="preserve"> </w:t>
      </w:r>
      <w:r>
        <w:t>not seek this specific information or engage Treasury Wines in dialogue. Australia has addressed the obligation on the investigating authority, as well as the exporter, to ensure a fair comparison.</w:t>
      </w:r>
      <w:r>
        <w:rPr>
          <w:spacing w:val="-29"/>
        </w:rPr>
        <w:t xml:space="preserve"> </w:t>
      </w:r>
      <w:hyperlink w:anchor="_bookmark413" w:history="1">
        <w:r>
          <w:rPr>
            <w:vertAlign w:val="superscript"/>
          </w:rPr>
          <w:t>335</w:t>
        </w:r>
      </w:hyperlink>
    </w:p>
    <w:p w14:paraId="6E40EA93" w14:textId="77777777" w:rsidR="00BD462C" w:rsidRDefault="00BD462C">
      <w:pPr>
        <w:pStyle w:val="BodyText"/>
        <w:spacing w:before="3"/>
        <w:rPr>
          <w:sz w:val="8"/>
        </w:rPr>
      </w:pPr>
    </w:p>
    <w:p w14:paraId="3BA48806" w14:textId="05EB9AE4" w:rsidR="00BD462C" w:rsidRPr="00CA5625" w:rsidRDefault="006D6579" w:rsidP="00CA5625">
      <w:pPr>
        <w:pStyle w:val="BodyText"/>
        <w:numPr>
          <w:ilvl w:val="0"/>
          <w:numId w:val="69"/>
        </w:numPr>
        <w:spacing w:before="9" w:line="360" w:lineRule="auto"/>
        <w:ind w:right="914" w:hanging="780"/>
        <w:jc w:val="both"/>
        <w:rPr>
          <w:sz w:val="27"/>
        </w:rPr>
      </w:pPr>
      <w:r>
        <w:rPr>
          <w:noProof/>
        </w:rPr>
        <mc:AlternateContent>
          <mc:Choice Requires="wps">
            <w:drawing>
              <wp:anchor distT="0" distB="0" distL="0" distR="0" simplePos="0" relativeHeight="487689728" behindDoc="1" locked="0" layoutInCell="1" allowOverlap="1" wp14:anchorId="03F26808" wp14:editId="7C1C15C1">
                <wp:simplePos x="0" y="0"/>
                <wp:positionH relativeFrom="page">
                  <wp:posOffset>894715</wp:posOffset>
                </wp:positionH>
                <wp:positionV relativeFrom="paragraph">
                  <wp:posOffset>2366010</wp:posOffset>
                </wp:positionV>
                <wp:extent cx="1828800" cy="8890"/>
                <wp:effectExtent l="0" t="0" r="0" b="0"/>
                <wp:wrapTopAndBottom/>
                <wp:docPr id="994" name="docshape2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390A8C" id="docshape219" o:spid="_x0000_s1026" alt="&quot;&quot;" style="position:absolute;margin-left:70.45pt;margin-top:186.3pt;width:2in;height:.7pt;z-index:-15626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" fillcolor="black" stroked="f">
                <w10:wrap type="topAndBottom" anchorx="page"/>
              </v:rect>
            </w:pict>
          </mc:Fallback>
        </mc:AlternateContent>
      </w:r>
      <w:r w:rsidR="00033D0F" w:rsidRPr="00CA5625">
        <w:rPr>
          <w:position w:val="1"/>
        </w:rPr>
        <w:t>Regarding China's claim that "Australia does not argue that these differences</w:t>
      </w:r>
      <w:r w:rsidR="00033D0F" w:rsidRPr="00CA5625">
        <w:rPr>
          <w:spacing w:val="80"/>
          <w:position w:val="1"/>
        </w:rPr>
        <w:t xml:space="preserve"> </w:t>
      </w:r>
      <w:r w:rsidR="00033D0F">
        <w:t>identified by Treasury Wines affect price comparability", these differences commonly result in price comparability issues and the absence of proper consideration of price comparability by</w:t>
      </w:r>
      <w:r w:rsidR="00033D0F" w:rsidRPr="00CA5625">
        <w:rPr>
          <w:spacing w:val="-8"/>
        </w:rPr>
        <w:t xml:space="preserve"> </w:t>
      </w:r>
      <w:r w:rsidR="00033D0F">
        <w:t>MOFCOM</w:t>
      </w:r>
      <w:r w:rsidR="00033D0F" w:rsidRPr="00CA5625">
        <w:rPr>
          <w:spacing w:val="-9"/>
        </w:rPr>
        <w:t xml:space="preserve"> </w:t>
      </w:r>
      <w:r w:rsidR="00033D0F">
        <w:t>prevents</w:t>
      </w:r>
      <w:r w:rsidR="00033D0F" w:rsidRPr="00CA5625">
        <w:rPr>
          <w:spacing w:val="-8"/>
        </w:rPr>
        <w:t xml:space="preserve"> </w:t>
      </w:r>
      <w:r w:rsidR="00033D0F">
        <w:t>further</w:t>
      </w:r>
      <w:r w:rsidR="00033D0F" w:rsidRPr="00CA5625">
        <w:rPr>
          <w:spacing w:val="-11"/>
        </w:rPr>
        <w:t xml:space="preserve"> </w:t>
      </w:r>
      <w:r w:rsidR="00033D0F">
        <w:t>elaboration</w:t>
      </w:r>
      <w:r w:rsidR="00033D0F" w:rsidRPr="00CA5625">
        <w:rPr>
          <w:spacing w:val="-11"/>
        </w:rPr>
        <w:t xml:space="preserve"> </w:t>
      </w:r>
      <w:r w:rsidR="00033D0F">
        <w:t>upon</w:t>
      </w:r>
      <w:r w:rsidR="00033D0F" w:rsidRPr="00CA5625">
        <w:rPr>
          <w:spacing w:val="-11"/>
        </w:rPr>
        <w:t xml:space="preserve"> </w:t>
      </w:r>
      <w:r w:rsidR="00033D0F">
        <w:t>this</w:t>
      </w:r>
      <w:r w:rsidR="00033D0F" w:rsidRPr="00CA5625">
        <w:rPr>
          <w:spacing w:val="-8"/>
        </w:rPr>
        <w:t xml:space="preserve"> </w:t>
      </w:r>
      <w:r w:rsidR="00033D0F">
        <w:t>point.</w:t>
      </w:r>
      <w:r w:rsidR="00033D0F" w:rsidRPr="00CA5625">
        <w:rPr>
          <w:spacing w:val="-12"/>
        </w:rPr>
        <w:t xml:space="preserve"> </w:t>
      </w:r>
      <w:r w:rsidR="00033D0F">
        <w:t>In</w:t>
      </w:r>
      <w:r w:rsidR="00033D0F" w:rsidRPr="00CA5625">
        <w:rPr>
          <w:spacing w:val="-11"/>
        </w:rPr>
        <w:t xml:space="preserve"> </w:t>
      </w:r>
      <w:r w:rsidR="00033D0F">
        <w:t>any</w:t>
      </w:r>
      <w:r w:rsidR="00033D0F" w:rsidRPr="00CA5625">
        <w:rPr>
          <w:spacing w:val="-8"/>
        </w:rPr>
        <w:t xml:space="preserve"> </w:t>
      </w:r>
      <w:r w:rsidR="00033D0F">
        <w:t>event,</w:t>
      </w:r>
      <w:r w:rsidR="00033D0F" w:rsidRPr="00CA5625">
        <w:rPr>
          <w:spacing w:val="-7"/>
        </w:rPr>
        <w:t xml:space="preserve"> </w:t>
      </w:r>
      <w:r w:rsidR="00033D0F">
        <w:t>the</w:t>
      </w:r>
      <w:r w:rsidR="00033D0F" w:rsidRPr="00CA5625">
        <w:rPr>
          <w:spacing w:val="-9"/>
        </w:rPr>
        <w:t xml:space="preserve"> </w:t>
      </w:r>
      <w:r w:rsidR="00033D0F">
        <w:t>obligation</w:t>
      </w:r>
      <w:r w:rsidR="00033D0F" w:rsidRPr="00CA5625">
        <w:rPr>
          <w:spacing w:val="-11"/>
        </w:rPr>
        <w:t xml:space="preserve"> </w:t>
      </w:r>
      <w:r w:rsidR="00033D0F">
        <w:t>was</w:t>
      </w:r>
      <w:r w:rsidR="00033D0F" w:rsidRPr="00CA5625">
        <w:rPr>
          <w:spacing w:val="-8"/>
        </w:rPr>
        <w:t xml:space="preserve"> </w:t>
      </w:r>
      <w:r w:rsidR="00033D0F">
        <w:t>on MOFCOM</w:t>
      </w:r>
      <w:r w:rsidR="00033D0F" w:rsidRPr="00CA5625">
        <w:rPr>
          <w:spacing w:val="-12"/>
        </w:rPr>
        <w:t xml:space="preserve"> </w:t>
      </w:r>
      <w:r w:rsidR="00033D0F">
        <w:t>to</w:t>
      </w:r>
      <w:r w:rsidR="00033D0F" w:rsidRPr="00CA5625">
        <w:rPr>
          <w:spacing w:val="-14"/>
        </w:rPr>
        <w:t xml:space="preserve"> </w:t>
      </w:r>
      <w:r w:rsidR="00033D0F">
        <w:t>properly</w:t>
      </w:r>
      <w:r w:rsidR="00033D0F" w:rsidRPr="00CA5625">
        <w:rPr>
          <w:spacing w:val="-10"/>
        </w:rPr>
        <w:t xml:space="preserve"> </w:t>
      </w:r>
      <w:r w:rsidR="00033D0F">
        <w:t>consider</w:t>
      </w:r>
      <w:r w:rsidR="00033D0F" w:rsidRPr="00CA5625">
        <w:rPr>
          <w:spacing w:val="-10"/>
        </w:rPr>
        <w:t xml:space="preserve"> </w:t>
      </w:r>
      <w:r w:rsidR="00033D0F">
        <w:t>whether</w:t>
      </w:r>
      <w:r w:rsidR="00033D0F" w:rsidRPr="00CA5625">
        <w:rPr>
          <w:spacing w:val="-14"/>
        </w:rPr>
        <w:t xml:space="preserve"> </w:t>
      </w:r>
      <w:r w:rsidR="00033D0F">
        <w:t>the</w:t>
      </w:r>
      <w:r w:rsidR="00033D0F" w:rsidRPr="00CA5625">
        <w:rPr>
          <w:spacing w:val="-6"/>
        </w:rPr>
        <w:t xml:space="preserve"> </w:t>
      </w:r>
      <w:r w:rsidR="00033D0F">
        <w:t>differences</w:t>
      </w:r>
      <w:r w:rsidR="00033D0F" w:rsidRPr="00CA5625">
        <w:rPr>
          <w:spacing w:val="-10"/>
        </w:rPr>
        <w:t xml:space="preserve"> </w:t>
      </w:r>
      <w:r w:rsidR="00033D0F">
        <w:t>affected</w:t>
      </w:r>
      <w:r w:rsidR="00033D0F" w:rsidRPr="00CA5625">
        <w:rPr>
          <w:spacing w:val="-14"/>
        </w:rPr>
        <w:t xml:space="preserve"> </w:t>
      </w:r>
      <w:r w:rsidR="00033D0F">
        <w:t>price</w:t>
      </w:r>
      <w:r w:rsidR="00033D0F" w:rsidRPr="00CA5625">
        <w:rPr>
          <w:spacing w:val="-11"/>
        </w:rPr>
        <w:t xml:space="preserve"> </w:t>
      </w:r>
      <w:r w:rsidR="00033D0F">
        <w:t>comparability</w:t>
      </w:r>
      <w:r w:rsidR="00033D0F" w:rsidRPr="00CA5625">
        <w:rPr>
          <w:spacing w:val="-11"/>
        </w:rPr>
        <w:t xml:space="preserve"> </w:t>
      </w:r>
      <w:r w:rsidR="00033D0F">
        <w:t>and</w:t>
      </w:r>
      <w:r w:rsidR="00033D0F" w:rsidRPr="00CA5625">
        <w:rPr>
          <w:spacing w:val="-14"/>
        </w:rPr>
        <w:t xml:space="preserve"> </w:t>
      </w:r>
      <w:r w:rsidR="00033D0F">
        <w:t>it</w:t>
      </w:r>
      <w:r w:rsidR="00033D0F" w:rsidRPr="00CA5625">
        <w:rPr>
          <w:spacing w:val="-10"/>
        </w:rPr>
        <w:t xml:space="preserve"> </w:t>
      </w:r>
      <w:r w:rsidR="00033D0F">
        <w:t>did not. China's assumption that "the same adjustments were claimed on both the normal value (domestic</w:t>
      </w:r>
      <w:r w:rsidR="00033D0F" w:rsidRPr="00CA5625">
        <w:rPr>
          <w:spacing w:val="-7"/>
        </w:rPr>
        <w:t xml:space="preserve"> </w:t>
      </w:r>
      <w:r w:rsidR="00033D0F">
        <w:t>sales)</w:t>
      </w:r>
      <w:r w:rsidR="00033D0F" w:rsidRPr="00CA5625">
        <w:rPr>
          <w:spacing w:val="-8"/>
        </w:rPr>
        <w:t xml:space="preserve"> </w:t>
      </w:r>
      <w:r w:rsidR="00033D0F">
        <w:t>side</w:t>
      </w:r>
      <w:r w:rsidR="00033D0F" w:rsidRPr="00CA5625">
        <w:rPr>
          <w:spacing w:val="-6"/>
        </w:rPr>
        <w:t xml:space="preserve"> </w:t>
      </w:r>
      <w:r w:rsidR="00033D0F">
        <w:t>as</w:t>
      </w:r>
      <w:r w:rsidR="00033D0F" w:rsidRPr="00CA5625">
        <w:rPr>
          <w:spacing w:val="-5"/>
        </w:rPr>
        <w:t xml:space="preserve"> </w:t>
      </w:r>
      <w:r w:rsidR="00033D0F">
        <w:t>on</w:t>
      </w:r>
      <w:r w:rsidR="00033D0F" w:rsidRPr="00CA5625">
        <w:rPr>
          <w:spacing w:val="-3"/>
        </w:rPr>
        <w:t xml:space="preserve"> </w:t>
      </w:r>
      <w:r w:rsidR="00033D0F">
        <w:t>the</w:t>
      </w:r>
      <w:r w:rsidR="00033D0F" w:rsidRPr="00CA5625">
        <w:rPr>
          <w:spacing w:val="-6"/>
        </w:rPr>
        <w:t xml:space="preserve"> </w:t>
      </w:r>
      <w:r w:rsidR="00033D0F">
        <w:t>export</w:t>
      </w:r>
      <w:r w:rsidR="00033D0F" w:rsidRPr="00CA5625">
        <w:rPr>
          <w:spacing w:val="-6"/>
        </w:rPr>
        <w:t xml:space="preserve"> </w:t>
      </w:r>
      <w:r w:rsidR="00033D0F">
        <w:t>side,</w:t>
      </w:r>
      <w:r w:rsidR="00033D0F" w:rsidRPr="00CA5625">
        <w:rPr>
          <w:spacing w:val="-4"/>
        </w:rPr>
        <w:t xml:space="preserve"> </w:t>
      </w:r>
      <w:r w:rsidR="00033D0F">
        <w:t>thereby</w:t>
      </w:r>
      <w:r w:rsidR="00033D0F" w:rsidRPr="00CA5625">
        <w:rPr>
          <w:spacing w:val="-5"/>
        </w:rPr>
        <w:t xml:space="preserve"> </w:t>
      </w:r>
      <w:r w:rsidR="00033D0F">
        <w:t>indicating</w:t>
      </w:r>
      <w:r w:rsidR="00033D0F" w:rsidRPr="00CA5625">
        <w:rPr>
          <w:spacing w:val="-5"/>
        </w:rPr>
        <w:t xml:space="preserve"> </w:t>
      </w:r>
      <w:r w:rsidR="00033D0F">
        <w:t>that</w:t>
      </w:r>
      <w:r w:rsidR="00033D0F" w:rsidRPr="00CA5625">
        <w:rPr>
          <w:spacing w:val="-6"/>
        </w:rPr>
        <w:t xml:space="preserve"> </w:t>
      </w:r>
      <w:r w:rsidR="00033D0F">
        <w:t>there</w:t>
      </w:r>
      <w:r w:rsidR="00033D0F" w:rsidRPr="00CA5625">
        <w:rPr>
          <w:spacing w:val="-6"/>
        </w:rPr>
        <w:t xml:space="preserve"> </w:t>
      </w:r>
      <w:r w:rsidR="00033D0F">
        <w:t>is</w:t>
      </w:r>
      <w:r w:rsidR="00033D0F" w:rsidRPr="00CA5625">
        <w:rPr>
          <w:spacing w:val="-5"/>
        </w:rPr>
        <w:t xml:space="preserve"> </w:t>
      </w:r>
      <w:r w:rsidR="00033D0F">
        <w:t>no</w:t>
      </w:r>
      <w:r w:rsidR="00033D0F" w:rsidRPr="00CA5625">
        <w:rPr>
          <w:spacing w:val="-4"/>
        </w:rPr>
        <w:t xml:space="preserve"> </w:t>
      </w:r>
      <w:r w:rsidR="00033D0F">
        <w:t>impact</w:t>
      </w:r>
      <w:r w:rsidR="00033D0F" w:rsidRPr="00CA5625">
        <w:rPr>
          <w:spacing w:val="-6"/>
        </w:rPr>
        <w:t xml:space="preserve"> </w:t>
      </w:r>
      <w:r w:rsidR="00033D0F">
        <w:t>on</w:t>
      </w:r>
      <w:r w:rsidR="00033D0F" w:rsidRPr="00CA5625">
        <w:rPr>
          <w:spacing w:val="-8"/>
        </w:rPr>
        <w:t xml:space="preserve"> </w:t>
      </w:r>
      <w:r w:rsidR="00033D0F">
        <w:t>price comparability"</w:t>
      </w:r>
      <w:hyperlink w:anchor="_bookmark414" w:history="1">
        <w:r w:rsidR="00033D0F" w:rsidRPr="00CA5625">
          <w:rPr>
            <w:vertAlign w:val="superscript"/>
          </w:rPr>
          <w:t>336</w:t>
        </w:r>
      </w:hyperlink>
      <w:r w:rsidR="00033D0F">
        <w:t xml:space="preserve"> is </w:t>
      </w:r>
      <w:r w:rsidR="00033D0F" w:rsidRPr="00CA5625">
        <w:rPr>
          <w:i/>
        </w:rPr>
        <w:t xml:space="preserve">ex post facto </w:t>
      </w:r>
      <w:r w:rsidR="00033D0F">
        <w:t xml:space="preserve">and </w:t>
      </w:r>
    </w:p>
    <w:p w14:paraId="32030FAB" w14:textId="5CDF8484" w:rsidR="00BD462C" w:rsidRDefault="00033D0F">
      <w:pPr>
        <w:spacing w:before="112"/>
        <w:ind w:left="135"/>
        <w:rPr>
          <w:sz w:val="18"/>
        </w:rPr>
      </w:pPr>
      <w:bookmarkStart w:id="467" w:name="_bookmark407"/>
      <w:bookmarkEnd w:id="467"/>
      <w:r>
        <w:rPr>
          <w:position w:val="5"/>
          <w:sz w:val="12"/>
        </w:rPr>
        <w:t>329</w:t>
      </w:r>
      <w:r>
        <w:rPr>
          <w:spacing w:val="13"/>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 xml:space="preserve">para. </w:t>
      </w:r>
      <w:r>
        <w:rPr>
          <w:spacing w:val="-4"/>
          <w:sz w:val="18"/>
        </w:rPr>
        <w:t>854.</w:t>
      </w:r>
    </w:p>
    <w:p w14:paraId="3A7CE385" w14:textId="77777777" w:rsidR="00BD462C" w:rsidRDefault="00033D0F">
      <w:pPr>
        <w:spacing w:before="1"/>
        <w:ind w:left="135"/>
        <w:rPr>
          <w:sz w:val="18"/>
        </w:rPr>
      </w:pPr>
      <w:bookmarkStart w:id="468" w:name="_bookmark408"/>
      <w:bookmarkEnd w:id="468"/>
      <w:r>
        <w:rPr>
          <w:position w:val="5"/>
          <w:sz w:val="12"/>
        </w:rPr>
        <w:t>330</w:t>
      </w:r>
      <w:r>
        <w:rPr>
          <w:spacing w:val="12"/>
          <w:position w:val="5"/>
          <w:sz w:val="12"/>
        </w:rPr>
        <w:t xml:space="preserve"> </w:t>
      </w:r>
      <w:r>
        <w:rPr>
          <w:sz w:val="18"/>
        </w:rPr>
        <w:t>China's</w:t>
      </w:r>
      <w:r>
        <w:rPr>
          <w:spacing w:val="-6"/>
          <w:sz w:val="18"/>
        </w:rPr>
        <w:t xml:space="preserve"> </w:t>
      </w:r>
      <w:r>
        <w:rPr>
          <w:sz w:val="18"/>
        </w:rPr>
        <w:t>first</w:t>
      </w:r>
      <w:r>
        <w:rPr>
          <w:spacing w:val="-6"/>
          <w:sz w:val="18"/>
        </w:rPr>
        <w:t xml:space="preserve"> </w:t>
      </w:r>
      <w:r>
        <w:rPr>
          <w:sz w:val="18"/>
        </w:rPr>
        <w:t>written</w:t>
      </w:r>
      <w:r>
        <w:rPr>
          <w:spacing w:val="-7"/>
          <w:sz w:val="18"/>
        </w:rPr>
        <w:t xml:space="preserve"> </w:t>
      </w:r>
      <w:r>
        <w:rPr>
          <w:sz w:val="18"/>
        </w:rPr>
        <w:t>submission, para. 817-</w:t>
      </w:r>
      <w:r>
        <w:rPr>
          <w:spacing w:val="-4"/>
          <w:sz w:val="18"/>
        </w:rPr>
        <w:t>820.</w:t>
      </w:r>
    </w:p>
    <w:p w14:paraId="64313B55" w14:textId="77777777" w:rsidR="00BD462C" w:rsidRDefault="00033D0F">
      <w:pPr>
        <w:spacing w:before="1" w:line="219" w:lineRule="exact"/>
        <w:ind w:left="135"/>
        <w:rPr>
          <w:sz w:val="18"/>
        </w:rPr>
      </w:pPr>
      <w:bookmarkStart w:id="469" w:name="_bookmark409"/>
      <w:bookmarkEnd w:id="469"/>
      <w:r>
        <w:rPr>
          <w:position w:val="5"/>
          <w:sz w:val="12"/>
        </w:rPr>
        <w:t>331</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 xml:space="preserve">submission, para. </w:t>
      </w:r>
      <w:r>
        <w:rPr>
          <w:spacing w:val="-4"/>
          <w:sz w:val="18"/>
        </w:rPr>
        <w:t>871.</w:t>
      </w:r>
    </w:p>
    <w:p w14:paraId="4FBE19CC" w14:textId="67077F58" w:rsidR="00BD462C" w:rsidRDefault="00D70C7D">
      <w:pPr>
        <w:spacing w:line="219" w:lineRule="exact"/>
        <w:ind w:left="135"/>
        <w:rPr>
          <w:sz w:val="18"/>
        </w:rPr>
      </w:pPr>
      <w:r>
        <w:rPr>
          <w:noProof/>
        </w:rPr>
        <mc:AlternateContent>
          <mc:Choice Requires="wps">
            <w:drawing>
              <wp:anchor distT="0" distB="0" distL="114300" distR="114300" simplePos="0" relativeHeight="478991360" behindDoc="1" locked="0" layoutInCell="1" allowOverlap="1" wp14:anchorId="058DA877" wp14:editId="63C10760">
                <wp:simplePos x="0" y="0"/>
                <wp:positionH relativeFrom="page">
                  <wp:posOffset>1045210</wp:posOffset>
                </wp:positionH>
                <wp:positionV relativeFrom="paragraph">
                  <wp:posOffset>635</wp:posOffset>
                </wp:positionV>
                <wp:extent cx="4114800" cy="277495"/>
                <wp:effectExtent l="0" t="0" r="0" b="0"/>
                <wp:wrapNone/>
                <wp:docPr id="992" name="docshape2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14800" cy="277495"/>
                        </a:xfrm>
                        <a:custGeom>
                          <a:avLst/>
                          <a:gdLst>
                            <a:gd name="T0" fmla="+- 0 8126 1646"/>
                            <a:gd name="T1" fmla="*/ T0 w 6480"/>
                            <a:gd name="T2" fmla="+- 0 1 1"/>
                            <a:gd name="T3" fmla="*/ 1 h 437"/>
                            <a:gd name="T4" fmla="+- 0 1646 1646"/>
                            <a:gd name="T5" fmla="*/ T4 w 6480"/>
                            <a:gd name="T6" fmla="+- 0 1 1"/>
                            <a:gd name="T7" fmla="*/ 1 h 437"/>
                            <a:gd name="T8" fmla="+- 0 1646 1646"/>
                            <a:gd name="T9" fmla="*/ T8 w 6480"/>
                            <a:gd name="T10" fmla="+- 0 217 1"/>
                            <a:gd name="T11" fmla="*/ 217 h 437"/>
                            <a:gd name="T12" fmla="+- 0 1646 1646"/>
                            <a:gd name="T13" fmla="*/ T12 w 6480"/>
                            <a:gd name="T14" fmla="+- 0 437 1"/>
                            <a:gd name="T15" fmla="*/ 437 h 437"/>
                            <a:gd name="T16" fmla="+- 0 7003 1646"/>
                            <a:gd name="T17" fmla="*/ T16 w 6480"/>
                            <a:gd name="T18" fmla="+- 0 437 1"/>
                            <a:gd name="T19" fmla="*/ 437 h 437"/>
                            <a:gd name="T20" fmla="+- 0 7003 1646"/>
                            <a:gd name="T21" fmla="*/ T20 w 6480"/>
                            <a:gd name="T22" fmla="+- 0 217 1"/>
                            <a:gd name="T23" fmla="*/ 217 h 437"/>
                            <a:gd name="T24" fmla="+- 0 8126 1646"/>
                            <a:gd name="T25" fmla="*/ T24 w 6480"/>
                            <a:gd name="T26" fmla="+- 0 217 1"/>
                            <a:gd name="T27" fmla="*/ 217 h 437"/>
                            <a:gd name="T28" fmla="+- 0 8126 1646"/>
                            <a:gd name="T29" fmla="*/ T28 w 6480"/>
                            <a:gd name="T30" fmla="+- 0 1 1"/>
                            <a:gd name="T31" fmla="*/ 1 h 4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480" h="437">
                              <a:moveTo>
                                <a:pt x="6480" y="0"/>
                              </a:moveTo>
                              <a:lnTo>
                                <a:pt x="0" y="0"/>
                              </a:lnTo>
                              <a:lnTo>
                                <a:pt x="0" y="216"/>
                              </a:lnTo>
                              <a:lnTo>
                                <a:pt x="0" y="436"/>
                              </a:lnTo>
                              <a:lnTo>
                                <a:pt x="5357" y="436"/>
                              </a:lnTo>
                              <a:lnTo>
                                <a:pt x="5357" y="216"/>
                              </a:lnTo>
                              <a:lnTo>
                                <a:pt x="6480" y="216"/>
                              </a:lnTo>
                              <a:lnTo>
                                <a:pt x="64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21599" id="docshape220" o:spid="_x0000_s1026" alt="&quot;&quot;" style="position:absolute;margin-left:82.3pt;margin-top:.05pt;width:324pt;height:21.85pt;z-index:-24325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480,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" path="m6480,l,,,216,,436r5357,l5357,216r1123,l6480,xe" fillcolor="black" stroked="f">
                <v:path arrowok="t" o:connecttype="custom" o:connectlocs="4114800,635;0,635;0,137795;0,277495;3401695,277495;3401695,137795;4114800,137795;4114800,635" o:connectangles="0,0,0,0,0,0,0,0"/>
                <w10:wrap anchorx="page"/>
              </v:shape>
            </w:pict>
          </mc:Fallback>
        </mc:AlternateContent>
      </w:r>
      <w:bookmarkStart w:id="470" w:name="_bookmark410"/>
      <w:bookmarkEnd w:id="470"/>
      <w:r w:rsidR="00033D0F">
        <w:rPr>
          <w:sz w:val="12"/>
        </w:rPr>
        <w:t>332</w:t>
      </w:r>
      <w:r w:rsidR="00033D0F">
        <w:rPr>
          <w:spacing w:val="19"/>
          <w:sz w:val="12"/>
        </w:rPr>
        <w:t xml:space="preserve"> </w:t>
      </w:r>
      <w:r w:rsidR="00033D0F">
        <w:rPr>
          <w:spacing w:val="-10"/>
          <w:position w:val="-4"/>
          <w:sz w:val="18"/>
        </w:rPr>
        <w:t>[</w:t>
      </w:r>
    </w:p>
    <w:p w14:paraId="4AF092DB" w14:textId="77777777" w:rsidR="00BD462C" w:rsidRDefault="00033D0F">
      <w:pPr>
        <w:spacing w:before="1" w:line="219" w:lineRule="exact"/>
        <w:ind w:left="135"/>
        <w:rPr>
          <w:sz w:val="18"/>
        </w:rPr>
      </w:pPr>
      <w:bookmarkStart w:id="471" w:name="_bookmark411"/>
      <w:bookmarkEnd w:id="471"/>
      <w:r>
        <w:rPr>
          <w:sz w:val="12"/>
        </w:rPr>
        <w:t>333</w:t>
      </w:r>
      <w:r>
        <w:rPr>
          <w:spacing w:val="19"/>
          <w:sz w:val="12"/>
        </w:rPr>
        <w:t xml:space="preserve"> </w:t>
      </w:r>
      <w:r>
        <w:rPr>
          <w:spacing w:val="-10"/>
          <w:position w:val="-4"/>
          <w:sz w:val="18"/>
        </w:rPr>
        <w:t>[</w:t>
      </w:r>
    </w:p>
    <w:p w14:paraId="0A3EBD0B" w14:textId="77777777" w:rsidR="00BD462C" w:rsidRDefault="00033D0F">
      <w:pPr>
        <w:spacing w:line="219" w:lineRule="exact"/>
        <w:ind w:left="135"/>
        <w:rPr>
          <w:sz w:val="18"/>
        </w:rPr>
      </w:pPr>
      <w:bookmarkStart w:id="472" w:name="_bookmark412"/>
      <w:bookmarkEnd w:id="472"/>
      <w:r>
        <w:rPr>
          <w:position w:val="5"/>
          <w:sz w:val="12"/>
        </w:rPr>
        <w:t>334</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 xml:space="preserve">submission, para. </w:t>
      </w:r>
      <w:r>
        <w:rPr>
          <w:spacing w:val="-4"/>
          <w:sz w:val="18"/>
        </w:rPr>
        <w:t>872.</w:t>
      </w:r>
    </w:p>
    <w:p w14:paraId="23E70E8A" w14:textId="77777777" w:rsidR="00BD462C" w:rsidRDefault="00033D0F">
      <w:pPr>
        <w:spacing w:before="1"/>
        <w:ind w:left="135"/>
        <w:rPr>
          <w:sz w:val="18"/>
        </w:rPr>
      </w:pPr>
      <w:bookmarkStart w:id="473" w:name="_bookmark413"/>
      <w:bookmarkEnd w:id="473"/>
      <w:r>
        <w:rPr>
          <w:position w:val="5"/>
          <w:sz w:val="12"/>
        </w:rPr>
        <w:t>335</w:t>
      </w:r>
      <w:r>
        <w:rPr>
          <w:spacing w:val="13"/>
          <w:position w:val="5"/>
          <w:sz w:val="12"/>
        </w:rPr>
        <w:t xml:space="preserve"> </w:t>
      </w:r>
      <w:r>
        <w:rPr>
          <w:sz w:val="18"/>
        </w:rPr>
        <w:t>See</w:t>
      </w:r>
      <w:r>
        <w:rPr>
          <w:spacing w:val="-5"/>
          <w:sz w:val="18"/>
        </w:rPr>
        <w:t xml:space="preserve"> </w:t>
      </w:r>
      <w:r>
        <w:rPr>
          <w:sz w:val="18"/>
        </w:rPr>
        <w:t>paras.</w:t>
      </w:r>
      <w:r>
        <w:rPr>
          <w:spacing w:val="1"/>
          <w:sz w:val="18"/>
        </w:rPr>
        <w:t xml:space="preserve"> </w:t>
      </w:r>
      <w:hyperlink w:anchor="_bookmark167" w:history="1">
        <w:r>
          <w:rPr>
            <w:sz w:val="18"/>
          </w:rPr>
          <w:t>91</w:t>
        </w:r>
      </w:hyperlink>
      <w:hyperlink w:anchor="_bookmark238" w:history="1">
        <w:r>
          <w:rPr>
            <w:sz w:val="18"/>
          </w:rPr>
          <w:t>-</w:t>
        </w:r>
        <w:r>
          <w:rPr>
            <w:spacing w:val="-4"/>
            <w:sz w:val="18"/>
          </w:rPr>
          <w:t>121.</w:t>
        </w:r>
      </w:hyperlink>
    </w:p>
    <w:p w14:paraId="722578CE" w14:textId="77777777" w:rsidR="00BD462C" w:rsidRDefault="00033D0F">
      <w:pPr>
        <w:spacing w:before="1"/>
        <w:ind w:left="135"/>
        <w:rPr>
          <w:sz w:val="18"/>
        </w:rPr>
      </w:pPr>
      <w:bookmarkStart w:id="474" w:name="_bookmark414"/>
      <w:bookmarkEnd w:id="474"/>
      <w:r>
        <w:rPr>
          <w:position w:val="5"/>
          <w:sz w:val="12"/>
        </w:rPr>
        <w:lastRenderedPageBreak/>
        <w:t>336</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 xml:space="preserve">para. </w:t>
      </w:r>
      <w:r>
        <w:rPr>
          <w:spacing w:val="-4"/>
          <w:sz w:val="18"/>
        </w:rPr>
        <w:t>876.</w:t>
      </w:r>
    </w:p>
    <w:p w14:paraId="22986B47" w14:textId="77777777" w:rsidR="00BD462C" w:rsidRDefault="00BD462C">
      <w:pPr>
        <w:rPr>
          <w:sz w:val="18"/>
        </w:rPr>
        <w:sectPr w:rsidR="00BD462C">
          <w:pgSz w:w="11910" w:h="16840"/>
          <w:pgMar w:top="860" w:right="500" w:bottom="780" w:left="1280" w:header="566" w:footer="590" w:gutter="0"/>
          <w:cols w:space="720"/>
        </w:sectPr>
      </w:pPr>
    </w:p>
    <w:p w14:paraId="4C5840C2" w14:textId="77777777" w:rsidR="00BD462C" w:rsidRDefault="00033D0F">
      <w:pPr>
        <w:tabs>
          <w:tab w:val="left" w:pos="6087"/>
        </w:tabs>
        <w:spacing w:before="1"/>
        <w:ind w:left="135"/>
        <w:jc w:val="both"/>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70B934A1" w14:textId="77777777" w:rsidR="00BD462C" w:rsidRDefault="00033D0F">
      <w:pPr>
        <w:spacing w:before="1"/>
        <w:ind w:left="135"/>
        <w:jc w:val="both"/>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0C2502BF" w14:textId="77777777" w:rsidR="00BD462C" w:rsidRDefault="00033D0F">
      <w:pPr>
        <w:tabs>
          <w:tab w:val="left" w:pos="7652"/>
        </w:tabs>
        <w:ind w:left="135"/>
        <w:jc w:val="both"/>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02E70F6A" w14:textId="7A2F3D70" w:rsidR="00BD462C" w:rsidRDefault="00CA5625">
      <w:pPr>
        <w:pStyle w:val="BodyText"/>
        <w:spacing w:before="102" w:line="360" w:lineRule="auto"/>
        <w:ind w:left="135" w:right="912"/>
        <w:jc w:val="both"/>
      </w:pPr>
      <w:r>
        <w:t xml:space="preserve">incorrect. An adjustment is only necessary where a "difference" affects price comparability. In order to ensure a fair comparison, this difference </w:t>
      </w:r>
      <w:r w:rsidR="00033D0F">
        <w:t>must</w:t>
      </w:r>
      <w:r w:rsidR="00033D0F">
        <w:rPr>
          <w:spacing w:val="-14"/>
        </w:rPr>
        <w:t xml:space="preserve"> </w:t>
      </w:r>
      <w:r w:rsidR="00033D0F">
        <w:t>be</w:t>
      </w:r>
      <w:r w:rsidR="00033D0F">
        <w:rPr>
          <w:spacing w:val="-14"/>
        </w:rPr>
        <w:t xml:space="preserve"> </w:t>
      </w:r>
      <w:proofErr w:type="spellStart"/>
      <w:r w:rsidR="00033D0F">
        <w:t>neutralised</w:t>
      </w:r>
      <w:proofErr w:type="spellEnd"/>
      <w:r w:rsidR="00033D0F">
        <w:rPr>
          <w:spacing w:val="-13"/>
        </w:rPr>
        <w:t xml:space="preserve"> </w:t>
      </w:r>
      <w:r w:rsidR="00033D0F">
        <w:t>through</w:t>
      </w:r>
      <w:r w:rsidR="00033D0F">
        <w:rPr>
          <w:spacing w:val="-14"/>
        </w:rPr>
        <w:t xml:space="preserve"> </w:t>
      </w:r>
      <w:r w:rsidR="00033D0F">
        <w:t>an</w:t>
      </w:r>
      <w:r w:rsidR="00033D0F">
        <w:rPr>
          <w:spacing w:val="-13"/>
        </w:rPr>
        <w:t xml:space="preserve"> </w:t>
      </w:r>
      <w:r w:rsidR="00033D0F">
        <w:t>adjustment,</w:t>
      </w:r>
      <w:r w:rsidR="00033D0F">
        <w:rPr>
          <w:spacing w:val="-14"/>
        </w:rPr>
        <w:t xml:space="preserve"> </w:t>
      </w:r>
      <w:r w:rsidR="00033D0F">
        <w:t>which</w:t>
      </w:r>
      <w:r w:rsidR="00033D0F">
        <w:rPr>
          <w:spacing w:val="-13"/>
        </w:rPr>
        <w:t xml:space="preserve"> </w:t>
      </w:r>
      <w:r w:rsidR="00033D0F">
        <w:t>can</w:t>
      </w:r>
      <w:r w:rsidR="00033D0F">
        <w:rPr>
          <w:spacing w:val="-14"/>
        </w:rPr>
        <w:t xml:space="preserve"> </w:t>
      </w:r>
      <w:r w:rsidR="00033D0F">
        <w:t>be</w:t>
      </w:r>
      <w:r w:rsidR="00033D0F">
        <w:rPr>
          <w:spacing w:val="-14"/>
        </w:rPr>
        <w:t xml:space="preserve"> </w:t>
      </w:r>
      <w:r w:rsidR="00033D0F">
        <w:t>made</w:t>
      </w:r>
      <w:r w:rsidR="00033D0F">
        <w:rPr>
          <w:spacing w:val="-13"/>
        </w:rPr>
        <w:t xml:space="preserve"> </w:t>
      </w:r>
      <w:r w:rsidR="00033D0F">
        <w:t>to</w:t>
      </w:r>
      <w:r w:rsidR="00033D0F">
        <w:rPr>
          <w:spacing w:val="-14"/>
        </w:rPr>
        <w:t xml:space="preserve"> </w:t>
      </w:r>
      <w:r w:rsidR="00033D0F">
        <w:t>either</w:t>
      </w:r>
      <w:r w:rsidR="00033D0F">
        <w:rPr>
          <w:spacing w:val="-13"/>
        </w:rPr>
        <w:t xml:space="preserve"> </w:t>
      </w:r>
      <w:r w:rsidR="00033D0F">
        <w:t>normal</w:t>
      </w:r>
      <w:r w:rsidR="00033D0F">
        <w:rPr>
          <w:spacing w:val="-14"/>
        </w:rPr>
        <w:t xml:space="preserve"> </w:t>
      </w:r>
      <w:r w:rsidR="00033D0F">
        <w:t>value,</w:t>
      </w:r>
      <w:r w:rsidR="00033D0F">
        <w:rPr>
          <w:spacing w:val="-11"/>
        </w:rPr>
        <w:t xml:space="preserve"> </w:t>
      </w:r>
      <w:r w:rsidR="00033D0F">
        <w:t>export price or</w:t>
      </w:r>
      <w:r w:rsidR="00033D0F">
        <w:rPr>
          <w:spacing w:val="-1"/>
        </w:rPr>
        <w:t xml:space="preserve"> </w:t>
      </w:r>
      <w:r w:rsidR="00033D0F">
        <w:t>to</w:t>
      </w:r>
      <w:r w:rsidR="00033D0F">
        <w:rPr>
          <w:spacing w:val="-1"/>
        </w:rPr>
        <w:t xml:space="preserve"> </w:t>
      </w:r>
      <w:r w:rsidR="00033D0F">
        <w:t>both. The fact that it can</w:t>
      </w:r>
      <w:r w:rsidR="00033D0F">
        <w:rPr>
          <w:spacing w:val="-1"/>
        </w:rPr>
        <w:t xml:space="preserve"> </w:t>
      </w:r>
      <w:r w:rsidR="00033D0F">
        <w:t>be made to</w:t>
      </w:r>
      <w:r w:rsidR="00033D0F">
        <w:rPr>
          <w:spacing w:val="-1"/>
        </w:rPr>
        <w:t xml:space="preserve"> </w:t>
      </w:r>
      <w:r w:rsidR="00033D0F">
        <w:t>either</w:t>
      </w:r>
      <w:r w:rsidR="00033D0F">
        <w:rPr>
          <w:spacing w:val="-1"/>
        </w:rPr>
        <w:t xml:space="preserve"> </w:t>
      </w:r>
      <w:r w:rsidR="00033D0F">
        <w:t>normal value or</w:t>
      </w:r>
      <w:r w:rsidR="00033D0F">
        <w:rPr>
          <w:spacing w:val="-1"/>
        </w:rPr>
        <w:t xml:space="preserve"> </w:t>
      </w:r>
      <w:r w:rsidR="00033D0F">
        <w:t>export price does not mean</w:t>
      </w:r>
      <w:r w:rsidR="00033D0F">
        <w:rPr>
          <w:spacing w:val="-14"/>
        </w:rPr>
        <w:t xml:space="preserve"> </w:t>
      </w:r>
      <w:r w:rsidR="00033D0F">
        <w:t>that</w:t>
      </w:r>
      <w:r w:rsidR="00033D0F">
        <w:rPr>
          <w:spacing w:val="-14"/>
        </w:rPr>
        <w:t xml:space="preserve"> </w:t>
      </w:r>
      <w:r w:rsidR="00033D0F">
        <w:t>the</w:t>
      </w:r>
      <w:r w:rsidR="00033D0F">
        <w:rPr>
          <w:spacing w:val="-13"/>
        </w:rPr>
        <w:t xml:space="preserve"> </w:t>
      </w:r>
      <w:r w:rsidR="00033D0F">
        <w:t>difference</w:t>
      </w:r>
      <w:r w:rsidR="00033D0F">
        <w:rPr>
          <w:spacing w:val="-14"/>
        </w:rPr>
        <w:t xml:space="preserve"> </w:t>
      </w:r>
      <w:r w:rsidR="00033D0F">
        <w:t>affecting</w:t>
      </w:r>
      <w:r w:rsidR="00033D0F">
        <w:rPr>
          <w:spacing w:val="-13"/>
        </w:rPr>
        <w:t xml:space="preserve"> </w:t>
      </w:r>
      <w:r w:rsidR="00033D0F">
        <w:t>price</w:t>
      </w:r>
      <w:r w:rsidR="00033D0F">
        <w:rPr>
          <w:spacing w:val="-13"/>
        </w:rPr>
        <w:t xml:space="preserve"> </w:t>
      </w:r>
      <w:r w:rsidR="00033D0F">
        <w:t>comparability</w:t>
      </w:r>
      <w:r w:rsidR="00033D0F">
        <w:rPr>
          <w:spacing w:val="-13"/>
        </w:rPr>
        <w:t xml:space="preserve"> </w:t>
      </w:r>
      <w:r w:rsidR="00033D0F">
        <w:t>"has</w:t>
      </w:r>
      <w:r w:rsidR="00033D0F">
        <w:rPr>
          <w:spacing w:val="-11"/>
        </w:rPr>
        <w:t xml:space="preserve"> </w:t>
      </w:r>
      <w:r w:rsidR="00033D0F">
        <w:t>no</w:t>
      </w:r>
      <w:r w:rsidR="00033D0F">
        <w:rPr>
          <w:spacing w:val="-14"/>
        </w:rPr>
        <w:t xml:space="preserve"> </w:t>
      </w:r>
      <w:r w:rsidR="00033D0F">
        <w:t>impact</w:t>
      </w:r>
      <w:r w:rsidR="00033D0F">
        <w:rPr>
          <w:spacing w:val="-12"/>
        </w:rPr>
        <w:t xml:space="preserve"> </w:t>
      </w:r>
      <w:r w:rsidR="00033D0F">
        <w:t>on</w:t>
      </w:r>
      <w:r w:rsidR="00033D0F">
        <w:rPr>
          <w:spacing w:val="-14"/>
        </w:rPr>
        <w:t xml:space="preserve"> </w:t>
      </w:r>
      <w:r w:rsidR="00033D0F">
        <w:t>price</w:t>
      </w:r>
      <w:r w:rsidR="00033D0F">
        <w:rPr>
          <w:spacing w:val="-13"/>
        </w:rPr>
        <w:t xml:space="preserve"> </w:t>
      </w:r>
      <w:r w:rsidR="00033D0F">
        <w:t>comparability".</w:t>
      </w:r>
    </w:p>
    <w:p w14:paraId="7547078F" w14:textId="77777777" w:rsidR="00BD462C" w:rsidRDefault="00BD462C">
      <w:pPr>
        <w:pStyle w:val="BodyText"/>
        <w:spacing w:before="11"/>
        <w:rPr>
          <w:sz w:val="8"/>
        </w:rPr>
      </w:pPr>
    </w:p>
    <w:p w14:paraId="40F9DFAE" w14:textId="773B5C4A" w:rsidR="00BD462C" w:rsidRDefault="00033D0F" w:rsidP="006D6579">
      <w:pPr>
        <w:pStyle w:val="BodyText"/>
        <w:numPr>
          <w:ilvl w:val="0"/>
          <w:numId w:val="69"/>
        </w:numPr>
        <w:spacing w:before="56" w:line="357" w:lineRule="auto"/>
        <w:ind w:right="915" w:hanging="638"/>
        <w:jc w:val="both"/>
      </w:pPr>
      <w:r>
        <w:rPr>
          <w:position w:val="1"/>
        </w:rPr>
        <w:t>Australia</w:t>
      </w:r>
      <w:r>
        <w:rPr>
          <w:spacing w:val="-3"/>
          <w:position w:val="1"/>
        </w:rPr>
        <w:t xml:space="preserve"> </w:t>
      </w:r>
      <w:r>
        <w:rPr>
          <w:position w:val="1"/>
        </w:rPr>
        <w:t>submits</w:t>
      </w:r>
      <w:r>
        <w:rPr>
          <w:spacing w:val="-1"/>
          <w:position w:val="1"/>
        </w:rPr>
        <w:t xml:space="preserve"> </w:t>
      </w:r>
      <w:r>
        <w:rPr>
          <w:position w:val="1"/>
        </w:rPr>
        <w:t xml:space="preserve">that an unbiased and objective investigating authority would have </w:t>
      </w:r>
      <w:r>
        <w:t>sought to correct any perceived deficiencies through engaging with the exporter and participating in a robust two-way dialogue to understand the data and ensure a fair comparison under Article 2.4.</w:t>
      </w:r>
    </w:p>
    <w:p w14:paraId="4D06E1D0" w14:textId="77777777" w:rsidR="00BD462C" w:rsidRDefault="00BD462C">
      <w:pPr>
        <w:pStyle w:val="BodyText"/>
        <w:spacing w:before="3"/>
        <w:rPr>
          <w:sz w:val="9"/>
        </w:rPr>
      </w:pPr>
    </w:p>
    <w:p w14:paraId="6A325FD1" w14:textId="706A1C98" w:rsidR="006D6579" w:rsidRPr="006D6579" w:rsidRDefault="00033D0F" w:rsidP="006D6579">
      <w:pPr>
        <w:pStyle w:val="BodyText"/>
        <w:numPr>
          <w:ilvl w:val="0"/>
          <w:numId w:val="69"/>
        </w:numPr>
        <w:spacing w:before="56" w:line="360" w:lineRule="auto"/>
        <w:ind w:right="911" w:hanging="638"/>
        <w:jc w:val="both"/>
      </w:pPr>
      <w:r>
        <w:rPr>
          <w:position w:val="1"/>
        </w:rPr>
        <w:t>Separately</w:t>
      </w:r>
      <w:r>
        <w:rPr>
          <w:spacing w:val="-6"/>
          <w:position w:val="1"/>
        </w:rPr>
        <w:t xml:space="preserve"> </w:t>
      </w:r>
      <w:r>
        <w:rPr>
          <w:position w:val="1"/>
        </w:rPr>
        <w:t>to</w:t>
      </w:r>
      <w:r>
        <w:rPr>
          <w:spacing w:val="-10"/>
          <w:position w:val="1"/>
        </w:rPr>
        <w:t xml:space="preserve"> </w:t>
      </w:r>
      <w:r>
        <w:rPr>
          <w:position w:val="1"/>
        </w:rPr>
        <w:t>Treasury</w:t>
      </w:r>
      <w:r>
        <w:rPr>
          <w:spacing w:val="-6"/>
          <w:position w:val="1"/>
        </w:rPr>
        <w:t xml:space="preserve"> </w:t>
      </w:r>
      <w:r>
        <w:rPr>
          <w:position w:val="1"/>
        </w:rPr>
        <w:t>Wines'</w:t>
      </w:r>
      <w:r>
        <w:rPr>
          <w:spacing w:val="-8"/>
          <w:position w:val="1"/>
        </w:rPr>
        <w:t xml:space="preserve"> </w:t>
      </w:r>
      <w:r>
        <w:rPr>
          <w:position w:val="1"/>
        </w:rPr>
        <w:t>specific</w:t>
      </w:r>
      <w:r>
        <w:rPr>
          <w:spacing w:val="-8"/>
          <w:position w:val="1"/>
        </w:rPr>
        <w:t xml:space="preserve"> </w:t>
      </w:r>
      <w:r>
        <w:rPr>
          <w:position w:val="1"/>
        </w:rPr>
        <w:t>request,</w:t>
      </w:r>
      <w:r>
        <w:rPr>
          <w:spacing w:val="-5"/>
          <w:position w:val="1"/>
        </w:rPr>
        <w:t xml:space="preserve"> </w:t>
      </w:r>
      <w:r>
        <w:rPr>
          <w:position w:val="1"/>
        </w:rPr>
        <w:t>Australia</w:t>
      </w:r>
      <w:r>
        <w:rPr>
          <w:spacing w:val="-8"/>
          <w:position w:val="1"/>
        </w:rPr>
        <w:t xml:space="preserve"> </w:t>
      </w:r>
      <w:r>
        <w:rPr>
          <w:position w:val="1"/>
        </w:rPr>
        <w:t>again</w:t>
      </w:r>
      <w:r>
        <w:rPr>
          <w:spacing w:val="-9"/>
          <w:position w:val="1"/>
        </w:rPr>
        <w:t xml:space="preserve"> </w:t>
      </w:r>
      <w:r>
        <w:rPr>
          <w:position w:val="1"/>
        </w:rPr>
        <w:t>notes</w:t>
      </w:r>
      <w:r>
        <w:rPr>
          <w:spacing w:val="-5"/>
          <w:position w:val="1"/>
        </w:rPr>
        <w:t xml:space="preserve"> </w:t>
      </w:r>
      <w:r>
        <w:rPr>
          <w:position w:val="1"/>
        </w:rPr>
        <w:t>MOFCOM</w:t>
      </w:r>
      <w:r>
        <w:rPr>
          <w:spacing w:val="-7"/>
          <w:position w:val="1"/>
        </w:rPr>
        <w:t xml:space="preserve"> </w:t>
      </w:r>
      <w:r>
        <w:rPr>
          <w:position w:val="1"/>
        </w:rPr>
        <w:t xml:space="preserve">failed </w:t>
      </w:r>
      <w:r>
        <w:t>to</w:t>
      </w:r>
      <w:r>
        <w:rPr>
          <w:spacing w:val="-9"/>
        </w:rPr>
        <w:t xml:space="preserve"> </w:t>
      </w:r>
      <w:r>
        <w:t xml:space="preserve">make any other adjustments for what it </w:t>
      </w:r>
      <w:proofErr w:type="spellStart"/>
      <w:r>
        <w:t>recognised</w:t>
      </w:r>
      <w:proofErr w:type="spellEnd"/>
      <w:r>
        <w:t xml:space="preserve"> as "the logical consequence"</w:t>
      </w:r>
      <w:r>
        <w:rPr>
          <w:spacing w:val="-14"/>
        </w:rPr>
        <w:t xml:space="preserve"> </w:t>
      </w:r>
      <w:hyperlink w:anchor="_bookmark416" w:history="1">
        <w:r>
          <w:rPr>
            <w:vertAlign w:val="superscript"/>
          </w:rPr>
          <w:t>337</w:t>
        </w:r>
      </w:hyperlink>
      <w:r>
        <w:t xml:space="preserve"> of its methodology, as it ignored its obligation to make adjustments that had not been requested by the same exporters which it had "left in the dark".</w:t>
      </w:r>
      <w:r>
        <w:rPr>
          <w:spacing w:val="-28"/>
        </w:rPr>
        <w:t xml:space="preserve"> </w:t>
      </w:r>
      <w:hyperlink w:anchor="_bookmark417" w:history="1">
        <w:r>
          <w:rPr>
            <w:vertAlign w:val="superscript"/>
          </w:rPr>
          <w:t>338</w:t>
        </w:r>
      </w:hyperlink>
    </w:p>
    <w:p w14:paraId="46ED8D54" w14:textId="7E2B1E0C" w:rsidR="00BD462C" w:rsidRDefault="00033D0F" w:rsidP="006D6579">
      <w:pPr>
        <w:pStyle w:val="BodyText"/>
        <w:numPr>
          <w:ilvl w:val="0"/>
          <w:numId w:val="69"/>
        </w:numPr>
        <w:spacing w:before="56" w:line="360" w:lineRule="auto"/>
        <w:ind w:right="911" w:hanging="638"/>
        <w:jc w:val="both"/>
      </w:pPr>
      <w:r w:rsidRPr="006D6579">
        <w:rPr>
          <w:position w:val="1"/>
        </w:rPr>
        <w:t>For the foregoing reasons, and those set out in Australia's prior submissions,</w:t>
      </w:r>
      <w:r w:rsidRPr="006D6579">
        <w:rPr>
          <w:spacing w:val="80"/>
          <w:position w:val="1"/>
        </w:rPr>
        <w:t xml:space="preserve"> </w:t>
      </w:r>
      <w:r>
        <w:t>MOFCOM acted inconsistently with Article 2.4, including the first, second, third and sixth sentences of the provision, with respect to Treasury Wines.</w:t>
      </w:r>
    </w:p>
    <w:p w14:paraId="2253AC5B" w14:textId="77777777" w:rsidR="00BD462C" w:rsidRDefault="00033D0F" w:rsidP="00087BDF">
      <w:pPr>
        <w:pStyle w:val="ListParagraph"/>
        <w:numPr>
          <w:ilvl w:val="1"/>
          <w:numId w:val="69"/>
        </w:numPr>
        <w:tabs>
          <w:tab w:val="left" w:pos="1839"/>
          <w:tab w:val="left" w:pos="1840"/>
        </w:tabs>
        <w:spacing w:before="165"/>
        <w:ind w:left="1840"/>
        <w:rPr>
          <w:b/>
        </w:rPr>
      </w:pPr>
      <w:bookmarkStart w:id="475" w:name="E._Casella_Wines"/>
      <w:bookmarkStart w:id="476" w:name="_bookmark415"/>
      <w:bookmarkEnd w:id="475"/>
      <w:bookmarkEnd w:id="476"/>
      <w:r>
        <w:rPr>
          <w:b/>
          <w:sz w:val="28"/>
        </w:rPr>
        <w:t>C</w:t>
      </w:r>
      <w:r>
        <w:rPr>
          <w:b/>
        </w:rPr>
        <w:t>ASELLA</w:t>
      </w:r>
      <w:r>
        <w:rPr>
          <w:b/>
          <w:spacing w:val="-11"/>
        </w:rPr>
        <w:t xml:space="preserve"> </w:t>
      </w:r>
      <w:r>
        <w:rPr>
          <w:b/>
          <w:spacing w:val="-2"/>
          <w:sz w:val="28"/>
        </w:rPr>
        <w:t>W</w:t>
      </w:r>
      <w:r>
        <w:rPr>
          <w:b/>
          <w:spacing w:val="-2"/>
        </w:rPr>
        <w:t>INES</w:t>
      </w:r>
    </w:p>
    <w:p w14:paraId="7F07D48E" w14:textId="77777777" w:rsidR="00BD462C" w:rsidRDefault="00BD462C">
      <w:pPr>
        <w:pStyle w:val="BodyText"/>
        <w:spacing w:before="9"/>
        <w:rPr>
          <w:b/>
          <w:sz w:val="22"/>
        </w:rPr>
      </w:pPr>
    </w:p>
    <w:p w14:paraId="6A723FF3" w14:textId="2509ADAB" w:rsidR="00BD462C" w:rsidRDefault="00033D0F" w:rsidP="006D6579">
      <w:pPr>
        <w:pStyle w:val="BodyText"/>
        <w:numPr>
          <w:ilvl w:val="0"/>
          <w:numId w:val="69"/>
        </w:numPr>
        <w:spacing w:before="56" w:line="355" w:lineRule="auto"/>
        <w:ind w:hanging="638"/>
      </w:pPr>
      <w:r>
        <w:rPr>
          <w:position w:val="1"/>
        </w:rPr>
        <w:t>Australia</w:t>
      </w:r>
      <w:r>
        <w:rPr>
          <w:spacing w:val="40"/>
          <w:position w:val="1"/>
        </w:rPr>
        <w:t xml:space="preserve"> </w:t>
      </w:r>
      <w:r>
        <w:rPr>
          <w:position w:val="1"/>
        </w:rPr>
        <w:t>claims</w:t>
      </w:r>
      <w:r>
        <w:rPr>
          <w:spacing w:val="40"/>
          <w:position w:val="1"/>
        </w:rPr>
        <w:t xml:space="preserve"> </w:t>
      </w:r>
      <w:r>
        <w:rPr>
          <w:position w:val="1"/>
        </w:rPr>
        <w:t>that</w:t>
      </w:r>
      <w:r>
        <w:rPr>
          <w:spacing w:val="40"/>
          <w:position w:val="1"/>
        </w:rPr>
        <w:t xml:space="preserve"> </w:t>
      </w:r>
      <w:r>
        <w:rPr>
          <w:position w:val="1"/>
        </w:rPr>
        <w:t>MOFCOM's</w:t>
      </w:r>
      <w:r>
        <w:rPr>
          <w:spacing w:val="40"/>
          <w:position w:val="1"/>
        </w:rPr>
        <w:t xml:space="preserve"> </w:t>
      </w:r>
      <w:r>
        <w:rPr>
          <w:position w:val="1"/>
        </w:rPr>
        <w:t>dumping</w:t>
      </w:r>
      <w:r>
        <w:rPr>
          <w:spacing w:val="40"/>
          <w:position w:val="1"/>
        </w:rPr>
        <w:t xml:space="preserve"> </w:t>
      </w:r>
      <w:r>
        <w:rPr>
          <w:position w:val="1"/>
        </w:rPr>
        <w:t>determination</w:t>
      </w:r>
      <w:r>
        <w:rPr>
          <w:spacing w:val="40"/>
          <w:position w:val="1"/>
        </w:rPr>
        <w:t xml:space="preserve"> </w:t>
      </w:r>
      <w:r>
        <w:rPr>
          <w:position w:val="1"/>
        </w:rPr>
        <w:t>for</w:t>
      </w:r>
      <w:r>
        <w:rPr>
          <w:spacing w:val="40"/>
          <w:position w:val="1"/>
        </w:rPr>
        <w:t xml:space="preserve"> </w:t>
      </w:r>
      <w:r>
        <w:rPr>
          <w:position w:val="1"/>
        </w:rPr>
        <w:t>Casella</w:t>
      </w:r>
      <w:r>
        <w:rPr>
          <w:spacing w:val="40"/>
          <w:position w:val="1"/>
        </w:rPr>
        <w:t xml:space="preserve"> </w:t>
      </w:r>
      <w:r>
        <w:rPr>
          <w:position w:val="1"/>
        </w:rPr>
        <w:t>Wines</w:t>
      </w:r>
      <w:r>
        <w:rPr>
          <w:spacing w:val="40"/>
          <w:position w:val="1"/>
        </w:rPr>
        <w:t xml:space="preserve"> </w:t>
      </w:r>
      <w:r>
        <w:rPr>
          <w:position w:val="1"/>
        </w:rPr>
        <w:t xml:space="preserve">was </w:t>
      </w:r>
      <w:r>
        <w:t>inconsistent</w:t>
      </w:r>
      <w:r>
        <w:rPr>
          <w:spacing w:val="9"/>
        </w:rPr>
        <w:t xml:space="preserve"> </w:t>
      </w:r>
      <w:r>
        <w:t>with</w:t>
      </w:r>
      <w:r>
        <w:rPr>
          <w:spacing w:val="9"/>
        </w:rPr>
        <w:t xml:space="preserve"> </w:t>
      </w:r>
      <w:r>
        <w:t>Articles</w:t>
      </w:r>
      <w:r>
        <w:rPr>
          <w:spacing w:val="12"/>
        </w:rPr>
        <w:t xml:space="preserve"> </w:t>
      </w:r>
      <w:r>
        <w:t>1,</w:t>
      </w:r>
      <w:r>
        <w:rPr>
          <w:spacing w:val="13"/>
        </w:rPr>
        <w:t xml:space="preserve"> </w:t>
      </w:r>
      <w:r>
        <w:t>2.1,</w:t>
      </w:r>
      <w:r>
        <w:rPr>
          <w:spacing w:val="13"/>
        </w:rPr>
        <w:t xml:space="preserve"> </w:t>
      </w:r>
      <w:r>
        <w:t>2.2,</w:t>
      </w:r>
      <w:r>
        <w:rPr>
          <w:spacing w:val="18"/>
        </w:rPr>
        <w:t xml:space="preserve"> </w:t>
      </w:r>
      <w:r>
        <w:t>2.4,</w:t>
      </w:r>
      <w:r>
        <w:rPr>
          <w:spacing w:val="13"/>
        </w:rPr>
        <w:t xml:space="preserve"> </w:t>
      </w:r>
      <w:r>
        <w:t>6.1,</w:t>
      </w:r>
      <w:r>
        <w:rPr>
          <w:spacing w:val="17"/>
        </w:rPr>
        <w:t xml:space="preserve"> </w:t>
      </w:r>
      <w:r>
        <w:t>6.1.1,</w:t>
      </w:r>
      <w:r>
        <w:rPr>
          <w:spacing w:val="13"/>
        </w:rPr>
        <w:t xml:space="preserve"> </w:t>
      </w:r>
      <w:r>
        <w:t>6.2,</w:t>
      </w:r>
      <w:r>
        <w:rPr>
          <w:spacing w:val="13"/>
        </w:rPr>
        <w:t xml:space="preserve"> </w:t>
      </w:r>
      <w:r>
        <w:t>6.4,</w:t>
      </w:r>
      <w:r>
        <w:rPr>
          <w:spacing w:val="18"/>
        </w:rPr>
        <w:t xml:space="preserve"> </w:t>
      </w:r>
      <w:r>
        <w:t>6.8,</w:t>
      </w:r>
      <w:r>
        <w:rPr>
          <w:spacing w:val="13"/>
        </w:rPr>
        <w:t xml:space="preserve"> </w:t>
      </w:r>
      <w:r>
        <w:t>6.9,</w:t>
      </w:r>
      <w:r>
        <w:rPr>
          <w:spacing w:val="17"/>
        </w:rPr>
        <w:t xml:space="preserve"> </w:t>
      </w:r>
      <w:r>
        <w:t>9.1,</w:t>
      </w:r>
      <w:r>
        <w:rPr>
          <w:spacing w:val="13"/>
        </w:rPr>
        <w:t xml:space="preserve"> </w:t>
      </w:r>
      <w:r>
        <w:t>9.2,</w:t>
      </w:r>
      <w:r>
        <w:rPr>
          <w:spacing w:val="18"/>
        </w:rPr>
        <w:t xml:space="preserve"> </w:t>
      </w:r>
      <w:r>
        <w:t>9.3,</w:t>
      </w:r>
      <w:r>
        <w:rPr>
          <w:spacing w:val="13"/>
        </w:rPr>
        <w:t xml:space="preserve"> </w:t>
      </w:r>
      <w:r>
        <w:t>18.1</w:t>
      </w:r>
      <w:r>
        <w:rPr>
          <w:spacing w:val="14"/>
        </w:rPr>
        <w:t xml:space="preserve"> </w:t>
      </w:r>
      <w:r>
        <w:rPr>
          <w:spacing w:val="-5"/>
        </w:rPr>
        <w:t>and</w:t>
      </w:r>
    </w:p>
    <w:p w14:paraId="3C0C2A90" w14:textId="1EC492D4" w:rsidR="00BD462C" w:rsidRDefault="00033D0F">
      <w:pPr>
        <w:pStyle w:val="BodyText"/>
        <w:spacing w:before="7"/>
        <w:ind w:left="136"/>
      </w:pPr>
      <w:r>
        <w:t>paragraphs</w:t>
      </w:r>
      <w:r>
        <w:rPr>
          <w:spacing w:val="-2"/>
        </w:rPr>
        <w:t xml:space="preserve"> </w:t>
      </w:r>
      <w:r>
        <w:t>1,</w:t>
      </w:r>
      <w:r>
        <w:rPr>
          <w:spacing w:val="-1"/>
        </w:rPr>
        <w:t xml:space="preserve"> </w:t>
      </w:r>
      <w:r>
        <w:t>3,</w:t>
      </w:r>
      <w:r>
        <w:rPr>
          <w:spacing w:val="-2"/>
        </w:rPr>
        <w:t xml:space="preserve"> </w:t>
      </w:r>
      <w:r>
        <w:t>5,</w:t>
      </w:r>
      <w:r>
        <w:rPr>
          <w:spacing w:val="4"/>
        </w:rPr>
        <w:t xml:space="preserve"> </w:t>
      </w:r>
      <w:r>
        <w:t>6</w:t>
      </w:r>
      <w:r>
        <w:rPr>
          <w:spacing w:val="-5"/>
        </w:rPr>
        <w:t xml:space="preserve"> </w:t>
      </w:r>
      <w:r>
        <w:t>and 7 of</w:t>
      </w:r>
      <w:r>
        <w:rPr>
          <w:spacing w:val="-4"/>
        </w:rPr>
        <w:t xml:space="preserve"> </w:t>
      </w:r>
      <w:r>
        <w:t>Annex</w:t>
      </w:r>
      <w:r>
        <w:rPr>
          <w:spacing w:val="-2"/>
        </w:rPr>
        <w:t xml:space="preserve"> </w:t>
      </w:r>
      <w:r>
        <w:t>II.</w:t>
      </w:r>
      <w:r>
        <w:rPr>
          <w:spacing w:val="-1"/>
        </w:rPr>
        <w:t xml:space="preserve"> </w:t>
      </w:r>
      <w:r>
        <w:t>China</w:t>
      </w:r>
      <w:r>
        <w:rPr>
          <w:spacing w:val="-4"/>
        </w:rPr>
        <w:t xml:space="preserve"> </w:t>
      </w:r>
      <w:r>
        <w:t>has</w:t>
      </w:r>
      <w:r>
        <w:rPr>
          <w:spacing w:val="-1"/>
        </w:rPr>
        <w:t xml:space="preserve"> </w:t>
      </w:r>
      <w:r>
        <w:t>failed</w:t>
      </w:r>
      <w:r>
        <w:rPr>
          <w:spacing w:val="-4"/>
        </w:rPr>
        <w:t xml:space="preserve"> </w:t>
      </w:r>
      <w:r>
        <w:t>to</w:t>
      </w:r>
      <w:r>
        <w:rPr>
          <w:spacing w:val="-5"/>
        </w:rPr>
        <w:t xml:space="preserve"> </w:t>
      </w:r>
      <w:r>
        <w:t>rebut</w:t>
      </w:r>
      <w:r>
        <w:rPr>
          <w:spacing w:val="-3"/>
        </w:rPr>
        <w:t xml:space="preserve"> </w:t>
      </w:r>
      <w:r>
        <w:t>these</w:t>
      </w:r>
      <w:r>
        <w:rPr>
          <w:spacing w:val="-2"/>
        </w:rPr>
        <w:t xml:space="preserve"> </w:t>
      </w:r>
      <w:r>
        <w:t>claims.</w:t>
      </w:r>
      <w:r>
        <w:rPr>
          <w:spacing w:val="-1"/>
        </w:rPr>
        <w:t xml:space="preserve"> </w:t>
      </w:r>
      <w:hyperlink w:anchor="_bookmark418" w:history="1">
        <w:r>
          <w:rPr>
            <w:spacing w:val="-5"/>
            <w:vertAlign w:val="superscript"/>
          </w:rPr>
          <w:t>339</w:t>
        </w:r>
      </w:hyperlink>
    </w:p>
    <w:p w14:paraId="39C9B59F" w14:textId="77777777" w:rsidR="00BD462C" w:rsidRDefault="00BD462C">
      <w:pPr>
        <w:pStyle w:val="BodyText"/>
        <w:spacing w:before="11"/>
        <w:rPr>
          <w:sz w:val="20"/>
        </w:rPr>
      </w:pPr>
    </w:p>
    <w:p w14:paraId="0A497067" w14:textId="355F0C49" w:rsidR="00BD462C" w:rsidRDefault="00033D0F" w:rsidP="006D6579">
      <w:pPr>
        <w:pStyle w:val="BodyText"/>
        <w:numPr>
          <w:ilvl w:val="0"/>
          <w:numId w:val="69"/>
        </w:numPr>
        <w:spacing w:before="57" w:line="357" w:lineRule="auto"/>
        <w:ind w:right="916" w:hanging="638"/>
        <w:jc w:val="both"/>
      </w:pPr>
      <w:r>
        <w:rPr>
          <w:position w:val="1"/>
        </w:rPr>
        <w:t xml:space="preserve">Australia set out, in sections </w:t>
      </w:r>
      <w:hyperlink w:anchor="_bookmark126" w:history="1">
        <w:r>
          <w:rPr>
            <w:position w:val="1"/>
          </w:rPr>
          <w:t>III.B</w:t>
        </w:r>
      </w:hyperlink>
      <w:r>
        <w:rPr>
          <w:position w:val="1"/>
        </w:rPr>
        <w:t xml:space="preserve"> and </w:t>
      </w:r>
      <w:hyperlink w:anchor="_bookmark166" w:history="1">
        <w:r>
          <w:rPr>
            <w:position w:val="1"/>
          </w:rPr>
          <w:t>III.C</w:t>
        </w:r>
      </w:hyperlink>
      <w:r>
        <w:rPr>
          <w:position w:val="1"/>
        </w:rPr>
        <w:t xml:space="preserve"> above, issues relating to MOFCOM's </w:t>
      </w:r>
      <w:r>
        <w:t>obligation to make a fair comparison under Article 2.4, and demonstrated that MOFCOM acted</w:t>
      </w:r>
      <w:r>
        <w:rPr>
          <w:spacing w:val="-8"/>
        </w:rPr>
        <w:t xml:space="preserve"> </w:t>
      </w:r>
      <w:r>
        <w:t>inconsistently</w:t>
      </w:r>
      <w:r>
        <w:rPr>
          <w:spacing w:val="-5"/>
        </w:rPr>
        <w:t xml:space="preserve"> </w:t>
      </w:r>
      <w:r>
        <w:t>with</w:t>
      </w:r>
      <w:r>
        <w:rPr>
          <w:spacing w:val="-8"/>
        </w:rPr>
        <w:t xml:space="preserve"> </w:t>
      </w:r>
      <w:r>
        <w:t>Article</w:t>
      </w:r>
      <w:r>
        <w:rPr>
          <w:spacing w:val="-6"/>
        </w:rPr>
        <w:t xml:space="preserve"> </w:t>
      </w:r>
      <w:r>
        <w:t>6.8</w:t>
      </w:r>
      <w:r>
        <w:rPr>
          <w:spacing w:val="-8"/>
        </w:rPr>
        <w:t xml:space="preserve"> </w:t>
      </w:r>
      <w:r>
        <w:t>because</w:t>
      </w:r>
      <w:r>
        <w:rPr>
          <w:spacing w:val="-6"/>
        </w:rPr>
        <w:t xml:space="preserve"> </w:t>
      </w:r>
      <w:r>
        <w:t>of</w:t>
      </w:r>
      <w:r>
        <w:rPr>
          <w:spacing w:val="-3"/>
        </w:rPr>
        <w:t xml:space="preserve"> </w:t>
      </w:r>
      <w:r>
        <w:t>its</w:t>
      </w:r>
      <w:r>
        <w:rPr>
          <w:spacing w:val="-5"/>
        </w:rPr>
        <w:t xml:space="preserve"> </w:t>
      </w:r>
      <w:r>
        <w:t>recourse</w:t>
      </w:r>
      <w:r>
        <w:rPr>
          <w:spacing w:val="-6"/>
        </w:rPr>
        <w:t xml:space="preserve"> </w:t>
      </w:r>
      <w:r>
        <w:t>to</w:t>
      </w:r>
      <w:r>
        <w:rPr>
          <w:spacing w:val="-9"/>
        </w:rPr>
        <w:t xml:space="preserve"> </w:t>
      </w:r>
      <w:r>
        <w:t>facts</w:t>
      </w:r>
      <w:r>
        <w:rPr>
          <w:spacing w:val="-5"/>
        </w:rPr>
        <w:t xml:space="preserve"> </w:t>
      </w:r>
      <w:r>
        <w:t>available</w:t>
      </w:r>
      <w:r>
        <w:rPr>
          <w:spacing w:val="-6"/>
        </w:rPr>
        <w:t xml:space="preserve"> </w:t>
      </w:r>
      <w:r>
        <w:t>on</w:t>
      </w:r>
      <w:r>
        <w:rPr>
          <w:spacing w:val="-8"/>
        </w:rPr>
        <w:t xml:space="preserve"> </w:t>
      </w:r>
      <w:r>
        <w:t>the</w:t>
      </w:r>
      <w:r>
        <w:rPr>
          <w:spacing w:val="-2"/>
        </w:rPr>
        <w:t xml:space="preserve"> </w:t>
      </w:r>
      <w:r>
        <w:t>basis</w:t>
      </w:r>
      <w:r>
        <w:rPr>
          <w:spacing w:val="-5"/>
        </w:rPr>
        <w:t xml:space="preserve"> </w:t>
      </w:r>
      <w:r>
        <w:t>of</w:t>
      </w:r>
      <w:r>
        <w:rPr>
          <w:spacing w:val="-3"/>
        </w:rPr>
        <w:t xml:space="preserve"> </w:t>
      </w:r>
      <w:r>
        <w:t>a "holistic analysis" of the information submitted by the sample companies.</w:t>
      </w:r>
    </w:p>
    <w:p w14:paraId="3E69D884" w14:textId="77777777" w:rsidR="00BD462C" w:rsidRDefault="00BD462C">
      <w:pPr>
        <w:pStyle w:val="BodyText"/>
        <w:spacing w:before="3"/>
        <w:rPr>
          <w:sz w:val="9"/>
        </w:rPr>
      </w:pPr>
    </w:p>
    <w:p w14:paraId="60D2B754" w14:textId="3A324427" w:rsidR="00BD462C" w:rsidRPr="00D86B81" w:rsidRDefault="00D86B81" w:rsidP="00D86B81">
      <w:pPr>
        <w:pStyle w:val="BodyText"/>
        <w:numPr>
          <w:ilvl w:val="0"/>
          <w:numId w:val="69"/>
        </w:numPr>
        <w:spacing w:before="56" w:line="357" w:lineRule="auto"/>
        <w:ind w:right="911" w:hanging="638"/>
        <w:jc w:val="both"/>
      </w:pPr>
      <w:r>
        <w:rPr>
          <w:noProof/>
        </w:rPr>
        <mc:AlternateContent>
          <mc:Choice Requires="wps">
            <w:drawing>
              <wp:anchor distT="0" distB="0" distL="0" distR="0" simplePos="0" relativeHeight="487690752" behindDoc="1" locked="0" layoutInCell="1" allowOverlap="1" wp14:anchorId="0A5576E7" wp14:editId="0BABA8D2">
                <wp:simplePos x="0" y="0"/>
                <wp:positionH relativeFrom="page">
                  <wp:posOffset>966894</wp:posOffset>
                </wp:positionH>
                <wp:positionV relativeFrom="paragraph">
                  <wp:posOffset>823383</wp:posOffset>
                </wp:positionV>
                <wp:extent cx="1828800" cy="8890"/>
                <wp:effectExtent l="0" t="0" r="0" b="0"/>
                <wp:wrapTopAndBottom/>
                <wp:docPr id="990" name="docshape2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506C58" id="docshape221" o:spid="_x0000_s1026" alt="&quot;&quot;" style="position:absolute;margin-left:76.15pt;margin-top:64.85pt;width:2in;height:.7pt;z-index:-15625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" fillcolor="black" stroked="f">
                <w10:wrap type="topAndBottom" anchorx="page"/>
              </v:rect>
            </w:pict>
          </mc:Fallback>
        </mc:AlternateContent>
      </w:r>
      <w:r w:rsidR="00033D0F">
        <w:rPr>
          <w:position w:val="1"/>
        </w:rPr>
        <w:t>In</w:t>
      </w:r>
      <w:r w:rsidR="00033D0F">
        <w:rPr>
          <w:spacing w:val="-5"/>
          <w:position w:val="1"/>
        </w:rPr>
        <w:t xml:space="preserve"> </w:t>
      </w:r>
      <w:r w:rsidR="00033D0F">
        <w:rPr>
          <w:position w:val="1"/>
        </w:rPr>
        <w:t>this</w:t>
      </w:r>
      <w:r w:rsidR="00033D0F">
        <w:rPr>
          <w:spacing w:val="-2"/>
          <w:position w:val="1"/>
        </w:rPr>
        <w:t xml:space="preserve"> </w:t>
      </w:r>
      <w:r w:rsidR="00033D0F">
        <w:rPr>
          <w:position w:val="1"/>
        </w:rPr>
        <w:t>section,</w:t>
      </w:r>
      <w:r w:rsidR="00033D0F">
        <w:rPr>
          <w:spacing w:val="-2"/>
          <w:position w:val="1"/>
        </w:rPr>
        <w:t xml:space="preserve"> </w:t>
      </w:r>
      <w:r w:rsidR="00033D0F">
        <w:rPr>
          <w:position w:val="1"/>
        </w:rPr>
        <w:t>Australia</w:t>
      </w:r>
      <w:r w:rsidR="00033D0F">
        <w:rPr>
          <w:spacing w:val="-4"/>
          <w:position w:val="1"/>
        </w:rPr>
        <w:t xml:space="preserve"> </w:t>
      </w:r>
      <w:r w:rsidR="00033D0F">
        <w:rPr>
          <w:position w:val="1"/>
        </w:rPr>
        <w:t>will</w:t>
      </w:r>
      <w:r w:rsidR="00033D0F">
        <w:rPr>
          <w:spacing w:val="-1"/>
          <w:position w:val="1"/>
        </w:rPr>
        <w:t xml:space="preserve"> </w:t>
      </w:r>
      <w:r w:rsidR="00033D0F">
        <w:rPr>
          <w:position w:val="1"/>
        </w:rPr>
        <w:t>address</w:t>
      </w:r>
      <w:r w:rsidR="00033D0F">
        <w:rPr>
          <w:spacing w:val="-2"/>
          <w:position w:val="1"/>
        </w:rPr>
        <w:t xml:space="preserve"> </w:t>
      </w:r>
      <w:r w:rsidR="00033D0F">
        <w:rPr>
          <w:position w:val="1"/>
        </w:rPr>
        <w:t>the</w:t>
      </w:r>
      <w:r w:rsidR="00033D0F">
        <w:rPr>
          <w:spacing w:val="-4"/>
          <w:position w:val="1"/>
        </w:rPr>
        <w:t xml:space="preserve"> </w:t>
      </w:r>
      <w:r w:rsidR="00033D0F">
        <w:rPr>
          <w:position w:val="1"/>
        </w:rPr>
        <w:t>additional</w:t>
      </w:r>
      <w:r w:rsidR="00033D0F">
        <w:rPr>
          <w:spacing w:val="-1"/>
          <w:position w:val="1"/>
        </w:rPr>
        <w:t xml:space="preserve"> </w:t>
      </w:r>
      <w:r w:rsidR="00033D0F">
        <w:rPr>
          <w:position w:val="1"/>
        </w:rPr>
        <w:t>errors</w:t>
      </w:r>
      <w:r w:rsidR="00033D0F">
        <w:rPr>
          <w:spacing w:val="-2"/>
          <w:position w:val="1"/>
        </w:rPr>
        <w:t xml:space="preserve"> </w:t>
      </w:r>
      <w:r w:rsidR="00033D0F">
        <w:rPr>
          <w:position w:val="1"/>
        </w:rPr>
        <w:t>MOFCOM</w:t>
      </w:r>
      <w:r w:rsidR="00033D0F">
        <w:rPr>
          <w:spacing w:val="-3"/>
          <w:position w:val="1"/>
        </w:rPr>
        <w:t xml:space="preserve"> </w:t>
      </w:r>
      <w:r w:rsidR="00033D0F">
        <w:rPr>
          <w:position w:val="1"/>
        </w:rPr>
        <w:t>committed</w:t>
      </w:r>
      <w:r w:rsidR="00033D0F">
        <w:rPr>
          <w:spacing w:val="-5"/>
          <w:position w:val="1"/>
        </w:rPr>
        <w:t xml:space="preserve"> </w:t>
      </w:r>
      <w:r w:rsidR="00033D0F">
        <w:rPr>
          <w:position w:val="1"/>
        </w:rPr>
        <w:t xml:space="preserve">with </w:t>
      </w:r>
      <w:r w:rsidR="00033D0F">
        <w:t>respect</w:t>
      </w:r>
      <w:r w:rsidR="00033D0F">
        <w:rPr>
          <w:spacing w:val="-2"/>
        </w:rPr>
        <w:t xml:space="preserve"> </w:t>
      </w:r>
      <w:r w:rsidR="00033D0F">
        <w:t>to</w:t>
      </w:r>
      <w:r w:rsidR="00033D0F">
        <w:rPr>
          <w:spacing w:val="-5"/>
        </w:rPr>
        <w:t xml:space="preserve"> </w:t>
      </w:r>
      <w:r w:rsidR="00033D0F">
        <w:t>its</w:t>
      </w:r>
      <w:r w:rsidR="00033D0F">
        <w:rPr>
          <w:spacing w:val="-1"/>
        </w:rPr>
        <w:t xml:space="preserve"> </w:t>
      </w:r>
      <w:r w:rsidR="00033D0F">
        <w:t>recourse</w:t>
      </w:r>
      <w:r w:rsidR="00033D0F">
        <w:rPr>
          <w:spacing w:val="-2"/>
        </w:rPr>
        <w:t xml:space="preserve"> </w:t>
      </w:r>
      <w:r w:rsidR="00033D0F">
        <w:t>to</w:t>
      </w:r>
      <w:r w:rsidR="00033D0F">
        <w:rPr>
          <w:spacing w:val="-5"/>
        </w:rPr>
        <w:t xml:space="preserve"> </w:t>
      </w:r>
      <w:r w:rsidR="00033D0F">
        <w:t>and</w:t>
      </w:r>
      <w:r w:rsidR="00033D0F">
        <w:rPr>
          <w:spacing w:val="-4"/>
        </w:rPr>
        <w:t xml:space="preserve"> </w:t>
      </w:r>
      <w:r w:rsidR="00033D0F">
        <w:t>selection</w:t>
      </w:r>
      <w:r w:rsidR="00033D0F">
        <w:rPr>
          <w:spacing w:val="-4"/>
        </w:rPr>
        <w:t xml:space="preserve"> </w:t>
      </w:r>
      <w:r w:rsidR="00033D0F">
        <w:t>of</w:t>
      </w:r>
      <w:r w:rsidR="00033D0F">
        <w:rPr>
          <w:spacing w:val="-4"/>
        </w:rPr>
        <w:t xml:space="preserve"> </w:t>
      </w:r>
      <w:r w:rsidR="00033D0F">
        <w:t>facts</w:t>
      </w:r>
      <w:r w:rsidR="00033D0F">
        <w:rPr>
          <w:spacing w:val="-1"/>
        </w:rPr>
        <w:t xml:space="preserve"> </w:t>
      </w:r>
      <w:r w:rsidR="00033D0F">
        <w:t>available</w:t>
      </w:r>
      <w:r w:rsidR="00033D0F">
        <w:rPr>
          <w:spacing w:val="-2"/>
        </w:rPr>
        <w:t xml:space="preserve"> </w:t>
      </w:r>
      <w:r w:rsidR="00033D0F">
        <w:t>for</w:t>
      </w:r>
      <w:r w:rsidR="00033D0F">
        <w:rPr>
          <w:spacing w:val="-5"/>
        </w:rPr>
        <w:t xml:space="preserve"> </w:t>
      </w:r>
      <w:r w:rsidR="00033D0F">
        <w:t>Casella</w:t>
      </w:r>
      <w:r w:rsidR="00033D0F">
        <w:rPr>
          <w:spacing w:val="-8"/>
        </w:rPr>
        <w:t xml:space="preserve"> </w:t>
      </w:r>
      <w:r w:rsidR="00033D0F">
        <w:t>Wines'</w:t>
      </w:r>
      <w:r w:rsidR="00033D0F">
        <w:rPr>
          <w:spacing w:val="-3"/>
        </w:rPr>
        <w:t xml:space="preserve"> </w:t>
      </w:r>
      <w:r w:rsidR="00033D0F">
        <w:t>normal value, and MOFCOM's failure to make a fair comparison under Article 2.4.</w:t>
      </w:r>
    </w:p>
    <w:p w14:paraId="0ECFF8FF" w14:textId="63465E26" w:rsidR="00BD462C" w:rsidRDefault="00033D0F">
      <w:pPr>
        <w:spacing w:before="112"/>
        <w:ind w:left="135"/>
        <w:rPr>
          <w:sz w:val="18"/>
        </w:rPr>
      </w:pPr>
      <w:bookmarkStart w:id="477" w:name="_bookmark416"/>
      <w:bookmarkEnd w:id="477"/>
      <w:r>
        <w:rPr>
          <w:position w:val="5"/>
          <w:sz w:val="12"/>
        </w:rPr>
        <w:t>337</w:t>
      </w:r>
      <w:r>
        <w:rPr>
          <w:spacing w:val="13"/>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 xml:space="preserve">para. </w:t>
      </w:r>
      <w:r>
        <w:rPr>
          <w:spacing w:val="-4"/>
          <w:sz w:val="18"/>
        </w:rPr>
        <w:t>853.</w:t>
      </w:r>
    </w:p>
    <w:p w14:paraId="5B8FFC31" w14:textId="77777777" w:rsidR="00BD462C" w:rsidRDefault="00033D0F">
      <w:pPr>
        <w:spacing w:before="1"/>
        <w:ind w:left="135"/>
        <w:rPr>
          <w:sz w:val="18"/>
        </w:rPr>
      </w:pPr>
      <w:bookmarkStart w:id="478" w:name="_bookmark417"/>
      <w:bookmarkEnd w:id="478"/>
      <w:r>
        <w:rPr>
          <w:position w:val="5"/>
          <w:sz w:val="12"/>
        </w:rPr>
        <w:t>338</w:t>
      </w:r>
      <w:r>
        <w:rPr>
          <w:spacing w:val="13"/>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 xml:space="preserve">para. </w:t>
      </w:r>
      <w:r>
        <w:rPr>
          <w:spacing w:val="-4"/>
          <w:sz w:val="18"/>
        </w:rPr>
        <w:t>818.</w:t>
      </w:r>
    </w:p>
    <w:p w14:paraId="3DCACE6D" w14:textId="77777777" w:rsidR="00BD462C" w:rsidRDefault="00033D0F">
      <w:pPr>
        <w:spacing w:before="1"/>
        <w:ind w:left="135"/>
        <w:rPr>
          <w:sz w:val="18"/>
        </w:rPr>
      </w:pPr>
      <w:bookmarkStart w:id="479" w:name="_bookmark418"/>
      <w:bookmarkEnd w:id="479"/>
      <w:r>
        <w:rPr>
          <w:position w:val="5"/>
          <w:sz w:val="12"/>
        </w:rPr>
        <w:t>339</w:t>
      </w:r>
      <w:r>
        <w:rPr>
          <w:spacing w:val="13"/>
          <w:position w:val="5"/>
          <w:sz w:val="12"/>
        </w:rPr>
        <w:t xml:space="preserve"> </w:t>
      </w:r>
      <w:r>
        <w:rPr>
          <w:sz w:val="18"/>
        </w:rPr>
        <w:t>Australia’s claims</w:t>
      </w:r>
      <w:r>
        <w:rPr>
          <w:spacing w:val="-1"/>
          <w:sz w:val="18"/>
        </w:rPr>
        <w:t xml:space="preserve"> </w:t>
      </w:r>
      <w:r>
        <w:rPr>
          <w:sz w:val="18"/>
        </w:rPr>
        <w:t>under</w:t>
      </w:r>
      <w:r>
        <w:rPr>
          <w:spacing w:val="-6"/>
          <w:sz w:val="18"/>
        </w:rPr>
        <w:t xml:space="preserve"> </w:t>
      </w:r>
      <w:r>
        <w:rPr>
          <w:sz w:val="18"/>
        </w:rPr>
        <w:t>Articles</w:t>
      </w:r>
      <w:r>
        <w:rPr>
          <w:spacing w:val="-5"/>
          <w:sz w:val="18"/>
        </w:rPr>
        <w:t xml:space="preserve"> </w:t>
      </w:r>
      <w:r>
        <w:rPr>
          <w:sz w:val="18"/>
        </w:rPr>
        <w:t>6.1,</w:t>
      </w:r>
      <w:r>
        <w:rPr>
          <w:spacing w:val="1"/>
          <w:sz w:val="18"/>
        </w:rPr>
        <w:t xml:space="preserve"> </w:t>
      </w:r>
      <w:r>
        <w:rPr>
          <w:sz w:val="18"/>
        </w:rPr>
        <w:t>6.1.1,</w:t>
      </w:r>
      <w:r>
        <w:rPr>
          <w:spacing w:val="-3"/>
          <w:sz w:val="18"/>
        </w:rPr>
        <w:t xml:space="preserve"> </w:t>
      </w:r>
      <w:r>
        <w:rPr>
          <w:sz w:val="18"/>
        </w:rPr>
        <w:t>6.2,</w:t>
      </w:r>
      <w:r>
        <w:rPr>
          <w:spacing w:val="2"/>
          <w:sz w:val="18"/>
        </w:rPr>
        <w:t xml:space="preserve"> </w:t>
      </w:r>
      <w:r>
        <w:rPr>
          <w:sz w:val="18"/>
        </w:rPr>
        <w:t>6.4</w:t>
      </w:r>
      <w:r>
        <w:rPr>
          <w:spacing w:val="-2"/>
          <w:sz w:val="18"/>
        </w:rPr>
        <w:t xml:space="preserve"> </w:t>
      </w:r>
      <w:r>
        <w:rPr>
          <w:sz w:val="18"/>
        </w:rPr>
        <w:t>and</w:t>
      </w:r>
      <w:r>
        <w:rPr>
          <w:spacing w:val="-2"/>
          <w:sz w:val="18"/>
        </w:rPr>
        <w:t xml:space="preserve"> </w:t>
      </w:r>
      <w:r>
        <w:rPr>
          <w:sz w:val="18"/>
        </w:rPr>
        <w:t>6.9</w:t>
      </w:r>
      <w:r>
        <w:rPr>
          <w:spacing w:val="-7"/>
          <w:sz w:val="18"/>
        </w:rPr>
        <w:t xml:space="preserve"> </w:t>
      </w:r>
      <w:r>
        <w:rPr>
          <w:sz w:val="18"/>
        </w:rPr>
        <w:t>are</w:t>
      </w:r>
      <w:r>
        <w:rPr>
          <w:spacing w:val="-4"/>
          <w:sz w:val="18"/>
        </w:rPr>
        <w:t xml:space="preserve"> </w:t>
      </w:r>
      <w:r>
        <w:rPr>
          <w:sz w:val="18"/>
        </w:rPr>
        <w:t>elaborated</w:t>
      </w:r>
      <w:r>
        <w:rPr>
          <w:spacing w:val="-2"/>
          <w:sz w:val="18"/>
        </w:rPr>
        <w:t xml:space="preserve"> </w:t>
      </w:r>
      <w:r>
        <w:rPr>
          <w:sz w:val="18"/>
        </w:rPr>
        <w:t>upon</w:t>
      </w:r>
      <w:r>
        <w:rPr>
          <w:spacing w:val="-6"/>
          <w:sz w:val="18"/>
        </w:rPr>
        <w:t xml:space="preserve"> </w:t>
      </w:r>
      <w:r>
        <w:rPr>
          <w:sz w:val="18"/>
        </w:rPr>
        <w:t>in</w:t>
      </w:r>
      <w:r>
        <w:rPr>
          <w:spacing w:val="-5"/>
          <w:sz w:val="18"/>
        </w:rPr>
        <w:t xml:space="preserve"> </w:t>
      </w:r>
      <w:r>
        <w:rPr>
          <w:sz w:val="18"/>
        </w:rPr>
        <w:t>Section</w:t>
      </w:r>
      <w:r>
        <w:rPr>
          <w:spacing w:val="-6"/>
          <w:sz w:val="18"/>
        </w:rPr>
        <w:t xml:space="preserve"> </w:t>
      </w:r>
      <w:r>
        <w:rPr>
          <w:sz w:val="18"/>
        </w:rPr>
        <w:t>VII.D</w:t>
      </w:r>
      <w:r>
        <w:rPr>
          <w:spacing w:val="-8"/>
          <w:sz w:val="18"/>
        </w:rPr>
        <w:t xml:space="preserve"> </w:t>
      </w:r>
      <w:r>
        <w:rPr>
          <w:sz w:val="18"/>
        </w:rPr>
        <w:t>of</w:t>
      </w:r>
      <w:r>
        <w:rPr>
          <w:spacing w:val="-4"/>
          <w:sz w:val="18"/>
        </w:rPr>
        <w:t xml:space="preserve"> </w:t>
      </w:r>
      <w:r>
        <w:rPr>
          <w:sz w:val="18"/>
        </w:rPr>
        <w:t>this</w:t>
      </w:r>
      <w:r>
        <w:rPr>
          <w:spacing w:val="-5"/>
          <w:sz w:val="18"/>
        </w:rPr>
        <w:t xml:space="preserve"> </w:t>
      </w:r>
      <w:r>
        <w:rPr>
          <w:spacing w:val="-2"/>
          <w:sz w:val="18"/>
        </w:rPr>
        <w:t>submission.</w:t>
      </w:r>
    </w:p>
    <w:p w14:paraId="285DF148" w14:textId="77777777" w:rsidR="00BD462C" w:rsidRDefault="00BD462C">
      <w:pPr>
        <w:rPr>
          <w:sz w:val="18"/>
        </w:rPr>
        <w:sectPr w:rsidR="00BD462C">
          <w:pgSz w:w="11910" w:h="16840"/>
          <w:pgMar w:top="860" w:right="500" w:bottom="780" w:left="1280" w:header="566" w:footer="590" w:gutter="0"/>
          <w:cols w:space="720"/>
        </w:sectPr>
      </w:pPr>
    </w:p>
    <w:p w14:paraId="36FE2E26"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503D3D39"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5862903E"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584480E0" w14:textId="77777777" w:rsidR="00BD462C" w:rsidRDefault="00033D0F">
      <w:pPr>
        <w:pStyle w:val="Heading3"/>
        <w:numPr>
          <w:ilvl w:val="0"/>
          <w:numId w:val="35"/>
        </w:numPr>
        <w:tabs>
          <w:tab w:val="left" w:pos="2689"/>
          <w:tab w:val="left" w:pos="2690"/>
        </w:tabs>
      </w:pPr>
      <w:bookmarkStart w:id="480" w:name="_bookmark419"/>
      <w:bookmarkEnd w:id="480"/>
      <w:r>
        <w:t>MOFCOM's</w:t>
      </w:r>
      <w:r>
        <w:rPr>
          <w:spacing w:val="-5"/>
        </w:rPr>
        <w:t xml:space="preserve"> </w:t>
      </w:r>
      <w:r>
        <w:t>recourse</w:t>
      </w:r>
      <w:r>
        <w:rPr>
          <w:spacing w:val="-4"/>
        </w:rPr>
        <w:t xml:space="preserve"> </w:t>
      </w:r>
      <w:r>
        <w:t>to</w:t>
      </w:r>
      <w:r>
        <w:rPr>
          <w:spacing w:val="-2"/>
        </w:rPr>
        <w:t xml:space="preserve"> </w:t>
      </w:r>
      <w:r>
        <w:t>facts</w:t>
      </w:r>
      <w:r>
        <w:rPr>
          <w:spacing w:val="-3"/>
        </w:rPr>
        <w:t xml:space="preserve"> </w:t>
      </w:r>
      <w:r>
        <w:t>available</w:t>
      </w:r>
      <w:r>
        <w:rPr>
          <w:spacing w:val="-4"/>
        </w:rPr>
        <w:t xml:space="preserve"> </w:t>
      </w:r>
      <w:r>
        <w:t>had</w:t>
      </w:r>
      <w:r>
        <w:rPr>
          <w:spacing w:val="-2"/>
        </w:rPr>
        <w:t xml:space="preserve"> </w:t>
      </w:r>
      <w:r>
        <w:t>no</w:t>
      </w:r>
      <w:r>
        <w:rPr>
          <w:spacing w:val="-2"/>
        </w:rPr>
        <w:t xml:space="preserve"> </w:t>
      </w:r>
      <w:r>
        <w:t>proper</w:t>
      </w:r>
      <w:r>
        <w:rPr>
          <w:spacing w:val="-1"/>
        </w:rPr>
        <w:t xml:space="preserve"> </w:t>
      </w:r>
      <w:r>
        <w:rPr>
          <w:spacing w:val="-2"/>
        </w:rPr>
        <w:t>basis</w:t>
      </w:r>
    </w:p>
    <w:p w14:paraId="5710EFDC" w14:textId="77777777" w:rsidR="00BD462C" w:rsidRDefault="00BD462C">
      <w:pPr>
        <w:pStyle w:val="BodyText"/>
        <w:spacing w:before="7"/>
        <w:rPr>
          <w:b/>
          <w:sz w:val="20"/>
        </w:rPr>
      </w:pPr>
    </w:p>
    <w:p w14:paraId="69F5FE85" w14:textId="77777777" w:rsidR="00D86B81" w:rsidRDefault="00033D0F" w:rsidP="00D86B81">
      <w:pPr>
        <w:pStyle w:val="BodyText"/>
        <w:numPr>
          <w:ilvl w:val="0"/>
          <w:numId w:val="69"/>
        </w:numPr>
        <w:spacing w:before="56" w:line="360" w:lineRule="auto"/>
        <w:ind w:right="911" w:hanging="638"/>
        <w:jc w:val="both"/>
      </w:pPr>
      <w:r>
        <w:rPr>
          <w:position w:val="1"/>
        </w:rPr>
        <w:t>In</w:t>
      </w:r>
      <w:r>
        <w:rPr>
          <w:spacing w:val="-13"/>
          <w:position w:val="1"/>
        </w:rPr>
        <w:t xml:space="preserve"> </w:t>
      </w:r>
      <w:r>
        <w:rPr>
          <w:position w:val="1"/>
        </w:rPr>
        <w:t>its</w:t>
      </w:r>
      <w:r>
        <w:rPr>
          <w:spacing w:val="-9"/>
          <w:position w:val="1"/>
        </w:rPr>
        <w:t xml:space="preserve"> </w:t>
      </w:r>
      <w:r>
        <w:rPr>
          <w:position w:val="1"/>
        </w:rPr>
        <w:t>first</w:t>
      </w:r>
      <w:r>
        <w:rPr>
          <w:spacing w:val="-10"/>
          <w:position w:val="1"/>
        </w:rPr>
        <w:t xml:space="preserve"> </w:t>
      </w:r>
      <w:r>
        <w:rPr>
          <w:position w:val="1"/>
        </w:rPr>
        <w:t>written</w:t>
      </w:r>
      <w:r>
        <w:rPr>
          <w:spacing w:val="-13"/>
          <w:position w:val="1"/>
        </w:rPr>
        <w:t xml:space="preserve"> </w:t>
      </w:r>
      <w:r>
        <w:rPr>
          <w:position w:val="1"/>
        </w:rPr>
        <w:t>submission,</w:t>
      </w:r>
      <w:r>
        <w:rPr>
          <w:spacing w:val="-9"/>
          <w:position w:val="1"/>
        </w:rPr>
        <w:t xml:space="preserve"> </w:t>
      </w:r>
      <w:r>
        <w:rPr>
          <w:position w:val="1"/>
        </w:rPr>
        <w:t>China</w:t>
      </w:r>
      <w:r>
        <w:rPr>
          <w:spacing w:val="-11"/>
          <w:position w:val="1"/>
        </w:rPr>
        <w:t xml:space="preserve"> </w:t>
      </w:r>
      <w:r>
        <w:rPr>
          <w:position w:val="1"/>
        </w:rPr>
        <w:t>argued</w:t>
      </w:r>
      <w:r>
        <w:rPr>
          <w:spacing w:val="-13"/>
          <w:position w:val="1"/>
        </w:rPr>
        <w:t xml:space="preserve"> </w:t>
      </w:r>
      <w:r>
        <w:rPr>
          <w:position w:val="1"/>
        </w:rPr>
        <w:t>that</w:t>
      </w:r>
      <w:r>
        <w:rPr>
          <w:spacing w:val="-10"/>
          <w:position w:val="1"/>
        </w:rPr>
        <w:t xml:space="preserve"> </w:t>
      </w:r>
      <w:r>
        <w:rPr>
          <w:position w:val="1"/>
        </w:rPr>
        <w:t>MOFCOM's</w:t>
      </w:r>
      <w:r>
        <w:rPr>
          <w:spacing w:val="-9"/>
          <w:position w:val="1"/>
        </w:rPr>
        <w:t xml:space="preserve"> </w:t>
      </w:r>
      <w:r>
        <w:rPr>
          <w:position w:val="1"/>
        </w:rPr>
        <w:t>decision</w:t>
      </w:r>
      <w:r>
        <w:rPr>
          <w:spacing w:val="-13"/>
          <w:position w:val="1"/>
        </w:rPr>
        <w:t xml:space="preserve"> </w:t>
      </w:r>
      <w:r>
        <w:rPr>
          <w:position w:val="1"/>
        </w:rPr>
        <w:t>to</w:t>
      </w:r>
      <w:r>
        <w:rPr>
          <w:spacing w:val="-9"/>
          <w:position w:val="1"/>
        </w:rPr>
        <w:t xml:space="preserve"> </w:t>
      </w:r>
      <w:r>
        <w:rPr>
          <w:position w:val="1"/>
        </w:rPr>
        <w:t>reject</w:t>
      </w:r>
      <w:r>
        <w:rPr>
          <w:spacing w:val="-10"/>
          <w:position w:val="1"/>
        </w:rPr>
        <w:t xml:space="preserve"> </w:t>
      </w:r>
      <w:r>
        <w:rPr>
          <w:position w:val="1"/>
        </w:rPr>
        <w:t xml:space="preserve">Casella </w:t>
      </w:r>
      <w:r>
        <w:t>Wines'</w:t>
      </w:r>
      <w:r>
        <w:rPr>
          <w:spacing w:val="-14"/>
        </w:rPr>
        <w:t xml:space="preserve"> </w:t>
      </w:r>
      <w:r>
        <w:t>cost</w:t>
      </w:r>
      <w:r>
        <w:rPr>
          <w:spacing w:val="-14"/>
        </w:rPr>
        <w:t xml:space="preserve"> </w:t>
      </w:r>
      <w:r>
        <w:t>of</w:t>
      </w:r>
      <w:r>
        <w:rPr>
          <w:spacing w:val="-13"/>
        </w:rPr>
        <w:t xml:space="preserve"> </w:t>
      </w:r>
      <w:r>
        <w:t>production</w:t>
      </w:r>
      <w:r>
        <w:rPr>
          <w:spacing w:val="-9"/>
        </w:rPr>
        <w:t xml:space="preserve"> </w:t>
      </w:r>
      <w:r>
        <w:t>data</w:t>
      </w:r>
      <w:r>
        <w:rPr>
          <w:spacing w:val="-13"/>
        </w:rPr>
        <w:t xml:space="preserve"> </w:t>
      </w:r>
      <w:r>
        <w:t>should</w:t>
      </w:r>
      <w:r>
        <w:rPr>
          <w:spacing w:val="-14"/>
        </w:rPr>
        <w:t xml:space="preserve"> </w:t>
      </w:r>
      <w:r>
        <w:t>be</w:t>
      </w:r>
      <w:r>
        <w:rPr>
          <w:spacing w:val="-7"/>
        </w:rPr>
        <w:t xml:space="preserve"> </w:t>
      </w:r>
      <w:r>
        <w:t>understood</w:t>
      </w:r>
      <w:r>
        <w:rPr>
          <w:spacing w:val="-14"/>
        </w:rPr>
        <w:t xml:space="preserve"> </w:t>
      </w:r>
      <w:r>
        <w:t>in</w:t>
      </w:r>
      <w:r>
        <w:rPr>
          <w:spacing w:val="-14"/>
        </w:rPr>
        <w:t xml:space="preserve"> </w:t>
      </w:r>
      <w:r>
        <w:t>the</w:t>
      </w:r>
      <w:r>
        <w:rPr>
          <w:spacing w:val="-12"/>
        </w:rPr>
        <w:t xml:space="preserve"> </w:t>
      </w:r>
      <w:r>
        <w:t>context</w:t>
      </w:r>
      <w:r>
        <w:rPr>
          <w:spacing w:val="-12"/>
        </w:rPr>
        <w:t xml:space="preserve"> </w:t>
      </w:r>
      <w:r>
        <w:t>of</w:t>
      </w:r>
      <w:r>
        <w:rPr>
          <w:spacing w:val="-14"/>
        </w:rPr>
        <w:t xml:space="preserve"> </w:t>
      </w:r>
      <w:r>
        <w:t>"an</w:t>
      </w:r>
      <w:r>
        <w:rPr>
          <w:spacing w:val="-9"/>
        </w:rPr>
        <w:t xml:space="preserve"> </w:t>
      </w:r>
      <w:r>
        <w:t>overall</w:t>
      </w:r>
      <w:r>
        <w:rPr>
          <w:spacing w:val="-11"/>
        </w:rPr>
        <w:t xml:space="preserve"> </w:t>
      </w:r>
      <w:r>
        <w:t>perspective, taking</w:t>
      </w:r>
      <w:r>
        <w:rPr>
          <w:spacing w:val="-14"/>
        </w:rPr>
        <w:t xml:space="preserve"> </w:t>
      </w:r>
      <w:r>
        <w:t>into</w:t>
      </w:r>
      <w:r>
        <w:rPr>
          <w:spacing w:val="-7"/>
        </w:rPr>
        <w:t xml:space="preserve"> </w:t>
      </w:r>
      <w:r>
        <w:t>account the totality of the deficiencies".</w:t>
      </w:r>
      <w:r>
        <w:rPr>
          <w:spacing w:val="-14"/>
        </w:rPr>
        <w:t xml:space="preserve"> </w:t>
      </w:r>
      <w:hyperlink w:anchor="_bookmark421" w:history="1">
        <w:r>
          <w:rPr>
            <w:vertAlign w:val="superscript"/>
          </w:rPr>
          <w:t>340</w:t>
        </w:r>
      </w:hyperlink>
      <w:r>
        <w:t xml:space="preserve"> As set out above, this alleged "holistic assessment"</w:t>
      </w:r>
      <w:r>
        <w:rPr>
          <w:spacing w:val="40"/>
        </w:rPr>
        <w:t xml:space="preserve"> </w:t>
      </w:r>
      <w:r>
        <w:t>approach</w:t>
      </w:r>
      <w:r>
        <w:rPr>
          <w:spacing w:val="40"/>
        </w:rPr>
        <w:t xml:space="preserve"> </w:t>
      </w:r>
      <w:r>
        <w:t>has</w:t>
      </w:r>
      <w:r>
        <w:rPr>
          <w:spacing w:val="40"/>
        </w:rPr>
        <w:t xml:space="preserve"> </w:t>
      </w:r>
      <w:r>
        <w:t>no</w:t>
      </w:r>
      <w:r>
        <w:rPr>
          <w:spacing w:val="40"/>
        </w:rPr>
        <w:t xml:space="preserve"> </w:t>
      </w:r>
      <w:r>
        <w:t>proper</w:t>
      </w:r>
      <w:r>
        <w:rPr>
          <w:spacing w:val="40"/>
        </w:rPr>
        <w:t xml:space="preserve"> </w:t>
      </w:r>
      <w:r>
        <w:t>basis</w:t>
      </w:r>
      <w:r>
        <w:rPr>
          <w:spacing w:val="40"/>
        </w:rPr>
        <w:t xml:space="preserve"> </w:t>
      </w:r>
      <w:r>
        <w:t>in</w:t>
      </w:r>
      <w:r>
        <w:rPr>
          <w:spacing w:val="40"/>
        </w:rPr>
        <w:t xml:space="preserve"> </w:t>
      </w:r>
      <w:r>
        <w:t>law;</w:t>
      </w:r>
      <w:hyperlink w:anchor="_bookmark422" w:history="1">
        <w:r>
          <w:rPr>
            <w:vertAlign w:val="superscript"/>
          </w:rPr>
          <w:t>341</w:t>
        </w:r>
      </w:hyperlink>
      <w:r>
        <w:rPr>
          <w:spacing w:val="40"/>
        </w:rPr>
        <w:t xml:space="preserve"> </w:t>
      </w:r>
      <w:r>
        <w:t>nor</w:t>
      </w:r>
      <w:r>
        <w:rPr>
          <w:spacing w:val="40"/>
        </w:rPr>
        <w:t xml:space="preserve"> </w:t>
      </w:r>
      <w:r>
        <w:t>is</w:t>
      </w:r>
      <w:r>
        <w:rPr>
          <w:spacing w:val="40"/>
        </w:rPr>
        <w:t xml:space="preserve"> </w:t>
      </w:r>
      <w:r>
        <w:t>it</w:t>
      </w:r>
      <w:r>
        <w:rPr>
          <w:spacing w:val="40"/>
        </w:rPr>
        <w:t xml:space="preserve"> </w:t>
      </w:r>
      <w:r>
        <w:t>reflected</w:t>
      </w:r>
      <w:r>
        <w:rPr>
          <w:spacing w:val="40"/>
        </w:rPr>
        <w:t xml:space="preserve"> </w:t>
      </w:r>
      <w:r>
        <w:t>in</w:t>
      </w:r>
      <w:r>
        <w:rPr>
          <w:spacing w:val="40"/>
        </w:rPr>
        <w:t xml:space="preserve"> </w:t>
      </w:r>
      <w:r>
        <w:t>MOFCOM's Final Determination.</w:t>
      </w:r>
    </w:p>
    <w:p w14:paraId="34E7F9C4" w14:textId="353665F9" w:rsidR="00D86B81" w:rsidRDefault="00D86B81" w:rsidP="00D86B81">
      <w:pPr>
        <w:pStyle w:val="BodyText"/>
        <w:numPr>
          <w:ilvl w:val="0"/>
          <w:numId w:val="69"/>
        </w:numPr>
        <w:spacing w:before="56" w:line="360" w:lineRule="auto"/>
        <w:ind w:right="911" w:hanging="638"/>
        <w:jc w:val="both"/>
      </w:pPr>
      <w:r>
        <w:t>Instead,</w:t>
      </w:r>
      <w:r w:rsidR="00033D0F" w:rsidRPr="00D86B81">
        <w:rPr>
          <w:position w:val="1"/>
        </w:rPr>
        <w:t xml:space="preserve"> it appears that the principal basis for MOFCOM resorting to facts available</w:t>
      </w:r>
      <w:r w:rsidR="00033D0F" w:rsidRPr="00D86B81">
        <w:rPr>
          <w:spacing w:val="40"/>
          <w:position w:val="1"/>
        </w:rPr>
        <w:t xml:space="preserve"> </w:t>
      </w:r>
      <w:r w:rsidR="00033D0F">
        <w:t>in the context of Casella Wines was the company's alleged failure to provide full cost of production data.</w:t>
      </w:r>
    </w:p>
    <w:p w14:paraId="0D9FD18B" w14:textId="77777777" w:rsidR="00D86B81" w:rsidRDefault="00033D0F" w:rsidP="00D86B81">
      <w:pPr>
        <w:pStyle w:val="BodyText"/>
        <w:numPr>
          <w:ilvl w:val="0"/>
          <w:numId w:val="69"/>
        </w:numPr>
        <w:spacing w:before="56" w:line="360" w:lineRule="auto"/>
        <w:ind w:right="911" w:hanging="638"/>
        <w:jc w:val="both"/>
      </w:pPr>
      <w:r w:rsidRPr="00D86B81">
        <w:rPr>
          <w:position w:val="1"/>
        </w:rPr>
        <w:t>As</w:t>
      </w:r>
      <w:r w:rsidRPr="00D86B81">
        <w:rPr>
          <w:spacing w:val="-14"/>
          <w:position w:val="1"/>
        </w:rPr>
        <w:t xml:space="preserve"> </w:t>
      </w:r>
      <w:r w:rsidRPr="00D86B81">
        <w:rPr>
          <w:position w:val="1"/>
        </w:rPr>
        <w:t>Australia</w:t>
      </w:r>
      <w:r w:rsidRPr="00D86B81">
        <w:rPr>
          <w:spacing w:val="-14"/>
          <w:position w:val="1"/>
        </w:rPr>
        <w:t xml:space="preserve"> </w:t>
      </w:r>
      <w:r w:rsidRPr="00D86B81">
        <w:rPr>
          <w:position w:val="1"/>
        </w:rPr>
        <w:t>demonstrates</w:t>
      </w:r>
      <w:r w:rsidRPr="00D86B81">
        <w:rPr>
          <w:spacing w:val="-13"/>
          <w:position w:val="1"/>
        </w:rPr>
        <w:t xml:space="preserve"> </w:t>
      </w:r>
      <w:r w:rsidRPr="00D86B81">
        <w:rPr>
          <w:position w:val="1"/>
        </w:rPr>
        <w:t>in</w:t>
      </w:r>
      <w:r w:rsidRPr="00D86B81">
        <w:rPr>
          <w:spacing w:val="-14"/>
          <w:position w:val="1"/>
        </w:rPr>
        <w:t xml:space="preserve"> </w:t>
      </w:r>
      <w:r w:rsidRPr="00D86B81">
        <w:rPr>
          <w:position w:val="1"/>
        </w:rPr>
        <w:t>detail</w:t>
      </w:r>
      <w:r w:rsidRPr="00D86B81">
        <w:rPr>
          <w:spacing w:val="-13"/>
          <w:position w:val="1"/>
        </w:rPr>
        <w:t xml:space="preserve"> </w:t>
      </w:r>
      <w:r w:rsidRPr="00D86B81">
        <w:rPr>
          <w:position w:val="1"/>
        </w:rPr>
        <w:t>in</w:t>
      </w:r>
      <w:r w:rsidRPr="00D86B81">
        <w:rPr>
          <w:spacing w:val="-14"/>
          <w:position w:val="1"/>
        </w:rPr>
        <w:t xml:space="preserve"> </w:t>
      </w:r>
      <w:r w:rsidRPr="00D86B81">
        <w:rPr>
          <w:position w:val="1"/>
        </w:rPr>
        <w:t>section</w:t>
      </w:r>
      <w:r w:rsidRPr="00D86B81">
        <w:rPr>
          <w:spacing w:val="-13"/>
          <w:position w:val="1"/>
        </w:rPr>
        <w:t xml:space="preserve"> </w:t>
      </w:r>
      <w:r w:rsidRPr="00D86B81">
        <w:rPr>
          <w:position w:val="1"/>
        </w:rPr>
        <w:t>III.E.2(b)i</w:t>
      </w:r>
      <w:r w:rsidRPr="00D86B81">
        <w:rPr>
          <w:spacing w:val="-14"/>
          <w:position w:val="1"/>
        </w:rPr>
        <w:t xml:space="preserve"> </w:t>
      </w:r>
      <w:r w:rsidRPr="00D86B81">
        <w:rPr>
          <w:position w:val="1"/>
        </w:rPr>
        <w:t>below,</w:t>
      </w:r>
      <w:r w:rsidRPr="00D86B81">
        <w:rPr>
          <w:spacing w:val="-14"/>
          <w:position w:val="1"/>
        </w:rPr>
        <w:t xml:space="preserve"> </w:t>
      </w:r>
      <w:r w:rsidRPr="00D86B81">
        <w:rPr>
          <w:position w:val="1"/>
        </w:rPr>
        <w:t>Casella</w:t>
      </w:r>
      <w:r w:rsidRPr="00D86B81">
        <w:rPr>
          <w:spacing w:val="-13"/>
          <w:position w:val="1"/>
        </w:rPr>
        <w:t xml:space="preserve"> </w:t>
      </w:r>
      <w:r w:rsidRPr="00D86B81">
        <w:rPr>
          <w:position w:val="1"/>
        </w:rPr>
        <w:t>Wines</w:t>
      </w:r>
      <w:r w:rsidRPr="00D86B81">
        <w:rPr>
          <w:spacing w:val="-14"/>
          <w:position w:val="1"/>
        </w:rPr>
        <w:t xml:space="preserve"> </w:t>
      </w:r>
      <w:r w:rsidRPr="00D86B81">
        <w:rPr>
          <w:position w:val="1"/>
        </w:rPr>
        <w:t xml:space="preserve">provided </w:t>
      </w:r>
      <w:r>
        <w:t>all</w:t>
      </w:r>
      <w:r w:rsidRPr="00D86B81">
        <w:rPr>
          <w:spacing w:val="-6"/>
        </w:rPr>
        <w:t xml:space="preserve"> </w:t>
      </w:r>
      <w:r>
        <w:t>the</w:t>
      </w:r>
      <w:r w:rsidRPr="00D86B81">
        <w:rPr>
          <w:spacing w:val="-8"/>
        </w:rPr>
        <w:t xml:space="preserve"> </w:t>
      </w:r>
      <w:r>
        <w:t>data</w:t>
      </w:r>
      <w:r w:rsidRPr="00D86B81">
        <w:rPr>
          <w:spacing w:val="-8"/>
        </w:rPr>
        <w:t xml:space="preserve"> </w:t>
      </w:r>
      <w:r>
        <w:t>requested</w:t>
      </w:r>
      <w:r w:rsidRPr="00D86B81">
        <w:rPr>
          <w:spacing w:val="-10"/>
        </w:rPr>
        <w:t xml:space="preserve"> </w:t>
      </w:r>
      <w:r>
        <w:t>by</w:t>
      </w:r>
      <w:r w:rsidRPr="00D86B81">
        <w:rPr>
          <w:spacing w:val="-7"/>
        </w:rPr>
        <w:t xml:space="preserve"> </w:t>
      </w:r>
      <w:r>
        <w:t>MOFCOM.</w:t>
      </w:r>
      <w:r w:rsidRPr="00D86B81">
        <w:rPr>
          <w:spacing w:val="-7"/>
        </w:rPr>
        <w:t xml:space="preserve"> </w:t>
      </w:r>
      <w:r>
        <w:t>Indeed,</w:t>
      </w:r>
      <w:r w:rsidRPr="00D86B81">
        <w:rPr>
          <w:spacing w:val="-6"/>
        </w:rPr>
        <w:t xml:space="preserve"> </w:t>
      </w:r>
      <w:r>
        <w:t>China</w:t>
      </w:r>
      <w:r w:rsidRPr="00D86B81">
        <w:rPr>
          <w:spacing w:val="-13"/>
        </w:rPr>
        <w:t xml:space="preserve"> </w:t>
      </w:r>
      <w:r>
        <w:t>does</w:t>
      </w:r>
      <w:r w:rsidRPr="00D86B81">
        <w:rPr>
          <w:spacing w:val="-7"/>
        </w:rPr>
        <w:t xml:space="preserve"> </w:t>
      </w:r>
      <w:r>
        <w:t>not</w:t>
      </w:r>
      <w:r w:rsidRPr="00D86B81">
        <w:rPr>
          <w:spacing w:val="-3"/>
        </w:rPr>
        <w:t xml:space="preserve"> </w:t>
      </w:r>
      <w:r>
        <w:t>deny</w:t>
      </w:r>
      <w:r w:rsidRPr="00D86B81">
        <w:rPr>
          <w:spacing w:val="-7"/>
        </w:rPr>
        <w:t xml:space="preserve"> </w:t>
      </w:r>
      <w:r>
        <w:t>that</w:t>
      </w:r>
      <w:r w:rsidRPr="00D86B81">
        <w:rPr>
          <w:spacing w:val="-8"/>
        </w:rPr>
        <w:t xml:space="preserve"> </w:t>
      </w:r>
      <w:r>
        <w:t>Casella</w:t>
      </w:r>
      <w:r w:rsidRPr="00D86B81">
        <w:rPr>
          <w:spacing w:val="-9"/>
        </w:rPr>
        <w:t xml:space="preserve"> </w:t>
      </w:r>
      <w:r>
        <w:t>Wines</w:t>
      </w:r>
      <w:r w:rsidRPr="00D86B81">
        <w:rPr>
          <w:spacing w:val="-7"/>
        </w:rPr>
        <w:t xml:space="preserve"> </w:t>
      </w:r>
      <w:r>
        <w:t>provided complete and accurate response to Form 6-3 in both hard copy and PDF format. Rather, China's</w:t>
      </w:r>
      <w:r w:rsidRPr="00D86B81">
        <w:rPr>
          <w:spacing w:val="-6"/>
        </w:rPr>
        <w:t xml:space="preserve"> </w:t>
      </w:r>
      <w:r>
        <w:t>only</w:t>
      </w:r>
      <w:r w:rsidRPr="00D86B81">
        <w:rPr>
          <w:spacing w:val="-6"/>
        </w:rPr>
        <w:t xml:space="preserve"> </w:t>
      </w:r>
      <w:r>
        <w:t>complaint</w:t>
      </w:r>
      <w:r w:rsidRPr="00D86B81">
        <w:rPr>
          <w:spacing w:val="-7"/>
        </w:rPr>
        <w:t xml:space="preserve"> </w:t>
      </w:r>
      <w:r>
        <w:t>is</w:t>
      </w:r>
      <w:r w:rsidRPr="00D86B81">
        <w:rPr>
          <w:spacing w:val="-6"/>
        </w:rPr>
        <w:t xml:space="preserve"> </w:t>
      </w:r>
      <w:r>
        <w:t>that</w:t>
      </w:r>
      <w:r w:rsidRPr="00D86B81">
        <w:rPr>
          <w:spacing w:val="-7"/>
        </w:rPr>
        <w:t xml:space="preserve"> </w:t>
      </w:r>
      <w:r>
        <w:t>Casella</w:t>
      </w:r>
      <w:r w:rsidRPr="00D86B81">
        <w:rPr>
          <w:spacing w:val="-8"/>
        </w:rPr>
        <w:t xml:space="preserve"> </w:t>
      </w:r>
      <w:r>
        <w:t>Wines</w:t>
      </w:r>
      <w:r w:rsidRPr="00D86B81">
        <w:rPr>
          <w:spacing w:val="-6"/>
        </w:rPr>
        <w:t xml:space="preserve"> </w:t>
      </w:r>
      <w:r>
        <w:t>did</w:t>
      </w:r>
      <w:r w:rsidRPr="00D86B81">
        <w:rPr>
          <w:spacing w:val="-9"/>
        </w:rPr>
        <w:t xml:space="preserve"> </w:t>
      </w:r>
      <w:r>
        <w:t>not</w:t>
      </w:r>
      <w:r w:rsidRPr="00D86B81">
        <w:rPr>
          <w:spacing w:val="-7"/>
        </w:rPr>
        <w:t xml:space="preserve"> </w:t>
      </w:r>
      <w:r>
        <w:t>provide</w:t>
      </w:r>
      <w:r w:rsidRPr="00D86B81">
        <w:rPr>
          <w:spacing w:val="-7"/>
        </w:rPr>
        <w:t xml:space="preserve"> </w:t>
      </w:r>
      <w:r>
        <w:t>a</w:t>
      </w:r>
      <w:r w:rsidRPr="00D86B81">
        <w:rPr>
          <w:spacing w:val="-8"/>
        </w:rPr>
        <w:t xml:space="preserve"> </w:t>
      </w:r>
      <w:r>
        <w:t>complete</w:t>
      </w:r>
      <w:r w:rsidRPr="00D86B81">
        <w:rPr>
          <w:spacing w:val="-7"/>
        </w:rPr>
        <w:t xml:space="preserve"> </w:t>
      </w:r>
      <w:r>
        <w:t>version</w:t>
      </w:r>
      <w:r w:rsidRPr="00D86B81">
        <w:rPr>
          <w:spacing w:val="-9"/>
        </w:rPr>
        <w:t xml:space="preserve"> </w:t>
      </w:r>
      <w:r>
        <w:t>of</w:t>
      </w:r>
      <w:r w:rsidRPr="00D86B81">
        <w:rPr>
          <w:spacing w:val="-9"/>
        </w:rPr>
        <w:t xml:space="preserve"> </w:t>
      </w:r>
      <w:r>
        <w:t>Form</w:t>
      </w:r>
      <w:r w:rsidRPr="00D86B81">
        <w:rPr>
          <w:spacing w:val="-7"/>
        </w:rPr>
        <w:t xml:space="preserve"> </w:t>
      </w:r>
      <w:r>
        <w:t>6-3</w:t>
      </w:r>
      <w:r w:rsidRPr="00D86B81">
        <w:rPr>
          <w:spacing w:val="-9"/>
        </w:rPr>
        <w:t xml:space="preserve"> </w:t>
      </w:r>
      <w:r>
        <w:t>in the requested WPS format.</w:t>
      </w:r>
    </w:p>
    <w:p w14:paraId="3090FC67" w14:textId="77777777" w:rsidR="00D86B81" w:rsidRDefault="00033D0F" w:rsidP="00D86B81">
      <w:pPr>
        <w:pStyle w:val="BodyText"/>
        <w:numPr>
          <w:ilvl w:val="0"/>
          <w:numId w:val="69"/>
        </w:numPr>
        <w:spacing w:before="56" w:line="360" w:lineRule="auto"/>
        <w:ind w:right="911" w:hanging="638"/>
        <w:jc w:val="both"/>
      </w:pPr>
      <w:r w:rsidRPr="00D86B81">
        <w:rPr>
          <w:position w:val="1"/>
        </w:rPr>
        <w:t xml:space="preserve">Accordingly, MOFCOM rejected Casella Wines' cost of production data on the sole </w:t>
      </w:r>
      <w:r>
        <w:t xml:space="preserve">basis that one of the three versions in which the data was required to be provided to the investigating authority was incomplete. This was despite Casella Wines' prompt and clear explanation of the technical difficulties it faced, and despite Casella Wines having provided MOFCOM with the complete Form 6-3 in Excel format, an equivalent format that allowed MOFCOM to manipulate and </w:t>
      </w:r>
      <w:proofErr w:type="spellStart"/>
      <w:r>
        <w:t>analyse</w:t>
      </w:r>
      <w:proofErr w:type="spellEnd"/>
      <w:r>
        <w:t xml:space="preserve"> the data easily and effectively.</w:t>
      </w:r>
    </w:p>
    <w:p w14:paraId="18EFE6BA" w14:textId="453F82FD" w:rsidR="00BD462C" w:rsidRDefault="00033D0F" w:rsidP="00D86B81">
      <w:pPr>
        <w:pStyle w:val="BodyText"/>
        <w:numPr>
          <w:ilvl w:val="0"/>
          <w:numId w:val="69"/>
        </w:numPr>
        <w:spacing w:before="56" w:line="360" w:lineRule="auto"/>
        <w:ind w:right="911" w:hanging="638"/>
        <w:jc w:val="both"/>
      </w:pPr>
      <w:r w:rsidRPr="00D86B81">
        <w:rPr>
          <w:position w:val="1"/>
        </w:rPr>
        <w:t>This</w:t>
      </w:r>
      <w:r w:rsidRPr="00D86B81">
        <w:rPr>
          <w:spacing w:val="80"/>
          <w:position w:val="1"/>
        </w:rPr>
        <w:t xml:space="preserve"> </w:t>
      </w:r>
      <w:r w:rsidRPr="00D86B81">
        <w:rPr>
          <w:position w:val="1"/>
        </w:rPr>
        <w:t>unjustified</w:t>
      </w:r>
      <w:r w:rsidRPr="00D86B81">
        <w:rPr>
          <w:spacing w:val="80"/>
          <w:position w:val="1"/>
        </w:rPr>
        <w:t xml:space="preserve"> </w:t>
      </w:r>
      <w:r w:rsidRPr="00D86B81">
        <w:rPr>
          <w:position w:val="1"/>
        </w:rPr>
        <w:t>and</w:t>
      </w:r>
      <w:r w:rsidRPr="00D86B81">
        <w:rPr>
          <w:spacing w:val="80"/>
          <w:position w:val="1"/>
        </w:rPr>
        <w:t xml:space="preserve"> </w:t>
      </w:r>
      <w:r w:rsidRPr="00D86B81">
        <w:rPr>
          <w:position w:val="1"/>
        </w:rPr>
        <w:t>officious</w:t>
      </w:r>
      <w:r w:rsidRPr="00D86B81">
        <w:rPr>
          <w:spacing w:val="80"/>
          <w:position w:val="1"/>
        </w:rPr>
        <w:t xml:space="preserve"> </w:t>
      </w:r>
      <w:r w:rsidRPr="00D86B81">
        <w:rPr>
          <w:position w:val="1"/>
        </w:rPr>
        <w:t>approach</w:t>
      </w:r>
      <w:r w:rsidRPr="00D86B81">
        <w:rPr>
          <w:spacing w:val="80"/>
          <w:position w:val="1"/>
        </w:rPr>
        <w:t xml:space="preserve"> </w:t>
      </w:r>
      <w:r w:rsidRPr="00D86B81">
        <w:rPr>
          <w:position w:val="1"/>
        </w:rPr>
        <w:t>is</w:t>
      </w:r>
      <w:r w:rsidRPr="00D86B81">
        <w:rPr>
          <w:spacing w:val="80"/>
          <w:position w:val="1"/>
        </w:rPr>
        <w:t xml:space="preserve"> </w:t>
      </w:r>
      <w:r w:rsidRPr="00D86B81">
        <w:rPr>
          <w:position w:val="1"/>
        </w:rPr>
        <w:t>characteristic</w:t>
      </w:r>
      <w:r w:rsidRPr="00D86B81">
        <w:rPr>
          <w:spacing w:val="80"/>
          <w:position w:val="1"/>
        </w:rPr>
        <w:t xml:space="preserve"> </w:t>
      </w:r>
      <w:r w:rsidRPr="00D86B81">
        <w:rPr>
          <w:position w:val="1"/>
        </w:rPr>
        <w:t>of</w:t>
      </w:r>
      <w:r w:rsidRPr="00D86B81">
        <w:rPr>
          <w:spacing w:val="80"/>
          <w:position w:val="1"/>
        </w:rPr>
        <w:t xml:space="preserve"> </w:t>
      </w:r>
      <w:r w:rsidRPr="00D86B81">
        <w:rPr>
          <w:position w:val="1"/>
        </w:rPr>
        <w:t>MOFCOM's</w:t>
      </w:r>
      <w:r w:rsidRPr="00D86B81">
        <w:rPr>
          <w:spacing w:val="80"/>
          <w:position w:val="1"/>
        </w:rPr>
        <w:t xml:space="preserve"> </w:t>
      </w:r>
      <w:r w:rsidRPr="00D86B81">
        <w:rPr>
          <w:position w:val="1"/>
        </w:rPr>
        <w:t xml:space="preserve">whole </w:t>
      </w:r>
      <w:r>
        <w:t>investigation. It is not the approach of an unbiased and objective investigating authority.</w:t>
      </w:r>
    </w:p>
    <w:p w14:paraId="4673253E" w14:textId="77777777" w:rsidR="00BD462C" w:rsidRDefault="00033D0F">
      <w:pPr>
        <w:pStyle w:val="Heading3"/>
        <w:numPr>
          <w:ilvl w:val="0"/>
          <w:numId w:val="35"/>
        </w:numPr>
        <w:tabs>
          <w:tab w:val="left" w:pos="2689"/>
          <w:tab w:val="left" w:pos="2690"/>
        </w:tabs>
        <w:spacing w:before="164"/>
      </w:pPr>
      <w:bookmarkStart w:id="481" w:name="_bookmark420"/>
      <w:bookmarkEnd w:id="481"/>
      <w:r>
        <w:t>There</w:t>
      </w:r>
      <w:r>
        <w:rPr>
          <w:spacing w:val="-5"/>
        </w:rPr>
        <w:t xml:space="preserve"> </w:t>
      </w:r>
      <w:r>
        <w:t>was</w:t>
      </w:r>
      <w:r>
        <w:rPr>
          <w:spacing w:val="-4"/>
        </w:rPr>
        <w:t xml:space="preserve"> </w:t>
      </w:r>
      <w:r>
        <w:t>no</w:t>
      </w:r>
      <w:r>
        <w:rPr>
          <w:spacing w:val="-3"/>
        </w:rPr>
        <w:t xml:space="preserve"> </w:t>
      </w:r>
      <w:r>
        <w:t>necessary</w:t>
      </w:r>
      <w:r>
        <w:rPr>
          <w:spacing w:val="-2"/>
        </w:rPr>
        <w:t xml:space="preserve"> </w:t>
      </w:r>
      <w:r>
        <w:t>information</w:t>
      </w:r>
      <w:r>
        <w:rPr>
          <w:spacing w:val="-3"/>
        </w:rPr>
        <w:t xml:space="preserve"> </w:t>
      </w:r>
      <w:r>
        <w:t>missing</w:t>
      </w:r>
      <w:r>
        <w:rPr>
          <w:spacing w:val="-3"/>
        </w:rPr>
        <w:t xml:space="preserve"> </w:t>
      </w:r>
      <w:r>
        <w:t>from</w:t>
      </w:r>
      <w:r>
        <w:rPr>
          <w:spacing w:val="-2"/>
        </w:rPr>
        <w:t xml:space="preserve"> </w:t>
      </w:r>
      <w:r>
        <w:t>the</w:t>
      </w:r>
      <w:r>
        <w:rPr>
          <w:spacing w:val="-4"/>
        </w:rPr>
        <w:t xml:space="preserve"> </w:t>
      </w:r>
      <w:r>
        <w:rPr>
          <w:spacing w:val="-2"/>
        </w:rPr>
        <w:t>record</w:t>
      </w:r>
    </w:p>
    <w:p w14:paraId="4A6893CA" w14:textId="77777777" w:rsidR="00BD462C" w:rsidRDefault="00BD462C">
      <w:pPr>
        <w:pStyle w:val="BodyText"/>
        <w:spacing w:before="11"/>
        <w:rPr>
          <w:b/>
          <w:sz w:val="20"/>
        </w:rPr>
      </w:pPr>
    </w:p>
    <w:p w14:paraId="28FA852D" w14:textId="5B4F7F6E" w:rsidR="00BD462C" w:rsidRDefault="00033D0F" w:rsidP="00D86B81">
      <w:pPr>
        <w:pStyle w:val="BodyText"/>
        <w:numPr>
          <w:ilvl w:val="0"/>
          <w:numId w:val="69"/>
        </w:numPr>
        <w:spacing w:before="56" w:line="357" w:lineRule="auto"/>
        <w:ind w:right="915" w:hanging="638"/>
        <w:jc w:val="both"/>
      </w:pPr>
      <w:r>
        <w:rPr>
          <w:position w:val="1"/>
        </w:rPr>
        <w:t>Contrary</w:t>
      </w:r>
      <w:r>
        <w:rPr>
          <w:spacing w:val="40"/>
          <w:position w:val="1"/>
        </w:rPr>
        <w:t xml:space="preserve"> </w:t>
      </w:r>
      <w:r>
        <w:rPr>
          <w:position w:val="1"/>
        </w:rPr>
        <w:t>to</w:t>
      </w:r>
      <w:r>
        <w:rPr>
          <w:spacing w:val="40"/>
          <w:position w:val="1"/>
        </w:rPr>
        <w:t xml:space="preserve"> </w:t>
      </w:r>
      <w:r>
        <w:rPr>
          <w:position w:val="1"/>
        </w:rPr>
        <w:t>MOFCOM's</w:t>
      </w:r>
      <w:r>
        <w:rPr>
          <w:spacing w:val="40"/>
          <w:position w:val="1"/>
        </w:rPr>
        <w:t xml:space="preserve"> </w:t>
      </w:r>
      <w:r>
        <w:rPr>
          <w:position w:val="1"/>
        </w:rPr>
        <w:t>findings,</w:t>
      </w:r>
      <w:r>
        <w:rPr>
          <w:spacing w:val="40"/>
          <w:position w:val="1"/>
        </w:rPr>
        <w:t xml:space="preserve"> </w:t>
      </w:r>
      <w:r>
        <w:rPr>
          <w:position w:val="1"/>
        </w:rPr>
        <w:t>Australia</w:t>
      </w:r>
      <w:r>
        <w:rPr>
          <w:spacing w:val="40"/>
          <w:position w:val="1"/>
        </w:rPr>
        <w:t xml:space="preserve"> </w:t>
      </w:r>
      <w:r>
        <w:rPr>
          <w:position w:val="1"/>
        </w:rPr>
        <w:t>has established</w:t>
      </w:r>
      <w:r>
        <w:rPr>
          <w:spacing w:val="40"/>
          <w:position w:val="1"/>
        </w:rPr>
        <w:t xml:space="preserve"> </w:t>
      </w:r>
      <w:r>
        <w:rPr>
          <w:position w:val="1"/>
        </w:rPr>
        <w:t>that</w:t>
      </w:r>
      <w:r>
        <w:rPr>
          <w:spacing w:val="40"/>
          <w:position w:val="1"/>
        </w:rPr>
        <w:t xml:space="preserve"> </w:t>
      </w:r>
      <w:r>
        <w:rPr>
          <w:position w:val="1"/>
        </w:rPr>
        <w:t xml:space="preserve">Casella Wines </w:t>
      </w:r>
      <w:r>
        <w:t>provided all necessary information to establish its actual production costs, and that no necessary information was missing from MOFCOM's record. China has failed to rebut these</w:t>
      </w:r>
    </w:p>
    <w:p w14:paraId="2DD3CC31" w14:textId="77777777" w:rsidR="00BD462C" w:rsidRDefault="00BD462C">
      <w:pPr>
        <w:pStyle w:val="BodyText"/>
        <w:rPr>
          <w:sz w:val="20"/>
        </w:rPr>
      </w:pPr>
    </w:p>
    <w:p w14:paraId="314D3A29" w14:textId="5CC11AF4" w:rsidR="00BD462C" w:rsidRDefault="00D70C7D">
      <w:pPr>
        <w:pStyle w:val="BodyText"/>
        <w:spacing w:before="11"/>
        <w:rPr>
          <w:sz w:val="27"/>
        </w:rPr>
      </w:pPr>
      <w:r>
        <w:rPr>
          <w:noProof/>
        </w:rPr>
        <mc:AlternateContent>
          <mc:Choice Requires="wps">
            <w:drawing>
              <wp:anchor distT="0" distB="0" distL="0" distR="0" simplePos="0" relativeHeight="487691264" behindDoc="1" locked="0" layoutInCell="1" allowOverlap="1" wp14:anchorId="6DBE5940" wp14:editId="248522E7">
                <wp:simplePos x="0" y="0"/>
                <wp:positionH relativeFrom="page">
                  <wp:posOffset>899160</wp:posOffset>
                </wp:positionH>
                <wp:positionV relativeFrom="paragraph">
                  <wp:posOffset>232410</wp:posOffset>
                </wp:positionV>
                <wp:extent cx="1828800" cy="8890"/>
                <wp:effectExtent l="0" t="0" r="0" b="0"/>
                <wp:wrapTopAndBottom/>
                <wp:docPr id="988" name="docshape2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FBD152" id="docshape222" o:spid="_x0000_s1026" alt="&quot;&quot;" style="position:absolute;margin-left:70.8pt;margin-top:18.3pt;width:2in;height:.7pt;z-index:-15625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" fillcolor="black" stroked="f">
                <w10:wrap type="topAndBottom" anchorx="page"/>
              </v:rect>
            </w:pict>
          </mc:Fallback>
        </mc:AlternateContent>
      </w:r>
    </w:p>
    <w:p w14:paraId="7ABCFFDF" w14:textId="77777777" w:rsidR="00BD462C" w:rsidRDefault="00033D0F">
      <w:pPr>
        <w:spacing w:before="112"/>
        <w:ind w:left="135"/>
        <w:rPr>
          <w:sz w:val="18"/>
        </w:rPr>
      </w:pPr>
      <w:bookmarkStart w:id="482" w:name="_bookmark421"/>
      <w:bookmarkEnd w:id="482"/>
      <w:r>
        <w:rPr>
          <w:position w:val="5"/>
          <w:sz w:val="12"/>
        </w:rPr>
        <w:t>340</w:t>
      </w:r>
      <w:r>
        <w:rPr>
          <w:spacing w:val="12"/>
          <w:position w:val="5"/>
          <w:sz w:val="12"/>
        </w:rPr>
        <w:t xml:space="preserve"> </w:t>
      </w:r>
      <w:r>
        <w:rPr>
          <w:sz w:val="18"/>
        </w:rPr>
        <w:t>China’s</w:t>
      </w:r>
      <w:r>
        <w:rPr>
          <w:spacing w:val="-5"/>
          <w:sz w:val="18"/>
        </w:rPr>
        <w:t xml:space="preserve"> </w:t>
      </w:r>
      <w:r>
        <w:rPr>
          <w:sz w:val="18"/>
        </w:rPr>
        <w:t>first</w:t>
      </w:r>
      <w:r>
        <w:rPr>
          <w:spacing w:val="-1"/>
          <w:sz w:val="18"/>
        </w:rPr>
        <w:t xml:space="preserve"> </w:t>
      </w:r>
      <w:r>
        <w:rPr>
          <w:sz w:val="18"/>
        </w:rPr>
        <w:t>written</w:t>
      </w:r>
      <w:r>
        <w:rPr>
          <w:spacing w:val="-7"/>
          <w:sz w:val="18"/>
        </w:rPr>
        <w:t xml:space="preserve"> </w:t>
      </w:r>
      <w:r>
        <w:rPr>
          <w:sz w:val="18"/>
        </w:rPr>
        <w:t>submission,</w:t>
      </w:r>
      <w:r>
        <w:rPr>
          <w:spacing w:val="-3"/>
          <w:sz w:val="18"/>
        </w:rPr>
        <w:t xml:space="preserve"> </w:t>
      </w:r>
      <w:r>
        <w:rPr>
          <w:sz w:val="18"/>
        </w:rPr>
        <w:t>para.</w:t>
      </w:r>
      <w:r>
        <w:rPr>
          <w:spacing w:val="-1"/>
          <w:sz w:val="18"/>
        </w:rPr>
        <w:t xml:space="preserve"> </w:t>
      </w:r>
      <w:r>
        <w:rPr>
          <w:spacing w:val="-4"/>
          <w:sz w:val="18"/>
        </w:rPr>
        <w:t>583.</w:t>
      </w:r>
    </w:p>
    <w:p w14:paraId="3FB10B11" w14:textId="77777777" w:rsidR="00BD462C" w:rsidRDefault="00033D0F">
      <w:pPr>
        <w:spacing w:before="1"/>
        <w:ind w:left="135"/>
        <w:rPr>
          <w:sz w:val="18"/>
        </w:rPr>
      </w:pPr>
      <w:bookmarkStart w:id="483" w:name="_bookmark422"/>
      <w:bookmarkEnd w:id="483"/>
      <w:r>
        <w:rPr>
          <w:position w:val="5"/>
          <w:sz w:val="12"/>
        </w:rPr>
        <w:t>341</w:t>
      </w:r>
      <w:r>
        <w:rPr>
          <w:spacing w:val="15"/>
          <w:position w:val="5"/>
          <w:sz w:val="12"/>
        </w:rPr>
        <w:t xml:space="preserve"> </w:t>
      </w:r>
      <w:r>
        <w:rPr>
          <w:sz w:val="18"/>
        </w:rPr>
        <w:t>See</w:t>
      </w:r>
      <w:r>
        <w:rPr>
          <w:spacing w:val="-4"/>
          <w:sz w:val="18"/>
        </w:rPr>
        <w:t xml:space="preserve"> </w:t>
      </w:r>
      <w:r>
        <w:rPr>
          <w:sz w:val="18"/>
        </w:rPr>
        <w:t>above,</w:t>
      </w:r>
      <w:r>
        <w:rPr>
          <w:spacing w:val="-2"/>
          <w:sz w:val="18"/>
        </w:rPr>
        <w:t xml:space="preserve"> </w:t>
      </w:r>
      <w:r>
        <w:rPr>
          <w:sz w:val="18"/>
        </w:rPr>
        <w:t>section</w:t>
      </w:r>
      <w:r>
        <w:rPr>
          <w:spacing w:val="-5"/>
          <w:sz w:val="18"/>
        </w:rPr>
        <w:t xml:space="preserve"> </w:t>
      </w:r>
      <w:hyperlink w:anchor="_bookmark126" w:history="1">
        <w:r>
          <w:rPr>
            <w:spacing w:val="-2"/>
            <w:sz w:val="18"/>
          </w:rPr>
          <w:t>III.B.</w:t>
        </w:r>
      </w:hyperlink>
    </w:p>
    <w:p w14:paraId="06026B2A" w14:textId="77777777" w:rsidR="00BD462C" w:rsidRDefault="00BD462C">
      <w:pPr>
        <w:rPr>
          <w:sz w:val="18"/>
        </w:rPr>
        <w:sectPr w:rsidR="00BD462C">
          <w:pgSz w:w="11910" w:h="16840"/>
          <w:pgMar w:top="860" w:right="500" w:bottom="780" w:left="1280" w:header="566" w:footer="590" w:gutter="0"/>
          <w:cols w:space="720"/>
        </w:sectPr>
      </w:pPr>
    </w:p>
    <w:p w14:paraId="25D5D186"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16D3BC0D"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53E2054E"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20F25F39" w14:textId="77777777" w:rsidR="00BD462C" w:rsidRDefault="00033D0F">
      <w:pPr>
        <w:pStyle w:val="BodyText"/>
        <w:spacing w:before="102" w:line="357" w:lineRule="auto"/>
        <w:ind w:left="135" w:right="923"/>
      </w:pPr>
      <w:bookmarkStart w:id="484" w:name="(a)_Form_6-1-2"/>
      <w:bookmarkStart w:id="485" w:name="_bookmark423"/>
      <w:bookmarkEnd w:id="484"/>
      <w:bookmarkEnd w:id="485"/>
      <w:r>
        <w:t>arguments and has provided no evidence to the contrary. Australia will address each of the forms MOFCOM alleged to be deficient below, namely Forms 6-1-2, 6-3 and 6-4.</w:t>
      </w:r>
    </w:p>
    <w:p w14:paraId="0D3BD80A" w14:textId="77777777" w:rsidR="00BD462C" w:rsidRDefault="00033D0F">
      <w:pPr>
        <w:pStyle w:val="ListParagraph"/>
        <w:numPr>
          <w:ilvl w:val="1"/>
          <w:numId w:val="35"/>
        </w:numPr>
        <w:tabs>
          <w:tab w:val="left" w:pos="3539"/>
          <w:tab w:val="left" w:pos="3540"/>
        </w:tabs>
        <w:spacing w:before="164"/>
        <w:ind w:hanging="851"/>
        <w:rPr>
          <w:sz w:val="24"/>
        </w:rPr>
      </w:pPr>
      <w:r>
        <w:rPr>
          <w:sz w:val="24"/>
          <w:u w:val="single"/>
        </w:rPr>
        <w:t>Form</w:t>
      </w:r>
      <w:r>
        <w:rPr>
          <w:spacing w:val="-7"/>
          <w:sz w:val="24"/>
          <w:u w:val="single"/>
        </w:rPr>
        <w:t xml:space="preserve"> </w:t>
      </w:r>
      <w:r>
        <w:rPr>
          <w:sz w:val="24"/>
          <w:u w:val="single"/>
        </w:rPr>
        <w:t>6-1-</w:t>
      </w:r>
      <w:r>
        <w:rPr>
          <w:spacing w:val="-10"/>
          <w:sz w:val="24"/>
          <w:u w:val="single"/>
        </w:rPr>
        <w:t>2</w:t>
      </w:r>
    </w:p>
    <w:p w14:paraId="4BDBB24D" w14:textId="77777777" w:rsidR="00BD462C" w:rsidRDefault="00BD462C">
      <w:pPr>
        <w:pStyle w:val="BodyText"/>
        <w:spacing w:before="11"/>
        <w:rPr>
          <w:sz w:val="20"/>
        </w:rPr>
      </w:pPr>
    </w:p>
    <w:p w14:paraId="4654166E" w14:textId="3DFD94C4" w:rsidR="00BD462C" w:rsidRDefault="00D70C7D" w:rsidP="00D86B81">
      <w:pPr>
        <w:pStyle w:val="BodyText"/>
        <w:numPr>
          <w:ilvl w:val="0"/>
          <w:numId w:val="69"/>
        </w:numPr>
        <w:spacing w:before="56" w:line="360" w:lineRule="auto"/>
        <w:ind w:right="918" w:hanging="780"/>
        <w:jc w:val="both"/>
      </w:pPr>
      <w:r>
        <w:rPr>
          <w:noProof/>
        </w:rPr>
        <mc:AlternateContent>
          <mc:Choice Requires="wps">
            <w:drawing>
              <wp:anchor distT="0" distB="0" distL="114300" distR="114300" simplePos="0" relativeHeight="478993920" behindDoc="1" locked="0" layoutInCell="1" allowOverlap="1" wp14:anchorId="3A72E3FC" wp14:editId="5EB513AF">
                <wp:simplePos x="0" y="0"/>
                <wp:positionH relativeFrom="page">
                  <wp:posOffset>5062855</wp:posOffset>
                </wp:positionH>
                <wp:positionV relativeFrom="paragraph">
                  <wp:posOffset>1147445</wp:posOffset>
                </wp:positionV>
                <wp:extent cx="1597025" cy="186055"/>
                <wp:effectExtent l="0" t="0" r="0" b="0"/>
                <wp:wrapNone/>
                <wp:docPr id="986" name="docshape2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702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963FC5" id="docshape223" o:spid="_x0000_s1026" alt="&quot;&quot;" style="position:absolute;margin-left:398.65pt;margin-top:90.35pt;width:125.75pt;height:14.65pt;z-index:-2432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" fillcolor="black" stroked="f">
                <w10:wrap anchorx="page"/>
              </v:rect>
            </w:pict>
          </mc:Fallback>
        </mc:AlternateContent>
      </w:r>
      <w:r w:rsidR="00033D0F">
        <w:rPr>
          <w:position w:val="1"/>
        </w:rPr>
        <w:t xml:space="preserve">Casella Wines provided all necessary information to establish its actual production </w:t>
      </w:r>
      <w:r w:rsidR="00033D0F">
        <w:t>costs in Form 6-1-2. As Australia explained in its first written submission, the data that MOFCOM found was missing was the cost of production data for "clean skin" wine, a raw material</w:t>
      </w:r>
      <w:r w:rsidR="00033D0F">
        <w:rPr>
          <w:spacing w:val="-14"/>
        </w:rPr>
        <w:t xml:space="preserve"> </w:t>
      </w:r>
      <w:r w:rsidR="00033D0F">
        <w:t>for</w:t>
      </w:r>
      <w:r w:rsidR="00033D0F">
        <w:rPr>
          <w:spacing w:val="-14"/>
        </w:rPr>
        <w:t xml:space="preserve"> </w:t>
      </w:r>
      <w:r w:rsidR="00033D0F">
        <w:t>the</w:t>
      </w:r>
      <w:r w:rsidR="00033D0F">
        <w:rPr>
          <w:spacing w:val="-13"/>
        </w:rPr>
        <w:t xml:space="preserve"> </w:t>
      </w:r>
      <w:r w:rsidR="00033D0F">
        <w:t>like</w:t>
      </w:r>
      <w:r w:rsidR="00033D0F">
        <w:rPr>
          <w:spacing w:val="-14"/>
        </w:rPr>
        <w:t xml:space="preserve"> </w:t>
      </w:r>
      <w:r w:rsidR="00033D0F">
        <w:t>domestic</w:t>
      </w:r>
      <w:r w:rsidR="00033D0F">
        <w:rPr>
          <w:spacing w:val="-13"/>
        </w:rPr>
        <w:t xml:space="preserve"> </w:t>
      </w:r>
      <w:r w:rsidR="00033D0F">
        <w:t>product.</w:t>
      </w:r>
      <w:r w:rsidR="00033D0F">
        <w:rPr>
          <w:spacing w:val="-14"/>
        </w:rPr>
        <w:t xml:space="preserve"> </w:t>
      </w:r>
      <w:r w:rsidR="00033D0F">
        <w:t>This</w:t>
      </w:r>
      <w:r w:rsidR="00033D0F">
        <w:rPr>
          <w:spacing w:val="-13"/>
        </w:rPr>
        <w:t xml:space="preserve"> </w:t>
      </w:r>
      <w:r w:rsidR="00033D0F">
        <w:t>was</w:t>
      </w:r>
      <w:r w:rsidR="00033D0F">
        <w:rPr>
          <w:spacing w:val="-11"/>
        </w:rPr>
        <w:t xml:space="preserve"> </w:t>
      </w:r>
      <w:r w:rsidR="00033D0F">
        <w:t>not</w:t>
      </w:r>
      <w:r w:rsidR="00033D0F">
        <w:rPr>
          <w:spacing w:val="-13"/>
        </w:rPr>
        <w:t xml:space="preserve"> </w:t>
      </w:r>
      <w:r w:rsidR="00033D0F">
        <w:t>necessary</w:t>
      </w:r>
      <w:r w:rsidR="00033D0F">
        <w:rPr>
          <w:spacing w:val="-12"/>
        </w:rPr>
        <w:t xml:space="preserve"> </w:t>
      </w:r>
      <w:r w:rsidR="00033D0F">
        <w:t>information</w:t>
      </w:r>
      <w:r w:rsidR="00033D0F">
        <w:rPr>
          <w:spacing w:val="-14"/>
        </w:rPr>
        <w:t xml:space="preserve"> </w:t>
      </w:r>
      <w:r w:rsidR="00033D0F">
        <w:t>within</w:t>
      </w:r>
      <w:r w:rsidR="00033D0F">
        <w:rPr>
          <w:spacing w:val="-14"/>
        </w:rPr>
        <w:t xml:space="preserve"> </w:t>
      </w:r>
      <w:r w:rsidR="00033D0F">
        <w:t>the</w:t>
      </w:r>
      <w:r w:rsidR="00033D0F">
        <w:rPr>
          <w:spacing w:val="-13"/>
        </w:rPr>
        <w:t xml:space="preserve"> </w:t>
      </w:r>
      <w:r w:rsidR="00033D0F">
        <w:t>meaning of Article 6.8 of the Anti-Dumping Agreement.</w:t>
      </w:r>
      <w:r w:rsidR="00033D0F">
        <w:rPr>
          <w:spacing w:val="-29"/>
        </w:rPr>
        <w:t xml:space="preserve"> </w:t>
      </w:r>
      <w:hyperlink w:anchor="_bookmark424" w:history="1">
        <w:r w:rsidR="00033D0F">
          <w:rPr>
            <w:vertAlign w:val="superscript"/>
          </w:rPr>
          <w:t>342</w:t>
        </w:r>
      </w:hyperlink>
      <w:r w:rsidR="00033D0F">
        <w:t xml:space="preserve"> This is because</w:t>
      </w:r>
    </w:p>
    <w:p w14:paraId="22ED475D" w14:textId="5CDC2EA2" w:rsidR="00BD462C" w:rsidRDefault="00D70C7D">
      <w:pPr>
        <w:pStyle w:val="BodyText"/>
        <w:ind w:left="136"/>
        <w:rPr>
          <w:sz w:val="20"/>
        </w:rPr>
      </w:pPr>
      <w:r>
        <w:rPr>
          <w:noProof/>
          <w:sz w:val="20"/>
        </w:rPr>
        <mc:AlternateContent>
          <mc:Choice Requires="wpg">
            <w:drawing>
              <wp:inline distT="0" distB="0" distL="0" distR="0" wp14:anchorId="5763951C" wp14:editId="02EA3A41">
                <wp:extent cx="5697220" cy="186055"/>
                <wp:effectExtent l="3810" t="0" r="4445" b="0"/>
                <wp:docPr id="982" name="docshapegroup224" descr="Redac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7220" cy="186055"/>
                          <a:chOff x="0" y="0"/>
                          <a:chExt cx="8972" cy="293"/>
                        </a:xfrm>
                      </wpg:grpSpPr>
                      <wps:wsp>
                        <wps:cNvPr id="984" name="docshape225"/>
                        <wps:cNvSpPr>
                          <a:spLocks noChangeArrowheads="1"/>
                        </wps:cNvSpPr>
                        <wps:spPr bwMode="auto">
                          <a:xfrm>
                            <a:off x="0" y="0"/>
                            <a:ext cx="8972" cy="29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4B5CC4C" id="docshapegroup224" o:spid="_x0000_s1026" alt="Redacted" style="width:448.6pt;height:14.65pt;mso-position-horizontal-relative:char;mso-position-vertical-relative:line" coordsize="8972,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">
                <v:rect id="docshape225" o:spid="_x0000_s1027" style="position:absolute;width:8972;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" fillcolor="black" stroked="f"/>
                <w10:anchorlock/>
              </v:group>
            </w:pict>
          </mc:Fallback>
        </mc:AlternateContent>
      </w:r>
    </w:p>
    <w:p w14:paraId="491CD91D" w14:textId="77777777" w:rsidR="00D86B81" w:rsidRDefault="00D70C7D" w:rsidP="00D86B81">
      <w:pPr>
        <w:pStyle w:val="BodyText"/>
        <w:spacing w:before="109" w:line="360" w:lineRule="auto"/>
        <w:ind w:left="136" w:right="918" w:firstLine="2568"/>
        <w:jc w:val="both"/>
      </w:pPr>
      <w:r>
        <w:rPr>
          <w:noProof/>
        </w:rPr>
        <mc:AlternateContent>
          <mc:Choice Requires="wps">
            <w:drawing>
              <wp:anchor distT="0" distB="0" distL="114300" distR="114300" simplePos="0" relativeHeight="15833088" behindDoc="0" locked="0" layoutInCell="1" allowOverlap="1" wp14:anchorId="225C32B5" wp14:editId="6A1F8200">
                <wp:simplePos x="0" y="0"/>
                <wp:positionH relativeFrom="page">
                  <wp:posOffset>899160</wp:posOffset>
                </wp:positionH>
                <wp:positionV relativeFrom="paragraph">
                  <wp:posOffset>67945</wp:posOffset>
                </wp:positionV>
                <wp:extent cx="1566545" cy="186055"/>
                <wp:effectExtent l="0" t="0" r="0" b="0"/>
                <wp:wrapNone/>
                <wp:docPr id="980" name="docshape2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654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B21FC5" id="docshape226" o:spid="_x0000_s1026" alt="&quot;&quot;" style="position:absolute;margin-left:70.8pt;margin-top:5.35pt;width:123.35pt;height:14.65pt;z-index:1583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" fillcolor="black" stroked="f">
                <w10:wrap anchorx="page"/>
              </v:rect>
            </w:pict>
          </mc:Fallback>
        </mc:AlternateContent>
      </w:r>
      <w:r w:rsidR="00033D0F">
        <w:t>As a result, this data cannot be used to determine the cost of production of domestic like products for the purposes of calculating normal value within the meaning of Article 2 of the Anti-Dumping Agreement.</w:t>
      </w:r>
    </w:p>
    <w:p w14:paraId="78C304F1" w14:textId="2EFD2ECF" w:rsidR="00BD462C" w:rsidRDefault="00D70C7D" w:rsidP="00D86B81">
      <w:pPr>
        <w:pStyle w:val="BodyText"/>
        <w:numPr>
          <w:ilvl w:val="0"/>
          <w:numId w:val="69"/>
        </w:numPr>
        <w:spacing w:before="109" w:line="360" w:lineRule="auto"/>
        <w:ind w:right="918" w:hanging="638"/>
        <w:jc w:val="both"/>
      </w:pPr>
      <w:r>
        <w:rPr>
          <w:noProof/>
        </w:rPr>
        <mc:AlternateContent>
          <mc:Choice Requires="wps">
            <w:drawing>
              <wp:anchor distT="0" distB="0" distL="114300" distR="114300" simplePos="0" relativeHeight="478994944" behindDoc="1" locked="0" layoutInCell="1" allowOverlap="1" wp14:anchorId="461213EF" wp14:editId="6699DCB2">
                <wp:simplePos x="0" y="0"/>
                <wp:positionH relativeFrom="page">
                  <wp:posOffset>5142865</wp:posOffset>
                </wp:positionH>
                <wp:positionV relativeFrom="paragraph">
                  <wp:posOffset>2565823</wp:posOffset>
                </wp:positionV>
                <wp:extent cx="1512147" cy="186055"/>
                <wp:effectExtent l="0" t="0" r="0" b="4445"/>
                <wp:wrapNone/>
                <wp:docPr id="978" name="docshape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2147"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4F5572" id="docshape227" o:spid="_x0000_s1026" alt="&quot;&quot;" style="position:absolute;margin-left:404.95pt;margin-top:202.05pt;width:119.05pt;height:14.65pt;z-index:-24321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" fillcolor="black" stroked="f">
                <w10:wrap anchorx="page"/>
              </v:rect>
            </w:pict>
          </mc:Fallback>
        </mc:AlternateContent>
      </w:r>
      <w:r w:rsidR="00033D0F">
        <w:rPr>
          <w:position w:val="1"/>
        </w:rPr>
        <w:t>In</w:t>
      </w:r>
      <w:r w:rsidR="00033D0F">
        <w:rPr>
          <w:spacing w:val="-14"/>
          <w:position w:val="1"/>
        </w:rPr>
        <w:t xml:space="preserve"> </w:t>
      </w:r>
      <w:r w:rsidR="00033D0F">
        <w:rPr>
          <w:position w:val="1"/>
        </w:rPr>
        <w:t>the</w:t>
      </w:r>
      <w:r w:rsidR="00033D0F">
        <w:rPr>
          <w:spacing w:val="-14"/>
          <w:position w:val="1"/>
        </w:rPr>
        <w:t xml:space="preserve"> </w:t>
      </w:r>
      <w:r w:rsidR="00033D0F">
        <w:rPr>
          <w:position w:val="1"/>
        </w:rPr>
        <w:t>Final</w:t>
      </w:r>
      <w:r w:rsidR="00033D0F">
        <w:rPr>
          <w:spacing w:val="-13"/>
          <w:position w:val="1"/>
        </w:rPr>
        <w:t xml:space="preserve"> </w:t>
      </w:r>
      <w:r w:rsidR="00033D0F">
        <w:rPr>
          <w:position w:val="1"/>
        </w:rPr>
        <w:t>Determination,</w:t>
      </w:r>
      <w:r w:rsidR="00033D0F">
        <w:rPr>
          <w:spacing w:val="-14"/>
          <w:position w:val="1"/>
        </w:rPr>
        <w:t xml:space="preserve"> </w:t>
      </w:r>
      <w:r w:rsidR="00033D0F">
        <w:rPr>
          <w:position w:val="1"/>
        </w:rPr>
        <w:t>MOFCOM</w:t>
      </w:r>
      <w:r w:rsidR="00033D0F">
        <w:rPr>
          <w:spacing w:val="-13"/>
          <w:position w:val="1"/>
        </w:rPr>
        <w:t xml:space="preserve"> </w:t>
      </w:r>
      <w:r w:rsidR="00033D0F">
        <w:rPr>
          <w:position w:val="1"/>
        </w:rPr>
        <w:t>asserted</w:t>
      </w:r>
      <w:r w:rsidR="00033D0F">
        <w:rPr>
          <w:spacing w:val="-14"/>
          <w:position w:val="1"/>
        </w:rPr>
        <w:t xml:space="preserve"> </w:t>
      </w:r>
      <w:r w:rsidR="00033D0F">
        <w:rPr>
          <w:position w:val="1"/>
        </w:rPr>
        <w:t>that</w:t>
      </w:r>
      <w:r w:rsidR="00033D0F">
        <w:rPr>
          <w:spacing w:val="-13"/>
          <w:position w:val="1"/>
        </w:rPr>
        <w:t xml:space="preserve"> </w:t>
      </w:r>
      <w:r w:rsidR="00033D0F">
        <w:rPr>
          <w:position w:val="1"/>
        </w:rPr>
        <w:t>the</w:t>
      </w:r>
      <w:r w:rsidR="00033D0F">
        <w:rPr>
          <w:spacing w:val="-14"/>
          <w:position w:val="1"/>
        </w:rPr>
        <w:t xml:space="preserve"> </w:t>
      </w:r>
      <w:r w:rsidR="00033D0F">
        <w:rPr>
          <w:position w:val="1"/>
        </w:rPr>
        <w:t>"absence</w:t>
      </w:r>
      <w:r w:rsidR="00033D0F">
        <w:rPr>
          <w:spacing w:val="-11"/>
          <w:position w:val="1"/>
        </w:rPr>
        <w:t xml:space="preserve"> </w:t>
      </w:r>
      <w:r w:rsidR="00033D0F">
        <w:rPr>
          <w:position w:val="1"/>
        </w:rPr>
        <w:t>of</w:t>
      </w:r>
      <w:r w:rsidR="00033D0F">
        <w:rPr>
          <w:spacing w:val="-13"/>
          <w:position w:val="1"/>
        </w:rPr>
        <w:t xml:space="preserve"> </w:t>
      </w:r>
      <w:r w:rsidR="00033D0F">
        <w:rPr>
          <w:position w:val="1"/>
        </w:rPr>
        <w:t>and</w:t>
      </w:r>
      <w:r w:rsidR="00033D0F">
        <w:rPr>
          <w:spacing w:val="-13"/>
          <w:position w:val="1"/>
        </w:rPr>
        <w:t xml:space="preserve"> </w:t>
      </w:r>
      <w:r w:rsidR="00033D0F">
        <w:rPr>
          <w:position w:val="1"/>
        </w:rPr>
        <w:t xml:space="preserve">inconsistency </w:t>
      </w:r>
      <w:r w:rsidR="00033D0F">
        <w:t>in the data related to raw material costs affected the Investigating Authority's identification of</w:t>
      </w:r>
      <w:r w:rsidR="00033D0F">
        <w:rPr>
          <w:spacing w:val="-14"/>
        </w:rPr>
        <w:t xml:space="preserve"> </w:t>
      </w:r>
      <w:r w:rsidR="00033D0F">
        <w:t>production</w:t>
      </w:r>
      <w:r w:rsidR="00033D0F">
        <w:rPr>
          <w:spacing w:val="-14"/>
        </w:rPr>
        <w:t xml:space="preserve"> </w:t>
      </w:r>
      <w:r w:rsidR="00033D0F">
        <w:t>costs</w:t>
      </w:r>
      <w:r w:rsidR="00033D0F">
        <w:rPr>
          <w:spacing w:val="-13"/>
        </w:rPr>
        <w:t xml:space="preserve"> </w:t>
      </w:r>
      <w:r w:rsidR="00033D0F">
        <w:t>for</w:t>
      </w:r>
      <w:r w:rsidR="00033D0F">
        <w:rPr>
          <w:spacing w:val="-14"/>
        </w:rPr>
        <w:t xml:space="preserve"> </w:t>
      </w:r>
      <w:r w:rsidR="00033D0F">
        <w:t>the</w:t>
      </w:r>
      <w:r w:rsidR="00033D0F">
        <w:rPr>
          <w:spacing w:val="-13"/>
        </w:rPr>
        <w:t xml:space="preserve"> </w:t>
      </w:r>
      <w:r w:rsidR="00033D0F">
        <w:t>product</w:t>
      </w:r>
      <w:r w:rsidR="00033D0F">
        <w:rPr>
          <w:spacing w:val="-14"/>
        </w:rPr>
        <w:t xml:space="preserve"> </w:t>
      </w:r>
      <w:r w:rsidR="00033D0F">
        <w:t>under</w:t>
      </w:r>
      <w:r w:rsidR="00033D0F">
        <w:rPr>
          <w:spacing w:val="-13"/>
        </w:rPr>
        <w:t xml:space="preserve"> </w:t>
      </w:r>
      <w:r w:rsidR="00033D0F">
        <w:t>investigation</w:t>
      </w:r>
      <w:r w:rsidR="00033D0F">
        <w:rPr>
          <w:spacing w:val="-14"/>
        </w:rPr>
        <w:t xml:space="preserve"> </w:t>
      </w:r>
      <w:r w:rsidR="00033D0F">
        <w:t>and</w:t>
      </w:r>
      <w:r w:rsidR="00033D0F">
        <w:rPr>
          <w:spacing w:val="-14"/>
        </w:rPr>
        <w:t xml:space="preserve"> </w:t>
      </w:r>
      <w:r w:rsidR="00033D0F">
        <w:t>like</w:t>
      </w:r>
      <w:r w:rsidR="00033D0F">
        <w:rPr>
          <w:spacing w:val="-13"/>
        </w:rPr>
        <w:t xml:space="preserve"> </w:t>
      </w:r>
      <w:r w:rsidR="00033D0F">
        <w:t>products."</w:t>
      </w:r>
      <w:r w:rsidR="00033D0F">
        <w:rPr>
          <w:spacing w:val="-14"/>
        </w:rPr>
        <w:t xml:space="preserve"> </w:t>
      </w:r>
      <w:hyperlink w:anchor="_bookmark426" w:history="1">
        <w:r w:rsidR="00033D0F">
          <w:rPr>
            <w:vertAlign w:val="superscript"/>
          </w:rPr>
          <w:t>344</w:t>
        </w:r>
      </w:hyperlink>
      <w:r w:rsidR="00033D0F">
        <w:rPr>
          <w:spacing w:val="-13"/>
        </w:rPr>
        <w:t xml:space="preserve"> </w:t>
      </w:r>
      <w:r w:rsidR="00033D0F">
        <w:t>China</w:t>
      </w:r>
      <w:r w:rsidR="00033D0F">
        <w:rPr>
          <w:spacing w:val="-14"/>
        </w:rPr>
        <w:t xml:space="preserve"> </w:t>
      </w:r>
      <w:r w:rsidR="00033D0F">
        <w:t>elaborates in its first written submission, arguing that the information contained in Form 6-1-2 was not necessary in and of itself, but because it was required to verify "the correctness of the information provided on cost of production as reported in Forms 6-3 and 6-4."</w:t>
      </w:r>
      <w:hyperlink w:anchor="_bookmark427" w:history="1">
        <w:r w:rsidR="00033D0F">
          <w:rPr>
            <w:vertAlign w:val="superscript"/>
          </w:rPr>
          <w:t>345</w:t>
        </w:r>
      </w:hyperlink>
      <w:r w:rsidR="00033D0F">
        <w:t xml:space="preserve"> According to</w:t>
      </w:r>
      <w:r w:rsidR="00033D0F">
        <w:rPr>
          <w:spacing w:val="-1"/>
        </w:rPr>
        <w:t xml:space="preserve"> </w:t>
      </w:r>
      <w:r w:rsidR="00033D0F">
        <w:t>China, the cost of production of internally produced</w:t>
      </w:r>
      <w:r w:rsidR="00033D0F">
        <w:rPr>
          <w:spacing w:val="-1"/>
        </w:rPr>
        <w:t xml:space="preserve"> </w:t>
      </w:r>
      <w:r w:rsidR="00033D0F">
        <w:t>input materials such</w:t>
      </w:r>
      <w:r w:rsidR="00033D0F">
        <w:rPr>
          <w:spacing w:val="-1"/>
        </w:rPr>
        <w:t xml:space="preserve"> </w:t>
      </w:r>
      <w:r w:rsidR="00033D0F">
        <w:t>as "clean</w:t>
      </w:r>
      <w:r w:rsidR="00033D0F">
        <w:rPr>
          <w:spacing w:val="-1"/>
        </w:rPr>
        <w:t xml:space="preserve"> </w:t>
      </w:r>
      <w:r w:rsidR="00033D0F">
        <w:t>skin" is necessary "to verify whether the cost of production of the product under investigation has been correctly reported".</w:t>
      </w:r>
      <w:r w:rsidR="00033D0F">
        <w:rPr>
          <w:spacing w:val="-14"/>
        </w:rPr>
        <w:t xml:space="preserve"> </w:t>
      </w:r>
      <w:hyperlink w:anchor="_bookmark428" w:history="1">
        <w:r w:rsidR="00033D0F">
          <w:rPr>
            <w:vertAlign w:val="superscript"/>
          </w:rPr>
          <w:t>346</w:t>
        </w:r>
      </w:hyperlink>
      <w:r w:rsidR="00033D0F">
        <w:t xml:space="preserve"> While this may be true for some investigations, in this </w:t>
      </w:r>
      <w:r w:rsidR="00033D0F">
        <w:rPr>
          <w:spacing w:val="-2"/>
        </w:rPr>
        <w:t>investigation,</w:t>
      </w:r>
    </w:p>
    <w:p w14:paraId="6CA18CF5" w14:textId="3448DF8C" w:rsidR="00BD462C" w:rsidRDefault="00D70C7D">
      <w:pPr>
        <w:pStyle w:val="BodyText"/>
        <w:spacing w:line="360" w:lineRule="auto"/>
        <w:ind w:left="135" w:right="910" w:firstLine="4363"/>
        <w:jc w:val="both"/>
      </w:pPr>
      <w:r>
        <w:rPr>
          <w:noProof/>
        </w:rPr>
        <mc:AlternateContent>
          <mc:Choice Requires="wps">
            <w:drawing>
              <wp:anchor distT="0" distB="0" distL="114300" distR="114300" simplePos="0" relativeHeight="15834112" behindDoc="0" locked="0" layoutInCell="1" allowOverlap="1" wp14:anchorId="25513331" wp14:editId="79D217B8">
                <wp:simplePos x="0" y="0"/>
                <wp:positionH relativeFrom="page">
                  <wp:posOffset>899160</wp:posOffset>
                </wp:positionH>
                <wp:positionV relativeFrom="paragraph">
                  <wp:posOffset>-1270</wp:posOffset>
                </wp:positionV>
                <wp:extent cx="2703830" cy="186055"/>
                <wp:effectExtent l="0" t="0" r="0" b="0"/>
                <wp:wrapNone/>
                <wp:docPr id="976" name="docshape2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383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68BDDC" id="docshape228" o:spid="_x0000_s1026" alt="&quot;&quot;" style="position:absolute;margin-left:70.8pt;margin-top:-.1pt;width:212.9pt;height:14.65pt;z-index:1583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" fillcolor="black" stroked="f">
                <w10:wrap anchorx="page"/>
              </v:rect>
            </w:pict>
          </mc:Fallback>
        </mc:AlternateContent>
      </w:r>
      <w:r w:rsidR="00033D0F">
        <w:t>made this approach futile. Instead, as Casella Wines</w:t>
      </w:r>
      <w:r w:rsidR="00033D0F">
        <w:rPr>
          <w:spacing w:val="-9"/>
        </w:rPr>
        <w:t xml:space="preserve"> </w:t>
      </w:r>
      <w:r w:rsidR="00033D0F">
        <w:t>explained,</w:t>
      </w:r>
      <w:r w:rsidR="00033D0F">
        <w:rPr>
          <w:spacing w:val="-9"/>
        </w:rPr>
        <w:t xml:space="preserve"> </w:t>
      </w:r>
      <w:r w:rsidR="00033D0F">
        <w:t>MOFCOM</w:t>
      </w:r>
      <w:r w:rsidR="00033D0F">
        <w:rPr>
          <w:spacing w:val="-10"/>
        </w:rPr>
        <w:t xml:space="preserve"> </w:t>
      </w:r>
      <w:r w:rsidR="00033D0F">
        <w:t>could</w:t>
      </w:r>
      <w:r w:rsidR="00033D0F">
        <w:rPr>
          <w:spacing w:val="-13"/>
        </w:rPr>
        <w:t xml:space="preserve"> </w:t>
      </w:r>
      <w:r w:rsidR="00033D0F">
        <w:t>have</w:t>
      </w:r>
      <w:r w:rsidR="00033D0F">
        <w:rPr>
          <w:spacing w:val="-6"/>
        </w:rPr>
        <w:t xml:space="preserve"> </w:t>
      </w:r>
      <w:r w:rsidR="00033D0F">
        <w:t>verified</w:t>
      </w:r>
      <w:r w:rsidR="00033D0F">
        <w:rPr>
          <w:spacing w:val="-13"/>
        </w:rPr>
        <w:t xml:space="preserve"> </w:t>
      </w:r>
      <w:r w:rsidR="00033D0F">
        <w:t>the</w:t>
      </w:r>
      <w:r w:rsidR="00033D0F">
        <w:rPr>
          <w:spacing w:val="-11"/>
        </w:rPr>
        <w:t xml:space="preserve"> </w:t>
      </w:r>
      <w:r w:rsidR="00033D0F">
        <w:t>data</w:t>
      </w:r>
      <w:r w:rsidR="00033D0F">
        <w:rPr>
          <w:spacing w:val="-6"/>
        </w:rPr>
        <w:t xml:space="preserve"> </w:t>
      </w:r>
      <w:r w:rsidR="00033D0F">
        <w:t>by</w:t>
      </w:r>
      <w:r w:rsidR="00033D0F">
        <w:rPr>
          <w:spacing w:val="-5"/>
        </w:rPr>
        <w:t xml:space="preserve"> </w:t>
      </w:r>
      <w:r w:rsidR="00033D0F">
        <w:t>referring</w:t>
      </w:r>
      <w:r w:rsidR="00033D0F">
        <w:rPr>
          <w:spacing w:val="-5"/>
        </w:rPr>
        <w:t xml:space="preserve"> </w:t>
      </w:r>
      <w:r w:rsidR="00033D0F">
        <w:t>directly</w:t>
      </w:r>
      <w:r w:rsidR="00033D0F">
        <w:rPr>
          <w:spacing w:val="-10"/>
        </w:rPr>
        <w:t xml:space="preserve"> </w:t>
      </w:r>
      <w:r w:rsidR="00033D0F">
        <w:t>to</w:t>
      </w:r>
      <w:r w:rsidR="00033D0F">
        <w:rPr>
          <w:spacing w:val="-13"/>
        </w:rPr>
        <w:t xml:space="preserve"> </w:t>
      </w:r>
      <w:r w:rsidR="00033D0F">
        <w:t>Casella</w:t>
      </w:r>
      <w:r w:rsidR="00033D0F">
        <w:rPr>
          <w:spacing w:val="-11"/>
        </w:rPr>
        <w:t xml:space="preserve"> </w:t>
      </w:r>
      <w:r w:rsidR="00033D0F">
        <w:t>Wines' accounting systems.</w:t>
      </w:r>
      <w:hyperlink w:anchor="_bookmark429" w:history="1">
        <w:r w:rsidR="00033D0F">
          <w:rPr>
            <w:vertAlign w:val="superscript"/>
          </w:rPr>
          <w:t>347</w:t>
        </w:r>
      </w:hyperlink>
    </w:p>
    <w:p w14:paraId="0CA97324" w14:textId="77777777" w:rsidR="00BD462C" w:rsidRDefault="00BD462C">
      <w:pPr>
        <w:pStyle w:val="BodyText"/>
        <w:rPr>
          <w:sz w:val="20"/>
        </w:rPr>
      </w:pPr>
    </w:p>
    <w:p w14:paraId="5BB2E15A" w14:textId="34FB4D7F" w:rsidR="00BD462C" w:rsidRDefault="00D70C7D">
      <w:pPr>
        <w:pStyle w:val="BodyText"/>
        <w:spacing w:before="9"/>
        <w:rPr>
          <w:sz w:val="25"/>
        </w:rPr>
      </w:pPr>
      <w:r>
        <w:rPr>
          <w:noProof/>
        </w:rPr>
        <mc:AlternateContent>
          <mc:Choice Requires="wps">
            <w:drawing>
              <wp:anchor distT="0" distB="0" distL="0" distR="0" simplePos="0" relativeHeight="487692288" behindDoc="1" locked="0" layoutInCell="1" allowOverlap="1" wp14:anchorId="3725B1AC" wp14:editId="569DABBB">
                <wp:simplePos x="0" y="0"/>
                <wp:positionH relativeFrom="page">
                  <wp:posOffset>899160</wp:posOffset>
                </wp:positionH>
                <wp:positionV relativeFrom="paragraph">
                  <wp:posOffset>215265</wp:posOffset>
                </wp:positionV>
                <wp:extent cx="1828800" cy="8890"/>
                <wp:effectExtent l="0" t="0" r="0" b="0"/>
                <wp:wrapTopAndBottom/>
                <wp:docPr id="974" name="docshape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AB499E" id="docshape229" o:spid="_x0000_s1026" alt="&quot;&quot;" style="position:absolute;margin-left:70.8pt;margin-top:16.95pt;width:2in;height:.7pt;z-index:-15624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" fillcolor="black" stroked="f">
                <w10:wrap type="topAndBottom" anchorx="page"/>
              </v:rect>
            </w:pict>
          </mc:Fallback>
        </mc:AlternateContent>
      </w:r>
    </w:p>
    <w:p w14:paraId="787C1927" w14:textId="77777777" w:rsidR="00BD462C" w:rsidRDefault="00033D0F">
      <w:pPr>
        <w:spacing w:before="112"/>
        <w:ind w:left="135"/>
        <w:rPr>
          <w:sz w:val="18"/>
        </w:rPr>
      </w:pPr>
      <w:bookmarkStart w:id="486" w:name="_bookmark424"/>
      <w:bookmarkEnd w:id="486"/>
      <w:r>
        <w:rPr>
          <w:position w:val="5"/>
          <w:sz w:val="12"/>
        </w:rPr>
        <w:t>342</w:t>
      </w:r>
      <w:r>
        <w:rPr>
          <w:spacing w:val="11"/>
          <w:position w:val="5"/>
          <w:sz w:val="12"/>
        </w:rPr>
        <w:t xml:space="preserve"> </w:t>
      </w:r>
      <w:r>
        <w:rPr>
          <w:sz w:val="18"/>
        </w:rPr>
        <w:t>Australia's</w:t>
      </w:r>
      <w:r>
        <w:rPr>
          <w:spacing w:val="-8"/>
          <w:sz w:val="18"/>
        </w:rPr>
        <w:t xml:space="preserve"> </w:t>
      </w:r>
      <w:r>
        <w:rPr>
          <w:sz w:val="18"/>
        </w:rPr>
        <w:t>first</w:t>
      </w:r>
      <w:r>
        <w:rPr>
          <w:spacing w:val="-6"/>
          <w:sz w:val="18"/>
        </w:rPr>
        <w:t xml:space="preserve"> </w:t>
      </w:r>
      <w:r>
        <w:rPr>
          <w:sz w:val="18"/>
        </w:rPr>
        <w:t>written</w:t>
      </w:r>
      <w:r>
        <w:rPr>
          <w:spacing w:val="-4"/>
          <w:sz w:val="18"/>
        </w:rPr>
        <w:t xml:space="preserve"> </w:t>
      </w:r>
      <w:r>
        <w:rPr>
          <w:sz w:val="18"/>
        </w:rPr>
        <w:t>submission,</w:t>
      </w:r>
      <w:r>
        <w:rPr>
          <w:spacing w:val="-1"/>
          <w:sz w:val="18"/>
        </w:rPr>
        <w:t xml:space="preserve"> </w:t>
      </w:r>
      <w:r>
        <w:rPr>
          <w:sz w:val="18"/>
        </w:rPr>
        <w:t>paras.</w:t>
      </w:r>
      <w:r>
        <w:rPr>
          <w:spacing w:val="-6"/>
          <w:sz w:val="18"/>
        </w:rPr>
        <w:t xml:space="preserve"> </w:t>
      </w:r>
      <w:r>
        <w:rPr>
          <w:sz w:val="18"/>
        </w:rPr>
        <w:t>160,</w:t>
      </w:r>
      <w:r>
        <w:rPr>
          <w:spacing w:val="-1"/>
          <w:sz w:val="18"/>
        </w:rPr>
        <w:t xml:space="preserve"> </w:t>
      </w:r>
      <w:r>
        <w:rPr>
          <w:sz w:val="18"/>
        </w:rPr>
        <w:t>320-</w:t>
      </w:r>
      <w:r>
        <w:rPr>
          <w:spacing w:val="-4"/>
          <w:sz w:val="18"/>
        </w:rPr>
        <w:t>326.</w:t>
      </w:r>
    </w:p>
    <w:p w14:paraId="4BDDD6BE" w14:textId="77777777" w:rsidR="00BD462C" w:rsidRDefault="00033D0F">
      <w:pPr>
        <w:spacing w:before="1" w:line="218" w:lineRule="exact"/>
        <w:ind w:left="135"/>
        <w:rPr>
          <w:sz w:val="18"/>
        </w:rPr>
      </w:pPr>
      <w:bookmarkStart w:id="487" w:name="_bookmark425"/>
      <w:bookmarkEnd w:id="487"/>
      <w:r>
        <w:rPr>
          <w:position w:val="5"/>
          <w:sz w:val="12"/>
        </w:rPr>
        <w:t>343</w:t>
      </w:r>
      <w:r>
        <w:rPr>
          <w:spacing w:val="12"/>
          <w:position w:val="5"/>
          <w:sz w:val="12"/>
        </w:rPr>
        <w:t xml:space="preserve"> </w:t>
      </w:r>
      <w:r>
        <w:rPr>
          <w:sz w:val="18"/>
        </w:rPr>
        <w:t>Australia's</w:t>
      </w:r>
      <w:r>
        <w:rPr>
          <w:spacing w:val="-6"/>
          <w:sz w:val="18"/>
        </w:rPr>
        <w:t xml:space="preserve"> </w:t>
      </w:r>
      <w:r>
        <w:rPr>
          <w:sz w:val="18"/>
        </w:rPr>
        <w:t>first</w:t>
      </w:r>
      <w:r>
        <w:rPr>
          <w:spacing w:val="-6"/>
          <w:sz w:val="18"/>
        </w:rPr>
        <w:t xml:space="preserve"> </w:t>
      </w:r>
      <w:r>
        <w:rPr>
          <w:sz w:val="18"/>
        </w:rPr>
        <w:t>written</w:t>
      </w:r>
      <w:r>
        <w:rPr>
          <w:spacing w:val="-2"/>
          <w:sz w:val="18"/>
        </w:rPr>
        <w:t xml:space="preserve"> </w:t>
      </w:r>
      <w:r>
        <w:rPr>
          <w:sz w:val="18"/>
        </w:rPr>
        <w:t>submission, para.</w:t>
      </w:r>
      <w:r>
        <w:rPr>
          <w:spacing w:val="-5"/>
          <w:sz w:val="18"/>
        </w:rPr>
        <w:t xml:space="preserve"> </w:t>
      </w:r>
      <w:r>
        <w:rPr>
          <w:spacing w:val="-4"/>
          <w:sz w:val="18"/>
        </w:rPr>
        <w:t>321.</w:t>
      </w:r>
    </w:p>
    <w:p w14:paraId="18840E51" w14:textId="77777777" w:rsidR="00BD462C" w:rsidRDefault="00033D0F">
      <w:pPr>
        <w:spacing w:line="218" w:lineRule="exact"/>
        <w:ind w:left="135"/>
        <w:rPr>
          <w:sz w:val="18"/>
        </w:rPr>
      </w:pPr>
      <w:bookmarkStart w:id="488" w:name="_bookmark426"/>
      <w:bookmarkEnd w:id="488"/>
      <w:r>
        <w:rPr>
          <w:position w:val="5"/>
          <w:sz w:val="12"/>
        </w:rPr>
        <w:t>344</w:t>
      </w:r>
      <w:r>
        <w:rPr>
          <w:spacing w:val="12"/>
          <w:position w:val="5"/>
          <w:sz w:val="12"/>
        </w:rPr>
        <w:t xml:space="preserve"> </w:t>
      </w:r>
      <w:r>
        <w:rPr>
          <w:sz w:val="18"/>
        </w:rPr>
        <w:t>Anti-Dumping</w:t>
      </w:r>
      <w:r>
        <w:rPr>
          <w:spacing w:val="-6"/>
          <w:sz w:val="18"/>
        </w:rPr>
        <w:t xml:space="preserve"> </w:t>
      </w:r>
      <w:r>
        <w:rPr>
          <w:sz w:val="18"/>
        </w:rPr>
        <w:t>Final</w:t>
      </w:r>
      <w:r>
        <w:rPr>
          <w:spacing w:val="-1"/>
          <w:sz w:val="18"/>
        </w:rPr>
        <w:t xml:space="preserve"> </w:t>
      </w:r>
      <w:r>
        <w:rPr>
          <w:sz w:val="18"/>
        </w:rPr>
        <w:t>Determination</w:t>
      </w:r>
      <w:r>
        <w:rPr>
          <w:spacing w:val="-7"/>
          <w:sz w:val="18"/>
        </w:rPr>
        <w:t xml:space="preserve"> </w:t>
      </w:r>
      <w:r>
        <w:rPr>
          <w:sz w:val="18"/>
        </w:rPr>
        <w:t>(Exhibit</w:t>
      </w:r>
      <w:r>
        <w:rPr>
          <w:spacing w:val="-1"/>
          <w:sz w:val="18"/>
        </w:rPr>
        <w:t xml:space="preserve"> </w:t>
      </w:r>
      <w:r>
        <w:rPr>
          <w:sz w:val="18"/>
        </w:rPr>
        <w:t>AUS-2),</w:t>
      </w:r>
      <w:r>
        <w:rPr>
          <w:spacing w:val="-4"/>
          <w:sz w:val="18"/>
        </w:rPr>
        <w:t xml:space="preserve"> </w:t>
      </w:r>
      <w:r>
        <w:rPr>
          <w:sz w:val="18"/>
        </w:rPr>
        <w:t>p.</w:t>
      </w:r>
      <w:r>
        <w:rPr>
          <w:spacing w:val="-5"/>
          <w:sz w:val="18"/>
        </w:rPr>
        <w:t xml:space="preserve"> 83.</w:t>
      </w:r>
    </w:p>
    <w:p w14:paraId="1D26045B" w14:textId="77777777" w:rsidR="00BD462C" w:rsidRDefault="00033D0F">
      <w:pPr>
        <w:spacing w:before="1"/>
        <w:ind w:left="135"/>
        <w:rPr>
          <w:sz w:val="18"/>
        </w:rPr>
      </w:pPr>
      <w:bookmarkStart w:id="489" w:name="_bookmark427"/>
      <w:bookmarkEnd w:id="489"/>
      <w:r>
        <w:rPr>
          <w:position w:val="5"/>
          <w:sz w:val="12"/>
        </w:rPr>
        <w:t>345</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 xml:space="preserve">submission, para. </w:t>
      </w:r>
      <w:r>
        <w:rPr>
          <w:spacing w:val="-4"/>
          <w:sz w:val="18"/>
        </w:rPr>
        <w:t>595.</w:t>
      </w:r>
    </w:p>
    <w:p w14:paraId="5681E31C" w14:textId="77777777" w:rsidR="00BD462C" w:rsidRDefault="00033D0F">
      <w:pPr>
        <w:spacing w:before="1"/>
        <w:ind w:left="135"/>
        <w:rPr>
          <w:sz w:val="18"/>
        </w:rPr>
      </w:pPr>
      <w:bookmarkStart w:id="490" w:name="_bookmark428"/>
      <w:bookmarkEnd w:id="490"/>
      <w:r>
        <w:rPr>
          <w:position w:val="5"/>
          <w:sz w:val="12"/>
        </w:rPr>
        <w:t>346</w:t>
      </w:r>
      <w:r>
        <w:rPr>
          <w:spacing w:val="13"/>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 xml:space="preserve">para. </w:t>
      </w:r>
      <w:r>
        <w:rPr>
          <w:spacing w:val="-4"/>
          <w:sz w:val="18"/>
        </w:rPr>
        <w:t>603.</w:t>
      </w:r>
    </w:p>
    <w:p w14:paraId="4FF29106" w14:textId="77777777" w:rsidR="00BD462C" w:rsidRDefault="00033D0F">
      <w:pPr>
        <w:spacing w:before="1"/>
        <w:ind w:left="136" w:right="912" w:hanging="1"/>
        <w:rPr>
          <w:sz w:val="18"/>
        </w:rPr>
      </w:pPr>
      <w:bookmarkStart w:id="491" w:name="_bookmark429"/>
      <w:bookmarkEnd w:id="491"/>
      <w:r>
        <w:rPr>
          <w:position w:val="5"/>
          <w:sz w:val="12"/>
        </w:rPr>
        <w:t>347</w:t>
      </w:r>
      <w:r>
        <w:rPr>
          <w:spacing w:val="17"/>
          <w:position w:val="5"/>
          <w:sz w:val="12"/>
        </w:rPr>
        <w:t xml:space="preserve"> </w:t>
      </w:r>
      <w:r>
        <w:rPr>
          <w:sz w:val="18"/>
        </w:rPr>
        <w:t>This</w:t>
      </w:r>
      <w:r>
        <w:rPr>
          <w:spacing w:val="-2"/>
          <w:sz w:val="18"/>
        </w:rPr>
        <w:t xml:space="preserve"> </w:t>
      </w:r>
      <w:r>
        <w:rPr>
          <w:sz w:val="18"/>
        </w:rPr>
        <w:t>includes</w:t>
      </w:r>
      <w:r>
        <w:rPr>
          <w:spacing w:val="-2"/>
          <w:sz w:val="18"/>
        </w:rPr>
        <w:t xml:space="preserve"> </w:t>
      </w:r>
      <w:r>
        <w:rPr>
          <w:sz w:val="18"/>
        </w:rPr>
        <w:t>remote "desktop"</w:t>
      </w:r>
      <w:r>
        <w:rPr>
          <w:spacing w:val="-4"/>
          <w:sz w:val="18"/>
        </w:rPr>
        <w:t xml:space="preserve"> </w:t>
      </w:r>
      <w:r>
        <w:rPr>
          <w:sz w:val="18"/>
        </w:rPr>
        <w:t>verification, which</w:t>
      </w:r>
      <w:r>
        <w:rPr>
          <w:spacing w:val="-3"/>
          <w:sz w:val="18"/>
        </w:rPr>
        <w:t xml:space="preserve"> </w:t>
      </w:r>
      <w:r>
        <w:rPr>
          <w:sz w:val="18"/>
        </w:rPr>
        <w:t>could</w:t>
      </w:r>
      <w:r>
        <w:rPr>
          <w:spacing w:val="-3"/>
          <w:sz w:val="18"/>
        </w:rPr>
        <w:t xml:space="preserve"> </w:t>
      </w:r>
      <w:r>
        <w:rPr>
          <w:sz w:val="18"/>
        </w:rPr>
        <w:t>easily</w:t>
      </w:r>
      <w:r>
        <w:rPr>
          <w:spacing w:val="-4"/>
          <w:sz w:val="18"/>
        </w:rPr>
        <w:t xml:space="preserve"> </w:t>
      </w:r>
      <w:r>
        <w:rPr>
          <w:sz w:val="18"/>
        </w:rPr>
        <w:t>have been</w:t>
      </w:r>
      <w:r>
        <w:rPr>
          <w:spacing w:val="-3"/>
          <w:sz w:val="18"/>
        </w:rPr>
        <w:t xml:space="preserve"> </w:t>
      </w:r>
      <w:r>
        <w:rPr>
          <w:sz w:val="18"/>
        </w:rPr>
        <w:t>conducted</w:t>
      </w:r>
      <w:r>
        <w:rPr>
          <w:spacing w:val="-3"/>
          <w:sz w:val="18"/>
        </w:rPr>
        <w:t xml:space="preserve"> </w:t>
      </w:r>
      <w:r>
        <w:rPr>
          <w:sz w:val="18"/>
        </w:rPr>
        <w:t>by</w:t>
      </w:r>
      <w:r>
        <w:rPr>
          <w:spacing w:val="-4"/>
          <w:sz w:val="18"/>
        </w:rPr>
        <w:t xml:space="preserve"> </w:t>
      </w:r>
      <w:r>
        <w:rPr>
          <w:sz w:val="18"/>
        </w:rPr>
        <w:t>MOFCOM within</w:t>
      </w:r>
      <w:r>
        <w:rPr>
          <w:spacing w:val="-3"/>
          <w:sz w:val="18"/>
        </w:rPr>
        <w:t xml:space="preserve"> </w:t>
      </w:r>
      <w:r>
        <w:rPr>
          <w:sz w:val="18"/>
        </w:rPr>
        <w:t>the</w:t>
      </w:r>
      <w:r>
        <w:rPr>
          <w:spacing w:val="-2"/>
          <w:sz w:val="18"/>
        </w:rPr>
        <w:t xml:space="preserve"> </w:t>
      </w:r>
      <w:r>
        <w:rPr>
          <w:sz w:val="18"/>
        </w:rPr>
        <w:t>timeframes of the investigation.</w:t>
      </w:r>
    </w:p>
    <w:p w14:paraId="27B26394" w14:textId="77777777" w:rsidR="00BD462C" w:rsidRDefault="00BD462C">
      <w:pPr>
        <w:rPr>
          <w:sz w:val="18"/>
        </w:rPr>
        <w:sectPr w:rsidR="00BD462C">
          <w:pgSz w:w="11910" w:h="16840"/>
          <w:pgMar w:top="860" w:right="500" w:bottom="780" w:left="1280" w:header="566" w:footer="590" w:gutter="0"/>
          <w:cols w:space="720"/>
        </w:sectPr>
      </w:pPr>
    </w:p>
    <w:p w14:paraId="01A2FACA" w14:textId="77777777" w:rsidR="00BD462C" w:rsidRDefault="00033D0F">
      <w:pPr>
        <w:tabs>
          <w:tab w:val="left" w:pos="6087"/>
        </w:tabs>
        <w:spacing w:before="1"/>
        <w:ind w:left="135"/>
        <w:jc w:val="both"/>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647BB893" w14:textId="77777777" w:rsidR="00BD462C" w:rsidRDefault="00033D0F">
      <w:pPr>
        <w:spacing w:before="1"/>
        <w:ind w:left="135"/>
        <w:jc w:val="both"/>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7964CB26" w14:textId="77777777" w:rsidR="00BD462C" w:rsidRDefault="00033D0F">
      <w:pPr>
        <w:tabs>
          <w:tab w:val="left" w:pos="7652"/>
        </w:tabs>
        <w:ind w:left="135"/>
        <w:jc w:val="both"/>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2AD25DC1" w14:textId="70C24FBF" w:rsidR="00BD462C" w:rsidRDefault="00D70C7D" w:rsidP="00D86B81">
      <w:pPr>
        <w:pStyle w:val="BodyText"/>
        <w:numPr>
          <w:ilvl w:val="0"/>
          <w:numId w:val="69"/>
        </w:numPr>
        <w:spacing w:before="107" w:after="4" w:line="357" w:lineRule="auto"/>
        <w:ind w:right="918" w:hanging="780"/>
        <w:jc w:val="both"/>
      </w:pPr>
      <w:r>
        <w:rPr>
          <w:noProof/>
        </w:rPr>
        <mc:AlternateContent>
          <mc:Choice Requires="wps">
            <w:drawing>
              <wp:anchor distT="0" distB="0" distL="114300" distR="114300" simplePos="0" relativeHeight="478996992" behindDoc="1" locked="0" layoutInCell="1" allowOverlap="1" wp14:anchorId="3C1DE947" wp14:editId="2298AFD1">
                <wp:simplePos x="0" y="0"/>
                <wp:positionH relativeFrom="page">
                  <wp:posOffset>2688590</wp:posOffset>
                </wp:positionH>
                <wp:positionV relativeFrom="paragraph">
                  <wp:posOffset>899160</wp:posOffset>
                </wp:positionV>
                <wp:extent cx="3971290" cy="186055"/>
                <wp:effectExtent l="0" t="0" r="0" b="0"/>
                <wp:wrapNone/>
                <wp:docPr id="972" name="docshape2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129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94F60F" id="docshape230" o:spid="_x0000_s1026" alt="&quot;&quot;" style="position:absolute;margin-left:211.7pt;margin-top:70.8pt;width:312.7pt;height:14.65pt;z-index:-2431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" fillcolor="black" stroked="f">
                <w10:wrap anchorx="page"/>
              </v:rect>
            </w:pict>
          </mc:Fallback>
        </mc:AlternateContent>
      </w:r>
      <w:r w:rsidR="00033D0F">
        <w:rPr>
          <w:position w:val="1"/>
        </w:rPr>
        <w:t xml:space="preserve">In attempting to dismiss Casella Wines' explanation, China fails to reconcile its own </w:t>
      </w:r>
      <w:r w:rsidR="00033D0F">
        <w:t xml:space="preserve">admission that the information reported in Form 6-1-2 was required </w:t>
      </w:r>
      <w:r w:rsidR="00033D0F">
        <w:rPr>
          <w:i/>
        </w:rPr>
        <w:t xml:space="preserve">only </w:t>
      </w:r>
      <w:r w:rsidR="00033D0F">
        <w:t>to ascertain the correctness of information provided on cost of production as reported in Forms 6-3 and 6-4, with</w:t>
      </w:r>
      <w:r w:rsidR="00033D0F">
        <w:rPr>
          <w:spacing w:val="40"/>
        </w:rPr>
        <w:t xml:space="preserve"> </w:t>
      </w:r>
      <w:r w:rsidR="00033D0F">
        <w:t>the</w:t>
      </w:r>
      <w:r w:rsidR="00033D0F">
        <w:rPr>
          <w:spacing w:val="40"/>
        </w:rPr>
        <w:t xml:space="preserve"> </w:t>
      </w:r>
      <w:r w:rsidR="00033D0F">
        <w:t>explanation</w:t>
      </w:r>
      <w:r w:rsidR="00033D0F">
        <w:rPr>
          <w:spacing w:val="40"/>
        </w:rPr>
        <w:t xml:space="preserve"> </w:t>
      </w:r>
      <w:r w:rsidR="00033D0F">
        <w:t>from</w:t>
      </w:r>
    </w:p>
    <w:p w14:paraId="63636CC8" w14:textId="22C5F83E" w:rsidR="00BD462C" w:rsidRDefault="00D70C7D">
      <w:pPr>
        <w:pStyle w:val="BodyText"/>
        <w:ind w:left="136"/>
        <w:rPr>
          <w:sz w:val="20"/>
        </w:rPr>
      </w:pPr>
      <w:r>
        <w:rPr>
          <w:noProof/>
          <w:sz w:val="20"/>
        </w:rPr>
        <mc:AlternateContent>
          <mc:Choice Requires="wpg">
            <w:drawing>
              <wp:inline distT="0" distB="0" distL="0" distR="0" wp14:anchorId="75320688" wp14:editId="65C79A3C">
                <wp:extent cx="5697220" cy="186055"/>
                <wp:effectExtent l="3810" t="0" r="4445" b="0"/>
                <wp:docPr id="968" name="docshapegroup231" descr="Redac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7220" cy="186055"/>
                          <a:chOff x="0" y="0"/>
                          <a:chExt cx="8972" cy="293"/>
                        </a:xfrm>
                      </wpg:grpSpPr>
                      <wps:wsp>
                        <wps:cNvPr id="970" name="docshape232"/>
                        <wps:cNvSpPr>
                          <a:spLocks noChangeArrowheads="1"/>
                        </wps:cNvSpPr>
                        <wps:spPr bwMode="auto">
                          <a:xfrm>
                            <a:off x="0" y="0"/>
                            <a:ext cx="8972" cy="29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9D663F0" id="docshapegroup231" o:spid="_x0000_s1026" alt="Redacted" style="width:448.6pt;height:14.65pt;mso-position-horizontal-relative:char;mso-position-vertical-relative:line" coordsize="8972,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">
                <v:rect id="docshape232" o:spid="_x0000_s1027" style="position:absolute;width:8972;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" fillcolor="black" stroked="f"/>
                <w10:anchorlock/>
              </v:group>
            </w:pict>
          </mc:Fallback>
        </mc:AlternateContent>
      </w:r>
    </w:p>
    <w:p w14:paraId="14F44AE1" w14:textId="77777777" w:rsidR="00D86B81" w:rsidRDefault="00D70C7D" w:rsidP="00D86B81">
      <w:pPr>
        <w:pStyle w:val="BodyText"/>
        <w:spacing w:before="113" w:line="360" w:lineRule="auto"/>
        <w:ind w:left="135" w:right="914" w:firstLine="1876"/>
        <w:jc w:val="both"/>
      </w:pPr>
      <w:r>
        <w:rPr>
          <w:noProof/>
        </w:rPr>
        <mc:AlternateContent>
          <mc:Choice Requires="wps">
            <w:drawing>
              <wp:anchor distT="0" distB="0" distL="114300" distR="114300" simplePos="0" relativeHeight="15836160" behindDoc="0" locked="0" layoutInCell="1" allowOverlap="1" wp14:anchorId="1B3181E6" wp14:editId="55CB18DC">
                <wp:simplePos x="0" y="0"/>
                <wp:positionH relativeFrom="page">
                  <wp:posOffset>899160</wp:posOffset>
                </wp:positionH>
                <wp:positionV relativeFrom="paragraph">
                  <wp:posOffset>70485</wp:posOffset>
                </wp:positionV>
                <wp:extent cx="1130935" cy="186055"/>
                <wp:effectExtent l="0" t="0" r="0" b="0"/>
                <wp:wrapNone/>
                <wp:docPr id="966" name="docshape2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93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9A25AB" id="docshape233" o:spid="_x0000_s1026" alt="&quot;&quot;" style="position:absolute;margin-left:70.8pt;margin-top:5.55pt;width:89.05pt;height:14.65pt;z-index:1583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" fillcolor="black" stroked="f">
                <w10:wrap anchorx="page"/>
              </v:rect>
            </w:pict>
          </mc:Fallback>
        </mc:AlternateContent>
      </w:r>
      <w:r w:rsidR="00033D0F">
        <w:t>Yet, there is no evidence on the record that MOFCOM undertook any reasoning</w:t>
      </w:r>
      <w:r w:rsidR="00033D0F">
        <w:rPr>
          <w:spacing w:val="-2"/>
        </w:rPr>
        <w:t xml:space="preserve"> </w:t>
      </w:r>
      <w:r w:rsidR="00033D0F">
        <w:t>as</w:t>
      </w:r>
      <w:r w:rsidR="00033D0F">
        <w:rPr>
          <w:spacing w:val="-2"/>
        </w:rPr>
        <w:t xml:space="preserve"> </w:t>
      </w:r>
      <w:r w:rsidR="00033D0F">
        <w:t>to</w:t>
      </w:r>
      <w:r w:rsidR="00033D0F">
        <w:rPr>
          <w:spacing w:val="-6"/>
        </w:rPr>
        <w:t xml:space="preserve"> </w:t>
      </w:r>
      <w:r w:rsidR="00033D0F">
        <w:t>the</w:t>
      </w:r>
      <w:r w:rsidR="00033D0F">
        <w:rPr>
          <w:spacing w:val="-4"/>
        </w:rPr>
        <w:t xml:space="preserve"> </w:t>
      </w:r>
      <w:r w:rsidR="00033D0F">
        <w:t>whether</w:t>
      </w:r>
      <w:r w:rsidR="00033D0F">
        <w:rPr>
          <w:spacing w:val="-6"/>
        </w:rPr>
        <w:t xml:space="preserve"> </w:t>
      </w:r>
      <w:r w:rsidR="00033D0F">
        <w:t>the</w:t>
      </w:r>
      <w:r w:rsidR="00033D0F">
        <w:rPr>
          <w:spacing w:val="-4"/>
        </w:rPr>
        <w:t xml:space="preserve"> </w:t>
      </w:r>
      <w:r w:rsidR="00033D0F">
        <w:t>cost</w:t>
      </w:r>
      <w:r w:rsidR="00033D0F">
        <w:rPr>
          <w:spacing w:val="-3"/>
        </w:rPr>
        <w:t xml:space="preserve"> </w:t>
      </w:r>
      <w:r w:rsidR="00033D0F">
        <w:t>of</w:t>
      </w:r>
      <w:r w:rsidR="00033D0F">
        <w:rPr>
          <w:spacing w:val="-5"/>
        </w:rPr>
        <w:t xml:space="preserve"> </w:t>
      </w:r>
      <w:r w:rsidR="00033D0F">
        <w:t>production</w:t>
      </w:r>
      <w:r w:rsidR="00033D0F">
        <w:rPr>
          <w:spacing w:val="-5"/>
        </w:rPr>
        <w:t xml:space="preserve"> </w:t>
      </w:r>
      <w:r w:rsidR="00033D0F">
        <w:t>data</w:t>
      </w:r>
      <w:r w:rsidR="00033D0F">
        <w:rPr>
          <w:spacing w:val="-4"/>
        </w:rPr>
        <w:t xml:space="preserve"> </w:t>
      </w:r>
      <w:r w:rsidR="00033D0F">
        <w:t>in</w:t>
      </w:r>
      <w:r w:rsidR="00033D0F">
        <w:rPr>
          <w:spacing w:val="-5"/>
        </w:rPr>
        <w:t xml:space="preserve"> </w:t>
      </w:r>
      <w:r w:rsidR="00033D0F">
        <w:t>Forms</w:t>
      </w:r>
      <w:r w:rsidR="00033D0F">
        <w:rPr>
          <w:spacing w:val="-2"/>
        </w:rPr>
        <w:t xml:space="preserve"> </w:t>
      </w:r>
      <w:r w:rsidR="00033D0F">
        <w:t>6-3</w:t>
      </w:r>
      <w:r w:rsidR="00033D0F">
        <w:rPr>
          <w:spacing w:val="-6"/>
        </w:rPr>
        <w:t xml:space="preserve"> </w:t>
      </w:r>
      <w:r w:rsidR="00033D0F">
        <w:t>and</w:t>
      </w:r>
      <w:r w:rsidR="00033D0F">
        <w:rPr>
          <w:spacing w:val="-1"/>
        </w:rPr>
        <w:t xml:space="preserve"> </w:t>
      </w:r>
      <w:r w:rsidR="00033D0F">
        <w:t>6-4</w:t>
      </w:r>
      <w:r w:rsidR="00033D0F">
        <w:rPr>
          <w:spacing w:val="-6"/>
        </w:rPr>
        <w:t xml:space="preserve"> </w:t>
      </w:r>
      <w:r w:rsidR="00033D0F">
        <w:t>were otherwise verifiable. Consideration of this issue was essential to determining whether or not the information in Form 6-1-2 was "necessary". Accordingly, MOFCOM was obliged to consider this issue and did not.</w:t>
      </w:r>
    </w:p>
    <w:p w14:paraId="71FAC9FA" w14:textId="556D9F8E" w:rsidR="00BD462C" w:rsidRDefault="00033D0F" w:rsidP="00D86B81">
      <w:pPr>
        <w:pStyle w:val="BodyText"/>
        <w:numPr>
          <w:ilvl w:val="0"/>
          <w:numId w:val="69"/>
        </w:numPr>
        <w:spacing w:before="113" w:line="360" w:lineRule="auto"/>
        <w:ind w:right="914" w:hanging="638"/>
        <w:jc w:val="both"/>
      </w:pPr>
      <w:r>
        <w:rPr>
          <w:position w:val="1"/>
        </w:rPr>
        <w:t xml:space="preserve">For the foregoing reasons, and the reasons set out in Australia's prior submissions, </w:t>
      </w:r>
      <w:r>
        <w:t>Australia submits that the information MOFCOM found to be missing from Form 6-1-2 was not capable of amounting to necessary information for the purpose of calculating normal value for Casella Wines under Article 2 of the Anti-Dumping Agreement. Moreover, MOFCOM's disregard of the information that was provided in Form 6-1-2 on the basis that it was not "verifiable" in absence of any evidence that MOFCOM considered any other means of</w:t>
      </w:r>
      <w:r>
        <w:rPr>
          <w:spacing w:val="40"/>
        </w:rPr>
        <w:t xml:space="preserve"> </w:t>
      </w:r>
      <w:r>
        <w:t>verification,</w:t>
      </w:r>
      <w:r>
        <w:rPr>
          <w:spacing w:val="40"/>
        </w:rPr>
        <w:t xml:space="preserve"> </w:t>
      </w:r>
      <w:r>
        <w:t>was</w:t>
      </w:r>
      <w:r>
        <w:rPr>
          <w:spacing w:val="40"/>
        </w:rPr>
        <w:t xml:space="preserve"> </w:t>
      </w:r>
      <w:r>
        <w:t>inconsistent</w:t>
      </w:r>
      <w:r>
        <w:rPr>
          <w:spacing w:val="40"/>
        </w:rPr>
        <w:t xml:space="preserve"> </w:t>
      </w:r>
      <w:r>
        <w:t>with</w:t>
      </w:r>
      <w:r>
        <w:rPr>
          <w:spacing w:val="40"/>
        </w:rPr>
        <w:t xml:space="preserve"> </w:t>
      </w:r>
      <w:r>
        <w:t>Article</w:t>
      </w:r>
      <w:r>
        <w:rPr>
          <w:spacing w:val="40"/>
        </w:rPr>
        <w:t xml:space="preserve"> </w:t>
      </w:r>
      <w:r>
        <w:t>6.8</w:t>
      </w:r>
      <w:r>
        <w:rPr>
          <w:spacing w:val="40"/>
        </w:rPr>
        <w:t xml:space="preserve"> </w:t>
      </w:r>
      <w:r>
        <w:t>and</w:t>
      </w:r>
      <w:r>
        <w:rPr>
          <w:spacing w:val="40"/>
        </w:rPr>
        <w:t xml:space="preserve"> </w:t>
      </w:r>
      <w:r>
        <w:t>paragraph</w:t>
      </w:r>
      <w:r>
        <w:rPr>
          <w:spacing w:val="40"/>
        </w:rPr>
        <w:t xml:space="preserve"> </w:t>
      </w:r>
      <w:r>
        <w:t>3</w:t>
      </w:r>
      <w:r>
        <w:rPr>
          <w:spacing w:val="40"/>
        </w:rPr>
        <w:t xml:space="preserve"> </w:t>
      </w:r>
      <w:r>
        <w:t>of</w:t>
      </w:r>
      <w:r>
        <w:rPr>
          <w:spacing w:val="40"/>
        </w:rPr>
        <w:t xml:space="preserve"> </w:t>
      </w:r>
      <w:r>
        <w:t>Annex</w:t>
      </w:r>
      <w:r>
        <w:rPr>
          <w:spacing w:val="40"/>
        </w:rPr>
        <w:t xml:space="preserve"> </w:t>
      </w:r>
      <w:r>
        <w:t>II</w:t>
      </w:r>
      <w:r>
        <w:rPr>
          <w:spacing w:val="40"/>
        </w:rPr>
        <w:t xml:space="preserve"> </w:t>
      </w:r>
      <w:r>
        <w:t>of</w:t>
      </w:r>
      <w:r>
        <w:rPr>
          <w:spacing w:val="40"/>
        </w:rPr>
        <w:t xml:space="preserve"> </w:t>
      </w:r>
      <w:r>
        <w:t>the</w:t>
      </w:r>
      <w:r>
        <w:rPr>
          <w:spacing w:val="40"/>
        </w:rPr>
        <w:t xml:space="preserve"> </w:t>
      </w:r>
      <w:r>
        <w:t>Anti</w:t>
      </w:r>
      <w:r>
        <w:rPr>
          <w:sz w:val="22"/>
        </w:rPr>
        <w:t>-</w:t>
      </w:r>
      <w:r>
        <w:t>Dumping Agreement.</w:t>
      </w:r>
    </w:p>
    <w:p w14:paraId="3D236F83" w14:textId="77777777" w:rsidR="00BD462C" w:rsidRDefault="00033D0F">
      <w:pPr>
        <w:pStyle w:val="ListParagraph"/>
        <w:numPr>
          <w:ilvl w:val="1"/>
          <w:numId w:val="35"/>
        </w:numPr>
        <w:tabs>
          <w:tab w:val="left" w:pos="3539"/>
          <w:tab w:val="left" w:pos="3540"/>
        </w:tabs>
        <w:spacing w:before="156"/>
        <w:ind w:hanging="851"/>
        <w:jc w:val="both"/>
        <w:rPr>
          <w:sz w:val="24"/>
        </w:rPr>
      </w:pPr>
      <w:bookmarkStart w:id="492" w:name="(b)_Form_6-3"/>
      <w:bookmarkEnd w:id="492"/>
      <w:r>
        <w:rPr>
          <w:sz w:val="24"/>
          <w:u w:val="single"/>
        </w:rPr>
        <w:t>Form</w:t>
      </w:r>
      <w:r>
        <w:rPr>
          <w:spacing w:val="-8"/>
          <w:sz w:val="24"/>
          <w:u w:val="single"/>
        </w:rPr>
        <w:t xml:space="preserve"> </w:t>
      </w:r>
      <w:r>
        <w:rPr>
          <w:sz w:val="24"/>
          <w:u w:val="single"/>
        </w:rPr>
        <w:t>6-</w:t>
      </w:r>
      <w:r>
        <w:rPr>
          <w:spacing w:val="-10"/>
          <w:sz w:val="24"/>
          <w:u w:val="single"/>
        </w:rPr>
        <w:t>3</w:t>
      </w:r>
    </w:p>
    <w:p w14:paraId="1379B974" w14:textId="77777777" w:rsidR="00BD462C" w:rsidRDefault="00BD462C">
      <w:pPr>
        <w:pStyle w:val="BodyText"/>
        <w:spacing w:before="12"/>
        <w:rPr>
          <w:sz w:val="20"/>
        </w:rPr>
      </w:pPr>
    </w:p>
    <w:p w14:paraId="3FCC47D8" w14:textId="77777777" w:rsidR="00BD462C" w:rsidRDefault="00033D0F">
      <w:pPr>
        <w:pStyle w:val="ListParagraph"/>
        <w:numPr>
          <w:ilvl w:val="2"/>
          <w:numId w:val="35"/>
        </w:numPr>
        <w:tabs>
          <w:tab w:val="left" w:pos="4388"/>
          <w:tab w:val="left" w:pos="4389"/>
          <w:tab w:val="left" w:pos="5742"/>
          <w:tab w:val="left" w:pos="6654"/>
          <w:tab w:val="left" w:pos="7100"/>
          <w:tab w:val="left" w:pos="7988"/>
        </w:tabs>
        <w:spacing w:before="51" w:line="362" w:lineRule="auto"/>
        <w:ind w:right="913"/>
        <w:rPr>
          <w:i/>
          <w:sz w:val="24"/>
        </w:rPr>
      </w:pPr>
      <w:bookmarkStart w:id="493" w:name="i._MOFCOM's_refusal_to_accept_replacemen"/>
      <w:bookmarkStart w:id="494" w:name="_bookmark430"/>
      <w:bookmarkEnd w:id="493"/>
      <w:bookmarkEnd w:id="494"/>
      <w:r>
        <w:rPr>
          <w:i/>
          <w:spacing w:val="-2"/>
          <w:sz w:val="24"/>
        </w:rPr>
        <w:t>MOFCOM's</w:t>
      </w:r>
      <w:r>
        <w:rPr>
          <w:i/>
          <w:sz w:val="24"/>
        </w:rPr>
        <w:tab/>
      </w:r>
      <w:r>
        <w:rPr>
          <w:i/>
          <w:spacing w:val="-2"/>
          <w:sz w:val="24"/>
        </w:rPr>
        <w:t>refusal</w:t>
      </w:r>
      <w:r>
        <w:rPr>
          <w:i/>
          <w:sz w:val="24"/>
        </w:rPr>
        <w:tab/>
      </w:r>
      <w:r>
        <w:rPr>
          <w:i/>
          <w:spacing w:val="-6"/>
          <w:sz w:val="24"/>
        </w:rPr>
        <w:t>to</w:t>
      </w:r>
      <w:r>
        <w:rPr>
          <w:i/>
          <w:sz w:val="24"/>
        </w:rPr>
        <w:tab/>
      </w:r>
      <w:r>
        <w:rPr>
          <w:i/>
          <w:spacing w:val="-2"/>
          <w:sz w:val="24"/>
        </w:rPr>
        <w:t>accept</w:t>
      </w:r>
      <w:r>
        <w:rPr>
          <w:i/>
          <w:sz w:val="24"/>
        </w:rPr>
        <w:tab/>
      </w:r>
      <w:r>
        <w:rPr>
          <w:i/>
          <w:spacing w:val="-2"/>
          <w:sz w:val="24"/>
        </w:rPr>
        <w:t xml:space="preserve">replacement </w:t>
      </w:r>
      <w:r>
        <w:rPr>
          <w:i/>
          <w:sz w:val="24"/>
        </w:rPr>
        <w:t>spreadsheet data</w:t>
      </w:r>
    </w:p>
    <w:p w14:paraId="1AED05DC" w14:textId="77777777" w:rsidR="00BD462C" w:rsidRDefault="00BD462C">
      <w:pPr>
        <w:pStyle w:val="BodyText"/>
        <w:spacing w:before="8"/>
        <w:rPr>
          <w:i/>
          <w:sz w:val="8"/>
        </w:rPr>
      </w:pPr>
    </w:p>
    <w:p w14:paraId="12067AFA" w14:textId="5F2D8638" w:rsidR="00BD462C" w:rsidRDefault="00033D0F" w:rsidP="00D86B81">
      <w:pPr>
        <w:pStyle w:val="BodyText"/>
        <w:numPr>
          <w:ilvl w:val="0"/>
          <w:numId w:val="69"/>
        </w:numPr>
        <w:spacing w:before="56" w:line="360" w:lineRule="auto"/>
        <w:ind w:right="916" w:hanging="780"/>
        <w:jc w:val="both"/>
      </w:pPr>
      <w:r>
        <w:rPr>
          <w:position w:val="1"/>
        </w:rPr>
        <w:t>MOFCOM</w:t>
      </w:r>
      <w:r>
        <w:rPr>
          <w:spacing w:val="-10"/>
          <w:position w:val="1"/>
        </w:rPr>
        <w:t xml:space="preserve"> </w:t>
      </w:r>
      <w:r>
        <w:rPr>
          <w:position w:val="1"/>
        </w:rPr>
        <w:t>did</w:t>
      </w:r>
      <w:r>
        <w:rPr>
          <w:spacing w:val="-13"/>
          <w:position w:val="1"/>
        </w:rPr>
        <w:t xml:space="preserve"> </w:t>
      </w:r>
      <w:r>
        <w:rPr>
          <w:position w:val="1"/>
        </w:rPr>
        <w:t>not</w:t>
      </w:r>
      <w:r>
        <w:rPr>
          <w:spacing w:val="-6"/>
          <w:position w:val="1"/>
        </w:rPr>
        <w:t xml:space="preserve"> </w:t>
      </w:r>
      <w:r>
        <w:rPr>
          <w:position w:val="1"/>
        </w:rPr>
        <w:t>find,</w:t>
      </w:r>
      <w:r>
        <w:rPr>
          <w:spacing w:val="-9"/>
          <w:position w:val="1"/>
        </w:rPr>
        <w:t xml:space="preserve"> </w:t>
      </w:r>
      <w:r>
        <w:rPr>
          <w:position w:val="1"/>
        </w:rPr>
        <w:t>and</w:t>
      </w:r>
      <w:r>
        <w:rPr>
          <w:spacing w:val="-8"/>
          <w:position w:val="1"/>
        </w:rPr>
        <w:t xml:space="preserve"> </w:t>
      </w:r>
      <w:r>
        <w:rPr>
          <w:position w:val="1"/>
        </w:rPr>
        <w:t>China</w:t>
      </w:r>
      <w:r>
        <w:rPr>
          <w:spacing w:val="-11"/>
          <w:position w:val="1"/>
        </w:rPr>
        <w:t xml:space="preserve"> </w:t>
      </w:r>
      <w:r>
        <w:rPr>
          <w:position w:val="1"/>
        </w:rPr>
        <w:t>has</w:t>
      </w:r>
      <w:r>
        <w:rPr>
          <w:spacing w:val="-5"/>
          <w:position w:val="1"/>
        </w:rPr>
        <w:t xml:space="preserve"> </w:t>
      </w:r>
      <w:r>
        <w:rPr>
          <w:position w:val="1"/>
        </w:rPr>
        <w:t>not</w:t>
      </w:r>
      <w:r>
        <w:rPr>
          <w:spacing w:val="-6"/>
          <w:position w:val="1"/>
        </w:rPr>
        <w:t xml:space="preserve"> </w:t>
      </w:r>
      <w:r>
        <w:rPr>
          <w:position w:val="1"/>
        </w:rPr>
        <w:t>argued,</w:t>
      </w:r>
      <w:r>
        <w:rPr>
          <w:spacing w:val="-9"/>
          <w:position w:val="1"/>
        </w:rPr>
        <w:t xml:space="preserve"> </w:t>
      </w:r>
      <w:r>
        <w:rPr>
          <w:position w:val="1"/>
        </w:rPr>
        <w:t>that</w:t>
      </w:r>
      <w:r>
        <w:rPr>
          <w:spacing w:val="-10"/>
          <w:position w:val="1"/>
        </w:rPr>
        <w:t xml:space="preserve"> </w:t>
      </w:r>
      <w:r>
        <w:rPr>
          <w:position w:val="1"/>
        </w:rPr>
        <w:t>Casella</w:t>
      </w:r>
      <w:r>
        <w:rPr>
          <w:spacing w:val="-11"/>
          <w:position w:val="1"/>
        </w:rPr>
        <w:t xml:space="preserve"> </w:t>
      </w:r>
      <w:r>
        <w:rPr>
          <w:position w:val="1"/>
        </w:rPr>
        <w:t>Wines</w:t>
      </w:r>
      <w:r>
        <w:rPr>
          <w:spacing w:val="-9"/>
          <w:position w:val="1"/>
        </w:rPr>
        <w:t xml:space="preserve"> </w:t>
      </w:r>
      <w:r>
        <w:rPr>
          <w:position w:val="1"/>
        </w:rPr>
        <w:t>failed</w:t>
      </w:r>
      <w:r>
        <w:rPr>
          <w:spacing w:val="-13"/>
          <w:position w:val="1"/>
        </w:rPr>
        <w:t xml:space="preserve"> </w:t>
      </w:r>
      <w:r>
        <w:rPr>
          <w:position w:val="1"/>
        </w:rPr>
        <w:t>to</w:t>
      </w:r>
      <w:r>
        <w:rPr>
          <w:spacing w:val="-13"/>
          <w:position w:val="1"/>
        </w:rPr>
        <w:t xml:space="preserve"> </w:t>
      </w:r>
      <w:r>
        <w:rPr>
          <w:position w:val="1"/>
        </w:rPr>
        <w:t xml:space="preserve">provide </w:t>
      </w:r>
      <w:r>
        <w:t>complete</w:t>
      </w:r>
      <w:r>
        <w:rPr>
          <w:spacing w:val="-9"/>
        </w:rPr>
        <w:t xml:space="preserve"> </w:t>
      </w:r>
      <w:r>
        <w:t>information</w:t>
      </w:r>
      <w:r>
        <w:rPr>
          <w:spacing w:val="-11"/>
        </w:rPr>
        <w:t xml:space="preserve"> </w:t>
      </w:r>
      <w:r>
        <w:t>in</w:t>
      </w:r>
      <w:r>
        <w:rPr>
          <w:spacing w:val="-11"/>
        </w:rPr>
        <w:t xml:space="preserve"> </w:t>
      </w:r>
      <w:r>
        <w:t>Form</w:t>
      </w:r>
      <w:r>
        <w:rPr>
          <w:spacing w:val="-9"/>
        </w:rPr>
        <w:t xml:space="preserve"> </w:t>
      </w:r>
      <w:r>
        <w:t>6-3.</w:t>
      </w:r>
      <w:r>
        <w:rPr>
          <w:spacing w:val="-8"/>
        </w:rPr>
        <w:t xml:space="preserve"> </w:t>
      </w:r>
      <w:r>
        <w:t>MOFCOM</w:t>
      </w:r>
      <w:r>
        <w:rPr>
          <w:spacing w:val="-9"/>
        </w:rPr>
        <w:t xml:space="preserve"> </w:t>
      </w:r>
      <w:r>
        <w:t>acknowledged</w:t>
      </w:r>
      <w:r>
        <w:rPr>
          <w:spacing w:val="-11"/>
        </w:rPr>
        <w:t xml:space="preserve"> </w:t>
      </w:r>
      <w:r>
        <w:t>that</w:t>
      </w:r>
      <w:r>
        <w:rPr>
          <w:spacing w:val="-9"/>
        </w:rPr>
        <w:t xml:space="preserve"> </w:t>
      </w:r>
      <w:r>
        <w:t>Casella</w:t>
      </w:r>
      <w:r>
        <w:rPr>
          <w:spacing w:val="-9"/>
        </w:rPr>
        <w:t xml:space="preserve"> </w:t>
      </w:r>
      <w:r>
        <w:t>Wines</w:t>
      </w:r>
      <w:r>
        <w:rPr>
          <w:spacing w:val="-8"/>
        </w:rPr>
        <w:t xml:space="preserve"> </w:t>
      </w:r>
      <w:r>
        <w:t>provided</w:t>
      </w:r>
      <w:r>
        <w:rPr>
          <w:spacing w:val="-11"/>
        </w:rPr>
        <w:t xml:space="preserve"> </w:t>
      </w:r>
      <w:r>
        <w:t>hard copy and PDF versions of Form 6-3. The deficiency of which MOFCOM complained was that the third version of this form, in WPS format, was not consistent with the first two. Hence, China</w:t>
      </w:r>
      <w:r>
        <w:rPr>
          <w:spacing w:val="-11"/>
        </w:rPr>
        <w:t xml:space="preserve"> </w:t>
      </w:r>
      <w:r>
        <w:t>does</w:t>
      </w:r>
      <w:r>
        <w:rPr>
          <w:spacing w:val="-9"/>
        </w:rPr>
        <w:t xml:space="preserve"> </w:t>
      </w:r>
      <w:r>
        <w:t>not</w:t>
      </w:r>
      <w:r>
        <w:rPr>
          <w:spacing w:val="-10"/>
        </w:rPr>
        <w:t xml:space="preserve"> </w:t>
      </w:r>
      <w:r>
        <w:t>argue</w:t>
      </w:r>
      <w:r>
        <w:rPr>
          <w:spacing w:val="-11"/>
        </w:rPr>
        <w:t xml:space="preserve"> </w:t>
      </w:r>
      <w:r>
        <w:t>that</w:t>
      </w:r>
      <w:r>
        <w:rPr>
          <w:spacing w:val="-6"/>
        </w:rPr>
        <w:t xml:space="preserve"> </w:t>
      </w:r>
      <w:r>
        <w:t>MOFCOM</w:t>
      </w:r>
      <w:r>
        <w:rPr>
          <w:spacing w:val="-10"/>
        </w:rPr>
        <w:t xml:space="preserve"> </w:t>
      </w:r>
      <w:r>
        <w:t>disregarded</w:t>
      </w:r>
      <w:r>
        <w:rPr>
          <w:spacing w:val="-13"/>
        </w:rPr>
        <w:t xml:space="preserve"> </w:t>
      </w:r>
      <w:r>
        <w:t>the</w:t>
      </w:r>
      <w:r>
        <w:rPr>
          <w:spacing w:val="-11"/>
        </w:rPr>
        <w:t xml:space="preserve"> </w:t>
      </w:r>
      <w:r>
        <w:t>data</w:t>
      </w:r>
      <w:r>
        <w:rPr>
          <w:spacing w:val="-7"/>
        </w:rPr>
        <w:t xml:space="preserve"> </w:t>
      </w:r>
      <w:r>
        <w:t>submitted</w:t>
      </w:r>
      <w:r>
        <w:rPr>
          <w:spacing w:val="-13"/>
        </w:rPr>
        <w:t xml:space="preserve"> </w:t>
      </w:r>
      <w:r>
        <w:t>by</w:t>
      </w:r>
      <w:r>
        <w:rPr>
          <w:spacing w:val="-10"/>
        </w:rPr>
        <w:t xml:space="preserve"> </w:t>
      </w:r>
      <w:r>
        <w:t>Casella</w:t>
      </w:r>
      <w:r>
        <w:rPr>
          <w:spacing w:val="-11"/>
        </w:rPr>
        <w:t xml:space="preserve"> </w:t>
      </w:r>
      <w:r>
        <w:t>Wines</w:t>
      </w:r>
      <w:r>
        <w:rPr>
          <w:spacing w:val="-9"/>
        </w:rPr>
        <w:t xml:space="preserve"> </w:t>
      </w:r>
      <w:r>
        <w:t>in</w:t>
      </w:r>
      <w:r>
        <w:rPr>
          <w:spacing w:val="-13"/>
        </w:rPr>
        <w:t xml:space="preserve"> </w:t>
      </w:r>
      <w:r>
        <w:t>Form</w:t>
      </w:r>
    </w:p>
    <w:p w14:paraId="1DA88930" w14:textId="77777777" w:rsidR="00BD462C" w:rsidRDefault="00BD462C">
      <w:pPr>
        <w:pStyle w:val="BodyText"/>
        <w:rPr>
          <w:sz w:val="20"/>
        </w:rPr>
      </w:pPr>
    </w:p>
    <w:p w14:paraId="65A3AB09" w14:textId="77777777" w:rsidR="00BD462C" w:rsidRDefault="00BD462C">
      <w:pPr>
        <w:pStyle w:val="BodyText"/>
        <w:rPr>
          <w:sz w:val="20"/>
        </w:rPr>
      </w:pPr>
    </w:p>
    <w:p w14:paraId="52E565BD" w14:textId="77777777" w:rsidR="00BD462C" w:rsidRDefault="00BD462C">
      <w:pPr>
        <w:pStyle w:val="BodyText"/>
        <w:rPr>
          <w:sz w:val="20"/>
        </w:rPr>
      </w:pPr>
    </w:p>
    <w:p w14:paraId="457CEBF6" w14:textId="77777777" w:rsidR="00BD462C" w:rsidRDefault="00BD462C">
      <w:pPr>
        <w:pStyle w:val="BodyText"/>
        <w:rPr>
          <w:sz w:val="20"/>
        </w:rPr>
      </w:pPr>
    </w:p>
    <w:p w14:paraId="64751036" w14:textId="4AE496ED" w:rsidR="00BD462C" w:rsidRDefault="00D70C7D">
      <w:pPr>
        <w:pStyle w:val="BodyText"/>
        <w:spacing w:before="7"/>
      </w:pPr>
      <w:r>
        <w:rPr>
          <w:noProof/>
        </w:rPr>
        <mc:AlternateContent>
          <mc:Choice Requires="wps">
            <w:drawing>
              <wp:anchor distT="0" distB="0" distL="0" distR="0" simplePos="0" relativeHeight="487695360" behindDoc="1" locked="0" layoutInCell="1" allowOverlap="1" wp14:anchorId="66A2A48C" wp14:editId="6B85881C">
                <wp:simplePos x="0" y="0"/>
                <wp:positionH relativeFrom="page">
                  <wp:posOffset>899160</wp:posOffset>
                </wp:positionH>
                <wp:positionV relativeFrom="paragraph">
                  <wp:posOffset>205740</wp:posOffset>
                </wp:positionV>
                <wp:extent cx="1828800" cy="8890"/>
                <wp:effectExtent l="0" t="0" r="0" b="0"/>
                <wp:wrapTopAndBottom/>
                <wp:docPr id="964" name="docshape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2EA9DD" id="docshape234" o:spid="_x0000_s1026" alt="&quot;&quot;" style="position:absolute;margin-left:70.8pt;margin-top:16.2pt;width:2in;height:.7pt;z-index:-15621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" fillcolor="black" stroked="f">
                <w10:wrap type="topAndBottom" anchorx="page"/>
              </v:rect>
            </w:pict>
          </mc:Fallback>
        </mc:AlternateContent>
      </w:r>
    </w:p>
    <w:p w14:paraId="79FBCB45" w14:textId="77777777" w:rsidR="00BD462C" w:rsidRDefault="00033D0F">
      <w:pPr>
        <w:spacing w:before="112"/>
        <w:ind w:left="135"/>
        <w:rPr>
          <w:sz w:val="18"/>
        </w:rPr>
      </w:pPr>
      <w:bookmarkStart w:id="495" w:name="_bookmark431"/>
      <w:bookmarkEnd w:id="495"/>
      <w:r>
        <w:rPr>
          <w:position w:val="5"/>
          <w:sz w:val="12"/>
        </w:rPr>
        <w:t>348</w:t>
      </w:r>
      <w:r>
        <w:rPr>
          <w:spacing w:val="12"/>
          <w:position w:val="5"/>
          <w:sz w:val="12"/>
        </w:rPr>
        <w:t xml:space="preserve"> </w:t>
      </w:r>
      <w:r>
        <w:rPr>
          <w:sz w:val="18"/>
        </w:rPr>
        <w:t>Australia's</w:t>
      </w:r>
      <w:r>
        <w:rPr>
          <w:spacing w:val="-7"/>
          <w:sz w:val="18"/>
        </w:rPr>
        <w:t xml:space="preserve"> </w:t>
      </w:r>
      <w:r>
        <w:rPr>
          <w:sz w:val="18"/>
        </w:rPr>
        <w:t>first</w:t>
      </w:r>
      <w:r>
        <w:rPr>
          <w:spacing w:val="-5"/>
          <w:sz w:val="18"/>
        </w:rPr>
        <w:t xml:space="preserve"> </w:t>
      </w:r>
      <w:r>
        <w:rPr>
          <w:sz w:val="18"/>
        </w:rPr>
        <w:t>written</w:t>
      </w:r>
      <w:r>
        <w:rPr>
          <w:spacing w:val="-3"/>
          <w:sz w:val="18"/>
        </w:rPr>
        <w:t xml:space="preserve"> </w:t>
      </w:r>
      <w:r>
        <w:rPr>
          <w:sz w:val="18"/>
        </w:rPr>
        <w:t>submission, paras.</w:t>
      </w:r>
      <w:r>
        <w:rPr>
          <w:spacing w:val="-5"/>
          <w:sz w:val="18"/>
        </w:rPr>
        <w:t xml:space="preserve"> </w:t>
      </w:r>
      <w:r>
        <w:rPr>
          <w:sz w:val="18"/>
        </w:rPr>
        <w:t>321-</w:t>
      </w:r>
      <w:r>
        <w:rPr>
          <w:spacing w:val="-4"/>
          <w:sz w:val="18"/>
        </w:rPr>
        <w:t>324.</w:t>
      </w:r>
    </w:p>
    <w:p w14:paraId="4BB2063C" w14:textId="77777777" w:rsidR="00BD462C" w:rsidRDefault="00BD462C">
      <w:pPr>
        <w:rPr>
          <w:sz w:val="18"/>
        </w:rPr>
        <w:sectPr w:rsidR="00BD462C">
          <w:pgSz w:w="11910" w:h="16840"/>
          <w:pgMar w:top="860" w:right="500" w:bottom="780" w:left="1280" w:header="566" w:footer="590" w:gutter="0"/>
          <w:cols w:space="720"/>
        </w:sectPr>
      </w:pPr>
    </w:p>
    <w:p w14:paraId="07A6027E"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06BA5552"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3567F173"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6FA68744" w14:textId="77777777" w:rsidR="00BD462C" w:rsidRDefault="00033D0F">
      <w:pPr>
        <w:pStyle w:val="BodyText"/>
        <w:spacing w:before="102" w:line="357" w:lineRule="auto"/>
        <w:ind w:left="136" w:right="910"/>
      </w:pPr>
      <w:r>
        <w:t>6-3</w:t>
      </w:r>
      <w:r>
        <w:rPr>
          <w:spacing w:val="-11"/>
        </w:rPr>
        <w:t xml:space="preserve"> </w:t>
      </w:r>
      <w:r>
        <w:t>due</w:t>
      </w:r>
      <w:r>
        <w:rPr>
          <w:spacing w:val="-13"/>
        </w:rPr>
        <w:t xml:space="preserve"> </w:t>
      </w:r>
      <w:r>
        <w:t>to</w:t>
      </w:r>
      <w:r>
        <w:rPr>
          <w:spacing w:val="-11"/>
        </w:rPr>
        <w:t xml:space="preserve"> </w:t>
      </w:r>
      <w:r>
        <w:t>any</w:t>
      </w:r>
      <w:r>
        <w:rPr>
          <w:spacing w:val="-12"/>
        </w:rPr>
        <w:t xml:space="preserve"> </w:t>
      </w:r>
      <w:r>
        <w:t>alleged</w:t>
      </w:r>
      <w:r>
        <w:rPr>
          <w:spacing w:val="-14"/>
        </w:rPr>
        <w:t xml:space="preserve"> </w:t>
      </w:r>
      <w:r>
        <w:t>absence</w:t>
      </w:r>
      <w:r>
        <w:rPr>
          <w:spacing w:val="-12"/>
        </w:rPr>
        <w:t xml:space="preserve"> </w:t>
      </w:r>
      <w:r>
        <w:t>of</w:t>
      </w:r>
      <w:r>
        <w:rPr>
          <w:spacing w:val="-14"/>
        </w:rPr>
        <w:t xml:space="preserve"> </w:t>
      </w:r>
      <w:r>
        <w:t>necessary</w:t>
      </w:r>
      <w:r>
        <w:rPr>
          <w:spacing w:val="-11"/>
        </w:rPr>
        <w:t xml:space="preserve"> </w:t>
      </w:r>
      <w:r>
        <w:t>information,</w:t>
      </w:r>
      <w:r>
        <w:rPr>
          <w:spacing w:val="-11"/>
        </w:rPr>
        <w:t xml:space="preserve"> </w:t>
      </w:r>
      <w:r>
        <w:t>but</w:t>
      </w:r>
      <w:r>
        <w:rPr>
          <w:spacing w:val="-12"/>
        </w:rPr>
        <w:t xml:space="preserve"> </w:t>
      </w:r>
      <w:r>
        <w:t>only</w:t>
      </w:r>
      <w:r>
        <w:rPr>
          <w:spacing w:val="-12"/>
        </w:rPr>
        <w:t xml:space="preserve"> </w:t>
      </w:r>
      <w:r>
        <w:t>because</w:t>
      </w:r>
      <w:r>
        <w:rPr>
          <w:spacing w:val="-13"/>
        </w:rPr>
        <w:t xml:space="preserve"> </w:t>
      </w:r>
      <w:r>
        <w:t>the</w:t>
      </w:r>
      <w:r>
        <w:rPr>
          <w:spacing w:val="-13"/>
        </w:rPr>
        <w:t xml:space="preserve"> </w:t>
      </w:r>
      <w:r>
        <w:t>data</w:t>
      </w:r>
      <w:r>
        <w:rPr>
          <w:spacing w:val="-13"/>
        </w:rPr>
        <w:t xml:space="preserve"> </w:t>
      </w:r>
      <w:r>
        <w:t>submitted in WPS format was inconsistent with that submitted in hard copy and PDF formats.</w:t>
      </w:r>
      <w:r>
        <w:rPr>
          <w:spacing w:val="-28"/>
        </w:rPr>
        <w:t xml:space="preserve"> </w:t>
      </w:r>
      <w:hyperlink w:anchor="_bookmark432" w:history="1">
        <w:r>
          <w:rPr>
            <w:vertAlign w:val="superscript"/>
          </w:rPr>
          <w:t>349</w:t>
        </w:r>
      </w:hyperlink>
    </w:p>
    <w:p w14:paraId="62A02846" w14:textId="77777777" w:rsidR="00BD462C" w:rsidRDefault="00BD462C">
      <w:pPr>
        <w:pStyle w:val="BodyText"/>
        <w:spacing w:before="3"/>
        <w:rPr>
          <w:sz w:val="9"/>
        </w:rPr>
      </w:pPr>
    </w:p>
    <w:p w14:paraId="5307BB24" w14:textId="77777777" w:rsidR="00D86B81" w:rsidRDefault="00033D0F" w:rsidP="00D86B81">
      <w:pPr>
        <w:pStyle w:val="BodyText"/>
        <w:numPr>
          <w:ilvl w:val="0"/>
          <w:numId w:val="69"/>
        </w:numPr>
        <w:spacing w:before="56" w:line="360" w:lineRule="auto"/>
        <w:ind w:right="908" w:hanging="638"/>
        <w:jc w:val="both"/>
      </w:pPr>
      <w:r>
        <w:rPr>
          <w:position w:val="1"/>
        </w:rPr>
        <w:t xml:space="preserve">China argues that MOFCOM required the data in WPS format, in preference to PDF </w:t>
      </w:r>
      <w:r>
        <w:t>or</w:t>
      </w:r>
      <w:r>
        <w:rPr>
          <w:spacing w:val="-14"/>
        </w:rPr>
        <w:t xml:space="preserve"> </w:t>
      </w:r>
      <w:r>
        <w:t>hard copy in order to be able to use the data without undue difficulty.</w:t>
      </w:r>
      <w:r>
        <w:rPr>
          <w:spacing w:val="-14"/>
        </w:rPr>
        <w:t xml:space="preserve"> </w:t>
      </w:r>
      <w:hyperlink w:anchor="_bookmark433" w:history="1">
        <w:r>
          <w:rPr>
            <w:vertAlign w:val="superscript"/>
          </w:rPr>
          <w:t>350</w:t>
        </w:r>
      </w:hyperlink>
      <w:r>
        <w:t xml:space="preserve"> This preference for</w:t>
      </w:r>
      <w:r>
        <w:rPr>
          <w:spacing w:val="-4"/>
        </w:rPr>
        <w:t xml:space="preserve"> </w:t>
      </w:r>
      <w:r>
        <w:t>the</w:t>
      </w:r>
      <w:r>
        <w:rPr>
          <w:spacing w:val="-2"/>
        </w:rPr>
        <w:t xml:space="preserve"> </w:t>
      </w:r>
      <w:r>
        <w:t>WPS</w:t>
      </w:r>
      <w:r>
        <w:rPr>
          <w:spacing w:val="-2"/>
        </w:rPr>
        <w:t xml:space="preserve"> </w:t>
      </w:r>
      <w:r>
        <w:t>formatted</w:t>
      </w:r>
      <w:r>
        <w:rPr>
          <w:spacing w:val="-3"/>
        </w:rPr>
        <w:t xml:space="preserve"> </w:t>
      </w:r>
      <w:r>
        <w:t>response</w:t>
      </w:r>
      <w:r>
        <w:rPr>
          <w:spacing w:val="-1"/>
        </w:rPr>
        <w:t xml:space="preserve"> </w:t>
      </w:r>
      <w:r>
        <w:t>over</w:t>
      </w:r>
      <w:r>
        <w:rPr>
          <w:spacing w:val="-4"/>
        </w:rPr>
        <w:t xml:space="preserve"> </w:t>
      </w:r>
      <w:r>
        <w:t>either</w:t>
      </w:r>
      <w:r>
        <w:rPr>
          <w:spacing w:val="-4"/>
        </w:rPr>
        <w:t xml:space="preserve"> </w:t>
      </w:r>
      <w:r>
        <w:t>the</w:t>
      </w:r>
      <w:r>
        <w:rPr>
          <w:spacing w:val="-2"/>
        </w:rPr>
        <w:t xml:space="preserve"> </w:t>
      </w:r>
      <w:r>
        <w:t>hard</w:t>
      </w:r>
      <w:r>
        <w:rPr>
          <w:spacing w:val="-3"/>
        </w:rPr>
        <w:t xml:space="preserve"> </w:t>
      </w:r>
      <w:r>
        <w:t>copy or PDF</w:t>
      </w:r>
      <w:r>
        <w:rPr>
          <w:spacing w:val="-2"/>
        </w:rPr>
        <w:t xml:space="preserve"> </w:t>
      </w:r>
      <w:r>
        <w:t>formatted</w:t>
      </w:r>
      <w:r>
        <w:rPr>
          <w:spacing w:val="-3"/>
        </w:rPr>
        <w:t xml:space="preserve"> </w:t>
      </w:r>
      <w:r>
        <w:t>responses is not indicated anywhere on the record of MOFCOM's investigation, nor in the questionnaire instructions.</w:t>
      </w:r>
      <w:hyperlink w:anchor="_bookmark434" w:history="1">
        <w:r>
          <w:rPr>
            <w:vertAlign w:val="superscript"/>
          </w:rPr>
          <w:t>351</w:t>
        </w:r>
      </w:hyperlink>
      <w:r>
        <w:rPr>
          <w:spacing w:val="-8"/>
        </w:rPr>
        <w:t xml:space="preserve"> </w:t>
      </w:r>
      <w:r>
        <w:t>MOFCOM</w:t>
      </w:r>
      <w:r>
        <w:rPr>
          <w:spacing w:val="-8"/>
        </w:rPr>
        <w:t xml:space="preserve"> </w:t>
      </w:r>
      <w:r>
        <w:t>also</w:t>
      </w:r>
      <w:r>
        <w:rPr>
          <w:spacing w:val="-11"/>
        </w:rPr>
        <w:t xml:space="preserve"> </w:t>
      </w:r>
      <w:r>
        <w:t>failed</w:t>
      </w:r>
      <w:r>
        <w:rPr>
          <w:spacing w:val="-11"/>
        </w:rPr>
        <w:t xml:space="preserve"> </w:t>
      </w:r>
      <w:r>
        <w:t>to</w:t>
      </w:r>
      <w:r>
        <w:rPr>
          <w:spacing w:val="-11"/>
        </w:rPr>
        <w:t xml:space="preserve"> </w:t>
      </w:r>
      <w:r>
        <w:t>explain</w:t>
      </w:r>
      <w:r>
        <w:rPr>
          <w:spacing w:val="-11"/>
        </w:rPr>
        <w:t xml:space="preserve"> </w:t>
      </w:r>
      <w:r>
        <w:t>how</w:t>
      </w:r>
      <w:r>
        <w:rPr>
          <w:spacing w:val="-8"/>
        </w:rPr>
        <w:t xml:space="preserve"> </w:t>
      </w:r>
      <w:r>
        <w:t>the</w:t>
      </w:r>
      <w:r>
        <w:rPr>
          <w:spacing w:val="-9"/>
        </w:rPr>
        <w:t xml:space="preserve"> </w:t>
      </w:r>
      <w:r>
        <w:t>submission</w:t>
      </w:r>
      <w:r>
        <w:rPr>
          <w:spacing w:val="-11"/>
        </w:rPr>
        <w:t xml:space="preserve"> </w:t>
      </w:r>
      <w:r>
        <w:t>of</w:t>
      </w:r>
      <w:r>
        <w:rPr>
          <w:spacing w:val="-11"/>
        </w:rPr>
        <w:t xml:space="preserve"> </w:t>
      </w:r>
      <w:r>
        <w:t>the</w:t>
      </w:r>
      <w:r>
        <w:rPr>
          <w:spacing w:val="-4"/>
        </w:rPr>
        <w:t xml:space="preserve"> </w:t>
      </w:r>
      <w:r>
        <w:t>data</w:t>
      </w:r>
      <w:r>
        <w:rPr>
          <w:spacing w:val="-9"/>
        </w:rPr>
        <w:t xml:space="preserve"> </w:t>
      </w:r>
      <w:r>
        <w:t>in</w:t>
      </w:r>
      <w:r>
        <w:rPr>
          <w:spacing w:val="-11"/>
        </w:rPr>
        <w:t xml:space="preserve"> </w:t>
      </w:r>
      <w:r>
        <w:t>Excel</w:t>
      </w:r>
      <w:r>
        <w:rPr>
          <w:spacing w:val="-7"/>
        </w:rPr>
        <w:t xml:space="preserve"> </w:t>
      </w:r>
      <w:r>
        <w:t>format (in</w:t>
      </w:r>
      <w:r>
        <w:rPr>
          <w:spacing w:val="-8"/>
        </w:rPr>
        <w:t xml:space="preserve"> </w:t>
      </w:r>
      <w:r>
        <w:t>addition</w:t>
      </w:r>
      <w:r>
        <w:rPr>
          <w:spacing w:val="-8"/>
        </w:rPr>
        <w:t xml:space="preserve"> </w:t>
      </w:r>
      <w:r>
        <w:t>to</w:t>
      </w:r>
      <w:r>
        <w:rPr>
          <w:spacing w:val="-4"/>
        </w:rPr>
        <w:t xml:space="preserve"> </w:t>
      </w:r>
      <w:r>
        <w:t>hard</w:t>
      </w:r>
      <w:r>
        <w:rPr>
          <w:spacing w:val="-3"/>
        </w:rPr>
        <w:t xml:space="preserve"> </w:t>
      </w:r>
      <w:r>
        <w:t>copy and</w:t>
      </w:r>
      <w:r>
        <w:rPr>
          <w:spacing w:val="-3"/>
        </w:rPr>
        <w:t xml:space="preserve"> </w:t>
      </w:r>
      <w:r>
        <w:t>PDF)</w:t>
      </w:r>
      <w:r>
        <w:rPr>
          <w:spacing w:val="-8"/>
        </w:rPr>
        <w:t xml:space="preserve"> </w:t>
      </w:r>
      <w:r>
        <w:t>caused</w:t>
      </w:r>
      <w:r>
        <w:rPr>
          <w:spacing w:val="-3"/>
        </w:rPr>
        <w:t xml:space="preserve"> </w:t>
      </w:r>
      <w:r>
        <w:t>it</w:t>
      </w:r>
      <w:r>
        <w:rPr>
          <w:spacing w:val="-6"/>
        </w:rPr>
        <w:t xml:space="preserve"> </w:t>
      </w:r>
      <w:r>
        <w:t>undue</w:t>
      </w:r>
      <w:r>
        <w:rPr>
          <w:spacing w:val="-2"/>
        </w:rPr>
        <w:t xml:space="preserve"> </w:t>
      </w:r>
      <w:r>
        <w:t>difficulty</w:t>
      </w:r>
      <w:r>
        <w:rPr>
          <w:spacing w:val="-5"/>
        </w:rPr>
        <w:t xml:space="preserve"> </w:t>
      </w:r>
      <w:r>
        <w:t>such</w:t>
      </w:r>
      <w:r>
        <w:rPr>
          <w:spacing w:val="-8"/>
        </w:rPr>
        <w:t xml:space="preserve"> </w:t>
      </w:r>
      <w:r>
        <w:t>that</w:t>
      </w:r>
      <w:r>
        <w:rPr>
          <w:spacing w:val="-1"/>
        </w:rPr>
        <w:t xml:space="preserve"> </w:t>
      </w:r>
      <w:r>
        <w:t>it</w:t>
      </w:r>
      <w:r>
        <w:rPr>
          <w:spacing w:val="-6"/>
        </w:rPr>
        <w:t xml:space="preserve"> </w:t>
      </w:r>
      <w:r>
        <w:t>was</w:t>
      </w:r>
      <w:r>
        <w:rPr>
          <w:spacing w:val="-5"/>
        </w:rPr>
        <w:t xml:space="preserve"> </w:t>
      </w:r>
      <w:r>
        <w:t>entitled</w:t>
      </w:r>
      <w:r>
        <w:rPr>
          <w:spacing w:val="-8"/>
        </w:rPr>
        <w:t xml:space="preserve"> </w:t>
      </w:r>
      <w:r>
        <w:t>to</w:t>
      </w:r>
      <w:r>
        <w:rPr>
          <w:spacing w:val="-9"/>
        </w:rPr>
        <w:t xml:space="preserve"> </w:t>
      </w:r>
      <w:r>
        <w:t xml:space="preserve">reject the data wholesale without considering it at all. This is particularly so given Excel is a widely accepted spreadsheet format that until recently was used by MOFCOM. </w:t>
      </w:r>
      <w:hyperlink w:anchor="_bookmark435" w:history="1">
        <w:r>
          <w:rPr>
            <w:vertAlign w:val="superscript"/>
          </w:rPr>
          <w:t>352</w:t>
        </w:r>
      </w:hyperlink>
      <w:r>
        <w:t xml:space="preserve"> Given MOFCOM has previously had</w:t>
      </w:r>
      <w:r>
        <w:rPr>
          <w:spacing w:val="-3"/>
        </w:rPr>
        <w:t xml:space="preserve"> </w:t>
      </w:r>
      <w:r>
        <w:t>the</w:t>
      </w:r>
      <w:r>
        <w:rPr>
          <w:spacing w:val="-2"/>
        </w:rPr>
        <w:t xml:space="preserve"> </w:t>
      </w:r>
      <w:r>
        <w:t>capability and</w:t>
      </w:r>
      <w:r>
        <w:rPr>
          <w:spacing w:val="-3"/>
        </w:rPr>
        <w:t xml:space="preserve"> </w:t>
      </w:r>
      <w:r>
        <w:t>indeed</w:t>
      </w:r>
      <w:r>
        <w:rPr>
          <w:spacing w:val="-3"/>
        </w:rPr>
        <w:t xml:space="preserve"> </w:t>
      </w:r>
      <w:r>
        <w:t>preferred</w:t>
      </w:r>
      <w:r>
        <w:rPr>
          <w:spacing w:val="-3"/>
        </w:rPr>
        <w:t xml:space="preserve"> </w:t>
      </w:r>
      <w:r>
        <w:t>to use</w:t>
      </w:r>
      <w:r>
        <w:rPr>
          <w:spacing w:val="-1"/>
        </w:rPr>
        <w:t xml:space="preserve"> </w:t>
      </w:r>
      <w:proofErr w:type="gramStart"/>
      <w:r>
        <w:t>Excel,</w:t>
      </w:r>
      <w:proofErr w:type="gramEnd"/>
      <w:r>
        <w:t xml:space="preserve"> it</w:t>
      </w:r>
      <w:r>
        <w:rPr>
          <w:spacing w:val="-1"/>
        </w:rPr>
        <w:t xml:space="preserve"> </w:t>
      </w:r>
      <w:r>
        <w:t>appears unlikely that</w:t>
      </w:r>
      <w:r>
        <w:rPr>
          <w:spacing w:val="-6"/>
        </w:rPr>
        <w:t xml:space="preserve"> </w:t>
      </w:r>
      <w:r>
        <w:t xml:space="preserve">it was unable to use Casella Wines' complete data submitted in that format without undue difficulty. In any event, MOFCOM failed to provide the necessary explanation during the investigation and China is therefore precluded from relying on any </w:t>
      </w:r>
      <w:r>
        <w:rPr>
          <w:i/>
        </w:rPr>
        <w:t xml:space="preserve">ex post facto </w:t>
      </w:r>
      <w:r>
        <w:t>explanation to justify its conduct in this proceeding.</w:t>
      </w:r>
    </w:p>
    <w:p w14:paraId="407FFBE6" w14:textId="21D3BD09" w:rsidR="00BD462C" w:rsidRDefault="00033D0F" w:rsidP="00D86B81">
      <w:pPr>
        <w:pStyle w:val="BodyText"/>
        <w:numPr>
          <w:ilvl w:val="0"/>
          <w:numId w:val="69"/>
        </w:numPr>
        <w:spacing w:before="56" w:line="360" w:lineRule="auto"/>
        <w:ind w:right="908" w:hanging="638"/>
        <w:jc w:val="both"/>
      </w:pPr>
      <w:r w:rsidRPr="00D86B81">
        <w:rPr>
          <w:position w:val="1"/>
        </w:rPr>
        <w:t xml:space="preserve">Further, even accepting, </w:t>
      </w:r>
      <w:r w:rsidRPr="00D86B81">
        <w:rPr>
          <w:i/>
          <w:position w:val="1"/>
        </w:rPr>
        <w:t>arguendo</w:t>
      </w:r>
      <w:r w:rsidRPr="00D86B81">
        <w:rPr>
          <w:position w:val="1"/>
        </w:rPr>
        <w:t xml:space="preserve">, China's </w:t>
      </w:r>
      <w:r w:rsidRPr="00D86B81">
        <w:rPr>
          <w:i/>
          <w:position w:val="1"/>
        </w:rPr>
        <w:t xml:space="preserve">ex post facto </w:t>
      </w:r>
      <w:r w:rsidRPr="00D86B81">
        <w:rPr>
          <w:position w:val="1"/>
        </w:rPr>
        <w:t xml:space="preserve">argument, that WPS was </w:t>
      </w:r>
      <w:r>
        <w:t xml:space="preserve">MOFCOM's preferred format, the WPS Office application, which is used to view and manipulate WPS formatted spreadsheets, is also capable of importing, </w:t>
      </w:r>
      <w:proofErr w:type="gramStart"/>
      <w:r>
        <w:t>viewing</w:t>
      </w:r>
      <w:proofErr w:type="gramEnd"/>
      <w:r>
        <w:t xml:space="preserve"> and manipulating Excel formatted data. Indeed, the publisher of WPS Office markets the product as, "WPS</w:t>
      </w:r>
      <w:r w:rsidRPr="00D86B81">
        <w:rPr>
          <w:spacing w:val="-2"/>
        </w:rPr>
        <w:t xml:space="preserve"> </w:t>
      </w:r>
      <w:r>
        <w:t>Office, A</w:t>
      </w:r>
      <w:r w:rsidRPr="00D86B81">
        <w:rPr>
          <w:spacing w:val="-2"/>
        </w:rPr>
        <w:t xml:space="preserve"> </w:t>
      </w:r>
      <w:r>
        <w:t>Free</w:t>
      </w:r>
      <w:r w:rsidRPr="00D86B81">
        <w:rPr>
          <w:spacing w:val="-1"/>
        </w:rPr>
        <w:t xml:space="preserve"> </w:t>
      </w:r>
      <w:r>
        <w:t>Excel Spreadsheet</w:t>
      </w:r>
      <w:r w:rsidRPr="00D86B81">
        <w:rPr>
          <w:spacing w:val="-1"/>
        </w:rPr>
        <w:t xml:space="preserve"> </w:t>
      </w:r>
      <w:r>
        <w:t>Editor".</w:t>
      </w:r>
      <w:hyperlink w:anchor="_bookmark436" w:history="1">
        <w:r w:rsidRPr="00D86B81">
          <w:rPr>
            <w:vertAlign w:val="superscript"/>
          </w:rPr>
          <w:t>353</w:t>
        </w:r>
      </w:hyperlink>
      <w:r w:rsidRPr="00D86B81">
        <w:rPr>
          <w:spacing w:val="-1"/>
        </w:rPr>
        <w:t xml:space="preserve"> </w:t>
      </w:r>
      <w:r>
        <w:t>It</w:t>
      </w:r>
      <w:r w:rsidRPr="00D86B81">
        <w:rPr>
          <w:spacing w:val="-1"/>
        </w:rPr>
        <w:t xml:space="preserve"> </w:t>
      </w:r>
      <w:r>
        <w:t>states that, "WPS</w:t>
      </w:r>
      <w:r w:rsidRPr="00D86B81">
        <w:rPr>
          <w:spacing w:val="-2"/>
        </w:rPr>
        <w:t xml:space="preserve"> </w:t>
      </w:r>
      <w:r>
        <w:t>Office</w:t>
      </w:r>
      <w:r w:rsidRPr="00D86B81">
        <w:rPr>
          <w:spacing w:val="-1"/>
        </w:rPr>
        <w:t xml:space="preserve"> </w:t>
      </w:r>
      <w:r>
        <w:t xml:space="preserve">is compatible with the </w:t>
      </w:r>
      <w:proofErr w:type="spellStart"/>
      <w:r>
        <w:t>xls</w:t>
      </w:r>
      <w:proofErr w:type="spellEnd"/>
      <w:r>
        <w:t>, xlsx formats and is one of the best alternatives to Microsoft Excel."</w:t>
      </w:r>
      <w:hyperlink w:anchor="_bookmark437" w:history="1">
        <w:r w:rsidRPr="00D86B81">
          <w:rPr>
            <w:vertAlign w:val="superscript"/>
          </w:rPr>
          <w:t>354</w:t>
        </w:r>
      </w:hyperlink>
      <w:r>
        <w:t xml:space="preserve"> Casella Wines</w:t>
      </w:r>
      <w:r w:rsidRPr="00D86B81">
        <w:rPr>
          <w:spacing w:val="-14"/>
        </w:rPr>
        <w:t xml:space="preserve"> </w:t>
      </w:r>
      <w:r>
        <w:t>submitted</w:t>
      </w:r>
      <w:r w:rsidRPr="00D86B81">
        <w:rPr>
          <w:spacing w:val="-14"/>
        </w:rPr>
        <w:t xml:space="preserve"> </w:t>
      </w:r>
      <w:r>
        <w:t>its</w:t>
      </w:r>
      <w:r w:rsidRPr="00D86B81">
        <w:rPr>
          <w:spacing w:val="-4"/>
        </w:rPr>
        <w:t xml:space="preserve"> </w:t>
      </w:r>
      <w:r>
        <w:t>data</w:t>
      </w:r>
      <w:r w:rsidRPr="00D86B81">
        <w:rPr>
          <w:spacing w:val="-4"/>
        </w:rPr>
        <w:t xml:space="preserve"> </w:t>
      </w:r>
      <w:r>
        <w:t>in</w:t>
      </w:r>
      <w:r w:rsidRPr="00D86B81">
        <w:rPr>
          <w:spacing w:val="-5"/>
        </w:rPr>
        <w:t xml:space="preserve"> </w:t>
      </w:r>
      <w:r>
        <w:t>xlsx</w:t>
      </w:r>
      <w:r w:rsidRPr="00D86B81">
        <w:rPr>
          <w:spacing w:val="-2"/>
        </w:rPr>
        <w:t xml:space="preserve"> </w:t>
      </w:r>
      <w:r>
        <w:t>format.</w:t>
      </w:r>
      <w:r w:rsidRPr="00D86B81">
        <w:rPr>
          <w:spacing w:val="-14"/>
        </w:rPr>
        <w:t xml:space="preserve"> </w:t>
      </w:r>
      <w:hyperlink w:anchor="_bookmark438" w:history="1">
        <w:r w:rsidRPr="00D86B81">
          <w:rPr>
            <w:vertAlign w:val="superscript"/>
          </w:rPr>
          <w:t>355</w:t>
        </w:r>
      </w:hyperlink>
      <w:r w:rsidRPr="00D86B81">
        <w:rPr>
          <w:spacing w:val="-2"/>
        </w:rPr>
        <w:t xml:space="preserve"> </w:t>
      </w:r>
      <w:r>
        <w:t>Given</w:t>
      </w:r>
      <w:r w:rsidRPr="00D86B81">
        <w:rPr>
          <w:spacing w:val="-5"/>
        </w:rPr>
        <w:t xml:space="preserve"> </w:t>
      </w:r>
      <w:r>
        <w:t>that</w:t>
      </w:r>
      <w:r w:rsidRPr="00D86B81">
        <w:rPr>
          <w:spacing w:val="-3"/>
        </w:rPr>
        <w:t xml:space="preserve"> </w:t>
      </w:r>
      <w:r>
        <w:t>the</w:t>
      </w:r>
      <w:r w:rsidRPr="00D86B81">
        <w:rPr>
          <w:spacing w:val="-4"/>
        </w:rPr>
        <w:t xml:space="preserve"> </w:t>
      </w:r>
      <w:r>
        <w:t>WPS</w:t>
      </w:r>
      <w:r w:rsidRPr="00D86B81">
        <w:rPr>
          <w:spacing w:val="-4"/>
        </w:rPr>
        <w:t xml:space="preserve"> </w:t>
      </w:r>
      <w:r>
        <w:t>Office</w:t>
      </w:r>
      <w:r w:rsidRPr="00D86B81">
        <w:rPr>
          <w:spacing w:val="-3"/>
        </w:rPr>
        <w:t xml:space="preserve"> </w:t>
      </w:r>
      <w:r>
        <w:t>application</w:t>
      </w:r>
      <w:r w:rsidRPr="00D86B81">
        <w:rPr>
          <w:spacing w:val="-5"/>
        </w:rPr>
        <w:t xml:space="preserve"> </w:t>
      </w:r>
      <w:r>
        <w:t>includes</w:t>
      </w:r>
      <w:r w:rsidRPr="00D86B81">
        <w:rPr>
          <w:spacing w:val="-2"/>
        </w:rPr>
        <w:t xml:space="preserve"> </w:t>
      </w:r>
      <w:r>
        <w:t>the capability to view and manipulate the data in Excel formats, MOFCOM's usage of WPS does</w:t>
      </w:r>
    </w:p>
    <w:p w14:paraId="08EF74B5" w14:textId="77777777" w:rsidR="00BD462C" w:rsidRDefault="00BD462C">
      <w:pPr>
        <w:pStyle w:val="BodyText"/>
        <w:rPr>
          <w:sz w:val="20"/>
        </w:rPr>
      </w:pPr>
    </w:p>
    <w:p w14:paraId="655D0889" w14:textId="230C8A15" w:rsidR="00BD462C" w:rsidRDefault="00D70C7D">
      <w:pPr>
        <w:pStyle w:val="BodyText"/>
        <w:spacing w:before="8"/>
        <w:rPr>
          <w:sz w:val="20"/>
        </w:rPr>
      </w:pPr>
      <w:r>
        <w:rPr>
          <w:noProof/>
        </w:rPr>
        <mc:AlternateContent>
          <mc:Choice Requires="wps">
            <w:drawing>
              <wp:anchor distT="0" distB="0" distL="0" distR="0" simplePos="0" relativeHeight="487696896" behindDoc="1" locked="0" layoutInCell="1" allowOverlap="1" wp14:anchorId="5233BCB3" wp14:editId="7CC3925A">
                <wp:simplePos x="0" y="0"/>
                <wp:positionH relativeFrom="page">
                  <wp:posOffset>899160</wp:posOffset>
                </wp:positionH>
                <wp:positionV relativeFrom="paragraph">
                  <wp:posOffset>175260</wp:posOffset>
                </wp:positionV>
                <wp:extent cx="1828800" cy="8890"/>
                <wp:effectExtent l="0" t="0" r="0" b="0"/>
                <wp:wrapTopAndBottom/>
                <wp:docPr id="962" name="docshape2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5C4C15" id="docshape235" o:spid="_x0000_s1026" alt="&quot;&quot;" style="position:absolute;margin-left:70.8pt;margin-top:13.8pt;width:2in;height:.7pt;z-index:-15619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" fillcolor="black" stroked="f">
                <w10:wrap type="topAndBottom" anchorx="page"/>
              </v:rect>
            </w:pict>
          </mc:Fallback>
        </mc:AlternateContent>
      </w:r>
    </w:p>
    <w:p w14:paraId="3D1D663B" w14:textId="77777777" w:rsidR="00BD462C" w:rsidRDefault="00033D0F">
      <w:pPr>
        <w:spacing w:before="112"/>
        <w:ind w:left="135"/>
        <w:rPr>
          <w:sz w:val="18"/>
        </w:rPr>
      </w:pPr>
      <w:bookmarkStart w:id="496" w:name="_bookmark432"/>
      <w:bookmarkEnd w:id="496"/>
      <w:r>
        <w:rPr>
          <w:position w:val="5"/>
          <w:sz w:val="12"/>
        </w:rPr>
        <w:t>349</w:t>
      </w:r>
      <w:r>
        <w:rPr>
          <w:spacing w:val="11"/>
          <w:position w:val="5"/>
          <w:sz w:val="12"/>
        </w:rPr>
        <w:t xml:space="preserve"> </w:t>
      </w:r>
      <w:r>
        <w:rPr>
          <w:sz w:val="18"/>
        </w:rPr>
        <w:t>Anti-Dumping</w:t>
      </w:r>
      <w:r>
        <w:rPr>
          <w:spacing w:val="-7"/>
          <w:sz w:val="18"/>
        </w:rPr>
        <w:t xml:space="preserve"> </w:t>
      </w:r>
      <w:r>
        <w:rPr>
          <w:sz w:val="18"/>
        </w:rPr>
        <w:t>Final</w:t>
      </w:r>
      <w:r>
        <w:rPr>
          <w:spacing w:val="-2"/>
          <w:sz w:val="18"/>
        </w:rPr>
        <w:t xml:space="preserve"> </w:t>
      </w:r>
      <w:r>
        <w:rPr>
          <w:sz w:val="18"/>
        </w:rPr>
        <w:t>Determination</w:t>
      </w:r>
      <w:r>
        <w:rPr>
          <w:spacing w:val="-8"/>
          <w:sz w:val="18"/>
        </w:rPr>
        <w:t xml:space="preserve"> </w:t>
      </w:r>
      <w:r>
        <w:rPr>
          <w:sz w:val="18"/>
        </w:rPr>
        <w:t>(Exhibit</w:t>
      </w:r>
      <w:r>
        <w:rPr>
          <w:spacing w:val="-3"/>
          <w:sz w:val="18"/>
        </w:rPr>
        <w:t xml:space="preserve"> </w:t>
      </w:r>
      <w:r>
        <w:rPr>
          <w:sz w:val="18"/>
        </w:rPr>
        <w:t>AUS-2),</w:t>
      </w:r>
      <w:r>
        <w:rPr>
          <w:spacing w:val="-5"/>
          <w:sz w:val="18"/>
        </w:rPr>
        <w:t xml:space="preserve"> </w:t>
      </w:r>
      <w:r>
        <w:rPr>
          <w:sz w:val="18"/>
        </w:rPr>
        <w:t>pp.</w:t>
      </w:r>
      <w:r>
        <w:rPr>
          <w:spacing w:val="-1"/>
          <w:sz w:val="18"/>
        </w:rPr>
        <w:t xml:space="preserve"> </w:t>
      </w:r>
      <w:r>
        <w:rPr>
          <w:sz w:val="18"/>
        </w:rPr>
        <w:t>77-</w:t>
      </w:r>
      <w:r>
        <w:rPr>
          <w:spacing w:val="-5"/>
          <w:sz w:val="18"/>
        </w:rPr>
        <w:t>79.</w:t>
      </w:r>
    </w:p>
    <w:p w14:paraId="2BE7C5F1" w14:textId="77777777" w:rsidR="00BD462C" w:rsidRDefault="00033D0F">
      <w:pPr>
        <w:spacing w:before="1"/>
        <w:ind w:left="135"/>
        <w:rPr>
          <w:sz w:val="18"/>
        </w:rPr>
      </w:pPr>
      <w:bookmarkStart w:id="497" w:name="_bookmark433"/>
      <w:bookmarkEnd w:id="497"/>
      <w:r>
        <w:rPr>
          <w:position w:val="5"/>
          <w:sz w:val="12"/>
        </w:rPr>
        <w:t>350</w:t>
      </w:r>
      <w:r>
        <w:rPr>
          <w:spacing w:val="14"/>
          <w:position w:val="5"/>
          <w:sz w:val="12"/>
        </w:rPr>
        <w:t xml:space="preserve"> </w:t>
      </w:r>
      <w:r>
        <w:rPr>
          <w:sz w:val="18"/>
        </w:rPr>
        <w:t>China's</w:t>
      </w:r>
      <w:r>
        <w:rPr>
          <w:spacing w:val="1"/>
          <w:sz w:val="18"/>
        </w:rPr>
        <w:t xml:space="preserve"> </w:t>
      </w:r>
      <w:r>
        <w:rPr>
          <w:sz w:val="18"/>
        </w:rPr>
        <w:t>response</w:t>
      </w:r>
      <w:r>
        <w:rPr>
          <w:spacing w:val="-4"/>
          <w:sz w:val="18"/>
        </w:rPr>
        <w:t xml:space="preserve"> </w:t>
      </w:r>
      <w:r>
        <w:rPr>
          <w:sz w:val="18"/>
        </w:rPr>
        <w:t>to</w:t>
      </w:r>
      <w:r>
        <w:rPr>
          <w:spacing w:val="-9"/>
          <w:sz w:val="18"/>
        </w:rPr>
        <w:t xml:space="preserve"> </w:t>
      </w:r>
      <w:r>
        <w:rPr>
          <w:sz w:val="18"/>
        </w:rPr>
        <w:t>Panel</w:t>
      </w:r>
      <w:r>
        <w:rPr>
          <w:spacing w:val="-3"/>
          <w:sz w:val="18"/>
        </w:rPr>
        <w:t xml:space="preserve"> </w:t>
      </w:r>
      <w:r>
        <w:rPr>
          <w:sz w:val="18"/>
        </w:rPr>
        <w:t>question</w:t>
      </w:r>
      <w:r>
        <w:rPr>
          <w:spacing w:val="-5"/>
          <w:sz w:val="18"/>
        </w:rPr>
        <w:t xml:space="preserve"> </w:t>
      </w:r>
      <w:r>
        <w:rPr>
          <w:sz w:val="18"/>
        </w:rPr>
        <w:t>No.</w:t>
      </w:r>
      <w:r>
        <w:rPr>
          <w:spacing w:val="2"/>
          <w:sz w:val="18"/>
        </w:rPr>
        <w:t xml:space="preserve"> </w:t>
      </w:r>
      <w:r>
        <w:rPr>
          <w:sz w:val="18"/>
        </w:rPr>
        <w:t>75,</w:t>
      </w:r>
      <w:r>
        <w:rPr>
          <w:spacing w:val="-2"/>
          <w:sz w:val="18"/>
        </w:rPr>
        <w:t xml:space="preserve"> </w:t>
      </w:r>
      <w:r>
        <w:rPr>
          <w:sz w:val="18"/>
        </w:rPr>
        <w:t>para.</w:t>
      </w:r>
      <w:r>
        <w:rPr>
          <w:spacing w:val="-3"/>
          <w:sz w:val="18"/>
        </w:rPr>
        <w:t xml:space="preserve"> </w:t>
      </w:r>
      <w:r>
        <w:rPr>
          <w:spacing w:val="-4"/>
          <w:sz w:val="18"/>
        </w:rPr>
        <w:t>390.</w:t>
      </w:r>
    </w:p>
    <w:p w14:paraId="75A18697" w14:textId="77777777" w:rsidR="00BD462C" w:rsidRDefault="00033D0F">
      <w:pPr>
        <w:spacing w:before="1" w:line="218" w:lineRule="exact"/>
        <w:ind w:left="135"/>
        <w:rPr>
          <w:sz w:val="18"/>
        </w:rPr>
      </w:pPr>
      <w:bookmarkStart w:id="498" w:name="_bookmark434"/>
      <w:bookmarkEnd w:id="498"/>
      <w:r>
        <w:rPr>
          <w:position w:val="5"/>
          <w:sz w:val="12"/>
        </w:rPr>
        <w:t>351</w:t>
      </w:r>
      <w:r>
        <w:rPr>
          <w:spacing w:val="14"/>
          <w:position w:val="5"/>
          <w:sz w:val="12"/>
        </w:rPr>
        <w:t xml:space="preserve"> </w:t>
      </w:r>
      <w:r>
        <w:rPr>
          <w:sz w:val="18"/>
        </w:rPr>
        <w:t>Questionnaire</w:t>
      </w:r>
      <w:r>
        <w:rPr>
          <w:spacing w:val="-4"/>
          <w:sz w:val="18"/>
        </w:rPr>
        <w:t xml:space="preserve"> </w:t>
      </w:r>
      <w:r>
        <w:rPr>
          <w:sz w:val="18"/>
        </w:rPr>
        <w:t>for</w:t>
      </w:r>
      <w:r>
        <w:rPr>
          <w:spacing w:val="-1"/>
          <w:sz w:val="18"/>
        </w:rPr>
        <w:t xml:space="preserve"> </w:t>
      </w:r>
      <w:r>
        <w:rPr>
          <w:sz w:val="18"/>
        </w:rPr>
        <w:t>Foreign</w:t>
      </w:r>
      <w:r>
        <w:rPr>
          <w:spacing w:val="-5"/>
          <w:sz w:val="18"/>
        </w:rPr>
        <w:t xml:space="preserve"> </w:t>
      </w:r>
      <w:r>
        <w:rPr>
          <w:sz w:val="18"/>
        </w:rPr>
        <w:t>Exporters</w:t>
      </w:r>
      <w:r>
        <w:rPr>
          <w:spacing w:val="-4"/>
          <w:sz w:val="18"/>
        </w:rPr>
        <w:t xml:space="preserve"> </w:t>
      </w:r>
      <w:r>
        <w:rPr>
          <w:sz w:val="18"/>
        </w:rPr>
        <w:t>or</w:t>
      </w:r>
      <w:r>
        <w:rPr>
          <w:spacing w:val="-6"/>
          <w:sz w:val="18"/>
        </w:rPr>
        <w:t xml:space="preserve"> </w:t>
      </w:r>
      <w:r>
        <w:rPr>
          <w:sz w:val="18"/>
        </w:rPr>
        <w:t>Producers</w:t>
      </w:r>
      <w:r>
        <w:rPr>
          <w:spacing w:val="-3"/>
          <w:sz w:val="18"/>
        </w:rPr>
        <w:t xml:space="preserve"> </w:t>
      </w:r>
      <w:r>
        <w:rPr>
          <w:sz w:val="18"/>
        </w:rPr>
        <w:t>(Exhibit</w:t>
      </w:r>
      <w:r>
        <w:rPr>
          <w:spacing w:val="-3"/>
          <w:sz w:val="18"/>
        </w:rPr>
        <w:t xml:space="preserve"> </w:t>
      </w:r>
      <w:r>
        <w:rPr>
          <w:sz w:val="18"/>
        </w:rPr>
        <w:t>AUS-3),</w:t>
      </w:r>
      <w:r>
        <w:rPr>
          <w:spacing w:val="-7"/>
          <w:sz w:val="18"/>
        </w:rPr>
        <w:t xml:space="preserve"> </w:t>
      </w:r>
      <w:r>
        <w:rPr>
          <w:sz w:val="18"/>
        </w:rPr>
        <w:t>pp.</w:t>
      </w:r>
      <w:r>
        <w:rPr>
          <w:spacing w:val="-3"/>
          <w:sz w:val="18"/>
        </w:rPr>
        <w:t xml:space="preserve"> </w:t>
      </w:r>
      <w:r>
        <w:rPr>
          <w:sz w:val="18"/>
        </w:rPr>
        <w:t>12-</w:t>
      </w:r>
      <w:r>
        <w:rPr>
          <w:spacing w:val="-5"/>
          <w:sz w:val="18"/>
        </w:rPr>
        <w:t>13.</w:t>
      </w:r>
    </w:p>
    <w:p w14:paraId="50B5391A" w14:textId="77777777" w:rsidR="00BD462C" w:rsidRDefault="00033D0F">
      <w:pPr>
        <w:ind w:left="135" w:right="923"/>
        <w:rPr>
          <w:sz w:val="18"/>
        </w:rPr>
      </w:pPr>
      <w:bookmarkStart w:id="499" w:name="_bookmark435"/>
      <w:bookmarkEnd w:id="499"/>
      <w:r>
        <w:rPr>
          <w:position w:val="5"/>
          <w:sz w:val="12"/>
        </w:rPr>
        <w:t>352</w:t>
      </w:r>
      <w:r>
        <w:rPr>
          <w:spacing w:val="21"/>
          <w:position w:val="5"/>
          <w:sz w:val="12"/>
        </w:rPr>
        <w:t xml:space="preserve"> </w:t>
      </w:r>
      <w:r>
        <w:rPr>
          <w:sz w:val="18"/>
        </w:rPr>
        <w:t>China has indicated that it has been using the WPS format since August 2020. See "Note" to page 1 of MOFCOM, List of investigations using the WPS format (Exhibit CHN-10), p. 1.</w:t>
      </w:r>
    </w:p>
    <w:p w14:paraId="535C8A2A" w14:textId="77777777" w:rsidR="00BD462C" w:rsidRDefault="00033D0F">
      <w:pPr>
        <w:ind w:left="135"/>
        <w:rPr>
          <w:sz w:val="18"/>
        </w:rPr>
      </w:pPr>
      <w:bookmarkStart w:id="500" w:name="_bookmark436"/>
      <w:bookmarkEnd w:id="500"/>
      <w:r>
        <w:rPr>
          <w:position w:val="5"/>
          <w:sz w:val="12"/>
        </w:rPr>
        <w:t>353</w:t>
      </w:r>
      <w:r>
        <w:rPr>
          <w:spacing w:val="5"/>
          <w:position w:val="5"/>
          <w:sz w:val="12"/>
        </w:rPr>
        <w:t xml:space="preserve"> </w:t>
      </w:r>
      <w:r>
        <w:rPr>
          <w:sz w:val="18"/>
        </w:rPr>
        <w:t>WPS,</w:t>
      </w:r>
      <w:r>
        <w:rPr>
          <w:spacing w:val="-6"/>
          <w:sz w:val="18"/>
        </w:rPr>
        <w:t xml:space="preserve"> </w:t>
      </w:r>
      <w:r>
        <w:rPr>
          <w:i/>
          <w:sz w:val="18"/>
        </w:rPr>
        <w:t>Excel</w:t>
      </w:r>
      <w:r>
        <w:rPr>
          <w:sz w:val="18"/>
        </w:rPr>
        <w:t>,</w:t>
      </w:r>
      <w:r>
        <w:rPr>
          <w:spacing w:val="-7"/>
          <w:sz w:val="18"/>
        </w:rPr>
        <w:t xml:space="preserve"> </w:t>
      </w:r>
      <w:hyperlink r:id="rId14">
        <w:r>
          <w:rPr>
            <w:sz w:val="18"/>
          </w:rPr>
          <w:t>https://www.wps.com/academy/excel-spreadsheet,</w:t>
        </w:r>
      </w:hyperlink>
      <w:r>
        <w:rPr>
          <w:spacing w:val="-6"/>
          <w:sz w:val="18"/>
        </w:rPr>
        <w:t xml:space="preserve"> </w:t>
      </w:r>
      <w:r>
        <w:rPr>
          <w:sz w:val="18"/>
        </w:rPr>
        <w:t>accessed</w:t>
      </w:r>
      <w:r>
        <w:rPr>
          <w:spacing w:val="-5"/>
          <w:sz w:val="18"/>
        </w:rPr>
        <w:t xml:space="preserve"> </w:t>
      </w:r>
      <w:r>
        <w:rPr>
          <w:sz w:val="18"/>
        </w:rPr>
        <w:t>28</w:t>
      </w:r>
      <w:r>
        <w:rPr>
          <w:spacing w:val="-10"/>
          <w:sz w:val="18"/>
        </w:rPr>
        <w:t xml:space="preserve"> </w:t>
      </w:r>
      <w:r>
        <w:rPr>
          <w:sz w:val="18"/>
        </w:rPr>
        <w:t>November</w:t>
      </w:r>
      <w:r>
        <w:rPr>
          <w:spacing w:val="-10"/>
          <w:sz w:val="18"/>
        </w:rPr>
        <w:t xml:space="preserve"> </w:t>
      </w:r>
      <w:r>
        <w:rPr>
          <w:spacing w:val="-2"/>
          <w:sz w:val="18"/>
        </w:rPr>
        <w:t>2022.</w:t>
      </w:r>
    </w:p>
    <w:p w14:paraId="202D406E" w14:textId="2BFEBC4C" w:rsidR="00BD462C" w:rsidRDefault="00D70C7D">
      <w:pPr>
        <w:spacing w:before="4" w:line="235" w:lineRule="auto"/>
        <w:ind w:left="135" w:right="923"/>
        <w:rPr>
          <w:sz w:val="18"/>
        </w:rPr>
      </w:pPr>
      <w:r>
        <w:rPr>
          <w:noProof/>
        </w:rPr>
        <mc:AlternateContent>
          <mc:Choice Requires="wps">
            <w:drawing>
              <wp:anchor distT="0" distB="0" distL="114300" distR="114300" simplePos="0" relativeHeight="478998528" behindDoc="1" locked="0" layoutInCell="1" allowOverlap="1" wp14:anchorId="25DB0023" wp14:editId="75D29462">
                <wp:simplePos x="0" y="0"/>
                <wp:positionH relativeFrom="page">
                  <wp:posOffset>899160</wp:posOffset>
                </wp:positionH>
                <wp:positionV relativeFrom="paragraph">
                  <wp:posOffset>276860</wp:posOffset>
                </wp:positionV>
                <wp:extent cx="5760720" cy="561340"/>
                <wp:effectExtent l="0" t="0" r="0" b="0"/>
                <wp:wrapNone/>
                <wp:docPr id="960" name="docshape2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0720" cy="561340"/>
                        </a:xfrm>
                        <a:custGeom>
                          <a:avLst/>
                          <a:gdLst>
                            <a:gd name="T0" fmla="+- 0 10478 1416"/>
                            <a:gd name="T1" fmla="*/ T0 w 9072"/>
                            <a:gd name="T2" fmla="+- 0 657 436"/>
                            <a:gd name="T3" fmla="*/ 657 h 884"/>
                            <a:gd name="T4" fmla="+- 0 1416 1416"/>
                            <a:gd name="T5" fmla="*/ T4 w 9072"/>
                            <a:gd name="T6" fmla="+- 0 657 436"/>
                            <a:gd name="T7" fmla="*/ 657 h 884"/>
                            <a:gd name="T8" fmla="+- 0 1416 1416"/>
                            <a:gd name="T9" fmla="*/ T8 w 9072"/>
                            <a:gd name="T10" fmla="+- 0 878 436"/>
                            <a:gd name="T11" fmla="*/ 878 h 884"/>
                            <a:gd name="T12" fmla="+- 0 1416 1416"/>
                            <a:gd name="T13" fmla="*/ T12 w 9072"/>
                            <a:gd name="T14" fmla="+- 0 1098 436"/>
                            <a:gd name="T15" fmla="*/ 1098 h 884"/>
                            <a:gd name="T16" fmla="+- 0 1416 1416"/>
                            <a:gd name="T17" fmla="*/ T16 w 9072"/>
                            <a:gd name="T18" fmla="+- 0 1319 436"/>
                            <a:gd name="T19" fmla="*/ 1319 h 884"/>
                            <a:gd name="T20" fmla="+- 0 6806 1416"/>
                            <a:gd name="T21" fmla="*/ T20 w 9072"/>
                            <a:gd name="T22" fmla="+- 0 1319 436"/>
                            <a:gd name="T23" fmla="*/ 1319 h 884"/>
                            <a:gd name="T24" fmla="+- 0 6806 1416"/>
                            <a:gd name="T25" fmla="*/ T24 w 9072"/>
                            <a:gd name="T26" fmla="+- 0 1098 436"/>
                            <a:gd name="T27" fmla="*/ 1098 h 884"/>
                            <a:gd name="T28" fmla="+- 0 10478 1416"/>
                            <a:gd name="T29" fmla="*/ T28 w 9072"/>
                            <a:gd name="T30" fmla="+- 0 1098 436"/>
                            <a:gd name="T31" fmla="*/ 1098 h 884"/>
                            <a:gd name="T32" fmla="+- 0 10478 1416"/>
                            <a:gd name="T33" fmla="*/ T32 w 9072"/>
                            <a:gd name="T34" fmla="+- 0 878 436"/>
                            <a:gd name="T35" fmla="*/ 878 h 884"/>
                            <a:gd name="T36" fmla="+- 0 10478 1416"/>
                            <a:gd name="T37" fmla="*/ T36 w 9072"/>
                            <a:gd name="T38" fmla="+- 0 657 436"/>
                            <a:gd name="T39" fmla="*/ 657 h 884"/>
                            <a:gd name="T40" fmla="+- 0 10488 1416"/>
                            <a:gd name="T41" fmla="*/ T40 w 9072"/>
                            <a:gd name="T42" fmla="+- 0 436 436"/>
                            <a:gd name="T43" fmla="*/ 436 h 884"/>
                            <a:gd name="T44" fmla="+- 0 3000 1416"/>
                            <a:gd name="T45" fmla="*/ T44 w 9072"/>
                            <a:gd name="T46" fmla="+- 0 436 436"/>
                            <a:gd name="T47" fmla="*/ 436 h 884"/>
                            <a:gd name="T48" fmla="+- 0 3000 1416"/>
                            <a:gd name="T49" fmla="*/ T48 w 9072"/>
                            <a:gd name="T50" fmla="+- 0 657 436"/>
                            <a:gd name="T51" fmla="*/ 657 h 884"/>
                            <a:gd name="T52" fmla="+- 0 10488 1416"/>
                            <a:gd name="T53" fmla="*/ T52 w 9072"/>
                            <a:gd name="T54" fmla="+- 0 657 436"/>
                            <a:gd name="T55" fmla="*/ 657 h 884"/>
                            <a:gd name="T56" fmla="+- 0 10488 1416"/>
                            <a:gd name="T57" fmla="*/ T56 w 9072"/>
                            <a:gd name="T58" fmla="+- 0 436 436"/>
                            <a:gd name="T59" fmla="*/ 436 h 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072" h="884">
                              <a:moveTo>
                                <a:pt x="9062" y="221"/>
                              </a:moveTo>
                              <a:lnTo>
                                <a:pt x="0" y="221"/>
                              </a:lnTo>
                              <a:lnTo>
                                <a:pt x="0" y="442"/>
                              </a:lnTo>
                              <a:lnTo>
                                <a:pt x="0" y="662"/>
                              </a:lnTo>
                              <a:lnTo>
                                <a:pt x="0" y="883"/>
                              </a:lnTo>
                              <a:lnTo>
                                <a:pt x="5390" y="883"/>
                              </a:lnTo>
                              <a:lnTo>
                                <a:pt x="5390" y="662"/>
                              </a:lnTo>
                              <a:lnTo>
                                <a:pt x="9062" y="662"/>
                              </a:lnTo>
                              <a:lnTo>
                                <a:pt x="9062" y="442"/>
                              </a:lnTo>
                              <a:lnTo>
                                <a:pt x="9062" y="221"/>
                              </a:lnTo>
                              <a:close/>
                              <a:moveTo>
                                <a:pt x="9072" y="0"/>
                              </a:moveTo>
                              <a:lnTo>
                                <a:pt x="1584" y="0"/>
                              </a:lnTo>
                              <a:lnTo>
                                <a:pt x="1584" y="221"/>
                              </a:lnTo>
                              <a:lnTo>
                                <a:pt x="9072" y="221"/>
                              </a:lnTo>
                              <a:lnTo>
                                <a:pt x="90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354E1" id="docshape236" o:spid="_x0000_s1026" alt="&quot;&quot;" style="position:absolute;margin-left:70.8pt;margin-top:21.8pt;width:453.6pt;height:44.2pt;z-index:-24317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72,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" path="m9062,221l,221,,442,,662,,883r5390,l5390,662r3672,l9062,442r,-221xm9072,l1584,r,221l9072,221,9072,xe" fillcolor="black" stroked="f">
                <v:path arrowok="t" o:connecttype="custom" o:connectlocs="5754370,417195;0,417195;0,557530;0,697230;0,837565;3422650,837565;3422650,697230;5754370,697230;5754370,557530;5754370,417195;5760720,276860;1005840,276860;1005840,417195;5760720,417195;5760720,276860" o:connectangles="0,0,0,0,0,0,0,0,0,0,0,0,0,0,0"/>
                <w10:wrap anchorx="page"/>
              </v:shape>
            </w:pict>
          </mc:Fallback>
        </mc:AlternateContent>
      </w:r>
      <w:bookmarkStart w:id="501" w:name="_bookmark437"/>
      <w:bookmarkEnd w:id="501"/>
      <w:r w:rsidR="00033D0F">
        <w:rPr>
          <w:position w:val="5"/>
          <w:sz w:val="12"/>
        </w:rPr>
        <w:t>354</w:t>
      </w:r>
      <w:r w:rsidR="00033D0F">
        <w:rPr>
          <w:spacing w:val="72"/>
          <w:position w:val="5"/>
          <w:sz w:val="12"/>
        </w:rPr>
        <w:t xml:space="preserve"> </w:t>
      </w:r>
      <w:r w:rsidR="00033D0F">
        <w:rPr>
          <w:sz w:val="18"/>
        </w:rPr>
        <w:t>WPS,</w:t>
      </w:r>
      <w:r w:rsidR="00033D0F">
        <w:rPr>
          <w:spacing w:val="40"/>
          <w:sz w:val="18"/>
        </w:rPr>
        <w:t xml:space="preserve"> </w:t>
      </w:r>
      <w:r w:rsidR="00033D0F">
        <w:rPr>
          <w:i/>
          <w:sz w:val="18"/>
        </w:rPr>
        <w:t>Excel</w:t>
      </w:r>
      <w:r w:rsidR="00033D0F">
        <w:rPr>
          <w:sz w:val="18"/>
        </w:rPr>
        <w:t>,</w:t>
      </w:r>
      <w:r w:rsidR="00033D0F">
        <w:rPr>
          <w:spacing w:val="40"/>
          <w:sz w:val="18"/>
        </w:rPr>
        <w:t xml:space="preserve"> </w:t>
      </w:r>
      <w:hyperlink r:id="rId15">
        <w:r w:rsidR="00033D0F">
          <w:rPr>
            <w:sz w:val="18"/>
          </w:rPr>
          <w:t>https://www.wps.com/academy/excel-spreadsheet,</w:t>
        </w:r>
      </w:hyperlink>
      <w:r w:rsidR="00033D0F">
        <w:rPr>
          <w:spacing w:val="40"/>
          <w:sz w:val="18"/>
        </w:rPr>
        <w:t xml:space="preserve"> </w:t>
      </w:r>
      <w:r w:rsidR="00033D0F">
        <w:rPr>
          <w:sz w:val="18"/>
        </w:rPr>
        <w:t>accessed</w:t>
      </w:r>
      <w:r w:rsidR="00033D0F">
        <w:rPr>
          <w:spacing w:val="40"/>
          <w:sz w:val="18"/>
        </w:rPr>
        <w:t xml:space="preserve"> </w:t>
      </w:r>
      <w:r w:rsidR="00033D0F">
        <w:rPr>
          <w:sz w:val="18"/>
        </w:rPr>
        <w:t>28</w:t>
      </w:r>
      <w:r w:rsidR="00033D0F">
        <w:rPr>
          <w:spacing w:val="40"/>
          <w:sz w:val="18"/>
        </w:rPr>
        <w:t xml:space="preserve"> </w:t>
      </w:r>
      <w:r w:rsidR="00033D0F">
        <w:rPr>
          <w:sz w:val="18"/>
        </w:rPr>
        <w:t>November</w:t>
      </w:r>
      <w:r w:rsidR="00033D0F">
        <w:rPr>
          <w:spacing w:val="40"/>
          <w:sz w:val="18"/>
        </w:rPr>
        <w:t xml:space="preserve"> </w:t>
      </w:r>
      <w:r w:rsidR="00033D0F">
        <w:rPr>
          <w:sz w:val="18"/>
        </w:rPr>
        <w:t>2022.</w:t>
      </w:r>
      <w:r w:rsidR="00033D0F">
        <w:rPr>
          <w:spacing w:val="40"/>
          <w:sz w:val="18"/>
        </w:rPr>
        <w:t xml:space="preserve"> </w:t>
      </w:r>
      <w:r w:rsidR="00033D0F">
        <w:rPr>
          <w:sz w:val="18"/>
        </w:rPr>
        <w:t>Australia</w:t>
      </w:r>
      <w:r w:rsidR="00033D0F">
        <w:rPr>
          <w:spacing w:val="40"/>
          <w:sz w:val="18"/>
        </w:rPr>
        <w:t xml:space="preserve"> </w:t>
      </w:r>
      <w:r w:rsidR="00033D0F">
        <w:rPr>
          <w:sz w:val="18"/>
        </w:rPr>
        <w:t>notes</w:t>
      </w:r>
      <w:r w:rsidR="00033D0F">
        <w:rPr>
          <w:spacing w:val="40"/>
          <w:sz w:val="18"/>
        </w:rPr>
        <w:t xml:space="preserve"> </w:t>
      </w:r>
      <w:r w:rsidR="00033D0F">
        <w:rPr>
          <w:sz w:val="18"/>
        </w:rPr>
        <w:t xml:space="preserve">for completeness that </w:t>
      </w:r>
      <w:proofErr w:type="spellStart"/>
      <w:r w:rsidR="00033D0F">
        <w:rPr>
          <w:sz w:val="18"/>
        </w:rPr>
        <w:t>xls</w:t>
      </w:r>
      <w:proofErr w:type="spellEnd"/>
      <w:r w:rsidR="00033D0F">
        <w:rPr>
          <w:sz w:val="18"/>
        </w:rPr>
        <w:t xml:space="preserve"> and xlsx are two commonly used Excel spreadsheet formats.</w:t>
      </w:r>
    </w:p>
    <w:p w14:paraId="030D8745" w14:textId="77777777" w:rsidR="00BD462C" w:rsidRDefault="00033D0F">
      <w:pPr>
        <w:spacing w:before="3"/>
        <w:ind w:left="135"/>
        <w:rPr>
          <w:sz w:val="18"/>
        </w:rPr>
      </w:pPr>
      <w:bookmarkStart w:id="502" w:name="_bookmark438"/>
      <w:bookmarkEnd w:id="502"/>
      <w:proofErr w:type="gramStart"/>
      <w:r>
        <w:rPr>
          <w:position w:val="5"/>
          <w:sz w:val="12"/>
        </w:rPr>
        <w:t>355</w:t>
      </w:r>
      <w:r>
        <w:rPr>
          <w:spacing w:val="35"/>
          <w:position w:val="5"/>
          <w:sz w:val="12"/>
        </w:rPr>
        <w:t xml:space="preserve">  </w:t>
      </w:r>
      <w:r>
        <w:rPr>
          <w:sz w:val="18"/>
        </w:rPr>
        <w:t>See</w:t>
      </w:r>
      <w:proofErr w:type="gramEnd"/>
      <w:r>
        <w:rPr>
          <w:spacing w:val="61"/>
          <w:w w:val="150"/>
          <w:sz w:val="18"/>
        </w:rPr>
        <w:t xml:space="preserve"> </w:t>
      </w:r>
      <w:r>
        <w:rPr>
          <w:spacing w:val="-2"/>
          <w:sz w:val="18"/>
        </w:rPr>
        <w:t>relevantly,</w:t>
      </w:r>
    </w:p>
    <w:p w14:paraId="390B043C" w14:textId="77777777" w:rsidR="00BD462C" w:rsidRDefault="00BD462C">
      <w:pPr>
        <w:rPr>
          <w:sz w:val="18"/>
        </w:rPr>
        <w:sectPr w:rsidR="00BD462C">
          <w:pgSz w:w="11910" w:h="16840"/>
          <w:pgMar w:top="860" w:right="500" w:bottom="780" w:left="1280" w:header="566" w:footer="590" w:gutter="0"/>
          <w:cols w:space="720"/>
        </w:sectPr>
      </w:pPr>
    </w:p>
    <w:p w14:paraId="76AE450B"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169BA046"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6B6058D8"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605C1B33" w14:textId="77777777" w:rsidR="00D86B81" w:rsidRDefault="00033D0F" w:rsidP="00D86B81">
      <w:pPr>
        <w:pStyle w:val="BodyText"/>
        <w:spacing w:before="102" w:line="357" w:lineRule="auto"/>
        <w:ind w:left="136"/>
      </w:pPr>
      <w:r>
        <w:t>not</w:t>
      </w:r>
      <w:r>
        <w:rPr>
          <w:spacing w:val="-7"/>
        </w:rPr>
        <w:t xml:space="preserve"> </w:t>
      </w:r>
      <w:r>
        <w:t>rationally</w:t>
      </w:r>
      <w:r>
        <w:rPr>
          <w:spacing w:val="-11"/>
        </w:rPr>
        <w:t xml:space="preserve"> </w:t>
      </w:r>
      <w:r>
        <w:t>prevent</w:t>
      </w:r>
      <w:r>
        <w:rPr>
          <w:spacing w:val="-11"/>
        </w:rPr>
        <w:t xml:space="preserve"> </w:t>
      </w:r>
      <w:r>
        <w:t>it</w:t>
      </w:r>
      <w:r>
        <w:rPr>
          <w:spacing w:val="-11"/>
        </w:rPr>
        <w:t xml:space="preserve"> </w:t>
      </w:r>
      <w:r>
        <w:t>from</w:t>
      </w:r>
      <w:r>
        <w:rPr>
          <w:spacing w:val="-7"/>
        </w:rPr>
        <w:t xml:space="preserve"> </w:t>
      </w:r>
      <w:r>
        <w:t>having</w:t>
      </w:r>
      <w:r>
        <w:rPr>
          <w:spacing w:val="-10"/>
        </w:rPr>
        <w:t xml:space="preserve"> </w:t>
      </w:r>
      <w:r>
        <w:t>been</w:t>
      </w:r>
      <w:r>
        <w:rPr>
          <w:spacing w:val="-9"/>
        </w:rPr>
        <w:t xml:space="preserve"> </w:t>
      </w:r>
      <w:r>
        <w:t>able</w:t>
      </w:r>
      <w:r>
        <w:rPr>
          <w:spacing w:val="-12"/>
        </w:rPr>
        <w:t xml:space="preserve"> </w:t>
      </w:r>
      <w:r>
        <w:t>to</w:t>
      </w:r>
      <w:r>
        <w:rPr>
          <w:spacing w:val="-5"/>
        </w:rPr>
        <w:t xml:space="preserve"> </w:t>
      </w:r>
      <w:r>
        <w:t>view</w:t>
      </w:r>
      <w:r>
        <w:rPr>
          <w:spacing w:val="-11"/>
        </w:rPr>
        <w:t xml:space="preserve"> </w:t>
      </w:r>
      <w:r>
        <w:t>and</w:t>
      </w:r>
      <w:r>
        <w:rPr>
          <w:spacing w:val="-14"/>
        </w:rPr>
        <w:t xml:space="preserve"> </w:t>
      </w:r>
      <w:r>
        <w:t>manipulate</w:t>
      </w:r>
      <w:r>
        <w:rPr>
          <w:spacing w:val="-11"/>
        </w:rPr>
        <w:t xml:space="preserve"> </w:t>
      </w:r>
      <w:r>
        <w:t>the</w:t>
      </w:r>
      <w:r>
        <w:rPr>
          <w:spacing w:val="-12"/>
        </w:rPr>
        <w:t xml:space="preserve"> </w:t>
      </w:r>
      <w:r>
        <w:t>data</w:t>
      </w:r>
      <w:r>
        <w:rPr>
          <w:spacing w:val="-8"/>
        </w:rPr>
        <w:t xml:space="preserve"> </w:t>
      </w:r>
      <w:r>
        <w:t>Casella</w:t>
      </w:r>
      <w:r>
        <w:rPr>
          <w:spacing w:val="-12"/>
        </w:rPr>
        <w:t xml:space="preserve"> </w:t>
      </w:r>
      <w:r>
        <w:t>Wines submitted in Excel format.</w:t>
      </w:r>
    </w:p>
    <w:p w14:paraId="1B1545A1" w14:textId="5A480C6C" w:rsidR="00BD462C" w:rsidRDefault="00033D0F" w:rsidP="00D86B81">
      <w:pPr>
        <w:pStyle w:val="BodyText"/>
        <w:numPr>
          <w:ilvl w:val="0"/>
          <w:numId w:val="69"/>
        </w:numPr>
        <w:spacing w:before="102" w:line="357" w:lineRule="auto"/>
        <w:ind w:hanging="638"/>
      </w:pPr>
      <w:r>
        <w:rPr>
          <w:position w:val="1"/>
        </w:rPr>
        <w:t>Casella</w:t>
      </w:r>
      <w:r>
        <w:rPr>
          <w:spacing w:val="-2"/>
          <w:position w:val="1"/>
        </w:rPr>
        <w:t xml:space="preserve"> </w:t>
      </w:r>
      <w:r>
        <w:rPr>
          <w:position w:val="1"/>
        </w:rPr>
        <w:t>Wines'</w:t>
      </w:r>
      <w:r>
        <w:rPr>
          <w:spacing w:val="-2"/>
          <w:position w:val="1"/>
        </w:rPr>
        <w:t xml:space="preserve"> </w:t>
      </w:r>
      <w:r>
        <w:rPr>
          <w:position w:val="1"/>
        </w:rPr>
        <w:t>submission</w:t>
      </w:r>
      <w:r>
        <w:rPr>
          <w:spacing w:val="-3"/>
          <w:position w:val="1"/>
        </w:rPr>
        <w:t xml:space="preserve"> </w:t>
      </w:r>
      <w:r>
        <w:rPr>
          <w:position w:val="1"/>
        </w:rPr>
        <w:t>of</w:t>
      </w:r>
      <w:r>
        <w:rPr>
          <w:spacing w:val="-3"/>
          <w:position w:val="1"/>
        </w:rPr>
        <w:t xml:space="preserve"> </w:t>
      </w:r>
      <w:r>
        <w:rPr>
          <w:position w:val="1"/>
        </w:rPr>
        <w:t>the</w:t>
      </w:r>
      <w:r>
        <w:rPr>
          <w:spacing w:val="-2"/>
          <w:position w:val="1"/>
        </w:rPr>
        <w:t xml:space="preserve"> </w:t>
      </w:r>
      <w:r>
        <w:rPr>
          <w:position w:val="1"/>
        </w:rPr>
        <w:t>data</w:t>
      </w:r>
      <w:r>
        <w:rPr>
          <w:spacing w:val="-2"/>
          <w:position w:val="1"/>
        </w:rPr>
        <w:t xml:space="preserve"> </w:t>
      </w:r>
      <w:r>
        <w:rPr>
          <w:position w:val="1"/>
        </w:rPr>
        <w:t>in this format</w:t>
      </w:r>
      <w:r>
        <w:rPr>
          <w:spacing w:val="-1"/>
          <w:position w:val="1"/>
        </w:rPr>
        <w:t xml:space="preserve"> </w:t>
      </w:r>
      <w:r>
        <w:rPr>
          <w:position w:val="1"/>
        </w:rPr>
        <w:t>allowed</w:t>
      </w:r>
      <w:r>
        <w:rPr>
          <w:spacing w:val="-3"/>
          <w:position w:val="1"/>
        </w:rPr>
        <w:t xml:space="preserve"> </w:t>
      </w:r>
      <w:r>
        <w:rPr>
          <w:position w:val="1"/>
        </w:rPr>
        <w:t>MOFCOM</w:t>
      </w:r>
      <w:r>
        <w:rPr>
          <w:spacing w:val="-1"/>
          <w:position w:val="1"/>
        </w:rPr>
        <w:t xml:space="preserve"> </w:t>
      </w:r>
      <w:r>
        <w:rPr>
          <w:position w:val="1"/>
        </w:rPr>
        <w:t>to</w:t>
      </w:r>
      <w:r>
        <w:rPr>
          <w:spacing w:val="-4"/>
          <w:position w:val="1"/>
        </w:rPr>
        <w:t xml:space="preserve"> </w:t>
      </w:r>
      <w:r>
        <w:rPr>
          <w:position w:val="1"/>
        </w:rPr>
        <w:t>use</w:t>
      </w:r>
      <w:r>
        <w:rPr>
          <w:spacing w:val="-1"/>
          <w:position w:val="1"/>
        </w:rPr>
        <w:t xml:space="preserve"> </w:t>
      </w:r>
      <w:r>
        <w:rPr>
          <w:position w:val="1"/>
        </w:rPr>
        <w:t>it</w:t>
      </w:r>
      <w:r>
        <w:rPr>
          <w:spacing w:val="-1"/>
          <w:position w:val="1"/>
        </w:rPr>
        <w:t xml:space="preserve"> </w:t>
      </w:r>
      <w:r>
        <w:rPr>
          <w:position w:val="1"/>
        </w:rPr>
        <w:t xml:space="preserve">with </w:t>
      </w:r>
      <w:r>
        <w:t xml:space="preserve">the same ease as WPS format. Indeed, given that it was impossible due to the technical limitations of the WPS format to submit the complete data set in a single spreadsheet, had MOFCOM used the Excel formatted data it would have been able to use it with even greater </w:t>
      </w:r>
      <w:r>
        <w:rPr>
          <w:spacing w:val="-4"/>
        </w:rPr>
        <w:t>ease.</w:t>
      </w:r>
    </w:p>
    <w:p w14:paraId="1A1CE138" w14:textId="77777777" w:rsidR="00BD462C" w:rsidRDefault="00BD462C">
      <w:pPr>
        <w:pStyle w:val="BodyText"/>
        <w:spacing w:before="5"/>
        <w:rPr>
          <w:sz w:val="8"/>
        </w:rPr>
      </w:pPr>
    </w:p>
    <w:p w14:paraId="60F8EFDE" w14:textId="7779F95C" w:rsidR="00BD462C" w:rsidRDefault="00033D0F" w:rsidP="00D86B81">
      <w:pPr>
        <w:pStyle w:val="BodyText"/>
        <w:numPr>
          <w:ilvl w:val="0"/>
          <w:numId w:val="69"/>
        </w:numPr>
        <w:spacing w:before="57" w:line="360" w:lineRule="auto"/>
        <w:ind w:right="910" w:hanging="638"/>
        <w:jc w:val="both"/>
      </w:pPr>
      <w:r>
        <w:rPr>
          <w:position w:val="1"/>
        </w:rPr>
        <w:t>China's</w:t>
      </w:r>
      <w:r>
        <w:rPr>
          <w:spacing w:val="-9"/>
          <w:position w:val="1"/>
        </w:rPr>
        <w:t xml:space="preserve"> </w:t>
      </w:r>
      <w:r>
        <w:rPr>
          <w:position w:val="1"/>
        </w:rPr>
        <w:t>purported</w:t>
      </w:r>
      <w:r>
        <w:rPr>
          <w:spacing w:val="-13"/>
          <w:position w:val="1"/>
        </w:rPr>
        <w:t xml:space="preserve"> </w:t>
      </w:r>
      <w:proofErr w:type="spellStart"/>
      <w:r>
        <w:rPr>
          <w:position w:val="1"/>
        </w:rPr>
        <w:t>rationalisation</w:t>
      </w:r>
      <w:proofErr w:type="spellEnd"/>
      <w:r>
        <w:rPr>
          <w:spacing w:val="-13"/>
          <w:position w:val="1"/>
        </w:rPr>
        <w:t xml:space="preserve"> </w:t>
      </w:r>
      <w:r>
        <w:rPr>
          <w:position w:val="1"/>
        </w:rPr>
        <w:t>of</w:t>
      </w:r>
      <w:r>
        <w:rPr>
          <w:spacing w:val="-13"/>
          <w:position w:val="1"/>
        </w:rPr>
        <w:t xml:space="preserve"> </w:t>
      </w:r>
      <w:r>
        <w:rPr>
          <w:position w:val="1"/>
        </w:rPr>
        <w:t>MOFCOM's</w:t>
      </w:r>
      <w:r>
        <w:rPr>
          <w:spacing w:val="-9"/>
          <w:position w:val="1"/>
        </w:rPr>
        <w:t xml:space="preserve"> </w:t>
      </w:r>
      <w:r>
        <w:rPr>
          <w:position w:val="1"/>
        </w:rPr>
        <w:t>wholesale</w:t>
      </w:r>
      <w:r>
        <w:rPr>
          <w:spacing w:val="-11"/>
          <w:position w:val="1"/>
        </w:rPr>
        <w:t xml:space="preserve"> </w:t>
      </w:r>
      <w:r>
        <w:rPr>
          <w:position w:val="1"/>
        </w:rPr>
        <w:t>rejection</w:t>
      </w:r>
      <w:r>
        <w:rPr>
          <w:spacing w:val="-13"/>
          <w:position w:val="1"/>
        </w:rPr>
        <w:t xml:space="preserve"> </w:t>
      </w:r>
      <w:r>
        <w:rPr>
          <w:position w:val="1"/>
        </w:rPr>
        <w:t>of</w:t>
      </w:r>
      <w:r>
        <w:rPr>
          <w:spacing w:val="-13"/>
          <w:position w:val="1"/>
        </w:rPr>
        <w:t xml:space="preserve"> </w:t>
      </w:r>
      <w:r>
        <w:rPr>
          <w:position w:val="1"/>
        </w:rPr>
        <w:t>Casella</w:t>
      </w:r>
      <w:r>
        <w:rPr>
          <w:spacing w:val="-11"/>
          <w:position w:val="1"/>
        </w:rPr>
        <w:t xml:space="preserve"> </w:t>
      </w:r>
      <w:r>
        <w:rPr>
          <w:position w:val="1"/>
        </w:rPr>
        <w:t xml:space="preserve">Wines' </w:t>
      </w:r>
      <w:r>
        <w:t>data, in absence of any attempt to use it, even though it may not have been ideal in all respects, fails to engage with the fact that all necessary information was provided by Casella Wines. As all of the necessary information was provided to MOFCOM in formats that were requested (hardcopy and PDF), and in an additional format that gave MOFCOM all the functionality it required (Excel), there was no basis for MOFCOM find that necessary information was absent.</w:t>
      </w:r>
    </w:p>
    <w:p w14:paraId="4916FF46" w14:textId="77777777" w:rsidR="00BD462C" w:rsidRDefault="00033D0F">
      <w:pPr>
        <w:pStyle w:val="ListParagraph"/>
        <w:numPr>
          <w:ilvl w:val="2"/>
          <w:numId w:val="35"/>
        </w:numPr>
        <w:tabs>
          <w:tab w:val="left" w:pos="4388"/>
          <w:tab w:val="left" w:pos="4389"/>
        </w:tabs>
        <w:spacing w:before="154" w:line="362" w:lineRule="auto"/>
        <w:ind w:right="915"/>
        <w:jc w:val="both"/>
        <w:rPr>
          <w:i/>
          <w:sz w:val="24"/>
        </w:rPr>
      </w:pPr>
      <w:bookmarkStart w:id="503" w:name="ii._MOFCOM's_complaint_about_the_absence"/>
      <w:bookmarkEnd w:id="503"/>
      <w:r>
        <w:rPr>
          <w:i/>
          <w:sz w:val="24"/>
        </w:rPr>
        <w:t>MOFCOM's complaint about the absence of cost sheets saved in daily operations</w:t>
      </w:r>
    </w:p>
    <w:p w14:paraId="124C024A" w14:textId="77777777" w:rsidR="00BD462C" w:rsidRDefault="00BD462C">
      <w:pPr>
        <w:pStyle w:val="BodyText"/>
        <w:spacing w:before="8"/>
        <w:rPr>
          <w:i/>
          <w:sz w:val="8"/>
        </w:rPr>
      </w:pPr>
    </w:p>
    <w:p w14:paraId="62FE46EA" w14:textId="77777777" w:rsidR="00D86B81" w:rsidRDefault="00033D0F" w:rsidP="00D86B81">
      <w:pPr>
        <w:pStyle w:val="BodyText"/>
        <w:numPr>
          <w:ilvl w:val="0"/>
          <w:numId w:val="69"/>
        </w:numPr>
        <w:spacing w:before="56" w:line="360" w:lineRule="auto"/>
        <w:ind w:right="915" w:hanging="638"/>
        <w:jc w:val="both"/>
      </w:pPr>
      <w:r>
        <w:rPr>
          <w:position w:val="1"/>
        </w:rPr>
        <w:t xml:space="preserve">MOFCOM also determined that necessary information was missing from its record </w:t>
      </w:r>
      <w:r>
        <w:t>because</w:t>
      </w:r>
      <w:r>
        <w:rPr>
          <w:spacing w:val="-10"/>
        </w:rPr>
        <w:t xml:space="preserve"> </w:t>
      </w:r>
      <w:r>
        <w:t>Casella</w:t>
      </w:r>
      <w:r>
        <w:rPr>
          <w:spacing w:val="-10"/>
        </w:rPr>
        <w:t xml:space="preserve"> </w:t>
      </w:r>
      <w:r>
        <w:t>Wines</w:t>
      </w:r>
      <w:r>
        <w:rPr>
          <w:spacing w:val="-8"/>
        </w:rPr>
        <w:t xml:space="preserve"> </w:t>
      </w:r>
      <w:r>
        <w:t>did</w:t>
      </w:r>
      <w:r>
        <w:rPr>
          <w:spacing w:val="-13"/>
        </w:rPr>
        <w:t xml:space="preserve"> </w:t>
      </w:r>
      <w:r>
        <w:t>not</w:t>
      </w:r>
      <w:r>
        <w:rPr>
          <w:spacing w:val="-9"/>
        </w:rPr>
        <w:t xml:space="preserve"> </w:t>
      </w:r>
      <w:r>
        <w:t>provide</w:t>
      </w:r>
      <w:r>
        <w:rPr>
          <w:spacing w:val="-10"/>
        </w:rPr>
        <w:t xml:space="preserve"> </w:t>
      </w:r>
      <w:r>
        <w:t>"cost</w:t>
      </w:r>
      <w:r>
        <w:rPr>
          <w:spacing w:val="-9"/>
        </w:rPr>
        <w:t xml:space="preserve"> </w:t>
      </w:r>
      <w:r>
        <w:t>sheets</w:t>
      </w:r>
      <w:r>
        <w:rPr>
          <w:spacing w:val="-8"/>
        </w:rPr>
        <w:t xml:space="preserve"> </w:t>
      </w:r>
      <w:r>
        <w:t>saved</w:t>
      </w:r>
      <w:r>
        <w:rPr>
          <w:spacing w:val="-13"/>
        </w:rPr>
        <w:t xml:space="preserve"> </w:t>
      </w:r>
      <w:r>
        <w:t>in</w:t>
      </w:r>
      <w:r>
        <w:rPr>
          <w:spacing w:val="-13"/>
        </w:rPr>
        <w:t xml:space="preserve"> </w:t>
      </w:r>
      <w:r>
        <w:t>daily</w:t>
      </w:r>
      <w:r>
        <w:rPr>
          <w:spacing w:val="-9"/>
        </w:rPr>
        <w:t xml:space="preserve"> </w:t>
      </w:r>
      <w:r>
        <w:t>operations".</w:t>
      </w:r>
      <w:hyperlink w:anchor="_bookmark439" w:history="1">
        <w:r>
          <w:rPr>
            <w:vertAlign w:val="superscript"/>
          </w:rPr>
          <w:t>356</w:t>
        </w:r>
      </w:hyperlink>
      <w:r>
        <w:rPr>
          <w:spacing w:val="-9"/>
        </w:rPr>
        <w:t xml:space="preserve"> </w:t>
      </w:r>
      <w:r>
        <w:t>Australia</w:t>
      </w:r>
      <w:r>
        <w:rPr>
          <w:spacing w:val="-10"/>
        </w:rPr>
        <w:t xml:space="preserve"> </w:t>
      </w:r>
      <w:r>
        <w:t>has established that this was not necessary information for the purposes of MOFCOM's determination</w:t>
      </w:r>
      <w:r>
        <w:rPr>
          <w:spacing w:val="-14"/>
        </w:rPr>
        <w:t xml:space="preserve"> </w:t>
      </w:r>
      <w:r>
        <w:t>of</w:t>
      </w:r>
      <w:r>
        <w:rPr>
          <w:spacing w:val="-14"/>
        </w:rPr>
        <w:t xml:space="preserve"> </w:t>
      </w:r>
      <w:r>
        <w:t>a</w:t>
      </w:r>
      <w:r>
        <w:rPr>
          <w:spacing w:val="-13"/>
        </w:rPr>
        <w:t xml:space="preserve"> </w:t>
      </w:r>
      <w:r>
        <w:t>dumping</w:t>
      </w:r>
      <w:r>
        <w:rPr>
          <w:spacing w:val="-14"/>
        </w:rPr>
        <w:t xml:space="preserve"> </w:t>
      </w:r>
      <w:r>
        <w:t>calculation.</w:t>
      </w:r>
      <w:r>
        <w:rPr>
          <w:spacing w:val="-13"/>
        </w:rPr>
        <w:t xml:space="preserve"> </w:t>
      </w:r>
      <w:hyperlink w:anchor="_bookmark440" w:history="1">
        <w:r>
          <w:rPr>
            <w:vertAlign w:val="superscript"/>
          </w:rPr>
          <w:t>357</w:t>
        </w:r>
      </w:hyperlink>
      <w:r>
        <w:rPr>
          <w:spacing w:val="-14"/>
        </w:rPr>
        <w:t xml:space="preserve"> </w:t>
      </w:r>
      <w:r>
        <w:t>Hence,</w:t>
      </w:r>
      <w:r>
        <w:rPr>
          <w:spacing w:val="-13"/>
        </w:rPr>
        <w:t xml:space="preserve"> </w:t>
      </w:r>
      <w:r>
        <w:t>their</w:t>
      </w:r>
      <w:r>
        <w:rPr>
          <w:spacing w:val="-14"/>
        </w:rPr>
        <w:t xml:space="preserve"> </w:t>
      </w:r>
      <w:r>
        <w:t>absence</w:t>
      </w:r>
      <w:r>
        <w:rPr>
          <w:spacing w:val="-14"/>
        </w:rPr>
        <w:t xml:space="preserve"> </w:t>
      </w:r>
      <w:r>
        <w:t>could</w:t>
      </w:r>
      <w:r>
        <w:rPr>
          <w:spacing w:val="-13"/>
        </w:rPr>
        <w:t xml:space="preserve"> </w:t>
      </w:r>
      <w:r>
        <w:t>not</w:t>
      </w:r>
      <w:r>
        <w:rPr>
          <w:spacing w:val="-14"/>
        </w:rPr>
        <w:t xml:space="preserve"> </w:t>
      </w:r>
      <w:r>
        <w:t>have</w:t>
      </w:r>
      <w:r>
        <w:rPr>
          <w:spacing w:val="-13"/>
        </w:rPr>
        <w:t xml:space="preserve"> </w:t>
      </w:r>
      <w:r>
        <w:t>been</w:t>
      </w:r>
      <w:r>
        <w:rPr>
          <w:spacing w:val="-14"/>
        </w:rPr>
        <w:t xml:space="preserve"> </w:t>
      </w:r>
      <w:r>
        <w:t>a</w:t>
      </w:r>
      <w:r>
        <w:rPr>
          <w:spacing w:val="-13"/>
        </w:rPr>
        <w:t xml:space="preserve"> </w:t>
      </w:r>
      <w:r>
        <w:t>reason justifying MOFCOM's recourse to facts available. In its first written submission, China concedes that "the absence of costs sheets […] was not the main reason for the recourse to facts</w:t>
      </w:r>
      <w:r>
        <w:rPr>
          <w:spacing w:val="-2"/>
        </w:rPr>
        <w:t xml:space="preserve"> </w:t>
      </w:r>
      <w:r>
        <w:t>available".</w:t>
      </w:r>
      <w:hyperlink w:anchor="_bookmark441" w:history="1">
        <w:r>
          <w:rPr>
            <w:vertAlign w:val="superscript"/>
          </w:rPr>
          <w:t>358</w:t>
        </w:r>
      </w:hyperlink>
      <w:r>
        <w:rPr>
          <w:spacing w:val="-3"/>
        </w:rPr>
        <w:t xml:space="preserve"> </w:t>
      </w:r>
      <w:r>
        <w:t>China</w:t>
      </w:r>
      <w:r>
        <w:rPr>
          <w:spacing w:val="-4"/>
        </w:rPr>
        <w:t xml:space="preserve"> </w:t>
      </w:r>
      <w:r>
        <w:t>similarly</w:t>
      </w:r>
      <w:r>
        <w:rPr>
          <w:spacing w:val="-2"/>
        </w:rPr>
        <w:t xml:space="preserve"> </w:t>
      </w:r>
      <w:r>
        <w:t>goes</w:t>
      </w:r>
      <w:r>
        <w:rPr>
          <w:spacing w:val="-2"/>
        </w:rPr>
        <w:t xml:space="preserve"> </w:t>
      </w:r>
      <w:r>
        <w:t>on</w:t>
      </w:r>
      <w:r>
        <w:rPr>
          <w:spacing w:val="-5"/>
        </w:rPr>
        <w:t xml:space="preserve"> </w:t>
      </w:r>
      <w:r>
        <w:t>to</w:t>
      </w:r>
      <w:r>
        <w:rPr>
          <w:spacing w:val="-6"/>
        </w:rPr>
        <w:t xml:space="preserve"> </w:t>
      </w:r>
      <w:r>
        <w:t>argue</w:t>
      </w:r>
      <w:r>
        <w:rPr>
          <w:spacing w:val="-4"/>
        </w:rPr>
        <w:t xml:space="preserve"> </w:t>
      </w:r>
      <w:r>
        <w:t>that</w:t>
      </w:r>
      <w:r>
        <w:rPr>
          <w:spacing w:val="-3"/>
        </w:rPr>
        <w:t xml:space="preserve"> </w:t>
      </w:r>
      <w:r>
        <w:t>it</w:t>
      </w:r>
      <w:r>
        <w:rPr>
          <w:spacing w:val="-3"/>
        </w:rPr>
        <w:t xml:space="preserve"> </w:t>
      </w:r>
      <w:r>
        <w:t>was</w:t>
      </w:r>
      <w:r>
        <w:rPr>
          <w:spacing w:val="-2"/>
        </w:rPr>
        <w:t xml:space="preserve"> </w:t>
      </w:r>
      <w:r>
        <w:t>a</w:t>
      </w:r>
      <w:r>
        <w:rPr>
          <w:spacing w:val="-4"/>
        </w:rPr>
        <w:t xml:space="preserve"> </w:t>
      </w:r>
      <w:r>
        <w:t>"supplementary"</w:t>
      </w:r>
      <w:r>
        <w:rPr>
          <w:spacing w:val="-4"/>
        </w:rPr>
        <w:t xml:space="preserve"> </w:t>
      </w:r>
      <w:r>
        <w:t>reason,</w:t>
      </w:r>
      <w:r>
        <w:rPr>
          <w:spacing w:val="-2"/>
        </w:rPr>
        <w:t xml:space="preserve"> </w:t>
      </w:r>
      <w:r>
        <w:t>but provides no explanation as to why MOFCOM determined that the information was "necessary" for the purpose of its dumping calculation.</w:t>
      </w:r>
    </w:p>
    <w:p w14:paraId="70F38CA4" w14:textId="14AD9A1F" w:rsidR="00BD462C" w:rsidRDefault="00033D0F" w:rsidP="00D86B81">
      <w:pPr>
        <w:pStyle w:val="BodyText"/>
        <w:numPr>
          <w:ilvl w:val="0"/>
          <w:numId w:val="69"/>
        </w:numPr>
        <w:spacing w:before="56" w:line="360" w:lineRule="auto"/>
        <w:ind w:right="915" w:hanging="638"/>
        <w:jc w:val="both"/>
      </w:pPr>
      <w:r w:rsidRPr="00D86B81">
        <w:rPr>
          <w:position w:val="1"/>
        </w:rPr>
        <w:t>Having</w:t>
      </w:r>
      <w:r w:rsidRPr="00D86B81">
        <w:rPr>
          <w:spacing w:val="18"/>
          <w:position w:val="1"/>
        </w:rPr>
        <w:t xml:space="preserve"> </w:t>
      </w:r>
      <w:r w:rsidRPr="00D86B81">
        <w:rPr>
          <w:position w:val="1"/>
        </w:rPr>
        <w:t>conceded that</w:t>
      </w:r>
      <w:r w:rsidRPr="00D86B81">
        <w:rPr>
          <w:spacing w:val="17"/>
          <w:position w:val="1"/>
        </w:rPr>
        <w:t xml:space="preserve"> </w:t>
      </w:r>
      <w:r w:rsidRPr="00D86B81">
        <w:rPr>
          <w:position w:val="1"/>
        </w:rPr>
        <w:t>the</w:t>
      </w:r>
      <w:r w:rsidRPr="00D86B81">
        <w:rPr>
          <w:spacing w:val="17"/>
          <w:position w:val="1"/>
        </w:rPr>
        <w:t xml:space="preserve"> </w:t>
      </w:r>
      <w:r w:rsidRPr="00D86B81">
        <w:rPr>
          <w:position w:val="1"/>
        </w:rPr>
        <w:t>absence</w:t>
      </w:r>
      <w:r w:rsidRPr="00D86B81">
        <w:rPr>
          <w:spacing w:val="17"/>
          <w:position w:val="1"/>
        </w:rPr>
        <w:t xml:space="preserve"> </w:t>
      </w:r>
      <w:r w:rsidRPr="00D86B81">
        <w:rPr>
          <w:position w:val="1"/>
        </w:rPr>
        <w:t>of</w:t>
      </w:r>
      <w:r w:rsidRPr="00D86B81">
        <w:rPr>
          <w:spacing w:val="20"/>
          <w:position w:val="1"/>
        </w:rPr>
        <w:t xml:space="preserve"> </w:t>
      </w:r>
      <w:r w:rsidRPr="00D86B81">
        <w:rPr>
          <w:position w:val="1"/>
        </w:rPr>
        <w:t>cost</w:t>
      </w:r>
      <w:r w:rsidRPr="00D86B81">
        <w:rPr>
          <w:spacing w:val="17"/>
          <w:position w:val="1"/>
        </w:rPr>
        <w:t xml:space="preserve"> </w:t>
      </w:r>
      <w:r w:rsidRPr="00D86B81">
        <w:rPr>
          <w:position w:val="1"/>
        </w:rPr>
        <w:t>sheets saved in daily</w:t>
      </w:r>
      <w:r w:rsidRPr="00D86B81">
        <w:rPr>
          <w:spacing w:val="18"/>
          <w:position w:val="1"/>
        </w:rPr>
        <w:t xml:space="preserve"> </w:t>
      </w:r>
      <w:r w:rsidRPr="00D86B81">
        <w:rPr>
          <w:position w:val="1"/>
        </w:rPr>
        <w:t>operations</w:t>
      </w:r>
      <w:r w:rsidRPr="00D86B81">
        <w:rPr>
          <w:spacing w:val="18"/>
          <w:position w:val="1"/>
        </w:rPr>
        <w:t xml:space="preserve"> </w:t>
      </w:r>
      <w:r w:rsidRPr="00D86B81">
        <w:rPr>
          <w:position w:val="1"/>
        </w:rPr>
        <w:t>was,</w:t>
      </w:r>
      <w:r w:rsidRPr="00D86B81">
        <w:rPr>
          <w:spacing w:val="19"/>
          <w:position w:val="1"/>
        </w:rPr>
        <w:t xml:space="preserve"> </w:t>
      </w:r>
      <w:r w:rsidRPr="00D86B81">
        <w:rPr>
          <w:position w:val="1"/>
        </w:rPr>
        <w:t xml:space="preserve">at </w:t>
      </w:r>
      <w:r>
        <w:t>most,</w:t>
      </w:r>
      <w:r w:rsidRPr="00D86B81">
        <w:rPr>
          <w:spacing w:val="5"/>
        </w:rPr>
        <w:t xml:space="preserve"> </w:t>
      </w:r>
      <w:r>
        <w:t>a</w:t>
      </w:r>
      <w:r w:rsidRPr="00D86B81">
        <w:rPr>
          <w:spacing w:val="6"/>
        </w:rPr>
        <w:t xml:space="preserve"> </w:t>
      </w:r>
      <w:r>
        <w:t>"supplementary"</w:t>
      </w:r>
      <w:r w:rsidRPr="00D86B81">
        <w:rPr>
          <w:spacing w:val="5"/>
        </w:rPr>
        <w:t xml:space="preserve"> </w:t>
      </w:r>
      <w:r>
        <w:t>reason</w:t>
      </w:r>
      <w:r w:rsidRPr="00D86B81">
        <w:rPr>
          <w:spacing w:val="4"/>
        </w:rPr>
        <w:t xml:space="preserve"> </w:t>
      </w:r>
      <w:r>
        <w:t>for</w:t>
      </w:r>
      <w:r w:rsidRPr="00D86B81">
        <w:rPr>
          <w:spacing w:val="4"/>
        </w:rPr>
        <w:t xml:space="preserve"> </w:t>
      </w:r>
      <w:r>
        <w:t>MOFCOM's</w:t>
      </w:r>
      <w:r w:rsidRPr="00D86B81">
        <w:rPr>
          <w:spacing w:val="8"/>
        </w:rPr>
        <w:t xml:space="preserve"> </w:t>
      </w:r>
      <w:r>
        <w:t>decision</w:t>
      </w:r>
      <w:r w:rsidRPr="00D86B81">
        <w:rPr>
          <w:spacing w:val="4"/>
        </w:rPr>
        <w:t xml:space="preserve"> </w:t>
      </w:r>
      <w:r>
        <w:t>to</w:t>
      </w:r>
      <w:r w:rsidRPr="00D86B81">
        <w:rPr>
          <w:spacing w:val="4"/>
        </w:rPr>
        <w:t xml:space="preserve"> </w:t>
      </w:r>
      <w:r>
        <w:t>have</w:t>
      </w:r>
      <w:r w:rsidRPr="00D86B81">
        <w:rPr>
          <w:spacing w:val="6"/>
        </w:rPr>
        <w:t xml:space="preserve"> </w:t>
      </w:r>
      <w:r>
        <w:t>recourse</w:t>
      </w:r>
      <w:r w:rsidRPr="00D86B81">
        <w:rPr>
          <w:spacing w:val="6"/>
        </w:rPr>
        <w:t xml:space="preserve"> </w:t>
      </w:r>
      <w:r>
        <w:t>to</w:t>
      </w:r>
      <w:r w:rsidRPr="00D86B81">
        <w:rPr>
          <w:spacing w:val="4"/>
        </w:rPr>
        <w:t xml:space="preserve"> </w:t>
      </w:r>
      <w:r>
        <w:t>facts</w:t>
      </w:r>
      <w:r w:rsidRPr="00D86B81">
        <w:rPr>
          <w:spacing w:val="8"/>
        </w:rPr>
        <w:t xml:space="preserve"> </w:t>
      </w:r>
      <w:r w:rsidRPr="00D86B81">
        <w:rPr>
          <w:spacing w:val="-2"/>
        </w:rPr>
        <w:t>available,</w:t>
      </w:r>
    </w:p>
    <w:p w14:paraId="4A676896" w14:textId="52C73550" w:rsidR="00BD462C" w:rsidRDefault="00D70C7D">
      <w:pPr>
        <w:pStyle w:val="BodyText"/>
        <w:spacing w:before="11"/>
        <w:rPr>
          <w:sz w:val="19"/>
        </w:rPr>
      </w:pPr>
      <w:r>
        <w:rPr>
          <w:noProof/>
        </w:rPr>
        <mc:AlternateContent>
          <mc:Choice Requires="wps">
            <w:drawing>
              <wp:anchor distT="0" distB="0" distL="0" distR="0" simplePos="0" relativeHeight="487697920" behindDoc="1" locked="0" layoutInCell="1" allowOverlap="1" wp14:anchorId="0D6C7378" wp14:editId="2A936006">
                <wp:simplePos x="0" y="0"/>
                <wp:positionH relativeFrom="page">
                  <wp:posOffset>899160</wp:posOffset>
                </wp:positionH>
                <wp:positionV relativeFrom="paragraph">
                  <wp:posOffset>170180</wp:posOffset>
                </wp:positionV>
                <wp:extent cx="1828800" cy="8890"/>
                <wp:effectExtent l="0" t="0" r="0" b="0"/>
                <wp:wrapTopAndBottom/>
                <wp:docPr id="958" name="docshape2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589828" id="docshape237" o:spid="_x0000_s1026" alt="&quot;&quot;" style="position:absolute;margin-left:70.8pt;margin-top:13.4pt;width:2in;height:.7pt;z-index:-15618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" fillcolor="black" stroked="f">
                <w10:wrap type="topAndBottom" anchorx="page"/>
              </v:rect>
            </w:pict>
          </mc:Fallback>
        </mc:AlternateContent>
      </w:r>
    </w:p>
    <w:p w14:paraId="7C2429D1" w14:textId="77777777" w:rsidR="00BD462C" w:rsidRDefault="00033D0F">
      <w:pPr>
        <w:spacing w:before="112"/>
        <w:ind w:left="135"/>
        <w:rPr>
          <w:sz w:val="18"/>
        </w:rPr>
      </w:pPr>
      <w:bookmarkStart w:id="504" w:name="_bookmark439"/>
      <w:bookmarkEnd w:id="504"/>
      <w:r>
        <w:rPr>
          <w:position w:val="5"/>
          <w:sz w:val="12"/>
        </w:rPr>
        <w:t>356</w:t>
      </w:r>
      <w:r>
        <w:rPr>
          <w:spacing w:val="12"/>
          <w:position w:val="5"/>
          <w:sz w:val="12"/>
        </w:rPr>
        <w:t xml:space="preserve"> </w:t>
      </w:r>
      <w:r>
        <w:rPr>
          <w:sz w:val="18"/>
        </w:rPr>
        <w:t>Anti-Dumping</w:t>
      </w:r>
      <w:r>
        <w:rPr>
          <w:spacing w:val="-6"/>
          <w:sz w:val="18"/>
        </w:rPr>
        <w:t xml:space="preserve"> </w:t>
      </w:r>
      <w:r>
        <w:rPr>
          <w:sz w:val="18"/>
        </w:rPr>
        <w:t>Final</w:t>
      </w:r>
      <w:r>
        <w:rPr>
          <w:spacing w:val="-1"/>
          <w:sz w:val="18"/>
        </w:rPr>
        <w:t xml:space="preserve"> </w:t>
      </w:r>
      <w:r>
        <w:rPr>
          <w:sz w:val="18"/>
        </w:rPr>
        <w:t>Determination</w:t>
      </w:r>
      <w:r>
        <w:rPr>
          <w:spacing w:val="-6"/>
          <w:sz w:val="18"/>
        </w:rPr>
        <w:t xml:space="preserve"> </w:t>
      </w:r>
      <w:r>
        <w:rPr>
          <w:sz w:val="18"/>
        </w:rPr>
        <w:t>(Exhibit</w:t>
      </w:r>
      <w:r>
        <w:rPr>
          <w:spacing w:val="-1"/>
          <w:sz w:val="18"/>
        </w:rPr>
        <w:t xml:space="preserve"> </w:t>
      </w:r>
      <w:r>
        <w:rPr>
          <w:sz w:val="18"/>
        </w:rPr>
        <w:t>AUS-2),</w:t>
      </w:r>
      <w:r>
        <w:rPr>
          <w:spacing w:val="-4"/>
          <w:sz w:val="18"/>
        </w:rPr>
        <w:t xml:space="preserve"> </w:t>
      </w:r>
      <w:r>
        <w:rPr>
          <w:sz w:val="18"/>
        </w:rPr>
        <w:t>p.</w:t>
      </w:r>
      <w:r>
        <w:rPr>
          <w:spacing w:val="-5"/>
          <w:sz w:val="18"/>
        </w:rPr>
        <w:t xml:space="preserve"> 80.</w:t>
      </w:r>
    </w:p>
    <w:p w14:paraId="12652346" w14:textId="77777777" w:rsidR="00BD462C" w:rsidRDefault="00033D0F">
      <w:pPr>
        <w:spacing w:before="1"/>
        <w:ind w:left="135"/>
        <w:rPr>
          <w:sz w:val="18"/>
        </w:rPr>
      </w:pPr>
      <w:bookmarkStart w:id="505" w:name="_bookmark440"/>
      <w:bookmarkEnd w:id="505"/>
      <w:r>
        <w:rPr>
          <w:position w:val="5"/>
          <w:sz w:val="12"/>
        </w:rPr>
        <w:t>357</w:t>
      </w:r>
      <w:r>
        <w:rPr>
          <w:spacing w:val="12"/>
          <w:position w:val="5"/>
          <w:sz w:val="12"/>
        </w:rPr>
        <w:t xml:space="preserve"> </w:t>
      </w:r>
      <w:r>
        <w:rPr>
          <w:sz w:val="18"/>
        </w:rPr>
        <w:t>Australia's</w:t>
      </w:r>
      <w:r>
        <w:rPr>
          <w:spacing w:val="-7"/>
          <w:sz w:val="18"/>
        </w:rPr>
        <w:t xml:space="preserve"> </w:t>
      </w:r>
      <w:r>
        <w:rPr>
          <w:sz w:val="18"/>
        </w:rPr>
        <w:t>first</w:t>
      </w:r>
      <w:r>
        <w:rPr>
          <w:spacing w:val="-5"/>
          <w:sz w:val="18"/>
        </w:rPr>
        <w:t xml:space="preserve"> </w:t>
      </w:r>
      <w:r>
        <w:rPr>
          <w:sz w:val="18"/>
        </w:rPr>
        <w:t>written</w:t>
      </w:r>
      <w:r>
        <w:rPr>
          <w:spacing w:val="-3"/>
          <w:sz w:val="18"/>
        </w:rPr>
        <w:t xml:space="preserve"> </w:t>
      </w:r>
      <w:r>
        <w:rPr>
          <w:sz w:val="18"/>
        </w:rPr>
        <w:t>submission, paras.</w:t>
      </w:r>
      <w:r>
        <w:rPr>
          <w:spacing w:val="-5"/>
          <w:sz w:val="18"/>
        </w:rPr>
        <w:t xml:space="preserve"> </w:t>
      </w:r>
      <w:r>
        <w:rPr>
          <w:sz w:val="18"/>
        </w:rPr>
        <w:t>344-</w:t>
      </w:r>
      <w:r>
        <w:rPr>
          <w:spacing w:val="-4"/>
          <w:sz w:val="18"/>
        </w:rPr>
        <w:t>348.</w:t>
      </w:r>
    </w:p>
    <w:p w14:paraId="4D070115" w14:textId="77777777" w:rsidR="00BD462C" w:rsidRDefault="00033D0F">
      <w:pPr>
        <w:spacing w:before="1"/>
        <w:ind w:left="135"/>
        <w:rPr>
          <w:sz w:val="18"/>
        </w:rPr>
      </w:pPr>
      <w:bookmarkStart w:id="506" w:name="_bookmark441"/>
      <w:bookmarkEnd w:id="506"/>
      <w:r>
        <w:rPr>
          <w:position w:val="5"/>
          <w:sz w:val="12"/>
        </w:rPr>
        <w:t>358</w:t>
      </w:r>
      <w:r>
        <w:rPr>
          <w:spacing w:val="13"/>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 xml:space="preserve">para. </w:t>
      </w:r>
      <w:r>
        <w:rPr>
          <w:spacing w:val="-4"/>
          <w:sz w:val="18"/>
        </w:rPr>
        <w:t>630.</w:t>
      </w:r>
    </w:p>
    <w:p w14:paraId="20C15580" w14:textId="77777777" w:rsidR="00BD462C" w:rsidRDefault="00BD462C">
      <w:pPr>
        <w:rPr>
          <w:sz w:val="18"/>
        </w:rPr>
        <w:sectPr w:rsidR="00BD462C">
          <w:pgSz w:w="11910" w:h="16840"/>
          <w:pgMar w:top="860" w:right="500" w:bottom="780" w:left="1280" w:header="566" w:footer="590" w:gutter="0"/>
          <w:cols w:space="720"/>
        </w:sectPr>
      </w:pPr>
    </w:p>
    <w:p w14:paraId="33F9E54B"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14DE4744"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2E60A717"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4CF6D759" w14:textId="77777777" w:rsidR="00BD462C" w:rsidRDefault="00033D0F">
      <w:pPr>
        <w:pStyle w:val="BodyText"/>
        <w:spacing w:before="102" w:line="360" w:lineRule="auto"/>
        <w:ind w:left="136" w:right="916"/>
        <w:jc w:val="both"/>
      </w:pPr>
      <w:r>
        <w:t xml:space="preserve">China then lists two other reasons which were not referred to in MOFCOM's Final Determination, and which are irrelevant to the question of whether or not the daily cost sheets were provided. In particular China now provides </w:t>
      </w:r>
      <w:r>
        <w:rPr>
          <w:i/>
        </w:rPr>
        <w:t xml:space="preserve">ex post facto </w:t>
      </w:r>
      <w:proofErr w:type="spellStart"/>
      <w:r>
        <w:t>rationalisations</w:t>
      </w:r>
      <w:proofErr w:type="spellEnd"/>
      <w:r>
        <w:t xml:space="preserve"> for MOFCOM's decision, referring again to the submission of the incomplete WPS version of Form 6-3, and the absence of monthly cost of production data.</w:t>
      </w:r>
      <w:r>
        <w:rPr>
          <w:spacing w:val="-22"/>
        </w:rPr>
        <w:t xml:space="preserve"> </w:t>
      </w:r>
      <w:hyperlink w:anchor="_bookmark442" w:history="1">
        <w:r>
          <w:rPr>
            <w:vertAlign w:val="superscript"/>
          </w:rPr>
          <w:t>359</w:t>
        </w:r>
      </w:hyperlink>
    </w:p>
    <w:p w14:paraId="34B061CD" w14:textId="77777777" w:rsidR="00BD462C" w:rsidRDefault="00BD462C">
      <w:pPr>
        <w:pStyle w:val="BodyText"/>
        <w:spacing w:before="11"/>
        <w:rPr>
          <w:sz w:val="8"/>
        </w:rPr>
      </w:pPr>
    </w:p>
    <w:p w14:paraId="6DA4C199" w14:textId="213D2ED5" w:rsidR="00BD462C" w:rsidRDefault="00033D0F" w:rsidP="00D86B81">
      <w:pPr>
        <w:pStyle w:val="BodyText"/>
        <w:numPr>
          <w:ilvl w:val="0"/>
          <w:numId w:val="69"/>
        </w:numPr>
        <w:spacing w:before="56" w:line="360" w:lineRule="auto"/>
        <w:ind w:right="914" w:hanging="638"/>
        <w:jc w:val="both"/>
      </w:pPr>
      <w:r>
        <w:rPr>
          <w:position w:val="1"/>
        </w:rPr>
        <w:t>China</w:t>
      </w:r>
      <w:r>
        <w:rPr>
          <w:spacing w:val="-3"/>
          <w:position w:val="1"/>
        </w:rPr>
        <w:t xml:space="preserve"> </w:t>
      </w:r>
      <w:r>
        <w:rPr>
          <w:position w:val="1"/>
        </w:rPr>
        <w:t>fails</w:t>
      </w:r>
      <w:r>
        <w:rPr>
          <w:spacing w:val="-1"/>
          <w:position w:val="1"/>
        </w:rPr>
        <w:t xml:space="preserve"> </w:t>
      </w:r>
      <w:r>
        <w:rPr>
          <w:position w:val="1"/>
        </w:rPr>
        <w:t>to</w:t>
      </w:r>
      <w:r>
        <w:rPr>
          <w:spacing w:val="-5"/>
          <w:position w:val="1"/>
        </w:rPr>
        <w:t xml:space="preserve"> </w:t>
      </w:r>
      <w:r>
        <w:rPr>
          <w:position w:val="1"/>
        </w:rPr>
        <w:t>engage</w:t>
      </w:r>
      <w:r>
        <w:rPr>
          <w:spacing w:val="-2"/>
          <w:position w:val="1"/>
        </w:rPr>
        <w:t xml:space="preserve"> </w:t>
      </w:r>
      <w:r>
        <w:rPr>
          <w:position w:val="1"/>
        </w:rPr>
        <w:t>with</w:t>
      </w:r>
      <w:r>
        <w:rPr>
          <w:spacing w:val="-4"/>
          <w:position w:val="1"/>
        </w:rPr>
        <w:t xml:space="preserve"> </w:t>
      </w:r>
      <w:r>
        <w:rPr>
          <w:position w:val="1"/>
        </w:rPr>
        <w:t>Casella</w:t>
      </w:r>
      <w:r>
        <w:rPr>
          <w:spacing w:val="-3"/>
          <w:position w:val="1"/>
        </w:rPr>
        <w:t xml:space="preserve"> </w:t>
      </w:r>
      <w:r>
        <w:rPr>
          <w:position w:val="1"/>
        </w:rPr>
        <w:t>Wines'</w:t>
      </w:r>
      <w:r>
        <w:rPr>
          <w:spacing w:val="-8"/>
          <w:position w:val="1"/>
        </w:rPr>
        <w:t xml:space="preserve"> </w:t>
      </w:r>
      <w:r>
        <w:rPr>
          <w:position w:val="1"/>
        </w:rPr>
        <w:t>explanation</w:t>
      </w:r>
      <w:r>
        <w:rPr>
          <w:spacing w:val="-4"/>
          <w:position w:val="1"/>
        </w:rPr>
        <w:t xml:space="preserve"> </w:t>
      </w:r>
      <w:r>
        <w:rPr>
          <w:position w:val="1"/>
        </w:rPr>
        <w:t>that</w:t>
      </w:r>
      <w:r>
        <w:rPr>
          <w:spacing w:val="-2"/>
          <w:position w:val="1"/>
        </w:rPr>
        <w:t xml:space="preserve"> </w:t>
      </w:r>
      <w:r>
        <w:rPr>
          <w:position w:val="1"/>
        </w:rPr>
        <w:t>the</w:t>
      </w:r>
      <w:r>
        <w:rPr>
          <w:spacing w:val="-3"/>
          <w:position w:val="1"/>
        </w:rPr>
        <w:t xml:space="preserve"> </w:t>
      </w:r>
      <w:r>
        <w:rPr>
          <w:position w:val="1"/>
        </w:rPr>
        <w:t>data</w:t>
      </w:r>
      <w:r>
        <w:rPr>
          <w:spacing w:val="-3"/>
          <w:position w:val="1"/>
        </w:rPr>
        <w:t xml:space="preserve"> </w:t>
      </w:r>
      <w:r>
        <w:rPr>
          <w:position w:val="1"/>
        </w:rPr>
        <w:t>in</w:t>
      </w:r>
      <w:r>
        <w:rPr>
          <w:spacing w:val="-4"/>
          <w:position w:val="1"/>
        </w:rPr>
        <w:t xml:space="preserve"> </w:t>
      </w:r>
      <w:r>
        <w:rPr>
          <w:position w:val="1"/>
        </w:rPr>
        <w:t>the</w:t>
      </w:r>
      <w:r>
        <w:rPr>
          <w:spacing w:val="-1"/>
          <w:position w:val="1"/>
        </w:rPr>
        <w:t xml:space="preserve"> </w:t>
      </w:r>
      <w:r>
        <w:rPr>
          <w:position w:val="1"/>
        </w:rPr>
        <w:t>cost</w:t>
      </w:r>
      <w:r>
        <w:rPr>
          <w:spacing w:val="-7"/>
          <w:position w:val="1"/>
        </w:rPr>
        <w:t xml:space="preserve"> </w:t>
      </w:r>
      <w:r>
        <w:rPr>
          <w:position w:val="1"/>
        </w:rPr>
        <w:t xml:space="preserve">sheets </w:t>
      </w:r>
      <w:r>
        <w:t>was drawn from its accounting system, and that there was a reasonable and conventional avenue</w:t>
      </w:r>
      <w:r>
        <w:rPr>
          <w:spacing w:val="-4"/>
        </w:rPr>
        <w:t xml:space="preserve"> </w:t>
      </w:r>
      <w:r>
        <w:t>available</w:t>
      </w:r>
      <w:r>
        <w:rPr>
          <w:spacing w:val="-7"/>
        </w:rPr>
        <w:t xml:space="preserve"> </w:t>
      </w:r>
      <w:r>
        <w:t>to</w:t>
      </w:r>
      <w:r>
        <w:rPr>
          <w:spacing w:val="-5"/>
        </w:rPr>
        <w:t xml:space="preserve"> </w:t>
      </w:r>
      <w:r>
        <w:t>MOFCOM</w:t>
      </w:r>
      <w:r>
        <w:rPr>
          <w:spacing w:val="-7"/>
        </w:rPr>
        <w:t xml:space="preserve"> </w:t>
      </w:r>
      <w:r>
        <w:t>to</w:t>
      </w:r>
      <w:r>
        <w:rPr>
          <w:spacing w:val="-5"/>
        </w:rPr>
        <w:t xml:space="preserve"> </w:t>
      </w:r>
      <w:r>
        <w:t>verify</w:t>
      </w:r>
      <w:r>
        <w:rPr>
          <w:spacing w:val="-6"/>
        </w:rPr>
        <w:t xml:space="preserve"> </w:t>
      </w:r>
      <w:r>
        <w:t>the</w:t>
      </w:r>
      <w:r>
        <w:rPr>
          <w:spacing w:val="-4"/>
        </w:rPr>
        <w:t xml:space="preserve"> </w:t>
      </w:r>
      <w:r>
        <w:t>data,</w:t>
      </w:r>
      <w:r>
        <w:rPr>
          <w:spacing w:val="-1"/>
        </w:rPr>
        <w:t xml:space="preserve"> </w:t>
      </w:r>
      <w:r>
        <w:t>namely</w:t>
      </w:r>
      <w:r>
        <w:rPr>
          <w:spacing w:val="-2"/>
        </w:rPr>
        <w:t xml:space="preserve"> </w:t>
      </w:r>
      <w:r>
        <w:t>by</w:t>
      </w:r>
      <w:r>
        <w:rPr>
          <w:spacing w:val="-6"/>
        </w:rPr>
        <w:t xml:space="preserve"> </w:t>
      </w:r>
      <w:r>
        <w:t>direct</w:t>
      </w:r>
      <w:r>
        <w:rPr>
          <w:spacing w:val="-3"/>
        </w:rPr>
        <w:t xml:space="preserve"> </w:t>
      </w:r>
      <w:r>
        <w:t>reference</w:t>
      </w:r>
      <w:r>
        <w:rPr>
          <w:spacing w:val="-3"/>
        </w:rPr>
        <w:t xml:space="preserve"> </w:t>
      </w:r>
      <w:r>
        <w:t>to</w:t>
      </w:r>
      <w:r>
        <w:rPr>
          <w:spacing w:val="-5"/>
        </w:rPr>
        <w:t xml:space="preserve"> </w:t>
      </w:r>
      <w:r>
        <w:t>Casella</w:t>
      </w:r>
      <w:r>
        <w:rPr>
          <w:spacing w:val="-8"/>
        </w:rPr>
        <w:t xml:space="preserve"> </w:t>
      </w:r>
      <w:r>
        <w:t>Wines' accounting</w:t>
      </w:r>
      <w:r>
        <w:rPr>
          <w:spacing w:val="-2"/>
        </w:rPr>
        <w:t xml:space="preserve"> </w:t>
      </w:r>
      <w:r>
        <w:t>system.</w:t>
      </w:r>
      <w:r>
        <w:rPr>
          <w:spacing w:val="-2"/>
        </w:rPr>
        <w:t xml:space="preserve"> </w:t>
      </w:r>
      <w:r>
        <w:t>Indeed,</w:t>
      </w:r>
      <w:r>
        <w:rPr>
          <w:spacing w:val="-2"/>
        </w:rPr>
        <w:t xml:space="preserve"> </w:t>
      </w:r>
      <w:r>
        <w:t>China</w:t>
      </w:r>
      <w:r>
        <w:rPr>
          <w:spacing w:val="-4"/>
        </w:rPr>
        <w:t xml:space="preserve"> </w:t>
      </w:r>
      <w:r>
        <w:t>acknowledges</w:t>
      </w:r>
      <w:r>
        <w:rPr>
          <w:spacing w:val="-2"/>
        </w:rPr>
        <w:t xml:space="preserve"> </w:t>
      </w:r>
      <w:r>
        <w:t>that</w:t>
      </w:r>
      <w:r>
        <w:rPr>
          <w:spacing w:val="-3"/>
        </w:rPr>
        <w:t xml:space="preserve"> </w:t>
      </w:r>
      <w:r>
        <w:t>this</w:t>
      </w:r>
      <w:r>
        <w:rPr>
          <w:spacing w:val="-2"/>
        </w:rPr>
        <w:t xml:space="preserve"> </w:t>
      </w:r>
      <w:r>
        <w:t>may</w:t>
      </w:r>
      <w:r>
        <w:rPr>
          <w:spacing w:val="-2"/>
        </w:rPr>
        <w:t xml:space="preserve"> </w:t>
      </w:r>
      <w:r>
        <w:t>have</w:t>
      </w:r>
      <w:r>
        <w:rPr>
          <w:spacing w:val="-3"/>
        </w:rPr>
        <w:t xml:space="preserve"> </w:t>
      </w:r>
      <w:r>
        <w:t>been</w:t>
      </w:r>
      <w:r>
        <w:rPr>
          <w:spacing w:val="-5"/>
        </w:rPr>
        <w:t xml:space="preserve"> </w:t>
      </w:r>
      <w:r>
        <w:t>possible,</w:t>
      </w:r>
      <w:r>
        <w:rPr>
          <w:spacing w:val="-1"/>
        </w:rPr>
        <w:t xml:space="preserve"> </w:t>
      </w:r>
      <w:r>
        <w:t>conceding that the data was in fact verifiable within the meaning of paragraph 3 of Annex II.</w:t>
      </w:r>
    </w:p>
    <w:p w14:paraId="01A3B0C6" w14:textId="24C95FD1" w:rsidR="00BD462C" w:rsidRDefault="00033D0F" w:rsidP="00D86B81">
      <w:pPr>
        <w:pStyle w:val="BodyText"/>
        <w:numPr>
          <w:ilvl w:val="0"/>
          <w:numId w:val="69"/>
        </w:numPr>
        <w:spacing w:before="57" w:line="357" w:lineRule="auto"/>
        <w:ind w:right="913" w:hanging="638"/>
        <w:jc w:val="both"/>
      </w:pPr>
      <w:r>
        <w:rPr>
          <w:position w:val="1"/>
        </w:rPr>
        <w:t>For</w:t>
      </w:r>
      <w:r>
        <w:rPr>
          <w:spacing w:val="-10"/>
          <w:position w:val="1"/>
        </w:rPr>
        <w:t xml:space="preserve"> </w:t>
      </w:r>
      <w:r>
        <w:rPr>
          <w:position w:val="1"/>
        </w:rPr>
        <w:t>these</w:t>
      </w:r>
      <w:r>
        <w:rPr>
          <w:spacing w:val="-8"/>
          <w:position w:val="1"/>
        </w:rPr>
        <w:t xml:space="preserve"> </w:t>
      </w:r>
      <w:r>
        <w:rPr>
          <w:position w:val="1"/>
        </w:rPr>
        <w:t>reasons,</w:t>
      </w:r>
      <w:r>
        <w:rPr>
          <w:spacing w:val="-6"/>
          <w:position w:val="1"/>
        </w:rPr>
        <w:t xml:space="preserve"> </w:t>
      </w:r>
      <w:r>
        <w:rPr>
          <w:position w:val="1"/>
        </w:rPr>
        <w:t>China</w:t>
      </w:r>
      <w:r>
        <w:rPr>
          <w:spacing w:val="-9"/>
          <w:position w:val="1"/>
        </w:rPr>
        <w:t xml:space="preserve"> </w:t>
      </w:r>
      <w:r>
        <w:rPr>
          <w:position w:val="1"/>
        </w:rPr>
        <w:t>has</w:t>
      </w:r>
      <w:r>
        <w:rPr>
          <w:spacing w:val="-7"/>
          <w:position w:val="1"/>
        </w:rPr>
        <w:t xml:space="preserve"> </w:t>
      </w:r>
      <w:r>
        <w:rPr>
          <w:position w:val="1"/>
        </w:rPr>
        <w:t>failed</w:t>
      </w:r>
      <w:r>
        <w:rPr>
          <w:spacing w:val="-10"/>
          <w:position w:val="1"/>
        </w:rPr>
        <w:t xml:space="preserve"> </w:t>
      </w:r>
      <w:r>
        <w:rPr>
          <w:position w:val="1"/>
        </w:rPr>
        <w:t>to</w:t>
      </w:r>
      <w:r>
        <w:rPr>
          <w:spacing w:val="-10"/>
          <w:position w:val="1"/>
        </w:rPr>
        <w:t xml:space="preserve"> </w:t>
      </w:r>
      <w:r>
        <w:rPr>
          <w:position w:val="1"/>
        </w:rPr>
        <w:t>rebut</w:t>
      </w:r>
      <w:r>
        <w:rPr>
          <w:spacing w:val="-8"/>
          <w:position w:val="1"/>
        </w:rPr>
        <w:t xml:space="preserve"> </w:t>
      </w:r>
      <w:r>
        <w:rPr>
          <w:position w:val="1"/>
        </w:rPr>
        <w:t>Australia's</w:t>
      </w:r>
      <w:r>
        <w:rPr>
          <w:spacing w:val="-7"/>
          <w:position w:val="1"/>
        </w:rPr>
        <w:t xml:space="preserve"> </w:t>
      </w:r>
      <w:r>
        <w:rPr>
          <w:position w:val="1"/>
        </w:rPr>
        <w:t>arguments</w:t>
      </w:r>
      <w:r>
        <w:rPr>
          <w:spacing w:val="-7"/>
          <w:position w:val="1"/>
        </w:rPr>
        <w:t xml:space="preserve"> </w:t>
      </w:r>
      <w:r>
        <w:rPr>
          <w:position w:val="1"/>
        </w:rPr>
        <w:t>that</w:t>
      </w:r>
      <w:r>
        <w:rPr>
          <w:spacing w:val="-11"/>
          <w:position w:val="1"/>
        </w:rPr>
        <w:t xml:space="preserve"> </w:t>
      </w:r>
      <w:r>
        <w:rPr>
          <w:position w:val="1"/>
        </w:rPr>
        <w:t>MOFCOM</w:t>
      </w:r>
      <w:r>
        <w:rPr>
          <w:spacing w:val="-8"/>
          <w:position w:val="1"/>
        </w:rPr>
        <w:t xml:space="preserve"> </w:t>
      </w:r>
      <w:r>
        <w:rPr>
          <w:position w:val="1"/>
        </w:rPr>
        <w:t xml:space="preserve">had </w:t>
      </w:r>
      <w:r>
        <w:t>no</w:t>
      </w:r>
      <w:r>
        <w:rPr>
          <w:spacing w:val="-11"/>
        </w:rPr>
        <w:t xml:space="preserve"> </w:t>
      </w:r>
      <w:r>
        <w:t>basis</w:t>
      </w:r>
      <w:r>
        <w:rPr>
          <w:spacing w:val="-7"/>
        </w:rPr>
        <w:t xml:space="preserve"> </w:t>
      </w:r>
      <w:r>
        <w:t>to</w:t>
      </w:r>
      <w:r>
        <w:rPr>
          <w:spacing w:val="-10"/>
        </w:rPr>
        <w:t xml:space="preserve"> </w:t>
      </w:r>
      <w:r>
        <w:t>reject</w:t>
      </w:r>
      <w:r>
        <w:rPr>
          <w:spacing w:val="-8"/>
        </w:rPr>
        <w:t xml:space="preserve"> </w:t>
      </w:r>
      <w:r>
        <w:t>the</w:t>
      </w:r>
      <w:r>
        <w:rPr>
          <w:spacing w:val="-8"/>
        </w:rPr>
        <w:t xml:space="preserve"> </w:t>
      </w:r>
      <w:r>
        <w:t>data</w:t>
      </w:r>
      <w:r>
        <w:rPr>
          <w:spacing w:val="-9"/>
        </w:rPr>
        <w:t xml:space="preserve"> </w:t>
      </w:r>
      <w:r>
        <w:t>provided</w:t>
      </w:r>
      <w:r>
        <w:rPr>
          <w:spacing w:val="-10"/>
        </w:rPr>
        <w:t xml:space="preserve"> </w:t>
      </w:r>
      <w:r>
        <w:t>by</w:t>
      </w:r>
      <w:r>
        <w:rPr>
          <w:spacing w:val="-7"/>
        </w:rPr>
        <w:t xml:space="preserve"> </w:t>
      </w:r>
      <w:r>
        <w:t>Casella</w:t>
      </w:r>
      <w:r>
        <w:rPr>
          <w:spacing w:val="-9"/>
        </w:rPr>
        <w:t xml:space="preserve"> </w:t>
      </w:r>
      <w:r>
        <w:t>Wines</w:t>
      </w:r>
      <w:r>
        <w:rPr>
          <w:spacing w:val="-7"/>
        </w:rPr>
        <w:t xml:space="preserve"> </w:t>
      </w:r>
      <w:r>
        <w:t>in</w:t>
      </w:r>
      <w:r>
        <w:rPr>
          <w:spacing w:val="-10"/>
        </w:rPr>
        <w:t xml:space="preserve"> </w:t>
      </w:r>
      <w:r>
        <w:t>Form</w:t>
      </w:r>
      <w:r>
        <w:rPr>
          <w:spacing w:val="-8"/>
        </w:rPr>
        <w:t xml:space="preserve"> </w:t>
      </w:r>
      <w:r>
        <w:t>6-3</w:t>
      </w:r>
      <w:r>
        <w:rPr>
          <w:spacing w:val="-10"/>
        </w:rPr>
        <w:t xml:space="preserve"> </w:t>
      </w:r>
      <w:r>
        <w:t>and</w:t>
      </w:r>
      <w:r>
        <w:rPr>
          <w:spacing w:val="-10"/>
        </w:rPr>
        <w:t xml:space="preserve"> </w:t>
      </w:r>
      <w:r>
        <w:t>instead</w:t>
      </w:r>
      <w:r>
        <w:rPr>
          <w:spacing w:val="-10"/>
        </w:rPr>
        <w:t xml:space="preserve"> </w:t>
      </w:r>
      <w:r>
        <w:t>to</w:t>
      </w:r>
      <w:r>
        <w:rPr>
          <w:spacing w:val="-11"/>
        </w:rPr>
        <w:t xml:space="preserve"> </w:t>
      </w:r>
      <w:r>
        <w:t>resort</w:t>
      </w:r>
      <w:r>
        <w:rPr>
          <w:spacing w:val="-8"/>
        </w:rPr>
        <w:t xml:space="preserve"> </w:t>
      </w:r>
      <w:r>
        <w:t>to</w:t>
      </w:r>
      <w:r>
        <w:rPr>
          <w:spacing w:val="-11"/>
        </w:rPr>
        <w:t xml:space="preserve"> </w:t>
      </w:r>
      <w:r>
        <w:t xml:space="preserve">facts </w:t>
      </w:r>
      <w:r>
        <w:rPr>
          <w:spacing w:val="-2"/>
        </w:rPr>
        <w:t>available.</w:t>
      </w:r>
    </w:p>
    <w:p w14:paraId="7FC152EC" w14:textId="77777777" w:rsidR="00BD462C" w:rsidRDefault="00033D0F">
      <w:pPr>
        <w:pStyle w:val="ListParagraph"/>
        <w:numPr>
          <w:ilvl w:val="1"/>
          <w:numId w:val="35"/>
        </w:numPr>
        <w:tabs>
          <w:tab w:val="left" w:pos="3539"/>
          <w:tab w:val="left" w:pos="3540"/>
        </w:tabs>
        <w:spacing w:before="164"/>
        <w:ind w:hanging="851"/>
        <w:jc w:val="both"/>
        <w:rPr>
          <w:sz w:val="24"/>
        </w:rPr>
      </w:pPr>
      <w:bookmarkStart w:id="507" w:name="(c)_Form_6-4"/>
      <w:bookmarkEnd w:id="507"/>
      <w:r>
        <w:rPr>
          <w:sz w:val="24"/>
          <w:u w:val="single"/>
        </w:rPr>
        <w:t>Form</w:t>
      </w:r>
      <w:r>
        <w:rPr>
          <w:spacing w:val="-8"/>
          <w:sz w:val="24"/>
          <w:u w:val="single"/>
        </w:rPr>
        <w:t xml:space="preserve"> </w:t>
      </w:r>
      <w:r>
        <w:rPr>
          <w:sz w:val="24"/>
          <w:u w:val="single"/>
        </w:rPr>
        <w:t>6-</w:t>
      </w:r>
      <w:r>
        <w:rPr>
          <w:spacing w:val="-10"/>
          <w:sz w:val="24"/>
          <w:u w:val="single"/>
        </w:rPr>
        <w:t>4</w:t>
      </w:r>
    </w:p>
    <w:p w14:paraId="36973460" w14:textId="77777777" w:rsidR="00BD462C" w:rsidRDefault="00BD462C">
      <w:pPr>
        <w:pStyle w:val="BodyText"/>
        <w:spacing w:before="11"/>
        <w:rPr>
          <w:sz w:val="20"/>
        </w:rPr>
      </w:pPr>
    </w:p>
    <w:p w14:paraId="61C12A01" w14:textId="77777777" w:rsidR="00BD462C" w:rsidRDefault="00033D0F">
      <w:pPr>
        <w:pStyle w:val="ListParagraph"/>
        <w:numPr>
          <w:ilvl w:val="2"/>
          <w:numId w:val="35"/>
        </w:numPr>
        <w:tabs>
          <w:tab w:val="left" w:pos="4388"/>
          <w:tab w:val="left" w:pos="4389"/>
        </w:tabs>
        <w:spacing w:before="52"/>
        <w:rPr>
          <w:i/>
          <w:sz w:val="24"/>
        </w:rPr>
      </w:pPr>
      <w:bookmarkStart w:id="508" w:name="i._Costs_for_bulk_wine"/>
      <w:bookmarkEnd w:id="508"/>
      <w:r>
        <w:rPr>
          <w:i/>
          <w:sz w:val="24"/>
        </w:rPr>
        <w:t>Costs</w:t>
      </w:r>
      <w:r>
        <w:rPr>
          <w:i/>
          <w:spacing w:val="-6"/>
          <w:sz w:val="24"/>
        </w:rPr>
        <w:t xml:space="preserve"> </w:t>
      </w:r>
      <w:r>
        <w:rPr>
          <w:i/>
          <w:sz w:val="24"/>
        </w:rPr>
        <w:t>for</w:t>
      </w:r>
      <w:r>
        <w:rPr>
          <w:i/>
          <w:spacing w:val="-3"/>
          <w:sz w:val="24"/>
        </w:rPr>
        <w:t xml:space="preserve"> </w:t>
      </w:r>
      <w:r>
        <w:rPr>
          <w:i/>
          <w:sz w:val="24"/>
        </w:rPr>
        <w:t xml:space="preserve">bulk </w:t>
      </w:r>
      <w:r>
        <w:rPr>
          <w:i/>
          <w:spacing w:val="-4"/>
          <w:sz w:val="24"/>
        </w:rPr>
        <w:t>wine</w:t>
      </w:r>
    </w:p>
    <w:p w14:paraId="4A754E1E" w14:textId="77777777" w:rsidR="00BD462C" w:rsidRDefault="00BD462C">
      <w:pPr>
        <w:pStyle w:val="BodyText"/>
        <w:spacing w:before="11"/>
        <w:rPr>
          <w:i/>
          <w:sz w:val="20"/>
        </w:rPr>
      </w:pPr>
    </w:p>
    <w:p w14:paraId="444DB051" w14:textId="10F3E522" w:rsidR="00BD462C" w:rsidRDefault="00033D0F" w:rsidP="00D86B81">
      <w:pPr>
        <w:pStyle w:val="BodyText"/>
        <w:numPr>
          <w:ilvl w:val="0"/>
          <w:numId w:val="69"/>
        </w:numPr>
        <w:spacing w:before="56" w:line="360" w:lineRule="auto"/>
        <w:ind w:right="910" w:hanging="638"/>
        <w:jc w:val="both"/>
      </w:pPr>
      <w:r>
        <w:rPr>
          <w:position w:val="1"/>
        </w:rPr>
        <w:t xml:space="preserve">China has sought to dismiss Australia's claims concerning MOFCOM's erroneous </w:t>
      </w:r>
      <w:r>
        <w:t>finding</w:t>
      </w:r>
      <w:r>
        <w:rPr>
          <w:spacing w:val="37"/>
        </w:rPr>
        <w:t xml:space="preserve"> </w:t>
      </w:r>
      <w:r>
        <w:t>that it was</w:t>
      </w:r>
      <w:r>
        <w:rPr>
          <w:spacing w:val="37"/>
        </w:rPr>
        <w:t xml:space="preserve"> </w:t>
      </w:r>
      <w:r>
        <w:t>permitted to have recourse</w:t>
      </w:r>
      <w:r>
        <w:rPr>
          <w:spacing w:val="40"/>
        </w:rPr>
        <w:t xml:space="preserve"> </w:t>
      </w:r>
      <w:r>
        <w:t>to facts</w:t>
      </w:r>
      <w:r>
        <w:rPr>
          <w:spacing w:val="37"/>
        </w:rPr>
        <w:t xml:space="preserve"> </w:t>
      </w:r>
      <w:r>
        <w:t xml:space="preserve">available under Article 6.8 of the Anti-Dumping Agreement on the basis that the costs for bulk wine were not provided by </w:t>
      </w:r>
      <w:r>
        <w:rPr>
          <w:spacing w:val="-2"/>
        </w:rPr>
        <w:t>Casella</w:t>
      </w:r>
      <w:r>
        <w:rPr>
          <w:spacing w:val="-12"/>
        </w:rPr>
        <w:t xml:space="preserve"> </w:t>
      </w:r>
      <w:r>
        <w:rPr>
          <w:spacing w:val="-2"/>
        </w:rPr>
        <w:t>Wines</w:t>
      </w:r>
      <w:r>
        <w:rPr>
          <w:spacing w:val="-9"/>
        </w:rPr>
        <w:t xml:space="preserve"> </w:t>
      </w:r>
      <w:r>
        <w:rPr>
          <w:spacing w:val="-2"/>
        </w:rPr>
        <w:t>in</w:t>
      </w:r>
      <w:r>
        <w:rPr>
          <w:spacing w:val="-9"/>
        </w:rPr>
        <w:t xml:space="preserve"> </w:t>
      </w:r>
      <w:r>
        <w:rPr>
          <w:spacing w:val="-2"/>
        </w:rPr>
        <w:t>Form</w:t>
      </w:r>
      <w:r>
        <w:rPr>
          <w:spacing w:val="-6"/>
        </w:rPr>
        <w:t xml:space="preserve"> </w:t>
      </w:r>
      <w:r>
        <w:rPr>
          <w:spacing w:val="-2"/>
        </w:rPr>
        <w:t>6-4,</w:t>
      </w:r>
      <w:r>
        <w:rPr>
          <w:spacing w:val="-4"/>
        </w:rPr>
        <w:t xml:space="preserve"> </w:t>
      </w:r>
      <w:r>
        <w:rPr>
          <w:spacing w:val="-2"/>
        </w:rPr>
        <w:t>and</w:t>
      </w:r>
      <w:r>
        <w:rPr>
          <w:spacing w:val="-3"/>
        </w:rPr>
        <w:t xml:space="preserve"> </w:t>
      </w:r>
      <w:r>
        <w:rPr>
          <w:spacing w:val="-2"/>
        </w:rPr>
        <w:t>that</w:t>
      </w:r>
      <w:r>
        <w:rPr>
          <w:spacing w:val="-5"/>
        </w:rPr>
        <w:t xml:space="preserve"> </w:t>
      </w:r>
      <w:r>
        <w:rPr>
          <w:spacing w:val="-2"/>
        </w:rPr>
        <w:t>this</w:t>
      </w:r>
      <w:r>
        <w:rPr>
          <w:spacing w:val="-4"/>
        </w:rPr>
        <w:t xml:space="preserve"> </w:t>
      </w:r>
      <w:r>
        <w:rPr>
          <w:spacing w:val="-2"/>
        </w:rPr>
        <w:t>was</w:t>
      </w:r>
      <w:r>
        <w:rPr>
          <w:spacing w:val="-4"/>
        </w:rPr>
        <w:t xml:space="preserve"> </w:t>
      </w:r>
      <w:r>
        <w:rPr>
          <w:spacing w:val="-2"/>
        </w:rPr>
        <w:t>necessary</w:t>
      </w:r>
      <w:r>
        <w:rPr>
          <w:spacing w:val="-5"/>
        </w:rPr>
        <w:t xml:space="preserve"> </w:t>
      </w:r>
      <w:r>
        <w:rPr>
          <w:spacing w:val="-2"/>
        </w:rPr>
        <w:t>information.</w:t>
      </w:r>
      <w:r>
        <w:rPr>
          <w:spacing w:val="-12"/>
        </w:rPr>
        <w:t xml:space="preserve"> </w:t>
      </w:r>
      <w:hyperlink w:anchor="_bookmark443" w:history="1">
        <w:r>
          <w:rPr>
            <w:spacing w:val="-2"/>
            <w:vertAlign w:val="superscript"/>
          </w:rPr>
          <w:t>360</w:t>
        </w:r>
      </w:hyperlink>
      <w:r>
        <w:rPr>
          <w:spacing w:val="-5"/>
        </w:rPr>
        <w:t xml:space="preserve"> </w:t>
      </w:r>
      <w:r>
        <w:rPr>
          <w:spacing w:val="-2"/>
        </w:rPr>
        <w:t>China</w:t>
      </w:r>
      <w:r>
        <w:rPr>
          <w:spacing w:val="-6"/>
        </w:rPr>
        <w:t xml:space="preserve"> </w:t>
      </w:r>
      <w:r>
        <w:rPr>
          <w:spacing w:val="-2"/>
        </w:rPr>
        <w:t>argues</w:t>
      </w:r>
      <w:r>
        <w:rPr>
          <w:spacing w:val="-4"/>
        </w:rPr>
        <w:t xml:space="preserve"> </w:t>
      </w:r>
      <w:r>
        <w:rPr>
          <w:spacing w:val="-2"/>
        </w:rPr>
        <w:t>that,</w:t>
      </w:r>
      <w:r>
        <w:rPr>
          <w:spacing w:val="-4"/>
        </w:rPr>
        <w:t xml:space="preserve"> </w:t>
      </w:r>
      <w:r>
        <w:rPr>
          <w:spacing w:val="-2"/>
        </w:rPr>
        <w:t xml:space="preserve">while </w:t>
      </w:r>
      <w:r>
        <w:t>MOFCOM queried the absence of bulk wine cost data from Form 6-4 initially, it was satisfied with</w:t>
      </w:r>
      <w:r>
        <w:rPr>
          <w:spacing w:val="-14"/>
        </w:rPr>
        <w:t xml:space="preserve"> </w:t>
      </w:r>
      <w:r>
        <w:t>the</w:t>
      </w:r>
      <w:r>
        <w:rPr>
          <w:spacing w:val="-14"/>
        </w:rPr>
        <w:t xml:space="preserve"> </w:t>
      </w:r>
      <w:r>
        <w:t>explanation</w:t>
      </w:r>
      <w:r>
        <w:rPr>
          <w:spacing w:val="-13"/>
        </w:rPr>
        <w:t xml:space="preserve"> </w:t>
      </w:r>
      <w:r>
        <w:t>Casella</w:t>
      </w:r>
      <w:r>
        <w:rPr>
          <w:spacing w:val="-14"/>
        </w:rPr>
        <w:t xml:space="preserve"> </w:t>
      </w:r>
      <w:r>
        <w:t>Wines</w:t>
      </w:r>
      <w:r>
        <w:rPr>
          <w:spacing w:val="-11"/>
        </w:rPr>
        <w:t xml:space="preserve"> </w:t>
      </w:r>
      <w:r>
        <w:t>provided</w:t>
      </w:r>
      <w:r>
        <w:rPr>
          <w:spacing w:val="-14"/>
        </w:rPr>
        <w:t xml:space="preserve"> </w:t>
      </w:r>
      <w:r>
        <w:t>and</w:t>
      </w:r>
      <w:r>
        <w:rPr>
          <w:spacing w:val="-13"/>
        </w:rPr>
        <w:t xml:space="preserve"> </w:t>
      </w:r>
      <w:r>
        <w:t>ceased</w:t>
      </w:r>
      <w:r>
        <w:rPr>
          <w:spacing w:val="-14"/>
        </w:rPr>
        <w:t xml:space="preserve"> </w:t>
      </w:r>
      <w:r>
        <w:t>to</w:t>
      </w:r>
      <w:r>
        <w:rPr>
          <w:spacing w:val="-13"/>
        </w:rPr>
        <w:t xml:space="preserve"> </w:t>
      </w:r>
      <w:r>
        <w:t>pursue</w:t>
      </w:r>
      <w:r>
        <w:rPr>
          <w:spacing w:val="-12"/>
        </w:rPr>
        <w:t xml:space="preserve"> </w:t>
      </w:r>
      <w:r>
        <w:t>the</w:t>
      </w:r>
      <w:r>
        <w:rPr>
          <w:spacing w:val="-12"/>
        </w:rPr>
        <w:t xml:space="preserve"> </w:t>
      </w:r>
      <w:r>
        <w:t>issue.</w:t>
      </w:r>
      <w:r>
        <w:rPr>
          <w:spacing w:val="-11"/>
        </w:rPr>
        <w:t xml:space="preserve"> </w:t>
      </w:r>
      <w:r>
        <w:t>However,</w:t>
      </w:r>
      <w:r>
        <w:rPr>
          <w:spacing w:val="-10"/>
        </w:rPr>
        <w:t xml:space="preserve"> </w:t>
      </w:r>
      <w:r>
        <w:t>China's explanation</w:t>
      </w:r>
      <w:r>
        <w:rPr>
          <w:spacing w:val="-6"/>
        </w:rPr>
        <w:t xml:space="preserve"> </w:t>
      </w:r>
      <w:r>
        <w:t>is</w:t>
      </w:r>
      <w:r>
        <w:rPr>
          <w:spacing w:val="-3"/>
        </w:rPr>
        <w:t xml:space="preserve"> </w:t>
      </w:r>
      <w:r>
        <w:t>not</w:t>
      </w:r>
      <w:r>
        <w:rPr>
          <w:spacing w:val="-4"/>
        </w:rPr>
        <w:t xml:space="preserve"> </w:t>
      </w:r>
      <w:r>
        <w:t>only</w:t>
      </w:r>
      <w:r>
        <w:rPr>
          <w:spacing w:val="-3"/>
        </w:rPr>
        <w:t xml:space="preserve"> </w:t>
      </w:r>
      <w:r>
        <w:rPr>
          <w:i/>
        </w:rPr>
        <w:t>ex</w:t>
      </w:r>
      <w:r>
        <w:rPr>
          <w:i/>
          <w:spacing w:val="-3"/>
        </w:rPr>
        <w:t xml:space="preserve"> </w:t>
      </w:r>
      <w:r>
        <w:rPr>
          <w:i/>
        </w:rPr>
        <w:t>post</w:t>
      </w:r>
      <w:r>
        <w:rPr>
          <w:i/>
          <w:spacing w:val="-4"/>
        </w:rPr>
        <w:t xml:space="preserve"> </w:t>
      </w:r>
      <w:r>
        <w:rPr>
          <w:i/>
        </w:rPr>
        <w:t>facto</w:t>
      </w:r>
      <w:r>
        <w:t>,</w:t>
      </w:r>
      <w:r>
        <w:rPr>
          <w:spacing w:val="-2"/>
        </w:rPr>
        <w:t xml:space="preserve"> </w:t>
      </w:r>
      <w:r>
        <w:t>it</w:t>
      </w:r>
      <w:r>
        <w:rPr>
          <w:spacing w:val="-4"/>
        </w:rPr>
        <w:t xml:space="preserve"> </w:t>
      </w:r>
      <w:r>
        <w:t>is</w:t>
      </w:r>
      <w:r>
        <w:rPr>
          <w:spacing w:val="-3"/>
        </w:rPr>
        <w:t xml:space="preserve"> </w:t>
      </w:r>
      <w:r>
        <w:t>inconsistent</w:t>
      </w:r>
      <w:r>
        <w:rPr>
          <w:spacing w:val="-4"/>
        </w:rPr>
        <w:t xml:space="preserve"> </w:t>
      </w:r>
      <w:r>
        <w:t>with</w:t>
      </w:r>
      <w:r>
        <w:rPr>
          <w:spacing w:val="-6"/>
        </w:rPr>
        <w:t xml:space="preserve"> </w:t>
      </w:r>
      <w:r>
        <w:t>MOFCOM's</w:t>
      </w:r>
      <w:r>
        <w:rPr>
          <w:spacing w:val="-3"/>
        </w:rPr>
        <w:t xml:space="preserve"> </w:t>
      </w:r>
      <w:r>
        <w:t>Final</w:t>
      </w:r>
      <w:r>
        <w:rPr>
          <w:spacing w:val="-2"/>
        </w:rPr>
        <w:t xml:space="preserve"> </w:t>
      </w:r>
      <w:r>
        <w:t>Determination</w:t>
      </w:r>
      <w:r>
        <w:rPr>
          <w:spacing w:val="-6"/>
        </w:rPr>
        <w:t xml:space="preserve"> </w:t>
      </w:r>
      <w:r>
        <w:t>in which it indicated that Casella Wines had "failed to fill in the costs for bulk wine" in Form 6-4.</w:t>
      </w:r>
      <w:r>
        <w:rPr>
          <w:spacing w:val="-14"/>
        </w:rPr>
        <w:t xml:space="preserve"> </w:t>
      </w:r>
      <w:hyperlink w:anchor="_bookmark444" w:history="1">
        <w:r>
          <w:rPr>
            <w:position w:val="8"/>
            <w:sz w:val="16"/>
          </w:rPr>
          <w:t>361</w:t>
        </w:r>
      </w:hyperlink>
      <w:r>
        <w:rPr>
          <w:spacing w:val="17"/>
          <w:position w:val="8"/>
          <w:sz w:val="16"/>
        </w:rPr>
        <w:t xml:space="preserve"> </w:t>
      </w:r>
      <w:r>
        <w:t>Nowhere in the Final Determination did MOFCOM state that it no longer pressed this issue, in fact it stated the opposite.</w:t>
      </w:r>
    </w:p>
    <w:p w14:paraId="7371F6DA" w14:textId="77777777" w:rsidR="00BD462C" w:rsidRDefault="00BD462C">
      <w:pPr>
        <w:pStyle w:val="BodyText"/>
        <w:rPr>
          <w:sz w:val="20"/>
        </w:rPr>
      </w:pPr>
    </w:p>
    <w:p w14:paraId="76180AD1" w14:textId="77777777" w:rsidR="00BD462C" w:rsidRDefault="00BD462C">
      <w:pPr>
        <w:pStyle w:val="BodyText"/>
        <w:rPr>
          <w:sz w:val="20"/>
        </w:rPr>
      </w:pPr>
    </w:p>
    <w:p w14:paraId="1363FD6C" w14:textId="77777777" w:rsidR="00BD462C" w:rsidRDefault="00BD462C">
      <w:pPr>
        <w:pStyle w:val="BodyText"/>
        <w:rPr>
          <w:sz w:val="20"/>
        </w:rPr>
      </w:pPr>
    </w:p>
    <w:p w14:paraId="7DFDD7B2" w14:textId="77777777" w:rsidR="00BD462C" w:rsidRDefault="00BD462C">
      <w:pPr>
        <w:pStyle w:val="BodyText"/>
        <w:rPr>
          <w:sz w:val="20"/>
        </w:rPr>
      </w:pPr>
    </w:p>
    <w:p w14:paraId="0E48C21A" w14:textId="5B05F020" w:rsidR="00BD462C" w:rsidRDefault="00D70C7D">
      <w:pPr>
        <w:pStyle w:val="BodyText"/>
        <w:spacing w:before="6"/>
        <w:rPr>
          <w:sz w:val="10"/>
        </w:rPr>
      </w:pPr>
      <w:r>
        <w:rPr>
          <w:noProof/>
        </w:rPr>
        <mc:AlternateContent>
          <mc:Choice Requires="wps">
            <w:drawing>
              <wp:anchor distT="0" distB="0" distL="0" distR="0" simplePos="0" relativeHeight="487698432" behindDoc="1" locked="0" layoutInCell="1" allowOverlap="1" wp14:anchorId="5B94B6DE" wp14:editId="72D799B9">
                <wp:simplePos x="0" y="0"/>
                <wp:positionH relativeFrom="page">
                  <wp:posOffset>899160</wp:posOffset>
                </wp:positionH>
                <wp:positionV relativeFrom="paragraph">
                  <wp:posOffset>97155</wp:posOffset>
                </wp:positionV>
                <wp:extent cx="1828800" cy="8890"/>
                <wp:effectExtent l="0" t="0" r="0" b="0"/>
                <wp:wrapTopAndBottom/>
                <wp:docPr id="956" name="docshape2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09CC60" id="docshape238" o:spid="_x0000_s1026" alt="&quot;&quot;" style="position:absolute;margin-left:70.8pt;margin-top:7.65pt;width:2in;height:.7pt;z-index:-15618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" fillcolor="black" stroked="f">
                <w10:wrap type="topAndBottom" anchorx="page"/>
              </v:rect>
            </w:pict>
          </mc:Fallback>
        </mc:AlternateContent>
      </w:r>
    </w:p>
    <w:p w14:paraId="184B0B6E" w14:textId="77777777" w:rsidR="00BD462C" w:rsidRDefault="00033D0F">
      <w:pPr>
        <w:spacing w:before="112"/>
        <w:ind w:left="135"/>
        <w:rPr>
          <w:sz w:val="18"/>
        </w:rPr>
      </w:pPr>
      <w:bookmarkStart w:id="509" w:name="_bookmark442"/>
      <w:bookmarkEnd w:id="509"/>
      <w:r>
        <w:rPr>
          <w:position w:val="5"/>
          <w:sz w:val="12"/>
        </w:rPr>
        <w:t>359</w:t>
      </w:r>
      <w:r>
        <w:rPr>
          <w:spacing w:val="13"/>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 xml:space="preserve">para. </w:t>
      </w:r>
      <w:r>
        <w:rPr>
          <w:spacing w:val="-4"/>
          <w:sz w:val="18"/>
        </w:rPr>
        <w:t>630.</w:t>
      </w:r>
    </w:p>
    <w:p w14:paraId="12024658" w14:textId="77777777" w:rsidR="00BD462C" w:rsidRDefault="00033D0F">
      <w:pPr>
        <w:spacing w:before="1"/>
        <w:ind w:left="135"/>
        <w:rPr>
          <w:sz w:val="18"/>
        </w:rPr>
      </w:pPr>
      <w:bookmarkStart w:id="510" w:name="_bookmark443"/>
      <w:bookmarkEnd w:id="510"/>
      <w:r>
        <w:rPr>
          <w:position w:val="5"/>
          <w:sz w:val="12"/>
        </w:rPr>
        <w:t>360</w:t>
      </w:r>
      <w:r>
        <w:rPr>
          <w:spacing w:val="13"/>
          <w:position w:val="5"/>
          <w:sz w:val="12"/>
        </w:rPr>
        <w:t xml:space="preserve"> </w:t>
      </w:r>
      <w:r>
        <w:rPr>
          <w:sz w:val="18"/>
        </w:rPr>
        <w:t>China's</w:t>
      </w:r>
      <w:r>
        <w:rPr>
          <w:spacing w:val="-6"/>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paras.</w:t>
      </w:r>
      <w:r>
        <w:rPr>
          <w:spacing w:val="-5"/>
          <w:sz w:val="18"/>
        </w:rPr>
        <w:t xml:space="preserve"> </w:t>
      </w:r>
      <w:r>
        <w:rPr>
          <w:sz w:val="18"/>
        </w:rPr>
        <w:t>633-</w:t>
      </w:r>
      <w:r>
        <w:rPr>
          <w:spacing w:val="-4"/>
          <w:sz w:val="18"/>
        </w:rPr>
        <w:t>636.</w:t>
      </w:r>
    </w:p>
    <w:p w14:paraId="7C51471A" w14:textId="77777777" w:rsidR="00BD462C" w:rsidRDefault="00033D0F">
      <w:pPr>
        <w:spacing w:before="1"/>
        <w:ind w:left="135"/>
        <w:rPr>
          <w:sz w:val="18"/>
        </w:rPr>
      </w:pPr>
      <w:bookmarkStart w:id="511" w:name="_bookmark444"/>
      <w:bookmarkEnd w:id="511"/>
      <w:r>
        <w:rPr>
          <w:position w:val="5"/>
          <w:sz w:val="12"/>
        </w:rPr>
        <w:t>361</w:t>
      </w:r>
      <w:r>
        <w:rPr>
          <w:spacing w:val="12"/>
          <w:position w:val="5"/>
          <w:sz w:val="12"/>
        </w:rPr>
        <w:t xml:space="preserve"> </w:t>
      </w:r>
      <w:r>
        <w:rPr>
          <w:sz w:val="18"/>
        </w:rPr>
        <w:t>Anti-Dumping</w:t>
      </w:r>
      <w:r>
        <w:rPr>
          <w:spacing w:val="-6"/>
          <w:sz w:val="18"/>
        </w:rPr>
        <w:t xml:space="preserve"> </w:t>
      </w:r>
      <w:r>
        <w:rPr>
          <w:sz w:val="18"/>
        </w:rPr>
        <w:t>Final</w:t>
      </w:r>
      <w:r>
        <w:rPr>
          <w:spacing w:val="-1"/>
          <w:sz w:val="18"/>
        </w:rPr>
        <w:t xml:space="preserve"> </w:t>
      </w:r>
      <w:r>
        <w:rPr>
          <w:sz w:val="18"/>
        </w:rPr>
        <w:t>Determination</w:t>
      </w:r>
      <w:r>
        <w:rPr>
          <w:spacing w:val="-6"/>
          <w:sz w:val="18"/>
        </w:rPr>
        <w:t xml:space="preserve"> </w:t>
      </w:r>
      <w:r>
        <w:rPr>
          <w:sz w:val="18"/>
        </w:rPr>
        <w:t>(Exhibit</w:t>
      </w:r>
      <w:r>
        <w:rPr>
          <w:spacing w:val="-1"/>
          <w:sz w:val="18"/>
        </w:rPr>
        <w:t xml:space="preserve"> </w:t>
      </w:r>
      <w:r>
        <w:rPr>
          <w:sz w:val="18"/>
        </w:rPr>
        <w:t>AUS-2),</w:t>
      </w:r>
      <w:r>
        <w:rPr>
          <w:spacing w:val="-4"/>
          <w:sz w:val="18"/>
        </w:rPr>
        <w:t xml:space="preserve"> </w:t>
      </w:r>
      <w:r>
        <w:rPr>
          <w:sz w:val="18"/>
        </w:rPr>
        <w:t>p.</w:t>
      </w:r>
      <w:r>
        <w:rPr>
          <w:spacing w:val="-5"/>
          <w:sz w:val="18"/>
        </w:rPr>
        <w:t xml:space="preserve"> 81.</w:t>
      </w:r>
    </w:p>
    <w:p w14:paraId="5521A5EF" w14:textId="77777777" w:rsidR="00BD462C" w:rsidRDefault="00BD462C">
      <w:pPr>
        <w:rPr>
          <w:sz w:val="18"/>
        </w:rPr>
        <w:sectPr w:rsidR="00BD462C">
          <w:pgSz w:w="11910" w:h="16840"/>
          <w:pgMar w:top="860" w:right="500" w:bottom="780" w:left="1280" w:header="566" w:footer="590" w:gutter="0"/>
          <w:cols w:space="720"/>
        </w:sectPr>
      </w:pPr>
    </w:p>
    <w:p w14:paraId="06E79479"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7D37A6D7"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5B0891D8"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72D00287" w14:textId="5AF330D0" w:rsidR="00BD462C" w:rsidRDefault="00033D0F" w:rsidP="00D86B81">
      <w:pPr>
        <w:pStyle w:val="BodyText"/>
        <w:numPr>
          <w:ilvl w:val="0"/>
          <w:numId w:val="69"/>
        </w:numPr>
        <w:spacing w:before="107" w:line="357" w:lineRule="auto"/>
        <w:ind w:right="915" w:hanging="638"/>
        <w:jc w:val="both"/>
      </w:pPr>
      <w:r>
        <w:rPr>
          <w:position w:val="1"/>
        </w:rPr>
        <w:t>It</w:t>
      </w:r>
      <w:r>
        <w:rPr>
          <w:spacing w:val="-6"/>
          <w:position w:val="1"/>
        </w:rPr>
        <w:t xml:space="preserve"> </w:t>
      </w:r>
      <w:r>
        <w:rPr>
          <w:position w:val="1"/>
        </w:rPr>
        <w:t>is</w:t>
      </w:r>
      <w:r>
        <w:rPr>
          <w:spacing w:val="-5"/>
          <w:position w:val="1"/>
        </w:rPr>
        <w:t xml:space="preserve"> </w:t>
      </w:r>
      <w:r>
        <w:rPr>
          <w:position w:val="1"/>
        </w:rPr>
        <w:t>clear</w:t>
      </w:r>
      <w:r>
        <w:rPr>
          <w:spacing w:val="-9"/>
          <w:position w:val="1"/>
        </w:rPr>
        <w:t xml:space="preserve"> </w:t>
      </w:r>
      <w:r>
        <w:rPr>
          <w:position w:val="1"/>
        </w:rPr>
        <w:t>from</w:t>
      </w:r>
      <w:r>
        <w:rPr>
          <w:spacing w:val="-6"/>
          <w:position w:val="1"/>
        </w:rPr>
        <w:t xml:space="preserve"> </w:t>
      </w:r>
      <w:r>
        <w:rPr>
          <w:position w:val="1"/>
        </w:rPr>
        <w:t>MOFCOM's</w:t>
      </w:r>
      <w:r>
        <w:rPr>
          <w:spacing w:val="-5"/>
          <w:position w:val="1"/>
        </w:rPr>
        <w:t xml:space="preserve"> </w:t>
      </w:r>
      <w:r>
        <w:rPr>
          <w:position w:val="1"/>
        </w:rPr>
        <w:t>own</w:t>
      </w:r>
      <w:r>
        <w:rPr>
          <w:spacing w:val="-8"/>
          <w:position w:val="1"/>
        </w:rPr>
        <w:t xml:space="preserve"> </w:t>
      </w:r>
      <w:r>
        <w:rPr>
          <w:position w:val="1"/>
        </w:rPr>
        <w:t>explanation</w:t>
      </w:r>
      <w:r>
        <w:rPr>
          <w:spacing w:val="-8"/>
          <w:position w:val="1"/>
        </w:rPr>
        <w:t xml:space="preserve"> </w:t>
      </w:r>
      <w:r>
        <w:rPr>
          <w:position w:val="1"/>
        </w:rPr>
        <w:t>that</w:t>
      </w:r>
      <w:r>
        <w:rPr>
          <w:spacing w:val="-6"/>
          <w:position w:val="1"/>
        </w:rPr>
        <w:t xml:space="preserve"> </w:t>
      </w:r>
      <w:r>
        <w:rPr>
          <w:position w:val="1"/>
        </w:rPr>
        <w:t>it</w:t>
      </w:r>
      <w:r>
        <w:rPr>
          <w:spacing w:val="-6"/>
          <w:position w:val="1"/>
        </w:rPr>
        <w:t xml:space="preserve"> </w:t>
      </w:r>
      <w:r>
        <w:rPr>
          <w:position w:val="1"/>
        </w:rPr>
        <w:t>erroneously</w:t>
      </w:r>
      <w:r>
        <w:rPr>
          <w:spacing w:val="-5"/>
          <w:position w:val="1"/>
        </w:rPr>
        <w:t xml:space="preserve"> </w:t>
      </w:r>
      <w:r>
        <w:rPr>
          <w:position w:val="1"/>
        </w:rPr>
        <w:t>relied</w:t>
      </w:r>
      <w:r>
        <w:rPr>
          <w:spacing w:val="-8"/>
          <w:position w:val="1"/>
        </w:rPr>
        <w:t xml:space="preserve"> </w:t>
      </w:r>
      <w:r>
        <w:rPr>
          <w:position w:val="1"/>
        </w:rPr>
        <w:t>on</w:t>
      </w:r>
      <w:r>
        <w:rPr>
          <w:spacing w:val="-8"/>
          <w:position w:val="1"/>
        </w:rPr>
        <w:t xml:space="preserve"> </w:t>
      </w:r>
      <w:r>
        <w:rPr>
          <w:position w:val="1"/>
        </w:rPr>
        <w:t>the</w:t>
      </w:r>
      <w:r>
        <w:rPr>
          <w:spacing w:val="-6"/>
          <w:position w:val="1"/>
        </w:rPr>
        <w:t xml:space="preserve"> </w:t>
      </w:r>
      <w:r>
        <w:rPr>
          <w:position w:val="1"/>
        </w:rPr>
        <w:t xml:space="preserve">absence </w:t>
      </w:r>
      <w:r>
        <w:t>of bulk wine costs to justify its improper recourse to facts available contrary to China's obligations</w:t>
      </w:r>
      <w:r>
        <w:rPr>
          <w:spacing w:val="-14"/>
        </w:rPr>
        <w:t xml:space="preserve"> </w:t>
      </w:r>
      <w:r>
        <w:t>under</w:t>
      </w:r>
      <w:r>
        <w:rPr>
          <w:spacing w:val="-14"/>
        </w:rPr>
        <w:t xml:space="preserve"> </w:t>
      </w:r>
      <w:r>
        <w:t>Article</w:t>
      </w:r>
      <w:r>
        <w:rPr>
          <w:spacing w:val="-13"/>
        </w:rPr>
        <w:t xml:space="preserve"> </w:t>
      </w:r>
      <w:r>
        <w:t>6.8.</w:t>
      </w:r>
      <w:r>
        <w:rPr>
          <w:spacing w:val="-14"/>
        </w:rPr>
        <w:t xml:space="preserve"> </w:t>
      </w:r>
      <w:r>
        <w:t>Accordingly,</w:t>
      </w:r>
      <w:r>
        <w:rPr>
          <w:spacing w:val="-13"/>
        </w:rPr>
        <w:t xml:space="preserve"> </w:t>
      </w:r>
      <w:r>
        <w:t>Australia</w:t>
      </w:r>
      <w:r>
        <w:rPr>
          <w:spacing w:val="-14"/>
        </w:rPr>
        <w:t xml:space="preserve"> </w:t>
      </w:r>
      <w:r>
        <w:t>maintains</w:t>
      </w:r>
      <w:r>
        <w:rPr>
          <w:spacing w:val="-13"/>
        </w:rPr>
        <w:t xml:space="preserve"> </w:t>
      </w:r>
      <w:r>
        <w:t>its</w:t>
      </w:r>
      <w:r>
        <w:rPr>
          <w:spacing w:val="-13"/>
        </w:rPr>
        <w:t xml:space="preserve"> </w:t>
      </w:r>
      <w:r>
        <w:t>claim</w:t>
      </w:r>
      <w:r>
        <w:rPr>
          <w:spacing w:val="-14"/>
        </w:rPr>
        <w:t xml:space="preserve"> </w:t>
      </w:r>
      <w:r>
        <w:t>in</w:t>
      </w:r>
      <w:r>
        <w:rPr>
          <w:spacing w:val="-13"/>
        </w:rPr>
        <w:t xml:space="preserve"> </w:t>
      </w:r>
      <w:r>
        <w:t>this</w:t>
      </w:r>
      <w:r>
        <w:rPr>
          <w:spacing w:val="-12"/>
        </w:rPr>
        <w:t xml:space="preserve"> </w:t>
      </w:r>
      <w:r>
        <w:t>regard</w:t>
      </w:r>
      <w:r>
        <w:rPr>
          <w:spacing w:val="-14"/>
        </w:rPr>
        <w:t xml:space="preserve"> </w:t>
      </w:r>
      <w:r>
        <w:t>and</w:t>
      </w:r>
      <w:r>
        <w:rPr>
          <w:spacing w:val="-13"/>
        </w:rPr>
        <w:t xml:space="preserve"> </w:t>
      </w:r>
      <w:r>
        <w:t>notes that China has, so far, not engaged with the substance of that claim.</w:t>
      </w:r>
    </w:p>
    <w:p w14:paraId="30FDE6EF" w14:textId="77777777" w:rsidR="00BD462C" w:rsidRDefault="00033D0F">
      <w:pPr>
        <w:pStyle w:val="ListParagraph"/>
        <w:numPr>
          <w:ilvl w:val="2"/>
          <w:numId w:val="35"/>
        </w:numPr>
        <w:tabs>
          <w:tab w:val="left" w:pos="4388"/>
          <w:tab w:val="left" w:pos="4389"/>
        </w:tabs>
        <w:spacing w:before="164"/>
        <w:jc w:val="both"/>
        <w:rPr>
          <w:i/>
          <w:sz w:val="24"/>
        </w:rPr>
      </w:pPr>
      <w:bookmarkStart w:id="512" w:name="ii._The_use_of_product_control_code_mark"/>
      <w:bookmarkStart w:id="513" w:name="_bookmark445"/>
      <w:bookmarkEnd w:id="512"/>
      <w:bookmarkEnd w:id="513"/>
      <w:r>
        <w:rPr>
          <w:i/>
          <w:sz w:val="24"/>
        </w:rPr>
        <w:t>The</w:t>
      </w:r>
      <w:r>
        <w:rPr>
          <w:i/>
          <w:spacing w:val="-3"/>
          <w:sz w:val="24"/>
        </w:rPr>
        <w:t xml:space="preserve"> </w:t>
      </w:r>
      <w:r>
        <w:rPr>
          <w:i/>
          <w:sz w:val="24"/>
        </w:rPr>
        <w:t>use</w:t>
      </w:r>
      <w:r>
        <w:rPr>
          <w:i/>
          <w:spacing w:val="-2"/>
          <w:sz w:val="24"/>
        </w:rPr>
        <w:t xml:space="preserve"> </w:t>
      </w:r>
      <w:r>
        <w:rPr>
          <w:i/>
          <w:sz w:val="24"/>
        </w:rPr>
        <w:t>of</w:t>
      </w:r>
      <w:r>
        <w:rPr>
          <w:i/>
          <w:spacing w:val="-4"/>
          <w:sz w:val="24"/>
        </w:rPr>
        <w:t xml:space="preserve"> </w:t>
      </w:r>
      <w:r>
        <w:rPr>
          <w:i/>
          <w:sz w:val="24"/>
        </w:rPr>
        <w:t>product</w:t>
      </w:r>
      <w:r>
        <w:rPr>
          <w:i/>
          <w:spacing w:val="-1"/>
          <w:sz w:val="24"/>
        </w:rPr>
        <w:t xml:space="preserve"> </w:t>
      </w:r>
      <w:r>
        <w:rPr>
          <w:i/>
          <w:sz w:val="24"/>
        </w:rPr>
        <w:t>control code</w:t>
      </w:r>
      <w:r>
        <w:rPr>
          <w:i/>
          <w:spacing w:val="-3"/>
          <w:sz w:val="24"/>
        </w:rPr>
        <w:t xml:space="preserve"> </w:t>
      </w:r>
      <w:r>
        <w:rPr>
          <w:i/>
          <w:sz w:val="24"/>
        </w:rPr>
        <w:t>marker</w:t>
      </w:r>
      <w:r>
        <w:rPr>
          <w:i/>
          <w:spacing w:val="-3"/>
          <w:sz w:val="24"/>
        </w:rPr>
        <w:t xml:space="preserve"> </w:t>
      </w:r>
      <w:r>
        <w:rPr>
          <w:i/>
          <w:spacing w:val="-2"/>
          <w:sz w:val="24"/>
        </w:rPr>
        <w:t>"#N/A"</w:t>
      </w:r>
    </w:p>
    <w:p w14:paraId="17913C43" w14:textId="77777777" w:rsidR="00BD462C" w:rsidRDefault="00BD462C">
      <w:pPr>
        <w:pStyle w:val="BodyText"/>
        <w:spacing w:before="12"/>
        <w:rPr>
          <w:i/>
          <w:sz w:val="20"/>
        </w:rPr>
      </w:pPr>
    </w:p>
    <w:p w14:paraId="39C19D39" w14:textId="35620570" w:rsidR="00BD462C" w:rsidRDefault="00033D0F" w:rsidP="00D86B81">
      <w:pPr>
        <w:pStyle w:val="BodyText"/>
        <w:numPr>
          <w:ilvl w:val="0"/>
          <w:numId w:val="69"/>
        </w:numPr>
        <w:spacing w:before="56" w:line="360" w:lineRule="auto"/>
        <w:ind w:right="914" w:hanging="638"/>
        <w:jc w:val="both"/>
      </w:pPr>
      <w:r>
        <w:rPr>
          <w:position w:val="1"/>
        </w:rPr>
        <w:t>China</w:t>
      </w:r>
      <w:r>
        <w:rPr>
          <w:spacing w:val="-14"/>
          <w:position w:val="1"/>
        </w:rPr>
        <w:t xml:space="preserve"> </w:t>
      </w:r>
      <w:r>
        <w:rPr>
          <w:position w:val="1"/>
        </w:rPr>
        <w:t>has</w:t>
      </w:r>
      <w:r>
        <w:rPr>
          <w:spacing w:val="-14"/>
          <w:position w:val="1"/>
        </w:rPr>
        <w:t xml:space="preserve"> </w:t>
      </w:r>
      <w:r>
        <w:rPr>
          <w:position w:val="1"/>
        </w:rPr>
        <w:t>asserted</w:t>
      </w:r>
      <w:r>
        <w:rPr>
          <w:spacing w:val="-13"/>
          <w:position w:val="1"/>
        </w:rPr>
        <w:t xml:space="preserve"> </w:t>
      </w:r>
      <w:r>
        <w:rPr>
          <w:position w:val="1"/>
        </w:rPr>
        <w:t>that</w:t>
      </w:r>
      <w:r>
        <w:rPr>
          <w:spacing w:val="-14"/>
          <w:position w:val="1"/>
        </w:rPr>
        <w:t xml:space="preserve"> </w:t>
      </w:r>
      <w:r>
        <w:rPr>
          <w:position w:val="1"/>
        </w:rPr>
        <w:t>Casella</w:t>
      </w:r>
      <w:r>
        <w:rPr>
          <w:spacing w:val="-13"/>
          <w:position w:val="1"/>
        </w:rPr>
        <w:t xml:space="preserve"> </w:t>
      </w:r>
      <w:r>
        <w:rPr>
          <w:position w:val="1"/>
        </w:rPr>
        <w:t>Wines'</w:t>
      </w:r>
      <w:r>
        <w:rPr>
          <w:spacing w:val="-14"/>
          <w:position w:val="1"/>
        </w:rPr>
        <w:t xml:space="preserve"> </w:t>
      </w:r>
      <w:r>
        <w:rPr>
          <w:position w:val="1"/>
        </w:rPr>
        <w:t>use</w:t>
      </w:r>
      <w:r>
        <w:rPr>
          <w:spacing w:val="-13"/>
          <w:position w:val="1"/>
        </w:rPr>
        <w:t xml:space="preserve"> </w:t>
      </w:r>
      <w:r>
        <w:rPr>
          <w:position w:val="1"/>
        </w:rPr>
        <w:t>of</w:t>
      </w:r>
      <w:r>
        <w:rPr>
          <w:spacing w:val="-14"/>
          <w:position w:val="1"/>
        </w:rPr>
        <w:t xml:space="preserve"> </w:t>
      </w:r>
      <w:r>
        <w:rPr>
          <w:position w:val="1"/>
        </w:rPr>
        <w:t>the</w:t>
      </w:r>
      <w:r>
        <w:rPr>
          <w:spacing w:val="-14"/>
          <w:position w:val="1"/>
        </w:rPr>
        <w:t xml:space="preserve"> </w:t>
      </w:r>
      <w:r>
        <w:rPr>
          <w:position w:val="1"/>
        </w:rPr>
        <w:t>product</w:t>
      </w:r>
      <w:r>
        <w:rPr>
          <w:spacing w:val="-9"/>
          <w:position w:val="1"/>
        </w:rPr>
        <w:t xml:space="preserve"> </w:t>
      </w:r>
      <w:r>
        <w:rPr>
          <w:position w:val="1"/>
        </w:rPr>
        <w:t>control</w:t>
      </w:r>
      <w:r>
        <w:rPr>
          <w:spacing w:val="-9"/>
          <w:position w:val="1"/>
        </w:rPr>
        <w:t xml:space="preserve"> </w:t>
      </w:r>
      <w:r>
        <w:rPr>
          <w:position w:val="1"/>
        </w:rPr>
        <w:t>code</w:t>
      </w:r>
      <w:r>
        <w:rPr>
          <w:spacing w:val="-11"/>
          <w:position w:val="1"/>
        </w:rPr>
        <w:t xml:space="preserve"> </w:t>
      </w:r>
      <w:r>
        <w:rPr>
          <w:position w:val="1"/>
        </w:rPr>
        <w:t>marker</w:t>
      </w:r>
      <w:r>
        <w:rPr>
          <w:spacing w:val="-14"/>
          <w:position w:val="1"/>
        </w:rPr>
        <w:t xml:space="preserve"> </w:t>
      </w:r>
      <w:r>
        <w:rPr>
          <w:position w:val="1"/>
        </w:rPr>
        <w:t xml:space="preserve">"#N/A" </w:t>
      </w:r>
      <w:r>
        <w:t>was</w:t>
      </w:r>
      <w:r>
        <w:rPr>
          <w:spacing w:val="-6"/>
        </w:rPr>
        <w:t xml:space="preserve"> </w:t>
      </w:r>
      <w:r>
        <w:t>"ultimately</w:t>
      </w:r>
      <w:r>
        <w:rPr>
          <w:spacing w:val="-6"/>
        </w:rPr>
        <w:t xml:space="preserve"> </w:t>
      </w:r>
      <w:r>
        <w:t>not</w:t>
      </w:r>
      <w:r>
        <w:rPr>
          <w:spacing w:val="-7"/>
        </w:rPr>
        <w:t xml:space="preserve"> </w:t>
      </w:r>
      <w:r>
        <w:t>one</w:t>
      </w:r>
      <w:r>
        <w:rPr>
          <w:spacing w:val="-3"/>
        </w:rPr>
        <w:t xml:space="preserve"> </w:t>
      </w:r>
      <w:r>
        <w:t>of</w:t>
      </w:r>
      <w:r>
        <w:rPr>
          <w:spacing w:val="-9"/>
        </w:rPr>
        <w:t xml:space="preserve"> </w:t>
      </w:r>
      <w:r>
        <w:t>the</w:t>
      </w:r>
      <w:r>
        <w:rPr>
          <w:spacing w:val="-3"/>
        </w:rPr>
        <w:t xml:space="preserve"> </w:t>
      </w:r>
      <w:r>
        <w:t>reasons</w:t>
      </w:r>
      <w:r>
        <w:rPr>
          <w:spacing w:val="-6"/>
        </w:rPr>
        <w:t xml:space="preserve"> </w:t>
      </w:r>
      <w:r>
        <w:t>–</w:t>
      </w:r>
      <w:r>
        <w:rPr>
          <w:spacing w:val="-7"/>
        </w:rPr>
        <w:t xml:space="preserve"> </w:t>
      </w:r>
      <w:r>
        <w:t>let</w:t>
      </w:r>
      <w:r>
        <w:rPr>
          <w:spacing w:val="-7"/>
        </w:rPr>
        <w:t xml:space="preserve"> </w:t>
      </w:r>
      <w:r>
        <w:t>alone a</w:t>
      </w:r>
      <w:r>
        <w:rPr>
          <w:spacing w:val="-8"/>
        </w:rPr>
        <w:t xml:space="preserve"> </w:t>
      </w:r>
      <w:r>
        <w:t>(or</w:t>
      </w:r>
      <w:r>
        <w:rPr>
          <w:spacing w:val="-5"/>
        </w:rPr>
        <w:t xml:space="preserve"> </w:t>
      </w:r>
      <w:r>
        <w:t>the)</w:t>
      </w:r>
      <w:r>
        <w:rPr>
          <w:spacing w:val="-4"/>
        </w:rPr>
        <w:t xml:space="preserve"> </w:t>
      </w:r>
      <w:r>
        <w:t>main</w:t>
      </w:r>
      <w:r>
        <w:rPr>
          <w:spacing w:val="-9"/>
        </w:rPr>
        <w:t xml:space="preserve"> </w:t>
      </w:r>
      <w:r>
        <w:t>reason</w:t>
      </w:r>
      <w:r>
        <w:rPr>
          <w:spacing w:val="-4"/>
        </w:rPr>
        <w:t xml:space="preserve"> </w:t>
      </w:r>
      <w:r>
        <w:t>–</w:t>
      </w:r>
      <w:r>
        <w:rPr>
          <w:spacing w:val="-8"/>
        </w:rPr>
        <w:t xml:space="preserve"> </w:t>
      </w:r>
      <w:r>
        <w:t>for</w:t>
      </w:r>
      <w:r>
        <w:rPr>
          <w:spacing w:val="-5"/>
        </w:rPr>
        <w:t xml:space="preserve"> </w:t>
      </w:r>
      <w:r>
        <w:t>the</w:t>
      </w:r>
      <w:r>
        <w:rPr>
          <w:spacing w:val="-2"/>
        </w:rPr>
        <w:t xml:space="preserve"> </w:t>
      </w:r>
      <w:r>
        <w:t>recourse</w:t>
      </w:r>
      <w:r>
        <w:rPr>
          <w:spacing w:val="-7"/>
        </w:rPr>
        <w:t xml:space="preserve"> </w:t>
      </w:r>
      <w:r>
        <w:t>to the facts available".</w:t>
      </w:r>
      <w:hyperlink w:anchor="_bookmark446" w:history="1">
        <w:r>
          <w:rPr>
            <w:vertAlign w:val="superscript"/>
          </w:rPr>
          <w:t>362</w:t>
        </w:r>
      </w:hyperlink>
      <w:r>
        <w:t xml:space="preserve"> In its response to Panel question No. 2(h), China further argued that this issue "was not explicitly mentioned in the Final Disclosure or the Final Determination because</w:t>
      </w:r>
      <w:r>
        <w:rPr>
          <w:spacing w:val="-2"/>
        </w:rPr>
        <w:t xml:space="preserve"> </w:t>
      </w:r>
      <w:r>
        <w:t>Casella</w:t>
      </w:r>
      <w:r>
        <w:rPr>
          <w:spacing w:val="-3"/>
        </w:rPr>
        <w:t xml:space="preserve"> </w:t>
      </w:r>
      <w:r>
        <w:t>Wines</w:t>
      </w:r>
      <w:r>
        <w:rPr>
          <w:spacing w:val="-1"/>
        </w:rPr>
        <w:t xml:space="preserve"> </w:t>
      </w:r>
      <w:r>
        <w:t>had</w:t>
      </w:r>
      <w:r>
        <w:rPr>
          <w:spacing w:val="-4"/>
        </w:rPr>
        <w:t xml:space="preserve"> </w:t>
      </w:r>
      <w:r>
        <w:t>explained</w:t>
      </w:r>
      <w:r>
        <w:rPr>
          <w:spacing w:val="-4"/>
        </w:rPr>
        <w:t xml:space="preserve"> </w:t>
      </w:r>
      <w:r>
        <w:t>that</w:t>
      </w:r>
      <w:r>
        <w:rPr>
          <w:spacing w:val="-2"/>
        </w:rPr>
        <w:t xml:space="preserve"> </w:t>
      </w:r>
      <w:r>
        <w:t>these</w:t>
      </w:r>
      <w:r>
        <w:rPr>
          <w:spacing w:val="-2"/>
        </w:rPr>
        <w:t xml:space="preserve"> </w:t>
      </w:r>
      <w:r>
        <w:t>#N/A</w:t>
      </w:r>
      <w:r>
        <w:rPr>
          <w:spacing w:val="-3"/>
        </w:rPr>
        <w:t xml:space="preserve"> </w:t>
      </w:r>
      <w:r>
        <w:t>product</w:t>
      </w:r>
      <w:r>
        <w:rPr>
          <w:spacing w:val="-2"/>
        </w:rPr>
        <w:t xml:space="preserve"> </w:t>
      </w:r>
      <w:r>
        <w:t>codes related</w:t>
      </w:r>
      <w:r>
        <w:rPr>
          <w:spacing w:val="-4"/>
        </w:rPr>
        <w:t xml:space="preserve"> </w:t>
      </w:r>
      <w:r>
        <w:t>to</w:t>
      </w:r>
      <w:r>
        <w:rPr>
          <w:spacing w:val="-5"/>
        </w:rPr>
        <w:t xml:space="preserve"> </w:t>
      </w:r>
      <w:r>
        <w:t>products</w:t>
      </w:r>
      <w:r>
        <w:rPr>
          <w:spacing w:val="-1"/>
        </w:rPr>
        <w:t xml:space="preserve"> </w:t>
      </w:r>
      <w:r>
        <w:t>that were</w:t>
      </w:r>
      <w:r>
        <w:rPr>
          <w:spacing w:val="-14"/>
        </w:rPr>
        <w:t xml:space="preserve"> </w:t>
      </w:r>
      <w:r>
        <w:t>not</w:t>
      </w:r>
      <w:r>
        <w:rPr>
          <w:spacing w:val="-14"/>
        </w:rPr>
        <w:t xml:space="preserve"> </w:t>
      </w:r>
      <w:r>
        <w:t>sold</w:t>
      </w:r>
      <w:r>
        <w:rPr>
          <w:spacing w:val="-10"/>
        </w:rPr>
        <w:t xml:space="preserve"> </w:t>
      </w:r>
      <w:r>
        <w:t>during</w:t>
      </w:r>
      <w:r>
        <w:rPr>
          <w:spacing w:val="-6"/>
        </w:rPr>
        <w:t xml:space="preserve"> </w:t>
      </w:r>
      <w:r>
        <w:t>the</w:t>
      </w:r>
      <w:r>
        <w:rPr>
          <w:spacing w:val="-3"/>
        </w:rPr>
        <w:t xml:space="preserve"> </w:t>
      </w:r>
      <w:r>
        <w:t>investigation".</w:t>
      </w:r>
      <w:r>
        <w:rPr>
          <w:spacing w:val="-14"/>
        </w:rPr>
        <w:t xml:space="preserve"> </w:t>
      </w:r>
      <w:hyperlink w:anchor="_bookmark447" w:history="1">
        <w:r>
          <w:rPr>
            <w:vertAlign w:val="superscript"/>
          </w:rPr>
          <w:t>363</w:t>
        </w:r>
      </w:hyperlink>
      <w:r>
        <w:rPr>
          <w:spacing w:val="-6"/>
        </w:rPr>
        <w:t xml:space="preserve"> </w:t>
      </w:r>
      <w:r>
        <w:t>This</w:t>
      </w:r>
      <w:r>
        <w:rPr>
          <w:spacing w:val="-6"/>
        </w:rPr>
        <w:t xml:space="preserve"> </w:t>
      </w:r>
      <w:r>
        <w:t>is</w:t>
      </w:r>
      <w:r>
        <w:rPr>
          <w:spacing w:val="-6"/>
        </w:rPr>
        <w:t xml:space="preserve"> </w:t>
      </w:r>
      <w:r>
        <w:t>a</w:t>
      </w:r>
      <w:r>
        <w:rPr>
          <w:spacing w:val="-3"/>
        </w:rPr>
        <w:t xml:space="preserve"> </w:t>
      </w:r>
      <w:r>
        <w:t>misrepresentation</w:t>
      </w:r>
      <w:r>
        <w:rPr>
          <w:spacing w:val="-9"/>
        </w:rPr>
        <w:t xml:space="preserve"> </w:t>
      </w:r>
      <w:r>
        <w:t>of</w:t>
      </w:r>
      <w:r>
        <w:rPr>
          <w:spacing w:val="-4"/>
        </w:rPr>
        <w:t xml:space="preserve"> </w:t>
      </w:r>
      <w:r>
        <w:t>MOFCOM's</w:t>
      </w:r>
      <w:r>
        <w:rPr>
          <w:spacing w:val="-6"/>
        </w:rPr>
        <w:t xml:space="preserve"> </w:t>
      </w:r>
      <w:r>
        <w:t>findings. Contrary</w:t>
      </w:r>
      <w:r>
        <w:rPr>
          <w:spacing w:val="-5"/>
        </w:rPr>
        <w:t xml:space="preserve"> </w:t>
      </w:r>
      <w:r>
        <w:t>to</w:t>
      </w:r>
      <w:r>
        <w:rPr>
          <w:spacing w:val="-5"/>
        </w:rPr>
        <w:t xml:space="preserve"> </w:t>
      </w:r>
      <w:r>
        <w:t>China's</w:t>
      </w:r>
      <w:r>
        <w:rPr>
          <w:spacing w:val="-5"/>
        </w:rPr>
        <w:t xml:space="preserve"> </w:t>
      </w:r>
      <w:r>
        <w:t>argument,</w:t>
      </w:r>
      <w:r>
        <w:rPr>
          <w:spacing w:val="-5"/>
        </w:rPr>
        <w:t xml:space="preserve"> </w:t>
      </w:r>
      <w:r>
        <w:t>in</w:t>
      </w:r>
      <w:r>
        <w:rPr>
          <w:spacing w:val="-8"/>
        </w:rPr>
        <w:t xml:space="preserve"> </w:t>
      </w:r>
      <w:r>
        <w:t>its</w:t>
      </w:r>
      <w:r>
        <w:rPr>
          <w:spacing w:val="-6"/>
        </w:rPr>
        <w:t xml:space="preserve"> </w:t>
      </w:r>
      <w:r>
        <w:t>Final</w:t>
      </w:r>
      <w:r>
        <w:rPr>
          <w:spacing w:val="-4"/>
        </w:rPr>
        <w:t xml:space="preserve"> </w:t>
      </w:r>
      <w:r>
        <w:t>Determination,</w:t>
      </w:r>
      <w:r>
        <w:rPr>
          <w:spacing w:val="-5"/>
        </w:rPr>
        <w:t xml:space="preserve"> </w:t>
      </w:r>
      <w:r>
        <w:t>MOFCOM</w:t>
      </w:r>
      <w:r>
        <w:rPr>
          <w:spacing w:val="-6"/>
        </w:rPr>
        <w:t xml:space="preserve"> </w:t>
      </w:r>
      <w:r>
        <w:t>referred</w:t>
      </w:r>
      <w:r>
        <w:rPr>
          <w:spacing w:val="-9"/>
        </w:rPr>
        <w:t xml:space="preserve"> </w:t>
      </w:r>
      <w:r>
        <w:t>to</w:t>
      </w:r>
      <w:r>
        <w:rPr>
          <w:spacing w:val="-4"/>
        </w:rPr>
        <w:t xml:space="preserve"> </w:t>
      </w:r>
      <w:r>
        <w:t>Casella</w:t>
      </w:r>
      <w:r>
        <w:rPr>
          <w:spacing w:val="-8"/>
        </w:rPr>
        <w:t xml:space="preserve"> </w:t>
      </w:r>
      <w:r>
        <w:t>Wines' explanation,</w:t>
      </w:r>
      <w:r>
        <w:rPr>
          <w:spacing w:val="-14"/>
        </w:rPr>
        <w:t xml:space="preserve"> </w:t>
      </w:r>
      <w:r>
        <w:t>but</w:t>
      </w:r>
      <w:r>
        <w:rPr>
          <w:spacing w:val="-14"/>
        </w:rPr>
        <w:t xml:space="preserve"> </w:t>
      </w:r>
      <w:r>
        <w:t>did</w:t>
      </w:r>
      <w:r>
        <w:rPr>
          <w:spacing w:val="-13"/>
        </w:rPr>
        <w:t xml:space="preserve"> </w:t>
      </w:r>
      <w:r>
        <w:t>not</w:t>
      </w:r>
      <w:r>
        <w:rPr>
          <w:spacing w:val="-14"/>
        </w:rPr>
        <w:t xml:space="preserve"> </w:t>
      </w:r>
      <w:r>
        <w:t>accept</w:t>
      </w:r>
      <w:r>
        <w:rPr>
          <w:spacing w:val="-13"/>
        </w:rPr>
        <w:t xml:space="preserve"> </w:t>
      </w:r>
      <w:r>
        <w:t>it.</w:t>
      </w:r>
      <w:r>
        <w:rPr>
          <w:spacing w:val="-14"/>
        </w:rPr>
        <w:t xml:space="preserve"> </w:t>
      </w:r>
      <w:hyperlink w:anchor="_bookmark448" w:history="1">
        <w:r>
          <w:rPr>
            <w:vertAlign w:val="superscript"/>
          </w:rPr>
          <w:t>364</w:t>
        </w:r>
      </w:hyperlink>
      <w:r>
        <w:rPr>
          <w:spacing w:val="-13"/>
        </w:rPr>
        <w:t xml:space="preserve"> </w:t>
      </w:r>
      <w:r>
        <w:t>Further,</w:t>
      </w:r>
      <w:r>
        <w:rPr>
          <w:spacing w:val="-14"/>
        </w:rPr>
        <w:t xml:space="preserve"> </w:t>
      </w:r>
      <w:r>
        <w:t>after</w:t>
      </w:r>
      <w:r>
        <w:rPr>
          <w:spacing w:val="-14"/>
        </w:rPr>
        <w:t xml:space="preserve"> </w:t>
      </w:r>
      <w:r>
        <w:t>raising</w:t>
      </w:r>
      <w:r>
        <w:rPr>
          <w:spacing w:val="-13"/>
        </w:rPr>
        <w:t xml:space="preserve"> </w:t>
      </w:r>
      <w:r>
        <w:t>the</w:t>
      </w:r>
      <w:r>
        <w:rPr>
          <w:spacing w:val="-14"/>
        </w:rPr>
        <w:t xml:space="preserve"> </w:t>
      </w:r>
      <w:r>
        <w:t>issue,</w:t>
      </w:r>
      <w:r>
        <w:rPr>
          <w:spacing w:val="-13"/>
        </w:rPr>
        <w:t xml:space="preserve"> </w:t>
      </w:r>
      <w:r>
        <w:t>MOFCOM</w:t>
      </w:r>
      <w:r>
        <w:rPr>
          <w:spacing w:val="-12"/>
        </w:rPr>
        <w:t xml:space="preserve"> </w:t>
      </w:r>
      <w:r>
        <w:t>did</w:t>
      </w:r>
      <w:r>
        <w:rPr>
          <w:spacing w:val="-14"/>
        </w:rPr>
        <w:t xml:space="preserve"> </w:t>
      </w:r>
      <w:r>
        <w:t>not</w:t>
      </w:r>
      <w:r>
        <w:rPr>
          <w:spacing w:val="-12"/>
        </w:rPr>
        <w:t xml:space="preserve"> </w:t>
      </w:r>
      <w:r>
        <w:t>indicate that</w:t>
      </w:r>
      <w:r>
        <w:rPr>
          <w:spacing w:val="-2"/>
        </w:rPr>
        <w:t xml:space="preserve"> </w:t>
      </w:r>
      <w:r>
        <w:t>it</w:t>
      </w:r>
      <w:r>
        <w:rPr>
          <w:spacing w:val="-2"/>
        </w:rPr>
        <w:t xml:space="preserve"> </w:t>
      </w:r>
      <w:r>
        <w:t>no</w:t>
      </w:r>
      <w:r>
        <w:rPr>
          <w:spacing w:val="-5"/>
        </w:rPr>
        <w:t xml:space="preserve"> </w:t>
      </w:r>
      <w:r>
        <w:t>longer</w:t>
      </w:r>
      <w:r>
        <w:rPr>
          <w:spacing w:val="-5"/>
        </w:rPr>
        <w:t xml:space="preserve"> </w:t>
      </w:r>
      <w:r>
        <w:t>pursued</w:t>
      </w:r>
      <w:r>
        <w:rPr>
          <w:spacing w:val="-4"/>
        </w:rPr>
        <w:t xml:space="preserve"> </w:t>
      </w:r>
      <w:r>
        <w:t>the</w:t>
      </w:r>
      <w:r>
        <w:rPr>
          <w:spacing w:val="-3"/>
        </w:rPr>
        <w:t xml:space="preserve"> </w:t>
      </w:r>
      <w:r>
        <w:t>issue</w:t>
      </w:r>
      <w:r>
        <w:rPr>
          <w:spacing w:val="-3"/>
        </w:rPr>
        <w:t xml:space="preserve"> </w:t>
      </w:r>
      <w:r>
        <w:t>as</w:t>
      </w:r>
      <w:r>
        <w:rPr>
          <w:spacing w:val="-1"/>
        </w:rPr>
        <w:t xml:space="preserve"> </w:t>
      </w:r>
      <w:r>
        <w:t>China</w:t>
      </w:r>
      <w:r>
        <w:rPr>
          <w:spacing w:val="-3"/>
        </w:rPr>
        <w:t xml:space="preserve"> </w:t>
      </w:r>
      <w:r>
        <w:t>has</w:t>
      </w:r>
      <w:r>
        <w:rPr>
          <w:spacing w:val="-1"/>
        </w:rPr>
        <w:t xml:space="preserve"> </w:t>
      </w:r>
      <w:r>
        <w:t>claimed.</w:t>
      </w:r>
      <w:r>
        <w:rPr>
          <w:spacing w:val="-1"/>
        </w:rPr>
        <w:t xml:space="preserve"> </w:t>
      </w:r>
      <w:r>
        <w:t>Accordingly, it</w:t>
      </w:r>
      <w:r>
        <w:rPr>
          <w:spacing w:val="-7"/>
        </w:rPr>
        <w:t xml:space="preserve"> </w:t>
      </w:r>
      <w:r>
        <w:t>is</w:t>
      </w:r>
      <w:r>
        <w:rPr>
          <w:spacing w:val="-1"/>
        </w:rPr>
        <w:t xml:space="preserve"> </w:t>
      </w:r>
      <w:r>
        <w:t>clear</w:t>
      </w:r>
      <w:r>
        <w:rPr>
          <w:spacing w:val="-5"/>
        </w:rPr>
        <w:t xml:space="preserve"> </w:t>
      </w:r>
      <w:r>
        <w:t>from</w:t>
      </w:r>
      <w:r>
        <w:rPr>
          <w:spacing w:val="-3"/>
        </w:rPr>
        <w:t xml:space="preserve"> </w:t>
      </w:r>
      <w:r>
        <w:t>the</w:t>
      </w:r>
      <w:r>
        <w:rPr>
          <w:spacing w:val="-3"/>
        </w:rPr>
        <w:t xml:space="preserve"> </w:t>
      </w:r>
      <w:r>
        <w:t>Final Determination that Casella Wines' use of the product control marker "#N/A" was one MOFCOM's</w:t>
      </w:r>
      <w:r>
        <w:rPr>
          <w:spacing w:val="-2"/>
        </w:rPr>
        <w:t xml:space="preserve"> </w:t>
      </w:r>
      <w:r>
        <w:t>grounds</w:t>
      </w:r>
      <w:r>
        <w:rPr>
          <w:spacing w:val="-2"/>
        </w:rPr>
        <w:t xml:space="preserve"> </w:t>
      </w:r>
      <w:r>
        <w:t>for</w:t>
      </w:r>
      <w:r>
        <w:rPr>
          <w:spacing w:val="-6"/>
        </w:rPr>
        <w:t xml:space="preserve"> </w:t>
      </w:r>
      <w:r>
        <w:t>its</w:t>
      </w:r>
      <w:r>
        <w:rPr>
          <w:spacing w:val="-2"/>
        </w:rPr>
        <w:t xml:space="preserve"> </w:t>
      </w:r>
      <w:r>
        <w:t>recourse</w:t>
      </w:r>
      <w:r>
        <w:rPr>
          <w:spacing w:val="-3"/>
        </w:rPr>
        <w:t xml:space="preserve"> </w:t>
      </w:r>
      <w:r>
        <w:t>to</w:t>
      </w:r>
      <w:r>
        <w:rPr>
          <w:spacing w:val="-6"/>
        </w:rPr>
        <w:t xml:space="preserve"> </w:t>
      </w:r>
      <w:r>
        <w:t>facts</w:t>
      </w:r>
      <w:r>
        <w:rPr>
          <w:spacing w:val="-2"/>
        </w:rPr>
        <w:t xml:space="preserve"> </w:t>
      </w:r>
      <w:r>
        <w:t>available.</w:t>
      </w:r>
      <w:r>
        <w:rPr>
          <w:spacing w:val="-2"/>
        </w:rPr>
        <w:t xml:space="preserve"> </w:t>
      </w:r>
      <w:r>
        <w:t>As</w:t>
      </w:r>
      <w:r>
        <w:rPr>
          <w:spacing w:val="-2"/>
        </w:rPr>
        <w:t xml:space="preserve"> </w:t>
      </w:r>
      <w:r>
        <w:t>Australia</w:t>
      </w:r>
      <w:r>
        <w:rPr>
          <w:spacing w:val="-4"/>
        </w:rPr>
        <w:t xml:space="preserve"> </w:t>
      </w:r>
      <w:r>
        <w:t>has</w:t>
      </w:r>
      <w:r>
        <w:rPr>
          <w:spacing w:val="-2"/>
        </w:rPr>
        <w:t xml:space="preserve"> </w:t>
      </w:r>
      <w:r>
        <w:t>explained,</w:t>
      </w:r>
      <w:r>
        <w:rPr>
          <w:spacing w:val="-2"/>
        </w:rPr>
        <w:t xml:space="preserve"> </w:t>
      </w:r>
      <w:r>
        <w:t xml:space="preserve">MOFCOM's reliance on this issue, in this way was inconsistent with Article 6.8 of the Anti-Dumping </w:t>
      </w:r>
      <w:r>
        <w:rPr>
          <w:spacing w:val="-2"/>
        </w:rPr>
        <w:t>Agreement.</w:t>
      </w:r>
      <w:hyperlink w:anchor="_bookmark449" w:history="1">
        <w:r>
          <w:rPr>
            <w:spacing w:val="-2"/>
            <w:vertAlign w:val="superscript"/>
          </w:rPr>
          <w:t>365</w:t>
        </w:r>
      </w:hyperlink>
    </w:p>
    <w:p w14:paraId="53B9671A" w14:textId="77777777" w:rsidR="00BD462C" w:rsidRDefault="00033D0F">
      <w:pPr>
        <w:pStyle w:val="ListParagraph"/>
        <w:numPr>
          <w:ilvl w:val="1"/>
          <w:numId w:val="35"/>
        </w:numPr>
        <w:tabs>
          <w:tab w:val="left" w:pos="3539"/>
          <w:tab w:val="left" w:pos="3540"/>
        </w:tabs>
        <w:spacing w:before="158"/>
        <w:ind w:hanging="851"/>
        <w:jc w:val="both"/>
        <w:rPr>
          <w:sz w:val="24"/>
        </w:rPr>
      </w:pPr>
      <w:r>
        <w:rPr>
          <w:spacing w:val="-2"/>
          <w:sz w:val="24"/>
          <w:u w:val="single"/>
        </w:rPr>
        <w:t>Conclusion</w:t>
      </w:r>
    </w:p>
    <w:p w14:paraId="0AB530A8" w14:textId="77777777" w:rsidR="00BD462C" w:rsidRDefault="00BD462C">
      <w:pPr>
        <w:pStyle w:val="BodyText"/>
        <w:spacing w:before="6"/>
        <w:rPr>
          <w:sz w:val="20"/>
        </w:rPr>
      </w:pPr>
    </w:p>
    <w:p w14:paraId="64185932" w14:textId="6F76A13A" w:rsidR="00BD462C" w:rsidRDefault="00033D0F" w:rsidP="00D86B81">
      <w:pPr>
        <w:pStyle w:val="BodyText"/>
        <w:numPr>
          <w:ilvl w:val="0"/>
          <w:numId w:val="69"/>
        </w:numPr>
        <w:spacing w:before="56" w:line="360" w:lineRule="auto"/>
        <w:ind w:right="909" w:hanging="638"/>
        <w:jc w:val="both"/>
      </w:pPr>
      <w:r>
        <w:rPr>
          <w:position w:val="1"/>
        </w:rPr>
        <w:t xml:space="preserve">Based on the above, China has failed to rebut Australia's claim that there was no </w:t>
      </w:r>
      <w:r>
        <w:t>necessary information missing from the record. In particular, China has sought to argue that MOFCOM did not rely on the alleged deficiencies in Forms 6-1-2, 6-3 and 6-4 to justify its recourse to facts available. Rather, China suggests first that MOFCOM's determination that necessary</w:t>
      </w:r>
      <w:r>
        <w:rPr>
          <w:spacing w:val="-6"/>
        </w:rPr>
        <w:t xml:space="preserve"> </w:t>
      </w:r>
      <w:r>
        <w:t>information</w:t>
      </w:r>
      <w:r>
        <w:rPr>
          <w:spacing w:val="-9"/>
        </w:rPr>
        <w:t xml:space="preserve"> </w:t>
      </w:r>
      <w:r>
        <w:t>was</w:t>
      </w:r>
      <w:r>
        <w:rPr>
          <w:spacing w:val="-6"/>
        </w:rPr>
        <w:t xml:space="preserve"> </w:t>
      </w:r>
      <w:r>
        <w:t>missing</w:t>
      </w:r>
      <w:r>
        <w:rPr>
          <w:spacing w:val="-5"/>
        </w:rPr>
        <w:t xml:space="preserve"> </w:t>
      </w:r>
      <w:r>
        <w:t>from</w:t>
      </w:r>
      <w:r>
        <w:rPr>
          <w:spacing w:val="-7"/>
        </w:rPr>
        <w:t xml:space="preserve"> </w:t>
      </w:r>
      <w:r>
        <w:t>the</w:t>
      </w:r>
      <w:r>
        <w:rPr>
          <w:spacing w:val="-7"/>
        </w:rPr>
        <w:t xml:space="preserve"> </w:t>
      </w:r>
      <w:r>
        <w:t>record</w:t>
      </w:r>
      <w:r>
        <w:rPr>
          <w:spacing w:val="-9"/>
        </w:rPr>
        <w:t xml:space="preserve"> </w:t>
      </w:r>
      <w:r>
        <w:t>was</w:t>
      </w:r>
      <w:r>
        <w:rPr>
          <w:spacing w:val="-6"/>
        </w:rPr>
        <w:t xml:space="preserve"> </w:t>
      </w:r>
      <w:r>
        <w:t>based</w:t>
      </w:r>
      <w:r>
        <w:rPr>
          <w:spacing w:val="-9"/>
        </w:rPr>
        <w:t xml:space="preserve"> </w:t>
      </w:r>
      <w:r>
        <w:t>on</w:t>
      </w:r>
      <w:r>
        <w:rPr>
          <w:spacing w:val="-9"/>
        </w:rPr>
        <w:t xml:space="preserve"> </w:t>
      </w:r>
      <w:r>
        <w:t>the</w:t>
      </w:r>
      <w:r>
        <w:rPr>
          <w:spacing w:val="-3"/>
        </w:rPr>
        <w:t xml:space="preserve"> </w:t>
      </w:r>
      <w:r>
        <w:t>totality</w:t>
      </w:r>
      <w:r>
        <w:rPr>
          <w:spacing w:val="-6"/>
        </w:rPr>
        <w:t xml:space="preserve"> </w:t>
      </w:r>
      <w:r>
        <w:t>of</w:t>
      </w:r>
      <w:r>
        <w:rPr>
          <w:spacing w:val="-9"/>
        </w:rPr>
        <w:t xml:space="preserve"> </w:t>
      </w:r>
      <w:r>
        <w:t>the</w:t>
      </w:r>
      <w:r>
        <w:rPr>
          <w:spacing w:val="-7"/>
        </w:rPr>
        <w:t xml:space="preserve"> </w:t>
      </w:r>
      <w:r>
        <w:t>evidence, though</w:t>
      </w:r>
      <w:r>
        <w:rPr>
          <w:spacing w:val="-13"/>
        </w:rPr>
        <w:t xml:space="preserve"> </w:t>
      </w:r>
      <w:r>
        <w:t>no</w:t>
      </w:r>
      <w:r>
        <w:rPr>
          <w:spacing w:val="-13"/>
        </w:rPr>
        <w:t xml:space="preserve"> </w:t>
      </w:r>
      <w:r>
        <w:t>such</w:t>
      </w:r>
      <w:r>
        <w:rPr>
          <w:spacing w:val="-8"/>
        </w:rPr>
        <w:t xml:space="preserve"> </w:t>
      </w:r>
      <w:r>
        <w:t>basis</w:t>
      </w:r>
      <w:r>
        <w:rPr>
          <w:spacing w:val="-9"/>
        </w:rPr>
        <w:t xml:space="preserve"> </w:t>
      </w:r>
      <w:r>
        <w:t>was</w:t>
      </w:r>
      <w:r>
        <w:rPr>
          <w:spacing w:val="-9"/>
        </w:rPr>
        <w:t xml:space="preserve"> </w:t>
      </w:r>
      <w:r>
        <w:t>referred</w:t>
      </w:r>
      <w:r>
        <w:rPr>
          <w:spacing w:val="-8"/>
        </w:rPr>
        <w:t xml:space="preserve"> </w:t>
      </w:r>
      <w:r>
        <w:t>to</w:t>
      </w:r>
      <w:r>
        <w:rPr>
          <w:spacing w:val="-13"/>
        </w:rPr>
        <w:t xml:space="preserve"> </w:t>
      </w:r>
      <w:r>
        <w:t>in</w:t>
      </w:r>
      <w:r>
        <w:rPr>
          <w:spacing w:val="-8"/>
        </w:rPr>
        <w:t xml:space="preserve"> </w:t>
      </w:r>
      <w:r>
        <w:t>the</w:t>
      </w:r>
      <w:r>
        <w:rPr>
          <w:spacing w:val="-11"/>
        </w:rPr>
        <w:t xml:space="preserve"> </w:t>
      </w:r>
      <w:r>
        <w:t>Final</w:t>
      </w:r>
      <w:r>
        <w:rPr>
          <w:spacing w:val="-9"/>
        </w:rPr>
        <w:t xml:space="preserve"> </w:t>
      </w:r>
      <w:r>
        <w:t>Determination.</w:t>
      </w:r>
      <w:r>
        <w:rPr>
          <w:spacing w:val="-10"/>
        </w:rPr>
        <w:t xml:space="preserve"> </w:t>
      </w:r>
      <w:r>
        <w:t>To</w:t>
      </w:r>
      <w:r>
        <w:rPr>
          <w:spacing w:val="-13"/>
        </w:rPr>
        <w:t xml:space="preserve"> </w:t>
      </w:r>
      <w:r>
        <w:t>the</w:t>
      </w:r>
      <w:r>
        <w:rPr>
          <w:spacing w:val="-11"/>
        </w:rPr>
        <w:t xml:space="preserve"> </w:t>
      </w:r>
      <w:r>
        <w:t>contrary,</w:t>
      </w:r>
      <w:r>
        <w:rPr>
          <w:spacing w:val="-9"/>
        </w:rPr>
        <w:t xml:space="preserve"> </w:t>
      </w:r>
      <w:r>
        <w:t>Australia</w:t>
      </w:r>
      <w:r>
        <w:rPr>
          <w:spacing w:val="-11"/>
        </w:rPr>
        <w:t xml:space="preserve"> </w:t>
      </w:r>
      <w:r>
        <w:t>has established that MOFCOM determined that certain information was necessary without foundation contrary to</w:t>
      </w:r>
      <w:r>
        <w:rPr>
          <w:spacing w:val="-1"/>
        </w:rPr>
        <w:t xml:space="preserve"> </w:t>
      </w:r>
      <w:r>
        <w:t>Article 2. Accordingly,</w:t>
      </w:r>
      <w:r>
        <w:rPr>
          <w:spacing w:val="-1"/>
        </w:rPr>
        <w:t xml:space="preserve"> </w:t>
      </w:r>
      <w:r>
        <w:t>for</w:t>
      </w:r>
      <w:r>
        <w:rPr>
          <w:spacing w:val="-1"/>
        </w:rPr>
        <w:t xml:space="preserve"> </w:t>
      </w:r>
      <w:r>
        <w:t>the reasons set out above and</w:t>
      </w:r>
      <w:r>
        <w:rPr>
          <w:spacing w:val="-1"/>
        </w:rPr>
        <w:t xml:space="preserve"> </w:t>
      </w:r>
      <w:r>
        <w:t>in</w:t>
      </w:r>
      <w:r>
        <w:rPr>
          <w:spacing w:val="-1"/>
        </w:rPr>
        <w:t xml:space="preserve"> </w:t>
      </w:r>
      <w:r>
        <w:t>Australia's</w:t>
      </w:r>
    </w:p>
    <w:p w14:paraId="1522CDE6" w14:textId="1B53AA44" w:rsidR="00BD462C" w:rsidRDefault="00D70C7D">
      <w:pPr>
        <w:pStyle w:val="BodyText"/>
        <w:spacing w:before="8"/>
        <w:rPr>
          <w:sz w:val="14"/>
        </w:rPr>
      </w:pPr>
      <w:r>
        <w:rPr>
          <w:noProof/>
        </w:rPr>
        <mc:AlternateContent>
          <mc:Choice Requires="wps">
            <w:drawing>
              <wp:anchor distT="0" distB="0" distL="0" distR="0" simplePos="0" relativeHeight="487698944" behindDoc="1" locked="0" layoutInCell="1" allowOverlap="1" wp14:anchorId="5BDF4E15" wp14:editId="7979934D">
                <wp:simplePos x="0" y="0"/>
                <wp:positionH relativeFrom="page">
                  <wp:posOffset>899160</wp:posOffset>
                </wp:positionH>
                <wp:positionV relativeFrom="paragraph">
                  <wp:posOffset>128905</wp:posOffset>
                </wp:positionV>
                <wp:extent cx="1828800" cy="8890"/>
                <wp:effectExtent l="0" t="0" r="0" b="0"/>
                <wp:wrapTopAndBottom/>
                <wp:docPr id="954" name="docshape2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A6487D" id="docshape239" o:spid="_x0000_s1026" alt="&quot;&quot;" style="position:absolute;margin-left:70.8pt;margin-top:10.15pt;width:2in;height:.7pt;z-index:-15617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" fillcolor="black" stroked="f">
                <w10:wrap type="topAndBottom" anchorx="page"/>
              </v:rect>
            </w:pict>
          </mc:Fallback>
        </mc:AlternateContent>
      </w:r>
    </w:p>
    <w:p w14:paraId="7341B842" w14:textId="77777777" w:rsidR="00BD462C" w:rsidRDefault="00033D0F">
      <w:pPr>
        <w:spacing w:before="112"/>
        <w:ind w:left="135"/>
        <w:rPr>
          <w:sz w:val="18"/>
        </w:rPr>
      </w:pPr>
      <w:bookmarkStart w:id="514" w:name="_bookmark446"/>
      <w:bookmarkEnd w:id="514"/>
      <w:r>
        <w:rPr>
          <w:position w:val="5"/>
          <w:sz w:val="12"/>
        </w:rPr>
        <w:t>362</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 xml:space="preserve">submission, para. </w:t>
      </w:r>
      <w:r>
        <w:rPr>
          <w:spacing w:val="-4"/>
          <w:sz w:val="18"/>
        </w:rPr>
        <w:t>639.</w:t>
      </w:r>
    </w:p>
    <w:p w14:paraId="3B46B5A9" w14:textId="77777777" w:rsidR="00BD462C" w:rsidRDefault="00033D0F">
      <w:pPr>
        <w:spacing w:before="1"/>
        <w:ind w:left="135"/>
        <w:rPr>
          <w:sz w:val="18"/>
        </w:rPr>
      </w:pPr>
      <w:bookmarkStart w:id="515" w:name="_bookmark447"/>
      <w:bookmarkEnd w:id="515"/>
      <w:r>
        <w:rPr>
          <w:position w:val="5"/>
          <w:sz w:val="12"/>
        </w:rPr>
        <w:t>363</w:t>
      </w:r>
      <w:r>
        <w:rPr>
          <w:spacing w:val="14"/>
          <w:position w:val="5"/>
          <w:sz w:val="12"/>
        </w:rPr>
        <w:t xml:space="preserve"> </w:t>
      </w:r>
      <w:r>
        <w:rPr>
          <w:sz w:val="18"/>
        </w:rPr>
        <w:t>China's</w:t>
      </w:r>
      <w:r>
        <w:rPr>
          <w:spacing w:val="1"/>
          <w:sz w:val="18"/>
        </w:rPr>
        <w:t xml:space="preserve"> </w:t>
      </w:r>
      <w:r>
        <w:rPr>
          <w:sz w:val="18"/>
        </w:rPr>
        <w:t>response</w:t>
      </w:r>
      <w:r>
        <w:rPr>
          <w:spacing w:val="-5"/>
          <w:sz w:val="18"/>
        </w:rPr>
        <w:t xml:space="preserve"> </w:t>
      </w:r>
      <w:r>
        <w:rPr>
          <w:sz w:val="18"/>
        </w:rPr>
        <w:t>to</w:t>
      </w:r>
      <w:r>
        <w:rPr>
          <w:spacing w:val="-9"/>
          <w:sz w:val="18"/>
        </w:rPr>
        <w:t xml:space="preserve"> </w:t>
      </w:r>
      <w:r>
        <w:rPr>
          <w:sz w:val="18"/>
        </w:rPr>
        <w:t>Panel</w:t>
      </w:r>
      <w:r>
        <w:rPr>
          <w:spacing w:val="-4"/>
          <w:sz w:val="18"/>
        </w:rPr>
        <w:t xml:space="preserve"> </w:t>
      </w:r>
      <w:r>
        <w:rPr>
          <w:sz w:val="18"/>
        </w:rPr>
        <w:t>question</w:t>
      </w:r>
      <w:r>
        <w:rPr>
          <w:spacing w:val="-5"/>
          <w:sz w:val="18"/>
        </w:rPr>
        <w:t xml:space="preserve"> </w:t>
      </w:r>
      <w:r>
        <w:rPr>
          <w:sz w:val="18"/>
        </w:rPr>
        <w:t>No.</w:t>
      </w:r>
      <w:r>
        <w:rPr>
          <w:spacing w:val="2"/>
          <w:sz w:val="18"/>
        </w:rPr>
        <w:t xml:space="preserve"> </w:t>
      </w:r>
      <w:r>
        <w:rPr>
          <w:sz w:val="18"/>
        </w:rPr>
        <w:t>2(h),</w:t>
      </w:r>
      <w:r>
        <w:rPr>
          <w:spacing w:val="-3"/>
          <w:sz w:val="18"/>
        </w:rPr>
        <w:t xml:space="preserve"> </w:t>
      </w:r>
      <w:r>
        <w:rPr>
          <w:sz w:val="18"/>
        </w:rPr>
        <w:t>para.</w:t>
      </w:r>
      <w:r>
        <w:rPr>
          <w:spacing w:val="-3"/>
          <w:sz w:val="18"/>
        </w:rPr>
        <w:t xml:space="preserve"> </w:t>
      </w:r>
      <w:r>
        <w:rPr>
          <w:spacing w:val="-5"/>
          <w:sz w:val="18"/>
        </w:rPr>
        <w:t>19.</w:t>
      </w:r>
    </w:p>
    <w:p w14:paraId="22B3EDA3" w14:textId="77777777" w:rsidR="00BD462C" w:rsidRDefault="00033D0F">
      <w:pPr>
        <w:spacing w:before="1"/>
        <w:ind w:left="135"/>
        <w:rPr>
          <w:sz w:val="18"/>
        </w:rPr>
      </w:pPr>
      <w:bookmarkStart w:id="516" w:name="_bookmark448"/>
      <w:bookmarkEnd w:id="516"/>
      <w:r>
        <w:rPr>
          <w:position w:val="5"/>
          <w:sz w:val="12"/>
        </w:rPr>
        <w:t>364</w:t>
      </w:r>
      <w:r>
        <w:rPr>
          <w:spacing w:val="12"/>
          <w:position w:val="5"/>
          <w:sz w:val="12"/>
        </w:rPr>
        <w:t xml:space="preserve"> </w:t>
      </w:r>
      <w:r>
        <w:rPr>
          <w:sz w:val="18"/>
        </w:rPr>
        <w:t>Anti-Dumping</w:t>
      </w:r>
      <w:r>
        <w:rPr>
          <w:spacing w:val="-6"/>
          <w:sz w:val="18"/>
        </w:rPr>
        <w:t xml:space="preserve"> </w:t>
      </w:r>
      <w:r>
        <w:rPr>
          <w:sz w:val="18"/>
        </w:rPr>
        <w:t>Final</w:t>
      </w:r>
      <w:r>
        <w:rPr>
          <w:spacing w:val="-1"/>
          <w:sz w:val="18"/>
        </w:rPr>
        <w:t xml:space="preserve"> </w:t>
      </w:r>
      <w:r>
        <w:rPr>
          <w:sz w:val="18"/>
        </w:rPr>
        <w:t>Determination</w:t>
      </w:r>
      <w:r>
        <w:rPr>
          <w:spacing w:val="-6"/>
          <w:sz w:val="18"/>
        </w:rPr>
        <w:t xml:space="preserve"> </w:t>
      </w:r>
      <w:r>
        <w:rPr>
          <w:sz w:val="18"/>
        </w:rPr>
        <w:t>(Exhibit</w:t>
      </w:r>
      <w:r>
        <w:rPr>
          <w:spacing w:val="-2"/>
          <w:sz w:val="18"/>
        </w:rPr>
        <w:t xml:space="preserve"> </w:t>
      </w:r>
      <w:r>
        <w:rPr>
          <w:sz w:val="18"/>
        </w:rPr>
        <w:t>AUS-2),</w:t>
      </w:r>
      <w:r>
        <w:rPr>
          <w:spacing w:val="-4"/>
          <w:sz w:val="18"/>
        </w:rPr>
        <w:t xml:space="preserve"> </w:t>
      </w:r>
      <w:r>
        <w:rPr>
          <w:sz w:val="18"/>
        </w:rPr>
        <w:t>p.</w:t>
      </w:r>
      <w:r>
        <w:rPr>
          <w:spacing w:val="-5"/>
          <w:sz w:val="18"/>
        </w:rPr>
        <w:t xml:space="preserve"> 82.</w:t>
      </w:r>
    </w:p>
    <w:p w14:paraId="6BB04680" w14:textId="77777777" w:rsidR="00BD462C" w:rsidRDefault="00033D0F">
      <w:pPr>
        <w:spacing w:before="1"/>
        <w:ind w:left="135"/>
        <w:rPr>
          <w:sz w:val="18"/>
        </w:rPr>
      </w:pPr>
      <w:bookmarkStart w:id="517" w:name="_bookmark449"/>
      <w:bookmarkEnd w:id="517"/>
      <w:r>
        <w:rPr>
          <w:position w:val="5"/>
          <w:sz w:val="12"/>
        </w:rPr>
        <w:t>365</w:t>
      </w:r>
      <w:r>
        <w:rPr>
          <w:spacing w:val="12"/>
          <w:position w:val="5"/>
          <w:sz w:val="12"/>
        </w:rPr>
        <w:t xml:space="preserve"> </w:t>
      </w:r>
      <w:r>
        <w:rPr>
          <w:sz w:val="18"/>
        </w:rPr>
        <w:t>Australia's</w:t>
      </w:r>
      <w:r>
        <w:rPr>
          <w:spacing w:val="-7"/>
          <w:sz w:val="18"/>
        </w:rPr>
        <w:t xml:space="preserve"> </w:t>
      </w:r>
      <w:r>
        <w:rPr>
          <w:sz w:val="18"/>
        </w:rPr>
        <w:t>first</w:t>
      </w:r>
      <w:r>
        <w:rPr>
          <w:spacing w:val="-5"/>
          <w:sz w:val="18"/>
        </w:rPr>
        <w:t xml:space="preserve"> </w:t>
      </w:r>
      <w:r>
        <w:rPr>
          <w:sz w:val="18"/>
        </w:rPr>
        <w:t>written</w:t>
      </w:r>
      <w:r>
        <w:rPr>
          <w:spacing w:val="-3"/>
          <w:sz w:val="18"/>
        </w:rPr>
        <w:t xml:space="preserve"> </w:t>
      </w:r>
      <w:r>
        <w:rPr>
          <w:sz w:val="18"/>
        </w:rPr>
        <w:t>submission, paras.</w:t>
      </w:r>
      <w:r>
        <w:rPr>
          <w:spacing w:val="-5"/>
          <w:sz w:val="18"/>
        </w:rPr>
        <w:t xml:space="preserve"> </w:t>
      </w:r>
      <w:r>
        <w:rPr>
          <w:sz w:val="18"/>
        </w:rPr>
        <w:t>358-</w:t>
      </w:r>
      <w:r>
        <w:rPr>
          <w:spacing w:val="-4"/>
          <w:sz w:val="18"/>
        </w:rPr>
        <w:t>362.</w:t>
      </w:r>
    </w:p>
    <w:p w14:paraId="648D96DB" w14:textId="77777777" w:rsidR="00BD462C" w:rsidRDefault="00BD462C">
      <w:pPr>
        <w:rPr>
          <w:sz w:val="18"/>
        </w:rPr>
        <w:sectPr w:rsidR="00BD462C">
          <w:pgSz w:w="11910" w:h="16840"/>
          <w:pgMar w:top="860" w:right="500" w:bottom="780" w:left="1280" w:header="566" w:footer="590" w:gutter="0"/>
          <w:cols w:space="720"/>
        </w:sectPr>
      </w:pPr>
    </w:p>
    <w:p w14:paraId="26E1413A"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2A90169A"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74BFE530"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00C85B14" w14:textId="77777777" w:rsidR="00BD462C" w:rsidRDefault="00033D0F">
      <w:pPr>
        <w:pStyle w:val="BodyText"/>
        <w:spacing w:before="102" w:line="357" w:lineRule="auto"/>
        <w:ind w:left="136"/>
      </w:pPr>
      <w:r>
        <w:t>first</w:t>
      </w:r>
      <w:r>
        <w:rPr>
          <w:spacing w:val="40"/>
        </w:rPr>
        <w:t xml:space="preserve"> </w:t>
      </w:r>
      <w:r>
        <w:t>written</w:t>
      </w:r>
      <w:r>
        <w:rPr>
          <w:spacing w:val="40"/>
        </w:rPr>
        <w:t xml:space="preserve"> </w:t>
      </w:r>
      <w:r>
        <w:t>submission,</w:t>
      </w:r>
      <w:r>
        <w:rPr>
          <w:spacing w:val="40"/>
        </w:rPr>
        <w:t xml:space="preserve"> </w:t>
      </w:r>
      <w:r>
        <w:t>China</w:t>
      </w:r>
      <w:r>
        <w:rPr>
          <w:spacing w:val="40"/>
        </w:rPr>
        <w:t xml:space="preserve"> </w:t>
      </w:r>
      <w:r>
        <w:t>acted</w:t>
      </w:r>
      <w:r>
        <w:rPr>
          <w:spacing w:val="40"/>
        </w:rPr>
        <w:t xml:space="preserve"> </w:t>
      </w:r>
      <w:r>
        <w:t>inconsistently</w:t>
      </w:r>
      <w:r>
        <w:rPr>
          <w:spacing w:val="40"/>
        </w:rPr>
        <w:t xml:space="preserve"> </w:t>
      </w:r>
      <w:r>
        <w:t>with</w:t>
      </w:r>
      <w:r>
        <w:rPr>
          <w:spacing w:val="40"/>
        </w:rPr>
        <w:t xml:space="preserve"> </w:t>
      </w:r>
      <w:r>
        <w:t>Article</w:t>
      </w:r>
      <w:r>
        <w:rPr>
          <w:spacing w:val="40"/>
        </w:rPr>
        <w:t xml:space="preserve"> </w:t>
      </w:r>
      <w:r>
        <w:t>6.8</w:t>
      </w:r>
      <w:r>
        <w:rPr>
          <w:spacing w:val="40"/>
        </w:rPr>
        <w:t xml:space="preserve"> </w:t>
      </w:r>
      <w:r>
        <w:t>of</w:t>
      </w:r>
      <w:r>
        <w:rPr>
          <w:spacing w:val="40"/>
        </w:rPr>
        <w:t xml:space="preserve"> </w:t>
      </w:r>
      <w:r>
        <w:t>the</w:t>
      </w:r>
      <w:r>
        <w:rPr>
          <w:spacing w:val="40"/>
        </w:rPr>
        <w:t xml:space="preserve"> </w:t>
      </w:r>
      <w:r>
        <w:t>Anti-Dumping Agreement by resorting to facts available with respect to Casella Wines' normal value.</w:t>
      </w:r>
    </w:p>
    <w:p w14:paraId="215AAC77" w14:textId="77777777" w:rsidR="00BD462C" w:rsidRDefault="00033D0F">
      <w:pPr>
        <w:pStyle w:val="Heading3"/>
        <w:numPr>
          <w:ilvl w:val="0"/>
          <w:numId w:val="35"/>
        </w:numPr>
        <w:tabs>
          <w:tab w:val="left" w:pos="2689"/>
          <w:tab w:val="left" w:pos="2690"/>
        </w:tabs>
        <w:spacing w:before="164"/>
      </w:pPr>
      <w:bookmarkStart w:id="518" w:name="3._MOFCOM_acted_inconsistently_with_para"/>
      <w:bookmarkStart w:id="519" w:name="_bookmark450"/>
      <w:bookmarkEnd w:id="518"/>
      <w:bookmarkEnd w:id="519"/>
      <w:r>
        <w:t>MOFCOM</w:t>
      </w:r>
      <w:r>
        <w:rPr>
          <w:spacing w:val="-4"/>
        </w:rPr>
        <w:t xml:space="preserve"> </w:t>
      </w:r>
      <w:r>
        <w:t>acted</w:t>
      </w:r>
      <w:r>
        <w:rPr>
          <w:spacing w:val="-3"/>
        </w:rPr>
        <w:t xml:space="preserve"> </w:t>
      </w:r>
      <w:r>
        <w:t>inconsistently</w:t>
      </w:r>
      <w:r>
        <w:rPr>
          <w:spacing w:val="-2"/>
        </w:rPr>
        <w:t xml:space="preserve"> </w:t>
      </w:r>
      <w:r>
        <w:t>with</w:t>
      </w:r>
      <w:r>
        <w:rPr>
          <w:spacing w:val="-3"/>
        </w:rPr>
        <w:t xml:space="preserve"> </w:t>
      </w:r>
      <w:r>
        <w:t>paragraph</w:t>
      </w:r>
      <w:r>
        <w:rPr>
          <w:spacing w:val="-4"/>
        </w:rPr>
        <w:t xml:space="preserve"> </w:t>
      </w:r>
      <w:r>
        <w:t>1</w:t>
      </w:r>
      <w:r>
        <w:rPr>
          <w:spacing w:val="-5"/>
        </w:rPr>
        <w:t xml:space="preserve"> </w:t>
      </w:r>
      <w:r>
        <w:t>of</w:t>
      </w:r>
      <w:r>
        <w:rPr>
          <w:spacing w:val="-4"/>
        </w:rPr>
        <w:t xml:space="preserve"> </w:t>
      </w:r>
      <w:r>
        <w:t>Annex</w:t>
      </w:r>
      <w:r>
        <w:rPr>
          <w:spacing w:val="-3"/>
        </w:rPr>
        <w:t xml:space="preserve"> </w:t>
      </w:r>
      <w:r>
        <w:rPr>
          <w:spacing w:val="-5"/>
        </w:rPr>
        <w:t>II</w:t>
      </w:r>
    </w:p>
    <w:p w14:paraId="2E970C6D" w14:textId="77777777" w:rsidR="00BD462C" w:rsidRDefault="00BD462C">
      <w:pPr>
        <w:pStyle w:val="BodyText"/>
        <w:spacing w:before="2"/>
        <w:rPr>
          <w:b/>
          <w:sz w:val="25"/>
        </w:rPr>
      </w:pPr>
    </w:p>
    <w:p w14:paraId="73C4839B" w14:textId="77777777" w:rsidR="00BD462C" w:rsidRDefault="00033D0F">
      <w:pPr>
        <w:pStyle w:val="ListParagraph"/>
        <w:numPr>
          <w:ilvl w:val="1"/>
          <w:numId w:val="35"/>
        </w:numPr>
        <w:tabs>
          <w:tab w:val="left" w:pos="3539"/>
          <w:tab w:val="left" w:pos="3540"/>
        </w:tabs>
        <w:spacing w:before="0"/>
        <w:ind w:hanging="851"/>
        <w:rPr>
          <w:sz w:val="24"/>
        </w:rPr>
      </w:pPr>
      <w:bookmarkStart w:id="520" w:name="(a)_Product_control_code_marker_&quot;#N/A&quot;"/>
      <w:bookmarkEnd w:id="520"/>
      <w:r>
        <w:rPr>
          <w:sz w:val="24"/>
          <w:u w:val="single"/>
        </w:rPr>
        <w:t>Product</w:t>
      </w:r>
      <w:r>
        <w:rPr>
          <w:spacing w:val="-4"/>
          <w:sz w:val="24"/>
          <w:u w:val="single"/>
        </w:rPr>
        <w:t xml:space="preserve"> </w:t>
      </w:r>
      <w:r>
        <w:rPr>
          <w:sz w:val="24"/>
          <w:u w:val="single"/>
        </w:rPr>
        <w:t>control</w:t>
      </w:r>
      <w:r>
        <w:rPr>
          <w:spacing w:val="-2"/>
          <w:sz w:val="24"/>
          <w:u w:val="single"/>
        </w:rPr>
        <w:t xml:space="preserve"> </w:t>
      </w:r>
      <w:r>
        <w:rPr>
          <w:sz w:val="24"/>
          <w:u w:val="single"/>
        </w:rPr>
        <w:t>code</w:t>
      </w:r>
      <w:r>
        <w:rPr>
          <w:spacing w:val="-4"/>
          <w:sz w:val="24"/>
          <w:u w:val="single"/>
        </w:rPr>
        <w:t xml:space="preserve"> </w:t>
      </w:r>
      <w:r>
        <w:rPr>
          <w:sz w:val="24"/>
          <w:u w:val="single"/>
        </w:rPr>
        <w:t>marker</w:t>
      </w:r>
      <w:r>
        <w:rPr>
          <w:spacing w:val="-6"/>
          <w:sz w:val="24"/>
          <w:u w:val="single"/>
        </w:rPr>
        <w:t xml:space="preserve"> </w:t>
      </w:r>
      <w:r>
        <w:rPr>
          <w:spacing w:val="-2"/>
          <w:sz w:val="24"/>
          <w:u w:val="single"/>
        </w:rPr>
        <w:t>"#N/A"</w:t>
      </w:r>
    </w:p>
    <w:p w14:paraId="54F9B6DF" w14:textId="77777777" w:rsidR="00BD462C" w:rsidRDefault="00BD462C">
      <w:pPr>
        <w:pStyle w:val="BodyText"/>
        <w:spacing w:before="11"/>
        <w:rPr>
          <w:sz w:val="20"/>
        </w:rPr>
      </w:pPr>
    </w:p>
    <w:p w14:paraId="0AE97E47" w14:textId="51696F3B" w:rsidR="00BD462C" w:rsidRDefault="00033D0F" w:rsidP="00D86B81">
      <w:pPr>
        <w:pStyle w:val="BodyText"/>
        <w:numPr>
          <w:ilvl w:val="0"/>
          <w:numId w:val="69"/>
        </w:numPr>
        <w:spacing w:before="56" w:line="360" w:lineRule="auto"/>
        <w:ind w:right="911" w:hanging="638"/>
        <w:jc w:val="both"/>
      </w:pPr>
      <w:r>
        <w:rPr>
          <w:position w:val="1"/>
        </w:rPr>
        <w:t xml:space="preserve">China has failed to rebut Australia's claims that MOFCOM acted inconsistently with </w:t>
      </w:r>
      <w:r>
        <w:t>Article 6.8 and paragraph 1 of Annex II. Paragraph 1 of Annex II requires an investigating authority to</w:t>
      </w:r>
      <w:r>
        <w:rPr>
          <w:spacing w:val="-1"/>
        </w:rPr>
        <w:t xml:space="preserve"> </w:t>
      </w:r>
      <w:r>
        <w:t>be "prompt and</w:t>
      </w:r>
      <w:r>
        <w:rPr>
          <w:spacing w:val="-1"/>
        </w:rPr>
        <w:t xml:space="preserve"> </w:t>
      </w:r>
      <w:r>
        <w:t>precise" in</w:t>
      </w:r>
      <w:r>
        <w:rPr>
          <w:spacing w:val="-1"/>
        </w:rPr>
        <w:t xml:space="preserve"> </w:t>
      </w:r>
      <w:r>
        <w:t>setting out the information</w:t>
      </w:r>
      <w:r>
        <w:rPr>
          <w:spacing w:val="-1"/>
        </w:rPr>
        <w:t xml:space="preserve"> </w:t>
      </w:r>
      <w:r>
        <w:t>it requires.</w:t>
      </w:r>
      <w:r>
        <w:rPr>
          <w:spacing w:val="-2"/>
        </w:rPr>
        <w:t xml:space="preserve"> </w:t>
      </w:r>
      <w:r>
        <w:t>Furthermore, an interested party must be aware of what information is required and the consequences of not providing that information</w:t>
      </w:r>
      <w:r>
        <w:rPr>
          <w:spacing w:val="-1"/>
        </w:rPr>
        <w:t xml:space="preserve"> </w:t>
      </w:r>
      <w:r>
        <w:t>before an</w:t>
      </w:r>
      <w:r>
        <w:rPr>
          <w:spacing w:val="-1"/>
        </w:rPr>
        <w:t xml:space="preserve"> </w:t>
      </w:r>
      <w:r>
        <w:t>investigation</w:t>
      </w:r>
      <w:r>
        <w:rPr>
          <w:spacing w:val="-1"/>
        </w:rPr>
        <w:t xml:space="preserve"> </w:t>
      </w:r>
      <w:r>
        <w:t>authority can</w:t>
      </w:r>
      <w:r>
        <w:rPr>
          <w:spacing w:val="-1"/>
        </w:rPr>
        <w:t xml:space="preserve"> </w:t>
      </w:r>
      <w:r>
        <w:t>resort to</w:t>
      </w:r>
      <w:r>
        <w:rPr>
          <w:spacing w:val="-2"/>
        </w:rPr>
        <w:t xml:space="preserve"> </w:t>
      </w:r>
      <w:r>
        <w:t>facts available.</w:t>
      </w:r>
    </w:p>
    <w:p w14:paraId="3A9E2789" w14:textId="77777777" w:rsidR="00BD462C" w:rsidRDefault="00BD462C">
      <w:pPr>
        <w:pStyle w:val="BodyText"/>
        <w:spacing w:before="6"/>
        <w:rPr>
          <w:sz w:val="8"/>
        </w:rPr>
      </w:pPr>
    </w:p>
    <w:p w14:paraId="605F8005" w14:textId="2393F3B4" w:rsidR="00BD462C" w:rsidRDefault="00033D0F" w:rsidP="00D86B81">
      <w:pPr>
        <w:pStyle w:val="BodyText"/>
        <w:numPr>
          <w:ilvl w:val="0"/>
          <w:numId w:val="69"/>
        </w:numPr>
        <w:spacing w:before="56" w:line="360" w:lineRule="auto"/>
        <w:ind w:right="911" w:hanging="638"/>
        <w:jc w:val="both"/>
      </w:pPr>
      <w:r>
        <w:rPr>
          <w:position w:val="1"/>
        </w:rPr>
        <w:t xml:space="preserve">In spite of China's claims to the contrary, MOFCOM did rely on the absence of data </w:t>
      </w:r>
      <w:r>
        <w:t xml:space="preserve">relating to PCNs that were not sold during the period of the investigation as a basis for rejecting Casella Wines' data and using facts available. As established in section </w:t>
      </w:r>
      <w:hyperlink w:anchor="_bookmark445" w:history="1">
        <w:r>
          <w:t>III.E.2(c)ii</w:t>
        </w:r>
      </w:hyperlink>
      <w:r>
        <w:t>, above,</w:t>
      </w:r>
      <w:r>
        <w:rPr>
          <w:spacing w:val="-6"/>
        </w:rPr>
        <w:t xml:space="preserve"> </w:t>
      </w:r>
      <w:r>
        <w:t>contrary</w:t>
      </w:r>
      <w:r>
        <w:rPr>
          <w:spacing w:val="-7"/>
        </w:rPr>
        <w:t xml:space="preserve"> </w:t>
      </w:r>
      <w:r>
        <w:t>to</w:t>
      </w:r>
      <w:r>
        <w:rPr>
          <w:spacing w:val="-6"/>
        </w:rPr>
        <w:t xml:space="preserve"> </w:t>
      </w:r>
      <w:r>
        <w:t>China's</w:t>
      </w:r>
      <w:r>
        <w:rPr>
          <w:spacing w:val="-7"/>
        </w:rPr>
        <w:t xml:space="preserve"> </w:t>
      </w:r>
      <w:r>
        <w:t>claims,</w:t>
      </w:r>
      <w:r>
        <w:rPr>
          <w:spacing w:val="-6"/>
        </w:rPr>
        <w:t xml:space="preserve"> </w:t>
      </w:r>
      <w:r>
        <w:t>the</w:t>
      </w:r>
      <w:r>
        <w:rPr>
          <w:spacing w:val="-8"/>
        </w:rPr>
        <w:t xml:space="preserve"> </w:t>
      </w:r>
      <w:r>
        <w:t>Final</w:t>
      </w:r>
      <w:r>
        <w:rPr>
          <w:spacing w:val="-6"/>
        </w:rPr>
        <w:t xml:space="preserve"> </w:t>
      </w:r>
      <w:r>
        <w:t>Determination</w:t>
      </w:r>
      <w:r>
        <w:rPr>
          <w:spacing w:val="-10"/>
        </w:rPr>
        <w:t xml:space="preserve"> </w:t>
      </w:r>
      <w:r>
        <w:t>indicates</w:t>
      </w:r>
      <w:r>
        <w:rPr>
          <w:spacing w:val="-7"/>
        </w:rPr>
        <w:t xml:space="preserve"> </w:t>
      </w:r>
      <w:r>
        <w:t>that</w:t>
      </w:r>
      <w:r>
        <w:rPr>
          <w:spacing w:val="-8"/>
        </w:rPr>
        <w:t xml:space="preserve"> </w:t>
      </w:r>
      <w:r>
        <w:t>MOFCOM</w:t>
      </w:r>
      <w:r>
        <w:rPr>
          <w:spacing w:val="-8"/>
        </w:rPr>
        <w:t xml:space="preserve"> </w:t>
      </w:r>
      <w:r>
        <w:t>did</w:t>
      </w:r>
      <w:r>
        <w:rPr>
          <w:spacing w:val="-10"/>
        </w:rPr>
        <w:t xml:space="preserve"> </w:t>
      </w:r>
      <w:r>
        <w:t>persist in requiring this information even though it was expressly excluded from the scope of the investigation and the questionnaire. This is a breach of paragraph 1 of Annex II because the relevant question read in its context in the questionnaire would not encompass such PCNs and hence the question did "not specify in detail" the information required.</w:t>
      </w:r>
    </w:p>
    <w:p w14:paraId="4ABF2412" w14:textId="77777777" w:rsidR="00BD462C" w:rsidRDefault="00033D0F">
      <w:pPr>
        <w:pStyle w:val="Heading3"/>
        <w:numPr>
          <w:ilvl w:val="0"/>
          <w:numId w:val="35"/>
        </w:numPr>
        <w:tabs>
          <w:tab w:val="left" w:pos="2689"/>
          <w:tab w:val="left" w:pos="2690"/>
        </w:tabs>
        <w:spacing w:before="157"/>
        <w:ind w:hanging="851"/>
      </w:pPr>
      <w:bookmarkStart w:id="521" w:name="_bookmark451"/>
      <w:bookmarkEnd w:id="521"/>
      <w:r>
        <w:t>MOFCOM</w:t>
      </w:r>
      <w:r>
        <w:rPr>
          <w:spacing w:val="-16"/>
        </w:rPr>
        <w:t xml:space="preserve"> </w:t>
      </w:r>
      <w:r>
        <w:t>acted</w:t>
      </w:r>
      <w:r>
        <w:rPr>
          <w:spacing w:val="-14"/>
        </w:rPr>
        <w:t xml:space="preserve"> </w:t>
      </w:r>
      <w:r>
        <w:t>inconsistently</w:t>
      </w:r>
      <w:r>
        <w:rPr>
          <w:spacing w:val="-13"/>
        </w:rPr>
        <w:t xml:space="preserve"> </w:t>
      </w:r>
      <w:r>
        <w:t>with</w:t>
      </w:r>
      <w:r>
        <w:rPr>
          <w:spacing w:val="-14"/>
        </w:rPr>
        <w:t xml:space="preserve"> </w:t>
      </w:r>
      <w:r>
        <w:t>paragraphs</w:t>
      </w:r>
      <w:r>
        <w:rPr>
          <w:spacing w:val="-13"/>
        </w:rPr>
        <w:t xml:space="preserve"> </w:t>
      </w:r>
      <w:r>
        <w:t>3</w:t>
      </w:r>
      <w:r>
        <w:rPr>
          <w:spacing w:val="-18"/>
        </w:rPr>
        <w:t xml:space="preserve"> </w:t>
      </w:r>
      <w:r>
        <w:t>and</w:t>
      </w:r>
      <w:r>
        <w:rPr>
          <w:spacing w:val="-13"/>
        </w:rPr>
        <w:t xml:space="preserve"> </w:t>
      </w:r>
      <w:r>
        <w:t>5</w:t>
      </w:r>
      <w:r>
        <w:rPr>
          <w:spacing w:val="-14"/>
        </w:rPr>
        <w:t xml:space="preserve"> </w:t>
      </w:r>
      <w:r>
        <w:t>of</w:t>
      </w:r>
      <w:r>
        <w:rPr>
          <w:spacing w:val="-13"/>
        </w:rPr>
        <w:t xml:space="preserve"> </w:t>
      </w:r>
      <w:r>
        <w:t>Annex</w:t>
      </w:r>
      <w:r>
        <w:rPr>
          <w:spacing w:val="-4"/>
        </w:rPr>
        <w:t xml:space="preserve"> </w:t>
      </w:r>
      <w:r>
        <w:rPr>
          <w:spacing w:val="-5"/>
        </w:rPr>
        <w:t>II</w:t>
      </w:r>
    </w:p>
    <w:p w14:paraId="21D7A1BB" w14:textId="77777777" w:rsidR="00BD462C" w:rsidRDefault="00BD462C">
      <w:pPr>
        <w:pStyle w:val="BodyText"/>
        <w:spacing w:before="2"/>
        <w:rPr>
          <w:b/>
          <w:sz w:val="25"/>
        </w:rPr>
      </w:pPr>
    </w:p>
    <w:p w14:paraId="68643895" w14:textId="77777777" w:rsidR="00BD462C" w:rsidRDefault="00033D0F">
      <w:pPr>
        <w:pStyle w:val="ListParagraph"/>
        <w:numPr>
          <w:ilvl w:val="1"/>
          <w:numId w:val="35"/>
        </w:numPr>
        <w:tabs>
          <w:tab w:val="left" w:pos="3539"/>
          <w:tab w:val="left" w:pos="3540"/>
        </w:tabs>
        <w:spacing w:before="0"/>
        <w:ind w:hanging="851"/>
        <w:rPr>
          <w:sz w:val="24"/>
        </w:rPr>
      </w:pPr>
      <w:bookmarkStart w:id="522" w:name="(a)_Verification_of_cost_of_production_d"/>
      <w:bookmarkEnd w:id="522"/>
      <w:r>
        <w:rPr>
          <w:sz w:val="24"/>
          <w:u w:val="single"/>
        </w:rPr>
        <w:t>Verification</w:t>
      </w:r>
      <w:r>
        <w:rPr>
          <w:spacing w:val="-16"/>
          <w:sz w:val="24"/>
          <w:u w:val="single"/>
        </w:rPr>
        <w:t xml:space="preserve"> </w:t>
      </w:r>
      <w:r>
        <w:rPr>
          <w:sz w:val="24"/>
          <w:u w:val="single"/>
        </w:rPr>
        <w:t>of</w:t>
      </w:r>
      <w:r>
        <w:rPr>
          <w:spacing w:val="-14"/>
          <w:sz w:val="24"/>
          <w:u w:val="single"/>
        </w:rPr>
        <w:t xml:space="preserve"> </w:t>
      </w:r>
      <w:r>
        <w:rPr>
          <w:sz w:val="24"/>
          <w:u w:val="single"/>
        </w:rPr>
        <w:t>cost</w:t>
      </w:r>
      <w:r>
        <w:rPr>
          <w:spacing w:val="-13"/>
          <w:sz w:val="24"/>
          <w:u w:val="single"/>
        </w:rPr>
        <w:t xml:space="preserve"> </w:t>
      </w:r>
      <w:r>
        <w:rPr>
          <w:sz w:val="24"/>
          <w:u w:val="single"/>
        </w:rPr>
        <w:t>of</w:t>
      </w:r>
      <w:r>
        <w:rPr>
          <w:spacing w:val="-14"/>
          <w:sz w:val="24"/>
          <w:u w:val="single"/>
        </w:rPr>
        <w:t xml:space="preserve"> </w:t>
      </w:r>
      <w:r>
        <w:rPr>
          <w:sz w:val="24"/>
          <w:u w:val="single"/>
        </w:rPr>
        <w:t>production</w:t>
      </w:r>
      <w:r>
        <w:rPr>
          <w:spacing w:val="-13"/>
          <w:sz w:val="24"/>
          <w:u w:val="single"/>
        </w:rPr>
        <w:t xml:space="preserve"> </w:t>
      </w:r>
      <w:r>
        <w:rPr>
          <w:sz w:val="24"/>
          <w:u w:val="single"/>
        </w:rPr>
        <w:t>data</w:t>
      </w:r>
      <w:r>
        <w:rPr>
          <w:spacing w:val="-14"/>
          <w:sz w:val="24"/>
          <w:u w:val="single"/>
        </w:rPr>
        <w:t xml:space="preserve"> </w:t>
      </w:r>
      <w:r>
        <w:rPr>
          <w:sz w:val="24"/>
          <w:u w:val="single"/>
        </w:rPr>
        <w:t>in</w:t>
      </w:r>
      <w:r>
        <w:rPr>
          <w:spacing w:val="-13"/>
          <w:sz w:val="24"/>
          <w:u w:val="single"/>
        </w:rPr>
        <w:t xml:space="preserve"> </w:t>
      </w:r>
      <w:r>
        <w:rPr>
          <w:sz w:val="24"/>
          <w:u w:val="single"/>
        </w:rPr>
        <w:t>Forms</w:t>
      </w:r>
      <w:r>
        <w:rPr>
          <w:spacing w:val="-12"/>
          <w:sz w:val="24"/>
          <w:u w:val="single"/>
        </w:rPr>
        <w:t xml:space="preserve"> </w:t>
      </w:r>
      <w:r>
        <w:rPr>
          <w:sz w:val="24"/>
          <w:u w:val="single"/>
        </w:rPr>
        <w:t>6-3</w:t>
      </w:r>
      <w:r>
        <w:rPr>
          <w:spacing w:val="-9"/>
          <w:sz w:val="24"/>
          <w:u w:val="single"/>
        </w:rPr>
        <w:t xml:space="preserve"> </w:t>
      </w:r>
      <w:r>
        <w:rPr>
          <w:sz w:val="24"/>
          <w:u w:val="single"/>
        </w:rPr>
        <w:t>and</w:t>
      </w:r>
      <w:r>
        <w:rPr>
          <w:spacing w:val="-13"/>
          <w:sz w:val="24"/>
          <w:u w:val="single"/>
        </w:rPr>
        <w:t xml:space="preserve"> </w:t>
      </w:r>
      <w:r>
        <w:rPr>
          <w:sz w:val="24"/>
          <w:u w:val="single"/>
        </w:rPr>
        <w:t>6-</w:t>
      </w:r>
      <w:r>
        <w:rPr>
          <w:spacing w:val="-10"/>
          <w:sz w:val="24"/>
          <w:u w:val="single"/>
        </w:rPr>
        <w:t>4</w:t>
      </w:r>
    </w:p>
    <w:p w14:paraId="67DB8810" w14:textId="77777777" w:rsidR="00BD462C" w:rsidRDefault="00BD462C">
      <w:pPr>
        <w:pStyle w:val="BodyText"/>
        <w:spacing w:before="6"/>
        <w:rPr>
          <w:sz w:val="20"/>
        </w:rPr>
      </w:pPr>
    </w:p>
    <w:p w14:paraId="6BFFC924" w14:textId="0817D138" w:rsidR="00BD462C" w:rsidRDefault="00033D0F" w:rsidP="00D86B81">
      <w:pPr>
        <w:pStyle w:val="BodyText"/>
        <w:numPr>
          <w:ilvl w:val="0"/>
          <w:numId w:val="69"/>
        </w:numPr>
        <w:spacing w:before="56" w:line="360" w:lineRule="auto"/>
        <w:ind w:right="913" w:hanging="638"/>
        <w:jc w:val="both"/>
      </w:pPr>
      <w:r>
        <w:rPr>
          <w:position w:val="1"/>
        </w:rPr>
        <w:t>MOFCOM</w:t>
      </w:r>
      <w:r>
        <w:rPr>
          <w:spacing w:val="-7"/>
          <w:position w:val="1"/>
        </w:rPr>
        <w:t xml:space="preserve"> </w:t>
      </w:r>
      <w:r>
        <w:rPr>
          <w:position w:val="1"/>
        </w:rPr>
        <w:t>rejected</w:t>
      </w:r>
      <w:r>
        <w:rPr>
          <w:spacing w:val="-9"/>
          <w:position w:val="1"/>
        </w:rPr>
        <w:t xml:space="preserve"> </w:t>
      </w:r>
      <w:r>
        <w:rPr>
          <w:position w:val="1"/>
        </w:rPr>
        <w:t>Casella</w:t>
      </w:r>
      <w:r>
        <w:rPr>
          <w:spacing w:val="-7"/>
          <w:position w:val="1"/>
        </w:rPr>
        <w:t xml:space="preserve"> </w:t>
      </w:r>
      <w:r>
        <w:rPr>
          <w:position w:val="1"/>
        </w:rPr>
        <w:t>Wines'</w:t>
      </w:r>
      <w:r>
        <w:rPr>
          <w:spacing w:val="-8"/>
          <w:position w:val="1"/>
        </w:rPr>
        <w:t xml:space="preserve"> </w:t>
      </w:r>
      <w:r>
        <w:rPr>
          <w:position w:val="1"/>
        </w:rPr>
        <w:t>cost</w:t>
      </w:r>
      <w:r>
        <w:rPr>
          <w:spacing w:val="-7"/>
          <w:position w:val="1"/>
        </w:rPr>
        <w:t xml:space="preserve"> </w:t>
      </w:r>
      <w:r>
        <w:rPr>
          <w:position w:val="1"/>
        </w:rPr>
        <w:t>of</w:t>
      </w:r>
      <w:r>
        <w:rPr>
          <w:spacing w:val="-9"/>
          <w:position w:val="1"/>
        </w:rPr>
        <w:t xml:space="preserve"> </w:t>
      </w:r>
      <w:r>
        <w:rPr>
          <w:position w:val="1"/>
        </w:rPr>
        <w:t>production</w:t>
      </w:r>
      <w:r>
        <w:rPr>
          <w:spacing w:val="-9"/>
          <w:position w:val="1"/>
        </w:rPr>
        <w:t xml:space="preserve"> </w:t>
      </w:r>
      <w:r>
        <w:rPr>
          <w:position w:val="1"/>
        </w:rPr>
        <w:t>data</w:t>
      </w:r>
      <w:r>
        <w:rPr>
          <w:spacing w:val="-8"/>
          <w:position w:val="1"/>
        </w:rPr>
        <w:t xml:space="preserve"> </w:t>
      </w:r>
      <w:r>
        <w:rPr>
          <w:position w:val="1"/>
        </w:rPr>
        <w:t>on</w:t>
      </w:r>
      <w:r>
        <w:rPr>
          <w:spacing w:val="-9"/>
          <w:position w:val="1"/>
        </w:rPr>
        <w:t xml:space="preserve"> </w:t>
      </w:r>
      <w:r>
        <w:rPr>
          <w:position w:val="1"/>
        </w:rPr>
        <w:t>the</w:t>
      </w:r>
      <w:r>
        <w:rPr>
          <w:spacing w:val="-7"/>
          <w:position w:val="1"/>
        </w:rPr>
        <w:t xml:space="preserve"> </w:t>
      </w:r>
      <w:r>
        <w:rPr>
          <w:position w:val="1"/>
        </w:rPr>
        <w:t>basis</w:t>
      </w:r>
      <w:r>
        <w:rPr>
          <w:spacing w:val="-6"/>
          <w:position w:val="1"/>
        </w:rPr>
        <w:t xml:space="preserve"> </w:t>
      </w:r>
      <w:r>
        <w:rPr>
          <w:position w:val="1"/>
        </w:rPr>
        <w:t>that</w:t>
      </w:r>
      <w:r>
        <w:rPr>
          <w:spacing w:val="-7"/>
          <w:position w:val="1"/>
        </w:rPr>
        <w:t xml:space="preserve"> </w:t>
      </w:r>
      <w:r>
        <w:rPr>
          <w:position w:val="1"/>
        </w:rPr>
        <w:t>it</w:t>
      </w:r>
      <w:r>
        <w:rPr>
          <w:spacing w:val="-7"/>
          <w:position w:val="1"/>
        </w:rPr>
        <w:t xml:space="preserve"> </w:t>
      </w:r>
      <w:r>
        <w:rPr>
          <w:position w:val="1"/>
        </w:rPr>
        <w:t>was</w:t>
      </w:r>
      <w:r>
        <w:rPr>
          <w:spacing w:val="-6"/>
          <w:position w:val="1"/>
        </w:rPr>
        <w:t xml:space="preserve"> </w:t>
      </w:r>
      <w:r>
        <w:rPr>
          <w:position w:val="1"/>
        </w:rPr>
        <w:t xml:space="preserve">not </w:t>
      </w:r>
      <w:r>
        <w:t>verifiable.</w:t>
      </w:r>
      <w:r>
        <w:rPr>
          <w:spacing w:val="40"/>
        </w:rPr>
        <w:t xml:space="preserve"> </w:t>
      </w:r>
      <w:r>
        <w:t>In service</w:t>
      </w:r>
      <w:r>
        <w:rPr>
          <w:spacing w:val="40"/>
        </w:rPr>
        <w:t xml:space="preserve"> </w:t>
      </w:r>
      <w:r>
        <w:t>of this</w:t>
      </w:r>
      <w:r>
        <w:rPr>
          <w:spacing w:val="40"/>
        </w:rPr>
        <w:t xml:space="preserve"> </w:t>
      </w:r>
      <w:r>
        <w:t>argument,</w:t>
      </w:r>
      <w:r>
        <w:rPr>
          <w:spacing w:val="40"/>
        </w:rPr>
        <w:t xml:space="preserve"> </w:t>
      </w:r>
      <w:r>
        <w:t>China</w:t>
      </w:r>
      <w:r>
        <w:rPr>
          <w:spacing w:val="40"/>
        </w:rPr>
        <w:t xml:space="preserve"> </w:t>
      </w:r>
      <w:r>
        <w:t>repeatedly</w:t>
      </w:r>
      <w:r>
        <w:rPr>
          <w:spacing w:val="40"/>
        </w:rPr>
        <w:t xml:space="preserve"> </w:t>
      </w:r>
      <w:r>
        <w:t>referred to the</w:t>
      </w:r>
      <w:r>
        <w:rPr>
          <w:spacing w:val="40"/>
        </w:rPr>
        <w:t xml:space="preserve"> </w:t>
      </w:r>
      <w:r>
        <w:t>panel</w:t>
      </w:r>
      <w:r>
        <w:rPr>
          <w:spacing w:val="40"/>
        </w:rPr>
        <w:t xml:space="preserve"> </w:t>
      </w:r>
      <w:r>
        <w:t>report</w:t>
      </w:r>
      <w:r>
        <w:rPr>
          <w:spacing w:val="40"/>
        </w:rPr>
        <w:t xml:space="preserve"> </w:t>
      </w:r>
      <w:r>
        <w:t xml:space="preserve">in </w:t>
      </w:r>
      <w:r>
        <w:rPr>
          <w:i/>
        </w:rPr>
        <w:t>Egypt</w:t>
      </w:r>
      <w:r>
        <w:rPr>
          <w:i/>
          <w:spacing w:val="-2"/>
        </w:rPr>
        <w:t xml:space="preserve"> </w:t>
      </w:r>
      <w:r>
        <w:rPr>
          <w:i/>
        </w:rPr>
        <w:t>–</w:t>
      </w:r>
      <w:r>
        <w:rPr>
          <w:i/>
          <w:spacing w:val="-2"/>
        </w:rPr>
        <w:t xml:space="preserve"> </w:t>
      </w:r>
      <w:r>
        <w:rPr>
          <w:i/>
        </w:rPr>
        <w:t xml:space="preserve">Steel Rebar </w:t>
      </w:r>
      <w:r>
        <w:t xml:space="preserve">to support its claim that the information it requested to facilitate verification was necessary information. However, that report is not relevant to this case. Unlike the panel in </w:t>
      </w:r>
      <w:r>
        <w:rPr>
          <w:i/>
        </w:rPr>
        <w:t>Egypt</w:t>
      </w:r>
      <w:r>
        <w:rPr>
          <w:i/>
          <w:spacing w:val="-1"/>
        </w:rPr>
        <w:t xml:space="preserve"> </w:t>
      </w:r>
      <w:r>
        <w:rPr>
          <w:i/>
        </w:rPr>
        <w:t>–</w:t>
      </w:r>
      <w:r>
        <w:rPr>
          <w:i/>
          <w:spacing w:val="-2"/>
        </w:rPr>
        <w:t xml:space="preserve"> </w:t>
      </w:r>
      <w:r>
        <w:rPr>
          <w:i/>
        </w:rPr>
        <w:t>Steel Rebar</w:t>
      </w:r>
      <w:r>
        <w:t>, the question before the Panel in this case is not whether information requested to facilitate verification is necessary or not. Rather the question is whether, given the facts on the record, an objective and unbiased investigating authority</w:t>
      </w:r>
      <w:r>
        <w:rPr>
          <w:spacing w:val="-6"/>
        </w:rPr>
        <w:t xml:space="preserve"> </w:t>
      </w:r>
      <w:r>
        <w:t>could</w:t>
      </w:r>
      <w:r>
        <w:rPr>
          <w:spacing w:val="-4"/>
        </w:rPr>
        <w:t xml:space="preserve"> </w:t>
      </w:r>
      <w:r>
        <w:t>have</w:t>
      </w:r>
      <w:r>
        <w:rPr>
          <w:spacing w:val="-7"/>
        </w:rPr>
        <w:t xml:space="preserve"> </w:t>
      </w:r>
      <w:r>
        <w:t>disregarded</w:t>
      </w:r>
      <w:r>
        <w:rPr>
          <w:spacing w:val="-9"/>
        </w:rPr>
        <w:t xml:space="preserve"> </w:t>
      </w:r>
      <w:r>
        <w:t>the</w:t>
      </w:r>
      <w:r>
        <w:rPr>
          <w:spacing w:val="-3"/>
        </w:rPr>
        <w:t xml:space="preserve"> </w:t>
      </w:r>
      <w:r>
        <w:t>information provided</w:t>
      </w:r>
      <w:r>
        <w:rPr>
          <w:spacing w:val="-9"/>
        </w:rPr>
        <w:t xml:space="preserve"> </w:t>
      </w:r>
      <w:r>
        <w:t>by</w:t>
      </w:r>
      <w:r>
        <w:rPr>
          <w:spacing w:val="-6"/>
        </w:rPr>
        <w:t xml:space="preserve"> </w:t>
      </w:r>
      <w:r>
        <w:t>Casella</w:t>
      </w:r>
      <w:r>
        <w:rPr>
          <w:spacing w:val="-8"/>
        </w:rPr>
        <w:t xml:space="preserve"> </w:t>
      </w:r>
      <w:r>
        <w:t>Wines</w:t>
      </w:r>
      <w:r>
        <w:rPr>
          <w:spacing w:val="-6"/>
        </w:rPr>
        <w:t xml:space="preserve"> </w:t>
      </w:r>
      <w:r>
        <w:t>on</w:t>
      </w:r>
      <w:r>
        <w:rPr>
          <w:spacing w:val="-9"/>
        </w:rPr>
        <w:t xml:space="preserve"> </w:t>
      </w:r>
      <w:r>
        <w:t>the</w:t>
      </w:r>
      <w:r>
        <w:rPr>
          <w:spacing w:val="-7"/>
        </w:rPr>
        <w:t xml:space="preserve"> </w:t>
      </w:r>
      <w:r>
        <w:t>basis</w:t>
      </w:r>
      <w:r>
        <w:rPr>
          <w:spacing w:val="-6"/>
        </w:rPr>
        <w:t xml:space="preserve"> </w:t>
      </w:r>
      <w:r>
        <w:t>that it</w:t>
      </w:r>
      <w:r>
        <w:rPr>
          <w:spacing w:val="-7"/>
        </w:rPr>
        <w:t xml:space="preserve"> </w:t>
      </w:r>
      <w:r>
        <w:t>was</w:t>
      </w:r>
      <w:r>
        <w:rPr>
          <w:spacing w:val="-6"/>
        </w:rPr>
        <w:t xml:space="preserve"> </w:t>
      </w:r>
      <w:r>
        <w:t>not</w:t>
      </w:r>
      <w:r>
        <w:rPr>
          <w:spacing w:val="-7"/>
        </w:rPr>
        <w:t xml:space="preserve"> </w:t>
      </w:r>
      <w:r>
        <w:t>verifiable.</w:t>
      </w:r>
      <w:r>
        <w:rPr>
          <w:spacing w:val="-6"/>
        </w:rPr>
        <w:t xml:space="preserve"> </w:t>
      </w:r>
      <w:r>
        <w:t>In</w:t>
      </w:r>
      <w:r>
        <w:rPr>
          <w:spacing w:val="-9"/>
        </w:rPr>
        <w:t xml:space="preserve"> </w:t>
      </w:r>
      <w:r>
        <w:rPr>
          <w:i/>
        </w:rPr>
        <w:t>US</w:t>
      </w:r>
      <w:r>
        <w:rPr>
          <w:i/>
          <w:spacing w:val="-6"/>
        </w:rPr>
        <w:t xml:space="preserve"> </w:t>
      </w:r>
      <w:r>
        <w:rPr>
          <w:i/>
        </w:rPr>
        <w:t>–</w:t>
      </w:r>
      <w:r>
        <w:rPr>
          <w:i/>
          <w:spacing w:val="-7"/>
        </w:rPr>
        <w:t xml:space="preserve"> </w:t>
      </w:r>
      <w:r>
        <w:rPr>
          <w:i/>
        </w:rPr>
        <w:t>Steel</w:t>
      </w:r>
      <w:r>
        <w:rPr>
          <w:i/>
          <w:spacing w:val="-5"/>
        </w:rPr>
        <w:t xml:space="preserve"> </w:t>
      </w:r>
      <w:r>
        <w:rPr>
          <w:i/>
        </w:rPr>
        <w:t>Plate</w:t>
      </w:r>
      <w:r>
        <w:t>,</w:t>
      </w:r>
      <w:r>
        <w:rPr>
          <w:spacing w:val="-5"/>
        </w:rPr>
        <w:t xml:space="preserve"> </w:t>
      </w:r>
      <w:r>
        <w:t>the</w:t>
      </w:r>
      <w:r>
        <w:rPr>
          <w:spacing w:val="-7"/>
        </w:rPr>
        <w:t xml:space="preserve"> </w:t>
      </w:r>
      <w:r>
        <w:t>panel considered</w:t>
      </w:r>
      <w:r>
        <w:rPr>
          <w:spacing w:val="-9"/>
        </w:rPr>
        <w:t xml:space="preserve"> </w:t>
      </w:r>
    </w:p>
    <w:p w14:paraId="45E15F32"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720DE45E"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19FED6DF"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6085F211" w14:textId="740029C9" w:rsidR="00BD462C" w:rsidRDefault="00D86B81">
      <w:pPr>
        <w:pStyle w:val="BodyText"/>
        <w:spacing w:before="102" w:line="360" w:lineRule="auto"/>
        <w:ind w:left="135" w:right="913"/>
        <w:jc w:val="both"/>
      </w:pPr>
      <w:r>
        <w:t>that</w:t>
      </w:r>
      <w:r>
        <w:rPr>
          <w:spacing w:val="-7"/>
        </w:rPr>
        <w:t xml:space="preserve"> </w:t>
      </w:r>
      <w:r>
        <w:t>"verifiable"</w:t>
      </w:r>
      <w:r>
        <w:rPr>
          <w:spacing w:val="-8"/>
        </w:rPr>
        <w:t xml:space="preserve"> </w:t>
      </w:r>
      <w:r>
        <w:t>information</w:t>
      </w:r>
      <w:r>
        <w:rPr>
          <w:spacing w:val="-4"/>
        </w:rPr>
        <w:t xml:space="preserve"> </w:t>
      </w:r>
      <w:r>
        <w:t xml:space="preserve">for the purpose of paragraph 3 of Annex II was information whose "accuracy and reliability [...] </w:t>
      </w:r>
      <w:r w:rsidR="00033D0F">
        <w:t>can be assessed by an objective process of examination".</w:t>
      </w:r>
      <w:hyperlink w:anchor="_bookmark452" w:history="1">
        <w:r w:rsidR="00033D0F">
          <w:rPr>
            <w:vertAlign w:val="superscript"/>
          </w:rPr>
          <w:t>366</w:t>
        </w:r>
      </w:hyperlink>
      <w:r w:rsidR="00033D0F">
        <w:t xml:space="preserve"> In applying this interpretation, the</w:t>
      </w:r>
      <w:r w:rsidR="00033D0F">
        <w:rPr>
          <w:spacing w:val="-2"/>
        </w:rPr>
        <w:t xml:space="preserve"> </w:t>
      </w:r>
      <w:r w:rsidR="00033D0F">
        <w:t xml:space="preserve">panel in </w:t>
      </w:r>
      <w:r w:rsidR="00033D0F">
        <w:rPr>
          <w:i/>
        </w:rPr>
        <w:t>EC –</w:t>
      </w:r>
      <w:r w:rsidR="00033D0F">
        <w:rPr>
          <w:i/>
          <w:spacing w:val="-1"/>
        </w:rPr>
        <w:t xml:space="preserve"> </w:t>
      </w:r>
      <w:r w:rsidR="00033D0F">
        <w:rPr>
          <w:i/>
        </w:rPr>
        <w:t>Salmon</w:t>
      </w:r>
      <w:r w:rsidR="00033D0F">
        <w:rPr>
          <w:i/>
          <w:spacing w:val="-1"/>
        </w:rPr>
        <w:t xml:space="preserve"> </w:t>
      </w:r>
      <w:r w:rsidR="00033D0F">
        <w:rPr>
          <w:i/>
        </w:rPr>
        <w:t>(Norway)</w:t>
      </w:r>
      <w:r w:rsidR="00033D0F">
        <w:rPr>
          <w:i/>
          <w:spacing w:val="-3"/>
        </w:rPr>
        <w:t xml:space="preserve"> </w:t>
      </w:r>
      <w:r w:rsidR="00033D0F">
        <w:t>found that</w:t>
      </w:r>
      <w:r w:rsidR="00033D0F">
        <w:rPr>
          <w:spacing w:val="-1"/>
        </w:rPr>
        <w:t xml:space="preserve"> </w:t>
      </w:r>
      <w:r w:rsidR="00033D0F">
        <w:t>it</w:t>
      </w:r>
      <w:r w:rsidR="00033D0F">
        <w:rPr>
          <w:spacing w:val="-1"/>
        </w:rPr>
        <w:t xml:space="preserve"> </w:t>
      </w:r>
      <w:r w:rsidR="00033D0F">
        <w:t>was incumbent on</w:t>
      </w:r>
      <w:r w:rsidR="00033D0F">
        <w:rPr>
          <w:spacing w:val="-3"/>
        </w:rPr>
        <w:t xml:space="preserve"> </w:t>
      </w:r>
      <w:r w:rsidR="00033D0F">
        <w:t>an</w:t>
      </w:r>
      <w:r w:rsidR="00033D0F">
        <w:rPr>
          <w:spacing w:val="-3"/>
        </w:rPr>
        <w:t xml:space="preserve"> </w:t>
      </w:r>
      <w:r w:rsidR="00033D0F">
        <w:t>investigating authority to</w:t>
      </w:r>
      <w:r w:rsidR="00033D0F">
        <w:rPr>
          <w:spacing w:val="-10"/>
        </w:rPr>
        <w:t xml:space="preserve"> </w:t>
      </w:r>
      <w:r w:rsidR="00033D0F">
        <w:t>consider</w:t>
      </w:r>
      <w:r w:rsidR="00033D0F">
        <w:rPr>
          <w:spacing w:val="-5"/>
        </w:rPr>
        <w:t xml:space="preserve"> </w:t>
      </w:r>
      <w:r w:rsidR="00033D0F">
        <w:t>objectively</w:t>
      </w:r>
      <w:r w:rsidR="00033D0F">
        <w:rPr>
          <w:spacing w:val="-6"/>
        </w:rPr>
        <w:t xml:space="preserve"> </w:t>
      </w:r>
      <w:r w:rsidR="00033D0F">
        <w:t>whether</w:t>
      </w:r>
      <w:r w:rsidR="00033D0F">
        <w:rPr>
          <w:spacing w:val="-10"/>
        </w:rPr>
        <w:t xml:space="preserve"> </w:t>
      </w:r>
      <w:r w:rsidR="00033D0F">
        <w:t>particular</w:t>
      </w:r>
      <w:r w:rsidR="00033D0F">
        <w:rPr>
          <w:spacing w:val="-10"/>
        </w:rPr>
        <w:t xml:space="preserve"> </w:t>
      </w:r>
      <w:r w:rsidR="00033D0F">
        <w:t>information</w:t>
      </w:r>
      <w:r w:rsidR="00033D0F">
        <w:rPr>
          <w:spacing w:val="-9"/>
        </w:rPr>
        <w:t xml:space="preserve"> </w:t>
      </w:r>
      <w:r w:rsidR="00033D0F">
        <w:t>was</w:t>
      </w:r>
      <w:r w:rsidR="00033D0F">
        <w:rPr>
          <w:spacing w:val="-6"/>
        </w:rPr>
        <w:t xml:space="preserve"> </w:t>
      </w:r>
      <w:r w:rsidR="00033D0F">
        <w:t>verifiable</w:t>
      </w:r>
      <w:r w:rsidR="00033D0F">
        <w:rPr>
          <w:spacing w:val="-7"/>
        </w:rPr>
        <w:t xml:space="preserve"> </w:t>
      </w:r>
      <w:r w:rsidR="00033D0F">
        <w:t>and</w:t>
      </w:r>
      <w:r w:rsidR="00033D0F">
        <w:rPr>
          <w:spacing w:val="-9"/>
        </w:rPr>
        <w:t xml:space="preserve"> </w:t>
      </w:r>
      <w:r w:rsidR="00033D0F">
        <w:t>not</w:t>
      </w:r>
      <w:r w:rsidR="00033D0F">
        <w:rPr>
          <w:spacing w:val="-7"/>
        </w:rPr>
        <w:t xml:space="preserve"> </w:t>
      </w:r>
      <w:r w:rsidR="00033D0F">
        <w:t>merely</w:t>
      </w:r>
      <w:r w:rsidR="00033D0F">
        <w:rPr>
          <w:spacing w:val="-6"/>
        </w:rPr>
        <w:t xml:space="preserve"> </w:t>
      </w:r>
      <w:r w:rsidR="00033D0F">
        <w:t>whether it was convenient to verify it. It found that such a determination "must be a conclusion reached on the basis of a case-by-case assessment of the particular facts at issue, including not only the nature of the information submitted but also the steps, if any, taken by the investigating authority to assess the accuracy and reliability of the information".</w:t>
      </w:r>
      <w:r w:rsidR="00033D0F">
        <w:rPr>
          <w:spacing w:val="-23"/>
        </w:rPr>
        <w:t xml:space="preserve"> </w:t>
      </w:r>
      <w:hyperlink w:anchor="_bookmark453" w:history="1">
        <w:r w:rsidR="00033D0F">
          <w:rPr>
            <w:vertAlign w:val="superscript"/>
          </w:rPr>
          <w:t>367</w:t>
        </w:r>
      </w:hyperlink>
    </w:p>
    <w:p w14:paraId="0DA453D7" w14:textId="77777777" w:rsidR="00BD462C" w:rsidRDefault="00BD462C">
      <w:pPr>
        <w:pStyle w:val="BodyText"/>
        <w:spacing w:before="10"/>
        <w:rPr>
          <w:sz w:val="8"/>
        </w:rPr>
      </w:pPr>
    </w:p>
    <w:p w14:paraId="74311487" w14:textId="454FE6B3" w:rsidR="00BD462C" w:rsidRDefault="00033D0F" w:rsidP="00D86B81">
      <w:pPr>
        <w:pStyle w:val="BodyText"/>
        <w:numPr>
          <w:ilvl w:val="0"/>
          <w:numId w:val="69"/>
        </w:numPr>
        <w:spacing w:before="56" w:line="360" w:lineRule="auto"/>
        <w:ind w:right="915" w:hanging="638"/>
        <w:jc w:val="both"/>
      </w:pPr>
      <w:r>
        <w:rPr>
          <w:position w:val="1"/>
        </w:rPr>
        <w:t xml:space="preserve">Notably, in </w:t>
      </w:r>
      <w:r>
        <w:rPr>
          <w:i/>
          <w:position w:val="1"/>
        </w:rPr>
        <w:t>EC – Salmon (Norway)</w:t>
      </w:r>
      <w:r>
        <w:rPr>
          <w:position w:val="1"/>
        </w:rPr>
        <w:t xml:space="preserve">, the panel considered whether the investigating </w:t>
      </w:r>
      <w:r>
        <w:t>authority's finding that particular information was not verifiable because it had been submitted after the conclusion of the on-site investigation which could otherwise have verified</w:t>
      </w:r>
      <w:r>
        <w:rPr>
          <w:spacing w:val="40"/>
        </w:rPr>
        <w:t xml:space="preserve"> </w:t>
      </w:r>
      <w:r>
        <w:t>it,</w:t>
      </w:r>
      <w:r>
        <w:rPr>
          <w:spacing w:val="40"/>
        </w:rPr>
        <w:t xml:space="preserve"> </w:t>
      </w:r>
      <w:r>
        <w:t>was</w:t>
      </w:r>
      <w:r>
        <w:rPr>
          <w:spacing w:val="40"/>
        </w:rPr>
        <w:t xml:space="preserve"> </w:t>
      </w:r>
      <w:r>
        <w:t>consistent</w:t>
      </w:r>
      <w:r>
        <w:rPr>
          <w:spacing w:val="40"/>
        </w:rPr>
        <w:t xml:space="preserve"> </w:t>
      </w:r>
      <w:r>
        <w:t>with</w:t>
      </w:r>
      <w:r>
        <w:rPr>
          <w:spacing w:val="40"/>
        </w:rPr>
        <w:t xml:space="preserve"> </w:t>
      </w:r>
      <w:r>
        <w:t>paragraph</w:t>
      </w:r>
      <w:r>
        <w:rPr>
          <w:spacing w:val="40"/>
        </w:rPr>
        <w:t xml:space="preserve"> </w:t>
      </w:r>
      <w:r>
        <w:t>3</w:t>
      </w:r>
      <w:r>
        <w:rPr>
          <w:spacing w:val="40"/>
        </w:rPr>
        <w:t xml:space="preserve"> </w:t>
      </w:r>
      <w:r>
        <w:t>of</w:t>
      </w:r>
      <w:r>
        <w:rPr>
          <w:spacing w:val="40"/>
        </w:rPr>
        <w:t xml:space="preserve"> </w:t>
      </w:r>
      <w:r>
        <w:t>Annex</w:t>
      </w:r>
      <w:r>
        <w:rPr>
          <w:spacing w:val="40"/>
        </w:rPr>
        <w:t xml:space="preserve"> </w:t>
      </w:r>
      <w:r>
        <w:t>II.</w:t>
      </w:r>
      <w:r>
        <w:rPr>
          <w:spacing w:val="40"/>
        </w:rPr>
        <w:t xml:space="preserve"> </w:t>
      </w:r>
      <w:r>
        <w:t>It</w:t>
      </w:r>
      <w:r>
        <w:rPr>
          <w:spacing w:val="40"/>
        </w:rPr>
        <w:t xml:space="preserve"> </w:t>
      </w:r>
      <w:r>
        <w:t>found</w:t>
      </w:r>
      <w:r>
        <w:rPr>
          <w:spacing w:val="40"/>
        </w:rPr>
        <w:t xml:space="preserve"> </w:t>
      </w:r>
      <w:r>
        <w:t>that</w:t>
      </w:r>
      <w:r>
        <w:rPr>
          <w:spacing w:val="40"/>
        </w:rPr>
        <w:t xml:space="preserve"> </w:t>
      </w:r>
      <w:r>
        <w:t>"[b]</w:t>
      </w:r>
      <w:proofErr w:type="spellStart"/>
      <w:r>
        <w:t>ecause</w:t>
      </w:r>
      <w:proofErr w:type="spellEnd"/>
      <w:r>
        <w:rPr>
          <w:spacing w:val="40"/>
        </w:rPr>
        <w:t xml:space="preserve"> </w:t>
      </w:r>
      <w:r>
        <w:t>the [Anti-Dumping] Agreement envisages that there may be other ways to assess the accuracy and reliability of information, the mere fact that a piece of information may have been submitted</w:t>
      </w:r>
      <w:r>
        <w:rPr>
          <w:spacing w:val="-9"/>
        </w:rPr>
        <w:t xml:space="preserve"> </w:t>
      </w:r>
      <w:r>
        <w:t>after</w:t>
      </w:r>
      <w:r>
        <w:rPr>
          <w:spacing w:val="-10"/>
        </w:rPr>
        <w:t xml:space="preserve"> </w:t>
      </w:r>
      <w:r>
        <w:t>an</w:t>
      </w:r>
      <w:r>
        <w:rPr>
          <w:spacing w:val="-9"/>
        </w:rPr>
        <w:t xml:space="preserve"> </w:t>
      </w:r>
      <w:r>
        <w:t>on-the-spot</w:t>
      </w:r>
      <w:r>
        <w:rPr>
          <w:spacing w:val="-2"/>
        </w:rPr>
        <w:t xml:space="preserve"> </w:t>
      </w:r>
      <w:r>
        <w:t>investigation</w:t>
      </w:r>
      <w:r>
        <w:rPr>
          <w:spacing w:val="-9"/>
        </w:rPr>
        <w:t xml:space="preserve"> </w:t>
      </w:r>
      <w:r>
        <w:t>has</w:t>
      </w:r>
      <w:r>
        <w:rPr>
          <w:spacing w:val="-6"/>
        </w:rPr>
        <w:t xml:space="preserve"> </w:t>
      </w:r>
      <w:r>
        <w:t>taken</w:t>
      </w:r>
      <w:r>
        <w:rPr>
          <w:spacing w:val="-9"/>
        </w:rPr>
        <w:t xml:space="preserve"> </w:t>
      </w:r>
      <w:r>
        <w:t>place,</w:t>
      </w:r>
      <w:r>
        <w:rPr>
          <w:spacing w:val="-5"/>
        </w:rPr>
        <w:t xml:space="preserve"> </w:t>
      </w:r>
      <w:r>
        <w:t>does</w:t>
      </w:r>
      <w:r>
        <w:rPr>
          <w:spacing w:val="-6"/>
        </w:rPr>
        <w:t xml:space="preserve"> </w:t>
      </w:r>
      <w:r>
        <w:t>not</w:t>
      </w:r>
      <w:r>
        <w:rPr>
          <w:spacing w:val="-7"/>
        </w:rPr>
        <w:t xml:space="preserve"> </w:t>
      </w:r>
      <w:r>
        <w:t>mean</w:t>
      </w:r>
      <w:r>
        <w:rPr>
          <w:spacing w:val="-4"/>
        </w:rPr>
        <w:t xml:space="preserve"> </w:t>
      </w:r>
      <w:r>
        <w:t>that</w:t>
      </w:r>
      <w:r>
        <w:rPr>
          <w:spacing w:val="-7"/>
        </w:rPr>
        <w:t xml:space="preserve"> </w:t>
      </w:r>
      <w:r>
        <w:t>its</w:t>
      </w:r>
      <w:r>
        <w:rPr>
          <w:spacing w:val="-6"/>
        </w:rPr>
        <w:t xml:space="preserve"> </w:t>
      </w:r>
      <w:r>
        <w:t>accuracy and reliability cannot be objectively assessed through any other process of verification."</w:t>
      </w:r>
      <w:hyperlink w:anchor="_bookmark454" w:history="1">
        <w:r>
          <w:rPr>
            <w:vertAlign w:val="superscript"/>
          </w:rPr>
          <w:t>368</w:t>
        </w:r>
      </w:hyperlink>
    </w:p>
    <w:p w14:paraId="19ED6C71" w14:textId="77777777" w:rsidR="00BD462C" w:rsidRDefault="00BD462C">
      <w:pPr>
        <w:pStyle w:val="BodyText"/>
        <w:spacing w:before="8"/>
        <w:rPr>
          <w:sz w:val="8"/>
        </w:rPr>
      </w:pPr>
    </w:p>
    <w:p w14:paraId="4DCA3EA1" w14:textId="33D4D8AD" w:rsidR="00BD462C" w:rsidRPr="00D86B81" w:rsidRDefault="00033D0F" w:rsidP="00D86B81">
      <w:pPr>
        <w:pStyle w:val="BodyText"/>
        <w:numPr>
          <w:ilvl w:val="0"/>
          <w:numId w:val="69"/>
        </w:numPr>
        <w:spacing w:before="56" w:line="360" w:lineRule="auto"/>
        <w:ind w:right="913" w:hanging="638"/>
        <w:jc w:val="both"/>
        <w:rPr>
          <w:sz w:val="20"/>
        </w:rPr>
      </w:pPr>
      <w:r w:rsidRPr="00D86B81">
        <w:rPr>
          <w:position w:val="1"/>
        </w:rPr>
        <w:t xml:space="preserve">The facts of that case are strongly analogous to MOFCOM's approach to the data </w:t>
      </w:r>
      <w:r>
        <w:t>submitted</w:t>
      </w:r>
      <w:r w:rsidRPr="00D86B81">
        <w:rPr>
          <w:spacing w:val="-4"/>
        </w:rPr>
        <w:t xml:space="preserve"> </w:t>
      </w:r>
      <w:r>
        <w:t>by</w:t>
      </w:r>
      <w:r w:rsidRPr="00D86B81">
        <w:rPr>
          <w:spacing w:val="-1"/>
        </w:rPr>
        <w:t xml:space="preserve"> </w:t>
      </w:r>
      <w:r>
        <w:t>Casella</w:t>
      </w:r>
      <w:r w:rsidRPr="00D86B81">
        <w:rPr>
          <w:spacing w:val="-3"/>
        </w:rPr>
        <w:t xml:space="preserve"> </w:t>
      </w:r>
      <w:r>
        <w:t>Wines</w:t>
      </w:r>
      <w:r w:rsidRPr="00D86B81">
        <w:rPr>
          <w:spacing w:val="-1"/>
        </w:rPr>
        <w:t xml:space="preserve"> </w:t>
      </w:r>
      <w:r>
        <w:t>in</w:t>
      </w:r>
      <w:r w:rsidRPr="00D86B81">
        <w:rPr>
          <w:spacing w:val="-4"/>
        </w:rPr>
        <w:t xml:space="preserve"> </w:t>
      </w:r>
      <w:r>
        <w:t>this</w:t>
      </w:r>
      <w:r w:rsidRPr="00D86B81">
        <w:rPr>
          <w:spacing w:val="-1"/>
        </w:rPr>
        <w:t xml:space="preserve"> </w:t>
      </w:r>
      <w:r>
        <w:t>dispute.</w:t>
      </w:r>
      <w:r w:rsidRPr="00D86B81">
        <w:rPr>
          <w:spacing w:val="-1"/>
        </w:rPr>
        <w:t xml:space="preserve"> </w:t>
      </w:r>
      <w:r>
        <w:t>China</w:t>
      </w:r>
      <w:r w:rsidRPr="00D86B81">
        <w:rPr>
          <w:spacing w:val="-8"/>
        </w:rPr>
        <w:t xml:space="preserve"> </w:t>
      </w:r>
      <w:r>
        <w:t>has</w:t>
      </w:r>
      <w:r w:rsidRPr="00D86B81">
        <w:rPr>
          <w:spacing w:val="-1"/>
        </w:rPr>
        <w:t xml:space="preserve"> </w:t>
      </w:r>
      <w:r>
        <w:t>conceded</w:t>
      </w:r>
      <w:r w:rsidRPr="00D86B81">
        <w:rPr>
          <w:spacing w:val="-4"/>
        </w:rPr>
        <w:t xml:space="preserve"> </w:t>
      </w:r>
      <w:r>
        <w:t>that</w:t>
      </w:r>
      <w:r w:rsidRPr="00D86B81">
        <w:rPr>
          <w:spacing w:val="-2"/>
        </w:rPr>
        <w:t xml:space="preserve"> </w:t>
      </w:r>
      <w:r>
        <w:t>the information</w:t>
      </w:r>
      <w:r w:rsidRPr="00D86B81">
        <w:rPr>
          <w:spacing w:val="-4"/>
        </w:rPr>
        <w:t xml:space="preserve"> </w:t>
      </w:r>
      <w:r>
        <w:t>it</w:t>
      </w:r>
      <w:r w:rsidRPr="00D86B81">
        <w:rPr>
          <w:spacing w:val="-2"/>
        </w:rPr>
        <w:t xml:space="preserve"> </w:t>
      </w:r>
      <w:r>
        <w:t>claims was</w:t>
      </w:r>
      <w:r w:rsidRPr="00D86B81">
        <w:rPr>
          <w:spacing w:val="-11"/>
        </w:rPr>
        <w:t xml:space="preserve"> </w:t>
      </w:r>
      <w:r>
        <w:t>missing</w:t>
      </w:r>
      <w:r w:rsidRPr="00D86B81">
        <w:rPr>
          <w:spacing w:val="-11"/>
        </w:rPr>
        <w:t xml:space="preserve"> </w:t>
      </w:r>
      <w:r>
        <w:t>was</w:t>
      </w:r>
      <w:r w:rsidRPr="00D86B81">
        <w:rPr>
          <w:spacing w:val="-11"/>
        </w:rPr>
        <w:t xml:space="preserve"> </w:t>
      </w:r>
      <w:r>
        <w:t>only</w:t>
      </w:r>
      <w:r w:rsidRPr="00D86B81">
        <w:rPr>
          <w:spacing w:val="-12"/>
        </w:rPr>
        <w:t xml:space="preserve"> </w:t>
      </w:r>
      <w:r>
        <w:t>necessary</w:t>
      </w:r>
      <w:r w:rsidRPr="00D86B81">
        <w:rPr>
          <w:spacing w:val="-12"/>
        </w:rPr>
        <w:t xml:space="preserve"> </w:t>
      </w:r>
      <w:r>
        <w:t>to</w:t>
      </w:r>
      <w:r w:rsidRPr="00D86B81">
        <w:rPr>
          <w:spacing w:val="-14"/>
        </w:rPr>
        <w:t xml:space="preserve"> </w:t>
      </w:r>
      <w:r>
        <w:t>verify</w:t>
      </w:r>
      <w:r w:rsidRPr="00D86B81">
        <w:rPr>
          <w:spacing w:val="-11"/>
        </w:rPr>
        <w:t xml:space="preserve"> </w:t>
      </w:r>
      <w:r>
        <w:t>the</w:t>
      </w:r>
      <w:r w:rsidRPr="00D86B81">
        <w:rPr>
          <w:spacing w:val="-13"/>
        </w:rPr>
        <w:t xml:space="preserve"> </w:t>
      </w:r>
      <w:r>
        <w:t>data</w:t>
      </w:r>
      <w:r w:rsidRPr="00D86B81">
        <w:rPr>
          <w:spacing w:val="-13"/>
        </w:rPr>
        <w:t xml:space="preserve"> </w:t>
      </w:r>
      <w:r>
        <w:t>provided.</w:t>
      </w:r>
      <w:r w:rsidRPr="00D86B81">
        <w:rPr>
          <w:spacing w:val="-11"/>
        </w:rPr>
        <w:t xml:space="preserve"> </w:t>
      </w:r>
      <w:r>
        <w:t>Accordingly,</w:t>
      </w:r>
      <w:r w:rsidRPr="00D86B81">
        <w:rPr>
          <w:spacing w:val="-11"/>
        </w:rPr>
        <w:t xml:space="preserve"> </w:t>
      </w:r>
      <w:r>
        <w:t>before</w:t>
      </w:r>
      <w:r w:rsidRPr="00D86B81">
        <w:rPr>
          <w:spacing w:val="-13"/>
        </w:rPr>
        <w:t xml:space="preserve"> </w:t>
      </w:r>
      <w:r>
        <w:t>discarding</w:t>
      </w:r>
      <w:r w:rsidRPr="00D86B81">
        <w:rPr>
          <w:spacing w:val="-11"/>
        </w:rPr>
        <w:t xml:space="preserve"> </w:t>
      </w:r>
      <w:r>
        <w:t>the data that Casella Wines did provide, MOFCOM was required to consider whether that data was</w:t>
      </w:r>
      <w:r w:rsidRPr="00D86B81">
        <w:rPr>
          <w:spacing w:val="-7"/>
        </w:rPr>
        <w:t xml:space="preserve"> </w:t>
      </w:r>
      <w:r>
        <w:t>objectively</w:t>
      </w:r>
      <w:r w:rsidRPr="00D86B81">
        <w:rPr>
          <w:spacing w:val="-7"/>
        </w:rPr>
        <w:t xml:space="preserve"> </w:t>
      </w:r>
      <w:r>
        <w:t>verifiable</w:t>
      </w:r>
      <w:r w:rsidRPr="00D86B81">
        <w:rPr>
          <w:spacing w:val="-8"/>
        </w:rPr>
        <w:t xml:space="preserve"> </w:t>
      </w:r>
      <w:r>
        <w:t>or</w:t>
      </w:r>
      <w:r w:rsidRPr="00D86B81">
        <w:rPr>
          <w:spacing w:val="-11"/>
        </w:rPr>
        <w:t xml:space="preserve"> </w:t>
      </w:r>
      <w:r>
        <w:t>not.</w:t>
      </w:r>
      <w:r w:rsidRPr="00D86B81">
        <w:rPr>
          <w:spacing w:val="-7"/>
        </w:rPr>
        <w:t xml:space="preserve"> </w:t>
      </w:r>
      <w:r>
        <w:t>It</w:t>
      </w:r>
      <w:r w:rsidRPr="00D86B81">
        <w:rPr>
          <w:spacing w:val="-8"/>
        </w:rPr>
        <w:t xml:space="preserve"> </w:t>
      </w:r>
      <w:r>
        <w:t>did</w:t>
      </w:r>
      <w:r w:rsidRPr="00D86B81">
        <w:rPr>
          <w:spacing w:val="-10"/>
        </w:rPr>
        <w:t xml:space="preserve"> </w:t>
      </w:r>
      <w:r>
        <w:t>not</w:t>
      </w:r>
      <w:r w:rsidRPr="00D86B81">
        <w:rPr>
          <w:spacing w:val="-8"/>
        </w:rPr>
        <w:t xml:space="preserve"> </w:t>
      </w:r>
      <w:r>
        <w:t>do</w:t>
      </w:r>
      <w:r w:rsidRPr="00D86B81">
        <w:rPr>
          <w:spacing w:val="-11"/>
        </w:rPr>
        <w:t xml:space="preserve"> </w:t>
      </w:r>
      <w:r>
        <w:t>this.</w:t>
      </w:r>
      <w:r w:rsidRPr="00D86B81">
        <w:rPr>
          <w:spacing w:val="-12"/>
        </w:rPr>
        <w:t xml:space="preserve"> </w:t>
      </w:r>
      <w:r>
        <w:t>Instead,</w:t>
      </w:r>
      <w:r w:rsidRPr="00D86B81">
        <w:rPr>
          <w:spacing w:val="-11"/>
        </w:rPr>
        <w:t xml:space="preserve"> </w:t>
      </w:r>
      <w:r>
        <w:t>it</w:t>
      </w:r>
      <w:r w:rsidRPr="00D86B81">
        <w:rPr>
          <w:spacing w:val="-8"/>
        </w:rPr>
        <w:t xml:space="preserve"> </w:t>
      </w:r>
      <w:r>
        <w:t>considered</w:t>
      </w:r>
      <w:r w:rsidRPr="00D86B81">
        <w:rPr>
          <w:spacing w:val="-10"/>
        </w:rPr>
        <w:t xml:space="preserve"> </w:t>
      </w:r>
      <w:r>
        <w:t>only</w:t>
      </w:r>
      <w:r w:rsidRPr="00D86B81">
        <w:rPr>
          <w:spacing w:val="-12"/>
        </w:rPr>
        <w:t xml:space="preserve"> </w:t>
      </w:r>
      <w:r>
        <w:t>whether</w:t>
      </w:r>
      <w:r w:rsidRPr="00D86B81">
        <w:rPr>
          <w:spacing w:val="-11"/>
        </w:rPr>
        <w:t xml:space="preserve"> </w:t>
      </w:r>
      <w:r>
        <w:t>it</w:t>
      </w:r>
      <w:r w:rsidRPr="00D86B81">
        <w:rPr>
          <w:spacing w:val="-8"/>
        </w:rPr>
        <w:t xml:space="preserve"> </w:t>
      </w:r>
      <w:r>
        <w:t>could verify</w:t>
      </w:r>
      <w:r w:rsidRPr="00D86B81">
        <w:rPr>
          <w:spacing w:val="-10"/>
        </w:rPr>
        <w:t xml:space="preserve"> </w:t>
      </w:r>
      <w:r>
        <w:t>the</w:t>
      </w:r>
      <w:r w:rsidRPr="00D86B81">
        <w:rPr>
          <w:spacing w:val="-11"/>
        </w:rPr>
        <w:t xml:space="preserve"> </w:t>
      </w:r>
      <w:r>
        <w:t>data</w:t>
      </w:r>
      <w:r w:rsidRPr="00D86B81">
        <w:rPr>
          <w:spacing w:val="-11"/>
        </w:rPr>
        <w:t xml:space="preserve"> </w:t>
      </w:r>
      <w:r>
        <w:t>based</w:t>
      </w:r>
      <w:r w:rsidRPr="00D86B81">
        <w:rPr>
          <w:spacing w:val="-8"/>
        </w:rPr>
        <w:t xml:space="preserve"> </w:t>
      </w:r>
      <w:r>
        <w:t>on</w:t>
      </w:r>
      <w:r w:rsidRPr="00D86B81">
        <w:rPr>
          <w:spacing w:val="-8"/>
        </w:rPr>
        <w:t xml:space="preserve"> </w:t>
      </w:r>
      <w:r>
        <w:t>the</w:t>
      </w:r>
      <w:r w:rsidRPr="00D86B81">
        <w:rPr>
          <w:spacing w:val="-11"/>
        </w:rPr>
        <w:t xml:space="preserve"> </w:t>
      </w:r>
      <w:r>
        <w:t>information</w:t>
      </w:r>
      <w:r w:rsidRPr="00D86B81">
        <w:rPr>
          <w:spacing w:val="-13"/>
        </w:rPr>
        <w:t xml:space="preserve"> </w:t>
      </w:r>
      <w:r>
        <w:t>it</w:t>
      </w:r>
      <w:r w:rsidRPr="00D86B81">
        <w:rPr>
          <w:spacing w:val="-6"/>
        </w:rPr>
        <w:t xml:space="preserve"> </w:t>
      </w:r>
      <w:r>
        <w:t>had</w:t>
      </w:r>
      <w:r w:rsidRPr="00D86B81">
        <w:rPr>
          <w:spacing w:val="-13"/>
        </w:rPr>
        <w:t xml:space="preserve"> </w:t>
      </w:r>
      <w:r>
        <w:t>already</w:t>
      </w:r>
      <w:r w:rsidRPr="00D86B81">
        <w:rPr>
          <w:spacing w:val="-10"/>
        </w:rPr>
        <w:t xml:space="preserve"> </w:t>
      </w:r>
      <w:r>
        <w:t>requested</w:t>
      </w:r>
      <w:r w:rsidRPr="00D86B81">
        <w:rPr>
          <w:spacing w:val="-13"/>
        </w:rPr>
        <w:t xml:space="preserve"> </w:t>
      </w:r>
      <w:r>
        <w:t>in</w:t>
      </w:r>
      <w:r w:rsidRPr="00D86B81">
        <w:rPr>
          <w:spacing w:val="-8"/>
        </w:rPr>
        <w:t xml:space="preserve"> </w:t>
      </w:r>
      <w:r>
        <w:t>the</w:t>
      </w:r>
      <w:r w:rsidRPr="00D86B81">
        <w:rPr>
          <w:spacing w:val="-11"/>
        </w:rPr>
        <w:t xml:space="preserve"> </w:t>
      </w:r>
      <w:r>
        <w:t>various</w:t>
      </w:r>
      <w:r w:rsidRPr="00D86B81">
        <w:rPr>
          <w:spacing w:val="-5"/>
        </w:rPr>
        <w:t xml:space="preserve"> </w:t>
      </w:r>
      <w:r>
        <w:t>forms.</w:t>
      </w:r>
      <w:r w:rsidRPr="00D86B81">
        <w:rPr>
          <w:spacing w:val="-10"/>
        </w:rPr>
        <w:t xml:space="preserve"> </w:t>
      </w:r>
      <w:r>
        <w:t>Casella Wines had explained why the data MOFCOM requested to facilitate verification was not suitable for that purpose. Yet MOFCOM did not consider whether the data was verifiable by any other means as required by paragraph 3 of Annex II. Instead, it simply disregarded all of the data provided by Casella Wines without basis.</w:t>
      </w:r>
      <w:hyperlink w:anchor="_bookmark455" w:history="1">
        <w:r w:rsidRPr="00D86B81">
          <w:rPr>
            <w:vertAlign w:val="superscript"/>
          </w:rPr>
          <w:t>369</w:t>
        </w:r>
      </w:hyperlink>
    </w:p>
    <w:p w14:paraId="62D182E0" w14:textId="663C2008" w:rsidR="00BD462C" w:rsidRDefault="00D70C7D">
      <w:pPr>
        <w:pStyle w:val="BodyText"/>
        <w:spacing w:before="6"/>
        <w:rPr>
          <w:sz w:val="12"/>
        </w:rPr>
      </w:pPr>
      <w:r>
        <w:rPr>
          <w:noProof/>
        </w:rPr>
        <mc:AlternateContent>
          <mc:Choice Requires="wps">
            <w:drawing>
              <wp:anchor distT="0" distB="0" distL="0" distR="0" simplePos="0" relativeHeight="487699456" behindDoc="1" locked="0" layoutInCell="1" allowOverlap="1" wp14:anchorId="02244AAF" wp14:editId="4814DE98">
                <wp:simplePos x="0" y="0"/>
                <wp:positionH relativeFrom="page">
                  <wp:posOffset>899160</wp:posOffset>
                </wp:positionH>
                <wp:positionV relativeFrom="paragraph">
                  <wp:posOffset>112395</wp:posOffset>
                </wp:positionV>
                <wp:extent cx="1828800" cy="8890"/>
                <wp:effectExtent l="0" t="0" r="0" b="0"/>
                <wp:wrapTopAndBottom/>
                <wp:docPr id="952" name="docshape2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BCC95B" id="docshape240" o:spid="_x0000_s1026" alt="&quot;&quot;" style="position:absolute;margin-left:70.8pt;margin-top:8.85pt;width:2in;height:.7pt;z-index:-15617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" fillcolor="black" stroked="f">
                <w10:wrap type="topAndBottom" anchorx="page"/>
              </v:rect>
            </w:pict>
          </mc:Fallback>
        </mc:AlternateContent>
      </w:r>
    </w:p>
    <w:p w14:paraId="1A96A3CB" w14:textId="77777777" w:rsidR="00BD462C" w:rsidRDefault="00033D0F">
      <w:pPr>
        <w:spacing w:before="112"/>
        <w:ind w:left="135"/>
        <w:rPr>
          <w:sz w:val="18"/>
        </w:rPr>
      </w:pPr>
      <w:bookmarkStart w:id="523" w:name="_bookmark452"/>
      <w:bookmarkEnd w:id="523"/>
      <w:r>
        <w:rPr>
          <w:position w:val="5"/>
          <w:sz w:val="12"/>
        </w:rPr>
        <w:t>366</w:t>
      </w:r>
      <w:r>
        <w:rPr>
          <w:spacing w:val="15"/>
          <w:position w:val="5"/>
          <w:sz w:val="12"/>
        </w:rPr>
        <w:t xml:space="preserve"> </w:t>
      </w:r>
      <w:r>
        <w:rPr>
          <w:sz w:val="18"/>
        </w:rPr>
        <w:t>Panel</w:t>
      </w:r>
      <w:r>
        <w:rPr>
          <w:spacing w:val="-3"/>
          <w:sz w:val="18"/>
        </w:rPr>
        <w:t xml:space="preserve"> </w:t>
      </w:r>
      <w:r>
        <w:rPr>
          <w:sz w:val="18"/>
        </w:rPr>
        <w:t>Report,</w:t>
      </w:r>
      <w:r>
        <w:rPr>
          <w:spacing w:val="-3"/>
          <w:sz w:val="18"/>
        </w:rPr>
        <w:t xml:space="preserve"> </w:t>
      </w:r>
      <w:r>
        <w:rPr>
          <w:i/>
          <w:sz w:val="18"/>
        </w:rPr>
        <w:t>US</w:t>
      </w:r>
      <w:r>
        <w:rPr>
          <w:i/>
          <w:spacing w:val="-5"/>
          <w:sz w:val="18"/>
        </w:rPr>
        <w:t xml:space="preserve"> </w:t>
      </w:r>
      <w:r>
        <w:rPr>
          <w:i/>
          <w:sz w:val="18"/>
        </w:rPr>
        <w:t>– Steel</w:t>
      </w:r>
      <w:r>
        <w:rPr>
          <w:i/>
          <w:spacing w:val="-2"/>
          <w:sz w:val="18"/>
        </w:rPr>
        <w:t xml:space="preserve"> </w:t>
      </w:r>
      <w:r>
        <w:rPr>
          <w:i/>
          <w:sz w:val="18"/>
        </w:rPr>
        <w:t>Plate</w:t>
      </w:r>
      <w:r>
        <w:rPr>
          <w:sz w:val="18"/>
        </w:rPr>
        <w:t>,</w:t>
      </w:r>
      <w:r>
        <w:rPr>
          <w:spacing w:val="-2"/>
          <w:sz w:val="18"/>
        </w:rPr>
        <w:t xml:space="preserve"> </w:t>
      </w:r>
      <w:r>
        <w:rPr>
          <w:sz w:val="18"/>
        </w:rPr>
        <w:t>para.</w:t>
      </w:r>
      <w:r>
        <w:rPr>
          <w:spacing w:val="-3"/>
          <w:sz w:val="18"/>
        </w:rPr>
        <w:t xml:space="preserve"> </w:t>
      </w:r>
      <w:r>
        <w:rPr>
          <w:spacing w:val="-4"/>
          <w:sz w:val="18"/>
        </w:rPr>
        <w:t>7.71.</w:t>
      </w:r>
    </w:p>
    <w:p w14:paraId="2016631D" w14:textId="77777777" w:rsidR="00BD462C" w:rsidRDefault="00033D0F">
      <w:pPr>
        <w:spacing w:before="1"/>
        <w:ind w:left="135"/>
        <w:rPr>
          <w:sz w:val="18"/>
        </w:rPr>
      </w:pPr>
      <w:bookmarkStart w:id="524" w:name="_bookmark453"/>
      <w:bookmarkEnd w:id="524"/>
      <w:r>
        <w:rPr>
          <w:position w:val="5"/>
          <w:sz w:val="12"/>
        </w:rPr>
        <w:t>367</w:t>
      </w:r>
      <w:r>
        <w:rPr>
          <w:spacing w:val="14"/>
          <w:position w:val="5"/>
          <w:sz w:val="12"/>
        </w:rPr>
        <w:t xml:space="preserve"> </w:t>
      </w:r>
      <w:r>
        <w:rPr>
          <w:sz w:val="18"/>
        </w:rPr>
        <w:t>Panel</w:t>
      </w:r>
      <w:r>
        <w:rPr>
          <w:spacing w:val="-4"/>
          <w:sz w:val="18"/>
        </w:rPr>
        <w:t xml:space="preserve"> </w:t>
      </w:r>
      <w:r>
        <w:rPr>
          <w:sz w:val="18"/>
        </w:rPr>
        <w:t>Report,</w:t>
      </w:r>
      <w:r>
        <w:rPr>
          <w:spacing w:val="-7"/>
          <w:sz w:val="18"/>
        </w:rPr>
        <w:t xml:space="preserve"> </w:t>
      </w:r>
      <w:r>
        <w:rPr>
          <w:i/>
          <w:sz w:val="18"/>
        </w:rPr>
        <w:t>EC</w:t>
      </w:r>
      <w:r>
        <w:rPr>
          <w:i/>
          <w:spacing w:val="-4"/>
          <w:sz w:val="18"/>
        </w:rPr>
        <w:t xml:space="preserve"> </w:t>
      </w:r>
      <w:r>
        <w:rPr>
          <w:i/>
          <w:sz w:val="18"/>
        </w:rPr>
        <w:t>–</w:t>
      </w:r>
      <w:r>
        <w:rPr>
          <w:i/>
          <w:spacing w:val="-1"/>
          <w:sz w:val="18"/>
        </w:rPr>
        <w:t xml:space="preserve"> </w:t>
      </w:r>
      <w:r>
        <w:rPr>
          <w:i/>
          <w:sz w:val="18"/>
        </w:rPr>
        <w:t>Salmon</w:t>
      </w:r>
      <w:r>
        <w:rPr>
          <w:i/>
          <w:spacing w:val="-3"/>
          <w:sz w:val="18"/>
        </w:rPr>
        <w:t xml:space="preserve"> </w:t>
      </w:r>
      <w:r>
        <w:rPr>
          <w:i/>
          <w:sz w:val="18"/>
        </w:rPr>
        <w:t>(Norway)</w:t>
      </w:r>
      <w:r>
        <w:rPr>
          <w:sz w:val="18"/>
        </w:rPr>
        <w:t>,</w:t>
      </w:r>
      <w:r>
        <w:rPr>
          <w:spacing w:val="2"/>
          <w:sz w:val="18"/>
        </w:rPr>
        <w:t xml:space="preserve"> </w:t>
      </w:r>
      <w:r>
        <w:rPr>
          <w:sz w:val="18"/>
        </w:rPr>
        <w:t>para.</w:t>
      </w:r>
      <w:r>
        <w:rPr>
          <w:spacing w:val="1"/>
          <w:sz w:val="18"/>
        </w:rPr>
        <w:t xml:space="preserve"> </w:t>
      </w:r>
      <w:r>
        <w:rPr>
          <w:spacing w:val="-2"/>
          <w:sz w:val="18"/>
        </w:rPr>
        <w:t>7.360.</w:t>
      </w:r>
    </w:p>
    <w:p w14:paraId="15E50423" w14:textId="77777777" w:rsidR="00BD462C" w:rsidRDefault="00033D0F">
      <w:pPr>
        <w:spacing w:before="1"/>
        <w:ind w:left="135"/>
        <w:rPr>
          <w:sz w:val="18"/>
        </w:rPr>
      </w:pPr>
      <w:bookmarkStart w:id="525" w:name="_bookmark454"/>
      <w:bookmarkEnd w:id="525"/>
      <w:r>
        <w:rPr>
          <w:position w:val="5"/>
          <w:sz w:val="12"/>
        </w:rPr>
        <w:t>368</w:t>
      </w:r>
      <w:r>
        <w:rPr>
          <w:spacing w:val="14"/>
          <w:position w:val="5"/>
          <w:sz w:val="12"/>
        </w:rPr>
        <w:t xml:space="preserve"> </w:t>
      </w:r>
      <w:r>
        <w:rPr>
          <w:sz w:val="18"/>
        </w:rPr>
        <w:t>Panel</w:t>
      </w:r>
      <w:r>
        <w:rPr>
          <w:spacing w:val="-4"/>
          <w:sz w:val="18"/>
        </w:rPr>
        <w:t xml:space="preserve"> </w:t>
      </w:r>
      <w:r>
        <w:rPr>
          <w:sz w:val="18"/>
        </w:rPr>
        <w:t>Report,</w:t>
      </w:r>
      <w:r>
        <w:rPr>
          <w:spacing w:val="-7"/>
          <w:sz w:val="18"/>
        </w:rPr>
        <w:t xml:space="preserve"> </w:t>
      </w:r>
      <w:r>
        <w:rPr>
          <w:i/>
          <w:sz w:val="18"/>
        </w:rPr>
        <w:t>EC</w:t>
      </w:r>
      <w:r>
        <w:rPr>
          <w:i/>
          <w:spacing w:val="-4"/>
          <w:sz w:val="18"/>
        </w:rPr>
        <w:t xml:space="preserve"> </w:t>
      </w:r>
      <w:r>
        <w:rPr>
          <w:i/>
          <w:sz w:val="18"/>
        </w:rPr>
        <w:t>–</w:t>
      </w:r>
      <w:r>
        <w:rPr>
          <w:i/>
          <w:spacing w:val="-1"/>
          <w:sz w:val="18"/>
        </w:rPr>
        <w:t xml:space="preserve"> </w:t>
      </w:r>
      <w:r>
        <w:rPr>
          <w:i/>
          <w:sz w:val="18"/>
        </w:rPr>
        <w:t>Salmon</w:t>
      </w:r>
      <w:r>
        <w:rPr>
          <w:i/>
          <w:spacing w:val="-3"/>
          <w:sz w:val="18"/>
        </w:rPr>
        <w:t xml:space="preserve"> </w:t>
      </w:r>
      <w:r>
        <w:rPr>
          <w:i/>
          <w:sz w:val="18"/>
        </w:rPr>
        <w:t>(Norway)</w:t>
      </w:r>
      <w:r>
        <w:rPr>
          <w:sz w:val="18"/>
        </w:rPr>
        <w:t>,</w:t>
      </w:r>
      <w:r>
        <w:rPr>
          <w:spacing w:val="2"/>
          <w:sz w:val="18"/>
        </w:rPr>
        <w:t xml:space="preserve"> </w:t>
      </w:r>
      <w:r>
        <w:rPr>
          <w:sz w:val="18"/>
        </w:rPr>
        <w:t>para.</w:t>
      </w:r>
      <w:r>
        <w:rPr>
          <w:spacing w:val="1"/>
          <w:sz w:val="18"/>
        </w:rPr>
        <w:t xml:space="preserve"> </w:t>
      </w:r>
      <w:r>
        <w:rPr>
          <w:spacing w:val="-2"/>
          <w:sz w:val="18"/>
        </w:rPr>
        <w:t>7.360.</w:t>
      </w:r>
    </w:p>
    <w:p w14:paraId="0DDC79D3" w14:textId="77777777" w:rsidR="00BD462C" w:rsidRDefault="00033D0F">
      <w:pPr>
        <w:spacing w:before="1"/>
        <w:ind w:left="135"/>
        <w:rPr>
          <w:sz w:val="18"/>
        </w:rPr>
      </w:pPr>
      <w:bookmarkStart w:id="526" w:name="_bookmark455"/>
      <w:bookmarkEnd w:id="526"/>
      <w:r>
        <w:rPr>
          <w:position w:val="5"/>
          <w:sz w:val="12"/>
        </w:rPr>
        <w:t>369</w:t>
      </w:r>
      <w:r>
        <w:rPr>
          <w:spacing w:val="13"/>
          <w:position w:val="5"/>
          <w:sz w:val="12"/>
        </w:rPr>
        <w:t xml:space="preserve"> </w:t>
      </w:r>
      <w:r>
        <w:rPr>
          <w:sz w:val="18"/>
        </w:rPr>
        <w:t>Anti-Dumping</w:t>
      </w:r>
      <w:r>
        <w:rPr>
          <w:spacing w:val="-6"/>
          <w:sz w:val="18"/>
        </w:rPr>
        <w:t xml:space="preserve"> </w:t>
      </w:r>
      <w:r>
        <w:rPr>
          <w:sz w:val="18"/>
        </w:rPr>
        <w:t>Final</w:t>
      </w:r>
      <w:r>
        <w:rPr>
          <w:spacing w:val="-1"/>
          <w:sz w:val="18"/>
        </w:rPr>
        <w:t xml:space="preserve"> </w:t>
      </w:r>
      <w:r>
        <w:rPr>
          <w:sz w:val="18"/>
        </w:rPr>
        <w:t>Determination</w:t>
      </w:r>
      <w:r>
        <w:rPr>
          <w:spacing w:val="30"/>
          <w:sz w:val="18"/>
        </w:rPr>
        <w:t xml:space="preserve"> </w:t>
      </w:r>
      <w:r>
        <w:rPr>
          <w:sz w:val="18"/>
        </w:rPr>
        <w:t>(Exhibit</w:t>
      </w:r>
      <w:r>
        <w:rPr>
          <w:spacing w:val="-5"/>
          <w:sz w:val="18"/>
        </w:rPr>
        <w:t xml:space="preserve"> </w:t>
      </w:r>
      <w:r>
        <w:rPr>
          <w:sz w:val="18"/>
        </w:rPr>
        <w:t>AUS-2),</w:t>
      </w:r>
      <w:r>
        <w:rPr>
          <w:spacing w:val="1"/>
          <w:sz w:val="18"/>
        </w:rPr>
        <w:t xml:space="preserve"> </w:t>
      </w:r>
      <w:r>
        <w:rPr>
          <w:sz w:val="18"/>
        </w:rPr>
        <w:t>pp.</w:t>
      </w:r>
      <w:r>
        <w:rPr>
          <w:spacing w:val="-4"/>
          <w:sz w:val="18"/>
        </w:rPr>
        <w:t xml:space="preserve"> </w:t>
      </w:r>
      <w:r>
        <w:rPr>
          <w:sz w:val="18"/>
        </w:rPr>
        <w:t>77-</w:t>
      </w:r>
      <w:r>
        <w:rPr>
          <w:spacing w:val="-5"/>
          <w:sz w:val="18"/>
        </w:rPr>
        <w:t>84.</w:t>
      </w:r>
    </w:p>
    <w:p w14:paraId="5E3A5596" w14:textId="77777777" w:rsidR="00BD462C" w:rsidRDefault="00BD462C">
      <w:pPr>
        <w:rPr>
          <w:sz w:val="18"/>
        </w:rPr>
        <w:sectPr w:rsidR="00BD462C">
          <w:pgSz w:w="11910" w:h="16840"/>
          <w:pgMar w:top="860" w:right="500" w:bottom="780" w:left="1280" w:header="566" w:footer="590" w:gutter="0"/>
          <w:cols w:space="720"/>
        </w:sectPr>
      </w:pPr>
    </w:p>
    <w:p w14:paraId="7EF255B2"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31CE97AF"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5D9DDE87"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0C6EC59A" w14:textId="77777777" w:rsidR="00BD462C" w:rsidRDefault="00033D0F" w:rsidP="00D86B81">
      <w:pPr>
        <w:pStyle w:val="ListParagraph"/>
        <w:numPr>
          <w:ilvl w:val="1"/>
          <w:numId w:val="69"/>
        </w:numPr>
        <w:tabs>
          <w:tab w:val="left" w:pos="3539"/>
          <w:tab w:val="left" w:pos="3540"/>
        </w:tabs>
        <w:spacing w:before="102"/>
        <w:ind w:hanging="851"/>
        <w:rPr>
          <w:sz w:val="24"/>
        </w:rPr>
      </w:pPr>
      <w:bookmarkStart w:id="527" w:name="(b)_Verification_of_&quot;clean_skin&quot;_product"/>
      <w:bookmarkEnd w:id="527"/>
      <w:r>
        <w:rPr>
          <w:sz w:val="24"/>
          <w:u w:val="single"/>
        </w:rPr>
        <w:t>Verification</w:t>
      </w:r>
      <w:r>
        <w:rPr>
          <w:spacing w:val="-5"/>
          <w:sz w:val="24"/>
          <w:u w:val="single"/>
        </w:rPr>
        <w:t xml:space="preserve"> </w:t>
      </w:r>
      <w:r>
        <w:rPr>
          <w:sz w:val="24"/>
          <w:u w:val="single"/>
        </w:rPr>
        <w:t>of</w:t>
      </w:r>
      <w:r>
        <w:rPr>
          <w:spacing w:val="-5"/>
          <w:sz w:val="24"/>
          <w:u w:val="single"/>
        </w:rPr>
        <w:t xml:space="preserve"> </w:t>
      </w:r>
      <w:r>
        <w:rPr>
          <w:sz w:val="24"/>
          <w:u w:val="single"/>
        </w:rPr>
        <w:t>"clean</w:t>
      </w:r>
      <w:r>
        <w:rPr>
          <w:spacing w:val="-4"/>
          <w:sz w:val="24"/>
          <w:u w:val="single"/>
        </w:rPr>
        <w:t xml:space="preserve"> </w:t>
      </w:r>
      <w:r>
        <w:rPr>
          <w:sz w:val="24"/>
          <w:u w:val="single"/>
        </w:rPr>
        <w:t>skin"</w:t>
      </w:r>
      <w:r>
        <w:rPr>
          <w:spacing w:val="-4"/>
          <w:sz w:val="24"/>
          <w:u w:val="single"/>
        </w:rPr>
        <w:t xml:space="preserve"> </w:t>
      </w:r>
      <w:r>
        <w:rPr>
          <w:sz w:val="24"/>
          <w:u w:val="single"/>
        </w:rPr>
        <w:t>production</w:t>
      </w:r>
      <w:r>
        <w:rPr>
          <w:spacing w:val="-4"/>
          <w:sz w:val="24"/>
          <w:u w:val="single"/>
        </w:rPr>
        <w:t xml:space="preserve"> costs</w:t>
      </w:r>
    </w:p>
    <w:p w14:paraId="109F4F48" w14:textId="77777777" w:rsidR="00BD462C" w:rsidRDefault="00BD462C">
      <w:pPr>
        <w:pStyle w:val="BodyText"/>
        <w:spacing w:before="7"/>
        <w:rPr>
          <w:sz w:val="20"/>
        </w:rPr>
      </w:pPr>
    </w:p>
    <w:p w14:paraId="4AB148AF" w14:textId="5811B55A" w:rsidR="00BD462C" w:rsidRDefault="00033D0F" w:rsidP="00D86B81">
      <w:pPr>
        <w:pStyle w:val="BodyText"/>
        <w:numPr>
          <w:ilvl w:val="0"/>
          <w:numId w:val="69"/>
        </w:numPr>
        <w:spacing w:before="56" w:line="360" w:lineRule="auto"/>
        <w:ind w:right="914" w:hanging="638"/>
        <w:jc w:val="both"/>
      </w:pPr>
      <w:r>
        <w:rPr>
          <w:position w:val="1"/>
        </w:rPr>
        <w:t>China</w:t>
      </w:r>
      <w:r>
        <w:rPr>
          <w:spacing w:val="-3"/>
          <w:position w:val="1"/>
        </w:rPr>
        <w:t xml:space="preserve"> </w:t>
      </w:r>
      <w:r>
        <w:rPr>
          <w:position w:val="1"/>
        </w:rPr>
        <w:t>asserts</w:t>
      </w:r>
      <w:r>
        <w:rPr>
          <w:spacing w:val="-1"/>
          <w:position w:val="1"/>
        </w:rPr>
        <w:t xml:space="preserve"> </w:t>
      </w:r>
      <w:r>
        <w:rPr>
          <w:position w:val="1"/>
        </w:rPr>
        <w:t>that</w:t>
      </w:r>
      <w:r>
        <w:rPr>
          <w:spacing w:val="-2"/>
          <w:position w:val="1"/>
        </w:rPr>
        <w:t xml:space="preserve"> </w:t>
      </w:r>
      <w:r>
        <w:rPr>
          <w:position w:val="1"/>
        </w:rPr>
        <w:t>Casella</w:t>
      </w:r>
      <w:r>
        <w:rPr>
          <w:spacing w:val="-3"/>
          <w:position w:val="1"/>
        </w:rPr>
        <w:t xml:space="preserve"> </w:t>
      </w:r>
      <w:r>
        <w:rPr>
          <w:position w:val="1"/>
        </w:rPr>
        <w:t>Wines</w:t>
      </w:r>
      <w:r>
        <w:rPr>
          <w:spacing w:val="-1"/>
          <w:position w:val="1"/>
        </w:rPr>
        <w:t xml:space="preserve"> </w:t>
      </w:r>
      <w:r>
        <w:rPr>
          <w:position w:val="1"/>
        </w:rPr>
        <w:t>did</w:t>
      </w:r>
      <w:r>
        <w:rPr>
          <w:spacing w:val="-4"/>
          <w:position w:val="1"/>
        </w:rPr>
        <w:t xml:space="preserve"> </w:t>
      </w:r>
      <w:r>
        <w:rPr>
          <w:position w:val="1"/>
        </w:rPr>
        <w:t>not</w:t>
      </w:r>
      <w:r>
        <w:rPr>
          <w:spacing w:val="-2"/>
          <w:position w:val="1"/>
        </w:rPr>
        <w:t xml:space="preserve"> </w:t>
      </w:r>
      <w:r>
        <w:rPr>
          <w:position w:val="1"/>
        </w:rPr>
        <w:t>submit</w:t>
      </w:r>
      <w:r>
        <w:rPr>
          <w:spacing w:val="-2"/>
          <w:position w:val="1"/>
        </w:rPr>
        <w:t xml:space="preserve"> </w:t>
      </w:r>
      <w:r>
        <w:rPr>
          <w:position w:val="1"/>
        </w:rPr>
        <w:t>data</w:t>
      </w:r>
      <w:r>
        <w:rPr>
          <w:spacing w:val="-3"/>
          <w:position w:val="1"/>
        </w:rPr>
        <w:t xml:space="preserve"> </w:t>
      </w:r>
      <w:r>
        <w:rPr>
          <w:position w:val="1"/>
        </w:rPr>
        <w:t>relating</w:t>
      </w:r>
      <w:r>
        <w:rPr>
          <w:spacing w:val="-6"/>
          <w:position w:val="1"/>
        </w:rPr>
        <w:t xml:space="preserve"> </w:t>
      </w:r>
      <w:r>
        <w:rPr>
          <w:position w:val="1"/>
        </w:rPr>
        <w:t>to</w:t>
      </w:r>
      <w:r>
        <w:rPr>
          <w:spacing w:val="-5"/>
          <w:position w:val="1"/>
        </w:rPr>
        <w:t xml:space="preserve"> </w:t>
      </w:r>
      <w:r>
        <w:rPr>
          <w:position w:val="1"/>
        </w:rPr>
        <w:t>the</w:t>
      </w:r>
      <w:r>
        <w:rPr>
          <w:spacing w:val="-3"/>
          <w:position w:val="1"/>
        </w:rPr>
        <w:t xml:space="preserve"> </w:t>
      </w:r>
      <w:r>
        <w:rPr>
          <w:position w:val="1"/>
        </w:rPr>
        <w:t>production</w:t>
      </w:r>
      <w:r>
        <w:rPr>
          <w:spacing w:val="-4"/>
          <w:position w:val="1"/>
        </w:rPr>
        <w:t xml:space="preserve"> </w:t>
      </w:r>
      <w:r>
        <w:rPr>
          <w:position w:val="1"/>
        </w:rPr>
        <w:t xml:space="preserve">costs </w:t>
      </w:r>
      <w:r>
        <w:t>of</w:t>
      </w:r>
      <w:r>
        <w:rPr>
          <w:spacing w:val="-14"/>
        </w:rPr>
        <w:t xml:space="preserve"> </w:t>
      </w:r>
      <w:r>
        <w:t>the</w:t>
      </w:r>
      <w:r>
        <w:rPr>
          <w:spacing w:val="-7"/>
        </w:rPr>
        <w:t xml:space="preserve"> </w:t>
      </w:r>
      <w:r>
        <w:t>"clean</w:t>
      </w:r>
      <w:r>
        <w:rPr>
          <w:spacing w:val="-14"/>
        </w:rPr>
        <w:t xml:space="preserve"> </w:t>
      </w:r>
      <w:r>
        <w:t>skin"</w:t>
      </w:r>
      <w:r>
        <w:rPr>
          <w:spacing w:val="-13"/>
        </w:rPr>
        <w:t xml:space="preserve"> </w:t>
      </w:r>
      <w:r>
        <w:t>wine,</w:t>
      </w:r>
      <w:r>
        <w:rPr>
          <w:spacing w:val="-10"/>
        </w:rPr>
        <w:t xml:space="preserve"> </w:t>
      </w:r>
      <w:r>
        <w:t>an</w:t>
      </w:r>
      <w:r>
        <w:rPr>
          <w:spacing w:val="-14"/>
        </w:rPr>
        <w:t xml:space="preserve"> </w:t>
      </w:r>
      <w:r>
        <w:t>input.</w:t>
      </w:r>
      <w:r>
        <w:rPr>
          <w:spacing w:val="-11"/>
        </w:rPr>
        <w:t xml:space="preserve"> </w:t>
      </w:r>
      <w:r>
        <w:t>China's</w:t>
      </w:r>
      <w:r>
        <w:rPr>
          <w:spacing w:val="-10"/>
        </w:rPr>
        <w:t xml:space="preserve"> </w:t>
      </w:r>
      <w:r>
        <w:t>only</w:t>
      </w:r>
      <w:r>
        <w:rPr>
          <w:spacing w:val="-11"/>
        </w:rPr>
        <w:t xml:space="preserve"> </w:t>
      </w:r>
      <w:r>
        <w:t>argument</w:t>
      </w:r>
      <w:r>
        <w:rPr>
          <w:spacing w:val="-11"/>
        </w:rPr>
        <w:t xml:space="preserve"> </w:t>
      </w:r>
      <w:r>
        <w:t>in</w:t>
      </w:r>
      <w:r>
        <w:rPr>
          <w:spacing w:val="-14"/>
        </w:rPr>
        <w:t xml:space="preserve"> </w:t>
      </w:r>
      <w:proofErr w:type="spellStart"/>
      <w:r>
        <w:t>defence</w:t>
      </w:r>
      <w:proofErr w:type="spellEnd"/>
      <w:r>
        <w:rPr>
          <w:spacing w:val="-7"/>
        </w:rPr>
        <w:t xml:space="preserve"> </w:t>
      </w:r>
      <w:r>
        <w:t>of</w:t>
      </w:r>
      <w:r>
        <w:rPr>
          <w:spacing w:val="-9"/>
        </w:rPr>
        <w:t xml:space="preserve"> </w:t>
      </w:r>
      <w:r>
        <w:t>MOFCOM's</w:t>
      </w:r>
      <w:r>
        <w:rPr>
          <w:spacing w:val="-10"/>
        </w:rPr>
        <w:t xml:space="preserve"> </w:t>
      </w:r>
      <w:r>
        <w:t>compliance with paragraphs 3 and 5 of Annex II is that by failing to provide this data, Casella Wines had shown that it was not fully cooperating with the investigation.</w:t>
      </w:r>
      <w:r>
        <w:rPr>
          <w:spacing w:val="-14"/>
        </w:rPr>
        <w:t xml:space="preserve"> </w:t>
      </w:r>
      <w:hyperlink w:anchor="_bookmark456" w:history="1">
        <w:r>
          <w:rPr>
            <w:vertAlign w:val="superscript"/>
          </w:rPr>
          <w:t>370</w:t>
        </w:r>
      </w:hyperlink>
      <w:r>
        <w:t xml:space="preserve"> China claims that this relieved</w:t>
      </w:r>
      <w:r>
        <w:rPr>
          <w:spacing w:val="-10"/>
        </w:rPr>
        <w:t xml:space="preserve"> </w:t>
      </w:r>
      <w:r>
        <w:t>MOFCOM</w:t>
      </w:r>
      <w:r>
        <w:rPr>
          <w:spacing w:val="-3"/>
        </w:rPr>
        <w:t xml:space="preserve"> </w:t>
      </w:r>
      <w:r>
        <w:t>of</w:t>
      </w:r>
      <w:r>
        <w:rPr>
          <w:spacing w:val="-5"/>
        </w:rPr>
        <w:t xml:space="preserve"> </w:t>
      </w:r>
      <w:r>
        <w:t>its</w:t>
      </w:r>
      <w:r>
        <w:rPr>
          <w:spacing w:val="-2"/>
        </w:rPr>
        <w:t xml:space="preserve"> </w:t>
      </w:r>
      <w:r>
        <w:t>obligations</w:t>
      </w:r>
      <w:r>
        <w:rPr>
          <w:spacing w:val="-2"/>
        </w:rPr>
        <w:t xml:space="preserve"> </w:t>
      </w:r>
      <w:r>
        <w:t>under</w:t>
      </w:r>
      <w:r>
        <w:rPr>
          <w:spacing w:val="-6"/>
        </w:rPr>
        <w:t xml:space="preserve"> </w:t>
      </w:r>
      <w:r>
        <w:t>paragraph</w:t>
      </w:r>
      <w:r>
        <w:rPr>
          <w:spacing w:val="-5"/>
        </w:rPr>
        <w:t xml:space="preserve"> </w:t>
      </w:r>
      <w:r>
        <w:t>5</w:t>
      </w:r>
      <w:r>
        <w:rPr>
          <w:spacing w:val="-6"/>
        </w:rPr>
        <w:t xml:space="preserve"> </w:t>
      </w:r>
      <w:r>
        <w:t>not</w:t>
      </w:r>
      <w:r>
        <w:rPr>
          <w:spacing w:val="-3"/>
        </w:rPr>
        <w:t xml:space="preserve"> </w:t>
      </w:r>
      <w:r>
        <w:t>to</w:t>
      </w:r>
      <w:r>
        <w:rPr>
          <w:spacing w:val="-6"/>
        </w:rPr>
        <w:t xml:space="preserve"> </w:t>
      </w:r>
      <w:r>
        <w:t>reject</w:t>
      </w:r>
      <w:r>
        <w:rPr>
          <w:spacing w:val="-3"/>
        </w:rPr>
        <w:t xml:space="preserve"> </w:t>
      </w:r>
      <w:r>
        <w:t>information</w:t>
      </w:r>
      <w:r>
        <w:rPr>
          <w:spacing w:val="-5"/>
        </w:rPr>
        <w:t xml:space="preserve"> </w:t>
      </w:r>
      <w:r>
        <w:t>even</w:t>
      </w:r>
      <w:r>
        <w:rPr>
          <w:spacing w:val="-5"/>
        </w:rPr>
        <w:t xml:space="preserve"> </w:t>
      </w:r>
      <w:r>
        <w:t>though it may not be ideal in all respects.</w:t>
      </w:r>
    </w:p>
    <w:p w14:paraId="0E3E3F03" w14:textId="77777777" w:rsidR="00BD462C" w:rsidRDefault="00BD462C">
      <w:pPr>
        <w:pStyle w:val="BodyText"/>
        <w:spacing w:before="8"/>
        <w:rPr>
          <w:sz w:val="8"/>
        </w:rPr>
      </w:pPr>
    </w:p>
    <w:p w14:paraId="05041CFA" w14:textId="4BCAD9AA" w:rsidR="00BD462C" w:rsidRDefault="00033D0F" w:rsidP="00D86B81">
      <w:pPr>
        <w:pStyle w:val="BodyText"/>
        <w:numPr>
          <w:ilvl w:val="0"/>
          <w:numId w:val="69"/>
        </w:numPr>
        <w:spacing w:before="56" w:line="360" w:lineRule="auto"/>
        <w:ind w:right="914" w:hanging="638"/>
        <w:jc w:val="both"/>
      </w:pPr>
      <w:r>
        <w:rPr>
          <w:position w:val="1"/>
        </w:rPr>
        <w:t xml:space="preserve">However, China's argument is flawed. Casella Wines went to great lengths to assist </w:t>
      </w:r>
      <w:r>
        <w:t>MOFCOM</w:t>
      </w:r>
      <w:r>
        <w:rPr>
          <w:spacing w:val="-13"/>
        </w:rPr>
        <w:t xml:space="preserve"> </w:t>
      </w:r>
      <w:r>
        <w:t>and</w:t>
      </w:r>
      <w:r>
        <w:rPr>
          <w:spacing w:val="-14"/>
        </w:rPr>
        <w:t xml:space="preserve"> </w:t>
      </w:r>
      <w:r>
        <w:t>cooperated</w:t>
      </w:r>
      <w:r>
        <w:rPr>
          <w:spacing w:val="-13"/>
        </w:rPr>
        <w:t xml:space="preserve"> </w:t>
      </w:r>
      <w:r>
        <w:t>fully</w:t>
      </w:r>
      <w:r>
        <w:rPr>
          <w:spacing w:val="-11"/>
        </w:rPr>
        <w:t xml:space="preserve"> </w:t>
      </w:r>
      <w:r>
        <w:t>with</w:t>
      </w:r>
      <w:r>
        <w:rPr>
          <w:spacing w:val="-14"/>
        </w:rPr>
        <w:t xml:space="preserve"> </w:t>
      </w:r>
      <w:r>
        <w:t>the</w:t>
      </w:r>
      <w:r>
        <w:rPr>
          <w:spacing w:val="-12"/>
        </w:rPr>
        <w:t xml:space="preserve"> </w:t>
      </w:r>
      <w:r>
        <w:t>investigation.</w:t>
      </w:r>
      <w:r>
        <w:rPr>
          <w:spacing w:val="-12"/>
        </w:rPr>
        <w:t xml:space="preserve"> </w:t>
      </w:r>
      <w:r>
        <w:t>China</w:t>
      </w:r>
      <w:r>
        <w:rPr>
          <w:spacing w:val="-12"/>
        </w:rPr>
        <w:t xml:space="preserve"> </w:t>
      </w:r>
      <w:r>
        <w:t>seeks</w:t>
      </w:r>
      <w:r>
        <w:rPr>
          <w:spacing w:val="-11"/>
        </w:rPr>
        <w:t xml:space="preserve"> </w:t>
      </w:r>
      <w:r>
        <w:t>to</w:t>
      </w:r>
      <w:r>
        <w:rPr>
          <w:spacing w:val="-14"/>
        </w:rPr>
        <w:t xml:space="preserve"> </w:t>
      </w:r>
      <w:r>
        <w:t>frame</w:t>
      </w:r>
      <w:r>
        <w:rPr>
          <w:spacing w:val="-12"/>
        </w:rPr>
        <w:t xml:space="preserve"> </w:t>
      </w:r>
      <w:r>
        <w:t>the</w:t>
      </w:r>
      <w:r>
        <w:rPr>
          <w:spacing w:val="-12"/>
        </w:rPr>
        <w:t xml:space="preserve"> </w:t>
      </w:r>
      <w:r>
        <w:t>Casella</w:t>
      </w:r>
      <w:r>
        <w:rPr>
          <w:spacing w:val="-12"/>
        </w:rPr>
        <w:t xml:space="preserve"> </w:t>
      </w:r>
      <w:r>
        <w:t>Wines' failure to provide the data relating to "clean skin" wine as a refusal to provide necessary information.</w:t>
      </w:r>
      <w:r>
        <w:rPr>
          <w:spacing w:val="-14"/>
        </w:rPr>
        <w:t xml:space="preserve"> </w:t>
      </w:r>
      <w:hyperlink w:anchor="_bookmark457" w:history="1">
        <w:r>
          <w:rPr>
            <w:vertAlign w:val="superscript"/>
          </w:rPr>
          <w:t>371</w:t>
        </w:r>
      </w:hyperlink>
      <w:r>
        <w:t xml:space="preserve"> In reality, as Australia has established, this data was not necessary to the investigation. As Annex II to the Anti-Dumping Agreement relates only to the procedure for substituting</w:t>
      </w:r>
      <w:r>
        <w:rPr>
          <w:spacing w:val="-6"/>
        </w:rPr>
        <w:t xml:space="preserve"> </w:t>
      </w:r>
      <w:r>
        <w:t>necessary</w:t>
      </w:r>
      <w:r>
        <w:rPr>
          <w:spacing w:val="-6"/>
        </w:rPr>
        <w:t xml:space="preserve"> </w:t>
      </w:r>
      <w:r>
        <w:t>information</w:t>
      </w:r>
      <w:r>
        <w:rPr>
          <w:spacing w:val="-9"/>
        </w:rPr>
        <w:t xml:space="preserve"> </w:t>
      </w:r>
      <w:r>
        <w:t>that</w:t>
      </w:r>
      <w:r>
        <w:rPr>
          <w:spacing w:val="-7"/>
        </w:rPr>
        <w:t xml:space="preserve"> </w:t>
      </w:r>
      <w:r>
        <w:t>is</w:t>
      </w:r>
      <w:r>
        <w:rPr>
          <w:spacing w:val="-6"/>
        </w:rPr>
        <w:t xml:space="preserve"> </w:t>
      </w:r>
      <w:r>
        <w:t>not</w:t>
      </w:r>
      <w:r>
        <w:rPr>
          <w:spacing w:val="-7"/>
        </w:rPr>
        <w:t xml:space="preserve"> </w:t>
      </w:r>
      <w:r>
        <w:t>provided</w:t>
      </w:r>
      <w:r>
        <w:rPr>
          <w:spacing w:val="-9"/>
        </w:rPr>
        <w:t xml:space="preserve"> </w:t>
      </w:r>
      <w:r>
        <w:t>or</w:t>
      </w:r>
      <w:r>
        <w:rPr>
          <w:spacing w:val="-5"/>
        </w:rPr>
        <w:t xml:space="preserve"> </w:t>
      </w:r>
      <w:r>
        <w:t>otherwise</w:t>
      </w:r>
      <w:r>
        <w:rPr>
          <w:spacing w:val="-7"/>
        </w:rPr>
        <w:t xml:space="preserve"> </w:t>
      </w:r>
      <w:r>
        <w:t>not</w:t>
      </w:r>
      <w:r>
        <w:rPr>
          <w:spacing w:val="-2"/>
        </w:rPr>
        <w:t xml:space="preserve"> </w:t>
      </w:r>
      <w:r>
        <w:t>available,</w:t>
      </w:r>
      <w:r>
        <w:rPr>
          <w:spacing w:val="-5"/>
        </w:rPr>
        <w:t xml:space="preserve"> </w:t>
      </w:r>
      <w:r>
        <w:t>it</w:t>
      </w:r>
      <w:r>
        <w:rPr>
          <w:spacing w:val="-7"/>
        </w:rPr>
        <w:t xml:space="preserve"> </w:t>
      </w:r>
      <w:r>
        <w:t>does</w:t>
      </w:r>
      <w:r>
        <w:rPr>
          <w:spacing w:val="-6"/>
        </w:rPr>
        <w:t xml:space="preserve"> </w:t>
      </w:r>
      <w:r>
        <w:t>not apply to conduct relating to information that is not necessary, including the "clean skin" production cost data.</w:t>
      </w:r>
      <w:r>
        <w:rPr>
          <w:spacing w:val="-10"/>
        </w:rPr>
        <w:t xml:space="preserve"> </w:t>
      </w:r>
      <w:hyperlink w:anchor="_bookmark458" w:history="1">
        <w:r>
          <w:rPr>
            <w:vertAlign w:val="superscript"/>
          </w:rPr>
          <w:t>372</w:t>
        </w:r>
      </w:hyperlink>
    </w:p>
    <w:p w14:paraId="09D84FDB" w14:textId="77777777" w:rsidR="00BD462C" w:rsidRDefault="00BD462C">
      <w:pPr>
        <w:pStyle w:val="BodyText"/>
        <w:spacing w:before="7"/>
        <w:rPr>
          <w:sz w:val="8"/>
        </w:rPr>
      </w:pPr>
    </w:p>
    <w:p w14:paraId="4A7C3E67" w14:textId="6E4A5D7F" w:rsidR="00BD462C" w:rsidRDefault="00033D0F" w:rsidP="00D86B81">
      <w:pPr>
        <w:pStyle w:val="BodyText"/>
        <w:numPr>
          <w:ilvl w:val="0"/>
          <w:numId w:val="69"/>
        </w:numPr>
        <w:spacing w:before="56" w:line="360" w:lineRule="auto"/>
        <w:ind w:right="915" w:hanging="638"/>
        <w:jc w:val="both"/>
      </w:pPr>
      <w:r>
        <w:rPr>
          <w:position w:val="1"/>
        </w:rPr>
        <w:t xml:space="preserve">China has also conceded that this information was requested solely to facilitate </w:t>
      </w:r>
      <w:r>
        <w:t>verification.</w:t>
      </w:r>
      <w:r>
        <w:rPr>
          <w:spacing w:val="-14"/>
        </w:rPr>
        <w:t xml:space="preserve"> </w:t>
      </w:r>
      <w:hyperlink w:anchor="_bookmark459" w:history="1">
        <w:r>
          <w:rPr>
            <w:vertAlign w:val="superscript"/>
          </w:rPr>
          <w:t>373</w:t>
        </w:r>
      </w:hyperlink>
      <w:r>
        <w:rPr>
          <w:spacing w:val="-6"/>
        </w:rPr>
        <w:t xml:space="preserve"> </w:t>
      </w:r>
      <w:r>
        <w:t>Casella Wines explained why the data was not suitable for that purpose and offered other more accurate data to facilitate verification. This is precisely the purpose of paragraph 5 of Annex II. The information offered by Casella Wines, was "not ideal in all respects" in</w:t>
      </w:r>
      <w:r>
        <w:rPr>
          <w:spacing w:val="-1"/>
        </w:rPr>
        <w:t xml:space="preserve"> </w:t>
      </w:r>
      <w:r>
        <w:t>that it was not precisely what</w:t>
      </w:r>
      <w:r>
        <w:rPr>
          <w:spacing w:val="-3"/>
        </w:rPr>
        <w:t xml:space="preserve"> </w:t>
      </w:r>
      <w:r>
        <w:t>MOFCOM had</w:t>
      </w:r>
      <w:r>
        <w:rPr>
          <w:spacing w:val="-1"/>
        </w:rPr>
        <w:t xml:space="preserve"> </w:t>
      </w:r>
      <w:r>
        <w:t>requested. Nonetheless,</w:t>
      </w:r>
      <w:r>
        <w:rPr>
          <w:spacing w:val="-1"/>
        </w:rPr>
        <w:t xml:space="preserve"> </w:t>
      </w:r>
      <w:r>
        <w:t>in</w:t>
      </w:r>
      <w:r>
        <w:rPr>
          <w:spacing w:val="-1"/>
        </w:rPr>
        <w:t xml:space="preserve"> </w:t>
      </w:r>
      <w:r>
        <w:t>offering it, Casella Wines was acting to the best of its abilities and by operation of paragraph 5 therefore, MOFCOM was not justified in disregarding it.</w:t>
      </w:r>
    </w:p>
    <w:p w14:paraId="1B72D7F4" w14:textId="77777777" w:rsidR="00BD462C" w:rsidRDefault="00BD462C">
      <w:pPr>
        <w:pStyle w:val="BodyText"/>
        <w:spacing w:before="6"/>
        <w:rPr>
          <w:sz w:val="8"/>
        </w:rPr>
      </w:pPr>
    </w:p>
    <w:p w14:paraId="1FD359A6" w14:textId="04B63EDF" w:rsidR="00BD462C" w:rsidRDefault="00033D0F" w:rsidP="00D86B81">
      <w:pPr>
        <w:pStyle w:val="BodyText"/>
        <w:numPr>
          <w:ilvl w:val="0"/>
          <w:numId w:val="69"/>
        </w:numPr>
        <w:spacing w:before="56" w:line="360" w:lineRule="auto"/>
        <w:ind w:right="921" w:hanging="638"/>
        <w:jc w:val="both"/>
      </w:pPr>
      <w:r>
        <w:rPr>
          <w:position w:val="1"/>
        </w:rPr>
        <w:t>China</w:t>
      </w:r>
      <w:r>
        <w:rPr>
          <w:spacing w:val="-7"/>
          <w:position w:val="1"/>
        </w:rPr>
        <w:t xml:space="preserve"> </w:t>
      </w:r>
      <w:r>
        <w:rPr>
          <w:position w:val="1"/>
        </w:rPr>
        <w:t>does</w:t>
      </w:r>
      <w:r>
        <w:rPr>
          <w:spacing w:val="-5"/>
          <w:position w:val="1"/>
        </w:rPr>
        <w:t xml:space="preserve"> </w:t>
      </w:r>
      <w:r>
        <w:rPr>
          <w:position w:val="1"/>
        </w:rPr>
        <w:t>not</w:t>
      </w:r>
      <w:r>
        <w:rPr>
          <w:spacing w:val="-6"/>
          <w:position w:val="1"/>
        </w:rPr>
        <w:t xml:space="preserve"> </w:t>
      </w:r>
      <w:r>
        <w:rPr>
          <w:position w:val="1"/>
        </w:rPr>
        <w:t>complain</w:t>
      </w:r>
      <w:r>
        <w:rPr>
          <w:spacing w:val="-8"/>
          <w:position w:val="1"/>
        </w:rPr>
        <w:t xml:space="preserve"> </w:t>
      </w:r>
      <w:r>
        <w:rPr>
          <w:position w:val="1"/>
        </w:rPr>
        <w:t>that</w:t>
      </w:r>
      <w:r>
        <w:rPr>
          <w:spacing w:val="-6"/>
          <w:position w:val="1"/>
        </w:rPr>
        <w:t xml:space="preserve"> </w:t>
      </w:r>
      <w:r>
        <w:rPr>
          <w:position w:val="1"/>
        </w:rPr>
        <w:t>the</w:t>
      </w:r>
      <w:r>
        <w:rPr>
          <w:spacing w:val="-2"/>
          <w:position w:val="1"/>
        </w:rPr>
        <w:t xml:space="preserve"> </w:t>
      </w:r>
      <w:r>
        <w:rPr>
          <w:position w:val="1"/>
        </w:rPr>
        <w:t>data</w:t>
      </w:r>
      <w:r>
        <w:rPr>
          <w:spacing w:val="-6"/>
          <w:position w:val="1"/>
        </w:rPr>
        <w:t xml:space="preserve"> </w:t>
      </w:r>
      <w:r>
        <w:rPr>
          <w:position w:val="1"/>
        </w:rPr>
        <w:t>submitted</w:t>
      </w:r>
      <w:r>
        <w:rPr>
          <w:spacing w:val="-8"/>
          <w:position w:val="1"/>
        </w:rPr>
        <w:t xml:space="preserve"> </w:t>
      </w:r>
      <w:r>
        <w:rPr>
          <w:position w:val="1"/>
        </w:rPr>
        <w:t>by</w:t>
      </w:r>
      <w:r>
        <w:rPr>
          <w:spacing w:val="-5"/>
          <w:position w:val="1"/>
        </w:rPr>
        <w:t xml:space="preserve"> </w:t>
      </w:r>
      <w:r>
        <w:rPr>
          <w:position w:val="1"/>
        </w:rPr>
        <w:t>Casella</w:t>
      </w:r>
      <w:r>
        <w:rPr>
          <w:spacing w:val="-6"/>
          <w:position w:val="1"/>
        </w:rPr>
        <w:t xml:space="preserve"> </w:t>
      </w:r>
      <w:r>
        <w:rPr>
          <w:position w:val="1"/>
        </w:rPr>
        <w:t>Wines</w:t>
      </w:r>
      <w:r>
        <w:rPr>
          <w:spacing w:val="-5"/>
          <w:position w:val="1"/>
        </w:rPr>
        <w:t xml:space="preserve"> </w:t>
      </w:r>
      <w:r>
        <w:rPr>
          <w:position w:val="1"/>
        </w:rPr>
        <w:t>otherwise</w:t>
      </w:r>
      <w:r>
        <w:rPr>
          <w:spacing w:val="-6"/>
          <w:position w:val="1"/>
        </w:rPr>
        <w:t xml:space="preserve"> </w:t>
      </w:r>
      <w:r>
        <w:rPr>
          <w:position w:val="1"/>
        </w:rPr>
        <w:t>did</w:t>
      </w:r>
      <w:r>
        <w:rPr>
          <w:spacing w:val="-8"/>
          <w:position w:val="1"/>
        </w:rPr>
        <w:t xml:space="preserve"> </w:t>
      </w:r>
      <w:r>
        <w:rPr>
          <w:position w:val="1"/>
        </w:rPr>
        <w:t xml:space="preserve">not </w:t>
      </w:r>
      <w:r>
        <w:t>meet the requirements of paragraphs 3 and 5 of Annex II. MOFCOM also did not record any reasoning</w:t>
      </w:r>
      <w:r>
        <w:rPr>
          <w:spacing w:val="-3"/>
        </w:rPr>
        <w:t xml:space="preserve"> </w:t>
      </w:r>
      <w:r>
        <w:t>to</w:t>
      </w:r>
      <w:r>
        <w:rPr>
          <w:spacing w:val="-7"/>
        </w:rPr>
        <w:t xml:space="preserve"> </w:t>
      </w:r>
      <w:r>
        <w:t>this</w:t>
      </w:r>
      <w:r>
        <w:rPr>
          <w:spacing w:val="-3"/>
        </w:rPr>
        <w:t xml:space="preserve"> </w:t>
      </w:r>
      <w:r>
        <w:t>effect.</w:t>
      </w:r>
      <w:r>
        <w:rPr>
          <w:spacing w:val="-3"/>
        </w:rPr>
        <w:t xml:space="preserve"> </w:t>
      </w:r>
      <w:r>
        <w:t>For</w:t>
      </w:r>
      <w:r>
        <w:rPr>
          <w:spacing w:val="-7"/>
        </w:rPr>
        <w:t xml:space="preserve"> </w:t>
      </w:r>
      <w:r>
        <w:t>these</w:t>
      </w:r>
      <w:r>
        <w:rPr>
          <w:spacing w:val="-4"/>
        </w:rPr>
        <w:t xml:space="preserve"> </w:t>
      </w:r>
      <w:r>
        <w:t>reasons,</w:t>
      </w:r>
      <w:r>
        <w:rPr>
          <w:spacing w:val="-2"/>
        </w:rPr>
        <w:t xml:space="preserve"> </w:t>
      </w:r>
      <w:r>
        <w:t>MOFCOM</w:t>
      </w:r>
      <w:r>
        <w:rPr>
          <w:spacing w:val="-4"/>
        </w:rPr>
        <w:t xml:space="preserve"> </w:t>
      </w:r>
      <w:r>
        <w:t>acted</w:t>
      </w:r>
      <w:r>
        <w:rPr>
          <w:spacing w:val="-6"/>
        </w:rPr>
        <w:t xml:space="preserve"> </w:t>
      </w:r>
      <w:r>
        <w:t>contrary</w:t>
      </w:r>
      <w:r>
        <w:rPr>
          <w:spacing w:val="-3"/>
        </w:rPr>
        <w:t xml:space="preserve"> </w:t>
      </w:r>
      <w:r>
        <w:t>to</w:t>
      </w:r>
      <w:r>
        <w:rPr>
          <w:spacing w:val="-7"/>
        </w:rPr>
        <w:t xml:space="preserve"> </w:t>
      </w:r>
      <w:r>
        <w:t>paragraphs</w:t>
      </w:r>
      <w:r>
        <w:rPr>
          <w:spacing w:val="-3"/>
        </w:rPr>
        <w:t xml:space="preserve"> </w:t>
      </w:r>
      <w:r>
        <w:t>3</w:t>
      </w:r>
      <w:r>
        <w:rPr>
          <w:spacing w:val="-7"/>
        </w:rPr>
        <w:t xml:space="preserve"> </w:t>
      </w:r>
      <w:r>
        <w:t>and</w:t>
      </w:r>
      <w:r>
        <w:rPr>
          <w:spacing w:val="-2"/>
        </w:rPr>
        <w:t xml:space="preserve"> </w:t>
      </w:r>
      <w:r>
        <w:t>5</w:t>
      </w:r>
      <w:r>
        <w:rPr>
          <w:spacing w:val="-7"/>
        </w:rPr>
        <w:t xml:space="preserve"> </w:t>
      </w:r>
      <w:r>
        <w:t>of Annex II by disregarding the evidence submitted by Casella Wines.</w:t>
      </w:r>
    </w:p>
    <w:p w14:paraId="0A22FD04" w14:textId="77777777" w:rsidR="00BD462C" w:rsidRDefault="00BD462C">
      <w:pPr>
        <w:pStyle w:val="BodyText"/>
        <w:rPr>
          <w:sz w:val="20"/>
        </w:rPr>
      </w:pPr>
    </w:p>
    <w:p w14:paraId="7B512F68" w14:textId="77777777" w:rsidR="00BD462C" w:rsidRDefault="00BD462C">
      <w:pPr>
        <w:pStyle w:val="BodyText"/>
        <w:rPr>
          <w:sz w:val="20"/>
        </w:rPr>
      </w:pPr>
    </w:p>
    <w:p w14:paraId="7494A862" w14:textId="787A90B7" w:rsidR="00BD462C" w:rsidRDefault="00D70C7D">
      <w:pPr>
        <w:pStyle w:val="BodyText"/>
        <w:spacing w:before="6"/>
        <w:rPr>
          <w:sz w:val="10"/>
        </w:rPr>
      </w:pPr>
      <w:r>
        <w:rPr>
          <w:noProof/>
        </w:rPr>
        <mc:AlternateContent>
          <mc:Choice Requires="wps">
            <w:drawing>
              <wp:anchor distT="0" distB="0" distL="0" distR="0" simplePos="0" relativeHeight="487699968" behindDoc="1" locked="0" layoutInCell="1" allowOverlap="1" wp14:anchorId="7876DF3D" wp14:editId="63AC3D2A">
                <wp:simplePos x="0" y="0"/>
                <wp:positionH relativeFrom="page">
                  <wp:posOffset>899160</wp:posOffset>
                </wp:positionH>
                <wp:positionV relativeFrom="paragraph">
                  <wp:posOffset>96520</wp:posOffset>
                </wp:positionV>
                <wp:extent cx="1828800" cy="8890"/>
                <wp:effectExtent l="0" t="0" r="0" b="0"/>
                <wp:wrapTopAndBottom/>
                <wp:docPr id="950" name="docshape2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495154" id="docshape241" o:spid="_x0000_s1026" alt="&quot;&quot;" style="position:absolute;margin-left:70.8pt;margin-top:7.6pt;width:2in;height:.7pt;z-index:-15616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" fillcolor="black" stroked="f">
                <w10:wrap type="topAndBottom" anchorx="page"/>
              </v:rect>
            </w:pict>
          </mc:Fallback>
        </mc:AlternateContent>
      </w:r>
    </w:p>
    <w:p w14:paraId="060C9E55" w14:textId="77777777" w:rsidR="00BD462C" w:rsidRDefault="00033D0F">
      <w:pPr>
        <w:spacing w:before="112"/>
        <w:ind w:left="135"/>
        <w:rPr>
          <w:sz w:val="18"/>
        </w:rPr>
      </w:pPr>
      <w:bookmarkStart w:id="528" w:name="_bookmark456"/>
      <w:bookmarkEnd w:id="528"/>
      <w:r>
        <w:rPr>
          <w:position w:val="5"/>
          <w:sz w:val="12"/>
        </w:rPr>
        <w:t>370</w:t>
      </w:r>
      <w:r>
        <w:rPr>
          <w:spacing w:val="13"/>
          <w:position w:val="5"/>
          <w:sz w:val="12"/>
        </w:rPr>
        <w:t xml:space="preserve"> </w:t>
      </w:r>
      <w:r>
        <w:rPr>
          <w:sz w:val="18"/>
        </w:rPr>
        <w:t>China’s</w:t>
      </w:r>
      <w:r>
        <w:rPr>
          <w:spacing w:val="-6"/>
          <w:sz w:val="18"/>
        </w:rPr>
        <w:t xml:space="preserve"> </w:t>
      </w:r>
      <w:r>
        <w:rPr>
          <w:sz w:val="18"/>
        </w:rPr>
        <w:t>first</w:t>
      </w:r>
      <w:r>
        <w:rPr>
          <w:spacing w:val="-1"/>
          <w:sz w:val="18"/>
        </w:rPr>
        <w:t xml:space="preserve"> </w:t>
      </w:r>
      <w:r>
        <w:rPr>
          <w:sz w:val="18"/>
        </w:rPr>
        <w:t>written</w:t>
      </w:r>
      <w:r>
        <w:rPr>
          <w:spacing w:val="-6"/>
          <w:sz w:val="18"/>
        </w:rPr>
        <w:t xml:space="preserve"> </w:t>
      </w:r>
      <w:r>
        <w:rPr>
          <w:sz w:val="18"/>
        </w:rPr>
        <w:t>submission,</w:t>
      </w:r>
      <w:r>
        <w:rPr>
          <w:spacing w:val="-4"/>
          <w:sz w:val="18"/>
        </w:rPr>
        <w:t xml:space="preserve"> </w:t>
      </w:r>
      <w:r>
        <w:rPr>
          <w:sz w:val="18"/>
        </w:rPr>
        <w:t>paras.</w:t>
      </w:r>
      <w:r>
        <w:rPr>
          <w:spacing w:val="-5"/>
          <w:sz w:val="18"/>
        </w:rPr>
        <w:t xml:space="preserve"> </w:t>
      </w:r>
      <w:r>
        <w:rPr>
          <w:sz w:val="18"/>
        </w:rPr>
        <w:t>604-</w:t>
      </w:r>
      <w:r>
        <w:rPr>
          <w:spacing w:val="-4"/>
          <w:sz w:val="18"/>
        </w:rPr>
        <w:t>607.</w:t>
      </w:r>
    </w:p>
    <w:p w14:paraId="2D22D78E" w14:textId="77777777" w:rsidR="00BD462C" w:rsidRDefault="00033D0F">
      <w:pPr>
        <w:spacing w:before="1"/>
        <w:ind w:left="135"/>
        <w:rPr>
          <w:sz w:val="18"/>
        </w:rPr>
      </w:pPr>
      <w:bookmarkStart w:id="529" w:name="_bookmark457"/>
      <w:bookmarkEnd w:id="529"/>
      <w:r>
        <w:rPr>
          <w:position w:val="5"/>
          <w:sz w:val="12"/>
        </w:rPr>
        <w:t>371</w:t>
      </w:r>
      <w:r>
        <w:rPr>
          <w:spacing w:val="13"/>
          <w:position w:val="5"/>
          <w:sz w:val="12"/>
        </w:rPr>
        <w:t xml:space="preserve"> </w:t>
      </w:r>
      <w:r>
        <w:rPr>
          <w:sz w:val="18"/>
        </w:rPr>
        <w:t>China’s</w:t>
      </w:r>
      <w:r>
        <w:rPr>
          <w:spacing w:val="-6"/>
          <w:sz w:val="18"/>
        </w:rPr>
        <w:t xml:space="preserve"> </w:t>
      </w:r>
      <w:r>
        <w:rPr>
          <w:sz w:val="18"/>
        </w:rPr>
        <w:t>first</w:t>
      </w:r>
      <w:r>
        <w:rPr>
          <w:spacing w:val="-1"/>
          <w:sz w:val="18"/>
        </w:rPr>
        <w:t xml:space="preserve"> </w:t>
      </w:r>
      <w:r>
        <w:rPr>
          <w:sz w:val="18"/>
        </w:rPr>
        <w:t>written</w:t>
      </w:r>
      <w:r>
        <w:rPr>
          <w:spacing w:val="-6"/>
          <w:sz w:val="18"/>
        </w:rPr>
        <w:t xml:space="preserve"> </w:t>
      </w:r>
      <w:r>
        <w:rPr>
          <w:sz w:val="18"/>
        </w:rPr>
        <w:t>submission,</w:t>
      </w:r>
      <w:r>
        <w:rPr>
          <w:spacing w:val="-4"/>
          <w:sz w:val="18"/>
        </w:rPr>
        <w:t xml:space="preserve"> </w:t>
      </w:r>
      <w:r>
        <w:rPr>
          <w:sz w:val="18"/>
        </w:rPr>
        <w:t>paras.</w:t>
      </w:r>
      <w:r>
        <w:rPr>
          <w:spacing w:val="-5"/>
          <w:sz w:val="18"/>
        </w:rPr>
        <w:t xml:space="preserve"> </w:t>
      </w:r>
      <w:r>
        <w:rPr>
          <w:sz w:val="18"/>
        </w:rPr>
        <w:t>606-</w:t>
      </w:r>
      <w:r>
        <w:rPr>
          <w:spacing w:val="-4"/>
          <w:sz w:val="18"/>
        </w:rPr>
        <w:t>607.</w:t>
      </w:r>
    </w:p>
    <w:p w14:paraId="2CB430AA" w14:textId="77777777" w:rsidR="00BD462C" w:rsidRDefault="00033D0F">
      <w:pPr>
        <w:spacing w:before="1"/>
        <w:ind w:left="135"/>
        <w:rPr>
          <w:sz w:val="18"/>
        </w:rPr>
      </w:pPr>
      <w:bookmarkStart w:id="530" w:name="_bookmark458"/>
      <w:bookmarkEnd w:id="530"/>
      <w:r>
        <w:rPr>
          <w:position w:val="5"/>
          <w:sz w:val="12"/>
        </w:rPr>
        <w:t>372</w:t>
      </w:r>
      <w:r>
        <w:rPr>
          <w:spacing w:val="15"/>
          <w:position w:val="5"/>
          <w:sz w:val="12"/>
        </w:rPr>
        <w:t xml:space="preserve"> </w:t>
      </w:r>
      <w:r>
        <w:rPr>
          <w:sz w:val="18"/>
        </w:rPr>
        <w:t>See</w:t>
      </w:r>
      <w:r>
        <w:rPr>
          <w:spacing w:val="-4"/>
          <w:sz w:val="18"/>
        </w:rPr>
        <w:t xml:space="preserve"> </w:t>
      </w:r>
      <w:r>
        <w:rPr>
          <w:sz w:val="18"/>
        </w:rPr>
        <w:t>section</w:t>
      </w:r>
      <w:r>
        <w:rPr>
          <w:spacing w:val="-4"/>
          <w:sz w:val="18"/>
        </w:rPr>
        <w:t xml:space="preserve"> </w:t>
      </w:r>
      <w:hyperlink w:anchor="_bookmark423" w:history="1">
        <w:r>
          <w:rPr>
            <w:sz w:val="18"/>
          </w:rPr>
          <w:t>III.E.2(a)</w:t>
        </w:r>
      </w:hyperlink>
      <w:r>
        <w:rPr>
          <w:spacing w:val="-2"/>
          <w:sz w:val="18"/>
        </w:rPr>
        <w:t xml:space="preserve"> above.</w:t>
      </w:r>
    </w:p>
    <w:p w14:paraId="17BBA794" w14:textId="77777777" w:rsidR="00BD462C" w:rsidRDefault="00033D0F">
      <w:pPr>
        <w:spacing w:before="1"/>
        <w:ind w:left="135"/>
        <w:rPr>
          <w:sz w:val="18"/>
        </w:rPr>
      </w:pPr>
      <w:bookmarkStart w:id="531" w:name="_bookmark459"/>
      <w:bookmarkEnd w:id="531"/>
      <w:r>
        <w:rPr>
          <w:position w:val="5"/>
          <w:sz w:val="12"/>
        </w:rPr>
        <w:t>373</w:t>
      </w:r>
      <w:r>
        <w:rPr>
          <w:spacing w:val="13"/>
          <w:position w:val="5"/>
          <w:sz w:val="12"/>
        </w:rPr>
        <w:t xml:space="preserve"> </w:t>
      </w:r>
      <w:r>
        <w:rPr>
          <w:sz w:val="18"/>
        </w:rPr>
        <w:t>China’s</w:t>
      </w:r>
      <w:r>
        <w:rPr>
          <w:spacing w:val="-6"/>
          <w:sz w:val="18"/>
        </w:rPr>
        <w:t xml:space="preserve"> </w:t>
      </w:r>
      <w:r>
        <w:rPr>
          <w:sz w:val="18"/>
        </w:rPr>
        <w:t>first</w:t>
      </w:r>
      <w:r>
        <w:rPr>
          <w:spacing w:val="-1"/>
          <w:sz w:val="18"/>
        </w:rPr>
        <w:t xml:space="preserve"> </w:t>
      </w:r>
      <w:r>
        <w:rPr>
          <w:sz w:val="18"/>
        </w:rPr>
        <w:t>written</w:t>
      </w:r>
      <w:r>
        <w:rPr>
          <w:spacing w:val="-6"/>
          <w:sz w:val="18"/>
        </w:rPr>
        <w:t xml:space="preserve"> </w:t>
      </w:r>
      <w:r>
        <w:rPr>
          <w:sz w:val="18"/>
        </w:rPr>
        <w:t>submission,</w:t>
      </w:r>
      <w:r>
        <w:rPr>
          <w:spacing w:val="-4"/>
          <w:sz w:val="18"/>
        </w:rPr>
        <w:t xml:space="preserve"> </w:t>
      </w:r>
      <w:r>
        <w:rPr>
          <w:sz w:val="18"/>
        </w:rPr>
        <w:t>paras.</w:t>
      </w:r>
      <w:r>
        <w:rPr>
          <w:spacing w:val="-5"/>
          <w:sz w:val="18"/>
        </w:rPr>
        <w:t xml:space="preserve"> </w:t>
      </w:r>
      <w:r>
        <w:rPr>
          <w:sz w:val="18"/>
        </w:rPr>
        <w:t>595-</w:t>
      </w:r>
      <w:r>
        <w:rPr>
          <w:spacing w:val="-4"/>
          <w:sz w:val="18"/>
        </w:rPr>
        <w:t>603.</w:t>
      </w:r>
    </w:p>
    <w:p w14:paraId="151886A0" w14:textId="77777777" w:rsidR="00BD462C" w:rsidRDefault="00BD462C">
      <w:pPr>
        <w:rPr>
          <w:sz w:val="18"/>
        </w:rPr>
        <w:sectPr w:rsidR="00BD462C">
          <w:pgSz w:w="11910" w:h="16840"/>
          <w:pgMar w:top="860" w:right="500" w:bottom="780" w:left="1280" w:header="566" w:footer="590" w:gutter="0"/>
          <w:cols w:space="720"/>
        </w:sectPr>
      </w:pPr>
    </w:p>
    <w:p w14:paraId="68F161E4"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0F4569C2"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74F6E99A"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3F6CA6A4" w14:textId="77777777" w:rsidR="00BD462C" w:rsidRDefault="00033D0F" w:rsidP="00D86B81">
      <w:pPr>
        <w:pStyle w:val="ListParagraph"/>
        <w:numPr>
          <w:ilvl w:val="1"/>
          <w:numId w:val="69"/>
        </w:numPr>
        <w:tabs>
          <w:tab w:val="left" w:pos="3539"/>
          <w:tab w:val="left" w:pos="3540"/>
        </w:tabs>
        <w:spacing w:before="102" w:line="357" w:lineRule="auto"/>
        <w:ind w:right="918"/>
        <w:rPr>
          <w:sz w:val="24"/>
        </w:rPr>
      </w:pPr>
      <w:bookmarkStart w:id="532" w:name="(c)_Minor_alleged_deficiencies_used_to_j"/>
      <w:bookmarkEnd w:id="532"/>
      <w:r>
        <w:rPr>
          <w:sz w:val="24"/>
          <w:u w:val="single"/>
        </w:rPr>
        <w:t>Minor</w:t>
      </w:r>
      <w:r>
        <w:rPr>
          <w:spacing w:val="40"/>
          <w:sz w:val="24"/>
          <w:u w:val="single"/>
        </w:rPr>
        <w:t xml:space="preserve"> </w:t>
      </w:r>
      <w:r>
        <w:rPr>
          <w:sz w:val="24"/>
          <w:u w:val="single"/>
        </w:rPr>
        <w:t>alleged</w:t>
      </w:r>
      <w:r>
        <w:rPr>
          <w:spacing w:val="40"/>
          <w:sz w:val="24"/>
          <w:u w:val="single"/>
        </w:rPr>
        <w:t xml:space="preserve"> </w:t>
      </w:r>
      <w:r>
        <w:rPr>
          <w:sz w:val="24"/>
          <w:u w:val="single"/>
        </w:rPr>
        <w:t>deficiencies</w:t>
      </w:r>
      <w:r>
        <w:rPr>
          <w:spacing w:val="40"/>
          <w:sz w:val="24"/>
          <w:u w:val="single"/>
        </w:rPr>
        <w:t xml:space="preserve"> </w:t>
      </w:r>
      <w:r>
        <w:rPr>
          <w:sz w:val="24"/>
          <w:u w:val="single"/>
        </w:rPr>
        <w:t>used</w:t>
      </w:r>
      <w:r>
        <w:rPr>
          <w:spacing w:val="40"/>
          <w:sz w:val="24"/>
          <w:u w:val="single"/>
        </w:rPr>
        <w:t xml:space="preserve"> </w:t>
      </w:r>
      <w:r>
        <w:rPr>
          <w:sz w:val="24"/>
          <w:u w:val="single"/>
        </w:rPr>
        <w:t>to</w:t>
      </w:r>
      <w:r>
        <w:rPr>
          <w:spacing w:val="40"/>
          <w:sz w:val="24"/>
          <w:u w:val="single"/>
        </w:rPr>
        <w:t xml:space="preserve"> </w:t>
      </w:r>
      <w:r>
        <w:rPr>
          <w:sz w:val="24"/>
          <w:u w:val="single"/>
        </w:rPr>
        <w:t>justify</w:t>
      </w:r>
      <w:r>
        <w:rPr>
          <w:spacing w:val="40"/>
          <w:sz w:val="24"/>
          <w:u w:val="single"/>
        </w:rPr>
        <w:t xml:space="preserve"> </w:t>
      </w:r>
      <w:r>
        <w:rPr>
          <w:sz w:val="24"/>
          <w:u w:val="single"/>
        </w:rPr>
        <w:t>rejection</w:t>
      </w:r>
      <w:r>
        <w:rPr>
          <w:spacing w:val="40"/>
          <w:sz w:val="24"/>
          <w:u w:val="single"/>
        </w:rPr>
        <w:t xml:space="preserve"> </w:t>
      </w:r>
      <w:r>
        <w:rPr>
          <w:sz w:val="24"/>
          <w:u w:val="single"/>
        </w:rPr>
        <w:t>of</w:t>
      </w:r>
      <w:r>
        <w:rPr>
          <w:sz w:val="24"/>
        </w:rPr>
        <w:t xml:space="preserve"> </w:t>
      </w:r>
      <w:r>
        <w:rPr>
          <w:sz w:val="24"/>
          <w:u w:val="single"/>
        </w:rPr>
        <w:t>whole categories of evidence</w:t>
      </w:r>
    </w:p>
    <w:p w14:paraId="4641B86C" w14:textId="77777777" w:rsidR="00BD462C" w:rsidRDefault="00BD462C">
      <w:pPr>
        <w:pStyle w:val="BodyText"/>
        <w:spacing w:before="3"/>
        <w:rPr>
          <w:sz w:val="9"/>
        </w:rPr>
      </w:pPr>
    </w:p>
    <w:p w14:paraId="624CCEB7" w14:textId="5A0ED42F" w:rsidR="00BD462C" w:rsidRDefault="00033D0F" w:rsidP="00D86B81">
      <w:pPr>
        <w:pStyle w:val="BodyText"/>
        <w:numPr>
          <w:ilvl w:val="0"/>
          <w:numId w:val="69"/>
        </w:numPr>
        <w:spacing w:before="56" w:line="360" w:lineRule="auto"/>
        <w:ind w:right="914" w:hanging="638"/>
        <w:jc w:val="both"/>
      </w:pPr>
      <w:r>
        <w:rPr>
          <w:position w:val="1"/>
        </w:rPr>
        <w:t>MOFCOM rejected wholesale Casella Wines' reported domestic sales on the basis</w:t>
      </w:r>
      <w:r>
        <w:rPr>
          <w:spacing w:val="40"/>
          <w:position w:val="1"/>
        </w:rPr>
        <w:t xml:space="preserve"> </w:t>
      </w:r>
      <w:r>
        <w:t>that it did not sufficiently explain special price arrangements.</w:t>
      </w:r>
      <w:hyperlink w:anchor="_bookmark461" w:history="1">
        <w:r>
          <w:rPr>
            <w:vertAlign w:val="superscript"/>
          </w:rPr>
          <w:t>374</w:t>
        </w:r>
      </w:hyperlink>
      <w:r>
        <w:t xml:space="preserve"> However, the percentage of sales affected by special price arrangements was very small.</w:t>
      </w:r>
      <w:hyperlink w:anchor="_bookmark462" w:history="1">
        <w:r>
          <w:rPr>
            <w:vertAlign w:val="superscript"/>
          </w:rPr>
          <w:t>375</w:t>
        </w:r>
      </w:hyperlink>
      <w:r>
        <w:t xml:space="preserve"> Similarly, in its approach to Casella Wines' service provider, Austral Wines Pty Ltd, MOFCOM used an alleged deficiency affecting</w:t>
      </w:r>
      <w:r>
        <w:rPr>
          <w:spacing w:val="-10"/>
        </w:rPr>
        <w:t xml:space="preserve"> </w:t>
      </w:r>
      <w:r>
        <w:t>a</w:t>
      </w:r>
      <w:r>
        <w:rPr>
          <w:spacing w:val="-12"/>
        </w:rPr>
        <w:t xml:space="preserve"> </w:t>
      </w:r>
      <w:r>
        <w:t>very</w:t>
      </w:r>
      <w:r>
        <w:rPr>
          <w:spacing w:val="-11"/>
        </w:rPr>
        <w:t xml:space="preserve"> </w:t>
      </w:r>
      <w:r>
        <w:t>small</w:t>
      </w:r>
      <w:r>
        <w:rPr>
          <w:spacing w:val="-10"/>
        </w:rPr>
        <w:t xml:space="preserve"> </w:t>
      </w:r>
      <w:r>
        <w:t>quantity</w:t>
      </w:r>
      <w:r>
        <w:rPr>
          <w:spacing w:val="-11"/>
        </w:rPr>
        <w:t xml:space="preserve"> </w:t>
      </w:r>
      <w:r>
        <w:t>of</w:t>
      </w:r>
      <w:r>
        <w:rPr>
          <w:spacing w:val="-14"/>
        </w:rPr>
        <w:t xml:space="preserve"> </w:t>
      </w:r>
      <w:r>
        <w:t>sales</w:t>
      </w:r>
      <w:r>
        <w:rPr>
          <w:spacing w:val="-9"/>
        </w:rPr>
        <w:t xml:space="preserve"> </w:t>
      </w:r>
      <w:r>
        <w:t>as</w:t>
      </w:r>
      <w:r>
        <w:rPr>
          <w:spacing w:val="-10"/>
        </w:rPr>
        <w:t xml:space="preserve"> </w:t>
      </w:r>
      <w:r>
        <w:t>a</w:t>
      </w:r>
      <w:r>
        <w:rPr>
          <w:spacing w:val="-8"/>
        </w:rPr>
        <w:t xml:space="preserve"> </w:t>
      </w:r>
      <w:r>
        <w:t>reason</w:t>
      </w:r>
      <w:r>
        <w:rPr>
          <w:spacing w:val="-9"/>
        </w:rPr>
        <w:t xml:space="preserve"> </w:t>
      </w:r>
      <w:r>
        <w:t>to</w:t>
      </w:r>
      <w:r>
        <w:rPr>
          <w:spacing w:val="-14"/>
        </w:rPr>
        <w:t xml:space="preserve"> </w:t>
      </w:r>
      <w:r>
        <w:t>reject</w:t>
      </w:r>
      <w:r>
        <w:rPr>
          <w:spacing w:val="-10"/>
        </w:rPr>
        <w:t xml:space="preserve"> </w:t>
      </w:r>
      <w:r>
        <w:t>the</w:t>
      </w:r>
      <w:r>
        <w:rPr>
          <w:spacing w:val="-7"/>
        </w:rPr>
        <w:t xml:space="preserve"> </w:t>
      </w:r>
      <w:r>
        <w:t>entirety</w:t>
      </w:r>
      <w:r>
        <w:rPr>
          <w:spacing w:val="-11"/>
        </w:rPr>
        <w:t xml:space="preserve"> </w:t>
      </w:r>
      <w:r>
        <w:t>of</w:t>
      </w:r>
      <w:r>
        <w:rPr>
          <w:spacing w:val="-9"/>
        </w:rPr>
        <w:t xml:space="preserve"> </w:t>
      </w:r>
      <w:r>
        <w:t>Casella</w:t>
      </w:r>
      <w:r>
        <w:rPr>
          <w:spacing w:val="-12"/>
        </w:rPr>
        <w:t xml:space="preserve"> </w:t>
      </w:r>
      <w:r>
        <w:t>Wines</w:t>
      </w:r>
      <w:r>
        <w:rPr>
          <w:spacing w:val="-10"/>
        </w:rPr>
        <w:t xml:space="preserve"> </w:t>
      </w:r>
      <w:r>
        <w:t>sales. While such deficiency may mean the data is not ideal in all respects, it was inconsistent with China's obligations under Article 6.8 and paragraph 6 of Annex II to the Anti-Dumping Agreement for MOFCOM to reject these data in their entirety.</w:t>
      </w:r>
    </w:p>
    <w:p w14:paraId="37A32743" w14:textId="77777777" w:rsidR="00BD462C" w:rsidRDefault="00033D0F" w:rsidP="00D86B81">
      <w:pPr>
        <w:pStyle w:val="Heading3"/>
        <w:tabs>
          <w:tab w:val="left" w:pos="2689"/>
          <w:tab w:val="left" w:pos="2690"/>
        </w:tabs>
        <w:spacing w:before="156"/>
        <w:ind w:left="142" w:firstLine="0"/>
      </w:pPr>
      <w:bookmarkStart w:id="533" w:name="5._MOFCOM_acted_inconsistently_with_para"/>
      <w:bookmarkStart w:id="534" w:name="_bookmark460"/>
      <w:bookmarkEnd w:id="533"/>
      <w:bookmarkEnd w:id="534"/>
      <w:r>
        <w:t>MOFCOM</w:t>
      </w:r>
      <w:r>
        <w:rPr>
          <w:spacing w:val="-4"/>
        </w:rPr>
        <w:t xml:space="preserve"> </w:t>
      </w:r>
      <w:r>
        <w:t>acted</w:t>
      </w:r>
      <w:r>
        <w:rPr>
          <w:spacing w:val="-3"/>
        </w:rPr>
        <w:t xml:space="preserve"> </w:t>
      </w:r>
      <w:r>
        <w:t>inconsistently</w:t>
      </w:r>
      <w:r>
        <w:rPr>
          <w:spacing w:val="-2"/>
        </w:rPr>
        <w:t xml:space="preserve"> </w:t>
      </w:r>
      <w:r>
        <w:t>with</w:t>
      </w:r>
      <w:r>
        <w:rPr>
          <w:spacing w:val="-3"/>
        </w:rPr>
        <w:t xml:space="preserve"> </w:t>
      </w:r>
      <w:r>
        <w:t>paragraph</w:t>
      </w:r>
      <w:r>
        <w:rPr>
          <w:spacing w:val="-4"/>
        </w:rPr>
        <w:t xml:space="preserve"> </w:t>
      </w:r>
      <w:r>
        <w:t>6</w:t>
      </w:r>
      <w:r>
        <w:rPr>
          <w:spacing w:val="-5"/>
        </w:rPr>
        <w:t xml:space="preserve"> </w:t>
      </w:r>
      <w:r>
        <w:t>of</w:t>
      </w:r>
      <w:r>
        <w:rPr>
          <w:spacing w:val="-4"/>
        </w:rPr>
        <w:t xml:space="preserve"> </w:t>
      </w:r>
      <w:r>
        <w:t>Annex</w:t>
      </w:r>
      <w:r>
        <w:rPr>
          <w:spacing w:val="-3"/>
        </w:rPr>
        <w:t xml:space="preserve"> </w:t>
      </w:r>
      <w:r>
        <w:rPr>
          <w:spacing w:val="-5"/>
        </w:rPr>
        <w:t>II</w:t>
      </w:r>
    </w:p>
    <w:p w14:paraId="0925F495" w14:textId="77777777" w:rsidR="00BD462C" w:rsidRDefault="00BD462C">
      <w:pPr>
        <w:pStyle w:val="BodyText"/>
        <w:spacing w:before="12"/>
        <w:rPr>
          <w:b/>
          <w:sz w:val="20"/>
        </w:rPr>
      </w:pPr>
    </w:p>
    <w:p w14:paraId="1024B74C" w14:textId="4DC240EF" w:rsidR="00BD462C" w:rsidRDefault="00033D0F" w:rsidP="00D86B81">
      <w:pPr>
        <w:pStyle w:val="BodyText"/>
        <w:numPr>
          <w:ilvl w:val="0"/>
          <w:numId w:val="69"/>
        </w:numPr>
        <w:spacing w:before="56" w:line="357" w:lineRule="auto"/>
        <w:ind w:right="912"/>
        <w:jc w:val="both"/>
      </w:pPr>
      <w:r>
        <w:rPr>
          <w:position w:val="1"/>
        </w:rPr>
        <w:t xml:space="preserve">Australia maintains its claims under paragraph 6 of Annex II in respect of Casella </w:t>
      </w:r>
      <w:r>
        <w:t>Wines as explained in its first written submission and clarified in its responses to the Panel's questions after the first substantive meeting.</w:t>
      </w:r>
      <w:hyperlink w:anchor="_bookmark463" w:history="1">
        <w:r>
          <w:rPr>
            <w:vertAlign w:val="superscript"/>
          </w:rPr>
          <w:t>376</w:t>
        </w:r>
      </w:hyperlink>
    </w:p>
    <w:p w14:paraId="6B9896CE" w14:textId="77777777" w:rsidR="00BD462C" w:rsidRDefault="00BD462C">
      <w:pPr>
        <w:pStyle w:val="BodyText"/>
        <w:spacing w:before="3"/>
        <w:rPr>
          <w:sz w:val="9"/>
        </w:rPr>
      </w:pPr>
    </w:p>
    <w:p w14:paraId="57DE3F84" w14:textId="07D76586" w:rsidR="00BD462C" w:rsidRDefault="00033D0F" w:rsidP="00D86B81">
      <w:pPr>
        <w:pStyle w:val="BodyText"/>
        <w:numPr>
          <w:ilvl w:val="0"/>
          <w:numId w:val="69"/>
        </w:numPr>
        <w:spacing w:before="56" w:line="357" w:lineRule="auto"/>
        <w:ind w:right="913"/>
        <w:jc w:val="both"/>
      </w:pPr>
      <w:r>
        <w:rPr>
          <w:position w:val="1"/>
        </w:rPr>
        <w:t>In</w:t>
      </w:r>
      <w:r>
        <w:rPr>
          <w:spacing w:val="-8"/>
          <w:position w:val="1"/>
        </w:rPr>
        <w:t xml:space="preserve"> </w:t>
      </w:r>
      <w:r>
        <w:rPr>
          <w:position w:val="1"/>
        </w:rPr>
        <w:t>sum,</w:t>
      </w:r>
      <w:r>
        <w:rPr>
          <w:spacing w:val="-4"/>
          <w:position w:val="1"/>
        </w:rPr>
        <w:t xml:space="preserve"> </w:t>
      </w:r>
      <w:r>
        <w:rPr>
          <w:position w:val="1"/>
        </w:rPr>
        <w:t>MOFCOM</w:t>
      </w:r>
      <w:r>
        <w:rPr>
          <w:spacing w:val="-6"/>
          <w:position w:val="1"/>
        </w:rPr>
        <w:t xml:space="preserve"> </w:t>
      </w:r>
      <w:r>
        <w:rPr>
          <w:position w:val="1"/>
        </w:rPr>
        <w:t>was</w:t>
      </w:r>
      <w:r>
        <w:rPr>
          <w:spacing w:val="-5"/>
          <w:position w:val="1"/>
        </w:rPr>
        <w:t xml:space="preserve"> </w:t>
      </w:r>
      <w:r>
        <w:rPr>
          <w:position w:val="1"/>
        </w:rPr>
        <w:t>obliged</w:t>
      </w:r>
      <w:r>
        <w:rPr>
          <w:spacing w:val="-8"/>
          <w:position w:val="1"/>
        </w:rPr>
        <w:t xml:space="preserve"> </w:t>
      </w:r>
      <w:r>
        <w:rPr>
          <w:position w:val="1"/>
        </w:rPr>
        <w:t>to</w:t>
      </w:r>
      <w:r>
        <w:rPr>
          <w:spacing w:val="-4"/>
          <w:position w:val="1"/>
        </w:rPr>
        <w:t xml:space="preserve"> </w:t>
      </w:r>
      <w:r>
        <w:rPr>
          <w:position w:val="1"/>
        </w:rPr>
        <w:t>give</w:t>
      </w:r>
      <w:r>
        <w:rPr>
          <w:spacing w:val="-6"/>
          <w:position w:val="1"/>
        </w:rPr>
        <w:t xml:space="preserve"> </w:t>
      </w:r>
      <w:r>
        <w:rPr>
          <w:position w:val="1"/>
        </w:rPr>
        <w:t>Casella</w:t>
      </w:r>
      <w:r>
        <w:rPr>
          <w:spacing w:val="-7"/>
          <w:position w:val="1"/>
        </w:rPr>
        <w:t xml:space="preserve"> </w:t>
      </w:r>
      <w:r>
        <w:rPr>
          <w:position w:val="1"/>
        </w:rPr>
        <w:t>Wines</w:t>
      </w:r>
      <w:r>
        <w:rPr>
          <w:spacing w:val="-5"/>
          <w:position w:val="1"/>
        </w:rPr>
        <w:t xml:space="preserve"> </w:t>
      </w:r>
      <w:r>
        <w:rPr>
          <w:position w:val="1"/>
        </w:rPr>
        <w:t>notice</w:t>
      </w:r>
      <w:r>
        <w:rPr>
          <w:spacing w:val="-6"/>
          <w:position w:val="1"/>
        </w:rPr>
        <w:t xml:space="preserve"> </w:t>
      </w:r>
      <w:r>
        <w:rPr>
          <w:position w:val="1"/>
        </w:rPr>
        <w:t>forthwith</w:t>
      </w:r>
      <w:r>
        <w:rPr>
          <w:spacing w:val="-8"/>
          <w:position w:val="1"/>
        </w:rPr>
        <w:t xml:space="preserve"> </w:t>
      </w:r>
      <w:r>
        <w:rPr>
          <w:position w:val="1"/>
        </w:rPr>
        <w:t>of</w:t>
      </w:r>
      <w:r>
        <w:rPr>
          <w:spacing w:val="-8"/>
          <w:position w:val="1"/>
        </w:rPr>
        <w:t xml:space="preserve"> </w:t>
      </w:r>
      <w:r>
        <w:rPr>
          <w:position w:val="1"/>
        </w:rPr>
        <w:t>the</w:t>
      </w:r>
      <w:r>
        <w:rPr>
          <w:spacing w:val="-2"/>
          <w:position w:val="1"/>
        </w:rPr>
        <w:t xml:space="preserve"> </w:t>
      </w:r>
      <w:r>
        <w:rPr>
          <w:position w:val="1"/>
        </w:rPr>
        <w:t xml:space="preserve">rejection </w:t>
      </w:r>
      <w:r>
        <w:t>of its evidence or information, and the reasons for such a decision. Casella Wines was also entitled to an opportunity to comment on any such a finding.</w:t>
      </w:r>
    </w:p>
    <w:p w14:paraId="04378D57" w14:textId="77777777" w:rsidR="00BD462C" w:rsidRDefault="00BD462C">
      <w:pPr>
        <w:pStyle w:val="BodyText"/>
        <w:spacing w:before="3"/>
        <w:rPr>
          <w:sz w:val="9"/>
        </w:rPr>
      </w:pPr>
    </w:p>
    <w:p w14:paraId="6235E2AC" w14:textId="3DF0FED3" w:rsidR="00BD462C" w:rsidRDefault="00033D0F" w:rsidP="00D86B81">
      <w:pPr>
        <w:pStyle w:val="BodyText"/>
        <w:numPr>
          <w:ilvl w:val="0"/>
          <w:numId w:val="69"/>
        </w:numPr>
        <w:spacing w:before="56"/>
      </w:pPr>
      <w:r>
        <w:rPr>
          <w:position w:val="1"/>
        </w:rPr>
        <w:t>Australia's claims under paragraph 6 encompass:</w:t>
      </w:r>
    </w:p>
    <w:p w14:paraId="4845D6CC" w14:textId="77777777" w:rsidR="00BD462C" w:rsidRDefault="00BD462C">
      <w:pPr>
        <w:pStyle w:val="BodyText"/>
        <w:spacing w:before="6"/>
      </w:pPr>
    </w:p>
    <w:p w14:paraId="3A4E22AE" w14:textId="77777777" w:rsidR="00BD462C" w:rsidRDefault="00033D0F">
      <w:pPr>
        <w:pStyle w:val="ListParagraph"/>
        <w:numPr>
          <w:ilvl w:val="0"/>
          <w:numId w:val="60"/>
        </w:numPr>
        <w:tabs>
          <w:tab w:val="left" w:pos="1835"/>
          <w:tab w:val="left" w:pos="1836"/>
        </w:tabs>
        <w:spacing w:before="0" w:line="357" w:lineRule="auto"/>
        <w:ind w:right="921" w:hanging="855"/>
        <w:rPr>
          <w:sz w:val="24"/>
        </w:rPr>
      </w:pPr>
      <w:r>
        <w:rPr>
          <w:sz w:val="24"/>
        </w:rPr>
        <w:t>MOFCOM's</w:t>
      </w:r>
      <w:r>
        <w:rPr>
          <w:spacing w:val="-8"/>
          <w:sz w:val="24"/>
        </w:rPr>
        <w:t xml:space="preserve"> </w:t>
      </w:r>
      <w:r>
        <w:rPr>
          <w:sz w:val="24"/>
        </w:rPr>
        <w:t>conduct</w:t>
      </w:r>
      <w:r>
        <w:rPr>
          <w:spacing w:val="-4"/>
          <w:sz w:val="24"/>
        </w:rPr>
        <w:t xml:space="preserve"> </w:t>
      </w:r>
      <w:r>
        <w:rPr>
          <w:sz w:val="24"/>
        </w:rPr>
        <w:t>concerning</w:t>
      </w:r>
      <w:r>
        <w:rPr>
          <w:spacing w:val="-8"/>
          <w:sz w:val="24"/>
        </w:rPr>
        <w:t xml:space="preserve"> </w:t>
      </w:r>
      <w:r>
        <w:rPr>
          <w:sz w:val="24"/>
        </w:rPr>
        <w:t>Casella</w:t>
      </w:r>
      <w:r>
        <w:rPr>
          <w:spacing w:val="-9"/>
          <w:sz w:val="24"/>
        </w:rPr>
        <w:t xml:space="preserve"> </w:t>
      </w:r>
      <w:r>
        <w:rPr>
          <w:sz w:val="24"/>
        </w:rPr>
        <w:t>Wines'</w:t>
      </w:r>
      <w:r>
        <w:rPr>
          <w:spacing w:val="-10"/>
          <w:sz w:val="24"/>
        </w:rPr>
        <w:t xml:space="preserve"> </w:t>
      </w:r>
      <w:r>
        <w:rPr>
          <w:sz w:val="24"/>
        </w:rPr>
        <w:t>responses</w:t>
      </w:r>
      <w:r>
        <w:rPr>
          <w:spacing w:val="-8"/>
          <w:sz w:val="24"/>
        </w:rPr>
        <w:t xml:space="preserve"> </w:t>
      </w:r>
      <w:r>
        <w:rPr>
          <w:sz w:val="24"/>
        </w:rPr>
        <w:t>to</w:t>
      </w:r>
      <w:r>
        <w:rPr>
          <w:spacing w:val="-7"/>
          <w:sz w:val="24"/>
        </w:rPr>
        <w:t xml:space="preserve"> </w:t>
      </w:r>
      <w:r>
        <w:rPr>
          <w:sz w:val="24"/>
        </w:rPr>
        <w:t>the</w:t>
      </w:r>
      <w:r>
        <w:rPr>
          <w:spacing w:val="-9"/>
          <w:sz w:val="24"/>
        </w:rPr>
        <w:t xml:space="preserve"> </w:t>
      </w:r>
      <w:r>
        <w:rPr>
          <w:sz w:val="24"/>
        </w:rPr>
        <w:t>Preliminary Determination as it relates to reconciliation between certain forms;</w:t>
      </w:r>
      <w:r>
        <w:rPr>
          <w:spacing w:val="-26"/>
          <w:sz w:val="24"/>
        </w:rPr>
        <w:t xml:space="preserve"> </w:t>
      </w:r>
      <w:hyperlink w:anchor="_bookmark464" w:history="1">
        <w:r>
          <w:rPr>
            <w:sz w:val="24"/>
            <w:vertAlign w:val="superscript"/>
          </w:rPr>
          <w:t>377</w:t>
        </w:r>
      </w:hyperlink>
    </w:p>
    <w:p w14:paraId="62954D7E" w14:textId="3981A2AC" w:rsidR="00BD462C" w:rsidRDefault="00D70C7D">
      <w:pPr>
        <w:pStyle w:val="ListParagraph"/>
        <w:numPr>
          <w:ilvl w:val="0"/>
          <w:numId w:val="60"/>
        </w:numPr>
        <w:tabs>
          <w:tab w:val="left" w:pos="1835"/>
          <w:tab w:val="left" w:pos="1836"/>
        </w:tabs>
        <w:spacing w:before="122" w:line="360" w:lineRule="auto"/>
        <w:ind w:right="920" w:hanging="855"/>
        <w:rPr>
          <w:sz w:val="24"/>
        </w:rPr>
      </w:pPr>
      <w:r>
        <w:rPr>
          <w:noProof/>
        </w:rPr>
        <mc:AlternateContent>
          <mc:Choice Requires="wps">
            <w:drawing>
              <wp:anchor distT="0" distB="0" distL="114300" distR="114300" simplePos="0" relativeHeight="15841280" behindDoc="0" locked="0" layoutInCell="1" allowOverlap="1" wp14:anchorId="3E96B888" wp14:editId="55F531A3">
                <wp:simplePos x="0" y="0"/>
                <wp:positionH relativeFrom="page">
                  <wp:posOffset>2697480</wp:posOffset>
                </wp:positionH>
                <wp:positionV relativeFrom="paragraph">
                  <wp:posOffset>367665</wp:posOffset>
                </wp:positionV>
                <wp:extent cx="3910330" cy="186055"/>
                <wp:effectExtent l="0" t="0" r="0" b="0"/>
                <wp:wrapNone/>
                <wp:docPr id="948" name="docshape2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033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EDD82B" id="docshape242" o:spid="_x0000_s1026" alt="&quot;&quot;" style="position:absolute;margin-left:212.4pt;margin-top:28.95pt;width:307.9pt;height:14.65pt;z-index:1584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" fillcolor="black" stroked="f">
                <w10:wrap anchorx="page"/>
              </v:rect>
            </w:pict>
          </mc:Fallback>
        </mc:AlternateContent>
      </w:r>
      <w:r w:rsidR="00033D0F">
        <w:rPr>
          <w:sz w:val="24"/>
        </w:rPr>
        <w:t>MOFCOM's</w:t>
      </w:r>
      <w:r w:rsidR="00033D0F">
        <w:rPr>
          <w:spacing w:val="80"/>
          <w:sz w:val="24"/>
        </w:rPr>
        <w:t xml:space="preserve"> </w:t>
      </w:r>
      <w:r w:rsidR="00033D0F">
        <w:rPr>
          <w:sz w:val="24"/>
        </w:rPr>
        <w:t>rejection</w:t>
      </w:r>
      <w:r w:rsidR="00033D0F">
        <w:rPr>
          <w:spacing w:val="80"/>
          <w:sz w:val="24"/>
        </w:rPr>
        <w:t xml:space="preserve"> </w:t>
      </w:r>
      <w:r w:rsidR="00033D0F">
        <w:rPr>
          <w:sz w:val="24"/>
        </w:rPr>
        <w:t>of</w:t>
      </w:r>
      <w:r w:rsidR="00033D0F">
        <w:rPr>
          <w:spacing w:val="80"/>
          <w:sz w:val="24"/>
        </w:rPr>
        <w:t xml:space="preserve"> </w:t>
      </w:r>
      <w:r w:rsidR="00033D0F">
        <w:rPr>
          <w:sz w:val="24"/>
        </w:rPr>
        <w:t>Casella</w:t>
      </w:r>
      <w:r w:rsidR="00033D0F">
        <w:rPr>
          <w:spacing w:val="80"/>
          <w:sz w:val="24"/>
        </w:rPr>
        <w:t xml:space="preserve"> </w:t>
      </w:r>
      <w:r w:rsidR="00033D0F">
        <w:rPr>
          <w:sz w:val="24"/>
        </w:rPr>
        <w:t>Wines'</w:t>
      </w:r>
      <w:r w:rsidR="00033D0F">
        <w:rPr>
          <w:spacing w:val="80"/>
          <w:sz w:val="24"/>
        </w:rPr>
        <w:t xml:space="preserve"> </w:t>
      </w:r>
      <w:r w:rsidR="00033D0F">
        <w:rPr>
          <w:sz w:val="24"/>
        </w:rPr>
        <w:t>Form</w:t>
      </w:r>
      <w:r w:rsidR="00033D0F">
        <w:rPr>
          <w:spacing w:val="80"/>
          <w:sz w:val="24"/>
        </w:rPr>
        <w:t xml:space="preserve"> </w:t>
      </w:r>
      <w:r w:rsidR="00033D0F">
        <w:rPr>
          <w:sz w:val="24"/>
        </w:rPr>
        <w:t>6-1-2</w:t>
      </w:r>
      <w:r w:rsidR="00033D0F">
        <w:rPr>
          <w:spacing w:val="80"/>
          <w:sz w:val="24"/>
        </w:rPr>
        <w:t xml:space="preserve"> </w:t>
      </w:r>
      <w:r w:rsidR="00033D0F">
        <w:rPr>
          <w:sz w:val="24"/>
        </w:rPr>
        <w:t>and</w:t>
      </w:r>
      <w:r w:rsidR="00033D0F">
        <w:rPr>
          <w:spacing w:val="80"/>
          <w:sz w:val="24"/>
        </w:rPr>
        <w:t xml:space="preserve"> </w:t>
      </w:r>
      <w:r w:rsidR="00033D0F">
        <w:rPr>
          <w:sz w:val="24"/>
        </w:rPr>
        <w:t>its</w:t>
      </w:r>
      <w:r w:rsidR="00033D0F">
        <w:rPr>
          <w:spacing w:val="80"/>
          <w:sz w:val="24"/>
        </w:rPr>
        <w:t xml:space="preserve"> </w:t>
      </w:r>
      <w:r w:rsidR="00033D0F">
        <w:rPr>
          <w:sz w:val="24"/>
        </w:rPr>
        <w:t xml:space="preserve">conduct </w:t>
      </w:r>
      <w:r w:rsidR="00033D0F">
        <w:rPr>
          <w:spacing w:val="-2"/>
          <w:sz w:val="24"/>
        </w:rPr>
        <w:t>concerning</w:t>
      </w:r>
    </w:p>
    <w:p w14:paraId="14CAC447" w14:textId="77777777" w:rsidR="00BD462C" w:rsidRDefault="00BD462C">
      <w:pPr>
        <w:pStyle w:val="BodyText"/>
        <w:rPr>
          <w:sz w:val="20"/>
        </w:rPr>
      </w:pPr>
    </w:p>
    <w:p w14:paraId="41D881AE" w14:textId="77777777" w:rsidR="00BD462C" w:rsidRDefault="00BD462C">
      <w:pPr>
        <w:pStyle w:val="BodyText"/>
        <w:rPr>
          <w:sz w:val="20"/>
        </w:rPr>
      </w:pPr>
    </w:p>
    <w:p w14:paraId="29F3B84B" w14:textId="77777777" w:rsidR="00BD462C" w:rsidRDefault="00BD462C">
      <w:pPr>
        <w:pStyle w:val="BodyText"/>
        <w:rPr>
          <w:sz w:val="20"/>
        </w:rPr>
      </w:pPr>
    </w:p>
    <w:p w14:paraId="05F1E50C" w14:textId="77777777" w:rsidR="00BD462C" w:rsidRDefault="00BD462C">
      <w:pPr>
        <w:pStyle w:val="BodyText"/>
        <w:rPr>
          <w:sz w:val="20"/>
        </w:rPr>
      </w:pPr>
    </w:p>
    <w:p w14:paraId="2BECC1FF" w14:textId="77777777" w:rsidR="00BD462C" w:rsidRDefault="00BD462C">
      <w:pPr>
        <w:pStyle w:val="BodyText"/>
        <w:rPr>
          <w:sz w:val="20"/>
        </w:rPr>
      </w:pPr>
    </w:p>
    <w:p w14:paraId="34DB15CD" w14:textId="173A77E3" w:rsidR="00BD462C" w:rsidRDefault="00D70C7D">
      <w:pPr>
        <w:pStyle w:val="BodyText"/>
        <w:spacing w:before="3"/>
        <w:rPr>
          <w:sz w:val="21"/>
        </w:rPr>
      </w:pPr>
      <w:r>
        <w:rPr>
          <w:noProof/>
        </w:rPr>
        <mc:AlternateContent>
          <mc:Choice Requires="wps">
            <w:drawing>
              <wp:anchor distT="0" distB="0" distL="0" distR="0" simplePos="0" relativeHeight="487700480" behindDoc="1" locked="0" layoutInCell="1" allowOverlap="1" wp14:anchorId="3731FCB1" wp14:editId="54313C5A">
                <wp:simplePos x="0" y="0"/>
                <wp:positionH relativeFrom="page">
                  <wp:posOffset>899160</wp:posOffset>
                </wp:positionH>
                <wp:positionV relativeFrom="paragraph">
                  <wp:posOffset>180340</wp:posOffset>
                </wp:positionV>
                <wp:extent cx="1828800" cy="8890"/>
                <wp:effectExtent l="0" t="0" r="0" b="0"/>
                <wp:wrapTopAndBottom/>
                <wp:docPr id="946" name="docshape2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3540AF" id="docshape243" o:spid="_x0000_s1026" alt="&quot;&quot;" style="position:absolute;margin-left:70.8pt;margin-top:14.2pt;width:2in;height:.7pt;z-index:-15616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" fillcolor="black" stroked="f">
                <w10:wrap type="topAndBottom" anchorx="page"/>
              </v:rect>
            </w:pict>
          </mc:Fallback>
        </mc:AlternateContent>
      </w:r>
    </w:p>
    <w:p w14:paraId="53E01BDC" w14:textId="77777777" w:rsidR="00BD462C" w:rsidRDefault="00033D0F">
      <w:pPr>
        <w:spacing w:before="112" w:line="218" w:lineRule="exact"/>
        <w:ind w:left="135"/>
        <w:rPr>
          <w:sz w:val="18"/>
        </w:rPr>
      </w:pPr>
      <w:bookmarkStart w:id="535" w:name="_bookmark461"/>
      <w:bookmarkEnd w:id="535"/>
      <w:r>
        <w:rPr>
          <w:position w:val="5"/>
          <w:sz w:val="12"/>
        </w:rPr>
        <w:t>374</w:t>
      </w:r>
      <w:r>
        <w:rPr>
          <w:spacing w:val="13"/>
          <w:position w:val="5"/>
          <w:sz w:val="12"/>
        </w:rPr>
        <w:t xml:space="preserve"> </w:t>
      </w:r>
      <w:r>
        <w:rPr>
          <w:sz w:val="18"/>
        </w:rPr>
        <w:t>See</w:t>
      </w:r>
      <w:r>
        <w:rPr>
          <w:spacing w:val="-6"/>
          <w:sz w:val="18"/>
        </w:rPr>
        <w:t xml:space="preserve"> </w:t>
      </w:r>
      <w:r>
        <w:rPr>
          <w:sz w:val="18"/>
        </w:rPr>
        <w:t>Australia’s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paras.</w:t>
      </w:r>
      <w:r>
        <w:rPr>
          <w:spacing w:val="-5"/>
          <w:sz w:val="18"/>
        </w:rPr>
        <w:t xml:space="preserve"> </w:t>
      </w:r>
      <w:r>
        <w:rPr>
          <w:sz w:val="18"/>
        </w:rPr>
        <w:t>301-</w:t>
      </w:r>
      <w:r>
        <w:rPr>
          <w:spacing w:val="-4"/>
          <w:sz w:val="18"/>
        </w:rPr>
        <w:t>308.</w:t>
      </w:r>
    </w:p>
    <w:p w14:paraId="57999E36" w14:textId="4FA5B945" w:rsidR="00BD462C" w:rsidRDefault="00D70C7D">
      <w:pPr>
        <w:spacing w:line="218" w:lineRule="exact"/>
        <w:ind w:left="135"/>
        <w:rPr>
          <w:sz w:val="18"/>
        </w:rPr>
      </w:pPr>
      <w:r>
        <w:rPr>
          <w:noProof/>
        </w:rPr>
        <mc:AlternateContent>
          <mc:Choice Requires="wps">
            <w:drawing>
              <wp:anchor distT="0" distB="0" distL="114300" distR="114300" simplePos="0" relativeHeight="15841792" behindDoc="0" locked="0" layoutInCell="1" allowOverlap="1" wp14:anchorId="13B7F07D" wp14:editId="4EA61EB7">
                <wp:simplePos x="0" y="0"/>
                <wp:positionH relativeFrom="page">
                  <wp:posOffset>3627120</wp:posOffset>
                </wp:positionH>
                <wp:positionV relativeFrom="paragraph">
                  <wp:posOffset>1270</wp:posOffset>
                </wp:positionV>
                <wp:extent cx="3032760" cy="137160"/>
                <wp:effectExtent l="0" t="0" r="0" b="0"/>
                <wp:wrapNone/>
                <wp:docPr id="944" name="docshape2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2760" cy="137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6C35B7" id="docshape244" o:spid="_x0000_s1026" alt="&quot;&quot;" style="position:absolute;margin-left:285.6pt;margin-top:.1pt;width:238.8pt;height:10.8pt;z-index:1584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" fillcolor="black" stroked="f">
                <w10:wrap anchorx="page"/>
              </v:rect>
            </w:pict>
          </mc:Fallback>
        </mc:AlternateContent>
      </w:r>
      <w:bookmarkStart w:id="536" w:name="_bookmark462"/>
      <w:bookmarkEnd w:id="536"/>
      <w:proofErr w:type="gramStart"/>
      <w:r w:rsidR="00033D0F">
        <w:rPr>
          <w:position w:val="5"/>
          <w:sz w:val="12"/>
        </w:rPr>
        <w:t>375</w:t>
      </w:r>
      <w:r w:rsidR="00033D0F">
        <w:rPr>
          <w:spacing w:val="41"/>
          <w:position w:val="5"/>
          <w:sz w:val="12"/>
        </w:rPr>
        <w:t xml:space="preserve">  </w:t>
      </w:r>
      <w:r w:rsidR="00033D0F">
        <w:rPr>
          <w:sz w:val="18"/>
        </w:rPr>
        <w:t>Australia’s</w:t>
      </w:r>
      <w:proofErr w:type="gramEnd"/>
      <w:r w:rsidR="00033D0F">
        <w:rPr>
          <w:spacing w:val="71"/>
          <w:w w:val="150"/>
          <w:sz w:val="18"/>
        </w:rPr>
        <w:t xml:space="preserve"> </w:t>
      </w:r>
      <w:r w:rsidR="00033D0F">
        <w:rPr>
          <w:sz w:val="18"/>
        </w:rPr>
        <w:t>first</w:t>
      </w:r>
      <w:r w:rsidR="00033D0F">
        <w:rPr>
          <w:spacing w:val="70"/>
          <w:w w:val="150"/>
          <w:sz w:val="18"/>
        </w:rPr>
        <w:t xml:space="preserve"> </w:t>
      </w:r>
      <w:r w:rsidR="00033D0F">
        <w:rPr>
          <w:sz w:val="18"/>
        </w:rPr>
        <w:t>written</w:t>
      </w:r>
      <w:r w:rsidR="00033D0F">
        <w:rPr>
          <w:spacing w:val="70"/>
          <w:w w:val="150"/>
          <w:sz w:val="18"/>
        </w:rPr>
        <w:t xml:space="preserve"> </w:t>
      </w:r>
      <w:r w:rsidR="00033D0F">
        <w:rPr>
          <w:sz w:val="18"/>
        </w:rPr>
        <w:t>submission,</w:t>
      </w:r>
      <w:r w:rsidR="00033D0F">
        <w:rPr>
          <w:spacing w:val="71"/>
          <w:w w:val="150"/>
          <w:sz w:val="18"/>
        </w:rPr>
        <w:t xml:space="preserve"> </w:t>
      </w:r>
      <w:r w:rsidR="00033D0F">
        <w:rPr>
          <w:sz w:val="18"/>
        </w:rPr>
        <w:t>para.</w:t>
      </w:r>
      <w:r w:rsidR="00033D0F">
        <w:rPr>
          <w:spacing w:val="77"/>
          <w:w w:val="150"/>
          <w:sz w:val="18"/>
        </w:rPr>
        <w:t xml:space="preserve"> </w:t>
      </w:r>
      <w:proofErr w:type="gramStart"/>
      <w:r w:rsidR="00033D0F">
        <w:rPr>
          <w:spacing w:val="-4"/>
          <w:sz w:val="18"/>
        </w:rPr>
        <w:t>306;</w:t>
      </w:r>
      <w:proofErr w:type="gramEnd"/>
    </w:p>
    <w:p w14:paraId="3B576EE9" w14:textId="2DEDE8CD" w:rsidR="00BD462C" w:rsidRDefault="00D70C7D">
      <w:pPr>
        <w:pStyle w:val="BodyText"/>
        <w:spacing w:line="220" w:lineRule="exact"/>
        <w:ind w:left="136"/>
        <w:rPr>
          <w:sz w:val="20"/>
        </w:rPr>
      </w:pPr>
      <w:r>
        <w:rPr>
          <w:noProof/>
          <w:position w:val="-3"/>
          <w:sz w:val="20"/>
        </w:rPr>
        <mc:AlternateContent>
          <mc:Choice Requires="wpg">
            <w:drawing>
              <wp:inline distT="0" distB="0" distL="0" distR="0" wp14:anchorId="796386CB" wp14:editId="2036DA4D">
                <wp:extent cx="2087880" cy="140335"/>
                <wp:effectExtent l="3810" t="0" r="3810" b="3175"/>
                <wp:docPr id="940" name="docshapegroup2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7880" cy="140335"/>
                          <a:chOff x="0" y="0"/>
                          <a:chExt cx="3288" cy="221"/>
                        </a:xfrm>
                      </wpg:grpSpPr>
                      <wps:wsp>
                        <wps:cNvPr id="942" name="docshape246"/>
                        <wps:cNvSpPr>
                          <a:spLocks noChangeArrowheads="1"/>
                        </wps:cNvSpPr>
                        <wps:spPr bwMode="auto">
                          <a:xfrm>
                            <a:off x="0" y="0"/>
                            <a:ext cx="3288" cy="2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02BABA8" id="docshapegroup245" o:spid="_x0000_s1026" alt="&quot;&quot;" style="width:164.4pt;height:11.05pt;mso-position-horizontal-relative:char;mso-position-vertical-relative:line" coordsize="3288,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">
                <v:rect id="docshape246" o:spid="_x0000_s1027" style="position:absolute;width:328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" fillcolor="black" stroked="f"/>
                <w10:anchorlock/>
              </v:group>
            </w:pict>
          </mc:Fallback>
        </mc:AlternateContent>
      </w:r>
    </w:p>
    <w:p w14:paraId="2446ACB3" w14:textId="77777777" w:rsidR="00BD462C" w:rsidRDefault="00033D0F">
      <w:pPr>
        <w:spacing w:before="1"/>
        <w:ind w:left="135"/>
        <w:rPr>
          <w:sz w:val="18"/>
        </w:rPr>
      </w:pPr>
      <w:bookmarkStart w:id="537" w:name="_bookmark463"/>
      <w:bookmarkEnd w:id="537"/>
      <w:r>
        <w:rPr>
          <w:position w:val="5"/>
          <w:sz w:val="12"/>
        </w:rPr>
        <w:t>376</w:t>
      </w:r>
      <w:r>
        <w:rPr>
          <w:spacing w:val="13"/>
          <w:position w:val="5"/>
          <w:sz w:val="12"/>
        </w:rPr>
        <w:t xml:space="preserve"> </w:t>
      </w:r>
      <w:r>
        <w:rPr>
          <w:sz w:val="18"/>
        </w:rPr>
        <w:t>Australia’s</w:t>
      </w:r>
      <w:r>
        <w:rPr>
          <w:spacing w:val="-5"/>
          <w:sz w:val="18"/>
        </w:rPr>
        <w:t xml:space="preserve"> </w:t>
      </w:r>
      <w:r>
        <w:rPr>
          <w:sz w:val="18"/>
        </w:rPr>
        <w:t>first</w:t>
      </w:r>
      <w:r>
        <w:rPr>
          <w:spacing w:val="-4"/>
          <w:sz w:val="18"/>
        </w:rPr>
        <w:t xml:space="preserve"> </w:t>
      </w:r>
      <w:r>
        <w:rPr>
          <w:sz w:val="18"/>
        </w:rPr>
        <w:t>written</w:t>
      </w:r>
      <w:r>
        <w:rPr>
          <w:spacing w:val="-5"/>
          <w:sz w:val="18"/>
        </w:rPr>
        <w:t xml:space="preserve"> </w:t>
      </w:r>
      <w:r>
        <w:rPr>
          <w:sz w:val="18"/>
        </w:rPr>
        <w:t>submission,</w:t>
      </w:r>
      <w:r>
        <w:rPr>
          <w:spacing w:val="1"/>
          <w:sz w:val="18"/>
        </w:rPr>
        <w:t xml:space="preserve"> </w:t>
      </w:r>
      <w:r>
        <w:rPr>
          <w:sz w:val="18"/>
        </w:rPr>
        <w:t>paras.</w:t>
      </w:r>
      <w:r>
        <w:rPr>
          <w:spacing w:val="-4"/>
          <w:sz w:val="18"/>
        </w:rPr>
        <w:t xml:space="preserve"> </w:t>
      </w:r>
      <w:r>
        <w:rPr>
          <w:sz w:val="18"/>
        </w:rPr>
        <w:t>329-330</w:t>
      </w:r>
      <w:r>
        <w:rPr>
          <w:spacing w:val="-7"/>
          <w:sz w:val="18"/>
        </w:rPr>
        <w:t xml:space="preserve"> </w:t>
      </w:r>
      <w:r>
        <w:rPr>
          <w:sz w:val="18"/>
        </w:rPr>
        <w:t>and</w:t>
      </w:r>
      <w:r>
        <w:rPr>
          <w:spacing w:val="-5"/>
          <w:sz w:val="18"/>
        </w:rPr>
        <w:t xml:space="preserve"> </w:t>
      </w:r>
      <w:r>
        <w:rPr>
          <w:sz w:val="18"/>
        </w:rPr>
        <w:t>374;</w:t>
      </w:r>
      <w:r>
        <w:rPr>
          <w:spacing w:val="-2"/>
          <w:sz w:val="18"/>
        </w:rPr>
        <w:t xml:space="preserve"> </w:t>
      </w:r>
      <w:r>
        <w:rPr>
          <w:sz w:val="18"/>
        </w:rPr>
        <w:t>response</w:t>
      </w:r>
      <w:r>
        <w:rPr>
          <w:spacing w:val="-5"/>
          <w:sz w:val="18"/>
        </w:rPr>
        <w:t xml:space="preserve"> </w:t>
      </w:r>
      <w:r>
        <w:rPr>
          <w:sz w:val="18"/>
        </w:rPr>
        <w:t>to</w:t>
      </w:r>
      <w:r>
        <w:rPr>
          <w:spacing w:val="-6"/>
          <w:sz w:val="18"/>
        </w:rPr>
        <w:t xml:space="preserve"> </w:t>
      </w:r>
      <w:r>
        <w:rPr>
          <w:sz w:val="18"/>
        </w:rPr>
        <w:t>Panel</w:t>
      </w:r>
      <w:r>
        <w:rPr>
          <w:spacing w:val="-4"/>
          <w:sz w:val="18"/>
        </w:rPr>
        <w:t xml:space="preserve"> </w:t>
      </w:r>
      <w:r>
        <w:rPr>
          <w:sz w:val="18"/>
        </w:rPr>
        <w:t>question</w:t>
      </w:r>
      <w:r>
        <w:rPr>
          <w:spacing w:val="-6"/>
          <w:sz w:val="18"/>
        </w:rPr>
        <w:t xml:space="preserve"> </w:t>
      </w:r>
      <w:r>
        <w:rPr>
          <w:sz w:val="18"/>
        </w:rPr>
        <w:t>No.</w:t>
      </w:r>
      <w:r>
        <w:rPr>
          <w:spacing w:val="1"/>
          <w:sz w:val="18"/>
        </w:rPr>
        <w:t xml:space="preserve"> </w:t>
      </w:r>
      <w:r>
        <w:rPr>
          <w:spacing w:val="-5"/>
          <w:sz w:val="18"/>
        </w:rPr>
        <w:t>1.</w:t>
      </w:r>
    </w:p>
    <w:p w14:paraId="465C1084" w14:textId="548E197D" w:rsidR="00BD462C" w:rsidRDefault="00D70C7D">
      <w:pPr>
        <w:spacing w:before="1"/>
        <w:ind w:left="135"/>
        <w:rPr>
          <w:sz w:val="18"/>
        </w:rPr>
      </w:pPr>
      <w:r>
        <w:rPr>
          <w:noProof/>
        </w:rPr>
        <mc:AlternateContent>
          <mc:Choice Requires="wps">
            <w:drawing>
              <wp:anchor distT="0" distB="0" distL="114300" distR="114300" simplePos="0" relativeHeight="15842304" behindDoc="0" locked="0" layoutInCell="1" allowOverlap="1" wp14:anchorId="7A37240F" wp14:editId="6589C931">
                <wp:simplePos x="0" y="0"/>
                <wp:positionH relativeFrom="page">
                  <wp:posOffset>1045210</wp:posOffset>
                </wp:positionH>
                <wp:positionV relativeFrom="paragraph">
                  <wp:posOffset>139700</wp:posOffset>
                </wp:positionV>
                <wp:extent cx="4590415" cy="140335"/>
                <wp:effectExtent l="0" t="0" r="0" b="0"/>
                <wp:wrapNone/>
                <wp:docPr id="938" name="docshape2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0415" cy="140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CAFD96" w14:textId="6DB8B76D" w:rsidR="00BD462C" w:rsidRDefault="00BD462C">
                            <w:pPr>
                              <w:spacing w:before="1" w:line="219" w:lineRule="exact"/>
                              <w:rPr>
                                <w:color w:val="000000"/>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7240F" id="docshape247" o:spid="_x0000_s1046" type="#_x0000_t202" alt="&quot;&quot;" style="position:absolute;left:0;text-align:left;margin-left:82.3pt;margin-top:11pt;width:361.45pt;height:11.05pt;z-index:1584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" fillcolor="black" stroked="f">
                <v:textbox inset="0,0,0,0">
                  <w:txbxContent>
                    <w:p w14:paraId="17CAFD96" w14:textId="6DB8B76D" w:rsidR="00BD462C" w:rsidRDefault="00BD462C">
                      <w:pPr>
                        <w:spacing w:before="1" w:line="219" w:lineRule="exact"/>
                        <w:rPr>
                          <w:color w:val="000000"/>
                          <w:sz w:val="18"/>
                        </w:rPr>
                      </w:pPr>
                    </w:p>
                  </w:txbxContent>
                </v:textbox>
                <w10:wrap anchorx="page"/>
              </v:shape>
            </w:pict>
          </mc:Fallback>
        </mc:AlternateContent>
      </w:r>
      <w:bookmarkStart w:id="538" w:name="_bookmark464"/>
      <w:bookmarkEnd w:id="538"/>
      <w:r w:rsidR="00033D0F">
        <w:rPr>
          <w:position w:val="5"/>
          <w:sz w:val="12"/>
        </w:rPr>
        <w:t>377</w:t>
      </w:r>
      <w:r w:rsidR="00033D0F">
        <w:rPr>
          <w:spacing w:val="12"/>
          <w:position w:val="5"/>
          <w:sz w:val="12"/>
        </w:rPr>
        <w:t xml:space="preserve"> </w:t>
      </w:r>
      <w:r w:rsidR="00033D0F">
        <w:rPr>
          <w:sz w:val="18"/>
        </w:rPr>
        <w:t>See</w:t>
      </w:r>
      <w:r w:rsidR="00033D0F">
        <w:rPr>
          <w:spacing w:val="-6"/>
          <w:sz w:val="18"/>
        </w:rPr>
        <w:t xml:space="preserve"> </w:t>
      </w:r>
      <w:r w:rsidR="00033D0F">
        <w:rPr>
          <w:sz w:val="18"/>
        </w:rPr>
        <w:t>Australia's</w:t>
      </w:r>
      <w:r w:rsidR="00033D0F">
        <w:rPr>
          <w:spacing w:val="-6"/>
          <w:sz w:val="18"/>
        </w:rPr>
        <w:t xml:space="preserve"> </w:t>
      </w:r>
      <w:r w:rsidR="00033D0F">
        <w:rPr>
          <w:sz w:val="18"/>
        </w:rPr>
        <w:t>first</w:t>
      </w:r>
      <w:r w:rsidR="00033D0F">
        <w:rPr>
          <w:spacing w:val="-5"/>
          <w:sz w:val="18"/>
        </w:rPr>
        <w:t xml:space="preserve"> </w:t>
      </w:r>
      <w:r w:rsidR="00033D0F">
        <w:rPr>
          <w:sz w:val="18"/>
        </w:rPr>
        <w:t>written</w:t>
      </w:r>
      <w:r w:rsidR="00033D0F">
        <w:rPr>
          <w:spacing w:val="-2"/>
          <w:sz w:val="18"/>
        </w:rPr>
        <w:t xml:space="preserve"> </w:t>
      </w:r>
      <w:r w:rsidR="00033D0F">
        <w:rPr>
          <w:sz w:val="18"/>
        </w:rPr>
        <w:t>submission, paras.</w:t>
      </w:r>
      <w:r w:rsidR="00033D0F">
        <w:rPr>
          <w:spacing w:val="-5"/>
          <w:sz w:val="18"/>
        </w:rPr>
        <w:t xml:space="preserve"> </w:t>
      </w:r>
      <w:r w:rsidR="00033D0F">
        <w:rPr>
          <w:sz w:val="18"/>
        </w:rPr>
        <w:t>363-</w:t>
      </w:r>
      <w:r w:rsidR="00033D0F">
        <w:rPr>
          <w:spacing w:val="-4"/>
          <w:sz w:val="18"/>
        </w:rPr>
        <w:t>381.</w:t>
      </w:r>
    </w:p>
    <w:p w14:paraId="54F2685A" w14:textId="77777777" w:rsidR="00BD462C" w:rsidRDefault="00033D0F">
      <w:pPr>
        <w:spacing w:before="11"/>
        <w:ind w:left="135"/>
        <w:rPr>
          <w:sz w:val="12"/>
        </w:rPr>
      </w:pPr>
      <w:bookmarkStart w:id="539" w:name="_bookmark465"/>
      <w:bookmarkEnd w:id="539"/>
      <w:r>
        <w:rPr>
          <w:spacing w:val="-5"/>
          <w:sz w:val="12"/>
        </w:rPr>
        <w:t>378</w:t>
      </w:r>
    </w:p>
    <w:p w14:paraId="729A1AB6" w14:textId="77777777" w:rsidR="00BD462C" w:rsidRDefault="00BD462C">
      <w:pPr>
        <w:rPr>
          <w:sz w:val="12"/>
        </w:rPr>
        <w:sectPr w:rsidR="00BD462C">
          <w:pgSz w:w="11910" w:h="16840"/>
          <w:pgMar w:top="860" w:right="500" w:bottom="780" w:left="1280" w:header="566" w:footer="590" w:gutter="0"/>
          <w:cols w:space="720"/>
        </w:sectPr>
      </w:pPr>
    </w:p>
    <w:p w14:paraId="1CFFA60A"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16919318"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69C4C1CE"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3C4BDD9E" w14:textId="77777777" w:rsidR="00BD462C" w:rsidRDefault="00033D0F">
      <w:pPr>
        <w:pStyle w:val="ListParagraph"/>
        <w:numPr>
          <w:ilvl w:val="0"/>
          <w:numId w:val="60"/>
        </w:numPr>
        <w:tabs>
          <w:tab w:val="left" w:pos="1835"/>
          <w:tab w:val="left" w:pos="1836"/>
        </w:tabs>
        <w:spacing w:before="99" w:line="357" w:lineRule="auto"/>
        <w:ind w:right="920" w:hanging="855"/>
        <w:rPr>
          <w:sz w:val="24"/>
        </w:rPr>
      </w:pPr>
      <w:r>
        <w:rPr>
          <w:sz w:val="24"/>
        </w:rPr>
        <w:t>MOFCOM's</w:t>
      </w:r>
      <w:r>
        <w:rPr>
          <w:spacing w:val="40"/>
          <w:sz w:val="24"/>
        </w:rPr>
        <w:t xml:space="preserve"> </w:t>
      </w:r>
      <w:r>
        <w:rPr>
          <w:sz w:val="24"/>
        </w:rPr>
        <w:t>silence</w:t>
      </w:r>
      <w:r>
        <w:rPr>
          <w:spacing w:val="40"/>
          <w:sz w:val="24"/>
        </w:rPr>
        <w:t xml:space="preserve"> </w:t>
      </w:r>
      <w:r>
        <w:rPr>
          <w:sz w:val="24"/>
        </w:rPr>
        <w:t>as</w:t>
      </w:r>
      <w:r>
        <w:rPr>
          <w:spacing w:val="40"/>
          <w:sz w:val="24"/>
        </w:rPr>
        <w:t xml:space="preserve"> </w:t>
      </w:r>
      <w:r>
        <w:rPr>
          <w:sz w:val="24"/>
        </w:rPr>
        <w:t>to</w:t>
      </w:r>
      <w:r>
        <w:rPr>
          <w:spacing w:val="38"/>
          <w:sz w:val="24"/>
        </w:rPr>
        <w:t xml:space="preserve"> </w:t>
      </w:r>
      <w:r>
        <w:rPr>
          <w:sz w:val="24"/>
        </w:rPr>
        <w:t>its</w:t>
      </w:r>
      <w:r>
        <w:rPr>
          <w:spacing w:val="40"/>
          <w:sz w:val="24"/>
        </w:rPr>
        <w:t xml:space="preserve"> </w:t>
      </w:r>
      <w:r>
        <w:rPr>
          <w:sz w:val="24"/>
        </w:rPr>
        <w:t>rejection</w:t>
      </w:r>
      <w:r>
        <w:rPr>
          <w:spacing w:val="39"/>
          <w:sz w:val="24"/>
        </w:rPr>
        <w:t xml:space="preserve"> </w:t>
      </w:r>
      <w:r>
        <w:rPr>
          <w:sz w:val="24"/>
        </w:rPr>
        <w:t>of</w:t>
      </w:r>
      <w:r>
        <w:rPr>
          <w:spacing w:val="39"/>
          <w:sz w:val="24"/>
        </w:rPr>
        <w:t xml:space="preserve"> </w:t>
      </w:r>
      <w:r>
        <w:rPr>
          <w:sz w:val="24"/>
        </w:rPr>
        <w:t>the</w:t>
      </w:r>
      <w:r>
        <w:rPr>
          <w:spacing w:val="40"/>
          <w:sz w:val="24"/>
        </w:rPr>
        <w:t xml:space="preserve"> </w:t>
      </w:r>
      <w:r>
        <w:rPr>
          <w:sz w:val="24"/>
        </w:rPr>
        <w:t>company's</w:t>
      </w:r>
      <w:r>
        <w:rPr>
          <w:spacing w:val="40"/>
          <w:sz w:val="24"/>
        </w:rPr>
        <w:t xml:space="preserve"> </w:t>
      </w:r>
      <w:r>
        <w:rPr>
          <w:sz w:val="24"/>
        </w:rPr>
        <w:t>response</w:t>
      </w:r>
      <w:r>
        <w:rPr>
          <w:spacing w:val="40"/>
          <w:sz w:val="24"/>
        </w:rPr>
        <w:t xml:space="preserve"> </w:t>
      </w:r>
      <w:r>
        <w:rPr>
          <w:sz w:val="24"/>
        </w:rPr>
        <w:t>to</w:t>
      </w:r>
      <w:r>
        <w:rPr>
          <w:spacing w:val="38"/>
          <w:sz w:val="24"/>
        </w:rPr>
        <w:t xml:space="preserve"> </w:t>
      </w:r>
      <w:r>
        <w:rPr>
          <w:sz w:val="24"/>
        </w:rPr>
        <w:t>the Supplementary Questionnaire.</w:t>
      </w:r>
      <w:hyperlink w:anchor="_bookmark466" w:history="1">
        <w:r>
          <w:rPr>
            <w:sz w:val="24"/>
            <w:vertAlign w:val="superscript"/>
          </w:rPr>
          <w:t>379</w:t>
        </w:r>
      </w:hyperlink>
    </w:p>
    <w:p w14:paraId="4581D1D0" w14:textId="06EEEFE4" w:rsidR="00BD462C" w:rsidRDefault="00033D0F" w:rsidP="00D86B81">
      <w:pPr>
        <w:pStyle w:val="BodyText"/>
        <w:numPr>
          <w:ilvl w:val="0"/>
          <w:numId w:val="69"/>
        </w:numPr>
        <w:spacing w:before="129" w:line="360" w:lineRule="auto"/>
        <w:ind w:right="913"/>
        <w:jc w:val="both"/>
      </w:pPr>
      <w:r>
        <w:rPr>
          <w:position w:val="1"/>
        </w:rPr>
        <w:t xml:space="preserve">Australia has established that Casella Wines was not informed forthwith that the </w:t>
      </w:r>
      <w:r>
        <w:t>information it submitted in response to the Preliminary Determination regarding Form 6-1-2 was not accepted. MOFCOM did not reference Casella Wines' previous submissions in the Supplementary Questionnaire. Moreover, Casella Wines was not provided with an opportunity to provide further explanations within a reasonable period of time. If the explanations Casella Wines provided in response to the Preliminary Determination were not accepted, it was incumbent upon</w:t>
      </w:r>
      <w:r>
        <w:rPr>
          <w:spacing w:val="-1"/>
        </w:rPr>
        <w:t xml:space="preserve"> </w:t>
      </w:r>
      <w:r>
        <w:t>MOFCOM to</w:t>
      </w:r>
      <w:r>
        <w:rPr>
          <w:spacing w:val="-1"/>
        </w:rPr>
        <w:t xml:space="preserve"> </w:t>
      </w:r>
      <w:r>
        <w:t>explain</w:t>
      </w:r>
      <w:r>
        <w:rPr>
          <w:spacing w:val="-1"/>
        </w:rPr>
        <w:t xml:space="preserve"> </w:t>
      </w:r>
      <w:r>
        <w:t>this</w:t>
      </w:r>
      <w:r>
        <w:rPr>
          <w:spacing w:val="-2"/>
        </w:rPr>
        <w:t xml:space="preserve"> </w:t>
      </w:r>
      <w:r>
        <w:t>in</w:t>
      </w:r>
      <w:r>
        <w:rPr>
          <w:spacing w:val="-1"/>
        </w:rPr>
        <w:t xml:space="preserve"> </w:t>
      </w:r>
      <w:r>
        <w:t>a timely manner. MOFCOM did not explain in any reasonable level of detail why the explanations provided by Casella Wines were rejected.</w:t>
      </w:r>
    </w:p>
    <w:p w14:paraId="205AE31E" w14:textId="779E5F33" w:rsidR="00BD462C" w:rsidRDefault="00BD462C">
      <w:pPr>
        <w:pStyle w:val="BodyText"/>
        <w:spacing w:before="10"/>
        <w:rPr>
          <w:sz w:val="8"/>
        </w:rPr>
      </w:pPr>
    </w:p>
    <w:p w14:paraId="59C7C579" w14:textId="5FE2F04F" w:rsidR="00BD462C" w:rsidRDefault="00D86B81">
      <w:pPr>
        <w:pStyle w:val="BodyText"/>
        <w:spacing w:before="52" w:line="360" w:lineRule="auto"/>
        <w:ind w:left="135" w:right="915" w:firstLine="849"/>
        <w:jc w:val="both"/>
      </w:pPr>
      <w:r>
        <w:rPr>
          <w:noProof/>
        </w:rPr>
        <mc:AlternateContent>
          <mc:Choice Requires="wpg">
            <w:drawing>
              <wp:anchor distT="0" distB="0" distL="114300" distR="114300" simplePos="0" relativeHeight="15844352" behindDoc="0" locked="0" layoutInCell="1" allowOverlap="1" wp14:anchorId="269D9460" wp14:editId="4A349FCA">
                <wp:simplePos x="0" y="0"/>
                <wp:positionH relativeFrom="page">
                  <wp:posOffset>877993</wp:posOffset>
                </wp:positionH>
                <wp:positionV relativeFrom="paragraph">
                  <wp:posOffset>40217</wp:posOffset>
                </wp:positionV>
                <wp:extent cx="539750" cy="186055"/>
                <wp:effectExtent l="0" t="0" r="0" b="0"/>
                <wp:wrapNone/>
                <wp:docPr id="932" name="docshapegroup2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186055"/>
                          <a:chOff x="1416" y="50"/>
                          <a:chExt cx="850" cy="293"/>
                        </a:xfrm>
                      </wpg:grpSpPr>
                      <wps:wsp>
                        <wps:cNvPr id="934" name="docshape249"/>
                        <wps:cNvSpPr>
                          <a:spLocks noChangeArrowheads="1"/>
                        </wps:cNvSpPr>
                        <wps:spPr bwMode="auto">
                          <a:xfrm>
                            <a:off x="1416" y="50"/>
                            <a:ext cx="850" cy="29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36" name="docshape25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416" y="112"/>
                            <a:ext cx="413" cy="1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45489D2" id="docshapegroup248" o:spid="_x0000_s1026" alt="&quot;&quot;" style="position:absolute;margin-left:69.15pt;margin-top:3.15pt;width:42.5pt;height:14.65pt;z-index:15844352;mso-position-horizontal-relative:page" coordorigin="1416,50" coordsize="850,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">
                <v:rect id="docshape249" o:spid="_x0000_s1027" style="position:absolute;left:1416;top:50;width:850;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" fillcolor="black"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50" o:spid="_x0000_s1028" type="#_x0000_t75" style="position:absolute;left:1416;top:112;width:413;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">
                  <v:imagedata r:id="rId17" o:title=""/>
                </v:shape>
                <w10:wrap anchorx="page"/>
              </v:group>
            </w:pict>
          </mc:Fallback>
        </mc:AlternateContent>
      </w:r>
      <w:r w:rsidR="00D70C7D">
        <w:rPr>
          <w:noProof/>
        </w:rPr>
        <mc:AlternateContent>
          <mc:Choice Requires="wps">
            <w:drawing>
              <wp:anchor distT="0" distB="0" distL="114300" distR="114300" simplePos="0" relativeHeight="15844864" behindDoc="0" locked="0" layoutInCell="1" allowOverlap="1" wp14:anchorId="0651E033" wp14:editId="15C2417F">
                <wp:simplePos x="0" y="0"/>
                <wp:positionH relativeFrom="page">
                  <wp:posOffset>3874135</wp:posOffset>
                </wp:positionH>
                <wp:positionV relativeFrom="paragraph">
                  <wp:posOffset>589915</wp:posOffset>
                </wp:positionV>
                <wp:extent cx="2785745" cy="186055"/>
                <wp:effectExtent l="0" t="0" r="0" b="0"/>
                <wp:wrapNone/>
                <wp:docPr id="930" name="docshape2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C3FE95" id="docshape251" o:spid="_x0000_s1026" alt="&quot;&quot;" style="position:absolute;margin-left:305.05pt;margin-top:46.45pt;width:219.35pt;height:14.65pt;z-index:1584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" fillcolor="black" stroked="f">
                <w10:wrap anchorx="page"/>
              </v:rect>
            </w:pict>
          </mc:Fallback>
        </mc:AlternateContent>
      </w:r>
      <w:r w:rsidR="00033D0F">
        <w:t>In</w:t>
      </w:r>
      <w:r w:rsidR="00033D0F">
        <w:rPr>
          <w:spacing w:val="-7"/>
        </w:rPr>
        <w:t xml:space="preserve"> </w:t>
      </w:r>
      <w:r w:rsidR="00033D0F">
        <w:t>relation</w:t>
      </w:r>
      <w:r w:rsidR="00033D0F">
        <w:rPr>
          <w:spacing w:val="-7"/>
        </w:rPr>
        <w:t xml:space="preserve"> </w:t>
      </w:r>
      <w:r w:rsidR="00033D0F">
        <w:t>to</w:t>
      </w:r>
      <w:r w:rsidR="00033D0F">
        <w:rPr>
          <w:spacing w:val="-8"/>
        </w:rPr>
        <w:t xml:space="preserve"> </w:t>
      </w:r>
      <w:r w:rsidR="00033D0F">
        <w:t>alleged</w:t>
      </w:r>
      <w:r w:rsidR="00033D0F">
        <w:rPr>
          <w:spacing w:val="-7"/>
        </w:rPr>
        <w:t xml:space="preserve"> </w:t>
      </w:r>
      <w:r w:rsidR="00033D0F">
        <w:t>inconsistencies</w:t>
      </w:r>
      <w:r w:rsidR="00033D0F">
        <w:rPr>
          <w:spacing w:val="-4"/>
        </w:rPr>
        <w:t xml:space="preserve"> </w:t>
      </w:r>
      <w:r w:rsidR="00033D0F">
        <w:t>between</w:t>
      </w:r>
      <w:r w:rsidR="00033D0F">
        <w:rPr>
          <w:spacing w:val="-7"/>
        </w:rPr>
        <w:t xml:space="preserve"> </w:t>
      </w:r>
      <w:r w:rsidR="00033D0F">
        <w:t>Forms</w:t>
      </w:r>
      <w:r w:rsidR="00033D0F">
        <w:rPr>
          <w:spacing w:val="-4"/>
        </w:rPr>
        <w:t xml:space="preserve"> </w:t>
      </w:r>
      <w:r w:rsidR="00033D0F">
        <w:t>6-1-2,</w:t>
      </w:r>
      <w:r w:rsidR="00033D0F">
        <w:rPr>
          <w:spacing w:val="-3"/>
        </w:rPr>
        <w:t xml:space="preserve"> </w:t>
      </w:r>
      <w:r w:rsidR="00033D0F">
        <w:t>6-3</w:t>
      </w:r>
      <w:r w:rsidR="00033D0F">
        <w:rPr>
          <w:spacing w:val="-7"/>
        </w:rPr>
        <w:t xml:space="preserve"> </w:t>
      </w:r>
      <w:r w:rsidR="00033D0F">
        <w:t>and</w:t>
      </w:r>
      <w:r w:rsidR="00033D0F">
        <w:rPr>
          <w:spacing w:val="-2"/>
        </w:rPr>
        <w:t xml:space="preserve"> </w:t>
      </w:r>
      <w:r w:rsidR="00033D0F">
        <w:t>6-4</w:t>
      </w:r>
      <w:r w:rsidR="00033D0F">
        <w:rPr>
          <w:spacing w:val="-7"/>
        </w:rPr>
        <w:t xml:space="preserve"> </w:t>
      </w:r>
      <w:r w:rsidR="00033D0F">
        <w:t>submitted</w:t>
      </w:r>
      <w:r w:rsidR="00033D0F">
        <w:rPr>
          <w:spacing w:val="-7"/>
        </w:rPr>
        <w:t xml:space="preserve"> </w:t>
      </w:r>
      <w:r w:rsidR="00033D0F">
        <w:t>by Casella</w:t>
      </w:r>
      <w:r w:rsidR="00033D0F">
        <w:rPr>
          <w:spacing w:val="-8"/>
        </w:rPr>
        <w:t xml:space="preserve"> </w:t>
      </w:r>
      <w:r w:rsidR="00033D0F">
        <w:t>Wines,</w:t>
      </w:r>
      <w:r w:rsidR="00033D0F">
        <w:rPr>
          <w:spacing w:val="-5"/>
        </w:rPr>
        <w:t xml:space="preserve"> </w:t>
      </w:r>
      <w:r w:rsidR="00033D0F">
        <w:t>Australia</w:t>
      </w:r>
      <w:r w:rsidR="00033D0F">
        <w:rPr>
          <w:spacing w:val="-8"/>
        </w:rPr>
        <w:t xml:space="preserve"> </w:t>
      </w:r>
      <w:r w:rsidR="00033D0F">
        <w:t>confirms</w:t>
      </w:r>
      <w:r w:rsidR="00033D0F">
        <w:rPr>
          <w:spacing w:val="-6"/>
        </w:rPr>
        <w:t xml:space="preserve"> </w:t>
      </w:r>
      <w:r w:rsidR="00033D0F">
        <w:t>that</w:t>
      </w:r>
      <w:r w:rsidR="00033D0F">
        <w:rPr>
          <w:spacing w:val="-7"/>
        </w:rPr>
        <w:t xml:space="preserve"> </w:t>
      </w:r>
      <w:r w:rsidR="00033D0F">
        <w:t>its</w:t>
      </w:r>
      <w:r w:rsidR="00033D0F">
        <w:rPr>
          <w:spacing w:val="-6"/>
        </w:rPr>
        <w:t xml:space="preserve"> </w:t>
      </w:r>
      <w:r w:rsidR="00033D0F">
        <w:t>arguments</w:t>
      </w:r>
      <w:r w:rsidR="00033D0F">
        <w:rPr>
          <w:spacing w:val="-6"/>
        </w:rPr>
        <w:t xml:space="preserve"> </w:t>
      </w:r>
      <w:r w:rsidR="00033D0F">
        <w:t>under</w:t>
      </w:r>
      <w:r w:rsidR="00033D0F">
        <w:rPr>
          <w:spacing w:val="-10"/>
        </w:rPr>
        <w:t xml:space="preserve"> </w:t>
      </w:r>
      <w:r w:rsidR="00033D0F">
        <w:t>paragraph</w:t>
      </w:r>
      <w:r w:rsidR="00033D0F">
        <w:rPr>
          <w:spacing w:val="-4"/>
        </w:rPr>
        <w:t xml:space="preserve"> </w:t>
      </w:r>
      <w:r w:rsidR="00033D0F">
        <w:t>6</w:t>
      </w:r>
      <w:r w:rsidR="00033D0F">
        <w:rPr>
          <w:spacing w:val="-9"/>
        </w:rPr>
        <w:t xml:space="preserve"> </w:t>
      </w:r>
      <w:r w:rsidR="00033D0F">
        <w:t>of</w:t>
      </w:r>
      <w:r w:rsidR="00033D0F">
        <w:rPr>
          <w:spacing w:val="-9"/>
        </w:rPr>
        <w:t xml:space="preserve"> </w:t>
      </w:r>
      <w:r w:rsidR="00033D0F">
        <w:t>Annex</w:t>
      </w:r>
      <w:r w:rsidR="00033D0F">
        <w:rPr>
          <w:spacing w:val="-6"/>
        </w:rPr>
        <w:t xml:space="preserve"> </w:t>
      </w:r>
      <w:r w:rsidR="00033D0F">
        <w:t>II</w:t>
      </w:r>
      <w:r w:rsidR="00033D0F">
        <w:rPr>
          <w:spacing w:val="-6"/>
        </w:rPr>
        <w:t xml:space="preserve"> </w:t>
      </w:r>
      <w:r w:rsidR="00033D0F">
        <w:t>only</w:t>
      </w:r>
      <w:r w:rsidR="00033D0F">
        <w:rPr>
          <w:spacing w:val="-6"/>
        </w:rPr>
        <w:t xml:space="preserve"> </w:t>
      </w:r>
      <w:r w:rsidR="00033D0F">
        <w:t>relate to</w:t>
      </w:r>
      <w:r w:rsidR="00033D0F">
        <w:rPr>
          <w:spacing w:val="80"/>
          <w:w w:val="150"/>
        </w:rPr>
        <w:t xml:space="preserve"> </w:t>
      </w:r>
      <w:proofErr w:type="gramStart"/>
      <w:r w:rsidR="00033D0F">
        <w:t>MOFCOM's</w:t>
      </w:r>
      <w:r w:rsidR="00033D0F">
        <w:rPr>
          <w:spacing w:val="80"/>
          <w:w w:val="150"/>
        </w:rPr>
        <w:t xml:space="preserve">  </w:t>
      </w:r>
      <w:r w:rsidR="00033D0F">
        <w:t>conduct</w:t>
      </w:r>
      <w:proofErr w:type="gramEnd"/>
      <w:r w:rsidR="00033D0F">
        <w:rPr>
          <w:spacing w:val="80"/>
          <w:w w:val="150"/>
        </w:rPr>
        <w:t xml:space="preserve">  </w:t>
      </w:r>
      <w:r w:rsidR="00033D0F">
        <w:t>concerning</w:t>
      </w:r>
    </w:p>
    <w:p w14:paraId="5FEF890C" w14:textId="457D4333" w:rsidR="00BD462C" w:rsidRDefault="00D70C7D">
      <w:pPr>
        <w:pStyle w:val="BodyText"/>
        <w:ind w:left="136"/>
        <w:rPr>
          <w:sz w:val="20"/>
        </w:rPr>
      </w:pPr>
      <w:r>
        <w:rPr>
          <w:noProof/>
          <w:sz w:val="20"/>
        </w:rPr>
        <mc:AlternateContent>
          <mc:Choice Requires="wpg">
            <w:drawing>
              <wp:inline distT="0" distB="0" distL="0" distR="0" wp14:anchorId="7EE7B302" wp14:editId="33486803">
                <wp:extent cx="1283335" cy="186055"/>
                <wp:effectExtent l="3810" t="0" r="0" b="0"/>
                <wp:docPr id="926" name="docshapegroup252" descr="Redac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3335" cy="186055"/>
                          <a:chOff x="0" y="0"/>
                          <a:chExt cx="2021" cy="293"/>
                        </a:xfrm>
                      </wpg:grpSpPr>
                      <wps:wsp>
                        <wps:cNvPr id="928" name="docshape253"/>
                        <wps:cNvSpPr>
                          <a:spLocks noChangeArrowheads="1"/>
                        </wps:cNvSpPr>
                        <wps:spPr bwMode="auto">
                          <a:xfrm>
                            <a:off x="0" y="0"/>
                            <a:ext cx="2021" cy="29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A3CFAA5" id="docshapegroup252" o:spid="_x0000_s1026" alt="Redacted" style="width:101.05pt;height:14.65pt;mso-position-horizontal-relative:char;mso-position-vertical-relative:line" coordsize="2021,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">
                <v:rect id="docshape253" o:spid="_x0000_s1027" style="position:absolute;width:2021;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" fillcolor="black" stroked="f"/>
                <w10:anchorlock/>
              </v:group>
            </w:pict>
          </mc:Fallback>
        </mc:AlternateContent>
      </w:r>
    </w:p>
    <w:p w14:paraId="03698640" w14:textId="77777777" w:rsidR="00BD462C" w:rsidRDefault="00BD462C">
      <w:pPr>
        <w:pStyle w:val="BodyText"/>
        <w:rPr>
          <w:sz w:val="18"/>
        </w:rPr>
      </w:pPr>
    </w:p>
    <w:p w14:paraId="02500684" w14:textId="77777777" w:rsidR="00BD462C" w:rsidRDefault="00033D0F">
      <w:pPr>
        <w:pStyle w:val="ListParagraph"/>
        <w:numPr>
          <w:ilvl w:val="1"/>
          <w:numId w:val="60"/>
        </w:numPr>
        <w:tabs>
          <w:tab w:val="left" w:pos="3539"/>
          <w:tab w:val="left" w:pos="3540"/>
        </w:tabs>
        <w:spacing w:before="52"/>
        <w:ind w:hanging="851"/>
        <w:rPr>
          <w:sz w:val="24"/>
        </w:rPr>
      </w:pPr>
      <w:bookmarkStart w:id="540" w:name="(a)_Reconciliation_between_different_for"/>
      <w:bookmarkEnd w:id="540"/>
      <w:r>
        <w:rPr>
          <w:sz w:val="24"/>
          <w:u w:val="single"/>
        </w:rPr>
        <w:t>Reconciliation</w:t>
      </w:r>
      <w:r>
        <w:rPr>
          <w:spacing w:val="-6"/>
          <w:sz w:val="24"/>
          <w:u w:val="single"/>
        </w:rPr>
        <w:t xml:space="preserve"> </w:t>
      </w:r>
      <w:r>
        <w:rPr>
          <w:sz w:val="24"/>
          <w:u w:val="single"/>
        </w:rPr>
        <w:t>between</w:t>
      </w:r>
      <w:r>
        <w:rPr>
          <w:spacing w:val="-6"/>
          <w:sz w:val="24"/>
          <w:u w:val="single"/>
        </w:rPr>
        <w:t xml:space="preserve"> </w:t>
      </w:r>
      <w:r>
        <w:rPr>
          <w:sz w:val="24"/>
          <w:u w:val="single"/>
        </w:rPr>
        <w:t>different</w:t>
      </w:r>
      <w:r>
        <w:rPr>
          <w:spacing w:val="-4"/>
          <w:sz w:val="24"/>
          <w:u w:val="single"/>
        </w:rPr>
        <w:t xml:space="preserve"> forms</w:t>
      </w:r>
    </w:p>
    <w:p w14:paraId="5316B172" w14:textId="77777777" w:rsidR="00BD462C" w:rsidRDefault="00BD462C">
      <w:pPr>
        <w:pStyle w:val="BodyText"/>
        <w:spacing w:before="11"/>
        <w:rPr>
          <w:sz w:val="20"/>
        </w:rPr>
      </w:pPr>
    </w:p>
    <w:p w14:paraId="66393174" w14:textId="77777777" w:rsidR="00D86B81" w:rsidRDefault="00033D0F" w:rsidP="00DA02D9">
      <w:pPr>
        <w:pStyle w:val="BodyText"/>
        <w:numPr>
          <w:ilvl w:val="0"/>
          <w:numId w:val="71"/>
        </w:numPr>
        <w:spacing w:before="56" w:line="360" w:lineRule="auto"/>
        <w:ind w:right="913"/>
        <w:jc w:val="both"/>
      </w:pPr>
      <w:r>
        <w:rPr>
          <w:position w:val="1"/>
        </w:rPr>
        <w:t>Australia demonstrated that MOFCOM had rejected data due to alleged</w:t>
      </w:r>
      <w:r>
        <w:rPr>
          <w:spacing w:val="80"/>
          <w:position w:val="1"/>
        </w:rPr>
        <w:t xml:space="preserve"> </w:t>
      </w:r>
      <w:r>
        <w:t>inconsistencies</w:t>
      </w:r>
      <w:r>
        <w:rPr>
          <w:spacing w:val="-1"/>
        </w:rPr>
        <w:t xml:space="preserve"> </w:t>
      </w:r>
      <w:r>
        <w:t>between</w:t>
      </w:r>
      <w:r>
        <w:rPr>
          <w:spacing w:val="-4"/>
        </w:rPr>
        <w:t xml:space="preserve"> </w:t>
      </w:r>
      <w:r>
        <w:t>Forms</w:t>
      </w:r>
      <w:r>
        <w:rPr>
          <w:spacing w:val="-1"/>
        </w:rPr>
        <w:t xml:space="preserve"> </w:t>
      </w:r>
      <w:r>
        <w:t>6-1-2</w:t>
      </w:r>
      <w:r>
        <w:rPr>
          <w:spacing w:val="-5"/>
        </w:rPr>
        <w:t xml:space="preserve"> </w:t>
      </w:r>
      <w:r>
        <w:t>and</w:t>
      </w:r>
      <w:r>
        <w:rPr>
          <w:spacing w:val="-4"/>
        </w:rPr>
        <w:t xml:space="preserve"> </w:t>
      </w:r>
      <w:r>
        <w:t>6-4</w:t>
      </w:r>
      <w:r>
        <w:rPr>
          <w:spacing w:val="-5"/>
        </w:rPr>
        <w:t xml:space="preserve"> </w:t>
      </w:r>
      <w:r>
        <w:t>on</w:t>
      </w:r>
      <w:r>
        <w:rPr>
          <w:spacing w:val="-4"/>
        </w:rPr>
        <w:t xml:space="preserve"> </w:t>
      </w:r>
      <w:r>
        <w:t>the</w:t>
      </w:r>
      <w:r>
        <w:rPr>
          <w:spacing w:val="-3"/>
        </w:rPr>
        <w:t xml:space="preserve"> </w:t>
      </w:r>
      <w:r>
        <w:t>one</w:t>
      </w:r>
      <w:r>
        <w:rPr>
          <w:spacing w:val="-3"/>
        </w:rPr>
        <w:t xml:space="preserve"> </w:t>
      </w:r>
      <w:r>
        <w:t>hand,</w:t>
      </w:r>
      <w:r>
        <w:rPr>
          <w:spacing w:val="-1"/>
        </w:rPr>
        <w:t xml:space="preserve"> </w:t>
      </w:r>
      <w:r>
        <w:t>and</w:t>
      </w:r>
      <w:r>
        <w:rPr>
          <w:spacing w:val="-4"/>
        </w:rPr>
        <w:t xml:space="preserve"> </w:t>
      </w:r>
      <w:r>
        <w:t>the</w:t>
      </w:r>
      <w:r>
        <w:rPr>
          <w:spacing w:val="-3"/>
        </w:rPr>
        <w:t xml:space="preserve"> </w:t>
      </w:r>
      <w:r>
        <w:t>"alignment"</w:t>
      </w:r>
      <w:r>
        <w:rPr>
          <w:spacing w:val="-3"/>
        </w:rPr>
        <w:t xml:space="preserve"> </w:t>
      </w:r>
      <w:r>
        <w:t>between Forms 6-3 and 6-4 on the other.</w:t>
      </w:r>
      <w:r>
        <w:rPr>
          <w:spacing w:val="-14"/>
        </w:rPr>
        <w:t xml:space="preserve"> </w:t>
      </w:r>
      <w:hyperlink w:anchor="_bookmark468" w:history="1">
        <w:r>
          <w:rPr>
            <w:vertAlign w:val="superscript"/>
          </w:rPr>
          <w:t>381</w:t>
        </w:r>
      </w:hyperlink>
      <w:r>
        <w:t xml:space="preserve"> As established in Australia's first written submission, however, MOFCOM gave no notice that it would insist on this standard.</w:t>
      </w:r>
      <w:r>
        <w:rPr>
          <w:spacing w:val="-30"/>
        </w:rPr>
        <w:t xml:space="preserve"> </w:t>
      </w:r>
      <w:hyperlink w:anchor="_bookmark469" w:history="1">
        <w:r>
          <w:rPr>
            <w:vertAlign w:val="superscript"/>
          </w:rPr>
          <w:t>382</w:t>
        </w:r>
      </w:hyperlink>
    </w:p>
    <w:p w14:paraId="7436238B" w14:textId="37056D27" w:rsidR="00BD462C" w:rsidRDefault="00033D0F" w:rsidP="00DA02D9">
      <w:pPr>
        <w:pStyle w:val="BodyText"/>
        <w:numPr>
          <w:ilvl w:val="0"/>
          <w:numId w:val="71"/>
        </w:numPr>
        <w:spacing w:before="56" w:line="360" w:lineRule="auto"/>
        <w:ind w:right="913"/>
        <w:jc w:val="both"/>
      </w:pPr>
      <w:r w:rsidRPr="00D86B81">
        <w:rPr>
          <w:position w:val="1"/>
        </w:rPr>
        <w:t>China now asserts that this issue was of "limited to no relevance",</w:t>
      </w:r>
      <w:r w:rsidRPr="00D86B81">
        <w:rPr>
          <w:spacing w:val="-14"/>
          <w:position w:val="1"/>
        </w:rPr>
        <w:t xml:space="preserve"> </w:t>
      </w:r>
      <w:hyperlink w:anchor="_bookmark470" w:history="1">
        <w:r w:rsidRPr="00D86B81">
          <w:rPr>
            <w:position w:val="1"/>
            <w:vertAlign w:val="superscript"/>
          </w:rPr>
          <w:t>383</w:t>
        </w:r>
      </w:hyperlink>
      <w:r w:rsidRPr="00D86B81">
        <w:rPr>
          <w:position w:val="1"/>
        </w:rPr>
        <w:t xml:space="preserve"> and that the </w:t>
      </w:r>
      <w:r>
        <w:t>Final Determination should be interpreted in a certain way in light of the Preliminary Determination.</w:t>
      </w:r>
      <w:hyperlink w:anchor="_bookmark471" w:history="1">
        <w:r w:rsidRPr="00D86B81">
          <w:rPr>
            <w:vertAlign w:val="superscript"/>
          </w:rPr>
          <w:t>384</w:t>
        </w:r>
      </w:hyperlink>
      <w:r>
        <w:t xml:space="preserve"> Even if the Panel considered there to be any merit in these </w:t>
      </w:r>
      <w:r w:rsidRPr="00D86B81">
        <w:rPr>
          <w:i/>
        </w:rPr>
        <w:t xml:space="preserve">ex post facto </w:t>
      </w:r>
      <w:r>
        <w:t>assertions,</w:t>
      </w:r>
      <w:r w:rsidRPr="00D86B81">
        <w:rPr>
          <w:spacing w:val="-14"/>
        </w:rPr>
        <w:t xml:space="preserve"> </w:t>
      </w:r>
      <w:r>
        <w:t>they</w:t>
      </w:r>
      <w:r w:rsidRPr="00D86B81">
        <w:rPr>
          <w:spacing w:val="-12"/>
        </w:rPr>
        <w:t xml:space="preserve"> </w:t>
      </w:r>
      <w:r>
        <w:t>are</w:t>
      </w:r>
      <w:r w:rsidRPr="00D86B81">
        <w:rPr>
          <w:spacing w:val="-13"/>
        </w:rPr>
        <w:t xml:space="preserve"> </w:t>
      </w:r>
      <w:r>
        <w:t>directly</w:t>
      </w:r>
      <w:r w:rsidRPr="00D86B81">
        <w:rPr>
          <w:spacing w:val="-12"/>
        </w:rPr>
        <w:t xml:space="preserve"> </w:t>
      </w:r>
      <w:r>
        <w:t>contradicted</w:t>
      </w:r>
      <w:r w:rsidRPr="00D86B81">
        <w:rPr>
          <w:spacing w:val="-14"/>
        </w:rPr>
        <w:t xml:space="preserve"> </w:t>
      </w:r>
      <w:r>
        <w:t>by</w:t>
      </w:r>
      <w:r w:rsidRPr="00D86B81">
        <w:rPr>
          <w:spacing w:val="-12"/>
        </w:rPr>
        <w:t xml:space="preserve"> </w:t>
      </w:r>
      <w:r>
        <w:t>the</w:t>
      </w:r>
      <w:r w:rsidRPr="00D86B81">
        <w:rPr>
          <w:spacing w:val="-8"/>
        </w:rPr>
        <w:t xml:space="preserve"> </w:t>
      </w:r>
      <w:r>
        <w:t>terms</w:t>
      </w:r>
      <w:r w:rsidRPr="00D86B81">
        <w:rPr>
          <w:spacing w:val="-11"/>
        </w:rPr>
        <w:t xml:space="preserve"> </w:t>
      </w:r>
      <w:r>
        <w:t>of</w:t>
      </w:r>
      <w:r w:rsidRPr="00D86B81">
        <w:rPr>
          <w:spacing w:val="-13"/>
        </w:rPr>
        <w:t xml:space="preserve"> </w:t>
      </w:r>
      <w:r>
        <w:t>MOFCOM's</w:t>
      </w:r>
      <w:r w:rsidRPr="00D86B81">
        <w:rPr>
          <w:spacing w:val="-11"/>
        </w:rPr>
        <w:t xml:space="preserve"> </w:t>
      </w:r>
      <w:r>
        <w:t>Final</w:t>
      </w:r>
      <w:r w:rsidRPr="00D86B81">
        <w:rPr>
          <w:spacing w:val="-11"/>
        </w:rPr>
        <w:t xml:space="preserve"> </w:t>
      </w:r>
      <w:r>
        <w:t>Determination.</w:t>
      </w:r>
      <w:r w:rsidRPr="00D86B81">
        <w:rPr>
          <w:spacing w:val="-12"/>
        </w:rPr>
        <w:t xml:space="preserve"> </w:t>
      </w:r>
      <w:r w:rsidRPr="00D86B81">
        <w:rPr>
          <w:spacing w:val="-5"/>
        </w:rPr>
        <w:t>The</w:t>
      </w:r>
    </w:p>
    <w:p w14:paraId="5BFE78BD" w14:textId="77777777" w:rsidR="00BD462C" w:rsidRDefault="00BD462C">
      <w:pPr>
        <w:pStyle w:val="BodyText"/>
        <w:rPr>
          <w:sz w:val="20"/>
        </w:rPr>
      </w:pPr>
    </w:p>
    <w:p w14:paraId="4C6AE491" w14:textId="4624B66A" w:rsidR="00BD462C" w:rsidRDefault="00D70C7D">
      <w:pPr>
        <w:pStyle w:val="BodyText"/>
        <w:spacing w:before="8"/>
        <w:rPr>
          <w:sz w:val="20"/>
        </w:rPr>
      </w:pPr>
      <w:r>
        <w:rPr>
          <w:noProof/>
        </w:rPr>
        <mc:AlternateContent>
          <mc:Choice Requires="wps">
            <w:drawing>
              <wp:anchor distT="0" distB="0" distL="0" distR="0" simplePos="0" relativeHeight="487703552" behindDoc="1" locked="0" layoutInCell="1" allowOverlap="1" wp14:anchorId="1D682D33" wp14:editId="4BA6A01E">
                <wp:simplePos x="0" y="0"/>
                <wp:positionH relativeFrom="page">
                  <wp:posOffset>899160</wp:posOffset>
                </wp:positionH>
                <wp:positionV relativeFrom="paragraph">
                  <wp:posOffset>175260</wp:posOffset>
                </wp:positionV>
                <wp:extent cx="1828800" cy="8890"/>
                <wp:effectExtent l="0" t="0" r="0" b="0"/>
                <wp:wrapTopAndBottom/>
                <wp:docPr id="924" name="docshape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762990" id="docshape254" o:spid="_x0000_s1026" alt="&quot;&quot;" style="position:absolute;margin-left:70.8pt;margin-top:13.8pt;width:2in;height:.7pt;z-index:-15612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" fillcolor="black" stroked="f">
                <w10:wrap type="topAndBottom" anchorx="page"/>
              </v:rect>
            </w:pict>
          </mc:Fallback>
        </mc:AlternateContent>
      </w:r>
    </w:p>
    <w:p w14:paraId="3BCF7CD2" w14:textId="77777777" w:rsidR="00BD462C" w:rsidRDefault="00033D0F">
      <w:pPr>
        <w:spacing w:before="112"/>
        <w:ind w:left="135" w:right="911"/>
        <w:rPr>
          <w:sz w:val="18"/>
        </w:rPr>
      </w:pPr>
      <w:bookmarkStart w:id="541" w:name="_bookmark466"/>
      <w:bookmarkEnd w:id="541"/>
      <w:r>
        <w:rPr>
          <w:position w:val="5"/>
          <w:sz w:val="12"/>
        </w:rPr>
        <w:t>379</w:t>
      </w:r>
      <w:r>
        <w:rPr>
          <w:spacing w:val="29"/>
          <w:position w:val="5"/>
          <w:sz w:val="12"/>
        </w:rPr>
        <w:t xml:space="preserve"> </w:t>
      </w:r>
      <w:r>
        <w:rPr>
          <w:sz w:val="18"/>
        </w:rPr>
        <w:t xml:space="preserve">Casella Wines Supplementary Questionnaire Response (Exhibit AUS-30). See Australia’s first written submission, paras. </w:t>
      </w:r>
      <w:r>
        <w:rPr>
          <w:spacing w:val="-2"/>
          <w:sz w:val="18"/>
        </w:rPr>
        <w:t>329-330.</w:t>
      </w:r>
    </w:p>
    <w:p w14:paraId="21F45E94" w14:textId="327C3072" w:rsidR="00BD462C" w:rsidRDefault="00D70C7D">
      <w:pPr>
        <w:pStyle w:val="BodyText"/>
        <w:ind w:left="136"/>
        <w:rPr>
          <w:sz w:val="20"/>
        </w:rPr>
      </w:pPr>
      <w:r>
        <w:rPr>
          <w:noProof/>
          <w:sz w:val="20"/>
        </w:rPr>
        <mc:AlternateContent>
          <mc:Choice Requires="wpg">
            <w:drawing>
              <wp:inline distT="0" distB="0" distL="0" distR="0" wp14:anchorId="0ADE3585" wp14:editId="73618C38">
                <wp:extent cx="5760720" cy="277495"/>
                <wp:effectExtent l="3810" t="0" r="0" b="0"/>
                <wp:docPr id="918" name="docshapegroup2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277495"/>
                          <a:chOff x="0" y="0"/>
                          <a:chExt cx="9072" cy="437"/>
                        </a:xfrm>
                      </wpg:grpSpPr>
                      <wps:wsp>
                        <wps:cNvPr id="920" name="docshape256" descr="Redacted"/>
                        <wps:cNvSpPr>
                          <a:spLocks/>
                        </wps:cNvSpPr>
                        <wps:spPr bwMode="auto">
                          <a:xfrm>
                            <a:off x="0" y="0"/>
                            <a:ext cx="9072" cy="437"/>
                          </a:xfrm>
                          <a:custGeom>
                            <a:avLst/>
                            <a:gdLst>
                              <a:gd name="T0" fmla="*/ 3475 w 9072"/>
                              <a:gd name="T1" fmla="*/ 221 h 437"/>
                              <a:gd name="T2" fmla="*/ 0 w 9072"/>
                              <a:gd name="T3" fmla="*/ 221 h 437"/>
                              <a:gd name="T4" fmla="*/ 0 w 9072"/>
                              <a:gd name="T5" fmla="*/ 437 h 437"/>
                              <a:gd name="T6" fmla="*/ 3475 w 9072"/>
                              <a:gd name="T7" fmla="*/ 437 h 437"/>
                              <a:gd name="T8" fmla="*/ 3475 w 9072"/>
                              <a:gd name="T9" fmla="*/ 221 h 437"/>
                              <a:gd name="T10" fmla="*/ 9072 w 9072"/>
                              <a:gd name="T11" fmla="*/ 0 h 437"/>
                              <a:gd name="T12" fmla="*/ 278 w 9072"/>
                              <a:gd name="T13" fmla="*/ 0 h 437"/>
                              <a:gd name="T14" fmla="*/ 278 w 9072"/>
                              <a:gd name="T15" fmla="*/ 221 h 437"/>
                              <a:gd name="T16" fmla="*/ 9072 w 9072"/>
                              <a:gd name="T17" fmla="*/ 221 h 437"/>
                              <a:gd name="T18" fmla="*/ 9072 w 9072"/>
                              <a:gd name="T19" fmla="*/ 0 h 4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72" h="437">
                                <a:moveTo>
                                  <a:pt x="3475" y="221"/>
                                </a:moveTo>
                                <a:lnTo>
                                  <a:pt x="0" y="221"/>
                                </a:lnTo>
                                <a:lnTo>
                                  <a:pt x="0" y="437"/>
                                </a:lnTo>
                                <a:lnTo>
                                  <a:pt x="3475" y="437"/>
                                </a:lnTo>
                                <a:lnTo>
                                  <a:pt x="3475" y="221"/>
                                </a:lnTo>
                                <a:close/>
                                <a:moveTo>
                                  <a:pt x="9072" y="0"/>
                                </a:moveTo>
                                <a:lnTo>
                                  <a:pt x="278" y="0"/>
                                </a:lnTo>
                                <a:lnTo>
                                  <a:pt x="278" y="221"/>
                                </a:lnTo>
                                <a:lnTo>
                                  <a:pt x="9072" y="221"/>
                                </a:lnTo>
                                <a:lnTo>
                                  <a:pt x="90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2" name="docshape257"/>
                        <wps:cNvSpPr txBox="1">
                          <a:spLocks noChangeArrowheads="1"/>
                        </wps:cNvSpPr>
                        <wps:spPr bwMode="auto">
                          <a:xfrm>
                            <a:off x="0" y="34"/>
                            <a:ext cx="20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5E61B" w14:textId="77777777" w:rsidR="00BD462C" w:rsidRDefault="00033D0F">
                              <w:pPr>
                                <w:spacing w:line="120" w:lineRule="exact"/>
                                <w:rPr>
                                  <w:sz w:val="12"/>
                                </w:rPr>
                              </w:pPr>
                              <w:bookmarkStart w:id="542" w:name="_bookmark467"/>
                              <w:bookmarkEnd w:id="542"/>
                              <w:r>
                                <w:rPr>
                                  <w:spacing w:val="-5"/>
                                  <w:sz w:val="12"/>
                                </w:rPr>
                                <w:t>380</w:t>
                              </w:r>
                            </w:p>
                          </w:txbxContent>
                        </wps:txbx>
                        <wps:bodyPr rot="0" vert="horz" wrap="square" lIns="0" tIns="0" rIns="0" bIns="0" anchor="t" anchorCtr="0" upright="1">
                          <a:noAutofit/>
                        </wps:bodyPr>
                      </wps:wsp>
                    </wpg:wgp>
                  </a:graphicData>
                </a:graphic>
              </wp:inline>
            </w:drawing>
          </mc:Choice>
          <mc:Fallback>
            <w:pict>
              <v:group w14:anchorId="0ADE3585" id="docshapegroup255" o:spid="_x0000_s1047" alt="&quot;&quot;" style="width:453.6pt;height:21.85pt;mso-position-horizontal-relative:char;mso-position-vertical-relative:line" coordsize="9072,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">
                <v:shape id="docshape256" o:spid="_x0000_s1048" alt="Redacted" style="position:absolute;width:9072;height:437;visibility:visible;mso-wrap-style:square;v-text-anchor:top" coordsize="907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" path="m3475,221l,221,,437r3475,l3475,221xm9072,l278,r,221l9072,221,9072,xe" fillcolor="black" stroked="f">
                  <v:path arrowok="t" o:connecttype="custom" o:connectlocs="3475,221;0,221;0,437;3475,437;3475,221;9072,0;278,0;278,221;9072,221;9072,0" o:connectangles="0,0,0,0,0,0,0,0,0,0"/>
                </v:shape>
                <v:shape id="docshape257" o:spid="_x0000_s1049" type="#_x0000_t202" style="position:absolute;top:34;width:208;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" filled="f" stroked="f">
                  <v:textbox inset="0,0,0,0">
                    <w:txbxContent>
                      <w:p w14:paraId="7F85E61B" w14:textId="77777777" w:rsidR="00BD462C" w:rsidRDefault="00033D0F">
                        <w:pPr>
                          <w:spacing w:line="120" w:lineRule="exact"/>
                          <w:rPr>
                            <w:sz w:val="12"/>
                          </w:rPr>
                        </w:pPr>
                        <w:bookmarkStart w:id="543" w:name="_bookmark467"/>
                        <w:bookmarkEnd w:id="543"/>
                        <w:r>
                          <w:rPr>
                            <w:spacing w:val="-5"/>
                            <w:sz w:val="12"/>
                          </w:rPr>
                          <w:t>380</w:t>
                        </w:r>
                      </w:p>
                    </w:txbxContent>
                  </v:textbox>
                </v:shape>
                <w10:anchorlock/>
              </v:group>
            </w:pict>
          </mc:Fallback>
        </mc:AlternateContent>
      </w:r>
    </w:p>
    <w:p w14:paraId="36DD28E3" w14:textId="77777777" w:rsidR="00BD462C" w:rsidRDefault="00033D0F">
      <w:pPr>
        <w:spacing w:line="183" w:lineRule="exact"/>
        <w:ind w:left="135"/>
        <w:rPr>
          <w:sz w:val="18"/>
        </w:rPr>
      </w:pPr>
      <w:bookmarkStart w:id="544" w:name="_bookmark468"/>
      <w:bookmarkEnd w:id="544"/>
      <w:r>
        <w:rPr>
          <w:position w:val="5"/>
          <w:sz w:val="12"/>
        </w:rPr>
        <w:t>381</w:t>
      </w:r>
      <w:r>
        <w:rPr>
          <w:spacing w:val="12"/>
          <w:position w:val="5"/>
          <w:sz w:val="12"/>
        </w:rPr>
        <w:t xml:space="preserve"> </w:t>
      </w:r>
      <w:r>
        <w:rPr>
          <w:sz w:val="18"/>
        </w:rPr>
        <w:t>Anti-Dumping</w:t>
      </w:r>
      <w:r>
        <w:rPr>
          <w:spacing w:val="-6"/>
          <w:sz w:val="18"/>
        </w:rPr>
        <w:t xml:space="preserve"> </w:t>
      </w:r>
      <w:r>
        <w:rPr>
          <w:sz w:val="18"/>
        </w:rPr>
        <w:t>Final</w:t>
      </w:r>
      <w:r>
        <w:rPr>
          <w:spacing w:val="-1"/>
          <w:sz w:val="18"/>
        </w:rPr>
        <w:t xml:space="preserve"> </w:t>
      </w:r>
      <w:r>
        <w:rPr>
          <w:sz w:val="18"/>
        </w:rPr>
        <w:t>Determination</w:t>
      </w:r>
      <w:r>
        <w:rPr>
          <w:spacing w:val="-6"/>
          <w:sz w:val="18"/>
        </w:rPr>
        <w:t xml:space="preserve"> </w:t>
      </w:r>
      <w:r>
        <w:rPr>
          <w:sz w:val="18"/>
        </w:rPr>
        <w:t>(Exhibit</w:t>
      </w:r>
      <w:r>
        <w:rPr>
          <w:spacing w:val="-2"/>
          <w:sz w:val="18"/>
        </w:rPr>
        <w:t xml:space="preserve"> </w:t>
      </w:r>
      <w:r>
        <w:rPr>
          <w:sz w:val="18"/>
        </w:rPr>
        <w:t>AUS-02),</w:t>
      </w:r>
      <w:r>
        <w:rPr>
          <w:spacing w:val="-4"/>
          <w:sz w:val="18"/>
        </w:rPr>
        <w:t xml:space="preserve"> </w:t>
      </w:r>
      <w:r>
        <w:rPr>
          <w:sz w:val="18"/>
        </w:rPr>
        <w:t>p.</w:t>
      </w:r>
      <w:r>
        <w:rPr>
          <w:spacing w:val="-5"/>
          <w:sz w:val="18"/>
        </w:rPr>
        <w:t xml:space="preserve"> 81.</w:t>
      </w:r>
    </w:p>
    <w:p w14:paraId="5D764D20" w14:textId="77777777" w:rsidR="00BD462C" w:rsidRDefault="00033D0F">
      <w:pPr>
        <w:spacing w:before="1"/>
        <w:ind w:left="135"/>
        <w:rPr>
          <w:sz w:val="18"/>
        </w:rPr>
      </w:pPr>
      <w:bookmarkStart w:id="545" w:name="_bookmark469"/>
      <w:bookmarkEnd w:id="545"/>
      <w:r>
        <w:rPr>
          <w:position w:val="5"/>
          <w:sz w:val="12"/>
        </w:rPr>
        <w:t>382</w:t>
      </w:r>
      <w:r>
        <w:rPr>
          <w:spacing w:val="12"/>
          <w:position w:val="5"/>
          <w:sz w:val="12"/>
        </w:rPr>
        <w:t xml:space="preserve"> </w:t>
      </w:r>
      <w:r>
        <w:rPr>
          <w:sz w:val="18"/>
        </w:rPr>
        <w:t>Australia's</w:t>
      </w:r>
      <w:r>
        <w:rPr>
          <w:spacing w:val="-5"/>
          <w:sz w:val="18"/>
        </w:rPr>
        <w:t xml:space="preserve"> </w:t>
      </w:r>
      <w:r>
        <w:rPr>
          <w:sz w:val="18"/>
        </w:rPr>
        <w:t>first</w:t>
      </w:r>
      <w:r>
        <w:rPr>
          <w:spacing w:val="-5"/>
          <w:sz w:val="18"/>
        </w:rPr>
        <w:t xml:space="preserve"> </w:t>
      </w:r>
      <w:r>
        <w:rPr>
          <w:sz w:val="18"/>
        </w:rPr>
        <w:t>written</w:t>
      </w:r>
      <w:r>
        <w:rPr>
          <w:spacing w:val="-2"/>
          <w:sz w:val="18"/>
        </w:rPr>
        <w:t xml:space="preserve"> </w:t>
      </w:r>
      <w:r>
        <w:rPr>
          <w:sz w:val="18"/>
        </w:rPr>
        <w:t>submission,</w:t>
      </w:r>
      <w:r>
        <w:rPr>
          <w:spacing w:val="1"/>
          <w:sz w:val="18"/>
        </w:rPr>
        <w:t xml:space="preserve"> </w:t>
      </w:r>
      <w:r>
        <w:rPr>
          <w:sz w:val="18"/>
        </w:rPr>
        <w:t>paras.</w:t>
      </w:r>
      <w:r>
        <w:rPr>
          <w:spacing w:val="-5"/>
          <w:sz w:val="18"/>
        </w:rPr>
        <w:t xml:space="preserve"> </w:t>
      </w:r>
      <w:r>
        <w:rPr>
          <w:sz w:val="18"/>
        </w:rPr>
        <w:t>368</w:t>
      </w:r>
      <w:r>
        <w:rPr>
          <w:spacing w:val="-3"/>
          <w:sz w:val="18"/>
        </w:rPr>
        <w:t xml:space="preserve"> </w:t>
      </w:r>
      <w:r>
        <w:rPr>
          <w:sz w:val="18"/>
        </w:rPr>
        <w:t>and</w:t>
      </w:r>
      <w:r>
        <w:rPr>
          <w:spacing w:val="-6"/>
          <w:sz w:val="18"/>
        </w:rPr>
        <w:t xml:space="preserve"> </w:t>
      </w:r>
      <w:r>
        <w:rPr>
          <w:spacing w:val="-4"/>
          <w:sz w:val="18"/>
        </w:rPr>
        <w:t>380.</w:t>
      </w:r>
    </w:p>
    <w:p w14:paraId="1E79BB77" w14:textId="77777777" w:rsidR="00BD462C" w:rsidRDefault="00033D0F">
      <w:pPr>
        <w:spacing w:before="1"/>
        <w:ind w:left="135"/>
        <w:rPr>
          <w:sz w:val="18"/>
        </w:rPr>
      </w:pPr>
      <w:bookmarkStart w:id="546" w:name="_bookmark470"/>
      <w:bookmarkEnd w:id="546"/>
      <w:r>
        <w:rPr>
          <w:position w:val="5"/>
          <w:sz w:val="12"/>
        </w:rPr>
        <w:t>383</w:t>
      </w:r>
      <w:r>
        <w:rPr>
          <w:spacing w:val="13"/>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 xml:space="preserve">para. </w:t>
      </w:r>
      <w:r>
        <w:rPr>
          <w:spacing w:val="-4"/>
          <w:sz w:val="18"/>
        </w:rPr>
        <w:t>648.</w:t>
      </w:r>
    </w:p>
    <w:p w14:paraId="3F197ADB" w14:textId="77777777" w:rsidR="00BD462C" w:rsidRDefault="00033D0F">
      <w:pPr>
        <w:spacing w:before="1"/>
        <w:ind w:left="135"/>
        <w:rPr>
          <w:sz w:val="18"/>
        </w:rPr>
      </w:pPr>
      <w:bookmarkStart w:id="547" w:name="_bookmark471"/>
      <w:bookmarkEnd w:id="547"/>
      <w:r>
        <w:rPr>
          <w:position w:val="5"/>
          <w:sz w:val="12"/>
        </w:rPr>
        <w:t>384</w:t>
      </w:r>
      <w:r>
        <w:rPr>
          <w:spacing w:val="13"/>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 xml:space="preserve">para. </w:t>
      </w:r>
      <w:r>
        <w:rPr>
          <w:spacing w:val="-4"/>
          <w:sz w:val="18"/>
        </w:rPr>
        <w:t>648.</w:t>
      </w:r>
    </w:p>
    <w:p w14:paraId="4F8AE6FE" w14:textId="77777777" w:rsidR="00BD462C" w:rsidRDefault="00BD462C">
      <w:pPr>
        <w:rPr>
          <w:sz w:val="18"/>
        </w:rPr>
        <w:sectPr w:rsidR="00BD462C">
          <w:pgSz w:w="11910" w:h="16840"/>
          <w:pgMar w:top="860" w:right="500" w:bottom="780" w:left="1280" w:header="566" w:footer="590" w:gutter="0"/>
          <w:cols w:space="720"/>
        </w:sectPr>
      </w:pPr>
    </w:p>
    <w:p w14:paraId="1ECC8A66"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27E622A7"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42CC31F7"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5F497881" w14:textId="77777777" w:rsidR="00D86B81" w:rsidRDefault="00033D0F" w:rsidP="00D86B81">
      <w:pPr>
        <w:pStyle w:val="BodyText"/>
        <w:spacing w:before="102" w:line="360" w:lineRule="auto"/>
        <w:ind w:left="135" w:right="911"/>
        <w:jc w:val="both"/>
      </w:pPr>
      <w:r>
        <w:t>Final Determination clearly indicates that one of MOFCOM's reasons for having recourse to facts</w:t>
      </w:r>
      <w:r>
        <w:rPr>
          <w:spacing w:val="-5"/>
        </w:rPr>
        <w:t xml:space="preserve"> </w:t>
      </w:r>
      <w:r>
        <w:t>available</w:t>
      </w:r>
      <w:r>
        <w:rPr>
          <w:spacing w:val="-6"/>
        </w:rPr>
        <w:t xml:space="preserve"> </w:t>
      </w:r>
      <w:r>
        <w:t>was</w:t>
      </w:r>
      <w:r>
        <w:rPr>
          <w:spacing w:val="-5"/>
        </w:rPr>
        <w:t xml:space="preserve"> </w:t>
      </w:r>
      <w:r>
        <w:t>the</w:t>
      </w:r>
      <w:r>
        <w:rPr>
          <w:spacing w:val="-6"/>
        </w:rPr>
        <w:t xml:space="preserve"> </w:t>
      </w:r>
      <w:r>
        <w:t>inconsistencies</w:t>
      </w:r>
      <w:r>
        <w:rPr>
          <w:spacing w:val="-5"/>
        </w:rPr>
        <w:t xml:space="preserve"> </w:t>
      </w:r>
      <w:r>
        <w:t>between</w:t>
      </w:r>
      <w:r>
        <w:rPr>
          <w:spacing w:val="-8"/>
        </w:rPr>
        <w:t xml:space="preserve"> </w:t>
      </w:r>
      <w:r>
        <w:t>these</w:t>
      </w:r>
      <w:r>
        <w:rPr>
          <w:spacing w:val="-6"/>
        </w:rPr>
        <w:t xml:space="preserve"> </w:t>
      </w:r>
      <w:r>
        <w:t>forms.</w:t>
      </w:r>
      <w:r>
        <w:rPr>
          <w:spacing w:val="-5"/>
        </w:rPr>
        <w:t xml:space="preserve"> </w:t>
      </w:r>
      <w:r>
        <w:t>This</w:t>
      </w:r>
      <w:r>
        <w:rPr>
          <w:spacing w:val="-5"/>
        </w:rPr>
        <w:t xml:space="preserve"> </w:t>
      </w:r>
      <w:r>
        <w:t>issue</w:t>
      </w:r>
      <w:r>
        <w:rPr>
          <w:spacing w:val="-6"/>
        </w:rPr>
        <w:t xml:space="preserve"> </w:t>
      </w:r>
      <w:r>
        <w:t>was</w:t>
      </w:r>
      <w:r>
        <w:rPr>
          <w:spacing w:val="-5"/>
        </w:rPr>
        <w:t xml:space="preserve"> </w:t>
      </w:r>
      <w:r>
        <w:t>first</w:t>
      </w:r>
      <w:r>
        <w:rPr>
          <w:spacing w:val="-6"/>
        </w:rPr>
        <w:t xml:space="preserve"> </w:t>
      </w:r>
      <w:r>
        <w:t>raised</w:t>
      </w:r>
      <w:r>
        <w:rPr>
          <w:spacing w:val="-8"/>
        </w:rPr>
        <w:t xml:space="preserve"> </w:t>
      </w:r>
      <w:r>
        <w:t>during the narrative discussion of the alleged problems with Casella Wines' response to the first questionnaire, including that the cost data in Form 6-4 was said to be inconsistent with</w:t>
      </w:r>
      <w:r>
        <w:rPr>
          <w:spacing w:val="80"/>
          <w:w w:val="150"/>
        </w:rPr>
        <w:t xml:space="preserve"> </w:t>
      </w:r>
      <w:r>
        <w:t>Form</w:t>
      </w:r>
      <w:r>
        <w:rPr>
          <w:spacing w:val="-2"/>
        </w:rPr>
        <w:t xml:space="preserve"> </w:t>
      </w:r>
      <w:r>
        <w:t>6-1-2 and that the "[c]</w:t>
      </w:r>
      <w:proofErr w:type="spellStart"/>
      <w:r>
        <w:t>ompany</w:t>
      </w:r>
      <w:proofErr w:type="spellEnd"/>
      <w:r>
        <w:t xml:space="preserve"> also did not elaborate the alignment between Form 6-3 and</w:t>
      </w:r>
      <w:r>
        <w:rPr>
          <w:spacing w:val="-14"/>
        </w:rPr>
        <w:t xml:space="preserve"> </w:t>
      </w:r>
      <w:r>
        <w:t>Form</w:t>
      </w:r>
      <w:r>
        <w:rPr>
          <w:spacing w:val="-14"/>
        </w:rPr>
        <w:t xml:space="preserve"> </w:t>
      </w:r>
      <w:r>
        <w:t>6-4".</w:t>
      </w:r>
      <w:r>
        <w:rPr>
          <w:spacing w:val="-13"/>
        </w:rPr>
        <w:t xml:space="preserve"> </w:t>
      </w:r>
      <w:hyperlink w:anchor="_bookmark473" w:history="1">
        <w:r>
          <w:rPr>
            <w:vertAlign w:val="superscript"/>
          </w:rPr>
          <w:t>385</w:t>
        </w:r>
      </w:hyperlink>
      <w:r>
        <w:rPr>
          <w:spacing w:val="-8"/>
        </w:rPr>
        <w:t xml:space="preserve"> </w:t>
      </w:r>
      <w:r>
        <w:t>MOFCOM</w:t>
      </w:r>
      <w:r>
        <w:rPr>
          <w:spacing w:val="-8"/>
        </w:rPr>
        <w:t xml:space="preserve"> </w:t>
      </w:r>
      <w:r>
        <w:t>refers</w:t>
      </w:r>
      <w:r>
        <w:rPr>
          <w:spacing w:val="-7"/>
        </w:rPr>
        <w:t xml:space="preserve"> </w:t>
      </w:r>
      <w:r>
        <w:t>to</w:t>
      </w:r>
      <w:r>
        <w:rPr>
          <w:spacing w:val="-11"/>
        </w:rPr>
        <w:t xml:space="preserve"> </w:t>
      </w:r>
      <w:r>
        <w:t>this</w:t>
      </w:r>
      <w:r>
        <w:rPr>
          <w:spacing w:val="-7"/>
        </w:rPr>
        <w:t xml:space="preserve"> </w:t>
      </w:r>
      <w:r>
        <w:t>section</w:t>
      </w:r>
      <w:r>
        <w:rPr>
          <w:spacing w:val="-10"/>
        </w:rPr>
        <w:t xml:space="preserve"> </w:t>
      </w:r>
      <w:r>
        <w:t>again</w:t>
      </w:r>
      <w:r>
        <w:rPr>
          <w:spacing w:val="-10"/>
        </w:rPr>
        <w:t xml:space="preserve"> </w:t>
      </w:r>
      <w:r>
        <w:t>in</w:t>
      </w:r>
      <w:r>
        <w:rPr>
          <w:spacing w:val="-10"/>
        </w:rPr>
        <w:t xml:space="preserve"> </w:t>
      </w:r>
      <w:r>
        <w:t>its</w:t>
      </w:r>
      <w:r>
        <w:rPr>
          <w:spacing w:val="-7"/>
        </w:rPr>
        <w:t xml:space="preserve"> </w:t>
      </w:r>
      <w:r>
        <w:t>summary</w:t>
      </w:r>
      <w:r>
        <w:rPr>
          <w:spacing w:val="-7"/>
        </w:rPr>
        <w:t xml:space="preserve"> </w:t>
      </w:r>
      <w:r>
        <w:t>of</w:t>
      </w:r>
      <w:r>
        <w:rPr>
          <w:spacing w:val="-10"/>
        </w:rPr>
        <w:t xml:space="preserve"> </w:t>
      </w:r>
      <w:r>
        <w:t>the</w:t>
      </w:r>
      <w:r>
        <w:rPr>
          <w:spacing w:val="-8"/>
        </w:rPr>
        <w:t xml:space="preserve"> </w:t>
      </w:r>
      <w:r>
        <w:t>issues</w:t>
      </w:r>
      <w:r>
        <w:rPr>
          <w:spacing w:val="-7"/>
        </w:rPr>
        <w:t xml:space="preserve"> </w:t>
      </w:r>
      <w:r>
        <w:t>leading</w:t>
      </w:r>
      <w:r>
        <w:rPr>
          <w:spacing w:val="-7"/>
        </w:rPr>
        <w:t xml:space="preserve"> </w:t>
      </w:r>
      <w:r>
        <w:t>to its determination to use facts available two pages later, stating, "[t]o sum up, […] [t]he inconsistency in the sheets provided by it made it impossible for the Investigating Authority to verify its transaction integrity".</w:t>
      </w:r>
      <w:hyperlink w:anchor="_bookmark474" w:history="1">
        <w:r>
          <w:rPr>
            <w:vertAlign w:val="superscript"/>
          </w:rPr>
          <w:t>386</w:t>
        </w:r>
      </w:hyperlink>
      <w:r>
        <w:t xml:space="preserve"> This is an explicit reference to the alleged inconsistency and lack of alignment referred to earlier.</w:t>
      </w:r>
    </w:p>
    <w:p w14:paraId="0B0A3907" w14:textId="7D7C1944" w:rsidR="00BD462C" w:rsidRDefault="00033D0F" w:rsidP="00DA02D9">
      <w:pPr>
        <w:pStyle w:val="BodyText"/>
        <w:numPr>
          <w:ilvl w:val="0"/>
          <w:numId w:val="71"/>
        </w:numPr>
        <w:spacing w:before="102" w:line="360" w:lineRule="auto"/>
        <w:ind w:right="911"/>
        <w:jc w:val="both"/>
      </w:pPr>
      <w:r>
        <w:rPr>
          <w:position w:val="1"/>
        </w:rPr>
        <w:t xml:space="preserve">It is clear that China's attempt to play down MOFCOM's erroneous findings in this </w:t>
      </w:r>
      <w:r>
        <w:t>regard finds no support in the record. That MOFCOM used the alleged inconsistencies between</w:t>
      </w:r>
      <w:r>
        <w:rPr>
          <w:spacing w:val="-9"/>
        </w:rPr>
        <w:t xml:space="preserve"> </w:t>
      </w:r>
      <w:r>
        <w:t>these</w:t>
      </w:r>
      <w:r>
        <w:rPr>
          <w:spacing w:val="-7"/>
        </w:rPr>
        <w:t xml:space="preserve"> </w:t>
      </w:r>
      <w:r>
        <w:t>forms</w:t>
      </w:r>
      <w:r>
        <w:rPr>
          <w:spacing w:val="-6"/>
        </w:rPr>
        <w:t xml:space="preserve"> </w:t>
      </w:r>
      <w:r>
        <w:t>as</w:t>
      </w:r>
      <w:r>
        <w:rPr>
          <w:spacing w:val="-6"/>
        </w:rPr>
        <w:t xml:space="preserve"> </w:t>
      </w:r>
      <w:r>
        <w:t>a</w:t>
      </w:r>
      <w:r>
        <w:rPr>
          <w:spacing w:val="-8"/>
        </w:rPr>
        <w:t xml:space="preserve"> </w:t>
      </w:r>
      <w:r>
        <w:t>basis</w:t>
      </w:r>
      <w:r>
        <w:rPr>
          <w:spacing w:val="-6"/>
        </w:rPr>
        <w:t xml:space="preserve"> </w:t>
      </w:r>
      <w:r>
        <w:t>for</w:t>
      </w:r>
      <w:r>
        <w:rPr>
          <w:spacing w:val="-10"/>
        </w:rPr>
        <w:t xml:space="preserve"> </w:t>
      </w:r>
      <w:r>
        <w:t>refusing</w:t>
      </w:r>
      <w:r>
        <w:rPr>
          <w:spacing w:val="-6"/>
        </w:rPr>
        <w:t xml:space="preserve"> </w:t>
      </w:r>
      <w:r>
        <w:t>to</w:t>
      </w:r>
      <w:r>
        <w:rPr>
          <w:spacing w:val="-10"/>
        </w:rPr>
        <w:t xml:space="preserve"> </w:t>
      </w:r>
      <w:r>
        <w:t>consider</w:t>
      </w:r>
      <w:r>
        <w:rPr>
          <w:spacing w:val="-10"/>
        </w:rPr>
        <w:t xml:space="preserve"> </w:t>
      </w:r>
      <w:r>
        <w:t>the</w:t>
      </w:r>
      <w:r>
        <w:rPr>
          <w:spacing w:val="-7"/>
        </w:rPr>
        <w:t xml:space="preserve"> </w:t>
      </w:r>
      <w:r>
        <w:t>data,</w:t>
      </w:r>
      <w:r>
        <w:rPr>
          <w:spacing w:val="-5"/>
        </w:rPr>
        <w:t xml:space="preserve"> </w:t>
      </w:r>
      <w:r>
        <w:t>when</w:t>
      </w:r>
      <w:r>
        <w:rPr>
          <w:spacing w:val="-9"/>
        </w:rPr>
        <w:t xml:space="preserve"> </w:t>
      </w:r>
      <w:r>
        <w:t>no</w:t>
      </w:r>
      <w:r>
        <w:rPr>
          <w:spacing w:val="-10"/>
        </w:rPr>
        <w:t xml:space="preserve"> </w:t>
      </w:r>
      <w:r>
        <w:t>indication</w:t>
      </w:r>
      <w:r>
        <w:rPr>
          <w:spacing w:val="-9"/>
        </w:rPr>
        <w:t xml:space="preserve"> </w:t>
      </w:r>
      <w:r>
        <w:t>was</w:t>
      </w:r>
      <w:r>
        <w:rPr>
          <w:spacing w:val="-4"/>
        </w:rPr>
        <w:t xml:space="preserve"> </w:t>
      </w:r>
      <w:r>
        <w:t>ever given</w:t>
      </w:r>
      <w:r>
        <w:rPr>
          <w:spacing w:val="-9"/>
        </w:rPr>
        <w:t xml:space="preserve"> </w:t>
      </w:r>
      <w:r>
        <w:t>by</w:t>
      </w:r>
      <w:r>
        <w:rPr>
          <w:spacing w:val="-6"/>
        </w:rPr>
        <w:t xml:space="preserve"> </w:t>
      </w:r>
      <w:r>
        <w:t>MOFCOM</w:t>
      </w:r>
      <w:r>
        <w:rPr>
          <w:spacing w:val="-7"/>
        </w:rPr>
        <w:t xml:space="preserve"> </w:t>
      </w:r>
      <w:r>
        <w:t>that</w:t>
      </w:r>
      <w:r>
        <w:rPr>
          <w:spacing w:val="-7"/>
        </w:rPr>
        <w:t xml:space="preserve"> </w:t>
      </w:r>
      <w:r>
        <w:t>the</w:t>
      </w:r>
      <w:r>
        <w:rPr>
          <w:spacing w:val="-7"/>
        </w:rPr>
        <w:t xml:space="preserve"> </w:t>
      </w:r>
      <w:r>
        <w:t>data</w:t>
      </w:r>
      <w:r>
        <w:rPr>
          <w:spacing w:val="-8"/>
        </w:rPr>
        <w:t xml:space="preserve"> </w:t>
      </w:r>
      <w:r>
        <w:t>was</w:t>
      </w:r>
      <w:r>
        <w:rPr>
          <w:spacing w:val="-6"/>
        </w:rPr>
        <w:t xml:space="preserve"> </w:t>
      </w:r>
      <w:r>
        <w:t>required</w:t>
      </w:r>
      <w:r>
        <w:rPr>
          <w:spacing w:val="-9"/>
        </w:rPr>
        <w:t xml:space="preserve"> </w:t>
      </w:r>
      <w:r>
        <w:t>to</w:t>
      </w:r>
      <w:r>
        <w:rPr>
          <w:spacing w:val="-5"/>
        </w:rPr>
        <w:t xml:space="preserve"> </w:t>
      </w:r>
      <w:r>
        <w:t>be</w:t>
      </w:r>
      <w:r>
        <w:rPr>
          <w:spacing w:val="-7"/>
        </w:rPr>
        <w:t xml:space="preserve"> </w:t>
      </w:r>
      <w:r>
        <w:t>reconcilable.</w:t>
      </w:r>
      <w:r>
        <w:rPr>
          <w:spacing w:val="-6"/>
        </w:rPr>
        <w:t xml:space="preserve"> </w:t>
      </w:r>
      <w:r>
        <w:t>In</w:t>
      </w:r>
      <w:r>
        <w:rPr>
          <w:spacing w:val="-9"/>
        </w:rPr>
        <w:t xml:space="preserve"> </w:t>
      </w:r>
      <w:r>
        <w:t>so</w:t>
      </w:r>
      <w:r>
        <w:rPr>
          <w:spacing w:val="-10"/>
        </w:rPr>
        <w:t xml:space="preserve"> </w:t>
      </w:r>
      <w:r>
        <w:t>doing,</w:t>
      </w:r>
      <w:r>
        <w:rPr>
          <w:spacing w:val="-5"/>
        </w:rPr>
        <w:t xml:space="preserve"> </w:t>
      </w:r>
      <w:r>
        <w:t>MOFCOM</w:t>
      </w:r>
      <w:r>
        <w:rPr>
          <w:spacing w:val="-7"/>
        </w:rPr>
        <w:t xml:space="preserve"> </w:t>
      </w:r>
      <w:r>
        <w:t>failed to provide reasons and an opportunity to provide additional explanation in breach of paragraph 6 of Annex II.</w:t>
      </w:r>
      <w:r>
        <w:rPr>
          <w:spacing w:val="-31"/>
        </w:rPr>
        <w:t xml:space="preserve"> </w:t>
      </w:r>
      <w:hyperlink w:anchor="_bookmark475" w:history="1">
        <w:r>
          <w:rPr>
            <w:vertAlign w:val="superscript"/>
          </w:rPr>
          <w:t>387</w:t>
        </w:r>
      </w:hyperlink>
      <w:r>
        <w:t xml:space="preserve"> China has thus far not engaged with the substance of this claim.</w:t>
      </w:r>
    </w:p>
    <w:p w14:paraId="223A78C4" w14:textId="77777777" w:rsidR="00BD462C" w:rsidRDefault="00033D0F">
      <w:pPr>
        <w:pStyle w:val="ListParagraph"/>
        <w:numPr>
          <w:ilvl w:val="1"/>
          <w:numId w:val="60"/>
        </w:numPr>
        <w:tabs>
          <w:tab w:val="left" w:pos="3539"/>
          <w:tab w:val="left" w:pos="3540"/>
        </w:tabs>
        <w:spacing w:before="157"/>
        <w:ind w:hanging="851"/>
        <w:jc w:val="both"/>
        <w:rPr>
          <w:sz w:val="24"/>
        </w:rPr>
      </w:pPr>
      <w:bookmarkStart w:id="548" w:name="(b)_Special_price_arrangements"/>
      <w:bookmarkStart w:id="549" w:name="_bookmark472"/>
      <w:bookmarkEnd w:id="548"/>
      <w:bookmarkEnd w:id="549"/>
      <w:r>
        <w:rPr>
          <w:sz w:val="24"/>
          <w:u w:val="single"/>
        </w:rPr>
        <w:t>Special</w:t>
      </w:r>
      <w:r>
        <w:rPr>
          <w:spacing w:val="-2"/>
          <w:sz w:val="24"/>
          <w:u w:val="single"/>
        </w:rPr>
        <w:t xml:space="preserve"> </w:t>
      </w:r>
      <w:r>
        <w:rPr>
          <w:sz w:val="24"/>
          <w:u w:val="single"/>
        </w:rPr>
        <w:t>price</w:t>
      </w:r>
      <w:r>
        <w:rPr>
          <w:spacing w:val="-3"/>
          <w:sz w:val="24"/>
          <w:u w:val="single"/>
        </w:rPr>
        <w:t xml:space="preserve"> </w:t>
      </w:r>
      <w:r>
        <w:rPr>
          <w:spacing w:val="-2"/>
          <w:sz w:val="24"/>
          <w:u w:val="single"/>
        </w:rPr>
        <w:t>arrangements</w:t>
      </w:r>
    </w:p>
    <w:p w14:paraId="3837CC06" w14:textId="77777777" w:rsidR="00BD462C" w:rsidRDefault="00BD462C">
      <w:pPr>
        <w:pStyle w:val="BodyText"/>
        <w:spacing w:before="11"/>
        <w:rPr>
          <w:sz w:val="20"/>
        </w:rPr>
      </w:pPr>
    </w:p>
    <w:p w14:paraId="4F9ACD55" w14:textId="0AB93252" w:rsidR="00BD462C" w:rsidRDefault="00033D0F" w:rsidP="00DA02D9">
      <w:pPr>
        <w:pStyle w:val="BodyText"/>
        <w:numPr>
          <w:ilvl w:val="0"/>
          <w:numId w:val="71"/>
        </w:numPr>
        <w:spacing w:before="57" w:line="357" w:lineRule="auto"/>
        <w:ind w:right="917"/>
        <w:jc w:val="both"/>
      </w:pPr>
      <w:r>
        <w:rPr>
          <w:position w:val="1"/>
        </w:rPr>
        <w:t xml:space="preserve">China argued that Casella Wines failed to provide sufficient explanations of special </w:t>
      </w:r>
      <w:r>
        <w:t>price arrangements in the original exporter questionnaire, and that it was precluded from providing this at a later stage due to paragraph 6 of Annex II.</w:t>
      </w:r>
      <w:r>
        <w:rPr>
          <w:spacing w:val="-30"/>
        </w:rPr>
        <w:t xml:space="preserve"> </w:t>
      </w:r>
      <w:hyperlink w:anchor="_bookmark476" w:history="1">
        <w:r>
          <w:rPr>
            <w:vertAlign w:val="superscript"/>
          </w:rPr>
          <w:t>388</w:t>
        </w:r>
      </w:hyperlink>
    </w:p>
    <w:p w14:paraId="00C416D7" w14:textId="77777777" w:rsidR="00BD462C" w:rsidRDefault="00BD462C">
      <w:pPr>
        <w:pStyle w:val="BodyText"/>
        <w:spacing w:before="2"/>
        <w:rPr>
          <w:sz w:val="9"/>
        </w:rPr>
      </w:pPr>
    </w:p>
    <w:p w14:paraId="544318FF" w14:textId="47161A10" w:rsidR="00BD462C" w:rsidRPr="003F6264" w:rsidRDefault="00033D0F" w:rsidP="00DA02D9">
      <w:pPr>
        <w:pStyle w:val="BodyText"/>
        <w:numPr>
          <w:ilvl w:val="0"/>
          <w:numId w:val="71"/>
        </w:numPr>
        <w:spacing w:before="57" w:line="360" w:lineRule="auto"/>
        <w:ind w:right="913"/>
        <w:jc w:val="both"/>
      </w:pPr>
      <w:r>
        <w:rPr>
          <w:position w:val="1"/>
        </w:rPr>
        <w:t>MOFCOM accepted</w:t>
      </w:r>
      <w:r>
        <w:rPr>
          <w:spacing w:val="-1"/>
          <w:position w:val="1"/>
        </w:rPr>
        <w:t xml:space="preserve"> </w:t>
      </w:r>
      <w:r>
        <w:rPr>
          <w:position w:val="1"/>
        </w:rPr>
        <w:t>that Casella Wines provided</w:t>
      </w:r>
      <w:r>
        <w:rPr>
          <w:spacing w:val="-1"/>
          <w:position w:val="1"/>
        </w:rPr>
        <w:t xml:space="preserve"> </w:t>
      </w:r>
      <w:r>
        <w:rPr>
          <w:position w:val="1"/>
        </w:rPr>
        <w:t xml:space="preserve">"additional explanations" of special </w:t>
      </w:r>
      <w:r>
        <w:t>price arrangements in</w:t>
      </w:r>
      <w:r>
        <w:rPr>
          <w:spacing w:val="-1"/>
        </w:rPr>
        <w:t xml:space="preserve"> </w:t>
      </w:r>
      <w:r>
        <w:t>both its comments on</w:t>
      </w:r>
      <w:r>
        <w:rPr>
          <w:spacing w:val="-1"/>
        </w:rPr>
        <w:t xml:space="preserve"> </w:t>
      </w:r>
      <w:r>
        <w:t>the Preliminary Determination</w:t>
      </w:r>
      <w:r>
        <w:rPr>
          <w:spacing w:val="-1"/>
        </w:rPr>
        <w:t xml:space="preserve"> </w:t>
      </w:r>
      <w:r>
        <w:t>and</w:t>
      </w:r>
      <w:r>
        <w:rPr>
          <w:spacing w:val="-1"/>
        </w:rPr>
        <w:t xml:space="preserve"> </w:t>
      </w:r>
      <w:r>
        <w:t>its response to</w:t>
      </w:r>
      <w:r>
        <w:rPr>
          <w:spacing w:val="-14"/>
        </w:rPr>
        <w:t xml:space="preserve"> </w:t>
      </w:r>
      <w:r>
        <w:t>the</w:t>
      </w:r>
      <w:r>
        <w:rPr>
          <w:spacing w:val="-6"/>
        </w:rPr>
        <w:t xml:space="preserve"> </w:t>
      </w:r>
      <w:r>
        <w:t>Supplementary Questionnaire.</w:t>
      </w:r>
      <w:r>
        <w:rPr>
          <w:spacing w:val="-14"/>
        </w:rPr>
        <w:t xml:space="preserve"> </w:t>
      </w:r>
      <w:hyperlink w:anchor="_bookmark477" w:history="1">
        <w:r>
          <w:rPr>
            <w:vertAlign w:val="superscript"/>
          </w:rPr>
          <w:t>389</w:t>
        </w:r>
      </w:hyperlink>
      <w:r>
        <w:t xml:space="preserve"> Despite this, China submitted</w:t>
      </w:r>
      <w:r>
        <w:rPr>
          <w:spacing w:val="-1"/>
        </w:rPr>
        <w:t xml:space="preserve"> </w:t>
      </w:r>
      <w:r>
        <w:t>that</w:t>
      </w:r>
      <w:r>
        <w:rPr>
          <w:spacing w:val="-3"/>
        </w:rPr>
        <w:t xml:space="preserve"> </w:t>
      </w:r>
      <w:r>
        <w:t>Casella</w:t>
      </w:r>
      <w:r>
        <w:rPr>
          <w:spacing w:val="-4"/>
        </w:rPr>
        <w:t xml:space="preserve"> </w:t>
      </w:r>
      <w:r>
        <w:t>Wines did not</w:t>
      </w:r>
      <w:r>
        <w:rPr>
          <w:spacing w:val="40"/>
        </w:rPr>
        <w:t xml:space="preserve"> </w:t>
      </w:r>
      <w:r>
        <w:t>explain</w:t>
      </w:r>
      <w:r>
        <w:rPr>
          <w:spacing w:val="40"/>
        </w:rPr>
        <w:t xml:space="preserve"> </w:t>
      </w:r>
      <w:r>
        <w:t>what</w:t>
      </w:r>
      <w:r>
        <w:rPr>
          <w:spacing w:val="40"/>
        </w:rPr>
        <w:t xml:space="preserve"> </w:t>
      </w:r>
      <w:r>
        <w:t>special</w:t>
      </w:r>
      <w:r>
        <w:rPr>
          <w:spacing w:val="40"/>
        </w:rPr>
        <w:t xml:space="preserve"> </w:t>
      </w:r>
      <w:r>
        <w:t>price</w:t>
      </w:r>
      <w:r>
        <w:rPr>
          <w:spacing w:val="40"/>
        </w:rPr>
        <w:t xml:space="preserve"> </w:t>
      </w:r>
      <w:r>
        <w:t>arrangements</w:t>
      </w:r>
      <w:r>
        <w:rPr>
          <w:spacing w:val="40"/>
        </w:rPr>
        <w:t xml:space="preserve"> </w:t>
      </w:r>
      <w:r>
        <w:t>were</w:t>
      </w:r>
      <w:r>
        <w:rPr>
          <w:spacing w:val="40"/>
        </w:rPr>
        <w:t xml:space="preserve"> </w:t>
      </w:r>
      <w:r>
        <w:t>in</w:t>
      </w:r>
      <w:r>
        <w:rPr>
          <w:spacing w:val="40"/>
        </w:rPr>
        <w:t xml:space="preserve"> </w:t>
      </w:r>
      <w:r>
        <w:t>the</w:t>
      </w:r>
      <w:r>
        <w:rPr>
          <w:spacing w:val="40"/>
        </w:rPr>
        <w:t xml:space="preserve"> </w:t>
      </w:r>
      <w:r>
        <w:t>initial</w:t>
      </w:r>
      <w:r>
        <w:rPr>
          <w:spacing w:val="40"/>
        </w:rPr>
        <w:t xml:space="preserve"> </w:t>
      </w:r>
      <w:r>
        <w:t>questionnaire.</w:t>
      </w:r>
      <w:r>
        <w:rPr>
          <w:spacing w:val="-32"/>
        </w:rPr>
        <w:t xml:space="preserve"> </w:t>
      </w:r>
      <w:hyperlink w:anchor="_bookmark478" w:history="1">
        <w:r>
          <w:rPr>
            <w:vertAlign w:val="superscript"/>
          </w:rPr>
          <w:t>390</w:t>
        </w:r>
      </w:hyperlink>
      <w:r>
        <w:rPr>
          <w:spacing w:val="40"/>
        </w:rPr>
        <w:t xml:space="preserve"> </w:t>
      </w:r>
      <w:r>
        <w:t>Under</w:t>
      </w:r>
    </w:p>
    <w:p w14:paraId="2D22C422" w14:textId="77777777" w:rsidR="00BD462C" w:rsidRDefault="00BD462C">
      <w:pPr>
        <w:pStyle w:val="BodyText"/>
        <w:rPr>
          <w:sz w:val="20"/>
        </w:rPr>
      </w:pPr>
    </w:p>
    <w:p w14:paraId="29CB097F" w14:textId="4D59105E" w:rsidR="00BD462C" w:rsidRDefault="00D70C7D">
      <w:pPr>
        <w:pStyle w:val="BodyText"/>
        <w:spacing w:before="8"/>
        <w:rPr>
          <w:sz w:val="26"/>
        </w:rPr>
      </w:pPr>
      <w:r>
        <w:rPr>
          <w:noProof/>
        </w:rPr>
        <mc:AlternateContent>
          <mc:Choice Requires="wps">
            <w:drawing>
              <wp:anchor distT="0" distB="0" distL="0" distR="0" simplePos="0" relativeHeight="487705600" behindDoc="1" locked="0" layoutInCell="1" allowOverlap="1" wp14:anchorId="1A245FE4" wp14:editId="231229EF">
                <wp:simplePos x="0" y="0"/>
                <wp:positionH relativeFrom="page">
                  <wp:posOffset>899160</wp:posOffset>
                </wp:positionH>
                <wp:positionV relativeFrom="paragraph">
                  <wp:posOffset>222250</wp:posOffset>
                </wp:positionV>
                <wp:extent cx="1828800" cy="8890"/>
                <wp:effectExtent l="0" t="0" r="0" b="0"/>
                <wp:wrapTopAndBottom/>
                <wp:docPr id="916" name="docshape2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87ACA" id="docshape258" o:spid="_x0000_s1026" alt="&quot;&quot;" style="position:absolute;margin-left:70.8pt;margin-top:17.5pt;width:2in;height:.7pt;z-index:-15610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" fillcolor="black" stroked="f">
                <w10:wrap type="topAndBottom" anchorx="page"/>
              </v:rect>
            </w:pict>
          </mc:Fallback>
        </mc:AlternateContent>
      </w:r>
    </w:p>
    <w:p w14:paraId="6D380901" w14:textId="77777777" w:rsidR="00BD462C" w:rsidRDefault="00033D0F">
      <w:pPr>
        <w:spacing w:before="112" w:line="218" w:lineRule="exact"/>
        <w:ind w:left="135"/>
        <w:rPr>
          <w:sz w:val="18"/>
        </w:rPr>
      </w:pPr>
      <w:bookmarkStart w:id="550" w:name="_bookmark473"/>
      <w:bookmarkEnd w:id="550"/>
      <w:r>
        <w:rPr>
          <w:position w:val="5"/>
          <w:sz w:val="12"/>
        </w:rPr>
        <w:t>385</w:t>
      </w:r>
      <w:r>
        <w:rPr>
          <w:spacing w:val="12"/>
          <w:position w:val="5"/>
          <w:sz w:val="12"/>
        </w:rPr>
        <w:t xml:space="preserve"> </w:t>
      </w:r>
      <w:r>
        <w:rPr>
          <w:sz w:val="18"/>
        </w:rPr>
        <w:t>Anti-Dumping</w:t>
      </w:r>
      <w:r>
        <w:rPr>
          <w:spacing w:val="-6"/>
          <w:sz w:val="18"/>
        </w:rPr>
        <w:t xml:space="preserve"> </w:t>
      </w:r>
      <w:r>
        <w:rPr>
          <w:sz w:val="18"/>
        </w:rPr>
        <w:t>Final</w:t>
      </w:r>
      <w:r>
        <w:rPr>
          <w:spacing w:val="-1"/>
          <w:sz w:val="18"/>
        </w:rPr>
        <w:t xml:space="preserve"> </w:t>
      </w:r>
      <w:r>
        <w:rPr>
          <w:sz w:val="18"/>
        </w:rPr>
        <w:t>Determination</w:t>
      </w:r>
      <w:r>
        <w:rPr>
          <w:spacing w:val="-7"/>
          <w:sz w:val="18"/>
        </w:rPr>
        <w:t xml:space="preserve"> </w:t>
      </w:r>
      <w:r>
        <w:rPr>
          <w:sz w:val="18"/>
        </w:rPr>
        <w:t>(Exhibit</w:t>
      </w:r>
      <w:r>
        <w:rPr>
          <w:spacing w:val="-1"/>
          <w:sz w:val="18"/>
        </w:rPr>
        <w:t xml:space="preserve"> </w:t>
      </w:r>
      <w:r>
        <w:rPr>
          <w:sz w:val="18"/>
        </w:rPr>
        <w:t>AUS-2),</w:t>
      </w:r>
      <w:r>
        <w:rPr>
          <w:spacing w:val="-4"/>
          <w:sz w:val="18"/>
        </w:rPr>
        <w:t xml:space="preserve"> </w:t>
      </w:r>
      <w:r>
        <w:rPr>
          <w:sz w:val="18"/>
        </w:rPr>
        <w:t>p.</w:t>
      </w:r>
      <w:r>
        <w:rPr>
          <w:spacing w:val="-5"/>
          <w:sz w:val="18"/>
        </w:rPr>
        <w:t xml:space="preserve"> 81.</w:t>
      </w:r>
    </w:p>
    <w:p w14:paraId="19BE4A3A" w14:textId="77777777" w:rsidR="00BD462C" w:rsidRDefault="00033D0F">
      <w:pPr>
        <w:spacing w:line="218" w:lineRule="exact"/>
        <w:ind w:left="135"/>
        <w:rPr>
          <w:sz w:val="18"/>
        </w:rPr>
      </w:pPr>
      <w:bookmarkStart w:id="551" w:name="_bookmark474"/>
      <w:bookmarkEnd w:id="551"/>
      <w:r>
        <w:rPr>
          <w:position w:val="5"/>
          <w:sz w:val="12"/>
        </w:rPr>
        <w:t>386</w:t>
      </w:r>
      <w:r>
        <w:rPr>
          <w:spacing w:val="11"/>
          <w:position w:val="5"/>
          <w:sz w:val="12"/>
        </w:rPr>
        <w:t xml:space="preserve"> </w:t>
      </w:r>
      <w:r>
        <w:rPr>
          <w:sz w:val="18"/>
        </w:rPr>
        <w:t>Anti-Dumping</w:t>
      </w:r>
      <w:r>
        <w:rPr>
          <w:spacing w:val="-7"/>
          <w:sz w:val="18"/>
        </w:rPr>
        <w:t xml:space="preserve"> </w:t>
      </w:r>
      <w:r>
        <w:rPr>
          <w:sz w:val="18"/>
        </w:rPr>
        <w:t>Final</w:t>
      </w:r>
      <w:r>
        <w:rPr>
          <w:spacing w:val="-3"/>
          <w:sz w:val="18"/>
        </w:rPr>
        <w:t xml:space="preserve"> </w:t>
      </w:r>
      <w:r>
        <w:rPr>
          <w:sz w:val="18"/>
        </w:rPr>
        <w:t>Determination</w:t>
      </w:r>
      <w:r>
        <w:rPr>
          <w:spacing w:val="-8"/>
          <w:sz w:val="18"/>
        </w:rPr>
        <w:t xml:space="preserve"> </w:t>
      </w:r>
      <w:r>
        <w:rPr>
          <w:sz w:val="18"/>
        </w:rPr>
        <w:t>(Exhibit</w:t>
      </w:r>
      <w:r>
        <w:rPr>
          <w:spacing w:val="-2"/>
          <w:sz w:val="18"/>
        </w:rPr>
        <w:t xml:space="preserve"> </w:t>
      </w:r>
      <w:r>
        <w:rPr>
          <w:sz w:val="18"/>
        </w:rPr>
        <w:t>AUS-2),</w:t>
      </w:r>
      <w:r>
        <w:rPr>
          <w:spacing w:val="-6"/>
          <w:sz w:val="18"/>
        </w:rPr>
        <w:t xml:space="preserve"> </w:t>
      </w:r>
      <w:r>
        <w:rPr>
          <w:sz w:val="18"/>
        </w:rPr>
        <w:t>pp.</w:t>
      </w:r>
      <w:r>
        <w:rPr>
          <w:spacing w:val="-1"/>
          <w:sz w:val="18"/>
        </w:rPr>
        <w:t xml:space="preserve"> </w:t>
      </w:r>
      <w:r>
        <w:rPr>
          <w:sz w:val="18"/>
        </w:rPr>
        <w:t>83-</w:t>
      </w:r>
      <w:r>
        <w:rPr>
          <w:spacing w:val="-5"/>
          <w:sz w:val="18"/>
        </w:rPr>
        <w:t>84.</w:t>
      </w:r>
    </w:p>
    <w:p w14:paraId="3432450C" w14:textId="77777777" w:rsidR="00BD462C" w:rsidRDefault="00033D0F">
      <w:pPr>
        <w:spacing w:before="1"/>
        <w:ind w:left="135"/>
        <w:rPr>
          <w:sz w:val="18"/>
        </w:rPr>
      </w:pPr>
      <w:bookmarkStart w:id="552" w:name="_bookmark475"/>
      <w:bookmarkEnd w:id="552"/>
      <w:r>
        <w:rPr>
          <w:position w:val="5"/>
          <w:sz w:val="12"/>
        </w:rPr>
        <w:t>387</w:t>
      </w:r>
      <w:r>
        <w:rPr>
          <w:spacing w:val="12"/>
          <w:position w:val="5"/>
          <w:sz w:val="12"/>
        </w:rPr>
        <w:t xml:space="preserve"> </w:t>
      </w:r>
      <w:r>
        <w:rPr>
          <w:sz w:val="18"/>
        </w:rPr>
        <w:t>Australia's</w:t>
      </w:r>
      <w:r>
        <w:rPr>
          <w:spacing w:val="-7"/>
          <w:sz w:val="18"/>
        </w:rPr>
        <w:t xml:space="preserve"> </w:t>
      </w:r>
      <w:r>
        <w:rPr>
          <w:sz w:val="18"/>
        </w:rPr>
        <w:t>first</w:t>
      </w:r>
      <w:r>
        <w:rPr>
          <w:spacing w:val="-5"/>
          <w:sz w:val="18"/>
        </w:rPr>
        <w:t xml:space="preserve"> </w:t>
      </w:r>
      <w:r>
        <w:rPr>
          <w:sz w:val="18"/>
        </w:rPr>
        <w:t>written</w:t>
      </w:r>
      <w:r>
        <w:rPr>
          <w:spacing w:val="-3"/>
          <w:sz w:val="18"/>
        </w:rPr>
        <w:t xml:space="preserve"> </w:t>
      </w:r>
      <w:r>
        <w:rPr>
          <w:sz w:val="18"/>
        </w:rPr>
        <w:t>submission, paras.</w:t>
      </w:r>
      <w:r>
        <w:rPr>
          <w:spacing w:val="-5"/>
          <w:sz w:val="18"/>
        </w:rPr>
        <w:t xml:space="preserve"> </w:t>
      </w:r>
      <w:r>
        <w:rPr>
          <w:sz w:val="18"/>
        </w:rPr>
        <w:t>363-</w:t>
      </w:r>
      <w:r>
        <w:rPr>
          <w:spacing w:val="-4"/>
          <w:sz w:val="18"/>
        </w:rPr>
        <w:t>381.</w:t>
      </w:r>
    </w:p>
    <w:p w14:paraId="078FBD1F" w14:textId="77777777" w:rsidR="00BD462C" w:rsidRDefault="00033D0F">
      <w:pPr>
        <w:spacing w:before="1"/>
        <w:ind w:left="135"/>
        <w:rPr>
          <w:sz w:val="18"/>
        </w:rPr>
      </w:pPr>
      <w:bookmarkStart w:id="553" w:name="_bookmark476"/>
      <w:bookmarkEnd w:id="553"/>
      <w:r>
        <w:rPr>
          <w:position w:val="5"/>
          <w:sz w:val="12"/>
        </w:rPr>
        <w:t>388</w:t>
      </w:r>
      <w:r>
        <w:rPr>
          <w:spacing w:val="12"/>
          <w:position w:val="5"/>
          <w:sz w:val="12"/>
        </w:rPr>
        <w:t xml:space="preserve"> </w:t>
      </w:r>
      <w:r>
        <w:rPr>
          <w:sz w:val="18"/>
        </w:rPr>
        <w:t>China’s</w:t>
      </w:r>
      <w:r>
        <w:rPr>
          <w:spacing w:val="-5"/>
          <w:sz w:val="18"/>
        </w:rPr>
        <w:t xml:space="preserve"> </w:t>
      </w:r>
      <w:r>
        <w:rPr>
          <w:sz w:val="18"/>
        </w:rPr>
        <w:t>first</w:t>
      </w:r>
      <w:r>
        <w:rPr>
          <w:spacing w:val="-1"/>
          <w:sz w:val="18"/>
        </w:rPr>
        <w:t xml:space="preserve"> </w:t>
      </w:r>
      <w:r>
        <w:rPr>
          <w:sz w:val="18"/>
        </w:rPr>
        <w:t>written</w:t>
      </w:r>
      <w:r>
        <w:rPr>
          <w:spacing w:val="-7"/>
          <w:sz w:val="18"/>
        </w:rPr>
        <w:t xml:space="preserve"> </w:t>
      </w:r>
      <w:r>
        <w:rPr>
          <w:sz w:val="18"/>
        </w:rPr>
        <w:t>submission,</w:t>
      </w:r>
      <w:r>
        <w:rPr>
          <w:spacing w:val="-4"/>
          <w:sz w:val="18"/>
        </w:rPr>
        <w:t xml:space="preserve"> </w:t>
      </w:r>
      <w:r>
        <w:rPr>
          <w:sz w:val="18"/>
        </w:rPr>
        <w:t>paras.</w:t>
      </w:r>
      <w:r>
        <w:rPr>
          <w:spacing w:val="-5"/>
          <w:sz w:val="18"/>
        </w:rPr>
        <w:t xml:space="preserve"> </w:t>
      </w:r>
      <w:r>
        <w:rPr>
          <w:sz w:val="18"/>
        </w:rPr>
        <w:t>549-</w:t>
      </w:r>
      <w:r>
        <w:rPr>
          <w:spacing w:val="-4"/>
          <w:sz w:val="18"/>
        </w:rPr>
        <w:t>551.</w:t>
      </w:r>
    </w:p>
    <w:p w14:paraId="305706FC" w14:textId="77777777" w:rsidR="00BD462C" w:rsidRDefault="00033D0F">
      <w:pPr>
        <w:spacing w:before="1"/>
        <w:ind w:left="135"/>
        <w:rPr>
          <w:sz w:val="18"/>
        </w:rPr>
      </w:pPr>
      <w:bookmarkStart w:id="554" w:name="_bookmark477"/>
      <w:bookmarkEnd w:id="554"/>
      <w:r>
        <w:rPr>
          <w:position w:val="5"/>
          <w:sz w:val="12"/>
        </w:rPr>
        <w:t>389</w:t>
      </w:r>
      <w:r>
        <w:rPr>
          <w:spacing w:val="13"/>
          <w:position w:val="5"/>
          <w:sz w:val="12"/>
        </w:rPr>
        <w:t xml:space="preserve"> </w:t>
      </w:r>
      <w:r>
        <w:rPr>
          <w:sz w:val="18"/>
        </w:rPr>
        <w:t>China’s</w:t>
      </w:r>
      <w:r>
        <w:rPr>
          <w:spacing w:val="-6"/>
          <w:sz w:val="18"/>
        </w:rPr>
        <w:t xml:space="preserve"> </w:t>
      </w:r>
      <w:r>
        <w:rPr>
          <w:sz w:val="18"/>
        </w:rPr>
        <w:t>first</w:t>
      </w:r>
      <w:r>
        <w:rPr>
          <w:spacing w:val="-1"/>
          <w:sz w:val="18"/>
        </w:rPr>
        <w:t xml:space="preserve"> </w:t>
      </w:r>
      <w:r>
        <w:rPr>
          <w:sz w:val="18"/>
        </w:rPr>
        <w:t>written</w:t>
      </w:r>
      <w:r>
        <w:rPr>
          <w:spacing w:val="-6"/>
          <w:sz w:val="18"/>
        </w:rPr>
        <w:t xml:space="preserve"> </w:t>
      </w:r>
      <w:r>
        <w:rPr>
          <w:sz w:val="18"/>
        </w:rPr>
        <w:t>submission,</w:t>
      </w:r>
      <w:r>
        <w:rPr>
          <w:spacing w:val="-3"/>
          <w:sz w:val="18"/>
        </w:rPr>
        <w:t xml:space="preserve"> </w:t>
      </w:r>
      <w:r>
        <w:rPr>
          <w:sz w:val="18"/>
        </w:rPr>
        <w:t>paras.</w:t>
      </w:r>
      <w:r>
        <w:rPr>
          <w:spacing w:val="-5"/>
          <w:sz w:val="18"/>
        </w:rPr>
        <w:t xml:space="preserve"> </w:t>
      </w:r>
      <w:r>
        <w:rPr>
          <w:spacing w:val="-4"/>
          <w:sz w:val="18"/>
        </w:rPr>
        <w:t>549.</w:t>
      </w:r>
    </w:p>
    <w:p w14:paraId="15B3B848" w14:textId="77777777" w:rsidR="00BD462C" w:rsidRDefault="00033D0F">
      <w:pPr>
        <w:spacing w:before="1"/>
        <w:ind w:left="135"/>
        <w:rPr>
          <w:sz w:val="18"/>
        </w:rPr>
      </w:pPr>
      <w:bookmarkStart w:id="555" w:name="_bookmark478"/>
      <w:bookmarkEnd w:id="555"/>
      <w:r>
        <w:rPr>
          <w:position w:val="5"/>
          <w:sz w:val="12"/>
        </w:rPr>
        <w:t>390</w:t>
      </w:r>
      <w:r>
        <w:rPr>
          <w:spacing w:val="13"/>
          <w:position w:val="5"/>
          <w:sz w:val="12"/>
        </w:rPr>
        <w:t xml:space="preserve"> </w:t>
      </w:r>
      <w:r>
        <w:rPr>
          <w:sz w:val="18"/>
        </w:rPr>
        <w:t>China’s</w:t>
      </w:r>
      <w:r>
        <w:rPr>
          <w:spacing w:val="-6"/>
          <w:sz w:val="18"/>
        </w:rPr>
        <w:t xml:space="preserve"> </w:t>
      </w:r>
      <w:r>
        <w:rPr>
          <w:sz w:val="18"/>
        </w:rPr>
        <w:t>first</w:t>
      </w:r>
      <w:r>
        <w:rPr>
          <w:spacing w:val="-1"/>
          <w:sz w:val="18"/>
        </w:rPr>
        <w:t xml:space="preserve"> </w:t>
      </w:r>
      <w:r>
        <w:rPr>
          <w:sz w:val="18"/>
        </w:rPr>
        <w:t>written</w:t>
      </w:r>
      <w:r>
        <w:rPr>
          <w:spacing w:val="-6"/>
          <w:sz w:val="18"/>
        </w:rPr>
        <w:t xml:space="preserve"> </w:t>
      </w:r>
      <w:r>
        <w:rPr>
          <w:sz w:val="18"/>
        </w:rPr>
        <w:t>submission,</w:t>
      </w:r>
      <w:r>
        <w:rPr>
          <w:spacing w:val="-4"/>
          <w:sz w:val="18"/>
        </w:rPr>
        <w:t xml:space="preserve"> </w:t>
      </w:r>
      <w:r>
        <w:rPr>
          <w:sz w:val="18"/>
        </w:rPr>
        <w:t>paras.</w:t>
      </w:r>
      <w:r>
        <w:rPr>
          <w:spacing w:val="-5"/>
          <w:sz w:val="18"/>
        </w:rPr>
        <w:t xml:space="preserve"> </w:t>
      </w:r>
      <w:r>
        <w:rPr>
          <w:sz w:val="18"/>
        </w:rPr>
        <w:t>550-</w:t>
      </w:r>
      <w:r>
        <w:rPr>
          <w:spacing w:val="-4"/>
          <w:sz w:val="18"/>
        </w:rPr>
        <w:t>551.</w:t>
      </w:r>
    </w:p>
    <w:p w14:paraId="2AB1679E" w14:textId="77777777" w:rsidR="00BD462C" w:rsidRDefault="00BD462C">
      <w:pPr>
        <w:rPr>
          <w:sz w:val="18"/>
        </w:rPr>
        <w:sectPr w:rsidR="00BD462C">
          <w:pgSz w:w="11910" w:h="16840"/>
          <w:pgMar w:top="860" w:right="500" w:bottom="780" w:left="1280" w:header="566" w:footer="590" w:gutter="0"/>
          <w:cols w:space="720"/>
        </w:sectPr>
      </w:pPr>
    </w:p>
    <w:p w14:paraId="72E0DA7B"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372AA8D4"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7A9BA880"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409C2E63" w14:textId="77777777" w:rsidR="00BD462C" w:rsidRDefault="00033D0F">
      <w:pPr>
        <w:pStyle w:val="BodyText"/>
        <w:spacing w:before="102" w:line="357" w:lineRule="auto"/>
        <w:ind w:left="135"/>
      </w:pPr>
      <w:r>
        <w:t>paragraph 6 of Annex II, China claims that Casella</w:t>
      </w:r>
      <w:r>
        <w:rPr>
          <w:spacing w:val="-3"/>
        </w:rPr>
        <w:t xml:space="preserve"> </w:t>
      </w:r>
      <w:r>
        <w:t>Wines was only entitled to provide further explanations rather than new information.</w:t>
      </w:r>
      <w:r>
        <w:rPr>
          <w:spacing w:val="-20"/>
        </w:rPr>
        <w:t xml:space="preserve"> </w:t>
      </w:r>
      <w:hyperlink w:anchor="_bookmark480" w:history="1">
        <w:r>
          <w:rPr>
            <w:vertAlign w:val="superscript"/>
          </w:rPr>
          <w:t>391</w:t>
        </w:r>
      </w:hyperlink>
    </w:p>
    <w:p w14:paraId="42AC576B" w14:textId="77777777" w:rsidR="00BD462C" w:rsidRDefault="00BD462C">
      <w:pPr>
        <w:pStyle w:val="BodyText"/>
        <w:spacing w:before="3"/>
        <w:rPr>
          <w:sz w:val="9"/>
        </w:rPr>
      </w:pPr>
    </w:p>
    <w:p w14:paraId="3753CA47" w14:textId="77777777" w:rsidR="003F6264" w:rsidRDefault="00033D0F" w:rsidP="00DA02D9">
      <w:pPr>
        <w:pStyle w:val="BodyText"/>
        <w:numPr>
          <w:ilvl w:val="0"/>
          <w:numId w:val="71"/>
        </w:numPr>
        <w:spacing w:before="56" w:line="360" w:lineRule="auto"/>
        <w:ind w:right="917"/>
        <w:jc w:val="both"/>
      </w:pPr>
      <w:r>
        <w:rPr>
          <w:position w:val="1"/>
        </w:rPr>
        <w:t xml:space="preserve">Australia first notes the discrepancy in China's arguments on this point. China has </w:t>
      </w:r>
      <w:r>
        <w:t xml:space="preserve">argued that Casella Wines was only entitled to provide further explanations following the initial exporter questionnaire. However, China itself </w:t>
      </w:r>
      <w:proofErr w:type="spellStart"/>
      <w:r>
        <w:t>characterised</w:t>
      </w:r>
      <w:proofErr w:type="spellEnd"/>
      <w:r>
        <w:t xml:space="preserve"> the information provided by Casella Wines in its Comments on the Preliminary Determination and Supplementary Questionnaire as being "additional explanations".</w:t>
      </w:r>
      <w:r>
        <w:rPr>
          <w:spacing w:val="-3"/>
        </w:rPr>
        <w:t xml:space="preserve"> </w:t>
      </w:r>
      <w:r>
        <w:t>According to</w:t>
      </w:r>
      <w:r>
        <w:rPr>
          <w:spacing w:val="-2"/>
        </w:rPr>
        <w:t xml:space="preserve"> </w:t>
      </w:r>
      <w:r>
        <w:t>China's own</w:t>
      </w:r>
      <w:r>
        <w:rPr>
          <w:spacing w:val="-2"/>
        </w:rPr>
        <w:t xml:space="preserve"> </w:t>
      </w:r>
      <w:r>
        <w:t>interpretation</w:t>
      </w:r>
      <w:r>
        <w:rPr>
          <w:spacing w:val="-2"/>
        </w:rPr>
        <w:t xml:space="preserve"> </w:t>
      </w:r>
      <w:r>
        <w:t>of paragraph 6 of Annex II, Casella Wines was entitled to provide these explanations and MOFCOM was required to take them into account.</w:t>
      </w:r>
    </w:p>
    <w:p w14:paraId="25424807" w14:textId="77777777" w:rsidR="003F6264" w:rsidRDefault="00033D0F" w:rsidP="00DA02D9">
      <w:pPr>
        <w:pStyle w:val="BodyText"/>
        <w:numPr>
          <w:ilvl w:val="0"/>
          <w:numId w:val="71"/>
        </w:numPr>
        <w:spacing w:before="56" w:line="360" w:lineRule="auto"/>
        <w:ind w:right="917"/>
        <w:jc w:val="both"/>
      </w:pPr>
      <w:r w:rsidRPr="003F6264">
        <w:rPr>
          <w:position w:val="1"/>
        </w:rPr>
        <w:t xml:space="preserve">China appears to have conflated Casella Wines' explanation of existing information, </w:t>
      </w:r>
      <w:r>
        <w:t>provided</w:t>
      </w:r>
      <w:r w:rsidRPr="003F6264">
        <w:rPr>
          <w:spacing w:val="-3"/>
        </w:rPr>
        <w:t xml:space="preserve"> </w:t>
      </w:r>
      <w:r>
        <w:t>consistent</w:t>
      </w:r>
      <w:r w:rsidRPr="003F6264">
        <w:rPr>
          <w:spacing w:val="-1"/>
        </w:rPr>
        <w:t xml:space="preserve"> </w:t>
      </w:r>
      <w:r>
        <w:t>with</w:t>
      </w:r>
      <w:r w:rsidRPr="003F6264">
        <w:rPr>
          <w:spacing w:val="-3"/>
        </w:rPr>
        <w:t xml:space="preserve"> </w:t>
      </w:r>
      <w:r>
        <w:t>paragraph 6, with</w:t>
      </w:r>
      <w:r w:rsidRPr="003F6264">
        <w:rPr>
          <w:spacing w:val="-3"/>
        </w:rPr>
        <w:t xml:space="preserve"> </w:t>
      </w:r>
      <w:r>
        <w:t>the</w:t>
      </w:r>
      <w:r w:rsidRPr="003F6264">
        <w:rPr>
          <w:spacing w:val="-2"/>
        </w:rPr>
        <w:t xml:space="preserve"> </w:t>
      </w:r>
      <w:r>
        <w:t>provision</w:t>
      </w:r>
      <w:r w:rsidRPr="003F6264">
        <w:rPr>
          <w:spacing w:val="-3"/>
        </w:rPr>
        <w:t xml:space="preserve"> </w:t>
      </w:r>
      <w:r>
        <w:t>of new</w:t>
      </w:r>
      <w:r w:rsidRPr="003F6264">
        <w:rPr>
          <w:spacing w:val="-1"/>
        </w:rPr>
        <w:t xml:space="preserve"> </w:t>
      </w:r>
      <w:r>
        <w:t>information in</w:t>
      </w:r>
      <w:r w:rsidRPr="003F6264">
        <w:rPr>
          <w:spacing w:val="-3"/>
        </w:rPr>
        <w:t xml:space="preserve"> </w:t>
      </w:r>
      <w:r>
        <w:t>the course</w:t>
      </w:r>
      <w:r w:rsidRPr="003F6264">
        <w:rPr>
          <w:spacing w:val="-1"/>
        </w:rPr>
        <w:t xml:space="preserve"> </w:t>
      </w:r>
      <w:r>
        <w:t xml:space="preserve">of the investigation. As explained at section </w:t>
      </w:r>
      <w:hyperlink w:anchor="_bookmark313" w:history="1">
        <w:r>
          <w:t>III.D.6(a),</w:t>
        </w:r>
      </w:hyperlink>
      <w:r>
        <w:t xml:space="preserve"> China's interpretation of paragraph 6 of Annex</w:t>
      </w:r>
      <w:r w:rsidRPr="003F6264">
        <w:rPr>
          <w:spacing w:val="-6"/>
        </w:rPr>
        <w:t xml:space="preserve"> </w:t>
      </w:r>
      <w:r>
        <w:t>II</w:t>
      </w:r>
      <w:r w:rsidRPr="003F6264">
        <w:rPr>
          <w:spacing w:val="-6"/>
        </w:rPr>
        <w:t xml:space="preserve"> </w:t>
      </w:r>
      <w:r>
        <w:t>is</w:t>
      </w:r>
      <w:r w:rsidRPr="003F6264">
        <w:rPr>
          <w:spacing w:val="-6"/>
        </w:rPr>
        <w:t xml:space="preserve"> </w:t>
      </w:r>
      <w:r>
        <w:t>unduly</w:t>
      </w:r>
      <w:r w:rsidRPr="003F6264">
        <w:rPr>
          <w:spacing w:val="-6"/>
        </w:rPr>
        <w:t xml:space="preserve"> </w:t>
      </w:r>
      <w:r>
        <w:t>narrow.</w:t>
      </w:r>
      <w:r w:rsidRPr="003F6264">
        <w:rPr>
          <w:spacing w:val="-6"/>
        </w:rPr>
        <w:t xml:space="preserve"> </w:t>
      </w:r>
      <w:r>
        <w:t>This</w:t>
      </w:r>
      <w:r w:rsidRPr="003F6264">
        <w:rPr>
          <w:spacing w:val="-6"/>
        </w:rPr>
        <w:t xml:space="preserve"> </w:t>
      </w:r>
      <w:r>
        <w:t>is</w:t>
      </w:r>
      <w:r w:rsidRPr="003F6264">
        <w:rPr>
          <w:spacing w:val="-6"/>
        </w:rPr>
        <w:t xml:space="preserve"> </w:t>
      </w:r>
      <w:r>
        <w:t>particularly</w:t>
      </w:r>
      <w:r w:rsidRPr="003F6264">
        <w:rPr>
          <w:spacing w:val="-6"/>
        </w:rPr>
        <w:t xml:space="preserve"> </w:t>
      </w:r>
      <w:r>
        <w:t>clear</w:t>
      </w:r>
      <w:r w:rsidRPr="003F6264">
        <w:rPr>
          <w:spacing w:val="-10"/>
        </w:rPr>
        <w:t xml:space="preserve"> </w:t>
      </w:r>
      <w:r>
        <w:t>in</w:t>
      </w:r>
      <w:r w:rsidRPr="003F6264">
        <w:rPr>
          <w:spacing w:val="-9"/>
        </w:rPr>
        <w:t xml:space="preserve"> </w:t>
      </w:r>
      <w:r>
        <w:t>cases</w:t>
      </w:r>
      <w:r w:rsidRPr="003F6264">
        <w:rPr>
          <w:spacing w:val="-6"/>
        </w:rPr>
        <w:t xml:space="preserve"> </w:t>
      </w:r>
      <w:r>
        <w:t>such</w:t>
      </w:r>
      <w:r w:rsidRPr="003F6264">
        <w:rPr>
          <w:spacing w:val="-9"/>
        </w:rPr>
        <w:t xml:space="preserve"> </w:t>
      </w:r>
      <w:r>
        <w:t>as</w:t>
      </w:r>
      <w:r w:rsidRPr="003F6264">
        <w:rPr>
          <w:spacing w:val="-6"/>
        </w:rPr>
        <w:t xml:space="preserve"> </w:t>
      </w:r>
      <w:r>
        <w:t>this,</w:t>
      </w:r>
      <w:r w:rsidRPr="003F6264">
        <w:rPr>
          <w:spacing w:val="-5"/>
        </w:rPr>
        <w:t xml:space="preserve"> </w:t>
      </w:r>
      <w:r>
        <w:t>where</w:t>
      </w:r>
      <w:r w:rsidRPr="003F6264">
        <w:rPr>
          <w:spacing w:val="-7"/>
        </w:rPr>
        <w:t xml:space="preserve"> </w:t>
      </w:r>
      <w:r>
        <w:t>supplementary questionnaires were issued specifically requesting parties to provide additional information.</w:t>
      </w:r>
    </w:p>
    <w:p w14:paraId="650B4EAD" w14:textId="1AD2D501" w:rsidR="00BD462C" w:rsidRDefault="00033D0F" w:rsidP="00DA02D9">
      <w:pPr>
        <w:pStyle w:val="BodyText"/>
        <w:numPr>
          <w:ilvl w:val="0"/>
          <w:numId w:val="71"/>
        </w:numPr>
        <w:spacing w:before="56" w:line="360" w:lineRule="auto"/>
        <w:ind w:right="917"/>
        <w:jc w:val="both"/>
      </w:pPr>
      <w:r w:rsidRPr="003F6264">
        <w:rPr>
          <w:position w:val="1"/>
        </w:rPr>
        <w:t>Casella</w:t>
      </w:r>
      <w:r w:rsidRPr="003F6264">
        <w:rPr>
          <w:spacing w:val="-2"/>
          <w:position w:val="1"/>
        </w:rPr>
        <w:t xml:space="preserve"> </w:t>
      </w:r>
      <w:r w:rsidRPr="003F6264">
        <w:rPr>
          <w:position w:val="1"/>
        </w:rPr>
        <w:t>Wines provided</w:t>
      </w:r>
      <w:r w:rsidRPr="003F6264">
        <w:rPr>
          <w:spacing w:val="-3"/>
          <w:position w:val="1"/>
        </w:rPr>
        <w:t xml:space="preserve"> </w:t>
      </w:r>
      <w:r w:rsidRPr="003F6264">
        <w:rPr>
          <w:position w:val="1"/>
        </w:rPr>
        <w:t>sufficient</w:t>
      </w:r>
      <w:r w:rsidRPr="003F6264">
        <w:rPr>
          <w:spacing w:val="-1"/>
          <w:position w:val="1"/>
        </w:rPr>
        <w:t xml:space="preserve"> </w:t>
      </w:r>
      <w:r w:rsidRPr="003F6264">
        <w:rPr>
          <w:position w:val="1"/>
        </w:rPr>
        <w:t>evidence</w:t>
      </w:r>
      <w:r w:rsidRPr="003F6264">
        <w:rPr>
          <w:spacing w:val="-1"/>
          <w:position w:val="1"/>
        </w:rPr>
        <w:t xml:space="preserve"> </w:t>
      </w:r>
      <w:r w:rsidRPr="003F6264">
        <w:rPr>
          <w:position w:val="1"/>
        </w:rPr>
        <w:t>on the record to explain</w:t>
      </w:r>
      <w:r w:rsidRPr="003F6264">
        <w:rPr>
          <w:spacing w:val="-3"/>
          <w:position w:val="1"/>
        </w:rPr>
        <w:t xml:space="preserve"> </w:t>
      </w:r>
      <w:r w:rsidRPr="003F6264">
        <w:rPr>
          <w:position w:val="1"/>
        </w:rPr>
        <w:t>the</w:t>
      </w:r>
      <w:r w:rsidRPr="003F6264">
        <w:rPr>
          <w:spacing w:val="-2"/>
          <w:position w:val="1"/>
        </w:rPr>
        <w:t xml:space="preserve"> </w:t>
      </w:r>
      <w:r w:rsidRPr="003F6264">
        <w:rPr>
          <w:position w:val="1"/>
        </w:rPr>
        <w:t xml:space="preserve">special price </w:t>
      </w:r>
      <w:r>
        <w:t>arrangements. As China itself has acknowledged, Casella Wines cooperated and clarified any concerns MOFCOM raised during the investigation at each possible opportunity. MOFCOM did not raise any concerns with the explanations provided by Casella Wines on this point.</w:t>
      </w:r>
    </w:p>
    <w:p w14:paraId="7DD63BB4" w14:textId="77777777" w:rsidR="00BD462C" w:rsidRDefault="00033D0F">
      <w:pPr>
        <w:pStyle w:val="ListParagraph"/>
        <w:numPr>
          <w:ilvl w:val="1"/>
          <w:numId w:val="60"/>
        </w:numPr>
        <w:tabs>
          <w:tab w:val="left" w:pos="3539"/>
          <w:tab w:val="left" w:pos="3540"/>
        </w:tabs>
        <w:spacing w:before="158"/>
        <w:ind w:hanging="851"/>
        <w:jc w:val="both"/>
        <w:rPr>
          <w:sz w:val="24"/>
        </w:rPr>
      </w:pPr>
      <w:bookmarkStart w:id="556" w:name="(c)_Holistic_analysis"/>
      <w:bookmarkStart w:id="557" w:name="_bookmark479"/>
      <w:bookmarkEnd w:id="556"/>
      <w:bookmarkEnd w:id="557"/>
      <w:r>
        <w:rPr>
          <w:sz w:val="24"/>
          <w:u w:val="single"/>
        </w:rPr>
        <w:t>Holistic</w:t>
      </w:r>
      <w:r>
        <w:rPr>
          <w:spacing w:val="-2"/>
          <w:sz w:val="24"/>
          <w:u w:val="single"/>
        </w:rPr>
        <w:t xml:space="preserve"> analysis</w:t>
      </w:r>
    </w:p>
    <w:p w14:paraId="1EBD6812" w14:textId="77777777" w:rsidR="00BD462C" w:rsidRDefault="00BD462C">
      <w:pPr>
        <w:pStyle w:val="BodyText"/>
        <w:spacing w:before="11"/>
        <w:rPr>
          <w:sz w:val="20"/>
        </w:rPr>
      </w:pPr>
    </w:p>
    <w:p w14:paraId="5EA5F735" w14:textId="5F9AE68B" w:rsidR="00BD462C" w:rsidRPr="003F6264" w:rsidRDefault="00033D0F" w:rsidP="00DA02D9">
      <w:pPr>
        <w:pStyle w:val="BodyText"/>
        <w:numPr>
          <w:ilvl w:val="0"/>
          <w:numId w:val="71"/>
        </w:numPr>
        <w:spacing w:before="56" w:line="360" w:lineRule="auto"/>
        <w:ind w:right="911"/>
        <w:jc w:val="both"/>
      </w:pPr>
      <w:r>
        <w:rPr>
          <w:position w:val="1"/>
        </w:rPr>
        <w:t>China</w:t>
      </w:r>
      <w:r>
        <w:rPr>
          <w:spacing w:val="-3"/>
          <w:position w:val="1"/>
        </w:rPr>
        <w:t xml:space="preserve"> </w:t>
      </w:r>
      <w:r>
        <w:rPr>
          <w:position w:val="1"/>
        </w:rPr>
        <w:t>has</w:t>
      </w:r>
      <w:r>
        <w:rPr>
          <w:spacing w:val="-1"/>
          <w:position w:val="1"/>
        </w:rPr>
        <w:t xml:space="preserve"> </w:t>
      </w:r>
      <w:r>
        <w:rPr>
          <w:position w:val="1"/>
        </w:rPr>
        <w:t>asserted</w:t>
      </w:r>
      <w:r>
        <w:rPr>
          <w:spacing w:val="-4"/>
          <w:position w:val="1"/>
        </w:rPr>
        <w:t xml:space="preserve"> </w:t>
      </w:r>
      <w:r>
        <w:rPr>
          <w:position w:val="1"/>
        </w:rPr>
        <w:t>that</w:t>
      </w:r>
      <w:r>
        <w:rPr>
          <w:spacing w:val="-2"/>
          <w:position w:val="1"/>
        </w:rPr>
        <w:t xml:space="preserve"> </w:t>
      </w:r>
      <w:r>
        <w:rPr>
          <w:position w:val="1"/>
        </w:rPr>
        <w:t>MOFCOM</w:t>
      </w:r>
      <w:r>
        <w:rPr>
          <w:spacing w:val="-2"/>
          <w:position w:val="1"/>
        </w:rPr>
        <w:t xml:space="preserve"> </w:t>
      </w:r>
      <w:r>
        <w:rPr>
          <w:position w:val="1"/>
        </w:rPr>
        <w:t>did</w:t>
      </w:r>
      <w:r>
        <w:rPr>
          <w:spacing w:val="-4"/>
          <w:position w:val="1"/>
        </w:rPr>
        <w:t xml:space="preserve"> </w:t>
      </w:r>
      <w:r>
        <w:rPr>
          <w:position w:val="1"/>
        </w:rPr>
        <w:t>not</w:t>
      </w:r>
      <w:r>
        <w:rPr>
          <w:spacing w:val="-2"/>
          <w:position w:val="1"/>
        </w:rPr>
        <w:t xml:space="preserve"> </w:t>
      </w:r>
      <w:r>
        <w:rPr>
          <w:position w:val="1"/>
        </w:rPr>
        <w:t>rely</w:t>
      </w:r>
      <w:r>
        <w:rPr>
          <w:spacing w:val="-1"/>
          <w:position w:val="1"/>
        </w:rPr>
        <w:t xml:space="preserve"> </w:t>
      </w:r>
      <w:r>
        <w:rPr>
          <w:position w:val="1"/>
        </w:rPr>
        <w:t>on each,</w:t>
      </w:r>
      <w:r>
        <w:rPr>
          <w:spacing w:val="-1"/>
          <w:position w:val="1"/>
        </w:rPr>
        <w:t xml:space="preserve"> </w:t>
      </w:r>
      <w:r>
        <w:rPr>
          <w:position w:val="1"/>
        </w:rPr>
        <w:t>individual, alleged</w:t>
      </w:r>
      <w:r>
        <w:rPr>
          <w:spacing w:val="-4"/>
          <w:position w:val="1"/>
        </w:rPr>
        <w:t xml:space="preserve"> </w:t>
      </w:r>
      <w:r>
        <w:rPr>
          <w:position w:val="1"/>
        </w:rPr>
        <w:t xml:space="preserve">deficiency </w:t>
      </w:r>
      <w:r>
        <w:t>in the information provided by Casella Wines to make its facts available determination. Rather, it</w:t>
      </w:r>
      <w:r>
        <w:rPr>
          <w:spacing w:val="-1"/>
        </w:rPr>
        <w:t xml:space="preserve"> </w:t>
      </w:r>
      <w:r>
        <w:t>argues that</w:t>
      </w:r>
      <w:r>
        <w:rPr>
          <w:spacing w:val="-1"/>
        </w:rPr>
        <w:t xml:space="preserve"> </w:t>
      </w:r>
      <w:r>
        <w:t>MOFCOM</w:t>
      </w:r>
      <w:r>
        <w:rPr>
          <w:spacing w:val="-1"/>
        </w:rPr>
        <w:t xml:space="preserve"> </w:t>
      </w:r>
      <w:r>
        <w:t>made</w:t>
      </w:r>
      <w:r>
        <w:rPr>
          <w:spacing w:val="-1"/>
        </w:rPr>
        <w:t xml:space="preserve"> </w:t>
      </w:r>
      <w:r>
        <w:t>a</w:t>
      </w:r>
      <w:r>
        <w:rPr>
          <w:spacing w:val="-2"/>
        </w:rPr>
        <w:t xml:space="preserve"> </w:t>
      </w:r>
      <w:r>
        <w:t>holistic</w:t>
      </w:r>
      <w:r>
        <w:rPr>
          <w:spacing w:val="-3"/>
        </w:rPr>
        <w:t xml:space="preserve"> </w:t>
      </w:r>
      <w:r>
        <w:t>assessment.</w:t>
      </w:r>
      <w:hyperlink w:anchor="_bookmark481" w:history="1">
        <w:r>
          <w:rPr>
            <w:vertAlign w:val="superscript"/>
          </w:rPr>
          <w:t>392</w:t>
        </w:r>
      </w:hyperlink>
      <w:r>
        <w:rPr>
          <w:spacing w:val="-1"/>
        </w:rPr>
        <w:t xml:space="preserve"> </w:t>
      </w:r>
      <w:r>
        <w:t>However, as discussed</w:t>
      </w:r>
      <w:r>
        <w:rPr>
          <w:spacing w:val="-3"/>
        </w:rPr>
        <w:t xml:space="preserve"> </w:t>
      </w:r>
      <w:r>
        <w:t>above, there is no legal basis for an investigating authority to adopt such an approach to in deciding whether to facts available.</w:t>
      </w:r>
      <w:r>
        <w:rPr>
          <w:spacing w:val="-29"/>
        </w:rPr>
        <w:t xml:space="preserve"> </w:t>
      </w:r>
      <w:hyperlink w:anchor="_bookmark482" w:history="1">
        <w:r>
          <w:rPr>
            <w:vertAlign w:val="superscript"/>
          </w:rPr>
          <w:t>393</w:t>
        </w:r>
      </w:hyperlink>
      <w:r>
        <w:t xml:space="preserve"> To the extent that MOFCOM did, it contravened Article 6.8.</w:t>
      </w:r>
    </w:p>
    <w:p w14:paraId="20099561" w14:textId="74049DEE" w:rsidR="00BD462C" w:rsidRDefault="00D70C7D">
      <w:pPr>
        <w:pStyle w:val="BodyText"/>
        <w:spacing w:before="3"/>
        <w:rPr>
          <w:sz w:val="23"/>
        </w:rPr>
      </w:pPr>
      <w:r>
        <w:rPr>
          <w:noProof/>
        </w:rPr>
        <mc:AlternateContent>
          <mc:Choice Requires="wps">
            <w:drawing>
              <wp:anchor distT="0" distB="0" distL="0" distR="0" simplePos="0" relativeHeight="487706112" behindDoc="1" locked="0" layoutInCell="1" allowOverlap="1" wp14:anchorId="2F8C8E12" wp14:editId="7FE52321">
                <wp:simplePos x="0" y="0"/>
                <wp:positionH relativeFrom="page">
                  <wp:posOffset>899160</wp:posOffset>
                </wp:positionH>
                <wp:positionV relativeFrom="paragraph">
                  <wp:posOffset>195580</wp:posOffset>
                </wp:positionV>
                <wp:extent cx="1828800" cy="8890"/>
                <wp:effectExtent l="0" t="0" r="0" b="0"/>
                <wp:wrapTopAndBottom/>
                <wp:docPr id="914" name="docshape2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ED2833" id="docshape259" o:spid="_x0000_s1026" alt="&quot;&quot;" style="position:absolute;margin-left:70.8pt;margin-top:15.4pt;width:2in;height:.7pt;z-index:-15610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" fillcolor="black" stroked="f">
                <w10:wrap type="topAndBottom" anchorx="page"/>
              </v:rect>
            </w:pict>
          </mc:Fallback>
        </mc:AlternateContent>
      </w:r>
    </w:p>
    <w:p w14:paraId="2AB47E02" w14:textId="77777777" w:rsidR="00BD462C" w:rsidRDefault="00033D0F">
      <w:pPr>
        <w:spacing w:before="112"/>
        <w:ind w:left="135"/>
        <w:rPr>
          <w:sz w:val="18"/>
        </w:rPr>
      </w:pPr>
      <w:bookmarkStart w:id="558" w:name="_bookmark480"/>
      <w:bookmarkEnd w:id="558"/>
      <w:r>
        <w:rPr>
          <w:position w:val="5"/>
          <w:sz w:val="12"/>
        </w:rPr>
        <w:t>391</w:t>
      </w:r>
      <w:r>
        <w:rPr>
          <w:spacing w:val="13"/>
          <w:position w:val="5"/>
          <w:sz w:val="12"/>
        </w:rPr>
        <w:t xml:space="preserve"> </w:t>
      </w:r>
      <w:r>
        <w:rPr>
          <w:sz w:val="18"/>
        </w:rPr>
        <w:t>China’s</w:t>
      </w:r>
      <w:r>
        <w:rPr>
          <w:spacing w:val="-5"/>
          <w:sz w:val="18"/>
        </w:rPr>
        <w:t xml:space="preserve"> </w:t>
      </w:r>
      <w:r>
        <w:rPr>
          <w:sz w:val="18"/>
        </w:rPr>
        <w:t>first</w:t>
      </w:r>
      <w:r>
        <w:rPr>
          <w:spacing w:val="-1"/>
          <w:sz w:val="18"/>
        </w:rPr>
        <w:t xml:space="preserve"> </w:t>
      </w:r>
      <w:r>
        <w:rPr>
          <w:sz w:val="18"/>
        </w:rPr>
        <w:t>written</w:t>
      </w:r>
      <w:r>
        <w:rPr>
          <w:spacing w:val="-6"/>
          <w:sz w:val="18"/>
        </w:rPr>
        <w:t xml:space="preserve"> </w:t>
      </w:r>
      <w:r>
        <w:rPr>
          <w:sz w:val="18"/>
        </w:rPr>
        <w:t>submission,</w:t>
      </w:r>
      <w:r>
        <w:rPr>
          <w:spacing w:val="-4"/>
          <w:sz w:val="18"/>
        </w:rPr>
        <w:t xml:space="preserve"> </w:t>
      </w:r>
      <w:r>
        <w:rPr>
          <w:sz w:val="18"/>
        </w:rPr>
        <w:t xml:space="preserve">para. </w:t>
      </w:r>
      <w:r>
        <w:rPr>
          <w:spacing w:val="-5"/>
          <w:sz w:val="18"/>
        </w:rPr>
        <w:t>54.</w:t>
      </w:r>
    </w:p>
    <w:p w14:paraId="6952EF69" w14:textId="77777777" w:rsidR="00BD462C" w:rsidRDefault="00033D0F">
      <w:pPr>
        <w:spacing w:before="1"/>
        <w:ind w:left="135"/>
        <w:rPr>
          <w:sz w:val="18"/>
        </w:rPr>
      </w:pPr>
      <w:bookmarkStart w:id="559" w:name="_bookmark481"/>
      <w:bookmarkEnd w:id="559"/>
      <w:r>
        <w:rPr>
          <w:position w:val="5"/>
          <w:sz w:val="12"/>
        </w:rPr>
        <w:t>392</w:t>
      </w:r>
      <w:r>
        <w:rPr>
          <w:spacing w:val="15"/>
          <w:position w:val="5"/>
          <w:sz w:val="12"/>
        </w:rPr>
        <w:t xml:space="preserve"> </w:t>
      </w:r>
      <w:r>
        <w:rPr>
          <w:sz w:val="18"/>
        </w:rPr>
        <w:t>China's</w:t>
      </w:r>
      <w:r>
        <w:rPr>
          <w:spacing w:val="2"/>
          <w:sz w:val="18"/>
        </w:rPr>
        <w:t xml:space="preserve"> </w:t>
      </w:r>
      <w:r>
        <w:rPr>
          <w:sz w:val="18"/>
        </w:rPr>
        <w:t>response</w:t>
      </w:r>
      <w:r>
        <w:rPr>
          <w:spacing w:val="-3"/>
          <w:sz w:val="18"/>
        </w:rPr>
        <w:t xml:space="preserve"> </w:t>
      </w:r>
      <w:r>
        <w:rPr>
          <w:sz w:val="18"/>
        </w:rPr>
        <w:t>to</w:t>
      </w:r>
      <w:r>
        <w:rPr>
          <w:spacing w:val="-9"/>
          <w:sz w:val="18"/>
        </w:rPr>
        <w:t xml:space="preserve"> </w:t>
      </w:r>
      <w:r>
        <w:rPr>
          <w:sz w:val="18"/>
        </w:rPr>
        <w:t>Panel</w:t>
      </w:r>
      <w:r>
        <w:rPr>
          <w:spacing w:val="-3"/>
          <w:sz w:val="18"/>
        </w:rPr>
        <w:t xml:space="preserve"> </w:t>
      </w:r>
      <w:r>
        <w:rPr>
          <w:sz w:val="18"/>
        </w:rPr>
        <w:t>question</w:t>
      </w:r>
      <w:r>
        <w:rPr>
          <w:spacing w:val="-3"/>
          <w:sz w:val="18"/>
        </w:rPr>
        <w:t xml:space="preserve"> </w:t>
      </w:r>
      <w:r>
        <w:rPr>
          <w:sz w:val="18"/>
        </w:rPr>
        <w:t>No.</w:t>
      </w:r>
      <w:r>
        <w:rPr>
          <w:spacing w:val="3"/>
          <w:sz w:val="18"/>
        </w:rPr>
        <w:t xml:space="preserve"> </w:t>
      </w:r>
      <w:r>
        <w:rPr>
          <w:spacing w:val="-4"/>
          <w:sz w:val="18"/>
        </w:rPr>
        <w:t>2(h).</w:t>
      </w:r>
    </w:p>
    <w:p w14:paraId="2DB7836F" w14:textId="77777777" w:rsidR="00BD462C" w:rsidRDefault="00033D0F">
      <w:pPr>
        <w:spacing w:before="1"/>
        <w:ind w:left="135"/>
        <w:rPr>
          <w:sz w:val="18"/>
        </w:rPr>
      </w:pPr>
      <w:bookmarkStart w:id="560" w:name="_bookmark482"/>
      <w:bookmarkEnd w:id="560"/>
      <w:r>
        <w:rPr>
          <w:position w:val="5"/>
          <w:sz w:val="12"/>
        </w:rPr>
        <w:t>393</w:t>
      </w:r>
      <w:r>
        <w:rPr>
          <w:spacing w:val="16"/>
          <w:position w:val="5"/>
          <w:sz w:val="12"/>
        </w:rPr>
        <w:t xml:space="preserve"> </w:t>
      </w:r>
      <w:r>
        <w:rPr>
          <w:sz w:val="18"/>
        </w:rPr>
        <w:t>See</w:t>
      </w:r>
      <w:r>
        <w:rPr>
          <w:spacing w:val="-2"/>
          <w:sz w:val="18"/>
        </w:rPr>
        <w:t xml:space="preserve"> </w:t>
      </w:r>
      <w:r>
        <w:rPr>
          <w:sz w:val="18"/>
        </w:rPr>
        <w:t>above</w:t>
      </w:r>
      <w:r>
        <w:rPr>
          <w:spacing w:val="-3"/>
          <w:sz w:val="18"/>
        </w:rPr>
        <w:t xml:space="preserve"> </w:t>
      </w:r>
      <w:r>
        <w:rPr>
          <w:sz w:val="18"/>
        </w:rPr>
        <w:t>section</w:t>
      </w:r>
      <w:r>
        <w:rPr>
          <w:spacing w:val="-3"/>
          <w:sz w:val="18"/>
        </w:rPr>
        <w:t xml:space="preserve"> </w:t>
      </w:r>
      <w:hyperlink w:anchor="_bookmark126" w:history="1">
        <w:r>
          <w:rPr>
            <w:spacing w:val="-2"/>
            <w:sz w:val="18"/>
          </w:rPr>
          <w:t>III.B.</w:t>
        </w:r>
      </w:hyperlink>
    </w:p>
    <w:p w14:paraId="743A0F90" w14:textId="77777777" w:rsidR="00BD462C" w:rsidRDefault="00BD462C">
      <w:pPr>
        <w:rPr>
          <w:sz w:val="18"/>
        </w:rPr>
        <w:sectPr w:rsidR="00BD462C">
          <w:pgSz w:w="11910" w:h="16840"/>
          <w:pgMar w:top="860" w:right="500" w:bottom="780" w:left="1280" w:header="566" w:footer="590" w:gutter="0"/>
          <w:cols w:space="720"/>
        </w:sectPr>
      </w:pPr>
    </w:p>
    <w:p w14:paraId="72740A22" w14:textId="77777777" w:rsidR="00BD462C" w:rsidRDefault="00033D0F">
      <w:pPr>
        <w:tabs>
          <w:tab w:val="left" w:pos="6087"/>
        </w:tabs>
        <w:spacing w:before="1"/>
        <w:ind w:left="135"/>
        <w:jc w:val="both"/>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68B5C03F" w14:textId="77777777" w:rsidR="00BD462C" w:rsidRDefault="00033D0F">
      <w:pPr>
        <w:spacing w:before="1"/>
        <w:ind w:left="135"/>
        <w:jc w:val="both"/>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1F9D2182" w14:textId="77777777" w:rsidR="00BD462C" w:rsidRDefault="00033D0F">
      <w:pPr>
        <w:tabs>
          <w:tab w:val="left" w:pos="7652"/>
        </w:tabs>
        <w:ind w:left="135"/>
        <w:jc w:val="both"/>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19F1117D" w14:textId="77777777" w:rsidR="003F6264" w:rsidRDefault="003F6264" w:rsidP="00DA02D9">
      <w:pPr>
        <w:pStyle w:val="BodyText"/>
        <w:numPr>
          <w:ilvl w:val="0"/>
          <w:numId w:val="71"/>
        </w:numPr>
        <w:spacing w:before="56" w:line="355" w:lineRule="auto"/>
        <w:ind w:right="923"/>
      </w:pPr>
      <w:r>
        <w:rPr>
          <w:position w:val="1"/>
        </w:rPr>
        <w:t xml:space="preserve">Further, there is no evidence on the record supporting the assertion that MOFCOM </w:t>
      </w:r>
      <w:r>
        <w:t>undertook</w:t>
      </w:r>
      <w:r>
        <w:rPr>
          <w:spacing w:val="-4"/>
        </w:rPr>
        <w:t xml:space="preserve"> </w:t>
      </w:r>
      <w:r>
        <w:t>such</w:t>
      </w:r>
      <w:r>
        <w:rPr>
          <w:spacing w:val="-3"/>
        </w:rPr>
        <w:t xml:space="preserve"> </w:t>
      </w:r>
      <w:r>
        <w:t>an</w:t>
      </w:r>
      <w:r>
        <w:rPr>
          <w:spacing w:val="1"/>
        </w:rPr>
        <w:t xml:space="preserve"> </w:t>
      </w:r>
      <w:r>
        <w:t>analysis with</w:t>
      </w:r>
      <w:r>
        <w:rPr>
          <w:spacing w:val="-4"/>
        </w:rPr>
        <w:t xml:space="preserve"> </w:t>
      </w:r>
      <w:r>
        <w:t>respect</w:t>
      </w:r>
      <w:r>
        <w:rPr>
          <w:spacing w:val="-1"/>
        </w:rPr>
        <w:t xml:space="preserve"> </w:t>
      </w:r>
      <w:r>
        <w:t>to</w:t>
      </w:r>
      <w:r>
        <w:rPr>
          <w:spacing w:val="-5"/>
        </w:rPr>
        <w:t xml:space="preserve"> </w:t>
      </w:r>
      <w:r>
        <w:t>Casella</w:t>
      </w:r>
      <w:r>
        <w:rPr>
          <w:spacing w:val="-7"/>
        </w:rPr>
        <w:t xml:space="preserve"> </w:t>
      </w:r>
      <w:r>
        <w:t>Wines.</w:t>
      </w:r>
      <w:r>
        <w:rPr>
          <w:spacing w:val="-1"/>
        </w:rPr>
        <w:t xml:space="preserve"> </w:t>
      </w:r>
      <w:r>
        <w:t>No</w:t>
      </w:r>
      <w:r>
        <w:rPr>
          <w:spacing w:val="-4"/>
        </w:rPr>
        <w:t xml:space="preserve"> </w:t>
      </w:r>
      <w:r>
        <w:t>mention</w:t>
      </w:r>
      <w:r>
        <w:rPr>
          <w:spacing w:val="-4"/>
        </w:rPr>
        <w:t xml:space="preserve"> </w:t>
      </w:r>
      <w:r>
        <w:t>of</w:t>
      </w:r>
      <w:r>
        <w:rPr>
          <w:spacing w:val="-3"/>
        </w:rPr>
        <w:t xml:space="preserve"> </w:t>
      </w:r>
      <w:r>
        <w:t>such</w:t>
      </w:r>
      <w:r>
        <w:rPr>
          <w:spacing w:val="1"/>
        </w:rPr>
        <w:t xml:space="preserve"> </w:t>
      </w:r>
      <w:r>
        <w:t>an</w:t>
      </w:r>
      <w:r>
        <w:rPr>
          <w:spacing w:val="-3"/>
        </w:rPr>
        <w:t xml:space="preserve"> </w:t>
      </w:r>
      <w:r>
        <w:t>approach</w:t>
      </w:r>
      <w:r>
        <w:rPr>
          <w:spacing w:val="-3"/>
        </w:rPr>
        <w:t xml:space="preserve"> </w:t>
      </w:r>
      <w:r>
        <w:rPr>
          <w:spacing w:val="-5"/>
        </w:rPr>
        <w:t xml:space="preserve">is </w:t>
      </w:r>
      <w:r w:rsidR="00033D0F">
        <w:t>made</w:t>
      </w:r>
      <w:r w:rsidR="00033D0F" w:rsidRPr="003F6264">
        <w:rPr>
          <w:spacing w:val="-13"/>
        </w:rPr>
        <w:t xml:space="preserve"> </w:t>
      </w:r>
      <w:r w:rsidR="00033D0F">
        <w:t>in</w:t>
      </w:r>
      <w:r w:rsidR="00033D0F" w:rsidRPr="003F6264">
        <w:rPr>
          <w:spacing w:val="-14"/>
        </w:rPr>
        <w:t xml:space="preserve"> </w:t>
      </w:r>
      <w:r w:rsidR="00033D0F">
        <w:t>the</w:t>
      </w:r>
      <w:r w:rsidR="00033D0F" w:rsidRPr="003F6264">
        <w:rPr>
          <w:spacing w:val="-12"/>
        </w:rPr>
        <w:t xml:space="preserve"> </w:t>
      </w:r>
      <w:r w:rsidR="00033D0F">
        <w:t>Final</w:t>
      </w:r>
      <w:r w:rsidR="00033D0F" w:rsidRPr="003F6264">
        <w:rPr>
          <w:spacing w:val="-10"/>
        </w:rPr>
        <w:t xml:space="preserve"> </w:t>
      </w:r>
      <w:r w:rsidR="00033D0F">
        <w:t>Determination</w:t>
      </w:r>
      <w:r w:rsidR="00033D0F" w:rsidRPr="003F6264">
        <w:rPr>
          <w:spacing w:val="-14"/>
        </w:rPr>
        <w:t xml:space="preserve"> </w:t>
      </w:r>
      <w:r w:rsidR="00033D0F">
        <w:t>and</w:t>
      </w:r>
      <w:r w:rsidR="00033D0F" w:rsidRPr="003F6264">
        <w:rPr>
          <w:spacing w:val="-14"/>
        </w:rPr>
        <w:t xml:space="preserve"> </w:t>
      </w:r>
      <w:r w:rsidR="00033D0F">
        <w:t>China</w:t>
      </w:r>
      <w:r w:rsidR="00033D0F" w:rsidRPr="003F6264">
        <w:rPr>
          <w:spacing w:val="-11"/>
        </w:rPr>
        <w:t xml:space="preserve"> </w:t>
      </w:r>
      <w:r w:rsidR="00033D0F">
        <w:t>has</w:t>
      </w:r>
      <w:r w:rsidR="00033D0F" w:rsidRPr="003F6264">
        <w:rPr>
          <w:spacing w:val="-10"/>
        </w:rPr>
        <w:t xml:space="preserve"> </w:t>
      </w:r>
      <w:r w:rsidR="00033D0F">
        <w:t>not</w:t>
      </w:r>
      <w:r w:rsidR="00033D0F" w:rsidRPr="003F6264">
        <w:rPr>
          <w:spacing w:val="-7"/>
        </w:rPr>
        <w:t xml:space="preserve"> </w:t>
      </w:r>
      <w:r w:rsidR="00033D0F">
        <w:t>offered</w:t>
      </w:r>
      <w:r w:rsidR="00033D0F" w:rsidRPr="003F6264">
        <w:rPr>
          <w:spacing w:val="-14"/>
        </w:rPr>
        <w:t xml:space="preserve"> </w:t>
      </w:r>
      <w:r w:rsidR="00033D0F">
        <w:t>any</w:t>
      </w:r>
      <w:r w:rsidR="00033D0F" w:rsidRPr="003F6264">
        <w:rPr>
          <w:spacing w:val="-11"/>
        </w:rPr>
        <w:t xml:space="preserve"> </w:t>
      </w:r>
      <w:r w:rsidR="00033D0F">
        <w:t>evidence</w:t>
      </w:r>
      <w:r w:rsidR="00033D0F" w:rsidRPr="003F6264">
        <w:rPr>
          <w:spacing w:val="-12"/>
        </w:rPr>
        <w:t xml:space="preserve"> </w:t>
      </w:r>
      <w:r w:rsidR="00033D0F">
        <w:t>that</w:t>
      </w:r>
      <w:r w:rsidR="00033D0F" w:rsidRPr="003F6264">
        <w:rPr>
          <w:spacing w:val="-11"/>
        </w:rPr>
        <w:t xml:space="preserve"> </w:t>
      </w:r>
      <w:r w:rsidR="00033D0F">
        <w:t>MOFCOM</w:t>
      </w:r>
      <w:r w:rsidR="00033D0F" w:rsidRPr="003F6264">
        <w:rPr>
          <w:spacing w:val="-11"/>
        </w:rPr>
        <w:t xml:space="preserve"> </w:t>
      </w:r>
      <w:r w:rsidR="00033D0F">
        <w:t>in</w:t>
      </w:r>
      <w:r w:rsidR="00033D0F" w:rsidRPr="003F6264">
        <w:rPr>
          <w:spacing w:val="-14"/>
        </w:rPr>
        <w:t xml:space="preserve"> </w:t>
      </w:r>
      <w:r w:rsidR="00033D0F">
        <w:t>fact adopted such an approach. Even assuming there was evidence that MOFCOM did take such an</w:t>
      </w:r>
      <w:r w:rsidR="00033D0F" w:rsidRPr="003F6264">
        <w:rPr>
          <w:spacing w:val="-14"/>
        </w:rPr>
        <w:t xml:space="preserve"> </w:t>
      </w:r>
      <w:r w:rsidR="00033D0F">
        <w:t>approach,</w:t>
      </w:r>
      <w:r w:rsidR="00033D0F" w:rsidRPr="003F6264">
        <w:rPr>
          <w:spacing w:val="-14"/>
        </w:rPr>
        <w:t xml:space="preserve"> </w:t>
      </w:r>
      <w:r w:rsidR="00033D0F">
        <w:t>it</w:t>
      </w:r>
      <w:r w:rsidR="00033D0F" w:rsidRPr="003F6264">
        <w:rPr>
          <w:spacing w:val="-13"/>
        </w:rPr>
        <w:t xml:space="preserve"> </w:t>
      </w:r>
      <w:r w:rsidR="00033D0F">
        <w:t>failed</w:t>
      </w:r>
      <w:r w:rsidR="00033D0F" w:rsidRPr="003F6264">
        <w:rPr>
          <w:spacing w:val="-14"/>
        </w:rPr>
        <w:t xml:space="preserve"> </w:t>
      </w:r>
      <w:r w:rsidR="00033D0F">
        <w:t>to</w:t>
      </w:r>
      <w:r w:rsidR="00033D0F" w:rsidRPr="003F6264">
        <w:rPr>
          <w:spacing w:val="-13"/>
        </w:rPr>
        <w:t xml:space="preserve"> </w:t>
      </w:r>
      <w:r w:rsidR="00033D0F">
        <w:t>give</w:t>
      </w:r>
      <w:r w:rsidR="00033D0F" w:rsidRPr="003F6264">
        <w:rPr>
          <w:spacing w:val="-14"/>
        </w:rPr>
        <w:t xml:space="preserve"> </w:t>
      </w:r>
      <w:r w:rsidR="00033D0F">
        <w:t>the</w:t>
      </w:r>
      <w:r w:rsidR="00033D0F" w:rsidRPr="003F6264">
        <w:rPr>
          <w:spacing w:val="-13"/>
        </w:rPr>
        <w:t xml:space="preserve"> </w:t>
      </w:r>
      <w:r w:rsidR="00033D0F">
        <w:t>interested</w:t>
      </w:r>
      <w:r w:rsidR="00033D0F" w:rsidRPr="003F6264">
        <w:rPr>
          <w:spacing w:val="-14"/>
        </w:rPr>
        <w:t xml:space="preserve"> </w:t>
      </w:r>
      <w:r w:rsidR="00033D0F">
        <w:t>parties</w:t>
      </w:r>
      <w:r w:rsidR="00033D0F" w:rsidRPr="003F6264">
        <w:rPr>
          <w:spacing w:val="-14"/>
        </w:rPr>
        <w:t xml:space="preserve"> </w:t>
      </w:r>
      <w:r w:rsidR="00033D0F">
        <w:t>notice</w:t>
      </w:r>
      <w:r w:rsidR="00033D0F" w:rsidRPr="003F6264">
        <w:rPr>
          <w:spacing w:val="-13"/>
        </w:rPr>
        <w:t xml:space="preserve"> </w:t>
      </w:r>
      <w:r w:rsidR="00033D0F">
        <w:t>of</w:t>
      </w:r>
      <w:r w:rsidR="00033D0F" w:rsidRPr="003F6264">
        <w:rPr>
          <w:spacing w:val="-14"/>
        </w:rPr>
        <w:t xml:space="preserve"> </w:t>
      </w:r>
      <w:r w:rsidR="00033D0F">
        <w:t>that</w:t>
      </w:r>
      <w:r w:rsidR="00033D0F" w:rsidRPr="003F6264">
        <w:rPr>
          <w:spacing w:val="-13"/>
        </w:rPr>
        <w:t xml:space="preserve"> </w:t>
      </w:r>
      <w:r w:rsidR="00033D0F">
        <w:t>approach.</w:t>
      </w:r>
      <w:r w:rsidR="00033D0F" w:rsidRPr="003F6264">
        <w:rPr>
          <w:spacing w:val="-14"/>
        </w:rPr>
        <w:t xml:space="preserve"> </w:t>
      </w:r>
      <w:r w:rsidR="00033D0F">
        <w:t>By</w:t>
      </w:r>
      <w:r w:rsidR="00033D0F" w:rsidRPr="003F6264">
        <w:rPr>
          <w:spacing w:val="-13"/>
        </w:rPr>
        <w:t xml:space="preserve"> </w:t>
      </w:r>
      <w:r w:rsidR="00033D0F">
        <w:t>failing</w:t>
      </w:r>
      <w:r w:rsidR="00033D0F" w:rsidRPr="003F6264">
        <w:rPr>
          <w:spacing w:val="-14"/>
        </w:rPr>
        <w:t xml:space="preserve"> </w:t>
      </w:r>
      <w:r w:rsidR="00033D0F">
        <w:t>to</w:t>
      </w:r>
      <w:r w:rsidR="00033D0F" w:rsidRPr="003F6264">
        <w:rPr>
          <w:spacing w:val="-14"/>
        </w:rPr>
        <w:t xml:space="preserve"> </w:t>
      </w:r>
      <w:r w:rsidR="00033D0F">
        <w:t>inform the</w:t>
      </w:r>
      <w:r w:rsidR="00033D0F" w:rsidRPr="003F6264">
        <w:rPr>
          <w:spacing w:val="-14"/>
        </w:rPr>
        <w:t xml:space="preserve"> </w:t>
      </w:r>
      <w:r w:rsidR="00033D0F">
        <w:t>interested</w:t>
      </w:r>
      <w:r w:rsidR="00033D0F" w:rsidRPr="003F6264">
        <w:rPr>
          <w:spacing w:val="-14"/>
        </w:rPr>
        <w:t xml:space="preserve"> </w:t>
      </w:r>
      <w:r w:rsidR="00033D0F">
        <w:t>parties</w:t>
      </w:r>
      <w:r w:rsidR="00033D0F" w:rsidRPr="003F6264">
        <w:rPr>
          <w:spacing w:val="-13"/>
        </w:rPr>
        <w:t xml:space="preserve"> </w:t>
      </w:r>
      <w:r w:rsidR="00033D0F">
        <w:t>that</w:t>
      </w:r>
      <w:r w:rsidR="00033D0F" w:rsidRPr="003F6264">
        <w:rPr>
          <w:spacing w:val="-14"/>
        </w:rPr>
        <w:t xml:space="preserve"> </w:t>
      </w:r>
      <w:r w:rsidR="00033D0F">
        <w:t>it</w:t>
      </w:r>
      <w:r w:rsidR="00033D0F" w:rsidRPr="003F6264">
        <w:rPr>
          <w:spacing w:val="-13"/>
        </w:rPr>
        <w:t xml:space="preserve"> </w:t>
      </w:r>
      <w:r w:rsidR="00033D0F">
        <w:t>intended</w:t>
      </w:r>
      <w:r w:rsidR="00033D0F" w:rsidRPr="003F6264">
        <w:rPr>
          <w:spacing w:val="-14"/>
        </w:rPr>
        <w:t xml:space="preserve"> </w:t>
      </w:r>
      <w:r w:rsidR="00033D0F">
        <w:t>to</w:t>
      </w:r>
      <w:r w:rsidR="00033D0F" w:rsidRPr="003F6264">
        <w:rPr>
          <w:spacing w:val="-13"/>
        </w:rPr>
        <w:t xml:space="preserve"> </w:t>
      </w:r>
      <w:r w:rsidR="00033D0F">
        <w:t>adopt</w:t>
      </w:r>
      <w:r w:rsidR="00033D0F" w:rsidRPr="003F6264">
        <w:rPr>
          <w:spacing w:val="-14"/>
        </w:rPr>
        <w:t xml:space="preserve"> </w:t>
      </w:r>
      <w:r w:rsidR="00033D0F">
        <w:t>such</w:t>
      </w:r>
      <w:r w:rsidR="00033D0F" w:rsidRPr="003F6264">
        <w:rPr>
          <w:spacing w:val="-14"/>
        </w:rPr>
        <w:t xml:space="preserve"> </w:t>
      </w:r>
      <w:r w:rsidR="00033D0F">
        <w:t>an</w:t>
      </w:r>
      <w:r w:rsidR="00033D0F" w:rsidRPr="003F6264">
        <w:rPr>
          <w:spacing w:val="-13"/>
        </w:rPr>
        <w:t xml:space="preserve"> </w:t>
      </w:r>
      <w:r w:rsidR="00033D0F">
        <w:t>approach</w:t>
      </w:r>
      <w:r w:rsidR="00033D0F" w:rsidRPr="003F6264">
        <w:rPr>
          <w:spacing w:val="-14"/>
        </w:rPr>
        <w:t xml:space="preserve"> </w:t>
      </w:r>
      <w:r w:rsidR="00033D0F">
        <w:t>to</w:t>
      </w:r>
      <w:r w:rsidR="00033D0F" w:rsidRPr="003F6264">
        <w:rPr>
          <w:spacing w:val="-13"/>
        </w:rPr>
        <w:t xml:space="preserve"> </w:t>
      </w:r>
      <w:r w:rsidR="00033D0F">
        <w:t>rejecting</w:t>
      </w:r>
      <w:r w:rsidR="00033D0F" w:rsidRPr="003F6264">
        <w:rPr>
          <w:spacing w:val="-14"/>
        </w:rPr>
        <w:t xml:space="preserve"> </w:t>
      </w:r>
      <w:r w:rsidR="00033D0F">
        <w:t>their</w:t>
      </w:r>
      <w:r w:rsidR="00033D0F" w:rsidRPr="003F6264">
        <w:rPr>
          <w:spacing w:val="-13"/>
        </w:rPr>
        <w:t xml:space="preserve"> </w:t>
      </w:r>
      <w:r w:rsidR="00033D0F">
        <w:t>information and</w:t>
      </w:r>
      <w:r w:rsidR="00033D0F" w:rsidRPr="003F6264">
        <w:rPr>
          <w:spacing w:val="-4"/>
        </w:rPr>
        <w:t xml:space="preserve"> </w:t>
      </w:r>
      <w:r w:rsidR="00033D0F">
        <w:t>resorting</w:t>
      </w:r>
      <w:r w:rsidR="00033D0F" w:rsidRPr="003F6264">
        <w:rPr>
          <w:spacing w:val="-1"/>
        </w:rPr>
        <w:t xml:space="preserve"> </w:t>
      </w:r>
      <w:r w:rsidR="00033D0F">
        <w:t>to</w:t>
      </w:r>
      <w:r w:rsidR="00033D0F" w:rsidRPr="003F6264">
        <w:rPr>
          <w:spacing w:val="-5"/>
        </w:rPr>
        <w:t xml:space="preserve"> </w:t>
      </w:r>
      <w:r w:rsidR="00033D0F">
        <w:t>facts</w:t>
      </w:r>
      <w:r w:rsidR="00033D0F" w:rsidRPr="003F6264">
        <w:rPr>
          <w:spacing w:val="-1"/>
        </w:rPr>
        <w:t xml:space="preserve"> </w:t>
      </w:r>
      <w:r w:rsidR="00033D0F">
        <w:t>available, and</w:t>
      </w:r>
      <w:r w:rsidR="00033D0F" w:rsidRPr="003F6264">
        <w:rPr>
          <w:spacing w:val="-4"/>
        </w:rPr>
        <w:t xml:space="preserve"> </w:t>
      </w:r>
      <w:r w:rsidR="00033D0F">
        <w:t>that</w:t>
      </w:r>
      <w:r w:rsidR="00033D0F" w:rsidRPr="003F6264">
        <w:rPr>
          <w:spacing w:val="-2"/>
        </w:rPr>
        <w:t xml:space="preserve"> </w:t>
      </w:r>
      <w:r w:rsidR="00033D0F">
        <w:t>they</w:t>
      </w:r>
      <w:r w:rsidR="00033D0F" w:rsidRPr="003F6264">
        <w:rPr>
          <w:spacing w:val="-1"/>
        </w:rPr>
        <w:t xml:space="preserve"> </w:t>
      </w:r>
      <w:r w:rsidR="00033D0F">
        <w:t>should</w:t>
      </w:r>
      <w:r w:rsidR="00033D0F" w:rsidRPr="003F6264">
        <w:rPr>
          <w:spacing w:val="-4"/>
        </w:rPr>
        <w:t xml:space="preserve"> </w:t>
      </w:r>
      <w:r w:rsidR="00033D0F">
        <w:t>structure the</w:t>
      </w:r>
      <w:r w:rsidR="00033D0F" w:rsidRPr="003F6264">
        <w:rPr>
          <w:spacing w:val="-3"/>
        </w:rPr>
        <w:t xml:space="preserve"> </w:t>
      </w:r>
      <w:r w:rsidR="00033D0F">
        <w:t>data</w:t>
      </w:r>
      <w:r w:rsidR="00033D0F" w:rsidRPr="003F6264">
        <w:rPr>
          <w:spacing w:val="-3"/>
        </w:rPr>
        <w:t xml:space="preserve"> </w:t>
      </w:r>
      <w:r w:rsidR="00033D0F">
        <w:t>they</w:t>
      </w:r>
      <w:r w:rsidR="00033D0F" w:rsidRPr="003F6264">
        <w:rPr>
          <w:spacing w:val="-1"/>
        </w:rPr>
        <w:t xml:space="preserve"> </w:t>
      </w:r>
      <w:r w:rsidR="00033D0F">
        <w:t>were to provide accordingly, MOFCOM contravened</w:t>
      </w:r>
      <w:r w:rsidR="00033D0F" w:rsidRPr="003F6264">
        <w:rPr>
          <w:spacing w:val="-1"/>
        </w:rPr>
        <w:t xml:space="preserve"> </w:t>
      </w:r>
      <w:r w:rsidR="00033D0F">
        <w:t>paragraph 6 of Annex II of the Anti-Dumping Agreement and,</w:t>
      </w:r>
      <w:r w:rsidR="00033D0F" w:rsidRPr="003F6264">
        <w:rPr>
          <w:spacing w:val="-1"/>
        </w:rPr>
        <w:t xml:space="preserve"> </w:t>
      </w:r>
      <w:r w:rsidR="00033D0F">
        <w:t>as</w:t>
      </w:r>
      <w:r w:rsidR="00033D0F" w:rsidRPr="003F6264">
        <w:rPr>
          <w:spacing w:val="-1"/>
        </w:rPr>
        <w:t xml:space="preserve"> </w:t>
      </w:r>
      <w:r w:rsidR="00033D0F">
        <w:t>a</w:t>
      </w:r>
      <w:r w:rsidR="00033D0F" w:rsidRPr="003F6264">
        <w:rPr>
          <w:spacing w:val="-3"/>
        </w:rPr>
        <w:t xml:space="preserve"> </w:t>
      </w:r>
      <w:r w:rsidR="00033D0F">
        <w:t>result, did</w:t>
      </w:r>
      <w:r w:rsidR="00033D0F" w:rsidRPr="003F6264">
        <w:rPr>
          <w:spacing w:val="-4"/>
        </w:rPr>
        <w:t xml:space="preserve"> </w:t>
      </w:r>
      <w:r w:rsidR="00033D0F">
        <w:t>not comply</w:t>
      </w:r>
      <w:r w:rsidR="00033D0F" w:rsidRPr="003F6264">
        <w:rPr>
          <w:spacing w:val="-1"/>
        </w:rPr>
        <w:t xml:space="preserve"> </w:t>
      </w:r>
      <w:r w:rsidR="00033D0F">
        <w:t>with</w:t>
      </w:r>
      <w:r w:rsidR="00033D0F" w:rsidRPr="003F6264">
        <w:rPr>
          <w:spacing w:val="-4"/>
        </w:rPr>
        <w:t xml:space="preserve"> </w:t>
      </w:r>
      <w:r w:rsidR="00033D0F">
        <w:t>the requirements</w:t>
      </w:r>
      <w:r w:rsidR="00033D0F" w:rsidRPr="003F6264">
        <w:rPr>
          <w:spacing w:val="-1"/>
        </w:rPr>
        <w:t xml:space="preserve"> </w:t>
      </w:r>
      <w:r w:rsidR="00033D0F">
        <w:t>of</w:t>
      </w:r>
      <w:r w:rsidR="00033D0F" w:rsidRPr="003F6264">
        <w:rPr>
          <w:spacing w:val="-4"/>
        </w:rPr>
        <w:t xml:space="preserve"> </w:t>
      </w:r>
      <w:r w:rsidR="00033D0F">
        <w:t>Article</w:t>
      </w:r>
      <w:r w:rsidR="00033D0F" w:rsidRPr="003F6264">
        <w:rPr>
          <w:spacing w:val="-2"/>
        </w:rPr>
        <w:t xml:space="preserve"> </w:t>
      </w:r>
      <w:r w:rsidR="00033D0F">
        <w:t>6.8 in</w:t>
      </w:r>
      <w:r w:rsidR="00033D0F" w:rsidRPr="003F6264">
        <w:rPr>
          <w:spacing w:val="-4"/>
        </w:rPr>
        <w:t xml:space="preserve"> </w:t>
      </w:r>
      <w:r w:rsidR="00033D0F">
        <w:t>respect of</w:t>
      </w:r>
      <w:r w:rsidR="00033D0F" w:rsidRPr="003F6264">
        <w:rPr>
          <w:spacing w:val="-4"/>
        </w:rPr>
        <w:t xml:space="preserve"> </w:t>
      </w:r>
      <w:r w:rsidR="00033D0F">
        <w:t>its</w:t>
      </w:r>
      <w:r w:rsidR="00033D0F" w:rsidRPr="003F6264">
        <w:rPr>
          <w:spacing w:val="-1"/>
        </w:rPr>
        <w:t xml:space="preserve"> </w:t>
      </w:r>
      <w:r w:rsidR="00033D0F">
        <w:t>recourse to facts available.</w:t>
      </w:r>
    </w:p>
    <w:p w14:paraId="1E8CFEE0" w14:textId="2B5FEC18" w:rsidR="00BD462C" w:rsidRDefault="00033D0F" w:rsidP="00DA02D9">
      <w:pPr>
        <w:pStyle w:val="BodyText"/>
        <w:numPr>
          <w:ilvl w:val="0"/>
          <w:numId w:val="71"/>
        </w:numPr>
        <w:spacing w:before="56" w:line="355" w:lineRule="auto"/>
        <w:ind w:right="923"/>
      </w:pPr>
      <w:r w:rsidRPr="003F6264">
        <w:rPr>
          <w:position w:val="1"/>
        </w:rPr>
        <w:t xml:space="preserve">For example, China has said that the alleged special price arrangements deficiency, </w:t>
      </w:r>
      <w:r>
        <w:t>discussed in the preceding section,</w:t>
      </w:r>
      <w:hyperlink w:anchor="_bookmark483" w:history="1">
        <w:r w:rsidRPr="003F6264">
          <w:rPr>
            <w:vertAlign w:val="superscript"/>
          </w:rPr>
          <w:t>394</w:t>
        </w:r>
      </w:hyperlink>
      <w:r>
        <w:t xml:space="preserve"> was of "limited to no relevance"</w:t>
      </w:r>
      <w:hyperlink w:anchor="_bookmark484" w:history="1">
        <w:r w:rsidRPr="003F6264">
          <w:rPr>
            <w:vertAlign w:val="superscript"/>
          </w:rPr>
          <w:t>395</w:t>
        </w:r>
      </w:hyperlink>
      <w:r>
        <w:t xml:space="preserve"> and "was not the main reason for disregarding the domestic sales".</w:t>
      </w:r>
      <w:r w:rsidRPr="003F6264">
        <w:rPr>
          <w:spacing w:val="-14"/>
        </w:rPr>
        <w:t xml:space="preserve"> </w:t>
      </w:r>
      <w:hyperlink w:anchor="_bookmark485" w:history="1">
        <w:r w:rsidRPr="003F6264">
          <w:rPr>
            <w:vertAlign w:val="superscript"/>
          </w:rPr>
          <w:t>396</w:t>
        </w:r>
      </w:hyperlink>
      <w:r>
        <w:t xml:space="preserve"> Rather, China submits that MOFCOM rejected</w:t>
      </w:r>
      <w:r w:rsidRPr="003F6264">
        <w:rPr>
          <w:spacing w:val="-1"/>
        </w:rPr>
        <w:t xml:space="preserve"> </w:t>
      </w:r>
      <w:r>
        <w:t>Casella Wines' domestic</w:t>
      </w:r>
      <w:r w:rsidRPr="003F6264">
        <w:rPr>
          <w:spacing w:val="-1"/>
        </w:rPr>
        <w:t xml:space="preserve"> </w:t>
      </w:r>
      <w:r>
        <w:t>sales based</w:t>
      </w:r>
      <w:r w:rsidRPr="003F6264">
        <w:rPr>
          <w:spacing w:val="-1"/>
        </w:rPr>
        <w:t xml:space="preserve"> </w:t>
      </w:r>
      <w:r>
        <w:t>on the totality of</w:t>
      </w:r>
      <w:r w:rsidRPr="003F6264">
        <w:rPr>
          <w:spacing w:val="-1"/>
        </w:rPr>
        <w:t xml:space="preserve"> </w:t>
      </w:r>
      <w:r>
        <w:t>this evidence,</w:t>
      </w:r>
      <w:hyperlink w:anchor="_bookmark486" w:history="1">
        <w:r w:rsidRPr="003F6264">
          <w:rPr>
            <w:vertAlign w:val="superscript"/>
          </w:rPr>
          <w:t>397</w:t>
        </w:r>
      </w:hyperlink>
      <w:r>
        <w:t xml:space="preserve"> and specifies that</w:t>
      </w:r>
      <w:r w:rsidRPr="003F6264">
        <w:rPr>
          <w:spacing w:val="-14"/>
        </w:rPr>
        <w:t xml:space="preserve"> </w:t>
      </w:r>
      <w:r>
        <w:t>the</w:t>
      </w:r>
      <w:r w:rsidRPr="003F6264">
        <w:rPr>
          <w:spacing w:val="-14"/>
        </w:rPr>
        <w:t xml:space="preserve"> </w:t>
      </w:r>
      <w:r>
        <w:t>main</w:t>
      </w:r>
      <w:r w:rsidRPr="003F6264">
        <w:rPr>
          <w:spacing w:val="-13"/>
        </w:rPr>
        <w:t xml:space="preserve"> </w:t>
      </w:r>
      <w:r>
        <w:t>reasons</w:t>
      </w:r>
      <w:r w:rsidRPr="003F6264">
        <w:rPr>
          <w:spacing w:val="-14"/>
        </w:rPr>
        <w:t xml:space="preserve"> </w:t>
      </w:r>
      <w:r>
        <w:t>were:</w:t>
      </w:r>
      <w:r w:rsidRPr="003F6264">
        <w:rPr>
          <w:spacing w:val="-13"/>
        </w:rPr>
        <w:t xml:space="preserve"> </w:t>
      </w:r>
      <w:r>
        <w:t>(i)</w:t>
      </w:r>
      <w:r w:rsidRPr="003F6264">
        <w:rPr>
          <w:spacing w:val="-14"/>
        </w:rPr>
        <w:t xml:space="preserve"> </w:t>
      </w:r>
      <w:r>
        <w:t>the</w:t>
      </w:r>
      <w:r w:rsidRPr="003F6264">
        <w:rPr>
          <w:spacing w:val="-13"/>
        </w:rPr>
        <w:t xml:space="preserve"> </w:t>
      </w:r>
      <w:r>
        <w:t>absence</w:t>
      </w:r>
      <w:r w:rsidRPr="003F6264">
        <w:rPr>
          <w:spacing w:val="-14"/>
        </w:rPr>
        <w:t xml:space="preserve"> </w:t>
      </w:r>
      <w:r>
        <w:t>of</w:t>
      </w:r>
      <w:r w:rsidRPr="003F6264">
        <w:rPr>
          <w:spacing w:val="-14"/>
        </w:rPr>
        <w:t xml:space="preserve"> </w:t>
      </w:r>
      <w:r>
        <w:t>information</w:t>
      </w:r>
      <w:r w:rsidRPr="003F6264">
        <w:rPr>
          <w:spacing w:val="-13"/>
        </w:rPr>
        <w:t xml:space="preserve"> </w:t>
      </w:r>
      <w:r>
        <w:t>on</w:t>
      </w:r>
      <w:r w:rsidRPr="003F6264">
        <w:rPr>
          <w:spacing w:val="-14"/>
        </w:rPr>
        <w:t xml:space="preserve"> </w:t>
      </w:r>
      <w:r>
        <w:t>the</w:t>
      </w:r>
      <w:r w:rsidRPr="003F6264">
        <w:rPr>
          <w:spacing w:val="-13"/>
        </w:rPr>
        <w:t xml:space="preserve"> </w:t>
      </w:r>
      <w:r>
        <w:t>expenses</w:t>
      </w:r>
      <w:r w:rsidRPr="003F6264">
        <w:rPr>
          <w:spacing w:val="-14"/>
        </w:rPr>
        <w:t xml:space="preserve"> </w:t>
      </w:r>
      <w:r>
        <w:t>incurred</w:t>
      </w:r>
      <w:r w:rsidRPr="003F6264">
        <w:rPr>
          <w:spacing w:val="-13"/>
        </w:rPr>
        <w:t xml:space="preserve"> </w:t>
      </w:r>
      <w:r>
        <w:t>by</w:t>
      </w:r>
      <w:r w:rsidRPr="003F6264">
        <w:rPr>
          <w:spacing w:val="-14"/>
        </w:rPr>
        <w:t xml:space="preserve"> </w:t>
      </w:r>
      <w:r>
        <w:t>Austral Wines Pty Ltd; (ii) the fact that not all domestic</w:t>
      </w:r>
      <w:r w:rsidRPr="003F6264">
        <w:rPr>
          <w:spacing w:val="-4"/>
        </w:rPr>
        <w:t xml:space="preserve"> </w:t>
      </w:r>
      <w:r>
        <w:t>sales were</w:t>
      </w:r>
      <w:r w:rsidRPr="003F6264">
        <w:rPr>
          <w:spacing w:val="-2"/>
        </w:rPr>
        <w:t xml:space="preserve"> </w:t>
      </w:r>
      <w:r>
        <w:t>initially reported in Form 4-2; and</w:t>
      </w:r>
    </w:p>
    <w:p w14:paraId="221AA6BA" w14:textId="77777777" w:rsidR="00BD462C" w:rsidRDefault="00033D0F">
      <w:pPr>
        <w:pStyle w:val="BodyText"/>
        <w:spacing w:line="292" w:lineRule="exact"/>
        <w:ind w:left="136"/>
        <w:jc w:val="both"/>
      </w:pPr>
      <w:r>
        <w:t>(iii)</w:t>
      </w:r>
      <w:r>
        <w:rPr>
          <w:spacing w:val="-7"/>
        </w:rPr>
        <w:t xml:space="preserve"> </w:t>
      </w:r>
      <w:r>
        <w:t>the</w:t>
      </w:r>
      <w:r>
        <w:rPr>
          <w:spacing w:val="-3"/>
        </w:rPr>
        <w:t xml:space="preserve"> </w:t>
      </w:r>
      <w:r>
        <w:t>absence</w:t>
      </w:r>
      <w:r>
        <w:rPr>
          <w:spacing w:val="-2"/>
        </w:rPr>
        <w:t xml:space="preserve"> </w:t>
      </w:r>
      <w:r>
        <w:t>of</w:t>
      </w:r>
      <w:r>
        <w:rPr>
          <w:spacing w:val="-5"/>
        </w:rPr>
        <w:t xml:space="preserve"> </w:t>
      </w:r>
      <w:r>
        <w:t>detailed</w:t>
      </w:r>
      <w:r>
        <w:rPr>
          <w:spacing w:val="-4"/>
        </w:rPr>
        <w:t xml:space="preserve"> </w:t>
      </w:r>
      <w:r>
        <w:t>and</w:t>
      </w:r>
      <w:r>
        <w:rPr>
          <w:spacing w:val="-4"/>
        </w:rPr>
        <w:t xml:space="preserve"> </w:t>
      </w:r>
      <w:r>
        <w:t>complete</w:t>
      </w:r>
      <w:r>
        <w:rPr>
          <w:spacing w:val="-2"/>
        </w:rPr>
        <w:t xml:space="preserve"> </w:t>
      </w:r>
      <w:r>
        <w:t>cost</w:t>
      </w:r>
      <w:r>
        <w:rPr>
          <w:spacing w:val="-2"/>
        </w:rPr>
        <w:t xml:space="preserve"> </w:t>
      </w:r>
      <w:r>
        <w:t>of</w:t>
      </w:r>
      <w:r>
        <w:rPr>
          <w:spacing w:val="1"/>
        </w:rPr>
        <w:t xml:space="preserve"> </w:t>
      </w:r>
      <w:r>
        <w:t>production</w:t>
      </w:r>
      <w:r>
        <w:rPr>
          <w:spacing w:val="-4"/>
        </w:rPr>
        <w:t xml:space="preserve"> </w:t>
      </w:r>
      <w:r>
        <w:t>data.</w:t>
      </w:r>
      <w:r>
        <w:rPr>
          <w:spacing w:val="-28"/>
        </w:rPr>
        <w:t xml:space="preserve"> </w:t>
      </w:r>
      <w:hyperlink w:anchor="_bookmark487" w:history="1">
        <w:r>
          <w:rPr>
            <w:spacing w:val="-5"/>
            <w:vertAlign w:val="superscript"/>
          </w:rPr>
          <w:t>398</w:t>
        </w:r>
      </w:hyperlink>
    </w:p>
    <w:p w14:paraId="737AEEC1" w14:textId="77777777" w:rsidR="00BD462C" w:rsidRDefault="00BD462C">
      <w:pPr>
        <w:pStyle w:val="BodyText"/>
        <w:spacing w:before="12"/>
        <w:rPr>
          <w:sz w:val="20"/>
        </w:rPr>
      </w:pPr>
    </w:p>
    <w:p w14:paraId="4E26635D" w14:textId="52D509F9" w:rsidR="00BD462C" w:rsidRDefault="00033D0F" w:rsidP="00DA02D9">
      <w:pPr>
        <w:pStyle w:val="BodyText"/>
        <w:numPr>
          <w:ilvl w:val="0"/>
          <w:numId w:val="71"/>
        </w:numPr>
        <w:spacing w:before="56" w:line="360" w:lineRule="auto"/>
        <w:ind w:right="916"/>
        <w:jc w:val="both"/>
      </w:pPr>
      <w:r>
        <w:rPr>
          <w:position w:val="1"/>
        </w:rPr>
        <w:t>These</w:t>
      </w:r>
      <w:r>
        <w:rPr>
          <w:spacing w:val="-3"/>
          <w:position w:val="1"/>
        </w:rPr>
        <w:t xml:space="preserve"> </w:t>
      </w:r>
      <w:r>
        <w:rPr>
          <w:position w:val="1"/>
        </w:rPr>
        <w:t>explanations</w:t>
      </w:r>
      <w:r>
        <w:rPr>
          <w:spacing w:val="-2"/>
          <w:position w:val="1"/>
        </w:rPr>
        <w:t xml:space="preserve"> </w:t>
      </w:r>
      <w:r>
        <w:rPr>
          <w:position w:val="1"/>
        </w:rPr>
        <w:t>are</w:t>
      </w:r>
      <w:r>
        <w:rPr>
          <w:spacing w:val="-3"/>
          <w:position w:val="1"/>
        </w:rPr>
        <w:t xml:space="preserve"> </w:t>
      </w:r>
      <w:r>
        <w:rPr>
          <w:position w:val="1"/>
        </w:rPr>
        <w:t>entirely</w:t>
      </w:r>
      <w:r>
        <w:rPr>
          <w:spacing w:val="-2"/>
          <w:position w:val="1"/>
        </w:rPr>
        <w:t xml:space="preserve"> </w:t>
      </w:r>
      <w:r>
        <w:rPr>
          <w:i/>
          <w:position w:val="1"/>
        </w:rPr>
        <w:t>ex</w:t>
      </w:r>
      <w:r>
        <w:rPr>
          <w:i/>
          <w:spacing w:val="-2"/>
          <w:position w:val="1"/>
        </w:rPr>
        <w:t xml:space="preserve"> </w:t>
      </w:r>
      <w:r>
        <w:rPr>
          <w:i/>
          <w:position w:val="1"/>
        </w:rPr>
        <w:t>post</w:t>
      </w:r>
      <w:r>
        <w:rPr>
          <w:i/>
          <w:spacing w:val="-3"/>
          <w:position w:val="1"/>
        </w:rPr>
        <w:t xml:space="preserve"> </w:t>
      </w:r>
      <w:r>
        <w:rPr>
          <w:i/>
          <w:position w:val="1"/>
        </w:rPr>
        <w:t>facto</w:t>
      </w:r>
      <w:r>
        <w:rPr>
          <w:position w:val="1"/>
        </w:rPr>
        <w:t>.</w:t>
      </w:r>
      <w:r>
        <w:rPr>
          <w:spacing w:val="-2"/>
          <w:position w:val="1"/>
        </w:rPr>
        <w:t xml:space="preserve"> </w:t>
      </w:r>
      <w:r>
        <w:rPr>
          <w:position w:val="1"/>
        </w:rPr>
        <w:t>Nowhere</w:t>
      </w:r>
      <w:r>
        <w:rPr>
          <w:spacing w:val="-3"/>
          <w:position w:val="1"/>
        </w:rPr>
        <w:t xml:space="preserve"> </w:t>
      </w:r>
      <w:r>
        <w:rPr>
          <w:position w:val="1"/>
        </w:rPr>
        <w:t>in</w:t>
      </w:r>
      <w:r>
        <w:rPr>
          <w:spacing w:val="-5"/>
          <w:position w:val="1"/>
        </w:rPr>
        <w:t xml:space="preserve"> </w:t>
      </w:r>
      <w:r>
        <w:rPr>
          <w:position w:val="1"/>
        </w:rPr>
        <w:t>MOFCOM's</w:t>
      </w:r>
      <w:r>
        <w:rPr>
          <w:spacing w:val="-2"/>
          <w:position w:val="1"/>
        </w:rPr>
        <w:t xml:space="preserve"> </w:t>
      </w:r>
      <w:r>
        <w:rPr>
          <w:position w:val="1"/>
        </w:rPr>
        <w:t xml:space="preserve">determination </w:t>
      </w:r>
      <w:r>
        <w:t xml:space="preserve">does it suggest that special price arrangements were not a main reason for its decision to discard Casella Wines' domestic sales. To the contrary, MOFCOM's repeated reference to special price arrangements in the Preliminary and Final Determinations, and the fact that it specifically asked a question on this issue in the supplementary questionnaire, suggests the opposite. Nor does MOFCOM ever suggest there had been a weighted, totality of evidence, </w:t>
      </w:r>
      <w:r>
        <w:rPr>
          <w:spacing w:val="-2"/>
        </w:rPr>
        <w:t>evaluation.</w:t>
      </w:r>
    </w:p>
    <w:p w14:paraId="31BECD5D" w14:textId="77777777" w:rsidR="00BD462C" w:rsidRDefault="00BD462C">
      <w:pPr>
        <w:pStyle w:val="BodyText"/>
        <w:spacing w:before="5"/>
        <w:rPr>
          <w:sz w:val="8"/>
        </w:rPr>
      </w:pPr>
    </w:p>
    <w:p w14:paraId="4AF23BE9" w14:textId="688CDAA5" w:rsidR="00BD462C" w:rsidRPr="003F6264" w:rsidRDefault="003F6264" w:rsidP="00DA02D9">
      <w:pPr>
        <w:pStyle w:val="BodyText"/>
        <w:numPr>
          <w:ilvl w:val="0"/>
          <w:numId w:val="71"/>
        </w:numPr>
        <w:spacing w:before="56" w:line="357" w:lineRule="auto"/>
        <w:ind w:right="915"/>
        <w:jc w:val="both"/>
      </w:pPr>
      <w:r>
        <w:rPr>
          <w:noProof/>
        </w:rPr>
        <mc:AlternateContent>
          <mc:Choice Requires="wps">
            <w:drawing>
              <wp:anchor distT="0" distB="0" distL="0" distR="0" simplePos="0" relativeHeight="487706624" behindDoc="1" locked="0" layoutInCell="1" allowOverlap="1" wp14:anchorId="545A6453" wp14:editId="137B13B6">
                <wp:simplePos x="0" y="0"/>
                <wp:positionH relativeFrom="page">
                  <wp:posOffset>899160</wp:posOffset>
                </wp:positionH>
                <wp:positionV relativeFrom="paragraph">
                  <wp:posOffset>577850</wp:posOffset>
                </wp:positionV>
                <wp:extent cx="1828800" cy="8890"/>
                <wp:effectExtent l="0" t="0" r="0" b="0"/>
                <wp:wrapTopAndBottom/>
                <wp:docPr id="912" name="docshape2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A8B489" id="docshape260" o:spid="_x0000_s1026" alt="&quot;&quot;" style="position:absolute;margin-left:70.8pt;margin-top:45.5pt;width:2in;height:.7pt;z-index:-15609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" fillcolor="black" stroked="f">
                <w10:wrap type="topAndBottom" anchorx="page"/>
              </v:rect>
            </w:pict>
          </mc:Fallback>
        </mc:AlternateContent>
      </w:r>
      <w:r w:rsidR="00033D0F">
        <w:rPr>
          <w:position w:val="1"/>
        </w:rPr>
        <w:t xml:space="preserve">In any event, if MOFCOM did adopt a holistic assessment of the evidence, as China </w:t>
      </w:r>
      <w:r w:rsidR="00033D0F">
        <w:t>asserts,</w:t>
      </w:r>
      <w:r w:rsidR="00033D0F">
        <w:rPr>
          <w:spacing w:val="-14"/>
        </w:rPr>
        <w:t xml:space="preserve"> </w:t>
      </w:r>
      <w:r w:rsidR="00033D0F">
        <w:t>it</w:t>
      </w:r>
      <w:r w:rsidR="00033D0F">
        <w:rPr>
          <w:spacing w:val="-9"/>
        </w:rPr>
        <w:t xml:space="preserve"> </w:t>
      </w:r>
      <w:r w:rsidR="00033D0F">
        <w:t>raises</w:t>
      </w:r>
      <w:r w:rsidR="00033D0F">
        <w:rPr>
          <w:spacing w:val="-2"/>
        </w:rPr>
        <w:t xml:space="preserve"> </w:t>
      </w:r>
      <w:r w:rsidR="00033D0F">
        <w:t>the</w:t>
      </w:r>
      <w:r w:rsidR="00033D0F">
        <w:rPr>
          <w:spacing w:val="-3"/>
        </w:rPr>
        <w:t xml:space="preserve"> </w:t>
      </w:r>
      <w:r w:rsidR="00033D0F">
        <w:t>additional</w:t>
      </w:r>
      <w:r w:rsidR="00033D0F">
        <w:rPr>
          <w:spacing w:val="-2"/>
        </w:rPr>
        <w:t xml:space="preserve"> </w:t>
      </w:r>
      <w:r w:rsidR="00033D0F">
        <w:t>risk,</w:t>
      </w:r>
      <w:r w:rsidR="00033D0F">
        <w:rPr>
          <w:spacing w:val="-1"/>
        </w:rPr>
        <w:t xml:space="preserve"> </w:t>
      </w:r>
      <w:r w:rsidR="00033D0F">
        <w:t>identified</w:t>
      </w:r>
      <w:r w:rsidR="00033D0F">
        <w:rPr>
          <w:spacing w:val="-5"/>
        </w:rPr>
        <w:t xml:space="preserve"> </w:t>
      </w:r>
      <w:r w:rsidR="00033D0F">
        <w:t>at</w:t>
      </w:r>
      <w:r w:rsidR="00033D0F">
        <w:rPr>
          <w:spacing w:val="-3"/>
        </w:rPr>
        <w:t xml:space="preserve"> </w:t>
      </w:r>
      <w:r w:rsidR="00033D0F">
        <w:t>section</w:t>
      </w:r>
      <w:r w:rsidR="00033D0F">
        <w:rPr>
          <w:spacing w:val="-4"/>
        </w:rPr>
        <w:t xml:space="preserve"> </w:t>
      </w:r>
      <w:hyperlink w:anchor="_bookmark126" w:history="1">
        <w:r w:rsidR="00033D0F">
          <w:t>III.B</w:t>
        </w:r>
      </w:hyperlink>
      <w:r w:rsidR="00033D0F">
        <w:rPr>
          <w:spacing w:val="-5"/>
        </w:rPr>
        <w:t xml:space="preserve"> </w:t>
      </w:r>
      <w:r w:rsidR="00033D0F">
        <w:t>above,</w:t>
      </w:r>
      <w:r w:rsidR="00033D0F">
        <w:rPr>
          <w:spacing w:val="-14"/>
        </w:rPr>
        <w:t xml:space="preserve"> </w:t>
      </w:r>
      <w:hyperlink w:anchor="_bookmark488" w:history="1">
        <w:r w:rsidR="00033D0F">
          <w:rPr>
            <w:vertAlign w:val="superscript"/>
          </w:rPr>
          <w:t>399</w:t>
        </w:r>
      </w:hyperlink>
      <w:r w:rsidR="00033D0F">
        <w:rPr>
          <w:spacing w:val="-2"/>
        </w:rPr>
        <w:t xml:space="preserve"> </w:t>
      </w:r>
    </w:p>
    <w:p w14:paraId="49F14145" w14:textId="77777777" w:rsidR="00BD462C" w:rsidRDefault="00033D0F">
      <w:pPr>
        <w:spacing w:before="112" w:line="218" w:lineRule="exact"/>
        <w:ind w:left="135"/>
        <w:rPr>
          <w:sz w:val="18"/>
        </w:rPr>
      </w:pPr>
      <w:bookmarkStart w:id="561" w:name="_bookmark483"/>
      <w:bookmarkEnd w:id="561"/>
      <w:r>
        <w:rPr>
          <w:position w:val="5"/>
          <w:sz w:val="12"/>
        </w:rPr>
        <w:t>394</w:t>
      </w:r>
      <w:r>
        <w:rPr>
          <w:spacing w:val="16"/>
          <w:position w:val="5"/>
          <w:sz w:val="12"/>
        </w:rPr>
        <w:t xml:space="preserve"> </w:t>
      </w:r>
      <w:r>
        <w:rPr>
          <w:sz w:val="18"/>
        </w:rPr>
        <w:t>See</w:t>
      </w:r>
      <w:r>
        <w:rPr>
          <w:spacing w:val="-2"/>
          <w:sz w:val="18"/>
        </w:rPr>
        <w:t xml:space="preserve"> </w:t>
      </w:r>
      <w:r>
        <w:rPr>
          <w:sz w:val="18"/>
        </w:rPr>
        <w:t>above</w:t>
      </w:r>
      <w:r>
        <w:rPr>
          <w:spacing w:val="-3"/>
          <w:sz w:val="18"/>
        </w:rPr>
        <w:t xml:space="preserve"> </w:t>
      </w:r>
      <w:r>
        <w:rPr>
          <w:sz w:val="18"/>
        </w:rPr>
        <w:t>section</w:t>
      </w:r>
      <w:r>
        <w:rPr>
          <w:spacing w:val="-3"/>
          <w:sz w:val="18"/>
        </w:rPr>
        <w:t xml:space="preserve"> </w:t>
      </w:r>
      <w:hyperlink w:anchor="_bookmark472" w:history="1">
        <w:r>
          <w:rPr>
            <w:spacing w:val="-2"/>
            <w:sz w:val="18"/>
          </w:rPr>
          <w:t>III.E.5(b).</w:t>
        </w:r>
      </w:hyperlink>
    </w:p>
    <w:p w14:paraId="4761D5EC" w14:textId="77777777" w:rsidR="00BD462C" w:rsidRDefault="00033D0F">
      <w:pPr>
        <w:spacing w:line="218" w:lineRule="exact"/>
        <w:ind w:left="135"/>
        <w:rPr>
          <w:sz w:val="18"/>
        </w:rPr>
      </w:pPr>
      <w:bookmarkStart w:id="562" w:name="_bookmark484"/>
      <w:bookmarkEnd w:id="562"/>
      <w:r>
        <w:rPr>
          <w:position w:val="5"/>
          <w:sz w:val="12"/>
        </w:rPr>
        <w:t>395</w:t>
      </w:r>
      <w:r>
        <w:rPr>
          <w:spacing w:val="13"/>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 xml:space="preserve">para. </w:t>
      </w:r>
      <w:r>
        <w:rPr>
          <w:spacing w:val="-4"/>
          <w:sz w:val="18"/>
        </w:rPr>
        <w:t>548.</w:t>
      </w:r>
    </w:p>
    <w:p w14:paraId="0F58A11E" w14:textId="77777777" w:rsidR="00BD462C" w:rsidRDefault="00033D0F">
      <w:pPr>
        <w:spacing w:before="1"/>
        <w:ind w:left="135"/>
        <w:rPr>
          <w:sz w:val="18"/>
        </w:rPr>
      </w:pPr>
      <w:bookmarkStart w:id="563" w:name="_bookmark485"/>
      <w:bookmarkEnd w:id="563"/>
      <w:r>
        <w:rPr>
          <w:position w:val="5"/>
          <w:sz w:val="12"/>
        </w:rPr>
        <w:t>396</w:t>
      </w:r>
      <w:r>
        <w:rPr>
          <w:spacing w:val="13"/>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 xml:space="preserve">para. </w:t>
      </w:r>
      <w:r>
        <w:rPr>
          <w:spacing w:val="-4"/>
          <w:sz w:val="18"/>
        </w:rPr>
        <w:t>546.</w:t>
      </w:r>
    </w:p>
    <w:p w14:paraId="5629C254" w14:textId="77777777" w:rsidR="00BD462C" w:rsidRDefault="00033D0F">
      <w:pPr>
        <w:spacing w:before="1"/>
        <w:ind w:left="135"/>
        <w:rPr>
          <w:sz w:val="18"/>
        </w:rPr>
      </w:pPr>
      <w:bookmarkStart w:id="564" w:name="_bookmark486"/>
      <w:bookmarkEnd w:id="564"/>
      <w:r>
        <w:rPr>
          <w:position w:val="5"/>
          <w:sz w:val="12"/>
        </w:rPr>
        <w:t>397</w:t>
      </w:r>
      <w:r>
        <w:rPr>
          <w:spacing w:val="13"/>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 xml:space="preserve">para. </w:t>
      </w:r>
      <w:r>
        <w:rPr>
          <w:spacing w:val="-4"/>
          <w:sz w:val="18"/>
        </w:rPr>
        <w:t>547.</w:t>
      </w:r>
    </w:p>
    <w:p w14:paraId="1B1106D4" w14:textId="77777777" w:rsidR="00BD462C" w:rsidRDefault="00033D0F">
      <w:pPr>
        <w:spacing w:before="1"/>
        <w:ind w:left="135"/>
        <w:rPr>
          <w:sz w:val="18"/>
        </w:rPr>
      </w:pPr>
      <w:bookmarkStart w:id="565" w:name="_bookmark487"/>
      <w:bookmarkEnd w:id="565"/>
      <w:r>
        <w:rPr>
          <w:position w:val="5"/>
          <w:sz w:val="12"/>
        </w:rPr>
        <w:t>398</w:t>
      </w:r>
      <w:r>
        <w:rPr>
          <w:spacing w:val="13"/>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 xml:space="preserve">para. </w:t>
      </w:r>
      <w:r>
        <w:rPr>
          <w:spacing w:val="-4"/>
          <w:sz w:val="18"/>
        </w:rPr>
        <w:t>546.</w:t>
      </w:r>
    </w:p>
    <w:p w14:paraId="773FC595" w14:textId="77777777" w:rsidR="00BD462C" w:rsidRDefault="00033D0F">
      <w:pPr>
        <w:spacing w:before="1"/>
        <w:ind w:left="135"/>
        <w:rPr>
          <w:sz w:val="18"/>
        </w:rPr>
      </w:pPr>
      <w:bookmarkStart w:id="566" w:name="_bookmark488"/>
      <w:bookmarkEnd w:id="566"/>
      <w:r>
        <w:rPr>
          <w:position w:val="5"/>
          <w:sz w:val="12"/>
        </w:rPr>
        <w:t>399</w:t>
      </w:r>
      <w:r>
        <w:rPr>
          <w:spacing w:val="16"/>
          <w:position w:val="5"/>
          <w:sz w:val="12"/>
        </w:rPr>
        <w:t xml:space="preserve"> </w:t>
      </w:r>
      <w:r>
        <w:rPr>
          <w:sz w:val="18"/>
        </w:rPr>
        <w:t>See</w:t>
      </w:r>
      <w:r>
        <w:rPr>
          <w:spacing w:val="-2"/>
          <w:sz w:val="18"/>
        </w:rPr>
        <w:t xml:space="preserve"> </w:t>
      </w:r>
      <w:r>
        <w:rPr>
          <w:sz w:val="18"/>
        </w:rPr>
        <w:t>above</w:t>
      </w:r>
      <w:r>
        <w:rPr>
          <w:spacing w:val="-3"/>
          <w:sz w:val="18"/>
        </w:rPr>
        <w:t xml:space="preserve"> </w:t>
      </w:r>
      <w:r>
        <w:rPr>
          <w:sz w:val="18"/>
        </w:rPr>
        <w:t>section</w:t>
      </w:r>
      <w:r>
        <w:rPr>
          <w:spacing w:val="-3"/>
          <w:sz w:val="18"/>
        </w:rPr>
        <w:t xml:space="preserve"> </w:t>
      </w:r>
      <w:hyperlink w:anchor="_bookmark126" w:history="1">
        <w:r>
          <w:rPr>
            <w:spacing w:val="-2"/>
            <w:sz w:val="18"/>
          </w:rPr>
          <w:t>III.B.</w:t>
        </w:r>
      </w:hyperlink>
    </w:p>
    <w:p w14:paraId="648BEBC6" w14:textId="77777777" w:rsidR="00BD462C" w:rsidRDefault="00BD462C">
      <w:pPr>
        <w:rPr>
          <w:sz w:val="18"/>
        </w:rPr>
        <w:sectPr w:rsidR="00BD462C">
          <w:pgSz w:w="11910" w:h="16840"/>
          <w:pgMar w:top="860" w:right="500" w:bottom="780" w:left="1280" w:header="566" w:footer="590" w:gutter="0"/>
          <w:cols w:space="720"/>
        </w:sectPr>
      </w:pPr>
    </w:p>
    <w:p w14:paraId="66E0F480"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5F10D014"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230B7997"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0A446608" w14:textId="5CBF05B2" w:rsidR="00BD462C" w:rsidRDefault="003F6264">
      <w:pPr>
        <w:pStyle w:val="BodyText"/>
        <w:spacing w:before="102" w:line="360" w:lineRule="auto"/>
        <w:ind w:left="135" w:right="915"/>
        <w:jc w:val="both"/>
      </w:pPr>
      <w:r>
        <w:t>that</w:t>
      </w:r>
      <w:r>
        <w:rPr>
          <w:spacing w:val="-3"/>
        </w:rPr>
        <w:t xml:space="preserve"> </w:t>
      </w:r>
      <w:r>
        <w:t>any</w:t>
      </w:r>
      <w:r>
        <w:rPr>
          <w:spacing w:val="-2"/>
        </w:rPr>
        <w:t xml:space="preserve"> </w:t>
      </w:r>
      <w:r>
        <w:t>single</w:t>
      </w:r>
      <w:r>
        <w:rPr>
          <w:spacing w:val="-3"/>
        </w:rPr>
        <w:t xml:space="preserve"> </w:t>
      </w:r>
      <w:r>
        <w:t>error</w:t>
      </w:r>
      <w:r>
        <w:rPr>
          <w:spacing w:val="-6"/>
        </w:rPr>
        <w:t xml:space="preserve"> </w:t>
      </w:r>
      <w:r>
        <w:t>in the analysis would undermine the entire analysis. If as China claims, the analysis was conducted on a holistic</w:t>
      </w:r>
      <w:r>
        <w:rPr>
          <w:spacing w:val="-4"/>
        </w:rPr>
        <w:t xml:space="preserve"> </w:t>
      </w:r>
      <w:r>
        <w:t>basis, it</w:t>
      </w:r>
      <w:r>
        <w:rPr>
          <w:spacing w:val="-2"/>
        </w:rPr>
        <w:t xml:space="preserve"> </w:t>
      </w:r>
      <w:r>
        <w:t>means</w:t>
      </w:r>
      <w:r>
        <w:rPr>
          <w:spacing w:val="-1"/>
        </w:rPr>
        <w:t xml:space="preserve"> </w:t>
      </w:r>
      <w:r>
        <w:t>that</w:t>
      </w:r>
      <w:r>
        <w:rPr>
          <w:spacing w:val="-2"/>
        </w:rPr>
        <w:t xml:space="preserve"> </w:t>
      </w:r>
      <w:r>
        <w:t>every step</w:t>
      </w:r>
      <w:r>
        <w:rPr>
          <w:spacing w:val="-4"/>
        </w:rPr>
        <w:t xml:space="preserve"> </w:t>
      </w:r>
      <w:r>
        <w:t>of the process</w:t>
      </w:r>
      <w:r>
        <w:rPr>
          <w:spacing w:val="-1"/>
        </w:rPr>
        <w:t xml:space="preserve"> </w:t>
      </w:r>
      <w:r>
        <w:t>must be</w:t>
      </w:r>
      <w:r>
        <w:rPr>
          <w:spacing w:val="-3"/>
        </w:rPr>
        <w:t xml:space="preserve"> </w:t>
      </w:r>
      <w:r>
        <w:t xml:space="preserve">assumed to be </w:t>
      </w:r>
      <w:r w:rsidR="00033D0F">
        <w:t xml:space="preserve">interlinked. If an error is identified in any of those steps, the entire process would then be contaminated by an erroneous intermediate finding, that may </w:t>
      </w:r>
      <w:proofErr w:type="spellStart"/>
      <w:r w:rsidR="00033D0F">
        <w:t>jeopardise</w:t>
      </w:r>
      <w:proofErr w:type="spellEnd"/>
      <w:r w:rsidR="00033D0F">
        <w:t xml:space="preserve"> the whole </w:t>
      </w:r>
      <w:r w:rsidR="00033D0F">
        <w:rPr>
          <w:spacing w:val="-2"/>
        </w:rPr>
        <w:t>enterprise.</w:t>
      </w:r>
    </w:p>
    <w:p w14:paraId="7D0B0204" w14:textId="77777777" w:rsidR="00BD462C" w:rsidRDefault="00033D0F">
      <w:pPr>
        <w:pStyle w:val="ListParagraph"/>
        <w:numPr>
          <w:ilvl w:val="1"/>
          <w:numId w:val="60"/>
        </w:numPr>
        <w:tabs>
          <w:tab w:val="left" w:pos="3539"/>
          <w:tab w:val="left" w:pos="3540"/>
        </w:tabs>
        <w:spacing w:before="160"/>
        <w:ind w:hanging="851"/>
        <w:jc w:val="both"/>
        <w:rPr>
          <w:sz w:val="24"/>
        </w:rPr>
      </w:pPr>
      <w:bookmarkStart w:id="567" w:name="(d)_The_use_of_product_control_code_mark"/>
      <w:bookmarkEnd w:id="567"/>
      <w:r>
        <w:rPr>
          <w:sz w:val="24"/>
          <w:u w:val="single"/>
        </w:rPr>
        <w:t>The</w:t>
      </w:r>
      <w:r>
        <w:rPr>
          <w:spacing w:val="-6"/>
          <w:sz w:val="24"/>
          <w:u w:val="single"/>
        </w:rPr>
        <w:t xml:space="preserve"> </w:t>
      </w:r>
      <w:r>
        <w:rPr>
          <w:sz w:val="24"/>
          <w:u w:val="single"/>
        </w:rPr>
        <w:t>use</w:t>
      </w:r>
      <w:r>
        <w:rPr>
          <w:spacing w:val="-4"/>
          <w:sz w:val="24"/>
          <w:u w:val="single"/>
        </w:rPr>
        <w:t xml:space="preserve"> </w:t>
      </w:r>
      <w:r>
        <w:rPr>
          <w:sz w:val="24"/>
          <w:u w:val="single"/>
        </w:rPr>
        <w:t>of</w:t>
      </w:r>
      <w:r>
        <w:rPr>
          <w:spacing w:val="-2"/>
          <w:sz w:val="24"/>
          <w:u w:val="single"/>
        </w:rPr>
        <w:t xml:space="preserve"> </w:t>
      </w:r>
      <w:r>
        <w:rPr>
          <w:sz w:val="24"/>
          <w:u w:val="single"/>
        </w:rPr>
        <w:t>product</w:t>
      </w:r>
      <w:r>
        <w:rPr>
          <w:spacing w:val="1"/>
          <w:sz w:val="24"/>
          <w:u w:val="single"/>
        </w:rPr>
        <w:t xml:space="preserve"> </w:t>
      </w:r>
      <w:r>
        <w:rPr>
          <w:sz w:val="24"/>
          <w:u w:val="single"/>
        </w:rPr>
        <w:t>control</w:t>
      </w:r>
      <w:r>
        <w:rPr>
          <w:spacing w:val="-3"/>
          <w:sz w:val="24"/>
          <w:u w:val="single"/>
        </w:rPr>
        <w:t xml:space="preserve"> </w:t>
      </w:r>
      <w:r>
        <w:rPr>
          <w:sz w:val="24"/>
          <w:u w:val="single"/>
        </w:rPr>
        <w:t>code marker</w:t>
      </w:r>
      <w:r>
        <w:rPr>
          <w:spacing w:val="-7"/>
          <w:sz w:val="24"/>
          <w:u w:val="single"/>
        </w:rPr>
        <w:t xml:space="preserve"> </w:t>
      </w:r>
      <w:r>
        <w:rPr>
          <w:spacing w:val="-2"/>
          <w:sz w:val="24"/>
          <w:u w:val="single"/>
        </w:rPr>
        <w:t>"#N/A"</w:t>
      </w:r>
    </w:p>
    <w:p w14:paraId="3FD4FB16" w14:textId="77777777" w:rsidR="003F6264" w:rsidRDefault="003F6264">
      <w:pPr>
        <w:pStyle w:val="BodyText"/>
        <w:spacing w:before="56" w:line="360" w:lineRule="auto"/>
        <w:ind w:left="135" w:right="913"/>
        <w:jc w:val="both"/>
        <w:rPr>
          <w:sz w:val="20"/>
        </w:rPr>
      </w:pPr>
    </w:p>
    <w:p w14:paraId="3F080FEC" w14:textId="45E5D554" w:rsidR="00BD462C" w:rsidRDefault="00033D0F" w:rsidP="00DA02D9">
      <w:pPr>
        <w:pStyle w:val="BodyText"/>
        <w:numPr>
          <w:ilvl w:val="0"/>
          <w:numId w:val="71"/>
        </w:numPr>
        <w:spacing w:before="56" w:line="360" w:lineRule="auto"/>
        <w:ind w:right="913"/>
        <w:jc w:val="both"/>
      </w:pPr>
      <w:r>
        <w:rPr>
          <w:position w:val="1"/>
        </w:rPr>
        <w:t xml:space="preserve">As established in section </w:t>
      </w:r>
      <w:hyperlink w:anchor="_bookmark450" w:history="1">
        <w:r>
          <w:rPr>
            <w:position w:val="1"/>
          </w:rPr>
          <w:t>III.E.3 above,</w:t>
        </w:r>
      </w:hyperlink>
      <w:r>
        <w:rPr>
          <w:position w:val="1"/>
        </w:rPr>
        <w:t xml:space="preserve"> contrary to China's claims, the Final </w:t>
      </w:r>
      <w:r>
        <w:t>Determination indicates that MOFCOM did rely on the absence of data relating to PCNs that were</w:t>
      </w:r>
      <w:r>
        <w:rPr>
          <w:spacing w:val="-12"/>
        </w:rPr>
        <w:t xml:space="preserve"> </w:t>
      </w:r>
      <w:r>
        <w:t>not</w:t>
      </w:r>
      <w:r>
        <w:rPr>
          <w:spacing w:val="-7"/>
        </w:rPr>
        <w:t xml:space="preserve"> </w:t>
      </w:r>
      <w:r>
        <w:t>sold</w:t>
      </w:r>
      <w:r>
        <w:rPr>
          <w:spacing w:val="-14"/>
        </w:rPr>
        <w:t xml:space="preserve"> </w:t>
      </w:r>
      <w:r>
        <w:t>during</w:t>
      </w:r>
      <w:r>
        <w:rPr>
          <w:spacing w:val="-10"/>
        </w:rPr>
        <w:t xml:space="preserve"> </w:t>
      </w:r>
      <w:r>
        <w:t>the</w:t>
      </w:r>
      <w:r>
        <w:rPr>
          <w:spacing w:val="-7"/>
        </w:rPr>
        <w:t xml:space="preserve"> </w:t>
      </w:r>
      <w:r>
        <w:t>period</w:t>
      </w:r>
      <w:r>
        <w:rPr>
          <w:spacing w:val="-9"/>
        </w:rPr>
        <w:t xml:space="preserve"> </w:t>
      </w:r>
      <w:r>
        <w:t>of</w:t>
      </w:r>
      <w:r>
        <w:rPr>
          <w:spacing w:val="-9"/>
        </w:rPr>
        <w:t xml:space="preserve"> </w:t>
      </w:r>
      <w:r>
        <w:t>the</w:t>
      </w:r>
      <w:r>
        <w:rPr>
          <w:spacing w:val="-7"/>
        </w:rPr>
        <w:t xml:space="preserve"> </w:t>
      </w:r>
      <w:r>
        <w:t>investigation</w:t>
      </w:r>
      <w:r>
        <w:rPr>
          <w:spacing w:val="-14"/>
        </w:rPr>
        <w:t xml:space="preserve"> </w:t>
      </w:r>
      <w:r>
        <w:t>as</w:t>
      </w:r>
      <w:r>
        <w:rPr>
          <w:spacing w:val="-10"/>
        </w:rPr>
        <w:t xml:space="preserve"> </w:t>
      </w:r>
      <w:r>
        <w:t>a</w:t>
      </w:r>
      <w:r>
        <w:rPr>
          <w:spacing w:val="-8"/>
        </w:rPr>
        <w:t xml:space="preserve"> </w:t>
      </w:r>
      <w:r>
        <w:t>basis</w:t>
      </w:r>
      <w:r>
        <w:rPr>
          <w:spacing w:val="-10"/>
        </w:rPr>
        <w:t xml:space="preserve"> </w:t>
      </w:r>
      <w:r>
        <w:t>for</w:t>
      </w:r>
      <w:r>
        <w:rPr>
          <w:spacing w:val="-10"/>
        </w:rPr>
        <w:t xml:space="preserve"> </w:t>
      </w:r>
      <w:r>
        <w:t>rejecting</w:t>
      </w:r>
      <w:r>
        <w:rPr>
          <w:spacing w:val="-10"/>
        </w:rPr>
        <w:t xml:space="preserve"> </w:t>
      </w:r>
      <w:r>
        <w:t>Casella</w:t>
      </w:r>
      <w:r>
        <w:rPr>
          <w:spacing w:val="-12"/>
        </w:rPr>
        <w:t xml:space="preserve"> </w:t>
      </w:r>
      <w:r>
        <w:t>Wines'</w:t>
      </w:r>
      <w:r>
        <w:rPr>
          <w:spacing w:val="-13"/>
        </w:rPr>
        <w:t xml:space="preserve"> </w:t>
      </w:r>
      <w:r>
        <w:t>data and</w:t>
      </w:r>
      <w:r>
        <w:rPr>
          <w:spacing w:val="-14"/>
        </w:rPr>
        <w:t xml:space="preserve"> </w:t>
      </w:r>
      <w:r>
        <w:t>using</w:t>
      </w:r>
      <w:r>
        <w:rPr>
          <w:spacing w:val="-14"/>
        </w:rPr>
        <w:t xml:space="preserve"> </w:t>
      </w:r>
      <w:r>
        <w:t>facts</w:t>
      </w:r>
      <w:r>
        <w:rPr>
          <w:spacing w:val="-13"/>
        </w:rPr>
        <w:t xml:space="preserve"> </w:t>
      </w:r>
      <w:r>
        <w:t>available.</w:t>
      </w:r>
      <w:r>
        <w:rPr>
          <w:spacing w:val="-14"/>
        </w:rPr>
        <w:t xml:space="preserve"> </w:t>
      </w:r>
      <w:r>
        <w:t>It</w:t>
      </w:r>
      <w:r>
        <w:rPr>
          <w:spacing w:val="-13"/>
        </w:rPr>
        <w:t xml:space="preserve"> </w:t>
      </w:r>
      <w:r>
        <w:t>persisted</w:t>
      </w:r>
      <w:r>
        <w:rPr>
          <w:spacing w:val="-14"/>
        </w:rPr>
        <w:t xml:space="preserve"> </w:t>
      </w:r>
      <w:r>
        <w:t>in</w:t>
      </w:r>
      <w:r>
        <w:rPr>
          <w:spacing w:val="-13"/>
        </w:rPr>
        <w:t xml:space="preserve"> </w:t>
      </w:r>
      <w:r>
        <w:t>requiring</w:t>
      </w:r>
      <w:r>
        <w:rPr>
          <w:spacing w:val="-14"/>
        </w:rPr>
        <w:t xml:space="preserve"> </w:t>
      </w:r>
      <w:r>
        <w:t>this</w:t>
      </w:r>
      <w:r>
        <w:rPr>
          <w:spacing w:val="-14"/>
        </w:rPr>
        <w:t xml:space="preserve"> </w:t>
      </w:r>
      <w:r>
        <w:t>information</w:t>
      </w:r>
      <w:r>
        <w:rPr>
          <w:spacing w:val="-13"/>
        </w:rPr>
        <w:t xml:space="preserve"> </w:t>
      </w:r>
      <w:r>
        <w:t>even</w:t>
      </w:r>
      <w:r>
        <w:rPr>
          <w:spacing w:val="-14"/>
        </w:rPr>
        <w:t xml:space="preserve"> </w:t>
      </w:r>
      <w:r>
        <w:t>though</w:t>
      </w:r>
      <w:r>
        <w:rPr>
          <w:spacing w:val="-13"/>
        </w:rPr>
        <w:t xml:space="preserve"> </w:t>
      </w:r>
      <w:r>
        <w:t>it</w:t>
      </w:r>
      <w:r>
        <w:rPr>
          <w:spacing w:val="-14"/>
        </w:rPr>
        <w:t xml:space="preserve"> </w:t>
      </w:r>
      <w:r>
        <w:t>was</w:t>
      </w:r>
      <w:r>
        <w:rPr>
          <w:spacing w:val="-13"/>
        </w:rPr>
        <w:t xml:space="preserve"> </w:t>
      </w:r>
      <w:r>
        <w:t>expressly excluded</w:t>
      </w:r>
      <w:r>
        <w:rPr>
          <w:spacing w:val="40"/>
        </w:rPr>
        <w:t xml:space="preserve"> </w:t>
      </w:r>
      <w:r>
        <w:t>from</w:t>
      </w:r>
      <w:r>
        <w:rPr>
          <w:spacing w:val="40"/>
        </w:rPr>
        <w:t xml:space="preserve"> </w:t>
      </w:r>
      <w:r>
        <w:t>the</w:t>
      </w:r>
      <w:r>
        <w:rPr>
          <w:spacing w:val="40"/>
        </w:rPr>
        <w:t xml:space="preserve"> </w:t>
      </w:r>
      <w:r>
        <w:t>scope</w:t>
      </w:r>
      <w:r>
        <w:rPr>
          <w:spacing w:val="40"/>
        </w:rPr>
        <w:t xml:space="preserve"> </w:t>
      </w:r>
      <w:r>
        <w:t>of</w:t>
      </w:r>
      <w:r>
        <w:rPr>
          <w:spacing w:val="40"/>
        </w:rPr>
        <w:t xml:space="preserve"> </w:t>
      </w:r>
      <w:r>
        <w:t>the</w:t>
      </w:r>
      <w:r>
        <w:rPr>
          <w:spacing w:val="40"/>
        </w:rPr>
        <w:t xml:space="preserve"> </w:t>
      </w:r>
      <w:r>
        <w:t>investigation</w:t>
      </w:r>
      <w:r>
        <w:rPr>
          <w:spacing w:val="40"/>
        </w:rPr>
        <w:t xml:space="preserve"> </w:t>
      </w:r>
      <w:r>
        <w:t>and</w:t>
      </w:r>
      <w:r>
        <w:rPr>
          <w:spacing w:val="40"/>
        </w:rPr>
        <w:t xml:space="preserve"> </w:t>
      </w:r>
      <w:r>
        <w:t>the</w:t>
      </w:r>
      <w:r>
        <w:rPr>
          <w:spacing w:val="40"/>
        </w:rPr>
        <w:t xml:space="preserve"> </w:t>
      </w:r>
      <w:r>
        <w:t>questionnaire,</w:t>
      </w:r>
      <w:r>
        <w:rPr>
          <w:spacing w:val="40"/>
        </w:rPr>
        <w:t xml:space="preserve"> </w:t>
      </w:r>
      <w:r>
        <w:t>as</w:t>
      </w:r>
      <w:r>
        <w:rPr>
          <w:spacing w:val="40"/>
        </w:rPr>
        <w:t xml:space="preserve"> </w:t>
      </w:r>
      <w:r>
        <w:t>set</w:t>
      </w:r>
      <w:r>
        <w:rPr>
          <w:spacing w:val="40"/>
        </w:rPr>
        <w:t xml:space="preserve"> </w:t>
      </w:r>
      <w:r>
        <w:t>out</w:t>
      </w:r>
      <w:r>
        <w:rPr>
          <w:spacing w:val="40"/>
        </w:rPr>
        <w:t xml:space="preserve"> </w:t>
      </w:r>
      <w:r>
        <w:t>at section</w:t>
      </w:r>
      <w:r>
        <w:rPr>
          <w:spacing w:val="-3"/>
        </w:rPr>
        <w:t xml:space="preserve"> </w:t>
      </w:r>
      <w:hyperlink w:anchor="_bookmark445" w:history="1">
        <w:r>
          <w:t>III.E.2(c)ii,</w:t>
        </w:r>
      </w:hyperlink>
      <w:r>
        <w:t xml:space="preserve"> above. In</w:t>
      </w:r>
      <w:r>
        <w:rPr>
          <w:spacing w:val="-3"/>
        </w:rPr>
        <w:t xml:space="preserve"> </w:t>
      </w:r>
      <w:r>
        <w:t>so doing, MOFCOM rejected</w:t>
      </w:r>
      <w:r>
        <w:rPr>
          <w:spacing w:val="-3"/>
        </w:rPr>
        <w:t xml:space="preserve"> </w:t>
      </w:r>
      <w:r>
        <w:t>Casella</w:t>
      </w:r>
      <w:r>
        <w:rPr>
          <w:spacing w:val="-1"/>
        </w:rPr>
        <w:t xml:space="preserve"> </w:t>
      </w:r>
      <w:r>
        <w:t>Wines'</w:t>
      </w:r>
      <w:r>
        <w:rPr>
          <w:spacing w:val="-2"/>
        </w:rPr>
        <w:t xml:space="preserve"> </w:t>
      </w:r>
      <w:r>
        <w:t>evidence as to</w:t>
      </w:r>
      <w:r>
        <w:rPr>
          <w:spacing w:val="-4"/>
        </w:rPr>
        <w:t xml:space="preserve"> </w:t>
      </w:r>
      <w:r>
        <w:t>why it had</w:t>
      </w:r>
      <w:r>
        <w:rPr>
          <w:spacing w:val="-14"/>
        </w:rPr>
        <w:t xml:space="preserve"> </w:t>
      </w:r>
      <w:r>
        <w:t>not</w:t>
      </w:r>
      <w:r>
        <w:rPr>
          <w:spacing w:val="-14"/>
        </w:rPr>
        <w:t xml:space="preserve"> </w:t>
      </w:r>
      <w:r>
        <w:t>provided</w:t>
      </w:r>
      <w:r>
        <w:rPr>
          <w:spacing w:val="-13"/>
        </w:rPr>
        <w:t xml:space="preserve"> </w:t>
      </w:r>
      <w:r>
        <w:t>the</w:t>
      </w:r>
      <w:r>
        <w:rPr>
          <w:spacing w:val="-14"/>
        </w:rPr>
        <w:t xml:space="preserve"> </w:t>
      </w:r>
      <w:r>
        <w:t>data</w:t>
      </w:r>
      <w:r>
        <w:rPr>
          <w:spacing w:val="-13"/>
        </w:rPr>
        <w:t xml:space="preserve"> </w:t>
      </w:r>
      <w:r>
        <w:t>for</w:t>
      </w:r>
      <w:r>
        <w:rPr>
          <w:spacing w:val="-14"/>
        </w:rPr>
        <w:t xml:space="preserve"> </w:t>
      </w:r>
      <w:r>
        <w:t>the</w:t>
      </w:r>
      <w:r>
        <w:rPr>
          <w:spacing w:val="-13"/>
        </w:rPr>
        <w:t xml:space="preserve"> </w:t>
      </w:r>
      <w:r>
        <w:t>PCNs</w:t>
      </w:r>
      <w:r>
        <w:rPr>
          <w:spacing w:val="-11"/>
        </w:rPr>
        <w:t xml:space="preserve"> </w:t>
      </w:r>
      <w:r>
        <w:t>labelled</w:t>
      </w:r>
      <w:r>
        <w:rPr>
          <w:spacing w:val="-14"/>
        </w:rPr>
        <w:t xml:space="preserve"> </w:t>
      </w:r>
      <w:r>
        <w:t>"#N/A"</w:t>
      </w:r>
      <w:r>
        <w:rPr>
          <w:spacing w:val="-14"/>
        </w:rPr>
        <w:t xml:space="preserve"> </w:t>
      </w:r>
      <w:r>
        <w:t>without</w:t>
      </w:r>
      <w:r>
        <w:rPr>
          <w:spacing w:val="-11"/>
        </w:rPr>
        <w:t xml:space="preserve"> </w:t>
      </w:r>
      <w:r>
        <w:t>informing</w:t>
      </w:r>
      <w:r>
        <w:rPr>
          <w:spacing w:val="-11"/>
        </w:rPr>
        <w:t xml:space="preserve"> </w:t>
      </w:r>
      <w:r>
        <w:t>the</w:t>
      </w:r>
      <w:r>
        <w:rPr>
          <w:spacing w:val="-13"/>
        </w:rPr>
        <w:t xml:space="preserve"> </w:t>
      </w:r>
      <w:r>
        <w:t>supplying</w:t>
      </w:r>
      <w:r>
        <w:rPr>
          <w:spacing w:val="-11"/>
        </w:rPr>
        <w:t xml:space="preserve"> </w:t>
      </w:r>
      <w:r>
        <w:t>party, Casella Wines, forthwith (or at all) of the reasons therefor. Nor did MOFCOM allow an opportunity for Casella Wines to provide further explanations. Accordingly, this conduct contravenes paragraph 6 of Annex II because an unbiased and objective investigating authority would have informed the interested party of this and permitted it to provide an explain within a reasonable period.</w:t>
      </w:r>
      <w:r>
        <w:rPr>
          <w:spacing w:val="-13"/>
        </w:rPr>
        <w:t xml:space="preserve"> </w:t>
      </w:r>
      <w:hyperlink w:anchor="_bookmark490" w:history="1">
        <w:r>
          <w:rPr>
            <w:vertAlign w:val="superscript"/>
          </w:rPr>
          <w:t>400</w:t>
        </w:r>
      </w:hyperlink>
    </w:p>
    <w:p w14:paraId="3357966B" w14:textId="77777777" w:rsidR="00BD462C" w:rsidRDefault="00033D0F" w:rsidP="003F6264">
      <w:pPr>
        <w:pStyle w:val="Heading3"/>
        <w:tabs>
          <w:tab w:val="left" w:pos="2689"/>
          <w:tab w:val="left" w:pos="2690"/>
        </w:tabs>
        <w:spacing w:before="156" w:line="362" w:lineRule="auto"/>
        <w:ind w:left="1839" w:right="916" w:firstLine="0"/>
      </w:pPr>
      <w:bookmarkStart w:id="568" w:name="6._MOFCOM's_selection_of_facts_was_not_a"/>
      <w:bookmarkStart w:id="569" w:name="_bookmark489"/>
      <w:bookmarkEnd w:id="568"/>
      <w:bookmarkEnd w:id="569"/>
      <w:r>
        <w:t>MOFCOM's selection of facts was not a reasonable replacement for the missing necessary information</w:t>
      </w:r>
    </w:p>
    <w:p w14:paraId="42325DDD" w14:textId="77777777" w:rsidR="00BD462C" w:rsidRDefault="00BD462C">
      <w:pPr>
        <w:pStyle w:val="BodyText"/>
        <w:spacing w:before="7"/>
        <w:rPr>
          <w:b/>
          <w:sz w:val="8"/>
        </w:rPr>
      </w:pPr>
    </w:p>
    <w:p w14:paraId="2147BCB5" w14:textId="5FC75935" w:rsidR="00BD462C" w:rsidRDefault="00033D0F" w:rsidP="00DA02D9">
      <w:pPr>
        <w:pStyle w:val="BodyText"/>
        <w:numPr>
          <w:ilvl w:val="0"/>
          <w:numId w:val="71"/>
        </w:numPr>
        <w:spacing w:before="56" w:line="360" w:lineRule="auto"/>
        <w:ind w:right="915"/>
        <w:jc w:val="both"/>
      </w:pPr>
      <w:r>
        <w:rPr>
          <w:position w:val="1"/>
        </w:rPr>
        <w:t xml:space="preserve">Assuming, </w:t>
      </w:r>
      <w:r>
        <w:rPr>
          <w:i/>
          <w:position w:val="1"/>
        </w:rPr>
        <w:t>arguendo</w:t>
      </w:r>
      <w:r>
        <w:rPr>
          <w:position w:val="1"/>
        </w:rPr>
        <w:t>, that MOFCOM's recourse to facts available complied with</w:t>
      </w:r>
      <w:r>
        <w:rPr>
          <w:spacing w:val="40"/>
          <w:position w:val="1"/>
        </w:rPr>
        <w:t xml:space="preserve"> </w:t>
      </w:r>
      <w:r>
        <w:t>Article 6.8 and paragraphs 1, 3, 5, and 6 of Annex II, Australia submits that MOFCOM contravened Article 6.8 and paragraph 7 of Annex II by failing to select reasonable replacement facts for Casella Wines' allegedly missing necessary information.</w:t>
      </w:r>
    </w:p>
    <w:p w14:paraId="581F21ED" w14:textId="77777777" w:rsidR="00BD462C" w:rsidRDefault="00033D0F" w:rsidP="00DA02D9">
      <w:pPr>
        <w:pStyle w:val="ListParagraph"/>
        <w:numPr>
          <w:ilvl w:val="1"/>
          <w:numId w:val="71"/>
        </w:numPr>
        <w:tabs>
          <w:tab w:val="left" w:pos="3539"/>
          <w:tab w:val="left" w:pos="3540"/>
        </w:tabs>
        <w:spacing w:before="153" w:line="362" w:lineRule="auto"/>
        <w:ind w:right="918"/>
        <w:jc w:val="both"/>
        <w:rPr>
          <w:sz w:val="24"/>
        </w:rPr>
      </w:pPr>
      <w:bookmarkStart w:id="570" w:name="(a)_MOFCOM's_failures_to_provide_reasons"/>
      <w:bookmarkEnd w:id="570"/>
      <w:r>
        <w:rPr>
          <w:sz w:val="24"/>
          <w:u w:val="single"/>
        </w:rPr>
        <w:t>MOFCOM's failures to provide reasons for its selection of</w:t>
      </w:r>
      <w:r>
        <w:rPr>
          <w:sz w:val="24"/>
        </w:rPr>
        <w:t xml:space="preserve"> </w:t>
      </w:r>
      <w:r>
        <w:rPr>
          <w:spacing w:val="-2"/>
          <w:sz w:val="24"/>
          <w:u w:val="single"/>
        </w:rPr>
        <w:t>facts</w:t>
      </w:r>
    </w:p>
    <w:p w14:paraId="3D656773" w14:textId="77777777" w:rsidR="00BD462C" w:rsidRDefault="00BD462C">
      <w:pPr>
        <w:pStyle w:val="BodyText"/>
        <w:spacing w:before="8"/>
        <w:rPr>
          <w:sz w:val="8"/>
        </w:rPr>
      </w:pPr>
    </w:p>
    <w:p w14:paraId="12CBD427" w14:textId="5F57F58B" w:rsidR="00BD462C" w:rsidRPr="003F6264" w:rsidRDefault="003F6264" w:rsidP="00DA02D9">
      <w:pPr>
        <w:pStyle w:val="BodyText"/>
        <w:numPr>
          <w:ilvl w:val="0"/>
          <w:numId w:val="71"/>
        </w:numPr>
        <w:spacing w:before="56" w:line="355" w:lineRule="auto"/>
        <w:ind w:right="923"/>
        <w:rPr>
          <w:sz w:val="20"/>
        </w:rPr>
      </w:pPr>
      <w:r w:rsidRPr="003F6264">
        <w:rPr>
          <w:position w:val="1"/>
        </w:rPr>
        <w:t>D</w:t>
      </w:r>
      <w:r w:rsidR="00033D0F" w:rsidRPr="003F6264">
        <w:rPr>
          <w:position w:val="1"/>
        </w:rPr>
        <w:t>uring</w:t>
      </w:r>
      <w:r w:rsidR="00033D0F" w:rsidRPr="003F6264">
        <w:rPr>
          <w:spacing w:val="31"/>
          <w:position w:val="1"/>
        </w:rPr>
        <w:t xml:space="preserve"> </w:t>
      </w:r>
      <w:r w:rsidR="00033D0F" w:rsidRPr="003F6264">
        <w:rPr>
          <w:position w:val="1"/>
        </w:rPr>
        <w:t>this</w:t>
      </w:r>
      <w:r w:rsidR="00033D0F" w:rsidRPr="003F6264">
        <w:rPr>
          <w:spacing w:val="27"/>
          <w:position w:val="1"/>
        </w:rPr>
        <w:t xml:space="preserve"> </w:t>
      </w:r>
      <w:r w:rsidR="00033D0F" w:rsidRPr="003F6264">
        <w:rPr>
          <w:position w:val="1"/>
        </w:rPr>
        <w:t>proceeding</w:t>
      </w:r>
      <w:r w:rsidR="00033D0F" w:rsidRPr="003F6264">
        <w:rPr>
          <w:spacing w:val="31"/>
          <w:position w:val="1"/>
        </w:rPr>
        <w:t xml:space="preserve"> </w:t>
      </w:r>
      <w:r w:rsidR="00033D0F" w:rsidRPr="003F6264">
        <w:rPr>
          <w:position w:val="1"/>
        </w:rPr>
        <w:t>China</w:t>
      </w:r>
      <w:r w:rsidR="00033D0F" w:rsidRPr="003F6264">
        <w:rPr>
          <w:spacing w:val="30"/>
          <w:position w:val="1"/>
        </w:rPr>
        <w:t xml:space="preserve"> </w:t>
      </w:r>
      <w:r w:rsidR="00033D0F" w:rsidRPr="003F6264">
        <w:rPr>
          <w:position w:val="1"/>
        </w:rPr>
        <w:t>provided</w:t>
      </w:r>
      <w:r w:rsidR="00033D0F" w:rsidRPr="003F6264">
        <w:rPr>
          <w:spacing w:val="28"/>
          <w:position w:val="1"/>
        </w:rPr>
        <w:t xml:space="preserve"> </w:t>
      </w:r>
      <w:r w:rsidR="00033D0F" w:rsidRPr="003F6264">
        <w:rPr>
          <w:position w:val="1"/>
        </w:rPr>
        <w:t>an</w:t>
      </w:r>
      <w:r w:rsidR="00033D0F" w:rsidRPr="003F6264">
        <w:rPr>
          <w:spacing w:val="28"/>
          <w:position w:val="1"/>
        </w:rPr>
        <w:t xml:space="preserve"> </w:t>
      </w:r>
      <w:r w:rsidR="00033D0F" w:rsidRPr="003F6264">
        <w:rPr>
          <w:position w:val="1"/>
        </w:rPr>
        <w:t>explanation</w:t>
      </w:r>
      <w:r w:rsidR="00033D0F" w:rsidRPr="003F6264">
        <w:rPr>
          <w:spacing w:val="28"/>
          <w:position w:val="1"/>
        </w:rPr>
        <w:t xml:space="preserve"> </w:t>
      </w:r>
      <w:r w:rsidR="00033D0F" w:rsidRPr="003F6264">
        <w:rPr>
          <w:position w:val="1"/>
        </w:rPr>
        <w:t>of</w:t>
      </w:r>
      <w:r w:rsidR="00033D0F" w:rsidRPr="003F6264">
        <w:rPr>
          <w:spacing w:val="28"/>
          <w:position w:val="1"/>
        </w:rPr>
        <w:t xml:space="preserve"> </w:t>
      </w:r>
      <w:r w:rsidR="00033D0F" w:rsidRPr="003F6264">
        <w:rPr>
          <w:position w:val="1"/>
        </w:rPr>
        <w:t>the</w:t>
      </w:r>
      <w:r w:rsidR="00033D0F" w:rsidRPr="003F6264">
        <w:rPr>
          <w:spacing w:val="30"/>
          <w:position w:val="1"/>
        </w:rPr>
        <w:t xml:space="preserve"> </w:t>
      </w:r>
      <w:r w:rsidR="00033D0F" w:rsidRPr="003F6264">
        <w:rPr>
          <w:position w:val="1"/>
        </w:rPr>
        <w:t>replacement</w:t>
      </w:r>
      <w:r w:rsidR="00033D0F" w:rsidRPr="003F6264">
        <w:rPr>
          <w:spacing w:val="31"/>
          <w:position w:val="1"/>
        </w:rPr>
        <w:t xml:space="preserve"> </w:t>
      </w:r>
      <w:r w:rsidR="00033D0F" w:rsidRPr="003F6264">
        <w:rPr>
          <w:position w:val="1"/>
        </w:rPr>
        <w:t>facts</w:t>
      </w:r>
      <w:r w:rsidR="00033D0F" w:rsidRPr="003F6264">
        <w:rPr>
          <w:spacing w:val="32"/>
          <w:position w:val="1"/>
        </w:rPr>
        <w:t xml:space="preserve"> </w:t>
      </w:r>
      <w:r w:rsidR="00033D0F" w:rsidRPr="003F6264">
        <w:rPr>
          <w:position w:val="1"/>
        </w:rPr>
        <w:t xml:space="preserve">it </w:t>
      </w:r>
      <w:r w:rsidR="00033D0F">
        <w:t>asserts MOFCOM selected. Referring to Exhibit CHN-11 (BCI)</w:t>
      </w:r>
      <w:r w:rsidR="00033D0F" w:rsidRPr="003F6264">
        <w:rPr>
          <w:spacing w:val="-27"/>
        </w:rPr>
        <w:t xml:space="preserve"> </w:t>
      </w:r>
      <w:hyperlink w:anchor="_bookmark491" w:history="1">
        <w:r w:rsidR="00033D0F" w:rsidRPr="003F6264">
          <w:rPr>
            <w:vertAlign w:val="superscript"/>
          </w:rPr>
          <w:t>401</w:t>
        </w:r>
      </w:hyperlink>
      <w:r w:rsidR="00033D0F">
        <w:t xml:space="preserve">, </w:t>
      </w:r>
    </w:p>
    <w:p w14:paraId="30969B42" w14:textId="4D02C285" w:rsidR="00BD462C" w:rsidRDefault="00D70C7D">
      <w:pPr>
        <w:pStyle w:val="BodyText"/>
        <w:spacing w:before="4"/>
        <w:rPr>
          <w:sz w:val="21"/>
        </w:rPr>
      </w:pPr>
      <w:r>
        <w:rPr>
          <w:noProof/>
        </w:rPr>
        <mc:AlternateContent>
          <mc:Choice Requires="wps">
            <w:drawing>
              <wp:anchor distT="0" distB="0" distL="0" distR="0" simplePos="0" relativeHeight="487707136" behindDoc="1" locked="0" layoutInCell="1" allowOverlap="1" wp14:anchorId="0713E61E" wp14:editId="7211FC20">
                <wp:simplePos x="0" y="0"/>
                <wp:positionH relativeFrom="page">
                  <wp:posOffset>899160</wp:posOffset>
                </wp:positionH>
                <wp:positionV relativeFrom="paragraph">
                  <wp:posOffset>180975</wp:posOffset>
                </wp:positionV>
                <wp:extent cx="1828800" cy="8890"/>
                <wp:effectExtent l="0" t="0" r="0" b="0"/>
                <wp:wrapTopAndBottom/>
                <wp:docPr id="910" name="docshape2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341EEA" id="docshape261" o:spid="_x0000_s1026" alt="&quot;&quot;" style="position:absolute;margin-left:70.8pt;margin-top:14.25pt;width:2in;height:.7pt;z-index:-15609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" fillcolor="black" stroked="f">
                <w10:wrap type="topAndBottom" anchorx="page"/>
              </v:rect>
            </w:pict>
          </mc:Fallback>
        </mc:AlternateContent>
      </w:r>
    </w:p>
    <w:p w14:paraId="1CCF0A92" w14:textId="77777777" w:rsidR="00BD462C" w:rsidRDefault="00033D0F">
      <w:pPr>
        <w:spacing w:before="112"/>
        <w:ind w:left="135"/>
        <w:rPr>
          <w:sz w:val="18"/>
        </w:rPr>
      </w:pPr>
      <w:bookmarkStart w:id="571" w:name="_bookmark490"/>
      <w:bookmarkEnd w:id="571"/>
      <w:r>
        <w:rPr>
          <w:position w:val="5"/>
          <w:sz w:val="12"/>
        </w:rPr>
        <w:t>400</w:t>
      </w:r>
      <w:r>
        <w:rPr>
          <w:spacing w:val="12"/>
          <w:position w:val="5"/>
          <w:sz w:val="12"/>
        </w:rPr>
        <w:t xml:space="preserve"> </w:t>
      </w:r>
      <w:r>
        <w:rPr>
          <w:sz w:val="18"/>
        </w:rPr>
        <w:t>Australia's</w:t>
      </w:r>
      <w:r>
        <w:rPr>
          <w:spacing w:val="-7"/>
          <w:sz w:val="18"/>
        </w:rPr>
        <w:t xml:space="preserve"> </w:t>
      </w:r>
      <w:r>
        <w:rPr>
          <w:sz w:val="18"/>
        </w:rPr>
        <w:t>first</w:t>
      </w:r>
      <w:r>
        <w:rPr>
          <w:spacing w:val="-6"/>
          <w:sz w:val="18"/>
        </w:rPr>
        <w:t xml:space="preserve"> </w:t>
      </w:r>
      <w:r>
        <w:rPr>
          <w:sz w:val="18"/>
        </w:rPr>
        <w:t>written</w:t>
      </w:r>
      <w:r>
        <w:rPr>
          <w:spacing w:val="-3"/>
          <w:sz w:val="18"/>
        </w:rPr>
        <w:t xml:space="preserve"> </w:t>
      </w:r>
      <w:r>
        <w:rPr>
          <w:sz w:val="18"/>
        </w:rPr>
        <w:t>submission, paras.</w:t>
      </w:r>
      <w:r>
        <w:rPr>
          <w:spacing w:val="-5"/>
          <w:sz w:val="18"/>
        </w:rPr>
        <w:t xml:space="preserve"> </w:t>
      </w:r>
      <w:r>
        <w:rPr>
          <w:sz w:val="18"/>
        </w:rPr>
        <w:t>358-</w:t>
      </w:r>
      <w:r>
        <w:rPr>
          <w:spacing w:val="-4"/>
          <w:sz w:val="18"/>
        </w:rPr>
        <w:t>362.</w:t>
      </w:r>
    </w:p>
    <w:p w14:paraId="4DD5437A" w14:textId="4CE37016" w:rsidR="00BD462C" w:rsidRDefault="00D70C7D">
      <w:pPr>
        <w:spacing w:before="10"/>
        <w:ind w:left="135"/>
        <w:rPr>
          <w:sz w:val="12"/>
        </w:rPr>
      </w:pPr>
      <w:r>
        <w:rPr>
          <w:noProof/>
        </w:rPr>
        <mc:AlternateContent>
          <mc:Choice Requires="wps">
            <w:drawing>
              <wp:anchor distT="0" distB="0" distL="114300" distR="114300" simplePos="0" relativeHeight="15847424" behindDoc="0" locked="0" layoutInCell="1" allowOverlap="1" wp14:anchorId="216FC53F" wp14:editId="3B70D116">
                <wp:simplePos x="0" y="0"/>
                <wp:positionH relativeFrom="page">
                  <wp:posOffset>1045210</wp:posOffset>
                </wp:positionH>
                <wp:positionV relativeFrom="paragraph">
                  <wp:posOffset>-635</wp:posOffset>
                </wp:positionV>
                <wp:extent cx="5062855" cy="140335"/>
                <wp:effectExtent l="0" t="0" r="0" b="0"/>
                <wp:wrapNone/>
                <wp:docPr id="908" name="docshape2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2855" cy="140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020D58" w14:textId="2DCB5CED" w:rsidR="00BD462C" w:rsidRDefault="00033D0F">
                            <w:pPr>
                              <w:tabs>
                                <w:tab w:val="left" w:pos="7919"/>
                              </w:tabs>
                              <w:spacing w:before="1" w:line="219" w:lineRule="exact"/>
                              <w:ind w:right="-15"/>
                              <w:rPr>
                                <w:color w:val="000000"/>
                                <w:sz w:val="18"/>
                              </w:rPr>
                            </w:pPr>
                            <w:r>
                              <w:rPr>
                                <w:color w:val="000000"/>
                                <w:sz w:val="18"/>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FC53F" id="docshape262" o:spid="_x0000_s1050" type="#_x0000_t202" alt="&quot;&quot;" style="position:absolute;left:0;text-align:left;margin-left:82.3pt;margin-top:-.05pt;width:398.65pt;height:11.05pt;z-index:1584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" fillcolor="black" stroked="f">
                <v:textbox inset="0,0,0,0">
                  <w:txbxContent>
                    <w:p w14:paraId="0B020D58" w14:textId="2DCB5CED" w:rsidR="00BD462C" w:rsidRDefault="00033D0F">
                      <w:pPr>
                        <w:tabs>
                          <w:tab w:val="left" w:pos="7919"/>
                        </w:tabs>
                        <w:spacing w:before="1" w:line="219" w:lineRule="exact"/>
                        <w:ind w:right="-15"/>
                        <w:rPr>
                          <w:color w:val="000000"/>
                          <w:sz w:val="18"/>
                        </w:rPr>
                      </w:pPr>
                      <w:r>
                        <w:rPr>
                          <w:color w:val="000000"/>
                          <w:sz w:val="18"/>
                        </w:rPr>
                        <w:tab/>
                      </w:r>
                    </w:p>
                  </w:txbxContent>
                </v:textbox>
                <w10:wrap anchorx="page"/>
              </v:shape>
            </w:pict>
          </mc:Fallback>
        </mc:AlternateContent>
      </w:r>
      <w:bookmarkStart w:id="572" w:name="_bookmark491"/>
      <w:bookmarkEnd w:id="572"/>
      <w:r w:rsidR="00033D0F">
        <w:rPr>
          <w:spacing w:val="-5"/>
          <w:sz w:val="12"/>
        </w:rPr>
        <w:t>401</w:t>
      </w:r>
    </w:p>
    <w:p w14:paraId="098A8141" w14:textId="77777777" w:rsidR="00BD462C" w:rsidRDefault="00BD462C">
      <w:pPr>
        <w:rPr>
          <w:sz w:val="12"/>
        </w:rPr>
        <w:sectPr w:rsidR="00BD462C">
          <w:pgSz w:w="11910" w:h="16840"/>
          <w:pgMar w:top="860" w:right="500" w:bottom="780" w:left="1280" w:header="566" w:footer="590" w:gutter="0"/>
          <w:cols w:space="720"/>
        </w:sectPr>
      </w:pPr>
    </w:p>
    <w:p w14:paraId="218D5D9A"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474C9F42"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6186774C"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4C73C6A3" w14:textId="77777777" w:rsidR="003F6264" w:rsidRDefault="003F6264" w:rsidP="003F6264">
      <w:pPr>
        <w:pStyle w:val="BodyText"/>
        <w:spacing w:before="56" w:line="355" w:lineRule="auto"/>
        <w:ind w:right="923"/>
      </w:pPr>
      <w:r>
        <w:t>China explained that:</w:t>
      </w:r>
    </w:p>
    <w:p w14:paraId="7E9B9405" w14:textId="77777777" w:rsidR="00BD462C" w:rsidRDefault="00033D0F">
      <w:pPr>
        <w:spacing w:before="102" w:line="273" w:lineRule="auto"/>
        <w:ind w:left="985" w:right="916"/>
        <w:jc w:val="both"/>
      </w:pPr>
      <w:r>
        <w:t xml:space="preserve">[T]he normal value for Casella Wines […] is based on the weighted average ex-factory price of Treasury Wines for </w:t>
      </w:r>
      <w:r>
        <w:rPr>
          <w:i/>
          <w:u w:val="single"/>
        </w:rPr>
        <w:t>all</w:t>
      </w:r>
      <w:r>
        <w:rPr>
          <w:i/>
        </w:rPr>
        <w:t xml:space="preserve"> </w:t>
      </w:r>
      <w:r>
        <w:t>its domestic sales; not only those sales that passed the above-cost test.</w:t>
      </w:r>
      <w:r>
        <w:rPr>
          <w:spacing w:val="-29"/>
        </w:rPr>
        <w:t xml:space="preserve"> </w:t>
      </w:r>
      <w:hyperlink w:anchor="_bookmark492" w:history="1">
        <w:r>
          <w:rPr>
            <w:vertAlign w:val="superscript"/>
          </w:rPr>
          <w:t>402</w:t>
        </w:r>
      </w:hyperlink>
    </w:p>
    <w:p w14:paraId="318A75DC" w14:textId="77777777" w:rsidR="00BD462C" w:rsidRDefault="00BD462C">
      <w:pPr>
        <w:pStyle w:val="BodyText"/>
        <w:spacing w:before="1"/>
        <w:rPr>
          <w:sz w:val="16"/>
        </w:rPr>
      </w:pPr>
    </w:p>
    <w:p w14:paraId="27D83E15" w14:textId="2F5A18DB" w:rsidR="00BD462C" w:rsidRDefault="00033D0F" w:rsidP="00DA02D9">
      <w:pPr>
        <w:pStyle w:val="BodyText"/>
        <w:numPr>
          <w:ilvl w:val="0"/>
          <w:numId w:val="71"/>
        </w:numPr>
        <w:spacing w:before="56" w:line="355" w:lineRule="auto"/>
        <w:ind w:right="910"/>
      </w:pPr>
      <w:r>
        <w:rPr>
          <w:position w:val="1"/>
        </w:rPr>
        <w:t>This</w:t>
      </w:r>
      <w:r>
        <w:rPr>
          <w:spacing w:val="24"/>
          <w:position w:val="1"/>
        </w:rPr>
        <w:t xml:space="preserve"> </w:t>
      </w:r>
      <w:r>
        <w:rPr>
          <w:position w:val="1"/>
        </w:rPr>
        <w:t>was</w:t>
      </w:r>
      <w:r>
        <w:rPr>
          <w:spacing w:val="24"/>
          <w:position w:val="1"/>
        </w:rPr>
        <w:t xml:space="preserve"> </w:t>
      </w:r>
      <w:r>
        <w:rPr>
          <w:position w:val="1"/>
        </w:rPr>
        <w:t>not</w:t>
      </w:r>
      <w:r>
        <w:rPr>
          <w:spacing w:val="28"/>
          <w:position w:val="1"/>
        </w:rPr>
        <w:t xml:space="preserve"> </w:t>
      </w:r>
      <w:r>
        <w:rPr>
          <w:position w:val="1"/>
        </w:rPr>
        <w:t>explained</w:t>
      </w:r>
      <w:r>
        <w:rPr>
          <w:spacing w:val="21"/>
          <w:position w:val="1"/>
        </w:rPr>
        <w:t xml:space="preserve"> </w:t>
      </w:r>
      <w:r>
        <w:rPr>
          <w:position w:val="1"/>
        </w:rPr>
        <w:t>in</w:t>
      </w:r>
      <w:r>
        <w:rPr>
          <w:spacing w:val="21"/>
          <w:position w:val="1"/>
        </w:rPr>
        <w:t xml:space="preserve"> </w:t>
      </w:r>
      <w:r>
        <w:rPr>
          <w:position w:val="1"/>
        </w:rPr>
        <w:t>MOFCOM's</w:t>
      </w:r>
      <w:r>
        <w:rPr>
          <w:spacing w:val="24"/>
          <w:position w:val="1"/>
        </w:rPr>
        <w:t xml:space="preserve"> </w:t>
      </w:r>
      <w:r>
        <w:rPr>
          <w:position w:val="1"/>
        </w:rPr>
        <w:t>Final</w:t>
      </w:r>
      <w:r>
        <w:rPr>
          <w:spacing w:val="25"/>
          <w:position w:val="1"/>
        </w:rPr>
        <w:t xml:space="preserve"> </w:t>
      </w:r>
      <w:r>
        <w:rPr>
          <w:position w:val="1"/>
        </w:rPr>
        <w:t>Determination,</w:t>
      </w:r>
      <w:r>
        <w:rPr>
          <w:spacing w:val="25"/>
          <w:position w:val="1"/>
        </w:rPr>
        <w:t xml:space="preserve"> </w:t>
      </w:r>
      <w:r>
        <w:rPr>
          <w:position w:val="1"/>
        </w:rPr>
        <w:t>nor</w:t>
      </w:r>
      <w:r>
        <w:rPr>
          <w:spacing w:val="25"/>
          <w:position w:val="1"/>
        </w:rPr>
        <w:t xml:space="preserve"> </w:t>
      </w:r>
      <w:r>
        <w:rPr>
          <w:position w:val="1"/>
        </w:rPr>
        <w:t>was</w:t>
      </w:r>
      <w:r>
        <w:rPr>
          <w:spacing w:val="24"/>
          <w:position w:val="1"/>
        </w:rPr>
        <w:t xml:space="preserve"> </w:t>
      </w:r>
      <w:r>
        <w:rPr>
          <w:position w:val="1"/>
        </w:rPr>
        <w:t>it</w:t>
      </w:r>
      <w:r>
        <w:rPr>
          <w:spacing w:val="23"/>
          <w:position w:val="1"/>
        </w:rPr>
        <w:t xml:space="preserve"> </w:t>
      </w:r>
      <w:r>
        <w:rPr>
          <w:position w:val="1"/>
        </w:rPr>
        <w:t>disclosed</w:t>
      </w:r>
      <w:r>
        <w:rPr>
          <w:spacing w:val="21"/>
          <w:position w:val="1"/>
        </w:rPr>
        <w:t xml:space="preserve"> </w:t>
      </w:r>
      <w:r>
        <w:rPr>
          <w:position w:val="1"/>
        </w:rPr>
        <w:t xml:space="preserve">as </w:t>
      </w:r>
      <w:r>
        <w:t>required</w:t>
      </w:r>
      <w:r>
        <w:rPr>
          <w:spacing w:val="-6"/>
        </w:rPr>
        <w:t xml:space="preserve"> </w:t>
      </w:r>
      <w:r>
        <w:t>by</w:t>
      </w:r>
      <w:r>
        <w:rPr>
          <w:spacing w:val="1"/>
        </w:rPr>
        <w:t xml:space="preserve"> </w:t>
      </w:r>
      <w:r>
        <w:t>paragraph 6</w:t>
      </w:r>
      <w:r>
        <w:rPr>
          <w:spacing w:val="-6"/>
        </w:rPr>
        <w:t xml:space="preserve"> </w:t>
      </w:r>
      <w:r>
        <w:t>of</w:t>
      </w:r>
      <w:r>
        <w:rPr>
          <w:spacing w:val="-5"/>
        </w:rPr>
        <w:t xml:space="preserve"> </w:t>
      </w:r>
      <w:r>
        <w:t>Annex</w:t>
      </w:r>
      <w:r>
        <w:rPr>
          <w:spacing w:val="-2"/>
        </w:rPr>
        <w:t xml:space="preserve"> </w:t>
      </w:r>
      <w:r>
        <w:t>II</w:t>
      </w:r>
      <w:r>
        <w:rPr>
          <w:spacing w:val="-2"/>
        </w:rPr>
        <w:t xml:space="preserve"> </w:t>
      </w:r>
      <w:r>
        <w:t>to</w:t>
      </w:r>
      <w:r>
        <w:rPr>
          <w:spacing w:val="-6"/>
        </w:rPr>
        <w:t xml:space="preserve"> </w:t>
      </w:r>
      <w:r>
        <w:t>the</w:t>
      </w:r>
      <w:r>
        <w:rPr>
          <w:spacing w:val="-3"/>
        </w:rPr>
        <w:t xml:space="preserve"> </w:t>
      </w:r>
      <w:r>
        <w:t>Anti-Dumping</w:t>
      </w:r>
      <w:r>
        <w:rPr>
          <w:spacing w:val="-3"/>
        </w:rPr>
        <w:t xml:space="preserve"> </w:t>
      </w:r>
      <w:r>
        <w:t>Agreement,</w:t>
      </w:r>
      <w:r>
        <w:rPr>
          <w:spacing w:val="-1"/>
        </w:rPr>
        <w:t xml:space="preserve"> </w:t>
      </w:r>
      <w:r>
        <w:t>as</w:t>
      </w:r>
      <w:r>
        <w:rPr>
          <w:spacing w:val="-2"/>
        </w:rPr>
        <w:t xml:space="preserve"> </w:t>
      </w:r>
      <w:r>
        <w:t>well</w:t>
      </w:r>
      <w:r>
        <w:rPr>
          <w:spacing w:val="-1"/>
        </w:rPr>
        <w:t xml:space="preserve"> </w:t>
      </w:r>
      <w:r>
        <w:t>as</w:t>
      </w:r>
      <w:r>
        <w:rPr>
          <w:spacing w:val="-2"/>
        </w:rPr>
        <w:t xml:space="preserve"> </w:t>
      </w:r>
      <w:r>
        <w:t>Article</w:t>
      </w:r>
      <w:r>
        <w:rPr>
          <w:spacing w:val="-3"/>
        </w:rPr>
        <w:t xml:space="preserve"> </w:t>
      </w:r>
      <w:r>
        <w:t>6.9.</w:t>
      </w:r>
      <w:r>
        <w:rPr>
          <w:spacing w:val="-34"/>
        </w:rPr>
        <w:t xml:space="preserve"> </w:t>
      </w:r>
      <w:hyperlink w:anchor="_bookmark493" w:history="1">
        <w:r>
          <w:rPr>
            <w:spacing w:val="-5"/>
            <w:vertAlign w:val="superscript"/>
          </w:rPr>
          <w:t>403</w:t>
        </w:r>
      </w:hyperlink>
    </w:p>
    <w:p w14:paraId="2DD27835" w14:textId="77777777" w:rsidR="00BD462C" w:rsidRDefault="00BD462C">
      <w:pPr>
        <w:pStyle w:val="BodyText"/>
        <w:spacing w:before="4"/>
        <w:rPr>
          <w:sz w:val="9"/>
        </w:rPr>
      </w:pPr>
    </w:p>
    <w:p w14:paraId="7E5A5527" w14:textId="51352F77" w:rsidR="00BD462C" w:rsidRDefault="00033D0F" w:rsidP="00DA02D9">
      <w:pPr>
        <w:pStyle w:val="BodyText"/>
        <w:numPr>
          <w:ilvl w:val="0"/>
          <w:numId w:val="71"/>
        </w:numPr>
        <w:spacing w:before="56" w:line="360" w:lineRule="auto"/>
        <w:ind w:right="914"/>
        <w:jc w:val="both"/>
      </w:pPr>
      <w:r>
        <w:rPr>
          <w:position w:val="1"/>
        </w:rPr>
        <w:t>Further,</w:t>
      </w:r>
      <w:r>
        <w:rPr>
          <w:spacing w:val="-1"/>
          <w:position w:val="1"/>
        </w:rPr>
        <w:t xml:space="preserve"> </w:t>
      </w:r>
      <w:r>
        <w:rPr>
          <w:position w:val="1"/>
        </w:rPr>
        <w:t>MOFCOM's</w:t>
      </w:r>
      <w:r>
        <w:rPr>
          <w:spacing w:val="-2"/>
          <w:position w:val="1"/>
        </w:rPr>
        <w:t xml:space="preserve"> </w:t>
      </w:r>
      <w:r>
        <w:rPr>
          <w:position w:val="1"/>
        </w:rPr>
        <w:t>failure</w:t>
      </w:r>
      <w:r>
        <w:rPr>
          <w:spacing w:val="-3"/>
          <w:position w:val="1"/>
        </w:rPr>
        <w:t xml:space="preserve"> </w:t>
      </w:r>
      <w:r>
        <w:rPr>
          <w:position w:val="1"/>
        </w:rPr>
        <w:t>to</w:t>
      </w:r>
      <w:r>
        <w:rPr>
          <w:spacing w:val="-5"/>
          <w:position w:val="1"/>
        </w:rPr>
        <w:t xml:space="preserve"> </w:t>
      </w:r>
      <w:r>
        <w:rPr>
          <w:position w:val="1"/>
        </w:rPr>
        <w:t>communicate</w:t>
      </w:r>
      <w:r>
        <w:rPr>
          <w:spacing w:val="-3"/>
          <w:position w:val="1"/>
        </w:rPr>
        <w:t xml:space="preserve"> </w:t>
      </w:r>
      <w:r>
        <w:rPr>
          <w:position w:val="1"/>
        </w:rPr>
        <w:t>its</w:t>
      </w:r>
      <w:r>
        <w:rPr>
          <w:spacing w:val="-6"/>
          <w:position w:val="1"/>
        </w:rPr>
        <w:t xml:space="preserve"> </w:t>
      </w:r>
      <w:r>
        <w:rPr>
          <w:position w:val="1"/>
        </w:rPr>
        <w:t>selection</w:t>
      </w:r>
      <w:r>
        <w:rPr>
          <w:spacing w:val="-4"/>
          <w:position w:val="1"/>
        </w:rPr>
        <w:t xml:space="preserve"> </w:t>
      </w:r>
      <w:r>
        <w:rPr>
          <w:position w:val="1"/>
        </w:rPr>
        <w:t>of</w:t>
      </w:r>
      <w:r>
        <w:rPr>
          <w:spacing w:val="-4"/>
          <w:position w:val="1"/>
        </w:rPr>
        <w:t xml:space="preserve"> </w:t>
      </w:r>
      <w:r>
        <w:rPr>
          <w:position w:val="1"/>
        </w:rPr>
        <w:t>facts</w:t>
      </w:r>
      <w:r>
        <w:rPr>
          <w:spacing w:val="-2"/>
          <w:position w:val="1"/>
        </w:rPr>
        <w:t xml:space="preserve"> </w:t>
      </w:r>
      <w:r>
        <w:rPr>
          <w:position w:val="1"/>
        </w:rPr>
        <w:t>and</w:t>
      </w:r>
      <w:r>
        <w:rPr>
          <w:spacing w:val="-4"/>
          <w:position w:val="1"/>
        </w:rPr>
        <w:t xml:space="preserve"> </w:t>
      </w:r>
      <w:r>
        <w:rPr>
          <w:position w:val="1"/>
        </w:rPr>
        <w:t>the reasons</w:t>
      </w:r>
      <w:r>
        <w:rPr>
          <w:spacing w:val="-2"/>
          <w:position w:val="1"/>
        </w:rPr>
        <w:t xml:space="preserve"> </w:t>
      </w:r>
      <w:r>
        <w:rPr>
          <w:position w:val="1"/>
        </w:rPr>
        <w:t xml:space="preserve">for </w:t>
      </w:r>
      <w:r>
        <w:t>that selection prevented MOFCOM from meeting other obligations as well. Transparency at that stage of the investigation was crucial to ensuring that the selected data allowed a fair comparison</w:t>
      </w:r>
      <w:r>
        <w:rPr>
          <w:spacing w:val="-1"/>
        </w:rPr>
        <w:t xml:space="preserve"> </w:t>
      </w:r>
      <w:r>
        <w:t>to</w:t>
      </w:r>
      <w:r>
        <w:rPr>
          <w:spacing w:val="-1"/>
        </w:rPr>
        <w:t xml:space="preserve"> </w:t>
      </w:r>
      <w:r>
        <w:t>be made between</w:t>
      </w:r>
      <w:r>
        <w:rPr>
          <w:spacing w:val="-1"/>
        </w:rPr>
        <w:t xml:space="preserve"> </w:t>
      </w:r>
      <w:r>
        <w:t>normal value and</w:t>
      </w:r>
      <w:r>
        <w:rPr>
          <w:spacing w:val="-1"/>
        </w:rPr>
        <w:t xml:space="preserve"> </w:t>
      </w:r>
      <w:r>
        <w:t>export price, as required</w:t>
      </w:r>
      <w:r>
        <w:rPr>
          <w:spacing w:val="-1"/>
        </w:rPr>
        <w:t xml:space="preserve"> </w:t>
      </w:r>
      <w:r>
        <w:t>by Article 2.4. If the selected facts and reasons for that selection are not communicated, the relevant interested parties are unable to engage in the necessary dialogue with the investigating authority to request adjustments or comment on the authority's reasons. Without the input provided via such a dialogue MOFCOM was not able to select the best available</w:t>
      </w:r>
      <w:r>
        <w:rPr>
          <w:spacing w:val="-2"/>
        </w:rPr>
        <w:t xml:space="preserve"> </w:t>
      </w:r>
      <w:r>
        <w:t>information, as required by Article 6.8.</w:t>
      </w:r>
    </w:p>
    <w:p w14:paraId="6A81B971" w14:textId="77777777" w:rsidR="00BD462C" w:rsidRDefault="00033D0F" w:rsidP="00DA02D9">
      <w:pPr>
        <w:pStyle w:val="ListParagraph"/>
        <w:numPr>
          <w:ilvl w:val="1"/>
          <w:numId w:val="72"/>
        </w:numPr>
        <w:tabs>
          <w:tab w:val="left" w:pos="3539"/>
          <w:tab w:val="left" w:pos="3540"/>
        </w:tabs>
        <w:spacing w:before="154" w:line="362" w:lineRule="auto"/>
        <w:ind w:right="916"/>
        <w:jc w:val="both"/>
        <w:rPr>
          <w:sz w:val="24"/>
        </w:rPr>
      </w:pPr>
      <w:bookmarkStart w:id="573" w:name="(b)_Alleged_lack_of_cooperation_does_not"/>
      <w:bookmarkEnd w:id="573"/>
      <w:r>
        <w:rPr>
          <w:sz w:val="24"/>
          <w:u w:val="single"/>
        </w:rPr>
        <w:t>Alleged lack of cooperation does not justify MOFCOM's</w:t>
      </w:r>
      <w:r>
        <w:rPr>
          <w:sz w:val="24"/>
        </w:rPr>
        <w:t xml:space="preserve"> </w:t>
      </w:r>
      <w:r>
        <w:rPr>
          <w:sz w:val="24"/>
          <w:u w:val="single"/>
        </w:rPr>
        <w:t>selection of facts</w:t>
      </w:r>
    </w:p>
    <w:p w14:paraId="0DB4230F" w14:textId="77777777" w:rsidR="00BD462C" w:rsidRDefault="00BD462C">
      <w:pPr>
        <w:pStyle w:val="BodyText"/>
        <w:spacing w:before="8"/>
        <w:rPr>
          <w:sz w:val="8"/>
        </w:rPr>
      </w:pPr>
    </w:p>
    <w:p w14:paraId="0FD2B5A1" w14:textId="77F49BD9" w:rsidR="00BD462C" w:rsidRPr="003F6264" w:rsidRDefault="00033D0F" w:rsidP="00DA02D9">
      <w:pPr>
        <w:pStyle w:val="BodyText"/>
        <w:numPr>
          <w:ilvl w:val="0"/>
          <w:numId w:val="71"/>
        </w:numPr>
        <w:spacing w:before="56" w:line="360" w:lineRule="auto"/>
        <w:ind w:right="910"/>
        <w:jc w:val="both"/>
      </w:pPr>
      <w:r>
        <w:rPr>
          <w:position w:val="1"/>
        </w:rPr>
        <w:t>The record indicates that Casella</w:t>
      </w:r>
      <w:r>
        <w:rPr>
          <w:spacing w:val="-3"/>
          <w:position w:val="1"/>
        </w:rPr>
        <w:t xml:space="preserve"> </w:t>
      </w:r>
      <w:r>
        <w:rPr>
          <w:position w:val="1"/>
        </w:rPr>
        <w:t xml:space="preserve">Wines cooperated to the best of its ability. Indeed, </w:t>
      </w:r>
      <w:r>
        <w:t>China</w:t>
      </w:r>
      <w:r>
        <w:rPr>
          <w:spacing w:val="-14"/>
        </w:rPr>
        <w:t xml:space="preserve"> </w:t>
      </w:r>
      <w:r>
        <w:t>is</w:t>
      </w:r>
      <w:r>
        <w:rPr>
          <w:spacing w:val="-14"/>
        </w:rPr>
        <w:t xml:space="preserve"> </w:t>
      </w:r>
      <w:r>
        <w:t>able</w:t>
      </w:r>
      <w:r>
        <w:rPr>
          <w:spacing w:val="-13"/>
        </w:rPr>
        <w:t xml:space="preserve"> </w:t>
      </w:r>
      <w:r>
        <w:t>to</w:t>
      </w:r>
      <w:r>
        <w:rPr>
          <w:spacing w:val="-14"/>
        </w:rPr>
        <w:t xml:space="preserve"> </w:t>
      </w:r>
      <w:r>
        <w:t>point</w:t>
      </w:r>
      <w:r>
        <w:rPr>
          <w:spacing w:val="-13"/>
        </w:rPr>
        <w:t xml:space="preserve"> </w:t>
      </w:r>
      <w:r>
        <w:t>to</w:t>
      </w:r>
      <w:r>
        <w:rPr>
          <w:spacing w:val="-14"/>
        </w:rPr>
        <w:t xml:space="preserve"> </w:t>
      </w:r>
      <w:r>
        <w:t>only</w:t>
      </w:r>
      <w:r>
        <w:rPr>
          <w:spacing w:val="-11"/>
        </w:rPr>
        <w:t xml:space="preserve"> </w:t>
      </w:r>
      <w:r>
        <w:t>two</w:t>
      </w:r>
      <w:r>
        <w:rPr>
          <w:spacing w:val="-14"/>
        </w:rPr>
        <w:t xml:space="preserve"> </w:t>
      </w:r>
      <w:r>
        <w:t>failings</w:t>
      </w:r>
      <w:r>
        <w:rPr>
          <w:spacing w:val="-10"/>
        </w:rPr>
        <w:t xml:space="preserve"> </w:t>
      </w:r>
      <w:r>
        <w:t>that</w:t>
      </w:r>
      <w:r>
        <w:rPr>
          <w:spacing w:val="-14"/>
        </w:rPr>
        <w:t xml:space="preserve"> </w:t>
      </w:r>
      <w:r>
        <w:t>it</w:t>
      </w:r>
      <w:r>
        <w:rPr>
          <w:spacing w:val="-11"/>
        </w:rPr>
        <w:t xml:space="preserve"> </w:t>
      </w:r>
      <w:r>
        <w:t>claims</w:t>
      </w:r>
      <w:r>
        <w:rPr>
          <w:spacing w:val="-11"/>
        </w:rPr>
        <w:t xml:space="preserve"> </w:t>
      </w:r>
      <w:r>
        <w:t>illustrate</w:t>
      </w:r>
      <w:r>
        <w:rPr>
          <w:spacing w:val="-12"/>
        </w:rPr>
        <w:t xml:space="preserve"> </w:t>
      </w:r>
      <w:r>
        <w:t>the</w:t>
      </w:r>
      <w:r>
        <w:rPr>
          <w:spacing w:val="-12"/>
        </w:rPr>
        <w:t xml:space="preserve"> </w:t>
      </w:r>
      <w:r>
        <w:t>alleged</w:t>
      </w:r>
      <w:r>
        <w:rPr>
          <w:spacing w:val="-14"/>
        </w:rPr>
        <w:t xml:space="preserve"> </w:t>
      </w:r>
      <w:r>
        <w:t>lack</w:t>
      </w:r>
      <w:r>
        <w:rPr>
          <w:spacing w:val="-11"/>
        </w:rPr>
        <w:t xml:space="preserve"> </w:t>
      </w:r>
      <w:r>
        <w:t>of</w:t>
      </w:r>
      <w:r>
        <w:rPr>
          <w:spacing w:val="-14"/>
        </w:rPr>
        <w:t xml:space="preserve"> </w:t>
      </w:r>
      <w:r>
        <w:t>cooperation by</w:t>
      </w:r>
      <w:r>
        <w:rPr>
          <w:spacing w:val="-7"/>
        </w:rPr>
        <w:t xml:space="preserve"> </w:t>
      </w:r>
      <w:r>
        <w:t>Casella</w:t>
      </w:r>
      <w:r>
        <w:rPr>
          <w:spacing w:val="-13"/>
        </w:rPr>
        <w:t xml:space="preserve"> </w:t>
      </w:r>
      <w:r>
        <w:t>Wines.</w:t>
      </w:r>
      <w:r>
        <w:rPr>
          <w:spacing w:val="-7"/>
        </w:rPr>
        <w:t xml:space="preserve"> </w:t>
      </w:r>
      <w:r>
        <w:t>These</w:t>
      </w:r>
      <w:r>
        <w:rPr>
          <w:spacing w:val="-13"/>
        </w:rPr>
        <w:t xml:space="preserve"> </w:t>
      </w:r>
      <w:r>
        <w:t>are</w:t>
      </w:r>
      <w:r>
        <w:rPr>
          <w:spacing w:val="-8"/>
        </w:rPr>
        <w:t xml:space="preserve"> </w:t>
      </w:r>
      <w:r>
        <w:t>the</w:t>
      </w:r>
      <w:r>
        <w:rPr>
          <w:spacing w:val="-8"/>
        </w:rPr>
        <w:t xml:space="preserve"> </w:t>
      </w:r>
      <w:r>
        <w:t>absence</w:t>
      </w:r>
      <w:r>
        <w:rPr>
          <w:spacing w:val="-8"/>
        </w:rPr>
        <w:t xml:space="preserve"> </w:t>
      </w:r>
      <w:r>
        <w:t>of</w:t>
      </w:r>
      <w:r>
        <w:rPr>
          <w:spacing w:val="-10"/>
        </w:rPr>
        <w:t xml:space="preserve"> </w:t>
      </w:r>
      <w:r>
        <w:t>Forms</w:t>
      </w:r>
      <w:r>
        <w:rPr>
          <w:spacing w:val="-7"/>
        </w:rPr>
        <w:t xml:space="preserve"> </w:t>
      </w:r>
      <w:r>
        <w:t>4-2</w:t>
      </w:r>
      <w:r>
        <w:rPr>
          <w:spacing w:val="-10"/>
        </w:rPr>
        <w:t xml:space="preserve"> </w:t>
      </w:r>
      <w:r>
        <w:t>and</w:t>
      </w:r>
      <w:r>
        <w:rPr>
          <w:spacing w:val="-5"/>
        </w:rPr>
        <w:t xml:space="preserve"> </w:t>
      </w:r>
      <w:r>
        <w:t>6-3</w:t>
      </w:r>
      <w:r>
        <w:rPr>
          <w:spacing w:val="-10"/>
        </w:rPr>
        <w:t xml:space="preserve"> </w:t>
      </w:r>
      <w:r>
        <w:t>in</w:t>
      </w:r>
      <w:r>
        <w:rPr>
          <w:spacing w:val="-10"/>
        </w:rPr>
        <w:t xml:space="preserve"> </w:t>
      </w:r>
      <w:r>
        <w:t>WPS</w:t>
      </w:r>
      <w:r>
        <w:rPr>
          <w:spacing w:val="-9"/>
        </w:rPr>
        <w:t xml:space="preserve"> </w:t>
      </w:r>
      <w:r>
        <w:t>format,</w:t>
      </w:r>
      <w:r>
        <w:rPr>
          <w:spacing w:val="-6"/>
        </w:rPr>
        <w:t xml:space="preserve"> </w:t>
      </w:r>
      <w:r>
        <w:t>and</w:t>
      </w:r>
      <w:r>
        <w:rPr>
          <w:spacing w:val="-10"/>
        </w:rPr>
        <w:t xml:space="preserve"> </w:t>
      </w:r>
      <w:r>
        <w:t>the</w:t>
      </w:r>
      <w:r>
        <w:rPr>
          <w:spacing w:val="-8"/>
        </w:rPr>
        <w:t xml:space="preserve"> </w:t>
      </w:r>
      <w:r>
        <w:t>absence of monthly cost sheets. The issue of WPS formatted spreadsheets has been dealt with at section</w:t>
      </w:r>
      <w:r>
        <w:rPr>
          <w:spacing w:val="-4"/>
        </w:rPr>
        <w:t xml:space="preserve"> </w:t>
      </w:r>
      <w:hyperlink w:anchor="_bookmark430" w:history="1">
        <w:r>
          <w:t>III.E.2(b)i above</w:t>
        </w:r>
      </w:hyperlink>
      <w:r>
        <w:t xml:space="preserve"> and, as MOFCOM noted in its Final Determination, Casella Wines explained to MOFCOM during the investigation that it did not maintain monthly cost sheets and</w:t>
      </w:r>
      <w:r>
        <w:rPr>
          <w:spacing w:val="-14"/>
        </w:rPr>
        <w:t xml:space="preserve"> </w:t>
      </w:r>
      <w:r>
        <w:t>hence</w:t>
      </w:r>
      <w:r>
        <w:rPr>
          <w:spacing w:val="-6"/>
        </w:rPr>
        <w:t xml:space="preserve"> </w:t>
      </w:r>
      <w:r>
        <w:t>could not provide</w:t>
      </w:r>
      <w:r>
        <w:rPr>
          <w:spacing w:val="-3"/>
        </w:rPr>
        <w:t xml:space="preserve"> </w:t>
      </w:r>
      <w:r>
        <w:t>them.</w:t>
      </w:r>
      <w:r>
        <w:rPr>
          <w:spacing w:val="-14"/>
        </w:rPr>
        <w:t xml:space="preserve"> </w:t>
      </w:r>
      <w:hyperlink w:anchor="_bookmark494" w:history="1">
        <w:r>
          <w:rPr>
            <w:vertAlign w:val="superscript"/>
          </w:rPr>
          <w:t>404</w:t>
        </w:r>
      </w:hyperlink>
      <w:r>
        <w:rPr>
          <w:spacing w:val="-1"/>
        </w:rPr>
        <w:t xml:space="preserve"> </w:t>
      </w:r>
      <w:r>
        <w:t>MOFCOM</w:t>
      </w:r>
      <w:r>
        <w:rPr>
          <w:spacing w:val="-2"/>
        </w:rPr>
        <w:t xml:space="preserve"> </w:t>
      </w:r>
      <w:r>
        <w:t>rejected</w:t>
      </w:r>
      <w:r>
        <w:rPr>
          <w:spacing w:val="-4"/>
        </w:rPr>
        <w:t xml:space="preserve"> </w:t>
      </w:r>
      <w:r>
        <w:t>this</w:t>
      </w:r>
      <w:r>
        <w:rPr>
          <w:spacing w:val="-1"/>
        </w:rPr>
        <w:t xml:space="preserve"> </w:t>
      </w:r>
      <w:r>
        <w:t>explanation</w:t>
      </w:r>
      <w:r>
        <w:rPr>
          <w:spacing w:val="-4"/>
        </w:rPr>
        <w:t xml:space="preserve"> </w:t>
      </w:r>
      <w:r>
        <w:t>without</w:t>
      </w:r>
      <w:r>
        <w:rPr>
          <w:spacing w:val="-2"/>
        </w:rPr>
        <w:t xml:space="preserve"> </w:t>
      </w:r>
      <w:r>
        <w:t>explaining why it was not satisfied, nor requesting additional or supplemental evidence from Casella Wines. Given</w:t>
      </w:r>
      <w:r>
        <w:rPr>
          <w:spacing w:val="-1"/>
        </w:rPr>
        <w:t xml:space="preserve"> </w:t>
      </w:r>
      <w:r>
        <w:t>these are the only bases on which China claims MOFCOM found Casella Wines</w:t>
      </w:r>
    </w:p>
    <w:p w14:paraId="218E98DD" w14:textId="77777777" w:rsidR="00BD462C" w:rsidRDefault="00BD462C">
      <w:pPr>
        <w:pStyle w:val="BodyText"/>
        <w:rPr>
          <w:sz w:val="20"/>
        </w:rPr>
      </w:pPr>
    </w:p>
    <w:p w14:paraId="768B12AD" w14:textId="77777777" w:rsidR="00BD462C" w:rsidRDefault="00BD462C">
      <w:pPr>
        <w:pStyle w:val="BodyText"/>
        <w:rPr>
          <w:sz w:val="20"/>
        </w:rPr>
      </w:pPr>
    </w:p>
    <w:p w14:paraId="5058601F" w14:textId="5F598A0C" w:rsidR="00BD462C" w:rsidRDefault="00D70C7D">
      <w:pPr>
        <w:pStyle w:val="BodyText"/>
        <w:spacing w:before="3"/>
        <w:rPr>
          <w:sz w:val="14"/>
        </w:rPr>
      </w:pPr>
      <w:r>
        <w:rPr>
          <w:noProof/>
        </w:rPr>
        <mc:AlternateContent>
          <mc:Choice Requires="wps">
            <w:drawing>
              <wp:anchor distT="0" distB="0" distL="0" distR="0" simplePos="0" relativeHeight="487708160" behindDoc="1" locked="0" layoutInCell="1" allowOverlap="1" wp14:anchorId="36BFCD7C" wp14:editId="61B36D31">
                <wp:simplePos x="0" y="0"/>
                <wp:positionH relativeFrom="page">
                  <wp:posOffset>899160</wp:posOffset>
                </wp:positionH>
                <wp:positionV relativeFrom="paragraph">
                  <wp:posOffset>125730</wp:posOffset>
                </wp:positionV>
                <wp:extent cx="1828800" cy="8890"/>
                <wp:effectExtent l="0" t="0" r="0" b="0"/>
                <wp:wrapTopAndBottom/>
                <wp:docPr id="906" name="docshape2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2A5E4C" id="docshape263" o:spid="_x0000_s1026" alt="&quot;&quot;" style="position:absolute;margin-left:70.8pt;margin-top:9.9pt;width:2in;height:.7pt;z-index:-15608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" fillcolor="black" stroked="f">
                <w10:wrap type="topAndBottom" anchorx="page"/>
              </v:rect>
            </w:pict>
          </mc:Fallback>
        </mc:AlternateContent>
      </w:r>
    </w:p>
    <w:p w14:paraId="696C670A" w14:textId="77777777" w:rsidR="00BD462C" w:rsidRDefault="00033D0F">
      <w:pPr>
        <w:spacing w:before="107"/>
        <w:ind w:left="135" w:right="907"/>
        <w:jc w:val="both"/>
        <w:rPr>
          <w:sz w:val="18"/>
        </w:rPr>
      </w:pPr>
      <w:bookmarkStart w:id="574" w:name="_bookmark492"/>
      <w:bookmarkEnd w:id="574"/>
      <w:r>
        <w:rPr>
          <w:position w:val="5"/>
          <w:sz w:val="12"/>
        </w:rPr>
        <w:t>402</w:t>
      </w:r>
      <w:r>
        <w:rPr>
          <w:spacing w:val="40"/>
          <w:position w:val="5"/>
          <w:sz w:val="12"/>
        </w:rPr>
        <w:t xml:space="preserve"> </w:t>
      </w:r>
      <w:r>
        <w:rPr>
          <w:sz w:val="18"/>
        </w:rPr>
        <w:t>China's first written submission, para. 573. (Footnotes omitted) China also noted at footnote 689 of its first written submission that "an additional downward adjustment was made to that weighted average ex-factory domestic price to include other discounts" that it said were "not relevant" but did not provide further explanation.</w:t>
      </w:r>
    </w:p>
    <w:p w14:paraId="7EB9EC68" w14:textId="77777777" w:rsidR="00BD462C" w:rsidRDefault="00033D0F">
      <w:pPr>
        <w:spacing w:before="3"/>
        <w:ind w:left="135"/>
        <w:jc w:val="both"/>
        <w:rPr>
          <w:sz w:val="18"/>
        </w:rPr>
      </w:pPr>
      <w:bookmarkStart w:id="575" w:name="_bookmark493"/>
      <w:bookmarkEnd w:id="575"/>
      <w:r>
        <w:rPr>
          <w:position w:val="5"/>
          <w:sz w:val="12"/>
        </w:rPr>
        <w:t>403</w:t>
      </w:r>
      <w:r>
        <w:rPr>
          <w:spacing w:val="15"/>
          <w:position w:val="5"/>
          <w:sz w:val="12"/>
        </w:rPr>
        <w:t xml:space="preserve"> </w:t>
      </w:r>
      <w:r>
        <w:rPr>
          <w:sz w:val="18"/>
        </w:rPr>
        <w:t>See</w:t>
      </w:r>
      <w:r>
        <w:rPr>
          <w:spacing w:val="-3"/>
          <w:sz w:val="18"/>
        </w:rPr>
        <w:t xml:space="preserve"> </w:t>
      </w:r>
      <w:r>
        <w:rPr>
          <w:sz w:val="18"/>
        </w:rPr>
        <w:t>sections</w:t>
      </w:r>
      <w:r>
        <w:rPr>
          <w:spacing w:val="-3"/>
          <w:sz w:val="18"/>
        </w:rPr>
        <w:t xml:space="preserve"> </w:t>
      </w:r>
      <w:hyperlink w:anchor="_bookmark460" w:history="1">
        <w:r>
          <w:rPr>
            <w:sz w:val="18"/>
          </w:rPr>
          <w:t>III.E.5</w:t>
        </w:r>
      </w:hyperlink>
      <w:r>
        <w:rPr>
          <w:spacing w:val="-5"/>
          <w:sz w:val="18"/>
        </w:rPr>
        <w:t xml:space="preserve"> </w:t>
      </w:r>
      <w:r>
        <w:rPr>
          <w:sz w:val="18"/>
        </w:rPr>
        <w:t>above,</w:t>
      </w:r>
      <w:r>
        <w:rPr>
          <w:spacing w:val="-1"/>
          <w:sz w:val="18"/>
        </w:rPr>
        <w:t xml:space="preserve"> </w:t>
      </w:r>
      <w:r>
        <w:rPr>
          <w:sz w:val="18"/>
        </w:rPr>
        <w:t>and</w:t>
      </w:r>
      <w:r>
        <w:rPr>
          <w:spacing w:val="-4"/>
          <w:sz w:val="18"/>
        </w:rPr>
        <w:t xml:space="preserve"> </w:t>
      </w:r>
      <w:r>
        <w:rPr>
          <w:sz w:val="18"/>
        </w:rPr>
        <w:t>below</w:t>
      </w:r>
      <w:r>
        <w:rPr>
          <w:spacing w:val="-4"/>
          <w:sz w:val="18"/>
        </w:rPr>
        <w:t xml:space="preserve"> </w:t>
      </w:r>
      <w:r>
        <w:rPr>
          <w:sz w:val="18"/>
        </w:rPr>
        <w:t>section</w:t>
      </w:r>
      <w:r>
        <w:rPr>
          <w:spacing w:val="-4"/>
          <w:sz w:val="18"/>
        </w:rPr>
        <w:t xml:space="preserve"> </w:t>
      </w:r>
      <w:hyperlink w:anchor="_bookmark1525" w:history="1">
        <w:r>
          <w:rPr>
            <w:spacing w:val="-2"/>
            <w:sz w:val="18"/>
          </w:rPr>
          <w:t>VII.G.</w:t>
        </w:r>
      </w:hyperlink>
    </w:p>
    <w:p w14:paraId="3DAF42B3" w14:textId="77777777" w:rsidR="00BD462C" w:rsidRDefault="00033D0F">
      <w:pPr>
        <w:spacing w:before="1"/>
        <w:ind w:left="135"/>
        <w:jc w:val="both"/>
        <w:rPr>
          <w:sz w:val="18"/>
        </w:rPr>
      </w:pPr>
      <w:bookmarkStart w:id="576" w:name="_bookmark494"/>
      <w:bookmarkEnd w:id="576"/>
      <w:r>
        <w:rPr>
          <w:position w:val="5"/>
          <w:sz w:val="12"/>
        </w:rPr>
        <w:t>404</w:t>
      </w:r>
      <w:r>
        <w:rPr>
          <w:spacing w:val="12"/>
          <w:position w:val="5"/>
          <w:sz w:val="12"/>
        </w:rPr>
        <w:t xml:space="preserve"> </w:t>
      </w:r>
      <w:r>
        <w:rPr>
          <w:sz w:val="18"/>
        </w:rPr>
        <w:t>Anti-Dumping</w:t>
      </w:r>
      <w:r>
        <w:rPr>
          <w:spacing w:val="-6"/>
          <w:sz w:val="18"/>
        </w:rPr>
        <w:t xml:space="preserve"> </w:t>
      </w:r>
      <w:r>
        <w:rPr>
          <w:sz w:val="18"/>
        </w:rPr>
        <w:t>Final</w:t>
      </w:r>
      <w:r>
        <w:rPr>
          <w:spacing w:val="-1"/>
          <w:sz w:val="18"/>
        </w:rPr>
        <w:t xml:space="preserve"> </w:t>
      </w:r>
      <w:r>
        <w:rPr>
          <w:sz w:val="18"/>
        </w:rPr>
        <w:t>Determination</w:t>
      </w:r>
      <w:r>
        <w:rPr>
          <w:spacing w:val="-7"/>
          <w:sz w:val="18"/>
        </w:rPr>
        <w:t xml:space="preserve"> </w:t>
      </w:r>
      <w:r>
        <w:rPr>
          <w:sz w:val="18"/>
        </w:rPr>
        <w:t>(Exhibit</w:t>
      </w:r>
      <w:r>
        <w:rPr>
          <w:spacing w:val="-1"/>
          <w:sz w:val="18"/>
        </w:rPr>
        <w:t xml:space="preserve"> </w:t>
      </w:r>
      <w:r>
        <w:rPr>
          <w:sz w:val="18"/>
        </w:rPr>
        <w:t>AUS-2),</w:t>
      </w:r>
      <w:r>
        <w:rPr>
          <w:spacing w:val="-4"/>
          <w:sz w:val="18"/>
        </w:rPr>
        <w:t xml:space="preserve"> </w:t>
      </w:r>
      <w:r>
        <w:rPr>
          <w:sz w:val="18"/>
        </w:rPr>
        <w:t>p.</w:t>
      </w:r>
      <w:r>
        <w:rPr>
          <w:spacing w:val="-5"/>
          <w:sz w:val="18"/>
        </w:rPr>
        <w:t xml:space="preserve"> 81.</w:t>
      </w:r>
    </w:p>
    <w:p w14:paraId="079E9CAE" w14:textId="77777777" w:rsidR="00BD462C" w:rsidRDefault="00BD462C">
      <w:pPr>
        <w:jc w:val="both"/>
        <w:rPr>
          <w:sz w:val="18"/>
        </w:rPr>
        <w:sectPr w:rsidR="00BD462C">
          <w:pgSz w:w="11910" w:h="16840"/>
          <w:pgMar w:top="860" w:right="500" w:bottom="780" w:left="1280" w:header="566" w:footer="590" w:gutter="0"/>
          <w:cols w:space="720"/>
        </w:sectPr>
      </w:pPr>
    </w:p>
    <w:p w14:paraId="6AED75E8"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32D1360D"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1F135270"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434E51A1" w14:textId="77777777" w:rsidR="00BD462C" w:rsidRDefault="00033D0F">
      <w:pPr>
        <w:pStyle w:val="BodyText"/>
        <w:spacing w:before="102" w:line="357" w:lineRule="auto"/>
        <w:ind w:left="135" w:right="923"/>
      </w:pPr>
      <w:r>
        <w:t>to</w:t>
      </w:r>
      <w:r>
        <w:rPr>
          <w:spacing w:val="-6"/>
        </w:rPr>
        <w:t xml:space="preserve"> </w:t>
      </w:r>
      <w:r>
        <w:t>be uncooperative,</w:t>
      </w:r>
      <w:r>
        <w:rPr>
          <w:spacing w:val="-1"/>
        </w:rPr>
        <w:t xml:space="preserve"> </w:t>
      </w:r>
      <w:r>
        <w:t>such</w:t>
      </w:r>
      <w:r>
        <w:rPr>
          <w:spacing w:val="-5"/>
        </w:rPr>
        <w:t xml:space="preserve"> </w:t>
      </w:r>
      <w:r>
        <w:t>a finding</w:t>
      </w:r>
      <w:r>
        <w:rPr>
          <w:spacing w:val="-2"/>
        </w:rPr>
        <w:t xml:space="preserve"> </w:t>
      </w:r>
      <w:r>
        <w:t>is</w:t>
      </w:r>
      <w:r>
        <w:rPr>
          <w:spacing w:val="-2"/>
        </w:rPr>
        <w:t xml:space="preserve"> </w:t>
      </w:r>
      <w:r>
        <w:t>unreasonable.</w:t>
      </w:r>
      <w:r>
        <w:rPr>
          <w:spacing w:val="-2"/>
        </w:rPr>
        <w:t xml:space="preserve"> </w:t>
      </w:r>
      <w:r>
        <w:t>Australia</w:t>
      </w:r>
      <w:r>
        <w:rPr>
          <w:spacing w:val="-4"/>
        </w:rPr>
        <w:t xml:space="preserve"> </w:t>
      </w:r>
      <w:r>
        <w:t>recalls</w:t>
      </w:r>
      <w:r>
        <w:rPr>
          <w:spacing w:val="-2"/>
        </w:rPr>
        <w:t xml:space="preserve"> </w:t>
      </w:r>
      <w:r>
        <w:t>that</w:t>
      </w:r>
      <w:r>
        <w:rPr>
          <w:spacing w:val="-3"/>
        </w:rPr>
        <w:t xml:space="preserve"> </w:t>
      </w:r>
      <w:r>
        <w:t>the</w:t>
      </w:r>
      <w:r>
        <w:rPr>
          <w:spacing w:val="-4"/>
        </w:rPr>
        <w:t xml:space="preserve"> </w:t>
      </w:r>
      <w:r>
        <w:t>Appellate</w:t>
      </w:r>
      <w:r>
        <w:rPr>
          <w:spacing w:val="-3"/>
        </w:rPr>
        <w:t xml:space="preserve"> </w:t>
      </w:r>
      <w:r>
        <w:t xml:space="preserve">Body in </w:t>
      </w:r>
      <w:r>
        <w:rPr>
          <w:i/>
        </w:rPr>
        <w:t xml:space="preserve">US – Hot Rolled Steel </w:t>
      </w:r>
      <w:r>
        <w:t>observed that:</w:t>
      </w:r>
    </w:p>
    <w:p w14:paraId="2E9E5725" w14:textId="77777777" w:rsidR="00BD462C" w:rsidRDefault="00033D0F">
      <w:pPr>
        <w:spacing w:before="164" w:line="276" w:lineRule="auto"/>
        <w:ind w:left="985" w:right="912"/>
        <w:jc w:val="both"/>
      </w:pPr>
      <w:r>
        <w:t>[C]</w:t>
      </w:r>
      <w:proofErr w:type="spellStart"/>
      <w:r>
        <w:t>ooperation</w:t>
      </w:r>
      <w:proofErr w:type="spellEnd"/>
      <w:r>
        <w:t xml:space="preserve"> is a process, involving joint effort, whereby parties work together towards a common goal. In that respect, we note that parties may very well "cooperate" to a high degree, even though the requested information is, ultimately, not obtained. This is because the</w:t>
      </w:r>
      <w:r>
        <w:rPr>
          <w:spacing w:val="-8"/>
        </w:rPr>
        <w:t xml:space="preserve"> </w:t>
      </w:r>
      <w:r>
        <w:t>fact</w:t>
      </w:r>
      <w:r>
        <w:rPr>
          <w:spacing w:val="-11"/>
        </w:rPr>
        <w:t xml:space="preserve"> </w:t>
      </w:r>
      <w:r>
        <w:t>of</w:t>
      </w:r>
      <w:r>
        <w:rPr>
          <w:spacing w:val="-9"/>
        </w:rPr>
        <w:t xml:space="preserve"> </w:t>
      </w:r>
      <w:r>
        <w:t>"cooperating"</w:t>
      </w:r>
      <w:r>
        <w:rPr>
          <w:spacing w:val="-11"/>
        </w:rPr>
        <w:t xml:space="preserve"> </w:t>
      </w:r>
      <w:r>
        <w:t>is</w:t>
      </w:r>
      <w:r>
        <w:rPr>
          <w:spacing w:val="-9"/>
        </w:rPr>
        <w:t xml:space="preserve"> </w:t>
      </w:r>
      <w:r>
        <w:t>in</w:t>
      </w:r>
      <w:r>
        <w:rPr>
          <w:spacing w:val="-10"/>
        </w:rPr>
        <w:t xml:space="preserve"> </w:t>
      </w:r>
      <w:r>
        <w:t>itself</w:t>
      </w:r>
      <w:r>
        <w:rPr>
          <w:spacing w:val="-9"/>
        </w:rPr>
        <w:t xml:space="preserve"> </w:t>
      </w:r>
      <w:r>
        <w:t>not</w:t>
      </w:r>
      <w:r>
        <w:rPr>
          <w:spacing w:val="-11"/>
        </w:rPr>
        <w:t xml:space="preserve"> </w:t>
      </w:r>
      <w:r>
        <w:t>determinative</w:t>
      </w:r>
      <w:r>
        <w:rPr>
          <w:spacing w:val="-8"/>
        </w:rPr>
        <w:t xml:space="preserve"> </w:t>
      </w:r>
      <w:r>
        <w:t>of</w:t>
      </w:r>
      <w:r>
        <w:rPr>
          <w:spacing w:val="-9"/>
        </w:rPr>
        <w:t xml:space="preserve"> </w:t>
      </w:r>
      <w:r>
        <w:t>the</w:t>
      </w:r>
      <w:r>
        <w:rPr>
          <w:spacing w:val="-8"/>
        </w:rPr>
        <w:t xml:space="preserve"> </w:t>
      </w:r>
      <w:r>
        <w:t>end</w:t>
      </w:r>
      <w:r>
        <w:rPr>
          <w:spacing w:val="-10"/>
        </w:rPr>
        <w:t xml:space="preserve"> </w:t>
      </w:r>
      <w:r>
        <w:t>result</w:t>
      </w:r>
      <w:r>
        <w:rPr>
          <w:spacing w:val="-11"/>
        </w:rPr>
        <w:t xml:space="preserve"> </w:t>
      </w:r>
      <w:r>
        <w:t>of</w:t>
      </w:r>
      <w:r>
        <w:rPr>
          <w:spacing w:val="-9"/>
        </w:rPr>
        <w:t xml:space="preserve"> </w:t>
      </w:r>
      <w:r>
        <w:t>the</w:t>
      </w:r>
      <w:r>
        <w:rPr>
          <w:spacing w:val="-8"/>
        </w:rPr>
        <w:t xml:space="preserve"> </w:t>
      </w:r>
      <w:r>
        <w:t>cooperation.</w:t>
      </w:r>
      <w:r>
        <w:rPr>
          <w:spacing w:val="-30"/>
        </w:rPr>
        <w:t xml:space="preserve"> </w:t>
      </w:r>
      <w:hyperlink w:anchor="_bookmark495" w:history="1">
        <w:r>
          <w:rPr>
            <w:vertAlign w:val="superscript"/>
          </w:rPr>
          <w:t>405</w:t>
        </w:r>
      </w:hyperlink>
    </w:p>
    <w:p w14:paraId="0B81EF20" w14:textId="77777777" w:rsidR="00BD462C" w:rsidRDefault="00BD462C">
      <w:pPr>
        <w:pStyle w:val="BodyText"/>
        <w:spacing w:before="6"/>
        <w:rPr>
          <w:sz w:val="19"/>
        </w:rPr>
      </w:pPr>
    </w:p>
    <w:p w14:paraId="12BF5972" w14:textId="77777777" w:rsidR="00BD462C" w:rsidRDefault="00033D0F">
      <w:pPr>
        <w:pStyle w:val="BodyText"/>
        <w:ind w:left="135"/>
      </w:pPr>
      <w:r>
        <w:t>The</w:t>
      </w:r>
      <w:r>
        <w:rPr>
          <w:spacing w:val="-4"/>
        </w:rPr>
        <w:t xml:space="preserve"> </w:t>
      </w:r>
      <w:r>
        <w:t>Appellate</w:t>
      </w:r>
      <w:r>
        <w:rPr>
          <w:spacing w:val="-2"/>
        </w:rPr>
        <w:t xml:space="preserve"> </w:t>
      </w:r>
      <w:r>
        <w:t>Body</w:t>
      </w:r>
      <w:r>
        <w:rPr>
          <w:spacing w:val="-2"/>
        </w:rPr>
        <w:t xml:space="preserve"> </w:t>
      </w:r>
      <w:r>
        <w:t>also</w:t>
      </w:r>
      <w:r>
        <w:rPr>
          <w:spacing w:val="-5"/>
        </w:rPr>
        <w:t xml:space="preserve"> </w:t>
      </w:r>
      <w:r>
        <w:t>found</w:t>
      </w:r>
      <w:r>
        <w:rPr>
          <w:spacing w:val="-4"/>
        </w:rPr>
        <w:t xml:space="preserve"> that:</w:t>
      </w:r>
    </w:p>
    <w:p w14:paraId="51D73471" w14:textId="77777777" w:rsidR="00BD462C" w:rsidRDefault="00BD462C">
      <w:pPr>
        <w:pStyle w:val="BodyText"/>
        <w:spacing w:before="2"/>
        <w:rPr>
          <w:sz w:val="25"/>
        </w:rPr>
      </w:pPr>
    </w:p>
    <w:p w14:paraId="4803BE93" w14:textId="77777777" w:rsidR="00BD462C" w:rsidRDefault="00033D0F">
      <w:pPr>
        <w:spacing w:line="276" w:lineRule="auto"/>
        <w:ind w:left="985" w:right="915"/>
        <w:jc w:val="both"/>
      </w:pPr>
      <w:r>
        <w:t>In order to complete their investigations, investigating authorities are entitled to expect a very</w:t>
      </w:r>
      <w:r>
        <w:rPr>
          <w:spacing w:val="-13"/>
        </w:rPr>
        <w:t xml:space="preserve"> </w:t>
      </w:r>
      <w:r>
        <w:t>significant</w:t>
      </w:r>
      <w:r>
        <w:rPr>
          <w:spacing w:val="-12"/>
        </w:rPr>
        <w:t xml:space="preserve"> </w:t>
      </w:r>
      <w:r>
        <w:t>degree</w:t>
      </w:r>
      <w:r>
        <w:rPr>
          <w:spacing w:val="-13"/>
        </w:rPr>
        <w:t xml:space="preserve"> </w:t>
      </w:r>
      <w:r>
        <w:t>of</w:t>
      </w:r>
      <w:r>
        <w:rPr>
          <w:spacing w:val="-12"/>
        </w:rPr>
        <w:t xml:space="preserve"> </w:t>
      </w:r>
      <w:r>
        <w:t>effort</w:t>
      </w:r>
      <w:r>
        <w:rPr>
          <w:spacing w:val="-13"/>
        </w:rPr>
        <w:t xml:space="preserve"> </w:t>
      </w:r>
      <w:r>
        <w:t>–</w:t>
      </w:r>
      <w:r>
        <w:rPr>
          <w:spacing w:val="-12"/>
        </w:rPr>
        <w:t xml:space="preserve"> </w:t>
      </w:r>
      <w:r>
        <w:t>to</w:t>
      </w:r>
      <w:r>
        <w:rPr>
          <w:spacing w:val="-13"/>
        </w:rPr>
        <w:t xml:space="preserve"> </w:t>
      </w:r>
      <w:r>
        <w:t>the</w:t>
      </w:r>
      <w:r>
        <w:rPr>
          <w:spacing w:val="-12"/>
        </w:rPr>
        <w:t xml:space="preserve"> </w:t>
      </w:r>
      <w:r>
        <w:t>"best</w:t>
      </w:r>
      <w:r>
        <w:rPr>
          <w:spacing w:val="-12"/>
        </w:rPr>
        <w:t xml:space="preserve"> </w:t>
      </w:r>
      <w:r>
        <w:t>of</w:t>
      </w:r>
      <w:r>
        <w:rPr>
          <w:spacing w:val="-12"/>
        </w:rPr>
        <w:t xml:space="preserve"> </w:t>
      </w:r>
      <w:r>
        <w:t>their</w:t>
      </w:r>
      <w:r>
        <w:rPr>
          <w:spacing w:val="-12"/>
        </w:rPr>
        <w:t xml:space="preserve"> </w:t>
      </w:r>
      <w:r>
        <w:t>abilities"</w:t>
      </w:r>
      <w:r>
        <w:rPr>
          <w:spacing w:val="-13"/>
        </w:rPr>
        <w:t xml:space="preserve"> </w:t>
      </w:r>
      <w:r>
        <w:t>–</w:t>
      </w:r>
      <w:r>
        <w:rPr>
          <w:spacing w:val="-11"/>
        </w:rPr>
        <w:t xml:space="preserve"> </w:t>
      </w:r>
      <w:r>
        <w:t>from</w:t>
      </w:r>
      <w:r>
        <w:rPr>
          <w:spacing w:val="-12"/>
        </w:rPr>
        <w:t xml:space="preserve"> </w:t>
      </w:r>
      <w:r>
        <w:t>investigated</w:t>
      </w:r>
      <w:r>
        <w:rPr>
          <w:spacing w:val="-12"/>
        </w:rPr>
        <w:t xml:space="preserve"> </w:t>
      </w:r>
      <w:r>
        <w:t>exporters. At the same time, however, the investigating authorities are not entitled to insist upon absolute standards or impose unreasonable burdens upon those exporters.</w:t>
      </w:r>
      <w:r>
        <w:rPr>
          <w:spacing w:val="-20"/>
        </w:rPr>
        <w:t xml:space="preserve"> </w:t>
      </w:r>
      <w:hyperlink w:anchor="_bookmark496" w:history="1">
        <w:r>
          <w:rPr>
            <w:vertAlign w:val="superscript"/>
          </w:rPr>
          <w:t>406</w:t>
        </w:r>
      </w:hyperlink>
    </w:p>
    <w:p w14:paraId="52B2D9FA" w14:textId="77777777" w:rsidR="00BD462C" w:rsidRDefault="00BD462C">
      <w:pPr>
        <w:pStyle w:val="BodyText"/>
        <w:spacing w:before="9"/>
        <w:rPr>
          <w:sz w:val="15"/>
        </w:rPr>
      </w:pPr>
    </w:p>
    <w:p w14:paraId="32613E16" w14:textId="20810E76" w:rsidR="00BD462C" w:rsidRDefault="00033D0F" w:rsidP="00DA02D9">
      <w:pPr>
        <w:pStyle w:val="BodyText"/>
        <w:numPr>
          <w:ilvl w:val="0"/>
          <w:numId w:val="71"/>
        </w:numPr>
        <w:spacing w:before="56" w:line="360" w:lineRule="auto"/>
        <w:ind w:right="913"/>
        <w:jc w:val="both"/>
      </w:pPr>
      <w:r>
        <w:rPr>
          <w:position w:val="1"/>
        </w:rPr>
        <w:t xml:space="preserve">Australia submits that by failing to engage with Casella Wines' explanations with </w:t>
      </w:r>
      <w:r>
        <w:t>respect to these two narrow and discrete issues, MOFCOM did not display "joint effort" or "work together towards a common goal" as directed by the Appellate Body. In basing its decision on these two issues alone, MOFCOM was insisting upon absolute standards and imposing unreasonable burdens on Casella Wines. Accordingly, Australia submits that MOFCOM's obligation to exercise special circumspection and to engage in a comparative analysis</w:t>
      </w:r>
      <w:r>
        <w:rPr>
          <w:spacing w:val="-6"/>
        </w:rPr>
        <w:t xml:space="preserve"> </w:t>
      </w:r>
      <w:r>
        <w:t>of</w:t>
      </w:r>
      <w:r>
        <w:rPr>
          <w:spacing w:val="-9"/>
        </w:rPr>
        <w:t xml:space="preserve"> </w:t>
      </w:r>
      <w:r>
        <w:t>the</w:t>
      </w:r>
      <w:r>
        <w:rPr>
          <w:spacing w:val="-7"/>
        </w:rPr>
        <w:t xml:space="preserve"> </w:t>
      </w:r>
      <w:r>
        <w:t>replacement</w:t>
      </w:r>
      <w:r>
        <w:rPr>
          <w:spacing w:val="-7"/>
        </w:rPr>
        <w:t xml:space="preserve"> </w:t>
      </w:r>
      <w:r>
        <w:t>information</w:t>
      </w:r>
      <w:r>
        <w:rPr>
          <w:spacing w:val="-9"/>
        </w:rPr>
        <w:t xml:space="preserve"> </w:t>
      </w:r>
      <w:r>
        <w:t>was</w:t>
      </w:r>
      <w:r>
        <w:rPr>
          <w:spacing w:val="-6"/>
        </w:rPr>
        <w:t xml:space="preserve"> </w:t>
      </w:r>
      <w:r>
        <w:t>not</w:t>
      </w:r>
      <w:r>
        <w:rPr>
          <w:spacing w:val="-7"/>
        </w:rPr>
        <w:t xml:space="preserve"> </w:t>
      </w:r>
      <w:r>
        <w:t>lessened</w:t>
      </w:r>
      <w:r>
        <w:rPr>
          <w:spacing w:val="-9"/>
        </w:rPr>
        <w:t xml:space="preserve"> </w:t>
      </w:r>
      <w:r>
        <w:t>in</w:t>
      </w:r>
      <w:r>
        <w:rPr>
          <w:spacing w:val="-9"/>
        </w:rPr>
        <w:t xml:space="preserve"> </w:t>
      </w:r>
      <w:r>
        <w:t>any</w:t>
      </w:r>
      <w:r>
        <w:rPr>
          <w:spacing w:val="-6"/>
        </w:rPr>
        <w:t xml:space="preserve"> </w:t>
      </w:r>
      <w:r>
        <w:t>way</w:t>
      </w:r>
      <w:r>
        <w:rPr>
          <w:spacing w:val="-6"/>
        </w:rPr>
        <w:t xml:space="preserve"> </w:t>
      </w:r>
      <w:r>
        <w:t>by</w:t>
      </w:r>
      <w:r>
        <w:rPr>
          <w:spacing w:val="-6"/>
        </w:rPr>
        <w:t xml:space="preserve"> </w:t>
      </w:r>
      <w:r>
        <w:t>operation</w:t>
      </w:r>
      <w:r>
        <w:rPr>
          <w:spacing w:val="-9"/>
        </w:rPr>
        <w:t xml:space="preserve"> </w:t>
      </w:r>
      <w:r>
        <w:t>of</w:t>
      </w:r>
      <w:r>
        <w:rPr>
          <w:spacing w:val="-9"/>
        </w:rPr>
        <w:t xml:space="preserve"> </w:t>
      </w:r>
      <w:r>
        <w:t>the</w:t>
      </w:r>
      <w:r>
        <w:rPr>
          <w:spacing w:val="-3"/>
        </w:rPr>
        <w:t xml:space="preserve"> </w:t>
      </w:r>
      <w:r>
        <w:t>final sentence of paragraph 7 of Annex II.</w:t>
      </w:r>
    </w:p>
    <w:p w14:paraId="5797ABE8" w14:textId="77777777" w:rsidR="00BD462C" w:rsidRDefault="00033D0F" w:rsidP="00DA02D9">
      <w:pPr>
        <w:pStyle w:val="ListParagraph"/>
        <w:numPr>
          <w:ilvl w:val="1"/>
          <w:numId w:val="72"/>
        </w:numPr>
        <w:tabs>
          <w:tab w:val="left" w:pos="3539"/>
          <w:tab w:val="left" w:pos="3540"/>
        </w:tabs>
        <w:spacing w:before="152" w:line="362" w:lineRule="auto"/>
        <w:ind w:right="913"/>
        <w:jc w:val="both"/>
        <w:rPr>
          <w:sz w:val="24"/>
        </w:rPr>
      </w:pPr>
      <w:bookmarkStart w:id="577" w:name="(c)_It_was_irrational_for_MOFCOM_to_reje"/>
      <w:bookmarkEnd w:id="577"/>
      <w:r>
        <w:rPr>
          <w:sz w:val="24"/>
          <w:u w:val="single"/>
        </w:rPr>
        <w:t>It was irrational for MOFCOM to reject Treasury Wines'</w:t>
      </w:r>
      <w:r>
        <w:rPr>
          <w:sz w:val="24"/>
        </w:rPr>
        <w:t xml:space="preserve"> </w:t>
      </w:r>
      <w:r>
        <w:rPr>
          <w:sz w:val="24"/>
          <w:u w:val="single"/>
        </w:rPr>
        <w:t>data,</w:t>
      </w:r>
      <w:r>
        <w:rPr>
          <w:spacing w:val="-6"/>
          <w:sz w:val="24"/>
          <w:u w:val="single"/>
        </w:rPr>
        <w:t xml:space="preserve"> </w:t>
      </w:r>
      <w:r>
        <w:rPr>
          <w:sz w:val="24"/>
          <w:u w:val="single"/>
        </w:rPr>
        <w:t>but</w:t>
      </w:r>
      <w:r>
        <w:rPr>
          <w:spacing w:val="-8"/>
          <w:sz w:val="24"/>
          <w:u w:val="single"/>
        </w:rPr>
        <w:t xml:space="preserve"> </w:t>
      </w:r>
      <w:r>
        <w:rPr>
          <w:sz w:val="24"/>
          <w:u w:val="single"/>
        </w:rPr>
        <w:t>use</w:t>
      </w:r>
      <w:r>
        <w:rPr>
          <w:spacing w:val="-8"/>
          <w:sz w:val="24"/>
          <w:u w:val="single"/>
        </w:rPr>
        <w:t xml:space="preserve"> </w:t>
      </w:r>
      <w:r>
        <w:rPr>
          <w:sz w:val="24"/>
          <w:u w:val="single"/>
        </w:rPr>
        <w:t>it</w:t>
      </w:r>
      <w:r>
        <w:rPr>
          <w:spacing w:val="-8"/>
          <w:sz w:val="24"/>
          <w:u w:val="single"/>
        </w:rPr>
        <w:t xml:space="preserve"> </w:t>
      </w:r>
      <w:r>
        <w:rPr>
          <w:sz w:val="24"/>
          <w:u w:val="single"/>
        </w:rPr>
        <w:t>to</w:t>
      </w:r>
      <w:r>
        <w:rPr>
          <w:spacing w:val="-11"/>
          <w:sz w:val="24"/>
          <w:u w:val="single"/>
        </w:rPr>
        <w:t xml:space="preserve"> </w:t>
      </w:r>
      <w:r>
        <w:rPr>
          <w:sz w:val="24"/>
          <w:u w:val="single"/>
        </w:rPr>
        <w:t>calculate</w:t>
      </w:r>
      <w:r>
        <w:rPr>
          <w:spacing w:val="-8"/>
          <w:sz w:val="24"/>
          <w:u w:val="single"/>
        </w:rPr>
        <w:t xml:space="preserve"> </w:t>
      </w:r>
      <w:r>
        <w:rPr>
          <w:sz w:val="24"/>
          <w:u w:val="single"/>
        </w:rPr>
        <w:t>normal</w:t>
      </w:r>
      <w:r>
        <w:rPr>
          <w:spacing w:val="-6"/>
          <w:sz w:val="24"/>
          <w:u w:val="single"/>
        </w:rPr>
        <w:t xml:space="preserve"> </w:t>
      </w:r>
      <w:r>
        <w:rPr>
          <w:sz w:val="24"/>
          <w:u w:val="single"/>
        </w:rPr>
        <w:t>value</w:t>
      </w:r>
      <w:r>
        <w:rPr>
          <w:spacing w:val="-8"/>
          <w:sz w:val="24"/>
          <w:u w:val="single"/>
        </w:rPr>
        <w:t xml:space="preserve"> </w:t>
      </w:r>
      <w:r>
        <w:rPr>
          <w:sz w:val="24"/>
          <w:u w:val="single"/>
        </w:rPr>
        <w:t>for</w:t>
      </w:r>
      <w:r>
        <w:rPr>
          <w:spacing w:val="-11"/>
          <w:sz w:val="24"/>
          <w:u w:val="single"/>
        </w:rPr>
        <w:t xml:space="preserve"> </w:t>
      </w:r>
      <w:r>
        <w:rPr>
          <w:sz w:val="24"/>
          <w:u w:val="single"/>
        </w:rPr>
        <w:t>Casella</w:t>
      </w:r>
      <w:r>
        <w:rPr>
          <w:spacing w:val="-9"/>
          <w:sz w:val="24"/>
          <w:u w:val="single"/>
        </w:rPr>
        <w:t xml:space="preserve"> </w:t>
      </w:r>
      <w:r>
        <w:rPr>
          <w:sz w:val="24"/>
          <w:u w:val="single"/>
        </w:rPr>
        <w:t>Wines</w:t>
      </w:r>
    </w:p>
    <w:p w14:paraId="70AABBEB" w14:textId="77777777" w:rsidR="00BD462C" w:rsidRDefault="00BD462C">
      <w:pPr>
        <w:pStyle w:val="BodyText"/>
        <w:spacing w:before="7"/>
        <w:rPr>
          <w:sz w:val="8"/>
        </w:rPr>
      </w:pPr>
    </w:p>
    <w:p w14:paraId="60F82200" w14:textId="6518BFAB" w:rsidR="00BD462C" w:rsidRDefault="00033D0F" w:rsidP="00DA02D9">
      <w:pPr>
        <w:pStyle w:val="BodyText"/>
        <w:numPr>
          <w:ilvl w:val="0"/>
          <w:numId w:val="71"/>
        </w:numPr>
        <w:spacing w:before="56" w:line="360" w:lineRule="auto"/>
        <w:ind w:right="911"/>
        <w:jc w:val="both"/>
      </w:pPr>
      <w:r>
        <w:rPr>
          <w:position w:val="1"/>
        </w:rPr>
        <w:t xml:space="preserve">China sought to rebut Australia's claim, that MOFCOM had not checked the </w:t>
      </w:r>
      <w:r>
        <w:t xml:space="preserve">replacement information with other sources at its disposal, as required by paragraph 7 of Annex II, by suggesting that "using verified information relating to another investigated company already complies with </w:t>
      </w:r>
      <w:proofErr w:type="spellStart"/>
      <w:r>
        <w:t>th</w:t>
      </w:r>
      <w:proofErr w:type="spellEnd"/>
      <w:r>
        <w:t>[is] obligation."</w:t>
      </w:r>
      <w:hyperlink w:anchor="_bookmark497" w:history="1">
        <w:r>
          <w:rPr>
            <w:vertAlign w:val="superscript"/>
          </w:rPr>
          <w:t>407</w:t>
        </w:r>
      </w:hyperlink>
      <w:r>
        <w:t xml:space="preserve"> China also noted that one of Australia's hypotheses,</w:t>
      </w:r>
      <w:r>
        <w:rPr>
          <w:spacing w:val="40"/>
        </w:rPr>
        <w:t xml:space="preserve"> </w:t>
      </w:r>
      <w:r>
        <w:t>that</w:t>
      </w:r>
      <w:r>
        <w:rPr>
          <w:spacing w:val="40"/>
        </w:rPr>
        <w:t xml:space="preserve"> </w:t>
      </w:r>
      <w:r>
        <w:t>MOFCOM</w:t>
      </w:r>
      <w:r>
        <w:rPr>
          <w:spacing w:val="40"/>
        </w:rPr>
        <w:t xml:space="preserve"> </w:t>
      </w:r>
      <w:r>
        <w:t>might</w:t>
      </w:r>
      <w:r>
        <w:rPr>
          <w:spacing w:val="40"/>
        </w:rPr>
        <w:t xml:space="preserve"> </w:t>
      </w:r>
      <w:r>
        <w:t>have</w:t>
      </w:r>
      <w:r>
        <w:rPr>
          <w:spacing w:val="40"/>
        </w:rPr>
        <w:t xml:space="preserve"> </w:t>
      </w:r>
      <w:r>
        <w:t>reintroduced</w:t>
      </w:r>
      <w:r>
        <w:rPr>
          <w:spacing w:val="40"/>
        </w:rPr>
        <w:t xml:space="preserve"> </w:t>
      </w:r>
      <w:r>
        <w:t>Casella</w:t>
      </w:r>
      <w:r>
        <w:rPr>
          <w:spacing w:val="40"/>
        </w:rPr>
        <w:t xml:space="preserve"> </w:t>
      </w:r>
      <w:r>
        <w:t>Wines'</w:t>
      </w:r>
      <w:r>
        <w:rPr>
          <w:spacing w:val="40"/>
        </w:rPr>
        <w:t xml:space="preserve"> </w:t>
      </w:r>
      <w:r>
        <w:t>rejected</w:t>
      </w:r>
      <w:r>
        <w:rPr>
          <w:spacing w:val="40"/>
        </w:rPr>
        <w:t xml:space="preserve"> </w:t>
      </w:r>
      <w:r>
        <w:t>data</w:t>
      </w:r>
      <w:r>
        <w:rPr>
          <w:spacing w:val="40"/>
        </w:rPr>
        <w:t xml:space="preserve"> </w:t>
      </w:r>
      <w:r>
        <w:t>via Article 6.8, was not possible. This was because:</w:t>
      </w:r>
    </w:p>
    <w:p w14:paraId="2A3D4F1D" w14:textId="77777777" w:rsidR="00BD462C" w:rsidRDefault="00033D0F">
      <w:pPr>
        <w:spacing w:before="153" w:line="278" w:lineRule="auto"/>
        <w:ind w:left="985" w:right="917"/>
        <w:jc w:val="both"/>
      </w:pPr>
      <w:r>
        <w:t>That would essentially mean reintroducing information that was first found to be deficient pursuant</w:t>
      </w:r>
      <w:r>
        <w:rPr>
          <w:spacing w:val="57"/>
        </w:rPr>
        <w:t xml:space="preserve"> </w:t>
      </w:r>
      <w:r>
        <w:t>to</w:t>
      </w:r>
      <w:r>
        <w:rPr>
          <w:spacing w:val="59"/>
        </w:rPr>
        <w:t xml:space="preserve"> </w:t>
      </w:r>
      <w:r>
        <w:t>Article</w:t>
      </w:r>
      <w:r>
        <w:rPr>
          <w:spacing w:val="58"/>
        </w:rPr>
        <w:t xml:space="preserve"> </w:t>
      </w:r>
      <w:r>
        <w:t>6.8</w:t>
      </w:r>
      <w:r>
        <w:rPr>
          <w:spacing w:val="55"/>
        </w:rPr>
        <w:t xml:space="preserve"> </w:t>
      </w:r>
      <w:r>
        <w:t>of</w:t>
      </w:r>
      <w:r>
        <w:rPr>
          <w:spacing w:val="65"/>
        </w:rPr>
        <w:t xml:space="preserve"> </w:t>
      </w:r>
      <w:r>
        <w:t>the</w:t>
      </w:r>
      <w:r>
        <w:rPr>
          <w:spacing w:val="57"/>
        </w:rPr>
        <w:t xml:space="preserve"> </w:t>
      </w:r>
      <w:r>
        <w:t>Anti-Dumping</w:t>
      </w:r>
      <w:r>
        <w:rPr>
          <w:spacing w:val="59"/>
        </w:rPr>
        <w:t xml:space="preserve"> </w:t>
      </w:r>
      <w:r>
        <w:t>Agreement,</w:t>
      </w:r>
      <w:r>
        <w:rPr>
          <w:spacing w:val="59"/>
        </w:rPr>
        <w:t xml:space="preserve"> </w:t>
      </w:r>
      <w:r>
        <w:t>back</w:t>
      </w:r>
      <w:r>
        <w:rPr>
          <w:spacing w:val="57"/>
        </w:rPr>
        <w:t xml:space="preserve"> </w:t>
      </w:r>
      <w:r>
        <w:t>into</w:t>
      </w:r>
      <w:r>
        <w:rPr>
          <w:spacing w:val="60"/>
        </w:rPr>
        <w:t xml:space="preserve"> </w:t>
      </w:r>
      <w:r>
        <w:t>play,</w:t>
      </w:r>
      <w:r>
        <w:rPr>
          <w:spacing w:val="59"/>
        </w:rPr>
        <w:t xml:space="preserve"> </w:t>
      </w:r>
      <w:r>
        <w:t>through</w:t>
      </w:r>
      <w:r>
        <w:rPr>
          <w:spacing w:val="60"/>
        </w:rPr>
        <w:t xml:space="preserve"> </w:t>
      </w:r>
      <w:r>
        <w:rPr>
          <w:spacing w:val="-5"/>
        </w:rPr>
        <w:t>the</w:t>
      </w:r>
    </w:p>
    <w:p w14:paraId="0D10E1B5" w14:textId="178348C6" w:rsidR="00BD462C" w:rsidRDefault="00D70C7D">
      <w:pPr>
        <w:pStyle w:val="BodyText"/>
        <w:spacing w:before="3"/>
        <w:rPr>
          <w:sz w:val="15"/>
        </w:rPr>
      </w:pPr>
      <w:r>
        <w:rPr>
          <w:noProof/>
        </w:rPr>
        <mc:AlternateContent>
          <mc:Choice Requires="wps">
            <w:drawing>
              <wp:anchor distT="0" distB="0" distL="0" distR="0" simplePos="0" relativeHeight="487708672" behindDoc="1" locked="0" layoutInCell="1" allowOverlap="1" wp14:anchorId="093E9731" wp14:editId="37024E3D">
                <wp:simplePos x="0" y="0"/>
                <wp:positionH relativeFrom="page">
                  <wp:posOffset>899160</wp:posOffset>
                </wp:positionH>
                <wp:positionV relativeFrom="paragraph">
                  <wp:posOffset>133350</wp:posOffset>
                </wp:positionV>
                <wp:extent cx="1828800" cy="8890"/>
                <wp:effectExtent l="0" t="0" r="0" b="0"/>
                <wp:wrapTopAndBottom/>
                <wp:docPr id="904" name="docshape2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475996" id="docshape264" o:spid="_x0000_s1026" alt="&quot;&quot;" style="position:absolute;margin-left:70.8pt;margin-top:10.5pt;width:2in;height:.7pt;z-index:-15607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" fillcolor="black" stroked="f">
                <w10:wrap type="topAndBottom" anchorx="page"/>
              </v:rect>
            </w:pict>
          </mc:Fallback>
        </mc:AlternateContent>
      </w:r>
    </w:p>
    <w:p w14:paraId="5BAF8BE2" w14:textId="77777777" w:rsidR="00BD462C" w:rsidRDefault="00033D0F">
      <w:pPr>
        <w:spacing w:before="112"/>
        <w:ind w:left="135"/>
        <w:rPr>
          <w:sz w:val="18"/>
        </w:rPr>
      </w:pPr>
      <w:bookmarkStart w:id="578" w:name="_bookmark495"/>
      <w:bookmarkEnd w:id="578"/>
      <w:r>
        <w:rPr>
          <w:position w:val="5"/>
          <w:sz w:val="12"/>
        </w:rPr>
        <w:t>405</w:t>
      </w:r>
      <w:r>
        <w:rPr>
          <w:spacing w:val="15"/>
          <w:position w:val="5"/>
          <w:sz w:val="12"/>
        </w:rPr>
        <w:t xml:space="preserve"> </w:t>
      </w:r>
      <w:r>
        <w:rPr>
          <w:sz w:val="18"/>
        </w:rPr>
        <w:t>Appellate</w:t>
      </w:r>
      <w:r>
        <w:rPr>
          <w:spacing w:val="-8"/>
          <w:sz w:val="18"/>
        </w:rPr>
        <w:t xml:space="preserve"> </w:t>
      </w:r>
      <w:r>
        <w:rPr>
          <w:sz w:val="18"/>
        </w:rPr>
        <w:t>Body</w:t>
      </w:r>
      <w:r>
        <w:rPr>
          <w:spacing w:val="-5"/>
          <w:sz w:val="18"/>
        </w:rPr>
        <w:t xml:space="preserve"> </w:t>
      </w:r>
      <w:r>
        <w:rPr>
          <w:sz w:val="18"/>
        </w:rPr>
        <w:t>Report,</w:t>
      </w:r>
      <w:r>
        <w:rPr>
          <w:spacing w:val="-2"/>
          <w:sz w:val="18"/>
        </w:rPr>
        <w:t xml:space="preserve"> </w:t>
      </w:r>
      <w:r>
        <w:rPr>
          <w:i/>
          <w:sz w:val="18"/>
        </w:rPr>
        <w:t>US –</w:t>
      </w:r>
      <w:r>
        <w:rPr>
          <w:i/>
          <w:spacing w:val="-8"/>
          <w:sz w:val="18"/>
        </w:rPr>
        <w:t xml:space="preserve"> </w:t>
      </w:r>
      <w:r>
        <w:rPr>
          <w:i/>
          <w:sz w:val="18"/>
        </w:rPr>
        <w:t>Hot</w:t>
      </w:r>
      <w:r>
        <w:rPr>
          <w:i/>
          <w:spacing w:val="-2"/>
          <w:sz w:val="18"/>
        </w:rPr>
        <w:t xml:space="preserve"> </w:t>
      </w:r>
      <w:r>
        <w:rPr>
          <w:i/>
          <w:sz w:val="18"/>
        </w:rPr>
        <w:t>Rolled</w:t>
      </w:r>
      <w:r>
        <w:rPr>
          <w:i/>
          <w:spacing w:val="-3"/>
          <w:sz w:val="18"/>
        </w:rPr>
        <w:t xml:space="preserve"> </w:t>
      </w:r>
      <w:r>
        <w:rPr>
          <w:i/>
          <w:sz w:val="18"/>
        </w:rPr>
        <w:t>Steel</w:t>
      </w:r>
      <w:r>
        <w:rPr>
          <w:sz w:val="18"/>
        </w:rPr>
        <w:t>,</w:t>
      </w:r>
      <w:r>
        <w:rPr>
          <w:spacing w:val="4"/>
          <w:sz w:val="18"/>
        </w:rPr>
        <w:t xml:space="preserve"> </w:t>
      </w:r>
      <w:r>
        <w:rPr>
          <w:sz w:val="18"/>
        </w:rPr>
        <w:t>para.</w:t>
      </w:r>
      <w:r>
        <w:rPr>
          <w:spacing w:val="-3"/>
          <w:sz w:val="18"/>
        </w:rPr>
        <w:t xml:space="preserve"> </w:t>
      </w:r>
      <w:r>
        <w:rPr>
          <w:spacing w:val="-5"/>
          <w:sz w:val="18"/>
        </w:rPr>
        <w:t>99.</w:t>
      </w:r>
    </w:p>
    <w:p w14:paraId="7896409A" w14:textId="77777777" w:rsidR="00BD462C" w:rsidRDefault="00033D0F">
      <w:pPr>
        <w:spacing w:before="1"/>
        <w:ind w:left="135"/>
        <w:rPr>
          <w:sz w:val="18"/>
        </w:rPr>
      </w:pPr>
      <w:bookmarkStart w:id="579" w:name="_bookmark496"/>
      <w:bookmarkEnd w:id="579"/>
      <w:r>
        <w:rPr>
          <w:position w:val="5"/>
          <w:sz w:val="12"/>
        </w:rPr>
        <w:t>406</w:t>
      </w:r>
      <w:r>
        <w:rPr>
          <w:spacing w:val="15"/>
          <w:position w:val="5"/>
          <w:sz w:val="12"/>
        </w:rPr>
        <w:t xml:space="preserve"> </w:t>
      </w:r>
      <w:r>
        <w:rPr>
          <w:sz w:val="18"/>
        </w:rPr>
        <w:t>Appellate</w:t>
      </w:r>
      <w:r>
        <w:rPr>
          <w:spacing w:val="-8"/>
          <w:sz w:val="18"/>
        </w:rPr>
        <w:t xml:space="preserve"> </w:t>
      </w:r>
      <w:r>
        <w:rPr>
          <w:sz w:val="18"/>
        </w:rPr>
        <w:t>Body</w:t>
      </w:r>
      <w:r>
        <w:rPr>
          <w:spacing w:val="-5"/>
          <w:sz w:val="18"/>
        </w:rPr>
        <w:t xml:space="preserve"> </w:t>
      </w:r>
      <w:r>
        <w:rPr>
          <w:sz w:val="18"/>
        </w:rPr>
        <w:t>Report,</w:t>
      </w:r>
      <w:r>
        <w:rPr>
          <w:spacing w:val="-2"/>
          <w:sz w:val="18"/>
        </w:rPr>
        <w:t xml:space="preserve"> </w:t>
      </w:r>
      <w:r>
        <w:rPr>
          <w:i/>
          <w:sz w:val="18"/>
        </w:rPr>
        <w:t>US –</w:t>
      </w:r>
      <w:r>
        <w:rPr>
          <w:i/>
          <w:spacing w:val="-8"/>
          <w:sz w:val="18"/>
        </w:rPr>
        <w:t xml:space="preserve"> </w:t>
      </w:r>
      <w:r>
        <w:rPr>
          <w:i/>
          <w:sz w:val="18"/>
        </w:rPr>
        <w:t>Hot</w:t>
      </w:r>
      <w:r>
        <w:rPr>
          <w:i/>
          <w:spacing w:val="-2"/>
          <w:sz w:val="18"/>
        </w:rPr>
        <w:t xml:space="preserve"> </w:t>
      </w:r>
      <w:r>
        <w:rPr>
          <w:i/>
          <w:sz w:val="18"/>
        </w:rPr>
        <w:t>Rolled</w:t>
      </w:r>
      <w:r>
        <w:rPr>
          <w:i/>
          <w:spacing w:val="-3"/>
          <w:sz w:val="18"/>
        </w:rPr>
        <w:t xml:space="preserve"> </w:t>
      </w:r>
      <w:r>
        <w:rPr>
          <w:i/>
          <w:sz w:val="18"/>
        </w:rPr>
        <w:t>Steel</w:t>
      </w:r>
      <w:r>
        <w:rPr>
          <w:sz w:val="18"/>
        </w:rPr>
        <w:t>,</w:t>
      </w:r>
      <w:r>
        <w:rPr>
          <w:spacing w:val="4"/>
          <w:sz w:val="18"/>
        </w:rPr>
        <w:t xml:space="preserve"> </w:t>
      </w:r>
      <w:r>
        <w:rPr>
          <w:sz w:val="18"/>
        </w:rPr>
        <w:t>para.</w:t>
      </w:r>
      <w:r>
        <w:rPr>
          <w:spacing w:val="-3"/>
          <w:sz w:val="18"/>
        </w:rPr>
        <w:t xml:space="preserve"> </w:t>
      </w:r>
      <w:r>
        <w:rPr>
          <w:spacing w:val="-4"/>
          <w:sz w:val="18"/>
        </w:rPr>
        <w:t>102.</w:t>
      </w:r>
    </w:p>
    <w:p w14:paraId="37395C8A" w14:textId="77777777" w:rsidR="00BD462C" w:rsidRDefault="00033D0F">
      <w:pPr>
        <w:spacing w:before="1"/>
        <w:ind w:left="135"/>
        <w:rPr>
          <w:sz w:val="18"/>
        </w:rPr>
      </w:pPr>
      <w:bookmarkStart w:id="580" w:name="_bookmark497"/>
      <w:bookmarkEnd w:id="580"/>
      <w:r>
        <w:rPr>
          <w:position w:val="5"/>
          <w:sz w:val="12"/>
        </w:rPr>
        <w:t>407</w:t>
      </w:r>
      <w:r>
        <w:rPr>
          <w:spacing w:val="13"/>
          <w:position w:val="5"/>
          <w:sz w:val="12"/>
        </w:rPr>
        <w:t xml:space="preserve"> </w:t>
      </w:r>
      <w:r>
        <w:rPr>
          <w:sz w:val="18"/>
        </w:rPr>
        <w:t>China</w:t>
      </w:r>
      <w:r>
        <w:rPr>
          <w:spacing w:val="-7"/>
          <w:sz w:val="18"/>
        </w:rPr>
        <w:t xml:space="preserve"> </w:t>
      </w:r>
      <w:r>
        <w:rPr>
          <w:sz w:val="18"/>
        </w:rPr>
        <w:t>first written</w:t>
      </w:r>
      <w:r>
        <w:rPr>
          <w:spacing w:val="-6"/>
          <w:sz w:val="18"/>
        </w:rPr>
        <w:t xml:space="preserve"> </w:t>
      </w:r>
      <w:r>
        <w:rPr>
          <w:sz w:val="18"/>
        </w:rPr>
        <w:t>submission,</w:t>
      </w:r>
      <w:r>
        <w:rPr>
          <w:spacing w:val="-3"/>
          <w:sz w:val="18"/>
        </w:rPr>
        <w:t xml:space="preserve"> </w:t>
      </w:r>
      <w:r>
        <w:rPr>
          <w:sz w:val="18"/>
        </w:rPr>
        <w:t xml:space="preserve">para. </w:t>
      </w:r>
      <w:r>
        <w:rPr>
          <w:spacing w:val="-4"/>
          <w:sz w:val="18"/>
        </w:rPr>
        <w:t>677.</w:t>
      </w:r>
    </w:p>
    <w:p w14:paraId="2E9FF911" w14:textId="77777777" w:rsidR="00BD462C" w:rsidRDefault="00BD462C">
      <w:pPr>
        <w:rPr>
          <w:sz w:val="18"/>
        </w:rPr>
        <w:sectPr w:rsidR="00BD462C">
          <w:pgSz w:w="11910" w:h="16840"/>
          <w:pgMar w:top="860" w:right="500" w:bottom="780" w:left="1280" w:header="566" w:footer="590" w:gutter="0"/>
          <w:cols w:space="720"/>
        </w:sectPr>
      </w:pPr>
    </w:p>
    <w:p w14:paraId="4A22E056"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370510F2"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5867D540"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226CE114" w14:textId="77777777" w:rsidR="00BD462C" w:rsidRDefault="00033D0F">
      <w:pPr>
        <w:spacing w:before="102" w:line="273" w:lineRule="auto"/>
        <w:ind w:left="985" w:right="923"/>
      </w:pPr>
      <w:r>
        <w:t>consideration</w:t>
      </w:r>
      <w:r>
        <w:rPr>
          <w:spacing w:val="80"/>
        </w:rPr>
        <w:t xml:space="preserve"> </w:t>
      </w:r>
      <w:r>
        <w:t>of</w:t>
      </w:r>
      <w:r>
        <w:rPr>
          <w:spacing w:val="80"/>
        </w:rPr>
        <w:t xml:space="preserve"> </w:t>
      </w:r>
      <w:r>
        <w:t>this</w:t>
      </w:r>
      <w:r>
        <w:rPr>
          <w:spacing w:val="80"/>
        </w:rPr>
        <w:t xml:space="preserve"> </w:t>
      </w:r>
      <w:r>
        <w:t>information</w:t>
      </w:r>
      <w:r>
        <w:rPr>
          <w:spacing w:val="80"/>
        </w:rPr>
        <w:t xml:space="preserve"> </w:t>
      </w:r>
      <w:r>
        <w:t>to</w:t>
      </w:r>
      <w:r>
        <w:rPr>
          <w:spacing w:val="80"/>
        </w:rPr>
        <w:t xml:space="preserve"> </w:t>
      </w:r>
      <w:r>
        <w:t>be</w:t>
      </w:r>
      <w:r>
        <w:rPr>
          <w:spacing w:val="80"/>
        </w:rPr>
        <w:t xml:space="preserve"> </w:t>
      </w:r>
      <w:r>
        <w:t>the</w:t>
      </w:r>
      <w:r>
        <w:rPr>
          <w:spacing w:val="80"/>
        </w:rPr>
        <w:t xml:space="preserve"> </w:t>
      </w:r>
      <w:r>
        <w:t>best</w:t>
      </w:r>
      <w:r>
        <w:rPr>
          <w:spacing w:val="80"/>
        </w:rPr>
        <w:t xml:space="preserve"> </w:t>
      </w:r>
      <w:r>
        <w:t>information</w:t>
      </w:r>
      <w:r>
        <w:rPr>
          <w:spacing w:val="80"/>
        </w:rPr>
        <w:t xml:space="preserve"> </w:t>
      </w:r>
      <w:r>
        <w:t>available</w:t>
      </w:r>
      <w:r>
        <w:rPr>
          <w:spacing w:val="80"/>
        </w:rPr>
        <w:t xml:space="preserve"> </w:t>
      </w:r>
      <w:r>
        <w:t>pursuant</w:t>
      </w:r>
      <w:r>
        <w:rPr>
          <w:spacing w:val="80"/>
        </w:rPr>
        <w:t xml:space="preserve"> </w:t>
      </w:r>
      <w:r>
        <w:t>to Paragraph 7 of Annex II of the Anti-Dumping Agreement.</w:t>
      </w:r>
      <w:r>
        <w:rPr>
          <w:spacing w:val="-22"/>
        </w:rPr>
        <w:t xml:space="preserve"> </w:t>
      </w:r>
      <w:hyperlink w:anchor="_bookmark498" w:history="1">
        <w:r>
          <w:rPr>
            <w:vertAlign w:val="superscript"/>
          </w:rPr>
          <w:t>408</w:t>
        </w:r>
      </w:hyperlink>
    </w:p>
    <w:p w14:paraId="46037429" w14:textId="77777777" w:rsidR="00BD462C" w:rsidRDefault="00BD462C">
      <w:pPr>
        <w:pStyle w:val="BodyText"/>
        <w:spacing w:before="8"/>
        <w:rPr>
          <w:sz w:val="15"/>
        </w:rPr>
      </w:pPr>
    </w:p>
    <w:p w14:paraId="0D8C3612" w14:textId="4F51B432" w:rsidR="00BD462C" w:rsidRDefault="00033D0F" w:rsidP="00DA02D9">
      <w:pPr>
        <w:pStyle w:val="BodyText"/>
        <w:numPr>
          <w:ilvl w:val="0"/>
          <w:numId w:val="71"/>
        </w:numPr>
        <w:spacing w:before="56" w:line="357" w:lineRule="auto"/>
        <w:ind w:right="923" w:hanging="638"/>
      </w:pPr>
      <w:r>
        <w:rPr>
          <w:position w:val="1"/>
        </w:rPr>
        <w:t>China concluded that "[c]</w:t>
      </w:r>
      <w:proofErr w:type="spellStart"/>
      <w:r>
        <w:rPr>
          <w:position w:val="1"/>
        </w:rPr>
        <w:t>learly</w:t>
      </w:r>
      <w:proofErr w:type="spellEnd"/>
      <w:r>
        <w:rPr>
          <w:position w:val="1"/>
        </w:rPr>
        <w:t>, that is not the purpose of [p]</w:t>
      </w:r>
      <w:proofErr w:type="spellStart"/>
      <w:r>
        <w:rPr>
          <w:position w:val="1"/>
        </w:rPr>
        <w:t>aragraph</w:t>
      </w:r>
      <w:proofErr w:type="spellEnd"/>
      <w:r>
        <w:rPr>
          <w:position w:val="1"/>
        </w:rPr>
        <w:t xml:space="preserve"> 7 of Annex II </w:t>
      </w:r>
      <w:r>
        <w:t>of the Anti-Dumping Agreement."</w:t>
      </w:r>
      <w:hyperlink w:anchor="_bookmark499" w:history="1">
        <w:r>
          <w:rPr>
            <w:vertAlign w:val="superscript"/>
          </w:rPr>
          <w:t>409</w:t>
        </w:r>
      </w:hyperlink>
    </w:p>
    <w:p w14:paraId="5702F69A" w14:textId="77777777" w:rsidR="00BD462C" w:rsidRDefault="00BD462C">
      <w:pPr>
        <w:pStyle w:val="BodyText"/>
        <w:spacing w:before="2"/>
        <w:rPr>
          <w:sz w:val="9"/>
        </w:rPr>
      </w:pPr>
    </w:p>
    <w:p w14:paraId="27BB5647" w14:textId="5A60C23E" w:rsidR="00BD462C" w:rsidRDefault="00D70C7D" w:rsidP="00DA02D9">
      <w:pPr>
        <w:pStyle w:val="BodyText"/>
        <w:numPr>
          <w:ilvl w:val="0"/>
          <w:numId w:val="71"/>
        </w:numPr>
        <w:spacing w:before="56" w:line="357" w:lineRule="auto"/>
        <w:ind w:right="917" w:hanging="638"/>
        <w:jc w:val="both"/>
      </w:pPr>
      <w:r>
        <w:rPr>
          <w:noProof/>
        </w:rPr>
        <mc:AlternateContent>
          <mc:Choice Requires="wps">
            <w:drawing>
              <wp:anchor distT="0" distB="0" distL="114300" distR="114300" simplePos="0" relativeHeight="479010816" behindDoc="1" locked="0" layoutInCell="1" allowOverlap="1" wp14:anchorId="67E5490D" wp14:editId="37BC34BD">
                <wp:simplePos x="0" y="0"/>
                <wp:positionH relativeFrom="page">
                  <wp:posOffset>5241908</wp:posOffset>
                </wp:positionH>
                <wp:positionV relativeFrom="paragraph">
                  <wp:posOffset>868452</wp:posOffset>
                </wp:positionV>
                <wp:extent cx="1402362" cy="203835"/>
                <wp:effectExtent l="0" t="0" r="7620" b="5715"/>
                <wp:wrapNone/>
                <wp:docPr id="902" name="docshape2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2362" cy="2038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F21EF2" id="docshape265" o:spid="_x0000_s1026" alt="&quot;&quot;" style="position:absolute;margin-left:412.75pt;margin-top:68.4pt;width:110.4pt;height:16.05pt;z-index:-24305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" fillcolor="black" stroked="f">
                <w10:wrap anchorx="page"/>
              </v:rect>
            </w:pict>
          </mc:Fallback>
        </mc:AlternateContent>
      </w:r>
      <w:r w:rsidR="00033D0F">
        <w:rPr>
          <w:position w:val="1"/>
        </w:rPr>
        <w:t xml:space="preserve">Curiously though, the same problem did not deter MOFCOM from deciding to use </w:t>
      </w:r>
      <w:r w:rsidR="00033D0F">
        <w:t>Treasury</w:t>
      </w:r>
      <w:r w:rsidR="00033D0F">
        <w:rPr>
          <w:spacing w:val="-10"/>
        </w:rPr>
        <w:t xml:space="preserve"> </w:t>
      </w:r>
      <w:r w:rsidR="00033D0F">
        <w:t>Wines'</w:t>
      </w:r>
      <w:r w:rsidR="00033D0F">
        <w:rPr>
          <w:spacing w:val="-12"/>
        </w:rPr>
        <w:t xml:space="preserve"> </w:t>
      </w:r>
      <w:r w:rsidR="00033D0F">
        <w:t>data</w:t>
      </w:r>
      <w:r w:rsidR="00033D0F">
        <w:rPr>
          <w:spacing w:val="-11"/>
        </w:rPr>
        <w:t xml:space="preserve"> </w:t>
      </w:r>
      <w:r w:rsidR="00033D0F">
        <w:t>as</w:t>
      </w:r>
      <w:r w:rsidR="00033D0F">
        <w:rPr>
          <w:spacing w:val="-9"/>
        </w:rPr>
        <w:t xml:space="preserve"> </w:t>
      </w:r>
      <w:r w:rsidR="00033D0F">
        <w:t>the</w:t>
      </w:r>
      <w:r w:rsidR="00033D0F">
        <w:rPr>
          <w:spacing w:val="-6"/>
        </w:rPr>
        <w:t xml:space="preserve"> </w:t>
      </w:r>
      <w:r w:rsidR="00033D0F">
        <w:t>basis</w:t>
      </w:r>
      <w:r w:rsidR="00033D0F">
        <w:rPr>
          <w:spacing w:val="-9"/>
        </w:rPr>
        <w:t xml:space="preserve"> </w:t>
      </w:r>
      <w:r w:rsidR="00033D0F">
        <w:t>to</w:t>
      </w:r>
      <w:r w:rsidR="00033D0F">
        <w:rPr>
          <w:spacing w:val="-9"/>
        </w:rPr>
        <w:t xml:space="preserve"> </w:t>
      </w:r>
      <w:r w:rsidR="00033D0F">
        <w:t>calculate</w:t>
      </w:r>
      <w:r w:rsidR="00033D0F">
        <w:rPr>
          <w:spacing w:val="-11"/>
        </w:rPr>
        <w:t xml:space="preserve"> </w:t>
      </w:r>
      <w:r w:rsidR="00033D0F">
        <w:t>a</w:t>
      </w:r>
      <w:r w:rsidR="00033D0F">
        <w:rPr>
          <w:spacing w:val="-11"/>
        </w:rPr>
        <w:t xml:space="preserve"> </w:t>
      </w:r>
      <w:r w:rsidR="00033D0F">
        <w:t>weighted</w:t>
      </w:r>
      <w:r w:rsidR="00033D0F">
        <w:rPr>
          <w:spacing w:val="-13"/>
        </w:rPr>
        <w:t xml:space="preserve"> </w:t>
      </w:r>
      <w:r w:rsidR="00033D0F">
        <w:t>average</w:t>
      </w:r>
      <w:r w:rsidR="00033D0F">
        <w:rPr>
          <w:spacing w:val="-11"/>
        </w:rPr>
        <w:t xml:space="preserve"> </w:t>
      </w:r>
      <w:r w:rsidR="00033D0F">
        <w:t>sales</w:t>
      </w:r>
      <w:r w:rsidR="00033D0F">
        <w:rPr>
          <w:spacing w:val="-9"/>
        </w:rPr>
        <w:t xml:space="preserve"> </w:t>
      </w:r>
      <w:r w:rsidR="00033D0F">
        <w:t>price.</w:t>
      </w:r>
      <w:r w:rsidR="00033D0F">
        <w:rPr>
          <w:spacing w:val="-10"/>
        </w:rPr>
        <w:t xml:space="preserve"> </w:t>
      </w:r>
      <w:r w:rsidR="00033D0F">
        <w:t>China</w:t>
      </w:r>
      <w:r w:rsidR="00033D0F">
        <w:rPr>
          <w:spacing w:val="-11"/>
        </w:rPr>
        <w:t xml:space="preserve"> </w:t>
      </w:r>
      <w:r w:rsidR="00033D0F">
        <w:t>confirmed that it used facts available in relation to the production costs and expenses as reported by Treasury Wines. MOFCOM selected as a model,</w:t>
      </w:r>
    </w:p>
    <w:p w14:paraId="58E99D96" w14:textId="1FA42FF2" w:rsidR="00BD462C" w:rsidRDefault="00D70C7D">
      <w:pPr>
        <w:pStyle w:val="BodyText"/>
        <w:spacing w:before="7" w:line="360" w:lineRule="auto"/>
        <w:ind w:left="135" w:right="913" w:firstLine="8097"/>
        <w:jc w:val="both"/>
      </w:pPr>
      <w:r>
        <w:rPr>
          <w:noProof/>
        </w:rPr>
        <mc:AlternateContent>
          <mc:Choice Requires="wps">
            <w:drawing>
              <wp:anchor distT="0" distB="0" distL="114300" distR="114300" simplePos="0" relativeHeight="15849984" behindDoc="0" locked="0" layoutInCell="1" allowOverlap="1" wp14:anchorId="4652CB00" wp14:editId="497CF431">
                <wp:simplePos x="0" y="0"/>
                <wp:positionH relativeFrom="page">
                  <wp:posOffset>886460</wp:posOffset>
                </wp:positionH>
                <wp:positionV relativeFrom="paragraph">
                  <wp:posOffset>5715</wp:posOffset>
                </wp:positionV>
                <wp:extent cx="5140325" cy="203835"/>
                <wp:effectExtent l="0" t="0" r="0" b="0"/>
                <wp:wrapNone/>
                <wp:docPr id="900" name="docshape2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0325" cy="2038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C11A0B" id="docshape266" o:spid="_x0000_s1026" alt="&quot;&quot;" style="position:absolute;margin-left:69.8pt;margin-top:.45pt;width:404.75pt;height:16.05pt;z-index:1584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" fillcolor="black" stroked="f">
                <w10:wrap anchorx="page"/>
              </v:rect>
            </w:pict>
          </mc:Fallback>
        </mc:AlternateContent>
      </w:r>
      <w:r w:rsidR="00033D0F">
        <w:t>.</w:t>
      </w:r>
      <w:r w:rsidR="00033D0F">
        <w:rPr>
          <w:spacing w:val="-14"/>
        </w:rPr>
        <w:t xml:space="preserve"> </w:t>
      </w:r>
      <w:r w:rsidR="00033D0F">
        <w:t>Australia has explained above why the use of this data to calculate the normal value for Treasury was inappropriate.</w:t>
      </w:r>
      <w:r w:rsidR="00033D0F">
        <w:rPr>
          <w:spacing w:val="-14"/>
        </w:rPr>
        <w:t xml:space="preserve"> </w:t>
      </w:r>
      <w:hyperlink w:anchor="_bookmark500" w:history="1">
        <w:r w:rsidR="00033D0F">
          <w:rPr>
            <w:vertAlign w:val="superscript"/>
          </w:rPr>
          <w:t>410</w:t>
        </w:r>
      </w:hyperlink>
      <w:r w:rsidR="00033D0F">
        <w:rPr>
          <w:spacing w:val="-12"/>
        </w:rPr>
        <w:t xml:space="preserve"> </w:t>
      </w:r>
      <w:r w:rsidR="00033D0F">
        <w:t>If China's arguments regarding the validity of MOFCOM's determination of normal value for Treasury Wines were to be accepted, it would be inappropriate to use a weighted average of Treasury Wines' data, which MOFCOM incorrectly determined to be unverifiable, to calculate the normal value for Casella Wines. While China claims that some irrelevant discount was applied,</w:t>
      </w:r>
      <w:hyperlink w:anchor="_bookmark501" w:history="1">
        <w:r w:rsidR="00033D0F">
          <w:rPr>
            <w:vertAlign w:val="superscript"/>
          </w:rPr>
          <w:t>411</w:t>
        </w:r>
      </w:hyperlink>
      <w:r w:rsidR="00033D0F">
        <w:t xml:space="preserve"> MOFCOM did not explain which data it used as a replacement,</w:t>
      </w:r>
      <w:r w:rsidR="00033D0F">
        <w:rPr>
          <w:spacing w:val="-7"/>
        </w:rPr>
        <w:t xml:space="preserve"> </w:t>
      </w:r>
      <w:r w:rsidR="00033D0F">
        <w:t>what</w:t>
      </w:r>
      <w:r w:rsidR="00033D0F">
        <w:rPr>
          <w:spacing w:val="-9"/>
        </w:rPr>
        <w:t xml:space="preserve"> </w:t>
      </w:r>
      <w:r w:rsidR="00033D0F">
        <w:t>adjustments</w:t>
      </w:r>
      <w:r w:rsidR="00033D0F">
        <w:rPr>
          <w:spacing w:val="-8"/>
        </w:rPr>
        <w:t xml:space="preserve"> </w:t>
      </w:r>
      <w:r w:rsidR="00033D0F">
        <w:t>were</w:t>
      </w:r>
      <w:r w:rsidR="00033D0F">
        <w:rPr>
          <w:spacing w:val="-9"/>
        </w:rPr>
        <w:t xml:space="preserve"> </w:t>
      </w:r>
      <w:r w:rsidR="00033D0F">
        <w:t>made</w:t>
      </w:r>
      <w:r w:rsidR="00033D0F">
        <w:rPr>
          <w:spacing w:val="-9"/>
        </w:rPr>
        <w:t xml:space="preserve"> </w:t>
      </w:r>
      <w:r w:rsidR="00033D0F">
        <w:t>(if</w:t>
      </w:r>
      <w:r w:rsidR="00033D0F">
        <w:rPr>
          <w:spacing w:val="-11"/>
        </w:rPr>
        <w:t xml:space="preserve"> </w:t>
      </w:r>
      <w:r w:rsidR="00033D0F">
        <w:t>any)</w:t>
      </w:r>
      <w:r w:rsidR="00033D0F">
        <w:rPr>
          <w:spacing w:val="-11"/>
        </w:rPr>
        <w:t xml:space="preserve"> </w:t>
      </w:r>
      <w:r w:rsidR="00033D0F">
        <w:t>and</w:t>
      </w:r>
      <w:r w:rsidR="00033D0F">
        <w:rPr>
          <w:spacing w:val="-11"/>
        </w:rPr>
        <w:t xml:space="preserve"> </w:t>
      </w:r>
      <w:r w:rsidR="00033D0F">
        <w:t>the</w:t>
      </w:r>
      <w:r w:rsidR="00033D0F">
        <w:rPr>
          <w:spacing w:val="-9"/>
        </w:rPr>
        <w:t xml:space="preserve"> </w:t>
      </w:r>
      <w:r w:rsidR="00033D0F">
        <w:t>reasoning</w:t>
      </w:r>
      <w:r w:rsidR="00033D0F">
        <w:rPr>
          <w:spacing w:val="-8"/>
        </w:rPr>
        <w:t xml:space="preserve"> </w:t>
      </w:r>
      <w:r w:rsidR="00033D0F">
        <w:t>behind</w:t>
      </w:r>
      <w:r w:rsidR="00033D0F">
        <w:rPr>
          <w:spacing w:val="-11"/>
        </w:rPr>
        <w:t xml:space="preserve"> </w:t>
      </w:r>
      <w:r w:rsidR="00033D0F">
        <w:t>these</w:t>
      </w:r>
      <w:r w:rsidR="00033D0F">
        <w:rPr>
          <w:spacing w:val="-9"/>
        </w:rPr>
        <w:t xml:space="preserve"> </w:t>
      </w:r>
      <w:r w:rsidR="00033D0F">
        <w:t>decisions. Accordingly, China's explanations in</w:t>
      </w:r>
      <w:r w:rsidR="00033D0F">
        <w:rPr>
          <w:spacing w:val="-2"/>
        </w:rPr>
        <w:t xml:space="preserve"> </w:t>
      </w:r>
      <w:r w:rsidR="00033D0F">
        <w:t>this regard</w:t>
      </w:r>
      <w:r w:rsidR="00033D0F">
        <w:rPr>
          <w:spacing w:val="-2"/>
        </w:rPr>
        <w:t xml:space="preserve"> </w:t>
      </w:r>
      <w:r w:rsidR="00033D0F">
        <w:t xml:space="preserve">are </w:t>
      </w:r>
      <w:r w:rsidR="00033D0F">
        <w:rPr>
          <w:i/>
        </w:rPr>
        <w:t xml:space="preserve">ex post facto </w:t>
      </w:r>
      <w:proofErr w:type="spellStart"/>
      <w:r w:rsidR="00033D0F">
        <w:t>rationalisations</w:t>
      </w:r>
      <w:proofErr w:type="spellEnd"/>
      <w:r w:rsidR="00033D0F">
        <w:t xml:space="preserve"> and</w:t>
      </w:r>
      <w:r w:rsidR="00033D0F">
        <w:rPr>
          <w:spacing w:val="-2"/>
        </w:rPr>
        <w:t xml:space="preserve"> </w:t>
      </w:r>
      <w:r w:rsidR="00033D0F">
        <w:t>there is simply no evidence on the record of MOFCOM having undertaken the necessary process of reasoning and evaluation in arriving at this position. This is clearly not the approach of an unbiased</w:t>
      </w:r>
      <w:r w:rsidR="00033D0F">
        <w:rPr>
          <w:spacing w:val="-14"/>
        </w:rPr>
        <w:t xml:space="preserve"> </w:t>
      </w:r>
      <w:r w:rsidR="00033D0F">
        <w:t>and</w:t>
      </w:r>
      <w:r w:rsidR="00033D0F">
        <w:rPr>
          <w:spacing w:val="-14"/>
        </w:rPr>
        <w:t xml:space="preserve"> </w:t>
      </w:r>
      <w:r w:rsidR="00033D0F">
        <w:t>objective</w:t>
      </w:r>
      <w:r w:rsidR="00033D0F">
        <w:rPr>
          <w:spacing w:val="-13"/>
        </w:rPr>
        <w:t xml:space="preserve"> </w:t>
      </w:r>
      <w:r w:rsidR="00033D0F">
        <w:t>investigating</w:t>
      </w:r>
      <w:r w:rsidR="00033D0F">
        <w:rPr>
          <w:spacing w:val="-14"/>
        </w:rPr>
        <w:t xml:space="preserve"> </w:t>
      </w:r>
      <w:r w:rsidR="00033D0F">
        <w:t>authority,</w:t>
      </w:r>
      <w:r w:rsidR="00033D0F">
        <w:rPr>
          <w:spacing w:val="-13"/>
        </w:rPr>
        <w:t xml:space="preserve"> </w:t>
      </w:r>
      <w:r w:rsidR="00033D0F">
        <w:t>nor</w:t>
      </w:r>
      <w:r w:rsidR="00033D0F">
        <w:rPr>
          <w:spacing w:val="-14"/>
        </w:rPr>
        <w:t xml:space="preserve"> </w:t>
      </w:r>
      <w:r w:rsidR="00033D0F">
        <w:t>the</w:t>
      </w:r>
      <w:r w:rsidR="00033D0F">
        <w:rPr>
          <w:spacing w:val="-13"/>
        </w:rPr>
        <w:t xml:space="preserve"> </w:t>
      </w:r>
      <w:r w:rsidR="00033D0F">
        <w:t>outcome</w:t>
      </w:r>
      <w:r w:rsidR="00033D0F">
        <w:rPr>
          <w:spacing w:val="-14"/>
        </w:rPr>
        <w:t xml:space="preserve"> </w:t>
      </w:r>
      <w:r w:rsidR="00033D0F">
        <w:t>such</w:t>
      </w:r>
      <w:r w:rsidR="00033D0F">
        <w:rPr>
          <w:spacing w:val="-13"/>
        </w:rPr>
        <w:t xml:space="preserve"> </w:t>
      </w:r>
      <w:r w:rsidR="00033D0F">
        <w:t>an</w:t>
      </w:r>
      <w:r w:rsidR="00033D0F">
        <w:rPr>
          <w:spacing w:val="-14"/>
        </w:rPr>
        <w:t xml:space="preserve"> </w:t>
      </w:r>
      <w:r w:rsidR="00033D0F">
        <w:t>authority</w:t>
      </w:r>
      <w:r w:rsidR="00033D0F">
        <w:rPr>
          <w:spacing w:val="-11"/>
        </w:rPr>
        <w:t xml:space="preserve"> </w:t>
      </w:r>
      <w:r w:rsidR="00033D0F">
        <w:t>would</w:t>
      </w:r>
      <w:r w:rsidR="00033D0F">
        <w:rPr>
          <w:spacing w:val="-14"/>
        </w:rPr>
        <w:t xml:space="preserve"> </w:t>
      </w:r>
      <w:r w:rsidR="00033D0F">
        <w:t xml:space="preserve">have </w:t>
      </w:r>
      <w:r w:rsidR="00033D0F">
        <w:rPr>
          <w:spacing w:val="-2"/>
        </w:rPr>
        <w:t>reached.</w:t>
      </w:r>
    </w:p>
    <w:p w14:paraId="154F5B63" w14:textId="77777777" w:rsidR="00BD462C" w:rsidRDefault="00033D0F" w:rsidP="00DA02D9">
      <w:pPr>
        <w:pStyle w:val="ListParagraph"/>
        <w:numPr>
          <w:ilvl w:val="1"/>
          <w:numId w:val="72"/>
        </w:numPr>
        <w:tabs>
          <w:tab w:val="left" w:pos="3539"/>
          <w:tab w:val="left" w:pos="3540"/>
        </w:tabs>
        <w:spacing w:before="157" w:line="362" w:lineRule="auto"/>
        <w:ind w:right="913"/>
        <w:jc w:val="both"/>
        <w:rPr>
          <w:sz w:val="24"/>
        </w:rPr>
      </w:pPr>
      <w:bookmarkStart w:id="581" w:name="(d)_MOFCOM_failed_to_engage_in_any_compa"/>
      <w:bookmarkEnd w:id="581"/>
      <w:r>
        <w:rPr>
          <w:sz w:val="24"/>
          <w:u w:val="single"/>
        </w:rPr>
        <w:t>MOFCOM failed to engage in any comparative evaluation</w:t>
      </w:r>
      <w:r>
        <w:rPr>
          <w:sz w:val="24"/>
        </w:rPr>
        <w:t xml:space="preserve"> </w:t>
      </w:r>
      <w:r>
        <w:rPr>
          <w:sz w:val="24"/>
          <w:u w:val="single"/>
        </w:rPr>
        <w:t>in selecting a reasonable replacement</w:t>
      </w:r>
    </w:p>
    <w:p w14:paraId="20719AEA" w14:textId="77777777" w:rsidR="00BD462C" w:rsidRDefault="00BD462C">
      <w:pPr>
        <w:pStyle w:val="BodyText"/>
        <w:spacing w:before="8"/>
        <w:rPr>
          <w:sz w:val="8"/>
        </w:rPr>
      </w:pPr>
    </w:p>
    <w:p w14:paraId="4150D475" w14:textId="6009F22F" w:rsidR="00BD462C" w:rsidRDefault="00033D0F" w:rsidP="00DA02D9">
      <w:pPr>
        <w:pStyle w:val="BodyText"/>
        <w:numPr>
          <w:ilvl w:val="0"/>
          <w:numId w:val="71"/>
        </w:numPr>
        <w:spacing w:before="56" w:line="360" w:lineRule="auto"/>
        <w:ind w:right="916" w:hanging="496"/>
        <w:jc w:val="both"/>
      </w:pPr>
      <w:r>
        <w:rPr>
          <w:position w:val="1"/>
        </w:rPr>
        <w:t>MOFCOM's</w:t>
      </w:r>
      <w:r>
        <w:rPr>
          <w:spacing w:val="-10"/>
          <w:position w:val="1"/>
        </w:rPr>
        <w:t xml:space="preserve"> </w:t>
      </w:r>
      <w:r>
        <w:rPr>
          <w:position w:val="1"/>
        </w:rPr>
        <w:t>decision</w:t>
      </w:r>
      <w:r>
        <w:rPr>
          <w:spacing w:val="-14"/>
          <w:position w:val="1"/>
        </w:rPr>
        <w:t xml:space="preserve"> </w:t>
      </w:r>
      <w:r>
        <w:rPr>
          <w:position w:val="1"/>
        </w:rPr>
        <w:t>to</w:t>
      </w:r>
      <w:r>
        <w:rPr>
          <w:spacing w:val="-14"/>
          <w:position w:val="1"/>
        </w:rPr>
        <w:t xml:space="preserve"> </w:t>
      </w:r>
      <w:r>
        <w:rPr>
          <w:position w:val="1"/>
        </w:rPr>
        <w:t>use</w:t>
      </w:r>
      <w:r>
        <w:rPr>
          <w:spacing w:val="-11"/>
          <w:position w:val="1"/>
        </w:rPr>
        <w:t xml:space="preserve"> </w:t>
      </w:r>
      <w:r>
        <w:rPr>
          <w:position w:val="1"/>
        </w:rPr>
        <w:t>a</w:t>
      </w:r>
      <w:r>
        <w:rPr>
          <w:spacing w:val="-12"/>
          <w:position w:val="1"/>
        </w:rPr>
        <w:t xml:space="preserve"> </w:t>
      </w:r>
      <w:r>
        <w:rPr>
          <w:position w:val="1"/>
        </w:rPr>
        <w:t>weighted</w:t>
      </w:r>
      <w:r>
        <w:rPr>
          <w:spacing w:val="-14"/>
          <w:position w:val="1"/>
        </w:rPr>
        <w:t xml:space="preserve"> </w:t>
      </w:r>
      <w:r>
        <w:rPr>
          <w:position w:val="1"/>
        </w:rPr>
        <w:t>average</w:t>
      </w:r>
      <w:r>
        <w:rPr>
          <w:spacing w:val="-12"/>
          <w:position w:val="1"/>
        </w:rPr>
        <w:t xml:space="preserve"> </w:t>
      </w:r>
      <w:r>
        <w:rPr>
          <w:position w:val="1"/>
        </w:rPr>
        <w:t>of</w:t>
      </w:r>
      <w:r>
        <w:rPr>
          <w:spacing w:val="-14"/>
          <w:position w:val="1"/>
        </w:rPr>
        <w:t xml:space="preserve"> </w:t>
      </w:r>
      <w:r>
        <w:rPr>
          <w:position w:val="1"/>
        </w:rPr>
        <w:t>Treasury</w:t>
      </w:r>
      <w:r>
        <w:rPr>
          <w:spacing w:val="-11"/>
          <w:position w:val="1"/>
        </w:rPr>
        <w:t xml:space="preserve"> </w:t>
      </w:r>
      <w:r>
        <w:rPr>
          <w:position w:val="1"/>
        </w:rPr>
        <w:t>Wines'</w:t>
      </w:r>
      <w:r>
        <w:rPr>
          <w:spacing w:val="-13"/>
          <w:position w:val="1"/>
        </w:rPr>
        <w:t xml:space="preserve"> </w:t>
      </w:r>
      <w:r>
        <w:rPr>
          <w:position w:val="1"/>
        </w:rPr>
        <w:t>cost</w:t>
      </w:r>
      <w:r>
        <w:rPr>
          <w:spacing w:val="-11"/>
          <w:position w:val="1"/>
        </w:rPr>
        <w:t xml:space="preserve"> </w:t>
      </w:r>
      <w:r>
        <w:rPr>
          <w:position w:val="1"/>
        </w:rPr>
        <w:t>data</w:t>
      </w:r>
      <w:r>
        <w:rPr>
          <w:spacing w:val="-12"/>
          <w:position w:val="1"/>
        </w:rPr>
        <w:t xml:space="preserve"> </w:t>
      </w:r>
      <w:r>
        <w:rPr>
          <w:position w:val="1"/>
        </w:rPr>
        <w:t>is</w:t>
      </w:r>
      <w:r>
        <w:rPr>
          <w:spacing w:val="-10"/>
          <w:position w:val="1"/>
        </w:rPr>
        <w:t xml:space="preserve"> </w:t>
      </w:r>
      <w:r>
        <w:rPr>
          <w:position w:val="1"/>
        </w:rPr>
        <w:t xml:space="preserve">further </w:t>
      </w:r>
      <w:r>
        <w:t>flawed</w:t>
      </w:r>
      <w:r>
        <w:rPr>
          <w:spacing w:val="-9"/>
        </w:rPr>
        <w:t xml:space="preserve"> </w:t>
      </w:r>
      <w:r>
        <w:t>by</w:t>
      </w:r>
      <w:r>
        <w:rPr>
          <w:spacing w:val="-6"/>
        </w:rPr>
        <w:t xml:space="preserve"> </w:t>
      </w:r>
      <w:r>
        <w:t>MOFCOM's</w:t>
      </w:r>
      <w:r>
        <w:rPr>
          <w:spacing w:val="-6"/>
        </w:rPr>
        <w:t xml:space="preserve"> </w:t>
      </w:r>
      <w:r>
        <w:t>failure</w:t>
      </w:r>
      <w:r>
        <w:rPr>
          <w:spacing w:val="-7"/>
        </w:rPr>
        <w:t xml:space="preserve"> </w:t>
      </w:r>
      <w:r>
        <w:t>to</w:t>
      </w:r>
      <w:r>
        <w:rPr>
          <w:spacing w:val="-10"/>
        </w:rPr>
        <w:t xml:space="preserve"> </w:t>
      </w:r>
      <w:r>
        <w:t>engage</w:t>
      </w:r>
      <w:r>
        <w:rPr>
          <w:spacing w:val="-7"/>
        </w:rPr>
        <w:t xml:space="preserve"> </w:t>
      </w:r>
      <w:r>
        <w:t>in</w:t>
      </w:r>
      <w:r>
        <w:rPr>
          <w:spacing w:val="-9"/>
        </w:rPr>
        <w:t xml:space="preserve"> </w:t>
      </w:r>
      <w:r>
        <w:t>any</w:t>
      </w:r>
      <w:r>
        <w:rPr>
          <w:spacing w:val="-6"/>
        </w:rPr>
        <w:t xml:space="preserve"> </w:t>
      </w:r>
      <w:r>
        <w:t>comparative</w:t>
      </w:r>
      <w:r>
        <w:rPr>
          <w:spacing w:val="-7"/>
        </w:rPr>
        <w:t xml:space="preserve"> </w:t>
      </w:r>
      <w:r>
        <w:t>evaluation</w:t>
      </w:r>
      <w:r>
        <w:rPr>
          <w:spacing w:val="-9"/>
        </w:rPr>
        <w:t xml:space="preserve"> </w:t>
      </w:r>
      <w:r>
        <w:t>in</w:t>
      </w:r>
      <w:r>
        <w:rPr>
          <w:spacing w:val="-9"/>
        </w:rPr>
        <w:t xml:space="preserve"> </w:t>
      </w:r>
      <w:r>
        <w:t>selecting</w:t>
      </w:r>
      <w:r>
        <w:rPr>
          <w:spacing w:val="-6"/>
        </w:rPr>
        <w:t xml:space="preserve"> </w:t>
      </w:r>
      <w:r>
        <w:t>this</w:t>
      </w:r>
      <w:r>
        <w:rPr>
          <w:spacing w:val="-6"/>
        </w:rPr>
        <w:t xml:space="preserve"> </w:t>
      </w:r>
      <w:r>
        <w:t>data</w:t>
      </w:r>
      <w:r>
        <w:rPr>
          <w:spacing w:val="-8"/>
        </w:rPr>
        <w:t xml:space="preserve"> </w:t>
      </w:r>
      <w:r>
        <w:t>as required by paragraph 7 of Annex II. In its first written submission, China concedes that MOFCOM</w:t>
      </w:r>
      <w:r>
        <w:rPr>
          <w:spacing w:val="15"/>
        </w:rPr>
        <w:t xml:space="preserve"> </w:t>
      </w:r>
      <w:r>
        <w:t>did not</w:t>
      </w:r>
      <w:r>
        <w:rPr>
          <w:spacing w:val="15"/>
        </w:rPr>
        <w:t xml:space="preserve"> </w:t>
      </w:r>
      <w:r>
        <w:t>engage</w:t>
      </w:r>
      <w:r>
        <w:rPr>
          <w:spacing w:val="14"/>
        </w:rPr>
        <w:t xml:space="preserve"> </w:t>
      </w:r>
      <w:r>
        <w:t>in such an evaluation noting</w:t>
      </w:r>
      <w:r>
        <w:rPr>
          <w:spacing w:val="16"/>
        </w:rPr>
        <w:t xml:space="preserve"> </w:t>
      </w:r>
      <w:r>
        <w:t>that,</w:t>
      </w:r>
      <w:r>
        <w:rPr>
          <w:spacing w:val="16"/>
        </w:rPr>
        <w:t xml:space="preserve"> </w:t>
      </w:r>
      <w:r>
        <w:t>given "the</w:t>
      </w:r>
      <w:r>
        <w:rPr>
          <w:spacing w:val="14"/>
        </w:rPr>
        <w:t xml:space="preserve"> </w:t>
      </w:r>
      <w:r>
        <w:t>information</w:t>
      </w:r>
      <w:r>
        <w:rPr>
          <w:spacing w:val="17"/>
        </w:rPr>
        <w:t xml:space="preserve"> </w:t>
      </w:r>
      <w:r>
        <w:t>used as</w:t>
      </w:r>
    </w:p>
    <w:p w14:paraId="54F350FD" w14:textId="578B8E23" w:rsidR="00BD462C" w:rsidRDefault="00D70C7D">
      <w:pPr>
        <w:pStyle w:val="BodyText"/>
        <w:spacing w:before="3"/>
        <w:rPr>
          <w:sz w:val="29"/>
        </w:rPr>
      </w:pPr>
      <w:r>
        <w:rPr>
          <w:noProof/>
        </w:rPr>
        <mc:AlternateContent>
          <mc:Choice Requires="wps">
            <w:drawing>
              <wp:anchor distT="0" distB="0" distL="0" distR="0" simplePos="0" relativeHeight="487709184" behindDoc="1" locked="0" layoutInCell="1" allowOverlap="1" wp14:anchorId="5C8509D7" wp14:editId="37275145">
                <wp:simplePos x="0" y="0"/>
                <wp:positionH relativeFrom="page">
                  <wp:posOffset>899160</wp:posOffset>
                </wp:positionH>
                <wp:positionV relativeFrom="paragraph">
                  <wp:posOffset>242570</wp:posOffset>
                </wp:positionV>
                <wp:extent cx="1828800" cy="8890"/>
                <wp:effectExtent l="0" t="0" r="0" b="0"/>
                <wp:wrapTopAndBottom/>
                <wp:docPr id="898" name="docshape2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76A1E7" id="docshape267" o:spid="_x0000_s1026" alt="&quot;&quot;" style="position:absolute;margin-left:70.8pt;margin-top:19.1pt;width:2in;height:.7pt;z-index:-15607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" fillcolor="black" stroked="f">
                <w10:wrap type="topAndBottom" anchorx="page"/>
              </v:rect>
            </w:pict>
          </mc:Fallback>
        </mc:AlternateContent>
      </w:r>
    </w:p>
    <w:p w14:paraId="1576D480" w14:textId="77777777" w:rsidR="00BD462C" w:rsidRDefault="00033D0F">
      <w:pPr>
        <w:spacing w:before="112"/>
        <w:ind w:left="135"/>
        <w:rPr>
          <w:sz w:val="18"/>
        </w:rPr>
      </w:pPr>
      <w:bookmarkStart w:id="582" w:name="_bookmark498"/>
      <w:bookmarkEnd w:id="582"/>
      <w:r>
        <w:rPr>
          <w:position w:val="5"/>
          <w:sz w:val="12"/>
        </w:rPr>
        <w:t>408</w:t>
      </w:r>
      <w:r>
        <w:rPr>
          <w:spacing w:val="13"/>
          <w:position w:val="5"/>
          <w:sz w:val="12"/>
        </w:rPr>
        <w:t xml:space="preserve"> </w:t>
      </w:r>
      <w:r>
        <w:rPr>
          <w:sz w:val="18"/>
        </w:rPr>
        <w:t>China</w:t>
      </w:r>
      <w:r>
        <w:rPr>
          <w:spacing w:val="-7"/>
          <w:sz w:val="18"/>
        </w:rPr>
        <w:t xml:space="preserve"> </w:t>
      </w:r>
      <w:r>
        <w:rPr>
          <w:sz w:val="18"/>
        </w:rPr>
        <w:t>first written</w:t>
      </w:r>
      <w:r>
        <w:rPr>
          <w:spacing w:val="-6"/>
          <w:sz w:val="18"/>
        </w:rPr>
        <w:t xml:space="preserve"> </w:t>
      </w:r>
      <w:r>
        <w:rPr>
          <w:sz w:val="18"/>
        </w:rPr>
        <w:t>submission,</w:t>
      </w:r>
      <w:r>
        <w:rPr>
          <w:spacing w:val="-3"/>
          <w:sz w:val="18"/>
        </w:rPr>
        <w:t xml:space="preserve"> </w:t>
      </w:r>
      <w:r>
        <w:rPr>
          <w:sz w:val="18"/>
        </w:rPr>
        <w:t xml:space="preserve">para. </w:t>
      </w:r>
      <w:r>
        <w:rPr>
          <w:spacing w:val="-4"/>
          <w:sz w:val="18"/>
        </w:rPr>
        <w:t>676.</w:t>
      </w:r>
    </w:p>
    <w:p w14:paraId="0AC2FD22" w14:textId="77777777" w:rsidR="00BD462C" w:rsidRDefault="00033D0F">
      <w:pPr>
        <w:spacing w:before="1"/>
        <w:ind w:left="135"/>
        <w:rPr>
          <w:sz w:val="18"/>
        </w:rPr>
      </w:pPr>
      <w:bookmarkStart w:id="583" w:name="_bookmark499"/>
      <w:bookmarkEnd w:id="583"/>
      <w:r>
        <w:rPr>
          <w:position w:val="5"/>
          <w:sz w:val="12"/>
        </w:rPr>
        <w:t>409</w:t>
      </w:r>
      <w:r>
        <w:rPr>
          <w:spacing w:val="13"/>
          <w:position w:val="5"/>
          <w:sz w:val="12"/>
        </w:rPr>
        <w:t xml:space="preserve"> </w:t>
      </w:r>
      <w:r>
        <w:rPr>
          <w:sz w:val="18"/>
        </w:rPr>
        <w:t>China</w:t>
      </w:r>
      <w:r>
        <w:rPr>
          <w:spacing w:val="-7"/>
          <w:sz w:val="18"/>
        </w:rPr>
        <w:t xml:space="preserve"> </w:t>
      </w:r>
      <w:r>
        <w:rPr>
          <w:sz w:val="18"/>
        </w:rPr>
        <w:t>first written</w:t>
      </w:r>
      <w:r>
        <w:rPr>
          <w:spacing w:val="-6"/>
          <w:sz w:val="18"/>
        </w:rPr>
        <w:t xml:space="preserve"> </w:t>
      </w:r>
      <w:r>
        <w:rPr>
          <w:sz w:val="18"/>
        </w:rPr>
        <w:t>submission,</w:t>
      </w:r>
      <w:r>
        <w:rPr>
          <w:spacing w:val="-3"/>
          <w:sz w:val="18"/>
        </w:rPr>
        <w:t xml:space="preserve"> </w:t>
      </w:r>
      <w:r>
        <w:rPr>
          <w:sz w:val="18"/>
        </w:rPr>
        <w:t xml:space="preserve">para. </w:t>
      </w:r>
      <w:r>
        <w:rPr>
          <w:spacing w:val="-4"/>
          <w:sz w:val="18"/>
        </w:rPr>
        <w:t>676.</w:t>
      </w:r>
    </w:p>
    <w:p w14:paraId="7575B187" w14:textId="77777777" w:rsidR="00BD462C" w:rsidRDefault="00033D0F">
      <w:pPr>
        <w:spacing w:before="1"/>
        <w:ind w:left="135"/>
        <w:rPr>
          <w:sz w:val="18"/>
        </w:rPr>
      </w:pPr>
      <w:bookmarkStart w:id="584" w:name="_bookmark500"/>
      <w:bookmarkEnd w:id="584"/>
      <w:r>
        <w:rPr>
          <w:position w:val="5"/>
          <w:sz w:val="12"/>
        </w:rPr>
        <w:t>410</w:t>
      </w:r>
      <w:r>
        <w:rPr>
          <w:spacing w:val="16"/>
          <w:position w:val="5"/>
          <w:sz w:val="12"/>
        </w:rPr>
        <w:t xml:space="preserve"> </w:t>
      </w:r>
      <w:r>
        <w:rPr>
          <w:sz w:val="18"/>
        </w:rPr>
        <w:t>See</w:t>
      </w:r>
      <w:r>
        <w:rPr>
          <w:spacing w:val="-3"/>
          <w:sz w:val="18"/>
        </w:rPr>
        <w:t xml:space="preserve"> </w:t>
      </w:r>
      <w:r>
        <w:rPr>
          <w:sz w:val="18"/>
        </w:rPr>
        <w:t>section</w:t>
      </w:r>
      <w:r>
        <w:rPr>
          <w:spacing w:val="-4"/>
          <w:sz w:val="18"/>
        </w:rPr>
        <w:t xml:space="preserve"> </w:t>
      </w:r>
      <w:hyperlink w:anchor="_bookmark325" w:history="1">
        <w:r>
          <w:rPr>
            <w:spacing w:val="-2"/>
            <w:sz w:val="18"/>
          </w:rPr>
          <w:t>III.D.7.</w:t>
        </w:r>
      </w:hyperlink>
    </w:p>
    <w:p w14:paraId="3F288061" w14:textId="77777777" w:rsidR="00BD462C" w:rsidRDefault="00033D0F">
      <w:pPr>
        <w:spacing w:before="1"/>
        <w:ind w:left="135"/>
        <w:rPr>
          <w:sz w:val="18"/>
        </w:rPr>
      </w:pPr>
      <w:bookmarkStart w:id="585" w:name="_bookmark501"/>
      <w:bookmarkEnd w:id="585"/>
      <w:r>
        <w:rPr>
          <w:position w:val="5"/>
          <w:sz w:val="12"/>
        </w:rPr>
        <w:t>411</w:t>
      </w:r>
      <w:r>
        <w:rPr>
          <w:spacing w:val="13"/>
          <w:position w:val="5"/>
          <w:sz w:val="12"/>
        </w:rPr>
        <w:t xml:space="preserve"> </w:t>
      </w:r>
      <w:r>
        <w:rPr>
          <w:sz w:val="18"/>
        </w:rPr>
        <w:t>China's</w:t>
      </w:r>
      <w:r>
        <w:rPr>
          <w:spacing w:val="-5"/>
          <w:sz w:val="18"/>
        </w:rPr>
        <w:t xml:space="preserve"> </w:t>
      </w:r>
      <w:r>
        <w:rPr>
          <w:sz w:val="18"/>
        </w:rPr>
        <w:t>first</w:t>
      </w:r>
      <w:r>
        <w:rPr>
          <w:spacing w:val="-4"/>
          <w:sz w:val="18"/>
        </w:rPr>
        <w:t xml:space="preserve"> </w:t>
      </w:r>
      <w:r>
        <w:rPr>
          <w:sz w:val="18"/>
        </w:rPr>
        <w:t>written</w:t>
      </w:r>
      <w:r>
        <w:rPr>
          <w:spacing w:val="-6"/>
          <w:sz w:val="18"/>
        </w:rPr>
        <w:t xml:space="preserve"> </w:t>
      </w:r>
      <w:r>
        <w:rPr>
          <w:sz w:val="18"/>
        </w:rPr>
        <w:t>submission,</w:t>
      </w:r>
      <w:r>
        <w:rPr>
          <w:spacing w:val="-3"/>
          <w:sz w:val="18"/>
        </w:rPr>
        <w:t xml:space="preserve"> </w:t>
      </w:r>
      <w:r>
        <w:rPr>
          <w:sz w:val="18"/>
        </w:rPr>
        <w:t>footnote</w:t>
      </w:r>
      <w:r>
        <w:rPr>
          <w:spacing w:val="-1"/>
          <w:sz w:val="18"/>
        </w:rPr>
        <w:t xml:space="preserve"> </w:t>
      </w:r>
      <w:r>
        <w:rPr>
          <w:spacing w:val="-4"/>
          <w:sz w:val="18"/>
        </w:rPr>
        <w:t>689.</w:t>
      </w:r>
    </w:p>
    <w:p w14:paraId="0FD1D84A" w14:textId="77777777" w:rsidR="00BD462C" w:rsidRDefault="00BD462C">
      <w:pPr>
        <w:rPr>
          <w:sz w:val="18"/>
        </w:rPr>
        <w:sectPr w:rsidR="00BD462C">
          <w:pgSz w:w="11910" w:h="16840"/>
          <w:pgMar w:top="860" w:right="500" w:bottom="780" w:left="1280" w:header="566" w:footer="590" w:gutter="0"/>
          <w:cols w:space="720"/>
        </w:sectPr>
      </w:pPr>
    </w:p>
    <w:p w14:paraId="00635A91"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7E960B51"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5D3D2DCB"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26B6AA0D" w14:textId="77777777" w:rsidR="003F6264" w:rsidRDefault="00033D0F" w:rsidP="003F6264">
      <w:pPr>
        <w:pStyle w:val="BodyText"/>
        <w:spacing w:before="102" w:line="360" w:lineRule="auto"/>
        <w:ind w:left="135" w:right="912"/>
        <w:jc w:val="both"/>
      </w:pPr>
      <w:r>
        <w:t>facts available [was said by China to be] information obtained from other interested parties during the investigation (i.e. from Treasury Wines</w:t>
      </w:r>
      <w:r>
        <w:rPr>
          <w:u w:val="single"/>
        </w:rPr>
        <w:t>), China fails to see why that information</w:t>
      </w:r>
      <w:r>
        <w:t xml:space="preserve"> </w:t>
      </w:r>
      <w:r>
        <w:rPr>
          <w:u w:val="single"/>
        </w:rPr>
        <w:t>would again need to be checked by reference to information submitted by other interested</w:t>
      </w:r>
      <w:r>
        <w:t xml:space="preserve"> </w:t>
      </w:r>
      <w:r>
        <w:rPr>
          <w:u w:val="single"/>
        </w:rPr>
        <w:t>parties</w:t>
      </w:r>
      <w:r>
        <w:t>".</w:t>
      </w:r>
      <w:hyperlink w:anchor="_bookmark502" w:history="1">
        <w:r>
          <w:rPr>
            <w:vertAlign w:val="superscript"/>
          </w:rPr>
          <w:t>412</w:t>
        </w:r>
      </w:hyperlink>
      <w:r>
        <w:t xml:space="preserve"> This is an implicit concession that MOFCOM did not check the data as required.</w:t>
      </w:r>
    </w:p>
    <w:p w14:paraId="2259C9F7" w14:textId="60F7ACA4" w:rsidR="00BD462C" w:rsidRDefault="00033D0F" w:rsidP="00DA02D9">
      <w:pPr>
        <w:pStyle w:val="BodyText"/>
        <w:numPr>
          <w:ilvl w:val="0"/>
          <w:numId w:val="71"/>
        </w:numPr>
        <w:spacing w:before="102" w:line="360" w:lineRule="auto"/>
        <w:ind w:right="912"/>
        <w:jc w:val="both"/>
      </w:pPr>
      <w:r>
        <w:rPr>
          <w:position w:val="1"/>
        </w:rPr>
        <w:t xml:space="preserve">Nevertheless, in support of its argument, China referred to a section of the panel </w:t>
      </w:r>
      <w:r>
        <w:t>report</w:t>
      </w:r>
      <w:r>
        <w:rPr>
          <w:spacing w:val="-5"/>
        </w:rPr>
        <w:t xml:space="preserve"> </w:t>
      </w:r>
      <w:r>
        <w:t>in</w:t>
      </w:r>
      <w:r>
        <w:rPr>
          <w:spacing w:val="-13"/>
        </w:rPr>
        <w:t xml:space="preserve"> </w:t>
      </w:r>
      <w:r>
        <w:rPr>
          <w:i/>
        </w:rPr>
        <w:t>Korea</w:t>
      </w:r>
      <w:r>
        <w:rPr>
          <w:i/>
          <w:spacing w:val="-10"/>
        </w:rPr>
        <w:t xml:space="preserve"> </w:t>
      </w:r>
      <w:r>
        <w:rPr>
          <w:i/>
        </w:rPr>
        <w:t>–</w:t>
      </w:r>
      <w:r>
        <w:rPr>
          <w:i/>
          <w:spacing w:val="-6"/>
        </w:rPr>
        <w:t xml:space="preserve"> </w:t>
      </w:r>
      <w:r>
        <w:rPr>
          <w:i/>
        </w:rPr>
        <w:t>Certain</w:t>
      </w:r>
      <w:r>
        <w:rPr>
          <w:i/>
          <w:spacing w:val="-10"/>
        </w:rPr>
        <w:t xml:space="preserve"> </w:t>
      </w:r>
      <w:r>
        <w:rPr>
          <w:i/>
        </w:rPr>
        <w:t>Paper</w:t>
      </w:r>
      <w:r>
        <w:t>,</w:t>
      </w:r>
      <w:r>
        <w:rPr>
          <w:spacing w:val="-9"/>
        </w:rPr>
        <w:t xml:space="preserve"> </w:t>
      </w:r>
      <w:r>
        <w:t>stating</w:t>
      </w:r>
      <w:r>
        <w:rPr>
          <w:spacing w:val="-9"/>
        </w:rPr>
        <w:t xml:space="preserve"> </w:t>
      </w:r>
      <w:r>
        <w:t>that</w:t>
      </w:r>
      <w:r>
        <w:rPr>
          <w:spacing w:val="-10"/>
        </w:rPr>
        <w:t xml:space="preserve"> </w:t>
      </w:r>
      <w:r>
        <w:t>use</w:t>
      </w:r>
      <w:r>
        <w:rPr>
          <w:spacing w:val="-11"/>
        </w:rPr>
        <w:t xml:space="preserve"> </w:t>
      </w:r>
      <w:r>
        <w:t>of</w:t>
      </w:r>
      <w:r>
        <w:rPr>
          <w:spacing w:val="-3"/>
        </w:rPr>
        <w:t xml:space="preserve"> </w:t>
      </w:r>
      <w:r>
        <w:t>verified</w:t>
      </w:r>
      <w:r>
        <w:rPr>
          <w:spacing w:val="-13"/>
        </w:rPr>
        <w:t xml:space="preserve"> </w:t>
      </w:r>
      <w:r>
        <w:t>data</w:t>
      </w:r>
      <w:r>
        <w:rPr>
          <w:spacing w:val="-11"/>
        </w:rPr>
        <w:t xml:space="preserve"> </w:t>
      </w:r>
      <w:r>
        <w:t>from</w:t>
      </w:r>
      <w:r>
        <w:rPr>
          <w:spacing w:val="-11"/>
        </w:rPr>
        <w:t xml:space="preserve"> </w:t>
      </w:r>
      <w:r>
        <w:t>another</w:t>
      </w:r>
      <w:r>
        <w:rPr>
          <w:spacing w:val="-9"/>
        </w:rPr>
        <w:t xml:space="preserve"> </w:t>
      </w:r>
      <w:r>
        <w:t>interested</w:t>
      </w:r>
      <w:r>
        <w:rPr>
          <w:spacing w:val="-13"/>
        </w:rPr>
        <w:t xml:space="preserve"> </w:t>
      </w:r>
      <w:r>
        <w:t>party was</w:t>
      </w:r>
      <w:r>
        <w:rPr>
          <w:spacing w:val="-5"/>
        </w:rPr>
        <w:t xml:space="preserve"> </w:t>
      </w:r>
      <w:r>
        <w:t>sufficient to meet the obligation of special circumspection.</w:t>
      </w:r>
      <w:r>
        <w:rPr>
          <w:spacing w:val="-14"/>
        </w:rPr>
        <w:t xml:space="preserve"> </w:t>
      </w:r>
      <w:hyperlink w:anchor="_bookmark503" w:history="1">
        <w:r>
          <w:rPr>
            <w:vertAlign w:val="superscript"/>
          </w:rPr>
          <w:t>413</w:t>
        </w:r>
      </w:hyperlink>
      <w:r>
        <w:t xml:space="preserve"> However, that section of the panel's report dealt only with the obligation of special circumspection set out in the first sentence</w:t>
      </w:r>
      <w:r>
        <w:rPr>
          <w:spacing w:val="-2"/>
        </w:rPr>
        <w:t xml:space="preserve"> </w:t>
      </w:r>
      <w:r>
        <w:t>of</w:t>
      </w:r>
      <w:r>
        <w:rPr>
          <w:spacing w:val="-4"/>
        </w:rPr>
        <w:t xml:space="preserve"> </w:t>
      </w:r>
      <w:r>
        <w:t>paragraph 7</w:t>
      </w:r>
      <w:r>
        <w:rPr>
          <w:spacing w:val="-5"/>
        </w:rPr>
        <w:t xml:space="preserve"> </w:t>
      </w:r>
      <w:r>
        <w:t>of</w:t>
      </w:r>
      <w:r>
        <w:rPr>
          <w:spacing w:val="-4"/>
        </w:rPr>
        <w:t xml:space="preserve"> </w:t>
      </w:r>
      <w:r>
        <w:t>Annex</w:t>
      </w:r>
      <w:r>
        <w:rPr>
          <w:spacing w:val="-1"/>
        </w:rPr>
        <w:t xml:space="preserve"> </w:t>
      </w:r>
      <w:r>
        <w:t>II.</w:t>
      </w:r>
      <w:r>
        <w:rPr>
          <w:spacing w:val="-1"/>
        </w:rPr>
        <w:t xml:space="preserve"> </w:t>
      </w:r>
      <w:r>
        <w:t>This</w:t>
      </w:r>
      <w:r>
        <w:rPr>
          <w:spacing w:val="-1"/>
        </w:rPr>
        <w:t xml:space="preserve"> </w:t>
      </w:r>
      <w:r>
        <w:t>obligation</w:t>
      </w:r>
      <w:r>
        <w:rPr>
          <w:spacing w:val="-4"/>
        </w:rPr>
        <w:t xml:space="preserve"> </w:t>
      </w:r>
      <w:r>
        <w:t>is</w:t>
      </w:r>
      <w:r>
        <w:rPr>
          <w:spacing w:val="-1"/>
        </w:rPr>
        <w:t xml:space="preserve"> </w:t>
      </w:r>
      <w:r>
        <w:t>distinct</w:t>
      </w:r>
      <w:r>
        <w:rPr>
          <w:spacing w:val="-2"/>
        </w:rPr>
        <w:t xml:space="preserve"> </w:t>
      </w:r>
      <w:r>
        <w:t>from</w:t>
      </w:r>
      <w:r>
        <w:rPr>
          <w:spacing w:val="-3"/>
        </w:rPr>
        <w:t xml:space="preserve"> </w:t>
      </w:r>
      <w:r>
        <w:t>the obligation</w:t>
      </w:r>
      <w:r>
        <w:rPr>
          <w:spacing w:val="-4"/>
        </w:rPr>
        <w:t xml:space="preserve"> </w:t>
      </w:r>
      <w:r>
        <w:t>to</w:t>
      </w:r>
      <w:r>
        <w:rPr>
          <w:spacing w:val="-5"/>
        </w:rPr>
        <w:t xml:space="preserve"> </w:t>
      </w:r>
      <w:r>
        <w:t>check</w:t>
      </w:r>
      <w:r>
        <w:rPr>
          <w:spacing w:val="-2"/>
        </w:rPr>
        <w:t xml:space="preserve"> </w:t>
      </w:r>
      <w:r>
        <w:t>or compare the information against other independent sources of data obtained during the investigation</w:t>
      </w:r>
      <w:r>
        <w:rPr>
          <w:spacing w:val="-14"/>
        </w:rPr>
        <w:t xml:space="preserve"> </w:t>
      </w:r>
      <w:r>
        <w:t>which</w:t>
      </w:r>
      <w:r>
        <w:rPr>
          <w:spacing w:val="-5"/>
        </w:rPr>
        <w:t xml:space="preserve"> </w:t>
      </w:r>
      <w:r>
        <w:t>is set out in the second sentence.</w:t>
      </w:r>
      <w:r>
        <w:rPr>
          <w:spacing w:val="-14"/>
        </w:rPr>
        <w:t xml:space="preserve"> </w:t>
      </w:r>
      <w:hyperlink w:anchor="_bookmark504" w:history="1">
        <w:r>
          <w:rPr>
            <w:vertAlign w:val="superscript"/>
          </w:rPr>
          <w:t>414</w:t>
        </w:r>
      </w:hyperlink>
      <w:r>
        <w:t xml:space="preserve"> The panel in </w:t>
      </w:r>
      <w:r>
        <w:rPr>
          <w:i/>
        </w:rPr>
        <w:t>Mexico - Anti-Dumping Measures</w:t>
      </w:r>
      <w:r>
        <w:rPr>
          <w:i/>
          <w:spacing w:val="-10"/>
        </w:rPr>
        <w:t xml:space="preserve"> </w:t>
      </w:r>
      <w:r>
        <w:rPr>
          <w:i/>
        </w:rPr>
        <w:t>on</w:t>
      </w:r>
      <w:r>
        <w:rPr>
          <w:i/>
          <w:spacing w:val="-6"/>
        </w:rPr>
        <w:t xml:space="preserve"> </w:t>
      </w:r>
      <w:r>
        <w:rPr>
          <w:i/>
        </w:rPr>
        <w:t>Rice</w:t>
      </w:r>
      <w:r>
        <w:rPr>
          <w:i/>
          <w:spacing w:val="-7"/>
        </w:rPr>
        <w:t xml:space="preserve"> </w:t>
      </w:r>
      <w:r>
        <w:t>explained</w:t>
      </w:r>
      <w:r>
        <w:rPr>
          <w:spacing w:val="-9"/>
        </w:rPr>
        <w:t xml:space="preserve"> </w:t>
      </w:r>
      <w:r>
        <w:t>that</w:t>
      </w:r>
      <w:r>
        <w:rPr>
          <w:spacing w:val="-7"/>
        </w:rPr>
        <w:t xml:space="preserve"> </w:t>
      </w:r>
      <w:r>
        <w:t>it</w:t>
      </w:r>
      <w:r>
        <w:rPr>
          <w:spacing w:val="-7"/>
        </w:rPr>
        <w:t xml:space="preserve"> </w:t>
      </w:r>
      <w:r>
        <w:t>is</w:t>
      </w:r>
      <w:r>
        <w:rPr>
          <w:spacing w:val="-6"/>
        </w:rPr>
        <w:t xml:space="preserve"> </w:t>
      </w:r>
      <w:r>
        <w:t>a</w:t>
      </w:r>
      <w:r>
        <w:rPr>
          <w:spacing w:val="-8"/>
        </w:rPr>
        <w:t xml:space="preserve"> </w:t>
      </w:r>
      <w:r>
        <w:t>procedural requirement</w:t>
      </w:r>
      <w:r>
        <w:rPr>
          <w:spacing w:val="-7"/>
        </w:rPr>
        <w:t xml:space="preserve"> </w:t>
      </w:r>
      <w:r>
        <w:t>that</w:t>
      </w:r>
      <w:r>
        <w:rPr>
          <w:spacing w:val="-7"/>
        </w:rPr>
        <w:t xml:space="preserve"> </w:t>
      </w:r>
      <w:r>
        <w:t>an</w:t>
      </w:r>
      <w:r>
        <w:rPr>
          <w:spacing w:val="-9"/>
        </w:rPr>
        <w:t xml:space="preserve"> </w:t>
      </w:r>
      <w:r>
        <w:t>investigating</w:t>
      </w:r>
      <w:r>
        <w:rPr>
          <w:spacing w:val="-6"/>
        </w:rPr>
        <w:t xml:space="preserve"> </w:t>
      </w:r>
      <w:r>
        <w:t>authority compares the information it proposes to use as "replacement facts" against other independent</w:t>
      </w:r>
      <w:r>
        <w:rPr>
          <w:spacing w:val="-3"/>
        </w:rPr>
        <w:t xml:space="preserve"> </w:t>
      </w:r>
      <w:r>
        <w:t>evidence</w:t>
      </w:r>
      <w:r>
        <w:rPr>
          <w:spacing w:val="-3"/>
        </w:rPr>
        <w:t xml:space="preserve"> </w:t>
      </w:r>
      <w:r>
        <w:t>obtained</w:t>
      </w:r>
      <w:r>
        <w:rPr>
          <w:spacing w:val="-5"/>
        </w:rPr>
        <w:t xml:space="preserve"> </w:t>
      </w:r>
      <w:r>
        <w:t>during</w:t>
      </w:r>
      <w:r>
        <w:rPr>
          <w:spacing w:val="-2"/>
        </w:rPr>
        <w:t xml:space="preserve"> </w:t>
      </w:r>
      <w:r>
        <w:t>the</w:t>
      </w:r>
      <w:r>
        <w:rPr>
          <w:spacing w:val="-4"/>
        </w:rPr>
        <w:t xml:space="preserve"> </w:t>
      </w:r>
      <w:r>
        <w:t>investigation</w:t>
      </w:r>
      <w:r>
        <w:rPr>
          <w:spacing w:val="-5"/>
        </w:rPr>
        <w:t xml:space="preserve"> </w:t>
      </w:r>
      <w:r>
        <w:t>to</w:t>
      </w:r>
      <w:r>
        <w:rPr>
          <w:spacing w:val="-6"/>
        </w:rPr>
        <w:t xml:space="preserve"> </w:t>
      </w:r>
      <w:r>
        <w:t>ensure</w:t>
      </w:r>
      <w:r>
        <w:rPr>
          <w:spacing w:val="-3"/>
        </w:rPr>
        <w:t xml:space="preserve"> </w:t>
      </w:r>
      <w:r>
        <w:t>that</w:t>
      </w:r>
      <w:r>
        <w:rPr>
          <w:spacing w:val="-3"/>
        </w:rPr>
        <w:t xml:space="preserve"> </w:t>
      </w:r>
      <w:r>
        <w:t>the</w:t>
      </w:r>
      <w:r>
        <w:rPr>
          <w:spacing w:val="-4"/>
        </w:rPr>
        <w:t xml:space="preserve"> </w:t>
      </w:r>
      <w:r>
        <w:t>replacement</w:t>
      </w:r>
      <w:r>
        <w:rPr>
          <w:spacing w:val="-3"/>
        </w:rPr>
        <w:t xml:space="preserve"> </w:t>
      </w:r>
      <w:r>
        <w:t>data is</w:t>
      </w:r>
      <w:r>
        <w:rPr>
          <w:spacing w:val="-14"/>
        </w:rPr>
        <w:t xml:space="preserve"> </w:t>
      </w:r>
      <w:r>
        <w:t>in</w:t>
      </w:r>
      <w:r>
        <w:rPr>
          <w:spacing w:val="-14"/>
        </w:rPr>
        <w:t xml:space="preserve"> </w:t>
      </w:r>
      <w:r>
        <w:t>fact</w:t>
      </w:r>
      <w:r>
        <w:rPr>
          <w:spacing w:val="-13"/>
        </w:rPr>
        <w:t xml:space="preserve"> </w:t>
      </w:r>
      <w:r>
        <w:t>the</w:t>
      </w:r>
      <w:r>
        <w:rPr>
          <w:spacing w:val="-14"/>
        </w:rPr>
        <w:t xml:space="preserve"> </w:t>
      </w:r>
      <w:r>
        <w:t>best</w:t>
      </w:r>
      <w:r>
        <w:rPr>
          <w:spacing w:val="-13"/>
        </w:rPr>
        <w:t xml:space="preserve"> </w:t>
      </w:r>
      <w:r>
        <w:t>available</w:t>
      </w:r>
      <w:r>
        <w:rPr>
          <w:spacing w:val="-14"/>
        </w:rPr>
        <w:t xml:space="preserve"> </w:t>
      </w:r>
      <w:r>
        <w:t>information.</w:t>
      </w:r>
      <w:r>
        <w:rPr>
          <w:spacing w:val="-13"/>
        </w:rPr>
        <w:t xml:space="preserve"> </w:t>
      </w:r>
      <w:r>
        <w:t>Failure</w:t>
      </w:r>
      <w:r>
        <w:rPr>
          <w:spacing w:val="-14"/>
        </w:rPr>
        <w:t xml:space="preserve"> </w:t>
      </w:r>
      <w:r>
        <w:t>to</w:t>
      </w:r>
      <w:r>
        <w:rPr>
          <w:spacing w:val="-14"/>
        </w:rPr>
        <w:t xml:space="preserve"> </w:t>
      </w:r>
      <w:r>
        <w:t>do</w:t>
      </w:r>
      <w:r>
        <w:rPr>
          <w:spacing w:val="-13"/>
        </w:rPr>
        <w:t xml:space="preserve"> </w:t>
      </w:r>
      <w:r>
        <w:t>so</w:t>
      </w:r>
      <w:r>
        <w:rPr>
          <w:spacing w:val="-14"/>
        </w:rPr>
        <w:t xml:space="preserve"> </w:t>
      </w:r>
      <w:r>
        <w:t>is</w:t>
      </w:r>
      <w:r>
        <w:rPr>
          <w:spacing w:val="-13"/>
        </w:rPr>
        <w:t xml:space="preserve"> </w:t>
      </w:r>
      <w:r>
        <w:t>a</w:t>
      </w:r>
      <w:r>
        <w:rPr>
          <w:spacing w:val="-14"/>
        </w:rPr>
        <w:t xml:space="preserve"> </w:t>
      </w:r>
      <w:r>
        <w:t>breach</w:t>
      </w:r>
      <w:r>
        <w:rPr>
          <w:spacing w:val="-13"/>
        </w:rPr>
        <w:t xml:space="preserve"> </w:t>
      </w:r>
      <w:r>
        <w:t>of</w:t>
      </w:r>
      <w:r>
        <w:rPr>
          <w:spacing w:val="-14"/>
        </w:rPr>
        <w:t xml:space="preserve"> </w:t>
      </w:r>
      <w:r>
        <w:t>Article</w:t>
      </w:r>
      <w:r>
        <w:rPr>
          <w:spacing w:val="-14"/>
        </w:rPr>
        <w:t xml:space="preserve"> </w:t>
      </w:r>
      <w:r>
        <w:t>6.8</w:t>
      </w:r>
      <w:r>
        <w:rPr>
          <w:spacing w:val="-13"/>
        </w:rPr>
        <w:t xml:space="preserve"> </w:t>
      </w:r>
      <w:r>
        <w:t>and</w:t>
      </w:r>
      <w:r>
        <w:rPr>
          <w:spacing w:val="-14"/>
        </w:rPr>
        <w:t xml:space="preserve"> </w:t>
      </w:r>
      <w:r>
        <w:t>paragraph 7 of Annex II. In that case, the panel found that:</w:t>
      </w:r>
    </w:p>
    <w:p w14:paraId="69A5DC0C" w14:textId="77777777" w:rsidR="00BD462C" w:rsidRDefault="00033D0F">
      <w:pPr>
        <w:spacing w:before="156" w:line="276" w:lineRule="auto"/>
        <w:ind w:left="985" w:right="917"/>
        <w:jc w:val="both"/>
      </w:pPr>
      <w:r>
        <w:t>[I]n</w:t>
      </w:r>
      <w:r>
        <w:rPr>
          <w:spacing w:val="-4"/>
        </w:rPr>
        <w:t xml:space="preserve"> </w:t>
      </w:r>
      <w:r>
        <w:t>examining</w:t>
      </w:r>
      <w:r>
        <w:rPr>
          <w:spacing w:val="-2"/>
        </w:rPr>
        <w:t xml:space="preserve"> </w:t>
      </w:r>
      <w:r>
        <w:t>the</w:t>
      </w:r>
      <w:r>
        <w:rPr>
          <w:spacing w:val="-3"/>
        </w:rPr>
        <w:t xml:space="preserve"> </w:t>
      </w:r>
      <w:r>
        <w:t>record,</w:t>
      </w:r>
      <w:r>
        <w:rPr>
          <w:spacing w:val="-1"/>
        </w:rPr>
        <w:t xml:space="preserve"> </w:t>
      </w:r>
      <w:r>
        <w:t>we</w:t>
      </w:r>
      <w:r>
        <w:rPr>
          <w:spacing w:val="-3"/>
        </w:rPr>
        <w:t xml:space="preserve"> </w:t>
      </w:r>
      <w:r>
        <w:t>find</w:t>
      </w:r>
      <w:r>
        <w:rPr>
          <w:spacing w:val="-4"/>
        </w:rPr>
        <w:t xml:space="preserve"> </w:t>
      </w:r>
      <w:r>
        <w:t>no basis</w:t>
      </w:r>
      <w:r>
        <w:rPr>
          <w:spacing w:val="-3"/>
        </w:rPr>
        <w:t xml:space="preserve"> </w:t>
      </w:r>
      <w:r>
        <w:t>to consider</w:t>
      </w:r>
      <w:r>
        <w:rPr>
          <w:spacing w:val="-3"/>
        </w:rPr>
        <w:t xml:space="preserve"> </w:t>
      </w:r>
      <w:r>
        <w:t>that the authority</w:t>
      </w:r>
      <w:r>
        <w:rPr>
          <w:spacing w:val="-2"/>
        </w:rPr>
        <w:t xml:space="preserve"> </w:t>
      </w:r>
      <w:r>
        <w:t>made</w:t>
      </w:r>
      <w:r>
        <w:rPr>
          <w:spacing w:val="-3"/>
        </w:rPr>
        <w:t xml:space="preserve"> </w:t>
      </w:r>
      <w:r>
        <w:t>any attempt to check the applicant's information against information obtained from other interested parties or undertook the evaluative, comparative assessment that would have enabled the authority to assess whether the information provided by the applicant was indeed the best information available.</w:t>
      </w:r>
      <w:r>
        <w:rPr>
          <w:spacing w:val="-21"/>
        </w:rPr>
        <w:t xml:space="preserve"> </w:t>
      </w:r>
      <w:hyperlink w:anchor="_bookmark505" w:history="1">
        <w:r>
          <w:rPr>
            <w:vertAlign w:val="superscript"/>
          </w:rPr>
          <w:t>415</w:t>
        </w:r>
      </w:hyperlink>
    </w:p>
    <w:p w14:paraId="1AF7B7F7" w14:textId="77777777" w:rsidR="00BD462C" w:rsidRDefault="00BD462C">
      <w:pPr>
        <w:pStyle w:val="BodyText"/>
        <w:spacing w:before="7"/>
        <w:rPr>
          <w:sz w:val="15"/>
        </w:rPr>
      </w:pPr>
    </w:p>
    <w:p w14:paraId="2C593F05" w14:textId="1AB82728" w:rsidR="00BD462C" w:rsidRDefault="00033D0F" w:rsidP="00DA02D9">
      <w:pPr>
        <w:pStyle w:val="BodyText"/>
        <w:numPr>
          <w:ilvl w:val="0"/>
          <w:numId w:val="71"/>
        </w:numPr>
        <w:spacing w:before="56" w:line="357" w:lineRule="auto"/>
        <w:ind w:right="920"/>
        <w:jc w:val="both"/>
      </w:pPr>
      <w:r>
        <w:rPr>
          <w:position w:val="1"/>
        </w:rPr>
        <w:t xml:space="preserve">In this case, China did not engage in the comparative evaluation mandated by </w:t>
      </w:r>
      <w:r>
        <w:t>sentence</w:t>
      </w:r>
      <w:r>
        <w:rPr>
          <w:spacing w:val="-9"/>
        </w:rPr>
        <w:t xml:space="preserve"> </w:t>
      </w:r>
      <w:r>
        <w:t>two</w:t>
      </w:r>
      <w:r>
        <w:rPr>
          <w:spacing w:val="-10"/>
        </w:rPr>
        <w:t xml:space="preserve"> </w:t>
      </w:r>
      <w:r>
        <w:t>of</w:t>
      </w:r>
      <w:r>
        <w:rPr>
          <w:spacing w:val="-10"/>
        </w:rPr>
        <w:t xml:space="preserve"> </w:t>
      </w:r>
      <w:r>
        <w:t>paragraph</w:t>
      </w:r>
      <w:r>
        <w:rPr>
          <w:spacing w:val="-10"/>
        </w:rPr>
        <w:t xml:space="preserve"> </w:t>
      </w:r>
      <w:r>
        <w:t>7</w:t>
      </w:r>
      <w:r>
        <w:rPr>
          <w:spacing w:val="-7"/>
        </w:rPr>
        <w:t xml:space="preserve"> </w:t>
      </w:r>
      <w:r>
        <w:t>of</w:t>
      </w:r>
      <w:r>
        <w:rPr>
          <w:spacing w:val="-10"/>
        </w:rPr>
        <w:t xml:space="preserve"> </w:t>
      </w:r>
      <w:r>
        <w:t>Annex</w:t>
      </w:r>
      <w:r>
        <w:rPr>
          <w:spacing w:val="-8"/>
        </w:rPr>
        <w:t xml:space="preserve"> </w:t>
      </w:r>
      <w:r>
        <w:t>II</w:t>
      </w:r>
      <w:r>
        <w:rPr>
          <w:spacing w:val="-8"/>
        </w:rPr>
        <w:t xml:space="preserve"> </w:t>
      </w:r>
      <w:r>
        <w:t>of</w:t>
      </w:r>
      <w:r>
        <w:rPr>
          <w:spacing w:val="-10"/>
        </w:rPr>
        <w:t xml:space="preserve"> </w:t>
      </w:r>
      <w:r>
        <w:t>the</w:t>
      </w:r>
      <w:r>
        <w:rPr>
          <w:spacing w:val="-9"/>
        </w:rPr>
        <w:t xml:space="preserve"> </w:t>
      </w:r>
      <w:r>
        <w:t>Anti-Dumping</w:t>
      </w:r>
      <w:r>
        <w:rPr>
          <w:spacing w:val="-8"/>
        </w:rPr>
        <w:t xml:space="preserve"> </w:t>
      </w:r>
      <w:r>
        <w:t>Agreement.</w:t>
      </w:r>
      <w:r>
        <w:rPr>
          <w:spacing w:val="-8"/>
        </w:rPr>
        <w:t xml:space="preserve"> </w:t>
      </w:r>
      <w:r>
        <w:t>It</w:t>
      </w:r>
      <w:r>
        <w:rPr>
          <w:spacing w:val="-12"/>
        </w:rPr>
        <w:t xml:space="preserve"> </w:t>
      </w:r>
      <w:r>
        <w:t>was</w:t>
      </w:r>
      <w:r>
        <w:rPr>
          <w:spacing w:val="-8"/>
        </w:rPr>
        <w:t xml:space="preserve"> </w:t>
      </w:r>
      <w:r>
        <w:t>therefore</w:t>
      </w:r>
      <w:r>
        <w:rPr>
          <w:spacing w:val="-9"/>
        </w:rPr>
        <w:t xml:space="preserve"> </w:t>
      </w:r>
      <w:r>
        <w:t>not possible for MOFCOM to have given the required consideration to whether the replacement data was the best information available.</w:t>
      </w:r>
    </w:p>
    <w:p w14:paraId="76D376CF" w14:textId="77777777" w:rsidR="00BD462C" w:rsidRDefault="00BD462C">
      <w:pPr>
        <w:pStyle w:val="BodyText"/>
        <w:rPr>
          <w:sz w:val="20"/>
        </w:rPr>
      </w:pPr>
    </w:p>
    <w:p w14:paraId="2981D4CB" w14:textId="77777777" w:rsidR="00BD462C" w:rsidRDefault="00BD462C">
      <w:pPr>
        <w:pStyle w:val="BodyText"/>
        <w:rPr>
          <w:sz w:val="20"/>
        </w:rPr>
      </w:pPr>
    </w:p>
    <w:p w14:paraId="74CD314E" w14:textId="77777777" w:rsidR="00BD462C" w:rsidRDefault="00BD462C">
      <w:pPr>
        <w:pStyle w:val="BodyText"/>
        <w:rPr>
          <w:sz w:val="20"/>
        </w:rPr>
      </w:pPr>
    </w:p>
    <w:p w14:paraId="7EE97B10" w14:textId="77777777" w:rsidR="00BD462C" w:rsidRDefault="00BD462C">
      <w:pPr>
        <w:pStyle w:val="BodyText"/>
        <w:rPr>
          <w:sz w:val="20"/>
        </w:rPr>
      </w:pPr>
    </w:p>
    <w:p w14:paraId="5E230D39" w14:textId="77777777" w:rsidR="00BD462C" w:rsidRDefault="00BD462C">
      <w:pPr>
        <w:pStyle w:val="BodyText"/>
        <w:rPr>
          <w:sz w:val="20"/>
        </w:rPr>
      </w:pPr>
    </w:p>
    <w:p w14:paraId="01BF19A7" w14:textId="77777777" w:rsidR="00BD462C" w:rsidRDefault="00BD462C">
      <w:pPr>
        <w:pStyle w:val="BodyText"/>
        <w:rPr>
          <w:sz w:val="20"/>
        </w:rPr>
      </w:pPr>
    </w:p>
    <w:p w14:paraId="1B47DC42" w14:textId="3453D0EA" w:rsidR="00BD462C" w:rsidRDefault="00D70C7D">
      <w:pPr>
        <w:pStyle w:val="BodyText"/>
        <w:spacing w:before="5"/>
        <w:rPr>
          <w:sz w:val="27"/>
        </w:rPr>
      </w:pPr>
      <w:r>
        <w:rPr>
          <w:noProof/>
        </w:rPr>
        <mc:AlternateContent>
          <mc:Choice Requires="wps">
            <w:drawing>
              <wp:anchor distT="0" distB="0" distL="0" distR="0" simplePos="0" relativeHeight="487710720" behindDoc="1" locked="0" layoutInCell="1" allowOverlap="1" wp14:anchorId="19EF09F0" wp14:editId="7EC9E990">
                <wp:simplePos x="0" y="0"/>
                <wp:positionH relativeFrom="page">
                  <wp:posOffset>899160</wp:posOffset>
                </wp:positionH>
                <wp:positionV relativeFrom="paragraph">
                  <wp:posOffset>227965</wp:posOffset>
                </wp:positionV>
                <wp:extent cx="1828800" cy="8890"/>
                <wp:effectExtent l="0" t="0" r="0" b="0"/>
                <wp:wrapTopAndBottom/>
                <wp:docPr id="896" name="docshape2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E74264" id="docshape268" o:spid="_x0000_s1026" alt="&quot;&quot;" style="position:absolute;margin-left:70.8pt;margin-top:17.95pt;width:2in;height:.7pt;z-index:-15605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" fillcolor="black" stroked="f">
                <w10:wrap type="topAndBottom" anchorx="page"/>
              </v:rect>
            </w:pict>
          </mc:Fallback>
        </mc:AlternateContent>
      </w:r>
    </w:p>
    <w:p w14:paraId="2ED9997C" w14:textId="77777777" w:rsidR="00BD462C" w:rsidRDefault="00033D0F">
      <w:pPr>
        <w:spacing w:before="112"/>
        <w:ind w:left="135"/>
        <w:rPr>
          <w:sz w:val="18"/>
        </w:rPr>
      </w:pPr>
      <w:bookmarkStart w:id="586" w:name="_bookmark502"/>
      <w:bookmarkEnd w:id="586"/>
      <w:r>
        <w:rPr>
          <w:position w:val="5"/>
          <w:sz w:val="12"/>
        </w:rPr>
        <w:t>412</w:t>
      </w:r>
      <w:r>
        <w:rPr>
          <w:spacing w:val="12"/>
          <w:position w:val="5"/>
          <w:sz w:val="12"/>
        </w:rPr>
        <w:t xml:space="preserve"> </w:t>
      </w:r>
      <w:r>
        <w:rPr>
          <w:sz w:val="18"/>
        </w:rPr>
        <w:t>China's</w:t>
      </w:r>
      <w:r>
        <w:rPr>
          <w:spacing w:val="-6"/>
          <w:sz w:val="18"/>
        </w:rPr>
        <w:t xml:space="preserve"> </w:t>
      </w:r>
      <w:r>
        <w:rPr>
          <w:sz w:val="18"/>
        </w:rPr>
        <w:t>first</w:t>
      </w:r>
      <w:r>
        <w:rPr>
          <w:spacing w:val="-5"/>
          <w:sz w:val="18"/>
        </w:rPr>
        <w:t xml:space="preserve"> </w:t>
      </w:r>
      <w:r>
        <w:rPr>
          <w:sz w:val="18"/>
        </w:rPr>
        <w:t>written</w:t>
      </w:r>
      <w:r>
        <w:rPr>
          <w:spacing w:val="-7"/>
          <w:sz w:val="18"/>
        </w:rPr>
        <w:t xml:space="preserve"> </w:t>
      </w:r>
      <w:r>
        <w:rPr>
          <w:sz w:val="18"/>
        </w:rPr>
        <w:t>submission, para.</w:t>
      </w:r>
      <w:r>
        <w:rPr>
          <w:spacing w:val="-1"/>
          <w:sz w:val="18"/>
        </w:rPr>
        <w:t xml:space="preserve"> </w:t>
      </w:r>
      <w:r>
        <w:rPr>
          <w:sz w:val="18"/>
        </w:rPr>
        <w:t>674.</w:t>
      </w:r>
      <w:r>
        <w:rPr>
          <w:spacing w:val="-5"/>
          <w:sz w:val="18"/>
        </w:rPr>
        <w:t xml:space="preserve"> </w:t>
      </w:r>
      <w:r>
        <w:rPr>
          <w:sz w:val="18"/>
        </w:rPr>
        <w:t>(emphasis</w:t>
      </w:r>
      <w:r>
        <w:rPr>
          <w:spacing w:val="-6"/>
          <w:sz w:val="18"/>
        </w:rPr>
        <w:t xml:space="preserve"> </w:t>
      </w:r>
      <w:r>
        <w:rPr>
          <w:spacing w:val="-2"/>
          <w:sz w:val="18"/>
        </w:rPr>
        <w:t>original)</w:t>
      </w:r>
    </w:p>
    <w:p w14:paraId="6CE1FBCB" w14:textId="77777777" w:rsidR="00BD462C" w:rsidRDefault="00033D0F">
      <w:pPr>
        <w:spacing w:before="1"/>
        <w:ind w:left="135"/>
        <w:rPr>
          <w:sz w:val="18"/>
        </w:rPr>
      </w:pPr>
      <w:bookmarkStart w:id="587" w:name="_bookmark503"/>
      <w:bookmarkEnd w:id="587"/>
      <w:r>
        <w:rPr>
          <w:position w:val="5"/>
          <w:sz w:val="12"/>
        </w:rPr>
        <w:t>413</w:t>
      </w:r>
      <w:r>
        <w:rPr>
          <w:spacing w:val="13"/>
          <w:position w:val="5"/>
          <w:sz w:val="12"/>
        </w:rPr>
        <w:t xml:space="preserve"> </w:t>
      </w:r>
      <w:r>
        <w:rPr>
          <w:sz w:val="18"/>
        </w:rPr>
        <w:t>China</w:t>
      </w:r>
      <w:r>
        <w:rPr>
          <w:spacing w:val="-8"/>
          <w:sz w:val="18"/>
        </w:rPr>
        <w:t xml:space="preserve"> </w:t>
      </w:r>
      <w:r>
        <w:rPr>
          <w:sz w:val="18"/>
        </w:rPr>
        <w:t>first</w:t>
      </w:r>
      <w:r>
        <w:rPr>
          <w:spacing w:val="-1"/>
          <w:sz w:val="18"/>
        </w:rPr>
        <w:t xml:space="preserve"> </w:t>
      </w:r>
      <w:r>
        <w:rPr>
          <w:sz w:val="18"/>
        </w:rPr>
        <w:t>written</w:t>
      </w:r>
      <w:r>
        <w:rPr>
          <w:spacing w:val="-6"/>
          <w:sz w:val="18"/>
        </w:rPr>
        <w:t xml:space="preserve"> </w:t>
      </w:r>
      <w:r>
        <w:rPr>
          <w:sz w:val="18"/>
        </w:rPr>
        <w:t>submission,</w:t>
      </w:r>
      <w:r>
        <w:rPr>
          <w:spacing w:val="-4"/>
          <w:sz w:val="18"/>
        </w:rPr>
        <w:t xml:space="preserve"> </w:t>
      </w:r>
      <w:r>
        <w:rPr>
          <w:sz w:val="18"/>
        </w:rPr>
        <w:t>para. 674,</w:t>
      </w:r>
      <w:r>
        <w:rPr>
          <w:spacing w:val="-3"/>
          <w:sz w:val="18"/>
        </w:rPr>
        <w:t xml:space="preserve"> </w:t>
      </w:r>
      <w:r>
        <w:rPr>
          <w:sz w:val="18"/>
        </w:rPr>
        <w:t>citing</w:t>
      </w:r>
      <w:r>
        <w:rPr>
          <w:spacing w:val="-6"/>
          <w:sz w:val="18"/>
        </w:rPr>
        <w:t xml:space="preserve"> </w:t>
      </w:r>
      <w:r>
        <w:rPr>
          <w:sz w:val="18"/>
        </w:rPr>
        <w:t>Panel</w:t>
      </w:r>
      <w:r>
        <w:rPr>
          <w:spacing w:val="-4"/>
          <w:sz w:val="18"/>
        </w:rPr>
        <w:t xml:space="preserve"> </w:t>
      </w:r>
      <w:r>
        <w:rPr>
          <w:sz w:val="18"/>
        </w:rPr>
        <w:t>Report,</w:t>
      </w:r>
      <w:r>
        <w:rPr>
          <w:spacing w:val="-5"/>
          <w:sz w:val="18"/>
        </w:rPr>
        <w:t xml:space="preserve"> </w:t>
      </w:r>
      <w:r>
        <w:rPr>
          <w:i/>
          <w:sz w:val="18"/>
        </w:rPr>
        <w:t>Korea</w:t>
      </w:r>
      <w:r>
        <w:rPr>
          <w:i/>
          <w:spacing w:val="-4"/>
          <w:sz w:val="18"/>
        </w:rPr>
        <w:t xml:space="preserve"> </w:t>
      </w:r>
      <w:r>
        <w:rPr>
          <w:i/>
          <w:sz w:val="18"/>
        </w:rPr>
        <w:t>–</w:t>
      </w:r>
      <w:r>
        <w:rPr>
          <w:i/>
          <w:spacing w:val="-6"/>
          <w:sz w:val="18"/>
        </w:rPr>
        <w:t xml:space="preserve"> </w:t>
      </w:r>
      <w:r>
        <w:rPr>
          <w:i/>
          <w:sz w:val="18"/>
        </w:rPr>
        <w:t>Certain</w:t>
      </w:r>
      <w:r>
        <w:rPr>
          <w:i/>
          <w:spacing w:val="-4"/>
          <w:sz w:val="18"/>
        </w:rPr>
        <w:t xml:space="preserve"> </w:t>
      </w:r>
      <w:r>
        <w:rPr>
          <w:i/>
          <w:sz w:val="18"/>
        </w:rPr>
        <w:t>Paper</w:t>
      </w:r>
      <w:r>
        <w:rPr>
          <w:sz w:val="18"/>
        </w:rPr>
        <w:t>,</w:t>
      </w:r>
      <w:r>
        <w:rPr>
          <w:spacing w:val="1"/>
          <w:sz w:val="18"/>
        </w:rPr>
        <w:t xml:space="preserve"> </w:t>
      </w:r>
      <w:r>
        <w:rPr>
          <w:sz w:val="18"/>
        </w:rPr>
        <w:t xml:space="preserve">para. </w:t>
      </w:r>
      <w:r>
        <w:rPr>
          <w:spacing w:val="-2"/>
          <w:sz w:val="18"/>
        </w:rPr>
        <w:t>7.105.</w:t>
      </w:r>
    </w:p>
    <w:p w14:paraId="34857B1B" w14:textId="77777777" w:rsidR="00BD462C" w:rsidRDefault="00033D0F">
      <w:pPr>
        <w:spacing w:before="1"/>
        <w:ind w:left="135"/>
        <w:rPr>
          <w:sz w:val="18"/>
        </w:rPr>
      </w:pPr>
      <w:bookmarkStart w:id="588" w:name="_bookmark504"/>
      <w:bookmarkEnd w:id="588"/>
      <w:r>
        <w:rPr>
          <w:position w:val="5"/>
          <w:sz w:val="12"/>
        </w:rPr>
        <w:t>414</w:t>
      </w:r>
      <w:r>
        <w:rPr>
          <w:spacing w:val="15"/>
          <w:position w:val="5"/>
          <w:sz w:val="12"/>
        </w:rPr>
        <w:t xml:space="preserve"> </w:t>
      </w:r>
      <w:r>
        <w:rPr>
          <w:sz w:val="18"/>
        </w:rPr>
        <w:t>Panel</w:t>
      </w:r>
      <w:r>
        <w:rPr>
          <w:spacing w:val="-3"/>
          <w:sz w:val="18"/>
        </w:rPr>
        <w:t xml:space="preserve"> </w:t>
      </w:r>
      <w:r>
        <w:rPr>
          <w:sz w:val="18"/>
        </w:rPr>
        <w:t>Report,</w:t>
      </w:r>
      <w:r>
        <w:rPr>
          <w:spacing w:val="-1"/>
          <w:sz w:val="18"/>
        </w:rPr>
        <w:t xml:space="preserve"> </w:t>
      </w:r>
      <w:r>
        <w:rPr>
          <w:i/>
          <w:sz w:val="18"/>
        </w:rPr>
        <w:t>Korea</w:t>
      </w:r>
      <w:r>
        <w:rPr>
          <w:i/>
          <w:spacing w:val="-2"/>
          <w:sz w:val="18"/>
        </w:rPr>
        <w:t xml:space="preserve"> </w:t>
      </w:r>
      <w:r>
        <w:rPr>
          <w:i/>
          <w:sz w:val="18"/>
        </w:rPr>
        <w:t>–</w:t>
      </w:r>
      <w:r>
        <w:rPr>
          <w:i/>
          <w:spacing w:val="-4"/>
          <w:sz w:val="18"/>
        </w:rPr>
        <w:t xml:space="preserve"> </w:t>
      </w:r>
      <w:r>
        <w:rPr>
          <w:i/>
          <w:sz w:val="18"/>
        </w:rPr>
        <w:t>Certain</w:t>
      </w:r>
      <w:r>
        <w:rPr>
          <w:i/>
          <w:spacing w:val="-6"/>
          <w:sz w:val="18"/>
        </w:rPr>
        <w:t xml:space="preserve"> </w:t>
      </w:r>
      <w:r>
        <w:rPr>
          <w:i/>
          <w:sz w:val="18"/>
        </w:rPr>
        <w:t>Paper</w:t>
      </w:r>
      <w:r>
        <w:rPr>
          <w:sz w:val="18"/>
        </w:rPr>
        <w:t>,</w:t>
      </w:r>
      <w:r>
        <w:rPr>
          <w:spacing w:val="-2"/>
          <w:sz w:val="18"/>
        </w:rPr>
        <w:t xml:space="preserve"> </w:t>
      </w:r>
      <w:r>
        <w:rPr>
          <w:sz w:val="18"/>
        </w:rPr>
        <w:t>para.</w:t>
      </w:r>
      <w:r>
        <w:rPr>
          <w:spacing w:val="-2"/>
          <w:sz w:val="18"/>
        </w:rPr>
        <w:t xml:space="preserve"> 7.122.</w:t>
      </w:r>
    </w:p>
    <w:p w14:paraId="7FD0850F" w14:textId="77777777" w:rsidR="00BD462C" w:rsidRDefault="00033D0F">
      <w:pPr>
        <w:spacing w:before="1"/>
        <w:ind w:left="135"/>
        <w:rPr>
          <w:sz w:val="18"/>
        </w:rPr>
      </w:pPr>
      <w:bookmarkStart w:id="589" w:name="_bookmark505"/>
      <w:bookmarkEnd w:id="589"/>
      <w:r>
        <w:rPr>
          <w:position w:val="5"/>
          <w:sz w:val="12"/>
        </w:rPr>
        <w:t>415</w:t>
      </w:r>
      <w:r>
        <w:rPr>
          <w:spacing w:val="14"/>
          <w:position w:val="5"/>
          <w:sz w:val="12"/>
        </w:rPr>
        <w:t xml:space="preserve"> </w:t>
      </w:r>
      <w:r>
        <w:rPr>
          <w:sz w:val="18"/>
        </w:rPr>
        <w:t>Panel</w:t>
      </w:r>
      <w:r>
        <w:rPr>
          <w:spacing w:val="-2"/>
          <w:sz w:val="18"/>
        </w:rPr>
        <w:t xml:space="preserve"> </w:t>
      </w:r>
      <w:r>
        <w:rPr>
          <w:sz w:val="18"/>
        </w:rPr>
        <w:t>Report,</w:t>
      </w:r>
      <w:r>
        <w:rPr>
          <w:spacing w:val="-7"/>
          <w:sz w:val="18"/>
        </w:rPr>
        <w:t xml:space="preserve"> </w:t>
      </w:r>
      <w:r>
        <w:rPr>
          <w:i/>
          <w:sz w:val="18"/>
        </w:rPr>
        <w:t>Mexico</w:t>
      </w:r>
      <w:r>
        <w:rPr>
          <w:i/>
          <w:spacing w:val="-2"/>
          <w:sz w:val="18"/>
        </w:rPr>
        <w:t xml:space="preserve"> </w:t>
      </w:r>
      <w:r>
        <w:rPr>
          <w:i/>
          <w:sz w:val="18"/>
        </w:rPr>
        <w:t>–</w:t>
      </w:r>
      <w:r>
        <w:rPr>
          <w:i/>
          <w:spacing w:val="-4"/>
          <w:sz w:val="18"/>
        </w:rPr>
        <w:t xml:space="preserve"> </w:t>
      </w:r>
      <w:r>
        <w:rPr>
          <w:i/>
          <w:sz w:val="18"/>
        </w:rPr>
        <w:t>Anti-Dumping</w:t>
      </w:r>
      <w:r>
        <w:rPr>
          <w:i/>
          <w:spacing w:val="-7"/>
          <w:sz w:val="18"/>
        </w:rPr>
        <w:t xml:space="preserve"> </w:t>
      </w:r>
      <w:r>
        <w:rPr>
          <w:i/>
          <w:sz w:val="18"/>
        </w:rPr>
        <w:t>Measures</w:t>
      </w:r>
      <w:r>
        <w:rPr>
          <w:i/>
          <w:spacing w:val="-4"/>
          <w:sz w:val="18"/>
        </w:rPr>
        <w:t xml:space="preserve"> </w:t>
      </w:r>
      <w:r>
        <w:rPr>
          <w:i/>
          <w:sz w:val="18"/>
        </w:rPr>
        <w:t>on</w:t>
      </w:r>
      <w:r>
        <w:rPr>
          <w:i/>
          <w:spacing w:val="-2"/>
          <w:sz w:val="18"/>
        </w:rPr>
        <w:t xml:space="preserve"> </w:t>
      </w:r>
      <w:r>
        <w:rPr>
          <w:i/>
          <w:sz w:val="18"/>
        </w:rPr>
        <w:t>Rice</w:t>
      </w:r>
      <w:r>
        <w:rPr>
          <w:sz w:val="18"/>
        </w:rPr>
        <w:t>,</w:t>
      </w:r>
      <w:r>
        <w:rPr>
          <w:spacing w:val="-2"/>
          <w:sz w:val="18"/>
        </w:rPr>
        <w:t xml:space="preserve"> </w:t>
      </w:r>
      <w:r>
        <w:rPr>
          <w:sz w:val="18"/>
        </w:rPr>
        <w:t>para.</w:t>
      </w:r>
      <w:r>
        <w:rPr>
          <w:spacing w:val="2"/>
          <w:sz w:val="18"/>
        </w:rPr>
        <w:t xml:space="preserve"> </w:t>
      </w:r>
      <w:r>
        <w:rPr>
          <w:spacing w:val="-2"/>
          <w:sz w:val="18"/>
        </w:rPr>
        <w:t>7.167.</w:t>
      </w:r>
    </w:p>
    <w:p w14:paraId="7D8D90DF" w14:textId="77777777" w:rsidR="00BD462C" w:rsidRDefault="00BD462C">
      <w:pPr>
        <w:rPr>
          <w:sz w:val="18"/>
        </w:rPr>
        <w:sectPr w:rsidR="00BD462C">
          <w:pgSz w:w="11910" w:h="16840"/>
          <w:pgMar w:top="860" w:right="500" w:bottom="780" w:left="1280" w:header="566" w:footer="590" w:gutter="0"/>
          <w:cols w:space="720"/>
        </w:sectPr>
      </w:pPr>
    </w:p>
    <w:p w14:paraId="3AFBC81A"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6838687B"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570D2B1F"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2F3C2871" w14:textId="77777777" w:rsidR="00BD462C" w:rsidRDefault="00033D0F" w:rsidP="00DA02D9">
      <w:pPr>
        <w:pStyle w:val="ListParagraph"/>
        <w:numPr>
          <w:ilvl w:val="1"/>
          <w:numId w:val="72"/>
        </w:numPr>
        <w:tabs>
          <w:tab w:val="left" w:pos="3539"/>
          <w:tab w:val="left" w:pos="3540"/>
        </w:tabs>
        <w:spacing w:before="102" w:line="357" w:lineRule="auto"/>
        <w:ind w:right="915"/>
        <w:rPr>
          <w:sz w:val="24"/>
        </w:rPr>
      </w:pPr>
      <w:bookmarkStart w:id="590" w:name="(e)_The_replacement_information_was_not_"/>
      <w:bookmarkEnd w:id="590"/>
      <w:r>
        <w:rPr>
          <w:sz w:val="24"/>
          <w:u w:val="single"/>
        </w:rPr>
        <w:t>The replacement information was not the</w:t>
      </w:r>
      <w:r>
        <w:rPr>
          <w:spacing w:val="28"/>
          <w:sz w:val="24"/>
          <w:u w:val="single"/>
        </w:rPr>
        <w:t xml:space="preserve"> </w:t>
      </w:r>
      <w:r>
        <w:rPr>
          <w:sz w:val="24"/>
          <w:u w:val="single"/>
        </w:rPr>
        <w:t>best available</w:t>
      </w:r>
      <w:r>
        <w:rPr>
          <w:sz w:val="24"/>
        </w:rPr>
        <w:t xml:space="preserve"> </w:t>
      </w:r>
      <w:r>
        <w:rPr>
          <w:spacing w:val="-2"/>
          <w:sz w:val="24"/>
          <w:u w:val="single"/>
        </w:rPr>
        <w:t>information</w:t>
      </w:r>
    </w:p>
    <w:p w14:paraId="31E84B45" w14:textId="77777777" w:rsidR="00BD462C" w:rsidRDefault="00BD462C">
      <w:pPr>
        <w:pStyle w:val="BodyText"/>
        <w:spacing w:before="3"/>
        <w:rPr>
          <w:sz w:val="9"/>
        </w:rPr>
      </w:pPr>
    </w:p>
    <w:p w14:paraId="379C7633" w14:textId="1A2B4262" w:rsidR="00BD462C" w:rsidRDefault="00033D0F" w:rsidP="00DA02D9">
      <w:pPr>
        <w:pStyle w:val="BodyText"/>
        <w:numPr>
          <w:ilvl w:val="0"/>
          <w:numId w:val="71"/>
        </w:numPr>
        <w:spacing w:before="56"/>
      </w:pPr>
      <w:r>
        <w:rPr>
          <w:position w:val="1"/>
        </w:rPr>
        <w:t>According</w:t>
      </w:r>
      <w:r>
        <w:rPr>
          <w:spacing w:val="37"/>
          <w:position w:val="1"/>
        </w:rPr>
        <w:t xml:space="preserve"> </w:t>
      </w:r>
      <w:r>
        <w:rPr>
          <w:position w:val="1"/>
        </w:rPr>
        <w:t>to</w:t>
      </w:r>
      <w:r>
        <w:rPr>
          <w:spacing w:val="38"/>
          <w:position w:val="1"/>
        </w:rPr>
        <w:t xml:space="preserve"> </w:t>
      </w:r>
      <w:r>
        <w:rPr>
          <w:position w:val="1"/>
        </w:rPr>
        <w:t>Exhibit</w:t>
      </w:r>
      <w:r>
        <w:rPr>
          <w:spacing w:val="36"/>
          <w:position w:val="1"/>
        </w:rPr>
        <w:t xml:space="preserve"> </w:t>
      </w:r>
      <w:r>
        <w:rPr>
          <w:position w:val="1"/>
        </w:rPr>
        <w:t>CHN-11</w:t>
      </w:r>
      <w:r>
        <w:rPr>
          <w:spacing w:val="32"/>
          <w:position w:val="1"/>
        </w:rPr>
        <w:t xml:space="preserve"> </w:t>
      </w:r>
      <w:r>
        <w:rPr>
          <w:position w:val="1"/>
        </w:rPr>
        <w:t>(BCI),</w:t>
      </w:r>
      <w:r>
        <w:rPr>
          <w:spacing w:val="37"/>
          <w:position w:val="1"/>
        </w:rPr>
        <w:t xml:space="preserve"> </w:t>
      </w:r>
      <w:r>
        <w:rPr>
          <w:position w:val="1"/>
        </w:rPr>
        <w:t>Casella</w:t>
      </w:r>
      <w:r>
        <w:rPr>
          <w:spacing w:val="34"/>
          <w:position w:val="1"/>
        </w:rPr>
        <w:t xml:space="preserve"> </w:t>
      </w:r>
      <w:r>
        <w:rPr>
          <w:position w:val="1"/>
        </w:rPr>
        <w:t>Wines'</w:t>
      </w:r>
      <w:r>
        <w:rPr>
          <w:spacing w:val="34"/>
          <w:position w:val="1"/>
        </w:rPr>
        <w:t xml:space="preserve"> </w:t>
      </w:r>
      <w:r>
        <w:rPr>
          <w:position w:val="1"/>
        </w:rPr>
        <w:t>normal</w:t>
      </w:r>
      <w:r>
        <w:rPr>
          <w:spacing w:val="37"/>
          <w:position w:val="1"/>
        </w:rPr>
        <w:t xml:space="preserve"> </w:t>
      </w:r>
      <w:r>
        <w:rPr>
          <w:position w:val="1"/>
        </w:rPr>
        <w:t>value</w:t>
      </w:r>
      <w:r>
        <w:rPr>
          <w:spacing w:val="34"/>
          <w:position w:val="1"/>
        </w:rPr>
        <w:t xml:space="preserve"> </w:t>
      </w:r>
      <w:r>
        <w:rPr>
          <w:position w:val="1"/>
        </w:rPr>
        <w:t>was</w:t>
      </w:r>
      <w:r>
        <w:rPr>
          <w:spacing w:val="37"/>
          <w:position w:val="1"/>
        </w:rPr>
        <w:t xml:space="preserve"> </w:t>
      </w:r>
      <w:r>
        <w:rPr>
          <w:position w:val="1"/>
        </w:rPr>
        <w:t>based</w:t>
      </w:r>
      <w:r>
        <w:rPr>
          <w:spacing w:val="32"/>
          <w:position w:val="1"/>
        </w:rPr>
        <w:t xml:space="preserve"> </w:t>
      </w:r>
      <w:r>
        <w:rPr>
          <w:position w:val="1"/>
        </w:rPr>
        <w:t>on</w:t>
      </w:r>
      <w:r>
        <w:rPr>
          <w:spacing w:val="32"/>
          <w:position w:val="1"/>
        </w:rPr>
        <w:t xml:space="preserve"> </w:t>
      </w:r>
      <w:r>
        <w:rPr>
          <w:position w:val="1"/>
        </w:rPr>
        <w:t>the</w:t>
      </w:r>
    </w:p>
    <w:p w14:paraId="086F5E18" w14:textId="77C30DBC" w:rsidR="00BD462C" w:rsidRDefault="00D70C7D">
      <w:pPr>
        <w:pStyle w:val="BodyText"/>
        <w:spacing w:before="8"/>
        <w:rPr>
          <w:sz w:val="9"/>
        </w:rPr>
      </w:pPr>
      <w:r>
        <w:rPr>
          <w:noProof/>
        </w:rPr>
        <mc:AlternateContent>
          <mc:Choice Requires="wps">
            <w:drawing>
              <wp:anchor distT="0" distB="0" distL="0" distR="0" simplePos="0" relativeHeight="487711232" behindDoc="1" locked="0" layoutInCell="1" allowOverlap="1" wp14:anchorId="3C4D5D17" wp14:editId="789CFF0F">
                <wp:simplePos x="0" y="0"/>
                <wp:positionH relativeFrom="page">
                  <wp:posOffset>899160</wp:posOffset>
                </wp:positionH>
                <wp:positionV relativeFrom="paragraph">
                  <wp:posOffset>90170</wp:posOffset>
                </wp:positionV>
                <wp:extent cx="5711825" cy="186055"/>
                <wp:effectExtent l="0" t="0" r="0" b="0"/>
                <wp:wrapTopAndBottom/>
                <wp:docPr id="894" name="docshape2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182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46F6AF" id="docshape269" o:spid="_x0000_s1026" alt="&quot;&quot;" style="position:absolute;margin-left:70.8pt;margin-top:7.1pt;width:449.75pt;height:14.65pt;z-index:-15605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" fillcolor="black" stroked="f">
                <w10:wrap type="topAndBottom" anchorx="page"/>
              </v:rect>
            </w:pict>
          </mc:Fallback>
        </mc:AlternateContent>
      </w:r>
      <w:r>
        <w:rPr>
          <w:noProof/>
        </w:rPr>
        <mc:AlternateContent>
          <mc:Choice Requires="wps">
            <w:drawing>
              <wp:anchor distT="0" distB="0" distL="0" distR="0" simplePos="0" relativeHeight="487711744" behindDoc="1" locked="0" layoutInCell="1" allowOverlap="1" wp14:anchorId="7EF908D4" wp14:editId="59B0E2D3">
                <wp:simplePos x="0" y="0"/>
                <wp:positionH relativeFrom="page">
                  <wp:posOffset>899160</wp:posOffset>
                </wp:positionH>
                <wp:positionV relativeFrom="paragraph">
                  <wp:posOffset>367665</wp:posOffset>
                </wp:positionV>
                <wp:extent cx="5696585" cy="186055"/>
                <wp:effectExtent l="0" t="0" r="0" b="0"/>
                <wp:wrapTopAndBottom/>
                <wp:docPr id="892" name="docshape2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658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7DBCA5" id="docshape270" o:spid="_x0000_s1026" alt="&quot;&quot;" style="position:absolute;margin-left:70.8pt;margin-top:28.95pt;width:448.55pt;height:14.65pt;z-index:-15604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" fillcolor="black" stroked="f">
                <w10:wrap type="topAndBottom" anchorx="page"/>
              </v:rect>
            </w:pict>
          </mc:Fallback>
        </mc:AlternateContent>
      </w:r>
    </w:p>
    <w:p w14:paraId="337970D9" w14:textId="77777777" w:rsidR="00BD462C" w:rsidRDefault="00BD462C">
      <w:pPr>
        <w:pStyle w:val="BodyText"/>
        <w:spacing w:before="10"/>
        <w:rPr>
          <w:sz w:val="9"/>
        </w:rPr>
      </w:pPr>
    </w:p>
    <w:p w14:paraId="54EAFC2A" w14:textId="77777777" w:rsidR="00BD462C" w:rsidRDefault="00BD462C">
      <w:pPr>
        <w:pStyle w:val="BodyText"/>
        <w:spacing w:before="1"/>
        <w:rPr>
          <w:sz w:val="8"/>
        </w:rPr>
      </w:pPr>
    </w:p>
    <w:p w14:paraId="55D8AE19" w14:textId="4D243023" w:rsidR="00BD462C" w:rsidRDefault="00D70C7D">
      <w:pPr>
        <w:pStyle w:val="BodyText"/>
        <w:spacing w:before="52"/>
        <w:ind w:left="4019"/>
        <w:jc w:val="both"/>
      </w:pPr>
      <w:r>
        <w:rPr>
          <w:noProof/>
        </w:rPr>
        <mc:AlternateContent>
          <mc:Choice Requires="wps">
            <w:drawing>
              <wp:anchor distT="0" distB="0" distL="114300" distR="114300" simplePos="0" relativeHeight="15855616" behindDoc="0" locked="0" layoutInCell="1" allowOverlap="1" wp14:anchorId="32D4A62D" wp14:editId="71FAAF7C">
                <wp:simplePos x="0" y="0"/>
                <wp:positionH relativeFrom="page">
                  <wp:posOffset>899160</wp:posOffset>
                </wp:positionH>
                <wp:positionV relativeFrom="paragraph">
                  <wp:posOffset>31750</wp:posOffset>
                </wp:positionV>
                <wp:extent cx="2465705" cy="186055"/>
                <wp:effectExtent l="0" t="0" r="0" b="0"/>
                <wp:wrapNone/>
                <wp:docPr id="890" name="docshape2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0BC9F3" id="docshape271" o:spid="_x0000_s1026" alt="&quot;&quot;" style="position:absolute;margin-left:70.8pt;margin-top:2.5pt;width:194.15pt;height:14.65pt;z-index:1585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" fillcolor="black" stroked="f">
                <w10:wrap anchorx="page"/>
              </v:rect>
            </w:pict>
          </mc:Fallback>
        </mc:AlternateContent>
      </w:r>
      <w:r w:rsidR="00033D0F">
        <w:t>.</w:t>
      </w:r>
      <w:r w:rsidR="00033D0F">
        <w:rPr>
          <w:spacing w:val="22"/>
        </w:rPr>
        <w:t xml:space="preserve"> </w:t>
      </w:r>
      <w:r w:rsidR="00033D0F">
        <w:t>If</w:t>
      </w:r>
      <w:r w:rsidR="00033D0F">
        <w:rPr>
          <w:spacing w:val="19"/>
        </w:rPr>
        <w:t xml:space="preserve"> </w:t>
      </w:r>
      <w:r w:rsidR="00033D0F">
        <w:t>MOFCOM</w:t>
      </w:r>
      <w:r w:rsidR="00033D0F">
        <w:rPr>
          <w:spacing w:val="22"/>
        </w:rPr>
        <w:t xml:space="preserve"> </w:t>
      </w:r>
      <w:r w:rsidR="00033D0F">
        <w:t>was</w:t>
      </w:r>
      <w:r w:rsidR="00033D0F">
        <w:rPr>
          <w:spacing w:val="22"/>
        </w:rPr>
        <w:t xml:space="preserve"> </w:t>
      </w:r>
      <w:r w:rsidR="00033D0F">
        <w:t>correct</w:t>
      </w:r>
      <w:r w:rsidR="00033D0F">
        <w:rPr>
          <w:spacing w:val="21"/>
        </w:rPr>
        <w:t xml:space="preserve"> </w:t>
      </w:r>
      <w:r w:rsidR="00033D0F">
        <w:t>in</w:t>
      </w:r>
      <w:r w:rsidR="00033D0F">
        <w:rPr>
          <w:spacing w:val="20"/>
        </w:rPr>
        <w:t xml:space="preserve"> </w:t>
      </w:r>
      <w:r w:rsidR="00033D0F">
        <w:t>relying</w:t>
      </w:r>
      <w:r w:rsidR="00033D0F">
        <w:rPr>
          <w:spacing w:val="22"/>
        </w:rPr>
        <w:t xml:space="preserve"> </w:t>
      </w:r>
      <w:r w:rsidR="00033D0F">
        <w:t>on</w:t>
      </w:r>
      <w:r w:rsidR="00033D0F">
        <w:rPr>
          <w:spacing w:val="20"/>
        </w:rPr>
        <w:t xml:space="preserve"> </w:t>
      </w:r>
      <w:r w:rsidR="00033D0F">
        <w:rPr>
          <w:spacing w:val="-2"/>
        </w:rPr>
        <w:t>replacement</w:t>
      </w:r>
    </w:p>
    <w:p w14:paraId="749BE2ED" w14:textId="1A983246" w:rsidR="00BD462C" w:rsidRDefault="00D70C7D">
      <w:pPr>
        <w:pStyle w:val="BodyText"/>
        <w:tabs>
          <w:tab w:val="left" w:pos="3140"/>
        </w:tabs>
        <w:spacing w:before="144" w:line="360" w:lineRule="auto"/>
        <w:ind w:left="135" w:right="916"/>
        <w:jc w:val="both"/>
      </w:pPr>
      <w:r>
        <w:rPr>
          <w:noProof/>
        </w:rPr>
        <mc:AlternateContent>
          <mc:Choice Requires="wps">
            <w:drawing>
              <wp:anchor distT="0" distB="0" distL="114300" distR="114300" simplePos="0" relativeHeight="479017472" behindDoc="1" locked="0" layoutInCell="1" allowOverlap="1" wp14:anchorId="22F7DB40" wp14:editId="39F1CF78">
                <wp:simplePos x="0" y="0"/>
                <wp:positionH relativeFrom="page">
                  <wp:posOffset>1593850</wp:posOffset>
                </wp:positionH>
                <wp:positionV relativeFrom="paragraph">
                  <wp:posOffset>90170</wp:posOffset>
                </wp:positionV>
                <wp:extent cx="1212850" cy="186055"/>
                <wp:effectExtent l="0" t="0" r="0" b="0"/>
                <wp:wrapNone/>
                <wp:docPr id="888" name="docshape2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D594E9" id="docshape272" o:spid="_x0000_s1026" alt="&quot;&quot;" style="position:absolute;margin-left:125.5pt;margin-top:7.1pt;width:95.5pt;height:14.65pt;z-index:-24299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" fillcolor="black" stroked="f">
                <w10:wrap anchorx="page"/>
              </v:rect>
            </w:pict>
          </mc:Fallback>
        </mc:AlternateContent>
      </w:r>
      <w:r>
        <w:rPr>
          <w:noProof/>
        </w:rPr>
        <mc:AlternateContent>
          <mc:Choice Requires="wps">
            <w:drawing>
              <wp:anchor distT="0" distB="0" distL="114300" distR="114300" simplePos="0" relativeHeight="15856640" behindDoc="0" locked="0" layoutInCell="1" allowOverlap="1" wp14:anchorId="19A2E3FE" wp14:editId="392B2B66">
                <wp:simplePos x="0" y="0"/>
                <wp:positionH relativeFrom="page">
                  <wp:posOffset>1972945</wp:posOffset>
                </wp:positionH>
                <wp:positionV relativeFrom="paragraph">
                  <wp:posOffset>648335</wp:posOffset>
                </wp:positionV>
                <wp:extent cx="4685030" cy="186055"/>
                <wp:effectExtent l="0" t="0" r="0" b="0"/>
                <wp:wrapNone/>
                <wp:docPr id="886" name="docshape2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503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C5175F" id="docshape273" o:spid="_x0000_s1026" alt="&quot;&quot;" style="position:absolute;margin-left:155.35pt;margin-top:51.05pt;width:368.9pt;height:14.65pt;z-index:1585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" fillcolor="black" stroked="f">
                <w10:wrap anchorx="page"/>
              </v:rect>
            </w:pict>
          </mc:Fallback>
        </mc:AlternateContent>
      </w:r>
      <w:r w:rsidR="00033D0F">
        <w:t>facts from</w:t>
      </w:r>
      <w:r w:rsidR="00033D0F">
        <w:tab/>
        <w:t>, this information was not the best available information. As shown</w:t>
      </w:r>
      <w:r w:rsidR="00033D0F">
        <w:rPr>
          <w:spacing w:val="-12"/>
        </w:rPr>
        <w:t xml:space="preserve"> </w:t>
      </w:r>
      <w:r w:rsidR="00033D0F">
        <w:t>in</w:t>
      </w:r>
      <w:r w:rsidR="00033D0F">
        <w:rPr>
          <w:spacing w:val="-12"/>
        </w:rPr>
        <w:t xml:space="preserve"> </w:t>
      </w:r>
      <w:r w:rsidR="00033D0F">
        <w:t>Exhibit</w:t>
      </w:r>
      <w:r w:rsidR="00033D0F">
        <w:rPr>
          <w:spacing w:val="-9"/>
        </w:rPr>
        <w:t xml:space="preserve"> </w:t>
      </w:r>
      <w:r w:rsidR="00033D0F">
        <w:t>AUS-120</w:t>
      </w:r>
      <w:r w:rsidR="00033D0F">
        <w:rPr>
          <w:spacing w:val="-12"/>
        </w:rPr>
        <w:t xml:space="preserve"> </w:t>
      </w:r>
      <w:r w:rsidR="00033D0F">
        <w:t>and</w:t>
      </w:r>
      <w:r w:rsidR="00033D0F">
        <w:rPr>
          <w:spacing w:val="-7"/>
        </w:rPr>
        <w:t xml:space="preserve"> </w:t>
      </w:r>
      <w:r w:rsidR="00033D0F">
        <w:t>discussed</w:t>
      </w:r>
      <w:r w:rsidR="00033D0F">
        <w:rPr>
          <w:spacing w:val="-12"/>
        </w:rPr>
        <w:t xml:space="preserve"> </w:t>
      </w:r>
      <w:r w:rsidR="00033D0F">
        <w:t>above,</w:t>
      </w:r>
      <w:hyperlink w:anchor="_bookmark506" w:history="1">
        <w:r w:rsidR="00033D0F">
          <w:rPr>
            <w:vertAlign w:val="superscript"/>
          </w:rPr>
          <w:t>416</w:t>
        </w:r>
      </w:hyperlink>
      <w:r w:rsidR="00033D0F">
        <w:rPr>
          <w:spacing w:val="-9"/>
        </w:rPr>
        <w:t xml:space="preserve"> </w:t>
      </w:r>
      <w:r w:rsidR="00033D0F">
        <w:t>Casella</w:t>
      </w:r>
      <w:r w:rsidR="00033D0F">
        <w:rPr>
          <w:spacing w:val="-10"/>
        </w:rPr>
        <w:t xml:space="preserve"> </w:t>
      </w:r>
      <w:r w:rsidR="00033D0F">
        <w:t>Wines'</w:t>
      </w:r>
      <w:r w:rsidR="00033D0F">
        <w:rPr>
          <w:spacing w:val="-11"/>
        </w:rPr>
        <w:t xml:space="preserve"> </w:t>
      </w:r>
      <w:r w:rsidR="00033D0F">
        <w:t>domestic</w:t>
      </w:r>
      <w:r w:rsidR="00033D0F">
        <w:rPr>
          <w:spacing w:val="-11"/>
        </w:rPr>
        <w:t xml:space="preserve"> </w:t>
      </w:r>
      <w:r w:rsidR="00033D0F">
        <w:t>product</w:t>
      </w:r>
      <w:r w:rsidR="00033D0F">
        <w:rPr>
          <w:spacing w:val="-5"/>
        </w:rPr>
        <w:t xml:space="preserve"> </w:t>
      </w:r>
      <w:r w:rsidR="00033D0F">
        <w:t>mix</w:t>
      </w:r>
      <w:r w:rsidR="00033D0F">
        <w:rPr>
          <w:spacing w:val="-9"/>
        </w:rPr>
        <w:t xml:space="preserve"> </w:t>
      </w:r>
      <w:r w:rsidR="00033D0F">
        <w:t>is</w:t>
      </w:r>
      <w:r w:rsidR="00033D0F">
        <w:rPr>
          <w:spacing w:val="-8"/>
        </w:rPr>
        <w:t xml:space="preserve"> </w:t>
      </w:r>
      <w:r w:rsidR="00033D0F">
        <w:t>very different</w:t>
      </w:r>
      <w:r w:rsidR="00033D0F">
        <w:rPr>
          <w:spacing w:val="80"/>
        </w:rPr>
        <w:t xml:space="preserve"> </w:t>
      </w:r>
      <w:r w:rsidR="00033D0F">
        <w:t>from</w:t>
      </w:r>
    </w:p>
    <w:p w14:paraId="1B5D82E1" w14:textId="6043667D" w:rsidR="00BD462C" w:rsidRDefault="00D70C7D">
      <w:pPr>
        <w:pStyle w:val="BodyText"/>
        <w:ind w:left="136"/>
        <w:rPr>
          <w:sz w:val="20"/>
        </w:rPr>
      </w:pPr>
      <w:r>
        <w:rPr>
          <w:noProof/>
          <w:sz w:val="20"/>
        </w:rPr>
        <mc:AlternateContent>
          <mc:Choice Requires="wpg">
            <w:drawing>
              <wp:inline distT="0" distB="0" distL="0" distR="0" wp14:anchorId="48E47CEF" wp14:editId="60334231">
                <wp:extent cx="5697220" cy="186055"/>
                <wp:effectExtent l="3810" t="1905" r="4445" b="2540"/>
                <wp:docPr id="882" name="docshapegroup274" descr="Redac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7220" cy="186055"/>
                          <a:chOff x="0" y="0"/>
                          <a:chExt cx="8972" cy="293"/>
                        </a:xfrm>
                      </wpg:grpSpPr>
                      <wps:wsp>
                        <wps:cNvPr id="884" name="docshape275"/>
                        <wps:cNvSpPr>
                          <a:spLocks noChangeArrowheads="1"/>
                        </wps:cNvSpPr>
                        <wps:spPr bwMode="auto">
                          <a:xfrm>
                            <a:off x="0" y="0"/>
                            <a:ext cx="8972" cy="29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45FE9A8" id="docshapegroup274" o:spid="_x0000_s1026" alt="Redacted" style="width:448.6pt;height:14.65pt;mso-position-horizontal-relative:char;mso-position-vertical-relative:line" coordsize="8972,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">
                <v:rect id="docshape275" o:spid="_x0000_s1027" style="position:absolute;width:8972;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" fillcolor="black" stroked="f"/>
                <w10:anchorlock/>
              </v:group>
            </w:pict>
          </mc:Fallback>
        </mc:AlternateContent>
      </w:r>
    </w:p>
    <w:p w14:paraId="6D72B10D" w14:textId="3273595F" w:rsidR="00BD462C" w:rsidRDefault="00D70C7D">
      <w:pPr>
        <w:pStyle w:val="BodyText"/>
        <w:spacing w:before="1"/>
        <w:rPr>
          <w:sz w:val="7"/>
        </w:rPr>
      </w:pPr>
      <w:r>
        <w:rPr>
          <w:noProof/>
        </w:rPr>
        <mc:AlternateContent>
          <mc:Choice Requires="wps">
            <w:drawing>
              <wp:anchor distT="0" distB="0" distL="0" distR="0" simplePos="0" relativeHeight="487712768" behindDoc="1" locked="0" layoutInCell="1" allowOverlap="1" wp14:anchorId="0099B804" wp14:editId="0CB11387">
                <wp:simplePos x="0" y="0"/>
                <wp:positionH relativeFrom="page">
                  <wp:posOffset>899160</wp:posOffset>
                </wp:positionH>
                <wp:positionV relativeFrom="paragraph">
                  <wp:posOffset>70485</wp:posOffset>
                </wp:positionV>
                <wp:extent cx="5696585" cy="186055"/>
                <wp:effectExtent l="0" t="0" r="0" b="0"/>
                <wp:wrapTopAndBottom/>
                <wp:docPr id="880" name="docshape2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658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B23E37" id="docshape276" o:spid="_x0000_s1026" alt="&quot;&quot;" style="position:absolute;margin-left:70.8pt;margin-top:5.55pt;width:448.55pt;height:14.65pt;z-index:-15603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" fillcolor="black" stroked="f">
                <w10:wrap type="topAndBottom" anchorx="page"/>
              </v:rect>
            </w:pict>
          </mc:Fallback>
        </mc:AlternateContent>
      </w:r>
      <w:r>
        <w:rPr>
          <w:noProof/>
        </w:rPr>
        <mc:AlternateContent>
          <mc:Choice Requires="wps">
            <w:drawing>
              <wp:anchor distT="0" distB="0" distL="0" distR="0" simplePos="0" relativeHeight="487713280" behindDoc="1" locked="0" layoutInCell="1" allowOverlap="1" wp14:anchorId="2435271B" wp14:editId="369456D8">
                <wp:simplePos x="0" y="0"/>
                <wp:positionH relativeFrom="page">
                  <wp:posOffset>899160</wp:posOffset>
                </wp:positionH>
                <wp:positionV relativeFrom="paragraph">
                  <wp:posOffset>353060</wp:posOffset>
                </wp:positionV>
                <wp:extent cx="5696585" cy="186055"/>
                <wp:effectExtent l="0" t="0" r="0" b="0"/>
                <wp:wrapTopAndBottom/>
                <wp:docPr id="878" name="docshape2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658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91D03C" id="docshape277" o:spid="_x0000_s1026" alt="&quot;&quot;" style="position:absolute;margin-left:70.8pt;margin-top:27.8pt;width:448.55pt;height:14.65pt;z-index:-15603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" fillcolor="black" stroked="f">
                <w10:wrap type="topAndBottom" anchorx="page"/>
              </v:rect>
            </w:pict>
          </mc:Fallback>
        </mc:AlternateContent>
      </w:r>
      <w:r>
        <w:rPr>
          <w:noProof/>
        </w:rPr>
        <mc:AlternateContent>
          <mc:Choice Requires="wps">
            <w:drawing>
              <wp:anchor distT="0" distB="0" distL="0" distR="0" simplePos="0" relativeHeight="487713792" behindDoc="1" locked="0" layoutInCell="1" allowOverlap="1" wp14:anchorId="2629EC63" wp14:editId="0046C8DC">
                <wp:simplePos x="0" y="0"/>
                <wp:positionH relativeFrom="page">
                  <wp:posOffset>899160</wp:posOffset>
                </wp:positionH>
                <wp:positionV relativeFrom="paragraph">
                  <wp:posOffset>629920</wp:posOffset>
                </wp:positionV>
                <wp:extent cx="5696585" cy="186055"/>
                <wp:effectExtent l="0" t="0" r="0" b="0"/>
                <wp:wrapTopAndBottom/>
                <wp:docPr id="876" name="docshape2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658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F516EE" id="docshape278" o:spid="_x0000_s1026" alt="&quot;&quot;" style="position:absolute;margin-left:70.8pt;margin-top:49.6pt;width:448.55pt;height:14.65pt;z-index:-15602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" fillcolor="black" stroked="f">
                <w10:wrap type="topAndBottom" anchorx="page"/>
              </v:rect>
            </w:pict>
          </mc:Fallback>
        </mc:AlternateContent>
      </w:r>
      <w:r>
        <w:rPr>
          <w:noProof/>
        </w:rPr>
        <mc:AlternateContent>
          <mc:Choice Requires="wps">
            <w:drawing>
              <wp:anchor distT="0" distB="0" distL="0" distR="0" simplePos="0" relativeHeight="487714304" behindDoc="1" locked="0" layoutInCell="1" allowOverlap="1" wp14:anchorId="315E4C13" wp14:editId="3A7E2E48">
                <wp:simplePos x="0" y="0"/>
                <wp:positionH relativeFrom="page">
                  <wp:posOffset>899160</wp:posOffset>
                </wp:positionH>
                <wp:positionV relativeFrom="paragraph">
                  <wp:posOffset>908685</wp:posOffset>
                </wp:positionV>
                <wp:extent cx="5696585" cy="186055"/>
                <wp:effectExtent l="0" t="0" r="0" b="0"/>
                <wp:wrapTopAndBottom/>
                <wp:docPr id="874" name="docshape2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658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0B6F0C" id="docshape279" o:spid="_x0000_s1026" alt="&quot;&quot;" style="position:absolute;margin-left:70.8pt;margin-top:71.55pt;width:448.55pt;height:14.65pt;z-index:-15602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" fillcolor="black" stroked="f">
                <w10:wrap type="topAndBottom" anchorx="page"/>
              </v:rect>
            </w:pict>
          </mc:Fallback>
        </mc:AlternateContent>
      </w:r>
      <w:r>
        <w:rPr>
          <w:noProof/>
        </w:rPr>
        <mc:AlternateContent>
          <mc:Choice Requires="wps">
            <w:drawing>
              <wp:anchor distT="0" distB="0" distL="0" distR="0" simplePos="0" relativeHeight="487714816" behindDoc="1" locked="0" layoutInCell="1" allowOverlap="1" wp14:anchorId="09993648" wp14:editId="73D47BC7">
                <wp:simplePos x="0" y="0"/>
                <wp:positionH relativeFrom="page">
                  <wp:posOffset>899160</wp:posOffset>
                </wp:positionH>
                <wp:positionV relativeFrom="paragraph">
                  <wp:posOffset>1189355</wp:posOffset>
                </wp:positionV>
                <wp:extent cx="2030095" cy="186055"/>
                <wp:effectExtent l="0" t="0" r="0" b="0"/>
                <wp:wrapTopAndBottom/>
                <wp:docPr id="872" name="docshape2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009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1CC009" id="docshape280" o:spid="_x0000_s1026" alt="&quot;&quot;" style="position:absolute;margin-left:70.8pt;margin-top:93.65pt;width:159.85pt;height:14.65pt;z-index:-15601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" fillcolor="black" stroked="f">
                <w10:wrap type="topAndBottom" anchorx="page"/>
              </v:rect>
            </w:pict>
          </mc:Fallback>
        </mc:AlternateContent>
      </w:r>
    </w:p>
    <w:p w14:paraId="63FF2C38" w14:textId="77777777" w:rsidR="00BD462C" w:rsidRDefault="00BD462C">
      <w:pPr>
        <w:pStyle w:val="BodyText"/>
        <w:spacing w:before="2"/>
        <w:rPr>
          <w:sz w:val="10"/>
        </w:rPr>
      </w:pPr>
    </w:p>
    <w:p w14:paraId="4F503AC8" w14:textId="77777777" w:rsidR="00BD462C" w:rsidRDefault="00BD462C">
      <w:pPr>
        <w:pStyle w:val="BodyText"/>
        <w:spacing w:before="2"/>
        <w:rPr>
          <w:sz w:val="10"/>
        </w:rPr>
      </w:pPr>
    </w:p>
    <w:p w14:paraId="53EBEDB6" w14:textId="77777777" w:rsidR="00BD462C" w:rsidRDefault="00BD462C">
      <w:pPr>
        <w:pStyle w:val="BodyText"/>
        <w:spacing w:before="10"/>
        <w:rPr>
          <w:sz w:val="9"/>
        </w:rPr>
      </w:pPr>
    </w:p>
    <w:p w14:paraId="1D0B3DE7" w14:textId="77777777" w:rsidR="00BD462C" w:rsidRDefault="00BD462C">
      <w:pPr>
        <w:pStyle w:val="BodyText"/>
        <w:spacing w:before="2"/>
        <w:rPr>
          <w:sz w:val="10"/>
        </w:rPr>
      </w:pPr>
    </w:p>
    <w:p w14:paraId="53529824" w14:textId="77777777" w:rsidR="00BD462C" w:rsidRDefault="00BD462C">
      <w:pPr>
        <w:pStyle w:val="BodyText"/>
        <w:spacing w:before="1"/>
        <w:rPr>
          <w:sz w:val="21"/>
        </w:rPr>
      </w:pPr>
    </w:p>
    <w:p w14:paraId="22A37306" w14:textId="77777777" w:rsidR="00BD462C" w:rsidRDefault="00033D0F" w:rsidP="00DA02D9">
      <w:pPr>
        <w:pStyle w:val="ListParagraph"/>
        <w:numPr>
          <w:ilvl w:val="1"/>
          <w:numId w:val="72"/>
        </w:numPr>
        <w:tabs>
          <w:tab w:val="left" w:pos="3539"/>
          <w:tab w:val="left" w:pos="3540"/>
        </w:tabs>
        <w:spacing w:before="51"/>
        <w:ind w:hanging="851"/>
        <w:rPr>
          <w:sz w:val="24"/>
        </w:rPr>
      </w:pPr>
      <w:bookmarkStart w:id="591" w:name="(f)_Conclusion"/>
      <w:bookmarkEnd w:id="591"/>
      <w:r>
        <w:rPr>
          <w:spacing w:val="-2"/>
          <w:sz w:val="24"/>
          <w:u w:val="single"/>
        </w:rPr>
        <w:t>Conclusion</w:t>
      </w:r>
    </w:p>
    <w:p w14:paraId="73806DC4" w14:textId="77777777" w:rsidR="00BD462C" w:rsidRDefault="00BD462C">
      <w:pPr>
        <w:pStyle w:val="BodyText"/>
        <w:spacing w:before="7"/>
        <w:rPr>
          <w:sz w:val="20"/>
        </w:rPr>
      </w:pPr>
    </w:p>
    <w:p w14:paraId="20FFE813" w14:textId="2407E940" w:rsidR="00BD462C" w:rsidRDefault="00033D0F" w:rsidP="00DA02D9">
      <w:pPr>
        <w:pStyle w:val="BodyText"/>
        <w:numPr>
          <w:ilvl w:val="0"/>
          <w:numId w:val="71"/>
        </w:numPr>
        <w:spacing w:before="56" w:line="360" w:lineRule="auto"/>
        <w:ind w:right="910"/>
        <w:jc w:val="both"/>
      </w:pPr>
      <w:r>
        <w:rPr>
          <w:position w:val="1"/>
        </w:rPr>
        <w:t>MOFCOM</w:t>
      </w:r>
      <w:r>
        <w:rPr>
          <w:spacing w:val="-1"/>
          <w:position w:val="1"/>
        </w:rPr>
        <w:t xml:space="preserve"> </w:t>
      </w:r>
      <w:r>
        <w:rPr>
          <w:position w:val="1"/>
        </w:rPr>
        <w:t>failed</w:t>
      </w:r>
      <w:r>
        <w:rPr>
          <w:spacing w:val="-3"/>
          <w:position w:val="1"/>
        </w:rPr>
        <w:t xml:space="preserve"> </w:t>
      </w:r>
      <w:r>
        <w:rPr>
          <w:position w:val="1"/>
        </w:rPr>
        <w:t>to</w:t>
      </w:r>
      <w:r>
        <w:rPr>
          <w:spacing w:val="-4"/>
          <w:position w:val="1"/>
        </w:rPr>
        <w:t xml:space="preserve"> </w:t>
      </w:r>
      <w:r>
        <w:rPr>
          <w:position w:val="1"/>
        </w:rPr>
        <w:t>undertake</w:t>
      </w:r>
      <w:r>
        <w:rPr>
          <w:spacing w:val="-1"/>
          <w:position w:val="1"/>
        </w:rPr>
        <w:t xml:space="preserve"> </w:t>
      </w:r>
      <w:r>
        <w:rPr>
          <w:position w:val="1"/>
        </w:rPr>
        <w:t>"a</w:t>
      </w:r>
      <w:r>
        <w:rPr>
          <w:spacing w:val="-2"/>
          <w:position w:val="1"/>
        </w:rPr>
        <w:t xml:space="preserve"> </w:t>
      </w:r>
      <w:r>
        <w:rPr>
          <w:position w:val="1"/>
        </w:rPr>
        <w:t>process of</w:t>
      </w:r>
      <w:r>
        <w:rPr>
          <w:spacing w:val="-3"/>
          <w:position w:val="1"/>
        </w:rPr>
        <w:t xml:space="preserve"> </w:t>
      </w:r>
      <w:r>
        <w:rPr>
          <w:position w:val="1"/>
        </w:rPr>
        <w:t>reasoning and</w:t>
      </w:r>
      <w:r>
        <w:rPr>
          <w:spacing w:val="-3"/>
          <w:position w:val="1"/>
        </w:rPr>
        <w:t xml:space="preserve"> </w:t>
      </w:r>
      <w:r>
        <w:rPr>
          <w:position w:val="1"/>
        </w:rPr>
        <w:t>evaluation"</w:t>
      </w:r>
      <w:r>
        <w:rPr>
          <w:spacing w:val="-2"/>
          <w:position w:val="1"/>
        </w:rPr>
        <w:t xml:space="preserve"> </w:t>
      </w:r>
      <w:r>
        <w:rPr>
          <w:position w:val="1"/>
        </w:rPr>
        <w:t>to</w:t>
      </w:r>
      <w:r>
        <w:rPr>
          <w:spacing w:val="-4"/>
          <w:position w:val="1"/>
        </w:rPr>
        <w:t xml:space="preserve"> </w:t>
      </w:r>
      <w:r>
        <w:rPr>
          <w:position w:val="1"/>
        </w:rPr>
        <w:t>select</w:t>
      </w:r>
      <w:r>
        <w:rPr>
          <w:spacing w:val="-1"/>
          <w:position w:val="1"/>
        </w:rPr>
        <w:t xml:space="preserve"> </w:t>
      </w:r>
      <w:r>
        <w:rPr>
          <w:position w:val="1"/>
        </w:rPr>
        <w:t xml:space="preserve">facts </w:t>
      </w:r>
      <w:r>
        <w:t>which reasonably replaced the alleged missing necessary information in order to arrive at an accurate</w:t>
      </w:r>
      <w:r>
        <w:rPr>
          <w:spacing w:val="-7"/>
        </w:rPr>
        <w:t xml:space="preserve"> </w:t>
      </w:r>
      <w:r>
        <w:t>determination</w:t>
      </w:r>
      <w:r>
        <w:rPr>
          <w:spacing w:val="-4"/>
        </w:rPr>
        <w:t xml:space="preserve"> </w:t>
      </w:r>
      <w:r>
        <w:t>of</w:t>
      </w:r>
      <w:r>
        <w:rPr>
          <w:spacing w:val="-4"/>
        </w:rPr>
        <w:t xml:space="preserve"> </w:t>
      </w:r>
      <w:r>
        <w:t>dumping</w:t>
      </w:r>
      <w:r>
        <w:rPr>
          <w:spacing w:val="-6"/>
        </w:rPr>
        <w:t xml:space="preserve"> </w:t>
      </w:r>
      <w:r>
        <w:t>for</w:t>
      </w:r>
      <w:r>
        <w:rPr>
          <w:spacing w:val="-10"/>
        </w:rPr>
        <w:t xml:space="preserve"> </w:t>
      </w:r>
      <w:r>
        <w:t>Casella</w:t>
      </w:r>
      <w:r>
        <w:rPr>
          <w:spacing w:val="-8"/>
        </w:rPr>
        <w:t xml:space="preserve"> </w:t>
      </w:r>
      <w:r>
        <w:t>Wines.</w:t>
      </w:r>
      <w:r>
        <w:rPr>
          <w:spacing w:val="-6"/>
        </w:rPr>
        <w:t xml:space="preserve"> </w:t>
      </w:r>
      <w:r>
        <w:t>China's</w:t>
      </w:r>
      <w:r>
        <w:rPr>
          <w:spacing w:val="-6"/>
        </w:rPr>
        <w:t xml:space="preserve"> </w:t>
      </w:r>
      <w:r>
        <w:rPr>
          <w:i/>
        </w:rPr>
        <w:t>ex</w:t>
      </w:r>
      <w:r>
        <w:rPr>
          <w:i/>
          <w:spacing w:val="-6"/>
        </w:rPr>
        <w:t xml:space="preserve"> </w:t>
      </w:r>
      <w:r>
        <w:rPr>
          <w:i/>
        </w:rPr>
        <w:t>post</w:t>
      </w:r>
      <w:r>
        <w:rPr>
          <w:i/>
          <w:spacing w:val="-7"/>
        </w:rPr>
        <w:t xml:space="preserve"> </w:t>
      </w:r>
      <w:r>
        <w:rPr>
          <w:i/>
        </w:rPr>
        <w:t>facto</w:t>
      </w:r>
      <w:r>
        <w:rPr>
          <w:i/>
          <w:spacing w:val="-5"/>
        </w:rPr>
        <w:t xml:space="preserve"> </w:t>
      </w:r>
      <w:proofErr w:type="spellStart"/>
      <w:r>
        <w:t>rationalisations</w:t>
      </w:r>
      <w:proofErr w:type="spellEnd"/>
      <w:r>
        <w:rPr>
          <w:spacing w:val="-6"/>
        </w:rPr>
        <w:t xml:space="preserve"> </w:t>
      </w:r>
      <w:r>
        <w:t xml:space="preserve">in no way justify MOFCOM's selection of </w:t>
      </w:r>
      <w:proofErr w:type="gramStart"/>
      <w:r>
        <w:t>facts, or</w:t>
      </w:r>
      <w:proofErr w:type="gramEnd"/>
      <w:r>
        <w:t xml:space="preserve"> demonstrate that it was reasonable to use rejected</w:t>
      </w:r>
      <w:r>
        <w:rPr>
          <w:spacing w:val="-14"/>
        </w:rPr>
        <w:t xml:space="preserve"> </w:t>
      </w:r>
      <w:r>
        <w:t>Treasury</w:t>
      </w:r>
      <w:r>
        <w:rPr>
          <w:spacing w:val="-6"/>
        </w:rPr>
        <w:t xml:space="preserve"> </w:t>
      </w:r>
      <w:r>
        <w:t>Wines</w:t>
      </w:r>
      <w:r>
        <w:rPr>
          <w:spacing w:val="-10"/>
        </w:rPr>
        <w:t xml:space="preserve"> </w:t>
      </w:r>
      <w:r>
        <w:t>data</w:t>
      </w:r>
      <w:r>
        <w:rPr>
          <w:spacing w:val="-12"/>
        </w:rPr>
        <w:t xml:space="preserve"> </w:t>
      </w:r>
      <w:r>
        <w:t>as</w:t>
      </w:r>
      <w:r>
        <w:rPr>
          <w:spacing w:val="-10"/>
        </w:rPr>
        <w:t xml:space="preserve"> </w:t>
      </w:r>
      <w:r>
        <w:t>the</w:t>
      </w:r>
      <w:r>
        <w:rPr>
          <w:spacing w:val="-12"/>
        </w:rPr>
        <w:t xml:space="preserve"> </w:t>
      </w:r>
      <w:r>
        <w:t>basis</w:t>
      </w:r>
      <w:r>
        <w:rPr>
          <w:spacing w:val="-10"/>
        </w:rPr>
        <w:t xml:space="preserve"> </w:t>
      </w:r>
      <w:r>
        <w:t>for</w:t>
      </w:r>
      <w:r>
        <w:rPr>
          <w:spacing w:val="-14"/>
        </w:rPr>
        <w:t xml:space="preserve"> </w:t>
      </w:r>
      <w:r>
        <w:t>normal</w:t>
      </w:r>
      <w:r>
        <w:rPr>
          <w:spacing w:val="-9"/>
        </w:rPr>
        <w:t xml:space="preserve"> </w:t>
      </w:r>
      <w:r>
        <w:t>value</w:t>
      </w:r>
      <w:r>
        <w:rPr>
          <w:spacing w:val="-12"/>
        </w:rPr>
        <w:t xml:space="preserve"> </w:t>
      </w:r>
      <w:r>
        <w:t>for</w:t>
      </w:r>
      <w:r>
        <w:rPr>
          <w:spacing w:val="-14"/>
        </w:rPr>
        <w:t xml:space="preserve"> </w:t>
      </w:r>
      <w:r>
        <w:t>the</w:t>
      </w:r>
      <w:r>
        <w:rPr>
          <w:spacing w:val="-11"/>
        </w:rPr>
        <w:t xml:space="preserve"> </w:t>
      </w:r>
      <w:r>
        <w:t>Casella</w:t>
      </w:r>
      <w:r>
        <w:rPr>
          <w:spacing w:val="-12"/>
        </w:rPr>
        <w:t xml:space="preserve"> </w:t>
      </w:r>
      <w:r>
        <w:t>Wines</w:t>
      </w:r>
      <w:r>
        <w:rPr>
          <w:spacing w:val="-10"/>
        </w:rPr>
        <w:t xml:space="preserve"> </w:t>
      </w:r>
      <w:r>
        <w:t>was</w:t>
      </w:r>
      <w:r>
        <w:rPr>
          <w:spacing w:val="-10"/>
        </w:rPr>
        <w:t xml:space="preserve"> </w:t>
      </w:r>
      <w:r>
        <w:t>the</w:t>
      </w:r>
      <w:r>
        <w:rPr>
          <w:spacing w:val="-12"/>
        </w:rPr>
        <w:t xml:space="preserve"> </w:t>
      </w:r>
      <w:r>
        <w:t>"best information available".</w:t>
      </w:r>
    </w:p>
    <w:p w14:paraId="1476DBB9" w14:textId="77777777" w:rsidR="00BD462C" w:rsidRDefault="00BD462C">
      <w:pPr>
        <w:pStyle w:val="BodyText"/>
        <w:spacing w:before="8"/>
        <w:rPr>
          <w:sz w:val="8"/>
        </w:rPr>
      </w:pPr>
    </w:p>
    <w:p w14:paraId="2ED8123D" w14:textId="76CF57B0" w:rsidR="00BD462C" w:rsidRDefault="00033D0F" w:rsidP="00DA02D9">
      <w:pPr>
        <w:pStyle w:val="BodyText"/>
        <w:numPr>
          <w:ilvl w:val="0"/>
          <w:numId w:val="71"/>
        </w:numPr>
        <w:spacing w:before="56" w:line="357" w:lineRule="auto"/>
        <w:ind w:right="917"/>
        <w:jc w:val="both"/>
      </w:pPr>
      <w:r>
        <w:rPr>
          <w:position w:val="1"/>
        </w:rPr>
        <w:t>Based</w:t>
      </w:r>
      <w:r>
        <w:rPr>
          <w:spacing w:val="-9"/>
          <w:position w:val="1"/>
        </w:rPr>
        <w:t xml:space="preserve"> </w:t>
      </w:r>
      <w:r>
        <w:rPr>
          <w:position w:val="1"/>
        </w:rPr>
        <w:t>on</w:t>
      </w:r>
      <w:r>
        <w:rPr>
          <w:spacing w:val="-9"/>
          <w:position w:val="1"/>
        </w:rPr>
        <w:t xml:space="preserve"> </w:t>
      </w:r>
      <w:r>
        <w:rPr>
          <w:position w:val="1"/>
        </w:rPr>
        <w:t>the</w:t>
      </w:r>
      <w:r>
        <w:rPr>
          <w:spacing w:val="-3"/>
          <w:position w:val="1"/>
        </w:rPr>
        <w:t xml:space="preserve"> </w:t>
      </w:r>
      <w:r>
        <w:rPr>
          <w:position w:val="1"/>
        </w:rPr>
        <w:t>reasons</w:t>
      </w:r>
      <w:r>
        <w:rPr>
          <w:spacing w:val="-6"/>
          <w:position w:val="1"/>
        </w:rPr>
        <w:t xml:space="preserve"> </w:t>
      </w:r>
      <w:r>
        <w:rPr>
          <w:position w:val="1"/>
        </w:rPr>
        <w:t>set</w:t>
      </w:r>
      <w:r>
        <w:rPr>
          <w:spacing w:val="-7"/>
          <w:position w:val="1"/>
        </w:rPr>
        <w:t xml:space="preserve"> </w:t>
      </w:r>
      <w:r>
        <w:rPr>
          <w:position w:val="1"/>
        </w:rPr>
        <w:t>out</w:t>
      </w:r>
      <w:r>
        <w:rPr>
          <w:spacing w:val="-7"/>
          <w:position w:val="1"/>
        </w:rPr>
        <w:t xml:space="preserve"> </w:t>
      </w:r>
      <w:r>
        <w:rPr>
          <w:position w:val="1"/>
        </w:rPr>
        <w:t>above,</w:t>
      </w:r>
      <w:r>
        <w:rPr>
          <w:spacing w:val="-5"/>
          <w:position w:val="1"/>
        </w:rPr>
        <w:t xml:space="preserve"> </w:t>
      </w:r>
      <w:r>
        <w:rPr>
          <w:position w:val="1"/>
        </w:rPr>
        <w:t>and</w:t>
      </w:r>
      <w:r>
        <w:rPr>
          <w:spacing w:val="-4"/>
          <w:position w:val="1"/>
        </w:rPr>
        <w:t xml:space="preserve"> </w:t>
      </w:r>
      <w:r>
        <w:rPr>
          <w:position w:val="1"/>
        </w:rPr>
        <w:t>in</w:t>
      </w:r>
      <w:r>
        <w:rPr>
          <w:spacing w:val="-9"/>
          <w:position w:val="1"/>
        </w:rPr>
        <w:t xml:space="preserve"> </w:t>
      </w:r>
      <w:r>
        <w:rPr>
          <w:position w:val="1"/>
        </w:rPr>
        <w:t>Australia's</w:t>
      </w:r>
      <w:r>
        <w:rPr>
          <w:spacing w:val="-6"/>
          <w:position w:val="1"/>
        </w:rPr>
        <w:t xml:space="preserve"> </w:t>
      </w:r>
      <w:r>
        <w:rPr>
          <w:position w:val="1"/>
        </w:rPr>
        <w:t>first</w:t>
      </w:r>
      <w:r>
        <w:rPr>
          <w:spacing w:val="-7"/>
          <w:position w:val="1"/>
        </w:rPr>
        <w:t xml:space="preserve"> </w:t>
      </w:r>
      <w:r>
        <w:rPr>
          <w:position w:val="1"/>
        </w:rPr>
        <w:t>written</w:t>
      </w:r>
      <w:r>
        <w:rPr>
          <w:spacing w:val="-9"/>
          <w:position w:val="1"/>
        </w:rPr>
        <w:t xml:space="preserve"> </w:t>
      </w:r>
      <w:r>
        <w:rPr>
          <w:position w:val="1"/>
        </w:rPr>
        <w:t>submission,</w:t>
      </w:r>
      <w:r>
        <w:rPr>
          <w:spacing w:val="-5"/>
          <w:position w:val="1"/>
        </w:rPr>
        <w:t xml:space="preserve"> </w:t>
      </w:r>
      <w:r>
        <w:rPr>
          <w:position w:val="1"/>
        </w:rPr>
        <w:t xml:space="preserve">China </w:t>
      </w:r>
      <w:r>
        <w:t>has failed to rebut Australia's claims that MOFCOM acted inconsistently with Article</w:t>
      </w:r>
      <w:r>
        <w:rPr>
          <w:spacing w:val="-3"/>
        </w:rPr>
        <w:t xml:space="preserve"> </w:t>
      </w:r>
      <w:r>
        <w:t>6.8 and paragraph 7 of Annex II in its selection of facts for Casella Wines' normal value.</w:t>
      </w:r>
    </w:p>
    <w:p w14:paraId="32407352" w14:textId="77777777" w:rsidR="00BD462C" w:rsidRDefault="00BD462C">
      <w:pPr>
        <w:pStyle w:val="BodyText"/>
        <w:rPr>
          <w:sz w:val="20"/>
        </w:rPr>
      </w:pPr>
    </w:p>
    <w:p w14:paraId="6D94DD5D" w14:textId="77777777" w:rsidR="00BD462C" w:rsidRDefault="00BD462C">
      <w:pPr>
        <w:pStyle w:val="BodyText"/>
        <w:rPr>
          <w:sz w:val="20"/>
        </w:rPr>
      </w:pPr>
    </w:p>
    <w:p w14:paraId="02FD2B0E" w14:textId="77777777" w:rsidR="00BD462C" w:rsidRDefault="00BD462C">
      <w:pPr>
        <w:pStyle w:val="BodyText"/>
        <w:rPr>
          <w:sz w:val="20"/>
        </w:rPr>
      </w:pPr>
    </w:p>
    <w:p w14:paraId="45696BB6" w14:textId="77777777" w:rsidR="00BD462C" w:rsidRDefault="00BD462C">
      <w:pPr>
        <w:pStyle w:val="BodyText"/>
        <w:rPr>
          <w:sz w:val="20"/>
        </w:rPr>
      </w:pPr>
    </w:p>
    <w:p w14:paraId="785604BA" w14:textId="77777777" w:rsidR="00BD462C" w:rsidRDefault="00BD462C">
      <w:pPr>
        <w:pStyle w:val="BodyText"/>
        <w:rPr>
          <w:sz w:val="20"/>
        </w:rPr>
      </w:pPr>
    </w:p>
    <w:p w14:paraId="17003BB9" w14:textId="77777777" w:rsidR="00BD462C" w:rsidRDefault="00BD462C">
      <w:pPr>
        <w:pStyle w:val="BodyText"/>
        <w:rPr>
          <w:sz w:val="20"/>
        </w:rPr>
      </w:pPr>
    </w:p>
    <w:p w14:paraId="7EFFEE43" w14:textId="11F0E6D5" w:rsidR="00BD462C" w:rsidRDefault="00D70C7D">
      <w:pPr>
        <w:pStyle w:val="BodyText"/>
        <w:spacing w:before="6"/>
        <w:rPr>
          <w:sz w:val="21"/>
        </w:rPr>
      </w:pPr>
      <w:r>
        <w:rPr>
          <w:noProof/>
        </w:rPr>
        <mc:AlternateContent>
          <mc:Choice Requires="wps">
            <w:drawing>
              <wp:anchor distT="0" distB="0" distL="0" distR="0" simplePos="0" relativeHeight="487715328" behindDoc="1" locked="0" layoutInCell="1" allowOverlap="1" wp14:anchorId="79F842E4" wp14:editId="182A222C">
                <wp:simplePos x="0" y="0"/>
                <wp:positionH relativeFrom="page">
                  <wp:posOffset>899160</wp:posOffset>
                </wp:positionH>
                <wp:positionV relativeFrom="paragraph">
                  <wp:posOffset>182245</wp:posOffset>
                </wp:positionV>
                <wp:extent cx="1828800" cy="8890"/>
                <wp:effectExtent l="0" t="0" r="0" b="0"/>
                <wp:wrapTopAndBottom/>
                <wp:docPr id="870" name="docshape2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F4033C" id="docshape281" o:spid="_x0000_s1026" alt="&quot;&quot;" style="position:absolute;margin-left:70.8pt;margin-top:14.35pt;width:2in;height:.7pt;z-index:-15601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" fillcolor="black" stroked="f">
                <w10:wrap type="topAndBottom" anchorx="page"/>
              </v:rect>
            </w:pict>
          </mc:Fallback>
        </mc:AlternateContent>
      </w:r>
    </w:p>
    <w:p w14:paraId="3B647A2D" w14:textId="77777777" w:rsidR="00BD462C" w:rsidRDefault="00033D0F">
      <w:pPr>
        <w:spacing w:before="112"/>
        <w:ind w:left="135"/>
        <w:rPr>
          <w:sz w:val="18"/>
        </w:rPr>
      </w:pPr>
      <w:bookmarkStart w:id="592" w:name="_bookmark506"/>
      <w:bookmarkEnd w:id="592"/>
      <w:r>
        <w:rPr>
          <w:position w:val="5"/>
          <w:sz w:val="12"/>
        </w:rPr>
        <w:t>416</w:t>
      </w:r>
      <w:r>
        <w:rPr>
          <w:spacing w:val="16"/>
          <w:position w:val="5"/>
          <w:sz w:val="12"/>
        </w:rPr>
        <w:t xml:space="preserve"> </w:t>
      </w:r>
      <w:r>
        <w:rPr>
          <w:sz w:val="18"/>
        </w:rPr>
        <w:t>See</w:t>
      </w:r>
      <w:r>
        <w:rPr>
          <w:spacing w:val="-3"/>
          <w:sz w:val="18"/>
        </w:rPr>
        <w:t xml:space="preserve"> </w:t>
      </w:r>
      <w:r>
        <w:rPr>
          <w:sz w:val="18"/>
        </w:rPr>
        <w:t>section</w:t>
      </w:r>
      <w:r>
        <w:rPr>
          <w:spacing w:val="-4"/>
          <w:sz w:val="18"/>
        </w:rPr>
        <w:t xml:space="preserve"> </w:t>
      </w:r>
      <w:hyperlink w:anchor="_bookmark190" w:history="1">
        <w:r>
          <w:rPr>
            <w:spacing w:val="-2"/>
            <w:sz w:val="18"/>
          </w:rPr>
          <w:t>III.C.2.</w:t>
        </w:r>
      </w:hyperlink>
    </w:p>
    <w:p w14:paraId="18AFD150" w14:textId="77777777" w:rsidR="00BD462C" w:rsidRDefault="00BD462C">
      <w:pPr>
        <w:rPr>
          <w:sz w:val="18"/>
        </w:rPr>
        <w:sectPr w:rsidR="00BD462C">
          <w:pgSz w:w="11910" w:h="16840"/>
          <w:pgMar w:top="860" w:right="500" w:bottom="780" w:left="1280" w:header="566" w:footer="590" w:gutter="0"/>
          <w:cols w:space="720"/>
        </w:sectPr>
      </w:pPr>
    </w:p>
    <w:p w14:paraId="2BFDB00C"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3E5788DD"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3F2A4B38"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54948161" w14:textId="77777777" w:rsidR="00BD462C" w:rsidRDefault="00033D0F" w:rsidP="008676A2">
      <w:pPr>
        <w:pStyle w:val="Heading3"/>
        <w:tabs>
          <w:tab w:val="left" w:pos="2689"/>
          <w:tab w:val="left" w:pos="2690"/>
        </w:tabs>
      </w:pPr>
      <w:bookmarkStart w:id="593" w:name="7._Articles_2.1_and_2.2"/>
      <w:bookmarkStart w:id="594" w:name="_bookmark507"/>
      <w:bookmarkEnd w:id="593"/>
      <w:bookmarkEnd w:id="594"/>
      <w:r>
        <w:t>Articles</w:t>
      </w:r>
      <w:r>
        <w:rPr>
          <w:spacing w:val="-3"/>
        </w:rPr>
        <w:t xml:space="preserve"> </w:t>
      </w:r>
      <w:r>
        <w:t>2.1</w:t>
      </w:r>
      <w:r>
        <w:rPr>
          <w:spacing w:val="-3"/>
        </w:rPr>
        <w:t xml:space="preserve"> </w:t>
      </w:r>
      <w:r>
        <w:t>and</w:t>
      </w:r>
      <w:r>
        <w:rPr>
          <w:spacing w:val="-4"/>
        </w:rPr>
        <w:t xml:space="preserve"> </w:t>
      </w:r>
      <w:r>
        <w:rPr>
          <w:spacing w:val="-5"/>
        </w:rPr>
        <w:t>2.2</w:t>
      </w:r>
    </w:p>
    <w:p w14:paraId="60343E81" w14:textId="77777777" w:rsidR="00BD462C" w:rsidRDefault="00BD462C">
      <w:pPr>
        <w:pStyle w:val="BodyText"/>
        <w:spacing w:before="7"/>
        <w:rPr>
          <w:b/>
          <w:sz w:val="20"/>
        </w:rPr>
      </w:pPr>
    </w:p>
    <w:p w14:paraId="4F4EB3A7" w14:textId="717DBCFD" w:rsidR="00BD462C" w:rsidRDefault="00033D0F" w:rsidP="00DA02D9">
      <w:pPr>
        <w:pStyle w:val="BodyText"/>
        <w:numPr>
          <w:ilvl w:val="0"/>
          <w:numId w:val="71"/>
        </w:numPr>
        <w:spacing w:before="56" w:line="360" w:lineRule="auto"/>
        <w:ind w:right="916"/>
        <w:jc w:val="both"/>
      </w:pPr>
      <w:r>
        <w:rPr>
          <w:position w:val="1"/>
        </w:rPr>
        <w:t xml:space="preserve">As a result of MOFCOM acting inconsistently with Article 6.8 and paragraphs 1, 3, 5, </w:t>
      </w:r>
      <w:r>
        <w:t>6</w:t>
      </w:r>
      <w:r>
        <w:rPr>
          <w:spacing w:val="-14"/>
        </w:rPr>
        <w:t xml:space="preserve"> </w:t>
      </w:r>
      <w:r>
        <w:t>and</w:t>
      </w:r>
      <w:r>
        <w:rPr>
          <w:spacing w:val="-13"/>
        </w:rPr>
        <w:t xml:space="preserve"> </w:t>
      </w:r>
      <w:r>
        <w:t>7</w:t>
      </w:r>
      <w:r>
        <w:rPr>
          <w:spacing w:val="-14"/>
        </w:rPr>
        <w:t xml:space="preserve"> </w:t>
      </w:r>
      <w:r>
        <w:t>of</w:t>
      </w:r>
      <w:r>
        <w:rPr>
          <w:spacing w:val="-14"/>
        </w:rPr>
        <w:t xml:space="preserve"> </w:t>
      </w:r>
      <w:r>
        <w:t>Annex</w:t>
      </w:r>
      <w:r>
        <w:rPr>
          <w:spacing w:val="-1"/>
        </w:rPr>
        <w:t xml:space="preserve"> </w:t>
      </w:r>
      <w:r>
        <w:t>II,</w:t>
      </w:r>
      <w:r>
        <w:rPr>
          <w:spacing w:val="-11"/>
        </w:rPr>
        <w:t xml:space="preserve"> </w:t>
      </w:r>
      <w:r>
        <w:t>the</w:t>
      </w:r>
      <w:r>
        <w:rPr>
          <w:spacing w:val="-12"/>
        </w:rPr>
        <w:t xml:space="preserve"> </w:t>
      </w:r>
      <w:r>
        <w:t>foundation</w:t>
      </w:r>
      <w:r>
        <w:rPr>
          <w:spacing w:val="-10"/>
        </w:rPr>
        <w:t xml:space="preserve"> </w:t>
      </w:r>
      <w:r>
        <w:t>for</w:t>
      </w:r>
      <w:r>
        <w:rPr>
          <w:spacing w:val="-14"/>
        </w:rPr>
        <w:t xml:space="preserve"> </w:t>
      </w:r>
      <w:r>
        <w:t>its</w:t>
      </w:r>
      <w:r>
        <w:rPr>
          <w:spacing w:val="-10"/>
        </w:rPr>
        <w:t xml:space="preserve"> </w:t>
      </w:r>
      <w:r>
        <w:t>dumping</w:t>
      </w:r>
      <w:r>
        <w:rPr>
          <w:spacing w:val="-11"/>
        </w:rPr>
        <w:t xml:space="preserve"> </w:t>
      </w:r>
      <w:r>
        <w:t>determination</w:t>
      </w:r>
      <w:r>
        <w:rPr>
          <w:spacing w:val="-14"/>
        </w:rPr>
        <w:t xml:space="preserve"> </w:t>
      </w:r>
      <w:r>
        <w:t>for</w:t>
      </w:r>
      <w:r>
        <w:rPr>
          <w:spacing w:val="-14"/>
        </w:rPr>
        <w:t xml:space="preserve"> </w:t>
      </w:r>
      <w:r>
        <w:t>Casella</w:t>
      </w:r>
      <w:r>
        <w:rPr>
          <w:spacing w:val="-12"/>
        </w:rPr>
        <w:t xml:space="preserve"> </w:t>
      </w:r>
      <w:r>
        <w:t>Wines</w:t>
      </w:r>
      <w:r>
        <w:rPr>
          <w:spacing w:val="-11"/>
        </w:rPr>
        <w:t xml:space="preserve"> </w:t>
      </w:r>
      <w:r>
        <w:t>was</w:t>
      </w:r>
      <w:r>
        <w:rPr>
          <w:spacing w:val="-11"/>
        </w:rPr>
        <w:t xml:space="preserve"> </w:t>
      </w:r>
      <w:r>
        <w:t>fatally flawed, resulting in a dumping determination that</w:t>
      </w:r>
      <w:r>
        <w:rPr>
          <w:spacing w:val="-2"/>
        </w:rPr>
        <w:t xml:space="preserve"> </w:t>
      </w:r>
      <w:r>
        <w:t>was inconsistent with Articles 2.1 and 2.2.</w:t>
      </w:r>
    </w:p>
    <w:p w14:paraId="194EF0E0" w14:textId="77777777" w:rsidR="00BD462C" w:rsidRDefault="00033D0F" w:rsidP="008676A2">
      <w:pPr>
        <w:pStyle w:val="Heading3"/>
        <w:tabs>
          <w:tab w:val="left" w:pos="2689"/>
          <w:tab w:val="left" w:pos="2690"/>
        </w:tabs>
        <w:spacing w:before="155"/>
      </w:pPr>
      <w:bookmarkStart w:id="595" w:name="8._MOFCOM_did_not_make_a_fair_comparison"/>
      <w:bookmarkStart w:id="596" w:name="_bookmark508"/>
      <w:bookmarkEnd w:id="595"/>
      <w:bookmarkEnd w:id="596"/>
      <w:r>
        <w:t>MOFCOM</w:t>
      </w:r>
      <w:r>
        <w:rPr>
          <w:spacing w:val="-3"/>
        </w:rPr>
        <w:t xml:space="preserve"> </w:t>
      </w:r>
      <w:r>
        <w:t>did</w:t>
      </w:r>
      <w:r>
        <w:rPr>
          <w:spacing w:val="-2"/>
        </w:rPr>
        <w:t xml:space="preserve"> </w:t>
      </w:r>
      <w:r>
        <w:t>not</w:t>
      </w:r>
      <w:r>
        <w:rPr>
          <w:spacing w:val="-6"/>
        </w:rPr>
        <w:t xml:space="preserve"> </w:t>
      </w:r>
      <w:r>
        <w:t>make</w:t>
      </w:r>
      <w:r>
        <w:rPr>
          <w:spacing w:val="-4"/>
        </w:rPr>
        <w:t xml:space="preserve"> </w:t>
      </w:r>
      <w:r>
        <w:t>a</w:t>
      </w:r>
      <w:r>
        <w:rPr>
          <w:spacing w:val="-2"/>
        </w:rPr>
        <w:t xml:space="preserve"> </w:t>
      </w:r>
      <w:r>
        <w:t>fair</w:t>
      </w:r>
      <w:r>
        <w:rPr>
          <w:spacing w:val="-2"/>
        </w:rPr>
        <w:t xml:space="preserve"> </w:t>
      </w:r>
      <w:r>
        <w:t>comparison</w:t>
      </w:r>
      <w:r>
        <w:rPr>
          <w:spacing w:val="-3"/>
        </w:rPr>
        <w:t xml:space="preserve"> </w:t>
      </w:r>
      <w:r>
        <w:t>under</w:t>
      </w:r>
      <w:r>
        <w:rPr>
          <w:spacing w:val="-2"/>
        </w:rPr>
        <w:t xml:space="preserve"> </w:t>
      </w:r>
      <w:r>
        <w:t>Article</w:t>
      </w:r>
      <w:r>
        <w:rPr>
          <w:spacing w:val="1"/>
        </w:rPr>
        <w:t xml:space="preserve"> </w:t>
      </w:r>
      <w:r>
        <w:rPr>
          <w:spacing w:val="-5"/>
        </w:rPr>
        <w:t>2.4</w:t>
      </w:r>
    </w:p>
    <w:p w14:paraId="047B87BD" w14:textId="77777777" w:rsidR="00BD462C" w:rsidRDefault="00BD462C">
      <w:pPr>
        <w:pStyle w:val="BodyText"/>
        <w:spacing w:before="12"/>
        <w:rPr>
          <w:b/>
          <w:sz w:val="20"/>
        </w:rPr>
      </w:pPr>
    </w:p>
    <w:p w14:paraId="12130048" w14:textId="5096423B" w:rsidR="00BD462C" w:rsidRDefault="00033D0F" w:rsidP="00DA02D9">
      <w:pPr>
        <w:pStyle w:val="BodyText"/>
        <w:numPr>
          <w:ilvl w:val="0"/>
          <w:numId w:val="71"/>
        </w:numPr>
        <w:spacing w:before="56" w:line="360" w:lineRule="auto"/>
        <w:ind w:right="911"/>
        <w:jc w:val="both"/>
      </w:pPr>
      <w:r>
        <w:rPr>
          <w:position w:val="1"/>
        </w:rPr>
        <w:t xml:space="preserve">Even if the Panel finds MOFCOM's calculation of the normal value for Casella Wines </w:t>
      </w:r>
      <w:r>
        <w:t>is consistent with the Anti-Dumping Agreement, MOFCOM still failed to make a fair comparison</w:t>
      </w:r>
      <w:r>
        <w:rPr>
          <w:spacing w:val="-4"/>
        </w:rPr>
        <w:t xml:space="preserve"> </w:t>
      </w:r>
      <w:r>
        <w:t>between</w:t>
      </w:r>
      <w:r>
        <w:rPr>
          <w:spacing w:val="-9"/>
        </w:rPr>
        <w:t xml:space="preserve"> </w:t>
      </w:r>
      <w:r>
        <w:t>the</w:t>
      </w:r>
      <w:r>
        <w:rPr>
          <w:spacing w:val="-7"/>
        </w:rPr>
        <w:t xml:space="preserve"> </w:t>
      </w:r>
      <w:r>
        <w:t>company's</w:t>
      </w:r>
      <w:r>
        <w:rPr>
          <w:spacing w:val="-6"/>
        </w:rPr>
        <w:t xml:space="preserve"> </w:t>
      </w:r>
      <w:r>
        <w:t>normal</w:t>
      </w:r>
      <w:r>
        <w:rPr>
          <w:spacing w:val="-5"/>
        </w:rPr>
        <w:t xml:space="preserve"> </w:t>
      </w:r>
      <w:r>
        <w:t>value</w:t>
      </w:r>
      <w:r>
        <w:rPr>
          <w:spacing w:val="-3"/>
        </w:rPr>
        <w:t xml:space="preserve"> </w:t>
      </w:r>
      <w:r>
        <w:t>and</w:t>
      </w:r>
      <w:r>
        <w:rPr>
          <w:spacing w:val="-9"/>
        </w:rPr>
        <w:t xml:space="preserve"> </w:t>
      </w:r>
      <w:r>
        <w:t>export</w:t>
      </w:r>
      <w:r>
        <w:rPr>
          <w:spacing w:val="-7"/>
        </w:rPr>
        <w:t xml:space="preserve"> </w:t>
      </w:r>
      <w:r>
        <w:t>prices</w:t>
      </w:r>
      <w:r>
        <w:rPr>
          <w:spacing w:val="-6"/>
        </w:rPr>
        <w:t xml:space="preserve"> </w:t>
      </w:r>
      <w:r>
        <w:t>as</w:t>
      </w:r>
      <w:r>
        <w:rPr>
          <w:spacing w:val="-6"/>
        </w:rPr>
        <w:t xml:space="preserve"> </w:t>
      </w:r>
      <w:r>
        <w:t>required</w:t>
      </w:r>
      <w:r>
        <w:rPr>
          <w:spacing w:val="-4"/>
        </w:rPr>
        <w:t xml:space="preserve"> </w:t>
      </w:r>
      <w:r>
        <w:t>by</w:t>
      </w:r>
      <w:r>
        <w:rPr>
          <w:spacing w:val="-1"/>
        </w:rPr>
        <w:t xml:space="preserve"> </w:t>
      </w:r>
      <w:r>
        <w:t>Article</w:t>
      </w:r>
      <w:r>
        <w:rPr>
          <w:spacing w:val="-7"/>
        </w:rPr>
        <w:t xml:space="preserve"> </w:t>
      </w:r>
      <w:r>
        <w:t>2.4 of the Anti-Dumping Agreement.</w:t>
      </w:r>
      <w:r>
        <w:rPr>
          <w:spacing w:val="-17"/>
        </w:rPr>
        <w:t xml:space="preserve"> </w:t>
      </w:r>
      <w:hyperlink w:anchor="_bookmark509" w:history="1">
        <w:r>
          <w:rPr>
            <w:vertAlign w:val="superscript"/>
          </w:rPr>
          <w:t>417</w:t>
        </w:r>
      </w:hyperlink>
    </w:p>
    <w:p w14:paraId="7DFE7A7B" w14:textId="77777777" w:rsidR="00BD462C" w:rsidRDefault="00BD462C">
      <w:pPr>
        <w:pStyle w:val="BodyText"/>
        <w:spacing w:before="8"/>
        <w:rPr>
          <w:sz w:val="8"/>
        </w:rPr>
      </w:pPr>
    </w:p>
    <w:p w14:paraId="26ADC6F5" w14:textId="06106DCD" w:rsidR="00BD462C" w:rsidRDefault="00033D0F" w:rsidP="00DA02D9">
      <w:pPr>
        <w:pStyle w:val="BodyText"/>
        <w:numPr>
          <w:ilvl w:val="0"/>
          <w:numId w:val="71"/>
        </w:numPr>
        <w:spacing w:before="56" w:line="360" w:lineRule="auto"/>
        <w:ind w:right="911"/>
        <w:jc w:val="both"/>
      </w:pPr>
      <w:r>
        <w:rPr>
          <w:position w:val="1"/>
        </w:rPr>
        <w:t>In</w:t>
      </w:r>
      <w:r>
        <w:rPr>
          <w:spacing w:val="-13"/>
          <w:position w:val="1"/>
        </w:rPr>
        <w:t xml:space="preserve"> </w:t>
      </w:r>
      <w:r>
        <w:rPr>
          <w:position w:val="1"/>
        </w:rPr>
        <w:t>determining</w:t>
      </w:r>
      <w:r>
        <w:rPr>
          <w:spacing w:val="-9"/>
          <w:position w:val="1"/>
        </w:rPr>
        <w:t xml:space="preserve"> </w:t>
      </w:r>
      <w:r>
        <w:rPr>
          <w:position w:val="1"/>
        </w:rPr>
        <w:t>the</w:t>
      </w:r>
      <w:r>
        <w:rPr>
          <w:spacing w:val="-11"/>
          <w:position w:val="1"/>
        </w:rPr>
        <w:t xml:space="preserve"> </w:t>
      </w:r>
      <w:r>
        <w:rPr>
          <w:position w:val="1"/>
        </w:rPr>
        <w:t>normal</w:t>
      </w:r>
      <w:r>
        <w:rPr>
          <w:spacing w:val="-9"/>
          <w:position w:val="1"/>
        </w:rPr>
        <w:t xml:space="preserve"> </w:t>
      </w:r>
      <w:r>
        <w:rPr>
          <w:position w:val="1"/>
        </w:rPr>
        <w:t>value</w:t>
      </w:r>
      <w:r>
        <w:rPr>
          <w:spacing w:val="-11"/>
          <w:position w:val="1"/>
        </w:rPr>
        <w:t xml:space="preserve"> </w:t>
      </w:r>
      <w:r>
        <w:rPr>
          <w:position w:val="1"/>
        </w:rPr>
        <w:t>for</w:t>
      </w:r>
      <w:r>
        <w:rPr>
          <w:spacing w:val="-9"/>
          <w:position w:val="1"/>
        </w:rPr>
        <w:t xml:space="preserve"> </w:t>
      </w:r>
      <w:r>
        <w:rPr>
          <w:position w:val="1"/>
        </w:rPr>
        <w:t>Casella</w:t>
      </w:r>
      <w:r>
        <w:rPr>
          <w:spacing w:val="-11"/>
          <w:position w:val="1"/>
        </w:rPr>
        <w:t xml:space="preserve"> </w:t>
      </w:r>
      <w:r>
        <w:rPr>
          <w:position w:val="1"/>
        </w:rPr>
        <w:t>Wines,</w:t>
      </w:r>
      <w:r>
        <w:rPr>
          <w:spacing w:val="-14"/>
          <w:position w:val="1"/>
        </w:rPr>
        <w:t xml:space="preserve"> </w:t>
      </w:r>
      <w:r>
        <w:rPr>
          <w:position w:val="1"/>
        </w:rPr>
        <w:t>MOFCOM</w:t>
      </w:r>
      <w:r>
        <w:rPr>
          <w:spacing w:val="-10"/>
          <w:position w:val="1"/>
        </w:rPr>
        <w:t xml:space="preserve"> </w:t>
      </w:r>
      <w:r>
        <w:rPr>
          <w:position w:val="1"/>
        </w:rPr>
        <w:t>selected</w:t>
      </w:r>
      <w:r>
        <w:rPr>
          <w:spacing w:val="-13"/>
          <w:position w:val="1"/>
        </w:rPr>
        <w:t xml:space="preserve"> </w:t>
      </w:r>
      <w:r>
        <w:rPr>
          <w:position w:val="1"/>
        </w:rPr>
        <w:t>domestic</w:t>
      </w:r>
      <w:r>
        <w:rPr>
          <w:spacing w:val="-12"/>
          <w:position w:val="1"/>
        </w:rPr>
        <w:t xml:space="preserve"> </w:t>
      </w:r>
      <w:r>
        <w:rPr>
          <w:position w:val="1"/>
        </w:rPr>
        <w:t xml:space="preserve">sales </w:t>
      </w:r>
      <w:r>
        <w:t>prices and costs used for the constructed normal value – based entirely on the undisclosed data</w:t>
      </w:r>
      <w:r>
        <w:rPr>
          <w:spacing w:val="-14"/>
        </w:rPr>
        <w:t xml:space="preserve"> </w:t>
      </w:r>
      <w:r>
        <w:t>for "other respondents",</w:t>
      </w:r>
      <w:r>
        <w:rPr>
          <w:spacing w:val="-14"/>
        </w:rPr>
        <w:t xml:space="preserve"> </w:t>
      </w:r>
      <w:hyperlink w:anchor="_bookmark510" w:history="1">
        <w:r>
          <w:rPr>
            <w:vertAlign w:val="superscript"/>
          </w:rPr>
          <w:t>418</w:t>
        </w:r>
      </w:hyperlink>
      <w:r>
        <w:t xml:space="preserve"> subsequently revealed to be Treasury</w:t>
      </w:r>
      <w:r>
        <w:rPr>
          <w:spacing w:val="-1"/>
        </w:rPr>
        <w:t xml:space="preserve"> </w:t>
      </w:r>
      <w:r>
        <w:t>Wines</w:t>
      </w:r>
      <w:r>
        <w:rPr>
          <w:spacing w:val="-14"/>
        </w:rPr>
        <w:t xml:space="preserve"> </w:t>
      </w:r>
      <w:hyperlink w:anchor="_bookmark511" w:history="1">
        <w:r>
          <w:rPr>
            <w:vertAlign w:val="superscript"/>
          </w:rPr>
          <w:t>419</w:t>
        </w:r>
      </w:hyperlink>
      <w:r>
        <w:rPr>
          <w:spacing w:val="-2"/>
        </w:rPr>
        <w:t xml:space="preserve"> </w:t>
      </w:r>
      <w:r>
        <w:t>–</w:t>
      </w:r>
      <w:r>
        <w:rPr>
          <w:spacing w:val="-3"/>
        </w:rPr>
        <w:t xml:space="preserve"> </w:t>
      </w:r>
      <w:r>
        <w:t>reflected significant differences affecting price comparability with export prices making them unsuitable</w:t>
      </w:r>
      <w:r>
        <w:rPr>
          <w:spacing w:val="-6"/>
        </w:rPr>
        <w:t xml:space="preserve"> </w:t>
      </w:r>
      <w:r>
        <w:t>for comparison with export sales unless appropriate adjustments were made.</w:t>
      </w:r>
      <w:r>
        <w:rPr>
          <w:spacing w:val="-14"/>
        </w:rPr>
        <w:t xml:space="preserve"> </w:t>
      </w:r>
      <w:hyperlink w:anchor="_bookmark512" w:history="1">
        <w:r>
          <w:rPr>
            <w:vertAlign w:val="superscript"/>
          </w:rPr>
          <w:t>420</w:t>
        </w:r>
      </w:hyperlink>
      <w:r>
        <w:t xml:space="preserve"> These differences concerned, </w:t>
      </w:r>
      <w:r>
        <w:rPr>
          <w:i/>
        </w:rPr>
        <w:t>inter alia</w:t>
      </w:r>
      <w:r>
        <w:t>, levels of trade and product mix (</w:t>
      </w:r>
      <w:proofErr w:type="gramStart"/>
      <w:r>
        <w:t>e.g.</w:t>
      </w:r>
      <w:proofErr w:type="gramEnd"/>
      <w:r>
        <w:t xml:space="preserve"> physical characteristics, quality, consumer preferences, and price).</w:t>
      </w:r>
      <w:r>
        <w:rPr>
          <w:spacing w:val="-14"/>
        </w:rPr>
        <w:t xml:space="preserve"> </w:t>
      </w:r>
      <w:hyperlink w:anchor="_bookmark513" w:history="1">
        <w:r>
          <w:rPr>
            <w:vertAlign w:val="superscript"/>
          </w:rPr>
          <w:t>421</w:t>
        </w:r>
      </w:hyperlink>
      <w:r>
        <w:t xml:space="preserve"> They were not </w:t>
      </w:r>
      <w:proofErr w:type="gramStart"/>
      <w:r>
        <w:t>taken into account</w:t>
      </w:r>
      <w:proofErr w:type="gramEnd"/>
      <w:r>
        <w:rPr>
          <w:spacing w:val="-13"/>
        </w:rPr>
        <w:t xml:space="preserve"> </w:t>
      </w:r>
      <w:r>
        <w:t>by</w:t>
      </w:r>
      <w:r>
        <w:rPr>
          <w:spacing w:val="-12"/>
        </w:rPr>
        <w:t xml:space="preserve"> </w:t>
      </w:r>
      <w:r>
        <w:t>MOFCOM</w:t>
      </w:r>
      <w:r>
        <w:rPr>
          <w:spacing w:val="-12"/>
        </w:rPr>
        <w:t xml:space="preserve"> </w:t>
      </w:r>
      <w:r>
        <w:t>when</w:t>
      </w:r>
      <w:r>
        <w:rPr>
          <w:spacing w:val="-10"/>
        </w:rPr>
        <w:t xml:space="preserve"> </w:t>
      </w:r>
      <w:r>
        <w:t>determining</w:t>
      </w:r>
      <w:r>
        <w:rPr>
          <w:spacing w:val="-11"/>
        </w:rPr>
        <w:t xml:space="preserve"> </w:t>
      </w:r>
      <w:r>
        <w:t>normal</w:t>
      </w:r>
      <w:r>
        <w:rPr>
          <w:spacing w:val="-11"/>
        </w:rPr>
        <w:t xml:space="preserve"> </w:t>
      </w:r>
      <w:r>
        <w:t>value</w:t>
      </w:r>
      <w:r>
        <w:rPr>
          <w:spacing w:val="-13"/>
        </w:rPr>
        <w:t xml:space="preserve"> </w:t>
      </w:r>
      <w:r>
        <w:t>and,</w:t>
      </w:r>
      <w:r>
        <w:rPr>
          <w:spacing w:val="-11"/>
        </w:rPr>
        <w:t xml:space="preserve"> </w:t>
      </w:r>
      <w:r>
        <w:t>therefore,</w:t>
      </w:r>
      <w:r>
        <w:rPr>
          <w:spacing w:val="-11"/>
        </w:rPr>
        <w:t xml:space="preserve"> </w:t>
      </w:r>
      <w:r>
        <w:t>needed</w:t>
      </w:r>
      <w:r>
        <w:rPr>
          <w:spacing w:val="-14"/>
        </w:rPr>
        <w:t xml:space="preserve"> </w:t>
      </w:r>
      <w:r>
        <w:t>to</w:t>
      </w:r>
      <w:r>
        <w:rPr>
          <w:spacing w:val="-10"/>
        </w:rPr>
        <w:t xml:space="preserve"> </w:t>
      </w:r>
      <w:r>
        <w:t>be</w:t>
      </w:r>
      <w:r>
        <w:rPr>
          <w:spacing w:val="-13"/>
        </w:rPr>
        <w:t xml:space="preserve"> </w:t>
      </w:r>
      <w:r>
        <w:t>taken</w:t>
      </w:r>
      <w:r>
        <w:rPr>
          <w:spacing w:val="-14"/>
        </w:rPr>
        <w:t xml:space="preserve"> </w:t>
      </w:r>
      <w:r>
        <w:t>into account when ensuring a fair comparison between normal value and export price under Article 2.4 by making the appropriate adjustments.</w:t>
      </w:r>
      <w:r>
        <w:rPr>
          <w:spacing w:val="-24"/>
        </w:rPr>
        <w:t xml:space="preserve"> </w:t>
      </w:r>
      <w:hyperlink w:anchor="_bookmark514" w:history="1">
        <w:r>
          <w:rPr>
            <w:vertAlign w:val="superscript"/>
          </w:rPr>
          <w:t>422</w:t>
        </w:r>
      </w:hyperlink>
    </w:p>
    <w:p w14:paraId="73B66BA9" w14:textId="77777777" w:rsidR="00BD462C" w:rsidRDefault="00BD462C">
      <w:pPr>
        <w:pStyle w:val="BodyText"/>
        <w:spacing w:before="7"/>
        <w:rPr>
          <w:sz w:val="8"/>
        </w:rPr>
      </w:pPr>
    </w:p>
    <w:p w14:paraId="384D1740" w14:textId="206057B5" w:rsidR="00BD462C" w:rsidRDefault="00D70C7D" w:rsidP="00DA02D9">
      <w:pPr>
        <w:pStyle w:val="BodyText"/>
        <w:numPr>
          <w:ilvl w:val="0"/>
          <w:numId w:val="71"/>
        </w:numPr>
        <w:spacing w:before="56" w:line="357" w:lineRule="auto"/>
        <w:ind w:right="912"/>
        <w:jc w:val="both"/>
      </w:pPr>
      <w:r>
        <w:rPr>
          <w:noProof/>
        </w:rPr>
        <mc:AlternateContent>
          <mc:Choice Requires="wps">
            <w:drawing>
              <wp:anchor distT="0" distB="0" distL="114300" distR="114300" simplePos="0" relativeHeight="479019520" behindDoc="1" locked="0" layoutInCell="1" allowOverlap="1" wp14:anchorId="5BE4FC65" wp14:editId="2ED53ACA">
                <wp:simplePos x="0" y="0"/>
                <wp:positionH relativeFrom="page">
                  <wp:posOffset>3153947</wp:posOffset>
                </wp:positionH>
                <wp:positionV relativeFrom="paragraph">
                  <wp:posOffset>589647</wp:posOffset>
                </wp:positionV>
                <wp:extent cx="3501688" cy="195593"/>
                <wp:effectExtent l="0" t="0" r="3810" b="0"/>
                <wp:wrapNone/>
                <wp:docPr id="868" name="docshape2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1688" cy="19559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E4F124" id="docshape282" o:spid="_x0000_s1026" alt="&quot;&quot;" style="position:absolute;margin-left:248.35pt;margin-top:46.45pt;width:275.7pt;height:15.4pt;z-index:-24296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" fillcolor="black" stroked="f">
                <w10:wrap anchorx="page"/>
              </v:rect>
            </w:pict>
          </mc:Fallback>
        </mc:AlternateContent>
      </w:r>
      <w:r w:rsidR="00033D0F">
        <w:rPr>
          <w:position w:val="1"/>
        </w:rPr>
        <w:t xml:space="preserve">Although MOFCOM made some adjustments, it omitted crucial adjustments related </w:t>
      </w:r>
      <w:r w:rsidR="00033D0F">
        <w:t>to</w:t>
      </w:r>
      <w:r w:rsidR="00033D0F">
        <w:rPr>
          <w:spacing w:val="-14"/>
        </w:rPr>
        <w:t xml:space="preserve"> </w:t>
      </w:r>
      <w:r w:rsidR="00033D0F">
        <w:t>the</w:t>
      </w:r>
      <w:r w:rsidR="00033D0F">
        <w:rPr>
          <w:spacing w:val="-14"/>
        </w:rPr>
        <w:t xml:space="preserve"> </w:t>
      </w:r>
      <w:r w:rsidR="00033D0F">
        <w:t>above</w:t>
      </w:r>
      <w:r w:rsidR="00033D0F">
        <w:rPr>
          <w:spacing w:val="-13"/>
        </w:rPr>
        <w:t xml:space="preserve"> </w:t>
      </w:r>
      <w:r w:rsidR="00033D0F">
        <w:t>level</w:t>
      </w:r>
      <w:r w:rsidR="00033D0F">
        <w:rPr>
          <w:spacing w:val="-14"/>
        </w:rPr>
        <w:t xml:space="preserve"> </w:t>
      </w:r>
      <w:r w:rsidR="00033D0F">
        <w:t>of</w:t>
      </w:r>
      <w:r w:rsidR="00033D0F">
        <w:rPr>
          <w:spacing w:val="-13"/>
        </w:rPr>
        <w:t xml:space="preserve"> </w:t>
      </w:r>
      <w:r w:rsidR="00033D0F">
        <w:t>trade</w:t>
      </w:r>
      <w:r w:rsidR="00033D0F">
        <w:rPr>
          <w:spacing w:val="-14"/>
        </w:rPr>
        <w:t xml:space="preserve"> </w:t>
      </w:r>
      <w:r w:rsidR="00033D0F">
        <w:t>and</w:t>
      </w:r>
      <w:r w:rsidR="00033D0F">
        <w:rPr>
          <w:spacing w:val="-13"/>
        </w:rPr>
        <w:t xml:space="preserve"> </w:t>
      </w:r>
      <w:r w:rsidR="00033D0F">
        <w:t>product</w:t>
      </w:r>
      <w:r w:rsidR="00033D0F">
        <w:rPr>
          <w:spacing w:val="-14"/>
        </w:rPr>
        <w:t xml:space="preserve"> </w:t>
      </w:r>
      <w:r w:rsidR="00033D0F">
        <w:t>mix</w:t>
      </w:r>
      <w:r w:rsidR="00033D0F">
        <w:rPr>
          <w:spacing w:val="-12"/>
        </w:rPr>
        <w:t xml:space="preserve"> </w:t>
      </w:r>
      <w:r w:rsidR="00033D0F">
        <w:t>differences.</w:t>
      </w:r>
      <w:r w:rsidR="00033D0F">
        <w:rPr>
          <w:spacing w:val="-14"/>
        </w:rPr>
        <w:t xml:space="preserve"> </w:t>
      </w:r>
      <w:hyperlink w:anchor="_bookmark515" w:history="1">
        <w:r w:rsidR="00033D0F">
          <w:rPr>
            <w:vertAlign w:val="superscript"/>
          </w:rPr>
          <w:t>423</w:t>
        </w:r>
      </w:hyperlink>
      <w:r w:rsidR="00033D0F">
        <w:rPr>
          <w:spacing w:val="-10"/>
        </w:rPr>
        <w:t xml:space="preserve"> </w:t>
      </w:r>
      <w:r w:rsidR="00033D0F">
        <w:t>China</w:t>
      </w:r>
      <w:r w:rsidR="00033D0F">
        <w:rPr>
          <w:spacing w:val="-12"/>
        </w:rPr>
        <w:t xml:space="preserve"> </w:t>
      </w:r>
      <w:r w:rsidR="00033D0F">
        <w:t>also</w:t>
      </w:r>
      <w:r w:rsidR="00033D0F">
        <w:rPr>
          <w:spacing w:val="-14"/>
        </w:rPr>
        <w:t xml:space="preserve"> </w:t>
      </w:r>
      <w:r w:rsidR="00033D0F">
        <w:t>disclosed</w:t>
      </w:r>
      <w:r w:rsidR="00033D0F">
        <w:rPr>
          <w:spacing w:val="-14"/>
        </w:rPr>
        <w:t xml:space="preserve"> </w:t>
      </w:r>
      <w:r w:rsidR="00033D0F">
        <w:t>in</w:t>
      </w:r>
      <w:r w:rsidR="00033D0F">
        <w:rPr>
          <w:spacing w:val="-13"/>
        </w:rPr>
        <w:t xml:space="preserve"> </w:t>
      </w:r>
      <w:r w:rsidR="00033D0F">
        <w:t>Exhibit</w:t>
      </w:r>
      <w:r w:rsidR="00033D0F">
        <w:rPr>
          <w:spacing w:val="-11"/>
        </w:rPr>
        <w:t xml:space="preserve"> </w:t>
      </w:r>
      <w:r w:rsidR="00033D0F">
        <w:t>CHN- 11 (</w:t>
      </w:r>
      <w:r w:rsidR="008676A2">
        <w:t>BCI)</w:t>
      </w:r>
      <w:r w:rsidR="008676A2">
        <w:rPr>
          <w:spacing w:val="40"/>
        </w:rPr>
        <w:t xml:space="preserve"> that</w:t>
      </w:r>
    </w:p>
    <w:p w14:paraId="48103A5C" w14:textId="2B1179C5" w:rsidR="00BD462C" w:rsidRPr="008676A2" w:rsidRDefault="00D70C7D" w:rsidP="008676A2">
      <w:pPr>
        <w:pStyle w:val="BodyText"/>
        <w:ind w:left="136"/>
        <w:rPr>
          <w:sz w:val="20"/>
        </w:rPr>
      </w:pPr>
      <w:r>
        <w:rPr>
          <w:noProof/>
          <w:sz w:val="20"/>
        </w:rPr>
        <mc:AlternateContent>
          <mc:Choice Requires="wpg">
            <w:drawing>
              <wp:inline distT="0" distB="0" distL="0" distR="0" wp14:anchorId="6A636E1B" wp14:editId="4DD8DC19">
                <wp:extent cx="5697220" cy="186055"/>
                <wp:effectExtent l="3810" t="4445" r="4445" b="0"/>
                <wp:docPr id="864" name="docshapegroup2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7220" cy="186055"/>
                          <a:chOff x="0" y="0"/>
                          <a:chExt cx="8972" cy="293"/>
                        </a:xfrm>
                      </wpg:grpSpPr>
                      <wps:wsp>
                        <wps:cNvPr id="866" name="docshape284" descr="Redacted"/>
                        <wps:cNvSpPr>
                          <a:spLocks noChangeArrowheads="1"/>
                        </wps:cNvSpPr>
                        <wps:spPr bwMode="auto">
                          <a:xfrm>
                            <a:off x="0" y="0"/>
                            <a:ext cx="8972" cy="29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10D0BEB" id="docshapegroup283" o:spid="_x0000_s1026" alt="&quot;&quot;" style="width:448.6pt;height:14.65pt;mso-position-horizontal-relative:char;mso-position-vertical-relative:line" coordsize="8972,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">
                <v:rect id="docshape284" o:spid="_x0000_s1027" alt="Redacted" style="position:absolute;width:8972;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" fillcolor="black" stroked="f"/>
                <w10:anchorlock/>
              </v:group>
            </w:pict>
          </mc:Fallback>
        </mc:AlternateContent>
      </w:r>
      <w:r>
        <w:rPr>
          <w:noProof/>
        </w:rPr>
        <mc:AlternateContent>
          <mc:Choice Requires="wps">
            <w:drawing>
              <wp:anchor distT="0" distB="0" distL="0" distR="0" simplePos="0" relativeHeight="487717888" behindDoc="1" locked="0" layoutInCell="1" allowOverlap="1" wp14:anchorId="0383F86D" wp14:editId="399D6B51">
                <wp:simplePos x="0" y="0"/>
                <wp:positionH relativeFrom="page">
                  <wp:posOffset>899160</wp:posOffset>
                </wp:positionH>
                <wp:positionV relativeFrom="paragraph">
                  <wp:posOffset>229870</wp:posOffset>
                </wp:positionV>
                <wp:extent cx="1828800" cy="8890"/>
                <wp:effectExtent l="0" t="0" r="0" b="0"/>
                <wp:wrapTopAndBottom/>
                <wp:docPr id="862" name="docshape2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3C5BEA" id="docshape285" o:spid="_x0000_s1026" alt="&quot;&quot;" style="position:absolute;margin-left:70.8pt;margin-top:18.1pt;width:2in;height:.7pt;z-index:-15598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" fillcolor="black" stroked="f">
                <w10:wrap type="topAndBottom" anchorx="page"/>
              </v:rect>
            </w:pict>
          </mc:Fallback>
        </mc:AlternateContent>
      </w:r>
    </w:p>
    <w:p w14:paraId="319BC6D5" w14:textId="77777777" w:rsidR="00BD462C" w:rsidRDefault="00033D0F">
      <w:pPr>
        <w:spacing w:before="112" w:line="218" w:lineRule="exact"/>
        <w:ind w:left="135"/>
        <w:rPr>
          <w:sz w:val="18"/>
        </w:rPr>
      </w:pPr>
      <w:bookmarkStart w:id="597" w:name="_bookmark509"/>
      <w:bookmarkEnd w:id="597"/>
      <w:r>
        <w:rPr>
          <w:position w:val="5"/>
          <w:sz w:val="12"/>
        </w:rPr>
        <w:t>417</w:t>
      </w:r>
      <w:r>
        <w:rPr>
          <w:spacing w:val="13"/>
          <w:position w:val="5"/>
          <w:sz w:val="12"/>
        </w:rPr>
        <w:t xml:space="preserve"> </w:t>
      </w:r>
      <w:r>
        <w:rPr>
          <w:sz w:val="18"/>
        </w:rPr>
        <w:t>Australia's</w:t>
      </w:r>
      <w:r>
        <w:rPr>
          <w:spacing w:val="-6"/>
          <w:sz w:val="18"/>
        </w:rPr>
        <w:t xml:space="preserve"> </w:t>
      </w:r>
      <w:r>
        <w:rPr>
          <w:sz w:val="18"/>
        </w:rPr>
        <w:t>first</w:t>
      </w:r>
      <w:r>
        <w:rPr>
          <w:spacing w:val="-4"/>
          <w:sz w:val="18"/>
        </w:rPr>
        <w:t xml:space="preserve"> </w:t>
      </w:r>
      <w:r>
        <w:rPr>
          <w:sz w:val="18"/>
        </w:rPr>
        <w:t>written</w:t>
      </w:r>
      <w:r>
        <w:rPr>
          <w:spacing w:val="-2"/>
          <w:sz w:val="18"/>
        </w:rPr>
        <w:t xml:space="preserve"> </w:t>
      </w:r>
      <w:r>
        <w:rPr>
          <w:sz w:val="18"/>
        </w:rPr>
        <w:t>submission,</w:t>
      </w:r>
      <w:r>
        <w:rPr>
          <w:spacing w:val="1"/>
          <w:sz w:val="18"/>
        </w:rPr>
        <w:t xml:space="preserve"> </w:t>
      </w:r>
      <w:r>
        <w:rPr>
          <w:sz w:val="18"/>
        </w:rPr>
        <w:t>paras.</w:t>
      </w:r>
      <w:r>
        <w:rPr>
          <w:spacing w:val="-5"/>
          <w:sz w:val="18"/>
        </w:rPr>
        <w:t xml:space="preserve"> </w:t>
      </w:r>
      <w:r>
        <w:rPr>
          <w:sz w:val="18"/>
        </w:rPr>
        <w:t>493</w:t>
      </w:r>
      <w:r>
        <w:rPr>
          <w:spacing w:val="-7"/>
          <w:sz w:val="18"/>
        </w:rPr>
        <w:t xml:space="preserve"> </w:t>
      </w:r>
      <w:r>
        <w:rPr>
          <w:sz w:val="18"/>
        </w:rPr>
        <w:t>-</w:t>
      </w:r>
      <w:r>
        <w:rPr>
          <w:spacing w:val="-4"/>
          <w:sz w:val="18"/>
        </w:rPr>
        <w:t>523.</w:t>
      </w:r>
    </w:p>
    <w:p w14:paraId="4027AEA6" w14:textId="77777777" w:rsidR="00BD462C" w:rsidRDefault="00033D0F">
      <w:pPr>
        <w:spacing w:line="218" w:lineRule="exact"/>
        <w:ind w:left="135"/>
        <w:rPr>
          <w:sz w:val="18"/>
        </w:rPr>
      </w:pPr>
      <w:bookmarkStart w:id="598" w:name="_bookmark510"/>
      <w:bookmarkEnd w:id="598"/>
      <w:r>
        <w:rPr>
          <w:position w:val="5"/>
          <w:sz w:val="12"/>
        </w:rPr>
        <w:t>418</w:t>
      </w:r>
      <w:r>
        <w:rPr>
          <w:spacing w:val="12"/>
          <w:position w:val="5"/>
          <w:sz w:val="12"/>
        </w:rPr>
        <w:t xml:space="preserve"> </w:t>
      </w:r>
      <w:r>
        <w:rPr>
          <w:sz w:val="18"/>
        </w:rPr>
        <w:t>Anti-Dumping</w:t>
      </w:r>
      <w:r>
        <w:rPr>
          <w:spacing w:val="-6"/>
          <w:sz w:val="18"/>
        </w:rPr>
        <w:t xml:space="preserve"> </w:t>
      </w:r>
      <w:r>
        <w:rPr>
          <w:sz w:val="18"/>
        </w:rPr>
        <w:t>Final</w:t>
      </w:r>
      <w:r>
        <w:rPr>
          <w:spacing w:val="-1"/>
          <w:sz w:val="18"/>
        </w:rPr>
        <w:t xml:space="preserve"> </w:t>
      </w:r>
      <w:r>
        <w:rPr>
          <w:sz w:val="18"/>
        </w:rPr>
        <w:t>Determination</w:t>
      </w:r>
      <w:r>
        <w:rPr>
          <w:spacing w:val="-6"/>
          <w:sz w:val="18"/>
        </w:rPr>
        <w:t xml:space="preserve"> </w:t>
      </w:r>
      <w:r>
        <w:rPr>
          <w:sz w:val="18"/>
        </w:rPr>
        <w:t>(Exhibit</w:t>
      </w:r>
      <w:r>
        <w:rPr>
          <w:spacing w:val="-2"/>
          <w:sz w:val="18"/>
        </w:rPr>
        <w:t xml:space="preserve"> </w:t>
      </w:r>
      <w:r>
        <w:rPr>
          <w:sz w:val="18"/>
        </w:rPr>
        <w:t>AUS-2),</w:t>
      </w:r>
      <w:r>
        <w:rPr>
          <w:spacing w:val="-4"/>
          <w:sz w:val="18"/>
        </w:rPr>
        <w:t xml:space="preserve"> </w:t>
      </w:r>
      <w:r>
        <w:rPr>
          <w:sz w:val="18"/>
        </w:rPr>
        <w:t>p.</w:t>
      </w:r>
      <w:r>
        <w:rPr>
          <w:spacing w:val="-5"/>
          <w:sz w:val="18"/>
        </w:rPr>
        <w:t xml:space="preserve"> 85.</w:t>
      </w:r>
    </w:p>
    <w:p w14:paraId="4D63E4E7" w14:textId="77777777" w:rsidR="00BD462C" w:rsidRDefault="00033D0F">
      <w:pPr>
        <w:spacing w:before="1"/>
        <w:ind w:left="135"/>
        <w:rPr>
          <w:sz w:val="18"/>
        </w:rPr>
      </w:pPr>
      <w:bookmarkStart w:id="599" w:name="_bookmark511"/>
      <w:bookmarkEnd w:id="599"/>
      <w:r>
        <w:rPr>
          <w:position w:val="5"/>
          <w:sz w:val="12"/>
        </w:rPr>
        <w:t>419</w:t>
      </w:r>
      <w:r>
        <w:rPr>
          <w:spacing w:val="13"/>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para. 573,</w:t>
      </w:r>
      <w:r>
        <w:rPr>
          <w:spacing w:val="-3"/>
          <w:sz w:val="18"/>
        </w:rPr>
        <w:t xml:space="preserve"> </w:t>
      </w:r>
      <w:r>
        <w:rPr>
          <w:sz w:val="18"/>
        </w:rPr>
        <w:t>668</w:t>
      </w:r>
      <w:r>
        <w:rPr>
          <w:spacing w:val="-3"/>
          <w:sz w:val="18"/>
        </w:rPr>
        <w:t xml:space="preserve"> </w:t>
      </w:r>
      <w:r>
        <w:rPr>
          <w:sz w:val="18"/>
        </w:rPr>
        <w:t>and</w:t>
      </w:r>
      <w:r>
        <w:rPr>
          <w:spacing w:val="-2"/>
          <w:sz w:val="18"/>
        </w:rPr>
        <w:t xml:space="preserve"> </w:t>
      </w:r>
      <w:r>
        <w:rPr>
          <w:spacing w:val="-4"/>
          <w:sz w:val="18"/>
        </w:rPr>
        <w:t>813.</w:t>
      </w:r>
    </w:p>
    <w:p w14:paraId="0C516084" w14:textId="77777777" w:rsidR="00BD462C" w:rsidRDefault="00033D0F">
      <w:pPr>
        <w:spacing w:before="1"/>
        <w:ind w:left="135"/>
        <w:rPr>
          <w:sz w:val="18"/>
        </w:rPr>
      </w:pPr>
      <w:bookmarkStart w:id="600" w:name="_bookmark512"/>
      <w:bookmarkEnd w:id="600"/>
      <w:r>
        <w:rPr>
          <w:position w:val="5"/>
          <w:sz w:val="12"/>
        </w:rPr>
        <w:t>420</w:t>
      </w:r>
      <w:r>
        <w:rPr>
          <w:spacing w:val="13"/>
          <w:position w:val="5"/>
          <w:sz w:val="12"/>
        </w:rPr>
        <w:t xml:space="preserve"> </w:t>
      </w:r>
      <w:r>
        <w:rPr>
          <w:sz w:val="18"/>
        </w:rPr>
        <w:t>Australia's</w:t>
      </w:r>
      <w:r>
        <w:rPr>
          <w:spacing w:val="-6"/>
          <w:sz w:val="18"/>
        </w:rPr>
        <w:t xml:space="preserve"> </w:t>
      </w:r>
      <w:r>
        <w:rPr>
          <w:sz w:val="18"/>
        </w:rPr>
        <w:t>first</w:t>
      </w:r>
      <w:r>
        <w:rPr>
          <w:spacing w:val="-4"/>
          <w:sz w:val="18"/>
        </w:rPr>
        <w:t xml:space="preserve"> </w:t>
      </w:r>
      <w:r>
        <w:rPr>
          <w:sz w:val="18"/>
        </w:rPr>
        <w:t>written</w:t>
      </w:r>
      <w:r>
        <w:rPr>
          <w:spacing w:val="-2"/>
          <w:sz w:val="18"/>
        </w:rPr>
        <w:t xml:space="preserve"> </w:t>
      </w:r>
      <w:r>
        <w:rPr>
          <w:sz w:val="18"/>
        </w:rPr>
        <w:t>submission,</w:t>
      </w:r>
      <w:r>
        <w:rPr>
          <w:spacing w:val="1"/>
          <w:sz w:val="18"/>
        </w:rPr>
        <w:t xml:space="preserve"> </w:t>
      </w:r>
      <w:r>
        <w:rPr>
          <w:sz w:val="18"/>
        </w:rPr>
        <w:t>para.</w:t>
      </w:r>
      <w:r>
        <w:rPr>
          <w:spacing w:val="-5"/>
          <w:sz w:val="18"/>
        </w:rPr>
        <w:t xml:space="preserve"> </w:t>
      </w:r>
      <w:r>
        <w:rPr>
          <w:sz w:val="18"/>
        </w:rPr>
        <w:t>270</w:t>
      </w:r>
      <w:r>
        <w:rPr>
          <w:spacing w:val="-2"/>
          <w:sz w:val="18"/>
        </w:rPr>
        <w:t xml:space="preserve"> </w:t>
      </w:r>
      <w:r>
        <w:rPr>
          <w:sz w:val="18"/>
        </w:rPr>
        <w:t>and</w:t>
      </w:r>
      <w:r>
        <w:rPr>
          <w:spacing w:val="-7"/>
          <w:sz w:val="18"/>
        </w:rPr>
        <w:t xml:space="preserve"> </w:t>
      </w:r>
      <w:r>
        <w:rPr>
          <w:sz w:val="18"/>
        </w:rPr>
        <w:t>paras.</w:t>
      </w:r>
      <w:r>
        <w:rPr>
          <w:spacing w:val="-4"/>
          <w:sz w:val="18"/>
        </w:rPr>
        <w:t xml:space="preserve"> </w:t>
      </w:r>
      <w:r>
        <w:rPr>
          <w:sz w:val="18"/>
        </w:rPr>
        <w:t>287-</w:t>
      </w:r>
      <w:r>
        <w:rPr>
          <w:spacing w:val="-4"/>
          <w:sz w:val="18"/>
        </w:rPr>
        <w:t>410.</w:t>
      </w:r>
    </w:p>
    <w:p w14:paraId="28F05F54" w14:textId="77777777" w:rsidR="00BD462C" w:rsidRDefault="00033D0F">
      <w:pPr>
        <w:spacing w:before="1" w:line="218" w:lineRule="exact"/>
        <w:ind w:left="135"/>
        <w:rPr>
          <w:sz w:val="18"/>
        </w:rPr>
      </w:pPr>
      <w:bookmarkStart w:id="601" w:name="_bookmark513"/>
      <w:bookmarkEnd w:id="601"/>
      <w:r>
        <w:rPr>
          <w:position w:val="5"/>
          <w:sz w:val="12"/>
        </w:rPr>
        <w:t>421</w:t>
      </w:r>
      <w:r>
        <w:rPr>
          <w:spacing w:val="11"/>
          <w:position w:val="5"/>
          <w:sz w:val="12"/>
        </w:rPr>
        <w:t xml:space="preserve"> </w:t>
      </w:r>
      <w:r>
        <w:rPr>
          <w:sz w:val="18"/>
        </w:rPr>
        <w:t>Australia's</w:t>
      </w:r>
      <w:r>
        <w:rPr>
          <w:spacing w:val="-6"/>
          <w:sz w:val="18"/>
        </w:rPr>
        <w:t xml:space="preserve"> </w:t>
      </w:r>
      <w:r>
        <w:rPr>
          <w:sz w:val="18"/>
        </w:rPr>
        <w:t>first</w:t>
      </w:r>
      <w:r>
        <w:rPr>
          <w:spacing w:val="-5"/>
          <w:sz w:val="18"/>
        </w:rPr>
        <w:t xml:space="preserve"> </w:t>
      </w:r>
      <w:r>
        <w:rPr>
          <w:sz w:val="18"/>
        </w:rPr>
        <w:t>written</w:t>
      </w:r>
      <w:r>
        <w:rPr>
          <w:spacing w:val="-3"/>
          <w:sz w:val="18"/>
        </w:rPr>
        <w:t xml:space="preserve"> </w:t>
      </w:r>
      <w:r>
        <w:rPr>
          <w:sz w:val="18"/>
        </w:rPr>
        <w:t>submission, para.</w:t>
      </w:r>
      <w:r>
        <w:rPr>
          <w:spacing w:val="-6"/>
          <w:sz w:val="18"/>
        </w:rPr>
        <w:t xml:space="preserve"> </w:t>
      </w:r>
      <w:r>
        <w:rPr>
          <w:sz w:val="18"/>
        </w:rPr>
        <w:t>271-</w:t>
      </w:r>
      <w:r>
        <w:rPr>
          <w:spacing w:val="-4"/>
          <w:sz w:val="18"/>
        </w:rPr>
        <w:t>285.</w:t>
      </w:r>
    </w:p>
    <w:p w14:paraId="2885D5E9" w14:textId="77777777" w:rsidR="00BD462C" w:rsidRDefault="00033D0F">
      <w:pPr>
        <w:ind w:left="135" w:right="909"/>
        <w:jc w:val="both"/>
        <w:rPr>
          <w:sz w:val="18"/>
        </w:rPr>
      </w:pPr>
      <w:bookmarkStart w:id="602" w:name="_bookmark514"/>
      <w:bookmarkEnd w:id="602"/>
      <w:r>
        <w:rPr>
          <w:position w:val="5"/>
          <w:sz w:val="12"/>
        </w:rPr>
        <w:t>422</w:t>
      </w:r>
      <w:r>
        <w:rPr>
          <w:spacing w:val="30"/>
          <w:position w:val="5"/>
          <w:sz w:val="12"/>
        </w:rPr>
        <w:t xml:space="preserve"> </w:t>
      </w:r>
      <w:r>
        <w:rPr>
          <w:sz w:val="18"/>
        </w:rPr>
        <w:t xml:space="preserve">The Appellate Body in </w:t>
      </w:r>
      <w:r>
        <w:rPr>
          <w:i/>
          <w:sz w:val="18"/>
        </w:rPr>
        <w:t xml:space="preserve">EU – Biodiesel (Argentina) </w:t>
      </w:r>
      <w:r>
        <w:rPr>
          <w:sz w:val="18"/>
        </w:rPr>
        <w:t>observed that “[t]he manner in which the normal value is calculated pursuant to Article 2.2 of the Anti-Dumping Agreement may inform the types of adjustments required under Article 2.4” (para. 6.48). China acknowledges that MOFCOM did not take these differences into account when determining Treasury Wines' normal values. See China's first written submission, paras. 503-510.</w:t>
      </w:r>
    </w:p>
    <w:p w14:paraId="316C0E8F" w14:textId="77777777" w:rsidR="00BD462C" w:rsidRDefault="00033D0F">
      <w:pPr>
        <w:spacing w:before="2"/>
        <w:ind w:left="135"/>
        <w:jc w:val="both"/>
        <w:rPr>
          <w:sz w:val="18"/>
        </w:rPr>
      </w:pPr>
      <w:bookmarkStart w:id="603" w:name="_bookmark515"/>
      <w:bookmarkEnd w:id="603"/>
      <w:r>
        <w:rPr>
          <w:position w:val="5"/>
          <w:sz w:val="12"/>
        </w:rPr>
        <w:t>423</w:t>
      </w:r>
      <w:r>
        <w:rPr>
          <w:spacing w:val="12"/>
          <w:position w:val="5"/>
          <w:sz w:val="12"/>
        </w:rPr>
        <w:t xml:space="preserve"> </w:t>
      </w:r>
      <w:r>
        <w:rPr>
          <w:sz w:val="18"/>
        </w:rPr>
        <w:t>Australia's</w:t>
      </w:r>
      <w:r>
        <w:rPr>
          <w:spacing w:val="-7"/>
          <w:sz w:val="18"/>
        </w:rPr>
        <w:t xml:space="preserve"> </w:t>
      </w:r>
      <w:r>
        <w:rPr>
          <w:sz w:val="18"/>
        </w:rPr>
        <w:t>first</w:t>
      </w:r>
      <w:r>
        <w:rPr>
          <w:spacing w:val="-5"/>
          <w:sz w:val="18"/>
        </w:rPr>
        <w:t xml:space="preserve"> </w:t>
      </w:r>
      <w:r>
        <w:rPr>
          <w:sz w:val="18"/>
        </w:rPr>
        <w:t>written</w:t>
      </w:r>
      <w:r>
        <w:rPr>
          <w:spacing w:val="-3"/>
          <w:sz w:val="18"/>
        </w:rPr>
        <w:t xml:space="preserve"> </w:t>
      </w:r>
      <w:r>
        <w:rPr>
          <w:sz w:val="18"/>
        </w:rPr>
        <w:t>submission</w:t>
      </w:r>
      <w:r>
        <w:rPr>
          <w:spacing w:val="-7"/>
          <w:sz w:val="18"/>
        </w:rPr>
        <w:t xml:space="preserve"> </w:t>
      </w:r>
      <w:r>
        <w:rPr>
          <w:sz w:val="18"/>
        </w:rPr>
        <w:t>paras.</w:t>
      </w:r>
      <w:r>
        <w:rPr>
          <w:spacing w:val="-1"/>
          <w:sz w:val="18"/>
        </w:rPr>
        <w:t xml:space="preserve"> </w:t>
      </w:r>
      <w:r>
        <w:rPr>
          <w:sz w:val="18"/>
        </w:rPr>
        <w:t>499-</w:t>
      </w:r>
      <w:r>
        <w:rPr>
          <w:spacing w:val="-4"/>
          <w:sz w:val="18"/>
        </w:rPr>
        <w:t>500.</w:t>
      </w:r>
    </w:p>
    <w:p w14:paraId="19773F4C" w14:textId="77777777" w:rsidR="00BD462C" w:rsidRDefault="00BD462C">
      <w:pPr>
        <w:jc w:val="both"/>
        <w:rPr>
          <w:sz w:val="18"/>
        </w:rPr>
        <w:sectPr w:rsidR="00BD462C">
          <w:pgSz w:w="11910" w:h="16840"/>
          <w:pgMar w:top="860" w:right="500" w:bottom="780" w:left="1280" w:header="566" w:footer="590" w:gutter="0"/>
          <w:cols w:space="720"/>
        </w:sectPr>
      </w:pPr>
    </w:p>
    <w:p w14:paraId="0EC3F4B2"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0E8EF8FB"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1DF25E06"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760DBF6D" w14:textId="0C21E9BA" w:rsidR="00BD462C" w:rsidRDefault="00D70C7D">
      <w:pPr>
        <w:pStyle w:val="BodyText"/>
        <w:spacing w:before="3"/>
        <w:rPr>
          <w:sz w:val="6"/>
        </w:rPr>
      </w:pPr>
      <w:r>
        <w:rPr>
          <w:noProof/>
        </w:rPr>
        <mc:AlternateContent>
          <mc:Choice Requires="wps">
            <w:drawing>
              <wp:anchor distT="0" distB="0" distL="0" distR="0" simplePos="0" relativeHeight="487718912" behindDoc="1" locked="0" layoutInCell="1" allowOverlap="1" wp14:anchorId="78DE0F50" wp14:editId="03FAC348">
                <wp:simplePos x="0" y="0"/>
                <wp:positionH relativeFrom="page">
                  <wp:posOffset>899160</wp:posOffset>
                </wp:positionH>
                <wp:positionV relativeFrom="paragraph">
                  <wp:posOffset>64135</wp:posOffset>
                </wp:positionV>
                <wp:extent cx="5696585" cy="186055"/>
                <wp:effectExtent l="0" t="0" r="0" b="0"/>
                <wp:wrapTopAndBottom/>
                <wp:docPr id="860" name="docshape2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658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00751A" id="docshape286" o:spid="_x0000_s1026" alt="&quot;&quot;" style="position:absolute;margin-left:70.8pt;margin-top:5.05pt;width:448.55pt;height:14.65pt;z-index:-15597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" fillcolor="black" stroked="f">
                <w10:wrap type="topAndBottom" anchorx="page"/>
              </v:rect>
            </w:pict>
          </mc:Fallback>
        </mc:AlternateContent>
      </w:r>
      <w:r>
        <w:rPr>
          <w:noProof/>
        </w:rPr>
        <mc:AlternateContent>
          <mc:Choice Requires="wps">
            <w:drawing>
              <wp:anchor distT="0" distB="0" distL="0" distR="0" simplePos="0" relativeHeight="487719424" behindDoc="1" locked="0" layoutInCell="1" allowOverlap="1" wp14:anchorId="79FE6639" wp14:editId="672ADD29">
                <wp:simplePos x="0" y="0"/>
                <wp:positionH relativeFrom="page">
                  <wp:posOffset>899160</wp:posOffset>
                </wp:positionH>
                <wp:positionV relativeFrom="paragraph">
                  <wp:posOffset>341630</wp:posOffset>
                </wp:positionV>
                <wp:extent cx="2008505" cy="186055"/>
                <wp:effectExtent l="0" t="0" r="0" b="0"/>
                <wp:wrapTopAndBottom/>
                <wp:docPr id="858" name="docshape2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850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79A4BF" id="docshape287" o:spid="_x0000_s1026" alt="&quot;&quot;" style="position:absolute;margin-left:70.8pt;margin-top:26.9pt;width:158.15pt;height:14.65pt;z-index:-15597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" fillcolor="black" stroked="f">
                <w10:wrap type="topAndBottom" anchorx="page"/>
              </v:rect>
            </w:pict>
          </mc:Fallback>
        </mc:AlternateContent>
      </w:r>
    </w:p>
    <w:p w14:paraId="0875C218" w14:textId="77777777" w:rsidR="00BD462C" w:rsidRDefault="00BD462C">
      <w:pPr>
        <w:pStyle w:val="BodyText"/>
        <w:spacing w:before="10"/>
        <w:rPr>
          <w:sz w:val="9"/>
        </w:rPr>
      </w:pPr>
    </w:p>
    <w:p w14:paraId="28A3D22F" w14:textId="77777777" w:rsidR="00BD462C" w:rsidRDefault="00BD462C">
      <w:pPr>
        <w:pStyle w:val="BodyText"/>
        <w:spacing w:before="1"/>
        <w:rPr>
          <w:sz w:val="21"/>
        </w:rPr>
      </w:pPr>
    </w:p>
    <w:p w14:paraId="2FC32925" w14:textId="77777777" w:rsidR="00BD462C" w:rsidRDefault="00033D0F" w:rsidP="00DA02D9">
      <w:pPr>
        <w:pStyle w:val="ListParagraph"/>
        <w:numPr>
          <w:ilvl w:val="1"/>
          <w:numId w:val="72"/>
        </w:numPr>
        <w:tabs>
          <w:tab w:val="left" w:pos="3539"/>
          <w:tab w:val="left" w:pos="3540"/>
        </w:tabs>
        <w:spacing w:before="51" w:line="362" w:lineRule="auto"/>
        <w:ind w:right="913"/>
        <w:rPr>
          <w:sz w:val="24"/>
        </w:rPr>
      </w:pPr>
      <w:r>
        <w:rPr>
          <w:sz w:val="24"/>
          <w:u w:val="single"/>
        </w:rPr>
        <w:t>MOFCOM did not adjust for level of trade and timing of</w:t>
      </w:r>
      <w:r>
        <w:rPr>
          <w:spacing w:val="40"/>
          <w:sz w:val="24"/>
        </w:rPr>
        <w:t xml:space="preserve"> </w:t>
      </w:r>
      <w:r>
        <w:rPr>
          <w:spacing w:val="-2"/>
          <w:sz w:val="24"/>
          <w:u w:val="single"/>
        </w:rPr>
        <w:t>sales</w:t>
      </w:r>
    </w:p>
    <w:p w14:paraId="6D0E42A3" w14:textId="77777777" w:rsidR="00BD462C" w:rsidRDefault="00BD462C">
      <w:pPr>
        <w:pStyle w:val="BodyText"/>
        <w:spacing w:before="3"/>
        <w:rPr>
          <w:sz w:val="8"/>
        </w:rPr>
      </w:pPr>
    </w:p>
    <w:p w14:paraId="571F4B05" w14:textId="54C788E3" w:rsidR="00BD462C" w:rsidRDefault="00033D0F" w:rsidP="00DA02D9">
      <w:pPr>
        <w:pStyle w:val="BodyText"/>
        <w:numPr>
          <w:ilvl w:val="0"/>
          <w:numId w:val="71"/>
        </w:numPr>
        <w:spacing w:before="56" w:line="360" w:lineRule="auto"/>
        <w:ind w:right="913"/>
        <w:jc w:val="both"/>
      </w:pPr>
      <w:r>
        <w:rPr>
          <w:position w:val="1"/>
        </w:rPr>
        <w:t xml:space="preserve">MOFCOM's failure to adjust for the level of trade and timing of sales in the Final </w:t>
      </w:r>
      <w:r>
        <w:t xml:space="preserve">Determination constitutes a </w:t>
      </w:r>
      <w:r>
        <w:rPr>
          <w:i/>
        </w:rPr>
        <w:t xml:space="preserve">prima facie </w:t>
      </w:r>
      <w:r>
        <w:t>breach of the second sentence of Article 2.4.</w:t>
      </w:r>
      <w:hyperlink w:anchor="_bookmark517" w:history="1">
        <w:r>
          <w:rPr>
            <w:vertAlign w:val="superscript"/>
          </w:rPr>
          <w:t>425</w:t>
        </w:r>
      </w:hyperlink>
      <w:r>
        <w:t xml:space="preserve"> The mere fact that MOFCOM compared the normal value of Treasury Wines and export price of Casella Wines at the </w:t>
      </w:r>
      <w:r>
        <w:rPr>
          <w:i/>
        </w:rPr>
        <w:t xml:space="preserve">ex-factory </w:t>
      </w:r>
      <w:r>
        <w:t>level does not establish that it compared them at the same level of</w:t>
      </w:r>
      <w:r>
        <w:rPr>
          <w:spacing w:val="-3"/>
        </w:rPr>
        <w:t xml:space="preserve"> </w:t>
      </w:r>
      <w:r>
        <w:t>trade</w:t>
      </w:r>
      <w:r>
        <w:rPr>
          <w:spacing w:val="-2"/>
        </w:rPr>
        <w:t xml:space="preserve"> </w:t>
      </w:r>
      <w:r>
        <w:t>and does not establish</w:t>
      </w:r>
      <w:r>
        <w:rPr>
          <w:spacing w:val="-3"/>
        </w:rPr>
        <w:t xml:space="preserve"> </w:t>
      </w:r>
      <w:r>
        <w:t>that</w:t>
      </w:r>
      <w:r>
        <w:rPr>
          <w:spacing w:val="-1"/>
        </w:rPr>
        <w:t xml:space="preserve"> </w:t>
      </w:r>
      <w:r>
        <w:t>it</w:t>
      </w:r>
      <w:r>
        <w:rPr>
          <w:spacing w:val="-1"/>
        </w:rPr>
        <w:t xml:space="preserve"> </w:t>
      </w:r>
      <w:r>
        <w:t>complied</w:t>
      </w:r>
      <w:r>
        <w:rPr>
          <w:spacing w:val="-3"/>
        </w:rPr>
        <w:t xml:space="preserve"> </w:t>
      </w:r>
      <w:r>
        <w:t>with</w:t>
      </w:r>
      <w:r>
        <w:rPr>
          <w:spacing w:val="-3"/>
        </w:rPr>
        <w:t xml:space="preserve"> </w:t>
      </w:r>
      <w:r>
        <w:t>the</w:t>
      </w:r>
      <w:r>
        <w:rPr>
          <w:spacing w:val="-1"/>
        </w:rPr>
        <w:t xml:space="preserve"> </w:t>
      </w:r>
      <w:r>
        <w:t>mandatory requirement in</w:t>
      </w:r>
      <w:r>
        <w:rPr>
          <w:spacing w:val="-3"/>
        </w:rPr>
        <w:t xml:space="preserve"> </w:t>
      </w:r>
      <w:r>
        <w:t>the second and third sentences.</w:t>
      </w:r>
      <w:r>
        <w:rPr>
          <w:spacing w:val="-14"/>
        </w:rPr>
        <w:t xml:space="preserve"> </w:t>
      </w:r>
      <w:hyperlink w:anchor="_bookmark518" w:history="1">
        <w:r>
          <w:rPr>
            <w:vertAlign w:val="superscript"/>
          </w:rPr>
          <w:t>426</w:t>
        </w:r>
      </w:hyperlink>
      <w:r>
        <w:t xml:space="preserve"> By not even considering the necessity of adjustments for timing of sales, as the evidence shows, MOFCOM acted inconsistently with the second and third sentences of Article 2.4.</w:t>
      </w:r>
      <w:r>
        <w:rPr>
          <w:spacing w:val="-20"/>
        </w:rPr>
        <w:t xml:space="preserve"> </w:t>
      </w:r>
      <w:hyperlink w:anchor="_bookmark519" w:history="1">
        <w:r>
          <w:rPr>
            <w:vertAlign w:val="superscript"/>
          </w:rPr>
          <w:t>427</w:t>
        </w:r>
      </w:hyperlink>
    </w:p>
    <w:p w14:paraId="668DD68E" w14:textId="77777777" w:rsidR="00BD462C" w:rsidRDefault="00033D0F" w:rsidP="00DA02D9">
      <w:pPr>
        <w:pStyle w:val="ListParagraph"/>
        <w:numPr>
          <w:ilvl w:val="1"/>
          <w:numId w:val="72"/>
        </w:numPr>
        <w:tabs>
          <w:tab w:val="left" w:pos="3539"/>
          <w:tab w:val="left" w:pos="3540"/>
        </w:tabs>
        <w:spacing w:before="157" w:line="360" w:lineRule="auto"/>
        <w:ind w:right="913"/>
        <w:jc w:val="both"/>
        <w:rPr>
          <w:sz w:val="24"/>
        </w:rPr>
      </w:pPr>
      <w:r>
        <w:rPr>
          <w:sz w:val="24"/>
          <w:u w:val="single"/>
        </w:rPr>
        <w:t>MOFCOM did not fulfil its procedural obligation under</w:t>
      </w:r>
      <w:r>
        <w:rPr>
          <w:sz w:val="24"/>
        </w:rPr>
        <w:t xml:space="preserve"> </w:t>
      </w:r>
      <w:r>
        <w:rPr>
          <w:sz w:val="24"/>
          <w:u w:val="single"/>
        </w:rPr>
        <w:t>Article</w:t>
      </w:r>
      <w:r>
        <w:rPr>
          <w:spacing w:val="-2"/>
          <w:sz w:val="24"/>
          <w:u w:val="single"/>
        </w:rPr>
        <w:t xml:space="preserve"> </w:t>
      </w:r>
      <w:r>
        <w:rPr>
          <w:sz w:val="24"/>
          <w:u w:val="single"/>
        </w:rPr>
        <w:t>2.4 which prevented Casella Wines requesting</w:t>
      </w:r>
      <w:r>
        <w:rPr>
          <w:sz w:val="24"/>
        </w:rPr>
        <w:t xml:space="preserve"> </w:t>
      </w:r>
      <w:r>
        <w:rPr>
          <w:sz w:val="24"/>
          <w:u w:val="single"/>
        </w:rPr>
        <w:t>relevant adjustments</w:t>
      </w:r>
    </w:p>
    <w:p w14:paraId="6A6CFA52" w14:textId="77777777" w:rsidR="00BD462C" w:rsidRDefault="00BD462C">
      <w:pPr>
        <w:pStyle w:val="BodyText"/>
        <w:spacing w:before="11"/>
        <w:rPr>
          <w:sz w:val="8"/>
        </w:rPr>
      </w:pPr>
    </w:p>
    <w:p w14:paraId="71CC1BD7" w14:textId="68BE0035" w:rsidR="00BD462C" w:rsidRDefault="00033D0F" w:rsidP="00DA02D9">
      <w:pPr>
        <w:pStyle w:val="BodyText"/>
        <w:numPr>
          <w:ilvl w:val="0"/>
          <w:numId w:val="71"/>
        </w:numPr>
        <w:spacing w:before="56" w:line="357" w:lineRule="auto"/>
        <w:ind w:right="916"/>
        <w:jc w:val="both"/>
      </w:pPr>
      <w:r>
        <w:rPr>
          <w:position w:val="1"/>
        </w:rPr>
        <w:t>MOFCOM did not apply Casella Wines' requested adjustments to normal value</w:t>
      </w:r>
      <w:r>
        <w:rPr>
          <w:spacing w:val="40"/>
          <w:position w:val="1"/>
        </w:rPr>
        <w:t xml:space="preserve"> </w:t>
      </w:r>
      <w:r>
        <w:t>because it "decided to determine the Company's normal value based on other respondents' domestic sale data of the product under investigation."</w:t>
      </w:r>
      <w:hyperlink w:anchor="_bookmark520" w:history="1">
        <w:r>
          <w:rPr>
            <w:vertAlign w:val="superscript"/>
          </w:rPr>
          <w:t>428</w:t>
        </w:r>
      </w:hyperlink>
    </w:p>
    <w:p w14:paraId="3E54F134" w14:textId="447247F7" w:rsidR="00BD462C" w:rsidRDefault="00033D0F" w:rsidP="00DA02D9">
      <w:pPr>
        <w:pStyle w:val="BodyText"/>
        <w:numPr>
          <w:ilvl w:val="0"/>
          <w:numId w:val="71"/>
        </w:numPr>
        <w:spacing w:before="169" w:line="357" w:lineRule="auto"/>
        <w:ind w:right="912"/>
        <w:jc w:val="both"/>
      </w:pPr>
      <w:r>
        <w:rPr>
          <w:position w:val="1"/>
        </w:rPr>
        <w:t>As Australia has demonstrated</w:t>
      </w:r>
      <w:hyperlink w:anchor="_bookmark521" w:history="1">
        <w:r>
          <w:rPr>
            <w:position w:val="1"/>
            <w:vertAlign w:val="superscript"/>
          </w:rPr>
          <w:t>429</w:t>
        </w:r>
      </w:hyperlink>
      <w:r>
        <w:rPr>
          <w:position w:val="1"/>
        </w:rPr>
        <w:t>, MOFCOM's failure to meet the Article 2.4</w:t>
      </w:r>
      <w:r>
        <w:rPr>
          <w:spacing w:val="40"/>
          <w:position w:val="1"/>
        </w:rPr>
        <w:t xml:space="preserve"> </w:t>
      </w:r>
      <w:r>
        <w:t>procedural obligation during its investigation prevented Casella Wines from requesting relevant</w:t>
      </w:r>
      <w:r>
        <w:rPr>
          <w:spacing w:val="-13"/>
        </w:rPr>
        <w:t xml:space="preserve"> </w:t>
      </w:r>
      <w:r>
        <w:t>adjustments arising from MOFCOM's methodology.</w:t>
      </w:r>
      <w:r>
        <w:rPr>
          <w:spacing w:val="-14"/>
        </w:rPr>
        <w:t xml:space="preserve"> </w:t>
      </w:r>
      <w:hyperlink w:anchor="_bookmark522" w:history="1">
        <w:r>
          <w:rPr>
            <w:vertAlign w:val="superscript"/>
          </w:rPr>
          <w:t>430</w:t>
        </w:r>
      </w:hyperlink>
      <w:r>
        <w:t xml:space="preserve"> Since the company was "left in</w:t>
      </w:r>
      <w:r>
        <w:rPr>
          <w:spacing w:val="67"/>
        </w:rPr>
        <w:t xml:space="preserve"> </w:t>
      </w:r>
      <w:r>
        <w:t>the</w:t>
      </w:r>
      <w:r>
        <w:rPr>
          <w:spacing w:val="69"/>
        </w:rPr>
        <w:t xml:space="preserve"> </w:t>
      </w:r>
      <w:r>
        <w:t>dark",</w:t>
      </w:r>
      <w:r>
        <w:rPr>
          <w:spacing w:val="-33"/>
        </w:rPr>
        <w:t xml:space="preserve"> </w:t>
      </w:r>
      <w:hyperlink w:anchor="_bookmark523" w:history="1">
        <w:r>
          <w:rPr>
            <w:vertAlign w:val="superscript"/>
          </w:rPr>
          <w:t>431</w:t>
        </w:r>
      </w:hyperlink>
      <w:r>
        <w:rPr>
          <w:spacing w:val="70"/>
        </w:rPr>
        <w:t xml:space="preserve"> </w:t>
      </w:r>
      <w:r>
        <w:t>it</w:t>
      </w:r>
      <w:r>
        <w:rPr>
          <w:spacing w:val="70"/>
        </w:rPr>
        <w:t xml:space="preserve"> </w:t>
      </w:r>
      <w:r>
        <w:t>was</w:t>
      </w:r>
      <w:r>
        <w:rPr>
          <w:spacing w:val="71"/>
        </w:rPr>
        <w:t xml:space="preserve"> </w:t>
      </w:r>
      <w:r>
        <w:t>incumbent</w:t>
      </w:r>
      <w:r>
        <w:rPr>
          <w:spacing w:val="70"/>
        </w:rPr>
        <w:t xml:space="preserve"> </w:t>
      </w:r>
      <w:r>
        <w:t>upon</w:t>
      </w:r>
      <w:r>
        <w:rPr>
          <w:spacing w:val="67"/>
        </w:rPr>
        <w:t xml:space="preserve"> </w:t>
      </w:r>
      <w:r>
        <w:t>MOFCOM</w:t>
      </w:r>
      <w:r>
        <w:rPr>
          <w:spacing w:val="70"/>
        </w:rPr>
        <w:t xml:space="preserve"> </w:t>
      </w:r>
      <w:r>
        <w:t>to</w:t>
      </w:r>
      <w:r>
        <w:rPr>
          <w:spacing w:val="67"/>
        </w:rPr>
        <w:t xml:space="preserve"> </w:t>
      </w:r>
      <w:r>
        <w:t>"find</w:t>
      </w:r>
      <w:r>
        <w:rPr>
          <w:spacing w:val="67"/>
        </w:rPr>
        <w:t xml:space="preserve"> </w:t>
      </w:r>
      <w:r>
        <w:t>ways</w:t>
      </w:r>
      <w:r>
        <w:rPr>
          <w:spacing w:val="71"/>
        </w:rPr>
        <w:t xml:space="preserve"> </w:t>
      </w:r>
      <w:r>
        <w:t>to</w:t>
      </w:r>
      <w:r>
        <w:rPr>
          <w:spacing w:val="67"/>
        </w:rPr>
        <w:t xml:space="preserve"> </w:t>
      </w:r>
      <w:r>
        <w:t>disclose</w:t>
      </w:r>
      <w:r>
        <w:rPr>
          <w:spacing w:val="69"/>
        </w:rPr>
        <w:t xml:space="preserve"> </w:t>
      </w:r>
      <w:r>
        <w:t>as</w:t>
      </w:r>
      <w:r>
        <w:rPr>
          <w:spacing w:val="71"/>
        </w:rPr>
        <w:t xml:space="preserve"> </w:t>
      </w:r>
      <w:r>
        <w:t>much</w:t>
      </w:r>
    </w:p>
    <w:p w14:paraId="5BB63985" w14:textId="16B2254F" w:rsidR="00BD462C" w:rsidRDefault="00D70C7D">
      <w:pPr>
        <w:pStyle w:val="BodyText"/>
        <w:spacing w:before="7"/>
        <w:rPr>
          <w:sz w:val="19"/>
        </w:rPr>
      </w:pPr>
      <w:r>
        <w:rPr>
          <w:noProof/>
        </w:rPr>
        <mc:AlternateContent>
          <mc:Choice Requires="wps">
            <w:drawing>
              <wp:anchor distT="0" distB="0" distL="0" distR="0" simplePos="0" relativeHeight="487719936" behindDoc="1" locked="0" layoutInCell="1" allowOverlap="1" wp14:anchorId="4E01483D" wp14:editId="72736CD2">
                <wp:simplePos x="0" y="0"/>
                <wp:positionH relativeFrom="page">
                  <wp:posOffset>899160</wp:posOffset>
                </wp:positionH>
                <wp:positionV relativeFrom="paragraph">
                  <wp:posOffset>167005</wp:posOffset>
                </wp:positionV>
                <wp:extent cx="1828800" cy="8890"/>
                <wp:effectExtent l="0" t="0" r="0" b="0"/>
                <wp:wrapTopAndBottom/>
                <wp:docPr id="856" name="docshape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A59ACE" id="docshape288" o:spid="_x0000_s1026" alt="&quot;&quot;" style="position:absolute;margin-left:70.8pt;margin-top:13.15pt;width:2in;height:.7pt;z-index:-15596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" fillcolor="black" stroked="f">
                <w10:wrap type="topAndBottom" anchorx="page"/>
              </v:rect>
            </w:pict>
          </mc:Fallback>
        </mc:AlternateContent>
      </w:r>
    </w:p>
    <w:p w14:paraId="78C99727" w14:textId="77777777" w:rsidR="00BD462C" w:rsidRDefault="00033D0F">
      <w:pPr>
        <w:spacing w:before="112"/>
        <w:ind w:left="135"/>
        <w:rPr>
          <w:sz w:val="18"/>
        </w:rPr>
      </w:pPr>
      <w:bookmarkStart w:id="604" w:name="_bookmark516"/>
      <w:bookmarkEnd w:id="604"/>
      <w:r>
        <w:rPr>
          <w:position w:val="5"/>
          <w:sz w:val="12"/>
        </w:rPr>
        <w:t>424</w:t>
      </w:r>
      <w:r>
        <w:rPr>
          <w:spacing w:val="11"/>
          <w:position w:val="5"/>
          <w:sz w:val="12"/>
        </w:rPr>
        <w:t xml:space="preserve"> </w:t>
      </w:r>
      <w:r>
        <w:rPr>
          <w:sz w:val="18"/>
        </w:rPr>
        <w:t>Anti-Dumping</w:t>
      </w:r>
      <w:r>
        <w:rPr>
          <w:spacing w:val="-8"/>
          <w:sz w:val="18"/>
        </w:rPr>
        <w:t xml:space="preserve"> </w:t>
      </w:r>
      <w:r>
        <w:rPr>
          <w:sz w:val="18"/>
        </w:rPr>
        <w:t>Final</w:t>
      </w:r>
      <w:r>
        <w:rPr>
          <w:spacing w:val="-2"/>
          <w:sz w:val="18"/>
        </w:rPr>
        <w:t xml:space="preserve"> </w:t>
      </w:r>
      <w:r>
        <w:rPr>
          <w:sz w:val="18"/>
        </w:rPr>
        <w:t>Determination</w:t>
      </w:r>
      <w:r>
        <w:rPr>
          <w:spacing w:val="-8"/>
          <w:sz w:val="18"/>
        </w:rPr>
        <w:t xml:space="preserve"> </w:t>
      </w:r>
      <w:r>
        <w:rPr>
          <w:sz w:val="18"/>
        </w:rPr>
        <w:t>(Exhibit</w:t>
      </w:r>
      <w:r>
        <w:rPr>
          <w:spacing w:val="-3"/>
          <w:sz w:val="18"/>
        </w:rPr>
        <w:t xml:space="preserve"> </w:t>
      </w:r>
      <w:r>
        <w:rPr>
          <w:sz w:val="18"/>
        </w:rPr>
        <w:t>AUS-2),</w:t>
      </w:r>
      <w:r>
        <w:rPr>
          <w:spacing w:val="-6"/>
          <w:sz w:val="18"/>
        </w:rPr>
        <w:t xml:space="preserve"> </w:t>
      </w:r>
      <w:r>
        <w:rPr>
          <w:sz w:val="18"/>
        </w:rPr>
        <w:t>page</w:t>
      </w:r>
      <w:r>
        <w:rPr>
          <w:spacing w:val="-3"/>
          <w:sz w:val="18"/>
        </w:rPr>
        <w:t xml:space="preserve"> </w:t>
      </w:r>
      <w:r>
        <w:rPr>
          <w:sz w:val="18"/>
        </w:rPr>
        <w:t>70-71;</w:t>
      </w:r>
      <w:r>
        <w:rPr>
          <w:spacing w:val="-5"/>
          <w:sz w:val="18"/>
        </w:rPr>
        <w:t xml:space="preserve"> </w:t>
      </w:r>
      <w:r>
        <w:rPr>
          <w:sz w:val="18"/>
        </w:rPr>
        <w:t>Australia's</w:t>
      </w:r>
      <w:r>
        <w:rPr>
          <w:spacing w:val="-7"/>
          <w:sz w:val="18"/>
        </w:rPr>
        <w:t xml:space="preserve"> </w:t>
      </w:r>
      <w:r>
        <w:rPr>
          <w:sz w:val="18"/>
        </w:rPr>
        <w:t>first</w:t>
      </w:r>
      <w:r>
        <w:rPr>
          <w:spacing w:val="-6"/>
          <w:sz w:val="18"/>
        </w:rPr>
        <w:t xml:space="preserve"> </w:t>
      </w:r>
      <w:r>
        <w:rPr>
          <w:sz w:val="18"/>
        </w:rPr>
        <w:t>written</w:t>
      </w:r>
      <w:r>
        <w:rPr>
          <w:spacing w:val="-8"/>
          <w:sz w:val="18"/>
        </w:rPr>
        <w:t xml:space="preserve"> </w:t>
      </w:r>
      <w:r>
        <w:rPr>
          <w:sz w:val="18"/>
        </w:rPr>
        <w:t>submission,</w:t>
      </w:r>
      <w:r>
        <w:rPr>
          <w:spacing w:val="-1"/>
          <w:sz w:val="18"/>
        </w:rPr>
        <w:t xml:space="preserve"> </w:t>
      </w:r>
      <w:r>
        <w:rPr>
          <w:sz w:val="18"/>
        </w:rPr>
        <w:t>paras.</w:t>
      </w:r>
      <w:r>
        <w:rPr>
          <w:spacing w:val="-7"/>
          <w:sz w:val="18"/>
        </w:rPr>
        <w:t xml:space="preserve"> </w:t>
      </w:r>
      <w:r>
        <w:rPr>
          <w:sz w:val="18"/>
        </w:rPr>
        <w:t>516-</w:t>
      </w:r>
      <w:r>
        <w:rPr>
          <w:spacing w:val="-4"/>
          <w:sz w:val="18"/>
        </w:rPr>
        <w:t>517.</w:t>
      </w:r>
    </w:p>
    <w:p w14:paraId="68B8AC53" w14:textId="77777777" w:rsidR="00BD462C" w:rsidRDefault="00033D0F">
      <w:pPr>
        <w:spacing w:before="1"/>
        <w:ind w:left="135"/>
        <w:rPr>
          <w:sz w:val="18"/>
        </w:rPr>
      </w:pPr>
      <w:bookmarkStart w:id="605" w:name="_bookmark517"/>
      <w:bookmarkEnd w:id="605"/>
      <w:r>
        <w:rPr>
          <w:position w:val="5"/>
          <w:sz w:val="12"/>
        </w:rPr>
        <w:t>425</w:t>
      </w:r>
      <w:r>
        <w:rPr>
          <w:spacing w:val="14"/>
          <w:position w:val="5"/>
          <w:sz w:val="12"/>
        </w:rPr>
        <w:t xml:space="preserve"> </w:t>
      </w:r>
      <w:r>
        <w:rPr>
          <w:sz w:val="18"/>
        </w:rPr>
        <w:t>See</w:t>
      </w:r>
      <w:r>
        <w:rPr>
          <w:spacing w:val="-5"/>
          <w:sz w:val="18"/>
        </w:rPr>
        <w:t xml:space="preserve"> </w:t>
      </w:r>
      <w:r>
        <w:rPr>
          <w:sz w:val="18"/>
        </w:rPr>
        <w:t>above,</w:t>
      </w:r>
      <w:r>
        <w:rPr>
          <w:spacing w:val="-2"/>
          <w:sz w:val="18"/>
        </w:rPr>
        <w:t xml:space="preserve"> </w:t>
      </w:r>
      <w:r>
        <w:rPr>
          <w:sz w:val="18"/>
        </w:rPr>
        <w:t>paras</w:t>
      </w:r>
      <w:r>
        <w:rPr>
          <w:spacing w:val="-5"/>
          <w:sz w:val="18"/>
        </w:rPr>
        <w:t xml:space="preserve"> </w:t>
      </w:r>
      <w:hyperlink w:anchor="_bookmark203" w:history="1">
        <w:r>
          <w:rPr>
            <w:sz w:val="18"/>
          </w:rPr>
          <w:t>106</w:t>
        </w:r>
      </w:hyperlink>
      <w:hyperlink w:anchor="_bookmark210" w:history="1">
        <w:r>
          <w:rPr>
            <w:sz w:val="18"/>
          </w:rPr>
          <w:t>-111.</w:t>
        </w:r>
      </w:hyperlink>
      <w:r>
        <w:rPr>
          <w:spacing w:val="1"/>
          <w:sz w:val="18"/>
        </w:rPr>
        <w:t xml:space="preserve"> </w:t>
      </w:r>
      <w:r>
        <w:rPr>
          <w:sz w:val="18"/>
        </w:rPr>
        <w:t>See also</w:t>
      </w:r>
      <w:r>
        <w:rPr>
          <w:spacing w:val="-6"/>
          <w:sz w:val="18"/>
        </w:rPr>
        <w:t xml:space="preserve"> </w:t>
      </w:r>
      <w:r>
        <w:rPr>
          <w:sz w:val="18"/>
        </w:rPr>
        <w:t>Australia's</w:t>
      </w:r>
      <w:r>
        <w:rPr>
          <w:spacing w:val="-4"/>
          <w:sz w:val="18"/>
        </w:rPr>
        <w:t xml:space="preserve"> </w:t>
      </w:r>
      <w:r>
        <w:rPr>
          <w:sz w:val="18"/>
        </w:rPr>
        <w:t>first</w:t>
      </w:r>
      <w:r>
        <w:rPr>
          <w:spacing w:val="-3"/>
          <w:sz w:val="18"/>
        </w:rPr>
        <w:t xml:space="preserve"> </w:t>
      </w:r>
      <w:r>
        <w:rPr>
          <w:sz w:val="18"/>
        </w:rPr>
        <w:t>written</w:t>
      </w:r>
      <w:r>
        <w:rPr>
          <w:spacing w:val="-6"/>
          <w:sz w:val="18"/>
        </w:rPr>
        <w:t xml:space="preserve"> </w:t>
      </w:r>
      <w:r>
        <w:rPr>
          <w:sz w:val="18"/>
        </w:rPr>
        <w:t>submission</w:t>
      </w:r>
      <w:r>
        <w:rPr>
          <w:spacing w:val="-5"/>
          <w:sz w:val="18"/>
        </w:rPr>
        <w:t xml:space="preserve"> </w:t>
      </w:r>
      <w:r>
        <w:rPr>
          <w:sz w:val="18"/>
        </w:rPr>
        <w:t>at</w:t>
      </w:r>
      <w:r>
        <w:rPr>
          <w:spacing w:val="-4"/>
          <w:sz w:val="18"/>
        </w:rPr>
        <w:t xml:space="preserve"> </w:t>
      </w:r>
      <w:r>
        <w:rPr>
          <w:sz w:val="18"/>
        </w:rPr>
        <w:t>paras</w:t>
      </w:r>
      <w:r>
        <w:rPr>
          <w:spacing w:val="-4"/>
          <w:sz w:val="18"/>
        </w:rPr>
        <w:t xml:space="preserve"> </w:t>
      </w:r>
      <w:r>
        <w:rPr>
          <w:sz w:val="18"/>
        </w:rPr>
        <w:t>502-</w:t>
      </w:r>
      <w:r>
        <w:rPr>
          <w:spacing w:val="-4"/>
          <w:sz w:val="18"/>
        </w:rPr>
        <w:t>508.</w:t>
      </w:r>
    </w:p>
    <w:p w14:paraId="0FB7E16B" w14:textId="77777777" w:rsidR="00BD462C" w:rsidRDefault="00033D0F">
      <w:pPr>
        <w:spacing w:before="1"/>
        <w:ind w:left="135"/>
        <w:rPr>
          <w:sz w:val="18"/>
        </w:rPr>
      </w:pPr>
      <w:bookmarkStart w:id="606" w:name="_bookmark518"/>
      <w:bookmarkEnd w:id="606"/>
      <w:r>
        <w:rPr>
          <w:position w:val="5"/>
          <w:sz w:val="12"/>
        </w:rPr>
        <w:t>426</w:t>
      </w:r>
      <w:r>
        <w:rPr>
          <w:spacing w:val="16"/>
          <w:position w:val="5"/>
          <w:sz w:val="12"/>
        </w:rPr>
        <w:t xml:space="preserve"> </w:t>
      </w:r>
      <w:r>
        <w:rPr>
          <w:sz w:val="18"/>
        </w:rPr>
        <w:t>See</w:t>
      </w:r>
      <w:r>
        <w:rPr>
          <w:spacing w:val="-2"/>
          <w:sz w:val="18"/>
        </w:rPr>
        <w:t xml:space="preserve"> </w:t>
      </w:r>
      <w:r>
        <w:rPr>
          <w:sz w:val="18"/>
        </w:rPr>
        <w:t>paras</w:t>
      </w:r>
      <w:r>
        <w:rPr>
          <w:spacing w:val="-2"/>
          <w:sz w:val="18"/>
        </w:rPr>
        <w:t xml:space="preserve"> </w:t>
      </w:r>
      <w:hyperlink w:anchor="_bookmark354" w:history="1">
        <w:r>
          <w:rPr>
            <w:sz w:val="18"/>
          </w:rPr>
          <w:t>207</w:t>
        </w:r>
      </w:hyperlink>
      <w:hyperlink w:anchor="_bookmark361" w:history="1">
        <w:r>
          <w:rPr>
            <w:sz w:val="18"/>
          </w:rPr>
          <w:t>-</w:t>
        </w:r>
        <w:r>
          <w:rPr>
            <w:spacing w:val="-4"/>
            <w:sz w:val="18"/>
          </w:rPr>
          <w:t>209.</w:t>
        </w:r>
      </w:hyperlink>
    </w:p>
    <w:p w14:paraId="1C4F839D" w14:textId="77777777" w:rsidR="00BD462C" w:rsidRDefault="00033D0F">
      <w:pPr>
        <w:spacing w:before="1"/>
        <w:ind w:left="135" w:right="904"/>
        <w:jc w:val="both"/>
        <w:rPr>
          <w:sz w:val="18"/>
        </w:rPr>
      </w:pPr>
      <w:bookmarkStart w:id="607" w:name="_bookmark519"/>
      <w:bookmarkEnd w:id="607"/>
      <w:r>
        <w:rPr>
          <w:position w:val="5"/>
          <w:sz w:val="12"/>
        </w:rPr>
        <w:t>427</w:t>
      </w:r>
      <w:r>
        <w:rPr>
          <w:spacing w:val="17"/>
          <w:position w:val="5"/>
          <w:sz w:val="12"/>
        </w:rPr>
        <w:t xml:space="preserve"> </w:t>
      </w:r>
      <w:r>
        <w:rPr>
          <w:sz w:val="18"/>
        </w:rPr>
        <w:t>China argues</w:t>
      </w:r>
      <w:r>
        <w:rPr>
          <w:spacing w:val="-2"/>
          <w:sz w:val="18"/>
        </w:rPr>
        <w:t xml:space="preserve"> </w:t>
      </w:r>
      <w:r>
        <w:rPr>
          <w:sz w:val="18"/>
        </w:rPr>
        <w:t>that</w:t>
      </w:r>
      <w:r>
        <w:rPr>
          <w:spacing w:val="-1"/>
          <w:sz w:val="18"/>
        </w:rPr>
        <w:t xml:space="preserve"> </w:t>
      </w:r>
      <w:r>
        <w:rPr>
          <w:sz w:val="18"/>
        </w:rPr>
        <w:t>"Australia has</w:t>
      </w:r>
      <w:r>
        <w:rPr>
          <w:spacing w:val="-2"/>
          <w:sz w:val="18"/>
        </w:rPr>
        <w:t xml:space="preserve"> </w:t>
      </w:r>
      <w:r>
        <w:rPr>
          <w:sz w:val="18"/>
        </w:rPr>
        <w:t>not</w:t>
      </w:r>
      <w:r>
        <w:rPr>
          <w:spacing w:val="-1"/>
          <w:sz w:val="18"/>
        </w:rPr>
        <w:t xml:space="preserve"> </w:t>
      </w:r>
      <w:r>
        <w:rPr>
          <w:sz w:val="18"/>
        </w:rPr>
        <w:t>raised</w:t>
      </w:r>
      <w:r>
        <w:rPr>
          <w:spacing w:val="-3"/>
          <w:sz w:val="18"/>
        </w:rPr>
        <w:t xml:space="preserve"> </w:t>
      </w:r>
      <w:r>
        <w:rPr>
          <w:sz w:val="18"/>
        </w:rPr>
        <w:t>a</w:t>
      </w:r>
      <w:r>
        <w:rPr>
          <w:spacing w:val="-4"/>
          <w:sz w:val="18"/>
        </w:rPr>
        <w:t xml:space="preserve"> </w:t>
      </w:r>
      <w:r>
        <w:rPr>
          <w:i/>
          <w:sz w:val="18"/>
        </w:rPr>
        <w:t>claim</w:t>
      </w:r>
      <w:r>
        <w:rPr>
          <w:i/>
          <w:spacing w:val="-3"/>
          <w:sz w:val="18"/>
        </w:rPr>
        <w:t xml:space="preserve"> </w:t>
      </w:r>
      <w:r>
        <w:rPr>
          <w:sz w:val="18"/>
        </w:rPr>
        <w:t>related</w:t>
      </w:r>
      <w:r>
        <w:rPr>
          <w:spacing w:val="-3"/>
          <w:sz w:val="18"/>
        </w:rPr>
        <w:t xml:space="preserve"> </w:t>
      </w:r>
      <w:r>
        <w:rPr>
          <w:sz w:val="18"/>
        </w:rPr>
        <w:t>to "level of</w:t>
      </w:r>
      <w:r>
        <w:rPr>
          <w:spacing w:val="-1"/>
          <w:sz w:val="18"/>
        </w:rPr>
        <w:t xml:space="preserve"> </w:t>
      </w:r>
      <w:r>
        <w:rPr>
          <w:sz w:val="18"/>
        </w:rPr>
        <w:t>trade"</w:t>
      </w:r>
      <w:r>
        <w:rPr>
          <w:spacing w:val="-4"/>
          <w:sz w:val="18"/>
        </w:rPr>
        <w:t xml:space="preserve"> </w:t>
      </w:r>
      <w:r>
        <w:rPr>
          <w:sz w:val="18"/>
        </w:rPr>
        <w:t>under</w:t>
      </w:r>
      <w:r>
        <w:rPr>
          <w:spacing w:val="-4"/>
          <w:sz w:val="18"/>
        </w:rPr>
        <w:t xml:space="preserve"> </w:t>
      </w:r>
      <w:r>
        <w:rPr>
          <w:sz w:val="18"/>
        </w:rPr>
        <w:t>the</w:t>
      </w:r>
      <w:r>
        <w:rPr>
          <w:spacing w:val="-2"/>
          <w:sz w:val="18"/>
        </w:rPr>
        <w:t xml:space="preserve"> </w:t>
      </w:r>
      <w:r>
        <w:rPr>
          <w:sz w:val="18"/>
        </w:rPr>
        <w:t>third</w:t>
      </w:r>
      <w:r>
        <w:rPr>
          <w:spacing w:val="-3"/>
          <w:sz w:val="18"/>
        </w:rPr>
        <w:t xml:space="preserve"> </w:t>
      </w:r>
      <w:r>
        <w:rPr>
          <w:sz w:val="18"/>
        </w:rPr>
        <w:t>sentence.</w:t>
      </w:r>
      <w:r>
        <w:rPr>
          <w:spacing w:val="-1"/>
          <w:sz w:val="18"/>
        </w:rPr>
        <w:t xml:space="preserve"> </w:t>
      </w:r>
      <w:r>
        <w:rPr>
          <w:sz w:val="18"/>
        </w:rPr>
        <w:t>Its claim</w:t>
      </w:r>
      <w:r>
        <w:rPr>
          <w:spacing w:val="-4"/>
          <w:sz w:val="18"/>
        </w:rPr>
        <w:t xml:space="preserve"> </w:t>
      </w:r>
      <w:r>
        <w:rPr>
          <w:sz w:val="18"/>
        </w:rPr>
        <w:t>is</w:t>
      </w:r>
      <w:r>
        <w:rPr>
          <w:spacing w:val="-2"/>
          <w:sz w:val="18"/>
        </w:rPr>
        <w:t xml:space="preserve"> </w:t>
      </w:r>
      <w:r>
        <w:rPr>
          <w:sz w:val="18"/>
        </w:rPr>
        <w:t>limited to</w:t>
      </w:r>
      <w:r>
        <w:rPr>
          <w:spacing w:val="31"/>
          <w:sz w:val="18"/>
        </w:rPr>
        <w:t xml:space="preserve"> </w:t>
      </w:r>
      <w:r>
        <w:rPr>
          <w:sz w:val="18"/>
        </w:rPr>
        <w:t>a</w:t>
      </w:r>
      <w:r>
        <w:rPr>
          <w:spacing w:val="24"/>
          <w:sz w:val="18"/>
        </w:rPr>
        <w:t xml:space="preserve"> </w:t>
      </w:r>
      <w:r>
        <w:rPr>
          <w:sz w:val="18"/>
        </w:rPr>
        <w:t>violation</w:t>
      </w:r>
      <w:r>
        <w:rPr>
          <w:spacing w:val="26"/>
          <w:sz w:val="18"/>
        </w:rPr>
        <w:t xml:space="preserve"> </w:t>
      </w:r>
      <w:r>
        <w:rPr>
          <w:sz w:val="18"/>
        </w:rPr>
        <w:t>of</w:t>
      </w:r>
      <w:r>
        <w:rPr>
          <w:spacing w:val="28"/>
          <w:sz w:val="18"/>
        </w:rPr>
        <w:t xml:space="preserve"> </w:t>
      </w:r>
      <w:r>
        <w:rPr>
          <w:sz w:val="18"/>
        </w:rPr>
        <w:t>the</w:t>
      </w:r>
      <w:r>
        <w:rPr>
          <w:spacing w:val="27"/>
          <w:sz w:val="18"/>
        </w:rPr>
        <w:t xml:space="preserve"> </w:t>
      </w:r>
      <w:r>
        <w:rPr>
          <w:sz w:val="18"/>
        </w:rPr>
        <w:t>second</w:t>
      </w:r>
      <w:r>
        <w:rPr>
          <w:spacing w:val="26"/>
          <w:sz w:val="18"/>
        </w:rPr>
        <w:t xml:space="preserve"> </w:t>
      </w:r>
      <w:r>
        <w:rPr>
          <w:sz w:val="18"/>
        </w:rPr>
        <w:t>sentence</w:t>
      </w:r>
      <w:r>
        <w:rPr>
          <w:spacing w:val="32"/>
          <w:sz w:val="18"/>
        </w:rPr>
        <w:t xml:space="preserve"> </w:t>
      </w:r>
      <w:r>
        <w:rPr>
          <w:sz w:val="18"/>
        </w:rPr>
        <w:t>of</w:t>
      </w:r>
      <w:r>
        <w:rPr>
          <w:spacing w:val="28"/>
          <w:sz w:val="18"/>
        </w:rPr>
        <w:t xml:space="preserve"> </w:t>
      </w:r>
      <w:r>
        <w:rPr>
          <w:sz w:val="18"/>
        </w:rPr>
        <w:t>Article</w:t>
      </w:r>
      <w:r>
        <w:rPr>
          <w:spacing w:val="27"/>
          <w:sz w:val="18"/>
        </w:rPr>
        <w:t xml:space="preserve"> </w:t>
      </w:r>
      <w:r>
        <w:rPr>
          <w:sz w:val="18"/>
        </w:rPr>
        <w:t>2.4</w:t>
      </w:r>
      <w:r>
        <w:rPr>
          <w:spacing w:val="24"/>
          <w:sz w:val="18"/>
        </w:rPr>
        <w:t xml:space="preserve"> </w:t>
      </w:r>
      <w:r>
        <w:rPr>
          <w:sz w:val="18"/>
        </w:rPr>
        <w:t>of</w:t>
      </w:r>
      <w:r>
        <w:rPr>
          <w:spacing w:val="33"/>
          <w:sz w:val="18"/>
        </w:rPr>
        <w:t xml:space="preserve"> </w:t>
      </w:r>
      <w:r>
        <w:rPr>
          <w:sz w:val="18"/>
        </w:rPr>
        <w:t>the</w:t>
      </w:r>
      <w:r>
        <w:rPr>
          <w:spacing w:val="27"/>
          <w:sz w:val="18"/>
        </w:rPr>
        <w:t xml:space="preserve"> </w:t>
      </w:r>
      <w:r>
        <w:rPr>
          <w:sz w:val="18"/>
        </w:rPr>
        <w:t>Anti-Dumping</w:t>
      </w:r>
      <w:r>
        <w:rPr>
          <w:spacing w:val="32"/>
          <w:sz w:val="18"/>
        </w:rPr>
        <w:t xml:space="preserve"> </w:t>
      </w:r>
      <w:r>
        <w:rPr>
          <w:sz w:val="18"/>
        </w:rPr>
        <w:t>Agreement"</w:t>
      </w:r>
      <w:r>
        <w:rPr>
          <w:spacing w:val="24"/>
          <w:sz w:val="18"/>
        </w:rPr>
        <w:t xml:space="preserve"> </w:t>
      </w:r>
      <w:r>
        <w:rPr>
          <w:sz w:val="18"/>
        </w:rPr>
        <w:t>(China's</w:t>
      </w:r>
      <w:r>
        <w:rPr>
          <w:spacing w:val="27"/>
          <w:sz w:val="18"/>
        </w:rPr>
        <w:t xml:space="preserve"> </w:t>
      </w:r>
      <w:r>
        <w:rPr>
          <w:sz w:val="18"/>
        </w:rPr>
        <w:t>first</w:t>
      </w:r>
      <w:r>
        <w:rPr>
          <w:spacing w:val="32"/>
          <w:sz w:val="18"/>
        </w:rPr>
        <w:t xml:space="preserve"> </w:t>
      </w:r>
      <w:r>
        <w:rPr>
          <w:sz w:val="18"/>
        </w:rPr>
        <w:t>written</w:t>
      </w:r>
      <w:r>
        <w:rPr>
          <w:spacing w:val="27"/>
          <w:sz w:val="18"/>
        </w:rPr>
        <w:t xml:space="preserve"> </w:t>
      </w:r>
      <w:r>
        <w:rPr>
          <w:sz w:val="18"/>
        </w:rPr>
        <w:t xml:space="preserve">submission, para. 835, emphasis added), referencing Australia's </w:t>
      </w:r>
      <w:r>
        <w:rPr>
          <w:i/>
          <w:sz w:val="18"/>
        </w:rPr>
        <w:t xml:space="preserve">argument </w:t>
      </w:r>
      <w:r>
        <w:rPr>
          <w:sz w:val="18"/>
        </w:rPr>
        <w:t>in its first written submission. China confuses the difference between</w:t>
      </w:r>
      <w:r>
        <w:rPr>
          <w:spacing w:val="-2"/>
          <w:sz w:val="18"/>
        </w:rPr>
        <w:t xml:space="preserve"> </w:t>
      </w:r>
      <w:r>
        <w:rPr>
          <w:sz w:val="18"/>
        </w:rPr>
        <w:t>a "claim" and an</w:t>
      </w:r>
      <w:r>
        <w:rPr>
          <w:spacing w:val="-3"/>
          <w:sz w:val="18"/>
        </w:rPr>
        <w:t xml:space="preserve"> </w:t>
      </w:r>
      <w:r>
        <w:rPr>
          <w:sz w:val="18"/>
        </w:rPr>
        <w:t>"argument". Australia's</w:t>
      </w:r>
      <w:r>
        <w:rPr>
          <w:spacing w:val="-2"/>
          <w:sz w:val="18"/>
        </w:rPr>
        <w:t xml:space="preserve"> </w:t>
      </w:r>
      <w:r>
        <w:rPr>
          <w:sz w:val="18"/>
        </w:rPr>
        <w:t>"claim"</w:t>
      </w:r>
      <w:r>
        <w:rPr>
          <w:spacing w:val="-4"/>
          <w:sz w:val="18"/>
        </w:rPr>
        <w:t xml:space="preserve"> </w:t>
      </w:r>
      <w:r>
        <w:rPr>
          <w:sz w:val="18"/>
        </w:rPr>
        <w:t>under Article 2.4 is</w:t>
      </w:r>
      <w:r>
        <w:rPr>
          <w:spacing w:val="-2"/>
          <w:sz w:val="18"/>
        </w:rPr>
        <w:t xml:space="preserve"> </w:t>
      </w:r>
      <w:r>
        <w:rPr>
          <w:sz w:val="18"/>
        </w:rPr>
        <w:t>set out</w:t>
      </w:r>
      <w:r>
        <w:rPr>
          <w:spacing w:val="-1"/>
          <w:sz w:val="18"/>
        </w:rPr>
        <w:t xml:space="preserve"> </w:t>
      </w:r>
      <w:r>
        <w:rPr>
          <w:sz w:val="18"/>
        </w:rPr>
        <w:t>in</w:t>
      </w:r>
      <w:r>
        <w:rPr>
          <w:spacing w:val="-3"/>
          <w:sz w:val="18"/>
        </w:rPr>
        <w:t xml:space="preserve"> </w:t>
      </w:r>
      <w:r>
        <w:rPr>
          <w:sz w:val="18"/>
        </w:rPr>
        <w:t>paragraph xiv of</w:t>
      </w:r>
      <w:r>
        <w:rPr>
          <w:spacing w:val="-1"/>
          <w:sz w:val="18"/>
        </w:rPr>
        <w:t xml:space="preserve"> </w:t>
      </w:r>
      <w:r>
        <w:rPr>
          <w:sz w:val="18"/>
        </w:rPr>
        <w:t>its</w:t>
      </w:r>
      <w:r>
        <w:rPr>
          <w:spacing w:val="-2"/>
          <w:sz w:val="18"/>
        </w:rPr>
        <w:t xml:space="preserve"> </w:t>
      </w:r>
      <w:r>
        <w:rPr>
          <w:sz w:val="18"/>
        </w:rPr>
        <w:t>Panel</w:t>
      </w:r>
      <w:r>
        <w:rPr>
          <w:spacing w:val="-2"/>
          <w:sz w:val="18"/>
        </w:rPr>
        <w:t xml:space="preserve"> </w:t>
      </w:r>
      <w:r>
        <w:rPr>
          <w:sz w:val="18"/>
        </w:rPr>
        <w:t>Request</w:t>
      </w:r>
      <w:r>
        <w:rPr>
          <w:spacing w:val="-1"/>
          <w:sz w:val="18"/>
        </w:rPr>
        <w:t xml:space="preserve"> </w:t>
      </w:r>
      <w:r>
        <w:rPr>
          <w:sz w:val="18"/>
        </w:rPr>
        <w:t>in broad terms that covered the entirety of Article 2.4. It is irrelevant that Australia focused its "argument" in its first written submission on the mandatory requirement in the second sentence of Article 2.4.</w:t>
      </w:r>
    </w:p>
    <w:p w14:paraId="3178EB4A" w14:textId="77777777" w:rsidR="00BD462C" w:rsidRDefault="00033D0F">
      <w:pPr>
        <w:spacing w:line="217" w:lineRule="exact"/>
        <w:ind w:left="135"/>
        <w:jc w:val="both"/>
        <w:rPr>
          <w:sz w:val="18"/>
        </w:rPr>
      </w:pPr>
      <w:bookmarkStart w:id="608" w:name="_bookmark520"/>
      <w:bookmarkEnd w:id="608"/>
      <w:r>
        <w:rPr>
          <w:position w:val="5"/>
          <w:sz w:val="12"/>
        </w:rPr>
        <w:t>428</w:t>
      </w:r>
      <w:r>
        <w:rPr>
          <w:spacing w:val="12"/>
          <w:position w:val="5"/>
          <w:sz w:val="12"/>
        </w:rPr>
        <w:t xml:space="preserve"> </w:t>
      </w:r>
      <w:r>
        <w:rPr>
          <w:sz w:val="18"/>
        </w:rPr>
        <w:t>Anti-Dumping</w:t>
      </w:r>
      <w:r>
        <w:rPr>
          <w:spacing w:val="-6"/>
          <w:sz w:val="18"/>
        </w:rPr>
        <w:t xml:space="preserve"> </w:t>
      </w:r>
      <w:r>
        <w:rPr>
          <w:sz w:val="18"/>
        </w:rPr>
        <w:t>Final</w:t>
      </w:r>
      <w:r>
        <w:rPr>
          <w:spacing w:val="-1"/>
          <w:sz w:val="18"/>
        </w:rPr>
        <w:t xml:space="preserve"> </w:t>
      </w:r>
      <w:r>
        <w:rPr>
          <w:sz w:val="18"/>
        </w:rPr>
        <w:t>Determination</w:t>
      </w:r>
      <w:r>
        <w:rPr>
          <w:spacing w:val="-6"/>
          <w:sz w:val="18"/>
        </w:rPr>
        <w:t xml:space="preserve"> </w:t>
      </w:r>
      <w:r>
        <w:rPr>
          <w:sz w:val="18"/>
        </w:rPr>
        <w:t>(Exhibit</w:t>
      </w:r>
      <w:r>
        <w:rPr>
          <w:spacing w:val="-1"/>
          <w:sz w:val="18"/>
        </w:rPr>
        <w:t xml:space="preserve"> </w:t>
      </w:r>
      <w:r>
        <w:rPr>
          <w:sz w:val="18"/>
        </w:rPr>
        <w:t>AUS-2),</w:t>
      </w:r>
      <w:r>
        <w:rPr>
          <w:spacing w:val="-4"/>
          <w:sz w:val="18"/>
        </w:rPr>
        <w:t xml:space="preserve"> </w:t>
      </w:r>
      <w:r>
        <w:rPr>
          <w:sz w:val="18"/>
        </w:rPr>
        <w:t>p.</w:t>
      </w:r>
      <w:r>
        <w:rPr>
          <w:spacing w:val="-5"/>
          <w:sz w:val="18"/>
        </w:rPr>
        <w:t xml:space="preserve"> </w:t>
      </w:r>
      <w:r>
        <w:rPr>
          <w:sz w:val="18"/>
        </w:rPr>
        <w:t>86-</w:t>
      </w:r>
      <w:r>
        <w:rPr>
          <w:spacing w:val="-5"/>
          <w:sz w:val="18"/>
        </w:rPr>
        <w:t>87.</w:t>
      </w:r>
    </w:p>
    <w:p w14:paraId="06E733C7" w14:textId="77777777" w:rsidR="00BD462C" w:rsidRDefault="00033D0F">
      <w:pPr>
        <w:spacing w:before="1"/>
        <w:ind w:left="135"/>
        <w:rPr>
          <w:sz w:val="18"/>
        </w:rPr>
      </w:pPr>
      <w:bookmarkStart w:id="609" w:name="_bookmark521"/>
      <w:bookmarkEnd w:id="609"/>
      <w:r>
        <w:rPr>
          <w:position w:val="5"/>
          <w:sz w:val="12"/>
        </w:rPr>
        <w:t>429</w:t>
      </w:r>
      <w:r>
        <w:rPr>
          <w:spacing w:val="13"/>
          <w:position w:val="5"/>
          <w:sz w:val="12"/>
        </w:rPr>
        <w:t xml:space="preserve"> </w:t>
      </w:r>
      <w:r>
        <w:rPr>
          <w:sz w:val="18"/>
        </w:rPr>
        <w:t>See</w:t>
      </w:r>
      <w:r>
        <w:rPr>
          <w:spacing w:val="-5"/>
          <w:sz w:val="18"/>
        </w:rPr>
        <w:t xml:space="preserve"> </w:t>
      </w:r>
      <w:r>
        <w:rPr>
          <w:sz w:val="18"/>
        </w:rPr>
        <w:t>paras. 96-103.</w:t>
      </w:r>
      <w:r>
        <w:rPr>
          <w:spacing w:val="-4"/>
          <w:sz w:val="18"/>
        </w:rPr>
        <w:t xml:space="preserve"> </w:t>
      </w:r>
      <w:r>
        <w:rPr>
          <w:sz w:val="18"/>
        </w:rPr>
        <w:t>See</w:t>
      </w:r>
      <w:r>
        <w:rPr>
          <w:spacing w:val="-6"/>
          <w:sz w:val="18"/>
        </w:rPr>
        <w:t xml:space="preserve"> </w:t>
      </w:r>
      <w:r>
        <w:rPr>
          <w:sz w:val="18"/>
        </w:rPr>
        <w:t>also</w:t>
      </w:r>
      <w:r>
        <w:rPr>
          <w:spacing w:val="-6"/>
          <w:sz w:val="18"/>
        </w:rPr>
        <w:t xml:space="preserve"> </w:t>
      </w:r>
      <w:r>
        <w:rPr>
          <w:sz w:val="18"/>
        </w:rPr>
        <w:t>Australia's</w:t>
      </w:r>
      <w:r>
        <w:rPr>
          <w:spacing w:val="-5"/>
          <w:sz w:val="18"/>
        </w:rPr>
        <w:t xml:space="preserve"> </w:t>
      </w:r>
      <w:r>
        <w:rPr>
          <w:sz w:val="18"/>
        </w:rPr>
        <w:t>first written</w:t>
      </w:r>
      <w:r>
        <w:rPr>
          <w:spacing w:val="-7"/>
          <w:sz w:val="18"/>
        </w:rPr>
        <w:t xml:space="preserve"> </w:t>
      </w:r>
      <w:r>
        <w:rPr>
          <w:sz w:val="18"/>
        </w:rPr>
        <w:t>submission,</w:t>
      </w:r>
      <w:r>
        <w:rPr>
          <w:spacing w:val="-3"/>
          <w:sz w:val="18"/>
        </w:rPr>
        <w:t xml:space="preserve"> </w:t>
      </w:r>
      <w:r>
        <w:rPr>
          <w:sz w:val="18"/>
        </w:rPr>
        <w:t>paras</w:t>
      </w:r>
      <w:r>
        <w:rPr>
          <w:spacing w:val="-1"/>
          <w:sz w:val="18"/>
        </w:rPr>
        <w:t xml:space="preserve"> </w:t>
      </w:r>
      <w:r>
        <w:rPr>
          <w:sz w:val="18"/>
        </w:rPr>
        <w:t>493-</w:t>
      </w:r>
      <w:r>
        <w:rPr>
          <w:spacing w:val="-4"/>
          <w:sz w:val="18"/>
        </w:rPr>
        <w:t>522.</w:t>
      </w:r>
    </w:p>
    <w:p w14:paraId="6EBA0E1D" w14:textId="77777777" w:rsidR="00BD462C" w:rsidRDefault="00033D0F">
      <w:pPr>
        <w:spacing w:before="1"/>
        <w:ind w:left="135"/>
        <w:rPr>
          <w:sz w:val="18"/>
        </w:rPr>
      </w:pPr>
      <w:bookmarkStart w:id="610" w:name="_bookmark522"/>
      <w:bookmarkEnd w:id="610"/>
      <w:r>
        <w:rPr>
          <w:position w:val="5"/>
          <w:sz w:val="12"/>
        </w:rPr>
        <w:t>430</w:t>
      </w:r>
      <w:r>
        <w:rPr>
          <w:spacing w:val="14"/>
          <w:position w:val="5"/>
          <w:sz w:val="12"/>
        </w:rPr>
        <w:t xml:space="preserve"> </w:t>
      </w:r>
      <w:r>
        <w:rPr>
          <w:sz w:val="18"/>
        </w:rPr>
        <w:t>See</w:t>
      </w:r>
      <w:r>
        <w:rPr>
          <w:spacing w:val="-5"/>
          <w:sz w:val="18"/>
        </w:rPr>
        <w:t xml:space="preserve"> </w:t>
      </w:r>
      <w:r>
        <w:rPr>
          <w:sz w:val="18"/>
        </w:rPr>
        <w:t>paras.</w:t>
      </w:r>
      <w:r>
        <w:rPr>
          <w:spacing w:val="1"/>
          <w:sz w:val="18"/>
        </w:rPr>
        <w:t xml:space="preserve"> </w:t>
      </w:r>
      <w:hyperlink w:anchor="_bookmark167" w:history="1">
        <w:r>
          <w:rPr>
            <w:sz w:val="18"/>
          </w:rPr>
          <w:t>91</w:t>
        </w:r>
      </w:hyperlink>
      <w:hyperlink w:anchor="_bookmark236" w:history="1">
        <w:r>
          <w:rPr>
            <w:sz w:val="18"/>
          </w:rPr>
          <w:t>-</w:t>
        </w:r>
        <w:r>
          <w:rPr>
            <w:spacing w:val="-4"/>
            <w:sz w:val="18"/>
          </w:rPr>
          <w:t>120.</w:t>
        </w:r>
      </w:hyperlink>
    </w:p>
    <w:p w14:paraId="72BC70E8" w14:textId="77777777" w:rsidR="00BD462C" w:rsidRDefault="00033D0F">
      <w:pPr>
        <w:spacing w:before="1"/>
        <w:ind w:left="135"/>
        <w:rPr>
          <w:sz w:val="18"/>
        </w:rPr>
      </w:pPr>
      <w:bookmarkStart w:id="611" w:name="_bookmark523"/>
      <w:bookmarkEnd w:id="611"/>
      <w:r>
        <w:rPr>
          <w:position w:val="5"/>
          <w:sz w:val="12"/>
        </w:rPr>
        <w:t>431</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 xml:space="preserve">para. </w:t>
      </w:r>
      <w:r>
        <w:rPr>
          <w:spacing w:val="-4"/>
          <w:sz w:val="18"/>
        </w:rPr>
        <w:t>818.</w:t>
      </w:r>
    </w:p>
    <w:p w14:paraId="42447695" w14:textId="77777777" w:rsidR="00BD462C" w:rsidRDefault="00BD462C">
      <w:pPr>
        <w:rPr>
          <w:sz w:val="18"/>
        </w:rPr>
        <w:sectPr w:rsidR="00BD462C">
          <w:pgSz w:w="11910" w:h="16840"/>
          <w:pgMar w:top="860" w:right="500" w:bottom="780" w:left="1280" w:header="566" w:footer="590" w:gutter="0"/>
          <w:cols w:space="720"/>
        </w:sectPr>
      </w:pPr>
    </w:p>
    <w:p w14:paraId="5786072C"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4BCE030B"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39579197"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6F792A77" w14:textId="77777777" w:rsidR="00BD462C" w:rsidRDefault="00033D0F">
      <w:pPr>
        <w:pStyle w:val="BodyText"/>
        <w:spacing w:before="102" w:line="360" w:lineRule="auto"/>
        <w:ind w:left="135" w:right="914"/>
        <w:jc w:val="both"/>
      </w:pPr>
      <w:r>
        <w:t>information on the normal value as the exporter would need to meaningfully participate in the</w:t>
      </w:r>
      <w:r>
        <w:rPr>
          <w:spacing w:val="-2"/>
        </w:rPr>
        <w:t xml:space="preserve"> </w:t>
      </w:r>
      <w:r>
        <w:t>fair comparison process".</w:t>
      </w:r>
      <w:r>
        <w:rPr>
          <w:spacing w:val="-14"/>
        </w:rPr>
        <w:t xml:space="preserve"> </w:t>
      </w:r>
      <w:hyperlink w:anchor="_bookmark524" w:history="1">
        <w:r>
          <w:rPr>
            <w:vertAlign w:val="superscript"/>
          </w:rPr>
          <w:t>432</w:t>
        </w:r>
      </w:hyperlink>
      <w:r>
        <w:t xml:space="preserve"> However, MOFCOM instead withheld this information and failed to engage in dialogue. MOFCOM was still obliged to </w:t>
      </w:r>
      <w:proofErr w:type="gramStart"/>
      <w:r>
        <w:t>make adjustments</w:t>
      </w:r>
      <w:proofErr w:type="gramEnd"/>
      <w:r>
        <w:t xml:space="preserve"> "where it is demonstrated by one or another party in a particular case, or by the data itself that a given difference affects price comparability",</w:t>
      </w:r>
      <w:hyperlink w:anchor="_bookmark525" w:history="1">
        <w:r>
          <w:rPr>
            <w:vertAlign w:val="superscript"/>
          </w:rPr>
          <w:t>433</w:t>
        </w:r>
      </w:hyperlink>
      <w:r>
        <w:t xml:space="preserve"> which it also did not do.</w:t>
      </w:r>
      <w:r>
        <w:rPr>
          <w:spacing w:val="-21"/>
        </w:rPr>
        <w:t xml:space="preserve"> </w:t>
      </w:r>
      <w:hyperlink w:anchor="_bookmark526" w:history="1">
        <w:r>
          <w:rPr>
            <w:vertAlign w:val="superscript"/>
          </w:rPr>
          <w:t>434</w:t>
        </w:r>
      </w:hyperlink>
    </w:p>
    <w:p w14:paraId="165F048E" w14:textId="77777777" w:rsidR="00BD462C" w:rsidRDefault="00033D0F" w:rsidP="00DA02D9">
      <w:pPr>
        <w:pStyle w:val="ListParagraph"/>
        <w:numPr>
          <w:ilvl w:val="1"/>
          <w:numId w:val="72"/>
        </w:numPr>
        <w:tabs>
          <w:tab w:val="left" w:pos="3539"/>
          <w:tab w:val="left" w:pos="3540"/>
        </w:tabs>
        <w:spacing w:before="160" w:line="357" w:lineRule="auto"/>
        <w:ind w:right="916"/>
        <w:jc w:val="both"/>
        <w:rPr>
          <w:sz w:val="24"/>
        </w:rPr>
      </w:pPr>
      <w:r>
        <w:rPr>
          <w:sz w:val="24"/>
          <w:u w:val="single"/>
        </w:rPr>
        <w:t>MOFCOM did not make "due allowance" for differences</w:t>
      </w:r>
      <w:r>
        <w:rPr>
          <w:sz w:val="24"/>
        </w:rPr>
        <w:t xml:space="preserve"> </w:t>
      </w:r>
      <w:r>
        <w:rPr>
          <w:sz w:val="24"/>
          <w:u w:val="single"/>
        </w:rPr>
        <w:t>affecting price</w:t>
      </w:r>
    </w:p>
    <w:p w14:paraId="563E6FA9" w14:textId="77777777" w:rsidR="00BD462C" w:rsidRDefault="00BD462C">
      <w:pPr>
        <w:pStyle w:val="BodyText"/>
        <w:spacing w:before="2"/>
        <w:rPr>
          <w:sz w:val="9"/>
        </w:rPr>
      </w:pPr>
    </w:p>
    <w:p w14:paraId="344E8973" w14:textId="31E8EFB8" w:rsidR="00BD462C" w:rsidRDefault="00033D0F" w:rsidP="00DA02D9">
      <w:pPr>
        <w:pStyle w:val="BodyText"/>
        <w:numPr>
          <w:ilvl w:val="0"/>
          <w:numId w:val="71"/>
        </w:numPr>
        <w:spacing w:before="56" w:line="360" w:lineRule="auto"/>
        <w:ind w:right="914"/>
        <w:jc w:val="both"/>
      </w:pPr>
      <w:r>
        <w:rPr>
          <w:position w:val="1"/>
        </w:rPr>
        <w:t>In its first written submission, MOFCOM stated that "[g]</w:t>
      </w:r>
      <w:proofErr w:type="spellStart"/>
      <w:r>
        <w:rPr>
          <w:position w:val="1"/>
        </w:rPr>
        <w:t>iven</w:t>
      </w:r>
      <w:proofErr w:type="spellEnd"/>
      <w:r>
        <w:rPr>
          <w:position w:val="1"/>
        </w:rPr>
        <w:t xml:space="preserve"> that neither Treasury </w:t>
      </w:r>
      <w:r>
        <w:t>Wines nor Casella Wines ever requested an adjustment for differences in quality, China considers</w:t>
      </w:r>
      <w:r>
        <w:rPr>
          <w:spacing w:val="-2"/>
        </w:rPr>
        <w:t xml:space="preserve"> </w:t>
      </w:r>
      <w:r>
        <w:t>that</w:t>
      </w:r>
      <w:r>
        <w:rPr>
          <w:spacing w:val="-3"/>
        </w:rPr>
        <w:t xml:space="preserve"> </w:t>
      </w:r>
      <w:r>
        <w:t>there</w:t>
      </w:r>
      <w:r>
        <w:rPr>
          <w:spacing w:val="-3"/>
        </w:rPr>
        <w:t xml:space="preserve"> </w:t>
      </w:r>
      <w:r>
        <w:t>was</w:t>
      </w:r>
      <w:r>
        <w:rPr>
          <w:spacing w:val="-7"/>
        </w:rPr>
        <w:t xml:space="preserve"> </w:t>
      </w:r>
      <w:r>
        <w:t>no</w:t>
      </w:r>
      <w:r>
        <w:rPr>
          <w:spacing w:val="-6"/>
        </w:rPr>
        <w:t xml:space="preserve"> </w:t>
      </w:r>
      <w:r>
        <w:t>obligation</w:t>
      </w:r>
      <w:r>
        <w:rPr>
          <w:spacing w:val="-5"/>
        </w:rPr>
        <w:t xml:space="preserve"> </w:t>
      </w:r>
      <w:r>
        <w:t>on</w:t>
      </w:r>
      <w:r>
        <w:rPr>
          <w:spacing w:val="-5"/>
        </w:rPr>
        <w:t xml:space="preserve"> </w:t>
      </w:r>
      <w:r>
        <w:t>MOFCOM</w:t>
      </w:r>
      <w:r>
        <w:rPr>
          <w:spacing w:val="-3"/>
        </w:rPr>
        <w:t xml:space="preserve"> </w:t>
      </w:r>
      <w:r>
        <w:t>under</w:t>
      </w:r>
      <w:r>
        <w:rPr>
          <w:spacing w:val="-6"/>
        </w:rPr>
        <w:t xml:space="preserve"> </w:t>
      </w:r>
      <w:r>
        <w:t>the</w:t>
      </w:r>
      <w:r>
        <w:rPr>
          <w:spacing w:val="-4"/>
        </w:rPr>
        <w:t xml:space="preserve"> </w:t>
      </w:r>
      <w:r>
        <w:t>third</w:t>
      </w:r>
      <w:r>
        <w:rPr>
          <w:spacing w:val="-5"/>
        </w:rPr>
        <w:t xml:space="preserve"> </w:t>
      </w:r>
      <w:r>
        <w:t>sentence</w:t>
      </w:r>
      <w:r>
        <w:rPr>
          <w:spacing w:val="-3"/>
        </w:rPr>
        <w:t xml:space="preserve"> </w:t>
      </w:r>
      <w:r>
        <w:t>of</w:t>
      </w:r>
      <w:r>
        <w:rPr>
          <w:spacing w:val="-5"/>
        </w:rPr>
        <w:t xml:space="preserve"> </w:t>
      </w:r>
      <w:r>
        <w:t>Article</w:t>
      </w:r>
      <w:r>
        <w:rPr>
          <w:spacing w:val="-3"/>
        </w:rPr>
        <w:t xml:space="preserve"> </w:t>
      </w:r>
      <w:r>
        <w:t>2.4</w:t>
      </w:r>
      <w:r>
        <w:rPr>
          <w:spacing w:val="-6"/>
        </w:rPr>
        <w:t xml:space="preserve"> </w:t>
      </w:r>
      <w:r>
        <w:t>of the Anti-Dumping Agreement to make an adjustment for differences in quality."</w:t>
      </w:r>
      <w:hyperlink w:anchor="_bookmark527" w:history="1">
        <w:r>
          <w:rPr>
            <w:vertAlign w:val="superscript"/>
          </w:rPr>
          <w:t>435</w:t>
        </w:r>
      </w:hyperlink>
      <w:r>
        <w:t xml:space="preserve"> As explained above, Australia does not agree that MOFCOM was under no obligation; this obligation resides in Article 2.4.</w:t>
      </w:r>
      <w:hyperlink w:anchor="_bookmark528" w:history="1">
        <w:r>
          <w:rPr>
            <w:vertAlign w:val="superscript"/>
          </w:rPr>
          <w:t>436</w:t>
        </w:r>
      </w:hyperlink>
    </w:p>
    <w:p w14:paraId="43FBDF90" w14:textId="77777777" w:rsidR="00BD462C" w:rsidRDefault="00BD462C">
      <w:pPr>
        <w:pStyle w:val="BodyText"/>
        <w:spacing w:before="8"/>
        <w:rPr>
          <w:sz w:val="8"/>
        </w:rPr>
      </w:pPr>
    </w:p>
    <w:p w14:paraId="30BC6889" w14:textId="6DE3CFAF" w:rsidR="00BD462C" w:rsidRDefault="00033D0F" w:rsidP="00DA02D9">
      <w:pPr>
        <w:pStyle w:val="BodyText"/>
        <w:numPr>
          <w:ilvl w:val="0"/>
          <w:numId w:val="71"/>
        </w:numPr>
        <w:spacing w:before="56" w:line="360" w:lineRule="auto"/>
        <w:ind w:right="914"/>
        <w:jc w:val="both"/>
      </w:pPr>
      <w:r>
        <w:rPr>
          <w:position w:val="1"/>
        </w:rPr>
        <w:t xml:space="preserve">MOFCOM made the same errors in its approach to Casella Wines as with Treasury </w:t>
      </w:r>
      <w:r>
        <w:t>Wines</w:t>
      </w:r>
      <w:hyperlink w:anchor="_bookmark529" w:history="1">
        <w:r>
          <w:rPr>
            <w:vertAlign w:val="superscript"/>
          </w:rPr>
          <w:t>437</w:t>
        </w:r>
      </w:hyperlink>
      <w:r>
        <w:t>,</w:t>
      </w:r>
      <w:r>
        <w:rPr>
          <w:spacing w:val="-14"/>
        </w:rPr>
        <w:t xml:space="preserve"> </w:t>
      </w:r>
      <w:r>
        <w:t>holding</w:t>
      </w:r>
      <w:r>
        <w:rPr>
          <w:spacing w:val="-14"/>
        </w:rPr>
        <w:t xml:space="preserve"> </w:t>
      </w:r>
      <w:r>
        <w:t>the</w:t>
      </w:r>
      <w:r>
        <w:rPr>
          <w:spacing w:val="-13"/>
        </w:rPr>
        <w:t xml:space="preserve"> </w:t>
      </w:r>
      <w:r>
        <w:t>company</w:t>
      </w:r>
      <w:r>
        <w:rPr>
          <w:spacing w:val="-14"/>
        </w:rPr>
        <w:t xml:space="preserve"> </w:t>
      </w:r>
      <w:r>
        <w:t>responsible</w:t>
      </w:r>
      <w:r>
        <w:rPr>
          <w:spacing w:val="-13"/>
        </w:rPr>
        <w:t xml:space="preserve"> </w:t>
      </w:r>
      <w:r>
        <w:t>for</w:t>
      </w:r>
      <w:r>
        <w:rPr>
          <w:spacing w:val="-14"/>
        </w:rPr>
        <w:t xml:space="preserve"> </w:t>
      </w:r>
      <w:r>
        <w:t>not</w:t>
      </w:r>
      <w:r>
        <w:rPr>
          <w:spacing w:val="-13"/>
        </w:rPr>
        <w:t xml:space="preserve"> </w:t>
      </w:r>
      <w:r>
        <w:t>requesting</w:t>
      </w:r>
      <w:r>
        <w:rPr>
          <w:spacing w:val="-14"/>
        </w:rPr>
        <w:t xml:space="preserve"> </w:t>
      </w:r>
      <w:r>
        <w:t>adjustments</w:t>
      </w:r>
      <w:r>
        <w:rPr>
          <w:spacing w:val="-14"/>
        </w:rPr>
        <w:t xml:space="preserve"> </w:t>
      </w:r>
      <w:r>
        <w:t>based</w:t>
      </w:r>
      <w:r>
        <w:rPr>
          <w:spacing w:val="-13"/>
        </w:rPr>
        <w:t xml:space="preserve"> </w:t>
      </w:r>
      <w:r>
        <w:t>on</w:t>
      </w:r>
      <w:r>
        <w:rPr>
          <w:spacing w:val="-14"/>
        </w:rPr>
        <w:t xml:space="preserve"> </w:t>
      </w:r>
      <w:r>
        <w:t>unknown data</w:t>
      </w:r>
      <w:r>
        <w:rPr>
          <w:spacing w:val="-14"/>
        </w:rPr>
        <w:t xml:space="preserve"> </w:t>
      </w:r>
      <w:r>
        <w:t>and</w:t>
      </w:r>
      <w:r>
        <w:rPr>
          <w:spacing w:val="-14"/>
        </w:rPr>
        <w:t xml:space="preserve"> </w:t>
      </w:r>
      <w:r>
        <w:t>methodology</w:t>
      </w:r>
      <w:r>
        <w:rPr>
          <w:spacing w:val="-13"/>
        </w:rPr>
        <w:t xml:space="preserve"> </w:t>
      </w:r>
      <w:r>
        <w:t>and</w:t>
      </w:r>
      <w:r>
        <w:rPr>
          <w:spacing w:val="-14"/>
        </w:rPr>
        <w:t xml:space="preserve"> </w:t>
      </w:r>
      <w:r>
        <w:t>the</w:t>
      </w:r>
      <w:r>
        <w:rPr>
          <w:spacing w:val="-13"/>
        </w:rPr>
        <w:t xml:space="preserve"> </w:t>
      </w:r>
      <w:r>
        <w:t>unknowable</w:t>
      </w:r>
      <w:r>
        <w:rPr>
          <w:spacing w:val="-14"/>
        </w:rPr>
        <w:t xml:space="preserve"> </w:t>
      </w:r>
      <w:r>
        <w:t>"consequence"</w:t>
      </w:r>
      <w:r>
        <w:rPr>
          <w:spacing w:val="-13"/>
        </w:rPr>
        <w:t xml:space="preserve"> </w:t>
      </w:r>
      <w:r>
        <w:t>of</w:t>
      </w:r>
      <w:r>
        <w:rPr>
          <w:spacing w:val="-14"/>
        </w:rPr>
        <w:t xml:space="preserve"> </w:t>
      </w:r>
      <w:r>
        <w:t>an</w:t>
      </w:r>
      <w:r>
        <w:rPr>
          <w:spacing w:val="-14"/>
        </w:rPr>
        <w:t xml:space="preserve"> </w:t>
      </w:r>
      <w:r>
        <w:t>unrelated</w:t>
      </w:r>
      <w:r>
        <w:rPr>
          <w:spacing w:val="-13"/>
        </w:rPr>
        <w:t xml:space="preserve"> </w:t>
      </w:r>
      <w:r>
        <w:t>company's</w:t>
      </w:r>
      <w:r>
        <w:rPr>
          <w:spacing w:val="-14"/>
        </w:rPr>
        <w:t xml:space="preserve"> </w:t>
      </w:r>
      <w:r>
        <w:t>alleged failure to provide information that MOFCOM had</w:t>
      </w:r>
      <w:r>
        <w:rPr>
          <w:spacing w:val="-1"/>
        </w:rPr>
        <w:t xml:space="preserve"> </w:t>
      </w:r>
      <w:r>
        <w:t>never indicated was necessary to ensure a fair</w:t>
      </w:r>
      <w:r>
        <w:rPr>
          <w:spacing w:val="-14"/>
        </w:rPr>
        <w:t xml:space="preserve"> </w:t>
      </w:r>
      <w:r>
        <w:t>comparison</w:t>
      </w:r>
      <w:r>
        <w:rPr>
          <w:spacing w:val="-14"/>
        </w:rPr>
        <w:t xml:space="preserve"> </w:t>
      </w:r>
      <w:r>
        <w:t>in</w:t>
      </w:r>
      <w:r>
        <w:rPr>
          <w:spacing w:val="-13"/>
        </w:rPr>
        <w:t xml:space="preserve"> </w:t>
      </w:r>
      <w:r>
        <w:t>the</w:t>
      </w:r>
      <w:r>
        <w:rPr>
          <w:spacing w:val="-14"/>
        </w:rPr>
        <w:t xml:space="preserve"> </w:t>
      </w:r>
      <w:r>
        <w:t>first</w:t>
      </w:r>
      <w:r>
        <w:rPr>
          <w:spacing w:val="-8"/>
        </w:rPr>
        <w:t xml:space="preserve"> </w:t>
      </w:r>
      <w:r>
        <w:t>place.</w:t>
      </w:r>
      <w:r>
        <w:rPr>
          <w:spacing w:val="-12"/>
        </w:rPr>
        <w:t xml:space="preserve"> </w:t>
      </w:r>
      <w:r>
        <w:t>In</w:t>
      </w:r>
      <w:r>
        <w:rPr>
          <w:spacing w:val="-10"/>
        </w:rPr>
        <w:t xml:space="preserve"> </w:t>
      </w:r>
      <w:r>
        <w:t>so</w:t>
      </w:r>
      <w:r>
        <w:rPr>
          <w:spacing w:val="-11"/>
        </w:rPr>
        <w:t xml:space="preserve"> </w:t>
      </w:r>
      <w:r>
        <w:t>doing,</w:t>
      </w:r>
      <w:r>
        <w:rPr>
          <w:spacing w:val="-6"/>
        </w:rPr>
        <w:t xml:space="preserve"> </w:t>
      </w:r>
      <w:r>
        <w:t>MOFCOM</w:t>
      </w:r>
      <w:r>
        <w:rPr>
          <w:spacing w:val="-8"/>
        </w:rPr>
        <w:t xml:space="preserve"> </w:t>
      </w:r>
      <w:r>
        <w:t>failed</w:t>
      </w:r>
      <w:r>
        <w:rPr>
          <w:spacing w:val="-10"/>
        </w:rPr>
        <w:t xml:space="preserve"> </w:t>
      </w:r>
      <w:r>
        <w:t>to</w:t>
      </w:r>
      <w:r>
        <w:rPr>
          <w:spacing w:val="-11"/>
        </w:rPr>
        <w:t xml:space="preserve"> </w:t>
      </w:r>
      <w:r>
        <w:t>adjust</w:t>
      </w:r>
      <w:r>
        <w:rPr>
          <w:spacing w:val="-8"/>
        </w:rPr>
        <w:t xml:space="preserve"> </w:t>
      </w:r>
      <w:r>
        <w:t>for</w:t>
      </w:r>
      <w:r>
        <w:rPr>
          <w:spacing w:val="-11"/>
        </w:rPr>
        <w:t xml:space="preserve"> </w:t>
      </w:r>
      <w:r>
        <w:t>"the</w:t>
      </w:r>
      <w:r>
        <w:rPr>
          <w:spacing w:val="-8"/>
        </w:rPr>
        <w:t xml:space="preserve"> </w:t>
      </w:r>
      <w:r>
        <w:t>data</w:t>
      </w:r>
      <w:r>
        <w:rPr>
          <w:spacing w:val="-9"/>
        </w:rPr>
        <w:t xml:space="preserve"> </w:t>
      </w:r>
      <w:r>
        <w:t>itself",</w:t>
      </w:r>
      <w:r>
        <w:rPr>
          <w:spacing w:val="-14"/>
        </w:rPr>
        <w:t xml:space="preserve"> </w:t>
      </w:r>
      <w:hyperlink w:anchor="_bookmark530" w:history="1">
        <w:r>
          <w:rPr>
            <w:vertAlign w:val="superscript"/>
          </w:rPr>
          <w:t>438</w:t>
        </w:r>
      </w:hyperlink>
      <w:r>
        <w:t xml:space="preserve"> or what it deemed to be "the logical consequences" of its methodology, as it ignored its obligation to make adjustments that had not been requested by the same exporters which it had "left in the dark".</w:t>
      </w:r>
      <w:r>
        <w:rPr>
          <w:spacing w:val="-12"/>
        </w:rPr>
        <w:t xml:space="preserve"> </w:t>
      </w:r>
      <w:hyperlink w:anchor="_bookmark531" w:history="1">
        <w:r>
          <w:rPr>
            <w:vertAlign w:val="superscript"/>
          </w:rPr>
          <w:t>439</w:t>
        </w:r>
      </w:hyperlink>
    </w:p>
    <w:p w14:paraId="470325B6" w14:textId="77777777" w:rsidR="00BD462C" w:rsidRDefault="00BD462C">
      <w:pPr>
        <w:pStyle w:val="BodyText"/>
        <w:spacing w:before="8"/>
        <w:rPr>
          <w:sz w:val="8"/>
        </w:rPr>
      </w:pPr>
    </w:p>
    <w:p w14:paraId="5ECA9E11" w14:textId="6C924106" w:rsidR="00BD462C" w:rsidRDefault="00033D0F" w:rsidP="00DA02D9">
      <w:pPr>
        <w:pStyle w:val="BodyText"/>
        <w:numPr>
          <w:ilvl w:val="0"/>
          <w:numId w:val="71"/>
        </w:numPr>
        <w:spacing w:before="56" w:line="357" w:lineRule="auto"/>
        <w:ind w:right="916"/>
        <w:jc w:val="both"/>
      </w:pPr>
      <w:r>
        <w:rPr>
          <w:position w:val="1"/>
        </w:rPr>
        <w:t xml:space="preserve">An unbiased and objective investigating authority would have sought to correct </w:t>
      </w:r>
      <w:r>
        <w:t>perceived deficiencies of information by engaging with the exporter and participating in a dialogue to understand the effect of this data on its comparison under Article 2.4.</w:t>
      </w:r>
    </w:p>
    <w:p w14:paraId="1E1EE20C" w14:textId="77777777" w:rsidR="00BD462C" w:rsidRDefault="00BD462C">
      <w:pPr>
        <w:pStyle w:val="BodyText"/>
        <w:rPr>
          <w:sz w:val="20"/>
        </w:rPr>
      </w:pPr>
    </w:p>
    <w:p w14:paraId="21D2A11B" w14:textId="688A559C" w:rsidR="00BD462C" w:rsidRDefault="00E14314">
      <w:pPr>
        <w:pStyle w:val="BodyText"/>
        <w:rPr>
          <w:sz w:val="20"/>
        </w:rPr>
      </w:pPr>
      <w:r>
        <w:rPr>
          <w:noProof/>
        </w:rPr>
        <mc:AlternateContent>
          <mc:Choice Requires="wps">
            <w:drawing>
              <wp:anchor distT="0" distB="0" distL="0" distR="0" simplePos="0" relativeHeight="488043008" behindDoc="1" locked="0" layoutInCell="1" allowOverlap="1" wp14:anchorId="1BEA3E29" wp14:editId="2D528D58">
                <wp:simplePos x="0" y="0"/>
                <wp:positionH relativeFrom="page">
                  <wp:posOffset>812800</wp:posOffset>
                </wp:positionH>
                <wp:positionV relativeFrom="paragraph">
                  <wp:posOffset>241935</wp:posOffset>
                </wp:positionV>
                <wp:extent cx="1828800" cy="8890"/>
                <wp:effectExtent l="0" t="0" r="0" b="0"/>
                <wp:wrapTopAndBottom/>
                <wp:docPr id="19" name="docshape2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0DAE9E" id="docshape267" o:spid="_x0000_s1026" alt="&quot;&quot;" style="position:absolute;margin-left:64pt;margin-top:19.05pt;width:2in;height:.7pt;z-index:-15273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" fillcolor="black" stroked="f">
                <w10:wrap type="topAndBottom" anchorx="page"/>
              </v:rect>
            </w:pict>
          </mc:Fallback>
        </mc:AlternateContent>
      </w:r>
    </w:p>
    <w:p w14:paraId="287B4BDF" w14:textId="1C7C530A" w:rsidR="00BD462C" w:rsidRDefault="00BD462C">
      <w:pPr>
        <w:pStyle w:val="BodyText"/>
        <w:rPr>
          <w:sz w:val="11"/>
        </w:rPr>
      </w:pPr>
    </w:p>
    <w:p w14:paraId="1D1A734B" w14:textId="77777777" w:rsidR="00BD462C" w:rsidRDefault="00033D0F">
      <w:pPr>
        <w:spacing w:before="112"/>
        <w:ind w:left="135"/>
        <w:rPr>
          <w:sz w:val="18"/>
        </w:rPr>
      </w:pPr>
      <w:bookmarkStart w:id="612" w:name="_bookmark524"/>
      <w:bookmarkEnd w:id="612"/>
      <w:r>
        <w:rPr>
          <w:position w:val="5"/>
          <w:sz w:val="12"/>
        </w:rPr>
        <w:t>432</w:t>
      </w:r>
      <w:r>
        <w:rPr>
          <w:spacing w:val="13"/>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para. 819,</w:t>
      </w:r>
      <w:r>
        <w:rPr>
          <w:spacing w:val="-3"/>
          <w:sz w:val="18"/>
        </w:rPr>
        <w:t xml:space="preserve"> </w:t>
      </w:r>
      <w:r>
        <w:rPr>
          <w:sz w:val="18"/>
        </w:rPr>
        <w:t>citing</w:t>
      </w:r>
      <w:r>
        <w:rPr>
          <w:spacing w:val="-5"/>
          <w:sz w:val="18"/>
        </w:rPr>
        <w:t xml:space="preserve"> </w:t>
      </w:r>
      <w:r>
        <w:rPr>
          <w:sz w:val="18"/>
        </w:rPr>
        <w:t>Panel</w:t>
      </w:r>
      <w:r>
        <w:rPr>
          <w:spacing w:val="-5"/>
          <w:sz w:val="18"/>
        </w:rPr>
        <w:t xml:space="preserve"> </w:t>
      </w:r>
      <w:r>
        <w:rPr>
          <w:sz w:val="18"/>
        </w:rPr>
        <w:t>Report,</w:t>
      </w:r>
      <w:r>
        <w:rPr>
          <w:spacing w:val="-4"/>
          <w:sz w:val="18"/>
        </w:rPr>
        <w:t xml:space="preserve"> </w:t>
      </w:r>
      <w:r>
        <w:rPr>
          <w:i/>
          <w:sz w:val="18"/>
        </w:rPr>
        <w:t>EC</w:t>
      </w:r>
      <w:r>
        <w:rPr>
          <w:i/>
          <w:spacing w:val="-5"/>
          <w:sz w:val="18"/>
        </w:rPr>
        <w:t xml:space="preserve"> </w:t>
      </w:r>
      <w:r>
        <w:rPr>
          <w:i/>
          <w:sz w:val="18"/>
        </w:rPr>
        <w:t>–</w:t>
      </w:r>
      <w:r>
        <w:rPr>
          <w:i/>
          <w:spacing w:val="-2"/>
          <w:sz w:val="18"/>
        </w:rPr>
        <w:t xml:space="preserve"> </w:t>
      </w:r>
      <w:r>
        <w:rPr>
          <w:i/>
          <w:sz w:val="18"/>
        </w:rPr>
        <w:t>Fasteners</w:t>
      </w:r>
      <w:r>
        <w:rPr>
          <w:i/>
          <w:spacing w:val="-5"/>
          <w:sz w:val="18"/>
        </w:rPr>
        <w:t xml:space="preserve"> </w:t>
      </w:r>
      <w:r>
        <w:rPr>
          <w:i/>
          <w:sz w:val="18"/>
        </w:rPr>
        <w:t>(China)</w:t>
      </w:r>
      <w:r>
        <w:rPr>
          <w:sz w:val="18"/>
        </w:rPr>
        <w:t>,</w:t>
      </w:r>
      <w:r>
        <w:rPr>
          <w:spacing w:val="-3"/>
          <w:sz w:val="18"/>
        </w:rPr>
        <w:t xml:space="preserve"> </w:t>
      </w:r>
      <w:r>
        <w:rPr>
          <w:sz w:val="18"/>
        </w:rPr>
        <w:t>para.</w:t>
      </w:r>
      <w:r>
        <w:rPr>
          <w:spacing w:val="-5"/>
          <w:sz w:val="18"/>
        </w:rPr>
        <w:t xml:space="preserve"> </w:t>
      </w:r>
      <w:r>
        <w:rPr>
          <w:spacing w:val="-2"/>
          <w:sz w:val="18"/>
        </w:rPr>
        <w:t>7.149.</w:t>
      </w:r>
    </w:p>
    <w:p w14:paraId="1AC5D073" w14:textId="77777777" w:rsidR="00BD462C" w:rsidRDefault="00033D0F">
      <w:pPr>
        <w:spacing w:before="1"/>
        <w:ind w:left="135"/>
        <w:rPr>
          <w:sz w:val="18"/>
        </w:rPr>
      </w:pPr>
      <w:bookmarkStart w:id="613" w:name="_bookmark525"/>
      <w:bookmarkEnd w:id="613"/>
      <w:r>
        <w:rPr>
          <w:position w:val="5"/>
          <w:sz w:val="12"/>
        </w:rPr>
        <w:t>433</w:t>
      </w:r>
      <w:r>
        <w:rPr>
          <w:spacing w:val="15"/>
          <w:position w:val="5"/>
          <w:sz w:val="12"/>
        </w:rPr>
        <w:t xml:space="preserve"> </w:t>
      </w:r>
      <w:r>
        <w:rPr>
          <w:sz w:val="18"/>
        </w:rPr>
        <w:t>Panel</w:t>
      </w:r>
      <w:r>
        <w:rPr>
          <w:spacing w:val="-3"/>
          <w:sz w:val="18"/>
        </w:rPr>
        <w:t xml:space="preserve"> </w:t>
      </w:r>
      <w:r>
        <w:rPr>
          <w:sz w:val="18"/>
        </w:rPr>
        <w:t>Report,</w:t>
      </w:r>
      <w:r>
        <w:rPr>
          <w:spacing w:val="-6"/>
          <w:sz w:val="18"/>
        </w:rPr>
        <w:t xml:space="preserve"> </w:t>
      </w:r>
      <w:r>
        <w:rPr>
          <w:i/>
          <w:sz w:val="18"/>
        </w:rPr>
        <w:t>Egypt</w:t>
      </w:r>
      <w:r>
        <w:rPr>
          <w:i/>
          <w:spacing w:val="2"/>
          <w:sz w:val="18"/>
        </w:rPr>
        <w:t xml:space="preserve"> </w:t>
      </w:r>
      <w:r>
        <w:rPr>
          <w:i/>
          <w:sz w:val="18"/>
        </w:rPr>
        <w:t>–</w:t>
      </w:r>
      <w:r>
        <w:rPr>
          <w:i/>
          <w:spacing w:val="-4"/>
          <w:sz w:val="18"/>
        </w:rPr>
        <w:t xml:space="preserve"> </w:t>
      </w:r>
      <w:r>
        <w:rPr>
          <w:i/>
          <w:sz w:val="18"/>
        </w:rPr>
        <w:t>Steel</w:t>
      </w:r>
      <w:r>
        <w:rPr>
          <w:i/>
          <w:spacing w:val="-2"/>
          <w:sz w:val="18"/>
        </w:rPr>
        <w:t xml:space="preserve"> </w:t>
      </w:r>
      <w:r>
        <w:rPr>
          <w:i/>
          <w:sz w:val="18"/>
        </w:rPr>
        <w:t>Rebar</w:t>
      </w:r>
      <w:r>
        <w:rPr>
          <w:sz w:val="18"/>
        </w:rPr>
        <w:t>,</w:t>
      </w:r>
      <w:r>
        <w:rPr>
          <w:spacing w:val="3"/>
          <w:sz w:val="18"/>
        </w:rPr>
        <w:t xml:space="preserve"> </w:t>
      </w:r>
      <w:r>
        <w:rPr>
          <w:sz w:val="18"/>
        </w:rPr>
        <w:t>para</w:t>
      </w:r>
      <w:r>
        <w:rPr>
          <w:spacing w:val="-5"/>
          <w:sz w:val="18"/>
        </w:rPr>
        <w:t xml:space="preserve"> </w:t>
      </w:r>
      <w:r>
        <w:rPr>
          <w:spacing w:val="-2"/>
          <w:sz w:val="18"/>
        </w:rPr>
        <w:t>7.352.</w:t>
      </w:r>
    </w:p>
    <w:p w14:paraId="31DA9B34" w14:textId="77777777" w:rsidR="00BD462C" w:rsidRDefault="00033D0F">
      <w:pPr>
        <w:spacing w:before="1" w:line="218" w:lineRule="exact"/>
        <w:ind w:left="135"/>
        <w:rPr>
          <w:sz w:val="18"/>
        </w:rPr>
      </w:pPr>
      <w:bookmarkStart w:id="614" w:name="_bookmark526"/>
      <w:bookmarkEnd w:id="614"/>
      <w:r>
        <w:rPr>
          <w:position w:val="5"/>
          <w:sz w:val="12"/>
        </w:rPr>
        <w:t>434</w:t>
      </w:r>
      <w:r>
        <w:rPr>
          <w:spacing w:val="13"/>
          <w:position w:val="5"/>
          <w:sz w:val="12"/>
        </w:rPr>
        <w:t xml:space="preserve"> </w:t>
      </w:r>
      <w:r>
        <w:rPr>
          <w:sz w:val="18"/>
        </w:rPr>
        <w:t>See</w:t>
      </w:r>
      <w:r>
        <w:rPr>
          <w:spacing w:val="-5"/>
          <w:sz w:val="18"/>
        </w:rPr>
        <w:t xml:space="preserve"> </w:t>
      </w:r>
      <w:r>
        <w:rPr>
          <w:sz w:val="18"/>
        </w:rPr>
        <w:t>paras.</w:t>
      </w:r>
      <w:r>
        <w:rPr>
          <w:spacing w:val="1"/>
          <w:sz w:val="18"/>
        </w:rPr>
        <w:t xml:space="preserve"> </w:t>
      </w:r>
      <w:hyperlink w:anchor="_bookmark191" w:history="1">
        <w:r>
          <w:rPr>
            <w:sz w:val="18"/>
          </w:rPr>
          <w:t>104</w:t>
        </w:r>
      </w:hyperlink>
      <w:hyperlink w:anchor="_bookmark196" w:history="1">
        <w:r>
          <w:rPr>
            <w:sz w:val="18"/>
          </w:rPr>
          <w:t>-</w:t>
        </w:r>
        <w:r>
          <w:rPr>
            <w:spacing w:val="-4"/>
            <w:sz w:val="18"/>
          </w:rPr>
          <w:t>105.</w:t>
        </w:r>
      </w:hyperlink>
    </w:p>
    <w:p w14:paraId="2A80E20C" w14:textId="77777777" w:rsidR="00BD462C" w:rsidRDefault="00033D0F">
      <w:pPr>
        <w:spacing w:line="218" w:lineRule="exact"/>
        <w:ind w:left="135"/>
        <w:rPr>
          <w:sz w:val="18"/>
        </w:rPr>
      </w:pPr>
      <w:bookmarkStart w:id="615" w:name="_bookmark527"/>
      <w:bookmarkEnd w:id="615"/>
      <w:r>
        <w:rPr>
          <w:position w:val="5"/>
          <w:sz w:val="12"/>
        </w:rPr>
        <w:t>435</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 xml:space="preserve">submission, para. </w:t>
      </w:r>
      <w:r>
        <w:rPr>
          <w:spacing w:val="-4"/>
          <w:sz w:val="18"/>
        </w:rPr>
        <w:t>860.</w:t>
      </w:r>
    </w:p>
    <w:p w14:paraId="2D6CBD21" w14:textId="77777777" w:rsidR="00BD462C" w:rsidRDefault="00033D0F">
      <w:pPr>
        <w:spacing w:before="1"/>
        <w:ind w:left="135"/>
        <w:rPr>
          <w:sz w:val="18"/>
        </w:rPr>
      </w:pPr>
      <w:bookmarkStart w:id="616" w:name="_bookmark528"/>
      <w:bookmarkEnd w:id="616"/>
      <w:r>
        <w:rPr>
          <w:position w:val="5"/>
          <w:sz w:val="12"/>
        </w:rPr>
        <w:t>436</w:t>
      </w:r>
      <w:r>
        <w:rPr>
          <w:spacing w:val="17"/>
          <w:position w:val="5"/>
          <w:sz w:val="12"/>
        </w:rPr>
        <w:t xml:space="preserve"> </w:t>
      </w:r>
      <w:r>
        <w:rPr>
          <w:sz w:val="18"/>
        </w:rPr>
        <w:t>See</w:t>
      </w:r>
      <w:r>
        <w:rPr>
          <w:spacing w:val="-2"/>
          <w:sz w:val="18"/>
        </w:rPr>
        <w:t xml:space="preserve"> </w:t>
      </w:r>
      <w:r>
        <w:rPr>
          <w:sz w:val="18"/>
        </w:rPr>
        <w:t xml:space="preserve">para. </w:t>
      </w:r>
      <w:hyperlink w:anchor="_bookmark388" w:history="1">
        <w:r>
          <w:rPr>
            <w:spacing w:val="-4"/>
            <w:sz w:val="18"/>
          </w:rPr>
          <w:t>220.</w:t>
        </w:r>
      </w:hyperlink>
    </w:p>
    <w:p w14:paraId="3FA05B80" w14:textId="77777777" w:rsidR="00BD462C" w:rsidRDefault="00033D0F">
      <w:pPr>
        <w:spacing w:before="1"/>
        <w:ind w:left="135"/>
        <w:rPr>
          <w:sz w:val="18"/>
        </w:rPr>
      </w:pPr>
      <w:bookmarkStart w:id="617" w:name="_bookmark529"/>
      <w:bookmarkEnd w:id="617"/>
      <w:r>
        <w:rPr>
          <w:position w:val="5"/>
          <w:sz w:val="12"/>
        </w:rPr>
        <w:t>437</w:t>
      </w:r>
      <w:r>
        <w:rPr>
          <w:spacing w:val="13"/>
          <w:position w:val="5"/>
          <w:sz w:val="12"/>
        </w:rPr>
        <w:t xml:space="preserve"> </w:t>
      </w:r>
      <w:r>
        <w:rPr>
          <w:sz w:val="18"/>
        </w:rPr>
        <w:t>See</w:t>
      </w:r>
      <w:r>
        <w:rPr>
          <w:spacing w:val="-5"/>
          <w:sz w:val="18"/>
        </w:rPr>
        <w:t xml:space="preserve"> </w:t>
      </w:r>
      <w:r>
        <w:rPr>
          <w:sz w:val="18"/>
        </w:rPr>
        <w:t>paras.</w:t>
      </w:r>
      <w:r>
        <w:rPr>
          <w:spacing w:val="1"/>
          <w:sz w:val="18"/>
        </w:rPr>
        <w:t xml:space="preserve"> </w:t>
      </w:r>
      <w:hyperlink w:anchor="_bookmark398" w:history="1">
        <w:r>
          <w:rPr>
            <w:sz w:val="18"/>
          </w:rPr>
          <w:t>222</w:t>
        </w:r>
      </w:hyperlink>
      <w:hyperlink w:anchor="_bookmark399" w:history="1">
        <w:r>
          <w:rPr>
            <w:sz w:val="18"/>
          </w:rPr>
          <w:t>-</w:t>
        </w:r>
        <w:r>
          <w:rPr>
            <w:spacing w:val="-4"/>
            <w:sz w:val="18"/>
          </w:rPr>
          <w:t>223.</w:t>
        </w:r>
      </w:hyperlink>
    </w:p>
    <w:p w14:paraId="05E32667" w14:textId="77777777" w:rsidR="00BD462C" w:rsidRDefault="00033D0F">
      <w:pPr>
        <w:spacing w:before="1"/>
        <w:ind w:left="135"/>
        <w:rPr>
          <w:sz w:val="18"/>
        </w:rPr>
      </w:pPr>
      <w:bookmarkStart w:id="618" w:name="_bookmark530"/>
      <w:bookmarkEnd w:id="618"/>
      <w:r>
        <w:rPr>
          <w:position w:val="5"/>
          <w:sz w:val="12"/>
        </w:rPr>
        <w:t>438</w:t>
      </w:r>
      <w:r>
        <w:rPr>
          <w:spacing w:val="15"/>
          <w:position w:val="5"/>
          <w:sz w:val="12"/>
        </w:rPr>
        <w:t xml:space="preserve"> </w:t>
      </w:r>
      <w:r>
        <w:rPr>
          <w:sz w:val="18"/>
        </w:rPr>
        <w:t>Panel</w:t>
      </w:r>
      <w:r>
        <w:rPr>
          <w:spacing w:val="-3"/>
          <w:sz w:val="18"/>
        </w:rPr>
        <w:t xml:space="preserve"> </w:t>
      </w:r>
      <w:r>
        <w:rPr>
          <w:sz w:val="18"/>
        </w:rPr>
        <w:t>Report,</w:t>
      </w:r>
      <w:r>
        <w:rPr>
          <w:spacing w:val="-6"/>
          <w:sz w:val="18"/>
        </w:rPr>
        <w:t xml:space="preserve"> </w:t>
      </w:r>
      <w:r>
        <w:rPr>
          <w:i/>
          <w:sz w:val="18"/>
        </w:rPr>
        <w:t>Egypt</w:t>
      </w:r>
      <w:r>
        <w:rPr>
          <w:i/>
          <w:spacing w:val="2"/>
          <w:sz w:val="18"/>
        </w:rPr>
        <w:t xml:space="preserve"> </w:t>
      </w:r>
      <w:r>
        <w:rPr>
          <w:i/>
          <w:sz w:val="18"/>
        </w:rPr>
        <w:t>–</w:t>
      </w:r>
      <w:r>
        <w:rPr>
          <w:i/>
          <w:spacing w:val="-4"/>
          <w:sz w:val="18"/>
        </w:rPr>
        <w:t xml:space="preserve"> </w:t>
      </w:r>
      <w:r>
        <w:rPr>
          <w:i/>
          <w:sz w:val="18"/>
        </w:rPr>
        <w:t>Steel</w:t>
      </w:r>
      <w:r>
        <w:rPr>
          <w:i/>
          <w:spacing w:val="-2"/>
          <w:sz w:val="18"/>
        </w:rPr>
        <w:t xml:space="preserve"> </w:t>
      </w:r>
      <w:r>
        <w:rPr>
          <w:i/>
          <w:sz w:val="18"/>
        </w:rPr>
        <w:t>Rebar</w:t>
      </w:r>
      <w:r>
        <w:rPr>
          <w:sz w:val="18"/>
        </w:rPr>
        <w:t>,</w:t>
      </w:r>
      <w:r>
        <w:rPr>
          <w:spacing w:val="3"/>
          <w:sz w:val="18"/>
        </w:rPr>
        <w:t xml:space="preserve"> </w:t>
      </w:r>
      <w:r>
        <w:rPr>
          <w:sz w:val="18"/>
        </w:rPr>
        <w:t>para</w:t>
      </w:r>
      <w:r>
        <w:rPr>
          <w:spacing w:val="-5"/>
          <w:sz w:val="18"/>
        </w:rPr>
        <w:t xml:space="preserve"> </w:t>
      </w:r>
      <w:r>
        <w:rPr>
          <w:spacing w:val="-2"/>
          <w:sz w:val="18"/>
        </w:rPr>
        <w:t>7.352.</w:t>
      </w:r>
    </w:p>
    <w:p w14:paraId="7644FC48" w14:textId="77777777" w:rsidR="00BD462C" w:rsidRDefault="00033D0F">
      <w:pPr>
        <w:spacing w:before="1"/>
        <w:ind w:left="135"/>
        <w:rPr>
          <w:sz w:val="18"/>
        </w:rPr>
      </w:pPr>
      <w:bookmarkStart w:id="619" w:name="_bookmark531"/>
      <w:bookmarkEnd w:id="619"/>
      <w:r>
        <w:rPr>
          <w:position w:val="5"/>
          <w:sz w:val="12"/>
        </w:rPr>
        <w:t>439</w:t>
      </w:r>
      <w:r>
        <w:rPr>
          <w:spacing w:val="13"/>
          <w:position w:val="5"/>
          <w:sz w:val="12"/>
        </w:rPr>
        <w:t xml:space="preserve"> </w:t>
      </w:r>
      <w:r>
        <w:rPr>
          <w:sz w:val="18"/>
        </w:rPr>
        <w:t>China's</w:t>
      </w:r>
      <w:r>
        <w:rPr>
          <w:spacing w:val="-5"/>
          <w:sz w:val="18"/>
        </w:rPr>
        <w:t xml:space="preserve"> </w:t>
      </w:r>
      <w:r>
        <w:rPr>
          <w:sz w:val="18"/>
        </w:rPr>
        <w:t>first</w:t>
      </w:r>
      <w:r>
        <w:rPr>
          <w:spacing w:val="-4"/>
          <w:sz w:val="18"/>
        </w:rPr>
        <w:t xml:space="preserve"> </w:t>
      </w:r>
      <w:r>
        <w:rPr>
          <w:sz w:val="18"/>
        </w:rPr>
        <w:t>written</w:t>
      </w:r>
      <w:r>
        <w:rPr>
          <w:spacing w:val="-6"/>
          <w:sz w:val="18"/>
        </w:rPr>
        <w:t xml:space="preserve"> </w:t>
      </w:r>
      <w:r>
        <w:rPr>
          <w:sz w:val="18"/>
        </w:rPr>
        <w:t>submission,</w:t>
      </w:r>
      <w:r>
        <w:rPr>
          <w:spacing w:val="2"/>
          <w:sz w:val="18"/>
        </w:rPr>
        <w:t xml:space="preserve"> </w:t>
      </w:r>
      <w:r>
        <w:rPr>
          <w:sz w:val="18"/>
        </w:rPr>
        <w:t>para</w:t>
      </w:r>
      <w:r>
        <w:rPr>
          <w:spacing w:val="-7"/>
          <w:sz w:val="18"/>
        </w:rPr>
        <w:t xml:space="preserve"> </w:t>
      </w:r>
      <w:r>
        <w:rPr>
          <w:sz w:val="18"/>
        </w:rPr>
        <w:t>817-</w:t>
      </w:r>
      <w:r>
        <w:rPr>
          <w:spacing w:val="-4"/>
          <w:sz w:val="18"/>
        </w:rPr>
        <w:t>820.</w:t>
      </w:r>
    </w:p>
    <w:p w14:paraId="4F8F3F35" w14:textId="77777777" w:rsidR="00BD462C" w:rsidRDefault="00BD462C">
      <w:pPr>
        <w:rPr>
          <w:sz w:val="18"/>
        </w:rPr>
        <w:sectPr w:rsidR="00BD462C">
          <w:pgSz w:w="11910" w:h="16840"/>
          <w:pgMar w:top="860" w:right="500" w:bottom="780" w:left="1280" w:header="566" w:footer="590" w:gutter="0"/>
          <w:cols w:space="720"/>
        </w:sectPr>
      </w:pPr>
    </w:p>
    <w:p w14:paraId="4578A135"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3FCD36A3"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3EB5D086"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600D7F31" w14:textId="175DF6C8" w:rsidR="00BD462C" w:rsidRDefault="00493811" w:rsidP="00DA02D9">
      <w:pPr>
        <w:pStyle w:val="BodyText"/>
        <w:numPr>
          <w:ilvl w:val="0"/>
          <w:numId w:val="71"/>
        </w:numPr>
        <w:spacing w:before="107" w:line="357" w:lineRule="auto"/>
        <w:ind w:right="913"/>
        <w:jc w:val="both"/>
      </w:pPr>
      <w:r>
        <w:rPr>
          <w:position w:val="1"/>
        </w:rPr>
        <w:t>F</w:t>
      </w:r>
      <w:r w:rsidR="00033D0F">
        <w:rPr>
          <w:position w:val="1"/>
        </w:rPr>
        <w:t>or the foregoing reasons, and those set out in Australia's prior submissions,</w:t>
      </w:r>
      <w:r w:rsidR="00033D0F">
        <w:rPr>
          <w:spacing w:val="80"/>
          <w:position w:val="1"/>
        </w:rPr>
        <w:t xml:space="preserve"> </w:t>
      </w:r>
      <w:r w:rsidR="00033D0F">
        <w:t>MOFCOM acted inconsistently with Article 2.4, including the first, second, third and sixth sentences of the provision, with respect to Casella Wines.</w:t>
      </w:r>
    </w:p>
    <w:p w14:paraId="00D564D4" w14:textId="77777777" w:rsidR="00BD462C" w:rsidRDefault="00033D0F" w:rsidP="00DA02D9">
      <w:pPr>
        <w:pStyle w:val="ListParagraph"/>
        <w:numPr>
          <w:ilvl w:val="1"/>
          <w:numId w:val="72"/>
        </w:numPr>
        <w:tabs>
          <w:tab w:val="left" w:pos="1839"/>
          <w:tab w:val="left" w:pos="1840"/>
        </w:tabs>
        <w:spacing w:before="165"/>
        <w:ind w:left="1840"/>
        <w:rPr>
          <w:b/>
        </w:rPr>
      </w:pPr>
      <w:bookmarkStart w:id="620" w:name="F._Swan_Vintage"/>
      <w:bookmarkStart w:id="621" w:name="_bookmark532"/>
      <w:bookmarkEnd w:id="620"/>
      <w:bookmarkEnd w:id="621"/>
      <w:r>
        <w:rPr>
          <w:b/>
          <w:sz w:val="28"/>
        </w:rPr>
        <w:t>S</w:t>
      </w:r>
      <w:r>
        <w:rPr>
          <w:b/>
        </w:rPr>
        <w:t>WAN</w:t>
      </w:r>
      <w:r>
        <w:rPr>
          <w:b/>
          <w:spacing w:val="-7"/>
        </w:rPr>
        <w:t xml:space="preserve"> </w:t>
      </w:r>
      <w:r>
        <w:rPr>
          <w:b/>
          <w:spacing w:val="-2"/>
          <w:sz w:val="28"/>
        </w:rPr>
        <w:t>V</w:t>
      </w:r>
      <w:r>
        <w:rPr>
          <w:b/>
          <w:spacing w:val="-2"/>
        </w:rPr>
        <w:t>INTAGE</w:t>
      </w:r>
    </w:p>
    <w:p w14:paraId="1589CD52" w14:textId="77777777" w:rsidR="00BD462C" w:rsidRDefault="00BD462C">
      <w:pPr>
        <w:pStyle w:val="BodyText"/>
        <w:spacing w:before="9"/>
        <w:rPr>
          <w:b/>
          <w:sz w:val="22"/>
        </w:rPr>
      </w:pPr>
    </w:p>
    <w:p w14:paraId="62966E06" w14:textId="2A05C3D7" w:rsidR="00BD462C" w:rsidRDefault="00033D0F" w:rsidP="00DA02D9">
      <w:pPr>
        <w:pStyle w:val="BodyText"/>
        <w:numPr>
          <w:ilvl w:val="0"/>
          <w:numId w:val="71"/>
        </w:numPr>
        <w:spacing w:before="56" w:line="355" w:lineRule="auto"/>
        <w:ind w:right="923"/>
      </w:pPr>
      <w:r>
        <w:rPr>
          <w:position w:val="1"/>
        </w:rPr>
        <w:t>Australia</w:t>
      </w:r>
      <w:r>
        <w:rPr>
          <w:spacing w:val="40"/>
          <w:position w:val="1"/>
        </w:rPr>
        <w:t xml:space="preserve"> </w:t>
      </w:r>
      <w:r>
        <w:rPr>
          <w:position w:val="1"/>
        </w:rPr>
        <w:t>claims</w:t>
      </w:r>
      <w:r>
        <w:rPr>
          <w:spacing w:val="40"/>
          <w:position w:val="1"/>
        </w:rPr>
        <w:t xml:space="preserve"> </w:t>
      </w:r>
      <w:r>
        <w:rPr>
          <w:position w:val="1"/>
        </w:rPr>
        <w:t>that</w:t>
      </w:r>
      <w:r>
        <w:rPr>
          <w:spacing w:val="40"/>
          <w:position w:val="1"/>
        </w:rPr>
        <w:t xml:space="preserve"> </w:t>
      </w:r>
      <w:r>
        <w:rPr>
          <w:position w:val="1"/>
        </w:rPr>
        <w:t>MOFCOM's</w:t>
      </w:r>
      <w:r>
        <w:rPr>
          <w:spacing w:val="40"/>
          <w:position w:val="1"/>
        </w:rPr>
        <w:t xml:space="preserve"> </w:t>
      </w:r>
      <w:r>
        <w:rPr>
          <w:position w:val="1"/>
        </w:rPr>
        <w:t>dumping</w:t>
      </w:r>
      <w:r>
        <w:rPr>
          <w:spacing w:val="40"/>
          <w:position w:val="1"/>
        </w:rPr>
        <w:t xml:space="preserve"> </w:t>
      </w:r>
      <w:r>
        <w:rPr>
          <w:position w:val="1"/>
        </w:rPr>
        <w:t>determination</w:t>
      </w:r>
      <w:r>
        <w:rPr>
          <w:spacing w:val="40"/>
          <w:position w:val="1"/>
        </w:rPr>
        <w:t xml:space="preserve"> </w:t>
      </w:r>
      <w:r>
        <w:rPr>
          <w:position w:val="1"/>
        </w:rPr>
        <w:t>for</w:t>
      </w:r>
      <w:r>
        <w:rPr>
          <w:spacing w:val="40"/>
          <w:position w:val="1"/>
        </w:rPr>
        <w:t xml:space="preserve"> </w:t>
      </w:r>
      <w:r>
        <w:rPr>
          <w:position w:val="1"/>
        </w:rPr>
        <w:t>Swan</w:t>
      </w:r>
      <w:r>
        <w:rPr>
          <w:spacing w:val="40"/>
          <w:position w:val="1"/>
        </w:rPr>
        <w:t xml:space="preserve"> </w:t>
      </w:r>
      <w:r>
        <w:rPr>
          <w:position w:val="1"/>
        </w:rPr>
        <w:t>Vintage</w:t>
      </w:r>
      <w:r>
        <w:rPr>
          <w:spacing w:val="40"/>
          <w:position w:val="1"/>
        </w:rPr>
        <w:t xml:space="preserve"> </w:t>
      </w:r>
      <w:r>
        <w:rPr>
          <w:position w:val="1"/>
        </w:rPr>
        <w:t xml:space="preserve">was </w:t>
      </w:r>
      <w:r>
        <w:rPr>
          <w:spacing w:val="-2"/>
        </w:rPr>
        <w:t>inconsistent</w:t>
      </w:r>
      <w:r>
        <w:rPr>
          <w:spacing w:val="-11"/>
        </w:rPr>
        <w:t xml:space="preserve"> </w:t>
      </w:r>
      <w:r>
        <w:rPr>
          <w:spacing w:val="-2"/>
        </w:rPr>
        <w:t>with</w:t>
      </w:r>
      <w:r>
        <w:rPr>
          <w:spacing w:val="-11"/>
        </w:rPr>
        <w:t xml:space="preserve"> </w:t>
      </w:r>
      <w:r>
        <w:rPr>
          <w:spacing w:val="-2"/>
        </w:rPr>
        <w:t>Articles</w:t>
      </w:r>
      <w:r>
        <w:rPr>
          <w:spacing w:val="-7"/>
        </w:rPr>
        <w:t xml:space="preserve"> </w:t>
      </w:r>
      <w:r>
        <w:rPr>
          <w:spacing w:val="-2"/>
        </w:rPr>
        <w:t>1,</w:t>
      </w:r>
      <w:r>
        <w:rPr>
          <w:spacing w:val="-7"/>
        </w:rPr>
        <w:t xml:space="preserve"> </w:t>
      </w:r>
      <w:r>
        <w:rPr>
          <w:spacing w:val="-2"/>
        </w:rPr>
        <w:t>2.1,</w:t>
      </w:r>
      <w:r>
        <w:rPr>
          <w:spacing w:val="-7"/>
        </w:rPr>
        <w:t xml:space="preserve"> </w:t>
      </w:r>
      <w:r>
        <w:rPr>
          <w:spacing w:val="-2"/>
        </w:rPr>
        <w:t>2.2,</w:t>
      </w:r>
      <w:r>
        <w:rPr>
          <w:spacing w:val="-6"/>
        </w:rPr>
        <w:t xml:space="preserve"> </w:t>
      </w:r>
      <w:r>
        <w:rPr>
          <w:spacing w:val="-2"/>
        </w:rPr>
        <w:t>2.2.1.1,</w:t>
      </w:r>
      <w:r>
        <w:rPr>
          <w:spacing w:val="-7"/>
        </w:rPr>
        <w:t xml:space="preserve"> </w:t>
      </w:r>
      <w:r>
        <w:rPr>
          <w:spacing w:val="-2"/>
        </w:rPr>
        <w:t>2.4,</w:t>
      </w:r>
      <w:r>
        <w:rPr>
          <w:spacing w:val="-7"/>
        </w:rPr>
        <w:t xml:space="preserve"> </w:t>
      </w:r>
      <w:r>
        <w:rPr>
          <w:spacing w:val="-2"/>
        </w:rPr>
        <w:t>6.4,</w:t>
      </w:r>
      <w:r>
        <w:rPr>
          <w:spacing w:val="-7"/>
        </w:rPr>
        <w:t xml:space="preserve"> </w:t>
      </w:r>
      <w:r>
        <w:rPr>
          <w:spacing w:val="-2"/>
        </w:rPr>
        <w:t>6.8,</w:t>
      </w:r>
      <w:r>
        <w:rPr>
          <w:spacing w:val="-7"/>
        </w:rPr>
        <w:t xml:space="preserve"> </w:t>
      </w:r>
      <w:r>
        <w:rPr>
          <w:spacing w:val="-2"/>
        </w:rPr>
        <w:t>6.9,</w:t>
      </w:r>
      <w:r>
        <w:rPr>
          <w:spacing w:val="-7"/>
        </w:rPr>
        <w:t xml:space="preserve"> </w:t>
      </w:r>
      <w:r>
        <w:rPr>
          <w:spacing w:val="-2"/>
        </w:rPr>
        <w:t>9.1,</w:t>
      </w:r>
      <w:r>
        <w:rPr>
          <w:spacing w:val="-6"/>
        </w:rPr>
        <w:t xml:space="preserve"> </w:t>
      </w:r>
      <w:r>
        <w:rPr>
          <w:spacing w:val="-2"/>
        </w:rPr>
        <w:t>9.2,</w:t>
      </w:r>
      <w:r>
        <w:rPr>
          <w:spacing w:val="-1"/>
        </w:rPr>
        <w:t xml:space="preserve"> </w:t>
      </w:r>
      <w:r>
        <w:rPr>
          <w:spacing w:val="-2"/>
        </w:rPr>
        <w:t>9.3,</w:t>
      </w:r>
      <w:r>
        <w:rPr>
          <w:spacing w:val="-7"/>
        </w:rPr>
        <w:t xml:space="preserve"> </w:t>
      </w:r>
      <w:r>
        <w:rPr>
          <w:spacing w:val="-2"/>
        </w:rPr>
        <w:t>18.1</w:t>
      </w:r>
      <w:r>
        <w:rPr>
          <w:spacing w:val="-6"/>
        </w:rPr>
        <w:t xml:space="preserve"> </w:t>
      </w:r>
      <w:r>
        <w:rPr>
          <w:spacing w:val="-2"/>
        </w:rPr>
        <w:t>and</w:t>
      </w:r>
      <w:r>
        <w:rPr>
          <w:spacing w:val="-5"/>
        </w:rPr>
        <w:t xml:space="preserve"> </w:t>
      </w:r>
      <w:r>
        <w:rPr>
          <w:spacing w:val="-2"/>
        </w:rPr>
        <w:t>paragraphs</w:t>
      </w:r>
    </w:p>
    <w:p w14:paraId="4007BA1A" w14:textId="77777777" w:rsidR="00BD462C" w:rsidRDefault="00033D0F">
      <w:pPr>
        <w:pStyle w:val="BodyText"/>
        <w:spacing w:before="7"/>
        <w:ind w:left="136"/>
      </w:pPr>
      <w:r>
        <w:t>1,</w:t>
      </w:r>
      <w:r>
        <w:rPr>
          <w:spacing w:val="-3"/>
        </w:rPr>
        <w:t xml:space="preserve"> </w:t>
      </w:r>
      <w:r>
        <w:t>3,</w:t>
      </w:r>
      <w:r>
        <w:rPr>
          <w:spacing w:val="-1"/>
        </w:rPr>
        <w:t xml:space="preserve"> </w:t>
      </w:r>
      <w:r>
        <w:t>5,</w:t>
      </w:r>
      <w:r>
        <w:rPr>
          <w:spacing w:val="-1"/>
        </w:rPr>
        <w:t xml:space="preserve"> </w:t>
      </w:r>
      <w:r>
        <w:t>6</w:t>
      </w:r>
      <w:r>
        <w:rPr>
          <w:spacing w:val="-5"/>
        </w:rPr>
        <w:t xml:space="preserve"> </w:t>
      </w:r>
      <w:r>
        <w:t>and</w:t>
      </w:r>
      <w:r>
        <w:rPr>
          <w:spacing w:val="1"/>
        </w:rPr>
        <w:t xml:space="preserve"> </w:t>
      </w:r>
      <w:r>
        <w:t>7</w:t>
      </w:r>
      <w:r>
        <w:rPr>
          <w:spacing w:val="1"/>
        </w:rPr>
        <w:t xml:space="preserve"> </w:t>
      </w:r>
      <w:r>
        <w:t>of</w:t>
      </w:r>
      <w:r>
        <w:rPr>
          <w:spacing w:val="-4"/>
        </w:rPr>
        <w:t xml:space="preserve"> </w:t>
      </w:r>
      <w:r>
        <w:t>Annex</w:t>
      </w:r>
      <w:r>
        <w:rPr>
          <w:spacing w:val="-1"/>
        </w:rPr>
        <w:t xml:space="preserve"> </w:t>
      </w:r>
      <w:r>
        <w:t>II.</w:t>
      </w:r>
      <w:r>
        <w:rPr>
          <w:spacing w:val="-1"/>
        </w:rPr>
        <w:t xml:space="preserve"> </w:t>
      </w:r>
      <w:r>
        <w:t>China</w:t>
      </w:r>
      <w:r>
        <w:rPr>
          <w:spacing w:val="-3"/>
        </w:rPr>
        <w:t xml:space="preserve"> </w:t>
      </w:r>
      <w:r>
        <w:t>has failed</w:t>
      </w:r>
      <w:r>
        <w:rPr>
          <w:spacing w:val="-4"/>
        </w:rPr>
        <w:t xml:space="preserve"> </w:t>
      </w:r>
      <w:r>
        <w:t>to</w:t>
      </w:r>
      <w:r>
        <w:rPr>
          <w:spacing w:val="-5"/>
        </w:rPr>
        <w:t xml:space="preserve"> </w:t>
      </w:r>
      <w:r>
        <w:t>rebut</w:t>
      </w:r>
      <w:r>
        <w:rPr>
          <w:spacing w:val="-2"/>
        </w:rPr>
        <w:t xml:space="preserve"> </w:t>
      </w:r>
      <w:r>
        <w:t>these</w:t>
      </w:r>
      <w:r>
        <w:rPr>
          <w:spacing w:val="-1"/>
        </w:rPr>
        <w:t xml:space="preserve"> </w:t>
      </w:r>
      <w:r>
        <w:rPr>
          <w:spacing w:val="-2"/>
        </w:rPr>
        <w:t>claims.</w:t>
      </w:r>
      <w:hyperlink w:anchor="_bookmark534" w:history="1">
        <w:r>
          <w:rPr>
            <w:spacing w:val="-2"/>
            <w:vertAlign w:val="superscript"/>
          </w:rPr>
          <w:t>440</w:t>
        </w:r>
      </w:hyperlink>
    </w:p>
    <w:p w14:paraId="037B5868" w14:textId="77777777" w:rsidR="00BD462C" w:rsidRDefault="00BD462C">
      <w:pPr>
        <w:pStyle w:val="BodyText"/>
        <w:spacing w:before="11"/>
        <w:rPr>
          <w:sz w:val="20"/>
        </w:rPr>
      </w:pPr>
    </w:p>
    <w:p w14:paraId="2DFB42E8" w14:textId="510C2000" w:rsidR="00BD462C" w:rsidRDefault="00033D0F" w:rsidP="00DA02D9">
      <w:pPr>
        <w:pStyle w:val="BodyText"/>
        <w:numPr>
          <w:ilvl w:val="0"/>
          <w:numId w:val="71"/>
        </w:numPr>
        <w:spacing w:before="56" w:line="357" w:lineRule="auto"/>
        <w:ind w:right="914"/>
        <w:jc w:val="both"/>
      </w:pPr>
      <w:r>
        <w:rPr>
          <w:position w:val="1"/>
        </w:rPr>
        <w:t xml:space="preserve">Australia set out, in sections </w:t>
      </w:r>
      <w:hyperlink w:anchor="_bookmark126" w:history="1">
        <w:r>
          <w:rPr>
            <w:position w:val="1"/>
          </w:rPr>
          <w:t>III.B</w:t>
        </w:r>
      </w:hyperlink>
      <w:r>
        <w:rPr>
          <w:position w:val="1"/>
        </w:rPr>
        <w:t xml:space="preserve"> and </w:t>
      </w:r>
      <w:hyperlink w:anchor="_bookmark166" w:history="1">
        <w:r>
          <w:rPr>
            <w:position w:val="1"/>
          </w:rPr>
          <w:t>III.C</w:t>
        </w:r>
      </w:hyperlink>
      <w:r>
        <w:rPr>
          <w:position w:val="1"/>
        </w:rPr>
        <w:t xml:space="preserve"> above, issues relating to MOFCOM's </w:t>
      </w:r>
      <w:r>
        <w:t>obligation to make a fair comparison under Article 2.4, and MOFCOM acted inconsistently with</w:t>
      </w:r>
      <w:r>
        <w:rPr>
          <w:spacing w:val="-8"/>
        </w:rPr>
        <w:t xml:space="preserve"> </w:t>
      </w:r>
      <w:r>
        <w:t>Article</w:t>
      </w:r>
      <w:r>
        <w:rPr>
          <w:spacing w:val="-6"/>
        </w:rPr>
        <w:t xml:space="preserve"> </w:t>
      </w:r>
      <w:r>
        <w:t>6.8</w:t>
      </w:r>
      <w:r>
        <w:rPr>
          <w:spacing w:val="-8"/>
        </w:rPr>
        <w:t xml:space="preserve"> </w:t>
      </w:r>
      <w:r>
        <w:t>because</w:t>
      </w:r>
      <w:r>
        <w:rPr>
          <w:spacing w:val="-6"/>
        </w:rPr>
        <w:t xml:space="preserve"> </w:t>
      </w:r>
      <w:r>
        <w:t>of</w:t>
      </w:r>
      <w:r>
        <w:rPr>
          <w:spacing w:val="-8"/>
        </w:rPr>
        <w:t xml:space="preserve"> </w:t>
      </w:r>
      <w:r>
        <w:t>its</w:t>
      </w:r>
      <w:r>
        <w:rPr>
          <w:spacing w:val="-5"/>
        </w:rPr>
        <w:t xml:space="preserve"> </w:t>
      </w:r>
      <w:r>
        <w:t>recourse</w:t>
      </w:r>
      <w:r>
        <w:rPr>
          <w:spacing w:val="-6"/>
        </w:rPr>
        <w:t xml:space="preserve"> </w:t>
      </w:r>
      <w:r>
        <w:t>to</w:t>
      </w:r>
      <w:r>
        <w:rPr>
          <w:spacing w:val="-4"/>
        </w:rPr>
        <w:t xml:space="preserve"> </w:t>
      </w:r>
      <w:r>
        <w:t>facts</w:t>
      </w:r>
      <w:r>
        <w:rPr>
          <w:spacing w:val="-5"/>
        </w:rPr>
        <w:t xml:space="preserve"> </w:t>
      </w:r>
      <w:r>
        <w:t>available</w:t>
      </w:r>
      <w:r>
        <w:rPr>
          <w:spacing w:val="-6"/>
        </w:rPr>
        <w:t xml:space="preserve"> </w:t>
      </w:r>
      <w:r>
        <w:t>on</w:t>
      </w:r>
      <w:r>
        <w:rPr>
          <w:spacing w:val="-8"/>
        </w:rPr>
        <w:t xml:space="preserve"> </w:t>
      </w:r>
      <w:r>
        <w:t>the</w:t>
      </w:r>
      <w:r>
        <w:rPr>
          <w:spacing w:val="-2"/>
        </w:rPr>
        <w:t xml:space="preserve"> </w:t>
      </w:r>
      <w:r>
        <w:t>basis</w:t>
      </w:r>
      <w:r>
        <w:rPr>
          <w:spacing w:val="-5"/>
        </w:rPr>
        <w:t xml:space="preserve"> </w:t>
      </w:r>
      <w:r>
        <w:t>of</w:t>
      </w:r>
      <w:r>
        <w:rPr>
          <w:spacing w:val="-8"/>
        </w:rPr>
        <w:t xml:space="preserve"> </w:t>
      </w:r>
      <w:r>
        <w:t>a</w:t>
      </w:r>
      <w:r>
        <w:rPr>
          <w:spacing w:val="-7"/>
        </w:rPr>
        <w:t xml:space="preserve"> </w:t>
      </w:r>
      <w:r>
        <w:t>"holistic</w:t>
      </w:r>
      <w:r>
        <w:rPr>
          <w:spacing w:val="-7"/>
        </w:rPr>
        <w:t xml:space="preserve"> </w:t>
      </w:r>
      <w:r>
        <w:t>analysis"</w:t>
      </w:r>
      <w:r>
        <w:rPr>
          <w:spacing w:val="-7"/>
        </w:rPr>
        <w:t xml:space="preserve"> </w:t>
      </w:r>
      <w:r>
        <w:t>of the information submitted by the sample companies.</w:t>
      </w:r>
    </w:p>
    <w:p w14:paraId="1B428FCE" w14:textId="77777777" w:rsidR="00BD462C" w:rsidRDefault="00BD462C">
      <w:pPr>
        <w:pStyle w:val="BodyText"/>
        <w:spacing w:before="4"/>
        <w:rPr>
          <w:sz w:val="9"/>
        </w:rPr>
      </w:pPr>
    </w:p>
    <w:p w14:paraId="63939D49" w14:textId="74FDB403" w:rsidR="00BD462C" w:rsidRDefault="00033D0F" w:rsidP="00DA02D9">
      <w:pPr>
        <w:pStyle w:val="BodyText"/>
        <w:numPr>
          <w:ilvl w:val="0"/>
          <w:numId w:val="71"/>
        </w:numPr>
        <w:spacing w:before="56" w:line="357" w:lineRule="auto"/>
        <w:ind w:right="913"/>
        <w:jc w:val="both"/>
      </w:pPr>
      <w:r>
        <w:rPr>
          <w:position w:val="1"/>
        </w:rPr>
        <w:t>In</w:t>
      </w:r>
      <w:r>
        <w:rPr>
          <w:spacing w:val="-5"/>
          <w:position w:val="1"/>
        </w:rPr>
        <w:t xml:space="preserve"> </w:t>
      </w:r>
      <w:r>
        <w:rPr>
          <w:position w:val="1"/>
        </w:rPr>
        <w:t>this</w:t>
      </w:r>
      <w:r>
        <w:rPr>
          <w:spacing w:val="-2"/>
          <w:position w:val="1"/>
        </w:rPr>
        <w:t xml:space="preserve"> </w:t>
      </w:r>
      <w:r>
        <w:rPr>
          <w:position w:val="1"/>
        </w:rPr>
        <w:t>section,</w:t>
      </w:r>
      <w:r>
        <w:rPr>
          <w:spacing w:val="-2"/>
          <w:position w:val="1"/>
        </w:rPr>
        <w:t xml:space="preserve"> </w:t>
      </w:r>
      <w:r>
        <w:rPr>
          <w:position w:val="1"/>
        </w:rPr>
        <w:t>Australia</w:t>
      </w:r>
      <w:r>
        <w:rPr>
          <w:spacing w:val="-4"/>
          <w:position w:val="1"/>
        </w:rPr>
        <w:t xml:space="preserve"> </w:t>
      </w:r>
      <w:r>
        <w:rPr>
          <w:position w:val="1"/>
        </w:rPr>
        <w:t>will</w:t>
      </w:r>
      <w:r>
        <w:rPr>
          <w:spacing w:val="-1"/>
          <w:position w:val="1"/>
        </w:rPr>
        <w:t xml:space="preserve"> </w:t>
      </w:r>
      <w:r>
        <w:rPr>
          <w:position w:val="1"/>
        </w:rPr>
        <w:t>address</w:t>
      </w:r>
      <w:r>
        <w:rPr>
          <w:spacing w:val="-2"/>
          <w:position w:val="1"/>
        </w:rPr>
        <w:t xml:space="preserve"> </w:t>
      </w:r>
      <w:r>
        <w:rPr>
          <w:position w:val="1"/>
        </w:rPr>
        <w:t>the</w:t>
      </w:r>
      <w:r>
        <w:rPr>
          <w:spacing w:val="-4"/>
          <w:position w:val="1"/>
        </w:rPr>
        <w:t xml:space="preserve"> </w:t>
      </w:r>
      <w:r>
        <w:rPr>
          <w:position w:val="1"/>
        </w:rPr>
        <w:t>additional</w:t>
      </w:r>
      <w:r>
        <w:rPr>
          <w:spacing w:val="-1"/>
          <w:position w:val="1"/>
        </w:rPr>
        <w:t xml:space="preserve"> </w:t>
      </w:r>
      <w:r>
        <w:rPr>
          <w:position w:val="1"/>
        </w:rPr>
        <w:t>errors</w:t>
      </w:r>
      <w:r>
        <w:rPr>
          <w:spacing w:val="-2"/>
          <w:position w:val="1"/>
        </w:rPr>
        <w:t xml:space="preserve"> </w:t>
      </w:r>
      <w:r>
        <w:rPr>
          <w:position w:val="1"/>
        </w:rPr>
        <w:t>MOFCOM</w:t>
      </w:r>
      <w:r>
        <w:rPr>
          <w:spacing w:val="-3"/>
          <w:position w:val="1"/>
        </w:rPr>
        <w:t xml:space="preserve"> </w:t>
      </w:r>
      <w:r>
        <w:rPr>
          <w:position w:val="1"/>
        </w:rPr>
        <w:t>committed</w:t>
      </w:r>
      <w:r>
        <w:rPr>
          <w:spacing w:val="-5"/>
          <w:position w:val="1"/>
        </w:rPr>
        <w:t xml:space="preserve"> </w:t>
      </w:r>
      <w:r>
        <w:rPr>
          <w:position w:val="1"/>
        </w:rPr>
        <w:t xml:space="preserve">with </w:t>
      </w:r>
      <w:r>
        <w:t>respect</w:t>
      </w:r>
      <w:r>
        <w:rPr>
          <w:spacing w:val="-7"/>
        </w:rPr>
        <w:t xml:space="preserve"> </w:t>
      </w:r>
      <w:r>
        <w:t>to</w:t>
      </w:r>
      <w:r>
        <w:rPr>
          <w:spacing w:val="-10"/>
        </w:rPr>
        <w:t xml:space="preserve"> </w:t>
      </w:r>
      <w:r>
        <w:t>its</w:t>
      </w:r>
      <w:r>
        <w:rPr>
          <w:spacing w:val="-6"/>
        </w:rPr>
        <w:t xml:space="preserve"> </w:t>
      </w:r>
      <w:r>
        <w:t>recourse</w:t>
      </w:r>
      <w:r>
        <w:rPr>
          <w:spacing w:val="-7"/>
        </w:rPr>
        <w:t xml:space="preserve"> </w:t>
      </w:r>
      <w:r>
        <w:t>to</w:t>
      </w:r>
      <w:r>
        <w:rPr>
          <w:spacing w:val="-10"/>
        </w:rPr>
        <w:t xml:space="preserve"> </w:t>
      </w:r>
      <w:r>
        <w:t>and</w:t>
      </w:r>
      <w:r>
        <w:rPr>
          <w:spacing w:val="-9"/>
        </w:rPr>
        <w:t xml:space="preserve"> </w:t>
      </w:r>
      <w:r>
        <w:t>selection</w:t>
      </w:r>
      <w:r>
        <w:rPr>
          <w:spacing w:val="-9"/>
        </w:rPr>
        <w:t xml:space="preserve"> </w:t>
      </w:r>
      <w:r>
        <w:t>of</w:t>
      </w:r>
      <w:r>
        <w:rPr>
          <w:spacing w:val="-9"/>
        </w:rPr>
        <w:t xml:space="preserve"> </w:t>
      </w:r>
      <w:r>
        <w:t>facts</w:t>
      </w:r>
      <w:r>
        <w:rPr>
          <w:spacing w:val="-6"/>
        </w:rPr>
        <w:t xml:space="preserve"> </w:t>
      </w:r>
      <w:r>
        <w:t>available</w:t>
      </w:r>
      <w:r>
        <w:rPr>
          <w:spacing w:val="-7"/>
        </w:rPr>
        <w:t xml:space="preserve"> </w:t>
      </w:r>
      <w:r>
        <w:t>for</w:t>
      </w:r>
      <w:r>
        <w:rPr>
          <w:spacing w:val="-10"/>
        </w:rPr>
        <w:t xml:space="preserve"> </w:t>
      </w:r>
      <w:r>
        <w:t>Swan</w:t>
      </w:r>
      <w:r>
        <w:rPr>
          <w:spacing w:val="-9"/>
        </w:rPr>
        <w:t xml:space="preserve"> </w:t>
      </w:r>
      <w:r>
        <w:t>Vintage's</w:t>
      </w:r>
      <w:r>
        <w:rPr>
          <w:spacing w:val="-6"/>
        </w:rPr>
        <w:t xml:space="preserve"> </w:t>
      </w:r>
      <w:r>
        <w:t>normal</w:t>
      </w:r>
      <w:r>
        <w:rPr>
          <w:spacing w:val="-5"/>
        </w:rPr>
        <w:t xml:space="preserve"> </w:t>
      </w:r>
      <w:r>
        <w:t>value,</w:t>
      </w:r>
      <w:r>
        <w:rPr>
          <w:spacing w:val="-5"/>
        </w:rPr>
        <w:t xml:space="preserve"> </w:t>
      </w:r>
      <w:r>
        <w:t>and MOFCOM's failure to make a fair comparison under Article 2.4.</w:t>
      </w:r>
    </w:p>
    <w:p w14:paraId="3105F65A" w14:textId="77777777" w:rsidR="00BD462C" w:rsidRDefault="00033D0F">
      <w:pPr>
        <w:pStyle w:val="Heading3"/>
        <w:numPr>
          <w:ilvl w:val="0"/>
          <w:numId w:val="34"/>
        </w:numPr>
        <w:tabs>
          <w:tab w:val="left" w:pos="2690"/>
        </w:tabs>
        <w:spacing w:before="164"/>
        <w:jc w:val="both"/>
      </w:pPr>
      <w:bookmarkStart w:id="622" w:name="1._MOFCOM's_recourse_to_facts_available_"/>
      <w:bookmarkStart w:id="623" w:name="_bookmark533"/>
      <w:bookmarkEnd w:id="622"/>
      <w:bookmarkEnd w:id="623"/>
      <w:r>
        <w:t>MOFCOM's</w:t>
      </w:r>
      <w:r>
        <w:rPr>
          <w:spacing w:val="-5"/>
        </w:rPr>
        <w:t xml:space="preserve"> </w:t>
      </w:r>
      <w:r>
        <w:t>recourse</w:t>
      </w:r>
      <w:r>
        <w:rPr>
          <w:spacing w:val="-4"/>
        </w:rPr>
        <w:t xml:space="preserve"> </w:t>
      </w:r>
      <w:r>
        <w:t>to</w:t>
      </w:r>
      <w:r>
        <w:rPr>
          <w:spacing w:val="-2"/>
        </w:rPr>
        <w:t xml:space="preserve"> </w:t>
      </w:r>
      <w:r>
        <w:t>facts</w:t>
      </w:r>
      <w:r>
        <w:rPr>
          <w:spacing w:val="-3"/>
        </w:rPr>
        <w:t xml:space="preserve"> </w:t>
      </w:r>
      <w:r>
        <w:t>available</w:t>
      </w:r>
      <w:r>
        <w:rPr>
          <w:spacing w:val="-4"/>
        </w:rPr>
        <w:t xml:space="preserve"> </w:t>
      </w:r>
      <w:r>
        <w:t>had</w:t>
      </w:r>
      <w:r>
        <w:rPr>
          <w:spacing w:val="-2"/>
        </w:rPr>
        <w:t xml:space="preserve"> </w:t>
      </w:r>
      <w:r>
        <w:t>no</w:t>
      </w:r>
      <w:r>
        <w:rPr>
          <w:spacing w:val="-2"/>
        </w:rPr>
        <w:t xml:space="preserve"> </w:t>
      </w:r>
      <w:r>
        <w:t>proper</w:t>
      </w:r>
      <w:r>
        <w:rPr>
          <w:spacing w:val="-1"/>
        </w:rPr>
        <w:t xml:space="preserve"> </w:t>
      </w:r>
      <w:r>
        <w:rPr>
          <w:spacing w:val="-2"/>
        </w:rPr>
        <w:t>basis</w:t>
      </w:r>
    </w:p>
    <w:p w14:paraId="4CC8A5B3" w14:textId="77777777" w:rsidR="00BD462C" w:rsidRDefault="00BD462C">
      <w:pPr>
        <w:pStyle w:val="BodyText"/>
        <w:spacing w:before="11"/>
        <w:rPr>
          <w:b/>
          <w:sz w:val="20"/>
        </w:rPr>
      </w:pPr>
    </w:p>
    <w:p w14:paraId="4889970C" w14:textId="5083A8E5" w:rsidR="00BD462C" w:rsidRDefault="00033D0F" w:rsidP="00DA02D9">
      <w:pPr>
        <w:pStyle w:val="BodyText"/>
        <w:numPr>
          <w:ilvl w:val="0"/>
          <w:numId w:val="71"/>
        </w:numPr>
        <w:spacing w:before="56" w:line="360" w:lineRule="auto"/>
        <w:ind w:right="912"/>
        <w:jc w:val="both"/>
      </w:pPr>
      <w:r>
        <w:rPr>
          <w:position w:val="1"/>
        </w:rPr>
        <w:t xml:space="preserve">China has asserted that there were two principal reasons for MOFCOM resorting to </w:t>
      </w:r>
      <w:r>
        <w:t>the</w:t>
      </w:r>
      <w:r>
        <w:rPr>
          <w:spacing w:val="-11"/>
        </w:rPr>
        <w:t xml:space="preserve"> </w:t>
      </w:r>
      <w:r>
        <w:t>use</w:t>
      </w:r>
      <w:r>
        <w:rPr>
          <w:spacing w:val="-11"/>
        </w:rPr>
        <w:t xml:space="preserve"> </w:t>
      </w:r>
      <w:r>
        <w:t>of</w:t>
      </w:r>
      <w:r>
        <w:rPr>
          <w:spacing w:val="-8"/>
        </w:rPr>
        <w:t xml:space="preserve"> </w:t>
      </w:r>
      <w:r>
        <w:t>facts</w:t>
      </w:r>
      <w:r>
        <w:rPr>
          <w:spacing w:val="-9"/>
        </w:rPr>
        <w:t xml:space="preserve"> </w:t>
      </w:r>
      <w:r>
        <w:t>available</w:t>
      </w:r>
      <w:r>
        <w:rPr>
          <w:spacing w:val="-11"/>
        </w:rPr>
        <w:t xml:space="preserve"> </w:t>
      </w:r>
      <w:r>
        <w:t>in</w:t>
      </w:r>
      <w:r>
        <w:rPr>
          <w:spacing w:val="-13"/>
        </w:rPr>
        <w:t xml:space="preserve"> </w:t>
      </w:r>
      <w:r>
        <w:t>relation</w:t>
      </w:r>
      <w:r>
        <w:rPr>
          <w:spacing w:val="-13"/>
        </w:rPr>
        <w:t xml:space="preserve"> </w:t>
      </w:r>
      <w:r>
        <w:t>to</w:t>
      </w:r>
      <w:r>
        <w:rPr>
          <w:spacing w:val="-13"/>
        </w:rPr>
        <w:t xml:space="preserve"> </w:t>
      </w:r>
      <w:r>
        <w:t>the</w:t>
      </w:r>
      <w:r>
        <w:rPr>
          <w:spacing w:val="-6"/>
        </w:rPr>
        <w:t xml:space="preserve"> </w:t>
      </w:r>
      <w:r>
        <w:t>dumping</w:t>
      </w:r>
      <w:r>
        <w:rPr>
          <w:spacing w:val="-9"/>
        </w:rPr>
        <w:t xml:space="preserve"> </w:t>
      </w:r>
      <w:r>
        <w:t>calculation</w:t>
      </w:r>
      <w:r>
        <w:rPr>
          <w:spacing w:val="-13"/>
        </w:rPr>
        <w:t xml:space="preserve"> </w:t>
      </w:r>
      <w:r>
        <w:t>for</w:t>
      </w:r>
      <w:r>
        <w:rPr>
          <w:spacing w:val="-9"/>
        </w:rPr>
        <w:t xml:space="preserve"> </w:t>
      </w:r>
      <w:r>
        <w:t>Swan</w:t>
      </w:r>
      <w:r>
        <w:rPr>
          <w:spacing w:val="-7"/>
        </w:rPr>
        <w:t xml:space="preserve"> </w:t>
      </w:r>
      <w:r>
        <w:t>Vintage.</w:t>
      </w:r>
      <w:r>
        <w:rPr>
          <w:spacing w:val="-10"/>
        </w:rPr>
        <w:t xml:space="preserve"> </w:t>
      </w:r>
      <w:r>
        <w:t>The</w:t>
      </w:r>
      <w:r>
        <w:rPr>
          <w:spacing w:val="-11"/>
        </w:rPr>
        <w:t xml:space="preserve"> </w:t>
      </w:r>
      <w:r>
        <w:t>first</w:t>
      </w:r>
      <w:r>
        <w:rPr>
          <w:spacing w:val="-10"/>
        </w:rPr>
        <w:t xml:space="preserve"> </w:t>
      </w:r>
      <w:r>
        <w:t>was that</w:t>
      </w:r>
      <w:r>
        <w:rPr>
          <w:spacing w:val="-14"/>
        </w:rPr>
        <w:t xml:space="preserve"> </w:t>
      </w:r>
      <w:r>
        <w:t>the</w:t>
      </w:r>
      <w:r>
        <w:rPr>
          <w:spacing w:val="-9"/>
        </w:rPr>
        <w:t xml:space="preserve"> </w:t>
      </w:r>
      <w:r>
        <w:t>company</w:t>
      </w:r>
      <w:r>
        <w:rPr>
          <w:spacing w:val="-1"/>
        </w:rPr>
        <w:t xml:space="preserve"> </w:t>
      </w:r>
      <w:r>
        <w:t>did</w:t>
      </w:r>
      <w:r>
        <w:rPr>
          <w:spacing w:val="-4"/>
        </w:rPr>
        <w:t xml:space="preserve"> </w:t>
      </w:r>
      <w:r>
        <w:t>not</w:t>
      </w:r>
      <w:r>
        <w:rPr>
          <w:spacing w:val="-2"/>
        </w:rPr>
        <w:t xml:space="preserve"> </w:t>
      </w:r>
      <w:r>
        <w:t>report its</w:t>
      </w:r>
      <w:r>
        <w:rPr>
          <w:spacing w:val="-1"/>
        </w:rPr>
        <w:t xml:space="preserve"> </w:t>
      </w:r>
      <w:r>
        <w:t>export</w:t>
      </w:r>
      <w:r>
        <w:rPr>
          <w:spacing w:val="-2"/>
        </w:rPr>
        <w:t xml:space="preserve"> </w:t>
      </w:r>
      <w:r>
        <w:t>prices on</w:t>
      </w:r>
      <w:r>
        <w:rPr>
          <w:spacing w:val="-4"/>
        </w:rPr>
        <w:t xml:space="preserve"> </w:t>
      </w:r>
      <w:r>
        <w:t>a PCN</w:t>
      </w:r>
      <w:r>
        <w:rPr>
          <w:spacing w:val="-4"/>
        </w:rPr>
        <w:t xml:space="preserve"> </w:t>
      </w:r>
      <w:r>
        <w:t>basis.</w:t>
      </w:r>
      <w:r>
        <w:rPr>
          <w:spacing w:val="-14"/>
        </w:rPr>
        <w:t xml:space="preserve"> </w:t>
      </w:r>
      <w:hyperlink w:anchor="_bookmark535" w:history="1">
        <w:r>
          <w:rPr>
            <w:vertAlign w:val="superscript"/>
          </w:rPr>
          <w:t>441</w:t>
        </w:r>
      </w:hyperlink>
      <w:r>
        <w:rPr>
          <w:spacing w:val="-2"/>
        </w:rPr>
        <w:t xml:space="preserve"> </w:t>
      </w:r>
      <w:r>
        <w:t>The</w:t>
      </w:r>
      <w:r>
        <w:rPr>
          <w:spacing w:val="-3"/>
        </w:rPr>
        <w:t xml:space="preserve"> </w:t>
      </w:r>
      <w:r>
        <w:t>second,</w:t>
      </w:r>
      <w:r>
        <w:rPr>
          <w:spacing w:val="-1"/>
        </w:rPr>
        <w:t xml:space="preserve"> </w:t>
      </w:r>
      <w:r>
        <w:t>according</w:t>
      </w:r>
      <w:r>
        <w:rPr>
          <w:spacing w:val="-1"/>
        </w:rPr>
        <w:t xml:space="preserve"> </w:t>
      </w:r>
      <w:r>
        <w:t>to China, was that a related supplier of pressing services and bulk wine did not provide a complete</w:t>
      </w:r>
      <w:r>
        <w:rPr>
          <w:spacing w:val="-12"/>
        </w:rPr>
        <w:t xml:space="preserve"> </w:t>
      </w:r>
      <w:r>
        <w:t>reply to the questionnaire.</w:t>
      </w:r>
      <w:r>
        <w:rPr>
          <w:spacing w:val="-14"/>
        </w:rPr>
        <w:t xml:space="preserve"> </w:t>
      </w:r>
      <w:hyperlink w:anchor="_bookmark536" w:history="1">
        <w:r>
          <w:rPr>
            <w:vertAlign w:val="superscript"/>
          </w:rPr>
          <w:t>442</w:t>
        </w:r>
      </w:hyperlink>
      <w:r>
        <w:t xml:space="preserve"> Australia addresses each of these alleged reasons in </w:t>
      </w:r>
      <w:r>
        <w:rPr>
          <w:spacing w:val="-2"/>
        </w:rPr>
        <w:t>turn.</w:t>
      </w:r>
    </w:p>
    <w:p w14:paraId="61748B16" w14:textId="77777777" w:rsidR="00BD462C" w:rsidRDefault="00BD462C">
      <w:pPr>
        <w:pStyle w:val="BodyText"/>
        <w:spacing w:before="8"/>
        <w:rPr>
          <w:sz w:val="8"/>
        </w:rPr>
      </w:pPr>
    </w:p>
    <w:p w14:paraId="56C5F45C" w14:textId="34C48CB4" w:rsidR="00BD462C" w:rsidRPr="00493811" w:rsidRDefault="00033D0F" w:rsidP="00DA02D9">
      <w:pPr>
        <w:pStyle w:val="BodyText"/>
        <w:numPr>
          <w:ilvl w:val="0"/>
          <w:numId w:val="71"/>
        </w:numPr>
        <w:spacing w:before="56" w:line="357" w:lineRule="auto"/>
        <w:ind w:right="919"/>
        <w:jc w:val="both"/>
      </w:pPr>
      <w:r>
        <w:rPr>
          <w:position w:val="1"/>
        </w:rPr>
        <w:t xml:space="preserve">First, China argued that "the absence of cost of production [data] by PCN prevented </w:t>
      </w:r>
      <w:r>
        <w:t>MOFCOM from calculating a normal value for each PCN based on the costs reported by the company".</w:t>
      </w:r>
      <w:r>
        <w:rPr>
          <w:spacing w:val="-33"/>
        </w:rPr>
        <w:t xml:space="preserve"> </w:t>
      </w:r>
      <w:hyperlink w:anchor="_bookmark537" w:history="1">
        <w:r>
          <w:rPr>
            <w:vertAlign w:val="superscript"/>
          </w:rPr>
          <w:t>443</w:t>
        </w:r>
      </w:hyperlink>
      <w:r>
        <w:rPr>
          <w:spacing w:val="-7"/>
        </w:rPr>
        <w:t xml:space="preserve"> </w:t>
      </w:r>
      <w:r>
        <w:t>This</w:t>
      </w:r>
      <w:r>
        <w:rPr>
          <w:spacing w:val="-10"/>
        </w:rPr>
        <w:t xml:space="preserve"> </w:t>
      </w:r>
      <w:r>
        <w:t>could</w:t>
      </w:r>
      <w:r>
        <w:rPr>
          <w:spacing w:val="-9"/>
        </w:rPr>
        <w:t xml:space="preserve"> </w:t>
      </w:r>
      <w:r>
        <w:t>only</w:t>
      </w:r>
      <w:r>
        <w:rPr>
          <w:spacing w:val="-6"/>
        </w:rPr>
        <w:t xml:space="preserve"> </w:t>
      </w:r>
      <w:r>
        <w:t>be</w:t>
      </w:r>
      <w:r>
        <w:rPr>
          <w:spacing w:val="-12"/>
        </w:rPr>
        <w:t xml:space="preserve"> </w:t>
      </w:r>
      <w:r>
        <w:t>true</w:t>
      </w:r>
      <w:r>
        <w:rPr>
          <w:spacing w:val="-12"/>
        </w:rPr>
        <w:t xml:space="preserve"> </w:t>
      </w:r>
      <w:r>
        <w:t>if</w:t>
      </w:r>
      <w:r>
        <w:rPr>
          <w:spacing w:val="-9"/>
        </w:rPr>
        <w:t xml:space="preserve"> </w:t>
      </w:r>
      <w:r>
        <w:t>Swan</w:t>
      </w:r>
      <w:r>
        <w:rPr>
          <w:spacing w:val="-9"/>
        </w:rPr>
        <w:t xml:space="preserve"> </w:t>
      </w:r>
      <w:r>
        <w:t>Vintage</w:t>
      </w:r>
      <w:r>
        <w:rPr>
          <w:spacing w:val="-12"/>
        </w:rPr>
        <w:t xml:space="preserve"> </w:t>
      </w:r>
      <w:r>
        <w:t>did</w:t>
      </w:r>
      <w:r>
        <w:rPr>
          <w:spacing w:val="-14"/>
        </w:rPr>
        <w:t xml:space="preserve"> </w:t>
      </w:r>
      <w:r>
        <w:t>not</w:t>
      </w:r>
      <w:r>
        <w:rPr>
          <w:spacing w:val="-7"/>
        </w:rPr>
        <w:t xml:space="preserve"> </w:t>
      </w:r>
      <w:r>
        <w:t>provide</w:t>
      </w:r>
      <w:r>
        <w:rPr>
          <w:spacing w:val="-12"/>
        </w:rPr>
        <w:t xml:space="preserve"> </w:t>
      </w:r>
      <w:r>
        <w:t>those</w:t>
      </w:r>
      <w:r>
        <w:rPr>
          <w:spacing w:val="-7"/>
        </w:rPr>
        <w:t xml:space="preserve"> </w:t>
      </w:r>
      <w:r>
        <w:t>prices</w:t>
      </w:r>
      <w:r>
        <w:rPr>
          <w:spacing w:val="-10"/>
        </w:rPr>
        <w:t xml:space="preserve"> </w:t>
      </w:r>
      <w:r>
        <w:t>on</w:t>
      </w:r>
      <w:r>
        <w:rPr>
          <w:spacing w:val="-14"/>
        </w:rPr>
        <w:t xml:space="preserve"> </w:t>
      </w:r>
      <w:r>
        <w:t>the</w:t>
      </w:r>
      <w:r>
        <w:rPr>
          <w:spacing w:val="-7"/>
        </w:rPr>
        <w:t xml:space="preserve"> </w:t>
      </w:r>
      <w:r>
        <w:t>same</w:t>
      </w:r>
    </w:p>
    <w:p w14:paraId="033C5B0C" w14:textId="376543A9" w:rsidR="00BD462C" w:rsidRDefault="00E14314">
      <w:pPr>
        <w:pStyle w:val="BodyText"/>
        <w:rPr>
          <w:sz w:val="20"/>
        </w:rPr>
      </w:pPr>
      <w:r>
        <w:rPr>
          <w:noProof/>
        </w:rPr>
        <mc:AlternateContent>
          <mc:Choice Requires="wps">
            <w:drawing>
              <wp:anchor distT="0" distB="0" distL="0" distR="0" simplePos="0" relativeHeight="488045056" behindDoc="1" locked="0" layoutInCell="1" allowOverlap="1" wp14:anchorId="0756A96C" wp14:editId="6B67CF34">
                <wp:simplePos x="0" y="0"/>
                <wp:positionH relativeFrom="page">
                  <wp:posOffset>812800</wp:posOffset>
                </wp:positionH>
                <wp:positionV relativeFrom="paragraph">
                  <wp:posOffset>296545</wp:posOffset>
                </wp:positionV>
                <wp:extent cx="1828800" cy="8890"/>
                <wp:effectExtent l="0" t="0" r="0" b="0"/>
                <wp:wrapTopAndBottom/>
                <wp:docPr id="21" name="docshape2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94A87A" id="docshape267" o:spid="_x0000_s1026" alt="&quot;&quot;" style="position:absolute;margin-left:64pt;margin-top:23.35pt;width:2in;height:.7pt;z-index:-15271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" fillcolor="black" stroked="f">
                <w10:wrap type="topAndBottom" anchorx="page"/>
              </v:rect>
            </w:pict>
          </mc:Fallback>
        </mc:AlternateContent>
      </w:r>
    </w:p>
    <w:p w14:paraId="3D7D84DF" w14:textId="28D2BB39" w:rsidR="00BD462C" w:rsidRDefault="00BD462C">
      <w:pPr>
        <w:pStyle w:val="BodyText"/>
        <w:spacing w:before="10"/>
        <w:rPr>
          <w:sz w:val="17"/>
        </w:rPr>
      </w:pPr>
    </w:p>
    <w:p w14:paraId="135F2A9F" w14:textId="77777777" w:rsidR="00BD462C" w:rsidRDefault="00033D0F">
      <w:pPr>
        <w:spacing w:before="112"/>
        <w:ind w:left="135"/>
        <w:rPr>
          <w:sz w:val="18"/>
        </w:rPr>
      </w:pPr>
      <w:bookmarkStart w:id="624" w:name="_bookmark534"/>
      <w:bookmarkEnd w:id="624"/>
      <w:r>
        <w:rPr>
          <w:position w:val="5"/>
          <w:sz w:val="12"/>
        </w:rPr>
        <w:t>440</w:t>
      </w:r>
      <w:r>
        <w:rPr>
          <w:spacing w:val="15"/>
          <w:position w:val="5"/>
          <w:sz w:val="12"/>
        </w:rPr>
        <w:t xml:space="preserve"> </w:t>
      </w:r>
      <w:r>
        <w:rPr>
          <w:sz w:val="18"/>
        </w:rPr>
        <w:t>Australia's</w:t>
      </w:r>
      <w:r>
        <w:rPr>
          <w:spacing w:val="1"/>
          <w:sz w:val="18"/>
        </w:rPr>
        <w:t xml:space="preserve"> </w:t>
      </w:r>
      <w:r>
        <w:rPr>
          <w:sz w:val="18"/>
        </w:rPr>
        <w:t>claims</w:t>
      </w:r>
      <w:r>
        <w:rPr>
          <w:spacing w:val="2"/>
          <w:sz w:val="18"/>
        </w:rPr>
        <w:t xml:space="preserve"> </w:t>
      </w:r>
      <w:r>
        <w:rPr>
          <w:sz w:val="18"/>
        </w:rPr>
        <w:t>under</w:t>
      </w:r>
      <w:r>
        <w:rPr>
          <w:spacing w:val="-5"/>
          <w:sz w:val="18"/>
        </w:rPr>
        <w:t xml:space="preserve"> </w:t>
      </w:r>
      <w:r>
        <w:rPr>
          <w:sz w:val="18"/>
        </w:rPr>
        <w:t>Articles</w:t>
      </w:r>
      <w:r>
        <w:rPr>
          <w:spacing w:val="-4"/>
          <w:sz w:val="18"/>
        </w:rPr>
        <w:t xml:space="preserve"> </w:t>
      </w:r>
      <w:r>
        <w:rPr>
          <w:sz w:val="18"/>
        </w:rPr>
        <w:t>6.4</w:t>
      </w:r>
      <w:r>
        <w:rPr>
          <w:spacing w:val="-5"/>
          <w:sz w:val="18"/>
        </w:rPr>
        <w:t xml:space="preserve"> </w:t>
      </w:r>
      <w:r>
        <w:rPr>
          <w:sz w:val="18"/>
        </w:rPr>
        <w:t>and</w:t>
      </w:r>
      <w:r>
        <w:rPr>
          <w:spacing w:val="-4"/>
          <w:sz w:val="18"/>
        </w:rPr>
        <w:t xml:space="preserve"> </w:t>
      </w:r>
      <w:r>
        <w:rPr>
          <w:sz w:val="18"/>
        </w:rPr>
        <w:t>6.9</w:t>
      </w:r>
      <w:r>
        <w:rPr>
          <w:spacing w:val="-6"/>
          <w:sz w:val="18"/>
        </w:rPr>
        <w:t xml:space="preserve"> </w:t>
      </w:r>
      <w:r>
        <w:rPr>
          <w:sz w:val="18"/>
        </w:rPr>
        <w:t>are</w:t>
      </w:r>
      <w:r>
        <w:rPr>
          <w:spacing w:val="-3"/>
          <w:sz w:val="18"/>
        </w:rPr>
        <w:t xml:space="preserve"> </w:t>
      </w:r>
      <w:r>
        <w:rPr>
          <w:sz w:val="18"/>
        </w:rPr>
        <w:t>elaborated</w:t>
      </w:r>
      <w:r>
        <w:rPr>
          <w:spacing w:val="-4"/>
          <w:sz w:val="18"/>
        </w:rPr>
        <w:t xml:space="preserve"> </w:t>
      </w:r>
      <w:r>
        <w:rPr>
          <w:sz w:val="18"/>
        </w:rPr>
        <w:t>upon</w:t>
      </w:r>
      <w:r>
        <w:rPr>
          <w:spacing w:val="-5"/>
          <w:sz w:val="18"/>
        </w:rPr>
        <w:t xml:space="preserve"> </w:t>
      </w:r>
      <w:r>
        <w:rPr>
          <w:sz w:val="18"/>
        </w:rPr>
        <w:t>in</w:t>
      </w:r>
      <w:r>
        <w:rPr>
          <w:spacing w:val="1"/>
          <w:sz w:val="18"/>
        </w:rPr>
        <w:t xml:space="preserve"> </w:t>
      </w:r>
      <w:r>
        <w:rPr>
          <w:sz w:val="18"/>
        </w:rPr>
        <w:t>Section</w:t>
      </w:r>
      <w:r>
        <w:rPr>
          <w:spacing w:val="-8"/>
          <w:sz w:val="18"/>
        </w:rPr>
        <w:t xml:space="preserve"> </w:t>
      </w:r>
      <w:r>
        <w:rPr>
          <w:sz w:val="18"/>
        </w:rPr>
        <w:t>VII.D</w:t>
      </w:r>
      <w:r>
        <w:rPr>
          <w:spacing w:val="-7"/>
          <w:sz w:val="18"/>
        </w:rPr>
        <w:t xml:space="preserve"> </w:t>
      </w:r>
      <w:r>
        <w:rPr>
          <w:sz w:val="18"/>
        </w:rPr>
        <w:t>of</w:t>
      </w:r>
      <w:r>
        <w:rPr>
          <w:spacing w:val="-2"/>
          <w:sz w:val="18"/>
        </w:rPr>
        <w:t xml:space="preserve"> </w:t>
      </w:r>
      <w:r>
        <w:rPr>
          <w:sz w:val="18"/>
        </w:rPr>
        <w:t>this</w:t>
      </w:r>
      <w:r>
        <w:rPr>
          <w:spacing w:val="1"/>
          <w:sz w:val="18"/>
        </w:rPr>
        <w:t xml:space="preserve"> </w:t>
      </w:r>
      <w:r>
        <w:rPr>
          <w:spacing w:val="-2"/>
          <w:sz w:val="18"/>
        </w:rPr>
        <w:t>submission.</w:t>
      </w:r>
    </w:p>
    <w:p w14:paraId="44F2C471" w14:textId="77777777" w:rsidR="00BD462C" w:rsidRDefault="00033D0F">
      <w:pPr>
        <w:spacing w:before="1"/>
        <w:ind w:left="135"/>
        <w:rPr>
          <w:sz w:val="18"/>
        </w:rPr>
      </w:pPr>
      <w:bookmarkStart w:id="625" w:name="_bookmark535"/>
      <w:bookmarkEnd w:id="625"/>
      <w:r>
        <w:rPr>
          <w:position w:val="5"/>
          <w:sz w:val="12"/>
        </w:rPr>
        <w:t>441</w:t>
      </w:r>
      <w:r>
        <w:rPr>
          <w:spacing w:val="12"/>
          <w:position w:val="5"/>
          <w:sz w:val="12"/>
        </w:rPr>
        <w:t xml:space="preserve"> </w:t>
      </w:r>
      <w:r>
        <w:rPr>
          <w:sz w:val="18"/>
        </w:rPr>
        <w:t>China's</w:t>
      </w:r>
      <w:r>
        <w:rPr>
          <w:spacing w:val="-6"/>
          <w:sz w:val="18"/>
        </w:rPr>
        <w:t xml:space="preserve"> </w:t>
      </w:r>
      <w:r>
        <w:rPr>
          <w:sz w:val="18"/>
        </w:rPr>
        <w:t>first</w:t>
      </w:r>
      <w:r>
        <w:rPr>
          <w:spacing w:val="-5"/>
          <w:sz w:val="18"/>
        </w:rPr>
        <w:t xml:space="preserve"> </w:t>
      </w:r>
      <w:r>
        <w:rPr>
          <w:sz w:val="18"/>
        </w:rPr>
        <w:t>written</w:t>
      </w:r>
      <w:r>
        <w:rPr>
          <w:spacing w:val="-7"/>
          <w:sz w:val="18"/>
        </w:rPr>
        <w:t xml:space="preserve"> </w:t>
      </w:r>
      <w:r>
        <w:rPr>
          <w:sz w:val="18"/>
        </w:rPr>
        <w:t>submission, paras.</w:t>
      </w:r>
      <w:r>
        <w:rPr>
          <w:spacing w:val="-5"/>
          <w:sz w:val="18"/>
        </w:rPr>
        <w:t xml:space="preserve"> </w:t>
      </w:r>
      <w:r>
        <w:rPr>
          <w:sz w:val="18"/>
        </w:rPr>
        <w:t>736-740,</w:t>
      </w:r>
      <w:r>
        <w:rPr>
          <w:spacing w:val="1"/>
          <w:sz w:val="18"/>
        </w:rPr>
        <w:t xml:space="preserve"> </w:t>
      </w:r>
      <w:r>
        <w:rPr>
          <w:sz w:val="18"/>
        </w:rPr>
        <w:t>747-748;</w:t>
      </w:r>
      <w:r>
        <w:rPr>
          <w:spacing w:val="-4"/>
          <w:sz w:val="18"/>
        </w:rPr>
        <w:t xml:space="preserve"> </w:t>
      </w:r>
      <w:r>
        <w:rPr>
          <w:sz w:val="18"/>
        </w:rPr>
        <w:t>response</w:t>
      </w:r>
      <w:r>
        <w:rPr>
          <w:spacing w:val="-2"/>
          <w:sz w:val="18"/>
        </w:rPr>
        <w:t xml:space="preserve"> </w:t>
      </w:r>
      <w:r>
        <w:rPr>
          <w:sz w:val="18"/>
        </w:rPr>
        <w:t>to</w:t>
      </w:r>
      <w:r>
        <w:rPr>
          <w:spacing w:val="-7"/>
          <w:sz w:val="18"/>
        </w:rPr>
        <w:t xml:space="preserve"> </w:t>
      </w:r>
      <w:r>
        <w:rPr>
          <w:sz w:val="18"/>
        </w:rPr>
        <w:t>Panel</w:t>
      </w:r>
      <w:r>
        <w:rPr>
          <w:spacing w:val="-5"/>
          <w:sz w:val="18"/>
        </w:rPr>
        <w:t xml:space="preserve"> </w:t>
      </w:r>
      <w:r>
        <w:rPr>
          <w:sz w:val="18"/>
        </w:rPr>
        <w:t>question</w:t>
      </w:r>
      <w:r>
        <w:rPr>
          <w:spacing w:val="-7"/>
          <w:sz w:val="18"/>
        </w:rPr>
        <w:t xml:space="preserve"> </w:t>
      </w:r>
      <w:r>
        <w:rPr>
          <w:sz w:val="18"/>
        </w:rPr>
        <w:t>No.</w:t>
      </w:r>
      <w:r>
        <w:rPr>
          <w:spacing w:val="-6"/>
          <w:sz w:val="18"/>
        </w:rPr>
        <w:t xml:space="preserve"> </w:t>
      </w:r>
      <w:r>
        <w:rPr>
          <w:sz w:val="18"/>
        </w:rPr>
        <w:t>6,</w:t>
      </w:r>
      <w:r>
        <w:rPr>
          <w:spacing w:val="-4"/>
          <w:sz w:val="18"/>
        </w:rPr>
        <w:t xml:space="preserve"> </w:t>
      </w:r>
      <w:r>
        <w:rPr>
          <w:sz w:val="18"/>
        </w:rPr>
        <w:t>para.</w:t>
      </w:r>
      <w:r>
        <w:rPr>
          <w:spacing w:val="-1"/>
          <w:sz w:val="18"/>
        </w:rPr>
        <w:t xml:space="preserve"> </w:t>
      </w:r>
      <w:r>
        <w:rPr>
          <w:spacing w:val="-5"/>
          <w:sz w:val="18"/>
        </w:rPr>
        <w:t>25.</w:t>
      </w:r>
    </w:p>
    <w:p w14:paraId="3067031C" w14:textId="77777777" w:rsidR="00BD462C" w:rsidRDefault="00033D0F">
      <w:pPr>
        <w:spacing w:before="1"/>
        <w:ind w:left="135"/>
        <w:rPr>
          <w:sz w:val="18"/>
        </w:rPr>
      </w:pPr>
      <w:bookmarkStart w:id="626" w:name="_bookmark536"/>
      <w:bookmarkEnd w:id="626"/>
      <w:r>
        <w:rPr>
          <w:position w:val="5"/>
          <w:sz w:val="12"/>
        </w:rPr>
        <w:t>442</w:t>
      </w:r>
      <w:r>
        <w:rPr>
          <w:spacing w:val="11"/>
          <w:position w:val="5"/>
          <w:sz w:val="12"/>
        </w:rPr>
        <w:t xml:space="preserve"> </w:t>
      </w:r>
      <w:r>
        <w:rPr>
          <w:sz w:val="18"/>
        </w:rPr>
        <w:t>China's</w:t>
      </w:r>
      <w:r>
        <w:rPr>
          <w:spacing w:val="-7"/>
          <w:sz w:val="18"/>
        </w:rPr>
        <w:t xml:space="preserve"> </w:t>
      </w:r>
      <w:r>
        <w:rPr>
          <w:sz w:val="18"/>
        </w:rPr>
        <w:t>first</w:t>
      </w:r>
      <w:r>
        <w:rPr>
          <w:spacing w:val="-6"/>
          <w:sz w:val="18"/>
        </w:rPr>
        <w:t xml:space="preserve"> </w:t>
      </w:r>
      <w:r>
        <w:rPr>
          <w:sz w:val="18"/>
        </w:rPr>
        <w:t>written</w:t>
      </w:r>
      <w:r>
        <w:rPr>
          <w:spacing w:val="-8"/>
          <w:sz w:val="18"/>
        </w:rPr>
        <w:t xml:space="preserve"> </w:t>
      </w:r>
      <w:r>
        <w:rPr>
          <w:sz w:val="18"/>
        </w:rPr>
        <w:t>submission, paras.</w:t>
      </w:r>
      <w:r>
        <w:rPr>
          <w:spacing w:val="-5"/>
          <w:sz w:val="18"/>
        </w:rPr>
        <w:t xml:space="preserve"> </w:t>
      </w:r>
      <w:r>
        <w:rPr>
          <w:sz w:val="18"/>
        </w:rPr>
        <w:t>760,</w:t>
      </w:r>
      <w:r>
        <w:rPr>
          <w:spacing w:val="-6"/>
          <w:sz w:val="18"/>
        </w:rPr>
        <w:t xml:space="preserve"> </w:t>
      </w:r>
      <w:r>
        <w:rPr>
          <w:sz w:val="18"/>
        </w:rPr>
        <w:t>765, 768,</w:t>
      </w:r>
      <w:r>
        <w:rPr>
          <w:spacing w:val="-1"/>
          <w:sz w:val="18"/>
        </w:rPr>
        <w:t xml:space="preserve"> </w:t>
      </w:r>
      <w:r>
        <w:rPr>
          <w:sz w:val="18"/>
        </w:rPr>
        <w:t>770-</w:t>
      </w:r>
      <w:r>
        <w:rPr>
          <w:spacing w:val="-4"/>
          <w:sz w:val="18"/>
        </w:rPr>
        <w:t>773.</w:t>
      </w:r>
    </w:p>
    <w:p w14:paraId="7AEF1DC3" w14:textId="77777777" w:rsidR="00BD462C" w:rsidRDefault="00033D0F">
      <w:pPr>
        <w:spacing w:before="1"/>
        <w:ind w:left="135"/>
        <w:rPr>
          <w:sz w:val="18"/>
        </w:rPr>
      </w:pPr>
      <w:bookmarkStart w:id="627" w:name="_bookmark537"/>
      <w:bookmarkEnd w:id="627"/>
      <w:r>
        <w:rPr>
          <w:position w:val="5"/>
          <w:sz w:val="12"/>
        </w:rPr>
        <w:t>443</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 xml:space="preserve">submission, para. </w:t>
      </w:r>
      <w:r>
        <w:rPr>
          <w:spacing w:val="-4"/>
          <w:sz w:val="18"/>
        </w:rPr>
        <w:t>748.</w:t>
      </w:r>
    </w:p>
    <w:p w14:paraId="4255C4D1" w14:textId="77777777" w:rsidR="00BD462C" w:rsidRDefault="00BD462C">
      <w:pPr>
        <w:rPr>
          <w:sz w:val="18"/>
        </w:rPr>
        <w:sectPr w:rsidR="00BD462C">
          <w:pgSz w:w="11910" w:h="16840"/>
          <w:pgMar w:top="860" w:right="500" w:bottom="780" w:left="1280" w:header="566" w:footer="590" w:gutter="0"/>
          <w:cols w:space="720"/>
        </w:sectPr>
      </w:pPr>
    </w:p>
    <w:p w14:paraId="6F6C4CE1"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28CE5478"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0E8B3578"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0D8F0713" w14:textId="77777777" w:rsidR="00BD462C" w:rsidRDefault="00033D0F">
      <w:pPr>
        <w:pStyle w:val="BodyText"/>
        <w:spacing w:before="102" w:line="357" w:lineRule="auto"/>
        <w:ind w:left="135" w:right="923"/>
      </w:pPr>
      <w:r>
        <w:t>basis as its cost</w:t>
      </w:r>
      <w:r>
        <w:rPr>
          <w:spacing w:val="-1"/>
        </w:rPr>
        <w:t xml:space="preserve"> </w:t>
      </w:r>
      <w:r>
        <w:t>data</w:t>
      </w:r>
      <w:r>
        <w:rPr>
          <w:spacing w:val="-2"/>
        </w:rPr>
        <w:t xml:space="preserve"> </w:t>
      </w:r>
      <w:r>
        <w:t>so that</w:t>
      </w:r>
      <w:r>
        <w:rPr>
          <w:spacing w:val="-1"/>
        </w:rPr>
        <w:t xml:space="preserve"> </w:t>
      </w:r>
      <w:r>
        <w:t>normal values could be</w:t>
      </w:r>
      <w:r>
        <w:rPr>
          <w:spacing w:val="-2"/>
        </w:rPr>
        <w:t xml:space="preserve"> </w:t>
      </w:r>
      <w:r>
        <w:t>constructed</w:t>
      </w:r>
      <w:r>
        <w:rPr>
          <w:spacing w:val="-3"/>
        </w:rPr>
        <w:t xml:space="preserve"> </w:t>
      </w:r>
      <w:r>
        <w:t>and</w:t>
      </w:r>
      <w:r>
        <w:rPr>
          <w:spacing w:val="-3"/>
        </w:rPr>
        <w:t xml:space="preserve"> </w:t>
      </w:r>
      <w:r>
        <w:t>compared</w:t>
      </w:r>
      <w:r>
        <w:rPr>
          <w:spacing w:val="-3"/>
        </w:rPr>
        <w:t xml:space="preserve"> </w:t>
      </w:r>
      <w:r>
        <w:t>to the</w:t>
      </w:r>
      <w:r>
        <w:rPr>
          <w:spacing w:val="-2"/>
        </w:rPr>
        <w:t xml:space="preserve"> </w:t>
      </w:r>
      <w:r>
        <w:t>export PCNs. MOFCOM did not determine that this was the case. Rather it found that:</w:t>
      </w:r>
    </w:p>
    <w:p w14:paraId="430F2C82" w14:textId="77777777" w:rsidR="00BD462C" w:rsidRDefault="00033D0F">
      <w:pPr>
        <w:spacing w:before="164" w:line="276" w:lineRule="auto"/>
        <w:ind w:left="985" w:right="916"/>
        <w:jc w:val="both"/>
      </w:pPr>
      <w:r>
        <w:t>The</w:t>
      </w:r>
      <w:r>
        <w:rPr>
          <w:spacing w:val="-6"/>
        </w:rPr>
        <w:t xml:space="preserve"> </w:t>
      </w:r>
      <w:r>
        <w:t>costs</w:t>
      </w:r>
      <w:r>
        <w:rPr>
          <w:spacing w:val="-7"/>
        </w:rPr>
        <w:t xml:space="preserve"> </w:t>
      </w:r>
      <w:r>
        <w:t>reported</w:t>
      </w:r>
      <w:r>
        <w:rPr>
          <w:spacing w:val="-8"/>
        </w:rPr>
        <w:t xml:space="preserve"> </w:t>
      </w:r>
      <w:r>
        <w:t>by</w:t>
      </w:r>
      <w:r>
        <w:rPr>
          <w:spacing w:val="-1"/>
        </w:rPr>
        <w:t xml:space="preserve"> </w:t>
      </w:r>
      <w:r>
        <w:t>the</w:t>
      </w:r>
      <w:r>
        <w:rPr>
          <w:spacing w:val="-2"/>
        </w:rPr>
        <w:t xml:space="preserve"> </w:t>
      </w:r>
      <w:r>
        <w:t>Company</w:t>
      </w:r>
      <w:r>
        <w:rPr>
          <w:spacing w:val="-6"/>
        </w:rPr>
        <w:t xml:space="preserve"> </w:t>
      </w:r>
      <w:r>
        <w:t>based</w:t>
      </w:r>
      <w:r>
        <w:rPr>
          <w:spacing w:val="-8"/>
        </w:rPr>
        <w:t xml:space="preserve"> </w:t>
      </w:r>
      <w:r>
        <w:t>on</w:t>
      </w:r>
      <w:r>
        <w:rPr>
          <w:spacing w:val="-3"/>
        </w:rPr>
        <w:t xml:space="preserve"> </w:t>
      </w:r>
      <w:r>
        <w:t>product</w:t>
      </w:r>
      <w:r>
        <w:rPr>
          <w:spacing w:val="-4"/>
        </w:rPr>
        <w:t xml:space="preserve"> </w:t>
      </w:r>
      <w:r>
        <w:t>level</w:t>
      </w:r>
      <w:r>
        <w:rPr>
          <w:spacing w:val="-5"/>
        </w:rPr>
        <w:t xml:space="preserve"> </w:t>
      </w:r>
      <w:r>
        <w:t>only</w:t>
      </w:r>
      <w:r>
        <w:rPr>
          <w:spacing w:val="-6"/>
        </w:rPr>
        <w:t xml:space="preserve"> </w:t>
      </w:r>
      <w:r>
        <w:t>could</w:t>
      </w:r>
      <w:r>
        <w:rPr>
          <w:spacing w:val="-8"/>
        </w:rPr>
        <w:t xml:space="preserve"> </w:t>
      </w:r>
      <w:r>
        <w:t>not</w:t>
      </w:r>
      <w:r>
        <w:rPr>
          <w:spacing w:val="-4"/>
        </w:rPr>
        <w:t xml:space="preserve"> </w:t>
      </w:r>
      <w:r>
        <w:t>reasonably</w:t>
      </w:r>
      <w:r>
        <w:rPr>
          <w:spacing w:val="-6"/>
        </w:rPr>
        <w:t xml:space="preserve"> </w:t>
      </w:r>
      <w:r>
        <w:t>reflect the production and sales costs of the product under investigation and like products, so the Investigating Authority could not</w:t>
      </w:r>
      <w:r>
        <w:rPr>
          <w:spacing w:val="-1"/>
        </w:rPr>
        <w:t xml:space="preserve"> </w:t>
      </w:r>
      <w:r>
        <w:t xml:space="preserve">calculate normal value based on the costs reported by the </w:t>
      </w:r>
      <w:r>
        <w:rPr>
          <w:spacing w:val="-2"/>
        </w:rPr>
        <w:t>Company.</w:t>
      </w:r>
      <w:hyperlink w:anchor="_bookmark538" w:history="1">
        <w:r>
          <w:rPr>
            <w:spacing w:val="-2"/>
            <w:vertAlign w:val="superscript"/>
          </w:rPr>
          <w:t>444</w:t>
        </w:r>
      </w:hyperlink>
    </w:p>
    <w:p w14:paraId="382B5171" w14:textId="77777777" w:rsidR="00BD462C" w:rsidRDefault="00BD462C">
      <w:pPr>
        <w:pStyle w:val="BodyText"/>
        <w:spacing w:before="4"/>
        <w:rPr>
          <w:sz w:val="15"/>
        </w:rPr>
      </w:pPr>
    </w:p>
    <w:p w14:paraId="70E02A33" w14:textId="6A67256C" w:rsidR="00BD462C" w:rsidRDefault="00033D0F" w:rsidP="00DA02D9">
      <w:pPr>
        <w:pStyle w:val="BodyText"/>
        <w:numPr>
          <w:ilvl w:val="0"/>
          <w:numId w:val="71"/>
        </w:numPr>
        <w:spacing w:before="56" w:line="360" w:lineRule="auto"/>
        <w:ind w:right="913"/>
        <w:jc w:val="both"/>
      </w:pPr>
      <w:r>
        <w:rPr>
          <w:position w:val="1"/>
        </w:rPr>
        <w:t>MOFCOM's</w:t>
      </w:r>
      <w:r>
        <w:rPr>
          <w:spacing w:val="-14"/>
          <w:position w:val="1"/>
        </w:rPr>
        <w:t xml:space="preserve"> </w:t>
      </w:r>
      <w:r>
        <w:rPr>
          <w:position w:val="1"/>
        </w:rPr>
        <w:t>finding</w:t>
      </w:r>
      <w:r>
        <w:rPr>
          <w:spacing w:val="-14"/>
          <w:position w:val="1"/>
        </w:rPr>
        <w:t xml:space="preserve"> </w:t>
      </w:r>
      <w:r>
        <w:rPr>
          <w:position w:val="1"/>
        </w:rPr>
        <w:t>does</w:t>
      </w:r>
      <w:r>
        <w:rPr>
          <w:spacing w:val="-13"/>
          <w:position w:val="1"/>
        </w:rPr>
        <w:t xml:space="preserve"> </w:t>
      </w:r>
      <w:r>
        <w:rPr>
          <w:position w:val="1"/>
        </w:rPr>
        <w:t>not</w:t>
      </w:r>
      <w:r>
        <w:rPr>
          <w:spacing w:val="-14"/>
          <w:position w:val="1"/>
        </w:rPr>
        <w:t xml:space="preserve"> </w:t>
      </w:r>
      <w:r>
        <w:rPr>
          <w:position w:val="1"/>
        </w:rPr>
        <w:t>exclude</w:t>
      </w:r>
      <w:r>
        <w:rPr>
          <w:spacing w:val="-13"/>
          <w:position w:val="1"/>
        </w:rPr>
        <w:t xml:space="preserve"> </w:t>
      </w:r>
      <w:r>
        <w:rPr>
          <w:position w:val="1"/>
        </w:rPr>
        <w:t>the</w:t>
      </w:r>
      <w:r>
        <w:rPr>
          <w:spacing w:val="-12"/>
          <w:position w:val="1"/>
        </w:rPr>
        <w:t xml:space="preserve"> </w:t>
      </w:r>
      <w:r>
        <w:rPr>
          <w:position w:val="1"/>
        </w:rPr>
        <w:t>possibility</w:t>
      </w:r>
      <w:r>
        <w:rPr>
          <w:spacing w:val="-14"/>
          <w:position w:val="1"/>
        </w:rPr>
        <w:t xml:space="preserve"> </w:t>
      </w:r>
      <w:r>
        <w:rPr>
          <w:position w:val="1"/>
        </w:rPr>
        <w:t>that</w:t>
      </w:r>
      <w:r>
        <w:rPr>
          <w:spacing w:val="-14"/>
          <w:position w:val="1"/>
        </w:rPr>
        <w:t xml:space="preserve"> </w:t>
      </w:r>
      <w:r>
        <w:rPr>
          <w:position w:val="1"/>
        </w:rPr>
        <w:t>Swan</w:t>
      </w:r>
      <w:r>
        <w:rPr>
          <w:spacing w:val="-12"/>
          <w:position w:val="1"/>
        </w:rPr>
        <w:t xml:space="preserve"> </w:t>
      </w:r>
      <w:r>
        <w:rPr>
          <w:position w:val="1"/>
        </w:rPr>
        <w:t>Vintage</w:t>
      </w:r>
      <w:r>
        <w:rPr>
          <w:spacing w:val="-14"/>
          <w:position w:val="1"/>
        </w:rPr>
        <w:t xml:space="preserve"> </w:t>
      </w:r>
      <w:r>
        <w:rPr>
          <w:position w:val="1"/>
        </w:rPr>
        <w:t>submitted</w:t>
      </w:r>
      <w:r>
        <w:rPr>
          <w:spacing w:val="-14"/>
          <w:position w:val="1"/>
        </w:rPr>
        <w:t xml:space="preserve"> </w:t>
      </w:r>
      <w:r>
        <w:rPr>
          <w:position w:val="1"/>
        </w:rPr>
        <w:t xml:space="preserve">both </w:t>
      </w:r>
      <w:r>
        <w:t>cost</w:t>
      </w:r>
      <w:r>
        <w:rPr>
          <w:spacing w:val="-2"/>
        </w:rPr>
        <w:t xml:space="preserve"> </w:t>
      </w:r>
      <w:r>
        <w:t>of production and export</w:t>
      </w:r>
      <w:r>
        <w:rPr>
          <w:spacing w:val="-2"/>
        </w:rPr>
        <w:t xml:space="preserve"> </w:t>
      </w:r>
      <w:r>
        <w:t>price</w:t>
      </w:r>
      <w:r>
        <w:rPr>
          <w:spacing w:val="-2"/>
        </w:rPr>
        <w:t xml:space="preserve"> </w:t>
      </w:r>
      <w:r>
        <w:t>evidence</w:t>
      </w:r>
      <w:r>
        <w:rPr>
          <w:spacing w:val="-2"/>
        </w:rPr>
        <w:t xml:space="preserve"> </w:t>
      </w:r>
      <w:r>
        <w:t>in compatible</w:t>
      </w:r>
      <w:r>
        <w:rPr>
          <w:spacing w:val="-2"/>
        </w:rPr>
        <w:t xml:space="preserve"> </w:t>
      </w:r>
      <w:r>
        <w:t>formats, that, contrary</w:t>
      </w:r>
      <w:r>
        <w:rPr>
          <w:spacing w:val="-1"/>
        </w:rPr>
        <w:t xml:space="preserve"> </w:t>
      </w:r>
      <w:r>
        <w:t>to</w:t>
      </w:r>
      <w:r>
        <w:rPr>
          <w:spacing w:val="-5"/>
        </w:rPr>
        <w:t xml:space="preserve"> </w:t>
      </w:r>
      <w:r>
        <w:t xml:space="preserve">China's assertion, in fact did allow comparison and calculation of normal value. However, MOFCOM did not record the reasons for its assessment. Hence, there is no evidence on the record of the reasons for this finding or the accompanying circumstances. China has also failed to adduce any other record evidence supporting its </w:t>
      </w:r>
      <w:r>
        <w:rPr>
          <w:i/>
        </w:rPr>
        <w:t xml:space="preserve">ex post facto </w:t>
      </w:r>
      <w:r>
        <w:t>claims in this regard.</w:t>
      </w:r>
    </w:p>
    <w:p w14:paraId="62BFD1AC" w14:textId="77777777" w:rsidR="00BD462C" w:rsidRDefault="00BD462C">
      <w:pPr>
        <w:pStyle w:val="BodyText"/>
        <w:spacing w:before="8"/>
        <w:rPr>
          <w:sz w:val="8"/>
        </w:rPr>
      </w:pPr>
    </w:p>
    <w:p w14:paraId="73DBAA18" w14:textId="41EEF55B" w:rsidR="00BD462C" w:rsidRDefault="00033D0F" w:rsidP="00DA02D9">
      <w:pPr>
        <w:pStyle w:val="BodyText"/>
        <w:numPr>
          <w:ilvl w:val="0"/>
          <w:numId w:val="71"/>
        </w:numPr>
        <w:spacing w:before="56" w:line="360" w:lineRule="auto"/>
        <w:ind w:right="911"/>
        <w:jc w:val="both"/>
      </w:pPr>
      <w:r>
        <w:rPr>
          <w:position w:val="1"/>
        </w:rPr>
        <w:t xml:space="preserve">In its response to Panel question No. 6, China sought to rely on a domestic law </w:t>
      </w:r>
      <w:r>
        <w:t>prohibition</w:t>
      </w:r>
      <w:r>
        <w:rPr>
          <w:spacing w:val="-14"/>
        </w:rPr>
        <w:t xml:space="preserve"> </w:t>
      </w:r>
      <w:r>
        <w:t>on</w:t>
      </w:r>
      <w:r>
        <w:rPr>
          <w:spacing w:val="-9"/>
        </w:rPr>
        <w:t xml:space="preserve"> </w:t>
      </w:r>
      <w:r>
        <w:t>disclosure</w:t>
      </w:r>
      <w:r>
        <w:rPr>
          <w:spacing w:val="-12"/>
        </w:rPr>
        <w:t xml:space="preserve"> </w:t>
      </w:r>
      <w:r>
        <w:t>of</w:t>
      </w:r>
      <w:r>
        <w:rPr>
          <w:spacing w:val="-14"/>
        </w:rPr>
        <w:t xml:space="preserve"> </w:t>
      </w:r>
      <w:r>
        <w:t>certain</w:t>
      </w:r>
      <w:r>
        <w:rPr>
          <w:spacing w:val="-14"/>
        </w:rPr>
        <w:t xml:space="preserve"> </w:t>
      </w:r>
      <w:r>
        <w:t>confidential</w:t>
      </w:r>
      <w:r>
        <w:rPr>
          <w:spacing w:val="-9"/>
        </w:rPr>
        <w:t xml:space="preserve"> </w:t>
      </w:r>
      <w:r>
        <w:t>documents</w:t>
      </w:r>
      <w:r>
        <w:rPr>
          <w:spacing w:val="-10"/>
        </w:rPr>
        <w:t xml:space="preserve"> </w:t>
      </w:r>
      <w:r>
        <w:t>to</w:t>
      </w:r>
      <w:r>
        <w:rPr>
          <w:spacing w:val="-14"/>
        </w:rPr>
        <w:t xml:space="preserve"> </w:t>
      </w:r>
      <w:r>
        <w:t>excuse</w:t>
      </w:r>
      <w:r>
        <w:rPr>
          <w:spacing w:val="-12"/>
        </w:rPr>
        <w:t xml:space="preserve"> </w:t>
      </w:r>
      <w:r>
        <w:t>its</w:t>
      </w:r>
      <w:r>
        <w:rPr>
          <w:spacing w:val="-10"/>
        </w:rPr>
        <w:t xml:space="preserve"> </w:t>
      </w:r>
      <w:r>
        <w:t>failure</w:t>
      </w:r>
      <w:r>
        <w:rPr>
          <w:spacing w:val="-12"/>
        </w:rPr>
        <w:t xml:space="preserve"> </w:t>
      </w:r>
      <w:r>
        <w:t>to</w:t>
      </w:r>
      <w:r>
        <w:rPr>
          <w:spacing w:val="-14"/>
        </w:rPr>
        <w:t xml:space="preserve"> </w:t>
      </w:r>
      <w:r>
        <w:t>provide</w:t>
      </w:r>
      <w:r>
        <w:rPr>
          <w:spacing w:val="-12"/>
        </w:rPr>
        <w:t xml:space="preserve"> </w:t>
      </w:r>
      <w:r>
        <w:t xml:space="preserve">this evidence to the Panel in spite of a direct request to do so. As established at section </w:t>
      </w:r>
      <w:hyperlink w:anchor="_bookmark115" w:history="1">
        <w:r>
          <w:t>II.E</w:t>
        </w:r>
      </w:hyperlink>
      <w:r>
        <w:t xml:space="preserve">, Australia submits that in absence of supporting record evidence, China's assertions in this regard may not be accepted. </w:t>
      </w:r>
      <w:hyperlink w:anchor="_bookmark539" w:history="1">
        <w:r>
          <w:rPr>
            <w:vertAlign w:val="superscript"/>
          </w:rPr>
          <w:t>445</w:t>
        </w:r>
      </w:hyperlink>
    </w:p>
    <w:p w14:paraId="4D19492A" w14:textId="77777777" w:rsidR="00BD462C" w:rsidRDefault="00BD462C">
      <w:pPr>
        <w:pStyle w:val="BodyText"/>
        <w:spacing w:before="5"/>
        <w:rPr>
          <w:sz w:val="8"/>
        </w:rPr>
      </w:pPr>
    </w:p>
    <w:p w14:paraId="5E18A034" w14:textId="00CF24E2" w:rsidR="00BD462C" w:rsidRDefault="00033D0F" w:rsidP="00DA02D9">
      <w:pPr>
        <w:pStyle w:val="BodyText"/>
        <w:numPr>
          <w:ilvl w:val="0"/>
          <w:numId w:val="71"/>
        </w:numPr>
        <w:spacing w:before="57" w:line="360" w:lineRule="auto"/>
        <w:ind w:right="912"/>
        <w:jc w:val="both"/>
      </w:pPr>
      <w:r>
        <w:rPr>
          <w:position w:val="1"/>
        </w:rPr>
        <w:t xml:space="preserve">Second, China argues that a related supplier of pressing services and bulk wine did </w:t>
      </w:r>
      <w:r>
        <w:t>not</w:t>
      </w:r>
      <w:r>
        <w:rPr>
          <w:spacing w:val="-14"/>
        </w:rPr>
        <w:t xml:space="preserve"> </w:t>
      </w:r>
      <w:r>
        <w:t>provide</w:t>
      </w:r>
      <w:r>
        <w:rPr>
          <w:spacing w:val="-4"/>
        </w:rPr>
        <w:t xml:space="preserve"> </w:t>
      </w:r>
      <w:r>
        <w:t>a complete reply to</w:t>
      </w:r>
      <w:r>
        <w:rPr>
          <w:spacing w:val="-2"/>
        </w:rPr>
        <w:t xml:space="preserve"> </w:t>
      </w:r>
      <w:r>
        <w:t>the questionnaire,</w:t>
      </w:r>
      <w:r>
        <w:rPr>
          <w:spacing w:val="-14"/>
        </w:rPr>
        <w:t xml:space="preserve"> </w:t>
      </w:r>
      <w:hyperlink w:anchor="_bookmark540" w:history="1">
        <w:r>
          <w:rPr>
            <w:vertAlign w:val="superscript"/>
          </w:rPr>
          <w:t>446</w:t>
        </w:r>
      </w:hyperlink>
      <w:r>
        <w:t xml:space="preserve"> and</w:t>
      </w:r>
      <w:r>
        <w:rPr>
          <w:spacing w:val="-1"/>
        </w:rPr>
        <w:t xml:space="preserve"> </w:t>
      </w:r>
      <w:r>
        <w:t>that that this justified</w:t>
      </w:r>
      <w:r>
        <w:rPr>
          <w:spacing w:val="-1"/>
        </w:rPr>
        <w:t xml:space="preserve"> </w:t>
      </w:r>
      <w:r>
        <w:t>MOFCOM</w:t>
      </w:r>
      <w:r>
        <w:rPr>
          <w:spacing w:val="-4"/>
        </w:rPr>
        <w:t xml:space="preserve"> </w:t>
      </w:r>
      <w:r>
        <w:t>in discarding Swan</w:t>
      </w:r>
      <w:r>
        <w:rPr>
          <w:spacing w:val="-3"/>
        </w:rPr>
        <w:t xml:space="preserve"> </w:t>
      </w:r>
      <w:r>
        <w:t>Vintage's cost</w:t>
      </w:r>
      <w:r>
        <w:rPr>
          <w:spacing w:val="-1"/>
        </w:rPr>
        <w:t xml:space="preserve"> </w:t>
      </w:r>
      <w:r>
        <w:t>of production</w:t>
      </w:r>
      <w:r>
        <w:rPr>
          <w:spacing w:val="-3"/>
        </w:rPr>
        <w:t xml:space="preserve"> </w:t>
      </w:r>
      <w:r>
        <w:t>data. The</w:t>
      </w:r>
      <w:r>
        <w:rPr>
          <w:spacing w:val="-1"/>
        </w:rPr>
        <w:t xml:space="preserve"> </w:t>
      </w:r>
      <w:r>
        <w:t>totality of</w:t>
      </w:r>
      <w:r>
        <w:rPr>
          <w:spacing w:val="-3"/>
        </w:rPr>
        <w:t xml:space="preserve"> </w:t>
      </w:r>
      <w:r>
        <w:t>MOFCOM's findings on</w:t>
      </w:r>
      <w:r>
        <w:rPr>
          <w:spacing w:val="-3"/>
        </w:rPr>
        <w:t xml:space="preserve"> </w:t>
      </w:r>
      <w:r>
        <w:t>this issue were:</w:t>
      </w:r>
    </w:p>
    <w:p w14:paraId="71C6E3D2" w14:textId="77777777" w:rsidR="00BD462C" w:rsidRDefault="00033D0F">
      <w:pPr>
        <w:spacing w:before="157" w:line="273" w:lineRule="auto"/>
        <w:ind w:left="985" w:right="916"/>
        <w:jc w:val="both"/>
      </w:pPr>
      <w:r>
        <w:t>One of the press companies filled in response but just reported overall data and did not provide</w:t>
      </w:r>
      <w:r>
        <w:rPr>
          <w:spacing w:val="-13"/>
        </w:rPr>
        <w:t xml:space="preserve"> </w:t>
      </w:r>
      <w:r>
        <w:t>detailed</w:t>
      </w:r>
      <w:r>
        <w:rPr>
          <w:spacing w:val="-12"/>
        </w:rPr>
        <w:t xml:space="preserve"> </w:t>
      </w:r>
      <w:r>
        <w:t>costs</w:t>
      </w:r>
      <w:r>
        <w:rPr>
          <w:spacing w:val="-13"/>
        </w:rPr>
        <w:t xml:space="preserve"> </w:t>
      </w:r>
      <w:r>
        <w:t>in</w:t>
      </w:r>
      <w:r>
        <w:rPr>
          <w:spacing w:val="-8"/>
        </w:rPr>
        <w:t xml:space="preserve"> </w:t>
      </w:r>
      <w:r>
        <w:t>accordance</w:t>
      </w:r>
      <w:r>
        <w:rPr>
          <w:spacing w:val="-7"/>
        </w:rPr>
        <w:t xml:space="preserve"> </w:t>
      </w:r>
      <w:r>
        <w:t>with</w:t>
      </w:r>
      <w:r>
        <w:rPr>
          <w:spacing w:val="-9"/>
        </w:rPr>
        <w:t xml:space="preserve"> </w:t>
      </w:r>
      <w:r>
        <w:t>the</w:t>
      </w:r>
      <w:r>
        <w:rPr>
          <w:spacing w:val="-12"/>
        </w:rPr>
        <w:t xml:space="preserve"> </w:t>
      </w:r>
      <w:r>
        <w:t>requirements</w:t>
      </w:r>
      <w:r>
        <w:rPr>
          <w:spacing w:val="-13"/>
        </w:rPr>
        <w:t xml:space="preserve"> </w:t>
      </w:r>
      <w:r>
        <w:t>of</w:t>
      </w:r>
      <w:r>
        <w:rPr>
          <w:spacing w:val="-7"/>
        </w:rPr>
        <w:t xml:space="preserve"> </w:t>
      </w:r>
      <w:r>
        <w:t>the</w:t>
      </w:r>
      <w:r>
        <w:rPr>
          <w:spacing w:val="-7"/>
        </w:rPr>
        <w:t xml:space="preserve"> </w:t>
      </w:r>
      <w:r>
        <w:t>questionnaire;</w:t>
      </w:r>
      <w:r>
        <w:rPr>
          <w:spacing w:val="-13"/>
        </w:rPr>
        <w:t xml:space="preserve"> </w:t>
      </w:r>
      <w:r>
        <w:t>other</w:t>
      </w:r>
      <w:r>
        <w:rPr>
          <w:spacing w:val="-12"/>
        </w:rPr>
        <w:t xml:space="preserve"> </w:t>
      </w:r>
      <w:r>
        <w:t>press and filling companies did not respond to the questionnaire.</w:t>
      </w:r>
      <w:hyperlink w:anchor="_bookmark541" w:history="1">
        <w:r>
          <w:rPr>
            <w:vertAlign w:val="superscript"/>
          </w:rPr>
          <w:t>447</w:t>
        </w:r>
      </w:hyperlink>
    </w:p>
    <w:p w14:paraId="761EF5EF" w14:textId="77777777" w:rsidR="00BD462C" w:rsidRDefault="00BD462C">
      <w:pPr>
        <w:pStyle w:val="BodyText"/>
        <w:spacing w:before="1"/>
        <w:rPr>
          <w:sz w:val="16"/>
        </w:rPr>
      </w:pPr>
    </w:p>
    <w:p w14:paraId="1B9B0F59" w14:textId="703354FB" w:rsidR="00BD462C" w:rsidRPr="00493811" w:rsidRDefault="00033D0F" w:rsidP="00DA02D9">
      <w:pPr>
        <w:pStyle w:val="BodyText"/>
        <w:numPr>
          <w:ilvl w:val="0"/>
          <w:numId w:val="71"/>
        </w:numPr>
        <w:spacing w:before="56" w:line="355" w:lineRule="auto"/>
        <w:ind w:right="910"/>
      </w:pPr>
      <w:r>
        <w:rPr>
          <w:position w:val="1"/>
        </w:rPr>
        <w:t>In</w:t>
      </w:r>
      <w:r>
        <w:rPr>
          <w:spacing w:val="34"/>
          <w:position w:val="1"/>
        </w:rPr>
        <w:t xml:space="preserve"> </w:t>
      </w:r>
      <w:r>
        <w:rPr>
          <w:position w:val="1"/>
        </w:rPr>
        <w:t>this</w:t>
      </w:r>
      <w:r>
        <w:rPr>
          <w:spacing w:val="37"/>
          <w:position w:val="1"/>
        </w:rPr>
        <w:t xml:space="preserve"> </w:t>
      </w:r>
      <w:r>
        <w:rPr>
          <w:position w:val="1"/>
        </w:rPr>
        <w:t>passage,</w:t>
      </w:r>
      <w:r>
        <w:rPr>
          <w:spacing w:val="38"/>
          <w:position w:val="1"/>
        </w:rPr>
        <w:t xml:space="preserve"> </w:t>
      </w:r>
      <w:r>
        <w:rPr>
          <w:position w:val="1"/>
        </w:rPr>
        <w:t>MOFCOM</w:t>
      </w:r>
      <w:r>
        <w:rPr>
          <w:spacing w:val="36"/>
          <w:position w:val="1"/>
        </w:rPr>
        <w:t xml:space="preserve"> </w:t>
      </w:r>
      <w:r>
        <w:rPr>
          <w:position w:val="1"/>
        </w:rPr>
        <w:t>observes</w:t>
      </w:r>
      <w:r>
        <w:rPr>
          <w:spacing w:val="37"/>
          <w:position w:val="1"/>
        </w:rPr>
        <w:t xml:space="preserve"> </w:t>
      </w:r>
      <w:r>
        <w:rPr>
          <w:position w:val="1"/>
        </w:rPr>
        <w:t>that</w:t>
      </w:r>
      <w:r>
        <w:rPr>
          <w:spacing w:val="36"/>
          <w:position w:val="1"/>
        </w:rPr>
        <w:t xml:space="preserve"> </w:t>
      </w:r>
      <w:r>
        <w:rPr>
          <w:position w:val="1"/>
        </w:rPr>
        <w:t>an</w:t>
      </w:r>
      <w:r>
        <w:rPr>
          <w:spacing w:val="34"/>
          <w:position w:val="1"/>
        </w:rPr>
        <w:t xml:space="preserve"> </w:t>
      </w:r>
      <w:r>
        <w:rPr>
          <w:position w:val="1"/>
        </w:rPr>
        <w:t>unidentified</w:t>
      </w:r>
      <w:r>
        <w:rPr>
          <w:spacing w:val="34"/>
          <w:position w:val="1"/>
        </w:rPr>
        <w:t xml:space="preserve"> </w:t>
      </w:r>
      <w:r>
        <w:rPr>
          <w:position w:val="1"/>
        </w:rPr>
        <w:t>service</w:t>
      </w:r>
      <w:r>
        <w:rPr>
          <w:spacing w:val="36"/>
          <w:position w:val="1"/>
        </w:rPr>
        <w:t xml:space="preserve"> </w:t>
      </w:r>
      <w:r>
        <w:rPr>
          <w:position w:val="1"/>
        </w:rPr>
        <w:t>provider</w:t>
      </w:r>
      <w:r>
        <w:rPr>
          <w:spacing w:val="33"/>
          <w:position w:val="1"/>
        </w:rPr>
        <w:t xml:space="preserve"> </w:t>
      </w:r>
      <w:r>
        <w:rPr>
          <w:position w:val="1"/>
        </w:rPr>
        <w:t>did</w:t>
      </w:r>
      <w:r>
        <w:rPr>
          <w:spacing w:val="34"/>
          <w:position w:val="1"/>
        </w:rPr>
        <w:t xml:space="preserve"> </w:t>
      </w:r>
      <w:r>
        <w:rPr>
          <w:position w:val="1"/>
        </w:rPr>
        <w:t xml:space="preserve">not </w:t>
      </w:r>
      <w:r>
        <w:t>provide</w:t>
      </w:r>
      <w:r>
        <w:rPr>
          <w:spacing w:val="57"/>
        </w:rPr>
        <w:t xml:space="preserve"> </w:t>
      </w:r>
      <w:r>
        <w:t>all</w:t>
      </w:r>
      <w:r>
        <w:rPr>
          <w:spacing w:val="61"/>
        </w:rPr>
        <w:t xml:space="preserve"> </w:t>
      </w:r>
      <w:r>
        <w:t>of</w:t>
      </w:r>
      <w:r>
        <w:rPr>
          <w:spacing w:val="57"/>
        </w:rPr>
        <w:t xml:space="preserve"> </w:t>
      </w:r>
      <w:r>
        <w:t>the</w:t>
      </w:r>
      <w:r>
        <w:rPr>
          <w:spacing w:val="54"/>
        </w:rPr>
        <w:t xml:space="preserve"> </w:t>
      </w:r>
      <w:r>
        <w:t>information</w:t>
      </w:r>
      <w:r>
        <w:rPr>
          <w:spacing w:val="57"/>
        </w:rPr>
        <w:t xml:space="preserve"> </w:t>
      </w:r>
      <w:r>
        <w:t>requested.</w:t>
      </w:r>
      <w:r>
        <w:rPr>
          <w:spacing w:val="60"/>
        </w:rPr>
        <w:t xml:space="preserve"> </w:t>
      </w:r>
      <w:r>
        <w:t>No</w:t>
      </w:r>
      <w:r>
        <w:rPr>
          <w:spacing w:val="56"/>
        </w:rPr>
        <w:t xml:space="preserve"> </w:t>
      </w:r>
      <w:r>
        <w:t>further</w:t>
      </w:r>
      <w:r>
        <w:rPr>
          <w:spacing w:val="56"/>
        </w:rPr>
        <w:t xml:space="preserve"> </w:t>
      </w:r>
      <w:r>
        <w:t>analysis</w:t>
      </w:r>
      <w:r>
        <w:rPr>
          <w:spacing w:val="60"/>
        </w:rPr>
        <w:t xml:space="preserve"> </w:t>
      </w:r>
      <w:r>
        <w:t>or</w:t>
      </w:r>
      <w:r>
        <w:rPr>
          <w:spacing w:val="56"/>
        </w:rPr>
        <w:t xml:space="preserve"> </w:t>
      </w:r>
      <w:r>
        <w:t>reasoning</w:t>
      </w:r>
      <w:r>
        <w:rPr>
          <w:spacing w:val="55"/>
        </w:rPr>
        <w:t xml:space="preserve"> </w:t>
      </w:r>
      <w:r>
        <w:t>is</w:t>
      </w:r>
      <w:r>
        <w:rPr>
          <w:spacing w:val="61"/>
        </w:rPr>
        <w:t xml:space="preserve"> </w:t>
      </w:r>
      <w:r>
        <w:rPr>
          <w:spacing w:val="-2"/>
        </w:rPr>
        <w:t>provided.</w:t>
      </w:r>
    </w:p>
    <w:p w14:paraId="26A89443" w14:textId="459ED259" w:rsidR="00BD462C" w:rsidRDefault="00E14314">
      <w:pPr>
        <w:pStyle w:val="BodyText"/>
        <w:spacing w:before="1"/>
        <w:rPr>
          <w:sz w:val="13"/>
        </w:rPr>
      </w:pPr>
      <w:r>
        <w:rPr>
          <w:noProof/>
        </w:rPr>
        <mc:AlternateContent>
          <mc:Choice Requires="wps">
            <w:drawing>
              <wp:anchor distT="0" distB="0" distL="0" distR="0" simplePos="0" relativeHeight="488047104" behindDoc="1" locked="0" layoutInCell="1" allowOverlap="1" wp14:anchorId="78F87DC4" wp14:editId="15DA08C6">
                <wp:simplePos x="0" y="0"/>
                <wp:positionH relativeFrom="page">
                  <wp:posOffset>812800</wp:posOffset>
                </wp:positionH>
                <wp:positionV relativeFrom="paragraph">
                  <wp:posOffset>102870</wp:posOffset>
                </wp:positionV>
                <wp:extent cx="1828800" cy="8890"/>
                <wp:effectExtent l="0" t="0" r="0" b="0"/>
                <wp:wrapTopAndBottom/>
                <wp:docPr id="23" name="docshape2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6533D1" id="docshape267" o:spid="_x0000_s1026" alt="&quot;&quot;" style="position:absolute;margin-left:64pt;margin-top:8.1pt;width:2in;height:.7pt;z-index:-15269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" fillcolor="black" stroked="f">
                <w10:wrap type="topAndBottom" anchorx="page"/>
              </v:rect>
            </w:pict>
          </mc:Fallback>
        </mc:AlternateContent>
      </w:r>
    </w:p>
    <w:p w14:paraId="2C4C9A65" w14:textId="77777777" w:rsidR="00BD462C" w:rsidRPr="00493811" w:rsidRDefault="00033D0F">
      <w:pPr>
        <w:spacing w:before="112"/>
        <w:ind w:left="136" w:right="909" w:hanging="1"/>
        <w:jc w:val="both"/>
        <w:rPr>
          <w:sz w:val="14"/>
          <w:szCs w:val="14"/>
        </w:rPr>
      </w:pPr>
      <w:r w:rsidRPr="00493811">
        <w:rPr>
          <w:position w:val="5"/>
          <w:sz w:val="14"/>
          <w:szCs w:val="14"/>
        </w:rPr>
        <w:t>444</w:t>
      </w:r>
      <w:r w:rsidRPr="00493811">
        <w:rPr>
          <w:spacing w:val="40"/>
          <w:position w:val="5"/>
          <w:sz w:val="14"/>
          <w:szCs w:val="14"/>
        </w:rPr>
        <w:t xml:space="preserve"> </w:t>
      </w:r>
      <w:r w:rsidRPr="00493811">
        <w:rPr>
          <w:sz w:val="14"/>
          <w:szCs w:val="14"/>
        </w:rPr>
        <w:t>China's</w:t>
      </w:r>
      <w:r w:rsidRPr="00493811">
        <w:rPr>
          <w:spacing w:val="40"/>
          <w:sz w:val="14"/>
          <w:szCs w:val="14"/>
        </w:rPr>
        <w:t xml:space="preserve"> </w:t>
      </w:r>
      <w:r w:rsidRPr="00493811">
        <w:rPr>
          <w:sz w:val="14"/>
          <w:szCs w:val="14"/>
        </w:rPr>
        <w:t>first</w:t>
      </w:r>
      <w:r w:rsidRPr="00493811">
        <w:rPr>
          <w:spacing w:val="40"/>
          <w:sz w:val="14"/>
          <w:szCs w:val="14"/>
        </w:rPr>
        <w:t xml:space="preserve"> </w:t>
      </w:r>
      <w:r w:rsidRPr="00493811">
        <w:rPr>
          <w:sz w:val="14"/>
          <w:szCs w:val="14"/>
        </w:rPr>
        <w:t>written</w:t>
      </w:r>
      <w:r w:rsidRPr="00493811">
        <w:rPr>
          <w:spacing w:val="40"/>
          <w:sz w:val="14"/>
          <w:szCs w:val="14"/>
        </w:rPr>
        <w:t xml:space="preserve"> </w:t>
      </w:r>
      <w:r w:rsidRPr="00493811">
        <w:rPr>
          <w:sz w:val="14"/>
          <w:szCs w:val="14"/>
        </w:rPr>
        <w:t>submission,</w:t>
      </w:r>
      <w:r w:rsidRPr="00493811">
        <w:rPr>
          <w:spacing w:val="40"/>
          <w:sz w:val="14"/>
          <w:szCs w:val="14"/>
        </w:rPr>
        <w:t xml:space="preserve"> </w:t>
      </w:r>
      <w:r w:rsidRPr="00493811">
        <w:rPr>
          <w:sz w:val="14"/>
          <w:szCs w:val="14"/>
        </w:rPr>
        <w:t>para.</w:t>
      </w:r>
      <w:r w:rsidRPr="00493811">
        <w:rPr>
          <w:spacing w:val="40"/>
          <w:sz w:val="14"/>
          <w:szCs w:val="14"/>
        </w:rPr>
        <w:t xml:space="preserve"> </w:t>
      </w:r>
      <w:r w:rsidRPr="00493811">
        <w:rPr>
          <w:sz w:val="14"/>
          <w:szCs w:val="14"/>
        </w:rPr>
        <w:t>748,</w:t>
      </w:r>
      <w:r w:rsidRPr="00493811">
        <w:rPr>
          <w:spacing w:val="40"/>
          <w:sz w:val="14"/>
          <w:szCs w:val="14"/>
        </w:rPr>
        <w:t xml:space="preserve"> </w:t>
      </w:r>
      <w:r w:rsidRPr="00493811">
        <w:rPr>
          <w:sz w:val="14"/>
          <w:szCs w:val="14"/>
        </w:rPr>
        <w:t>quoting</w:t>
      </w:r>
      <w:r w:rsidRPr="00493811">
        <w:rPr>
          <w:spacing w:val="40"/>
          <w:sz w:val="14"/>
          <w:szCs w:val="14"/>
        </w:rPr>
        <w:t xml:space="preserve"> </w:t>
      </w:r>
      <w:r w:rsidRPr="00493811">
        <w:rPr>
          <w:sz w:val="14"/>
          <w:szCs w:val="14"/>
        </w:rPr>
        <w:t>(but</w:t>
      </w:r>
      <w:r w:rsidRPr="00493811">
        <w:rPr>
          <w:spacing w:val="40"/>
          <w:sz w:val="14"/>
          <w:szCs w:val="14"/>
        </w:rPr>
        <w:t xml:space="preserve"> </w:t>
      </w:r>
      <w:r w:rsidRPr="00493811">
        <w:rPr>
          <w:sz w:val="14"/>
          <w:szCs w:val="14"/>
        </w:rPr>
        <w:t>without</w:t>
      </w:r>
      <w:r w:rsidRPr="00493811">
        <w:rPr>
          <w:spacing w:val="40"/>
          <w:sz w:val="14"/>
          <w:szCs w:val="14"/>
        </w:rPr>
        <w:t xml:space="preserve"> </w:t>
      </w:r>
      <w:r w:rsidRPr="00493811">
        <w:rPr>
          <w:sz w:val="14"/>
          <w:szCs w:val="14"/>
        </w:rPr>
        <w:t>citing)</w:t>
      </w:r>
      <w:r w:rsidRPr="00493811">
        <w:rPr>
          <w:spacing w:val="40"/>
          <w:sz w:val="14"/>
          <w:szCs w:val="14"/>
        </w:rPr>
        <w:t xml:space="preserve"> </w:t>
      </w:r>
      <w:r w:rsidRPr="00493811">
        <w:rPr>
          <w:sz w:val="14"/>
          <w:szCs w:val="14"/>
        </w:rPr>
        <w:t>the</w:t>
      </w:r>
      <w:r w:rsidRPr="00493811">
        <w:rPr>
          <w:spacing w:val="40"/>
          <w:sz w:val="14"/>
          <w:szCs w:val="14"/>
        </w:rPr>
        <w:t xml:space="preserve"> </w:t>
      </w:r>
      <w:r w:rsidRPr="00493811">
        <w:rPr>
          <w:sz w:val="14"/>
          <w:szCs w:val="14"/>
        </w:rPr>
        <w:t>Anti-Dumping</w:t>
      </w:r>
      <w:r w:rsidRPr="00493811">
        <w:rPr>
          <w:spacing w:val="40"/>
          <w:sz w:val="14"/>
          <w:szCs w:val="14"/>
        </w:rPr>
        <w:t xml:space="preserve"> </w:t>
      </w:r>
      <w:r w:rsidRPr="00493811">
        <w:rPr>
          <w:sz w:val="14"/>
          <w:szCs w:val="14"/>
        </w:rPr>
        <w:t>Final</w:t>
      </w:r>
      <w:r w:rsidRPr="00493811">
        <w:rPr>
          <w:spacing w:val="40"/>
          <w:sz w:val="14"/>
          <w:szCs w:val="14"/>
        </w:rPr>
        <w:t xml:space="preserve"> </w:t>
      </w:r>
      <w:r w:rsidRPr="00493811">
        <w:rPr>
          <w:sz w:val="14"/>
          <w:szCs w:val="14"/>
        </w:rPr>
        <w:t>Determination (Exhibit AUS-2), p. 90.</w:t>
      </w:r>
    </w:p>
    <w:p w14:paraId="11CBD62F" w14:textId="77777777" w:rsidR="00BD462C" w:rsidRPr="00493811" w:rsidRDefault="00033D0F">
      <w:pPr>
        <w:spacing w:line="242" w:lineRule="auto"/>
        <w:ind w:left="135" w:right="905"/>
        <w:jc w:val="both"/>
        <w:rPr>
          <w:sz w:val="14"/>
          <w:szCs w:val="14"/>
        </w:rPr>
      </w:pPr>
      <w:bookmarkStart w:id="628" w:name="_bookmark539"/>
      <w:bookmarkEnd w:id="628"/>
      <w:r w:rsidRPr="00493811">
        <w:rPr>
          <w:position w:val="5"/>
          <w:sz w:val="14"/>
          <w:szCs w:val="14"/>
        </w:rPr>
        <w:t>445</w:t>
      </w:r>
      <w:r w:rsidRPr="00493811">
        <w:rPr>
          <w:spacing w:val="40"/>
          <w:position w:val="5"/>
          <w:sz w:val="14"/>
          <w:szCs w:val="14"/>
        </w:rPr>
        <w:t xml:space="preserve"> </w:t>
      </w:r>
      <w:r w:rsidRPr="00493811">
        <w:rPr>
          <w:sz w:val="14"/>
          <w:szCs w:val="14"/>
        </w:rPr>
        <w:t xml:space="preserve">In its response to Panel question No. 6, China sought to rely on a domestic law prohibition on disclosure of certain confidential documents to excuse its failure to provide this evidence to the Panel in spite of a direct request to do so. The implications of this refusal are discussed in section </w:t>
      </w:r>
      <w:hyperlink w:anchor="_bookmark115" w:history="1">
        <w:r w:rsidRPr="00493811">
          <w:rPr>
            <w:sz w:val="14"/>
            <w:szCs w:val="14"/>
          </w:rPr>
          <w:t>II.E.</w:t>
        </w:r>
      </w:hyperlink>
    </w:p>
    <w:p w14:paraId="53E4731C" w14:textId="77777777" w:rsidR="00BD462C" w:rsidRPr="00493811" w:rsidRDefault="00033D0F">
      <w:pPr>
        <w:spacing w:line="216" w:lineRule="exact"/>
        <w:ind w:left="135"/>
        <w:jc w:val="both"/>
        <w:rPr>
          <w:sz w:val="14"/>
          <w:szCs w:val="14"/>
        </w:rPr>
      </w:pPr>
      <w:bookmarkStart w:id="629" w:name="_bookmark540"/>
      <w:bookmarkEnd w:id="629"/>
      <w:r w:rsidRPr="00493811">
        <w:rPr>
          <w:position w:val="5"/>
          <w:sz w:val="14"/>
          <w:szCs w:val="14"/>
        </w:rPr>
        <w:t>446</w:t>
      </w:r>
      <w:r w:rsidRPr="00493811">
        <w:rPr>
          <w:spacing w:val="11"/>
          <w:position w:val="5"/>
          <w:sz w:val="14"/>
          <w:szCs w:val="14"/>
        </w:rPr>
        <w:t xml:space="preserve"> </w:t>
      </w:r>
      <w:r w:rsidRPr="00493811">
        <w:rPr>
          <w:sz w:val="14"/>
          <w:szCs w:val="14"/>
        </w:rPr>
        <w:t>China's</w:t>
      </w:r>
      <w:r w:rsidRPr="00493811">
        <w:rPr>
          <w:spacing w:val="-7"/>
          <w:sz w:val="14"/>
          <w:szCs w:val="14"/>
        </w:rPr>
        <w:t xml:space="preserve"> </w:t>
      </w:r>
      <w:r w:rsidRPr="00493811">
        <w:rPr>
          <w:sz w:val="14"/>
          <w:szCs w:val="14"/>
        </w:rPr>
        <w:t>first</w:t>
      </w:r>
      <w:r w:rsidRPr="00493811">
        <w:rPr>
          <w:spacing w:val="-6"/>
          <w:sz w:val="14"/>
          <w:szCs w:val="14"/>
        </w:rPr>
        <w:t xml:space="preserve"> </w:t>
      </w:r>
      <w:r w:rsidRPr="00493811">
        <w:rPr>
          <w:sz w:val="14"/>
          <w:szCs w:val="14"/>
        </w:rPr>
        <w:t>written</w:t>
      </w:r>
      <w:r w:rsidRPr="00493811">
        <w:rPr>
          <w:spacing w:val="-8"/>
          <w:sz w:val="14"/>
          <w:szCs w:val="14"/>
        </w:rPr>
        <w:t xml:space="preserve"> </w:t>
      </w:r>
      <w:r w:rsidRPr="00493811">
        <w:rPr>
          <w:sz w:val="14"/>
          <w:szCs w:val="14"/>
        </w:rPr>
        <w:t>submission, paras.</w:t>
      </w:r>
      <w:r w:rsidRPr="00493811">
        <w:rPr>
          <w:spacing w:val="-5"/>
          <w:sz w:val="14"/>
          <w:szCs w:val="14"/>
        </w:rPr>
        <w:t xml:space="preserve"> </w:t>
      </w:r>
      <w:r w:rsidRPr="00493811">
        <w:rPr>
          <w:sz w:val="14"/>
          <w:szCs w:val="14"/>
        </w:rPr>
        <w:t>760,</w:t>
      </w:r>
      <w:r w:rsidRPr="00493811">
        <w:rPr>
          <w:spacing w:val="-6"/>
          <w:sz w:val="14"/>
          <w:szCs w:val="14"/>
        </w:rPr>
        <w:t xml:space="preserve"> </w:t>
      </w:r>
      <w:r w:rsidRPr="00493811">
        <w:rPr>
          <w:sz w:val="14"/>
          <w:szCs w:val="14"/>
        </w:rPr>
        <w:t>765, 768,</w:t>
      </w:r>
      <w:r w:rsidRPr="00493811">
        <w:rPr>
          <w:spacing w:val="-1"/>
          <w:sz w:val="14"/>
          <w:szCs w:val="14"/>
        </w:rPr>
        <w:t xml:space="preserve"> </w:t>
      </w:r>
      <w:r w:rsidRPr="00493811">
        <w:rPr>
          <w:sz w:val="14"/>
          <w:szCs w:val="14"/>
        </w:rPr>
        <w:t>770-</w:t>
      </w:r>
      <w:r w:rsidRPr="00493811">
        <w:rPr>
          <w:spacing w:val="-4"/>
          <w:sz w:val="14"/>
          <w:szCs w:val="14"/>
        </w:rPr>
        <w:t>773.</w:t>
      </w:r>
    </w:p>
    <w:p w14:paraId="7E20CF30" w14:textId="77777777" w:rsidR="00BD462C" w:rsidRPr="00493811" w:rsidRDefault="00033D0F">
      <w:pPr>
        <w:ind w:left="135"/>
        <w:jc w:val="both"/>
        <w:rPr>
          <w:sz w:val="14"/>
          <w:szCs w:val="14"/>
        </w:rPr>
      </w:pPr>
      <w:bookmarkStart w:id="630" w:name="_bookmark541"/>
      <w:bookmarkEnd w:id="630"/>
      <w:r w:rsidRPr="00493811">
        <w:rPr>
          <w:position w:val="5"/>
          <w:sz w:val="14"/>
          <w:szCs w:val="14"/>
        </w:rPr>
        <w:t>447</w:t>
      </w:r>
      <w:r w:rsidRPr="00493811">
        <w:rPr>
          <w:spacing w:val="11"/>
          <w:position w:val="5"/>
          <w:sz w:val="14"/>
          <w:szCs w:val="14"/>
        </w:rPr>
        <w:t xml:space="preserve"> </w:t>
      </w:r>
      <w:r w:rsidRPr="00493811">
        <w:rPr>
          <w:sz w:val="14"/>
          <w:szCs w:val="14"/>
        </w:rPr>
        <w:t>Anti-Dumping</w:t>
      </w:r>
      <w:r w:rsidRPr="00493811">
        <w:rPr>
          <w:spacing w:val="-7"/>
          <w:sz w:val="14"/>
          <w:szCs w:val="14"/>
        </w:rPr>
        <w:t xml:space="preserve"> </w:t>
      </w:r>
      <w:r w:rsidRPr="00493811">
        <w:rPr>
          <w:sz w:val="14"/>
          <w:szCs w:val="14"/>
        </w:rPr>
        <w:t>Final</w:t>
      </w:r>
      <w:r w:rsidRPr="00493811">
        <w:rPr>
          <w:spacing w:val="-3"/>
          <w:sz w:val="14"/>
          <w:szCs w:val="14"/>
        </w:rPr>
        <w:t xml:space="preserve"> </w:t>
      </w:r>
      <w:r w:rsidRPr="00493811">
        <w:rPr>
          <w:sz w:val="14"/>
          <w:szCs w:val="14"/>
        </w:rPr>
        <w:t>Determination</w:t>
      </w:r>
      <w:r w:rsidRPr="00493811">
        <w:rPr>
          <w:spacing w:val="-8"/>
          <w:sz w:val="14"/>
          <w:szCs w:val="14"/>
        </w:rPr>
        <w:t xml:space="preserve"> </w:t>
      </w:r>
      <w:r w:rsidRPr="00493811">
        <w:rPr>
          <w:sz w:val="14"/>
          <w:szCs w:val="14"/>
        </w:rPr>
        <w:t>(Exhibit</w:t>
      </w:r>
      <w:r w:rsidRPr="00493811">
        <w:rPr>
          <w:spacing w:val="-3"/>
          <w:sz w:val="14"/>
          <w:szCs w:val="14"/>
        </w:rPr>
        <w:t xml:space="preserve"> </w:t>
      </w:r>
      <w:r w:rsidRPr="00493811">
        <w:rPr>
          <w:sz w:val="14"/>
          <w:szCs w:val="14"/>
        </w:rPr>
        <w:t>AUS-2),</w:t>
      </w:r>
      <w:r w:rsidRPr="00493811">
        <w:rPr>
          <w:spacing w:val="-5"/>
          <w:sz w:val="14"/>
          <w:szCs w:val="14"/>
        </w:rPr>
        <w:t xml:space="preserve"> </w:t>
      </w:r>
      <w:r w:rsidRPr="00493811">
        <w:rPr>
          <w:sz w:val="14"/>
          <w:szCs w:val="14"/>
        </w:rPr>
        <w:t>pp.</w:t>
      </w:r>
      <w:r w:rsidRPr="00493811">
        <w:rPr>
          <w:spacing w:val="-2"/>
          <w:sz w:val="14"/>
          <w:szCs w:val="14"/>
        </w:rPr>
        <w:t xml:space="preserve"> </w:t>
      </w:r>
      <w:r w:rsidRPr="00493811">
        <w:rPr>
          <w:sz w:val="14"/>
          <w:szCs w:val="14"/>
        </w:rPr>
        <w:t>90-</w:t>
      </w:r>
      <w:r w:rsidRPr="00493811">
        <w:rPr>
          <w:spacing w:val="-5"/>
          <w:sz w:val="14"/>
          <w:szCs w:val="14"/>
        </w:rPr>
        <w:t>91.</w:t>
      </w:r>
    </w:p>
    <w:p w14:paraId="4BB9525B" w14:textId="77777777" w:rsidR="00BD462C" w:rsidRDefault="00BD462C">
      <w:pPr>
        <w:jc w:val="both"/>
        <w:rPr>
          <w:sz w:val="18"/>
        </w:rPr>
        <w:sectPr w:rsidR="00BD462C">
          <w:pgSz w:w="11910" w:h="16840"/>
          <w:pgMar w:top="860" w:right="500" w:bottom="780" w:left="1280" w:header="566" w:footer="590" w:gutter="0"/>
          <w:cols w:space="720"/>
        </w:sectPr>
      </w:pPr>
    </w:p>
    <w:p w14:paraId="1F9958E2"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58F39830"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14224B39"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02AC7EC3" w14:textId="77777777" w:rsidR="00BD462C" w:rsidRDefault="00033D0F">
      <w:pPr>
        <w:pStyle w:val="BodyText"/>
        <w:spacing w:before="102" w:line="360" w:lineRule="auto"/>
        <w:ind w:left="135" w:right="911"/>
        <w:jc w:val="both"/>
      </w:pPr>
      <w:r>
        <w:t>Accordingly,</w:t>
      </w:r>
      <w:r>
        <w:rPr>
          <w:spacing w:val="-9"/>
        </w:rPr>
        <w:t xml:space="preserve"> </w:t>
      </w:r>
      <w:r>
        <w:t>whatever</w:t>
      </w:r>
      <w:r>
        <w:rPr>
          <w:spacing w:val="-14"/>
        </w:rPr>
        <w:t xml:space="preserve"> </w:t>
      </w:r>
      <w:r>
        <w:t>MOFCOM</w:t>
      </w:r>
      <w:r>
        <w:rPr>
          <w:spacing w:val="-9"/>
        </w:rPr>
        <w:t xml:space="preserve"> </w:t>
      </w:r>
      <w:r>
        <w:t>determined</w:t>
      </w:r>
      <w:r>
        <w:rPr>
          <w:spacing w:val="-13"/>
        </w:rPr>
        <w:t xml:space="preserve"> </w:t>
      </w:r>
      <w:r>
        <w:t>the</w:t>
      </w:r>
      <w:r>
        <w:rPr>
          <w:spacing w:val="-11"/>
        </w:rPr>
        <w:t xml:space="preserve"> </w:t>
      </w:r>
      <w:r>
        <w:t>impact</w:t>
      </w:r>
      <w:r>
        <w:rPr>
          <w:spacing w:val="-10"/>
        </w:rPr>
        <w:t xml:space="preserve"> </w:t>
      </w:r>
      <w:r>
        <w:t>of</w:t>
      </w:r>
      <w:r>
        <w:rPr>
          <w:spacing w:val="-8"/>
        </w:rPr>
        <w:t xml:space="preserve"> </w:t>
      </w:r>
      <w:r>
        <w:t>this</w:t>
      </w:r>
      <w:r>
        <w:rPr>
          <w:spacing w:val="-9"/>
        </w:rPr>
        <w:t xml:space="preserve"> </w:t>
      </w:r>
      <w:r>
        <w:t>alleged</w:t>
      </w:r>
      <w:r>
        <w:rPr>
          <w:spacing w:val="-13"/>
        </w:rPr>
        <w:t xml:space="preserve"> </w:t>
      </w:r>
      <w:r>
        <w:t>deficiency</w:t>
      </w:r>
      <w:r>
        <w:rPr>
          <w:spacing w:val="-10"/>
        </w:rPr>
        <w:t xml:space="preserve"> </w:t>
      </w:r>
      <w:r>
        <w:t>to</w:t>
      </w:r>
      <w:r>
        <w:rPr>
          <w:spacing w:val="-13"/>
        </w:rPr>
        <w:t xml:space="preserve"> </w:t>
      </w:r>
      <w:r>
        <w:t>be,</w:t>
      </w:r>
      <w:r>
        <w:rPr>
          <w:spacing w:val="-9"/>
        </w:rPr>
        <w:t xml:space="preserve"> </w:t>
      </w:r>
      <w:r>
        <w:t>there is</w:t>
      </w:r>
      <w:r>
        <w:rPr>
          <w:spacing w:val="-14"/>
        </w:rPr>
        <w:t xml:space="preserve"> </w:t>
      </w:r>
      <w:r>
        <w:t>no</w:t>
      </w:r>
      <w:r>
        <w:rPr>
          <w:spacing w:val="-14"/>
        </w:rPr>
        <w:t xml:space="preserve"> </w:t>
      </w:r>
      <w:r>
        <w:t>evidence</w:t>
      </w:r>
      <w:r>
        <w:rPr>
          <w:spacing w:val="-13"/>
        </w:rPr>
        <w:t xml:space="preserve"> </w:t>
      </w:r>
      <w:r>
        <w:t>of</w:t>
      </w:r>
      <w:r>
        <w:rPr>
          <w:spacing w:val="-14"/>
        </w:rPr>
        <w:t xml:space="preserve"> </w:t>
      </w:r>
      <w:r>
        <w:t>its</w:t>
      </w:r>
      <w:r>
        <w:rPr>
          <w:spacing w:val="-13"/>
        </w:rPr>
        <w:t xml:space="preserve"> </w:t>
      </w:r>
      <w:r>
        <w:t>reasoning</w:t>
      </w:r>
      <w:r>
        <w:rPr>
          <w:spacing w:val="-14"/>
        </w:rPr>
        <w:t xml:space="preserve"> </w:t>
      </w:r>
      <w:r>
        <w:t>or</w:t>
      </w:r>
      <w:r>
        <w:rPr>
          <w:spacing w:val="-13"/>
        </w:rPr>
        <w:t xml:space="preserve"> </w:t>
      </w:r>
      <w:r>
        <w:t>conclusion</w:t>
      </w:r>
      <w:r>
        <w:rPr>
          <w:spacing w:val="-14"/>
        </w:rPr>
        <w:t xml:space="preserve"> </w:t>
      </w:r>
      <w:r>
        <w:t>on</w:t>
      </w:r>
      <w:r>
        <w:rPr>
          <w:spacing w:val="-14"/>
        </w:rPr>
        <w:t xml:space="preserve"> </w:t>
      </w:r>
      <w:r>
        <w:t>the</w:t>
      </w:r>
      <w:r>
        <w:rPr>
          <w:spacing w:val="-13"/>
        </w:rPr>
        <w:t xml:space="preserve"> </w:t>
      </w:r>
      <w:r>
        <w:t>record</w:t>
      </w:r>
      <w:r>
        <w:rPr>
          <w:spacing w:val="-14"/>
        </w:rPr>
        <w:t xml:space="preserve"> </w:t>
      </w:r>
      <w:r>
        <w:t>before</w:t>
      </w:r>
      <w:r>
        <w:rPr>
          <w:spacing w:val="-13"/>
        </w:rPr>
        <w:t xml:space="preserve"> </w:t>
      </w:r>
      <w:r>
        <w:t>the</w:t>
      </w:r>
      <w:r>
        <w:rPr>
          <w:spacing w:val="-14"/>
        </w:rPr>
        <w:t xml:space="preserve"> </w:t>
      </w:r>
      <w:r>
        <w:t>Panel.</w:t>
      </w:r>
      <w:r>
        <w:rPr>
          <w:spacing w:val="-13"/>
        </w:rPr>
        <w:t xml:space="preserve"> </w:t>
      </w:r>
      <w:r>
        <w:t>Therefore,</w:t>
      </w:r>
      <w:r>
        <w:rPr>
          <w:spacing w:val="-13"/>
        </w:rPr>
        <w:t xml:space="preserve"> </w:t>
      </w:r>
      <w:r>
        <w:t>China's assertions as to MOFCOM's reasoning and the significance of the omission by the service provider</w:t>
      </w:r>
      <w:r>
        <w:rPr>
          <w:spacing w:val="-14"/>
        </w:rPr>
        <w:t xml:space="preserve"> </w:t>
      </w:r>
      <w:r>
        <w:t>are</w:t>
      </w:r>
      <w:r>
        <w:rPr>
          <w:spacing w:val="-8"/>
        </w:rPr>
        <w:t xml:space="preserve"> </w:t>
      </w:r>
      <w:r>
        <w:t>entirely</w:t>
      </w:r>
      <w:r>
        <w:rPr>
          <w:spacing w:val="-11"/>
        </w:rPr>
        <w:t xml:space="preserve"> </w:t>
      </w:r>
      <w:r>
        <w:rPr>
          <w:i/>
        </w:rPr>
        <w:t>ex</w:t>
      </w:r>
      <w:r>
        <w:rPr>
          <w:i/>
          <w:spacing w:val="-11"/>
        </w:rPr>
        <w:t xml:space="preserve"> </w:t>
      </w:r>
      <w:r>
        <w:rPr>
          <w:i/>
        </w:rPr>
        <w:t>post</w:t>
      </w:r>
      <w:r>
        <w:rPr>
          <w:i/>
          <w:spacing w:val="-11"/>
        </w:rPr>
        <w:t xml:space="preserve"> </w:t>
      </w:r>
      <w:r>
        <w:rPr>
          <w:i/>
        </w:rPr>
        <w:t>facto</w:t>
      </w:r>
      <w:r>
        <w:rPr>
          <w:i/>
          <w:spacing w:val="-11"/>
        </w:rPr>
        <w:t xml:space="preserve"> </w:t>
      </w:r>
      <w:proofErr w:type="spellStart"/>
      <w:r>
        <w:t>rationalisations</w:t>
      </w:r>
      <w:proofErr w:type="spellEnd"/>
      <w:r>
        <w:rPr>
          <w:spacing w:val="-10"/>
        </w:rPr>
        <w:t xml:space="preserve"> </w:t>
      </w:r>
      <w:r>
        <w:t>and</w:t>
      </w:r>
      <w:r>
        <w:rPr>
          <w:spacing w:val="-14"/>
        </w:rPr>
        <w:t xml:space="preserve"> </w:t>
      </w:r>
      <w:r>
        <w:t>cannot</w:t>
      </w:r>
      <w:r>
        <w:rPr>
          <w:spacing w:val="-11"/>
        </w:rPr>
        <w:t xml:space="preserve"> </w:t>
      </w:r>
      <w:r>
        <w:t>assist</w:t>
      </w:r>
      <w:r>
        <w:rPr>
          <w:spacing w:val="-11"/>
        </w:rPr>
        <w:t xml:space="preserve"> </w:t>
      </w:r>
      <w:r>
        <w:t>the</w:t>
      </w:r>
      <w:r>
        <w:rPr>
          <w:spacing w:val="-12"/>
        </w:rPr>
        <w:t xml:space="preserve"> </w:t>
      </w:r>
      <w:r>
        <w:t>Panel.</w:t>
      </w:r>
      <w:r>
        <w:rPr>
          <w:spacing w:val="-11"/>
        </w:rPr>
        <w:t xml:space="preserve"> </w:t>
      </w:r>
      <w:r>
        <w:t>MOFCOM</w:t>
      </w:r>
      <w:r>
        <w:rPr>
          <w:spacing w:val="-11"/>
        </w:rPr>
        <w:t xml:space="preserve"> </w:t>
      </w:r>
      <w:r>
        <w:t>itself does not so much as identify which service provider failed to provide the requested information.</w:t>
      </w:r>
      <w:r>
        <w:rPr>
          <w:spacing w:val="-2"/>
        </w:rPr>
        <w:t xml:space="preserve"> </w:t>
      </w:r>
      <w:r>
        <w:t>China's</w:t>
      </w:r>
      <w:r>
        <w:rPr>
          <w:spacing w:val="-2"/>
        </w:rPr>
        <w:t xml:space="preserve"> </w:t>
      </w:r>
      <w:r>
        <w:t>assertions</w:t>
      </w:r>
      <w:r>
        <w:rPr>
          <w:spacing w:val="-2"/>
        </w:rPr>
        <w:t xml:space="preserve"> </w:t>
      </w:r>
      <w:r>
        <w:t>that</w:t>
      </w:r>
      <w:r>
        <w:rPr>
          <w:spacing w:val="-3"/>
        </w:rPr>
        <w:t xml:space="preserve"> </w:t>
      </w:r>
      <w:r>
        <w:t>MOFCOM</w:t>
      </w:r>
      <w:r>
        <w:rPr>
          <w:spacing w:val="-3"/>
        </w:rPr>
        <w:t xml:space="preserve"> </w:t>
      </w:r>
      <w:r>
        <w:t>disregarded</w:t>
      </w:r>
      <w:r>
        <w:rPr>
          <w:spacing w:val="-5"/>
        </w:rPr>
        <w:t xml:space="preserve"> </w:t>
      </w:r>
      <w:r>
        <w:t>Swan</w:t>
      </w:r>
      <w:r>
        <w:rPr>
          <w:spacing w:val="-5"/>
        </w:rPr>
        <w:t xml:space="preserve"> </w:t>
      </w:r>
      <w:r>
        <w:t>Vintage's</w:t>
      </w:r>
      <w:r>
        <w:rPr>
          <w:spacing w:val="-2"/>
        </w:rPr>
        <w:t xml:space="preserve"> </w:t>
      </w:r>
      <w:r>
        <w:t>cost</w:t>
      </w:r>
      <w:r>
        <w:rPr>
          <w:spacing w:val="-3"/>
        </w:rPr>
        <w:t xml:space="preserve"> </w:t>
      </w:r>
      <w:r>
        <w:t>of</w:t>
      </w:r>
      <w:r>
        <w:rPr>
          <w:spacing w:val="-5"/>
        </w:rPr>
        <w:t xml:space="preserve"> </w:t>
      </w:r>
      <w:r>
        <w:t>production evidence</w:t>
      </w:r>
      <w:r>
        <w:rPr>
          <w:spacing w:val="-7"/>
        </w:rPr>
        <w:t xml:space="preserve"> </w:t>
      </w:r>
      <w:r>
        <w:t>due</w:t>
      </w:r>
      <w:r>
        <w:rPr>
          <w:spacing w:val="-7"/>
        </w:rPr>
        <w:t xml:space="preserve"> </w:t>
      </w:r>
      <w:r>
        <w:t>to</w:t>
      </w:r>
      <w:r>
        <w:rPr>
          <w:spacing w:val="-5"/>
        </w:rPr>
        <w:t xml:space="preserve"> </w:t>
      </w:r>
      <w:r>
        <w:t>the</w:t>
      </w:r>
      <w:r>
        <w:rPr>
          <w:spacing w:val="-7"/>
        </w:rPr>
        <w:t xml:space="preserve"> </w:t>
      </w:r>
      <w:r>
        <w:t>absence</w:t>
      </w:r>
      <w:r>
        <w:rPr>
          <w:spacing w:val="-2"/>
        </w:rPr>
        <w:t xml:space="preserve"> </w:t>
      </w:r>
      <w:r>
        <w:t>of</w:t>
      </w:r>
      <w:r>
        <w:rPr>
          <w:spacing w:val="-4"/>
        </w:rPr>
        <w:t xml:space="preserve"> </w:t>
      </w:r>
      <w:r>
        <w:t>certain</w:t>
      </w:r>
      <w:r>
        <w:rPr>
          <w:spacing w:val="-9"/>
        </w:rPr>
        <w:t xml:space="preserve"> </w:t>
      </w:r>
      <w:r>
        <w:t>missing</w:t>
      </w:r>
      <w:r>
        <w:rPr>
          <w:spacing w:val="-6"/>
        </w:rPr>
        <w:t xml:space="preserve"> </w:t>
      </w:r>
      <w:r>
        <w:t>necessary</w:t>
      </w:r>
      <w:r>
        <w:rPr>
          <w:spacing w:val="-6"/>
        </w:rPr>
        <w:t xml:space="preserve"> </w:t>
      </w:r>
      <w:r>
        <w:t>information</w:t>
      </w:r>
      <w:r>
        <w:rPr>
          <w:spacing w:val="-9"/>
        </w:rPr>
        <w:t xml:space="preserve"> </w:t>
      </w:r>
      <w:r>
        <w:t>and</w:t>
      </w:r>
      <w:r>
        <w:rPr>
          <w:spacing w:val="-4"/>
        </w:rPr>
        <w:t xml:space="preserve"> </w:t>
      </w:r>
      <w:r>
        <w:t>that</w:t>
      </w:r>
      <w:r>
        <w:rPr>
          <w:spacing w:val="-7"/>
        </w:rPr>
        <w:t xml:space="preserve"> </w:t>
      </w:r>
      <w:r>
        <w:t>it</w:t>
      </w:r>
      <w:r>
        <w:rPr>
          <w:spacing w:val="-7"/>
        </w:rPr>
        <w:t xml:space="preserve"> </w:t>
      </w:r>
      <w:r>
        <w:t>was</w:t>
      </w:r>
      <w:r>
        <w:rPr>
          <w:spacing w:val="-6"/>
        </w:rPr>
        <w:t xml:space="preserve"> </w:t>
      </w:r>
      <w:r>
        <w:t>entitled to do so, find no evidentiary support in the record.</w:t>
      </w:r>
    </w:p>
    <w:p w14:paraId="2E87A308" w14:textId="77777777" w:rsidR="00BD462C" w:rsidRDefault="00033D0F">
      <w:pPr>
        <w:pStyle w:val="Heading3"/>
        <w:numPr>
          <w:ilvl w:val="0"/>
          <w:numId w:val="34"/>
        </w:numPr>
        <w:tabs>
          <w:tab w:val="left" w:pos="2689"/>
          <w:tab w:val="left" w:pos="2690"/>
        </w:tabs>
        <w:spacing w:before="157"/>
        <w:ind w:hanging="850"/>
        <w:jc w:val="both"/>
      </w:pPr>
      <w:bookmarkStart w:id="631" w:name="2._There_was_no_necessary_information_mi"/>
      <w:bookmarkStart w:id="632" w:name="_bookmark542"/>
      <w:bookmarkEnd w:id="631"/>
      <w:bookmarkEnd w:id="632"/>
      <w:r>
        <w:t>There</w:t>
      </w:r>
      <w:r>
        <w:rPr>
          <w:spacing w:val="-5"/>
        </w:rPr>
        <w:t xml:space="preserve"> </w:t>
      </w:r>
      <w:r>
        <w:t>was</w:t>
      </w:r>
      <w:r>
        <w:rPr>
          <w:spacing w:val="-4"/>
        </w:rPr>
        <w:t xml:space="preserve"> </w:t>
      </w:r>
      <w:r>
        <w:t>no</w:t>
      </w:r>
      <w:r>
        <w:rPr>
          <w:spacing w:val="-3"/>
        </w:rPr>
        <w:t xml:space="preserve"> </w:t>
      </w:r>
      <w:r>
        <w:t>necessary</w:t>
      </w:r>
      <w:r>
        <w:rPr>
          <w:spacing w:val="-2"/>
        </w:rPr>
        <w:t xml:space="preserve"> </w:t>
      </w:r>
      <w:r>
        <w:t>information</w:t>
      </w:r>
      <w:r>
        <w:rPr>
          <w:spacing w:val="-3"/>
        </w:rPr>
        <w:t xml:space="preserve"> </w:t>
      </w:r>
      <w:r>
        <w:t>missing</w:t>
      </w:r>
      <w:r>
        <w:rPr>
          <w:spacing w:val="-3"/>
        </w:rPr>
        <w:t xml:space="preserve"> </w:t>
      </w:r>
      <w:r>
        <w:t>from</w:t>
      </w:r>
      <w:r>
        <w:rPr>
          <w:spacing w:val="-2"/>
        </w:rPr>
        <w:t xml:space="preserve"> </w:t>
      </w:r>
      <w:r>
        <w:t>the</w:t>
      </w:r>
      <w:r>
        <w:rPr>
          <w:spacing w:val="-4"/>
        </w:rPr>
        <w:t xml:space="preserve"> </w:t>
      </w:r>
      <w:r>
        <w:rPr>
          <w:spacing w:val="-2"/>
        </w:rPr>
        <w:t>record</w:t>
      </w:r>
    </w:p>
    <w:p w14:paraId="2486397C" w14:textId="77777777" w:rsidR="00BD462C" w:rsidRDefault="00BD462C">
      <w:pPr>
        <w:pStyle w:val="BodyText"/>
        <w:spacing w:before="3"/>
        <w:rPr>
          <w:b/>
          <w:sz w:val="19"/>
        </w:rPr>
      </w:pPr>
    </w:p>
    <w:p w14:paraId="4C5810C7" w14:textId="67DFE021" w:rsidR="00BD462C" w:rsidRDefault="00033D0F" w:rsidP="00DA02D9">
      <w:pPr>
        <w:pStyle w:val="BodyText"/>
        <w:numPr>
          <w:ilvl w:val="0"/>
          <w:numId w:val="71"/>
        </w:numPr>
        <w:spacing w:before="76" w:line="357" w:lineRule="auto"/>
        <w:ind w:right="913"/>
        <w:jc w:val="both"/>
      </w:pPr>
      <w:r>
        <w:rPr>
          <w:position w:val="1"/>
        </w:rPr>
        <w:t>As Australia has established,</w:t>
      </w:r>
      <w:hyperlink w:anchor="_bookmark543" w:history="1">
        <w:r>
          <w:rPr>
            <w:position w:val="1"/>
            <w:vertAlign w:val="superscript"/>
          </w:rPr>
          <w:t>448</w:t>
        </w:r>
      </w:hyperlink>
      <w:r>
        <w:rPr>
          <w:position w:val="1"/>
        </w:rPr>
        <w:t xml:space="preserve"> necessary information for the purpose of Article 6.8</w:t>
      </w:r>
      <w:r>
        <w:rPr>
          <w:spacing w:val="40"/>
          <w:position w:val="1"/>
        </w:rPr>
        <w:t xml:space="preserve"> </w:t>
      </w:r>
      <w:r>
        <w:t>is</w:t>
      </w:r>
      <w:r>
        <w:rPr>
          <w:spacing w:val="-7"/>
        </w:rPr>
        <w:t xml:space="preserve"> </w:t>
      </w:r>
      <w:r>
        <w:t>not information that is merely "required" or "requested" by an investigating authority.</w:t>
      </w:r>
      <w:r>
        <w:rPr>
          <w:spacing w:val="-14"/>
        </w:rPr>
        <w:t xml:space="preserve"> </w:t>
      </w:r>
      <w:hyperlink w:anchor="_bookmark544" w:history="1">
        <w:r>
          <w:rPr>
            <w:vertAlign w:val="superscript"/>
          </w:rPr>
          <w:t>449</w:t>
        </w:r>
      </w:hyperlink>
      <w:r>
        <w:t xml:space="preserve"> Rather, an investigating authority is required to make a "reasonable assessment based on evidence and cannot simply infer, without further clarification, that any missing information is 'necessary'".</w:t>
      </w:r>
      <w:r>
        <w:rPr>
          <w:spacing w:val="-25"/>
        </w:rPr>
        <w:t xml:space="preserve"> </w:t>
      </w:r>
      <w:hyperlink w:anchor="_bookmark545" w:history="1">
        <w:r>
          <w:rPr>
            <w:vertAlign w:val="superscript"/>
          </w:rPr>
          <w:t>450</w:t>
        </w:r>
      </w:hyperlink>
    </w:p>
    <w:p w14:paraId="69888E1D" w14:textId="77777777" w:rsidR="00BD462C" w:rsidRDefault="00BD462C">
      <w:pPr>
        <w:pStyle w:val="BodyText"/>
        <w:spacing w:before="11"/>
        <w:rPr>
          <w:sz w:val="8"/>
        </w:rPr>
      </w:pPr>
    </w:p>
    <w:p w14:paraId="36C0D6FC" w14:textId="135AE148" w:rsidR="00BD462C" w:rsidRDefault="00033D0F" w:rsidP="00DA02D9">
      <w:pPr>
        <w:pStyle w:val="BodyText"/>
        <w:numPr>
          <w:ilvl w:val="0"/>
          <w:numId w:val="71"/>
        </w:numPr>
        <w:spacing w:before="56" w:line="360" w:lineRule="auto"/>
        <w:ind w:right="914"/>
        <w:jc w:val="both"/>
      </w:pPr>
      <w:r>
        <w:rPr>
          <w:position w:val="1"/>
        </w:rPr>
        <w:t xml:space="preserve">In Swan Vintage's case, there is no record that MOFCOM considered whether the </w:t>
      </w:r>
      <w:r>
        <w:t>information not provided was in fact necessary. China's claims that this information was necessary cannot be reconciled with MOFCOM's determinations. At no point in the Preliminary</w:t>
      </w:r>
      <w:r>
        <w:rPr>
          <w:spacing w:val="-14"/>
        </w:rPr>
        <w:t xml:space="preserve"> </w:t>
      </w:r>
      <w:r>
        <w:t>Determination,</w:t>
      </w:r>
      <w:r>
        <w:rPr>
          <w:spacing w:val="-11"/>
        </w:rPr>
        <w:t xml:space="preserve"> </w:t>
      </w:r>
      <w:r>
        <w:t>Final</w:t>
      </w:r>
      <w:r>
        <w:rPr>
          <w:spacing w:val="-11"/>
        </w:rPr>
        <w:t xml:space="preserve"> </w:t>
      </w:r>
      <w:r>
        <w:t>Disclosure</w:t>
      </w:r>
      <w:r>
        <w:rPr>
          <w:spacing w:val="-13"/>
        </w:rPr>
        <w:t xml:space="preserve"> </w:t>
      </w:r>
      <w:r>
        <w:t>or</w:t>
      </w:r>
      <w:r>
        <w:rPr>
          <w:spacing w:val="-14"/>
        </w:rPr>
        <w:t xml:space="preserve"> </w:t>
      </w:r>
      <w:r>
        <w:t>Final</w:t>
      </w:r>
      <w:r>
        <w:rPr>
          <w:spacing w:val="-10"/>
        </w:rPr>
        <w:t xml:space="preserve"> </w:t>
      </w:r>
      <w:r>
        <w:t>Determination</w:t>
      </w:r>
      <w:r>
        <w:rPr>
          <w:spacing w:val="-14"/>
        </w:rPr>
        <w:t xml:space="preserve"> </w:t>
      </w:r>
      <w:r>
        <w:t>did</w:t>
      </w:r>
      <w:r>
        <w:rPr>
          <w:spacing w:val="-14"/>
        </w:rPr>
        <w:t xml:space="preserve"> </w:t>
      </w:r>
      <w:r>
        <w:t>MOFCOM</w:t>
      </w:r>
      <w:r>
        <w:rPr>
          <w:spacing w:val="-11"/>
        </w:rPr>
        <w:t xml:space="preserve"> </w:t>
      </w:r>
      <w:r>
        <w:t>describe</w:t>
      </w:r>
      <w:r>
        <w:rPr>
          <w:spacing w:val="-13"/>
        </w:rPr>
        <w:t xml:space="preserve"> </w:t>
      </w:r>
      <w:r>
        <w:t>this information</w:t>
      </w:r>
      <w:r>
        <w:rPr>
          <w:spacing w:val="-9"/>
        </w:rPr>
        <w:t xml:space="preserve"> </w:t>
      </w:r>
      <w:r>
        <w:t>as</w:t>
      </w:r>
      <w:r>
        <w:rPr>
          <w:spacing w:val="-6"/>
        </w:rPr>
        <w:t xml:space="preserve"> </w:t>
      </w:r>
      <w:r>
        <w:t>necessary.</w:t>
      </w:r>
      <w:r>
        <w:rPr>
          <w:spacing w:val="-6"/>
        </w:rPr>
        <w:t xml:space="preserve"> </w:t>
      </w:r>
      <w:r>
        <w:t>Nor</w:t>
      </w:r>
      <w:r>
        <w:rPr>
          <w:spacing w:val="-10"/>
        </w:rPr>
        <w:t xml:space="preserve"> </w:t>
      </w:r>
      <w:r>
        <w:t>did</w:t>
      </w:r>
      <w:r>
        <w:rPr>
          <w:spacing w:val="-9"/>
        </w:rPr>
        <w:t xml:space="preserve"> </w:t>
      </w:r>
      <w:r>
        <w:t>it</w:t>
      </w:r>
      <w:r>
        <w:rPr>
          <w:spacing w:val="-7"/>
        </w:rPr>
        <w:t xml:space="preserve"> </w:t>
      </w:r>
      <w:r>
        <w:t>explicitly</w:t>
      </w:r>
      <w:r>
        <w:rPr>
          <w:spacing w:val="-6"/>
        </w:rPr>
        <w:t xml:space="preserve"> </w:t>
      </w:r>
      <w:r>
        <w:t>justify</w:t>
      </w:r>
      <w:r>
        <w:rPr>
          <w:spacing w:val="-6"/>
        </w:rPr>
        <w:t xml:space="preserve"> </w:t>
      </w:r>
      <w:r>
        <w:t>its</w:t>
      </w:r>
      <w:r>
        <w:rPr>
          <w:spacing w:val="-6"/>
        </w:rPr>
        <w:t xml:space="preserve"> </w:t>
      </w:r>
      <w:r>
        <w:t>recourse</w:t>
      </w:r>
      <w:r>
        <w:rPr>
          <w:spacing w:val="-7"/>
        </w:rPr>
        <w:t xml:space="preserve"> </w:t>
      </w:r>
      <w:r>
        <w:t>to</w:t>
      </w:r>
      <w:r>
        <w:rPr>
          <w:spacing w:val="-10"/>
        </w:rPr>
        <w:t xml:space="preserve"> </w:t>
      </w:r>
      <w:r>
        <w:t>facts</w:t>
      </w:r>
      <w:r>
        <w:rPr>
          <w:spacing w:val="-6"/>
        </w:rPr>
        <w:t xml:space="preserve"> </w:t>
      </w:r>
      <w:r>
        <w:t>available</w:t>
      </w:r>
      <w:r>
        <w:rPr>
          <w:spacing w:val="-7"/>
        </w:rPr>
        <w:t xml:space="preserve"> </w:t>
      </w:r>
      <w:r>
        <w:t>on</w:t>
      </w:r>
      <w:r>
        <w:rPr>
          <w:spacing w:val="-9"/>
        </w:rPr>
        <w:t xml:space="preserve"> </w:t>
      </w:r>
      <w:r>
        <w:t>the</w:t>
      </w:r>
      <w:r>
        <w:rPr>
          <w:spacing w:val="-7"/>
        </w:rPr>
        <w:t xml:space="preserve"> </w:t>
      </w:r>
      <w:r>
        <w:t>basis that necessary information was not provided.</w:t>
      </w:r>
      <w:r>
        <w:rPr>
          <w:spacing w:val="-23"/>
        </w:rPr>
        <w:t xml:space="preserve"> </w:t>
      </w:r>
      <w:hyperlink w:anchor="_bookmark546" w:history="1">
        <w:r>
          <w:rPr>
            <w:vertAlign w:val="superscript"/>
          </w:rPr>
          <w:t>451</w:t>
        </w:r>
      </w:hyperlink>
    </w:p>
    <w:p w14:paraId="1F046355" w14:textId="77777777" w:rsidR="00BD462C" w:rsidRDefault="00BD462C">
      <w:pPr>
        <w:pStyle w:val="BodyText"/>
        <w:spacing w:before="8"/>
        <w:rPr>
          <w:sz w:val="8"/>
        </w:rPr>
      </w:pPr>
    </w:p>
    <w:p w14:paraId="066368EF" w14:textId="30C8C753" w:rsidR="00BD462C" w:rsidRDefault="00033D0F" w:rsidP="00DA02D9">
      <w:pPr>
        <w:pStyle w:val="BodyText"/>
        <w:numPr>
          <w:ilvl w:val="0"/>
          <w:numId w:val="71"/>
        </w:numPr>
        <w:spacing w:before="56" w:line="357" w:lineRule="auto"/>
        <w:ind w:right="918"/>
        <w:jc w:val="both"/>
      </w:pPr>
      <w:r>
        <w:rPr>
          <w:position w:val="1"/>
        </w:rPr>
        <w:t xml:space="preserve">Indeed, both MOFCOM and China appear to concede that Swan Vintage provided </w:t>
      </w:r>
      <w:r>
        <w:t>complete</w:t>
      </w:r>
      <w:r>
        <w:rPr>
          <w:spacing w:val="-14"/>
        </w:rPr>
        <w:t xml:space="preserve"> </w:t>
      </w:r>
      <w:r>
        <w:t>cost</w:t>
      </w:r>
      <w:r>
        <w:rPr>
          <w:spacing w:val="-14"/>
        </w:rPr>
        <w:t xml:space="preserve"> </w:t>
      </w:r>
      <w:r>
        <w:t>of</w:t>
      </w:r>
      <w:r>
        <w:rPr>
          <w:spacing w:val="-13"/>
        </w:rPr>
        <w:t xml:space="preserve"> </w:t>
      </w:r>
      <w:r>
        <w:t>production</w:t>
      </w:r>
      <w:r>
        <w:rPr>
          <w:spacing w:val="-14"/>
        </w:rPr>
        <w:t xml:space="preserve"> </w:t>
      </w:r>
      <w:r>
        <w:t>data.</w:t>
      </w:r>
      <w:r>
        <w:rPr>
          <w:spacing w:val="-13"/>
        </w:rPr>
        <w:t xml:space="preserve"> </w:t>
      </w:r>
      <w:r>
        <w:t>However,</w:t>
      </w:r>
      <w:r>
        <w:rPr>
          <w:spacing w:val="-14"/>
        </w:rPr>
        <w:t xml:space="preserve"> </w:t>
      </w:r>
      <w:r>
        <w:t>in</w:t>
      </w:r>
      <w:r>
        <w:rPr>
          <w:spacing w:val="-13"/>
        </w:rPr>
        <w:t xml:space="preserve"> </w:t>
      </w:r>
      <w:r>
        <w:t>its</w:t>
      </w:r>
      <w:r>
        <w:rPr>
          <w:spacing w:val="-14"/>
        </w:rPr>
        <w:t xml:space="preserve"> </w:t>
      </w:r>
      <w:r>
        <w:t>Preliminary</w:t>
      </w:r>
      <w:r>
        <w:rPr>
          <w:spacing w:val="-14"/>
        </w:rPr>
        <w:t xml:space="preserve"> </w:t>
      </w:r>
      <w:r>
        <w:t>Determination,</w:t>
      </w:r>
      <w:r>
        <w:rPr>
          <w:spacing w:val="-13"/>
        </w:rPr>
        <w:t xml:space="preserve"> </w:t>
      </w:r>
      <w:r>
        <w:t>MOFCOM</w:t>
      </w:r>
      <w:r>
        <w:rPr>
          <w:spacing w:val="-14"/>
        </w:rPr>
        <w:t xml:space="preserve"> </w:t>
      </w:r>
      <w:r>
        <w:t>found that Swan Vintage did not</w:t>
      </w:r>
      <w:r>
        <w:rPr>
          <w:spacing w:val="17"/>
        </w:rPr>
        <w:t xml:space="preserve"> </w:t>
      </w:r>
      <w:r>
        <w:t>report its</w:t>
      </w:r>
      <w:r>
        <w:rPr>
          <w:spacing w:val="14"/>
        </w:rPr>
        <w:t xml:space="preserve"> </w:t>
      </w:r>
      <w:r>
        <w:t>production cost data in the format requested. For that</w:t>
      </w:r>
    </w:p>
    <w:p w14:paraId="2EBD3D04" w14:textId="77777777" w:rsidR="00BD462C" w:rsidRDefault="00BD462C">
      <w:pPr>
        <w:pStyle w:val="BodyText"/>
        <w:rPr>
          <w:sz w:val="20"/>
        </w:rPr>
      </w:pPr>
    </w:p>
    <w:p w14:paraId="2CDA9207" w14:textId="0828F0C0" w:rsidR="00BD462C" w:rsidRDefault="00E14314">
      <w:pPr>
        <w:pStyle w:val="BodyText"/>
        <w:rPr>
          <w:sz w:val="20"/>
        </w:rPr>
      </w:pPr>
      <w:r>
        <w:rPr>
          <w:noProof/>
        </w:rPr>
        <mc:AlternateContent>
          <mc:Choice Requires="wps">
            <w:drawing>
              <wp:anchor distT="0" distB="0" distL="0" distR="0" simplePos="0" relativeHeight="488049152" behindDoc="1" locked="0" layoutInCell="1" allowOverlap="1" wp14:anchorId="2D59F482" wp14:editId="5D4E7DCB">
                <wp:simplePos x="0" y="0"/>
                <wp:positionH relativeFrom="page">
                  <wp:posOffset>812800</wp:posOffset>
                </wp:positionH>
                <wp:positionV relativeFrom="paragraph">
                  <wp:posOffset>383540</wp:posOffset>
                </wp:positionV>
                <wp:extent cx="1828800" cy="8890"/>
                <wp:effectExtent l="0" t="0" r="0" b="0"/>
                <wp:wrapTopAndBottom/>
                <wp:docPr id="33" name="docshape2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7C6EF" id="docshape267" o:spid="_x0000_s1026" alt="&quot;&quot;" style="position:absolute;margin-left:64pt;margin-top:30.2pt;width:2in;height:.7pt;z-index:-15267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" fillcolor="black" stroked="f">
                <w10:wrap type="topAndBottom" anchorx="page"/>
              </v:rect>
            </w:pict>
          </mc:Fallback>
        </mc:AlternateContent>
      </w:r>
    </w:p>
    <w:p w14:paraId="5820ECA2" w14:textId="692D4124" w:rsidR="00BD462C" w:rsidRDefault="00BD462C">
      <w:pPr>
        <w:pStyle w:val="BodyText"/>
        <w:spacing w:before="1"/>
        <w:rPr>
          <w:sz w:val="29"/>
        </w:rPr>
      </w:pPr>
    </w:p>
    <w:p w14:paraId="0222F7BE" w14:textId="77777777" w:rsidR="00BD462C" w:rsidRDefault="00033D0F">
      <w:pPr>
        <w:spacing w:before="112"/>
        <w:ind w:left="135"/>
        <w:jc w:val="both"/>
        <w:rPr>
          <w:sz w:val="18"/>
        </w:rPr>
      </w:pPr>
      <w:bookmarkStart w:id="633" w:name="_bookmark543"/>
      <w:bookmarkEnd w:id="633"/>
      <w:r>
        <w:rPr>
          <w:position w:val="5"/>
          <w:sz w:val="12"/>
        </w:rPr>
        <w:t>448</w:t>
      </w:r>
      <w:r>
        <w:rPr>
          <w:spacing w:val="12"/>
          <w:position w:val="5"/>
          <w:sz w:val="12"/>
        </w:rPr>
        <w:t xml:space="preserve"> </w:t>
      </w:r>
      <w:r>
        <w:rPr>
          <w:sz w:val="18"/>
        </w:rPr>
        <w:t>Australia's</w:t>
      </w:r>
      <w:r>
        <w:rPr>
          <w:spacing w:val="-6"/>
          <w:sz w:val="18"/>
        </w:rPr>
        <w:t xml:space="preserve"> </w:t>
      </w:r>
      <w:r>
        <w:rPr>
          <w:sz w:val="18"/>
        </w:rPr>
        <w:t>first</w:t>
      </w:r>
      <w:r>
        <w:rPr>
          <w:spacing w:val="-6"/>
          <w:sz w:val="18"/>
        </w:rPr>
        <w:t xml:space="preserve"> </w:t>
      </w:r>
      <w:r>
        <w:rPr>
          <w:sz w:val="18"/>
        </w:rPr>
        <w:t>written</w:t>
      </w:r>
      <w:r>
        <w:rPr>
          <w:spacing w:val="-2"/>
          <w:sz w:val="18"/>
        </w:rPr>
        <w:t xml:space="preserve"> </w:t>
      </w:r>
      <w:r>
        <w:rPr>
          <w:sz w:val="18"/>
        </w:rPr>
        <w:t>submission, paras.</w:t>
      </w:r>
      <w:r>
        <w:rPr>
          <w:spacing w:val="-5"/>
          <w:sz w:val="18"/>
        </w:rPr>
        <w:t xml:space="preserve"> </w:t>
      </w:r>
      <w:r>
        <w:rPr>
          <w:sz w:val="18"/>
        </w:rPr>
        <w:t>52-</w:t>
      </w:r>
      <w:r>
        <w:rPr>
          <w:spacing w:val="-5"/>
          <w:sz w:val="18"/>
        </w:rPr>
        <w:t>55.</w:t>
      </w:r>
    </w:p>
    <w:p w14:paraId="1286F54A" w14:textId="77777777" w:rsidR="00BD462C" w:rsidRDefault="00033D0F">
      <w:pPr>
        <w:spacing w:before="1"/>
        <w:ind w:left="135"/>
        <w:jc w:val="both"/>
        <w:rPr>
          <w:sz w:val="18"/>
        </w:rPr>
      </w:pPr>
      <w:bookmarkStart w:id="634" w:name="_bookmark544"/>
      <w:bookmarkEnd w:id="634"/>
      <w:r>
        <w:rPr>
          <w:position w:val="5"/>
          <w:sz w:val="12"/>
        </w:rPr>
        <w:t>449</w:t>
      </w:r>
      <w:r>
        <w:rPr>
          <w:spacing w:val="14"/>
          <w:position w:val="5"/>
          <w:sz w:val="12"/>
        </w:rPr>
        <w:t xml:space="preserve"> </w:t>
      </w:r>
      <w:r>
        <w:rPr>
          <w:sz w:val="18"/>
        </w:rPr>
        <w:t>Panel</w:t>
      </w:r>
      <w:r>
        <w:rPr>
          <w:spacing w:val="-3"/>
          <w:sz w:val="18"/>
        </w:rPr>
        <w:t xml:space="preserve"> </w:t>
      </w:r>
      <w:r>
        <w:rPr>
          <w:sz w:val="18"/>
        </w:rPr>
        <w:t>Report,</w:t>
      </w:r>
      <w:r>
        <w:rPr>
          <w:spacing w:val="-7"/>
          <w:sz w:val="18"/>
        </w:rPr>
        <w:t xml:space="preserve"> </w:t>
      </w:r>
      <w:r>
        <w:rPr>
          <w:i/>
          <w:sz w:val="18"/>
        </w:rPr>
        <w:t>Egypt</w:t>
      </w:r>
      <w:r>
        <w:rPr>
          <w:i/>
          <w:spacing w:val="1"/>
          <w:sz w:val="18"/>
        </w:rPr>
        <w:t xml:space="preserve"> </w:t>
      </w:r>
      <w:r>
        <w:rPr>
          <w:i/>
          <w:sz w:val="18"/>
        </w:rPr>
        <w:t>–</w:t>
      </w:r>
      <w:r>
        <w:rPr>
          <w:i/>
          <w:spacing w:val="-4"/>
          <w:sz w:val="18"/>
        </w:rPr>
        <w:t xml:space="preserve"> </w:t>
      </w:r>
      <w:r>
        <w:rPr>
          <w:i/>
          <w:sz w:val="18"/>
        </w:rPr>
        <w:t>Steel</w:t>
      </w:r>
      <w:r>
        <w:rPr>
          <w:i/>
          <w:spacing w:val="-3"/>
          <w:sz w:val="18"/>
        </w:rPr>
        <w:t xml:space="preserve"> </w:t>
      </w:r>
      <w:r>
        <w:rPr>
          <w:i/>
          <w:sz w:val="18"/>
        </w:rPr>
        <w:t>Rebar</w:t>
      </w:r>
      <w:r>
        <w:rPr>
          <w:sz w:val="18"/>
        </w:rPr>
        <w:t>,</w:t>
      </w:r>
      <w:r>
        <w:rPr>
          <w:spacing w:val="2"/>
          <w:sz w:val="18"/>
        </w:rPr>
        <w:t xml:space="preserve"> </w:t>
      </w:r>
      <w:r>
        <w:rPr>
          <w:sz w:val="18"/>
        </w:rPr>
        <w:t>para.</w:t>
      </w:r>
      <w:r>
        <w:rPr>
          <w:spacing w:val="2"/>
          <w:sz w:val="18"/>
        </w:rPr>
        <w:t xml:space="preserve"> </w:t>
      </w:r>
      <w:r>
        <w:rPr>
          <w:spacing w:val="-2"/>
          <w:sz w:val="18"/>
        </w:rPr>
        <w:t>7.151.</w:t>
      </w:r>
    </w:p>
    <w:p w14:paraId="5E7CD360" w14:textId="77777777" w:rsidR="00BD462C" w:rsidRDefault="00033D0F">
      <w:pPr>
        <w:spacing w:before="2" w:line="237" w:lineRule="auto"/>
        <w:ind w:left="136" w:right="905" w:hanging="1"/>
        <w:jc w:val="both"/>
        <w:rPr>
          <w:sz w:val="18"/>
        </w:rPr>
      </w:pPr>
      <w:bookmarkStart w:id="635" w:name="_bookmark545"/>
      <w:bookmarkEnd w:id="635"/>
      <w:r>
        <w:rPr>
          <w:position w:val="5"/>
          <w:sz w:val="12"/>
        </w:rPr>
        <w:t>450</w:t>
      </w:r>
      <w:r>
        <w:rPr>
          <w:spacing w:val="16"/>
          <w:position w:val="5"/>
          <w:sz w:val="12"/>
        </w:rPr>
        <w:t xml:space="preserve"> </w:t>
      </w:r>
      <w:r>
        <w:rPr>
          <w:sz w:val="18"/>
        </w:rPr>
        <w:t>Appellate</w:t>
      </w:r>
      <w:r>
        <w:rPr>
          <w:spacing w:val="-3"/>
          <w:sz w:val="18"/>
        </w:rPr>
        <w:t xml:space="preserve"> </w:t>
      </w:r>
      <w:r>
        <w:rPr>
          <w:sz w:val="18"/>
        </w:rPr>
        <w:t>Body</w:t>
      </w:r>
      <w:r>
        <w:rPr>
          <w:spacing w:val="-4"/>
          <w:sz w:val="18"/>
        </w:rPr>
        <w:t xml:space="preserve"> </w:t>
      </w:r>
      <w:r>
        <w:rPr>
          <w:sz w:val="18"/>
        </w:rPr>
        <w:t xml:space="preserve">Report, </w:t>
      </w:r>
      <w:r>
        <w:rPr>
          <w:i/>
          <w:sz w:val="18"/>
        </w:rPr>
        <w:t>US</w:t>
      </w:r>
      <w:r>
        <w:rPr>
          <w:i/>
          <w:spacing w:val="-4"/>
          <w:sz w:val="18"/>
        </w:rPr>
        <w:t xml:space="preserve"> </w:t>
      </w:r>
      <w:r>
        <w:rPr>
          <w:i/>
          <w:sz w:val="18"/>
        </w:rPr>
        <w:t>– Supercalendered</w:t>
      </w:r>
      <w:r>
        <w:rPr>
          <w:i/>
          <w:spacing w:val="-2"/>
          <w:sz w:val="18"/>
        </w:rPr>
        <w:t xml:space="preserve"> </w:t>
      </w:r>
      <w:r>
        <w:rPr>
          <w:i/>
          <w:sz w:val="18"/>
        </w:rPr>
        <w:t>Paper</w:t>
      </w:r>
      <w:r>
        <w:rPr>
          <w:sz w:val="18"/>
        </w:rPr>
        <w:t>,</w:t>
      </w:r>
      <w:r>
        <w:rPr>
          <w:spacing w:val="-1"/>
          <w:sz w:val="18"/>
        </w:rPr>
        <w:t xml:space="preserve"> </w:t>
      </w:r>
      <w:r>
        <w:rPr>
          <w:sz w:val="18"/>
        </w:rPr>
        <w:t>para.</w:t>
      </w:r>
      <w:r>
        <w:rPr>
          <w:spacing w:val="-2"/>
          <w:sz w:val="18"/>
        </w:rPr>
        <w:t xml:space="preserve"> </w:t>
      </w:r>
      <w:r>
        <w:rPr>
          <w:sz w:val="18"/>
        </w:rPr>
        <w:t>5.81.</w:t>
      </w:r>
      <w:r>
        <w:rPr>
          <w:spacing w:val="-2"/>
          <w:sz w:val="18"/>
        </w:rPr>
        <w:t xml:space="preserve"> </w:t>
      </w:r>
      <w:r>
        <w:rPr>
          <w:sz w:val="18"/>
        </w:rPr>
        <w:t>(Footnotes omitted.)</w:t>
      </w:r>
      <w:r>
        <w:rPr>
          <w:spacing w:val="-1"/>
          <w:sz w:val="18"/>
        </w:rPr>
        <w:t xml:space="preserve"> </w:t>
      </w:r>
      <w:r>
        <w:rPr>
          <w:sz w:val="18"/>
        </w:rPr>
        <w:t>In</w:t>
      </w:r>
      <w:r>
        <w:rPr>
          <w:spacing w:val="-4"/>
          <w:sz w:val="18"/>
        </w:rPr>
        <w:t xml:space="preserve"> </w:t>
      </w:r>
      <w:r>
        <w:rPr>
          <w:sz w:val="18"/>
        </w:rPr>
        <w:t>this</w:t>
      </w:r>
      <w:r>
        <w:rPr>
          <w:spacing w:val="-3"/>
          <w:sz w:val="18"/>
        </w:rPr>
        <w:t xml:space="preserve"> </w:t>
      </w:r>
      <w:r>
        <w:rPr>
          <w:sz w:val="18"/>
        </w:rPr>
        <w:t>context,</w:t>
      </w:r>
      <w:r>
        <w:rPr>
          <w:spacing w:val="-1"/>
          <w:sz w:val="18"/>
        </w:rPr>
        <w:t xml:space="preserve"> </w:t>
      </w:r>
      <w:r>
        <w:rPr>
          <w:sz w:val="18"/>
        </w:rPr>
        <w:t>such</w:t>
      </w:r>
      <w:r>
        <w:rPr>
          <w:spacing w:val="-4"/>
          <w:sz w:val="18"/>
        </w:rPr>
        <w:t xml:space="preserve"> </w:t>
      </w:r>
      <w:r>
        <w:rPr>
          <w:sz w:val="18"/>
        </w:rPr>
        <w:t>an assessment of what constitutes "necessary information" must be conducted with reference to the information that is necessary to determine dumping pursuant to Article 2 of the Anti-Dumping Agreement.</w:t>
      </w:r>
    </w:p>
    <w:p w14:paraId="75C60342" w14:textId="77777777" w:rsidR="00BD462C" w:rsidRDefault="00033D0F">
      <w:pPr>
        <w:spacing w:before="4"/>
        <w:ind w:left="136" w:right="904" w:hanging="1"/>
        <w:jc w:val="both"/>
        <w:rPr>
          <w:sz w:val="18"/>
        </w:rPr>
      </w:pPr>
      <w:bookmarkStart w:id="636" w:name="_bookmark546"/>
      <w:bookmarkEnd w:id="636"/>
      <w:r>
        <w:rPr>
          <w:position w:val="5"/>
          <w:sz w:val="12"/>
        </w:rPr>
        <w:t>451</w:t>
      </w:r>
      <w:r>
        <w:rPr>
          <w:spacing w:val="31"/>
          <w:position w:val="5"/>
          <w:sz w:val="12"/>
        </w:rPr>
        <w:t xml:space="preserve"> </w:t>
      </w:r>
      <w:r>
        <w:rPr>
          <w:sz w:val="18"/>
        </w:rPr>
        <w:t>In this regard, MOFCOM's assessment of Swan Vintage's data differs from its assessment of other exporters, including Treasury Wines and Casella Wines. In those cases, MOFCOM explicitly determined that Treasury Wines "failed to provide necessary information" (Anti-Dumping Final Determination (Exhibit AUS-2), p. 69) and that Casella Wines "failed to provide complete and necessary information" (Anti-Dumping Final Determination (Exhibit AUS-2), p. 80).</w:t>
      </w:r>
    </w:p>
    <w:p w14:paraId="4877DEB5" w14:textId="77777777" w:rsidR="00BD462C" w:rsidRDefault="00BD462C">
      <w:pPr>
        <w:jc w:val="both"/>
        <w:rPr>
          <w:sz w:val="18"/>
        </w:rPr>
        <w:sectPr w:rsidR="00BD462C">
          <w:pgSz w:w="11910" w:h="16840"/>
          <w:pgMar w:top="860" w:right="500" w:bottom="780" w:left="1280" w:header="566" w:footer="590" w:gutter="0"/>
          <w:cols w:space="720"/>
        </w:sectPr>
      </w:pPr>
    </w:p>
    <w:p w14:paraId="39A7969A"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6D496B68"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34AA7057"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09A48151" w14:textId="77777777" w:rsidR="00BD462C" w:rsidRDefault="00033D0F">
      <w:pPr>
        <w:pStyle w:val="BodyText"/>
        <w:spacing w:before="102" w:line="357" w:lineRule="auto"/>
        <w:ind w:left="135" w:right="923"/>
      </w:pPr>
      <w:r>
        <w:t>reason</w:t>
      </w:r>
      <w:r>
        <w:rPr>
          <w:spacing w:val="-7"/>
        </w:rPr>
        <w:t xml:space="preserve"> </w:t>
      </w:r>
      <w:r>
        <w:t>alone,</w:t>
      </w:r>
      <w:r>
        <w:rPr>
          <w:spacing w:val="-3"/>
        </w:rPr>
        <w:t xml:space="preserve"> </w:t>
      </w:r>
      <w:r>
        <w:t>MOFCOM</w:t>
      </w:r>
      <w:r>
        <w:rPr>
          <w:spacing w:val="-5"/>
        </w:rPr>
        <w:t xml:space="preserve"> </w:t>
      </w:r>
      <w:r>
        <w:t>concluded</w:t>
      </w:r>
      <w:r>
        <w:rPr>
          <w:spacing w:val="-7"/>
        </w:rPr>
        <w:t xml:space="preserve"> </w:t>
      </w:r>
      <w:r>
        <w:t>that</w:t>
      </w:r>
      <w:r>
        <w:rPr>
          <w:spacing w:val="-5"/>
        </w:rPr>
        <w:t xml:space="preserve"> </w:t>
      </w:r>
      <w:r>
        <w:t>it</w:t>
      </w:r>
      <w:r>
        <w:rPr>
          <w:spacing w:val="-5"/>
        </w:rPr>
        <w:t xml:space="preserve"> </w:t>
      </w:r>
      <w:r>
        <w:t>"was</w:t>
      </w:r>
      <w:r>
        <w:rPr>
          <w:spacing w:val="-4"/>
        </w:rPr>
        <w:t xml:space="preserve"> </w:t>
      </w:r>
      <w:r>
        <w:t>unable</w:t>
      </w:r>
      <w:r>
        <w:rPr>
          <w:spacing w:val="-5"/>
        </w:rPr>
        <w:t xml:space="preserve"> </w:t>
      </w:r>
      <w:r>
        <w:t>to</w:t>
      </w:r>
      <w:r>
        <w:rPr>
          <w:spacing w:val="-8"/>
        </w:rPr>
        <w:t xml:space="preserve"> </w:t>
      </w:r>
      <w:r>
        <w:t>obtain</w:t>
      </w:r>
      <w:r>
        <w:rPr>
          <w:spacing w:val="-7"/>
        </w:rPr>
        <w:t xml:space="preserve"> </w:t>
      </w:r>
      <w:r>
        <w:t>accurate</w:t>
      </w:r>
      <w:r>
        <w:rPr>
          <w:spacing w:val="-5"/>
        </w:rPr>
        <w:t xml:space="preserve"> </w:t>
      </w:r>
      <w:r>
        <w:t>cost</w:t>
      </w:r>
      <w:r>
        <w:rPr>
          <w:spacing w:val="-5"/>
        </w:rPr>
        <w:t xml:space="preserve"> </w:t>
      </w:r>
      <w:r>
        <w:t>data</w:t>
      </w:r>
      <w:r>
        <w:rPr>
          <w:spacing w:val="-6"/>
        </w:rPr>
        <w:t xml:space="preserve"> </w:t>
      </w:r>
      <w:r>
        <w:t>according to the information reported by the Company".</w:t>
      </w:r>
      <w:r>
        <w:rPr>
          <w:spacing w:val="-24"/>
        </w:rPr>
        <w:t xml:space="preserve"> </w:t>
      </w:r>
      <w:hyperlink w:anchor="_bookmark547" w:history="1">
        <w:r>
          <w:rPr>
            <w:vertAlign w:val="superscript"/>
          </w:rPr>
          <w:t>452</w:t>
        </w:r>
      </w:hyperlink>
    </w:p>
    <w:p w14:paraId="0701AD63" w14:textId="77777777" w:rsidR="00BD462C" w:rsidRDefault="00BD462C">
      <w:pPr>
        <w:pStyle w:val="BodyText"/>
        <w:spacing w:before="3"/>
        <w:rPr>
          <w:sz w:val="9"/>
        </w:rPr>
      </w:pPr>
    </w:p>
    <w:p w14:paraId="666561D7" w14:textId="2755CC36" w:rsidR="00BD462C" w:rsidRDefault="00033D0F" w:rsidP="00DA02D9">
      <w:pPr>
        <w:pStyle w:val="BodyText"/>
        <w:numPr>
          <w:ilvl w:val="0"/>
          <w:numId w:val="71"/>
        </w:numPr>
        <w:spacing w:before="56" w:line="360" w:lineRule="auto"/>
        <w:ind w:right="912"/>
        <w:jc w:val="both"/>
      </w:pPr>
      <w:r>
        <w:rPr>
          <w:position w:val="1"/>
        </w:rPr>
        <w:t xml:space="preserve">Swan Vintage submitted the data in question in accordance with the regulatory </w:t>
      </w:r>
      <w:r>
        <w:t>standards applicable to wine in Australia.</w:t>
      </w:r>
      <w:hyperlink w:anchor="_bookmark548" w:history="1">
        <w:r>
          <w:rPr>
            <w:vertAlign w:val="superscript"/>
          </w:rPr>
          <w:t>453</w:t>
        </w:r>
      </w:hyperlink>
      <w:r>
        <w:t xml:space="preserve"> These standards are publicly accessible and widely used.</w:t>
      </w:r>
      <w:r>
        <w:rPr>
          <w:spacing w:val="-14"/>
        </w:rPr>
        <w:t xml:space="preserve"> </w:t>
      </w:r>
      <w:hyperlink w:anchor="_bookmark549" w:history="1">
        <w:r>
          <w:rPr>
            <w:vertAlign w:val="superscript"/>
          </w:rPr>
          <w:t>454</w:t>
        </w:r>
      </w:hyperlink>
      <w:r>
        <w:t xml:space="preserve"> Accordingly, two options were open to MOFCOM. First, it could have processed the data provided to convert it to its PCN system. Second, MOFCOM could have conducted its calculations based</w:t>
      </w:r>
      <w:r>
        <w:rPr>
          <w:spacing w:val="-1"/>
        </w:rPr>
        <w:t xml:space="preserve"> </w:t>
      </w:r>
      <w:r>
        <w:t>on</w:t>
      </w:r>
      <w:r>
        <w:rPr>
          <w:spacing w:val="-1"/>
        </w:rPr>
        <w:t xml:space="preserve"> </w:t>
      </w:r>
      <w:r>
        <w:t>data formatted</w:t>
      </w:r>
      <w:r>
        <w:rPr>
          <w:spacing w:val="-1"/>
        </w:rPr>
        <w:t xml:space="preserve"> </w:t>
      </w:r>
      <w:r>
        <w:t>consistent with</w:t>
      </w:r>
      <w:r>
        <w:rPr>
          <w:spacing w:val="-1"/>
        </w:rPr>
        <w:t xml:space="preserve"> </w:t>
      </w:r>
      <w:r>
        <w:t>the applicable Australian standards. This would have allowed it to compare Swan Vintage's cost of production and export sales data which were both available in the same format. Clearly, Swan Vintage's dumping margin could have been calculated in this way consistent with Article 2.2, and it is likely that comparing the data in this way would have allowed for the most accurate calculations</w:t>
      </w:r>
      <w:r>
        <w:rPr>
          <w:spacing w:val="-6"/>
        </w:rPr>
        <w:t xml:space="preserve"> </w:t>
      </w:r>
      <w:r>
        <w:t>as</w:t>
      </w:r>
      <w:r>
        <w:rPr>
          <w:spacing w:val="-6"/>
        </w:rPr>
        <w:t xml:space="preserve"> </w:t>
      </w:r>
      <w:r>
        <w:t>it</w:t>
      </w:r>
      <w:r>
        <w:rPr>
          <w:spacing w:val="-7"/>
        </w:rPr>
        <w:t xml:space="preserve"> </w:t>
      </w:r>
      <w:r>
        <w:t>would</w:t>
      </w:r>
      <w:r>
        <w:rPr>
          <w:spacing w:val="-9"/>
        </w:rPr>
        <w:t xml:space="preserve"> </w:t>
      </w:r>
      <w:r>
        <w:t>have</w:t>
      </w:r>
      <w:r>
        <w:rPr>
          <w:spacing w:val="-7"/>
        </w:rPr>
        <w:t xml:space="preserve"> </w:t>
      </w:r>
      <w:r>
        <w:t>avoided</w:t>
      </w:r>
      <w:r>
        <w:rPr>
          <w:spacing w:val="-9"/>
        </w:rPr>
        <w:t xml:space="preserve"> </w:t>
      </w:r>
      <w:r>
        <w:t>the</w:t>
      </w:r>
      <w:r>
        <w:rPr>
          <w:spacing w:val="-3"/>
        </w:rPr>
        <w:t xml:space="preserve"> </w:t>
      </w:r>
      <w:r>
        <w:t>need</w:t>
      </w:r>
      <w:r>
        <w:rPr>
          <w:spacing w:val="-9"/>
        </w:rPr>
        <w:t xml:space="preserve"> </w:t>
      </w:r>
      <w:r>
        <w:t>to convert</w:t>
      </w:r>
      <w:r>
        <w:rPr>
          <w:spacing w:val="-7"/>
        </w:rPr>
        <w:t xml:space="preserve"> </w:t>
      </w:r>
      <w:r>
        <w:t>the</w:t>
      </w:r>
      <w:r>
        <w:rPr>
          <w:spacing w:val="-3"/>
        </w:rPr>
        <w:t xml:space="preserve"> </w:t>
      </w:r>
      <w:r>
        <w:t>data</w:t>
      </w:r>
      <w:r>
        <w:rPr>
          <w:spacing w:val="-8"/>
        </w:rPr>
        <w:t xml:space="preserve"> </w:t>
      </w:r>
      <w:r>
        <w:t>unnecessarily.</w:t>
      </w:r>
      <w:r>
        <w:rPr>
          <w:spacing w:val="-6"/>
        </w:rPr>
        <w:t xml:space="preserve"> </w:t>
      </w:r>
      <w:r>
        <w:t>Indeed,</w:t>
      </w:r>
      <w:r>
        <w:rPr>
          <w:spacing w:val="-5"/>
        </w:rPr>
        <w:t xml:space="preserve"> </w:t>
      </w:r>
      <w:r>
        <w:t>this was</w:t>
      </w:r>
      <w:r>
        <w:rPr>
          <w:spacing w:val="-6"/>
        </w:rPr>
        <w:t xml:space="preserve"> </w:t>
      </w:r>
      <w:r>
        <w:t>the</w:t>
      </w:r>
      <w:r>
        <w:rPr>
          <w:spacing w:val="-7"/>
        </w:rPr>
        <w:t xml:space="preserve"> </w:t>
      </w:r>
      <w:r>
        <w:t>substance</w:t>
      </w:r>
      <w:r>
        <w:rPr>
          <w:spacing w:val="-7"/>
        </w:rPr>
        <w:t xml:space="preserve"> </w:t>
      </w:r>
      <w:r>
        <w:t>of</w:t>
      </w:r>
      <w:r>
        <w:rPr>
          <w:spacing w:val="-4"/>
        </w:rPr>
        <w:t xml:space="preserve"> </w:t>
      </w:r>
      <w:r>
        <w:t>Treasury</w:t>
      </w:r>
      <w:r>
        <w:rPr>
          <w:spacing w:val="-1"/>
        </w:rPr>
        <w:t xml:space="preserve"> </w:t>
      </w:r>
      <w:r>
        <w:t>Wines'</w:t>
      </w:r>
      <w:r>
        <w:rPr>
          <w:spacing w:val="-8"/>
        </w:rPr>
        <w:t xml:space="preserve"> </w:t>
      </w:r>
      <w:r>
        <w:t>"Clarification</w:t>
      </w:r>
      <w:r>
        <w:rPr>
          <w:spacing w:val="-9"/>
        </w:rPr>
        <w:t xml:space="preserve"> </w:t>
      </w:r>
      <w:r>
        <w:t>Letter</w:t>
      </w:r>
      <w:r>
        <w:rPr>
          <w:spacing w:val="-5"/>
        </w:rPr>
        <w:t xml:space="preserve"> </w:t>
      </w:r>
      <w:r>
        <w:t>on</w:t>
      </w:r>
      <w:r>
        <w:rPr>
          <w:spacing w:val="-4"/>
        </w:rPr>
        <w:t xml:space="preserve"> </w:t>
      </w:r>
      <w:r>
        <w:t>Product</w:t>
      </w:r>
      <w:r>
        <w:rPr>
          <w:spacing w:val="-2"/>
        </w:rPr>
        <w:t xml:space="preserve"> </w:t>
      </w:r>
      <w:r>
        <w:t>Control</w:t>
      </w:r>
      <w:r>
        <w:rPr>
          <w:spacing w:val="-5"/>
        </w:rPr>
        <w:t xml:space="preserve"> </w:t>
      </w:r>
      <w:r>
        <w:t>Numbers</w:t>
      </w:r>
      <w:r>
        <w:rPr>
          <w:spacing w:val="-6"/>
        </w:rPr>
        <w:t xml:space="preserve"> </w:t>
      </w:r>
      <w:r>
        <w:t>in</w:t>
      </w:r>
      <w:r>
        <w:rPr>
          <w:spacing w:val="-4"/>
        </w:rPr>
        <w:t xml:space="preserve"> </w:t>
      </w:r>
      <w:r>
        <w:t>the Questionnaire for Relevant Foreign Exporters or Producers in the Anti-Dumping Case",</w:t>
      </w:r>
      <w:r>
        <w:rPr>
          <w:spacing w:val="-14"/>
        </w:rPr>
        <w:t xml:space="preserve"> </w:t>
      </w:r>
      <w:hyperlink w:anchor="_bookmark550" w:history="1">
        <w:r>
          <w:rPr>
            <w:vertAlign w:val="superscript"/>
          </w:rPr>
          <w:t>455</w:t>
        </w:r>
      </w:hyperlink>
      <w:r>
        <w:t xml:space="preserve"> which MOFCOM received and rejected without providing reasons. Swan Vintage offered alternatives to the requested data that would have allowed MOFCOM to ascertain normal value more accurately than the method it ultimately adopted.</w:t>
      </w:r>
      <w:r>
        <w:rPr>
          <w:spacing w:val="-14"/>
        </w:rPr>
        <w:t xml:space="preserve"> </w:t>
      </w:r>
      <w:hyperlink w:anchor="_bookmark551" w:history="1">
        <w:r>
          <w:rPr>
            <w:vertAlign w:val="superscript"/>
          </w:rPr>
          <w:t>456</w:t>
        </w:r>
      </w:hyperlink>
      <w:r>
        <w:t xml:space="preserve"> Yet, no reasoning was recorded</w:t>
      </w:r>
      <w:r>
        <w:rPr>
          <w:spacing w:val="-9"/>
        </w:rPr>
        <w:t xml:space="preserve"> </w:t>
      </w:r>
      <w:r>
        <w:t>that</w:t>
      </w:r>
      <w:r>
        <w:rPr>
          <w:spacing w:val="-2"/>
        </w:rPr>
        <w:t xml:space="preserve"> </w:t>
      </w:r>
      <w:r>
        <w:t>could</w:t>
      </w:r>
      <w:r>
        <w:rPr>
          <w:spacing w:val="-4"/>
        </w:rPr>
        <w:t xml:space="preserve"> </w:t>
      </w:r>
      <w:r>
        <w:t>have</w:t>
      </w:r>
      <w:r>
        <w:rPr>
          <w:spacing w:val="-7"/>
        </w:rPr>
        <w:t xml:space="preserve"> </w:t>
      </w:r>
      <w:r>
        <w:t>demonstrated</w:t>
      </w:r>
      <w:r>
        <w:rPr>
          <w:spacing w:val="-9"/>
        </w:rPr>
        <w:t xml:space="preserve"> </w:t>
      </w:r>
      <w:r>
        <w:t>that</w:t>
      </w:r>
      <w:r>
        <w:rPr>
          <w:spacing w:val="-2"/>
        </w:rPr>
        <w:t xml:space="preserve"> </w:t>
      </w:r>
      <w:r>
        <w:t>MOFCOM</w:t>
      </w:r>
      <w:r>
        <w:rPr>
          <w:spacing w:val="-7"/>
        </w:rPr>
        <w:t xml:space="preserve"> </w:t>
      </w:r>
      <w:r>
        <w:t>engaged</w:t>
      </w:r>
      <w:r>
        <w:rPr>
          <w:spacing w:val="-9"/>
        </w:rPr>
        <w:t xml:space="preserve"> </w:t>
      </w:r>
      <w:r>
        <w:t>in</w:t>
      </w:r>
      <w:r>
        <w:rPr>
          <w:spacing w:val="-9"/>
        </w:rPr>
        <w:t xml:space="preserve"> </w:t>
      </w:r>
      <w:r>
        <w:t>the</w:t>
      </w:r>
      <w:r>
        <w:rPr>
          <w:spacing w:val="-3"/>
        </w:rPr>
        <w:t xml:space="preserve"> </w:t>
      </w:r>
      <w:r>
        <w:t>required</w:t>
      </w:r>
      <w:r>
        <w:rPr>
          <w:spacing w:val="-4"/>
        </w:rPr>
        <w:t xml:space="preserve"> </w:t>
      </w:r>
      <w:r>
        <w:t>evaluation</w:t>
      </w:r>
      <w:r>
        <w:rPr>
          <w:spacing w:val="-9"/>
        </w:rPr>
        <w:t xml:space="preserve"> </w:t>
      </w:r>
      <w:r>
        <w:t>of whether</w:t>
      </w:r>
      <w:r>
        <w:rPr>
          <w:spacing w:val="-10"/>
        </w:rPr>
        <w:t xml:space="preserve"> </w:t>
      </w:r>
      <w:r>
        <w:t>or</w:t>
      </w:r>
      <w:r>
        <w:rPr>
          <w:spacing w:val="-5"/>
        </w:rPr>
        <w:t xml:space="preserve"> </w:t>
      </w:r>
      <w:r>
        <w:t>not</w:t>
      </w:r>
      <w:r>
        <w:rPr>
          <w:spacing w:val="-2"/>
        </w:rPr>
        <w:t xml:space="preserve"> </w:t>
      </w:r>
      <w:r>
        <w:t>it</w:t>
      </w:r>
      <w:r>
        <w:rPr>
          <w:spacing w:val="-7"/>
        </w:rPr>
        <w:t xml:space="preserve"> </w:t>
      </w:r>
      <w:r>
        <w:t>could</w:t>
      </w:r>
      <w:r>
        <w:rPr>
          <w:spacing w:val="-4"/>
        </w:rPr>
        <w:t xml:space="preserve"> </w:t>
      </w:r>
      <w:r>
        <w:t>use</w:t>
      </w:r>
      <w:r>
        <w:rPr>
          <w:spacing w:val="-7"/>
        </w:rPr>
        <w:t xml:space="preserve"> </w:t>
      </w:r>
      <w:r>
        <w:t>the</w:t>
      </w:r>
      <w:r>
        <w:rPr>
          <w:spacing w:val="-3"/>
        </w:rPr>
        <w:t xml:space="preserve"> </w:t>
      </w:r>
      <w:r>
        <w:t>data</w:t>
      </w:r>
      <w:r>
        <w:rPr>
          <w:spacing w:val="-3"/>
        </w:rPr>
        <w:t xml:space="preserve"> </w:t>
      </w:r>
      <w:r>
        <w:t>provided.</w:t>
      </w:r>
      <w:r>
        <w:rPr>
          <w:spacing w:val="-6"/>
        </w:rPr>
        <w:t xml:space="preserve"> </w:t>
      </w:r>
      <w:r>
        <w:t>Nor</w:t>
      </w:r>
      <w:r>
        <w:rPr>
          <w:spacing w:val="-5"/>
        </w:rPr>
        <w:t xml:space="preserve"> </w:t>
      </w:r>
      <w:r>
        <w:t>is</w:t>
      </w:r>
      <w:r>
        <w:rPr>
          <w:spacing w:val="-6"/>
        </w:rPr>
        <w:t xml:space="preserve"> </w:t>
      </w:r>
      <w:r>
        <w:t>there</w:t>
      </w:r>
      <w:r>
        <w:rPr>
          <w:spacing w:val="-7"/>
        </w:rPr>
        <w:t xml:space="preserve"> </w:t>
      </w:r>
      <w:r>
        <w:t>any</w:t>
      </w:r>
      <w:r>
        <w:rPr>
          <w:spacing w:val="-6"/>
        </w:rPr>
        <w:t xml:space="preserve"> </w:t>
      </w:r>
      <w:r>
        <w:t>record</w:t>
      </w:r>
      <w:r>
        <w:rPr>
          <w:spacing w:val="-4"/>
        </w:rPr>
        <w:t xml:space="preserve"> </w:t>
      </w:r>
      <w:r>
        <w:t>of</w:t>
      </w:r>
      <w:r>
        <w:rPr>
          <w:spacing w:val="-4"/>
        </w:rPr>
        <w:t xml:space="preserve"> </w:t>
      </w:r>
      <w:r>
        <w:t>any</w:t>
      </w:r>
      <w:r>
        <w:rPr>
          <w:spacing w:val="-6"/>
        </w:rPr>
        <w:t xml:space="preserve"> </w:t>
      </w:r>
      <w:r>
        <w:t>consideration</w:t>
      </w:r>
      <w:r>
        <w:rPr>
          <w:spacing w:val="-4"/>
        </w:rPr>
        <w:t xml:space="preserve"> </w:t>
      </w:r>
      <w:r>
        <w:t>of Swan Vintage's relevant comments on the Preliminary Determination.</w:t>
      </w:r>
      <w:r>
        <w:rPr>
          <w:spacing w:val="-27"/>
        </w:rPr>
        <w:t xml:space="preserve"> </w:t>
      </w:r>
      <w:hyperlink w:anchor="_bookmark552" w:history="1">
        <w:r>
          <w:rPr>
            <w:vertAlign w:val="superscript"/>
          </w:rPr>
          <w:t>457</w:t>
        </w:r>
      </w:hyperlink>
    </w:p>
    <w:p w14:paraId="5A675BC2" w14:textId="77777777" w:rsidR="00BD462C" w:rsidRDefault="00BD462C">
      <w:pPr>
        <w:pStyle w:val="BodyText"/>
        <w:spacing w:before="5"/>
        <w:rPr>
          <w:sz w:val="8"/>
        </w:rPr>
      </w:pPr>
    </w:p>
    <w:p w14:paraId="4A37F579" w14:textId="6016F103" w:rsidR="00BD462C" w:rsidRDefault="00033D0F" w:rsidP="00DA02D9">
      <w:pPr>
        <w:pStyle w:val="BodyText"/>
        <w:numPr>
          <w:ilvl w:val="0"/>
          <w:numId w:val="71"/>
        </w:numPr>
        <w:spacing w:before="56" w:line="360" w:lineRule="auto"/>
        <w:ind w:right="915"/>
        <w:jc w:val="both"/>
      </w:pPr>
      <w:r>
        <w:rPr>
          <w:position w:val="1"/>
        </w:rPr>
        <w:t xml:space="preserve">In spite of the clear absence of any such reasoning on the record, China has sought </w:t>
      </w:r>
      <w:r>
        <w:t xml:space="preserve">to argue that certain information that Swan Vintage did not submit was necessary, and that this formed the basis of MOFCOM's recourse to facts available. This is clearly </w:t>
      </w:r>
      <w:r>
        <w:rPr>
          <w:i/>
        </w:rPr>
        <w:t xml:space="preserve">ex post facto </w:t>
      </w:r>
      <w:proofErr w:type="spellStart"/>
      <w:r>
        <w:t>rationalisation</w:t>
      </w:r>
      <w:proofErr w:type="spellEnd"/>
      <w:r>
        <w:t xml:space="preserve"> and cannot be accepted by the Panel.</w:t>
      </w:r>
    </w:p>
    <w:p w14:paraId="5FD0EE2F" w14:textId="77777777" w:rsidR="00BD462C" w:rsidRDefault="00BD462C">
      <w:pPr>
        <w:pStyle w:val="BodyText"/>
        <w:spacing w:before="8"/>
        <w:rPr>
          <w:sz w:val="8"/>
        </w:rPr>
      </w:pPr>
    </w:p>
    <w:p w14:paraId="6D4E68FF" w14:textId="76AC5113" w:rsidR="00BD462C" w:rsidRDefault="00033D0F" w:rsidP="00DA02D9">
      <w:pPr>
        <w:pStyle w:val="BodyText"/>
        <w:numPr>
          <w:ilvl w:val="0"/>
          <w:numId w:val="71"/>
        </w:numPr>
        <w:spacing w:before="56" w:line="355" w:lineRule="auto"/>
      </w:pPr>
      <w:r>
        <w:rPr>
          <w:position w:val="1"/>
        </w:rPr>
        <w:t>Yet,</w:t>
      </w:r>
      <w:r>
        <w:rPr>
          <w:spacing w:val="33"/>
          <w:position w:val="1"/>
        </w:rPr>
        <w:t xml:space="preserve"> </w:t>
      </w:r>
      <w:r>
        <w:rPr>
          <w:position w:val="1"/>
        </w:rPr>
        <w:t>even</w:t>
      </w:r>
      <w:r>
        <w:rPr>
          <w:spacing w:val="29"/>
          <w:position w:val="1"/>
        </w:rPr>
        <w:t xml:space="preserve"> </w:t>
      </w:r>
      <w:r>
        <w:rPr>
          <w:position w:val="1"/>
        </w:rPr>
        <w:t>assuming,</w:t>
      </w:r>
      <w:r>
        <w:rPr>
          <w:spacing w:val="33"/>
          <w:position w:val="1"/>
        </w:rPr>
        <w:t xml:space="preserve"> </w:t>
      </w:r>
      <w:r>
        <w:rPr>
          <w:i/>
          <w:position w:val="1"/>
        </w:rPr>
        <w:t>arguendo</w:t>
      </w:r>
      <w:r>
        <w:rPr>
          <w:position w:val="1"/>
        </w:rPr>
        <w:t>,</w:t>
      </w:r>
      <w:r>
        <w:rPr>
          <w:spacing w:val="33"/>
          <w:position w:val="1"/>
        </w:rPr>
        <w:t xml:space="preserve"> </w:t>
      </w:r>
      <w:r>
        <w:rPr>
          <w:position w:val="1"/>
        </w:rPr>
        <w:t>that</w:t>
      </w:r>
      <w:r>
        <w:rPr>
          <w:spacing w:val="32"/>
          <w:position w:val="1"/>
        </w:rPr>
        <w:t xml:space="preserve"> </w:t>
      </w:r>
      <w:r>
        <w:rPr>
          <w:position w:val="1"/>
        </w:rPr>
        <w:t>China's</w:t>
      </w:r>
      <w:r>
        <w:rPr>
          <w:spacing w:val="33"/>
          <w:position w:val="1"/>
        </w:rPr>
        <w:t xml:space="preserve"> </w:t>
      </w:r>
      <w:r>
        <w:rPr>
          <w:i/>
          <w:position w:val="1"/>
        </w:rPr>
        <w:t>ex</w:t>
      </w:r>
      <w:r>
        <w:rPr>
          <w:i/>
          <w:spacing w:val="32"/>
          <w:position w:val="1"/>
        </w:rPr>
        <w:t xml:space="preserve"> </w:t>
      </w:r>
      <w:r>
        <w:rPr>
          <w:i/>
          <w:position w:val="1"/>
        </w:rPr>
        <w:t>post</w:t>
      </w:r>
      <w:r>
        <w:rPr>
          <w:i/>
          <w:spacing w:val="32"/>
          <w:position w:val="1"/>
        </w:rPr>
        <w:t xml:space="preserve"> </w:t>
      </w:r>
      <w:r>
        <w:rPr>
          <w:i/>
          <w:position w:val="1"/>
        </w:rPr>
        <w:t>facto</w:t>
      </w:r>
      <w:r>
        <w:rPr>
          <w:i/>
          <w:spacing w:val="32"/>
          <w:position w:val="1"/>
        </w:rPr>
        <w:t xml:space="preserve"> </w:t>
      </w:r>
      <w:proofErr w:type="spellStart"/>
      <w:r>
        <w:rPr>
          <w:position w:val="1"/>
        </w:rPr>
        <w:t>rationalisation</w:t>
      </w:r>
      <w:proofErr w:type="spellEnd"/>
      <w:r>
        <w:rPr>
          <w:spacing w:val="29"/>
          <w:position w:val="1"/>
        </w:rPr>
        <w:t xml:space="preserve"> </w:t>
      </w:r>
      <w:r>
        <w:rPr>
          <w:position w:val="1"/>
        </w:rPr>
        <w:t>could</w:t>
      </w:r>
      <w:r>
        <w:rPr>
          <w:spacing w:val="29"/>
          <w:position w:val="1"/>
        </w:rPr>
        <w:t xml:space="preserve"> </w:t>
      </w:r>
      <w:r>
        <w:rPr>
          <w:position w:val="1"/>
        </w:rPr>
        <w:t xml:space="preserve">be </w:t>
      </w:r>
      <w:r>
        <w:t>considered</w:t>
      </w:r>
      <w:r>
        <w:rPr>
          <w:spacing w:val="-10"/>
        </w:rPr>
        <w:t xml:space="preserve"> </w:t>
      </w:r>
      <w:r>
        <w:t>by</w:t>
      </w:r>
      <w:r>
        <w:rPr>
          <w:spacing w:val="-7"/>
        </w:rPr>
        <w:t xml:space="preserve"> </w:t>
      </w:r>
      <w:r>
        <w:t>the</w:t>
      </w:r>
      <w:r>
        <w:rPr>
          <w:spacing w:val="-7"/>
        </w:rPr>
        <w:t xml:space="preserve"> </w:t>
      </w:r>
      <w:r>
        <w:t>Panel,</w:t>
      </w:r>
      <w:r>
        <w:rPr>
          <w:spacing w:val="-11"/>
        </w:rPr>
        <w:t xml:space="preserve"> </w:t>
      </w:r>
      <w:r>
        <w:t>it</w:t>
      </w:r>
      <w:r>
        <w:rPr>
          <w:spacing w:val="-7"/>
        </w:rPr>
        <w:t xml:space="preserve"> </w:t>
      </w:r>
      <w:r>
        <w:t>is</w:t>
      </w:r>
      <w:r>
        <w:rPr>
          <w:spacing w:val="-7"/>
        </w:rPr>
        <w:t xml:space="preserve"> </w:t>
      </w:r>
      <w:r>
        <w:t>clear</w:t>
      </w:r>
      <w:r>
        <w:rPr>
          <w:spacing w:val="-10"/>
        </w:rPr>
        <w:t xml:space="preserve"> </w:t>
      </w:r>
      <w:r>
        <w:t>that</w:t>
      </w:r>
      <w:r>
        <w:rPr>
          <w:spacing w:val="-12"/>
        </w:rPr>
        <w:t xml:space="preserve"> </w:t>
      </w:r>
      <w:r>
        <w:t>the</w:t>
      </w:r>
      <w:r>
        <w:rPr>
          <w:spacing w:val="-7"/>
        </w:rPr>
        <w:t xml:space="preserve"> </w:t>
      </w:r>
      <w:r>
        <w:t>information</w:t>
      </w:r>
      <w:r>
        <w:rPr>
          <w:spacing w:val="-10"/>
        </w:rPr>
        <w:t xml:space="preserve"> </w:t>
      </w:r>
      <w:r>
        <w:t>not</w:t>
      </w:r>
      <w:r>
        <w:rPr>
          <w:spacing w:val="-8"/>
        </w:rPr>
        <w:t xml:space="preserve"> </w:t>
      </w:r>
      <w:r>
        <w:t>provided</w:t>
      </w:r>
      <w:r>
        <w:rPr>
          <w:spacing w:val="-9"/>
        </w:rPr>
        <w:t xml:space="preserve"> </w:t>
      </w:r>
      <w:r>
        <w:t>by</w:t>
      </w:r>
      <w:r>
        <w:rPr>
          <w:spacing w:val="-7"/>
        </w:rPr>
        <w:t xml:space="preserve"> </w:t>
      </w:r>
      <w:r>
        <w:t>Swan</w:t>
      </w:r>
      <w:r>
        <w:rPr>
          <w:spacing w:val="-9"/>
        </w:rPr>
        <w:t xml:space="preserve"> </w:t>
      </w:r>
      <w:r>
        <w:t>Vintage</w:t>
      </w:r>
      <w:r>
        <w:rPr>
          <w:spacing w:val="-6"/>
        </w:rPr>
        <w:t xml:space="preserve"> </w:t>
      </w:r>
      <w:r>
        <w:t>was</w:t>
      </w:r>
      <w:r>
        <w:rPr>
          <w:spacing w:val="-6"/>
        </w:rPr>
        <w:t xml:space="preserve"> </w:t>
      </w:r>
      <w:r>
        <w:rPr>
          <w:spacing w:val="-5"/>
        </w:rPr>
        <w:t>not</w:t>
      </w:r>
    </w:p>
    <w:p w14:paraId="741EFC5D" w14:textId="034576D8" w:rsidR="00BD462C" w:rsidRDefault="00D70C7D">
      <w:pPr>
        <w:pStyle w:val="BodyText"/>
        <w:spacing w:before="9"/>
        <w:rPr>
          <w:sz w:val="28"/>
        </w:rPr>
      </w:pPr>
      <w:r>
        <w:rPr>
          <w:noProof/>
        </w:rPr>
        <mc:AlternateContent>
          <mc:Choice Requires="wps">
            <w:drawing>
              <wp:anchor distT="0" distB="0" distL="0" distR="0" simplePos="0" relativeHeight="487722496" behindDoc="1" locked="0" layoutInCell="1" allowOverlap="1" wp14:anchorId="47DBBCA7" wp14:editId="5122A8F4">
                <wp:simplePos x="0" y="0"/>
                <wp:positionH relativeFrom="page">
                  <wp:posOffset>899160</wp:posOffset>
                </wp:positionH>
                <wp:positionV relativeFrom="paragraph">
                  <wp:posOffset>238125</wp:posOffset>
                </wp:positionV>
                <wp:extent cx="1828800" cy="8890"/>
                <wp:effectExtent l="0" t="0" r="0" b="0"/>
                <wp:wrapTopAndBottom/>
                <wp:docPr id="846" name="docshape2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8F35FB" id="docshape293" o:spid="_x0000_s1026" alt="&quot;&quot;" style="position:absolute;margin-left:70.8pt;margin-top:18.75pt;width:2in;height:.7pt;z-index:-15593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" fillcolor="black" stroked="f">
                <w10:wrap type="topAndBottom" anchorx="page"/>
              </v:rect>
            </w:pict>
          </mc:Fallback>
        </mc:AlternateContent>
      </w:r>
    </w:p>
    <w:p w14:paraId="63C47431" w14:textId="77777777" w:rsidR="00BD462C" w:rsidRDefault="00033D0F">
      <w:pPr>
        <w:spacing w:before="112" w:line="218" w:lineRule="exact"/>
        <w:ind w:left="135"/>
        <w:rPr>
          <w:sz w:val="18"/>
        </w:rPr>
      </w:pPr>
      <w:bookmarkStart w:id="637" w:name="_bookmark547"/>
      <w:bookmarkEnd w:id="637"/>
      <w:r>
        <w:rPr>
          <w:position w:val="5"/>
          <w:sz w:val="12"/>
        </w:rPr>
        <w:t>452</w:t>
      </w:r>
      <w:r>
        <w:rPr>
          <w:spacing w:val="11"/>
          <w:position w:val="5"/>
          <w:sz w:val="12"/>
        </w:rPr>
        <w:t xml:space="preserve"> </w:t>
      </w:r>
      <w:r>
        <w:rPr>
          <w:sz w:val="18"/>
        </w:rPr>
        <w:t>Anti-Dumping</w:t>
      </w:r>
      <w:r>
        <w:rPr>
          <w:spacing w:val="-6"/>
          <w:sz w:val="18"/>
        </w:rPr>
        <w:t xml:space="preserve"> </w:t>
      </w:r>
      <w:r>
        <w:rPr>
          <w:sz w:val="18"/>
        </w:rPr>
        <w:t>Preliminary</w:t>
      </w:r>
      <w:r>
        <w:rPr>
          <w:spacing w:val="-8"/>
          <w:sz w:val="18"/>
        </w:rPr>
        <w:t xml:space="preserve"> </w:t>
      </w:r>
      <w:r>
        <w:rPr>
          <w:sz w:val="18"/>
        </w:rPr>
        <w:t>Determination</w:t>
      </w:r>
      <w:r>
        <w:rPr>
          <w:spacing w:val="-7"/>
          <w:sz w:val="18"/>
        </w:rPr>
        <w:t xml:space="preserve"> </w:t>
      </w:r>
      <w:r>
        <w:rPr>
          <w:sz w:val="18"/>
        </w:rPr>
        <w:t>(Exhibit</w:t>
      </w:r>
      <w:r>
        <w:rPr>
          <w:spacing w:val="-6"/>
          <w:sz w:val="18"/>
        </w:rPr>
        <w:t xml:space="preserve"> </w:t>
      </w:r>
      <w:r>
        <w:rPr>
          <w:sz w:val="18"/>
        </w:rPr>
        <w:t>AUS-35), pp.</w:t>
      </w:r>
      <w:r>
        <w:rPr>
          <w:spacing w:val="-6"/>
          <w:sz w:val="18"/>
        </w:rPr>
        <w:t xml:space="preserve"> </w:t>
      </w:r>
      <w:r>
        <w:rPr>
          <w:sz w:val="18"/>
        </w:rPr>
        <w:t>55-</w:t>
      </w:r>
      <w:r>
        <w:rPr>
          <w:spacing w:val="-5"/>
          <w:sz w:val="18"/>
        </w:rPr>
        <w:t>56.</w:t>
      </w:r>
    </w:p>
    <w:p w14:paraId="02AA781C" w14:textId="77777777" w:rsidR="00BD462C" w:rsidRDefault="00033D0F">
      <w:pPr>
        <w:spacing w:line="218" w:lineRule="exact"/>
        <w:ind w:left="135"/>
        <w:rPr>
          <w:sz w:val="18"/>
        </w:rPr>
      </w:pPr>
      <w:bookmarkStart w:id="638" w:name="_bookmark548"/>
      <w:bookmarkEnd w:id="638"/>
      <w:r>
        <w:rPr>
          <w:position w:val="5"/>
          <w:sz w:val="12"/>
        </w:rPr>
        <w:t>453</w:t>
      </w:r>
      <w:r>
        <w:rPr>
          <w:spacing w:val="11"/>
          <w:position w:val="5"/>
          <w:sz w:val="12"/>
        </w:rPr>
        <w:t xml:space="preserve"> </w:t>
      </w:r>
      <w:r>
        <w:rPr>
          <w:sz w:val="18"/>
        </w:rPr>
        <w:t>Anti-Dumping</w:t>
      </w:r>
      <w:r>
        <w:rPr>
          <w:spacing w:val="-7"/>
          <w:sz w:val="18"/>
        </w:rPr>
        <w:t xml:space="preserve"> </w:t>
      </w:r>
      <w:r>
        <w:rPr>
          <w:sz w:val="18"/>
        </w:rPr>
        <w:t>Final</w:t>
      </w:r>
      <w:r>
        <w:rPr>
          <w:spacing w:val="-2"/>
          <w:sz w:val="18"/>
        </w:rPr>
        <w:t xml:space="preserve"> </w:t>
      </w:r>
      <w:r>
        <w:rPr>
          <w:sz w:val="18"/>
        </w:rPr>
        <w:t>Determination</w:t>
      </w:r>
      <w:r>
        <w:rPr>
          <w:spacing w:val="-7"/>
          <w:sz w:val="18"/>
        </w:rPr>
        <w:t xml:space="preserve"> </w:t>
      </w:r>
      <w:r>
        <w:rPr>
          <w:sz w:val="18"/>
        </w:rPr>
        <w:t>(Exhibit</w:t>
      </w:r>
      <w:r>
        <w:rPr>
          <w:spacing w:val="-3"/>
          <w:sz w:val="18"/>
        </w:rPr>
        <w:t xml:space="preserve"> </w:t>
      </w:r>
      <w:r>
        <w:rPr>
          <w:sz w:val="18"/>
        </w:rPr>
        <w:t>AUS-2),</w:t>
      </w:r>
      <w:r>
        <w:rPr>
          <w:spacing w:val="-5"/>
          <w:sz w:val="18"/>
        </w:rPr>
        <w:t xml:space="preserve"> </w:t>
      </w:r>
      <w:r>
        <w:rPr>
          <w:sz w:val="18"/>
        </w:rPr>
        <w:t>p.</w:t>
      </w:r>
      <w:r>
        <w:rPr>
          <w:spacing w:val="-6"/>
          <w:sz w:val="18"/>
        </w:rPr>
        <w:t xml:space="preserve"> </w:t>
      </w:r>
      <w:r>
        <w:rPr>
          <w:sz w:val="18"/>
        </w:rPr>
        <w:t>90;</w:t>
      </w:r>
      <w:r>
        <w:rPr>
          <w:spacing w:val="-8"/>
          <w:sz w:val="18"/>
        </w:rPr>
        <w:t xml:space="preserve"> </w:t>
      </w:r>
      <w:r>
        <w:rPr>
          <w:sz w:val="18"/>
        </w:rPr>
        <w:t>Australia's</w:t>
      </w:r>
      <w:r>
        <w:rPr>
          <w:spacing w:val="-2"/>
          <w:sz w:val="18"/>
        </w:rPr>
        <w:t xml:space="preserve"> </w:t>
      </w:r>
      <w:r>
        <w:rPr>
          <w:sz w:val="18"/>
        </w:rPr>
        <w:t>first</w:t>
      </w:r>
      <w:r>
        <w:rPr>
          <w:spacing w:val="-6"/>
          <w:sz w:val="18"/>
        </w:rPr>
        <w:t xml:space="preserve"> </w:t>
      </w:r>
      <w:r>
        <w:rPr>
          <w:sz w:val="18"/>
        </w:rPr>
        <w:t>written</w:t>
      </w:r>
      <w:r>
        <w:rPr>
          <w:spacing w:val="-8"/>
          <w:sz w:val="18"/>
        </w:rPr>
        <w:t xml:space="preserve"> </w:t>
      </w:r>
      <w:r>
        <w:rPr>
          <w:sz w:val="18"/>
        </w:rPr>
        <w:t>submission,</w:t>
      </w:r>
      <w:r>
        <w:rPr>
          <w:spacing w:val="-5"/>
          <w:sz w:val="18"/>
        </w:rPr>
        <w:t xml:space="preserve"> </w:t>
      </w:r>
      <w:r>
        <w:rPr>
          <w:sz w:val="18"/>
        </w:rPr>
        <w:t>paras.</w:t>
      </w:r>
      <w:r>
        <w:rPr>
          <w:spacing w:val="-1"/>
          <w:sz w:val="18"/>
        </w:rPr>
        <w:t xml:space="preserve"> </w:t>
      </w:r>
      <w:r>
        <w:rPr>
          <w:sz w:val="18"/>
        </w:rPr>
        <w:t>434-</w:t>
      </w:r>
      <w:r>
        <w:rPr>
          <w:spacing w:val="-4"/>
          <w:sz w:val="18"/>
        </w:rPr>
        <w:t>436.</w:t>
      </w:r>
    </w:p>
    <w:p w14:paraId="60CE8AC2" w14:textId="77777777" w:rsidR="00BD462C" w:rsidRDefault="00033D0F">
      <w:pPr>
        <w:spacing w:before="1"/>
        <w:ind w:left="135"/>
        <w:rPr>
          <w:sz w:val="18"/>
        </w:rPr>
      </w:pPr>
      <w:bookmarkStart w:id="639" w:name="_bookmark549"/>
      <w:bookmarkEnd w:id="639"/>
      <w:r>
        <w:rPr>
          <w:position w:val="5"/>
          <w:sz w:val="12"/>
        </w:rPr>
        <w:t>454</w:t>
      </w:r>
      <w:r>
        <w:rPr>
          <w:spacing w:val="13"/>
          <w:position w:val="5"/>
          <w:sz w:val="12"/>
        </w:rPr>
        <w:t xml:space="preserve"> </w:t>
      </w:r>
      <w:r>
        <w:rPr>
          <w:sz w:val="18"/>
        </w:rPr>
        <w:t>Swan</w:t>
      </w:r>
      <w:r>
        <w:rPr>
          <w:spacing w:val="-7"/>
          <w:sz w:val="18"/>
        </w:rPr>
        <w:t xml:space="preserve"> </w:t>
      </w:r>
      <w:r>
        <w:rPr>
          <w:sz w:val="18"/>
        </w:rPr>
        <w:t>Vintage</w:t>
      </w:r>
      <w:r>
        <w:rPr>
          <w:spacing w:val="-2"/>
          <w:sz w:val="18"/>
        </w:rPr>
        <w:t xml:space="preserve"> </w:t>
      </w:r>
      <w:r>
        <w:rPr>
          <w:sz w:val="18"/>
        </w:rPr>
        <w:t>Comments</w:t>
      </w:r>
      <w:r>
        <w:rPr>
          <w:spacing w:val="-5"/>
          <w:sz w:val="18"/>
        </w:rPr>
        <w:t xml:space="preserve"> </w:t>
      </w:r>
      <w:r>
        <w:rPr>
          <w:sz w:val="18"/>
        </w:rPr>
        <w:t>on</w:t>
      </w:r>
      <w:r>
        <w:rPr>
          <w:spacing w:val="-7"/>
          <w:sz w:val="18"/>
        </w:rPr>
        <w:t xml:space="preserve"> </w:t>
      </w:r>
      <w:r>
        <w:rPr>
          <w:sz w:val="18"/>
        </w:rPr>
        <w:t>the</w:t>
      </w:r>
      <w:r>
        <w:rPr>
          <w:spacing w:val="-5"/>
          <w:sz w:val="18"/>
        </w:rPr>
        <w:t xml:space="preserve"> </w:t>
      </w:r>
      <w:r>
        <w:rPr>
          <w:sz w:val="18"/>
        </w:rPr>
        <w:t>Preliminary</w:t>
      </w:r>
      <w:r>
        <w:rPr>
          <w:spacing w:val="-3"/>
          <w:sz w:val="18"/>
        </w:rPr>
        <w:t xml:space="preserve"> </w:t>
      </w:r>
      <w:r>
        <w:rPr>
          <w:sz w:val="18"/>
        </w:rPr>
        <w:t>Determination</w:t>
      </w:r>
      <w:r>
        <w:rPr>
          <w:spacing w:val="-6"/>
          <w:sz w:val="18"/>
        </w:rPr>
        <w:t xml:space="preserve"> </w:t>
      </w:r>
      <w:r>
        <w:rPr>
          <w:sz w:val="18"/>
        </w:rPr>
        <w:t>(Exhibit</w:t>
      </w:r>
      <w:r>
        <w:rPr>
          <w:spacing w:val="-1"/>
          <w:sz w:val="18"/>
        </w:rPr>
        <w:t xml:space="preserve"> </w:t>
      </w:r>
      <w:r>
        <w:rPr>
          <w:sz w:val="18"/>
        </w:rPr>
        <w:t>AUS-38),</w:t>
      </w:r>
      <w:r>
        <w:rPr>
          <w:spacing w:val="-4"/>
          <w:sz w:val="18"/>
        </w:rPr>
        <w:t xml:space="preserve"> </w:t>
      </w:r>
      <w:r>
        <w:rPr>
          <w:sz w:val="18"/>
        </w:rPr>
        <w:t>p.</w:t>
      </w:r>
      <w:r>
        <w:rPr>
          <w:spacing w:val="-4"/>
          <w:sz w:val="18"/>
        </w:rPr>
        <w:t xml:space="preserve"> </w:t>
      </w:r>
      <w:r>
        <w:rPr>
          <w:spacing w:val="-5"/>
          <w:sz w:val="18"/>
        </w:rPr>
        <w:t>7.</w:t>
      </w:r>
    </w:p>
    <w:p w14:paraId="6EAE2458" w14:textId="77777777" w:rsidR="00BD462C" w:rsidRDefault="00033D0F">
      <w:pPr>
        <w:spacing w:before="1"/>
        <w:ind w:left="135"/>
        <w:rPr>
          <w:sz w:val="18"/>
        </w:rPr>
      </w:pPr>
      <w:bookmarkStart w:id="640" w:name="_bookmark550"/>
      <w:bookmarkEnd w:id="640"/>
      <w:r>
        <w:rPr>
          <w:position w:val="5"/>
          <w:sz w:val="12"/>
        </w:rPr>
        <w:t>455</w:t>
      </w:r>
      <w:r>
        <w:rPr>
          <w:spacing w:val="12"/>
          <w:position w:val="5"/>
          <w:sz w:val="12"/>
        </w:rPr>
        <w:t xml:space="preserve"> </w:t>
      </w:r>
      <w:r>
        <w:rPr>
          <w:sz w:val="18"/>
        </w:rPr>
        <w:t>Swan</w:t>
      </w:r>
      <w:r>
        <w:rPr>
          <w:spacing w:val="-6"/>
          <w:sz w:val="18"/>
        </w:rPr>
        <w:t xml:space="preserve"> </w:t>
      </w:r>
      <w:r>
        <w:rPr>
          <w:sz w:val="18"/>
        </w:rPr>
        <w:t>Vintage</w:t>
      </w:r>
      <w:r>
        <w:rPr>
          <w:spacing w:val="-2"/>
          <w:sz w:val="18"/>
        </w:rPr>
        <w:t xml:space="preserve"> </w:t>
      </w:r>
      <w:r>
        <w:rPr>
          <w:sz w:val="18"/>
        </w:rPr>
        <w:t>Comments</w:t>
      </w:r>
      <w:r>
        <w:rPr>
          <w:spacing w:val="-6"/>
          <w:sz w:val="18"/>
        </w:rPr>
        <w:t xml:space="preserve"> </w:t>
      </w:r>
      <w:r>
        <w:rPr>
          <w:sz w:val="18"/>
        </w:rPr>
        <w:t>on</w:t>
      </w:r>
      <w:r>
        <w:rPr>
          <w:spacing w:val="-6"/>
          <w:sz w:val="18"/>
        </w:rPr>
        <w:t xml:space="preserve"> </w:t>
      </w:r>
      <w:r>
        <w:rPr>
          <w:sz w:val="18"/>
        </w:rPr>
        <w:t>the</w:t>
      </w:r>
      <w:r>
        <w:rPr>
          <w:spacing w:val="-6"/>
          <w:sz w:val="18"/>
        </w:rPr>
        <w:t xml:space="preserve"> </w:t>
      </w:r>
      <w:r>
        <w:rPr>
          <w:sz w:val="18"/>
        </w:rPr>
        <w:t>Preliminary</w:t>
      </w:r>
      <w:r>
        <w:rPr>
          <w:spacing w:val="-2"/>
          <w:sz w:val="18"/>
        </w:rPr>
        <w:t xml:space="preserve"> </w:t>
      </w:r>
      <w:r>
        <w:rPr>
          <w:sz w:val="18"/>
        </w:rPr>
        <w:t>Determination</w:t>
      </w:r>
      <w:r>
        <w:rPr>
          <w:spacing w:val="-7"/>
          <w:sz w:val="18"/>
        </w:rPr>
        <w:t xml:space="preserve"> </w:t>
      </w:r>
      <w:r>
        <w:rPr>
          <w:sz w:val="18"/>
        </w:rPr>
        <w:t>(Exhibit</w:t>
      </w:r>
      <w:r>
        <w:rPr>
          <w:spacing w:val="-1"/>
          <w:sz w:val="18"/>
        </w:rPr>
        <w:t xml:space="preserve"> </w:t>
      </w:r>
      <w:r>
        <w:rPr>
          <w:sz w:val="18"/>
        </w:rPr>
        <w:t>AUS-38),</w:t>
      </w:r>
      <w:r>
        <w:rPr>
          <w:spacing w:val="-4"/>
          <w:sz w:val="18"/>
        </w:rPr>
        <w:t xml:space="preserve"> </w:t>
      </w:r>
      <w:r>
        <w:rPr>
          <w:sz w:val="18"/>
        </w:rPr>
        <w:t>p.</w:t>
      </w:r>
      <w:r>
        <w:rPr>
          <w:spacing w:val="-4"/>
          <w:sz w:val="18"/>
        </w:rPr>
        <w:t xml:space="preserve"> </w:t>
      </w:r>
      <w:r>
        <w:rPr>
          <w:spacing w:val="-5"/>
          <w:sz w:val="18"/>
        </w:rPr>
        <w:t>5.</w:t>
      </w:r>
    </w:p>
    <w:p w14:paraId="29B53C15" w14:textId="77777777" w:rsidR="00BD462C" w:rsidRDefault="00033D0F">
      <w:pPr>
        <w:spacing w:before="1"/>
        <w:ind w:left="135"/>
        <w:rPr>
          <w:sz w:val="18"/>
        </w:rPr>
      </w:pPr>
      <w:bookmarkStart w:id="641" w:name="_bookmark551"/>
      <w:bookmarkEnd w:id="641"/>
      <w:r>
        <w:rPr>
          <w:position w:val="5"/>
          <w:sz w:val="12"/>
        </w:rPr>
        <w:t>456</w:t>
      </w:r>
      <w:r>
        <w:rPr>
          <w:spacing w:val="13"/>
          <w:position w:val="5"/>
          <w:sz w:val="12"/>
        </w:rPr>
        <w:t xml:space="preserve"> </w:t>
      </w:r>
      <w:r>
        <w:rPr>
          <w:sz w:val="18"/>
        </w:rPr>
        <w:t>See</w:t>
      </w:r>
      <w:r>
        <w:rPr>
          <w:spacing w:val="-5"/>
          <w:sz w:val="18"/>
        </w:rPr>
        <w:t xml:space="preserve"> </w:t>
      </w:r>
      <w:r>
        <w:rPr>
          <w:sz w:val="18"/>
        </w:rPr>
        <w:t>for</w:t>
      </w:r>
      <w:r>
        <w:rPr>
          <w:spacing w:val="-8"/>
          <w:sz w:val="18"/>
        </w:rPr>
        <w:t xml:space="preserve"> </w:t>
      </w:r>
      <w:r>
        <w:rPr>
          <w:sz w:val="18"/>
        </w:rPr>
        <w:t>example</w:t>
      </w:r>
      <w:r>
        <w:rPr>
          <w:spacing w:val="-5"/>
          <w:sz w:val="18"/>
        </w:rPr>
        <w:t xml:space="preserve"> </w:t>
      </w:r>
      <w:r>
        <w:rPr>
          <w:sz w:val="18"/>
        </w:rPr>
        <w:t>Australia's</w:t>
      </w:r>
      <w:r>
        <w:rPr>
          <w:spacing w:val="-5"/>
          <w:sz w:val="18"/>
        </w:rPr>
        <w:t xml:space="preserve"> </w:t>
      </w:r>
      <w:r>
        <w:rPr>
          <w:sz w:val="18"/>
        </w:rPr>
        <w:t>first</w:t>
      </w:r>
      <w:r>
        <w:rPr>
          <w:spacing w:val="-4"/>
          <w:sz w:val="18"/>
        </w:rPr>
        <w:t xml:space="preserve"> </w:t>
      </w:r>
      <w:r>
        <w:rPr>
          <w:sz w:val="18"/>
        </w:rPr>
        <w:t>written</w:t>
      </w:r>
      <w:r>
        <w:rPr>
          <w:spacing w:val="-2"/>
          <w:sz w:val="18"/>
        </w:rPr>
        <w:t xml:space="preserve"> </w:t>
      </w:r>
      <w:r>
        <w:rPr>
          <w:sz w:val="18"/>
        </w:rPr>
        <w:t>submission,</w:t>
      </w:r>
      <w:r>
        <w:rPr>
          <w:spacing w:val="1"/>
          <w:sz w:val="18"/>
        </w:rPr>
        <w:t xml:space="preserve"> </w:t>
      </w:r>
      <w:r>
        <w:rPr>
          <w:sz w:val="18"/>
        </w:rPr>
        <w:t>paras.</w:t>
      </w:r>
      <w:r>
        <w:rPr>
          <w:spacing w:val="-4"/>
          <w:sz w:val="18"/>
        </w:rPr>
        <w:t xml:space="preserve"> </w:t>
      </w:r>
      <w:r>
        <w:rPr>
          <w:sz w:val="18"/>
        </w:rPr>
        <w:t>475-</w:t>
      </w:r>
      <w:r>
        <w:rPr>
          <w:spacing w:val="-4"/>
          <w:sz w:val="18"/>
        </w:rPr>
        <w:t>476.</w:t>
      </w:r>
    </w:p>
    <w:p w14:paraId="28CEABB3" w14:textId="77777777" w:rsidR="00BD462C" w:rsidRDefault="00033D0F">
      <w:pPr>
        <w:spacing w:before="1"/>
        <w:ind w:left="135"/>
        <w:rPr>
          <w:sz w:val="18"/>
        </w:rPr>
      </w:pPr>
      <w:bookmarkStart w:id="642" w:name="_bookmark552"/>
      <w:bookmarkEnd w:id="642"/>
      <w:r>
        <w:rPr>
          <w:position w:val="5"/>
          <w:sz w:val="12"/>
        </w:rPr>
        <w:t>457</w:t>
      </w:r>
      <w:r>
        <w:rPr>
          <w:spacing w:val="12"/>
          <w:position w:val="5"/>
          <w:sz w:val="12"/>
        </w:rPr>
        <w:t xml:space="preserve"> </w:t>
      </w:r>
      <w:r>
        <w:rPr>
          <w:sz w:val="18"/>
        </w:rPr>
        <w:t>Swan</w:t>
      </w:r>
      <w:r>
        <w:rPr>
          <w:spacing w:val="-6"/>
          <w:sz w:val="18"/>
        </w:rPr>
        <w:t xml:space="preserve"> </w:t>
      </w:r>
      <w:r>
        <w:rPr>
          <w:sz w:val="18"/>
        </w:rPr>
        <w:t>Vintage</w:t>
      </w:r>
      <w:r>
        <w:rPr>
          <w:spacing w:val="-2"/>
          <w:sz w:val="18"/>
        </w:rPr>
        <w:t xml:space="preserve"> </w:t>
      </w:r>
      <w:r>
        <w:rPr>
          <w:sz w:val="18"/>
        </w:rPr>
        <w:t>Comments</w:t>
      </w:r>
      <w:r>
        <w:rPr>
          <w:spacing w:val="-6"/>
          <w:sz w:val="18"/>
        </w:rPr>
        <w:t xml:space="preserve"> </w:t>
      </w:r>
      <w:r>
        <w:rPr>
          <w:sz w:val="18"/>
        </w:rPr>
        <w:t>on</w:t>
      </w:r>
      <w:r>
        <w:rPr>
          <w:spacing w:val="-6"/>
          <w:sz w:val="18"/>
        </w:rPr>
        <w:t xml:space="preserve"> </w:t>
      </w:r>
      <w:r>
        <w:rPr>
          <w:sz w:val="18"/>
        </w:rPr>
        <w:t>the</w:t>
      </w:r>
      <w:r>
        <w:rPr>
          <w:spacing w:val="-6"/>
          <w:sz w:val="18"/>
        </w:rPr>
        <w:t xml:space="preserve"> </w:t>
      </w:r>
      <w:r>
        <w:rPr>
          <w:sz w:val="18"/>
        </w:rPr>
        <w:t>Preliminary</w:t>
      </w:r>
      <w:r>
        <w:rPr>
          <w:spacing w:val="-2"/>
          <w:sz w:val="18"/>
        </w:rPr>
        <w:t xml:space="preserve"> </w:t>
      </w:r>
      <w:r>
        <w:rPr>
          <w:sz w:val="18"/>
        </w:rPr>
        <w:t>Determination</w:t>
      </w:r>
      <w:r>
        <w:rPr>
          <w:spacing w:val="-7"/>
          <w:sz w:val="18"/>
        </w:rPr>
        <w:t xml:space="preserve"> </w:t>
      </w:r>
      <w:r>
        <w:rPr>
          <w:sz w:val="18"/>
        </w:rPr>
        <w:t>(Exhibit</w:t>
      </w:r>
      <w:r>
        <w:rPr>
          <w:spacing w:val="-1"/>
          <w:sz w:val="18"/>
        </w:rPr>
        <w:t xml:space="preserve"> </w:t>
      </w:r>
      <w:r>
        <w:rPr>
          <w:sz w:val="18"/>
        </w:rPr>
        <w:t>AUS-38),</w:t>
      </w:r>
      <w:r>
        <w:rPr>
          <w:spacing w:val="-4"/>
          <w:sz w:val="18"/>
        </w:rPr>
        <w:t xml:space="preserve"> </w:t>
      </w:r>
      <w:r>
        <w:rPr>
          <w:sz w:val="18"/>
        </w:rPr>
        <w:t>p.</w:t>
      </w:r>
      <w:r>
        <w:rPr>
          <w:spacing w:val="-4"/>
          <w:sz w:val="18"/>
        </w:rPr>
        <w:t xml:space="preserve"> </w:t>
      </w:r>
      <w:r>
        <w:rPr>
          <w:spacing w:val="-5"/>
          <w:sz w:val="18"/>
        </w:rPr>
        <w:t>5.</w:t>
      </w:r>
    </w:p>
    <w:p w14:paraId="1B9DC31A" w14:textId="77777777" w:rsidR="00BD462C" w:rsidRDefault="00BD462C">
      <w:pPr>
        <w:rPr>
          <w:sz w:val="18"/>
        </w:rPr>
        <w:sectPr w:rsidR="00BD462C">
          <w:pgSz w:w="11910" w:h="16840"/>
          <w:pgMar w:top="860" w:right="500" w:bottom="780" w:left="1280" w:header="566" w:footer="590" w:gutter="0"/>
          <w:cols w:space="720"/>
        </w:sectPr>
      </w:pPr>
    </w:p>
    <w:p w14:paraId="0E528474"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0EB01EF9"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15A0FF37"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5C6BA2C4" w14:textId="77777777" w:rsidR="00BD462C" w:rsidRDefault="00033D0F">
      <w:pPr>
        <w:pStyle w:val="BodyText"/>
        <w:spacing w:before="102" w:line="360" w:lineRule="auto"/>
        <w:ind w:left="135" w:right="913"/>
        <w:jc w:val="both"/>
      </w:pPr>
      <w:r>
        <w:t>"necessary".</w:t>
      </w:r>
      <w:r>
        <w:rPr>
          <w:spacing w:val="-14"/>
        </w:rPr>
        <w:t xml:space="preserve"> </w:t>
      </w:r>
      <w:r>
        <w:t>China</w:t>
      </w:r>
      <w:r>
        <w:rPr>
          <w:spacing w:val="-14"/>
        </w:rPr>
        <w:t xml:space="preserve"> </w:t>
      </w:r>
      <w:r>
        <w:t>argues</w:t>
      </w:r>
      <w:r>
        <w:rPr>
          <w:spacing w:val="-13"/>
        </w:rPr>
        <w:t xml:space="preserve"> </w:t>
      </w:r>
      <w:r>
        <w:t>that</w:t>
      </w:r>
      <w:r>
        <w:rPr>
          <w:spacing w:val="-14"/>
        </w:rPr>
        <w:t xml:space="preserve"> </w:t>
      </w:r>
      <w:r>
        <w:t>"[c]</w:t>
      </w:r>
      <w:proofErr w:type="spellStart"/>
      <w:r>
        <w:t>ost</w:t>
      </w:r>
      <w:proofErr w:type="spellEnd"/>
      <w:r>
        <w:rPr>
          <w:spacing w:val="-13"/>
        </w:rPr>
        <w:t xml:space="preserve"> </w:t>
      </w:r>
      <w:r>
        <w:t>of</w:t>
      </w:r>
      <w:r>
        <w:rPr>
          <w:spacing w:val="-14"/>
        </w:rPr>
        <w:t xml:space="preserve"> </w:t>
      </w:r>
      <w:r>
        <w:t>production</w:t>
      </w:r>
      <w:r>
        <w:rPr>
          <w:spacing w:val="-13"/>
        </w:rPr>
        <w:t xml:space="preserve"> </w:t>
      </w:r>
      <w:r>
        <w:t>data</w:t>
      </w:r>
      <w:r>
        <w:rPr>
          <w:spacing w:val="-14"/>
        </w:rPr>
        <w:t xml:space="preserve"> </w:t>
      </w:r>
      <w:r>
        <w:t>by</w:t>
      </w:r>
      <w:r>
        <w:rPr>
          <w:spacing w:val="-14"/>
        </w:rPr>
        <w:t xml:space="preserve"> </w:t>
      </w:r>
      <w:r>
        <w:t>PCN",</w:t>
      </w:r>
      <w:r>
        <w:rPr>
          <w:spacing w:val="-13"/>
        </w:rPr>
        <w:t xml:space="preserve"> </w:t>
      </w:r>
      <w:hyperlink w:anchor="_bookmark554" w:history="1">
        <w:r>
          <w:rPr>
            <w:vertAlign w:val="superscript"/>
          </w:rPr>
          <w:t>458</w:t>
        </w:r>
      </w:hyperlink>
      <w:r>
        <w:rPr>
          <w:spacing w:val="-14"/>
        </w:rPr>
        <w:t xml:space="preserve"> </w:t>
      </w:r>
      <w:r>
        <w:t>and</w:t>
      </w:r>
      <w:r>
        <w:rPr>
          <w:spacing w:val="-13"/>
        </w:rPr>
        <w:t xml:space="preserve"> </w:t>
      </w:r>
      <w:r>
        <w:t>the</w:t>
      </w:r>
      <w:r>
        <w:rPr>
          <w:spacing w:val="-13"/>
        </w:rPr>
        <w:t xml:space="preserve"> </w:t>
      </w:r>
      <w:r>
        <w:t>pithily</w:t>
      </w:r>
      <w:r>
        <w:rPr>
          <w:spacing w:val="-11"/>
        </w:rPr>
        <w:t xml:space="preserve"> </w:t>
      </w:r>
      <w:r>
        <w:t>described "cost</w:t>
      </w:r>
      <w:r>
        <w:rPr>
          <w:spacing w:val="-3"/>
        </w:rPr>
        <w:t xml:space="preserve"> </w:t>
      </w:r>
      <w:r>
        <w:t>of</w:t>
      </w:r>
      <w:r>
        <w:rPr>
          <w:spacing w:val="-5"/>
        </w:rPr>
        <w:t xml:space="preserve"> </w:t>
      </w:r>
      <w:r>
        <w:t>production</w:t>
      </w:r>
      <w:r>
        <w:rPr>
          <w:spacing w:val="-5"/>
        </w:rPr>
        <w:t xml:space="preserve"> </w:t>
      </w:r>
      <w:r>
        <w:t>incurred by</w:t>
      </w:r>
      <w:r>
        <w:rPr>
          <w:spacing w:val="-2"/>
        </w:rPr>
        <w:t xml:space="preserve"> </w:t>
      </w:r>
      <w:r>
        <w:t>a</w:t>
      </w:r>
      <w:r>
        <w:rPr>
          <w:spacing w:val="-4"/>
        </w:rPr>
        <w:t xml:space="preserve"> </w:t>
      </w:r>
      <w:r>
        <w:t>related</w:t>
      </w:r>
      <w:r>
        <w:rPr>
          <w:spacing w:val="-5"/>
        </w:rPr>
        <w:t xml:space="preserve"> </w:t>
      </w:r>
      <w:r>
        <w:t>input</w:t>
      </w:r>
      <w:r>
        <w:rPr>
          <w:spacing w:val="-3"/>
        </w:rPr>
        <w:t xml:space="preserve"> </w:t>
      </w:r>
      <w:r>
        <w:t>supplier</w:t>
      </w:r>
      <w:r>
        <w:rPr>
          <w:spacing w:val="-6"/>
        </w:rPr>
        <w:t xml:space="preserve"> </w:t>
      </w:r>
      <w:r>
        <w:t>for</w:t>
      </w:r>
      <w:r>
        <w:rPr>
          <w:spacing w:val="-6"/>
        </w:rPr>
        <w:t xml:space="preserve"> </w:t>
      </w:r>
      <w:r>
        <w:t>inputs</w:t>
      </w:r>
      <w:r>
        <w:rPr>
          <w:spacing w:val="-2"/>
        </w:rPr>
        <w:t xml:space="preserve"> </w:t>
      </w:r>
      <w:r>
        <w:t>that</w:t>
      </w:r>
      <w:r>
        <w:rPr>
          <w:spacing w:val="-3"/>
        </w:rPr>
        <w:t xml:space="preserve"> </w:t>
      </w:r>
      <w:r>
        <w:t>are</w:t>
      </w:r>
      <w:r>
        <w:rPr>
          <w:spacing w:val="-3"/>
        </w:rPr>
        <w:t xml:space="preserve"> </w:t>
      </w:r>
      <w:r>
        <w:t>subsequently</w:t>
      </w:r>
      <w:r>
        <w:rPr>
          <w:spacing w:val="-2"/>
        </w:rPr>
        <w:t xml:space="preserve"> </w:t>
      </w:r>
      <w:r>
        <w:t>used in the production",</w:t>
      </w:r>
      <w:r>
        <w:rPr>
          <w:spacing w:val="-14"/>
        </w:rPr>
        <w:t xml:space="preserve"> </w:t>
      </w:r>
      <w:hyperlink w:anchor="_bookmark555" w:history="1">
        <w:r>
          <w:rPr>
            <w:vertAlign w:val="superscript"/>
          </w:rPr>
          <w:t>459</w:t>
        </w:r>
      </w:hyperlink>
      <w:r>
        <w:t xml:space="preserve"> were necessary information which Swan Vintage did not submit. In contrast, China does not appear</w:t>
      </w:r>
      <w:r>
        <w:rPr>
          <w:spacing w:val="-1"/>
        </w:rPr>
        <w:t xml:space="preserve"> </w:t>
      </w:r>
      <w:r>
        <w:t>to argue that the "cost sheets" were necessary information. Rather it implies that these were necessary for verification and their absence was therefore "not the main reason" for MOFCOM's recourse to facts available.</w:t>
      </w:r>
      <w:hyperlink w:anchor="_bookmark556" w:history="1">
        <w:r>
          <w:rPr>
            <w:vertAlign w:val="superscript"/>
          </w:rPr>
          <w:t>460</w:t>
        </w:r>
      </w:hyperlink>
    </w:p>
    <w:p w14:paraId="2850257A" w14:textId="77777777" w:rsidR="00BD462C" w:rsidRDefault="00BD462C">
      <w:pPr>
        <w:pStyle w:val="BodyText"/>
        <w:spacing w:before="8"/>
        <w:rPr>
          <w:sz w:val="8"/>
        </w:rPr>
      </w:pPr>
    </w:p>
    <w:p w14:paraId="25BA7EDB" w14:textId="4C0F63E1" w:rsidR="00BD462C" w:rsidRDefault="00033D0F" w:rsidP="00DA02D9">
      <w:pPr>
        <w:pStyle w:val="BodyText"/>
        <w:numPr>
          <w:ilvl w:val="0"/>
          <w:numId w:val="71"/>
        </w:numPr>
        <w:spacing w:before="56" w:line="357" w:lineRule="auto"/>
        <w:ind w:right="917"/>
        <w:jc w:val="both"/>
      </w:pPr>
      <w:r>
        <w:rPr>
          <w:position w:val="1"/>
        </w:rPr>
        <w:t xml:space="preserve">For these reasons, there was clearly no necessary information missing from the </w:t>
      </w:r>
      <w:r>
        <w:t>record. However, for completeness, Australia will address each item of allegedly missing necessary information in detail below.</w:t>
      </w:r>
    </w:p>
    <w:p w14:paraId="7EA1609C" w14:textId="77777777" w:rsidR="00BD462C" w:rsidRDefault="00033D0F">
      <w:pPr>
        <w:pStyle w:val="ListParagraph"/>
        <w:numPr>
          <w:ilvl w:val="1"/>
          <w:numId w:val="34"/>
        </w:numPr>
        <w:tabs>
          <w:tab w:val="left" w:pos="3539"/>
          <w:tab w:val="left" w:pos="3540"/>
        </w:tabs>
        <w:spacing w:before="164"/>
        <w:ind w:hanging="851"/>
        <w:jc w:val="both"/>
        <w:rPr>
          <w:sz w:val="24"/>
        </w:rPr>
      </w:pPr>
      <w:bookmarkStart w:id="643" w:name="(a)_Product_Control_Numbers"/>
      <w:bookmarkStart w:id="644" w:name="_bookmark553"/>
      <w:bookmarkEnd w:id="643"/>
      <w:bookmarkEnd w:id="644"/>
      <w:r>
        <w:rPr>
          <w:sz w:val="24"/>
          <w:u w:val="single"/>
        </w:rPr>
        <w:t>Product</w:t>
      </w:r>
      <w:r>
        <w:rPr>
          <w:spacing w:val="-7"/>
          <w:sz w:val="24"/>
          <w:u w:val="single"/>
        </w:rPr>
        <w:t xml:space="preserve"> </w:t>
      </w:r>
      <w:r>
        <w:rPr>
          <w:sz w:val="24"/>
          <w:u w:val="single"/>
        </w:rPr>
        <w:t>Control</w:t>
      </w:r>
      <w:r>
        <w:rPr>
          <w:spacing w:val="-5"/>
          <w:sz w:val="24"/>
          <w:u w:val="single"/>
        </w:rPr>
        <w:t xml:space="preserve"> </w:t>
      </w:r>
      <w:r>
        <w:rPr>
          <w:spacing w:val="-2"/>
          <w:sz w:val="24"/>
          <w:u w:val="single"/>
        </w:rPr>
        <w:t>Numbers</w:t>
      </w:r>
    </w:p>
    <w:p w14:paraId="100444B3" w14:textId="77777777" w:rsidR="00BD462C" w:rsidRDefault="00BD462C">
      <w:pPr>
        <w:pStyle w:val="BodyText"/>
        <w:spacing w:before="12"/>
        <w:rPr>
          <w:sz w:val="20"/>
        </w:rPr>
      </w:pPr>
    </w:p>
    <w:p w14:paraId="0ECC3C9B" w14:textId="10E61BEC" w:rsidR="00BD462C" w:rsidRDefault="00033D0F" w:rsidP="00DA02D9">
      <w:pPr>
        <w:pStyle w:val="BodyText"/>
        <w:numPr>
          <w:ilvl w:val="0"/>
          <w:numId w:val="71"/>
        </w:numPr>
        <w:spacing w:before="56" w:line="360" w:lineRule="auto"/>
        <w:ind w:right="912"/>
        <w:jc w:val="both"/>
      </w:pPr>
      <w:r>
        <w:rPr>
          <w:position w:val="1"/>
        </w:rPr>
        <w:t xml:space="preserve">In its first written submission, Australia explained that Article 2.2.1.1 instructs </w:t>
      </w:r>
      <w:r>
        <w:t>investigating authorities to use records consistent with GAAP that "reasonably reflect the costs associated with the production and sale of the product under consideration". Thus, Article</w:t>
      </w:r>
      <w:r>
        <w:rPr>
          <w:spacing w:val="-10"/>
        </w:rPr>
        <w:t xml:space="preserve"> </w:t>
      </w:r>
      <w:r>
        <w:t>2.2.1.1</w:t>
      </w:r>
      <w:r>
        <w:rPr>
          <w:spacing w:val="-14"/>
        </w:rPr>
        <w:t xml:space="preserve"> </w:t>
      </w:r>
      <w:r>
        <w:t>"identifies</w:t>
      </w:r>
      <w:r>
        <w:rPr>
          <w:spacing w:val="-10"/>
        </w:rPr>
        <w:t xml:space="preserve"> </w:t>
      </w:r>
      <w:r>
        <w:t>the</w:t>
      </w:r>
      <w:r>
        <w:rPr>
          <w:spacing w:val="-13"/>
        </w:rPr>
        <w:t xml:space="preserve"> </w:t>
      </w:r>
      <w:r>
        <w:t>records</w:t>
      </w:r>
      <w:r>
        <w:rPr>
          <w:spacing w:val="-11"/>
        </w:rPr>
        <w:t xml:space="preserve"> </w:t>
      </w:r>
      <w:r>
        <w:t>of</w:t>
      </w:r>
      <w:r>
        <w:rPr>
          <w:spacing w:val="-14"/>
        </w:rPr>
        <w:t xml:space="preserve"> </w:t>
      </w:r>
      <w:r>
        <w:t>the</w:t>
      </w:r>
      <w:r>
        <w:rPr>
          <w:spacing w:val="-12"/>
        </w:rPr>
        <w:t xml:space="preserve"> </w:t>
      </w:r>
      <w:r>
        <w:t>investigated</w:t>
      </w:r>
      <w:r>
        <w:rPr>
          <w:spacing w:val="-14"/>
        </w:rPr>
        <w:t xml:space="preserve"> </w:t>
      </w:r>
      <w:r>
        <w:t>exporter</w:t>
      </w:r>
      <w:r>
        <w:rPr>
          <w:spacing w:val="-14"/>
        </w:rPr>
        <w:t xml:space="preserve"> </w:t>
      </w:r>
      <w:r>
        <w:t>or</w:t>
      </w:r>
      <w:r>
        <w:rPr>
          <w:spacing w:val="-13"/>
        </w:rPr>
        <w:t xml:space="preserve"> </w:t>
      </w:r>
      <w:r>
        <w:t>producer</w:t>
      </w:r>
      <w:r>
        <w:rPr>
          <w:spacing w:val="-14"/>
        </w:rPr>
        <w:t xml:space="preserve"> </w:t>
      </w:r>
      <w:r>
        <w:t>as</w:t>
      </w:r>
      <w:r>
        <w:rPr>
          <w:spacing w:val="-10"/>
        </w:rPr>
        <w:t xml:space="preserve"> </w:t>
      </w:r>
      <w:r>
        <w:t>the</w:t>
      </w:r>
      <w:r>
        <w:rPr>
          <w:spacing w:val="-13"/>
        </w:rPr>
        <w:t xml:space="preserve"> </w:t>
      </w:r>
      <w:r>
        <w:t>preferred source for</w:t>
      </w:r>
      <w:r>
        <w:rPr>
          <w:spacing w:val="-2"/>
        </w:rPr>
        <w:t xml:space="preserve"> </w:t>
      </w:r>
      <w:r>
        <w:t>cost of</w:t>
      </w:r>
      <w:r>
        <w:rPr>
          <w:spacing w:val="-1"/>
        </w:rPr>
        <w:t xml:space="preserve"> </w:t>
      </w:r>
      <w:r>
        <w:t>production</w:t>
      </w:r>
      <w:r>
        <w:rPr>
          <w:spacing w:val="-2"/>
        </w:rPr>
        <w:t xml:space="preserve"> </w:t>
      </w:r>
      <w:proofErr w:type="gramStart"/>
      <w:r>
        <w:t>data, and</w:t>
      </w:r>
      <w:proofErr w:type="gramEnd"/>
      <w:r>
        <w:rPr>
          <w:spacing w:val="-2"/>
        </w:rPr>
        <w:t xml:space="preserve"> </w:t>
      </w:r>
      <w:r>
        <w:t>directs an</w:t>
      </w:r>
      <w:r>
        <w:rPr>
          <w:spacing w:val="-2"/>
        </w:rPr>
        <w:t xml:space="preserve"> </w:t>
      </w:r>
      <w:r>
        <w:t>investigating authority to</w:t>
      </w:r>
      <w:r>
        <w:rPr>
          <w:spacing w:val="-2"/>
        </w:rPr>
        <w:t xml:space="preserve"> </w:t>
      </w:r>
      <w:r>
        <w:t>normally base</w:t>
      </w:r>
      <w:r>
        <w:rPr>
          <w:spacing w:val="-3"/>
        </w:rPr>
        <w:t xml:space="preserve"> </w:t>
      </w:r>
      <w:r>
        <w:t>its calculations of costs on the records of the exporter or producer under investigation" unless certain conditions are met.</w:t>
      </w:r>
      <w:r>
        <w:rPr>
          <w:spacing w:val="-14"/>
        </w:rPr>
        <w:t xml:space="preserve"> </w:t>
      </w:r>
      <w:hyperlink w:anchor="_bookmark557" w:history="1">
        <w:r>
          <w:rPr>
            <w:vertAlign w:val="superscript"/>
          </w:rPr>
          <w:t>461</w:t>
        </w:r>
      </w:hyperlink>
      <w:r>
        <w:t xml:space="preserve"> Neither China nor MOFCOM claimed that either of those conditions were met in this case.</w:t>
      </w:r>
    </w:p>
    <w:p w14:paraId="4C3DB4EA" w14:textId="77777777" w:rsidR="00BD462C" w:rsidRDefault="00BD462C">
      <w:pPr>
        <w:pStyle w:val="BodyText"/>
        <w:spacing w:before="7"/>
        <w:rPr>
          <w:sz w:val="8"/>
        </w:rPr>
      </w:pPr>
    </w:p>
    <w:p w14:paraId="76524E18" w14:textId="09DF1741" w:rsidR="00BD462C" w:rsidRDefault="00033D0F" w:rsidP="00DA02D9">
      <w:pPr>
        <w:pStyle w:val="BodyText"/>
        <w:numPr>
          <w:ilvl w:val="0"/>
          <w:numId w:val="71"/>
        </w:numPr>
        <w:spacing w:before="56" w:line="360" w:lineRule="auto"/>
        <w:ind w:right="912"/>
        <w:jc w:val="both"/>
      </w:pPr>
      <w:r>
        <w:rPr>
          <w:position w:val="1"/>
        </w:rPr>
        <w:t>The preference for exporter data articulated in Article 2.2.1.1 provides context for</w:t>
      </w:r>
      <w:r>
        <w:rPr>
          <w:spacing w:val="40"/>
          <w:position w:val="1"/>
        </w:rPr>
        <w:t xml:space="preserve"> </w:t>
      </w:r>
      <w:r>
        <w:t>the</w:t>
      </w:r>
      <w:r>
        <w:rPr>
          <w:spacing w:val="-14"/>
        </w:rPr>
        <w:t xml:space="preserve"> </w:t>
      </w:r>
      <w:r>
        <w:t>interpretation</w:t>
      </w:r>
      <w:r>
        <w:rPr>
          <w:spacing w:val="-14"/>
        </w:rPr>
        <w:t xml:space="preserve"> </w:t>
      </w:r>
      <w:r>
        <w:t>of</w:t>
      </w:r>
      <w:r>
        <w:rPr>
          <w:spacing w:val="-13"/>
        </w:rPr>
        <w:t xml:space="preserve"> </w:t>
      </w:r>
      <w:r>
        <w:t>Article</w:t>
      </w:r>
      <w:r>
        <w:rPr>
          <w:spacing w:val="-14"/>
        </w:rPr>
        <w:t xml:space="preserve"> </w:t>
      </w:r>
      <w:r>
        <w:t>6.8.</w:t>
      </w:r>
      <w:r>
        <w:rPr>
          <w:spacing w:val="-13"/>
        </w:rPr>
        <w:t xml:space="preserve"> </w:t>
      </w:r>
      <w:r>
        <w:t>In</w:t>
      </w:r>
      <w:r>
        <w:rPr>
          <w:spacing w:val="-14"/>
        </w:rPr>
        <w:t xml:space="preserve"> </w:t>
      </w:r>
      <w:r>
        <w:t>applying</w:t>
      </w:r>
      <w:r>
        <w:rPr>
          <w:spacing w:val="-13"/>
        </w:rPr>
        <w:t xml:space="preserve"> </w:t>
      </w:r>
      <w:r>
        <w:t>Article</w:t>
      </w:r>
      <w:r>
        <w:rPr>
          <w:spacing w:val="-14"/>
        </w:rPr>
        <w:t xml:space="preserve"> </w:t>
      </w:r>
      <w:r>
        <w:t>6.8,</w:t>
      </w:r>
      <w:r>
        <w:rPr>
          <w:spacing w:val="-14"/>
        </w:rPr>
        <w:t xml:space="preserve"> </w:t>
      </w:r>
      <w:r>
        <w:t>and</w:t>
      </w:r>
      <w:r>
        <w:rPr>
          <w:spacing w:val="-13"/>
        </w:rPr>
        <w:t xml:space="preserve"> </w:t>
      </w:r>
      <w:r>
        <w:t>therefore</w:t>
      </w:r>
      <w:r>
        <w:rPr>
          <w:spacing w:val="-14"/>
        </w:rPr>
        <w:t xml:space="preserve"> </w:t>
      </w:r>
      <w:r>
        <w:t>Annex</w:t>
      </w:r>
      <w:r>
        <w:rPr>
          <w:spacing w:val="-13"/>
        </w:rPr>
        <w:t xml:space="preserve"> </w:t>
      </w:r>
      <w:r>
        <w:t>II,</w:t>
      </w:r>
      <w:r>
        <w:rPr>
          <w:spacing w:val="-14"/>
        </w:rPr>
        <w:t xml:space="preserve"> </w:t>
      </w:r>
      <w:r>
        <w:t>an</w:t>
      </w:r>
      <w:r>
        <w:rPr>
          <w:spacing w:val="-13"/>
        </w:rPr>
        <w:t xml:space="preserve"> </w:t>
      </w:r>
      <w:r>
        <w:t>investigating authority must be especially cautious in departing from the normal practice mandated by Article</w:t>
      </w:r>
      <w:r>
        <w:rPr>
          <w:spacing w:val="-7"/>
        </w:rPr>
        <w:t xml:space="preserve"> </w:t>
      </w:r>
      <w:r>
        <w:t>2.2.1.1</w:t>
      </w:r>
      <w:r>
        <w:rPr>
          <w:spacing w:val="-9"/>
        </w:rPr>
        <w:t xml:space="preserve"> </w:t>
      </w:r>
      <w:r>
        <w:t>so</w:t>
      </w:r>
      <w:r>
        <w:rPr>
          <w:spacing w:val="-10"/>
        </w:rPr>
        <w:t xml:space="preserve"> </w:t>
      </w:r>
      <w:r>
        <w:t>long</w:t>
      </w:r>
      <w:r>
        <w:rPr>
          <w:spacing w:val="-6"/>
        </w:rPr>
        <w:t xml:space="preserve"> </w:t>
      </w:r>
      <w:r>
        <w:t>as</w:t>
      </w:r>
      <w:r>
        <w:rPr>
          <w:spacing w:val="-6"/>
        </w:rPr>
        <w:t xml:space="preserve"> </w:t>
      </w:r>
      <w:r>
        <w:t>the</w:t>
      </w:r>
      <w:r>
        <w:rPr>
          <w:spacing w:val="-7"/>
        </w:rPr>
        <w:t xml:space="preserve"> </w:t>
      </w:r>
      <w:r>
        <w:t>two</w:t>
      </w:r>
      <w:r>
        <w:rPr>
          <w:spacing w:val="-10"/>
        </w:rPr>
        <w:t xml:space="preserve"> </w:t>
      </w:r>
      <w:r>
        <w:t>conditions</w:t>
      </w:r>
      <w:r>
        <w:rPr>
          <w:spacing w:val="-6"/>
        </w:rPr>
        <w:t xml:space="preserve"> </w:t>
      </w:r>
      <w:r>
        <w:t>therein</w:t>
      </w:r>
      <w:r>
        <w:rPr>
          <w:spacing w:val="-9"/>
        </w:rPr>
        <w:t xml:space="preserve"> </w:t>
      </w:r>
      <w:r>
        <w:t>are</w:t>
      </w:r>
      <w:r>
        <w:rPr>
          <w:spacing w:val="-7"/>
        </w:rPr>
        <w:t xml:space="preserve"> </w:t>
      </w:r>
      <w:r>
        <w:t>met.</w:t>
      </w:r>
      <w:r>
        <w:rPr>
          <w:spacing w:val="-6"/>
        </w:rPr>
        <w:t xml:space="preserve"> </w:t>
      </w:r>
      <w:r>
        <w:t>In</w:t>
      </w:r>
      <w:r>
        <w:rPr>
          <w:spacing w:val="-9"/>
        </w:rPr>
        <w:t xml:space="preserve"> </w:t>
      </w:r>
      <w:r>
        <w:t>this</w:t>
      </w:r>
      <w:r>
        <w:rPr>
          <w:spacing w:val="-6"/>
        </w:rPr>
        <w:t xml:space="preserve"> </w:t>
      </w:r>
      <w:r>
        <w:t>regard,</w:t>
      </w:r>
      <w:r>
        <w:rPr>
          <w:spacing w:val="-5"/>
        </w:rPr>
        <w:t xml:space="preserve"> </w:t>
      </w:r>
      <w:r>
        <w:t>Australia</w:t>
      </w:r>
      <w:r>
        <w:rPr>
          <w:spacing w:val="-8"/>
        </w:rPr>
        <w:t xml:space="preserve"> </w:t>
      </w:r>
      <w:r>
        <w:t>observes that MOFCOM failed to articulate to Swan Vintage why its explanations for providing data in a</w:t>
      </w:r>
      <w:r>
        <w:rPr>
          <w:spacing w:val="-12"/>
        </w:rPr>
        <w:t xml:space="preserve"> </w:t>
      </w:r>
      <w:r>
        <w:t>format</w:t>
      </w:r>
      <w:r>
        <w:rPr>
          <w:spacing w:val="-7"/>
        </w:rPr>
        <w:t xml:space="preserve"> </w:t>
      </w:r>
      <w:r>
        <w:t>that</w:t>
      </w:r>
      <w:r>
        <w:rPr>
          <w:spacing w:val="-11"/>
        </w:rPr>
        <w:t xml:space="preserve"> </w:t>
      </w:r>
      <w:r>
        <w:t>conformed</w:t>
      </w:r>
      <w:r>
        <w:rPr>
          <w:spacing w:val="-14"/>
        </w:rPr>
        <w:t xml:space="preserve"> </w:t>
      </w:r>
      <w:r>
        <w:t>to</w:t>
      </w:r>
      <w:r>
        <w:rPr>
          <w:spacing w:val="-10"/>
        </w:rPr>
        <w:t xml:space="preserve"> </w:t>
      </w:r>
      <w:r>
        <w:t>the</w:t>
      </w:r>
      <w:r>
        <w:rPr>
          <w:spacing w:val="-12"/>
        </w:rPr>
        <w:t xml:space="preserve"> </w:t>
      </w:r>
      <w:r>
        <w:t>GAAP</w:t>
      </w:r>
      <w:r>
        <w:rPr>
          <w:spacing w:val="-11"/>
        </w:rPr>
        <w:t xml:space="preserve"> </w:t>
      </w:r>
      <w:r>
        <w:t>applicable</w:t>
      </w:r>
      <w:r>
        <w:rPr>
          <w:spacing w:val="-12"/>
        </w:rPr>
        <w:t xml:space="preserve"> </w:t>
      </w:r>
      <w:r>
        <w:t>to</w:t>
      </w:r>
      <w:r>
        <w:rPr>
          <w:spacing w:val="-14"/>
        </w:rPr>
        <w:t xml:space="preserve"> </w:t>
      </w:r>
      <w:r>
        <w:t>it,</w:t>
      </w:r>
      <w:r>
        <w:rPr>
          <w:spacing w:val="-10"/>
        </w:rPr>
        <w:t xml:space="preserve"> </w:t>
      </w:r>
      <w:r>
        <w:t>as</w:t>
      </w:r>
      <w:r>
        <w:rPr>
          <w:spacing w:val="-10"/>
        </w:rPr>
        <w:t xml:space="preserve"> </w:t>
      </w:r>
      <w:r>
        <w:t>preferred</w:t>
      </w:r>
      <w:r>
        <w:rPr>
          <w:spacing w:val="-9"/>
        </w:rPr>
        <w:t xml:space="preserve"> </w:t>
      </w:r>
      <w:r>
        <w:t>by</w:t>
      </w:r>
      <w:r>
        <w:rPr>
          <w:spacing w:val="-11"/>
        </w:rPr>
        <w:t xml:space="preserve"> </w:t>
      </w:r>
      <w:r>
        <w:t>Article</w:t>
      </w:r>
      <w:r>
        <w:rPr>
          <w:spacing w:val="-12"/>
        </w:rPr>
        <w:t xml:space="preserve"> </w:t>
      </w:r>
      <w:r>
        <w:t>2.2.1.1,</w:t>
      </w:r>
      <w:r>
        <w:rPr>
          <w:spacing w:val="-10"/>
        </w:rPr>
        <w:t xml:space="preserve"> </w:t>
      </w:r>
      <w:r>
        <w:t>had</w:t>
      </w:r>
      <w:r>
        <w:rPr>
          <w:spacing w:val="-9"/>
        </w:rPr>
        <w:t xml:space="preserve"> </w:t>
      </w:r>
      <w:r>
        <w:t xml:space="preserve">been </w:t>
      </w:r>
      <w:r>
        <w:rPr>
          <w:spacing w:val="-2"/>
        </w:rPr>
        <w:t>rejected.</w:t>
      </w:r>
    </w:p>
    <w:p w14:paraId="4E8AEDCC" w14:textId="77777777" w:rsidR="00BD462C" w:rsidRDefault="00BD462C">
      <w:pPr>
        <w:pStyle w:val="BodyText"/>
        <w:rPr>
          <w:sz w:val="20"/>
        </w:rPr>
      </w:pPr>
    </w:p>
    <w:p w14:paraId="42D18759" w14:textId="77777777" w:rsidR="00BD462C" w:rsidRDefault="00BD462C">
      <w:pPr>
        <w:pStyle w:val="BodyText"/>
        <w:rPr>
          <w:sz w:val="20"/>
        </w:rPr>
      </w:pPr>
    </w:p>
    <w:p w14:paraId="7B422BCF" w14:textId="77777777" w:rsidR="00BD462C" w:rsidRDefault="00BD462C">
      <w:pPr>
        <w:pStyle w:val="BodyText"/>
        <w:rPr>
          <w:sz w:val="20"/>
        </w:rPr>
      </w:pPr>
    </w:p>
    <w:p w14:paraId="3497932B" w14:textId="4659378F" w:rsidR="00BD462C" w:rsidRDefault="00E14314">
      <w:pPr>
        <w:pStyle w:val="BodyText"/>
        <w:spacing w:before="5"/>
        <w:rPr>
          <w:sz w:val="26"/>
        </w:rPr>
      </w:pPr>
      <w:r>
        <w:rPr>
          <w:noProof/>
        </w:rPr>
        <mc:AlternateContent>
          <mc:Choice Requires="wps">
            <w:drawing>
              <wp:anchor distT="0" distB="0" distL="0" distR="0" simplePos="0" relativeHeight="488051200" behindDoc="1" locked="0" layoutInCell="1" allowOverlap="1" wp14:anchorId="67B54722" wp14:editId="509E2EAD">
                <wp:simplePos x="0" y="0"/>
                <wp:positionH relativeFrom="page">
                  <wp:posOffset>812800</wp:posOffset>
                </wp:positionH>
                <wp:positionV relativeFrom="paragraph">
                  <wp:posOffset>205105</wp:posOffset>
                </wp:positionV>
                <wp:extent cx="1828800" cy="8890"/>
                <wp:effectExtent l="0" t="0" r="0" b="0"/>
                <wp:wrapTopAndBottom/>
                <wp:docPr id="35" name="docshape2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135792" id="docshape267" o:spid="_x0000_s1026" alt="&quot;&quot;" style="position:absolute;margin-left:64pt;margin-top:16.15pt;width:2in;height:.7pt;z-index:-15265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" fillcolor="black" stroked="f">
                <w10:wrap type="topAndBottom" anchorx="page"/>
              </v:rect>
            </w:pict>
          </mc:Fallback>
        </mc:AlternateContent>
      </w:r>
    </w:p>
    <w:p w14:paraId="35F5B2E9" w14:textId="77777777" w:rsidR="00BD462C" w:rsidRDefault="00033D0F">
      <w:pPr>
        <w:spacing w:before="112"/>
        <w:ind w:left="135"/>
        <w:rPr>
          <w:sz w:val="18"/>
        </w:rPr>
      </w:pPr>
      <w:bookmarkStart w:id="645" w:name="_bookmark554"/>
      <w:bookmarkEnd w:id="645"/>
      <w:r>
        <w:rPr>
          <w:position w:val="5"/>
          <w:sz w:val="12"/>
        </w:rPr>
        <w:t>458</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 paras.</w:t>
      </w:r>
      <w:r>
        <w:rPr>
          <w:spacing w:val="-4"/>
          <w:sz w:val="18"/>
        </w:rPr>
        <w:t xml:space="preserve"> </w:t>
      </w:r>
      <w:r>
        <w:rPr>
          <w:sz w:val="18"/>
        </w:rPr>
        <w:t>742,</w:t>
      </w:r>
      <w:r>
        <w:rPr>
          <w:spacing w:val="-4"/>
          <w:sz w:val="18"/>
        </w:rPr>
        <w:t xml:space="preserve"> </w:t>
      </w:r>
      <w:r>
        <w:rPr>
          <w:sz w:val="18"/>
        </w:rPr>
        <w:t xml:space="preserve">746, </w:t>
      </w:r>
      <w:r>
        <w:rPr>
          <w:spacing w:val="-4"/>
          <w:sz w:val="18"/>
        </w:rPr>
        <w:t>756.</w:t>
      </w:r>
    </w:p>
    <w:p w14:paraId="2DDD69C4" w14:textId="77777777" w:rsidR="00BD462C" w:rsidRDefault="00033D0F">
      <w:pPr>
        <w:spacing w:before="1"/>
        <w:ind w:left="135"/>
        <w:rPr>
          <w:sz w:val="18"/>
        </w:rPr>
      </w:pPr>
      <w:bookmarkStart w:id="646" w:name="_bookmark555"/>
      <w:bookmarkEnd w:id="646"/>
      <w:r>
        <w:rPr>
          <w:position w:val="5"/>
          <w:sz w:val="12"/>
        </w:rPr>
        <w:t>459</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paras.</w:t>
      </w:r>
      <w:r>
        <w:rPr>
          <w:spacing w:val="-5"/>
          <w:sz w:val="18"/>
        </w:rPr>
        <w:t xml:space="preserve"> </w:t>
      </w:r>
      <w:r>
        <w:rPr>
          <w:spacing w:val="-4"/>
          <w:sz w:val="18"/>
        </w:rPr>
        <w:t>767.</w:t>
      </w:r>
    </w:p>
    <w:p w14:paraId="222F44DE" w14:textId="77777777" w:rsidR="00BD462C" w:rsidRDefault="00033D0F">
      <w:pPr>
        <w:spacing w:before="1"/>
        <w:ind w:left="135"/>
        <w:rPr>
          <w:sz w:val="18"/>
        </w:rPr>
      </w:pPr>
      <w:bookmarkStart w:id="647" w:name="_bookmark556"/>
      <w:bookmarkEnd w:id="647"/>
      <w:r>
        <w:rPr>
          <w:position w:val="5"/>
          <w:sz w:val="12"/>
        </w:rPr>
        <w:t>460</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paras.</w:t>
      </w:r>
      <w:r>
        <w:rPr>
          <w:spacing w:val="-5"/>
          <w:sz w:val="18"/>
        </w:rPr>
        <w:t xml:space="preserve"> </w:t>
      </w:r>
      <w:r>
        <w:rPr>
          <w:sz w:val="18"/>
        </w:rPr>
        <w:t>774-</w:t>
      </w:r>
      <w:r>
        <w:rPr>
          <w:spacing w:val="-4"/>
          <w:sz w:val="18"/>
        </w:rPr>
        <w:t>775.</w:t>
      </w:r>
    </w:p>
    <w:p w14:paraId="0A71C920" w14:textId="77777777" w:rsidR="00BD462C" w:rsidRDefault="00033D0F">
      <w:pPr>
        <w:spacing w:before="1"/>
        <w:ind w:left="135"/>
        <w:rPr>
          <w:sz w:val="18"/>
        </w:rPr>
      </w:pPr>
      <w:bookmarkStart w:id="648" w:name="_bookmark557"/>
      <w:bookmarkEnd w:id="648"/>
      <w:r>
        <w:rPr>
          <w:position w:val="5"/>
          <w:sz w:val="12"/>
        </w:rPr>
        <w:t>461</w:t>
      </w:r>
      <w:r>
        <w:rPr>
          <w:spacing w:val="14"/>
          <w:position w:val="5"/>
          <w:sz w:val="12"/>
        </w:rPr>
        <w:t xml:space="preserve"> </w:t>
      </w:r>
      <w:r>
        <w:rPr>
          <w:sz w:val="18"/>
        </w:rPr>
        <w:t>Panel</w:t>
      </w:r>
      <w:r>
        <w:rPr>
          <w:spacing w:val="-4"/>
          <w:sz w:val="18"/>
        </w:rPr>
        <w:t xml:space="preserve"> </w:t>
      </w:r>
      <w:r>
        <w:rPr>
          <w:sz w:val="18"/>
        </w:rPr>
        <w:t>Report,</w:t>
      </w:r>
      <w:r>
        <w:rPr>
          <w:spacing w:val="-7"/>
          <w:sz w:val="18"/>
        </w:rPr>
        <w:t xml:space="preserve"> </w:t>
      </w:r>
      <w:r>
        <w:rPr>
          <w:i/>
          <w:sz w:val="18"/>
        </w:rPr>
        <w:t>EU</w:t>
      </w:r>
      <w:r>
        <w:rPr>
          <w:i/>
          <w:spacing w:val="-2"/>
          <w:sz w:val="18"/>
        </w:rPr>
        <w:t xml:space="preserve"> </w:t>
      </w:r>
      <w:r>
        <w:rPr>
          <w:i/>
          <w:sz w:val="18"/>
        </w:rPr>
        <w:t>-</w:t>
      </w:r>
      <w:r>
        <w:rPr>
          <w:i/>
          <w:spacing w:val="-4"/>
          <w:sz w:val="18"/>
        </w:rPr>
        <w:t xml:space="preserve"> </w:t>
      </w:r>
      <w:r>
        <w:rPr>
          <w:i/>
          <w:sz w:val="18"/>
        </w:rPr>
        <w:t>Cost</w:t>
      </w:r>
      <w:r>
        <w:rPr>
          <w:i/>
          <w:spacing w:val="-3"/>
          <w:sz w:val="18"/>
        </w:rPr>
        <w:t xml:space="preserve"> </w:t>
      </w:r>
      <w:r>
        <w:rPr>
          <w:i/>
          <w:sz w:val="18"/>
        </w:rPr>
        <w:t>Adjustment</w:t>
      </w:r>
      <w:r>
        <w:rPr>
          <w:i/>
          <w:spacing w:val="-4"/>
          <w:sz w:val="18"/>
        </w:rPr>
        <w:t xml:space="preserve"> </w:t>
      </w:r>
      <w:r>
        <w:rPr>
          <w:i/>
          <w:sz w:val="18"/>
        </w:rPr>
        <w:t>Methodologies</w:t>
      </w:r>
      <w:r>
        <w:rPr>
          <w:i/>
          <w:spacing w:val="-4"/>
          <w:sz w:val="18"/>
        </w:rPr>
        <w:t xml:space="preserve"> </w:t>
      </w:r>
      <w:r>
        <w:rPr>
          <w:i/>
          <w:sz w:val="18"/>
        </w:rPr>
        <w:t>II</w:t>
      </w:r>
      <w:r>
        <w:rPr>
          <w:i/>
          <w:spacing w:val="-4"/>
          <w:sz w:val="18"/>
        </w:rPr>
        <w:t xml:space="preserve"> </w:t>
      </w:r>
      <w:r>
        <w:rPr>
          <w:i/>
          <w:sz w:val="18"/>
        </w:rPr>
        <w:t>(Russia)</w:t>
      </w:r>
      <w:r>
        <w:rPr>
          <w:sz w:val="18"/>
        </w:rPr>
        <w:t>,</w:t>
      </w:r>
      <w:r>
        <w:rPr>
          <w:spacing w:val="-2"/>
          <w:sz w:val="18"/>
        </w:rPr>
        <w:t xml:space="preserve"> </w:t>
      </w:r>
      <w:r>
        <w:rPr>
          <w:sz w:val="18"/>
        </w:rPr>
        <w:t>para.</w:t>
      </w:r>
      <w:r>
        <w:rPr>
          <w:spacing w:val="1"/>
          <w:sz w:val="18"/>
        </w:rPr>
        <w:t xml:space="preserve"> </w:t>
      </w:r>
      <w:r>
        <w:rPr>
          <w:spacing w:val="-4"/>
          <w:sz w:val="18"/>
        </w:rPr>
        <w:t>793.</w:t>
      </w:r>
    </w:p>
    <w:p w14:paraId="4A3D873F" w14:textId="77777777" w:rsidR="00BD462C" w:rsidRDefault="00BD462C">
      <w:pPr>
        <w:rPr>
          <w:sz w:val="18"/>
        </w:rPr>
        <w:sectPr w:rsidR="00BD462C">
          <w:pgSz w:w="11910" w:h="16840"/>
          <w:pgMar w:top="860" w:right="500" w:bottom="780" w:left="1280" w:header="566" w:footer="590" w:gutter="0"/>
          <w:cols w:space="720"/>
        </w:sectPr>
      </w:pPr>
    </w:p>
    <w:p w14:paraId="357A65B0"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339BD6B2"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7C88489F"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1356F36D" w14:textId="52FAA251" w:rsidR="00BD462C" w:rsidRDefault="00033D0F" w:rsidP="00DA02D9">
      <w:pPr>
        <w:pStyle w:val="BodyText"/>
        <w:numPr>
          <w:ilvl w:val="0"/>
          <w:numId w:val="71"/>
        </w:numPr>
        <w:spacing w:before="107" w:line="360" w:lineRule="auto"/>
        <w:ind w:right="913"/>
        <w:jc w:val="both"/>
      </w:pPr>
      <w:r>
        <w:rPr>
          <w:position w:val="1"/>
        </w:rPr>
        <w:t xml:space="preserve">To defend MOFCOM's rejection of Swan Vintage's cost of production data, contrary </w:t>
      </w:r>
      <w:r>
        <w:t>to Article</w:t>
      </w:r>
      <w:r>
        <w:rPr>
          <w:spacing w:val="-3"/>
        </w:rPr>
        <w:t xml:space="preserve"> </w:t>
      </w:r>
      <w:r>
        <w:t>6.8, interpreted in light of Article</w:t>
      </w:r>
      <w:r>
        <w:rPr>
          <w:spacing w:val="-2"/>
        </w:rPr>
        <w:t xml:space="preserve"> </w:t>
      </w:r>
      <w:r>
        <w:t>2.2.1.1, China claimed that</w:t>
      </w:r>
      <w:r>
        <w:rPr>
          <w:spacing w:val="-2"/>
        </w:rPr>
        <w:t xml:space="preserve"> </w:t>
      </w:r>
      <w:r>
        <w:t>"Swan did not provide complete and accurate cost of production information".</w:t>
      </w:r>
      <w:r>
        <w:rPr>
          <w:spacing w:val="-14"/>
        </w:rPr>
        <w:t xml:space="preserve"> </w:t>
      </w:r>
      <w:hyperlink w:anchor="_bookmark558" w:history="1">
        <w:r>
          <w:rPr>
            <w:vertAlign w:val="superscript"/>
          </w:rPr>
          <w:t>462</w:t>
        </w:r>
      </w:hyperlink>
      <w:r>
        <w:t xml:space="preserve"> However, as Swan Vintage protested in its comments on the Preliminary Determination and Final Disclosure, no explanation</w:t>
      </w:r>
      <w:r>
        <w:rPr>
          <w:spacing w:val="-4"/>
        </w:rPr>
        <w:t xml:space="preserve"> </w:t>
      </w:r>
      <w:r>
        <w:t>was</w:t>
      </w:r>
      <w:r>
        <w:rPr>
          <w:spacing w:val="-6"/>
        </w:rPr>
        <w:t xml:space="preserve"> </w:t>
      </w:r>
      <w:r>
        <w:t>given</w:t>
      </w:r>
      <w:r>
        <w:rPr>
          <w:spacing w:val="-4"/>
        </w:rPr>
        <w:t xml:space="preserve"> </w:t>
      </w:r>
      <w:r>
        <w:t>as</w:t>
      </w:r>
      <w:r>
        <w:rPr>
          <w:spacing w:val="-1"/>
        </w:rPr>
        <w:t xml:space="preserve"> </w:t>
      </w:r>
      <w:r>
        <w:t>to</w:t>
      </w:r>
      <w:r>
        <w:rPr>
          <w:spacing w:val="-5"/>
        </w:rPr>
        <w:t xml:space="preserve"> </w:t>
      </w:r>
      <w:r>
        <w:t>what</w:t>
      </w:r>
      <w:r>
        <w:rPr>
          <w:spacing w:val="-2"/>
        </w:rPr>
        <w:t xml:space="preserve"> </w:t>
      </w:r>
      <w:r>
        <w:t>was</w:t>
      </w:r>
      <w:r>
        <w:rPr>
          <w:spacing w:val="-6"/>
        </w:rPr>
        <w:t xml:space="preserve"> </w:t>
      </w:r>
      <w:r>
        <w:t>incomplete</w:t>
      </w:r>
      <w:r>
        <w:rPr>
          <w:spacing w:val="-2"/>
        </w:rPr>
        <w:t xml:space="preserve"> </w:t>
      </w:r>
      <w:r>
        <w:t>or</w:t>
      </w:r>
      <w:r>
        <w:rPr>
          <w:spacing w:val="-5"/>
        </w:rPr>
        <w:t xml:space="preserve"> </w:t>
      </w:r>
      <w:r>
        <w:t>inaccurate</w:t>
      </w:r>
      <w:r>
        <w:rPr>
          <w:spacing w:val="-2"/>
        </w:rPr>
        <w:t xml:space="preserve"> </w:t>
      </w:r>
      <w:r>
        <w:t>about</w:t>
      </w:r>
      <w:r>
        <w:rPr>
          <w:spacing w:val="-2"/>
        </w:rPr>
        <w:t xml:space="preserve"> </w:t>
      </w:r>
      <w:r>
        <w:t>the</w:t>
      </w:r>
      <w:r>
        <w:rPr>
          <w:spacing w:val="-3"/>
        </w:rPr>
        <w:t xml:space="preserve"> </w:t>
      </w:r>
      <w:r>
        <w:t>data</w:t>
      </w:r>
      <w:r>
        <w:rPr>
          <w:spacing w:val="-3"/>
        </w:rPr>
        <w:t xml:space="preserve"> </w:t>
      </w:r>
      <w:r>
        <w:t>it</w:t>
      </w:r>
      <w:r>
        <w:rPr>
          <w:spacing w:val="-2"/>
        </w:rPr>
        <w:t xml:space="preserve"> </w:t>
      </w:r>
      <w:r>
        <w:t>provided.</w:t>
      </w:r>
      <w:r>
        <w:rPr>
          <w:spacing w:val="-1"/>
        </w:rPr>
        <w:t xml:space="preserve"> </w:t>
      </w:r>
      <w:r>
        <w:t>In fact,</w:t>
      </w:r>
      <w:r>
        <w:rPr>
          <w:spacing w:val="-5"/>
        </w:rPr>
        <w:t xml:space="preserve"> </w:t>
      </w:r>
      <w:r>
        <w:t>Swan</w:t>
      </w:r>
      <w:r>
        <w:rPr>
          <w:spacing w:val="-9"/>
        </w:rPr>
        <w:t xml:space="preserve"> </w:t>
      </w:r>
      <w:r>
        <w:t>Vintage</w:t>
      </w:r>
      <w:r>
        <w:rPr>
          <w:spacing w:val="-7"/>
        </w:rPr>
        <w:t xml:space="preserve"> </w:t>
      </w:r>
      <w:r>
        <w:t>did</w:t>
      </w:r>
      <w:r>
        <w:rPr>
          <w:spacing w:val="-9"/>
        </w:rPr>
        <w:t xml:space="preserve"> </w:t>
      </w:r>
      <w:r>
        <w:t>provide</w:t>
      </w:r>
      <w:r>
        <w:rPr>
          <w:spacing w:val="-7"/>
        </w:rPr>
        <w:t xml:space="preserve"> </w:t>
      </w:r>
      <w:r>
        <w:t>complete</w:t>
      </w:r>
      <w:r>
        <w:rPr>
          <w:spacing w:val="-7"/>
        </w:rPr>
        <w:t xml:space="preserve"> </w:t>
      </w:r>
      <w:r>
        <w:t>and</w:t>
      </w:r>
      <w:r>
        <w:rPr>
          <w:spacing w:val="-9"/>
        </w:rPr>
        <w:t xml:space="preserve"> </w:t>
      </w:r>
      <w:r>
        <w:t>accurate</w:t>
      </w:r>
      <w:r>
        <w:rPr>
          <w:spacing w:val="-7"/>
        </w:rPr>
        <w:t xml:space="preserve"> </w:t>
      </w:r>
      <w:r>
        <w:t>cost</w:t>
      </w:r>
      <w:r>
        <w:rPr>
          <w:spacing w:val="-7"/>
        </w:rPr>
        <w:t xml:space="preserve"> </w:t>
      </w:r>
      <w:r>
        <w:t>of</w:t>
      </w:r>
      <w:r>
        <w:rPr>
          <w:spacing w:val="-9"/>
        </w:rPr>
        <w:t xml:space="preserve"> </w:t>
      </w:r>
      <w:r>
        <w:t>production</w:t>
      </w:r>
      <w:r>
        <w:rPr>
          <w:spacing w:val="-9"/>
        </w:rPr>
        <w:t xml:space="preserve"> </w:t>
      </w:r>
      <w:r>
        <w:t>records.</w:t>
      </w:r>
      <w:r>
        <w:rPr>
          <w:spacing w:val="-6"/>
        </w:rPr>
        <w:t xml:space="preserve"> </w:t>
      </w:r>
      <w:r>
        <w:t>These</w:t>
      </w:r>
      <w:r>
        <w:rPr>
          <w:spacing w:val="-7"/>
        </w:rPr>
        <w:t xml:space="preserve"> </w:t>
      </w:r>
      <w:r>
        <w:t xml:space="preserve">were merely formatted in a manner different than that requested by MOFCOM. China has argued that because MOFCOM requested the data </w:t>
      </w:r>
      <w:proofErr w:type="spellStart"/>
      <w:r>
        <w:t>organised</w:t>
      </w:r>
      <w:proofErr w:type="spellEnd"/>
      <w:r>
        <w:t xml:space="preserve"> by PCN, it was entitled to discard data provided in any other format.</w:t>
      </w:r>
      <w:r>
        <w:rPr>
          <w:spacing w:val="-11"/>
        </w:rPr>
        <w:t xml:space="preserve"> </w:t>
      </w:r>
      <w:hyperlink w:anchor="_bookmark559" w:history="1">
        <w:r>
          <w:rPr>
            <w:vertAlign w:val="superscript"/>
          </w:rPr>
          <w:t>463</w:t>
        </w:r>
      </w:hyperlink>
    </w:p>
    <w:p w14:paraId="09C55339" w14:textId="77777777" w:rsidR="00BD462C" w:rsidRDefault="00BD462C">
      <w:pPr>
        <w:pStyle w:val="BodyText"/>
        <w:spacing w:before="5"/>
        <w:rPr>
          <w:sz w:val="8"/>
        </w:rPr>
      </w:pPr>
    </w:p>
    <w:p w14:paraId="72167524" w14:textId="50B66B47" w:rsidR="00BD462C" w:rsidRDefault="00033D0F" w:rsidP="00DA02D9">
      <w:pPr>
        <w:pStyle w:val="BodyText"/>
        <w:numPr>
          <w:ilvl w:val="0"/>
          <w:numId w:val="71"/>
        </w:numPr>
        <w:spacing w:before="56" w:line="360" w:lineRule="auto"/>
        <w:ind w:right="915"/>
        <w:jc w:val="both"/>
      </w:pPr>
      <w:r>
        <w:rPr>
          <w:position w:val="1"/>
        </w:rPr>
        <w:t>To the</w:t>
      </w:r>
      <w:r>
        <w:rPr>
          <w:spacing w:val="-3"/>
          <w:position w:val="1"/>
        </w:rPr>
        <w:t xml:space="preserve"> </w:t>
      </w:r>
      <w:r>
        <w:rPr>
          <w:position w:val="1"/>
        </w:rPr>
        <w:t xml:space="preserve">contrary, as </w:t>
      </w:r>
      <w:proofErr w:type="spellStart"/>
      <w:r>
        <w:rPr>
          <w:position w:val="1"/>
        </w:rPr>
        <w:t>recognised</w:t>
      </w:r>
      <w:proofErr w:type="spellEnd"/>
      <w:r>
        <w:rPr>
          <w:spacing w:val="-4"/>
          <w:position w:val="1"/>
        </w:rPr>
        <w:t xml:space="preserve"> </w:t>
      </w:r>
      <w:r>
        <w:rPr>
          <w:position w:val="1"/>
        </w:rPr>
        <w:t>in Article</w:t>
      </w:r>
      <w:r>
        <w:rPr>
          <w:spacing w:val="-2"/>
          <w:position w:val="1"/>
        </w:rPr>
        <w:t xml:space="preserve"> </w:t>
      </w:r>
      <w:r>
        <w:rPr>
          <w:position w:val="1"/>
        </w:rPr>
        <w:t>6.8 and Annex</w:t>
      </w:r>
      <w:r>
        <w:rPr>
          <w:spacing w:val="-1"/>
          <w:position w:val="1"/>
        </w:rPr>
        <w:t xml:space="preserve"> </w:t>
      </w:r>
      <w:r>
        <w:rPr>
          <w:position w:val="1"/>
        </w:rPr>
        <w:t>II, there</w:t>
      </w:r>
      <w:r>
        <w:rPr>
          <w:spacing w:val="-2"/>
          <w:position w:val="1"/>
        </w:rPr>
        <w:t xml:space="preserve"> </w:t>
      </w:r>
      <w:r>
        <w:rPr>
          <w:position w:val="1"/>
        </w:rPr>
        <w:t>are</w:t>
      </w:r>
      <w:r>
        <w:rPr>
          <w:spacing w:val="-2"/>
          <w:position w:val="1"/>
        </w:rPr>
        <w:t xml:space="preserve"> </w:t>
      </w:r>
      <w:r>
        <w:rPr>
          <w:position w:val="1"/>
        </w:rPr>
        <w:t>circumstances</w:t>
      </w:r>
      <w:r>
        <w:rPr>
          <w:spacing w:val="-1"/>
          <w:position w:val="1"/>
        </w:rPr>
        <w:t xml:space="preserve"> </w:t>
      </w:r>
      <w:r>
        <w:rPr>
          <w:position w:val="1"/>
        </w:rPr>
        <w:t xml:space="preserve">in </w:t>
      </w:r>
      <w:r>
        <w:t>which</w:t>
      </w:r>
      <w:r>
        <w:rPr>
          <w:spacing w:val="-14"/>
        </w:rPr>
        <w:t xml:space="preserve"> </w:t>
      </w:r>
      <w:r>
        <w:t>it</w:t>
      </w:r>
      <w:r>
        <w:rPr>
          <w:spacing w:val="-10"/>
        </w:rPr>
        <w:t xml:space="preserve"> </w:t>
      </w:r>
      <w:r>
        <w:t>is</w:t>
      </w:r>
      <w:r>
        <w:rPr>
          <w:spacing w:val="-10"/>
        </w:rPr>
        <w:t xml:space="preserve"> </w:t>
      </w:r>
      <w:r>
        <w:t>sensible</w:t>
      </w:r>
      <w:r>
        <w:rPr>
          <w:spacing w:val="-12"/>
        </w:rPr>
        <w:t xml:space="preserve"> </w:t>
      </w:r>
      <w:r>
        <w:t>for</w:t>
      </w:r>
      <w:r>
        <w:rPr>
          <w:spacing w:val="-14"/>
        </w:rPr>
        <w:t xml:space="preserve"> </w:t>
      </w:r>
      <w:r>
        <w:t>an</w:t>
      </w:r>
      <w:r>
        <w:rPr>
          <w:spacing w:val="-8"/>
        </w:rPr>
        <w:t xml:space="preserve"> </w:t>
      </w:r>
      <w:r>
        <w:t>exporter</w:t>
      </w:r>
      <w:r>
        <w:rPr>
          <w:spacing w:val="-10"/>
        </w:rPr>
        <w:t xml:space="preserve"> </w:t>
      </w:r>
      <w:r>
        <w:t>to</w:t>
      </w:r>
      <w:r>
        <w:rPr>
          <w:spacing w:val="-14"/>
        </w:rPr>
        <w:t xml:space="preserve"> </w:t>
      </w:r>
      <w:r>
        <w:t>provide</w:t>
      </w:r>
      <w:r>
        <w:rPr>
          <w:spacing w:val="-11"/>
        </w:rPr>
        <w:t xml:space="preserve"> </w:t>
      </w:r>
      <w:r>
        <w:t>data</w:t>
      </w:r>
      <w:r>
        <w:rPr>
          <w:spacing w:val="-12"/>
        </w:rPr>
        <w:t xml:space="preserve"> </w:t>
      </w:r>
      <w:r>
        <w:t>in</w:t>
      </w:r>
      <w:r>
        <w:rPr>
          <w:spacing w:val="-14"/>
        </w:rPr>
        <w:t xml:space="preserve"> </w:t>
      </w:r>
      <w:r>
        <w:t>a</w:t>
      </w:r>
      <w:r>
        <w:rPr>
          <w:spacing w:val="-11"/>
        </w:rPr>
        <w:t xml:space="preserve"> </w:t>
      </w:r>
      <w:r>
        <w:t>different</w:t>
      </w:r>
      <w:r>
        <w:rPr>
          <w:spacing w:val="-11"/>
        </w:rPr>
        <w:t xml:space="preserve"> </w:t>
      </w:r>
      <w:r>
        <w:t>format</w:t>
      </w:r>
      <w:r>
        <w:rPr>
          <w:spacing w:val="-11"/>
        </w:rPr>
        <w:t xml:space="preserve"> </w:t>
      </w:r>
      <w:r>
        <w:t>than</w:t>
      </w:r>
      <w:r>
        <w:rPr>
          <w:spacing w:val="-14"/>
        </w:rPr>
        <w:t xml:space="preserve"> </w:t>
      </w:r>
      <w:r>
        <w:t>the</w:t>
      </w:r>
      <w:r>
        <w:rPr>
          <w:spacing w:val="-11"/>
        </w:rPr>
        <w:t xml:space="preserve"> </w:t>
      </w:r>
      <w:r>
        <w:t>PCN</w:t>
      </w:r>
      <w:r>
        <w:rPr>
          <w:spacing w:val="-14"/>
        </w:rPr>
        <w:t xml:space="preserve"> </w:t>
      </w:r>
      <w:r>
        <w:t>structure requested</w:t>
      </w:r>
      <w:r>
        <w:rPr>
          <w:spacing w:val="-6"/>
        </w:rPr>
        <w:t xml:space="preserve"> </w:t>
      </w:r>
      <w:r>
        <w:t>by</w:t>
      </w:r>
      <w:r>
        <w:rPr>
          <w:spacing w:val="-3"/>
        </w:rPr>
        <w:t xml:space="preserve"> </w:t>
      </w:r>
      <w:r>
        <w:t>the</w:t>
      </w:r>
      <w:r>
        <w:rPr>
          <w:spacing w:val="-5"/>
        </w:rPr>
        <w:t xml:space="preserve"> </w:t>
      </w:r>
      <w:r>
        <w:t>investigating</w:t>
      </w:r>
      <w:r>
        <w:rPr>
          <w:spacing w:val="-3"/>
        </w:rPr>
        <w:t xml:space="preserve"> </w:t>
      </w:r>
      <w:r>
        <w:t>authority.</w:t>
      </w:r>
      <w:r>
        <w:rPr>
          <w:spacing w:val="-3"/>
        </w:rPr>
        <w:t xml:space="preserve"> </w:t>
      </w:r>
      <w:r>
        <w:t>Such</w:t>
      </w:r>
      <w:r>
        <w:rPr>
          <w:spacing w:val="-6"/>
        </w:rPr>
        <w:t xml:space="preserve"> </w:t>
      </w:r>
      <w:r>
        <w:t>a</w:t>
      </w:r>
      <w:r>
        <w:rPr>
          <w:spacing w:val="-5"/>
        </w:rPr>
        <w:t xml:space="preserve"> </w:t>
      </w:r>
      <w:r>
        <w:t>circumstance</w:t>
      </w:r>
      <w:r>
        <w:rPr>
          <w:spacing w:val="-4"/>
        </w:rPr>
        <w:t xml:space="preserve"> </w:t>
      </w:r>
      <w:r>
        <w:t>could</w:t>
      </w:r>
      <w:r>
        <w:rPr>
          <w:spacing w:val="-6"/>
        </w:rPr>
        <w:t xml:space="preserve"> </w:t>
      </w:r>
      <w:r>
        <w:t>be,</w:t>
      </w:r>
      <w:r>
        <w:rPr>
          <w:spacing w:val="-2"/>
        </w:rPr>
        <w:t xml:space="preserve"> </w:t>
      </w:r>
      <w:r>
        <w:t>as</w:t>
      </w:r>
      <w:r>
        <w:rPr>
          <w:spacing w:val="-3"/>
        </w:rPr>
        <w:t xml:space="preserve"> </w:t>
      </w:r>
      <w:r>
        <w:t>was</w:t>
      </w:r>
      <w:r>
        <w:rPr>
          <w:spacing w:val="-3"/>
        </w:rPr>
        <w:t xml:space="preserve"> </w:t>
      </w:r>
      <w:r>
        <w:t>the</w:t>
      </w:r>
      <w:r>
        <w:rPr>
          <w:spacing w:val="-5"/>
        </w:rPr>
        <w:t xml:space="preserve"> </w:t>
      </w:r>
      <w:r>
        <w:t>case</w:t>
      </w:r>
      <w:r>
        <w:rPr>
          <w:spacing w:val="-4"/>
        </w:rPr>
        <w:t xml:space="preserve"> </w:t>
      </w:r>
      <w:r>
        <w:t xml:space="preserve">here, that the market in question is structured differently or that </w:t>
      </w:r>
      <w:proofErr w:type="gramStart"/>
      <w:r>
        <w:t>exporters</w:t>
      </w:r>
      <w:proofErr w:type="gramEnd"/>
      <w:r>
        <w:t xml:space="preserve"> structure financial records in a different manner. It is incumbent on investigating authorities to consider these circumstances in an objective and unbiased manner.</w:t>
      </w:r>
    </w:p>
    <w:p w14:paraId="6298D233" w14:textId="77777777" w:rsidR="00BD462C" w:rsidRDefault="00BD462C">
      <w:pPr>
        <w:pStyle w:val="BodyText"/>
        <w:spacing w:before="8"/>
        <w:rPr>
          <w:sz w:val="8"/>
        </w:rPr>
      </w:pPr>
    </w:p>
    <w:p w14:paraId="1BC4CC91" w14:textId="7B8A849A" w:rsidR="00BD462C" w:rsidRDefault="00033D0F" w:rsidP="00DA02D9">
      <w:pPr>
        <w:pStyle w:val="BodyText"/>
        <w:numPr>
          <w:ilvl w:val="0"/>
          <w:numId w:val="71"/>
        </w:numPr>
        <w:spacing w:before="56" w:line="360" w:lineRule="auto"/>
        <w:ind w:right="911"/>
        <w:jc w:val="both"/>
      </w:pPr>
      <w:r>
        <w:rPr>
          <w:position w:val="1"/>
        </w:rPr>
        <w:t>In this case, in response to the Preliminary Determination, Swan Vintage went to</w:t>
      </w:r>
      <w:r>
        <w:rPr>
          <w:spacing w:val="40"/>
          <w:position w:val="1"/>
        </w:rPr>
        <w:t xml:space="preserve"> </w:t>
      </w:r>
      <w:r>
        <w:t>great</w:t>
      </w:r>
      <w:r>
        <w:rPr>
          <w:spacing w:val="-7"/>
        </w:rPr>
        <w:t xml:space="preserve"> </w:t>
      </w:r>
      <w:r>
        <w:t>lengths</w:t>
      </w:r>
      <w:r>
        <w:rPr>
          <w:spacing w:val="-6"/>
        </w:rPr>
        <w:t xml:space="preserve"> </w:t>
      </w:r>
      <w:r>
        <w:t>to</w:t>
      </w:r>
      <w:r>
        <w:rPr>
          <w:spacing w:val="-10"/>
        </w:rPr>
        <w:t xml:space="preserve"> </w:t>
      </w:r>
      <w:r>
        <w:t>explain</w:t>
      </w:r>
      <w:r>
        <w:rPr>
          <w:spacing w:val="-9"/>
        </w:rPr>
        <w:t xml:space="preserve"> </w:t>
      </w:r>
      <w:r>
        <w:t>why</w:t>
      </w:r>
      <w:r>
        <w:rPr>
          <w:spacing w:val="-6"/>
        </w:rPr>
        <w:t xml:space="preserve"> </w:t>
      </w:r>
      <w:r>
        <w:t>it</w:t>
      </w:r>
      <w:r>
        <w:rPr>
          <w:spacing w:val="-7"/>
        </w:rPr>
        <w:t xml:space="preserve"> </w:t>
      </w:r>
      <w:r>
        <w:t>had</w:t>
      </w:r>
      <w:r>
        <w:rPr>
          <w:spacing w:val="-9"/>
        </w:rPr>
        <w:t xml:space="preserve"> </w:t>
      </w:r>
      <w:r>
        <w:t>submitted</w:t>
      </w:r>
      <w:r>
        <w:rPr>
          <w:spacing w:val="-9"/>
        </w:rPr>
        <w:t xml:space="preserve"> </w:t>
      </w:r>
      <w:r>
        <w:t>the</w:t>
      </w:r>
      <w:r>
        <w:rPr>
          <w:spacing w:val="-7"/>
        </w:rPr>
        <w:t xml:space="preserve"> </w:t>
      </w:r>
      <w:r>
        <w:t>data</w:t>
      </w:r>
      <w:r>
        <w:rPr>
          <w:spacing w:val="-8"/>
        </w:rPr>
        <w:t xml:space="preserve"> </w:t>
      </w:r>
      <w:r>
        <w:t>in</w:t>
      </w:r>
      <w:r>
        <w:rPr>
          <w:spacing w:val="-9"/>
        </w:rPr>
        <w:t xml:space="preserve"> </w:t>
      </w:r>
      <w:r>
        <w:t>the</w:t>
      </w:r>
      <w:r>
        <w:rPr>
          <w:spacing w:val="-7"/>
        </w:rPr>
        <w:t xml:space="preserve"> </w:t>
      </w:r>
      <w:r>
        <w:t>way</w:t>
      </w:r>
      <w:r>
        <w:rPr>
          <w:spacing w:val="-6"/>
        </w:rPr>
        <w:t xml:space="preserve"> </w:t>
      </w:r>
      <w:r>
        <w:t>that</w:t>
      </w:r>
      <w:r>
        <w:rPr>
          <w:spacing w:val="-7"/>
        </w:rPr>
        <w:t xml:space="preserve"> </w:t>
      </w:r>
      <w:r>
        <w:t>it</w:t>
      </w:r>
      <w:r>
        <w:rPr>
          <w:spacing w:val="-7"/>
        </w:rPr>
        <w:t xml:space="preserve"> </w:t>
      </w:r>
      <w:r>
        <w:t>had,</w:t>
      </w:r>
      <w:r>
        <w:rPr>
          <w:spacing w:val="-5"/>
        </w:rPr>
        <w:t xml:space="preserve"> </w:t>
      </w:r>
      <w:r>
        <w:t>including</w:t>
      </w:r>
      <w:r>
        <w:rPr>
          <w:spacing w:val="-6"/>
        </w:rPr>
        <w:t xml:space="preserve"> </w:t>
      </w:r>
      <w:r>
        <w:t>that</w:t>
      </w:r>
      <w:r>
        <w:rPr>
          <w:spacing w:val="-7"/>
        </w:rPr>
        <w:t xml:space="preserve"> </w:t>
      </w:r>
      <w:r>
        <w:t>its records</w:t>
      </w:r>
      <w:r>
        <w:rPr>
          <w:spacing w:val="-7"/>
        </w:rPr>
        <w:t xml:space="preserve"> </w:t>
      </w:r>
      <w:r>
        <w:t>and</w:t>
      </w:r>
      <w:r>
        <w:rPr>
          <w:spacing w:val="-10"/>
        </w:rPr>
        <w:t xml:space="preserve"> </w:t>
      </w:r>
      <w:r>
        <w:t>indeed,</w:t>
      </w:r>
      <w:r>
        <w:rPr>
          <w:spacing w:val="-6"/>
        </w:rPr>
        <w:t xml:space="preserve"> </w:t>
      </w:r>
      <w:r>
        <w:t>as</w:t>
      </w:r>
      <w:r>
        <w:rPr>
          <w:spacing w:val="-7"/>
        </w:rPr>
        <w:t xml:space="preserve"> </w:t>
      </w:r>
      <w:r>
        <w:t>Treasury</w:t>
      </w:r>
      <w:r>
        <w:rPr>
          <w:spacing w:val="-7"/>
        </w:rPr>
        <w:t xml:space="preserve"> </w:t>
      </w:r>
      <w:r>
        <w:t>Wines</w:t>
      </w:r>
      <w:r>
        <w:rPr>
          <w:spacing w:val="-6"/>
        </w:rPr>
        <w:t xml:space="preserve"> </w:t>
      </w:r>
      <w:r>
        <w:t>had</w:t>
      </w:r>
      <w:r>
        <w:rPr>
          <w:spacing w:val="-10"/>
        </w:rPr>
        <w:t xml:space="preserve"> </w:t>
      </w:r>
      <w:r>
        <w:t>already</w:t>
      </w:r>
      <w:r>
        <w:rPr>
          <w:spacing w:val="-7"/>
        </w:rPr>
        <w:t xml:space="preserve"> </w:t>
      </w:r>
      <w:r>
        <w:t>illustrated,</w:t>
      </w:r>
      <w:r>
        <w:rPr>
          <w:spacing w:val="-11"/>
        </w:rPr>
        <w:t xml:space="preserve"> </w:t>
      </w:r>
      <w:r>
        <w:t>that</w:t>
      </w:r>
      <w:r>
        <w:rPr>
          <w:spacing w:val="-8"/>
        </w:rPr>
        <w:t xml:space="preserve"> </w:t>
      </w:r>
      <w:r>
        <w:t>the</w:t>
      </w:r>
      <w:r>
        <w:rPr>
          <w:spacing w:val="-8"/>
        </w:rPr>
        <w:t xml:space="preserve"> </w:t>
      </w:r>
      <w:r>
        <w:t>Australian</w:t>
      </w:r>
      <w:r>
        <w:rPr>
          <w:spacing w:val="-10"/>
        </w:rPr>
        <w:t xml:space="preserve"> </w:t>
      </w:r>
      <w:r>
        <w:t>market</w:t>
      </w:r>
      <w:r>
        <w:rPr>
          <w:spacing w:val="-8"/>
        </w:rPr>
        <w:t xml:space="preserve"> </w:t>
      </w:r>
      <w:r>
        <w:t>was not</w:t>
      </w:r>
      <w:r>
        <w:rPr>
          <w:spacing w:val="-14"/>
        </w:rPr>
        <w:t xml:space="preserve"> </w:t>
      </w:r>
      <w:r>
        <w:t>structured</w:t>
      </w:r>
      <w:r>
        <w:rPr>
          <w:spacing w:val="-1"/>
        </w:rPr>
        <w:t xml:space="preserve"> </w:t>
      </w:r>
      <w:r>
        <w:t>in a manner compatible with MOFCOM's PCN structure.</w:t>
      </w:r>
      <w:r>
        <w:rPr>
          <w:spacing w:val="-14"/>
        </w:rPr>
        <w:t xml:space="preserve"> </w:t>
      </w:r>
      <w:hyperlink w:anchor="_bookmark560" w:history="1">
        <w:r>
          <w:rPr>
            <w:vertAlign w:val="superscript"/>
          </w:rPr>
          <w:t>464</w:t>
        </w:r>
      </w:hyperlink>
      <w:r>
        <w:t xml:space="preserve"> Swan Vintage also provided</w:t>
      </w:r>
      <w:r>
        <w:rPr>
          <w:spacing w:val="-14"/>
        </w:rPr>
        <w:t xml:space="preserve"> </w:t>
      </w:r>
      <w:r>
        <w:t>substantial</w:t>
      </w:r>
      <w:r>
        <w:rPr>
          <w:spacing w:val="-14"/>
        </w:rPr>
        <w:t xml:space="preserve"> </w:t>
      </w:r>
      <w:r>
        <w:t>additional</w:t>
      </w:r>
      <w:r>
        <w:rPr>
          <w:spacing w:val="-11"/>
        </w:rPr>
        <w:t xml:space="preserve"> </w:t>
      </w:r>
      <w:r>
        <w:t>information</w:t>
      </w:r>
      <w:r>
        <w:rPr>
          <w:spacing w:val="-14"/>
        </w:rPr>
        <w:t xml:space="preserve"> </w:t>
      </w:r>
      <w:r>
        <w:t>to</w:t>
      </w:r>
      <w:r>
        <w:rPr>
          <w:spacing w:val="-14"/>
        </w:rPr>
        <w:t xml:space="preserve"> </w:t>
      </w:r>
      <w:r>
        <w:t>assist</w:t>
      </w:r>
      <w:r>
        <w:rPr>
          <w:spacing w:val="-11"/>
        </w:rPr>
        <w:t xml:space="preserve"> </w:t>
      </w:r>
      <w:r>
        <w:t>MOFCOM.</w:t>
      </w:r>
      <w:r>
        <w:rPr>
          <w:spacing w:val="-12"/>
        </w:rPr>
        <w:t xml:space="preserve"> </w:t>
      </w:r>
      <w:r>
        <w:t>Yet,</w:t>
      </w:r>
      <w:r>
        <w:rPr>
          <w:spacing w:val="-11"/>
        </w:rPr>
        <w:t xml:space="preserve"> </w:t>
      </w:r>
      <w:r>
        <w:t>MOFCOM</w:t>
      </w:r>
      <w:r>
        <w:rPr>
          <w:spacing w:val="-12"/>
        </w:rPr>
        <w:t xml:space="preserve"> </w:t>
      </w:r>
      <w:r>
        <w:t>simply</w:t>
      </w:r>
      <w:r>
        <w:rPr>
          <w:spacing w:val="-12"/>
        </w:rPr>
        <w:t xml:space="preserve"> </w:t>
      </w:r>
      <w:r>
        <w:t>rejected Swan</w:t>
      </w:r>
      <w:r>
        <w:rPr>
          <w:spacing w:val="-5"/>
        </w:rPr>
        <w:t xml:space="preserve"> </w:t>
      </w:r>
      <w:r>
        <w:t>Vintage's</w:t>
      </w:r>
      <w:r>
        <w:rPr>
          <w:spacing w:val="-2"/>
        </w:rPr>
        <w:t xml:space="preserve"> </w:t>
      </w:r>
      <w:r>
        <w:t>explanation</w:t>
      </w:r>
      <w:r>
        <w:rPr>
          <w:spacing w:val="-5"/>
        </w:rPr>
        <w:t xml:space="preserve"> </w:t>
      </w:r>
      <w:r>
        <w:t>without</w:t>
      </w:r>
      <w:r>
        <w:rPr>
          <w:spacing w:val="-3"/>
        </w:rPr>
        <w:t xml:space="preserve"> </w:t>
      </w:r>
      <w:r>
        <w:t>articulating</w:t>
      </w:r>
      <w:r>
        <w:rPr>
          <w:spacing w:val="-2"/>
        </w:rPr>
        <w:t xml:space="preserve"> </w:t>
      </w:r>
      <w:r>
        <w:t>how</w:t>
      </w:r>
      <w:r>
        <w:rPr>
          <w:spacing w:val="-3"/>
        </w:rPr>
        <w:t xml:space="preserve"> </w:t>
      </w:r>
      <w:r>
        <w:t>or</w:t>
      </w:r>
      <w:r>
        <w:rPr>
          <w:spacing w:val="-6"/>
        </w:rPr>
        <w:t xml:space="preserve"> </w:t>
      </w:r>
      <w:r>
        <w:t>why</w:t>
      </w:r>
      <w:r>
        <w:rPr>
          <w:spacing w:val="-2"/>
        </w:rPr>
        <w:t xml:space="preserve"> </w:t>
      </w:r>
      <w:r>
        <w:t>the</w:t>
      </w:r>
      <w:r>
        <w:rPr>
          <w:spacing w:val="-4"/>
        </w:rPr>
        <w:t xml:space="preserve"> </w:t>
      </w:r>
      <w:r>
        <w:t>explanation</w:t>
      </w:r>
      <w:r>
        <w:rPr>
          <w:spacing w:val="-5"/>
        </w:rPr>
        <w:t xml:space="preserve"> </w:t>
      </w:r>
      <w:r>
        <w:t>was</w:t>
      </w:r>
      <w:r>
        <w:rPr>
          <w:spacing w:val="-2"/>
        </w:rPr>
        <w:t xml:space="preserve"> </w:t>
      </w:r>
      <w:r>
        <w:t>deficient,</w:t>
      </w:r>
      <w:r>
        <w:rPr>
          <w:spacing w:val="-6"/>
        </w:rPr>
        <w:t xml:space="preserve"> </w:t>
      </w:r>
      <w:r>
        <w:t xml:space="preserve">in breach of the Article 6.8 and paragraph 6 of Annex II of the Anti-Dumping Agreement. There is no evidence on the record that MOFCOM gave any consideration to the issues Swan (and other exporters raised). These </w:t>
      </w:r>
      <w:proofErr w:type="gramStart"/>
      <w:r>
        <w:t>were</w:t>
      </w:r>
      <w:proofErr w:type="gramEnd"/>
      <w:r>
        <w:t xml:space="preserve"> issues MOFCOM was bound to consider. Clearly a difference</w:t>
      </w:r>
      <w:r>
        <w:rPr>
          <w:spacing w:val="-14"/>
        </w:rPr>
        <w:t xml:space="preserve"> </w:t>
      </w:r>
      <w:r>
        <w:t>in</w:t>
      </w:r>
      <w:r>
        <w:rPr>
          <w:spacing w:val="-8"/>
        </w:rPr>
        <w:t xml:space="preserve"> </w:t>
      </w:r>
      <w:r>
        <w:t>formatting does not render</w:t>
      </w:r>
      <w:r>
        <w:rPr>
          <w:spacing w:val="-2"/>
        </w:rPr>
        <w:t xml:space="preserve"> </w:t>
      </w:r>
      <w:r>
        <w:t>records "incomplete or</w:t>
      </w:r>
      <w:r>
        <w:rPr>
          <w:spacing w:val="-2"/>
        </w:rPr>
        <w:t xml:space="preserve"> </w:t>
      </w:r>
      <w:r>
        <w:t>inaccurate".</w:t>
      </w:r>
      <w:r>
        <w:rPr>
          <w:spacing w:val="-14"/>
        </w:rPr>
        <w:t xml:space="preserve"> </w:t>
      </w:r>
      <w:hyperlink w:anchor="_bookmark561" w:history="1">
        <w:r>
          <w:rPr>
            <w:vertAlign w:val="superscript"/>
          </w:rPr>
          <w:t>465</w:t>
        </w:r>
      </w:hyperlink>
      <w:r>
        <w:t xml:space="preserve"> Yet, this was MOFCOM's complaint to Swan Vintage and its principal justification for rejecting all of Swan Vintage's data and having recourse to facts available.</w:t>
      </w:r>
    </w:p>
    <w:p w14:paraId="67E88893" w14:textId="77777777" w:rsidR="00BD462C" w:rsidRDefault="00BD462C">
      <w:pPr>
        <w:pStyle w:val="BodyText"/>
        <w:rPr>
          <w:sz w:val="20"/>
        </w:rPr>
      </w:pPr>
    </w:p>
    <w:p w14:paraId="5ECC6E8E" w14:textId="7D52998A" w:rsidR="00BD462C" w:rsidRDefault="00E14314">
      <w:pPr>
        <w:pStyle w:val="BodyText"/>
        <w:spacing w:before="6"/>
        <w:rPr>
          <w:sz w:val="20"/>
        </w:rPr>
      </w:pPr>
      <w:r>
        <w:rPr>
          <w:noProof/>
        </w:rPr>
        <mc:AlternateContent>
          <mc:Choice Requires="wps">
            <w:drawing>
              <wp:anchor distT="0" distB="0" distL="0" distR="0" simplePos="0" relativeHeight="488053248" behindDoc="1" locked="0" layoutInCell="1" allowOverlap="1" wp14:anchorId="64D94402" wp14:editId="020DDC80">
                <wp:simplePos x="0" y="0"/>
                <wp:positionH relativeFrom="page">
                  <wp:posOffset>812800</wp:posOffset>
                </wp:positionH>
                <wp:positionV relativeFrom="paragraph">
                  <wp:posOffset>161290</wp:posOffset>
                </wp:positionV>
                <wp:extent cx="1828800" cy="8890"/>
                <wp:effectExtent l="0" t="0" r="0" b="0"/>
                <wp:wrapTopAndBottom/>
                <wp:docPr id="37" name="docshape2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CBC4E0" id="docshape267" o:spid="_x0000_s1026" alt="&quot;&quot;" style="position:absolute;margin-left:64pt;margin-top:12.7pt;width:2in;height:.7pt;z-index:-15263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" fillcolor="black" stroked="f">
                <w10:wrap type="topAndBottom" anchorx="page"/>
              </v:rect>
            </w:pict>
          </mc:Fallback>
        </mc:AlternateContent>
      </w:r>
    </w:p>
    <w:p w14:paraId="63BA20CA" w14:textId="77777777" w:rsidR="00BD462C" w:rsidRDefault="00033D0F">
      <w:pPr>
        <w:spacing w:before="112"/>
        <w:ind w:left="135"/>
        <w:rPr>
          <w:sz w:val="18"/>
        </w:rPr>
      </w:pPr>
      <w:bookmarkStart w:id="649" w:name="_bookmark558"/>
      <w:bookmarkEnd w:id="649"/>
      <w:r>
        <w:rPr>
          <w:position w:val="5"/>
          <w:sz w:val="12"/>
        </w:rPr>
        <w:t>462</w:t>
      </w:r>
      <w:r>
        <w:rPr>
          <w:spacing w:val="15"/>
          <w:position w:val="5"/>
          <w:sz w:val="12"/>
        </w:rPr>
        <w:t xml:space="preserve"> </w:t>
      </w:r>
      <w:r>
        <w:rPr>
          <w:sz w:val="18"/>
        </w:rPr>
        <w:t>China's</w:t>
      </w:r>
      <w:r>
        <w:rPr>
          <w:spacing w:val="2"/>
          <w:sz w:val="18"/>
        </w:rPr>
        <w:t xml:space="preserve"> </w:t>
      </w:r>
      <w:r>
        <w:rPr>
          <w:sz w:val="18"/>
        </w:rPr>
        <w:t>response</w:t>
      </w:r>
      <w:r>
        <w:rPr>
          <w:spacing w:val="-4"/>
          <w:sz w:val="18"/>
        </w:rPr>
        <w:t xml:space="preserve"> </w:t>
      </w:r>
      <w:r>
        <w:rPr>
          <w:sz w:val="18"/>
        </w:rPr>
        <w:t>to</w:t>
      </w:r>
      <w:r>
        <w:rPr>
          <w:spacing w:val="-9"/>
          <w:sz w:val="18"/>
        </w:rPr>
        <w:t xml:space="preserve"> </w:t>
      </w:r>
      <w:r>
        <w:rPr>
          <w:sz w:val="18"/>
        </w:rPr>
        <w:t>Panel</w:t>
      </w:r>
      <w:r>
        <w:rPr>
          <w:spacing w:val="-2"/>
          <w:sz w:val="18"/>
        </w:rPr>
        <w:t xml:space="preserve"> </w:t>
      </w:r>
      <w:r>
        <w:rPr>
          <w:sz w:val="18"/>
        </w:rPr>
        <w:t>question</w:t>
      </w:r>
      <w:r>
        <w:rPr>
          <w:spacing w:val="-5"/>
          <w:sz w:val="18"/>
        </w:rPr>
        <w:t xml:space="preserve"> </w:t>
      </w:r>
      <w:r>
        <w:rPr>
          <w:sz w:val="18"/>
        </w:rPr>
        <w:t>No.</w:t>
      </w:r>
      <w:r>
        <w:rPr>
          <w:spacing w:val="3"/>
          <w:sz w:val="18"/>
        </w:rPr>
        <w:t xml:space="preserve"> </w:t>
      </w:r>
      <w:r>
        <w:rPr>
          <w:spacing w:val="-5"/>
          <w:sz w:val="18"/>
        </w:rPr>
        <w:t>11.</w:t>
      </w:r>
    </w:p>
    <w:p w14:paraId="7688D21A" w14:textId="77777777" w:rsidR="00BD462C" w:rsidRDefault="00033D0F">
      <w:pPr>
        <w:spacing w:before="1"/>
        <w:ind w:left="135"/>
        <w:rPr>
          <w:sz w:val="18"/>
        </w:rPr>
      </w:pPr>
      <w:bookmarkStart w:id="650" w:name="_bookmark559"/>
      <w:bookmarkEnd w:id="650"/>
      <w:r>
        <w:rPr>
          <w:position w:val="5"/>
          <w:sz w:val="12"/>
        </w:rPr>
        <w:t>463</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paras.</w:t>
      </w:r>
      <w:r>
        <w:rPr>
          <w:spacing w:val="-5"/>
          <w:sz w:val="18"/>
        </w:rPr>
        <w:t xml:space="preserve"> </w:t>
      </w:r>
      <w:r>
        <w:rPr>
          <w:sz w:val="18"/>
        </w:rPr>
        <w:t>736-</w:t>
      </w:r>
      <w:r>
        <w:rPr>
          <w:spacing w:val="-4"/>
          <w:sz w:val="18"/>
        </w:rPr>
        <w:t>740.</w:t>
      </w:r>
    </w:p>
    <w:p w14:paraId="79F11EC9" w14:textId="77777777" w:rsidR="00BD462C" w:rsidRDefault="00033D0F">
      <w:pPr>
        <w:spacing w:before="1"/>
        <w:ind w:left="135"/>
        <w:rPr>
          <w:sz w:val="18"/>
        </w:rPr>
      </w:pPr>
      <w:bookmarkStart w:id="651" w:name="_bookmark560"/>
      <w:bookmarkEnd w:id="651"/>
      <w:r>
        <w:rPr>
          <w:position w:val="5"/>
          <w:sz w:val="12"/>
        </w:rPr>
        <w:t>464</w:t>
      </w:r>
      <w:r>
        <w:rPr>
          <w:spacing w:val="13"/>
          <w:position w:val="5"/>
          <w:sz w:val="12"/>
        </w:rPr>
        <w:t xml:space="preserve"> </w:t>
      </w:r>
      <w:r>
        <w:rPr>
          <w:sz w:val="18"/>
        </w:rPr>
        <w:t>China</w:t>
      </w:r>
      <w:r>
        <w:rPr>
          <w:spacing w:val="-2"/>
          <w:sz w:val="18"/>
        </w:rPr>
        <w:t xml:space="preserve"> </w:t>
      </w:r>
      <w:r>
        <w:rPr>
          <w:sz w:val="18"/>
        </w:rPr>
        <w:t>acknowledges</w:t>
      </w:r>
      <w:r>
        <w:rPr>
          <w:spacing w:val="-5"/>
          <w:sz w:val="18"/>
        </w:rPr>
        <w:t xml:space="preserve"> </w:t>
      </w:r>
      <w:r>
        <w:rPr>
          <w:sz w:val="18"/>
        </w:rPr>
        <w:t>this</w:t>
      </w:r>
      <w:r>
        <w:rPr>
          <w:spacing w:val="-5"/>
          <w:sz w:val="18"/>
        </w:rPr>
        <w:t xml:space="preserve"> </w:t>
      </w:r>
      <w:r>
        <w:rPr>
          <w:sz w:val="18"/>
        </w:rPr>
        <w:t>in</w:t>
      </w:r>
      <w:r>
        <w:rPr>
          <w:spacing w:val="-5"/>
          <w:sz w:val="18"/>
        </w:rPr>
        <w:t xml:space="preserve"> </w:t>
      </w:r>
      <w:r>
        <w:rPr>
          <w:sz w:val="18"/>
        </w:rPr>
        <w:t>its</w:t>
      </w:r>
      <w:r>
        <w:rPr>
          <w:spacing w:val="-5"/>
          <w:sz w:val="18"/>
        </w:rPr>
        <w:t xml:space="preserve"> </w:t>
      </w:r>
      <w:r>
        <w:rPr>
          <w:sz w:val="18"/>
        </w:rPr>
        <w:t>first</w:t>
      </w:r>
      <w:r>
        <w:rPr>
          <w:spacing w:val="-4"/>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See</w:t>
      </w:r>
      <w:r>
        <w:rPr>
          <w:spacing w:val="-1"/>
          <w:sz w:val="18"/>
        </w:rPr>
        <w:t xml:space="preserve"> </w:t>
      </w:r>
      <w:r>
        <w:rPr>
          <w:sz w:val="18"/>
        </w:rPr>
        <w:t>China's</w:t>
      </w:r>
      <w:r>
        <w:rPr>
          <w:spacing w:val="-5"/>
          <w:sz w:val="18"/>
        </w:rPr>
        <w:t xml:space="preserve"> </w:t>
      </w:r>
      <w:r>
        <w:rPr>
          <w:sz w:val="18"/>
        </w:rPr>
        <w:t>first</w:t>
      </w:r>
      <w:r>
        <w:rPr>
          <w:spacing w:val="-4"/>
          <w:sz w:val="18"/>
        </w:rPr>
        <w:t xml:space="preserve"> </w:t>
      </w:r>
      <w:r>
        <w:rPr>
          <w:sz w:val="18"/>
        </w:rPr>
        <w:t>written</w:t>
      </w:r>
      <w:r>
        <w:rPr>
          <w:spacing w:val="-6"/>
          <w:sz w:val="18"/>
        </w:rPr>
        <w:t xml:space="preserve"> </w:t>
      </w:r>
      <w:r>
        <w:rPr>
          <w:sz w:val="18"/>
        </w:rPr>
        <w:t>submission,</w:t>
      </w:r>
      <w:r>
        <w:rPr>
          <w:spacing w:val="-3"/>
          <w:sz w:val="18"/>
        </w:rPr>
        <w:t xml:space="preserve"> </w:t>
      </w:r>
      <w:r>
        <w:rPr>
          <w:sz w:val="18"/>
        </w:rPr>
        <w:t>para.</w:t>
      </w:r>
      <w:r>
        <w:rPr>
          <w:spacing w:val="-4"/>
          <w:sz w:val="18"/>
        </w:rPr>
        <w:t xml:space="preserve"> 747.</w:t>
      </w:r>
    </w:p>
    <w:p w14:paraId="3237023A" w14:textId="77777777" w:rsidR="00BD462C" w:rsidRDefault="00033D0F">
      <w:pPr>
        <w:spacing w:before="1"/>
        <w:ind w:left="135"/>
        <w:rPr>
          <w:sz w:val="18"/>
        </w:rPr>
      </w:pPr>
      <w:bookmarkStart w:id="652" w:name="_bookmark561"/>
      <w:bookmarkEnd w:id="652"/>
      <w:r>
        <w:rPr>
          <w:position w:val="5"/>
          <w:sz w:val="12"/>
        </w:rPr>
        <w:t>465</w:t>
      </w:r>
      <w:r>
        <w:rPr>
          <w:spacing w:val="12"/>
          <w:position w:val="5"/>
          <w:sz w:val="12"/>
        </w:rPr>
        <w:t xml:space="preserve"> </w:t>
      </w:r>
      <w:r>
        <w:rPr>
          <w:sz w:val="18"/>
        </w:rPr>
        <w:t>Anti-Dumping</w:t>
      </w:r>
      <w:r>
        <w:rPr>
          <w:spacing w:val="-6"/>
          <w:sz w:val="18"/>
        </w:rPr>
        <w:t xml:space="preserve"> </w:t>
      </w:r>
      <w:r>
        <w:rPr>
          <w:sz w:val="18"/>
        </w:rPr>
        <w:t>Final</w:t>
      </w:r>
      <w:r>
        <w:rPr>
          <w:spacing w:val="-1"/>
          <w:sz w:val="18"/>
        </w:rPr>
        <w:t xml:space="preserve"> </w:t>
      </w:r>
      <w:r>
        <w:rPr>
          <w:sz w:val="18"/>
        </w:rPr>
        <w:t>Determination</w:t>
      </w:r>
      <w:r>
        <w:rPr>
          <w:spacing w:val="-7"/>
          <w:sz w:val="18"/>
        </w:rPr>
        <w:t xml:space="preserve"> </w:t>
      </w:r>
      <w:r>
        <w:rPr>
          <w:sz w:val="18"/>
        </w:rPr>
        <w:t>(Exhibit</w:t>
      </w:r>
      <w:r>
        <w:rPr>
          <w:spacing w:val="-1"/>
          <w:sz w:val="18"/>
        </w:rPr>
        <w:t xml:space="preserve"> </w:t>
      </w:r>
      <w:r>
        <w:rPr>
          <w:sz w:val="18"/>
        </w:rPr>
        <w:t>AUS-2),</w:t>
      </w:r>
      <w:r>
        <w:rPr>
          <w:spacing w:val="-4"/>
          <w:sz w:val="18"/>
        </w:rPr>
        <w:t xml:space="preserve"> </w:t>
      </w:r>
      <w:r>
        <w:rPr>
          <w:sz w:val="18"/>
        </w:rPr>
        <w:t>p.</w:t>
      </w:r>
      <w:r>
        <w:rPr>
          <w:spacing w:val="-5"/>
          <w:sz w:val="18"/>
        </w:rPr>
        <w:t xml:space="preserve"> 90.</w:t>
      </w:r>
    </w:p>
    <w:p w14:paraId="035D32A2" w14:textId="77777777" w:rsidR="00BD462C" w:rsidRDefault="00BD462C">
      <w:pPr>
        <w:rPr>
          <w:sz w:val="18"/>
        </w:rPr>
        <w:sectPr w:rsidR="00BD462C">
          <w:pgSz w:w="11910" w:h="16840"/>
          <w:pgMar w:top="860" w:right="500" w:bottom="780" w:left="1280" w:header="566" w:footer="590" w:gutter="0"/>
          <w:cols w:space="720"/>
        </w:sectPr>
      </w:pPr>
    </w:p>
    <w:p w14:paraId="296C0FE0" w14:textId="77777777" w:rsidR="00BD462C" w:rsidRDefault="00033D0F">
      <w:pPr>
        <w:tabs>
          <w:tab w:val="left" w:pos="6087"/>
        </w:tabs>
        <w:spacing w:before="1"/>
        <w:ind w:left="135"/>
        <w:jc w:val="both"/>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31A9BF7F" w14:textId="77777777" w:rsidR="00BD462C" w:rsidRDefault="00033D0F">
      <w:pPr>
        <w:spacing w:before="1"/>
        <w:ind w:left="135"/>
        <w:jc w:val="both"/>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58242AAD" w14:textId="77777777" w:rsidR="00BD462C" w:rsidRDefault="00033D0F">
      <w:pPr>
        <w:tabs>
          <w:tab w:val="left" w:pos="7652"/>
        </w:tabs>
        <w:ind w:left="135"/>
        <w:jc w:val="both"/>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6BE0A83A" w14:textId="24A2AA97" w:rsidR="00493811" w:rsidRDefault="00033D0F" w:rsidP="00DA02D9">
      <w:pPr>
        <w:pStyle w:val="BodyText"/>
        <w:numPr>
          <w:ilvl w:val="0"/>
          <w:numId w:val="71"/>
        </w:numPr>
        <w:spacing w:before="107" w:line="360" w:lineRule="auto"/>
        <w:ind w:right="907"/>
        <w:jc w:val="both"/>
      </w:pPr>
      <w:r>
        <w:rPr>
          <w:position w:val="1"/>
        </w:rPr>
        <w:t>MOFCOM's</w:t>
      </w:r>
      <w:r>
        <w:rPr>
          <w:spacing w:val="-2"/>
          <w:position w:val="1"/>
        </w:rPr>
        <w:t xml:space="preserve"> </w:t>
      </w:r>
      <w:r>
        <w:rPr>
          <w:position w:val="1"/>
        </w:rPr>
        <w:t>failure</w:t>
      </w:r>
      <w:r>
        <w:rPr>
          <w:spacing w:val="-3"/>
          <w:position w:val="1"/>
        </w:rPr>
        <w:t xml:space="preserve"> </w:t>
      </w:r>
      <w:r>
        <w:rPr>
          <w:position w:val="1"/>
        </w:rPr>
        <w:t>to</w:t>
      </w:r>
      <w:r>
        <w:rPr>
          <w:spacing w:val="-6"/>
          <w:position w:val="1"/>
        </w:rPr>
        <w:t xml:space="preserve"> </w:t>
      </w:r>
      <w:r>
        <w:rPr>
          <w:position w:val="1"/>
        </w:rPr>
        <w:t>specifically</w:t>
      </w:r>
      <w:r>
        <w:rPr>
          <w:spacing w:val="-2"/>
          <w:position w:val="1"/>
        </w:rPr>
        <w:t xml:space="preserve"> </w:t>
      </w:r>
      <w:r>
        <w:rPr>
          <w:position w:val="1"/>
        </w:rPr>
        <w:t>identify</w:t>
      </w:r>
      <w:r>
        <w:rPr>
          <w:spacing w:val="-2"/>
          <w:position w:val="1"/>
        </w:rPr>
        <w:t xml:space="preserve"> </w:t>
      </w:r>
      <w:r>
        <w:rPr>
          <w:position w:val="1"/>
        </w:rPr>
        <w:t>the</w:t>
      </w:r>
      <w:r>
        <w:rPr>
          <w:spacing w:val="-4"/>
          <w:position w:val="1"/>
        </w:rPr>
        <w:t xml:space="preserve"> </w:t>
      </w:r>
      <w:r>
        <w:rPr>
          <w:position w:val="1"/>
        </w:rPr>
        <w:t>deficiencies</w:t>
      </w:r>
      <w:r>
        <w:rPr>
          <w:spacing w:val="-7"/>
          <w:position w:val="1"/>
        </w:rPr>
        <w:t xml:space="preserve"> </w:t>
      </w:r>
      <w:r>
        <w:rPr>
          <w:position w:val="1"/>
        </w:rPr>
        <w:t>in</w:t>
      </w:r>
      <w:r>
        <w:rPr>
          <w:spacing w:val="-5"/>
          <w:position w:val="1"/>
        </w:rPr>
        <w:t xml:space="preserve"> </w:t>
      </w:r>
      <w:r>
        <w:rPr>
          <w:position w:val="1"/>
        </w:rPr>
        <w:t>Swan</w:t>
      </w:r>
      <w:r>
        <w:rPr>
          <w:spacing w:val="-4"/>
          <w:position w:val="1"/>
        </w:rPr>
        <w:t xml:space="preserve"> </w:t>
      </w:r>
      <w:r>
        <w:rPr>
          <w:position w:val="1"/>
        </w:rPr>
        <w:t>Vintage's</w:t>
      </w:r>
      <w:r>
        <w:rPr>
          <w:spacing w:val="-2"/>
          <w:position w:val="1"/>
        </w:rPr>
        <w:t xml:space="preserve"> </w:t>
      </w:r>
      <w:r>
        <w:rPr>
          <w:position w:val="1"/>
        </w:rPr>
        <w:t xml:space="preserve">evidence </w:t>
      </w:r>
      <w:r>
        <w:t>is</w:t>
      </w:r>
      <w:r>
        <w:rPr>
          <w:spacing w:val="-14"/>
        </w:rPr>
        <w:t xml:space="preserve"> </w:t>
      </w:r>
      <w:r>
        <w:t>a</w:t>
      </w:r>
      <w:r>
        <w:rPr>
          <w:spacing w:val="-14"/>
        </w:rPr>
        <w:t xml:space="preserve"> </w:t>
      </w:r>
      <w:r>
        <w:t>clear</w:t>
      </w:r>
      <w:r>
        <w:rPr>
          <w:spacing w:val="-13"/>
        </w:rPr>
        <w:t xml:space="preserve"> </w:t>
      </w:r>
      <w:r>
        <w:t>breach</w:t>
      </w:r>
      <w:r>
        <w:rPr>
          <w:spacing w:val="-14"/>
        </w:rPr>
        <w:t xml:space="preserve"> </w:t>
      </w:r>
      <w:r>
        <w:t>of</w:t>
      </w:r>
      <w:r>
        <w:rPr>
          <w:spacing w:val="-13"/>
        </w:rPr>
        <w:t xml:space="preserve"> </w:t>
      </w:r>
      <w:r>
        <w:t>paragraph</w:t>
      </w:r>
      <w:r>
        <w:rPr>
          <w:spacing w:val="-11"/>
        </w:rPr>
        <w:t xml:space="preserve"> </w:t>
      </w:r>
      <w:r>
        <w:t>6</w:t>
      </w:r>
      <w:r>
        <w:rPr>
          <w:spacing w:val="-14"/>
        </w:rPr>
        <w:t xml:space="preserve"> </w:t>
      </w:r>
      <w:r>
        <w:t>of</w:t>
      </w:r>
      <w:r>
        <w:rPr>
          <w:spacing w:val="-13"/>
        </w:rPr>
        <w:t xml:space="preserve"> </w:t>
      </w:r>
      <w:r>
        <w:t>Annex</w:t>
      </w:r>
      <w:r>
        <w:rPr>
          <w:spacing w:val="-12"/>
        </w:rPr>
        <w:t xml:space="preserve"> </w:t>
      </w:r>
      <w:r>
        <w:t>II</w:t>
      </w:r>
      <w:r>
        <w:rPr>
          <w:spacing w:val="-12"/>
        </w:rPr>
        <w:t xml:space="preserve"> </w:t>
      </w:r>
      <w:r>
        <w:t>of</w:t>
      </w:r>
      <w:r>
        <w:rPr>
          <w:spacing w:val="-14"/>
        </w:rPr>
        <w:t xml:space="preserve"> </w:t>
      </w:r>
      <w:r>
        <w:t>the</w:t>
      </w:r>
      <w:r>
        <w:rPr>
          <w:spacing w:val="-12"/>
        </w:rPr>
        <w:t xml:space="preserve"> </w:t>
      </w:r>
      <w:r>
        <w:t>Anti-Dumping</w:t>
      </w:r>
      <w:r>
        <w:rPr>
          <w:spacing w:val="-11"/>
        </w:rPr>
        <w:t xml:space="preserve"> </w:t>
      </w:r>
      <w:r>
        <w:t>Agreement.</w:t>
      </w:r>
      <w:r>
        <w:rPr>
          <w:spacing w:val="-12"/>
        </w:rPr>
        <w:t xml:space="preserve"> </w:t>
      </w:r>
      <w:r>
        <w:t>It</w:t>
      </w:r>
      <w:r>
        <w:rPr>
          <w:spacing w:val="-12"/>
        </w:rPr>
        <w:t xml:space="preserve"> </w:t>
      </w:r>
      <w:r>
        <w:t>prevented</w:t>
      </w:r>
      <w:r>
        <w:rPr>
          <w:spacing w:val="-14"/>
        </w:rPr>
        <w:t xml:space="preserve"> </w:t>
      </w:r>
      <w:r>
        <w:t>Swan Vintage from responding effectively to its vague and opaque criticisms and hence deprived Swan</w:t>
      </w:r>
      <w:r>
        <w:rPr>
          <w:spacing w:val="-3"/>
        </w:rPr>
        <w:t xml:space="preserve"> </w:t>
      </w:r>
      <w:r>
        <w:t>Vintage</w:t>
      </w:r>
      <w:r>
        <w:rPr>
          <w:spacing w:val="-1"/>
        </w:rPr>
        <w:t xml:space="preserve"> </w:t>
      </w:r>
      <w:r>
        <w:t>of the opportunity to defend its interests. Even</w:t>
      </w:r>
      <w:r>
        <w:rPr>
          <w:spacing w:val="-3"/>
        </w:rPr>
        <w:t xml:space="preserve"> </w:t>
      </w:r>
      <w:r>
        <w:t>when</w:t>
      </w:r>
      <w:r>
        <w:rPr>
          <w:spacing w:val="-3"/>
        </w:rPr>
        <w:t xml:space="preserve"> </w:t>
      </w:r>
      <w:r>
        <w:t>the Preliminary and</w:t>
      </w:r>
      <w:r>
        <w:rPr>
          <w:spacing w:val="-3"/>
        </w:rPr>
        <w:t xml:space="preserve"> </w:t>
      </w:r>
      <w:r>
        <w:t>Final Determinations are read together with the initial questionnaire instructions, it is impossible to</w:t>
      </w:r>
      <w:r>
        <w:rPr>
          <w:spacing w:val="-14"/>
        </w:rPr>
        <w:t xml:space="preserve"> </w:t>
      </w:r>
      <w:r>
        <w:t>glean</w:t>
      </w:r>
      <w:r>
        <w:rPr>
          <w:spacing w:val="-14"/>
        </w:rPr>
        <w:t xml:space="preserve"> </w:t>
      </w:r>
      <w:r>
        <w:t>of</w:t>
      </w:r>
      <w:r>
        <w:rPr>
          <w:spacing w:val="-13"/>
        </w:rPr>
        <w:t xml:space="preserve"> </w:t>
      </w:r>
      <w:r>
        <w:t>what</w:t>
      </w:r>
      <w:r>
        <w:rPr>
          <w:spacing w:val="-14"/>
        </w:rPr>
        <w:t xml:space="preserve"> </w:t>
      </w:r>
      <w:r>
        <w:t>inaccuracy</w:t>
      </w:r>
      <w:r>
        <w:rPr>
          <w:spacing w:val="-13"/>
        </w:rPr>
        <w:t xml:space="preserve"> </w:t>
      </w:r>
      <w:r>
        <w:t>or</w:t>
      </w:r>
      <w:r>
        <w:rPr>
          <w:spacing w:val="-14"/>
        </w:rPr>
        <w:t xml:space="preserve"> </w:t>
      </w:r>
      <w:r>
        <w:t>incompleteness</w:t>
      </w:r>
      <w:r>
        <w:rPr>
          <w:spacing w:val="-13"/>
        </w:rPr>
        <w:t xml:space="preserve"> </w:t>
      </w:r>
      <w:r>
        <w:t>MOFCOM</w:t>
      </w:r>
      <w:r>
        <w:rPr>
          <w:spacing w:val="-14"/>
        </w:rPr>
        <w:t xml:space="preserve"> </w:t>
      </w:r>
      <w:r>
        <w:t>complained.</w:t>
      </w:r>
      <w:r>
        <w:rPr>
          <w:spacing w:val="-14"/>
        </w:rPr>
        <w:t xml:space="preserve"> </w:t>
      </w:r>
      <w:r>
        <w:t>If</w:t>
      </w:r>
      <w:r>
        <w:rPr>
          <w:spacing w:val="-13"/>
        </w:rPr>
        <w:t xml:space="preserve"> </w:t>
      </w:r>
      <w:r>
        <w:t>MOFCOM's</w:t>
      </w:r>
      <w:r>
        <w:rPr>
          <w:spacing w:val="-14"/>
        </w:rPr>
        <w:t xml:space="preserve"> </w:t>
      </w:r>
      <w:r>
        <w:t>complaint was that Swan Vintage had provided the data in a different format than requested, then it should have indicated that it had rejected Swan Vintage's data and used facts available, as it did in relation to the WPS formatted spreadsheet provided Casella Wines. Yet, no such indication was given to Swan Vintage</w:t>
      </w:r>
      <w:r w:rsidR="00493811">
        <w:t>.</w:t>
      </w:r>
    </w:p>
    <w:p w14:paraId="7131ED76" w14:textId="6F5A078D" w:rsidR="00BD462C" w:rsidRDefault="00033D0F" w:rsidP="00DA02D9">
      <w:pPr>
        <w:pStyle w:val="BodyText"/>
        <w:numPr>
          <w:ilvl w:val="0"/>
          <w:numId w:val="71"/>
        </w:numPr>
        <w:spacing w:before="107" w:line="360" w:lineRule="auto"/>
        <w:ind w:right="907"/>
        <w:jc w:val="both"/>
      </w:pPr>
      <w:r w:rsidRPr="00493811">
        <w:rPr>
          <w:position w:val="1"/>
        </w:rPr>
        <w:t xml:space="preserve">Taken together, it is clear that: (i) there was no necessary information missing in </w:t>
      </w:r>
      <w:r>
        <w:t>relation to the calculation of dumping for Swan Vintage; (ii) that Swan Vintage provided information</w:t>
      </w:r>
      <w:r w:rsidRPr="00493811">
        <w:rPr>
          <w:spacing w:val="-9"/>
        </w:rPr>
        <w:t xml:space="preserve"> </w:t>
      </w:r>
      <w:r>
        <w:t>to</w:t>
      </w:r>
      <w:r w:rsidRPr="00493811">
        <w:rPr>
          <w:spacing w:val="-10"/>
        </w:rPr>
        <w:t xml:space="preserve"> </w:t>
      </w:r>
      <w:r>
        <w:t>MOFCOM</w:t>
      </w:r>
      <w:r w:rsidRPr="00493811">
        <w:rPr>
          <w:spacing w:val="-7"/>
        </w:rPr>
        <w:t xml:space="preserve"> </w:t>
      </w:r>
      <w:r>
        <w:t>in</w:t>
      </w:r>
      <w:r w:rsidRPr="00493811">
        <w:rPr>
          <w:spacing w:val="-9"/>
        </w:rPr>
        <w:t xml:space="preserve"> </w:t>
      </w:r>
      <w:r>
        <w:t>a</w:t>
      </w:r>
      <w:r w:rsidRPr="00493811">
        <w:rPr>
          <w:spacing w:val="-8"/>
        </w:rPr>
        <w:t xml:space="preserve"> </w:t>
      </w:r>
      <w:r>
        <w:t>timely</w:t>
      </w:r>
      <w:r w:rsidRPr="00493811">
        <w:rPr>
          <w:spacing w:val="-6"/>
        </w:rPr>
        <w:t xml:space="preserve"> </w:t>
      </w:r>
      <w:proofErr w:type="gramStart"/>
      <w:r>
        <w:t>manner</w:t>
      </w:r>
      <w:proofErr w:type="gramEnd"/>
      <w:r w:rsidRPr="00493811">
        <w:rPr>
          <w:spacing w:val="-10"/>
        </w:rPr>
        <w:t xml:space="preserve"> </w:t>
      </w:r>
      <w:r>
        <w:t>and</w:t>
      </w:r>
      <w:r w:rsidRPr="00493811">
        <w:rPr>
          <w:spacing w:val="-9"/>
        </w:rPr>
        <w:t xml:space="preserve"> </w:t>
      </w:r>
      <w:r>
        <w:t>it</w:t>
      </w:r>
      <w:r w:rsidRPr="00493811">
        <w:rPr>
          <w:spacing w:val="-7"/>
        </w:rPr>
        <w:t xml:space="preserve"> </w:t>
      </w:r>
      <w:r>
        <w:t>was</w:t>
      </w:r>
      <w:r w:rsidRPr="00493811">
        <w:rPr>
          <w:spacing w:val="-6"/>
        </w:rPr>
        <w:t xml:space="preserve"> </w:t>
      </w:r>
      <w:r>
        <w:t>verifiable;</w:t>
      </w:r>
      <w:r w:rsidRPr="00493811">
        <w:rPr>
          <w:spacing w:val="-10"/>
        </w:rPr>
        <w:t xml:space="preserve"> </w:t>
      </w:r>
      <w:r>
        <w:t>and</w:t>
      </w:r>
      <w:r w:rsidRPr="00493811">
        <w:rPr>
          <w:spacing w:val="-9"/>
        </w:rPr>
        <w:t xml:space="preserve"> </w:t>
      </w:r>
      <w:r>
        <w:t>(iii)</w:t>
      </w:r>
      <w:r w:rsidRPr="00493811">
        <w:rPr>
          <w:spacing w:val="-9"/>
        </w:rPr>
        <w:t xml:space="preserve"> </w:t>
      </w:r>
      <w:r>
        <w:t>that</w:t>
      </w:r>
      <w:r w:rsidRPr="00493811">
        <w:rPr>
          <w:spacing w:val="-11"/>
        </w:rPr>
        <w:t xml:space="preserve"> </w:t>
      </w:r>
      <w:r>
        <w:t>it</w:t>
      </w:r>
      <w:r w:rsidRPr="00493811">
        <w:rPr>
          <w:spacing w:val="-7"/>
        </w:rPr>
        <w:t xml:space="preserve"> </w:t>
      </w:r>
      <w:r>
        <w:t>was</w:t>
      </w:r>
      <w:r w:rsidRPr="00493811">
        <w:rPr>
          <w:spacing w:val="-6"/>
        </w:rPr>
        <w:t xml:space="preserve"> </w:t>
      </w:r>
      <w:r>
        <w:t>also</w:t>
      </w:r>
      <w:r w:rsidRPr="00493811">
        <w:rPr>
          <w:spacing w:val="-10"/>
        </w:rPr>
        <w:t xml:space="preserve"> </w:t>
      </w:r>
      <w:r>
        <w:t>able to be used by MOFCOM without undue difficulty.</w:t>
      </w:r>
    </w:p>
    <w:p w14:paraId="236FAA1A" w14:textId="77777777" w:rsidR="00BD462C" w:rsidRDefault="00033D0F">
      <w:pPr>
        <w:pStyle w:val="ListParagraph"/>
        <w:numPr>
          <w:ilvl w:val="1"/>
          <w:numId w:val="34"/>
        </w:numPr>
        <w:tabs>
          <w:tab w:val="left" w:pos="3539"/>
          <w:tab w:val="left" w:pos="3540"/>
        </w:tabs>
        <w:spacing w:before="158"/>
        <w:ind w:hanging="851"/>
        <w:jc w:val="both"/>
        <w:rPr>
          <w:sz w:val="24"/>
        </w:rPr>
      </w:pPr>
      <w:bookmarkStart w:id="653" w:name="(b)_Non-affiliated_service_providers'_da"/>
      <w:bookmarkEnd w:id="653"/>
      <w:r>
        <w:rPr>
          <w:sz w:val="24"/>
          <w:u w:val="single"/>
        </w:rPr>
        <w:t>Non-affiliated</w:t>
      </w:r>
      <w:r>
        <w:rPr>
          <w:spacing w:val="-6"/>
          <w:sz w:val="24"/>
          <w:u w:val="single"/>
        </w:rPr>
        <w:t xml:space="preserve"> </w:t>
      </w:r>
      <w:r>
        <w:rPr>
          <w:sz w:val="24"/>
          <w:u w:val="single"/>
        </w:rPr>
        <w:t>service</w:t>
      </w:r>
      <w:r>
        <w:rPr>
          <w:spacing w:val="-4"/>
          <w:sz w:val="24"/>
          <w:u w:val="single"/>
        </w:rPr>
        <w:t xml:space="preserve"> </w:t>
      </w:r>
      <w:r>
        <w:rPr>
          <w:sz w:val="24"/>
          <w:u w:val="single"/>
        </w:rPr>
        <w:t>providers'</w:t>
      </w:r>
      <w:r>
        <w:rPr>
          <w:spacing w:val="-5"/>
          <w:sz w:val="24"/>
          <w:u w:val="single"/>
        </w:rPr>
        <w:t xml:space="preserve"> </w:t>
      </w:r>
      <w:r>
        <w:rPr>
          <w:spacing w:val="-4"/>
          <w:sz w:val="24"/>
          <w:u w:val="single"/>
        </w:rPr>
        <w:t>data</w:t>
      </w:r>
    </w:p>
    <w:p w14:paraId="0DDD6005" w14:textId="77777777" w:rsidR="00BD462C" w:rsidRDefault="00BD462C">
      <w:pPr>
        <w:pStyle w:val="BodyText"/>
        <w:spacing w:before="11"/>
        <w:rPr>
          <w:sz w:val="20"/>
        </w:rPr>
      </w:pPr>
    </w:p>
    <w:p w14:paraId="00B9589E" w14:textId="6E8A555F" w:rsidR="00BD462C" w:rsidRDefault="00033D0F" w:rsidP="00DA02D9">
      <w:pPr>
        <w:pStyle w:val="BodyText"/>
        <w:numPr>
          <w:ilvl w:val="0"/>
          <w:numId w:val="71"/>
        </w:numPr>
        <w:spacing w:before="56" w:line="355" w:lineRule="auto"/>
        <w:ind w:right="919"/>
        <w:jc w:val="both"/>
      </w:pPr>
      <w:r>
        <w:rPr>
          <w:position w:val="1"/>
        </w:rPr>
        <w:t>MOFCOM</w:t>
      </w:r>
      <w:r>
        <w:rPr>
          <w:spacing w:val="-11"/>
          <w:position w:val="1"/>
        </w:rPr>
        <w:t xml:space="preserve"> </w:t>
      </w:r>
      <w:r>
        <w:rPr>
          <w:position w:val="1"/>
        </w:rPr>
        <w:t>determined</w:t>
      </w:r>
      <w:r>
        <w:rPr>
          <w:spacing w:val="-14"/>
          <w:position w:val="1"/>
        </w:rPr>
        <w:t xml:space="preserve"> </w:t>
      </w:r>
      <w:r>
        <w:rPr>
          <w:position w:val="1"/>
        </w:rPr>
        <w:t>that,</w:t>
      </w:r>
      <w:r>
        <w:rPr>
          <w:spacing w:val="-10"/>
          <w:position w:val="1"/>
        </w:rPr>
        <w:t xml:space="preserve"> </w:t>
      </w:r>
      <w:r>
        <w:rPr>
          <w:position w:val="1"/>
        </w:rPr>
        <w:t>in</w:t>
      </w:r>
      <w:r>
        <w:rPr>
          <w:spacing w:val="-14"/>
          <w:position w:val="1"/>
        </w:rPr>
        <w:t xml:space="preserve"> </w:t>
      </w:r>
      <w:r>
        <w:rPr>
          <w:position w:val="1"/>
        </w:rPr>
        <w:t>respect</w:t>
      </w:r>
      <w:r>
        <w:rPr>
          <w:spacing w:val="-11"/>
          <w:position w:val="1"/>
        </w:rPr>
        <w:t xml:space="preserve"> </w:t>
      </w:r>
      <w:r>
        <w:rPr>
          <w:position w:val="1"/>
        </w:rPr>
        <w:t>of</w:t>
      </w:r>
      <w:r>
        <w:rPr>
          <w:spacing w:val="-14"/>
          <w:position w:val="1"/>
        </w:rPr>
        <w:t xml:space="preserve"> </w:t>
      </w:r>
      <w:r>
        <w:rPr>
          <w:position w:val="1"/>
        </w:rPr>
        <w:t>Swan</w:t>
      </w:r>
      <w:r>
        <w:rPr>
          <w:spacing w:val="-8"/>
          <w:position w:val="1"/>
        </w:rPr>
        <w:t xml:space="preserve"> </w:t>
      </w:r>
      <w:r>
        <w:rPr>
          <w:position w:val="1"/>
        </w:rPr>
        <w:t>Vintage,</w:t>
      </w:r>
      <w:r>
        <w:rPr>
          <w:spacing w:val="-14"/>
          <w:position w:val="1"/>
        </w:rPr>
        <w:t xml:space="preserve"> </w:t>
      </w:r>
      <w:r>
        <w:rPr>
          <w:position w:val="1"/>
        </w:rPr>
        <w:t>it</w:t>
      </w:r>
      <w:r>
        <w:rPr>
          <w:spacing w:val="-11"/>
          <w:position w:val="1"/>
        </w:rPr>
        <w:t xml:space="preserve"> </w:t>
      </w:r>
      <w:r>
        <w:rPr>
          <w:position w:val="1"/>
        </w:rPr>
        <w:t>could</w:t>
      </w:r>
      <w:r>
        <w:rPr>
          <w:spacing w:val="-14"/>
          <w:position w:val="1"/>
        </w:rPr>
        <w:t xml:space="preserve"> </w:t>
      </w:r>
      <w:r>
        <w:rPr>
          <w:position w:val="1"/>
        </w:rPr>
        <w:t>not</w:t>
      </w:r>
      <w:r>
        <w:rPr>
          <w:spacing w:val="-11"/>
          <w:position w:val="1"/>
        </w:rPr>
        <w:t xml:space="preserve"> </w:t>
      </w:r>
      <w:r>
        <w:rPr>
          <w:position w:val="1"/>
        </w:rPr>
        <w:t>"acquire</w:t>
      </w:r>
      <w:r>
        <w:rPr>
          <w:spacing w:val="-12"/>
          <w:position w:val="1"/>
        </w:rPr>
        <w:t xml:space="preserve"> </w:t>
      </w:r>
      <w:r>
        <w:rPr>
          <w:position w:val="1"/>
        </w:rPr>
        <w:t xml:space="preserve">accurate </w:t>
      </w:r>
      <w:r>
        <w:t>costs and expenses of the product under</w:t>
      </w:r>
      <w:r>
        <w:rPr>
          <w:spacing w:val="-1"/>
        </w:rPr>
        <w:t xml:space="preserve"> </w:t>
      </w:r>
      <w:r>
        <w:t>investigation", and in that context stated only that:</w:t>
      </w:r>
    </w:p>
    <w:p w14:paraId="61894CBC" w14:textId="77777777" w:rsidR="00BD462C" w:rsidRDefault="00033D0F">
      <w:pPr>
        <w:spacing w:before="165" w:line="276" w:lineRule="auto"/>
        <w:ind w:left="985" w:right="916"/>
        <w:jc w:val="both"/>
      </w:pPr>
      <w:r>
        <w:t>One of the press companies filled in response but just reported overall data and did not provide</w:t>
      </w:r>
      <w:r>
        <w:rPr>
          <w:spacing w:val="-13"/>
        </w:rPr>
        <w:t xml:space="preserve"> </w:t>
      </w:r>
      <w:r>
        <w:t>detailed</w:t>
      </w:r>
      <w:r>
        <w:rPr>
          <w:spacing w:val="-12"/>
        </w:rPr>
        <w:t xml:space="preserve"> </w:t>
      </w:r>
      <w:r>
        <w:t>costs</w:t>
      </w:r>
      <w:r>
        <w:rPr>
          <w:spacing w:val="-13"/>
        </w:rPr>
        <w:t xml:space="preserve"> </w:t>
      </w:r>
      <w:r>
        <w:t>in</w:t>
      </w:r>
      <w:r>
        <w:rPr>
          <w:spacing w:val="-8"/>
        </w:rPr>
        <w:t xml:space="preserve"> </w:t>
      </w:r>
      <w:r>
        <w:t>accordance</w:t>
      </w:r>
      <w:r>
        <w:rPr>
          <w:spacing w:val="-7"/>
        </w:rPr>
        <w:t xml:space="preserve"> </w:t>
      </w:r>
      <w:r>
        <w:t>with</w:t>
      </w:r>
      <w:r>
        <w:rPr>
          <w:spacing w:val="-9"/>
        </w:rPr>
        <w:t xml:space="preserve"> </w:t>
      </w:r>
      <w:r>
        <w:t>the</w:t>
      </w:r>
      <w:r>
        <w:rPr>
          <w:spacing w:val="-12"/>
        </w:rPr>
        <w:t xml:space="preserve"> </w:t>
      </w:r>
      <w:r>
        <w:t>requirements</w:t>
      </w:r>
      <w:r>
        <w:rPr>
          <w:spacing w:val="-13"/>
        </w:rPr>
        <w:t xml:space="preserve"> </w:t>
      </w:r>
      <w:r>
        <w:t>of</w:t>
      </w:r>
      <w:r>
        <w:rPr>
          <w:spacing w:val="-7"/>
        </w:rPr>
        <w:t xml:space="preserve"> </w:t>
      </w:r>
      <w:r>
        <w:t>the</w:t>
      </w:r>
      <w:r>
        <w:rPr>
          <w:spacing w:val="-7"/>
        </w:rPr>
        <w:t xml:space="preserve"> </w:t>
      </w:r>
      <w:r>
        <w:t>questionnaire;</w:t>
      </w:r>
      <w:r>
        <w:rPr>
          <w:spacing w:val="-13"/>
        </w:rPr>
        <w:t xml:space="preserve"> </w:t>
      </w:r>
      <w:r>
        <w:t>other</w:t>
      </w:r>
      <w:r>
        <w:rPr>
          <w:spacing w:val="-12"/>
        </w:rPr>
        <w:t xml:space="preserve"> </w:t>
      </w:r>
      <w:r>
        <w:t>press and filling companies did not respond to the questionnaire […].</w:t>
      </w:r>
      <w:hyperlink w:anchor="_bookmark562" w:history="1">
        <w:r>
          <w:rPr>
            <w:vertAlign w:val="superscript"/>
          </w:rPr>
          <w:t>466</w:t>
        </w:r>
      </w:hyperlink>
    </w:p>
    <w:p w14:paraId="6B51AFFF" w14:textId="77777777" w:rsidR="00BD462C" w:rsidRDefault="00BD462C">
      <w:pPr>
        <w:pStyle w:val="BodyText"/>
        <w:spacing w:before="5"/>
        <w:rPr>
          <w:sz w:val="15"/>
        </w:rPr>
      </w:pPr>
    </w:p>
    <w:p w14:paraId="4684FD11" w14:textId="10A3D62B" w:rsidR="00BD462C" w:rsidRPr="00493811" w:rsidRDefault="00A653FA" w:rsidP="00DA02D9">
      <w:pPr>
        <w:pStyle w:val="BodyText"/>
        <w:numPr>
          <w:ilvl w:val="0"/>
          <w:numId w:val="71"/>
        </w:numPr>
        <w:spacing w:before="56" w:line="360" w:lineRule="auto"/>
        <w:ind w:right="914"/>
        <w:jc w:val="both"/>
      </w:pPr>
      <w:r>
        <w:rPr>
          <w:noProof/>
        </w:rPr>
        <mc:AlternateContent>
          <mc:Choice Requires="wps">
            <w:drawing>
              <wp:anchor distT="0" distB="0" distL="0" distR="0" simplePos="0" relativeHeight="488055296" behindDoc="1" locked="0" layoutInCell="1" allowOverlap="1" wp14:anchorId="1F1C878D" wp14:editId="78908955">
                <wp:simplePos x="0" y="0"/>
                <wp:positionH relativeFrom="page">
                  <wp:posOffset>885825</wp:posOffset>
                </wp:positionH>
                <wp:positionV relativeFrom="paragraph">
                  <wp:posOffset>2285365</wp:posOffset>
                </wp:positionV>
                <wp:extent cx="1828800" cy="8890"/>
                <wp:effectExtent l="0" t="0" r="0" b="0"/>
                <wp:wrapTopAndBottom/>
                <wp:docPr id="39" name="docshape2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B468C3" id="docshape267" o:spid="_x0000_s1026" alt="&quot;&quot;" style="position:absolute;margin-left:69.75pt;margin-top:179.95pt;width:2in;height:.7pt;z-index:-15261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" fillcolor="black" stroked="f">
                <w10:wrap type="topAndBottom" anchorx="page"/>
              </v:rect>
            </w:pict>
          </mc:Fallback>
        </mc:AlternateContent>
      </w:r>
      <w:r w:rsidR="00493811">
        <w:rPr>
          <w:position w:val="1"/>
        </w:rPr>
        <w:t>T</w:t>
      </w:r>
      <w:r w:rsidR="00033D0F">
        <w:rPr>
          <w:position w:val="1"/>
        </w:rPr>
        <w:t xml:space="preserve">here is no record of any consideration having been given to Swan Vintage's </w:t>
      </w:r>
      <w:r w:rsidR="00033D0F">
        <w:t>explanations as to why the data could not be provided. Nor is there any consideration given to alternative methods to determine the relevant cost of production data. Had MOFCOM given due consideration to Swan Vintage's explanations, it would have determined that it could accurately assess Swan Vintage's production costs in a different manner, for example on</w:t>
      </w:r>
      <w:r w:rsidR="00033D0F">
        <w:rPr>
          <w:spacing w:val="-3"/>
        </w:rPr>
        <w:t xml:space="preserve"> </w:t>
      </w:r>
      <w:r w:rsidR="00033D0F">
        <w:t>the basis of the</w:t>
      </w:r>
      <w:r w:rsidR="00033D0F">
        <w:rPr>
          <w:spacing w:val="-2"/>
        </w:rPr>
        <w:t xml:space="preserve"> </w:t>
      </w:r>
      <w:r w:rsidR="00033D0F">
        <w:t>complete</w:t>
      </w:r>
      <w:r w:rsidR="00033D0F">
        <w:rPr>
          <w:spacing w:val="-1"/>
        </w:rPr>
        <w:t xml:space="preserve"> </w:t>
      </w:r>
      <w:r w:rsidR="00033D0F">
        <w:t>data</w:t>
      </w:r>
      <w:r w:rsidR="00033D0F">
        <w:rPr>
          <w:spacing w:val="-2"/>
        </w:rPr>
        <w:t xml:space="preserve"> </w:t>
      </w:r>
      <w:r w:rsidR="00033D0F">
        <w:t>provided</w:t>
      </w:r>
      <w:r w:rsidR="00033D0F">
        <w:rPr>
          <w:spacing w:val="-3"/>
        </w:rPr>
        <w:t xml:space="preserve"> </w:t>
      </w:r>
      <w:r w:rsidR="00033D0F">
        <w:t>in its questionnaire</w:t>
      </w:r>
      <w:r w:rsidR="00033D0F">
        <w:rPr>
          <w:spacing w:val="-1"/>
        </w:rPr>
        <w:t xml:space="preserve"> </w:t>
      </w:r>
      <w:r w:rsidR="00033D0F">
        <w:t>responses. It</w:t>
      </w:r>
      <w:r w:rsidR="00033D0F">
        <w:rPr>
          <w:spacing w:val="-1"/>
        </w:rPr>
        <w:t xml:space="preserve"> </w:t>
      </w:r>
      <w:r w:rsidR="00033D0F">
        <w:t>would</w:t>
      </w:r>
      <w:r w:rsidR="00033D0F">
        <w:rPr>
          <w:spacing w:val="-3"/>
        </w:rPr>
        <w:t xml:space="preserve"> </w:t>
      </w:r>
      <w:r w:rsidR="00033D0F">
        <w:t>also have determined</w:t>
      </w:r>
      <w:r w:rsidR="00033D0F">
        <w:rPr>
          <w:spacing w:val="-9"/>
        </w:rPr>
        <w:t xml:space="preserve"> </w:t>
      </w:r>
      <w:r w:rsidR="00033D0F">
        <w:t>that</w:t>
      </w:r>
      <w:r w:rsidR="00033D0F">
        <w:rPr>
          <w:spacing w:val="-7"/>
        </w:rPr>
        <w:t xml:space="preserve"> </w:t>
      </w:r>
      <w:r w:rsidR="00033D0F">
        <w:t>it</w:t>
      </w:r>
      <w:r w:rsidR="00033D0F">
        <w:rPr>
          <w:spacing w:val="-7"/>
        </w:rPr>
        <w:t xml:space="preserve"> </w:t>
      </w:r>
      <w:r w:rsidR="00033D0F">
        <w:t>could</w:t>
      </w:r>
      <w:r w:rsidR="00033D0F">
        <w:rPr>
          <w:spacing w:val="-4"/>
        </w:rPr>
        <w:t xml:space="preserve"> </w:t>
      </w:r>
      <w:r w:rsidR="00033D0F">
        <w:t>verify</w:t>
      </w:r>
      <w:r w:rsidR="00033D0F">
        <w:rPr>
          <w:spacing w:val="-6"/>
        </w:rPr>
        <w:t xml:space="preserve"> </w:t>
      </w:r>
      <w:r w:rsidR="00033D0F">
        <w:t>this</w:t>
      </w:r>
      <w:r w:rsidR="00033D0F">
        <w:rPr>
          <w:spacing w:val="-6"/>
        </w:rPr>
        <w:t xml:space="preserve"> </w:t>
      </w:r>
      <w:r w:rsidR="00033D0F">
        <w:t>data</w:t>
      </w:r>
      <w:r w:rsidR="00033D0F">
        <w:rPr>
          <w:spacing w:val="-8"/>
        </w:rPr>
        <w:t xml:space="preserve"> </w:t>
      </w:r>
      <w:r w:rsidR="00033D0F">
        <w:t>by</w:t>
      </w:r>
      <w:r w:rsidR="00033D0F">
        <w:rPr>
          <w:spacing w:val="-1"/>
        </w:rPr>
        <w:t xml:space="preserve"> </w:t>
      </w:r>
      <w:r w:rsidR="00033D0F">
        <w:t>reference</w:t>
      </w:r>
      <w:r w:rsidR="00033D0F">
        <w:rPr>
          <w:spacing w:val="-7"/>
        </w:rPr>
        <w:t xml:space="preserve"> </w:t>
      </w:r>
      <w:r w:rsidR="00033D0F">
        <w:t>to</w:t>
      </w:r>
      <w:r w:rsidR="00033D0F">
        <w:rPr>
          <w:spacing w:val="-5"/>
        </w:rPr>
        <w:t xml:space="preserve"> </w:t>
      </w:r>
      <w:r w:rsidR="00033D0F">
        <w:t>its</w:t>
      </w:r>
      <w:r w:rsidR="00033D0F">
        <w:rPr>
          <w:spacing w:val="-6"/>
        </w:rPr>
        <w:t xml:space="preserve"> </w:t>
      </w:r>
      <w:r w:rsidR="00033D0F">
        <w:t>accounting</w:t>
      </w:r>
      <w:r w:rsidR="00033D0F">
        <w:rPr>
          <w:spacing w:val="-6"/>
        </w:rPr>
        <w:t xml:space="preserve"> </w:t>
      </w:r>
      <w:r w:rsidR="00033D0F">
        <w:t>system</w:t>
      </w:r>
      <w:r w:rsidR="00033D0F">
        <w:rPr>
          <w:spacing w:val="-7"/>
        </w:rPr>
        <w:t xml:space="preserve"> </w:t>
      </w:r>
      <w:r w:rsidR="00033D0F">
        <w:t>as</w:t>
      </w:r>
      <w:r w:rsidR="00033D0F">
        <w:rPr>
          <w:spacing w:val="-6"/>
        </w:rPr>
        <w:t xml:space="preserve"> </w:t>
      </w:r>
      <w:r w:rsidR="00033D0F">
        <w:t>proposed</w:t>
      </w:r>
      <w:r w:rsidR="00033D0F">
        <w:rPr>
          <w:spacing w:val="-4"/>
        </w:rPr>
        <w:t xml:space="preserve"> </w:t>
      </w:r>
      <w:r w:rsidR="00033D0F">
        <w:t>by Swan Vintage.</w:t>
      </w:r>
    </w:p>
    <w:p w14:paraId="76ED548E" w14:textId="0ABAC870" w:rsidR="00BD462C" w:rsidRDefault="00033D0F">
      <w:pPr>
        <w:spacing w:before="112"/>
        <w:ind w:left="135"/>
        <w:rPr>
          <w:sz w:val="18"/>
        </w:rPr>
      </w:pPr>
      <w:bookmarkStart w:id="654" w:name="_bookmark562"/>
      <w:bookmarkEnd w:id="654"/>
      <w:r>
        <w:rPr>
          <w:position w:val="5"/>
          <w:sz w:val="12"/>
        </w:rPr>
        <w:t>466</w:t>
      </w:r>
      <w:r>
        <w:rPr>
          <w:spacing w:val="11"/>
          <w:position w:val="5"/>
          <w:sz w:val="12"/>
        </w:rPr>
        <w:t xml:space="preserve"> </w:t>
      </w:r>
      <w:r>
        <w:rPr>
          <w:sz w:val="18"/>
        </w:rPr>
        <w:t>Anti-Dumping</w:t>
      </w:r>
      <w:r>
        <w:rPr>
          <w:spacing w:val="-7"/>
          <w:sz w:val="18"/>
        </w:rPr>
        <w:t xml:space="preserve"> </w:t>
      </w:r>
      <w:r>
        <w:rPr>
          <w:sz w:val="18"/>
        </w:rPr>
        <w:t>Final</w:t>
      </w:r>
      <w:r>
        <w:rPr>
          <w:spacing w:val="-3"/>
          <w:sz w:val="18"/>
        </w:rPr>
        <w:t xml:space="preserve"> </w:t>
      </w:r>
      <w:r>
        <w:rPr>
          <w:sz w:val="18"/>
        </w:rPr>
        <w:t>Determination</w:t>
      </w:r>
      <w:r>
        <w:rPr>
          <w:spacing w:val="-7"/>
          <w:sz w:val="18"/>
        </w:rPr>
        <w:t xml:space="preserve"> </w:t>
      </w:r>
      <w:r>
        <w:rPr>
          <w:sz w:val="18"/>
        </w:rPr>
        <w:t>(Exhibit</w:t>
      </w:r>
      <w:r>
        <w:rPr>
          <w:spacing w:val="-2"/>
          <w:sz w:val="18"/>
        </w:rPr>
        <w:t xml:space="preserve"> </w:t>
      </w:r>
      <w:r>
        <w:rPr>
          <w:sz w:val="18"/>
        </w:rPr>
        <w:t>AUS-2),</w:t>
      </w:r>
      <w:r>
        <w:rPr>
          <w:spacing w:val="-6"/>
          <w:sz w:val="18"/>
        </w:rPr>
        <w:t xml:space="preserve"> </w:t>
      </w:r>
      <w:r>
        <w:rPr>
          <w:sz w:val="18"/>
        </w:rPr>
        <w:t>pp.</w:t>
      </w:r>
      <w:r>
        <w:rPr>
          <w:spacing w:val="-1"/>
          <w:sz w:val="18"/>
        </w:rPr>
        <w:t xml:space="preserve"> </w:t>
      </w:r>
      <w:r>
        <w:rPr>
          <w:sz w:val="18"/>
        </w:rPr>
        <w:t>90-</w:t>
      </w:r>
      <w:r>
        <w:rPr>
          <w:spacing w:val="-5"/>
          <w:sz w:val="18"/>
        </w:rPr>
        <w:t>91.</w:t>
      </w:r>
    </w:p>
    <w:p w14:paraId="09D1D48F" w14:textId="77777777" w:rsidR="00BD462C" w:rsidRDefault="00BD462C">
      <w:pPr>
        <w:rPr>
          <w:sz w:val="18"/>
        </w:rPr>
        <w:sectPr w:rsidR="00BD462C">
          <w:pgSz w:w="11910" w:h="16840"/>
          <w:pgMar w:top="860" w:right="500" w:bottom="780" w:left="1280" w:header="566" w:footer="590" w:gutter="0"/>
          <w:cols w:space="720"/>
        </w:sectPr>
      </w:pPr>
    </w:p>
    <w:p w14:paraId="51D426EC" w14:textId="77777777" w:rsidR="00BD462C" w:rsidRDefault="00033D0F">
      <w:pPr>
        <w:tabs>
          <w:tab w:val="left" w:pos="6087"/>
        </w:tabs>
        <w:spacing w:before="1"/>
        <w:ind w:left="135"/>
        <w:jc w:val="both"/>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52E615AF" w14:textId="77777777" w:rsidR="00BD462C" w:rsidRDefault="00033D0F">
      <w:pPr>
        <w:spacing w:before="1"/>
        <w:ind w:left="135"/>
        <w:jc w:val="both"/>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5FDAAE44" w14:textId="77777777" w:rsidR="00BD462C" w:rsidRDefault="00033D0F">
      <w:pPr>
        <w:tabs>
          <w:tab w:val="left" w:pos="7652"/>
        </w:tabs>
        <w:ind w:left="135"/>
        <w:jc w:val="both"/>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635C62C8" w14:textId="61C5B7C7" w:rsidR="00BD462C" w:rsidRDefault="00A653FA">
      <w:pPr>
        <w:pStyle w:val="BodyText"/>
        <w:spacing w:before="102" w:line="360" w:lineRule="auto"/>
        <w:ind w:left="135" w:right="920"/>
        <w:jc w:val="both"/>
      </w:pPr>
      <w:r>
        <w:t>Given</w:t>
      </w:r>
      <w:r>
        <w:rPr>
          <w:spacing w:val="-1"/>
        </w:rPr>
        <w:t xml:space="preserve"> </w:t>
      </w:r>
      <w:r>
        <w:t xml:space="preserve">the availability of this data, the evidence of any of the service providers </w:t>
      </w:r>
      <w:r w:rsidR="00033D0F">
        <w:t>was</w:t>
      </w:r>
      <w:r w:rsidR="00033D0F">
        <w:rPr>
          <w:spacing w:val="-14"/>
        </w:rPr>
        <w:t xml:space="preserve"> </w:t>
      </w:r>
      <w:r w:rsidR="00033D0F">
        <w:t>not</w:t>
      </w:r>
      <w:r w:rsidR="00033D0F">
        <w:rPr>
          <w:spacing w:val="-14"/>
        </w:rPr>
        <w:t xml:space="preserve"> </w:t>
      </w:r>
      <w:r w:rsidR="00033D0F">
        <w:t>necessary</w:t>
      </w:r>
      <w:r w:rsidR="00033D0F">
        <w:rPr>
          <w:spacing w:val="-13"/>
        </w:rPr>
        <w:t xml:space="preserve"> </w:t>
      </w:r>
      <w:r w:rsidR="00033D0F">
        <w:t>information</w:t>
      </w:r>
      <w:r w:rsidR="00033D0F">
        <w:rPr>
          <w:spacing w:val="-14"/>
        </w:rPr>
        <w:t xml:space="preserve"> </w:t>
      </w:r>
      <w:r w:rsidR="00033D0F">
        <w:t>within</w:t>
      </w:r>
      <w:r w:rsidR="00033D0F">
        <w:rPr>
          <w:spacing w:val="-13"/>
        </w:rPr>
        <w:t xml:space="preserve"> </w:t>
      </w:r>
      <w:r w:rsidR="00033D0F">
        <w:t>the</w:t>
      </w:r>
      <w:r w:rsidR="00033D0F">
        <w:rPr>
          <w:spacing w:val="-14"/>
        </w:rPr>
        <w:t xml:space="preserve"> </w:t>
      </w:r>
      <w:r w:rsidR="00033D0F">
        <w:t>meaning</w:t>
      </w:r>
      <w:r w:rsidR="00033D0F">
        <w:rPr>
          <w:spacing w:val="-13"/>
        </w:rPr>
        <w:t xml:space="preserve"> </w:t>
      </w:r>
      <w:r w:rsidR="00033D0F">
        <w:t>of</w:t>
      </w:r>
      <w:r w:rsidR="00033D0F">
        <w:rPr>
          <w:spacing w:val="-14"/>
        </w:rPr>
        <w:t xml:space="preserve"> </w:t>
      </w:r>
      <w:r w:rsidR="00033D0F">
        <w:t>Article</w:t>
      </w:r>
      <w:r w:rsidR="00033D0F">
        <w:rPr>
          <w:spacing w:val="-14"/>
        </w:rPr>
        <w:t xml:space="preserve"> </w:t>
      </w:r>
      <w:r w:rsidR="00033D0F">
        <w:t>6.8</w:t>
      </w:r>
      <w:r w:rsidR="00033D0F">
        <w:rPr>
          <w:spacing w:val="-13"/>
        </w:rPr>
        <w:t xml:space="preserve"> </w:t>
      </w:r>
      <w:r w:rsidR="00033D0F">
        <w:t>and</w:t>
      </w:r>
      <w:r w:rsidR="00033D0F">
        <w:rPr>
          <w:spacing w:val="-14"/>
        </w:rPr>
        <w:t xml:space="preserve"> </w:t>
      </w:r>
      <w:r w:rsidR="00033D0F">
        <w:t>Annex</w:t>
      </w:r>
      <w:r w:rsidR="00033D0F">
        <w:rPr>
          <w:spacing w:val="-13"/>
        </w:rPr>
        <w:t xml:space="preserve"> </w:t>
      </w:r>
      <w:r w:rsidR="00033D0F">
        <w:t>II.</w:t>
      </w:r>
      <w:r w:rsidR="00033D0F">
        <w:rPr>
          <w:spacing w:val="-14"/>
        </w:rPr>
        <w:t xml:space="preserve"> </w:t>
      </w:r>
      <w:r w:rsidR="00033D0F">
        <w:t>Moreover,</w:t>
      </w:r>
      <w:r w:rsidR="00033D0F">
        <w:rPr>
          <w:spacing w:val="-13"/>
        </w:rPr>
        <w:t xml:space="preserve"> </w:t>
      </w:r>
      <w:r w:rsidR="00033D0F">
        <w:t>there is no indication on the record that MOFCOM ever determined that such information was necessary for the purposes of its dumping calculation.</w:t>
      </w:r>
    </w:p>
    <w:p w14:paraId="6A468B10" w14:textId="77777777" w:rsidR="00BD462C" w:rsidRDefault="00BD462C">
      <w:pPr>
        <w:pStyle w:val="BodyText"/>
        <w:spacing w:before="11"/>
        <w:rPr>
          <w:sz w:val="8"/>
        </w:rPr>
      </w:pPr>
    </w:p>
    <w:p w14:paraId="2F51E10C" w14:textId="7118A1AA" w:rsidR="00BD462C" w:rsidRDefault="00033D0F" w:rsidP="00DA02D9">
      <w:pPr>
        <w:pStyle w:val="BodyText"/>
        <w:numPr>
          <w:ilvl w:val="0"/>
          <w:numId w:val="71"/>
        </w:numPr>
        <w:spacing w:before="56" w:line="357" w:lineRule="auto"/>
        <w:ind w:right="917"/>
        <w:jc w:val="both"/>
      </w:pPr>
      <w:r>
        <w:rPr>
          <w:position w:val="1"/>
        </w:rPr>
        <w:t xml:space="preserve">Perhaps for this reason, China claims (despite the absence of any such analysis or </w:t>
      </w:r>
      <w:r>
        <w:t>finding in the Final Determination) that, rather than the specific absence of information relating</w:t>
      </w:r>
      <w:r>
        <w:rPr>
          <w:spacing w:val="-4"/>
        </w:rPr>
        <w:t xml:space="preserve"> </w:t>
      </w:r>
      <w:r>
        <w:t>to</w:t>
      </w:r>
      <w:r>
        <w:rPr>
          <w:spacing w:val="-9"/>
        </w:rPr>
        <w:t xml:space="preserve"> </w:t>
      </w:r>
      <w:r>
        <w:t>certain</w:t>
      </w:r>
      <w:r>
        <w:rPr>
          <w:spacing w:val="-8"/>
        </w:rPr>
        <w:t xml:space="preserve"> </w:t>
      </w:r>
      <w:r>
        <w:t>service</w:t>
      </w:r>
      <w:r>
        <w:rPr>
          <w:spacing w:val="-5"/>
        </w:rPr>
        <w:t xml:space="preserve"> </w:t>
      </w:r>
      <w:r>
        <w:t>providers,</w:t>
      </w:r>
      <w:r>
        <w:rPr>
          <w:spacing w:val="-3"/>
        </w:rPr>
        <w:t xml:space="preserve"> </w:t>
      </w:r>
      <w:r>
        <w:t>MOFCOM</w:t>
      </w:r>
      <w:r>
        <w:rPr>
          <w:spacing w:val="-5"/>
        </w:rPr>
        <w:t xml:space="preserve"> </w:t>
      </w:r>
      <w:r>
        <w:t>relied</w:t>
      </w:r>
      <w:r>
        <w:rPr>
          <w:spacing w:val="-8"/>
        </w:rPr>
        <w:t xml:space="preserve"> </w:t>
      </w:r>
      <w:r>
        <w:t>on</w:t>
      </w:r>
      <w:r>
        <w:rPr>
          <w:spacing w:val="-8"/>
        </w:rPr>
        <w:t xml:space="preserve"> </w:t>
      </w:r>
      <w:r>
        <w:t>the "totality</w:t>
      </w:r>
      <w:r>
        <w:rPr>
          <w:spacing w:val="-4"/>
        </w:rPr>
        <w:t xml:space="preserve"> </w:t>
      </w:r>
      <w:r>
        <w:t>of</w:t>
      </w:r>
      <w:r>
        <w:rPr>
          <w:spacing w:val="-8"/>
        </w:rPr>
        <w:t xml:space="preserve"> </w:t>
      </w:r>
      <w:r>
        <w:t>the issues"</w:t>
      </w:r>
      <w:r>
        <w:rPr>
          <w:spacing w:val="-6"/>
        </w:rPr>
        <w:t xml:space="preserve"> </w:t>
      </w:r>
      <w:r>
        <w:t>in</w:t>
      </w:r>
      <w:r>
        <w:rPr>
          <w:spacing w:val="-8"/>
        </w:rPr>
        <w:t xml:space="preserve"> </w:t>
      </w:r>
      <w:r>
        <w:t>relation to cost of production data to justify its recourse to facts available.</w:t>
      </w:r>
      <w:hyperlink w:anchor="_bookmark563" w:history="1">
        <w:r>
          <w:rPr>
            <w:vertAlign w:val="superscript"/>
          </w:rPr>
          <w:t>467</w:t>
        </w:r>
      </w:hyperlink>
    </w:p>
    <w:p w14:paraId="733342FA" w14:textId="77777777" w:rsidR="00BD462C" w:rsidRDefault="00BD462C">
      <w:pPr>
        <w:pStyle w:val="BodyText"/>
        <w:spacing w:before="3"/>
        <w:rPr>
          <w:sz w:val="9"/>
        </w:rPr>
      </w:pPr>
    </w:p>
    <w:p w14:paraId="109D64D0" w14:textId="7AF11A4B" w:rsidR="00BD462C" w:rsidRDefault="00033D0F" w:rsidP="00DA02D9">
      <w:pPr>
        <w:pStyle w:val="BodyText"/>
        <w:numPr>
          <w:ilvl w:val="0"/>
          <w:numId w:val="71"/>
        </w:numPr>
        <w:spacing w:before="56"/>
      </w:pPr>
      <w:r>
        <w:rPr>
          <w:position w:val="1"/>
        </w:rPr>
        <w:t>As such, Australia maintains its submissions that:</w:t>
      </w:r>
    </w:p>
    <w:p w14:paraId="013139F0" w14:textId="77777777" w:rsidR="00BD462C" w:rsidRDefault="00BD462C">
      <w:pPr>
        <w:pStyle w:val="BodyText"/>
        <w:spacing w:before="7"/>
      </w:pPr>
    </w:p>
    <w:p w14:paraId="58884C68" w14:textId="77777777" w:rsidR="00BD462C" w:rsidRDefault="00033D0F">
      <w:pPr>
        <w:pStyle w:val="ListParagraph"/>
        <w:numPr>
          <w:ilvl w:val="0"/>
          <w:numId w:val="59"/>
        </w:numPr>
        <w:tabs>
          <w:tab w:val="left" w:pos="1835"/>
          <w:tab w:val="left" w:pos="1836"/>
        </w:tabs>
        <w:spacing w:before="0" w:line="357" w:lineRule="auto"/>
        <w:ind w:right="916" w:hanging="855"/>
        <w:jc w:val="both"/>
        <w:rPr>
          <w:sz w:val="24"/>
        </w:rPr>
      </w:pPr>
      <w:r>
        <w:rPr>
          <w:sz w:val="24"/>
        </w:rPr>
        <w:t>production cost data of unaffiliated companies was not necessary information;</w:t>
      </w:r>
      <w:r>
        <w:rPr>
          <w:spacing w:val="-33"/>
          <w:sz w:val="24"/>
        </w:rPr>
        <w:t xml:space="preserve"> </w:t>
      </w:r>
      <w:hyperlink w:anchor="_bookmark564" w:history="1">
        <w:r>
          <w:rPr>
            <w:sz w:val="24"/>
            <w:vertAlign w:val="superscript"/>
          </w:rPr>
          <w:t>468</w:t>
        </w:r>
      </w:hyperlink>
    </w:p>
    <w:p w14:paraId="7FE80FAA" w14:textId="77777777" w:rsidR="00BD462C" w:rsidRDefault="00033D0F">
      <w:pPr>
        <w:pStyle w:val="ListParagraph"/>
        <w:numPr>
          <w:ilvl w:val="0"/>
          <w:numId w:val="59"/>
        </w:numPr>
        <w:tabs>
          <w:tab w:val="left" w:pos="1835"/>
          <w:tab w:val="left" w:pos="1836"/>
        </w:tabs>
        <w:spacing w:before="126" w:line="360" w:lineRule="auto"/>
        <w:ind w:right="919" w:hanging="855"/>
        <w:jc w:val="both"/>
        <w:rPr>
          <w:sz w:val="24"/>
        </w:rPr>
      </w:pPr>
      <w:r>
        <w:rPr>
          <w:sz w:val="24"/>
        </w:rPr>
        <w:t>MOFCOM</w:t>
      </w:r>
      <w:r>
        <w:rPr>
          <w:spacing w:val="-9"/>
          <w:sz w:val="24"/>
        </w:rPr>
        <w:t xml:space="preserve"> </w:t>
      </w:r>
      <w:r>
        <w:rPr>
          <w:sz w:val="24"/>
        </w:rPr>
        <w:t>did</w:t>
      </w:r>
      <w:r>
        <w:rPr>
          <w:spacing w:val="-10"/>
          <w:sz w:val="24"/>
        </w:rPr>
        <w:t xml:space="preserve"> </w:t>
      </w:r>
      <w:r>
        <w:rPr>
          <w:sz w:val="24"/>
        </w:rPr>
        <w:t>not</w:t>
      </w:r>
      <w:r>
        <w:rPr>
          <w:spacing w:val="-9"/>
          <w:sz w:val="24"/>
        </w:rPr>
        <w:t xml:space="preserve"> </w:t>
      </w:r>
      <w:r>
        <w:rPr>
          <w:sz w:val="24"/>
        </w:rPr>
        <w:t>explain</w:t>
      </w:r>
      <w:r>
        <w:rPr>
          <w:spacing w:val="-10"/>
          <w:sz w:val="24"/>
        </w:rPr>
        <w:t xml:space="preserve"> </w:t>
      </w:r>
      <w:r>
        <w:rPr>
          <w:sz w:val="24"/>
        </w:rPr>
        <w:t>the</w:t>
      </w:r>
      <w:r>
        <w:rPr>
          <w:spacing w:val="-9"/>
          <w:sz w:val="24"/>
        </w:rPr>
        <w:t xml:space="preserve"> </w:t>
      </w:r>
      <w:r>
        <w:rPr>
          <w:sz w:val="24"/>
        </w:rPr>
        <w:t>basis</w:t>
      </w:r>
      <w:r>
        <w:rPr>
          <w:spacing w:val="-8"/>
          <w:sz w:val="24"/>
        </w:rPr>
        <w:t xml:space="preserve"> </w:t>
      </w:r>
      <w:r>
        <w:rPr>
          <w:sz w:val="24"/>
        </w:rPr>
        <w:t>on</w:t>
      </w:r>
      <w:r>
        <w:rPr>
          <w:spacing w:val="-10"/>
          <w:sz w:val="24"/>
        </w:rPr>
        <w:t xml:space="preserve"> </w:t>
      </w:r>
      <w:r>
        <w:rPr>
          <w:sz w:val="24"/>
        </w:rPr>
        <w:t>which</w:t>
      </w:r>
      <w:r>
        <w:rPr>
          <w:spacing w:val="-10"/>
          <w:sz w:val="24"/>
        </w:rPr>
        <w:t xml:space="preserve"> </w:t>
      </w:r>
      <w:r>
        <w:rPr>
          <w:sz w:val="24"/>
        </w:rPr>
        <w:t>it</w:t>
      </w:r>
      <w:r>
        <w:rPr>
          <w:spacing w:val="-9"/>
          <w:sz w:val="24"/>
        </w:rPr>
        <w:t xml:space="preserve"> </w:t>
      </w:r>
      <w:r>
        <w:rPr>
          <w:sz w:val="24"/>
        </w:rPr>
        <w:t>concluded</w:t>
      </w:r>
      <w:r>
        <w:rPr>
          <w:spacing w:val="-10"/>
          <w:sz w:val="24"/>
        </w:rPr>
        <w:t xml:space="preserve"> </w:t>
      </w:r>
      <w:r>
        <w:rPr>
          <w:sz w:val="24"/>
        </w:rPr>
        <w:t>that</w:t>
      </w:r>
      <w:r>
        <w:rPr>
          <w:spacing w:val="-9"/>
          <w:sz w:val="24"/>
        </w:rPr>
        <w:t xml:space="preserve"> </w:t>
      </w:r>
      <w:r>
        <w:rPr>
          <w:sz w:val="24"/>
        </w:rPr>
        <w:t>the</w:t>
      </w:r>
      <w:r>
        <w:rPr>
          <w:spacing w:val="-9"/>
          <w:sz w:val="24"/>
        </w:rPr>
        <w:t xml:space="preserve"> </w:t>
      </w:r>
      <w:r>
        <w:rPr>
          <w:sz w:val="24"/>
        </w:rPr>
        <w:t>failures</w:t>
      </w:r>
      <w:r>
        <w:rPr>
          <w:spacing w:val="-8"/>
          <w:sz w:val="24"/>
        </w:rPr>
        <w:t xml:space="preserve"> </w:t>
      </w:r>
      <w:r>
        <w:rPr>
          <w:sz w:val="24"/>
        </w:rPr>
        <w:t>of the unaffiliated companies to submit the requested information were attributable to Swan Vintage;</w:t>
      </w:r>
      <w:hyperlink w:anchor="_bookmark565" w:history="1">
        <w:r>
          <w:rPr>
            <w:sz w:val="24"/>
            <w:vertAlign w:val="superscript"/>
          </w:rPr>
          <w:t>469</w:t>
        </w:r>
      </w:hyperlink>
      <w:r>
        <w:rPr>
          <w:sz w:val="24"/>
        </w:rPr>
        <w:t xml:space="preserve"> and</w:t>
      </w:r>
    </w:p>
    <w:p w14:paraId="04ADE8EB" w14:textId="77777777" w:rsidR="00BD462C" w:rsidRDefault="00033D0F">
      <w:pPr>
        <w:pStyle w:val="ListParagraph"/>
        <w:numPr>
          <w:ilvl w:val="0"/>
          <w:numId w:val="59"/>
        </w:numPr>
        <w:tabs>
          <w:tab w:val="left" w:pos="1835"/>
          <w:tab w:val="left" w:pos="1836"/>
        </w:tabs>
        <w:spacing w:before="118" w:line="360" w:lineRule="auto"/>
        <w:ind w:right="918" w:hanging="855"/>
        <w:jc w:val="both"/>
        <w:rPr>
          <w:sz w:val="24"/>
        </w:rPr>
      </w:pPr>
      <w:r>
        <w:rPr>
          <w:sz w:val="24"/>
        </w:rPr>
        <w:t>MOFCOM</w:t>
      </w:r>
      <w:r>
        <w:rPr>
          <w:spacing w:val="-14"/>
          <w:sz w:val="24"/>
        </w:rPr>
        <w:t xml:space="preserve"> </w:t>
      </w:r>
      <w:r>
        <w:rPr>
          <w:sz w:val="24"/>
        </w:rPr>
        <w:t>did</w:t>
      </w:r>
      <w:r>
        <w:rPr>
          <w:spacing w:val="-14"/>
          <w:sz w:val="24"/>
        </w:rPr>
        <w:t xml:space="preserve"> </w:t>
      </w:r>
      <w:r>
        <w:rPr>
          <w:sz w:val="24"/>
        </w:rPr>
        <w:t>not</w:t>
      </w:r>
      <w:r>
        <w:rPr>
          <w:spacing w:val="-13"/>
          <w:sz w:val="24"/>
        </w:rPr>
        <w:t xml:space="preserve"> </w:t>
      </w:r>
      <w:r>
        <w:rPr>
          <w:sz w:val="24"/>
        </w:rPr>
        <w:t>explain</w:t>
      </w:r>
      <w:r>
        <w:rPr>
          <w:spacing w:val="-14"/>
          <w:sz w:val="24"/>
        </w:rPr>
        <w:t xml:space="preserve"> </w:t>
      </w:r>
      <w:r>
        <w:rPr>
          <w:sz w:val="24"/>
        </w:rPr>
        <w:t>why</w:t>
      </w:r>
      <w:r>
        <w:rPr>
          <w:spacing w:val="-13"/>
          <w:sz w:val="24"/>
        </w:rPr>
        <w:t xml:space="preserve"> </w:t>
      </w:r>
      <w:r>
        <w:rPr>
          <w:sz w:val="24"/>
        </w:rPr>
        <w:t>the</w:t>
      </w:r>
      <w:r>
        <w:rPr>
          <w:spacing w:val="-14"/>
          <w:sz w:val="24"/>
        </w:rPr>
        <w:t xml:space="preserve"> </w:t>
      </w:r>
      <w:r>
        <w:rPr>
          <w:sz w:val="24"/>
        </w:rPr>
        <w:t>absence</w:t>
      </w:r>
      <w:r>
        <w:rPr>
          <w:spacing w:val="-13"/>
          <w:sz w:val="24"/>
        </w:rPr>
        <w:t xml:space="preserve"> </w:t>
      </w:r>
      <w:r>
        <w:rPr>
          <w:sz w:val="24"/>
        </w:rPr>
        <w:t>of</w:t>
      </w:r>
      <w:r>
        <w:rPr>
          <w:spacing w:val="-14"/>
          <w:sz w:val="24"/>
        </w:rPr>
        <w:t xml:space="preserve"> </w:t>
      </w:r>
      <w:r>
        <w:rPr>
          <w:sz w:val="24"/>
        </w:rPr>
        <w:t>this</w:t>
      </w:r>
      <w:r>
        <w:rPr>
          <w:spacing w:val="-14"/>
          <w:sz w:val="24"/>
        </w:rPr>
        <w:t xml:space="preserve"> </w:t>
      </w:r>
      <w:r>
        <w:rPr>
          <w:sz w:val="24"/>
        </w:rPr>
        <w:t>information</w:t>
      </w:r>
      <w:r>
        <w:rPr>
          <w:spacing w:val="-13"/>
          <w:sz w:val="24"/>
        </w:rPr>
        <w:t xml:space="preserve"> </w:t>
      </w:r>
      <w:r>
        <w:rPr>
          <w:sz w:val="24"/>
        </w:rPr>
        <w:t>meant</w:t>
      </w:r>
      <w:r>
        <w:rPr>
          <w:spacing w:val="-14"/>
          <w:sz w:val="24"/>
        </w:rPr>
        <w:t xml:space="preserve"> </w:t>
      </w:r>
      <w:r>
        <w:rPr>
          <w:sz w:val="24"/>
        </w:rPr>
        <w:t>it</w:t>
      </w:r>
      <w:r>
        <w:rPr>
          <w:spacing w:val="-13"/>
          <w:sz w:val="24"/>
        </w:rPr>
        <w:t xml:space="preserve"> </w:t>
      </w:r>
      <w:r>
        <w:rPr>
          <w:sz w:val="24"/>
        </w:rPr>
        <w:t>could not rely upon the extensive costs and expenses information provided by Swan Vintage.</w:t>
      </w:r>
      <w:hyperlink w:anchor="_bookmark566" w:history="1">
        <w:r>
          <w:rPr>
            <w:sz w:val="24"/>
            <w:vertAlign w:val="superscript"/>
          </w:rPr>
          <w:t>470</w:t>
        </w:r>
      </w:hyperlink>
    </w:p>
    <w:p w14:paraId="1ECD321A" w14:textId="5D6AE2E2" w:rsidR="00BD462C" w:rsidRDefault="00033D0F" w:rsidP="00DA02D9">
      <w:pPr>
        <w:pStyle w:val="BodyText"/>
        <w:numPr>
          <w:ilvl w:val="0"/>
          <w:numId w:val="71"/>
        </w:numPr>
        <w:spacing w:before="126" w:line="360" w:lineRule="auto"/>
        <w:ind w:right="915"/>
        <w:jc w:val="both"/>
      </w:pPr>
      <w:r>
        <w:rPr>
          <w:position w:val="1"/>
        </w:rPr>
        <w:t>In</w:t>
      </w:r>
      <w:r>
        <w:rPr>
          <w:spacing w:val="-4"/>
          <w:position w:val="1"/>
        </w:rPr>
        <w:t xml:space="preserve"> </w:t>
      </w:r>
      <w:r>
        <w:rPr>
          <w:position w:val="1"/>
        </w:rPr>
        <w:t>any</w:t>
      </w:r>
      <w:r>
        <w:rPr>
          <w:spacing w:val="-1"/>
          <w:position w:val="1"/>
        </w:rPr>
        <w:t xml:space="preserve"> </w:t>
      </w:r>
      <w:r>
        <w:rPr>
          <w:position w:val="1"/>
        </w:rPr>
        <w:t>case, the</w:t>
      </w:r>
      <w:r>
        <w:rPr>
          <w:spacing w:val="-2"/>
          <w:position w:val="1"/>
        </w:rPr>
        <w:t xml:space="preserve"> </w:t>
      </w:r>
      <w:r>
        <w:rPr>
          <w:position w:val="1"/>
        </w:rPr>
        <w:t>costs</w:t>
      </w:r>
      <w:r>
        <w:rPr>
          <w:spacing w:val="-1"/>
          <w:position w:val="1"/>
        </w:rPr>
        <w:t xml:space="preserve"> </w:t>
      </w:r>
      <w:r>
        <w:rPr>
          <w:position w:val="1"/>
        </w:rPr>
        <w:t>and expenses</w:t>
      </w:r>
      <w:r>
        <w:rPr>
          <w:spacing w:val="-1"/>
          <w:position w:val="1"/>
        </w:rPr>
        <w:t xml:space="preserve"> </w:t>
      </w:r>
      <w:r>
        <w:rPr>
          <w:position w:val="1"/>
        </w:rPr>
        <w:t>associated</w:t>
      </w:r>
      <w:r>
        <w:rPr>
          <w:spacing w:val="-4"/>
          <w:position w:val="1"/>
        </w:rPr>
        <w:t xml:space="preserve"> </w:t>
      </w:r>
      <w:r>
        <w:rPr>
          <w:position w:val="1"/>
        </w:rPr>
        <w:t>with</w:t>
      </w:r>
      <w:r>
        <w:rPr>
          <w:spacing w:val="-4"/>
          <w:position w:val="1"/>
        </w:rPr>
        <w:t xml:space="preserve"> </w:t>
      </w:r>
      <w:r>
        <w:rPr>
          <w:position w:val="1"/>
        </w:rPr>
        <w:t>these</w:t>
      </w:r>
      <w:r>
        <w:rPr>
          <w:spacing w:val="-2"/>
          <w:position w:val="1"/>
        </w:rPr>
        <w:t xml:space="preserve"> </w:t>
      </w:r>
      <w:r>
        <w:rPr>
          <w:position w:val="1"/>
        </w:rPr>
        <w:t>companies</w:t>
      </w:r>
      <w:r>
        <w:rPr>
          <w:spacing w:val="-1"/>
          <w:position w:val="1"/>
        </w:rPr>
        <w:t xml:space="preserve"> </w:t>
      </w:r>
      <w:r>
        <w:rPr>
          <w:position w:val="1"/>
        </w:rPr>
        <w:t>were</w:t>
      </w:r>
      <w:r>
        <w:rPr>
          <w:spacing w:val="-2"/>
          <w:position w:val="1"/>
        </w:rPr>
        <w:t xml:space="preserve"> </w:t>
      </w:r>
      <w:r>
        <w:rPr>
          <w:position w:val="1"/>
        </w:rPr>
        <w:t xml:space="preserve">recorded </w:t>
      </w:r>
      <w:r>
        <w:t>and reasonably reflected in Swan Vintage's GAAP-consistent accounting system to which MOFCOM could have had reference in order to verify Swan Vintage's costs. Since the companies are not affiliated, it would not be necessary to go further for the purpose of the dumping determination. Thus, the production cost data of unaffiliated companies was not necessary information.</w:t>
      </w:r>
    </w:p>
    <w:p w14:paraId="4107C1CC" w14:textId="77777777" w:rsidR="00BD462C" w:rsidRDefault="00BD462C">
      <w:pPr>
        <w:pStyle w:val="BodyText"/>
        <w:spacing w:before="8"/>
        <w:rPr>
          <w:sz w:val="8"/>
        </w:rPr>
      </w:pPr>
    </w:p>
    <w:p w14:paraId="32A7B72B" w14:textId="66CD80CD" w:rsidR="00BD462C" w:rsidRPr="00A653FA" w:rsidRDefault="00A653FA" w:rsidP="00DA02D9">
      <w:pPr>
        <w:pStyle w:val="BodyText"/>
        <w:numPr>
          <w:ilvl w:val="0"/>
          <w:numId w:val="71"/>
        </w:numPr>
        <w:spacing w:before="56" w:line="357" w:lineRule="auto"/>
        <w:ind w:right="913"/>
        <w:jc w:val="both"/>
      </w:pPr>
      <w:r>
        <w:rPr>
          <w:noProof/>
        </w:rPr>
        <mc:AlternateContent>
          <mc:Choice Requires="wps">
            <w:drawing>
              <wp:anchor distT="0" distB="0" distL="0" distR="0" simplePos="0" relativeHeight="488057344" behindDoc="1" locked="0" layoutInCell="1" allowOverlap="1" wp14:anchorId="6FCBFEC0" wp14:editId="084F7D80">
                <wp:simplePos x="0" y="0"/>
                <wp:positionH relativeFrom="page">
                  <wp:posOffset>797560</wp:posOffset>
                </wp:positionH>
                <wp:positionV relativeFrom="paragraph">
                  <wp:posOffset>1210310</wp:posOffset>
                </wp:positionV>
                <wp:extent cx="1828800" cy="8890"/>
                <wp:effectExtent l="0" t="0" r="0" b="0"/>
                <wp:wrapTopAndBottom/>
                <wp:docPr id="40" name="docshape2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35408B" id="docshape267" o:spid="_x0000_s1026" alt="&quot;&quot;" style="position:absolute;margin-left:62.8pt;margin-top:95.3pt;width:2in;height:.7pt;z-index:-15259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" fillcolor="black" stroked="f">
                <w10:wrap type="topAndBottom" anchorx="page"/>
              </v:rect>
            </w:pict>
          </mc:Fallback>
        </mc:AlternateContent>
      </w:r>
      <w:r w:rsidR="00033D0F">
        <w:rPr>
          <w:position w:val="1"/>
        </w:rPr>
        <w:t xml:space="preserve">Notwithstanding the irrelevance of the information, Swan Vintage made good faith </w:t>
      </w:r>
      <w:r w:rsidR="00033D0F">
        <w:t>efforts</w:t>
      </w:r>
      <w:r w:rsidR="00033D0F">
        <w:rPr>
          <w:spacing w:val="-14"/>
        </w:rPr>
        <w:t xml:space="preserve"> </w:t>
      </w:r>
      <w:r w:rsidR="00033D0F">
        <w:t>to</w:t>
      </w:r>
      <w:r w:rsidR="00033D0F">
        <w:rPr>
          <w:spacing w:val="-14"/>
        </w:rPr>
        <w:t xml:space="preserve"> </w:t>
      </w:r>
      <w:r w:rsidR="00033D0F">
        <w:t>obtain</w:t>
      </w:r>
      <w:r w:rsidR="00033D0F">
        <w:rPr>
          <w:spacing w:val="-13"/>
        </w:rPr>
        <w:t xml:space="preserve"> </w:t>
      </w:r>
      <w:r w:rsidR="00033D0F">
        <w:t>it,</w:t>
      </w:r>
      <w:r w:rsidR="00033D0F">
        <w:rPr>
          <w:spacing w:val="-14"/>
        </w:rPr>
        <w:t xml:space="preserve"> </w:t>
      </w:r>
      <w:r w:rsidR="00033D0F">
        <w:t>demonstrating</w:t>
      </w:r>
      <w:r w:rsidR="00033D0F">
        <w:rPr>
          <w:spacing w:val="-12"/>
        </w:rPr>
        <w:t xml:space="preserve"> </w:t>
      </w:r>
      <w:r w:rsidR="00033D0F">
        <w:t>its</w:t>
      </w:r>
      <w:r w:rsidR="00033D0F">
        <w:rPr>
          <w:spacing w:val="-11"/>
        </w:rPr>
        <w:t xml:space="preserve"> </w:t>
      </w:r>
      <w:r w:rsidR="00033D0F">
        <w:t>very</w:t>
      </w:r>
      <w:r w:rsidR="00033D0F">
        <w:rPr>
          <w:spacing w:val="-12"/>
        </w:rPr>
        <w:t xml:space="preserve"> </w:t>
      </w:r>
      <w:r w:rsidR="00033D0F">
        <w:t>high</w:t>
      </w:r>
      <w:r w:rsidR="00033D0F">
        <w:rPr>
          <w:spacing w:val="-14"/>
        </w:rPr>
        <w:t xml:space="preserve"> </w:t>
      </w:r>
      <w:r w:rsidR="00033D0F">
        <w:t>level</w:t>
      </w:r>
      <w:r w:rsidR="00033D0F">
        <w:rPr>
          <w:spacing w:val="-11"/>
        </w:rPr>
        <w:t xml:space="preserve"> </w:t>
      </w:r>
      <w:r w:rsidR="00033D0F">
        <w:t>of</w:t>
      </w:r>
      <w:r w:rsidR="00033D0F">
        <w:rPr>
          <w:spacing w:val="-14"/>
        </w:rPr>
        <w:t xml:space="preserve"> </w:t>
      </w:r>
      <w:r w:rsidR="00033D0F">
        <w:t>cooperation.</w:t>
      </w:r>
      <w:r w:rsidR="00033D0F">
        <w:rPr>
          <w:spacing w:val="-12"/>
        </w:rPr>
        <w:t xml:space="preserve"> </w:t>
      </w:r>
      <w:r w:rsidR="00033D0F">
        <w:t>MOFCOM</w:t>
      </w:r>
      <w:r w:rsidR="00033D0F">
        <w:rPr>
          <w:spacing w:val="-12"/>
        </w:rPr>
        <w:t xml:space="preserve"> </w:t>
      </w:r>
      <w:r w:rsidR="00033D0F">
        <w:t>did</w:t>
      </w:r>
      <w:r w:rsidR="00033D0F">
        <w:rPr>
          <w:spacing w:val="-14"/>
        </w:rPr>
        <w:t xml:space="preserve"> </w:t>
      </w:r>
      <w:r w:rsidR="00033D0F">
        <w:t>not</w:t>
      </w:r>
      <w:r w:rsidR="00033D0F">
        <w:rPr>
          <w:spacing w:val="-12"/>
        </w:rPr>
        <w:t xml:space="preserve"> </w:t>
      </w:r>
      <w:r w:rsidR="00033D0F">
        <w:t>address Swan</w:t>
      </w:r>
      <w:r w:rsidR="00033D0F">
        <w:rPr>
          <w:spacing w:val="40"/>
        </w:rPr>
        <w:t xml:space="preserve"> </w:t>
      </w:r>
      <w:r w:rsidR="00033D0F">
        <w:t>Vintage's</w:t>
      </w:r>
      <w:r w:rsidR="00033D0F">
        <w:rPr>
          <w:spacing w:val="40"/>
        </w:rPr>
        <w:t xml:space="preserve"> </w:t>
      </w:r>
      <w:r w:rsidR="00033D0F">
        <w:t>explanations</w:t>
      </w:r>
      <w:r w:rsidR="00033D0F">
        <w:rPr>
          <w:spacing w:val="40"/>
        </w:rPr>
        <w:t xml:space="preserve"> </w:t>
      </w:r>
      <w:r w:rsidR="00033D0F">
        <w:t>of</w:t>
      </w:r>
      <w:r w:rsidR="00033D0F">
        <w:rPr>
          <w:spacing w:val="40"/>
        </w:rPr>
        <w:t xml:space="preserve"> </w:t>
      </w:r>
      <w:r w:rsidR="00033D0F">
        <w:t>its</w:t>
      </w:r>
      <w:r w:rsidR="00033D0F">
        <w:rPr>
          <w:spacing w:val="40"/>
        </w:rPr>
        <w:t xml:space="preserve"> </w:t>
      </w:r>
      <w:r w:rsidR="00033D0F">
        <w:t>attempts</w:t>
      </w:r>
      <w:r w:rsidR="00033D0F">
        <w:rPr>
          <w:spacing w:val="40"/>
        </w:rPr>
        <w:t xml:space="preserve"> </w:t>
      </w:r>
      <w:r w:rsidR="00033D0F">
        <w:t>to</w:t>
      </w:r>
      <w:r w:rsidR="00033D0F">
        <w:rPr>
          <w:spacing w:val="40"/>
        </w:rPr>
        <w:t xml:space="preserve"> </w:t>
      </w:r>
      <w:r w:rsidR="00033D0F">
        <w:t>obtain</w:t>
      </w:r>
      <w:r w:rsidR="00033D0F">
        <w:rPr>
          <w:spacing w:val="40"/>
        </w:rPr>
        <w:t xml:space="preserve"> </w:t>
      </w:r>
      <w:r w:rsidR="00033D0F">
        <w:t>information</w:t>
      </w:r>
      <w:r w:rsidR="00033D0F">
        <w:rPr>
          <w:spacing w:val="40"/>
        </w:rPr>
        <w:t xml:space="preserve"> </w:t>
      </w:r>
      <w:r w:rsidR="00033D0F">
        <w:t>from</w:t>
      </w:r>
      <w:r w:rsidR="00033D0F">
        <w:rPr>
          <w:spacing w:val="40"/>
        </w:rPr>
        <w:t xml:space="preserve"> </w:t>
      </w:r>
      <w:r w:rsidR="00033D0F">
        <w:t>the</w:t>
      </w:r>
      <w:r w:rsidR="00033D0F">
        <w:rPr>
          <w:spacing w:val="40"/>
        </w:rPr>
        <w:t xml:space="preserve"> </w:t>
      </w:r>
      <w:r w:rsidR="00033D0F">
        <w:t>unaffiliated</w:t>
      </w:r>
    </w:p>
    <w:p w14:paraId="672AC6D5" w14:textId="127E65CF" w:rsidR="00BD462C" w:rsidRDefault="00BD462C">
      <w:pPr>
        <w:pStyle w:val="BodyText"/>
        <w:spacing w:before="7"/>
        <w:rPr>
          <w:sz w:val="14"/>
        </w:rPr>
      </w:pPr>
    </w:p>
    <w:p w14:paraId="6F1ACDE4" w14:textId="7F418BD9" w:rsidR="00BD462C" w:rsidRDefault="00033D0F">
      <w:pPr>
        <w:spacing w:before="112"/>
        <w:ind w:left="135"/>
        <w:rPr>
          <w:sz w:val="18"/>
        </w:rPr>
      </w:pPr>
      <w:bookmarkStart w:id="655" w:name="_bookmark563"/>
      <w:bookmarkEnd w:id="655"/>
      <w:r>
        <w:rPr>
          <w:position w:val="5"/>
          <w:sz w:val="12"/>
        </w:rPr>
        <w:t>467</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 xml:space="preserve">submission, para. </w:t>
      </w:r>
      <w:r>
        <w:rPr>
          <w:spacing w:val="-4"/>
          <w:sz w:val="18"/>
        </w:rPr>
        <w:t>767.</w:t>
      </w:r>
    </w:p>
    <w:p w14:paraId="72598EF9" w14:textId="77777777" w:rsidR="00BD462C" w:rsidRDefault="00033D0F">
      <w:pPr>
        <w:spacing w:before="1"/>
        <w:ind w:left="135"/>
        <w:rPr>
          <w:sz w:val="18"/>
        </w:rPr>
      </w:pPr>
      <w:bookmarkStart w:id="656" w:name="_bookmark564"/>
      <w:bookmarkEnd w:id="656"/>
      <w:r>
        <w:rPr>
          <w:position w:val="5"/>
          <w:sz w:val="12"/>
        </w:rPr>
        <w:t>468</w:t>
      </w:r>
      <w:r>
        <w:rPr>
          <w:spacing w:val="12"/>
          <w:position w:val="5"/>
          <w:sz w:val="12"/>
        </w:rPr>
        <w:t xml:space="preserve"> </w:t>
      </w:r>
      <w:r>
        <w:rPr>
          <w:sz w:val="18"/>
        </w:rPr>
        <w:t>Australia's</w:t>
      </w:r>
      <w:r>
        <w:rPr>
          <w:spacing w:val="-6"/>
          <w:sz w:val="18"/>
        </w:rPr>
        <w:t xml:space="preserve"> </w:t>
      </w:r>
      <w:r>
        <w:rPr>
          <w:sz w:val="18"/>
        </w:rPr>
        <w:t>first</w:t>
      </w:r>
      <w:r>
        <w:rPr>
          <w:spacing w:val="-6"/>
          <w:sz w:val="18"/>
        </w:rPr>
        <w:t xml:space="preserve"> </w:t>
      </w:r>
      <w:r>
        <w:rPr>
          <w:sz w:val="18"/>
        </w:rPr>
        <w:t>written</w:t>
      </w:r>
      <w:r>
        <w:rPr>
          <w:spacing w:val="-2"/>
          <w:sz w:val="18"/>
        </w:rPr>
        <w:t xml:space="preserve"> </w:t>
      </w:r>
      <w:r>
        <w:rPr>
          <w:sz w:val="18"/>
        </w:rPr>
        <w:t>submission, para.</w:t>
      </w:r>
      <w:r>
        <w:rPr>
          <w:spacing w:val="-5"/>
          <w:sz w:val="18"/>
        </w:rPr>
        <w:t xml:space="preserve"> </w:t>
      </w:r>
      <w:r>
        <w:rPr>
          <w:spacing w:val="-4"/>
          <w:sz w:val="18"/>
        </w:rPr>
        <w:t>448.</w:t>
      </w:r>
    </w:p>
    <w:p w14:paraId="70CEDD11" w14:textId="77777777" w:rsidR="00BD462C" w:rsidRDefault="00033D0F">
      <w:pPr>
        <w:spacing w:before="1"/>
        <w:ind w:left="135"/>
        <w:rPr>
          <w:sz w:val="18"/>
        </w:rPr>
      </w:pPr>
      <w:bookmarkStart w:id="657" w:name="_bookmark565"/>
      <w:bookmarkEnd w:id="657"/>
      <w:r>
        <w:rPr>
          <w:position w:val="5"/>
          <w:sz w:val="12"/>
        </w:rPr>
        <w:t>469</w:t>
      </w:r>
      <w:r>
        <w:rPr>
          <w:spacing w:val="12"/>
          <w:position w:val="5"/>
          <w:sz w:val="12"/>
        </w:rPr>
        <w:t xml:space="preserve"> </w:t>
      </w:r>
      <w:r>
        <w:rPr>
          <w:sz w:val="18"/>
        </w:rPr>
        <w:t>Australia's</w:t>
      </w:r>
      <w:r>
        <w:rPr>
          <w:spacing w:val="-6"/>
          <w:sz w:val="18"/>
        </w:rPr>
        <w:t xml:space="preserve"> </w:t>
      </w:r>
      <w:r>
        <w:rPr>
          <w:sz w:val="18"/>
        </w:rPr>
        <w:t>first</w:t>
      </w:r>
      <w:r>
        <w:rPr>
          <w:spacing w:val="-6"/>
          <w:sz w:val="18"/>
        </w:rPr>
        <w:t xml:space="preserve"> </w:t>
      </w:r>
      <w:r>
        <w:rPr>
          <w:sz w:val="18"/>
        </w:rPr>
        <w:t>written</w:t>
      </w:r>
      <w:r>
        <w:rPr>
          <w:spacing w:val="-2"/>
          <w:sz w:val="18"/>
        </w:rPr>
        <w:t xml:space="preserve"> </w:t>
      </w:r>
      <w:r>
        <w:rPr>
          <w:sz w:val="18"/>
        </w:rPr>
        <w:t>submission, para.</w:t>
      </w:r>
      <w:r>
        <w:rPr>
          <w:spacing w:val="-5"/>
          <w:sz w:val="18"/>
        </w:rPr>
        <w:t xml:space="preserve"> </w:t>
      </w:r>
      <w:r>
        <w:rPr>
          <w:spacing w:val="-4"/>
          <w:sz w:val="18"/>
        </w:rPr>
        <w:t>449.</w:t>
      </w:r>
    </w:p>
    <w:p w14:paraId="4B03C3B2" w14:textId="77777777" w:rsidR="00BD462C" w:rsidRDefault="00033D0F">
      <w:pPr>
        <w:spacing w:before="1"/>
        <w:ind w:left="135"/>
        <w:rPr>
          <w:sz w:val="18"/>
        </w:rPr>
      </w:pPr>
      <w:bookmarkStart w:id="658" w:name="_bookmark566"/>
      <w:bookmarkEnd w:id="658"/>
      <w:r>
        <w:rPr>
          <w:position w:val="5"/>
          <w:sz w:val="12"/>
        </w:rPr>
        <w:t>470</w:t>
      </w:r>
      <w:r>
        <w:rPr>
          <w:spacing w:val="12"/>
          <w:position w:val="5"/>
          <w:sz w:val="12"/>
        </w:rPr>
        <w:t xml:space="preserve"> </w:t>
      </w:r>
      <w:r>
        <w:rPr>
          <w:sz w:val="18"/>
        </w:rPr>
        <w:t>Australia's</w:t>
      </w:r>
      <w:r>
        <w:rPr>
          <w:spacing w:val="-6"/>
          <w:sz w:val="18"/>
        </w:rPr>
        <w:t xml:space="preserve"> </w:t>
      </w:r>
      <w:r>
        <w:rPr>
          <w:sz w:val="18"/>
        </w:rPr>
        <w:t>first</w:t>
      </w:r>
      <w:r>
        <w:rPr>
          <w:spacing w:val="-6"/>
          <w:sz w:val="18"/>
        </w:rPr>
        <w:t xml:space="preserve"> </w:t>
      </w:r>
      <w:r>
        <w:rPr>
          <w:sz w:val="18"/>
        </w:rPr>
        <w:t>written</w:t>
      </w:r>
      <w:r>
        <w:rPr>
          <w:spacing w:val="-2"/>
          <w:sz w:val="18"/>
        </w:rPr>
        <w:t xml:space="preserve"> </w:t>
      </w:r>
      <w:r>
        <w:rPr>
          <w:sz w:val="18"/>
        </w:rPr>
        <w:t>submission, para.</w:t>
      </w:r>
      <w:r>
        <w:rPr>
          <w:spacing w:val="-5"/>
          <w:sz w:val="18"/>
        </w:rPr>
        <w:t xml:space="preserve"> </w:t>
      </w:r>
      <w:r>
        <w:rPr>
          <w:spacing w:val="-4"/>
          <w:sz w:val="18"/>
        </w:rPr>
        <w:t>449.</w:t>
      </w:r>
    </w:p>
    <w:p w14:paraId="6A775A81" w14:textId="77777777" w:rsidR="00BD462C" w:rsidRDefault="00BD462C">
      <w:pPr>
        <w:rPr>
          <w:sz w:val="18"/>
        </w:rPr>
        <w:sectPr w:rsidR="00BD462C">
          <w:pgSz w:w="11910" w:h="16840"/>
          <w:pgMar w:top="860" w:right="500" w:bottom="780" w:left="1280" w:header="566" w:footer="590" w:gutter="0"/>
          <w:cols w:space="720"/>
        </w:sectPr>
      </w:pPr>
    </w:p>
    <w:p w14:paraId="7FD7F4B4"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1AD3A889"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44F54F15"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11E7C521" w14:textId="77777777" w:rsidR="00BD462C" w:rsidRDefault="00033D0F">
      <w:pPr>
        <w:pStyle w:val="BodyText"/>
        <w:spacing w:before="102" w:line="357" w:lineRule="auto"/>
        <w:ind w:left="135" w:right="923"/>
      </w:pPr>
      <w:r>
        <w:t>companies, and instead concluded that it "could not acquire accurate costs and expenses of the product under investigation produced and sold by the Company".</w:t>
      </w:r>
      <w:r>
        <w:rPr>
          <w:spacing w:val="-20"/>
        </w:rPr>
        <w:t xml:space="preserve"> </w:t>
      </w:r>
      <w:hyperlink w:anchor="_bookmark567" w:history="1">
        <w:r>
          <w:rPr>
            <w:vertAlign w:val="superscript"/>
          </w:rPr>
          <w:t>471</w:t>
        </w:r>
      </w:hyperlink>
    </w:p>
    <w:p w14:paraId="03823711" w14:textId="77777777" w:rsidR="00BD462C" w:rsidRDefault="00BD462C">
      <w:pPr>
        <w:pStyle w:val="BodyText"/>
        <w:spacing w:before="3"/>
        <w:rPr>
          <w:sz w:val="9"/>
        </w:rPr>
      </w:pPr>
    </w:p>
    <w:p w14:paraId="358743DE" w14:textId="721983CB" w:rsidR="00BD462C" w:rsidRDefault="00033D0F" w:rsidP="00DA02D9">
      <w:pPr>
        <w:pStyle w:val="BodyText"/>
        <w:numPr>
          <w:ilvl w:val="0"/>
          <w:numId w:val="71"/>
        </w:numPr>
        <w:spacing w:before="56" w:line="360" w:lineRule="auto"/>
        <w:ind w:right="910"/>
        <w:jc w:val="both"/>
      </w:pPr>
      <w:r>
        <w:rPr>
          <w:position w:val="1"/>
        </w:rPr>
        <w:t xml:space="preserve">China argues that Australia has misunderstood why MOFCOM used facts available. </w:t>
      </w:r>
      <w:r>
        <w:t xml:space="preserve">Indeed, it is impossible for any reader of MOFCOM's Preliminary Determination, Final Disclosure or Final Determination to glean the reasons for MOFCOM's decisions as they are not in evidence anywhere on the record. In an attempt at </w:t>
      </w:r>
      <w:r>
        <w:rPr>
          <w:i/>
        </w:rPr>
        <w:t xml:space="preserve">ex post facto </w:t>
      </w:r>
      <w:r>
        <w:t>explanation of MOFCOM's reasoning, China explains that MOFCOM's "decision to apply facts available pursuant</w:t>
      </w:r>
      <w:r>
        <w:rPr>
          <w:spacing w:val="-8"/>
        </w:rPr>
        <w:t xml:space="preserve"> </w:t>
      </w:r>
      <w:r>
        <w:t>to</w:t>
      </w:r>
      <w:r>
        <w:rPr>
          <w:spacing w:val="-10"/>
        </w:rPr>
        <w:t xml:space="preserve"> </w:t>
      </w:r>
      <w:r>
        <w:t>Article</w:t>
      </w:r>
      <w:r>
        <w:rPr>
          <w:spacing w:val="-8"/>
        </w:rPr>
        <w:t xml:space="preserve"> </w:t>
      </w:r>
      <w:r>
        <w:t>6.8</w:t>
      </w:r>
      <w:r>
        <w:rPr>
          <w:spacing w:val="-10"/>
        </w:rPr>
        <w:t xml:space="preserve"> </w:t>
      </w:r>
      <w:r>
        <w:t>of</w:t>
      </w:r>
      <w:r>
        <w:rPr>
          <w:spacing w:val="-10"/>
        </w:rPr>
        <w:t xml:space="preserve"> </w:t>
      </w:r>
      <w:r>
        <w:t>the</w:t>
      </w:r>
      <w:r>
        <w:rPr>
          <w:spacing w:val="-8"/>
        </w:rPr>
        <w:t xml:space="preserve"> </w:t>
      </w:r>
      <w:r>
        <w:t>Anti-Dumping</w:t>
      </w:r>
      <w:r>
        <w:rPr>
          <w:spacing w:val="-7"/>
        </w:rPr>
        <w:t xml:space="preserve"> </w:t>
      </w:r>
      <w:r>
        <w:t>Agreement</w:t>
      </w:r>
      <w:r>
        <w:rPr>
          <w:spacing w:val="-8"/>
        </w:rPr>
        <w:t xml:space="preserve"> </w:t>
      </w:r>
      <w:r>
        <w:t>was</w:t>
      </w:r>
      <w:r>
        <w:rPr>
          <w:spacing w:val="-7"/>
        </w:rPr>
        <w:t xml:space="preserve"> </w:t>
      </w:r>
      <w:r>
        <w:t>based</w:t>
      </w:r>
      <w:r>
        <w:rPr>
          <w:spacing w:val="-10"/>
        </w:rPr>
        <w:t xml:space="preserve"> </w:t>
      </w:r>
      <w:r>
        <w:t>on</w:t>
      </w:r>
      <w:r>
        <w:rPr>
          <w:spacing w:val="-10"/>
        </w:rPr>
        <w:t xml:space="preserve"> </w:t>
      </w:r>
      <w:r>
        <w:t>the</w:t>
      </w:r>
      <w:r>
        <w:rPr>
          <w:spacing w:val="-8"/>
        </w:rPr>
        <w:t xml:space="preserve"> </w:t>
      </w:r>
      <w:r>
        <w:t>totality</w:t>
      </w:r>
      <w:r>
        <w:rPr>
          <w:spacing w:val="-7"/>
        </w:rPr>
        <w:t xml:space="preserve"> </w:t>
      </w:r>
      <w:r>
        <w:t>of</w:t>
      </w:r>
      <w:r>
        <w:rPr>
          <w:spacing w:val="-10"/>
        </w:rPr>
        <w:t xml:space="preserve"> </w:t>
      </w:r>
      <w:r>
        <w:t>the</w:t>
      </w:r>
      <w:r>
        <w:rPr>
          <w:spacing w:val="-8"/>
        </w:rPr>
        <w:t xml:space="preserve"> </w:t>
      </w:r>
      <w:r>
        <w:t>issues identified by MOFCOM in connection with the reporting of the cost of production whereby not</w:t>
      </w:r>
      <w:r>
        <w:rPr>
          <w:spacing w:val="-14"/>
        </w:rPr>
        <w:t xml:space="preserve"> </w:t>
      </w:r>
      <w:r>
        <w:t>all</w:t>
      </w:r>
      <w:r>
        <w:rPr>
          <w:spacing w:val="-14"/>
        </w:rPr>
        <w:t xml:space="preserve"> </w:t>
      </w:r>
      <w:r>
        <w:t>issues</w:t>
      </w:r>
      <w:r>
        <w:rPr>
          <w:spacing w:val="-13"/>
        </w:rPr>
        <w:t xml:space="preserve"> </w:t>
      </w:r>
      <w:r>
        <w:t>are</w:t>
      </w:r>
      <w:r>
        <w:rPr>
          <w:spacing w:val="-14"/>
        </w:rPr>
        <w:t xml:space="preserve"> </w:t>
      </w:r>
      <w:r>
        <w:t>equally</w:t>
      </w:r>
      <w:r>
        <w:rPr>
          <w:spacing w:val="-13"/>
        </w:rPr>
        <w:t xml:space="preserve"> </w:t>
      </w:r>
      <w:r>
        <w:t>important."</w:t>
      </w:r>
      <w:r>
        <w:rPr>
          <w:spacing w:val="-14"/>
        </w:rPr>
        <w:t xml:space="preserve"> </w:t>
      </w:r>
      <w:hyperlink w:anchor="_bookmark568" w:history="1">
        <w:r>
          <w:rPr>
            <w:vertAlign w:val="superscript"/>
          </w:rPr>
          <w:t>472</w:t>
        </w:r>
      </w:hyperlink>
      <w:r>
        <w:rPr>
          <w:spacing w:val="-13"/>
        </w:rPr>
        <w:t xml:space="preserve"> </w:t>
      </w:r>
      <w:r>
        <w:t>Such</w:t>
      </w:r>
      <w:r>
        <w:rPr>
          <w:spacing w:val="-14"/>
        </w:rPr>
        <w:t xml:space="preserve"> </w:t>
      </w:r>
      <w:r>
        <w:t>an</w:t>
      </w:r>
      <w:r>
        <w:rPr>
          <w:spacing w:val="-12"/>
        </w:rPr>
        <w:t xml:space="preserve"> </w:t>
      </w:r>
      <w:r>
        <w:t>approach</w:t>
      </w:r>
      <w:r>
        <w:rPr>
          <w:spacing w:val="-12"/>
        </w:rPr>
        <w:t xml:space="preserve"> </w:t>
      </w:r>
      <w:r>
        <w:t>is</w:t>
      </w:r>
      <w:r>
        <w:rPr>
          <w:spacing w:val="-5"/>
        </w:rPr>
        <w:t xml:space="preserve"> </w:t>
      </w:r>
      <w:r>
        <w:t>not</w:t>
      </w:r>
      <w:r>
        <w:rPr>
          <w:spacing w:val="-10"/>
        </w:rPr>
        <w:t xml:space="preserve"> </w:t>
      </w:r>
      <w:r>
        <w:t>supported</w:t>
      </w:r>
      <w:r>
        <w:rPr>
          <w:spacing w:val="-13"/>
        </w:rPr>
        <w:t xml:space="preserve"> </w:t>
      </w:r>
      <w:r>
        <w:t>in</w:t>
      </w:r>
      <w:r>
        <w:rPr>
          <w:spacing w:val="-8"/>
        </w:rPr>
        <w:t xml:space="preserve"> </w:t>
      </w:r>
      <w:r>
        <w:t>law,</w:t>
      </w:r>
      <w:r>
        <w:rPr>
          <w:spacing w:val="-14"/>
        </w:rPr>
        <w:t xml:space="preserve"> </w:t>
      </w:r>
      <w:hyperlink w:anchor="_bookmark569" w:history="1">
        <w:r>
          <w:rPr>
            <w:vertAlign w:val="superscript"/>
          </w:rPr>
          <w:t>473</w:t>
        </w:r>
      </w:hyperlink>
      <w:r>
        <w:rPr>
          <w:spacing w:val="-10"/>
        </w:rPr>
        <w:t xml:space="preserve"> </w:t>
      </w:r>
      <w:r>
        <w:t>or</w:t>
      </w:r>
      <w:r>
        <w:rPr>
          <w:spacing w:val="-9"/>
        </w:rPr>
        <w:t xml:space="preserve"> </w:t>
      </w:r>
      <w:r>
        <w:t>on</w:t>
      </w:r>
      <w:r>
        <w:rPr>
          <w:spacing w:val="-13"/>
        </w:rPr>
        <w:t xml:space="preserve"> </w:t>
      </w:r>
      <w:r>
        <w:t>the facts on the record. MOFCOM provided no analysis at all in relation to any alleged holistic analysis, hierarchy of reasons, or indeed how it considered the data from third parties to be essential.</w:t>
      </w:r>
      <w:r>
        <w:rPr>
          <w:spacing w:val="-6"/>
        </w:rPr>
        <w:t xml:space="preserve"> </w:t>
      </w:r>
      <w:r>
        <w:t>The</w:t>
      </w:r>
      <w:r>
        <w:rPr>
          <w:spacing w:val="-7"/>
        </w:rPr>
        <w:t xml:space="preserve"> </w:t>
      </w:r>
      <w:r>
        <w:t>sum</w:t>
      </w:r>
      <w:r>
        <w:rPr>
          <w:spacing w:val="-8"/>
        </w:rPr>
        <w:t xml:space="preserve"> </w:t>
      </w:r>
      <w:r>
        <w:t>total</w:t>
      </w:r>
      <w:r>
        <w:rPr>
          <w:spacing w:val="-5"/>
        </w:rPr>
        <w:t xml:space="preserve"> </w:t>
      </w:r>
      <w:r>
        <w:t>of</w:t>
      </w:r>
      <w:r>
        <w:rPr>
          <w:spacing w:val="-9"/>
        </w:rPr>
        <w:t xml:space="preserve"> </w:t>
      </w:r>
      <w:r>
        <w:t>MOFCOM's</w:t>
      </w:r>
      <w:r>
        <w:rPr>
          <w:spacing w:val="-6"/>
        </w:rPr>
        <w:t xml:space="preserve"> </w:t>
      </w:r>
      <w:r>
        <w:t>analysis</w:t>
      </w:r>
      <w:r>
        <w:rPr>
          <w:spacing w:val="-6"/>
        </w:rPr>
        <w:t xml:space="preserve"> </w:t>
      </w:r>
      <w:r>
        <w:t>in</w:t>
      </w:r>
      <w:r>
        <w:rPr>
          <w:spacing w:val="-9"/>
        </w:rPr>
        <w:t xml:space="preserve"> </w:t>
      </w:r>
      <w:r>
        <w:t>the</w:t>
      </w:r>
      <w:r>
        <w:rPr>
          <w:spacing w:val="-7"/>
        </w:rPr>
        <w:t xml:space="preserve"> </w:t>
      </w:r>
      <w:r>
        <w:t>Final</w:t>
      </w:r>
      <w:r>
        <w:rPr>
          <w:spacing w:val="-5"/>
        </w:rPr>
        <w:t xml:space="preserve"> </w:t>
      </w:r>
      <w:r>
        <w:t>Determination</w:t>
      </w:r>
      <w:r>
        <w:rPr>
          <w:spacing w:val="-9"/>
        </w:rPr>
        <w:t xml:space="preserve"> </w:t>
      </w:r>
      <w:r>
        <w:t>is</w:t>
      </w:r>
      <w:r>
        <w:rPr>
          <w:spacing w:val="-6"/>
        </w:rPr>
        <w:t xml:space="preserve"> </w:t>
      </w:r>
      <w:r>
        <w:t>the</w:t>
      </w:r>
      <w:r>
        <w:rPr>
          <w:spacing w:val="-7"/>
        </w:rPr>
        <w:t xml:space="preserve"> </w:t>
      </w:r>
      <w:r>
        <w:t>following</w:t>
      </w:r>
      <w:r>
        <w:rPr>
          <w:spacing w:val="-6"/>
        </w:rPr>
        <w:t xml:space="preserve"> </w:t>
      </w:r>
      <w:r>
        <w:t xml:space="preserve">two </w:t>
      </w:r>
      <w:r>
        <w:rPr>
          <w:spacing w:val="-2"/>
        </w:rPr>
        <w:t>sentences:</w:t>
      </w:r>
    </w:p>
    <w:p w14:paraId="21437A6F" w14:textId="77777777" w:rsidR="00BD462C" w:rsidRDefault="00033D0F">
      <w:pPr>
        <w:spacing w:before="155" w:line="276" w:lineRule="auto"/>
        <w:ind w:left="985" w:right="912"/>
        <w:jc w:val="both"/>
      </w:pPr>
      <w:r>
        <w:t>Moreover,</w:t>
      </w:r>
      <w:r>
        <w:rPr>
          <w:spacing w:val="-13"/>
        </w:rPr>
        <w:t xml:space="preserve"> </w:t>
      </w:r>
      <w:r>
        <w:t>the</w:t>
      </w:r>
      <w:r>
        <w:rPr>
          <w:spacing w:val="-12"/>
        </w:rPr>
        <w:t xml:space="preserve"> </w:t>
      </w:r>
      <w:r>
        <w:t>Company</w:t>
      </w:r>
      <w:r>
        <w:rPr>
          <w:spacing w:val="-13"/>
        </w:rPr>
        <w:t xml:space="preserve"> </w:t>
      </w:r>
      <w:r>
        <w:t>also</w:t>
      </w:r>
      <w:r>
        <w:rPr>
          <w:spacing w:val="-12"/>
        </w:rPr>
        <w:t xml:space="preserve"> </w:t>
      </w:r>
      <w:r>
        <w:t>entrusted</w:t>
      </w:r>
      <w:r>
        <w:rPr>
          <w:spacing w:val="-13"/>
        </w:rPr>
        <w:t xml:space="preserve"> </w:t>
      </w:r>
      <w:r>
        <w:t>local</w:t>
      </w:r>
      <w:r>
        <w:rPr>
          <w:spacing w:val="-12"/>
        </w:rPr>
        <w:t xml:space="preserve"> </w:t>
      </w:r>
      <w:r>
        <w:t>companies</w:t>
      </w:r>
      <w:r>
        <w:rPr>
          <w:spacing w:val="-13"/>
        </w:rPr>
        <w:t xml:space="preserve"> </w:t>
      </w:r>
      <w:r>
        <w:t>to</w:t>
      </w:r>
      <w:r>
        <w:rPr>
          <w:spacing w:val="-12"/>
        </w:rPr>
        <w:t xml:space="preserve"> </w:t>
      </w:r>
      <w:r>
        <w:t>provide</w:t>
      </w:r>
      <w:r>
        <w:rPr>
          <w:spacing w:val="-12"/>
        </w:rPr>
        <w:t xml:space="preserve"> </w:t>
      </w:r>
      <w:r>
        <w:t>press</w:t>
      </w:r>
      <w:r>
        <w:rPr>
          <w:spacing w:val="-13"/>
        </w:rPr>
        <w:t xml:space="preserve"> </w:t>
      </w:r>
      <w:r>
        <w:t>service</w:t>
      </w:r>
      <w:r>
        <w:rPr>
          <w:spacing w:val="-12"/>
        </w:rPr>
        <w:t xml:space="preserve"> </w:t>
      </w:r>
      <w:r>
        <w:t>and</w:t>
      </w:r>
      <w:r>
        <w:rPr>
          <w:spacing w:val="-13"/>
        </w:rPr>
        <w:t xml:space="preserve"> </w:t>
      </w:r>
      <w:r>
        <w:t>produce bulk wine and asked other companies to offer filling services. One of the press companies filled in response but just reported overall data and did not provide detailed costs in accordance with the requirements of the questionnaire; other press and filling companies did not respond to the questionnaire.</w:t>
      </w:r>
      <w:r>
        <w:rPr>
          <w:spacing w:val="-17"/>
        </w:rPr>
        <w:t xml:space="preserve"> </w:t>
      </w:r>
      <w:hyperlink w:anchor="_bookmark570" w:history="1">
        <w:r>
          <w:rPr>
            <w:vertAlign w:val="superscript"/>
          </w:rPr>
          <w:t>474</w:t>
        </w:r>
      </w:hyperlink>
    </w:p>
    <w:p w14:paraId="34BCC58C" w14:textId="77777777" w:rsidR="00BD462C" w:rsidRDefault="00BD462C">
      <w:pPr>
        <w:pStyle w:val="BodyText"/>
        <w:spacing w:before="7"/>
        <w:rPr>
          <w:sz w:val="15"/>
        </w:rPr>
      </w:pPr>
    </w:p>
    <w:p w14:paraId="48F361CD" w14:textId="1CD34CFB" w:rsidR="00BD462C" w:rsidRDefault="00033D0F" w:rsidP="00B472DD">
      <w:pPr>
        <w:pStyle w:val="BodyText"/>
        <w:numPr>
          <w:ilvl w:val="0"/>
          <w:numId w:val="71"/>
        </w:numPr>
        <w:spacing w:before="56" w:line="360" w:lineRule="auto"/>
        <w:ind w:right="911"/>
        <w:jc w:val="both"/>
      </w:pPr>
      <w:r>
        <w:rPr>
          <w:position w:val="1"/>
        </w:rPr>
        <w:t>This</w:t>
      </w:r>
      <w:r>
        <w:rPr>
          <w:spacing w:val="-5"/>
          <w:position w:val="1"/>
        </w:rPr>
        <w:t xml:space="preserve"> </w:t>
      </w:r>
      <w:r>
        <w:rPr>
          <w:position w:val="1"/>
        </w:rPr>
        <w:t>is</w:t>
      </w:r>
      <w:r>
        <w:rPr>
          <w:spacing w:val="-5"/>
          <w:position w:val="1"/>
        </w:rPr>
        <w:t xml:space="preserve"> </w:t>
      </w:r>
      <w:r>
        <w:rPr>
          <w:position w:val="1"/>
        </w:rPr>
        <w:t>clearly</w:t>
      </w:r>
      <w:r>
        <w:rPr>
          <w:spacing w:val="-5"/>
          <w:position w:val="1"/>
        </w:rPr>
        <w:t xml:space="preserve"> </w:t>
      </w:r>
      <w:r>
        <w:rPr>
          <w:position w:val="1"/>
        </w:rPr>
        <w:t>insufficient</w:t>
      </w:r>
      <w:r>
        <w:rPr>
          <w:spacing w:val="-6"/>
          <w:position w:val="1"/>
        </w:rPr>
        <w:t xml:space="preserve"> </w:t>
      </w:r>
      <w:r>
        <w:rPr>
          <w:position w:val="1"/>
        </w:rPr>
        <w:t>to</w:t>
      </w:r>
      <w:r>
        <w:rPr>
          <w:spacing w:val="-9"/>
          <w:position w:val="1"/>
        </w:rPr>
        <w:t xml:space="preserve"> </w:t>
      </w:r>
      <w:r>
        <w:rPr>
          <w:position w:val="1"/>
        </w:rPr>
        <w:t>indicate</w:t>
      </w:r>
      <w:r>
        <w:rPr>
          <w:spacing w:val="-6"/>
          <w:position w:val="1"/>
        </w:rPr>
        <w:t xml:space="preserve"> </w:t>
      </w:r>
      <w:r>
        <w:rPr>
          <w:position w:val="1"/>
        </w:rPr>
        <w:t>what</w:t>
      </w:r>
      <w:r>
        <w:rPr>
          <w:spacing w:val="-6"/>
          <w:position w:val="1"/>
        </w:rPr>
        <w:t xml:space="preserve"> </w:t>
      </w:r>
      <w:r>
        <w:rPr>
          <w:position w:val="1"/>
        </w:rPr>
        <w:t>factors MOFCOM</w:t>
      </w:r>
      <w:r>
        <w:rPr>
          <w:spacing w:val="-6"/>
          <w:position w:val="1"/>
        </w:rPr>
        <w:t xml:space="preserve"> </w:t>
      </w:r>
      <w:r>
        <w:rPr>
          <w:position w:val="1"/>
        </w:rPr>
        <w:t>had</w:t>
      </w:r>
      <w:r>
        <w:rPr>
          <w:spacing w:val="-8"/>
          <w:position w:val="1"/>
        </w:rPr>
        <w:t xml:space="preserve"> </w:t>
      </w:r>
      <w:r>
        <w:rPr>
          <w:position w:val="1"/>
        </w:rPr>
        <w:t>considered</w:t>
      </w:r>
      <w:r>
        <w:rPr>
          <w:spacing w:val="-8"/>
          <w:position w:val="1"/>
        </w:rPr>
        <w:t xml:space="preserve"> </w:t>
      </w:r>
      <w:r>
        <w:rPr>
          <w:position w:val="1"/>
        </w:rPr>
        <w:t>and</w:t>
      </w:r>
      <w:r>
        <w:rPr>
          <w:spacing w:val="-3"/>
          <w:position w:val="1"/>
        </w:rPr>
        <w:t xml:space="preserve"> </w:t>
      </w:r>
      <w:r>
        <w:rPr>
          <w:position w:val="1"/>
        </w:rPr>
        <w:t xml:space="preserve">why </w:t>
      </w:r>
      <w:r>
        <w:t>it</w:t>
      </w:r>
      <w:r>
        <w:rPr>
          <w:spacing w:val="-8"/>
        </w:rPr>
        <w:t xml:space="preserve"> </w:t>
      </w:r>
      <w:r>
        <w:t>had</w:t>
      </w:r>
      <w:r>
        <w:rPr>
          <w:spacing w:val="-10"/>
        </w:rPr>
        <w:t xml:space="preserve"> </w:t>
      </w:r>
      <w:r>
        <w:t>rejected</w:t>
      </w:r>
      <w:r>
        <w:rPr>
          <w:spacing w:val="-10"/>
        </w:rPr>
        <w:t xml:space="preserve"> </w:t>
      </w:r>
      <w:r>
        <w:t>Swan</w:t>
      </w:r>
      <w:r>
        <w:rPr>
          <w:spacing w:val="-10"/>
        </w:rPr>
        <w:t xml:space="preserve"> </w:t>
      </w:r>
      <w:r>
        <w:t>Vintage's</w:t>
      </w:r>
      <w:r>
        <w:rPr>
          <w:spacing w:val="-7"/>
        </w:rPr>
        <w:t xml:space="preserve"> </w:t>
      </w:r>
      <w:r>
        <w:t>proposal</w:t>
      </w:r>
      <w:r>
        <w:rPr>
          <w:spacing w:val="-6"/>
        </w:rPr>
        <w:t xml:space="preserve"> </w:t>
      </w:r>
      <w:r>
        <w:t>that</w:t>
      </w:r>
      <w:r>
        <w:rPr>
          <w:spacing w:val="-8"/>
        </w:rPr>
        <w:t xml:space="preserve"> </w:t>
      </w:r>
      <w:r>
        <w:t>costs</w:t>
      </w:r>
      <w:r>
        <w:rPr>
          <w:spacing w:val="-11"/>
        </w:rPr>
        <w:t xml:space="preserve"> </w:t>
      </w:r>
      <w:r>
        <w:t>could</w:t>
      </w:r>
      <w:r>
        <w:rPr>
          <w:spacing w:val="-10"/>
        </w:rPr>
        <w:t xml:space="preserve"> </w:t>
      </w:r>
      <w:r>
        <w:t>be</w:t>
      </w:r>
      <w:r>
        <w:rPr>
          <w:spacing w:val="-8"/>
        </w:rPr>
        <w:t xml:space="preserve"> </w:t>
      </w:r>
      <w:r>
        <w:t>assessed</w:t>
      </w:r>
      <w:r>
        <w:rPr>
          <w:spacing w:val="-10"/>
        </w:rPr>
        <w:t xml:space="preserve"> </w:t>
      </w:r>
      <w:r>
        <w:t>and</w:t>
      </w:r>
      <w:r>
        <w:rPr>
          <w:spacing w:val="-10"/>
        </w:rPr>
        <w:t xml:space="preserve"> </w:t>
      </w:r>
      <w:r>
        <w:t>verified</w:t>
      </w:r>
      <w:r>
        <w:rPr>
          <w:spacing w:val="-10"/>
        </w:rPr>
        <w:t xml:space="preserve"> </w:t>
      </w:r>
      <w:r>
        <w:t>by</w:t>
      </w:r>
      <w:r>
        <w:rPr>
          <w:spacing w:val="-7"/>
        </w:rPr>
        <w:t xml:space="preserve"> </w:t>
      </w:r>
      <w:r>
        <w:t>reference to</w:t>
      </w:r>
      <w:r>
        <w:rPr>
          <w:spacing w:val="-11"/>
        </w:rPr>
        <w:t xml:space="preserve"> </w:t>
      </w:r>
      <w:r>
        <w:t>data</w:t>
      </w:r>
      <w:r>
        <w:rPr>
          <w:spacing w:val="-9"/>
        </w:rPr>
        <w:t xml:space="preserve"> </w:t>
      </w:r>
      <w:r>
        <w:t>it</w:t>
      </w:r>
      <w:r>
        <w:rPr>
          <w:spacing w:val="-8"/>
        </w:rPr>
        <w:t xml:space="preserve"> </w:t>
      </w:r>
      <w:r>
        <w:t>had</w:t>
      </w:r>
      <w:r>
        <w:rPr>
          <w:spacing w:val="-10"/>
        </w:rPr>
        <w:t xml:space="preserve"> </w:t>
      </w:r>
      <w:r>
        <w:t>provided</w:t>
      </w:r>
      <w:r>
        <w:rPr>
          <w:spacing w:val="-10"/>
        </w:rPr>
        <w:t xml:space="preserve"> </w:t>
      </w:r>
      <w:r>
        <w:t>drawn</w:t>
      </w:r>
      <w:r>
        <w:rPr>
          <w:spacing w:val="-6"/>
        </w:rPr>
        <w:t xml:space="preserve"> </w:t>
      </w:r>
      <w:r>
        <w:t>from</w:t>
      </w:r>
      <w:r>
        <w:rPr>
          <w:spacing w:val="-8"/>
        </w:rPr>
        <w:t xml:space="preserve"> </w:t>
      </w:r>
      <w:r>
        <w:t>its</w:t>
      </w:r>
      <w:r>
        <w:rPr>
          <w:spacing w:val="-7"/>
        </w:rPr>
        <w:t xml:space="preserve"> </w:t>
      </w:r>
      <w:r>
        <w:t>GAAP</w:t>
      </w:r>
      <w:r>
        <w:rPr>
          <w:spacing w:val="-8"/>
        </w:rPr>
        <w:t xml:space="preserve"> </w:t>
      </w:r>
      <w:r>
        <w:t>compliant</w:t>
      </w:r>
      <w:r>
        <w:rPr>
          <w:spacing w:val="-8"/>
        </w:rPr>
        <w:t xml:space="preserve"> </w:t>
      </w:r>
      <w:r>
        <w:t>accounting</w:t>
      </w:r>
      <w:r>
        <w:rPr>
          <w:spacing w:val="-6"/>
        </w:rPr>
        <w:t xml:space="preserve"> </w:t>
      </w:r>
      <w:r>
        <w:t>system.</w:t>
      </w:r>
      <w:r>
        <w:rPr>
          <w:spacing w:val="-7"/>
        </w:rPr>
        <w:t xml:space="preserve"> </w:t>
      </w:r>
      <w:r>
        <w:t>China's</w:t>
      </w:r>
      <w:r>
        <w:rPr>
          <w:spacing w:val="-7"/>
        </w:rPr>
        <w:t xml:space="preserve"> </w:t>
      </w:r>
      <w:r>
        <w:t xml:space="preserve">arguments do not engage with this fact and seek to make Swan Vintage responsible for MOFCOM's </w:t>
      </w:r>
      <w:r>
        <w:rPr>
          <w:spacing w:val="-2"/>
        </w:rPr>
        <w:t>failure.</w:t>
      </w:r>
    </w:p>
    <w:p w14:paraId="3BFBDC6D" w14:textId="77777777" w:rsidR="00BD462C" w:rsidRDefault="00BD462C">
      <w:pPr>
        <w:pStyle w:val="BodyText"/>
        <w:spacing w:before="6"/>
        <w:rPr>
          <w:sz w:val="8"/>
        </w:rPr>
      </w:pPr>
    </w:p>
    <w:p w14:paraId="48440B1A" w14:textId="76BB04A9" w:rsidR="00BD462C" w:rsidRDefault="00033D0F" w:rsidP="00B472DD">
      <w:pPr>
        <w:pStyle w:val="BodyText"/>
        <w:numPr>
          <w:ilvl w:val="0"/>
          <w:numId w:val="71"/>
        </w:numPr>
        <w:spacing w:before="56" w:line="357" w:lineRule="auto"/>
        <w:ind w:right="912"/>
        <w:jc w:val="both"/>
      </w:pPr>
      <w:r>
        <w:rPr>
          <w:position w:val="1"/>
        </w:rPr>
        <w:t>For</w:t>
      </w:r>
      <w:r>
        <w:rPr>
          <w:spacing w:val="40"/>
          <w:position w:val="1"/>
        </w:rPr>
        <w:t xml:space="preserve"> </w:t>
      </w:r>
      <w:r>
        <w:rPr>
          <w:position w:val="1"/>
        </w:rPr>
        <w:t>the</w:t>
      </w:r>
      <w:r>
        <w:rPr>
          <w:spacing w:val="40"/>
          <w:position w:val="1"/>
        </w:rPr>
        <w:t xml:space="preserve"> </w:t>
      </w:r>
      <w:r>
        <w:rPr>
          <w:position w:val="1"/>
        </w:rPr>
        <w:t>forgoing</w:t>
      </w:r>
      <w:r>
        <w:rPr>
          <w:spacing w:val="40"/>
          <w:position w:val="1"/>
        </w:rPr>
        <w:t xml:space="preserve"> </w:t>
      </w:r>
      <w:r>
        <w:rPr>
          <w:position w:val="1"/>
        </w:rPr>
        <w:t>reasons,</w:t>
      </w:r>
      <w:r>
        <w:rPr>
          <w:spacing w:val="40"/>
          <w:position w:val="1"/>
        </w:rPr>
        <w:t xml:space="preserve"> </w:t>
      </w:r>
      <w:r>
        <w:rPr>
          <w:position w:val="1"/>
        </w:rPr>
        <w:t>Australia</w:t>
      </w:r>
      <w:r>
        <w:rPr>
          <w:spacing w:val="40"/>
          <w:position w:val="1"/>
        </w:rPr>
        <w:t xml:space="preserve"> </w:t>
      </w:r>
      <w:r>
        <w:rPr>
          <w:position w:val="1"/>
        </w:rPr>
        <w:t>maintains</w:t>
      </w:r>
      <w:r>
        <w:rPr>
          <w:spacing w:val="40"/>
          <w:position w:val="1"/>
        </w:rPr>
        <w:t xml:space="preserve"> </w:t>
      </w:r>
      <w:r>
        <w:rPr>
          <w:position w:val="1"/>
        </w:rPr>
        <w:t>its</w:t>
      </w:r>
      <w:r>
        <w:rPr>
          <w:spacing w:val="40"/>
          <w:position w:val="1"/>
        </w:rPr>
        <w:t xml:space="preserve"> </w:t>
      </w:r>
      <w:r>
        <w:rPr>
          <w:position w:val="1"/>
        </w:rPr>
        <w:t>claims</w:t>
      </w:r>
      <w:r>
        <w:rPr>
          <w:spacing w:val="40"/>
          <w:position w:val="1"/>
        </w:rPr>
        <w:t xml:space="preserve"> </w:t>
      </w:r>
      <w:r>
        <w:rPr>
          <w:position w:val="1"/>
        </w:rPr>
        <w:t>that</w:t>
      </w:r>
      <w:r>
        <w:rPr>
          <w:spacing w:val="40"/>
          <w:position w:val="1"/>
        </w:rPr>
        <w:t xml:space="preserve"> </w:t>
      </w:r>
      <w:r>
        <w:rPr>
          <w:position w:val="1"/>
        </w:rPr>
        <w:t>China</w:t>
      </w:r>
      <w:r>
        <w:rPr>
          <w:spacing w:val="40"/>
          <w:position w:val="1"/>
        </w:rPr>
        <w:t xml:space="preserve"> </w:t>
      </w:r>
      <w:r>
        <w:rPr>
          <w:position w:val="1"/>
        </w:rPr>
        <w:t xml:space="preserve">acted </w:t>
      </w:r>
      <w:r>
        <w:t xml:space="preserve">inconsistently with Article 6.8 and paragraphs 1, 3, 5 and 6 of Annex II of the Anti-Dumping </w:t>
      </w:r>
      <w:r>
        <w:rPr>
          <w:spacing w:val="-2"/>
        </w:rPr>
        <w:t>Agreement.</w:t>
      </w:r>
    </w:p>
    <w:p w14:paraId="756AC58D" w14:textId="77777777" w:rsidR="00BD462C" w:rsidRDefault="00BD462C">
      <w:pPr>
        <w:pStyle w:val="BodyText"/>
        <w:rPr>
          <w:sz w:val="20"/>
        </w:rPr>
      </w:pPr>
    </w:p>
    <w:p w14:paraId="1C299BA6" w14:textId="77777777" w:rsidR="00BD462C" w:rsidRDefault="00BD462C">
      <w:pPr>
        <w:pStyle w:val="BodyText"/>
        <w:rPr>
          <w:sz w:val="20"/>
        </w:rPr>
      </w:pPr>
    </w:p>
    <w:p w14:paraId="0344F8AA" w14:textId="71933394" w:rsidR="00BD462C" w:rsidRDefault="00D70C7D">
      <w:pPr>
        <w:pStyle w:val="BodyText"/>
        <w:spacing w:before="1"/>
        <w:rPr>
          <w:sz w:val="22"/>
        </w:rPr>
      </w:pPr>
      <w:r>
        <w:rPr>
          <w:noProof/>
        </w:rPr>
        <mc:AlternateContent>
          <mc:Choice Requires="wps">
            <w:drawing>
              <wp:anchor distT="0" distB="0" distL="0" distR="0" simplePos="0" relativeHeight="487725056" behindDoc="1" locked="0" layoutInCell="1" allowOverlap="1" wp14:anchorId="7295B88E" wp14:editId="39B86B70">
                <wp:simplePos x="0" y="0"/>
                <wp:positionH relativeFrom="page">
                  <wp:posOffset>899160</wp:posOffset>
                </wp:positionH>
                <wp:positionV relativeFrom="paragraph">
                  <wp:posOffset>186690</wp:posOffset>
                </wp:positionV>
                <wp:extent cx="1828800" cy="8890"/>
                <wp:effectExtent l="0" t="0" r="0" b="0"/>
                <wp:wrapTopAndBottom/>
                <wp:docPr id="836" name="docshape2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65D82D" id="docshape298" o:spid="_x0000_s1026" alt="&quot;&quot;" style="position:absolute;margin-left:70.8pt;margin-top:14.7pt;width:2in;height:.7pt;z-index:-15591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" fillcolor="black" stroked="f">
                <w10:wrap type="topAndBottom" anchorx="page"/>
              </v:rect>
            </w:pict>
          </mc:Fallback>
        </mc:AlternateContent>
      </w:r>
    </w:p>
    <w:p w14:paraId="08043E92" w14:textId="77777777" w:rsidR="00BD462C" w:rsidRDefault="00033D0F">
      <w:pPr>
        <w:spacing w:before="112"/>
        <w:ind w:left="135"/>
        <w:rPr>
          <w:sz w:val="18"/>
        </w:rPr>
      </w:pPr>
      <w:bookmarkStart w:id="659" w:name="_bookmark567"/>
      <w:bookmarkEnd w:id="659"/>
      <w:r>
        <w:rPr>
          <w:position w:val="5"/>
          <w:sz w:val="12"/>
        </w:rPr>
        <w:t>471</w:t>
      </w:r>
      <w:r>
        <w:rPr>
          <w:spacing w:val="12"/>
          <w:position w:val="5"/>
          <w:sz w:val="12"/>
        </w:rPr>
        <w:t xml:space="preserve"> </w:t>
      </w:r>
      <w:r>
        <w:rPr>
          <w:sz w:val="18"/>
        </w:rPr>
        <w:t>Anti-Dumping</w:t>
      </w:r>
      <w:r>
        <w:rPr>
          <w:spacing w:val="-6"/>
          <w:sz w:val="18"/>
        </w:rPr>
        <w:t xml:space="preserve"> </w:t>
      </w:r>
      <w:r>
        <w:rPr>
          <w:sz w:val="18"/>
        </w:rPr>
        <w:t>Final</w:t>
      </w:r>
      <w:r>
        <w:rPr>
          <w:spacing w:val="-1"/>
          <w:sz w:val="18"/>
        </w:rPr>
        <w:t xml:space="preserve"> </w:t>
      </w:r>
      <w:r>
        <w:rPr>
          <w:sz w:val="18"/>
        </w:rPr>
        <w:t>Determination</w:t>
      </w:r>
      <w:r>
        <w:rPr>
          <w:spacing w:val="-7"/>
          <w:sz w:val="18"/>
        </w:rPr>
        <w:t xml:space="preserve"> </w:t>
      </w:r>
      <w:r>
        <w:rPr>
          <w:sz w:val="18"/>
        </w:rPr>
        <w:t>(Exhibit</w:t>
      </w:r>
      <w:r>
        <w:rPr>
          <w:spacing w:val="-1"/>
          <w:sz w:val="18"/>
        </w:rPr>
        <w:t xml:space="preserve"> </w:t>
      </w:r>
      <w:r>
        <w:rPr>
          <w:sz w:val="18"/>
        </w:rPr>
        <w:t>AUS-2),</w:t>
      </w:r>
      <w:r>
        <w:rPr>
          <w:spacing w:val="-4"/>
          <w:sz w:val="18"/>
        </w:rPr>
        <w:t xml:space="preserve"> </w:t>
      </w:r>
      <w:r>
        <w:rPr>
          <w:sz w:val="18"/>
        </w:rPr>
        <w:t>p.</w:t>
      </w:r>
      <w:r>
        <w:rPr>
          <w:spacing w:val="-5"/>
          <w:sz w:val="18"/>
        </w:rPr>
        <w:t xml:space="preserve"> 91.</w:t>
      </w:r>
    </w:p>
    <w:p w14:paraId="25E10BFC" w14:textId="77777777" w:rsidR="00BD462C" w:rsidRDefault="00033D0F">
      <w:pPr>
        <w:spacing w:before="1"/>
        <w:ind w:left="135"/>
        <w:rPr>
          <w:sz w:val="18"/>
        </w:rPr>
      </w:pPr>
      <w:bookmarkStart w:id="660" w:name="_bookmark568"/>
      <w:bookmarkEnd w:id="660"/>
      <w:r>
        <w:rPr>
          <w:position w:val="5"/>
          <w:sz w:val="12"/>
        </w:rPr>
        <w:t>472</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 xml:space="preserve">submission, para. </w:t>
      </w:r>
      <w:r>
        <w:rPr>
          <w:spacing w:val="-4"/>
          <w:sz w:val="18"/>
        </w:rPr>
        <w:t>766.</w:t>
      </w:r>
    </w:p>
    <w:p w14:paraId="45957BB5" w14:textId="77777777" w:rsidR="00BD462C" w:rsidRDefault="00033D0F">
      <w:pPr>
        <w:spacing w:before="1"/>
        <w:ind w:left="135"/>
        <w:rPr>
          <w:sz w:val="18"/>
        </w:rPr>
      </w:pPr>
      <w:bookmarkStart w:id="661" w:name="_bookmark569"/>
      <w:bookmarkEnd w:id="661"/>
      <w:r>
        <w:rPr>
          <w:position w:val="5"/>
          <w:sz w:val="12"/>
        </w:rPr>
        <w:t>473</w:t>
      </w:r>
      <w:r>
        <w:rPr>
          <w:spacing w:val="16"/>
          <w:position w:val="5"/>
          <w:sz w:val="12"/>
        </w:rPr>
        <w:t xml:space="preserve"> </w:t>
      </w:r>
      <w:r>
        <w:rPr>
          <w:sz w:val="18"/>
        </w:rPr>
        <w:t>See</w:t>
      </w:r>
      <w:r>
        <w:rPr>
          <w:spacing w:val="-2"/>
          <w:sz w:val="18"/>
        </w:rPr>
        <w:t xml:space="preserve"> </w:t>
      </w:r>
      <w:r>
        <w:rPr>
          <w:sz w:val="18"/>
        </w:rPr>
        <w:t>above</w:t>
      </w:r>
      <w:r>
        <w:rPr>
          <w:spacing w:val="-3"/>
          <w:sz w:val="18"/>
        </w:rPr>
        <w:t xml:space="preserve"> </w:t>
      </w:r>
      <w:r>
        <w:rPr>
          <w:sz w:val="18"/>
        </w:rPr>
        <w:t>section</w:t>
      </w:r>
      <w:r>
        <w:rPr>
          <w:spacing w:val="-3"/>
          <w:sz w:val="18"/>
        </w:rPr>
        <w:t xml:space="preserve"> </w:t>
      </w:r>
      <w:hyperlink w:anchor="_bookmark126" w:history="1">
        <w:r>
          <w:rPr>
            <w:spacing w:val="-2"/>
            <w:sz w:val="18"/>
          </w:rPr>
          <w:t>III.B.</w:t>
        </w:r>
      </w:hyperlink>
    </w:p>
    <w:p w14:paraId="12B7B00D" w14:textId="77777777" w:rsidR="00BD462C" w:rsidRDefault="00033D0F">
      <w:pPr>
        <w:spacing w:before="1"/>
        <w:ind w:left="135"/>
        <w:rPr>
          <w:sz w:val="18"/>
        </w:rPr>
      </w:pPr>
      <w:bookmarkStart w:id="662" w:name="_bookmark570"/>
      <w:bookmarkEnd w:id="662"/>
      <w:r>
        <w:rPr>
          <w:position w:val="5"/>
          <w:sz w:val="12"/>
        </w:rPr>
        <w:t>474</w:t>
      </w:r>
      <w:r>
        <w:rPr>
          <w:spacing w:val="11"/>
          <w:position w:val="5"/>
          <w:sz w:val="12"/>
        </w:rPr>
        <w:t xml:space="preserve"> </w:t>
      </w:r>
      <w:r>
        <w:rPr>
          <w:sz w:val="18"/>
        </w:rPr>
        <w:t>Anti-Dumping</w:t>
      </w:r>
      <w:r>
        <w:rPr>
          <w:spacing w:val="-7"/>
          <w:sz w:val="18"/>
        </w:rPr>
        <w:t xml:space="preserve"> </w:t>
      </w:r>
      <w:r>
        <w:rPr>
          <w:sz w:val="18"/>
        </w:rPr>
        <w:t>Final</w:t>
      </w:r>
      <w:r>
        <w:rPr>
          <w:spacing w:val="-3"/>
          <w:sz w:val="18"/>
        </w:rPr>
        <w:t xml:space="preserve"> </w:t>
      </w:r>
      <w:r>
        <w:rPr>
          <w:sz w:val="18"/>
        </w:rPr>
        <w:t>Determination</w:t>
      </w:r>
      <w:r>
        <w:rPr>
          <w:spacing w:val="-8"/>
          <w:sz w:val="18"/>
        </w:rPr>
        <w:t xml:space="preserve"> </w:t>
      </w:r>
      <w:r>
        <w:rPr>
          <w:sz w:val="18"/>
        </w:rPr>
        <w:t>(Exhibit</w:t>
      </w:r>
      <w:r>
        <w:rPr>
          <w:spacing w:val="-2"/>
          <w:sz w:val="18"/>
        </w:rPr>
        <w:t xml:space="preserve"> </w:t>
      </w:r>
      <w:r>
        <w:rPr>
          <w:sz w:val="18"/>
        </w:rPr>
        <w:t>AUS-2),</w:t>
      </w:r>
      <w:r>
        <w:rPr>
          <w:spacing w:val="-6"/>
          <w:sz w:val="18"/>
        </w:rPr>
        <w:t xml:space="preserve"> </w:t>
      </w:r>
      <w:r>
        <w:rPr>
          <w:sz w:val="18"/>
        </w:rPr>
        <w:t>pp.</w:t>
      </w:r>
      <w:r>
        <w:rPr>
          <w:spacing w:val="-1"/>
          <w:sz w:val="18"/>
        </w:rPr>
        <w:t xml:space="preserve"> </w:t>
      </w:r>
      <w:r>
        <w:rPr>
          <w:sz w:val="18"/>
        </w:rPr>
        <w:t>90-</w:t>
      </w:r>
      <w:r>
        <w:rPr>
          <w:spacing w:val="-5"/>
          <w:sz w:val="18"/>
        </w:rPr>
        <w:t>91.</w:t>
      </w:r>
    </w:p>
    <w:p w14:paraId="2BE9A410" w14:textId="77777777" w:rsidR="00BD462C" w:rsidRDefault="00BD462C">
      <w:pPr>
        <w:rPr>
          <w:sz w:val="18"/>
        </w:rPr>
        <w:sectPr w:rsidR="00BD462C">
          <w:pgSz w:w="11910" w:h="16840"/>
          <w:pgMar w:top="860" w:right="500" w:bottom="780" w:left="1280" w:header="566" w:footer="590" w:gutter="0"/>
          <w:cols w:space="720"/>
        </w:sectPr>
      </w:pPr>
    </w:p>
    <w:p w14:paraId="3D47BC46"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040EA7B2"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4143F81C"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67921699" w14:textId="77777777" w:rsidR="00BD462C" w:rsidRDefault="00033D0F">
      <w:pPr>
        <w:pStyle w:val="ListParagraph"/>
        <w:numPr>
          <w:ilvl w:val="1"/>
          <w:numId w:val="34"/>
        </w:numPr>
        <w:tabs>
          <w:tab w:val="left" w:pos="3539"/>
          <w:tab w:val="left" w:pos="3540"/>
        </w:tabs>
        <w:spacing w:before="102"/>
        <w:ind w:hanging="851"/>
        <w:rPr>
          <w:sz w:val="24"/>
        </w:rPr>
      </w:pPr>
      <w:bookmarkStart w:id="663" w:name="(c)_Cost_calculation_sheets"/>
      <w:bookmarkEnd w:id="663"/>
      <w:r>
        <w:rPr>
          <w:sz w:val="24"/>
          <w:u w:val="single"/>
        </w:rPr>
        <w:t>Cost</w:t>
      </w:r>
      <w:r>
        <w:rPr>
          <w:spacing w:val="-3"/>
          <w:sz w:val="24"/>
          <w:u w:val="single"/>
        </w:rPr>
        <w:t xml:space="preserve"> </w:t>
      </w:r>
      <w:r>
        <w:rPr>
          <w:sz w:val="24"/>
          <w:u w:val="single"/>
        </w:rPr>
        <w:t>calculation</w:t>
      </w:r>
      <w:r>
        <w:rPr>
          <w:spacing w:val="-4"/>
          <w:sz w:val="24"/>
          <w:u w:val="single"/>
        </w:rPr>
        <w:t xml:space="preserve"> </w:t>
      </w:r>
      <w:r>
        <w:rPr>
          <w:spacing w:val="-2"/>
          <w:sz w:val="24"/>
          <w:u w:val="single"/>
        </w:rPr>
        <w:t>sheets</w:t>
      </w:r>
    </w:p>
    <w:p w14:paraId="6A79CFE9" w14:textId="77777777" w:rsidR="00BD462C" w:rsidRDefault="00BD462C">
      <w:pPr>
        <w:pStyle w:val="BodyText"/>
        <w:spacing w:before="7"/>
        <w:rPr>
          <w:sz w:val="20"/>
        </w:rPr>
      </w:pPr>
    </w:p>
    <w:p w14:paraId="5E29FFCD" w14:textId="5175D934" w:rsidR="00BD462C" w:rsidRDefault="00033D0F" w:rsidP="00B472DD">
      <w:pPr>
        <w:pStyle w:val="BodyText"/>
        <w:numPr>
          <w:ilvl w:val="0"/>
          <w:numId w:val="71"/>
        </w:numPr>
        <w:spacing w:before="56" w:line="360" w:lineRule="auto"/>
        <w:ind w:right="913"/>
        <w:jc w:val="both"/>
      </w:pPr>
      <w:r>
        <w:rPr>
          <w:position w:val="1"/>
        </w:rPr>
        <w:t xml:space="preserve">China argues that the provision of cost sheets was "not the main reason" for </w:t>
      </w:r>
      <w:r>
        <w:t>MOFCOM's recourse to facts available.</w:t>
      </w:r>
      <w:hyperlink w:anchor="_bookmark571" w:history="1">
        <w:r>
          <w:rPr>
            <w:vertAlign w:val="superscript"/>
          </w:rPr>
          <w:t>475</w:t>
        </w:r>
      </w:hyperlink>
      <w:r>
        <w:t xml:space="preserve"> However, at no stage during the investigation did MOFCOM make any such finding. Moreover, Australia has established that Swan Vintage cooperated</w:t>
      </w:r>
      <w:r>
        <w:rPr>
          <w:spacing w:val="-9"/>
        </w:rPr>
        <w:t xml:space="preserve"> </w:t>
      </w:r>
      <w:r>
        <w:t>to</w:t>
      </w:r>
      <w:r>
        <w:rPr>
          <w:spacing w:val="-10"/>
        </w:rPr>
        <w:t xml:space="preserve"> </w:t>
      </w:r>
      <w:r>
        <w:t>the</w:t>
      </w:r>
      <w:r>
        <w:rPr>
          <w:spacing w:val="-7"/>
        </w:rPr>
        <w:t xml:space="preserve"> </w:t>
      </w:r>
      <w:r>
        <w:t>best</w:t>
      </w:r>
      <w:r>
        <w:rPr>
          <w:spacing w:val="-11"/>
        </w:rPr>
        <w:t xml:space="preserve"> </w:t>
      </w:r>
      <w:r>
        <w:t>of</w:t>
      </w:r>
      <w:r>
        <w:rPr>
          <w:spacing w:val="-9"/>
        </w:rPr>
        <w:t xml:space="preserve"> </w:t>
      </w:r>
      <w:r>
        <w:t>its</w:t>
      </w:r>
      <w:r>
        <w:rPr>
          <w:spacing w:val="-10"/>
        </w:rPr>
        <w:t xml:space="preserve"> </w:t>
      </w:r>
      <w:r>
        <w:t>ability</w:t>
      </w:r>
      <w:r>
        <w:rPr>
          <w:spacing w:val="-11"/>
        </w:rPr>
        <w:t xml:space="preserve"> </w:t>
      </w:r>
      <w:r>
        <w:t>providing</w:t>
      </w:r>
      <w:r>
        <w:rPr>
          <w:spacing w:val="-10"/>
        </w:rPr>
        <w:t xml:space="preserve"> </w:t>
      </w:r>
      <w:r>
        <w:t>multiple</w:t>
      </w:r>
      <w:r>
        <w:rPr>
          <w:spacing w:val="-12"/>
        </w:rPr>
        <w:t xml:space="preserve"> </w:t>
      </w:r>
      <w:r>
        <w:t>submissions</w:t>
      </w:r>
      <w:r>
        <w:rPr>
          <w:spacing w:val="-10"/>
        </w:rPr>
        <w:t xml:space="preserve"> </w:t>
      </w:r>
      <w:r>
        <w:t>explaining</w:t>
      </w:r>
      <w:r>
        <w:rPr>
          <w:spacing w:val="-10"/>
        </w:rPr>
        <w:t xml:space="preserve"> </w:t>
      </w:r>
      <w:r>
        <w:t>its</w:t>
      </w:r>
      <w:r>
        <w:rPr>
          <w:spacing w:val="-10"/>
        </w:rPr>
        <w:t xml:space="preserve"> </w:t>
      </w:r>
      <w:r>
        <w:t>situation</w:t>
      </w:r>
      <w:r>
        <w:rPr>
          <w:spacing w:val="-14"/>
        </w:rPr>
        <w:t xml:space="preserve"> </w:t>
      </w:r>
      <w:r>
        <w:t>and how MOFCOM could best use the evidence hit had provided, and provided verifiable, timely data</w:t>
      </w:r>
      <w:r>
        <w:rPr>
          <w:spacing w:val="-4"/>
        </w:rPr>
        <w:t xml:space="preserve"> </w:t>
      </w:r>
      <w:r>
        <w:t>in</w:t>
      </w:r>
      <w:r>
        <w:rPr>
          <w:spacing w:val="-4"/>
        </w:rPr>
        <w:t xml:space="preserve"> </w:t>
      </w:r>
      <w:r>
        <w:t>a</w:t>
      </w:r>
      <w:r>
        <w:rPr>
          <w:spacing w:val="-4"/>
        </w:rPr>
        <w:t xml:space="preserve"> </w:t>
      </w:r>
      <w:r>
        <w:t>format</w:t>
      </w:r>
      <w:r>
        <w:rPr>
          <w:spacing w:val="-3"/>
        </w:rPr>
        <w:t xml:space="preserve"> </w:t>
      </w:r>
      <w:r>
        <w:t>that</w:t>
      </w:r>
      <w:r>
        <w:rPr>
          <w:spacing w:val="-3"/>
        </w:rPr>
        <w:t xml:space="preserve"> </w:t>
      </w:r>
      <w:r>
        <w:t>could</w:t>
      </w:r>
      <w:r>
        <w:rPr>
          <w:spacing w:val="-4"/>
        </w:rPr>
        <w:t xml:space="preserve"> </w:t>
      </w:r>
      <w:r>
        <w:t>not</w:t>
      </w:r>
      <w:r>
        <w:rPr>
          <w:spacing w:val="-3"/>
        </w:rPr>
        <w:t xml:space="preserve"> </w:t>
      </w:r>
      <w:r>
        <w:t>cause</w:t>
      </w:r>
      <w:r>
        <w:rPr>
          <w:spacing w:val="-3"/>
        </w:rPr>
        <w:t xml:space="preserve"> </w:t>
      </w:r>
      <w:r>
        <w:t>undue</w:t>
      </w:r>
      <w:r>
        <w:rPr>
          <w:spacing w:val="-4"/>
        </w:rPr>
        <w:t xml:space="preserve"> </w:t>
      </w:r>
      <w:r>
        <w:t>difficulties.</w:t>
      </w:r>
      <w:r>
        <w:rPr>
          <w:spacing w:val="-2"/>
        </w:rPr>
        <w:t xml:space="preserve"> </w:t>
      </w:r>
      <w:r>
        <w:t>In</w:t>
      </w:r>
      <w:r>
        <w:rPr>
          <w:spacing w:val="-4"/>
        </w:rPr>
        <w:t xml:space="preserve"> </w:t>
      </w:r>
      <w:r>
        <w:t>spite</w:t>
      </w:r>
      <w:r>
        <w:rPr>
          <w:spacing w:val="-3"/>
        </w:rPr>
        <w:t xml:space="preserve"> </w:t>
      </w:r>
      <w:r>
        <w:t>of</w:t>
      </w:r>
      <w:r>
        <w:rPr>
          <w:spacing w:val="-4"/>
        </w:rPr>
        <w:t xml:space="preserve"> </w:t>
      </w:r>
      <w:r>
        <w:t>this,</w:t>
      </w:r>
      <w:r>
        <w:rPr>
          <w:spacing w:val="-1"/>
        </w:rPr>
        <w:t xml:space="preserve"> </w:t>
      </w:r>
      <w:r>
        <w:t>neither</w:t>
      </w:r>
      <w:r>
        <w:rPr>
          <w:spacing w:val="-5"/>
        </w:rPr>
        <w:t xml:space="preserve"> </w:t>
      </w:r>
      <w:r>
        <w:t>MOFCOM</w:t>
      </w:r>
      <w:r>
        <w:rPr>
          <w:spacing w:val="-3"/>
        </w:rPr>
        <w:t xml:space="preserve"> </w:t>
      </w:r>
      <w:r>
        <w:t>nor China</w:t>
      </w:r>
      <w:r>
        <w:rPr>
          <w:spacing w:val="-7"/>
        </w:rPr>
        <w:t xml:space="preserve"> </w:t>
      </w:r>
      <w:r>
        <w:t>has</w:t>
      </w:r>
      <w:r>
        <w:rPr>
          <w:spacing w:val="-5"/>
        </w:rPr>
        <w:t xml:space="preserve"> </w:t>
      </w:r>
      <w:r>
        <w:t>engaged</w:t>
      </w:r>
      <w:r>
        <w:rPr>
          <w:spacing w:val="-8"/>
        </w:rPr>
        <w:t xml:space="preserve"> </w:t>
      </w:r>
      <w:r>
        <w:t>with</w:t>
      </w:r>
      <w:r>
        <w:rPr>
          <w:spacing w:val="-8"/>
        </w:rPr>
        <w:t xml:space="preserve"> </w:t>
      </w:r>
      <w:r>
        <w:t>Swan</w:t>
      </w:r>
      <w:r>
        <w:rPr>
          <w:spacing w:val="-8"/>
        </w:rPr>
        <w:t xml:space="preserve"> </w:t>
      </w:r>
      <w:r>
        <w:t>Vintage's</w:t>
      </w:r>
      <w:r>
        <w:rPr>
          <w:spacing w:val="-5"/>
        </w:rPr>
        <w:t xml:space="preserve"> </w:t>
      </w:r>
      <w:r>
        <w:t>explanations,</w:t>
      </w:r>
      <w:r>
        <w:rPr>
          <w:spacing w:val="-4"/>
        </w:rPr>
        <w:t xml:space="preserve"> </w:t>
      </w:r>
      <w:r>
        <w:t>including</w:t>
      </w:r>
      <w:r>
        <w:rPr>
          <w:spacing w:val="-5"/>
        </w:rPr>
        <w:t xml:space="preserve"> </w:t>
      </w:r>
      <w:r>
        <w:t>that</w:t>
      </w:r>
      <w:r>
        <w:rPr>
          <w:spacing w:val="-6"/>
        </w:rPr>
        <w:t xml:space="preserve"> </w:t>
      </w:r>
      <w:r>
        <w:t>the</w:t>
      </w:r>
      <w:r>
        <w:rPr>
          <w:spacing w:val="-6"/>
        </w:rPr>
        <w:t xml:space="preserve"> </w:t>
      </w:r>
      <w:r>
        <w:t>data</w:t>
      </w:r>
      <w:r>
        <w:rPr>
          <w:spacing w:val="-7"/>
        </w:rPr>
        <w:t xml:space="preserve"> </w:t>
      </w:r>
      <w:r>
        <w:t>in</w:t>
      </w:r>
      <w:r>
        <w:rPr>
          <w:spacing w:val="-8"/>
        </w:rPr>
        <w:t xml:space="preserve"> </w:t>
      </w:r>
      <w:r>
        <w:t>its</w:t>
      </w:r>
      <w:r>
        <w:rPr>
          <w:spacing w:val="-5"/>
        </w:rPr>
        <w:t xml:space="preserve"> </w:t>
      </w:r>
      <w:r>
        <w:t>cost</w:t>
      </w:r>
      <w:r>
        <w:rPr>
          <w:spacing w:val="-6"/>
        </w:rPr>
        <w:t xml:space="preserve"> </w:t>
      </w:r>
      <w:r>
        <w:t>sheets was</w:t>
      </w:r>
      <w:r>
        <w:rPr>
          <w:spacing w:val="-13"/>
        </w:rPr>
        <w:t xml:space="preserve"> </w:t>
      </w:r>
      <w:r>
        <w:t>not</w:t>
      </w:r>
      <w:r>
        <w:rPr>
          <w:spacing w:val="-11"/>
        </w:rPr>
        <w:t xml:space="preserve"> </w:t>
      </w:r>
      <w:r>
        <w:t>necessary</w:t>
      </w:r>
      <w:r>
        <w:rPr>
          <w:spacing w:val="-12"/>
        </w:rPr>
        <w:t xml:space="preserve"> </w:t>
      </w:r>
      <w:r>
        <w:t>given</w:t>
      </w:r>
      <w:r>
        <w:rPr>
          <w:spacing w:val="-14"/>
        </w:rPr>
        <w:t xml:space="preserve"> </w:t>
      </w:r>
      <w:r>
        <w:t>the</w:t>
      </w:r>
      <w:r>
        <w:rPr>
          <w:spacing w:val="-12"/>
        </w:rPr>
        <w:t xml:space="preserve"> </w:t>
      </w:r>
      <w:r>
        <w:t>cost</w:t>
      </w:r>
      <w:r>
        <w:rPr>
          <w:spacing w:val="-12"/>
        </w:rPr>
        <w:t xml:space="preserve"> </w:t>
      </w:r>
      <w:r>
        <w:t>data</w:t>
      </w:r>
      <w:r>
        <w:rPr>
          <w:spacing w:val="-13"/>
        </w:rPr>
        <w:t xml:space="preserve"> </w:t>
      </w:r>
      <w:r>
        <w:t>submitted</w:t>
      </w:r>
      <w:r>
        <w:rPr>
          <w:spacing w:val="-14"/>
        </w:rPr>
        <w:t xml:space="preserve"> </w:t>
      </w:r>
      <w:r>
        <w:t>was</w:t>
      </w:r>
      <w:r>
        <w:rPr>
          <w:spacing w:val="-10"/>
        </w:rPr>
        <w:t xml:space="preserve"> </w:t>
      </w:r>
      <w:r>
        <w:t>verifiable</w:t>
      </w:r>
      <w:r>
        <w:rPr>
          <w:spacing w:val="-13"/>
        </w:rPr>
        <w:t xml:space="preserve"> </w:t>
      </w:r>
      <w:r>
        <w:t>by</w:t>
      </w:r>
      <w:r>
        <w:rPr>
          <w:spacing w:val="-12"/>
        </w:rPr>
        <w:t xml:space="preserve"> </w:t>
      </w:r>
      <w:r>
        <w:t>reference</w:t>
      </w:r>
      <w:r>
        <w:rPr>
          <w:spacing w:val="-13"/>
        </w:rPr>
        <w:t xml:space="preserve"> </w:t>
      </w:r>
      <w:r>
        <w:t>to</w:t>
      </w:r>
      <w:r>
        <w:rPr>
          <w:spacing w:val="-14"/>
        </w:rPr>
        <w:t xml:space="preserve"> </w:t>
      </w:r>
      <w:r>
        <w:t>Swan</w:t>
      </w:r>
      <w:r>
        <w:rPr>
          <w:spacing w:val="-13"/>
        </w:rPr>
        <w:t xml:space="preserve"> </w:t>
      </w:r>
      <w:r>
        <w:t>Vintage's accounting system.</w:t>
      </w:r>
    </w:p>
    <w:p w14:paraId="0C47335E" w14:textId="77777777" w:rsidR="00BD462C" w:rsidRDefault="00BD462C">
      <w:pPr>
        <w:pStyle w:val="BodyText"/>
        <w:spacing w:before="9"/>
        <w:rPr>
          <w:sz w:val="8"/>
        </w:rPr>
      </w:pPr>
    </w:p>
    <w:p w14:paraId="228A5319" w14:textId="597AA88C" w:rsidR="00BD462C" w:rsidRDefault="00033D0F" w:rsidP="00B472DD">
      <w:pPr>
        <w:pStyle w:val="BodyText"/>
        <w:numPr>
          <w:ilvl w:val="0"/>
          <w:numId w:val="71"/>
        </w:numPr>
        <w:spacing w:before="57" w:line="357" w:lineRule="auto"/>
        <w:ind w:right="920"/>
        <w:jc w:val="both"/>
      </w:pPr>
      <w:r>
        <w:rPr>
          <w:position w:val="1"/>
        </w:rPr>
        <w:t>China's</w:t>
      </w:r>
      <w:r>
        <w:rPr>
          <w:spacing w:val="-2"/>
          <w:position w:val="1"/>
        </w:rPr>
        <w:t xml:space="preserve"> </w:t>
      </w:r>
      <w:r>
        <w:rPr>
          <w:position w:val="1"/>
        </w:rPr>
        <w:t>argument</w:t>
      </w:r>
      <w:r>
        <w:rPr>
          <w:spacing w:val="-3"/>
          <w:position w:val="1"/>
        </w:rPr>
        <w:t xml:space="preserve"> </w:t>
      </w:r>
      <w:r>
        <w:rPr>
          <w:position w:val="1"/>
        </w:rPr>
        <w:t>in</w:t>
      </w:r>
      <w:r>
        <w:rPr>
          <w:spacing w:val="-5"/>
          <w:position w:val="1"/>
        </w:rPr>
        <w:t xml:space="preserve"> </w:t>
      </w:r>
      <w:r>
        <w:rPr>
          <w:position w:val="1"/>
        </w:rPr>
        <w:t>this</w:t>
      </w:r>
      <w:r>
        <w:rPr>
          <w:spacing w:val="-2"/>
          <w:position w:val="1"/>
        </w:rPr>
        <w:t xml:space="preserve"> </w:t>
      </w:r>
      <w:r>
        <w:rPr>
          <w:position w:val="1"/>
        </w:rPr>
        <w:t>regard</w:t>
      </w:r>
      <w:r>
        <w:rPr>
          <w:spacing w:val="-5"/>
          <w:position w:val="1"/>
        </w:rPr>
        <w:t xml:space="preserve"> </w:t>
      </w:r>
      <w:r>
        <w:rPr>
          <w:position w:val="1"/>
        </w:rPr>
        <w:t>is</w:t>
      </w:r>
      <w:r>
        <w:rPr>
          <w:spacing w:val="-2"/>
          <w:position w:val="1"/>
        </w:rPr>
        <w:t xml:space="preserve"> </w:t>
      </w:r>
      <w:r>
        <w:rPr>
          <w:position w:val="1"/>
        </w:rPr>
        <w:t>merely</w:t>
      </w:r>
      <w:r>
        <w:rPr>
          <w:spacing w:val="-2"/>
          <w:position w:val="1"/>
        </w:rPr>
        <w:t xml:space="preserve"> </w:t>
      </w:r>
      <w:r>
        <w:rPr>
          <w:i/>
          <w:position w:val="1"/>
        </w:rPr>
        <w:t>ex</w:t>
      </w:r>
      <w:r>
        <w:rPr>
          <w:i/>
          <w:spacing w:val="-2"/>
          <w:position w:val="1"/>
        </w:rPr>
        <w:t xml:space="preserve"> </w:t>
      </w:r>
      <w:r>
        <w:rPr>
          <w:i/>
          <w:position w:val="1"/>
        </w:rPr>
        <w:t>post</w:t>
      </w:r>
      <w:r>
        <w:rPr>
          <w:i/>
          <w:spacing w:val="-3"/>
          <w:position w:val="1"/>
        </w:rPr>
        <w:t xml:space="preserve"> </w:t>
      </w:r>
      <w:r>
        <w:rPr>
          <w:i/>
          <w:position w:val="1"/>
        </w:rPr>
        <w:t>facto</w:t>
      </w:r>
      <w:r>
        <w:rPr>
          <w:i/>
          <w:spacing w:val="-2"/>
          <w:position w:val="1"/>
        </w:rPr>
        <w:t xml:space="preserve"> </w:t>
      </w:r>
      <w:proofErr w:type="spellStart"/>
      <w:r>
        <w:rPr>
          <w:position w:val="1"/>
        </w:rPr>
        <w:t>rationalisation</w:t>
      </w:r>
      <w:proofErr w:type="spellEnd"/>
      <w:r>
        <w:rPr>
          <w:spacing w:val="-5"/>
          <w:position w:val="1"/>
        </w:rPr>
        <w:t xml:space="preserve"> </w:t>
      </w:r>
      <w:r>
        <w:rPr>
          <w:position w:val="1"/>
        </w:rPr>
        <w:t>that</w:t>
      </w:r>
      <w:r>
        <w:rPr>
          <w:spacing w:val="-3"/>
          <w:position w:val="1"/>
        </w:rPr>
        <w:t xml:space="preserve"> </w:t>
      </w:r>
      <w:r>
        <w:rPr>
          <w:position w:val="1"/>
        </w:rPr>
        <w:t>cannot</w:t>
      </w:r>
      <w:r>
        <w:rPr>
          <w:spacing w:val="-3"/>
          <w:position w:val="1"/>
        </w:rPr>
        <w:t xml:space="preserve"> </w:t>
      </w:r>
      <w:r>
        <w:rPr>
          <w:position w:val="1"/>
        </w:rPr>
        <w:t xml:space="preserve">be </w:t>
      </w:r>
      <w:r>
        <w:t>of</w:t>
      </w:r>
      <w:r>
        <w:rPr>
          <w:spacing w:val="-14"/>
        </w:rPr>
        <w:t xml:space="preserve"> </w:t>
      </w:r>
      <w:r>
        <w:t>assistance</w:t>
      </w:r>
      <w:r>
        <w:rPr>
          <w:spacing w:val="-14"/>
        </w:rPr>
        <w:t xml:space="preserve"> </w:t>
      </w:r>
      <w:r>
        <w:t>to</w:t>
      </w:r>
      <w:r>
        <w:rPr>
          <w:spacing w:val="-13"/>
        </w:rPr>
        <w:t xml:space="preserve"> </w:t>
      </w:r>
      <w:r>
        <w:t>the</w:t>
      </w:r>
      <w:r>
        <w:rPr>
          <w:spacing w:val="-14"/>
        </w:rPr>
        <w:t xml:space="preserve"> </w:t>
      </w:r>
      <w:r>
        <w:t>Panel</w:t>
      </w:r>
      <w:r>
        <w:rPr>
          <w:spacing w:val="-13"/>
        </w:rPr>
        <w:t xml:space="preserve"> </w:t>
      </w:r>
      <w:r>
        <w:t>as</w:t>
      </w:r>
      <w:r>
        <w:rPr>
          <w:spacing w:val="-14"/>
        </w:rPr>
        <w:t xml:space="preserve"> </w:t>
      </w:r>
      <w:r>
        <w:t>they</w:t>
      </w:r>
      <w:r>
        <w:rPr>
          <w:spacing w:val="-7"/>
        </w:rPr>
        <w:t xml:space="preserve"> </w:t>
      </w:r>
      <w:r>
        <w:t>are</w:t>
      </w:r>
      <w:r>
        <w:rPr>
          <w:spacing w:val="-7"/>
        </w:rPr>
        <w:t xml:space="preserve"> </w:t>
      </w:r>
      <w:r>
        <w:t>not</w:t>
      </w:r>
      <w:r>
        <w:rPr>
          <w:spacing w:val="-7"/>
        </w:rPr>
        <w:t xml:space="preserve"> </w:t>
      </w:r>
      <w:r>
        <w:t>reflected</w:t>
      </w:r>
      <w:r>
        <w:rPr>
          <w:spacing w:val="-9"/>
        </w:rPr>
        <w:t xml:space="preserve"> </w:t>
      </w:r>
      <w:r>
        <w:t>in</w:t>
      </w:r>
      <w:r>
        <w:rPr>
          <w:spacing w:val="-14"/>
        </w:rPr>
        <w:t xml:space="preserve"> </w:t>
      </w:r>
      <w:r>
        <w:t>the</w:t>
      </w:r>
      <w:r>
        <w:rPr>
          <w:spacing w:val="-12"/>
        </w:rPr>
        <w:t xml:space="preserve"> </w:t>
      </w:r>
      <w:r>
        <w:t>record.</w:t>
      </w:r>
      <w:r>
        <w:rPr>
          <w:spacing w:val="-14"/>
        </w:rPr>
        <w:t xml:space="preserve"> </w:t>
      </w:r>
      <w:hyperlink w:anchor="_bookmark572" w:history="1">
        <w:r>
          <w:rPr>
            <w:vertAlign w:val="superscript"/>
          </w:rPr>
          <w:t>476</w:t>
        </w:r>
      </w:hyperlink>
      <w:r>
        <w:rPr>
          <w:spacing w:val="-11"/>
        </w:rPr>
        <w:t xml:space="preserve"> </w:t>
      </w:r>
      <w:r>
        <w:t>Beyond</w:t>
      </w:r>
      <w:r>
        <w:rPr>
          <w:spacing w:val="-14"/>
        </w:rPr>
        <w:t xml:space="preserve"> </w:t>
      </w:r>
      <w:r>
        <w:t>this,</w:t>
      </w:r>
      <w:r>
        <w:rPr>
          <w:spacing w:val="-10"/>
        </w:rPr>
        <w:t xml:space="preserve"> </w:t>
      </w:r>
      <w:r>
        <w:t>China</w:t>
      </w:r>
      <w:r>
        <w:rPr>
          <w:spacing w:val="-12"/>
        </w:rPr>
        <w:t xml:space="preserve"> </w:t>
      </w:r>
      <w:r>
        <w:t>has</w:t>
      </w:r>
      <w:r>
        <w:rPr>
          <w:spacing w:val="-10"/>
        </w:rPr>
        <w:t xml:space="preserve"> </w:t>
      </w:r>
      <w:r>
        <w:t>not engaged with Australia's claims and Australia persists in those claims.</w:t>
      </w:r>
    </w:p>
    <w:p w14:paraId="2FA2B788" w14:textId="77777777" w:rsidR="00BD462C" w:rsidRDefault="00033D0F">
      <w:pPr>
        <w:pStyle w:val="ListParagraph"/>
        <w:numPr>
          <w:ilvl w:val="1"/>
          <w:numId w:val="34"/>
        </w:numPr>
        <w:tabs>
          <w:tab w:val="left" w:pos="3539"/>
          <w:tab w:val="left" w:pos="3540"/>
        </w:tabs>
        <w:spacing w:before="164"/>
        <w:ind w:hanging="851"/>
        <w:jc w:val="both"/>
        <w:rPr>
          <w:sz w:val="24"/>
        </w:rPr>
      </w:pPr>
      <w:bookmarkStart w:id="664" w:name="(d)_Conclusion"/>
      <w:bookmarkEnd w:id="664"/>
      <w:r>
        <w:rPr>
          <w:spacing w:val="-2"/>
          <w:sz w:val="24"/>
          <w:u w:val="single"/>
        </w:rPr>
        <w:t>Conclusion</w:t>
      </w:r>
    </w:p>
    <w:p w14:paraId="1067A0E5" w14:textId="77777777" w:rsidR="00BD462C" w:rsidRDefault="00BD462C">
      <w:pPr>
        <w:pStyle w:val="BodyText"/>
        <w:spacing w:before="11"/>
        <w:rPr>
          <w:sz w:val="20"/>
        </w:rPr>
      </w:pPr>
    </w:p>
    <w:p w14:paraId="7294256A" w14:textId="18F1280D" w:rsidR="00BD462C" w:rsidRDefault="00033D0F" w:rsidP="00B472DD">
      <w:pPr>
        <w:pStyle w:val="BodyText"/>
        <w:numPr>
          <w:ilvl w:val="0"/>
          <w:numId w:val="71"/>
        </w:numPr>
        <w:spacing w:before="56" w:line="360" w:lineRule="auto"/>
        <w:ind w:right="911"/>
        <w:jc w:val="both"/>
      </w:pPr>
      <w:r>
        <w:rPr>
          <w:position w:val="1"/>
        </w:rPr>
        <w:t xml:space="preserve">As set out above, China has failed to rebut Australia's argument that there was no </w:t>
      </w:r>
      <w:r>
        <w:t>necessary</w:t>
      </w:r>
      <w:r>
        <w:rPr>
          <w:spacing w:val="-12"/>
        </w:rPr>
        <w:t xml:space="preserve"> </w:t>
      </w:r>
      <w:r>
        <w:t>information</w:t>
      </w:r>
      <w:r>
        <w:rPr>
          <w:spacing w:val="-14"/>
        </w:rPr>
        <w:t xml:space="preserve"> </w:t>
      </w:r>
      <w:r>
        <w:t>missing</w:t>
      </w:r>
      <w:r>
        <w:rPr>
          <w:spacing w:val="-10"/>
        </w:rPr>
        <w:t xml:space="preserve"> </w:t>
      </w:r>
      <w:r>
        <w:t>from</w:t>
      </w:r>
      <w:r>
        <w:rPr>
          <w:spacing w:val="-8"/>
        </w:rPr>
        <w:t xml:space="preserve"> </w:t>
      </w:r>
      <w:r>
        <w:t>the</w:t>
      </w:r>
      <w:r>
        <w:rPr>
          <w:spacing w:val="-8"/>
        </w:rPr>
        <w:t xml:space="preserve"> </w:t>
      </w:r>
      <w:r>
        <w:t>record.</w:t>
      </w:r>
      <w:r>
        <w:rPr>
          <w:spacing w:val="-7"/>
        </w:rPr>
        <w:t xml:space="preserve"> </w:t>
      </w:r>
      <w:r>
        <w:t>The</w:t>
      </w:r>
      <w:r>
        <w:rPr>
          <w:spacing w:val="-13"/>
        </w:rPr>
        <w:t xml:space="preserve"> </w:t>
      </w:r>
      <w:r>
        <w:t>cost</w:t>
      </w:r>
      <w:r>
        <w:rPr>
          <w:spacing w:val="-8"/>
        </w:rPr>
        <w:t xml:space="preserve"> </w:t>
      </w:r>
      <w:r>
        <w:t>of</w:t>
      </w:r>
      <w:r>
        <w:rPr>
          <w:spacing w:val="-10"/>
        </w:rPr>
        <w:t xml:space="preserve"> </w:t>
      </w:r>
      <w:r>
        <w:t>production</w:t>
      </w:r>
      <w:r>
        <w:rPr>
          <w:spacing w:val="-10"/>
        </w:rPr>
        <w:t xml:space="preserve"> </w:t>
      </w:r>
      <w:r>
        <w:t>data</w:t>
      </w:r>
      <w:r>
        <w:rPr>
          <w:spacing w:val="-9"/>
        </w:rPr>
        <w:t xml:space="preserve"> </w:t>
      </w:r>
      <w:r>
        <w:t>provided</w:t>
      </w:r>
      <w:r>
        <w:rPr>
          <w:spacing w:val="-14"/>
        </w:rPr>
        <w:t xml:space="preserve"> </w:t>
      </w:r>
      <w:r>
        <w:t>by</w:t>
      </w:r>
      <w:r>
        <w:rPr>
          <w:spacing w:val="-6"/>
        </w:rPr>
        <w:t xml:space="preserve"> </w:t>
      </w:r>
      <w:r>
        <w:t>Swan Vintage</w:t>
      </w:r>
      <w:r>
        <w:rPr>
          <w:spacing w:val="-6"/>
        </w:rPr>
        <w:t xml:space="preserve"> </w:t>
      </w:r>
      <w:r>
        <w:t>was</w:t>
      </w:r>
      <w:r>
        <w:rPr>
          <w:spacing w:val="-4"/>
        </w:rPr>
        <w:t xml:space="preserve"> </w:t>
      </w:r>
      <w:r>
        <w:t>timely,</w:t>
      </w:r>
      <w:r>
        <w:rPr>
          <w:spacing w:val="-3"/>
        </w:rPr>
        <w:t xml:space="preserve"> </w:t>
      </w:r>
      <w:proofErr w:type="gramStart"/>
      <w:r>
        <w:t>verifiable</w:t>
      </w:r>
      <w:proofErr w:type="gramEnd"/>
      <w:r>
        <w:rPr>
          <w:spacing w:val="-6"/>
        </w:rPr>
        <w:t xml:space="preserve"> </w:t>
      </w:r>
      <w:r>
        <w:t>and</w:t>
      </w:r>
      <w:r>
        <w:rPr>
          <w:spacing w:val="-8"/>
        </w:rPr>
        <w:t xml:space="preserve"> </w:t>
      </w:r>
      <w:r>
        <w:t>provided</w:t>
      </w:r>
      <w:r>
        <w:rPr>
          <w:spacing w:val="-8"/>
        </w:rPr>
        <w:t xml:space="preserve"> </w:t>
      </w:r>
      <w:r>
        <w:t>in</w:t>
      </w:r>
      <w:r>
        <w:rPr>
          <w:spacing w:val="-2"/>
        </w:rPr>
        <w:t xml:space="preserve"> </w:t>
      </w:r>
      <w:r>
        <w:t>a</w:t>
      </w:r>
      <w:r>
        <w:rPr>
          <w:spacing w:val="-1"/>
        </w:rPr>
        <w:t xml:space="preserve"> </w:t>
      </w:r>
      <w:r>
        <w:t>format</w:t>
      </w:r>
      <w:r>
        <w:rPr>
          <w:spacing w:val="-6"/>
        </w:rPr>
        <w:t xml:space="preserve"> </w:t>
      </w:r>
      <w:r>
        <w:t>that</w:t>
      </w:r>
      <w:r>
        <w:rPr>
          <w:spacing w:val="-6"/>
        </w:rPr>
        <w:t xml:space="preserve"> </w:t>
      </w:r>
      <w:r>
        <w:t>would</w:t>
      </w:r>
      <w:r>
        <w:rPr>
          <w:spacing w:val="-8"/>
        </w:rPr>
        <w:t xml:space="preserve"> </w:t>
      </w:r>
      <w:r>
        <w:t>not</w:t>
      </w:r>
      <w:r>
        <w:rPr>
          <w:spacing w:val="-6"/>
        </w:rPr>
        <w:t xml:space="preserve"> </w:t>
      </w:r>
      <w:r>
        <w:t>cause</w:t>
      </w:r>
      <w:r>
        <w:rPr>
          <w:spacing w:val="-6"/>
        </w:rPr>
        <w:t xml:space="preserve"> </w:t>
      </w:r>
      <w:r>
        <w:t>undue</w:t>
      </w:r>
      <w:r>
        <w:rPr>
          <w:spacing w:val="-1"/>
        </w:rPr>
        <w:t xml:space="preserve"> </w:t>
      </w:r>
      <w:r>
        <w:t>difficulty. To the extent that it did not conform to MOFCOM's requested form, Swan Vintage provided detailed</w:t>
      </w:r>
      <w:r>
        <w:rPr>
          <w:spacing w:val="-11"/>
        </w:rPr>
        <w:t xml:space="preserve"> </w:t>
      </w:r>
      <w:r>
        <w:t>explanations</w:t>
      </w:r>
      <w:r>
        <w:rPr>
          <w:spacing w:val="-8"/>
        </w:rPr>
        <w:t xml:space="preserve"> </w:t>
      </w:r>
      <w:r>
        <w:t>and</w:t>
      </w:r>
      <w:r>
        <w:rPr>
          <w:spacing w:val="-11"/>
        </w:rPr>
        <w:t xml:space="preserve"> </w:t>
      </w:r>
      <w:r>
        <w:t>made</w:t>
      </w:r>
      <w:r>
        <w:rPr>
          <w:spacing w:val="-9"/>
        </w:rPr>
        <w:t xml:space="preserve"> </w:t>
      </w:r>
      <w:r>
        <w:t>every</w:t>
      </w:r>
      <w:r>
        <w:rPr>
          <w:spacing w:val="-8"/>
        </w:rPr>
        <w:t xml:space="preserve"> </w:t>
      </w:r>
      <w:r>
        <w:t>effort</w:t>
      </w:r>
      <w:r>
        <w:rPr>
          <w:spacing w:val="-9"/>
        </w:rPr>
        <w:t xml:space="preserve"> </w:t>
      </w:r>
      <w:r>
        <w:t>to</w:t>
      </w:r>
      <w:r>
        <w:rPr>
          <w:spacing w:val="-12"/>
        </w:rPr>
        <w:t xml:space="preserve"> </w:t>
      </w:r>
      <w:r>
        <w:t>assist</w:t>
      </w:r>
      <w:r>
        <w:rPr>
          <w:spacing w:val="-9"/>
        </w:rPr>
        <w:t xml:space="preserve"> </w:t>
      </w:r>
      <w:r>
        <w:t>MOFCOM.</w:t>
      </w:r>
      <w:r>
        <w:rPr>
          <w:spacing w:val="-8"/>
        </w:rPr>
        <w:t xml:space="preserve"> </w:t>
      </w:r>
      <w:r>
        <w:t>However,</w:t>
      </w:r>
      <w:r>
        <w:rPr>
          <w:spacing w:val="-7"/>
        </w:rPr>
        <w:t xml:space="preserve"> </w:t>
      </w:r>
      <w:r>
        <w:t>as</w:t>
      </w:r>
      <w:r>
        <w:rPr>
          <w:spacing w:val="-8"/>
        </w:rPr>
        <w:t xml:space="preserve"> </w:t>
      </w:r>
      <w:r>
        <w:t>MOFCOM</w:t>
      </w:r>
      <w:r>
        <w:rPr>
          <w:spacing w:val="-8"/>
        </w:rPr>
        <w:t xml:space="preserve"> </w:t>
      </w:r>
      <w:r>
        <w:t>never explained</w:t>
      </w:r>
      <w:r>
        <w:rPr>
          <w:spacing w:val="-14"/>
        </w:rPr>
        <w:t xml:space="preserve"> </w:t>
      </w:r>
      <w:r>
        <w:t>its</w:t>
      </w:r>
      <w:r>
        <w:rPr>
          <w:spacing w:val="-14"/>
        </w:rPr>
        <w:t xml:space="preserve"> </w:t>
      </w:r>
      <w:r>
        <w:t>reasoning</w:t>
      </w:r>
      <w:r>
        <w:rPr>
          <w:spacing w:val="-13"/>
        </w:rPr>
        <w:t xml:space="preserve"> </w:t>
      </w:r>
      <w:r>
        <w:t>behind</w:t>
      </w:r>
      <w:r>
        <w:rPr>
          <w:spacing w:val="-14"/>
        </w:rPr>
        <w:t xml:space="preserve"> </w:t>
      </w:r>
      <w:r>
        <w:t>the</w:t>
      </w:r>
      <w:r>
        <w:rPr>
          <w:spacing w:val="-13"/>
        </w:rPr>
        <w:t xml:space="preserve"> </w:t>
      </w:r>
      <w:r>
        <w:t>rejection</w:t>
      </w:r>
      <w:r>
        <w:rPr>
          <w:spacing w:val="-14"/>
        </w:rPr>
        <w:t xml:space="preserve"> </w:t>
      </w:r>
      <w:r>
        <w:t>of</w:t>
      </w:r>
      <w:r>
        <w:rPr>
          <w:spacing w:val="-13"/>
        </w:rPr>
        <w:t xml:space="preserve"> </w:t>
      </w:r>
      <w:r>
        <w:t>Swan</w:t>
      </w:r>
      <w:r>
        <w:rPr>
          <w:spacing w:val="-14"/>
        </w:rPr>
        <w:t xml:space="preserve"> </w:t>
      </w:r>
      <w:r>
        <w:t>Vintage's</w:t>
      </w:r>
      <w:r>
        <w:rPr>
          <w:spacing w:val="-14"/>
        </w:rPr>
        <w:t xml:space="preserve"> </w:t>
      </w:r>
      <w:r>
        <w:t>data,</w:t>
      </w:r>
      <w:r>
        <w:rPr>
          <w:spacing w:val="-13"/>
        </w:rPr>
        <w:t xml:space="preserve"> </w:t>
      </w:r>
      <w:r>
        <w:t>it</w:t>
      </w:r>
      <w:r>
        <w:rPr>
          <w:spacing w:val="-14"/>
        </w:rPr>
        <w:t xml:space="preserve"> </w:t>
      </w:r>
      <w:r>
        <w:t>prevented</w:t>
      </w:r>
      <w:r>
        <w:rPr>
          <w:spacing w:val="-13"/>
        </w:rPr>
        <w:t xml:space="preserve"> </w:t>
      </w:r>
      <w:r>
        <w:t>Swan</w:t>
      </w:r>
      <w:r>
        <w:rPr>
          <w:spacing w:val="-14"/>
        </w:rPr>
        <w:t xml:space="preserve"> </w:t>
      </w:r>
      <w:r>
        <w:t>Vintage from effectively addressing any alleged deficiencies.</w:t>
      </w:r>
    </w:p>
    <w:p w14:paraId="386C4480" w14:textId="77777777" w:rsidR="00BD462C" w:rsidRDefault="00BD462C">
      <w:pPr>
        <w:pStyle w:val="BodyText"/>
        <w:spacing w:before="6"/>
        <w:rPr>
          <w:sz w:val="8"/>
        </w:rPr>
      </w:pPr>
    </w:p>
    <w:p w14:paraId="2C8CB90B" w14:textId="5F68DFFA" w:rsidR="00BD462C" w:rsidRDefault="00033D0F" w:rsidP="00B472DD">
      <w:pPr>
        <w:pStyle w:val="BodyText"/>
        <w:numPr>
          <w:ilvl w:val="0"/>
          <w:numId w:val="71"/>
        </w:numPr>
        <w:spacing w:before="56" w:line="357" w:lineRule="auto"/>
        <w:ind w:right="912"/>
        <w:jc w:val="both"/>
      </w:pPr>
      <w:r>
        <w:rPr>
          <w:position w:val="1"/>
        </w:rPr>
        <w:t>For</w:t>
      </w:r>
      <w:r>
        <w:rPr>
          <w:spacing w:val="-5"/>
          <w:position w:val="1"/>
        </w:rPr>
        <w:t xml:space="preserve"> </w:t>
      </w:r>
      <w:r>
        <w:rPr>
          <w:position w:val="1"/>
        </w:rPr>
        <w:t>the</w:t>
      </w:r>
      <w:r>
        <w:rPr>
          <w:spacing w:val="-3"/>
          <w:position w:val="1"/>
        </w:rPr>
        <w:t xml:space="preserve"> </w:t>
      </w:r>
      <w:r>
        <w:rPr>
          <w:position w:val="1"/>
        </w:rPr>
        <w:t>reasons</w:t>
      </w:r>
      <w:r>
        <w:rPr>
          <w:spacing w:val="-1"/>
          <w:position w:val="1"/>
        </w:rPr>
        <w:t xml:space="preserve"> </w:t>
      </w:r>
      <w:r>
        <w:rPr>
          <w:position w:val="1"/>
        </w:rPr>
        <w:t>set</w:t>
      </w:r>
      <w:r>
        <w:rPr>
          <w:spacing w:val="-2"/>
          <w:position w:val="1"/>
        </w:rPr>
        <w:t xml:space="preserve"> </w:t>
      </w:r>
      <w:r>
        <w:rPr>
          <w:position w:val="1"/>
        </w:rPr>
        <w:t>out</w:t>
      </w:r>
      <w:r>
        <w:rPr>
          <w:spacing w:val="-2"/>
          <w:position w:val="1"/>
        </w:rPr>
        <w:t xml:space="preserve"> </w:t>
      </w:r>
      <w:r>
        <w:rPr>
          <w:position w:val="1"/>
        </w:rPr>
        <w:t>above</w:t>
      </w:r>
      <w:r>
        <w:rPr>
          <w:spacing w:val="-2"/>
          <w:position w:val="1"/>
        </w:rPr>
        <w:t xml:space="preserve"> </w:t>
      </w:r>
      <w:r>
        <w:rPr>
          <w:position w:val="1"/>
        </w:rPr>
        <w:t>and</w:t>
      </w:r>
      <w:r>
        <w:rPr>
          <w:spacing w:val="-4"/>
          <w:position w:val="1"/>
        </w:rPr>
        <w:t xml:space="preserve"> </w:t>
      </w:r>
      <w:r>
        <w:rPr>
          <w:position w:val="1"/>
        </w:rPr>
        <w:t>in</w:t>
      </w:r>
      <w:r>
        <w:rPr>
          <w:spacing w:val="-4"/>
          <w:position w:val="1"/>
        </w:rPr>
        <w:t xml:space="preserve"> </w:t>
      </w:r>
      <w:r>
        <w:rPr>
          <w:position w:val="1"/>
        </w:rPr>
        <w:t>Australia's</w:t>
      </w:r>
      <w:r>
        <w:rPr>
          <w:spacing w:val="-1"/>
          <w:position w:val="1"/>
        </w:rPr>
        <w:t xml:space="preserve"> </w:t>
      </w:r>
      <w:r>
        <w:rPr>
          <w:position w:val="1"/>
        </w:rPr>
        <w:t>first</w:t>
      </w:r>
      <w:r>
        <w:rPr>
          <w:spacing w:val="-2"/>
          <w:position w:val="1"/>
        </w:rPr>
        <w:t xml:space="preserve"> </w:t>
      </w:r>
      <w:r>
        <w:rPr>
          <w:position w:val="1"/>
        </w:rPr>
        <w:t>written</w:t>
      </w:r>
      <w:r>
        <w:rPr>
          <w:spacing w:val="-4"/>
          <w:position w:val="1"/>
        </w:rPr>
        <w:t xml:space="preserve"> </w:t>
      </w:r>
      <w:r>
        <w:rPr>
          <w:position w:val="1"/>
        </w:rPr>
        <w:t>submission,</w:t>
      </w:r>
      <w:r>
        <w:rPr>
          <w:spacing w:val="-1"/>
          <w:position w:val="1"/>
        </w:rPr>
        <w:t xml:space="preserve"> </w:t>
      </w:r>
      <w:r>
        <w:rPr>
          <w:position w:val="1"/>
        </w:rPr>
        <w:t>China</w:t>
      </w:r>
      <w:r>
        <w:rPr>
          <w:spacing w:val="-3"/>
          <w:position w:val="1"/>
        </w:rPr>
        <w:t xml:space="preserve"> </w:t>
      </w:r>
      <w:r>
        <w:rPr>
          <w:position w:val="1"/>
        </w:rPr>
        <w:t xml:space="preserve">acted </w:t>
      </w:r>
      <w:r>
        <w:t>inconsistently with Article 6.8 and Annex II of the Anti-Dumping Agreement by resorting to facts available with respect to Swans production costs and expenses.</w:t>
      </w:r>
    </w:p>
    <w:p w14:paraId="2DA3ACF8" w14:textId="77777777" w:rsidR="00BD462C" w:rsidRDefault="00BD462C">
      <w:pPr>
        <w:pStyle w:val="BodyText"/>
        <w:rPr>
          <w:sz w:val="20"/>
        </w:rPr>
      </w:pPr>
    </w:p>
    <w:p w14:paraId="7B2F74FD" w14:textId="77777777" w:rsidR="00BD462C" w:rsidRDefault="00BD462C">
      <w:pPr>
        <w:pStyle w:val="BodyText"/>
        <w:rPr>
          <w:sz w:val="20"/>
        </w:rPr>
      </w:pPr>
    </w:p>
    <w:p w14:paraId="66A81860" w14:textId="77777777" w:rsidR="00BD462C" w:rsidRDefault="00BD462C">
      <w:pPr>
        <w:pStyle w:val="BodyText"/>
        <w:rPr>
          <w:sz w:val="20"/>
        </w:rPr>
      </w:pPr>
    </w:p>
    <w:p w14:paraId="59BC0E7D" w14:textId="77777777" w:rsidR="00BD462C" w:rsidRDefault="00BD462C">
      <w:pPr>
        <w:pStyle w:val="BodyText"/>
        <w:rPr>
          <w:sz w:val="20"/>
        </w:rPr>
      </w:pPr>
    </w:p>
    <w:p w14:paraId="1E84B5AB" w14:textId="77777777" w:rsidR="00BD462C" w:rsidRDefault="00BD462C">
      <w:pPr>
        <w:pStyle w:val="BodyText"/>
        <w:rPr>
          <w:sz w:val="20"/>
        </w:rPr>
      </w:pPr>
    </w:p>
    <w:p w14:paraId="643A15F2" w14:textId="77777777" w:rsidR="00BD462C" w:rsidRDefault="00BD462C">
      <w:pPr>
        <w:pStyle w:val="BodyText"/>
        <w:rPr>
          <w:sz w:val="20"/>
        </w:rPr>
      </w:pPr>
    </w:p>
    <w:p w14:paraId="2368C0EE" w14:textId="382528DA" w:rsidR="00BD462C" w:rsidRDefault="00D70C7D">
      <w:pPr>
        <w:pStyle w:val="BodyText"/>
        <w:spacing w:before="2"/>
        <w:rPr>
          <w:sz w:val="26"/>
        </w:rPr>
      </w:pPr>
      <w:r>
        <w:rPr>
          <w:noProof/>
        </w:rPr>
        <mc:AlternateContent>
          <mc:Choice Requires="wps">
            <w:drawing>
              <wp:anchor distT="0" distB="0" distL="0" distR="0" simplePos="0" relativeHeight="487725568" behindDoc="1" locked="0" layoutInCell="1" allowOverlap="1" wp14:anchorId="085833C7" wp14:editId="72FE7682">
                <wp:simplePos x="0" y="0"/>
                <wp:positionH relativeFrom="page">
                  <wp:posOffset>899160</wp:posOffset>
                </wp:positionH>
                <wp:positionV relativeFrom="paragraph">
                  <wp:posOffset>218440</wp:posOffset>
                </wp:positionV>
                <wp:extent cx="1828800" cy="8890"/>
                <wp:effectExtent l="0" t="0" r="0" b="0"/>
                <wp:wrapTopAndBottom/>
                <wp:docPr id="834" name="docshape2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43183E" id="docshape299" o:spid="_x0000_s1026" alt="&quot;&quot;" style="position:absolute;margin-left:70.8pt;margin-top:17.2pt;width:2in;height:.7pt;z-index:-15590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" fillcolor="black" stroked="f">
                <w10:wrap type="topAndBottom" anchorx="page"/>
              </v:rect>
            </w:pict>
          </mc:Fallback>
        </mc:AlternateContent>
      </w:r>
    </w:p>
    <w:p w14:paraId="04BE200A" w14:textId="77777777" w:rsidR="00BD462C" w:rsidRDefault="00033D0F">
      <w:pPr>
        <w:spacing w:before="112"/>
        <w:ind w:left="135"/>
        <w:rPr>
          <w:sz w:val="18"/>
        </w:rPr>
      </w:pPr>
      <w:bookmarkStart w:id="665" w:name="_bookmark571"/>
      <w:bookmarkEnd w:id="665"/>
      <w:r>
        <w:rPr>
          <w:position w:val="5"/>
          <w:sz w:val="12"/>
        </w:rPr>
        <w:t>475</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paras.</w:t>
      </w:r>
      <w:r>
        <w:rPr>
          <w:spacing w:val="-5"/>
          <w:sz w:val="18"/>
        </w:rPr>
        <w:t xml:space="preserve"> </w:t>
      </w:r>
      <w:r>
        <w:rPr>
          <w:sz w:val="18"/>
        </w:rPr>
        <w:t>775-</w:t>
      </w:r>
      <w:r>
        <w:rPr>
          <w:spacing w:val="-4"/>
          <w:sz w:val="18"/>
        </w:rPr>
        <w:t>776.</w:t>
      </w:r>
    </w:p>
    <w:p w14:paraId="0CDFCE3E" w14:textId="77777777" w:rsidR="00BD462C" w:rsidRDefault="00033D0F">
      <w:pPr>
        <w:spacing w:before="1"/>
        <w:ind w:left="135"/>
        <w:rPr>
          <w:sz w:val="18"/>
        </w:rPr>
      </w:pPr>
      <w:bookmarkStart w:id="666" w:name="_bookmark572"/>
      <w:bookmarkEnd w:id="666"/>
      <w:r>
        <w:rPr>
          <w:position w:val="5"/>
          <w:sz w:val="12"/>
        </w:rPr>
        <w:t>476</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paras.</w:t>
      </w:r>
      <w:r>
        <w:rPr>
          <w:spacing w:val="-5"/>
          <w:sz w:val="18"/>
        </w:rPr>
        <w:t xml:space="preserve"> </w:t>
      </w:r>
      <w:r>
        <w:rPr>
          <w:sz w:val="18"/>
        </w:rPr>
        <w:t>774-</w:t>
      </w:r>
      <w:r>
        <w:rPr>
          <w:spacing w:val="-4"/>
          <w:sz w:val="18"/>
        </w:rPr>
        <w:t>776.</w:t>
      </w:r>
    </w:p>
    <w:p w14:paraId="00F7D341" w14:textId="77777777" w:rsidR="00BD462C" w:rsidRDefault="00BD462C">
      <w:pPr>
        <w:rPr>
          <w:sz w:val="18"/>
        </w:rPr>
        <w:sectPr w:rsidR="00BD462C">
          <w:pgSz w:w="11910" w:h="16840"/>
          <w:pgMar w:top="860" w:right="500" w:bottom="780" w:left="1280" w:header="566" w:footer="590" w:gutter="0"/>
          <w:cols w:space="720"/>
        </w:sectPr>
      </w:pPr>
    </w:p>
    <w:p w14:paraId="3E7016F7"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6D2DDDF7"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13A9490A"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6063C54B" w14:textId="77777777" w:rsidR="00BD462C" w:rsidRDefault="00033D0F">
      <w:pPr>
        <w:pStyle w:val="Heading3"/>
        <w:numPr>
          <w:ilvl w:val="0"/>
          <w:numId w:val="34"/>
        </w:numPr>
        <w:tabs>
          <w:tab w:val="left" w:pos="2689"/>
          <w:tab w:val="left" w:pos="2690"/>
        </w:tabs>
        <w:ind w:hanging="850"/>
        <w:jc w:val="left"/>
      </w:pPr>
      <w:bookmarkStart w:id="667" w:name="3._Paragraphs_3_and_5_of_Annex_II"/>
      <w:bookmarkStart w:id="668" w:name="_bookmark573"/>
      <w:bookmarkEnd w:id="667"/>
      <w:bookmarkEnd w:id="668"/>
      <w:r>
        <w:t>Paragraphs</w:t>
      </w:r>
      <w:r>
        <w:rPr>
          <w:spacing w:val="-3"/>
        </w:rPr>
        <w:t xml:space="preserve"> </w:t>
      </w:r>
      <w:r>
        <w:t>3</w:t>
      </w:r>
      <w:r>
        <w:rPr>
          <w:spacing w:val="-5"/>
        </w:rPr>
        <w:t xml:space="preserve"> </w:t>
      </w:r>
      <w:r>
        <w:t>and</w:t>
      </w:r>
      <w:r>
        <w:rPr>
          <w:spacing w:val="-1"/>
        </w:rPr>
        <w:t xml:space="preserve"> </w:t>
      </w:r>
      <w:r>
        <w:t>5</w:t>
      </w:r>
      <w:r>
        <w:rPr>
          <w:spacing w:val="-5"/>
        </w:rPr>
        <w:t xml:space="preserve"> </w:t>
      </w:r>
      <w:r>
        <w:t>of</w:t>
      </w:r>
      <w:r>
        <w:rPr>
          <w:spacing w:val="-2"/>
        </w:rPr>
        <w:t xml:space="preserve"> </w:t>
      </w:r>
      <w:r>
        <w:t>Annex</w:t>
      </w:r>
      <w:r>
        <w:rPr>
          <w:spacing w:val="-2"/>
        </w:rPr>
        <w:t xml:space="preserve"> </w:t>
      </w:r>
      <w:r>
        <w:rPr>
          <w:spacing w:val="-5"/>
        </w:rPr>
        <w:t>II</w:t>
      </w:r>
    </w:p>
    <w:p w14:paraId="6E94C514" w14:textId="77777777" w:rsidR="00BD462C" w:rsidRDefault="00BD462C">
      <w:pPr>
        <w:pStyle w:val="BodyText"/>
        <w:spacing w:before="7"/>
        <w:rPr>
          <w:b/>
          <w:sz w:val="20"/>
        </w:rPr>
      </w:pPr>
    </w:p>
    <w:p w14:paraId="5C59939D" w14:textId="7B3867B8" w:rsidR="00BD462C" w:rsidRDefault="00033D0F" w:rsidP="00B472DD">
      <w:pPr>
        <w:pStyle w:val="BodyText"/>
        <w:numPr>
          <w:ilvl w:val="0"/>
          <w:numId w:val="71"/>
        </w:numPr>
        <w:spacing w:before="56" w:line="360" w:lineRule="auto"/>
        <w:ind w:right="917"/>
        <w:jc w:val="both"/>
      </w:pPr>
      <w:r>
        <w:rPr>
          <w:position w:val="1"/>
        </w:rPr>
        <w:t>Australia</w:t>
      </w:r>
      <w:r>
        <w:rPr>
          <w:spacing w:val="-8"/>
          <w:position w:val="1"/>
        </w:rPr>
        <w:t xml:space="preserve"> </w:t>
      </w:r>
      <w:r>
        <w:rPr>
          <w:position w:val="1"/>
        </w:rPr>
        <w:t>established</w:t>
      </w:r>
      <w:r>
        <w:rPr>
          <w:spacing w:val="-9"/>
          <w:position w:val="1"/>
        </w:rPr>
        <w:t xml:space="preserve"> </w:t>
      </w:r>
      <w:r>
        <w:rPr>
          <w:position w:val="1"/>
        </w:rPr>
        <w:t>in</w:t>
      </w:r>
      <w:r>
        <w:rPr>
          <w:spacing w:val="-9"/>
          <w:position w:val="1"/>
        </w:rPr>
        <w:t xml:space="preserve"> </w:t>
      </w:r>
      <w:r>
        <w:rPr>
          <w:position w:val="1"/>
        </w:rPr>
        <w:t>its</w:t>
      </w:r>
      <w:r>
        <w:rPr>
          <w:spacing w:val="-6"/>
          <w:position w:val="1"/>
        </w:rPr>
        <w:t xml:space="preserve"> </w:t>
      </w:r>
      <w:r>
        <w:rPr>
          <w:position w:val="1"/>
        </w:rPr>
        <w:t>first</w:t>
      </w:r>
      <w:r>
        <w:rPr>
          <w:spacing w:val="-7"/>
          <w:position w:val="1"/>
        </w:rPr>
        <w:t xml:space="preserve"> </w:t>
      </w:r>
      <w:r>
        <w:rPr>
          <w:position w:val="1"/>
        </w:rPr>
        <w:t>written</w:t>
      </w:r>
      <w:r>
        <w:rPr>
          <w:spacing w:val="-9"/>
          <w:position w:val="1"/>
        </w:rPr>
        <w:t xml:space="preserve"> </w:t>
      </w:r>
      <w:r>
        <w:rPr>
          <w:position w:val="1"/>
        </w:rPr>
        <w:t>submission</w:t>
      </w:r>
      <w:r>
        <w:rPr>
          <w:spacing w:val="-9"/>
          <w:position w:val="1"/>
        </w:rPr>
        <w:t xml:space="preserve"> </w:t>
      </w:r>
      <w:r>
        <w:rPr>
          <w:position w:val="1"/>
        </w:rPr>
        <w:t>that</w:t>
      </w:r>
      <w:r>
        <w:rPr>
          <w:spacing w:val="-7"/>
          <w:position w:val="1"/>
        </w:rPr>
        <w:t xml:space="preserve"> </w:t>
      </w:r>
      <w:r>
        <w:rPr>
          <w:position w:val="1"/>
        </w:rPr>
        <w:t>MOFCOM's</w:t>
      </w:r>
      <w:r>
        <w:rPr>
          <w:spacing w:val="-6"/>
          <w:position w:val="1"/>
        </w:rPr>
        <w:t xml:space="preserve"> </w:t>
      </w:r>
      <w:r>
        <w:rPr>
          <w:position w:val="1"/>
        </w:rPr>
        <w:t>rejection</w:t>
      </w:r>
      <w:r>
        <w:rPr>
          <w:spacing w:val="-9"/>
          <w:position w:val="1"/>
        </w:rPr>
        <w:t xml:space="preserve"> </w:t>
      </w:r>
      <w:r>
        <w:rPr>
          <w:position w:val="1"/>
        </w:rPr>
        <w:t>of</w:t>
      </w:r>
      <w:r>
        <w:rPr>
          <w:spacing w:val="-9"/>
          <w:position w:val="1"/>
        </w:rPr>
        <w:t xml:space="preserve"> </w:t>
      </w:r>
      <w:r>
        <w:rPr>
          <w:position w:val="1"/>
        </w:rPr>
        <w:t xml:space="preserve">Swan </w:t>
      </w:r>
      <w:r>
        <w:t>Vintage's cost of production data, was contrary to Article 6.8 and paragraphs 3 and 5 of Annex II to the Anti-Dumping Agreement.</w:t>
      </w:r>
      <w:hyperlink w:anchor="_bookmark574" w:history="1">
        <w:r>
          <w:rPr>
            <w:vertAlign w:val="superscript"/>
          </w:rPr>
          <w:t>477</w:t>
        </w:r>
      </w:hyperlink>
    </w:p>
    <w:p w14:paraId="7380D7E8" w14:textId="77777777" w:rsidR="00BD462C" w:rsidRDefault="00BD462C">
      <w:pPr>
        <w:pStyle w:val="BodyText"/>
        <w:spacing w:before="6"/>
        <w:rPr>
          <w:sz w:val="8"/>
        </w:rPr>
      </w:pPr>
    </w:p>
    <w:p w14:paraId="30E7D25F" w14:textId="04540D33" w:rsidR="00BD462C" w:rsidRDefault="00033D0F" w:rsidP="00B472DD">
      <w:pPr>
        <w:pStyle w:val="BodyText"/>
        <w:numPr>
          <w:ilvl w:val="0"/>
          <w:numId w:val="71"/>
        </w:numPr>
        <w:spacing w:before="56" w:line="360" w:lineRule="auto"/>
        <w:ind w:right="911"/>
        <w:jc w:val="both"/>
      </w:pPr>
      <w:r>
        <w:rPr>
          <w:position w:val="1"/>
        </w:rPr>
        <w:t>An</w:t>
      </w:r>
      <w:r>
        <w:rPr>
          <w:spacing w:val="-14"/>
          <w:position w:val="1"/>
        </w:rPr>
        <w:t xml:space="preserve"> </w:t>
      </w:r>
      <w:r>
        <w:rPr>
          <w:position w:val="1"/>
        </w:rPr>
        <w:t>investigating</w:t>
      </w:r>
      <w:r>
        <w:rPr>
          <w:spacing w:val="-9"/>
          <w:position w:val="1"/>
        </w:rPr>
        <w:t xml:space="preserve"> </w:t>
      </w:r>
      <w:r>
        <w:rPr>
          <w:position w:val="1"/>
        </w:rPr>
        <w:t>authority</w:t>
      </w:r>
      <w:r>
        <w:rPr>
          <w:spacing w:val="-14"/>
          <w:position w:val="1"/>
        </w:rPr>
        <w:t xml:space="preserve"> </w:t>
      </w:r>
      <w:r>
        <w:rPr>
          <w:position w:val="1"/>
        </w:rPr>
        <w:t>is</w:t>
      </w:r>
      <w:r>
        <w:rPr>
          <w:spacing w:val="-9"/>
          <w:position w:val="1"/>
        </w:rPr>
        <w:t xml:space="preserve"> </w:t>
      </w:r>
      <w:r>
        <w:rPr>
          <w:position w:val="1"/>
        </w:rPr>
        <w:t>required</w:t>
      </w:r>
      <w:r>
        <w:rPr>
          <w:spacing w:val="-14"/>
          <w:position w:val="1"/>
        </w:rPr>
        <w:t xml:space="preserve"> </w:t>
      </w:r>
      <w:r>
        <w:rPr>
          <w:position w:val="1"/>
        </w:rPr>
        <w:t>to</w:t>
      </w:r>
      <w:r>
        <w:rPr>
          <w:spacing w:val="-13"/>
          <w:position w:val="1"/>
        </w:rPr>
        <w:t xml:space="preserve"> </w:t>
      </w:r>
      <w:r>
        <w:rPr>
          <w:position w:val="1"/>
        </w:rPr>
        <w:t>explain</w:t>
      </w:r>
      <w:r>
        <w:rPr>
          <w:spacing w:val="-14"/>
          <w:position w:val="1"/>
        </w:rPr>
        <w:t xml:space="preserve"> </w:t>
      </w:r>
      <w:r>
        <w:rPr>
          <w:position w:val="1"/>
        </w:rPr>
        <w:t>in</w:t>
      </w:r>
      <w:r>
        <w:rPr>
          <w:spacing w:val="-14"/>
          <w:position w:val="1"/>
        </w:rPr>
        <w:t xml:space="preserve"> </w:t>
      </w:r>
      <w:r>
        <w:rPr>
          <w:position w:val="1"/>
        </w:rPr>
        <w:t>what</w:t>
      </w:r>
      <w:r>
        <w:rPr>
          <w:spacing w:val="-10"/>
          <w:position w:val="1"/>
        </w:rPr>
        <w:t xml:space="preserve"> </w:t>
      </w:r>
      <w:r>
        <w:rPr>
          <w:position w:val="1"/>
        </w:rPr>
        <w:t>way</w:t>
      </w:r>
      <w:r>
        <w:rPr>
          <w:spacing w:val="-11"/>
          <w:position w:val="1"/>
        </w:rPr>
        <w:t xml:space="preserve"> </w:t>
      </w:r>
      <w:r>
        <w:rPr>
          <w:position w:val="1"/>
        </w:rPr>
        <w:t>the</w:t>
      </w:r>
      <w:r>
        <w:rPr>
          <w:spacing w:val="-12"/>
          <w:position w:val="1"/>
        </w:rPr>
        <w:t xml:space="preserve"> </w:t>
      </w:r>
      <w:r>
        <w:rPr>
          <w:position w:val="1"/>
        </w:rPr>
        <w:t>information</w:t>
      </w:r>
      <w:r>
        <w:rPr>
          <w:spacing w:val="-14"/>
          <w:position w:val="1"/>
        </w:rPr>
        <w:t xml:space="preserve"> </w:t>
      </w:r>
      <w:r>
        <w:rPr>
          <w:position w:val="1"/>
        </w:rPr>
        <w:t>it</w:t>
      </w:r>
      <w:r>
        <w:rPr>
          <w:spacing w:val="-10"/>
          <w:position w:val="1"/>
        </w:rPr>
        <w:t xml:space="preserve"> </w:t>
      </w:r>
      <w:r>
        <w:rPr>
          <w:position w:val="1"/>
        </w:rPr>
        <w:t xml:space="preserve">rejects </w:t>
      </w:r>
      <w:r>
        <w:t>does</w:t>
      </w:r>
      <w:r>
        <w:rPr>
          <w:spacing w:val="-5"/>
        </w:rPr>
        <w:t xml:space="preserve"> </w:t>
      </w:r>
      <w:r>
        <w:t>not</w:t>
      </w:r>
      <w:r>
        <w:rPr>
          <w:spacing w:val="-7"/>
        </w:rPr>
        <w:t xml:space="preserve"> </w:t>
      </w:r>
      <w:r>
        <w:t>meet</w:t>
      </w:r>
      <w:r>
        <w:rPr>
          <w:spacing w:val="-6"/>
        </w:rPr>
        <w:t xml:space="preserve"> </w:t>
      </w:r>
      <w:r>
        <w:t>the</w:t>
      </w:r>
      <w:r>
        <w:rPr>
          <w:spacing w:val="-7"/>
        </w:rPr>
        <w:t xml:space="preserve"> </w:t>
      </w:r>
      <w:r>
        <w:t>requirements</w:t>
      </w:r>
      <w:r>
        <w:rPr>
          <w:spacing w:val="-6"/>
        </w:rPr>
        <w:t xml:space="preserve"> </w:t>
      </w:r>
      <w:r>
        <w:t>set</w:t>
      </w:r>
      <w:r>
        <w:rPr>
          <w:spacing w:val="-7"/>
        </w:rPr>
        <w:t xml:space="preserve"> </w:t>
      </w:r>
      <w:r>
        <w:t>out</w:t>
      </w:r>
      <w:r>
        <w:rPr>
          <w:spacing w:val="-7"/>
        </w:rPr>
        <w:t xml:space="preserve"> </w:t>
      </w:r>
      <w:r>
        <w:t>in</w:t>
      </w:r>
      <w:r>
        <w:rPr>
          <w:spacing w:val="-9"/>
        </w:rPr>
        <w:t xml:space="preserve"> </w:t>
      </w:r>
      <w:r>
        <w:t>paragraph</w:t>
      </w:r>
      <w:r>
        <w:rPr>
          <w:spacing w:val="-9"/>
        </w:rPr>
        <w:t xml:space="preserve"> </w:t>
      </w:r>
      <w:r>
        <w:t>3</w:t>
      </w:r>
      <w:r>
        <w:rPr>
          <w:spacing w:val="-9"/>
        </w:rPr>
        <w:t xml:space="preserve"> </w:t>
      </w:r>
      <w:r>
        <w:t>of</w:t>
      </w:r>
      <w:r>
        <w:rPr>
          <w:spacing w:val="-9"/>
        </w:rPr>
        <w:t xml:space="preserve"> </w:t>
      </w:r>
      <w:r>
        <w:t>Annex</w:t>
      </w:r>
      <w:r>
        <w:rPr>
          <w:spacing w:val="-6"/>
        </w:rPr>
        <w:t xml:space="preserve"> </w:t>
      </w:r>
      <w:r>
        <w:t>II.</w:t>
      </w:r>
      <w:hyperlink w:anchor="_bookmark575" w:history="1">
        <w:r>
          <w:rPr>
            <w:vertAlign w:val="superscript"/>
          </w:rPr>
          <w:t>478</w:t>
        </w:r>
      </w:hyperlink>
      <w:r>
        <w:rPr>
          <w:spacing w:val="-6"/>
        </w:rPr>
        <w:t xml:space="preserve"> </w:t>
      </w:r>
      <w:r>
        <w:t>China</w:t>
      </w:r>
      <w:r>
        <w:rPr>
          <w:spacing w:val="-8"/>
        </w:rPr>
        <w:t xml:space="preserve"> </w:t>
      </w:r>
      <w:r>
        <w:t>asserts</w:t>
      </w:r>
      <w:r>
        <w:rPr>
          <w:spacing w:val="-6"/>
        </w:rPr>
        <w:t xml:space="preserve"> </w:t>
      </w:r>
      <w:r>
        <w:t>that</w:t>
      </w:r>
      <w:r>
        <w:rPr>
          <w:spacing w:val="-7"/>
        </w:rPr>
        <w:t xml:space="preserve"> </w:t>
      </w:r>
      <w:r>
        <w:t>Swan Vintage's</w:t>
      </w:r>
      <w:r>
        <w:rPr>
          <w:spacing w:val="-1"/>
        </w:rPr>
        <w:t xml:space="preserve"> </w:t>
      </w:r>
      <w:r>
        <w:t>cost</w:t>
      </w:r>
      <w:r>
        <w:rPr>
          <w:spacing w:val="-2"/>
        </w:rPr>
        <w:t xml:space="preserve"> </w:t>
      </w:r>
      <w:r>
        <w:t>of</w:t>
      </w:r>
      <w:r>
        <w:rPr>
          <w:spacing w:val="-4"/>
        </w:rPr>
        <w:t xml:space="preserve"> </w:t>
      </w:r>
      <w:r>
        <w:t>production</w:t>
      </w:r>
      <w:r>
        <w:rPr>
          <w:spacing w:val="-4"/>
        </w:rPr>
        <w:t xml:space="preserve"> </w:t>
      </w:r>
      <w:r>
        <w:t>data</w:t>
      </w:r>
      <w:r>
        <w:rPr>
          <w:spacing w:val="-3"/>
        </w:rPr>
        <w:t xml:space="preserve"> </w:t>
      </w:r>
      <w:r>
        <w:t>could</w:t>
      </w:r>
      <w:r>
        <w:rPr>
          <w:spacing w:val="-4"/>
        </w:rPr>
        <w:t xml:space="preserve"> </w:t>
      </w:r>
      <w:r>
        <w:t>not</w:t>
      </w:r>
      <w:r>
        <w:rPr>
          <w:spacing w:val="-2"/>
        </w:rPr>
        <w:t xml:space="preserve"> </w:t>
      </w:r>
      <w:r>
        <w:t>be used</w:t>
      </w:r>
      <w:r>
        <w:rPr>
          <w:spacing w:val="-4"/>
        </w:rPr>
        <w:t xml:space="preserve"> </w:t>
      </w:r>
      <w:r>
        <w:t>without</w:t>
      </w:r>
      <w:r>
        <w:rPr>
          <w:spacing w:val="-2"/>
        </w:rPr>
        <w:t xml:space="preserve"> </w:t>
      </w:r>
      <w:r>
        <w:t>undue</w:t>
      </w:r>
      <w:r>
        <w:rPr>
          <w:spacing w:val="-3"/>
        </w:rPr>
        <w:t xml:space="preserve"> </w:t>
      </w:r>
      <w:r>
        <w:t>difficulties</w:t>
      </w:r>
      <w:r>
        <w:rPr>
          <w:spacing w:val="-1"/>
        </w:rPr>
        <w:t xml:space="preserve"> </w:t>
      </w:r>
      <w:r>
        <w:t>because</w:t>
      </w:r>
      <w:r>
        <w:rPr>
          <w:spacing w:val="-2"/>
        </w:rPr>
        <w:t xml:space="preserve"> </w:t>
      </w:r>
      <w:r>
        <w:t>it</w:t>
      </w:r>
      <w:r>
        <w:rPr>
          <w:spacing w:val="-2"/>
        </w:rPr>
        <w:t xml:space="preserve"> </w:t>
      </w:r>
      <w:r>
        <w:t>was not</w:t>
      </w:r>
      <w:r>
        <w:rPr>
          <w:spacing w:val="-11"/>
        </w:rPr>
        <w:t xml:space="preserve"> </w:t>
      </w:r>
      <w:proofErr w:type="spellStart"/>
      <w:r>
        <w:t>organised</w:t>
      </w:r>
      <w:proofErr w:type="spellEnd"/>
      <w:r>
        <w:rPr>
          <w:spacing w:val="-14"/>
        </w:rPr>
        <w:t xml:space="preserve"> </w:t>
      </w:r>
      <w:r>
        <w:t>by</w:t>
      </w:r>
      <w:r>
        <w:rPr>
          <w:spacing w:val="-11"/>
        </w:rPr>
        <w:t xml:space="preserve"> </w:t>
      </w:r>
      <w:r>
        <w:t>PCN.</w:t>
      </w:r>
      <w:r>
        <w:rPr>
          <w:spacing w:val="-11"/>
        </w:rPr>
        <w:t xml:space="preserve"> </w:t>
      </w:r>
      <w:r>
        <w:t>Certainly,</w:t>
      </w:r>
      <w:r>
        <w:rPr>
          <w:spacing w:val="-10"/>
        </w:rPr>
        <w:t xml:space="preserve"> </w:t>
      </w:r>
      <w:r>
        <w:t>in</w:t>
      </w:r>
      <w:r>
        <w:rPr>
          <w:spacing w:val="-14"/>
        </w:rPr>
        <w:t xml:space="preserve"> </w:t>
      </w:r>
      <w:r>
        <w:t>the</w:t>
      </w:r>
      <w:r>
        <w:rPr>
          <w:spacing w:val="-12"/>
        </w:rPr>
        <w:t xml:space="preserve"> </w:t>
      </w:r>
      <w:r>
        <w:t>Final</w:t>
      </w:r>
      <w:r>
        <w:rPr>
          <w:spacing w:val="-10"/>
        </w:rPr>
        <w:t xml:space="preserve"> </w:t>
      </w:r>
      <w:r>
        <w:t>Determination,</w:t>
      </w:r>
      <w:r>
        <w:rPr>
          <w:spacing w:val="-10"/>
        </w:rPr>
        <w:t xml:space="preserve"> </w:t>
      </w:r>
      <w:r>
        <w:t>MOFCOM</w:t>
      </w:r>
      <w:r>
        <w:rPr>
          <w:spacing w:val="-11"/>
        </w:rPr>
        <w:t xml:space="preserve"> </w:t>
      </w:r>
      <w:r>
        <w:t>stated</w:t>
      </w:r>
      <w:r>
        <w:rPr>
          <w:spacing w:val="-14"/>
        </w:rPr>
        <w:t xml:space="preserve"> </w:t>
      </w:r>
      <w:r>
        <w:t>that</w:t>
      </w:r>
      <w:r>
        <w:rPr>
          <w:spacing w:val="-11"/>
        </w:rPr>
        <w:t xml:space="preserve"> </w:t>
      </w:r>
      <w:r>
        <w:t>"[p]</w:t>
      </w:r>
      <w:proofErr w:type="spellStart"/>
      <w:r>
        <w:t>roviding</w:t>
      </w:r>
      <w:proofErr w:type="spellEnd"/>
      <w:r>
        <w:t xml:space="preserve"> cost of production on any other basis than the PCN instructions given by an investigating authority therefore creates major difficulties for an investigating authority to use that information for calculating the dumping margin."</w:t>
      </w:r>
      <w:hyperlink w:anchor="_bookmark576" w:history="1">
        <w:r>
          <w:rPr>
            <w:vertAlign w:val="superscript"/>
          </w:rPr>
          <w:t>479</w:t>
        </w:r>
      </w:hyperlink>
    </w:p>
    <w:p w14:paraId="487E605A" w14:textId="77777777" w:rsidR="00BD462C" w:rsidRDefault="00BD462C">
      <w:pPr>
        <w:pStyle w:val="BodyText"/>
        <w:spacing w:before="10"/>
        <w:rPr>
          <w:sz w:val="8"/>
        </w:rPr>
      </w:pPr>
    </w:p>
    <w:p w14:paraId="33432E5E" w14:textId="0C03F4FB" w:rsidR="00BD462C" w:rsidRDefault="00033D0F" w:rsidP="00B472DD">
      <w:pPr>
        <w:pStyle w:val="BodyText"/>
        <w:numPr>
          <w:ilvl w:val="0"/>
          <w:numId w:val="71"/>
        </w:numPr>
        <w:spacing w:before="56" w:line="360" w:lineRule="auto"/>
        <w:ind w:right="912"/>
        <w:jc w:val="both"/>
      </w:pPr>
      <w:r>
        <w:rPr>
          <w:position w:val="1"/>
        </w:rPr>
        <w:t xml:space="preserve">Yet MOFCOM did not explain </w:t>
      </w:r>
      <w:r>
        <w:rPr>
          <w:i/>
          <w:position w:val="1"/>
        </w:rPr>
        <w:t xml:space="preserve">how </w:t>
      </w:r>
      <w:r>
        <w:rPr>
          <w:position w:val="1"/>
        </w:rPr>
        <w:t xml:space="preserve">the information it rejected imposed undue </w:t>
      </w:r>
      <w:r>
        <w:t>difficulty,</w:t>
      </w:r>
      <w:r>
        <w:rPr>
          <w:spacing w:val="-14"/>
        </w:rPr>
        <w:t xml:space="preserve"> </w:t>
      </w:r>
      <w:r>
        <w:t>including</w:t>
      </w:r>
      <w:r>
        <w:rPr>
          <w:spacing w:val="-14"/>
        </w:rPr>
        <w:t xml:space="preserve"> </w:t>
      </w:r>
      <w:r>
        <w:t>why</w:t>
      </w:r>
      <w:r>
        <w:rPr>
          <w:spacing w:val="-13"/>
        </w:rPr>
        <w:t xml:space="preserve"> </w:t>
      </w:r>
      <w:r>
        <w:t>it</w:t>
      </w:r>
      <w:r>
        <w:rPr>
          <w:spacing w:val="-14"/>
        </w:rPr>
        <w:t xml:space="preserve"> </w:t>
      </w:r>
      <w:r>
        <w:t>was</w:t>
      </w:r>
      <w:r>
        <w:rPr>
          <w:spacing w:val="-13"/>
        </w:rPr>
        <w:t xml:space="preserve"> </w:t>
      </w:r>
      <w:r>
        <w:t>unduly</w:t>
      </w:r>
      <w:r>
        <w:rPr>
          <w:spacing w:val="-12"/>
        </w:rPr>
        <w:t xml:space="preserve"> </w:t>
      </w:r>
      <w:r>
        <w:t>difficult</w:t>
      </w:r>
      <w:r>
        <w:rPr>
          <w:spacing w:val="-13"/>
        </w:rPr>
        <w:t xml:space="preserve"> </w:t>
      </w:r>
      <w:r>
        <w:t>to</w:t>
      </w:r>
      <w:r>
        <w:rPr>
          <w:spacing w:val="-14"/>
        </w:rPr>
        <w:t xml:space="preserve"> </w:t>
      </w:r>
      <w:r>
        <w:t>make</w:t>
      </w:r>
      <w:r>
        <w:rPr>
          <w:spacing w:val="-13"/>
        </w:rPr>
        <w:t xml:space="preserve"> </w:t>
      </w:r>
      <w:r>
        <w:t>the</w:t>
      </w:r>
      <w:r>
        <w:rPr>
          <w:spacing w:val="-14"/>
        </w:rPr>
        <w:t xml:space="preserve"> </w:t>
      </w:r>
      <w:r>
        <w:t>necessary</w:t>
      </w:r>
      <w:r>
        <w:rPr>
          <w:spacing w:val="-12"/>
        </w:rPr>
        <w:t xml:space="preserve"> </w:t>
      </w:r>
      <w:r>
        <w:t>comparisons</w:t>
      </w:r>
      <w:r>
        <w:rPr>
          <w:spacing w:val="-12"/>
        </w:rPr>
        <w:t xml:space="preserve"> </w:t>
      </w:r>
      <w:r>
        <w:t>on</w:t>
      </w:r>
      <w:r>
        <w:rPr>
          <w:spacing w:val="-14"/>
        </w:rPr>
        <w:t xml:space="preserve"> </w:t>
      </w:r>
      <w:r>
        <w:t>the</w:t>
      </w:r>
      <w:r>
        <w:rPr>
          <w:spacing w:val="-13"/>
        </w:rPr>
        <w:t xml:space="preserve"> </w:t>
      </w:r>
      <w:r>
        <w:t>basis of</w:t>
      </w:r>
      <w:r>
        <w:rPr>
          <w:spacing w:val="-3"/>
        </w:rPr>
        <w:t xml:space="preserve"> </w:t>
      </w:r>
      <w:r>
        <w:t xml:space="preserve">the records </w:t>
      </w:r>
      <w:proofErr w:type="spellStart"/>
      <w:r>
        <w:t>organised</w:t>
      </w:r>
      <w:proofErr w:type="spellEnd"/>
      <w:r>
        <w:rPr>
          <w:spacing w:val="-3"/>
        </w:rPr>
        <w:t xml:space="preserve"> </w:t>
      </w:r>
      <w:r>
        <w:t>consistent</w:t>
      </w:r>
      <w:r>
        <w:rPr>
          <w:spacing w:val="-1"/>
        </w:rPr>
        <w:t xml:space="preserve"> </w:t>
      </w:r>
      <w:r>
        <w:t>with</w:t>
      </w:r>
      <w:r>
        <w:rPr>
          <w:spacing w:val="-3"/>
        </w:rPr>
        <w:t xml:space="preserve"> </w:t>
      </w:r>
      <w:r>
        <w:t>the</w:t>
      </w:r>
      <w:r>
        <w:rPr>
          <w:spacing w:val="-2"/>
        </w:rPr>
        <w:t xml:space="preserve"> </w:t>
      </w:r>
      <w:r>
        <w:t>applicable</w:t>
      </w:r>
      <w:r>
        <w:rPr>
          <w:spacing w:val="-1"/>
        </w:rPr>
        <w:t xml:space="preserve"> </w:t>
      </w:r>
      <w:r>
        <w:t>GAAP</w:t>
      </w:r>
      <w:r>
        <w:rPr>
          <w:spacing w:val="-1"/>
        </w:rPr>
        <w:t xml:space="preserve"> </w:t>
      </w:r>
      <w:r>
        <w:t>in</w:t>
      </w:r>
      <w:r>
        <w:rPr>
          <w:spacing w:val="-3"/>
        </w:rPr>
        <w:t xml:space="preserve"> </w:t>
      </w:r>
      <w:r>
        <w:t>the</w:t>
      </w:r>
      <w:r>
        <w:rPr>
          <w:spacing w:val="-2"/>
        </w:rPr>
        <w:t xml:space="preserve"> </w:t>
      </w:r>
      <w:r>
        <w:t>Australian</w:t>
      </w:r>
      <w:r>
        <w:rPr>
          <w:spacing w:val="-3"/>
        </w:rPr>
        <w:t xml:space="preserve"> </w:t>
      </w:r>
      <w:r>
        <w:t>wine</w:t>
      </w:r>
      <w:r>
        <w:rPr>
          <w:spacing w:val="-2"/>
        </w:rPr>
        <w:t xml:space="preserve"> </w:t>
      </w:r>
      <w:r>
        <w:t>industry. MOFCOM</w:t>
      </w:r>
      <w:r>
        <w:rPr>
          <w:spacing w:val="-7"/>
        </w:rPr>
        <w:t xml:space="preserve"> </w:t>
      </w:r>
      <w:r>
        <w:t>merely</w:t>
      </w:r>
      <w:r>
        <w:rPr>
          <w:spacing w:val="-6"/>
        </w:rPr>
        <w:t xml:space="preserve"> </w:t>
      </w:r>
      <w:r>
        <w:t>stated</w:t>
      </w:r>
      <w:r>
        <w:rPr>
          <w:spacing w:val="-9"/>
        </w:rPr>
        <w:t xml:space="preserve"> </w:t>
      </w:r>
      <w:r>
        <w:t>that</w:t>
      </w:r>
      <w:r>
        <w:rPr>
          <w:spacing w:val="-7"/>
        </w:rPr>
        <w:t xml:space="preserve"> </w:t>
      </w:r>
      <w:r>
        <w:t>it</w:t>
      </w:r>
      <w:r>
        <w:rPr>
          <w:spacing w:val="-7"/>
        </w:rPr>
        <w:t xml:space="preserve"> </w:t>
      </w:r>
      <w:r>
        <w:t>imposed</w:t>
      </w:r>
      <w:r>
        <w:rPr>
          <w:spacing w:val="-9"/>
        </w:rPr>
        <w:t xml:space="preserve"> </w:t>
      </w:r>
      <w:r>
        <w:t>a</w:t>
      </w:r>
      <w:r>
        <w:rPr>
          <w:spacing w:val="-8"/>
        </w:rPr>
        <w:t xml:space="preserve"> </w:t>
      </w:r>
      <w:r>
        <w:t>"major"</w:t>
      </w:r>
      <w:r>
        <w:rPr>
          <w:spacing w:val="-3"/>
        </w:rPr>
        <w:t xml:space="preserve"> </w:t>
      </w:r>
      <w:r>
        <w:t>difficulty.</w:t>
      </w:r>
      <w:r>
        <w:rPr>
          <w:spacing w:val="-6"/>
        </w:rPr>
        <w:t xml:space="preserve"> </w:t>
      </w:r>
      <w:r>
        <w:t>It</w:t>
      </w:r>
      <w:r>
        <w:rPr>
          <w:spacing w:val="-7"/>
        </w:rPr>
        <w:t xml:space="preserve"> </w:t>
      </w:r>
      <w:r>
        <w:t>was</w:t>
      </w:r>
      <w:r>
        <w:rPr>
          <w:spacing w:val="-6"/>
        </w:rPr>
        <w:t xml:space="preserve"> </w:t>
      </w:r>
      <w:r>
        <w:t>necessary</w:t>
      </w:r>
      <w:r>
        <w:rPr>
          <w:spacing w:val="-6"/>
        </w:rPr>
        <w:t xml:space="preserve"> </w:t>
      </w:r>
      <w:r>
        <w:t>for</w:t>
      </w:r>
      <w:r>
        <w:rPr>
          <w:spacing w:val="-10"/>
        </w:rPr>
        <w:t xml:space="preserve"> </w:t>
      </w:r>
      <w:r>
        <w:t>MOFCOM</w:t>
      </w:r>
      <w:r>
        <w:rPr>
          <w:spacing w:val="-7"/>
        </w:rPr>
        <w:t xml:space="preserve"> </w:t>
      </w:r>
      <w:r>
        <w:t>to explain in what way the rejected data was deficient. This prevented Swan Vintage from understanding the nature of MOFCOMs complaint and hence deprived Swan Vintage of the opportunity to remedy the issue. Moreover, MOFCOM provided no explanation for why it rejected</w:t>
      </w:r>
      <w:r>
        <w:rPr>
          <w:spacing w:val="-6"/>
        </w:rPr>
        <w:t xml:space="preserve"> </w:t>
      </w:r>
      <w:r>
        <w:t>Swan</w:t>
      </w:r>
      <w:r>
        <w:rPr>
          <w:spacing w:val="-6"/>
        </w:rPr>
        <w:t xml:space="preserve"> </w:t>
      </w:r>
      <w:r>
        <w:t>Vintage's</w:t>
      </w:r>
      <w:r>
        <w:rPr>
          <w:spacing w:val="-7"/>
        </w:rPr>
        <w:t xml:space="preserve"> </w:t>
      </w:r>
      <w:r>
        <w:t>further</w:t>
      </w:r>
      <w:r>
        <w:rPr>
          <w:spacing w:val="-7"/>
        </w:rPr>
        <w:t xml:space="preserve"> </w:t>
      </w:r>
      <w:r>
        <w:t>explanations</w:t>
      </w:r>
      <w:r>
        <w:rPr>
          <w:spacing w:val="-3"/>
        </w:rPr>
        <w:t xml:space="preserve"> </w:t>
      </w:r>
      <w:r>
        <w:t>regarding</w:t>
      </w:r>
      <w:r>
        <w:rPr>
          <w:spacing w:val="-3"/>
        </w:rPr>
        <w:t xml:space="preserve"> </w:t>
      </w:r>
      <w:r>
        <w:t>the</w:t>
      </w:r>
      <w:r>
        <w:rPr>
          <w:spacing w:val="-5"/>
        </w:rPr>
        <w:t xml:space="preserve"> </w:t>
      </w:r>
      <w:r>
        <w:t>difficulties</w:t>
      </w:r>
      <w:r>
        <w:rPr>
          <w:spacing w:val="-7"/>
        </w:rPr>
        <w:t xml:space="preserve"> </w:t>
      </w:r>
      <w:r>
        <w:t>in</w:t>
      </w:r>
      <w:r>
        <w:rPr>
          <w:spacing w:val="-6"/>
        </w:rPr>
        <w:t xml:space="preserve"> </w:t>
      </w:r>
      <w:r>
        <w:t>its</w:t>
      </w:r>
      <w:r>
        <w:rPr>
          <w:spacing w:val="-3"/>
        </w:rPr>
        <w:t xml:space="preserve"> </w:t>
      </w:r>
      <w:r>
        <w:t>PCN</w:t>
      </w:r>
      <w:r>
        <w:rPr>
          <w:spacing w:val="-6"/>
        </w:rPr>
        <w:t xml:space="preserve"> </w:t>
      </w:r>
      <w:r>
        <w:t>classification by reference to</w:t>
      </w:r>
      <w:r>
        <w:rPr>
          <w:spacing w:val="-1"/>
        </w:rPr>
        <w:t xml:space="preserve"> </w:t>
      </w:r>
      <w:r>
        <w:t>a letter</w:t>
      </w:r>
      <w:r>
        <w:rPr>
          <w:spacing w:val="-1"/>
        </w:rPr>
        <w:t xml:space="preserve"> </w:t>
      </w:r>
      <w:r>
        <w:t>from Treasury Wines and</w:t>
      </w:r>
      <w:r>
        <w:rPr>
          <w:spacing w:val="-5"/>
        </w:rPr>
        <w:t xml:space="preserve"> </w:t>
      </w:r>
      <w:r>
        <w:t>how the data could</w:t>
      </w:r>
      <w:r>
        <w:rPr>
          <w:spacing w:val="-1"/>
        </w:rPr>
        <w:t xml:space="preserve"> </w:t>
      </w:r>
      <w:r>
        <w:t>be used</w:t>
      </w:r>
      <w:r>
        <w:rPr>
          <w:spacing w:val="-1"/>
        </w:rPr>
        <w:t xml:space="preserve"> </w:t>
      </w:r>
      <w:r>
        <w:t>without undue difficulty.</w:t>
      </w:r>
      <w:hyperlink w:anchor="_bookmark577" w:history="1">
        <w:r>
          <w:rPr>
            <w:vertAlign w:val="superscript"/>
          </w:rPr>
          <w:t>480</w:t>
        </w:r>
      </w:hyperlink>
      <w:r>
        <w:rPr>
          <w:spacing w:val="-5"/>
        </w:rPr>
        <w:t xml:space="preserve"> </w:t>
      </w:r>
      <w:r>
        <w:t>This</w:t>
      </w:r>
      <w:r>
        <w:rPr>
          <w:spacing w:val="-5"/>
        </w:rPr>
        <w:t xml:space="preserve"> </w:t>
      </w:r>
      <w:r>
        <w:t>failure</w:t>
      </w:r>
      <w:r>
        <w:rPr>
          <w:spacing w:val="-6"/>
        </w:rPr>
        <w:t xml:space="preserve"> </w:t>
      </w:r>
      <w:r>
        <w:t>to</w:t>
      </w:r>
      <w:r>
        <w:rPr>
          <w:spacing w:val="-4"/>
        </w:rPr>
        <w:t xml:space="preserve"> </w:t>
      </w:r>
      <w:r>
        <w:t>record</w:t>
      </w:r>
      <w:r>
        <w:rPr>
          <w:spacing w:val="-3"/>
        </w:rPr>
        <w:t xml:space="preserve"> </w:t>
      </w:r>
      <w:r>
        <w:t>reasons</w:t>
      </w:r>
      <w:r>
        <w:rPr>
          <w:spacing w:val="-5"/>
        </w:rPr>
        <w:t xml:space="preserve"> </w:t>
      </w:r>
      <w:r>
        <w:t>is</w:t>
      </w:r>
      <w:r>
        <w:rPr>
          <w:spacing w:val="-5"/>
        </w:rPr>
        <w:t xml:space="preserve"> </w:t>
      </w:r>
      <w:r>
        <w:t>not</w:t>
      </w:r>
      <w:r>
        <w:rPr>
          <w:spacing w:val="-1"/>
        </w:rPr>
        <w:t xml:space="preserve"> </w:t>
      </w:r>
      <w:r>
        <w:t>merely</w:t>
      </w:r>
      <w:r>
        <w:rPr>
          <w:spacing w:val="-5"/>
        </w:rPr>
        <w:t xml:space="preserve"> </w:t>
      </w:r>
      <w:r>
        <w:t>a</w:t>
      </w:r>
      <w:r>
        <w:rPr>
          <w:spacing w:val="-7"/>
        </w:rPr>
        <w:t xml:space="preserve"> </w:t>
      </w:r>
      <w:r>
        <w:t>breach</w:t>
      </w:r>
      <w:r>
        <w:rPr>
          <w:spacing w:val="-3"/>
        </w:rPr>
        <w:t xml:space="preserve"> </w:t>
      </w:r>
      <w:r>
        <w:t>of</w:t>
      </w:r>
      <w:r>
        <w:rPr>
          <w:spacing w:val="-3"/>
        </w:rPr>
        <w:t xml:space="preserve"> </w:t>
      </w:r>
      <w:r>
        <w:t>a</w:t>
      </w:r>
      <w:r>
        <w:rPr>
          <w:spacing w:val="-7"/>
        </w:rPr>
        <w:t xml:space="preserve"> </w:t>
      </w:r>
      <w:r>
        <w:t>"procedural obligation". Without</w:t>
      </w:r>
      <w:r>
        <w:rPr>
          <w:spacing w:val="-14"/>
        </w:rPr>
        <w:t xml:space="preserve"> </w:t>
      </w:r>
      <w:r>
        <w:t>such</w:t>
      </w:r>
      <w:r>
        <w:rPr>
          <w:spacing w:val="-14"/>
        </w:rPr>
        <w:t xml:space="preserve"> </w:t>
      </w:r>
      <w:r>
        <w:t>reasoning</w:t>
      </w:r>
      <w:r>
        <w:rPr>
          <w:spacing w:val="-11"/>
        </w:rPr>
        <w:t xml:space="preserve"> </w:t>
      </w:r>
      <w:r>
        <w:t>there</w:t>
      </w:r>
      <w:r>
        <w:rPr>
          <w:spacing w:val="-13"/>
        </w:rPr>
        <w:t xml:space="preserve"> </w:t>
      </w:r>
      <w:r>
        <w:t>was</w:t>
      </w:r>
      <w:r>
        <w:rPr>
          <w:spacing w:val="-11"/>
        </w:rPr>
        <w:t xml:space="preserve"> </w:t>
      </w:r>
      <w:r>
        <w:t>no</w:t>
      </w:r>
      <w:r>
        <w:rPr>
          <w:spacing w:val="-10"/>
        </w:rPr>
        <w:t xml:space="preserve"> </w:t>
      </w:r>
      <w:r>
        <w:t>recorded</w:t>
      </w:r>
      <w:r>
        <w:rPr>
          <w:spacing w:val="-10"/>
        </w:rPr>
        <w:t xml:space="preserve"> </w:t>
      </w:r>
      <w:r>
        <w:t>basis</w:t>
      </w:r>
      <w:r>
        <w:rPr>
          <w:spacing w:val="-11"/>
        </w:rPr>
        <w:t xml:space="preserve"> </w:t>
      </w:r>
      <w:r>
        <w:t>for</w:t>
      </w:r>
      <w:r>
        <w:rPr>
          <w:spacing w:val="-14"/>
        </w:rPr>
        <w:t xml:space="preserve"> </w:t>
      </w:r>
      <w:r>
        <w:t>MOFCOM's</w:t>
      </w:r>
      <w:r>
        <w:rPr>
          <w:spacing w:val="-11"/>
        </w:rPr>
        <w:t xml:space="preserve"> </w:t>
      </w:r>
      <w:r>
        <w:t>conclusion.</w:t>
      </w:r>
      <w:r>
        <w:rPr>
          <w:spacing w:val="-12"/>
        </w:rPr>
        <w:t xml:space="preserve"> </w:t>
      </w:r>
      <w:r>
        <w:t>This</w:t>
      </w:r>
      <w:r>
        <w:rPr>
          <w:spacing w:val="-11"/>
        </w:rPr>
        <w:t xml:space="preserve"> </w:t>
      </w:r>
      <w:r>
        <w:t>is</w:t>
      </w:r>
      <w:r>
        <w:rPr>
          <w:spacing w:val="-11"/>
        </w:rPr>
        <w:t xml:space="preserve"> </w:t>
      </w:r>
      <w:r>
        <w:t>not</w:t>
      </w:r>
      <w:r>
        <w:rPr>
          <w:spacing w:val="-12"/>
        </w:rPr>
        <w:t xml:space="preserve"> </w:t>
      </w:r>
      <w:r>
        <w:t>the way an unbiased and objective investigating authority would have approached the issue.</w:t>
      </w:r>
    </w:p>
    <w:p w14:paraId="3356A58A" w14:textId="77777777" w:rsidR="00BD462C" w:rsidRDefault="00BD462C">
      <w:pPr>
        <w:pStyle w:val="BodyText"/>
        <w:spacing w:before="7"/>
        <w:rPr>
          <w:sz w:val="8"/>
        </w:rPr>
      </w:pPr>
    </w:p>
    <w:p w14:paraId="50852E2C" w14:textId="74B57245" w:rsidR="00BD462C" w:rsidRPr="00B472DD" w:rsidRDefault="00033D0F" w:rsidP="00B472DD">
      <w:pPr>
        <w:pStyle w:val="BodyText"/>
        <w:numPr>
          <w:ilvl w:val="0"/>
          <w:numId w:val="71"/>
        </w:numPr>
        <w:spacing w:before="56" w:line="357" w:lineRule="auto"/>
        <w:ind w:right="913"/>
        <w:jc w:val="both"/>
        <w:rPr>
          <w:sz w:val="20"/>
        </w:rPr>
      </w:pPr>
      <w:r w:rsidRPr="00B472DD">
        <w:rPr>
          <w:position w:val="1"/>
        </w:rPr>
        <w:t xml:space="preserve">In relation to paragraph 5, China's contention that Swan Vintage did not cooperate </w:t>
      </w:r>
      <w:r>
        <w:t>to the best of its ability is directly contradicted by the facts on the record.</w:t>
      </w:r>
    </w:p>
    <w:p w14:paraId="20494054" w14:textId="5634249E" w:rsidR="00BD462C" w:rsidRDefault="00D70C7D">
      <w:pPr>
        <w:pStyle w:val="BodyText"/>
        <w:spacing w:before="4"/>
        <w:rPr>
          <w:sz w:val="13"/>
        </w:rPr>
      </w:pPr>
      <w:r>
        <w:rPr>
          <w:noProof/>
        </w:rPr>
        <mc:AlternateContent>
          <mc:Choice Requires="wps">
            <w:drawing>
              <wp:anchor distT="0" distB="0" distL="0" distR="0" simplePos="0" relativeHeight="487726080" behindDoc="1" locked="0" layoutInCell="1" allowOverlap="1" wp14:anchorId="45F18389" wp14:editId="27155CBA">
                <wp:simplePos x="0" y="0"/>
                <wp:positionH relativeFrom="page">
                  <wp:posOffset>899160</wp:posOffset>
                </wp:positionH>
                <wp:positionV relativeFrom="paragraph">
                  <wp:posOffset>118745</wp:posOffset>
                </wp:positionV>
                <wp:extent cx="1828800" cy="8890"/>
                <wp:effectExtent l="0" t="0" r="0" b="0"/>
                <wp:wrapTopAndBottom/>
                <wp:docPr id="832" name="docshape3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F8A5D3" id="docshape300" o:spid="_x0000_s1026" alt="&quot;&quot;" style="position:absolute;margin-left:70.8pt;margin-top:9.35pt;width:2in;height:.7pt;z-index:-15590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" fillcolor="black" stroked="f">
                <w10:wrap type="topAndBottom" anchorx="page"/>
              </v:rect>
            </w:pict>
          </mc:Fallback>
        </mc:AlternateContent>
      </w:r>
    </w:p>
    <w:p w14:paraId="35359109" w14:textId="77777777" w:rsidR="00BD462C" w:rsidRPr="00B472DD" w:rsidRDefault="00033D0F">
      <w:pPr>
        <w:spacing w:before="107"/>
        <w:ind w:left="135"/>
        <w:rPr>
          <w:sz w:val="16"/>
          <w:szCs w:val="16"/>
        </w:rPr>
      </w:pPr>
      <w:bookmarkStart w:id="669" w:name="_bookmark574"/>
      <w:bookmarkEnd w:id="669"/>
      <w:r w:rsidRPr="00B472DD">
        <w:rPr>
          <w:position w:val="5"/>
          <w:sz w:val="16"/>
          <w:szCs w:val="16"/>
        </w:rPr>
        <w:t>477</w:t>
      </w:r>
      <w:r w:rsidRPr="00B472DD">
        <w:rPr>
          <w:spacing w:val="12"/>
          <w:position w:val="5"/>
          <w:sz w:val="16"/>
          <w:szCs w:val="16"/>
        </w:rPr>
        <w:t xml:space="preserve"> </w:t>
      </w:r>
      <w:r w:rsidRPr="00B472DD">
        <w:rPr>
          <w:sz w:val="16"/>
          <w:szCs w:val="16"/>
        </w:rPr>
        <w:t>Australia's</w:t>
      </w:r>
      <w:r w:rsidRPr="00B472DD">
        <w:rPr>
          <w:spacing w:val="-7"/>
          <w:sz w:val="16"/>
          <w:szCs w:val="16"/>
        </w:rPr>
        <w:t xml:space="preserve"> </w:t>
      </w:r>
      <w:r w:rsidRPr="00B472DD">
        <w:rPr>
          <w:sz w:val="16"/>
          <w:szCs w:val="16"/>
        </w:rPr>
        <w:t>first</w:t>
      </w:r>
      <w:r w:rsidRPr="00B472DD">
        <w:rPr>
          <w:spacing w:val="-5"/>
          <w:sz w:val="16"/>
          <w:szCs w:val="16"/>
        </w:rPr>
        <w:t xml:space="preserve"> </w:t>
      </w:r>
      <w:r w:rsidRPr="00B472DD">
        <w:rPr>
          <w:sz w:val="16"/>
          <w:szCs w:val="16"/>
        </w:rPr>
        <w:t>written</w:t>
      </w:r>
      <w:r w:rsidRPr="00B472DD">
        <w:rPr>
          <w:spacing w:val="-3"/>
          <w:sz w:val="16"/>
          <w:szCs w:val="16"/>
        </w:rPr>
        <w:t xml:space="preserve"> </w:t>
      </w:r>
      <w:r w:rsidRPr="00B472DD">
        <w:rPr>
          <w:sz w:val="16"/>
          <w:szCs w:val="16"/>
        </w:rPr>
        <w:t>submission, paras.</w:t>
      </w:r>
      <w:r w:rsidRPr="00B472DD">
        <w:rPr>
          <w:spacing w:val="-5"/>
          <w:sz w:val="16"/>
          <w:szCs w:val="16"/>
        </w:rPr>
        <w:t xml:space="preserve"> </w:t>
      </w:r>
      <w:r w:rsidRPr="00B472DD">
        <w:rPr>
          <w:sz w:val="16"/>
          <w:szCs w:val="16"/>
        </w:rPr>
        <w:t>424-</w:t>
      </w:r>
      <w:r w:rsidRPr="00B472DD">
        <w:rPr>
          <w:spacing w:val="-4"/>
          <w:sz w:val="16"/>
          <w:szCs w:val="16"/>
        </w:rPr>
        <w:t>470.</w:t>
      </w:r>
    </w:p>
    <w:p w14:paraId="6309DAC9" w14:textId="77777777" w:rsidR="00BD462C" w:rsidRPr="00B472DD" w:rsidRDefault="00033D0F">
      <w:pPr>
        <w:spacing w:before="1"/>
        <w:ind w:left="135" w:right="912"/>
        <w:rPr>
          <w:sz w:val="16"/>
          <w:szCs w:val="16"/>
        </w:rPr>
      </w:pPr>
      <w:bookmarkStart w:id="670" w:name="_bookmark575"/>
      <w:bookmarkEnd w:id="670"/>
      <w:r w:rsidRPr="00B472DD">
        <w:rPr>
          <w:position w:val="5"/>
          <w:sz w:val="16"/>
          <w:szCs w:val="16"/>
        </w:rPr>
        <w:t>478</w:t>
      </w:r>
      <w:r w:rsidRPr="00B472DD">
        <w:rPr>
          <w:spacing w:val="40"/>
          <w:position w:val="5"/>
          <w:sz w:val="16"/>
          <w:szCs w:val="16"/>
        </w:rPr>
        <w:t xml:space="preserve"> </w:t>
      </w:r>
      <w:r w:rsidRPr="00B472DD">
        <w:rPr>
          <w:sz w:val="16"/>
          <w:szCs w:val="16"/>
        </w:rPr>
        <w:t>See</w:t>
      </w:r>
      <w:r w:rsidRPr="00B472DD">
        <w:rPr>
          <w:spacing w:val="17"/>
          <w:sz w:val="16"/>
          <w:szCs w:val="16"/>
        </w:rPr>
        <w:t xml:space="preserve"> </w:t>
      </w:r>
      <w:r w:rsidRPr="00B472DD">
        <w:rPr>
          <w:sz w:val="16"/>
          <w:szCs w:val="16"/>
        </w:rPr>
        <w:t>Australia's</w:t>
      </w:r>
      <w:r w:rsidRPr="00B472DD">
        <w:rPr>
          <w:spacing w:val="21"/>
          <w:sz w:val="16"/>
          <w:szCs w:val="16"/>
        </w:rPr>
        <w:t xml:space="preserve"> </w:t>
      </w:r>
      <w:r w:rsidRPr="00B472DD">
        <w:rPr>
          <w:sz w:val="16"/>
          <w:szCs w:val="16"/>
        </w:rPr>
        <w:t>first</w:t>
      </w:r>
      <w:r w:rsidRPr="00B472DD">
        <w:rPr>
          <w:spacing w:val="22"/>
          <w:sz w:val="16"/>
          <w:szCs w:val="16"/>
        </w:rPr>
        <w:t xml:space="preserve"> </w:t>
      </w:r>
      <w:r w:rsidRPr="00B472DD">
        <w:rPr>
          <w:sz w:val="16"/>
          <w:szCs w:val="16"/>
        </w:rPr>
        <w:t>written</w:t>
      </w:r>
      <w:r w:rsidRPr="00B472DD">
        <w:rPr>
          <w:spacing w:val="17"/>
          <w:sz w:val="16"/>
          <w:szCs w:val="16"/>
        </w:rPr>
        <w:t xml:space="preserve"> </w:t>
      </w:r>
      <w:r w:rsidRPr="00B472DD">
        <w:rPr>
          <w:sz w:val="16"/>
          <w:szCs w:val="16"/>
        </w:rPr>
        <w:t>submission,</w:t>
      </w:r>
      <w:r w:rsidRPr="00B472DD">
        <w:rPr>
          <w:spacing w:val="23"/>
          <w:sz w:val="16"/>
          <w:szCs w:val="16"/>
        </w:rPr>
        <w:t xml:space="preserve"> </w:t>
      </w:r>
      <w:r w:rsidRPr="00B472DD">
        <w:rPr>
          <w:sz w:val="16"/>
          <w:szCs w:val="16"/>
        </w:rPr>
        <w:t>paras.</w:t>
      </w:r>
      <w:r w:rsidRPr="00B472DD">
        <w:rPr>
          <w:spacing w:val="22"/>
          <w:sz w:val="16"/>
          <w:szCs w:val="16"/>
        </w:rPr>
        <w:t xml:space="preserve"> </w:t>
      </w:r>
      <w:r w:rsidRPr="00B472DD">
        <w:rPr>
          <w:sz w:val="16"/>
          <w:szCs w:val="16"/>
        </w:rPr>
        <w:t>71</w:t>
      </w:r>
      <w:r w:rsidRPr="00B472DD">
        <w:rPr>
          <w:spacing w:val="19"/>
          <w:sz w:val="16"/>
          <w:szCs w:val="16"/>
        </w:rPr>
        <w:t xml:space="preserve"> </w:t>
      </w:r>
      <w:r w:rsidRPr="00B472DD">
        <w:rPr>
          <w:sz w:val="16"/>
          <w:szCs w:val="16"/>
        </w:rPr>
        <w:t>and</w:t>
      </w:r>
      <w:r w:rsidRPr="00B472DD">
        <w:rPr>
          <w:spacing w:val="21"/>
          <w:sz w:val="16"/>
          <w:szCs w:val="16"/>
        </w:rPr>
        <w:t xml:space="preserve"> </w:t>
      </w:r>
      <w:r w:rsidRPr="00B472DD">
        <w:rPr>
          <w:sz w:val="16"/>
          <w:szCs w:val="16"/>
        </w:rPr>
        <w:t>151;</w:t>
      </w:r>
      <w:r w:rsidRPr="00B472DD">
        <w:rPr>
          <w:spacing w:val="20"/>
          <w:sz w:val="16"/>
          <w:szCs w:val="16"/>
        </w:rPr>
        <w:t xml:space="preserve"> </w:t>
      </w:r>
      <w:r w:rsidRPr="00B472DD">
        <w:rPr>
          <w:sz w:val="16"/>
          <w:szCs w:val="16"/>
        </w:rPr>
        <w:t>Panel</w:t>
      </w:r>
      <w:r w:rsidRPr="00B472DD">
        <w:rPr>
          <w:spacing w:val="22"/>
          <w:sz w:val="16"/>
          <w:szCs w:val="16"/>
        </w:rPr>
        <w:t xml:space="preserve"> </w:t>
      </w:r>
      <w:r w:rsidRPr="00B472DD">
        <w:rPr>
          <w:sz w:val="16"/>
          <w:szCs w:val="16"/>
        </w:rPr>
        <w:t>Report,</w:t>
      </w:r>
      <w:r w:rsidRPr="00B472DD">
        <w:rPr>
          <w:spacing w:val="19"/>
          <w:sz w:val="16"/>
          <w:szCs w:val="16"/>
        </w:rPr>
        <w:t xml:space="preserve"> </w:t>
      </w:r>
      <w:r w:rsidRPr="00B472DD">
        <w:rPr>
          <w:i/>
          <w:sz w:val="16"/>
          <w:szCs w:val="16"/>
        </w:rPr>
        <w:t>China</w:t>
      </w:r>
      <w:r w:rsidRPr="00B472DD">
        <w:rPr>
          <w:i/>
          <w:spacing w:val="23"/>
          <w:sz w:val="16"/>
          <w:szCs w:val="16"/>
        </w:rPr>
        <w:t xml:space="preserve"> </w:t>
      </w:r>
      <w:r w:rsidRPr="00B472DD">
        <w:rPr>
          <w:i/>
          <w:sz w:val="16"/>
          <w:szCs w:val="16"/>
        </w:rPr>
        <w:t>–</w:t>
      </w:r>
      <w:r w:rsidRPr="00B472DD">
        <w:rPr>
          <w:i/>
          <w:spacing w:val="17"/>
          <w:sz w:val="16"/>
          <w:szCs w:val="16"/>
        </w:rPr>
        <w:t xml:space="preserve"> </w:t>
      </w:r>
      <w:r w:rsidRPr="00B472DD">
        <w:rPr>
          <w:i/>
          <w:sz w:val="16"/>
          <w:szCs w:val="16"/>
        </w:rPr>
        <w:t>Broiler</w:t>
      </w:r>
      <w:r w:rsidRPr="00B472DD">
        <w:rPr>
          <w:i/>
          <w:spacing w:val="16"/>
          <w:sz w:val="16"/>
          <w:szCs w:val="16"/>
        </w:rPr>
        <w:t xml:space="preserve"> </w:t>
      </w:r>
      <w:r w:rsidRPr="00B472DD">
        <w:rPr>
          <w:i/>
          <w:sz w:val="16"/>
          <w:szCs w:val="16"/>
        </w:rPr>
        <w:t>Products</w:t>
      </w:r>
      <w:r w:rsidRPr="00B472DD">
        <w:rPr>
          <w:i/>
          <w:spacing w:val="17"/>
          <w:sz w:val="16"/>
          <w:szCs w:val="16"/>
        </w:rPr>
        <w:t xml:space="preserve"> </w:t>
      </w:r>
      <w:r w:rsidRPr="00B472DD">
        <w:rPr>
          <w:i/>
          <w:sz w:val="16"/>
          <w:szCs w:val="16"/>
        </w:rPr>
        <w:t>(Article</w:t>
      </w:r>
      <w:r w:rsidRPr="00B472DD">
        <w:rPr>
          <w:i/>
          <w:spacing w:val="20"/>
          <w:sz w:val="16"/>
          <w:szCs w:val="16"/>
        </w:rPr>
        <w:t xml:space="preserve"> </w:t>
      </w:r>
      <w:r w:rsidRPr="00B472DD">
        <w:rPr>
          <w:i/>
          <w:sz w:val="16"/>
          <w:szCs w:val="16"/>
        </w:rPr>
        <w:t>21.5</w:t>
      </w:r>
      <w:r w:rsidRPr="00B472DD">
        <w:rPr>
          <w:i/>
          <w:spacing w:val="15"/>
          <w:sz w:val="16"/>
          <w:szCs w:val="16"/>
        </w:rPr>
        <w:t xml:space="preserve"> </w:t>
      </w:r>
      <w:r w:rsidRPr="00B472DD">
        <w:rPr>
          <w:i/>
          <w:sz w:val="16"/>
          <w:szCs w:val="16"/>
        </w:rPr>
        <w:t>-</w:t>
      </w:r>
      <w:r w:rsidRPr="00B472DD">
        <w:rPr>
          <w:i/>
          <w:spacing w:val="22"/>
          <w:sz w:val="16"/>
          <w:szCs w:val="16"/>
        </w:rPr>
        <w:t xml:space="preserve"> </w:t>
      </w:r>
      <w:r w:rsidRPr="00B472DD">
        <w:rPr>
          <w:i/>
          <w:sz w:val="16"/>
          <w:szCs w:val="16"/>
        </w:rPr>
        <w:t>US)</w:t>
      </w:r>
      <w:r w:rsidRPr="00B472DD">
        <w:rPr>
          <w:sz w:val="16"/>
          <w:szCs w:val="16"/>
        </w:rPr>
        <w:t>, para. 7.343.</w:t>
      </w:r>
    </w:p>
    <w:p w14:paraId="0C1B4D08" w14:textId="77777777" w:rsidR="00BD462C" w:rsidRPr="00B472DD" w:rsidRDefault="00033D0F">
      <w:pPr>
        <w:spacing w:before="2"/>
        <w:ind w:left="135"/>
        <w:rPr>
          <w:sz w:val="16"/>
          <w:szCs w:val="16"/>
        </w:rPr>
      </w:pPr>
      <w:bookmarkStart w:id="671" w:name="_bookmark576"/>
      <w:bookmarkEnd w:id="671"/>
      <w:r w:rsidRPr="00B472DD">
        <w:rPr>
          <w:position w:val="5"/>
          <w:sz w:val="16"/>
          <w:szCs w:val="16"/>
        </w:rPr>
        <w:t>479</w:t>
      </w:r>
      <w:r w:rsidRPr="00B472DD">
        <w:rPr>
          <w:spacing w:val="12"/>
          <w:position w:val="5"/>
          <w:sz w:val="16"/>
          <w:szCs w:val="16"/>
        </w:rPr>
        <w:t xml:space="preserve"> </w:t>
      </w:r>
      <w:r w:rsidRPr="00B472DD">
        <w:rPr>
          <w:sz w:val="16"/>
          <w:szCs w:val="16"/>
        </w:rPr>
        <w:t>Anti-Dumping</w:t>
      </w:r>
      <w:r w:rsidRPr="00B472DD">
        <w:rPr>
          <w:spacing w:val="-5"/>
          <w:sz w:val="16"/>
          <w:szCs w:val="16"/>
        </w:rPr>
        <w:t xml:space="preserve"> </w:t>
      </w:r>
      <w:r w:rsidRPr="00B472DD">
        <w:rPr>
          <w:sz w:val="16"/>
          <w:szCs w:val="16"/>
        </w:rPr>
        <w:t>Preliminary</w:t>
      </w:r>
      <w:r w:rsidRPr="00B472DD">
        <w:rPr>
          <w:spacing w:val="-8"/>
          <w:sz w:val="16"/>
          <w:szCs w:val="16"/>
        </w:rPr>
        <w:t xml:space="preserve"> </w:t>
      </w:r>
      <w:r w:rsidRPr="00B472DD">
        <w:rPr>
          <w:sz w:val="16"/>
          <w:szCs w:val="16"/>
        </w:rPr>
        <w:t>Determination</w:t>
      </w:r>
      <w:r w:rsidRPr="00B472DD">
        <w:rPr>
          <w:spacing w:val="-6"/>
          <w:sz w:val="16"/>
          <w:szCs w:val="16"/>
        </w:rPr>
        <w:t xml:space="preserve"> </w:t>
      </w:r>
      <w:r w:rsidRPr="00B472DD">
        <w:rPr>
          <w:sz w:val="16"/>
          <w:szCs w:val="16"/>
        </w:rPr>
        <w:t>(Exhibit</w:t>
      </w:r>
      <w:r w:rsidRPr="00B472DD">
        <w:rPr>
          <w:spacing w:val="-5"/>
          <w:sz w:val="16"/>
          <w:szCs w:val="16"/>
        </w:rPr>
        <w:t xml:space="preserve"> </w:t>
      </w:r>
      <w:r w:rsidRPr="00B472DD">
        <w:rPr>
          <w:sz w:val="16"/>
          <w:szCs w:val="16"/>
        </w:rPr>
        <w:t xml:space="preserve">AUS-35), p. </w:t>
      </w:r>
      <w:r w:rsidRPr="00B472DD">
        <w:rPr>
          <w:spacing w:val="-5"/>
          <w:sz w:val="16"/>
          <w:szCs w:val="16"/>
        </w:rPr>
        <w:t>63.</w:t>
      </w:r>
    </w:p>
    <w:p w14:paraId="0E66D0A0" w14:textId="77777777" w:rsidR="00BD462C" w:rsidRPr="00B472DD" w:rsidRDefault="00033D0F">
      <w:pPr>
        <w:spacing w:before="1"/>
        <w:ind w:left="135"/>
        <w:rPr>
          <w:sz w:val="16"/>
          <w:szCs w:val="16"/>
        </w:rPr>
      </w:pPr>
      <w:bookmarkStart w:id="672" w:name="_bookmark577"/>
      <w:bookmarkEnd w:id="672"/>
      <w:r w:rsidRPr="00B472DD">
        <w:rPr>
          <w:position w:val="5"/>
          <w:sz w:val="16"/>
          <w:szCs w:val="16"/>
        </w:rPr>
        <w:t>480</w:t>
      </w:r>
      <w:r w:rsidRPr="00B472DD">
        <w:rPr>
          <w:spacing w:val="15"/>
          <w:position w:val="5"/>
          <w:sz w:val="16"/>
          <w:szCs w:val="16"/>
        </w:rPr>
        <w:t xml:space="preserve"> </w:t>
      </w:r>
      <w:r w:rsidRPr="00B472DD">
        <w:rPr>
          <w:sz w:val="16"/>
          <w:szCs w:val="16"/>
        </w:rPr>
        <w:t>See</w:t>
      </w:r>
      <w:r w:rsidRPr="00B472DD">
        <w:rPr>
          <w:spacing w:val="-3"/>
          <w:sz w:val="16"/>
          <w:szCs w:val="16"/>
        </w:rPr>
        <w:t xml:space="preserve"> </w:t>
      </w:r>
      <w:r w:rsidRPr="00B472DD">
        <w:rPr>
          <w:sz w:val="16"/>
          <w:szCs w:val="16"/>
        </w:rPr>
        <w:t>section</w:t>
      </w:r>
      <w:r w:rsidRPr="00B472DD">
        <w:rPr>
          <w:spacing w:val="-4"/>
          <w:sz w:val="16"/>
          <w:szCs w:val="16"/>
        </w:rPr>
        <w:t xml:space="preserve"> </w:t>
      </w:r>
      <w:hyperlink w:anchor="_bookmark553" w:history="1">
        <w:r w:rsidRPr="00B472DD">
          <w:rPr>
            <w:sz w:val="16"/>
            <w:szCs w:val="16"/>
          </w:rPr>
          <w:t>III.F.2(a)</w:t>
        </w:r>
      </w:hyperlink>
      <w:r w:rsidRPr="00B472DD">
        <w:rPr>
          <w:spacing w:val="-2"/>
          <w:sz w:val="16"/>
          <w:szCs w:val="16"/>
        </w:rPr>
        <w:t xml:space="preserve"> above.</w:t>
      </w:r>
    </w:p>
    <w:p w14:paraId="195E3DC1" w14:textId="77777777" w:rsidR="00BD462C" w:rsidRDefault="00BD462C">
      <w:pPr>
        <w:rPr>
          <w:sz w:val="18"/>
        </w:rPr>
        <w:sectPr w:rsidR="00BD462C">
          <w:pgSz w:w="11910" w:h="16840"/>
          <w:pgMar w:top="860" w:right="500" w:bottom="780" w:left="1280" w:header="566" w:footer="590" w:gutter="0"/>
          <w:cols w:space="720"/>
        </w:sectPr>
      </w:pPr>
    </w:p>
    <w:p w14:paraId="4F73CE5C" w14:textId="77777777" w:rsidR="00BD462C" w:rsidRDefault="00033D0F">
      <w:pPr>
        <w:tabs>
          <w:tab w:val="left" w:pos="6087"/>
        </w:tabs>
        <w:spacing w:before="1"/>
        <w:ind w:left="135"/>
        <w:jc w:val="both"/>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28C07092" w14:textId="77777777" w:rsidR="00BD462C" w:rsidRDefault="00033D0F">
      <w:pPr>
        <w:spacing w:before="1"/>
        <w:ind w:left="135"/>
        <w:jc w:val="both"/>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79AB6003" w14:textId="77777777" w:rsidR="00BD462C" w:rsidRDefault="00033D0F">
      <w:pPr>
        <w:tabs>
          <w:tab w:val="left" w:pos="7652"/>
        </w:tabs>
        <w:ind w:left="135"/>
        <w:jc w:val="both"/>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3E8F3E2A" w14:textId="4050644D" w:rsidR="00BD462C" w:rsidRDefault="00B472DD">
      <w:pPr>
        <w:pStyle w:val="BodyText"/>
        <w:spacing w:before="102" w:line="360" w:lineRule="auto"/>
        <w:ind w:left="136" w:right="914"/>
        <w:jc w:val="both"/>
      </w:pPr>
      <w:r>
        <w:t xml:space="preserve">Not did only Swan Vintage provide extensive cooperation with MOFCOM throughout the investigation, it did so </w:t>
      </w:r>
      <w:r w:rsidR="00033D0F">
        <w:t>to</w:t>
      </w:r>
      <w:r w:rsidR="00033D0F">
        <w:rPr>
          <w:spacing w:val="-4"/>
        </w:rPr>
        <w:t xml:space="preserve"> </w:t>
      </w:r>
      <w:r w:rsidR="00033D0F">
        <w:t>the best</w:t>
      </w:r>
      <w:r w:rsidR="00033D0F">
        <w:rPr>
          <w:spacing w:val="-1"/>
        </w:rPr>
        <w:t xml:space="preserve"> </w:t>
      </w:r>
      <w:r w:rsidR="00033D0F">
        <w:t>of its ability. For example, Swan</w:t>
      </w:r>
      <w:r w:rsidR="00033D0F">
        <w:rPr>
          <w:spacing w:val="-3"/>
        </w:rPr>
        <w:t xml:space="preserve"> </w:t>
      </w:r>
      <w:r w:rsidR="00033D0F">
        <w:t>Vintage</w:t>
      </w:r>
      <w:r w:rsidR="00033D0F">
        <w:rPr>
          <w:spacing w:val="-1"/>
        </w:rPr>
        <w:t xml:space="preserve"> </w:t>
      </w:r>
      <w:r w:rsidR="00033D0F">
        <w:t>provided</w:t>
      </w:r>
      <w:r w:rsidR="00033D0F">
        <w:rPr>
          <w:spacing w:val="-3"/>
        </w:rPr>
        <w:t xml:space="preserve"> </w:t>
      </w:r>
      <w:r w:rsidR="00033D0F">
        <w:t>extensive</w:t>
      </w:r>
      <w:r w:rsidR="00033D0F">
        <w:rPr>
          <w:spacing w:val="-1"/>
        </w:rPr>
        <w:t xml:space="preserve"> </w:t>
      </w:r>
      <w:r w:rsidR="00033D0F">
        <w:t>data</w:t>
      </w:r>
      <w:r w:rsidR="00033D0F">
        <w:rPr>
          <w:spacing w:val="-2"/>
        </w:rPr>
        <w:t xml:space="preserve"> </w:t>
      </w:r>
      <w:r w:rsidR="00033D0F">
        <w:t>and information at each stage of the investigation. Where MOFCOM expressed concern at deficiencies, Swan Vintage provided explanations and additional data.</w:t>
      </w:r>
    </w:p>
    <w:p w14:paraId="18509A77" w14:textId="77777777" w:rsidR="00BD462C" w:rsidRDefault="00BD462C">
      <w:pPr>
        <w:pStyle w:val="BodyText"/>
        <w:spacing w:before="11"/>
        <w:rPr>
          <w:sz w:val="8"/>
        </w:rPr>
      </w:pPr>
    </w:p>
    <w:p w14:paraId="67428C76" w14:textId="21132385" w:rsidR="00BD462C" w:rsidRDefault="00033D0F" w:rsidP="00B472DD">
      <w:pPr>
        <w:pStyle w:val="BodyText"/>
        <w:numPr>
          <w:ilvl w:val="0"/>
          <w:numId w:val="71"/>
        </w:numPr>
        <w:spacing w:before="56" w:line="357" w:lineRule="auto"/>
        <w:ind w:right="913"/>
        <w:jc w:val="both"/>
      </w:pPr>
      <w:r>
        <w:rPr>
          <w:position w:val="1"/>
        </w:rPr>
        <w:t>Perhaps</w:t>
      </w:r>
      <w:r>
        <w:rPr>
          <w:spacing w:val="-14"/>
          <w:position w:val="1"/>
        </w:rPr>
        <w:t xml:space="preserve"> </w:t>
      </w:r>
      <w:r>
        <w:rPr>
          <w:position w:val="1"/>
        </w:rPr>
        <w:t>for</w:t>
      </w:r>
      <w:r>
        <w:rPr>
          <w:spacing w:val="-14"/>
          <w:position w:val="1"/>
        </w:rPr>
        <w:t xml:space="preserve"> </w:t>
      </w:r>
      <w:r>
        <w:rPr>
          <w:position w:val="1"/>
        </w:rPr>
        <w:t>this</w:t>
      </w:r>
      <w:r>
        <w:rPr>
          <w:spacing w:val="-13"/>
          <w:position w:val="1"/>
        </w:rPr>
        <w:t xml:space="preserve"> </w:t>
      </w:r>
      <w:r>
        <w:rPr>
          <w:position w:val="1"/>
        </w:rPr>
        <w:t>reason,</w:t>
      </w:r>
      <w:r>
        <w:rPr>
          <w:spacing w:val="-14"/>
          <w:position w:val="1"/>
        </w:rPr>
        <w:t xml:space="preserve"> </w:t>
      </w:r>
      <w:r>
        <w:rPr>
          <w:position w:val="1"/>
        </w:rPr>
        <w:t>MOFCOM</w:t>
      </w:r>
      <w:r>
        <w:rPr>
          <w:spacing w:val="-13"/>
          <w:position w:val="1"/>
        </w:rPr>
        <w:t xml:space="preserve"> </w:t>
      </w:r>
      <w:r>
        <w:rPr>
          <w:position w:val="1"/>
        </w:rPr>
        <w:t>did</w:t>
      </w:r>
      <w:r>
        <w:rPr>
          <w:spacing w:val="-14"/>
          <w:position w:val="1"/>
        </w:rPr>
        <w:t xml:space="preserve"> </w:t>
      </w:r>
      <w:r>
        <w:rPr>
          <w:position w:val="1"/>
        </w:rPr>
        <w:t>not</w:t>
      </w:r>
      <w:r>
        <w:rPr>
          <w:spacing w:val="-10"/>
          <w:position w:val="1"/>
        </w:rPr>
        <w:t xml:space="preserve"> </w:t>
      </w:r>
      <w:r>
        <w:rPr>
          <w:position w:val="1"/>
        </w:rPr>
        <w:t>make</w:t>
      </w:r>
      <w:r>
        <w:rPr>
          <w:spacing w:val="-14"/>
          <w:position w:val="1"/>
        </w:rPr>
        <w:t xml:space="preserve"> </w:t>
      </w:r>
      <w:r>
        <w:rPr>
          <w:position w:val="1"/>
        </w:rPr>
        <w:t>any</w:t>
      </w:r>
      <w:r>
        <w:rPr>
          <w:spacing w:val="-14"/>
          <w:position w:val="1"/>
        </w:rPr>
        <w:t xml:space="preserve"> </w:t>
      </w:r>
      <w:r>
        <w:rPr>
          <w:position w:val="1"/>
        </w:rPr>
        <w:t>determination</w:t>
      </w:r>
      <w:r>
        <w:rPr>
          <w:spacing w:val="-13"/>
          <w:position w:val="1"/>
        </w:rPr>
        <w:t xml:space="preserve"> </w:t>
      </w:r>
      <w:r>
        <w:rPr>
          <w:position w:val="1"/>
        </w:rPr>
        <w:t>that</w:t>
      </w:r>
      <w:r>
        <w:rPr>
          <w:spacing w:val="-14"/>
          <w:position w:val="1"/>
        </w:rPr>
        <w:t xml:space="preserve"> </w:t>
      </w:r>
      <w:r>
        <w:rPr>
          <w:position w:val="1"/>
        </w:rPr>
        <w:t>Swan</w:t>
      </w:r>
      <w:r>
        <w:rPr>
          <w:spacing w:val="-13"/>
          <w:position w:val="1"/>
        </w:rPr>
        <w:t xml:space="preserve"> </w:t>
      </w:r>
      <w:r>
        <w:rPr>
          <w:position w:val="1"/>
        </w:rPr>
        <w:t xml:space="preserve">Vintage </w:t>
      </w:r>
      <w:r>
        <w:t>did</w:t>
      </w:r>
      <w:r>
        <w:rPr>
          <w:spacing w:val="-13"/>
        </w:rPr>
        <w:t xml:space="preserve"> </w:t>
      </w:r>
      <w:r>
        <w:t>not</w:t>
      </w:r>
      <w:r>
        <w:rPr>
          <w:spacing w:val="-6"/>
        </w:rPr>
        <w:t xml:space="preserve"> </w:t>
      </w:r>
      <w:r>
        <w:t>cooperate</w:t>
      </w:r>
      <w:r>
        <w:rPr>
          <w:spacing w:val="-11"/>
        </w:rPr>
        <w:t xml:space="preserve"> </w:t>
      </w:r>
      <w:r>
        <w:t>to</w:t>
      </w:r>
      <w:r>
        <w:rPr>
          <w:spacing w:val="-13"/>
        </w:rPr>
        <w:t xml:space="preserve"> </w:t>
      </w:r>
      <w:r>
        <w:t>the</w:t>
      </w:r>
      <w:r>
        <w:rPr>
          <w:spacing w:val="-6"/>
        </w:rPr>
        <w:t xml:space="preserve"> </w:t>
      </w:r>
      <w:r>
        <w:t>best</w:t>
      </w:r>
      <w:r>
        <w:rPr>
          <w:spacing w:val="-10"/>
        </w:rPr>
        <w:t xml:space="preserve"> </w:t>
      </w:r>
      <w:r>
        <w:t>of</w:t>
      </w:r>
      <w:r>
        <w:rPr>
          <w:spacing w:val="-13"/>
        </w:rPr>
        <w:t xml:space="preserve"> </w:t>
      </w:r>
      <w:r>
        <w:t>its</w:t>
      </w:r>
      <w:r>
        <w:rPr>
          <w:spacing w:val="-9"/>
        </w:rPr>
        <w:t xml:space="preserve"> </w:t>
      </w:r>
      <w:r>
        <w:t>ability.</w:t>
      </w:r>
      <w:r>
        <w:rPr>
          <w:spacing w:val="-10"/>
        </w:rPr>
        <w:t xml:space="preserve"> </w:t>
      </w:r>
      <w:r>
        <w:t>No</w:t>
      </w:r>
      <w:r>
        <w:rPr>
          <w:spacing w:val="-13"/>
        </w:rPr>
        <w:t xml:space="preserve"> </w:t>
      </w:r>
      <w:r>
        <w:t>conclusion</w:t>
      </w:r>
      <w:r>
        <w:rPr>
          <w:spacing w:val="-13"/>
        </w:rPr>
        <w:t xml:space="preserve"> </w:t>
      </w:r>
      <w:r>
        <w:t>or</w:t>
      </w:r>
      <w:r>
        <w:rPr>
          <w:spacing w:val="-9"/>
        </w:rPr>
        <w:t xml:space="preserve"> </w:t>
      </w:r>
      <w:r>
        <w:t>reasoning</w:t>
      </w:r>
      <w:r>
        <w:rPr>
          <w:spacing w:val="-9"/>
        </w:rPr>
        <w:t xml:space="preserve"> </w:t>
      </w:r>
      <w:r>
        <w:t>to</w:t>
      </w:r>
      <w:r>
        <w:rPr>
          <w:spacing w:val="-9"/>
        </w:rPr>
        <w:t xml:space="preserve"> </w:t>
      </w:r>
      <w:r>
        <w:t>this</w:t>
      </w:r>
      <w:r>
        <w:rPr>
          <w:spacing w:val="-9"/>
        </w:rPr>
        <w:t xml:space="preserve"> </w:t>
      </w:r>
      <w:r>
        <w:t>effect</w:t>
      </w:r>
      <w:r>
        <w:rPr>
          <w:spacing w:val="-10"/>
        </w:rPr>
        <w:t xml:space="preserve"> </w:t>
      </w:r>
      <w:r>
        <w:t>is</w:t>
      </w:r>
      <w:r>
        <w:rPr>
          <w:spacing w:val="-9"/>
        </w:rPr>
        <w:t xml:space="preserve"> </w:t>
      </w:r>
      <w:r>
        <w:t xml:space="preserve">included in MOFCOM's determinations, nor does MOFCOM mention Swan Vintage's level of cooperation in connection with its recourse to facts available. For this reason, there is no record of this issue being a factor in MOFCOM's decision making under Article 6.8. China's claims to the contrary are mere </w:t>
      </w:r>
      <w:r>
        <w:rPr>
          <w:i/>
        </w:rPr>
        <w:t xml:space="preserve">ex post facto </w:t>
      </w:r>
      <w:proofErr w:type="spellStart"/>
      <w:r>
        <w:t>rationalisation</w:t>
      </w:r>
      <w:proofErr w:type="spellEnd"/>
      <w:r>
        <w:t xml:space="preserve"> and cannot assist the Panel.</w:t>
      </w:r>
    </w:p>
    <w:p w14:paraId="7F1384C6" w14:textId="77777777" w:rsidR="00BD462C" w:rsidRDefault="00BD462C">
      <w:pPr>
        <w:pStyle w:val="BodyText"/>
        <w:spacing w:before="9"/>
        <w:rPr>
          <w:sz w:val="9"/>
        </w:rPr>
      </w:pPr>
    </w:p>
    <w:p w14:paraId="2AD98E13" w14:textId="3FD821E2" w:rsidR="00BD462C" w:rsidRDefault="00033D0F" w:rsidP="00B472DD">
      <w:pPr>
        <w:pStyle w:val="BodyText"/>
        <w:numPr>
          <w:ilvl w:val="0"/>
          <w:numId w:val="71"/>
        </w:numPr>
        <w:spacing w:before="56" w:line="357" w:lineRule="auto"/>
        <w:ind w:right="913"/>
        <w:jc w:val="both"/>
      </w:pPr>
      <w:r>
        <w:rPr>
          <w:position w:val="1"/>
        </w:rPr>
        <w:t>China</w:t>
      </w:r>
      <w:r>
        <w:rPr>
          <w:spacing w:val="40"/>
          <w:position w:val="1"/>
        </w:rPr>
        <w:t xml:space="preserve"> </w:t>
      </w:r>
      <w:r>
        <w:rPr>
          <w:position w:val="1"/>
        </w:rPr>
        <w:t>has</w:t>
      </w:r>
      <w:r>
        <w:rPr>
          <w:spacing w:val="40"/>
          <w:position w:val="1"/>
        </w:rPr>
        <w:t xml:space="preserve"> </w:t>
      </w:r>
      <w:r>
        <w:rPr>
          <w:position w:val="1"/>
        </w:rPr>
        <w:t>not</w:t>
      </w:r>
      <w:r>
        <w:rPr>
          <w:spacing w:val="40"/>
          <w:position w:val="1"/>
        </w:rPr>
        <w:t xml:space="preserve"> </w:t>
      </w:r>
      <w:r>
        <w:rPr>
          <w:position w:val="1"/>
        </w:rPr>
        <w:t>claimed</w:t>
      </w:r>
      <w:r>
        <w:rPr>
          <w:spacing w:val="40"/>
          <w:position w:val="1"/>
        </w:rPr>
        <w:t xml:space="preserve"> </w:t>
      </w:r>
      <w:r>
        <w:rPr>
          <w:position w:val="1"/>
        </w:rPr>
        <w:t>that</w:t>
      </w:r>
      <w:r>
        <w:rPr>
          <w:spacing w:val="40"/>
          <w:position w:val="1"/>
        </w:rPr>
        <w:t xml:space="preserve"> </w:t>
      </w:r>
      <w:r>
        <w:rPr>
          <w:position w:val="1"/>
        </w:rPr>
        <w:t>MOFCOM</w:t>
      </w:r>
      <w:r>
        <w:rPr>
          <w:spacing w:val="40"/>
          <w:position w:val="1"/>
        </w:rPr>
        <w:t xml:space="preserve"> </w:t>
      </w:r>
      <w:r>
        <w:rPr>
          <w:position w:val="1"/>
        </w:rPr>
        <w:t>complied</w:t>
      </w:r>
      <w:r>
        <w:rPr>
          <w:spacing w:val="40"/>
          <w:position w:val="1"/>
        </w:rPr>
        <w:t xml:space="preserve"> </w:t>
      </w:r>
      <w:r>
        <w:rPr>
          <w:position w:val="1"/>
        </w:rPr>
        <w:t>with</w:t>
      </w:r>
      <w:r>
        <w:rPr>
          <w:spacing w:val="40"/>
          <w:position w:val="1"/>
        </w:rPr>
        <w:t xml:space="preserve"> </w:t>
      </w:r>
      <w:r>
        <w:rPr>
          <w:position w:val="1"/>
        </w:rPr>
        <w:t>the</w:t>
      </w:r>
      <w:r>
        <w:rPr>
          <w:spacing w:val="40"/>
          <w:position w:val="1"/>
        </w:rPr>
        <w:t xml:space="preserve"> </w:t>
      </w:r>
      <w:r>
        <w:rPr>
          <w:position w:val="1"/>
        </w:rPr>
        <w:t>other</w:t>
      </w:r>
      <w:r>
        <w:rPr>
          <w:spacing w:val="40"/>
          <w:position w:val="1"/>
        </w:rPr>
        <w:t xml:space="preserve"> </w:t>
      </w:r>
      <w:r>
        <w:rPr>
          <w:position w:val="1"/>
        </w:rPr>
        <w:t>aspects</w:t>
      </w:r>
      <w:r>
        <w:rPr>
          <w:spacing w:val="40"/>
          <w:position w:val="1"/>
        </w:rPr>
        <w:t xml:space="preserve"> </w:t>
      </w:r>
      <w:r>
        <w:rPr>
          <w:position w:val="1"/>
        </w:rPr>
        <w:t xml:space="preserve">of </w:t>
      </w:r>
      <w:r>
        <w:t>paragraphs</w:t>
      </w:r>
      <w:r>
        <w:rPr>
          <w:spacing w:val="-1"/>
        </w:rPr>
        <w:t xml:space="preserve"> </w:t>
      </w:r>
      <w:r>
        <w:t>3 and 5 of Annex II contrary to Australia's other submissions. Australia maintains those submissions.</w:t>
      </w:r>
    </w:p>
    <w:p w14:paraId="772C4956" w14:textId="77777777" w:rsidR="00BD462C" w:rsidRDefault="00033D0F">
      <w:pPr>
        <w:pStyle w:val="Heading3"/>
        <w:numPr>
          <w:ilvl w:val="0"/>
          <w:numId w:val="34"/>
        </w:numPr>
        <w:tabs>
          <w:tab w:val="left" w:pos="2689"/>
          <w:tab w:val="left" w:pos="2690"/>
        </w:tabs>
        <w:spacing w:before="164"/>
        <w:ind w:hanging="850"/>
        <w:jc w:val="both"/>
      </w:pPr>
      <w:bookmarkStart w:id="673" w:name="4._MOFCOM_acted_inconsistently_with_para"/>
      <w:bookmarkStart w:id="674" w:name="_bookmark578"/>
      <w:bookmarkEnd w:id="673"/>
      <w:bookmarkEnd w:id="674"/>
      <w:r>
        <w:t>MOFCOM</w:t>
      </w:r>
      <w:r>
        <w:rPr>
          <w:spacing w:val="-3"/>
        </w:rPr>
        <w:t xml:space="preserve"> </w:t>
      </w:r>
      <w:r>
        <w:t>acted</w:t>
      </w:r>
      <w:r>
        <w:rPr>
          <w:spacing w:val="-3"/>
        </w:rPr>
        <w:t xml:space="preserve"> </w:t>
      </w:r>
      <w:r>
        <w:t>inconsistently</w:t>
      </w:r>
      <w:r>
        <w:rPr>
          <w:spacing w:val="-2"/>
        </w:rPr>
        <w:t xml:space="preserve"> </w:t>
      </w:r>
      <w:r>
        <w:t>with</w:t>
      </w:r>
      <w:r>
        <w:rPr>
          <w:spacing w:val="-3"/>
        </w:rPr>
        <w:t xml:space="preserve"> </w:t>
      </w:r>
      <w:r>
        <w:t>paragraph</w:t>
      </w:r>
      <w:r>
        <w:rPr>
          <w:spacing w:val="-4"/>
        </w:rPr>
        <w:t xml:space="preserve"> </w:t>
      </w:r>
      <w:r>
        <w:t>6</w:t>
      </w:r>
      <w:r>
        <w:rPr>
          <w:spacing w:val="-6"/>
        </w:rPr>
        <w:t xml:space="preserve"> </w:t>
      </w:r>
      <w:r>
        <w:t>of</w:t>
      </w:r>
      <w:r>
        <w:rPr>
          <w:spacing w:val="-3"/>
        </w:rPr>
        <w:t xml:space="preserve"> </w:t>
      </w:r>
      <w:r>
        <w:t>Annex</w:t>
      </w:r>
      <w:r>
        <w:rPr>
          <w:spacing w:val="-3"/>
        </w:rPr>
        <w:t xml:space="preserve"> </w:t>
      </w:r>
      <w:r>
        <w:rPr>
          <w:spacing w:val="-5"/>
        </w:rPr>
        <w:t>II</w:t>
      </w:r>
    </w:p>
    <w:p w14:paraId="790671A8" w14:textId="77777777" w:rsidR="00BD462C" w:rsidRDefault="00BD462C">
      <w:pPr>
        <w:pStyle w:val="BodyText"/>
        <w:spacing w:before="11"/>
        <w:rPr>
          <w:b/>
          <w:sz w:val="20"/>
        </w:rPr>
      </w:pPr>
    </w:p>
    <w:p w14:paraId="07433F55" w14:textId="2EBF89C3" w:rsidR="00BD462C" w:rsidRDefault="00033D0F" w:rsidP="00B472DD">
      <w:pPr>
        <w:pStyle w:val="BodyText"/>
        <w:numPr>
          <w:ilvl w:val="0"/>
          <w:numId w:val="71"/>
        </w:numPr>
        <w:spacing w:before="56" w:line="357" w:lineRule="auto"/>
        <w:ind w:right="917"/>
        <w:jc w:val="both"/>
      </w:pPr>
      <w:r>
        <w:rPr>
          <w:position w:val="1"/>
        </w:rPr>
        <w:t>As</w:t>
      </w:r>
      <w:r>
        <w:rPr>
          <w:spacing w:val="40"/>
          <w:position w:val="1"/>
        </w:rPr>
        <w:t xml:space="preserve"> </w:t>
      </w:r>
      <w:r>
        <w:rPr>
          <w:position w:val="1"/>
        </w:rPr>
        <w:t>Australia</w:t>
      </w:r>
      <w:r>
        <w:rPr>
          <w:spacing w:val="40"/>
          <w:position w:val="1"/>
        </w:rPr>
        <w:t xml:space="preserve"> </w:t>
      </w:r>
      <w:r>
        <w:rPr>
          <w:position w:val="1"/>
        </w:rPr>
        <w:t>has</w:t>
      </w:r>
      <w:r>
        <w:rPr>
          <w:spacing w:val="40"/>
          <w:position w:val="1"/>
        </w:rPr>
        <w:t xml:space="preserve"> </w:t>
      </w:r>
      <w:r>
        <w:rPr>
          <w:position w:val="1"/>
        </w:rPr>
        <w:t>established,</w:t>
      </w:r>
      <w:r>
        <w:rPr>
          <w:spacing w:val="40"/>
          <w:position w:val="1"/>
        </w:rPr>
        <w:t xml:space="preserve"> </w:t>
      </w:r>
      <w:r>
        <w:rPr>
          <w:position w:val="1"/>
        </w:rPr>
        <w:t>MOFCOM</w:t>
      </w:r>
      <w:r>
        <w:rPr>
          <w:spacing w:val="40"/>
          <w:position w:val="1"/>
        </w:rPr>
        <w:t xml:space="preserve"> </w:t>
      </w:r>
      <w:r>
        <w:rPr>
          <w:position w:val="1"/>
        </w:rPr>
        <w:t>did</w:t>
      </w:r>
      <w:r>
        <w:rPr>
          <w:spacing w:val="40"/>
          <w:position w:val="1"/>
        </w:rPr>
        <w:t xml:space="preserve"> </w:t>
      </w:r>
      <w:r>
        <w:rPr>
          <w:position w:val="1"/>
        </w:rPr>
        <w:t>not</w:t>
      </w:r>
      <w:r>
        <w:rPr>
          <w:spacing w:val="40"/>
          <w:position w:val="1"/>
        </w:rPr>
        <w:t xml:space="preserve"> </w:t>
      </w:r>
      <w:r>
        <w:rPr>
          <w:position w:val="1"/>
        </w:rPr>
        <w:t>meet</w:t>
      </w:r>
      <w:r>
        <w:rPr>
          <w:spacing w:val="40"/>
          <w:position w:val="1"/>
        </w:rPr>
        <w:t xml:space="preserve"> </w:t>
      </w:r>
      <w:r>
        <w:rPr>
          <w:position w:val="1"/>
        </w:rPr>
        <w:t>its</w:t>
      </w:r>
      <w:r>
        <w:rPr>
          <w:spacing w:val="40"/>
          <w:position w:val="1"/>
        </w:rPr>
        <w:t xml:space="preserve"> </w:t>
      </w:r>
      <w:r>
        <w:rPr>
          <w:position w:val="1"/>
        </w:rPr>
        <w:t>obligations</w:t>
      </w:r>
      <w:r>
        <w:rPr>
          <w:spacing w:val="40"/>
          <w:position w:val="1"/>
        </w:rPr>
        <w:t xml:space="preserve"> </w:t>
      </w:r>
      <w:r>
        <w:rPr>
          <w:position w:val="1"/>
        </w:rPr>
        <w:t xml:space="preserve">under </w:t>
      </w:r>
      <w:r>
        <w:t>paragraph 6 of Annex II in relation to multiple items of evidence concerning the dumping calculation for Swan Vintage.</w:t>
      </w:r>
    </w:p>
    <w:p w14:paraId="39E158C0" w14:textId="77777777" w:rsidR="00BD462C" w:rsidRDefault="00BD462C">
      <w:pPr>
        <w:pStyle w:val="BodyText"/>
        <w:spacing w:before="3"/>
        <w:rPr>
          <w:sz w:val="9"/>
        </w:rPr>
      </w:pPr>
    </w:p>
    <w:p w14:paraId="1516926C" w14:textId="4E5C86D0" w:rsidR="00BD462C" w:rsidRDefault="00033D0F" w:rsidP="00B472DD">
      <w:pPr>
        <w:pStyle w:val="BodyText"/>
        <w:numPr>
          <w:ilvl w:val="0"/>
          <w:numId w:val="71"/>
        </w:numPr>
        <w:spacing w:before="56" w:line="360" w:lineRule="auto"/>
        <w:ind w:right="912"/>
        <w:jc w:val="both"/>
      </w:pPr>
      <w:r>
        <w:rPr>
          <w:position w:val="1"/>
        </w:rPr>
        <w:t>In</w:t>
      </w:r>
      <w:r>
        <w:rPr>
          <w:spacing w:val="-9"/>
          <w:position w:val="1"/>
        </w:rPr>
        <w:t xml:space="preserve"> </w:t>
      </w:r>
      <w:r>
        <w:rPr>
          <w:position w:val="1"/>
        </w:rPr>
        <w:t>relation</w:t>
      </w:r>
      <w:r>
        <w:rPr>
          <w:spacing w:val="-9"/>
          <w:position w:val="1"/>
        </w:rPr>
        <w:t xml:space="preserve"> </w:t>
      </w:r>
      <w:r>
        <w:rPr>
          <w:position w:val="1"/>
        </w:rPr>
        <w:t>to</w:t>
      </w:r>
      <w:r>
        <w:rPr>
          <w:spacing w:val="-10"/>
          <w:position w:val="1"/>
        </w:rPr>
        <w:t xml:space="preserve"> </w:t>
      </w:r>
      <w:r>
        <w:rPr>
          <w:position w:val="1"/>
        </w:rPr>
        <w:t>Swan</w:t>
      </w:r>
      <w:r>
        <w:rPr>
          <w:spacing w:val="-9"/>
          <w:position w:val="1"/>
        </w:rPr>
        <w:t xml:space="preserve"> </w:t>
      </w:r>
      <w:r>
        <w:rPr>
          <w:position w:val="1"/>
        </w:rPr>
        <w:t>Vintage's</w:t>
      </w:r>
      <w:r>
        <w:rPr>
          <w:spacing w:val="-10"/>
          <w:position w:val="1"/>
        </w:rPr>
        <w:t xml:space="preserve"> </w:t>
      </w:r>
      <w:r>
        <w:rPr>
          <w:position w:val="1"/>
        </w:rPr>
        <w:t>data</w:t>
      </w:r>
      <w:r>
        <w:rPr>
          <w:spacing w:val="-7"/>
          <w:position w:val="1"/>
        </w:rPr>
        <w:t xml:space="preserve"> </w:t>
      </w:r>
      <w:r>
        <w:rPr>
          <w:position w:val="1"/>
        </w:rPr>
        <w:t>from</w:t>
      </w:r>
      <w:r>
        <w:rPr>
          <w:spacing w:val="-7"/>
          <w:position w:val="1"/>
        </w:rPr>
        <w:t xml:space="preserve"> </w:t>
      </w:r>
      <w:r>
        <w:rPr>
          <w:position w:val="1"/>
        </w:rPr>
        <w:t>affiliated</w:t>
      </w:r>
      <w:r>
        <w:rPr>
          <w:spacing w:val="-9"/>
          <w:position w:val="1"/>
        </w:rPr>
        <w:t xml:space="preserve"> </w:t>
      </w:r>
      <w:r>
        <w:rPr>
          <w:position w:val="1"/>
        </w:rPr>
        <w:t>and</w:t>
      </w:r>
      <w:r>
        <w:rPr>
          <w:spacing w:val="-9"/>
          <w:position w:val="1"/>
        </w:rPr>
        <w:t xml:space="preserve"> </w:t>
      </w:r>
      <w:r>
        <w:rPr>
          <w:position w:val="1"/>
        </w:rPr>
        <w:t>non-affiliated</w:t>
      </w:r>
      <w:r>
        <w:rPr>
          <w:spacing w:val="-9"/>
          <w:position w:val="1"/>
        </w:rPr>
        <w:t xml:space="preserve"> </w:t>
      </w:r>
      <w:r>
        <w:rPr>
          <w:position w:val="1"/>
        </w:rPr>
        <w:t>service</w:t>
      </w:r>
      <w:r>
        <w:rPr>
          <w:spacing w:val="-7"/>
          <w:position w:val="1"/>
        </w:rPr>
        <w:t xml:space="preserve"> </w:t>
      </w:r>
      <w:r>
        <w:rPr>
          <w:position w:val="1"/>
        </w:rPr>
        <w:t xml:space="preserve">providers, </w:t>
      </w:r>
      <w:r>
        <w:t>Australia confirms that its arguments under paragraph 6 of Annex II relate to MOFCOM's conduct concerning the company's response to the Preliminary Determination,</w:t>
      </w:r>
      <w:hyperlink w:anchor="_bookmark579" w:history="1">
        <w:r>
          <w:rPr>
            <w:vertAlign w:val="superscript"/>
          </w:rPr>
          <w:t>481</w:t>
        </w:r>
      </w:hyperlink>
      <w:r>
        <w:t xml:space="preserve"> and the Supplementary</w:t>
      </w:r>
      <w:r>
        <w:rPr>
          <w:spacing w:val="80"/>
        </w:rPr>
        <w:t xml:space="preserve"> </w:t>
      </w:r>
      <w:r>
        <w:t>Questionnaire.</w:t>
      </w:r>
      <w:hyperlink w:anchor="_bookmark580" w:history="1">
        <w:r>
          <w:rPr>
            <w:vertAlign w:val="superscript"/>
          </w:rPr>
          <w:t>482</w:t>
        </w:r>
      </w:hyperlink>
      <w:r>
        <w:rPr>
          <w:spacing w:val="80"/>
        </w:rPr>
        <w:t xml:space="preserve"> </w:t>
      </w:r>
      <w:r>
        <w:t>In</w:t>
      </w:r>
      <w:r>
        <w:rPr>
          <w:spacing w:val="80"/>
        </w:rPr>
        <w:t xml:space="preserve"> </w:t>
      </w:r>
      <w:r>
        <w:t>response</w:t>
      </w:r>
      <w:r>
        <w:rPr>
          <w:spacing w:val="80"/>
        </w:rPr>
        <w:t xml:space="preserve"> </w:t>
      </w:r>
      <w:r>
        <w:t>to</w:t>
      </w:r>
      <w:r>
        <w:rPr>
          <w:spacing w:val="80"/>
        </w:rPr>
        <w:t xml:space="preserve"> </w:t>
      </w:r>
      <w:r>
        <w:t>the</w:t>
      </w:r>
      <w:r>
        <w:rPr>
          <w:spacing w:val="80"/>
        </w:rPr>
        <w:t xml:space="preserve"> </w:t>
      </w:r>
      <w:r>
        <w:t>Supplementary</w:t>
      </w:r>
      <w:r>
        <w:rPr>
          <w:spacing w:val="80"/>
        </w:rPr>
        <w:t xml:space="preserve"> </w:t>
      </w:r>
      <w:r>
        <w:t>Questionnaire, Swan</w:t>
      </w:r>
      <w:r>
        <w:rPr>
          <w:spacing w:val="-4"/>
        </w:rPr>
        <w:t xml:space="preserve"> </w:t>
      </w:r>
      <w:r>
        <w:t>Vintage confirmed it submitted a response on behalf of its affiliated service provider, Grower's Wine, but that it was unsuccessful in obtaining a response from the non-affiliated suppliers.</w:t>
      </w:r>
      <w:hyperlink w:anchor="_bookmark581" w:history="1">
        <w:r>
          <w:rPr>
            <w:vertAlign w:val="superscript"/>
          </w:rPr>
          <w:t>483</w:t>
        </w:r>
      </w:hyperlink>
      <w:r>
        <w:t xml:space="preserve"> MOFCOM gave no notice that it rejected these reasonable explanations.</w:t>
      </w:r>
    </w:p>
    <w:p w14:paraId="07EF8B90" w14:textId="3734B0CA" w:rsidR="00BD462C" w:rsidRDefault="00D70C7D">
      <w:pPr>
        <w:pStyle w:val="BodyText"/>
        <w:spacing w:before="1"/>
        <w:rPr>
          <w:sz w:val="25"/>
        </w:rPr>
      </w:pPr>
      <w:r>
        <w:rPr>
          <w:noProof/>
        </w:rPr>
        <mc:AlternateContent>
          <mc:Choice Requires="wps">
            <w:drawing>
              <wp:anchor distT="0" distB="0" distL="0" distR="0" simplePos="0" relativeHeight="487726592" behindDoc="1" locked="0" layoutInCell="1" allowOverlap="1" wp14:anchorId="05956623" wp14:editId="79931D04">
                <wp:simplePos x="0" y="0"/>
                <wp:positionH relativeFrom="page">
                  <wp:posOffset>899160</wp:posOffset>
                </wp:positionH>
                <wp:positionV relativeFrom="paragraph">
                  <wp:posOffset>210185</wp:posOffset>
                </wp:positionV>
                <wp:extent cx="1828800" cy="8890"/>
                <wp:effectExtent l="0" t="0" r="0" b="0"/>
                <wp:wrapTopAndBottom/>
                <wp:docPr id="830" name="docshape3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6C529A" id="docshape301" o:spid="_x0000_s1026" alt="&quot;&quot;" style="position:absolute;margin-left:70.8pt;margin-top:16.55pt;width:2in;height:.7pt;z-index:-15589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" fillcolor="black" stroked="f">
                <w10:wrap type="topAndBottom" anchorx="page"/>
              </v:rect>
            </w:pict>
          </mc:Fallback>
        </mc:AlternateContent>
      </w:r>
    </w:p>
    <w:p w14:paraId="0BC9C585" w14:textId="77777777" w:rsidR="00BD462C" w:rsidRDefault="00033D0F">
      <w:pPr>
        <w:spacing w:before="112"/>
        <w:ind w:left="135"/>
        <w:rPr>
          <w:sz w:val="18"/>
        </w:rPr>
      </w:pPr>
      <w:bookmarkStart w:id="675" w:name="_bookmark579"/>
      <w:bookmarkEnd w:id="675"/>
      <w:r>
        <w:rPr>
          <w:position w:val="5"/>
          <w:sz w:val="12"/>
        </w:rPr>
        <w:t>481</w:t>
      </w:r>
      <w:r>
        <w:rPr>
          <w:spacing w:val="13"/>
          <w:position w:val="5"/>
          <w:sz w:val="12"/>
        </w:rPr>
        <w:t xml:space="preserve"> </w:t>
      </w:r>
      <w:r>
        <w:rPr>
          <w:sz w:val="18"/>
        </w:rPr>
        <w:t>Swan</w:t>
      </w:r>
      <w:r>
        <w:rPr>
          <w:spacing w:val="-7"/>
          <w:sz w:val="18"/>
        </w:rPr>
        <w:t xml:space="preserve"> </w:t>
      </w:r>
      <w:r>
        <w:rPr>
          <w:sz w:val="18"/>
        </w:rPr>
        <w:t>Vintage</w:t>
      </w:r>
      <w:r>
        <w:rPr>
          <w:spacing w:val="-2"/>
          <w:sz w:val="18"/>
        </w:rPr>
        <w:t xml:space="preserve"> </w:t>
      </w:r>
      <w:r>
        <w:rPr>
          <w:sz w:val="18"/>
        </w:rPr>
        <w:t>Comments</w:t>
      </w:r>
      <w:r>
        <w:rPr>
          <w:spacing w:val="-5"/>
          <w:sz w:val="18"/>
        </w:rPr>
        <w:t xml:space="preserve"> </w:t>
      </w:r>
      <w:r>
        <w:rPr>
          <w:sz w:val="18"/>
        </w:rPr>
        <w:t>on</w:t>
      </w:r>
      <w:r>
        <w:rPr>
          <w:spacing w:val="-6"/>
          <w:sz w:val="18"/>
        </w:rPr>
        <w:t xml:space="preserve"> </w:t>
      </w:r>
      <w:r>
        <w:rPr>
          <w:sz w:val="18"/>
        </w:rPr>
        <w:t>the</w:t>
      </w:r>
      <w:r>
        <w:rPr>
          <w:spacing w:val="-6"/>
          <w:sz w:val="18"/>
        </w:rPr>
        <w:t xml:space="preserve"> </w:t>
      </w:r>
      <w:r>
        <w:rPr>
          <w:sz w:val="18"/>
        </w:rPr>
        <w:t>Preliminary</w:t>
      </w:r>
      <w:r>
        <w:rPr>
          <w:spacing w:val="-3"/>
          <w:sz w:val="18"/>
        </w:rPr>
        <w:t xml:space="preserve"> </w:t>
      </w:r>
      <w:r>
        <w:rPr>
          <w:sz w:val="18"/>
        </w:rPr>
        <w:t>Determination</w:t>
      </w:r>
      <w:r>
        <w:rPr>
          <w:spacing w:val="-6"/>
          <w:sz w:val="18"/>
        </w:rPr>
        <w:t xml:space="preserve"> </w:t>
      </w:r>
      <w:r>
        <w:rPr>
          <w:sz w:val="18"/>
        </w:rPr>
        <w:t>(Exhibit</w:t>
      </w:r>
      <w:r>
        <w:rPr>
          <w:spacing w:val="-1"/>
          <w:sz w:val="18"/>
        </w:rPr>
        <w:t xml:space="preserve"> </w:t>
      </w:r>
      <w:r>
        <w:rPr>
          <w:sz w:val="18"/>
        </w:rPr>
        <w:t>AUS-38),</w:t>
      </w:r>
      <w:r>
        <w:rPr>
          <w:spacing w:val="-3"/>
          <w:sz w:val="18"/>
        </w:rPr>
        <w:t xml:space="preserve"> </w:t>
      </w:r>
      <w:r>
        <w:rPr>
          <w:sz w:val="18"/>
        </w:rPr>
        <w:t>pp.</w:t>
      </w:r>
      <w:r>
        <w:rPr>
          <w:spacing w:val="-5"/>
          <w:sz w:val="18"/>
        </w:rPr>
        <w:t xml:space="preserve"> </w:t>
      </w:r>
      <w:r>
        <w:rPr>
          <w:sz w:val="18"/>
        </w:rPr>
        <w:t>8-</w:t>
      </w:r>
      <w:r>
        <w:rPr>
          <w:spacing w:val="-5"/>
          <w:sz w:val="18"/>
        </w:rPr>
        <w:t>9.</w:t>
      </w:r>
    </w:p>
    <w:p w14:paraId="56AB2741" w14:textId="77777777" w:rsidR="00BD462C" w:rsidRDefault="00033D0F">
      <w:pPr>
        <w:spacing w:before="1"/>
        <w:ind w:left="136" w:right="911" w:hanging="1"/>
        <w:rPr>
          <w:sz w:val="18"/>
        </w:rPr>
      </w:pPr>
      <w:bookmarkStart w:id="676" w:name="_bookmark580"/>
      <w:bookmarkEnd w:id="676"/>
      <w:r>
        <w:rPr>
          <w:position w:val="5"/>
          <w:sz w:val="12"/>
        </w:rPr>
        <w:t>482</w:t>
      </w:r>
      <w:r>
        <w:rPr>
          <w:spacing w:val="10"/>
          <w:position w:val="5"/>
          <w:sz w:val="12"/>
        </w:rPr>
        <w:t xml:space="preserve"> </w:t>
      </w:r>
      <w:r>
        <w:rPr>
          <w:sz w:val="18"/>
        </w:rPr>
        <w:t>Swan</w:t>
      </w:r>
      <w:r>
        <w:rPr>
          <w:spacing w:val="-12"/>
          <w:sz w:val="18"/>
        </w:rPr>
        <w:t xml:space="preserve"> </w:t>
      </w:r>
      <w:r>
        <w:rPr>
          <w:sz w:val="18"/>
        </w:rPr>
        <w:t>Vintage</w:t>
      </w:r>
      <w:r>
        <w:rPr>
          <w:spacing w:val="-8"/>
          <w:sz w:val="18"/>
        </w:rPr>
        <w:t xml:space="preserve"> </w:t>
      </w:r>
      <w:r>
        <w:rPr>
          <w:sz w:val="18"/>
        </w:rPr>
        <w:t>Supplementary</w:t>
      </w:r>
      <w:r>
        <w:rPr>
          <w:spacing w:val="-13"/>
          <w:sz w:val="18"/>
        </w:rPr>
        <w:t xml:space="preserve"> </w:t>
      </w:r>
      <w:r>
        <w:rPr>
          <w:sz w:val="18"/>
        </w:rPr>
        <w:t>Questionnaire</w:t>
      </w:r>
      <w:r>
        <w:rPr>
          <w:spacing w:val="-12"/>
          <w:sz w:val="18"/>
        </w:rPr>
        <w:t xml:space="preserve"> </w:t>
      </w:r>
      <w:r>
        <w:rPr>
          <w:sz w:val="18"/>
        </w:rPr>
        <w:t>Response</w:t>
      </w:r>
      <w:r>
        <w:rPr>
          <w:spacing w:val="-12"/>
          <w:sz w:val="18"/>
        </w:rPr>
        <w:t xml:space="preserve"> </w:t>
      </w:r>
      <w:r>
        <w:rPr>
          <w:sz w:val="18"/>
        </w:rPr>
        <w:t>(Exhibit</w:t>
      </w:r>
      <w:r>
        <w:rPr>
          <w:spacing w:val="-7"/>
          <w:sz w:val="18"/>
        </w:rPr>
        <w:t xml:space="preserve"> </w:t>
      </w:r>
      <w:r>
        <w:rPr>
          <w:sz w:val="18"/>
        </w:rPr>
        <w:t>AUS-41),</w:t>
      </w:r>
      <w:r>
        <w:rPr>
          <w:spacing w:val="-6"/>
          <w:sz w:val="18"/>
        </w:rPr>
        <w:t xml:space="preserve"> </w:t>
      </w:r>
      <w:r>
        <w:rPr>
          <w:sz w:val="18"/>
        </w:rPr>
        <w:t>pp.</w:t>
      </w:r>
      <w:r>
        <w:rPr>
          <w:spacing w:val="-7"/>
          <w:sz w:val="18"/>
        </w:rPr>
        <w:t xml:space="preserve"> </w:t>
      </w:r>
      <w:r>
        <w:rPr>
          <w:sz w:val="18"/>
        </w:rPr>
        <w:t>2-5;</w:t>
      </w:r>
      <w:r>
        <w:rPr>
          <w:spacing w:val="-13"/>
          <w:sz w:val="18"/>
        </w:rPr>
        <w:t xml:space="preserve"> </w:t>
      </w:r>
      <w:r>
        <w:rPr>
          <w:sz w:val="18"/>
        </w:rPr>
        <w:t>Australia's</w:t>
      </w:r>
      <w:r>
        <w:rPr>
          <w:spacing w:val="-12"/>
          <w:sz w:val="18"/>
        </w:rPr>
        <w:t xml:space="preserve"> </w:t>
      </w:r>
      <w:r>
        <w:rPr>
          <w:sz w:val="18"/>
        </w:rPr>
        <w:t>first</w:t>
      </w:r>
      <w:r>
        <w:rPr>
          <w:spacing w:val="-7"/>
          <w:sz w:val="18"/>
        </w:rPr>
        <w:t xml:space="preserve"> </w:t>
      </w:r>
      <w:r>
        <w:rPr>
          <w:sz w:val="18"/>
        </w:rPr>
        <w:t>written</w:t>
      </w:r>
      <w:r>
        <w:rPr>
          <w:spacing w:val="-9"/>
          <w:sz w:val="18"/>
        </w:rPr>
        <w:t xml:space="preserve"> </w:t>
      </w:r>
      <w:r>
        <w:rPr>
          <w:sz w:val="18"/>
        </w:rPr>
        <w:t>submission,</w:t>
      </w:r>
      <w:r>
        <w:rPr>
          <w:spacing w:val="-6"/>
          <w:sz w:val="18"/>
        </w:rPr>
        <w:t xml:space="preserve"> </w:t>
      </w:r>
      <w:r>
        <w:rPr>
          <w:sz w:val="18"/>
        </w:rPr>
        <w:t xml:space="preserve">paras. </w:t>
      </w:r>
      <w:r>
        <w:rPr>
          <w:spacing w:val="-2"/>
          <w:sz w:val="18"/>
        </w:rPr>
        <w:t>456-459.</w:t>
      </w:r>
    </w:p>
    <w:p w14:paraId="7F0DBB55" w14:textId="77777777" w:rsidR="00BD462C" w:rsidRDefault="00033D0F">
      <w:pPr>
        <w:spacing w:before="2"/>
        <w:ind w:left="135"/>
        <w:rPr>
          <w:sz w:val="18"/>
        </w:rPr>
      </w:pPr>
      <w:bookmarkStart w:id="677" w:name="_bookmark581"/>
      <w:bookmarkEnd w:id="677"/>
      <w:r>
        <w:rPr>
          <w:position w:val="5"/>
          <w:sz w:val="12"/>
        </w:rPr>
        <w:t>483</w:t>
      </w:r>
      <w:r>
        <w:rPr>
          <w:spacing w:val="13"/>
          <w:position w:val="5"/>
          <w:sz w:val="12"/>
        </w:rPr>
        <w:t xml:space="preserve"> </w:t>
      </w:r>
      <w:r>
        <w:rPr>
          <w:sz w:val="18"/>
        </w:rPr>
        <w:t>Swan</w:t>
      </w:r>
      <w:r>
        <w:rPr>
          <w:spacing w:val="-7"/>
          <w:sz w:val="18"/>
        </w:rPr>
        <w:t xml:space="preserve"> </w:t>
      </w:r>
      <w:r>
        <w:rPr>
          <w:sz w:val="18"/>
        </w:rPr>
        <w:t>Vintage</w:t>
      </w:r>
      <w:r>
        <w:rPr>
          <w:spacing w:val="-2"/>
          <w:sz w:val="18"/>
        </w:rPr>
        <w:t xml:space="preserve"> </w:t>
      </w:r>
      <w:r>
        <w:rPr>
          <w:sz w:val="18"/>
        </w:rPr>
        <w:t>Supplementary</w:t>
      </w:r>
      <w:r>
        <w:rPr>
          <w:spacing w:val="-7"/>
          <w:sz w:val="18"/>
        </w:rPr>
        <w:t xml:space="preserve"> </w:t>
      </w:r>
      <w:r>
        <w:rPr>
          <w:sz w:val="18"/>
        </w:rPr>
        <w:t>Questionnaire</w:t>
      </w:r>
      <w:r>
        <w:rPr>
          <w:spacing w:val="-5"/>
          <w:sz w:val="18"/>
        </w:rPr>
        <w:t xml:space="preserve"> </w:t>
      </w:r>
      <w:r>
        <w:rPr>
          <w:sz w:val="18"/>
        </w:rPr>
        <w:t>Response</w:t>
      </w:r>
      <w:r>
        <w:rPr>
          <w:spacing w:val="-6"/>
          <w:sz w:val="18"/>
        </w:rPr>
        <w:t xml:space="preserve"> </w:t>
      </w:r>
      <w:r>
        <w:rPr>
          <w:sz w:val="18"/>
        </w:rPr>
        <w:t>(Exhibit</w:t>
      </w:r>
      <w:r>
        <w:rPr>
          <w:spacing w:val="-4"/>
          <w:sz w:val="18"/>
        </w:rPr>
        <w:t xml:space="preserve"> </w:t>
      </w:r>
      <w:r>
        <w:rPr>
          <w:sz w:val="18"/>
        </w:rPr>
        <w:t>AUS-41),</w:t>
      </w:r>
      <w:r>
        <w:rPr>
          <w:spacing w:val="1"/>
          <w:sz w:val="18"/>
        </w:rPr>
        <w:t xml:space="preserve"> </w:t>
      </w:r>
      <w:r>
        <w:rPr>
          <w:sz w:val="18"/>
        </w:rPr>
        <w:t>pp.</w:t>
      </w:r>
      <w:r>
        <w:rPr>
          <w:spacing w:val="-5"/>
          <w:sz w:val="18"/>
        </w:rPr>
        <w:t xml:space="preserve"> </w:t>
      </w:r>
      <w:r>
        <w:rPr>
          <w:sz w:val="18"/>
        </w:rPr>
        <w:t>2-</w:t>
      </w:r>
      <w:r>
        <w:rPr>
          <w:spacing w:val="-5"/>
          <w:sz w:val="18"/>
        </w:rPr>
        <w:t>5.</w:t>
      </w:r>
    </w:p>
    <w:p w14:paraId="4CD89A19" w14:textId="77777777" w:rsidR="00BD462C" w:rsidRDefault="00BD462C">
      <w:pPr>
        <w:rPr>
          <w:sz w:val="18"/>
        </w:rPr>
        <w:sectPr w:rsidR="00BD462C">
          <w:pgSz w:w="11910" w:h="16840"/>
          <w:pgMar w:top="860" w:right="500" w:bottom="780" w:left="1280" w:header="566" w:footer="590" w:gutter="0"/>
          <w:cols w:space="720"/>
        </w:sectPr>
      </w:pPr>
    </w:p>
    <w:p w14:paraId="2C9C926A"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0DA9C47A"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44E3393D"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5C17A67C" w14:textId="75D93DB6" w:rsidR="00BD462C" w:rsidRDefault="00B472DD" w:rsidP="00B472DD">
      <w:pPr>
        <w:pStyle w:val="BodyText"/>
        <w:numPr>
          <w:ilvl w:val="0"/>
          <w:numId w:val="71"/>
        </w:numPr>
        <w:spacing w:before="56" w:line="357" w:lineRule="auto"/>
        <w:ind w:right="917"/>
        <w:jc w:val="both"/>
      </w:pPr>
      <w:r>
        <w:rPr>
          <w:position w:val="1"/>
        </w:rPr>
        <w:t xml:space="preserve">In relation to Swan Vintage's cost sheets, MOFCOM did not inform Swan Vintage </w:t>
      </w:r>
      <w:r>
        <w:t>"forthwith" of the reasons for not accepting the information submitted in Swan Vintage's response</w:t>
      </w:r>
      <w:r>
        <w:rPr>
          <w:spacing w:val="36"/>
        </w:rPr>
        <w:t xml:space="preserve"> </w:t>
      </w:r>
      <w:r>
        <w:t>to</w:t>
      </w:r>
      <w:r>
        <w:rPr>
          <w:spacing w:val="33"/>
        </w:rPr>
        <w:t xml:space="preserve"> </w:t>
      </w:r>
      <w:r>
        <w:t>the</w:t>
      </w:r>
      <w:r>
        <w:rPr>
          <w:spacing w:val="36"/>
        </w:rPr>
        <w:t xml:space="preserve"> </w:t>
      </w:r>
      <w:r>
        <w:t>Preliminary</w:t>
      </w:r>
      <w:r>
        <w:rPr>
          <w:spacing w:val="37"/>
        </w:rPr>
        <w:t xml:space="preserve"> </w:t>
      </w:r>
      <w:r>
        <w:t>Determination.</w:t>
      </w:r>
      <w:r>
        <w:rPr>
          <w:spacing w:val="37"/>
        </w:rPr>
        <w:t xml:space="preserve"> </w:t>
      </w:r>
      <w:r>
        <w:t>If</w:t>
      </w:r>
      <w:r>
        <w:rPr>
          <w:spacing w:val="34"/>
        </w:rPr>
        <w:t xml:space="preserve"> </w:t>
      </w:r>
      <w:r>
        <w:t>the</w:t>
      </w:r>
      <w:r>
        <w:rPr>
          <w:spacing w:val="36"/>
        </w:rPr>
        <w:t xml:space="preserve"> </w:t>
      </w:r>
      <w:r>
        <w:t>explanations</w:t>
      </w:r>
      <w:r>
        <w:rPr>
          <w:spacing w:val="37"/>
        </w:rPr>
        <w:t xml:space="preserve"> </w:t>
      </w:r>
      <w:r>
        <w:t>Swan</w:t>
      </w:r>
      <w:r>
        <w:rPr>
          <w:spacing w:val="34"/>
        </w:rPr>
        <w:t xml:space="preserve"> </w:t>
      </w:r>
      <w:r>
        <w:t>Vintage</w:t>
      </w:r>
      <w:r>
        <w:rPr>
          <w:spacing w:val="36"/>
        </w:rPr>
        <w:t xml:space="preserve"> </w:t>
      </w:r>
      <w:r>
        <w:t>provided</w:t>
      </w:r>
      <w:r>
        <w:rPr>
          <w:spacing w:val="34"/>
        </w:rPr>
        <w:t xml:space="preserve"> </w:t>
      </w:r>
      <w:r>
        <w:t xml:space="preserve">in </w:t>
      </w:r>
      <w:r w:rsidR="00033D0F">
        <w:t>response to the Preliminary Determination were not accepted, it was incumbent upon MOFCOM</w:t>
      </w:r>
      <w:r w:rsidR="00033D0F" w:rsidRPr="00B472DD">
        <w:rPr>
          <w:spacing w:val="-1"/>
        </w:rPr>
        <w:t xml:space="preserve"> </w:t>
      </w:r>
      <w:r w:rsidR="00033D0F">
        <w:t>to</w:t>
      </w:r>
      <w:r w:rsidR="00033D0F" w:rsidRPr="00B472DD">
        <w:rPr>
          <w:spacing w:val="-4"/>
        </w:rPr>
        <w:t xml:space="preserve"> </w:t>
      </w:r>
      <w:r w:rsidR="00033D0F">
        <w:t>explain</w:t>
      </w:r>
      <w:r w:rsidR="00033D0F" w:rsidRPr="00B472DD">
        <w:rPr>
          <w:spacing w:val="-3"/>
        </w:rPr>
        <w:t xml:space="preserve"> </w:t>
      </w:r>
      <w:r w:rsidR="00033D0F">
        <w:t>this forthwith. For example, MOFCOM</w:t>
      </w:r>
      <w:r w:rsidR="00033D0F" w:rsidRPr="00B472DD">
        <w:rPr>
          <w:spacing w:val="-1"/>
        </w:rPr>
        <w:t xml:space="preserve"> </w:t>
      </w:r>
      <w:r w:rsidR="00033D0F">
        <w:t>did</w:t>
      </w:r>
      <w:r w:rsidR="00033D0F" w:rsidRPr="00B472DD">
        <w:rPr>
          <w:spacing w:val="-3"/>
        </w:rPr>
        <w:t xml:space="preserve"> </w:t>
      </w:r>
      <w:r w:rsidR="00033D0F">
        <w:t>not reference Swan Vintage's previous submissions in</w:t>
      </w:r>
      <w:r w:rsidR="00033D0F" w:rsidRPr="00B472DD">
        <w:rPr>
          <w:spacing w:val="-3"/>
        </w:rPr>
        <w:t xml:space="preserve"> </w:t>
      </w:r>
      <w:r w:rsidR="00033D0F">
        <w:t>the</w:t>
      </w:r>
      <w:r w:rsidR="00033D0F" w:rsidRPr="00B472DD">
        <w:rPr>
          <w:spacing w:val="-2"/>
        </w:rPr>
        <w:t xml:space="preserve"> </w:t>
      </w:r>
      <w:r w:rsidR="00033D0F">
        <w:t>Supplementary Questionnaire. MOFCOM</w:t>
      </w:r>
      <w:r w:rsidR="00033D0F" w:rsidRPr="00B472DD">
        <w:rPr>
          <w:spacing w:val="-1"/>
        </w:rPr>
        <w:t xml:space="preserve"> </w:t>
      </w:r>
      <w:r w:rsidR="00033D0F">
        <w:t>also</w:t>
      </w:r>
      <w:r w:rsidR="00033D0F" w:rsidRPr="00B472DD">
        <w:rPr>
          <w:spacing w:val="-4"/>
        </w:rPr>
        <w:t xml:space="preserve"> </w:t>
      </w:r>
      <w:r w:rsidR="00033D0F">
        <w:t>did not provide</w:t>
      </w:r>
      <w:r w:rsidR="00033D0F" w:rsidRPr="00B472DD">
        <w:rPr>
          <w:spacing w:val="-2"/>
        </w:rPr>
        <w:t xml:space="preserve"> </w:t>
      </w:r>
      <w:r w:rsidR="00033D0F">
        <w:t>an opportunity to provide further explanations within a reasonable period of time, as required by</w:t>
      </w:r>
      <w:r w:rsidR="00033D0F" w:rsidRPr="00B472DD">
        <w:rPr>
          <w:spacing w:val="-8"/>
        </w:rPr>
        <w:t xml:space="preserve"> </w:t>
      </w:r>
      <w:r w:rsidR="00033D0F">
        <w:t>paragraph 6 of Annex II.</w:t>
      </w:r>
      <w:r w:rsidR="00033D0F" w:rsidRPr="00B472DD">
        <w:rPr>
          <w:spacing w:val="-14"/>
        </w:rPr>
        <w:t xml:space="preserve"> </w:t>
      </w:r>
      <w:hyperlink w:anchor="_bookmark583" w:history="1">
        <w:r w:rsidR="00033D0F" w:rsidRPr="00B472DD">
          <w:rPr>
            <w:vertAlign w:val="superscript"/>
          </w:rPr>
          <w:t>484</w:t>
        </w:r>
      </w:hyperlink>
      <w:r w:rsidR="00033D0F">
        <w:t xml:space="preserve"> Similar failings arise in the context of MOFCOM's rejection of information submitted by Swan Vintage in response to the Supplementary Questionnaire.</w:t>
      </w:r>
    </w:p>
    <w:p w14:paraId="125ACE46" w14:textId="77777777" w:rsidR="00BD462C" w:rsidRDefault="00BD462C">
      <w:pPr>
        <w:pStyle w:val="BodyText"/>
        <w:spacing w:before="8"/>
        <w:rPr>
          <w:sz w:val="8"/>
        </w:rPr>
      </w:pPr>
    </w:p>
    <w:p w14:paraId="40A80422" w14:textId="762EAC49" w:rsidR="00BD462C" w:rsidRDefault="00033D0F" w:rsidP="00B472DD">
      <w:pPr>
        <w:pStyle w:val="BodyText"/>
        <w:numPr>
          <w:ilvl w:val="0"/>
          <w:numId w:val="71"/>
        </w:numPr>
        <w:spacing w:before="56" w:line="360" w:lineRule="auto"/>
        <w:ind w:right="918"/>
        <w:jc w:val="both"/>
      </w:pPr>
      <w:r>
        <w:rPr>
          <w:position w:val="1"/>
        </w:rPr>
        <w:t>It</w:t>
      </w:r>
      <w:r>
        <w:rPr>
          <w:spacing w:val="-2"/>
          <w:position w:val="1"/>
        </w:rPr>
        <w:t xml:space="preserve"> </w:t>
      </w:r>
      <w:r>
        <w:rPr>
          <w:position w:val="1"/>
        </w:rPr>
        <w:t>is</w:t>
      </w:r>
      <w:r>
        <w:rPr>
          <w:spacing w:val="-1"/>
          <w:position w:val="1"/>
        </w:rPr>
        <w:t xml:space="preserve"> </w:t>
      </w:r>
      <w:r>
        <w:rPr>
          <w:position w:val="1"/>
        </w:rPr>
        <w:t>inexplicable</w:t>
      </w:r>
      <w:r>
        <w:rPr>
          <w:spacing w:val="-2"/>
          <w:position w:val="1"/>
        </w:rPr>
        <w:t xml:space="preserve"> </w:t>
      </w:r>
      <w:r>
        <w:rPr>
          <w:position w:val="1"/>
        </w:rPr>
        <w:t>that</w:t>
      </w:r>
      <w:r>
        <w:rPr>
          <w:spacing w:val="-2"/>
          <w:position w:val="1"/>
        </w:rPr>
        <w:t xml:space="preserve"> </w:t>
      </w:r>
      <w:r>
        <w:rPr>
          <w:position w:val="1"/>
        </w:rPr>
        <w:t>MOFCOM</w:t>
      </w:r>
      <w:r>
        <w:rPr>
          <w:spacing w:val="-2"/>
          <w:position w:val="1"/>
        </w:rPr>
        <w:t xml:space="preserve"> </w:t>
      </w:r>
      <w:r>
        <w:rPr>
          <w:position w:val="1"/>
        </w:rPr>
        <w:t>would</w:t>
      </w:r>
      <w:r>
        <w:rPr>
          <w:spacing w:val="-4"/>
          <w:position w:val="1"/>
        </w:rPr>
        <w:t xml:space="preserve"> </w:t>
      </w:r>
      <w:r>
        <w:rPr>
          <w:position w:val="1"/>
        </w:rPr>
        <w:t>have</w:t>
      </w:r>
      <w:r>
        <w:rPr>
          <w:spacing w:val="-2"/>
          <w:position w:val="1"/>
        </w:rPr>
        <w:t xml:space="preserve"> </w:t>
      </w:r>
      <w:proofErr w:type="spellStart"/>
      <w:r>
        <w:rPr>
          <w:position w:val="1"/>
        </w:rPr>
        <w:t>harboured</w:t>
      </w:r>
      <w:proofErr w:type="spellEnd"/>
      <w:r>
        <w:rPr>
          <w:position w:val="1"/>
        </w:rPr>
        <w:t xml:space="preserve"> profound</w:t>
      </w:r>
      <w:r>
        <w:rPr>
          <w:spacing w:val="-4"/>
          <w:position w:val="1"/>
        </w:rPr>
        <w:t xml:space="preserve"> </w:t>
      </w:r>
      <w:r>
        <w:rPr>
          <w:position w:val="1"/>
        </w:rPr>
        <w:t>concerns</w:t>
      </w:r>
      <w:r>
        <w:rPr>
          <w:spacing w:val="-1"/>
          <w:position w:val="1"/>
        </w:rPr>
        <w:t xml:space="preserve"> </w:t>
      </w:r>
      <w:r>
        <w:rPr>
          <w:position w:val="1"/>
        </w:rPr>
        <w:t xml:space="preserve">about the </w:t>
      </w:r>
      <w:r>
        <w:t>reliability of Swan Vintage's costs and expenses data without at least raising those concerns in the Supplementary Questionnaire or in other correspondence with the company, prior to publishing its Final Determination.</w:t>
      </w:r>
    </w:p>
    <w:p w14:paraId="08B368BE" w14:textId="77777777" w:rsidR="00BD462C" w:rsidRDefault="00BD462C">
      <w:pPr>
        <w:pStyle w:val="BodyText"/>
        <w:spacing w:before="8"/>
        <w:rPr>
          <w:sz w:val="8"/>
        </w:rPr>
      </w:pPr>
    </w:p>
    <w:p w14:paraId="65C5F313" w14:textId="452C1FFA" w:rsidR="00BD462C" w:rsidRDefault="00033D0F" w:rsidP="00B472DD">
      <w:pPr>
        <w:pStyle w:val="BodyText"/>
        <w:numPr>
          <w:ilvl w:val="0"/>
          <w:numId w:val="71"/>
        </w:numPr>
        <w:spacing w:before="57" w:line="360" w:lineRule="auto"/>
        <w:ind w:right="910"/>
        <w:jc w:val="both"/>
      </w:pPr>
      <w:r>
        <w:rPr>
          <w:position w:val="1"/>
        </w:rPr>
        <w:t xml:space="preserve">China responded to Australia's arguments in this regard by asserting that MOFCOM </w:t>
      </w:r>
      <w:r>
        <w:t>did inform Swan Vintage that its evidence would be rejected and did provide an opportunity to provide explanations.</w:t>
      </w:r>
      <w:hyperlink w:anchor="_bookmark584" w:history="1">
        <w:r>
          <w:rPr>
            <w:vertAlign w:val="superscript"/>
          </w:rPr>
          <w:t>485</w:t>
        </w:r>
      </w:hyperlink>
      <w:r>
        <w:t xml:space="preserve"> This response does not engage with the nature of the obligation which</w:t>
      </w:r>
      <w:r>
        <w:rPr>
          <w:spacing w:val="-5"/>
        </w:rPr>
        <w:t xml:space="preserve"> </w:t>
      </w:r>
      <w:r>
        <w:t>is</w:t>
      </w:r>
      <w:r>
        <w:rPr>
          <w:spacing w:val="-7"/>
        </w:rPr>
        <w:t xml:space="preserve"> </w:t>
      </w:r>
      <w:r>
        <w:t>to</w:t>
      </w:r>
      <w:r>
        <w:rPr>
          <w:spacing w:val="-6"/>
        </w:rPr>
        <w:t xml:space="preserve"> </w:t>
      </w:r>
      <w:r>
        <w:t>provide</w:t>
      </w:r>
      <w:r>
        <w:rPr>
          <w:spacing w:val="-4"/>
        </w:rPr>
        <w:t xml:space="preserve"> </w:t>
      </w:r>
      <w:r>
        <w:t>notice</w:t>
      </w:r>
      <w:r>
        <w:rPr>
          <w:spacing w:val="-3"/>
        </w:rPr>
        <w:t xml:space="preserve"> </w:t>
      </w:r>
      <w:r>
        <w:rPr>
          <w:i/>
        </w:rPr>
        <w:t>forthwith</w:t>
      </w:r>
      <w:r>
        <w:t>.</w:t>
      </w:r>
      <w:r>
        <w:rPr>
          <w:spacing w:val="-2"/>
        </w:rPr>
        <w:t xml:space="preserve"> </w:t>
      </w:r>
      <w:r>
        <w:t>In</w:t>
      </w:r>
      <w:r>
        <w:rPr>
          <w:spacing w:val="-5"/>
        </w:rPr>
        <w:t xml:space="preserve"> </w:t>
      </w:r>
      <w:r>
        <w:t>neither</w:t>
      </w:r>
      <w:r>
        <w:rPr>
          <w:spacing w:val="-6"/>
        </w:rPr>
        <w:t xml:space="preserve"> </w:t>
      </w:r>
      <w:r>
        <w:t>case</w:t>
      </w:r>
      <w:r>
        <w:rPr>
          <w:spacing w:val="-3"/>
        </w:rPr>
        <w:t xml:space="preserve"> </w:t>
      </w:r>
      <w:r>
        <w:t>did</w:t>
      </w:r>
      <w:r>
        <w:rPr>
          <w:spacing w:val="-5"/>
        </w:rPr>
        <w:t xml:space="preserve"> </w:t>
      </w:r>
      <w:r>
        <w:t>MOFCOM</w:t>
      </w:r>
      <w:r>
        <w:rPr>
          <w:spacing w:val="-8"/>
        </w:rPr>
        <w:t xml:space="preserve"> </w:t>
      </w:r>
      <w:r>
        <w:t>give</w:t>
      </w:r>
      <w:r>
        <w:rPr>
          <w:spacing w:val="-3"/>
        </w:rPr>
        <w:t xml:space="preserve"> </w:t>
      </w:r>
      <w:r>
        <w:t>notice</w:t>
      </w:r>
      <w:r>
        <w:rPr>
          <w:spacing w:val="-3"/>
        </w:rPr>
        <w:t xml:space="preserve"> </w:t>
      </w:r>
      <w:r>
        <w:t>"[</w:t>
      </w:r>
      <w:proofErr w:type="spellStart"/>
      <w:r>
        <w:t>i</w:t>
      </w:r>
      <w:proofErr w:type="spellEnd"/>
      <w:r>
        <w:t>]</w:t>
      </w:r>
      <w:proofErr w:type="spellStart"/>
      <w:r>
        <w:t>mmediately</w:t>
      </w:r>
      <w:proofErr w:type="spellEnd"/>
      <w:r>
        <w:t>, at once, without delay or interval".</w:t>
      </w:r>
      <w:hyperlink w:anchor="_bookmark585" w:history="1">
        <w:r>
          <w:rPr>
            <w:vertAlign w:val="superscript"/>
          </w:rPr>
          <w:t>486</w:t>
        </w:r>
      </w:hyperlink>
      <w:r>
        <w:t xml:space="preserve"> In both cases, MOFCOM did not respond to Swan Vintage's comments, but remained silent until the issuing of its preliminary and final determinations. In order to meet the forthwith standard, MOFCOM should have responded to Swan Vintage's comments immediately and without delay. Had MOFCOM done so, if any additional information had been required, it could have been supplied in a timely fashion.</w:t>
      </w:r>
    </w:p>
    <w:p w14:paraId="760B06A0" w14:textId="77777777" w:rsidR="00BD462C" w:rsidRDefault="00BD462C">
      <w:pPr>
        <w:pStyle w:val="BodyText"/>
        <w:spacing w:before="4"/>
        <w:rPr>
          <w:sz w:val="8"/>
        </w:rPr>
      </w:pPr>
    </w:p>
    <w:p w14:paraId="35A5B325" w14:textId="65330292" w:rsidR="00B472DD" w:rsidRDefault="00033D0F" w:rsidP="00B472DD">
      <w:pPr>
        <w:pStyle w:val="BodyText"/>
        <w:numPr>
          <w:ilvl w:val="0"/>
          <w:numId w:val="71"/>
        </w:numPr>
        <w:spacing w:before="56"/>
      </w:pPr>
      <w:r>
        <w:rPr>
          <w:position w:val="1"/>
        </w:rPr>
        <w:t>For</w:t>
      </w:r>
      <w:r>
        <w:rPr>
          <w:spacing w:val="-10"/>
          <w:position w:val="1"/>
        </w:rPr>
        <w:t xml:space="preserve"> </w:t>
      </w:r>
      <w:r>
        <w:rPr>
          <w:position w:val="1"/>
        </w:rPr>
        <w:t>these</w:t>
      </w:r>
      <w:r>
        <w:rPr>
          <w:spacing w:val="-6"/>
          <w:position w:val="1"/>
        </w:rPr>
        <w:t xml:space="preserve"> </w:t>
      </w:r>
      <w:r>
        <w:rPr>
          <w:position w:val="1"/>
        </w:rPr>
        <w:t>reasons,</w:t>
      </w:r>
      <w:r>
        <w:rPr>
          <w:spacing w:val="-4"/>
          <w:position w:val="1"/>
        </w:rPr>
        <w:t xml:space="preserve"> </w:t>
      </w:r>
      <w:r>
        <w:rPr>
          <w:position w:val="1"/>
        </w:rPr>
        <w:t>Australia</w:t>
      </w:r>
      <w:r>
        <w:rPr>
          <w:spacing w:val="-6"/>
          <w:position w:val="1"/>
        </w:rPr>
        <w:t xml:space="preserve"> </w:t>
      </w:r>
      <w:r>
        <w:rPr>
          <w:position w:val="1"/>
        </w:rPr>
        <w:t>maintains</w:t>
      </w:r>
      <w:r>
        <w:rPr>
          <w:spacing w:val="-4"/>
          <w:position w:val="1"/>
        </w:rPr>
        <w:t xml:space="preserve"> </w:t>
      </w:r>
      <w:r>
        <w:rPr>
          <w:position w:val="1"/>
        </w:rPr>
        <w:t>its</w:t>
      </w:r>
      <w:r>
        <w:rPr>
          <w:spacing w:val="-4"/>
          <w:position w:val="1"/>
        </w:rPr>
        <w:t xml:space="preserve"> </w:t>
      </w:r>
      <w:r>
        <w:rPr>
          <w:position w:val="1"/>
        </w:rPr>
        <w:t>claims</w:t>
      </w:r>
      <w:r>
        <w:rPr>
          <w:spacing w:val="-4"/>
          <w:position w:val="1"/>
        </w:rPr>
        <w:t xml:space="preserve"> </w:t>
      </w:r>
      <w:r>
        <w:rPr>
          <w:position w:val="1"/>
        </w:rPr>
        <w:t>in</w:t>
      </w:r>
      <w:r>
        <w:rPr>
          <w:spacing w:val="-14"/>
          <w:position w:val="1"/>
        </w:rPr>
        <w:t xml:space="preserve"> </w:t>
      </w:r>
      <w:r>
        <w:rPr>
          <w:position w:val="1"/>
        </w:rPr>
        <w:t>relation</w:t>
      </w:r>
      <w:r>
        <w:rPr>
          <w:spacing w:val="-8"/>
          <w:position w:val="1"/>
        </w:rPr>
        <w:t xml:space="preserve"> </w:t>
      </w:r>
      <w:r>
        <w:rPr>
          <w:position w:val="1"/>
        </w:rPr>
        <w:t>to</w:t>
      </w:r>
      <w:r>
        <w:rPr>
          <w:spacing w:val="-8"/>
          <w:position w:val="1"/>
        </w:rPr>
        <w:t xml:space="preserve"> </w:t>
      </w:r>
      <w:r>
        <w:rPr>
          <w:position w:val="1"/>
        </w:rPr>
        <w:t>paragraph</w:t>
      </w:r>
      <w:r>
        <w:rPr>
          <w:spacing w:val="-8"/>
          <w:position w:val="1"/>
        </w:rPr>
        <w:t xml:space="preserve"> </w:t>
      </w:r>
      <w:r>
        <w:rPr>
          <w:position w:val="1"/>
        </w:rPr>
        <w:t>6</w:t>
      </w:r>
      <w:r>
        <w:rPr>
          <w:spacing w:val="-8"/>
          <w:position w:val="1"/>
        </w:rPr>
        <w:t xml:space="preserve"> </w:t>
      </w:r>
      <w:r>
        <w:rPr>
          <w:position w:val="1"/>
        </w:rPr>
        <w:t>of</w:t>
      </w:r>
      <w:r>
        <w:rPr>
          <w:spacing w:val="-8"/>
          <w:position w:val="1"/>
        </w:rPr>
        <w:t xml:space="preserve"> </w:t>
      </w:r>
      <w:r>
        <w:rPr>
          <w:position w:val="1"/>
        </w:rPr>
        <w:t>Annex II.</w:t>
      </w:r>
    </w:p>
    <w:p w14:paraId="21232C11" w14:textId="77777777" w:rsidR="00BD462C" w:rsidRDefault="00BD462C">
      <w:pPr>
        <w:pStyle w:val="BodyText"/>
        <w:spacing w:before="3"/>
        <w:rPr>
          <w:b/>
          <w:sz w:val="8"/>
        </w:rPr>
      </w:pPr>
      <w:bookmarkStart w:id="678" w:name="5._MOFCOM's_selection_of_facts_was_not_a"/>
      <w:bookmarkStart w:id="679" w:name="_bookmark582"/>
      <w:bookmarkEnd w:id="678"/>
      <w:bookmarkEnd w:id="679"/>
    </w:p>
    <w:p w14:paraId="04B8951C" w14:textId="04D30FA2" w:rsidR="00BD462C" w:rsidRDefault="00D70C7D">
      <w:pPr>
        <w:pStyle w:val="BodyText"/>
        <w:spacing w:before="10"/>
        <w:rPr>
          <w:sz w:val="19"/>
        </w:rPr>
      </w:pPr>
      <w:r>
        <w:rPr>
          <w:noProof/>
        </w:rPr>
        <mc:AlternateContent>
          <mc:Choice Requires="wps">
            <w:drawing>
              <wp:anchor distT="0" distB="0" distL="0" distR="0" simplePos="0" relativeHeight="487727104" behindDoc="1" locked="0" layoutInCell="1" allowOverlap="1" wp14:anchorId="4DBF4361" wp14:editId="58576799">
                <wp:simplePos x="0" y="0"/>
                <wp:positionH relativeFrom="page">
                  <wp:posOffset>899160</wp:posOffset>
                </wp:positionH>
                <wp:positionV relativeFrom="paragraph">
                  <wp:posOffset>168910</wp:posOffset>
                </wp:positionV>
                <wp:extent cx="1828800" cy="8890"/>
                <wp:effectExtent l="0" t="0" r="0" b="0"/>
                <wp:wrapTopAndBottom/>
                <wp:docPr id="828" name="docshape3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2A6B42" id="docshape302" o:spid="_x0000_s1026" alt="&quot;&quot;" style="position:absolute;margin-left:70.8pt;margin-top:13.3pt;width:2in;height:.7pt;z-index:-15589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" fillcolor="black" stroked="f">
                <w10:wrap type="topAndBottom" anchorx="page"/>
              </v:rect>
            </w:pict>
          </mc:Fallback>
        </mc:AlternateContent>
      </w:r>
    </w:p>
    <w:p w14:paraId="383D0094" w14:textId="77777777" w:rsidR="00BD462C" w:rsidRDefault="00033D0F">
      <w:pPr>
        <w:spacing w:before="107"/>
        <w:ind w:left="136" w:right="910" w:hanging="1"/>
        <w:rPr>
          <w:sz w:val="18"/>
        </w:rPr>
      </w:pPr>
      <w:bookmarkStart w:id="680" w:name="_bookmark583"/>
      <w:bookmarkEnd w:id="680"/>
      <w:r>
        <w:rPr>
          <w:position w:val="5"/>
          <w:sz w:val="12"/>
        </w:rPr>
        <w:t>484</w:t>
      </w:r>
      <w:r>
        <w:rPr>
          <w:spacing w:val="10"/>
          <w:position w:val="5"/>
          <w:sz w:val="12"/>
        </w:rPr>
        <w:t xml:space="preserve"> </w:t>
      </w:r>
      <w:r>
        <w:rPr>
          <w:sz w:val="18"/>
        </w:rPr>
        <w:t>Swan</w:t>
      </w:r>
      <w:r>
        <w:rPr>
          <w:spacing w:val="-12"/>
          <w:sz w:val="18"/>
        </w:rPr>
        <w:t xml:space="preserve"> </w:t>
      </w:r>
      <w:r>
        <w:rPr>
          <w:sz w:val="18"/>
        </w:rPr>
        <w:t>Vintage</w:t>
      </w:r>
      <w:r>
        <w:rPr>
          <w:spacing w:val="-8"/>
          <w:sz w:val="18"/>
        </w:rPr>
        <w:t xml:space="preserve"> </w:t>
      </w:r>
      <w:r>
        <w:rPr>
          <w:sz w:val="18"/>
        </w:rPr>
        <w:t>Supplementary</w:t>
      </w:r>
      <w:r>
        <w:rPr>
          <w:spacing w:val="-13"/>
          <w:sz w:val="18"/>
        </w:rPr>
        <w:t xml:space="preserve"> </w:t>
      </w:r>
      <w:r>
        <w:rPr>
          <w:sz w:val="18"/>
        </w:rPr>
        <w:t>Questionnaire</w:t>
      </w:r>
      <w:r>
        <w:rPr>
          <w:spacing w:val="-12"/>
          <w:sz w:val="18"/>
        </w:rPr>
        <w:t xml:space="preserve"> </w:t>
      </w:r>
      <w:r>
        <w:rPr>
          <w:sz w:val="18"/>
        </w:rPr>
        <w:t>Response</w:t>
      </w:r>
      <w:r>
        <w:rPr>
          <w:spacing w:val="-12"/>
          <w:sz w:val="18"/>
        </w:rPr>
        <w:t xml:space="preserve"> </w:t>
      </w:r>
      <w:r>
        <w:rPr>
          <w:sz w:val="18"/>
        </w:rPr>
        <w:t>(Exhibit</w:t>
      </w:r>
      <w:r>
        <w:rPr>
          <w:spacing w:val="-7"/>
          <w:sz w:val="18"/>
        </w:rPr>
        <w:t xml:space="preserve"> </w:t>
      </w:r>
      <w:r>
        <w:rPr>
          <w:sz w:val="18"/>
        </w:rPr>
        <w:t>AUS-41),</w:t>
      </w:r>
      <w:r>
        <w:rPr>
          <w:spacing w:val="-6"/>
          <w:sz w:val="18"/>
        </w:rPr>
        <w:t xml:space="preserve"> </w:t>
      </w:r>
      <w:r>
        <w:rPr>
          <w:sz w:val="18"/>
        </w:rPr>
        <w:t>pp.</w:t>
      </w:r>
      <w:r>
        <w:rPr>
          <w:spacing w:val="-7"/>
          <w:sz w:val="18"/>
        </w:rPr>
        <w:t xml:space="preserve"> </w:t>
      </w:r>
      <w:r>
        <w:rPr>
          <w:sz w:val="18"/>
        </w:rPr>
        <w:t>2-5;</w:t>
      </w:r>
      <w:r>
        <w:rPr>
          <w:spacing w:val="-13"/>
          <w:sz w:val="18"/>
        </w:rPr>
        <w:t xml:space="preserve"> </w:t>
      </w:r>
      <w:r>
        <w:rPr>
          <w:sz w:val="18"/>
        </w:rPr>
        <w:t>Australia's</w:t>
      </w:r>
      <w:r>
        <w:rPr>
          <w:spacing w:val="-12"/>
          <w:sz w:val="18"/>
        </w:rPr>
        <w:t xml:space="preserve"> </w:t>
      </w:r>
      <w:r>
        <w:rPr>
          <w:sz w:val="18"/>
        </w:rPr>
        <w:t>first</w:t>
      </w:r>
      <w:r>
        <w:rPr>
          <w:spacing w:val="-7"/>
          <w:sz w:val="18"/>
        </w:rPr>
        <w:t xml:space="preserve"> </w:t>
      </w:r>
      <w:r>
        <w:rPr>
          <w:sz w:val="18"/>
        </w:rPr>
        <w:t>written</w:t>
      </w:r>
      <w:r>
        <w:rPr>
          <w:spacing w:val="-8"/>
          <w:sz w:val="18"/>
        </w:rPr>
        <w:t xml:space="preserve"> </w:t>
      </w:r>
      <w:r>
        <w:rPr>
          <w:sz w:val="18"/>
        </w:rPr>
        <w:t>submission,</w:t>
      </w:r>
      <w:r>
        <w:rPr>
          <w:spacing w:val="-6"/>
          <w:sz w:val="18"/>
        </w:rPr>
        <w:t xml:space="preserve"> </w:t>
      </w:r>
      <w:r>
        <w:rPr>
          <w:sz w:val="18"/>
        </w:rPr>
        <w:t xml:space="preserve">paras. </w:t>
      </w:r>
      <w:r>
        <w:rPr>
          <w:spacing w:val="-2"/>
          <w:sz w:val="18"/>
        </w:rPr>
        <w:t>467-469.</w:t>
      </w:r>
    </w:p>
    <w:p w14:paraId="174C0A74" w14:textId="77777777" w:rsidR="00BD462C" w:rsidRDefault="00033D0F">
      <w:pPr>
        <w:spacing w:before="2"/>
        <w:ind w:left="135"/>
        <w:rPr>
          <w:sz w:val="18"/>
        </w:rPr>
      </w:pPr>
      <w:bookmarkStart w:id="681" w:name="_bookmark584"/>
      <w:bookmarkEnd w:id="681"/>
      <w:r>
        <w:rPr>
          <w:position w:val="5"/>
          <w:sz w:val="12"/>
        </w:rPr>
        <w:t>485</w:t>
      </w:r>
      <w:r>
        <w:rPr>
          <w:spacing w:val="13"/>
          <w:position w:val="5"/>
          <w:sz w:val="12"/>
        </w:rPr>
        <w:t xml:space="preserve"> </w:t>
      </w:r>
      <w:r>
        <w:rPr>
          <w:sz w:val="18"/>
        </w:rPr>
        <w:t>China's</w:t>
      </w:r>
      <w:r>
        <w:rPr>
          <w:spacing w:val="-5"/>
          <w:sz w:val="18"/>
        </w:rPr>
        <w:t xml:space="preserve"> </w:t>
      </w:r>
      <w:r>
        <w:rPr>
          <w:sz w:val="18"/>
        </w:rPr>
        <w:t>first</w:t>
      </w:r>
      <w:r>
        <w:rPr>
          <w:spacing w:val="-4"/>
          <w:sz w:val="18"/>
        </w:rPr>
        <w:t xml:space="preserve"> </w:t>
      </w:r>
      <w:r>
        <w:rPr>
          <w:sz w:val="18"/>
        </w:rPr>
        <w:t>written</w:t>
      </w:r>
      <w:r>
        <w:rPr>
          <w:spacing w:val="-7"/>
          <w:sz w:val="18"/>
        </w:rPr>
        <w:t xml:space="preserve"> </w:t>
      </w:r>
      <w:r>
        <w:rPr>
          <w:sz w:val="18"/>
        </w:rPr>
        <w:t>submission,</w:t>
      </w:r>
      <w:r>
        <w:rPr>
          <w:spacing w:val="2"/>
          <w:sz w:val="18"/>
        </w:rPr>
        <w:t xml:space="preserve"> </w:t>
      </w:r>
      <w:r>
        <w:rPr>
          <w:sz w:val="18"/>
        </w:rPr>
        <w:t>paras.</w:t>
      </w:r>
      <w:r>
        <w:rPr>
          <w:spacing w:val="-5"/>
          <w:sz w:val="18"/>
        </w:rPr>
        <w:t xml:space="preserve"> </w:t>
      </w:r>
      <w:r>
        <w:rPr>
          <w:sz w:val="18"/>
        </w:rPr>
        <w:t>758</w:t>
      </w:r>
      <w:r>
        <w:rPr>
          <w:spacing w:val="-2"/>
          <w:sz w:val="18"/>
        </w:rPr>
        <w:t xml:space="preserve"> </w:t>
      </w:r>
      <w:r>
        <w:rPr>
          <w:sz w:val="18"/>
        </w:rPr>
        <w:t>and</w:t>
      </w:r>
      <w:r>
        <w:rPr>
          <w:spacing w:val="-1"/>
          <w:sz w:val="18"/>
        </w:rPr>
        <w:t xml:space="preserve"> </w:t>
      </w:r>
      <w:r>
        <w:rPr>
          <w:spacing w:val="-4"/>
          <w:sz w:val="18"/>
        </w:rPr>
        <w:t>774.</w:t>
      </w:r>
    </w:p>
    <w:p w14:paraId="5B39D211" w14:textId="77777777" w:rsidR="00BD462C" w:rsidRDefault="00033D0F">
      <w:pPr>
        <w:spacing w:before="1"/>
        <w:ind w:left="136" w:right="923" w:hanging="1"/>
        <w:rPr>
          <w:sz w:val="18"/>
        </w:rPr>
      </w:pPr>
      <w:bookmarkStart w:id="682" w:name="_bookmark585"/>
      <w:bookmarkEnd w:id="682"/>
      <w:r>
        <w:rPr>
          <w:position w:val="5"/>
          <w:sz w:val="12"/>
        </w:rPr>
        <w:t>486</w:t>
      </w:r>
      <w:r>
        <w:rPr>
          <w:spacing w:val="28"/>
          <w:position w:val="5"/>
          <w:sz w:val="12"/>
        </w:rPr>
        <w:t xml:space="preserve"> </w:t>
      </w:r>
      <w:r>
        <w:rPr>
          <w:sz w:val="18"/>
        </w:rPr>
        <w:t>Oxford English Dictionary online, definition of "forthwith", https://</w:t>
      </w:r>
      <w:hyperlink r:id="rId18">
        <w:r>
          <w:rPr>
            <w:sz w:val="18"/>
          </w:rPr>
          <w:t>www.oed.com/view/Entry/73702</w:t>
        </w:r>
      </w:hyperlink>
      <w:r>
        <w:rPr>
          <w:sz w:val="18"/>
        </w:rPr>
        <w:t xml:space="preserve"> (accessed 28 April 2022). See also, Panel Report, </w:t>
      </w:r>
      <w:r>
        <w:rPr>
          <w:i/>
          <w:sz w:val="18"/>
        </w:rPr>
        <w:t>Korea – Certain Paper</w:t>
      </w:r>
      <w:r>
        <w:rPr>
          <w:sz w:val="18"/>
        </w:rPr>
        <w:t>, para. 7.75; Australia's first written submission, para. 77.</w:t>
      </w:r>
    </w:p>
    <w:p w14:paraId="543CAC6B" w14:textId="77777777" w:rsidR="00BD462C" w:rsidRDefault="00BD462C">
      <w:pPr>
        <w:rPr>
          <w:sz w:val="18"/>
        </w:rPr>
        <w:sectPr w:rsidR="00BD462C">
          <w:pgSz w:w="11910" w:h="16840"/>
          <w:pgMar w:top="860" w:right="500" w:bottom="780" w:left="1280" w:header="566" w:footer="590" w:gutter="0"/>
          <w:cols w:space="720"/>
        </w:sectPr>
      </w:pPr>
    </w:p>
    <w:p w14:paraId="36AF6155"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0135D944"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09DCC1F3"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76929C6E" w14:textId="3148FE8E" w:rsidR="0081169E" w:rsidRPr="0081169E" w:rsidRDefault="0081169E" w:rsidP="0081169E">
      <w:pPr>
        <w:pStyle w:val="Heading3"/>
        <w:numPr>
          <w:ilvl w:val="0"/>
          <w:numId w:val="34"/>
        </w:numPr>
        <w:tabs>
          <w:tab w:val="left" w:pos="2689"/>
          <w:tab w:val="left" w:pos="2690"/>
        </w:tabs>
        <w:spacing w:before="0" w:line="362" w:lineRule="auto"/>
        <w:ind w:right="916"/>
        <w:jc w:val="both"/>
      </w:pPr>
      <w:r>
        <w:t>MOFCOM's selection of facts was not a reasonable replacement for the missing necessary information</w:t>
      </w:r>
    </w:p>
    <w:p w14:paraId="75093C40" w14:textId="6A270134" w:rsidR="00BD462C" w:rsidRDefault="00B472DD" w:rsidP="0081169E">
      <w:pPr>
        <w:pStyle w:val="BodyText"/>
        <w:numPr>
          <w:ilvl w:val="0"/>
          <w:numId w:val="71"/>
        </w:numPr>
        <w:spacing w:before="56" w:line="360" w:lineRule="auto"/>
        <w:ind w:right="915"/>
        <w:jc w:val="both"/>
      </w:pPr>
      <w:r>
        <w:rPr>
          <w:position w:val="1"/>
        </w:rPr>
        <w:t xml:space="preserve">Assuming, </w:t>
      </w:r>
      <w:r>
        <w:rPr>
          <w:i/>
          <w:position w:val="1"/>
        </w:rPr>
        <w:t>arguendo</w:t>
      </w:r>
      <w:r>
        <w:rPr>
          <w:position w:val="1"/>
        </w:rPr>
        <w:t>, that MOFCOM's recourse to facts available complied with</w:t>
      </w:r>
      <w:r>
        <w:rPr>
          <w:spacing w:val="40"/>
          <w:position w:val="1"/>
        </w:rPr>
        <w:t xml:space="preserve"> </w:t>
      </w:r>
      <w:r>
        <w:t>Article 6.8 and paragraphs 1, 3, 5, and 6 of Annex II, Australia submits that MOFCOM contravened Article 6.8 and paragraph 7 of Annex II by failing to select reasonable replacement</w:t>
      </w:r>
      <w:r>
        <w:rPr>
          <w:spacing w:val="9"/>
        </w:rPr>
        <w:t xml:space="preserve"> </w:t>
      </w:r>
      <w:r>
        <w:t>facts</w:t>
      </w:r>
      <w:r>
        <w:rPr>
          <w:spacing w:val="12"/>
        </w:rPr>
        <w:t xml:space="preserve"> </w:t>
      </w:r>
      <w:r>
        <w:t>for</w:t>
      </w:r>
      <w:r>
        <w:rPr>
          <w:spacing w:val="12"/>
        </w:rPr>
        <w:t xml:space="preserve"> </w:t>
      </w:r>
      <w:r>
        <w:t>Swan</w:t>
      </w:r>
      <w:r>
        <w:rPr>
          <w:spacing w:val="13"/>
        </w:rPr>
        <w:t xml:space="preserve"> </w:t>
      </w:r>
      <w:r>
        <w:t>Vintage's</w:t>
      </w:r>
      <w:r>
        <w:rPr>
          <w:spacing w:val="12"/>
        </w:rPr>
        <w:t xml:space="preserve"> </w:t>
      </w:r>
      <w:r>
        <w:t>allegedly</w:t>
      </w:r>
      <w:r>
        <w:rPr>
          <w:spacing w:val="11"/>
        </w:rPr>
        <w:t xml:space="preserve"> </w:t>
      </w:r>
      <w:r>
        <w:t>missing</w:t>
      </w:r>
      <w:r>
        <w:rPr>
          <w:spacing w:val="12"/>
        </w:rPr>
        <w:t xml:space="preserve"> </w:t>
      </w:r>
      <w:r>
        <w:t>necessary</w:t>
      </w:r>
      <w:r>
        <w:rPr>
          <w:spacing w:val="6"/>
        </w:rPr>
        <w:t xml:space="preserve"> </w:t>
      </w:r>
      <w:r>
        <w:t>information.</w:t>
      </w:r>
      <w:r>
        <w:rPr>
          <w:spacing w:val="11"/>
        </w:rPr>
        <w:t xml:space="preserve"> </w:t>
      </w:r>
      <w:r>
        <w:t>As</w:t>
      </w:r>
      <w:r>
        <w:rPr>
          <w:spacing w:val="13"/>
        </w:rPr>
        <w:t xml:space="preserve"> </w:t>
      </w:r>
      <w:r>
        <w:rPr>
          <w:spacing w:val="-2"/>
        </w:rPr>
        <w:t>MOFCOM</w:t>
      </w:r>
      <w:r>
        <w:t xml:space="preserve"> </w:t>
      </w:r>
      <w:r w:rsidR="00033D0F">
        <w:t>selected the same replacement facts for Swan Vintage as it did for Casella Wines, it fell into the</w:t>
      </w:r>
      <w:r w:rsidR="00033D0F" w:rsidRPr="00B472DD">
        <w:rPr>
          <w:spacing w:val="-14"/>
        </w:rPr>
        <w:t xml:space="preserve"> </w:t>
      </w:r>
      <w:r w:rsidR="00033D0F">
        <w:t>same</w:t>
      </w:r>
      <w:r w:rsidR="00033D0F" w:rsidRPr="00B472DD">
        <w:rPr>
          <w:spacing w:val="-2"/>
        </w:rPr>
        <w:t xml:space="preserve"> </w:t>
      </w:r>
      <w:r w:rsidR="00033D0F">
        <w:t>errors discussed above.</w:t>
      </w:r>
      <w:r w:rsidR="00033D0F" w:rsidRPr="00B472DD">
        <w:rPr>
          <w:spacing w:val="-14"/>
        </w:rPr>
        <w:t xml:space="preserve"> </w:t>
      </w:r>
      <w:hyperlink w:anchor="_bookmark588" w:history="1">
        <w:r w:rsidR="00033D0F" w:rsidRPr="00B472DD">
          <w:rPr>
            <w:vertAlign w:val="superscript"/>
          </w:rPr>
          <w:t>487</w:t>
        </w:r>
      </w:hyperlink>
      <w:r w:rsidR="00033D0F">
        <w:t xml:space="preserve"> Indeed, China has sought to defend its selection of facts for Swan Vintage by referring to the same arguments and assertions it made in relation to Casella Wines. It is therefore clear that these arguments will fail for the reasons set out by Australia at section </w:t>
      </w:r>
      <w:hyperlink w:anchor="_bookmark479" w:history="1">
        <w:r w:rsidR="00033D0F">
          <w:t>III.E.5(c)</w:t>
        </w:r>
      </w:hyperlink>
      <w:r w:rsidR="00033D0F">
        <w:t xml:space="preserve"> above.</w:t>
      </w:r>
    </w:p>
    <w:p w14:paraId="7E5958B2" w14:textId="60406ED7" w:rsidR="00BD462C" w:rsidRDefault="00033D0F" w:rsidP="0081169E">
      <w:pPr>
        <w:pStyle w:val="Heading3"/>
        <w:numPr>
          <w:ilvl w:val="0"/>
          <w:numId w:val="34"/>
        </w:numPr>
        <w:tabs>
          <w:tab w:val="left" w:pos="2689"/>
          <w:tab w:val="left" w:pos="2690"/>
        </w:tabs>
        <w:spacing w:before="160"/>
        <w:jc w:val="both"/>
      </w:pPr>
      <w:bookmarkStart w:id="683" w:name="6._Articles_2.1,_2.2_and_2.2.1.1"/>
      <w:bookmarkStart w:id="684" w:name="_bookmark586"/>
      <w:bookmarkEnd w:id="683"/>
      <w:bookmarkEnd w:id="684"/>
      <w:r>
        <w:t>Articles</w:t>
      </w:r>
      <w:r>
        <w:rPr>
          <w:spacing w:val="-1"/>
        </w:rPr>
        <w:t xml:space="preserve"> </w:t>
      </w:r>
      <w:r>
        <w:t>2.1, 2.2</w:t>
      </w:r>
      <w:r>
        <w:rPr>
          <w:spacing w:val="-7"/>
        </w:rPr>
        <w:t xml:space="preserve"> </w:t>
      </w:r>
      <w:r>
        <w:t>and</w:t>
      </w:r>
      <w:r>
        <w:rPr>
          <w:spacing w:val="-3"/>
        </w:rPr>
        <w:t xml:space="preserve"> </w:t>
      </w:r>
      <w:r>
        <w:rPr>
          <w:spacing w:val="-2"/>
        </w:rPr>
        <w:t>2.2.1.1</w:t>
      </w:r>
    </w:p>
    <w:p w14:paraId="5FAE7058" w14:textId="77777777" w:rsidR="0081169E" w:rsidRDefault="0081169E" w:rsidP="0081169E">
      <w:pPr>
        <w:pStyle w:val="BodyText"/>
        <w:spacing w:before="56" w:line="357" w:lineRule="auto"/>
        <w:ind w:right="910"/>
        <w:jc w:val="both"/>
        <w:rPr>
          <w:b/>
          <w:sz w:val="20"/>
        </w:rPr>
      </w:pPr>
    </w:p>
    <w:p w14:paraId="2F855BA7" w14:textId="00555A6B" w:rsidR="00BD462C" w:rsidRDefault="00033D0F" w:rsidP="0081169E">
      <w:pPr>
        <w:pStyle w:val="BodyText"/>
        <w:numPr>
          <w:ilvl w:val="0"/>
          <w:numId w:val="71"/>
        </w:numPr>
        <w:spacing w:before="56" w:line="357" w:lineRule="auto"/>
        <w:ind w:right="910"/>
        <w:jc w:val="both"/>
      </w:pPr>
      <w:r>
        <w:rPr>
          <w:position w:val="1"/>
        </w:rPr>
        <w:t xml:space="preserve">As a result of MOFCOM acting inconsistently with Article 6.8 and paragraphs 1, 3, 5, </w:t>
      </w:r>
      <w:r>
        <w:t>6</w:t>
      </w:r>
      <w:r>
        <w:rPr>
          <w:spacing w:val="-13"/>
        </w:rPr>
        <w:t xml:space="preserve"> </w:t>
      </w:r>
      <w:r>
        <w:t>and</w:t>
      </w:r>
      <w:r>
        <w:rPr>
          <w:spacing w:val="-8"/>
        </w:rPr>
        <w:t xml:space="preserve"> </w:t>
      </w:r>
      <w:r>
        <w:t>7</w:t>
      </w:r>
      <w:r>
        <w:rPr>
          <w:spacing w:val="-8"/>
        </w:rPr>
        <w:t xml:space="preserve"> </w:t>
      </w:r>
      <w:r>
        <w:t>of</w:t>
      </w:r>
      <w:r>
        <w:rPr>
          <w:spacing w:val="-13"/>
        </w:rPr>
        <w:t xml:space="preserve"> </w:t>
      </w:r>
      <w:r>
        <w:t>Annex</w:t>
      </w:r>
      <w:r>
        <w:rPr>
          <w:spacing w:val="-10"/>
        </w:rPr>
        <w:t xml:space="preserve"> </w:t>
      </w:r>
      <w:r>
        <w:t>II,</w:t>
      </w:r>
      <w:r>
        <w:rPr>
          <w:spacing w:val="-9"/>
        </w:rPr>
        <w:t xml:space="preserve"> </w:t>
      </w:r>
      <w:r>
        <w:t>the</w:t>
      </w:r>
      <w:r>
        <w:rPr>
          <w:spacing w:val="-11"/>
        </w:rPr>
        <w:t xml:space="preserve"> </w:t>
      </w:r>
      <w:r>
        <w:t>foundation</w:t>
      </w:r>
      <w:r>
        <w:rPr>
          <w:spacing w:val="-8"/>
        </w:rPr>
        <w:t xml:space="preserve"> </w:t>
      </w:r>
      <w:r>
        <w:t>for</w:t>
      </w:r>
      <w:r>
        <w:rPr>
          <w:spacing w:val="-14"/>
        </w:rPr>
        <w:t xml:space="preserve"> </w:t>
      </w:r>
      <w:r>
        <w:t>its</w:t>
      </w:r>
      <w:r>
        <w:rPr>
          <w:spacing w:val="-9"/>
        </w:rPr>
        <w:t xml:space="preserve"> </w:t>
      </w:r>
      <w:r>
        <w:t>dumping</w:t>
      </w:r>
      <w:r>
        <w:rPr>
          <w:spacing w:val="-5"/>
        </w:rPr>
        <w:t xml:space="preserve"> </w:t>
      </w:r>
      <w:r>
        <w:t>determination</w:t>
      </w:r>
      <w:r>
        <w:rPr>
          <w:spacing w:val="-13"/>
        </w:rPr>
        <w:t xml:space="preserve"> </w:t>
      </w:r>
      <w:r>
        <w:t>for</w:t>
      </w:r>
      <w:r>
        <w:rPr>
          <w:spacing w:val="-9"/>
        </w:rPr>
        <w:t xml:space="preserve"> </w:t>
      </w:r>
      <w:r>
        <w:t>Swan</w:t>
      </w:r>
      <w:r>
        <w:rPr>
          <w:spacing w:val="-8"/>
        </w:rPr>
        <w:t xml:space="preserve"> </w:t>
      </w:r>
      <w:r>
        <w:t>Vintage</w:t>
      </w:r>
      <w:r>
        <w:rPr>
          <w:spacing w:val="-11"/>
        </w:rPr>
        <w:t xml:space="preserve"> </w:t>
      </w:r>
      <w:r>
        <w:t>was</w:t>
      </w:r>
      <w:r>
        <w:rPr>
          <w:spacing w:val="-9"/>
        </w:rPr>
        <w:t xml:space="preserve"> </w:t>
      </w:r>
      <w:r>
        <w:t>fatally flawed, resulting in a dumping determination that was inconsistent with Articles 2.1, 2.2 and 2.2.1.1.</w:t>
      </w:r>
      <w:r>
        <w:rPr>
          <w:spacing w:val="-34"/>
        </w:rPr>
        <w:t xml:space="preserve"> </w:t>
      </w:r>
      <w:hyperlink w:anchor="_bookmark589" w:history="1">
        <w:r>
          <w:rPr>
            <w:vertAlign w:val="superscript"/>
          </w:rPr>
          <w:t>488</w:t>
        </w:r>
      </w:hyperlink>
    </w:p>
    <w:p w14:paraId="2A19EC96" w14:textId="77AF39E8" w:rsidR="00BD462C" w:rsidRDefault="00033D0F" w:rsidP="0081169E">
      <w:pPr>
        <w:pStyle w:val="Heading3"/>
        <w:numPr>
          <w:ilvl w:val="0"/>
          <w:numId w:val="34"/>
        </w:numPr>
        <w:tabs>
          <w:tab w:val="left" w:pos="2689"/>
          <w:tab w:val="left" w:pos="2690"/>
        </w:tabs>
        <w:spacing w:before="165"/>
        <w:jc w:val="both"/>
      </w:pPr>
      <w:bookmarkStart w:id="685" w:name="7._MOFCOM_did_not_make_a_fair_comparison"/>
      <w:bookmarkStart w:id="686" w:name="_bookmark587"/>
      <w:bookmarkEnd w:id="685"/>
      <w:bookmarkEnd w:id="686"/>
      <w:r>
        <w:t>MOFCOM</w:t>
      </w:r>
      <w:r>
        <w:rPr>
          <w:spacing w:val="-3"/>
        </w:rPr>
        <w:t xml:space="preserve"> </w:t>
      </w:r>
      <w:r>
        <w:t>did</w:t>
      </w:r>
      <w:r>
        <w:rPr>
          <w:spacing w:val="-2"/>
        </w:rPr>
        <w:t xml:space="preserve"> </w:t>
      </w:r>
      <w:r>
        <w:t>not</w:t>
      </w:r>
      <w:r>
        <w:rPr>
          <w:spacing w:val="-6"/>
        </w:rPr>
        <w:t xml:space="preserve"> </w:t>
      </w:r>
      <w:r>
        <w:t>make</w:t>
      </w:r>
      <w:r>
        <w:rPr>
          <w:spacing w:val="-4"/>
        </w:rPr>
        <w:t xml:space="preserve"> </w:t>
      </w:r>
      <w:r>
        <w:t>a</w:t>
      </w:r>
      <w:r>
        <w:rPr>
          <w:spacing w:val="-2"/>
        </w:rPr>
        <w:t xml:space="preserve"> </w:t>
      </w:r>
      <w:r>
        <w:t>fair</w:t>
      </w:r>
      <w:r>
        <w:rPr>
          <w:spacing w:val="-2"/>
        </w:rPr>
        <w:t xml:space="preserve"> </w:t>
      </w:r>
      <w:r>
        <w:t>comparison</w:t>
      </w:r>
      <w:r>
        <w:rPr>
          <w:spacing w:val="-3"/>
        </w:rPr>
        <w:t xml:space="preserve"> </w:t>
      </w:r>
      <w:r>
        <w:t>under</w:t>
      </w:r>
      <w:r>
        <w:rPr>
          <w:spacing w:val="-2"/>
        </w:rPr>
        <w:t xml:space="preserve"> </w:t>
      </w:r>
      <w:r>
        <w:t>Article</w:t>
      </w:r>
      <w:r>
        <w:rPr>
          <w:spacing w:val="1"/>
        </w:rPr>
        <w:t xml:space="preserve"> </w:t>
      </w:r>
      <w:r>
        <w:rPr>
          <w:spacing w:val="-5"/>
        </w:rPr>
        <w:t>2.4</w:t>
      </w:r>
    </w:p>
    <w:p w14:paraId="3F9604F1" w14:textId="77777777" w:rsidR="00BD462C" w:rsidRDefault="00BD462C">
      <w:pPr>
        <w:pStyle w:val="BodyText"/>
        <w:spacing w:before="11"/>
        <w:rPr>
          <w:b/>
          <w:sz w:val="20"/>
        </w:rPr>
      </w:pPr>
    </w:p>
    <w:p w14:paraId="79487235" w14:textId="1EEC1B6F" w:rsidR="00BD462C" w:rsidRDefault="00033D0F" w:rsidP="0081169E">
      <w:pPr>
        <w:pStyle w:val="BodyText"/>
        <w:numPr>
          <w:ilvl w:val="0"/>
          <w:numId w:val="71"/>
        </w:numPr>
        <w:spacing w:before="56" w:line="360" w:lineRule="auto"/>
        <w:ind w:right="911"/>
        <w:jc w:val="both"/>
      </w:pPr>
      <w:r>
        <w:rPr>
          <w:position w:val="1"/>
        </w:rPr>
        <w:t>Even if the Panel finds MOFCOM's calculation of the normal value for Swan Vintage</w:t>
      </w:r>
      <w:r>
        <w:rPr>
          <w:spacing w:val="40"/>
          <w:position w:val="1"/>
        </w:rPr>
        <w:t xml:space="preserve"> </w:t>
      </w:r>
      <w:r>
        <w:t>is consistent with the Anti-Dumping Agreement, MOFCOM still failed to make a fair comparison</w:t>
      </w:r>
      <w:r>
        <w:rPr>
          <w:spacing w:val="-4"/>
        </w:rPr>
        <w:t xml:space="preserve"> </w:t>
      </w:r>
      <w:r>
        <w:t>between</w:t>
      </w:r>
      <w:r>
        <w:rPr>
          <w:spacing w:val="-9"/>
        </w:rPr>
        <w:t xml:space="preserve"> </w:t>
      </w:r>
      <w:r>
        <w:t>the</w:t>
      </w:r>
      <w:r>
        <w:rPr>
          <w:spacing w:val="-7"/>
        </w:rPr>
        <w:t xml:space="preserve"> </w:t>
      </w:r>
      <w:r>
        <w:t>company's</w:t>
      </w:r>
      <w:r>
        <w:rPr>
          <w:spacing w:val="-6"/>
        </w:rPr>
        <w:t xml:space="preserve"> </w:t>
      </w:r>
      <w:r>
        <w:t>normal</w:t>
      </w:r>
      <w:r>
        <w:rPr>
          <w:spacing w:val="-5"/>
        </w:rPr>
        <w:t xml:space="preserve"> </w:t>
      </w:r>
      <w:r>
        <w:t>value</w:t>
      </w:r>
      <w:r>
        <w:rPr>
          <w:spacing w:val="-3"/>
        </w:rPr>
        <w:t xml:space="preserve"> </w:t>
      </w:r>
      <w:r>
        <w:t>and</w:t>
      </w:r>
      <w:r>
        <w:rPr>
          <w:spacing w:val="-9"/>
        </w:rPr>
        <w:t xml:space="preserve"> </w:t>
      </w:r>
      <w:r>
        <w:t>export</w:t>
      </w:r>
      <w:r>
        <w:rPr>
          <w:spacing w:val="-7"/>
        </w:rPr>
        <w:t xml:space="preserve"> </w:t>
      </w:r>
      <w:r>
        <w:t>prices</w:t>
      </w:r>
      <w:r>
        <w:rPr>
          <w:spacing w:val="-6"/>
        </w:rPr>
        <w:t xml:space="preserve"> </w:t>
      </w:r>
      <w:r>
        <w:t>as</w:t>
      </w:r>
      <w:r>
        <w:rPr>
          <w:spacing w:val="-6"/>
        </w:rPr>
        <w:t xml:space="preserve"> </w:t>
      </w:r>
      <w:r>
        <w:t>required</w:t>
      </w:r>
      <w:r>
        <w:rPr>
          <w:spacing w:val="-4"/>
        </w:rPr>
        <w:t xml:space="preserve"> </w:t>
      </w:r>
      <w:r>
        <w:t>by</w:t>
      </w:r>
      <w:r>
        <w:rPr>
          <w:spacing w:val="-1"/>
        </w:rPr>
        <w:t xml:space="preserve"> </w:t>
      </w:r>
      <w:r>
        <w:t>Article</w:t>
      </w:r>
      <w:r>
        <w:rPr>
          <w:spacing w:val="-7"/>
        </w:rPr>
        <w:t xml:space="preserve"> </w:t>
      </w:r>
      <w:r>
        <w:t>2.4 of the Anti-Dumping Agreement.</w:t>
      </w:r>
      <w:r>
        <w:rPr>
          <w:spacing w:val="-19"/>
        </w:rPr>
        <w:t xml:space="preserve"> </w:t>
      </w:r>
      <w:hyperlink w:anchor="_bookmark590" w:history="1">
        <w:r>
          <w:rPr>
            <w:vertAlign w:val="superscript"/>
          </w:rPr>
          <w:t>489</w:t>
        </w:r>
      </w:hyperlink>
    </w:p>
    <w:p w14:paraId="6B52413B" w14:textId="77777777" w:rsidR="00BD462C" w:rsidRDefault="00BD462C">
      <w:pPr>
        <w:pStyle w:val="BodyText"/>
        <w:spacing w:before="9"/>
        <w:rPr>
          <w:sz w:val="8"/>
        </w:rPr>
      </w:pPr>
    </w:p>
    <w:p w14:paraId="20683AA4" w14:textId="27F5FA63" w:rsidR="00BD462C" w:rsidRPr="00B472DD" w:rsidRDefault="00033D0F" w:rsidP="00B472DD">
      <w:pPr>
        <w:pStyle w:val="BodyText"/>
        <w:numPr>
          <w:ilvl w:val="0"/>
          <w:numId w:val="71"/>
        </w:numPr>
        <w:spacing w:before="56" w:line="360" w:lineRule="auto"/>
        <w:ind w:right="914"/>
        <w:jc w:val="both"/>
        <w:rPr>
          <w:sz w:val="20"/>
        </w:rPr>
      </w:pPr>
      <w:r w:rsidRPr="00B472DD">
        <w:rPr>
          <w:position w:val="1"/>
        </w:rPr>
        <w:t>In determining the normal value for Swan Vintage, MOFCOM's selected domestic</w:t>
      </w:r>
      <w:r w:rsidRPr="00B472DD">
        <w:rPr>
          <w:spacing w:val="40"/>
          <w:position w:val="1"/>
        </w:rPr>
        <w:t xml:space="preserve"> </w:t>
      </w:r>
      <w:r>
        <w:t>sales prices and costs used for the constructed normal value – based entirely on the undisclosed</w:t>
      </w:r>
      <w:r w:rsidRPr="00B472DD">
        <w:rPr>
          <w:spacing w:val="-14"/>
        </w:rPr>
        <w:t xml:space="preserve"> </w:t>
      </w:r>
      <w:r>
        <w:t>data</w:t>
      </w:r>
      <w:r w:rsidRPr="00B472DD">
        <w:rPr>
          <w:spacing w:val="-14"/>
        </w:rPr>
        <w:t xml:space="preserve"> </w:t>
      </w:r>
      <w:r>
        <w:t>for</w:t>
      </w:r>
      <w:r w:rsidRPr="00B472DD">
        <w:rPr>
          <w:spacing w:val="-7"/>
        </w:rPr>
        <w:t xml:space="preserve"> </w:t>
      </w:r>
      <w:r>
        <w:t>"other respondents",</w:t>
      </w:r>
      <w:r w:rsidRPr="00B472DD">
        <w:rPr>
          <w:spacing w:val="-14"/>
        </w:rPr>
        <w:t xml:space="preserve"> </w:t>
      </w:r>
      <w:hyperlink w:anchor="_bookmark591" w:history="1">
        <w:r w:rsidRPr="00B472DD">
          <w:rPr>
            <w:vertAlign w:val="superscript"/>
          </w:rPr>
          <w:t>490</w:t>
        </w:r>
      </w:hyperlink>
      <w:r>
        <w:t xml:space="preserve"> subsequently revealed to be Treasury Wines</w:t>
      </w:r>
      <w:r w:rsidRPr="00B472DD">
        <w:rPr>
          <w:spacing w:val="-14"/>
        </w:rPr>
        <w:t xml:space="preserve"> </w:t>
      </w:r>
      <w:hyperlink w:anchor="_bookmark592" w:history="1">
        <w:r w:rsidRPr="00B472DD">
          <w:rPr>
            <w:vertAlign w:val="superscript"/>
          </w:rPr>
          <w:t>491</w:t>
        </w:r>
      </w:hyperlink>
      <w:r>
        <w:t xml:space="preserve"> – reflected significant differences affecting price comparability with export prices making them unsuitable for comparison with Swan Vintage's export sales unless appropriate adjustments were made.</w:t>
      </w:r>
      <w:hyperlink w:anchor="_bookmark593" w:history="1">
        <w:r w:rsidRPr="00B472DD">
          <w:rPr>
            <w:vertAlign w:val="superscript"/>
          </w:rPr>
          <w:t>492</w:t>
        </w:r>
      </w:hyperlink>
      <w:r>
        <w:t xml:space="preserve"> These differences concerned, </w:t>
      </w:r>
      <w:r w:rsidRPr="00B472DD">
        <w:rPr>
          <w:i/>
        </w:rPr>
        <w:t>inter alia</w:t>
      </w:r>
      <w:r>
        <w:t>, levels of trade and product</w:t>
      </w:r>
      <w:r w:rsidRPr="00B472DD">
        <w:rPr>
          <w:spacing w:val="-9"/>
        </w:rPr>
        <w:t xml:space="preserve"> </w:t>
      </w:r>
      <w:r>
        <w:t>mix (e.g. physical characteristics, quality, consumer preferences and price).</w:t>
      </w:r>
      <w:r w:rsidRPr="00B472DD">
        <w:rPr>
          <w:spacing w:val="-14"/>
        </w:rPr>
        <w:t xml:space="preserve"> </w:t>
      </w:r>
      <w:hyperlink w:anchor="_bookmark594" w:history="1">
        <w:r w:rsidRPr="00B472DD">
          <w:rPr>
            <w:vertAlign w:val="superscript"/>
          </w:rPr>
          <w:t>493</w:t>
        </w:r>
      </w:hyperlink>
      <w:r>
        <w:t xml:space="preserve"> </w:t>
      </w:r>
    </w:p>
    <w:p w14:paraId="599E6AE3" w14:textId="346691DD" w:rsidR="00BD462C" w:rsidRDefault="00D70C7D">
      <w:pPr>
        <w:pStyle w:val="BodyText"/>
        <w:spacing w:before="4"/>
        <w:rPr>
          <w:sz w:val="11"/>
        </w:rPr>
      </w:pPr>
      <w:r>
        <w:rPr>
          <w:noProof/>
        </w:rPr>
        <mc:AlternateContent>
          <mc:Choice Requires="wps">
            <w:drawing>
              <wp:anchor distT="0" distB="0" distL="0" distR="0" simplePos="0" relativeHeight="487727616" behindDoc="1" locked="0" layoutInCell="1" allowOverlap="1" wp14:anchorId="611C5C1B" wp14:editId="2C2E36D8">
                <wp:simplePos x="0" y="0"/>
                <wp:positionH relativeFrom="page">
                  <wp:posOffset>899160</wp:posOffset>
                </wp:positionH>
                <wp:positionV relativeFrom="paragraph">
                  <wp:posOffset>102870</wp:posOffset>
                </wp:positionV>
                <wp:extent cx="1828800" cy="8890"/>
                <wp:effectExtent l="0" t="0" r="0" b="0"/>
                <wp:wrapTopAndBottom/>
                <wp:docPr id="826" name="docshape3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9B8863" id="docshape303" o:spid="_x0000_s1026" alt="&quot;&quot;" style="position:absolute;margin-left:70.8pt;margin-top:8.1pt;width:2in;height:.7pt;z-index:-15588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" fillcolor="black" stroked="f">
                <w10:wrap type="topAndBottom" anchorx="page"/>
              </v:rect>
            </w:pict>
          </mc:Fallback>
        </mc:AlternateContent>
      </w:r>
    </w:p>
    <w:p w14:paraId="2D7760FB" w14:textId="77777777" w:rsidR="00BD462C" w:rsidRPr="00B472DD" w:rsidRDefault="00033D0F">
      <w:pPr>
        <w:spacing w:before="112"/>
        <w:ind w:left="135"/>
        <w:rPr>
          <w:sz w:val="16"/>
          <w:szCs w:val="16"/>
        </w:rPr>
      </w:pPr>
      <w:bookmarkStart w:id="687" w:name="_bookmark588"/>
      <w:bookmarkEnd w:id="687"/>
      <w:r w:rsidRPr="00B472DD">
        <w:rPr>
          <w:position w:val="5"/>
          <w:sz w:val="16"/>
          <w:szCs w:val="16"/>
        </w:rPr>
        <w:t>487</w:t>
      </w:r>
      <w:r w:rsidRPr="00B472DD">
        <w:rPr>
          <w:spacing w:val="13"/>
          <w:position w:val="5"/>
          <w:sz w:val="16"/>
          <w:szCs w:val="16"/>
        </w:rPr>
        <w:t xml:space="preserve"> </w:t>
      </w:r>
      <w:r w:rsidRPr="00B472DD">
        <w:rPr>
          <w:sz w:val="16"/>
          <w:szCs w:val="16"/>
        </w:rPr>
        <w:t>See</w:t>
      </w:r>
      <w:r w:rsidRPr="00B472DD">
        <w:rPr>
          <w:spacing w:val="-5"/>
          <w:sz w:val="16"/>
          <w:szCs w:val="16"/>
        </w:rPr>
        <w:t xml:space="preserve"> </w:t>
      </w:r>
      <w:r w:rsidRPr="00B472DD">
        <w:rPr>
          <w:sz w:val="16"/>
          <w:szCs w:val="16"/>
        </w:rPr>
        <w:t>above</w:t>
      </w:r>
      <w:r w:rsidRPr="00B472DD">
        <w:rPr>
          <w:spacing w:val="-5"/>
          <w:sz w:val="16"/>
          <w:szCs w:val="16"/>
        </w:rPr>
        <w:t xml:space="preserve"> </w:t>
      </w:r>
      <w:r w:rsidRPr="00B472DD">
        <w:rPr>
          <w:sz w:val="16"/>
          <w:szCs w:val="16"/>
        </w:rPr>
        <w:t>section</w:t>
      </w:r>
      <w:r w:rsidRPr="00B472DD">
        <w:rPr>
          <w:spacing w:val="-6"/>
          <w:sz w:val="16"/>
          <w:szCs w:val="16"/>
        </w:rPr>
        <w:t xml:space="preserve"> </w:t>
      </w:r>
      <w:r w:rsidRPr="00B472DD">
        <w:rPr>
          <w:sz w:val="16"/>
          <w:szCs w:val="16"/>
        </w:rPr>
        <w:t>III.E.6. See</w:t>
      </w:r>
      <w:r w:rsidRPr="00B472DD">
        <w:rPr>
          <w:spacing w:val="-1"/>
          <w:sz w:val="16"/>
          <w:szCs w:val="16"/>
        </w:rPr>
        <w:t xml:space="preserve"> </w:t>
      </w:r>
      <w:r w:rsidRPr="00B472DD">
        <w:rPr>
          <w:sz w:val="16"/>
          <w:szCs w:val="16"/>
        </w:rPr>
        <w:t>also</w:t>
      </w:r>
      <w:r w:rsidRPr="00B472DD">
        <w:rPr>
          <w:spacing w:val="-6"/>
          <w:sz w:val="16"/>
          <w:szCs w:val="16"/>
        </w:rPr>
        <w:t xml:space="preserve"> </w:t>
      </w:r>
      <w:r w:rsidRPr="00B472DD">
        <w:rPr>
          <w:sz w:val="16"/>
          <w:szCs w:val="16"/>
        </w:rPr>
        <w:t>China's</w:t>
      </w:r>
      <w:r w:rsidRPr="00B472DD">
        <w:rPr>
          <w:spacing w:val="-6"/>
          <w:sz w:val="16"/>
          <w:szCs w:val="16"/>
        </w:rPr>
        <w:t xml:space="preserve"> </w:t>
      </w:r>
      <w:r w:rsidRPr="00B472DD">
        <w:rPr>
          <w:sz w:val="16"/>
          <w:szCs w:val="16"/>
        </w:rPr>
        <w:t>first</w:t>
      </w:r>
      <w:r w:rsidRPr="00B472DD">
        <w:rPr>
          <w:spacing w:val="-4"/>
          <w:sz w:val="16"/>
          <w:szCs w:val="16"/>
        </w:rPr>
        <w:t xml:space="preserve"> </w:t>
      </w:r>
      <w:r w:rsidRPr="00B472DD">
        <w:rPr>
          <w:sz w:val="16"/>
          <w:szCs w:val="16"/>
        </w:rPr>
        <w:t>written</w:t>
      </w:r>
      <w:r w:rsidRPr="00B472DD">
        <w:rPr>
          <w:spacing w:val="-1"/>
          <w:sz w:val="16"/>
          <w:szCs w:val="16"/>
        </w:rPr>
        <w:t xml:space="preserve"> </w:t>
      </w:r>
      <w:r w:rsidRPr="00B472DD">
        <w:rPr>
          <w:sz w:val="16"/>
          <w:szCs w:val="16"/>
        </w:rPr>
        <w:t>submission,</w:t>
      </w:r>
      <w:r w:rsidRPr="00B472DD">
        <w:rPr>
          <w:spacing w:val="-4"/>
          <w:sz w:val="16"/>
          <w:szCs w:val="16"/>
        </w:rPr>
        <w:t xml:space="preserve"> </w:t>
      </w:r>
      <w:r w:rsidRPr="00B472DD">
        <w:rPr>
          <w:sz w:val="16"/>
          <w:szCs w:val="16"/>
        </w:rPr>
        <w:t>para.</w:t>
      </w:r>
      <w:r w:rsidRPr="00B472DD">
        <w:rPr>
          <w:spacing w:val="1"/>
          <w:sz w:val="16"/>
          <w:szCs w:val="16"/>
        </w:rPr>
        <w:t xml:space="preserve"> </w:t>
      </w:r>
      <w:r w:rsidRPr="00B472DD">
        <w:rPr>
          <w:spacing w:val="-4"/>
          <w:sz w:val="16"/>
          <w:szCs w:val="16"/>
        </w:rPr>
        <w:t>718.</w:t>
      </w:r>
    </w:p>
    <w:p w14:paraId="57D040D8" w14:textId="77777777" w:rsidR="00BD462C" w:rsidRPr="00B472DD" w:rsidRDefault="00033D0F">
      <w:pPr>
        <w:spacing w:before="1" w:line="218" w:lineRule="exact"/>
        <w:ind w:left="135"/>
        <w:rPr>
          <w:sz w:val="16"/>
          <w:szCs w:val="16"/>
        </w:rPr>
      </w:pPr>
      <w:bookmarkStart w:id="688" w:name="_bookmark589"/>
      <w:bookmarkEnd w:id="688"/>
      <w:r w:rsidRPr="00B472DD">
        <w:rPr>
          <w:position w:val="5"/>
          <w:sz w:val="16"/>
          <w:szCs w:val="16"/>
        </w:rPr>
        <w:lastRenderedPageBreak/>
        <w:t>488</w:t>
      </w:r>
      <w:r w:rsidRPr="00B472DD">
        <w:rPr>
          <w:spacing w:val="12"/>
          <w:position w:val="5"/>
          <w:sz w:val="16"/>
          <w:szCs w:val="16"/>
        </w:rPr>
        <w:t xml:space="preserve"> </w:t>
      </w:r>
      <w:r w:rsidRPr="00B472DD">
        <w:rPr>
          <w:sz w:val="16"/>
          <w:szCs w:val="16"/>
        </w:rPr>
        <w:t>See</w:t>
      </w:r>
      <w:r w:rsidRPr="00B472DD">
        <w:rPr>
          <w:spacing w:val="-6"/>
          <w:sz w:val="16"/>
          <w:szCs w:val="16"/>
        </w:rPr>
        <w:t xml:space="preserve"> </w:t>
      </w:r>
      <w:r w:rsidRPr="00B472DD">
        <w:rPr>
          <w:sz w:val="16"/>
          <w:szCs w:val="16"/>
        </w:rPr>
        <w:t>Australia's</w:t>
      </w:r>
      <w:r w:rsidRPr="00B472DD">
        <w:rPr>
          <w:spacing w:val="-6"/>
          <w:sz w:val="16"/>
          <w:szCs w:val="16"/>
        </w:rPr>
        <w:t xml:space="preserve"> </w:t>
      </w:r>
      <w:r w:rsidRPr="00B472DD">
        <w:rPr>
          <w:sz w:val="16"/>
          <w:szCs w:val="16"/>
        </w:rPr>
        <w:t>first</w:t>
      </w:r>
      <w:r w:rsidRPr="00B472DD">
        <w:rPr>
          <w:spacing w:val="-5"/>
          <w:sz w:val="16"/>
          <w:szCs w:val="16"/>
        </w:rPr>
        <w:t xml:space="preserve"> </w:t>
      </w:r>
      <w:r w:rsidRPr="00B472DD">
        <w:rPr>
          <w:sz w:val="16"/>
          <w:szCs w:val="16"/>
        </w:rPr>
        <w:t>written</w:t>
      </w:r>
      <w:r w:rsidRPr="00B472DD">
        <w:rPr>
          <w:spacing w:val="-2"/>
          <w:sz w:val="16"/>
          <w:szCs w:val="16"/>
        </w:rPr>
        <w:t xml:space="preserve"> </w:t>
      </w:r>
      <w:r w:rsidRPr="00B472DD">
        <w:rPr>
          <w:sz w:val="16"/>
          <w:szCs w:val="16"/>
        </w:rPr>
        <w:t>submission, paras.</w:t>
      </w:r>
      <w:r w:rsidRPr="00B472DD">
        <w:rPr>
          <w:spacing w:val="-5"/>
          <w:sz w:val="16"/>
          <w:szCs w:val="16"/>
        </w:rPr>
        <w:t xml:space="preserve"> </w:t>
      </w:r>
      <w:r w:rsidRPr="00B472DD">
        <w:rPr>
          <w:sz w:val="16"/>
          <w:szCs w:val="16"/>
        </w:rPr>
        <w:t>416-</w:t>
      </w:r>
      <w:r w:rsidRPr="00B472DD">
        <w:rPr>
          <w:spacing w:val="-4"/>
          <w:sz w:val="16"/>
          <w:szCs w:val="16"/>
        </w:rPr>
        <w:t>423.</w:t>
      </w:r>
    </w:p>
    <w:p w14:paraId="6B547921" w14:textId="77777777" w:rsidR="00BD462C" w:rsidRPr="00B472DD" w:rsidRDefault="00033D0F">
      <w:pPr>
        <w:spacing w:line="218" w:lineRule="exact"/>
        <w:ind w:left="135"/>
        <w:rPr>
          <w:sz w:val="16"/>
          <w:szCs w:val="16"/>
        </w:rPr>
      </w:pPr>
      <w:bookmarkStart w:id="689" w:name="_bookmark590"/>
      <w:bookmarkEnd w:id="689"/>
      <w:r w:rsidRPr="00B472DD">
        <w:rPr>
          <w:position w:val="5"/>
          <w:sz w:val="16"/>
          <w:szCs w:val="16"/>
        </w:rPr>
        <w:t>489</w:t>
      </w:r>
      <w:r w:rsidRPr="00B472DD">
        <w:rPr>
          <w:spacing w:val="12"/>
          <w:position w:val="5"/>
          <w:sz w:val="16"/>
          <w:szCs w:val="16"/>
        </w:rPr>
        <w:t xml:space="preserve"> </w:t>
      </w:r>
      <w:r w:rsidRPr="00B472DD">
        <w:rPr>
          <w:sz w:val="16"/>
          <w:szCs w:val="16"/>
        </w:rPr>
        <w:t>Australia's</w:t>
      </w:r>
      <w:r w:rsidRPr="00B472DD">
        <w:rPr>
          <w:spacing w:val="-6"/>
          <w:sz w:val="16"/>
          <w:szCs w:val="16"/>
        </w:rPr>
        <w:t xml:space="preserve"> </w:t>
      </w:r>
      <w:r w:rsidRPr="00B472DD">
        <w:rPr>
          <w:sz w:val="16"/>
          <w:szCs w:val="16"/>
        </w:rPr>
        <w:t>first</w:t>
      </w:r>
      <w:r w:rsidRPr="00B472DD">
        <w:rPr>
          <w:spacing w:val="-5"/>
          <w:sz w:val="16"/>
          <w:szCs w:val="16"/>
        </w:rPr>
        <w:t xml:space="preserve"> </w:t>
      </w:r>
      <w:r w:rsidRPr="00B472DD">
        <w:rPr>
          <w:sz w:val="16"/>
          <w:szCs w:val="16"/>
        </w:rPr>
        <w:t>written</w:t>
      </w:r>
      <w:r w:rsidRPr="00B472DD">
        <w:rPr>
          <w:spacing w:val="-2"/>
          <w:sz w:val="16"/>
          <w:szCs w:val="16"/>
        </w:rPr>
        <w:t xml:space="preserve"> </w:t>
      </w:r>
      <w:r w:rsidRPr="00B472DD">
        <w:rPr>
          <w:sz w:val="16"/>
          <w:szCs w:val="16"/>
        </w:rPr>
        <w:t>submission, paras.493</w:t>
      </w:r>
      <w:r w:rsidRPr="00B472DD">
        <w:rPr>
          <w:spacing w:val="-7"/>
          <w:sz w:val="16"/>
          <w:szCs w:val="16"/>
        </w:rPr>
        <w:t xml:space="preserve"> </w:t>
      </w:r>
      <w:r w:rsidRPr="00B472DD">
        <w:rPr>
          <w:sz w:val="16"/>
          <w:szCs w:val="16"/>
        </w:rPr>
        <w:t>-</w:t>
      </w:r>
      <w:r w:rsidRPr="00B472DD">
        <w:rPr>
          <w:spacing w:val="-4"/>
          <w:sz w:val="16"/>
          <w:szCs w:val="16"/>
        </w:rPr>
        <w:t>523.</w:t>
      </w:r>
    </w:p>
    <w:p w14:paraId="22B7DEF3" w14:textId="77777777" w:rsidR="00BD462C" w:rsidRPr="00B472DD" w:rsidRDefault="00033D0F">
      <w:pPr>
        <w:spacing w:before="1"/>
        <w:ind w:left="135"/>
        <w:rPr>
          <w:sz w:val="16"/>
          <w:szCs w:val="16"/>
        </w:rPr>
      </w:pPr>
      <w:bookmarkStart w:id="690" w:name="_bookmark591"/>
      <w:bookmarkEnd w:id="690"/>
      <w:r w:rsidRPr="00B472DD">
        <w:rPr>
          <w:position w:val="5"/>
          <w:sz w:val="16"/>
          <w:szCs w:val="16"/>
        </w:rPr>
        <w:t>490</w:t>
      </w:r>
      <w:r w:rsidRPr="00B472DD">
        <w:rPr>
          <w:spacing w:val="13"/>
          <w:position w:val="5"/>
          <w:sz w:val="16"/>
          <w:szCs w:val="16"/>
        </w:rPr>
        <w:t xml:space="preserve"> </w:t>
      </w:r>
      <w:r w:rsidRPr="00B472DD">
        <w:rPr>
          <w:sz w:val="16"/>
          <w:szCs w:val="16"/>
        </w:rPr>
        <w:t>Anti-Dumping</w:t>
      </w:r>
      <w:r w:rsidRPr="00B472DD">
        <w:rPr>
          <w:spacing w:val="-6"/>
          <w:sz w:val="16"/>
          <w:szCs w:val="16"/>
        </w:rPr>
        <w:t xml:space="preserve"> </w:t>
      </w:r>
      <w:r w:rsidRPr="00B472DD">
        <w:rPr>
          <w:sz w:val="16"/>
          <w:szCs w:val="16"/>
        </w:rPr>
        <w:t>Final</w:t>
      </w:r>
      <w:r w:rsidRPr="00B472DD">
        <w:rPr>
          <w:spacing w:val="-1"/>
          <w:sz w:val="16"/>
          <w:szCs w:val="16"/>
        </w:rPr>
        <w:t xml:space="preserve"> </w:t>
      </w:r>
      <w:r w:rsidRPr="00B472DD">
        <w:rPr>
          <w:sz w:val="16"/>
          <w:szCs w:val="16"/>
        </w:rPr>
        <w:t>Determination,</w:t>
      </w:r>
      <w:r w:rsidRPr="00B472DD">
        <w:rPr>
          <w:spacing w:val="-4"/>
          <w:sz w:val="16"/>
          <w:szCs w:val="16"/>
        </w:rPr>
        <w:t xml:space="preserve"> </w:t>
      </w:r>
      <w:r w:rsidRPr="00B472DD">
        <w:rPr>
          <w:sz w:val="16"/>
          <w:szCs w:val="16"/>
        </w:rPr>
        <w:t>p.</w:t>
      </w:r>
      <w:r w:rsidRPr="00B472DD">
        <w:rPr>
          <w:spacing w:val="-4"/>
          <w:sz w:val="16"/>
          <w:szCs w:val="16"/>
        </w:rPr>
        <w:t xml:space="preserve"> </w:t>
      </w:r>
      <w:r w:rsidRPr="00B472DD">
        <w:rPr>
          <w:spacing w:val="-5"/>
          <w:sz w:val="16"/>
          <w:szCs w:val="16"/>
        </w:rPr>
        <w:t>92.</w:t>
      </w:r>
    </w:p>
    <w:p w14:paraId="02F0E2C7" w14:textId="77777777" w:rsidR="00BD462C" w:rsidRPr="00B472DD" w:rsidRDefault="00033D0F">
      <w:pPr>
        <w:spacing w:before="1"/>
        <w:ind w:left="135"/>
        <w:rPr>
          <w:sz w:val="16"/>
          <w:szCs w:val="16"/>
        </w:rPr>
      </w:pPr>
      <w:bookmarkStart w:id="691" w:name="_bookmark592"/>
      <w:bookmarkEnd w:id="691"/>
      <w:r w:rsidRPr="00B472DD">
        <w:rPr>
          <w:position w:val="5"/>
          <w:sz w:val="16"/>
          <w:szCs w:val="16"/>
        </w:rPr>
        <w:t>491</w:t>
      </w:r>
      <w:r w:rsidRPr="00B472DD">
        <w:rPr>
          <w:spacing w:val="13"/>
          <w:position w:val="5"/>
          <w:sz w:val="16"/>
          <w:szCs w:val="16"/>
        </w:rPr>
        <w:t xml:space="preserve"> </w:t>
      </w:r>
      <w:r w:rsidRPr="00B472DD">
        <w:rPr>
          <w:sz w:val="16"/>
          <w:szCs w:val="16"/>
        </w:rPr>
        <w:t>China's</w:t>
      </w:r>
      <w:r w:rsidRPr="00B472DD">
        <w:rPr>
          <w:spacing w:val="-5"/>
          <w:sz w:val="16"/>
          <w:szCs w:val="16"/>
        </w:rPr>
        <w:t xml:space="preserve"> </w:t>
      </w:r>
      <w:r w:rsidRPr="00B472DD">
        <w:rPr>
          <w:sz w:val="16"/>
          <w:szCs w:val="16"/>
        </w:rPr>
        <w:t>first</w:t>
      </w:r>
      <w:r w:rsidRPr="00B472DD">
        <w:rPr>
          <w:spacing w:val="-4"/>
          <w:sz w:val="16"/>
          <w:szCs w:val="16"/>
        </w:rPr>
        <w:t xml:space="preserve"> </w:t>
      </w:r>
      <w:r w:rsidRPr="00B472DD">
        <w:rPr>
          <w:sz w:val="16"/>
          <w:szCs w:val="16"/>
        </w:rPr>
        <w:t>written</w:t>
      </w:r>
      <w:r w:rsidRPr="00B472DD">
        <w:rPr>
          <w:spacing w:val="-6"/>
          <w:sz w:val="16"/>
          <w:szCs w:val="16"/>
        </w:rPr>
        <w:t xml:space="preserve"> </w:t>
      </w:r>
      <w:r w:rsidRPr="00B472DD">
        <w:rPr>
          <w:sz w:val="16"/>
          <w:szCs w:val="16"/>
        </w:rPr>
        <w:t>submission,</w:t>
      </w:r>
      <w:r w:rsidRPr="00B472DD">
        <w:rPr>
          <w:spacing w:val="2"/>
          <w:sz w:val="16"/>
          <w:szCs w:val="16"/>
        </w:rPr>
        <w:t xml:space="preserve"> </w:t>
      </w:r>
      <w:r w:rsidRPr="00B472DD">
        <w:rPr>
          <w:sz w:val="16"/>
          <w:szCs w:val="16"/>
        </w:rPr>
        <w:t>paras.</w:t>
      </w:r>
      <w:r w:rsidRPr="00B472DD">
        <w:rPr>
          <w:spacing w:val="-4"/>
          <w:sz w:val="16"/>
          <w:szCs w:val="16"/>
        </w:rPr>
        <w:t xml:space="preserve"> </w:t>
      </w:r>
      <w:r w:rsidRPr="00B472DD">
        <w:rPr>
          <w:sz w:val="16"/>
          <w:szCs w:val="16"/>
        </w:rPr>
        <w:t>668,</w:t>
      </w:r>
      <w:r w:rsidRPr="00B472DD">
        <w:rPr>
          <w:spacing w:val="-3"/>
          <w:sz w:val="16"/>
          <w:szCs w:val="16"/>
        </w:rPr>
        <w:t xml:space="preserve"> </w:t>
      </w:r>
      <w:r w:rsidRPr="00B472DD">
        <w:rPr>
          <w:sz w:val="16"/>
          <w:szCs w:val="16"/>
        </w:rPr>
        <w:t>712,</w:t>
      </w:r>
      <w:r w:rsidRPr="00B472DD">
        <w:rPr>
          <w:spacing w:val="2"/>
          <w:sz w:val="16"/>
          <w:szCs w:val="16"/>
        </w:rPr>
        <w:t xml:space="preserve"> </w:t>
      </w:r>
      <w:r w:rsidRPr="00B472DD">
        <w:rPr>
          <w:sz w:val="16"/>
          <w:szCs w:val="16"/>
        </w:rPr>
        <w:t>718</w:t>
      </w:r>
      <w:r w:rsidRPr="00B472DD">
        <w:rPr>
          <w:spacing w:val="-7"/>
          <w:sz w:val="16"/>
          <w:szCs w:val="16"/>
        </w:rPr>
        <w:t xml:space="preserve"> </w:t>
      </w:r>
      <w:r w:rsidRPr="00B472DD">
        <w:rPr>
          <w:sz w:val="16"/>
          <w:szCs w:val="16"/>
        </w:rPr>
        <w:t>and</w:t>
      </w:r>
      <w:r w:rsidRPr="00B472DD">
        <w:rPr>
          <w:spacing w:val="-6"/>
          <w:sz w:val="16"/>
          <w:szCs w:val="16"/>
        </w:rPr>
        <w:t xml:space="preserve"> </w:t>
      </w:r>
      <w:r w:rsidRPr="00B472DD">
        <w:rPr>
          <w:spacing w:val="-4"/>
          <w:sz w:val="16"/>
          <w:szCs w:val="16"/>
        </w:rPr>
        <w:t>813.</w:t>
      </w:r>
    </w:p>
    <w:p w14:paraId="6E389F3E" w14:textId="77777777" w:rsidR="00BD462C" w:rsidRPr="00B472DD" w:rsidRDefault="00033D0F">
      <w:pPr>
        <w:spacing w:before="1"/>
        <w:ind w:left="135"/>
        <w:rPr>
          <w:sz w:val="16"/>
          <w:szCs w:val="16"/>
        </w:rPr>
      </w:pPr>
      <w:bookmarkStart w:id="692" w:name="_bookmark593"/>
      <w:bookmarkEnd w:id="692"/>
      <w:r w:rsidRPr="00B472DD">
        <w:rPr>
          <w:position w:val="5"/>
          <w:sz w:val="16"/>
          <w:szCs w:val="16"/>
        </w:rPr>
        <w:t>492</w:t>
      </w:r>
      <w:r w:rsidRPr="00B472DD">
        <w:rPr>
          <w:spacing w:val="11"/>
          <w:position w:val="5"/>
          <w:sz w:val="16"/>
          <w:szCs w:val="16"/>
        </w:rPr>
        <w:t xml:space="preserve"> </w:t>
      </w:r>
      <w:r w:rsidRPr="00B472DD">
        <w:rPr>
          <w:sz w:val="16"/>
          <w:szCs w:val="16"/>
        </w:rPr>
        <w:t>Australia's</w:t>
      </w:r>
      <w:r w:rsidRPr="00B472DD">
        <w:rPr>
          <w:spacing w:val="-8"/>
          <w:sz w:val="16"/>
          <w:szCs w:val="16"/>
        </w:rPr>
        <w:t xml:space="preserve"> </w:t>
      </w:r>
      <w:r w:rsidRPr="00B472DD">
        <w:rPr>
          <w:sz w:val="16"/>
          <w:szCs w:val="16"/>
        </w:rPr>
        <w:t>first</w:t>
      </w:r>
      <w:r w:rsidRPr="00B472DD">
        <w:rPr>
          <w:spacing w:val="-6"/>
          <w:sz w:val="16"/>
          <w:szCs w:val="16"/>
        </w:rPr>
        <w:t xml:space="preserve"> </w:t>
      </w:r>
      <w:r w:rsidRPr="00B472DD">
        <w:rPr>
          <w:sz w:val="16"/>
          <w:szCs w:val="16"/>
        </w:rPr>
        <w:t>written</w:t>
      </w:r>
      <w:r w:rsidRPr="00B472DD">
        <w:rPr>
          <w:spacing w:val="-4"/>
          <w:sz w:val="16"/>
          <w:szCs w:val="16"/>
        </w:rPr>
        <w:t xml:space="preserve"> </w:t>
      </w:r>
      <w:r w:rsidRPr="00B472DD">
        <w:rPr>
          <w:sz w:val="16"/>
          <w:szCs w:val="16"/>
        </w:rPr>
        <w:t>submission,</w:t>
      </w:r>
      <w:r w:rsidRPr="00B472DD">
        <w:rPr>
          <w:spacing w:val="-1"/>
          <w:sz w:val="16"/>
          <w:szCs w:val="16"/>
        </w:rPr>
        <w:t xml:space="preserve"> </w:t>
      </w:r>
      <w:r w:rsidRPr="00B472DD">
        <w:rPr>
          <w:sz w:val="16"/>
          <w:szCs w:val="16"/>
        </w:rPr>
        <w:t>paras.</w:t>
      </w:r>
      <w:r w:rsidRPr="00B472DD">
        <w:rPr>
          <w:spacing w:val="-6"/>
          <w:sz w:val="16"/>
          <w:szCs w:val="16"/>
        </w:rPr>
        <w:t xml:space="preserve"> </w:t>
      </w:r>
      <w:r w:rsidRPr="00B472DD">
        <w:rPr>
          <w:sz w:val="16"/>
          <w:szCs w:val="16"/>
        </w:rPr>
        <w:t>270,</w:t>
      </w:r>
      <w:r w:rsidRPr="00B472DD">
        <w:rPr>
          <w:spacing w:val="-1"/>
          <w:sz w:val="16"/>
          <w:szCs w:val="16"/>
        </w:rPr>
        <w:t xml:space="preserve"> </w:t>
      </w:r>
      <w:r w:rsidRPr="00B472DD">
        <w:rPr>
          <w:sz w:val="16"/>
          <w:szCs w:val="16"/>
        </w:rPr>
        <w:t>411-</w:t>
      </w:r>
      <w:r w:rsidRPr="00B472DD">
        <w:rPr>
          <w:spacing w:val="-4"/>
          <w:sz w:val="16"/>
          <w:szCs w:val="16"/>
        </w:rPr>
        <w:t>482.</w:t>
      </w:r>
    </w:p>
    <w:p w14:paraId="0D41FB26" w14:textId="77777777" w:rsidR="00BD462C" w:rsidRPr="00B472DD" w:rsidRDefault="00033D0F">
      <w:pPr>
        <w:spacing w:before="1"/>
        <w:ind w:left="135"/>
        <w:rPr>
          <w:sz w:val="16"/>
          <w:szCs w:val="16"/>
        </w:rPr>
      </w:pPr>
      <w:bookmarkStart w:id="693" w:name="_bookmark594"/>
      <w:bookmarkEnd w:id="693"/>
      <w:r w:rsidRPr="00B472DD">
        <w:rPr>
          <w:position w:val="5"/>
          <w:sz w:val="16"/>
          <w:szCs w:val="16"/>
        </w:rPr>
        <w:t>493</w:t>
      </w:r>
      <w:r w:rsidRPr="00B472DD">
        <w:rPr>
          <w:spacing w:val="12"/>
          <w:position w:val="5"/>
          <w:sz w:val="16"/>
          <w:szCs w:val="16"/>
        </w:rPr>
        <w:t xml:space="preserve"> </w:t>
      </w:r>
      <w:r w:rsidRPr="00B472DD">
        <w:rPr>
          <w:sz w:val="16"/>
          <w:szCs w:val="16"/>
        </w:rPr>
        <w:t>Australia's</w:t>
      </w:r>
      <w:r w:rsidRPr="00B472DD">
        <w:rPr>
          <w:spacing w:val="-7"/>
          <w:sz w:val="16"/>
          <w:szCs w:val="16"/>
        </w:rPr>
        <w:t xml:space="preserve"> </w:t>
      </w:r>
      <w:r w:rsidRPr="00B472DD">
        <w:rPr>
          <w:sz w:val="16"/>
          <w:szCs w:val="16"/>
        </w:rPr>
        <w:t>first</w:t>
      </w:r>
      <w:r w:rsidRPr="00B472DD">
        <w:rPr>
          <w:spacing w:val="-5"/>
          <w:sz w:val="16"/>
          <w:szCs w:val="16"/>
        </w:rPr>
        <w:t xml:space="preserve"> </w:t>
      </w:r>
      <w:r w:rsidRPr="00B472DD">
        <w:rPr>
          <w:sz w:val="16"/>
          <w:szCs w:val="16"/>
        </w:rPr>
        <w:t>written</w:t>
      </w:r>
      <w:r w:rsidRPr="00B472DD">
        <w:rPr>
          <w:spacing w:val="-3"/>
          <w:sz w:val="16"/>
          <w:szCs w:val="16"/>
        </w:rPr>
        <w:t xml:space="preserve"> </w:t>
      </w:r>
      <w:r w:rsidRPr="00B472DD">
        <w:rPr>
          <w:sz w:val="16"/>
          <w:szCs w:val="16"/>
        </w:rPr>
        <w:t>submission, paras.</w:t>
      </w:r>
      <w:r w:rsidRPr="00B472DD">
        <w:rPr>
          <w:spacing w:val="-5"/>
          <w:sz w:val="16"/>
          <w:szCs w:val="16"/>
        </w:rPr>
        <w:t xml:space="preserve"> </w:t>
      </w:r>
      <w:r w:rsidRPr="00B472DD">
        <w:rPr>
          <w:sz w:val="16"/>
          <w:szCs w:val="16"/>
        </w:rPr>
        <w:t>271-</w:t>
      </w:r>
      <w:r w:rsidRPr="00B472DD">
        <w:rPr>
          <w:spacing w:val="-4"/>
          <w:sz w:val="16"/>
          <w:szCs w:val="16"/>
        </w:rPr>
        <w:t>285.</w:t>
      </w:r>
    </w:p>
    <w:p w14:paraId="374CA152" w14:textId="77777777" w:rsidR="00BD462C" w:rsidRDefault="00BD462C">
      <w:pPr>
        <w:rPr>
          <w:sz w:val="18"/>
        </w:rPr>
        <w:sectPr w:rsidR="00BD462C">
          <w:pgSz w:w="11910" w:h="16840"/>
          <w:pgMar w:top="860" w:right="500" w:bottom="780" w:left="1280" w:header="566" w:footer="590" w:gutter="0"/>
          <w:cols w:space="720"/>
        </w:sectPr>
      </w:pPr>
    </w:p>
    <w:p w14:paraId="11D58954"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48021A61"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13BAE44A"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03D4B7B0" w14:textId="0CBA121C" w:rsidR="00BD462C" w:rsidRDefault="00B472DD">
      <w:pPr>
        <w:pStyle w:val="BodyText"/>
        <w:spacing w:before="102" w:line="357" w:lineRule="auto"/>
        <w:ind w:left="135" w:right="923"/>
      </w:pPr>
      <w:r>
        <w:t>They were</w:t>
      </w:r>
      <w:r>
        <w:rPr>
          <w:spacing w:val="22"/>
        </w:rPr>
        <w:t xml:space="preserve"> </w:t>
      </w:r>
      <w:r>
        <w:t>not</w:t>
      </w:r>
      <w:r>
        <w:rPr>
          <w:spacing w:val="22"/>
        </w:rPr>
        <w:t xml:space="preserve"> </w:t>
      </w:r>
      <w:proofErr w:type="gramStart"/>
      <w:r>
        <w:t>taken</w:t>
      </w:r>
      <w:r>
        <w:rPr>
          <w:spacing w:val="20"/>
        </w:rPr>
        <w:t xml:space="preserve"> </w:t>
      </w:r>
      <w:r>
        <w:t>into</w:t>
      </w:r>
      <w:r>
        <w:rPr>
          <w:spacing w:val="19"/>
        </w:rPr>
        <w:t xml:space="preserve"> </w:t>
      </w:r>
      <w:r>
        <w:t>account</w:t>
      </w:r>
      <w:proofErr w:type="gramEnd"/>
      <w:r>
        <w:rPr>
          <w:spacing w:val="22"/>
        </w:rPr>
        <w:t xml:space="preserve"> </w:t>
      </w:r>
      <w:r>
        <w:t>by</w:t>
      </w:r>
      <w:r>
        <w:rPr>
          <w:spacing w:val="23"/>
        </w:rPr>
        <w:t xml:space="preserve"> </w:t>
      </w:r>
      <w:r>
        <w:t>MOFCOM</w:t>
      </w:r>
      <w:r>
        <w:rPr>
          <w:spacing w:val="22"/>
        </w:rPr>
        <w:t xml:space="preserve"> </w:t>
      </w:r>
      <w:r>
        <w:t>when</w:t>
      </w:r>
      <w:r>
        <w:rPr>
          <w:spacing w:val="24"/>
        </w:rPr>
        <w:t xml:space="preserve"> </w:t>
      </w:r>
      <w:r>
        <w:t>determining</w:t>
      </w:r>
      <w:r>
        <w:rPr>
          <w:spacing w:val="23"/>
        </w:rPr>
        <w:t xml:space="preserve"> </w:t>
      </w:r>
      <w:r>
        <w:t>normal</w:t>
      </w:r>
      <w:r>
        <w:rPr>
          <w:spacing w:val="24"/>
        </w:rPr>
        <w:t xml:space="preserve"> </w:t>
      </w:r>
      <w:r>
        <w:t>value</w:t>
      </w:r>
      <w:r>
        <w:rPr>
          <w:spacing w:val="21"/>
        </w:rPr>
        <w:t xml:space="preserve"> </w:t>
      </w:r>
      <w:r>
        <w:t>and,</w:t>
      </w:r>
      <w:r>
        <w:rPr>
          <w:spacing w:val="23"/>
        </w:rPr>
        <w:t xml:space="preserve"> </w:t>
      </w:r>
      <w:r>
        <w:t xml:space="preserve">therefore, </w:t>
      </w:r>
      <w:r w:rsidR="00033D0F">
        <w:t>needed</w:t>
      </w:r>
      <w:r w:rsidR="00033D0F">
        <w:rPr>
          <w:spacing w:val="-5"/>
        </w:rPr>
        <w:t xml:space="preserve"> </w:t>
      </w:r>
      <w:r w:rsidR="00033D0F">
        <w:t>to</w:t>
      </w:r>
      <w:r w:rsidR="00033D0F">
        <w:rPr>
          <w:spacing w:val="-6"/>
        </w:rPr>
        <w:t xml:space="preserve"> </w:t>
      </w:r>
      <w:r w:rsidR="00033D0F">
        <w:t>be</w:t>
      </w:r>
      <w:r w:rsidR="00033D0F">
        <w:rPr>
          <w:spacing w:val="-4"/>
        </w:rPr>
        <w:t xml:space="preserve"> </w:t>
      </w:r>
      <w:r w:rsidR="00033D0F">
        <w:t>taken</w:t>
      </w:r>
      <w:r w:rsidR="00033D0F">
        <w:rPr>
          <w:spacing w:val="-5"/>
        </w:rPr>
        <w:t xml:space="preserve"> </w:t>
      </w:r>
      <w:r w:rsidR="00033D0F">
        <w:t>into</w:t>
      </w:r>
      <w:r w:rsidR="00033D0F">
        <w:rPr>
          <w:spacing w:val="-6"/>
        </w:rPr>
        <w:t xml:space="preserve"> </w:t>
      </w:r>
      <w:r w:rsidR="00033D0F">
        <w:t>account</w:t>
      </w:r>
      <w:r w:rsidR="00033D0F">
        <w:rPr>
          <w:spacing w:val="-3"/>
        </w:rPr>
        <w:t xml:space="preserve"> </w:t>
      </w:r>
      <w:r w:rsidR="00033D0F">
        <w:t>when</w:t>
      </w:r>
      <w:r w:rsidR="00033D0F">
        <w:rPr>
          <w:spacing w:val="-5"/>
        </w:rPr>
        <w:t xml:space="preserve"> </w:t>
      </w:r>
      <w:r w:rsidR="00033D0F">
        <w:t>ensuring</w:t>
      </w:r>
      <w:r w:rsidR="00033D0F">
        <w:rPr>
          <w:spacing w:val="-2"/>
        </w:rPr>
        <w:t xml:space="preserve"> </w:t>
      </w:r>
      <w:r w:rsidR="00033D0F">
        <w:t>a</w:t>
      </w:r>
      <w:r w:rsidR="00033D0F">
        <w:rPr>
          <w:spacing w:val="-4"/>
        </w:rPr>
        <w:t xml:space="preserve"> </w:t>
      </w:r>
      <w:r w:rsidR="00033D0F">
        <w:t>fair</w:t>
      </w:r>
      <w:r w:rsidR="00033D0F">
        <w:rPr>
          <w:spacing w:val="-6"/>
        </w:rPr>
        <w:t xml:space="preserve"> </w:t>
      </w:r>
      <w:r w:rsidR="00033D0F">
        <w:t>comparison</w:t>
      </w:r>
      <w:r w:rsidR="00033D0F">
        <w:rPr>
          <w:spacing w:val="-5"/>
        </w:rPr>
        <w:t xml:space="preserve"> </w:t>
      </w:r>
      <w:r w:rsidR="00033D0F">
        <w:t>between</w:t>
      </w:r>
      <w:r w:rsidR="00033D0F">
        <w:rPr>
          <w:spacing w:val="-5"/>
        </w:rPr>
        <w:t xml:space="preserve"> </w:t>
      </w:r>
      <w:r w:rsidR="00033D0F">
        <w:t>normal</w:t>
      </w:r>
      <w:r w:rsidR="00033D0F">
        <w:rPr>
          <w:spacing w:val="-1"/>
        </w:rPr>
        <w:t xml:space="preserve"> </w:t>
      </w:r>
      <w:r w:rsidR="00033D0F">
        <w:t>value</w:t>
      </w:r>
      <w:r w:rsidR="00033D0F">
        <w:rPr>
          <w:spacing w:val="-4"/>
        </w:rPr>
        <w:t xml:space="preserve"> </w:t>
      </w:r>
      <w:r w:rsidR="00033D0F">
        <w:t>and export price under Article 2.4 by making the appropriate adjustments.</w:t>
      </w:r>
      <w:hyperlink w:anchor="_bookmark595" w:history="1">
        <w:r w:rsidR="00033D0F">
          <w:rPr>
            <w:vertAlign w:val="superscript"/>
          </w:rPr>
          <w:t>494</w:t>
        </w:r>
      </w:hyperlink>
    </w:p>
    <w:p w14:paraId="12979562" w14:textId="77777777" w:rsidR="00BD462C" w:rsidRDefault="00BD462C">
      <w:pPr>
        <w:pStyle w:val="BodyText"/>
        <w:spacing w:before="3"/>
        <w:rPr>
          <w:sz w:val="9"/>
        </w:rPr>
      </w:pPr>
    </w:p>
    <w:p w14:paraId="35A217EF" w14:textId="18FCEE3F" w:rsidR="00BD462C" w:rsidRDefault="00FC4216" w:rsidP="00FC4216">
      <w:pPr>
        <w:pStyle w:val="BodyText"/>
        <w:numPr>
          <w:ilvl w:val="0"/>
          <w:numId w:val="71"/>
        </w:numPr>
        <w:spacing w:before="56" w:line="357" w:lineRule="auto"/>
        <w:ind w:right="923"/>
      </w:pPr>
      <w:r>
        <w:rPr>
          <w:noProof/>
        </w:rPr>
        <mc:AlternateContent>
          <mc:Choice Requires="wps">
            <w:drawing>
              <wp:anchor distT="0" distB="0" distL="114300" distR="114300" simplePos="0" relativeHeight="15869952" behindDoc="0" locked="0" layoutInCell="1" allowOverlap="1" wp14:anchorId="1806540C" wp14:editId="18A1CAA4">
                <wp:simplePos x="0" y="0"/>
                <wp:positionH relativeFrom="page">
                  <wp:posOffset>2777428</wp:posOffset>
                </wp:positionH>
                <wp:positionV relativeFrom="paragraph">
                  <wp:posOffset>628704</wp:posOffset>
                </wp:positionV>
                <wp:extent cx="3854423" cy="200484"/>
                <wp:effectExtent l="0" t="0" r="0" b="9525"/>
                <wp:wrapNone/>
                <wp:docPr id="824" name="docshape3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4423" cy="2004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D07FA4" id="docshape304" o:spid="_x0000_s1026" alt="&quot;&quot;" style="position:absolute;margin-left:218.7pt;margin-top:49.5pt;width:303.5pt;height:15.8pt;z-index:1586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" fillcolor="black" stroked="f">
                <w10:wrap anchorx="page"/>
              </v:rect>
            </w:pict>
          </mc:Fallback>
        </mc:AlternateContent>
      </w:r>
      <w:r w:rsidR="00033D0F">
        <w:rPr>
          <w:position w:val="1"/>
        </w:rPr>
        <w:t xml:space="preserve">Although MOFCOM made some adjustments, it omitted crucial adjustments related </w:t>
      </w:r>
      <w:r w:rsidR="00033D0F">
        <w:t>to</w:t>
      </w:r>
      <w:r w:rsidR="00033D0F">
        <w:rPr>
          <w:spacing w:val="-14"/>
        </w:rPr>
        <w:t xml:space="preserve"> </w:t>
      </w:r>
      <w:r w:rsidR="00033D0F">
        <w:t>the</w:t>
      </w:r>
      <w:r w:rsidR="00033D0F">
        <w:rPr>
          <w:spacing w:val="-14"/>
        </w:rPr>
        <w:t xml:space="preserve"> </w:t>
      </w:r>
      <w:r w:rsidR="00033D0F">
        <w:t>above</w:t>
      </w:r>
      <w:r w:rsidR="00033D0F">
        <w:rPr>
          <w:spacing w:val="-12"/>
        </w:rPr>
        <w:t xml:space="preserve"> </w:t>
      </w:r>
      <w:r w:rsidR="00033D0F">
        <w:t>level</w:t>
      </w:r>
      <w:r w:rsidR="00033D0F">
        <w:rPr>
          <w:spacing w:val="-10"/>
        </w:rPr>
        <w:t xml:space="preserve"> </w:t>
      </w:r>
      <w:r w:rsidR="00033D0F">
        <w:t>of</w:t>
      </w:r>
      <w:r w:rsidR="00033D0F">
        <w:rPr>
          <w:spacing w:val="-14"/>
        </w:rPr>
        <w:t xml:space="preserve"> </w:t>
      </w:r>
      <w:r w:rsidR="00033D0F">
        <w:t>trade</w:t>
      </w:r>
      <w:r w:rsidR="00033D0F">
        <w:rPr>
          <w:spacing w:val="-12"/>
        </w:rPr>
        <w:t xml:space="preserve"> </w:t>
      </w:r>
      <w:r w:rsidR="00033D0F">
        <w:t>and</w:t>
      </w:r>
      <w:r w:rsidR="00033D0F">
        <w:rPr>
          <w:spacing w:val="-9"/>
        </w:rPr>
        <w:t xml:space="preserve"> </w:t>
      </w:r>
      <w:r w:rsidR="00033D0F">
        <w:t>product</w:t>
      </w:r>
      <w:r w:rsidR="00033D0F">
        <w:rPr>
          <w:spacing w:val="-11"/>
        </w:rPr>
        <w:t xml:space="preserve"> </w:t>
      </w:r>
      <w:r w:rsidR="00033D0F">
        <w:t>mix</w:t>
      </w:r>
      <w:r w:rsidR="00033D0F">
        <w:rPr>
          <w:spacing w:val="-11"/>
        </w:rPr>
        <w:t xml:space="preserve"> </w:t>
      </w:r>
      <w:r w:rsidR="00033D0F">
        <w:t>differences.</w:t>
      </w:r>
      <w:r w:rsidR="00033D0F">
        <w:rPr>
          <w:spacing w:val="-33"/>
        </w:rPr>
        <w:t xml:space="preserve"> </w:t>
      </w:r>
      <w:hyperlink w:anchor="_bookmark596" w:history="1">
        <w:r w:rsidR="00033D0F">
          <w:rPr>
            <w:vertAlign w:val="superscript"/>
          </w:rPr>
          <w:t>495</w:t>
        </w:r>
      </w:hyperlink>
      <w:r w:rsidR="00033D0F">
        <w:rPr>
          <w:spacing w:val="-11"/>
        </w:rPr>
        <w:t xml:space="preserve"> </w:t>
      </w:r>
      <w:r w:rsidR="00033D0F">
        <w:t>China</w:t>
      </w:r>
      <w:r w:rsidR="00033D0F">
        <w:rPr>
          <w:spacing w:val="-12"/>
        </w:rPr>
        <w:t xml:space="preserve"> </w:t>
      </w:r>
      <w:r w:rsidR="00033D0F">
        <w:t>also</w:t>
      </w:r>
      <w:r w:rsidR="00033D0F">
        <w:rPr>
          <w:spacing w:val="-13"/>
        </w:rPr>
        <w:t xml:space="preserve"> </w:t>
      </w:r>
      <w:r w:rsidR="00033D0F">
        <w:t>disclosed</w:t>
      </w:r>
      <w:r w:rsidR="00033D0F">
        <w:rPr>
          <w:spacing w:val="-14"/>
        </w:rPr>
        <w:t xml:space="preserve"> </w:t>
      </w:r>
      <w:r w:rsidR="00033D0F">
        <w:t>in</w:t>
      </w:r>
      <w:r w:rsidR="00033D0F">
        <w:rPr>
          <w:spacing w:val="-13"/>
        </w:rPr>
        <w:t xml:space="preserve"> </w:t>
      </w:r>
      <w:r w:rsidR="00033D0F">
        <w:t>Exhibit</w:t>
      </w:r>
      <w:r w:rsidR="00033D0F">
        <w:rPr>
          <w:spacing w:val="-11"/>
        </w:rPr>
        <w:t xml:space="preserve"> </w:t>
      </w:r>
      <w:r w:rsidR="00033D0F">
        <w:rPr>
          <w:spacing w:val="-4"/>
        </w:rPr>
        <w:t>CHN</w:t>
      </w:r>
      <w:r>
        <w:rPr>
          <w:spacing w:val="-4"/>
        </w:rPr>
        <w:t>-</w:t>
      </w:r>
      <w:r w:rsidR="00033D0F">
        <w:t>11</w:t>
      </w:r>
      <w:r w:rsidR="00033D0F" w:rsidRPr="00FC4216">
        <w:rPr>
          <w:spacing w:val="62"/>
          <w:w w:val="150"/>
        </w:rPr>
        <w:t xml:space="preserve"> </w:t>
      </w:r>
      <w:r w:rsidR="00033D0F" w:rsidRPr="00FC4216">
        <w:rPr>
          <w:spacing w:val="-4"/>
        </w:rPr>
        <w:t>that</w:t>
      </w:r>
    </w:p>
    <w:p w14:paraId="267CF688" w14:textId="1790AF4D" w:rsidR="00BD462C" w:rsidRDefault="00D70C7D">
      <w:pPr>
        <w:pStyle w:val="BodyText"/>
        <w:rPr>
          <w:sz w:val="10"/>
        </w:rPr>
      </w:pPr>
      <w:r>
        <w:rPr>
          <w:noProof/>
        </w:rPr>
        <mc:AlternateContent>
          <mc:Choice Requires="wps">
            <w:drawing>
              <wp:anchor distT="0" distB="0" distL="0" distR="0" simplePos="0" relativeHeight="487728128" behindDoc="1" locked="0" layoutInCell="1" allowOverlap="1" wp14:anchorId="3B728A55" wp14:editId="74BEA666">
                <wp:simplePos x="0" y="0"/>
                <wp:positionH relativeFrom="page">
                  <wp:posOffset>899160</wp:posOffset>
                </wp:positionH>
                <wp:positionV relativeFrom="paragraph">
                  <wp:posOffset>93345</wp:posOffset>
                </wp:positionV>
                <wp:extent cx="5696585" cy="186055"/>
                <wp:effectExtent l="0" t="0" r="0" b="0"/>
                <wp:wrapTopAndBottom/>
                <wp:docPr id="822" name="docshape3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658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2D8542" id="docshape305" o:spid="_x0000_s1026" alt="&quot;&quot;" style="position:absolute;margin-left:70.8pt;margin-top:7.35pt;width:448.55pt;height:14.65pt;z-index:-15588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" fillcolor="black" stroked="f">
                <w10:wrap type="topAndBottom" anchorx="page"/>
              </v:rect>
            </w:pict>
          </mc:Fallback>
        </mc:AlternateContent>
      </w:r>
      <w:r>
        <w:rPr>
          <w:noProof/>
        </w:rPr>
        <mc:AlternateContent>
          <mc:Choice Requires="wps">
            <w:drawing>
              <wp:inline distT="0" distB="0" distL="0" distR="0" wp14:anchorId="3431AD08" wp14:editId="6944EE55">
                <wp:extent cx="5696585" cy="186055"/>
                <wp:effectExtent l="0" t="0" r="0" b="4445"/>
                <wp:docPr id="820" name="docshape306" descr="Redacte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658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0C6F24" id="docshape306" o:spid="_x0000_s1026" alt="Redacted" style="width:448.55pt;height:1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" fillcolor="black" stroked="f">
                <w10:anchorlock/>
              </v:rect>
            </w:pict>
          </mc:Fallback>
        </mc:AlternateContent>
      </w:r>
      <w:r>
        <w:rPr>
          <w:noProof/>
        </w:rPr>
        <mc:AlternateContent>
          <mc:Choice Requires="wps">
            <w:drawing>
              <wp:anchor distT="0" distB="0" distL="0" distR="0" simplePos="0" relativeHeight="487729152" behindDoc="1" locked="0" layoutInCell="1" allowOverlap="1" wp14:anchorId="70C7D0B0" wp14:editId="7B5FA51F">
                <wp:simplePos x="0" y="0"/>
                <wp:positionH relativeFrom="page">
                  <wp:posOffset>899160</wp:posOffset>
                </wp:positionH>
                <wp:positionV relativeFrom="paragraph">
                  <wp:posOffset>650875</wp:posOffset>
                </wp:positionV>
                <wp:extent cx="978535" cy="186055"/>
                <wp:effectExtent l="0" t="0" r="0" b="0"/>
                <wp:wrapTopAndBottom/>
                <wp:docPr id="818" name="docshape3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53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A07C45" w14:textId="007FEFFE" w:rsidR="00BD462C" w:rsidRDefault="00BD462C">
                            <w:pPr>
                              <w:spacing w:before="2" w:line="291" w:lineRule="exact"/>
                              <w:ind w:right="1"/>
                              <w:jc w:val="right"/>
                              <w:rPr>
                                <w:color w:val="000000"/>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7D0B0" id="docshape307" o:spid="_x0000_s1051" type="#_x0000_t202" alt="&quot;&quot;" style="position:absolute;margin-left:70.8pt;margin-top:51.25pt;width:77.05pt;height:14.65pt;z-index:-15587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" fillcolor="black" stroked="f">
                <v:textbox inset="0,0,0,0">
                  <w:txbxContent>
                    <w:p w14:paraId="25A07C45" w14:textId="007FEFFE" w:rsidR="00BD462C" w:rsidRDefault="00BD462C">
                      <w:pPr>
                        <w:spacing w:before="2" w:line="291" w:lineRule="exact"/>
                        <w:ind w:right="1"/>
                        <w:jc w:val="right"/>
                        <w:rPr>
                          <w:color w:val="000000"/>
                          <w:sz w:val="24"/>
                        </w:rPr>
                      </w:pPr>
                    </w:p>
                  </w:txbxContent>
                </v:textbox>
                <w10:wrap type="topAndBottom" anchorx="page"/>
              </v:shape>
            </w:pict>
          </mc:Fallback>
        </mc:AlternateContent>
      </w:r>
    </w:p>
    <w:p w14:paraId="230A768E" w14:textId="77777777" w:rsidR="00BD462C" w:rsidRDefault="00BD462C">
      <w:pPr>
        <w:pStyle w:val="BodyText"/>
        <w:spacing w:before="10"/>
        <w:rPr>
          <w:sz w:val="9"/>
        </w:rPr>
      </w:pPr>
    </w:p>
    <w:p w14:paraId="6372F36F" w14:textId="77777777" w:rsidR="00BD462C" w:rsidRDefault="00BD462C">
      <w:pPr>
        <w:pStyle w:val="BodyText"/>
        <w:spacing w:before="2"/>
        <w:rPr>
          <w:sz w:val="10"/>
        </w:rPr>
      </w:pPr>
    </w:p>
    <w:p w14:paraId="4BF1DEF6" w14:textId="77777777" w:rsidR="00BD462C" w:rsidRDefault="00BD462C">
      <w:pPr>
        <w:pStyle w:val="BodyText"/>
        <w:spacing w:before="1"/>
        <w:rPr>
          <w:sz w:val="21"/>
        </w:rPr>
      </w:pPr>
    </w:p>
    <w:p w14:paraId="190363F4" w14:textId="77777777" w:rsidR="00BD462C" w:rsidRDefault="00033D0F">
      <w:pPr>
        <w:pStyle w:val="ListParagraph"/>
        <w:numPr>
          <w:ilvl w:val="0"/>
          <w:numId w:val="58"/>
        </w:numPr>
        <w:tabs>
          <w:tab w:val="left" w:pos="3539"/>
          <w:tab w:val="left" w:pos="3540"/>
        </w:tabs>
        <w:spacing w:before="51" w:line="357" w:lineRule="auto"/>
        <w:ind w:right="913"/>
        <w:rPr>
          <w:sz w:val="24"/>
        </w:rPr>
      </w:pPr>
      <w:bookmarkStart w:id="694" w:name="(a)_MOFCOM_did_not_adjust_for_level_of_t"/>
      <w:bookmarkEnd w:id="694"/>
      <w:r>
        <w:rPr>
          <w:sz w:val="24"/>
          <w:u w:val="single"/>
        </w:rPr>
        <w:t>MOFCOM did not adjust for level of trade and timing of</w:t>
      </w:r>
      <w:r>
        <w:rPr>
          <w:spacing w:val="40"/>
          <w:sz w:val="24"/>
        </w:rPr>
        <w:t xml:space="preserve"> </w:t>
      </w:r>
      <w:r>
        <w:rPr>
          <w:spacing w:val="-2"/>
          <w:sz w:val="24"/>
          <w:u w:val="single"/>
        </w:rPr>
        <w:t>sales</w:t>
      </w:r>
    </w:p>
    <w:p w14:paraId="321E404A" w14:textId="77777777" w:rsidR="00BD462C" w:rsidRDefault="00BD462C">
      <w:pPr>
        <w:pStyle w:val="BodyText"/>
        <w:spacing w:before="3"/>
        <w:rPr>
          <w:sz w:val="9"/>
        </w:rPr>
      </w:pPr>
    </w:p>
    <w:p w14:paraId="4D9516A5" w14:textId="6F43A6C6" w:rsidR="00BD462C" w:rsidRDefault="00033D0F" w:rsidP="00185AF5">
      <w:pPr>
        <w:pStyle w:val="BodyText"/>
        <w:numPr>
          <w:ilvl w:val="0"/>
          <w:numId w:val="71"/>
        </w:numPr>
        <w:spacing w:before="56" w:line="360" w:lineRule="auto"/>
        <w:ind w:right="913"/>
        <w:jc w:val="both"/>
      </w:pPr>
      <w:r>
        <w:rPr>
          <w:position w:val="1"/>
        </w:rPr>
        <w:t xml:space="preserve">MOFCOM's failure to adjust for the level of trade and timing of sales in the Final </w:t>
      </w:r>
      <w:r>
        <w:t xml:space="preserve">Determination constitutes a </w:t>
      </w:r>
      <w:r>
        <w:rPr>
          <w:i/>
        </w:rPr>
        <w:t xml:space="preserve">prima facie </w:t>
      </w:r>
      <w:r>
        <w:t>breach of the second sentence of Article 2.4.</w:t>
      </w:r>
      <w:hyperlink w:anchor="_bookmark598" w:history="1">
        <w:r>
          <w:rPr>
            <w:vertAlign w:val="superscript"/>
          </w:rPr>
          <w:t>497</w:t>
        </w:r>
      </w:hyperlink>
      <w:r>
        <w:t xml:space="preserve"> The mere fact that MOFCOM compared the normal value of Treasury Wines and export price of Swan Vintage at the </w:t>
      </w:r>
      <w:r>
        <w:rPr>
          <w:i/>
        </w:rPr>
        <w:t xml:space="preserve">ex-factory </w:t>
      </w:r>
      <w:r>
        <w:t>level does not establish that it compared them at the same level of</w:t>
      </w:r>
      <w:r>
        <w:rPr>
          <w:spacing w:val="-3"/>
        </w:rPr>
        <w:t xml:space="preserve"> </w:t>
      </w:r>
      <w:r>
        <w:t>trade</w:t>
      </w:r>
      <w:r>
        <w:rPr>
          <w:spacing w:val="-2"/>
        </w:rPr>
        <w:t xml:space="preserve"> </w:t>
      </w:r>
      <w:r>
        <w:t>and does not establish</w:t>
      </w:r>
      <w:r>
        <w:rPr>
          <w:spacing w:val="-3"/>
        </w:rPr>
        <w:t xml:space="preserve"> </w:t>
      </w:r>
      <w:r>
        <w:t>that</w:t>
      </w:r>
      <w:r>
        <w:rPr>
          <w:spacing w:val="-1"/>
        </w:rPr>
        <w:t xml:space="preserve"> </w:t>
      </w:r>
      <w:r>
        <w:t>it</w:t>
      </w:r>
      <w:r>
        <w:rPr>
          <w:spacing w:val="-1"/>
        </w:rPr>
        <w:t xml:space="preserve"> </w:t>
      </w:r>
      <w:r>
        <w:t>complied</w:t>
      </w:r>
      <w:r>
        <w:rPr>
          <w:spacing w:val="-3"/>
        </w:rPr>
        <w:t xml:space="preserve"> </w:t>
      </w:r>
      <w:r>
        <w:t>with</w:t>
      </w:r>
      <w:r>
        <w:rPr>
          <w:spacing w:val="-3"/>
        </w:rPr>
        <w:t xml:space="preserve"> </w:t>
      </w:r>
      <w:r>
        <w:t>the</w:t>
      </w:r>
      <w:r>
        <w:rPr>
          <w:spacing w:val="-2"/>
        </w:rPr>
        <w:t xml:space="preserve"> </w:t>
      </w:r>
      <w:r>
        <w:t>mandatory requirement in</w:t>
      </w:r>
      <w:r>
        <w:rPr>
          <w:spacing w:val="-3"/>
        </w:rPr>
        <w:t xml:space="preserve"> </w:t>
      </w:r>
      <w:r>
        <w:t>the second and third sentences of Article 2.4.</w:t>
      </w:r>
      <w:r>
        <w:rPr>
          <w:spacing w:val="-14"/>
        </w:rPr>
        <w:t xml:space="preserve"> </w:t>
      </w:r>
      <w:hyperlink w:anchor="_bookmark599" w:history="1">
        <w:r>
          <w:rPr>
            <w:vertAlign w:val="superscript"/>
          </w:rPr>
          <w:t>498</w:t>
        </w:r>
      </w:hyperlink>
      <w:r>
        <w:t xml:space="preserve"> By not even considering the necessity of adjustments for timing of sales, as the evidence shows, MOFCOM acted inconsistently with the second and third sentences of Article 2.4.</w:t>
      </w:r>
      <w:r>
        <w:rPr>
          <w:spacing w:val="-26"/>
        </w:rPr>
        <w:t xml:space="preserve"> </w:t>
      </w:r>
      <w:hyperlink w:anchor="_bookmark600" w:history="1">
        <w:r>
          <w:rPr>
            <w:vertAlign w:val="superscript"/>
          </w:rPr>
          <w:t>499</w:t>
        </w:r>
      </w:hyperlink>
    </w:p>
    <w:p w14:paraId="6B92A7E2" w14:textId="77777777" w:rsidR="00BD462C" w:rsidRDefault="00BD462C">
      <w:pPr>
        <w:pStyle w:val="BodyText"/>
        <w:rPr>
          <w:sz w:val="20"/>
        </w:rPr>
      </w:pPr>
    </w:p>
    <w:p w14:paraId="743F712D" w14:textId="77777777" w:rsidR="00BD462C" w:rsidRDefault="00BD462C">
      <w:pPr>
        <w:pStyle w:val="BodyText"/>
        <w:rPr>
          <w:sz w:val="20"/>
        </w:rPr>
      </w:pPr>
    </w:p>
    <w:p w14:paraId="40E5B0BA" w14:textId="77777777" w:rsidR="00BD462C" w:rsidRDefault="00BD462C">
      <w:pPr>
        <w:pStyle w:val="BodyText"/>
        <w:rPr>
          <w:sz w:val="20"/>
        </w:rPr>
      </w:pPr>
    </w:p>
    <w:p w14:paraId="46B9A045" w14:textId="77777777" w:rsidR="00BD462C" w:rsidRDefault="00BD462C">
      <w:pPr>
        <w:pStyle w:val="BodyText"/>
        <w:rPr>
          <w:sz w:val="20"/>
        </w:rPr>
      </w:pPr>
    </w:p>
    <w:p w14:paraId="5A464298" w14:textId="77777777" w:rsidR="00BD462C" w:rsidRDefault="00BD462C">
      <w:pPr>
        <w:pStyle w:val="BodyText"/>
        <w:rPr>
          <w:sz w:val="20"/>
        </w:rPr>
      </w:pPr>
    </w:p>
    <w:p w14:paraId="54759EA7" w14:textId="77777777" w:rsidR="00BD462C" w:rsidRDefault="00BD462C">
      <w:pPr>
        <w:pStyle w:val="BodyText"/>
        <w:rPr>
          <w:sz w:val="20"/>
        </w:rPr>
      </w:pPr>
    </w:p>
    <w:p w14:paraId="220A3968" w14:textId="77777777" w:rsidR="00BD462C" w:rsidRDefault="00BD462C">
      <w:pPr>
        <w:pStyle w:val="BodyText"/>
        <w:rPr>
          <w:sz w:val="20"/>
        </w:rPr>
      </w:pPr>
    </w:p>
    <w:p w14:paraId="7D49049F" w14:textId="4715384F" w:rsidR="00BD462C" w:rsidRDefault="00D70C7D">
      <w:pPr>
        <w:pStyle w:val="BodyText"/>
        <w:spacing w:before="11"/>
        <w:rPr>
          <w:sz w:val="11"/>
        </w:rPr>
      </w:pPr>
      <w:r>
        <w:rPr>
          <w:noProof/>
        </w:rPr>
        <mc:AlternateContent>
          <mc:Choice Requires="wps">
            <w:drawing>
              <wp:anchor distT="0" distB="0" distL="0" distR="0" simplePos="0" relativeHeight="487729664" behindDoc="1" locked="0" layoutInCell="1" allowOverlap="1" wp14:anchorId="673DC739" wp14:editId="1BCD0D4E">
                <wp:simplePos x="0" y="0"/>
                <wp:positionH relativeFrom="page">
                  <wp:posOffset>899160</wp:posOffset>
                </wp:positionH>
                <wp:positionV relativeFrom="paragraph">
                  <wp:posOffset>107950</wp:posOffset>
                </wp:positionV>
                <wp:extent cx="1828800" cy="8890"/>
                <wp:effectExtent l="0" t="0" r="0" b="0"/>
                <wp:wrapTopAndBottom/>
                <wp:docPr id="816" name="docshape3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AE1EDA" id="docshape308" o:spid="_x0000_s1026" alt="&quot;&quot;" style="position:absolute;margin-left:70.8pt;margin-top:8.5pt;width:2in;height:.7pt;z-index:-15586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" fillcolor="black" stroked="f">
                <w10:wrap type="topAndBottom" anchorx="page"/>
              </v:rect>
            </w:pict>
          </mc:Fallback>
        </mc:AlternateContent>
      </w:r>
    </w:p>
    <w:p w14:paraId="754350A7" w14:textId="77777777" w:rsidR="00BD462C" w:rsidRDefault="00033D0F">
      <w:pPr>
        <w:spacing w:before="107"/>
        <w:ind w:left="135" w:right="909"/>
        <w:jc w:val="both"/>
        <w:rPr>
          <w:sz w:val="18"/>
        </w:rPr>
      </w:pPr>
      <w:bookmarkStart w:id="695" w:name="_bookmark595"/>
      <w:bookmarkEnd w:id="695"/>
      <w:r>
        <w:rPr>
          <w:position w:val="5"/>
          <w:sz w:val="12"/>
        </w:rPr>
        <w:t>494</w:t>
      </w:r>
      <w:r>
        <w:rPr>
          <w:spacing w:val="31"/>
          <w:position w:val="5"/>
          <w:sz w:val="12"/>
        </w:rPr>
        <w:t xml:space="preserve"> </w:t>
      </w:r>
      <w:r>
        <w:rPr>
          <w:sz w:val="18"/>
        </w:rPr>
        <w:t xml:space="preserve">The Appellate Body in </w:t>
      </w:r>
      <w:r>
        <w:rPr>
          <w:i/>
          <w:sz w:val="18"/>
        </w:rPr>
        <w:t xml:space="preserve">EU – Biodiesel (Argentina) </w:t>
      </w:r>
      <w:r>
        <w:rPr>
          <w:sz w:val="18"/>
        </w:rPr>
        <w:t>observed that "[t]he manner in which the normal value is calculated pursuant to Article 2.2 of the Anti-Dumping Agreement may inform the types of adjustments required under Article 2.4" (para. 6.48). China acknowledges that MOFCOM did not take these differences into account when determining Treasury Wines' normal values. See China's first written submission, paras. 503-510.</w:t>
      </w:r>
    </w:p>
    <w:p w14:paraId="327A117A" w14:textId="77777777" w:rsidR="00BD462C" w:rsidRDefault="00033D0F">
      <w:pPr>
        <w:spacing w:before="4" w:line="218" w:lineRule="exact"/>
        <w:ind w:left="135"/>
        <w:jc w:val="both"/>
        <w:rPr>
          <w:sz w:val="18"/>
        </w:rPr>
      </w:pPr>
      <w:bookmarkStart w:id="696" w:name="_bookmark596"/>
      <w:bookmarkEnd w:id="696"/>
      <w:r>
        <w:rPr>
          <w:position w:val="5"/>
          <w:sz w:val="12"/>
        </w:rPr>
        <w:t>495</w:t>
      </w:r>
      <w:r>
        <w:rPr>
          <w:spacing w:val="12"/>
          <w:position w:val="5"/>
          <w:sz w:val="12"/>
        </w:rPr>
        <w:t xml:space="preserve"> </w:t>
      </w:r>
      <w:r>
        <w:rPr>
          <w:sz w:val="18"/>
        </w:rPr>
        <w:t>Australia's</w:t>
      </w:r>
      <w:r>
        <w:rPr>
          <w:spacing w:val="-7"/>
          <w:sz w:val="18"/>
        </w:rPr>
        <w:t xml:space="preserve"> </w:t>
      </w:r>
      <w:r>
        <w:rPr>
          <w:sz w:val="18"/>
        </w:rPr>
        <w:t>first</w:t>
      </w:r>
      <w:r>
        <w:rPr>
          <w:spacing w:val="-5"/>
          <w:sz w:val="18"/>
        </w:rPr>
        <w:t xml:space="preserve"> </w:t>
      </w:r>
      <w:r>
        <w:rPr>
          <w:sz w:val="18"/>
        </w:rPr>
        <w:t>written</w:t>
      </w:r>
      <w:r>
        <w:rPr>
          <w:spacing w:val="-3"/>
          <w:sz w:val="18"/>
        </w:rPr>
        <w:t xml:space="preserve"> </w:t>
      </w:r>
      <w:r>
        <w:rPr>
          <w:sz w:val="18"/>
        </w:rPr>
        <w:t>submission</w:t>
      </w:r>
      <w:r>
        <w:rPr>
          <w:spacing w:val="-7"/>
          <w:sz w:val="18"/>
        </w:rPr>
        <w:t xml:space="preserve"> </w:t>
      </w:r>
      <w:r>
        <w:rPr>
          <w:sz w:val="18"/>
        </w:rPr>
        <w:t>paras.</w:t>
      </w:r>
      <w:r>
        <w:rPr>
          <w:spacing w:val="-1"/>
          <w:sz w:val="18"/>
        </w:rPr>
        <w:t xml:space="preserve"> </w:t>
      </w:r>
      <w:r>
        <w:rPr>
          <w:sz w:val="18"/>
        </w:rPr>
        <w:t>499-</w:t>
      </w:r>
      <w:r>
        <w:rPr>
          <w:spacing w:val="-4"/>
          <w:sz w:val="18"/>
        </w:rPr>
        <w:t>500.</w:t>
      </w:r>
    </w:p>
    <w:p w14:paraId="0FFD4413" w14:textId="77777777" w:rsidR="00BD462C" w:rsidRDefault="00033D0F">
      <w:pPr>
        <w:spacing w:line="218" w:lineRule="exact"/>
        <w:ind w:left="135"/>
        <w:jc w:val="both"/>
        <w:rPr>
          <w:sz w:val="18"/>
        </w:rPr>
      </w:pPr>
      <w:bookmarkStart w:id="697" w:name="_bookmark597"/>
      <w:bookmarkEnd w:id="697"/>
      <w:r>
        <w:rPr>
          <w:position w:val="5"/>
          <w:sz w:val="12"/>
        </w:rPr>
        <w:t>496</w:t>
      </w:r>
      <w:r>
        <w:rPr>
          <w:spacing w:val="11"/>
          <w:position w:val="5"/>
          <w:sz w:val="12"/>
        </w:rPr>
        <w:t xml:space="preserve"> </w:t>
      </w:r>
      <w:r>
        <w:rPr>
          <w:sz w:val="18"/>
        </w:rPr>
        <w:t>Anti-Dumping</w:t>
      </w:r>
      <w:r>
        <w:rPr>
          <w:spacing w:val="-7"/>
          <w:sz w:val="18"/>
        </w:rPr>
        <w:t xml:space="preserve"> </w:t>
      </w:r>
      <w:r>
        <w:rPr>
          <w:sz w:val="18"/>
        </w:rPr>
        <w:t>Final</w:t>
      </w:r>
      <w:r>
        <w:rPr>
          <w:spacing w:val="-3"/>
          <w:sz w:val="18"/>
        </w:rPr>
        <w:t xml:space="preserve"> </w:t>
      </w:r>
      <w:r>
        <w:rPr>
          <w:sz w:val="18"/>
        </w:rPr>
        <w:t>Determination</w:t>
      </w:r>
      <w:r>
        <w:rPr>
          <w:spacing w:val="-8"/>
          <w:sz w:val="18"/>
        </w:rPr>
        <w:t xml:space="preserve"> </w:t>
      </w:r>
      <w:r>
        <w:rPr>
          <w:sz w:val="18"/>
        </w:rPr>
        <w:t>(Exhibit</w:t>
      </w:r>
      <w:r>
        <w:rPr>
          <w:spacing w:val="-3"/>
          <w:sz w:val="18"/>
        </w:rPr>
        <w:t xml:space="preserve"> </w:t>
      </w:r>
      <w:r>
        <w:rPr>
          <w:sz w:val="18"/>
        </w:rPr>
        <w:t>AUS-2),</w:t>
      </w:r>
      <w:r>
        <w:rPr>
          <w:spacing w:val="-6"/>
          <w:sz w:val="18"/>
        </w:rPr>
        <w:t xml:space="preserve"> </w:t>
      </w:r>
      <w:r>
        <w:rPr>
          <w:sz w:val="18"/>
        </w:rPr>
        <w:t>page</w:t>
      </w:r>
      <w:r>
        <w:rPr>
          <w:spacing w:val="-3"/>
          <w:sz w:val="18"/>
        </w:rPr>
        <w:t xml:space="preserve"> </w:t>
      </w:r>
      <w:r>
        <w:rPr>
          <w:sz w:val="18"/>
        </w:rPr>
        <w:t>70-</w:t>
      </w:r>
      <w:r>
        <w:rPr>
          <w:spacing w:val="-5"/>
          <w:sz w:val="18"/>
        </w:rPr>
        <w:t>71.</w:t>
      </w:r>
    </w:p>
    <w:p w14:paraId="02293CB6" w14:textId="77777777" w:rsidR="00BD462C" w:rsidRDefault="00033D0F">
      <w:pPr>
        <w:spacing w:before="1"/>
        <w:ind w:left="135"/>
        <w:jc w:val="both"/>
        <w:rPr>
          <w:sz w:val="18"/>
        </w:rPr>
      </w:pPr>
      <w:bookmarkStart w:id="698" w:name="_bookmark598"/>
      <w:bookmarkEnd w:id="698"/>
      <w:r>
        <w:rPr>
          <w:position w:val="5"/>
          <w:sz w:val="12"/>
        </w:rPr>
        <w:t>497</w:t>
      </w:r>
      <w:r>
        <w:rPr>
          <w:spacing w:val="13"/>
          <w:position w:val="5"/>
          <w:sz w:val="12"/>
        </w:rPr>
        <w:t xml:space="preserve"> </w:t>
      </w:r>
      <w:r>
        <w:rPr>
          <w:sz w:val="18"/>
        </w:rPr>
        <w:t>See</w:t>
      </w:r>
      <w:r>
        <w:rPr>
          <w:spacing w:val="-5"/>
          <w:sz w:val="18"/>
        </w:rPr>
        <w:t xml:space="preserve"> </w:t>
      </w:r>
      <w:r>
        <w:rPr>
          <w:sz w:val="18"/>
        </w:rPr>
        <w:t>paras</w:t>
      </w:r>
      <w:r>
        <w:rPr>
          <w:spacing w:val="-4"/>
          <w:sz w:val="18"/>
        </w:rPr>
        <w:t xml:space="preserve"> </w:t>
      </w:r>
      <w:hyperlink w:anchor="_bookmark203" w:history="1">
        <w:r>
          <w:rPr>
            <w:sz w:val="18"/>
          </w:rPr>
          <w:t>106</w:t>
        </w:r>
      </w:hyperlink>
      <w:hyperlink w:anchor="_bookmark210" w:history="1">
        <w:r>
          <w:rPr>
            <w:sz w:val="18"/>
          </w:rPr>
          <w:t>-111.</w:t>
        </w:r>
      </w:hyperlink>
      <w:r>
        <w:rPr>
          <w:sz w:val="18"/>
        </w:rPr>
        <w:t xml:space="preserve"> See</w:t>
      </w:r>
      <w:r>
        <w:rPr>
          <w:spacing w:val="-1"/>
          <w:sz w:val="18"/>
        </w:rPr>
        <w:t xml:space="preserve"> </w:t>
      </w:r>
      <w:r>
        <w:rPr>
          <w:sz w:val="18"/>
        </w:rPr>
        <w:t>also</w:t>
      </w:r>
      <w:r>
        <w:rPr>
          <w:spacing w:val="-5"/>
          <w:sz w:val="18"/>
        </w:rPr>
        <w:t xml:space="preserve"> </w:t>
      </w:r>
      <w:r>
        <w:rPr>
          <w:sz w:val="18"/>
        </w:rPr>
        <w:t>Australia's</w:t>
      </w:r>
      <w:r>
        <w:rPr>
          <w:spacing w:val="-5"/>
          <w:sz w:val="18"/>
        </w:rPr>
        <w:t xml:space="preserve"> </w:t>
      </w:r>
      <w:r>
        <w:rPr>
          <w:sz w:val="18"/>
        </w:rPr>
        <w:t>first</w:t>
      </w:r>
      <w:r>
        <w:rPr>
          <w:spacing w:val="-4"/>
          <w:sz w:val="18"/>
        </w:rPr>
        <w:t xml:space="preserve"> </w:t>
      </w:r>
      <w:r>
        <w:rPr>
          <w:sz w:val="18"/>
        </w:rPr>
        <w:t>written</w:t>
      </w:r>
      <w:r>
        <w:rPr>
          <w:spacing w:val="-6"/>
          <w:sz w:val="18"/>
        </w:rPr>
        <w:t xml:space="preserve"> </w:t>
      </w:r>
      <w:r>
        <w:rPr>
          <w:sz w:val="18"/>
        </w:rPr>
        <w:t>submission,</w:t>
      </w:r>
      <w:r>
        <w:rPr>
          <w:spacing w:val="-3"/>
          <w:sz w:val="18"/>
        </w:rPr>
        <w:t xml:space="preserve"> </w:t>
      </w:r>
      <w:r>
        <w:rPr>
          <w:sz w:val="18"/>
        </w:rPr>
        <w:t>paras 502</w:t>
      </w:r>
      <w:r>
        <w:rPr>
          <w:spacing w:val="-7"/>
          <w:sz w:val="18"/>
        </w:rPr>
        <w:t xml:space="preserve"> </w:t>
      </w:r>
      <w:r>
        <w:rPr>
          <w:sz w:val="18"/>
        </w:rPr>
        <w:t>–</w:t>
      </w:r>
      <w:r>
        <w:rPr>
          <w:spacing w:val="-1"/>
          <w:sz w:val="18"/>
        </w:rPr>
        <w:t xml:space="preserve"> </w:t>
      </w:r>
      <w:r>
        <w:rPr>
          <w:spacing w:val="-4"/>
          <w:sz w:val="18"/>
        </w:rPr>
        <w:t>508.</w:t>
      </w:r>
    </w:p>
    <w:p w14:paraId="030AC140" w14:textId="77777777" w:rsidR="00BD462C" w:rsidRDefault="00033D0F">
      <w:pPr>
        <w:spacing w:before="1"/>
        <w:ind w:left="135"/>
        <w:jc w:val="both"/>
        <w:rPr>
          <w:sz w:val="18"/>
        </w:rPr>
      </w:pPr>
      <w:bookmarkStart w:id="699" w:name="_bookmark599"/>
      <w:bookmarkEnd w:id="699"/>
      <w:r>
        <w:rPr>
          <w:position w:val="5"/>
          <w:sz w:val="12"/>
        </w:rPr>
        <w:t>498</w:t>
      </w:r>
      <w:r>
        <w:rPr>
          <w:spacing w:val="16"/>
          <w:position w:val="5"/>
          <w:sz w:val="12"/>
        </w:rPr>
        <w:t xml:space="preserve"> </w:t>
      </w:r>
      <w:r>
        <w:rPr>
          <w:sz w:val="18"/>
        </w:rPr>
        <w:t>See</w:t>
      </w:r>
      <w:r>
        <w:rPr>
          <w:spacing w:val="-2"/>
          <w:sz w:val="18"/>
        </w:rPr>
        <w:t xml:space="preserve"> </w:t>
      </w:r>
      <w:r>
        <w:rPr>
          <w:sz w:val="18"/>
        </w:rPr>
        <w:t>paras</w:t>
      </w:r>
      <w:r>
        <w:rPr>
          <w:spacing w:val="-2"/>
          <w:sz w:val="18"/>
        </w:rPr>
        <w:t xml:space="preserve"> </w:t>
      </w:r>
      <w:hyperlink w:anchor="_bookmark354" w:history="1">
        <w:r>
          <w:rPr>
            <w:sz w:val="18"/>
          </w:rPr>
          <w:t>207</w:t>
        </w:r>
      </w:hyperlink>
      <w:hyperlink w:anchor="_bookmark361" w:history="1">
        <w:r>
          <w:rPr>
            <w:sz w:val="18"/>
          </w:rPr>
          <w:t>-</w:t>
        </w:r>
        <w:r>
          <w:rPr>
            <w:spacing w:val="-4"/>
            <w:sz w:val="18"/>
          </w:rPr>
          <w:t>209.</w:t>
        </w:r>
      </w:hyperlink>
    </w:p>
    <w:p w14:paraId="4EA47165" w14:textId="77777777" w:rsidR="00BD462C" w:rsidRDefault="00033D0F">
      <w:pPr>
        <w:spacing w:before="1"/>
        <w:ind w:left="135" w:right="904"/>
        <w:jc w:val="both"/>
        <w:rPr>
          <w:sz w:val="18"/>
        </w:rPr>
      </w:pPr>
      <w:bookmarkStart w:id="700" w:name="_bookmark600"/>
      <w:bookmarkEnd w:id="700"/>
      <w:r>
        <w:rPr>
          <w:position w:val="5"/>
          <w:sz w:val="12"/>
        </w:rPr>
        <w:t>499</w:t>
      </w:r>
      <w:r>
        <w:rPr>
          <w:spacing w:val="17"/>
          <w:position w:val="5"/>
          <w:sz w:val="12"/>
        </w:rPr>
        <w:t xml:space="preserve"> </w:t>
      </w:r>
      <w:r>
        <w:rPr>
          <w:sz w:val="18"/>
        </w:rPr>
        <w:t>China argues</w:t>
      </w:r>
      <w:r>
        <w:rPr>
          <w:spacing w:val="-2"/>
          <w:sz w:val="18"/>
        </w:rPr>
        <w:t xml:space="preserve"> </w:t>
      </w:r>
      <w:r>
        <w:rPr>
          <w:sz w:val="18"/>
        </w:rPr>
        <w:t>that</w:t>
      </w:r>
      <w:r>
        <w:rPr>
          <w:spacing w:val="-1"/>
          <w:sz w:val="18"/>
        </w:rPr>
        <w:t xml:space="preserve"> </w:t>
      </w:r>
      <w:r>
        <w:rPr>
          <w:sz w:val="18"/>
        </w:rPr>
        <w:t>"Australia has</w:t>
      </w:r>
      <w:r>
        <w:rPr>
          <w:spacing w:val="-2"/>
          <w:sz w:val="18"/>
        </w:rPr>
        <w:t xml:space="preserve"> </w:t>
      </w:r>
      <w:r>
        <w:rPr>
          <w:sz w:val="18"/>
        </w:rPr>
        <w:t>not</w:t>
      </w:r>
      <w:r>
        <w:rPr>
          <w:spacing w:val="-1"/>
          <w:sz w:val="18"/>
        </w:rPr>
        <w:t xml:space="preserve"> </w:t>
      </w:r>
      <w:r>
        <w:rPr>
          <w:sz w:val="18"/>
        </w:rPr>
        <w:t>raised</w:t>
      </w:r>
      <w:r>
        <w:rPr>
          <w:spacing w:val="-3"/>
          <w:sz w:val="18"/>
        </w:rPr>
        <w:t xml:space="preserve"> </w:t>
      </w:r>
      <w:r>
        <w:rPr>
          <w:sz w:val="18"/>
        </w:rPr>
        <w:t>a</w:t>
      </w:r>
      <w:r>
        <w:rPr>
          <w:spacing w:val="-4"/>
          <w:sz w:val="18"/>
        </w:rPr>
        <w:t xml:space="preserve"> </w:t>
      </w:r>
      <w:r>
        <w:rPr>
          <w:i/>
          <w:sz w:val="18"/>
        </w:rPr>
        <w:t>claim</w:t>
      </w:r>
      <w:r>
        <w:rPr>
          <w:i/>
          <w:spacing w:val="-3"/>
          <w:sz w:val="18"/>
        </w:rPr>
        <w:t xml:space="preserve"> </w:t>
      </w:r>
      <w:r>
        <w:rPr>
          <w:sz w:val="18"/>
        </w:rPr>
        <w:t>related</w:t>
      </w:r>
      <w:r>
        <w:rPr>
          <w:spacing w:val="-3"/>
          <w:sz w:val="18"/>
        </w:rPr>
        <w:t xml:space="preserve"> </w:t>
      </w:r>
      <w:r>
        <w:rPr>
          <w:sz w:val="18"/>
        </w:rPr>
        <w:t>to "level of</w:t>
      </w:r>
      <w:r>
        <w:rPr>
          <w:spacing w:val="-1"/>
          <w:sz w:val="18"/>
        </w:rPr>
        <w:t xml:space="preserve"> </w:t>
      </w:r>
      <w:r>
        <w:rPr>
          <w:sz w:val="18"/>
        </w:rPr>
        <w:t>trade"</w:t>
      </w:r>
      <w:r>
        <w:rPr>
          <w:spacing w:val="-4"/>
          <w:sz w:val="18"/>
        </w:rPr>
        <w:t xml:space="preserve"> </w:t>
      </w:r>
      <w:r>
        <w:rPr>
          <w:sz w:val="18"/>
        </w:rPr>
        <w:t>under</w:t>
      </w:r>
      <w:r>
        <w:rPr>
          <w:spacing w:val="-4"/>
          <w:sz w:val="18"/>
        </w:rPr>
        <w:t xml:space="preserve"> </w:t>
      </w:r>
      <w:r>
        <w:rPr>
          <w:sz w:val="18"/>
        </w:rPr>
        <w:t>the</w:t>
      </w:r>
      <w:r>
        <w:rPr>
          <w:spacing w:val="-2"/>
          <w:sz w:val="18"/>
        </w:rPr>
        <w:t xml:space="preserve"> </w:t>
      </w:r>
      <w:r>
        <w:rPr>
          <w:sz w:val="18"/>
        </w:rPr>
        <w:t>third</w:t>
      </w:r>
      <w:r>
        <w:rPr>
          <w:spacing w:val="-3"/>
          <w:sz w:val="18"/>
        </w:rPr>
        <w:t xml:space="preserve"> </w:t>
      </w:r>
      <w:r>
        <w:rPr>
          <w:sz w:val="18"/>
        </w:rPr>
        <w:t>sentence.</w:t>
      </w:r>
      <w:r>
        <w:rPr>
          <w:spacing w:val="-1"/>
          <w:sz w:val="18"/>
        </w:rPr>
        <w:t xml:space="preserve"> </w:t>
      </w:r>
      <w:r>
        <w:rPr>
          <w:sz w:val="18"/>
        </w:rPr>
        <w:t>Its claim</w:t>
      </w:r>
      <w:r>
        <w:rPr>
          <w:spacing w:val="-4"/>
          <w:sz w:val="18"/>
        </w:rPr>
        <w:t xml:space="preserve"> </w:t>
      </w:r>
      <w:r>
        <w:rPr>
          <w:sz w:val="18"/>
        </w:rPr>
        <w:t>is</w:t>
      </w:r>
      <w:r>
        <w:rPr>
          <w:spacing w:val="-2"/>
          <w:sz w:val="18"/>
        </w:rPr>
        <w:t xml:space="preserve"> </w:t>
      </w:r>
      <w:r>
        <w:rPr>
          <w:sz w:val="18"/>
        </w:rPr>
        <w:t>limited to</w:t>
      </w:r>
      <w:r>
        <w:rPr>
          <w:spacing w:val="31"/>
          <w:sz w:val="18"/>
        </w:rPr>
        <w:t xml:space="preserve"> </w:t>
      </w:r>
      <w:r>
        <w:rPr>
          <w:sz w:val="18"/>
        </w:rPr>
        <w:t>a</w:t>
      </w:r>
      <w:r>
        <w:rPr>
          <w:spacing w:val="24"/>
          <w:sz w:val="18"/>
        </w:rPr>
        <w:t xml:space="preserve"> </w:t>
      </w:r>
      <w:r>
        <w:rPr>
          <w:sz w:val="18"/>
        </w:rPr>
        <w:t>violation</w:t>
      </w:r>
      <w:r>
        <w:rPr>
          <w:spacing w:val="26"/>
          <w:sz w:val="18"/>
        </w:rPr>
        <w:t xml:space="preserve"> </w:t>
      </w:r>
      <w:r>
        <w:rPr>
          <w:sz w:val="18"/>
        </w:rPr>
        <w:t>of</w:t>
      </w:r>
      <w:r>
        <w:rPr>
          <w:spacing w:val="28"/>
          <w:sz w:val="18"/>
        </w:rPr>
        <w:t xml:space="preserve"> </w:t>
      </w:r>
      <w:r>
        <w:rPr>
          <w:sz w:val="18"/>
        </w:rPr>
        <w:t>the</w:t>
      </w:r>
      <w:r>
        <w:rPr>
          <w:spacing w:val="27"/>
          <w:sz w:val="18"/>
        </w:rPr>
        <w:t xml:space="preserve"> </w:t>
      </w:r>
      <w:r>
        <w:rPr>
          <w:sz w:val="18"/>
        </w:rPr>
        <w:t>second</w:t>
      </w:r>
      <w:r>
        <w:rPr>
          <w:spacing w:val="26"/>
          <w:sz w:val="18"/>
        </w:rPr>
        <w:t xml:space="preserve"> </w:t>
      </w:r>
      <w:r>
        <w:rPr>
          <w:sz w:val="18"/>
        </w:rPr>
        <w:t>sentence</w:t>
      </w:r>
      <w:r>
        <w:rPr>
          <w:spacing w:val="32"/>
          <w:sz w:val="18"/>
        </w:rPr>
        <w:t xml:space="preserve"> </w:t>
      </w:r>
      <w:r>
        <w:rPr>
          <w:sz w:val="18"/>
        </w:rPr>
        <w:t>of</w:t>
      </w:r>
      <w:r>
        <w:rPr>
          <w:spacing w:val="28"/>
          <w:sz w:val="18"/>
        </w:rPr>
        <w:t xml:space="preserve"> </w:t>
      </w:r>
      <w:r>
        <w:rPr>
          <w:sz w:val="18"/>
        </w:rPr>
        <w:t>Article</w:t>
      </w:r>
      <w:r>
        <w:rPr>
          <w:spacing w:val="27"/>
          <w:sz w:val="18"/>
        </w:rPr>
        <w:t xml:space="preserve"> </w:t>
      </w:r>
      <w:r>
        <w:rPr>
          <w:sz w:val="18"/>
        </w:rPr>
        <w:t>2.4</w:t>
      </w:r>
      <w:r>
        <w:rPr>
          <w:spacing w:val="24"/>
          <w:sz w:val="18"/>
        </w:rPr>
        <w:t xml:space="preserve"> </w:t>
      </w:r>
      <w:r>
        <w:rPr>
          <w:sz w:val="18"/>
        </w:rPr>
        <w:t>of</w:t>
      </w:r>
      <w:r>
        <w:rPr>
          <w:spacing w:val="33"/>
          <w:sz w:val="18"/>
        </w:rPr>
        <w:t xml:space="preserve"> </w:t>
      </w:r>
      <w:r>
        <w:rPr>
          <w:sz w:val="18"/>
        </w:rPr>
        <w:t>the</w:t>
      </w:r>
      <w:r>
        <w:rPr>
          <w:spacing w:val="27"/>
          <w:sz w:val="18"/>
        </w:rPr>
        <w:t xml:space="preserve"> </w:t>
      </w:r>
      <w:r>
        <w:rPr>
          <w:sz w:val="18"/>
        </w:rPr>
        <w:t>Anti-Dumping</w:t>
      </w:r>
      <w:r>
        <w:rPr>
          <w:spacing w:val="32"/>
          <w:sz w:val="18"/>
        </w:rPr>
        <w:t xml:space="preserve"> </w:t>
      </w:r>
      <w:r>
        <w:rPr>
          <w:sz w:val="18"/>
        </w:rPr>
        <w:t>Agreement"</w:t>
      </w:r>
      <w:r>
        <w:rPr>
          <w:spacing w:val="24"/>
          <w:sz w:val="18"/>
        </w:rPr>
        <w:t xml:space="preserve"> </w:t>
      </w:r>
      <w:r>
        <w:rPr>
          <w:sz w:val="18"/>
        </w:rPr>
        <w:t>(China's</w:t>
      </w:r>
      <w:r>
        <w:rPr>
          <w:spacing w:val="27"/>
          <w:sz w:val="18"/>
        </w:rPr>
        <w:t xml:space="preserve"> </w:t>
      </w:r>
      <w:r>
        <w:rPr>
          <w:sz w:val="18"/>
        </w:rPr>
        <w:t>first</w:t>
      </w:r>
      <w:r>
        <w:rPr>
          <w:spacing w:val="32"/>
          <w:sz w:val="18"/>
        </w:rPr>
        <w:t xml:space="preserve"> </w:t>
      </w:r>
      <w:r>
        <w:rPr>
          <w:sz w:val="18"/>
        </w:rPr>
        <w:t>written</w:t>
      </w:r>
      <w:r>
        <w:rPr>
          <w:spacing w:val="27"/>
          <w:sz w:val="18"/>
        </w:rPr>
        <w:t xml:space="preserve"> </w:t>
      </w:r>
      <w:r>
        <w:rPr>
          <w:sz w:val="18"/>
        </w:rPr>
        <w:t xml:space="preserve">submission, para. 835, emphasis added), referencing Australia's </w:t>
      </w:r>
      <w:r>
        <w:rPr>
          <w:i/>
          <w:sz w:val="18"/>
        </w:rPr>
        <w:t xml:space="preserve">argument </w:t>
      </w:r>
      <w:r>
        <w:rPr>
          <w:sz w:val="18"/>
        </w:rPr>
        <w:t>in its first written submission. China confuses the difference between</w:t>
      </w:r>
      <w:r>
        <w:rPr>
          <w:spacing w:val="-2"/>
          <w:sz w:val="18"/>
        </w:rPr>
        <w:t xml:space="preserve"> </w:t>
      </w:r>
      <w:r>
        <w:rPr>
          <w:sz w:val="18"/>
        </w:rPr>
        <w:t>a "claim" and an</w:t>
      </w:r>
      <w:r>
        <w:rPr>
          <w:spacing w:val="-3"/>
          <w:sz w:val="18"/>
        </w:rPr>
        <w:t xml:space="preserve"> </w:t>
      </w:r>
      <w:r>
        <w:rPr>
          <w:sz w:val="18"/>
        </w:rPr>
        <w:t>"argument". Australia's</w:t>
      </w:r>
      <w:r>
        <w:rPr>
          <w:spacing w:val="-2"/>
          <w:sz w:val="18"/>
        </w:rPr>
        <w:t xml:space="preserve"> </w:t>
      </w:r>
      <w:r>
        <w:rPr>
          <w:sz w:val="18"/>
        </w:rPr>
        <w:t>"claim"</w:t>
      </w:r>
      <w:r>
        <w:rPr>
          <w:spacing w:val="-4"/>
          <w:sz w:val="18"/>
        </w:rPr>
        <w:t xml:space="preserve"> </w:t>
      </w:r>
      <w:r>
        <w:rPr>
          <w:sz w:val="18"/>
        </w:rPr>
        <w:t>under Article 2.4 is</w:t>
      </w:r>
      <w:r>
        <w:rPr>
          <w:spacing w:val="-2"/>
          <w:sz w:val="18"/>
        </w:rPr>
        <w:t xml:space="preserve"> </w:t>
      </w:r>
      <w:r>
        <w:rPr>
          <w:sz w:val="18"/>
        </w:rPr>
        <w:t>set out</w:t>
      </w:r>
      <w:r>
        <w:rPr>
          <w:spacing w:val="-1"/>
          <w:sz w:val="18"/>
        </w:rPr>
        <w:t xml:space="preserve"> </w:t>
      </w:r>
      <w:r>
        <w:rPr>
          <w:sz w:val="18"/>
        </w:rPr>
        <w:t>in</w:t>
      </w:r>
      <w:r>
        <w:rPr>
          <w:spacing w:val="-3"/>
          <w:sz w:val="18"/>
        </w:rPr>
        <w:t xml:space="preserve"> </w:t>
      </w:r>
      <w:r>
        <w:rPr>
          <w:sz w:val="18"/>
        </w:rPr>
        <w:t>paragraph xiv of</w:t>
      </w:r>
      <w:r>
        <w:rPr>
          <w:spacing w:val="-1"/>
          <w:sz w:val="18"/>
        </w:rPr>
        <w:t xml:space="preserve"> </w:t>
      </w:r>
      <w:r>
        <w:rPr>
          <w:sz w:val="18"/>
        </w:rPr>
        <w:t>its</w:t>
      </w:r>
      <w:r>
        <w:rPr>
          <w:spacing w:val="-2"/>
          <w:sz w:val="18"/>
        </w:rPr>
        <w:t xml:space="preserve"> </w:t>
      </w:r>
      <w:r>
        <w:rPr>
          <w:sz w:val="18"/>
        </w:rPr>
        <w:t>Panel</w:t>
      </w:r>
      <w:r>
        <w:rPr>
          <w:spacing w:val="-2"/>
          <w:sz w:val="18"/>
        </w:rPr>
        <w:t xml:space="preserve"> </w:t>
      </w:r>
      <w:r>
        <w:rPr>
          <w:sz w:val="18"/>
        </w:rPr>
        <w:t>Request</w:t>
      </w:r>
      <w:r>
        <w:rPr>
          <w:spacing w:val="-1"/>
          <w:sz w:val="18"/>
        </w:rPr>
        <w:t xml:space="preserve"> </w:t>
      </w:r>
      <w:r>
        <w:rPr>
          <w:sz w:val="18"/>
        </w:rPr>
        <w:t>in broad terms that covered the entirety of Article 2.4. It is irrelevant that Australia focused its "argument" in its first written submission on the mandatory requirement in the second sentence of Article 2.4.</w:t>
      </w:r>
    </w:p>
    <w:p w14:paraId="159F028F" w14:textId="77777777" w:rsidR="00BD462C" w:rsidRDefault="00BD462C">
      <w:pPr>
        <w:jc w:val="both"/>
        <w:rPr>
          <w:sz w:val="18"/>
        </w:rPr>
        <w:sectPr w:rsidR="00BD462C">
          <w:pgSz w:w="11910" w:h="16840"/>
          <w:pgMar w:top="860" w:right="500" w:bottom="780" w:left="1280" w:header="566" w:footer="590" w:gutter="0"/>
          <w:cols w:space="720"/>
        </w:sectPr>
      </w:pPr>
    </w:p>
    <w:p w14:paraId="1031F61A"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67BB083A"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0D378F89"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278A34EA" w14:textId="77777777" w:rsidR="00BD462C" w:rsidRDefault="00033D0F">
      <w:pPr>
        <w:pStyle w:val="ListParagraph"/>
        <w:numPr>
          <w:ilvl w:val="0"/>
          <w:numId w:val="58"/>
        </w:numPr>
        <w:tabs>
          <w:tab w:val="left" w:pos="3539"/>
          <w:tab w:val="left" w:pos="3540"/>
        </w:tabs>
        <w:spacing w:before="102" w:line="360" w:lineRule="auto"/>
        <w:ind w:right="918"/>
        <w:jc w:val="both"/>
        <w:rPr>
          <w:sz w:val="24"/>
        </w:rPr>
      </w:pPr>
      <w:bookmarkStart w:id="701" w:name="(b)_MOFCOM_did_not_fulfil_its_procedural"/>
      <w:bookmarkEnd w:id="701"/>
      <w:r>
        <w:rPr>
          <w:sz w:val="24"/>
          <w:u w:val="single"/>
        </w:rPr>
        <w:t>MOFCOM did not fulfil its procedural obligation under</w:t>
      </w:r>
      <w:r>
        <w:rPr>
          <w:sz w:val="24"/>
        </w:rPr>
        <w:t xml:space="preserve"> </w:t>
      </w:r>
      <w:r>
        <w:rPr>
          <w:sz w:val="24"/>
          <w:u w:val="single"/>
        </w:rPr>
        <w:t>Article</w:t>
      </w:r>
      <w:r>
        <w:rPr>
          <w:spacing w:val="-3"/>
          <w:sz w:val="24"/>
          <w:u w:val="single"/>
        </w:rPr>
        <w:t xml:space="preserve"> </w:t>
      </w:r>
      <w:r>
        <w:rPr>
          <w:sz w:val="24"/>
          <w:u w:val="single"/>
        </w:rPr>
        <w:t>2.4 which prevented Swan Vintage requesting</w:t>
      </w:r>
      <w:r>
        <w:rPr>
          <w:sz w:val="24"/>
        </w:rPr>
        <w:t xml:space="preserve"> </w:t>
      </w:r>
      <w:r>
        <w:rPr>
          <w:sz w:val="24"/>
          <w:u w:val="single"/>
        </w:rPr>
        <w:t>relevant adjustments</w:t>
      </w:r>
    </w:p>
    <w:p w14:paraId="7C1CCD0C" w14:textId="77777777" w:rsidR="00BD462C" w:rsidRDefault="00BD462C">
      <w:pPr>
        <w:pStyle w:val="BodyText"/>
        <w:spacing w:before="11"/>
        <w:rPr>
          <w:sz w:val="8"/>
        </w:rPr>
      </w:pPr>
    </w:p>
    <w:p w14:paraId="77F32F9B" w14:textId="45634F75" w:rsidR="00BD462C" w:rsidRDefault="00033D0F" w:rsidP="00185AF5">
      <w:pPr>
        <w:pStyle w:val="BodyText"/>
        <w:numPr>
          <w:ilvl w:val="0"/>
          <w:numId w:val="77"/>
        </w:numPr>
        <w:spacing w:before="56" w:line="357" w:lineRule="auto"/>
        <w:ind w:right="921"/>
        <w:jc w:val="both"/>
      </w:pPr>
      <w:r>
        <w:rPr>
          <w:position w:val="1"/>
        </w:rPr>
        <w:t xml:space="preserve">MOFCOM did not apply Swan Vintage's requested adjustments to normal value </w:t>
      </w:r>
      <w:r>
        <w:t>because it "decided to determine the Company's normal value based on other respondents' domestic sale data of the product under investigation."</w:t>
      </w:r>
      <w:hyperlink w:anchor="_bookmark603" w:history="1">
        <w:r>
          <w:rPr>
            <w:vertAlign w:val="superscript"/>
          </w:rPr>
          <w:t>500</w:t>
        </w:r>
      </w:hyperlink>
    </w:p>
    <w:p w14:paraId="47763D07" w14:textId="09F05971" w:rsidR="00BD462C" w:rsidRDefault="00033D0F" w:rsidP="00185AF5">
      <w:pPr>
        <w:pStyle w:val="BodyText"/>
        <w:numPr>
          <w:ilvl w:val="0"/>
          <w:numId w:val="77"/>
        </w:numPr>
        <w:spacing w:before="169" w:line="357" w:lineRule="auto"/>
        <w:ind w:right="912"/>
        <w:jc w:val="both"/>
      </w:pPr>
      <w:r>
        <w:rPr>
          <w:position w:val="1"/>
        </w:rPr>
        <w:t>As Australia has demonstrated</w:t>
      </w:r>
      <w:hyperlink w:anchor="_bookmark604" w:history="1">
        <w:r>
          <w:rPr>
            <w:position w:val="1"/>
            <w:vertAlign w:val="superscript"/>
          </w:rPr>
          <w:t>501</w:t>
        </w:r>
      </w:hyperlink>
      <w:r>
        <w:rPr>
          <w:position w:val="1"/>
        </w:rPr>
        <w:t>, MOFCOM's failure to meet the Article 2.4</w:t>
      </w:r>
      <w:r>
        <w:rPr>
          <w:spacing w:val="40"/>
          <w:position w:val="1"/>
        </w:rPr>
        <w:t xml:space="preserve"> </w:t>
      </w:r>
      <w:r>
        <w:t>procedural obligation during its investigation prevented Swan Vintage from requesting relevant</w:t>
      </w:r>
      <w:r>
        <w:rPr>
          <w:spacing w:val="-13"/>
        </w:rPr>
        <w:t xml:space="preserve"> </w:t>
      </w:r>
      <w:r>
        <w:t>adjustments arising from MOFCOM's methodology.</w:t>
      </w:r>
      <w:r>
        <w:rPr>
          <w:spacing w:val="-14"/>
        </w:rPr>
        <w:t xml:space="preserve"> </w:t>
      </w:r>
      <w:hyperlink w:anchor="_bookmark605" w:history="1">
        <w:r>
          <w:rPr>
            <w:vertAlign w:val="superscript"/>
          </w:rPr>
          <w:t>502</w:t>
        </w:r>
      </w:hyperlink>
      <w:r>
        <w:t xml:space="preserve"> Since the company was "left in the dark",</w:t>
      </w:r>
      <w:r>
        <w:rPr>
          <w:spacing w:val="-14"/>
        </w:rPr>
        <w:t xml:space="preserve"> </w:t>
      </w:r>
      <w:hyperlink w:anchor="_bookmark606" w:history="1">
        <w:r>
          <w:rPr>
            <w:vertAlign w:val="superscript"/>
          </w:rPr>
          <w:t>503</w:t>
        </w:r>
      </w:hyperlink>
      <w:r>
        <w:t xml:space="preserve"> it was incumbent upon MOFCOM to "find ways to disclose as much information on the normal value as the exporter would need to meaningfully participate in the</w:t>
      </w:r>
      <w:r>
        <w:rPr>
          <w:spacing w:val="-2"/>
        </w:rPr>
        <w:t xml:space="preserve"> </w:t>
      </w:r>
      <w:r>
        <w:t>fair comparison process".</w:t>
      </w:r>
      <w:r>
        <w:rPr>
          <w:spacing w:val="-14"/>
        </w:rPr>
        <w:t xml:space="preserve"> </w:t>
      </w:r>
      <w:hyperlink w:anchor="_bookmark607" w:history="1">
        <w:r>
          <w:rPr>
            <w:vertAlign w:val="superscript"/>
          </w:rPr>
          <w:t>504</w:t>
        </w:r>
      </w:hyperlink>
      <w:r>
        <w:t xml:space="preserve"> However, MOFCOM instead withheld this information and failed to engage in dialogue. MOFCOM was still obliged to </w:t>
      </w:r>
      <w:proofErr w:type="gramStart"/>
      <w:r>
        <w:t>make adjustments</w:t>
      </w:r>
      <w:proofErr w:type="gramEnd"/>
      <w:r>
        <w:t xml:space="preserve"> "where it is demonstrated by one or another party in a particular case, or by the data itself that a given difference affects price comparability",</w:t>
      </w:r>
      <w:hyperlink w:anchor="_bookmark608" w:history="1">
        <w:r>
          <w:rPr>
            <w:vertAlign w:val="superscript"/>
          </w:rPr>
          <w:t>505</w:t>
        </w:r>
      </w:hyperlink>
      <w:r>
        <w:t xml:space="preserve"> which it also did not do.</w:t>
      </w:r>
      <w:r>
        <w:rPr>
          <w:spacing w:val="-21"/>
        </w:rPr>
        <w:t xml:space="preserve"> </w:t>
      </w:r>
      <w:hyperlink w:anchor="_bookmark609" w:history="1">
        <w:r>
          <w:rPr>
            <w:vertAlign w:val="superscript"/>
          </w:rPr>
          <w:t>506</w:t>
        </w:r>
      </w:hyperlink>
    </w:p>
    <w:p w14:paraId="1E1008CA" w14:textId="77777777" w:rsidR="00BD462C" w:rsidRDefault="00033D0F">
      <w:pPr>
        <w:pStyle w:val="ListParagraph"/>
        <w:numPr>
          <w:ilvl w:val="0"/>
          <w:numId w:val="58"/>
        </w:numPr>
        <w:tabs>
          <w:tab w:val="left" w:pos="3539"/>
          <w:tab w:val="left" w:pos="3540"/>
        </w:tabs>
        <w:spacing w:before="170" w:line="357" w:lineRule="auto"/>
        <w:ind w:right="921"/>
        <w:jc w:val="both"/>
        <w:rPr>
          <w:sz w:val="24"/>
        </w:rPr>
      </w:pPr>
      <w:bookmarkStart w:id="702" w:name="(c)_MOFCOM_did_not_make_&quot;due_allowance&quot;_"/>
      <w:bookmarkEnd w:id="702"/>
      <w:r>
        <w:rPr>
          <w:sz w:val="24"/>
          <w:u w:val="single"/>
        </w:rPr>
        <w:t>MOFCOM did not make "due allowance" for differences</w:t>
      </w:r>
      <w:r>
        <w:rPr>
          <w:sz w:val="24"/>
        </w:rPr>
        <w:t xml:space="preserve"> </w:t>
      </w:r>
      <w:r>
        <w:rPr>
          <w:sz w:val="24"/>
          <w:u w:val="single"/>
        </w:rPr>
        <w:t>affecting price</w:t>
      </w:r>
    </w:p>
    <w:p w14:paraId="682DFFA7" w14:textId="72B0203E" w:rsidR="00BD462C" w:rsidRDefault="00033D0F" w:rsidP="00185AF5">
      <w:pPr>
        <w:pStyle w:val="BodyText"/>
        <w:numPr>
          <w:ilvl w:val="0"/>
          <w:numId w:val="77"/>
        </w:numPr>
        <w:spacing w:before="169" w:line="357" w:lineRule="auto"/>
        <w:ind w:right="916"/>
        <w:jc w:val="both"/>
      </w:pPr>
      <w:r>
        <w:rPr>
          <w:position w:val="1"/>
        </w:rPr>
        <w:t>Since its choice of methodology meant the company was "left</w:t>
      </w:r>
      <w:r>
        <w:rPr>
          <w:spacing w:val="-3"/>
          <w:position w:val="1"/>
        </w:rPr>
        <w:t xml:space="preserve"> </w:t>
      </w:r>
      <w:r>
        <w:rPr>
          <w:position w:val="1"/>
        </w:rPr>
        <w:t>in</w:t>
      </w:r>
      <w:r>
        <w:rPr>
          <w:spacing w:val="-1"/>
          <w:position w:val="1"/>
        </w:rPr>
        <w:t xml:space="preserve"> </w:t>
      </w:r>
      <w:r>
        <w:rPr>
          <w:position w:val="1"/>
        </w:rPr>
        <w:t>the dark",</w:t>
      </w:r>
      <w:r>
        <w:rPr>
          <w:spacing w:val="-14"/>
          <w:position w:val="1"/>
        </w:rPr>
        <w:t xml:space="preserve"> </w:t>
      </w:r>
      <w:hyperlink w:anchor="_bookmark610" w:history="1">
        <w:r>
          <w:rPr>
            <w:position w:val="1"/>
            <w:vertAlign w:val="superscript"/>
          </w:rPr>
          <w:t>507</w:t>
        </w:r>
      </w:hyperlink>
      <w:r>
        <w:rPr>
          <w:position w:val="1"/>
        </w:rPr>
        <w:t xml:space="preserve"> it was </w:t>
      </w:r>
      <w:r>
        <w:t>incumbent</w:t>
      </w:r>
      <w:r>
        <w:rPr>
          <w:spacing w:val="-12"/>
        </w:rPr>
        <w:t xml:space="preserve"> </w:t>
      </w:r>
      <w:r>
        <w:t>upon</w:t>
      </w:r>
      <w:r>
        <w:rPr>
          <w:spacing w:val="-9"/>
        </w:rPr>
        <w:t xml:space="preserve"> </w:t>
      </w:r>
      <w:r>
        <w:t>MOFCOM</w:t>
      </w:r>
      <w:r>
        <w:rPr>
          <w:spacing w:val="-11"/>
        </w:rPr>
        <w:t xml:space="preserve"> </w:t>
      </w:r>
      <w:r>
        <w:t>to</w:t>
      </w:r>
      <w:r>
        <w:rPr>
          <w:spacing w:val="-10"/>
        </w:rPr>
        <w:t xml:space="preserve"> </w:t>
      </w:r>
      <w:r>
        <w:t>make</w:t>
      </w:r>
      <w:r>
        <w:rPr>
          <w:spacing w:val="-12"/>
        </w:rPr>
        <w:t xml:space="preserve"> </w:t>
      </w:r>
      <w:r>
        <w:t>adjustments</w:t>
      </w:r>
      <w:r>
        <w:rPr>
          <w:spacing w:val="-10"/>
        </w:rPr>
        <w:t xml:space="preserve"> </w:t>
      </w:r>
      <w:r>
        <w:t>"where</w:t>
      </w:r>
      <w:r>
        <w:rPr>
          <w:spacing w:val="-12"/>
        </w:rPr>
        <w:t xml:space="preserve"> </w:t>
      </w:r>
      <w:r>
        <w:t>it</w:t>
      </w:r>
      <w:r>
        <w:rPr>
          <w:spacing w:val="-11"/>
        </w:rPr>
        <w:t xml:space="preserve"> </w:t>
      </w:r>
      <w:r>
        <w:t>is</w:t>
      </w:r>
      <w:r>
        <w:rPr>
          <w:spacing w:val="-10"/>
        </w:rPr>
        <w:t xml:space="preserve"> </w:t>
      </w:r>
      <w:r>
        <w:t>demonstrated</w:t>
      </w:r>
      <w:r>
        <w:rPr>
          <w:spacing w:val="-9"/>
        </w:rPr>
        <w:t xml:space="preserve"> </w:t>
      </w:r>
      <w:r>
        <w:t>by</w:t>
      </w:r>
      <w:r>
        <w:rPr>
          <w:spacing w:val="-6"/>
        </w:rPr>
        <w:t xml:space="preserve"> </w:t>
      </w:r>
      <w:r>
        <w:t>one</w:t>
      </w:r>
      <w:r>
        <w:rPr>
          <w:spacing w:val="-7"/>
        </w:rPr>
        <w:t xml:space="preserve"> </w:t>
      </w:r>
      <w:r>
        <w:t>or</w:t>
      </w:r>
      <w:r>
        <w:rPr>
          <w:spacing w:val="-14"/>
        </w:rPr>
        <w:t xml:space="preserve"> </w:t>
      </w:r>
      <w:r>
        <w:t xml:space="preserve">another party in a particular case, or by the data itself that a given difference affects price </w:t>
      </w:r>
      <w:r>
        <w:rPr>
          <w:spacing w:val="-2"/>
        </w:rPr>
        <w:t>comparability".</w:t>
      </w:r>
      <w:hyperlink w:anchor="_bookmark611" w:history="1">
        <w:r>
          <w:rPr>
            <w:spacing w:val="-2"/>
            <w:vertAlign w:val="superscript"/>
          </w:rPr>
          <w:t>508</w:t>
        </w:r>
      </w:hyperlink>
    </w:p>
    <w:p w14:paraId="47B59471" w14:textId="77777777" w:rsidR="00BD462C" w:rsidRDefault="00BD462C">
      <w:pPr>
        <w:pStyle w:val="BodyText"/>
        <w:spacing w:before="10"/>
        <w:rPr>
          <w:sz w:val="8"/>
        </w:rPr>
      </w:pPr>
    </w:p>
    <w:p w14:paraId="70FB2AF6" w14:textId="182C8263" w:rsidR="00BD462C" w:rsidRPr="00185AF5" w:rsidRDefault="00033D0F" w:rsidP="00185AF5">
      <w:pPr>
        <w:pStyle w:val="BodyText"/>
        <w:numPr>
          <w:ilvl w:val="0"/>
          <w:numId w:val="77"/>
        </w:numPr>
        <w:spacing w:before="56" w:line="355" w:lineRule="auto"/>
        <w:ind w:right="923"/>
      </w:pPr>
      <w:bookmarkStart w:id="703" w:name="_bookmark602"/>
      <w:bookmarkEnd w:id="703"/>
      <w:r>
        <w:rPr>
          <w:position w:val="1"/>
        </w:rPr>
        <w:t>China</w:t>
      </w:r>
      <w:r>
        <w:rPr>
          <w:spacing w:val="-8"/>
          <w:position w:val="1"/>
        </w:rPr>
        <w:t xml:space="preserve"> </w:t>
      </w:r>
      <w:r>
        <w:rPr>
          <w:position w:val="1"/>
        </w:rPr>
        <w:t>stated</w:t>
      </w:r>
      <w:r>
        <w:rPr>
          <w:spacing w:val="-9"/>
          <w:position w:val="1"/>
        </w:rPr>
        <w:t xml:space="preserve"> </w:t>
      </w:r>
      <w:r>
        <w:rPr>
          <w:position w:val="1"/>
        </w:rPr>
        <w:t>that</w:t>
      </w:r>
      <w:r>
        <w:rPr>
          <w:spacing w:val="-11"/>
          <w:position w:val="1"/>
        </w:rPr>
        <w:t xml:space="preserve"> </w:t>
      </w:r>
      <w:r>
        <w:rPr>
          <w:position w:val="1"/>
        </w:rPr>
        <w:t>it</w:t>
      </w:r>
      <w:r>
        <w:rPr>
          <w:spacing w:val="-7"/>
          <w:position w:val="1"/>
        </w:rPr>
        <w:t xml:space="preserve"> </w:t>
      </w:r>
      <w:r>
        <w:rPr>
          <w:position w:val="1"/>
        </w:rPr>
        <w:t>"understands</w:t>
      </w:r>
      <w:r>
        <w:rPr>
          <w:spacing w:val="-6"/>
          <w:position w:val="1"/>
        </w:rPr>
        <w:t xml:space="preserve"> </w:t>
      </w:r>
      <w:r>
        <w:rPr>
          <w:position w:val="1"/>
        </w:rPr>
        <w:t>that</w:t>
      </w:r>
      <w:r>
        <w:rPr>
          <w:spacing w:val="-7"/>
          <w:position w:val="1"/>
        </w:rPr>
        <w:t xml:space="preserve"> </w:t>
      </w:r>
      <w:r>
        <w:rPr>
          <w:position w:val="1"/>
        </w:rPr>
        <w:t>Australia</w:t>
      </w:r>
      <w:r>
        <w:rPr>
          <w:spacing w:val="-12"/>
          <w:position w:val="1"/>
        </w:rPr>
        <w:t xml:space="preserve"> </w:t>
      </w:r>
      <w:r>
        <w:rPr>
          <w:position w:val="1"/>
        </w:rPr>
        <w:t>is</w:t>
      </w:r>
      <w:r>
        <w:rPr>
          <w:spacing w:val="-10"/>
          <w:position w:val="1"/>
        </w:rPr>
        <w:t xml:space="preserve"> </w:t>
      </w:r>
      <w:r>
        <w:rPr>
          <w:position w:val="1"/>
        </w:rPr>
        <w:t>not</w:t>
      </w:r>
      <w:r>
        <w:rPr>
          <w:spacing w:val="-7"/>
          <w:position w:val="1"/>
        </w:rPr>
        <w:t xml:space="preserve"> </w:t>
      </w:r>
      <w:r>
        <w:rPr>
          <w:position w:val="1"/>
        </w:rPr>
        <w:t>claiming</w:t>
      </w:r>
      <w:r>
        <w:rPr>
          <w:spacing w:val="-6"/>
          <w:position w:val="1"/>
        </w:rPr>
        <w:t xml:space="preserve"> </w:t>
      </w:r>
      <w:r>
        <w:rPr>
          <w:position w:val="1"/>
        </w:rPr>
        <w:t>a</w:t>
      </w:r>
      <w:r>
        <w:rPr>
          <w:spacing w:val="-8"/>
          <w:position w:val="1"/>
        </w:rPr>
        <w:t xml:space="preserve"> </w:t>
      </w:r>
      <w:r>
        <w:rPr>
          <w:position w:val="1"/>
        </w:rPr>
        <w:t>violation</w:t>
      </w:r>
      <w:r>
        <w:rPr>
          <w:spacing w:val="-9"/>
          <w:position w:val="1"/>
        </w:rPr>
        <w:t xml:space="preserve"> </w:t>
      </w:r>
      <w:r>
        <w:rPr>
          <w:position w:val="1"/>
        </w:rPr>
        <w:t>of</w:t>
      </w:r>
      <w:r>
        <w:rPr>
          <w:spacing w:val="-9"/>
          <w:position w:val="1"/>
        </w:rPr>
        <w:t xml:space="preserve"> </w:t>
      </w:r>
      <w:r>
        <w:rPr>
          <w:position w:val="1"/>
        </w:rPr>
        <w:t>the</w:t>
      </w:r>
      <w:r>
        <w:rPr>
          <w:spacing w:val="-7"/>
          <w:position w:val="1"/>
        </w:rPr>
        <w:t xml:space="preserve"> </w:t>
      </w:r>
      <w:r>
        <w:rPr>
          <w:position w:val="1"/>
        </w:rPr>
        <w:t xml:space="preserve">third </w:t>
      </w:r>
      <w:r>
        <w:t>sentence</w:t>
      </w:r>
      <w:r>
        <w:rPr>
          <w:spacing w:val="6"/>
        </w:rPr>
        <w:t xml:space="preserve"> </w:t>
      </w:r>
      <w:r>
        <w:t>of</w:t>
      </w:r>
      <w:r>
        <w:rPr>
          <w:spacing w:val="5"/>
        </w:rPr>
        <w:t xml:space="preserve"> </w:t>
      </w:r>
      <w:r>
        <w:t>Article</w:t>
      </w:r>
      <w:r>
        <w:rPr>
          <w:spacing w:val="6"/>
        </w:rPr>
        <w:t xml:space="preserve"> </w:t>
      </w:r>
      <w:r>
        <w:t>2.4</w:t>
      </w:r>
      <w:r>
        <w:rPr>
          <w:spacing w:val="5"/>
        </w:rPr>
        <w:t xml:space="preserve"> </w:t>
      </w:r>
      <w:r>
        <w:t>of</w:t>
      </w:r>
      <w:r>
        <w:rPr>
          <w:spacing w:val="9"/>
        </w:rPr>
        <w:t xml:space="preserve"> </w:t>
      </w:r>
      <w:r>
        <w:t>the</w:t>
      </w:r>
      <w:r>
        <w:rPr>
          <w:spacing w:val="7"/>
        </w:rPr>
        <w:t xml:space="preserve"> </w:t>
      </w:r>
      <w:r>
        <w:t>Anti-Dumping</w:t>
      </w:r>
      <w:r>
        <w:rPr>
          <w:spacing w:val="8"/>
        </w:rPr>
        <w:t xml:space="preserve"> </w:t>
      </w:r>
      <w:r>
        <w:t>Agreement</w:t>
      </w:r>
      <w:r>
        <w:rPr>
          <w:spacing w:val="8"/>
        </w:rPr>
        <w:t xml:space="preserve"> </w:t>
      </w:r>
      <w:r>
        <w:t>with</w:t>
      </w:r>
      <w:r>
        <w:rPr>
          <w:spacing w:val="4"/>
        </w:rPr>
        <w:t xml:space="preserve"> </w:t>
      </w:r>
      <w:r>
        <w:t>respect</w:t>
      </w:r>
      <w:r>
        <w:rPr>
          <w:spacing w:val="8"/>
        </w:rPr>
        <w:t xml:space="preserve"> </w:t>
      </w:r>
      <w:r>
        <w:t>to</w:t>
      </w:r>
      <w:r>
        <w:rPr>
          <w:spacing w:val="4"/>
        </w:rPr>
        <w:t xml:space="preserve"> </w:t>
      </w:r>
      <w:r>
        <w:t>the</w:t>
      </w:r>
      <w:r>
        <w:rPr>
          <w:spacing w:val="7"/>
        </w:rPr>
        <w:t xml:space="preserve"> </w:t>
      </w:r>
      <w:r>
        <w:t>dumping</w:t>
      </w:r>
      <w:r>
        <w:rPr>
          <w:spacing w:val="9"/>
        </w:rPr>
        <w:t xml:space="preserve"> </w:t>
      </w:r>
      <w:r>
        <w:rPr>
          <w:spacing w:val="-2"/>
        </w:rPr>
        <w:t>margin</w:t>
      </w:r>
    </w:p>
    <w:p w14:paraId="6EAC1B39" w14:textId="31CDE3C7" w:rsidR="00BD462C" w:rsidRDefault="00D70C7D">
      <w:pPr>
        <w:pStyle w:val="BodyText"/>
        <w:spacing w:before="3"/>
        <w:rPr>
          <w:sz w:val="16"/>
        </w:rPr>
      </w:pPr>
      <w:r>
        <w:rPr>
          <w:noProof/>
        </w:rPr>
        <mc:AlternateContent>
          <mc:Choice Requires="wps">
            <w:drawing>
              <wp:anchor distT="0" distB="0" distL="0" distR="0" simplePos="0" relativeHeight="487730688" behindDoc="1" locked="0" layoutInCell="1" allowOverlap="1" wp14:anchorId="6BD68250" wp14:editId="24841DB6">
                <wp:simplePos x="0" y="0"/>
                <wp:positionH relativeFrom="page">
                  <wp:posOffset>899160</wp:posOffset>
                </wp:positionH>
                <wp:positionV relativeFrom="paragraph">
                  <wp:posOffset>140970</wp:posOffset>
                </wp:positionV>
                <wp:extent cx="1828800" cy="8890"/>
                <wp:effectExtent l="0" t="0" r="0" b="0"/>
                <wp:wrapTopAndBottom/>
                <wp:docPr id="814" name="docshape3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447B9C" id="docshape309" o:spid="_x0000_s1026" alt="&quot;&quot;" style="position:absolute;margin-left:70.8pt;margin-top:11.1pt;width:2in;height:.7pt;z-index:-15585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" fillcolor="black" stroked="f">
                <w10:wrap type="topAndBottom" anchorx="page"/>
              </v:rect>
            </w:pict>
          </mc:Fallback>
        </mc:AlternateContent>
      </w:r>
    </w:p>
    <w:p w14:paraId="5B9D3D49" w14:textId="77777777" w:rsidR="00BD462C" w:rsidRDefault="00033D0F">
      <w:pPr>
        <w:spacing w:before="112"/>
        <w:ind w:left="135"/>
        <w:rPr>
          <w:sz w:val="18"/>
        </w:rPr>
      </w:pPr>
      <w:bookmarkStart w:id="704" w:name="_bookmark603"/>
      <w:bookmarkEnd w:id="704"/>
      <w:r>
        <w:rPr>
          <w:position w:val="5"/>
          <w:sz w:val="12"/>
        </w:rPr>
        <w:t>500</w:t>
      </w:r>
      <w:r>
        <w:rPr>
          <w:spacing w:val="12"/>
          <w:position w:val="5"/>
          <w:sz w:val="12"/>
        </w:rPr>
        <w:t xml:space="preserve"> </w:t>
      </w:r>
      <w:r>
        <w:rPr>
          <w:sz w:val="18"/>
        </w:rPr>
        <w:t>Anti-Dumping</w:t>
      </w:r>
      <w:r>
        <w:rPr>
          <w:spacing w:val="-6"/>
          <w:sz w:val="18"/>
        </w:rPr>
        <w:t xml:space="preserve"> </w:t>
      </w:r>
      <w:r>
        <w:rPr>
          <w:sz w:val="18"/>
        </w:rPr>
        <w:t>Final</w:t>
      </w:r>
      <w:r>
        <w:rPr>
          <w:spacing w:val="-1"/>
          <w:sz w:val="18"/>
        </w:rPr>
        <w:t xml:space="preserve"> </w:t>
      </w:r>
      <w:r>
        <w:rPr>
          <w:sz w:val="18"/>
        </w:rPr>
        <w:t>Determination</w:t>
      </w:r>
      <w:r>
        <w:rPr>
          <w:spacing w:val="-6"/>
          <w:sz w:val="18"/>
        </w:rPr>
        <w:t xml:space="preserve"> </w:t>
      </w:r>
      <w:r>
        <w:rPr>
          <w:sz w:val="18"/>
        </w:rPr>
        <w:t>(Exhibit</w:t>
      </w:r>
      <w:r>
        <w:rPr>
          <w:spacing w:val="-1"/>
          <w:sz w:val="18"/>
        </w:rPr>
        <w:t xml:space="preserve"> </w:t>
      </w:r>
      <w:r>
        <w:rPr>
          <w:sz w:val="18"/>
        </w:rPr>
        <w:t>AUS-2),</w:t>
      </w:r>
      <w:r>
        <w:rPr>
          <w:spacing w:val="-4"/>
          <w:sz w:val="18"/>
        </w:rPr>
        <w:t xml:space="preserve"> </w:t>
      </w:r>
      <w:r>
        <w:rPr>
          <w:sz w:val="18"/>
        </w:rPr>
        <w:t>p.</w:t>
      </w:r>
      <w:r>
        <w:rPr>
          <w:spacing w:val="-5"/>
          <w:sz w:val="18"/>
        </w:rPr>
        <w:t xml:space="preserve"> 94.</w:t>
      </w:r>
    </w:p>
    <w:p w14:paraId="3A4502CB" w14:textId="77777777" w:rsidR="00BD462C" w:rsidRDefault="00033D0F">
      <w:pPr>
        <w:spacing w:before="1"/>
        <w:ind w:left="135"/>
        <w:rPr>
          <w:sz w:val="18"/>
        </w:rPr>
      </w:pPr>
      <w:bookmarkStart w:id="705" w:name="_bookmark604"/>
      <w:bookmarkEnd w:id="705"/>
      <w:r>
        <w:rPr>
          <w:position w:val="5"/>
          <w:sz w:val="12"/>
        </w:rPr>
        <w:t>501</w:t>
      </w:r>
      <w:r>
        <w:rPr>
          <w:spacing w:val="12"/>
          <w:position w:val="5"/>
          <w:sz w:val="12"/>
        </w:rPr>
        <w:t xml:space="preserve"> </w:t>
      </w:r>
      <w:r>
        <w:rPr>
          <w:sz w:val="18"/>
        </w:rPr>
        <w:t>See</w:t>
      </w:r>
      <w:r>
        <w:rPr>
          <w:spacing w:val="-5"/>
          <w:sz w:val="18"/>
        </w:rPr>
        <w:t xml:space="preserve"> </w:t>
      </w:r>
      <w:r>
        <w:rPr>
          <w:sz w:val="18"/>
        </w:rPr>
        <w:t>paras. 96-103.</w:t>
      </w:r>
      <w:r>
        <w:rPr>
          <w:spacing w:val="-5"/>
          <w:sz w:val="18"/>
        </w:rPr>
        <w:t xml:space="preserve"> </w:t>
      </w:r>
      <w:r>
        <w:rPr>
          <w:sz w:val="18"/>
        </w:rPr>
        <w:t>See</w:t>
      </w:r>
      <w:r>
        <w:rPr>
          <w:spacing w:val="-6"/>
          <w:sz w:val="18"/>
        </w:rPr>
        <w:t xml:space="preserve"> </w:t>
      </w:r>
      <w:r>
        <w:rPr>
          <w:sz w:val="18"/>
        </w:rPr>
        <w:t>also</w:t>
      </w:r>
      <w:r>
        <w:rPr>
          <w:spacing w:val="-6"/>
          <w:sz w:val="18"/>
        </w:rPr>
        <w:t xml:space="preserve"> </w:t>
      </w:r>
      <w:r>
        <w:rPr>
          <w:sz w:val="18"/>
        </w:rPr>
        <w:t>Australia's</w:t>
      </w:r>
      <w:r>
        <w:rPr>
          <w:spacing w:val="-6"/>
          <w:sz w:val="18"/>
        </w:rPr>
        <w:t xml:space="preserve"> </w:t>
      </w:r>
      <w:r>
        <w:rPr>
          <w:sz w:val="18"/>
        </w:rPr>
        <w:t>first</w:t>
      </w:r>
      <w:r>
        <w:rPr>
          <w:spacing w:val="-1"/>
          <w:sz w:val="18"/>
        </w:rPr>
        <w:t xml:space="preserve"> </w:t>
      </w:r>
      <w:r>
        <w:rPr>
          <w:sz w:val="18"/>
        </w:rPr>
        <w:t>written</w:t>
      </w:r>
      <w:r>
        <w:rPr>
          <w:spacing w:val="-6"/>
          <w:sz w:val="18"/>
        </w:rPr>
        <w:t xml:space="preserve"> </w:t>
      </w:r>
      <w:r>
        <w:rPr>
          <w:sz w:val="18"/>
        </w:rPr>
        <w:t>submission,</w:t>
      </w:r>
      <w:r>
        <w:rPr>
          <w:spacing w:val="-4"/>
          <w:sz w:val="18"/>
        </w:rPr>
        <w:t xml:space="preserve"> </w:t>
      </w:r>
      <w:r>
        <w:rPr>
          <w:sz w:val="18"/>
        </w:rPr>
        <w:t>paras. 493-</w:t>
      </w:r>
      <w:r>
        <w:rPr>
          <w:spacing w:val="-4"/>
          <w:sz w:val="18"/>
        </w:rPr>
        <w:t>522.</w:t>
      </w:r>
    </w:p>
    <w:p w14:paraId="04890775" w14:textId="77777777" w:rsidR="00BD462C" w:rsidRDefault="00033D0F">
      <w:pPr>
        <w:spacing w:before="1"/>
        <w:ind w:left="135"/>
        <w:rPr>
          <w:sz w:val="18"/>
        </w:rPr>
      </w:pPr>
      <w:bookmarkStart w:id="706" w:name="_bookmark605"/>
      <w:bookmarkEnd w:id="706"/>
      <w:r>
        <w:rPr>
          <w:position w:val="5"/>
          <w:sz w:val="12"/>
        </w:rPr>
        <w:t>502</w:t>
      </w:r>
      <w:r>
        <w:rPr>
          <w:spacing w:val="14"/>
          <w:position w:val="5"/>
          <w:sz w:val="12"/>
        </w:rPr>
        <w:t xml:space="preserve"> </w:t>
      </w:r>
      <w:r>
        <w:rPr>
          <w:sz w:val="18"/>
        </w:rPr>
        <w:t>See</w:t>
      </w:r>
      <w:r>
        <w:rPr>
          <w:spacing w:val="-5"/>
          <w:sz w:val="18"/>
        </w:rPr>
        <w:t xml:space="preserve"> </w:t>
      </w:r>
      <w:r>
        <w:rPr>
          <w:sz w:val="18"/>
        </w:rPr>
        <w:t>paras.</w:t>
      </w:r>
      <w:r>
        <w:rPr>
          <w:spacing w:val="1"/>
          <w:sz w:val="18"/>
        </w:rPr>
        <w:t xml:space="preserve"> </w:t>
      </w:r>
      <w:hyperlink w:anchor="_bookmark167" w:history="1">
        <w:r>
          <w:rPr>
            <w:sz w:val="18"/>
          </w:rPr>
          <w:t>91</w:t>
        </w:r>
      </w:hyperlink>
      <w:hyperlink w:anchor="_bookmark236" w:history="1">
        <w:r>
          <w:rPr>
            <w:sz w:val="18"/>
          </w:rPr>
          <w:t>-</w:t>
        </w:r>
        <w:r>
          <w:rPr>
            <w:spacing w:val="-4"/>
            <w:sz w:val="18"/>
          </w:rPr>
          <w:t>120.</w:t>
        </w:r>
      </w:hyperlink>
    </w:p>
    <w:p w14:paraId="17EFC196" w14:textId="77777777" w:rsidR="00BD462C" w:rsidRDefault="00033D0F">
      <w:pPr>
        <w:spacing w:before="1" w:line="218" w:lineRule="exact"/>
        <w:ind w:left="135"/>
        <w:rPr>
          <w:sz w:val="18"/>
        </w:rPr>
      </w:pPr>
      <w:bookmarkStart w:id="707" w:name="_bookmark606"/>
      <w:bookmarkEnd w:id="707"/>
      <w:r>
        <w:rPr>
          <w:position w:val="5"/>
          <w:sz w:val="12"/>
        </w:rPr>
        <w:t>503</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 xml:space="preserve">para. </w:t>
      </w:r>
      <w:r>
        <w:rPr>
          <w:spacing w:val="-4"/>
          <w:sz w:val="18"/>
        </w:rPr>
        <w:t>818.</w:t>
      </w:r>
    </w:p>
    <w:p w14:paraId="63E2662A" w14:textId="77777777" w:rsidR="00BD462C" w:rsidRDefault="00033D0F">
      <w:pPr>
        <w:spacing w:line="218" w:lineRule="exact"/>
        <w:ind w:left="135"/>
        <w:rPr>
          <w:sz w:val="18"/>
        </w:rPr>
      </w:pPr>
      <w:bookmarkStart w:id="708" w:name="_bookmark607"/>
      <w:bookmarkEnd w:id="708"/>
      <w:r>
        <w:rPr>
          <w:position w:val="5"/>
          <w:sz w:val="12"/>
        </w:rPr>
        <w:t>504</w:t>
      </w:r>
      <w:r>
        <w:rPr>
          <w:spacing w:val="13"/>
          <w:position w:val="5"/>
          <w:sz w:val="12"/>
        </w:rPr>
        <w:t xml:space="preserve"> </w:t>
      </w:r>
      <w:r>
        <w:rPr>
          <w:sz w:val="18"/>
        </w:rPr>
        <w:t>China's</w:t>
      </w:r>
      <w:r>
        <w:rPr>
          <w:spacing w:val="-5"/>
          <w:sz w:val="18"/>
        </w:rPr>
        <w:t xml:space="preserve"> </w:t>
      </w:r>
      <w:r>
        <w:rPr>
          <w:sz w:val="18"/>
        </w:rPr>
        <w:t>first</w:t>
      </w:r>
      <w:r>
        <w:rPr>
          <w:spacing w:val="-4"/>
          <w:sz w:val="18"/>
        </w:rPr>
        <w:t xml:space="preserve"> </w:t>
      </w:r>
      <w:r>
        <w:rPr>
          <w:sz w:val="18"/>
        </w:rPr>
        <w:t>written</w:t>
      </w:r>
      <w:r>
        <w:rPr>
          <w:spacing w:val="-5"/>
          <w:sz w:val="18"/>
        </w:rPr>
        <w:t xml:space="preserve"> </w:t>
      </w:r>
      <w:r>
        <w:rPr>
          <w:sz w:val="18"/>
        </w:rPr>
        <w:t>submission,</w:t>
      </w:r>
      <w:r>
        <w:rPr>
          <w:spacing w:val="1"/>
          <w:sz w:val="18"/>
        </w:rPr>
        <w:t xml:space="preserve"> </w:t>
      </w:r>
      <w:r>
        <w:rPr>
          <w:sz w:val="18"/>
        </w:rPr>
        <w:t>para.</w:t>
      </w:r>
      <w:r>
        <w:rPr>
          <w:spacing w:val="1"/>
          <w:sz w:val="18"/>
        </w:rPr>
        <w:t xml:space="preserve"> </w:t>
      </w:r>
      <w:r>
        <w:rPr>
          <w:sz w:val="18"/>
        </w:rPr>
        <w:t>819</w:t>
      </w:r>
      <w:r>
        <w:rPr>
          <w:spacing w:val="-7"/>
          <w:sz w:val="18"/>
        </w:rPr>
        <w:t xml:space="preserve"> </w:t>
      </w:r>
      <w:r>
        <w:rPr>
          <w:sz w:val="18"/>
        </w:rPr>
        <w:t>quoting</w:t>
      </w:r>
      <w:r>
        <w:rPr>
          <w:spacing w:val="-5"/>
          <w:sz w:val="18"/>
        </w:rPr>
        <w:t xml:space="preserve"> </w:t>
      </w:r>
      <w:r>
        <w:rPr>
          <w:sz w:val="18"/>
        </w:rPr>
        <w:t>Panel</w:t>
      </w:r>
      <w:r>
        <w:rPr>
          <w:spacing w:val="-8"/>
          <w:sz w:val="18"/>
        </w:rPr>
        <w:t xml:space="preserve"> </w:t>
      </w:r>
      <w:r>
        <w:rPr>
          <w:sz w:val="18"/>
        </w:rPr>
        <w:t>Report,</w:t>
      </w:r>
      <w:r>
        <w:rPr>
          <w:spacing w:val="-4"/>
          <w:sz w:val="18"/>
        </w:rPr>
        <w:t xml:space="preserve"> </w:t>
      </w:r>
      <w:r>
        <w:rPr>
          <w:i/>
          <w:sz w:val="18"/>
        </w:rPr>
        <w:t>EC –</w:t>
      </w:r>
      <w:r>
        <w:rPr>
          <w:i/>
          <w:spacing w:val="-5"/>
          <w:sz w:val="18"/>
        </w:rPr>
        <w:t xml:space="preserve"> </w:t>
      </w:r>
      <w:r>
        <w:rPr>
          <w:i/>
          <w:sz w:val="18"/>
        </w:rPr>
        <w:t>Fasteners</w:t>
      </w:r>
      <w:r>
        <w:rPr>
          <w:i/>
          <w:spacing w:val="-5"/>
          <w:sz w:val="18"/>
        </w:rPr>
        <w:t xml:space="preserve"> </w:t>
      </w:r>
      <w:r>
        <w:rPr>
          <w:i/>
          <w:sz w:val="18"/>
        </w:rPr>
        <w:t>(China)</w:t>
      </w:r>
      <w:r>
        <w:rPr>
          <w:sz w:val="18"/>
        </w:rPr>
        <w:t>,</w:t>
      </w:r>
      <w:r>
        <w:rPr>
          <w:spacing w:val="-3"/>
          <w:sz w:val="18"/>
        </w:rPr>
        <w:t xml:space="preserve"> </w:t>
      </w:r>
      <w:r>
        <w:rPr>
          <w:sz w:val="18"/>
        </w:rPr>
        <w:t>para.</w:t>
      </w:r>
      <w:r>
        <w:rPr>
          <w:spacing w:val="-4"/>
          <w:sz w:val="18"/>
        </w:rPr>
        <w:t xml:space="preserve"> </w:t>
      </w:r>
      <w:r>
        <w:rPr>
          <w:spacing w:val="-2"/>
          <w:sz w:val="18"/>
        </w:rPr>
        <w:t>7.149.</w:t>
      </w:r>
    </w:p>
    <w:p w14:paraId="7F764ED1" w14:textId="77777777" w:rsidR="00BD462C" w:rsidRDefault="00033D0F">
      <w:pPr>
        <w:spacing w:before="1"/>
        <w:ind w:left="135"/>
        <w:rPr>
          <w:sz w:val="18"/>
        </w:rPr>
      </w:pPr>
      <w:bookmarkStart w:id="709" w:name="_bookmark608"/>
      <w:bookmarkEnd w:id="709"/>
      <w:r>
        <w:rPr>
          <w:position w:val="5"/>
          <w:sz w:val="12"/>
        </w:rPr>
        <w:t>505</w:t>
      </w:r>
      <w:r>
        <w:rPr>
          <w:spacing w:val="15"/>
          <w:position w:val="5"/>
          <w:sz w:val="12"/>
        </w:rPr>
        <w:t xml:space="preserve"> </w:t>
      </w:r>
      <w:r>
        <w:rPr>
          <w:sz w:val="18"/>
        </w:rPr>
        <w:t>Panel</w:t>
      </w:r>
      <w:r>
        <w:rPr>
          <w:spacing w:val="-3"/>
          <w:sz w:val="18"/>
        </w:rPr>
        <w:t xml:space="preserve"> </w:t>
      </w:r>
      <w:r>
        <w:rPr>
          <w:sz w:val="18"/>
        </w:rPr>
        <w:t>Report,</w:t>
      </w:r>
      <w:r>
        <w:rPr>
          <w:spacing w:val="-6"/>
          <w:sz w:val="18"/>
        </w:rPr>
        <w:t xml:space="preserve"> </w:t>
      </w:r>
      <w:r>
        <w:rPr>
          <w:i/>
          <w:sz w:val="18"/>
        </w:rPr>
        <w:t>Egypt</w:t>
      </w:r>
      <w:r>
        <w:rPr>
          <w:i/>
          <w:spacing w:val="2"/>
          <w:sz w:val="18"/>
        </w:rPr>
        <w:t xml:space="preserve"> </w:t>
      </w:r>
      <w:r>
        <w:rPr>
          <w:i/>
          <w:sz w:val="18"/>
        </w:rPr>
        <w:t>–</w:t>
      </w:r>
      <w:r>
        <w:rPr>
          <w:i/>
          <w:spacing w:val="-4"/>
          <w:sz w:val="18"/>
        </w:rPr>
        <w:t xml:space="preserve"> </w:t>
      </w:r>
      <w:r>
        <w:rPr>
          <w:i/>
          <w:sz w:val="18"/>
        </w:rPr>
        <w:t>Steel</w:t>
      </w:r>
      <w:r>
        <w:rPr>
          <w:i/>
          <w:spacing w:val="-2"/>
          <w:sz w:val="18"/>
        </w:rPr>
        <w:t xml:space="preserve"> </w:t>
      </w:r>
      <w:r>
        <w:rPr>
          <w:i/>
          <w:sz w:val="18"/>
        </w:rPr>
        <w:t>Rebar</w:t>
      </w:r>
      <w:r>
        <w:rPr>
          <w:sz w:val="18"/>
        </w:rPr>
        <w:t>,</w:t>
      </w:r>
      <w:r>
        <w:rPr>
          <w:spacing w:val="3"/>
          <w:sz w:val="18"/>
        </w:rPr>
        <w:t xml:space="preserve"> </w:t>
      </w:r>
      <w:r>
        <w:rPr>
          <w:sz w:val="18"/>
        </w:rPr>
        <w:t>para</w:t>
      </w:r>
      <w:r>
        <w:rPr>
          <w:spacing w:val="-5"/>
          <w:sz w:val="18"/>
        </w:rPr>
        <w:t xml:space="preserve"> </w:t>
      </w:r>
      <w:r>
        <w:rPr>
          <w:spacing w:val="-2"/>
          <w:sz w:val="18"/>
        </w:rPr>
        <w:t>7.352.</w:t>
      </w:r>
    </w:p>
    <w:p w14:paraId="78BAA7E6" w14:textId="77777777" w:rsidR="00BD462C" w:rsidRDefault="00033D0F">
      <w:pPr>
        <w:spacing w:before="1"/>
        <w:ind w:left="135"/>
        <w:rPr>
          <w:sz w:val="18"/>
        </w:rPr>
      </w:pPr>
      <w:bookmarkStart w:id="710" w:name="_bookmark609"/>
      <w:bookmarkEnd w:id="710"/>
      <w:r>
        <w:rPr>
          <w:position w:val="5"/>
          <w:sz w:val="12"/>
        </w:rPr>
        <w:t>506</w:t>
      </w:r>
      <w:r>
        <w:rPr>
          <w:spacing w:val="13"/>
          <w:position w:val="5"/>
          <w:sz w:val="12"/>
        </w:rPr>
        <w:t xml:space="preserve"> </w:t>
      </w:r>
      <w:r>
        <w:rPr>
          <w:sz w:val="18"/>
        </w:rPr>
        <w:t>See</w:t>
      </w:r>
      <w:r>
        <w:rPr>
          <w:spacing w:val="-5"/>
          <w:sz w:val="18"/>
        </w:rPr>
        <w:t xml:space="preserve"> </w:t>
      </w:r>
      <w:r>
        <w:rPr>
          <w:sz w:val="18"/>
        </w:rPr>
        <w:t>paras.</w:t>
      </w:r>
      <w:r>
        <w:rPr>
          <w:spacing w:val="1"/>
          <w:sz w:val="18"/>
        </w:rPr>
        <w:t xml:space="preserve"> </w:t>
      </w:r>
      <w:hyperlink w:anchor="_bookmark191" w:history="1">
        <w:r>
          <w:rPr>
            <w:sz w:val="18"/>
          </w:rPr>
          <w:t>104</w:t>
        </w:r>
      </w:hyperlink>
      <w:hyperlink w:anchor="_bookmark196" w:history="1">
        <w:r>
          <w:rPr>
            <w:sz w:val="18"/>
          </w:rPr>
          <w:t>-</w:t>
        </w:r>
        <w:r>
          <w:rPr>
            <w:spacing w:val="-4"/>
            <w:sz w:val="18"/>
          </w:rPr>
          <w:t>105.</w:t>
        </w:r>
      </w:hyperlink>
    </w:p>
    <w:p w14:paraId="2BC82C0D" w14:textId="77777777" w:rsidR="00BD462C" w:rsidRDefault="00033D0F">
      <w:pPr>
        <w:spacing w:before="1"/>
        <w:ind w:left="135"/>
        <w:rPr>
          <w:sz w:val="18"/>
        </w:rPr>
      </w:pPr>
      <w:bookmarkStart w:id="711" w:name="_bookmark610"/>
      <w:bookmarkEnd w:id="711"/>
      <w:r>
        <w:rPr>
          <w:position w:val="5"/>
          <w:sz w:val="12"/>
        </w:rPr>
        <w:t>507</w:t>
      </w:r>
      <w:r>
        <w:rPr>
          <w:spacing w:val="13"/>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 xml:space="preserve">para. </w:t>
      </w:r>
      <w:r>
        <w:rPr>
          <w:spacing w:val="-4"/>
          <w:sz w:val="18"/>
        </w:rPr>
        <w:t>818.</w:t>
      </w:r>
    </w:p>
    <w:p w14:paraId="394EAE30" w14:textId="77777777" w:rsidR="00BD462C" w:rsidRDefault="00033D0F">
      <w:pPr>
        <w:spacing w:before="1"/>
        <w:ind w:left="135"/>
        <w:rPr>
          <w:sz w:val="18"/>
        </w:rPr>
      </w:pPr>
      <w:bookmarkStart w:id="712" w:name="_bookmark611"/>
      <w:bookmarkEnd w:id="712"/>
      <w:r>
        <w:rPr>
          <w:position w:val="5"/>
          <w:sz w:val="12"/>
        </w:rPr>
        <w:t>508</w:t>
      </w:r>
      <w:r>
        <w:rPr>
          <w:spacing w:val="15"/>
          <w:position w:val="5"/>
          <w:sz w:val="12"/>
        </w:rPr>
        <w:t xml:space="preserve"> </w:t>
      </w:r>
      <w:r>
        <w:rPr>
          <w:sz w:val="18"/>
        </w:rPr>
        <w:t>Panel</w:t>
      </w:r>
      <w:r>
        <w:rPr>
          <w:spacing w:val="-3"/>
          <w:sz w:val="18"/>
        </w:rPr>
        <w:t xml:space="preserve"> </w:t>
      </w:r>
      <w:r>
        <w:rPr>
          <w:sz w:val="18"/>
        </w:rPr>
        <w:t>Report,</w:t>
      </w:r>
      <w:r>
        <w:rPr>
          <w:spacing w:val="-6"/>
          <w:sz w:val="18"/>
        </w:rPr>
        <w:t xml:space="preserve"> </w:t>
      </w:r>
      <w:r>
        <w:rPr>
          <w:i/>
          <w:sz w:val="18"/>
        </w:rPr>
        <w:t>Egypt</w:t>
      </w:r>
      <w:r>
        <w:rPr>
          <w:i/>
          <w:spacing w:val="2"/>
          <w:sz w:val="18"/>
        </w:rPr>
        <w:t xml:space="preserve"> </w:t>
      </w:r>
      <w:r>
        <w:rPr>
          <w:i/>
          <w:sz w:val="18"/>
        </w:rPr>
        <w:t>–</w:t>
      </w:r>
      <w:r>
        <w:rPr>
          <w:i/>
          <w:spacing w:val="-4"/>
          <w:sz w:val="18"/>
        </w:rPr>
        <w:t xml:space="preserve"> </w:t>
      </w:r>
      <w:r>
        <w:rPr>
          <w:i/>
          <w:sz w:val="18"/>
        </w:rPr>
        <w:t>Steel</w:t>
      </w:r>
      <w:r>
        <w:rPr>
          <w:i/>
          <w:spacing w:val="-2"/>
          <w:sz w:val="18"/>
        </w:rPr>
        <w:t xml:space="preserve"> </w:t>
      </w:r>
      <w:r>
        <w:rPr>
          <w:i/>
          <w:sz w:val="18"/>
        </w:rPr>
        <w:t>Rebar</w:t>
      </w:r>
      <w:r>
        <w:rPr>
          <w:sz w:val="18"/>
        </w:rPr>
        <w:t>,</w:t>
      </w:r>
      <w:r>
        <w:rPr>
          <w:spacing w:val="3"/>
          <w:sz w:val="18"/>
        </w:rPr>
        <w:t xml:space="preserve"> </w:t>
      </w:r>
      <w:r>
        <w:rPr>
          <w:sz w:val="18"/>
        </w:rPr>
        <w:t>para</w:t>
      </w:r>
      <w:r>
        <w:rPr>
          <w:spacing w:val="-5"/>
          <w:sz w:val="18"/>
        </w:rPr>
        <w:t xml:space="preserve"> </w:t>
      </w:r>
      <w:r>
        <w:rPr>
          <w:spacing w:val="-2"/>
          <w:sz w:val="18"/>
        </w:rPr>
        <w:t>7.352.</w:t>
      </w:r>
    </w:p>
    <w:p w14:paraId="1A7D3B82" w14:textId="77777777" w:rsidR="00BD462C" w:rsidRDefault="00BD462C">
      <w:pPr>
        <w:rPr>
          <w:sz w:val="18"/>
        </w:rPr>
        <w:sectPr w:rsidR="00BD462C">
          <w:pgSz w:w="11910" w:h="16840"/>
          <w:pgMar w:top="860" w:right="500" w:bottom="780" w:left="1280" w:header="566" w:footer="590" w:gutter="0"/>
          <w:cols w:space="720"/>
        </w:sectPr>
      </w:pPr>
    </w:p>
    <w:p w14:paraId="5160BC6C"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07295F0B"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592FDA5F"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1BD96341" w14:textId="77777777" w:rsidR="00BD462C" w:rsidRDefault="00033D0F">
      <w:pPr>
        <w:pStyle w:val="BodyText"/>
        <w:spacing w:before="102" w:line="360" w:lineRule="auto"/>
        <w:ind w:left="136" w:right="912"/>
        <w:jc w:val="both"/>
      </w:pPr>
      <w:r>
        <w:t>calculation</w:t>
      </w:r>
      <w:r>
        <w:rPr>
          <w:spacing w:val="-14"/>
        </w:rPr>
        <w:t xml:space="preserve"> </w:t>
      </w:r>
      <w:r>
        <w:t>for</w:t>
      </w:r>
      <w:r>
        <w:rPr>
          <w:spacing w:val="-3"/>
        </w:rPr>
        <w:t xml:space="preserve"> </w:t>
      </w:r>
      <w:r>
        <w:t>Swan</w:t>
      </w:r>
      <w:r>
        <w:rPr>
          <w:spacing w:val="-1"/>
        </w:rPr>
        <w:t xml:space="preserve"> </w:t>
      </w:r>
      <w:r>
        <w:t>Vintage" for</w:t>
      </w:r>
      <w:r>
        <w:rPr>
          <w:spacing w:val="-1"/>
        </w:rPr>
        <w:t xml:space="preserve"> </w:t>
      </w:r>
      <w:r>
        <w:t>various reasons.</w:t>
      </w:r>
      <w:r>
        <w:rPr>
          <w:spacing w:val="-14"/>
        </w:rPr>
        <w:t xml:space="preserve"> </w:t>
      </w:r>
      <w:hyperlink w:anchor="_bookmark612" w:history="1">
        <w:r>
          <w:rPr>
            <w:vertAlign w:val="superscript"/>
          </w:rPr>
          <w:t>509</w:t>
        </w:r>
      </w:hyperlink>
      <w:r>
        <w:t xml:space="preserve"> It promptly contradicted</w:t>
      </w:r>
      <w:r>
        <w:rPr>
          <w:spacing w:val="-1"/>
        </w:rPr>
        <w:t xml:space="preserve"> </w:t>
      </w:r>
      <w:r>
        <w:t>this statement by claiming "Australia fails to make a prima facie case for its claimed violation of the third sentence</w:t>
      </w:r>
      <w:r>
        <w:rPr>
          <w:spacing w:val="-13"/>
        </w:rPr>
        <w:t xml:space="preserve"> </w:t>
      </w:r>
      <w:r>
        <w:t>of Article</w:t>
      </w:r>
      <w:r>
        <w:rPr>
          <w:spacing w:val="-1"/>
        </w:rPr>
        <w:t xml:space="preserve"> </w:t>
      </w:r>
      <w:r>
        <w:t>2.4".</w:t>
      </w:r>
      <w:r>
        <w:rPr>
          <w:spacing w:val="-14"/>
        </w:rPr>
        <w:t xml:space="preserve"> </w:t>
      </w:r>
      <w:hyperlink w:anchor="_bookmark613" w:history="1">
        <w:r>
          <w:rPr>
            <w:vertAlign w:val="superscript"/>
          </w:rPr>
          <w:t>510</w:t>
        </w:r>
      </w:hyperlink>
      <w:r>
        <w:t xml:space="preserve"> Clearly China </w:t>
      </w:r>
      <w:r>
        <w:rPr>
          <w:i/>
        </w:rPr>
        <w:t xml:space="preserve">did </w:t>
      </w:r>
      <w:r>
        <w:t>understand Australia to be claiming a violation, even if it disagreed with the substance of that claim.</w:t>
      </w:r>
      <w:r>
        <w:rPr>
          <w:spacing w:val="-28"/>
        </w:rPr>
        <w:t xml:space="preserve"> </w:t>
      </w:r>
      <w:hyperlink w:anchor="_bookmark614" w:history="1">
        <w:r>
          <w:rPr>
            <w:vertAlign w:val="superscript"/>
          </w:rPr>
          <w:t>511</w:t>
        </w:r>
      </w:hyperlink>
    </w:p>
    <w:p w14:paraId="7DC167F0" w14:textId="77777777" w:rsidR="00BD462C" w:rsidRDefault="00BD462C">
      <w:pPr>
        <w:pStyle w:val="BodyText"/>
        <w:spacing w:before="8"/>
        <w:rPr>
          <w:sz w:val="8"/>
        </w:rPr>
      </w:pPr>
    </w:p>
    <w:p w14:paraId="7FBD4C48" w14:textId="16B9822E" w:rsidR="00BD462C" w:rsidRDefault="00033D0F" w:rsidP="00185AF5">
      <w:pPr>
        <w:pStyle w:val="BodyText"/>
        <w:numPr>
          <w:ilvl w:val="0"/>
          <w:numId w:val="77"/>
        </w:numPr>
        <w:spacing w:before="56" w:line="360" w:lineRule="auto"/>
        <w:ind w:right="915"/>
        <w:jc w:val="both"/>
      </w:pPr>
      <w:r>
        <w:rPr>
          <w:position w:val="1"/>
        </w:rPr>
        <w:t xml:space="preserve">Australia has also addressed the fact that the sampled companies were under no </w:t>
      </w:r>
      <w:r>
        <w:t>obligation</w:t>
      </w:r>
      <w:r>
        <w:rPr>
          <w:spacing w:val="-8"/>
        </w:rPr>
        <w:t xml:space="preserve"> </w:t>
      </w:r>
      <w:r>
        <w:t>to</w:t>
      </w:r>
      <w:r>
        <w:rPr>
          <w:spacing w:val="-8"/>
        </w:rPr>
        <w:t xml:space="preserve"> </w:t>
      </w:r>
      <w:r>
        <w:t>disclose</w:t>
      </w:r>
      <w:r>
        <w:rPr>
          <w:spacing w:val="-6"/>
        </w:rPr>
        <w:t xml:space="preserve"> </w:t>
      </w:r>
      <w:r>
        <w:t>their</w:t>
      </w:r>
      <w:r>
        <w:rPr>
          <w:spacing w:val="-9"/>
        </w:rPr>
        <w:t xml:space="preserve"> </w:t>
      </w:r>
      <w:r>
        <w:t>BCI</w:t>
      </w:r>
      <w:r>
        <w:rPr>
          <w:spacing w:val="-5"/>
        </w:rPr>
        <w:t xml:space="preserve"> </w:t>
      </w:r>
      <w:r>
        <w:t>material</w:t>
      </w:r>
      <w:r>
        <w:rPr>
          <w:spacing w:val="-4"/>
        </w:rPr>
        <w:t xml:space="preserve"> </w:t>
      </w:r>
      <w:r>
        <w:t>to</w:t>
      </w:r>
      <w:r>
        <w:rPr>
          <w:spacing w:val="-9"/>
        </w:rPr>
        <w:t xml:space="preserve"> </w:t>
      </w:r>
      <w:r>
        <w:t>the</w:t>
      </w:r>
      <w:r>
        <w:rPr>
          <w:spacing w:val="-6"/>
        </w:rPr>
        <w:t xml:space="preserve"> </w:t>
      </w:r>
      <w:r>
        <w:t>Australian</w:t>
      </w:r>
      <w:r>
        <w:rPr>
          <w:spacing w:val="-8"/>
        </w:rPr>
        <w:t xml:space="preserve"> </w:t>
      </w:r>
      <w:r>
        <w:t>Government.</w:t>
      </w:r>
      <w:r>
        <w:rPr>
          <w:spacing w:val="-5"/>
        </w:rPr>
        <w:t xml:space="preserve"> </w:t>
      </w:r>
      <w:r>
        <w:t>MOFCOM</w:t>
      </w:r>
      <w:r>
        <w:rPr>
          <w:spacing w:val="-6"/>
        </w:rPr>
        <w:t xml:space="preserve"> </w:t>
      </w:r>
      <w:r>
        <w:t>should</w:t>
      </w:r>
      <w:r>
        <w:rPr>
          <w:spacing w:val="-8"/>
        </w:rPr>
        <w:t xml:space="preserve"> </w:t>
      </w:r>
      <w:r>
        <w:t>have ensured</w:t>
      </w:r>
      <w:r>
        <w:rPr>
          <w:spacing w:val="40"/>
        </w:rPr>
        <w:t xml:space="preserve"> </w:t>
      </w:r>
      <w:r>
        <w:t>this</w:t>
      </w:r>
      <w:r>
        <w:rPr>
          <w:spacing w:val="40"/>
        </w:rPr>
        <w:t xml:space="preserve"> </w:t>
      </w:r>
      <w:r>
        <w:t>information</w:t>
      </w:r>
      <w:r>
        <w:rPr>
          <w:spacing w:val="40"/>
        </w:rPr>
        <w:t xml:space="preserve"> </w:t>
      </w:r>
      <w:r>
        <w:t>was</w:t>
      </w:r>
      <w:r>
        <w:rPr>
          <w:spacing w:val="40"/>
        </w:rPr>
        <w:t xml:space="preserve"> </w:t>
      </w:r>
      <w:r>
        <w:t>adequately</w:t>
      </w:r>
      <w:r>
        <w:rPr>
          <w:spacing w:val="40"/>
        </w:rPr>
        <w:t xml:space="preserve"> </w:t>
      </w:r>
      <w:r>
        <w:t>reflected</w:t>
      </w:r>
      <w:r>
        <w:rPr>
          <w:spacing w:val="40"/>
        </w:rPr>
        <w:t xml:space="preserve"> </w:t>
      </w:r>
      <w:r>
        <w:t>by</w:t>
      </w:r>
      <w:r>
        <w:rPr>
          <w:spacing w:val="40"/>
        </w:rPr>
        <w:t xml:space="preserve"> </w:t>
      </w:r>
      <w:r>
        <w:t>the</w:t>
      </w:r>
      <w:r>
        <w:rPr>
          <w:spacing w:val="40"/>
        </w:rPr>
        <w:t xml:space="preserve"> </w:t>
      </w:r>
      <w:r>
        <w:t>record</w:t>
      </w:r>
      <w:r>
        <w:rPr>
          <w:spacing w:val="40"/>
        </w:rPr>
        <w:t xml:space="preserve"> </w:t>
      </w:r>
      <w:r>
        <w:t>of</w:t>
      </w:r>
      <w:r>
        <w:rPr>
          <w:spacing w:val="40"/>
        </w:rPr>
        <w:t xml:space="preserve"> </w:t>
      </w:r>
      <w:r>
        <w:t>evidence,</w:t>
      </w:r>
      <w:r>
        <w:rPr>
          <w:spacing w:val="40"/>
        </w:rPr>
        <w:t xml:space="preserve"> </w:t>
      </w:r>
      <w:r>
        <w:t>even</w:t>
      </w:r>
      <w:r>
        <w:rPr>
          <w:spacing w:val="40"/>
        </w:rPr>
        <w:t xml:space="preserve"> </w:t>
      </w:r>
      <w:r>
        <w:t>as non-confidential summaries.</w:t>
      </w:r>
      <w:hyperlink w:anchor="_bookmark615" w:history="1">
        <w:r>
          <w:rPr>
            <w:vertAlign w:val="superscript"/>
          </w:rPr>
          <w:t>512</w:t>
        </w:r>
      </w:hyperlink>
    </w:p>
    <w:p w14:paraId="25B405CF" w14:textId="77777777" w:rsidR="00185AF5" w:rsidRDefault="00033D0F" w:rsidP="00185AF5">
      <w:pPr>
        <w:pStyle w:val="BodyText"/>
        <w:numPr>
          <w:ilvl w:val="0"/>
          <w:numId w:val="77"/>
        </w:numPr>
        <w:spacing w:before="163" w:line="352" w:lineRule="auto"/>
        <w:ind w:right="911"/>
        <w:jc w:val="both"/>
      </w:pPr>
      <w:r>
        <w:rPr>
          <w:position w:val="1"/>
        </w:rPr>
        <w:t>As above,</w:t>
      </w:r>
      <w:hyperlink w:anchor="_bookmark616" w:history="1">
        <w:r>
          <w:rPr>
            <w:position w:val="1"/>
            <w:vertAlign w:val="superscript"/>
          </w:rPr>
          <w:t>513</w:t>
        </w:r>
      </w:hyperlink>
      <w:r>
        <w:rPr>
          <w:position w:val="1"/>
        </w:rPr>
        <w:t xml:space="preserve"> Australia does not agree that MOFCOM was under no obligation; this </w:t>
      </w:r>
      <w:r>
        <w:t>obligation resides in Article 2.4. This applies equally to Swan Vintage as to Casella</w:t>
      </w:r>
      <w:r>
        <w:rPr>
          <w:spacing w:val="-2"/>
        </w:rPr>
        <w:t xml:space="preserve"> </w:t>
      </w:r>
      <w:r>
        <w:t>Wines and Treasury Wines, despite China's attempt to limit Australia's claim.</w:t>
      </w:r>
    </w:p>
    <w:p w14:paraId="61A8D00F" w14:textId="77777777" w:rsidR="00185AF5" w:rsidRDefault="00033D0F" w:rsidP="00185AF5">
      <w:pPr>
        <w:pStyle w:val="BodyText"/>
        <w:numPr>
          <w:ilvl w:val="0"/>
          <w:numId w:val="77"/>
        </w:numPr>
        <w:spacing w:before="163" w:line="352" w:lineRule="auto"/>
        <w:ind w:right="911"/>
        <w:jc w:val="both"/>
      </w:pPr>
      <w:r w:rsidRPr="00185AF5">
        <w:rPr>
          <w:position w:val="1"/>
        </w:rPr>
        <w:t xml:space="preserve">MOFCOM's failure to meet the procedural requirements in the final sentence of </w:t>
      </w:r>
      <w:r>
        <w:t>Article</w:t>
      </w:r>
      <w:r w:rsidRPr="00185AF5">
        <w:rPr>
          <w:spacing w:val="-6"/>
        </w:rPr>
        <w:t xml:space="preserve"> </w:t>
      </w:r>
      <w:r>
        <w:t>2.4</w:t>
      </w:r>
      <w:r w:rsidRPr="00185AF5">
        <w:rPr>
          <w:spacing w:val="-14"/>
        </w:rPr>
        <w:t xml:space="preserve"> </w:t>
      </w:r>
      <w:r>
        <w:t>or</w:t>
      </w:r>
      <w:r w:rsidRPr="00185AF5">
        <w:rPr>
          <w:spacing w:val="-14"/>
        </w:rPr>
        <w:t xml:space="preserve"> </w:t>
      </w:r>
      <w:proofErr w:type="gramStart"/>
      <w:r>
        <w:t>make</w:t>
      </w:r>
      <w:r w:rsidRPr="00185AF5">
        <w:rPr>
          <w:spacing w:val="-7"/>
        </w:rPr>
        <w:t xml:space="preserve"> </w:t>
      </w:r>
      <w:r>
        <w:t>due</w:t>
      </w:r>
      <w:proofErr w:type="gramEnd"/>
      <w:r w:rsidRPr="00185AF5">
        <w:rPr>
          <w:spacing w:val="-13"/>
        </w:rPr>
        <w:t xml:space="preserve"> </w:t>
      </w:r>
      <w:r>
        <w:t>allowance</w:t>
      </w:r>
      <w:r w:rsidRPr="00185AF5">
        <w:rPr>
          <w:spacing w:val="-13"/>
        </w:rPr>
        <w:t xml:space="preserve"> </w:t>
      </w:r>
      <w:r>
        <w:t>where</w:t>
      </w:r>
      <w:r w:rsidRPr="00185AF5">
        <w:rPr>
          <w:spacing w:val="-13"/>
        </w:rPr>
        <w:t xml:space="preserve"> </w:t>
      </w:r>
      <w:r>
        <w:t>indicated</w:t>
      </w:r>
      <w:r w:rsidRPr="00185AF5">
        <w:rPr>
          <w:spacing w:val="-10"/>
        </w:rPr>
        <w:t xml:space="preserve"> </w:t>
      </w:r>
      <w:r>
        <w:t>"by</w:t>
      </w:r>
      <w:r w:rsidRPr="00185AF5">
        <w:rPr>
          <w:spacing w:val="-12"/>
        </w:rPr>
        <w:t xml:space="preserve"> </w:t>
      </w:r>
      <w:r>
        <w:t>one</w:t>
      </w:r>
      <w:r w:rsidRPr="00185AF5">
        <w:rPr>
          <w:spacing w:val="-8"/>
        </w:rPr>
        <w:t xml:space="preserve"> </w:t>
      </w:r>
      <w:r>
        <w:t>or</w:t>
      </w:r>
      <w:r w:rsidRPr="00185AF5">
        <w:rPr>
          <w:spacing w:val="-14"/>
        </w:rPr>
        <w:t xml:space="preserve"> </w:t>
      </w:r>
      <w:r>
        <w:t>another</w:t>
      </w:r>
      <w:r w:rsidRPr="00185AF5">
        <w:rPr>
          <w:spacing w:val="-10"/>
        </w:rPr>
        <w:t xml:space="preserve"> </w:t>
      </w:r>
      <w:r>
        <w:t>party</w:t>
      </w:r>
      <w:r w:rsidRPr="00185AF5">
        <w:rPr>
          <w:spacing w:val="-11"/>
        </w:rPr>
        <w:t xml:space="preserve"> </w:t>
      </w:r>
      <w:r>
        <w:t>[…]</w:t>
      </w:r>
      <w:r w:rsidRPr="00185AF5">
        <w:rPr>
          <w:spacing w:val="-10"/>
        </w:rPr>
        <w:t xml:space="preserve"> </w:t>
      </w:r>
      <w:r>
        <w:t>or</w:t>
      </w:r>
      <w:r w:rsidRPr="00185AF5">
        <w:rPr>
          <w:spacing w:val="-11"/>
        </w:rPr>
        <w:t xml:space="preserve"> </w:t>
      </w:r>
      <w:r>
        <w:t>by</w:t>
      </w:r>
      <w:r w:rsidRPr="00185AF5">
        <w:rPr>
          <w:spacing w:val="-12"/>
        </w:rPr>
        <w:t xml:space="preserve"> </w:t>
      </w:r>
      <w:r>
        <w:t>the</w:t>
      </w:r>
      <w:r w:rsidRPr="00185AF5">
        <w:rPr>
          <w:spacing w:val="-8"/>
        </w:rPr>
        <w:t xml:space="preserve"> </w:t>
      </w:r>
      <w:r>
        <w:t>data itself"</w:t>
      </w:r>
      <w:hyperlink w:anchor="_bookmark617" w:history="1">
        <w:r w:rsidRPr="00185AF5">
          <w:rPr>
            <w:vertAlign w:val="superscript"/>
          </w:rPr>
          <w:t>514</w:t>
        </w:r>
      </w:hyperlink>
      <w:r>
        <w:t xml:space="preserve"> does not negate its overarching obligation to make a fair comparison.</w:t>
      </w:r>
    </w:p>
    <w:p w14:paraId="0D5EB264" w14:textId="4F6E9DCE" w:rsidR="00BD462C" w:rsidRDefault="00033D0F" w:rsidP="00185AF5">
      <w:pPr>
        <w:pStyle w:val="BodyText"/>
        <w:numPr>
          <w:ilvl w:val="0"/>
          <w:numId w:val="77"/>
        </w:numPr>
        <w:spacing w:before="163" w:line="352" w:lineRule="auto"/>
        <w:ind w:right="911"/>
        <w:jc w:val="both"/>
      </w:pPr>
      <w:r w:rsidRPr="00185AF5">
        <w:rPr>
          <w:position w:val="1"/>
        </w:rPr>
        <w:t xml:space="preserve">MOFCOM made the same errors in its approach to Swan Vintage as with Treasury </w:t>
      </w:r>
      <w:r>
        <w:t>Wines,</w:t>
      </w:r>
      <w:hyperlink w:anchor="_bookmark618" w:history="1">
        <w:r w:rsidRPr="00185AF5">
          <w:rPr>
            <w:vertAlign w:val="superscript"/>
          </w:rPr>
          <w:t>515</w:t>
        </w:r>
      </w:hyperlink>
      <w:r w:rsidRPr="00185AF5">
        <w:rPr>
          <w:spacing w:val="-14"/>
        </w:rPr>
        <w:t xml:space="preserve"> </w:t>
      </w:r>
      <w:r>
        <w:t>holding</w:t>
      </w:r>
      <w:r w:rsidRPr="00185AF5">
        <w:rPr>
          <w:spacing w:val="-14"/>
        </w:rPr>
        <w:t xml:space="preserve"> </w:t>
      </w:r>
      <w:r>
        <w:t>the</w:t>
      </w:r>
      <w:r w:rsidRPr="00185AF5">
        <w:rPr>
          <w:spacing w:val="-13"/>
        </w:rPr>
        <w:t xml:space="preserve"> </w:t>
      </w:r>
      <w:r>
        <w:t>company</w:t>
      </w:r>
      <w:r w:rsidRPr="00185AF5">
        <w:rPr>
          <w:spacing w:val="-14"/>
        </w:rPr>
        <w:t xml:space="preserve"> </w:t>
      </w:r>
      <w:r>
        <w:t>responsible</w:t>
      </w:r>
      <w:r w:rsidRPr="00185AF5">
        <w:rPr>
          <w:spacing w:val="-13"/>
        </w:rPr>
        <w:t xml:space="preserve"> </w:t>
      </w:r>
      <w:r>
        <w:t>for</w:t>
      </w:r>
      <w:r w:rsidRPr="00185AF5">
        <w:rPr>
          <w:spacing w:val="-14"/>
        </w:rPr>
        <w:t xml:space="preserve"> </w:t>
      </w:r>
      <w:r>
        <w:t>not</w:t>
      </w:r>
      <w:r w:rsidRPr="00185AF5">
        <w:rPr>
          <w:spacing w:val="-13"/>
        </w:rPr>
        <w:t xml:space="preserve"> </w:t>
      </w:r>
      <w:r>
        <w:t>requesting</w:t>
      </w:r>
      <w:r w:rsidRPr="00185AF5">
        <w:rPr>
          <w:spacing w:val="-14"/>
        </w:rPr>
        <w:t xml:space="preserve"> </w:t>
      </w:r>
      <w:r>
        <w:t>adjustments</w:t>
      </w:r>
      <w:r w:rsidRPr="00185AF5">
        <w:rPr>
          <w:spacing w:val="-14"/>
        </w:rPr>
        <w:t xml:space="preserve"> </w:t>
      </w:r>
      <w:r>
        <w:t>based</w:t>
      </w:r>
      <w:r w:rsidRPr="00185AF5">
        <w:rPr>
          <w:spacing w:val="-13"/>
        </w:rPr>
        <w:t xml:space="preserve"> </w:t>
      </w:r>
      <w:r>
        <w:t>on</w:t>
      </w:r>
      <w:r w:rsidRPr="00185AF5">
        <w:rPr>
          <w:spacing w:val="-14"/>
        </w:rPr>
        <w:t xml:space="preserve"> </w:t>
      </w:r>
      <w:r>
        <w:t>unknown data</w:t>
      </w:r>
      <w:r w:rsidRPr="00185AF5">
        <w:rPr>
          <w:spacing w:val="-14"/>
        </w:rPr>
        <w:t xml:space="preserve"> </w:t>
      </w:r>
      <w:r>
        <w:t>and</w:t>
      </w:r>
      <w:r w:rsidRPr="00185AF5">
        <w:rPr>
          <w:spacing w:val="-14"/>
        </w:rPr>
        <w:t xml:space="preserve"> </w:t>
      </w:r>
      <w:r>
        <w:t>methodology</w:t>
      </w:r>
      <w:r w:rsidRPr="00185AF5">
        <w:rPr>
          <w:spacing w:val="-13"/>
        </w:rPr>
        <w:t xml:space="preserve"> </w:t>
      </w:r>
      <w:r>
        <w:t>and</w:t>
      </w:r>
      <w:r w:rsidRPr="00185AF5">
        <w:rPr>
          <w:spacing w:val="-14"/>
        </w:rPr>
        <w:t xml:space="preserve"> </w:t>
      </w:r>
      <w:r>
        <w:t>the</w:t>
      </w:r>
      <w:r w:rsidRPr="00185AF5">
        <w:rPr>
          <w:spacing w:val="-13"/>
        </w:rPr>
        <w:t xml:space="preserve"> </w:t>
      </w:r>
      <w:r>
        <w:t>unknowable</w:t>
      </w:r>
      <w:r w:rsidRPr="00185AF5">
        <w:rPr>
          <w:spacing w:val="-14"/>
        </w:rPr>
        <w:t xml:space="preserve"> </w:t>
      </w:r>
      <w:r>
        <w:t>"consequence"</w:t>
      </w:r>
      <w:r w:rsidRPr="00185AF5">
        <w:rPr>
          <w:spacing w:val="-13"/>
        </w:rPr>
        <w:t xml:space="preserve"> </w:t>
      </w:r>
      <w:r>
        <w:t>of</w:t>
      </w:r>
      <w:r w:rsidRPr="00185AF5">
        <w:rPr>
          <w:spacing w:val="-14"/>
        </w:rPr>
        <w:t xml:space="preserve"> </w:t>
      </w:r>
      <w:r>
        <w:t>an</w:t>
      </w:r>
      <w:r w:rsidRPr="00185AF5">
        <w:rPr>
          <w:spacing w:val="-14"/>
        </w:rPr>
        <w:t xml:space="preserve"> </w:t>
      </w:r>
      <w:r>
        <w:t>unrelated</w:t>
      </w:r>
      <w:r w:rsidRPr="00185AF5">
        <w:rPr>
          <w:spacing w:val="-13"/>
        </w:rPr>
        <w:t xml:space="preserve"> </w:t>
      </w:r>
      <w:r>
        <w:t>company's</w:t>
      </w:r>
      <w:r w:rsidRPr="00185AF5">
        <w:rPr>
          <w:spacing w:val="-14"/>
        </w:rPr>
        <w:t xml:space="preserve"> </w:t>
      </w:r>
      <w:r>
        <w:t>alleged failure to provide information that MOFCOM had</w:t>
      </w:r>
      <w:r w:rsidRPr="00185AF5">
        <w:rPr>
          <w:spacing w:val="-1"/>
        </w:rPr>
        <w:t xml:space="preserve"> </w:t>
      </w:r>
      <w:r>
        <w:t>never indicated was necessary to ensure a fair comparison in the first place.</w:t>
      </w:r>
    </w:p>
    <w:p w14:paraId="04EE4DD2" w14:textId="47D3E493" w:rsidR="00BD462C" w:rsidRDefault="00033D0F" w:rsidP="00185AF5">
      <w:pPr>
        <w:pStyle w:val="BodyText"/>
        <w:numPr>
          <w:ilvl w:val="0"/>
          <w:numId w:val="77"/>
        </w:numPr>
        <w:spacing w:before="160" w:line="352" w:lineRule="auto"/>
        <w:ind w:right="910"/>
        <w:jc w:val="both"/>
      </w:pPr>
      <w:r>
        <w:rPr>
          <w:position w:val="1"/>
        </w:rPr>
        <w:t>In so doing, MOFCOM failed to adjust for "the data itself",</w:t>
      </w:r>
      <w:hyperlink w:anchor="_bookmark619" w:history="1">
        <w:r>
          <w:rPr>
            <w:position w:val="1"/>
            <w:vertAlign w:val="superscript"/>
          </w:rPr>
          <w:t>516</w:t>
        </w:r>
      </w:hyperlink>
      <w:r>
        <w:rPr>
          <w:position w:val="1"/>
        </w:rPr>
        <w:t xml:space="preserve"> or what it deemed to</w:t>
      </w:r>
      <w:r>
        <w:rPr>
          <w:spacing w:val="40"/>
          <w:position w:val="1"/>
        </w:rPr>
        <w:t xml:space="preserve"> </w:t>
      </w:r>
      <w:r>
        <w:t>be "the logical consequences" of its methodology, as it ignored its obligation to make adjustments that had not been requested by the same exporters it had "left in the dark".</w:t>
      </w:r>
      <w:r>
        <w:rPr>
          <w:spacing w:val="-23"/>
        </w:rPr>
        <w:t xml:space="preserve"> </w:t>
      </w:r>
      <w:hyperlink w:anchor="_bookmark620" w:history="1">
        <w:r>
          <w:rPr>
            <w:vertAlign w:val="superscript"/>
          </w:rPr>
          <w:t>517</w:t>
        </w:r>
      </w:hyperlink>
    </w:p>
    <w:p w14:paraId="452C1A33" w14:textId="77777777" w:rsidR="00BD462C" w:rsidRDefault="00BD462C">
      <w:pPr>
        <w:pStyle w:val="BodyText"/>
        <w:rPr>
          <w:sz w:val="20"/>
        </w:rPr>
      </w:pPr>
    </w:p>
    <w:p w14:paraId="47F5F71C" w14:textId="77777777" w:rsidR="00BD462C" w:rsidRDefault="00BD462C">
      <w:pPr>
        <w:pStyle w:val="BodyText"/>
        <w:rPr>
          <w:sz w:val="20"/>
        </w:rPr>
      </w:pPr>
    </w:p>
    <w:p w14:paraId="4215CC2E" w14:textId="77777777" w:rsidR="00BD462C" w:rsidRDefault="00BD462C">
      <w:pPr>
        <w:pStyle w:val="BodyText"/>
        <w:rPr>
          <w:sz w:val="20"/>
        </w:rPr>
      </w:pPr>
    </w:p>
    <w:p w14:paraId="5946E6D6" w14:textId="77777777" w:rsidR="00BD462C" w:rsidRDefault="00BD462C">
      <w:pPr>
        <w:pStyle w:val="BodyText"/>
        <w:rPr>
          <w:sz w:val="20"/>
        </w:rPr>
      </w:pPr>
    </w:p>
    <w:p w14:paraId="10128FB0" w14:textId="3C18BF75" w:rsidR="00BD462C" w:rsidRDefault="00D70C7D">
      <w:pPr>
        <w:pStyle w:val="BodyText"/>
        <w:spacing w:before="7"/>
        <w:rPr>
          <w:sz w:val="12"/>
        </w:rPr>
      </w:pPr>
      <w:r>
        <w:rPr>
          <w:noProof/>
        </w:rPr>
        <mc:AlternateContent>
          <mc:Choice Requires="wps">
            <w:drawing>
              <wp:anchor distT="0" distB="0" distL="0" distR="0" simplePos="0" relativeHeight="487731200" behindDoc="1" locked="0" layoutInCell="1" allowOverlap="1" wp14:anchorId="1CE393A7" wp14:editId="7B74A7AE">
                <wp:simplePos x="0" y="0"/>
                <wp:positionH relativeFrom="page">
                  <wp:posOffset>899160</wp:posOffset>
                </wp:positionH>
                <wp:positionV relativeFrom="paragraph">
                  <wp:posOffset>113030</wp:posOffset>
                </wp:positionV>
                <wp:extent cx="1828800" cy="8890"/>
                <wp:effectExtent l="0" t="0" r="0" b="0"/>
                <wp:wrapTopAndBottom/>
                <wp:docPr id="812" name="docshape3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1ACBBD" id="docshape310" o:spid="_x0000_s1026" alt="&quot;&quot;" style="position:absolute;margin-left:70.8pt;margin-top:8.9pt;width:2in;height:.7pt;z-index:-15585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" fillcolor="black" stroked="f">
                <w10:wrap type="topAndBottom" anchorx="page"/>
              </v:rect>
            </w:pict>
          </mc:Fallback>
        </mc:AlternateContent>
      </w:r>
    </w:p>
    <w:p w14:paraId="331F14A7" w14:textId="77777777" w:rsidR="00BD462C" w:rsidRDefault="00033D0F">
      <w:pPr>
        <w:spacing w:before="112"/>
        <w:ind w:left="135"/>
        <w:rPr>
          <w:sz w:val="18"/>
        </w:rPr>
      </w:pPr>
      <w:bookmarkStart w:id="713" w:name="_bookmark612"/>
      <w:bookmarkEnd w:id="713"/>
      <w:r>
        <w:rPr>
          <w:position w:val="5"/>
          <w:sz w:val="12"/>
        </w:rPr>
        <w:t>509</w:t>
      </w:r>
      <w:r>
        <w:rPr>
          <w:spacing w:val="13"/>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 xml:space="preserve">para. </w:t>
      </w:r>
      <w:r>
        <w:rPr>
          <w:spacing w:val="-4"/>
          <w:sz w:val="18"/>
        </w:rPr>
        <w:t>847.</w:t>
      </w:r>
    </w:p>
    <w:p w14:paraId="4A68099C" w14:textId="77777777" w:rsidR="00BD462C" w:rsidRDefault="00033D0F">
      <w:pPr>
        <w:spacing w:before="1"/>
        <w:ind w:left="135"/>
        <w:rPr>
          <w:sz w:val="18"/>
        </w:rPr>
      </w:pPr>
      <w:bookmarkStart w:id="714" w:name="_bookmark613"/>
      <w:bookmarkEnd w:id="714"/>
      <w:r>
        <w:rPr>
          <w:position w:val="5"/>
          <w:sz w:val="12"/>
        </w:rPr>
        <w:t>510</w:t>
      </w:r>
      <w:r>
        <w:rPr>
          <w:spacing w:val="13"/>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 xml:space="preserve">para. </w:t>
      </w:r>
      <w:r>
        <w:rPr>
          <w:spacing w:val="-4"/>
          <w:sz w:val="18"/>
        </w:rPr>
        <w:t>848.</w:t>
      </w:r>
    </w:p>
    <w:p w14:paraId="14456F54" w14:textId="77777777" w:rsidR="00BD462C" w:rsidRDefault="00033D0F">
      <w:pPr>
        <w:spacing w:before="1"/>
        <w:ind w:left="135"/>
        <w:rPr>
          <w:sz w:val="18"/>
        </w:rPr>
      </w:pPr>
      <w:bookmarkStart w:id="715" w:name="_bookmark614"/>
      <w:bookmarkEnd w:id="715"/>
      <w:r>
        <w:rPr>
          <w:position w:val="5"/>
          <w:sz w:val="12"/>
        </w:rPr>
        <w:t>511</w:t>
      </w:r>
      <w:r>
        <w:rPr>
          <w:spacing w:val="16"/>
          <w:position w:val="5"/>
          <w:sz w:val="12"/>
        </w:rPr>
        <w:t xml:space="preserve"> </w:t>
      </w:r>
      <w:r>
        <w:rPr>
          <w:sz w:val="18"/>
        </w:rPr>
        <w:t>See</w:t>
      </w:r>
      <w:r>
        <w:rPr>
          <w:spacing w:val="-3"/>
          <w:sz w:val="18"/>
        </w:rPr>
        <w:t xml:space="preserve"> </w:t>
      </w:r>
      <w:r>
        <w:rPr>
          <w:sz w:val="18"/>
        </w:rPr>
        <w:t>section</w:t>
      </w:r>
      <w:r>
        <w:rPr>
          <w:spacing w:val="-4"/>
          <w:sz w:val="18"/>
        </w:rPr>
        <w:t xml:space="preserve"> </w:t>
      </w:r>
      <w:hyperlink w:anchor="_bookmark105" w:history="1">
        <w:r>
          <w:rPr>
            <w:spacing w:val="-2"/>
            <w:sz w:val="18"/>
          </w:rPr>
          <w:t>II.C.</w:t>
        </w:r>
      </w:hyperlink>
    </w:p>
    <w:p w14:paraId="46CCB232" w14:textId="77777777" w:rsidR="00BD462C" w:rsidRDefault="00033D0F">
      <w:pPr>
        <w:spacing w:before="1" w:line="218" w:lineRule="exact"/>
        <w:ind w:left="135"/>
        <w:rPr>
          <w:sz w:val="18"/>
        </w:rPr>
      </w:pPr>
      <w:bookmarkStart w:id="716" w:name="_bookmark615"/>
      <w:bookmarkEnd w:id="716"/>
      <w:r>
        <w:rPr>
          <w:position w:val="5"/>
          <w:sz w:val="12"/>
        </w:rPr>
        <w:t>512</w:t>
      </w:r>
      <w:r>
        <w:rPr>
          <w:spacing w:val="16"/>
          <w:position w:val="5"/>
          <w:sz w:val="12"/>
        </w:rPr>
        <w:t xml:space="preserve"> </w:t>
      </w:r>
      <w:r>
        <w:rPr>
          <w:sz w:val="18"/>
        </w:rPr>
        <w:t>See</w:t>
      </w:r>
      <w:r>
        <w:rPr>
          <w:spacing w:val="-3"/>
          <w:sz w:val="18"/>
        </w:rPr>
        <w:t xml:space="preserve"> </w:t>
      </w:r>
      <w:r>
        <w:rPr>
          <w:sz w:val="18"/>
        </w:rPr>
        <w:t>section</w:t>
      </w:r>
      <w:r>
        <w:rPr>
          <w:spacing w:val="-4"/>
          <w:sz w:val="18"/>
        </w:rPr>
        <w:t xml:space="preserve"> </w:t>
      </w:r>
      <w:hyperlink w:anchor="_bookmark1525" w:history="1">
        <w:r>
          <w:rPr>
            <w:spacing w:val="-2"/>
            <w:sz w:val="18"/>
          </w:rPr>
          <w:t>VII.G.</w:t>
        </w:r>
      </w:hyperlink>
    </w:p>
    <w:p w14:paraId="35DD0959" w14:textId="77777777" w:rsidR="00BD462C" w:rsidRDefault="00033D0F">
      <w:pPr>
        <w:spacing w:line="218" w:lineRule="exact"/>
        <w:ind w:left="135"/>
        <w:rPr>
          <w:sz w:val="18"/>
        </w:rPr>
      </w:pPr>
      <w:bookmarkStart w:id="717" w:name="_bookmark616"/>
      <w:bookmarkEnd w:id="717"/>
      <w:r>
        <w:rPr>
          <w:position w:val="5"/>
          <w:sz w:val="12"/>
        </w:rPr>
        <w:t>513</w:t>
      </w:r>
      <w:r>
        <w:rPr>
          <w:spacing w:val="17"/>
          <w:position w:val="5"/>
          <w:sz w:val="12"/>
        </w:rPr>
        <w:t xml:space="preserve"> </w:t>
      </w:r>
      <w:r>
        <w:rPr>
          <w:sz w:val="18"/>
        </w:rPr>
        <w:t>See</w:t>
      </w:r>
      <w:r>
        <w:rPr>
          <w:spacing w:val="-2"/>
          <w:sz w:val="18"/>
        </w:rPr>
        <w:t xml:space="preserve"> </w:t>
      </w:r>
      <w:r>
        <w:rPr>
          <w:sz w:val="18"/>
        </w:rPr>
        <w:t xml:space="preserve">para. </w:t>
      </w:r>
      <w:hyperlink w:anchor="_bookmark388" w:history="1">
        <w:r>
          <w:rPr>
            <w:spacing w:val="-4"/>
            <w:sz w:val="18"/>
          </w:rPr>
          <w:t>220.</w:t>
        </w:r>
      </w:hyperlink>
    </w:p>
    <w:p w14:paraId="7BBC655C" w14:textId="77777777" w:rsidR="00BD462C" w:rsidRDefault="00033D0F">
      <w:pPr>
        <w:spacing w:before="1"/>
        <w:ind w:left="135"/>
        <w:rPr>
          <w:sz w:val="18"/>
        </w:rPr>
      </w:pPr>
      <w:bookmarkStart w:id="718" w:name="_bookmark617"/>
      <w:bookmarkEnd w:id="718"/>
      <w:r>
        <w:rPr>
          <w:position w:val="5"/>
          <w:sz w:val="12"/>
        </w:rPr>
        <w:t>514</w:t>
      </w:r>
      <w:r>
        <w:rPr>
          <w:spacing w:val="13"/>
          <w:position w:val="5"/>
          <w:sz w:val="12"/>
        </w:rPr>
        <w:t xml:space="preserve"> </w:t>
      </w:r>
      <w:r>
        <w:rPr>
          <w:sz w:val="18"/>
        </w:rPr>
        <w:t>Panel</w:t>
      </w:r>
      <w:r>
        <w:rPr>
          <w:spacing w:val="-4"/>
          <w:sz w:val="18"/>
        </w:rPr>
        <w:t xml:space="preserve"> </w:t>
      </w:r>
      <w:r>
        <w:rPr>
          <w:sz w:val="18"/>
        </w:rPr>
        <w:t>Report,</w:t>
      </w:r>
      <w:r>
        <w:rPr>
          <w:spacing w:val="-8"/>
          <w:sz w:val="18"/>
        </w:rPr>
        <w:t xml:space="preserve"> </w:t>
      </w:r>
      <w:r>
        <w:rPr>
          <w:i/>
          <w:sz w:val="18"/>
        </w:rPr>
        <w:t>Egypt</w:t>
      </w:r>
      <w:r>
        <w:rPr>
          <w:i/>
          <w:spacing w:val="-1"/>
          <w:sz w:val="18"/>
        </w:rPr>
        <w:t xml:space="preserve"> </w:t>
      </w:r>
      <w:r>
        <w:rPr>
          <w:i/>
          <w:sz w:val="18"/>
        </w:rPr>
        <w:t>–</w:t>
      </w:r>
      <w:r>
        <w:rPr>
          <w:i/>
          <w:spacing w:val="-5"/>
          <w:sz w:val="18"/>
        </w:rPr>
        <w:t xml:space="preserve"> </w:t>
      </w:r>
      <w:r>
        <w:rPr>
          <w:i/>
          <w:sz w:val="18"/>
        </w:rPr>
        <w:t>Steel</w:t>
      </w:r>
      <w:r>
        <w:rPr>
          <w:i/>
          <w:spacing w:val="-5"/>
          <w:sz w:val="18"/>
        </w:rPr>
        <w:t xml:space="preserve"> </w:t>
      </w:r>
      <w:r>
        <w:rPr>
          <w:i/>
          <w:sz w:val="18"/>
        </w:rPr>
        <w:t>Rebar</w:t>
      </w:r>
      <w:r>
        <w:rPr>
          <w:sz w:val="18"/>
        </w:rPr>
        <w:t>,</w:t>
      </w:r>
      <w:r>
        <w:rPr>
          <w:spacing w:val="2"/>
          <w:sz w:val="18"/>
        </w:rPr>
        <w:t xml:space="preserve"> </w:t>
      </w:r>
      <w:r>
        <w:rPr>
          <w:sz w:val="18"/>
        </w:rPr>
        <w:t>para. 7.352.</w:t>
      </w:r>
      <w:r>
        <w:rPr>
          <w:spacing w:val="-4"/>
          <w:sz w:val="18"/>
        </w:rPr>
        <w:t xml:space="preserve"> </w:t>
      </w:r>
      <w:r>
        <w:rPr>
          <w:sz w:val="18"/>
        </w:rPr>
        <w:t>(</w:t>
      </w:r>
      <w:proofErr w:type="gramStart"/>
      <w:r>
        <w:rPr>
          <w:sz w:val="18"/>
        </w:rPr>
        <w:t>emphasis</w:t>
      </w:r>
      <w:proofErr w:type="gramEnd"/>
      <w:r>
        <w:rPr>
          <w:spacing w:val="-1"/>
          <w:sz w:val="18"/>
        </w:rPr>
        <w:t xml:space="preserve"> </w:t>
      </w:r>
      <w:r>
        <w:rPr>
          <w:spacing w:val="-2"/>
          <w:sz w:val="18"/>
        </w:rPr>
        <w:t>added)</w:t>
      </w:r>
    </w:p>
    <w:p w14:paraId="058965F3" w14:textId="77777777" w:rsidR="00BD462C" w:rsidRDefault="00033D0F">
      <w:pPr>
        <w:spacing w:before="1"/>
        <w:ind w:left="135"/>
        <w:rPr>
          <w:sz w:val="18"/>
        </w:rPr>
      </w:pPr>
      <w:bookmarkStart w:id="719" w:name="_bookmark618"/>
      <w:bookmarkEnd w:id="719"/>
      <w:r>
        <w:rPr>
          <w:position w:val="5"/>
          <w:sz w:val="12"/>
        </w:rPr>
        <w:t>515</w:t>
      </w:r>
      <w:r>
        <w:rPr>
          <w:spacing w:val="15"/>
          <w:position w:val="5"/>
          <w:sz w:val="12"/>
        </w:rPr>
        <w:t xml:space="preserve"> </w:t>
      </w:r>
      <w:r>
        <w:rPr>
          <w:sz w:val="18"/>
        </w:rPr>
        <w:t>Paras.</w:t>
      </w:r>
      <w:r>
        <w:rPr>
          <w:spacing w:val="-3"/>
          <w:sz w:val="18"/>
        </w:rPr>
        <w:t xml:space="preserve"> </w:t>
      </w:r>
      <w:hyperlink w:anchor="_bookmark398" w:history="1">
        <w:r>
          <w:rPr>
            <w:sz w:val="18"/>
          </w:rPr>
          <w:t>222</w:t>
        </w:r>
      </w:hyperlink>
      <w:hyperlink w:anchor="_bookmark399" w:history="1">
        <w:r>
          <w:rPr>
            <w:sz w:val="18"/>
          </w:rPr>
          <w:t>-</w:t>
        </w:r>
        <w:r>
          <w:rPr>
            <w:spacing w:val="-4"/>
            <w:sz w:val="18"/>
          </w:rPr>
          <w:t>223.</w:t>
        </w:r>
      </w:hyperlink>
    </w:p>
    <w:p w14:paraId="0318C192" w14:textId="77777777" w:rsidR="00BD462C" w:rsidRDefault="00033D0F">
      <w:pPr>
        <w:spacing w:before="1"/>
        <w:ind w:left="135"/>
        <w:rPr>
          <w:sz w:val="18"/>
        </w:rPr>
      </w:pPr>
      <w:bookmarkStart w:id="720" w:name="_bookmark619"/>
      <w:bookmarkEnd w:id="720"/>
      <w:r>
        <w:rPr>
          <w:position w:val="5"/>
          <w:sz w:val="12"/>
        </w:rPr>
        <w:t>516</w:t>
      </w:r>
      <w:r>
        <w:rPr>
          <w:spacing w:val="15"/>
          <w:position w:val="5"/>
          <w:sz w:val="12"/>
        </w:rPr>
        <w:t xml:space="preserve"> </w:t>
      </w:r>
      <w:r>
        <w:rPr>
          <w:sz w:val="18"/>
        </w:rPr>
        <w:t>Panel</w:t>
      </w:r>
      <w:r>
        <w:rPr>
          <w:spacing w:val="-3"/>
          <w:sz w:val="18"/>
        </w:rPr>
        <w:t xml:space="preserve"> </w:t>
      </w:r>
      <w:r>
        <w:rPr>
          <w:sz w:val="18"/>
        </w:rPr>
        <w:t>Report,</w:t>
      </w:r>
      <w:r>
        <w:rPr>
          <w:spacing w:val="-6"/>
          <w:sz w:val="18"/>
        </w:rPr>
        <w:t xml:space="preserve"> </w:t>
      </w:r>
      <w:r>
        <w:rPr>
          <w:i/>
          <w:sz w:val="18"/>
        </w:rPr>
        <w:t>Egypt</w:t>
      </w:r>
      <w:r>
        <w:rPr>
          <w:i/>
          <w:spacing w:val="2"/>
          <w:sz w:val="18"/>
        </w:rPr>
        <w:t xml:space="preserve"> </w:t>
      </w:r>
      <w:r>
        <w:rPr>
          <w:i/>
          <w:sz w:val="18"/>
        </w:rPr>
        <w:t>–</w:t>
      </w:r>
      <w:r>
        <w:rPr>
          <w:i/>
          <w:spacing w:val="-4"/>
          <w:sz w:val="18"/>
        </w:rPr>
        <w:t xml:space="preserve"> </w:t>
      </w:r>
      <w:r>
        <w:rPr>
          <w:i/>
          <w:sz w:val="18"/>
        </w:rPr>
        <w:t>Steel</w:t>
      </w:r>
      <w:r>
        <w:rPr>
          <w:i/>
          <w:spacing w:val="-2"/>
          <w:sz w:val="18"/>
        </w:rPr>
        <w:t xml:space="preserve"> </w:t>
      </w:r>
      <w:r>
        <w:rPr>
          <w:i/>
          <w:sz w:val="18"/>
        </w:rPr>
        <w:t>Rebar</w:t>
      </w:r>
      <w:r>
        <w:rPr>
          <w:sz w:val="18"/>
        </w:rPr>
        <w:t>,</w:t>
      </w:r>
      <w:r>
        <w:rPr>
          <w:spacing w:val="3"/>
          <w:sz w:val="18"/>
        </w:rPr>
        <w:t xml:space="preserve"> </w:t>
      </w:r>
      <w:r>
        <w:rPr>
          <w:sz w:val="18"/>
        </w:rPr>
        <w:t>para</w:t>
      </w:r>
      <w:r>
        <w:rPr>
          <w:spacing w:val="-5"/>
          <w:sz w:val="18"/>
        </w:rPr>
        <w:t xml:space="preserve"> </w:t>
      </w:r>
      <w:r>
        <w:rPr>
          <w:spacing w:val="-2"/>
          <w:sz w:val="18"/>
        </w:rPr>
        <w:t>7.352.</w:t>
      </w:r>
    </w:p>
    <w:p w14:paraId="67C6AA8B" w14:textId="77777777" w:rsidR="00BD462C" w:rsidRDefault="00033D0F">
      <w:pPr>
        <w:spacing w:before="1"/>
        <w:ind w:left="135"/>
        <w:rPr>
          <w:sz w:val="18"/>
        </w:rPr>
      </w:pPr>
      <w:bookmarkStart w:id="721" w:name="_bookmark620"/>
      <w:bookmarkEnd w:id="721"/>
      <w:r>
        <w:rPr>
          <w:position w:val="5"/>
          <w:sz w:val="12"/>
        </w:rPr>
        <w:t>517</w:t>
      </w:r>
      <w:r>
        <w:rPr>
          <w:spacing w:val="12"/>
          <w:position w:val="5"/>
          <w:sz w:val="12"/>
        </w:rPr>
        <w:t xml:space="preserve"> </w:t>
      </w:r>
      <w:r>
        <w:rPr>
          <w:sz w:val="18"/>
        </w:rPr>
        <w:t>China's</w:t>
      </w:r>
      <w:r>
        <w:rPr>
          <w:spacing w:val="-6"/>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 paras.</w:t>
      </w:r>
      <w:r>
        <w:rPr>
          <w:spacing w:val="-5"/>
          <w:sz w:val="18"/>
        </w:rPr>
        <w:t xml:space="preserve"> </w:t>
      </w:r>
      <w:r>
        <w:rPr>
          <w:sz w:val="18"/>
        </w:rPr>
        <w:t>817-</w:t>
      </w:r>
      <w:r>
        <w:rPr>
          <w:spacing w:val="-4"/>
          <w:sz w:val="18"/>
        </w:rPr>
        <w:t>820.</w:t>
      </w:r>
    </w:p>
    <w:p w14:paraId="4B8992A7" w14:textId="77777777" w:rsidR="00BD462C" w:rsidRDefault="00BD462C">
      <w:pPr>
        <w:rPr>
          <w:sz w:val="18"/>
        </w:rPr>
        <w:sectPr w:rsidR="00BD462C">
          <w:pgSz w:w="11910" w:h="16840"/>
          <w:pgMar w:top="860" w:right="500" w:bottom="780" w:left="1280" w:header="566" w:footer="590" w:gutter="0"/>
          <w:cols w:space="720"/>
        </w:sectPr>
      </w:pPr>
    </w:p>
    <w:p w14:paraId="77CC00AF" w14:textId="77777777" w:rsidR="00BD462C" w:rsidRDefault="00033D0F">
      <w:pPr>
        <w:tabs>
          <w:tab w:val="left" w:pos="6087"/>
        </w:tabs>
        <w:spacing w:before="1"/>
        <w:ind w:left="135"/>
        <w:jc w:val="both"/>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6843289E" w14:textId="77777777" w:rsidR="00BD462C" w:rsidRDefault="00033D0F">
      <w:pPr>
        <w:spacing w:before="1"/>
        <w:ind w:left="135"/>
        <w:jc w:val="both"/>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737A16BA" w14:textId="77777777" w:rsidR="00BD462C" w:rsidRDefault="00033D0F">
      <w:pPr>
        <w:tabs>
          <w:tab w:val="left" w:pos="7652"/>
        </w:tabs>
        <w:ind w:left="135"/>
        <w:jc w:val="both"/>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2DC6DBE7" w14:textId="5E4C9F51" w:rsidR="00BD462C" w:rsidRDefault="00033D0F" w:rsidP="00185AF5">
      <w:pPr>
        <w:pStyle w:val="BodyText"/>
        <w:numPr>
          <w:ilvl w:val="0"/>
          <w:numId w:val="77"/>
        </w:numPr>
        <w:spacing w:before="107" w:line="357" w:lineRule="auto"/>
        <w:ind w:right="916"/>
        <w:jc w:val="both"/>
      </w:pPr>
      <w:r>
        <w:rPr>
          <w:position w:val="1"/>
        </w:rPr>
        <w:t xml:space="preserve">An unbiased and objective investigating authority would have sought to correct </w:t>
      </w:r>
      <w:r>
        <w:t>perceived deficiencies of information by engaging with the exporter and participating in a dialogue to understand the effect of this data on its comparison under Article 2.4.</w:t>
      </w:r>
    </w:p>
    <w:p w14:paraId="40EEE9FC" w14:textId="77777777" w:rsidR="00BD462C" w:rsidRDefault="00BD462C">
      <w:pPr>
        <w:pStyle w:val="BodyText"/>
        <w:spacing w:before="3"/>
        <w:rPr>
          <w:sz w:val="9"/>
        </w:rPr>
      </w:pPr>
    </w:p>
    <w:p w14:paraId="289343D0" w14:textId="75CE0953" w:rsidR="00BD462C" w:rsidRDefault="00033D0F" w:rsidP="00185AF5">
      <w:pPr>
        <w:pStyle w:val="BodyText"/>
        <w:numPr>
          <w:ilvl w:val="0"/>
          <w:numId w:val="77"/>
        </w:numPr>
        <w:spacing w:before="56" w:line="357" w:lineRule="auto"/>
        <w:ind w:right="913"/>
        <w:jc w:val="both"/>
      </w:pPr>
      <w:r>
        <w:rPr>
          <w:position w:val="1"/>
        </w:rPr>
        <w:t>For the foregoing reasons, and those set out in Australia's prior submissions,</w:t>
      </w:r>
      <w:r>
        <w:rPr>
          <w:spacing w:val="80"/>
          <w:position w:val="1"/>
        </w:rPr>
        <w:t xml:space="preserve"> </w:t>
      </w:r>
      <w:r>
        <w:t>MOFCOM acted inconsistently with Article 2.4, including the first, second, third and sixth sentences of the provision, with respect to Swan Vintage.</w:t>
      </w:r>
    </w:p>
    <w:p w14:paraId="349D3F2E" w14:textId="77777777" w:rsidR="00BD462C" w:rsidRDefault="00033D0F" w:rsidP="00DA02D9">
      <w:pPr>
        <w:pStyle w:val="ListParagraph"/>
        <w:numPr>
          <w:ilvl w:val="1"/>
          <w:numId w:val="72"/>
        </w:numPr>
        <w:tabs>
          <w:tab w:val="left" w:pos="1839"/>
          <w:tab w:val="left" w:pos="1840"/>
        </w:tabs>
        <w:spacing w:before="164"/>
        <w:ind w:left="1840"/>
        <w:rPr>
          <w:b/>
        </w:rPr>
      </w:pPr>
      <w:bookmarkStart w:id="722" w:name="G._Other_named_Australian_exporters"/>
      <w:bookmarkStart w:id="723" w:name="_bookmark621"/>
      <w:bookmarkEnd w:id="722"/>
      <w:bookmarkEnd w:id="723"/>
      <w:r>
        <w:rPr>
          <w:b/>
          <w:sz w:val="28"/>
        </w:rPr>
        <w:t>O</w:t>
      </w:r>
      <w:r>
        <w:rPr>
          <w:b/>
        </w:rPr>
        <w:t>THER</w:t>
      </w:r>
      <w:r>
        <w:rPr>
          <w:b/>
          <w:spacing w:val="-9"/>
        </w:rPr>
        <w:t xml:space="preserve"> </w:t>
      </w:r>
      <w:r>
        <w:rPr>
          <w:b/>
        </w:rPr>
        <w:t>NAMED</w:t>
      </w:r>
      <w:r>
        <w:rPr>
          <w:b/>
          <w:spacing w:val="-4"/>
        </w:rPr>
        <w:t xml:space="preserve"> </w:t>
      </w:r>
      <w:r>
        <w:rPr>
          <w:b/>
          <w:sz w:val="28"/>
        </w:rPr>
        <w:t>A</w:t>
      </w:r>
      <w:r>
        <w:rPr>
          <w:b/>
        </w:rPr>
        <w:t>USTRALIAN</w:t>
      </w:r>
      <w:r>
        <w:rPr>
          <w:b/>
          <w:spacing w:val="-10"/>
        </w:rPr>
        <w:t xml:space="preserve"> </w:t>
      </w:r>
      <w:r>
        <w:rPr>
          <w:b/>
          <w:spacing w:val="-2"/>
        </w:rPr>
        <w:t>EXPORTERS</w:t>
      </w:r>
    </w:p>
    <w:p w14:paraId="0F8D9F88" w14:textId="77777777" w:rsidR="00BD462C" w:rsidRDefault="00BD462C">
      <w:pPr>
        <w:pStyle w:val="BodyText"/>
        <w:spacing w:before="10"/>
        <w:rPr>
          <w:b/>
          <w:sz w:val="22"/>
        </w:rPr>
      </w:pPr>
    </w:p>
    <w:p w14:paraId="472DD363" w14:textId="0F32E8C8" w:rsidR="00BD462C" w:rsidRDefault="00033D0F" w:rsidP="00185AF5">
      <w:pPr>
        <w:pStyle w:val="BodyText"/>
        <w:numPr>
          <w:ilvl w:val="0"/>
          <w:numId w:val="77"/>
        </w:numPr>
        <w:spacing w:before="56" w:line="357" w:lineRule="auto"/>
        <w:ind w:right="915"/>
        <w:jc w:val="both"/>
      </w:pPr>
      <w:r>
        <w:rPr>
          <w:position w:val="1"/>
        </w:rPr>
        <w:t>Australia</w:t>
      </w:r>
      <w:r>
        <w:rPr>
          <w:spacing w:val="-8"/>
          <w:position w:val="1"/>
        </w:rPr>
        <w:t xml:space="preserve"> </w:t>
      </w:r>
      <w:r>
        <w:rPr>
          <w:position w:val="1"/>
        </w:rPr>
        <w:t>explained</w:t>
      </w:r>
      <w:r>
        <w:rPr>
          <w:spacing w:val="-9"/>
          <w:position w:val="1"/>
        </w:rPr>
        <w:t xml:space="preserve"> </w:t>
      </w:r>
      <w:r>
        <w:rPr>
          <w:position w:val="1"/>
        </w:rPr>
        <w:t>in</w:t>
      </w:r>
      <w:r>
        <w:rPr>
          <w:spacing w:val="-9"/>
          <w:position w:val="1"/>
        </w:rPr>
        <w:t xml:space="preserve"> </w:t>
      </w:r>
      <w:r>
        <w:rPr>
          <w:position w:val="1"/>
        </w:rPr>
        <w:t>its</w:t>
      </w:r>
      <w:r>
        <w:rPr>
          <w:spacing w:val="-6"/>
          <w:position w:val="1"/>
        </w:rPr>
        <w:t xml:space="preserve"> </w:t>
      </w:r>
      <w:r>
        <w:rPr>
          <w:position w:val="1"/>
        </w:rPr>
        <w:t>first</w:t>
      </w:r>
      <w:r>
        <w:rPr>
          <w:spacing w:val="-11"/>
          <w:position w:val="1"/>
        </w:rPr>
        <w:t xml:space="preserve"> </w:t>
      </w:r>
      <w:r>
        <w:rPr>
          <w:position w:val="1"/>
        </w:rPr>
        <w:t>written</w:t>
      </w:r>
      <w:r>
        <w:rPr>
          <w:spacing w:val="-14"/>
          <w:position w:val="1"/>
        </w:rPr>
        <w:t xml:space="preserve"> </w:t>
      </w:r>
      <w:r>
        <w:rPr>
          <w:position w:val="1"/>
        </w:rPr>
        <w:t>submission</w:t>
      </w:r>
      <w:r>
        <w:rPr>
          <w:spacing w:val="-9"/>
          <w:position w:val="1"/>
        </w:rPr>
        <w:t xml:space="preserve"> </w:t>
      </w:r>
      <w:r>
        <w:rPr>
          <w:position w:val="1"/>
        </w:rPr>
        <w:t>that</w:t>
      </w:r>
      <w:r>
        <w:rPr>
          <w:spacing w:val="-7"/>
          <w:position w:val="1"/>
        </w:rPr>
        <w:t xml:space="preserve"> </w:t>
      </w:r>
      <w:r>
        <w:rPr>
          <w:position w:val="1"/>
        </w:rPr>
        <w:t>MOFCOM</w:t>
      </w:r>
      <w:r>
        <w:rPr>
          <w:spacing w:val="-7"/>
          <w:position w:val="1"/>
        </w:rPr>
        <w:t xml:space="preserve"> </w:t>
      </w:r>
      <w:r>
        <w:rPr>
          <w:position w:val="1"/>
        </w:rPr>
        <w:t>identified</w:t>
      </w:r>
      <w:r>
        <w:rPr>
          <w:spacing w:val="-8"/>
          <w:position w:val="1"/>
        </w:rPr>
        <w:t xml:space="preserve"> </w:t>
      </w:r>
      <w:r>
        <w:rPr>
          <w:position w:val="1"/>
        </w:rPr>
        <w:t>a</w:t>
      </w:r>
      <w:r>
        <w:rPr>
          <w:spacing w:val="-8"/>
          <w:position w:val="1"/>
        </w:rPr>
        <w:t xml:space="preserve"> </w:t>
      </w:r>
      <w:r>
        <w:rPr>
          <w:position w:val="1"/>
        </w:rPr>
        <w:t xml:space="preserve">dumping </w:t>
      </w:r>
      <w:r>
        <w:t>margin</w:t>
      </w:r>
      <w:r>
        <w:rPr>
          <w:spacing w:val="-14"/>
        </w:rPr>
        <w:t xml:space="preserve"> </w:t>
      </w:r>
      <w:r>
        <w:t>of</w:t>
      </w:r>
      <w:r>
        <w:rPr>
          <w:spacing w:val="-14"/>
        </w:rPr>
        <w:t xml:space="preserve"> </w:t>
      </w:r>
      <w:r>
        <w:t>167.1%</w:t>
      </w:r>
      <w:r>
        <w:rPr>
          <w:spacing w:val="-13"/>
        </w:rPr>
        <w:t xml:space="preserve"> </w:t>
      </w:r>
      <w:r>
        <w:t>for</w:t>
      </w:r>
      <w:r>
        <w:rPr>
          <w:spacing w:val="-14"/>
        </w:rPr>
        <w:t xml:space="preserve"> </w:t>
      </w:r>
      <w:r>
        <w:t>"Other</w:t>
      </w:r>
      <w:r>
        <w:rPr>
          <w:spacing w:val="-5"/>
        </w:rPr>
        <w:t xml:space="preserve"> </w:t>
      </w:r>
      <w:r>
        <w:t>names</w:t>
      </w:r>
      <w:r>
        <w:rPr>
          <w:spacing w:val="-7"/>
        </w:rPr>
        <w:t xml:space="preserve"> </w:t>
      </w:r>
      <w:r>
        <w:t>Australian</w:t>
      </w:r>
      <w:r>
        <w:rPr>
          <w:spacing w:val="-9"/>
        </w:rPr>
        <w:t xml:space="preserve"> </w:t>
      </w:r>
      <w:r>
        <w:t>exporters",</w:t>
      </w:r>
      <w:r>
        <w:rPr>
          <w:spacing w:val="-14"/>
        </w:rPr>
        <w:t xml:space="preserve"> </w:t>
      </w:r>
      <w:hyperlink w:anchor="_bookmark623" w:history="1">
        <w:r>
          <w:rPr>
            <w:vertAlign w:val="superscript"/>
          </w:rPr>
          <w:t>518</w:t>
        </w:r>
      </w:hyperlink>
      <w:r>
        <w:rPr>
          <w:spacing w:val="-6"/>
        </w:rPr>
        <w:t xml:space="preserve"> </w:t>
      </w:r>
      <w:r>
        <w:t>"based</w:t>
      </w:r>
      <w:r>
        <w:rPr>
          <w:spacing w:val="-9"/>
        </w:rPr>
        <w:t xml:space="preserve"> </w:t>
      </w:r>
      <w:r>
        <w:t>on</w:t>
      </w:r>
      <w:r>
        <w:rPr>
          <w:spacing w:val="-9"/>
        </w:rPr>
        <w:t xml:space="preserve"> </w:t>
      </w:r>
      <w:r>
        <w:t>the</w:t>
      </w:r>
      <w:r>
        <w:rPr>
          <w:spacing w:val="-7"/>
        </w:rPr>
        <w:t xml:space="preserve"> </w:t>
      </w:r>
      <w:r>
        <w:t>weighted</w:t>
      </w:r>
      <w:r>
        <w:rPr>
          <w:spacing w:val="-9"/>
        </w:rPr>
        <w:t xml:space="preserve"> </w:t>
      </w:r>
      <w:r>
        <w:t>average margin</w:t>
      </w:r>
      <w:r>
        <w:rPr>
          <w:spacing w:val="-14"/>
        </w:rPr>
        <w:t xml:space="preserve"> </w:t>
      </w:r>
      <w:r>
        <w:t>of</w:t>
      </w:r>
      <w:r>
        <w:rPr>
          <w:spacing w:val="-14"/>
        </w:rPr>
        <w:t xml:space="preserve"> </w:t>
      </w:r>
      <w:r>
        <w:t>the</w:t>
      </w:r>
      <w:r>
        <w:rPr>
          <w:spacing w:val="-9"/>
        </w:rPr>
        <w:t xml:space="preserve"> </w:t>
      </w:r>
      <w:r>
        <w:t>selected</w:t>
      </w:r>
      <w:r>
        <w:rPr>
          <w:spacing w:val="-6"/>
        </w:rPr>
        <w:t xml:space="preserve"> </w:t>
      </w:r>
      <w:r>
        <w:t>exporters</w:t>
      </w:r>
      <w:r>
        <w:rPr>
          <w:spacing w:val="-4"/>
        </w:rPr>
        <w:t xml:space="preserve"> </w:t>
      </w:r>
      <w:r>
        <w:t>and</w:t>
      </w:r>
      <w:r>
        <w:rPr>
          <w:spacing w:val="-6"/>
        </w:rPr>
        <w:t xml:space="preserve"> </w:t>
      </w:r>
      <w:r>
        <w:t>producers",</w:t>
      </w:r>
      <w:r>
        <w:rPr>
          <w:spacing w:val="-14"/>
        </w:rPr>
        <w:t xml:space="preserve"> </w:t>
      </w:r>
      <w:hyperlink w:anchor="_bookmark624" w:history="1">
        <w:r>
          <w:rPr>
            <w:vertAlign w:val="superscript"/>
          </w:rPr>
          <w:t>519</w:t>
        </w:r>
      </w:hyperlink>
      <w:r>
        <w:rPr>
          <w:spacing w:val="-4"/>
        </w:rPr>
        <w:t xml:space="preserve"> </w:t>
      </w:r>
      <w:r>
        <w:t>without</w:t>
      </w:r>
      <w:r>
        <w:rPr>
          <w:spacing w:val="-5"/>
        </w:rPr>
        <w:t xml:space="preserve"> </w:t>
      </w:r>
      <w:r>
        <w:t>providing</w:t>
      </w:r>
      <w:r>
        <w:rPr>
          <w:spacing w:val="-4"/>
        </w:rPr>
        <w:t xml:space="preserve"> </w:t>
      </w:r>
      <w:r>
        <w:t>any</w:t>
      </w:r>
      <w:r>
        <w:rPr>
          <w:spacing w:val="-4"/>
        </w:rPr>
        <w:t xml:space="preserve"> </w:t>
      </w:r>
      <w:r>
        <w:t>explanation</w:t>
      </w:r>
      <w:r>
        <w:rPr>
          <w:spacing w:val="-6"/>
        </w:rPr>
        <w:t xml:space="preserve"> </w:t>
      </w:r>
      <w:r>
        <w:t>about the weighting or weightings used.</w:t>
      </w:r>
    </w:p>
    <w:p w14:paraId="44135288" w14:textId="77777777" w:rsidR="00BD462C" w:rsidRDefault="00BD462C">
      <w:pPr>
        <w:pStyle w:val="BodyText"/>
        <w:spacing w:before="3"/>
        <w:rPr>
          <w:sz w:val="9"/>
        </w:rPr>
      </w:pPr>
    </w:p>
    <w:p w14:paraId="345215E1" w14:textId="26389604" w:rsidR="00BD462C" w:rsidRDefault="00033D0F" w:rsidP="00185AF5">
      <w:pPr>
        <w:pStyle w:val="BodyText"/>
        <w:numPr>
          <w:ilvl w:val="0"/>
          <w:numId w:val="77"/>
        </w:numPr>
        <w:spacing w:before="56" w:line="360" w:lineRule="auto"/>
        <w:ind w:right="914"/>
        <w:jc w:val="both"/>
      </w:pPr>
      <w:r>
        <w:rPr>
          <w:position w:val="1"/>
        </w:rPr>
        <w:t>China</w:t>
      </w:r>
      <w:r>
        <w:rPr>
          <w:spacing w:val="-8"/>
          <w:position w:val="1"/>
        </w:rPr>
        <w:t xml:space="preserve"> </w:t>
      </w:r>
      <w:r>
        <w:rPr>
          <w:position w:val="1"/>
        </w:rPr>
        <w:t>has</w:t>
      </w:r>
      <w:r>
        <w:rPr>
          <w:spacing w:val="-6"/>
          <w:position w:val="1"/>
        </w:rPr>
        <w:t xml:space="preserve"> </w:t>
      </w:r>
      <w:r>
        <w:rPr>
          <w:position w:val="1"/>
        </w:rPr>
        <w:t>still</w:t>
      </w:r>
      <w:r>
        <w:rPr>
          <w:spacing w:val="-5"/>
          <w:position w:val="1"/>
        </w:rPr>
        <w:t xml:space="preserve"> </w:t>
      </w:r>
      <w:r>
        <w:rPr>
          <w:position w:val="1"/>
        </w:rPr>
        <w:t>not</w:t>
      </w:r>
      <w:r>
        <w:rPr>
          <w:spacing w:val="-7"/>
          <w:position w:val="1"/>
        </w:rPr>
        <w:t xml:space="preserve"> </w:t>
      </w:r>
      <w:r>
        <w:rPr>
          <w:position w:val="1"/>
        </w:rPr>
        <w:t>identified</w:t>
      </w:r>
      <w:r>
        <w:rPr>
          <w:spacing w:val="-9"/>
          <w:position w:val="1"/>
        </w:rPr>
        <w:t xml:space="preserve"> </w:t>
      </w:r>
      <w:r>
        <w:rPr>
          <w:position w:val="1"/>
        </w:rPr>
        <w:t>the</w:t>
      </w:r>
      <w:r>
        <w:rPr>
          <w:spacing w:val="-7"/>
          <w:position w:val="1"/>
        </w:rPr>
        <w:t xml:space="preserve"> </w:t>
      </w:r>
      <w:r>
        <w:rPr>
          <w:position w:val="1"/>
        </w:rPr>
        <w:t>weighting</w:t>
      </w:r>
      <w:r>
        <w:rPr>
          <w:spacing w:val="-6"/>
          <w:position w:val="1"/>
        </w:rPr>
        <w:t xml:space="preserve"> </w:t>
      </w:r>
      <w:r>
        <w:rPr>
          <w:position w:val="1"/>
        </w:rPr>
        <w:t>or</w:t>
      </w:r>
      <w:r>
        <w:rPr>
          <w:spacing w:val="-10"/>
          <w:position w:val="1"/>
        </w:rPr>
        <w:t xml:space="preserve"> </w:t>
      </w:r>
      <w:r>
        <w:rPr>
          <w:position w:val="1"/>
        </w:rPr>
        <w:t>weightings</w:t>
      </w:r>
      <w:r>
        <w:rPr>
          <w:spacing w:val="-6"/>
          <w:position w:val="1"/>
        </w:rPr>
        <w:t xml:space="preserve"> </w:t>
      </w:r>
      <w:r>
        <w:rPr>
          <w:position w:val="1"/>
        </w:rPr>
        <w:t>used,</w:t>
      </w:r>
      <w:r>
        <w:rPr>
          <w:spacing w:val="-5"/>
          <w:position w:val="1"/>
        </w:rPr>
        <w:t xml:space="preserve"> </w:t>
      </w:r>
      <w:r>
        <w:rPr>
          <w:position w:val="1"/>
        </w:rPr>
        <w:t>nor</w:t>
      </w:r>
      <w:r>
        <w:rPr>
          <w:spacing w:val="-10"/>
          <w:position w:val="1"/>
        </w:rPr>
        <w:t xml:space="preserve"> </w:t>
      </w:r>
      <w:r>
        <w:rPr>
          <w:position w:val="1"/>
        </w:rPr>
        <w:t>the</w:t>
      </w:r>
      <w:r>
        <w:rPr>
          <w:spacing w:val="-7"/>
          <w:position w:val="1"/>
        </w:rPr>
        <w:t xml:space="preserve"> </w:t>
      </w:r>
      <w:r>
        <w:rPr>
          <w:position w:val="1"/>
        </w:rPr>
        <w:t>precise</w:t>
      </w:r>
      <w:r>
        <w:rPr>
          <w:spacing w:val="-7"/>
          <w:position w:val="1"/>
        </w:rPr>
        <w:t xml:space="preserve"> </w:t>
      </w:r>
      <w:r>
        <w:rPr>
          <w:position w:val="1"/>
        </w:rPr>
        <w:t xml:space="preserve">source </w:t>
      </w:r>
      <w:r>
        <w:t>of the data used to arrive at the identified dumping margin. China has also not challenged Australia's submission that the deficiencies</w:t>
      </w:r>
      <w:r>
        <w:rPr>
          <w:spacing w:val="-1"/>
        </w:rPr>
        <w:t xml:space="preserve"> </w:t>
      </w:r>
      <w:r>
        <w:t>in MOFCOM's determination of the normal value and</w:t>
      </w:r>
      <w:r>
        <w:rPr>
          <w:spacing w:val="-11"/>
        </w:rPr>
        <w:t xml:space="preserve"> </w:t>
      </w:r>
      <w:r>
        <w:t>margins</w:t>
      </w:r>
      <w:r>
        <w:rPr>
          <w:spacing w:val="-8"/>
        </w:rPr>
        <w:t xml:space="preserve"> </w:t>
      </w:r>
      <w:r>
        <w:t>of</w:t>
      </w:r>
      <w:r>
        <w:rPr>
          <w:spacing w:val="-11"/>
        </w:rPr>
        <w:t xml:space="preserve"> </w:t>
      </w:r>
      <w:r>
        <w:t>dumping</w:t>
      </w:r>
      <w:r>
        <w:rPr>
          <w:spacing w:val="-8"/>
        </w:rPr>
        <w:t xml:space="preserve"> </w:t>
      </w:r>
      <w:r>
        <w:t>for</w:t>
      </w:r>
      <w:r>
        <w:rPr>
          <w:spacing w:val="-12"/>
        </w:rPr>
        <w:t xml:space="preserve"> </w:t>
      </w:r>
      <w:r>
        <w:t>the</w:t>
      </w:r>
      <w:r>
        <w:rPr>
          <w:spacing w:val="-9"/>
        </w:rPr>
        <w:t xml:space="preserve"> </w:t>
      </w:r>
      <w:r>
        <w:t>sampled</w:t>
      </w:r>
      <w:r>
        <w:rPr>
          <w:spacing w:val="-11"/>
        </w:rPr>
        <w:t xml:space="preserve"> </w:t>
      </w:r>
      <w:r>
        <w:t>companies</w:t>
      </w:r>
      <w:r>
        <w:rPr>
          <w:spacing w:val="-8"/>
        </w:rPr>
        <w:t xml:space="preserve"> </w:t>
      </w:r>
      <w:r>
        <w:t>set</w:t>
      </w:r>
      <w:r>
        <w:rPr>
          <w:spacing w:val="-9"/>
        </w:rPr>
        <w:t xml:space="preserve"> </w:t>
      </w:r>
      <w:r>
        <w:t>out</w:t>
      </w:r>
      <w:r>
        <w:rPr>
          <w:spacing w:val="-9"/>
        </w:rPr>
        <w:t xml:space="preserve"> </w:t>
      </w:r>
      <w:r>
        <w:t>above</w:t>
      </w:r>
      <w:r>
        <w:rPr>
          <w:spacing w:val="-9"/>
        </w:rPr>
        <w:t xml:space="preserve"> </w:t>
      </w:r>
      <w:r>
        <w:t>also,</w:t>
      </w:r>
      <w:r>
        <w:rPr>
          <w:spacing w:val="-12"/>
        </w:rPr>
        <w:t xml:space="preserve"> </w:t>
      </w:r>
      <w:r>
        <w:t>inevitably,</w:t>
      </w:r>
      <w:r>
        <w:rPr>
          <w:spacing w:val="-7"/>
        </w:rPr>
        <w:t xml:space="preserve"> </w:t>
      </w:r>
      <w:r>
        <w:t>undermine its determination of the margin for these producers. Australia takes this as a concession that any errors identified in relation to the sampled exporters will necessarily apply to the identification of margins for the "Other named Australian exporters".</w:t>
      </w:r>
    </w:p>
    <w:p w14:paraId="4C1E36D9" w14:textId="77777777" w:rsidR="00BD462C" w:rsidRDefault="00033D0F" w:rsidP="00DA02D9">
      <w:pPr>
        <w:pStyle w:val="ListParagraph"/>
        <w:numPr>
          <w:ilvl w:val="1"/>
          <w:numId w:val="72"/>
        </w:numPr>
        <w:tabs>
          <w:tab w:val="left" w:pos="1839"/>
          <w:tab w:val="left" w:pos="1840"/>
        </w:tabs>
        <w:spacing w:before="155"/>
        <w:ind w:left="1840"/>
        <w:rPr>
          <w:b/>
        </w:rPr>
      </w:pPr>
      <w:bookmarkStart w:id="724" w:name="H._All_others"/>
      <w:bookmarkStart w:id="725" w:name="_bookmark622"/>
      <w:bookmarkEnd w:id="724"/>
      <w:bookmarkEnd w:id="725"/>
      <w:r>
        <w:rPr>
          <w:b/>
          <w:sz w:val="28"/>
        </w:rPr>
        <w:t>A</w:t>
      </w:r>
      <w:r>
        <w:rPr>
          <w:b/>
        </w:rPr>
        <w:t>LL</w:t>
      </w:r>
      <w:r>
        <w:rPr>
          <w:b/>
          <w:spacing w:val="-10"/>
        </w:rPr>
        <w:t xml:space="preserve"> </w:t>
      </w:r>
      <w:r>
        <w:rPr>
          <w:b/>
          <w:spacing w:val="-2"/>
        </w:rPr>
        <w:t>OTHERS</w:t>
      </w:r>
    </w:p>
    <w:p w14:paraId="3E2B0211" w14:textId="77777777" w:rsidR="00BD462C" w:rsidRDefault="00BD462C">
      <w:pPr>
        <w:pStyle w:val="BodyText"/>
        <w:spacing w:before="3"/>
        <w:rPr>
          <w:b/>
          <w:sz w:val="23"/>
        </w:rPr>
      </w:pPr>
    </w:p>
    <w:p w14:paraId="12FB1AD9" w14:textId="12AA47B3" w:rsidR="00BD462C" w:rsidRDefault="00033D0F" w:rsidP="00185AF5">
      <w:pPr>
        <w:pStyle w:val="BodyText"/>
        <w:numPr>
          <w:ilvl w:val="0"/>
          <w:numId w:val="77"/>
        </w:numPr>
        <w:spacing w:before="56" w:line="357" w:lineRule="auto"/>
        <w:ind w:right="910"/>
        <w:jc w:val="both"/>
      </w:pPr>
      <w:r>
        <w:rPr>
          <w:position w:val="1"/>
        </w:rPr>
        <w:t>Australia</w:t>
      </w:r>
      <w:r>
        <w:rPr>
          <w:spacing w:val="-3"/>
          <w:position w:val="1"/>
        </w:rPr>
        <w:t xml:space="preserve"> </w:t>
      </w:r>
      <w:r>
        <w:rPr>
          <w:position w:val="1"/>
        </w:rPr>
        <w:t>claimed</w:t>
      </w:r>
      <w:r>
        <w:rPr>
          <w:spacing w:val="-4"/>
          <w:position w:val="1"/>
        </w:rPr>
        <w:t xml:space="preserve"> </w:t>
      </w:r>
      <w:r>
        <w:rPr>
          <w:position w:val="1"/>
        </w:rPr>
        <w:t>that</w:t>
      </w:r>
      <w:r>
        <w:rPr>
          <w:spacing w:val="-7"/>
          <w:position w:val="1"/>
        </w:rPr>
        <w:t xml:space="preserve"> </w:t>
      </w:r>
      <w:r>
        <w:rPr>
          <w:position w:val="1"/>
        </w:rPr>
        <w:t>MOFCOM</w:t>
      </w:r>
      <w:r>
        <w:rPr>
          <w:spacing w:val="-2"/>
          <w:position w:val="1"/>
        </w:rPr>
        <w:t xml:space="preserve"> </w:t>
      </w:r>
      <w:r>
        <w:rPr>
          <w:position w:val="1"/>
        </w:rPr>
        <w:t>had</w:t>
      </w:r>
      <w:r>
        <w:rPr>
          <w:spacing w:val="-4"/>
          <w:position w:val="1"/>
        </w:rPr>
        <w:t xml:space="preserve"> </w:t>
      </w:r>
      <w:r>
        <w:rPr>
          <w:position w:val="1"/>
        </w:rPr>
        <w:t>provided</w:t>
      </w:r>
      <w:r>
        <w:rPr>
          <w:spacing w:val="-4"/>
          <w:position w:val="1"/>
        </w:rPr>
        <w:t xml:space="preserve"> </w:t>
      </w:r>
      <w:r>
        <w:rPr>
          <w:position w:val="1"/>
        </w:rPr>
        <w:t>insufficient</w:t>
      </w:r>
      <w:r>
        <w:rPr>
          <w:spacing w:val="-2"/>
          <w:position w:val="1"/>
        </w:rPr>
        <w:t xml:space="preserve"> </w:t>
      </w:r>
      <w:r>
        <w:rPr>
          <w:position w:val="1"/>
        </w:rPr>
        <w:t>explanation</w:t>
      </w:r>
      <w:r>
        <w:rPr>
          <w:spacing w:val="-3"/>
          <w:position w:val="1"/>
        </w:rPr>
        <w:t xml:space="preserve"> </w:t>
      </w:r>
      <w:r>
        <w:rPr>
          <w:position w:val="1"/>
        </w:rPr>
        <w:t>to</w:t>
      </w:r>
      <w:r>
        <w:rPr>
          <w:spacing w:val="-5"/>
          <w:position w:val="1"/>
        </w:rPr>
        <w:t xml:space="preserve"> </w:t>
      </w:r>
      <w:r>
        <w:rPr>
          <w:position w:val="1"/>
        </w:rPr>
        <w:t>clarify</w:t>
      </w:r>
      <w:r>
        <w:rPr>
          <w:spacing w:val="-1"/>
          <w:position w:val="1"/>
        </w:rPr>
        <w:t xml:space="preserve"> </w:t>
      </w:r>
      <w:r>
        <w:rPr>
          <w:position w:val="1"/>
        </w:rPr>
        <w:t xml:space="preserve">how </w:t>
      </w:r>
      <w:r>
        <w:t>it</w:t>
      </w:r>
      <w:r>
        <w:rPr>
          <w:spacing w:val="-11"/>
        </w:rPr>
        <w:t xml:space="preserve"> </w:t>
      </w:r>
      <w:r>
        <w:t>had</w:t>
      </w:r>
      <w:r>
        <w:rPr>
          <w:spacing w:val="-14"/>
        </w:rPr>
        <w:t xml:space="preserve"> </w:t>
      </w:r>
      <w:r>
        <w:t>calculated</w:t>
      </w:r>
      <w:r>
        <w:rPr>
          <w:spacing w:val="-13"/>
        </w:rPr>
        <w:t xml:space="preserve"> </w:t>
      </w:r>
      <w:r>
        <w:t>the</w:t>
      </w:r>
      <w:r>
        <w:rPr>
          <w:spacing w:val="-12"/>
        </w:rPr>
        <w:t xml:space="preserve"> </w:t>
      </w:r>
      <w:r>
        <w:t>"All</w:t>
      </w:r>
      <w:r>
        <w:rPr>
          <w:spacing w:val="-10"/>
        </w:rPr>
        <w:t xml:space="preserve"> </w:t>
      </w:r>
      <w:r>
        <w:t>Others"</w:t>
      </w:r>
      <w:r>
        <w:rPr>
          <w:spacing w:val="-13"/>
        </w:rPr>
        <w:t xml:space="preserve"> </w:t>
      </w:r>
      <w:r>
        <w:t>rate.</w:t>
      </w:r>
      <w:r>
        <w:rPr>
          <w:spacing w:val="-11"/>
        </w:rPr>
        <w:t xml:space="preserve"> </w:t>
      </w:r>
      <w:r>
        <w:t>Australia</w:t>
      </w:r>
      <w:r>
        <w:rPr>
          <w:spacing w:val="-12"/>
        </w:rPr>
        <w:t xml:space="preserve"> </w:t>
      </w:r>
      <w:r>
        <w:t>is</w:t>
      </w:r>
      <w:r>
        <w:rPr>
          <w:spacing w:val="-10"/>
        </w:rPr>
        <w:t xml:space="preserve"> </w:t>
      </w:r>
      <w:r>
        <w:t>alarmed</w:t>
      </w:r>
      <w:r>
        <w:rPr>
          <w:spacing w:val="-14"/>
        </w:rPr>
        <w:t xml:space="preserve"> </w:t>
      </w:r>
      <w:r>
        <w:t>that</w:t>
      </w:r>
      <w:r>
        <w:rPr>
          <w:spacing w:val="-10"/>
        </w:rPr>
        <w:t xml:space="preserve"> </w:t>
      </w:r>
      <w:r>
        <w:t>the</w:t>
      </w:r>
      <w:r>
        <w:rPr>
          <w:spacing w:val="-12"/>
        </w:rPr>
        <w:t xml:space="preserve"> </w:t>
      </w:r>
      <w:r>
        <w:t>rate</w:t>
      </w:r>
      <w:r>
        <w:rPr>
          <w:spacing w:val="-12"/>
        </w:rPr>
        <w:t xml:space="preserve"> </w:t>
      </w:r>
      <w:r>
        <w:t>is</w:t>
      </w:r>
      <w:r>
        <w:rPr>
          <w:spacing w:val="-10"/>
        </w:rPr>
        <w:t xml:space="preserve"> </w:t>
      </w:r>
      <w:r>
        <w:t>so</w:t>
      </w:r>
      <w:r>
        <w:rPr>
          <w:spacing w:val="-14"/>
        </w:rPr>
        <w:t xml:space="preserve"> </w:t>
      </w:r>
      <w:r>
        <w:t>much</w:t>
      </w:r>
      <w:r>
        <w:rPr>
          <w:spacing w:val="-13"/>
        </w:rPr>
        <w:t xml:space="preserve"> </w:t>
      </w:r>
      <w:r>
        <w:t>higher</w:t>
      </w:r>
      <w:r>
        <w:rPr>
          <w:spacing w:val="-14"/>
        </w:rPr>
        <w:t xml:space="preserve"> </w:t>
      </w:r>
      <w:r>
        <w:t>than both the rates identified for other exporters and the weighted average margin. Australia submits that the rate is implausibly high and in absence of any explanation from MOFCOM indicates the presence of either a significant error or a failure to verify the selected replacement data.</w:t>
      </w:r>
      <w:r>
        <w:rPr>
          <w:spacing w:val="-25"/>
        </w:rPr>
        <w:t xml:space="preserve"> </w:t>
      </w:r>
      <w:hyperlink w:anchor="_bookmark625" w:history="1">
        <w:r>
          <w:rPr>
            <w:vertAlign w:val="superscript"/>
          </w:rPr>
          <w:t>520</w:t>
        </w:r>
      </w:hyperlink>
    </w:p>
    <w:p w14:paraId="4641B40C" w14:textId="77777777" w:rsidR="00BD462C" w:rsidRDefault="00BD462C">
      <w:pPr>
        <w:pStyle w:val="BodyText"/>
        <w:rPr>
          <w:sz w:val="20"/>
        </w:rPr>
      </w:pPr>
    </w:p>
    <w:p w14:paraId="61A5198F" w14:textId="77777777" w:rsidR="00BD462C" w:rsidRDefault="00BD462C">
      <w:pPr>
        <w:pStyle w:val="BodyText"/>
        <w:rPr>
          <w:sz w:val="20"/>
        </w:rPr>
      </w:pPr>
    </w:p>
    <w:p w14:paraId="15D25DB1" w14:textId="3D9C8F6C" w:rsidR="00BD462C" w:rsidRDefault="00D70C7D">
      <w:pPr>
        <w:pStyle w:val="BodyText"/>
        <w:spacing w:before="7"/>
        <w:rPr>
          <w:sz w:val="27"/>
        </w:rPr>
      </w:pPr>
      <w:r>
        <w:rPr>
          <w:noProof/>
        </w:rPr>
        <mc:AlternateContent>
          <mc:Choice Requires="wps">
            <w:drawing>
              <wp:anchor distT="0" distB="0" distL="0" distR="0" simplePos="0" relativeHeight="487731712" behindDoc="1" locked="0" layoutInCell="1" allowOverlap="1" wp14:anchorId="07548103" wp14:editId="4551B2E0">
                <wp:simplePos x="0" y="0"/>
                <wp:positionH relativeFrom="page">
                  <wp:posOffset>899160</wp:posOffset>
                </wp:positionH>
                <wp:positionV relativeFrom="paragraph">
                  <wp:posOffset>229870</wp:posOffset>
                </wp:positionV>
                <wp:extent cx="1828800" cy="8890"/>
                <wp:effectExtent l="0" t="0" r="0" b="0"/>
                <wp:wrapTopAndBottom/>
                <wp:docPr id="810" name="docshape3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8F963B" id="docshape311" o:spid="_x0000_s1026" alt="&quot;&quot;" style="position:absolute;margin-left:70.8pt;margin-top:18.1pt;width:2in;height:.7pt;z-index:-15584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" fillcolor="black" stroked="f">
                <w10:wrap type="topAndBottom" anchorx="page"/>
              </v:rect>
            </w:pict>
          </mc:Fallback>
        </mc:AlternateContent>
      </w:r>
    </w:p>
    <w:p w14:paraId="42610181" w14:textId="77777777" w:rsidR="00BD462C" w:rsidRDefault="00033D0F">
      <w:pPr>
        <w:spacing w:before="112"/>
        <w:ind w:left="135"/>
        <w:rPr>
          <w:sz w:val="18"/>
        </w:rPr>
      </w:pPr>
      <w:bookmarkStart w:id="726" w:name="_bookmark623"/>
      <w:bookmarkEnd w:id="726"/>
      <w:r>
        <w:rPr>
          <w:position w:val="5"/>
          <w:sz w:val="12"/>
        </w:rPr>
        <w:t>518</w:t>
      </w:r>
      <w:r>
        <w:rPr>
          <w:spacing w:val="12"/>
          <w:position w:val="5"/>
          <w:sz w:val="12"/>
        </w:rPr>
        <w:t xml:space="preserve"> </w:t>
      </w:r>
      <w:r>
        <w:rPr>
          <w:sz w:val="18"/>
        </w:rPr>
        <w:t>Anti-Dumping</w:t>
      </w:r>
      <w:r>
        <w:rPr>
          <w:spacing w:val="-6"/>
          <w:sz w:val="18"/>
        </w:rPr>
        <w:t xml:space="preserve"> </w:t>
      </w:r>
      <w:r>
        <w:rPr>
          <w:sz w:val="18"/>
        </w:rPr>
        <w:t>Final</w:t>
      </w:r>
      <w:r>
        <w:rPr>
          <w:spacing w:val="-1"/>
          <w:sz w:val="18"/>
        </w:rPr>
        <w:t xml:space="preserve"> </w:t>
      </w:r>
      <w:r>
        <w:rPr>
          <w:sz w:val="18"/>
        </w:rPr>
        <w:t>Determination</w:t>
      </w:r>
      <w:r>
        <w:rPr>
          <w:spacing w:val="-7"/>
          <w:sz w:val="18"/>
        </w:rPr>
        <w:t xml:space="preserve"> </w:t>
      </w:r>
      <w:r>
        <w:rPr>
          <w:sz w:val="18"/>
        </w:rPr>
        <w:t>(Exhibit</w:t>
      </w:r>
      <w:r>
        <w:rPr>
          <w:spacing w:val="-2"/>
          <w:sz w:val="18"/>
        </w:rPr>
        <w:t xml:space="preserve"> </w:t>
      </w:r>
      <w:r>
        <w:rPr>
          <w:sz w:val="18"/>
        </w:rPr>
        <w:t>AUS-2),</w:t>
      </w:r>
      <w:r>
        <w:rPr>
          <w:spacing w:val="-4"/>
          <w:sz w:val="18"/>
        </w:rPr>
        <w:t xml:space="preserve"> </w:t>
      </w:r>
      <w:r>
        <w:rPr>
          <w:sz w:val="18"/>
        </w:rPr>
        <w:t>p.</w:t>
      </w:r>
      <w:r>
        <w:rPr>
          <w:spacing w:val="-5"/>
          <w:sz w:val="18"/>
        </w:rPr>
        <w:t xml:space="preserve"> 1.</w:t>
      </w:r>
    </w:p>
    <w:p w14:paraId="1E83802A" w14:textId="77777777" w:rsidR="00BD462C" w:rsidRDefault="00033D0F">
      <w:pPr>
        <w:spacing w:before="1"/>
        <w:ind w:left="135"/>
        <w:rPr>
          <w:sz w:val="18"/>
        </w:rPr>
      </w:pPr>
      <w:bookmarkStart w:id="727" w:name="_bookmark624"/>
      <w:bookmarkEnd w:id="727"/>
      <w:r>
        <w:rPr>
          <w:position w:val="5"/>
          <w:sz w:val="12"/>
        </w:rPr>
        <w:t>519</w:t>
      </w:r>
      <w:r>
        <w:rPr>
          <w:spacing w:val="12"/>
          <w:position w:val="5"/>
          <w:sz w:val="12"/>
        </w:rPr>
        <w:t xml:space="preserve"> </w:t>
      </w:r>
      <w:r>
        <w:rPr>
          <w:sz w:val="18"/>
        </w:rPr>
        <w:t>Anti-Dumping</w:t>
      </w:r>
      <w:r>
        <w:rPr>
          <w:spacing w:val="-6"/>
          <w:sz w:val="18"/>
        </w:rPr>
        <w:t xml:space="preserve"> </w:t>
      </w:r>
      <w:r>
        <w:rPr>
          <w:sz w:val="18"/>
        </w:rPr>
        <w:t>Final</w:t>
      </w:r>
      <w:r>
        <w:rPr>
          <w:spacing w:val="-1"/>
          <w:sz w:val="18"/>
        </w:rPr>
        <w:t xml:space="preserve"> </w:t>
      </w:r>
      <w:r>
        <w:rPr>
          <w:sz w:val="18"/>
        </w:rPr>
        <w:t>Determination</w:t>
      </w:r>
      <w:r>
        <w:rPr>
          <w:spacing w:val="-7"/>
          <w:sz w:val="18"/>
        </w:rPr>
        <w:t xml:space="preserve"> </w:t>
      </w:r>
      <w:r>
        <w:rPr>
          <w:sz w:val="18"/>
        </w:rPr>
        <w:t>(Exhibit</w:t>
      </w:r>
      <w:r>
        <w:rPr>
          <w:spacing w:val="-2"/>
          <w:sz w:val="18"/>
        </w:rPr>
        <w:t xml:space="preserve"> </w:t>
      </w:r>
      <w:r>
        <w:rPr>
          <w:sz w:val="18"/>
        </w:rPr>
        <w:t>AUS-2),</w:t>
      </w:r>
      <w:r>
        <w:rPr>
          <w:spacing w:val="-4"/>
          <w:sz w:val="18"/>
        </w:rPr>
        <w:t xml:space="preserve"> </w:t>
      </w:r>
      <w:r>
        <w:rPr>
          <w:sz w:val="18"/>
        </w:rPr>
        <w:t>p.</w:t>
      </w:r>
      <w:r>
        <w:rPr>
          <w:spacing w:val="-5"/>
          <w:sz w:val="18"/>
        </w:rPr>
        <w:t xml:space="preserve"> 97.</w:t>
      </w:r>
    </w:p>
    <w:p w14:paraId="35D89DFB" w14:textId="77777777" w:rsidR="00BD462C" w:rsidRDefault="00033D0F">
      <w:pPr>
        <w:spacing w:before="1"/>
        <w:ind w:left="135"/>
        <w:rPr>
          <w:sz w:val="18"/>
        </w:rPr>
      </w:pPr>
      <w:bookmarkStart w:id="728" w:name="_bookmark625"/>
      <w:bookmarkEnd w:id="728"/>
      <w:r>
        <w:rPr>
          <w:position w:val="5"/>
          <w:sz w:val="12"/>
        </w:rPr>
        <w:t>520</w:t>
      </w:r>
      <w:r>
        <w:rPr>
          <w:spacing w:val="12"/>
          <w:position w:val="5"/>
          <w:sz w:val="12"/>
        </w:rPr>
        <w:t xml:space="preserve"> </w:t>
      </w:r>
      <w:r>
        <w:rPr>
          <w:sz w:val="18"/>
        </w:rPr>
        <w:t>Australia's</w:t>
      </w:r>
      <w:r>
        <w:rPr>
          <w:spacing w:val="-7"/>
          <w:sz w:val="18"/>
        </w:rPr>
        <w:t xml:space="preserve"> </w:t>
      </w:r>
      <w:r>
        <w:rPr>
          <w:sz w:val="18"/>
        </w:rPr>
        <w:t>first</w:t>
      </w:r>
      <w:r>
        <w:rPr>
          <w:spacing w:val="-5"/>
          <w:sz w:val="18"/>
        </w:rPr>
        <w:t xml:space="preserve"> </w:t>
      </w:r>
      <w:r>
        <w:rPr>
          <w:sz w:val="18"/>
        </w:rPr>
        <w:t>written</w:t>
      </w:r>
      <w:r>
        <w:rPr>
          <w:spacing w:val="-3"/>
          <w:sz w:val="18"/>
        </w:rPr>
        <w:t xml:space="preserve"> </w:t>
      </w:r>
      <w:r>
        <w:rPr>
          <w:sz w:val="18"/>
        </w:rPr>
        <w:t>submission, paras.</w:t>
      </w:r>
      <w:r>
        <w:rPr>
          <w:spacing w:val="-5"/>
          <w:sz w:val="18"/>
        </w:rPr>
        <w:t xml:space="preserve"> </w:t>
      </w:r>
      <w:r>
        <w:rPr>
          <w:sz w:val="18"/>
        </w:rPr>
        <w:t>486-</w:t>
      </w:r>
      <w:r>
        <w:rPr>
          <w:spacing w:val="-4"/>
          <w:sz w:val="18"/>
        </w:rPr>
        <w:t>492.</w:t>
      </w:r>
    </w:p>
    <w:p w14:paraId="52316E0A" w14:textId="77777777" w:rsidR="00BD462C" w:rsidRDefault="00BD462C">
      <w:pPr>
        <w:rPr>
          <w:sz w:val="18"/>
        </w:rPr>
        <w:sectPr w:rsidR="00BD462C">
          <w:pgSz w:w="11910" w:h="16840"/>
          <w:pgMar w:top="860" w:right="500" w:bottom="780" w:left="1280" w:header="566" w:footer="590" w:gutter="0"/>
          <w:cols w:space="720"/>
        </w:sectPr>
      </w:pPr>
    </w:p>
    <w:p w14:paraId="4D5756E4"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2AAD39D4"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52903B0D"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0236550B" w14:textId="7235C00A" w:rsidR="00BD462C" w:rsidRDefault="00033D0F" w:rsidP="00185AF5">
      <w:pPr>
        <w:pStyle w:val="BodyText"/>
        <w:numPr>
          <w:ilvl w:val="0"/>
          <w:numId w:val="77"/>
        </w:numPr>
        <w:spacing w:before="107" w:line="357" w:lineRule="auto"/>
        <w:ind w:right="914"/>
        <w:jc w:val="both"/>
      </w:pPr>
      <w:r>
        <w:rPr>
          <w:position w:val="1"/>
        </w:rPr>
        <w:t>In response to Australia's claim China did not seek to explain MOFCOM's</w:t>
      </w:r>
      <w:r>
        <w:rPr>
          <w:spacing w:val="80"/>
          <w:position w:val="1"/>
        </w:rPr>
        <w:t xml:space="preserve"> </w:t>
      </w:r>
      <w:r>
        <w:t>methodology, nor point to</w:t>
      </w:r>
      <w:r>
        <w:rPr>
          <w:spacing w:val="-4"/>
        </w:rPr>
        <w:t xml:space="preserve"> </w:t>
      </w:r>
      <w:r>
        <w:t>any evidence</w:t>
      </w:r>
      <w:r>
        <w:rPr>
          <w:spacing w:val="-1"/>
        </w:rPr>
        <w:t xml:space="preserve"> </w:t>
      </w:r>
      <w:r>
        <w:t>justifying</w:t>
      </w:r>
      <w:r>
        <w:rPr>
          <w:spacing w:val="-5"/>
        </w:rPr>
        <w:t xml:space="preserve"> </w:t>
      </w:r>
      <w:r>
        <w:t>the</w:t>
      </w:r>
      <w:r>
        <w:rPr>
          <w:spacing w:val="-1"/>
        </w:rPr>
        <w:t xml:space="preserve"> </w:t>
      </w:r>
      <w:r>
        <w:t>margins imposed. Rather, it</w:t>
      </w:r>
      <w:r>
        <w:rPr>
          <w:spacing w:val="-1"/>
        </w:rPr>
        <w:t xml:space="preserve"> </w:t>
      </w:r>
      <w:r>
        <w:t>claims it</w:t>
      </w:r>
      <w:r>
        <w:rPr>
          <w:spacing w:val="-1"/>
        </w:rPr>
        <w:t xml:space="preserve"> </w:t>
      </w:r>
      <w:r>
        <w:t>is allowed to select facts that lead to margins that effectively punish exporters that did not engage with the investigation.</w:t>
      </w:r>
      <w:hyperlink w:anchor="_bookmark627" w:history="1">
        <w:r>
          <w:rPr>
            <w:vertAlign w:val="superscript"/>
          </w:rPr>
          <w:t>521</w:t>
        </w:r>
      </w:hyperlink>
      <w:r>
        <w:t xml:space="preserve"> It appears to reject the notion that in the conduct of its investigation an investigating authority is obliged to seek to apply a calculation and rate that is as close to the truth as possible under the circumstances.</w:t>
      </w:r>
    </w:p>
    <w:p w14:paraId="79692903" w14:textId="77777777" w:rsidR="00BD462C" w:rsidRDefault="00BD462C">
      <w:pPr>
        <w:pStyle w:val="BodyText"/>
        <w:spacing w:before="8"/>
        <w:rPr>
          <w:sz w:val="9"/>
        </w:rPr>
      </w:pPr>
    </w:p>
    <w:p w14:paraId="525743C3" w14:textId="5089CEA5" w:rsidR="00BD462C" w:rsidRDefault="00033D0F" w:rsidP="00185AF5">
      <w:pPr>
        <w:pStyle w:val="BodyText"/>
        <w:numPr>
          <w:ilvl w:val="0"/>
          <w:numId w:val="77"/>
        </w:numPr>
        <w:spacing w:before="56" w:line="360" w:lineRule="auto"/>
        <w:ind w:right="915"/>
        <w:jc w:val="both"/>
      </w:pPr>
      <w:r>
        <w:rPr>
          <w:position w:val="1"/>
        </w:rPr>
        <w:t xml:space="preserve">China argues that because the amount of increase between the highest individual </w:t>
      </w:r>
      <w:r>
        <w:t>rate</w:t>
      </w:r>
      <w:r>
        <w:rPr>
          <w:spacing w:val="-3"/>
        </w:rPr>
        <w:t xml:space="preserve"> </w:t>
      </w:r>
      <w:r>
        <w:t>and</w:t>
      </w:r>
      <w:r>
        <w:rPr>
          <w:spacing w:val="-5"/>
        </w:rPr>
        <w:t xml:space="preserve"> </w:t>
      </w:r>
      <w:r>
        <w:t>the</w:t>
      </w:r>
      <w:r>
        <w:rPr>
          <w:spacing w:val="-4"/>
        </w:rPr>
        <w:t xml:space="preserve"> </w:t>
      </w:r>
      <w:r>
        <w:t>"All</w:t>
      </w:r>
      <w:r>
        <w:rPr>
          <w:spacing w:val="-1"/>
        </w:rPr>
        <w:t xml:space="preserve"> </w:t>
      </w:r>
      <w:r>
        <w:t>Others"</w:t>
      </w:r>
      <w:r>
        <w:rPr>
          <w:spacing w:val="-4"/>
        </w:rPr>
        <w:t xml:space="preserve"> </w:t>
      </w:r>
      <w:r>
        <w:t>rate</w:t>
      </w:r>
      <w:r>
        <w:rPr>
          <w:spacing w:val="-8"/>
        </w:rPr>
        <w:t xml:space="preserve"> </w:t>
      </w:r>
      <w:r>
        <w:t>is</w:t>
      </w:r>
      <w:r>
        <w:rPr>
          <w:spacing w:val="-2"/>
        </w:rPr>
        <w:t xml:space="preserve"> </w:t>
      </w:r>
      <w:r>
        <w:t>numerically</w:t>
      </w:r>
      <w:r>
        <w:rPr>
          <w:spacing w:val="-2"/>
        </w:rPr>
        <w:t xml:space="preserve"> </w:t>
      </w:r>
      <w:r>
        <w:t>less</w:t>
      </w:r>
      <w:r>
        <w:rPr>
          <w:spacing w:val="-7"/>
        </w:rPr>
        <w:t xml:space="preserve"> </w:t>
      </w:r>
      <w:r>
        <w:t>than</w:t>
      </w:r>
      <w:r>
        <w:rPr>
          <w:spacing w:val="-5"/>
        </w:rPr>
        <w:t xml:space="preserve"> </w:t>
      </w:r>
      <w:r>
        <w:t>the</w:t>
      </w:r>
      <w:r>
        <w:rPr>
          <w:spacing w:val="-4"/>
        </w:rPr>
        <w:t xml:space="preserve"> </w:t>
      </w:r>
      <w:r>
        <w:t>equivalent</w:t>
      </w:r>
      <w:r>
        <w:rPr>
          <w:spacing w:val="-3"/>
        </w:rPr>
        <w:t xml:space="preserve"> </w:t>
      </w:r>
      <w:r>
        <w:t>rate</w:t>
      </w:r>
      <w:r>
        <w:rPr>
          <w:spacing w:val="-8"/>
        </w:rPr>
        <w:t xml:space="preserve"> </w:t>
      </w:r>
      <w:r>
        <w:t>in</w:t>
      </w:r>
      <w:r>
        <w:rPr>
          <w:spacing w:val="-5"/>
        </w:rPr>
        <w:t xml:space="preserve"> </w:t>
      </w:r>
      <w:r>
        <w:rPr>
          <w:i/>
        </w:rPr>
        <w:t>Canada</w:t>
      </w:r>
      <w:r>
        <w:rPr>
          <w:i/>
          <w:spacing w:val="-2"/>
        </w:rPr>
        <w:t xml:space="preserve"> </w:t>
      </w:r>
      <w:r>
        <w:rPr>
          <w:i/>
        </w:rPr>
        <w:t>–</w:t>
      </w:r>
      <w:r>
        <w:rPr>
          <w:i/>
          <w:spacing w:val="-8"/>
        </w:rPr>
        <w:t xml:space="preserve"> </w:t>
      </w:r>
      <w:r>
        <w:rPr>
          <w:i/>
        </w:rPr>
        <w:t>Welded Pipe</w:t>
      </w:r>
      <w:r>
        <w:rPr>
          <w:i/>
          <w:spacing w:val="-10"/>
        </w:rPr>
        <w:t xml:space="preserve"> </w:t>
      </w:r>
      <w:r>
        <w:t>that</w:t>
      </w:r>
      <w:r>
        <w:rPr>
          <w:spacing w:val="-9"/>
        </w:rPr>
        <w:t xml:space="preserve"> </w:t>
      </w:r>
      <w:r>
        <w:t>this</w:t>
      </w:r>
      <w:r>
        <w:rPr>
          <w:spacing w:val="-8"/>
        </w:rPr>
        <w:t xml:space="preserve"> </w:t>
      </w:r>
      <w:r>
        <w:t>is</w:t>
      </w:r>
      <w:r>
        <w:rPr>
          <w:spacing w:val="-8"/>
        </w:rPr>
        <w:t xml:space="preserve"> </w:t>
      </w:r>
      <w:r>
        <w:t>permitted.</w:t>
      </w:r>
      <w:hyperlink w:anchor="_bookmark628" w:history="1">
        <w:r>
          <w:rPr>
            <w:vertAlign w:val="superscript"/>
          </w:rPr>
          <w:t>522</w:t>
        </w:r>
      </w:hyperlink>
      <w:r>
        <w:rPr>
          <w:spacing w:val="-9"/>
        </w:rPr>
        <w:t xml:space="preserve"> </w:t>
      </w:r>
      <w:r>
        <w:t>Yet,</w:t>
      </w:r>
      <w:r>
        <w:rPr>
          <w:spacing w:val="-8"/>
        </w:rPr>
        <w:t xml:space="preserve"> </w:t>
      </w:r>
      <w:r>
        <w:t>it</w:t>
      </w:r>
      <w:r>
        <w:rPr>
          <w:spacing w:val="-9"/>
        </w:rPr>
        <w:t xml:space="preserve"> </w:t>
      </w:r>
      <w:r>
        <w:t>is</w:t>
      </w:r>
      <w:r>
        <w:rPr>
          <w:spacing w:val="-8"/>
        </w:rPr>
        <w:t xml:space="preserve"> </w:t>
      </w:r>
      <w:r>
        <w:t>clear</w:t>
      </w:r>
      <w:r>
        <w:rPr>
          <w:spacing w:val="-13"/>
        </w:rPr>
        <w:t xml:space="preserve"> </w:t>
      </w:r>
      <w:r>
        <w:t>even</w:t>
      </w:r>
      <w:r>
        <w:rPr>
          <w:spacing w:val="-7"/>
        </w:rPr>
        <w:t xml:space="preserve"> </w:t>
      </w:r>
      <w:r>
        <w:t>from</w:t>
      </w:r>
      <w:r>
        <w:rPr>
          <w:spacing w:val="-10"/>
        </w:rPr>
        <w:t xml:space="preserve"> </w:t>
      </w:r>
      <w:r>
        <w:t>a</w:t>
      </w:r>
      <w:r>
        <w:rPr>
          <w:spacing w:val="-6"/>
        </w:rPr>
        <w:t xml:space="preserve"> </w:t>
      </w:r>
      <w:r>
        <w:t>reading</w:t>
      </w:r>
      <w:r>
        <w:rPr>
          <w:spacing w:val="-8"/>
        </w:rPr>
        <w:t xml:space="preserve"> </w:t>
      </w:r>
      <w:r>
        <w:t>of</w:t>
      </w:r>
      <w:r>
        <w:rPr>
          <w:spacing w:val="-7"/>
        </w:rPr>
        <w:t xml:space="preserve"> </w:t>
      </w:r>
      <w:r>
        <w:t>the</w:t>
      </w:r>
      <w:r>
        <w:rPr>
          <w:spacing w:val="-5"/>
        </w:rPr>
        <w:t xml:space="preserve"> </w:t>
      </w:r>
      <w:r>
        <w:t>passages</w:t>
      </w:r>
      <w:r>
        <w:rPr>
          <w:spacing w:val="-8"/>
        </w:rPr>
        <w:t xml:space="preserve"> </w:t>
      </w:r>
      <w:r>
        <w:t>cited</w:t>
      </w:r>
      <w:r>
        <w:rPr>
          <w:spacing w:val="-12"/>
        </w:rPr>
        <w:t xml:space="preserve"> </w:t>
      </w:r>
      <w:r>
        <w:t>by</w:t>
      </w:r>
      <w:r>
        <w:rPr>
          <w:spacing w:val="-9"/>
        </w:rPr>
        <w:t xml:space="preserve"> </w:t>
      </w:r>
      <w:r>
        <w:t>China that the panel in that case did not endorse the use of dumping margins to effectively punish non-participating exporters, as China argues it is entitled to do here.</w:t>
      </w:r>
    </w:p>
    <w:p w14:paraId="78CF815A" w14:textId="77777777" w:rsidR="00BD462C" w:rsidRDefault="00BD462C">
      <w:pPr>
        <w:pStyle w:val="BodyText"/>
        <w:spacing w:before="6"/>
        <w:rPr>
          <w:sz w:val="8"/>
        </w:rPr>
      </w:pPr>
    </w:p>
    <w:p w14:paraId="4BA26104" w14:textId="692DFEE8" w:rsidR="00BD462C" w:rsidRDefault="00033D0F" w:rsidP="00185AF5">
      <w:pPr>
        <w:pStyle w:val="BodyText"/>
        <w:numPr>
          <w:ilvl w:val="0"/>
          <w:numId w:val="77"/>
        </w:numPr>
        <w:spacing w:before="56" w:line="360" w:lineRule="auto"/>
        <w:ind w:right="910"/>
        <w:jc w:val="both"/>
      </w:pPr>
      <w:r>
        <w:rPr>
          <w:position w:val="1"/>
        </w:rPr>
        <w:t>China</w:t>
      </w:r>
      <w:r>
        <w:rPr>
          <w:spacing w:val="-8"/>
          <w:position w:val="1"/>
        </w:rPr>
        <w:t xml:space="preserve"> </w:t>
      </w:r>
      <w:r>
        <w:rPr>
          <w:position w:val="1"/>
        </w:rPr>
        <w:t>also</w:t>
      </w:r>
      <w:r>
        <w:rPr>
          <w:spacing w:val="-10"/>
          <w:position w:val="1"/>
        </w:rPr>
        <w:t xml:space="preserve"> </w:t>
      </w:r>
      <w:r>
        <w:rPr>
          <w:position w:val="1"/>
        </w:rPr>
        <w:t>claims,</w:t>
      </w:r>
      <w:r>
        <w:rPr>
          <w:spacing w:val="-5"/>
          <w:position w:val="1"/>
        </w:rPr>
        <w:t xml:space="preserve"> </w:t>
      </w:r>
      <w:r>
        <w:rPr>
          <w:i/>
          <w:position w:val="1"/>
        </w:rPr>
        <w:t>ex</w:t>
      </w:r>
      <w:r>
        <w:rPr>
          <w:i/>
          <w:spacing w:val="-11"/>
          <w:position w:val="1"/>
        </w:rPr>
        <w:t xml:space="preserve"> </w:t>
      </w:r>
      <w:r>
        <w:rPr>
          <w:i/>
          <w:position w:val="1"/>
        </w:rPr>
        <w:t>post</w:t>
      </w:r>
      <w:r>
        <w:rPr>
          <w:i/>
          <w:spacing w:val="-7"/>
          <w:position w:val="1"/>
        </w:rPr>
        <w:t xml:space="preserve"> </w:t>
      </w:r>
      <w:r>
        <w:rPr>
          <w:i/>
          <w:position w:val="1"/>
        </w:rPr>
        <w:t>facto</w:t>
      </w:r>
      <w:r>
        <w:rPr>
          <w:position w:val="1"/>
        </w:rPr>
        <w:t>,</w:t>
      </w:r>
      <w:r>
        <w:rPr>
          <w:spacing w:val="-5"/>
          <w:position w:val="1"/>
        </w:rPr>
        <w:t xml:space="preserve"> </w:t>
      </w:r>
      <w:r>
        <w:rPr>
          <w:position w:val="1"/>
        </w:rPr>
        <w:t>that</w:t>
      </w:r>
      <w:r>
        <w:rPr>
          <w:spacing w:val="-7"/>
          <w:position w:val="1"/>
        </w:rPr>
        <w:t xml:space="preserve"> </w:t>
      </w:r>
      <w:r>
        <w:rPr>
          <w:position w:val="1"/>
        </w:rPr>
        <w:t>MOFCOM</w:t>
      </w:r>
      <w:r>
        <w:rPr>
          <w:spacing w:val="-7"/>
          <w:position w:val="1"/>
        </w:rPr>
        <w:t xml:space="preserve"> </w:t>
      </w:r>
      <w:r>
        <w:rPr>
          <w:position w:val="1"/>
        </w:rPr>
        <w:t>used</w:t>
      </w:r>
      <w:r>
        <w:rPr>
          <w:spacing w:val="-9"/>
          <w:position w:val="1"/>
        </w:rPr>
        <w:t xml:space="preserve"> </w:t>
      </w:r>
      <w:r>
        <w:rPr>
          <w:position w:val="1"/>
        </w:rPr>
        <w:t>the</w:t>
      </w:r>
      <w:r>
        <w:rPr>
          <w:spacing w:val="-7"/>
          <w:position w:val="1"/>
        </w:rPr>
        <w:t xml:space="preserve"> </w:t>
      </w:r>
      <w:r>
        <w:rPr>
          <w:position w:val="1"/>
        </w:rPr>
        <w:t>weighted</w:t>
      </w:r>
      <w:r>
        <w:rPr>
          <w:spacing w:val="-9"/>
          <w:position w:val="1"/>
        </w:rPr>
        <w:t xml:space="preserve"> </w:t>
      </w:r>
      <w:r>
        <w:rPr>
          <w:position w:val="1"/>
        </w:rPr>
        <w:t>average</w:t>
      </w:r>
      <w:r>
        <w:rPr>
          <w:spacing w:val="-7"/>
          <w:position w:val="1"/>
        </w:rPr>
        <w:t xml:space="preserve"> </w:t>
      </w:r>
      <w:r>
        <w:rPr>
          <w:position w:val="1"/>
        </w:rPr>
        <w:t xml:space="preserve">ex-factory </w:t>
      </w:r>
      <w:r>
        <w:t>export</w:t>
      </w:r>
      <w:r>
        <w:rPr>
          <w:spacing w:val="-10"/>
        </w:rPr>
        <w:t xml:space="preserve"> </w:t>
      </w:r>
      <w:r>
        <w:t>price</w:t>
      </w:r>
      <w:r>
        <w:rPr>
          <w:spacing w:val="-11"/>
        </w:rPr>
        <w:t xml:space="preserve"> </w:t>
      </w:r>
      <w:r>
        <w:t>(as</w:t>
      </w:r>
      <w:r>
        <w:rPr>
          <w:spacing w:val="-4"/>
        </w:rPr>
        <w:t xml:space="preserve"> </w:t>
      </w:r>
      <w:r>
        <w:t>well</w:t>
      </w:r>
      <w:r>
        <w:rPr>
          <w:spacing w:val="-9"/>
        </w:rPr>
        <w:t xml:space="preserve"> </w:t>
      </w:r>
      <w:r>
        <w:t>as</w:t>
      </w:r>
      <w:r>
        <w:rPr>
          <w:spacing w:val="-9"/>
        </w:rPr>
        <w:t xml:space="preserve"> </w:t>
      </w:r>
      <w:r>
        <w:t>the</w:t>
      </w:r>
      <w:r>
        <w:rPr>
          <w:spacing w:val="-11"/>
        </w:rPr>
        <w:t xml:space="preserve"> </w:t>
      </w:r>
      <w:r>
        <w:t>weighted</w:t>
      </w:r>
      <w:r>
        <w:rPr>
          <w:spacing w:val="-13"/>
        </w:rPr>
        <w:t xml:space="preserve"> </w:t>
      </w:r>
      <w:r>
        <w:t>average</w:t>
      </w:r>
      <w:r>
        <w:rPr>
          <w:spacing w:val="-11"/>
        </w:rPr>
        <w:t xml:space="preserve"> </w:t>
      </w:r>
      <w:r>
        <w:t>CIF</w:t>
      </w:r>
      <w:r>
        <w:rPr>
          <w:spacing w:val="-11"/>
        </w:rPr>
        <w:t xml:space="preserve"> </w:t>
      </w:r>
      <w:r>
        <w:t>price)</w:t>
      </w:r>
      <w:r>
        <w:rPr>
          <w:spacing w:val="-12"/>
        </w:rPr>
        <w:t xml:space="preserve"> </w:t>
      </w:r>
      <w:r>
        <w:t>of</w:t>
      </w:r>
      <w:r>
        <w:rPr>
          <w:spacing w:val="-7"/>
        </w:rPr>
        <w:t xml:space="preserve"> </w:t>
      </w:r>
      <w:r>
        <w:t>a</w:t>
      </w:r>
      <w:r>
        <w:rPr>
          <w:spacing w:val="-6"/>
        </w:rPr>
        <w:t xml:space="preserve"> </w:t>
      </w:r>
      <w:r>
        <w:t>single</w:t>
      </w:r>
      <w:r>
        <w:rPr>
          <w:spacing w:val="-11"/>
        </w:rPr>
        <w:t xml:space="preserve"> </w:t>
      </w:r>
      <w:r>
        <w:t>exporter</w:t>
      </w:r>
      <w:r>
        <w:rPr>
          <w:spacing w:val="-14"/>
        </w:rPr>
        <w:t xml:space="preserve"> </w:t>
      </w:r>
      <w:r>
        <w:t>and</w:t>
      </w:r>
      <w:r>
        <w:rPr>
          <w:spacing w:val="-7"/>
        </w:rPr>
        <w:t xml:space="preserve"> </w:t>
      </w:r>
      <w:r>
        <w:t>compared</w:t>
      </w:r>
      <w:r>
        <w:rPr>
          <w:spacing w:val="-7"/>
        </w:rPr>
        <w:t xml:space="preserve"> </w:t>
      </w:r>
      <w:r>
        <w:t>this (them)</w:t>
      </w:r>
      <w:r>
        <w:rPr>
          <w:spacing w:val="-2"/>
        </w:rPr>
        <w:t xml:space="preserve"> </w:t>
      </w:r>
      <w:r>
        <w:t>to</w:t>
      </w:r>
      <w:r>
        <w:rPr>
          <w:spacing w:val="-3"/>
        </w:rPr>
        <w:t xml:space="preserve"> </w:t>
      </w:r>
      <w:r>
        <w:t>the</w:t>
      </w:r>
      <w:r>
        <w:rPr>
          <w:spacing w:val="-1"/>
        </w:rPr>
        <w:t xml:space="preserve"> </w:t>
      </w:r>
      <w:r>
        <w:t>price of</w:t>
      </w:r>
      <w:r>
        <w:rPr>
          <w:spacing w:val="-2"/>
        </w:rPr>
        <w:t xml:space="preserve"> </w:t>
      </w:r>
      <w:r>
        <w:t>a</w:t>
      </w:r>
      <w:r>
        <w:rPr>
          <w:spacing w:val="-1"/>
        </w:rPr>
        <w:t xml:space="preserve"> </w:t>
      </w:r>
      <w:r>
        <w:t>single ex-factory domestic</w:t>
      </w:r>
      <w:r>
        <w:rPr>
          <w:spacing w:val="-6"/>
        </w:rPr>
        <w:t xml:space="preserve"> </w:t>
      </w:r>
      <w:r>
        <w:t>sale to</w:t>
      </w:r>
      <w:r>
        <w:rPr>
          <w:spacing w:val="-3"/>
        </w:rPr>
        <w:t xml:space="preserve"> </w:t>
      </w:r>
      <w:r>
        <w:t>determine the rate.</w:t>
      </w:r>
      <w:hyperlink w:anchor="_bookmark629" w:history="1">
        <w:r>
          <w:rPr>
            <w:vertAlign w:val="superscript"/>
          </w:rPr>
          <w:t>523</w:t>
        </w:r>
      </w:hyperlink>
      <w:r>
        <w:t xml:space="preserve"> China</w:t>
      </w:r>
      <w:r>
        <w:rPr>
          <w:spacing w:val="-1"/>
        </w:rPr>
        <w:t xml:space="preserve"> </w:t>
      </w:r>
      <w:r>
        <w:t>claims that MOFCOM did not use the lowest and highest prices in order to achieve the implausibly high rate of dumping applied.</w:t>
      </w:r>
      <w:hyperlink w:anchor="_bookmark630" w:history="1">
        <w:r>
          <w:rPr>
            <w:vertAlign w:val="superscript"/>
          </w:rPr>
          <w:t>524</w:t>
        </w:r>
      </w:hyperlink>
      <w:r>
        <w:t xml:space="preserve"> Yet, as MOFCOM provided no transparency about which exporter's data it used and what range of prices was applied, there is no evidence for this assertion and no way to verify it. China has not clarified any aspect of MOFCOM's methodology or data selection, nor justified its methodology in any way. Australia maintains its claims in this regard.</w:t>
      </w:r>
    </w:p>
    <w:p w14:paraId="2F70B217" w14:textId="77777777" w:rsidR="00BD462C" w:rsidRDefault="00033D0F" w:rsidP="00DA02D9">
      <w:pPr>
        <w:pStyle w:val="ListParagraph"/>
        <w:numPr>
          <w:ilvl w:val="1"/>
          <w:numId w:val="72"/>
        </w:numPr>
        <w:tabs>
          <w:tab w:val="left" w:pos="921"/>
          <w:tab w:val="left" w:pos="922"/>
        </w:tabs>
        <w:spacing w:before="159"/>
        <w:ind w:left="921" w:hanging="856"/>
        <w:jc w:val="center"/>
        <w:rPr>
          <w:b/>
        </w:rPr>
      </w:pPr>
      <w:bookmarkStart w:id="729" w:name="I._Australia_claims_under_Articles_1,_9."/>
      <w:bookmarkStart w:id="730" w:name="_bookmark626"/>
      <w:bookmarkEnd w:id="729"/>
      <w:bookmarkEnd w:id="730"/>
      <w:r>
        <w:rPr>
          <w:b/>
          <w:sz w:val="28"/>
        </w:rPr>
        <w:t>A</w:t>
      </w:r>
      <w:r>
        <w:rPr>
          <w:b/>
        </w:rPr>
        <w:t>USTRALIA</w:t>
      </w:r>
      <w:r>
        <w:rPr>
          <w:b/>
          <w:spacing w:val="44"/>
        </w:rPr>
        <w:t xml:space="preserve"> </w:t>
      </w:r>
      <w:r>
        <w:rPr>
          <w:b/>
        </w:rPr>
        <w:t>CLAIMS</w:t>
      </w:r>
      <w:r>
        <w:rPr>
          <w:b/>
          <w:spacing w:val="46"/>
        </w:rPr>
        <w:t xml:space="preserve"> </w:t>
      </w:r>
      <w:r>
        <w:rPr>
          <w:b/>
        </w:rPr>
        <w:t>UNDER</w:t>
      </w:r>
      <w:r>
        <w:rPr>
          <w:b/>
          <w:spacing w:val="45"/>
        </w:rPr>
        <w:t xml:space="preserve"> </w:t>
      </w:r>
      <w:r>
        <w:rPr>
          <w:b/>
          <w:sz w:val="28"/>
        </w:rPr>
        <w:t>A</w:t>
      </w:r>
      <w:r>
        <w:rPr>
          <w:b/>
        </w:rPr>
        <w:t>RTICLES</w:t>
      </w:r>
      <w:r>
        <w:rPr>
          <w:b/>
          <w:spacing w:val="46"/>
        </w:rPr>
        <w:t xml:space="preserve"> </w:t>
      </w:r>
      <w:r>
        <w:rPr>
          <w:b/>
          <w:sz w:val="28"/>
        </w:rPr>
        <w:t>1,</w:t>
      </w:r>
      <w:r>
        <w:rPr>
          <w:b/>
          <w:spacing w:val="37"/>
          <w:sz w:val="28"/>
        </w:rPr>
        <w:t xml:space="preserve"> </w:t>
      </w:r>
      <w:r>
        <w:rPr>
          <w:b/>
          <w:sz w:val="28"/>
        </w:rPr>
        <w:t>9.1,</w:t>
      </w:r>
      <w:r>
        <w:rPr>
          <w:b/>
          <w:spacing w:val="32"/>
          <w:sz w:val="28"/>
        </w:rPr>
        <w:t xml:space="preserve"> </w:t>
      </w:r>
      <w:r>
        <w:rPr>
          <w:b/>
          <w:sz w:val="28"/>
        </w:rPr>
        <w:t>9.2,</w:t>
      </w:r>
      <w:r>
        <w:rPr>
          <w:b/>
          <w:spacing w:val="32"/>
          <w:sz w:val="28"/>
        </w:rPr>
        <w:t xml:space="preserve"> </w:t>
      </w:r>
      <w:r>
        <w:rPr>
          <w:b/>
          <w:sz w:val="28"/>
        </w:rPr>
        <w:t>9.3</w:t>
      </w:r>
      <w:r>
        <w:rPr>
          <w:b/>
          <w:spacing w:val="30"/>
          <w:sz w:val="28"/>
        </w:rPr>
        <w:t xml:space="preserve"> </w:t>
      </w:r>
      <w:r>
        <w:rPr>
          <w:b/>
        </w:rPr>
        <w:t>AND</w:t>
      </w:r>
      <w:r>
        <w:rPr>
          <w:b/>
          <w:spacing w:val="45"/>
        </w:rPr>
        <w:t xml:space="preserve"> </w:t>
      </w:r>
      <w:r>
        <w:rPr>
          <w:b/>
          <w:sz w:val="28"/>
        </w:rPr>
        <w:t>18.1</w:t>
      </w:r>
      <w:r>
        <w:rPr>
          <w:b/>
          <w:spacing w:val="31"/>
          <w:sz w:val="28"/>
        </w:rPr>
        <w:t xml:space="preserve"> </w:t>
      </w:r>
      <w:r>
        <w:rPr>
          <w:b/>
        </w:rPr>
        <w:t>OF</w:t>
      </w:r>
      <w:r>
        <w:rPr>
          <w:b/>
          <w:spacing w:val="45"/>
        </w:rPr>
        <w:t xml:space="preserve"> </w:t>
      </w:r>
      <w:r>
        <w:rPr>
          <w:b/>
          <w:spacing w:val="-5"/>
        </w:rPr>
        <w:t>THE</w:t>
      </w:r>
    </w:p>
    <w:p w14:paraId="116CFBD1" w14:textId="77777777" w:rsidR="00BD462C" w:rsidRDefault="00033D0F">
      <w:pPr>
        <w:pStyle w:val="Heading2"/>
        <w:spacing w:before="167"/>
        <w:ind w:right="749"/>
        <w:jc w:val="center"/>
      </w:pPr>
      <w:r>
        <w:rPr>
          <w:smallCaps/>
        </w:rPr>
        <w:t>Anti-Dumping</w:t>
      </w:r>
      <w:r>
        <w:rPr>
          <w:smallCaps/>
          <w:spacing w:val="-13"/>
        </w:rPr>
        <w:t xml:space="preserve"> </w:t>
      </w:r>
      <w:r>
        <w:rPr>
          <w:smallCaps/>
        </w:rPr>
        <w:t>Agreement</w:t>
      </w:r>
      <w:r>
        <w:rPr>
          <w:smallCaps/>
          <w:spacing w:val="-11"/>
        </w:rPr>
        <w:t xml:space="preserve"> </w:t>
      </w:r>
      <w:r>
        <w:rPr>
          <w:smallCaps/>
        </w:rPr>
        <w:t>and</w:t>
      </w:r>
      <w:r>
        <w:rPr>
          <w:smallCaps/>
          <w:spacing w:val="-4"/>
        </w:rPr>
        <w:t xml:space="preserve"> </w:t>
      </w:r>
      <w:r>
        <w:rPr>
          <w:smallCaps/>
        </w:rPr>
        <w:t>Article</w:t>
      </w:r>
      <w:r>
        <w:rPr>
          <w:smallCaps/>
          <w:spacing w:val="-6"/>
        </w:rPr>
        <w:t xml:space="preserve"> </w:t>
      </w:r>
      <w:r>
        <w:rPr>
          <w:smallCaps/>
        </w:rPr>
        <w:t>VI:2</w:t>
      </w:r>
      <w:r>
        <w:rPr>
          <w:smallCaps/>
          <w:spacing w:val="-13"/>
        </w:rPr>
        <w:t xml:space="preserve"> </w:t>
      </w:r>
      <w:r>
        <w:rPr>
          <w:smallCaps/>
        </w:rPr>
        <w:t>of</w:t>
      </w:r>
      <w:r>
        <w:rPr>
          <w:smallCaps/>
          <w:spacing w:val="-4"/>
        </w:rPr>
        <w:t xml:space="preserve"> </w:t>
      </w:r>
      <w:r>
        <w:rPr>
          <w:smallCaps/>
        </w:rPr>
        <w:t>the</w:t>
      </w:r>
      <w:r>
        <w:rPr>
          <w:smallCaps/>
          <w:spacing w:val="-10"/>
        </w:rPr>
        <w:t xml:space="preserve"> </w:t>
      </w:r>
      <w:r>
        <w:rPr>
          <w:smallCaps/>
        </w:rPr>
        <w:t>GATT</w:t>
      </w:r>
      <w:r>
        <w:rPr>
          <w:smallCaps/>
          <w:spacing w:val="-12"/>
        </w:rPr>
        <w:t xml:space="preserve"> </w:t>
      </w:r>
      <w:r>
        <w:rPr>
          <w:smallCaps/>
          <w:spacing w:val="-4"/>
        </w:rPr>
        <w:t>1994</w:t>
      </w:r>
    </w:p>
    <w:p w14:paraId="1D054424" w14:textId="77777777" w:rsidR="00BD462C" w:rsidRDefault="00BD462C">
      <w:pPr>
        <w:pStyle w:val="BodyText"/>
        <w:spacing w:before="3"/>
        <w:rPr>
          <w:b/>
          <w:sz w:val="23"/>
        </w:rPr>
      </w:pPr>
    </w:p>
    <w:p w14:paraId="083699CA" w14:textId="18AB2482" w:rsidR="00BD462C" w:rsidRPr="00185AF5" w:rsidRDefault="00033D0F" w:rsidP="00185AF5">
      <w:pPr>
        <w:pStyle w:val="BodyText"/>
        <w:numPr>
          <w:ilvl w:val="0"/>
          <w:numId w:val="77"/>
        </w:numPr>
        <w:spacing w:before="56" w:line="357" w:lineRule="auto"/>
        <w:ind w:right="917"/>
        <w:jc w:val="both"/>
      </w:pPr>
      <w:r>
        <w:rPr>
          <w:position w:val="1"/>
        </w:rPr>
        <w:t xml:space="preserve">In Australia's first written submission, Australia demonstrated that MOFCOM's </w:t>
      </w:r>
      <w:r>
        <w:t>imposition of anti-dumping duties was inconsistent with</w:t>
      </w:r>
      <w:r>
        <w:rPr>
          <w:spacing w:val="-1"/>
        </w:rPr>
        <w:t xml:space="preserve"> </w:t>
      </w:r>
      <w:r>
        <w:t>China's obligations under</w:t>
      </w:r>
      <w:r>
        <w:rPr>
          <w:spacing w:val="-1"/>
        </w:rPr>
        <w:t xml:space="preserve"> </w:t>
      </w:r>
      <w:r>
        <w:t>Articles 1, 9.1,</w:t>
      </w:r>
      <w:r>
        <w:rPr>
          <w:spacing w:val="40"/>
        </w:rPr>
        <w:t xml:space="preserve"> </w:t>
      </w:r>
      <w:r>
        <w:t>9.2</w:t>
      </w:r>
      <w:r>
        <w:rPr>
          <w:spacing w:val="40"/>
        </w:rPr>
        <w:t xml:space="preserve"> </w:t>
      </w:r>
      <w:r>
        <w:t>and</w:t>
      </w:r>
      <w:r>
        <w:rPr>
          <w:spacing w:val="40"/>
        </w:rPr>
        <w:t xml:space="preserve"> </w:t>
      </w:r>
      <w:r>
        <w:t>9.3</w:t>
      </w:r>
      <w:r>
        <w:rPr>
          <w:spacing w:val="40"/>
        </w:rPr>
        <w:t xml:space="preserve"> </w:t>
      </w:r>
      <w:r>
        <w:t>of</w:t>
      </w:r>
      <w:r>
        <w:rPr>
          <w:spacing w:val="40"/>
        </w:rPr>
        <w:t xml:space="preserve"> </w:t>
      </w:r>
      <w:r>
        <w:t>the</w:t>
      </w:r>
      <w:r>
        <w:rPr>
          <w:spacing w:val="40"/>
        </w:rPr>
        <w:t xml:space="preserve"> </w:t>
      </w:r>
      <w:r>
        <w:t>Anti-Dumping</w:t>
      </w:r>
      <w:r>
        <w:rPr>
          <w:spacing w:val="40"/>
        </w:rPr>
        <w:t xml:space="preserve"> </w:t>
      </w:r>
      <w:r>
        <w:t>Agreement,</w:t>
      </w:r>
      <w:r>
        <w:rPr>
          <w:spacing w:val="40"/>
        </w:rPr>
        <w:t xml:space="preserve"> </w:t>
      </w:r>
      <w:r>
        <w:t>Article</w:t>
      </w:r>
      <w:r>
        <w:rPr>
          <w:spacing w:val="40"/>
        </w:rPr>
        <w:t xml:space="preserve"> </w:t>
      </w:r>
      <w:proofErr w:type="gramStart"/>
      <w:r>
        <w:t>18.1</w:t>
      </w:r>
      <w:proofErr w:type="gramEnd"/>
      <w:r>
        <w:rPr>
          <w:spacing w:val="40"/>
        </w:rPr>
        <w:t xml:space="preserve"> </w:t>
      </w:r>
      <w:r>
        <w:t>and</w:t>
      </w:r>
      <w:r>
        <w:rPr>
          <w:spacing w:val="40"/>
        </w:rPr>
        <w:t xml:space="preserve"> </w:t>
      </w:r>
      <w:r>
        <w:t>Article</w:t>
      </w:r>
      <w:r>
        <w:rPr>
          <w:spacing w:val="40"/>
        </w:rPr>
        <w:t xml:space="preserve"> </w:t>
      </w:r>
      <w:r>
        <w:t>VI:2</w:t>
      </w:r>
      <w:r>
        <w:rPr>
          <w:spacing w:val="40"/>
        </w:rPr>
        <w:t xml:space="preserve"> </w:t>
      </w:r>
      <w:r>
        <w:t>of</w:t>
      </w:r>
      <w:r>
        <w:rPr>
          <w:spacing w:val="40"/>
        </w:rPr>
        <w:t xml:space="preserve"> </w:t>
      </w:r>
      <w:r>
        <w:t>the GATT</w:t>
      </w:r>
      <w:r>
        <w:rPr>
          <w:spacing w:val="-5"/>
        </w:rPr>
        <w:t xml:space="preserve"> </w:t>
      </w:r>
      <w:r>
        <w:t xml:space="preserve">1994, because it: improperly imposed anti-dumping duties where all </w:t>
      </w:r>
    </w:p>
    <w:p w14:paraId="31B68445" w14:textId="4295FC29" w:rsidR="00BD462C" w:rsidRDefault="00D70C7D">
      <w:pPr>
        <w:pStyle w:val="BodyText"/>
        <w:spacing w:before="3"/>
        <w:rPr>
          <w:sz w:val="19"/>
        </w:rPr>
      </w:pPr>
      <w:r>
        <w:rPr>
          <w:noProof/>
        </w:rPr>
        <mc:AlternateContent>
          <mc:Choice Requires="wps">
            <w:drawing>
              <wp:anchor distT="0" distB="0" distL="0" distR="0" simplePos="0" relativeHeight="487732224" behindDoc="1" locked="0" layoutInCell="1" allowOverlap="1" wp14:anchorId="3A50AEEC" wp14:editId="6A480E2B">
                <wp:simplePos x="0" y="0"/>
                <wp:positionH relativeFrom="page">
                  <wp:posOffset>899160</wp:posOffset>
                </wp:positionH>
                <wp:positionV relativeFrom="paragraph">
                  <wp:posOffset>165100</wp:posOffset>
                </wp:positionV>
                <wp:extent cx="1828800" cy="8890"/>
                <wp:effectExtent l="0" t="0" r="0" b="0"/>
                <wp:wrapTopAndBottom/>
                <wp:docPr id="808" name="docshape3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C2B00F" id="docshape312" o:spid="_x0000_s1026" alt="&quot;&quot;" style="position:absolute;margin-left:70.8pt;margin-top:13pt;width:2in;height:.7pt;z-index:-15584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" fillcolor="black" stroked="f">
                <w10:wrap type="topAndBottom" anchorx="page"/>
              </v:rect>
            </w:pict>
          </mc:Fallback>
        </mc:AlternateContent>
      </w:r>
    </w:p>
    <w:p w14:paraId="41FD1326" w14:textId="77777777" w:rsidR="00BD462C" w:rsidRDefault="00033D0F">
      <w:pPr>
        <w:spacing w:before="112"/>
        <w:ind w:left="135"/>
        <w:rPr>
          <w:sz w:val="18"/>
        </w:rPr>
      </w:pPr>
      <w:bookmarkStart w:id="731" w:name="_bookmark627"/>
      <w:bookmarkEnd w:id="731"/>
      <w:r>
        <w:rPr>
          <w:position w:val="5"/>
          <w:sz w:val="12"/>
        </w:rPr>
        <w:t>521</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paras.</w:t>
      </w:r>
      <w:r>
        <w:rPr>
          <w:spacing w:val="-5"/>
          <w:sz w:val="18"/>
        </w:rPr>
        <w:t xml:space="preserve"> </w:t>
      </w:r>
      <w:r>
        <w:rPr>
          <w:sz w:val="18"/>
        </w:rPr>
        <w:t>797-</w:t>
      </w:r>
      <w:r>
        <w:rPr>
          <w:spacing w:val="-4"/>
          <w:sz w:val="18"/>
        </w:rPr>
        <w:t>798.</w:t>
      </w:r>
    </w:p>
    <w:p w14:paraId="24D4689B" w14:textId="77777777" w:rsidR="00BD462C" w:rsidRDefault="00033D0F">
      <w:pPr>
        <w:spacing w:before="1"/>
        <w:ind w:left="135"/>
        <w:rPr>
          <w:sz w:val="18"/>
        </w:rPr>
      </w:pPr>
      <w:bookmarkStart w:id="732" w:name="_bookmark628"/>
      <w:bookmarkEnd w:id="732"/>
      <w:r>
        <w:rPr>
          <w:position w:val="5"/>
          <w:sz w:val="12"/>
        </w:rPr>
        <w:t>522</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paras.</w:t>
      </w:r>
      <w:r>
        <w:rPr>
          <w:spacing w:val="-5"/>
          <w:sz w:val="18"/>
        </w:rPr>
        <w:t xml:space="preserve"> </w:t>
      </w:r>
      <w:r>
        <w:rPr>
          <w:sz w:val="18"/>
        </w:rPr>
        <w:t>798-</w:t>
      </w:r>
      <w:r>
        <w:rPr>
          <w:spacing w:val="-4"/>
          <w:sz w:val="18"/>
        </w:rPr>
        <w:t>801.</w:t>
      </w:r>
    </w:p>
    <w:p w14:paraId="03BDC6F2" w14:textId="77777777" w:rsidR="00BD462C" w:rsidRDefault="00033D0F">
      <w:pPr>
        <w:spacing w:before="1"/>
        <w:ind w:left="135"/>
        <w:rPr>
          <w:sz w:val="18"/>
        </w:rPr>
      </w:pPr>
      <w:bookmarkStart w:id="733" w:name="_bookmark629"/>
      <w:bookmarkEnd w:id="733"/>
      <w:r>
        <w:rPr>
          <w:position w:val="5"/>
          <w:sz w:val="12"/>
        </w:rPr>
        <w:t>523</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 xml:space="preserve">submission, para. </w:t>
      </w:r>
      <w:r>
        <w:rPr>
          <w:spacing w:val="-4"/>
          <w:sz w:val="18"/>
        </w:rPr>
        <w:t>801.</w:t>
      </w:r>
    </w:p>
    <w:p w14:paraId="2285F414" w14:textId="77777777" w:rsidR="00BD462C" w:rsidRDefault="00033D0F">
      <w:pPr>
        <w:spacing w:before="1"/>
        <w:ind w:left="135"/>
        <w:rPr>
          <w:sz w:val="18"/>
        </w:rPr>
      </w:pPr>
      <w:bookmarkStart w:id="734" w:name="_bookmark630"/>
      <w:bookmarkEnd w:id="734"/>
      <w:r>
        <w:rPr>
          <w:position w:val="5"/>
          <w:sz w:val="12"/>
        </w:rPr>
        <w:t>524</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paras.</w:t>
      </w:r>
      <w:r>
        <w:rPr>
          <w:spacing w:val="-5"/>
          <w:sz w:val="18"/>
        </w:rPr>
        <w:t xml:space="preserve"> </w:t>
      </w:r>
      <w:r>
        <w:rPr>
          <w:sz w:val="18"/>
        </w:rPr>
        <w:t>801-</w:t>
      </w:r>
      <w:r>
        <w:rPr>
          <w:spacing w:val="-4"/>
          <w:sz w:val="18"/>
        </w:rPr>
        <w:t>802.</w:t>
      </w:r>
    </w:p>
    <w:p w14:paraId="07F165A8" w14:textId="77777777" w:rsidR="00BD462C" w:rsidRDefault="00BD462C">
      <w:pPr>
        <w:rPr>
          <w:sz w:val="18"/>
        </w:rPr>
        <w:sectPr w:rsidR="00BD462C">
          <w:pgSz w:w="11910" w:h="16840"/>
          <w:pgMar w:top="860" w:right="500" w:bottom="780" w:left="1280" w:header="566" w:footer="590" w:gutter="0"/>
          <w:cols w:space="720"/>
        </w:sectPr>
      </w:pPr>
    </w:p>
    <w:p w14:paraId="52D58EF5"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65DA3E4B"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0094B5AA"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6409FC3E" w14:textId="3389BC1A" w:rsidR="00BD462C" w:rsidRDefault="00185AF5">
      <w:pPr>
        <w:pStyle w:val="BodyText"/>
        <w:spacing w:before="102" w:line="360" w:lineRule="auto"/>
        <w:ind w:left="135" w:right="916"/>
        <w:jc w:val="both"/>
      </w:pPr>
      <w:r>
        <w:t xml:space="preserve">requirements for </w:t>
      </w:r>
      <w:r w:rsidR="00033D0F">
        <w:t>their imposition had not been fulfilled; did not impose anti-dumping duties in appropriate amounts and imposed anti-dumping duties in excess of the margins of dumping that could have been established under Article 2 of the Anti-Dumping Agreement (if any). This is the consequence of MOFCOM's errors in its application of Article 2, which led it to erroneously identify the existence of dumping and erroneously inflate those alleged dumping margins.</w:t>
      </w:r>
      <w:hyperlink w:anchor="_bookmark631" w:history="1">
        <w:r w:rsidR="00033D0F">
          <w:rPr>
            <w:vertAlign w:val="superscript"/>
          </w:rPr>
          <w:t>525</w:t>
        </w:r>
      </w:hyperlink>
    </w:p>
    <w:p w14:paraId="6E1ECD49" w14:textId="77777777" w:rsidR="00BD462C" w:rsidRDefault="00BD462C">
      <w:pPr>
        <w:pStyle w:val="BodyText"/>
        <w:spacing w:before="11"/>
        <w:rPr>
          <w:sz w:val="8"/>
        </w:rPr>
      </w:pPr>
    </w:p>
    <w:p w14:paraId="2EB64B01" w14:textId="51F75D5E" w:rsidR="00BD462C" w:rsidRDefault="00033D0F" w:rsidP="00185AF5">
      <w:pPr>
        <w:pStyle w:val="BodyText"/>
        <w:numPr>
          <w:ilvl w:val="0"/>
          <w:numId w:val="77"/>
        </w:numPr>
        <w:spacing w:before="56" w:line="360" w:lineRule="auto"/>
        <w:ind w:right="910"/>
        <w:jc w:val="both"/>
      </w:pPr>
      <w:r>
        <w:rPr>
          <w:position w:val="1"/>
        </w:rPr>
        <w:t>China</w:t>
      </w:r>
      <w:r>
        <w:rPr>
          <w:spacing w:val="-12"/>
          <w:position w:val="1"/>
        </w:rPr>
        <w:t xml:space="preserve"> </w:t>
      </w:r>
      <w:r>
        <w:rPr>
          <w:position w:val="1"/>
        </w:rPr>
        <w:t>argues</w:t>
      </w:r>
      <w:r>
        <w:rPr>
          <w:spacing w:val="-10"/>
          <w:position w:val="1"/>
        </w:rPr>
        <w:t xml:space="preserve"> </w:t>
      </w:r>
      <w:r>
        <w:rPr>
          <w:position w:val="1"/>
        </w:rPr>
        <w:t>in</w:t>
      </w:r>
      <w:r>
        <w:rPr>
          <w:spacing w:val="-14"/>
          <w:position w:val="1"/>
        </w:rPr>
        <w:t xml:space="preserve"> </w:t>
      </w:r>
      <w:r>
        <w:rPr>
          <w:position w:val="1"/>
        </w:rPr>
        <w:t>its</w:t>
      </w:r>
      <w:r>
        <w:rPr>
          <w:spacing w:val="-9"/>
          <w:position w:val="1"/>
        </w:rPr>
        <w:t xml:space="preserve"> </w:t>
      </w:r>
      <w:r>
        <w:rPr>
          <w:position w:val="1"/>
        </w:rPr>
        <w:t>first</w:t>
      </w:r>
      <w:r>
        <w:rPr>
          <w:spacing w:val="-11"/>
          <w:position w:val="1"/>
        </w:rPr>
        <w:t xml:space="preserve"> </w:t>
      </w:r>
      <w:r>
        <w:rPr>
          <w:position w:val="1"/>
        </w:rPr>
        <w:t>written</w:t>
      </w:r>
      <w:r>
        <w:rPr>
          <w:spacing w:val="-14"/>
          <w:position w:val="1"/>
        </w:rPr>
        <w:t xml:space="preserve"> </w:t>
      </w:r>
      <w:r>
        <w:rPr>
          <w:position w:val="1"/>
        </w:rPr>
        <w:t>submission</w:t>
      </w:r>
      <w:r>
        <w:rPr>
          <w:spacing w:val="-13"/>
          <w:position w:val="1"/>
        </w:rPr>
        <w:t xml:space="preserve"> </w:t>
      </w:r>
      <w:r>
        <w:rPr>
          <w:position w:val="1"/>
        </w:rPr>
        <w:t>that</w:t>
      </w:r>
      <w:r>
        <w:rPr>
          <w:spacing w:val="-11"/>
          <w:position w:val="1"/>
        </w:rPr>
        <w:t xml:space="preserve"> </w:t>
      </w:r>
      <w:r>
        <w:rPr>
          <w:position w:val="1"/>
        </w:rPr>
        <w:t>"since</w:t>
      </w:r>
      <w:r>
        <w:rPr>
          <w:spacing w:val="-12"/>
          <w:position w:val="1"/>
        </w:rPr>
        <w:t xml:space="preserve"> </w:t>
      </w:r>
      <w:r>
        <w:rPr>
          <w:position w:val="1"/>
        </w:rPr>
        <w:t>no</w:t>
      </w:r>
      <w:r>
        <w:rPr>
          <w:spacing w:val="-14"/>
          <w:position w:val="1"/>
        </w:rPr>
        <w:t xml:space="preserve"> </w:t>
      </w:r>
      <w:r>
        <w:rPr>
          <w:position w:val="1"/>
        </w:rPr>
        <w:t>violations</w:t>
      </w:r>
      <w:r>
        <w:rPr>
          <w:spacing w:val="-9"/>
          <w:position w:val="1"/>
        </w:rPr>
        <w:t xml:space="preserve"> </w:t>
      </w:r>
      <w:r>
        <w:rPr>
          <w:position w:val="1"/>
        </w:rPr>
        <w:t>of</w:t>
      </w:r>
      <w:r>
        <w:rPr>
          <w:spacing w:val="-14"/>
          <w:position w:val="1"/>
        </w:rPr>
        <w:t xml:space="preserve"> </w:t>
      </w:r>
      <w:r>
        <w:rPr>
          <w:position w:val="1"/>
        </w:rPr>
        <w:t>the</w:t>
      </w:r>
      <w:r>
        <w:rPr>
          <w:spacing w:val="-11"/>
          <w:position w:val="1"/>
        </w:rPr>
        <w:t xml:space="preserve"> </w:t>
      </w:r>
      <w:r>
        <w:rPr>
          <w:position w:val="1"/>
        </w:rPr>
        <w:t xml:space="preserve">substantive </w:t>
      </w:r>
      <w:r>
        <w:t>requirements</w:t>
      </w:r>
      <w:r>
        <w:rPr>
          <w:spacing w:val="-14"/>
        </w:rPr>
        <w:t xml:space="preserve"> </w:t>
      </w:r>
      <w:r>
        <w:t>contained</w:t>
      </w:r>
      <w:r>
        <w:rPr>
          <w:spacing w:val="-14"/>
        </w:rPr>
        <w:t xml:space="preserve"> </w:t>
      </w:r>
      <w:r>
        <w:t>in</w:t>
      </w:r>
      <w:r>
        <w:rPr>
          <w:spacing w:val="-13"/>
        </w:rPr>
        <w:t xml:space="preserve"> </w:t>
      </w:r>
      <w:r>
        <w:t>the</w:t>
      </w:r>
      <w:r>
        <w:rPr>
          <w:spacing w:val="-14"/>
        </w:rPr>
        <w:t xml:space="preserve"> </w:t>
      </w:r>
      <w:r>
        <w:t>Anti-Dumping</w:t>
      </w:r>
      <w:r>
        <w:rPr>
          <w:spacing w:val="-13"/>
        </w:rPr>
        <w:t xml:space="preserve"> </w:t>
      </w:r>
      <w:r>
        <w:t>Agreement".</w:t>
      </w:r>
      <w:r>
        <w:rPr>
          <w:spacing w:val="-14"/>
        </w:rPr>
        <w:t xml:space="preserve"> </w:t>
      </w:r>
      <w:hyperlink w:anchor="_bookmark632" w:history="1">
        <w:r>
          <w:rPr>
            <w:vertAlign w:val="superscript"/>
          </w:rPr>
          <w:t>526</w:t>
        </w:r>
      </w:hyperlink>
      <w:r>
        <w:rPr>
          <w:spacing w:val="-13"/>
        </w:rPr>
        <w:t xml:space="preserve"> </w:t>
      </w:r>
      <w:r>
        <w:t>China</w:t>
      </w:r>
      <w:r>
        <w:rPr>
          <w:spacing w:val="-14"/>
        </w:rPr>
        <w:t xml:space="preserve"> </w:t>
      </w:r>
      <w:r>
        <w:t>also</w:t>
      </w:r>
      <w:r>
        <w:rPr>
          <w:spacing w:val="-14"/>
        </w:rPr>
        <w:t xml:space="preserve"> </w:t>
      </w:r>
      <w:r>
        <w:t>stated</w:t>
      </w:r>
      <w:r>
        <w:rPr>
          <w:spacing w:val="-13"/>
        </w:rPr>
        <w:t xml:space="preserve"> </w:t>
      </w:r>
      <w:r>
        <w:t>that</w:t>
      </w:r>
      <w:r>
        <w:rPr>
          <w:spacing w:val="-14"/>
        </w:rPr>
        <w:t xml:space="preserve"> </w:t>
      </w:r>
      <w:r>
        <w:t>Australia's claims under Article 9.1, 9.2 and 9.3 "are dependent on a showing of violation regarding Article</w:t>
      </w:r>
      <w:r>
        <w:rPr>
          <w:spacing w:val="-14"/>
        </w:rPr>
        <w:t xml:space="preserve"> </w:t>
      </w:r>
      <w:r>
        <w:t>2".</w:t>
      </w:r>
      <w:r>
        <w:rPr>
          <w:spacing w:val="-14"/>
        </w:rPr>
        <w:t xml:space="preserve"> </w:t>
      </w:r>
      <w:hyperlink w:anchor="_bookmark633" w:history="1">
        <w:r>
          <w:rPr>
            <w:vertAlign w:val="superscript"/>
          </w:rPr>
          <w:t>527</w:t>
        </w:r>
      </w:hyperlink>
      <w:r>
        <w:rPr>
          <w:spacing w:val="-13"/>
        </w:rPr>
        <w:t xml:space="preserve"> </w:t>
      </w:r>
      <w:r>
        <w:t>Australia</w:t>
      </w:r>
      <w:r>
        <w:rPr>
          <w:spacing w:val="-10"/>
        </w:rPr>
        <w:t xml:space="preserve"> </w:t>
      </w:r>
      <w:r>
        <w:t>accepts</w:t>
      </w:r>
      <w:r>
        <w:rPr>
          <w:spacing w:val="-6"/>
        </w:rPr>
        <w:t xml:space="preserve"> </w:t>
      </w:r>
      <w:r>
        <w:t>that</w:t>
      </w:r>
      <w:r>
        <w:rPr>
          <w:spacing w:val="-7"/>
        </w:rPr>
        <w:t xml:space="preserve"> </w:t>
      </w:r>
      <w:r>
        <w:t>claims</w:t>
      </w:r>
      <w:r>
        <w:rPr>
          <w:spacing w:val="-6"/>
        </w:rPr>
        <w:t xml:space="preserve"> </w:t>
      </w:r>
      <w:r>
        <w:t>under</w:t>
      </w:r>
      <w:r>
        <w:rPr>
          <w:spacing w:val="-10"/>
        </w:rPr>
        <w:t xml:space="preserve"> </w:t>
      </w:r>
      <w:r>
        <w:t>Articles</w:t>
      </w:r>
      <w:r>
        <w:rPr>
          <w:spacing w:val="-6"/>
        </w:rPr>
        <w:t xml:space="preserve"> </w:t>
      </w:r>
      <w:r>
        <w:t>9.1,</w:t>
      </w:r>
      <w:r>
        <w:rPr>
          <w:spacing w:val="-5"/>
        </w:rPr>
        <w:t xml:space="preserve"> </w:t>
      </w:r>
      <w:r>
        <w:t>9.2</w:t>
      </w:r>
      <w:r>
        <w:rPr>
          <w:spacing w:val="-9"/>
        </w:rPr>
        <w:t xml:space="preserve"> </w:t>
      </w:r>
      <w:r>
        <w:t>and</w:t>
      </w:r>
      <w:r>
        <w:rPr>
          <w:spacing w:val="-9"/>
        </w:rPr>
        <w:t xml:space="preserve"> </w:t>
      </w:r>
      <w:r>
        <w:t>9.3</w:t>
      </w:r>
      <w:r>
        <w:rPr>
          <w:spacing w:val="-9"/>
        </w:rPr>
        <w:t xml:space="preserve"> </w:t>
      </w:r>
      <w:r>
        <w:t>are</w:t>
      </w:r>
      <w:r>
        <w:rPr>
          <w:spacing w:val="-7"/>
        </w:rPr>
        <w:t xml:space="preserve"> </w:t>
      </w:r>
      <w:r>
        <w:t>consequential</w:t>
      </w:r>
      <w:r>
        <w:rPr>
          <w:spacing w:val="-5"/>
        </w:rPr>
        <w:t xml:space="preserve"> </w:t>
      </w:r>
      <w:r>
        <w:t>on the Panel finding a breach under Article 2.</w:t>
      </w:r>
      <w:r>
        <w:rPr>
          <w:spacing w:val="-14"/>
        </w:rPr>
        <w:t xml:space="preserve"> </w:t>
      </w:r>
      <w:hyperlink w:anchor="_bookmark634" w:history="1">
        <w:r>
          <w:rPr>
            <w:vertAlign w:val="superscript"/>
          </w:rPr>
          <w:t>528</w:t>
        </w:r>
      </w:hyperlink>
      <w:r>
        <w:t xml:space="preserve"> But Australia does not accept that MOFCOM made</w:t>
      </w:r>
      <w:r>
        <w:rPr>
          <w:spacing w:val="-13"/>
        </w:rPr>
        <w:t xml:space="preserve"> </w:t>
      </w:r>
      <w:r>
        <w:t>no</w:t>
      </w:r>
      <w:r>
        <w:rPr>
          <w:spacing w:val="-14"/>
        </w:rPr>
        <w:t xml:space="preserve"> </w:t>
      </w:r>
      <w:r>
        <w:t>such</w:t>
      </w:r>
      <w:r>
        <w:rPr>
          <w:spacing w:val="-13"/>
        </w:rPr>
        <w:t xml:space="preserve"> </w:t>
      </w:r>
      <w:r>
        <w:t>violations</w:t>
      </w:r>
      <w:r>
        <w:rPr>
          <w:spacing w:val="-10"/>
        </w:rPr>
        <w:t xml:space="preserve"> </w:t>
      </w:r>
      <w:r>
        <w:t>under</w:t>
      </w:r>
      <w:r>
        <w:rPr>
          <w:spacing w:val="-14"/>
        </w:rPr>
        <w:t xml:space="preserve"> </w:t>
      </w:r>
      <w:r>
        <w:t>Article</w:t>
      </w:r>
      <w:r>
        <w:rPr>
          <w:spacing w:val="-11"/>
        </w:rPr>
        <w:t xml:space="preserve"> </w:t>
      </w:r>
      <w:r>
        <w:t>2</w:t>
      </w:r>
      <w:r>
        <w:rPr>
          <w:spacing w:val="-14"/>
        </w:rPr>
        <w:t xml:space="preserve"> </w:t>
      </w:r>
      <w:r>
        <w:t>and</w:t>
      </w:r>
      <w:r>
        <w:rPr>
          <w:spacing w:val="-9"/>
        </w:rPr>
        <w:t xml:space="preserve"> </w:t>
      </w:r>
      <w:r>
        <w:t>therefore</w:t>
      </w:r>
      <w:r>
        <w:rPr>
          <w:spacing w:val="-12"/>
        </w:rPr>
        <w:t xml:space="preserve"> </w:t>
      </w:r>
      <w:r>
        <w:t>could</w:t>
      </w:r>
      <w:r>
        <w:rPr>
          <w:spacing w:val="-14"/>
        </w:rPr>
        <w:t xml:space="preserve"> </w:t>
      </w:r>
      <w:r>
        <w:t>not</w:t>
      </w:r>
      <w:r>
        <w:rPr>
          <w:spacing w:val="-7"/>
        </w:rPr>
        <w:t xml:space="preserve"> </w:t>
      </w:r>
      <w:r>
        <w:t>have</w:t>
      </w:r>
      <w:r>
        <w:rPr>
          <w:spacing w:val="-12"/>
        </w:rPr>
        <w:t xml:space="preserve"> </w:t>
      </w:r>
      <w:r>
        <w:t>consequentially</w:t>
      </w:r>
      <w:r>
        <w:rPr>
          <w:spacing w:val="-11"/>
        </w:rPr>
        <w:t xml:space="preserve"> </w:t>
      </w:r>
      <w:r>
        <w:t>violated Articles 9.1, 9.2</w:t>
      </w:r>
      <w:r>
        <w:rPr>
          <w:spacing w:val="-4"/>
        </w:rPr>
        <w:t xml:space="preserve"> </w:t>
      </w:r>
      <w:r>
        <w:t>and 9.3. Australia</w:t>
      </w:r>
      <w:r>
        <w:rPr>
          <w:spacing w:val="-2"/>
        </w:rPr>
        <w:t xml:space="preserve"> </w:t>
      </w:r>
      <w:r>
        <w:t>has established</w:t>
      </w:r>
      <w:r>
        <w:rPr>
          <w:spacing w:val="-3"/>
        </w:rPr>
        <w:t xml:space="preserve"> </w:t>
      </w:r>
      <w:r>
        <w:t>a</w:t>
      </w:r>
      <w:r>
        <w:rPr>
          <w:spacing w:val="-2"/>
        </w:rPr>
        <w:t xml:space="preserve"> </w:t>
      </w:r>
      <w:r>
        <w:rPr>
          <w:i/>
        </w:rPr>
        <w:t>prima</w:t>
      </w:r>
      <w:r>
        <w:rPr>
          <w:i/>
          <w:spacing w:val="-1"/>
        </w:rPr>
        <w:t xml:space="preserve"> </w:t>
      </w:r>
      <w:r>
        <w:rPr>
          <w:i/>
        </w:rPr>
        <w:t>facie</w:t>
      </w:r>
      <w:r>
        <w:rPr>
          <w:i/>
          <w:spacing w:val="-1"/>
        </w:rPr>
        <w:t xml:space="preserve"> </w:t>
      </w:r>
      <w:r>
        <w:t>case</w:t>
      </w:r>
      <w:r>
        <w:rPr>
          <w:spacing w:val="-1"/>
        </w:rPr>
        <w:t xml:space="preserve"> </w:t>
      </w:r>
      <w:r>
        <w:t>that</w:t>
      </w:r>
      <w:r>
        <w:rPr>
          <w:spacing w:val="-1"/>
        </w:rPr>
        <w:t xml:space="preserve"> </w:t>
      </w:r>
      <w:r>
        <w:t>China</w:t>
      </w:r>
      <w:r>
        <w:rPr>
          <w:spacing w:val="-2"/>
        </w:rPr>
        <w:t xml:space="preserve"> </w:t>
      </w:r>
      <w:r>
        <w:t>has breached its obligations under Article 2, 2.1, 2.2, 2.2.1 and 2.4.</w:t>
      </w:r>
      <w:r>
        <w:rPr>
          <w:spacing w:val="-29"/>
        </w:rPr>
        <w:t xml:space="preserve"> </w:t>
      </w:r>
      <w:hyperlink w:anchor="_bookmark635" w:history="1">
        <w:r>
          <w:rPr>
            <w:vertAlign w:val="superscript"/>
          </w:rPr>
          <w:t>529</w:t>
        </w:r>
      </w:hyperlink>
    </w:p>
    <w:p w14:paraId="226824FB" w14:textId="77777777" w:rsidR="00BD462C" w:rsidRDefault="00BD462C">
      <w:pPr>
        <w:pStyle w:val="BodyText"/>
        <w:spacing w:before="2"/>
        <w:rPr>
          <w:sz w:val="8"/>
        </w:rPr>
      </w:pPr>
    </w:p>
    <w:p w14:paraId="791D70A5" w14:textId="5E650E3D" w:rsidR="00BD462C" w:rsidRPr="00185AF5" w:rsidRDefault="00033D0F" w:rsidP="00185AF5">
      <w:pPr>
        <w:pStyle w:val="BodyText"/>
        <w:numPr>
          <w:ilvl w:val="0"/>
          <w:numId w:val="77"/>
        </w:numPr>
        <w:spacing w:before="56" w:line="360" w:lineRule="auto"/>
        <w:ind w:right="913"/>
        <w:jc w:val="both"/>
      </w:pPr>
      <w:r>
        <w:rPr>
          <w:position w:val="1"/>
        </w:rPr>
        <w:t xml:space="preserve">In China's first written submission, China mistakenly appears to argue that Australia </w:t>
      </w:r>
      <w:r>
        <w:t>posited "an independent claim of violation regarding Article VI:1 of the GATT 1994" and asks that this claim be "summarily rejected for a lack of proper legal basis".</w:t>
      </w:r>
      <w:hyperlink w:anchor="_bookmark636" w:history="1">
        <w:r>
          <w:rPr>
            <w:vertAlign w:val="superscript"/>
          </w:rPr>
          <w:t>530</w:t>
        </w:r>
      </w:hyperlink>
      <w:r>
        <w:t xml:space="preserve"> It is clear from Australia's</w:t>
      </w:r>
      <w:r>
        <w:rPr>
          <w:spacing w:val="-2"/>
        </w:rPr>
        <w:t xml:space="preserve"> </w:t>
      </w:r>
      <w:r>
        <w:t>Panel</w:t>
      </w:r>
      <w:r>
        <w:rPr>
          <w:spacing w:val="-1"/>
        </w:rPr>
        <w:t xml:space="preserve"> </w:t>
      </w:r>
      <w:r>
        <w:t>Request</w:t>
      </w:r>
      <w:hyperlink w:anchor="_bookmark637" w:history="1">
        <w:r>
          <w:rPr>
            <w:vertAlign w:val="superscript"/>
          </w:rPr>
          <w:t>531</w:t>
        </w:r>
      </w:hyperlink>
      <w:r>
        <w:rPr>
          <w:spacing w:val="-3"/>
        </w:rPr>
        <w:t xml:space="preserve"> </w:t>
      </w:r>
      <w:r>
        <w:t>and</w:t>
      </w:r>
      <w:r>
        <w:rPr>
          <w:spacing w:val="-5"/>
        </w:rPr>
        <w:t xml:space="preserve"> </w:t>
      </w:r>
      <w:r>
        <w:t>first</w:t>
      </w:r>
      <w:r>
        <w:rPr>
          <w:spacing w:val="-3"/>
        </w:rPr>
        <w:t xml:space="preserve"> </w:t>
      </w:r>
      <w:r>
        <w:t>written</w:t>
      </w:r>
      <w:r>
        <w:rPr>
          <w:spacing w:val="-5"/>
        </w:rPr>
        <w:t xml:space="preserve"> </w:t>
      </w:r>
      <w:r>
        <w:t>submission</w:t>
      </w:r>
      <w:hyperlink w:anchor="_bookmark638" w:history="1">
        <w:r>
          <w:rPr>
            <w:vertAlign w:val="superscript"/>
          </w:rPr>
          <w:t>532</w:t>
        </w:r>
      </w:hyperlink>
      <w:r>
        <w:rPr>
          <w:spacing w:val="-3"/>
        </w:rPr>
        <w:t xml:space="preserve"> </w:t>
      </w:r>
      <w:r>
        <w:t>that</w:t>
      </w:r>
      <w:r>
        <w:rPr>
          <w:spacing w:val="-3"/>
        </w:rPr>
        <w:t xml:space="preserve"> </w:t>
      </w:r>
      <w:r>
        <w:t>Australia's</w:t>
      </w:r>
      <w:r>
        <w:rPr>
          <w:spacing w:val="-2"/>
        </w:rPr>
        <w:t xml:space="preserve"> </w:t>
      </w:r>
      <w:r>
        <w:t>claim</w:t>
      </w:r>
      <w:r>
        <w:rPr>
          <w:spacing w:val="-8"/>
        </w:rPr>
        <w:t xml:space="preserve"> </w:t>
      </w:r>
      <w:r>
        <w:t>is</w:t>
      </w:r>
      <w:r>
        <w:rPr>
          <w:spacing w:val="-2"/>
        </w:rPr>
        <w:t xml:space="preserve"> </w:t>
      </w:r>
      <w:r>
        <w:t>that</w:t>
      </w:r>
      <w:r>
        <w:rPr>
          <w:spacing w:val="-3"/>
        </w:rPr>
        <w:t xml:space="preserve"> </w:t>
      </w:r>
      <w:r>
        <w:t>China consequentially breached Article VI:2 of the GATT 1994, by imposing duties in excess of the dumping margin that would have been determined consistently with Article VI:1. Article</w:t>
      </w:r>
      <w:r>
        <w:rPr>
          <w:spacing w:val="-1"/>
        </w:rPr>
        <w:t xml:space="preserve"> </w:t>
      </w:r>
      <w:r>
        <w:t>VI:2 permits the imposition of anti-dumping duties on a dumped product "in order to offset or prevent dumping", provided the duty is "not greater in amount than the margin of dumping in respect of such product". It intersects with Article VI:1 to the extent that</w:t>
      </w:r>
    </w:p>
    <w:p w14:paraId="79776100" w14:textId="6E8A45AD" w:rsidR="00BD462C" w:rsidRDefault="00D70C7D">
      <w:pPr>
        <w:pStyle w:val="BodyText"/>
        <w:spacing w:before="1"/>
        <w:rPr>
          <w:sz w:val="19"/>
        </w:rPr>
      </w:pPr>
      <w:r>
        <w:rPr>
          <w:noProof/>
        </w:rPr>
        <mc:AlternateContent>
          <mc:Choice Requires="wps">
            <w:drawing>
              <wp:inline distT="0" distB="0" distL="0" distR="0" wp14:anchorId="41D3C712" wp14:editId="7F7A9A5F">
                <wp:extent cx="1828800" cy="8890"/>
                <wp:effectExtent l="0" t="0" r="0" b="0"/>
                <wp:docPr id="806" name="docshape3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CA01B2" id="docshape313" o:spid="_x0000_s1026" alt="&quot;&quot;" style="width:2in;height:.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" fillcolor="black" stroked="f">
                <w10:anchorlock/>
              </v:rect>
            </w:pict>
          </mc:Fallback>
        </mc:AlternateContent>
      </w:r>
    </w:p>
    <w:p w14:paraId="73D12EF7" w14:textId="77777777" w:rsidR="00BD462C" w:rsidRDefault="00033D0F">
      <w:pPr>
        <w:spacing w:before="112"/>
        <w:ind w:left="135"/>
        <w:rPr>
          <w:sz w:val="18"/>
        </w:rPr>
      </w:pPr>
      <w:bookmarkStart w:id="735" w:name="_bookmark631"/>
      <w:bookmarkEnd w:id="735"/>
      <w:r>
        <w:rPr>
          <w:position w:val="5"/>
          <w:sz w:val="12"/>
        </w:rPr>
        <w:t>525</w:t>
      </w:r>
      <w:r>
        <w:rPr>
          <w:spacing w:val="13"/>
          <w:position w:val="5"/>
          <w:sz w:val="12"/>
        </w:rPr>
        <w:t xml:space="preserve"> </w:t>
      </w:r>
      <w:r>
        <w:rPr>
          <w:sz w:val="18"/>
        </w:rPr>
        <w:t>Australia's</w:t>
      </w:r>
      <w:r>
        <w:rPr>
          <w:spacing w:val="-4"/>
          <w:sz w:val="18"/>
        </w:rPr>
        <w:t xml:space="preserve"> </w:t>
      </w:r>
      <w:r>
        <w:rPr>
          <w:sz w:val="18"/>
        </w:rPr>
        <w:t>first</w:t>
      </w:r>
      <w:r>
        <w:rPr>
          <w:spacing w:val="-4"/>
          <w:sz w:val="18"/>
        </w:rPr>
        <w:t xml:space="preserve"> </w:t>
      </w:r>
      <w:r>
        <w:rPr>
          <w:sz w:val="18"/>
        </w:rPr>
        <w:t>written</w:t>
      </w:r>
      <w:r>
        <w:rPr>
          <w:spacing w:val="-1"/>
          <w:sz w:val="18"/>
        </w:rPr>
        <w:t xml:space="preserve"> </w:t>
      </w:r>
      <w:r>
        <w:rPr>
          <w:sz w:val="18"/>
        </w:rPr>
        <w:t>submission,</w:t>
      </w:r>
      <w:r>
        <w:rPr>
          <w:spacing w:val="-3"/>
          <w:sz w:val="18"/>
        </w:rPr>
        <w:t xml:space="preserve"> </w:t>
      </w:r>
      <w:r>
        <w:rPr>
          <w:sz w:val="18"/>
        </w:rPr>
        <w:t>sections</w:t>
      </w:r>
      <w:r>
        <w:rPr>
          <w:spacing w:val="-5"/>
          <w:sz w:val="18"/>
        </w:rPr>
        <w:t xml:space="preserve"> </w:t>
      </w:r>
      <w:r>
        <w:rPr>
          <w:sz w:val="18"/>
        </w:rPr>
        <w:t>II.E.3,</w:t>
      </w:r>
      <w:r>
        <w:rPr>
          <w:spacing w:val="-2"/>
          <w:sz w:val="18"/>
        </w:rPr>
        <w:t xml:space="preserve"> </w:t>
      </w:r>
      <w:r>
        <w:rPr>
          <w:sz w:val="18"/>
        </w:rPr>
        <w:t>II.F.2</w:t>
      </w:r>
      <w:r>
        <w:rPr>
          <w:spacing w:val="-7"/>
          <w:sz w:val="18"/>
        </w:rPr>
        <w:t xml:space="preserve"> </w:t>
      </w:r>
      <w:r>
        <w:rPr>
          <w:sz w:val="18"/>
        </w:rPr>
        <w:t>and</w:t>
      </w:r>
      <w:r>
        <w:rPr>
          <w:spacing w:val="-6"/>
          <w:sz w:val="18"/>
        </w:rPr>
        <w:t xml:space="preserve"> </w:t>
      </w:r>
      <w:r>
        <w:rPr>
          <w:spacing w:val="-2"/>
          <w:sz w:val="18"/>
        </w:rPr>
        <w:t>II.G.3.</w:t>
      </w:r>
    </w:p>
    <w:p w14:paraId="3B039E36" w14:textId="77777777" w:rsidR="00BD462C" w:rsidRDefault="00033D0F">
      <w:pPr>
        <w:spacing w:before="1" w:line="218" w:lineRule="exact"/>
        <w:ind w:left="135"/>
        <w:rPr>
          <w:sz w:val="18"/>
        </w:rPr>
      </w:pPr>
      <w:bookmarkStart w:id="736" w:name="_bookmark632"/>
      <w:bookmarkEnd w:id="736"/>
      <w:r>
        <w:rPr>
          <w:position w:val="5"/>
          <w:sz w:val="12"/>
        </w:rPr>
        <w:t>526</w:t>
      </w:r>
      <w:r>
        <w:rPr>
          <w:spacing w:val="13"/>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 xml:space="preserve">para. </w:t>
      </w:r>
      <w:r>
        <w:rPr>
          <w:spacing w:val="-2"/>
          <w:sz w:val="18"/>
        </w:rPr>
        <w:t>2211.</w:t>
      </w:r>
    </w:p>
    <w:p w14:paraId="14D9476D" w14:textId="77777777" w:rsidR="00BD462C" w:rsidRDefault="00033D0F">
      <w:pPr>
        <w:spacing w:line="218" w:lineRule="exact"/>
        <w:ind w:left="135"/>
        <w:rPr>
          <w:sz w:val="18"/>
        </w:rPr>
      </w:pPr>
      <w:bookmarkStart w:id="737" w:name="_bookmark633"/>
      <w:bookmarkEnd w:id="737"/>
      <w:r>
        <w:rPr>
          <w:position w:val="5"/>
          <w:sz w:val="12"/>
        </w:rPr>
        <w:t>527</w:t>
      </w:r>
      <w:r>
        <w:rPr>
          <w:spacing w:val="13"/>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 xml:space="preserve">para. </w:t>
      </w:r>
      <w:r>
        <w:rPr>
          <w:spacing w:val="-2"/>
          <w:sz w:val="18"/>
        </w:rPr>
        <w:t>2216.</w:t>
      </w:r>
    </w:p>
    <w:p w14:paraId="6E95D0D9" w14:textId="77777777" w:rsidR="00BD462C" w:rsidRDefault="00033D0F">
      <w:pPr>
        <w:spacing w:before="1"/>
        <w:ind w:left="135"/>
        <w:rPr>
          <w:sz w:val="18"/>
        </w:rPr>
      </w:pPr>
      <w:bookmarkStart w:id="738" w:name="_bookmark634"/>
      <w:bookmarkEnd w:id="738"/>
      <w:r>
        <w:rPr>
          <w:position w:val="5"/>
          <w:sz w:val="12"/>
        </w:rPr>
        <w:t>528</w:t>
      </w:r>
      <w:r>
        <w:rPr>
          <w:spacing w:val="12"/>
          <w:position w:val="5"/>
          <w:sz w:val="12"/>
        </w:rPr>
        <w:t xml:space="preserve"> </w:t>
      </w:r>
      <w:r>
        <w:rPr>
          <w:sz w:val="18"/>
        </w:rPr>
        <w:t>Australia's</w:t>
      </w:r>
      <w:r>
        <w:rPr>
          <w:spacing w:val="-6"/>
          <w:sz w:val="18"/>
        </w:rPr>
        <w:t xml:space="preserve"> </w:t>
      </w:r>
      <w:r>
        <w:rPr>
          <w:sz w:val="18"/>
        </w:rPr>
        <w:t>first</w:t>
      </w:r>
      <w:r>
        <w:rPr>
          <w:spacing w:val="-6"/>
          <w:sz w:val="18"/>
        </w:rPr>
        <w:t xml:space="preserve"> </w:t>
      </w:r>
      <w:r>
        <w:rPr>
          <w:sz w:val="18"/>
        </w:rPr>
        <w:t>written</w:t>
      </w:r>
      <w:r>
        <w:rPr>
          <w:spacing w:val="-2"/>
          <w:sz w:val="18"/>
        </w:rPr>
        <w:t xml:space="preserve"> </w:t>
      </w:r>
      <w:r>
        <w:rPr>
          <w:sz w:val="18"/>
        </w:rPr>
        <w:t>submission, para.</w:t>
      </w:r>
      <w:r>
        <w:rPr>
          <w:spacing w:val="-5"/>
          <w:sz w:val="18"/>
        </w:rPr>
        <w:t xml:space="preserve"> </w:t>
      </w:r>
      <w:r>
        <w:rPr>
          <w:spacing w:val="-4"/>
          <w:sz w:val="18"/>
        </w:rPr>
        <w:t>713.</w:t>
      </w:r>
    </w:p>
    <w:p w14:paraId="047A1424" w14:textId="77777777" w:rsidR="00BD462C" w:rsidRDefault="00033D0F">
      <w:pPr>
        <w:spacing w:before="1"/>
        <w:ind w:left="135"/>
        <w:rPr>
          <w:sz w:val="18"/>
        </w:rPr>
      </w:pPr>
      <w:bookmarkStart w:id="739" w:name="_bookmark635"/>
      <w:bookmarkEnd w:id="739"/>
      <w:r>
        <w:rPr>
          <w:position w:val="5"/>
          <w:sz w:val="12"/>
        </w:rPr>
        <w:t>529</w:t>
      </w:r>
      <w:r>
        <w:rPr>
          <w:spacing w:val="13"/>
          <w:position w:val="5"/>
          <w:sz w:val="12"/>
        </w:rPr>
        <w:t xml:space="preserve"> </w:t>
      </w:r>
      <w:r>
        <w:rPr>
          <w:sz w:val="18"/>
        </w:rPr>
        <w:t>Australia's</w:t>
      </w:r>
      <w:r>
        <w:rPr>
          <w:spacing w:val="-5"/>
          <w:sz w:val="18"/>
        </w:rPr>
        <w:t xml:space="preserve"> </w:t>
      </w:r>
      <w:r>
        <w:rPr>
          <w:sz w:val="18"/>
        </w:rPr>
        <w:t>first</w:t>
      </w:r>
      <w:r>
        <w:rPr>
          <w:spacing w:val="-4"/>
          <w:sz w:val="18"/>
        </w:rPr>
        <w:t xml:space="preserve"> </w:t>
      </w:r>
      <w:r>
        <w:rPr>
          <w:sz w:val="18"/>
        </w:rPr>
        <w:t>written</w:t>
      </w:r>
      <w:r>
        <w:rPr>
          <w:spacing w:val="-1"/>
          <w:sz w:val="18"/>
        </w:rPr>
        <w:t xml:space="preserve"> </w:t>
      </w:r>
      <w:r>
        <w:rPr>
          <w:sz w:val="18"/>
        </w:rPr>
        <w:t>submission,</w:t>
      </w:r>
      <w:r>
        <w:rPr>
          <w:spacing w:val="-4"/>
          <w:sz w:val="18"/>
        </w:rPr>
        <w:t xml:space="preserve"> </w:t>
      </w:r>
      <w:r>
        <w:rPr>
          <w:sz w:val="18"/>
        </w:rPr>
        <w:t>sections</w:t>
      </w:r>
      <w:r>
        <w:rPr>
          <w:spacing w:val="-5"/>
          <w:sz w:val="18"/>
        </w:rPr>
        <w:t xml:space="preserve"> </w:t>
      </w:r>
      <w:r>
        <w:rPr>
          <w:sz w:val="18"/>
        </w:rPr>
        <w:t>II.E.3,</w:t>
      </w:r>
      <w:r>
        <w:rPr>
          <w:spacing w:val="-3"/>
          <w:sz w:val="18"/>
        </w:rPr>
        <w:t xml:space="preserve"> </w:t>
      </w:r>
      <w:r>
        <w:rPr>
          <w:sz w:val="18"/>
        </w:rPr>
        <w:t>II.2</w:t>
      </w:r>
      <w:r>
        <w:rPr>
          <w:spacing w:val="-2"/>
          <w:sz w:val="18"/>
        </w:rPr>
        <w:t xml:space="preserve"> </w:t>
      </w:r>
      <w:r>
        <w:rPr>
          <w:sz w:val="18"/>
        </w:rPr>
        <w:t>and</w:t>
      </w:r>
      <w:r>
        <w:rPr>
          <w:spacing w:val="-6"/>
          <w:sz w:val="18"/>
        </w:rPr>
        <w:t xml:space="preserve"> </w:t>
      </w:r>
      <w:r>
        <w:rPr>
          <w:spacing w:val="-2"/>
          <w:sz w:val="18"/>
        </w:rPr>
        <w:t>II.G.3.</w:t>
      </w:r>
    </w:p>
    <w:p w14:paraId="5A634D91" w14:textId="77777777" w:rsidR="00BD462C" w:rsidRDefault="00033D0F">
      <w:pPr>
        <w:spacing w:before="1" w:line="218" w:lineRule="exact"/>
        <w:ind w:left="135"/>
        <w:rPr>
          <w:sz w:val="18"/>
        </w:rPr>
      </w:pPr>
      <w:bookmarkStart w:id="740" w:name="_bookmark636"/>
      <w:bookmarkEnd w:id="740"/>
      <w:r>
        <w:rPr>
          <w:position w:val="5"/>
          <w:sz w:val="12"/>
        </w:rPr>
        <w:t>530</w:t>
      </w:r>
      <w:r>
        <w:rPr>
          <w:spacing w:val="13"/>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 xml:space="preserve">para. </w:t>
      </w:r>
      <w:r>
        <w:rPr>
          <w:spacing w:val="-2"/>
          <w:sz w:val="18"/>
        </w:rPr>
        <w:t>2214.</w:t>
      </w:r>
    </w:p>
    <w:p w14:paraId="2EA39F20" w14:textId="77777777" w:rsidR="00BD462C" w:rsidRDefault="00033D0F">
      <w:pPr>
        <w:ind w:left="135" w:right="909"/>
        <w:jc w:val="both"/>
        <w:rPr>
          <w:sz w:val="18"/>
        </w:rPr>
      </w:pPr>
      <w:bookmarkStart w:id="741" w:name="_bookmark637"/>
      <w:bookmarkEnd w:id="741"/>
      <w:r>
        <w:rPr>
          <w:position w:val="5"/>
          <w:sz w:val="12"/>
        </w:rPr>
        <w:t>531</w:t>
      </w:r>
      <w:r>
        <w:rPr>
          <w:spacing w:val="40"/>
          <w:position w:val="5"/>
          <w:sz w:val="12"/>
        </w:rPr>
        <w:t xml:space="preserve"> </w:t>
      </w:r>
      <w:r>
        <w:rPr>
          <w:sz w:val="18"/>
        </w:rPr>
        <w:t>Australia's Panel request, para. xxii: "Article VI:2 of GATT 1994 and Article 9.1, 9.2, 9.3 and 9.4 of the Anti-Dumping Agreement</w:t>
      </w:r>
      <w:r>
        <w:rPr>
          <w:spacing w:val="-7"/>
          <w:sz w:val="18"/>
        </w:rPr>
        <w:t xml:space="preserve"> </w:t>
      </w:r>
      <w:r>
        <w:rPr>
          <w:sz w:val="18"/>
        </w:rPr>
        <w:t>because,</w:t>
      </w:r>
      <w:r>
        <w:rPr>
          <w:spacing w:val="-1"/>
          <w:sz w:val="18"/>
        </w:rPr>
        <w:t xml:space="preserve"> </w:t>
      </w:r>
      <w:r>
        <w:rPr>
          <w:i/>
          <w:sz w:val="18"/>
        </w:rPr>
        <w:t>inter</w:t>
      </w:r>
      <w:r>
        <w:rPr>
          <w:i/>
          <w:spacing w:val="-9"/>
          <w:sz w:val="18"/>
        </w:rPr>
        <w:t xml:space="preserve"> </w:t>
      </w:r>
      <w:r>
        <w:rPr>
          <w:i/>
          <w:sz w:val="18"/>
        </w:rPr>
        <w:t>alia</w:t>
      </w:r>
      <w:r>
        <w:rPr>
          <w:sz w:val="18"/>
        </w:rPr>
        <w:t>,</w:t>
      </w:r>
      <w:r>
        <w:rPr>
          <w:spacing w:val="-1"/>
          <w:sz w:val="18"/>
        </w:rPr>
        <w:t xml:space="preserve"> </w:t>
      </w:r>
      <w:r>
        <w:rPr>
          <w:sz w:val="18"/>
        </w:rPr>
        <w:t>China:</w:t>
      </w:r>
      <w:r>
        <w:rPr>
          <w:spacing w:val="-5"/>
          <w:sz w:val="18"/>
        </w:rPr>
        <w:t xml:space="preserve"> </w:t>
      </w:r>
      <w:r>
        <w:rPr>
          <w:sz w:val="18"/>
        </w:rPr>
        <w:t>has</w:t>
      </w:r>
      <w:r>
        <w:rPr>
          <w:spacing w:val="-3"/>
          <w:sz w:val="18"/>
        </w:rPr>
        <w:t xml:space="preserve"> </w:t>
      </w:r>
      <w:r>
        <w:rPr>
          <w:sz w:val="18"/>
        </w:rPr>
        <w:t>imposed</w:t>
      </w:r>
      <w:r>
        <w:rPr>
          <w:spacing w:val="-4"/>
          <w:sz w:val="18"/>
        </w:rPr>
        <w:t xml:space="preserve"> </w:t>
      </w:r>
      <w:r>
        <w:rPr>
          <w:sz w:val="18"/>
        </w:rPr>
        <w:t>anti-dumping</w:t>
      </w:r>
      <w:r>
        <w:rPr>
          <w:spacing w:val="-3"/>
          <w:sz w:val="18"/>
        </w:rPr>
        <w:t xml:space="preserve"> </w:t>
      </w:r>
      <w:r>
        <w:rPr>
          <w:sz w:val="18"/>
        </w:rPr>
        <w:t>duties</w:t>
      </w:r>
      <w:r>
        <w:rPr>
          <w:spacing w:val="-3"/>
          <w:sz w:val="18"/>
        </w:rPr>
        <w:t xml:space="preserve"> </w:t>
      </w:r>
      <w:r>
        <w:rPr>
          <w:sz w:val="18"/>
        </w:rPr>
        <w:t>where</w:t>
      </w:r>
      <w:r>
        <w:rPr>
          <w:spacing w:val="-3"/>
          <w:sz w:val="18"/>
        </w:rPr>
        <w:t xml:space="preserve"> </w:t>
      </w:r>
      <w:r>
        <w:rPr>
          <w:sz w:val="18"/>
        </w:rPr>
        <w:t>all</w:t>
      </w:r>
      <w:r>
        <w:rPr>
          <w:spacing w:val="-2"/>
          <w:sz w:val="18"/>
        </w:rPr>
        <w:t xml:space="preserve"> </w:t>
      </w:r>
      <w:r>
        <w:rPr>
          <w:sz w:val="18"/>
        </w:rPr>
        <w:t>requirements</w:t>
      </w:r>
      <w:r>
        <w:rPr>
          <w:spacing w:val="-8"/>
          <w:sz w:val="18"/>
        </w:rPr>
        <w:t xml:space="preserve"> </w:t>
      </w:r>
      <w:r>
        <w:rPr>
          <w:sz w:val="18"/>
        </w:rPr>
        <w:t>for</w:t>
      </w:r>
      <w:r>
        <w:rPr>
          <w:spacing w:val="-10"/>
          <w:sz w:val="18"/>
        </w:rPr>
        <w:t xml:space="preserve"> </w:t>
      </w:r>
      <w:r>
        <w:rPr>
          <w:sz w:val="18"/>
        </w:rPr>
        <w:t>their</w:t>
      </w:r>
      <w:r>
        <w:rPr>
          <w:spacing w:val="-5"/>
          <w:sz w:val="18"/>
        </w:rPr>
        <w:t xml:space="preserve"> </w:t>
      </w:r>
      <w:r>
        <w:rPr>
          <w:sz w:val="18"/>
        </w:rPr>
        <w:t>imposition</w:t>
      </w:r>
      <w:r>
        <w:rPr>
          <w:spacing w:val="-4"/>
          <w:sz w:val="18"/>
        </w:rPr>
        <w:t xml:space="preserve"> </w:t>
      </w:r>
      <w:r>
        <w:rPr>
          <w:sz w:val="18"/>
        </w:rPr>
        <w:t>have</w:t>
      </w:r>
      <w:r>
        <w:rPr>
          <w:spacing w:val="-3"/>
          <w:sz w:val="18"/>
        </w:rPr>
        <w:t xml:space="preserve"> </w:t>
      </w:r>
      <w:r>
        <w:rPr>
          <w:sz w:val="18"/>
        </w:rPr>
        <w:t>not been</w:t>
      </w:r>
      <w:r>
        <w:rPr>
          <w:spacing w:val="-7"/>
          <w:sz w:val="18"/>
        </w:rPr>
        <w:t xml:space="preserve"> </w:t>
      </w:r>
      <w:r>
        <w:rPr>
          <w:sz w:val="18"/>
        </w:rPr>
        <w:t>fulfilled;</w:t>
      </w:r>
      <w:r>
        <w:rPr>
          <w:spacing w:val="-4"/>
          <w:sz w:val="18"/>
        </w:rPr>
        <w:t xml:space="preserve"> </w:t>
      </w:r>
      <w:r>
        <w:rPr>
          <w:sz w:val="18"/>
        </w:rPr>
        <w:t>has</w:t>
      </w:r>
      <w:r>
        <w:rPr>
          <w:spacing w:val="-2"/>
          <w:sz w:val="18"/>
        </w:rPr>
        <w:t xml:space="preserve"> </w:t>
      </w:r>
      <w:r>
        <w:rPr>
          <w:sz w:val="18"/>
        </w:rPr>
        <w:t>not</w:t>
      </w:r>
      <w:r>
        <w:rPr>
          <w:spacing w:val="-1"/>
          <w:sz w:val="18"/>
        </w:rPr>
        <w:t xml:space="preserve"> </w:t>
      </w:r>
      <w:r>
        <w:rPr>
          <w:sz w:val="18"/>
        </w:rPr>
        <w:t>imposed</w:t>
      </w:r>
      <w:r>
        <w:rPr>
          <w:spacing w:val="-3"/>
          <w:sz w:val="18"/>
        </w:rPr>
        <w:t xml:space="preserve"> </w:t>
      </w:r>
      <w:r>
        <w:rPr>
          <w:sz w:val="18"/>
        </w:rPr>
        <w:t>anti-dumping</w:t>
      </w:r>
      <w:r>
        <w:rPr>
          <w:spacing w:val="-2"/>
          <w:sz w:val="18"/>
        </w:rPr>
        <w:t xml:space="preserve"> </w:t>
      </w:r>
      <w:r>
        <w:rPr>
          <w:sz w:val="18"/>
        </w:rPr>
        <w:t>duties</w:t>
      </w:r>
      <w:r>
        <w:rPr>
          <w:spacing w:val="-2"/>
          <w:sz w:val="18"/>
        </w:rPr>
        <w:t xml:space="preserve"> </w:t>
      </w:r>
      <w:r>
        <w:rPr>
          <w:sz w:val="18"/>
        </w:rPr>
        <w:t>in</w:t>
      </w:r>
      <w:r>
        <w:rPr>
          <w:spacing w:val="-3"/>
          <w:sz w:val="18"/>
        </w:rPr>
        <w:t xml:space="preserve"> </w:t>
      </w:r>
      <w:r>
        <w:rPr>
          <w:sz w:val="18"/>
        </w:rPr>
        <w:t>appropriate</w:t>
      </w:r>
      <w:r>
        <w:rPr>
          <w:spacing w:val="-7"/>
          <w:sz w:val="18"/>
        </w:rPr>
        <w:t xml:space="preserve"> </w:t>
      </w:r>
      <w:r>
        <w:rPr>
          <w:sz w:val="18"/>
        </w:rPr>
        <w:t>amounts; and</w:t>
      </w:r>
      <w:r>
        <w:rPr>
          <w:spacing w:val="-3"/>
          <w:sz w:val="18"/>
        </w:rPr>
        <w:t xml:space="preserve"> </w:t>
      </w:r>
      <w:r>
        <w:rPr>
          <w:sz w:val="18"/>
        </w:rPr>
        <w:t>has</w:t>
      </w:r>
      <w:r>
        <w:rPr>
          <w:spacing w:val="-7"/>
          <w:sz w:val="18"/>
        </w:rPr>
        <w:t xml:space="preserve"> </w:t>
      </w:r>
      <w:r>
        <w:rPr>
          <w:sz w:val="18"/>
        </w:rPr>
        <w:t>imposed</w:t>
      </w:r>
      <w:r>
        <w:rPr>
          <w:spacing w:val="-3"/>
          <w:sz w:val="18"/>
        </w:rPr>
        <w:t xml:space="preserve"> </w:t>
      </w:r>
      <w:r>
        <w:rPr>
          <w:sz w:val="18"/>
        </w:rPr>
        <w:t>anti-dumping</w:t>
      </w:r>
      <w:r>
        <w:rPr>
          <w:spacing w:val="-2"/>
          <w:sz w:val="18"/>
        </w:rPr>
        <w:t xml:space="preserve"> </w:t>
      </w:r>
      <w:r>
        <w:rPr>
          <w:sz w:val="18"/>
        </w:rPr>
        <w:t>duties</w:t>
      </w:r>
      <w:r>
        <w:rPr>
          <w:spacing w:val="-7"/>
          <w:sz w:val="18"/>
        </w:rPr>
        <w:t xml:space="preserve"> </w:t>
      </w:r>
      <w:r>
        <w:rPr>
          <w:sz w:val="18"/>
        </w:rPr>
        <w:t>in</w:t>
      </w:r>
      <w:r>
        <w:rPr>
          <w:spacing w:val="-3"/>
          <w:sz w:val="18"/>
        </w:rPr>
        <w:t xml:space="preserve"> </w:t>
      </w:r>
      <w:r>
        <w:rPr>
          <w:sz w:val="18"/>
        </w:rPr>
        <w:t>excess of the margin of dumping that should have been established under Article 2 of the Anti-Dumping Agreement."</w:t>
      </w:r>
    </w:p>
    <w:p w14:paraId="561C543B" w14:textId="77777777" w:rsidR="00BD462C" w:rsidRDefault="00033D0F">
      <w:pPr>
        <w:spacing w:before="2"/>
        <w:ind w:left="135"/>
        <w:jc w:val="both"/>
        <w:rPr>
          <w:sz w:val="18"/>
        </w:rPr>
      </w:pPr>
      <w:bookmarkStart w:id="742" w:name="_bookmark638"/>
      <w:bookmarkEnd w:id="742"/>
      <w:r>
        <w:rPr>
          <w:position w:val="5"/>
          <w:sz w:val="12"/>
        </w:rPr>
        <w:t>532</w:t>
      </w:r>
      <w:r>
        <w:rPr>
          <w:spacing w:val="10"/>
          <w:position w:val="5"/>
          <w:sz w:val="12"/>
        </w:rPr>
        <w:t xml:space="preserve"> </w:t>
      </w:r>
      <w:r>
        <w:rPr>
          <w:sz w:val="18"/>
        </w:rPr>
        <w:t>Australia's</w:t>
      </w:r>
      <w:r>
        <w:rPr>
          <w:spacing w:val="-6"/>
          <w:sz w:val="18"/>
        </w:rPr>
        <w:t xml:space="preserve"> </w:t>
      </w:r>
      <w:r>
        <w:rPr>
          <w:sz w:val="18"/>
        </w:rPr>
        <w:t>first</w:t>
      </w:r>
      <w:r>
        <w:rPr>
          <w:spacing w:val="-6"/>
          <w:sz w:val="18"/>
        </w:rPr>
        <w:t xml:space="preserve"> </w:t>
      </w:r>
      <w:r>
        <w:rPr>
          <w:sz w:val="18"/>
        </w:rPr>
        <w:t>written</w:t>
      </w:r>
      <w:r>
        <w:rPr>
          <w:spacing w:val="-3"/>
          <w:sz w:val="18"/>
        </w:rPr>
        <w:t xml:space="preserve"> </w:t>
      </w:r>
      <w:r>
        <w:rPr>
          <w:sz w:val="18"/>
        </w:rPr>
        <w:t>submission,</w:t>
      </w:r>
      <w:r>
        <w:rPr>
          <w:spacing w:val="-5"/>
          <w:sz w:val="18"/>
        </w:rPr>
        <w:t xml:space="preserve"> </w:t>
      </w:r>
      <w:r>
        <w:rPr>
          <w:sz w:val="18"/>
        </w:rPr>
        <w:t>section</w:t>
      </w:r>
      <w:r>
        <w:rPr>
          <w:spacing w:val="-10"/>
          <w:sz w:val="18"/>
        </w:rPr>
        <w:t xml:space="preserve"> </w:t>
      </w:r>
      <w:r>
        <w:rPr>
          <w:sz w:val="18"/>
        </w:rPr>
        <w:t>VI.A,</w:t>
      </w:r>
      <w:r>
        <w:rPr>
          <w:spacing w:val="-1"/>
          <w:sz w:val="18"/>
        </w:rPr>
        <w:t xml:space="preserve"> </w:t>
      </w:r>
      <w:r>
        <w:rPr>
          <w:sz w:val="18"/>
        </w:rPr>
        <w:t>paras.</w:t>
      </w:r>
      <w:r>
        <w:rPr>
          <w:spacing w:val="-6"/>
          <w:sz w:val="18"/>
        </w:rPr>
        <w:t xml:space="preserve"> </w:t>
      </w:r>
      <w:r>
        <w:rPr>
          <w:sz w:val="18"/>
        </w:rPr>
        <w:t>698, 700,</w:t>
      </w:r>
      <w:r>
        <w:rPr>
          <w:spacing w:val="-1"/>
          <w:sz w:val="18"/>
        </w:rPr>
        <w:t xml:space="preserve"> </w:t>
      </w:r>
      <w:r>
        <w:rPr>
          <w:sz w:val="18"/>
        </w:rPr>
        <w:t>710,</w:t>
      </w:r>
      <w:r>
        <w:rPr>
          <w:spacing w:val="-1"/>
          <w:sz w:val="18"/>
        </w:rPr>
        <w:t xml:space="preserve"> </w:t>
      </w:r>
      <w:r>
        <w:rPr>
          <w:sz w:val="18"/>
        </w:rPr>
        <w:t>711, 718,</w:t>
      </w:r>
      <w:r>
        <w:rPr>
          <w:spacing w:val="-1"/>
          <w:sz w:val="18"/>
        </w:rPr>
        <w:t xml:space="preserve"> </w:t>
      </w:r>
      <w:r>
        <w:rPr>
          <w:spacing w:val="-4"/>
          <w:sz w:val="18"/>
        </w:rPr>
        <w:t>725.</w:t>
      </w:r>
    </w:p>
    <w:p w14:paraId="17D851D3" w14:textId="77777777" w:rsidR="00BD462C" w:rsidRDefault="00BD462C">
      <w:pPr>
        <w:jc w:val="both"/>
        <w:rPr>
          <w:sz w:val="18"/>
        </w:rPr>
        <w:sectPr w:rsidR="00BD462C">
          <w:pgSz w:w="11910" w:h="16840"/>
          <w:pgMar w:top="860" w:right="500" w:bottom="780" w:left="1280" w:header="566" w:footer="590" w:gutter="0"/>
          <w:cols w:space="720"/>
        </w:sectPr>
      </w:pPr>
    </w:p>
    <w:p w14:paraId="60C7BED4"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69F0A72D"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504A5338"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4E677E6F" w14:textId="64FE0109" w:rsidR="00BD462C" w:rsidRDefault="00185AF5">
      <w:pPr>
        <w:pStyle w:val="BodyText"/>
        <w:spacing w:before="102" w:line="357" w:lineRule="auto"/>
        <w:ind w:left="135"/>
      </w:pPr>
      <w:r>
        <w:t>"</w:t>
      </w:r>
      <w:proofErr w:type="gramStart"/>
      <w:r>
        <w:t>the</w:t>
      </w:r>
      <w:proofErr w:type="gramEnd"/>
      <w:r>
        <w:t xml:space="preserve"> margin of dumping</w:t>
      </w:r>
      <w:r>
        <w:rPr>
          <w:spacing w:val="-14"/>
        </w:rPr>
        <w:t xml:space="preserve"> </w:t>
      </w:r>
      <w:r>
        <w:t>is</w:t>
      </w:r>
      <w:r>
        <w:rPr>
          <w:spacing w:val="-14"/>
        </w:rPr>
        <w:t xml:space="preserve"> </w:t>
      </w:r>
      <w:r>
        <w:t>the</w:t>
      </w:r>
      <w:r>
        <w:rPr>
          <w:spacing w:val="-13"/>
        </w:rPr>
        <w:t xml:space="preserve"> </w:t>
      </w:r>
      <w:r>
        <w:t>price</w:t>
      </w:r>
      <w:r>
        <w:rPr>
          <w:spacing w:val="-14"/>
        </w:rPr>
        <w:t xml:space="preserve"> </w:t>
      </w:r>
      <w:r>
        <w:t>difference</w:t>
      </w:r>
      <w:r>
        <w:rPr>
          <w:spacing w:val="-13"/>
        </w:rPr>
        <w:t xml:space="preserve"> </w:t>
      </w:r>
      <w:r>
        <w:t>determined</w:t>
      </w:r>
      <w:r>
        <w:rPr>
          <w:spacing w:val="-14"/>
        </w:rPr>
        <w:t xml:space="preserve"> </w:t>
      </w:r>
      <w:r>
        <w:t>in</w:t>
      </w:r>
      <w:r>
        <w:rPr>
          <w:spacing w:val="-13"/>
        </w:rPr>
        <w:t xml:space="preserve"> </w:t>
      </w:r>
      <w:r>
        <w:t>accordance</w:t>
      </w:r>
      <w:r>
        <w:rPr>
          <w:spacing w:val="-14"/>
        </w:rPr>
        <w:t xml:space="preserve"> </w:t>
      </w:r>
      <w:r>
        <w:t>with</w:t>
      </w:r>
      <w:r>
        <w:rPr>
          <w:spacing w:val="-14"/>
        </w:rPr>
        <w:t xml:space="preserve"> </w:t>
      </w:r>
      <w:r>
        <w:t>the</w:t>
      </w:r>
      <w:r>
        <w:rPr>
          <w:spacing w:val="-13"/>
        </w:rPr>
        <w:t xml:space="preserve"> </w:t>
      </w:r>
      <w:r>
        <w:t>provisions</w:t>
      </w:r>
      <w:r>
        <w:rPr>
          <w:spacing w:val="-13"/>
        </w:rPr>
        <w:t xml:space="preserve"> </w:t>
      </w:r>
      <w:r>
        <w:t>of</w:t>
      </w:r>
      <w:r>
        <w:rPr>
          <w:spacing w:val="-14"/>
        </w:rPr>
        <w:t xml:space="preserve"> </w:t>
      </w:r>
      <w:r>
        <w:t>paragraph</w:t>
      </w:r>
      <w:r>
        <w:rPr>
          <w:spacing w:val="-4"/>
        </w:rPr>
        <w:t xml:space="preserve"> </w:t>
      </w:r>
      <w:r>
        <w:t xml:space="preserve">1." </w:t>
      </w:r>
      <w:r w:rsidR="00033D0F">
        <w:t>As</w:t>
      </w:r>
      <w:r w:rsidR="00033D0F">
        <w:rPr>
          <w:spacing w:val="40"/>
        </w:rPr>
        <w:t xml:space="preserve"> </w:t>
      </w:r>
      <w:r w:rsidR="00033D0F">
        <w:t>explained</w:t>
      </w:r>
      <w:r w:rsidR="00033D0F">
        <w:rPr>
          <w:spacing w:val="40"/>
        </w:rPr>
        <w:t xml:space="preserve"> </w:t>
      </w:r>
      <w:r w:rsidR="00033D0F">
        <w:t>in</w:t>
      </w:r>
      <w:r w:rsidR="00033D0F">
        <w:rPr>
          <w:spacing w:val="40"/>
        </w:rPr>
        <w:t xml:space="preserve"> </w:t>
      </w:r>
      <w:r w:rsidR="00033D0F">
        <w:t>Australia's</w:t>
      </w:r>
      <w:r w:rsidR="00033D0F">
        <w:rPr>
          <w:spacing w:val="40"/>
        </w:rPr>
        <w:t xml:space="preserve"> </w:t>
      </w:r>
      <w:r w:rsidR="00033D0F">
        <w:t>first</w:t>
      </w:r>
      <w:r w:rsidR="00033D0F">
        <w:rPr>
          <w:spacing w:val="40"/>
        </w:rPr>
        <w:t xml:space="preserve"> </w:t>
      </w:r>
      <w:r w:rsidR="00033D0F">
        <w:t>written</w:t>
      </w:r>
      <w:r w:rsidR="00033D0F">
        <w:rPr>
          <w:spacing w:val="40"/>
        </w:rPr>
        <w:t xml:space="preserve"> </w:t>
      </w:r>
      <w:r w:rsidR="00033D0F">
        <w:t>submission,</w:t>
      </w:r>
      <w:r w:rsidR="00033D0F">
        <w:rPr>
          <w:spacing w:val="40"/>
        </w:rPr>
        <w:t xml:space="preserve"> </w:t>
      </w:r>
      <w:r w:rsidR="00033D0F">
        <w:t>a</w:t>
      </w:r>
      <w:r w:rsidR="00033D0F">
        <w:rPr>
          <w:spacing w:val="40"/>
        </w:rPr>
        <w:t xml:space="preserve"> </w:t>
      </w:r>
      <w:r w:rsidR="00033D0F">
        <w:t>violation</w:t>
      </w:r>
      <w:r w:rsidR="00033D0F">
        <w:rPr>
          <w:spacing w:val="40"/>
        </w:rPr>
        <w:t xml:space="preserve"> </w:t>
      </w:r>
      <w:r w:rsidR="00033D0F">
        <w:t>under</w:t>
      </w:r>
      <w:r w:rsidR="00033D0F">
        <w:rPr>
          <w:spacing w:val="40"/>
        </w:rPr>
        <w:t xml:space="preserve"> </w:t>
      </w:r>
      <w:r w:rsidR="00033D0F">
        <w:t>Article</w:t>
      </w:r>
      <w:r w:rsidR="00033D0F">
        <w:rPr>
          <w:spacing w:val="40"/>
        </w:rPr>
        <w:t xml:space="preserve"> </w:t>
      </w:r>
      <w:r w:rsidR="00033D0F">
        <w:t>9.3</w:t>
      </w:r>
      <w:r w:rsidR="00033D0F">
        <w:rPr>
          <w:spacing w:val="40"/>
        </w:rPr>
        <w:t xml:space="preserve"> </w:t>
      </w:r>
      <w:r w:rsidR="00033D0F">
        <w:t>would consequentially violate Article VI:2.</w:t>
      </w:r>
      <w:hyperlink w:anchor="_bookmark639" w:history="1">
        <w:r w:rsidR="00033D0F">
          <w:rPr>
            <w:vertAlign w:val="superscript"/>
          </w:rPr>
          <w:t>533</w:t>
        </w:r>
      </w:hyperlink>
    </w:p>
    <w:p w14:paraId="736A4229" w14:textId="77777777" w:rsidR="00BD462C" w:rsidRDefault="00BD462C">
      <w:pPr>
        <w:pStyle w:val="BodyText"/>
        <w:spacing w:before="3"/>
        <w:rPr>
          <w:sz w:val="9"/>
        </w:rPr>
      </w:pPr>
    </w:p>
    <w:p w14:paraId="6B2D9CDC" w14:textId="77777777" w:rsidR="00185AF5" w:rsidRDefault="00033D0F" w:rsidP="00185AF5">
      <w:pPr>
        <w:pStyle w:val="BodyText"/>
        <w:numPr>
          <w:ilvl w:val="0"/>
          <w:numId w:val="77"/>
        </w:numPr>
        <w:spacing w:before="56" w:line="360" w:lineRule="auto"/>
        <w:ind w:right="913"/>
        <w:jc w:val="both"/>
      </w:pPr>
      <w:r>
        <w:rPr>
          <w:position w:val="1"/>
        </w:rPr>
        <w:t>In</w:t>
      </w:r>
      <w:r>
        <w:rPr>
          <w:spacing w:val="-9"/>
          <w:position w:val="1"/>
        </w:rPr>
        <w:t xml:space="preserve"> </w:t>
      </w:r>
      <w:r>
        <w:rPr>
          <w:position w:val="1"/>
        </w:rPr>
        <w:t>China's</w:t>
      </w:r>
      <w:r>
        <w:rPr>
          <w:spacing w:val="-7"/>
          <w:position w:val="1"/>
        </w:rPr>
        <w:t xml:space="preserve"> </w:t>
      </w:r>
      <w:r>
        <w:rPr>
          <w:position w:val="1"/>
        </w:rPr>
        <w:t>first</w:t>
      </w:r>
      <w:r>
        <w:rPr>
          <w:spacing w:val="-8"/>
          <w:position w:val="1"/>
        </w:rPr>
        <w:t xml:space="preserve"> </w:t>
      </w:r>
      <w:r>
        <w:rPr>
          <w:position w:val="1"/>
        </w:rPr>
        <w:t>written</w:t>
      </w:r>
      <w:r>
        <w:rPr>
          <w:spacing w:val="-9"/>
          <w:position w:val="1"/>
        </w:rPr>
        <w:t xml:space="preserve"> </w:t>
      </w:r>
      <w:r>
        <w:rPr>
          <w:position w:val="1"/>
        </w:rPr>
        <w:t>submission,</w:t>
      </w:r>
      <w:r>
        <w:rPr>
          <w:spacing w:val="-6"/>
          <w:position w:val="1"/>
        </w:rPr>
        <w:t xml:space="preserve"> </w:t>
      </w:r>
      <w:r>
        <w:rPr>
          <w:position w:val="1"/>
        </w:rPr>
        <w:t>it</w:t>
      </w:r>
      <w:r>
        <w:rPr>
          <w:spacing w:val="-8"/>
          <w:position w:val="1"/>
        </w:rPr>
        <w:t xml:space="preserve"> </w:t>
      </w:r>
      <w:r>
        <w:rPr>
          <w:position w:val="1"/>
        </w:rPr>
        <w:t>asks</w:t>
      </w:r>
      <w:r>
        <w:rPr>
          <w:spacing w:val="-7"/>
          <w:position w:val="1"/>
        </w:rPr>
        <w:t xml:space="preserve"> </w:t>
      </w:r>
      <w:r>
        <w:rPr>
          <w:position w:val="1"/>
        </w:rPr>
        <w:t>that</w:t>
      </w:r>
      <w:r>
        <w:rPr>
          <w:spacing w:val="-8"/>
          <w:position w:val="1"/>
        </w:rPr>
        <w:t xml:space="preserve"> </w:t>
      </w:r>
      <w:r>
        <w:rPr>
          <w:position w:val="1"/>
        </w:rPr>
        <w:t>the</w:t>
      </w:r>
      <w:r>
        <w:rPr>
          <w:spacing w:val="-12"/>
          <w:position w:val="1"/>
        </w:rPr>
        <w:t xml:space="preserve"> </w:t>
      </w:r>
      <w:r>
        <w:rPr>
          <w:position w:val="1"/>
        </w:rPr>
        <w:t>Panel</w:t>
      </w:r>
      <w:r>
        <w:rPr>
          <w:spacing w:val="-6"/>
          <w:position w:val="1"/>
        </w:rPr>
        <w:t xml:space="preserve"> </w:t>
      </w:r>
      <w:r>
        <w:rPr>
          <w:position w:val="1"/>
        </w:rPr>
        <w:t>"summarily</w:t>
      </w:r>
      <w:r>
        <w:rPr>
          <w:spacing w:val="-7"/>
          <w:position w:val="1"/>
        </w:rPr>
        <w:t xml:space="preserve"> </w:t>
      </w:r>
      <w:r>
        <w:rPr>
          <w:position w:val="1"/>
        </w:rPr>
        <w:t>reject</w:t>
      </w:r>
      <w:r>
        <w:rPr>
          <w:spacing w:val="-8"/>
          <w:position w:val="1"/>
        </w:rPr>
        <w:t xml:space="preserve"> </w:t>
      </w:r>
      <w:r>
        <w:rPr>
          <w:position w:val="1"/>
        </w:rPr>
        <w:t xml:space="preserve">Australia's </w:t>
      </w:r>
      <w:r>
        <w:t>claims under Articles 1 and 18.1 of the Anti-Dumping Agreement."</w:t>
      </w:r>
      <w:hyperlink w:anchor="_bookmark640" w:history="1">
        <w:r>
          <w:rPr>
            <w:vertAlign w:val="superscript"/>
          </w:rPr>
          <w:t>534</w:t>
        </w:r>
      </w:hyperlink>
      <w:r>
        <w:t xml:space="preserve"> While Australia acknowledges that these are consequential claims,</w:t>
      </w:r>
      <w:hyperlink w:anchor="_bookmark641" w:history="1">
        <w:r>
          <w:rPr>
            <w:vertAlign w:val="superscript"/>
          </w:rPr>
          <w:t>535</w:t>
        </w:r>
      </w:hyperlink>
      <w:r>
        <w:t xml:space="preserve"> it does not follow that they should be summarily rejected on that basis.</w:t>
      </w:r>
    </w:p>
    <w:p w14:paraId="22F4124C" w14:textId="77777777" w:rsidR="00185AF5" w:rsidRDefault="00185AF5" w:rsidP="00185AF5">
      <w:pPr>
        <w:pStyle w:val="BodyText"/>
        <w:numPr>
          <w:ilvl w:val="0"/>
          <w:numId w:val="77"/>
        </w:numPr>
        <w:spacing w:before="56" w:line="360" w:lineRule="auto"/>
        <w:ind w:right="913"/>
        <w:jc w:val="both"/>
      </w:pPr>
      <w:r>
        <w:t>A</w:t>
      </w:r>
      <w:proofErr w:type="spellStart"/>
      <w:r w:rsidR="00033D0F" w:rsidRPr="00185AF5">
        <w:rPr>
          <w:position w:val="1"/>
        </w:rPr>
        <w:t>rticle</w:t>
      </w:r>
      <w:proofErr w:type="spellEnd"/>
      <w:r w:rsidR="00033D0F" w:rsidRPr="00185AF5">
        <w:rPr>
          <w:position w:val="1"/>
        </w:rPr>
        <w:t xml:space="preserve"> 18.1 of the Anti-Dumping Agreement provides</w:t>
      </w:r>
      <w:r w:rsidR="00033D0F" w:rsidRPr="00185AF5">
        <w:rPr>
          <w:spacing w:val="40"/>
          <w:position w:val="1"/>
        </w:rPr>
        <w:t xml:space="preserve"> </w:t>
      </w:r>
      <w:r w:rsidR="00033D0F" w:rsidRPr="00185AF5">
        <w:rPr>
          <w:position w:val="1"/>
        </w:rPr>
        <w:t>that "[n]o specific action</w:t>
      </w:r>
      <w:r w:rsidR="00033D0F" w:rsidRPr="00185AF5">
        <w:rPr>
          <w:spacing w:val="40"/>
          <w:position w:val="1"/>
        </w:rPr>
        <w:t xml:space="preserve"> </w:t>
      </w:r>
      <w:r w:rsidR="00033D0F">
        <w:t>against</w:t>
      </w:r>
      <w:r w:rsidR="00033D0F" w:rsidRPr="00185AF5">
        <w:rPr>
          <w:spacing w:val="-11"/>
        </w:rPr>
        <w:t xml:space="preserve"> </w:t>
      </w:r>
      <w:r w:rsidR="00033D0F">
        <w:t>dumping</w:t>
      </w:r>
      <w:r w:rsidR="00033D0F" w:rsidRPr="00185AF5">
        <w:rPr>
          <w:spacing w:val="-10"/>
        </w:rPr>
        <w:t xml:space="preserve"> </w:t>
      </w:r>
      <w:r w:rsidR="00033D0F">
        <w:t>of</w:t>
      </w:r>
      <w:r w:rsidR="00033D0F" w:rsidRPr="00185AF5">
        <w:rPr>
          <w:spacing w:val="-14"/>
        </w:rPr>
        <w:t xml:space="preserve"> </w:t>
      </w:r>
      <w:r w:rsidR="00033D0F">
        <w:t>exports</w:t>
      </w:r>
      <w:r w:rsidR="00033D0F" w:rsidRPr="00185AF5">
        <w:rPr>
          <w:spacing w:val="-9"/>
        </w:rPr>
        <w:t xml:space="preserve"> </w:t>
      </w:r>
      <w:r w:rsidR="00033D0F">
        <w:t>from</w:t>
      </w:r>
      <w:r w:rsidR="00033D0F" w:rsidRPr="00185AF5">
        <w:rPr>
          <w:spacing w:val="-12"/>
        </w:rPr>
        <w:t xml:space="preserve"> </w:t>
      </w:r>
      <w:r w:rsidR="00033D0F">
        <w:t>another</w:t>
      </w:r>
      <w:r w:rsidR="00033D0F" w:rsidRPr="00185AF5">
        <w:rPr>
          <w:spacing w:val="-14"/>
        </w:rPr>
        <w:t xml:space="preserve"> </w:t>
      </w:r>
      <w:r w:rsidR="00033D0F">
        <w:t>Member</w:t>
      </w:r>
      <w:r w:rsidR="00033D0F" w:rsidRPr="00185AF5">
        <w:rPr>
          <w:spacing w:val="-4"/>
        </w:rPr>
        <w:t xml:space="preserve"> </w:t>
      </w:r>
      <w:r w:rsidR="00033D0F">
        <w:t>can</w:t>
      </w:r>
      <w:r w:rsidR="00033D0F" w:rsidRPr="00185AF5">
        <w:rPr>
          <w:spacing w:val="-14"/>
        </w:rPr>
        <w:t xml:space="preserve"> </w:t>
      </w:r>
      <w:r w:rsidR="00033D0F">
        <w:t>be</w:t>
      </w:r>
      <w:r w:rsidR="00033D0F" w:rsidRPr="00185AF5">
        <w:rPr>
          <w:spacing w:val="-11"/>
        </w:rPr>
        <w:t xml:space="preserve"> </w:t>
      </w:r>
      <w:r w:rsidR="00033D0F">
        <w:t>taken</w:t>
      </w:r>
      <w:r w:rsidR="00033D0F" w:rsidRPr="00185AF5">
        <w:rPr>
          <w:spacing w:val="-14"/>
        </w:rPr>
        <w:t xml:space="preserve"> </w:t>
      </w:r>
      <w:r w:rsidR="00033D0F">
        <w:t>except</w:t>
      </w:r>
      <w:r w:rsidR="00033D0F" w:rsidRPr="00185AF5">
        <w:rPr>
          <w:spacing w:val="-10"/>
        </w:rPr>
        <w:t xml:space="preserve"> </w:t>
      </w:r>
      <w:r w:rsidR="00033D0F">
        <w:t>in</w:t>
      </w:r>
      <w:r w:rsidR="00033D0F" w:rsidRPr="00185AF5">
        <w:rPr>
          <w:spacing w:val="-14"/>
        </w:rPr>
        <w:t xml:space="preserve"> </w:t>
      </w:r>
      <w:r w:rsidR="00033D0F">
        <w:t>accordance</w:t>
      </w:r>
      <w:r w:rsidR="00033D0F" w:rsidRPr="00185AF5">
        <w:rPr>
          <w:spacing w:val="-11"/>
        </w:rPr>
        <w:t xml:space="preserve"> </w:t>
      </w:r>
      <w:r w:rsidR="00033D0F">
        <w:t>with</w:t>
      </w:r>
      <w:r w:rsidR="00033D0F" w:rsidRPr="00185AF5">
        <w:rPr>
          <w:spacing w:val="-14"/>
        </w:rPr>
        <w:t xml:space="preserve"> </w:t>
      </w:r>
      <w:r w:rsidR="00033D0F">
        <w:t>the provisions</w:t>
      </w:r>
      <w:r w:rsidR="00033D0F" w:rsidRPr="00185AF5">
        <w:rPr>
          <w:spacing w:val="-11"/>
        </w:rPr>
        <w:t xml:space="preserve"> </w:t>
      </w:r>
      <w:r w:rsidR="00033D0F">
        <w:t>of</w:t>
      </w:r>
      <w:r w:rsidR="00033D0F" w:rsidRPr="00185AF5">
        <w:rPr>
          <w:spacing w:val="-14"/>
        </w:rPr>
        <w:t xml:space="preserve"> </w:t>
      </w:r>
      <w:r w:rsidR="00033D0F">
        <w:t>GATT</w:t>
      </w:r>
      <w:r w:rsidR="00033D0F" w:rsidRPr="00185AF5">
        <w:rPr>
          <w:spacing w:val="-10"/>
        </w:rPr>
        <w:t xml:space="preserve"> </w:t>
      </w:r>
      <w:r w:rsidR="00033D0F">
        <w:t>1994,</w:t>
      </w:r>
      <w:r w:rsidR="00033D0F" w:rsidRPr="00185AF5">
        <w:rPr>
          <w:spacing w:val="-10"/>
        </w:rPr>
        <w:t xml:space="preserve"> </w:t>
      </w:r>
      <w:r w:rsidR="00033D0F">
        <w:t>as</w:t>
      </w:r>
      <w:r w:rsidR="00033D0F" w:rsidRPr="00185AF5">
        <w:rPr>
          <w:spacing w:val="-10"/>
        </w:rPr>
        <w:t xml:space="preserve"> </w:t>
      </w:r>
      <w:r w:rsidR="00033D0F">
        <w:t>interpreted</w:t>
      </w:r>
      <w:r w:rsidR="00033D0F" w:rsidRPr="00185AF5">
        <w:rPr>
          <w:spacing w:val="-9"/>
        </w:rPr>
        <w:t xml:space="preserve"> </w:t>
      </w:r>
      <w:r w:rsidR="00033D0F">
        <w:t>by</w:t>
      </w:r>
      <w:r w:rsidR="00033D0F" w:rsidRPr="00185AF5">
        <w:rPr>
          <w:spacing w:val="-11"/>
        </w:rPr>
        <w:t xml:space="preserve"> </w:t>
      </w:r>
      <w:r w:rsidR="00033D0F">
        <w:t>[the</w:t>
      </w:r>
      <w:r w:rsidR="00033D0F" w:rsidRPr="00185AF5">
        <w:rPr>
          <w:spacing w:val="-12"/>
        </w:rPr>
        <w:t xml:space="preserve"> </w:t>
      </w:r>
      <w:r w:rsidR="00033D0F">
        <w:t>Anti-Dumping</w:t>
      </w:r>
      <w:r w:rsidR="00033D0F" w:rsidRPr="00185AF5">
        <w:rPr>
          <w:spacing w:val="-10"/>
        </w:rPr>
        <w:t xml:space="preserve"> </w:t>
      </w:r>
      <w:r w:rsidR="00033D0F">
        <w:t>Agreement]."</w:t>
      </w:r>
      <w:r w:rsidR="00033D0F" w:rsidRPr="00185AF5">
        <w:rPr>
          <w:spacing w:val="-13"/>
        </w:rPr>
        <w:t xml:space="preserve"> </w:t>
      </w:r>
      <w:r w:rsidR="00033D0F">
        <w:t>Any</w:t>
      </w:r>
      <w:r w:rsidR="00033D0F" w:rsidRPr="00185AF5">
        <w:rPr>
          <w:spacing w:val="-11"/>
        </w:rPr>
        <w:t xml:space="preserve"> </w:t>
      </w:r>
      <w:r w:rsidR="00033D0F">
        <w:t>breach</w:t>
      </w:r>
      <w:r w:rsidR="00033D0F" w:rsidRPr="00185AF5">
        <w:rPr>
          <w:spacing w:val="-14"/>
        </w:rPr>
        <w:t xml:space="preserve"> </w:t>
      </w:r>
      <w:r w:rsidR="00033D0F">
        <w:t>of</w:t>
      </w:r>
      <w:r w:rsidR="00033D0F" w:rsidRPr="00185AF5">
        <w:rPr>
          <w:spacing w:val="-14"/>
        </w:rPr>
        <w:t xml:space="preserve"> </w:t>
      </w:r>
      <w:r w:rsidR="00033D0F">
        <w:t>the Anti-Dumping</w:t>
      </w:r>
      <w:r w:rsidR="00033D0F" w:rsidRPr="00185AF5">
        <w:rPr>
          <w:spacing w:val="-14"/>
        </w:rPr>
        <w:t xml:space="preserve"> </w:t>
      </w:r>
      <w:r w:rsidR="00033D0F">
        <w:t>Agreement</w:t>
      </w:r>
      <w:r w:rsidR="00033D0F" w:rsidRPr="00185AF5">
        <w:rPr>
          <w:spacing w:val="-13"/>
        </w:rPr>
        <w:t xml:space="preserve"> </w:t>
      </w:r>
      <w:r w:rsidR="00033D0F">
        <w:t>therefore</w:t>
      </w:r>
      <w:r w:rsidR="00033D0F" w:rsidRPr="00185AF5">
        <w:rPr>
          <w:spacing w:val="-13"/>
        </w:rPr>
        <w:t xml:space="preserve"> </w:t>
      </w:r>
      <w:r w:rsidR="00033D0F">
        <w:t>constitutes</w:t>
      </w:r>
      <w:r w:rsidR="00033D0F" w:rsidRPr="00185AF5">
        <w:rPr>
          <w:spacing w:val="-11"/>
        </w:rPr>
        <w:t xml:space="preserve"> </w:t>
      </w:r>
      <w:r w:rsidR="00033D0F">
        <w:t>a</w:t>
      </w:r>
      <w:r w:rsidR="00033D0F" w:rsidRPr="00185AF5">
        <w:rPr>
          <w:spacing w:val="-13"/>
        </w:rPr>
        <w:t xml:space="preserve"> </w:t>
      </w:r>
      <w:r w:rsidR="00033D0F">
        <w:t>consequential</w:t>
      </w:r>
      <w:r w:rsidR="00033D0F" w:rsidRPr="00185AF5">
        <w:rPr>
          <w:spacing w:val="-11"/>
        </w:rPr>
        <w:t xml:space="preserve"> </w:t>
      </w:r>
      <w:r w:rsidR="00033D0F">
        <w:t>violation</w:t>
      </w:r>
      <w:r w:rsidR="00033D0F" w:rsidRPr="00185AF5">
        <w:rPr>
          <w:spacing w:val="-14"/>
        </w:rPr>
        <w:t xml:space="preserve"> </w:t>
      </w:r>
      <w:r w:rsidR="00033D0F">
        <w:t>of</w:t>
      </w:r>
      <w:r w:rsidR="00033D0F" w:rsidRPr="00185AF5">
        <w:rPr>
          <w:spacing w:val="-14"/>
        </w:rPr>
        <w:t xml:space="preserve"> </w:t>
      </w:r>
      <w:r w:rsidR="00033D0F">
        <w:t>Article</w:t>
      </w:r>
      <w:r w:rsidR="00033D0F" w:rsidRPr="00185AF5">
        <w:rPr>
          <w:spacing w:val="-12"/>
        </w:rPr>
        <w:t xml:space="preserve"> </w:t>
      </w:r>
      <w:r w:rsidR="00033D0F">
        <w:t>18.1</w:t>
      </w:r>
      <w:r w:rsidR="00033D0F" w:rsidRPr="00185AF5">
        <w:rPr>
          <w:spacing w:val="-14"/>
        </w:rPr>
        <w:t xml:space="preserve"> </w:t>
      </w:r>
      <w:r w:rsidR="00033D0F">
        <w:t>of</w:t>
      </w:r>
      <w:r w:rsidR="00033D0F" w:rsidRPr="00185AF5">
        <w:rPr>
          <w:spacing w:val="-14"/>
        </w:rPr>
        <w:t xml:space="preserve"> </w:t>
      </w:r>
      <w:r w:rsidR="00033D0F">
        <w:t>the Anti-Dumping Agreement. Australia has established that China has acted inconsistently with (</w:t>
      </w:r>
      <w:r w:rsidR="00033D0F" w:rsidRPr="00185AF5">
        <w:rPr>
          <w:i/>
        </w:rPr>
        <w:t>inter alia</w:t>
      </w:r>
      <w:r w:rsidR="00033D0F">
        <w:t>) Articles 2, 9.1, 9.2 and 9.3 of the Anti-Dumping Agreement.</w:t>
      </w:r>
    </w:p>
    <w:p w14:paraId="6876AE4A" w14:textId="19F33990" w:rsidR="00BD462C" w:rsidRDefault="00033D0F" w:rsidP="00185AF5">
      <w:pPr>
        <w:pStyle w:val="BodyText"/>
        <w:numPr>
          <w:ilvl w:val="0"/>
          <w:numId w:val="77"/>
        </w:numPr>
        <w:spacing w:before="56" w:line="360" w:lineRule="auto"/>
        <w:ind w:right="913"/>
        <w:jc w:val="both"/>
      </w:pPr>
      <w:r w:rsidRPr="00185AF5">
        <w:rPr>
          <w:position w:val="1"/>
        </w:rPr>
        <w:t>Similarly, in its first written submission, China declined to engage on the substance</w:t>
      </w:r>
      <w:r w:rsidRPr="00185AF5">
        <w:rPr>
          <w:spacing w:val="40"/>
          <w:position w:val="1"/>
        </w:rPr>
        <w:t xml:space="preserve"> </w:t>
      </w:r>
      <w:r>
        <w:t>of</w:t>
      </w:r>
      <w:r w:rsidRPr="00185AF5">
        <w:rPr>
          <w:spacing w:val="-14"/>
        </w:rPr>
        <w:t xml:space="preserve"> </w:t>
      </w:r>
      <w:r>
        <w:t>Australia's</w:t>
      </w:r>
      <w:r w:rsidRPr="00185AF5">
        <w:rPr>
          <w:spacing w:val="-14"/>
        </w:rPr>
        <w:t xml:space="preserve"> </w:t>
      </w:r>
      <w:r>
        <w:t>claims</w:t>
      </w:r>
      <w:r w:rsidRPr="00185AF5">
        <w:rPr>
          <w:spacing w:val="-13"/>
        </w:rPr>
        <w:t xml:space="preserve"> </w:t>
      </w:r>
      <w:r>
        <w:t>under</w:t>
      </w:r>
      <w:r w:rsidRPr="00185AF5">
        <w:rPr>
          <w:spacing w:val="-14"/>
        </w:rPr>
        <w:t xml:space="preserve"> </w:t>
      </w:r>
      <w:r>
        <w:t>Article</w:t>
      </w:r>
      <w:r w:rsidRPr="00185AF5">
        <w:rPr>
          <w:spacing w:val="-13"/>
        </w:rPr>
        <w:t xml:space="preserve"> </w:t>
      </w:r>
      <w:r>
        <w:t>9.1,</w:t>
      </w:r>
      <w:r w:rsidRPr="00185AF5">
        <w:rPr>
          <w:spacing w:val="-14"/>
        </w:rPr>
        <w:t xml:space="preserve"> </w:t>
      </w:r>
      <w:r>
        <w:t>9.2</w:t>
      </w:r>
      <w:r w:rsidRPr="00185AF5">
        <w:rPr>
          <w:spacing w:val="-13"/>
        </w:rPr>
        <w:t xml:space="preserve"> </w:t>
      </w:r>
      <w:r>
        <w:t>and</w:t>
      </w:r>
      <w:r w:rsidRPr="00185AF5">
        <w:rPr>
          <w:spacing w:val="-14"/>
        </w:rPr>
        <w:t xml:space="preserve"> </w:t>
      </w:r>
      <w:r>
        <w:t>9.3</w:t>
      </w:r>
      <w:r w:rsidRPr="00185AF5">
        <w:rPr>
          <w:spacing w:val="-13"/>
        </w:rPr>
        <w:t xml:space="preserve"> </w:t>
      </w:r>
      <w:r>
        <w:t>on</w:t>
      </w:r>
      <w:r w:rsidRPr="00185AF5">
        <w:rPr>
          <w:spacing w:val="-14"/>
        </w:rPr>
        <w:t xml:space="preserve"> </w:t>
      </w:r>
      <w:r>
        <w:t>the</w:t>
      </w:r>
      <w:r w:rsidRPr="00185AF5">
        <w:rPr>
          <w:spacing w:val="-12"/>
        </w:rPr>
        <w:t xml:space="preserve"> </w:t>
      </w:r>
      <w:r>
        <w:t>basis</w:t>
      </w:r>
      <w:r w:rsidRPr="00185AF5">
        <w:rPr>
          <w:spacing w:val="-11"/>
        </w:rPr>
        <w:t xml:space="preserve"> </w:t>
      </w:r>
      <w:r>
        <w:t>that</w:t>
      </w:r>
      <w:r w:rsidRPr="00185AF5">
        <w:rPr>
          <w:spacing w:val="-14"/>
        </w:rPr>
        <w:t xml:space="preserve"> </w:t>
      </w:r>
      <w:r>
        <w:t>these</w:t>
      </w:r>
      <w:r w:rsidRPr="00185AF5">
        <w:rPr>
          <w:spacing w:val="-13"/>
        </w:rPr>
        <w:t xml:space="preserve"> </w:t>
      </w:r>
      <w:r>
        <w:t>claims</w:t>
      </w:r>
      <w:r w:rsidRPr="00185AF5">
        <w:rPr>
          <w:spacing w:val="-11"/>
        </w:rPr>
        <w:t xml:space="preserve"> </w:t>
      </w:r>
      <w:r>
        <w:t>are</w:t>
      </w:r>
      <w:r w:rsidRPr="00185AF5">
        <w:rPr>
          <w:spacing w:val="-13"/>
        </w:rPr>
        <w:t xml:space="preserve"> </w:t>
      </w:r>
      <w:r>
        <w:t>dependent on an Article 2 violation.</w:t>
      </w:r>
      <w:hyperlink w:anchor="_bookmark642" w:history="1">
        <w:r w:rsidRPr="00185AF5">
          <w:rPr>
            <w:vertAlign w:val="superscript"/>
          </w:rPr>
          <w:t>536</w:t>
        </w:r>
      </w:hyperlink>
      <w:r>
        <w:t xml:space="preserve"> It then states that "even</w:t>
      </w:r>
      <w:r w:rsidRPr="00185AF5">
        <w:rPr>
          <w:spacing w:val="-3"/>
        </w:rPr>
        <w:t xml:space="preserve"> </w:t>
      </w:r>
      <w:r>
        <w:t xml:space="preserve">assuming </w:t>
      </w:r>
      <w:r w:rsidRPr="00185AF5">
        <w:rPr>
          <w:i/>
        </w:rPr>
        <w:t xml:space="preserve">arguendo </w:t>
      </w:r>
      <w:r>
        <w:t>that there was such a</w:t>
      </w:r>
      <w:r w:rsidRPr="00185AF5">
        <w:rPr>
          <w:spacing w:val="-8"/>
        </w:rPr>
        <w:t xml:space="preserve"> </w:t>
      </w:r>
      <w:r>
        <w:t>violation</w:t>
      </w:r>
      <w:r w:rsidRPr="00185AF5">
        <w:rPr>
          <w:spacing w:val="-9"/>
        </w:rPr>
        <w:t xml:space="preserve"> </w:t>
      </w:r>
      <w:r>
        <w:t>[of</w:t>
      </w:r>
      <w:r w:rsidRPr="00185AF5">
        <w:rPr>
          <w:spacing w:val="-9"/>
        </w:rPr>
        <w:t xml:space="preserve"> </w:t>
      </w:r>
      <w:r>
        <w:t>Article</w:t>
      </w:r>
      <w:r w:rsidRPr="00185AF5">
        <w:rPr>
          <w:spacing w:val="-7"/>
        </w:rPr>
        <w:t xml:space="preserve"> </w:t>
      </w:r>
      <w:r>
        <w:t>2],</w:t>
      </w:r>
      <w:r w:rsidRPr="00185AF5">
        <w:rPr>
          <w:spacing w:val="-5"/>
        </w:rPr>
        <w:t xml:space="preserve"> </w:t>
      </w:r>
      <w:r>
        <w:t>China</w:t>
      </w:r>
      <w:r w:rsidRPr="00185AF5">
        <w:rPr>
          <w:spacing w:val="-8"/>
        </w:rPr>
        <w:t xml:space="preserve"> </w:t>
      </w:r>
      <w:r>
        <w:t>notes</w:t>
      </w:r>
      <w:r w:rsidRPr="00185AF5">
        <w:rPr>
          <w:spacing w:val="-6"/>
        </w:rPr>
        <w:t xml:space="preserve"> </w:t>
      </w:r>
      <w:r>
        <w:t>that</w:t>
      </w:r>
      <w:r w:rsidRPr="00185AF5">
        <w:rPr>
          <w:spacing w:val="-7"/>
        </w:rPr>
        <w:t xml:space="preserve"> </w:t>
      </w:r>
      <w:r>
        <w:t>the</w:t>
      </w:r>
      <w:r w:rsidRPr="00185AF5">
        <w:rPr>
          <w:spacing w:val="-3"/>
        </w:rPr>
        <w:t xml:space="preserve"> </w:t>
      </w:r>
      <w:r>
        <w:t>Appellate</w:t>
      </w:r>
      <w:r w:rsidRPr="00185AF5">
        <w:rPr>
          <w:spacing w:val="-7"/>
        </w:rPr>
        <w:t xml:space="preserve"> </w:t>
      </w:r>
      <w:r>
        <w:t>Body</w:t>
      </w:r>
      <w:r w:rsidRPr="00185AF5">
        <w:rPr>
          <w:spacing w:val="-6"/>
        </w:rPr>
        <w:t xml:space="preserve"> </w:t>
      </w:r>
      <w:r>
        <w:t>in</w:t>
      </w:r>
      <w:r w:rsidRPr="00185AF5">
        <w:rPr>
          <w:spacing w:val="-4"/>
        </w:rPr>
        <w:t xml:space="preserve"> </w:t>
      </w:r>
      <w:r w:rsidRPr="00185AF5">
        <w:rPr>
          <w:i/>
        </w:rPr>
        <w:t>EU</w:t>
      </w:r>
      <w:r w:rsidRPr="00185AF5">
        <w:rPr>
          <w:i/>
          <w:spacing w:val="-8"/>
        </w:rPr>
        <w:t xml:space="preserve"> </w:t>
      </w:r>
      <w:r w:rsidRPr="00185AF5">
        <w:rPr>
          <w:i/>
        </w:rPr>
        <w:t>–</w:t>
      </w:r>
      <w:r w:rsidRPr="00185AF5">
        <w:rPr>
          <w:i/>
          <w:spacing w:val="-2"/>
        </w:rPr>
        <w:t xml:space="preserve"> </w:t>
      </w:r>
      <w:r w:rsidRPr="00185AF5">
        <w:rPr>
          <w:i/>
        </w:rPr>
        <w:t>Biodiesel</w:t>
      </w:r>
      <w:r w:rsidRPr="00185AF5">
        <w:rPr>
          <w:i/>
          <w:spacing w:val="-5"/>
        </w:rPr>
        <w:t xml:space="preserve"> </w:t>
      </w:r>
      <w:r w:rsidRPr="00185AF5">
        <w:rPr>
          <w:i/>
        </w:rPr>
        <w:t>(Argentina)</w:t>
      </w:r>
      <w:r w:rsidRPr="00185AF5">
        <w:rPr>
          <w:i/>
          <w:spacing w:val="-9"/>
        </w:rPr>
        <w:t xml:space="preserve"> </w:t>
      </w:r>
      <w:r>
        <w:t>has clarified that not every such violation results in an automatic violation of – for example – Article 9.3 of the Anti-Dumping Agreement".</w:t>
      </w:r>
      <w:hyperlink w:anchor="_bookmark643" w:history="1">
        <w:r w:rsidRPr="00185AF5">
          <w:rPr>
            <w:vertAlign w:val="superscript"/>
          </w:rPr>
          <w:t>537</w:t>
        </w:r>
      </w:hyperlink>
      <w:r>
        <w:t xml:space="preserve"> Australia has established that China has violated Article 2.</w:t>
      </w:r>
      <w:hyperlink w:anchor="_bookmark644" w:history="1">
        <w:r w:rsidRPr="00185AF5">
          <w:rPr>
            <w:vertAlign w:val="superscript"/>
          </w:rPr>
          <w:t>538</w:t>
        </w:r>
      </w:hyperlink>
      <w:r>
        <w:t xml:space="preserve"> Moreover, contrary to China's assertions, Australia has not argued that every violation of Article 2 results in an automatic violation of Articles 9.1, 9.2 or 9.3 of the Anti-Dumping Agreement. Rather, Australia has clearly explained in detail why China's violations</w:t>
      </w:r>
      <w:r w:rsidRPr="00185AF5">
        <w:rPr>
          <w:spacing w:val="40"/>
        </w:rPr>
        <w:t xml:space="preserve"> </w:t>
      </w:r>
      <w:r>
        <w:t>of</w:t>
      </w:r>
      <w:r w:rsidRPr="00185AF5">
        <w:rPr>
          <w:spacing w:val="40"/>
        </w:rPr>
        <w:t xml:space="preserve"> </w:t>
      </w:r>
      <w:r>
        <w:t>Article</w:t>
      </w:r>
      <w:r w:rsidRPr="00185AF5">
        <w:rPr>
          <w:spacing w:val="40"/>
        </w:rPr>
        <w:t xml:space="preserve"> </w:t>
      </w:r>
      <w:r>
        <w:t>2</w:t>
      </w:r>
      <w:r w:rsidRPr="00185AF5">
        <w:rPr>
          <w:spacing w:val="40"/>
        </w:rPr>
        <w:t xml:space="preserve"> </w:t>
      </w:r>
      <w:r w:rsidRPr="00185AF5">
        <w:rPr>
          <w:i/>
        </w:rPr>
        <w:t>also</w:t>
      </w:r>
      <w:r w:rsidRPr="00185AF5">
        <w:rPr>
          <w:i/>
          <w:spacing w:val="40"/>
        </w:rPr>
        <w:t xml:space="preserve"> </w:t>
      </w:r>
      <w:r>
        <w:t>resulted</w:t>
      </w:r>
      <w:r w:rsidRPr="00185AF5">
        <w:rPr>
          <w:spacing w:val="40"/>
        </w:rPr>
        <w:t xml:space="preserve"> </w:t>
      </w:r>
      <w:r>
        <w:t>in</w:t>
      </w:r>
      <w:r w:rsidRPr="00185AF5">
        <w:rPr>
          <w:spacing w:val="40"/>
        </w:rPr>
        <w:t xml:space="preserve"> </w:t>
      </w:r>
      <w:r>
        <w:t>China</w:t>
      </w:r>
      <w:r w:rsidRPr="00185AF5">
        <w:rPr>
          <w:spacing w:val="40"/>
        </w:rPr>
        <w:t xml:space="preserve"> </w:t>
      </w:r>
      <w:r>
        <w:t>breaching</w:t>
      </w:r>
      <w:r w:rsidRPr="00185AF5">
        <w:rPr>
          <w:spacing w:val="40"/>
        </w:rPr>
        <w:t xml:space="preserve"> </w:t>
      </w:r>
      <w:r>
        <w:t>Articles</w:t>
      </w:r>
      <w:r w:rsidRPr="00185AF5">
        <w:rPr>
          <w:spacing w:val="40"/>
        </w:rPr>
        <w:t xml:space="preserve"> </w:t>
      </w:r>
      <w:r>
        <w:t>9.1,</w:t>
      </w:r>
      <w:r w:rsidRPr="00185AF5">
        <w:rPr>
          <w:spacing w:val="40"/>
        </w:rPr>
        <w:t xml:space="preserve"> </w:t>
      </w:r>
      <w:r>
        <w:t>9.2</w:t>
      </w:r>
      <w:r w:rsidRPr="00185AF5">
        <w:rPr>
          <w:spacing w:val="40"/>
        </w:rPr>
        <w:t xml:space="preserve"> </w:t>
      </w:r>
      <w:r>
        <w:t>and</w:t>
      </w:r>
      <w:r w:rsidRPr="00185AF5">
        <w:rPr>
          <w:spacing w:val="40"/>
        </w:rPr>
        <w:t xml:space="preserve"> </w:t>
      </w:r>
      <w:r>
        <w:t>9.3</w:t>
      </w:r>
      <w:r w:rsidRPr="00185AF5">
        <w:rPr>
          <w:spacing w:val="40"/>
        </w:rPr>
        <w:t xml:space="preserve"> </w:t>
      </w:r>
      <w:r>
        <w:t>of</w:t>
      </w:r>
      <w:r w:rsidRPr="00185AF5">
        <w:rPr>
          <w:spacing w:val="40"/>
        </w:rPr>
        <w:t xml:space="preserve"> </w:t>
      </w:r>
      <w:r>
        <w:t>the Anti-Dumping Agreement.</w:t>
      </w:r>
      <w:hyperlink w:anchor="_bookmark645" w:history="1">
        <w:r w:rsidRPr="00185AF5">
          <w:rPr>
            <w:vertAlign w:val="superscript"/>
          </w:rPr>
          <w:t>539</w:t>
        </w:r>
      </w:hyperlink>
    </w:p>
    <w:p w14:paraId="38755126" w14:textId="77777777" w:rsidR="00BD462C" w:rsidRDefault="00BD462C">
      <w:pPr>
        <w:pStyle w:val="BodyText"/>
        <w:rPr>
          <w:sz w:val="20"/>
        </w:rPr>
      </w:pPr>
    </w:p>
    <w:p w14:paraId="07B6ED1C" w14:textId="01093756" w:rsidR="00BD462C" w:rsidRDefault="00D70C7D">
      <w:pPr>
        <w:pStyle w:val="BodyText"/>
        <w:spacing w:before="5"/>
        <w:rPr>
          <w:sz w:val="13"/>
        </w:rPr>
      </w:pPr>
      <w:r>
        <w:rPr>
          <w:noProof/>
        </w:rPr>
        <mc:AlternateContent>
          <mc:Choice Requires="wps">
            <w:drawing>
              <wp:anchor distT="0" distB="0" distL="0" distR="0" simplePos="0" relativeHeight="487733248" behindDoc="1" locked="0" layoutInCell="1" allowOverlap="1" wp14:anchorId="24291A74" wp14:editId="51029742">
                <wp:simplePos x="0" y="0"/>
                <wp:positionH relativeFrom="page">
                  <wp:posOffset>899160</wp:posOffset>
                </wp:positionH>
                <wp:positionV relativeFrom="paragraph">
                  <wp:posOffset>119380</wp:posOffset>
                </wp:positionV>
                <wp:extent cx="1828800" cy="8890"/>
                <wp:effectExtent l="0" t="0" r="0" b="0"/>
                <wp:wrapTopAndBottom/>
                <wp:docPr id="804" name="docshape3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06E525" id="docshape314" o:spid="_x0000_s1026" alt="&quot;&quot;" style="position:absolute;margin-left:70.8pt;margin-top:9.4pt;width:2in;height:.7pt;z-index:-15583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" fillcolor="black" stroked="f">
                <w10:wrap type="topAndBottom" anchorx="page"/>
              </v:rect>
            </w:pict>
          </mc:Fallback>
        </mc:AlternateContent>
      </w:r>
    </w:p>
    <w:p w14:paraId="0FB2F788" w14:textId="77777777" w:rsidR="00BD462C" w:rsidRDefault="00033D0F">
      <w:pPr>
        <w:spacing w:before="112"/>
        <w:ind w:left="135"/>
        <w:rPr>
          <w:sz w:val="18"/>
        </w:rPr>
      </w:pPr>
      <w:bookmarkStart w:id="743" w:name="_bookmark639"/>
      <w:bookmarkEnd w:id="743"/>
      <w:r>
        <w:rPr>
          <w:position w:val="5"/>
          <w:sz w:val="12"/>
        </w:rPr>
        <w:t>533</w:t>
      </w:r>
      <w:r>
        <w:rPr>
          <w:spacing w:val="12"/>
          <w:position w:val="5"/>
          <w:sz w:val="12"/>
        </w:rPr>
        <w:t xml:space="preserve"> </w:t>
      </w:r>
      <w:r>
        <w:rPr>
          <w:sz w:val="18"/>
        </w:rPr>
        <w:t>Australia's</w:t>
      </w:r>
      <w:r>
        <w:rPr>
          <w:spacing w:val="-6"/>
          <w:sz w:val="18"/>
        </w:rPr>
        <w:t xml:space="preserve"> </w:t>
      </w:r>
      <w:r>
        <w:rPr>
          <w:sz w:val="18"/>
        </w:rPr>
        <w:t>first</w:t>
      </w:r>
      <w:r>
        <w:rPr>
          <w:spacing w:val="-6"/>
          <w:sz w:val="18"/>
        </w:rPr>
        <w:t xml:space="preserve"> </w:t>
      </w:r>
      <w:r>
        <w:rPr>
          <w:sz w:val="18"/>
        </w:rPr>
        <w:t>written</w:t>
      </w:r>
      <w:r>
        <w:rPr>
          <w:spacing w:val="-2"/>
          <w:sz w:val="18"/>
        </w:rPr>
        <w:t xml:space="preserve"> </w:t>
      </w:r>
      <w:r>
        <w:rPr>
          <w:sz w:val="18"/>
        </w:rPr>
        <w:t>submission, para.</w:t>
      </w:r>
      <w:r>
        <w:rPr>
          <w:spacing w:val="-5"/>
          <w:sz w:val="18"/>
        </w:rPr>
        <w:t xml:space="preserve"> </w:t>
      </w:r>
      <w:r>
        <w:rPr>
          <w:spacing w:val="-4"/>
          <w:sz w:val="18"/>
        </w:rPr>
        <w:t>740.</w:t>
      </w:r>
    </w:p>
    <w:p w14:paraId="5FCEE443" w14:textId="77777777" w:rsidR="00BD462C" w:rsidRDefault="00033D0F">
      <w:pPr>
        <w:spacing w:before="1" w:line="218" w:lineRule="exact"/>
        <w:ind w:left="135"/>
        <w:rPr>
          <w:sz w:val="18"/>
        </w:rPr>
      </w:pPr>
      <w:bookmarkStart w:id="744" w:name="_bookmark640"/>
      <w:bookmarkEnd w:id="744"/>
      <w:r>
        <w:rPr>
          <w:position w:val="5"/>
          <w:sz w:val="12"/>
        </w:rPr>
        <w:t>534</w:t>
      </w:r>
      <w:r>
        <w:rPr>
          <w:spacing w:val="13"/>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 xml:space="preserve">para. </w:t>
      </w:r>
      <w:r>
        <w:rPr>
          <w:spacing w:val="-2"/>
          <w:sz w:val="18"/>
        </w:rPr>
        <w:t>2215.</w:t>
      </w:r>
    </w:p>
    <w:p w14:paraId="1F17BF99" w14:textId="77777777" w:rsidR="00BD462C" w:rsidRDefault="00033D0F">
      <w:pPr>
        <w:spacing w:line="218" w:lineRule="exact"/>
        <w:ind w:left="135"/>
        <w:rPr>
          <w:sz w:val="18"/>
        </w:rPr>
      </w:pPr>
      <w:bookmarkStart w:id="745" w:name="_bookmark641"/>
      <w:bookmarkEnd w:id="745"/>
      <w:r>
        <w:rPr>
          <w:position w:val="5"/>
          <w:sz w:val="12"/>
        </w:rPr>
        <w:t>535</w:t>
      </w:r>
      <w:r>
        <w:rPr>
          <w:spacing w:val="12"/>
          <w:position w:val="5"/>
          <w:sz w:val="12"/>
        </w:rPr>
        <w:t xml:space="preserve"> </w:t>
      </w:r>
      <w:r>
        <w:rPr>
          <w:sz w:val="18"/>
        </w:rPr>
        <w:t>Australia's</w:t>
      </w:r>
      <w:r>
        <w:rPr>
          <w:spacing w:val="-6"/>
          <w:sz w:val="18"/>
        </w:rPr>
        <w:t xml:space="preserve"> </w:t>
      </w:r>
      <w:r>
        <w:rPr>
          <w:sz w:val="18"/>
        </w:rPr>
        <w:t>first</w:t>
      </w:r>
      <w:r>
        <w:rPr>
          <w:spacing w:val="-5"/>
          <w:sz w:val="18"/>
        </w:rPr>
        <w:t xml:space="preserve"> </w:t>
      </w:r>
      <w:r>
        <w:rPr>
          <w:sz w:val="18"/>
        </w:rPr>
        <w:t>written</w:t>
      </w:r>
      <w:r>
        <w:rPr>
          <w:spacing w:val="-3"/>
          <w:sz w:val="18"/>
        </w:rPr>
        <w:t xml:space="preserve"> </w:t>
      </w:r>
      <w:r>
        <w:rPr>
          <w:sz w:val="18"/>
        </w:rPr>
        <w:t>submission,</w:t>
      </w:r>
      <w:r>
        <w:rPr>
          <w:spacing w:val="1"/>
          <w:sz w:val="18"/>
        </w:rPr>
        <w:t xml:space="preserve"> </w:t>
      </w:r>
      <w:r>
        <w:rPr>
          <w:sz w:val="18"/>
        </w:rPr>
        <w:t>para</w:t>
      </w:r>
      <w:r>
        <w:rPr>
          <w:spacing w:val="-4"/>
          <w:sz w:val="18"/>
        </w:rPr>
        <w:t xml:space="preserve"> 739.</w:t>
      </w:r>
    </w:p>
    <w:p w14:paraId="6D1E2194" w14:textId="77777777" w:rsidR="00BD462C" w:rsidRDefault="00033D0F">
      <w:pPr>
        <w:spacing w:before="1"/>
        <w:ind w:left="135"/>
        <w:rPr>
          <w:sz w:val="18"/>
        </w:rPr>
      </w:pPr>
      <w:bookmarkStart w:id="746" w:name="_bookmark642"/>
      <w:bookmarkEnd w:id="746"/>
      <w:r>
        <w:rPr>
          <w:position w:val="5"/>
          <w:sz w:val="12"/>
        </w:rPr>
        <w:t>536</w:t>
      </w:r>
      <w:r>
        <w:rPr>
          <w:spacing w:val="13"/>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5"/>
          <w:sz w:val="18"/>
        </w:rPr>
        <w:t xml:space="preserve"> </w:t>
      </w:r>
      <w:r>
        <w:rPr>
          <w:sz w:val="18"/>
        </w:rPr>
        <w:t>submission,</w:t>
      </w:r>
      <w:r>
        <w:rPr>
          <w:spacing w:val="1"/>
          <w:sz w:val="18"/>
        </w:rPr>
        <w:t xml:space="preserve"> </w:t>
      </w:r>
      <w:r>
        <w:rPr>
          <w:sz w:val="18"/>
        </w:rPr>
        <w:t xml:space="preserve">para. </w:t>
      </w:r>
      <w:r>
        <w:rPr>
          <w:spacing w:val="-2"/>
          <w:sz w:val="18"/>
        </w:rPr>
        <w:t>2216.</w:t>
      </w:r>
    </w:p>
    <w:p w14:paraId="37FB122B" w14:textId="77777777" w:rsidR="00BD462C" w:rsidRDefault="00033D0F">
      <w:pPr>
        <w:spacing w:before="1"/>
        <w:ind w:left="135"/>
        <w:rPr>
          <w:sz w:val="18"/>
        </w:rPr>
      </w:pPr>
      <w:bookmarkStart w:id="747" w:name="_bookmark643"/>
      <w:bookmarkEnd w:id="747"/>
      <w:r>
        <w:rPr>
          <w:position w:val="5"/>
          <w:sz w:val="12"/>
        </w:rPr>
        <w:t>537</w:t>
      </w:r>
      <w:r>
        <w:rPr>
          <w:spacing w:val="13"/>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 xml:space="preserve">para. </w:t>
      </w:r>
      <w:r>
        <w:rPr>
          <w:spacing w:val="-2"/>
          <w:sz w:val="18"/>
        </w:rPr>
        <w:t>2216.</w:t>
      </w:r>
    </w:p>
    <w:p w14:paraId="35F4C893" w14:textId="77777777" w:rsidR="00BD462C" w:rsidRDefault="00033D0F">
      <w:pPr>
        <w:spacing w:before="1"/>
        <w:ind w:left="135"/>
        <w:rPr>
          <w:sz w:val="18"/>
        </w:rPr>
      </w:pPr>
      <w:bookmarkStart w:id="748" w:name="_bookmark644"/>
      <w:bookmarkEnd w:id="748"/>
      <w:r>
        <w:rPr>
          <w:position w:val="5"/>
          <w:sz w:val="12"/>
        </w:rPr>
        <w:t>538</w:t>
      </w:r>
      <w:r>
        <w:rPr>
          <w:spacing w:val="13"/>
          <w:position w:val="5"/>
          <w:sz w:val="12"/>
        </w:rPr>
        <w:t xml:space="preserve"> </w:t>
      </w:r>
      <w:r>
        <w:rPr>
          <w:sz w:val="18"/>
        </w:rPr>
        <w:t>Australia's</w:t>
      </w:r>
      <w:r>
        <w:rPr>
          <w:spacing w:val="-6"/>
          <w:sz w:val="18"/>
        </w:rPr>
        <w:t xml:space="preserve"> </w:t>
      </w:r>
      <w:r>
        <w:rPr>
          <w:sz w:val="18"/>
        </w:rPr>
        <w:t>first</w:t>
      </w:r>
      <w:r>
        <w:rPr>
          <w:spacing w:val="-4"/>
          <w:sz w:val="18"/>
        </w:rPr>
        <w:t xml:space="preserve"> </w:t>
      </w:r>
      <w:r>
        <w:rPr>
          <w:sz w:val="18"/>
        </w:rPr>
        <w:t>written</w:t>
      </w:r>
      <w:r>
        <w:rPr>
          <w:spacing w:val="-2"/>
          <w:sz w:val="18"/>
        </w:rPr>
        <w:t xml:space="preserve"> </w:t>
      </w:r>
      <w:r>
        <w:rPr>
          <w:sz w:val="18"/>
        </w:rPr>
        <w:t>submission,</w:t>
      </w:r>
      <w:r>
        <w:rPr>
          <w:spacing w:val="-3"/>
          <w:sz w:val="18"/>
        </w:rPr>
        <w:t xml:space="preserve"> </w:t>
      </w:r>
      <w:r>
        <w:rPr>
          <w:sz w:val="18"/>
        </w:rPr>
        <w:t>section</w:t>
      </w:r>
      <w:r>
        <w:rPr>
          <w:spacing w:val="-7"/>
          <w:sz w:val="18"/>
        </w:rPr>
        <w:t xml:space="preserve"> </w:t>
      </w:r>
      <w:r>
        <w:rPr>
          <w:spacing w:val="-5"/>
          <w:sz w:val="18"/>
        </w:rPr>
        <w:t>II.</w:t>
      </w:r>
    </w:p>
    <w:p w14:paraId="0ABF77C9" w14:textId="77777777" w:rsidR="00BD462C" w:rsidRDefault="00033D0F">
      <w:pPr>
        <w:spacing w:before="1"/>
        <w:ind w:left="135"/>
        <w:rPr>
          <w:sz w:val="18"/>
        </w:rPr>
      </w:pPr>
      <w:bookmarkStart w:id="749" w:name="_bookmark645"/>
      <w:bookmarkEnd w:id="749"/>
      <w:r>
        <w:rPr>
          <w:position w:val="5"/>
          <w:sz w:val="12"/>
        </w:rPr>
        <w:t>539</w:t>
      </w:r>
      <w:r>
        <w:rPr>
          <w:spacing w:val="12"/>
          <w:position w:val="5"/>
          <w:sz w:val="12"/>
        </w:rPr>
        <w:t xml:space="preserve"> </w:t>
      </w:r>
      <w:r>
        <w:rPr>
          <w:sz w:val="18"/>
        </w:rPr>
        <w:t>Australia's</w:t>
      </w:r>
      <w:r>
        <w:rPr>
          <w:spacing w:val="-7"/>
          <w:sz w:val="18"/>
        </w:rPr>
        <w:t xml:space="preserve"> </w:t>
      </w:r>
      <w:r>
        <w:rPr>
          <w:sz w:val="18"/>
        </w:rPr>
        <w:t>first</w:t>
      </w:r>
      <w:r>
        <w:rPr>
          <w:spacing w:val="-5"/>
          <w:sz w:val="18"/>
        </w:rPr>
        <w:t xml:space="preserve"> </w:t>
      </w:r>
      <w:r>
        <w:rPr>
          <w:sz w:val="18"/>
        </w:rPr>
        <w:t>written</w:t>
      </w:r>
      <w:r>
        <w:rPr>
          <w:spacing w:val="-3"/>
          <w:sz w:val="18"/>
        </w:rPr>
        <w:t xml:space="preserve"> </w:t>
      </w:r>
      <w:r>
        <w:rPr>
          <w:sz w:val="18"/>
        </w:rPr>
        <w:t>submission, paras.</w:t>
      </w:r>
      <w:r>
        <w:rPr>
          <w:spacing w:val="-5"/>
          <w:sz w:val="18"/>
        </w:rPr>
        <w:t xml:space="preserve"> </w:t>
      </w:r>
      <w:r>
        <w:rPr>
          <w:sz w:val="18"/>
        </w:rPr>
        <w:t>716-</w:t>
      </w:r>
      <w:r>
        <w:rPr>
          <w:spacing w:val="-4"/>
          <w:sz w:val="18"/>
        </w:rPr>
        <w:t>737.</w:t>
      </w:r>
    </w:p>
    <w:p w14:paraId="6E631F53" w14:textId="77777777" w:rsidR="00BD462C" w:rsidRDefault="00BD462C">
      <w:pPr>
        <w:rPr>
          <w:sz w:val="18"/>
        </w:rPr>
        <w:sectPr w:rsidR="00BD462C">
          <w:pgSz w:w="11910" w:h="16840"/>
          <w:pgMar w:top="860" w:right="500" w:bottom="780" w:left="1280" w:header="566" w:footer="590" w:gutter="0"/>
          <w:cols w:space="720"/>
        </w:sectPr>
      </w:pPr>
    </w:p>
    <w:p w14:paraId="6BB5B407"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34C85A91"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0547476B"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1A8B8613" w14:textId="4936DAF2" w:rsidR="00BD462C" w:rsidRDefault="00185AF5" w:rsidP="00185AF5">
      <w:pPr>
        <w:pStyle w:val="BodyText"/>
        <w:numPr>
          <w:ilvl w:val="0"/>
          <w:numId w:val="77"/>
        </w:numPr>
        <w:spacing w:before="56" w:line="355" w:lineRule="auto"/>
        <w:ind w:right="910"/>
      </w:pPr>
      <w:r>
        <w:rPr>
          <w:position w:val="1"/>
        </w:rPr>
        <w:t>Finally,</w:t>
      </w:r>
      <w:r>
        <w:rPr>
          <w:spacing w:val="40"/>
          <w:position w:val="1"/>
        </w:rPr>
        <w:t xml:space="preserve"> </w:t>
      </w:r>
      <w:r>
        <w:rPr>
          <w:position w:val="1"/>
        </w:rPr>
        <w:t>in</w:t>
      </w:r>
      <w:r>
        <w:rPr>
          <w:spacing w:val="53"/>
          <w:position w:val="1"/>
        </w:rPr>
        <w:t xml:space="preserve"> </w:t>
      </w:r>
      <w:r>
        <w:rPr>
          <w:position w:val="1"/>
        </w:rPr>
        <w:t>China's</w:t>
      </w:r>
      <w:r>
        <w:rPr>
          <w:spacing w:val="57"/>
          <w:position w:val="1"/>
        </w:rPr>
        <w:t xml:space="preserve"> </w:t>
      </w:r>
      <w:r>
        <w:rPr>
          <w:position w:val="1"/>
        </w:rPr>
        <w:t>first</w:t>
      </w:r>
      <w:r>
        <w:rPr>
          <w:spacing w:val="56"/>
          <w:position w:val="1"/>
        </w:rPr>
        <w:t xml:space="preserve"> </w:t>
      </w:r>
      <w:r>
        <w:rPr>
          <w:position w:val="1"/>
        </w:rPr>
        <w:t>written</w:t>
      </w:r>
      <w:r>
        <w:rPr>
          <w:spacing w:val="53"/>
          <w:position w:val="1"/>
        </w:rPr>
        <w:t xml:space="preserve"> </w:t>
      </w:r>
      <w:r>
        <w:rPr>
          <w:position w:val="1"/>
        </w:rPr>
        <w:t>submission,</w:t>
      </w:r>
      <w:r>
        <w:rPr>
          <w:spacing w:val="57"/>
          <w:position w:val="1"/>
        </w:rPr>
        <w:t xml:space="preserve"> </w:t>
      </w:r>
      <w:r>
        <w:rPr>
          <w:position w:val="1"/>
        </w:rPr>
        <w:t>it</w:t>
      </w:r>
      <w:r>
        <w:rPr>
          <w:spacing w:val="56"/>
          <w:position w:val="1"/>
        </w:rPr>
        <w:t xml:space="preserve"> </w:t>
      </w:r>
      <w:r>
        <w:rPr>
          <w:position w:val="1"/>
        </w:rPr>
        <w:t>"disagrees</w:t>
      </w:r>
      <w:r>
        <w:rPr>
          <w:spacing w:val="57"/>
          <w:position w:val="1"/>
        </w:rPr>
        <w:t xml:space="preserve"> </w:t>
      </w:r>
      <w:r>
        <w:rPr>
          <w:position w:val="1"/>
        </w:rPr>
        <w:t>with</w:t>
      </w:r>
      <w:r>
        <w:rPr>
          <w:spacing w:val="53"/>
          <w:position w:val="1"/>
        </w:rPr>
        <w:t xml:space="preserve"> </w:t>
      </w:r>
      <w:r>
        <w:rPr>
          <w:position w:val="1"/>
        </w:rPr>
        <w:t>Australia</w:t>
      </w:r>
      <w:r>
        <w:rPr>
          <w:spacing w:val="55"/>
          <w:position w:val="1"/>
        </w:rPr>
        <w:t xml:space="preserve"> </w:t>
      </w:r>
      <w:r>
        <w:rPr>
          <w:position w:val="1"/>
        </w:rPr>
        <w:t>that</w:t>
      </w:r>
      <w:r>
        <w:rPr>
          <w:spacing w:val="56"/>
          <w:position w:val="1"/>
        </w:rPr>
        <w:t xml:space="preserve"> </w:t>
      </w:r>
      <w:r>
        <w:rPr>
          <w:position w:val="1"/>
        </w:rPr>
        <w:t xml:space="preserve">the </w:t>
      </w:r>
      <w:r>
        <w:t>6</w:t>
      </w:r>
      <w:r>
        <w:rPr>
          <w:spacing w:val="-7"/>
        </w:rPr>
        <w:t xml:space="preserve"> </w:t>
      </w:r>
      <w:r>
        <w:t>Australian 'traders'</w:t>
      </w:r>
      <w:r>
        <w:rPr>
          <w:spacing w:val="3"/>
        </w:rPr>
        <w:t xml:space="preserve"> </w:t>
      </w:r>
      <w:r>
        <w:t>were</w:t>
      </w:r>
      <w:r>
        <w:rPr>
          <w:spacing w:val="7"/>
        </w:rPr>
        <w:t xml:space="preserve"> </w:t>
      </w:r>
      <w:r>
        <w:t>'suppliers'</w:t>
      </w:r>
      <w:r>
        <w:rPr>
          <w:spacing w:val="2"/>
        </w:rPr>
        <w:t xml:space="preserve"> </w:t>
      </w:r>
      <w:r>
        <w:t>in</w:t>
      </w:r>
      <w:r>
        <w:rPr>
          <w:spacing w:val="1"/>
        </w:rPr>
        <w:t xml:space="preserve"> </w:t>
      </w:r>
      <w:r>
        <w:t>the</w:t>
      </w:r>
      <w:r>
        <w:rPr>
          <w:spacing w:val="7"/>
        </w:rPr>
        <w:t xml:space="preserve"> </w:t>
      </w:r>
      <w:r>
        <w:t>sense</w:t>
      </w:r>
      <w:r>
        <w:rPr>
          <w:spacing w:val="2"/>
        </w:rPr>
        <w:t xml:space="preserve"> </w:t>
      </w:r>
      <w:r>
        <w:t>of</w:t>
      </w:r>
      <w:r>
        <w:rPr>
          <w:spacing w:val="6"/>
        </w:rPr>
        <w:t xml:space="preserve"> </w:t>
      </w:r>
      <w:r>
        <w:t>Article</w:t>
      </w:r>
      <w:r>
        <w:rPr>
          <w:spacing w:val="2"/>
        </w:rPr>
        <w:t xml:space="preserve"> </w:t>
      </w:r>
      <w:r>
        <w:t>9.2,</w:t>
      </w:r>
      <w:r>
        <w:rPr>
          <w:spacing w:val="4"/>
        </w:rPr>
        <w:t xml:space="preserve"> </w:t>
      </w:r>
      <w:r>
        <w:t>second</w:t>
      </w:r>
      <w:r>
        <w:rPr>
          <w:spacing w:val="1"/>
        </w:rPr>
        <w:t xml:space="preserve"> </w:t>
      </w:r>
      <w:r>
        <w:t>sentence".</w:t>
      </w:r>
      <w:r>
        <w:rPr>
          <w:spacing w:val="4"/>
        </w:rPr>
        <w:t xml:space="preserve"> </w:t>
      </w:r>
      <w:r>
        <w:t>It</w:t>
      </w:r>
      <w:r>
        <w:rPr>
          <w:spacing w:val="4"/>
        </w:rPr>
        <w:t xml:space="preserve"> </w:t>
      </w:r>
      <w:r>
        <w:rPr>
          <w:spacing w:val="-2"/>
        </w:rPr>
        <w:t xml:space="preserve">further </w:t>
      </w:r>
      <w:r w:rsidR="00033D0F">
        <w:t>states "Australia has adduced no argument to demonstrate that such traders were required to be named in Annex I of MOFCOM's Final Determination, pursuant to Article 9.2 of the Anti-Dumping Agreement."</w:t>
      </w:r>
      <w:hyperlink w:anchor="_bookmark646" w:history="1">
        <w:r w:rsidR="00033D0F" w:rsidRPr="00185AF5">
          <w:rPr>
            <w:vertAlign w:val="superscript"/>
          </w:rPr>
          <w:t>540</w:t>
        </w:r>
      </w:hyperlink>
      <w:r w:rsidR="00033D0F">
        <w:t xml:space="preserve"> China fails to engage with the substance of the issue as China does not adduce any counterargument as to why "traders" should </w:t>
      </w:r>
      <w:r w:rsidR="00033D0F" w:rsidRPr="00185AF5">
        <w:rPr>
          <w:i/>
        </w:rPr>
        <w:t xml:space="preserve">not </w:t>
      </w:r>
      <w:r w:rsidR="00033D0F">
        <w:t>be considered "suppliers of the product concerned" under Article 9.2.</w:t>
      </w:r>
    </w:p>
    <w:p w14:paraId="75A35533" w14:textId="77777777" w:rsidR="00BD462C" w:rsidRDefault="00BD462C">
      <w:pPr>
        <w:pStyle w:val="BodyText"/>
        <w:spacing w:before="11"/>
        <w:rPr>
          <w:sz w:val="8"/>
        </w:rPr>
      </w:pPr>
    </w:p>
    <w:p w14:paraId="16087E9D" w14:textId="3E378009" w:rsidR="00BD462C" w:rsidRDefault="00033D0F" w:rsidP="00185AF5">
      <w:pPr>
        <w:pStyle w:val="BodyText"/>
        <w:numPr>
          <w:ilvl w:val="0"/>
          <w:numId w:val="77"/>
        </w:numPr>
        <w:spacing w:before="56" w:line="360" w:lineRule="auto"/>
        <w:ind w:right="914"/>
        <w:jc w:val="both"/>
      </w:pPr>
      <w:r>
        <w:rPr>
          <w:position w:val="1"/>
        </w:rPr>
        <w:t>As</w:t>
      </w:r>
      <w:r>
        <w:rPr>
          <w:spacing w:val="40"/>
          <w:position w:val="1"/>
        </w:rPr>
        <w:t xml:space="preserve"> </w:t>
      </w:r>
      <w:r>
        <w:rPr>
          <w:position w:val="1"/>
        </w:rPr>
        <w:t>Australia</w:t>
      </w:r>
      <w:r>
        <w:rPr>
          <w:spacing w:val="40"/>
          <w:position w:val="1"/>
        </w:rPr>
        <w:t xml:space="preserve"> </w:t>
      </w:r>
      <w:r>
        <w:rPr>
          <w:position w:val="1"/>
        </w:rPr>
        <w:t>established</w:t>
      </w:r>
      <w:r>
        <w:rPr>
          <w:spacing w:val="40"/>
          <w:position w:val="1"/>
        </w:rPr>
        <w:t xml:space="preserve"> </w:t>
      </w:r>
      <w:r>
        <w:rPr>
          <w:position w:val="1"/>
        </w:rPr>
        <w:t>in</w:t>
      </w:r>
      <w:r>
        <w:rPr>
          <w:spacing w:val="40"/>
          <w:position w:val="1"/>
        </w:rPr>
        <w:t xml:space="preserve"> </w:t>
      </w:r>
      <w:r>
        <w:rPr>
          <w:position w:val="1"/>
        </w:rPr>
        <w:t>its</w:t>
      </w:r>
      <w:r>
        <w:rPr>
          <w:spacing w:val="40"/>
          <w:position w:val="1"/>
        </w:rPr>
        <w:t xml:space="preserve"> </w:t>
      </w:r>
      <w:r>
        <w:rPr>
          <w:position w:val="1"/>
        </w:rPr>
        <w:t>first</w:t>
      </w:r>
      <w:r>
        <w:rPr>
          <w:spacing w:val="40"/>
          <w:position w:val="1"/>
        </w:rPr>
        <w:t xml:space="preserve"> </w:t>
      </w:r>
      <w:r>
        <w:rPr>
          <w:position w:val="1"/>
        </w:rPr>
        <w:t>written</w:t>
      </w:r>
      <w:r>
        <w:rPr>
          <w:spacing w:val="40"/>
          <w:position w:val="1"/>
        </w:rPr>
        <w:t xml:space="preserve"> </w:t>
      </w:r>
      <w:r>
        <w:rPr>
          <w:position w:val="1"/>
        </w:rPr>
        <w:t>submission,</w:t>
      </w:r>
      <w:r>
        <w:rPr>
          <w:spacing w:val="40"/>
          <w:position w:val="1"/>
        </w:rPr>
        <w:t xml:space="preserve"> </w:t>
      </w:r>
      <w:r>
        <w:rPr>
          <w:position w:val="1"/>
        </w:rPr>
        <w:t>"the</w:t>
      </w:r>
      <w:r>
        <w:rPr>
          <w:spacing w:val="40"/>
          <w:position w:val="1"/>
        </w:rPr>
        <w:t xml:space="preserve"> </w:t>
      </w:r>
      <w:r>
        <w:rPr>
          <w:position w:val="1"/>
        </w:rPr>
        <w:t>term</w:t>
      </w:r>
      <w:r>
        <w:rPr>
          <w:spacing w:val="40"/>
          <w:position w:val="1"/>
        </w:rPr>
        <w:t xml:space="preserve"> </w:t>
      </w:r>
      <w:r>
        <w:rPr>
          <w:position w:val="1"/>
        </w:rPr>
        <w:t>"suppliers"</w:t>
      </w:r>
      <w:r>
        <w:rPr>
          <w:spacing w:val="40"/>
          <w:position w:val="1"/>
        </w:rPr>
        <w:t xml:space="preserve"> </w:t>
      </w:r>
      <w:r>
        <w:rPr>
          <w:position w:val="1"/>
        </w:rPr>
        <w:t xml:space="preserve">in </w:t>
      </w:r>
      <w:r>
        <w:t>Article</w:t>
      </w:r>
      <w:r>
        <w:rPr>
          <w:spacing w:val="-3"/>
        </w:rPr>
        <w:t xml:space="preserve"> </w:t>
      </w:r>
      <w:r>
        <w:t>9.2 is broader than the narrower concept of "producers", encompassing "Australian traders" who exported subject wine products to China."</w:t>
      </w:r>
      <w:hyperlink w:anchor="_bookmark647" w:history="1">
        <w:r>
          <w:rPr>
            <w:vertAlign w:val="superscript"/>
          </w:rPr>
          <w:t>541</w:t>
        </w:r>
      </w:hyperlink>
      <w:r>
        <w:t xml:space="preserve"> In the absence of past panel or Appellate Body reports to confer special meaning on these terms, their ordinary meanings should suffice.</w:t>
      </w:r>
      <w:hyperlink w:anchor="_bookmark648" w:history="1">
        <w:r>
          <w:rPr>
            <w:vertAlign w:val="superscript"/>
          </w:rPr>
          <w:t>542</w:t>
        </w:r>
      </w:hyperlink>
      <w:r>
        <w:t xml:space="preserve"> To the extent that context renders these terms noninterchangeable, the difference is that the term "suppliers" encompasses both "producers" (i.e. those who make, grow or supply) and "traders" (i.e. those who buy and sell). The Australian "traders" buy and sell, making them suppliers who provide something needed.</w:t>
      </w:r>
    </w:p>
    <w:p w14:paraId="5EEE14E4" w14:textId="77777777" w:rsidR="00BD462C" w:rsidRDefault="00BD462C">
      <w:pPr>
        <w:pStyle w:val="BodyText"/>
        <w:spacing w:before="2"/>
        <w:rPr>
          <w:sz w:val="8"/>
        </w:rPr>
      </w:pPr>
    </w:p>
    <w:p w14:paraId="6EA45015" w14:textId="1D70DFB6" w:rsidR="00BD462C" w:rsidRDefault="00033D0F" w:rsidP="00185AF5">
      <w:pPr>
        <w:pStyle w:val="BodyText"/>
        <w:numPr>
          <w:ilvl w:val="0"/>
          <w:numId w:val="77"/>
        </w:numPr>
        <w:spacing w:before="56" w:line="360" w:lineRule="auto"/>
        <w:ind w:right="911"/>
        <w:jc w:val="both"/>
      </w:pPr>
      <w:r>
        <w:rPr>
          <w:position w:val="1"/>
        </w:rPr>
        <w:t>For the reasons set out above and in Australia's previous submissions, China has</w:t>
      </w:r>
      <w:r>
        <w:rPr>
          <w:spacing w:val="80"/>
          <w:position w:val="1"/>
        </w:rPr>
        <w:t xml:space="preserve"> </w:t>
      </w:r>
      <w:r>
        <w:t xml:space="preserve">failed to rebut Australia's claims that MOFCOM acted inconsistently with Articles 1, 9.1, 9.2 and 9.3 of the Anti-Dumping Agreement, Article </w:t>
      </w:r>
      <w:proofErr w:type="gramStart"/>
      <w:r>
        <w:t>18.1</w:t>
      </w:r>
      <w:proofErr w:type="gramEnd"/>
      <w:r>
        <w:t xml:space="preserve"> and Article VI:2 of the GATT 1994.</w:t>
      </w:r>
    </w:p>
    <w:p w14:paraId="30A12CFE" w14:textId="77777777" w:rsidR="00BD462C" w:rsidRDefault="00BD462C">
      <w:pPr>
        <w:pStyle w:val="BodyText"/>
        <w:rPr>
          <w:sz w:val="20"/>
        </w:rPr>
      </w:pPr>
    </w:p>
    <w:p w14:paraId="3247CD63" w14:textId="77777777" w:rsidR="00BD462C" w:rsidRDefault="00BD462C">
      <w:pPr>
        <w:pStyle w:val="BodyText"/>
        <w:rPr>
          <w:sz w:val="20"/>
        </w:rPr>
      </w:pPr>
    </w:p>
    <w:p w14:paraId="079F22E3" w14:textId="77777777" w:rsidR="00BD462C" w:rsidRDefault="00BD462C">
      <w:pPr>
        <w:pStyle w:val="BodyText"/>
        <w:rPr>
          <w:sz w:val="20"/>
        </w:rPr>
      </w:pPr>
    </w:p>
    <w:p w14:paraId="7F0A22B9" w14:textId="77777777" w:rsidR="00BD462C" w:rsidRDefault="00BD462C">
      <w:pPr>
        <w:pStyle w:val="BodyText"/>
        <w:rPr>
          <w:sz w:val="20"/>
        </w:rPr>
      </w:pPr>
    </w:p>
    <w:p w14:paraId="42E2FF41" w14:textId="77777777" w:rsidR="00BD462C" w:rsidRDefault="00BD462C">
      <w:pPr>
        <w:pStyle w:val="BodyText"/>
        <w:rPr>
          <w:sz w:val="20"/>
        </w:rPr>
      </w:pPr>
    </w:p>
    <w:p w14:paraId="196737C2" w14:textId="77777777" w:rsidR="00BD462C" w:rsidRDefault="00BD462C">
      <w:pPr>
        <w:pStyle w:val="BodyText"/>
        <w:rPr>
          <w:sz w:val="20"/>
        </w:rPr>
      </w:pPr>
    </w:p>
    <w:p w14:paraId="034DFE35" w14:textId="77777777" w:rsidR="00BD462C" w:rsidRDefault="00BD462C">
      <w:pPr>
        <w:pStyle w:val="BodyText"/>
        <w:rPr>
          <w:sz w:val="20"/>
        </w:rPr>
      </w:pPr>
    </w:p>
    <w:p w14:paraId="621DDC57" w14:textId="77777777" w:rsidR="00BD462C" w:rsidRDefault="00BD462C">
      <w:pPr>
        <w:pStyle w:val="BodyText"/>
        <w:rPr>
          <w:sz w:val="20"/>
        </w:rPr>
      </w:pPr>
    </w:p>
    <w:p w14:paraId="2E9AF271" w14:textId="2438995F" w:rsidR="00BD462C" w:rsidRDefault="00D70C7D">
      <w:pPr>
        <w:pStyle w:val="BodyText"/>
        <w:spacing w:before="10"/>
        <w:rPr>
          <w:sz w:val="26"/>
        </w:rPr>
      </w:pPr>
      <w:r>
        <w:rPr>
          <w:noProof/>
        </w:rPr>
        <mc:AlternateContent>
          <mc:Choice Requires="wps">
            <w:drawing>
              <wp:anchor distT="0" distB="0" distL="0" distR="0" simplePos="0" relativeHeight="487733760" behindDoc="1" locked="0" layoutInCell="1" allowOverlap="1" wp14:anchorId="10EFA1CF" wp14:editId="46224738">
                <wp:simplePos x="0" y="0"/>
                <wp:positionH relativeFrom="page">
                  <wp:posOffset>899160</wp:posOffset>
                </wp:positionH>
                <wp:positionV relativeFrom="paragraph">
                  <wp:posOffset>223520</wp:posOffset>
                </wp:positionV>
                <wp:extent cx="1828800" cy="8890"/>
                <wp:effectExtent l="0" t="0" r="0" b="0"/>
                <wp:wrapTopAndBottom/>
                <wp:docPr id="802" name="docshape3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C65747" id="docshape315" o:spid="_x0000_s1026" alt="&quot;&quot;" style="position:absolute;margin-left:70.8pt;margin-top:17.6pt;width:2in;height:.7pt;z-index:-15582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" fillcolor="black" stroked="f">
                <w10:wrap type="topAndBottom" anchorx="page"/>
              </v:rect>
            </w:pict>
          </mc:Fallback>
        </mc:AlternateContent>
      </w:r>
    </w:p>
    <w:p w14:paraId="095394B3" w14:textId="77777777" w:rsidR="00BD462C" w:rsidRDefault="00033D0F">
      <w:pPr>
        <w:spacing w:before="112"/>
        <w:ind w:left="135"/>
        <w:jc w:val="both"/>
        <w:rPr>
          <w:sz w:val="18"/>
        </w:rPr>
      </w:pPr>
      <w:bookmarkStart w:id="750" w:name="_bookmark646"/>
      <w:bookmarkEnd w:id="750"/>
      <w:r>
        <w:rPr>
          <w:position w:val="5"/>
          <w:sz w:val="12"/>
        </w:rPr>
        <w:t>540</w:t>
      </w:r>
      <w:r>
        <w:rPr>
          <w:spacing w:val="13"/>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 xml:space="preserve">para. </w:t>
      </w:r>
      <w:r>
        <w:rPr>
          <w:spacing w:val="-2"/>
          <w:sz w:val="18"/>
        </w:rPr>
        <w:t>2217.</w:t>
      </w:r>
    </w:p>
    <w:p w14:paraId="667C3A9E" w14:textId="77777777" w:rsidR="00BD462C" w:rsidRDefault="00033D0F">
      <w:pPr>
        <w:spacing w:before="1"/>
        <w:ind w:left="135"/>
        <w:jc w:val="both"/>
        <w:rPr>
          <w:sz w:val="18"/>
        </w:rPr>
      </w:pPr>
      <w:bookmarkStart w:id="751" w:name="_bookmark647"/>
      <w:bookmarkEnd w:id="751"/>
      <w:r>
        <w:rPr>
          <w:position w:val="5"/>
          <w:sz w:val="12"/>
        </w:rPr>
        <w:t>541</w:t>
      </w:r>
      <w:r>
        <w:rPr>
          <w:spacing w:val="12"/>
          <w:position w:val="5"/>
          <w:sz w:val="12"/>
        </w:rPr>
        <w:t xml:space="preserve"> </w:t>
      </w:r>
      <w:r>
        <w:rPr>
          <w:sz w:val="18"/>
        </w:rPr>
        <w:t>Australia's</w:t>
      </w:r>
      <w:r>
        <w:rPr>
          <w:spacing w:val="-6"/>
          <w:sz w:val="18"/>
        </w:rPr>
        <w:t xml:space="preserve"> </w:t>
      </w:r>
      <w:r>
        <w:rPr>
          <w:sz w:val="18"/>
        </w:rPr>
        <w:t>first</w:t>
      </w:r>
      <w:r>
        <w:rPr>
          <w:spacing w:val="-5"/>
          <w:sz w:val="18"/>
        </w:rPr>
        <w:t xml:space="preserve"> </w:t>
      </w:r>
      <w:r>
        <w:rPr>
          <w:sz w:val="18"/>
        </w:rPr>
        <w:t>written</w:t>
      </w:r>
      <w:r>
        <w:rPr>
          <w:spacing w:val="-2"/>
          <w:sz w:val="18"/>
        </w:rPr>
        <w:t xml:space="preserve"> </w:t>
      </w:r>
      <w:r>
        <w:rPr>
          <w:sz w:val="18"/>
        </w:rPr>
        <w:t>submission, para.</w:t>
      </w:r>
      <w:r>
        <w:rPr>
          <w:spacing w:val="-5"/>
          <w:sz w:val="18"/>
        </w:rPr>
        <w:t xml:space="preserve"> </w:t>
      </w:r>
      <w:r>
        <w:rPr>
          <w:spacing w:val="-4"/>
          <w:sz w:val="18"/>
        </w:rPr>
        <w:t>729.</w:t>
      </w:r>
    </w:p>
    <w:p w14:paraId="46E1A3F4" w14:textId="77777777" w:rsidR="00BD462C" w:rsidRDefault="00033D0F">
      <w:pPr>
        <w:spacing w:before="1"/>
        <w:ind w:left="136" w:right="911" w:hanging="1"/>
        <w:jc w:val="both"/>
        <w:rPr>
          <w:sz w:val="18"/>
        </w:rPr>
      </w:pPr>
      <w:bookmarkStart w:id="752" w:name="_bookmark648"/>
      <w:bookmarkEnd w:id="752"/>
      <w:r>
        <w:rPr>
          <w:position w:val="5"/>
          <w:sz w:val="12"/>
        </w:rPr>
        <w:t xml:space="preserve">542 </w:t>
      </w:r>
      <w:r>
        <w:rPr>
          <w:sz w:val="18"/>
        </w:rPr>
        <w:t>The ordinary meaning of "supplier" is "[a] person who or organization […] which provides something needed, esp. a commodity, or necessary goods and equipment" (Oxford English Dictionary online, definition of "supplier", https://</w:t>
      </w:r>
      <w:hyperlink r:id="rId19">
        <w:r>
          <w:rPr>
            <w:sz w:val="18"/>
          </w:rPr>
          <w:t>www.oed.com/view/Entry/194660</w:t>
        </w:r>
      </w:hyperlink>
      <w:r>
        <w:rPr>
          <w:sz w:val="18"/>
        </w:rPr>
        <w:t xml:space="preserve"> (accessed 28</w:t>
      </w:r>
      <w:r>
        <w:rPr>
          <w:spacing w:val="-5"/>
          <w:sz w:val="18"/>
        </w:rPr>
        <w:t xml:space="preserve"> </w:t>
      </w:r>
      <w:r>
        <w:rPr>
          <w:sz w:val="18"/>
        </w:rPr>
        <w:t>November 2022)). The ordinary meaning of "producer" is "[a] person,</w:t>
      </w:r>
      <w:r>
        <w:rPr>
          <w:spacing w:val="-11"/>
          <w:sz w:val="18"/>
        </w:rPr>
        <w:t xml:space="preserve"> </w:t>
      </w:r>
      <w:r>
        <w:rPr>
          <w:sz w:val="18"/>
        </w:rPr>
        <w:t>company,</w:t>
      </w:r>
      <w:r>
        <w:rPr>
          <w:spacing w:val="-10"/>
          <w:sz w:val="18"/>
        </w:rPr>
        <w:t xml:space="preserve"> </w:t>
      </w:r>
      <w:r>
        <w:rPr>
          <w:sz w:val="18"/>
        </w:rPr>
        <w:t>or</w:t>
      </w:r>
      <w:r>
        <w:rPr>
          <w:spacing w:val="-10"/>
          <w:sz w:val="18"/>
        </w:rPr>
        <w:t xml:space="preserve"> </w:t>
      </w:r>
      <w:r>
        <w:rPr>
          <w:sz w:val="18"/>
        </w:rPr>
        <w:t>country</w:t>
      </w:r>
      <w:r>
        <w:rPr>
          <w:spacing w:val="-10"/>
          <w:sz w:val="18"/>
        </w:rPr>
        <w:t xml:space="preserve"> </w:t>
      </w:r>
      <w:r>
        <w:rPr>
          <w:sz w:val="18"/>
        </w:rPr>
        <w:t>that</w:t>
      </w:r>
      <w:r>
        <w:rPr>
          <w:spacing w:val="-7"/>
          <w:sz w:val="18"/>
        </w:rPr>
        <w:t xml:space="preserve"> </w:t>
      </w:r>
      <w:r>
        <w:rPr>
          <w:sz w:val="18"/>
        </w:rPr>
        <w:t>makes,</w:t>
      </w:r>
      <w:r>
        <w:rPr>
          <w:spacing w:val="-6"/>
          <w:sz w:val="18"/>
        </w:rPr>
        <w:t xml:space="preserve"> </w:t>
      </w:r>
      <w:r>
        <w:rPr>
          <w:sz w:val="18"/>
        </w:rPr>
        <w:t>grows,</w:t>
      </w:r>
      <w:r>
        <w:rPr>
          <w:spacing w:val="-6"/>
          <w:sz w:val="18"/>
        </w:rPr>
        <w:t xml:space="preserve"> </w:t>
      </w:r>
      <w:r>
        <w:rPr>
          <w:sz w:val="18"/>
        </w:rPr>
        <w:t>or</w:t>
      </w:r>
      <w:r>
        <w:rPr>
          <w:spacing w:val="-11"/>
          <w:sz w:val="18"/>
        </w:rPr>
        <w:t xml:space="preserve"> </w:t>
      </w:r>
      <w:r>
        <w:rPr>
          <w:sz w:val="18"/>
        </w:rPr>
        <w:t>supplies</w:t>
      </w:r>
      <w:r>
        <w:rPr>
          <w:spacing w:val="-7"/>
          <w:sz w:val="18"/>
        </w:rPr>
        <w:t xml:space="preserve"> </w:t>
      </w:r>
      <w:r>
        <w:rPr>
          <w:sz w:val="18"/>
        </w:rPr>
        <w:t>goods</w:t>
      </w:r>
      <w:r>
        <w:rPr>
          <w:spacing w:val="-11"/>
          <w:sz w:val="18"/>
        </w:rPr>
        <w:t xml:space="preserve"> </w:t>
      </w:r>
      <w:r>
        <w:rPr>
          <w:sz w:val="18"/>
        </w:rPr>
        <w:t>or</w:t>
      </w:r>
      <w:r>
        <w:rPr>
          <w:spacing w:val="-4"/>
          <w:sz w:val="18"/>
        </w:rPr>
        <w:t xml:space="preserve"> </w:t>
      </w:r>
      <w:r>
        <w:rPr>
          <w:sz w:val="18"/>
        </w:rPr>
        <w:t>commodities</w:t>
      </w:r>
      <w:r>
        <w:rPr>
          <w:spacing w:val="-11"/>
          <w:sz w:val="18"/>
        </w:rPr>
        <w:t xml:space="preserve"> </w:t>
      </w:r>
      <w:r>
        <w:rPr>
          <w:sz w:val="18"/>
        </w:rPr>
        <w:t>for</w:t>
      </w:r>
      <w:r>
        <w:rPr>
          <w:spacing w:val="-9"/>
          <w:sz w:val="18"/>
        </w:rPr>
        <w:t xml:space="preserve"> </w:t>
      </w:r>
      <w:r>
        <w:rPr>
          <w:sz w:val="18"/>
        </w:rPr>
        <w:t>sale"</w:t>
      </w:r>
      <w:r>
        <w:rPr>
          <w:spacing w:val="-10"/>
          <w:sz w:val="18"/>
        </w:rPr>
        <w:t xml:space="preserve"> </w:t>
      </w:r>
      <w:r>
        <w:rPr>
          <w:sz w:val="18"/>
        </w:rPr>
        <w:t>(Oxford</w:t>
      </w:r>
      <w:r>
        <w:rPr>
          <w:spacing w:val="-11"/>
          <w:sz w:val="18"/>
        </w:rPr>
        <w:t xml:space="preserve"> </w:t>
      </w:r>
      <w:r>
        <w:rPr>
          <w:sz w:val="18"/>
        </w:rPr>
        <w:t>English</w:t>
      </w:r>
      <w:r>
        <w:rPr>
          <w:spacing w:val="-7"/>
          <w:sz w:val="18"/>
        </w:rPr>
        <w:t xml:space="preserve"> </w:t>
      </w:r>
      <w:r>
        <w:rPr>
          <w:sz w:val="18"/>
        </w:rPr>
        <w:t>Dictionary</w:t>
      </w:r>
      <w:r>
        <w:rPr>
          <w:spacing w:val="-10"/>
          <w:sz w:val="18"/>
        </w:rPr>
        <w:t xml:space="preserve"> </w:t>
      </w:r>
      <w:r>
        <w:rPr>
          <w:sz w:val="18"/>
        </w:rPr>
        <w:t>online, definition of "producer", https://</w:t>
      </w:r>
      <w:hyperlink r:id="rId20">
        <w:r>
          <w:rPr>
            <w:sz w:val="18"/>
          </w:rPr>
          <w:t>www.oed.com/view/Entry/151981</w:t>
        </w:r>
      </w:hyperlink>
      <w:r>
        <w:rPr>
          <w:sz w:val="18"/>
        </w:rPr>
        <w:t xml:space="preserve"> (accessed 28</w:t>
      </w:r>
      <w:r>
        <w:rPr>
          <w:spacing w:val="-5"/>
          <w:sz w:val="18"/>
        </w:rPr>
        <w:t xml:space="preserve"> </w:t>
      </w:r>
      <w:r>
        <w:rPr>
          <w:sz w:val="18"/>
        </w:rPr>
        <w:t>November</w:t>
      </w:r>
      <w:r>
        <w:rPr>
          <w:spacing w:val="-5"/>
          <w:sz w:val="18"/>
        </w:rPr>
        <w:t xml:space="preserve"> </w:t>
      </w:r>
      <w:r>
        <w:rPr>
          <w:sz w:val="18"/>
        </w:rPr>
        <w:t>2022)). The ordinary meaning of "trader" is "a person engaged in trading or commerce; a person who buys and sells goods; a dealer" (Oxford English Dictionary online, definition of "trader", https://</w:t>
      </w:r>
      <w:hyperlink r:id="rId21">
        <w:r>
          <w:rPr>
            <w:sz w:val="18"/>
          </w:rPr>
          <w:t>www.oed.com/view/Entry/204286</w:t>
        </w:r>
      </w:hyperlink>
      <w:r>
        <w:rPr>
          <w:sz w:val="18"/>
        </w:rPr>
        <w:t xml:space="preserve"> (accessed 28 November 2022)).</w:t>
      </w:r>
    </w:p>
    <w:p w14:paraId="595B9856" w14:textId="77777777" w:rsidR="00BD462C" w:rsidRDefault="00BD462C">
      <w:pPr>
        <w:jc w:val="both"/>
        <w:rPr>
          <w:sz w:val="18"/>
        </w:rPr>
        <w:sectPr w:rsidR="00BD462C">
          <w:pgSz w:w="11910" w:h="16840"/>
          <w:pgMar w:top="860" w:right="500" w:bottom="780" w:left="1280" w:header="566" w:footer="590" w:gutter="0"/>
          <w:cols w:space="720"/>
        </w:sectPr>
      </w:pPr>
    </w:p>
    <w:p w14:paraId="29F00D23"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7934AEC9"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75224243"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3E54FE40" w14:textId="77777777" w:rsidR="00BD462C" w:rsidRDefault="00033D0F" w:rsidP="00DA02D9">
      <w:pPr>
        <w:pStyle w:val="Heading1"/>
        <w:numPr>
          <w:ilvl w:val="0"/>
          <w:numId w:val="72"/>
        </w:numPr>
        <w:tabs>
          <w:tab w:val="left" w:pos="985"/>
          <w:tab w:val="left" w:pos="986"/>
          <w:tab w:val="left" w:pos="2732"/>
          <w:tab w:val="left" w:pos="3865"/>
          <w:tab w:val="left" w:pos="5693"/>
          <w:tab w:val="left" w:pos="7272"/>
          <w:tab w:val="left" w:pos="8880"/>
        </w:tabs>
        <w:spacing w:line="357" w:lineRule="auto"/>
        <w:ind w:right="921"/>
      </w:pPr>
      <w:bookmarkStart w:id="753" w:name="IV._Australia's_claims_concerning_MOFCOM"/>
      <w:bookmarkStart w:id="754" w:name="_bookmark649"/>
      <w:bookmarkEnd w:id="753"/>
      <w:bookmarkEnd w:id="754"/>
      <w:r>
        <w:rPr>
          <w:spacing w:val="-2"/>
        </w:rPr>
        <w:t>AUSTRALIA'S</w:t>
      </w:r>
      <w:r>
        <w:tab/>
      </w:r>
      <w:r>
        <w:rPr>
          <w:spacing w:val="-2"/>
        </w:rPr>
        <w:t>CLAIMS</w:t>
      </w:r>
      <w:r>
        <w:tab/>
      </w:r>
      <w:r>
        <w:rPr>
          <w:spacing w:val="-2"/>
        </w:rPr>
        <w:t>CONCERNING</w:t>
      </w:r>
      <w:r>
        <w:tab/>
      </w:r>
      <w:r>
        <w:rPr>
          <w:spacing w:val="-2"/>
        </w:rPr>
        <w:t>MOFCOM'S</w:t>
      </w:r>
      <w:r>
        <w:tab/>
      </w:r>
      <w:r>
        <w:rPr>
          <w:spacing w:val="-2"/>
        </w:rPr>
        <w:t>DEFINITION</w:t>
      </w:r>
      <w:r>
        <w:tab/>
      </w:r>
      <w:r>
        <w:rPr>
          <w:spacing w:val="-6"/>
        </w:rPr>
        <w:t xml:space="preserve">OF </w:t>
      </w:r>
      <w:r>
        <w:t>DOMESTIC INDUSTRY</w:t>
      </w:r>
    </w:p>
    <w:p w14:paraId="5DAAA51B" w14:textId="77777777" w:rsidR="00BD462C" w:rsidRDefault="00033D0F" w:rsidP="00DA02D9">
      <w:pPr>
        <w:pStyle w:val="ListParagraph"/>
        <w:numPr>
          <w:ilvl w:val="1"/>
          <w:numId w:val="72"/>
        </w:numPr>
        <w:tabs>
          <w:tab w:val="left" w:pos="1839"/>
          <w:tab w:val="left" w:pos="1840"/>
        </w:tabs>
        <w:spacing w:before="167"/>
        <w:rPr>
          <w:b/>
        </w:rPr>
      </w:pPr>
      <w:bookmarkStart w:id="755" w:name="A._China_has_breached_Article_4.1_of_the"/>
      <w:bookmarkStart w:id="756" w:name="_bookmark650"/>
      <w:bookmarkEnd w:id="755"/>
      <w:bookmarkEnd w:id="756"/>
      <w:r>
        <w:rPr>
          <w:b/>
          <w:sz w:val="28"/>
        </w:rPr>
        <w:t>C</w:t>
      </w:r>
      <w:r>
        <w:rPr>
          <w:b/>
        </w:rPr>
        <w:t>HINA</w:t>
      </w:r>
      <w:r>
        <w:rPr>
          <w:b/>
          <w:spacing w:val="-8"/>
        </w:rPr>
        <w:t xml:space="preserve"> </w:t>
      </w:r>
      <w:r>
        <w:rPr>
          <w:b/>
        </w:rPr>
        <w:t>HAS</w:t>
      </w:r>
      <w:r>
        <w:rPr>
          <w:b/>
          <w:spacing w:val="-5"/>
        </w:rPr>
        <w:t xml:space="preserve"> </w:t>
      </w:r>
      <w:r>
        <w:rPr>
          <w:b/>
        </w:rPr>
        <w:t>BREACHED</w:t>
      </w:r>
      <w:r>
        <w:rPr>
          <w:b/>
          <w:spacing w:val="-6"/>
        </w:rPr>
        <w:t xml:space="preserve"> </w:t>
      </w:r>
      <w:r>
        <w:rPr>
          <w:b/>
          <w:sz w:val="28"/>
        </w:rPr>
        <w:t>A</w:t>
      </w:r>
      <w:r>
        <w:rPr>
          <w:b/>
        </w:rPr>
        <w:t>RTICLE</w:t>
      </w:r>
      <w:r>
        <w:rPr>
          <w:b/>
          <w:spacing w:val="-4"/>
        </w:rPr>
        <w:t xml:space="preserve"> </w:t>
      </w:r>
      <w:r>
        <w:rPr>
          <w:b/>
          <w:sz w:val="28"/>
        </w:rPr>
        <w:t>4.1</w:t>
      </w:r>
      <w:r>
        <w:rPr>
          <w:b/>
          <w:spacing w:val="-16"/>
          <w:sz w:val="28"/>
        </w:rPr>
        <w:t xml:space="preserve"> </w:t>
      </w:r>
      <w:r>
        <w:rPr>
          <w:b/>
        </w:rPr>
        <w:t>OF</w:t>
      </w:r>
      <w:r>
        <w:rPr>
          <w:b/>
          <w:spacing w:val="-7"/>
        </w:rPr>
        <w:t xml:space="preserve"> </w:t>
      </w:r>
      <w:r>
        <w:rPr>
          <w:b/>
        </w:rPr>
        <w:t>THE</w:t>
      </w:r>
      <w:r>
        <w:rPr>
          <w:b/>
          <w:spacing w:val="-3"/>
        </w:rPr>
        <w:t xml:space="preserve"> </w:t>
      </w:r>
      <w:r>
        <w:rPr>
          <w:b/>
          <w:sz w:val="28"/>
        </w:rPr>
        <w:t>A</w:t>
      </w:r>
      <w:r>
        <w:rPr>
          <w:b/>
        </w:rPr>
        <w:t>NTI</w:t>
      </w:r>
      <w:r>
        <w:rPr>
          <w:b/>
          <w:sz w:val="28"/>
        </w:rPr>
        <w:t>-D</w:t>
      </w:r>
      <w:r>
        <w:rPr>
          <w:b/>
        </w:rPr>
        <w:t>UMPING</w:t>
      </w:r>
      <w:r>
        <w:rPr>
          <w:b/>
          <w:spacing w:val="-8"/>
        </w:rPr>
        <w:t xml:space="preserve"> </w:t>
      </w:r>
      <w:r>
        <w:rPr>
          <w:b/>
          <w:spacing w:val="-2"/>
          <w:sz w:val="28"/>
        </w:rPr>
        <w:t>A</w:t>
      </w:r>
      <w:r>
        <w:rPr>
          <w:b/>
          <w:spacing w:val="-2"/>
        </w:rPr>
        <w:t>GREEMENT</w:t>
      </w:r>
    </w:p>
    <w:p w14:paraId="768CDE10" w14:textId="77777777" w:rsidR="00BD462C" w:rsidRDefault="00BD462C">
      <w:pPr>
        <w:pStyle w:val="BodyText"/>
        <w:rPr>
          <w:b/>
          <w:sz w:val="27"/>
        </w:rPr>
      </w:pPr>
    </w:p>
    <w:p w14:paraId="1530032D" w14:textId="77777777" w:rsidR="00BD462C" w:rsidRDefault="00033D0F">
      <w:pPr>
        <w:pStyle w:val="Heading3"/>
        <w:numPr>
          <w:ilvl w:val="0"/>
          <w:numId w:val="39"/>
        </w:numPr>
        <w:tabs>
          <w:tab w:val="left" w:pos="2689"/>
          <w:tab w:val="left" w:pos="2690"/>
        </w:tabs>
        <w:spacing w:before="0"/>
      </w:pPr>
      <w:bookmarkStart w:id="757" w:name="_bookmark651"/>
      <w:bookmarkEnd w:id="757"/>
      <w:r>
        <w:rPr>
          <w:spacing w:val="-2"/>
        </w:rPr>
        <w:t>Introduction</w:t>
      </w:r>
    </w:p>
    <w:p w14:paraId="6DF69675" w14:textId="77777777" w:rsidR="00BD462C" w:rsidRDefault="00BD462C">
      <w:pPr>
        <w:pStyle w:val="BodyText"/>
        <w:spacing w:before="11"/>
        <w:rPr>
          <w:b/>
          <w:sz w:val="20"/>
        </w:rPr>
      </w:pPr>
    </w:p>
    <w:p w14:paraId="27F700CA" w14:textId="1ED74502" w:rsidR="00BD462C" w:rsidRDefault="00033D0F" w:rsidP="00185AF5">
      <w:pPr>
        <w:pStyle w:val="BodyText"/>
        <w:numPr>
          <w:ilvl w:val="0"/>
          <w:numId w:val="77"/>
        </w:numPr>
        <w:spacing w:before="56" w:line="357" w:lineRule="auto"/>
        <w:ind w:right="912"/>
        <w:jc w:val="both"/>
      </w:pPr>
      <w:r>
        <w:rPr>
          <w:position w:val="1"/>
        </w:rPr>
        <w:t>Australia</w:t>
      </w:r>
      <w:r>
        <w:rPr>
          <w:spacing w:val="-13"/>
          <w:position w:val="1"/>
        </w:rPr>
        <w:t xml:space="preserve"> </w:t>
      </w:r>
      <w:r>
        <w:rPr>
          <w:position w:val="1"/>
        </w:rPr>
        <w:t>has</w:t>
      </w:r>
      <w:r>
        <w:rPr>
          <w:spacing w:val="-10"/>
          <w:position w:val="1"/>
        </w:rPr>
        <w:t xml:space="preserve"> </w:t>
      </w:r>
      <w:r>
        <w:rPr>
          <w:position w:val="1"/>
        </w:rPr>
        <w:t>established</w:t>
      </w:r>
      <w:r>
        <w:rPr>
          <w:spacing w:val="-14"/>
          <w:position w:val="1"/>
        </w:rPr>
        <w:t xml:space="preserve"> </w:t>
      </w:r>
      <w:r>
        <w:rPr>
          <w:position w:val="1"/>
        </w:rPr>
        <w:t>a</w:t>
      </w:r>
      <w:r>
        <w:rPr>
          <w:spacing w:val="-12"/>
          <w:position w:val="1"/>
        </w:rPr>
        <w:t xml:space="preserve"> </w:t>
      </w:r>
      <w:r>
        <w:rPr>
          <w:i/>
          <w:position w:val="1"/>
        </w:rPr>
        <w:t>prima</w:t>
      </w:r>
      <w:r>
        <w:rPr>
          <w:i/>
          <w:spacing w:val="-11"/>
          <w:position w:val="1"/>
        </w:rPr>
        <w:t xml:space="preserve"> </w:t>
      </w:r>
      <w:r>
        <w:rPr>
          <w:i/>
          <w:position w:val="1"/>
        </w:rPr>
        <w:t>facie</w:t>
      </w:r>
      <w:r>
        <w:rPr>
          <w:i/>
          <w:spacing w:val="-12"/>
          <w:position w:val="1"/>
        </w:rPr>
        <w:t xml:space="preserve"> </w:t>
      </w:r>
      <w:r>
        <w:rPr>
          <w:position w:val="1"/>
        </w:rPr>
        <w:t>case</w:t>
      </w:r>
      <w:r>
        <w:rPr>
          <w:spacing w:val="-12"/>
          <w:position w:val="1"/>
        </w:rPr>
        <w:t xml:space="preserve"> </w:t>
      </w:r>
      <w:r>
        <w:rPr>
          <w:position w:val="1"/>
        </w:rPr>
        <w:t>that</w:t>
      </w:r>
      <w:r>
        <w:rPr>
          <w:spacing w:val="-11"/>
          <w:position w:val="1"/>
        </w:rPr>
        <w:t xml:space="preserve"> </w:t>
      </w:r>
      <w:r>
        <w:rPr>
          <w:position w:val="1"/>
        </w:rPr>
        <w:t>MOFCOM</w:t>
      </w:r>
      <w:r>
        <w:rPr>
          <w:spacing w:val="-11"/>
          <w:position w:val="1"/>
        </w:rPr>
        <w:t xml:space="preserve"> </w:t>
      </w:r>
      <w:r>
        <w:rPr>
          <w:position w:val="1"/>
        </w:rPr>
        <w:t>failed</w:t>
      </w:r>
      <w:r>
        <w:rPr>
          <w:spacing w:val="-14"/>
          <w:position w:val="1"/>
        </w:rPr>
        <w:t xml:space="preserve"> </w:t>
      </w:r>
      <w:r>
        <w:rPr>
          <w:position w:val="1"/>
        </w:rPr>
        <w:t>to</w:t>
      </w:r>
      <w:r>
        <w:rPr>
          <w:spacing w:val="-14"/>
          <w:position w:val="1"/>
        </w:rPr>
        <w:t xml:space="preserve"> </w:t>
      </w:r>
      <w:r>
        <w:rPr>
          <w:position w:val="1"/>
        </w:rPr>
        <w:t>establish</w:t>
      </w:r>
      <w:r>
        <w:rPr>
          <w:spacing w:val="-13"/>
          <w:position w:val="1"/>
        </w:rPr>
        <w:t xml:space="preserve"> </w:t>
      </w:r>
      <w:r>
        <w:rPr>
          <w:position w:val="1"/>
        </w:rPr>
        <w:t>"a</w:t>
      </w:r>
      <w:r>
        <w:rPr>
          <w:spacing w:val="-12"/>
          <w:position w:val="1"/>
        </w:rPr>
        <w:t xml:space="preserve"> </w:t>
      </w:r>
      <w:r>
        <w:rPr>
          <w:position w:val="1"/>
        </w:rPr>
        <w:t xml:space="preserve">major </w:t>
      </w:r>
      <w:r>
        <w:t>proportion</w:t>
      </w:r>
      <w:r>
        <w:rPr>
          <w:spacing w:val="-4"/>
        </w:rPr>
        <w:t xml:space="preserve"> </w:t>
      </w:r>
      <w:r>
        <w:t>of</w:t>
      </w:r>
      <w:r>
        <w:rPr>
          <w:spacing w:val="-9"/>
        </w:rPr>
        <w:t xml:space="preserve"> </w:t>
      </w:r>
      <w:r>
        <w:t>total</w:t>
      </w:r>
      <w:r>
        <w:rPr>
          <w:spacing w:val="-5"/>
        </w:rPr>
        <w:t xml:space="preserve"> </w:t>
      </w:r>
      <w:r>
        <w:t>domestic</w:t>
      </w:r>
      <w:r>
        <w:rPr>
          <w:spacing w:val="-8"/>
        </w:rPr>
        <w:t xml:space="preserve"> </w:t>
      </w:r>
      <w:r>
        <w:t>production"</w:t>
      </w:r>
      <w:r>
        <w:rPr>
          <w:spacing w:val="-8"/>
        </w:rPr>
        <w:t xml:space="preserve"> </w:t>
      </w:r>
      <w:r>
        <w:t>of</w:t>
      </w:r>
      <w:r>
        <w:rPr>
          <w:spacing w:val="-4"/>
        </w:rPr>
        <w:t xml:space="preserve"> </w:t>
      </w:r>
      <w:r>
        <w:t>the</w:t>
      </w:r>
      <w:r>
        <w:rPr>
          <w:spacing w:val="-7"/>
        </w:rPr>
        <w:t xml:space="preserve"> </w:t>
      </w:r>
      <w:r>
        <w:t>like</w:t>
      </w:r>
      <w:r>
        <w:rPr>
          <w:spacing w:val="-7"/>
        </w:rPr>
        <w:t xml:space="preserve"> </w:t>
      </w:r>
      <w:r>
        <w:t>product</w:t>
      </w:r>
      <w:r>
        <w:rPr>
          <w:spacing w:val="-7"/>
        </w:rPr>
        <w:t xml:space="preserve"> </w:t>
      </w:r>
      <w:r>
        <w:t>in</w:t>
      </w:r>
      <w:r>
        <w:rPr>
          <w:spacing w:val="-9"/>
        </w:rPr>
        <w:t xml:space="preserve"> </w:t>
      </w:r>
      <w:r>
        <w:t>accordance</w:t>
      </w:r>
      <w:r>
        <w:rPr>
          <w:spacing w:val="-7"/>
        </w:rPr>
        <w:t xml:space="preserve"> </w:t>
      </w:r>
      <w:r>
        <w:t>with</w:t>
      </w:r>
      <w:r>
        <w:rPr>
          <w:spacing w:val="-9"/>
        </w:rPr>
        <w:t xml:space="preserve"> </w:t>
      </w:r>
      <w:r>
        <w:t>the</w:t>
      </w:r>
      <w:r>
        <w:rPr>
          <w:spacing w:val="-7"/>
        </w:rPr>
        <w:t xml:space="preserve"> </w:t>
      </w:r>
      <w:r>
        <w:t>definition of "domestic industry" under Article 4.1 of the Anti-Dumping Agreement.</w:t>
      </w:r>
      <w:hyperlink w:anchor="_bookmark653" w:history="1">
        <w:r>
          <w:rPr>
            <w:vertAlign w:val="superscript"/>
          </w:rPr>
          <w:t>543</w:t>
        </w:r>
      </w:hyperlink>
    </w:p>
    <w:p w14:paraId="49E609A4" w14:textId="77777777" w:rsidR="00BD462C" w:rsidRDefault="00BD462C">
      <w:pPr>
        <w:pStyle w:val="BodyText"/>
        <w:spacing w:before="3"/>
        <w:rPr>
          <w:sz w:val="9"/>
        </w:rPr>
      </w:pPr>
    </w:p>
    <w:p w14:paraId="190CC4A1" w14:textId="3083C861" w:rsidR="00BD462C" w:rsidRDefault="00033D0F" w:rsidP="00185AF5">
      <w:pPr>
        <w:pStyle w:val="BodyText"/>
        <w:numPr>
          <w:ilvl w:val="0"/>
          <w:numId w:val="77"/>
        </w:numPr>
        <w:spacing w:before="56" w:line="357" w:lineRule="auto"/>
        <w:ind w:right="915"/>
        <w:jc w:val="both"/>
      </w:pPr>
      <w:r>
        <w:rPr>
          <w:position w:val="1"/>
        </w:rPr>
        <w:t xml:space="preserve">In particular, MOFCOM failed to properly establish both the quantitative and </w:t>
      </w:r>
      <w:r>
        <w:t>qualitative</w:t>
      </w:r>
      <w:r>
        <w:rPr>
          <w:spacing w:val="-11"/>
        </w:rPr>
        <w:t xml:space="preserve"> </w:t>
      </w:r>
      <w:r>
        <w:t>elements</w:t>
      </w:r>
      <w:r>
        <w:rPr>
          <w:spacing w:val="-9"/>
        </w:rPr>
        <w:t xml:space="preserve"> </w:t>
      </w:r>
      <w:r>
        <w:t>of</w:t>
      </w:r>
      <w:r>
        <w:rPr>
          <w:spacing w:val="-13"/>
        </w:rPr>
        <w:t xml:space="preserve"> </w:t>
      </w:r>
      <w:r>
        <w:t>this</w:t>
      </w:r>
      <w:r>
        <w:rPr>
          <w:spacing w:val="-9"/>
        </w:rPr>
        <w:t xml:space="preserve"> </w:t>
      </w:r>
      <w:r>
        <w:t>definition.</w:t>
      </w:r>
      <w:hyperlink w:anchor="_bookmark654" w:history="1">
        <w:r>
          <w:rPr>
            <w:vertAlign w:val="superscript"/>
          </w:rPr>
          <w:t>544</w:t>
        </w:r>
      </w:hyperlink>
      <w:r>
        <w:rPr>
          <w:spacing w:val="-10"/>
        </w:rPr>
        <w:t xml:space="preserve"> </w:t>
      </w:r>
      <w:r>
        <w:t>Moreover,</w:t>
      </w:r>
      <w:r>
        <w:rPr>
          <w:spacing w:val="-9"/>
        </w:rPr>
        <w:t xml:space="preserve"> </w:t>
      </w:r>
      <w:r>
        <w:t>the</w:t>
      </w:r>
      <w:r>
        <w:rPr>
          <w:spacing w:val="-11"/>
        </w:rPr>
        <w:t xml:space="preserve"> </w:t>
      </w:r>
      <w:r>
        <w:t>process</w:t>
      </w:r>
      <w:r>
        <w:rPr>
          <w:spacing w:val="-9"/>
        </w:rPr>
        <w:t xml:space="preserve"> </w:t>
      </w:r>
      <w:r>
        <w:t>that</w:t>
      </w:r>
      <w:r>
        <w:rPr>
          <w:spacing w:val="-10"/>
        </w:rPr>
        <w:t xml:space="preserve"> </w:t>
      </w:r>
      <w:r>
        <w:t>MOFCOM</w:t>
      </w:r>
      <w:r>
        <w:rPr>
          <w:spacing w:val="-10"/>
        </w:rPr>
        <w:t xml:space="preserve"> </w:t>
      </w:r>
      <w:r>
        <w:t>used</w:t>
      </w:r>
      <w:r>
        <w:rPr>
          <w:spacing w:val="-13"/>
        </w:rPr>
        <w:t xml:space="preserve"> </w:t>
      </w:r>
      <w:r>
        <w:t>to</w:t>
      </w:r>
      <w:r>
        <w:rPr>
          <w:spacing w:val="-8"/>
        </w:rPr>
        <w:t xml:space="preserve"> </w:t>
      </w:r>
      <w:r>
        <w:t>define the domestic industry: (i) was not based on positive evidence or an unbiased and objective evaluation</w:t>
      </w:r>
      <w:r>
        <w:rPr>
          <w:spacing w:val="-5"/>
        </w:rPr>
        <w:t xml:space="preserve"> </w:t>
      </w:r>
      <w:r>
        <w:t>of</w:t>
      </w:r>
      <w:r>
        <w:rPr>
          <w:spacing w:val="-5"/>
        </w:rPr>
        <w:t xml:space="preserve"> </w:t>
      </w:r>
      <w:r>
        <w:t>that</w:t>
      </w:r>
      <w:r>
        <w:rPr>
          <w:spacing w:val="-3"/>
        </w:rPr>
        <w:t xml:space="preserve"> </w:t>
      </w:r>
      <w:r>
        <w:t>evidence;</w:t>
      </w:r>
      <w:r>
        <w:rPr>
          <w:spacing w:val="-6"/>
        </w:rPr>
        <w:t xml:space="preserve"> </w:t>
      </w:r>
      <w:r>
        <w:t>and</w:t>
      </w:r>
      <w:r>
        <w:rPr>
          <w:spacing w:val="-5"/>
        </w:rPr>
        <w:t xml:space="preserve"> </w:t>
      </w:r>
      <w:r>
        <w:t>(ii)</w:t>
      </w:r>
      <w:r>
        <w:rPr>
          <w:spacing w:val="-5"/>
        </w:rPr>
        <w:t xml:space="preserve"> </w:t>
      </w:r>
      <w:r>
        <w:t>introduced</w:t>
      </w:r>
      <w:r>
        <w:rPr>
          <w:spacing w:val="-5"/>
        </w:rPr>
        <w:t xml:space="preserve"> </w:t>
      </w:r>
      <w:r>
        <w:t>material</w:t>
      </w:r>
      <w:r>
        <w:rPr>
          <w:spacing w:val="-1"/>
        </w:rPr>
        <w:t xml:space="preserve"> </w:t>
      </w:r>
      <w:r>
        <w:t>risks</w:t>
      </w:r>
      <w:r>
        <w:rPr>
          <w:spacing w:val="-2"/>
        </w:rPr>
        <w:t xml:space="preserve"> </w:t>
      </w:r>
      <w:r>
        <w:t>of</w:t>
      </w:r>
      <w:r>
        <w:rPr>
          <w:spacing w:val="-5"/>
        </w:rPr>
        <w:t xml:space="preserve"> </w:t>
      </w:r>
      <w:r>
        <w:t>distortion</w:t>
      </w:r>
      <w:r>
        <w:rPr>
          <w:spacing w:val="-5"/>
        </w:rPr>
        <w:t xml:space="preserve"> </w:t>
      </w:r>
      <w:r>
        <w:t>into</w:t>
      </w:r>
      <w:r>
        <w:rPr>
          <w:spacing w:val="-6"/>
        </w:rPr>
        <w:t xml:space="preserve"> </w:t>
      </w:r>
      <w:r>
        <w:t>the</w:t>
      </w:r>
      <w:r>
        <w:rPr>
          <w:spacing w:val="-4"/>
        </w:rPr>
        <w:t xml:space="preserve"> </w:t>
      </w:r>
      <w:r>
        <w:t>definition.</w:t>
      </w:r>
    </w:p>
    <w:p w14:paraId="19E0051F" w14:textId="77777777" w:rsidR="00BD462C" w:rsidRDefault="00BD462C">
      <w:pPr>
        <w:pStyle w:val="BodyText"/>
        <w:spacing w:before="3"/>
        <w:rPr>
          <w:sz w:val="9"/>
        </w:rPr>
      </w:pPr>
    </w:p>
    <w:p w14:paraId="42312551" w14:textId="1B23FD3B" w:rsidR="00BD462C" w:rsidRDefault="00033D0F" w:rsidP="00185AF5">
      <w:pPr>
        <w:pStyle w:val="BodyText"/>
        <w:numPr>
          <w:ilvl w:val="0"/>
          <w:numId w:val="77"/>
        </w:numPr>
        <w:spacing w:before="57" w:line="357" w:lineRule="auto"/>
        <w:ind w:right="916"/>
        <w:jc w:val="both"/>
      </w:pPr>
      <w:r>
        <w:rPr>
          <w:position w:val="1"/>
        </w:rPr>
        <w:t>China</w:t>
      </w:r>
      <w:r>
        <w:rPr>
          <w:spacing w:val="-9"/>
          <w:position w:val="1"/>
        </w:rPr>
        <w:t xml:space="preserve"> </w:t>
      </w:r>
      <w:r>
        <w:rPr>
          <w:position w:val="1"/>
        </w:rPr>
        <w:t>adduces</w:t>
      </w:r>
      <w:r>
        <w:rPr>
          <w:spacing w:val="-7"/>
          <w:position w:val="1"/>
        </w:rPr>
        <w:t xml:space="preserve"> </w:t>
      </w:r>
      <w:r>
        <w:rPr>
          <w:position w:val="1"/>
        </w:rPr>
        <w:t>several</w:t>
      </w:r>
      <w:r>
        <w:rPr>
          <w:spacing w:val="-6"/>
          <w:position w:val="1"/>
        </w:rPr>
        <w:t xml:space="preserve"> </w:t>
      </w:r>
      <w:r>
        <w:rPr>
          <w:position w:val="1"/>
        </w:rPr>
        <w:t>jurisdictional</w:t>
      </w:r>
      <w:r>
        <w:rPr>
          <w:spacing w:val="-6"/>
          <w:position w:val="1"/>
        </w:rPr>
        <w:t xml:space="preserve"> </w:t>
      </w:r>
      <w:r>
        <w:rPr>
          <w:position w:val="1"/>
        </w:rPr>
        <w:t>or</w:t>
      </w:r>
      <w:r>
        <w:rPr>
          <w:spacing w:val="-6"/>
          <w:position w:val="1"/>
        </w:rPr>
        <w:t xml:space="preserve"> </w:t>
      </w:r>
      <w:r>
        <w:rPr>
          <w:position w:val="1"/>
        </w:rPr>
        <w:t>"threshold"</w:t>
      </w:r>
      <w:r>
        <w:rPr>
          <w:spacing w:val="-4"/>
          <w:position w:val="1"/>
        </w:rPr>
        <w:t xml:space="preserve"> </w:t>
      </w:r>
      <w:r>
        <w:rPr>
          <w:position w:val="1"/>
        </w:rPr>
        <w:t>complaints</w:t>
      </w:r>
      <w:r>
        <w:rPr>
          <w:spacing w:val="-7"/>
          <w:position w:val="1"/>
        </w:rPr>
        <w:t xml:space="preserve"> </w:t>
      </w:r>
      <w:r>
        <w:rPr>
          <w:position w:val="1"/>
        </w:rPr>
        <w:t>concerning</w:t>
      </w:r>
      <w:r>
        <w:rPr>
          <w:spacing w:val="-7"/>
          <w:position w:val="1"/>
        </w:rPr>
        <w:t xml:space="preserve"> </w:t>
      </w:r>
      <w:r>
        <w:rPr>
          <w:position w:val="1"/>
        </w:rPr>
        <w:t xml:space="preserve">Australia's </w:t>
      </w:r>
      <w:r>
        <w:t>claims with respect to Article</w:t>
      </w:r>
      <w:r>
        <w:rPr>
          <w:spacing w:val="-1"/>
        </w:rPr>
        <w:t xml:space="preserve"> </w:t>
      </w:r>
      <w:r>
        <w:t>4.1. These complaints, which are entirely without merit, are addressed above.</w:t>
      </w:r>
      <w:hyperlink w:anchor="_bookmark655" w:history="1">
        <w:r>
          <w:rPr>
            <w:vertAlign w:val="superscript"/>
          </w:rPr>
          <w:t>545</w:t>
        </w:r>
      </w:hyperlink>
    </w:p>
    <w:p w14:paraId="727170F6" w14:textId="77777777" w:rsidR="00BD462C" w:rsidRDefault="00BD462C">
      <w:pPr>
        <w:pStyle w:val="BodyText"/>
        <w:spacing w:before="2"/>
        <w:rPr>
          <w:sz w:val="9"/>
        </w:rPr>
      </w:pPr>
    </w:p>
    <w:p w14:paraId="050773B9" w14:textId="57F49482" w:rsidR="00BD462C" w:rsidRDefault="00033D0F" w:rsidP="00185AF5">
      <w:pPr>
        <w:pStyle w:val="BodyText"/>
        <w:numPr>
          <w:ilvl w:val="0"/>
          <w:numId w:val="77"/>
        </w:numPr>
        <w:spacing w:before="56" w:line="357" w:lineRule="auto"/>
      </w:pPr>
      <w:r>
        <w:rPr>
          <w:position w:val="1"/>
        </w:rPr>
        <w:t>As</w:t>
      </w:r>
      <w:r>
        <w:rPr>
          <w:spacing w:val="29"/>
          <w:position w:val="1"/>
        </w:rPr>
        <w:t xml:space="preserve"> </w:t>
      </w:r>
      <w:r>
        <w:rPr>
          <w:position w:val="1"/>
        </w:rPr>
        <w:t>discussed</w:t>
      </w:r>
      <w:r>
        <w:rPr>
          <w:spacing w:val="25"/>
          <w:position w:val="1"/>
        </w:rPr>
        <w:t xml:space="preserve"> </w:t>
      </w:r>
      <w:r>
        <w:rPr>
          <w:position w:val="1"/>
        </w:rPr>
        <w:t>below,</w:t>
      </w:r>
      <w:r>
        <w:rPr>
          <w:spacing w:val="29"/>
          <w:position w:val="1"/>
        </w:rPr>
        <w:t xml:space="preserve"> </w:t>
      </w:r>
      <w:r>
        <w:rPr>
          <w:position w:val="1"/>
        </w:rPr>
        <w:t>China's</w:t>
      </w:r>
      <w:r>
        <w:rPr>
          <w:spacing w:val="29"/>
          <w:position w:val="1"/>
        </w:rPr>
        <w:t xml:space="preserve"> </w:t>
      </w:r>
      <w:r>
        <w:rPr>
          <w:position w:val="1"/>
        </w:rPr>
        <w:t>arguments</w:t>
      </w:r>
      <w:r>
        <w:rPr>
          <w:spacing w:val="29"/>
          <w:position w:val="1"/>
        </w:rPr>
        <w:t xml:space="preserve"> </w:t>
      </w:r>
      <w:r>
        <w:rPr>
          <w:position w:val="1"/>
        </w:rPr>
        <w:t>attempt</w:t>
      </w:r>
      <w:r>
        <w:rPr>
          <w:spacing w:val="28"/>
          <w:position w:val="1"/>
        </w:rPr>
        <w:t xml:space="preserve"> </w:t>
      </w:r>
      <w:r>
        <w:rPr>
          <w:position w:val="1"/>
        </w:rPr>
        <w:t>to</w:t>
      </w:r>
      <w:r>
        <w:rPr>
          <w:spacing w:val="25"/>
          <w:position w:val="1"/>
        </w:rPr>
        <w:t xml:space="preserve"> </w:t>
      </w:r>
      <w:r>
        <w:rPr>
          <w:position w:val="1"/>
        </w:rPr>
        <w:t>obfuscate</w:t>
      </w:r>
      <w:r>
        <w:rPr>
          <w:spacing w:val="27"/>
          <w:position w:val="1"/>
        </w:rPr>
        <w:t xml:space="preserve"> </w:t>
      </w:r>
      <w:r>
        <w:rPr>
          <w:position w:val="1"/>
        </w:rPr>
        <w:t>or</w:t>
      </w:r>
      <w:r>
        <w:rPr>
          <w:spacing w:val="29"/>
          <w:position w:val="1"/>
        </w:rPr>
        <w:t xml:space="preserve"> </w:t>
      </w:r>
      <w:r>
        <w:rPr>
          <w:position w:val="1"/>
        </w:rPr>
        <w:t>distract</w:t>
      </w:r>
      <w:r>
        <w:rPr>
          <w:spacing w:val="28"/>
          <w:position w:val="1"/>
        </w:rPr>
        <w:t xml:space="preserve"> </w:t>
      </w:r>
      <w:r>
        <w:rPr>
          <w:position w:val="1"/>
        </w:rPr>
        <w:t>from</w:t>
      </w:r>
      <w:r>
        <w:rPr>
          <w:spacing w:val="27"/>
          <w:position w:val="1"/>
        </w:rPr>
        <w:t xml:space="preserve"> </w:t>
      </w:r>
      <w:r>
        <w:rPr>
          <w:position w:val="1"/>
        </w:rPr>
        <w:t xml:space="preserve">the </w:t>
      </w:r>
      <w:r>
        <w:t>substantive issues and fail to rebut Australia's case.</w:t>
      </w:r>
    </w:p>
    <w:p w14:paraId="09EF387B" w14:textId="77777777" w:rsidR="00BD462C" w:rsidRDefault="00033D0F">
      <w:pPr>
        <w:pStyle w:val="Heading3"/>
        <w:numPr>
          <w:ilvl w:val="0"/>
          <w:numId w:val="39"/>
        </w:numPr>
        <w:tabs>
          <w:tab w:val="left" w:pos="2689"/>
          <w:tab w:val="left" w:pos="2690"/>
        </w:tabs>
        <w:spacing w:before="165"/>
      </w:pPr>
      <w:bookmarkStart w:id="758" w:name="2._The_interpretation_of_a_&quot;major_propor"/>
      <w:bookmarkStart w:id="759" w:name="_bookmark652"/>
      <w:bookmarkEnd w:id="758"/>
      <w:bookmarkEnd w:id="759"/>
      <w:r>
        <w:t>The</w:t>
      </w:r>
      <w:r>
        <w:rPr>
          <w:spacing w:val="-7"/>
        </w:rPr>
        <w:t xml:space="preserve"> </w:t>
      </w:r>
      <w:r>
        <w:t>interpretation</w:t>
      </w:r>
      <w:r>
        <w:rPr>
          <w:spacing w:val="-3"/>
        </w:rPr>
        <w:t xml:space="preserve"> </w:t>
      </w:r>
      <w:r>
        <w:t>of</w:t>
      </w:r>
      <w:r>
        <w:rPr>
          <w:spacing w:val="-3"/>
        </w:rPr>
        <w:t xml:space="preserve"> </w:t>
      </w:r>
      <w:r>
        <w:t>a</w:t>
      </w:r>
      <w:r>
        <w:rPr>
          <w:spacing w:val="-2"/>
        </w:rPr>
        <w:t xml:space="preserve"> </w:t>
      </w:r>
      <w:r>
        <w:t>"major</w:t>
      </w:r>
      <w:r>
        <w:rPr>
          <w:spacing w:val="-3"/>
        </w:rPr>
        <w:t xml:space="preserve"> </w:t>
      </w:r>
      <w:r>
        <w:t>proportion"</w:t>
      </w:r>
      <w:r>
        <w:rPr>
          <w:spacing w:val="-4"/>
        </w:rPr>
        <w:t xml:space="preserve"> </w:t>
      </w:r>
      <w:r>
        <w:t>of</w:t>
      </w:r>
      <w:r>
        <w:rPr>
          <w:spacing w:val="-3"/>
        </w:rPr>
        <w:t xml:space="preserve"> </w:t>
      </w:r>
      <w:r>
        <w:t>domestic</w:t>
      </w:r>
      <w:r>
        <w:rPr>
          <w:spacing w:val="-3"/>
        </w:rPr>
        <w:t xml:space="preserve"> </w:t>
      </w:r>
      <w:r>
        <w:rPr>
          <w:spacing w:val="-2"/>
        </w:rPr>
        <w:t>industry</w:t>
      </w:r>
    </w:p>
    <w:p w14:paraId="395689F8" w14:textId="77777777" w:rsidR="00BD462C" w:rsidRDefault="00BD462C">
      <w:pPr>
        <w:pStyle w:val="BodyText"/>
        <w:spacing w:before="6"/>
        <w:rPr>
          <w:b/>
          <w:sz w:val="20"/>
        </w:rPr>
      </w:pPr>
    </w:p>
    <w:p w14:paraId="1DEDA6D8" w14:textId="1F2996E5" w:rsidR="00BD462C" w:rsidRPr="00185AF5" w:rsidRDefault="00033D0F" w:rsidP="00185AF5">
      <w:pPr>
        <w:pStyle w:val="BodyText"/>
        <w:numPr>
          <w:ilvl w:val="0"/>
          <w:numId w:val="77"/>
        </w:numPr>
        <w:spacing w:before="56" w:line="360" w:lineRule="auto"/>
        <w:ind w:right="914"/>
        <w:jc w:val="both"/>
        <w:rPr>
          <w:sz w:val="20"/>
        </w:rPr>
      </w:pPr>
      <w:r w:rsidRPr="00185AF5">
        <w:rPr>
          <w:position w:val="1"/>
        </w:rPr>
        <w:t xml:space="preserve">China argues that Australia has misstated the Appellate Body's interpretation of a </w:t>
      </w:r>
      <w:r>
        <w:t>"major proportion" of the domestic industry. However, China has offered no explanation of how or why Australia's interpretation is allegedly incorrect. China's objection is particularly unclear, given that Australia and China appear to agree that there are both qualitative and quantitative</w:t>
      </w:r>
      <w:r w:rsidRPr="00185AF5">
        <w:rPr>
          <w:spacing w:val="11"/>
        </w:rPr>
        <w:t xml:space="preserve"> </w:t>
      </w:r>
      <w:r>
        <w:t>components</w:t>
      </w:r>
      <w:r w:rsidRPr="00185AF5">
        <w:rPr>
          <w:spacing w:val="13"/>
        </w:rPr>
        <w:t xml:space="preserve"> </w:t>
      </w:r>
      <w:r>
        <w:t>that</w:t>
      </w:r>
      <w:r w:rsidRPr="00185AF5">
        <w:rPr>
          <w:spacing w:val="16"/>
        </w:rPr>
        <w:t xml:space="preserve"> </w:t>
      </w:r>
      <w:r>
        <w:t>must</w:t>
      </w:r>
      <w:r w:rsidRPr="00185AF5">
        <w:rPr>
          <w:spacing w:val="12"/>
        </w:rPr>
        <w:t xml:space="preserve"> </w:t>
      </w:r>
      <w:r>
        <w:t>be</w:t>
      </w:r>
      <w:r w:rsidRPr="00185AF5">
        <w:rPr>
          <w:spacing w:val="11"/>
        </w:rPr>
        <w:t xml:space="preserve"> </w:t>
      </w:r>
      <w:r>
        <w:t>addressed</w:t>
      </w:r>
      <w:r w:rsidRPr="00185AF5">
        <w:rPr>
          <w:spacing w:val="10"/>
        </w:rPr>
        <w:t xml:space="preserve"> </w:t>
      </w:r>
      <w:r>
        <w:t>when</w:t>
      </w:r>
      <w:r w:rsidRPr="00185AF5">
        <w:rPr>
          <w:spacing w:val="14"/>
        </w:rPr>
        <w:t xml:space="preserve"> </w:t>
      </w:r>
      <w:r>
        <w:t>defining</w:t>
      </w:r>
      <w:r w:rsidRPr="00185AF5">
        <w:rPr>
          <w:spacing w:val="13"/>
        </w:rPr>
        <w:t xml:space="preserve"> </w:t>
      </w:r>
      <w:r>
        <w:t>the</w:t>
      </w:r>
      <w:r w:rsidRPr="00185AF5">
        <w:rPr>
          <w:spacing w:val="11"/>
        </w:rPr>
        <w:t xml:space="preserve"> </w:t>
      </w:r>
      <w:r>
        <w:t>domestic</w:t>
      </w:r>
      <w:r w:rsidRPr="00185AF5">
        <w:rPr>
          <w:spacing w:val="10"/>
        </w:rPr>
        <w:t xml:space="preserve"> </w:t>
      </w:r>
      <w:r>
        <w:t>industry</w:t>
      </w:r>
      <w:r w:rsidRPr="00185AF5">
        <w:rPr>
          <w:spacing w:val="12"/>
        </w:rPr>
        <w:t xml:space="preserve"> </w:t>
      </w:r>
      <w:r>
        <w:t>as</w:t>
      </w:r>
      <w:r w:rsidRPr="00185AF5">
        <w:rPr>
          <w:spacing w:val="18"/>
        </w:rPr>
        <w:t xml:space="preserve"> </w:t>
      </w:r>
      <w:r w:rsidR="00185AF5" w:rsidRPr="00185AF5">
        <w:rPr>
          <w:spacing w:val="-10"/>
        </w:rPr>
        <w:t>a</w:t>
      </w:r>
    </w:p>
    <w:p w14:paraId="4126608B" w14:textId="0AB1D3B6" w:rsidR="00BD462C" w:rsidRDefault="00D70C7D">
      <w:pPr>
        <w:pStyle w:val="BodyText"/>
        <w:spacing w:before="3"/>
      </w:pPr>
      <w:r>
        <w:rPr>
          <w:noProof/>
        </w:rPr>
        <mc:AlternateContent>
          <mc:Choice Requires="wps">
            <w:drawing>
              <wp:anchor distT="0" distB="0" distL="0" distR="0" simplePos="0" relativeHeight="487734272" behindDoc="1" locked="0" layoutInCell="1" allowOverlap="1" wp14:anchorId="4CF4245A" wp14:editId="7233A034">
                <wp:simplePos x="0" y="0"/>
                <wp:positionH relativeFrom="page">
                  <wp:posOffset>899160</wp:posOffset>
                </wp:positionH>
                <wp:positionV relativeFrom="paragraph">
                  <wp:posOffset>203200</wp:posOffset>
                </wp:positionV>
                <wp:extent cx="1828800" cy="8890"/>
                <wp:effectExtent l="0" t="0" r="0" b="0"/>
                <wp:wrapTopAndBottom/>
                <wp:docPr id="800" name="docshape3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5E1DD5" id="docshape316" o:spid="_x0000_s1026" alt="&quot;&quot;" style="position:absolute;margin-left:70.8pt;margin-top:16pt;width:2in;height:.7pt;z-index:-15582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" fillcolor="black" stroked="f">
                <w10:wrap type="topAndBottom" anchorx="page"/>
              </v:rect>
            </w:pict>
          </mc:Fallback>
        </mc:AlternateContent>
      </w:r>
    </w:p>
    <w:p w14:paraId="7852978C" w14:textId="77777777" w:rsidR="00BD462C" w:rsidRDefault="00033D0F">
      <w:pPr>
        <w:spacing w:before="112"/>
        <w:ind w:left="136" w:right="912" w:hanging="1"/>
        <w:rPr>
          <w:sz w:val="18"/>
        </w:rPr>
      </w:pPr>
      <w:bookmarkStart w:id="760" w:name="_bookmark653"/>
      <w:bookmarkEnd w:id="760"/>
      <w:r>
        <w:rPr>
          <w:position w:val="5"/>
          <w:sz w:val="12"/>
        </w:rPr>
        <w:t>543</w:t>
      </w:r>
      <w:r>
        <w:rPr>
          <w:spacing w:val="40"/>
          <w:position w:val="5"/>
          <w:sz w:val="12"/>
        </w:rPr>
        <w:t xml:space="preserve"> </w:t>
      </w:r>
      <w:r>
        <w:rPr>
          <w:sz w:val="18"/>
        </w:rPr>
        <w:t>Australia's</w:t>
      </w:r>
      <w:r>
        <w:rPr>
          <w:spacing w:val="26"/>
          <w:sz w:val="18"/>
        </w:rPr>
        <w:t xml:space="preserve"> </w:t>
      </w:r>
      <w:r>
        <w:rPr>
          <w:sz w:val="18"/>
        </w:rPr>
        <w:t>first</w:t>
      </w:r>
      <w:r>
        <w:rPr>
          <w:spacing w:val="27"/>
          <w:sz w:val="18"/>
        </w:rPr>
        <w:t xml:space="preserve"> </w:t>
      </w:r>
      <w:r>
        <w:rPr>
          <w:sz w:val="18"/>
        </w:rPr>
        <w:t>written</w:t>
      </w:r>
      <w:r>
        <w:rPr>
          <w:spacing w:val="30"/>
          <w:sz w:val="18"/>
        </w:rPr>
        <w:t xml:space="preserve"> </w:t>
      </w:r>
      <w:r>
        <w:rPr>
          <w:sz w:val="18"/>
        </w:rPr>
        <w:t>submission,</w:t>
      </w:r>
      <w:r>
        <w:rPr>
          <w:spacing w:val="28"/>
          <w:sz w:val="18"/>
        </w:rPr>
        <w:t xml:space="preserve"> </w:t>
      </w:r>
      <w:r>
        <w:rPr>
          <w:sz w:val="18"/>
        </w:rPr>
        <w:t>paras.</w:t>
      </w:r>
      <w:r>
        <w:rPr>
          <w:spacing w:val="27"/>
          <w:sz w:val="18"/>
        </w:rPr>
        <w:t xml:space="preserve"> </w:t>
      </w:r>
      <w:r>
        <w:rPr>
          <w:sz w:val="18"/>
        </w:rPr>
        <w:t>525-543;</w:t>
      </w:r>
      <w:r>
        <w:rPr>
          <w:spacing w:val="25"/>
          <w:sz w:val="18"/>
        </w:rPr>
        <w:t xml:space="preserve"> </w:t>
      </w:r>
      <w:r>
        <w:rPr>
          <w:sz w:val="18"/>
        </w:rPr>
        <w:t>Australia's</w:t>
      </w:r>
      <w:r>
        <w:rPr>
          <w:spacing w:val="21"/>
          <w:sz w:val="18"/>
        </w:rPr>
        <w:t xml:space="preserve"> </w:t>
      </w:r>
      <w:r>
        <w:rPr>
          <w:sz w:val="18"/>
        </w:rPr>
        <w:t>opening</w:t>
      </w:r>
      <w:r>
        <w:rPr>
          <w:spacing w:val="26"/>
          <w:sz w:val="18"/>
        </w:rPr>
        <w:t xml:space="preserve"> </w:t>
      </w:r>
      <w:r>
        <w:rPr>
          <w:sz w:val="18"/>
        </w:rPr>
        <w:t>statement</w:t>
      </w:r>
      <w:r>
        <w:rPr>
          <w:spacing w:val="27"/>
          <w:sz w:val="18"/>
        </w:rPr>
        <w:t xml:space="preserve"> </w:t>
      </w:r>
      <w:r>
        <w:rPr>
          <w:sz w:val="18"/>
        </w:rPr>
        <w:t>at</w:t>
      </w:r>
      <w:r>
        <w:rPr>
          <w:spacing w:val="31"/>
          <w:sz w:val="18"/>
        </w:rPr>
        <w:t xml:space="preserve"> </w:t>
      </w:r>
      <w:r>
        <w:rPr>
          <w:sz w:val="18"/>
        </w:rPr>
        <w:t>the</w:t>
      </w:r>
      <w:r>
        <w:rPr>
          <w:spacing w:val="26"/>
          <w:sz w:val="18"/>
        </w:rPr>
        <w:t xml:space="preserve"> </w:t>
      </w:r>
      <w:r>
        <w:rPr>
          <w:sz w:val="18"/>
        </w:rPr>
        <w:t>first</w:t>
      </w:r>
      <w:r>
        <w:rPr>
          <w:spacing w:val="27"/>
          <w:sz w:val="18"/>
        </w:rPr>
        <w:t xml:space="preserve"> </w:t>
      </w:r>
      <w:r>
        <w:rPr>
          <w:sz w:val="18"/>
        </w:rPr>
        <w:t>meeting</w:t>
      </w:r>
      <w:r>
        <w:rPr>
          <w:spacing w:val="26"/>
          <w:sz w:val="18"/>
        </w:rPr>
        <w:t xml:space="preserve"> </w:t>
      </w:r>
      <w:r>
        <w:rPr>
          <w:sz w:val="18"/>
        </w:rPr>
        <w:t>of</w:t>
      </w:r>
      <w:r>
        <w:rPr>
          <w:spacing w:val="27"/>
          <w:sz w:val="18"/>
        </w:rPr>
        <w:t xml:space="preserve"> </w:t>
      </w:r>
      <w:r>
        <w:rPr>
          <w:sz w:val="18"/>
        </w:rPr>
        <w:t>the</w:t>
      </w:r>
      <w:r>
        <w:rPr>
          <w:spacing w:val="26"/>
          <w:sz w:val="18"/>
        </w:rPr>
        <w:t xml:space="preserve"> </w:t>
      </w:r>
      <w:r>
        <w:rPr>
          <w:sz w:val="18"/>
        </w:rPr>
        <w:t>Panel, paras. 24-28; and in subsequent oral exchanges at the first substantive meeting.</w:t>
      </w:r>
    </w:p>
    <w:p w14:paraId="138CDB03" w14:textId="77777777" w:rsidR="00BD462C" w:rsidRDefault="00033D0F">
      <w:pPr>
        <w:spacing w:before="2"/>
        <w:ind w:left="135"/>
        <w:rPr>
          <w:sz w:val="18"/>
        </w:rPr>
      </w:pPr>
      <w:bookmarkStart w:id="761" w:name="_bookmark654"/>
      <w:bookmarkEnd w:id="761"/>
      <w:r>
        <w:rPr>
          <w:position w:val="5"/>
          <w:sz w:val="12"/>
        </w:rPr>
        <w:t>544</w:t>
      </w:r>
      <w:r>
        <w:rPr>
          <w:spacing w:val="12"/>
          <w:position w:val="5"/>
          <w:sz w:val="12"/>
        </w:rPr>
        <w:t xml:space="preserve"> </w:t>
      </w:r>
      <w:r>
        <w:rPr>
          <w:sz w:val="18"/>
        </w:rPr>
        <w:t>Australia's</w:t>
      </w:r>
      <w:r>
        <w:rPr>
          <w:spacing w:val="-7"/>
          <w:sz w:val="18"/>
        </w:rPr>
        <w:t xml:space="preserve"> </w:t>
      </w:r>
      <w:r>
        <w:rPr>
          <w:sz w:val="18"/>
        </w:rPr>
        <w:t>first</w:t>
      </w:r>
      <w:r>
        <w:rPr>
          <w:spacing w:val="-5"/>
          <w:sz w:val="18"/>
        </w:rPr>
        <w:t xml:space="preserve"> </w:t>
      </w:r>
      <w:r>
        <w:rPr>
          <w:sz w:val="18"/>
        </w:rPr>
        <w:t>written</w:t>
      </w:r>
      <w:r>
        <w:rPr>
          <w:spacing w:val="-3"/>
          <w:sz w:val="18"/>
        </w:rPr>
        <w:t xml:space="preserve"> </w:t>
      </w:r>
      <w:r>
        <w:rPr>
          <w:sz w:val="18"/>
        </w:rPr>
        <w:t>submission, paras.</w:t>
      </w:r>
      <w:r>
        <w:rPr>
          <w:spacing w:val="-5"/>
          <w:sz w:val="18"/>
        </w:rPr>
        <w:t xml:space="preserve"> </w:t>
      </w:r>
      <w:r>
        <w:rPr>
          <w:sz w:val="18"/>
        </w:rPr>
        <w:t>525-</w:t>
      </w:r>
      <w:r>
        <w:rPr>
          <w:spacing w:val="-4"/>
          <w:sz w:val="18"/>
        </w:rPr>
        <w:t>543.</w:t>
      </w:r>
    </w:p>
    <w:p w14:paraId="1DBAAD07" w14:textId="77777777" w:rsidR="00BD462C" w:rsidRDefault="00033D0F">
      <w:pPr>
        <w:spacing w:before="1"/>
        <w:ind w:left="135"/>
        <w:rPr>
          <w:sz w:val="18"/>
        </w:rPr>
      </w:pPr>
      <w:bookmarkStart w:id="762" w:name="_bookmark655"/>
      <w:bookmarkEnd w:id="762"/>
      <w:r>
        <w:rPr>
          <w:position w:val="5"/>
          <w:sz w:val="12"/>
        </w:rPr>
        <w:t>545</w:t>
      </w:r>
      <w:r>
        <w:rPr>
          <w:spacing w:val="15"/>
          <w:position w:val="5"/>
          <w:sz w:val="12"/>
        </w:rPr>
        <w:t xml:space="preserve"> </w:t>
      </w:r>
      <w:r>
        <w:rPr>
          <w:sz w:val="18"/>
        </w:rPr>
        <w:t>See</w:t>
      </w:r>
      <w:r>
        <w:rPr>
          <w:spacing w:val="-3"/>
          <w:sz w:val="18"/>
        </w:rPr>
        <w:t xml:space="preserve"> </w:t>
      </w:r>
      <w:r>
        <w:rPr>
          <w:sz w:val="18"/>
        </w:rPr>
        <w:t>above</w:t>
      </w:r>
      <w:r>
        <w:rPr>
          <w:spacing w:val="-3"/>
          <w:sz w:val="18"/>
        </w:rPr>
        <w:t xml:space="preserve"> </w:t>
      </w:r>
      <w:r>
        <w:rPr>
          <w:sz w:val="18"/>
        </w:rPr>
        <w:t>sections</w:t>
      </w:r>
      <w:r>
        <w:rPr>
          <w:spacing w:val="-3"/>
          <w:sz w:val="18"/>
        </w:rPr>
        <w:t xml:space="preserve"> </w:t>
      </w:r>
      <w:hyperlink w:anchor="_bookmark6" w:history="1">
        <w:r>
          <w:rPr>
            <w:sz w:val="18"/>
          </w:rPr>
          <w:t>II.A</w:t>
        </w:r>
      </w:hyperlink>
      <w:r>
        <w:rPr>
          <w:spacing w:val="-4"/>
          <w:sz w:val="18"/>
        </w:rPr>
        <w:t xml:space="preserve"> </w:t>
      </w:r>
      <w:r>
        <w:rPr>
          <w:sz w:val="18"/>
        </w:rPr>
        <w:t>-</w:t>
      </w:r>
      <w:r>
        <w:rPr>
          <w:spacing w:val="-2"/>
          <w:sz w:val="18"/>
        </w:rPr>
        <w:t xml:space="preserve"> </w:t>
      </w:r>
      <w:hyperlink w:anchor="_bookmark91" w:history="1">
        <w:r>
          <w:rPr>
            <w:sz w:val="18"/>
          </w:rPr>
          <w:t>II.B,</w:t>
        </w:r>
      </w:hyperlink>
      <w:r>
        <w:rPr>
          <w:spacing w:val="-1"/>
          <w:sz w:val="18"/>
        </w:rPr>
        <w:t xml:space="preserve"> </w:t>
      </w:r>
      <w:r>
        <w:rPr>
          <w:sz w:val="18"/>
        </w:rPr>
        <w:t>and below Annex</w:t>
      </w:r>
      <w:r>
        <w:rPr>
          <w:spacing w:val="-6"/>
          <w:sz w:val="18"/>
        </w:rPr>
        <w:t xml:space="preserve"> </w:t>
      </w:r>
      <w:hyperlink w:anchor="_bookmark1718" w:history="1">
        <w:r>
          <w:rPr>
            <w:spacing w:val="-2"/>
            <w:sz w:val="18"/>
          </w:rPr>
          <w:t>A.2.1.</w:t>
        </w:r>
      </w:hyperlink>
    </w:p>
    <w:p w14:paraId="1D8C9C18" w14:textId="77777777" w:rsidR="00BD462C" w:rsidRDefault="00BD462C">
      <w:pPr>
        <w:rPr>
          <w:sz w:val="18"/>
        </w:rPr>
        <w:sectPr w:rsidR="00BD462C">
          <w:pgSz w:w="11910" w:h="16840"/>
          <w:pgMar w:top="860" w:right="500" w:bottom="780" w:left="1280" w:header="566" w:footer="590" w:gutter="0"/>
          <w:cols w:space="720"/>
        </w:sectPr>
      </w:pPr>
    </w:p>
    <w:p w14:paraId="364D0130"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43335851"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23CFF903"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7C90BCE8" w14:textId="77777777" w:rsidR="00BD462C" w:rsidRDefault="00033D0F">
      <w:pPr>
        <w:pStyle w:val="BodyText"/>
        <w:spacing w:before="102" w:line="357" w:lineRule="auto"/>
        <w:ind w:left="135" w:right="912"/>
      </w:pPr>
      <w:r>
        <w:t>"</w:t>
      </w:r>
      <w:proofErr w:type="gramStart"/>
      <w:r>
        <w:t>major</w:t>
      </w:r>
      <w:proofErr w:type="gramEnd"/>
      <w:r>
        <w:rPr>
          <w:spacing w:val="-14"/>
        </w:rPr>
        <w:t xml:space="preserve"> </w:t>
      </w:r>
      <w:r>
        <w:t>proportion."</w:t>
      </w:r>
      <w:hyperlink w:anchor="_bookmark657" w:history="1">
        <w:r>
          <w:rPr>
            <w:vertAlign w:val="superscript"/>
          </w:rPr>
          <w:t>546</w:t>
        </w:r>
      </w:hyperlink>
      <w:r>
        <w:rPr>
          <w:spacing w:val="-10"/>
        </w:rPr>
        <w:t xml:space="preserve"> </w:t>
      </w:r>
      <w:r>
        <w:t>However,</w:t>
      </w:r>
      <w:r>
        <w:rPr>
          <w:spacing w:val="-9"/>
        </w:rPr>
        <w:t xml:space="preserve"> </w:t>
      </w:r>
      <w:r>
        <w:t>China</w:t>
      </w:r>
      <w:r>
        <w:rPr>
          <w:spacing w:val="-11"/>
        </w:rPr>
        <w:t xml:space="preserve"> </w:t>
      </w:r>
      <w:r>
        <w:t>attempts</w:t>
      </w:r>
      <w:r>
        <w:rPr>
          <w:spacing w:val="-9"/>
        </w:rPr>
        <w:t xml:space="preserve"> </w:t>
      </w:r>
      <w:r>
        <w:t>to</w:t>
      </w:r>
      <w:r>
        <w:rPr>
          <w:spacing w:val="-13"/>
        </w:rPr>
        <w:t xml:space="preserve"> </w:t>
      </w:r>
      <w:r>
        <w:t>diminish</w:t>
      </w:r>
      <w:r>
        <w:rPr>
          <w:spacing w:val="-13"/>
        </w:rPr>
        <w:t xml:space="preserve"> </w:t>
      </w:r>
      <w:r>
        <w:t>the</w:t>
      </w:r>
      <w:r>
        <w:rPr>
          <w:spacing w:val="-11"/>
        </w:rPr>
        <w:t xml:space="preserve"> </w:t>
      </w:r>
      <w:r>
        <w:t>importance</w:t>
      </w:r>
      <w:r>
        <w:rPr>
          <w:spacing w:val="-6"/>
        </w:rPr>
        <w:t xml:space="preserve"> </w:t>
      </w:r>
      <w:r>
        <w:t>of</w:t>
      </w:r>
      <w:r>
        <w:rPr>
          <w:spacing w:val="-8"/>
        </w:rPr>
        <w:t xml:space="preserve"> </w:t>
      </w:r>
      <w:r>
        <w:t>the</w:t>
      </w:r>
      <w:r>
        <w:rPr>
          <w:spacing w:val="-11"/>
        </w:rPr>
        <w:t xml:space="preserve"> </w:t>
      </w:r>
      <w:r>
        <w:t>qualitative standard, focusing instead on the quantitative standard in its submissions.</w:t>
      </w:r>
      <w:hyperlink w:anchor="_bookmark658" w:history="1">
        <w:r>
          <w:rPr>
            <w:vertAlign w:val="superscript"/>
          </w:rPr>
          <w:t>547</w:t>
        </w:r>
      </w:hyperlink>
    </w:p>
    <w:p w14:paraId="57AC01CC" w14:textId="77777777" w:rsidR="00BD462C" w:rsidRDefault="00BD462C">
      <w:pPr>
        <w:pStyle w:val="BodyText"/>
        <w:spacing w:before="3"/>
        <w:rPr>
          <w:sz w:val="9"/>
        </w:rPr>
      </w:pPr>
    </w:p>
    <w:p w14:paraId="7CCDD023" w14:textId="7BD0FFE9" w:rsidR="00BD462C" w:rsidRDefault="00033D0F" w:rsidP="00CE22EE">
      <w:pPr>
        <w:pStyle w:val="BodyText"/>
        <w:numPr>
          <w:ilvl w:val="0"/>
          <w:numId w:val="77"/>
        </w:numPr>
        <w:spacing w:before="56" w:line="360" w:lineRule="auto"/>
        <w:ind w:right="915" w:hanging="638"/>
        <w:jc w:val="both"/>
      </w:pPr>
      <w:r>
        <w:rPr>
          <w:position w:val="1"/>
        </w:rPr>
        <w:t xml:space="preserve">MOFCOM determined that the production figure calculated for the 21 domestic </w:t>
      </w:r>
      <w:r>
        <w:t>producers</w:t>
      </w:r>
      <w:r>
        <w:rPr>
          <w:spacing w:val="-14"/>
        </w:rPr>
        <w:t xml:space="preserve"> </w:t>
      </w:r>
      <w:r>
        <w:t>represented</w:t>
      </w:r>
      <w:r>
        <w:rPr>
          <w:spacing w:val="-14"/>
        </w:rPr>
        <w:t xml:space="preserve"> </w:t>
      </w:r>
      <w:r>
        <w:t>more</w:t>
      </w:r>
      <w:r>
        <w:rPr>
          <w:spacing w:val="-13"/>
        </w:rPr>
        <w:t xml:space="preserve"> </w:t>
      </w:r>
      <w:r>
        <w:t>than</w:t>
      </w:r>
      <w:r>
        <w:rPr>
          <w:spacing w:val="-14"/>
        </w:rPr>
        <w:t xml:space="preserve"> </w:t>
      </w:r>
      <w:r>
        <w:t>50%</w:t>
      </w:r>
      <w:r>
        <w:rPr>
          <w:spacing w:val="-13"/>
        </w:rPr>
        <w:t xml:space="preserve"> </w:t>
      </w:r>
      <w:r>
        <w:t>of</w:t>
      </w:r>
      <w:r>
        <w:rPr>
          <w:spacing w:val="-14"/>
        </w:rPr>
        <w:t xml:space="preserve"> </w:t>
      </w:r>
      <w:r>
        <w:t>MOFCOM's</w:t>
      </w:r>
      <w:r>
        <w:rPr>
          <w:spacing w:val="-13"/>
        </w:rPr>
        <w:t xml:space="preserve"> </w:t>
      </w:r>
      <w:r>
        <w:t>estimation</w:t>
      </w:r>
      <w:r>
        <w:rPr>
          <w:spacing w:val="-14"/>
        </w:rPr>
        <w:t xml:space="preserve"> </w:t>
      </w:r>
      <w:r>
        <w:t>of</w:t>
      </w:r>
      <w:r>
        <w:rPr>
          <w:spacing w:val="-14"/>
        </w:rPr>
        <w:t xml:space="preserve"> </w:t>
      </w:r>
      <w:r>
        <w:t>total</w:t>
      </w:r>
      <w:r>
        <w:rPr>
          <w:spacing w:val="-13"/>
        </w:rPr>
        <w:t xml:space="preserve"> </w:t>
      </w:r>
      <w:r>
        <w:t>domestic</w:t>
      </w:r>
      <w:r>
        <w:rPr>
          <w:spacing w:val="-14"/>
        </w:rPr>
        <w:t xml:space="preserve"> </w:t>
      </w:r>
      <w:r>
        <w:t>production. The</w:t>
      </w:r>
      <w:r>
        <w:rPr>
          <w:spacing w:val="-1"/>
        </w:rPr>
        <w:t xml:space="preserve"> </w:t>
      </w:r>
      <w:r>
        <w:t>issues between</w:t>
      </w:r>
      <w:r>
        <w:rPr>
          <w:spacing w:val="-3"/>
        </w:rPr>
        <w:t xml:space="preserve"> </w:t>
      </w:r>
      <w:r>
        <w:t>the</w:t>
      </w:r>
      <w:r>
        <w:rPr>
          <w:spacing w:val="-1"/>
        </w:rPr>
        <w:t xml:space="preserve"> </w:t>
      </w:r>
      <w:r>
        <w:t>parties are</w:t>
      </w:r>
      <w:r>
        <w:rPr>
          <w:spacing w:val="-1"/>
        </w:rPr>
        <w:t xml:space="preserve"> </w:t>
      </w:r>
      <w:r>
        <w:t>whether the</w:t>
      </w:r>
      <w:r>
        <w:rPr>
          <w:spacing w:val="-1"/>
        </w:rPr>
        <w:t xml:space="preserve"> </w:t>
      </w:r>
      <w:r>
        <w:t>data</w:t>
      </w:r>
      <w:r>
        <w:rPr>
          <w:spacing w:val="-2"/>
        </w:rPr>
        <w:t xml:space="preserve"> </w:t>
      </w:r>
      <w:r>
        <w:t>that</w:t>
      </w:r>
      <w:r>
        <w:rPr>
          <w:spacing w:val="-1"/>
        </w:rPr>
        <w:t xml:space="preserve"> </w:t>
      </w:r>
      <w:r>
        <w:t>MOFCOM</w:t>
      </w:r>
      <w:r>
        <w:rPr>
          <w:spacing w:val="-1"/>
        </w:rPr>
        <w:t xml:space="preserve"> </w:t>
      </w:r>
      <w:r>
        <w:t>relied</w:t>
      </w:r>
      <w:r>
        <w:rPr>
          <w:spacing w:val="-3"/>
        </w:rPr>
        <w:t xml:space="preserve"> </w:t>
      </w:r>
      <w:r>
        <w:t>upon represented positive evidence and whether MOFCOM defined the domestic industry in a manner that satisfied the qualitative component. In Australia's submission, neither standard was met.</w:t>
      </w:r>
    </w:p>
    <w:p w14:paraId="7EB6D788" w14:textId="77777777" w:rsidR="00BD462C" w:rsidRDefault="00BD462C">
      <w:pPr>
        <w:pStyle w:val="BodyText"/>
        <w:spacing w:before="5"/>
        <w:rPr>
          <w:sz w:val="8"/>
        </w:rPr>
      </w:pPr>
    </w:p>
    <w:p w14:paraId="47777052" w14:textId="15EA6193" w:rsidR="00BD462C" w:rsidRDefault="00033D0F" w:rsidP="00CE22EE">
      <w:pPr>
        <w:pStyle w:val="BodyText"/>
        <w:numPr>
          <w:ilvl w:val="0"/>
          <w:numId w:val="77"/>
        </w:numPr>
        <w:spacing w:before="57" w:line="357" w:lineRule="auto"/>
        <w:ind w:right="919" w:hanging="638"/>
        <w:jc w:val="both"/>
      </w:pPr>
      <w:r>
        <w:rPr>
          <w:position w:val="1"/>
        </w:rPr>
        <w:t xml:space="preserve">In general, a significant proportion of China's submissions concerning the "Major </w:t>
      </w:r>
      <w:r>
        <w:t>Proportion</w:t>
      </w:r>
      <w:r>
        <w:rPr>
          <w:spacing w:val="-1"/>
        </w:rPr>
        <w:t xml:space="preserve"> </w:t>
      </w:r>
      <w:r>
        <w:t>of Domestic Industry" appears to</w:t>
      </w:r>
      <w:r>
        <w:rPr>
          <w:spacing w:val="-1"/>
        </w:rPr>
        <w:t xml:space="preserve"> </w:t>
      </w:r>
      <w:r>
        <w:t>be directed</w:t>
      </w:r>
      <w:r>
        <w:rPr>
          <w:spacing w:val="-1"/>
        </w:rPr>
        <w:t xml:space="preserve"> </w:t>
      </w:r>
      <w:r>
        <w:t>solely at other</w:t>
      </w:r>
      <w:r>
        <w:rPr>
          <w:spacing w:val="-1"/>
        </w:rPr>
        <w:t xml:space="preserve"> </w:t>
      </w:r>
      <w:r>
        <w:t>unrelated</w:t>
      </w:r>
      <w:r>
        <w:rPr>
          <w:spacing w:val="-1"/>
        </w:rPr>
        <w:t xml:space="preserve"> </w:t>
      </w:r>
      <w:r>
        <w:t>issues and is therefore entirely irrelevant to the issues in dispute between the parties.</w:t>
      </w:r>
      <w:hyperlink w:anchor="_bookmark659" w:history="1">
        <w:r>
          <w:rPr>
            <w:vertAlign w:val="superscript"/>
          </w:rPr>
          <w:t>548</w:t>
        </w:r>
      </w:hyperlink>
    </w:p>
    <w:p w14:paraId="4C1CD3A1" w14:textId="77777777" w:rsidR="00BD462C" w:rsidRDefault="00033D0F" w:rsidP="00C37A4F">
      <w:pPr>
        <w:pStyle w:val="Heading3"/>
        <w:numPr>
          <w:ilvl w:val="0"/>
          <w:numId w:val="39"/>
        </w:numPr>
        <w:spacing w:before="164" w:line="362" w:lineRule="auto"/>
        <w:ind w:left="567" w:right="920" w:hanging="283"/>
      </w:pPr>
      <w:bookmarkStart w:id="763" w:name="3._MOFCOM's_estimate_of_total_domestic_p"/>
      <w:bookmarkStart w:id="764" w:name="_bookmark656"/>
      <w:bookmarkEnd w:id="763"/>
      <w:bookmarkEnd w:id="764"/>
      <w:r>
        <w:t>MOFCOM's estimate of total domestic production does not constitute positive evidence</w:t>
      </w:r>
    </w:p>
    <w:p w14:paraId="08EF992A" w14:textId="77777777" w:rsidR="00BD462C" w:rsidRDefault="00BD462C">
      <w:pPr>
        <w:pStyle w:val="BodyText"/>
        <w:spacing w:before="7"/>
        <w:rPr>
          <w:b/>
          <w:sz w:val="8"/>
        </w:rPr>
      </w:pPr>
    </w:p>
    <w:p w14:paraId="39A2DC24" w14:textId="5B7BDF7E" w:rsidR="00BD462C" w:rsidRDefault="00033D0F" w:rsidP="00CE22EE">
      <w:pPr>
        <w:pStyle w:val="BodyText"/>
        <w:numPr>
          <w:ilvl w:val="0"/>
          <w:numId w:val="77"/>
        </w:numPr>
        <w:spacing w:before="57" w:line="355" w:lineRule="auto"/>
        <w:ind w:right="919" w:hanging="638"/>
        <w:jc w:val="both"/>
      </w:pPr>
      <w:r>
        <w:rPr>
          <w:position w:val="1"/>
        </w:rPr>
        <w:t>As</w:t>
      </w:r>
      <w:r>
        <w:rPr>
          <w:spacing w:val="-1"/>
          <w:position w:val="1"/>
        </w:rPr>
        <w:t xml:space="preserve"> </w:t>
      </w:r>
      <w:r>
        <w:rPr>
          <w:position w:val="1"/>
        </w:rPr>
        <w:t>Australia</w:t>
      </w:r>
      <w:r>
        <w:rPr>
          <w:spacing w:val="-3"/>
          <w:position w:val="1"/>
        </w:rPr>
        <w:t xml:space="preserve"> </w:t>
      </w:r>
      <w:r>
        <w:rPr>
          <w:position w:val="1"/>
        </w:rPr>
        <w:t>has</w:t>
      </w:r>
      <w:r>
        <w:rPr>
          <w:spacing w:val="-1"/>
          <w:position w:val="1"/>
        </w:rPr>
        <w:t xml:space="preserve"> </w:t>
      </w:r>
      <w:r>
        <w:rPr>
          <w:position w:val="1"/>
        </w:rPr>
        <w:t>set</w:t>
      </w:r>
      <w:r>
        <w:rPr>
          <w:spacing w:val="-2"/>
          <w:position w:val="1"/>
        </w:rPr>
        <w:t xml:space="preserve"> </w:t>
      </w:r>
      <w:r>
        <w:rPr>
          <w:position w:val="1"/>
        </w:rPr>
        <w:t>out</w:t>
      </w:r>
      <w:r>
        <w:rPr>
          <w:spacing w:val="-2"/>
          <w:position w:val="1"/>
        </w:rPr>
        <w:t xml:space="preserve"> </w:t>
      </w:r>
      <w:r>
        <w:rPr>
          <w:position w:val="1"/>
        </w:rPr>
        <w:t>in</w:t>
      </w:r>
      <w:r>
        <w:rPr>
          <w:spacing w:val="-4"/>
          <w:position w:val="1"/>
        </w:rPr>
        <w:t xml:space="preserve"> </w:t>
      </w:r>
      <w:r>
        <w:rPr>
          <w:position w:val="1"/>
        </w:rPr>
        <w:t>its</w:t>
      </w:r>
      <w:r>
        <w:rPr>
          <w:spacing w:val="-1"/>
          <w:position w:val="1"/>
        </w:rPr>
        <w:t xml:space="preserve"> </w:t>
      </w:r>
      <w:r>
        <w:rPr>
          <w:position w:val="1"/>
        </w:rPr>
        <w:t>first</w:t>
      </w:r>
      <w:r>
        <w:rPr>
          <w:spacing w:val="-2"/>
          <w:position w:val="1"/>
        </w:rPr>
        <w:t xml:space="preserve"> </w:t>
      </w:r>
      <w:r>
        <w:rPr>
          <w:position w:val="1"/>
        </w:rPr>
        <w:t>written</w:t>
      </w:r>
      <w:r>
        <w:rPr>
          <w:spacing w:val="-4"/>
          <w:position w:val="1"/>
        </w:rPr>
        <w:t xml:space="preserve"> </w:t>
      </w:r>
      <w:r>
        <w:rPr>
          <w:position w:val="1"/>
        </w:rPr>
        <w:t>submission,</w:t>
      </w:r>
      <w:r>
        <w:rPr>
          <w:spacing w:val="-1"/>
          <w:position w:val="1"/>
        </w:rPr>
        <w:t xml:space="preserve"> </w:t>
      </w:r>
      <w:r>
        <w:rPr>
          <w:position w:val="1"/>
        </w:rPr>
        <w:t>the</w:t>
      </w:r>
      <w:r>
        <w:rPr>
          <w:spacing w:val="-3"/>
          <w:position w:val="1"/>
        </w:rPr>
        <w:t xml:space="preserve"> </w:t>
      </w:r>
      <w:r>
        <w:rPr>
          <w:position w:val="1"/>
        </w:rPr>
        <w:t>process used</w:t>
      </w:r>
      <w:r>
        <w:rPr>
          <w:spacing w:val="-4"/>
          <w:position w:val="1"/>
        </w:rPr>
        <w:t xml:space="preserve"> </w:t>
      </w:r>
      <w:r>
        <w:rPr>
          <w:position w:val="1"/>
        </w:rPr>
        <w:t>by</w:t>
      </w:r>
      <w:r>
        <w:rPr>
          <w:spacing w:val="-1"/>
          <w:position w:val="1"/>
        </w:rPr>
        <w:t xml:space="preserve"> </w:t>
      </w:r>
      <w:r>
        <w:rPr>
          <w:position w:val="1"/>
        </w:rPr>
        <w:t xml:space="preserve">MOFCOM </w:t>
      </w:r>
      <w:r>
        <w:t>to</w:t>
      </w:r>
      <w:r>
        <w:rPr>
          <w:spacing w:val="-16"/>
        </w:rPr>
        <w:t xml:space="preserve"> </w:t>
      </w:r>
      <w:r>
        <w:t>determine</w:t>
      </w:r>
      <w:r>
        <w:rPr>
          <w:spacing w:val="-11"/>
        </w:rPr>
        <w:t xml:space="preserve"> </w:t>
      </w:r>
      <w:r>
        <w:t>total</w:t>
      </w:r>
      <w:r>
        <w:rPr>
          <w:spacing w:val="-10"/>
        </w:rPr>
        <w:t xml:space="preserve"> </w:t>
      </w:r>
      <w:r>
        <w:t>domestic</w:t>
      </w:r>
      <w:r>
        <w:rPr>
          <w:spacing w:val="-12"/>
        </w:rPr>
        <w:t xml:space="preserve"> </w:t>
      </w:r>
      <w:r>
        <w:t>production</w:t>
      </w:r>
      <w:r>
        <w:rPr>
          <w:spacing w:val="-13"/>
        </w:rPr>
        <w:t xml:space="preserve"> </w:t>
      </w:r>
      <w:r>
        <w:t>was</w:t>
      </w:r>
      <w:r>
        <w:rPr>
          <w:spacing w:val="-10"/>
        </w:rPr>
        <w:t xml:space="preserve"> </w:t>
      </w:r>
      <w:r>
        <w:t>(i)</w:t>
      </w:r>
      <w:r>
        <w:rPr>
          <w:spacing w:val="-8"/>
        </w:rPr>
        <w:t xml:space="preserve"> </w:t>
      </w:r>
      <w:r>
        <w:t>opaque;</w:t>
      </w:r>
      <w:r>
        <w:rPr>
          <w:spacing w:val="-9"/>
        </w:rPr>
        <w:t xml:space="preserve"> </w:t>
      </w:r>
      <w:r>
        <w:t>(ii)</w:t>
      </w:r>
      <w:r>
        <w:rPr>
          <w:spacing w:val="-13"/>
        </w:rPr>
        <w:t xml:space="preserve"> </w:t>
      </w:r>
      <w:r>
        <w:t>involved</w:t>
      </w:r>
      <w:r>
        <w:rPr>
          <w:spacing w:val="-13"/>
        </w:rPr>
        <w:t xml:space="preserve"> </w:t>
      </w:r>
      <w:r>
        <w:t>considerable</w:t>
      </w:r>
      <w:r>
        <w:rPr>
          <w:spacing w:val="-11"/>
        </w:rPr>
        <w:t xml:space="preserve"> </w:t>
      </w:r>
      <w:r>
        <w:rPr>
          <w:spacing w:val="-2"/>
        </w:rPr>
        <w:t>speculation</w:t>
      </w:r>
      <w:r w:rsidR="00185AF5">
        <w:rPr>
          <w:spacing w:val="-2"/>
        </w:rPr>
        <w:t xml:space="preserve">; </w:t>
      </w:r>
      <w:r>
        <w:t>(iii)</w:t>
      </w:r>
      <w:r w:rsidRPr="00185AF5">
        <w:rPr>
          <w:spacing w:val="4"/>
        </w:rPr>
        <w:t xml:space="preserve"> </w:t>
      </w:r>
      <w:r>
        <w:t>did</w:t>
      </w:r>
      <w:r w:rsidRPr="00185AF5">
        <w:rPr>
          <w:spacing w:val="6"/>
        </w:rPr>
        <w:t xml:space="preserve"> </w:t>
      </w:r>
      <w:r>
        <w:t>not</w:t>
      </w:r>
      <w:r w:rsidRPr="00185AF5">
        <w:rPr>
          <w:spacing w:val="8"/>
        </w:rPr>
        <w:t xml:space="preserve"> </w:t>
      </w:r>
      <w:r>
        <w:t>address</w:t>
      </w:r>
      <w:r w:rsidRPr="00185AF5">
        <w:rPr>
          <w:spacing w:val="10"/>
        </w:rPr>
        <w:t xml:space="preserve"> </w:t>
      </w:r>
      <w:r>
        <w:t>conflicting</w:t>
      </w:r>
      <w:r w:rsidRPr="00185AF5">
        <w:rPr>
          <w:spacing w:val="10"/>
        </w:rPr>
        <w:t xml:space="preserve"> </w:t>
      </w:r>
      <w:r>
        <w:t>record</w:t>
      </w:r>
      <w:r w:rsidRPr="00185AF5">
        <w:rPr>
          <w:spacing w:val="5"/>
        </w:rPr>
        <w:t xml:space="preserve"> </w:t>
      </w:r>
      <w:r>
        <w:t>evidence;</w:t>
      </w:r>
      <w:r w:rsidRPr="00185AF5">
        <w:rPr>
          <w:spacing w:val="11"/>
        </w:rPr>
        <w:t xml:space="preserve"> </w:t>
      </w:r>
      <w:r>
        <w:t>(iv)</w:t>
      </w:r>
      <w:r w:rsidRPr="00185AF5">
        <w:rPr>
          <w:spacing w:val="7"/>
        </w:rPr>
        <w:t xml:space="preserve"> </w:t>
      </w:r>
      <w:r>
        <w:t>was</w:t>
      </w:r>
      <w:r w:rsidRPr="00185AF5">
        <w:rPr>
          <w:spacing w:val="9"/>
        </w:rPr>
        <w:t xml:space="preserve"> </w:t>
      </w:r>
      <w:r>
        <w:t>not</w:t>
      </w:r>
      <w:r w:rsidRPr="00185AF5">
        <w:rPr>
          <w:spacing w:val="9"/>
        </w:rPr>
        <w:t xml:space="preserve"> </w:t>
      </w:r>
      <w:r>
        <w:t>based</w:t>
      </w:r>
      <w:r w:rsidRPr="00185AF5">
        <w:rPr>
          <w:spacing w:val="6"/>
        </w:rPr>
        <w:t xml:space="preserve"> </w:t>
      </w:r>
      <w:r>
        <w:t>on</w:t>
      </w:r>
      <w:r w:rsidRPr="00185AF5">
        <w:rPr>
          <w:spacing w:val="5"/>
        </w:rPr>
        <w:t xml:space="preserve"> </w:t>
      </w:r>
      <w:r>
        <w:t>positive</w:t>
      </w:r>
      <w:r w:rsidRPr="00185AF5">
        <w:rPr>
          <w:spacing w:val="8"/>
        </w:rPr>
        <w:t xml:space="preserve"> </w:t>
      </w:r>
      <w:r>
        <w:t>evidence</w:t>
      </w:r>
      <w:r w:rsidRPr="00185AF5">
        <w:rPr>
          <w:spacing w:val="8"/>
        </w:rPr>
        <w:t xml:space="preserve"> </w:t>
      </w:r>
      <w:r w:rsidRPr="00185AF5">
        <w:rPr>
          <w:spacing w:val="-5"/>
        </w:rPr>
        <w:t>a</w:t>
      </w:r>
      <w:r w:rsidR="00185AF5">
        <w:rPr>
          <w:spacing w:val="-5"/>
        </w:rPr>
        <w:t xml:space="preserve">nd </w:t>
      </w:r>
      <w:r>
        <w:t>(v) was not objective.</w:t>
      </w:r>
      <w:hyperlink w:anchor="_bookmark660" w:history="1">
        <w:r w:rsidRPr="00185AF5">
          <w:rPr>
            <w:vertAlign w:val="superscript"/>
          </w:rPr>
          <w:t>549</w:t>
        </w:r>
      </w:hyperlink>
      <w:r>
        <w:t xml:space="preserve"> MOFCOM only provided a vague explanation as to the process it undertook to estimate total domestic production.</w:t>
      </w:r>
      <w:hyperlink w:anchor="_bookmark661" w:history="1">
        <w:r w:rsidRPr="00185AF5">
          <w:rPr>
            <w:vertAlign w:val="superscript"/>
          </w:rPr>
          <w:t>550</w:t>
        </w:r>
      </w:hyperlink>
      <w:r>
        <w:t xml:space="preserve"> This process did not identify the actual domestic production output of like products and, due to its simplicity, unsubstantiated and limited assumptions, and failure to account for relevant variable factors, it was unable to arrive at a reliable or accurate estimation.</w:t>
      </w:r>
    </w:p>
    <w:p w14:paraId="37E41D0E" w14:textId="77777777" w:rsidR="00BD462C" w:rsidRDefault="00BD462C">
      <w:pPr>
        <w:pStyle w:val="BodyText"/>
        <w:spacing w:before="10"/>
        <w:rPr>
          <w:sz w:val="8"/>
        </w:rPr>
      </w:pPr>
    </w:p>
    <w:p w14:paraId="453B82F8" w14:textId="30616FCE" w:rsidR="00BD462C" w:rsidRDefault="00033D0F" w:rsidP="00CE22EE">
      <w:pPr>
        <w:pStyle w:val="BodyText"/>
        <w:numPr>
          <w:ilvl w:val="0"/>
          <w:numId w:val="77"/>
        </w:numPr>
        <w:spacing w:before="56" w:line="360" w:lineRule="auto"/>
        <w:ind w:right="910" w:hanging="638"/>
        <w:jc w:val="both"/>
      </w:pPr>
      <w:r>
        <w:rPr>
          <w:position w:val="1"/>
        </w:rPr>
        <w:t>In</w:t>
      </w:r>
      <w:r>
        <w:rPr>
          <w:spacing w:val="-14"/>
          <w:position w:val="1"/>
        </w:rPr>
        <w:t xml:space="preserve"> </w:t>
      </w:r>
      <w:r>
        <w:rPr>
          <w:position w:val="1"/>
        </w:rPr>
        <w:t>response</w:t>
      </w:r>
      <w:r>
        <w:rPr>
          <w:spacing w:val="-11"/>
          <w:position w:val="1"/>
        </w:rPr>
        <w:t xml:space="preserve"> </w:t>
      </w:r>
      <w:r>
        <w:rPr>
          <w:position w:val="1"/>
        </w:rPr>
        <w:t>to</w:t>
      </w:r>
      <w:r>
        <w:rPr>
          <w:spacing w:val="-10"/>
          <w:position w:val="1"/>
        </w:rPr>
        <w:t xml:space="preserve"> </w:t>
      </w:r>
      <w:r>
        <w:rPr>
          <w:position w:val="1"/>
        </w:rPr>
        <w:t>Australia's</w:t>
      </w:r>
      <w:r>
        <w:rPr>
          <w:spacing w:val="-10"/>
          <w:position w:val="1"/>
        </w:rPr>
        <w:t xml:space="preserve"> </w:t>
      </w:r>
      <w:r>
        <w:rPr>
          <w:position w:val="1"/>
        </w:rPr>
        <w:t>concerns,</w:t>
      </w:r>
      <w:r>
        <w:rPr>
          <w:spacing w:val="-10"/>
          <w:position w:val="1"/>
        </w:rPr>
        <w:t xml:space="preserve"> </w:t>
      </w:r>
      <w:r>
        <w:rPr>
          <w:position w:val="1"/>
        </w:rPr>
        <w:t>China</w:t>
      </w:r>
      <w:r>
        <w:rPr>
          <w:spacing w:val="-12"/>
          <w:position w:val="1"/>
        </w:rPr>
        <w:t xml:space="preserve"> </w:t>
      </w:r>
      <w:r>
        <w:rPr>
          <w:position w:val="1"/>
        </w:rPr>
        <w:t>focuses</w:t>
      </w:r>
      <w:r>
        <w:rPr>
          <w:spacing w:val="-10"/>
          <w:position w:val="1"/>
        </w:rPr>
        <w:t xml:space="preserve"> </w:t>
      </w:r>
      <w:r>
        <w:rPr>
          <w:position w:val="1"/>
        </w:rPr>
        <w:t>on</w:t>
      </w:r>
      <w:r>
        <w:rPr>
          <w:spacing w:val="-14"/>
          <w:position w:val="1"/>
        </w:rPr>
        <w:t xml:space="preserve"> </w:t>
      </w:r>
      <w:r>
        <w:rPr>
          <w:position w:val="1"/>
        </w:rPr>
        <w:t>the</w:t>
      </w:r>
      <w:r>
        <w:rPr>
          <w:spacing w:val="-6"/>
          <w:position w:val="1"/>
        </w:rPr>
        <w:t xml:space="preserve"> </w:t>
      </w:r>
      <w:r>
        <w:rPr>
          <w:position w:val="1"/>
        </w:rPr>
        <w:t>following</w:t>
      </w:r>
      <w:r>
        <w:rPr>
          <w:spacing w:val="-10"/>
          <w:position w:val="1"/>
        </w:rPr>
        <w:t xml:space="preserve"> </w:t>
      </w:r>
      <w:r>
        <w:rPr>
          <w:position w:val="1"/>
        </w:rPr>
        <w:t>issues:</w:t>
      </w:r>
      <w:r>
        <w:rPr>
          <w:spacing w:val="-14"/>
          <w:position w:val="1"/>
        </w:rPr>
        <w:t xml:space="preserve"> </w:t>
      </w:r>
      <w:r>
        <w:rPr>
          <w:position w:val="1"/>
        </w:rPr>
        <w:t>(i)</w:t>
      </w:r>
      <w:r>
        <w:rPr>
          <w:spacing w:val="-12"/>
          <w:position w:val="1"/>
        </w:rPr>
        <w:t xml:space="preserve"> </w:t>
      </w:r>
      <w:r>
        <w:rPr>
          <w:position w:val="1"/>
        </w:rPr>
        <w:t xml:space="preserve">whether </w:t>
      </w:r>
      <w:r>
        <w:t>there</w:t>
      </w:r>
      <w:r>
        <w:rPr>
          <w:spacing w:val="-7"/>
        </w:rPr>
        <w:t xml:space="preserve"> </w:t>
      </w:r>
      <w:r>
        <w:t>is</w:t>
      </w:r>
      <w:r>
        <w:rPr>
          <w:spacing w:val="-6"/>
        </w:rPr>
        <w:t xml:space="preserve"> </w:t>
      </w:r>
      <w:r>
        <w:t>a</w:t>
      </w:r>
      <w:r>
        <w:rPr>
          <w:spacing w:val="-3"/>
        </w:rPr>
        <w:t xml:space="preserve"> </w:t>
      </w:r>
      <w:r>
        <w:t>hierarchy</w:t>
      </w:r>
      <w:r>
        <w:rPr>
          <w:spacing w:val="-1"/>
        </w:rPr>
        <w:t xml:space="preserve"> </w:t>
      </w:r>
      <w:r>
        <w:t>between</w:t>
      </w:r>
      <w:r>
        <w:rPr>
          <w:spacing w:val="-9"/>
        </w:rPr>
        <w:t xml:space="preserve"> </w:t>
      </w:r>
      <w:r>
        <w:t>the</w:t>
      </w:r>
      <w:r>
        <w:rPr>
          <w:spacing w:val="-3"/>
        </w:rPr>
        <w:t xml:space="preserve"> </w:t>
      </w:r>
      <w:r>
        <w:t>two</w:t>
      </w:r>
      <w:r>
        <w:rPr>
          <w:spacing w:val="-5"/>
        </w:rPr>
        <w:t xml:space="preserve"> </w:t>
      </w:r>
      <w:r>
        <w:t>methods</w:t>
      </w:r>
      <w:r>
        <w:rPr>
          <w:spacing w:val="-1"/>
        </w:rPr>
        <w:t xml:space="preserve"> </w:t>
      </w:r>
      <w:r>
        <w:t>of defining</w:t>
      </w:r>
      <w:r>
        <w:rPr>
          <w:spacing w:val="-5"/>
        </w:rPr>
        <w:t xml:space="preserve"> </w:t>
      </w:r>
      <w:r>
        <w:t>the</w:t>
      </w:r>
      <w:r>
        <w:rPr>
          <w:spacing w:val="-7"/>
        </w:rPr>
        <w:t xml:space="preserve"> </w:t>
      </w:r>
      <w:r>
        <w:t>domestic</w:t>
      </w:r>
      <w:r>
        <w:rPr>
          <w:spacing w:val="-8"/>
        </w:rPr>
        <w:t xml:space="preserve"> </w:t>
      </w:r>
      <w:r>
        <w:t>industry</w:t>
      </w:r>
      <w:r>
        <w:rPr>
          <w:spacing w:val="-6"/>
        </w:rPr>
        <w:t xml:space="preserve"> </w:t>
      </w:r>
      <w:r>
        <w:t>(which</w:t>
      </w:r>
      <w:r>
        <w:rPr>
          <w:spacing w:val="-9"/>
        </w:rPr>
        <w:t xml:space="preserve"> </w:t>
      </w:r>
      <w:r>
        <w:t>is</w:t>
      </w:r>
      <w:r>
        <w:rPr>
          <w:spacing w:val="-6"/>
        </w:rPr>
        <w:t xml:space="preserve"> </w:t>
      </w:r>
      <w:r>
        <w:t>not relevant in this dispute);</w:t>
      </w:r>
      <w:hyperlink w:anchor="_bookmark662" w:history="1">
        <w:r>
          <w:rPr>
            <w:vertAlign w:val="superscript"/>
          </w:rPr>
          <w:t>551</w:t>
        </w:r>
      </w:hyperlink>
      <w:r>
        <w:t xml:space="preserve"> (ii) MOFCOM did not "actively exclude" the very large number of domestic</w:t>
      </w:r>
      <w:r>
        <w:rPr>
          <w:spacing w:val="-7"/>
        </w:rPr>
        <w:t xml:space="preserve"> </w:t>
      </w:r>
      <w:r>
        <w:t>producers</w:t>
      </w:r>
      <w:r>
        <w:rPr>
          <w:spacing w:val="-5"/>
        </w:rPr>
        <w:t xml:space="preserve"> </w:t>
      </w:r>
      <w:r>
        <w:t>that</w:t>
      </w:r>
      <w:r>
        <w:rPr>
          <w:spacing w:val="-6"/>
        </w:rPr>
        <w:t xml:space="preserve"> </w:t>
      </w:r>
      <w:r>
        <w:t>it</w:t>
      </w:r>
      <w:r>
        <w:rPr>
          <w:spacing w:val="-6"/>
        </w:rPr>
        <w:t xml:space="preserve"> </w:t>
      </w:r>
      <w:r>
        <w:t>did</w:t>
      </w:r>
      <w:r>
        <w:rPr>
          <w:spacing w:val="-8"/>
        </w:rPr>
        <w:t xml:space="preserve"> </w:t>
      </w:r>
      <w:r>
        <w:t>not</w:t>
      </w:r>
      <w:r>
        <w:rPr>
          <w:spacing w:val="-6"/>
        </w:rPr>
        <w:t xml:space="preserve"> </w:t>
      </w:r>
      <w:r>
        <w:t>include</w:t>
      </w:r>
      <w:r>
        <w:rPr>
          <w:spacing w:val="-6"/>
        </w:rPr>
        <w:t xml:space="preserve"> </w:t>
      </w:r>
      <w:r>
        <w:t>in</w:t>
      </w:r>
      <w:r>
        <w:rPr>
          <w:spacing w:val="-8"/>
        </w:rPr>
        <w:t xml:space="preserve"> </w:t>
      </w:r>
      <w:r>
        <w:t>its</w:t>
      </w:r>
      <w:r>
        <w:rPr>
          <w:spacing w:val="-5"/>
        </w:rPr>
        <w:t xml:space="preserve"> </w:t>
      </w:r>
      <w:r>
        <w:t>definition</w:t>
      </w:r>
      <w:r>
        <w:rPr>
          <w:spacing w:val="-8"/>
        </w:rPr>
        <w:t xml:space="preserve"> </w:t>
      </w:r>
      <w:r>
        <w:t>of</w:t>
      </w:r>
      <w:r>
        <w:rPr>
          <w:spacing w:val="-8"/>
        </w:rPr>
        <w:t xml:space="preserve"> </w:t>
      </w:r>
      <w:r>
        <w:t>the</w:t>
      </w:r>
      <w:r>
        <w:rPr>
          <w:spacing w:val="-6"/>
        </w:rPr>
        <w:t xml:space="preserve"> </w:t>
      </w:r>
      <w:r>
        <w:t>domestic</w:t>
      </w:r>
      <w:r>
        <w:rPr>
          <w:spacing w:val="-7"/>
        </w:rPr>
        <w:t xml:space="preserve"> </w:t>
      </w:r>
      <w:r>
        <w:t>industry;</w:t>
      </w:r>
      <w:hyperlink w:anchor="_bookmark663" w:history="1">
        <w:r>
          <w:rPr>
            <w:vertAlign w:val="superscript"/>
          </w:rPr>
          <w:t>552</w:t>
        </w:r>
      </w:hyperlink>
      <w:r>
        <w:rPr>
          <w:spacing w:val="-5"/>
        </w:rPr>
        <w:t xml:space="preserve"> </w:t>
      </w:r>
      <w:r>
        <w:t>and</w:t>
      </w:r>
      <w:r>
        <w:rPr>
          <w:spacing w:val="-8"/>
        </w:rPr>
        <w:t xml:space="preserve"> </w:t>
      </w:r>
      <w:r>
        <w:t>(iii)</w:t>
      </w:r>
    </w:p>
    <w:p w14:paraId="171C389E" w14:textId="687C3F82" w:rsidR="00BD462C" w:rsidRDefault="00D70C7D">
      <w:pPr>
        <w:pStyle w:val="BodyText"/>
        <w:spacing w:before="6"/>
        <w:rPr>
          <w:sz w:val="19"/>
        </w:rPr>
      </w:pPr>
      <w:r>
        <w:rPr>
          <w:noProof/>
        </w:rPr>
        <mc:AlternateContent>
          <mc:Choice Requires="wps">
            <w:drawing>
              <wp:anchor distT="0" distB="0" distL="0" distR="0" simplePos="0" relativeHeight="487734784" behindDoc="1" locked="0" layoutInCell="1" allowOverlap="1" wp14:anchorId="1BCA3FE2" wp14:editId="2C1313AD">
                <wp:simplePos x="0" y="0"/>
                <wp:positionH relativeFrom="page">
                  <wp:posOffset>899160</wp:posOffset>
                </wp:positionH>
                <wp:positionV relativeFrom="paragraph">
                  <wp:posOffset>166370</wp:posOffset>
                </wp:positionV>
                <wp:extent cx="1828800" cy="8890"/>
                <wp:effectExtent l="0" t="0" r="0" b="0"/>
                <wp:wrapTopAndBottom/>
                <wp:docPr id="798" name="docshape3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AC3D10" id="docshape317" o:spid="_x0000_s1026" alt="&quot;&quot;" style="position:absolute;margin-left:70.8pt;margin-top:13.1pt;width:2in;height:.7pt;z-index:-15581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" fillcolor="black" stroked="f">
                <w10:wrap type="topAndBottom" anchorx="page"/>
              </v:rect>
            </w:pict>
          </mc:Fallback>
        </mc:AlternateContent>
      </w:r>
    </w:p>
    <w:p w14:paraId="30B4B4AE" w14:textId="77777777" w:rsidR="00BD462C" w:rsidRDefault="00033D0F">
      <w:pPr>
        <w:spacing w:before="112"/>
        <w:ind w:left="135"/>
        <w:rPr>
          <w:sz w:val="18"/>
        </w:rPr>
      </w:pPr>
      <w:bookmarkStart w:id="765" w:name="_bookmark657"/>
      <w:bookmarkEnd w:id="765"/>
      <w:r>
        <w:rPr>
          <w:position w:val="5"/>
          <w:sz w:val="12"/>
        </w:rPr>
        <w:t>546</w:t>
      </w:r>
      <w:r>
        <w:rPr>
          <w:spacing w:val="12"/>
          <w:position w:val="5"/>
          <w:sz w:val="12"/>
        </w:rPr>
        <w:t xml:space="preserve"> </w:t>
      </w:r>
      <w:r>
        <w:rPr>
          <w:sz w:val="18"/>
        </w:rPr>
        <w:t>China's</w:t>
      </w:r>
      <w:r>
        <w:rPr>
          <w:spacing w:val="-6"/>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 para. 902</w:t>
      </w:r>
      <w:r>
        <w:rPr>
          <w:spacing w:val="-8"/>
          <w:sz w:val="18"/>
        </w:rPr>
        <w:t xml:space="preserve"> </w:t>
      </w:r>
      <w:r>
        <w:rPr>
          <w:sz w:val="18"/>
        </w:rPr>
        <w:t>and</w:t>
      </w:r>
      <w:r>
        <w:rPr>
          <w:spacing w:val="-2"/>
          <w:sz w:val="18"/>
        </w:rPr>
        <w:t xml:space="preserve"> </w:t>
      </w:r>
      <w:r>
        <w:rPr>
          <w:sz w:val="18"/>
        </w:rPr>
        <w:t>Australia's</w:t>
      </w:r>
      <w:r>
        <w:rPr>
          <w:spacing w:val="-6"/>
          <w:sz w:val="18"/>
        </w:rPr>
        <w:t xml:space="preserve"> </w:t>
      </w:r>
      <w:r>
        <w:rPr>
          <w:sz w:val="18"/>
        </w:rPr>
        <w:t>first</w:t>
      </w:r>
      <w:r>
        <w:rPr>
          <w:spacing w:val="-2"/>
          <w:sz w:val="18"/>
        </w:rPr>
        <w:t xml:space="preserve"> </w:t>
      </w:r>
      <w:r>
        <w:rPr>
          <w:sz w:val="18"/>
        </w:rPr>
        <w:t>written</w:t>
      </w:r>
      <w:r>
        <w:rPr>
          <w:spacing w:val="-6"/>
          <w:sz w:val="18"/>
        </w:rPr>
        <w:t xml:space="preserve"> </w:t>
      </w:r>
      <w:r>
        <w:rPr>
          <w:sz w:val="18"/>
        </w:rPr>
        <w:t>submission,</w:t>
      </w:r>
      <w:r>
        <w:rPr>
          <w:spacing w:val="-4"/>
          <w:sz w:val="18"/>
        </w:rPr>
        <w:t xml:space="preserve"> </w:t>
      </w:r>
      <w:r>
        <w:rPr>
          <w:sz w:val="18"/>
        </w:rPr>
        <w:t>para.</w:t>
      </w:r>
      <w:r>
        <w:rPr>
          <w:spacing w:val="-1"/>
          <w:sz w:val="18"/>
        </w:rPr>
        <w:t xml:space="preserve"> </w:t>
      </w:r>
      <w:r>
        <w:rPr>
          <w:spacing w:val="-4"/>
          <w:sz w:val="18"/>
        </w:rPr>
        <w:t>527.</w:t>
      </w:r>
    </w:p>
    <w:p w14:paraId="1F84424B" w14:textId="77777777" w:rsidR="00BD462C" w:rsidRDefault="00033D0F">
      <w:pPr>
        <w:spacing w:before="1"/>
        <w:ind w:left="135"/>
        <w:rPr>
          <w:sz w:val="18"/>
        </w:rPr>
      </w:pPr>
      <w:bookmarkStart w:id="766" w:name="_bookmark658"/>
      <w:bookmarkEnd w:id="766"/>
      <w:r>
        <w:rPr>
          <w:position w:val="5"/>
          <w:sz w:val="12"/>
        </w:rPr>
        <w:t>547</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paras.</w:t>
      </w:r>
      <w:r>
        <w:rPr>
          <w:spacing w:val="-5"/>
          <w:sz w:val="18"/>
        </w:rPr>
        <w:t xml:space="preserve"> </w:t>
      </w:r>
      <w:r>
        <w:rPr>
          <w:sz w:val="18"/>
        </w:rPr>
        <w:t>902-</w:t>
      </w:r>
      <w:r>
        <w:rPr>
          <w:spacing w:val="-4"/>
          <w:sz w:val="18"/>
        </w:rPr>
        <w:t>912.</w:t>
      </w:r>
    </w:p>
    <w:p w14:paraId="2FEFEADF" w14:textId="77777777" w:rsidR="00BD462C" w:rsidRDefault="00033D0F">
      <w:pPr>
        <w:spacing w:before="1"/>
        <w:ind w:left="135"/>
        <w:rPr>
          <w:sz w:val="18"/>
        </w:rPr>
      </w:pPr>
      <w:bookmarkStart w:id="767" w:name="_bookmark659"/>
      <w:bookmarkEnd w:id="767"/>
      <w:r>
        <w:rPr>
          <w:position w:val="5"/>
          <w:sz w:val="12"/>
        </w:rPr>
        <w:t>548</w:t>
      </w:r>
      <w:r>
        <w:rPr>
          <w:spacing w:val="11"/>
          <w:position w:val="5"/>
          <w:sz w:val="12"/>
        </w:rPr>
        <w:t xml:space="preserve"> </w:t>
      </w:r>
      <w:r>
        <w:rPr>
          <w:sz w:val="18"/>
        </w:rPr>
        <w:t>China's</w:t>
      </w:r>
      <w:r>
        <w:rPr>
          <w:spacing w:val="-6"/>
          <w:sz w:val="18"/>
        </w:rPr>
        <w:t xml:space="preserve"> </w:t>
      </w:r>
      <w:r>
        <w:rPr>
          <w:sz w:val="18"/>
        </w:rPr>
        <w:t>first</w:t>
      </w:r>
      <w:r>
        <w:rPr>
          <w:spacing w:val="-6"/>
          <w:sz w:val="18"/>
        </w:rPr>
        <w:t xml:space="preserve"> </w:t>
      </w:r>
      <w:r>
        <w:rPr>
          <w:sz w:val="18"/>
        </w:rPr>
        <w:t>written</w:t>
      </w:r>
      <w:r>
        <w:rPr>
          <w:spacing w:val="-7"/>
          <w:sz w:val="18"/>
        </w:rPr>
        <w:t xml:space="preserve"> </w:t>
      </w:r>
      <w:r>
        <w:rPr>
          <w:sz w:val="18"/>
        </w:rPr>
        <w:t>submission, paras</w:t>
      </w:r>
      <w:r>
        <w:rPr>
          <w:spacing w:val="-2"/>
          <w:sz w:val="18"/>
        </w:rPr>
        <w:t xml:space="preserve"> </w:t>
      </w:r>
      <w:r>
        <w:rPr>
          <w:sz w:val="18"/>
        </w:rPr>
        <w:t>902-</w:t>
      </w:r>
      <w:r>
        <w:rPr>
          <w:spacing w:val="-4"/>
          <w:sz w:val="18"/>
        </w:rPr>
        <w:t>911.</w:t>
      </w:r>
    </w:p>
    <w:p w14:paraId="22124C9F" w14:textId="77777777" w:rsidR="00BD462C" w:rsidRDefault="00033D0F">
      <w:pPr>
        <w:spacing w:before="1" w:line="218" w:lineRule="exact"/>
        <w:ind w:left="135"/>
        <w:rPr>
          <w:sz w:val="18"/>
        </w:rPr>
      </w:pPr>
      <w:bookmarkStart w:id="768" w:name="_bookmark660"/>
      <w:bookmarkEnd w:id="768"/>
      <w:r>
        <w:rPr>
          <w:position w:val="5"/>
          <w:sz w:val="12"/>
        </w:rPr>
        <w:t>549</w:t>
      </w:r>
      <w:r>
        <w:rPr>
          <w:spacing w:val="12"/>
          <w:position w:val="5"/>
          <w:sz w:val="12"/>
        </w:rPr>
        <w:t xml:space="preserve"> </w:t>
      </w:r>
      <w:r>
        <w:rPr>
          <w:sz w:val="18"/>
        </w:rPr>
        <w:t>Australia's</w:t>
      </w:r>
      <w:r>
        <w:rPr>
          <w:spacing w:val="-6"/>
          <w:sz w:val="18"/>
        </w:rPr>
        <w:t xml:space="preserve"> </w:t>
      </w:r>
      <w:r>
        <w:rPr>
          <w:sz w:val="18"/>
        </w:rPr>
        <w:t>first</w:t>
      </w:r>
      <w:r>
        <w:rPr>
          <w:spacing w:val="-6"/>
          <w:sz w:val="18"/>
        </w:rPr>
        <w:t xml:space="preserve"> </w:t>
      </w:r>
      <w:r>
        <w:rPr>
          <w:sz w:val="18"/>
        </w:rPr>
        <w:t>written</w:t>
      </w:r>
      <w:r>
        <w:rPr>
          <w:spacing w:val="-2"/>
          <w:sz w:val="18"/>
        </w:rPr>
        <w:t xml:space="preserve"> </w:t>
      </w:r>
      <w:r>
        <w:rPr>
          <w:sz w:val="18"/>
        </w:rPr>
        <w:t>submission, para.</w:t>
      </w:r>
      <w:r>
        <w:rPr>
          <w:spacing w:val="-5"/>
          <w:sz w:val="18"/>
        </w:rPr>
        <w:t xml:space="preserve"> </w:t>
      </w:r>
      <w:r>
        <w:rPr>
          <w:spacing w:val="-4"/>
          <w:sz w:val="18"/>
        </w:rPr>
        <w:t>538.</w:t>
      </w:r>
    </w:p>
    <w:p w14:paraId="331240E9" w14:textId="77777777" w:rsidR="00BD462C" w:rsidRDefault="00033D0F">
      <w:pPr>
        <w:ind w:left="136" w:right="902" w:hanging="1"/>
        <w:jc w:val="both"/>
        <w:rPr>
          <w:sz w:val="18"/>
        </w:rPr>
      </w:pPr>
      <w:bookmarkStart w:id="769" w:name="_bookmark661"/>
      <w:bookmarkEnd w:id="769"/>
      <w:r>
        <w:rPr>
          <w:position w:val="5"/>
          <w:sz w:val="12"/>
        </w:rPr>
        <w:t>550</w:t>
      </w:r>
      <w:r>
        <w:rPr>
          <w:spacing w:val="16"/>
          <w:position w:val="5"/>
          <w:sz w:val="12"/>
        </w:rPr>
        <w:t xml:space="preserve"> </w:t>
      </w:r>
      <w:r>
        <w:rPr>
          <w:sz w:val="18"/>
        </w:rPr>
        <w:t>Anti-Dumping</w:t>
      </w:r>
      <w:r>
        <w:rPr>
          <w:spacing w:val="-3"/>
          <w:sz w:val="18"/>
        </w:rPr>
        <w:t xml:space="preserve"> </w:t>
      </w:r>
      <w:r>
        <w:rPr>
          <w:sz w:val="18"/>
        </w:rPr>
        <w:t>Final Determination</w:t>
      </w:r>
      <w:r>
        <w:rPr>
          <w:spacing w:val="-4"/>
          <w:sz w:val="18"/>
        </w:rPr>
        <w:t xml:space="preserve"> </w:t>
      </w:r>
      <w:r>
        <w:rPr>
          <w:sz w:val="18"/>
        </w:rPr>
        <w:t>(Exhibit</w:t>
      </w:r>
      <w:r>
        <w:rPr>
          <w:spacing w:val="-2"/>
          <w:sz w:val="18"/>
        </w:rPr>
        <w:t xml:space="preserve"> </w:t>
      </w:r>
      <w:r>
        <w:rPr>
          <w:sz w:val="18"/>
        </w:rPr>
        <w:t>AUS-2),</w:t>
      </w:r>
      <w:r>
        <w:rPr>
          <w:spacing w:val="-1"/>
          <w:sz w:val="18"/>
        </w:rPr>
        <w:t xml:space="preserve"> </w:t>
      </w:r>
      <w:r>
        <w:rPr>
          <w:sz w:val="18"/>
        </w:rPr>
        <w:t>p.</w:t>
      </w:r>
      <w:r>
        <w:rPr>
          <w:spacing w:val="-2"/>
          <w:sz w:val="18"/>
        </w:rPr>
        <w:t xml:space="preserve"> </w:t>
      </w:r>
      <w:r>
        <w:rPr>
          <w:sz w:val="18"/>
        </w:rPr>
        <w:t>109: "The</w:t>
      </w:r>
      <w:r>
        <w:rPr>
          <w:spacing w:val="-3"/>
          <w:sz w:val="18"/>
        </w:rPr>
        <w:t xml:space="preserve"> </w:t>
      </w:r>
      <w:r>
        <w:rPr>
          <w:sz w:val="18"/>
        </w:rPr>
        <w:t>Investigating</w:t>
      </w:r>
      <w:r>
        <w:rPr>
          <w:spacing w:val="-3"/>
          <w:sz w:val="18"/>
        </w:rPr>
        <w:t xml:space="preserve"> </w:t>
      </w:r>
      <w:r>
        <w:rPr>
          <w:sz w:val="18"/>
        </w:rPr>
        <w:t>Authority</w:t>
      </w:r>
      <w:r>
        <w:rPr>
          <w:spacing w:val="-5"/>
          <w:sz w:val="18"/>
        </w:rPr>
        <w:t xml:space="preserve"> </w:t>
      </w:r>
      <w:r>
        <w:rPr>
          <w:sz w:val="18"/>
        </w:rPr>
        <w:t>believed</w:t>
      </w:r>
      <w:r>
        <w:rPr>
          <w:spacing w:val="-4"/>
          <w:sz w:val="18"/>
        </w:rPr>
        <w:t xml:space="preserve"> </w:t>
      </w:r>
      <w:r>
        <w:rPr>
          <w:sz w:val="18"/>
        </w:rPr>
        <w:t>that</w:t>
      </w:r>
      <w:r>
        <w:rPr>
          <w:spacing w:val="-2"/>
          <w:sz w:val="18"/>
        </w:rPr>
        <w:t xml:space="preserve"> </w:t>
      </w:r>
      <w:r>
        <w:rPr>
          <w:sz w:val="18"/>
        </w:rPr>
        <w:t>it</w:t>
      </w:r>
      <w:r>
        <w:rPr>
          <w:spacing w:val="-2"/>
          <w:sz w:val="18"/>
        </w:rPr>
        <w:t xml:space="preserve"> </w:t>
      </w:r>
      <w:r>
        <w:rPr>
          <w:sz w:val="18"/>
        </w:rPr>
        <w:t>was</w:t>
      </w:r>
      <w:r>
        <w:rPr>
          <w:spacing w:val="-3"/>
          <w:sz w:val="18"/>
        </w:rPr>
        <w:t xml:space="preserve"> </w:t>
      </w:r>
      <w:r>
        <w:rPr>
          <w:sz w:val="18"/>
        </w:rPr>
        <w:t>reasonable</w:t>
      </w:r>
      <w:r>
        <w:rPr>
          <w:spacing w:val="-3"/>
          <w:sz w:val="18"/>
        </w:rPr>
        <w:t xml:space="preserve"> </w:t>
      </w:r>
      <w:r>
        <w:rPr>
          <w:sz w:val="18"/>
        </w:rPr>
        <w:t>to calculate</w:t>
      </w:r>
      <w:r>
        <w:rPr>
          <w:spacing w:val="-2"/>
          <w:sz w:val="18"/>
        </w:rPr>
        <w:t xml:space="preserve"> </w:t>
      </w:r>
      <w:r>
        <w:rPr>
          <w:sz w:val="18"/>
        </w:rPr>
        <w:t>the overall</w:t>
      </w:r>
      <w:r>
        <w:rPr>
          <w:spacing w:val="-1"/>
          <w:sz w:val="18"/>
        </w:rPr>
        <w:t xml:space="preserve"> </w:t>
      </w:r>
      <w:r>
        <w:rPr>
          <w:sz w:val="18"/>
        </w:rPr>
        <w:t>output</w:t>
      </w:r>
      <w:r>
        <w:rPr>
          <w:spacing w:val="-2"/>
          <w:sz w:val="18"/>
        </w:rPr>
        <w:t xml:space="preserve"> </w:t>
      </w:r>
      <w:r>
        <w:rPr>
          <w:sz w:val="18"/>
        </w:rPr>
        <w:t>by the area of wine</w:t>
      </w:r>
      <w:r>
        <w:rPr>
          <w:spacing w:val="-2"/>
          <w:sz w:val="18"/>
        </w:rPr>
        <w:t xml:space="preserve"> </w:t>
      </w:r>
      <w:r>
        <w:rPr>
          <w:sz w:val="18"/>
        </w:rPr>
        <w:t>grapes, output per acre, wine yield, output and</w:t>
      </w:r>
      <w:r>
        <w:rPr>
          <w:spacing w:val="-3"/>
          <w:sz w:val="18"/>
        </w:rPr>
        <w:t xml:space="preserve"> </w:t>
      </w:r>
      <w:r>
        <w:rPr>
          <w:sz w:val="18"/>
        </w:rPr>
        <w:t>loss of</w:t>
      </w:r>
      <w:r>
        <w:rPr>
          <w:spacing w:val="-1"/>
          <w:sz w:val="18"/>
        </w:rPr>
        <w:t xml:space="preserve"> </w:t>
      </w:r>
      <w:r>
        <w:rPr>
          <w:sz w:val="18"/>
        </w:rPr>
        <w:t>finished wines made from imported wines, and the production proportion of different wines."</w:t>
      </w:r>
    </w:p>
    <w:p w14:paraId="5E50F99E" w14:textId="77777777" w:rsidR="00BD462C" w:rsidRDefault="00033D0F">
      <w:pPr>
        <w:spacing w:before="1"/>
        <w:ind w:left="135"/>
        <w:jc w:val="both"/>
        <w:rPr>
          <w:sz w:val="18"/>
        </w:rPr>
      </w:pPr>
      <w:bookmarkStart w:id="770" w:name="_bookmark662"/>
      <w:bookmarkEnd w:id="770"/>
      <w:r>
        <w:rPr>
          <w:position w:val="5"/>
          <w:sz w:val="12"/>
        </w:rPr>
        <w:t>551</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 xml:space="preserve">submission, para. </w:t>
      </w:r>
      <w:r>
        <w:rPr>
          <w:spacing w:val="-4"/>
          <w:sz w:val="18"/>
        </w:rPr>
        <w:t>918.</w:t>
      </w:r>
    </w:p>
    <w:p w14:paraId="63850D78" w14:textId="77777777" w:rsidR="00BD462C" w:rsidRDefault="00033D0F">
      <w:pPr>
        <w:spacing w:before="1"/>
        <w:ind w:left="135"/>
        <w:jc w:val="both"/>
        <w:rPr>
          <w:sz w:val="18"/>
        </w:rPr>
      </w:pPr>
      <w:bookmarkStart w:id="771" w:name="_bookmark663"/>
      <w:bookmarkEnd w:id="771"/>
      <w:r>
        <w:rPr>
          <w:position w:val="5"/>
          <w:sz w:val="12"/>
        </w:rPr>
        <w:t>552</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 xml:space="preserve">submission, para. </w:t>
      </w:r>
      <w:r>
        <w:rPr>
          <w:spacing w:val="-4"/>
          <w:sz w:val="18"/>
        </w:rPr>
        <w:t>920.</w:t>
      </w:r>
    </w:p>
    <w:p w14:paraId="0262A417" w14:textId="77777777" w:rsidR="00BD462C" w:rsidRDefault="00BD462C">
      <w:pPr>
        <w:jc w:val="both"/>
        <w:rPr>
          <w:sz w:val="18"/>
        </w:rPr>
        <w:sectPr w:rsidR="00BD462C" w:rsidSect="00185AF5">
          <w:pgSz w:w="11910" w:h="16840"/>
          <w:pgMar w:top="860" w:right="500" w:bottom="780" w:left="1134" w:header="566" w:footer="590" w:gutter="0"/>
          <w:cols w:space="720"/>
        </w:sectPr>
      </w:pPr>
    </w:p>
    <w:p w14:paraId="1D3DC4A0"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65ACDF6E"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34045D5F"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267EDA42" w14:textId="77777777" w:rsidR="00BD462C" w:rsidRDefault="00033D0F">
      <w:pPr>
        <w:pStyle w:val="BodyText"/>
        <w:spacing w:before="102" w:line="360" w:lineRule="auto"/>
        <w:ind w:left="136" w:right="914"/>
        <w:jc w:val="both"/>
      </w:pPr>
      <w:r>
        <w:t>the 21 domestic producers that MOFCOM included in its definition of the domestic industry allegedly account for a "very high percentage" of MOFCOM's estimate of the total domestic production, "indicating a very low risk of distortion" and "reducing any risk of distortion".</w:t>
      </w:r>
      <w:hyperlink w:anchor="_bookmark664" w:history="1">
        <w:r>
          <w:rPr>
            <w:vertAlign w:val="superscript"/>
          </w:rPr>
          <w:t>553</w:t>
        </w:r>
      </w:hyperlink>
      <w:r>
        <w:t xml:space="preserve"> In</w:t>
      </w:r>
      <w:r>
        <w:rPr>
          <w:spacing w:val="-5"/>
        </w:rPr>
        <w:t xml:space="preserve"> </w:t>
      </w:r>
      <w:r>
        <w:t>doing</w:t>
      </w:r>
      <w:r>
        <w:rPr>
          <w:spacing w:val="-2"/>
        </w:rPr>
        <w:t xml:space="preserve"> </w:t>
      </w:r>
      <w:r>
        <w:t>so,</w:t>
      </w:r>
      <w:r>
        <w:rPr>
          <w:spacing w:val="-1"/>
        </w:rPr>
        <w:t xml:space="preserve"> </w:t>
      </w:r>
      <w:r>
        <w:t>China</w:t>
      </w:r>
      <w:r>
        <w:rPr>
          <w:spacing w:val="-4"/>
        </w:rPr>
        <w:t xml:space="preserve"> </w:t>
      </w:r>
      <w:r>
        <w:t>fails</w:t>
      </w:r>
      <w:r>
        <w:rPr>
          <w:spacing w:val="-2"/>
        </w:rPr>
        <w:t xml:space="preserve"> </w:t>
      </w:r>
      <w:r>
        <w:t>entirely</w:t>
      </w:r>
      <w:r>
        <w:rPr>
          <w:spacing w:val="-2"/>
        </w:rPr>
        <w:t xml:space="preserve"> </w:t>
      </w:r>
      <w:r>
        <w:t>to</w:t>
      </w:r>
      <w:r>
        <w:rPr>
          <w:spacing w:val="-6"/>
        </w:rPr>
        <w:t xml:space="preserve"> </w:t>
      </w:r>
      <w:r>
        <w:t>address</w:t>
      </w:r>
      <w:r>
        <w:rPr>
          <w:spacing w:val="-2"/>
        </w:rPr>
        <w:t xml:space="preserve"> </w:t>
      </w:r>
      <w:r>
        <w:t>Australia's</w:t>
      </w:r>
      <w:r>
        <w:rPr>
          <w:spacing w:val="-2"/>
        </w:rPr>
        <w:t xml:space="preserve"> </w:t>
      </w:r>
      <w:r>
        <w:t>arguments</w:t>
      </w:r>
      <w:r>
        <w:rPr>
          <w:spacing w:val="-2"/>
        </w:rPr>
        <w:t xml:space="preserve"> </w:t>
      </w:r>
      <w:r>
        <w:t>concerning</w:t>
      </w:r>
      <w:r>
        <w:rPr>
          <w:spacing w:val="-2"/>
        </w:rPr>
        <w:t xml:space="preserve"> </w:t>
      </w:r>
      <w:r>
        <w:t>the</w:t>
      </w:r>
      <w:r>
        <w:rPr>
          <w:spacing w:val="-4"/>
        </w:rPr>
        <w:t xml:space="preserve"> </w:t>
      </w:r>
      <w:r>
        <w:t>nature</w:t>
      </w:r>
      <w:r>
        <w:rPr>
          <w:spacing w:val="-3"/>
        </w:rPr>
        <w:t xml:space="preserve"> </w:t>
      </w:r>
      <w:r>
        <w:t>of the data upon which MOFCOM relied. At most, China briefly argues that "MOFCOM actively sought out additional information to ascertain the actual volume of total production in the industry",</w:t>
      </w:r>
      <w:hyperlink w:anchor="_bookmark665" w:history="1">
        <w:r>
          <w:rPr>
            <w:vertAlign w:val="superscript"/>
          </w:rPr>
          <w:t>554</w:t>
        </w:r>
      </w:hyperlink>
      <w:r>
        <w:rPr>
          <w:spacing w:val="-7"/>
        </w:rPr>
        <w:t xml:space="preserve"> </w:t>
      </w:r>
      <w:r>
        <w:t>but</w:t>
      </w:r>
      <w:r>
        <w:rPr>
          <w:spacing w:val="-8"/>
        </w:rPr>
        <w:t xml:space="preserve"> </w:t>
      </w:r>
      <w:r>
        <w:t>does</w:t>
      </w:r>
      <w:r>
        <w:rPr>
          <w:spacing w:val="-7"/>
        </w:rPr>
        <w:t xml:space="preserve"> </w:t>
      </w:r>
      <w:r>
        <w:t>not</w:t>
      </w:r>
      <w:r>
        <w:rPr>
          <w:spacing w:val="-8"/>
        </w:rPr>
        <w:t xml:space="preserve"> </w:t>
      </w:r>
      <w:r>
        <w:t>explain</w:t>
      </w:r>
      <w:r>
        <w:rPr>
          <w:spacing w:val="-10"/>
        </w:rPr>
        <w:t xml:space="preserve"> </w:t>
      </w:r>
      <w:r>
        <w:rPr>
          <w:i/>
        </w:rPr>
        <w:t>how</w:t>
      </w:r>
      <w:r>
        <w:rPr>
          <w:i/>
          <w:spacing w:val="-12"/>
        </w:rPr>
        <w:t xml:space="preserve"> </w:t>
      </w:r>
      <w:r>
        <w:t>this</w:t>
      </w:r>
      <w:r>
        <w:rPr>
          <w:spacing w:val="-11"/>
        </w:rPr>
        <w:t xml:space="preserve"> </w:t>
      </w:r>
      <w:r>
        <w:t>information</w:t>
      </w:r>
      <w:r>
        <w:rPr>
          <w:spacing w:val="-10"/>
        </w:rPr>
        <w:t xml:space="preserve"> </w:t>
      </w:r>
      <w:r>
        <w:t>was</w:t>
      </w:r>
      <w:r>
        <w:rPr>
          <w:spacing w:val="-7"/>
        </w:rPr>
        <w:t xml:space="preserve"> </w:t>
      </w:r>
      <w:r>
        <w:t>based</w:t>
      </w:r>
      <w:r>
        <w:rPr>
          <w:spacing w:val="-10"/>
        </w:rPr>
        <w:t xml:space="preserve"> </w:t>
      </w:r>
      <w:r>
        <w:t>on</w:t>
      </w:r>
      <w:r>
        <w:rPr>
          <w:spacing w:val="-10"/>
        </w:rPr>
        <w:t xml:space="preserve"> </w:t>
      </w:r>
      <w:r>
        <w:t>an</w:t>
      </w:r>
      <w:r>
        <w:rPr>
          <w:spacing w:val="-10"/>
        </w:rPr>
        <w:t xml:space="preserve"> </w:t>
      </w:r>
      <w:r>
        <w:t>objective</w:t>
      </w:r>
      <w:r>
        <w:rPr>
          <w:spacing w:val="-8"/>
        </w:rPr>
        <w:t xml:space="preserve"> </w:t>
      </w:r>
      <w:r>
        <w:t>assessment of positive evidence.</w:t>
      </w:r>
    </w:p>
    <w:p w14:paraId="6B87DA29" w14:textId="77777777" w:rsidR="00BD462C" w:rsidRDefault="00BD462C">
      <w:pPr>
        <w:pStyle w:val="BodyText"/>
        <w:spacing w:before="7"/>
        <w:rPr>
          <w:sz w:val="8"/>
        </w:rPr>
      </w:pPr>
    </w:p>
    <w:p w14:paraId="55C93BF9" w14:textId="01057123" w:rsidR="00BD462C" w:rsidRDefault="00033D0F" w:rsidP="00C37A4F">
      <w:pPr>
        <w:pStyle w:val="BodyText"/>
        <w:numPr>
          <w:ilvl w:val="0"/>
          <w:numId w:val="77"/>
        </w:numPr>
        <w:spacing w:before="56" w:line="360" w:lineRule="auto"/>
        <w:ind w:right="912"/>
        <w:jc w:val="both"/>
      </w:pPr>
      <w:r>
        <w:rPr>
          <w:position w:val="1"/>
        </w:rPr>
        <w:t>China</w:t>
      </w:r>
      <w:r>
        <w:rPr>
          <w:spacing w:val="-3"/>
          <w:position w:val="1"/>
        </w:rPr>
        <w:t xml:space="preserve"> </w:t>
      </w:r>
      <w:r>
        <w:rPr>
          <w:position w:val="1"/>
        </w:rPr>
        <w:t>implies</w:t>
      </w:r>
      <w:r>
        <w:rPr>
          <w:spacing w:val="-6"/>
          <w:position w:val="1"/>
        </w:rPr>
        <w:t xml:space="preserve"> </w:t>
      </w:r>
      <w:r>
        <w:rPr>
          <w:position w:val="1"/>
        </w:rPr>
        <w:t>that</w:t>
      </w:r>
      <w:r>
        <w:rPr>
          <w:spacing w:val="-2"/>
          <w:position w:val="1"/>
        </w:rPr>
        <w:t xml:space="preserve"> </w:t>
      </w:r>
      <w:r>
        <w:rPr>
          <w:position w:val="1"/>
        </w:rPr>
        <w:t>Exhibit</w:t>
      </w:r>
      <w:r>
        <w:rPr>
          <w:spacing w:val="-7"/>
          <w:position w:val="1"/>
        </w:rPr>
        <w:t xml:space="preserve"> </w:t>
      </w:r>
      <w:r>
        <w:rPr>
          <w:position w:val="1"/>
        </w:rPr>
        <w:t>CHN-32</w:t>
      </w:r>
      <w:r>
        <w:rPr>
          <w:spacing w:val="-5"/>
          <w:position w:val="1"/>
        </w:rPr>
        <w:t xml:space="preserve"> </w:t>
      </w:r>
      <w:r>
        <w:rPr>
          <w:position w:val="1"/>
        </w:rPr>
        <w:t>(BCI)</w:t>
      </w:r>
      <w:r>
        <w:rPr>
          <w:spacing w:val="-4"/>
          <w:position w:val="1"/>
        </w:rPr>
        <w:t xml:space="preserve"> </w:t>
      </w:r>
      <w:r>
        <w:rPr>
          <w:position w:val="1"/>
        </w:rPr>
        <w:t>reflected</w:t>
      </w:r>
      <w:r>
        <w:rPr>
          <w:spacing w:val="-4"/>
          <w:position w:val="1"/>
        </w:rPr>
        <w:t xml:space="preserve"> </w:t>
      </w:r>
      <w:r>
        <w:rPr>
          <w:position w:val="1"/>
        </w:rPr>
        <w:t>the</w:t>
      </w:r>
      <w:r>
        <w:rPr>
          <w:spacing w:val="-2"/>
          <w:position w:val="1"/>
        </w:rPr>
        <w:t xml:space="preserve"> </w:t>
      </w:r>
      <w:r>
        <w:rPr>
          <w:position w:val="1"/>
        </w:rPr>
        <w:t>evidence</w:t>
      </w:r>
      <w:r>
        <w:rPr>
          <w:spacing w:val="-2"/>
          <w:position w:val="1"/>
        </w:rPr>
        <w:t xml:space="preserve"> </w:t>
      </w:r>
      <w:r>
        <w:rPr>
          <w:position w:val="1"/>
        </w:rPr>
        <w:t>MOFCOM</w:t>
      </w:r>
      <w:r>
        <w:rPr>
          <w:spacing w:val="-2"/>
          <w:position w:val="1"/>
        </w:rPr>
        <w:t xml:space="preserve"> </w:t>
      </w:r>
      <w:r>
        <w:rPr>
          <w:position w:val="1"/>
        </w:rPr>
        <w:t>relied</w:t>
      </w:r>
      <w:r>
        <w:rPr>
          <w:spacing w:val="-4"/>
          <w:position w:val="1"/>
        </w:rPr>
        <w:t xml:space="preserve"> </w:t>
      </w:r>
      <w:r>
        <w:rPr>
          <w:position w:val="1"/>
        </w:rPr>
        <w:t xml:space="preserve">upon </w:t>
      </w:r>
      <w:r>
        <w:t>for</w:t>
      </w:r>
      <w:r>
        <w:rPr>
          <w:spacing w:val="-5"/>
        </w:rPr>
        <w:t xml:space="preserve"> </w:t>
      </w:r>
      <w:r>
        <w:t>its</w:t>
      </w:r>
      <w:r>
        <w:rPr>
          <w:spacing w:val="-1"/>
        </w:rPr>
        <w:t xml:space="preserve"> </w:t>
      </w:r>
      <w:r>
        <w:t>definition</w:t>
      </w:r>
      <w:r>
        <w:rPr>
          <w:spacing w:val="-4"/>
        </w:rPr>
        <w:t xml:space="preserve"> </w:t>
      </w:r>
      <w:r>
        <w:t>of</w:t>
      </w:r>
      <w:r>
        <w:rPr>
          <w:spacing w:val="-4"/>
        </w:rPr>
        <w:t xml:space="preserve"> </w:t>
      </w:r>
      <w:r>
        <w:t>the</w:t>
      </w:r>
      <w:r>
        <w:rPr>
          <w:spacing w:val="-3"/>
        </w:rPr>
        <w:t xml:space="preserve"> </w:t>
      </w:r>
      <w:r>
        <w:t>domestic</w:t>
      </w:r>
      <w:r>
        <w:rPr>
          <w:spacing w:val="-3"/>
        </w:rPr>
        <w:t xml:space="preserve"> </w:t>
      </w:r>
      <w:r>
        <w:t>industry.</w:t>
      </w:r>
      <w:hyperlink w:anchor="_bookmark666" w:history="1">
        <w:r>
          <w:rPr>
            <w:vertAlign w:val="superscript"/>
          </w:rPr>
          <w:t>555</w:t>
        </w:r>
      </w:hyperlink>
      <w:r>
        <w:rPr>
          <w:spacing w:val="-2"/>
        </w:rPr>
        <w:t xml:space="preserve"> </w:t>
      </w:r>
      <w:r>
        <w:t>This</w:t>
      </w:r>
      <w:r>
        <w:rPr>
          <w:spacing w:val="-1"/>
        </w:rPr>
        <w:t xml:space="preserve"> </w:t>
      </w:r>
      <w:r>
        <w:t>evidence</w:t>
      </w:r>
      <w:r>
        <w:rPr>
          <w:spacing w:val="-2"/>
        </w:rPr>
        <w:t xml:space="preserve"> </w:t>
      </w:r>
      <w:r>
        <w:t>was</w:t>
      </w:r>
      <w:r>
        <w:rPr>
          <w:spacing w:val="-1"/>
        </w:rPr>
        <w:t xml:space="preserve"> </w:t>
      </w:r>
      <w:r>
        <w:t>vague,</w:t>
      </w:r>
      <w:r>
        <w:rPr>
          <w:spacing w:val="-5"/>
        </w:rPr>
        <w:t xml:space="preserve"> </w:t>
      </w:r>
      <w:r>
        <w:t>imprecise, and</w:t>
      </w:r>
      <w:r>
        <w:rPr>
          <w:spacing w:val="-4"/>
        </w:rPr>
        <w:t xml:space="preserve"> </w:t>
      </w:r>
      <w:r>
        <w:t>at</w:t>
      </w:r>
      <w:r>
        <w:rPr>
          <w:spacing w:val="-2"/>
        </w:rPr>
        <w:t xml:space="preserve"> </w:t>
      </w:r>
      <w:r>
        <w:t>odds with</w:t>
      </w:r>
      <w:r>
        <w:rPr>
          <w:spacing w:val="-11"/>
        </w:rPr>
        <w:t xml:space="preserve"> </w:t>
      </w:r>
      <w:r>
        <w:t>other</w:t>
      </w:r>
      <w:r>
        <w:rPr>
          <w:spacing w:val="-12"/>
        </w:rPr>
        <w:t xml:space="preserve"> </w:t>
      </w:r>
      <w:r>
        <w:t>evidence</w:t>
      </w:r>
      <w:r>
        <w:rPr>
          <w:spacing w:val="-9"/>
        </w:rPr>
        <w:t xml:space="preserve"> </w:t>
      </w:r>
      <w:r>
        <w:t>on</w:t>
      </w:r>
      <w:r>
        <w:rPr>
          <w:spacing w:val="-11"/>
        </w:rPr>
        <w:t xml:space="preserve"> </w:t>
      </w:r>
      <w:r>
        <w:t>the</w:t>
      </w:r>
      <w:r>
        <w:rPr>
          <w:spacing w:val="-9"/>
        </w:rPr>
        <w:t xml:space="preserve"> </w:t>
      </w:r>
      <w:r>
        <w:t>record,</w:t>
      </w:r>
      <w:r>
        <w:rPr>
          <w:spacing w:val="-7"/>
        </w:rPr>
        <w:t xml:space="preserve"> </w:t>
      </w:r>
      <w:r>
        <w:t>as</w:t>
      </w:r>
      <w:r>
        <w:rPr>
          <w:spacing w:val="-8"/>
        </w:rPr>
        <w:t xml:space="preserve"> </w:t>
      </w:r>
      <w:r>
        <w:t>elaborated</w:t>
      </w:r>
      <w:r>
        <w:rPr>
          <w:spacing w:val="-11"/>
        </w:rPr>
        <w:t xml:space="preserve"> </w:t>
      </w:r>
      <w:r>
        <w:t>below.</w:t>
      </w:r>
      <w:r>
        <w:rPr>
          <w:spacing w:val="-8"/>
        </w:rPr>
        <w:t xml:space="preserve"> </w:t>
      </w:r>
      <w:r>
        <w:t>China's</w:t>
      </w:r>
      <w:r>
        <w:rPr>
          <w:spacing w:val="-8"/>
        </w:rPr>
        <w:t xml:space="preserve"> </w:t>
      </w:r>
      <w:r>
        <w:t>exhibit</w:t>
      </w:r>
      <w:r>
        <w:rPr>
          <w:spacing w:val="-9"/>
        </w:rPr>
        <w:t xml:space="preserve"> </w:t>
      </w:r>
      <w:r>
        <w:t>does</w:t>
      </w:r>
      <w:r>
        <w:rPr>
          <w:spacing w:val="-8"/>
        </w:rPr>
        <w:t xml:space="preserve"> </w:t>
      </w:r>
      <w:r>
        <w:t>not</w:t>
      </w:r>
      <w:r>
        <w:rPr>
          <w:spacing w:val="-9"/>
        </w:rPr>
        <w:t xml:space="preserve"> </w:t>
      </w:r>
      <w:r>
        <w:t>indicate</w:t>
      </w:r>
      <w:r>
        <w:rPr>
          <w:spacing w:val="-9"/>
        </w:rPr>
        <w:t xml:space="preserve"> </w:t>
      </w:r>
      <w:r>
        <w:t>that MOFCOM's estimate was positive evidence that led to accurate injury analysis. Instead, this exhibit reveals the significant deficiencies with MOFCOM's estimation of total domestic production and demonstrates that MOFCOM remained passive in the face of possible shortcomings in the evidence that it relied upon.</w:t>
      </w:r>
    </w:p>
    <w:p w14:paraId="240E9AA6" w14:textId="48547A49" w:rsidR="00BD462C" w:rsidRDefault="00D90CE6">
      <w:pPr>
        <w:pStyle w:val="BodyText"/>
        <w:spacing w:before="11"/>
        <w:rPr>
          <w:sz w:val="8"/>
        </w:rPr>
      </w:pPr>
      <w:r>
        <w:rPr>
          <w:noProof/>
        </w:rPr>
        <mc:AlternateContent>
          <mc:Choice Requires="wps">
            <w:drawing>
              <wp:anchor distT="0" distB="0" distL="114300" distR="114300" simplePos="0" relativeHeight="488346112" behindDoc="1" locked="0" layoutInCell="1" allowOverlap="1" wp14:anchorId="689403BB" wp14:editId="4195EE04">
                <wp:simplePos x="0" y="0"/>
                <wp:positionH relativeFrom="page">
                  <wp:posOffset>4555490</wp:posOffset>
                </wp:positionH>
                <wp:positionV relativeFrom="paragraph">
                  <wp:posOffset>68580</wp:posOffset>
                </wp:positionV>
                <wp:extent cx="579120" cy="186055"/>
                <wp:effectExtent l="0" t="0" r="0" b="4445"/>
                <wp:wrapNone/>
                <wp:docPr id="1380" name="docshape3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57582D" id="docshape322" o:spid="_x0000_s1026" alt="&quot;&quot;" style="position:absolute;margin-left:358.7pt;margin-top:5.4pt;width:45.6pt;height:14.65pt;z-index:-14970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" fillcolor="black" stroked="f">
                <w10:wrap anchorx="page"/>
              </v:rect>
            </w:pict>
          </mc:Fallback>
        </mc:AlternateContent>
      </w:r>
    </w:p>
    <w:p w14:paraId="5F4F87F4" w14:textId="70ABC1D7" w:rsidR="00BD462C" w:rsidRDefault="00D90CE6" w:rsidP="00D90CE6">
      <w:pPr>
        <w:pStyle w:val="BodyText"/>
        <w:numPr>
          <w:ilvl w:val="1"/>
          <w:numId w:val="3"/>
        </w:numPr>
        <w:spacing w:before="51"/>
      </w:pPr>
      <w:bookmarkStart w:id="772" w:name="(a)_Specific_data_issues_with_[[XXXXX]]_"/>
      <w:bookmarkEnd w:id="772"/>
      <w:r>
        <w:rPr>
          <w:spacing w:val="-5"/>
          <w:u w:val="single"/>
        </w:rPr>
        <w:t>Specific data issues with</w:t>
      </w:r>
      <w:r>
        <w:rPr>
          <w:spacing w:val="-5"/>
          <w:u w:val="single"/>
        </w:rPr>
        <w:tab/>
        <w:t xml:space="preserve"> </w:t>
      </w:r>
      <w:r>
        <w:rPr>
          <w:spacing w:val="-5"/>
          <w:u w:val="single"/>
        </w:rPr>
        <w:tab/>
        <w:t>total domestic</w:t>
      </w:r>
    </w:p>
    <w:p w14:paraId="091F7795" w14:textId="77777777" w:rsidR="00BD462C" w:rsidRDefault="00033D0F">
      <w:pPr>
        <w:pStyle w:val="BodyText"/>
        <w:spacing w:before="144"/>
        <w:ind w:left="3539"/>
      </w:pPr>
      <w:r>
        <w:rPr>
          <w:u w:val="single"/>
        </w:rPr>
        <w:t>production</w:t>
      </w:r>
      <w:r>
        <w:rPr>
          <w:spacing w:val="-9"/>
          <w:u w:val="single"/>
        </w:rPr>
        <w:t xml:space="preserve"> </w:t>
      </w:r>
      <w:r>
        <w:rPr>
          <w:spacing w:val="-2"/>
          <w:u w:val="single"/>
        </w:rPr>
        <w:t>calculations</w:t>
      </w:r>
    </w:p>
    <w:p w14:paraId="173B3DBD" w14:textId="77777777" w:rsidR="00BD462C" w:rsidRDefault="00BD462C">
      <w:pPr>
        <w:pStyle w:val="BodyText"/>
        <w:spacing w:before="11"/>
        <w:rPr>
          <w:sz w:val="20"/>
        </w:rPr>
      </w:pPr>
    </w:p>
    <w:p w14:paraId="56BC2E63" w14:textId="7DB8E767" w:rsidR="00BD462C" w:rsidRDefault="00D70C7D" w:rsidP="00C37A4F">
      <w:pPr>
        <w:pStyle w:val="BodyText"/>
        <w:numPr>
          <w:ilvl w:val="0"/>
          <w:numId w:val="77"/>
        </w:numPr>
        <w:spacing w:before="56" w:line="357" w:lineRule="auto"/>
        <w:ind w:right="923"/>
      </w:pPr>
      <w:r>
        <w:rPr>
          <w:noProof/>
        </w:rPr>
        <mc:AlternateContent>
          <mc:Choice Requires="wps">
            <w:drawing>
              <wp:anchor distT="0" distB="0" distL="114300" distR="114300" simplePos="0" relativeHeight="479037440" behindDoc="1" locked="0" layoutInCell="1" allowOverlap="1" wp14:anchorId="7B92C70B" wp14:editId="682A6503">
                <wp:simplePos x="0" y="0"/>
                <wp:positionH relativeFrom="page">
                  <wp:posOffset>1755569</wp:posOffset>
                </wp:positionH>
                <wp:positionV relativeFrom="paragraph">
                  <wp:posOffset>31750</wp:posOffset>
                </wp:positionV>
                <wp:extent cx="579120" cy="186055"/>
                <wp:effectExtent l="0" t="0" r="0" b="4445"/>
                <wp:wrapNone/>
                <wp:docPr id="788" name="docshape3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1184C7" id="docshape322" o:spid="_x0000_s1026" alt="&quot;&quot;" style="position:absolute;margin-left:138.25pt;margin-top:2.5pt;width:45.6pt;height:14.65pt;z-index:-24279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" fillcolor="black" stroked="f">
                <w10:wrap anchorx="page"/>
              </v:rect>
            </w:pict>
          </mc:Fallback>
        </mc:AlternateContent>
      </w:r>
      <w:r w:rsidR="00033D0F">
        <w:rPr>
          <w:rFonts w:ascii="Times New Roman"/>
          <w:spacing w:val="80"/>
          <w:w w:val="150"/>
          <w:position w:val="1"/>
          <w:sz w:val="20"/>
        </w:rPr>
        <w:t xml:space="preserve">       </w:t>
      </w:r>
      <w:r w:rsidR="00033D0F">
        <w:rPr>
          <w:position w:val="1"/>
        </w:rPr>
        <w:t>failed</w:t>
      </w:r>
      <w:r w:rsidR="00033D0F">
        <w:rPr>
          <w:spacing w:val="-4"/>
          <w:position w:val="1"/>
        </w:rPr>
        <w:t xml:space="preserve"> </w:t>
      </w:r>
      <w:r w:rsidR="00033D0F">
        <w:rPr>
          <w:position w:val="1"/>
        </w:rPr>
        <w:t>to</w:t>
      </w:r>
      <w:r w:rsidR="00033D0F">
        <w:rPr>
          <w:spacing w:val="-5"/>
          <w:position w:val="1"/>
        </w:rPr>
        <w:t xml:space="preserve"> </w:t>
      </w:r>
      <w:r w:rsidR="00033D0F">
        <w:rPr>
          <w:position w:val="1"/>
        </w:rPr>
        <w:t>provide</w:t>
      </w:r>
      <w:r w:rsidR="00033D0F">
        <w:rPr>
          <w:spacing w:val="-3"/>
          <w:position w:val="1"/>
        </w:rPr>
        <w:t xml:space="preserve"> </w:t>
      </w:r>
      <w:r w:rsidR="00033D0F">
        <w:rPr>
          <w:position w:val="1"/>
        </w:rPr>
        <w:t>adequate</w:t>
      </w:r>
      <w:r w:rsidR="00033D0F">
        <w:rPr>
          <w:spacing w:val="-2"/>
          <w:position w:val="1"/>
        </w:rPr>
        <w:t xml:space="preserve"> </w:t>
      </w:r>
      <w:r w:rsidR="00033D0F">
        <w:rPr>
          <w:position w:val="1"/>
        </w:rPr>
        <w:t>detail regarding</w:t>
      </w:r>
      <w:r w:rsidR="00033D0F">
        <w:rPr>
          <w:spacing w:val="-1"/>
          <w:position w:val="1"/>
        </w:rPr>
        <w:t xml:space="preserve"> </w:t>
      </w:r>
      <w:r w:rsidR="00033D0F">
        <w:rPr>
          <w:position w:val="1"/>
        </w:rPr>
        <w:t>the</w:t>
      </w:r>
      <w:r w:rsidR="00033D0F">
        <w:rPr>
          <w:spacing w:val="-3"/>
          <w:position w:val="1"/>
        </w:rPr>
        <w:t xml:space="preserve"> </w:t>
      </w:r>
      <w:r w:rsidR="00033D0F">
        <w:rPr>
          <w:position w:val="1"/>
        </w:rPr>
        <w:t>basis</w:t>
      </w:r>
      <w:r w:rsidR="00033D0F">
        <w:rPr>
          <w:spacing w:val="-1"/>
          <w:position w:val="1"/>
        </w:rPr>
        <w:t xml:space="preserve"> </w:t>
      </w:r>
      <w:r w:rsidR="00033D0F">
        <w:rPr>
          <w:position w:val="1"/>
        </w:rPr>
        <w:t>for</w:t>
      </w:r>
      <w:r w:rsidR="00033D0F">
        <w:rPr>
          <w:spacing w:val="-5"/>
          <w:position w:val="1"/>
        </w:rPr>
        <w:t xml:space="preserve"> </w:t>
      </w:r>
      <w:r w:rsidR="00033D0F">
        <w:rPr>
          <w:position w:val="1"/>
        </w:rPr>
        <w:t>most</w:t>
      </w:r>
      <w:r w:rsidR="00033D0F">
        <w:rPr>
          <w:spacing w:val="-2"/>
          <w:position w:val="1"/>
        </w:rPr>
        <w:t xml:space="preserve"> </w:t>
      </w:r>
      <w:r w:rsidR="00033D0F">
        <w:rPr>
          <w:position w:val="1"/>
        </w:rPr>
        <w:t>of</w:t>
      </w:r>
      <w:r w:rsidR="00033D0F">
        <w:rPr>
          <w:spacing w:val="-4"/>
          <w:position w:val="1"/>
        </w:rPr>
        <w:t xml:space="preserve"> </w:t>
      </w:r>
      <w:r w:rsidR="00033D0F">
        <w:rPr>
          <w:position w:val="1"/>
        </w:rPr>
        <w:t>its</w:t>
      </w:r>
      <w:r w:rsidR="00033D0F">
        <w:rPr>
          <w:spacing w:val="-1"/>
          <w:position w:val="1"/>
        </w:rPr>
        <w:t xml:space="preserve"> </w:t>
      </w:r>
      <w:r w:rsidR="00033D0F">
        <w:rPr>
          <w:position w:val="1"/>
        </w:rPr>
        <w:t xml:space="preserve">inputs, </w:t>
      </w:r>
      <w:r w:rsidR="00033D0F">
        <w:t>which were relied upon by MOFCOM. For example:</w:t>
      </w:r>
    </w:p>
    <w:p w14:paraId="0C4C64AF" w14:textId="64B966AE" w:rsidR="00BD462C" w:rsidRDefault="00D70C7D">
      <w:pPr>
        <w:pStyle w:val="ListParagraph"/>
        <w:numPr>
          <w:ilvl w:val="0"/>
          <w:numId w:val="57"/>
        </w:numPr>
        <w:tabs>
          <w:tab w:val="left" w:pos="2814"/>
          <w:tab w:val="left" w:pos="2815"/>
        </w:tabs>
        <w:spacing w:before="157" w:line="360" w:lineRule="auto"/>
        <w:ind w:right="917" w:hanging="855"/>
        <w:jc w:val="both"/>
        <w:rPr>
          <w:sz w:val="24"/>
        </w:rPr>
      </w:pPr>
      <w:r>
        <w:rPr>
          <w:noProof/>
        </w:rPr>
        <mc:AlternateContent>
          <mc:Choice Requires="wps">
            <w:drawing>
              <wp:anchor distT="0" distB="0" distL="114300" distR="114300" simplePos="0" relativeHeight="479037952" behindDoc="1" locked="0" layoutInCell="1" allowOverlap="1" wp14:anchorId="6960AB1B" wp14:editId="1D1CDA58">
                <wp:simplePos x="0" y="0"/>
                <wp:positionH relativeFrom="page">
                  <wp:posOffset>1978025</wp:posOffset>
                </wp:positionH>
                <wp:positionV relativeFrom="paragraph">
                  <wp:posOffset>100330</wp:posOffset>
                </wp:positionV>
                <wp:extent cx="579120" cy="194945"/>
                <wp:effectExtent l="0" t="0" r="0" b="0"/>
                <wp:wrapNone/>
                <wp:docPr id="786" name="docshape3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 cy="1949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C4D44B" id="docshape323" o:spid="_x0000_s1026" alt="&quot;&quot;" style="position:absolute;margin-left:155.75pt;margin-top:7.9pt;width:45.6pt;height:15.35pt;z-index:-24278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" fillcolor="black" stroked="f">
                <w10:wrap anchorx="page"/>
              </v:rect>
            </w:pict>
          </mc:Fallback>
        </mc:AlternateContent>
      </w:r>
      <w:r w:rsidR="00033D0F">
        <w:tab/>
      </w:r>
      <w:r w:rsidR="00033D0F">
        <w:rPr>
          <w:sz w:val="24"/>
        </w:rPr>
        <w:t>failed to indicate the underlying basis for the plantation area for each year of the period of the investigation and which domestic producers this sought to represent;</w:t>
      </w:r>
      <w:hyperlink w:anchor="_bookmark667" w:history="1">
        <w:r w:rsidR="00033D0F">
          <w:rPr>
            <w:sz w:val="24"/>
            <w:vertAlign w:val="superscript"/>
          </w:rPr>
          <w:t>556</w:t>
        </w:r>
      </w:hyperlink>
    </w:p>
    <w:p w14:paraId="69BF4372" w14:textId="5F696F54" w:rsidR="00BD462C" w:rsidRDefault="00D70C7D">
      <w:pPr>
        <w:pStyle w:val="ListParagraph"/>
        <w:numPr>
          <w:ilvl w:val="0"/>
          <w:numId w:val="57"/>
        </w:numPr>
        <w:tabs>
          <w:tab w:val="left" w:pos="2900"/>
          <w:tab w:val="left" w:pos="2901"/>
        </w:tabs>
        <w:spacing w:before="122" w:line="357" w:lineRule="auto"/>
        <w:ind w:right="920" w:hanging="855"/>
        <w:jc w:val="both"/>
        <w:rPr>
          <w:sz w:val="24"/>
        </w:rPr>
      </w:pPr>
      <w:r>
        <w:rPr>
          <w:noProof/>
        </w:rPr>
        <mc:AlternateContent>
          <mc:Choice Requires="wps">
            <w:drawing>
              <wp:anchor distT="0" distB="0" distL="114300" distR="114300" simplePos="0" relativeHeight="479038464" behindDoc="1" locked="0" layoutInCell="1" allowOverlap="1" wp14:anchorId="3C9116A2" wp14:editId="76F133CA">
                <wp:simplePos x="0" y="0"/>
                <wp:positionH relativeFrom="page">
                  <wp:posOffset>1978025</wp:posOffset>
                </wp:positionH>
                <wp:positionV relativeFrom="paragraph">
                  <wp:posOffset>78105</wp:posOffset>
                </wp:positionV>
                <wp:extent cx="582295" cy="191770"/>
                <wp:effectExtent l="0" t="0" r="0" b="0"/>
                <wp:wrapNone/>
                <wp:docPr id="784" name="docshape3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295" cy="1917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C3F08C" id="docshape324" o:spid="_x0000_s1026" alt="&quot;&quot;" style="position:absolute;margin-left:155.75pt;margin-top:6.15pt;width:45.85pt;height:15.1pt;z-index:-24278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" fillcolor="black" stroked="f">
                <w10:wrap anchorx="page"/>
              </v:rect>
            </w:pict>
          </mc:Fallback>
        </mc:AlternateContent>
      </w:r>
      <w:r w:rsidR="00033D0F">
        <w:tab/>
      </w:r>
      <w:r w:rsidR="00033D0F">
        <w:rPr>
          <w:sz w:val="24"/>
        </w:rPr>
        <w:t>"</w:t>
      </w:r>
      <w:proofErr w:type="gramStart"/>
      <w:r w:rsidR="00033D0F">
        <w:rPr>
          <w:sz w:val="24"/>
        </w:rPr>
        <w:t>considered</w:t>
      </w:r>
      <w:proofErr w:type="gramEnd"/>
      <w:r w:rsidR="00033D0F">
        <w:rPr>
          <w:sz w:val="24"/>
        </w:rPr>
        <w:t xml:space="preserve"> the average yield per acre, based on various factors",</w:t>
      </w:r>
      <w:hyperlink w:anchor="_bookmark668" w:history="1">
        <w:r w:rsidR="00033D0F">
          <w:rPr>
            <w:sz w:val="24"/>
            <w:vertAlign w:val="superscript"/>
          </w:rPr>
          <w:t>557</w:t>
        </w:r>
      </w:hyperlink>
      <w:r w:rsidR="00033D0F">
        <w:rPr>
          <w:sz w:val="24"/>
        </w:rPr>
        <w:t xml:space="preserve"> without listing any of these factors;</w:t>
      </w:r>
    </w:p>
    <w:p w14:paraId="698B5D41" w14:textId="77777777" w:rsidR="00BD462C" w:rsidRDefault="00BD462C">
      <w:pPr>
        <w:pStyle w:val="BodyText"/>
        <w:rPr>
          <w:sz w:val="20"/>
        </w:rPr>
      </w:pPr>
    </w:p>
    <w:p w14:paraId="22857596" w14:textId="05C01143" w:rsidR="00BD462C" w:rsidRDefault="00D70C7D">
      <w:pPr>
        <w:pStyle w:val="BodyText"/>
        <w:spacing w:before="7"/>
        <w:rPr>
          <w:sz w:val="19"/>
        </w:rPr>
      </w:pPr>
      <w:r>
        <w:rPr>
          <w:noProof/>
        </w:rPr>
        <mc:AlternateContent>
          <mc:Choice Requires="wps">
            <w:drawing>
              <wp:anchor distT="0" distB="0" distL="0" distR="0" simplePos="0" relativeHeight="487735296" behindDoc="1" locked="0" layoutInCell="1" allowOverlap="1" wp14:anchorId="251E06F1" wp14:editId="1E5CB3B6">
                <wp:simplePos x="0" y="0"/>
                <wp:positionH relativeFrom="page">
                  <wp:posOffset>899160</wp:posOffset>
                </wp:positionH>
                <wp:positionV relativeFrom="paragraph">
                  <wp:posOffset>167005</wp:posOffset>
                </wp:positionV>
                <wp:extent cx="1828800" cy="8890"/>
                <wp:effectExtent l="0" t="0" r="0" b="0"/>
                <wp:wrapTopAndBottom/>
                <wp:docPr id="782" name="docshape3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B25437" id="docshape325" o:spid="_x0000_s1026" alt="&quot;&quot;" style="position:absolute;margin-left:70.8pt;margin-top:13.15pt;width:2in;height:.7pt;z-index:-15581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" fillcolor="black" stroked="f">
                <w10:wrap type="topAndBottom" anchorx="page"/>
              </v:rect>
            </w:pict>
          </mc:Fallback>
        </mc:AlternateContent>
      </w:r>
    </w:p>
    <w:p w14:paraId="74FCAF57" w14:textId="77777777" w:rsidR="00BD462C" w:rsidRDefault="00BD462C">
      <w:pPr>
        <w:pStyle w:val="BodyText"/>
        <w:spacing w:before="8"/>
        <w:rPr>
          <w:sz w:val="5"/>
        </w:rPr>
      </w:pPr>
    </w:p>
    <w:p w14:paraId="1CDF911F" w14:textId="77777777" w:rsidR="00BD462C" w:rsidRDefault="00BD462C">
      <w:pPr>
        <w:rPr>
          <w:sz w:val="5"/>
        </w:rPr>
        <w:sectPr w:rsidR="00BD462C">
          <w:pgSz w:w="11910" w:h="16840"/>
          <w:pgMar w:top="860" w:right="500" w:bottom="780" w:left="1280" w:header="566" w:footer="590" w:gutter="0"/>
          <w:cols w:space="720"/>
        </w:sectPr>
      </w:pPr>
    </w:p>
    <w:p w14:paraId="47CF171F" w14:textId="77777777" w:rsidR="00BD462C" w:rsidRDefault="00033D0F">
      <w:pPr>
        <w:spacing w:before="42"/>
        <w:ind w:left="135"/>
        <w:rPr>
          <w:sz w:val="18"/>
        </w:rPr>
      </w:pPr>
      <w:bookmarkStart w:id="773" w:name="_bookmark664"/>
      <w:bookmarkEnd w:id="773"/>
      <w:r>
        <w:rPr>
          <w:position w:val="5"/>
          <w:sz w:val="12"/>
        </w:rPr>
        <w:t>553</w:t>
      </w:r>
      <w:r>
        <w:rPr>
          <w:spacing w:val="13"/>
          <w:position w:val="5"/>
          <w:sz w:val="12"/>
        </w:rPr>
        <w:t xml:space="preserve"> </w:t>
      </w:r>
      <w:r>
        <w:rPr>
          <w:sz w:val="18"/>
        </w:rPr>
        <w:t>China's</w:t>
      </w:r>
      <w:r>
        <w:rPr>
          <w:spacing w:val="-5"/>
          <w:sz w:val="18"/>
        </w:rPr>
        <w:t xml:space="preserve"> </w:t>
      </w:r>
      <w:r>
        <w:rPr>
          <w:sz w:val="18"/>
        </w:rPr>
        <w:t>first</w:t>
      </w:r>
      <w:r>
        <w:rPr>
          <w:spacing w:val="-4"/>
          <w:sz w:val="18"/>
        </w:rPr>
        <w:t xml:space="preserve"> </w:t>
      </w:r>
      <w:r>
        <w:rPr>
          <w:sz w:val="18"/>
        </w:rPr>
        <w:t>written</w:t>
      </w:r>
      <w:r>
        <w:rPr>
          <w:spacing w:val="-6"/>
          <w:sz w:val="18"/>
        </w:rPr>
        <w:t xml:space="preserve"> </w:t>
      </w:r>
      <w:r>
        <w:rPr>
          <w:sz w:val="18"/>
        </w:rPr>
        <w:t>submission,</w:t>
      </w:r>
      <w:r>
        <w:rPr>
          <w:spacing w:val="2"/>
          <w:sz w:val="18"/>
        </w:rPr>
        <w:t xml:space="preserve"> </w:t>
      </w:r>
      <w:r>
        <w:rPr>
          <w:sz w:val="18"/>
        </w:rPr>
        <w:t>paras.</w:t>
      </w:r>
      <w:r>
        <w:rPr>
          <w:spacing w:val="-4"/>
          <w:sz w:val="18"/>
        </w:rPr>
        <w:t xml:space="preserve"> </w:t>
      </w:r>
      <w:r>
        <w:rPr>
          <w:sz w:val="18"/>
        </w:rPr>
        <w:t>919</w:t>
      </w:r>
      <w:r>
        <w:rPr>
          <w:spacing w:val="-3"/>
          <w:sz w:val="18"/>
        </w:rPr>
        <w:t xml:space="preserve"> </w:t>
      </w:r>
      <w:r>
        <w:rPr>
          <w:sz w:val="18"/>
        </w:rPr>
        <w:t>and</w:t>
      </w:r>
      <w:r>
        <w:rPr>
          <w:spacing w:val="-1"/>
          <w:sz w:val="18"/>
        </w:rPr>
        <w:t xml:space="preserve"> </w:t>
      </w:r>
      <w:r>
        <w:rPr>
          <w:spacing w:val="-4"/>
          <w:sz w:val="18"/>
        </w:rPr>
        <w:t>930.</w:t>
      </w:r>
    </w:p>
    <w:p w14:paraId="6EB6D753" w14:textId="5449D730" w:rsidR="00BD462C" w:rsidRDefault="00D90CE6">
      <w:pPr>
        <w:spacing w:before="2"/>
        <w:ind w:left="135"/>
        <w:rPr>
          <w:sz w:val="18"/>
        </w:rPr>
      </w:pPr>
      <w:bookmarkStart w:id="774" w:name="_bookmark665"/>
      <w:bookmarkEnd w:id="774"/>
      <w:r>
        <w:rPr>
          <w:noProof/>
        </w:rPr>
        <mc:AlternateContent>
          <mc:Choice Requires="wps">
            <w:drawing>
              <wp:anchor distT="0" distB="0" distL="114300" distR="114300" simplePos="0" relativeHeight="15878656" behindDoc="0" locked="0" layoutInCell="1" allowOverlap="1" wp14:anchorId="1A21CCC8" wp14:editId="55345240">
                <wp:simplePos x="0" y="0"/>
                <wp:positionH relativeFrom="page">
                  <wp:posOffset>3898900</wp:posOffset>
                </wp:positionH>
                <wp:positionV relativeFrom="paragraph">
                  <wp:posOffset>140758</wp:posOffset>
                </wp:positionV>
                <wp:extent cx="2155190" cy="140335"/>
                <wp:effectExtent l="0" t="0" r="0" b="0"/>
                <wp:wrapNone/>
                <wp:docPr id="776" name="docshape3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190" cy="140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293B5D" w14:textId="3C03FFFA" w:rsidR="00BD462C" w:rsidRDefault="00BD462C">
                            <w:pPr>
                              <w:spacing w:before="1" w:line="219" w:lineRule="exact"/>
                              <w:ind w:left="-1"/>
                              <w:rPr>
                                <w:color w:val="000000"/>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1CCC8" id="docshape328" o:spid="_x0000_s1052" type="#_x0000_t202" alt="&quot;&quot;" style="position:absolute;left:0;text-align:left;margin-left:307pt;margin-top:11.1pt;width:169.7pt;height:11.05pt;z-index:1587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" fillcolor="black" stroked="f">
                <v:textbox inset="0,0,0,0">
                  <w:txbxContent>
                    <w:p w14:paraId="66293B5D" w14:textId="3C03FFFA" w:rsidR="00BD462C" w:rsidRDefault="00BD462C">
                      <w:pPr>
                        <w:spacing w:before="1" w:line="219" w:lineRule="exact"/>
                        <w:ind w:left="-1"/>
                        <w:rPr>
                          <w:color w:val="000000"/>
                          <w:sz w:val="18"/>
                        </w:rPr>
                      </w:pPr>
                    </w:p>
                  </w:txbxContent>
                </v:textbox>
                <w10:wrap anchorx="page"/>
              </v:shape>
            </w:pict>
          </mc:Fallback>
        </mc:AlternateContent>
      </w:r>
      <w:r w:rsidR="00033D0F">
        <w:rPr>
          <w:position w:val="5"/>
          <w:sz w:val="12"/>
        </w:rPr>
        <w:t>554</w:t>
      </w:r>
      <w:r w:rsidR="00033D0F">
        <w:rPr>
          <w:spacing w:val="12"/>
          <w:position w:val="5"/>
          <w:sz w:val="12"/>
        </w:rPr>
        <w:t xml:space="preserve"> </w:t>
      </w:r>
      <w:r w:rsidR="00033D0F">
        <w:rPr>
          <w:sz w:val="18"/>
        </w:rPr>
        <w:t>China's</w:t>
      </w:r>
      <w:r w:rsidR="00033D0F">
        <w:rPr>
          <w:spacing w:val="-5"/>
          <w:sz w:val="18"/>
        </w:rPr>
        <w:t xml:space="preserve"> </w:t>
      </w:r>
      <w:r w:rsidR="00033D0F">
        <w:rPr>
          <w:sz w:val="18"/>
        </w:rPr>
        <w:t>first</w:t>
      </w:r>
      <w:r w:rsidR="00033D0F">
        <w:rPr>
          <w:spacing w:val="-5"/>
          <w:sz w:val="18"/>
        </w:rPr>
        <w:t xml:space="preserve"> </w:t>
      </w:r>
      <w:r w:rsidR="00033D0F">
        <w:rPr>
          <w:sz w:val="18"/>
        </w:rPr>
        <w:t>written</w:t>
      </w:r>
      <w:r w:rsidR="00033D0F">
        <w:rPr>
          <w:spacing w:val="-6"/>
          <w:sz w:val="18"/>
        </w:rPr>
        <w:t xml:space="preserve"> </w:t>
      </w:r>
      <w:r w:rsidR="00033D0F">
        <w:rPr>
          <w:sz w:val="18"/>
        </w:rPr>
        <w:t xml:space="preserve">submission, para. </w:t>
      </w:r>
      <w:r w:rsidR="00033D0F">
        <w:rPr>
          <w:spacing w:val="-4"/>
          <w:sz w:val="18"/>
        </w:rPr>
        <w:t>922.</w:t>
      </w:r>
    </w:p>
    <w:p w14:paraId="0DA3AF69" w14:textId="4F0D393C" w:rsidR="00BD462C" w:rsidRDefault="00033D0F" w:rsidP="00D90CE6">
      <w:pPr>
        <w:spacing w:before="4" w:line="235" w:lineRule="auto"/>
        <w:ind w:left="135"/>
        <w:rPr>
          <w:sz w:val="18"/>
        </w:rPr>
      </w:pPr>
      <w:bookmarkStart w:id="775" w:name="_bookmark666"/>
      <w:bookmarkEnd w:id="775"/>
      <w:r>
        <w:rPr>
          <w:position w:val="5"/>
          <w:sz w:val="12"/>
        </w:rPr>
        <w:t>555</w:t>
      </w:r>
      <w:r>
        <w:rPr>
          <w:spacing w:val="25"/>
          <w:position w:val="5"/>
          <w:sz w:val="12"/>
        </w:rPr>
        <w:t xml:space="preserve"> </w:t>
      </w:r>
      <w:r>
        <w:rPr>
          <w:sz w:val="18"/>
        </w:rPr>
        <w:t>China's response to Panel question No. 16, paras. 53-56 and (confidential version) (Exhibit CHN-32 (BCI)).</w:t>
      </w:r>
      <w:r>
        <w:br w:type="column"/>
      </w:r>
    </w:p>
    <w:p w14:paraId="5B8D168D" w14:textId="77777777" w:rsidR="00BD462C" w:rsidRDefault="00BD462C">
      <w:pPr>
        <w:pStyle w:val="BodyText"/>
        <w:spacing w:before="8"/>
        <w:rPr>
          <w:sz w:val="21"/>
        </w:rPr>
      </w:pPr>
    </w:p>
    <w:p w14:paraId="4EA6FD08" w14:textId="77777777" w:rsidR="00BD462C" w:rsidRDefault="00033D0F">
      <w:pPr>
        <w:ind w:left="135"/>
        <w:rPr>
          <w:sz w:val="18"/>
        </w:rPr>
      </w:pPr>
      <w:r>
        <w:rPr>
          <w:spacing w:val="-2"/>
          <w:sz w:val="18"/>
        </w:rPr>
        <w:t>calculations</w:t>
      </w:r>
    </w:p>
    <w:p w14:paraId="774605A1" w14:textId="77777777" w:rsidR="00BD462C" w:rsidRDefault="00BD462C">
      <w:pPr>
        <w:rPr>
          <w:sz w:val="18"/>
        </w:rPr>
        <w:sectPr w:rsidR="00BD462C">
          <w:type w:val="continuous"/>
          <w:pgSz w:w="11910" w:h="16840"/>
          <w:pgMar w:top="1700" w:right="500" w:bottom="280" w:left="1280" w:header="566" w:footer="590" w:gutter="0"/>
          <w:cols w:num="2" w:space="720" w:equalWidth="0">
            <w:col w:w="4895" w:space="3318"/>
            <w:col w:w="1917"/>
          </w:cols>
        </w:sectPr>
      </w:pPr>
    </w:p>
    <w:p w14:paraId="5452D6A4" w14:textId="495985BF" w:rsidR="00BD462C" w:rsidRDefault="00D90CE6">
      <w:pPr>
        <w:spacing w:before="3"/>
        <w:ind w:left="135"/>
        <w:rPr>
          <w:sz w:val="18"/>
        </w:rPr>
      </w:pPr>
      <w:r>
        <w:rPr>
          <w:noProof/>
        </w:rPr>
        <mc:AlternateContent>
          <mc:Choice Requires="wps">
            <w:drawing>
              <wp:anchor distT="0" distB="0" distL="114300" distR="114300" simplePos="0" relativeHeight="15877632" behindDoc="0" locked="0" layoutInCell="1" allowOverlap="1" wp14:anchorId="0BFD06F9" wp14:editId="30355567">
                <wp:simplePos x="0" y="0"/>
                <wp:positionH relativeFrom="page">
                  <wp:posOffset>3907790</wp:posOffset>
                </wp:positionH>
                <wp:positionV relativeFrom="paragraph">
                  <wp:posOffset>7197</wp:posOffset>
                </wp:positionV>
                <wp:extent cx="2157730" cy="140335"/>
                <wp:effectExtent l="0" t="0" r="0" b="0"/>
                <wp:wrapNone/>
                <wp:docPr id="780" name="docshape3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7730" cy="140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7A8245" id="docshape326" o:spid="_x0000_s1026" alt="&quot;&quot;" style="position:absolute;margin-left:307.7pt;margin-top:.55pt;width:169.9pt;height:11.05pt;z-index:1587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" fillcolor="black" stroked="f">
                <w10:wrap anchorx="page"/>
              </v:rect>
            </w:pict>
          </mc:Fallback>
        </mc:AlternateContent>
      </w:r>
      <w:r w:rsidR="00D70C7D">
        <w:rPr>
          <w:noProof/>
        </w:rPr>
        <mc:AlternateContent>
          <mc:Choice Requires="wps">
            <w:drawing>
              <wp:anchor distT="0" distB="0" distL="114300" distR="114300" simplePos="0" relativeHeight="15878144" behindDoc="0" locked="0" layoutInCell="1" allowOverlap="1" wp14:anchorId="05013383" wp14:editId="091A2B89">
                <wp:simplePos x="0" y="0"/>
                <wp:positionH relativeFrom="page">
                  <wp:posOffset>3907790</wp:posOffset>
                </wp:positionH>
                <wp:positionV relativeFrom="paragraph">
                  <wp:posOffset>281305</wp:posOffset>
                </wp:positionV>
                <wp:extent cx="2157730" cy="140335"/>
                <wp:effectExtent l="0" t="0" r="0" b="0"/>
                <wp:wrapNone/>
                <wp:docPr id="778" name="docshape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7730" cy="140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A5E45A" id="docshape327" o:spid="_x0000_s1026" alt="&quot;&quot;" style="position:absolute;margin-left:307.7pt;margin-top:22.15pt;width:169.9pt;height:11.05pt;z-index:1587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" fillcolor="black" stroked="f">
                <w10:wrap anchorx="page"/>
              </v:rect>
            </w:pict>
          </mc:Fallback>
        </mc:AlternateContent>
      </w:r>
      <w:bookmarkStart w:id="776" w:name="_bookmark667"/>
      <w:bookmarkEnd w:id="776"/>
      <w:r w:rsidR="00033D0F">
        <w:rPr>
          <w:position w:val="5"/>
          <w:sz w:val="12"/>
        </w:rPr>
        <w:t>556</w:t>
      </w:r>
      <w:r w:rsidR="00033D0F">
        <w:rPr>
          <w:spacing w:val="40"/>
          <w:position w:val="5"/>
          <w:sz w:val="12"/>
        </w:rPr>
        <w:t xml:space="preserve"> </w:t>
      </w:r>
      <w:r w:rsidR="00033D0F">
        <w:rPr>
          <w:sz w:val="18"/>
        </w:rPr>
        <w:t>China's</w:t>
      </w:r>
      <w:r w:rsidR="00033D0F">
        <w:rPr>
          <w:spacing w:val="35"/>
          <w:sz w:val="18"/>
        </w:rPr>
        <w:t xml:space="preserve"> </w:t>
      </w:r>
      <w:r w:rsidR="00033D0F">
        <w:rPr>
          <w:sz w:val="18"/>
        </w:rPr>
        <w:t>response</w:t>
      </w:r>
      <w:r w:rsidR="00033D0F">
        <w:rPr>
          <w:spacing w:val="30"/>
          <w:sz w:val="18"/>
        </w:rPr>
        <w:t xml:space="preserve"> </w:t>
      </w:r>
      <w:r w:rsidR="00033D0F">
        <w:rPr>
          <w:sz w:val="18"/>
        </w:rPr>
        <w:t>to</w:t>
      </w:r>
      <w:r w:rsidR="00033D0F">
        <w:rPr>
          <w:spacing w:val="29"/>
          <w:sz w:val="18"/>
        </w:rPr>
        <w:t xml:space="preserve"> </w:t>
      </w:r>
      <w:r w:rsidR="00033D0F">
        <w:rPr>
          <w:sz w:val="18"/>
        </w:rPr>
        <w:t>Panel</w:t>
      </w:r>
      <w:r w:rsidR="00033D0F">
        <w:rPr>
          <w:spacing w:val="35"/>
          <w:sz w:val="18"/>
        </w:rPr>
        <w:t xml:space="preserve"> </w:t>
      </w:r>
      <w:r w:rsidR="00033D0F">
        <w:rPr>
          <w:sz w:val="18"/>
        </w:rPr>
        <w:t>question</w:t>
      </w:r>
      <w:r w:rsidR="00033D0F">
        <w:rPr>
          <w:spacing w:val="29"/>
          <w:sz w:val="18"/>
        </w:rPr>
        <w:t xml:space="preserve"> </w:t>
      </w:r>
      <w:r w:rsidR="00033D0F">
        <w:rPr>
          <w:sz w:val="18"/>
        </w:rPr>
        <w:t>No.</w:t>
      </w:r>
      <w:r w:rsidR="00033D0F">
        <w:rPr>
          <w:spacing w:val="36"/>
          <w:sz w:val="18"/>
        </w:rPr>
        <w:t xml:space="preserve"> </w:t>
      </w:r>
      <w:r w:rsidR="00033D0F">
        <w:rPr>
          <w:sz w:val="18"/>
        </w:rPr>
        <w:t>16,</w:t>
      </w:r>
      <w:r w:rsidR="00033D0F">
        <w:rPr>
          <w:spacing w:val="36"/>
          <w:sz w:val="18"/>
        </w:rPr>
        <w:t xml:space="preserve"> </w:t>
      </w:r>
      <w:r w:rsidR="00033D0F">
        <w:rPr>
          <w:sz w:val="18"/>
        </w:rPr>
        <w:t>para.</w:t>
      </w:r>
      <w:r w:rsidR="00033D0F">
        <w:rPr>
          <w:spacing w:val="31"/>
          <w:sz w:val="18"/>
        </w:rPr>
        <w:t xml:space="preserve"> </w:t>
      </w:r>
      <w:r w:rsidR="00033D0F">
        <w:rPr>
          <w:sz w:val="18"/>
        </w:rPr>
        <w:t>54</w:t>
      </w:r>
      <w:r w:rsidR="00033D0F">
        <w:rPr>
          <w:spacing w:val="33"/>
          <w:sz w:val="18"/>
        </w:rPr>
        <w:t xml:space="preserve"> </w:t>
      </w:r>
      <w:r w:rsidR="00033D0F">
        <w:rPr>
          <w:sz w:val="18"/>
        </w:rPr>
        <w:t>and (confidential version) (Exhibit CHN-32 (BCI)).</w:t>
      </w:r>
    </w:p>
    <w:p w14:paraId="090133D0" w14:textId="77777777" w:rsidR="00BD462C" w:rsidRDefault="00033D0F">
      <w:pPr>
        <w:spacing w:before="2"/>
        <w:ind w:left="135"/>
        <w:rPr>
          <w:sz w:val="18"/>
        </w:rPr>
      </w:pPr>
      <w:bookmarkStart w:id="777" w:name="_bookmark668"/>
      <w:bookmarkEnd w:id="777"/>
      <w:r>
        <w:rPr>
          <w:position w:val="5"/>
          <w:sz w:val="12"/>
        </w:rPr>
        <w:t>557</w:t>
      </w:r>
      <w:r>
        <w:rPr>
          <w:spacing w:val="40"/>
          <w:position w:val="5"/>
          <w:sz w:val="12"/>
        </w:rPr>
        <w:t xml:space="preserve"> </w:t>
      </w:r>
      <w:r>
        <w:rPr>
          <w:sz w:val="18"/>
        </w:rPr>
        <w:t>China's</w:t>
      </w:r>
      <w:r>
        <w:rPr>
          <w:spacing w:val="35"/>
          <w:sz w:val="18"/>
        </w:rPr>
        <w:t xml:space="preserve"> </w:t>
      </w:r>
      <w:r>
        <w:rPr>
          <w:sz w:val="18"/>
        </w:rPr>
        <w:t>response</w:t>
      </w:r>
      <w:r>
        <w:rPr>
          <w:spacing w:val="30"/>
          <w:sz w:val="18"/>
        </w:rPr>
        <w:t xml:space="preserve"> </w:t>
      </w:r>
      <w:r>
        <w:rPr>
          <w:sz w:val="18"/>
        </w:rPr>
        <w:t>to</w:t>
      </w:r>
      <w:r>
        <w:rPr>
          <w:spacing w:val="29"/>
          <w:sz w:val="18"/>
        </w:rPr>
        <w:t xml:space="preserve"> </w:t>
      </w:r>
      <w:r>
        <w:rPr>
          <w:sz w:val="18"/>
        </w:rPr>
        <w:t>Panel</w:t>
      </w:r>
      <w:r>
        <w:rPr>
          <w:spacing w:val="35"/>
          <w:sz w:val="18"/>
        </w:rPr>
        <w:t xml:space="preserve"> </w:t>
      </w:r>
      <w:r>
        <w:rPr>
          <w:sz w:val="18"/>
        </w:rPr>
        <w:t>question</w:t>
      </w:r>
      <w:r>
        <w:rPr>
          <w:spacing w:val="30"/>
          <w:sz w:val="18"/>
        </w:rPr>
        <w:t xml:space="preserve"> </w:t>
      </w:r>
      <w:r>
        <w:rPr>
          <w:sz w:val="18"/>
        </w:rPr>
        <w:t>No.</w:t>
      </w:r>
      <w:r>
        <w:rPr>
          <w:spacing w:val="36"/>
          <w:sz w:val="18"/>
        </w:rPr>
        <w:t xml:space="preserve"> </w:t>
      </w:r>
      <w:r>
        <w:rPr>
          <w:sz w:val="18"/>
        </w:rPr>
        <w:t>16,</w:t>
      </w:r>
      <w:r>
        <w:rPr>
          <w:spacing w:val="36"/>
          <w:sz w:val="18"/>
        </w:rPr>
        <w:t xml:space="preserve"> </w:t>
      </w:r>
      <w:r>
        <w:rPr>
          <w:sz w:val="18"/>
        </w:rPr>
        <w:t>para.</w:t>
      </w:r>
      <w:r>
        <w:rPr>
          <w:spacing w:val="31"/>
          <w:sz w:val="18"/>
        </w:rPr>
        <w:t xml:space="preserve"> </w:t>
      </w:r>
      <w:r>
        <w:rPr>
          <w:sz w:val="18"/>
        </w:rPr>
        <w:t>54</w:t>
      </w:r>
      <w:r>
        <w:rPr>
          <w:spacing w:val="33"/>
          <w:sz w:val="18"/>
        </w:rPr>
        <w:t xml:space="preserve"> </w:t>
      </w:r>
      <w:r>
        <w:rPr>
          <w:sz w:val="18"/>
        </w:rPr>
        <w:t>and (confidential version) (Exhibit CHN-32 (BCI)).</w:t>
      </w:r>
    </w:p>
    <w:p w14:paraId="0E2D6B10" w14:textId="77777777" w:rsidR="00BD462C" w:rsidRDefault="00033D0F">
      <w:pPr>
        <w:spacing w:before="3" w:line="482" w:lineRule="auto"/>
        <w:ind w:left="135" w:right="119" w:hanging="1"/>
        <w:rPr>
          <w:sz w:val="18"/>
        </w:rPr>
      </w:pPr>
      <w:r>
        <w:br w:type="column"/>
      </w:r>
      <w:r>
        <w:rPr>
          <w:spacing w:val="-2"/>
          <w:sz w:val="18"/>
        </w:rPr>
        <w:t>calculations</w:t>
      </w:r>
      <w:r>
        <w:rPr>
          <w:sz w:val="18"/>
        </w:rPr>
        <w:t xml:space="preserve"> </w:t>
      </w:r>
      <w:proofErr w:type="spellStart"/>
      <w:r>
        <w:rPr>
          <w:spacing w:val="-2"/>
          <w:sz w:val="18"/>
        </w:rPr>
        <w:t>calculations</w:t>
      </w:r>
      <w:proofErr w:type="spellEnd"/>
    </w:p>
    <w:p w14:paraId="7F70F6A3" w14:textId="77777777" w:rsidR="00BD462C" w:rsidRDefault="00BD462C">
      <w:pPr>
        <w:spacing w:line="482" w:lineRule="auto"/>
        <w:rPr>
          <w:sz w:val="18"/>
        </w:rPr>
        <w:sectPr w:rsidR="00BD462C">
          <w:type w:val="continuous"/>
          <w:pgSz w:w="11910" w:h="16840"/>
          <w:pgMar w:top="1700" w:right="500" w:bottom="280" w:left="1280" w:header="566" w:footer="590" w:gutter="0"/>
          <w:cols w:num="2" w:space="720" w:equalWidth="0">
            <w:col w:w="4842" w:space="3376"/>
            <w:col w:w="1912"/>
          </w:cols>
        </w:sectPr>
      </w:pPr>
    </w:p>
    <w:p w14:paraId="2BB2C367"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03FF0763"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69CB0095"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2BE246FF" w14:textId="5781375B" w:rsidR="00BD462C" w:rsidRDefault="00D70C7D">
      <w:pPr>
        <w:pStyle w:val="ListParagraph"/>
        <w:numPr>
          <w:ilvl w:val="0"/>
          <w:numId w:val="57"/>
        </w:numPr>
        <w:tabs>
          <w:tab w:val="left" w:pos="2790"/>
          <w:tab w:val="left" w:pos="2791"/>
        </w:tabs>
        <w:spacing w:before="99" w:line="357" w:lineRule="auto"/>
        <w:ind w:right="917" w:hanging="855"/>
        <w:jc w:val="both"/>
        <w:rPr>
          <w:sz w:val="24"/>
        </w:rPr>
      </w:pPr>
      <w:r>
        <w:rPr>
          <w:noProof/>
        </w:rPr>
        <mc:AlternateContent>
          <mc:Choice Requires="wps">
            <w:drawing>
              <wp:anchor distT="0" distB="0" distL="114300" distR="114300" simplePos="0" relativeHeight="479041024" behindDoc="1" locked="0" layoutInCell="1" allowOverlap="1" wp14:anchorId="1DB9E43C" wp14:editId="07B87B25">
                <wp:simplePos x="0" y="0"/>
                <wp:positionH relativeFrom="page">
                  <wp:posOffset>1978025</wp:posOffset>
                </wp:positionH>
                <wp:positionV relativeFrom="paragraph">
                  <wp:posOffset>63500</wp:posOffset>
                </wp:positionV>
                <wp:extent cx="579120" cy="191770"/>
                <wp:effectExtent l="0" t="0" r="0" b="0"/>
                <wp:wrapNone/>
                <wp:docPr id="774" name="docshape3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 cy="1917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B35184" id="docshape332" o:spid="_x0000_s1026" alt="&quot;&quot;" style="position:absolute;margin-left:155.75pt;margin-top:5pt;width:45.6pt;height:15.1pt;z-index:-24275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" fillcolor="black" stroked="f">
                <w10:wrap anchorx="page"/>
              </v:rect>
            </w:pict>
          </mc:Fallback>
        </mc:AlternateContent>
      </w:r>
      <w:r w:rsidR="00033D0F">
        <w:tab/>
      </w:r>
      <w:r w:rsidR="00033D0F">
        <w:rPr>
          <w:sz w:val="24"/>
        </w:rPr>
        <w:t>failed</w:t>
      </w:r>
      <w:r w:rsidR="00033D0F">
        <w:rPr>
          <w:spacing w:val="-14"/>
          <w:sz w:val="24"/>
        </w:rPr>
        <w:t xml:space="preserve"> </w:t>
      </w:r>
      <w:r w:rsidR="00033D0F">
        <w:rPr>
          <w:sz w:val="24"/>
        </w:rPr>
        <w:t>to</w:t>
      </w:r>
      <w:r w:rsidR="00033D0F">
        <w:rPr>
          <w:spacing w:val="-14"/>
          <w:sz w:val="24"/>
        </w:rPr>
        <w:t xml:space="preserve"> </w:t>
      </w:r>
      <w:r w:rsidR="00033D0F">
        <w:rPr>
          <w:sz w:val="24"/>
        </w:rPr>
        <w:t>provide</w:t>
      </w:r>
      <w:r w:rsidR="00033D0F">
        <w:rPr>
          <w:spacing w:val="-13"/>
          <w:sz w:val="24"/>
        </w:rPr>
        <w:t xml:space="preserve"> </w:t>
      </w:r>
      <w:r w:rsidR="00033D0F">
        <w:rPr>
          <w:sz w:val="24"/>
        </w:rPr>
        <w:t>information</w:t>
      </w:r>
      <w:r w:rsidR="00033D0F">
        <w:rPr>
          <w:spacing w:val="-14"/>
          <w:sz w:val="24"/>
        </w:rPr>
        <w:t xml:space="preserve"> </w:t>
      </w:r>
      <w:r w:rsidR="00033D0F">
        <w:rPr>
          <w:sz w:val="24"/>
        </w:rPr>
        <w:t>on</w:t>
      </w:r>
      <w:r w:rsidR="00033D0F">
        <w:rPr>
          <w:spacing w:val="-13"/>
          <w:sz w:val="24"/>
        </w:rPr>
        <w:t xml:space="preserve"> </w:t>
      </w:r>
      <w:r w:rsidR="00033D0F">
        <w:rPr>
          <w:sz w:val="24"/>
        </w:rPr>
        <w:t>the</w:t>
      </w:r>
      <w:r w:rsidR="00033D0F">
        <w:rPr>
          <w:spacing w:val="-14"/>
          <w:sz w:val="24"/>
        </w:rPr>
        <w:t xml:space="preserve"> </w:t>
      </w:r>
      <w:r w:rsidR="00033D0F">
        <w:rPr>
          <w:sz w:val="24"/>
        </w:rPr>
        <w:t>how</w:t>
      </w:r>
      <w:r w:rsidR="00033D0F">
        <w:rPr>
          <w:spacing w:val="-13"/>
          <w:sz w:val="24"/>
        </w:rPr>
        <w:t xml:space="preserve"> </w:t>
      </w:r>
      <w:r w:rsidR="00033D0F">
        <w:rPr>
          <w:sz w:val="24"/>
        </w:rPr>
        <w:t>average</w:t>
      </w:r>
      <w:r w:rsidR="00033D0F">
        <w:rPr>
          <w:spacing w:val="-14"/>
          <w:sz w:val="24"/>
        </w:rPr>
        <w:t xml:space="preserve"> </w:t>
      </w:r>
      <w:r w:rsidR="00033D0F">
        <w:rPr>
          <w:sz w:val="24"/>
        </w:rPr>
        <w:t>harvest</w:t>
      </w:r>
      <w:r w:rsidR="00033D0F">
        <w:rPr>
          <w:spacing w:val="-14"/>
          <w:sz w:val="24"/>
        </w:rPr>
        <w:t xml:space="preserve"> </w:t>
      </w:r>
      <w:r w:rsidR="00033D0F">
        <w:rPr>
          <w:sz w:val="24"/>
        </w:rPr>
        <w:t>and</w:t>
      </w:r>
      <w:r w:rsidR="00033D0F">
        <w:rPr>
          <w:spacing w:val="-13"/>
          <w:sz w:val="24"/>
        </w:rPr>
        <w:t xml:space="preserve"> </w:t>
      </w:r>
      <w:r w:rsidR="00033D0F">
        <w:rPr>
          <w:sz w:val="24"/>
        </w:rPr>
        <w:t>total harvest were determined;</w:t>
      </w:r>
      <w:hyperlink w:anchor="_bookmark669" w:history="1">
        <w:r w:rsidR="00033D0F">
          <w:rPr>
            <w:sz w:val="24"/>
            <w:vertAlign w:val="superscript"/>
          </w:rPr>
          <w:t>558</w:t>
        </w:r>
      </w:hyperlink>
      <w:r w:rsidR="00033D0F">
        <w:rPr>
          <w:sz w:val="24"/>
        </w:rPr>
        <w:t xml:space="preserve"> and</w:t>
      </w:r>
    </w:p>
    <w:p w14:paraId="22CA6993" w14:textId="7D00659D" w:rsidR="00BD462C" w:rsidRDefault="00D70C7D">
      <w:pPr>
        <w:pStyle w:val="ListParagraph"/>
        <w:numPr>
          <w:ilvl w:val="0"/>
          <w:numId w:val="57"/>
        </w:numPr>
        <w:tabs>
          <w:tab w:val="left" w:pos="2795"/>
          <w:tab w:val="left" w:pos="2796"/>
          <w:tab w:val="left" w:pos="4374"/>
          <w:tab w:val="left" w:pos="5761"/>
          <w:tab w:val="right" w:pos="7417"/>
          <w:tab w:val="left" w:pos="8838"/>
        </w:tabs>
        <w:spacing w:before="122" w:line="360" w:lineRule="auto"/>
        <w:ind w:right="918" w:hanging="855"/>
        <w:jc w:val="both"/>
        <w:rPr>
          <w:sz w:val="24"/>
        </w:rPr>
      </w:pPr>
      <w:r>
        <w:rPr>
          <w:noProof/>
        </w:rPr>
        <mc:AlternateContent>
          <mc:Choice Requires="wps">
            <w:drawing>
              <wp:anchor distT="0" distB="0" distL="114300" distR="114300" simplePos="0" relativeHeight="479041536" behindDoc="1" locked="0" layoutInCell="1" allowOverlap="1" wp14:anchorId="7F758186" wp14:editId="4B58DCAF">
                <wp:simplePos x="0" y="0"/>
                <wp:positionH relativeFrom="page">
                  <wp:posOffset>1978025</wp:posOffset>
                </wp:positionH>
                <wp:positionV relativeFrom="paragraph">
                  <wp:posOffset>78105</wp:posOffset>
                </wp:positionV>
                <wp:extent cx="579120" cy="194945"/>
                <wp:effectExtent l="0" t="0" r="0" b="0"/>
                <wp:wrapNone/>
                <wp:docPr id="772" name="docshape3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 cy="1949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F26D4B" id="docshape333" o:spid="_x0000_s1026" alt="&quot;&quot;" style="position:absolute;margin-left:155.75pt;margin-top:6.15pt;width:45.6pt;height:15.35pt;z-index:-24274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" fillcolor="black" stroked="f">
                <w10:wrap anchorx="page"/>
              </v:rect>
            </w:pict>
          </mc:Fallback>
        </mc:AlternateContent>
      </w:r>
      <w:r>
        <w:rPr>
          <w:noProof/>
        </w:rPr>
        <mc:AlternateContent>
          <mc:Choice Requires="wps">
            <w:drawing>
              <wp:anchor distT="0" distB="0" distL="114300" distR="114300" simplePos="0" relativeHeight="479042048" behindDoc="1" locked="0" layoutInCell="1" allowOverlap="1" wp14:anchorId="59F6E691" wp14:editId="2B16FFCA">
                <wp:simplePos x="0" y="0"/>
                <wp:positionH relativeFrom="page">
                  <wp:posOffset>3056890</wp:posOffset>
                </wp:positionH>
                <wp:positionV relativeFrom="paragraph">
                  <wp:posOffset>367665</wp:posOffset>
                </wp:positionV>
                <wp:extent cx="499745" cy="186055"/>
                <wp:effectExtent l="0" t="0" r="0" b="0"/>
                <wp:wrapNone/>
                <wp:docPr id="770" name="docshape3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F4B735" id="docshape334" o:spid="_x0000_s1026" alt="&quot;&quot;" style="position:absolute;margin-left:240.7pt;margin-top:28.95pt;width:39.35pt;height:14.65pt;z-index:-2427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" fillcolor="black" stroked="f">
                <w10:wrap anchorx="page"/>
              </v:rect>
            </w:pict>
          </mc:Fallback>
        </mc:AlternateContent>
      </w:r>
      <w:r>
        <w:rPr>
          <w:noProof/>
        </w:rPr>
        <mc:AlternateContent>
          <mc:Choice Requires="wps">
            <w:drawing>
              <wp:anchor distT="0" distB="0" distL="114300" distR="114300" simplePos="0" relativeHeight="479042560" behindDoc="1" locked="0" layoutInCell="1" allowOverlap="1" wp14:anchorId="6FF8304D" wp14:editId="2C5FB689">
                <wp:simplePos x="0" y="0"/>
                <wp:positionH relativeFrom="page">
                  <wp:posOffset>4017010</wp:posOffset>
                </wp:positionH>
                <wp:positionV relativeFrom="paragraph">
                  <wp:posOffset>367665</wp:posOffset>
                </wp:positionV>
                <wp:extent cx="420370" cy="186055"/>
                <wp:effectExtent l="0" t="0" r="0" b="0"/>
                <wp:wrapNone/>
                <wp:docPr id="768" name="docshape3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37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5AFB96" id="docshape335" o:spid="_x0000_s1026" alt="&quot;&quot;" style="position:absolute;margin-left:316.3pt;margin-top:28.95pt;width:33.1pt;height:14.65pt;z-index:-24273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" fillcolor="black" stroked="f">
                <w10:wrap anchorx="page"/>
              </v:rect>
            </w:pict>
          </mc:Fallback>
        </mc:AlternateContent>
      </w:r>
      <w:r>
        <w:rPr>
          <w:noProof/>
        </w:rPr>
        <mc:AlternateContent>
          <mc:Choice Requires="wps">
            <w:drawing>
              <wp:anchor distT="0" distB="0" distL="114300" distR="114300" simplePos="0" relativeHeight="479043072" behindDoc="1" locked="0" layoutInCell="1" allowOverlap="1" wp14:anchorId="1F61DBD5" wp14:editId="2936AB78">
                <wp:simplePos x="0" y="0"/>
                <wp:positionH relativeFrom="page">
                  <wp:posOffset>5970905</wp:posOffset>
                </wp:positionH>
                <wp:positionV relativeFrom="paragraph">
                  <wp:posOffset>367665</wp:posOffset>
                </wp:positionV>
                <wp:extent cx="420370" cy="186055"/>
                <wp:effectExtent l="0" t="0" r="0" b="0"/>
                <wp:wrapNone/>
                <wp:docPr id="766" name="docshape3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37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1A516" id="docshape336" o:spid="_x0000_s1026" alt="&quot;&quot;" style="position:absolute;margin-left:470.15pt;margin-top:28.95pt;width:33.1pt;height:14.65pt;z-index:-24273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" fillcolor="black" stroked="f">
                <w10:wrap anchorx="page"/>
              </v:rect>
            </w:pict>
          </mc:Fallback>
        </mc:AlternateContent>
      </w:r>
      <w:r>
        <w:rPr>
          <w:noProof/>
        </w:rPr>
        <mc:AlternateContent>
          <mc:Choice Requires="wps">
            <w:drawing>
              <wp:anchor distT="0" distB="0" distL="114300" distR="114300" simplePos="0" relativeHeight="479043584" behindDoc="1" locked="0" layoutInCell="1" allowOverlap="1" wp14:anchorId="083B368D" wp14:editId="6EEA6A8D">
                <wp:simplePos x="0" y="0"/>
                <wp:positionH relativeFrom="page">
                  <wp:posOffset>4900930</wp:posOffset>
                </wp:positionH>
                <wp:positionV relativeFrom="paragraph">
                  <wp:posOffset>645160</wp:posOffset>
                </wp:positionV>
                <wp:extent cx="466090" cy="186055"/>
                <wp:effectExtent l="0" t="0" r="0" b="0"/>
                <wp:wrapNone/>
                <wp:docPr id="764" name="docshape3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B56D54" id="docshape337" o:spid="_x0000_s1026" alt="&quot;&quot;" style="position:absolute;margin-left:385.9pt;margin-top:50.8pt;width:36.7pt;height:14.65pt;z-index:-24272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" fillcolor="black" stroked="f">
                <w10:wrap anchorx="page"/>
              </v:rect>
            </w:pict>
          </mc:Fallback>
        </mc:AlternateContent>
      </w:r>
      <w:r w:rsidR="00033D0F">
        <w:tab/>
      </w:r>
      <w:r w:rsidR="00033D0F">
        <w:rPr>
          <w:sz w:val="24"/>
        </w:rPr>
        <w:t>asserted,</w:t>
      </w:r>
      <w:r w:rsidR="00033D0F">
        <w:rPr>
          <w:spacing w:val="-8"/>
          <w:sz w:val="24"/>
        </w:rPr>
        <w:t xml:space="preserve"> </w:t>
      </w:r>
      <w:r w:rsidR="00033D0F">
        <w:rPr>
          <w:sz w:val="24"/>
        </w:rPr>
        <w:t>without</w:t>
      </w:r>
      <w:r w:rsidR="00033D0F">
        <w:rPr>
          <w:spacing w:val="-10"/>
          <w:sz w:val="24"/>
        </w:rPr>
        <w:t xml:space="preserve"> </w:t>
      </w:r>
      <w:r w:rsidR="00033D0F">
        <w:rPr>
          <w:sz w:val="24"/>
        </w:rPr>
        <w:t>explanation,</w:t>
      </w:r>
      <w:r w:rsidR="00033D0F">
        <w:rPr>
          <w:spacing w:val="-8"/>
          <w:sz w:val="24"/>
        </w:rPr>
        <w:t xml:space="preserve"> </w:t>
      </w:r>
      <w:r w:rsidR="00033D0F">
        <w:rPr>
          <w:sz w:val="24"/>
        </w:rPr>
        <w:t>that</w:t>
      </w:r>
      <w:r w:rsidR="00033D0F">
        <w:rPr>
          <w:spacing w:val="-10"/>
          <w:sz w:val="24"/>
        </w:rPr>
        <w:t xml:space="preserve"> </w:t>
      </w:r>
      <w:r w:rsidR="00033D0F">
        <w:rPr>
          <w:sz w:val="24"/>
        </w:rPr>
        <w:t>the</w:t>
      </w:r>
      <w:r w:rsidR="00033D0F">
        <w:rPr>
          <w:spacing w:val="-14"/>
          <w:sz w:val="24"/>
        </w:rPr>
        <w:t xml:space="preserve"> </w:t>
      </w:r>
      <w:r w:rsidR="00033D0F">
        <w:rPr>
          <w:sz w:val="24"/>
        </w:rPr>
        <w:t>wine</w:t>
      </w:r>
      <w:r w:rsidR="00033D0F">
        <w:rPr>
          <w:spacing w:val="-9"/>
          <w:sz w:val="24"/>
        </w:rPr>
        <w:t xml:space="preserve"> </w:t>
      </w:r>
      <w:r w:rsidR="00033D0F">
        <w:rPr>
          <w:sz w:val="24"/>
        </w:rPr>
        <w:t>production</w:t>
      </w:r>
      <w:r w:rsidR="00033D0F">
        <w:rPr>
          <w:spacing w:val="-11"/>
          <w:sz w:val="24"/>
        </w:rPr>
        <w:t xml:space="preserve"> </w:t>
      </w:r>
      <w:r w:rsidR="00033D0F">
        <w:rPr>
          <w:sz w:val="24"/>
        </w:rPr>
        <w:t>rate</w:t>
      </w:r>
      <w:r w:rsidR="00033D0F">
        <w:rPr>
          <w:spacing w:val="-10"/>
          <w:sz w:val="24"/>
        </w:rPr>
        <w:t xml:space="preserve"> </w:t>
      </w:r>
      <w:r w:rsidR="00033D0F">
        <w:rPr>
          <w:sz w:val="24"/>
        </w:rPr>
        <w:t>from the fresh grapes,</w:t>
      </w:r>
      <w:r w:rsidR="00033D0F">
        <w:rPr>
          <w:sz w:val="24"/>
        </w:rPr>
        <w:tab/>
      </w:r>
      <w:r w:rsidR="00033D0F">
        <w:rPr>
          <w:spacing w:val="-2"/>
          <w:sz w:val="24"/>
        </w:rPr>
        <w:t>across</w:t>
      </w:r>
      <w:r w:rsidR="00033D0F">
        <w:rPr>
          <w:sz w:val="24"/>
        </w:rPr>
        <w:tab/>
        <w:t>five years, was at about</w:t>
      </w:r>
      <w:r w:rsidR="00033D0F">
        <w:rPr>
          <w:sz w:val="24"/>
        </w:rPr>
        <w:tab/>
      </w:r>
      <w:r w:rsidR="00033D0F">
        <w:rPr>
          <w:spacing w:val="-4"/>
          <w:sz w:val="24"/>
        </w:rPr>
        <w:t xml:space="preserve">and </w:t>
      </w:r>
      <w:r w:rsidR="00033D0F">
        <w:rPr>
          <w:sz w:val="24"/>
        </w:rPr>
        <w:t>the loss rate from bulk wines was estimated at</w:t>
      </w:r>
      <w:r w:rsidR="00033D0F">
        <w:rPr>
          <w:sz w:val="24"/>
        </w:rPr>
        <w:tab/>
      </w:r>
      <w:hyperlink w:anchor="_bookmark670" w:history="1">
        <w:r w:rsidR="00033D0F">
          <w:rPr>
            <w:spacing w:val="-4"/>
            <w:sz w:val="24"/>
            <w:vertAlign w:val="superscript"/>
          </w:rPr>
          <w:t>559</w:t>
        </w:r>
      </w:hyperlink>
    </w:p>
    <w:p w14:paraId="4A40E413" w14:textId="0740B745" w:rsidR="00BD462C" w:rsidRDefault="00D70C7D" w:rsidP="00C37A4F">
      <w:pPr>
        <w:pStyle w:val="BodyText"/>
        <w:numPr>
          <w:ilvl w:val="0"/>
          <w:numId w:val="77"/>
        </w:numPr>
        <w:spacing w:before="130" w:line="357" w:lineRule="auto"/>
        <w:ind w:right="917"/>
        <w:jc w:val="both"/>
      </w:pPr>
      <w:r>
        <w:rPr>
          <w:noProof/>
        </w:rPr>
        <mc:AlternateContent>
          <mc:Choice Requires="wps">
            <w:drawing>
              <wp:anchor distT="0" distB="0" distL="114300" distR="114300" simplePos="0" relativeHeight="15883264" behindDoc="0" locked="0" layoutInCell="1" allowOverlap="1" wp14:anchorId="72733823" wp14:editId="0929CBE1">
                <wp:simplePos x="0" y="0"/>
                <wp:positionH relativeFrom="page">
                  <wp:posOffset>5269865</wp:posOffset>
                </wp:positionH>
                <wp:positionV relativeFrom="paragraph">
                  <wp:posOffset>1018746</wp:posOffset>
                </wp:positionV>
                <wp:extent cx="502920" cy="186055"/>
                <wp:effectExtent l="0" t="0" r="0" b="4445"/>
                <wp:wrapNone/>
                <wp:docPr id="760" name="docshape3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BAAE69" id="docshape339" o:spid="_x0000_s1026" alt="&quot;&quot;" style="position:absolute;margin-left:414.95pt;margin-top:80.2pt;width:39.6pt;height:14.65pt;z-index:15883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" fillcolor="black" stroked="f">
                <w10:wrap anchorx="page"/>
              </v:rect>
            </w:pict>
          </mc:Fallback>
        </mc:AlternateContent>
      </w:r>
      <w:r w:rsidR="00033D0F">
        <w:rPr>
          <w:position w:val="1"/>
        </w:rPr>
        <w:t xml:space="preserve">An unbiased and objective investigating authority would have sought further </w:t>
      </w:r>
      <w:r w:rsidR="00033D0F">
        <w:t xml:space="preserve">information regarding this calculation. MOFCOM remained passive in the face of the above </w:t>
      </w:r>
      <w:r w:rsidR="00033D0F">
        <w:rPr>
          <w:spacing w:val="-2"/>
        </w:rPr>
        <w:t>shortcomings.</w:t>
      </w:r>
    </w:p>
    <w:p w14:paraId="367A852B" w14:textId="77777777" w:rsidR="00BD462C" w:rsidRDefault="00BD462C">
      <w:pPr>
        <w:spacing w:line="357" w:lineRule="auto"/>
        <w:jc w:val="both"/>
        <w:sectPr w:rsidR="00BD462C">
          <w:headerReference w:type="default" r:id="rId22"/>
          <w:footerReference w:type="default" r:id="rId23"/>
          <w:pgSz w:w="11910" w:h="16840"/>
          <w:pgMar w:top="860" w:right="500" w:bottom="780" w:left="1280" w:header="566" w:footer="590" w:gutter="0"/>
          <w:cols w:space="720"/>
        </w:sectPr>
      </w:pPr>
    </w:p>
    <w:p w14:paraId="15539B6A" w14:textId="1D9C04AD" w:rsidR="00BD462C" w:rsidRDefault="00AC5C65" w:rsidP="00C37A4F">
      <w:pPr>
        <w:pStyle w:val="BodyText"/>
        <w:numPr>
          <w:ilvl w:val="0"/>
          <w:numId w:val="77"/>
        </w:numPr>
        <w:spacing w:before="169"/>
      </w:pPr>
      <w:r>
        <w:rPr>
          <w:noProof/>
        </w:rPr>
        <mc:AlternateContent>
          <mc:Choice Requires="wps">
            <w:drawing>
              <wp:anchor distT="0" distB="0" distL="114300" distR="114300" simplePos="0" relativeHeight="15882752" behindDoc="0" locked="0" layoutInCell="1" allowOverlap="1" wp14:anchorId="62A86D3A" wp14:editId="4242AF28">
                <wp:simplePos x="0" y="0"/>
                <wp:positionH relativeFrom="page">
                  <wp:posOffset>2937087</wp:posOffset>
                </wp:positionH>
                <wp:positionV relativeFrom="paragraph">
                  <wp:posOffset>110490</wp:posOffset>
                </wp:positionV>
                <wp:extent cx="506095" cy="186055"/>
                <wp:effectExtent l="0" t="0" r="0" b="0"/>
                <wp:wrapNone/>
                <wp:docPr id="762" name="docshape3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09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12304" id="docshape338" o:spid="_x0000_s1026" alt="&quot;&quot;" style="position:absolute;margin-left:231.25pt;margin-top:8.7pt;width:39.85pt;height:14.65pt;z-index:1588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" fillcolor="black" stroked="f">
                <w10:wrap anchorx="page"/>
              </v:rect>
            </w:pict>
          </mc:Fallback>
        </mc:AlternateContent>
      </w:r>
      <w:r w:rsidR="00033D0F">
        <w:rPr>
          <w:spacing w:val="-2"/>
          <w:position w:val="1"/>
        </w:rPr>
        <w:t>China's</w:t>
      </w:r>
      <w:r w:rsidR="00033D0F">
        <w:rPr>
          <w:spacing w:val="-11"/>
          <w:position w:val="1"/>
        </w:rPr>
        <w:t xml:space="preserve"> </w:t>
      </w:r>
      <w:r w:rsidR="00033D0F">
        <w:rPr>
          <w:spacing w:val="-2"/>
          <w:position w:val="1"/>
        </w:rPr>
        <w:t>disclosure</w:t>
      </w:r>
      <w:r w:rsidR="00033D0F">
        <w:rPr>
          <w:spacing w:val="-13"/>
          <w:position w:val="1"/>
        </w:rPr>
        <w:t xml:space="preserve"> </w:t>
      </w:r>
      <w:r w:rsidR="00033D0F">
        <w:rPr>
          <w:spacing w:val="-2"/>
          <w:position w:val="1"/>
        </w:rPr>
        <w:t>of</w:t>
      </w:r>
      <w:r w:rsidR="00033D0F">
        <w:rPr>
          <w:spacing w:val="-15"/>
          <w:position w:val="1"/>
        </w:rPr>
        <w:t xml:space="preserve"> </w:t>
      </w:r>
      <w:r w:rsidR="00033D0F">
        <w:rPr>
          <w:spacing w:val="-2"/>
          <w:position w:val="1"/>
        </w:rPr>
        <w:t>the</w:t>
      </w:r>
    </w:p>
    <w:p w14:paraId="437DEE5A" w14:textId="77777777" w:rsidR="00BD462C" w:rsidRDefault="00033D0F">
      <w:pPr>
        <w:pStyle w:val="BodyText"/>
        <w:spacing w:before="165"/>
        <w:ind w:left="131"/>
      </w:pPr>
      <w:r>
        <w:br w:type="column"/>
      </w:r>
      <w:r>
        <w:rPr>
          <w:spacing w:val="-2"/>
        </w:rPr>
        <w:t>calculations</w:t>
      </w:r>
      <w:r>
        <w:rPr>
          <w:spacing w:val="1"/>
        </w:rPr>
        <w:t xml:space="preserve"> </w:t>
      </w:r>
      <w:proofErr w:type="gramStart"/>
      <w:r>
        <w:rPr>
          <w:spacing w:val="-2"/>
        </w:rPr>
        <w:t>reveals</w:t>
      </w:r>
      <w:proofErr w:type="gramEnd"/>
      <w:r>
        <w:rPr>
          <w:spacing w:val="1"/>
        </w:rPr>
        <w:t xml:space="preserve"> </w:t>
      </w:r>
      <w:r>
        <w:rPr>
          <w:spacing w:val="-2"/>
        </w:rPr>
        <w:t>that</w:t>
      </w:r>
      <w:r>
        <w:t xml:space="preserve"> </w:t>
      </w:r>
      <w:r>
        <w:rPr>
          <w:spacing w:val="-4"/>
        </w:rPr>
        <w:t>only</w:t>
      </w:r>
    </w:p>
    <w:p w14:paraId="62211710" w14:textId="359FD5A7" w:rsidR="00BD462C" w:rsidRDefault="00033D0F" w:rsidP="00AC5C65">
      <w:pPr>
        <w:pStyle w:val="BodyText"/>
        <w:spacing w:before="165"/>
        <w:ind w:left="131"/>
        <w:sectPr w:rsidR="00BD462C">
          <w:type w:val="continuous"/>
          <w:pgSz w:w="11910" w:h="16840"/>
          <w:pgMar w:top="1700" w:right="500" w:bottom="280" w:left="1280" w:header="566" w:footer="590" w:gutter="0"/>
          <w:cols w:num="3" w:space="720" w:equalWidth="0">
            <w:col w:w="3347" w:space="709"/>
            <w:col w:w="2966" w:space="697"/>
            <w:col w:w="2411"/>
          </w:cols>
        </w:sectPr>
      </w:pPr>
      <w:r>
        <w:br w:type="column"/>
      </w:r>
      <w:r>
        <w:t>was</w:t>
      </w:r>
      <w:r>
        <w:rPr>
          <w:spacing w:val="-10"/>
        </w:rPr>
        <w:t xml:space="preserve"> </w:t>
      </w:r>
      <w:r>
        <w:rPr>
          <w:spacing w:val="-2"/>
        </w:rPr>
        <w:t>deducte</w:t>
      </w:r>
      <w:r w:rsidR="00AC5C65">
        <w:rPr>
          <w:spacing w:val="-2"/>
        </w:rPr>
        <w:t>d</w:t>
      </w:r>
    </w:p>
    <w:p w14:paraId="2A7EBDDF" w14:textId="620EFEC4" w:rsidR="00BD462C" w:rsidRDefault="00D70C7D" w:rsidP="00AC5C65">
      <w:pPr>
        <w:pStyle w:val="BodyText"/>
        <w:tabs>
          <w:tab w:val="left" w:pos="5747"/>
        </w:tabs>
        <w:spacing w:before="139" w:line="360" w:lineRule="auto"/>
        <w:ind w:right="913"/>
        <w:jc w:val="both"/>
      </w:pPr>
      <w:r>
        <w:rPr>
          <w:noProof/>
        </w:rPr>
        <mc:AlternateContent>
          <mc:Choice Requires="wps">
            <w:drawing>
              <wp:anchor distT="0" distB="0" distL="114300" distR="114300" simplePos="0" relativeHeight="479045120" behindDoc="1" locked="0" layoutInCell="1" allowOverlap="1" wp14:anchorId="4D8BE073" wp14:editId="2130C45B">
                <wp:simplePos x="0" y="0"/>
                <wp:positionH relativeFrom="page">
                  <wp:posOffset>3846830</wp:posOffset>
                </wp:positionH>
                <wp:positionV relativeFrom="paragraph">
                  <wp:posOffset>645160</wp:posOffset>
                </wp:positionV>
                <wp:extent cx="575945" cy="186055"/>
                <wp:effectExtent l="0" t="0" r="0" b="0"/>
                <wp:wrapNone/>
                <wp:docPr id="758" name="docshape3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DF2181" id="docshape340" o:spid="_x0000_s1026" alt="&quot;&quot;" style="position:absolute;margin-left:302.9pt;margin-top:50.8pt;width:45.35pt;height:14.65pt;z-index:-2427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" fillcolor="black" stroked="f">
                <w10:wrap anchorx="page"/>
              </v:rect>
            </w:pict>
          </mc:Fallback>
        </mc:AlternateContent>
      </w:r>
      <w:r w:rsidR="00033D0F">
        <w:t>for domestic wine products that were not included in the investigation, "namely other wine products, including distilled</w:t>
      </w:r>
      <w:r w:rsidR="00033D0F">
        <w:rPr>
          <w:spacing w:val="-2"/>
        </w:rPr>
        <w:t xml:space="preserve"> </w:t>
      </w:r>
      <w:r w:rsidR="00033D0F">
        <w:t>wines, brandy, spark[l]</w:t>
      </w:r>
      <w:proofErr w:type="spellStart"/>
      <w:r w:rsidR="00033D0F">
        <w:t>ing</w:t>
      </w:r>
      <w:proofErr w:type="spellEnd"/>
      <w:r w:rsidR="00033D0F">
        <w:t>, vermouth, and wines in containers of over 2 litres".</w:t>
      </w:r>
      <w:hyperlink w:anchor="_bookmark671" w:history="1">
        <w:r w:rsidR="00033D0F">
          <w:rPr>
            <w:vertAlign w:val="superscript"/>
          </w:rPr>
          <w:t>560</w:t>
        </w:r>
      </w:hyperlink>
      <w:r w:rsidR="00033D0F">
        <w:t xml:space="preserve"> China failed to indicate why it</w:t>
      </w:r>
      <w:r w:rsidR="00033D0F">
        <w:tab/>
        <w:t>deducted this amount and why the same percentage was used in every year of the Injury POI.</w:t>
      </w:r>
    </w:p>
    <w:p w14:paraId="5B46CD8E" w14:textId="7770EF41" w:rsidR="00BD462C" w:rsidRDefault="00D70C7D" w:rsidP="001818E0">
      <w:pPr>
        <w:pStyle w:val="BodyText"/>
        <w:numPr>
          <w:ilvl w:val="0"/>
          <w:numId w:val="77"/>
        </w:numPr>
        <w:tabs>
          <w:tab w:val="left" w:pos="3150"/>
        </w:tabs>
        <w:spacing w:before="167"/>
      </w:pPr>
      <w:r>
        <w:rPr>
          <w:noProof/>
        </w:rPr>
        <mc:AlternateContent>
          <mc:Choice Requires="wps">
            <w:drawing>
              <wp:anchor distT="0" distB="0" distL="114300" distR="114300" simplePos="0" relativeHeight="479045632" behindDoc="1" locked="0" layoutInCell="1" allowOverlap="1" wp14:anchorId="0A2E83B5" wp14:editId="4C8DCFFD">
                <wp:simplePos x="0" y="0"/>
                <wp:positionH relativeFrom="page">
                  <wp:posOffset>3797088</wp:posOffset>
                </wp:positionH>
                <wp:positionV relativeFrom="paragraph">
                  <wp:posOffset>102235</wp:posOffset>
                </wp:positionV>
                <wp:extent cx="420370" cy="186055"/>
                <wp:effectExtent l="0" t="0" r="0" b="4445"/>
                <wp:wrapNone/>
                <wp:docPr id="756" name="docshape3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37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8BC2C0" id="docshape341" o:spid="_x0000_s1026" alt="&quot;&quot;" style="position:absolute;margin-left:299pt;margin-top:8.05pt;width:33.1pt;height:14.65pt;z-index:-24270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" fillcolor="black" stroked="f">
                <w10:wrap anchorx="page"/>
              </v:rect>
            </w:pict>
          </mc:Fallback>
        </mc:AlternateContent>
      </w:r>
      <w:r w:rsidR="00C37A4F">
        <w:rPr>
          <w:noProof/>
        </w:rPr>
        <w:t xml:space="preserve"> </w:t>
      </w:r>
      <w:r w:rsidR="00033D0F">
        <w:rPr>
          <w:position w:val="1"/>
        </w:rPr>
        <w:t>This relatively</w:t>
      </w:r>
      <w:r w:rsidR="001818E0">
        <w:rPr>
          <w:position w:val="1"/>
        </w:rPr>
        <w:tab/>
      </w:r>
      <w:r w:rsidR="00033D0F">
        <w:rPr>
          <w:position w:val="1"/>
        </w:rPr>
        <w:tab/>
        <w:t>percentage</w:t>
      </w:r>
      <w:r w:rsidR="00033D0F">
        <w:rPr>
          <w:spacing w:val="8"/>
          <w:position w:val="1"/>
        </w:rPr>
        <w:t xml:space="preserve"> </w:t>
      </w:r>
      <w:r w:rsidR="00033D0F">
        <w:rPr>
          <w:position w:val="1"/>
        </w:rPr>
        <w:t>representing</w:t>
      </w:r>
      <w:r w:rsidR="00033D0F">
        <w:rPr>
          <w:spacing w:val="13"/>
          <w:position w:val="1"/>
        </w:rPr>
        <w:t xml:space="preserve"> </w:t>
      </w:r>
      <w:r w:rsidR="00033D0F">
        <w:rPr>
          <w:position w:val="1"/>
        </w:rPr>
        <w:t>other</w:t>
      </w:r>
      <w:r w:rsidR="00033D0F">
        <w:rPr>
          <w:spacing w:val="8"/>
          <w:position w:val="1"/>
        </w:rPr>
        <w:t xml:space="preserve"> </w:t>
      </w:r>
      <w:r w:rsidR="00033D0F">
        <w:rPr>
          <w:position w:val="1"/>
        </w:rPr>
        <w:t>products</w:t>
      </w:r>
      <w:r w:rsidR="00033D0F">
        <w:rPr>
          <w:spacing w:val="12"/>
          <w:position w:val="1"/>
        </w:rPr>
        <w:t xml:space="preserve"> </w:t>
      </w:r>
      <w:r w:rsidR="00033D0F">
        <w:rPr>
          <w:position w:val="1"/>
        </w:rPr>
        <w:t>outside</w:t>
      </w:r>
      <w:r w:rsidR="00033D0F">
        <w:rPr>
          <w:spacing w:val="11"/>
          <w:position w:val="1"/>
        </w:rPr>
        <w:t xml:space="preserve"> </w:t>
      </w:r>
      <w:r w:rsidR="00033D0F">
        <w:rPr>
          <w:position w:val="1"/>
        </w:rPr>
        <w:t>the</w:t>
      </w:r>
      <w:r w:rsidR="00033D0F">
        <w:rPr>
          <w:spacing w:val="11"/>
          <w:position w:val="1"/>
        </w:rPr>
        <w:t xml:space="preserve"> </w:t>
      </w:r>
      <w:r w:rsidR="00033D0F">
        <w:rPr>
          <w:position w:val="1"/>
        </w:rPr>
        <w:t>scope</w:t>
      </w:r>
      <w:r w:rsidR="00033D0F">
        <w:rPr>
          <w:spacing w:val="11"/>
          <w:position w:val="1"/>
        </w:rPr>
        <w:t xml:space="preserve"> </w:t>
      </w:r>
      <w:r w:rsidR="00033D0F">
        <w:rPr>
          <w:spacing w:val="-5"/>
          <w:position w:val="1"/>
        </w:rPr>
        <w:t>of</w:t>
      </w:r>
    </w:p>
    <w:p w14:paraId="4648AD9B" w14:textId="41054A24" w:rsidR="00BD462C" w:rsidRDefault="00D70C7D">
      <w:pPr>
        <w:pStyle w:val="BodyText"/>
        <w:tabs>
          <w:tab w:val="left" w:pos="6438"/>
          <w:tab w:val="left" w:pos="7556"/>
        </w:tabs>
        <w:spacing w:before="139" w:line="360" w:lineRule="auto"/>
        <w:ind w:left="135" w:right="917"/>
        <w:jc w:val="both"/>
      </w:pPr>
      <w:r>
        <w:rPr>
          <w:noProof/>
        </w:rPr>
        <mc:AlternateContent>
          <mc:Choice Requires="wps">
            <w:drawing>
              <wp:anchor distT="0" distB="0" distL="114300" distR="114300" simplePos="0" relativeHeight="479046144" behindDoc="1" locked="0" layoutInCell="1" allowOverlap="1" wp14:anchorId="1A3DDDCF" wp14:editId="1346708B">
                <wp:simplePos x="0" y="0"/>
                <wp:positionH relativeFrom="page">
                  <wp:posOffset>4285615</wp:posOffset>
                </wp:positionH>
                <wp:positionV relativeFrom="paragraph">
                  <wp:posOffset>367665</wp:posOffset>
                </wp:positionV>
                <wp:extent cx="585470" cy="186055"/>
                <wp:effectExtent l="0" t="0" r="0" b="0"/>
                <wp:wrapNone/>
                <wp:docPr id="754" name="docshape3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47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04A584" id="docshape342" o:spid="_x0000_s1026" alt="&quot;&quot;" style="position:absolute;margin-left:337.45pt;margin-top:28.95pt;width:46.1pt;height:14.65pt;z-index:-24270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" fillcolor="black" stroked="f">
                <w10:wrap anchorx="page"/>
              </v:rect>
            </w:pict>
          </mc:Fallback>
        </mc:AlternateContent>
      </w:r>
      <w:r>
        <w:rPr>
          <w:noProof/>
        </w:rPr>
        <mc:AlternateContent>
          <mc:Choice Requires="wps">
            <w:drawing>
              <wp:anchor distT="0" distB="0" distL="114300" distR="114300" simplePos="0" relativeHeight="479046656" behindDoc="1" locked="0" layoutInCell="1" allowOverlap="1" wp14:anchorId="5273100F" wp14:editId="3770A383">
                <wp:simplePos x="0" y="0"/>
                <wp:positionH relativeFrom="page">
                  <wp:posOffset>5120640</wp:posOffset>
                </wp:positionH>
                <wp:positionV relativeFrom="paragraph">
                  <wp:posOffset>925195</wp:posOffset>
                </wp:positionV>
                <wp:extent cx="460375" cy="186055"/>
                <wp:effectExtent l="0" t="0" r="0" b="0"/>
                <wp:wrapNone/>
                <wp:docPr id="752" name="docshape3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37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97149C" id="docshape343" o:spid="_x0000_s1026" alt="&quot;&quot;" style="position:absolute;margin-left:403.2pt;margin-top:72.85pt;width:36.25pt;height:14.65pt;z-index:-24269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" fillcolor="black" stroked="f">
                <w10:wrap anchorx="page"/>
              </v:rect>
            </w:pict>
          </mc:Fallback>
        </mc:AlternateContent>
      </w:r>
      <w:r w:rsidR="00033D0F">
        <w:t>the investigation</w:t>
      </w:r>
      <w:r w:rsidR="00033D0F">
        <w:rPr>
          <w:spacing w:val="-1"/>
        </w:rPr>
        <w:t xml:space="preserve"> </w:t>
      </w:r>
      <w:r w:rsidR="00033D0F">
        <w:t>should</w:t>
      </w:r>
      <w:r w:rsidR="00033D0F">
        <w:rPr>
          <w:spacing w:val="-1"/>
        </w:rPr>
        <w:t xml:space="preserve"> </w:t>
      </w:r>
      <w:r w:rsidR="00033D0F">
        <w:t>have prompted</w:t>
      </w:r>
      <w:r w:rsidR="00033D0F">
        <w:rPr>
          <w:spacing w:val="-1"/>
        </w:rPr>
        <w:t xml:space="preserve"> </w:t>
      </w:r>
      <w:r w:rsidR="00033D0F">
        <w:t>close scrutiny,</w:t>
      </w:r>
      <w:r w:rsidR="00033D0F">
        <w:rPr>
          <w:spacing w:val="-1"/>
        </w:rPr>
        <w:t xml:space="preserve"> </w:t>
      </w:r>
      <w:r w:rsidR="00033D0F">
        <w:t>given</w:t>
      </w:r>
      <w:r w:rsidR="00033D0F">
        <w:rPr>
          <w:spacing w:val="-1"/>
        </w:rPr>
        <w:t xml:space="preserve"> </w:t>
      </w:r>
      <w:r w:rsidR="00033D0F">
        <w:t>that</w:t>
      </w:r>
      <w:r w:rsidR="00033D0F">
        <w:rPr>
          <w:spacing w:val="-3"/>
        </w:rPr>
        <w:t xml:space="preserve"> </w:t>
      </w:r>
      <w:r w:rsidR="00033D0F">
        <w:t>it was entirely</w:t>
      </w:r>
      <w:r w:rsidR="00033D0F">
        <w:rPr>
          <w:spacing w:val="-2"/>
        </w:rPr>
        <w:t xml:space="preserve"> </w:t>
      </w:r>
      <w:r w:rsidR="00033D0F">
        <w:t>inconsistent with other evidence on the record. For example, when</w:t>
      </w:r>
      <w:r w:rsidR="00033D0F">
        <w:tab/>
        <w:t>calculation</w:t>
      </w:r>
      <w:r w:rsidR="00033D0F">
        <w:rPr>
          <w:spacing w:val="-14"/>
        </w:rPr>
        <w:t xml:space="preserve"> </w:t>
      </w:r>
      <w:r w:rsidR="00033D0F">
        <w:t>of</w:t>
      </w:r>
      <w:r w:rsidR="00033D0F">
        <w:rPr>
          <w:spacing w:val="-12"/>
        </w:rPr>
        <w:t xml:space="preserve"> </w:t>
      </w:r>
      <w:r w:rsidR="00033D0F">
        <w:t>total</w:t>
      </w:r>
      <w:r w:rsidR="00033D0F">
        <w:rPr>
          <w:spacing w:val="-12"/>
        </w:rPr>
        <w:t xml:space="preserve"> </w:t>
      </w:r>
      <w:r w:rsidR="00033D0F">
        <w:t>domestic product is compared with the statistical data on total wine production provided by CADA, it demonstrates that the volume of "other wines" was far greater than</w:t>
      </w:r>
      <w:r w:rsidR="00033D0F">
        <w:tab/>
        <w:t>as</w:t>
      </w:r>
      <w:r w:rsidR="00033D0F">
        <w:rPr>
          <w:spacing w:val="-14"/>
        </w:rPr>
        <w:t xml:space="preserve"> </w:t>
      </w:r>
      <w:r w:rsidR="00033D0F">
        <w:t>demonstrated in Table 1 below.</w:t>
      </w:r>
    </w:p>
    <w:p w14:paraId="6D38F829" w14:textId="77777777" w:rsidR="00BD462C" w:rsidRDefault="00BD462C">
      <w:pPr>
        <w:pStyle w:val="BodyText"/>
        <w:rPr>
          <w:sz w:val="20"/>
        </w:rPr>
      </w:pPr>
    </w:p>
    <w:p w14:paraId="3D952977" w14:textId="77777777" w:rsidR="00BD462C" w:rsidRDefault="00BD462C">
      <w:pPr>
        <w:pStyle w:val="BodyText"/>
        <w:rPr>
          <w:sz w:val="20"/>
        </w:rPr>
      </w:pPr>
    </w:p>
    <w:p w14:paraId="1E649BB7" w14:textId="77777777" w:rsidR="00BD462C" w:rsidRDefault="00BD462C">
      <w:pPr>
        <w:pStyle w:val="BodyText"/>
        <w:rPr>
          <w:sz w:val="20"/>
        </w:rPr>
      </w:pPr>
    </w:p>
    <w:p w14:paraId="14B67B06" w14:textId="77777777" w:rsidR="00BD462C" w:rsidRDefault="00BD462C">
      <w:pPr>
        <w:pStyle w:val="BodyText"/>
        <w:rPr>
          <w:sz w:val="20"/>
        </w:rPr>
      </w:pPr>
    </w:p>
    <w:p w14:paraId="379A49DB" w14:textId="77777777" w:rsidR="00BD462C" w:rsidRDefault="00BD462C">
      <w:pPr>
        <w:pStyle w:val="BodyText"/>
        <w:rPr>
          <w:sz w:val="20"/>
        </w:rPr>
      </w:pPr>
    </w:p>
    <w:p w14:paraId="351024A3" w14:textId="77777777" w:rsidR="00BD462C" w:rsidRDefault="00BD462C">
      <w:pPr>
        <w:pStyle w:val="BodyText"/>
        <w:rPr>
          <w:sz w:val="20"/>
        </w:rPr>
      </w:pPr>
    </w:p>
    <w:p w14:paraId="475A3F08" w14:textId="77777777" w:rsidR="00BD462C" w:rsidRDefault="00BD462C">
      <w:pPr>
        <w:pStyle w:val="BodyText"/>
        <w:rPr>
          <w:sz w:val="20"/>
        </w:rPr>
      </w:pPr>
    </w:p>
    <w:p w14:paraId="6C30EA20" w14:textId="77777777" w:rsidR="00BD462C" w:rsidRDefault="00BD462C">
      <w:pPr>
        <w:pStyle w:val="BodyText"/>
        <w:rPr>
          <w:sz w:val="20"/>
        </w:rPr>
      </w:pPr>
    </w:p>
    <w:p w14:paraId="2B92ADC2" w14:textId="77777777" w:rsidR="00BD462C" w:rsidRDefault="00BD462C">
      <w:pPr>
        <w:pStyle w:val="BodyText"/>
        <w:rPr>
          <w:sz w:val="20"/>
        </w:rPr>
      </w:pPr>
    </w:p>
    <w:p w14:paraId="3520C71D" w14:textId="77777777" w:rsidR="00BD462C" w:rsidRDefault="00BD462C">
      <w:pPr>
        <w:pStyle w:val="BodyText"/>
        <w:rPr>
          <w:sz w:val="20"/>
        </w:rPr>
      </w:pPr>
    </w:p>
    <w:p w14:paraId="458382FE" w14:textId="77777777" w:rsidR="00BD462C" w:rsidRDefault="00BD462C">
      <w:pPr>
        <w:pStyle w:val="BodyText"/>
        <w:rPr>
          <w:sz w:val="20"/>
        </w:rPr>
      </w:pPr>
    </w:p>
    <w:p w14:paraId="392D2DAF" w14:textId="2BFBED0B" w:rsidR="00BD462C" w:rsidRPr="001818E0" w:rsidRDefault="001818E0" w:rsidP="001818E0">
      <w:pPr>
        <w:pStyle w:val="BodyText"/>
        <w:rPr>
          <w:sz w:val="20"/>
        </w:rPr>
      </w:pPr>
      <w:r>
        <w:rPr>
          <w:noProof/>
        </w:rPr>
        <mc:AlternateContent>
          <mc:Choice Requires="wps">
            <w:drawing>
              <wp:anchor distT="0" distB="0" distL="0" distR="0" simplePos="0" relativeHeight="488327680" behindDoc="1" locked="0" layoutInCell="1" allowOverlap="1" wp14:anchorId="67B7BF9C" wp14:editId="51F896E6">
                <wp:simplePos x="0" y="0"/>
                <wp:positionH relativeFrom="page">
                  <wp:posOffset>812800</wp:posOffset>
                </wp:positionH>
                <wp:positionV relativeFrom="paragraph">
                  <wp:posOffset>243840</wp:posOffset>
                </wp:positionV>
                <wp:extent cx="1828800" cy="8890"/>
                <wp:effectExtent l="0" t="0" r="0" b="0"/>
                <wp:wrapTopAndBottom/>
                <wp:docPr id="1330" name="docshape5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C415E0" id="docshape591" o:spid="_x0000_s1026" alt="&quot;&quot;" style="position:absolute;margin-left:64pt;margin-top:19.2pt;width:2in;height:.7pt;z-index:-14988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" fillcolor="black" stroked="f">
                <w10:wrap type="topAndBottom" anchorx="page"/>
              </v:rect>
            </w:pict>
          </mc:Fallback>
        </mc:AlternateContent>
      </w:r>
    </w:p>
    <w:p w14:paraId="153E62C0" w14:textId="175827CF" w:rsidR="00BD462C" w:rsidRDefault="00033D0F">
      <w:pPr>
        <w:tabs>
          <w:tab w:val="left" w:pos="3803"/>
        </w:tabs>
        <w:spacing w:before="107"/>
        <w:ind w:left="135"/>
        <w:rPr>
          <w:sz w:val="18"/>
        </w:rPr>
      </w:pPr>
      <w:bookmarkStart w:id="778" w:name="_bookmark669"/>
      <w:bookmarkEnd w:id="778"/>
      <w:r>
        <w:rPr>
          <w:spacing w:val="-5"/>
          <w:position w:val="5"/>
          <w:sz w:val="12"/>
        </w:rPr>
        <w:t>558</w:t>
      </w:r>
      <w:r>
        <w:rPr>
          <w:position w:val="5"/>
          <w:sz w:val="12"/>
        </w:rPr>
        <w:tab/>
      </w:r>
      <w:r>
        <w:rPr>
          <w:sz w:val="18"/>
        </w:rPr>
        <w:t>calculations</w:t>
      </w:r>
      <w:r>
        <w:rPr>
          <w:spacing w:val="-8"/>
          <w:sz w:val="18"/>
        </w:rPr>
        <w:t xml:space="preserve"> </w:t>
      </w:r>
      <w:r>
        <w:rPr>
          <w:sz w:val="18"/>
        </w:rPr>
        <w:t>(confidential</w:t>
      </w:r>
      <w:r>
        <w:rPr>
          <w:spacing w:val="-6"/>
          <w:sz w:val="18"/>
        </w:rPr>
        <w:t xml:space="preserve"> </w:t>
      </w:r>
      <w:r>
        <w:rPr>
          <w:sz w:val="18"/>
        </w:rPr>
        <w:t>version)</w:t>
      </w:r>
      <w:r>
        <w:rPr>
          <w:spacing w:val="-5"/>
          <w:sz w:val="18"/>
        </w:rPr>
        <w:t xml:space="preserve"> </w:t>
      </w:r>
      <w:r>
        <w:rPr>
          <w:sz w:val="18"/>
        </w:rPr>
        <w:t>(Exhibit</w:t>
      </w:r>
      <w:r>
        <w:rPr>
          <w:spacing w:val="-7"/>
          <w:sz w:val="18"/>
        </w:rPr>
        <w:t xml:space="preserve"> </w:t>
      </w:r>
      <w:r>
        <w:rPr>
          <w:sz w:val="18"/>
        </w:rPr>
        <w:t>CHN-32</w:t>
      </w:r>
      <w:r>
        <w:rPr>
          <w:spacing w:val="-9"/>
          <w:sz w:val="18"/>
        </w:rPr>
        <w:t xml:space="preserve"> </w:t>
      </w:r>
      <w:r>
        <w:rPr>
          <w:sz w:val="18"/>
        </w:rPr>
        <w:t>(BCI)),</w:t>
      </w:r>
      <w:r>
        <w:rPr>
          <w:spacing w:val="-5"/>
          <w:sz w:val="18"/>
        </w:rPr>
        <w:t xml:space="preserve"> </w:t>
      </w:r>
      <w:r>
        <w:rPr>
          <w:spacing w:val="-4"/>
          <w:sz w:val="18"/>
        </w:rPr>
        <w:t>p.2.</w:t>
      </w:r>
    </w:p>
    <w:p w14:paraId="155F20DE" w14:textId="77777777" w:rsidR="00BD462C" w:rsidRDefault="00BD462C">
      <w:pPr>
        <w:rPr>
          <w:sz w:val="18"/>
        </w:rPr>
        <w:sectPr w:rsidR="00BD462C">
          <w:type w:val="continuous"/>
          <w:pgSz w:w="11910" w:h="16840"/>
          <w:pgMar w:top="1700" w:right="500" w:bottom="280" w:left="1280" w:header="566" w:footer="590" w:gutter="0"/>
          <w:cols w:space="720"/>
        </w:sectPr>
      </w:pPr>
    </w:p>
    <w:p w14:paraId="7D7C9234" w14:textId="3F02EC19" w:rsidR="00BD462C" w:rsidRDefault="00D70C7D">
      <w:pPr>
        <w:spacing w:before="1"/>
        <w:ind w:left="135"/>
        <w:rPr>
          <w:sz w:val="18"/>
        </w:rPr>
      </w:pPr>
      <w:r>
        <w:rPr>
          <w:noProof/>
        </w:rPr>
        <mc:AlternateContent>
          <mc:Choice Requires="wps">
            <w:drawing>
              <wp:anchor distT="0" distB="0" distL="114300" distR="114300" simplePos="0" relativeHeight="15885824" behindDoc="0" locked="0" layoutInCell="1" allowOverlap="1" wp14:anchorId="504001B6" wp14:editId="10584443">
                <wp:simplePos x="0" y="0"/>
                <wp:positionH relativeFrom="page">
                  <wp:posOffset>3907790</wp:posOffset>
                </wp:positionH>
                <wp:positionV relativeFrom="paragraph">
                  <wp:posOffset>0</wp:posOffset>
                </wp:positionV>
                <wp:extent cx="2157730" cy="140335"/>
                <wp:effectExtent l="0" t="0" r="0" b="0"/>
                <wp:wrapNone/>
                <wp:docPr id="748" name="docshape3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7730" cy="140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4F6833" id="docshape345" o:spid="_x0000_s1026" alt="&quot;&quot;" style="position:absolute;margin-left:307.7pt;margin-top:0;width:169.9pt;height:11.05pt;z-index:1588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" fillcolor="black" stroked="f">
                <w10:wrap anchorx="page"/>
              </v:rect>
            </w:pict>
          </mc:Fallback>
        </mc:AlternateContent>
      </w:r>
      <w:r>
        <w:rPr>
          <w:noProof/>
        </w:rPr>
        <mc:AlternateContent>
          <mc:Choice Requires="wps">
            <w:drawing>
              <wp:anchor distT="0" distB="0" distL="114300" distR="114300" simplePos="0" relativeHeight="15886336" behindDoc="0" locked="0" layoutInCell="1" allowOverlap="1" wp14:anchorId="428E92E9" wp14:editId="773DA131">
                <wp:simplePos x="0" y="0"/>
                <wp:positionH relativeFrom="page">
                  <wp:posOffset>3907790</wp:posOffset>
                </wp:positionH>
                <wp:positionV relativeFrom="paragraph">
                  <wp:posOffset>280035</wp:posOffset>
                </wp:positionV>
                <wp:extent cx="2157730" cy="140335"/>
                <wp:effectExtent l="0" t="0" r="0" b="0"/>
                <wp:wrapNone/>
                <wp:docPr id="746" name="docshape3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7730" cy="140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0F63FA" id="docshape346" o:spid="_x0000_s1026" alt="&quot;&quot;" style="position:absolute;margin-left:307.7pt;margin-top:22.05pt;width:169.9pt;height:11.05pt;z-index:15886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" fillcolor="black" stroked="f">
                <w10:wrap anchorx="page"/>
              </v:rect>
            </w:pict>
          </mc:Fallback>
        </mc:AlternateContent>
      </w:r>
      <w:r>
        <w:rPr>
          <w:noProof/>
        </w:rPr>
        <mc:AlternateContent>
          <mc:Choice Requires="wps">
            <w:drawing>
              <wp:anchor distT="0" distB="0" distL="114300" distR="114300" simplePos="0" relativeHeight="479048192" behindDoc="1" locked="0" layoutInCell="1" allowOverlap="1" wp14:anchorId="72A6CEC8" wp14:editId="253F87EC">
                <wp:simplePos x="0" y="0"/>
                <wp:positionH relativeFrom="page">
                  <wp:posOffset>1045210</wp:posOffset>
                </wp:positionH>
                <wp:positionV relativeFrom="paragraph">
                  <wp:posOffset>-137160</wp:posOffset>
                </wp:positionV>
                <wp:extent cx="2158365" cy="137160"/>
                <wp:effectExtent l="0" t="0" r="0" b="0"/>
                <wp:wrapNone/>
                <wp:docPr id="744" name="docshape3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8365" cy="137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F9865F" w14:textId="763D31E6" w:rsidR="00BD462C" w:rsidRDefault="00BD462C">
                            <w:pPr>
                              <w:spacing w:line="216" w:lineRule="exact"/>
                              <w:rPr>
                                <w:color w:val="000000"/>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6CEC8" id="docshape347" o:spid="_x0000_s1053" type="#_x0000_t202" alt="&quot;&quot;" style="position:absolute;left:0;text-align:left;margin-left:82.3pt;margin-top:-10.8pt;width:169.95pt;height:10.8pt;z-index:-2426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" fillcolor="black" stroked="f">
                <v:textbox inset="0,0,0,0">
                  <w:txbxContent>
                    <w:p w14:paraId="1EF9865F" w14:textId="763D31E6" w:rsidR="00BD462C" w:rsidRDefault="00BD462C">
                      <w:pPr>
                        <w:spacing w:line="216" w:lineRule="exact"/>
                        <w:rPr>
                          <w:color w:val="000000"/>
                          <w:sz w:val="18"/>
                        </w:rPr>
                      </w:pPr>
                    </w:p>
                  </w:txbxContent>
                </v:textbox>
                <w10:wrap anchorx="page"/>
              </v:shape>
            </w:pict>
          </mc:Fallback>
        </mc:AlternateContent>
      </w:r>
      <w:bookmarkStart w:id="779" w:name="_bookmark670"/>
      <w:bookmarkEnd w:id="779"/>
      <w:r w:rsidR="00033D0F">
        <w:rPr>
          <w:position w:val="5"/>
          <w:sz w:val="12"/>
        </w:rPr>
        <w:t>559</w:t>
      </w:r>
      <w:r w:rsidR="00033D0F">
        <w:rPr>
          <w:spacing w:val="40"/>
          <w:position w:val="5"/>
          <w:sz w:val="12"/>
        </w:rPr>
        <w:t xml:space="preserve"> </w:t>
      </w:r>
      <w:r w:rsidR="00033D0F">
        <w:rPr>
          <w:sz w:val="18"/>
        </w:rPr>
        <w:t>China's</w:t>
      </w:r>
      <w:r w:rsidR="00033D0F">
        <w:rPr>
          <w:spacing w:val="35"/>
          <w:sz w:val="18"/>
        </w:rPr>
        <w:t xml:space="preserve"> </w:t>
      </w:r>
      <w:r w:rsidR="00033D0F">
        <w:rPr>
          <w:sz w:val="18"/>
        </w:rPr>
        <w:t>response</w:t>
      </w:r>
      <w:r w:rsidR="00033D0F">
        <w:rPr>
          <w:spacing w:val="30"/>
          <w:sz w:val="18"/>
        </w:rPr>
        <w:t xml:space="preserve"> </w:t>
      </w:r>
      <w:r w:rsidR="00033D0F">
        <w:rPr>
          <w:sz w:val="18"/>
        </w:rPr>
        <w:t>to</w:t>
      </w:r>
      <w:r w:rsidR="00033D0F">
        <w:rPr>
          <w:spacing w:val="29"/>
          <w:sz w:val="18"/>
        </w:rPr>
        <w:t xml:space="preserve"> </w:t>
      </w:r>
      <w:r w:rsidR="00033D0F">
        <w:rPr>
          <w:sz w:val="18"/>
        </w:rPr>
        <w:t>Panel</w:t>
      </w:r>
      <w:r w:rsidR="00033D0F">
        <w:rPr>
          <w:spacing w:val="35"/>
          <w:sz w:val="18"/>
        </w:rPr>
        <w:t xml:space="preserve"> </w:t>
      </w:r>
      <w:r w:rsidR="00033D0F">
        <w:rPr>
          <w:sz w:val="18"/>
        </w:rPr>
        <w:t>question</w:t>
      </w:r>
      <w:r w:rsidR="00033D0F">
        <w:rPr>
          <w:spacing w:val="29"/>
          <w:sz w:val="18"/>
        </w:rPr>
        <w:t xml:space="preserve"> </w:t>
      </w:r>
      <w:r w:rsidR="00033D0F">
        <w:rPr>
          <w:sz w:val="18"/>
        </w:rPr>
        <w:t>No.</w:t>
      </w:r>
      <w:r w:rsidR="00033D0F">
        <w:rPr>
          <w:spacing w:val="36"/>
          <w:sz w:val="18"/>
        </w:rPr>
        <w:t xml:space="preserve"> </w:t>
      </w:r>
      <w:r w:rsidR="00033D0F">
        <w:rPr>
          <w:sz w:val="18"/>
        </w:rPr>
        <w:t>18,</w:t>
      </w:r>
      <w:r w:rsidR="00033D0F">
        <w:rPr>
          <w:spacing w:val="36"/>
          <w:sz w:val="18"/>
        </w:rPr>
        <w:t xml:space="preserve"> </w:t>
      </w:r>
      <w:r w:rsidR="00033D0F">
        <w:rPr>
          <w:sz w:val="18"/>
        </w:rPr>
        <w:t>para.</w:t>
      </w:r>
      <w:r w:rsidR="00033D0F">
        <w:rPr>
          <w:spacing w:val="31"/>
          <w:sz w:val="18"/>
        </w:rPr>
        <w:t xml:space="preserve"> </w:t>
      </w:r>
      <w:r w:rsidR="00033D0F">
        <w:rPr>
          <w:sz w:val="18"/>
        </w:rPr>
        <w:t>54</w:t>
      </w:r>
      <w:r w:rsidR="00033D0F">
        <w:rPr>
          <w:spacing w:val="33"/>
          <w:sz w:val="18"/>
        </w:rPr>
        <w:t xml:space="preserve"> </w:t>
      </w:r>
      <w:r w:rsidR="00033D0F">
        <w:rPr>
          <w:sz w:val="18"/>
        </w:rPr>
        <w:t>and (confidential version), (Exhibit CHN-32 (BCI)).</w:t>
      </w:r>
    </w:p>
    <w:p w14:paraId="2F01BF84" w14:textId="77777777" w:rsidR="00BD462C" w:rsidRDefault="00033D0F">
      <w:pPr>
        <w:spacing w:before="2"/>
        <w:ind w:left="135"/>
        <w:rPr>
          <w:sz w:val="18"/>
        </w:rPr>
      </w:pPr>
      <w:bookmarkStart w:id="780" w:name="_bookmark671"/>
      <w:bookmarkEnd w:id="780"/>
      <w:r>
        <w:rPr>
          <w:position w:val="5"/>
          <w:sz w:val="12"/>
        </w:rPr>
        <w:t>560</w:t>
      </w:r>
      <w:r>
        <w:rPr>
          <w:spacing w:val="40"/>
          <w:position w:val="5"/>
          <w:sz w:val="12"/>
        </w:rPr>
        <w:t xml:space="preserve"> </w:t>
      </w:r>
      <w:r>
        <w:rPr>
          <w:sz w:val="18"/>
        </w:rPr>
        <w:t>China's</w:t>
      </w:r>
      <w:r>
        <w:rPr>
          <w:spacing w:val="35"/>
          <w:sz w:val="18"/>
        </w:rPr>
        <w:t xml:space="preserve"> </w:t>
      </w:r>
      <w:r>
        <w:rPr>
          <w:sz w:val="18"/>
        </w:rPr>
        <w:t>response</w:t>
      </w:r>
      <w:r>
        <w:rPr>
          <w:spacing w:val="30"/>
          <w:sz w:val="18"/>
        </w:rPr>
        <w:t xml:space="preserve"> </w:t>
      </w:r>
      <w:r>
        <w:rPr>
          <w:sz w:val="18"/>
        </w:rPr>
        <w:t>to</w:t>
      </w:r>
      <w:r>
        <w:rPr>
          <w:spacing w:val="29"/>
          <w:sz w:val="18"/>
        </w:rPr>
        <w:t xml:space="preserve"> </w:t>
      </w:r>
      <w:r>
        <w:rPr>
          <w:sz w:val="18"/>
        </w:rPr>
        <w:t>Panel</w:t>
      </w:r>
      <w:r>
        <w:rPr>
          <w:spacing w:val="35"/>
          <w:sz w:val="18"/>
        </w:rPr>
        <w:t xml:space="preserve"> </w:t>
      </w:r>
      <w:r>
        <w:rPr>
          <w:sz w:val="18"/>
        </w:rPr>
        <w:t>question</w:t>
      </w:r>
      <w:r>
        <w:rPr>
          <w:spacing w:val="29"/>
          <w:sz w:val="18"/>
        </w:rPr>
        <w:t xml:space="preserve"> </w:t>
      </w:r>
      <w:r>
        <w:rPr>
          <w:sz w:val="18"/>
        </w:rPr>
        <w:t>No.</w:t>
      </w:r>
      <w:r>
        <w:rPr>
          <w:spacing w:val="36"/>
          <w:sz w:val="18"/>
        </w:rPr>
        <w:t xml:space="preserve"> </w:t>
      </w:r>
      <w:r>
        <w:rPr>
          <w:sz w:val="18"/>
        </w:rPr>
        <w:t>16,</w:t>
      </w:r>
      <w:r>
        <w:rPr>
          <w:spacing w:val="36"/>
          <w:sz w:val="18"/>
        </w:rPr>
        <w:t xml:space="preserve"> </w:t>
      </w:r>
      <w:r>
        <w:rPr>
          <w:sz w:val="18"/>
        </w:rPr>
        <w:t>para.</w:t>
      </w:r>
      <w:r>
        <w:rPr>
          <w:spacing w:val="31"/>
          <w:sz w:val="18"/>
        </w:rPr>
        <w:t xml:space="preserve"> </w:t>
      </w:r>
      <w:r>
        <w:rPr>
          <w:sz w:val="18"/>
        </w:rPr>
        <w:t>55</w:t>
      </w:r>
      <w:r>
        <w:rPr>
          <w:spacing w:val="33"/>
          <w:sz w:val="18"/>
        </w:rPr>
        <w:t xml:space="preserve"> </w:t>
      </w:r>
      <w:r>
        <w:rPr>
          <w:sz w:val="18"/>
        </w:rPr>
        <w:t>and (confidential version) (Exhibit CHN-32 (BCI)).</w:t>
      </w:r>
    </w:p>
    <w:p w14:paraId="711CF0B5" w14:textId="77777777" w:rsidR="00BD462C" w:rsidRDefault="00033D0F">
      <w:pPr>
        <w:spacing w:before="1" w:line="482" w:lineRule="auto"/>
        <w:ind w:left="135" w:right="119"/>
        <w:rPr>
          <w:sz w:val="18"/>
        </w:rPr>
      </w:pPr>
      <w:r>
        <w:br w:type="column"/>
      </w:r>
      <w:r>
        <w:rPr>
          <w:spacing w:val="-2"/>
          <w:sz w:val="18"/>
        </w:rPr>
        <w:t>calculations</w:t>
      </w:r>
      <w:r>
        <w:rPr>
          <w:sz w:val="18"/>
        </w:rPr>
        <w:t xml:space="preserve"> </w:t>
      </w:r>
      <w:proofErr w:type="spellStart"/>
      <w:r>
        <w:rPr>
          <w:spacing w:val="-2"/>
          <w:sz w:val="18"/>
        </w:rPr>
        <w:t>calculations</w:t>
      </w:r>
      <w:proofErr w:type="spellEnd"/>
    </w:p>
    <w:p w14:paraId="7E4B5413" w14:textId="77777777" w:rsidR="00BD462C" w:rsidRDefault="00BD462C">
      <w:pPr>
        <w:spacing w:line="482" w:lineRule="auto"/>
        <w:rPr>
          <w:sz w:val="18"/>
        </w:rPr>
        <w:sectPr w:rsidR="00BD462C">
          <w:type w:val="continuous"/>
          <w:pgSz w:w="11910" w:h="16840"/>
          <w:pgMar w:top="1700" w:right="500" w:bottom="280" w:left="1280" w:header="566" w:footer="590" w:gutter="0"/>
          <w:cols w:num="2" w:space="720" w:equalWidth="0">
            <w:col w:w="4841" w:space="3376"/>
            <w:col w:w="1913"/>
          </w:cols>
        </w:sectPr>
      </w:pPr>
    </w:p>
    <w:p w14:paraId="2AE554B7"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3AEFB50A"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19012231"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5B89784F" w14:textId="431C0937" w:rsidR="00BD462C" w:rsidRDefault="00033D0F">
      <w:pPr>
        <w:pStyle w:val="Heading3"/>
        <w:tabs>
          <w:tab w:val="left" w:pos="1811"/>
        </w:tabs>
        <w:ind w:left="678" w:firstLine="0"/>
        <w:jc w:val="left"/>
      </w:pPr>
      <w:bookmarkStart w:id="781" w:name="Table_1_Variances_between_MOFCOM_and_CAD"/>
      <w:bookmarkStart w:id="782" w:name="_bookmark672"/>
      <w:bookmarkEnd w:id="781"/>
      <w:bookmarkEnd w:id="782"/>
      <w:r>
        <w:t>Table</w:t>
      </w:r>
      <w:r>
        <w:rPr>
          <w:spacing w:val="-3"/>
        </w:rPr>
        <w:t xml:space="preserve"> </w:t>
      </w:r>
      <w:r>
        <w:rPr>
          <w:spacing w:val="-10"/>
        </w:rPr>
        <w:t>1</w:t>
      </w:r>
      <w:r>
        <w:tab/>
        <w:t>Variances</w:t>
      </w:r>
      <w:r>
        <w:rPr>
          <w:spacing w:val="-3"/>
        </w:rPr>
        <w:t xml:space="preserve"> </w:t>
      </w:r>
      <w:r>
        <w:t>between</w:t>
      </w:r>
      <w:r>
        <w:rPr>
          <w:spacing w:val="-2"/>
        </w:rPr>
        <w:t xml:space="preserve"> </w:t>
      </w:r>
      <w:r>
        <w:t>MOFCOM</w:t>
      </w:r>
      <w:r>
        <w:rPr>
          <w:spacing w:val="-1"/>
        </w:rPr>
        <w:t xml:space="preserve"> </w:t>
      </w:r>
      <w:r>
        <w:t>and</w:t>
      </w:r>
      <w:r>
        <w:rPr>
          <w:spacing w:val="-2"/>
        </w:rPr>
        <w:t xml:space="preserve"> </w:t>
      </w:r>
      <w:r>
        <w:t>CADA's</w:t>
      </w:r>
      <w:r>
        <w:rPr>
          <w:spacing w:val="-3"/>
        </w:rPr>
        <w:t xml:space="preserve"> </w:t>
      </w:r>
      <w:r>
        <w:t>Total</w:t>
      </w:r>
      <w:r>
        <w:rPr>
          <w:spacing w:val="-9"/>
        </w:rPr>
        <w:t xml:space="preserve"> </w:t>
      </w:r>
      <w:r>
        <w:t>Domestic</w:t>
      </w:r>
      <w:r>
        <w:rPr>
          <w:spacing w:val="-2"/>
        </w:rPr>
        <w:t xml:space="preserve"> Production</w:t>
      </w:r>
    </w:p>
    <w:p w14:paraId="44390EBD" w14:textId="77777777" w:rsidR="00BD462C" w:rsidRDefault="00BD462C">
      <w:pPr>
        <w:pStyle w:val="BodyText"/>
        <w:rPr>
          <w:b/>
        </w:rPr>
      </w:pPr>
    </w:p>
    <w:tbl>
      <w:tblPr>
        <w:tblStyle w:val="TableGrid"/>
        <w:tblW w:w="10116" w:type="dxa"/>
        <w:tblLook w:val="04A0" w:firstRow="1" w:lastRow="0" w:firstColumn="1" w:lastColumn="0" w:noHBand="0" w:noVBand="1"/>
      </w:tblPr>
      <w:tblGrid>
        <w:gridCol w:w="1129"/>
        <w:gridCol w:w="2243"/>
        <w:gridCol w:w="1686"/>
        <w:gridCol w:w="1686"/>
        <w:gridCol w:w="1686"/>
        <w:gridCol w:w="1686"/>
      </w:tblGrid>
      <w:tr w:rsidR="00A9044D" w14:paraId="3828D3EC" w14:textId="77777777" w:rsidTr="00A9044D">
        <w:tc>
          <w:tcPr>
            <w:tcW w:w="1129" w:type="dxa"/>
          </w:tcPr>
          <w:p w14:paraId="5864A64C" w14:textId="77777777" w:rsidR="00A9044D" w:rsidRDefault="00A9044D" w:rsidP="00A9044D">
            <w:pPr>
              <w:pStyle w:val="TableParagraph"/>
              <w:spacing w:before="6"/>
              <w:ind w:left="0"/>
              <w:rPr>
                <w:b/>
                <w:sz w:val="24"/>
              </w:rPr>
            </w:pPr>
          </w:p>
          <w:p w14:paraId="68E6902B" w14:textId="284C8694" w:rsidR="00A9044D" w:rsidRDefault="00A9044D" w:rsidP="00A9044D">
            <w:pPr>
              <w:pStyle w:val="BodyText"/>
              <w:spacing w:before="11"/>
              <w:rPr>
                <w:b/>
                <w:sz w:val="25"/>
              </w:rPr>
            </w:pPr>
            <w:r>
              <w:rPr>
                <w:b/>
                <w:spacing w:val="-4"/>
              </w:rPr>
              <w:t>Year</w:t>
            </w:r>
          </w:p>
        </w:tc>
        <w:tc>
          <w:tcPr>
            <w:tcW w:w="2243" w:type="dxa"/>
          </w:tcPr>
          <w:p w14:paraId="1AD3B4DC" w14:textId="77777777" w:rsidR="00A9044D" w:rsidRDefault="00A9044D" w:rsidP="00A9044D">
            <w:pPr>
              <w:pStyle w:val="TableParagraph"/>
              <w:spacing w:before="6"/>
              <w:rPr>
                <w:b/>
                <w:sz w:val="24"/>
              </w:rPr>
            </w:pPr>
            <w:r>
              <w:rPr>
                <w:b/>
                <w:spacing w:val="-2"/>
                <w:sz w:val="24"/>
              </w:rPr>
              <w:t>CADA's</w:t>
            </w:r>
          </w:p>
          <w:p w14:paraId="7035A1E7" w14:textId="46CE0E46" w:rsidR="00A9044D" w:rsidRDefault="00A9044D" w:rsidP="00A9044D">
            <w:pPr>
              <w:pStyle w:val="BodyText"/>
              <w:spacing w:before="11"/>
              <w:rPr>
                <w:b/>
                <w:sz w:val="25"/>
              </w:rPr>
            </w:pPr>
            <w:r>
              <w:rPr>
                <w:b/>
                <w:spacing w:val="-2"/>
              </w:rPr>
              <w:t>"</w:t>
            </w:r>
            <w:proofErr w:type="gramStart"/>
            <w:r>
              <w:rPr>
                <w:b/>
                <w:spacing w:val="-2"/>
              </w:rPr>
              <w:t>total</w:t>
            </w:r>
            <w:proofErr w:type="gramEnd"/>
            <w:r>
              <w:rPr>
                <w:b/>
                <w:spacing w:val="-2"/>
              </w:rPr>
              <w:t xml:space="preserve"> </w:t>
            </w:r>
            <w:r>
              <w:rPr>
                <w:b/>
              </w:rPr>
              <w:t xml:space="preserve">output of </w:t>
            </w:r>
            <w:r>
              <w:rPr>
                <w:b/>
                <w:spacing w:val="-2"/>
              </w:rPr>
              <w:t>domestic like- products" (</w:t>
            </w:r>
            <w:proofErr w:type="spellStart"/>
            <w:r>
              <w:rPr>
                <w:b/>
                <w:spacing w:val="-2"/>
              </w:rPr>
              <w:t>kilolitre</w:t>
            </w:r>
            <w:proofErr w:type="spellEnd"/>
            <w:r>
              <w:rPr>
                <w:b/>
                <w:spacing w:val="-2"/>
              </w:rPr>
              <w:t>)</w:t>
            </w:r>
            <w:r>
              <w:rPr>
                <w:b/>
                <w:spacing w:val="-12"/>
              </w:rPr>
              <w:t xml:space="preserve"> </w:t>
            </w:r>
            <w:hyperlink w:anchor="_bookmark673" w:history="1">
              <w:r>
                <w:rPr>
                  <w:b/>
                  <w:spacing w:val="-2"/>
                  <w:vertAlign w:val="superscript"/>
                </w:rPr>
                <w:t>561</w:t>
              </w:r>
            </w:hyperlink>
          </w:p>
        </w:tc>
        <w:tc>
          <w:tcPr>
            <w:tcW w:w="1686" w:type="dxa"/>
          </w:tcPr>
          <w:p w14:paraId="6A066FAA" w14:textId="321AC246" w:rsidR="00A9044D" w:rsidRDefault="00A9044D" w:rsidP="00A9044D">
            <w:pPr>
              <w:pStyle w:val="TableParagraph"/>
              <w:spacing w:before="6"/>
              <w:ind w:left="0"/>
              <w:rPr>
                <w:b/>
                <w:sz w:val="24"/>
              </w:rPr>
            </w:pPr>
            <w:r>
              <w:rPr>
                <w:noProof/>
              </w:rPr>
              <mc:AlternateContent>
                <mc:Choice Requires="wps">
                  <w:drawing>
                    <wp:anchor distT="0" distB="0" distL="114300" distR="114300" simplePos="0" relativeHeight="487918080" behindDoc="0" locked="0" layoutInCell="1" allowOverlap="1" wp14:anchorId="479BB971" wp14:editId="2BF3FDC1">
                      <wp:simplePos x="0" y="0"/>
                      <wp:positionH relativeFrom="column">
                        <wp:posOffset>-3175</wp:posOffset>
                      </wp:positionH>
                      <wp:positionV relativeFrom="paragraph">
                        <wp:posOffset>46990</wp:posOffset>
                      </wp:positionV>
                      <wp:extent cx="768350" cy="148442"/>
                      <wp:effectExtent l="0" t="0" r="12700" b="23495"/>
                      <wp:wrapNone/>
                      <wp:docPr id="1442" name="Rectangle 14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8350" cy="148442"/>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D5DB21" id="Rectangle 1442" o:spid="_x0000_s1026" alt="&quot;&quot;" style="position:absolute;margin-left:-.25pt;margin-top:3.7pt;width:60.5pt;height:11.7pt;z-index:4879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" fillcolor="black [3200]" strokecolor="black [1600]" strokeweight="2pt"/>
                  </w:pict>
                </mc:Fallback>
              </mc:AlternateContent>
            </w:r>
          </w:p>
          <w:p w14:paraId="5491046B" w14:textId="13F6BD9A" w:rsidR="00A9044D" w:rsidRDefault="00A9044D" w:rsidP="00A9044D">
            <w:pPr>
              <w:pStyle w:val="BodyText"/>
              <w:spacing w:before="11"/>
              <w:rPr>
                <w:b/>
                <w:sz w:val="25"/>
              </w:rPr>
            </w:pPr>
            <w:r>
              <w:rPr>
                <w:b/>
                <w:spacing w:val="-2"/>
              </w:rPr>
              <w:t xml:space="preserve">"Overall </w:t>
            </w:r>
            <w:r>
              <w:rPr>
                <w:b/>
              </w:rPr>
              <w:t xml:space="preserve">output of </w:t>
            </w:r>
            <w:r>
              <w:rPr>
                <w:b/>
                <w:spacing w:val="-2"/>
              </w:rPr>
              <w:t>domestic relevant wines" (</w:t>
            </w:r>
            <w:proofErr w:type="spellStart"/>
            <w:r>
              <w:rPr>
                <w:b/>
                <w:spacing w:val="-2"/>
              </w:rPr>
              <w:t>kilolitre</w:t>
            </w:r>
            <w:proofErr w:type="spellEnd"/>
            <w:r>
              <w:rPr>
                <w:b/>
                <w:spacing w:val="-2"/>
              </w:rPr>
              <w:t>)</w:t>
            </w:r>
            <w:hyperlink w:anchor="_bookmark674" w:history="1">
              <w:r>
                <w:rPr>
                  <w:b/>
                  <w:spacing w:val="-2"/>
                  <w:vertAlign w:val="superscript"/>
                </w:rPr>
                <w:t>562</w:t>
              </w:r>
            </w:hyperlink>
          </w:p>
        </w:tc>
        <w:tc>
          <w:tcPr>
            <w:tcW w:w="1686" w:type="dxa"/>
          </w:tcPr>
          <w:p w14:paraId="5A634D1E" w14:textId="7BD4858C" w:rsidR="00A9044D" w:rsidRDefault="00A9044D" w:rsidP="00A9044D">
            <w:pPr>
              <w:pStyle w:val="BodyText"/>
              <w:spacing w:before="11"/>
              <w:rPr>
                <w:b/>
                <w:sz w:val="25"/>
              </w:rPr>
            </w:pPr>
            <w:r>
              <w:rPr>
                <w:b/>
                <w:spacing w:val="-2"/>
              </w:rPr>
              <w:t xml:space="preserve">Implied production </w:t>
            </w:r>
            <w:r>
              <w:rPr>
                <w:b/>
              </w:rPr>
              <w:t xml:space="preserve">of "other </w:t>
            </w:r>
            <w:r>
              <w:rPr>
                <w:b/>
                <w:spacing w:val="-2"/>
              </w:rPr>
              <w:t>wines" (</w:t>
            </w:r>
            <w:proofErr w:type="spellStart"/>
            <w:r>
              <w:rPr>
                <w:b/>
                <w:spacing w:val="-2"/>
              </w:rPr>
              <w:t>kilolitre</w:t>
            </w:r>
            <w:proofErr w:type="spellEnd"/>
            <w:r>
              <w:rPr>
                <w:b/>
                <w:spacing w:val="-2"/>
              </w:rPr>
              <w:t>)</w:t>
            </w:r>
          </w:p>
        </w:tc>
        <w:tc>
          <w:tcPr>
            <w:tcW w:w="1686" w:type="dxa"/>
          </w:tcPr>
          <w:p w14:paraId="23144C70" w14:textId="15931B47" w:rsidR="00A9044D" w:rsidRDefault="00A9044D" w:rsidP="00A9044D">
            <w:pPr>
              <w:pStyle w:val="TableParagraph"/>
              <w:tabs>
                <w:tab w:val="left" w:pos="1190"/>
              </w:tabs>
              <w:spacing w:before="6"/>
              <w:rPr>
                <w:b/>
                <w:sz w:val="24"/>
              </w:rPr>
            </w:pPr>
            <w:r>
              <w:rPr>
                <w:noProof/>
              </w:rPr>
              <mc:AlternateContent>
                <mc:Choice Requires="wps">
                  <w:drawing>
                    <wp:anchor distT="0" distB="0" distL="114300" distR="114300" simplePos="0" relativeHeight="487920128" behindDoc="0" locked="0" layoutInCell="1" allowOverlap="1" wp14:anchorId="08DAE719" wp14:editId="4A5AAEA7">
                      <wp:simplePos x="0" y="0"/>
                      <wp:positionH relativeFrom="column">
                        <wp:posOffset>154305</wp:posOffset>
                      </wp:positionH>
                      <wp:positionV relativeFrom="paragraph">
                        <wp:posOffset>46990</wp:posOffset>
                      </wp:positionV>
                      <wp:extent cx="565150" cy="158750"/>
                      <wp:effectExtent l="0" t="0" r="25400" b="12700"/>
                      <wp:wrapNone/>
                      <wp:docPr id="1444" name="Rectangle 14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5150" cy="1587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9A95D2" id="Rectangle 1444" o:spid="_x0000_s1026" alt="&quot;&quot;" style="position:absolute;margin-left:12.15pt;margin-top:3.7pt;width:44.5pt;height:12.5pt;z-index:4879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" fillcolor="black [3200]" strokecolor="black [1600]" strokeweight="2pt"/>
                  </w:pict>
                </mc:Fallback>
              </mc:AlternateContent>
            </w:r>
            <w:r>
              <w:rPr>
                <w:b/>
                <w:spacing w:val="-10"/>
                <w:sz w:val="24"/>
              </w:rPr>
              <w:t>"</w:t>
            </w:r>
            <w:r>
              <w:rPr>
                <w:b/>
                <w:sz w:val="24"/>
              </w:rPr>
              <w:tab/>
            </w:r>
            <w:r>
              <w:rPr>
                <w:b/>
                <w:spacing w:val="-5"/>
                <w:sz w:val="24"/>
              </w:rPr>
              <w:t>'s</w:t>
            </w:r>
          </w:p>
          <w:p w14:paraId="2E926658" w14:textId="5CC532D6" w:rsidR="00A9044D" w:rsidRDefault="00A9044D" w:rsidP="00A9044D">
            <w:pPr>
              <w:pStyle w:val="BodyText"/>
              <w:spacing w:before="11"/>
              <w:rPr>
                <w:b/>
                <w:sz w:val="25"/>
              </w:rPr>
            </w:pPr>
            <w:r>
              <w:rPr>
                <w:b/>
                <w:spacing w:val="-2"/>
              </w:rPr>
              <w:t xml:space="preserve">estimated proportion </w:t>
            </w:r>
            <w:r>
              <w:rPr>
                <w:b/>
              </w:rPr>
              <w:t xml:space="preserve">of domestic </w:t>
            </w:r>
            <w:r>
              <w:rPr>
                <w:b/>
                <w:spacing w:val="-2"/>
              </w:rPr>
              <w:t xml:space="preserve">production represented </w:t>
            </w:r>
            <w:r>
              <w:rPr>
                <w:b/>
              </w:rPr>
              <w:t xml:space="preserve">by "other </w:t>
            </w:r>
            <w:r>
              <w:rPr>
                <w:b/>
                <w:spacing w:val="-2"/>
              </w:rPr>
              <w:t>wines"</w:t>
            </w:r>
          </w:p>
        </w:tc>
        <w:tc>
          <w:tcPr>
            <w:tcW w:w="1686" w:type="dxa"/>
          </w:tcPr>
          <w:p w14:paraId="416D0DC5" w14:textId="143C26E5" w:rsidR="00A9044D" w:rsidRDefault="00A9044D" w:rsidP="00A9044D">
            <w:pPr>
              <w:pStyle w:val="BodyText"/>
              <w:spacing w:before="11"/>
              <w:rPr>
                <w:b/>
                <w:sz w:val="25"/>
              </w:rPr>
            </w:pPr>
            <w:r>
              <w:rPr>
                <w:b/>
              </w:rPr>
              <w:t>Implied</w:t>
            </w:r>
            <w:r>
              <w:rPr>
                <w:b/>
                <w:spacing w:val="-14"/>
              </w:rPr>
              <w:t xml:space="preserve"> </w:t>
            </w:r>
            <w:r>
              <w:rPr>
                <w:b/>
              </w:rPr>
              <w:t>level of "other wines"</w:t>
            </w:r>
            <w:r>
              <w:rPr>
                <w:b/>
                <w:spacing w:val="-10"/>
              </w:rPr>
              <w:t xml:space="preserve"> </w:t>
            </w:r>
            <w:r>
              <w:rPr>
                <w:b/>
              </w:rPr>
              <w:t>(as</w:t>
            </w:r>
            <w:r>
              <w:rPr>
                <w:b/>
                <w:spacing w:val="-10"/>
              </w:rPr>
              <w:t xml:space="preserve"> </w:t>
            </w:r>
            <w:r>
              <w:rPr>
                <w:b/>
              </w:rPr>
              <w:t xml:space="preserve">% of CADA's total output of domestic </w:t>
            </w:r>
            <w:r>
              <w:rPr>
                <w:b/>
                <w:spacing w:val="-2"/>
              </w:rPr>
              <w:t>like- products)</w:t>
            </w:r>
          </w:p>
        </w:tc>
      </w:tr>
      <w:tr w:rsidR="00A9044D" w14:paraId="2356FD00" w14:textId="77777777" w:rsidTr="00A9044D">
        <w:tc>
          <w:tcPr>
            <w:tcW w:w="1129" w:type="dxa"/>
          </w:tcPr>
          <w:p w14:paraId="40284C40" w14:textId="62ACC8ED" w:rsidR="00A9044D" w:rsidRDefault="00A9044D" w:rsidP="00A9044D">
            <w:pPr>
              <w:pStyle w:val="BodyText"/>
              <w:spacing w:before="11"/>
              <w:rPr>
                <w:b/>
                <w:sz w:val="25"/>
              </w:rPr>
            </w:pPr>
            <w:r>
              <w:rPr>
                <w:b/>
                <w:spacing w:val="-2"/>
              </w:rPr>
              <w:t>Columns</w:t>
            </w:r>
          </w:p>
        </w:tc>
        <w:tc>
          <w:tcPr>
            <w:tcW w:w="2243" w:type="dxa"/>
          </w:tcPr>
          <w:p w14:paraId="6501FE40" w14:textId="19A50C9C" w:rsidR="00A9044D" w:rsidRDefault="00A9044D" w:rsidP="00A9044D">
            <w:pPr>
              <w:pStyle w:val="BodyText"/>
              <w:spacing w:before="11"/>
              <w:rPr>
                <w:b/>
                <w:sz w:val="25"/>
              </w:rPr>
            </w:pPr>
            <w:r>
              <w:t>A</w:t>
            </w:r>
          </w:p>
        </w:tc>
        <w:tc>
          <w:tcPr>
            <w:tcW w:w="1686" w:type="dxa"/>
          </w:tcPr>
          <w:p w14:paraId="1883D6A3" w14:textId="6BE16E59" w:rsidR="00A9044D" w:rsidRDefault="00A9044D" w:rsidP="00A9044D">
            <w:pPr>
              <w:pStyle w:val="BodyText"/>
              <w:spacing w:before="11"/>
              <w:rPr>
                <w:b/>
                <w:sz w:val="25"/>
              </w:rPr>
            </w:pPr>
            <w:r>
              <w:t>B</w:t>
            </w:r>
          </w:p>
        </w:tc>
        <w:tc>
          <w:tcPr>
            <w:tcW w:w="1686" w:type="dxa"/>
          </w:tcPr>
          <w:p w14:paraId="14CDE896" w14:textId="42533695" w:rsidR="00A9044D" w:rsidRDefault="00A9044D" w:rsidP="00A9044D">
            <w:pPr>
              <w:pStyle w:val="BodyText"/>
              <w:spacing w:before="11"/>
              <w:rPr>
                <w:b/>
                <w:sz w:val="25"/>
              </w:rPr>
            </w:pPr>
            <w:r>
              <w:t>C</w:t>
            </w:r>
          </w:p>
        </w:tc>
        <w:tc>
          <w:tcPr>
            <w:tcW w:w="1686" w:type="dxa"/>
          </w:tcPr>
          <w:p w14:paraId="3A606CE7" w14:textId="0D61BB7D" w:rsidR="00A9044D" w:rsidRDefault="00A9044D" w:rsidP="00A9044D">
            <w:pPr>
              <w:pStyle w:val="BodyText"/>
              <w:spacing w:before="11"/>
              <w:rPr>
                <w:b/>
                <w:sz w:val="25"/>
              </w:rPr>
            </w:pPr>
            <w:r>
              <w:t>D</w:t>
            </w:r>
          </w:p>
        </w:tc>
        <w:tc>
          <w:tcPr>
            <w:tcW w:w="1686" w:type="dxa"/>
          </w:tcPr>
          <w:p w14:paraId="203EAC6B" w14:textId="79625737" w:rsidR="00A9044D" w:rsidRDefault="00A9044D" w:rsidP="00A9044D">
            <w:pPr>
              <w:pStyle w:val="BodyText"/>
              <w:spacing w:before="11"/>
              <w:rPr>
                <w:b/>
                <w:sz w:val="25"/>
              </w:rPr>
            </w:pPr>
            <w:r>
              <w:t>E</w:t>
            </w:r>
          </w:p>
        </w:tc>
      </w:tr>
      <w:tr w:rsidR="00A9044D" w14:paraId="5215C18D" w14:textId="77777777" w:rsidTr="00A9044D">
        <w:tc>
          <w:tcPr>
            <w:tcW w:w="1129" w:type="dxa"/>
          </w:tcPr>
          <w:p w14:paraId="2D85ABEC" w14:textId="4CB8CAA5" w:rsidR="00A9044D" w:rsidRDefault="00A9044D" w:rsidP="00A9044D">
            <w:pPr>
              <w:pStyle w:val="BodyText"/>
              <w:spacing w:before="11"/>
              <w:rPr>
                <w:b/>
                <w:sz w:val="25"/>
              </w:rPr>
            </w:pPr>
            <w:r>
              <w:rPr>
                <w:b/>
                <w:spacing w:val="-2"/>
              </w:rPr>
              <w:t>Formula</w:t>
            </w:r>
          </w:p>
        </w:tc>
        <w:tc>
          <w:tcPr>
            <w:tcW w:w="2243" w:type="dxa"/>
          </w:tcPr>
          <w:p w14:paraId="7C213AD9" w14:textId="68430AE8" w:rsidR="00A9044D" w:rsidRDefault="00A9044D" w:rsidP="00A9044D">
            <w:pPr>
              <w:pStyle w:val="BodyText"/>
              <w:spacing w:before="11"/>
              <w:rPr>
                <w:b/>
                <w:sz w:val="25"/>
              </w:rPr>
            </w:pPr>
            <w:r>
              <w:rPr>
                <w:spacing w:val="-5"/>
              </w:rPr>
              <w:t>Nil</w:t>
            </w:r>
          </w:p>
        </w:tc>
        <w:tc>
          <w:tcPr>
            <w:tcW w:w="1686" w:type="dxa"/>
          </w:tcPr>
          <w:p w14:paraId="21DB86ED" w14:textId="6F0666DB" w:rsidR="00A9044D" w:rsidRDefault="00A9044D" w:rsidP="00A9044D">
            <w:pPr>
              <w:pStyle w:val="BodyText"/>
              <w:spacing w:before="11"/>
              <w:rPr>
                <w:b/>
                <w:sz w:val="25"/>
              </w:rPr>
            </w:pPr>
            <w:r>
              <w:rPr>
                <w:spacing w:val="-5"/>
              </w:rPr>
              <w:t>Nil</w:t>
            </w:r>
          </w:p>
        </w:tc>
        <w:tc>
          <w:tcPr>
            <w:tcW w:w="1686" w:type="dxa"/>
          </w:tcPr>
          <w:p w14:paraId="7DD401BE" w14:textId="63A4D412" w:rsidR="00A9044D" w:rsidRDefault="00A9044D" w:rsidP="00A9044D">
            <w:pPr>
              <w:pStyle w:val="BodyText"/>
              <w:spacing w:before="11"/>
              <w:rPr>
                <w:b/>
                <w:sz w:val="25"/>
              </w:rPr>
            </w:pPr>
            <w:r>
              <w:t>A</w:t>
            </w:r>
            <w:r>
              <w:rPr>
                <w:spacing w:val="-2"/>
              </w:rPr>
              <w:t xml:space="preserve"> </w:t>
            </w:r>
            <w:r>
              <w:t>–</w:t>
            </w:r>
            <w:r>
              <w:rPr>
                <w:spacing w:val="-1"/>
              </w:rPr>
              <w:t xml:space="preserve"> </w:t>
            </w:r>
            <w:r>
              <w:rPr>
                <w:spacing w:val="-10"/>
              </w:rPr>
              <w:t>B</w:t>
            </w:r>
          </w:p>
        </w:tc>
        <w:tc>
          <w:tcPr>
            <w:tcW w:w="1686" w:type="dxa"/>
          </w:tcPr>
          <w:p w14:paraId="4953D973" w14:textId="4568A1C3" w:rsidR="00A9044D" w:rsidRDefault="00A9044D" w:rsidP="00A9044D">
            <w:pPr>
              <w:pStyle w:val="BodyText"/>
              <w:spacing w:before="11"/>
              <w:rPr>
                <w:b/>
                <w:sz w:val="25"/>
              </w:rPr>
            </w:pPr>
            <w:r>
              <w:rPr>
                <w:spacing w:val="-5"/>
              </w:rPr>
              <w:t>Nil</w:t>
            </w:r>
          </w:p>
        </w:tc>
        <w:tc>
          <w:tcPr>
            <w:tcW w:w="1686" w:type="dxa"/>
          </w:tcPr>
          <w:p w14:paraId="30C9DB55" w14:textId="5A128CE8" w:rsidR="00A9044D" w:rsidRDefault="00A9044D" w:rsidP="00A9044D">
            <w:pPr>
              <w:pStyle w:val="BodyText"/>
              <w:spacing w:before="11"/>
              <w:rPr>
                <w:b/>
                <w:sz w:val="25"/>
              </w:rPr>
            </w:pPr>
            <w:r>
              <w:rPr>
                <w:spacing w:val="-5"/>
              </w:rPr>
              <w:t>C/A</w:t>
            </w:r>
          </w:p>
        </w:tc>
      </w:tr>
      <w:tr w:rsidR="00A9044D" w14:paraId="19D6E989" w14:textId="77777777" w:rsidTr="00A9044D">
        <w:tc>
          <w:tcPr>
            <w:tcW w:w="1129" w:type="dxa"/>
          </w:tcPr>
          <w:p w14:paraId="5D26CC6A" w14:textId="14B47CAC" w:rsidR="00A9044D" w:rsidRDefault="00A9044D" w:rsidP="00A9044D">
            <w:pPr>
              <w:pStyle w:val="BodyText"/>
              <w:spacing w:before="11"/>
              <w:rPr>
                <w:b/>
                <w:sz w:val="25"/>
              </w:rPr>
            </w:pPr>
            <w:r>
              <w:rPr>
                <w:b/>
                <w:spacing w:val="-4"/>
              </w:rPr>
              <w:t>2015</w:t>
            </w:r>
          </w:p>
        </w:tc>
        <w:tc>
          <w:tcPr>
            <w:tcW w:w="2243" w:type="dxa"/>
          </w:tcPr>
          <w:p w14:paraId="347CE05D" w14:textId="6B1F8489" w:rsidR="00A9044D" w:rsidRDefault="00A9044D" w:rsidP="00A9044D">
            <w:pPr>
              <w:pStyle w:val="BodyText"/>
              <w:spacing w:before="11"/>
              <w:rPr>
                <w:b/>
                <w:sz w:val="25"/>
              </w:rPr>
            </w:pPr>
            <w:r>
              <w:rPr>
                <w:spacing w:val="-2"/>
              </w:rPr>
              <w:t>1,161,000</w:t>
            </w:r>
          </w:p>
        </w:tc>
        <w:tc>
          <w:tcPr>
            <w:tcW w:w="1686" w:type="dxa"/>
          </w:tcPr>
          <w:p w14:paraId="35B8322B" w14:textId="332C627F" w:rsidR="00A9044D" w:rsidRDefault="00A9044D" w:rsidP="00A9044D">
            <w:pPr>
              <w:pStyle w:val="BodyText"/>
              <w:spacing w:before="11"/>
              <w:rPr>
                <w:b/>
                <w:sz w:val="25"/>
              </w:rPr>
            </w:pPr>
            <w:r>
              <w:rPr>
                <w:spacing w:val="-2"/>
              </w:rPr>
              <w:t>377,600</w:t>
            </w:r>
          </w:p>
        </w:tc>
        <w:tc>
          <w:tcPr>
            <w:tcW w:w="1686" w:type="dxa"/>
          </w:tcPr>
          <w:p w14:paraId="7669620D" w14:textId="48CB7D2D" w:rsidR="00A9044D" w:rsidRDefault="00A9044D" w:rsidP="00A9044D">
            <w:pPr>
              <w:pStyle w:val="BodyText"/>
              <w:spacing w:before="11"/>
              <w:rPr>
                <w:b/>
                <w:sz w:val="25"/>
              </w:rPr>
            </w:pPr>
            <w:r>
              <w:rPr>
                <w:spacing w:val="-2"/>
              </w:rPr>
              <w:t>783,400</w:t>
            </w:r>
          </w:p>
        </w:tc>
        <w:tc>
          <w:tcPr>
            <w:tcW w:w="1686" w:type="dxa"/>
          </w:tcPr>
          <w:p w14:paraId="43E38309" w14:textId="1A35AEB0" w:rsidR="00A9044D" w:rsidRDefault="00A9044D" w:rsidP="00A9044D">
            <w:pPr>
              <w:pStyle w:val="BodyText"/>
              <w:spacing w:before="11"/>
              <w:rPr>
                <w:b/>
                <w:sz w:val="25"/>
              </w:rPr>
            </w:pPr>
            <w:r>
              <w:rPr>
                <w:noProof/>
              </w:rPr>
              <mc:AlternateContent>
                <mc:Choice Requires="wps">
                  <w:drawing>
                    <wp:anchor distT="0" distB="0" distL="114300" distR="114300" simplePos="0" relativeHeight="487922176" behindDoc="0" locked="0" layoutInCell="1" allowOverlap="1" wp14:anchorId="187B4D3D" wp14:editId="13EB18D5">
                      <wp:simplePos x="0" y="0"/>
                      <wp:positionH relativeFrom="column">
                        <wp:posOffset>-2540</wp:posOffset>
                      </wp:positionH>
                      <wp:positionV relativeFrom="paragraph">
                        <wp:posOffset>3810</wp:posOffset>
                      </wp:positionV>
                      <wp:extent cx="565150" cy="158750"/>
                      <wp:effectExtent l="0" t="0" r="25400" b="12700"/>
                      <wp:wrapNone/>
                      <wp:docPr id="1446" name="Rectangle 14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5150" cy="1587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9DD81F" id="Rectangle 1446" o:spid="_x0000_s1026" alt="&quot;&quot;" style="position:absolute;margin-left:-.2pt;margin-top:.3pt;width:44.5pt;height:12.5pt;z-index:4879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" fillcolor="black [3200]" strokecolor="black [1600]" strokeweight="2pt"/>
                  </w:pict>
                </mc:Fallback>
              </mc:AlternateContent>
            </w:r>
          </w:p>
        </w:tc>
        <w:tc>
          <w:tcPr>
            <w:tcW w:w="1686" w:type="dxa"/>
          </w:tcPr>
          <w:p w14:paraId="0A26C2EB" w14:textId="2E1076C6" w:rsidR="00A9044D" w:rsidRDefault="00A9044D" w:rsidP="00A9044D">
            <w:pPr>
              <w:pStyle w:val="BodyText"/>
              <w:spacing w:before="11"/>
              <w:rPr>
                <w:b/>
                <w:sz w:val="25"/>
              </w:rPr>
            </w:pPr>
            <w:r>
              <w:rPr>
                <w:b/>
                <w:spacing w:val="-2"/>
              </w:rPr>
              <w:t>67.48%</w:t>
            </w:r>
          </w:p>
        </w:tc>
      </w:tr>
      <w:tr w:rsidR="00A9044D" w14:paraId="1BD25773" w14:textId="77777777" w:rsidTr="00A9044D">
        <w:tc>
          <w:tcPr>
            <w:tcW w:w="1129" w:type="dxa"/>
          </w:tcPr>
          <w:p w14:paraId="7A7FD021" w14:textId="7E0D1469" w:rsidR="00A9044D" w:rsidRDefault="00A9044D" w:rsidP="00A9044D">
            <w:pPr>
              <w:pStyle w:val="BodyText"/>
              <w:spacing w:before="11"/>
              <w:rPr>
                <w:b/>
                <w:sz w:val="25"/>
              </w:rPr>
            </w:pPr>
            <w:r>
              <w:rPr>
                <w:b/>
                <w:spacing w:val="-4"/>
              </w:rPr>
              <w:t>2016</w:t>
            </w:r>
          </w:p>
        </w:tc>
        <w:tc>
          <w:tcPr>
            <w:tcW w:w="2243" w:type="dxa"/>
          </w:tcPr>
          <w:p w14:paraId="146089FC" w14:textId="56D4FABA" w:rsidR="00A9044D" w:rsidRDefault="00A9044D" w:rsidP="00A9044D">
            <w:pPr>
              <w:pStyle w:val="BodyText"/>
              <w:spacing w:before="11"/>
              <w:rPr>
                <w:b/>
                <w:sz w:val="25"/>
              </w:rPr>
            </w:pPr>
            <w:r>
              <w:rPr>
                <w:spacing w:val="-2"/>
              </w:rPr>
              <w:t>1,056,600</w:t>
            </w:r>
          </w:p>
        </w:tc>
        <w:tc>
          <w:tcPr>
            <w:tcW w:w="1686" w:type="dxa"/>
          </w:tcPr>
          <w:p w14:paraId="569A5619" w14:textId="43A391B4" w:rsidR="00A9044D" w:rsidRDefault="00A9044D" w:rsidP="00A9044D">
            <w:pPr>
              <w:pStyle w:val="BodyText"/>
              <w:spacing w:before="11"/>
              <w:rPr>
                <w:b/>
                <w:sz w:val="25"/>
              </w:rPr>
            </w:pPr>
            <w:r>
              <w:rPr>
                <w:spacing w:val="-2"/>
              </w:rPr>
              <w:t>347,600</w:t>
            </w:r>
          </w:p>
        </w:tc>
        <w:tc>
          <w:tcPr>
            <w:tcW w:w="1686" w:type="dxa"/>
          </w:tcPr>
          <w:p w14:paraId="79E5D6D8" w14:textId="751981F3" w:rsidR="00A9044D" w:rsidRDefault="00A9044D" w:rsidP="00A9044D">
            <w:pPr>
              <w:pStyle w:val="BodyText"/>
              <w:spacing w:before="11"/>
              <w:rPr>
                <w:b/>
                <w:sz w:val="25"/>
              </w:rPr>
            </w:pPr>
            <w:r>
              <w:rPr>
                <w:spacing w:val="-2"/>
              </w:rPr>
              <w:t>709,000</w:t>
            </w:r>
          </w:p>
        </w:tc>
        <w:tc>
          <w:tcPr>
            <w:tcW w:w="1686" w:type="dxa"/>
          </w:tcPr>
          <w:p w14:paraId="01700D8A" w14:textId="6A6191F6" w:rsidR="00A9044D" w:rsidRDefault="00A9044D" w:rsidP="00A9044D">
            <w:pPr>
              <w:pStyle w:val="BodyText"/>
              <w:spacing w:before="11"/>
              <w:rPr>
                <w:b/>
                <w:sz w:val="25"/>
              </w:rPr>
            </w:pPr>
            <w:r>
              <w:rPr>
                <w:noProof/>
              </w:rPr>
              <mc:AlternateContent>
                <mc:Choice Requires="wps">
                  <w:drawing>
                    <wp:anchor distT="0" distB="0" distL="114300" distR="114300" simplePos="0" relativeHeight="487924224" behindDoc="0" locked="0" layoutInCell="1" allowOverlap="1" wp14:anchorId="3C297344" wp14:editId="3D2466E4">
                      <wp:simplePos x="0" y="0"/>
                      <wp:positionH relativeFrom="column">
                        <wp:posOffset>-2540</wp:posOffset>
                      </wp:positionH>
                      <wp:positionV relativeFrom="paragraph">
                        <wp:posOffset>0</wp:posOffset>
                      </wp:positionV>
                      <wp:extent cx="565150" cy="158750"/>
                      <wp:effectExtent l="0" t="0" r="25400" b="12700"/>
                      <wp:wrapNone/>
                      <wp:docPr id="1448" name="Rectangle 14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5150" cy="1587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BC925B" id="Rectangle 1448" o:spid="_x0000_s1026" alt="&quot;&quot;" style="position:absolute;margin-left:-.2pt;margin-top:0;width:44.5pt;height:12.5pt;z-index:4879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" fillcolor="black [3200]" strokecolor="black [1600]" strokeweight="2pt"/>
                  </w:pict>
                </mc:Fallback>
              </mc:AlternateContent>
            </w:r>
          </w:p>
        </w:tc>
        <w:tc>
          <w:tcPr>
            <w:tcW w:w="1686" w:type="dxa"/>
          </w:tcPr>
          <w:p w14:paraId="42C41E5B" w14:textId="48A946EC" w:rsidR="00A9044D" w:rsidRDefault="00A9044D" w:rsidP="00A9044D">
            <w:pPr>
              <w:pStyle w:val="BodyText"/>
              <w:spacing w:before="11"/>
              <w:rPr>
                <w:b/>
                <w:sz w:val="25"/>
              </w:rPr>
            </w:pPr>
            <w:r>
              <w:rPr>
                <w:b/>
                <w:spacing w:val="-2"/>
              </w:rPr>
              <w:t>67.10%</w:t>
            </w:r>
          </w:p>
        </w:tc>
      </w:tr>
      <w:tr w:rsidR="00A9044D" w14:paraId="6BF78062" w14:textId="77777777" w:rsidTr="00A9044D">
        <w:tc>
          <w:tcPr>
            <w:tcW w:w="1129" w:type="dxa"/>
          </w:tcPr>
          <w:p w14:paraId="7E2225DA" w14:textId="55DE4DC2" w:rsidR="00A9044D" w:rsidRDefault="00A9044D" w:rsidP="00A9044D">
            <w:pPr>
              <w:pStyle w:val="BodyText"/>
              <w:spacing w:before="11"/>
              <w:rPr>
                <w:b/>
                <w:sz w:val="25"/>
              </w:rPr>
            </w:pPr>
            <w:r>
              <w:rPr>
                <w:b/>
                <w:spacing w:val="-4"/>
              </w:rPr>
              <w:t>2017</w:t>
            </w:r>
          </w:p>
        </w:tc>
        <w:tc>
          <w:tcPr>
            <w:tcW w:w="2243" w:type="dxa"/>
          </w:tcPr>
          <w:p w14:paraId="7F1307A4" w14:textId="4C59E95C" w:rsidR="00A9044D" w:rsidRDefault="00A9044D" w:rsidP="00A9044D">
            <w:pPr>
              <w:pStyle w:val="BodyText"/>
              <w:spacing w:before="11"/>
              <w:rPr>
                <w:b/>
                <w:sz w:val="25"/>
              </w:rPr>
            </w:pPr>
            <w:r>
              <w:rPr>
                <w:spacing w:val="-2"/>
              </w:rPr>
              <w:t>679,100</w:t>
            </w:r>
          </w:p>
        </w:tc>
        <w:tc>
          <w:tcPr>
            <w:tcW w:w="1686" w:type="dxa"/>
          </w:tcPr>
          <w:p w14:paraId="18190AB4" w14:textId="305A5F1E" w:rsidR="00A9044D" w:rsidRDefault="00A9044D" w:rsidP="00A9044D">
            <w:pPr>
              <w:pStyle w:val="BodyText"/>
              <w:spacing w:before="11"/>
              <w:rPr>
                <w:b/>
                <w:sz w:val="25"/>
              </w:rPr>
            </w:pPr>
            <w:r>
              <w:rPr>
                <w:spacing w:val="-2"/>
              </w:rPr>
              <w:t>374,800</w:t>
            </w:r>
          </w:p>
        </w:tc>
        <w:tc>
          <w:tcPr>
            <w:tcW w:w="1686" w:type="dxa"/>
          </w:tcPr>
          <w:p w14:paraId="13BC5311" w14:textId="15FFBC92" w:rsidR="00A9044D" w:rsidRDefault="00A9044D" w:rsidP="00A9044D">
            <w:pPr>
              <w:pStyle w:val="BodyText"/>
              <w:spacing w:before="11"/>
              <w:rPr>
                <w:b/>
                <w:sz w:val="25"/>
              </w:rPr>
            </w:pPr>
            <w:r>
              <w:rPr>
                <w:spacing w:val="-2"/>
              </w:rPr>
              <w:t>304,300</w:t>
            </w:r>
          </w:p>
        </w:tc>
        <w:tc>
          <w:tcPr>
            <w:tcW w:w="1686" w:type="dxa"/>
          </w:tcPr>
          <w:p w14:paraId="3ACB6514" w14:textId="600E9784" w:rsidR="00A9044D" w:rsidRDefault="00A9044D" w:rsidP="00A9044D">
            <w:pPr>
              <w:pStyle w:val="BodyText"/>
              <w:spacing w:before="11"/>
              <w:rPr>
                <w:b/>
                <w:sz w:val="25"/>
              </w:rPr>
            </w:pPr>
            <w:r>
              <w:rPr>
                <w:noProof/>
              </w:rPr>
              <mc:AlternateContent>
                <mc:Choice Requires="wps">
                  <w:drawing>
                    <wp:anchor distT="0" distB="0" distL="114300" distR="114300" simplePos="0" relativeHeight="487926272" behindDoc="0" locked="0" layoutInCell="1" allowOverlap="1" wp14:anchorId="2AD79538" wp14:editId="388C058E">
                      <wp:simplePos x="0" y="0"/>
                      <wp:positionH relativeFrom="column">
                        <wp:posOffset>-2540</wp:posOffset>
                      </wp:positionH>
                      <wp:positionV relativeFrom="paragraph">
                        <wp:posOffset>2540</wp:posOffset>
                      </wp:positionV>
                      <wp:extent cx="565150" cy="158750"/>
                      <wp:effectExtent l="0" t="0" r="25400" b="12700"/>
                      <wp:wrapNone/>
                      <wp:docPr id="1450" name="Rectangle 14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5150" cy="1587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4BEBFA" id="Rectangle 1450" o:spid="_x0000_s1026" alt="&quot;&quot;" style="position:absolute;margin-left:-.2pt;margin-top:.2pt;width:44.5pt;height:12.5pt;z-index:4879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" fillcolor="black [3200]" strokecolor="black [1600]" strokeweight="2pt"/>
                  </w:pict>
                </mc:Fallback>
              </mc:AlternateContent>
            </w:r>
          </w:p>
        </w:tc>
        <w:tc>
          <w:tcPr>
            <w:tcW w:w="1686" w:type="dxa"/>
          </w:tcPr>
          <w:p w14:paraId="27F1890F" w14:textId="2112A008" w:rsidR="00A9044D" w:rsidRDefault="00A9044D" w:rsidP="00A9044D">
            <w:pPr>
              <w:pStyle w:val="BodyText"/>
              <w:spacing w:before="11"/>
              <w:rPr>
                <w:b/>
                <w:sz w:val="25"/>
              </w:rPr>
            </w:pPr>
            <w:r>
              <w:rPr>
                <w:b/>
                <w:spacing w:val="-2"/>
              </w:rPr>
              <w:t>44.81%</w:t>
            </w:r>
          </w:p>
        </w:tc>
      </w:tr>
      <w:tr w:rsidR="00A9044D" w14:paraId="0BFD523B" w14:textId="77777777" w:rsidTr="00A9044D">
        <w:tc>
          <w:tcPr>
            <w:tcW w:w="1129" w:type="dxa"/>
          </w:tcPr>
          <w:p w14:paraId="672E0472" w14:textId="71898AC0" w:rsidR="00A9044D" w:rsidRDefault="00A9044D" w:rsidP="00A9044D">
            <w:pPr>
              <w:pStyle w:val="BodyText"/>
              <w:spacing w:before="11"/>
              <w:rPr>
                <w:b/>
                <w:sz w:val="25"/>
              </w:rPr>
            </w:pPr>
            <w:r>
              <w:rPr>
                <w:b/>
                <w:spacing w:val="-4"/>
              </w:rPr>
              <w:t>2018</w:t>
            </w:r>
          </w:p>
        </w:tc>
        <w:tc>
          <w:tcPr>
            <w:tcW w:w="2243" w:type="dxa"/>
          </w:tcPr>
          <w:p w14:paraId="6B6D6533" w14:textId="449CD9F1" w:rsidR="00A9044D" w:rsidRDefault="00A9044D" w:rsidP="00A9044D">
            <w:pPr>
              <w:pStyle w:val="BodyText"/>
              <w:spacing w:before="11"/>
              <w:rPr>
                <w:b/>
                <w:sz w:val="25"/>
              </w:rPr>
            </w:pPr>
            <w:r>
              <w:rPr>
                <w:spacing w:val="-2"/>
              </w:rPr>
              <w:t>506,700</w:t>
            </w:r>
          </w:p>
        </w:tc>
        <w:tc>
          <w:tcPr>
            <w:tcW w:w="1686" w:type="dxa"/>
          </w:tcPr>
          <w:p w14:paraId="5ED042EC" w14:textId="5061C57F" w:rsidR="00A9044D" w:rsidRDefault="00A9044D" w:rsidP="00A9044D">
            <w:pPr>
              <w:pStyle w:val="BodyText"/>
              <w:spacing w:before="11"/>
              <w:rPr>
                <w:b/>
                <w:sz w:val="25"/>
              </w:rPr>
            </w:pPr>
            <w:r>
              <w:rPr>
                <w:spacing w:val="-2"/>
              </w:rPr>
              <w:t>351,200</w:t>
            </w:r>
          </w:p>
        </w:tc>
        <w:tc>
          <w:tcPr>
            <w:tcW w:w="1686" w:type="dxa"/>
          </w:tcPr>
          <w:p w14:paraId="76A43910" w14:textId="51E275E6" w:rsidR="00A9044D" w:rsidRDefault="00A9044D" w:rsidP="00A9044D">
            <w:pPr>
              <w:pStyle w:val="BodyText"/>
              <w:spacing w:before="11"/>
              <w:rPr>
                <w:b/>
                <w:sz w:val="25"/>
              </w:rPr>
            </w:pPr>
            <w:r>
              <w:rPr>
                <w:spacing w:val="-2"/>
              </w:rPr>
              <w:t>155,500</w:t>
            </w:r>
          </w:p>
        </w:tc>
        <w:tc>
          <w:tcPr>
            <w:tcW w:w="1686" w:type="dxa"/>
          </w:tcPr>
          <w:p w14:paraId="152E1925" w14:textId="4BEC4ED8" w:rsidR="00A9044D" w:rsidRDefault="00A9044D" w:rsidP="00A9044D">
            <w:pPr>
              <w:pStyle w:val="BodyText"/>
              <w:spacing w:before="11"/>
              <w:rPr>
                <w:b/>
                <w:sz w:val="25"/>
              </w:rPr>
            </w:pPr>
            <w:r>
              <w:rPr>
                <w:noProof/>
              </w:rPr>
              <mc:AlternateContent>
                <mc:Choice Requires="wps">
                  <w:drawing>
                    <wp:anchor distT="0" distB="0" distL="114300" distR="114300" simplePos="0" relativeHeight="487928320" behindDoc="0" locked="0" layoutInCell="1" allowOverlap="1" wp14:anchorId="4399956D" wp14:editId="6EBDF26C">
                      <wp:simplePos x="0" y="0"/>
                      <wp:positionH relativeFrom="column">
                        <wp:posOffset>-2540</wp:posOffset>
                      </wp:positionH>
                      <wp:positionV relativeFrom="paragraph">
                        <wp:posOffset>5080</wp:posOffset>
                      </wp:positionV>
                      <wp:extent cx="565150" cy="158750"/>
                      <wp:effectExtent l="0" t="0" r="25400" b="12700"/>
                      <wp:wrapNone/>
                      <wp:docPr id="1452" name="Rectangle 14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5150" cy="1587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5661B" id="Rectangle 1452" o:spid="_x0000_s1026" alt="&quot;&quot;" style="position:absolute;margin-left:-.2pt;margin-top:.4pt;width:44.5pt;height:12.5pt;z-index:4879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" fillcolor="black [3200]" strokecolor="black [1600]" strokeweight="2pt"/>
                  </w:pict>
                </mc:Fallback>
              </mc:AlternateContent>
            </w:r>
          </w:p>
        </w:tc>
        <w:tc>
          <w:tcPr>
            <w:tcW w:w="1686" w:type="dxa"/>
          </w:tcPr>
          <w:p w14:paraId="24875D83" w14:textId="629213A4" w:rsidR="00A9044D" w:rsidRDefault="00A9044D" w:rsidP="00A9044D">
            <w:pPr>
              <w:pStyle w:val="BodyText"/>
              <w:spacing w:before="11"/>
              <w:rPr>
                <w:b/>
                <w:sz w:val="25"/>
              </w:rPr>
            </w:pPr>
            <w:r>
              <w:rPr>
                <w:b/>
                <w:spacing w:val="-2"/>
              </w:rPr>
              <w:t>30.69%</w:t>
            </w:r>
          </w:p>
        </w:tc>
      </w:tr>
      <w:tr w:rsidR="00A9044D" w14:paraId="15CB20D7" w14:textId="77777777" w:rsidTr="00A9044D">
        <w:tc>
          <w:tcPr>
            <w:tcW w:w="1129" w:type="dxa"/>
          </w:tcPr>
          <w:p w14:paraId="30E1EDA8" w14:textId="46C386E6" w:rsidR="00A9044D" w:rsidRDefault="00A9044D" w:rsidP="00A9044D">
            <w:pPr>
              <w:pStyle w:val="BodyText"/>
              <w:spacing w:before="11"/>
              <w:rPr>
                <w:b/>
                <w:sz w:val="25"/>
              </w:rPr>
            </w:pPr>
            <w:r>
              <w:rPr>
                <w:b/>
                <w:spacing w:val="-4"/>
              </w:rPr>
              <w:t>2019</w:t>
            </w:r>
          </w:p>
        </w:tc>
        <w:tc>
          <w:tcPr>
            <w:tcW w:w="2243" w:type="dxa"/>
          </w:tcPr>
          <w:p w14:paraId="6667177A" w14:textId="561B0264" w:rsidR="00A9044D" w:rsidRDefault="00A9044D" w:rsidP="00A9044D">
            <w:pPr>
              <w:pStyle w:val="BodyText"/>
              <w:spacing w:before="11"/>
              <w:rPr>
                <w:b/>
                <w:sz w:val="25"/>
              </w:rPr>
            </w:pPr>
            <w:r>
              <w:rPr>
                <w:spacing w:val="-2"/>
              </w:rPr>
              <w:t>451,500</w:t>
            </w:r>
          </w:p>
        </w:tc>
        <w:tc>
          <w:tcPr>
            <w:tcW w:w="1686" w:type="dxa"/>
          </w:tcPr>
          <w:p w14:paraId="1BFC8E2C" w14:textId="65379230" w:rsidR="00A9044D" w:rsidRDefault="00A9044D" w:rsidP="00A9044D">
            <w:pPr>
              <w:pStyle w:val="BodyText"/>
              <w:spacing w:before="11"/>
              <w:rPr>
                <w:b/>
                <w:sz w:val="25"/>
              </w:rPr>
            </w:pPr>
            <w:r>
              <w:rPr>
                <w:spacing w:val="-2"/>
              </w:rPr>
              <w:t>288,200</w:t>
            </w:r>
          </w:p>
        </w:tc>
        <w:tc>
          <w:tcPr>
            <w:tcW w:w="1686" w:type="dxa"/>
          </w:tcPr>
          <w:p w14:paraId="42E6E236" w14:textId="1FF02FCE" w:rsidR="00A9044D" w:rsidRDefault="00A9044D" w:rsidP="00A9044D">
            <w:pPr>
              <w:pStyle w:val="BodyText"/>
              <w:spacing w:before="11"/>
              <w:rPr>
                <w:b/>
                <w:sz w:val="25"/>
              </w:rPr>
            </w:pPr>
            <w:r>
              <w:rPr>
                <w:spacing w:val="-2"/>
              </w:rPr>
              <w:t>163,300</w:t>
            </w:r>
          </w:p>
        </w:tc>
        <w:tc>
          <w:tcPr>
            <w:tcW w:w="1686" w:type="dxa"/>
          </w:tcPr>
          <w:p w14:paraId="2E80FC3F" w14:textId="126E53F9" w:rsidR="00A9044D" w:rsidRDefault="00A9044D" w:rsidP="00A9044D">
            <w:pPr>
              <w:pStyle w:val="BodyText"/>
              <w:spacing w:before="11"/>
              <w:rPr>
                <w:b/>
                <w:sz w:val="25"/>
              </w:rPr>
            </w:pPr>
            <w:r>
              <w:rPr>
                <w:noProof/>
              </w:rPr>
              <mc:AlternateContent>
                <mc:Choice Requires="wps">
                  <w:drawing>
                    <wp:anchor distT="0" distB="0" distL="114300" distR="114300" simplePos="0" relativeHeight="487930368" behindDoc="0" locked="0" layoutInCell="1" allowOverlap="1" wp14:anchorId="2D98405D" wp14:editId="080A1146">
                      <wp:simplePos x="0" y="0"/>
                      <wp:positionH relativeFrom="column">
                        <wp:posOffset>-2540</wp:posOffset>
                      </wp:positionH>
                      <wp:positionV relativeFrom="paragraph">
                        <wp:posOffset>635</wp:posOffset>
                      </wp:positionV>
                      <wp:extent cx="565150" cy="158750"/>
                      <wp:effectExtent l="0" t="0" r="25400" b="12700"/>
                      <wp:wrapNone/>
                      <wp:docPr id="1454" name="Rectangle 14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5150" cy="1587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5710F" id="Rectangle 1454" o:spid="_x0000_s1026" alt="&quot;&quot;" style="position:absolute;margin-left:-.2pt;margin-top:.05pt;width:44.5pt;height:12.5pt;z-index:4879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" fillcolor="black [3200]" strokecolor="black [1600]" strokeweight="2pt"/>
                  </w:pict>
                </mc:Fallback>
              </mc:AlternateContent>
            </w:r>
          </w:p>
        </w:tc>
        <w:tc>
          <w:tcPr>
            <w:tcW w:w="1686" w:type="dxa"/>
          </w:tcPr>
          <w:p w14:paraId="2559D36E" w14:textId="19087863" w:rsidR="00A9044D" w:rsidRDefault="00A9044D" w:rsidP="00A9044D">
            <w:pPr>
              <w:pStyle w:val="BodyText"/>
              <w:spacing w:before="11"/>
              <w:rPr>
                <w:b/>
                <w:sz w:val="25"/>
              </w:rPr>
            </w:pPr>
            <w:r>
              <w:rPr>
                <w:b/>
                <w:spacing w:val="-2"/>
              </w:rPr>
              <w:t>36.17%</w:t>
            </w:r>
          </w:p>
        </w:tc>
      </w:tr>
    </w:tbl>
    <w:p w14:paraId="5BF7427F" w14:textId="77777777" w:rsidR="00BD462C" w:rsidRDefault="00BD462C">
      <w:pPr>
        <w:pStyle w:val="BodyText"/>
        <w:spacing w:before="11"/>
        <w:rPr>
          <w:b/>
          <w:sz w:val="25"/>
        </w:rPr>
      </w:pPr>
    </w:p>
    <w:p w14:paraId="34904360" w14:textId="26E9AF8D" w:rsidR="00BD462C" w:rsidRDefault="001818E0" w:rsidP="001818E0">
      <w:pPr>
        <w:pStyle w:val="BodyText"/>
        <w:numPr>
          <w:ilvl w:val="0"/>
          <w:numId w:val="77"/>
        </w:numPr>
        <w:spacing w:line="360" w:lineRule="auto"/>
        <w:ind w:right="911"/>
      </w:pPr>
      <w:r>
        <w:rPr>
          <w:noProof/>
        </w:rPr>
        <mc:AlternateContent>
          <mc:Choice Requires="wps">
            <w:drawing>
              <wp:anchor distT="0" distB="0" distL="114300" distR="114300" simplePos="0" relativeHeight="479049728" behindDoc="1" locked="0" layoutInCell="1" allowOverlap="1" wp14:anchorId="7C26F730" wp14:editId="0D5C9A66">
                <wp:simplePos x="0" y="0"/>
                <wp:positionH relativeFrom="page">
                  <wp:posOffset>4509982</wp:posOffset>
                </wp:positionH>
                <wp:positionV relativeFrom="paragraph">
                  <wp:posOffset>1952625</wp:posOffset>
                </wp:positionV>
                <wp:extent cx="658495" cy="186055"/>
                <wp:effectExtent l="0" t="0" r="8255" b="4445"/>
                <wp:wrapNone/>
                <wp:docPr id="728" name="docshape3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9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1CE208" id="docshape355" o:spid="_x0000_s1026" alt="&quot;&quot;" style="position:absolute;margin-left:355.1pt;margin-top:153.75pt;width:51.85pt;height:14.65pt;z-index:-24266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" fillcolor="black" stroked="f">
                <w10:wrap anchorx="page"/>
              </v:rect>
            </w:pict>
          </mc:Fallback>
        </mc:AlternateContent>
      </w:r>
      <w:r>
        <w:rPr>
          <w:noProof/>
        </w:rPr>
        <mc:AlternateContent>
          <mc:Choice Requires="wps">
            <w:drawing>
              <wp:anchor distT="0" distB="0" distL="114300" distR="114300" simplePos="0" relativeHeight="479049216" behindDoc="1" locked="0" layoutInCell="1" allowOverlap="1" wp14:anchorId="722B2492" wp14:editId="7343C545">
                <wp:simplePos x="0" y="0"/>
                <wp:positionH relativeFrom="page">
                  <wp:posOffset>1643803</wp:posOffset>
                </wp:positionH>
                <wp:positionV relativeFrom="paragraph">
                  <wp:posOffset>1399752</wp:posOffset>
                </wp:positionV>
                <wp:extent cx="582295" cy="186055"/>
                <wp:effectExtent l="0" t="0" r="0" b="0"/>
                <wp:wrapNone/>
                <wp:docPr id="730" name="docshape3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29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C0359F" id="docshape354" o:spid="_x0000_s1026" alt="&quot;&quot;" style="position:absolute;margin-left:129.45pt;margin-top:110.2pt;width:45.85pt;height:14.65pt;z-index:-2426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" fillcolor="black" stroked="f">
                <w10:wrap anchorx="page"/>
              </v:rect>
            </w:pict>
          </mc:Fallback>
        </mc:AlternateContent>
      </w:r>
      <w:r w:rsidR="00033D0F">
        <w:rPr>
          <w:position w:val="1"/>
        </w:rPr>
        <w:t>The</w:t>
      </w:r>
      <w:r w:rsidR="00033D0F">
        <w:rPr>
          <w:spacing w:val="-12"/>
          <w:position w:val="1"/>
        </w:rPr>
        <w:t xml:space="preserve"> </w:t>
      </w:r>
      <w:r w:rsidR="00033D0F">
        <w:rPr>
          <w:position w:val="1"/>
        </w:rPr>
        <w:t>data</w:t>
      </w:r>
      <w:r w:rsidR="00033D0F">
        <w:rPr>
          <w:spacing w:val="-12"/>
          <w:position w:val="1"/>
        </w:rPr>
        <w:t xml:space="preserve"> </w:t>
      </w:r>
      <w:r w:rsidR="00033D0F">
        <w:rPr>
          <w:position w:val="1"/>
        </w:rPr>
        <w:t>in</w:t>
      </w:r>
      <w:r w:rsidR="00033D0F">
        <w:rPr>
          <w:spacing w:val="-14"/>
          <w:position w:val="1"/>
        </w:rPr>
        <w:t xml:space="preserve"> </w:t>
      </w:r>
      <w:r w:rsidR="00033D0F">
        <w:rPr>
          <w:position w:val="1"/>
        </w:rPr>
        <w:t>CADA's</w:t>
      </w:r>
      <w:r w:rsidR="00033D0F">
        <w:rPr>
          <w:spacing w:val="-9"/>
          <w:position w:val="1"/>
        </w:rPr>
        <w:t xml:space="preserve"> </w:t>
      </w:r>
      <w:r w:rsidR="00033D0F">
        <w:rPr>
          <w:position w:val="1"/>
        </w:rPr>
        <w:t>application</w:t>
      </w:r>
      <w:r w:rsidR="00033D0F">
        <w:rPr>
          <w:spacing w:val="-14"/>
          <w:position w:val="1"/>
        </w:rPr>
        <w:t xml:space="preserve"> </w:t>
      </w:r>
      <w:r w:rsidR="00033D0F">
        <w:rPr>
          <w:position w:val="1"/>
        </w:rPr>
        <w:t>was</w:t>
      </w:r>
      <w:r w:rsidR="00033D0F">
        <w:rPr>
          <w:spacing w:val="-9"/>
          <w:position w:val="1"/>
        </w:rPr>
        <w:t xml:space="preserve"> </w:t>
      </w:r>
      <w:r w:rsidR="00033D0F">
        <w:rPr>
          <w:position w:val="1"/>
        </w:rPr>
        <w:t>described</w:t>
      </w:r>
      <w:r w:rsidR="00033D0F">
        <w:rPr>
          <w:spacing w:val="-14"/>
          <w:position w:val="1"/>
        </w:rPr>
        <w:t xml:space="preserve"> </w:t>
      </w:r>
      <w:r w:rsidR="00033D0F">
        <w:rPr>
          <w:position w:val="1"/>
        </w:rPr>
        <w:t>to</w:t>
      </w:r>
      <w:r w:rsidR="00033D0F">
        <w:rPr>
          <w:spacing w:val="-13"/>
          <w:position w:val="1"/>
        </w:rPr>
        <w:t xml:space="preserve"> </w:t>
      </w:r>
      <w:r w:rsidR="00033D0F">
        <w:rPr>
          <w:position w:val="1"/>
        </w:rPr>
        <w:t>MOFCOM</w:t>
      </w:r>
      <w:r w:rsidR="00033D0F">
        <w:rPr>
          <w:spacing w:val="-11"/>
          <w:position w:val="1"/>
        </w:rPr>
        <w:t xml:space="preserve"> </w:t>
      </w:r>
      <w:r w:rsidR="00033D0F">
        <w:rPr>
          <w:position w:val="1"/>
        </w:rPr>
        <w:t>as</w:t>
      </w:r>
      <w:r w:rsidR="00033D0F">
        <w:rPr>
          <w:spacing w:val="-10"/>
          <w:position w:val="1"/>
        </w:rPr>
        <w:t xml:space="preserve"> </w:t>
      </w:r>
      <w:r w:rsidR="00033D0F">
        <w:rPr>
          <w:position w:val="1"/>
        </w:rPr>
        <w:t>"data</w:t>
      </w:r>
      <w:r w:rsidR="00033D0F">
        <w:rPr>
          <w:spacing w:val="-12"/>
          <w:position w:val="1"/>
        </w:rPr>
        <w:t xml:space="preserve"> </w:t>
      </w:r>
      <w:r w:rsidR="00033D0F">
        <w:rPr>
          <w:position w:val="1"/>
        </w:rPr>
        <w:t>from</w:t>
      </w:r>
      <w:r w:rsidR="00033D0F">
        <w:rPr>
          <w:spacing w:val="-12"/>
          <w:position w:val="1"/>
        </w:rPr>
        <w:t xml:space="preserve"> </w:t>
      </w:r>
      <w:r w:rsidR="00033D0F">
        <w:rPr>
          <w:position w:val="1"/>
        </w:rPr>
        <w:t>the</w:t>
      </w:r>
      <w:r w:rsidR="00033D0F">
        <w:rPr>
          <w:spacing w:val="-7"/>
          <w:position w:val="1"/>
        </w:rPr>
        <w:t xml:space="preserve"> </w:t>
      </w:r>
      <w:r w:rsidR="00033D0F">
        <w:rPr>
          <w:position w:val="1"/>
        </w:rPr>
        <w:t xml:space="preserve">National </w:t>
      </w:r>
      <w:r w:rsidR="00033D0F">
        <w:t>Bureau of Statistics for wine production enterprises above the scale (annual main business</w:t>
      </w:r>
      <w:r w:rsidR="00033D0F">
        <w:rPr>
          <w:spacing w:val="40"/>
        </w:rPr>
        <w:t xml:space="preserve"> </w:t>
      </w:r>
      <w:r w:rsidR="00033D0F">
        <w:t>income of more than RMB 20 million)"</w:t>
      </w:r>
      <w:hyperlink w:anchor="_bookmark675" w:history="1">
        <w:r w:rsidR="00033D0F">
          <w:rPr>
            <w:vertAlign w:val="superscript"/>
          </w:rPr>
          <w:t>563</w:t>
        </w:r>
      </w:hyperlink>
      <w:r w:rsidR="00033D0F">
        <w:t>. At least as an estimate of total production (even if not</w:t>
      </w:r>
      <w:r w:rsidR="00033D0F">
        <w:rPr>
          <w:spacing w:val="-1"/>
        </w:rPr>
        <w:t xml:space="preserve"> </w:t>
      </w:r>
      <w:r w:rsidR="00033D0F">
        <w:t>of</w:t>
      </w:r>
      <w:r w:rsidR="00033D0F">
        <w:rPr>
          <w:spacing w:val="-3"/>
        </w:rPr>
        <w:t xml:space="preserve"> </w:t>
      </w:r>
      <w:r w:rsidR="00033D0F">
        <w:t>like</w:t>
      </w:r>
      <w:r w:rsidR="00033D0F">
        <w:rPr>
          <w:spacing w:val="-1"/>
        </w:rPr>
        <w:t xml:space="preserve"> </w:t>
      </w:r>
      <w:r w:rsidR="00033D0F">
        <w:t>products)</w:t>
      </w:r>
      <w:r w:rsidR="00033D0F">
        <w:rPr>
          <w:spacing w:val="-3"/>
        </w:rPr>
        <w:t xml:space="preserve"> </w:t>
      </w:r>
      <w:r w:rsidR="00033D0F">
        <w:t>it</w:t>
      </w:r>
      <w:r w:rsidR="00033D0F">
        <w:rPr>
          <w:spacing w:val="-1"/>
        </w:rPr>
        <w:t xml:space="preserve"> </w:t>
      </w:r>
      <w:r w:rsidR="00033D0F">
        <w:t>was a potentially authoritative</w:t>
      </w:r>
      <w:r w:rsidR="00033D0F">
        <w:rPr>
          <w:spacing w:val="-1"/>
        </w:rPr>
        <w:t xml:space="preserve"> </w:t>
      </w:r>
      <w:r w:rsidR="00033D0F">
        <w:t>source</w:t>
      </w:r>
      <w:r w:rsidR="00033D0F">
        <w:rPr>
          <w:spacing w:val="-1"/>
        </w:rPr>
        <w:t xml:space="preserve"> </w:t>
      </w:r>
      <w:r w:rsidR="00033D0F">
        <w:t>of data that, if</w:t>
      </w:r>
      <w:r w:rsidR="00033D0F">
        <w:rPr>
          <w:spacing w:val="-3"/>
        </w:rPr>
        <w:t xml:space="preserve"> </w:t>
      </w:r>
      <w:r w:rsidR="00033D0F">
        <w:t>anything, was an underestimate. It clearly diverged dramatically from the</w:t>
      </w:r>
      <w:r>
        <w:tab/>
      </w:r>
      <w:r>
        <w:tab/>
      </w:r>
      <w:r w:rsidR="00033D0F">
        <w:tab/>
        <w:t>estimate. Faced with this evidence,</w:t>
      </w:r>
      <w:r w:rsidR="00033D0F">
        <w:rPr>
          <w:spacing w:val="40"/>
        </w:rPr>
        <w:t xml:space="preserve"> </w:t>
      </w:r>
      <w:r w:rsidR="00033D0F">
        <w:t>MOFCOM</w:t>
      </w:r>
      <w:r w:rsidR="00033D0F">
        <w:rPr>
          <w:spacing w:val="40"/>
        </w:rPr>
        <w:t xml:space="preserve"> </w:t>
      </w:r>
      <w:r w:rsidR="00033D0F">
        <w:t>appears</w:t>
      </w:r>
      <w:r w:rsidR="00033D0F">
        <w:rPr>
          <w:spacing w:val="40"/>
        </w:rPr>
        <w:t xml:space="preserve"> </w:t>
      </w:r>
      <w:r w:rsidR="00033D0F">
        <w:t>to</w:t>
      </w:r>
      <w:r w:rsidR="00033D0F">
        <w:rPr>
          <w:spacing w:val="40"/>
        </w:rPr>
        <w:t xml:space="preserve"> </w:t>
      </w:r>
      <w:r w:rsidR="00033D0F">
        <w:t>have</w:t>
      </w:r>
      <w:r w:rsidR="00033D0F">
        <w:rPr>
          <w:spacing w:val="40"/>
        </w:rPr>
        <w:t xml:space="preserve"> </w:t>
      </w:r>
      <w:r w:rsidR="00033D0F">
        <w:t>done</w:t>
      </w:r>
      <w:r w:rsidR="00033D0F">
        <w:rPr>
          <w:spacing w:val="40"/>
        </w:rPr>
        <w:t xml:space="preserve"> </w:t>
      </w:r>
      <w:r w:rsidR="00033D0F">
        <w:t>nothing</w:t>
      </w:r>
      <w:r w:rsidR="00033D0F">
        <w:rPr>
          <w:spacing w:val="40"/>
        </w:rPr>
        <w:t xml:space="preserve"> </w:t>
      </w:r>
      <w:r w:rsidR="00033D0F">
        <w:t>in</w:t>
      </w:r>
      <w:r w:rsidR="00033D0F">
        <w:rPr>
          <w:spacing w:val="40"/>
        </w:rPr>
        <w:t xml:space="preserve"> </w:t>
      </w:r>
      <w:r w:rsidR="00033D0F">
        <w:t>response,</w:t>
      </w:r>
      <w:r w:rsidR="00033D0F">
        <w:rPr>
          <w:spacing w:val="40"/>
        </w:rPr>
        <w:t xml:space="preserve"> </w:t>
      </w:r>
      <w:r w:rsidR="00033D0F">
        <w:t>and</w:t>
      </w:r>
      <w:r w:rsidR="00033D0F">
        <w:rPr>
          <w:spacing w:val="40"/>
        </w:rPr>
        <w:t xml:space="preserve"> </w:t>
      </w:r>
      <w:r w:rsidR="00033D0F">
        <w:t>instead</w:t>
      </w:r>
      <w:r w:rsidR="00033D0F">
        <w:rPr>
          <w:spacing w:val="40"/>
        </w:rPr>
        <w:t xml:space="preserve"> </w:t>
      </w:r>
      <w:r w:rsidR="00033D0F">
        <w:t>accepted</w:t>
      </w:r>
      <w:r w:rsidR="00033D0F">
        <w:rPr>
          <w:spacing w:val="80"/>
        </w:rPr>
        <w:t xml:space="preserve"> </w:t>
      </w:r>
      <w:r w:rsidR="00033D0F">
        <w:t>data without any supporting critical analysis. In Australia's view, these were not</w:t>
      </w:r>
      <w:r>
        <w:t xml:space="preserve"> </w:t>
      </w:r>
      <w:r>
        <w:tab/>
      </w:r>
      <w:r>
        <w:tab/>
      </w:r>
      <w:r w:rsidR="00033D0F">
        <w:t>the</w:t>
      </w:r>
      <w:r w:rsidR="00033D0F" w:rsidRPr="001818E0">
        <w:rPr>
          <w:spacing w:val="-6"/>
        </w:rPr>
        <w:t xml:space="preserve"> </w:t>
      </w:r>
      <w:r w:rsidR="00033D0F">
        <w:t>actions</w:t>
      </w:r>
      <w:r w:rsidR="00033D0F" w:rsidRPr="001818E0">
        <w:rPr>
          <w:spacing w:val="-2"/>
        </w:rPr>
        <w:t xml:space="preserve"> </w:t>
      </w:r>
      <w:r w:rsidR="00033D0F">
        <w:t>of</w:t>
      </w:r>
      <w:r w:rsidR="00033D0F" w:rsidRPr="001818E0">
        <w:rPr>
          <w:spacing w:val="-5"/>
        </w:rPr>
        <w:t xml:space="preserve"> </w:t>
      </w:r>
      <w:r w:rsidR="00033D0F">
        <w:t>an</w:t>
      </w:r>
      <w:r w:rsidR="00033D0F" w:rsidRPr="001818E0">
        <w:rPr>
          <w:spacing w:val="-1"/>
        </w:rPr>
        <w:t xml:space="preserve"> </w:t>
      </w:r>
      <w:r w:rsidR="00033D0F">
        <w:t>unbiased</w:t>
      </w:r>
      <w:r w:rsidR="00033D0F" w:rsidRPr="001818E0">
        <w:rPr>
          <w:spacing w:val="-5"/>
        </w:rPr>
        <w:t xml:space="preserve"> </w:t>
      </w:r>
      <w:r w:rsidR="00033D0F">
        <w:t>and</w:t>
      </w:r>
      <w:r w:rsidR="00033D0F" w:rsidRPr="001818E0">
        <w:rPr>
          <w:spacing w:val="-1"/>
        </w:rPr>
        <w:t xml:space="preserve"> </w:t>
      </w:r>
      <w:r w:rsidR="00033D0F">
        <w:t>objective</w:t>
      </w:r>
      <w:r w:rsidR="00033D0F" w:rsidRPr="001818E0">
        <w:rPr>
          <w:spacing w:val="-3"/>
        </w:rPr>
        <w:t xml:space="preserve"> </w:t>
      </w:r>
      <w:r w:rsidR="00033D0F">
        <w:t>investigating</w:t>
      </w:r>
      <w:r w:rsidR="00033D0F" w:rsidRPr="001818E0">
        <w:rPr>
          <w:spacing w:val="-1"/>
        </w:rPr>
        <w:t xml:space="preserve"> </w:t>
      </w:r>
      <w:r w:rsidR="00033D0F" w:rsidRPr="001818E0">
        <w:rPr>
          <w:spacing w:val="-2"/>
        </w:rPr>
        <w:t>authority.</w:t>
      </w:r>
    </w:p>
    <w:p w14:paraId="1D75881A" w14:textId="0A12DEFE" w:rsidR="00BD462C" w:rsidRDefault="00BD462C">
      <w:pPr>
        <w:pStyle w:val="BodyText"/>
        <w:spacing w:before="11"/>
        <w:rPr>
          <w:sz w:val="20"/>
        </w:rPr>
      </w:pPr>
    </w:p>
    <w:p w14:paraId="491A8581" w14:textId="11015EF6" w:rsidR="00BD462C" w:rsidRDefault="00D90CE6" w:rsidP="00D90CE6">
      <w:pPr>
        <w:spacing w:line="240" w:lineRule="exact"/>
      </w:pPr>
      <w:r>
        <w:rPr>
          <w:noProof/>
        </w:rPr>
        <mc:AlternateContent>
          <mc:Choice Requires="wps">
            <w:drawing>
              <wp:anchor distT="0" distB="0" distL="114300" distR="114300" simplePos="0" relativeHeight="488348160" behindDoc="1" locked="0" layoutInCell="1" allowOverlap="1" wp14:anchorId="21A713EC" wp14:editId="2EDD6D37">
                <wp:simplePos x="0" y="0"/>
                <wp:positionH relativeFrom="page">
                  <wp:posOffset>2934546</wp:posOffset>
                </wp:positionH>
                <wp:positionV relativeFrom="paragraph">
                  <wp:posOffset>3598</wp:posOffset>
                </wp:positionV>
                <wp:extent cx="612775" cy="186055"/>
                <wp:effectExtent l="0" t="0" r="0" b="4445"/>
                <wp:wrapNone/>
                <wp:docPr id="1382" name="docshape3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6085A7" w14:textId="062CF3CF" w:rsidR="00D90CE6" w:rsidRDefault="00D90CE6" w:rsidP="00D90CE6">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A713EC" id="docshape366" o:spid="_x0000_s1054" alt="&quot;&quot;" style="position:absolute;margin-left:231.05pt;margin-top:.3pt;width:48.25pt;height:14.65pt;z-index:-1496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" fillcolor="black" stroked="f">
                <v:textbox>
                  <w:txbxContent>
                    <w:p w14:paraId="696085A7" w14:textId="062CF3CF" w:rsidR="00D90CE6" w:rsidRDefault="00D90CE6" w:rsidP="00D90CE6">
                      <w:pPr>
                        <w:jc w:val="center"/>
                      </w:pPr>
                      <w:r>
                        <w:t xml:space="preserve"> </w:t>
                      </w:r>
                    </w:p>
                  </w:txbxContent>
                </v:textbox>
                <w10:wrap anchorx="page"/>
              </v:rect>
            </w:pict>
          </mc:Fallback>
        </mc:AlternateContent>
      </w:r>
      <w:r w:rsidR="00033D0F">
        <w:rPr>
          <w:spacing w:val="-5"/>
          <w:u w:val="single"/>
        </w:rPr>
        <w:t>(b)</w:t>
      </w:r>
      <w:r w:rsidRPr="00D90CE6">
        <w:rPr>
          <w:sz w:val="24"/>
        </w:rPr>
        <w:t xml:space="preserve"> </w:t>
      </w:r>
      <w:r w:rsidRPr="00D90CE6">
        <w:rPr>
          <w:sz w:val="24"/>
          <w:u w:val="single"/>
        </w:rPr>
        <w:t>Cross-cutting</w:t>
      </w:r>
      <w:r w:rsidRPr="00D90CE6">
        <w:rPr>
          <w:spacing w:val="54"/>
          <w:sz w:val="24"/>
          <w:u w:val="single"/>
        </w:rPr>
        <w:t xml:space="preserve"> </w:t>
      </w:r>
      <w:r w:rsidRPr="00D90CE6">
        <w:rPr>
          <w:sz w:val="24"/>
          <w:u w:val="single"/>
        </w:rPr>
        <w:t>data</w:t>
      </w:r>
      <w:r w:rsidRPr="00D90CE6">
        <w:rPr>
          <w:spacing w:val="50"/>
          <w:sz w:val="24"/>
          <w:u w:val="single"/>
        </w:rPr>
        <w:t xml:space="preserve"> </w:t>
      </w:r>
      <w:r w:rsidRPr="00D90CE6">
        <w:rPr>
          <w:sz w:val="24"/>
          <w:u w:val="single"/>
        </w:rPr>
        <w:t>issues</w:t>
      </w:r>
      <w:r w:rsidRPr="00D90CE6">
        <w:rPr>
          <w:spacing w:val="56"/>
          <w:sz w:val="24"/>
          <w:u w:val="single"/>
        </w:rPr>
        <w:t xml:space="preserve"> </w:t>
      </w:r>
      <w:r w:rsidRPr="00D90CE6">
        <w:rPr>
          <w:spacing w:val="-4"/>
          <w:sz w:val="24"/>
          <w:u w:val="single"/>
        </w:rPr>
        <w:t xml:space="preserve">with </w:t>
      </w:r>
      <w:r w:rsidRPr="00D90CE6">
        <w:rPr>
          <w:spacing w:val="-4"/>
          <w:sz w:val="24"/>
          <w:u w:val="single"/>
        </w:rPr>
        <w:tab/>
      </w:r>
      <w:r w:rsidRPr="00D90CE6">
        <w:rPr>
          <w:spacing w:val="-4"/>
          <w:sz w:val="24"/>
          <w:u w:val="single"/>
        </w:rPr>
        <w:tab/>
        <w:t>total domestic</w:t>
      </w:r>
      <w:r>
        <w:rPr>
          <w:spacing w:val="-4"/>
          <w:sz w:val="24"/>
        </w:rPr>
        <w:t xml:space="preserve"> </w:t>
      </w:r>
      <w:r w:rsidR="00033D0F">
        <w:rPr>
          <w:u w:val="single"/>
        </w:rPr>
        <w:t>production</w:t>
      </w:r>
      <w:r w:rsidR="00033D0F">
        <w:rPr>
          <w:spacing w:val="-9"/>
          <w:u w:val="single"/>
        </w:rPr>
        <w:t xml:space="preserve"> </w:t>
      </w:r>
      <w:r w:rsidR="00033D0F">
        <w:rPr>
          <w:spacing w:val="-2"/>
          <w:u w:val="single"/>
        </w:rPr>
        <w:t>calculations</w:t>
      </w:r>
    </w:p>
    <w:p w14:paraId="198086C0" w14:textId="77777777" w:rsidR="00BD462C" w:rsidRDefault="00BD462C">
      <w:pPr>
        <w:pStyle w:val="BodyText"/>
        <w:spacing w:before="3"/>
        <w:rPr>
          <w:sz w:val="19"/>
        </w:rPr>
      </w:pPr>
    </w:p>
    <w:p w14:paraId="72BE21E7" w14:textId="7CB473C8" w:rsidR="00BD462C" w:rsidRDefault="00033D0F" w:rsidP="001818E0">
      <w:pPr>
        <w:pStyle w:val="BodyText"/>
        <w:numPr>
          <w:ilvl w:val="0"/>
          <w:numId w:val="77"/>
        </w:numPr>
        <w:spacing w:before="77" w:line="345" w:lineRule="auto"/>
        <w:ind w:right="923"/>
      </w:pPr>
      <w:r>
        <w:rPr>
          <w:position w:val="1"/>
        </w:rPr>
        <w:t>As</w:t>
      </w:r>
      <w:r>
        <w:rPr>
          <w:spacing w:val="28"/>
          <w:position w:val="1"/>
        </w:rPr>
        <w:t xml:space="preserve"> </w:t>
      </w:r>
      <w:r>
        <w:rPr>
          <w:position w:val="1"/>
        </w:rPr>
        <w:t>previously</w:t>
      </w:r>
      <w:r>
        <w:rPr>
          <w:spacing w:val="27"/>
          <w:position w:val="1"/>
        </w:rPr>
        <w:t xml:space="preserve"> </w:t>
      </w:r>
      <w:r>
        <w:rPr>
          <w:position w:val="1"/>
        </w:rPr>
        <w:t>argued</w:t>
      </w:r>
      <w:r>
        <w:rPr>
          <w:spacing w:val="24"/>
          <w:position w:val="1"/>
        </w:rPr>
        <w:t xml:space="preserve"> </w:t>
      </w:r>
      <w:r>
        <w:rPr>
          <w:position w:val="1"/>
        </w:rPr>
        <w:t>by</w:t>
      </w:r>
      <w:r>
        <w:rPr>
          <w:spacing w:val="27"/>
          <w:position w:val="1"/>
        </w:rPr>
        <w:t xml:space="preserve"> </w:t>
      </w:r>
      <w:r>
        <w:rPr>
          <w:position w:val="1"/>
        </w:rPr>
        <w:t>Australia,</w:t>
      </w:r>
      <w:hyperlink w:anchor="_bookmark676" w:history="1">
        <w:r>
          <w:rPr>
            <w:position w:val="1"/>
            <w:vertAlign w:val="superscript"/>
          </w:rPr>
          <w:t>564</w:t>
        </w:r>
      </w:hyperlink>
      <w:r>
        <w:rPr>
          <w:spacing w:val="27"/>
          <w:position w:val="1"/>
        </w:rPr>
        <w:t xml:space="preserve"> </w:t>
      </w:r>
      <w:r>
        <w:rPr>
          <w:position w:val="1"/>
        </w:rPr>
        <w:t>and</w:t>
      </w:r>
      <w:r>
        <w:rPr>
          <w:spacing w:val="29"/>
          <w:position w:val="1"/>
        </w:rPr>
        <w:t xml:space="preserve"> </w:t>
      </w:r>
      <w:r>
        <w:rPr>
          <w:position w:val="1"/>
        </w:rPr>
        <w:t>now</w:t>
      </w:r>
      <w:r>
        <w:rPr>
          <w:spacing w:val="32"/>
          <w:position w:val="1"/>
        </w:rPr>
        <w:t xml:space="preserve"> </w:t>
      </w:r>
      <w:r>
        <w:rPr>
          <w:position w:val="1"/>
        </w:rPr>
        <w:t>confirmed</w:t>
      </w:r>
      <w:r>
        <w:rPr>
          <w:spacing w:val="24"/>
          <w:position w:val="1"/>
        </w:rPr>
        <w:t xml:space="preserve"> </w:t>
      </w:r>
      <w:r>
        <w:rPr>
          <w:position w:val="1"/>
        </w:rPr>
        <w:t>through</w:t>
      </w:r>
      <w:r>
        <w:rPr>
          <w:spacing w:val="24"/>
          <w:position w:val="1"/>
        </w:rPr>
        <w:t xml:space="preserve"> </w:t>
      </w:r>
      <w:r>
        <w:rPr>
          <w:position w:val="1"/>
        </w:rPr>
        <w:t>the</w:t>
      </w:r>
      <w:r>
        <w:rPr>
          <w:spacing w:val="31"/>
          <w:position w:val="1"/>
        </w:rPr>
        <w:t xml:space="preserve"> </w:t>
      </w:r>
      <w:r>
        <w:rPr>
          <w:position w:val="1"/>
        </w:rPr>
        <w:t>contents</w:t>
      </w:r>
      <w:r>
        <w:rPr>
          <w:spacing w:val="33"/>
          <w:position w:val="1"/>
        </w:rPr>
        <w:t xml:space="preserve"> </w:t>
      </w:r>
      <w:r>
        <w:rPr>
          <w:position w:val="1"/>
        </w:rPr>
        <w:t xml:space="preserve">of </w:t>
      </w:r>
      <w:r>
        <w:t>Exhibit</w:t>
      </w:r>
      <w:r>
        <w:rPr>
          <w:spacing w:val="9"/>
        </w:rPr>
        <w:t xml:space="preserve"> </w:t>
      </w:r>
      <w:r>
        <w:t>CHN-32</w:t>
      </w:r>
      <w:r>
        <w:rPr>
          <w:spacing w:val="8"/>
        </w:rPr>
        <w:t xml:space="preserve"> </w:t>
      </w:r>
      <w:r>
        <w:t>(BCI),</w:t>
      </w:r>
      <w:r>
        <w:rPr>
          <w:spacing w:val="12"/>
        </w:rPr>
        <w:t xml:space="preserve"> </w:t>
      </w:r>
      <w:r>
        <w:t>there</w:t>
      </w:r>
      <w:r>
        <w:rPr>
          <w:spacing w:val="10"/>
        </w:rPr>
        <w:t xml:space="preserve"> </w:t>
      </w:r>
      <w:r>
        <w:t>is</w:t>
      </w:r>
      <w:r>
        <w:rPr>
          <w:spacing w:val="13"/>
        </w:rPr>
        <w:t xml:space="preserve"> </w:t>
      </w:r>
      <w:r>
        <w:t>nothing</w:t>
      </w:r>
      <w:r>
        <w:rPr>
          <w:spacing w:val="12"/>
        </w:rPr>
        <w:t xml:space="preserve"> </w:t>
      </w:r>
      <w:r>
        <w:t>on</w:t>
      </w:r>
      <w:r>
        <w:rPr>
          <w:spacing w:val="8"/>
        </w:rPr>
        <w:t xml:space="preserve"> </w:t>
      </w:r>
      <w:r>
        <w:t>the</w:t>
      </w:r>
      <w:r>
        <w:rPr>
          <w:spacing w:val="10"/>
        </w:rPr>
        <w:t xml:space="preserve"> </w:t>
      </w:r>
      <w:r>
        <w:t>record</w:t>
      </w:r>
      <w:r>
        <w:rPr>
          <w:spacing w:val="9"/>
        </w:rPr>
        <w:t xml:space="preserve"> </w:t>
      </w:r>
      <w:r>
        <w:t>that</w:t>
      </w:r>
      <w:r>
        <w:rPr>
          <w:spacing w:val="11"/>
        </w:rPr>
        <w:t xml:space="preserve"> </w:t>
      </w:r>
      <w:r>
        <w:t>explains</w:t>
      </w:r>
      <w:r>
        <w:rPr>
          <w:spacing w:val="12"/>
        </w:rPr>
        <w:t xml:space="preserve"> </w:t>
      </w:r>
      <w:r>
        <w:t>how</w:t>
      </w:r>
      <w:r>
        <w:rPr>
          <w:spacing w:val="11"/>
        </w:rPr>
        <w:t xml:space="preserve"> </w:t>
      </w:r>
      <w:r>
        <w:t>MOFCOM</w:t>
      </w:r>
      <w:r>
        <w:rPr>
          <w:spacing w:val="12"/>
        </w:rPr>
        <w:t xml:space="preserve"> </w:t>
      </w:r>
      <w:r>
        <w:rPr>
          <w:spacing w:val="-2"/>
        </w:rPr>
        <w:t>accounted</w:t>
      </w:r>
    </w:p>
    <w:p w14:paraId="032796EE" w14:textId="77777777" w:rsidR="00BD462C" w:rsidRDefault="00BD462C">
      <w:pPr>
        <w:pStyle w:val="BodyText"/>
        <w:rPr>
          <w:sz w:val="20"/>
        </w:rPr>
      </w:pPr>
    </w:p>
    <w:p w14:paraId="20D5CD41" w14:textId="0E2D4CD6" w:rsidR="00BD462C" w:rsidRDefault="00D70C7D">
      <w:pPr>
        <w:pStyle w:val="BodyText"/>
        <w:spacing w:before="2"/>
        <w:rPr>
          <w:sz w:val="21"/>
        </w:rPr>
      </w:pPr>
      <w:r>
        <w:rPr>
          <w:noProof/>
        </w:rPr>
        <mc:AlternateContent>
          <mc:Choice Requires="wps">
            <w:drawing>
              <wp:anchor distT="0" distB="0" distL="0" distR="0" simplePos="0" relativeHeight="487747584" behindDoc="1" locked="0" layoutInCell="1" allowOverlap="1" wp14:anchorId="04CEBF27" wp14:editId="7FB3AE32">
                <wp:simplePos x="0" y="0"/>
                <wp:positionH relativeFrom="page">
                  <wp:posOffset>899160</wp:posOffset>
                </wp:positionH>
                <wp:positionV relativeFrom="paragraph">
                  <wp:posOffset>179705</wp:posOffset>
                </wp:positionV>
                <wp:extent cx="1828800" cy="8890"/>
                <wp:effectExtent l="0" t="0" r="0" b="0"/>
                <wp:wrapTopAndBottom/>
                <wp:docPr id="718" name="docshape3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193629" id="docshape360" o:spid="_x0000_s1026" alt="&quot;&quot;" style="position:absolute;margin-left:70.8pt;margin-top:14.15pt;width:2in;height:.7pt;z-index:-15568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" fillcolor="black" stroked="f">
                <w10:wrap type="topAndBottom" anchorx="page"/>
              </v:rect>
            </w:pict>
          </mc:Fallback>
        </mc:AlternateContent>
      </w:r>
    </w:p>
    <w:p w14:paraId="452FF136" w14:textId="77777777" w:rsidR="00BD462C" w:rsidRDefault="00033D0F">
      <w:pPr>
        <w:spacing w:before="112"/>
        <w:ind w:left="135" w:right="905"/>
        <w:jc w:val="both"/>
        <w:rPr>
          <w:sz w:val="18"/>
        </w:rPr>
      </w:pPr>
      <w:bookmarkStart w:id="783" w:name="_bookmark673"/>
      <w:bookmarkEnd w:id="783"/>
      <w:r>
        <w:rPr>
          <w:position w:val="5"/>
          <w:sz w:val="12"/>
        </w:rPr>
        <w:t>561</w:t>
      </w:r>
      <w:r>
        <w:rPr>
          <w:spacing w:val="40"/>
          <w:position w:val="5"/>
          <w:sz w:val="12"/>
        </w:rPr>
        <w:t xml:space="preserve"> </w:t>
      </w:r>
      <w:r>
        <w:rPr>
          <w:sz w:val="18"/>
        </w:rPr>
        <w:t>CADA Application for Anti-Dumping investigation (Exhibit AUS-64), p. 9; and CADA Application for Anti-Dumping Investigation,</w:t>
      </w:r>
      <w:r>
        <w:rPr>
          <w:spacing w:val="-11"/>
          <w:sz w:val="18"/>
        </w:rPr>
        <w:t xml:space="preserve"> </w:t>
      </w:r>
      <w:r>
        <w:rPr>
          <w:sz w:val="18"/>
        </w:rPr>
        <w:t>Annexes</w:t>
      </w:r>
      <w:r>
        <w:rPr>
          <w:spacing w:val="-10"/>
          <w:sz w:val="18"/>
        </w:rPr>
        <w:t xml:space="preserve"> </w:t>
      </w:r>
      <w:r>
        <w:rPr>
          <w:sz w:val="18"/>
        </w:rPr>
        <w:t>1-12</w:t>
      </w:r>
      <w:r>
        <w:rPr>
          <w:spacing w:val="-10"/>
          <w:sz w:val="18"/>
        </w:rPr>
        <w:t xml:space="preserve"> </w:t>
      </w:r>
      <w:r>
        <w:rPr>
          <w:sz w:val="18"/>
        </w:rPr>
        <w:t>(Part</w:t>
      </w:r>
      <w:r>
        <w:rPr>
          <w:spacing w:val="-10"/>
          <w:sz w:val="18"/>
        </w:rPr>
        <w:t xml:space="preserve"> </w:t>
      </w:r>
      <w:r>
        <w:rPr>
          <w:sz w:val="18"/>
        </w:rPr>
        <w:t>1)</w:t>
      </w:r>
      <w:r>
        <w:rPr>
          <w:spacing w:val="-10"/>
          <w:sz w:val="18"/>
        </w:rPr>
        <w:t xml:space="preserve"> </w:t>
      </w:r>
      <w:r>
        <w:rPr>
          <w:sz w:val="18"/>
        </w:rPr>
        <w:t>(Exhibit</w:t>
      </w:r>
      <w:r>
        <w:rPr>
          <w:spacing w:val="-11"/>
          <w:sz w:val="18"/>
        </w:rPr>
        <w:t xml:space="preserve"> </w:t>
      </w:r>
      <w:r>
        <w:rPr>
          <w:sz w:val="18"/>
        </w:rPr>
        <w:t>AUS-90),</w:t>
      </w:r>
      <w:r>
        <w:rPr>
          <w:spacing w:val="-10"/>
          <w:sz w:val="18"/>
        </w:rPr>
        <w:t xml:space="preserve"> </w:t>
      </w:r>
      <w:r>
        <w:rPr>
          <w:sz w:val="18"/>
        </w:rPr>
        <w:t>Annex</w:t>
      </w:r>
      <w:r>
        <w:rPr>
          <w:spacing w:val="-10"/>
          <w:sz w:val="18"/>
        </w:rPr>
        <w:t xml:space="preserve"> </w:t>
      </w:r>
      <w:r>
        <w:rPr>
          <w:sz w:val="18"/>
        </w:rPr>
        <w:t>5,</w:t>
      </w:r>
      <w:r>
        <w:rPr>
          <w:spacing w:val="-10"/>
          <w:sz w:val="18"/>
        </w:rPr>
        <w:t xml:space="preserve"> </w:t>
      </w:r>
      <w:r>
        <w:rPr>
          <w:sz w:val="18"/>
        </w:rPr>
        <w:t>p.</w:t>
      </w:r>
      <w:r>
        <w:rPr>
          <w:spacing w:val="-10"/>
          <w:sz w:val="18"/>
        </w:rPr>
        <w:t xml:space="preserve"> </w:t>
      </w:r>
      <w:r>
        <w:rPr>
          <w:sz w:val="18"/>
        </w:rPr>
        <w:t>26:</w:t>
      </w:r>
      <w:r>
        <w:rPr>
          <w:spacing w:val="-10"/>
          <w:sz w:val="18"/>
        </w:rPr>
        <w:t xml:space="preserve"> </w:t>
      </w:r>
      <w:r>
        <w:rPr>
          <w:sz w:val="18"/>
        </w:rPr>
        <w:t>"Note:</w:t>
      </w:r>
      <w:r>
        <w:rPr>
          <w:spacing w:val="-11"/>
          <w:sz w:val="18"/>
        </w:rPr>
        <w:t xml:space="preserve"> </w:t>
      </w:r>
      <w:r>
        <w:rPr>
          <w:sz w:val="18"/>
        </w:rPr>
        <w:t>The</w:t>
      </w:r>
      <w:r>
        <w:rPr>
          <w:spacing w:val="-10"/>
          <w:sz w:val="18"/>
        </w:rPr>
        <w:t xml:space="preserve"> </w:t>
      </w:r>
      <w:r>
        <w:rPr>
          <w:sz w:val="18"/>
        </w:rPr>
        <w:t>above</w:t>
      </w:r>
      <w:r>
        <w:rPr>
          <w:spacing w:val="-10"/>
          <w:sz w:val="18"/>
        </w:rPr>
        <w:t xml:space="preserve"> </w:t>
      </w:r>
      <w:r>
        <w:rPr>
          <w:sz w:val="18"/>
        </w:rPr>
        <w:t>data</w:t>
      </w:r>
      <w:r>
        <w:rPr>
          <w:spacing w:val="-10"/>
          <w:sz w:val="18"/>
        </w:rPr>
        <w:t xml:space="preserve"> </w:t>
      </w:r>
      <w:r>
        <w:rPr>
          <w:sz w:val="18"/>
        </w:rPr>
        <w:t>is</w:t>
      </w:r>
      <w:r>
        <w:rPr>
          <w:spacing w:val="-10"/>
          <w:sz w:val="18"/>
        </w:rPr>
        <w:t xml:space="preserve"> </w:t>
      </w:r>
      <w:r>
        <w:rPr>
          <w:sz w:val="18"/>
        </w:rPr>
        <w:t>based</w:t>
      </w:r>
      <w:r>
        <w:rPr>
          <w:spacing w:val="-10"/>
          <w:sz w:val="18"/>
        </w:rPr>
        <w:t xml:space="preserve"> </w:t>
      </w:r>
      <w:r>
        <w:rPr>
          <w:sz w:val="18"/>
        </w:rPr>
        <w:t>on</w:t>
      </w:r>
      <w:r>
        <w:rPr>
          <w:spacing w:val="-11"/>
          <w:sz w:val="18"/>
        </w:rPr>
        <w:t xml:space="preserve"> </w:t>
      </w:r>
      <w:r>
        <w:rPr>
          <w:sz w:val="18"/>
        </w:rPr>
        <w:t>data</w:t>
      </w:r>
      <w:r>
        <w:rPr>
          <w:spacing w:val="-10"/>
          <w:sz w:val="18"/>
        </w:rPr>
        <w:t xml:space="preserve"> </w:t>
      </w:r>
      <w:r>
        <w:rPr>
          <w:sz w:val="18"/>
        </w:rPr>
        <w:t>from</w:t>
      </w:r>
      <w:r>
        <w:rPr>
          <w:spacing w:val="-10"/>
          <w:sz w:val="18"/>
        </w:rPr>
        <w:t xml:space="preserve"> </w:t>
      </w:r>
      <w:r>
        <w:rPr>
          <w:sz w:val="18"/>
        </w:rPr>
        <w:t>the</w:t>
      </w:r>
      <w:r>
        <w:rPr>
          <w:spacing w:val="-10"/>
          <w:sz w:val="18"/>
        </w:rPr>
        <w:t xml:space="preserve"> </w:t>
      </w:r>
      <w:r>
        <w:rPr>
          <w:sz w:val="18"/>
        </w:rPr>
        <w:t>National Bureau of Statistics for wine production enterprises above the scale (annual main business income of more than RMB 20 million).</w:t>
      </w:r>
      <w:r>
        <w:rPr>
          <w:spacing w:val="-1"/>
          <w:sz w:val="18"/>
        </w:rPr>
        <w:t xml:space="preserve"> </w:t>
      </w:r>
      <w:r>
        <w:rPr>
          <w:sz w:val="18"/>
        </w:rPr>
        <w:t>According</w:t>
      </w:r>
      <w:r>
        <w:rPr>
          <w:spacing w:val="-2"/>
          <w:sz w:val="18"/>
        </w:rPr>
        <w:t xml:space="preserve"> </w:t>
      </w:r>
      <w:r>
        <w:rPr>
          <w:sz w:val="18"/>
        </w:rPr>
        <w:t>to the information available to the Association, wine producers above the scale account</w:t>
      </w:r>
      <w:r>
        <w:rPr>
          <w:spacing w:val="-1"/>
          <w:sz w:val="18"/>
        </w:rPr>
        <w:t xml:space="preserve"> </w:t>
      </w:r>
      <w:r>
        <w:rPr>
          <w:sz w:val="18"/>
        </w:rPr>
        <w:t xml:space="preserve">for the majority of the total domestic production, accounting for more than 90 %, and can represent the overall situation of China's wine </w:t>
      </w:r>
      <w:r>
        <w:rPr>
          <w:spacing w:val="-2"/>
          <w:sz w:val="18"/>
        </w:rPr>
        <w:t>industry".</w:t>
      </w:r>
    </w:p>
    <w:p w14:paraId="5B4570BE" w14:textId="77777777" w:rsidR="00BD462C" w:rsidRDefault="00033D0F">
      <w:pPr>
        <w:spacing w:before="1"/>
        <w:ind w:left="135"/>
        <w:rPr>
          <w:sz w:val="18"/>
        </w:rPr>
      </w:pPr>
      <w:bookmarkStart w:id="784" w:name="_bookmark674"/>
      <w:bookmarkEnd w:id="784"/>
      <w:r>
        <w:rPr>
          <w:position w:val="5"/>
          <w:sz w:val="12"/>
        </w:rPr>
        <w:t>562</w:t>
      </w:r>
      <w:r>
        <w:rPr>
          <w:spacing w:val="12"/>
          <w:position w:val="5"/>
          <w:sz w:val="12"/>
        </w:rPr>
        <w:t xml:space="preserve"> </w:t>
      </w:r>
      <w:r>
        <w:rPr>
          <w:sz w:val="18"/>
        </w:rPr>
        <w:t>Anti-Dumping</w:t>
      </w:r>
      <w:r>
        <w:rPr>
          <w:spacing w:val="-6"/>
          <w:sz w:val="18"/>
        </w:rPr>
        <w:t xml:space="preserve"> </w:t>
      </w:r>
      <w:r>
        <w:rPr>
          <w:sz w:val="18"/>
        </w:rPr>
        <w:t>Final</w:t>
      </w:r>
      <w:r>
        <w:rPr>
          <w:spacing w:val="-1"/>
          <w:sz w:val="18"/>
        </w:rPr>
        <w:t xml:space="preserve"> </w:t>
      </w:r>
      <w:r>
        <w:rPr>
          <w:sz w:val="18"/>
        </w:rPr>
        <w:t>Determination</w:t>
      </w:r>
      <w:r>
        <w:rPr>
          <w:spacing w:val="-7"/>
          <w:sz w:val="18"/>
        </w:rPr>
        <w:t xml:space="preserve"> </w:t>
      </w:r>
      <w:r>
        <w:rPr>
          <w:sz w:val="18"/>
        </w:rPr>
        <w:t>(Exhibit</w:t>
      </w:r>
      <w:r>
        <w:rPr>
          <w:spacing w:val="-2"/>
          <w:sz w:val="18"/>
        </w:rPr>
        <w:t xml:space="preserve"> </w:t>
      </w:r>
      <w:r>
        <w:rPr>
          <w:sz w:val="18"/>
        </w:rPr>
        <w:t>AUS-2),</w:t>
      </w:r>
      <w:r>
        <w:rPr>
          <w:spacing w:val="-4"/>
          <w:sz w:val="18"/>
        </w:rPr>
        <w:t xml:space="preserve"> </w:t>
      </w:r>
      <w:r>
        <w:rPr>
          <w:sz w:val="18"/>
        </w:rPr>
        <w:t>p.</w:t>
      </w:r>
      <w:r>
        <w:rPr>
          <w:spacing w:val="-5"/>
          <w:sz w:val="18"/>
        </w:rPr>
        <w:t xml:space="preserve"> </w:t>
      </w:r>
      <w:r>
        <w:rPr>
          <w:spacing w:val="-4"/>
          <w:sz w:val="18"/>
        </w:rPr>
        <w:t>109.</w:t>
      </w:r>
    </w:p>
    <w:p w14:paraId="120317D8" w14:textId="77777777" w:rsidR="00BD462C" w:rsidRDefault="00033D0F">
      <w:pPr>
        <w:spacing w:before="1"/>
        <w:ind w:left="135"/>
        <w:rPr>
          <w:sz w:val="18"/>
        </w:rPr>
      </w:pPr>
      <w:bookmarkStart w:id="785" w:name="_bookmark675"/>
      <w:bookmarkEnd w:id="785"/>
      <w:r>
        <w:rPr>
          <w:position w:val="5"/>
          <w:sz w:val="12"/>
        </w:rPr>
        <w:t>563</w:t>
      </w:r>
      <w:r>
        <w:rPr>
          <w:spacing w:val="12"/>
          <w:position w:val="5"/>
          <w:sz w:val="12"/>
        </w:rPr>
        <w:t xml:space="preserve"> </w:t>
      </w:r>
      <w:r>
        <w:rPr>
          <w:sz w:val="18"/>
        </w:rPr>
        <w:t>CADA</w:t>
      </w:r>
      <w:r>
        <w:rPr>
          <w:spacing w:val="-6"/>
          <w:sz w:val="18"/>
        </w:rPr>
        <w:t xml:space="preserve"> </w:t>
      </w:r>
      <w:r>
        <w:rPr>
          <w:sz w:val="18"/>
        </w:rPr>
        <w:t>Application</w:t>
      </w:r>
      <w:r>
        <w:rPr>
          <w:spacing w:val="-6"/>
          <w:sz w:val="18"/>
        </w:rPr>
        <w:t xml:space="preserve"> </w:t>
      </w:r>
      <w:r>
        <w:rPr>
          <w:sz w:val="18"/>
        </w:rPr>
        <w:t>for</w:t>
      </w:r>
      <w:r>
        <w:rPr>
          <w:spacing w:val="-8"/>
          <w:sz w:val="18"/>
        </w:rPr>
        <w:t xml:space="preserve"> </w:t>
      </w:r>
      <w:r>
        <w:rPr>
          <w:sz w:val="18"/>
        </w:rPr>
        <w:t>Anti-Dumping</w:t>
      </w:r>
      <w:r>
        <w:rPr>
          <w:spacing w:val="-5"/>
          <w:sz w:val="18"/>
        </w:rPr>
        <w:t xml:space="preserve"> </w:t>
      </w:r>
      <w:r>
        <w:rPr>
          <w:sz w:val="18"/>
        </w:rPr>
        <w:t>Investigation, Annexes</w:t>
      </w:r>
      <w:r>
        <w:rPr>
          <w:spacing w:val="-1"/>
          <w:sz w:val="18"/>
        </w:rPr>
        <w:t xml:space="preserve"> </w:t>
      </w:r>
      <w:r>
        <w:rPr>
          <w:sz w:val="18"/>
        </w:rPr>
        <w:t>1-12</w:t>
      </w:r>
      <w:r>
        <w:rPr>
          <w:spacing w:val="-7"/>
          <w:sz w:val="18"/>
        </w:rPr>
        <w:t xml:space="preserve"> </w:t>
      </w:r>
      <w:r>
        <w:rPr>
          <w:sz w:val="18"/>
        </w:rPr>
        <w:t>(Part</w:t>
      </w:r>
      <w:r>
        <w:rPr>
          <w:spacing w:val="-1"/>
          <w:sz w:val="18"/>
        </w:rPr>
        <w:t xml:space="preserve"> </w:t>
      </w:r>
      <w:r>
        <w:rPr>
          <w:sz w:val="18"/>
        </w:rPr>
        <w:t>1)</w:t>
      </w:r>
      <w:r>
        <w:rPr>
          <w:spacing w:val="-5"/>
          <w:sz w:val="18"/>
        </w:rPr>
        <w:t xml:space="preserve"> </w:t>
      </w:r>
      <w:r>
        <w:rPr>
          <w:sz w:val="18"/>
        </w:rPr>
        <w:t>(Exhibit</w:t>
      </w:r>
      <w:r>
        <w:rPr>
          <w:spacing w:val="-4"/>
          <w:sz w:val="18"/>
        </w:rPr>
        <w:t xml:space="preserve"> </w:t>
      </w:r>
      <w:r>
        <w:rPr>
          <w:sz w:val="18"/>
        </w:rPr>
        <w:t>AUS-90),</w:t>
      </w:r>
      <w:r>
        <w:rPr>
          <w:spacing w:val="-4"/>
          <w:sz w:val="18"/>
        </w:rPr>
        <w:t xml:space="preserve"> </w:t>
      </w:r>
      <w:r>
        <w:rPr>
          <w:sz w:val="18"/>
        </w:rPr>
        <w:t xml:space="preserve">p. </w:t>
      </w:r>
      <w:r>
        <w:rPr>
          <w:spacing w:val="-5"/>
          <w:sz w:val="18"/>
        </w:rPr>
        <w:t>26.</w:t>
      </w:r>
    </w:p>
    <w:p w14:paraId="1BB685C0" w14:textId="77777777" w:rsidR="00BD462C" w:rsidRDefault="00033D0F">
      <w:pPr>
        <w:spacing w:before="1"/>
        <w:ind w:left="135"/>
        <w:rPr>
          <w:sz w:val="18"/>
        </w:rPr>
      </w:pPr>
      <w:bookmarkStart w:id="786" w:name="_bookmark676"/>
      <w:bookmarkEnd w:id="786"/>
      <w:r>
        <w:rPr>
          <w:position w:val="5"/>
          <w:sz w:val="12"/>
        </w:rPr>
        <w:t>564</w:t>
      </w:r>
      <w:r>
        <w:rPr>
          <w:spacing w:val="12"/>
          <w:position w:val="5"/>
          <w:sz w:val="12"/>
        </w:rPr>
        <w:t xml:space="preserve"> </w:t>
      </w:r>
      <w:r>
        <w:rPr>
          <w:sz w:val="18"/>
        </w:rPr>
        <w:t>Australia's</w:t>
      </w:r>
      <w:r>
        <w:rPr>
          <w:spacing w:val="-6"/>
          <w:sz w:val="18"/>
        </w:rPr>
        <w:t xml:space="preserve"> </w:t>
      </w:r>
      <w:r>
        <w:rPr>
          <w:sz w:val="18"/>
        </w:rPr>
        <w:t>first</w:t>
      </w:r>
      <w:r>
        <w:rPr>
          <w:spacing w:val="-6"/>
          <w:sz w:val="18"/>
        </w:rPr>
        <w:t xml:space="preserve"> </w:t>
      </w:r>
      <w:r>
        <w:rPr>
          <w:sz w:val="18"/>
        </w:rPr>
        <w:t>written</w:t>
      </w:r>
      <w:r>
        <w:rPr>
          <w:spacing w:val="-2"/>
          <w:sz w:val="18"/>
        </w:rPr>
        <w:t xml:space="preserve"> </w:t>
      </w:r>
      <w:r>
        <w:rPr>
          <w:sz w:val="18"/>
        </w:rPr>
        <w:t>submission, para.</w:t>
      </w:r>
      <w:r>
        <w:rPr>
          <w:spacing w:val="-5"/>
          <w:sz w:val="18"/>
        </w:rPr>
        <w:t xml:space="preserve"> </w:t>
      </w:r>
      <w:r>
        <w:rPr>
          <w:spacing w:val="-4"/>
          <w:sz w:val="18"/>
        </w:rPr>
        <w:t>539.</w:t>
      </w:r>
    </w:p>
    <w:p w14:paraId="4435C6C7" w14:textId="77777777" w:rsidR="00BD462C" w:rsidRDefault="00BD462C">
      <w:pPr>
        <w:rPr>
          <w:sz w:val="18"/>
        </w:rPr>
        <w:sectPr w:rsidR="00BD462C">
          <w:pgSz w:w="11910" w:h="16840"/>
          <w:pgMar w:top="860" w:right="500" w:bottom="780" w:left="1280" w:header="566" w:footer="590" w:gutter="0"/>
          <w:cols w:space="720"/>
        </w:sectPr>
      </w:pPr>
    </w:p>
    <w:p w14:paraId="5E17AAB1"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4CFC1F71"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7F4F1567"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17F50B14" w14:textId="20563CA1" w:rsidR="00BD462C" w:rsidRDefault="00D70C7D">
      <w:pPr>
        <w:pStyle w:val="BodyText"/>
        <w:spacing w:before="102" w:after="4" w:line="357" w:lineRule="auto"/>
        <w:ind w:left="135"/>
      </w:pPr>
      <w:r>
        <w:rPr>
          <w:noProof/>
        </w:rPr>
        <mc:AlternateContent>
          <mc:Choice Requires="wps">
            <w:drawing>
              <wp:anchor distT="0" distB="0" distL="114300" distR="114300" simplePos="0" relativeHeight="15892992" behindDoc="0" locked="0" layoutInCell="1" allowOverlap="1" wp14:anchorId="0A87F458" wp14:editId="2B2E9E7D">
                <wp:simplePos x="0" y="0"/>
                <wp:positionH relativeFrom="page">
                  <wp:posOffset>3485515</wp:posOffset>
                </wp:positionH>
                <wp:positionV relativeFrom="paragraph">
                  <wp:posOffset>340995</wp:posOffset>
                </wp:positionV>
                <wp:extent cx="3176270" cy="186055"/>
                <wp:effectExtent l="0" t="0" r="0" b="0"/>
                <wp:wrapNone/>
                <wp:docPr id="716" name="docshape3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627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7E97E0" id="docshape361" o:spid="_x0000_s1026" alt="&quot;&quot;" style="position:absolute;margin-left:274.45pt;margin-top:26.85pt;width:250.1pt;height:14.65pt;z-index:1589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" fillcolor="black" stroked="f">
                <w10:wrap anchorx="page"/>
              </v:rect>
            </w:pict>
          </mc:Fallback>
        </mc:AlternateContent>
      </w:r>
      <w:r w:rsidR="00033D0F">
        <w:t>or controlled for year-to-year variables in the estimate of total production. The lack of such adjustments</w:t>
      </w:r>
      <w:r w:rsidR="00033D0F">
        <w:rPr>
          <w:spacing w:val="40"/>
        </w:rPr>
        <w:t xml:space="preserve"> </w:t>
      </w:r>
      <w:r w:rsidR="00033D0F">
        <w:t>is</w:t>
      </w:r>
      <w:r w:rsidR="00033D0F">
        <w:rPr>
          <w:spacing w:val="40"/>
        </w:rPr>
        <w:t xml:space="preserve"> </w:t>
      </w:r>
      <w:r w:rsidR="00033D0F">
        <w:t>evident.</w:t>
      </w:r>
      <w:r w:rsidR="00033D0F">
        <w:rPr>
          <w:spacing w:val="40"/>
        </w:rPr>
        <w:t xml:space="preserve"> </w:t>
      </w:r>
      <w:r w:rsidR="00033D0F">
        <w:t>For</w:t>
      </w:r>
      <w:r w:rsidR="00033D0F">
        <w:rPr>
          <w:spacing w:val="40"/>
        </w:rPr>
        <w:t xml:space="preserve"> </w:t>
      </w:r>
      <w:r w:rsidR="00033D0F">
        <w:t>example,</w:t>
      </w:r>
    </w:p>
    <w:p w14:paraId="2EB6BF14" w14:textId="444DAC4A" w:rsidR="00BD462C" w:rsidRDefault="00D70C7D">
      <w:pPr>
        <w:pStyle w:val="BodyText"/>
        <w:ind w:left="136"/>
        <w:rPr>
          <w:sz w:val="20"/>
        </w:rPr>
      </w:pPr>
      <w:r>
        <w:rPr>
          <w:noProof/>
          <w:sz w:val="20"/>
        </w:rPr>
        <mc:AlternateContent>
          <mc:Choice Requires="wpg">
            <w:drawing>
              <wp:inline distT="0" distB="0" distL="0" distR="0" wp14:anchorId="78C12D1D" wp14:editId="205CC5BF">
                <wp:extent cx="5697220" cy="186055"/>
                <wp:effectExtent l="3810" t="4445" r="4445" b="0"/>
                <wp:docPr id="712" name="docshapegroup362" descr="Redac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7220" cy="186055"/>
                          <a:chOff x="0" y="0"/>
                          <a:chExt cx="8972" cy="293"/>
                        </a:xfrm>
                      </wpg:grpSpPr>
                      <wps:wsp>
                        <wps:cNvPr id="714" name="docshape363"/>
                        <wps:cNvSpPr>
                          <a:spLocks noChangeArrowheads="1"/>
                        </wps:cNvSpPr>
                        <wps:spPr bwMode="auto">
                          <a:xfrm>
                            <a:off x="0" y="0"/>
                            <a:ext cx="8972" cy="29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7023FCA" id="docshapegroup362" o:spid="_x0000_s1026" alt="Redacted" style="width:448.6pt;height:14.65pt;mso-position-horizontal-relative:char;mso-position-vertical-relative:line" coordsize="8972,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">
                <v:rect id="docshape363" o:spid="_x0000_s1027" style="position:absolute;width:8972;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" fillcolor="black" stroked="f"/>
                <w10:anchorlock/>
              </v:group>
            </w:pict>
          </mc:Fallback>
        </mc:AlternateContent>
      </w:r>
    </w:p>
    <w:p w14:paraId="33CD40AD" w14:textId="0FA764F7" w:rsidR="00BD462C" w:rsidRDefault="00D70C7D">
      <w:pPr>
        <w:pStyle w:val="BodyText"/>
        <w:spacing w:before="113" w:line="362" w:lineRule="auto"/>
        <w:ind w:left="135" w:right="912" w:firstLine="1238"/>
      </w:pPr>
      <w:r>
        <w:rPr>
          <w:noProof/>
        </w:rPr>
        <mc:AlternateContent>
          <mc:Choice Requires="wps">
            <w:drawing>
              <wp:anchor distT="0" distB="0" distL="114300" distR="114300" simplePos="0" relativeHeight="15893504" behindDoc="0" locked="0" layoutInCell="1" allowOverlap="1" wp14:anchorId="25EC9C3C" wp14:editId="3682F1A9">
                <wp:simplePos x="0" y="0"/>
                <wp:positionH relativeFrom="page">
                  <wp:posOffset>899160</wp:posOffset>
                </wp:positionH>
                <wp:positionV relativeFrom="paragraph">
                  <wp:posOffset>70485</wp:posOffset>
                </wp:positionV>
                <wp:extent cx="725170" cy="186055"/>
                <wp:effectExtent l="0" t="0" r="0" b="0"/>
                <wp:wrapNone/>
                <wp:docPr id="710" name="docshape3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81D16C" id="docshape364" o:spid="_x0000_s1026" alt="&quot;&quot;" style="position:absolute;margin-left:70.8pt;margin-top:5.55pt;width:57.1pt;height:14.65pt;z-index:15893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" fillcolor="black" stroked="f">
                <w10:wrap anchorx="page"/>
              </v:rect>
            </w:pict>
          </mc:Fallback>
        </mc:AlternateContent>
      </w:r>
      <w:r w:rsidR="00033D0F">
        <w:t>There</w:t>
      </w:r>
      <w:r w:rsidR="00033D0F">
        <w:rPr>
          <w:spacing w:val="39"/>
        </w:rPr>
        <w:t xml:space="preserve"> </w:t>
      </w:r>
      <w:r w:rsidR="00033D0F">
        <w:t>is</w:t>
      </w:r>
      <w:r w:rsidR="00033D0F">
        <w:rPr>
          <w:spacing w:val="40"/>
        </w:rPr>
        <w:t xml:space="preserve"> </w:t>
      </w:r>
      <w:r w:rsidR="00033D0F">
        <w:t>also</w:t>
      </w:r>
      <w:r w:rsidR="00033D0F">
        <w:rPr>
          <w:spacing w:val="36"/>
        </w:rPr>
        <w:t xml:space="preserve"> </w:t>
      </w:r>
      <w:r w:rsidR="00033D0F">
        <w:t>no</w:t>
      </w:r>
      <w:r w:rsidR="00033D0F">
        <w:rPr>
          <w:spacing w:val="36"/>
        </w:rPr>
        <w:t xml:space="preserve"> </w:t>
      </w:r>
      <w:r w:rsidR="00033D0F">
        <w:t>indication</w:t>
      </w:r>
      <w:r w:rsidR="00033D0F">
        <w:rPr>
          <w:spacing w:val="37"/>
        </w:rPr>
        <w:t xml:space="preserve"> </w:t>
      </w:r>
      <w:r w:rsidR="00033D0F">
        <w:t>that</w:t>
      </w:r>
      <w:r w:rsidR="00033D0F">
        <w:rPr>
          <w:spacing w:val="40"/>
        </w:rPr>
        <w:t xml:space="preserve"> </w:t>
      </w:r>
      <w:r w:rsidR="00033D0F">
        <w:t>MOFCOM</w:t>
      </w:r>
      <w:r w:rsidR="00033D0F">
        <w:rPr>
          <w:spacing w:val="39"/>
        </w:rPr>
        <w:t xml:space="preserve"> </w:t>
      </w:r>
      <w:r w:rsidR="00033D0F">
        <w:t>made</w:t>
      </w:r>
      <w:r w:rsidR="00033D0F">
        <w:rPr>
          <w:spacing w:val="39"/>
        </w:rPr>
        <w:t xml:space="preserve"> </w:t>
      </w:r>
      <w:r w:rsidR="00033D0F">
        <w:t>an</w:t>
      </w:r>
      <w:r w:rsidR="00033D0F">
        <w:rPr>
          <w:spacing w:val="37"/>
        </w:rPr>
        <w:t xml:space="preserve"> </w:t>
      </w:r>
      <w:r w:rsidR="00033D0F">
        <w:t>assessment</w:t>
      </w:r>
      <w:r w:rsidR="00033D0F">
        <w:rPr>
          <w:spacing w:val="39"/>
        </w:rPr>
        <w:t xml:space="preserve"> </w:t>
      </w:r>
      <w:r w:rsidR="00033D0F">
        <w:t>for</w:t>
      </w:r>
      <w:r w:rsidR="00033D0F">
        <w:rPr>
          <w:spacing w:val="36"/>
        </w:rPr>
        <w:t xml:space="preserve"> </w:t>
      </w:r>
      <w:r w:rsidR="00033D0F">
        <w:t>potential margins of error in its estimate.</w:t>
      </w:r>
    </w:p>
    <w:p w14:paraId="64370197" w14:textId="77777777" w:rsidR="00BD462C" w:rsidRDefault="00BD462C">
      <w:pPr>
        <w:pStyle w:val="BodyText"/>
        <w:spacing w:before="8"/>
        <w:rPr>
          <w:sz w:val="8"/>
        </w:rPr>
      </w:pPr>
    </w:p>
    <w:p w14:paraId="2D44E868" w14:textId="74C92DC0" w:rsidR="00BD462C" w:rsidRDefault="00D70C7D">
      <w:pPr>
        <w:pStyle w:val="BodyText"/>
        <w:tabs>
          <w:tab w:val="left" w:pos="2396"/>
          <w:tab w:val="left" w:pos="4033"/>
        </w:tabs>
        <w:spacing w:before="56" w:line="360" w:lineRule="auto"/>
        <w:ind w:left="135" w:right="910" w:hanging="5"/>
        <w:jc w:val="both"/>
      </w:pPr>
      <w:r>
        <w:rPr>
          <w:noProof/>
        </w:rPr>
        <mc:AlternateContent>
          <mc:Choice Requires="wps">
            <w:drawing>
              <wp:anchor distT="0" distB="0" distL="114300" distR="114300" simplePos="0" relativeHeight="479055360" behindDoc="1" locked="0" layoutInCell="1" allowOverlap="1" wp14:anchorId="01327674" wp14:editId="587DA879">
                <wp:simplePos x="0" y="0"/>
                <wp:positionH relativeFrom="page">
                  <wp:posOffset>1703705</wp:posOffset>
                </wp:positionH>
                <wp:positionV relativeFrom="paragraph">
                  <wp:posOffset>309245</wp:posOffset>
                </wp:positionV>
                <wp:extent cx="579120" cy="186055"/>
                <wp:effectExtent l="0" t="0" r="0" b="0"/>
                <wp:wrapNone/>
                <wp:docPr id="708" name="docshape3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2F7FFC" id="docshape365" o:spid="_x0000_s1026" alt="&quot;&quot;" style="position:absolute;margin-left:134.15pt;margin-top:24.35pt;width:45.6pt;height:14.65pt;z-index:-2426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" fillcolor="black" stroked="f">
                <w10:wrap anchorx="page"/>
              </v:rect>
            </w:pict>
          </mc:Fallback>
        </mc:AlternateContent>
      </w:r>
      <w:r>
        <w:rPr>
          <w:noProof/>
        </w:rPr>
        <mc:AlternateContent>
          <mc:Choice Requires="wps">
            <w:drawing>
              <wp:anchor distT="0" distB="0" distL="114300" distR="114300" simplePos="0" relativeHeight="479055872" behindDoc="1" locked="0" layoutInCell="1" allowOverlap="1" wp14:anchorId="07F6ECA7" wp14:editId="67B5201E">
                <wp:simplePos x="0" y="0"/>
                <wp:positionH relativeFrom="page">
                  <wp:posOffset>2761615</wp:posOffset>
                </wp:positionH>
                <wp:positionV relativeFrom="paragraph">
                  <wp:posOffset>1704975</wp:posOffset>
                </wp:positionV>
                <wp:extent cx="612775" cy="186055"/>
                <wp:effectExtent l="0" t="0" r="0" b="0"/>
                <wp:wrapNone/>
                <wp:docPr id="706" name="docshape3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E7AEE0" id="docshape366" o:spid="_x0000_s1026" alt="&quot;&quot;" style="position:absolute;margin-left:217.45pt;margin-top:134.25pt;width:48.25pt;height:14.65pt;z-index:-24260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" fillcolor="black" stroked="f">
                <w10:wrap anchorx="page"/>
              </v:rect>
            </w:pict>
          </mc:Fallback>
        </mc:AlternateContent>
      </w:r>
      <w:r>
        <w:rPr>
          <w:noProof/>
        </w:rPr>
        <mc:AlternateContent>
          <mc:Choice Requires="wps">
            <w:drawing>
              <wp:anchor distT="0" distB="0" distL="114300" distR="114300" simplePos="0" relativeHeight="15895040" behindDoc="0" locked="0" layoutInCell="1" allowOverlap="1" wp14:anchorId="26E1721A" wp14:editId="2A9E09E6">
                <wp:simplePos x="0" y="0"/>
                <wp:positionH relativeFrom="page">
                  <wp:posOffset>899160</wp:posOffset>
                </wp:positionH>
                <wp:positionV relativeFrom="paragraph">
                  <wp:posOffset>2262505</wp:posOffset>
                </wp:positionV>
                <wp:extent cx="499745" cy="186055"/>
                <wp:effectExtent l="0" t="0" r="0" b="0"/>
                <wp:wrapNone/>
                <wp:docPr id="704" name="docshape3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4D9F12" id="docshape367" o:spid="_x0000_s1026" alt="&quot;&quot;" style="position:absolute;margin-left:70.8pt;margin-top:178.15pt;width:39.35pt;height:14.65pt;z-index:1589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" fillcolor="black" stroked="f">
                <w10:wrap anchorx="page"/>
              </v:rect>
            </w:pict>
          </mc:Fallback>
        </mc:AlternateContent>
      </w:r>
      <w:r>
        <w:rPr>
          <w:noProof/>
        </w:rPr>
        <mc:AlternateContent>
          <mc:Choice Requires="wps">
            <w:drawing>
              <wp:anchor distT="0" distB="0" distL="114300" distR="114300" simplePos="0" relativeHeight="15895552" behindDoc="0" locked="0" layoutInCell="1" allowOverlap="1" wp14:anchorId="31E30D99" wp14:editId="77F5BBE8">
                <wp:simplePos x="0" y="0"/>
                <wp:positionH relativeFrom="page">
                  <wp:posOffset>5538470</wp:posOffset>
                </wp:positionH>
                <wp:positionV relativeFrom="paragraph">
                  <wp:posOffset>2262505</wp:posOffset>
                </wp:positionV>
                <wp:extent cx="1121410" cy="186055"/>
                <wp:effectExtent l="0" t="0" r="0" b="0"/>
                <wp:wrapNone/>
                <wp:docPr id="702" name="docshape3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141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BB1031" id="docshape368" o:spid="_x0000_s1026" alt="&quot;&quot;" style="position:absolute;margin-left:436.1pt;margin-top:178.15pt;width:88.3pt;height:14.65pt;z-index:15895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" fillcolor="black" stroked="f">
                <w10:wrap anchorx="page"/>
              </v:rect>
            </w:pict>
          </mc:Fallback>
        </mc:AlternateContent>
      </w:r>
      <w:r w:rsidR="00735BCE">
        <w:rPr>
          <w:noProof/>
        </w:rPr>
        <w:t xml:space="preserve">108. </w:t>
      </w:r>
      <w:r w:rsidR="00033D0F">
        <w:rPr>
          <w:position w:val="1"/>
        </w:rPr>
        <w:t xml:space="preserve">Indeed, it appears that MOFCOM would have been unable to make such an </w:t>
      </w:r>
      <w:r w:rsidR="00033D0F">
        <w:rPr>
          <w:spacing w:val="-2"/>
        </w:rPr>
        <w:t>assessment.</w:t>
      </w:r>
      <w:r w:rsidR="00033D0F">
        <w:tab/>
        <w:t>did not indicate any of the sources of the underlying data inputs or explain how they were obtained, derived, or estimated (</w:t>
      </w:r>
      <w:proofErr w:type="gramStart"/>
      <w:r w:rsidR="00033D0F">
        <w:t>e.g.</w:t>
      </w:r>
      <w:proofErr w:type="gramEnd"/>
      <w:r w:rsidR="00033D0F">
        <w:t xml:space="preserve"> "wine plantation" area and "average harvest"). It did not provide the relevant assumptions or adjustments that were applied in determining any of its figures. Further, there is no evidence to indicate that MOFCOM had any of this information. Therefore, MOFCOM could not have determined whether and to what extent</w:t>
      </w:r>
      <w:r w:rsidR="00033D0F">
        <w:tab/>
        <w:t>] figures were based on positive evidence collected from</w:t>
      </w:r>
      <w:r w:rsidR="00033D0F">
        <w:rPr>
          <w:spacing w:val="34"/>
        </w:rPr>
        <w:t xml:space="preserve"> </w:t>
      </w:r>
      <w:r w:rsidR="00033D0F">
        <w:t>actual</w:t>
      </w:r>
      <w:r w:rsidR="00033D0F">
        <w:rPr>
          <w:spacing w:val="37"/>
        </w:rPr>
        <w:t xml:space="preserve"> </w:t>
      </w:r>
      <w:r w:rsidR="00033D0F">
        <w:t>producers,</w:t>
      </w:r>
      <w:r w:rsidR="00033D0F">
        <w:rPr>
          <w:spacing w:val="37"/>
        </w:rPr>
        <w:t xml:space="preserve"> </w:t>
      </w:r>
      <w:r w:rsidR="00033D0F">
        <w:t>or</w:t>
      </w:r>
      <w:r w:rsidR="00033D0F">
        <w:rPr>
          <w:spacing w:val="32"/>
        </w:rPr>
        <w:t xml:space="preserve"> </w:t>
      </w:r>
      <w:r w:rsidR="00033D0F">
        <w:t>to</w:t>
      </w:r>
      <w:r w:rsidR="00033D0F">
        <w:rPr>
          <w:spacing w:val="37"/>
        </w:rPr>
        <w:t xml:space="preserve"> </w:t>
      </w:r>
      <w:r w:rsidR="00033D0F">
        <w:t>what</w:t>
      </w:r>
      <w:r w:rsidR="00033D0F">
        <w:rPr>
          <w:spacing w:val="35"/>
        </w:rPr>
        <w:t xml:space="preserve"> </w:t>
      </w:r>
      <w:r w:rsidR="00033D0F">
        <w:t>extent</w:t>
      </w:r>
      <w:r w:rsidR="00033D0F">
        <w:rPr>
          <w:spacing w:val="35"/>
        </w:rPr>
        <w:t xml:space="preserve"> </w:t>
      </w:r>
      <w:r w:rsidR="00033D0F">
        <w:t>they</w:t>
      </w:r>
      <w:r w:rsidR="00033D0F">
        <w:rPr>
          <w:spacing w:val="36"/>
        </w:rPr>
        <w:t xml:space="preserve"> </w:t>
      </w:r>
      <w:r w:rsidR="00033D0F">
        <w:t>were</w:t>
      </w:r>
      <w:r w:rsidR="00033D0F">
        <w:rPr>
          <w:spacing w:val="35"/>
        </w:rPr>
        <w:t xml:space="preserve"> </w:t>
      </w:r>
      <w:r w:rsidR="00033D0F">
        <w:t>theoretical</w:t>
      </w:r>
      <w:r w:rsidR="00033D0F">
        <w:rPr>
          <w:spacing w:val="37"/>
        </w:rPr>
        <w:t xml:space="preserve"> </w:t>
      </w:r>
      <w:r w:rsidR="00033D0F">
        <w:t>projections</w:t>
      </w:r>
      <w:r w:rsidR="00033D0F">
        <w:rPr>
          <w:spacing w:val="36"/>
        </w:rPr>
        <w:t xml:space="preserve"> </w:t>
      </w:r>
      <w:r w:rsidR="00033D0F">
        <w:t>or</w:t>
      </w:r>
      <w:r w:rsidR="00033D0F">
        <w:rPr>
          <w:spacing w:val="32"/>
        </w:rPr>
        <w:t xml:space="preserve"> </w:t>
      </w:r>
      <w:r w:rsidR="00033D0F">
        <w:t>estimates.</w:t>
      </w:r>
    </w:p>
    <w:p w14:paraId="47949C7F" w14:textId="77777777" w:rsidR="00BD462C" w:rsidRDefault="00033D0F">
      <w:pPr>
        <w:pStyle w:val="BodyText"/>
        <w:spacing w:line="287" w:lineRule="exact"/>
        <w:ind w:left="1028"/>
        <w:jc w:val="both"/>
      </w:pPr>
      <w:r>
        <w:t>only</w:t>
      </w:r>
      <w:r>
        <w:rPr>
          <w:spacing w:val="47"/>
        </w:rPr>
        <w:t xml:space="preserve"> </w:t>
      </w:r>
      <w:r>
        <w:t>indicated</w:t>
      </w:r>
      <w:r>
        <w:rPr>
          <w:spacing w:val="43"/>
        </w:rPr>
        <w:t xml:space="preserve"> </w:t>
      </w:r>
      <w:r>
        <w:t>one</w:t>
      </w:r>
      <w:r>
        <w:rPr>
          <w:spacing w:val="45"/>
        </w:rPr>
        <w:t xml:space="preserve"> </w:t>
      </w:r>
      <w:r>
        <w:t>source</w:t>
      </w:r>
      <w:r>
        <w:rPr>
          <w:spacing w:val="45"/>
        </w:rPr>
        <w:t xml:space="preserve"> </w:t>
      </w:r>
      <w:r>
        <w:t>for</w:t>
      </w:r>
      <w:r>
        <w:rPr>
          <w:spacing w:val="48"/>
        </w:rPr>
        <w:t xml:space="preserve"> </w:t>
      </w:r>
      <w:r>
        <w:t>one</w:t>
      </w:r>
      <w:r>
        <w:rPr>
          <w:spacing w:val="45"/>
        </w:rPr>
        <w:t xml:space="preserve"> </w:t>
      </w:r>
      <w:r>
        <w:t>particular</w:t>
      </w:r>
      <w:r>
        <w:rPr>
          <w:spacing w:val="43"/>
        </w:rPr>
        <w:t xml:space="preserve"> </w:t>
      </w:r>
      <w:r>
        <w:t>input</w:t>
      </w:r>
      <w:r>
        <w:rPr>
          <w:spacing w:val="46"/>
        </w:rPr>
        <w:t xml:space="preserve"> </w:t>
      </w:r>
      <w:r>
        <w:t>—</w:t>
      </w:r>
      <w:r>
        <w:rPr>
          <w:spacing w:val="44"/>
        </w:rPr>
        <w:t xml:space="preserve"> </w:t>
      </w:r>
      <w:r>
        <w:t>that</w:t>
      </w:r>
      <w:r>
        <w:rPr>
          <w:spacing w:val="47"/>
        </w:rPr>
        <w:t xml:space="preserve"> </w:t>
      </w:r>
      <w:r>
        <w:rPr>
          <w:spacing w:val="-5"/>
        </w:rPr>
        <w:t>is,</w:t>
      </w:r>
    </w:p>
    <w:p w14:paraId="2B448F40" w14:textId="060D35B5" w:rsidR="00BD462C" w:rsidRDefault="00D70C7D">
      <w:pPr>
        <w:pStyle w:val="BodyText"/>
        <w:rPr>
          <w:sz w:val="10"/>
        </w:rPr>
      </w:pPr>
      <w:r>
        <w:rPr>
          <w:noProof/>
        </w:rPr>
        <mc:AlternateContent>
          <mc:Choice Requires="wps">
            <w:drawing>
              <wp:anchor distT="0" distB="0" distL="0" distR="0" simplePos="0" relativeHeight="487751168" behindDoc="1" locked="0" layoutInCell="1" allowOverlap="1" wp14:anchorId="38634F24" wp14:editId="442FC718">
                <wp:simplePos x="0" y="0"/>
                <wp:positionH relativeFrom="page">
                  <wp:posOffset>899160</wp:posOffset>
                </wp:positionH>
                <wp:positionV relativeFrom="paragraph">
                  <wp:posOffset>93345</wp:posOffset>
                </wp:positionV>
                <wp:extent cx="5696585" cy="186055"/>
                <wp:effectExtent l="0" t="0" r="0" b="0"/>
                <wp:wrapTopAndBottom/>
                <wp:docPr id="700" name="docshape3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658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4DC2B0" id="docshape369" o:spid="_x0000_s1026" alt="&quot;&quot;" style="position:absolute;margin-left:70.8pt;margin-top:7.35pt;width:448.55pt;height:14.65pt;z-index:-15565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" fillcolor="black" stroked="f">
                <w10:wrap type="topAndBottom" anchorx="page"/>
              </v:rect>
            </w:pict>
          </mc:Fallback>
        </mc:AlternateContent>
      </w:r>
      <w:r>
        <w:rPr>
          <w:noProof/>
        </w:rPr>
        <mc:AlternateContent>
          <mc:Choice Requires="wps">
            <w:drawing>
              <wp:anchor distT="0" distB="0" distL="0" distR="0" simplePos="0" relativeHeight="487751680" behindDoc="1" locked="0" layoutInCell="1" allowOverlap="1" wp14:anchorId="54DFF763" wp14:editId="0BEE7EB8">
                <wp:simplePos x="0" y="0"/>
                <wp:positionH relativeFrom="page">
                  <wp:posOffset>899160</wp:posOffset>
                </wp:positionH>
                <wp:positionV relativeFrom="paragraph">
                  <wp:posOffset>370840</wp:posOffset>
                </wp:positionV>
                <wp:extent cx="953770" cy="186055"/>
                <wp:effectExtent l="0" t="0" r="0" b="0"/>
                <wp:wrapTopAndBottom/>
                <wp:docPr id="698" name="docshape3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77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4C1017" id="docshape370" o:spid="_x0000_s1026" alt="&quot;&quot;" style="position:absolute;margin-left:70.8pt;margin-top:29.2pt;width:75.1pt;height:14.65pt;z-index:-15564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" fillcolor="black" stroked="f">
                <w10:wrap type="topAndBottom" anchorx="page"/>
              </v:rect>
            </w:pict>
          </mc:Fallback>
        </mc:AlternateContent>
      </w:r>
    </w:p>
    <w:p w14:paraId="00385F4C" w14:textId="77777777" w:rsidR="00BD462C" w:rsidRDefault="00BD462C">
      <w:pPr>
        <w:pStyle w:val="BodyText"/>
        <w:spacing w:before="10"/>
        <w:rPr>
          <w:sz w:val="9"/>
        </w:rPr>
      </w:pPr>
    </w:p>
    <w:p w14:paraId="0DACA04F" w14:textId="77777777" w:rsidR="00BD462C" w:rsidRDefault="00BD462C">
      <w:pPr>
        <w:pStyle w:val="BodyText"/>
        <w:spacing w:before="1"/>
        <w:rPr>
          <w:sz w:val="21"/>
        </w:rPr>
      </w:pPr>
    </w:p>
    <w:p w14:paraId="328EA4EF" w14:textId="4B9D5607" w:rsidR="00BD462C" w:rsidRDefault="00602AD3" w:rsidP="00602AD3">
      <w:pPr>
        <w:pStyle w:val="BodyText"/>
        <w:spacing w:before="56" w:line="360" w:lineRule="auto"/>
        <w:ind w:left="135" w:right="915" w:hanging="5"/>
      </w:pPr>
      <w:r w:rsidRPr="00602AD3">
        <w:rPr>
          <w:position w:val="1"/>
        </w:rPr>
        <w:t>409.</w:t>
      </w:r>
      <w:r>
        <w:rPr>
          <w:position w:val="1"/>
        </w:rPr>
        <w:t xml:space="preserve"> </w:t>
      </w:r>
      <w:r w:rsidR="00033D0F">
        <w:rPr>
          <w:position w:val="1"/>
        </w:rPr>
        <w:t xml:space="preserve">Therefore, contrary to China's argument that Australia "avails no evidence to show </w:t>
      </w:r>
      <w:r w:rsidR="00033D0F">
        <w:t>that the determination was not based on positive evidence",</w:t>
      </w:r>
      <w:hyperlink w:anchor="_bookmark679" w:history="1">
        <w:r w:rsidR="00033D0F">
          <w:rPr>
            <w:vertAlign w:val="superscript"/>
          </w:rPr>
          <w:t>566</w:t>
        </w:r>
      </w:hyperlink>
      <w:r w:rsidR="00033D0F">
        <w:t xml:space="preserve"> Australia has clearly demonstrated</w:t>
      </w:r>
      <w:r w:rsidR="00033D0F">
        <w:rPr>
          <w:spacing w:val="-14"/>
        </w:rPr>
        <w:t xml:space="preserve"> </w:t>
      </w:r>
      <w:r w:rsidR="00033D0F">
        <w:t>that</w:t>
      </w:r>
      <w:r w:rsidR="00033D0F">
        <w:rPr>
          <w:spacing w:val="-10"/>
        </w:rPr>
        <w:t xml:space="preserve"> </w:t>
      </w:r>
      <w:r w:rsidR="00033D0F">
        <w:t>MOFCOM's</w:t>
      </w:r>
      <w:r w:rsidR="00033D0F">
        <w:rPr>
          <w:spacing w:val="-10"/>
        </w:rPr>
        <w:t xml:space="preserve"> </w:t>
      </w:r>
      <w:r w:rsidR="00033D0F">
        <w:t>estimate</w:t>
      </w:r>
      <w:r w:rsidR="00033D0F">
        <w:rPr>
          <w:spacing w:val="-12"/>
        </w:rPr>
        <w:t xml:space="preserve"> </w:t>
      </w:r>
      <w:r w:rsidR="00033D0F">
        <w:t>of</w:t>
      </w:r>
      <w:r w:rsidR="00033D0F">
        <w:rPr>
          <w:spacing w:val="-14"/>
        </w:rPr>
        <w:t xml:space="preserve"> </w:t>
      </w:r>
      <w:r w:rsidR="00033D0F">
        <w:t>total</w:t>
      </w:r>
      <w:r w:rsidR="00033D0F">
        <w:rPr>
          <w:spacing w:val="-9"/>
        </w:rPr>
        <w:t xml:space="preserve"> </w:t>
      </w:r>
      <w:r w:rsidR="00033D0F">
        <w:t>domestic</w:t>
      </w:r>
      <w:r w:rsidR="00033D0F">
        <w:rPr>
          <w:spacing w:val="-13"/>
        </w:rPr>
        <w:t xml:space="preserve"> </w:t>
      </w:r>
      <w:r w:rsidR="00033D0F">
        <w:t>production</w:t>
      </w:r>
      <w:r w:rsidR="00033D0F">
        <w:rPr>
          <w:spacing w:val="-9"/>
        </w:rPr>
        <w:t xml:space="preserve"> </w:t>
      </w:r>
      <w:r w:rsidR="00033D0F">
        <w:t>was</w:t>
      </w:r>
      <w:r w:rsidR="00033D0F">
        <w:rPr>
          <w:spacing w:val="-10"/>
        </w:rPr>
        <w:t xml:space="preserve"> </w:t>
      </w:r>
      <w:r w:rsidR="00033D0F">
        <w:t>not</w:t>
      </w:r>
      <w:r w:rsidR="00033D0F">
        <w:rPr>
          <w:spacing w:val="-7"/>
        </w:rPr>
        <w:t xml:space="preserve"> </w:t>
      </w:r>
      <w:r w:rsidR="00033D0F">
        <w:t>calculated</w:t>
      </w:r>
      <w:r w:rsidR="00033D0F">
        <w:rPr>
          <w:spacing w:val="-14"/>
        </w:rPr>
        <w:t xml:space="preserve"> </w:t>
      </w:r>
      <w:r w:rsidR="00033D0F">
        <w:t>in</w:t>
      </w:r>
      <w:r w:rsidR="00033D0F">
        <w:rPr>
          <w:spacing w:val="-13"/>
        </w:rPr>
        <w:t xml:space="preserve"> </w:t>
      </w:r>
      <w:r w:rsidR="00033D0F">
        <w:t>an objective manner and was not based on positive evidence. Thus, the total domestic production</w:t>
      </w:r>
      <w:r w:rsidR="00033D0F">
        <w:rPr>
          <w:spacing w:val="-9"/>
        </w:rPr>
        <w:t xml:space="preserve"> </w:t>
      </w:r>
      <w:r w:rsidR="00033D0F">
        <w:t>figures</w:t>
      </w:r>
      <w:r w:rsidR="00033D0F">
        <w:rPr>
          <w:spacing w:val="-6"/>
        </w:rPr>
        <w:t xml:space="preserve"> </w:t>
      </w:r>
      <w:r w:rsidR="00033D0F">
        <w:t>that</w:t>
      </w:r>
      <w:r w:rsidR="00033D0F">
        <w:rPr>
          <w:spacing w:val="-7"/>
        </w:rPr>
        <w:t xml:space="preserve"> </w:t>
      </w:r>
      <w:r w:rsidR="00033D0F">
        <w:t>MOFCOM</w:t>
      </w:r>
      <w:r w:rsidR="00033D0F">
        <w:rPr>
          <w:spacing w:val="-7"/>
        </w:rPr>
        <w:t xml:space="preserve"> </w:t>
      </w:r>
      <w:r w:rsidR="00033D0F">
        <w:t>relied</w:t>
      </w:r>
      <w:r w:rsidR="00033D0F">
        <w:rPr>
          <w:spacing w:val="-9"/>
        </w:rPr>
        <w:t xml:space="preserve"> </w:t>
      </w:r>
      <w:r w:rsidR="00033D0F">
        <w:t>upon</w:t>
      </w:r>
      <w:r w:rsidR="00033D0F">
        <w:rPr>
          <w:spacing w:val="-9"/>
        </w:rPr>
        <w:t xml:space="preserve"> </w:t>
      </w:r>
      <w:r w:rsidR="00033D0F">
        <w:t>in</w:t>
      </w:r>
      <w:r w:rsidR="00033D0F">
        <w:rPr>
          <w:spacing w:val="-9"/>
        </w:rPr>
        <w:t xml:space="preserve"> </w:t>
      </w:r>
      <w:r w:rsidR="00033D0F">
        <w:t>its</w:t>
      </w:r>
      <w:r w:rsidR="00033D0F">
        <w:rPr>
          <w:spacing w:val="-6"/>
        </w:rPr>
        <w:t xml:space="preserve"> </w:t>
      </w:r>
      <w:r w:rsidR="00033D0F">
        <w:t>definition</w:t>
      </w:r>
      <w:r w:rsidR="00033D0F">
        <w:rPr>
          <w:spacing w:val="-9"/>
        </w:rPr>
        <w:t xml:space="preserve"> </w:t>
      </w:r>
      <w:r w:rsidR="00033D0F">
        <w:t>of</w:t>
      </w:r>
      <w:r w:rsidR="00033D0F">
        <w:rPr>
          <w:spacing w:val="-9"/>
        </w:rPr>
        <w:t xml:space="preserve"> </w:t>
      </w:r>
      <w:r w:rsidR="00033D0F">
        <w:t>the</w:t>
      </w:r>
      <w:r w:rsidR="00033D0F">
        <w:rPr>
          <w:spacing w:val="-7"/>
        </w:rPr>
        <w:t xml:space="preserve"> </w:t>
      </w:r>
      <w:r w:rsidR="00033D0F">
        <w:t>domestic</w:t>
      </w:r>
      <w:r w:rsidR="00033D0F">
        <w:rPr>
          <w:spacing w:val="-8"/>
        </w:rPr>
        <w:t xml:space="preserve"> </w:t>
      </w:r>
      <w:r w:rsidR="00033D0F">
        <w:t>industry</w:t>
      </w:r>
      <w:r w:rsidR="00033D0F">
        <w:rPr>
          <w:spacing w:val="-6"/>
        </w:rPr>
        <w:t xml:space="preserve"> </w:t>
      </w:r>
      <w:r w:rsidR="00033D0F">
        <w:t>did</w:t>
      </w:r>
      <w:r w:rsidR="00033D0F">
        <w:rPr>
          <w:spacing w:val="-9"/>
        </w:rPr>
        <w:t xml:space="preserve"> </w:t>
      </w:r>
      <w:r w:rsidR="00033D0F">
        <w:t>not themselves constitute positive evidence.</w:t>
      </w:r>
    </w:p>
    <w:p w14:paraId="255A2971" w14:textId="77777777" w:rsidR="00BD462C" w:rsidRDefault="00033D0F">
      <w:pPr>
        <w:pStyle w:val="Heading3"/>
        <w:numPr>
          <w:ilvl w:val="0"/>
          <w:numId w:val="39"/>
        </w:numPr>
        <w:tabs>
          <w:tab w:val="left" w:pos="2689"/>
          <w:tab w:val="left" w:pos="2690"/>
        </w:tabs>
        <w:spacing w:before="157" w:line="357" w:lineRule="auto"/>
        <w:ind w:right="920"/>
      </w:pPr>
      <w:bookmarkStart w:id="787" w:name="4._MOFCOM's_process_to_define_domestic_i"/>
      <w:bookmarkStart w:id="788" w:name="_bookmark677"/>
      <w:bookmarkEnd w:id="787"/>
      <w:bookmarkEnd w:id="788"/>
      <w:r>
        <w:t>MOFCOM's process to define domestic industry gave rise to a material risk of distortion</w:t>
      </w:r>
    </w:p>
    <w:p w14:paraId="0EF49E15" w14:textId="102BDE9C" w:rsidR="00BD462C" w:rsidRDefault="00602AD3">
      <w:pPr>
        <w:pStyle w:val="BodyText"/>
        <w:spacing w:before="168" w:line="352" w:lineRule="auto"/>
        <w:ind w:left="135" w:right="913" w:hanging="5"/>
        <w:jc w:val="both"/>
      </w:pPr>
      <w:r w:rsidRPr="00602AD3">
        <w:rPr>
          <w:position w:val="1"/>
        </w:rPr>
        <w:t xml:space="preserve">410. </w:t>
      </w:r>
      <w:r w:rsidR="00033D0F">
        <w:rPr>
          <w:position w:val="1"/>
        </w:rPr>
        <w:t>As agreed by the parties,</w:t>
      </w:r>
      <w:hyperlink w:anchor="_bookmark680" w:history="1">
        <w:r w:rsidR="00033D0F">
          <w:rPr>
            <w:position w:val="1"/>
            <w:vertAlign w:val="superscript"/>
          </w:rPr>
          <w:t>567</w:t>
        </w:r>
      </w:hyperlink>
      <w:r w:rsidR="00033D0F">
        <w:rPr>
          <w:position w:val="1"/>
        </w:rPr>
        <w:t xml:space="preserve"> an investigating authority must "ensure that the way in </w:t>
      </w:r>
      <w:r w:rsidR="00033D0F">
        <w:t>which it defines the domestic industry does not introduce a material risk of skewing the economic data and, consequently, distorting its analysis of the state of the industry."</w:t>
      </w:r>
      <w:hyperlink w:anchor="_bookmark681" w:history="1">
        <w:r w:rsidR="00033D0F">
          <w:rPr>
            <w:vertAlign w:val="superscript"/>
          </w:rPr>
          <w:t>568</w:t>
        </w:r>
      </w:hyperlink>
      <w:r w:rsidR="00033D0F">
        <w:t xml:space="preserve"> The</w:t>
      </w:r>
    </w:p>
    <w:p w14:paraId="596150C9" w14:textId="25C0EF7C" w:rsidR="00BD462C" w:rsidRDefault="00D70C7D">
      <w:pPr>
        <w:pStyle w:val="BodyText"/>
        <w:spacing w:before="11"/>
        <w:rPr>
          <w:sz w:val="15"/>
        </w:rPr>
      </w:pPr>
      <w:r>
        <w:rPr>
          <w:noProof/>
        </w:rPr>
        <mc:AlternateContent>
          <mc:Choice Requires="wps">
            <w:drawing>
              <wp:anchor distT="0" distB="0" distL="0" distR="0" simplePos="0" relativeHeight="487752192" behindDoc="1" locked="0" layoutInCell="1" allowOverlap="1" wp14:anchorId="243A93BC" wp14:editId="57801B3B">
                <wp:simplePos x="0" y="0"/>
                <wp:positionH relativeFrom="page">
                  <wp:posOffset>899160</wp:posOffset>
                </wp:positionH>
                <wp:positionV relativeFrom="paragraph">
                  <wp:posOffset>139065</wp:posOffset>
                </wp:positionV>
                <wp:extent cx="1828800" cy="8890"/>
                <wp:effectExtent l="0" t="0" r="0" b="0"/>
                <wp:wrapTopAndBottom/>
                <wp:docPr id="696" name="docshape3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05EF7B" id="docshape371" o:spid="_x0000_s1026" alt="&quot;&quot;" style="position:absolute;margin-left:70.8pt;margin-top:10.95pt;width:2in;height:.7pt;z-index:-15564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" fillcolor="black" stroked="f">
                <w10:wrap type="topAndBottom" anchorx="page"/>
              </v:rect>
            </w:pict>
          </mc:Fallback>
        </mc:AlternateContent>
      </w:r>
      <w:r>
        <w:rPr>
          <w:noProof/>
        </w:rPr>
        <mc:AlternateContent>
          <mc:Choice Requires="wpg">
            <w:drawing>
              <wp:anchor distT="0" distB="0" distL="0" distR="0" simplePos="0" relativeHeight="487752704" behindDoc="1" locked="0" layoutInCell="1" allowOverlap="1" wp14:anchorId="76426378" wp14:editId="68A17DB9">
                <wp:simplePos x="0" y="0"/>
                <wp:positionH relativeFrom="page">
                  <wp:posOffset>899160</wp:posOffset>
                </wp:positionH>
                <wp:positionV relativeFrom="paragraph">
                  <wp:posOffset>215900</wp:posOffset>
                </wp:positionV>
                <wp:extent cx="5184775" cy="280670"/>
                <wp:effectExtent l="0" t="0" r="0" b="0"/>
                <wp:wrapTopAndBottom/>
                <wp:docPr id="686" name="docshapegroup3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4775" cy="280670"/>
                          <a:chOff x="1416" y="343"/>
                          <a:chExt cx="8165" cy="442"/>
                        </a:xfrm>
                      </wpg:grpSpPr>
                      <wps:wsp>
                        <wps:cNvPr id="688" name="docshape373"/>
                        <wps:cNvSpPr>
                          <a:spLocks/>
                        </wps:cNvSpPr>
                        <wps:spPr bwMode="auto">
                          <a:xfrm>
                            <a:off x="1416" y="343"/>
                            <a:ext cx="8165" cy="442"/>
                          </a:xfrm>
                          <a:custGeom>
                            <a:avLst/>
                            <a:gdLst>
                              <a:gd name="T0" fmla="+- 0 4757 1416"/>
                              <a:gd name="T1" fmla="*/ T0 w 8165"/>
                              <a:gd name="T2" fmla="+- 0 564 343"/>
                              <a:gd name="T3" fmla="*/ 564 h 442"/>
                              <a:gd name="T4" fmla="+- 0 1416 1416"/>
                              <a:gd name="T5" fmla="*/ T4 w 8165"/>
                              <a:gd name="T6" fmla="+- 0 564 343"/>
                              <a:gd name="T7" fmla="*/ 564 h 442"/>
                              <a:gd name="T8" fmla="+- 0 1416 1416"/>
                              <a:gd name="T9" fmla="*/ T8 w 8165"/>
                              <a:gd name="T10" fmla="+- 0 785 343"/>
                              <a:gd name="T11" fmla="*/ 785 h 442"/>
                              <a:gd name="T12" fmla="+- 0 4757 1416"/>
                              <a:gd name="T13" fmla="*/ T12 w 8165"/>
                              <a:gd name="T14" fmla="+- 0 785 343"/>
                              <a:gd name="T15" fmla="*/ 785 h 442"/>
                              <a:gd name="T16" fmla="+- 0 4757 1416"/>
                              <a:gd name="T17" fmla="*/ T16 w 8165"/>
                              <a:gd name="T18" fmla="+- 0 564 343"/>
                              <a:gd name="T19" fmla="*/ 564 h 442"/>
                              <a:gd name="T20" fmla="+- 0 9581 1416"/>
                              <a:gd name="T21" fmla="*/ T20 w 8165"/>
                              <a:gd name="T22" fmla="+- 0 343 343"/>
                              <a:gd name="T23" fmla="*/ 343 h 442"/>
                              <a:gd name="T24" fmla="+- 0 1646 1416"/>
                              <a:gd name="T25" fmla="*/ T24 w 8165"/>
                              <a:gd name="T26" fmla="+- 0 343 343"/>
                              <a:gd name="T27" fmla="*/ 343 h 442"/>
                              <a:gd name="T28" fmla="+- 0 1646 1416"/>
                              <a:gd name="T29" fmla="*/ T28 w 8165"/>
                              <a:gd name="T30" fmla="+- 0 564 343"/>
                              <a:gd name="T31" fmla="*/ 564 h 442"/>
                              <a:gd name="T32" fmla="+- 0 9581 1416"/>
                              <a:gd name="T33" fmla="*/ T32 w 8165"/>
                              <a:gd name="T34" fmla="+- 0 564 343"/>
                              <a:gd name="T35" fmla="*/ 564 h 442"/>
                              <a:gd name="T36" fmla="+- 0 9581 1416"/>
                              <a:gd name="T37" fmla="*/ T36 w 8165"/>
                              <a:gd name="T38" fmla="+- 0 343 343"/>
                              <a:gd name="T39" fmla="*/ 343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65" h="442">
                                <a:moveTo>
                                  <a:pt x="3341" y="221"/>
                                </a:moveTo>
                                <a:lnTo>
                                  <a:pt x="0" y="221"/>
                                </a:lnTo>
                                <a:lnTo>
                                  <a:pt x="0" y="442"/>
                                </a:lnTo>
                                <a:lnTo>
                                  <a:pt x="3341" y="442"/>
                                </a:lnTo>
                                <a:lnTo>
                                  <a:pt x="3341" y="221"/>
                                </a:lnTo>
                                <a:close/>
                                <a:moveTo>
                                  <a:pt x="8165" y="0"/>
                                </a:moveTo>
                                <a:lnTo>
                                  <a:pt x="230" y="0"/>
                                </a:lnTo>
                                <a:lnTo>
                                  <a:pt x="230" y="221"/>
                                </a:lnTo>
                                <a:lnTo>
                                  <a:pt x="8165" y="221"/>
                                </a:lnTo>
                                <a:lnTo>
                                  <a:pt x="81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docshape374"/>
                        <wps:cNvSpPr txBox="1">
                          <a:spLocks noChangeArrowheads="1"/>
                        </wps:cNvSpPr>
                        <wps:spPr bwMode="auto">
                          <a:xfrm>
                            <a:off x="1416" y="378"/>
                            <a:ext cx="20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3E0C9" w14:textId="77777777" w:rsidR="00BD462C" w:rsidRDefault="00033D0F">
                              <w:pPr>
                                <w:spacing w:line="120" w:lineRule="exact"/>
                                <w:rPr>
                                  <w:sz w:val="12"/>
                                </w:rPr>
                              </w:pPr>
                              <w:bookmarkStart w:id="789" w:name="_bookmark678"/>
                              <w:bookmarkEnd w:id="789"/>
                              <w:r>
                                <w:rPr>
                                  <w:spacing w:val="-5"/>
                                  <w:sz w:val="12"/>
                                </w:rPr>
                                <w:t>565</w:t>
                              </w:r>
                            </w:p>
                          </w:txbxContent>
                        </wps:txbx>
                        <wps:bodyPr rot="0" vert="horz" wrap="square" lIns="0" tIns="0" rIns="0" bIns="0" anchor="t" anchorCtr="0" upright="1">
                          <a:noAutofit/>
                        </wps:bodyPr>
                      </wps:wsp>
                      <wps:wsp>
                        <wps:cNvPr id="692" name="docshape375"/>
                        <wps:cNvSpPr txBox="1">
                          <a:spLocks noChangeArrowheads="1"/>
                        </wps:cNvSpPr>
                        <wps:spPr bwMode="auto">
                          <a:xfrm>
                            <a:off x="4708" y="600"/>
                            <a:ext cx="6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A0F5B" w14:textId="77777777" w:rsidR="00BD462C" w:rsidRDefault="00033D0F">
                              <w:pPr>
                                <w:spacing w:line="182" w:lineRule="exact"/>
                                <w:rPr>
                                  <w:sz w:val="18"/>
                                </w:rPr>
                              </w:pPr>
                              <w:bookmarkStart w:id="790" w:name="_bookmark679"/>
                              <w:bookmarkEnd w:id="790"/>
                              <w:r>
                                <w:rPr>
                                  <w:w w:val="101"/>
                                  <w:sz w:val="18"/>
                                </w:rPr>
                                <w:t>.</w:t>
                              </w:r>
                            </w:p>
                          </w:txbxContent>
                        </wps:txbx>
                        <wps:bodyPr rot="0" vert="horz" wrap="square" lIns="0" tIns="0" rIns="0" bIns="0" anchor="t" anchorCtr="0" upright="1">
                          <a:noAutofit/>
                        </wps:bodyPr>
                      </wps:wsp>
                      <wps:wsp>
                        <wps:cNvPr id="694" name="docshape376"/>
                        <wps:cNvSpPr txBox="1">
                          <a:spLocks noChangeArrowheads="1"/>
                        </wps:cNvSpPr>
                        <wps:spPr bwMode="auto">
                          <a:xfrm>
                            <a:off x="1646" y="379"/>
                            <a:ext cx="7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8E46E" w14:textId="77777777" w:rsidR="00BD462C" w:rsidRDefault="00033D0F">
                              <w:pPr>
                                <w:spacing w:line="182" w:lineRule="exact"/>
                                <w:rPr>
                                  <w:sz w:val="18"/>
                                </w:rPr>
                              </w:pPr>
                              <w:r>
                                <w:rPr>
                                  <w:w w:val="101"/>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426378" id="docshapegroup372" o:spid="_x0000_s1055" alt="&quot;&quot;" style="position:absolute;margin-left:70.8pt;margin-top:17pt;width:408.25pt;height:22.1pt;z-index:-15563776;mso-wrap-distance-left:0;mso-wrap-distance-right:0;mso-position-horizontal-relative:page;mso-position-vertical-relative:text" coordorigin="1416,343" coordsize="8165,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">
                <v:shape id="docshape373" o:spid="_x0000_s1056" style="position:absolute;left:1416;top:343;width:8165;height:442;visibility:visible;mso-wrap-style:square;v-text-anchor:top" coordsize="8165,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" path="m3341,221l,221,,442r3341,l3341,221xm8165,l230,r,221l8165,221,8165,xe" fillcolor="black" stroked="f">
                  <v:path arrowok="t" o:connecttype="custom" o:connectlocs="3341,564;0,564;0,785;3341,785;3341,564;8165,343;230,343;230,564;8165,564;8165,343" o:connectangles="0,0,0,0,0,0,0,0,0,0"/>
                </v:shape>
                <v:shape id="docshape374" o:spid="_x0000_s1057" type="#_x0000_t202" style="position:absolute;left:1416;top:378;width:208;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" filled="f" stroked="f">
                  <v:textbox inset="0,0,0,0">
                    <w:txbxContent>
                      <w:p w14:paraId="76B3E0C9" w14:textId="77777777" w:rsidR="00BD462C" w:rsidRDefault="00033D0F">
                        <w:pPr>
                          <w:spacing w:line="120" w:lineRule="exact"/>
                          <w:rPr>
                            <w:sz w:val="12"/>
                          </w:rPr>
                        </w:pPr>
                        <w:bookmarkStart w:id="791" w:name="_bookmark678"/>
                        <w:bookmarkEnd w:id="791"/>
                        <w:r>
                          <w:rPr>
                            <w:spacing w:val="-5"/>
                            <w:sz w:val="12"/>
                          </w:rPr>
                          <w:t>565</w:t>
                        </w:r>
                      </w:p>
                    </w:txbxContent>
                  </v:textbox>
                </v:shape>
                <v:shape id="docshape375" o:spid="_x0000_s1058" type="#_x0000_t202" style="position:absolute;left:4708;top:600;width:6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" filled="f" stroked="f">
                  <v:textbox inset="0,0,0,0">
                    <w:txbxContent>
                      <w:p w14:paraId="7BCA0F5B" w14:textId="77777777" w:rsidR="00BD462C" w:rsidRDefault="00033D0F">
                        <w:pPr>
                          <w:spacing w:line="182" w:lineRule="exact"/>
                          <w:rPr>
                            <w:sz w:val="18"/>
                          </w:rPr>
                        </w:pPr>
                        <w:bookmarkStart w:id="792" w:name="_bookmark679"/>
                        <w:bookmarkEnd w:id="792"/>
                        <w:r>
                          <w:rPr>
                            <w:w w:val="101"/>
                            <w:sz w:val="18"/>
                          </w:rPr>
                          <w:t>.</w:t>
                        </w:r>
                      </w:p>
                    </w:txbxContent>
                  </v:textbox>
                </v:shape>
                <v:shape id="docshape376" o:spid="_x0000_s1059" type="#_x0000_t202" style="position:absolute;left:1646;top:379;width:7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Q8OxQAAANwAAAAPAAAAZHJzL2Rvd25yZXYueG1sRI9Ba8JA&#10;FITvQv/D8oTedKOU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A2RQ8OxQAAANwAAAAP&#10;AAAAAAAAAAAAAAAAAAcCAABkcnMvZG93bnJldi54bWxQSwUGAAAAAAMAAwC3AAAA+QIAAAAA&#10;" filled="f" stroked="f">
                  <v:textbox inset="0,0,0,0">
                    <w:txbxContent>
                      <w:p w14:paraId="76C8E46E" w14:textId="77777777" w:rsidR="00BD462C" w:rsidRDefault="00033D0F">
                        <w:pPr>
                          <w:spacing w:line="182" w:lineRule="exact"/>
                          <w:rPr>
                            <w:sz w:val="18"/>
                          </w:rPr>
                        </w:pPr>
                        <w:r>
                          <w:rPr>
                            <w:w w:val="101"/>
                            <w:sz w:val="18"/>
                          </w:rPr>
                          <w:t>[</w:t>
                        </w:r>
                      </w:p>
                    </w:txbxContent>
                  </v:textbox>
                </v:shape>
                <w10:wrap type="topAndBottom" anchorx="page"/>
              </v:group>
            </w:pict>
          </mc:Fallback>
        </mc:AlternateContent>
      </w:r>
    </w:p>
    <w:p w14:paraId="056521F7" w14:textId="77777777" w:rsidR="00BD462C" w:rsidRDefault="00BD462C">
      <w:pPr>
        <w:pStyle w:val="BodyText"/>
        <w:rPr>
          <w:sz w:val="7"/>
        </w:rPr>
      </w:pPr>
    </w:p>
    <w:p w14:paraId="13D4A646" w14:textId="77777777" w:rsidR="00BD462C" w:rsidRDefault="00033D0F">
      <w:pPr>
        <w:spacing w:before="1"/>
        <w:ind w:left="135"/>
        <w:rPr>
          <w:sz w:val="18"/>
        </w:rPr>
      </w:pPr>
      <w:bookmarkStart w:id="793" w:name="_bookmark680"/>
      <w:bookmarkEnd w:id="793"/>
      <w:r>
        <w:rPr>
          <w:position w:val="5"/>
          <w:sz w:val="12"/>
        </w:rPr>
        <w:t>567</w:t>
      </w:r>
      <w:r>
        <w:rPr>
          <w:spacing w:val="12"/>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7"/>
          <w:sz w:val="18"/>
        </w:rPr>
        <w:t xml:space="preserve"> </w:t>
      </w:r>
      <w:r>
        <w:rPr>
          <w:sz w:val="18"/>
        </w:rPr>
        <w:t>submission, para. 913</w:t>
      </w:r>
      <w:r>
        <w:rPr>
          <w:spacing w:val="-8"/>
          <w:sz w:val="18"/>
        </w:rPr>
        <w:t xml:space="preserve"> </w:t>
      </w:r>
      <w:r>
        <w:rPr>
          <w:sz w:val="18"/>
        </w:rPr>
        <w:t>and</w:t>
      </w:r>
      <w:r>
        <w:rPr>
          <w:spacing w:val="-2"/>
          <w:sz w:val="18"/>
        </w:rPr>
        <w:t xml:space="preserve"> </w:t>
      </w:r>
      <w:r>
        <w:rPr>
          <w:sz w:val="18"/>
        </w:rPr>
        <w:t>Australia's</w:t>
      </w:r>
      <w:r>
        <w:rPr>
          <w:spacing w:val="-6"/>
          <w:sz w:val="18"/>
        </w:rPr>
        <w:t xml:space="preserve"> </w:t>
      </w:r>
      <w:r>
        <w:rPr>
          <w:sz w:val="18"/>
        </w:rPr>
        <w:t>first</w:t>
      </w:r>
      <w:r>
        <w:rPr>
          <w:spacing w:val="-1"/>
          <w:sz w:val="18"/>
        </w:rPr>
        <w:t xml:space="preserve"> </w:t>
      </w:r>
      <w:r>
        <w:rPr>
          <w:sz w:val="18"/>
        </w:rPr>
        <w:t>written</w:t>
      </w:r>
      <w:r>
        <w:rPr>
          <w:spacing w:val="-7"/>
          <w:sz w:val="18"/>
        </w:rPr>
        <w:t xml:space="preserve"> </w:t>
      </w:r>
      <w:r>
        <w:rPr>
          <w:sz w:val="18"/>
        </w:rPr>
        <w:t>submission,</w:t>
      </w:r>
      <w:r>
        <w:rPr>
          <w:spacing w:val="-4"/>
          <w:sz w:val="18"/>
        </w:rPr>
        <w:t xml:space="preserve"> </w:t>
      </w:r>
      <w:r>
        <w:rPr>
          <w:sz w:val="18"/>
        </w:rPr>
        <w:t xml:space="preserve">para. </w:t>
      </w:r>
      <w:r>
        <w:rPr>
          <w:spacing w:val="-4"/>
          <w:sz w:val="18"/>
        </w:rPr>
        <w:t>533.</w:t>
      </w:r>
    </w:p>
    <w:p w14:paraId="5FFB7EFB" w14:textId="77777777" w:rsidR="00BD462C" w:rsidRDefault="00033D0F">
      <w:pPr>
        <w:spacing w:before="1"/>
        <w:ind w:left="135"/>
        <w:rPr>
          <w:sz w:val="18"/>
        </w:rPr>
      </w:pPr>
      <w:bookmarkStart w:id="794" w:name="_bookmark681"/>
      <w:bookmarkEnd w:id="794"/>
      <w:r>
        <w:rPr>
          <w:position w:val="5"/>
          <w:sz w:val="12"/>
        </w:rPr>
        <w:t>568</w:t>
      </w:r>
      <w:r>
        <w:rPr>
          <w:spacing w:val="14"/>
          <w:position w:val="5"/>
          <w:sz w:val="12"/>
        </w:rPr>
        <w:t xml:space="preserve"> </w:t>
      </w:r>
      <w:r>
        <w:rPr>
          <w:sz w:val="18"/>
        </w:rPr>
        <w:t>Appellate</w:t>
      </w:r>
      <w:r>
        <w:rPr>
          <w:spacing w:val="-9"/>
          <w:sz w:val="18"/>
        </w:rPr>
        <w:t xml:space="preserve"> </w:t>
      </w:r>
      <w:r>
        <w:rPr>
          <w:sz w:val="18"/>
        </w:rPr>
        <w:t>Body</w:t>
      </w:r>
      <w:r>
        <w:rPr>
          <w:spacing w:val="-5"/>
          <w:sz w:val="18"/>
        </w:rPr>
        <w:t xml:space="preserve"> </w:t>
      </w:r>
      <w:r>
        <w:rPr>
          <w:sz w:val="18"/>
        </w:rPr>
        <w:t>Report,</w:t>
      </w:r>
      <w:r>
        <w:rPr>
          <w:spacing w:val="-3"/>
          <w:sz w:val="18"/>
        </w:rPr>
        <w:t xml:space="preserve"> </w:t>
      </w:r>
      <w:r>
        <w:rPr>
          <w:i/>
          <w:sz w:val="18"/>
        </w:rPr>
        <w:t>EC</w:t>
      </w:r>
      <w:r>
        <w:rPr>
          <w:i/>
          <w:spacing w:val="-4"/>
          <w:sz w:val="18"/>
        </w:rPr>
        <w:t xml:space="preserve"> </w:t>
      </w:r>
      <w:r>
        <w:rPr>
          <w:i/>
          <w:sz w:val="18"/>
        </w:rPr>
        <w:t>– Fasteners</w:t>
      </w:r>
      <w:r>
        <w:rPr>
          <w:sz w:val="18"/>
        </w:rPr>
        <w:t>,</w:t>
      </w:r>
      <w:r>
        <w:rPr>
          <w:spacing w:val="3"/>
          <w:sz w:val="18"/>
        </w:rPr>
        <w:t xml:space="preserve"> </w:t>
      </w:r>
      <w:r>
        <w:rPr>
          <w:sz w:val="18"/>
        </w:rPr>
        <w:t>para.</w:t>
      </w:r>
      <w:r>
        <w:rPr>
          <w:spacing w:val="2"/>
          <w:sz w:val="18"/>
        </w:rPr>
        <w:t xml:space="preserve"> </w:t>
      </w:r>
      <w:r>
        <w:rPr>
          <w:spacing w:val="-4"/>
          <w:sz w:val="18"/>
        </w:rPr>
        <w:t>416.</w:t>
      </w:r>
    </w:p>
    <w:p w14:paraId="4E433BD3" w14:textId="77777777" w:rsidR="00BD462C" w:rsidRDefault="00BD462C">
      <w:pPr>
        <w:rPr>
          <w:sz w:val="18"/>
        </w:rPr>
        <w:sectPr w:rsidR="00BD462C">
          <w:pgSz w:w="11910" w:h="16840"/>
          <w:pgMar w:top="860" w:right="500" w:bottom="780" w:left="1280" w:header="566" w:footer="590" w:gutter="0"/>
          <w:cols w:space="720"/>
        </w:sectPr>
      </w:pPr>
    </w:p>
    <w:p w14:paraId="045AE2ED"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2DC04656"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44571979"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5C7914B1" w14:textId="77777777" w:rsidR="00BD462C" w:rsidRDefault="00033D0F">
      <w:pPr>
        <w:pStyle w:val="BodyText"/>
        <w:spacing w:before="102" w:line="360" w:lineRule="auto"/>
        <w:ind w:left="135" w:right="912"/>
        <w:jc w:val="both"/>
      </w:pPr>
      <w:r>
        <w:t>Appellate</w:t>
      </w:r>
      <w:r>
        <w:rPr>
          <w:spacing w:val="-14"/>
        </w:rPr>
        <w:t xml:space="preserve"> </w:t>
      </w:r>
      <w:r>
        <w:t>Body</w:t>
      </w:r>
      <w:r>
        <w:rPr>
          <w:spacing w:val="-14"/>
        </w:rPr>
        <w:t xml:space="preserve"> </w:t>
      </w:r>
      <w:r>
        <w:t>has</w:t>
      </w:r>
      <w:r>
        <w:rPr>
          <w:spacing w:val="-13"/>
        </w:rPr>
        <w:t xml:space="preserve"> </w:t>
      </w:r>
      <w:r>
        <w:t>found</w:t>
      </w:r>
      <w:r>
        <w:rPr>
          <w:spacing w:val="-14"/>
        </w:rPr>
        <w:t xml:space="preserve"> </w:t>
      </w:r>
      <w:r>
        <w:t>that</w:t>
      </w:r>
      <w:r>
        <w:rPr>
          <w:spacing w:val="-13"/>
        </w:rPr>
        <w:t xml:space="preserve"> </w:t>
      </w:r>
      <w:r>
        <w:t>the</w:t>
      </w:r>
      <w:r>
        <w:rPr>
          <w:spacing w:val="-14"/>
        </w:rPr>
        <w:t xml:space="preserve"> </w:t>
      </w:r>
      <w:r>
        <w:t>qualitative</w:t>
      </w:r>
      <w:r>
        <w:rPr>
          <w:spacing w:val="-13"/>
        </w:rPr>
        <w:t xml:space="preserve"> </w:t>
      </w:r>
      <w:r>
        <w:t>assessment</w:t>
      </w:r>
      <w:r>
        <w:rPr>
          <w:spacing w:val="-14"/>
        </w:rPr>
        <w:t xml:space="preserve"> </w:t>
      </w:r>
      <w:r>
        <w:t>of</w:t>
      </w:r>
      <w:r>
        <w:rPr>
          <w:spacing w:val="-14"/>
        </w:rPr>
        <w:t xml:space="preserve"> </w:t>
      </w:r>
      <w:r>
        <w:t>a</w:t>
      </w:r>
      <w:r>
        <w:rPr>
          <w:spacing w:val="-13"/>
        </w:rPr>
        <w:t xml:space="preserve"> </w:t>
      </w:r>
      <w:r>
        <w:t>"major</w:t>
      </w:r>
      <w:r>
        <w:rPr>
          <w:spacing w:val="-14"/>
        </w:rPr>
        <w:t xml:space="preserve"> </w:t>
      </w:r>
      <w:r>
        <w:t>proportion"</w:t>
      </w:r>
      <w:r>
        <w:rPr>
          <w:spacing w:val="-13"/>
        </w:rPr>
        <w:t xml:space="preserve"> </w:t>
      </w:r>
      <w:r>
        <w:t>implies</w:t>
      </w:r>
      <w:r>
        <w:rPr>
          <w:spacing w:val="-14"/>
        </w:rPr>
        <w:t xml:space="preserve"> </w:t>
      </w:r>
      <w:r>
        <w:t>that, at a minimum, an investigating authority's approach and methodology for selecting the domestic industry does not create this risk.</w:t>
      </w:r>
      <w:hyperlink w:anchor="_bookmark682" w:history="1">
        <w:r>
          <w:rPr>
            <w:vertAlign w:val="superscript"/>
          </w:rPr>
          <w:t>569</w:t>
        </w:r>
      </w:hyperlink>
      <w:r>
        <w:t xml:space="preserve"> However, MOFCOM introduced this risk of distortion in the following ways, thereby undermining the accuracy of its injury analysis:</w:t>
      </w:r>
    </w:p>
    <w:p w14:paraId="2C1BAD0F" w14:textId="77777777" w:rsidR="00BD462C" w:rsidRDefault="00033D0F">
      <w:pPr>
        <w:pStyle w:val="ListParagraph"/>
        <w:numPr>
          <w:ilvl w:val="0"/>
          <w:numId w:val="56"/>
        </w:numPr>
        <w:tabs>
          <w:tab w:val="left" w:pos="1706"/>
        </w:tabs>
        <w:spacing w:before="155" w:line="360" w:lineRule="auto"/>
        <w:ind w:right="921"/>
        <w:jc w:val="both"/>
        <w:rPr>
          <w:sz w:val="24"/>
        </w:rPr>
      </w:pPr>
      <w:r>
        <w:rPr>
          <w:sz w:val="24"/>
        </w:rPr>
        <w:t xml:space="preserve">limiting its definition of the domestic industry to the 21 domestic producers who submitted questionnaire responses when the actual number of producers was substantially </w:t>
      </w:r>
      <w:proofErr w:type="gramStart"/>
      <w:r>
        <w:rPr>
          <w:sz w:val="24"/>
        </w:rPr>
        <w:t>higher;</w:t>
      </w:r>
      <w:proofErr w:type="gramEnd"/>
      <w:r>
        <w:fldChar w:fldCharType="begin"/>
      </w:r>
      <w:r>
        <w:instrText xml:space="preserve"> HYPERLINK \l "_bookmark683" </w:instrText>
      </w:r>
      <w:r>
        <w:fldChar w:fldCharType="separate"/>
      </w:r>
      <w:r>
        <w:rPr>
          <w:sz w:val="24"/>
          <w:vertAlign w:val="superscript"/>
        </w:rPr>
        <w:t>570</w:t>
      </w:r>
      <w:r>
        <w:rPr>
          <w:sz w:val="24"/>
          <w:vertAlign w:val="superscript"/>
        </w:rPr>
        <w:fldChar w:fldCharType="end"/>
      </w:r>
    </w:p>
    <w:p w14:paraId="3CCADB5C" w14:textId="77777777" w:rsidR="00BD462C" w:rsidRDefault="00033D0F">
      <w:pPr>
        <w:pStyle w:val="ListParagraph"/>
        <w:numPr>
          <w:ilvl w:val="0"/>
          <w:numId w:val="56"/>
        </w:numPr>
        <w:tabs>
          <w:tab w:val="left" w:pos="1706"/>
        </w:tabs>
        <w:spacing w:before="161" w:line="357" w:lineRule="auto"/>
        <w:ind w:right="917"/>
        <w:jc w:val="both"/>
        <w:rPr>
          <w:sz w:val="24"/>
        </w:rPr>
      </w:pPr>
      <w:r>
        <w:rPr>
          <w:sz w:val="24"/>
        </w:rPr>
        <w:t xml:space="preserve">failing to undertake a qualitative assessment of the suitability of the 21 domestic </w:t>
      </w:r>
      <w:proofErr w:type="gramStart"/>
      <w:r>
        <w:rPr>
          <w:sz w:val="24"/>
        </w:rPr>
        <w:t>producers;</w:t>
      </w:r>
      <w:proofErr w:type="gramEnd"/>
      <w:r>
        <w:rPr>
          <w:sz w:val="24"/>
        </w:rPr>
        <w:t xml:space="preserve"> and</w:t>
      </w:r>
    </w:p>
    <w:p w14:paraId="4D4E3A21" w14:textId="77777777" w:rsidR="00BD462C" w:rsidRDefault="00033D0F">
      <w:pPr>
        <w:pStyle w:val="ListParagraph"/>
        <w:numPr>
          <w:ilvl w:val="0"/>
          <w:numId w:val="56"/>
        </w:numPr>
        <w:tabs>
          <w:tab w:val="left" w:pos="1706"/>
        </w:tabs>
        <w:spacing w:before="165" w:line="357" w:lineRule="auto"/>
        <w:ind w:right="918"/>
        <w:jc w:val="both"/>
        <w:rPr>
          <w:sz w:val="24"/>
        </w:rPr>
      </w:pPr>
      <w:r>
        <w:rPr>
          <w:sz w:val="24"/>
        </w:rPr>
        <w:t>failing</w:t>
      </w:r>
      <w:r>
        <w:rPr>
          <w:spacing w:val="-14"/>
          <w:sz w:val="24"/>
        </w:rPr>
        <w:t xml:space="preserve"> </w:t>
      </w:r>
      <w:r>
        <w:rPr>
          <w:sz w:val="24"/>
        </w:rPr>
        <w:t>to</w:t>
      </w:r>
      <w:r>
        <w:rPr>
          <w:spacing w:val="-14"/>
          <w:sz w:val="24"/>
        </w:rPr>
        <w:t xml:space="preserve"> </w:t>
      </w:r>
      <w:r>
        <w:rPr>
          <w:sz w:val="24"/>
        </w:rPr>
        <w:t>satisfy</w:t>
      </w:r>
      <w:r>
        <w:rPr>
          <w:spacing w:val="-13"/>
          <w:sz w:val="24"/>
        </w:rPr>
        <w:t xml:space="preserve"> </w:t>
      </w:r>
      <w:r>
        <w:rPr>
          <w:sz w:val="24"/>
        </w:rPr>
        <w:t>itself</w:t>
      </w:r>
      <w:r>
        <w:rPr>
          <w:spacing w:val="-14"/>
          <w:sz w:val="24"/>
        </w:rPr>
        <w:t xml:space="preserve"> </w:t>
      </w:r>
      <w:r>
        <w:rPr>
          <w:sz w:val="24"/>
        </w:rPr>
        <w:t>as</w:t>
      </w:r>
      <w:r>
        <w:rPr>
          <w:spacing w:val="-13"/>
          <w:sz w:val="24"/>
        </w:rPr>
        <w:t xml:space="preserve"> </w:t>
      </w:r>
      <w:r>
        <w:rPr>
          <w:sz w:val="24"/>
        </w:rPr>
        <w:t>to</w:t>
      </w:r>
      <w:r>
        <w:rPr>
          <w:spacing w:val="-14"/>
          <w:sz w:val="24"/>
        </w:rPr>
        <w:t xml:space="preserve"> </w:t>
      </w:r>
      <w:r>
        <w:rPr>
          <w:sz w:val="24"/>
        </w:rPr>
        <w:t>the</w:t>
      </w:r>
      <w:r>
        <w:rPr>
          <w:spacing w:val="-13"/>
          <w:sz w:val="24"/>
        </w:rPr>
        <w:t xml:space="preserve"> </w:t>
      </w:r>
      <w:r>
        <w:rPr>
          <w:sz w:val="24"/>
        </w:rPr>
        <w:t>accuracy</w:t>
      </w:r>
      <w:r>
        <w:rPr>
          <w:spacing w:val="-14"/>
          <w:sz w:val="24"/>
        </w:rPr>
        <w:t xml:space="preserve"> </w:t>
      </w:r>
      <w:r>
        <w:rPr>
          <w:sz w:val="24"/>
        </w:rPr>
        <w:t>of</w:t>
      </w:r>
      <w:r>
        <w:rPr>
          <w:spacing w:val="-14"/>
          <w:sz w:val="24"/>
        </w:rPr>
        <w:t xml:space="preserve"> </w:t>
      </w:r>
      <w:r>
        <w:rPr>
          <w:sz w:val="24"/>
        </w:rPr>
        <w:t>the</w:t>
      </w:r>
      <w:r>
        <w:rPr>
          <w:spacing w:val="-13"/>
          <w:sz w:val="24"/>
        </w:rPr>
        <w:t xml:space="preserve"> </w:t>
      </w:r>
      <w:r>
        <w:rPr>
          <w:sz w:val="24"/>
        </w:rPr>
        <w:t>production</w:t>
      </w:r>
      <w:r>
        <w:rPr>
          <w:spacing w:val="-14"/>
          <w:sz w:val="24"/>
        </w:rPr>
        <w:t xml:space="preserve"> </w:t>
      </w:r>
      <w:r>
        <w:rPr>
          <w:sz w:val="24"/>
        </w:rPr>
        <w:t>volume</w:t>
      </w:r>
      <w:r>
        <w:rPr>
          <w:spacing w:val="-13"/>
          <w:sz w:val="24"/>
        </w:rPr>
        <w:t xml:space="preserve"> </w:t>
      </w:r>
      <w:r>
        <w:rPr>
          <w:sz w:val="24"/>
        </w:rPr>
        <w:t>information of at least 16 of the 21 responding domestic producers.</w:t>
      </w:r>
      <w:hyperlink w:anchor="_bookmark684" w:history="1">
        <w:r>
          <w:rPr>
            <w:sz w:val="24"/>
            <w:vertAlign w:val="superscript"/>
          </w:rPr>
          <w:t>571</w:t>
        </w:r>
      </w:hyperlink>
    </w:p>
    <w:p w14:paraId="4D18D86F" w14:textId="77777777" w:rsidR="00BD462C" w:rsidRDefault="00BD462C">
      <w:pPr>
        <w:pStyle w:val="BodyText"/>
        <w:spacing w:before="6"/>
        <w:rPr>
          <w:sz w:val="9"/>
        </w:rPr>
      </w:pPr>
    </w:p>
    <w:p w14:paraId="4D33E900" w14:textId="381D1CF3" w:rsidR="00BD462C" w:rsidRDefault="00602AD3">
      <w:pPr>
        <w:pStyle w:val="BodyText"/>
        <w:spacing w:before="56"/>
        <w:ind w:left="131"/>
      </w:pPr>
      <w:r w:rsidRPr="00602AD3">
        <w:rPr>
          <w:position w:val="1"/>
        </w:rPr>
        <w:t>411.</w:t>
      </w:r>
      <w:r>
        <w:rPr>
          <w:rFonts w:ascii="Times New Roman"/>
          <w:spacing w:val="80"/>
          <w:position w:val="1"/>
          <w:sz w:val="20"/>
        </w:rPr>
        <w:t xml:space="preserve"> </w:t>
      </w:r>
      <w:r w:rsidR="00033D0F">
        <w:rPr>
          <w:position w:val="1"/>
        </w:rPr>
        <w:t>As discussed below, China has failed to rebut each of Australia's arguments.</w:t>
      </w:r>
    </w:p>
    <w:p w14:paraId="5B7E7433" w14:textId="77777777" w:rsidR="00BD462C" w:rsidRDefault="00BD462C">
      <w:pPr>
        <w:pStyle w:val="BodyText"/>
        <w:spacing w:before="10"/>
      </w:pPr>
    </w:p>
    <w:p w14:paraId="1D3CA225" w14:textId="77777777" w:rsidR="00BD462C" w:rsidRDefault="00033D0F">
      <w:pPr>
        <w:pStyle w:val="ListParagraph"/>
        <w:numPr>
          <w:ilvl w:val="1"/>
          <w:numId w:val="56"/>
        </w:numPr>
        <w:tabs>
          <w:tab w:val="left" w:pos="3539"/>
          <w:tab w:val="left" w:pos="3540"/>
        </w:tabs>
        <w:spacing w:before="0" w:line="360" w:lineRule="auto"/>
        <w:ind w:right="914"/>
        <w:jc w:val="both"/>
        <w:rPr>
          <w:sz w:val="24"/>
        </w:rPr>
      </w:pPr>
      <w:bookmarkStart w:id="795" w:name="(a)_MOFCOM_introduced_a_risk_of_material"/>
      <w:bookmarkEnd w:id="795"/>
      <w:r>
        <w:rPr>
          <w:sz w:val="24"/>
          <w:u w:val="single"/>
        </w:rPr>
        <w:t>MOFCOM introduced a risk of material distortion by</w:t>
      </w:r>
      <w:r>
        <w:rPr>
          <w:sz w:val="24"/>
        </w:rPr>
        <w:t xml:space="preserve"> </w:t>
      </w:r>
      <w:r>
        <w:rPr>
          <w:sz w:val="24"/>
          <w:u w:val="single"/>
        </w:rPr>
        <w:t>limiting its definition of domestic industry to the 21</w:t>
      </w:r>
      <w:r>
        <w:rPr>
          <w:sz w:val="24"/>
        </w:rPr>
        <w:t xml:space="preserve"> </w:t>
      </w:r>
      <w:r>
        <w:rPr>
          <w:sz w:val="24"/>
          <w:u w:val="single"/>
        </w:rPr>
        <w:t>domestic producers that responded to the Domestic</w:t>
      </w:r>
      <w:r>
        <w:rPr>
          <w:sz w:val="24"/>
        </w:rPr>
        <w:t xml:space="preserve"> </w:t>
      </w:r>
      <w:r>
        <w:rPr>
          <w:sz w:val="24"/>
          <w:u w:val="single"/>
        </w:rPr>
        <w:t>Producer Questionnaire</w:t>
      </w:r>
    </w:p>
    <w:p w14:paraId="3A252235" w14:textId="77777777" w:rsidR="00BD462C" w:rsidRDefault="00BD462C">
      <w:pPr>
        <w:pStyle w:val="BodyText"/>
        <w:spacing w:before="8"/>
        <w:rPr>
          <w:sz w:val="8"/>
        </w:rPr>
      </w:pPr>
    </w:p>
    <w:p w14:paraId="3D9E3102" w14:textId="213679A1" w:rsidR="00BD462C" w:rsidRDefault="00602AD3">
      <w:pPr>
        <w:pStyle w:val="BodyText"/>
        <w:spacing w:before="56" w:line="360" w:lineRule="auto"/>
        <w:ind w:left="135" w:right="909" w:hanging="5"/>
        <w:jc w:val="both"/>
      </w:pPr>
      <w:r w:rsidRPr="00602AD3">
        <w:rPr>
          <w:position w:val="1"/>
        </w:rPr>
        <w:t xml:space="preserve">412. </w:t>
      </w:r>
      <w:r w:rsidR="00033D0F">
        <w:rPr>
          <w:position w:val="1"/>
        </w:rPr>
        <w:t xml:space="preserve">MOFCOM introduced a material risk of distortion into its definition of domestic </w:t>
      </w:r>
      <w:r w:rsidR="00033D0F">
        <w:t>industry by only including those 21 domestic producers who responded to the Domestic Producer</w:t>
      </w:r>
      <w:r w:rsidR="00033D0F">
        <w:rPr>
          <w:spacing w:val="-7"/>
        </w:rPr>
        <w:t xml:space="preserve"> </w:t>
      </w:r>
      <w:r w:rsidR="00033D0F">
        <w:t>Questionnaire</w:t>
      </w:r>
      <w:r w:rsidR="00033D0F">
        <w:rPr>
          <w:spacing w:val="-4"/>
        </w:rPr>
        <w:t xml:space="preserve"> </w:t>
      </w:r>
      <w:r w:rsidR="00033D0F">
        <w:t>responses.</w:t>
      </w:r>
      <w:r w:rsidR="00033D0F">
        <w:rPr>
          <w:spacing w:val="-3"/>
        </w:rPr>
        <w:t xml:space="preserve"> </w:t>
      </w:r>
      <w:r w:rsidR="00033D0F">
        <w:t>These</w:t>
      </w:r>
      <w:r w:rsidR="00033D0F">
        <w:rPr>
          <w:spacing w:val="-4"/>
        </w:rPr>
        <w:t xml:space="preserve"> </w:t>
      </w:r>
      <w:r w:rsidR="00033D0F">
        <w:t>21</w:t>
      </w:r>
      <w:r w:rsidR="00033D0F">
        <w:rPr>
          <w:spacing w:val="-7"/>
        </w:rPr>
        <w:t xml:space="preserve"> </w:t>
      </w:r>
      <w:r w:rsidR="00033D0F">
        <w:t>domestic</w:t>
      </w:r>
      <w:r w:rsidR="00033D0F">
        <w:rPr>
          <w:spacing w:val="-6"/>
        </w:rPr>
        <w:t xml:space="preserve"> </w:t>
      </w:r>
      <w:r w:rsidR="00033D0F">
        <w:t>producers</w:t>
      </w:r>
      <w:r w:rsidR="00033D0F">
        <w:rPr>
          <w:spacing w:val="-3"/>
        </w:rPr>
        <w:t xml:space="preserve"> </w:t>
      </w:r>
      <w:r w:rsidR="00033D0F">
        <w:t>were</w:t>
      </w:r>
      <w:r w:rsidR="00033D0F">
        <w:rPr>
          <w:spacing w:val="-4"/>
        </w:rPr>
        <w:t xml:space="preserve"> </w:t>
      </w:r>
      <w:r w:rsidR="00033D0F">
        <w:rPr>
          <w:i/>
        </w:rPr>
        <w:t>all</w:t>
      </w:r>
      <w:r w:rsidR="00033D0F">
        <w:rPr>
          <w:i/>
          <w:spacing w:val="-2"/>
        </w:rPr>
        <w:t xml:space="preserve"> </w:t>
      </w:r>
      <w:r w:rsidR="00033D0F">
        <w:t>members</w:t>
      </w:r>
      <w:r w:rsidR="00033D0F">
        <w:rPr>
          <w:spacing w:val="-3"/>
        </w:rPr>
        <w:t xml:space="preserve"> </w:t>
      </w:r>
      <w:r w:rsidR="00033D0F">
        <w:t>of</w:t>
      </w:r>
      <w:r w:rsidR="00033D0F">
        <w:rPr>
          <w:spacing w:val="-6"/>
        </w:rPr>
        <w:t xml:space="preserve"> </w:t>
      </w:r>
      <w:r w:rsidR="00033D0F">
        <w:t>CADA. They did not contain a single domestic producer from the "hundreds" of domestic producers that are outside CADA's membership. The Appellate Body has cautioned</w:t>
      </w:r>
      <w:r w:rsidR="00033D0F">
        <w:rPr>
          <w:spacing w:val="-1"/>
        </w:rPr>
        <w:t xml:space="preserve"> </w:t>
      </w:r>
      <w:r w:rsidR="00033D0F">
        <w:t>that where only the applicants respond to the questionnaires, this in itself does not necessarily mean that the qualitative</w:t>
      </w:r>
      <w:r w:rsidR="00033D0F">
        <w:rPr>
          <w:spacing w:val="19"/>
        </w:rPr>
        <w:t xml:space="preserve"> </w:t>
      </w:r>
      <w:r w:rsidR="00033D0F">
        <w:t>aspect</w:t>
      </w:r>
      <w:r w:rsidR="00033D0F">
        <w:rPr>
          <w:spacing w:val="19"/>
        </w:rPr>
        <w:t xml:space="preserve"> </w:t>
      </w:r>
      <w:r w:rsidR="00033D0F">
        <w:t>of</w:t>
      </w:r>
      <w:r w:rsidR="00033D0F">
        <w:rPr>
          <w:spacing w:val="17"/>
        </w:rPr>
        <w:t xml:space="preserve"> </w:t>
      </w:r>
      <w:r w:rsidR="00033D0F">
        <w:t>the</w:t>
      </w:r>
      <w:r w:rsidR="00033D0F">
        <w:rPr>
          <w:spacing w:val="23"/>
        </w:rPr>
        <w:t xml:space="preserve"> </w:t>
      </w:r>
      <w:r w:rsidR="00033D0F">
        <w:t>definition</w:t>
      </w:r>
      <w:r w:rsidR="00033D0F">
        <w:rPr>
          <w:spacing w:val="17"/>
        </w:rPr>
        <w:t xml:space="preserve"> </w:t>
      </w:r>
      <w:r w:rsidR="00033D0F">
        <w:t>of</w:t>
      </w:r>
      <w:r w:rsidR="00033D0F">
        <w:rPr>
          <w:spacing w:val="22"/>
        </w:rPr>
        <w:t xml:space="preserve"> </w:t>
      </w:r>
      <w:r w:rsidR="00033D0F">
        <w:t>domestic</w:t>
      </w:r>
      <w:r w:rsidR="00033D0F">
        <w:rPr>
          <w:spacing w:val="18"/>
        </w:rPr>
        <w:t xml:space="preserve"> </w:t>
      </w:r>
      <w:r w:rsidR="00033D0F">
        <w:t>industry</w:t>
      </w:r>
      <w:r w:rsidR="00033D0F">
        <w:rPr>
          <w:spacing w:val="20"/>
        </w:rPr>
        <w:t xml:space="preserve"> </w:t>
      </w:r>
      <w:r w:rsidR="00033D0F">
        <w:t>has</w:t>
      </w:r>
      <w:r w:rsidR="00033D0F">
        <w:rPr>
          <w:spacing w:val="25"/>
        </w:rPr>
        <w:t xml:space="preserve"> </w:t>
      </w:r>
      <w:r w:rsidR="00033D0F">
        <w:t>been</w:t>
      </w:r>
      <w:r w:rsidR="00033D0F">
        <w:rPr>
          <w:spacing w:val="17"/>
        </w:rPr>
        <w:t xml:space="preserve"> </w:t>
      </w:r>
      <w:r w:rsidR="00033D0F">
        <w:t>met.</w:t>
      </w:r>
      <w:hyperlink w:anchor="_bookmark685" w:history="1">
        <w:r w:rsidR="00033D0F">
          <w:rPr>
            <w:vertAlign w:val="superscript"/>
          </w:rPr>
          <w:t>572</w:t>
        </w:r>
      </w:hyperlink>
      <w:r w:rsidR="00033D0F">
        <w:rPr>
          <w:spacing w:val="20"/>
        </w:rPr>
        <w:t xml:space="preserve"> </w:t>
      </w:r>
      <w:r w:rsidR="00033D0F">
        <w:t>An</w:t>
      </w:r>
      <w:r w:rsidR="00033D0F">
        <w:rPr>
          <w:spacing w:val="22"/>
        </w:rPr>
        <w:t xml:space="preserve"> </w:t>
      </w:r>
      <w:r w:rsidR="00033D0F">
        <w:t>unbiased</w:t>
      </w:r>
      <w:r w:rsidR="00033D0F">
        <w:rPr>
          <w:spacing w:val="17"/>
        </w:rPr>
        <w:t xml:space="preserve"> </w:t>
      </w:r>
      <w:r w:rsidR="00033D0F">
        <w:t>and</w:t>
      </w:r>
    </w:p>
    <w:p w14:paraId="78CAE6D3" w14:textId="20F51276" w:rsidR="00BD462C" w:rsidRDefault="00D70C7D">
      <w:pPr>
        <w:pStyle w:val="BodyText"/>
        <w:spacing w:before="3"/>
        <w:rPr>
          <w:sz w:val="15"/>
        </w:rPr>
      </w:pPr>
      <w:r>
        <w:rPr>
          <w:noProof/>
        </w:rPr>
        <mc:AlternateContent>
          <mc:Choice Requires="wps">
            <w:drawing>
              <wp:anchor distT="0" distB="0" distL="0" distR="0" simplePos="0" relativeHeight="487756288" behindDoc="1" locked="0" layoutInCell="1" allowOverlap="1" wp14:anchorId="27D5B592" wp14:editId="16611380">
                <wp:simplePos x="0" y="0"/>
                <wp:positionH relativeFrom="page">
                  <wp:posOffset>899160</wp:posOffset>
                </wp:positionH>
                <wp:positionV relativeFrom="paragraph">
                  <wp:posOffset>133985</wp:posOffset>
                </wp:positionV>
                <wp:extent cx="1828800" cy="8890"/>
                <wp:effectExtent l="0" t="0" r="0" b="0"/>
                <wp:wrapTopAndBottom/>
                <wp:docPr id="684" name="docshape3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1B1026" id="docshape377" o:spid="_x0000_s1026" alt="&quot;&quot;" style="position:absolute;margin-left:70.8pt;margin-top:10.55pt;width:2in;height:.7pt;z-index:-15560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" fillcolor="black" stroked="f">
                <w10:wrap type="topAndBottom" anchorx="page"/>
              </v:rect>
            </w:pict>
          </mc:Fallback>
        </mc:AlternateContent>
      </w:r>
    </w:p>
    <w:p w14:paraId="1B062956" w14:textId="77777777" w:rsidR="00BD462C" w:rsidRDefault="00033D0F">
      <w:pPr>
        <w:spacing w:before="112"/>
        <w:ind w:left="136" w:right="909" w:hanging="1"/>
        <w:jc w:val="both"/>
        <w:rPr>
          <w:sz w:val="18"/>
        </w:rPr>
      </w:pPr>
      <w:bookmarkStart w:id="796" w:name="_bookmark682"/>
      <w:bookmarkEnd w:id="796"/>
      <w:r>
        <w:rPr>
          <w:position w:val="5"/>
          <w:sz w:val="12"/>
        </w:rPr>
        <w:t>569</w:t>
      </w:r>
      <w:r>
        <w:rPr>
          <w:spacing w:val="5"/>
          <w:position w:val="5"/>
          <w:sz w:val="12"/>
        </w:rPr>
        <w:t xml:space="preserve"> </w:t>
      </w:r>
      <w:r>
        <w:rPr>
          <w:sz w:val="18"/>
        </w:rPr>
        <w:t>Appellate</w:t>
      </w:r>
      <w:r>
        <w:rPr>
          <w:spacing w:val="-7"/>
          <w:sz w:val="18"/>
        </w:rPr>
        <w:t xml:space="preserve"> </w:t>
      </w:r>
      <w:r>
        <w:rPr>
          <w:sz w:val="18"/>
        </w:rPr>
        <w:t>Body</w:t>
      </w:r>
      <w:r>
        <w:rPr>
          <w:spacing w:val="-11"/>
          <w:sz w:val="18"/>
        </w:rPr>
        <w:t xml:space="preserve"> </w:t>
      </w:r>
      <w:r>
        <w:rPr>
          <w:sz w:val="18"/>
        </w:rPr>
        <w:t>Report,</w:t>
      </w:r>
      <w:r>
        <w:rPr>
          <w:spacing w:val="-5"/>
          <w:sz w:val="18"/>
        </w:rPr>
        <w:t xml:space="preserve"> </w:t>
      </w:r>
      <w:r>
        <w:rPr>
          <w:i/>
          <w:sz w:val="18"/>
        </w:rPr>
        <w:t>Russia</w:t>
      </w:r>
      <w:r>
        <w:rPr>
          <w:i/>
          <w:spacing w:val="-6"/>
          <w:sz w:val="18"/>
        </w:rPr>
        <w:t xml:space="preserve"> </w:t>
      </w:r>
      <w:r>
        <w:rPr>
          <w:i/>
          <w:sz w:val="18"/>
        </w:rPr>
        <w:t>–</w:t>
      </w:r>
      <w:r>
        <w:rPr>
          <w:i/>
          <w:spacing w:val="-11"/>
          <w:sz w:val="18"/>
        </w:rPr>
        <w:t xml:space="preserve"> </w:t>
      </w:r>
      <w:r>
        <w:rPr>
          <w:i/>
          <w:sz w:val="18"/>
        </w:rPr>
        <w:t>Commercial</w:t>
      </w:r>
      <w:r>
        <w:rPr>
          <w:i/>
          <w:spacing w:val="-10"/>
          <w:sz w:val="18"/>
        </w:rPr>
        <w:t xml:space="preserve"> </w:t>
      </w:r>
      <w:r>
        <w:rPr>
          <w:i/>
          <w:sz w:val="18"/>
        </w:rPr>
        <w:t>Vehicles</w:t>
      </w:r>
      <w:r>
        <w:rPr>
          <w:sz w:val="18"/>
        </w:rPr>
        <w:t>,</w:t>
      </w:r>
      <w:r>
        <w:rPr>
          <w:spacing w:val="-5"/>
          <w:sz w:val="18"/>
        </w:rPr>
        <w:t xml:space="preserve"> </w:t>
      </w:r>
      <w:r>
        <w:rPr>
          <w:sz w:val="18"/>
        </w:rPr>
        <w:t>paras.</w:t>
      </w:r>
      <w:r>
        <w:rPr>
          <w:spacing w:val="-7"/>
          <w:sz w:val="18"/>
        </w:rPr>
        <w:t xml:space="preserve"> </w:t>
      </w:r>
      <w:r>
        <w:rPr>
          <w:sz w:val="18"/>
        </w:rPr>
        <w:t>5.6</w:t>
      </w:r>
      <w:r>
        <w:rPr>
          <w:spacing w:val="-10"/>
          <w:sz w:val="18"/>
        </w:rPr>
        <w:t xml:space="preserve"> </w:t>
      </w:r>
      <w:r>
        <w:rPr>
          <w:sz w:val="18"/>
        </w:rPr>
        <w:t>Australia's</w:t>
      </w:r>
      <w:r>
        <w:rPr>
          <w:spacing w:val="-8"/>
          <w:sz w:val="18"/>
        </w:rPr>
        <w:t xml:space="preserve"> </w:t>
      </w:r>
      <w:r>
        <w:rPr>
          <w:sz w:val="18"/>
        </w:rPr>
        <w:t>first</w:t>
      </w:r>
      <w:r>
        <w:rPr>
          <w:spacing w:val="-7"/>
          <w:sz w:val="18"/>
        </w:rPr>
        <w:t xml:space="preserve"> </w:t>
      </w:r>
      <w:r>
        <w:rPr>
          <w:sz w:val="18"/>
        </w:rPr>
        <w:t>written</w:t>
      </w:r>
      <w:r>
        <w:rPr>
          <w:spacing w:val="-8"/>
          <w:sz w:val="18"/>
        </w:rPr>
        <w:t xml:space="preserve"> </w:t>
      </w:r>
      <w:r>
        <w:rPr>
          <w:sz w:val="18"/>
        </w:rPr>
        <w:t>submission,</w:t>
      </w:r>
      <w:r>
        <w:rPr>
          <w:spacing w:val="-6"/>
          <w:sz w:val="18"/>
        </w:rPr>
        <w:t xml:space="preserve"> </w:t>
      </w:r>
      <w:r>
        <w:rPr>
          <w:sz w:val="18"/>
        </w:rPr>
        <w:t>para.</w:t>
      </w:r>
      <w:r>
        <w:rPr>
          <w:spacing w:val="-7"/>
          <w:sz w:val="18"/>
        </w:rPr>
        <w:t xml:space="preserve"> </w:t>
      </w:r>
      <w:r>
        <w:rPr>
          <w:sz w:val="18"/>
        </w:rPr>
        <w:t>533,</w:t>
      </w:r>
      <w:r>
        <w:rPr>
          <w:spacing w:val="-1"/>
          <w:sz w:val="18"/>
        </w:rPr>
        <w:t xml:space="preserve"> </w:t>
      </w:r>
      <w:r>
        <w:rPr>
          <w:sz w:val="18"/>
        </w:rPr>
        <w:t>and</w:t>
      </w:r>
      <w:r>
        <w:rPr>
          <w:spacing w:val="-8"/>
          <w:sz w:val="18"/>
        </w:rPr>
        <w:t xml:space="preserve"> </w:t>
      </w:r>
      <w:r>
        <w:rPr>
          <w:sz w:val="18"/>
        </w:rPr>
        <w:t>China's first written submission, para. 913.</w:t>
      </w:r>
    </w:p>
    <w:p w14:paraId="566C854F" w14:textId="77777777" w:rsidR="00BD462C" w:rsidRDefault="00033D0F">
      <w:pPr>
        <w:spacing w:before="2"/>
        <w:ind w:left="135"/>
        <w:jc w:val="both"/>
        <w:rPr>
          <w:sz w:val="18"/>
        </w:rPr>
      </w:pPr>
      <w:bookmarkStart w:id="797" w:name="_bookmark683"/>
      <w:bookmarkEnd w:id="797"/>
      <w:r>
        <w:rPr>
          <w:position w:val="5"/>
          <w:sz w:val="12"/>
        </w:rPr>
        <w:t>570</w:t>
      </w:r>
      <w:r>
        <w:rPr>
          <w:spacing w:val="12"/>
          <w:position w:val="5"/>
          <w:sz w:val="12"/>
        </w:rPr>
        <w:t xml:space="preserve"> </w:t>
      </w:r>
      <w:r>
        <w:rPr>
          <w:sz w:val="18"/>
        </w:rPr>
        <w:t>Australia's</w:t>
      </w:r>
      <w:r>
        <w:rPr>
          <w:spacing w:val="-6"/>
          <w:sz w:val="18"/>
        </w:rPr>
        <w:t xml:space="preserve"> </w:t>
      </w:r>
      <w:r>
        <w:rPr>
          <w:sz w:val="18"/>
        </w:rPr>
        <w:t>first</w:t>
      </w:r>
      <w:r>
        <w:rPr>
          <w:spacing w:val="-6"/>
          <w:sz w:val="18"/>
        </w:rPr>
        <w:t xml:space="preserve"> </w:t>
      </w:r>
      <w:r>
        <w:rPr>
          <w:sz w:val="18"/>
        </w:rPr>
        <w:t>written</w:t>
      </w:r>
      <w:r>
        <w:rPr>
          <w:spacing w:val="-2"/>
          <w:sz w:val="18"/>
        </w:rPr>
        <w:t xml:space="preserve"> </w:t>
      </w:r>
      <w:r>
        <w:rPr>
          <w:sz w:val="18"/>
        </w:rPr>
        <w:t>submission, para.</w:t>
      </w:r>
      <w:r>
        <w:rPr>
          <w:spacing w:val="-5"/>
          <w:sz w:val="18"/>
        </w:rPr>
        <w:t xml:space="preserve"> </w:t>
      </w:r>
      <w:r>
        <w:rPr>
          <w:spacing w:val="-4"/>
          <w:sz w:val="18"/>
        </w:rPr>
        <w:t>535.</w:t>
      </w:r>
    </w:p>
    <w:p w14:paraId="1C4302F7" w14:textId="77777777" w:rsidR="00BD462C" w:rsidRDefault="00033D0F">
      <w:pPr>
        <w:spacing w:before="4" w:line="235" w:lineRule="auto"/>
        <w:ind w:left="136" w:right="904" w:hanging="1"/>
        <w:jc w:val="both"/>
        <w:rPr>
          <w:sz w:val="18"/>
        </w:rPr>
      </w:pPr>
      <w:bookmarkStart w:id="798" w:name="_bookmark684"/>
      <w:bookmarkEnd w:id="798"/>
      <w:r>
        <w:rPr>
          <w:position w:val="5"/>
          <w:sz w:val="12"/>
        </w:rPr>
        <w:t>571</w:t>
      </w:r>
      <w:r>
        <w:rPr>
          <w:spacing w:val="16"/>
          <w:position w:val="5"/>
          <w:sz w:val="12"/>
        </w:rPr>
        <w:t xml:space="preserve"> </w:t>
      </w:r>
      <w:r>
        <w:rPr>
          <w:sz w:val="18"/>
        </w:rPr>
        <w:t>Australia's</w:t>
      </w:r>
      <w:r>
        <w:rPr>
          <w:spacing w:val="-3"/>
          <w:sz w:val="18"/>
        </w:rPr>
        <w:t xml:space="preserve"> </w:t>
      </w:r>
      <w:r>
        <w:rPr>
          <w:sz w:val="18"/>
        </w:rPr>
        <w:t>first</w:t>
      </w:r>
      <w:r>
        <w:rPr>
          <w:spacing w:val="-2"/>
          <w:sz w:val="18"/>
        </w:rPr>
        <w:t xml:space="preserve"> </w:t>
      </w:r>
      <w:r>
        <w:rPr>
          <w:sz w:val="18"/>
        </w:rPr>
        <w:t>written submission,</w:t>
      </w:r>
      <w:r>
        <w:rPr>
          <w:spacing w:val="-1"/>
          <w:sz w:val="18"/>
        </w:rPr>
        <w:t xml:space="preserve"> </w:t>
      </w:r>
      <w:r>
        <w:rPr>
          <w:sz w:val="18"/>
        </w:rPr>
        <w:t>para.</w:t>
      </w:r>
      <w:r>
        <w:rPr>
          <w:spacing w:val="-2"/>
          <w:sz w:val="18"/>
        </w:rPr>
        <w:t xml:space="preserve"> </w:t>
      </w:r>
      <w:r>
        <w:rPr>
          <w:sz w:val="18"/>
        </w:rPr>
        <w:t>536,</w:t>
      </w:r>
      <w:r>
        <w:rPr>
          <w:spacing w:val="-1"/>
          <w:sz w:val="18"/>
        </w:rPr>
        <w:t xml:space="preserve"> </w:t>
      </w:r>
      <w:r>
        <w:rPr>
          <w:sz w:val="18"/>
        </w:rPr>
        <w:t>noting</w:t>
      </w:r>
      <w:r>
        <w:rPr>
          <w:spacing w:val="-3"/>
          <w:sz w:val="18"/>
        </w:rPr>
        <w:t xml:space="preserve"> </w:t>
      </w:r>
      <w:r>
        <w:rPr>
          <w:sz w:val="18"/>
        </w:rPr>
        <w:t>through</w:t>
      </w:r>
      <w:r>
        <w:rPr>
          <w:spacing w:val="-4"/>
          <w:sz w:val="18"/>
        </w:rPr>
        <w:t xml:space="preserve"> </w:t>
      </w:r>
      <w:r>
        <w:rPr>
          <w:sz w:val="18"/>
        </w:rPr>
        <w:t>the</w:t>
      </w:r>
      <w:r>
        <w:rPr>
          <w:spacing w:val="-3"/>
          <w:sz w:val="18"/>
        </w:rPr>
        <w:t xml:space="preserve"> </w:t>
      </w:r>
      <w:r>
        <w:rPr>
          <w:sz w:val="18"/>
        </w:rPr>
        <w:t>course</w:t>
      </w:r>
      <w:r>
        <w:rPr>
          <w:spacing w:val="-3"/>
          <w:sz w:val="18"/>
        </w:rPr>
        <w:t xml:space="preserve"> </w:t>
      </w:r>
      <w:r>
        <w:rPr>
          <w:sz w:val="18"/>
        </w:rPr>
        <w:t>of</w:t>
      </w:r>
      <w:r>
        <w:rPr>
          <w:spacing w:val="-2"/>
          <w:sz w:val="18"/>
        </w:rPr>
        <w:t xml:space="preserve"> </w:t>
      </w:r>
      <w:r>
        <w:rPr>
          <w:sz w:val="18"/>
        </w:rPr>
        <w:t>the</w:t>
      </w:r>
      <w:r>
        <w:rPr>
          <w:spacing w:val="-3"/>
          <w:sz w:val="18"/>
        </w:rPr>
        <w:t xml:space="preserve"> </w:t>
      </w:r>
      <w:r>
        <w:rPr>
          <w:sz w:val="18"/>
        </w:rPr>
        <w:t>first</w:t>
      </w:r>
      <w:r>
        <w:rPr>
          <w:spacing w:val="-2"/>
          <w:sz w:val="18"/>
        </w:rPr>
        <w:t xml:space="preserve"> </w:t>
      </w:r>
      <w:r>
        <w:rPr>
          <w:sz w:val="18"/>
        </w:rPr>
        <w:t>substantive</w:t>
      </w:r>
      <w:r>
        <w:rPr>
          <w:spacing w:val="-3"/>
          <w:sz w:val="18"/>
        </w:rPr>
        <w:t xml:space="preserve"> </w:t>
      </w:r>
      <w:r>
        <w:rPr>
          <w:sz w:val="18"/>
        </w:rPr>
        <w:t>meeting, China</w:t>
      </w:r>
      <w:r>
        <w:rPr>
          <w:spacing w:val="-5"/>
          <w:sz w:val="18"/>
        </w:rPr>
        <w:t xml:space="preserve"> </w:t>
      </w:r>
      <w:r>
        <w:rPr>
          <w:sz w:val="18"/>
        </w:rPr>
        <w:t>indicated an ex post facto process of verifying some responses as discussed below.</w:t>
      </w:r>
    </w:p>
    <w:p w14:paraId="51D57A59" w14:textId="77777777" w:rsidR="00BD462C" w:rsidRDefault="00033D0F">
      <w:pPr>
        <w:spacing w:before="3"/>
        <w:ind w:left="135" w:right="908"/>
        <w:jc w:val="both"/>
        <w:rPr>
          <w:sz w:val="18"/>
        </w:rPr>
      </w:pPr>
      <w:bookmarkStart w:id="799" w:name="_bookmark685"/>
      <w:bookmarkEnd w:id="799"/>
      <w:r>
        <w:rPr>
          <w:position w:val="5"/>
          <w:sz w:val="12"/>
        </w:rPr>
        <w:t>572</w:t>
      </w:r>
      <w:r>
        <w:rPr>
          <w:spacing w:val="27"/>
          <w:position w:val="5"/>
          <w:sz w:val="12"/>
        </w:rPr>
        <w:t xml:space="preserve"> </w:t>
      </w:r>
      <w:r>
        <w:rPr>
          <w:sz w:val="18"/>
        </w:rPr>
        <w:t xml:space="preserve">Appellate Body Report, </w:t>
      </w:r>
      <w:r>
        <w:rPr>
          <w:i/>
          <w:sz w:val="18"/>
        </w:rPr>
        <w:t>Korea – Pneumatic Valves</w:t>
      </w:r>
      <w:r>
        <w:rPr>
          <w:sz w:val="18"/>
        </w:rPr>
        <w:t>, para. 5.55("Thus, although only the applicants initially responded to the</w:t>
      </w:r>
      <w:r>
        <w:rPr>
          <w:spacing w:val="-9"/>
          <w:sz w:val="18"/>
        </w:rPr>
        <w:t xml:space="preserve"> </w:t>
      </w:r>
      <w:r>
        <w:rPr>
          <w:sz w:val="18"/>
        </w:rPr>
        <w:t>questionnaires,</w:t>
      </w:r>
      <w:r>
        <w:rPr>
          <w:spacing w:val="-5"/>
          <w:sz w:val="18"/>
        </w:rPr>
        <w:t xml:space="preserve"> </w:t>
      </w:r>
      <w:r>
        <w:rPr>
          <w:sz w:val="18"/>
        </w:rPr>
        <w:t>this</w:t>
      </w:r>
      <w:r>
        <w:rPr>
          <w:spacing w:val="-11"/>
          <w:sz w:val="18"/>
        </w:rPr>
        <w:t xml:space="preserve"> </w:t>
      </w:r>
      <w:r>
        <w:rPr>
          <w:sz w:val="18"/>
        </w:rPr>
        <w:t>in</w:t>
      </w:r>
      <w:r>
        <w:rPr>
          <w:spacing w:val="-6"/>
          <w:sz w:val="18"/>
        </w:rPr>
        <w:t xml:space="preserve"> </w:t>
      </w:r>
      <w:r>
        <w:rPr>
          <w:sz w:val="18"/>
        </w:rPr>
        <w:t>itself</w:t>
      </w:r>
      <w:r>
        <w:rPr>
          <w:spacing w:val="-6"/>
          <w:sz w:val="18"/>
        </w:rPr>
        <w:t xml:space="preserve"> </w:t>
      </w:r>
      <w:r>
        <w:rPr>
          <w:sz w:val="18"/>
        </w:rPr>
        <w:t>did</w:t>
      </w:r>
      <w:r>
        <w:rPr>
          <w:spacing w:val="-7"/>
          <w:sz w:val="18"/>
        </w:rPr>
        <w:t xml:space="preserve"> </w:t>
      </w:r>
      <w:r>
        <w:rPr>
          <w:sz w:val="18"/>
        </w:rPr>
        <w:t>not</w:t>
      </w:r>
      <w:r>
        <w:rPr>
          <w:spacing w:val="-6"/>
          <w:sz w:val="18"/>
        </w:rPr>
        <w:t xml:space="preserve"> </w:t>
      </w:r>
      <w:r>
        <w:rPr>
          <w:sz w:val="18"/>
        </w:rPr>
        <w:t>necessarily</w:t>
      </w:r>
      <w:r>
        <w:rPr>
          <w:spacing w:val="-9"/>
          <w:sz w:val="18"/>
        </w:rPr>
        <w:t xml:space="preserve"> </w:t>
      </w:r>
      <w:r>
        <w:rPr>
          <w:sz w:val="18"/>
        </w:rPr>
        <w:t>mean</w:t>
      </w:r>
      <w:r>
        <w:rPr>
          <w:spacing w:val="-7"/>
          <w:sz w:val="18"/>
        </w:rPr>
        <w:t xml:space="preserve"> </w:t>
      </w:r>
      <w:r>
        <w:rPr>
          <w:sz w:val="18"/>
        </w:rPr>
        <w:t>that</w:t>
      </w:r>
      <w:r>
        <w:rPr>
          <w:spacing w:val="-6"/>
          <w:sz w:val="18"/>
        </w:rPr>
        <w:t xml:space="preserve"> </w:t>
      </w:r>
      <w:r>
        <w:rPr>
          <w:sz w:val="18"/>
        </w:rPr>
        <w:t>the</w:t>
      </w:r>
      <w:r>
        <w:rPr>
          <w:spacing w:val="-7"/>
          <w:sz w:val="18"/>
        </w:rPr>
        <w:t xml:space="preserve"> </w:t>
      </w:r>
      <w:r>
        <w:rPr>
          <w:sz w:val="18"/>
        </w:rPr>
        <w:t>qualitative</w:t>
      </w:r>
      <w:r>
        <w:rPr>
          <w:spacing w:val="-7"/>
          <w:sz w:val="18"/>
        </w:rPr>
        <w:t xml:space="preserve"> </w:t>
      </w:r>
      <w:r>
        <w:rPr>
          <w:sz w:val="18"/>
        </w:rPr>
        <w:t>aspect</w:t>
      </w:r>
      <w:r>
        <w:rPr>
          <w:spacing w:val="-6"/>
          <w:sz w:val="18"/>
        </w:rPr>
        <w:t xml:space="preserve"> </w:t>
      </w:r>
      <w:r>
        <w:rPr>
          <w:sz w:val="18"/>
        </w:rPr>
        <w:t>of</w:t>
      </w:r>
      <w:r>
        <w:rPr>
          <w:spacing w:val="-6"/>
          <w:sz w:val="18"/>
        </w:rPr>
        <w:t xml:space="preserve"> </w:t>
      </w:r>
      <w:r>
        <w:rPr>
          <w:sz w:val="18"/>
        </w:rPr>
        <w:t>the</w:t>
      </w:r>
      <w:r>
        <w:rPr>
          <w:spacing w:val="-7"/>
          <w:sz w:val="18"/>
        </w:rPr>
        <w:t xml:space="preserve"> </w:t>
      </w:r>
      <w:r>
        <w:rPr>
          <w:sz w:val="18"/>
        </w:rPr>
        <w:t>definition</w:t>
      </w:r>
      <w:r>
        <w:rPr>
          <w:spacing w:val="-3"/>
          <w:sz w:val="18"/>
        </w:rPr>
        <w:t xml:space="preserve"> </w:t>
      </w:r>
      <w:r>
        <w:rPr>
          <w:sz w:val="18"/>
        </w:rPr>
        <w:t>of</w:t>
      </w:r>
      <w:r>
        <w:rPr>
          <w:spacing w:val="-6"/>
          <w:sz w:val="18"/>
        </w:rPr>
        <w:t xml:space="preserve"> </w:t>
      </w:r>
      <w:r>
        <w:rPr>
          <w:sz w:val="18"/>
        </w:rPr>
        <w:t>the</w:t>
      </w:r>
      <w:r>
        <w:rPr>
          <w:spacing w:val="-7"/>
          <w:sz w:val="18"/>
        </w:rPr>
        <w:t xml:space="preserve"> </w:t>
      </w:r>
      <w:r>
        <w:rPr>
          <w:sz w:val="18"/>
        </w:rPr>
        <w:t>domestic</w:t>
      </w:r>
      <w:r>
        <w:rPr>
          <w:spacing w:val="-8"/>
          <w:sz w:val="18"/>
        </w:rPr>
        <w:t xml:space="preserve"> </w:t>
      </w:r>
      <w:r>
        <w:rPr>
          <w:sz w:val="18"/>
        </w:rPr>
        <w:t>industry at issue</w:t>
      </w:r>
      <w:r>
        <w:rPr>
          <w:spacing w:val="-4"/>
          <w:sz w:val="18"/>
        </w:rPr>
        <w:t xml:space="preserve"> </w:t>
      </w:r>
      <w:r>
        <w:rPr>
          <w:sz w:val="18"/>
        </w:rPr>
        <w:t>comports</w:t>
      </w:r>
      <w:r>
        <w:rPr>
          <w:spacing w:val="-4"/>
          <w:sz w:val="18"/>
        </w:rPr>
        <w:t xml:space="preserve"> </w:t>
      </w:r>
      <w:r>
        <w:rPr>
          <w:sz w:val="18"/>
        </w:rPr>
        <w:t>with</w:t>
      </w:r>
      <w:r>
        <w:rPr>
          <w:spacing w:val="-5"/>
          <w:sz w:val="18"/>
        </w:rPr>
        <w:t xml:space="preserve"> </w:t>
      </w:r>
      <w:r>
        <w:rPr>
          <w:sz w:val="18"/>
        </w:rPr>
        <w:t>the requirements</w:t>
      </w:r>
      <w:r>
        <w:rPr>
          <w:spacing w:val="-4"/>
          <w:sz w:val="18"/>
        </w:rPr>
        <w:t xml:space="preserve"> </w:t>
      </w:r>
      <w:r>
        <w:rPr>
          <w:sz w:val="18"/>
        </w:rPr>
        <w:t>of</w:t>
      </w:r>
      <w:r>
        <w:rPr>
          <w:spacing w:val="-3"/>
          <w:sz w:val="18"/>
        </w:rPr>
        <w:t xml:space="preserve"> </w:t>
      </w:r>
      <w:r>
        <w:rPr>
          <w:sz w:val="18"/>
        </w:rPr>
        <w:t>Articles 3.1</w:t>
      </w:r>
      <w:r>
        <w:rPr>
          <w:spacing w:val="-6"/>
          <w:sz w:val="18"/>
        </w:rPr>
        <w:t xml:space="preserve"> </w:t>
      </w:r>
      <w:r>
        <w:rPr>
          <w:sz w:val="18"/>
        </w:rPr>
        <w:t>and</w:t>
      </w:r>
      <w:r>
        <w:rPr>
          <w:spacing w:val="-5"/>
          <w:sz w:val="18"/>
        </w:rPr>
        <w:t xml:space="preserve"> </w:t>
      </w:r>
      <w:r>
        <w:rPr>
          <w:sz w:val="18"/>
        </w:rPr>
        <w:t>4.1.</w:t>
      </w:r>
      <w:r>
        <w:rPr>
          <w:spacing w:val="-3"/>
          <w:sz w:val="18"/>
        </w:rPr>
        <w:t xml:space="preserve"> </w:t>
      </w:r>
      <w:r>
        <w:rPr>
          <w:sz w:val="18"/>
        </w:rPr>
        <w:t>Rather, completing</w:t>
      </w:r>
      <w:r>
        <w:rPr>
          <w:spacing w:val="-4"/>
          <w:sz w:val="18"/>
        </w:rPr>
        <w:t xml:space="preserve"> </w:t>
      </w:r>
      <w:r>
        <w:rPr>
          <w:sz w:val="18"/>
        </w:rPr>
        <w:t>the</w:t>
      </w:r>
      <w:r>
        <w:rPr>
          <w:spacing w:val="-4"/>
          <w:sz w:val="18"/>
        </w:rPr>
        <w:t xml:space="preserve"> </w:t>
      </w:r>
      <w:r>
        <w:rPr>
          <w:sz w:val="18"/>
        </w:rPr>
        <w:t>legal</w:t>
      </w:r>
      <w:r>
        <w:rPr>
          <w:spacing w:val="-3"/>
          <w:sz w:val="18"/>
        </w:rPr>
        <w:t xml:space="preserve"> </w:t>
      </w:r>
      <w:r>
        <w:rPr>
          <w:sz w:val="18"/>
        </w:rPr>
        <w:t>analysis on Japan's</w:t>
      </w:r>
      <w:r>
        <w:rPr>
          <w:spacing w:val="-4"/>
          <w:sz w:val="18"/>
        </w:rPr>
        <w:t xml:space="preserve"> </w:t>
      </w:r>
      <w:r>
        <w:rPr>
          <w:sz w:val="18"/>
        </w:rPr>
        <w:t>claim</w:t>
      </w:r>
      <w:r>
        <w:rPr>
          <w:spacing w:val="-6"/>
          <w:sz w:val="18"/>
        </w:rPr>
        <w:t xml:space="preserve"> </w:t>
      </w:r>
      <w:r>
        <w:rPr>
          <w:sz w:val="18"/>
        </w:rPr>
        <w:t>under Articles 3.1 and 4.1 would require an assessment of whether the producers included in the domestic industry as defined by</w:t>
      </w:r>
    </w:p>
    <w:p w14:paraId="05C38027" w14:textId="77777777" w:rsidR="00BD462C" w:rsidRDefault="00BD462C">
      <w:pPr>
        <w:jc w:val="both"/>
        <w:rPr>
          <w:sz w:val="18"/>
        </w:rPr>
        <w:sectPr w:rsidR="00BD462C">
          <w:pgSz w:w="11910" w:h="16840"/>
          <w:pgMar w:top="860" w:right="500" w:bottom="780" w:left="1280" w:header="566" w:footer="590" w:gutter="0"/>
          <w:cols w:space="720"/>
        </w:sectPr>
      </w:pPr>
    </w:p>
    <w:p w14:paraId="38180726" w14:textId="77777777" w:rsidR="00BD462C" w:rsidRDefault="00033D0F">
      <w:pPr>
        <w:tabs>
          <w:tab w:val="left" w:pos="6087"/>
        </w:tabs>
        <w:spacing w:before="1"/>
        <w:ind w:left="135"/>
        <w:jc w:val="both"/>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0CD71260" w14:textId="77777777" w:rsidR="00BD462C" w:rsidRDefault="00033D0F">
      <w:pPr>
        <w:spacing w:before="1"/>
        <w:ind w:left="135"/>
        <w:jc w:val="both"/>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31E8B0FC" w14:textId="77777777" w:rsidR="00BD462C" w:rsidRDefault="00033D0F">
      <w:pPr>
        <w:tabs>
          <w:tab w:val="left" w:pos="7652"/>
        </w:tabs>
        <w:ind w:left="135"/>
        <w:jc w:val="both"/>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46DA91A8" w14:textId="77777777" w:rsidR="00BD462C" w:rsidRDefault="00033D0F">
      <w:pPr>
        <w:pStyle w:val="BodyText"/>
        <w:spacing w:before="102" w:line="360" w:lineRule="auto"/>
        <w:ind w:left="135" w:right="918"/>
        <w:jc w:val="both"/>
      </w:pPr>
      <w:r>
        <w:t>objective investigating</w:t>
      </w:r>
      <w:r>
        <w:rPr>
          <w:spacing w:val="-3"/>
        </w:rPr>
        <w:t xml:space="preserve"> </w:t>
      </w:r>
      <w:r>
        <w:t>authority would</w:t>
      </w:r>
      <w:r>
        <w:rPr>
          <w:spacing w:val="-2"/>
        </w:rPr>
        <w:t xml:space="preserve"> </w:t>
      </w:r>
      <w:r>
        <w:t xml:space="preserve">have </w:t>
      </w:r>
      <w:proofErr w:type="spellStart"/>
      <w:r>
        <w:t>recognised</w:t>
      </w:r>
      <w:proofErr w:type="spellEnd"/>
      <w:r>
        <w:rPr>
          <w:spacing w:val="-2"/>
        </w:rPr>
        <w:t xml:space="preserve"> </w:t>
      </w:r>
      <w:r>
        <w:t>the</w:t>
      </w:r>
      <w:r>
        <w:rPr>
          <w:spacing w:val="-5"/>
        </w:rPr>
        <w:t xml:space="preserve"> </w:t>
      </w:r>
      <w:r>
        <w:t>introduction</w:t>
      </w:r>
      <w:r>
        <w:rPr>
          <w:spacing w:val="-2"/>
        </w:rPr>
        <w:t xml:space="preserve"> </w:t>
      </w:r>
      <w:r>
        <w:t>of</w:t>
      </w:r>
      <w:r>
        <w:rPr>
          <w:spacing w:val="-1"/>
        </w:rPr>
        <w:t xml:space="preserve"> </w:t>
      </w:r>
      <w:r>
        <w:t>a material risk of distortion</w:t>
      </w:r>
      <w:r>
        <w:rPr>
          <w:spacing w:val="-1"/>
        </w:rPr>
        <w:t xml:space="preserve"> </w:t>
      </w:r>
      <w:r>
        <w:t>that was created</w:t>
      </w:r>
      <w:r>
        <w:rPr>
          <w:spacing w:val="-1"/>
        </w:rPr>
        <w:t xml:space="preserve"> </w:t>
      </w:r>
      <w:r>
        <w:t>as a consequence of this approach</w:t>
      </w:r>
      <w:r>
        <w:rPr>
          <w:spacing w:val="-1"/>
        </w:rPr>
        <w:t xml:space="preserve"> </w:t>
      </w:r>
      <w:r>
        <w:t>and</w:t>
      </w:r>
      <w:r>
        <w:rPr>
          <w:spacing w:val="-1"/>
        </w:rPr>
        <w:t xml:space="preserve"> </w:t>
      </w:r>
      <w:r>
        <w:t>adjusted</w:t>
      </w:r>
      <w:r>
        <w:rPr>
          <w:spacing w:val="-1"/>
        </w:rPr>
        <w:t xml:space="preserve"> </w:t>
      </w:r>
      <w:r>
        <w:t>its methodology accordingly. MOFCOM failed to do this.</w:t>
      </w:r>
    </w:p>
    <w:p w14:paraId="4A12B944" w14:textId="77777777" w:rsidR="00BD462C" w:rsidRDefault="00BD462C">
      <w:pPr>
        <w:pStyle w:val="BodyText"/>
        <w:spacing w:before="11"/>
        <w:rPr>
          <w:sz w:val="8"/>
        </w:rPr>
      </w:pPr>
    </w:p>
    <w:p w14:paraId="4B5A3A5F" w14:textId="2944BB37" w:rsidR="00BD462C" w:rsidRDefault="00602AD3">
      <w:pPr>
        <w:pStyle w:val="BodyText"/>
        <w:spacing w:before="56" w:line="360" w:lineRule="auto"/>
        <w:ind w:left="135" w:right="914" w:hanging="5"/>
        <w:jc w:val="both"/>
      </w:pPr>
      <w:r w:rsidRPr="00602AD3">
        <w:rPr>
          <w:position w:val="1"/>
        </w:rPr>
        <w:t>413.</w:t>
      </w:r>
      <w:r>
        <w:rPr>
          <w:rFonts w:ascii="Times New Roman"/>
          <w:spacing w:val="80"/>
          <w:w w:val="150"/>
          <w:position w:val="1"/>
          <w:sz w:val="20"/>
        </w:rPr>
        <w:t xml:space="preserve"> </w:t>
      </w:r>
      <w:r w:rsidR="00033D0F">
        <w:rPr>
          <w:position w:val="1"/>
        </w:rPr>
        <w:t>Further,</w:t>
      </w:r>
      <w:r w:rsidR="00033D0F">
        <w:rPr>
          <w:spacing w:val="40"/>
          <w:position w:val="1"/>
        </w:rPr>
        <w:t xml:space="preserve"> </w:t>
      </w:r>
      <w:r w:rsidR="00033D0F">
        <w:rPr>
          <w:position w:val="1"/>
        </w:rPr>
        <w:t>by</w:t>
      </w:r>
      <w:r w:rsidR="00033D0F">
        <w:rPr>
          <w:spacing w:val="40"/>
          <w:position w:val="1"/>
        </w:rPr>
        <w:t xml:space="preserve"> </w:t>
      </w:r>
      <w:r w:rsidR="00033D0F">
        <w:rPr>
          <w:position w:val="1"/>
        </w:rPr>
        <w:t>definition,</w:t>
      </w:r>
      <w:r w:rsidR="00033D0F">
        <w:rPr>
          <w:spacing w:val="40"/>
          <w:position w:val="1"/>
        </w:rPr>
        <w:t xml:space="preserve"> </w:t>
      </w:r>
      <w:r w:rsidR="00033D0F">
        <w:rPr>
          <w:position w:val="1"/>
        </w:rPr>
        <w:t>the</w:t>
      </w:r>
      <w:r w:rsidR="00033D0F">
        <w:rPr>
          <w:spacing w:val="40"/>
          <w:position w:val="1"/>
        </w:rPr>
        <w:t xml:space="preserve"> </w:t>
      </w:r>
      <w:r w:rsidR="00033D0F">
        <w:rPr>
          <w:position w:val="1"/>
        </w:rPr>
        <w:t>21</w:t>
      </w:r>
      <w:r w:rsidR="00033D0F">
        <w:rPr>
          <w:spacing w:val="40"/>
          <w:position w:val="1"/>
        </w:rPr>
        <w:t xml:space="preserve"> </w:t>
      </w:r>
      <w:r w:rsidR="00033D0F">
        <w:rPr>
          <w:position w:val="1"/>
        </w:rPr>
        <w:t>domestic</w:t>
      </w:r>
      <w:r w:rsidR="00033D0F">
        <w:rPr>
          <w:spacing w:val="40"/>
          <w:position w:val="1"/>
        </w:rPr>
        <w:t xml:space="preserve"> </w:t>
      </w:r>
      <w:r w:rsidR="00033D0F">
        <w:rPr>
          <w:position w:val="1"/>
        </w:rPr>
        <w:t>producers</w:t>
      </w:r>
      <w:r w:rsidR="00033D0F">
        <w:rPr>
          <w:spacing w:val="40"/>
          <w:position w:val="1"/>
        </w:rPr>
        <w:t xml:space="preserve"> </w:t>
      </w:r>
      <w:r w:rsidR="00033D0F">
        <w:rPr>
          <w:position w:val="1"/>
        </w:rPr>
        <w:t>that</w:t>
      </w:r>
      <w:r w:rsidR="00033D0F">
        <w:rPr>
          <w:spacing w:val="40"/>
          <w:position w:val="1"/>
        </w:rPr>
        <w:t xml:space="preserve"> </w:t>
      </w:r>
      <w:r w:rsidR="00033D0F">
        <w:rPr>
          <w:position w:val="1"/>
        </w:rPr>
        <w:t>responded</w:t>
      </w:r>
      <w:r w:rsidR="00033D0F">
        <w:rPr>
          <w:spacing w:val="40"/>
          <w:position w:val="1"/>
        </w:rPr>
        <w:t xml:space="preserve"> </w:t>
      </w:r>
      <w:r w:rsidR="00033D0F">
        <w:rPr>
          <w:position w:val="1"/>
        </w:rPr>
        <w:t>to</w:t>
      </w:r>
      <w:r w:rsidR="00033D0F">
        <w:rPr>
          <w:spacing w:val="40"/>
          <w:position w:val="1"/>
        </w:rPr>
        <w:t xml:space="preserve"> </w:t>
      </w:r>
      <w:r w:rsidR="00033D0F">
        <w:rPr>
          <w:position w:val="1"/>
        </w:rPr>
        <w:t xml:space="preserve">the </w:t>
      </w:r>
      <w:r w:rsidR="00033D0F">
        <w:t>questionnaire</w:t>
      </w:r>
      <w:r w:rsidR="00033D0F">
        <w:rPr>
          <w:spacing w:val="-2"/>
        </w:rPr>
        <w:t xml:space="preserve"> </w:t>
      </w:r>
      <w:r w:rsidR="00033D0F">
        <w:t>were</w:t>
      </w:r>
      <w:r w:rsidR="00033D0F">
        <w:rPr>
          <w:spacing w:val="-2"/>
        </w:rPr>
        <w:t xml:space="preserve"> </w:t>
      </w:r>
      <w:r w:rsidR="00033D0F">
        <w:t>those</w:t>
      </w:r>
      <w:r w:rsidR="00033D0F">
        <w:rPr>
          <w:spacing w:val="-2"/>
        </w:rPr>
        <w:t xml:space="preserve"> </w:t>
      </w:r>
      <w:r w:rsidR="00033D0F">
        <w:t>that were</w:t>
      </w:r>
      <w:r w:rsidR="00033D0F">
        <w:rPr>
          <w:spacing w:val="-2"/>
        </w:rPr>
        <w:t xml:space="preserve"> </w:t>
      </w:r>
      <w:r w:rsidR="00033D0F">
        <w:t>willing</w:t>
      </w:r>
      <w:r w:rsidR="00033D0F">
        <w:rPr>
          <w:spacing w:val="-1"/>
        </w:rPr>
        <w:t xml:space="preserve"> </w:t>
      </w:r>
      <w:r w:rsidR="00033D0F">
        <w:t>to</w:t>
      </w:r>
      <w:r w:rsidR="00033D0F">
        <w:rPr>
          <w:spacing w:val="-5"/>
        </w:rPr>
        <w:t xml:space="preserve"> </w:t>
      </w:r>
      <w:r w:rsidR="00033D0F">
        <w:t>voluntarily</w:t>
      </w:r>
      <w:r w:rsidR="00033D0F">
        <w:rPr>
          <w:spacing w:val="-1"/>
        </w:rPr>
        <w:t xml:space="preserve"> </w:t>
      </w:r>
      <w:r w:rsidR="00033D0F">
        <w:t>invest</w:t>
      </w:r>
      <w:r w:rsidR="00033D0F">
        <w:rPr>
          <w:spacing w:val="-2"/>
        </w:rPr>
        <w:t xml:space="preserve"> </w:t>
      </w:r>
      <w:r w:rsidR="00033D0F">
        <w:t>resources</w:t>
      </w:r>
      <w:r w:rsidR="00033D0F">
        <w:rPr>
          <w:spacing w:val="-1"/>
        </w:rPr>
        <w:t xml:space="preserve"> </w:t>
      </w:r>
      <w:r w:rsidR="00033D0F">
        <w:t>into preparing</w:t>
      </w:r>
      <w:r w:rsidR="00033D0F">
        <w:rPr>
          <w:spacing w:val="-1"/>
        </w:rPr>
        <w:t xml:space="preserve"> </w:t>
      </w:r>
      <w:r w:rsidR="00033D0F">
        <w:t>and submitting</w:t>
      </w:r>
      <w:r w:rsidR="00033D0F">
        <w:rPr>
          <w:spacing w:val="-7"/>
        </w:rPr>
        <w:t xml:space="preserve"> </w:t>
      </w:r>
      <w:r w:rsidR="00033D0F">
        <w:t>their</w:t>
      </w:r>
      <w:r w:rsidR="00033D0F">
        <w:rPr>
          <w:spacing w:val="-11"/>
        </w:rPr>
        <w:t xml:space="preserve"> </w:t>
      </w:r>
      <w:r w:rsidR="00033D0F">
        <w:t>responses.</w:t>
      </w:r>
      <w:hyperlink w:anchor="_bookmark686" w:history="1">
        <w:r w:rsidR="00033D0F">
          <w:rPr>
            <w:vertAlign w:val="superscript"/>
          </w:rPr>
          <w:t>573</w:t>
        </w:r>
      </w:hyperlink>
      <w:r w:rsidR="00033D0F">
        <w:rPr>
          <w:spacing w:val="-7"/>
        </w:rPr>
        <w:t xml:space="preserve"> </w:t>
      </w:r>
      <w:r w:rsidR="00033D0F">
        <w:t>It</w:t>
      </w:r>
      <w:r w:rsidR="00033D0F">
        <w:rPr>
          <w:spacing w:val="-8"/>
        </w:rPr>
        <w:t xml:space="preserve"> </w:t>
      </w:r>
      <w:r w:rsidR="00033D0F">
        <w:t>follows</w:t>
      </w:r>
      <w:r w:rsidR="00033D0F">
        <w:rPr>
          <w:spacing w:val="-7"/>
        </w:rPr>
        <w:t xml:space="preserve"> </w:t>
      </w:r>
      <w:r w:rsidR="00033D0F">
        <w:t>that</w:t>
      </w:r>
      <w:r w:rsidR="00033D0F">
        <w:rPr>
          <w:spacing w:val="-8"/>
        </w:rPr>
        <w:t xml:space="preserve"> </w:t>
      </w:r>
      <w:r w:rsidR="00033D0F">
        <w:t>these</w:t>
      </w:r>
      <w:r w:rsidR="00033D0F">
        <w:rPr>
          <w:spacing w:val="-8"/>
        </w:rPr>
        <w:t xml:space="preserve"> </w:t>
      </w:r>
      <w:r w:rsidR="00033D0F">
        <w:t>domestic</w:t>
      </w:r>
      <w:r w:rsidR="00033D0F">
        <w:rPr>
          <w:spacing w:val="-9"/>
        </w:rPr>
        <w:t xml:space="preserve"> </w:t>
      </w:r>
      <w:r w:rsidR="00033D0F">
        <w:t>producers</w:t>
      </w:r>
      <w:r w:rsidR="00033D0F">
        <w:rPr>
          <w:spacing w:val="-7"/>
        </w:rPr>
        <w:t xml:space="preserve"> </w:t>
      </w:r>
      <w:r w:rsidR="00033D0F">
        <w:t>were</w:t>
      </w:r>
      <w:r w:rsidR="00033D0F">
        <w:rPr>
          <w:spacing w:val="-8"/>
        </w:rPr>
        <w:t xml:space="preserve"> </w:t>
      </w:r>
      <w:r w:rsidR="00033D0F">
        <w:t>more</w:t>
      </w:r>
      <w:r w:rsidR="00033D0F">
        <w:rPr>
          <w:spacing w:val="-8"/>
        </w:rPr>
        <w:t xml:space="preserve"> </w:t>
      </w:r>
      <w:r w:rsidR="00033D0F">
        <w:t>likely</w:t>
      </w:r>
      <w:r w:rsidR="00033D0F">
        <w:rPr>
          <w:spacing w:val="-7"/>
        </w:rPr>
        <w:t xml:space="preserve"> </w:t>
      </w:r>
      <w:r w:rsidR="00033D0F">
        <w:t>to</w:t>
      </w:r>
      <w:r w:rsidR="00033D0F">
        <w:rPr>
          <w:spacing w:val="-10"/>
        </w:rPr>
        <w:t xml:space="preserve"> </w:t>
      </w:r>
      <w:r w:rsidR="00033D0F">
        <w:t>be those who considered themselves injured by the dumped imports, especially as members of CADA</w:t>
      </w:r>
      <w:r w:rsidR="00033D0F">
        <w:rPr>
          <w:spacing w:val="-12"/>
        </w:rPr>
        <w:t xml:space="preserve"> </w:t>
      </w:r>
      <w:r w:rsidR="00033D0F">
        <w:t>(the</w:t>
      </w:r>
      <w:r w:rsidR="00033D0F">
        <w:rPr>
          <w:spacing w:val="-12"/>
        </w:rPr>
        <w:t xml:space="preserve"> </w:t>
      </w:r>
      <w:r w:rsidR="00033D0F">
        <w:t>applicant)</w:t>
      </w:r>
      <w:r w:rsidR="00033D0F">
        <w:rPr>
          <w:spacing w:val="-13"/>
        </w:rPr>
        <w:t xml:space="preserve"> </w:t>
      </w:r>
      <w:r w:rsidR="00033D0F">
        <w:t>than</w:t>
      </w:r>
      <w:r w:rsidR="00033D0F">
        <w:rPr>
          <w:spacing w:val="-14"/>
        </w:rPr>
        <w:t xml:space="preserve"> </w:t>
      </w:r>
      <w:r w:rsidR="00033D0F">
        <w:t>the</w:t>
      </w:r>
      <w:r w:rsidR="00033D0F">
        <w:rPr>
          <w:spacing w:val="-11"/>
        </w:rPr>
        <w:t xml:space="preserve"> </w:t>
      </w:r>
      <w:r w:rsidR="00033D0F">
        <w:t>hundreds</w:t>
      </w:r>
      <w:r w:rsidR="00033D0F">
        <w:rPr>
          <w:spacing w:val="-10"/>
        </w:rPr>
        <w:t xml:space="preserve"> </w:t>
      </w:r>
      <w:r w:rsidR="00033D0F">
        <w:t>of</w:t>
      </w:r>
      <w:r w:rsidR="00033D0F">
        <w:rPr>
          <w:spacing w:val="-9"/>
        </w:rPr>
        <w:t xml:space="preserve"> </w:t>
      </w:r>
      <w:r w:rsidR="00033D0F">
        <w:t>other</w:t>
      </w:r>
      <w:r w:rsidR="00033D0F">
        <w:rPr>
          <w:spacing w:val="-10"/>
        </w:rPr>
        <w:t xml:space="preserve"> </w:t>
      </w:r>
      <w:r w:rsidR="00033D0F">
        <w:t>domestic</w:t>
      </w:r>
      <w:r w:rsidR="00033D0F">
        <w:rPr>
          <w:spacing w:val="-13"/>
        </w:rPr>
        <w:t xml:space="preserve"> </w:t>
      </w:r>
      <w:r w:rsidR="00033D0F">
        <w:t>producers</w:t>
      </w:r>
      <w:r w:rsidR="00033D0F">
        <w:rPr>
          <w:spacing w:val="-10"/>
        </w:rPr>
        <w:t xml:space="preserve"> </w:t>
      </w:r>
      <w:r w:rsidR="00033D0F">
        <w:t>of</w:t>
      </w:r>
      <w:r w:rsidR="00033D0F">
        <w:rPr>
          <w:spacing w:val="-14"/>
        </w:rPr>
        <w:t xml:space="preserve"> </w:t>
      </w:r>
      <w:r w:rsidR="00033D0F">
        <w:t>like</w:t>
      </w:r>
      <w:r w:rsidR="00033D0F">
        <w:rPr>
          <w:spacing w:val="-11"/>
        </w:rPr>
        <w:t xml:space="preserve"> </w:t>
      </w:r>
      <w:r w:rsidR="00033D0F">
        <w:t>products</w:t>
      </w:r>
      <w:r w:rsidR="00033D0F">
        <w:rPr>
          <w:spacing w:val="-10"/>
        </w:rPr>
        <w:t xml:space="preserve"> </w:t>
      </w:r>
      <w:r w:rsidR="00033D0F">
        <w:t>in</w:t>
      </w:r>
      <w:r w:rsidR="00033D0F">
        <w:rPr>
          <w:spacing w:val="-14"/>
        </w:rPr>
        <w:t xml:space="preserve"> </w:t>
      </w:r>
      <w:r w:rsidR="00033D0F">
        <w:t>China.</w:t>
      </w:r>
    </w:p>
    <w:p w14:paraId="5F7E3217" w14:textId="77777777" w:rsidR="00BD462C" w:rsidRDefault="00BD462C">
      <w:pPr>
        <w:pStyle w:val="BodyText"/>
        <w:spacing w:before="6"/>
        <w:rPr>
          <w:sz w:val="8"/>
        </w:rPr>
      </w:pPr>
    </w:p>
    <w:p w14:paraId="0754858F" w14:textId="7633F8C5" w:rsidR="00BD462C" w:rsidRDefault="00602AD3">
      <w:pPr>
        <w:pStyle w:val="BodyText"/>
        <w:spacing w:before="56" w:line="360" w:lineRule="auto"/>
        <w:ind w:left="135" w:right="916" w:hanging="5"/>
        <w:jc w:val="both"/>
      </w:pPr>
      <w:r w:rsidRPr="00602AD3">
        <w:rPr>
          <w:position w:val="1"/>
        </w:rPr>
        <w:t>414.</w:t>
      </w:r>
      <w:r>
        <w:rPr>
          <w:rFonts w:ascii="Times New Roman" w:hAnsi="Times New Roman"/>
          <w:spacing w:val="80"/>
          <w:position w:val="1"/>
          <w:sz w:val="20"/>
        </w:rPr>
        <w:t xml:space="preserve"> </w:t>
      </w:r>
      <w:r w:rsidR="00033D0F">
        <w:rPr>
          <w:position w:val="1"/>
        </w:rPr>
        <w:t>In</w:t>
      </w:r>
      <w:r w:rsidR="00033D0F">
        <w:rPr>
          <w:spacing w:val="-4"/>
          <w:position w:val="1"/>
        </w:rPr>
        <w:t xml:space="preserve"> </w:t>
      </w:r>
      <w:r w:rsidR="00033D0F">
        <w:rPr>
          <w:i/>
          <w:position w:val="1"/>
        </w:rPr>
        <w:t>EC</w:t>
      </w:r>
      <w:r w:rsidR="00033D0F">
        <w:rPr>
          <w:i/>
          <w:spacing w:val="-4"/>
          <w:position w:val="1"/>
        </w:rPr>
        <w:t xml:space="preserve"> </w:t>
      </w:r>
      <w:r w:rsidR="00033D0F">
        <w:rPr>
          <w:i/>
          <w:position w:val="1"/>
        </w:rPr>
        <w:t>–</w:t>
      </w:r>
      <w:r w:rsidR="00033D0F">
        <w:rPr>
          <w:i/>
          <w:spacing w:val="-2"/>
          <w:position w:val="1"/>
        </w:rPr>
        <w:t xml:space="preserve"> </w:t>
      </w:r>
      <w:r w:rsidR="00033D0F">
        <w:rPr>
          <w:i/>
          <w:position w:val="1"/>
        </w:rPr>
        <w:t>Fasteners</w:t>
      </w:r>
      <w:r w:rsidR="00033D0F">
        <w:rPr>
          <w:i/>
          <w:spacing w:val="-5"/>
          <w:position w:val="1"/>
        </w:rPr>
        <w:t xml:space="preserve"> </w:t>
      </w:r>
      <w:r w:rsidR="00033D0F">
        <w:rPr>
          <w:i/>
          <w:position w:val="1"/>
        </w:rPr>
        <w:t>(China)</w:t>
      </w:r>
      <w:r w:rsidR="00033D0F">
        <w:rPr>
          <w:i/>
          <w:spacing w:val="-4"/>
          <w:position w:val="1"/>
        </w:rPr>
        <w:t xml:space="preserve"> </w:t>
      </w:r>
      <w:r w:rsidR="00033D0F">
        <w:rPr>
          <w:i/>
          <w:position w:val="1"/>
        </w:rPr>
        <w:t>(Article</w:t>
      </w:r>
      <w:r w:rsidR="00033D0F">
        <w:rPr>
          <w:i/>
          <w:spacing w:val="-2"/>
          <w:position w:val="1"/>
        </w:rPr>
        <w:t xml:space="preserve"> </w:t>
      </w:r>
      <w:r w:rsidR="00033D0F">
        <w:rPr>
          <w:i/>
          <w:position w:val="1"/>
        </w:rPr>
        <w:t>21.5</w:t>
      </w:r>
      <w:r w:rsidR="00033D0F">
        <w:rPr>
          <w:i/>
          <w:spacing w:val="-5"/>
          <w:position w:val="1"/>
        </w:rPr>
        <w:t xml:space="preserve"> </w:t>
      </w:r>
      <w:r w:rsidR="00033D0F">
        <w:rPr>
          <w:i/>
          <w:position w:val="1"/>
        </w:rPr>
        <w:t>–</w:t>
      </w:r>
      <w:r w:rsidR="00033D0F">
        <w:rPr>
          <w:i/>
          <w:spacing w:val="-2"/>
          <w:position w:val="1"/>
        </w:rPr>
        <w:t xml:space="preserve"> </w:t>
      </w:r>
      <w:r w:rsidR="00033D0F">
        <w:rPr>
          <w:i/>
          <w:position w:val="1"/>
        </w:rPr>
        <w:t>China)</w:t>
      </w:r>
      <w:r w:rsidR="00033D0F">
        <w:rPr>
          <w:position w:val="1"/>
        </w:rPr>
        <w:t>, the</w:t>
      </w:r>
      <w:r w:rsidR="00033D0F">
        <w:rPr>
          <w:spacing w:val="-7"/>
          <w:position w:val="1"/>
        </w:rPr>
        <w:t xml:space="preserve"> </w:t>
      </w:r>
      <w:r w:rsidR="00033D0F">
        <w:rPr>
          <w:position w:val="1"/>
        </w:rPr>
        <w:t>Appellate</w:t>
      </w:r>
      <w:r w:rsidR="00033D0F">
        <w:rPr>
          <w:spacing w:val="-2"/>
          <w:position w:val="1"/>
        </w:rPr>
        <w:t xml:space="preserve"> </w:t>
      </w:r>
      <w:r w:rsidR="00033D0F">
        <w:rPr>
          <w:position w:val="1"/>
        </w:rPr>
        <w:t>Body</w:t>
      </w:r>
      <w:r w:rsidR="00033D0F">
        <w:rPr>
          <w:spacing w:val="-1"/>
          <w:position w:val="1"/>
        </w:rPr>
        <w:t xml:space="preserve"> </w:t>
      </w:r>
      <w:r w:rsidR="00033D0F">
        <w:rPr>
          <w:position w:val="1"/>
        </w:rPr>
        <w:t>further</w:t>
      </w:r>
      <w:r w:rsidR="00033D0F">
        <w:rPr>
          <w:spacing w:val="-5"/>
          <w:position w:val="1"/>
        </w:rPr>
        <w:t xml:space="preserve"> </w:t>
      </w:r>
      <w:r w:rsidR="00033D0F">
        <w:rPr>
          <w:position w:val="1"/>
        </w:rPr>
        <w:t xml:space="preserve">cautioned </w:t>
      </w:r>
      <w:r w:rsidR="00033D0F">
        <w:t>against defining the domestic industry in a way that would include predominantly those domestic producers that consider themselves to be injured and thus willing to be part of an injury</w:t>
      </w:r>
      <w:r w:rsidR="00033D0F">
        <w:rPr>
          <w:spacing w:val="40"/>
        </w:rPr>
        <w:t xml:space="preserve"> </w:t>
      </w:r>
      <w:r w:rsidR="00033D0F">
        <w:t>sample.</w:t>
      </w:r>
      <w:hyperlink w:anchor="_bookmark687" w:history="1">
        <w:r w:rsidR="00033D0F">
          <w:rPr>
            <w:vertAlign w:val="superscript"/>
          </w:rPr>
          <w:t>574</w:t>
        </w:r>
      </w:hyperlink>
      <w:r w:rsidR="00033D0F">
        <w:rPr>
          <w:spacing w:val="40"/>
        </w:rPr>
        <w:t xml:space="preserve"> </w:t>
      </w:r>
      <w:r w:rsidR="00033D0F">
        <w:t>The</w:t>
      </w:r>
      <w:r w:rsidR="00033D0F">
        <w:rPr>
          <w:spacing w:val="40"/>
        </w:rPr>
        <w:t xml:space="preserve"> </w:t>
      </w:r>
      <w:r w:rsidR="00033D0F">
        <w:t>Appellate</w:t>
      </w:r>
      <w:r w:rsidR="00033D0F">
        <w:rPr>
          <w:spacing w:val="40"/>
        </w:rPr>
        <w:t xml:space="preserve"> </w:t>
      </w:r>
      <w:r w:rsidR="00033D0F">
        <w:t>Body</w:t>
      </w:r>
      <w:r w:rsidR="00033D0F">
        <w:rPr>
          <w:spacing w:val="40"/>
        </w:rPr>
        <w:t xml:space="preserve"> </w:t>
      </w:r>
      <w:r w:rsidR="00033D0F">
        <w:t>recalled</w:t>
      </w:r>
      <w:r w:rsidR="00033D0F">
        <w:rPr>
          <w:spacing w:val="40"/>
        </w:rPr>
        <w:t xml:space="preserve"> </w:t>
      </w:r>
      <w:r w:rsidR="00033D0F">
        <w:t>that</w:t>
      </w:r>
      <w:r w:rsidR="00033D0F">
        <w:rPr>
          <w:spacing w:val="40"/>
        </w:rPr>
        <w:t xml:space="preserve"> </w:t>
      </w:r>
      <w:r w:rsidR="00033D0F">
        <w:t>an</w:t>
      </w:r>
      <w:r w:rsidR="00033D0F">
        <w:rPr>
          <w:spacing w:val="40"/>
        </w:rPr>
        <w:t xml:space="preserve"> </w:t>
      </w:r>
      <w:r w:rsidR="00033D0F">
        <w:t>"'objective</w:t>
      </w:r>
      <w:r w:rsidR="00033D0F">
        <w:rPr>
          <w:spacing w:val="40"/>
        </w:rPr>
        <w:t xml:space="preserve"> </w:t>
      </w:r>
      <w:r w:rsidR="00033D0F">
        <w:t>examination'</w:t>
      </w:r>
      <w:r w:rsidR="00033D0F">
        <w:rPr>
          <w:spacing w:val="40"/>
        </w:rPr>
        <w:t xml:space="preserve"> </w:t>
      </w:r>
      <w:r w:rsidR="00033D0F">
        <w:t>under Article</w:t>
      </w:r>
      <w:r w:rsidR="00033D0F">
        <w:rPr>
          <w:spacing w:val="-2"/>
        </w:rPr>
        <w:t xml:space="preserve"> </w:t>
      </w:r>
      <w:r w:rsidR="00033D0F">
        <w:t xml:space="preserve">3.1 requires that the domestic industry, and the effects of dumped imports, 'be investigated in an unbiased manner, without </w:t>
      </w:r>
      <w:proofErr w:type="spellStart"/>
      <w:r w:rsidR="00033D0F">
        <w:t>favouring</w:t>
      </w:r>
      <w:proofErr w:type="spellEnd"/>
      <w:r w:rsidR="00033D0F">
        <w:t xml:space="preserve"> the interests of any interested party, or group of interested parties, in the investigation.'"</w:t>
      </w:r>
      <w:hyperlink w:anchor="_bookmark688" w:history="1">
        <w:r w:rsidR="00033D0F">
          <w:rPr>
            <w:vertAlign w:val="superscript"/>
          </w:rPr>
          <w:t>575</w:t>
        </w:r>
      </w:hyperlink>
    </w:p>
    <w:p w14:paraId="50947353" w14:textId="77777777" w:rsidR="00BD462C" w:rsidRDefault="00BD462C">
      <w:pPr>
        <w:pStyle w:val="BodyText"/>
        <w:spacing w:before="5"/>
        <w:rPr>
          <w:sz w:val="8"/>
        </w:rPr>
      </w:pPr>
    </w:p>
    <w:p w14:paraId="6A190FB7" w14:textId="7D200A9E" w:rsidR="00BD462C" w:rsidRDefault="00602AD3">
      <w:pPr>
        <w:pStyle w:val="BodyText"/>
        <w:spacing w:before="56" w:line="360" w:lineRule="auto"/>
        <w:ind w:left="135" w:right="914" w:hanging="5"/>
        <w:jc w:val="both"/>
      </w:pPr>
      <w:r w:rsidRPr="00602AD3">
        <w:rPr>
          <w:position w:val="1"/>
        </w:rPr>
        <w:t>415.</w:t>
      </w:r>
      <w:r>
        <w:rPr>
          <w:rFonts w:ascii="Times New Roman"/>
          <w:spacing w:val="80"/>
          <w:position w:val="1"/>
          <w:sz w:val="20"/>
        </w:rPr>
        <w:t xml:space="preserve"> </w:t>
      </w:r>
      <w:r w:rsidR="00033D0F">
        <w:rPr>
          <w:position w:val="1"/>
        </w:rPr>
        <w:t>In</w:t>
      </w:r>
      <w:r w:rsidR="00033D0F">
        <w:rPr>
          <w:spacing w:val="-10"/>
          <w:position w:val="1"/>
        </w:rPr>
        <w:t xml:space="preserve"> </w:t>
      </w:r>
      <w:r w:rsidR="00033D0F">
        <w:rPr>
          <w:position w:val="1"/>
        </w:rPr>
        <w:t>the</w:t>
      </w:r>
      <w:r w:rsidR="00033D0F">
        <w:rPr>
          <w:spacing w:val="-8"/>
          <w:position w:val="1"/>
        </w:rPr>
        <w:t xml:space="preserve"> </w:t>
      </w:r>
      <w:r w:rsidR="00033D0F">
        <w:rPr>
          <w:position w:val="1"/>
        </w:rPr>
        <w:t>circumstances</w:t>
      </w:r>
      <w:r w:rsidR="00033D0F">
        <w:rPr>
          <w:spacing w:val="-6"/>
          <w:position w:val="1"/>
        </w:rPr>
        <w:t xml:space="preserve"> </w:t>
      </w:r>
      <w:r w:rsidR="00033D0F">
        <w:rPr>
          <w:position w:val="1"/>
        </w:rPr>
        <w:t>of</w:t>
      </w:r>
      <w:r w:rsidR="00033D0F">
        <w:rPr>
          <w:spacing w:val="-10"/>
          <w:position w:val="1"/>
        </w:rPr>
        <w:t xml:space="preserve"> </w:t>
      </w:r>
      <w:r w:rsidR="00033D0F">
        <w:rPr>
          <w:position w:val="1"/>
        </w:rPr>
        <w:t>the</w:t>
      </w:r>
      <w:r w:rsidR="00033D0F">
        <w:rPr>
          <w:spacing w:val="-8"/>
          <w:position w:val="1"/>
        </w:rPr>
        <w:t xml:space="preserve"> </w:t>
      </w:r>
      <w:r w:rsidR="00033D0F">
        <w:rPr>
          <w:position w:val="1"/>
        </w:rPr>
        <w:t>investigation</w:t>
      </w:r>
      <w:r w:rsidR="00033D0F">
        <w:rPr>
          <w:spacing w:val="-10"/>
          <w:position w:val="1"/>
        </w:rPr>
        <w:t xml:space="preserve"> </w:t>
      </w:r>
      <w:r w:rsidR="00033D0F">
        <w:rPr>
          <w:position w:val="1"/>
        </w:rPr>
        <w:t>at</w:t>
      </w:r>
      <w:r w:rsidR="00033D0F">
        <w:rPr>
          <w:spacing w:val="-12"/>
          <w:position w:val="1"/>
        </w:rPr>
        <w:t xml:space="preserve"> </w:t>
      </w:r>
      <w:r w:rsidR="00033D0F">
        <w:rPr>
          <w:position w:val="1"/>
        </w:rPr>
        <w:t>issue</w:t>
      </w:r>
      <w:r w:rsidR="00033D0F">
        <w:rPr>
          <w:spacing w:val="-8"/>
          <w:position w:val="1"/>
        </w:rPr>
        <w:t xml:space="preserve"> </w:t>
      </w:r>
      <w:r w:rsidR="00033D0F">
        <w:rPr>
          <w:position w:val="1"/>
        </w:rPr>
        <w:t>in</w:t>
      </w:r>
      <w:r w:rsidR="00033D0F">
        <w:rPr>
          <w:spacing w:val="-10"/>
          <w:position w:val="1"/>
        </w:rPr>
        <w:t xml:space="preserve"> </w:t>
      </w:r>
      <w:r w:rsidR="00033D0F">
        <w:rPr>
          <w:position w:val="1"/>
        </w:rPr>
        <w:t>this</w:t>
      </w:r>
      <w:r w:rsidR="00033D0F">
        <w:rPr>
          <w:spacing w:val="-7"/>
          <w:position w:val="1"/>
        </w:rPr>
        <w:t xml:space="preserve"> </w:t>
      </w:r>
      <w:r w:rsidR="00033D0F">
        <w:rPr>
          <w:position w:val="1"/>
        </w:rPr>
        <w:t>dispute,</w:t>
      </w:r>
      <w:r w:rsidR="00033D0F">
        <w:rPr>
          <w:spacing w:val="-6"/>
          <w:position w:val="1"/>
        </w:rPr>
        <w:t xml:space="preserve"> </w:t>
      </w:r>
      <w:r w:rsidR="00033D0F">
        <w:rPr>
          <w:position w:val="1"/>
        </w:rPr>
        <w:t>unlike</w:t>
      </w:r>
      <w:r w:rsidR="00033D0F">
        <w:rPr>
          <w:spacing w:val="-8"/>
          <w:position w:val="1"/>
        </w:rPr>
        <w:t xml:space="preserve"> </w:t>
      </w:r>
      <w:r w:rsidR="00033D0F">
        <w:rPr>
          <w:position w:val="1"/>
        </w:rPr>
        <w:t>those</w:t>
      </w:r>
      <w:r w:rsidR="00033D0F">
        <w:rPr>
          <w:spacing w:val="-12"/>
          <w:position w:val="1"/>
        </w:rPr>
        <w:t xml:space="preserve"> </w:t>
      </w:r>
      <w:r w:rsidR="00033D0F">
        <w:rPr>
          <w:position w:val="1"/>
        </w:rPr>
        <w:t>that</w:t>
      </w:r>
      <w:r w:rsidR="00033D0F">
        <w:rPr>
          <w:spacing w:val="-8"/>
          <w:position w:val="1"/>
        </w:rPr>
        <w:t xml:space="preserve"> </w:t>
      </w:r>
      <w:r w:rsidR="00033D0F">
        <w:rPr>
          <w:position w:val="1"/>
        </w:rPr>
        <w:t xml:space="preserve">the </w:t>
      </w:r>
      <w:r w:rsidR="00033D0F">
        <w:t>Appellate</w:t>
      </w:r>
      <w:r w:rsidR="00033D0F">
        <w:rPr>
          <w:spacing w:val="-2"/>
        </w:rPr>
        <w:t xml:space="preserve"> </w:t>
      </w:r>
      <w:r w:rsidR="00033D0F">
        <w:t>Body</w:t>
      </w:r>
      <w:r w:rsidR="00033D0F">
        <w:rPr>
          <w:spacing w:val="-1"/>
        </w:rPr>
        <w:t xml:space="preserve"> </w:t>
      </w:r>
      <w:r w:rsidR="00033D0F">
        <w:t>was</w:t>
      </w:r>
      <w:r w:rsidR="00033D0F">
        <w:rPr>
          <w:spacing w:val="-1"/>
        </w:rPr>
        <w:t xml:space="preserve"> </w:t>
      </w:r>
      <w:r w:rsidR="00033D0F">
        <w:t>called</w:t>
      </w:r>
      <w:r w:rsidR="00033D0F">
        <w:rPr>
          <w:spacing w:val="-4"/>
        </w:rPr>
        <w:t xml:space="preserve"> </w:t>
      </w:r>
      <w:r w:rsidR="00033D0F">
        <w:t>to</w:t>
      </w:r>
      <w:r w:rsidR="00033D0F">
        <w:rPr>
          <w:spacing w:val="-5"/>
        </w:rPr>
        <w:t xml:space="preserve"> </w:t>
      </w:r>
      <w:r w:rsidR="00033D0F">
        <w:t>consider</w:t>
      </w:r>
      <w:r w:rsidR="00033D0F">
        <w:rPr>
          <w:spacing w:val="-5"/>
        </w:rPr>
        <w:t xml:space="preserve"> </w:t>
      </w:r>
      <w:r w:rsidR="00033D0F">
        <w:t>in</w:t>
      </w:r>
      <w:r w:rsidR="00033D0F">
        <w:rPr>
          <w:spacing w:val="-4"/>
        </w:rPr>
        <w:t xml:space="preserve"> </w:t>
      </w:r>
      <w:r w:rsidR="00033D0F">
        <w:t>the</w:t>
      </w:r>
      <w:r w:rsidR="00033D0F">
        <w:rPr>
          <w:spacing w:val="-3"/>
        </w:rPr>
        <w:t xml:space="preserve"> </w:t>
      </w:r>
      <w:r w:rsidR="00033D0F">
        <w:t>case</w:t>
      </w:r>
      <w:r w:rsidR="00033D0F">
        <w:rPr>
          <w:spacing w:val="-6"/>
        </w:rPr>
        <w:t xml:space="preserve"> </w:t>
      </w:r>
      <w:r w:rsidR="00033D0F">
        <w:t>referenced</w:t>
      </w:r>
      <w:r w:rsidR="00033D0F">
        <w:rPr>
          <w:spacing w:val="-5"/>
        </w:rPr>
        <w:t xml:space="preserve"> </w:t>
      </w:r>
      <w:r w:rsidR="00033D0F">
        <w:t>above, MOFCOM</w:t>
      </w:r>
      <w:r w:rsidR="00033D0F">
        <w:rPr>
          <w:spacing w:val="-2"/>
        </w:rPr>
        <w:t xml:space="preserve"> </w:t>
      </w:r>
      <w:r w:rsidR="00033D0F">
        <w:t>did</w:t>
      </w:r>
      <w:r w:rsidR="00033D0F">
        <w:rPr>
          <w:spacing w:val="-4"/>
        </w:rPr>
        <w:t xml:space="preserve"> </w:t>
      </w:r>
      <w:r w:rsidR="00033D0F">
        <w:t>not</w:t>
      </w:r>
      <w:r w:rsidR="00033D0F">
        <w:rPr>
          <w:spacing w:val="-2"/>
        </w:rPr>
        <w:t xml:space="preserve"> </w:t>
      </w:r>
      <w:r w:rsidR="00033D0F">
        <w:t>use</w:t>
      </w:r>
      <w:r w:rsidR="00033D0F">
        <w:rPr>
          <w:spacing w:val="-2"/>
        </w:rPr>
        <w:t xml:space="preserve"> </w:t>
      </w:r>
      <w:r w:rsidR="00033D0F">
        <w:t>an express sampling method for its injury and causation analyses. Nonetheless, its decision to define</w:t>
      </w:r>
      <w:r w:rsidR="00033D0F">
        <w:rPr>
          <w:spacing w:val="-3"/>
        </w:rPr>
        <w:t xml:space="preserve"> </w:t>
      </w:r>
      <w:r w:rsidR="00033D0F">
        <w:t>the domestic</w:t>
      </w:r>
      <w:r w:rsidR="00033D0F">
        <w:rPr>
          <w:spacing w:val="-4"/>
        </w:rPr>
        <w:t xml:space="preserve"> </w:t>
      </w:r>
      <w:r w:rsidR="00033D0F">
        <w:t>industry</w:t>
      </w:r>
      <w:r w:rsidR="00033D0F">
        <w:rPr>
          <w:spacing w:val="-1"/>
        </w:rPr>
        <w:t xml:space="preserve"> </w:t>
      </w:r>
      <w:r w:rsidR="00033D0F">
        <w:t>as the 21 producers to</w:t>
      </w:r>
      <w:r w:rsidR="00033D0F">
        <w:rPr>
          <w:spacing w:val="-5"/>
        </w:rPr>
        <w:t xml:space="preserve"> </w:t>
      </w:r>
      <w:r w:rsidR="00033D0F">
        <w:t>the</w:t>
      </w:r>
      <w:r w:rsidR="00033D0F">
        <w:rPr>
          <w:spacing w:val="-2"/>
        </w:rPr>
        <w:t xml:space="preserve"> </w:t>
      </w:r>
      <w:r w:rsidR="00033D0F">
        <w:t>exclusion of the</w:t>
      </w:r>
      <w:r w:rsidR="00033D0F">
        <w:rPr>
          <w:spacing w:val="-2"/>
        </w:rPr>
        <w:t xml:space="preserve"> </w:t>
      </w:r>
      <w:r w:rsidR="00033D0F">
        <w:t>"hundreds"</w:t>
      </w:r>
      <w:r w:rsidR="00033D0F">
        <w:rPr>
          <w:spacing w:val="-3"/>
        </w:rPr>
        <w:t xml:space="preserve"> </w:t>
      </w:r>
      <w:r w:rsidR="00033D0F">
        <w:t xml:space="preserve">of other domestic producers introduced a comparable risk of distortion. Further, by limiting its definition to the 21 domestic producers, MOFCOM failed to base its injury determination on "wide-ranging information regarding domestic producers" as required by the Appellate </w:t>
      </w:r>
      <w:r w:rsidR="00033D0F">
        <w:rPr>
          <w:spacing w:val="-2"/>
        </w:rPr>
        <w:t>Body.</w:t>
      </w:r>
      <w:hyperlink w:anchor="_bookmark689" w:history="1">
        <w:r w:rsidR="00033D0F">
          <w:rPr>
            <w:spacing w:val="-2"/>
            <w:vertAlign w:val="superscript"/>
          </w:rPr>
          <w:t>576</w:t>
        </w:r>
      </w:hyperlink>
    </w:p>
    <w:p w14:paraId="5E7CD424" w14:textId="77777777" w:rsidR="00BD462C" w:rsidRDefault="00BD462C">
      <w:pPr>
        <w:pStyle w:val="BodyText"/>
        <w:spacing w:before="8"/>
        <w:rPr>
          <w:sz w:val="8"/>
        </w:rPr>
      </w:pPr>
    </w:p>
    <w:p w14:paraId="75E36229" w14:textId="47200C76" w:rsidR="00BD462C" w:rsidRDefault="00735BCE">
      <w:pPr>
        <w:pStyle w:val="BodyText"/>
        <w:spacing w:before="56" w:line="355" w:lineRule="auto"/>
        <w:ind w:left="135" w:right="923" w:hanging="5"/>
      </w:pPr>
      <w:r w:rsidRPr="00735BCE">
        <w:rPr>
          <w:position w:val="1"/>
        </w:rPr>
        <w:t>416.</w:t>
      </w:r>
      <w:r>
        <w:rPr>
          <w:rFonts w:ascii="Times New Roman"/>
          <w:spacing w:val="80"/>
          <w:position w:val="1"/>
          <w:sz w:val="20"/>
        </w:rPr>
        <w:t xml:space="preserve"> </w:t>
      </w:r>
      <w:r w:rsidR="00033D0F">
        <w:rPr>
          <w:position w:val="1"/>
        </w:rPr>
        <w:t>In</w:t>
      </w:r>
      <w:r w:rsidR="00033D0F">
        <w:rPr>
          <w:spacing w:val="63"/>
          <w:position w:val="1"/>
        </w:rPr>
        <w:t xml:space="preserve"> </w:t>
      </w:r>
      <w:r w:rsidR="00033D0F">
        <w:rPr>
          <w:position w:val="1"/>
        </w:rPr>
        <w:t>response,</w:t>
      </w:r>
      <w:r w:rsidR="00033D0F">
        <w:rPr>
          <w:spacing w:val="66"/>
          <w:position w:val="1"/>
        </w:rPr>
        <w:t xml:space="preserve"> </w:t>
      </w:r>
      <w:r w:rsidR="00033D0F">
        <w:rPr>
          <w:position w:val="1"/>
        </w:rPr>
        <w:t>China</w:t>
      </w:r>
      <w:r w:rsidR="00033D0F">
        <w:rPr>
          <w:spacing w:val="64"/>
          <w:position w:val="1"/>
        </w:rPr>
        <w:t xml:space="preserve"> </w:t>
      </w:r>
      <w:r w:rsidR="00033D0F">
        <w:rPr>
          <w:position w:val="1"/>
        </w:rPr>
        <w:t>argues</w:t>
      </w:r>
      <w:r w:rsidR="00033D0F">
        <w:rPr>
          <w:spacing w:val="66"/>
          <w:position w:val="1"/>
        </w:rPr>
        <w:t xml:space="preserve"> </w:t>
      </w:r>
      <w:r w:rsidR="00033D0F">
        <w:rPr>
          <w:position w:val="1"/>
        </w:rPr>
        <w:t>that</w:t>
      </w:r>
      <w:r w:rsidR="00033D0F">
        <w:rPr>
          <w:spacing w:val="65"/>
          <w:position w:val="1"/>
        </w:rPr>
        <w:t xml:space="preserve"> </w:t>
      </w:r>
      <w:r w:rsidR="00033D0F">
        <w:rPr>
          <w:position w:val="1"/>
        </w:rPr>
        <w:t>its</w:t>
      </w:r>
      <w:r w:rsidR="00033D0F">
        <w:rPr>
          <w:spacing w:val="66"/>
          <w:position w:val="1"/>
        </w:rPr>
        <w:t xml:space="preserve"> </w:t>
      </w:r>
      <w:r w:rsidR="00033D0F">
        <w:rPr>
          <w:position w:val="1"/>
        </w:rPr>
        <w:t>definition</w:t>
      </w:r>
      <w:r w:rsidR="00033D0F">
        <w:rPr>
          <w:spacing w:val="63"/>
          <w:position w:val="1"/>
        </w:rPr>
        <w:t xml:space="preserve"> </w:t>
      </w:r>
      <w:r w:rsidR="00033D0F">
        <w:rPr>
          <w:position w:val="1"/>
        </w:rPr>
        <w:t>of</w:t>
      </w:r>
      <w:r w:rsidR="00033D0F">
        <w:rPr>
          <w:spacing w:val="63"/>
          <w:position w:val="1"/>
        </w:rPr>
        <w:t xml:space="preserve"> </w:t>
      </w:r>
      <w:r w:rsidR="00033D0F">
        <w:rPr>
          <w:position w:val="1"/>
        </w:rPr>
        <w:t>the</w:t>
      </w:r>
      <w:r w:rsidR="00033D0F">
        <w:rPr>
          <w:spacing w:val="64"/>
          <w:position w:val="1"/>
        </w:rPr>
        <w:t xml:space="preserve"> </w:t>
      </w:r>
      <w:r w:rsidR="00033D0F">
        <w:rPr>
          <w:position w:val="1"/>
        </w:rPr>
        <w:t>domestic</w:t>
      </w:r>
      <w:r w:rsidR="00033D0F">
        <w:rPr>
          <w:spacing w:val="63"/>
          <w:position w:val="1"/>
        </w:rPr>
        <w:t xml:space="preserve"> </w:t>
      </w:r>
      <w:r w:rsidR="00033D0F">
        <w:rPr>
          <w:position w:val="1"/>
        </w:rPr>
        <w:t>industry</w:t>
      </w:r>
      <w:r w:rsidR="00033D0F">
        <w:rPr>
          <w:spacing w:val="66"/>
          <w:position w:val="1"/>
        </w:rPr>
        <w:t xml:space="preserve"> </w:t>
      </w:r>
      <w:r w:rsidR="00033D0F">
        <w:rPr>
          <w:position w:val="1"/>
        </w:rPr>
        <w:t>did</w:t>
      </w:r>
      <w:r w:rsidR="00033D0F">
        <w:rPr>
          <w:spacing w:val="63"/>
          <w:position w:val="1"/>
        </w:rPr>
        <w:t xml:space="preserve"> </w:t>
      </w:r>
      <w:r w:rsidR="00033D0F">
        <w:rPr>
          <w:position w:val="1"/>
        </w:rPr>
        <w:t xml:space="preserve">not </w:t>
      </w:r>
      <w:r w:rsidR="00033D0F">
        <w:t>introduce</w:t>
      </w:r>
      <w:r w:rsidR="00033D0F">
        <w:rPr>
          <w:spacing w:val="40"/>
        </w:rPr>
        <w:t xml:space="preserve"> </w:t>
      </w:r>
      <w:r w:rsidR="00033D0F">
        <w:t>material</w:t>
      </w:r>
      <w:r w:rsidR="00033D0F">
        <w:rPr>
          <w:spacing w:val="42"/>
        </w:rPr>
        <w:t xml:space="preserve"> </w:t>
      </w:r>
      <w:r w:rsidR="00033D0F">
        <w:t>risks</w:t>
      </w:r>
      <w:r w:rsidR="00033D0F">
        <w:rPr>
          <w:spacing w:val="41"/>
        </w:rPr>
        <w:t xml:space="preserve"> </w:t>
      </w:r>
      <w:r w:rsidR="00033D0F">
        <w:t>of</w:t>
      </w:r>
      <w:r w:rsidR="00033D0F">
        <w:rPr>
          <w:spacing w:val="39"/>
        </w:rPr>
        <w:t xml:space="preserve"> </w:t>
      </w:r>
      <w:r w:rsidR="00033D0F">
        <w:t>distortion</w:t>
      </w:r>
      <w:r w:rsidR="00033D0F">
        <w:rPr>
          <w:spacing w:val="38"/>
        </w:rPr>
        <w:t xml:space="preserve"> </w:t>
      </w:r>
      <w:r w:rsidR="00033D0F">
        <w:t>because</w:t>
      </w:r>
      <w:r w:rsidR="00033D0F">
        <w:rPr>
          <w:spacing w:val="41"/>
        </w:rPr>
        <w:t xml:space="preserve"> </w:t>
      </w:r>
      <w:r w:rsidR="00033D0F">
        <w:t>it</w:t>
      </w:r>
      <w:r w:rsidR="00033D0F">
        <w:rPr>
          <w:spacing w:val="35"/>
        </w:rPr>
        <w:t xml:space="preserve"> </w:t>
      </w:r>
      <w:r w:rsidR="00033D0F">
        <w:t>did</w:t>
      </w:r>
      <w:r w:rsidR="00033D0F">
        <w:rPr>
          <w:spacing w:val="38"/>
        </w:rPr>
        <w:t xml:space="preserve"> </w:t>
      </w:r>
      <w:r w:rsidR="00033D0F">
        <w:t>not</w:t>
      </w:r>
      <w:r w:rsidR="00033D0F">
        <w:rPr>
          <w:spacing w:val="41"/>
        </w:rPr>
        <w:t xml:space="preserve"> </w:t>
      </w:r>
      <w:r w:rsidR="00033D0F">
        <w:rPr>
          <w:i/>
        </w:rPr>
        <w:t>actively</w:t>
      </w:r>
      <w:hyperlink w:anchor="_bookmark690" w:history="1">
        <w:r w:rsidR="00033D0F">
          <w:rPr>
            <w:vertAlign w:val="superscript"/>
          </w:rPr>
          <w:t>577</w:t>
        </w:r>
      </w:hyperlink>
      <w:r w:rsidR="00033D0F">
        <w:rPr>
          <w:spacing w:val="40"/>
        </w:rPr>
        <w:t xml:space="preserve"> </w:t>
      </w:r>
      <w:r w:rsidR="00033D0F">
        <w:t>exclude</w:t>
      </w:r>
      <w:r w:rsidR="00033D0F">
        <w:rPr>
          <w:spacing w:val="39"/>
        </w:rPr>
        <w:t xml:space="preserve"> </w:t>
      </w:r>
      <w:r w:rsidR="00033D0F">
        <w:t>any</w:t>
      </w:r>
      <w:r w:rsidR="00033D0F">
        <w:rPr>
          <w:spacing w:val="42"/>
        </w:rPr>
        <w:t xml:space="preserve"> </w:t>
      </w:r>
      <w:r w:rsidR="00033D0F">
        <w:rPr>
          <w:spacing w:val="-2"/>
        </w:rPr>
        <w:t>domestic</w:t>
      </w:r>
    </w:p>
    <w:p w14:paraId="2F39AD1E" w14:textId="154C9F12" w:rsidR="00BD462C" w:rsidRDefault="00752F01">
      <w:pPr>
        <w:pStyle w:val="BodyText"/>
        <w:rPr>
          <w:sz w:val="20"/>
        </w:rPr>
      </w:pPr>
      <w:r>
        <w:rPr>
          <w:noProof/>
        </w:rPr>
        <mc:AlternateContent>
          <mc:Choice Requires="wps">
            <w:drawing>
              <wp:anchor distT="0" distB="0" distL="0" distR="0" simplePos="0" relativeHeight="488290816" behindDoc="1" locked="0" layoutInCell="1" allowOverlap="1" wp14:anchorId="62D7B711" wp14:editId="377F34C8">
                <wp:simplePos x="0" y="0"/>
                <wp:positionH relativeFrom="page">
                  <wp:posOffset>812800</wp:posOffset>
                </wp:positionH>
                <wp:positionV relativeFrom="paragraph">
                  <wp:posOffset>260350</wp:posOffset>
                </wp:positionV>
                <wp:extent cx="1828800" cy="8890"/>
                <wp:effectExtent l="0" t="0" r="0" b="0"/>
                <wp:wrapTopAndBottom/>
                <wp:docPr id="269" name="docshape4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6D06D9" id="docshape414" o:spid="_x0000_s1026" alt="&quot;&quot;" style="position:absolute;margin-left:64pt;margin-top:20.5pt;width:2in;height:.7pt;z-index:-15025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" fillcolor="black" stroked="f">
                <w10:wrap type="topAndBottom" anchorx="page"/>
              </v:rect>
            </w:pict>
          </mc:Fallback>
        </mc:AlternateContent>
      </w:r>
    </w:p>
    <w:p w14:paraId="52B312DE" w14:textId="3BD92AD2" w:rsidR="00BD462C" w:rsidRDefault="00BD462C">
      <w:pPr>
        <w:pStyle w:val="BodyText"/>
        <w:spacing w:before="5"/>
        <w:rPr>
          <w:sz w:val="13"/>
        </w:rPr>
      </w:pPr>
    </w:p>
    <w:p w14:paraId="3AE7A69D" w14:textId="77777777" w:rsidR="00BD462C" w:rsidRDefault="00033D0F">
      <w:pPr>
        <w:spacing w:before="112"/>
        <w:ind w:left="136" w:right="923"/>
        <w:rPr>
          <w:sz w:val="18"/>
        </w:rPr>
      </w:pPr>
      <w:r>
        <w:rPr>
          <w:sz w:val="18"/>
        </w:rPr>
        <w:t>the</w:t>
      </w:r>
      <w:r>
        <w:rPr>
          <w:spacing w:val="-2"/>
          <w:sz w:val="18"/>
        </w:rPr>
        <w:t xml:space="preserve"> </w:t>
      </w:r>
      <w:r>
        <w:rPr>
          <w:sz w:val="18"/>
        </w:rPr>
        <w:t>KTC</w:t>
      </w:r>
      <w:r>
        <w:rPr>
          <w:spacing w:val="-4"/>
          <w:sz w:val="18"/>
        </w:rPr>
        <w:t xml:space="preserve"> </w:t>
      </w:r>
      <w:r>
        <w:rPr>
          <w:sz w:val="18"/>
        </w:rPr>
        <w:t>were</w:t>
      </w:r>
      <w:r>
        <w:rPr>
          <w:spacing w:val="-2"/>
          <w:sz w:val="18"/>
        </w:rPr>
        <w:t xml:space="preserve"> </w:t>
      </w:r>
      <w:r>
        <w:rPr>
          <w:sz w:val="18"/>
        </w:rPr>
        <w:t>indeed representative, and whether the</w:t>
      </w:r>
      <w:r>
        <w:rPr>
          <w:spacing w:val="-2"/>
          <w:sz w:val="18"/>
        </w:rPr>
        <w:t xml:space="preserve"> </w:t>
      </w:r>
      <w:r>
        <w:rPr>
          <w:sz w:val="18"/>
        </w:rPr>
        <w:t>Korean</w:t>
      </w:r>
      <w:r>
        <w:rPr>
          <w:spacing w:val="-3"/>
          <w:sz w:val="18"/>
        </w:rPr>
        <w:t xml:space="preserve"> </w:t>
      </w:r>
      <w:r>
        <w:rPr>
          <w:sz w:val="18"/>
        </w:rPr>
        <w:t>investigating authorities acted in a manner</w:t>
      </w:r>
      <w:r>
        <w:rPr>
          <w:spacing w:val="-4"/>
          <w:sz w:val="18"/>
        </w:rPr>
        <w:t xml:space="preserve"> </w:t>
      </w:r>
      <w:r>
        <w:rPr>
          <w:sz w:val="18"/>
        </w:rPr>
        <w:t>that gave rise</w:t>
      </w:r>
      <w:r>
        <w:rPr>
          <w:spacing w:val="-2"/>
          <w:sz w:val="18"/>
        </w:rPr>
        <w:t xml:space="preserve"> </w:t>
      </w:r>
      <w:r>
        <w:rPr>
          <w:sz w:val="18"/>
        </w:rPr>
        <w:t>to a material risk of distortion").</w:t>
      </w:r>
    </w:p>
    <w:p w14:paraId="63EFB850" w14:textId="77777777" w:rsidR="00BD462C" w:rsidRDefault="00033D0F">
      <w:pPr>
        <w:spacing w:line="217" w:lineRule="exact"/>
        <w:ind w:left="135"/>
        <w:rPr>
          <w:sz w:val="18"/>
        </w:rPr>
      </w:pPr>
      <w:bookmarkStart w:id="800" w:name="_bookmark686"/>
      <w:bookmarkEnd w:id="800"/>
      <w:r>
        <w:rPr>
          <w:position w:val="5"/>
          <w:sz w:val="12"/>
        </w:rPr>
        <w:t>573</w:t>
      </w:r>
      <w:r>
        <w:rPr>
          <w:spacing w:val="12"/>
          <w:position w:val="5"/>
          <w:sz w:val="12"/>
        </w:rPr>
        <w:t xml:space="preserve"> </w:t>
      </w:r>
      <w:r>
        <w:rPr>
          <w:sz w:val="18"/>
        </w:rPr>
        <w:t>Australia's</w:t>
      </w:r>
      <w:r>
        <w:rPr>
          <w:spacing w:val="-6"/>
          <w:sz w:val="18"/>
        </w:rPr>
        <w:t xml:space="preserve"> </w:t>
      </w:r>
      <w:r>
        <w:rPr>
          <w:sz w:val="18"/>
        </w:rPr>
        <w:t>first</w:t>
      </w:r>
      <w:r>
        <w:rPr>
          <w:spacing w:val="-6"/>
          <w:sz w:val="18"/>
        </w:rPr>
        <w:t xml:space="preserve"> </w:t>
      </w:r>
      <w:r>
        <w:rPr>
          <w:sz w:val="18"/>
        </w:rPr>
        <w:t>written</w:t>
      </w:r>
      <w:r>
        <w:rPr>
          <w:spacing w:val="-2"/>
          <w:sz w:val="18"/>
        </w:rPr>
        <w:t xml:space="preserve"> </w:t>
      </w:r>
      <w:r>
        <w:rPr>
          <w:sz w:val="18"/>
        </w:rPr>
        <w:t>submission, para.</w:t>
      </w:r>
      <w:r>
        <w:rPr>
          <w:spacing w:val="-5"/>
          <w:sz w:val="18"/>
        </w:rPr>
        <w:t xml:space="preserve"> </w:t>
      </w:r>
      <w:r>
        <w:rPr>
          <w:spacing w:val="-4"/>
          <w:sz w:val="18"/>
        </w:rPr>
        <w:t>535.</w:t>
      </w:r>
    </w:p>
    <w:p w14:paraId="7E7EC8C0" w14:textId="77777777" w:rsidR="00BD462C" w:rsidRDefault="00033D0F">
      <w:pPr>
        <w:spacing w:before="1"/>
        <w:ind w:left="135"/>
        <w:rPr>
          <w:sz w:val="18"/>
        </w:rPr>
      </w:pPr>
      <w:bookmarkStart w:id="801" w:name="_bookmark687"/>
      <w:bookmarkEnd w:id="801"/>
      <w:r>
        <w:rPr>
          <w:position w:val="5"/>
          <w:sz w:val="12"/>
        </w:rPr>
        <w:t>574</w:t>
      </w:r>
      <w:r>
        <w:rPr>
          <w:spacing w:val="15"/>
          <w:position w:val="5"/>
          <w:sz w:val="12"/>
        </w:rPr>
        <w:t xml:space="preserve"> </w:t>
      </w:r>
      <w:r>
        <w:rPr>
          <w:sz w:val="18"/>
        </w:rPr>
        <w:t>Appellate</w:t>
      </w:r>
      <w:r>
        <w:rPr>
          <w:spacing w:val="-8"/>
          <w:sz w:val="18"/>
        </w:rPr>
        <w:t xml:space="preserve"> </w:t>
      </w:r>
      <w:r>
        <w:rPr>
          <w:sz w:val="18"/>
        </w:rPr>
        <w:t>Body</w:t>
      </w:r>
      <w:r>
        <w:rPr>
          <w:spacing w:val="-6"/>
          <w:sz w:val="18"/>
        </w:rPr>
        <w:t xml:space="preserve"> </w:t>
      </w:r>
      <w:r>
        <w:rPr>
          <w:sz w:val="18"/>
        </w:rPr>
        <w:t>Report,</w:t>
      </w:r>
      <w:r>
        <w:rPr>
          <w:spacing w:val="-1"/>
          <w:sz w:val="18"/>
        </w:rPr>
        <w:t xml:space="preserve"> </w:t>
      </w:r>
      <w:r>
        <w:rPr>
          <w:i/>
          <w:sz w:val="18"/>
        </w:rPr>
        <w:t>EC</w:t>
      </w:r>
      <w:r>
        <w:rPr>
          <w:i/>
          <w:spacing w:val="-4"/>
          <w:sz w:val="18"/>
        </w:rPr>
        <w:t xml:space="preserve"> </w:t>
      </w:r>
      <w:r>
        <w:rPr>
          <w:i/>
          <w:sz w:val="18"/>
        </w:rPr>
        <w:t>–</w:t>
      </w:r>
      <w:r>
        <w:rPr>
          <w:i/>
          <w:spacing w:val="1"/>
          <w:sz w:val="18"/>
        </w:rPr>
        <w:t xml:space="preserve"> </w:t>
      </w:r>
      <w:r>
        <w:rPr>
          <w:i/>
          <w:sz w:val="18"/>
        </w:rPr>
        <w:t>Fasteners</w:t>
      </w:r>
      <w:r>
        <w:rPr>
          <w:i/>
          <w:spacing w:val="-4"/>
          <w:sz w:val="18"/>
        </w:rPr>
        <w:t xml:space="preserve"> </w:t>
      </w:r>
      <w:r>
        <w:rPr>
          <w:i/>
          <w:sz w:val="18"/>
        </w:rPr>
        <w:t>(China)</w:t>
      </w:r>
      <w:r>
        <w:rPr>
          <w:i/>
          <w:spacing w:val="-2"/>
          <w:sz w:val="18"/>
        </w:rPr>
        <w:t xml:space="preserve"> </w:t>
      </w:r>
      <w:r>
        <w:rPr>
          <w:i/>
          <w:sz w:val="18"/>
        </w:rPr>
        <w:t>(Article</w:t>
      </w:r>
      <w:r>
        <w:rPr>
          <w:i/>
          <w:spacing w:val="-4"/>
          <w:sz w:val="18"/>
        </w:rPr>
        <w:t xml:space="preserve"> </w:t>
      </w:r>
      <w:r>
        <w:rPr>
          <w:i/>
          <w:sz w:val="18"/>
        </w:rPr>
        <w:t>21.5</w:t>
      </w:r>
      <w:r>
        <w:rPr>
          <w:i/>
          <w:spacing w:val="-6"/>
          <w:sz w:val="18"/>
        </w:rPr>
        <w:t xml:space="preserve"> </w:t>
      </w:r>
      <w:r>
        <w:rPr>
          <w:i/>
          <w:sz w:val="18"/>
        </w:rPr>
        <w:t>–</w:t>
      </w:r>
      <w:r>
        <w:rPr>
          <w:i/>
          <w:spacing w:val="-3"/>
          <w:sz w:val="18"/>
        </w:rPr>
        <w:t xml:space="preserve"> </w:t>
      </w:r>
      <w:r>
        <w:rPr>
          <w:i/>
          <w:sz w:val="18"/>
        </w:rPr>
        <w:t>China)</w:t>
      </w:r>
      <w:r>
        <w:rPr>
          <w:sz w:val="18"/>
        </w:rPr>
        <w:t>,</w:t>
      </w:r>
      <w:r>
        <w:rPr>
          <w:spacing w:val="-2"/>
          <w:sz w:val="18"/>
        </w:rPr>
        <w:t xml:space="preserve"> </w:t>
      </w:r>
      <w:r>
        <w:rPr>
          <w:sz w:val="18"/>
        </w:rPr>
        <w:t>para.</w:t>
      </w:r>
      <w:r>
        <w:rPr>
          <w:spacing w:val="3"/>
          <w:sz w:val="18"/>
        </w:rPr>
        <w:t xml:space="preserve"> </w:t>
      </w:r>
      <w:r>
        <w:rPr>
          <w:spacing w:val="-2"/>
          <w:sz w:val="18"/>
        </w:rPr>
        <w:t>5.319.</w:t>
      </w:r>
    </w:p>
    <w:p w14:paraId="60E858F9" w14:textId="77777777" w:rsidR="00BD462C" w:rsidRDefault="00033D0F">
      <w:pPr>
        <w:spacing w:before="1"/>
        <w:ind w:left="135"/>
        <w:rPr>
          <w:sz w:val="18"/>
        </w:rPr>
      </w:pPr>
      <w:bookmarkStart w:id="802" w:name="_bookmark688"/>
      <w:bookmarkEnd w:id="802"/>
      <w:r>
        <w:rPr>
          <w:position w:val="5"/>
          <w:sz w:val="12"/>
        </w:rPr>
        <w:t>575</w:t>
      </w:r>
      <w:r>
        <w:rPr>
          <w:spacing w:val="15"/>
          <w:position w:val="5"/>
          <w:sz w:val="12"/>
        </w:rPr>
        <w:t xml:space="preserve"> </w:t>
      </w:r>
      <w:r>
        <w:rPr>
          <w:sz w:val="18"/>
        </w:rPr>
        <w:t>Appellate</w:t>
      </w:r>
      <w:r>
        <w:rPr>
          <w:spacing w:val="-8"/>
          <w:sz w:val="18"/>
        </w:rPr>
        <w:t xml:space="preserve"> </w:t>
      </w:r>
      <w:r>
        <w:rPr>
          <w:sz w:val="18"/>
        </w:rPr>
        <w:t>Body</w:t>
      </w:r>
      <w:r>
        <w:rPr>
          <w:spacing w:val="-6"/>
          <w:sz w:val="18"/>
        </w:rPr>
        <w:t xml:space="preserve"> </w:t>
      </w:r>
      <w:r>
        <w:rPr>
          <w:sz w:val="18"/>
        </w:rPr>
        <w:t>Report,</w:t>
      </w:r>
      <w:r>
        <w:rPr>
          <w:spacing w:val="-1"/>
          <w:sz w:val="18"/>
        </w:rPr>
        <w:t xml:space="preserve"> </w:t>
      </w:r>
      <w:r>
        <w:rPr>
          <w:i/>
          <w:sz w:val="18"/>
        </w:rPr>
        <w:t>EC</w:t>
      </w:r>
      <w:r>
        <w:rPr>
          <w:i/>
          <w:spacing w:val="-4"/>
          <w:sz w:val="18"/>
        </w:rPr>
        <w:t xml:space="preserve"> </w:t>
      </w:r>
      <w:r>
        <w:rPr>
          <w:i/>
          <w:sz w:val="18"/>
        </w:rPr>
        <w:t>–</w:t>
      </w:r>
      <w:r>
        <w:rPr>
          <w:i/>
          <w:spacing w:val="1"/>
          <w:sz w:val="18"/>
        </w:rPr>
        <w:t xml:space="preserve"> </w:t>
      </w:r>
      <w:r>
        <w:rPr>
          <w:i/>
          <w:sz w:val="18"/>
        </w:rPr>
        <w:t>Fasteners</w:t>
      </w:r>
      <w:r>
        <w:rPr>
          <w:i/>
          <w:spacing w:val="-4"/>
          <w:sz w:val="18"/>
        </w:rPr>
        <w:t xml:space="preserve"> </w:t>
      </w:r>
      <w:r>
        <w:rPr>
          <w:i/>
          <w:sz w:val="18"/>
        </w:rPr>
        <w:t>(China)</w:t>
      </w:r>
      <w:r>
        <w:rPr>
          <w:i/>
          <w:spacing w:val="-2"/>
          <w:sz w:val="18"/>
        </w:rPr>
        <w:t xml:space="preserve"> </w:t>
      </w:r>
      <w:r>
        <w:rPr>
          <w:i/>
          <w:sz w:val="18"/>
        </w:rPr>
        <w:t>(Article</w:t>
      </w:r>
      <w:r>
        <w:rPr>
          <w:i/>
          <w:spacing w:val="-4"/>
          <w:sz w:val="18"/>
        </w:rPr>
        <w:t xml:space="preserve"> </w:t>
      </w:r>
      <w:r>
        <w:rPr>
          <w:i/>
          <w:sz w:val="18"/>
        </w:rPr>
        <w:t>21.5</w:t>
      </w:r>
      <w:r>
        <w:rPr>
          <w:i/>
          <w:spacing w:val="-6"/>
          <w:sz w:val="18"/>
        </w:rPr>
        <w:t xml:space="preserve"> </w:t>
      </w:r>
      <w:r>
        <w:rPr>
          <w:i/>
          <w:sz w:val="18"/>
        </w:rPr>
        <w:t>–</w:t>
      </w:r>
      <w:r>
        <w:rPr>
          <w:i/>
          <w:spacing w:val="-3"/>
          <w:sz w:val="18"/>
        </w:rPr>
        <w:t xml:space="preserve"> </w:t>
      </w:r>
      <w:r>
        <w:rPr>
          <w:i/>
          <w:sz w:val="18"/>
        </w:rPr>
        <w:t>China)</w:t>
      </w:r>
      <w:r>
        <w:rPr>
          <w:sz w:val="18"/>
        </w:rPr>
        <w:t>,</w:t>
      </w:r>
      <w:r>
        <w:rPr>
          <w:spacing w:val="-2"/>
          <w:sz w:val="18"/>
        </w:rPr>
        <w:t xml:space="preserve"> </w:t>
      </w:r>
      <w:r>
        <w:rPr>
          <w:sz w:val="18"/>
        </w:rPr>
        <w:t>para.</w:t>
      </w:r>
      <w:r>
        <w:rPr>
          <w:spacing w:val="3"/>
          <w:sz w:val="18"/>
        </w:rPr>
        <w:t xml:space="preserve"> </w:t>
      </w:r>
      <w:r>
        <w:rPr>
          <w:spacing w:val="-2"/>
          <w:sz w:val="18"/>
        </w:rPr>
        <w:t>5.319.</w:t>
      </w:r>
    </w:p>
    <w:p w14:paraId="4CAA1F99" w14:textId="77777777" w:rsidR="00BD462C" w:rsidRDefault="00033D0F">
      <w:pPr>
        <w:spacing w:before="1"/>
        <w:ind w:left="135"/>
        <w:rPr>
          <w:sz w:val="18"/>
        </w:rPr>
      </w:pPr>
      <w:bookmarkStart w:id="803" w:name="_bookmark689"/>
      <w:bookmarkEnd w:id="803"/>
      <w:r>
        <w:rPr>
          <w:position w:val="5"/>
          <w:sz w:val="12"/>
        </w:rPr>
        <w:t>576</w:t>
      </w:r>
      <w:r>
        <w:rPr>
          <w:spacing w:val="14"/>
          <w:position w:val="5"/>
          <w:sz w:val="12"/>
        </w:rPr>
        <w:t xml:space="preserve"> </w:t>
      </w:r>
      <w:r>
        <w:rPr>
          <w:sz w:val="18"/>
        </w:rPr>
        <w:t>Appellate</w:t>
      </w:r>
      <w:r>
        <w:rPr>
          <w:spacing w:val="-8"/>
          <w:sz w:val="18"/>
        </w:rPr>
        <w:t xml:space="preserve"> </w:t>
      </w:r>
      <w:r>
        <w:rPr>
          <w:sz w:val="18"/>
        </w:rPr>
        <w:t>Body</w:t>
      </w:r>
      <w:r>
        <w:rPr>
          <w:spacing w:val="-6"/>
          <w:sz w:val="18"/>
        </w:rPr>
        <w:t xml:space="preserve"> </w:t>
      </w:r>
      <w:r>
        <w:rPr>
          <w:sz w:val="18"/>
        </w:rPr>
        <w:t>Report,</w:t>
      </w:r>
      <w:r>
        <w:rPr>
          <w:spacing w:val="-2"/>
          <w:sz w:val="18"/>
        </w:rPr>
        <w:t xml:space="preserve"> </w:t>
      </w:r>
      <w:r>
        <w:rPr>
          <w:i/>
          <w:sz w:val="18"/>
        </w:rPr>
        <w:t>EC</w:t>
      </w:r>
      <w:r>
        <w:rPr>
          <w:i/>
          <w:spacing w:val="-3"/>
          <w:sz w:val="18"/>
        </w:rPr>
        <w:t xml:space="preserve"> </w:t>
      </w:r>
      <w:r>
        <w:rPr>
          <w:i/>
          <w:sz w:val="18"/>
        </w:rPr>
        <w:t>– Fasteners</w:t>
      </w:r>
      <w:r>
        <w:rPr>
          <w:i/>
          <w:spacing w:val="-4"/>
          <w:sz w:val="18"/>
        </w:rPr>
        <w:t xml:space="preserve"> </w:t>
      </w:r>
      <w:r>
        <w:rPr>
          <w:i/>
          <w:sz w:val="18"/>
        </w:rPr>
        <w:t>(China)</w:t>
      </w:r>
      <w:r>
        <w:rPr>
          <w:sz w:val="18"/>
        </w:rPr>
        <w:t>,</w:t>
      </w:r>
      <w:r>
        <w:rPr>
          <w:spacing w:val="-2"/>
          <w:sz w:val="18"/>
        </w:rPr>
        <w:t xml:space="preserve"> </w:t>
      </w:r>
      <w:r>
        <w:rPr>
          <w:sz w:val="18"/>
        </w:rPr>
        <w:t>para.</w:t>
      </w:r>
      <w:r>
        <w:rPr>
          <w:spacing w:val="2"/>
          <w:sz w:val="18"/>
        </w:rPr>
        <w:t xml:space="preserve"> </w:t>
      </w:r>
      <w:r>
        <w:rPr>
          <w:spacing w:val="-4"/>
          <w:sz w:val="18"/>
        </w:rPr>
        <w:t>419.</w:t>
      </w:r>
    </w:p>
    <w:p w14:paraId="358B13F0" w14:textId="77777777" w:rsidR="00BD462C" w:rsidRDefault="00033D0F">
      <w:pPr>
        <w:spacing w:before="1"/>
        <w:ind w:left="135"/>
        <w:rPr>
          <w:sz w:val="18"/>
        </w:rPr>
      </w:pPr>
      <w:bookmarkStart w:id="804" w:name="_bookmark690"/>
      <w:bookmarkEnd w:id="804"/>
      <w:r>
        <w:rPr>
          <w:position w:val="5"/>
          <w:sz w:val="12"/>
        </w:rPr>
        <w:t>577</w:t>
      </w:r>
      <w:r>
        <w:rPr>
          <w:spacing w:val="15"/>
          <w:position w:val="5"/>
          <w:sz w:val="12"/>
        </w:rPr>
        <w:t xml:space="preserve"> </w:t>
      </w:r>
      <w:r>
        <w:rPr>
          <w:sz w:val="18"/>
        </w:rPr>
        <w:t>Emphasis</w:t>
      </w:r>
      <w:r>
        <w:rPr>
          <w:spacing w:val="-3"/>
          <w:sz w:val="18"/>
        </w:rPr>
        <w:t xml:space="preserve"> </w:t>
      </w:r>
      <w:r>
        <w:rPr>
          <w:spacing w:val="-2"/>
          <w:sz w:val="18"/>
        </w:rPr>
        <w:t>added.</w:t>
      </w:r>
    </w:p>
    <w:p w14:paraId="3388B27C" w14:textId="77777777" w:rsidR="00BD462C" w:rsidRDefault="00BD462C">
      <w:pPr>
        <w:rPr>
          <w:sz w:val="18"/>
        </w:rPr>
        <w:sectPr w:rsidR="00BD462C">
          <w:pgSz w:w="11910" w:h="16840"/>
          <w:pgMar w:top="860" w:right="500" w:bottom="780" w:left="1280" w:header="566" w:footer="590" w:gutter="0"/>
          <w:cols w:space="720"/>
        </w:sectPr>
      </w:pPr>
    </w:p>
    <w:p w14:paraId="1E33FFCA"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4BE89976"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35541CBC"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76DF1C1B" w14:textId="77777777" w:rsidR="00BD462C" w:rsidRDefault="00033D0F">
      <w:pPr>
        <w:pStyle w:val="BodyText"/>
        <w:spacing w:before="102" w:line="360" w:lineRule="auto"/>
        <w:ind w:left="136" w:right="909"/>
        <w:jc w:val="both"/>
      </w:pPr>
      <w:r>
        <w:t>producers</w:t>
      </w:r>
      <w:r>
        <w:rPr>
          <w:spacing w:val="-11"/>
        </w:rPr>
        <w:t xml:space="preserve"> </w:t>
      </w:r>
      <w:r>
        <w:t>from</w:t>
      </w:r>
      <w:r>
        <w:rPr>
          <w:spacing w:val="-12"/>
        </w:rPr>
        <w:t xml:space="preserve"> </w:t>
      </w:r>
      <w:r>
        <w:t>being</w:t>
      </w:r>
      <w:r>
        <w:rPr>
          <w:spacing w:val="-10"/>
        </w:rPr>
        <w:t xml:space="preserve"> </w:t>
      </w:r>
      <w:r>
        <w:t>part</w:t>
      </w:r>
      <w:r>
        <w:rPr>
          <w:spacing w:val="-8"/>
        </w:rPr>
        <w:t xml:space="preserve"> </w:t>
      </w:r>
      <w:r>
        <w:t>of</w:t>
      </w:r>
      <w:r>
        <w:rPr>
          <w:spacing w:val="-14"/>
        </w:rPr>
        <w:t xml:space="preserve"> </w:t>
      </w:r>
      <w:r>
        <w:t>the</w:t>
      </w:r>
      <w:r>
        <w:rPr>
          <w:spacing w:val="-7"/>
        </w:rPr>
        <w:t xml:space="preserve"> </w:t>
      </w:r>
      <w:r>
        <w:t>definition</w:t>
      </w:r>
      <w:r>
        <w:rPr>
          <w:spacing w:val="-14"/>
        </w:rPr>
        <w:t xml:space="preserve"> </w:t>
      </w:r>
      <w:r>
        <w:t>of</w:t>
      </w:r>
      <w:r>
        <w:rPr>
          <w:spacing w:val="-14"/>
        </w:rPr>
        <w:t xml:space="preserve"> </w:t>
      </w:r>
      <w:r>
        <w:t>domestic</w:t>
      </w:r>
      <w:r>
        <w:rPr>
          <w:spacing w:val="-13"/>
        </w:rPr>
        <w:t xml:space="preserve"> </w:t>
      </w:r>
      <w:r>
        <w:t>industry.</w:t>
      </w:r>
      <w:hyperlink w:anchor="_bookmark691" w:history="1">
        <w:r>
          <w:rPr>
            <w:vertAlign w:val="superscript"/>
          </w:rPr>
          <w:t>578</w:t>
        </w:r>
      </w:hyperlink>
      <w:r>
        <w:rPr>
          <w:spacing w:val="-11"/>
        </w:rPr>
        <w:t xml:space="preserve"> </w:t>
      </w:r>
      <w:r>
        <w:t>However,</w:t>
      </w:r>
      <w:r>
        <w:rPr>
          <w:spacing w:val="-10"/>
        </w:rPr>
        <w:t xml:space="preserve"> </w:t>
      </w:r>
      <w:r>
        <w:t>as</w:t>
      </w:r>
      <w:r>
        <w:rPr>
          <w:spacing w:val="-10"/>
        </w:rPr>
        <w:t xml:space="preserve"> </w:t>
      </w:r>
      <w:r>
        <w:t>the</w:t>
      </w:r>
      <w:r>
        <w:rPr>
          <w:spacing w:val="-12"/>
        </w:rPr>
        <w:t xml:space="preserve"> </w:t>
      </w:r>
      <w:r>
        <w:t>Appellate Body has indicated, "excluding a whole category of producers of the like product" is an "</w:t>
      </w:r>
      <w:r>
        <w:rPr>
          <w:i/>
        </w:rPr>
        <w:t>example</w:t>
      </w:r>
      <w:r>
        <w:t>"</w:t>
      </w:r>
      <w:hyperlink w:anchor="_bookmark692" w:history="1">
        <w:r>
          <w:rPr>
            <w:vertAlign w:val="superscript"/>
          </w:rPr>
          <w:t>579</w:t>
        </w:r>
      </w:hyperlink>
      <w:r>
        <w:t xml:space="preserve"> of an action that gives rise to a material risk of distortion. It follows that this is not</w:t>
      </w:r>
      <w:r>
        <w:rPr>
          <w:spacing w:val="-10"/>
        </w:rPr>
        <w:t xml:space="preserve"> </w:t>
      </w:r>
      <w:r>
        <w:t>the</w:t>
      </w:r>
      <w:r>
        <w:rPr>
          <w:spacing w:val="-11"/>
        </w:rPr>
        <w:t xml:space="preserve"> </w:t>
      </w:r>
      <w:r>
        <w:rPr>
          <w:i/>
        </w:rPr>
        <w:t>only</w:t>
      </w:r>
      <w:r>
        <w:rPr>
          <w:i/>
          <w:spacing w:val="-13"/>
        </w:rPr>
        <w:t xml:space="preserve"> </w:t>
      </w:r>
      <w:r>
        <w:t>way</w:t>
      </w:r>
      <w:r>
        <w:rPr>
          <w:spacing w:val="-10"/>
        </w:rPr>
        <w:t xml:space="preserve"> </w:t>
      </w:r>
      <w:r>
        <w:t>in</w:t>
      </w:r>
      <w:r>
        <w:rPr>
          <w:spacing w:val="-13"/>
        </w:rPr>
        <w:t xml:space="preserve"> </w:t>
      </w:r>
      <w:r>
        <w:t>which</w:t>
      </w:r>
      <w:r>
        <w:rPr>
          <w:spacing w:val="-8"/>
        </w:rPr>
        <w:t xml:space="preserve"> </w:t>
      </w:r>
      <w:r>
        <w:t>an</w:t>
      </w:r>
      <w:r>
        <w:rPr>
          <w:spacing w:val="-13"/>
        </w:rPr>
        <w:t xml:space="preserve"> </w:t>
      </w:r>
      <w:r>
        <w:t>investigating</w:t>
      </w:r>
      <w:r>
        <w:rPr>
          <w:spacing w:val="-9"/>
        </w:rPr>
        <w:t xml:space="preserve"> </w:t>
      </w:r>
      <w:r>
        <w:t>authority</w:t>
      </w:r>
      <w:r>
        <w:rPr>
          <w:spacing w:val="-10"/>
        </w:rPr>
        <w:t xml:space="preserve"> </w:t>
      </w:r>
      <w:r>
        <w:t>can</w:t>
      </w:r>
      <w:r>
        <w:rPr>
          <w:spacing w:val="-13"/>
        </w:rPr>
        <w:t xml:space="preserve"> </w:t>
      </w:r>
      <w:r>
        <w:t>introduce</w:t>
      </w:r>
      <w:r>
        <w:rPr>
          <w:spacing w:val="-11"/>
        </w:rPr>
        <w:t xml:space="preserve"> </w:t>
      </w:r>
      <w:r>
        <w:t>a</w:t>
      </w:r>
      <w:r>
        <w:rPr>
          <w:spacing w:val="-6"/>
        </w:rPr>
        <w:t xml:space="preserve"> </w:t>
      </w:r>
      <w:r>
        <w:t>risk</w:t>
      </w:r>
      <w:r>
        <w:rPr>
          <w:spacing w:val="-10"/>
        </w:rPr>
        <w:t xml:space="preserve"> </w:t>
      </w:r>
      <w:r>
        <w:t>of</w:t>
      </w:r>
      <w:r>
        <w:rPr>
          <w:spacing w:val="-8"/>
        </w:rPr>
        <w:t xml:space="preserve"> </w:t>
      </w:r>
      <w:r>
        <w:t>material</w:t>
      </w:r>
      <w:r>
        <w:rPr>
          <w:spacing w:val="-9"/>
        </w:rPr>
        <w:t xml:space="preserve"> </w:t>
      </w:r>
      <w:r>
        <w:t>distortion.</w:t>
      </w:r>
    </w:p>
    <w:p w14:paraId="68462068" w14:textId="77777777" w:rsidR="00BD462C" w:rsidRDefault="00BD462C">
      <w:pPr>
        <w:pStyle w:val="BodyText"/>
        <w:spacing w:before="8"/>
        <w:rPr>
          <w:sz w:val="8"/>
        </w:rPr>
      </w:pPr>
    </w:p>
    <w:p w14:paraId="6556257F" w14:textId="6F600073" w:rsidR="00BD462C" w:rsidRDefault="00602AD3">
      <w:pPr>
        <w:pStyle w:val="BodyText"/>
        <w:spacing w:before="56" w:line="360" w:lineRule="auto"/>
        <w:ind w:left="135" w:right="914" w:hanging="5"/>
        <w:jc w:val="both"/>
      </w:pPr>
      <w:r w:rsidRPr="009F0669">
        <w:rPr>
          <w:position w:val="1"/>
        </w:rPr>
        <w:t>417.</w:t>
      </w:r>
      <w:r>
        <w:rPr>
          <w:rFonts w:ascii="Times New Roman"/>
          <w:spacing w:val="80"/>
          <w:w w:val="150"/>
          <w:position w:val="1"/>
          <w:sz w:val="20"/>
        </w:rPr>
        <w:t xml:space="preserve"> </w:t>
      </w:r>
      <w:r w:rsidR="00033D0F">
        <w:rPr>
          <w:position w:val="1"/>
        </w:rPr>
        <w:t xml:space="preserve">China asserts that "the higher the proportion, the more producers will be included, </w:t>
      </w:r>
      <w:r w:rsidR="00033D0F">
        <w:t>and the less likely the injury determination conducted on this basis would be distorted."</w:t>
      </w:r>
      <w:hyperlink w:anchor="_bookmark693" w:history="1">
        <w:r w:rsidR="00033D0F">
          <w:rPr>
            <w:vertAlign w:val="superscript"/>
          </w:rPr>
          <w:t>580</w:t>
        </w:r>
      </w:hyperlink>
      <w:r w:rsidR="00033D0F">
        <w:t xml:space="preserve"> Australia does not disagree. However, the quantitative threshold is not the sole criterion for a</w:t>
      </w:r>
      <w:r w:rsidR="00033D0F">
        <w:rPr>
          <w:spacing w:val="-10"/>
        </w:rPr>
        <w:t xml:space="preserve"> </w:t>
      </w:r>
      <w:r w:rsidR="00033D0F">
        <w:t>"major</w:t>
      </w:r>
      <w:r w:rsidR="00033D0F">
        <w:rPr>
          <w:spacing w:val="-12"/>
        </w:rPr>
        <w:t xml:space="preserve"> </w:t>
      </w:r>
      <w:r w:rsidR="00033D0F">
        <w:t>proportion",</w:t>
      </w:r>
      <w:r w:rsidR="00033D0F">
        <w:rPr>
          <w:spacing w:val="-7"/>
        </w:rPr>
        <w:t xml:space="preserve"> </w:t>
      </w:r>
      <w:r w:rsidR="00033D0F">
        <w:t>and</w:t>
      </w:r>
      <w:r w:rsidR="00033D0F">
        <w:rPr>
          <w:spacing w:val="-11"/>
        </w:rPr>
        <w:t xml:space="preserve"> </w:t>
      </w:r>
      <w:r w:rsidR="00033D0F">
        <w:t>an</w:t>
      </w:r>
      <w:r w:rsidR="00033D0F">
        <w:rPr>
          <w:spacing w:val="-11"/>
        </w:rPr>
        <w:t xml:space="preserve"> </w:t>
      </w:r>
      <w:r w:rsidR="00033D0F">
        <w:t>investigating</w:t>
      </w:r>
      <w:r w:rsidR="00033D0F">
        <w:rPr>
          <w:spacing w:val="-8"/>
        </w:rPr>
        <w:t xml:space="preserve"> </w:t>
      </w:r>
      <w:r w:rsidR="00033D0F">
        <w:t>authority's</w:t>
      </w:r>
      <w:r w:rsidR="00033D0F">
        <w:rPr>
          <w:spacing w:val="-8"/>
        </w:rPr>
        <w:t xml:space="preserve"> </w:t>
      </w:r>
      <w:r w:rsidR="00033D0F">
        <w:t>analysis</w:t>
      </w:r>
      <w:r w:rsidR="00033D0F">
        <w:rPr>
          <w:spacing w:val="-8"/>
        </w:rPr>
        <w:t xml:space="preserve"> </w:t>
      </w:r>
      <w:r w:rsidR="00033D0F">
        <w:t>does</w:t>
      </w:r>
      <w:r w:rsidR="00033D0F">
        <w:rPr>
          <w:spacing w:val="-8"/>
        </w:rPr>
        <w:t xml:space="preserve"> </w:t>
      </w:r>
      <w:r w:rsidR="00033D0F">
        <w:t>not</w:t>
      </w:r>
      <w:r w:rsidR="00033D0F">
        <w:rPr>
          <w:spacing w:val="-9"/>
        </w:rPr>
        <w:t xml:space="preserve"> </w:t>
      </w:r>
      <w:r w:rsidR="00033D0F">
        <w:t>necessarily</w:t>
      </w:r>
      <w:r w:rsidR="00033D0F">
        <w:rPr>
          <w:spacing w:val="-8"/>
        </w:rPr>
        <w:t xml:space="preserve"> </w:t>
      </w:r>
      <w:r w:rsidR="00033D0F">
        <w:t>end</w:t>
      </w:r>
      <w:r w:rsidR="00033D0F">
        <w:rPr>
          <w:spacing w:val="-11"/>
        </w:rPr>
        <w:t xml:space="preserve"> </w:t>
      </w:r>
      <w:r w:rsidR="00033D0F">
        <w:t>there. There is still an onus on the investigating authority to ensure that there is no material risk of distortion even where this threshold has been met.</w:t>
      </w:r>
      <w:hyperlink w:anchor="_bookmark694" w:history="1">
        <w:r w:rsidR="00033D0F">
          <w:rPr>
            <w:vertAlign w:val="superscript"/>
          </w:rPr>
          <w:t>581</w:t>
        </w:r>
      </w:hyperlink>
      <w:r w:rsidR="00033D0F">
        <w:t xml:space="preserve"> MOFCOM failed to do so.</w:t>
      </w:r>
    </w:p>
    <w:p w14:paraId="34E972AC" w14:textId="77777777" w:rsidR="00BD462C" w:rsidRDefault="00033D0F">
      <w:pPr>
        <w:pStyle w:val="ListParagraph"/>
        <w:numPr>
          <w:ilvl w:val="1"/>
          <w:numId w:val="56"/>
        </w:numPr>
        <w:tabs>
          <w:tab w:val="left" w:pos="3539"/>
          <w:tab w:val="left" w:pos="3540"/>
        </w:tabs>
        <w:spacing w:before="158" w:line="357" w:lineRule="auto"/>
        <w:ind w:right="918"/>
        <w:jc w:val="both"/>
        <w:rPr>
          <w:sz w:val="24"/>
        </w:rPr>
      </w:pPr>
      <w:bookmarkStart w:id="805" w:name="(b)_MOFCOM_failed_to_undertake_a_qualita"/>
      <w:bookmarkEnd w:id="805"/>
      <w:r>
        <w:rPr>
          <w:sz w:val="24"/>
          <w:u w:val="single"/>
        </w:rPr>
        <w:t>MOFCOM failed to undertake a qualitative assessment of</w:t>
      </w:r>
      <w:r>
        <w:rPr>
          <w:sz w:val="24"/>
        </w:rPr>
        <w:t xml:space="preserve"> </w:t>
      </w:r>
      <w:r>
        <w:rPr>
          <w:sz w:val="24"/>
          <w:u w:val="single"/>
        </w:rPr>
        <w:t>the suitability of the 21 domestic producers</w:t>
      </w:r>
    </w:p>
    <w:p w14:paraId="7AE0FBC9" w14:textId="77777777" w:rsidR="00BD462C" w:rsidRDefault="00BD462C">
      <w:pPr>
        <w:pStyle w:val="BodyText"/>
        <w:spacing w:before="2"/>
        <w:rPr>
          <w:sz w:val="9"/>
        </w:rPr>
      </w:pPr>
    </w:p>
    <w:p w14:paraId="24283CEA" w14:textId="6874743D" w:rsidR="00BD462C" w:rsidRDefault="009F0669">
      <w:pPr>
        <w:pStyle w:val="BodyText"/>
        <w:spacing w:before="56" w:line="360" w:lineRule="auto"/>
        <w:ind w:left="135" w:right="911" w:hanging="5"/>
        <w:jc w:val="both"/>
      </w:pPr>
      <w:r w:rsidRPr="009F0669">
        <w:rPr>
          <w:position w:val="1"/>
        </w:rPr>
        <w:t xml:space="preserve">418. </w:t>
      </w:r>
      <w:r w:rsidR="00033D0F">
        <w:rPr>
          <w:position w:val="1"/>
        </w:rPr>
        <w:t xml:space="preserve">Australia reiterates that MOFCOM introduced a material risk of distortion into its </w:t>
      </w:r>
      <w:r w:rsidR="00033D0F">
        <w:t>definition of domestic industry by failing to undertake a qualitative assessment of the suitability</w:t>
      </w:r>
      <w:r w:rsidR="00033D0F">
        <w:rPr>
          <w:spacing w:val="-3"/>
        </w:rPr>
        <w:t xml:space="preserve"> </w:t>
      </w:r>
      <w:r w:rsidR="00033D0F">
        <w:t>of</w:t>
      </w:r>
      <w:r w:rsidR="00033D0F">
        <w:rPr>
          <w:spacing w:val="-6"/>
        </w:rPr>
        <w:t xml:space="preserve"> </w:t>
      </w:r>
      <w:r w:rsidR="00033D0F">
        <w:t>the</w:t>
      </w:r>
      <w:r w:rsidR="00033D0F">
        <w:rPr>
          <w:spacing w:val="-5"/>
        </w:rPr>
        <w:t xml:space="preserve"> </w:t>
      </w:r>
      <w:r w:rsidR="00033D0F">
        <w:t>21</w:t>
      </w:r>
      <w:r w:rsidR="00033D0F">
        <w:rPr>
          <w:spacing w:val="-7"/>
        </w:rPr>
        <w:t xml:space="preserve"> </w:t>
      </w:r>
      <w:r w:rsidR="00033D0F">
        <w:t>domestic</w:t>
      </w:r>
      <w:r w:rsidR="00033D0F">
        <w:rPr>
          <w:spacing w:val="-6"/>
        </w:rPr>
        <w:t xml:space="preserve"> </w:t>
      </w:r>
      <w:r w:rsidR="00033D0F">
        <w:t>producers,</w:t>
      </w:r>
      <w:r w:rsidR="00033D0F">
        <w:rPr>
          <w:spacing w:val="-2"/>
        </w:rPr>
        <w:t xml:space="preserve"> </w:t>
      </w:r>
      <w:r w:rsidR="00033D0F">
        <w:t>including</w:t>
      </w:r>
      <w:r w:rsidR="00033D0F">
        <w:rPr>
          <w:spacing w:val="-3"/>
        </w:rPr>
        <w:t xml:space="preserve"> </w:t>
      </w:r>
      <w:r w:rsidR="00033D0F">
        <w:t>whether</w:t>
      </w:r>
      <w:r w:rsidR="00033D0F">
        <w:rPr>
          <w:spacing w:val="-7"/>
        </w:rPr>
        <w:t xml:space="preserve"> </w:t>
      </w:r>
      <w:r w:rsidR="00033D0F">
        <w:t>they</w:t>
      </w:r>
      <w:r w:rsidR="00033D0F">
        <w:rPr>
          <w:spacing w:val="-3"/>
        </w:rPr>
        <w:t xml:space="preserve"> </w:t>
      </w:r>
      <w:r w:rsidR="00033D0F">
        <w:t>were</w:t>
      </w:r>
      <w:r w:rsidR="00033D0F">
        <w:rPr>
          <w:spacing w:val="-4"/>
        </w:rPr>
        <w:t xml:space="preserve"> </w:t>
      </w:r>
      <w:r w:rsidR="00033D0F">
        <w:t>suitably</w:t>
      </w:r>
      <w:r w:rsidR="00033D0F">
        <w:rPr>
          <w:spacing w:val="-3"/>
        </w:rPr>
        <w:t xml:space="preserve"> </w:t>
      </w:r>
      <w:r w:rsidR="00033D0F">
        <w:t>representative in terms of geographic spread, product mix, scale of operations, economic indicators, or any other relevant factor to ensure they were reflective of domestic industry.</w:t>
      </w:r>
      <w:hyperlink w:anchor="_bookmark695" w:history="1">
        <w:r w:rsidR="00033D0F">
          <w:rPr>
            <w:vertAlign w:val="superscript"/>
          </w:rPr>
          <w:t>582</w:t>
        </w:r>
      </w:hyperlink>
      <w:r w:rsidR="00033D0F">
        <w:t xml:space="preserve"> There is nothing on</w:t>
      </w:r>
      <w:r w:rsidR="00033D0F">
        <w:rPr>
          <w:spacing w:val="-4"/>
        </w:rPr>
        <w:t xml:space="preserve"> </w:t>
      </w:r>
      <w:r w:rsidR="00033D0F">
        <w:t>the</w:t>
      </w:r>
      <w:r w:rsidR="00033D0F">
        <w:rPr>
          <w:spacing w:val="-3"/>
        </w:rPr>
        <w:t xml:space="preserve"> </w:t>
      </w:r>
      <w:r w:rsidR="00033D0F">
        <w:t>record to</w:t>
      </w:r>
      <w:r w:rsidR="00033D0F">
        <w:rPr>
          <w:spacing w:val="-5"/>
        </w:rPr>
        <w:t xml:space="preserve"> </w:t>
      </w:r>
      <w:r w:rsidR="00033D0F">
        <w:t>indicate</w:t>
      </w:r>
      <w:r w:rsidR="00033D0F">
        <w:rPr>
          <w:spacing w:val="-2"/>
        </w:rPr>
        <w:t xml:space="preserve"> </w:t>
      </w:r>
      <w:r w:rsidR="00033D0F">
        <w:t>that</w:t>
      </w:r>
      <w:r w:rsidR="00033D0F">
        <w:rPr>
          <w:spacing w:val="-2"/>
        </w:rPr>
        <w:t xml:space="preserve"> </w:t>
      </w:r>
      <w:r w:rsidR="00033D0F">
        <w:t>such</w:t>
      </w:r>
      <w:r w:rsidR="00033D0F">
        <w:rPr>
          <w:spacing w:val="-4"/>
        </w:rPr>
        <w:t xml:space="preserve"> </w:t>
      </w:r>
      <w:r w:rsidR="00033D0F">
        <w:t>an</w:t>
      </w:r>
      <w:r w:rsidR="00033D0F">
        <w:rPr>
          <w:spacing w:val="-4"/>
        </w:rPr>
        <w:t xml:space="preserve"> </w:t>
      </w:r>
      <w:r w:rsidR="00033D0F">
        <w:t>assessment</w:t>
      </w:r>
      <w:r w:rsidR="00033D0F">
        <w:rPr>
          <w:spacing w:val="-7"/>
        </w:rPr>
        <w:t xml:space="preserve"> </w:t>
      </w:r>
      <w:r w:rsidR="00033D0F">
        <w:t>was</w:t>
      </w:r>
      <w:r w:rsidR="00033D0F">
        <w:rPr>
          <w:spacing w:val="-1"/>
        </w:rPr>
        <w:t xml:space="preserve"> </w:t>
      </w:r>
      <w:r w:rsidR="00033D0F">
        <w:t>undertaken,</w:t>
      </w:r>
      <w:r w:rsidR="00033D0F">
        <w:rPr>
          <w:spacing w:val="-1"/>
        </w:rPr>
        <w:t xml:space="preserve"> </w:t>
      </w:r>
      <w:r w:rsidR="00033D0F">
        <w:t>and</w:t>
      </w:r>
      <w:r w:rsidR="00033D0F">
        <w:rPr>
          <w:spacing w:val="-4"/>
        </w:rPr>
        <w:t xml:space="preserve"> </w:t>
      </w:r>
      <w:r w:rsidR="00033D0F">
        <w:t>China</w:t>
      </w:r>
      <w:r w:rsidR="00033D0F">
        <w:rPr>
          <w:spacing w:val="-3"/>
        </w:rPr>
        <w:t xml:space="preserve"> </w:t>
      </w:r>
      <w:r w:rsidR="00033D0F">
        <w:t>has</w:t>
      </w:r>
      <w:r w:rsidR="00033D0F">
        <w:rPr>
          <w:spacing w:val="-1"/>
        </w:rPr>
        <w:t xml:space="preserve"> </w:t>
      </w:r>
      <w:r w:rsidR="00033D0F">
        <w:t>not</w:t>
      </w:r>
      <w:r w:rsidR="00033D0F">
        <w:rPr>
          <w:spacing w:val="-2"/>
        </w:rPr>
        <w:t xml:space="preserve"> </w:t>
      </w:r>
      <w:r w:rsidR="00033D0F">
        <w:t xml:space="preserve">argued </w:t>
      </w:r>
      <w:r w:rsidR="00033D0F">
        <w:rPr>
          <w:spacing w:val="-2"/>
        </w:rPr>
        <w:t>otherwise.</w:t>
      </w:r>
    </w:p>
    <w:p w14:paraId="36B5B041" w14:textId="77777777" w:rsidR="00BD462C" w:rsidRDefault="00033D0F">
      <w:pPr>
        <w:pStyle w:val="ListParagraph"/>
        <w:numPr>
          <w:ilvl w:val="1"/>
          <w:numId w:val="56"/>
        </w:numPr>
        <w:tabs>
          <w:tab w:val="left" w:pos="3539"/>
          <w:tab w:val="left" w:pos="3540"/>
        </w:tabs>
        <w:spacing w:before="155" w:line="362" w:lineRule="auto"/>
        <w:ind w:right="921"/>
        <w:jc w:val="both"/>
        <w:rPr>
          <w:sz w:val="24"/>
        </w:rPr>
      </w:pPr>
      <w:bookmarkStart w:id="806" w:name="(c)_MOFCOM_failed_to_satisfy_itself_as_t"/>
      <w:bookmarkEnd w:id="806"/>
      <w:r>
        <w:rPr>
          <w:sz w:val="24"/>
          <w:u w:val="single"/>
        </w:rPr>
        <w:t>MOFCOM failed to satisfy itself as to the accuracy of the</w:t>
      </w:r>
      <w:r>
        <w:rPr>
          <w:sz w:val="24"/>
        </w:rPr>
        <w:t xml:space="preserve"> </w:t>
      </w:r>
      <w:r>
        <w:rPr>
          <w:sz w:val="24"/>
          <w:u w:val="single"/>
        </w:rPr>
        <w:t>production volume information of the majority of the 21</w:t>
      </w:r>
      <w:r>
        <w:rPr>
          <w:sz w:val="24"/>
        </w:rPr>
        <w:t xml:space="preserve"> </w:t>
      </w:r>
      <w:r>
        <w:rPr>
          <w:sz w:val="24"/>
          <w:u w:val="single"/>
        </w:rPr>
        <w:t>domestic producers</w:t>
      </w:r>
    </w:p>
    <w:p w14:paraId="73377FE2" w14:textId="553F1C11" w:rsidR="00BD462C" w:rsidRDefault="009F0669">
      <w:pPr>
        <w:pStyle w:val="BodyText"/>
        <w:spacing w:before="155" w:line="357" w:lineRule="auto"/>
        <w:ind w:left="135" w:right="923" w:hanging="5"/>
      </w:pPr>
      <w:r w:rsidRPr="009F0669">
        <w:rPr>
          <w:position w:val="1"/>
        </w:rPr>
        <w:t>419.</w:t>
      </w:r>
      <w:r>
        <w:rPr>
          <w:rFonts w:ascii="Times New Roman"/>
          <w:spacing w:val="80"/>
          <w:position w:val="1"/>
          <w:sz w:val="20"/>
        </w:rPr>
        <w:t xml:space="preserve"> </w:t>
      </w:r>
      <w:r w:rsidR="00033D0F">
        <w:rPr>
          <w:position w:val="1"/>
        </w:rPr>
        <w:t>As</w:t>
      </w:r>
      <w:r w:rsidR="00033D0F">
        <w:rPr>
          <w:spacing w:val="40"/>
          <w:position w:val="1"/>
        </w:rPr>
        <w:t xml:space="preserve"> </w:t>
      </w:r>
      <w:r w:rsidR="00033D0F">
        <w:rPr>
          <w:position w:val="1"/>
        </w:rPr>
        <w:t>set</w:t>
      </w:r>
      <w:r w:rsidR="00033D0F">
        <w:rPr>
          <w:spacing w:val="40"/>
          <w:position w:val="1"/>
        </w:rPr>
        <w:t xml:space="preserve"> </w:t>
      </w:r>
      <w:r w:rsidR="00033D0F">
        <w:rPr>
          <w:position w:val="1"/>
        </w:rPr>
        <w:t>out</w:t>
      </w:r>
      <w:r w:rsidR="00033D0F">
        <w:rPr>
          <w:spacing w:val="40"/>
          <w:position w:val="1"/>
        </w:rPr>
        <w:t xml:space="preserve"> </w:t>
      </w:r>
      <w:r w:rsidR="00033D0F">
        <w:rPr>
          <w:position w:val="1"/>
        </w:rPr>
        <w:t>in</w:t>
      </w:r>
      <w:r w:rsidR="00033D0F">
        <w:rPr>
          <w:spacing w:val="40"/>
          <w:position w:val="1"/>
        </w:rPr>
        <w:t xml:space="preserve"> </w:t>
      </w:r>
      <w:r w:rsidR="00033D0F">
        <w:rPr>
          <w:position w:val="1"/>
        </w:rPr>
        <w:t>its</w:t>
      </w:r>
      <w:r w:rsidR="00033D0F">
        <w:rPr>
          <w:spacing w:val="40"/>
          <w:position w:val="1"/>
        </w:rPr>
        <w:t xml:space="preserve"> </w:t>
      </w:r>
      <w:r w:rsidR="00033D0F">
        <w:rPr>
          <w:position w:val="1"/>
        </w:rPr>
        <w:t>first</w:t>
      </w:r>
      <w:r w:rsidR="00033D0F">
        <w:rPr>
          <w:spacing w:val="40"/>
          <w:position w:val="1"/>
        </w:rPr>
        <w:t xml:space="preserve"> </w:t>
      </w:r>
      <w:r w:rsidR="00033D0F">
        <w:rPr>
          <w:position w:val="1"/>
        </w:rPr>
        <w:t>written</w:t>
      </w:r>
      <w:r w:rsidR="00033D0F">
        <w:rPr>
          <w:spacing w:val="40"/>
          <w:position w:val="1"/>
        </w:rPr>
        <w:t xml:space="preserve"> </w:t>
      </w:r>
      <w:r w:rsidR="00033D0F">
        <w:rPr>
          <w:position w:val="1"/>
        </w:rPr>
        <w:t>submission,</w:t>
      </w:r>
      <w:r w:rsidR="00033D0F">
        <w:rPr>
          <w:spacing w:val="40"/>
          <w:position w:val="1"/>
        </w:rPr>
        <w:t xml:space="preserve"> </w:t>
      </w:r>
      <w:r w:rsidR="00033D0F">
        <w:rPr>
          <w:position w:val="1"/>
        </w:rPr>
        <w:t>Australia</w:t>
      </w:r>
      <w:r w:rsidR="00033D0F">
        <w:rPr>
          <w:spacing w:val="40"/>
          <w:position w:val="1"/>
        </w:rPr>
        <w:t xml:space="preserve"> </w:t>
      </w:r>
      <w:r w:rsidR="00033D0F">
        <w:rPr>
          <w:position w:val="1"/>
        </w:rPr>
        <w:t>argues</w:t>
      </w:r>
      <w:r w:rsidR="00033D0F">
        <w:rPr>
          <w:spacing w:val="40"/>
          <w:position w:val="1"/>
        </w:rPr>
        <w:t xml:space="preserve"> </w:t>
      </w:r>
      <w:r w:rsidR="00033D0F">
        <w:rPr>
          <w:position w:val="1"/>
        </w:rPr>
        <w:t>that</w:t>
      </w:r>
      <w:r w:rsidR="00033D0F">
        <w:rPr>
          <w:spacing w:val="40"/>
          <w:position w:val="1"/>
        </w:rPr>
        <w:t xml:space="preserve"> </w:t>
      </w:r>
      <w:r w:rsidR="00033D0F">
        <w:rPr>
          <w:position w:val="1"/>
        </w:rPr>
        <w:t>that</w:t>
      </w:r>
      <w:r w:rsidR="00033D0F">
        <w:rPr>
          <w:spacing w:val="40"/>
          <w:position w:val="1"/>
        </w:rPr>
        <w:t xml:space="preserve"> </w:t>
      </w:r>
      <w:r w:rsidR="00033D0F">
        <w:rPr>
          <w:position w:val="1"/>
        </w:rPr>
        <w:t>the</w:t>
      </w:r>
      <w:r w:rsidR="00033D0F">
        <w:rPr>
          <w:spacing w:val="40"/>
          <w:position w:val="1"/>
        </w:rPr>
        <w:t xml:space="preserve"> </w:t>
      </w:r>
      <w:r w:rsidR="00033D0F">
        <w:rPr>
          <w:position w:val="1"/>
        </w:rPr>
        <w:t>risk</w:t>
      </w:r>
      <w:r w:rsidR="00033D0F">
        <w:rPr>
          <w:spacing w:val="40"/>
          <w:position w:val="1"/>
        </w:rPr>
        <w:t xml:space="preserve"> </w:t>
      </w:r>
      <w:r w:rsidR="00033D0F">
        <w:rPr>
          <w:position w:val="1"/>
        </w:rPr>
        <w:t xml:space="preserve">of </w:t>
      </w:r>
      <w:r w:rsidR="00033D0F">
        <w:t>distortion</w:t>
      </w:r>
      <w:r w:rsidR="00033D0F">
        <w:rPr>
          <w:spacing w:val="-7"/>
        </w:rPr>
        <w:t xml:space="preserve"> </w:t>
      </w:r>
      <w:r w:rsidR="00033D0F">
        <w:t>was</w:t>
      </w:r>
      <w:r w:rsidR="00033D0F">
        <w:rPr>
          <w:spacing w:val="-1"/>
        </w:rPr>
        <w:t xml:space="preserve"> </w:t>
      </w:r>
      <w:r w:rsidR="00033D0F">
        <w:t>compounded by</w:t>
      </w:r>
      <w:r w:rsidR="00033D0F">
        <w:rPr>
          <w:spacing w:val="-1"/>
        </w:rPr>
        <w:t xml:space="preserve"> </w:t>
      </w:r>
      <w:r w:rsidR="00033D0F">
        <w:t>MOFCOM's</w:t>
      </w:r>
      <w:r w:rsidR="00033D0F">
        <w:rPr>
          <w:spacing w:val="-1"/>
        </w:rPr>
        <w:t xml:space="preserve"> </w:t>
      </w:r>
      <w:r w:rsidR="00033D0F">
        <w:t>failure</w:t>
      </w:r>
      <w:r w:rsidR="00033D0F">
        <w:rPr>
          <w:spacing w:val="-2"/>
        </w:rPr>
        <w:t xml:space="preserve"> </w:t>
      </w:r>
      <w:r w:rsidR="00033D0F">
        <w:t>to</w:t>
      </w:r>
      <w:r w:rsidR="00033D0F">
        <w:rPr>
          <w:spacing w:val="-5"/>
        </w:rPr>
        <w:t xml:space="preserve"> </w:t>
      </w:r>
      <w:r w:rsidR="00033D0F">
        <w:t>verify</w:t>
      </w:r>
      <w:r w:rsidR="00033D0F">
        <w:rPr>
          <w:spacing w:val="-1"/>
        </w:rPr>
        <w:t xml:space="preserve"> </w:t>
      </w:r>
      <w:r w:rsidR="00033D0F">
        <w:t>the</w:t>
      </w:r>
      <w:r w:rsidR="00033D0F">
        <w:rPr>
          <w:spacing w:val="-4"/>
        </w:rPr>
        <w:t xml:space="preserve"> </w:t>
      </w:r>
      <w:r w:rsidR="00033D0F">
        <w:t>data</w:t>
      </w:r>
      <w:r w:rsidR="00033D0F">
        <w:rPr>
          <w:spacing w:val="2"/>
        </w:rPr>
        <w:t xml:space="preserve"> </w:t>
      </w:r>
      <w:r w:rsidR="00033D0F">
        <w:t>provided</w:t>
      </w:r>
      <w:r w:rsidR="00033D0F">
        <w:rPr>
          <w:spacing w:val="-4"/>
        </w:rPr>
        <w:t xml:space="preserve"> </w:t>
      </w:r>
      <w:r w:rsidR="00033D0F">
        <w:t>by</w:t>
      </w:r>
      <w:r w:rsidR="00033D0F">
        <w:rPr>
          <w:spacing w:val="-1"/>
        </w:rPr>
        <w:t xml:space="preserve"> </w:t>
      </w:r>
      <w:r w:rsidR="00033D0F">
        <w:t>19 of</w:t>
      </w:r>
      <w:r w:rsidR="00033D0F">
        <w:rPr>
          <w:spacing w:val="-4"/>
        </w:rPr>
        <w:t xml:space="preserve"> </w:t>
      </w:r>
      <w:r w:rsidR="00033D0F">
        <w:t>the</w:t>
      </w:r>
      <w:r w:rsidR="00033D0F">
        <w:rPr>
          <w:spacing w:val="2"/>
        </w:rPr>
        <w:t xml:space="preserve"> </w:t>
      </w:r>
      <w:r w:rsidR="00033D0F">
        <w:rPr>
          <w:spacing w:val="-5"/>
        </w:rPr>
        <w:t>21</w:t>
      </w:r>
    </w:p>
    <w:p w14:paraId="3331EBE0" w14:textId="77777777" w:rsidR="00BD462C" w:rsidRDefault="00BD462C">
      <w:pPr>
        <w:pStyle w:val="BodyText"/>
        <w:rPr>
          <w:sz w:val="20"/>
        </w:rPr>
      </w:pPr>
    </w:p>
    <w:p w14:paraId="1D32C413" w14:textId="27C9B6DB" w:rsidR="00BD462C" w:rsidRDefault="00D70C7D">
      <w:pPr>
        <w:pStyle w:val="BodyText"/>
        <w:spacing w:before="1"/>
        <w:rPr>
          <w:sz w:val="18"/>
        </w:rPr>
      </w:pPr>
      <w:r>
        <w:rPr>
          <w:noProof/>
        </w:rPr>
        <mc:AlternateContent>
          <mc:Choice Requires="wps">
            <w:drawing>
              <wp:anchor distT="0" distB="0" distL="0" distR="0" simplePos="0" relativeHeight="487757312" behindDoc="1" locked="0" layoutInCell="1" allowOverlap="1" wp14:anchorId="31C6B5CA" wp14:editId="2535E18E">
                <wp:simplePos x="0" y="0"/>
                <wp:positionH relativeFrom="page">
                  <wp:posOffset>899160</wp:posOffset>
                </wp:positionH>
                <wp:positionV relativeFrom="paragraph">
                  <wp:posOffset>155575</wp:posOffset>
                </wp:positionV>
                <wp:extent cx="1828800" cy="8890"/>
                <wp:effectExtent l="0" t="0" r="0" b="0"/>
                <wp:wrapTopAndBottom/>
                <wp:docPr id="680" name="docshape3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7BB41A" id="docshape379" o:spid="_x0000_s1026" alt="&quot;&quot;" style="position:absolute;margin-left:70.8pt;margin-top:12.25pt;width:2in;height:.7pt;z-index:-15559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" fillcolor="black" stroked="f">
                <w10:wrap type="topAndBottom" anchorx="page"/>
              </v:rect>
            </w:pict>
          </mc:Fallback>
        </mc:AlternateContent>
      </w:r>
    </w:p>
    <w:p w14:paraId="3F98BC42" w14:textId="77777777" w:rsidR="00BD462C" w:rsidRDefault="00033D0F">
      <w:pPr>
        <w:spacing w:before="112"/>
        <w:ind w:left="135"/>
        <w:rPr>
          <w:sz w:val="18"/>
        </w:rPr>
      </w:pPr>
      <w:bookmarkStart w:id="807" w:name="_bookmark691"/>
      <w:bookmarkEnd w:id="807"/>
      <w:r>
        <w:rPr>
          <w:position w:val="5"/>
          <w:sz w:val="12"/>
        </w:rPr>
        <w:t>578</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 xml:space="preserve">submission, para. </w:t>
      </w:r>
      <w:r>
        <w:rPr>
          <w:spacing w:val="-4"/>
          <w:sz w:val="18"/>
        </w:rPr>
        <w:t>900.</w:t>
      </w:r>
    </w:p>
    <w:p w14:paraId="617B0205" w14:textId="77777777" w:rsidR="00BD462C" w:rsidRDefault="00033D0F">
      <w:pPr>
        <w:spacing w:before="1"/>
        <w:ind w:left="135"/>
        <w:rPr>
          <w:sz w:val="18"/>
        </w:rPr>
      </w:pPr>
      <w:bookmarkStart w:id="808" w:name="_bookmark692"/>
      <w:bookmarkEnd w:id="808"/>
      <w:r>
        <w:rPr>
          <w:position w:val="5"/>
          <w:sz w:val="12"/>
        </w:rPr>
        <w:t>579</w:t>
      </w:r>
      <w:r>
        <w:rPr>
          <w:spacing w:val="14"/>
          <w:position w:val="5"/>
          <w:sz w:val="12"/>
        </w:rPr>
        <w:t xml:space="preserve"> </w:t>
      </w:r>
      <w:r>
        <w:rPr>
          <w:sz w:val="18"/>
        </w:rPr>
        <w:t>Appellate</w:t>
      </w:r>
      <w:r>
        <w:rPr>
          <w:spacing w:val="-9"/>
          <w:sz w:val="18"/>
        </w:rPr>
        <w:t xml:space="preserve"> </w:t>
      </w:r>
      <w:r>
        <w:rPr>
          <w:sz w:val="18"/>
        </w:rPr>
        <w:t>Body</w:t>
      </w:r>
      <w:r>
        <w:rPr>
          <w:spacing w:val="-6"/>
          <w:sz w:val="18"/>
        </w:rPr>
        <w:t xml:space="preserve"> </w:t>
      </w:r>
      <w:r>
        <w:rPr>
          <w:sz w:val="18"/>
        </w:rPr>
        <w:t>Report,</w:t>
      </w:r>
      <w:r>
        <w:rPr>
          <w:spacing w:val="-2"/>
          <w:sz w:val="18"/>
        </w:rPr>
        <w:t xml:space="preserve"> </w:t>
      </w:r>
      <w:r>
        <w:rPr>
          <w:i/>
          <w:sz w:val="18"/>
        </w:rPr>
        <w:t>EC</w:t>
      </w:r>
      <w:r>
        <w:rPr>
          <w:i/>
          <w:spacing w:val="-4"/>
          <w:sz w:val="18"/>
        </w:rPr>
        <w:t xml:space="preserve"> </w:t>
      </w:r>
      <w:r>
        <w:rPr>
          <w:i/>
          <w:sz w:val="18"/>
        </w:rPr>
        <w:t>–</w:t>
      </w:r>
      <w:r>
        <w:rPr>
          <w:i/>
          <w:spacing w:val="-1"/>
          <w:sz w:val="18"/>
        </w:rPr>
        <w:t xml:space="preserve"> </w:t>
      </w:r>
      <w:r>
        <w:rPr>
          <w:i/>
          <w:sz w:val="18"/>
        </w:rPr>
        <w:t>Fasteners</w:t>
      </w:r>
      <w:r>
        <w:rPr>
          <w:sz w:val="18"/>
        </w:rPr>
        <w:t>,</w:t>
      </w:r>
      <w:r>
        <w:rPr>
          <w:spacing w:val="3"/>
          <w:sz w:val="18"/>
        </w:rPr>
        <w:t xml:space="preserve"> </w:t>
      </w:r>
      <w:r>
        <w:rPr>
          <w:sz w:val="18"/>
        </w:rPr>
        <w:t>para.</w:t>
      </w:r>
      <w:r>
        <w:rPr>
          <w:spacing w:val="1"/>
          <w:sz w:val="18"/>
        </w:rPr>
        <w:t xml:space="preserve"> </w:t>
      </w:r>
      <w:r>
        <w:rPr>
          <w:sz w:val="18"/>
        </w:rPr>
        <w:t>414</w:t>
      </w:r>
      <w:r>
        <w:rPr>
          <w:spacing w:val="-10"/>
          <w:sz w:val="18"/>
        </w:rPr>
        <w:t xml:space="preserve"> </w:t>
      </w:r>
      <w:r>
        <w:rPr>
          <w:sz w:val="18"/>
        </w:rPr>
        <w:t>(emphasis</w:t>
      </w:r>
      <w:r>
        <w:rPr>
          <w:spacing w:val="1"/>
          <w:sz w:val="18"/>
        </w:rPr>
        <w:t xml:space="preserve"> </w:t>
      </w:r>
      <w:r>
        <w:rPr>
          <w:spacing w:val="-2"/>
          <w:sz w:val="18"/>
        </w:rPr>
        <w:t>added).</w:t>
      </w:r>
    </w:p>
    <w:p w14:paraId="4709760C" w14:textId="77777777" w:rsidR="00BD462C" w:rsidRDefault="00033D0F">
      <w:pPr>
        <w:spacing w:before="1" w:line="218" w:lineRule="exact"/>
        <w:ind w:left="135"/>
        <w:rPr>
          <w:sz w:val="18"/>
        </w:rPr>
      </w:pPr>
      <w:bookmarkStart w:id="809" w:name="_bookmark693"/>
      <w:bookmarkEnd w:id="809"/>
      <w:r>
        <w:rPr>
          <w:position w:val="5"/>
          <w:sz w:val="12"/>
        </w:rPr>
        <w:t>580</w:t>
      </w:r>
      <w:r>
        <w:rPr>
          <w:spacing w:val="14"/>
          <w:position w:val="5"/>
          <w:sz w:val="12"/>
        </w:rPr>
        <w:t xml:space="preserve"> </w:t>
      </w:r>
      <w:r>
        <w:rPr>
          <w:sz w:val="18"/>
        </w:rPr>
        <w:t>Appellate</w:t>
      </w:r>
      <w:r>
        <w:rPr>
          <w:spacing w:val="-9"/>
          <w:sz w:val="18"/>
        </w:rPr>
        <w:t xml:space="preserve"> </w:t>
      </w:r>
      <w:r>
        <w:rPr>
          <w:sz w:val="18"/>
        </w:rPr>
        <w:t>Body</w:t>
      </w:r>
      <w:r>
        <w:rPr>
          <w:spacing w:val="-5"/>
          <w:sz w:val="18"/>
        </w:rPr>
        <w:t xml:space="preserve"> </w:t>
      </w:r>
      <w:r>
        <w:rPr>
          <w:sz w:val="18"/>
        </w:rPr>
        <w:t>Report,</w:t>
      </w:r>
      <w:r>
        <w:rPr>
          <w:spacing w:val="-2"/>
          <w:sz w:val="18"/>
        </w:rPr>
        <w:t xml:space="preserve"> </w:t>
      </w:r>
      <w:r>
        <w:rPr>
          <w:i/>
          <w:sz w:val="18"/>
        </w:rPr>
        <w:t>EC</w:t>
      </w:r>
      <w:r>
        <w:rPr>
          <w:i/>
          <w:spacing w:val="-4"/>
          <w:sz w:val="18"/>
        </w:rPr>
        <w:t xml:space="preserve"> </w:t>
      </w:r>
      <w:r>
        <w:rPr>
          <w:i/>
          <w:sz w:val="18"/>
        </w:rPr>
        <w:t>–</w:t>
      </w:r>
      <w:r>
        <w:rPr>
          <w:i/>
          <w:spacing w:val="-1"/>
          <w:sz w:val="18"/>
        </w:rPr>
        <w:t xml:space="preserve"> </w:t>
      </w:r>
      <w:r>
        <w:rPr>
          <w:i/>
          <w:sz w:val="18"/>
        </w:rPr>
        <w:t>Fasteners</w:t>
      </w:r>
      <w:r>
        <w:rPr>
          <w:i/>
          <w:spacing w:val="-4"/>
          <w:sz w:val="18"/>
        </w:rPr>
        <w:t xml:space="preserve"> </w:t>
      </w:r>
      <w:r>
        <w:rPr>
          <w:i/>
          <w:sz w:val="18"/>
        </w:rPr>
        <w:t>(China)</w:t>
      </w:r>
      <w:r>
        <w:rPr>
          <w:sz w:val="18"/>
        </w:rPr>
        <w:t>,</w:t>
      </w:r>
      <w:r>
        <w:rPr>
          <w:spacing w:val="-2"/>
          <w:sz w:val="18"/>
        </w:rPr>
        <w:t xml:space="preserve"> </w:t>
      </w:r>
      <w:r>
        <w:rPr>
          <w:sz w:val="18"/>
        </w:rPr>
        <w:t>para</w:t>
      </w:r>
      <w:r>
        <w:rPr>
          <w:spacing w:val="-6"/>
          <w:sz w:val="18"/>
        </w:rPr>
        <w:t xml:space="preserve"> </w:t>
      </w:r>
      <w:r>
        <w:rPr>
          <w:sz w:val="18"/>
        </w:rPr>
        <w:t>413,</w:t>
      </w:r>
      <w:r>
        <w:rPr>
          <w:spacing w:val="-2"/>
          <w:sz w:val="18"/>
        </w:rPr>
        <w:t xml:space="preserve"> </w:t>
      </w:r>
      <w:r>
        <w:rPr>
          <w:sz w:val="18"/>
        </w:rPr>
        <w:t>as</w:t>
      </w:r>
      <w:r>
        <w:rPr>
          <w:spacing w:val="-4"/>
          <w:sz w:val="18"/>
        </w:rPr>
        <w:t xml:space="preserve"> </w:t>
      </w:r>
      <w:r>
        <w:rPr>
          <w:sz w:val="18"/>
        </w:rPr>
        <w:t>cited</w:t>
      </w:r>
      <w:r>
        <w:rPr>
          <w:spacing w:val="-5"/>
          <w:sz w:val="18"/>
        </w:rPr>
        <w:t xml:space="preserve"> </w:t>
      </w:r>
      <w:r>
        <w:rPr>
          <w:sz w:val="18"/>
        </w:rPr>
        <w:t>in China's</w:t>
      </w:r>
      <w:r>
        <w:rPr>
          <w:spacing w:val="-4"/>
          <w:sz w:val="18"/>
        </w:rPr>
        <w:t xml:space="preserve"> </w:t>
      </w:r>
      <w:r>
        <w:rPr>
          <w:sz w:val="18"/>
        </w:rPr>
        <w:t>first</w:t>
      </w:r>
      <w:r>
        <w:rPr>
          <w:spacing w:val="-3"/>
          <w:sz w:val="18"/>
        </w:rPr>
        <w:t xml:space="preserve"> </w:t>
      </w:r>
      <w:r>
        <w:rPr>
          <w:sz w:val="18"/>
        </w:rPr>
        <w:t>written</w:t>
      </w:r>
      <w:r>
        <w:rPr>
          <w:spacing w:val="-5"/>
          <w:sz w:val="18"/>
        </w:rPr>
        <w:t xml:space="preserve"> </w:t>
      </w:r>
      <w:r>
        <w:rPr>
          <w:sz w:val="18"/>
        </w:rPr>
        <w:t>submission,</w:t>
      </w:r>
      <w:r>
        <w:rPr>
          <w:spacing w:val="-2"/>
          <w:sz w:val="18"/>
        </w:rPr>
        <w:t xml:space="preserve"> </w:t>
      </w:r>
      <w:r>
        <w:rPr>
          <w:sz w:val="18"/>
        </w:rPr>
        <w:t>para.</w:t>
      </w:r>
      <w:r>
        <w:rPr>
          <w:spacing w:val="-3"/>
          <w:sz w:val="18"/>
        </w:rPr>
        <w:t xml:space="preserve"> </w:t>
      </w:r>
      <w:r>
        <w:rPr>
          <w:spacing w:val="-4"/>
          <w:sz w:val="18"/>
        </w:rPr>
        <w:t>913.</w:t>
      </w:r>
    </w:p>
    <w:p w14:paraId="51028A58" w14:textId="77777777" w:rsidR="00BD462C" w:rsidRDefault="00033D0F">
      <w:pPr>
        <w:ind w:left="136" w:right="911" w:hanging="1"/>
        <w:jc w:val="both"/>
        <w:rPr>
          <w:sz w:val="18"/>
        </w:rPr>
      </w:pPr>
      <w:bookmarkStart w:id="810" w:name="_bookmark694"/>
      <w:bookmarkEnd w:id="810"/>
      <w:r>
        <w:rPr>
          <w:position w:val="5"/>
          <w:sz w:val="12"/>
        </w:rPr>
        <w:t>581</w:t>
      </w:r>
      <w:r>
        <w:rPr>
          <w:spacing w:val="-7"/>
          <w:position w:val="5"/>
          <w:sz w:val="12"/>
        </w:rPr>
        <w:t xml:space="preserve"> </w:t>
      </w:r>
      <w:r>
        <w:rPr>
          <w:sz w:val="18"/>
        </w:rPr>
        <w:t>This</w:t>
      </w:r>
      <w:r>
        <w:rPr>
          <w:spacing w:val="-10"/>
          <w:sz w:val="18"/>
        </w:rPr>
        <w:t xml:space="preserve"> </w:t>
      </w:r>
      <w:r>
        <w:rPr>
          <w:sz w:val="18"/>
        </w:rPr>
        <w:t>is</w:t>
      </w:r>
      <w:r>
        <w:rPr>
          <w:spacing w:val="-11"/>
          <w:sz w:val="18"/>
        </w:rPr>
        <w:t xml:space="preserve"> </w:t>
      </w:r>
      <w:r>
        <w:rPr>
          <w:sz w:val="18"/>
        </w:rPr>
        <w:t>notwithstanding</w:t>
      </w:r>
      <w:r>
        <w:rPr>
          <w:spacing w:val="-10"/>
          <w:sz w:val="18"/>
        </w:rPr>
        <w:t xml:space="preserve"> </w:t>
      </w:r>
      <w:r>
        <w:rPr>
          <w:sz w:val="18"/>
        </w:rPr>
        <w:t>Australia's</w:t>
      </w:r>
      <w:r>
        <w:rPr>
          <w:spacing w:val="-10"/>
          <w:sz w:val="18"/>
        </w:rPr>
        <w:t xml:space="preserve"> </w:t>
      </w:r>
      <w:r>
        <w:rPr>
          <w:sz w:val="18"/>
        </w:rPr>
        <w:t>claims</w:t>
      </w:r>
      <w:r>
        <w:rPr>
          <w:spacing w:val="-10"/>
          <w:sz w:val="18"/>
        </w:rPr>
        <w:t xml:space="preserve"> </w:t>
      </w:r>
      <w:r>
        <w:rPr>
          <w:sz w:val="18"/>
        </w:rPr>
        <w:t>regarding</w:t>
      </w:r>
      <w:r>
        <w:rPr>
          <w:spacing w:val="-10"/>
          <w:sz w:val="18"/>
        </w:rPr>
        <w:t xml:space="preserve"> </w:t>
      </w:r>
      <w:r>
        <w:rPr>
          <w:sz w:val="18"/>
        </w:rPr>
        <w:t>the</w:t>
      </w:r>
      <w:r>
        <w:rPr>
          <w:spacing w:val="-10"/>
          <w:sz w:val="18"/>
        </w:rPr>
        <w:t xml:space="preserve"> </w:t>
      </w:r>
      <w:r>
        <w:rPr>
          <w:sz w:val="18"/>
        </w:rPr>
        <w:t>deficiencies</w:t>
      </w:r>
      <w:r>
        <w:rPr>
          <w:spacing w:val="-11"/>
          <w:sz w:val="18"/>
        </w:rPr>
        <w:t xml:space="preserve"> </w:t>
      </w:r>
      <w:r>
        <w:rPr>
          <w:sz w:val="18"/>
        </w:rPr>
        <w:t>in</w:t>
      </w:r>
      <w:r>
        <w:rPr>
          <w:spacing w:val="-10"/>
          <w:sz w:val="18"/>
        </w:rPr>
        <w:t xml:space="preserve"> </w:t>
      </w:r>
      <w:r>
        <w:rPr>
          <w:sz w:val="18"/>
        </w:rPr>
        <w:t>MOFCOM's</w:t>
      </w:r>
      <w:r>
        <w:rPr>
          <w:spacing w:val="-10"/>
          <w:sz w:val="18"/>
        </w:rPr>
        <w:t xml:space="preserve"> </w:t>
      </w:r>
      <w:r>
        <w:rPr>
          <w:sz w:val="18"/>
        </w:rPr>
        <w:t>calculation</w:t>
      </w:r>
      <w:r>
        <w:rPr>
          <w:spacing w:val="-10"/>
          <w:sz w:val="18"/>
        </w:rPr>
        <w:t xml:space="preserve"> </w:t>
      </w:r>
      <w:r>
        <w:rPr>
          <w:sz w:val="18"/>
        </w:rPr>
        <w:t>of</w:t>
      </w:r>
      <w:r>
        <w:rPr>
          <w:spacing w:val="-10"/>
          <w:sz w:val="18"/>
        </w:rPr>
        <w:t xml:space="preserve"> </w:t>
      </w:r>
      <w:r>
        <w:rPr>
          <w:sz w:val="18"/>
        </w:rPr>
        <w:t>total</w:t>
      </w:r>
      <w:r>
        <w:rPr>
          <w:spacing w:val="-6"/>
          <w:sz w:val="18"/>
        </w:rPr>
        <w:t xml:space="preserve"> </w:t>
      </w:r>
      <w:r>
        <w:rPr>
          <w:sz w:val="18"/>
        </w:rPr>
        <w:t>domestic</w:t>
      </w:r>
      <w:r>
        <w:rPr>
          <w:spacing w:val="-11"/>
          <w:sz w:val="18"/>
        </w:rPr>
        <w:t xml:space="preserve"> </w:t>
      </w:r>
      <w:r>
        <w:rPr>
          <w:sz w:val="18"/>
        </w:rPr>
        <w:t>production, as discussed above, meaning that Australia firmly argues that MOFCOM failed to meet the quantitative threshold in the circumstances of this case. In such circumstances, an objective and unbiased investigating authority would have been particularly sensitive to a potential material risk of distortion arising.</w:t>
      </w:r>
    </w:p>
    <w:p w14:paraId="69821F98" w14:textId="77777777" w:rsidR="00BD462C" w:rsidRDefault="00033D0F">
      <w:pPr>
        <w:spacing w:before="2"/>
        <w:ind w:left="135"/>
        <w:jc w:val="both"/>
        <w:rPr>
          <w:sz w:val="18"/>
        </w:rPr>
      </w:pPr>
      <w:bookmarkStart w:id="811" w:name="_bookmark695"/>
      <w:bookmarkEnd w:id="811"/>
      <w:r>
        <w:rPr>
          <w:position w:val="5"/>
          <w:sz w:val="12"/>
        </w:rPr>
        <w:t>582</w:t>
      </w:r>
      <w:r>
        <w:rPr>
          <w:spacing w:val="12"/>
          <w:position w:val="5"/>
          <w:sz w:val="12"/>
        </w:rPr>
        <w:t xml:space="preserve"> </w:t>
      </w:r>
      <w:r>
        <w:rPr>
          <w:sz w:val="18"/>
        </w:rPr>
        <w:t>Australia's</w:t>
      </w:r>
      <w:r>
        <w:rPr>
          <w:spacing w:val="-6"/>
          <w:sz w:val="18"/>
        </w:rPr>
        <w:t xml:space="preserve"> </w:t>
      </w:r>
      <w:r>
        <w:rPr>
          <w:sz w:val="18"/>
        </w:rPr>
        <w:t>first</w:t>
      </w:r>
      <w:r>
        <w:rPr>
          <w:spacing w:val="-6"/>
          <w:sz w:val="18"/>
        </w:rPr>
        <w:t xml:space="preserve"> </w:t>
      </w:r>
      <w:r>
        <w:rPr>
          <w:sz w:val="18"/>
        </w:rPr>
        <w:t>written</w:t>
      </w:r>
      <w:r>
        <w:rPr>
          <w:spacing w:val="-2"/>
          <w:sz w:val="18"/>
        </w:rPr>
        <w:t xml:space="preserve"> </w:t>
      </w:r>
      <w:r>
        <w:rPr>
          <w:sz w:val="18"/>
        </w:rPr>
        <w:t>submission, para.</w:t>
      </w:r>
      <w:r>
        <w:rPr>
          <w:spacing w:val="-5"/>
          <w:sz w:val="18"/>
        </w:rPr>
        <w:t xml:space="preserve"> </w:t>
      </w:r>
      <w:r>
        <w:rPr>
          <w:spacing w:val="-4"/>
          <w:sz w:val="18"/>
        </w:rPr>
        <w:t>541.</w:t>
      </w:r>
    </w:p>
    <w:p w14:paraId="4002EAF4" w14:textId="77777777" w:rsidR="00BD462C" w:rsidRDefault="00BD462C">
      <w:pPr>
        <w:jc w:val="both"/>
        <w:rPr>
          <w:sz w:val="18"/>
        </w:rPr>
        <w:sectPr w:rsidR="00BD462C">
          <w:pgSz w:w="11910" w:h="16840"/>
          <w:pgMar w:top="860" w:right="500" w:bottom="780" w:left="1280" w:header="566" w:footer="590" w:gutter="0"/>
          <w:cols w:space="720"/>
        </w:sectPr>
      </w:pPr>
    </w:p>
    <w:p w14:paraId="4AFC5939"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4DF7BD97"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34313A8C"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5F9FEDE4" w14:textId="77777777" w:rsidR="00BD462C" w:rsidRDefault="00033D0F">
      <w:pPr>
        <w:pStyle w:val="BodyText"/>
        <w:spacing w:before="102" w:line="360" w:lineRule="auto"/>
        <w:ind w:left="135" w:right="911"/>
        <w:jc w:val="both"/>
      </w:pPr>
      <w:r>
        <w:t>questionnaire</w:t>
      </w:r>
      <w:r>
        <w:rPr>
          <w:spacing w:val="-14"/>
        </w:rPr>
        <w:t xml:space="preserve"> </w:t>
      </w:r>
      <w:r>
        <w:t>responses.</w:t>
      </w:r>
      <w:hyperlink w:anchor="_bookmark696" w:history="1">
        <w:r>
          <w:rPr>
            <w:vertAlign w:val="superscript"/>
          </w:rPr>
          <w:t>583</w:t>
        </w:r>
      </w:hyperlink>
      <w:r>
        <w:rPr>
          <w:spacing w:val="-14"/>
        </w:rPr>
        <w:t xml:space="preserve"> </w:t>
      </w:r>
      <w:r>
        <w:t>At</w:t>
      </w:r>
      <w:r>
        <w:rPr>
          <w:spacing w:val="-11"/>
        </w:rPr>
        <w:t xml:space="preserve"> </w:t>
      </w:r>
      <w:r>
        <w:t>the</w:t>
      </w:r>
      <w:r>
        <w:rPr>
          <w:spacing w:val="-12"/>
        </w:rPr>
        <w:t xml:space="preserve"> </w:t>
      </w:r>
      <w:r>
        <w:t>first</w:t>
      </w:r>
      <w:r>
        <w:rPr>
          <w:spacing w:val="-11"/>
        </w:rPr>
        <w:t xml:space="preserve"> </w:t>
      </w:r>
      <w:r>
        <w:t>substantive</w:t>
      </w:r>
      <w:r>
        <w:rPr>
          <w:spacing w:val="-14"/>
        </w:rPr>
        <w:t xml:space="preserve"> </w:t>
      </w:r>
      <w:r>
        <w:t>meeting,</w:t>
      </w:r>
      <w:r>
        <w:rPr>
          <w:spacing w:val="-10"/>
        </w:rPr>
        <w:t xml:space="preserve"> </w:t>
      </w:r>
      <w:r>
        <w:t>China</w:t>
      </w:r>
      <w:r>
        <w:rPr>
          <w:spacing w:val="-12"/>
        </w:rPr>
        <w:t xml:space="preserve"> </w:t>
      </w:r>
      <w:r>
        <w:t>claimed,</w:t>
      </w:r>
      <w:r>
        <w:rPr>
          <w:spacing w:val="-10"/>
        </w:rPr>
        <w:t xml:space="preserve"> </w:t>
      </w:r>
      <w:r>
        <w:rPr>
          <w:i/>
        </w:rPr>
        <w:t>ex</w:t>
      </w:r>
      <w:r>
        <w:rPr>
          <w:i/>
          <w:spacing w:val="-11"/>
        </w:rPr>
        <w:t xml:space="preserve"> </w:t>
      </w:r>
      <w:r>
        <w:rPr>
          <w:i/>
        </w:rPr>
        <w:t>post</w:t>
      </w:r>
      <w:r>
        <w:rPr>
          <w:i/>
          <w:spacing w:val="-11"/>
        </w:rPr>
        <w:t xml:space="preserve"> </w:t>
      </w:r>
      <w:r>
        <w:rPr>
          <w:i/>
        </w:rPr>
        <w:t>facto</w:t>
      </w:r>
      <w:r>
        <w:t>,</w:t>
      </w:r>
      <w:r>
        <w:rPr>
          <w:spacing w:val="-14"/>
        </w:rPr>
        <w:t xml:space="preserve"> </w:t>
      </w:r>
      <w:r>
        <w:t>that MOFCOM "cross-checked" the data of three companies, despite there being nothing on the record</w:t>
      </w:r>
      <w:r>
        <w:rPr>
          <w:spacing w:val="-14"/>
        </w:rPr>
        <w:t xml:space="preserve"> </w:t>
      </w:r>
      <w:r>
        <w:t>to</w:t>
      </w:r>
      <w:r>
        <w:rPr>
          <w:spacing w:val="-14"/>
        </w:rPr>
        <w:t xml:space="preserve"> </w:t>
      </w:r>
      <w:r>
        <w:t>suggest</w:t>
      </w:r>
      <w:r>
        <w:rPr>
          <w:spacing w:val="-13"/>
        </w:rPr>
        <w:t xml:space="preserve"> </w:t>
      </w:r>
      <w:r>
        <w:t>that</w:t>
      </w:r>
      <w:r>
        <w:rPr>
          <w:spacing w:val="-14"/>
        </w:rPr>
        <w:t xml:space="preserve"> </w:t>
      </w:r>
      <w:r>
        <w:t>this</w:t>
      </w:r>
      <w:r>
        <w:rPr>
          <w:spacing w:val="-13"/>
        </w:rPr>
        <w:t xml:space="preserve"> </w:t>
      </w:r>
      <w:r>
        <w:t>had</w:t>
      </w:r>
      <w:r>
        <w:rPr>
          <w:spacing w:val="-14"/>
        </w:rPr>
        <w:t xml:space="preserve"> </w:t>
      </w:r>
      <w:r>
        <w:t>occurred.</w:t>
      </w:r>
      <w:hyperlink w:anchor="_bookmark697" w:history="1">
        <w:r>
          <w:rPr>
            <w:vertAlign w:val="superscript"/>
          </w:rPr>
          <w:t>584</w:t>
        </w:r>
      </w:hyperlink>
      <w:r>
        <w:rPr>
          <w:spacing w:val="-13"/>
        </w:rPr>
        <w:t xml:space="preserve"> </w:t>
      </w:r>
      <w:r>
        <w:t>Australia</w:t>
      </w:r>
      <w:r>
        <w:rPr>
          <w:spacing w:val="-14"/>
        </w:rPr>
        <w:t xml:space="preserve"> </w:t>
      </w:r>
      <w:r>
        <w:t>will</w:t>
      </w:r>
      <w:r>
        <w:rPr>
          <w:spacing w:val="-14"/>
        </w:rPr>
        <w:t xml:space="preserve"> </w:t>
      </w:r>
      <w:r>
        <w:t>not</w:t>
      </w:r>
      <w:r>
        <w:rPr>
          <w:spacing w:val="-9"/>
        </w:rPr>
        <w:t xml:space="preserve"> </w:t>
      </w:r>
      <w:r>
        <w:t>repeat</w:t>
      </w:r>
      <w:r>
        <w:rPr>
          <w:spacing w:val="-14"/>
        </w:rPr>
        <w:t xml:space="preserve"> </w:t>
      </w:r>
      <w:r>
        <w:t>its</w:t>
      </w:r>
      <w:r>
        <w:rPr>
          <w:spacing w:val="-14"/>
        </w:rPr>
        <w:t xml:space="preserve"> </w:t>
      </w:r>
      <w:r>
        <w:t>arguments</w:t>
      </w:r>
      <w:r>
        <w:rPr>
          <w:spacing w:val="-13"/>
        </w:rPr>
        <w:t xml:space="preserve"> </w:t>
      </w:r>
      <w:r>
        <w:t>in</w:t>
      </w:r>
      <w:r>
        <w:rPr>
          <w:spacing w:val="-13"/>
        </w:rPr>
        <w:t xml:space="preserve"> </w:t>
      </w:r>
      <w:r>
        <w:t>response, which are set out in its written response to Panel question No. 18.</w:t>
      </w:r>
      <w:hyperlink w:anchor="_bookmark698" w:history="1">
        <w:r>
          <w:rPr>
            <w:vertAlign w:val="superscript"/>
          </w:rPr>
          <w:t>585</w:t>
        </w:r>
      </w:hyperlink>
      <w:r>
        <w:t xml:space="preserve"> However, </w:t>
      </w:r>
      <w:r>
        <w:rPr>
          <w:i/>
        </w:rPr>
        <w:t>arguendo</w:t>
      </w:r>
      <w:r>
        <w:t>, even</w:t>
      </w:r>
      <w:r>
        <w:rPr>
          <w:spacing w:val="-10"/>
        </w:rPr>
        <w:t xml:space="preserve"> </w:t>
      </w:r>
      <w:r>
        <w:t>if</w:t>
      </w:r>
      <w:r>
        <w:rPr>
          <w:spacing w:val="-10"/>
        </w:rPr>
        <w:t xml:space="preserve"> </w:t>
      </w:r>
      <w:r>
        <w:t>China's</w:t>
      </w:r>
      <w:r>
        <w:rPr>
          <w:spacing w:val="-7"/>
        </w:rPr>
        <w:t xml:space="preserve"> </w:t>
      </w:r>
      <w:r>
        <w:rPr>
          <w:i/>
        </w:rPr>
        <w:t>ex</w:t>
      </w:r>
      <w:r>
        <w:rPr>
          <w:i/>
          <w:spacing w:val="-7"/>
        </w:rPr>
        <w:t xml:space="preserve"> </w:t>
      </w:r>
      <w:r>
        <w:rPr>
          <w:i/>
        </w:rPr>
        <w:t>post</w:t>
      </w:r>
      <w:r>
        <w:rPr>
          <w:i/>
          <w:spacing w:val="-8"/>
        </w:rPr>
        <w:t xml:space="preserve"> </w:t>
      </w:r>
      <w:r>
        <w:rPr>
          <w:i/>
        </w:rPr>
        <w:t>facto</w:t>
      </w:r>
      <w:r>
        <w:rPr>
          <w:i/>
          <w:spacing w:val="-7"/>
        </w:rPr>
        <w:t xml:space="preserve"> </w:t>
      </w:r>
      <w:proofErr w:type="spellStart"/>
      <w:r>
        <w:t>rationalisation</w:t>
      </w:r>
      <w:proofErr w:type="spellEnd"/>
      <w:r>
        <w:rPr>
          <w:spacing w:val="-10"/>
        </w:rPr>
        <w:t xml:space="preserve"> </w:t>
      </w:r>
      <w:r>
        <w:t>was</w:t>
      </w:r>
      <w:r>
        <w:rPr>
          <w:spacing w:val="-7"/>
        </w:rPr>
        <w:t xml:space="preserve"> </w:t>
      </w:r>
      <w:r>
        <w:t>accepted,</w:t>
      </w:r>
      <w:r>
        <w:rPr>
          <w:spacing w:val="-6"/>
        </w:rPr>
        <w:t xml:space="preserve"> </w:t>
      </w:r>
      <w:r>
        <w:t>it</w:t>
      </w:r>
      <w:r>
        <w:rPr>
          <w:spacing w:val="-8"/>
        </w:rPr>
        <w:t xml:space="preserve"> </w:t>
      </w:r>
      <w:r>
        <w:t>remains</w:t>
      </w:r>
      <w:r>
        <w:rPr>
          <w:spacing w:val="-7"/>
        </w:rPr>
        <w:t xml:space="preserve"> </w:t>
      </w:r>
      <w:r>
        <w:t>clear</w:t>
      </w:r>
      <w:r>
        <w:rPr>
          <w:spacing w:val="-11"/>
        </w:rPr>
        <w:t xml:space="preserve"> </w:t>
      </w:r>
      <w:r>
        <w:t>that,</w:t>
      </w:r>
      <w:r>
        <w:rPr>
          <w:spacing w:val="-6"/>
        </w:rPr>
        <w:t xml:space="preserve"> </w:t>
      </w:r>
      <w:r>
        <w:t>at</w:t>
      </w:r>
      <w:r>
        <w:rPr>
          <w:spacing w:val="-8"/>
        </w:rPr>
        <w:t xml:space="preserve"> </w:t>
      </w:r>
      <w:r>
        <w:t>a</w:t>
      </w:r>
      <w:r>
        <w:rPr>
          <w:spacing w:val="-9"/>
        </w:rPr>
        <w:t xml:space="preserve"> </w:t>
      </w:r>
      <w:r>
        <w:t>minimum, China failed to satisfy itself as to the accuracy of the production information of at least 16 of the 21 domestic producers.</w:t>
      </w:r>
    </w:p>
    <w:p w14:paraId="15762649" w14:textId="77777777" w:rsidR="00BD462C" w:rsidRDefault="00033D0F">
      <w:pPr>
        <w:pStyle w:val="ListParagraph"/>
        <w:numPr>
          <w:ilvl w:val="1"/>
          <w:numId w:val="56"/>
        </w:numPr>
        <w:tabs>
          <w:tab w:val="left" w:pos="3539"/>
          <w:tab w:val="left" w:pos="3540"/>
        </w:tabs>
        <w:spacing w:before="159" w:line="360" w:lineRule="auto"/>
        <w:ind w:right="913"/>
        <w:jc w:val="both"/>
        <w:rPr>
          <w:sz w:val="24"/>
        </w:rPr>
      </w:pPr>
      <w:bookmarkStart w:id="812" w:name="(d)_China's_misleading_claims_regarding_"/>
      <w:bookmarkEnd w:id="812"/>
      <w:r>
        <w:rPr>
          <w:sz w:val="24"/>
          <w:u w:val="single"/>
        </w:rPr>
        <w:t>China's misleading claims regarding statements made by</w:t>
      </w:r>
      <w:r>
        <w:rPr>
          <w:sz w:val="24"/>
        </w:rPr>
        <w:t xml:space="preserve"> </w:t>
      </w:r>
      <w:r>
        <w:rPr>
          <w:sz w:val="24"/>
          <w:u w:val="single"/>
        </w:rPr>
        <w:t>interested parties regarding MOFCOM's total domestic</w:t>
      </w:r>
      <w:r>
        <w:rPr>
          <w:sz w:val="24"/>
        </w:rPr>
        <w:t xml:space="preserve"> </w:t>
      </w:r>
      <w:r>
        <w:rPr>
          <w:sz w:val="24"/>
          <w:u w:val="single"/>
        </w:rPr>
        <w:t>production calculation</w:t>
      </w:r>
    </w:p>
    <w:p w14:paraId="70A78BEB" w14:textId="77777777" w:rsidR="00BD462C" w:rsidRDefault="00BD462C">
      <w:pPr>
        <w:pStyle w:val="BodyText"/>
        <w:spacing w:before="11"/>
        <w:rPr>
          <w:sz w:val="8"/>
        </w:rPr>
      </w:pPr>
    </w:p>
    <w:p w14:paraId="66AFA88F" w14:textId="60B79BA0" w:rsidR="00BD462C" w:rsidRDefault="009F0669">
      <w:pPr>
        <w:pStyle w:val="BodyText"/>
        <w:spacing w:before="56" w:line="360" w:lineRule="auto"/>
        <w:ind w:left="135" w:right="913" w:hanging="5"/>
        <w:jc w:val="both"/>
      </w:pPr>
      <w:r w:rsidRPr="009F0669">
        <w:rPr>
          <w:position w:val="1"/>
        </w:rPr>
        <w:t xml:space="preserve">420. </w:t>
      </w:r>
      <w:r w:rsidR="00033D0F">
        <w:rPr>
          <w:position w:val="1"/>
        </w:rPr>
        <w:t xml:space="preserve">China relies on misrepresentations of the evidence on the record in </w:t>
      </w:r>
      <w:proofErr w:type="spellStart"/>
      <w:r w:rsidR="00033D0F">
        <w:rPr>
          <w:position w:val="1"/>
        </w:rPr>
        <w:t>defence</w:t>
      </w:r>
      <w:proofErr w:type="spellEnd"/>
      <w:r w:rsidR="00033D0F">
        <w:rPr>
          <w:position w:val="1"/>
        </w:rPr>
        <w:t xml:space="preserve"> of </w:t>
      </w:r>
      <w:r w:rsidR="00033D0F">
        <w:t>MOFCOM's failures. In particular, China argues that, after the Preliminary Determination, Australian Food and Beverage Group (AFBG) indicated in its comments on the Preliminary Determination that "it respected the verified statistical data of the overall wine output in China."</w:t>
      </w:r>
      <w:hyperlink w:anchor="_bookmark699" w:history="1">
        <w:r w:rsidR="00033D0F">
          <w:rPr>
            <w:vertAlign w:val="superscript"/>
          </w:rPr>
          <w:t>586</w:t>
        </w:r>
      </w:hyperlink>
      <w:r w:rsidR="00033D0F">
        <w:t xml:space="preserve"> Looking at AFBG's actual comments, it merely stated as follows: "Identification of the</w:t>
      </w:r>
      <w:r w:rsidR="00033D0F">
        <w:rPr>
          <w:spacing w:val="-11"/>
        </w:rPr>
        <w:t xml:space="preserve"> </w:t>
      </w:r>
      <w:r w:rsidR="00033D0F">
        <w:t>domestic</w:t>
      </w:r>
      <w:r w:rsidR="00033D0F">
        <w:rPr>
          <w:spacing w:val="-12"/>
        </w:rPr>
        <w:t xml:space="preserve"> </w:t>
      </w:r>
      <w:r w:rsidR="00033D0F">
        <w:t>industry</w:t>
      </w:r>
      <w:r w:rsidR="00033D0F">
        <w:rPr>
          <w:spacing w:val="-10"/>
        </w:rPr>
        <w:t xml:space="preserve"> </w:t>
      </w:r>
      <w:r w:rsidR="00033D0F">
        <w:t>[</w:t>
      </w:r>
      <w:r w:rsidR="00033D0F">
        <w:rPr>
          <w:i/>
        </w:rPr>
        <w:t>sic</w:t>
      </w:r>
      <w:r w:rsidR="00033D0F">
        <w:t>]</w:t>
      </w:r>
      <w:r w:rsidR="00033D0F">
        <w:rPr>
          <w:spacing w:val="-13"/>
        </w:rPr>
        <w:t xml:space="preserve"> </w:t>
      </w:r>
      <w:r w:rsidR="00033D0F">
        <w:rPr>
          <w:i/>
        </w:rPr>
        <w:t>AFBG</w:t>
      </w:r>
      <w:r w:rsidR="00033D0F">
        <w:rPr>
          <w:i/>
          <w:spacing w:val="-9"/>
        </w:rPr>
        <w:t xml:space="preserve"> </w:t>
      </w:r>
      <w:r w:rsidR="00033D0F">
        <w:rPr>
          <w:i/>
        </w:rPr>
        <w:t>must</w:t>
      </w:r>
      <w:r w:rsidR="00033D0F">
        <w:rPr>
          <w:i/>
          <w:spacing w:val="-10"/>
        </w:rPr>
        <w:t xml:space="preserve"> </w:t>
      </w:r>
      <w:r w:rsidR="00033D0F">
        <w:rPr>
          <w:i/>
        </w:rPr>
        <w:t>respect</w:t>
      </w:r>
      <w:r w:rsidR="00033D0F">
        <w:rPr>
          <w:i/>
          <w:spacing w:val="-10"/>
        </w:rPr>
        <w:t xml:space="preserve"> </w:t>
      </w:r>
      <w:r w:rsidR="00033D0F">
        <w:rPr>
          <w:i/>
        </w:rPr>
        <w:t>the</w:t>
      </w:r>
      <w:r w:rsidR="00033D0F">
        <w:rPr>
          <w:i/>
          <w:spacing w:val="-11"/>
        </w:rPr>
        <w:t xml:space="preserve"> </w:t>
      </w:r>
      <w:r w:rsidR="00033D0F">
        <w:rPr>
          <w:i/>
        </w:rPr>
        <w:t>verified</w:t>
      </w:r>
      <w:r w:rsidR="00033D0F">
        <w:rPr>
          <w:i/>
          <w:spacing w:val="-10"/>
        </w:rPr>
        <w:t xml:space="preserve"> </w:t>
      </w:r>
      <w:r w:rsidR="00033D0F">
        <w:rPr>
          <w:i/>
        </w:rPr>
        <w:t>statistics</w:t>
      </w:r>
      <w:r w:rsidR="00033D0F">
        <w:rPr>
          <w:i/>
          <w:spacing w:val="-14"/>
        </w:rPr>
        <w:t xml:space="preserve"> </w:t>
      </w:r>
      <w:r w:rsidR="00033D0F">
        <w:rPr>
          <w:i/>
        </w:rPr>
        <w:t>of</w:t>
      </w:r>
      <w:r w:rsidR="00033D0F">
        <w:rPr>
          <w:i/>
          <w:spacing w:val="-13"/>
        </w:rPr>
        <w:t xml:space="preserve"> </w:t>
      </w:r>
      <w:r w:rsidR="00033D0F">
        <w:rPr>
          <w:i/>
        </w:rPr>
        <w:t>the</w:t>
      </w:r>
      <w:r w:rsidR="00033D0F">
        <w:rPr>
          <w:i/>
          <w:spacing w:val="-11"/>
        </w:rPr>
        <w:t xml:space="preserve"> </w:t>
      </w:r>
      <w:r w:rsidR="00033D0F">
        <w:rPr>
          <w:i/>
        </w:rPr>
        <w:t>overall</w:t>
      </w:r>
      <w:r w:rsidR="00033D0F">
        <w:rPr>
          <w:i/>
          <w:spacing w:val="-9"/>
        </w:rPr>
        <w:t xml:space="preserve"> </w:t>
      </w:r>
      <w:r w:rsidR="00033D0F">
        <w:rPr>
          <w:i/>
        </w:rPr>
        <w:t>output</w:t>
      </w:r>
      <w:r w:rsidR="00033D0F">
        <w:rPr>
          <w:i/>
          <w:spacing w:val="-10"/>
        </w:rPr>
        <w:t xml:space="preserve"> </w:t>
      </w:r>
      <w:r w:rsidR="00033D0F">
        <w:rPr>
          <w:i/>
        </w:rPr>
        <w:t>of</w:t>
      </w:r>
      <w:r w:rsidR="00033D0F">
        <w:rPr>
          <w:i/>
          <w:spacing w:val="-13"/>
        </w:rPr>
        <w:t xml:space="preserve"> </w:t>
      </w:r>
      <w:r w:rsidR="00033D0F">
        <w:rPr>
          <w:i/>
        </w:rPr>
        <w:t>the Chinese Wines</w:t>
      </w:r>
      <w:r w:rsidR="00033D0F">
        <w:t>".</w:t>
      </w:r>
      <w:hyperlink w:anchor="_bookmark700" w:history="1">
        <w:r w:rsidR="00033D0F">
          <w:rPr>
            <w:vertAlign w:val="superscript"/>
          </w:rPr>
          <w:t>587</w:t>
        </w:r>
      </w:hyperlink>
      <w:r w:rsidR="00033D0F">
        <w:t xml:space="preserve"> This is not a confirmation that the statistics are accurate or that AFBG agrees with the data. Rather, AFBG is merely stating that it has no choice but to "respect" MOFCOM's</w:t>
      </w:r>
      <w:r w:rsidR="00033D0F">
        <w:rPr>
          <w:spacing w:val="-6"/>
        </w:rPr>
        <w:t xml:space="preserve"> </w:t>
      </w:r>
      <w:r w:rsidR="00033D0F">
        <w:t>"overall</w:t>
      </w:r>
      <w:r w:rsidR="00033D0F">
        <w:rPr>
          <w:spacing w:val="-5"/>
        </w:rPr>
        <w:t xml:space="preserve"> </w:t>
      </w:r>
      <w:r w:rsidR="00033D0F">
        <w:t>output"</w:t>
      </w:r>
      <w:r w:rsidR="00033D0F">
        <w:rPr>
          <w:spacing w:val="-8"/>
        </w:rPr>
        <w:t xml:space="preserve"> </w:t>
      </w:r>
      <w:r w:rsidR="00033D0F">
        <w:t>statistics</w:t>
      </w:r>
      <w:r w:rsidR="00033D0F">
        <w:rPr>
          <w:spacing w:val="-6"/>
        </w:rPr>
        <w:t xml:space="preserve"> </w:t>
      </w:r>
      <w:r w:rsidR="00033D0F">
        <w:t>–</w:t>
      </w:r>
      <w:r w:rsidR="00033D0F">
        <w:rPr>
          <w:spacing w:val="-7"/>
        </w:rPr>
        <w:t xml:space="preserve"> </w:t>
      </w:r>
      <w:r w:rsidR="00033D0F">
        <w:t>i.e.,</w:t>
      </w:r>
      <w:r w:rsidR="00033D0F">
        <w:rPr>
          <w:spacing w:val="-5"/>
        </w:rPr>
        <w:t xml:space="preserve"> </w:t>
      </w:r>
      <w:r w:rsidR="00033D0F">
        <w:t>it</w:t>
      </w:r>
      <w:r w:rsidR="00033D0F">
        <w:rPr>
          <w:spacing w:val="-7"/>
        </w:rPr>
        <w:t xml:space="preserve"> </w:t>
      </w:r>
      <w:r w:rsidR="00033D0F">
        <w:t>"must"</w:t>
      </w:r>
      <w:r w:rsidR="00033D0F">
        <w:rPr>
          <w:spacing w:val="-8"/>
        </w:rPr>
        <w:t xml:space="preserve"> </w:t>
      </w:r>
      <w:r w:rsidR="00033D0F">
        <w:t>respect</w:t>
      </w:r>
      <w:r w:rsidR="00033D0F">
        <w:rPr>
          <w:spacing w:val="-7"/>
        </w:rPr>
        <w:t xml:space="preserve"> </w:t>
      </w:r>
      <w:r w:rsidR="00033D0F">
        <w:t>them</w:t>
      </w:r>
      <w:r w:rsidR="00033D0F">
        <w:rPr>
          <w:spacing w:val="-7"/>
        </w:rPr>
        <w:t xml:space="preserve"> </w:t>
      </w:r>
      <w:r w:rsidR="00033D0F">
        <w:t>–</w:t>
      </w:r>
      <w:r w:rsidR="00033D0F">
        <w:rPr>
          <w:spacing w:val="-7"/>
        </w:rPr>
        <w:t xml:space="preserve"> </w:t>
      </w:r>
      <w:r w:rsidR="00033D0F">
        <w:t>which</w:t>
      </w:r>
      <w:r w:rsidR="00033D0F">
        <w:rPr>
          <w:spacing w:val="-4"/>
        </w:rPr>
        <w:t xml:space="preserve"> </w:t>
      </w:r>
      <w:r w:rsidR="00033D0F">
        <w:t>it</w:t>
      </w:r>
      <w:r w:rsidR="00033D0F">
        <w:rPr>
          <w:spacing w:val="-7"/>
        </w:rPr>
        <w:t xml:space="preserve"> </w:t>
      </w:r>
      <w:r w:rsidR="00033D0F">
        <w:t>appears</w:t>
      </w:r>
      <w:r w:rsidR="00033D0F">
        <w:rPr>
          <w:spacing w:val="-6"/>
        </w:rPr>
        <w:t xml:space="preserve"> </w:t>
      </w:r>
      <w:r w:rsidR="00033D0F">
        <w:t>to</w:t>
      </w:r>
      <w:r w:rsidR="00033D0F">
        <w:rPr>
          <w:spacing w:val="-5"/>
        </w:rPr>
        <w:t xml:space="preserve"> </w:t>
      </w:r>
      <w:r w:rsidR="00033D0F">
        <w:t>have assumed</w:t>
      </w:r>
      <w:r w:rsidR="00033D0F">
        <w:rPr>
          <w:spacing w:val="-9"/>
        </w:rPr>
        <w:t xml:space="preserve"> </w:t>
      </w:r>
      <w:r w:rsidR="00033D0F">
        <w:t>were</w:t>
      </w:r>
      <w:r w:rsidR="00033D0F">
        <w:rPr>
          <w:spacing w:val="-7"/>
        </w:rPr>
        <w:t xml:space="preserve"> </w:t>
      </w:r>
      <w:r w:rsidR="00033D0F">
        <w:t>"verified".</w:t>
      </w:r>
      <w:r w:rsidR="00033D0F">
        <w:rPr>
          <w:spacing w:val="-6"/>
        </w:rPr>
        <w:t xml:space="preserve"> </w:t>
      </w:r>
      <w:r w:rsidR="00033D0F">
        <w:t>AFBG's</w:t>
      </w:r>
      <w:r w:rsidR="00033D0F">
        <w:rPr>
          <w:spacing w:val="-6"/>
        </w:rPr>
        <w:t xml:space="preserve"> </w:t>
      </w:r>
      <w:r w:rsidR="00033D0F">
        <w:t>use</w:t>
      </w:r>
      <w:r w:rsidR="00033D0F">
        <w:rPr>
          <w:spacing w:val="-7"/>
        </w:rPr>
        <w:t xml:space="preserve"> </w:t>
      </w:r>
      <w:r w:rsidR="00033D0F">
        <w:t>of</w:t>
      </w:r>
      <w:r w:rsidR="00033D0F">
        <w:rPr>
          <w:spacing w:val="-9"/>
        </w:rPr>
        <w:t xml:space="preserve"> </w:t>
      </w:r>
      <w:r w:rsidR="00033D0F">
        <w:t>this</w:t>
      </w:r>
      <w:r w:rsidR="00033D0F">
        <w:rPr>
          <w:spacing w:val="-6"/>
        </w:rPr>
        <w:t xml:space="preserve"> </w:t>
      </w:r>
      <w:r w:rsidR="00033D0F">
        <w:t>subjective</w:t>
      </w:r>
      <w:r w:rsidR="00033D0F">
        <w:rPr>
          <w:spacing w:val="-7"/>
        </w:rPr>
        <w:t xml:space="preserve"> </w:t>
      </w:r>
      <w:r w:rsidR="00033D0F">
        <w:t>word</w:t>
      </w:r>
      <w:r w:rsidR="00033D0F">
        <w:rPr>
          <w:spacing w:val="-9"/>
        </w:rPr>
        <w:t xml:space="preserve"> </w:t>
      </w:r>
      <w:r w:rsidR="00033D0F">
        <w:t>does</w:t>
      </w:r>
      <w:r w:rsidR="00033D0F">
        <w:rPr>
          <w:spacing w:val="-6"/>
        </w:rPr>
        <w:t xml:space="preserve"> </w:t>
      </w:r>
      <w:r w:rsidR="00033D0F">
        <w:t>not</w:t>
      </w:r>
      <w:r w:rsidR="00033D0F">
        <w:rPr>
          <w:spacing w:val="-7"/>
        </w:rPr>
        <w:t xml:space="preserve"> </w:t>
      </w:r>
      <w:r w:rsidR="00033D0F">
        <w:t>mean</w:t>
      </w:r>
      <w:r w:rsidR="00033D0F">
        <w:rPr>
          <w:spacing w:val="-9"/>
        </w:rPr>
        <w:t xml:space="preserve"> </w:t>
      </w:r>
      <w:r w:rsidR="00033D0F">
        <w:t>that</w:t>
      </w:r>
      <w:r w:rsidR="00033D0F">
        <w:rPr>
          <w:spacing w:val="-7"/>
        </w:rPr>
        <w:t xml:space="preserve"> </w:t>
      </w:r>
      <w:r w:rsidR="00033D0F">
        <w:t>the</w:t>
      </w:r>
      <w:r w:rsidR="00033D0F">
        <w:rPr>
          <w:spacing w:val="-2"/>
        </w:rPr>
        <w:t xml:space="preserve"> </w:t>
      </w:r>
      <w:r w:rsidR="00033D0F">
        <w:t>data</w:t>
      </w:r>
      <w:r w:rsidR="00033D0F">
        <w:rPr>
          <w:spacing w:val="-7"/>
        </w:rPr>
        <w:t xml:space="preserve"> </w:t>
      </w:r>
      <w:r w:rsidR="00033D0F">
        <w:t>was verified.</w:t>
      </w:r>
      <w:r w:rsidR="00033D0F">
        <w:rPr>
          <w:spacing w:val="-10"/>
        </w:rPr>
        <w:t xml:space="preserve"> </w:t>
      </w:r>
      <w:r w:rsidR="00033D0F">
        <w:t>Indeed,</w:t>
      </w:r>
      <w:r w:rsidR="00033D0F">
        <w:rPr>
          <w:spacing w:val="-9"/>
        </w:rPr>
        <w:t xml:space="preserve"> </w:t>
      </w:r>
      <w:r w:rsidR="00033D0F">
        <w:t>given</w:t>
      </w:r>
      <w:r w:rsidR="00033D0F">
        <w:rPr>
          <w:spacing w:val="-13"/>
        </w:rPr>
        <w:t xml:space="preserve"> </w:t>
      </w:r>
      <w:r w:rsidR="00033D0F">
        <w:t>that</w:t>
      </w:r>
      <w:r w:rsidR="00033D0F">
        <w:rPr>
          <w:spacing w:val="-10"/>
        </w:rPr>
        <w:t xml:space="preserve"> </w:t>
      </w:r>
      <w:r w:rsidR="00033D0F">
        <w:t>this</w:t>
      </w:r>
      <w:r w:rsidR="00033D0F">
        <w:rPr>
          <w:spacing w:val="-9"/>
        </w:rPr>
        <w:t xml:space="preserve"> </w:t>
      </w:r>
      <w:r w:rsidR="00033D0F">
        <w:t>data</w:t>
      </w:r>
      <w:r w:rsidR="00033D0F">
        <w:rPr>
          <w:spacing w:val="-11"/>
        </w:rPr>
        <w:t xml:space="preserve"> </w:t>
      </w:r>
      <w:r w:rsidR="00033D0F">
        <w:t>was</w:t>
      </w:r>
      <w:r w:rsidR="00033D0F">
        <w:rPr>
          <w:spacing w:val="-9"/>
        </w:rPr>
        <w:t xml:space="preserve"> </w:t>
      </w:r>
      <w:r w:rsidR="00033D0F">
        <w:t>never</w:t>
      </w:r>
      <w:r w:rsidR="00033D0F">
        <w:rPr>
          <w:spacing w:val="-14"/>
        </w:rPr>
        <w:t xml:space="preserve"> </w:t>
      </w:r>
      <w:r w:rsidR="00033D0F">
        <w:t>disclosed</w:t>
      </w:r>
      <w:r w:rsidR="00033D0F">
        <w:rPr>
          <w:spacing w:val="-13"/>
        </w:rPr>
        <w:t xml:space="preserve"> </w:t>
      </w:r>
      <w:r w:rsidR="00033D0F">
        <w:t>to</w:t>
      </w:r>
      <w:r w:rsidR="00033D0F">
        <w:rPr>
          <w:spacing w:val="-13"/>
        </w:rPr>
        <w:t xml:space="preserve"> </w:t>
      </w:r>
      <w:r w:rsidR="00033D0F">
        <w:t>interested</w:t>
      </w:r>
      <w:r w:rsidR="00033D0F">
        <w:rPr>
          <w:spacing w:val="-13"/>
        </w:rPr>
        <w:t xml:space="preserve"> </w:t>
      </w:r>
      <w:r w:rsidR="00033D0F">
        <w:t>parties,</w:t>
      </w:r>
      <w:r w:rsidR="00033D0F">
        <w:rPr>
          <w:spacing w:val="-9"/>
        </w:rPr>
        <w:t xml:space="preserve"> </w:t>
      </w:r>
      <w:r w:rsidR="00033D0F">
        <w:t>AFBG</w:t>
      </w:r>
      <w:r w:rsidR="00033D0F">
        <w:rPr>
          <w:spacing w:val="-9"/>
        </w:rPr>
        <w:t xml:space="preserve"> </w:t>
      </w:r>
      <w:r w:rsidR="00033D0F">
        <w:t>could</w:t>
      </w:r>
      <w:r w:rsidR="00033D0F">
        <w:rPr>
          <w:spacing w:val="-13"/>
        </w:rPr>
        <w:t xml:space="preserve"> </w:t>
      </w:r>
      <w:r w:rsidR="00033D0F">
        <w:t>not have known whether or to what extent any of the data was "verified".</w:t>
      </w:r>
    </w:p>
    <w:p w14:paraId="7BE26F41" w14:textId="77777777" w:rsidR="00BD462C" w:rsidRDefault="00BD462C">
      <w:pPr>
        <w:pStyle w:val="BodyText"/>
        <w:spacing w:before="7"/>
        <w:rPr>
          <w:sz w:val="8"/>
        </w:rPr>
      </w:pPr>
    </w:p>
    <w:p w14:paraId="38D313BD" w14:textId="39CF9CAB" w:rsidR="00BD462C" w:rsidRDefault="009F0669">
      <w:pPr>
        <w:pStyle w:val="BodyText"/>
        <w:spacing w:before="56" w:line="357" w:lineRule="auto"/>
        <w:ind w:left="135" w:right="920" w:hanging="5"/>
        <w:jc w:val="both"/>
      </w:pPr>
      <w:r w:rsidRPr="009F0669">
        <w:rPr>
          <w:position w:val="1"/>
        </w:rPr>
        <w:t>421.</w:t>
      </w:r>
      <w:r>
        <w:rPr>
          <w:rFonts w:ascii="Times New Roman"/>
          <w:spacing w:val="80"/>
          <w:w w:val="150"/>
          <w:position w:val="1"/>
          <w:sz w:val="20"/>
        </w:rPr>
        <w:t xml:space="preserve"> </w:t>
      </w:r>
      <w:r w:rsidR="00033D0F">
        <w:rPr>
          <w:position w:val="1"/>
        </w:rPr>
        <w:t>For the same reasons, Australia also rejects China's unsubstantiated assertion that</w:t>
      </w:r>
      <w:r w:rsidR="00033D0F">
        <w:rPr>
          <w:spacing w:val="40"/>
          <w:position w:val="1"/>
        </w:rPr>
        <w:t xml:space="preserve"> </w:t>
      </w:r>
      <w:r w:rsidR="00033D0F">
        <w:t>"at</w:t>
      </w:r>
      <w:r w:rsidR="00033D0F">
        <w:rPr>
          <w:spacing w:val="-6"/>
        </w:rPr>
        <w:t xml:space="preserve"> </w:t>
      </w:r>
      <w:r w:rsidR="00033D0F">
        <w:t>least</w:t>
      </w:r>
      <w:r w:rsidR="00033D0F">
        <w:rPr>
          <w:spacing w:val="-6"/>
        </w:rPr>
        <w:t xml:space="preserve"> </w:t>
      </w:r>
      <w:r w:rsidR="00033D0F">
        <w:t>tacitly,</w:t>
      </w:r>
      <w:r w:rsidR="00033D0F">
        <w:rPr>
          <w:spacing w:val="-4"/>
        </w:rPr>
        <w:t xml:space="preserve"> </w:t>
      </w:r>
      <w:r w:rsidR="00033D0F">
        <w:t>[other</w:t>
      </w:r>
      <w:r w:rsidR="00033D0F">
        <w:rPr>
          <w:spacing w:val="-4"/>
        </w:rPr>
        <w:t xml:space="preserve"> </w:t>
      </w:r>
      <w:r w:rsidR="00033D0F">
        <w:t>interested</w:t>
      </w:r>
      <w:r w:rsidR="00033D0F">
        <w:rPr>
          <w:spacing w:val="-8"/>
        </w:rPr>
        <w:t xml:space="preserve"> </w:t>
      </w:r>
      <w:r w:rsidR="00033D0F">
        <w:t>parties]</w:t>
      </w:r>
      <w:r w:rsidR="00033D0F">
        <w:rPr>
          <w:spacing w:val="-8"/>
        </w:rPr>
        <w:t xml:space="preserve"> </w:t>
      </w:r>
      <w:r w:rsidR="00033D0F">
        <w:t>agreed</w:t>
      </w:r>
      <w:r w:rsidR="00033D0F">
        <w:rPr>
          <w:spacing w:val="-3"/>
        </w:rPr>
        <w:t xml:space="preserve"> </w:t>
      </w:r>
      <w:r w:rsidR="00033D0F">
        <w:t>that</w:t>
      </w:r>
      <w:r w:rsidR="00033D0F">
        <w:rPr>
          <w:spacing w:val="-6"/>
        </w:rPr>
        <w:t xml:space="preserve"> </w:t>
      </w:r>
      <w:r w:rsidR="00033D0F">
        <w:t>this</w:t>
      </w:r>
      <w:r w:rsidR="00033D0F">
        <w:rPr>
          <w:spacing w:val="-5"/>
        </w:rPr>
        <w:t xml:space="preserve"> </w:t>
      </w:r>
      <w:r w:rsidR="00033D0F">
        <w:t>methodology</w:t>
      </w:r>
      <w:r w:rsidR="00033D0F">
        <w:rPr>
          <w:spacing w:val="-5"/>
        </w:rPr>
        <w:t xml:space="preserve"> </w:t>
      </w:r>
      <w:r w:rsidR="00033D0F">
        <w:t>was</w:t>
      </w:r>
      <w:r w:rsidR="00033D0F">
        <w:rPr>
          <w:spacing w:val="-5"/>
        </w:rPr>
        <w:t xml:space="preserve"> </w:t>
      </w:r>
      <w:r w:rsidR="00033D0F">
        <w:t>sufficient</w:t>
      </w:r>
      <w:r w:rsidR="00033D0F">
        <w:rPr>
          <w:spacing w:val="-6"/>
        </w:rPr>
        <w:t xml:space="preserve"> </w:t>
      </w:r>
      <w:r w:rsidR="00033D0F">
        <w:t>for</w:t>
      </w:r>
      <w:r w:rsidR="00033D0F">
        <w:rPr>
          <w:spacing w:val="-4"/>
        </w:rPr>
        <w:t xml:space="preserve"> </w:t>
      </w:r>
      <w:r w:rsidR="00033D0F">
        <w:t>the purposes of the anti-dumping investigation."</w:t>
      </w:r>
      <w:hyperlink w:anchor="_bookmark701" w:history="1">
        <w:r w:rsidR="00033D0F">
          <w:rPr>
            <w:vertAlign w:val="superscript"/>
          </w:rPr>
          <w:t>588</w:t>
        </w:r>
      </w:hyperlink>
    </w:p>
    <w:p w14:paraId="14A90EB5" w14:textId="77777777" w:rsidR="00BD462C" w:rsidRDefault="00BD462C">
      <w:pPr>
        <w:pStyle w:val="BodyText"/>
        <w:rPr>
          <w:sz w:val="20"/>
        </w:rPr>
      </w:pPr>
    </w:p>
    <w:p w14:paraId="34A5EF73" w14:textId="2B846A15" w:rsidR="00BD462C" w:rsidRDefault="00D70C7D">
      <w:pPr>
        <w:pStyle w:val="BodyText"/>
        <w:spacing w:before="4"/>
        <w:rPr>
          <w:sz w:val="26"/>
        </w:rPr>
      </w:pPr>
      <w:r>
        <w:rPr>
          <w:noProof/>
        </w:rPr>
        <mc:AlternateContent>
          <mc:Choice Requires="wps">
            <w:drawing>
              <wp:anchor distT="0" distB="0" distL="0" distR="0" simplePos="0" relativeHeight="487757824" behindDoc="1" locked="0" layoutInCell="1" allowOverlap="1" wp14:anchorId="5BE20672" wp14:editId="1F1AC613">
                <wp:simplePos x="0" y="0"/>
                <wp:positionH relativeFrom="page">
                  <wp:posOffset>899160</wp:posOffset>
                </wp:positionH>
                <wp:positionV relativeFrom="paragraph">
                  <wp:posOffset>219710</wp:posOffset>
                </wp:positionV>
                <wp:extent cx="1828800" cy="8890"/>
                <wp:effectExtent l="0" t="0" r="0" b="0"/>
                <wp:wrapTopAndBottom/>
                <wp:docPr id="678" name="docshape3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9876CD" id="docshape380" o:spid="_x0000_s1026" alt="&quot;&quot;" style="position:absolute;margin-left:70.8pt;margin-top:17.3pt;width:2in;height:.7pt;z-index:-15558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" fillcolor="black" stroked="f">
                <w10:wrap type="topAndBottom" anchorx="page"/>
              </v:rect>
            </w:pict>
          </mc:Fallback>
        </mc:AlternateContent>
      </w:r>
    </w:p>
    <w:p w14:paraId="5CDFE35F" w14:textId="77777777" w:rsidR="00BD462C" w:rsidRDefault="00033D0F">
      <w:pPr>
        <w:spacing w:before="112"/>
        <w:ind w:left="135"/>
        <w:rPr>
          <w:sz w:val="18"/>
        </w:rPr>
      </w:pPr>
      <w:bookmarkStart w:id="813" w:name="_bookmark696"/>
      <w:bookmarkEnd w:id="813"/>
      <w:r>
        <w:rPr>
          <w:position w:val="5"/>
          <w:sz w:val="12"/>
        </w:rPr>
        <w:t>583</w:t>
      </w:r>
      <w:r>
        <w:rPr>
          <w:spacing w:val="12"/>
          <w:position w:val="5"/>
          <w:sz w:val="12"/>
        </w:rPr>
        <w:t xml:space="preserve"> </w:t>
      </w:r>
      <w:r>
        <w:rPr>
          <w:sz w:val="18"/>
        </w:rPr>
        <w:t>Australia's</w:t>
      </w:r>
      <w:r>
        <w:rPr>
          <w:spacing w:val="-6"/>
          <w:sz w:val="18"/>
        </w:rPr>
        <w:t xml:space="preserve"> </w:t>
      </w:r>
      <w:r>
        <w:rPr>
          <w:sz w:val="18"/>
        </w:rPr>
        <w:t>first</w:t>
      </w:r>
      <w:r>
        <w:rPr>
          <w:spacing w:val="-6"/>
          <w:sz w:val="18"/>
        </w:rPr>
        <w:t xml:space="preserve"> </w:t>
      </w:r>
      <w:r>
        <w:rPr>
          <w:sz w:val="18"/>
        </w:rPr>
        <w:t>written</w:t>
      </w:r>
      <w:r>
        <w:rPr>
          <w:spacing w:val="-2"/>
          <w:sz w:val="18"/>
        </w:rPr>
        <w:t xml:space="preserve"> </w:t>
      </w:r>
      <w:r>
        <w:rPr>
          <w:sz w:val="18"/>
        </w:rPr>
        <w:t>submission, para.</w:t>
      </w:r>
      <w:r>
        <w:rPr>
          <w:spacing w:val="-5"/>
          <w:sz w:val="18"/>
        </w:rPr>
        <w:t xml:space="preserve"> </w:t>
      </w:r>
      <w:r>
        <w:rPr>
          <w:spacing w:val="-4"/>
          <w:sz w:val="18"/>
        </w:rPr>
        <w:t>536.</w:t>
      </w:r>
    </w:p>
    <w:p w14:paraId="14229020" w14:textId="77777777" w:rsidR="00BD462C" w:rsidRDefault="00033D0F">
      <w:pPr>
        <w:spacing w:before="1" w:line="218" w:lineRule="exact"/>
        <w:ind w:left="135"/>
        <w:rPr>
          <w:sz w:val="18"/>
        </w:rPr>
      </w:pPr>
      <w:bookmarkStart w:id="814" w:name="_bookmark697"/>
      <w:bookmarkEnd w:id="814"/>
      <w:r>
        <w:rPr>
          <w:position w:val="5"/>
          <w:sz w:val="12"/>
        </w:rPr>
        <w:t>584</w:t>
      </w:r>
      <w:r>
        <w:rPr>
          <w:spacing w:val="13"/>
          <w:position w:val="5"/>
          <w:sz w:val="12"/>
        </w:rPr>
        <w:t xml:space="preserve"> </w:t>
      </w:r>
      <w:r>
        <w:rPr>
          <w:sz w:val="18"/>
        </w:rPr>
        <w:t>China's comments</w:t>
      </w:r>
      <w:r>
        <w:rPr>
          <w:spacing w:val="-4"/>
          <w:sz w:val="18"/>
        </w:rPr>
        <w:t xml:space="preserve"> </w:t>
      </w:r>
      <w:r>
        <w:rPr>
          <w:sz w:val="18"/>
        </w:rPr>
        <w:t>on</w:t>
      </w:r>
      <w:r>
        <w:rPr>
          <w:spacing w:val="-6"/>
          <w:sz w:val="18"/>
        </w:rPr>
        <w:t xml:space="preserve"> </w:t>
      </w:r>
      <w:r>
        <w:rPr>
          <w:sz w:val="18"/>
        </w:rPr>
        <w:t>Australia's response</w:t>
      </w:r>
      <w:r>
        <w:rPr>
          <w:spacing w:val="-1"/>
          <w:sz w:val="18"/>
        </w:rPr>
        <w:t xml:space="preserve"> </w:t>
      </w:r>
      <w:r>
        <w:rPr>
          <w:sz w:val="18"/>
        </w:rPr>
        <w:t>to</w:t>
      </w:r>
      <w:r>
        <w:rPr>
          <w:spacing w:val="-6"/>
          <w:sz w:val="18"/>
        </w:rPr>
        <w:t xml:space="preserve"> </w:t>
      </w:r>
      <w:r>
        <w:rPr>
          <w:sz w:val="18"/>
        </w:rPr>
        <w:t>Panel</w:t>
      </w:r>
      <w:r>
        <w:rPr>
          <w:spacing w:val="-4"/>
          <w:sz w:val="18"/>
        </w:rPr>
        <w:t xml:space="preserve"> </w:t>
      </w:r>
      <w:r>
        <w:rPr>
          <w:sz w:val="18"/>
        </w:rPr>
        <w:t>question</w:t>
      </w:r>
      <w:r>
        <w:rPr>
          <w:spacing w:val="-5"/>
          <w:sz w:val="18"/>
        </w:rPr>
        <w:t xml:space="preserve"> </w:t>
      </w:r>
      <w:r>
        <w:rPr>
          <w:sz w:val="18"/>
        </w:rPr>
        <w:t>No.</w:t>
      </w:r>
      <w:r>
        <w:rPr>
          <w:spacing w:val="-4"/>
          <w:sz w:val="18"/>
        </w:rPr>
        <w:t xml:space="preserve"> </w:t>
      </w:r>
      <w:r>
        <w:rPr>
          <w:sz w:val="18"/>
        </w:rPr>
        <w:t>18</w:t>
      </w:r>
      <w:r>
        <w:rPr>
          <w:spacing w:val="-2"/>
          <w:sz w:val="18"/>
        </w:rPr>
        <w:t xml:space="preserve"> </w:t>
      </w:r>
      <w:r>
        <w:rPr>
          <w:sz w:val="18"/>
        </w:rPr>
        <w:t>at</w:t>
      </w:r>
      <w:r>
        <w:rPr>
          <w:spacing w:val="-4"/>
          <w:sz w:val="18"/>
        </w:rPr>
        <w:t xml:space="preserve"> </w:t>
      </w:r>
      <w:r>
        <w:rPr>
          <w:sz w:val="18"/>
        </w:rPr>
        <w:t>the</w:t>
      </w:r>
      <w:r>
        <w:rPr>
          <w:spacing w:val="-5"/>
          <w:sz w:val="18"/>
        </w:rPr>
        <w:t xml:space="preserve"> </w:t>
      </w:r>
      <w:r>
        <w:rPr>
          <w:sz w:val="18"/>
        </w:rPr>
        <w:t>first meeting of</w:t>
      </w:r>
      <w:r>
        <w:rPr>
          <w:spacing w:val="-4"/>
          <w:sz w:val="18"/>
        </w:rPr>
        <w:t xml:space="preserve"> </w:t>
      </w:r>
      <w:r>
        <w:rPr>
          <w:sz w:val="18"/>
        </w:rPr>
        <w:t>the</w:t>
      </w:r>
      <w:r>
        <w:rPr>
          <w:spacing w:val="-9"/>
          <w:sz w:val="18"/>
        </w:rPr>
        <w:t xml:space="preserve"> </w:t>
      </w:r>
      <w:r>
        <w:rPr>
          <w:spacing w:val="-2"/>
          <w:sz w:val="18"/>
        </w:rPr>
        <w:t>Panel.</w:t>
      </w:r>
    </w:p>
    <w:p w14:paraId="0CFFE296" w14:textId="77777777" w:rsidR="00BD462C" w:rsidRDefault="00033D0F">
      <w:pPr>
        <w:spacing w:line="218" w:lineRule="exact"/>
        <w:ind w:left="135"/>
        <w:rPr>
          <w:sz w:val="18"/>
        </w:rPr>
      </w:pPr>
      <w:bookmarkStart w:id="815" w:name="_bookmark698"/>
      <w:bookmarkEnd w:id="815"/>
      <w:r>
        <w:rPr>
          <w:position w:val="5"/>
          <w:sz w:val="12"/>
        </w:rPr>
        <w:t>585</w:t>
      </w:r>
      <w:r>
        <w:rPr>
          <w:spacing w:val="14"/>
          <w:position w:val="5"/>
          <w:sz w:val="12"/>
        </w:rPr>
        <w:t xml:space="preserve"> </w:t>
      </w:r>
      <w:r>
        <w:rPr>
          <w:sz w:val="18"/>
        </w:rPr>
        <w:t>Australia's</w:t>
      </w:r>
      <w:r>
        <w:rPr>
          <w:spacing w:val="1"/>
          <w:sz w:val="18"/>
        </w:rPr>
        <w:t xml:space="preserve"> </w:t>
      </w:r>
      <w:r>
        <w:rPr>
          <w:sz w:val="18"/>
        </w:rPr>
        <w:t>response</w:t>
      </w:r>
      <w:r>
        <w:rPr>
          <w:spacing w:val="-4"/>
          <w:sz w:val="18"/>
        </w:rPr>
        <w:t xml:space="preserve"> </w:t>
      </w:r>
      <w:r>
        <w:rPr>
          <w:sz w:val="18"/>
        </w:rPr>
        <w:t>to</w:t>
      </w:r>
      <w:r>
        <w:rPr>
          <w:spacing w:val="-5"/>
          <w:sz w:val="18"/>
        </w:rPr>
        <w:t xml:space="preserve"> </w:t>
      </w:r>
      <w:r>
        <w:rPr>
          <w:sz w:val="18"/>
        </w:rPr>
        <w:t>Panel</w:t>
      </w:r>
      <w:r>
        <w:rPr>
          <w:spacing w:val="-4"/>
          <w:sz w:val="18"/>
        </w:rPr>
        <w:t xml:space="preserve"> </w:t>
      </w:r>
      <w:r>
        <w:rPr>
          <w:sz w:val="18"/>
        </w:rPr>
        <w:t>question</w:t>
      </w:r>
      <w:r>
        <w:rPr>
          <w:spacing w:val="-5"/>
          <w:sz w:val="18"/>
        </w:rPr>
        <w:t xml:space="preserve"> </w:t>
      </w:r>
      <w:r>
        <w:rPr>
          <w:sz w:val="18"/>
        </w:rPr>
        <w:t>No.</w:t>
      </w:r>
      <w:r>
        <w:rPr>
          <w:spacing w:val="-3"/>
          <w:sz w:val="18"/>
        </w:rPr>
        <w:t xml:space="preserve"> </w:t>
      </w:r>
      <w:r>
        <w:rPr>
          <w:spacing w:val="-5"/>
          <w:sz w:val="18"/>
        </w:rPr>
        <w:t>18.</w:t>
      </w:r>
    </w:p>
    <w:p w14:paraId="4FA4487E" w14:textId="77777777" w:rsidR="00BD462C" w:rsidRDefault="00033D0F">
      <w:pPr>
        <w:spacing w:before="1"/>
        <w:ind w:left="135" w:right="912"/>
        <w:rPr>
          <w:sz w:val="18"/>
        </w:rPr>
      </w:pPr>
      <w:bookmarkStart w:id="816" w:name="_bookmark699"/>
      <w:bookmarkEnd w:id="816"/>
      <w:r>
        <w:rPr>
          <w:position w:val="5"/>
          <w:sz w:val="12"/>
        </w:rPr>
        <w:t>586</w:t>
      </w:r>
      <w:r>
        <w:rPr>
          <w:spacing w:val="-5"/>
          <w:position w:val="5"/>
          <w:sz w:val="12"/>
        </w:rPr>
        <w:t xml:space="preserve"> </w:t>
      </w:r>
      <w:r>
        <w:rPr>
          <w:sz w:val="18"/>
        </w:rPr>
        <w:t>Final</w:t>
      </w:r>
      <w:r>
        <w:rPr>
          <w:spacing w:val="-11"/>
          <w:sz w:val="18"/>
        </w:rPr>
        <w:t xml:space="preserve"> </w:t>
      </w:r>
      <w:r>
        <w:rPr>
          <w:sz w:val="18"/>
        </w:rPr>
        <w:t>Determination</w:t>
      </w:r>
      <w:r>
        <w:rPr>
          <w:spacing w:val="-12"/>
          <w:sz w:val="18"/>
        </w:rPr>
        <w:t xml:space="preserve"> </w:t>
      </w:r>
      <w:r>
        <w:rPr>
          <w:sz w:val="18"/>
        </w:rPr>
        <w:t>(Exhibit</w:t>
      </w:r>
      <w:r>
        <w:rPr>
          <w:spacing w:val="-7"/>
          <w:sz w:val="18"/>
        </w:rPr>
        <w:t xml:space="preserve"> </w:t>
      </w:r>
      <w:r>
        <w:rPr>
          <w:sz w:val="18"/>
        </w:rPr>
        <w:t>CHN-1),</w:t>
      </w:r>
      <w:r>
        <w:rPr>
          <w:spacing w:val="-7"/>
          <w:sz w:val="18"/>
        </w:rPr>
        <w:t xml:space="preserve"> </w:t>
      </w:r>
      <w:r>
        <w:rPr>
          <w:sz w:val="18"/>
        </w:rPr>
        <w:t>p.</w:t>
      </w:r>
      <w:r>
        <w:rPr>
          <w:spacing w:val="-8"/>
          <w:sz w:val="18"/>
        </w:rPr>
        <w:t xml:space="preserve"> </w:t>
      </w:r>
      <w:r>
        <w:rPr>
          <w:sz w:val="18"/>
        </w:rPr>
        <w:t>53.</w:t>
      </w:r>
      <w:r>
        <w:rPr>
          <w:spacing w:val="-8"/>
          <w:sz w:val="18"/>
        </w:rPr>
        <w:t xml:space="preserve"> </w:t>
      </w:r>
      <w:r>
        <w:rPr>
          <w:i/>
          <w:sz w:val="18"/>
        </w:rPr>
        <w:t>See</w:t>
      </w:r>
      <w:r>
        <w:rPr>
          <w:i/>
          <w:spacing w:val="-13"/>
          <w:sz w:val="18"/>
        </w:rPr>
        <w:t xml:space="preserve"> </w:t>
      </w:r>
      <w:r>
        <w:rPr>
          <w:sz w:val="18"/>
        </w:rPr>
        <w:t>also:</w:t>
      </w:r>
      <w:r>
        <w:rPr>
          <w:spacing w:val="-10"/>
          <w:sz w:val="18"/>
        </w:rPr>
        <w:t xml:space="preserve"> </w:t>
      </w:r>
      <w:r>
        <w:rPr>
          <w:sz w:val="18"/>
        </w:rPr>
        <w:t>AFBG</w:t>
      </w:r>
      <w:r>
        <w:rPr>
          <w:spacing w:val="-12"/>
          <w:sz w:val="18"/>
        </w:rPr>
        <w:t xml:space="preserve"> </w:t>
      </w:r>
      <w:r>
        <w:rPr>
          <w:sz w:val="18"/>
        </w:rPr>
        <w:t>Comments</w:t>
      </w:r>
      <w:r>
        <w:rPr>
          <w:spacing w:val="-9"/>
          <w:sz w:val="18"/>
        </w:rPr>
        <w:t xml:space="preserve"> </w:t>
      </w:r>
      <w:r>
        <w:rPr>
          <w:sz w:val="18"/>
        </w:rPr>
        <w:t>on</w:t>
      </w:r>
      <w:r>
        <w:rPr>
          <w:spacing w:val="-12"/>
          <w:sz w:val="18"/>
        </w:rPr>
        <w:t xml:space="preserve"> </w:t>
      </w:r>
      <w:r>
        <w:rPr>
          <w:sz w:val="18"/>
        </w:rPr>
        <w:t>Preliminary</w:t>
      </w:r>
      <w:r>
        <w:rPr>
          <w:spacing w:val="-11"/>
          <w:sz w:val="18"/>
        </w:rPr>
        <w:t xml:space="preserve"> </w:t>
      </w:r>
      <w:r>
        <w:rPr>
          <w:sz w:val="18"/>
        </w:rPr>
        <w:t>Determination</w:t>
      </w:r>
      <w:r>
        <w:rPr>
          <w:spacing w:val="-12"/>
          <w:sz w:val="18"/>
        </w:rPr>
        <w:t xml:space="preserve"> </w:t>
      </w:r>
      <w:r>
        <w:rPr>
          <w:sz w:val="18"/>
        </w:rPr>
        <w:t>(Exhibit</w:t>
      </w:r>
      <w:r>
        <w:rPr>
          <w:spacing w:val="-11"/>
          <w:sz w:val="18"/>
        </w:rPr>
        <w:t xml:space="preserve"> </w:t>
      </w:r>
      <w:r>
        <w:rPr>
          <w:sz w:val="18"/>
        </w:rPr>
        <w:t>CHN-12),</w:t>
      </w:r>
      <w:r>
        <w:rPr>
          <w:spacing w:val="-10"/>
          <w:sz w:val="18"/>
        </w:rPr>
        <w:t xml:space="preserve"> </w:t>
      </w:r>
      <w:r>
        <w:rPr>
          <w:sz w:val="18"/>
        </w:rPr>
        <w:t xml:space="preserve">para. </w:t>
      </w:r>
      <w:proofErr w:type="gramStart"/>
      <w:r>
        <w:rPr>
          <w:sz w:val="18"/>
        </w:rPr>
        <w:t>IV(</w:t>
      </w:r>
      <w:proofErr w:type="gramEnd"/>
      <w:r>
        <w:rPr>
          <w:sz w:val="18"/>
        </w:rPr>
        <w:t>ii), p. 5.</w:t>
      </w:r>
    </w:p>
    <w:p w14:paraId="6C7DE5DC" w14:textId="77777777" w:rsidR="00BD462C" w:rsidRDefault="00033D0F">
      <w:pPr>
        <w:spacing w:before="2"/>
        <w:ind w:left="135"/>
        <w:rPr>
          <w:sz w:val="18"/>
        </w:rPr>
      </w:pPr>
      <w:bookmarkStart w:id="817" w:name="_bookmark700"/>
      <w:bookmarkEnd w:id="817"/>
      <w:r>
        <w:rPr>
          <w:position w:val="5"/>
          <w:sz w:val="12"/>
        </w:rPr>
        <w:t>587</w:t>
      </w:r>
      <w:r>
        <w:rPr>
          <w:spacing w:val="12"/>
          <w:position w:val="5"/>
          <w:sz w:val="12"/>
        </w:rPr>
        <w:t xml:space="preserve"> </w:t>
      </w:r>
      <w:r>
        <w:rPr>
          <w:sz w:val="18"/>
        </w:rPr>
        <w:t>AFBG</w:t>
      </w:r>
      <w:r>
        <w:rPr>
          <w:spacing w:val="-2"/>
          <w:sz w:val="18"/>
        </w:rPr>
        <w:t xml:space="preserve"> </w:t>
      </w:r>
      <w:r>
        <w:rPr>
          <w:sz w:val="18"/>
        </w:rPr>
        <w:t>Comments</w:t>
      </w:r>
      <w:r>
        <w:rPr>
          <w:spacing w:val="-6"/>
          <w:sz w:val="18"/>
        </w:rPr>
        <w:t xml:space="preserve"> </w:t>
      </w:r>
      <w:r>
        <w:rPr>
          <w:sz w:val="18"/>
        </w:rPr>
        <w:t>on</w:t>
      </w:r>
      <w:r>
        <w:rPr>
          <w:spacing w:val="-7"/>
          <w:sz w:val="18"/>
        </w:rPr>
        <w:t xml:space="preserve"> </w:t>
      </w:r>
      <w:r>
        <w:rPr>
          <w:sz w:val="18"/>
        </w:rPr>
        <w:t>Preliminary</w:t>
      </w:r>
      <w:r>
        <w:rPr>
          <w:spacing w:val="-3"/>
          <w:sz w:val="18"/>
        </w:rPr>
        <w:t xml:space="preserve"> </w:t>
      </w:r>
      <w:r>
        <w:rPr>
          <w:sz w:val="18"/>
        </w:rPr>
        <w:t>Determination</w:t>
      </w:r>
      <w:r>
        <w:rPr>
          <w:spacing w:val="-7"/>
          <w:sz w:val="18"/>
        </w:rPr>
        <w:t xml:space="preserve"> </w:t>
      </w:r>
      <w:r>
        <w:rPr>
          <w:sz w:val="18"/>
        </w:rPr>
        <w:t>(Exhibit</w:t>
      </w:r>
      <w:r>
        <w:rPr>
          <w:spacing w:val="-1"/>
          <w:sz w:val="18"/>
        </w:rPr>
        <w:t xml:space="preserve"> </w:t>
      </w:r>
      <w:r>
        <w:rPr>
          <w:sz w:val="18"/>
        </w:rPr>
        <w:t>CHN-12),</w:t>
      </w:r>
      <w:r>
        <w:rPr>
          <w:spacing w:val="-5"/>
          <w:sz w:val="18"/>
        </w:rPr>
        <w:t xml:space="preserve"> </w:t>
      </w:r>
      <w:r>
        <w:rPr>
          <w:sz w:val="18"/>
        </w:rPr>
        <w:t xml:space="preserve">p. </w:t>
      </w:r>
      <w:r>
        <w:rPr>
          <w:spacing w:val="-5"/>
          <w:sz w:val="18"/>
        </w:rPr>
        <w:t>5.</w:t>
      </w:r>
    </w:p>
    <w:p w14:paraId="34E80BD4" w14:textId="77777777" w:rsidR="00BD462C" w:rsidRDefault="00033D0F">
      <w:pPr>
        <w:spacing w:before="1"/>
        <w:ind w:left="135"/>
        <w:rPr>
          <w:sz w:val="18"/>
        </w:rPr>
      </w:pPr>
      <w:bookmarkStart w:id="818" w:name="_bookmark701"/>
      <w:bookmarkEnd w:id="818"/>
      <w:r>
        <w:rPr>
          <w:position w:val="5"/>
          <w:sz w:val="12"/>
        </w:rPr>
        <w:t>588</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 xml:space="preserve">submission, para. </w:t>
      </w:r>
      <w:r>
        <w:rPr>
          <w:spacing w:val="-4"/>
          <w:sz w:val="18"/>
        </w:rPr>
        <w:t>917.</w:t>
      </w:r>
    </w:p>
    <w:p w14:paraId="451A94DD" w14:textId="77777777" w:rsidR="00BD462C" w:rsidRDefault="00BD462C">
      <w:pPr>
        <w:rPr>
          <w:sz w:val="18"/>
        </w:rPr>
        <w:sectPr w:rsidR="00BD462C">
          <w:pgSz w:w="11910" w:h="16840"/>
          <w:pgMar w:top="860" w:right="500" w:bottom="780" w:left="1280" w:header="566" w:footer="590" w:gutter="0"/>
          <w:cols w:space="720"/>
        </w:sectPr>
      </w:pPr>
    </w:p>
    <w:p w14:paraId="27CDBBC0"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1AA889F2"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4EC0D08C"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560D5736" w14:textId="77777777" w:rsidR="00BD462C" w:rsidRDefault="00033D0F">
      <w:pPr>
        <w:pStyle w:val="Heading3"/>
        <w:numPr>
          <w:ilvl w:val="0"/>
          <w:numId w:val="39"/>
        </w:numPr>
        <w:tabs>
          <w:tab w:val="left" w:pos="2689"/>
          <w:tab w:val="left" w:pos="2690"/>
        </w:tabs>
        <w:spacing w:line="357" w:lineRule="auto"/>
        <w:ind w:right="913"/>
      </w:pPr>
      <w:bookmarkStart w:id="819" w:name="5._China's_argument_that_the_wine_indust"/>
      <w:bookmarkStart w:id="820" w:name="_bookmark702"/>
      <w:bookmarkEnd w:id="819"/>
      <w:bookmarkEnd w:id="820"/>
      <w:r>
        <w:t>China's</w:t>
      </w:r>
      <w:r>
        <w:rPr>
          <w:spacing w:val="30"/>
        </w:rPr>
        <w:t xml:space="preserve"> </w:t>
      </w:r>
      <w:r>
        <w:t>argument</w:t>
      </w:r>
      <w:r>
        <w:rPr>
          <w:spacing w:val="33"/>
        </w:rPr>
        <w:t xml:space="preserve"> </w:t>
      </w:r>
      <w:r>
        <w:t>that</w:t>
      </w:r>
      <w:r>
        <w:rPr>
          <w:spacing w:val="33"/>
        </w:rPr>
        <w:t xml:space="preserve"> </w:t>
      </w:r>
      <w:r>
        <w:t>the</w:t>
      </w:r>
      <w:r>
        <w:rPr>
          <w:spacing w:val="34"/>
        </w:rPr>
        <w:t xml:space="preserve"> </w:t>
      </w:r>
      <w:r>
        <w:t>wine</w:t>
      </w:r>
      <w:r>
        <w:rPr>
          <w:spacing w:val="34"/>
        </w:rPr>
        <w:t xml:space="preserve"> </w:t>
      </w:r>
      <w:r>
        <w:t>industry</w:t>
      </w:r>
      <w:r>
        <w:rPr>
          <w:spacing w:val="36"/>
        </w:rPr>
        <w:t xml:space="preserve"> </w:t>
      </w:r>
      <w:r>
        <w:t>was</w:t>
      </w:r>
      <w:r>
        <w:rPr>
          <w:spacing w:val="34"/>
        </w:rPr>
        <w:t xml:space="preserve"> </w:t>
      </w:r>
      <w:r>
        <w:t>fragmented</w:t>
      </w:r>
      <w:r>
        <w:rPr>
          <w:spacing w:val="35"/>
        </w:rPr>
        <w:t xml:space="preserve"> </w:t>
      </w:r>
      <w:r>
        <w:t>is</w:t>
      </w:r>
      <w:r>
        <w:rPr>
          <w:spacing w:val="34"/>
        </w:rPr>
        <w:t xml:space="preserve"> </w:t>
      </w:r>
      <w:r>
        <w:rPr>
          <w:i/>
        </w:rPr>
        <w:t xml:space="preserve">ex post facto </w:t>
      </w:r>
      <w:proofErr w:type="spellStart"/>
      <w:r>
        <w:t>rationalisation</w:t>
      </w:r>
      <w:proofErr w:type="spellEnd"/>
      <w:r>
        <w:t xml:space="preserve"> and should be rejected by the Panel</w:t>
      </w:r>
    </w:p>
    <w:p w14:paraId="58D78FFA" w14:textId="77777777" w:rsidR="00BD462C" w:rsidRDefault="00BD462C">
      <w:pPr>
        <w:pStyle w:val="BodyText"/>
        <w:spacing w:before="3"/>
        <w:rPr>
          <w:b/>
          <w:sz w:val="9"/>
        </w:rPr>
      </w:pPr>
    </w:p>
    <w:p w14:paraId="60BB5019" w14:textId="300A44AD" w:rsidR="00BD462C" w:rsidRDefault="006926F2">
      <w:pPr>
        <w:pStyle w:val="BodyText"/>
        <w:spacing w:before="56" w:line="360" w:lineRule="auto"/>
        <w:ind w:left="135" w:right="910" w:hanging="5"/>
        <w:jc w:val="both"/>
      </w:pPr>
      <w:r w:rsidRPr="006926F2">
        <w:rPr>
          <w:position w:val="1"/>
        </w:rPr>
        <w:t>422.</w:t>
      </w:r>
      <w:r w:rsidR="00033D0F">
        <w:rPr>
          <w:rFonts w:ascii="Times New Roman"/>
          <w:spacing w:val="80"/>
          <w:w w:val="150"/>
          <w:position w:val="1"/>
          <w:sz w:val="20"/>
        </w:rPr>
        <w:t xml:space="preserve"> </w:t>
      </w:r>
      <w:r w:rsidR="00033D0F">
        <w:rPr>
          <w:position w:val="1"/>
        </w:rPr>
        <w:t>In</w:t>
      </w:r>
      <w:r w:rsidR="00033D0F">
        <w:rPr>
          <w:spacing w:val="-14"/>
          <w:position w:val="1"/>
        </w:rPr>
        <w:t xml:space="preserve"> </w:t>
      </w:r>
      <w:r w:rsidR="00033D0F">
        <w:rPr>
          <w:position w:val="1"/>
        </w:rPr>
        <w:t>yet</w:t>
      </w:r>
      <w:r w:rsidR="00033D0F">
        <w:rPr>
          <w:spacing w:val="-14"/>
          <w:position w:val="1"/>
        </w:rPr>
        <w:t xml:space="preserve"> </w:t>
      </w:r>
      <w:r w:rsidR="00033D0F">
        <w:rPr>
          <w:position w:val="1"/>
        </w:rPr>
        <w:t>another</w:t>
      </w:r>
      <w:r w:rsidR="00033D0F">
        <w:rPr>
          <w:spacing w:val="-13"/>
          <w:position w:val="1"/>
        </w:rPr>
        <w:t xml:space="preserve"> </w:t>
      </w:r>
      <w:r w:rsidR="00033D0F">
        <w:rPr>
          <w:i/>
          <w:position w:val="1"/>
        </w:rPr>
        <w:t>ex</w:t>
      </w:r>
      <w:r w:rsidR="00033D0F">
        <w:rPr>
          <w:i/>
          <w:spacing w:val="-9"/>
          <w:position w:val="1"/>
        </w:rPr>
        <w:t xml:space="preserve"> </w:t>
      </w:r>
      <w:r w:rsidR="00033D0F">
        <w:rPr>
          <w:i/>
          <w:position w:val="1"/>
        </w:rPr>
        <w:t>post</w:t>
      </w:r>
      <w:r w:rsidR="00033D0F">
        <w:rPr>
          <w:i/>
          <w:spacing w:val="-14"/>
          <w:position w:val="1"/>
        </w:rPr>
        <w:t xml:space="preserve"> </w:t>
      </w:r>
      <w:r w:rsidR="00033D0F">
        <w:rPr>
          <w:i/>
          <w:position w:val="1"/>
        </w:rPr>
        <w:t>facto</w:t>
      </w:r>
      <w:r w:rsidR="00033D0F">
        <w:rPr>
          <w:i/>
          <w:spacing w:val="-14"/>
          <w:position w:val="1"/>
        </w:rPr>
        <w:t xml:space="preserve"> </w:t>
      </w:r>
      <w:proofErr w:type="spellStart"/>
      <w:r w:rsidR="00033D0F">
        <w:rPr>
          <w:position w:val="1"/>
        </w:rPr>
        <w:t>rationalisation</w:t>
      </w:r>
      <w:proofErr w:type="spellEnd"/>
      <w:r w:rsidR="00033D0F">
        <w:rPr>
          <w:position w:val="1"/>
        </w:rPr>
        <w:t>,</w:t>
      </w:r>
      <w:r w:rsidR="00033D0F">
        <w:rPr>
          <w:spacing w:val="-13"/>
          <w:position w:val="1"/>
        </w:rPr>
        <w:t xml:space="preserve"> </w:t>
      </w:r>
      <w:r w:rsidR="00033D0F">
        <w:rPr>
          <w:position w:val="1"/>
        </w:rPr>
        <w:t>China</w:t>
      </w:r>
      <w:r w:rsidR="00033D0F">
        <w:rPr>
          <w:spacing w:val="-14"/>
          <w:position w:val="1"/>
        </w:rPr>
        <w:t xml:space="preserve"> </w:t>
      </w:r>
      <w:r w:rsidR="00033D0F">
        <w:rPr>
          <w:position w:val="1"/>
        </w:rPr>
        <w:t>refers</w:t>
      </w:r>
      <w:r w:rsidR="00033D0F">
        <w:rPr>
          <w:spacing w:val="-13"/>
          <w:position w:val="1"/>
        </w:rPr>
        <w:t xml:space="preserve"> </w:t>
      </w:r>
      <w:r w:rsidR="00033D0F">
        <w:rPr>
          <w:position w:val="1"/>
        </w:rPr>
        <w:t>to</w:t>
      </w:r>
      <w:r w:rsidR="00033D0F">
        <w:rPr>
          <w:spacing w:val="-13"/>
          <w:position w:val="1"/>
        </w:rPr>
        <w:t xml:space="preserve"> </w:t>
      </w:r>
      <w:r w:rsidR="00033D0F">
        <w:rPr>
          <w:position w:val="1"/>
        </w:rPr>
        <w:t>the</w:t>
      </w:r>
      <w:r w:rsidR="00033D0F">
        <w:rPr>
          <w:spacing w:val="-14"/>
          <w:position w:val="1"/>
        </w:rPr>
        <w:t xml:space="preserve"> </w:t>
      </w:r>
      <w:r w:rsidR="00033D0F">
        <w:rPr>
          <w:position w:val="1"/>
        </w:rPr>
        <w:t>Chinese</w:t>
      </w:r>
      <w:r w:rsidR="00033D0F">
        <w:rPr>
          <w:spacing w:val="-14"/>
          <w:position w:val="1"/>
        </w:rPr>
        <w:t xml:space="preserve"> </w:t>
      </w:r>
      <w:r w:rsidR="00033D0F">
        <w:rPr>
          <w:position w:val="1"/>
        </w:rPr>
        <w:t>domestic</w:t>
      </w:r>
      <w:r w:rsidR="00033D0F">
        <w:rPr>
          <w:spacing w:val="-13"/>
          <w:position w:val="1"/>
        </w:rPr>
        <w:t xml:space="preserve"> </w:t>
      </w:r>
      <w:r w:rsidR="00033D0F">
        <w:rPr>
          <w:position w:val="1"/>
        </w:rPr>
        <w:t xml:space="preserve">wine </w:t>
      </w:r>
      <w:r w:rsidR="00033D0F">
        <w:t>industry as fragmented.</w:t>
      </w:r>
      <w:hyperlink w:anchor="_bookmark704" w:history="1">
        <w:r w:rsidR="00033D0F">
          <w:rPr>
            <w:vertAlign w:val="superscript"/>
          </w:rPr>
          <w:t>589</w:t>
        </w:r>
      </w:hyperlink>
      <w:r w:rsidR="00033D0F">
        <w:t xml:space="preserve"> There is no record that MOFCOM made such a finding. However, </w:t>
      </w:r>
      <w:r w:rsidR="00033D0F">
        <w:rPr>
          <w:i/>
        </w:rPr>
        <w:t>arguendo</w:t>
      </w:r>
      <w:r w:rsidR="00033D0F">
        <w:t>,</w:t>
      </w:r>
      <w:r w:rsidR="00033D0F">
        <w:rPr>
          <w:spacing w:val="-5"/>
        </w:rPr>
        <w:t xml:space="preserve"> </w:t>
      </w:r>
      <w:r w:rsidR="00033D0F">
        <w:t>even</w:t>
      </w:r>
      <w:r w:rsidR="00033D0F">
        <w:rPr>
          <w:spacing w:val="-9"/>
        </w:rPr>
        <w:t xml:space="preserve"> </w:t>
      </w:r>
      <w:r w:rsidR="00033D0F">
        <w:t>if</w:t>
      </w:r>
      <w:r w:rsidR="00033D0F">
        <w:rPr>
          <w:spacing w:val="-9"/>
        </w:rPr>
        <w:t xml:space="preserve"> </w:t>
      </w:r>
      <w:r w:rsidR="00033D0F">
        <w:t>MOFCOM</w:t>
      </w:r>
      <w:r w:rsidR="00033D0F">
        <w:rPr>
          <w:spacing w:val="-7"/>
        </w:rPr>
        <w:t xml:space="preserve"> </w:t>
      </w:r>
      <w:r w:rsidR="00033D0F">
        <w:t>had</w:t>
      </w:r>
      <w:r w:rsidR="00033D0F">
        <w:rPr>
          <w:spacing w:val="-9"/>
        </w:rPr>
        <w:t xml:space="preserve"> </w:t>
      </w:r>
      <w:r w:rsidR="00033D0F">
        <w:t>made</w:t>
      </w:r>
      <w:r w:rsidR="00033D0F">
        <w:rPr>
          <w:spacing w:val="-7"/>
        </w:rPr>
        <w:t xml:space="preserve"> </w:t>
      </w:r>
      <w:r w:rsidR="00033D0F">
        <w:t>such</w:t>
      </w:r>
      <w:r w:rsidR="00033D0F">
        <w:rPr>
          <w:spacing w:val="-4"/>
        </w:rPr>
        <w:t xml:space="preserve"> </w:t>
      </w:r>
      <w:r w:rsidR="00033D0F">
        <w:t>a</w:t>
      </w:r>
      <w:r w:rsidR="00033D0F">
        <w:rPr>
          <w:spacing w:val="-8"/>
        </w:rPr>
        <w:t xml:space="preserve"> </w:t>
      </w:r>
      <w:r w:rsidR="00033D0F">
        <w:t>finding,</w:t>
      </w:r>
      <w:r w:rsidR="00033D0F">
        <w:rPr>
          <w:spacing w:val="-5"/>
        </w:rPr>
        <w:t xml:space="preserve"> </w:t>
      </w:r>
      <w:r w:rsidR="00033D0F">
        <w:t>the</w:t>
      </w:r>
      <w:r w:rsidR="00033D0F">
        <w:rPr>
          <w:spacing w:val="-7"/>
        </w:rPr>
        <w:t xml:space="preserve"> </w:t>
      </w:r>
      <w:r w:rsidR="00033D0F">
        <w:t>Appellate</w:t>
      </w:r>
      <w:r w:rsidR="00033D0F">
        <w:rPr>
          <w:spacing w:val="-7"/>
        </w:rPr>
        <w:t xml:space="preserve"> </w:t>
      </w:r>
      <w:r w:rsidR="00033D0F">
        <w:t>Body</w:t>
      </w:r>
      <w:r w:rsidR="00033D0F">
        <w:rPr>
          <w:spacing w:val="-6"/>
        </w:rPr>
        <w:t xml:space="preserve"> </w:t>
      </w:r>
      <w:r w:rsidR="00033D0F">
        <w:t>has</w:t>
      </w:r>
      <w:r w:rsidR="00033D0F">
        <w:rPr>
          <w:spacing w:val="-6"/>
        </w:rPr>
        <w:t xml:space="preserve"> </w:t>
      </w:r>
      <w:r w:rsidR="00033D0F">
        <w:t>found</w:t>
      </w:r>
      <w:r w:rsidR="00033D0F">
        <w:rPr>
          <w:spacing w:val="-9"/>
        </w:rPr>
        <w:t xml:space="preserve"> </w:t>
      </w:r>
      <w:r w:rsidR="00033D0F">
        <w:t>that</w:t>
      </w:r>
      <w:r w:rsidR="00033D0F">
        <w:rPr>
          <w:spacing w:val="-7"/>
        </w:rPr>
        <w:t xml:space="preserve"> </w:t>
      </w:r>
      <w:r w:rsidR="00033D0F">
        <w:t>even in</w:t>
      </w:r>
      <w:r w:rsidR="00033D0F">
        <w:rPr>
          <w:spacing w:val="-6"/>
        </w:rPr>
        <w:t xml:space="preserve"> </w:t>
      </w:r>
      <w:r w:rsidR="00033D0F">
        <w:t>circumstances</w:t>
      </w:r>
      <w:r w:rsidR="00033D0F">
        <w:rPr>
          <w:spacing w:val="-3"/>
        </w:rPr>
        <w:t xml:space="preserve"> </w:t>
      </w:r>
      <w:r w:rsidR="00033D0F">
        <w:t>where</w:t>
      </w:r>
      <w:r w:rsidR="00033D0F">
        <w:rPr>
          <w:spacing w:val="-4"/>
        </w:rPr>
        <w:t xml:space="preserve"> </w:t>
      </w:r>
      <w:r w:rsidR="00033D0F">
        <w:t>there</w:t>
      </w:r>
      <w:r w:rsidR="00033D0F">
        <w:rPr>
          <w:spacing w:val="-4"/>
        </w:rPr>
        <w:t xml:space="preserve"> </w:t>
      </w:r>
      <w:r w:rsidR="00033D0F">
        <w:t>is</w:t>
      </w:r>
      <w:r w:rsidR="00033D0F">
        <w:rPr>
          <w:spacing w:val="-3"/>
        </w:rPr>
        <w:t xml:space="preserve"> </w:t>
      </w:r>
      <w:r w:rsidR="00033D0F">
        <w:t>a</w:t>
      </w:r>
      <w:r w:rsidR="00033D0F">
        <w:rPr>
          <w:spacing w:val="-5"/>
        </w:rPr>
        <w:t xml:space="preserve"> </w:t>
      </w:r>
      <w:r w:rsidR="00033D0F">
        <w:t>fragmented</w:t>
      </w:r>
      <w:r w:rsidR="00033D0F">
        <w:rPr>
          <w:spacing w:val="-10"/>
        </w:rPr>
        <w:t xml:space="preserve"> </w:t>
      </w:r>
      <w:r w:rsidR="00033D0F">
        <w:t>industry,</w:t>
      </w:r>
      <w:r w:rsidR="00033D0F">
        <w:rPr>
          <w:spacing w:val="-2"/>
        </w:rPr>
        <w:t xml:space="preserve"> </w:t>
      </w:r>
      <w:r w:rsidR="00033D0F">
        <w:t>the</w:t>
      </w:r>
      <w:r w:rsidR="00033D0F">
        <w:rPr>
          <w:spacing w:val="-5"/>
        </w:rPr>
        <w:t xml:space="preserve"> </w:t>
      </w:r>
      <w:r w:rsidR="00033D0F">
        <w:t>investigating</w:t>
      </w:r>
      <w:r w:rsidR="00033D0F">
        <w:rPr>
          <w:spacing w:val="-3"/>
        </w:rPr>
        <w:t xml:space="preserve"> </w:t>
      </w:r>
      <w:r w:rsidR="00033D0F">
        <w:t>authority</w:t>
      </w:r>
      <w:r w:rsidR="00033D0F">
        <w:rPr>
          <w:spacing w:val="-3"/>
        </w:rPr>
        <w:t xml:space="preserve"> </w:t>
      </w:r>
      <w:r w:rsidR="00033D0F">
        <w:t>still</w:t>
      </w:r>
      <w:r w:rsidR="00033D0F">
        <w:rPr>
          <w:spacing w:val="-2"/>
        </w:rPr>
        <w:t xml:space="preserve"> </w:t>
      </w:r>
      <w:r w:rsidR="00033D0F">
        <w:t>"bears the same obligation to ensure that the process of defining domestic industry does not give rise</w:t>
      </w:r>
      <w:r w:rsidR="00033D0F">
        <w:rPr>
          <w:spacing w:val="-6"/>
        </w:rPr>
        <w:t xml:space="preserve"> </w:t>
      </w:r>
      <w:r w:rsidR="00033D0F">
        <w:t>to</w:t>
      </w:r>
      <w:r w:rsidR="00033D0F">
        <w:rPr>
          <w:spacing w:val="-9"/>
        </w:rPr>
        <w:t xml:space="preserve"> </w:t>
      </w:r>
      <w:r w:rsidR="00033D0F">
        <w:t>a</w:t>
      </w:r>
      <w:r w:rsidR="00033D0F">
        <w:rPr>
          <w:spacing w:val="-7"/>
        </w:rPr>
        <w:t xml:space="preserve"> </w:t>
      </w:r>
      <w:r w:rsidR="00033D0F">
        <w:t>material</w:t>
      </w:r>
      <w:r w:rsidR="00033D0F">
        <w:rPr>
          <w:spacing w:val="-4"/>
        </w:rPr>
        <w:t xml:space="preserve"> </w:t>
      </w:r>
      <w:r w:rsidR="00033D0F">
        <w:t>risk</w:t>
      </w:r>
      <w:r w:rsidR="00033D0F">
        <w:rPr>
          <w:spacing w:val="-5"/>
        </w:rPr>
        <w:t xml:space="preserve"> </w:t>
      </w:r>
      <w:r w:rsidR="00033D0F">
        <w:t>of</w:t>
      </w:r>
      <w:r w:rsidR="00033D0F">
        <w:rPr>
          <w:spacing w:val="-8"/>
        </w:rPr>
        <w:t xml:space="preserve"> </w:t>
      </w:r>
      <w:r w:rsidR="00033D0F">
        <w:t>distortion."</w:t>
      </w:r>
      <w:hyperlink w:anchor="_bookmark705" w:history="1">
        <w:r w:rsidR="00033D0F">
          <w:rPr>
            <w:vertAlign w:val="superscript"/>
          </w:rPr>
          <w:t>590</w:t>
        </w:r>
      </w:hyperlink>
      <w:r w:rsidR="00033D0F">
        <w:rPr>
          <w:spacing w:val="-5"/>
        </w:rPr>
        <w:t xml:space="preserve"> </w:t>
      </w:r>
      <w:r w:rsidR="00033D0F">
        <w:t>In</w:t>
      </w:r>
      <w:r w:rsidR="00033D0F">
        <w:rPr>
          <w:spacing w:val="-8"/>
        </w:rPr>
        <w:t xml:space="preserve"> </w:t>
      </w:r>
      <w:r w:rsidR="00033D0F">
        <w:t>this</w:t>
      </w:r>
      <w:r w:rsidR="00033D0F">
        <w:rPr>
          <w:spacing w:val="-5"/>
        </w:rPr>
        <w:t xml:space="preserve"> </w:t>
      </w:r>
      <w:r w:rsidR="00033D0F">
        <w:t>regard,</w:t>
      </w:r>
      <w:r w:rsidR="00033D0F">
        <w:rPr>
          <w:spacing w:val="-4"/>
        </w:rPr>
        <w:t xml:space="preserve"> </w:t>
      </w:r>
      <w:r w:rsidR="00033D0F">
        <w:t>the</w:t>
      </w:r>
      <w:r w:rsidR="00033D0F">
        <w:rPr>
          <w:spacing w:val="-6"/>
        </w:rPr>
        <w:t xml:space="preserve"> </w:t>
      </w:r>
      <w:r w:rsidR="00033D0F">
        <w:t>Appellate</w:t>
      </w:r>
      <w:r w:rsidR="00033D0F">
        <w:rPr>
          <w:spacing w:val="-6"/>
        </w:rPr>
        <w:t xml:space="preserve"> </w:t>
      </w:r>
      <w:r w:rsidR="00033D0F">
        <w:t>Body</w:t>
      </w:r>
      <w:r w:rsidR="00033D0F">
        <w:rPr>
          <w:spacing w:val="-5"/>
        </w:rPr>
        <w:t xml:space="preserve"> </w:t>
      </w:r>
      <w:r w:rsidR="00033D0F">
        <w:t>explains</w:t>
      </w:r>
      <w:r w:rsidR="00033D0F">
        <w:rPr>
          <w:spacing w:val="-5"/>
        </w:rPr>
        <w:t xml:space="preserve"> </w:t>
      </w:r>
      <w:r w:rsidR="00033D0F">
        <w:t>that,</w:t>
      </w:r>
      <w:r w:rsidR="00033D0F">
        <w:rPr>
          <w:spacing w:val="-4"/>
        </w:rPr>
        <w:t xml:space="preserve"> </w:t>
      </w:r>
      <w:r w:rsidR="00033D0F">
        <w:t>in</w:t>
      </w:r>
      <w:r w:rsidR="00033D0F">
        <w:rPr>
          <w:spacing w:val="-8"/>
        </w:rPr>
        <w:t xml:space="preserve"> </w:t>
      </w:r>
      <w:r w:rsidR="00033D0F">
        <w:t>such circumstances,</w:t>
      </w:r>
      <w:r w:rsidR="00033D0F">
        <w:rPr>
          <w:spacing w:val="-5"/>
        </w:rPr>
        <w:t xml:space="preserve"> </w:t>
      </w:r>
      <w:r w:rsidR="00033D0F">
        <w:t>"an</w:t>
      </w:r>
      <w:r w:rsidR="00033D0F">
        <w:rPr>
          <w:spacing w:val="-9"/>
        </w:rPr>
        <w:t xml:space="preserve"> </w:t>
      </w:r>
      <w:r w:rsidR="00033D0F">
        <w:t>investigating</w:t>
      </w:r>
      <w:r w:rsidR="00033D0F">
        <w:rPr>
          <w:spacing w:val="-6"/>
        </w:rPr>
        <w:t xml:space="preserve"> </w:t>
      </w:r>
      <w:r w:rsidR="00033D0F">
        <w:t>authority</w:t>
      </w:r>
      <w:r w:rsidR="00033D0F">
        <w:rPr>
          <w:spacing w:val="-6"/>
        </w:rPr>
        <w:t xml:space="preserve"> </w:t>
      </w:r>
      <w:r w:rsidR="00033D0F">
        <w:t>would</w:t>
      </w:r>
      <w:r w:rsidR="00033D0F">
        <w:rPr>
          <w:spacing w:val="-9"/>
        </w:rPr>
        <w:t xml:space="preserve"> </w:t>
      </w:r>
      <w:r w:rsidR="00033D0F">
        <w:t>need</w:t>
      </w:r>
      <w:r w:rsidR="00033D0F">
        <w:rPr>
          <w:spacing w:val="-9"/>
        </w:rPr>
        <w:t xml:space="preserve"> </w:t>
      </w:r>
      <w:r w:rsidR="00033D0F">
        <w:t>to</w:t>
      </w:r>
      <w:r w:rsidR="00033D0F">
        <w:rPr>
          <w:spacing w:val="-10"/>
        </w:rPr>
        <w:t xml:space="preserve"> </w:t>
      </w:r>
      <w:r w:rsidR="00033D0F">
        <w:t>make</w:t>
      </w:r>
      <w:r w:rsidR="00033D0F">
        <w:rPr>
          <w:spacing w:val="-7"/>
        </w:rPr>
        <w:t xml:space="preserve"> </w:t>
      </w:r>
      <w:r w:rsidR="00033D0F">
        <w:t>a</w:t>
      </w:r>
      <w:r w:rsidR="00033D0F">
        <w:rPr>
          <w:spacing w:val="-8"/>
        </w:rPr>
        <w:t xml:space="preserve"> </w:t>
      </w:r>
      <w:r w:rsidR="00033D0F">
        <w:rPr>
          <w:i/>
        </w:rPr>
        <w:t>greater</w:t>
      </w:r>
      <w:r w:rsidR="00033D0F">
        <w:rPr>
          <w:i/>
          <w:spacing w:val="-8"/>
        </w:rPr>
        <w:t xml:space="preserve"> </w:t>
      </w:r>
      <w:r w:rsidR="00033D0F">
        <w:rPr>
          <w:i/>
        </w:rPr>
        <w:t>effort</w:t>
      </w:r>
      <w:r w:rsidR="00033D0F">
        <w:rPr>
          <w:i/>
          <w:spacing w:val="-5"/>
        </w:rPr>
        <w:t xml:space="preserve"> </w:t>
      </w:r>
      <w:r w:rsidR="00033D0F">
        <w:t>to</w:t>
      </w:r>
      <w:r w:rsidR="00033D0F">
        <w:rPr>
          <w:spacing w:val="-10"/>
        </w:rPr>
        <w:t xml:space="preserve"> </w:t>
      </w:r>
      <w:r w:rsidR="00033D0F">
        <w:t>ensure</w:t>
      </w:r>
      <w:r w:rsidR="00033D0F">
        <w:rPr>
          <w:spacing w:val="-7"/>
        </w:rPr>
        <w:t xml:space="preserve"> </w:t>
      </w:r>
      <w:r w:rsidR="00033D0F">
        <w:t>that the selected domestic producers are representative of the total domestic production by ascertaining that the process of the domestic industry definition, and ultimately the injury determination, does not give rise to a material risk of distortion".</w:t>
      </w:r>
      <w:hyperlink w:anchor="_bookmark706" w:history="1">
        <w:r w:rsidR="00033D0F">
          <w:rPr>
            <w:vertAlign w:val="superscript"/>
          </w:rPr>
          <w:t>591</w:t>
        </w:r>
      </w:hyperlink>
      <w:r w:rsidR="00033D0F">
        <w:t xml:space="preserve"> As Australia has established above and throughout this case, MOFCOM failed to fulfil this obligation.</w:t>
      </w:r>
      <w:hyperlink w:anchor="_bookmark707" w:history="1">
        <w:r w:rsidR="00033D0F">
          <w:rPr>
            <w:vertAlign w:val="superscript"/>
          </w:rPr>
          <w:t>592</w:t>
        </w:r>
      </w:hyperlink>
    </w:p>
    <w:p w14:paraId="0CFCA69A" w14:textId="77777777" w:rsidR="00BD462C" w:rsidRDefault="00033D0F" w:rsidP="00DA02D9">
      <w:pPr>
        <w:pStyle w:val="ListParagraph"/>
        <w:numPr>
          <w:ilvl w:val="1"/>
          <w:numId w:val="72"/>
        </w:numPr>
        <w:tabs>
          <w:tab w:val="left" w:pos="1839"/>
          <w:tab w:val="left" w:pos="1840"/>
        </w:tabs>
        <w:spacing w:before="154"/>
        <w:ind w:left="1840"/>
        <w:rPr>
          <w:b/>
        </w:rPr>
      </w:pPr>
      <w:bookmarkStart w:id="821" w:name="B._Conclusion"/>
      <w:bookmarkStart w:id="822" w:name="_bookmark703"/>
      <w:bookmarkEnd w:id="821"/>
      <w:bookmarkEnd w:id="822"/>
      <w:r>
        <w:rPr>
          <w:b/>
          <w:spacing w:val="-2"/>
          <w:sz w:val="28"/>
        </w:rPr>
        <w:t>C</w:t>
      </w:r>
      <w:r>
        <w:rPr>
          <w:b/>
          <w:spacing w:val="-2"/>
        </w:rPr>
        <w:t>ONCLUSION</w:t>
      </w:r>
    </w:p>
    <w:p w14:paraId="53901B6A" w14:textId="77777777" w:rsidR="00BD462C" w:rsidRDefault="00BD462C">
      <w:pPr>
        <w:pStyle w:val="BodyText"/>
        <w:spacing w:before="2"/>
        <w:rPr>
          <w:b/>
          <w:sz w:val="23"/>
        </w:rPr>
      </w:pPr>
    </w:p>
    <w:p w14:paraId="5A78978F" w14:textId="7CF358FF" w:rsidR="00BD462C" w:rsidRDefault="006926F2">
      <w:pPr>
        <w:pStyle w:val="BodyText"/>
        <w:spacing w:before="56" w:line="357" w:lineRule="auto"/>
        <w:ind w:left="135" w:right="915" w:hanging="5"/>
        <w:jc w:val="both"/>
      </w:pPr>
      <w:r>
        <w:rPr>
          <w:noProof/>
        </w:rPr>
        <w:t>423.</w:t>
      </w:r>
      <w:r w:rsidR="00033D0F">
        <w:rPr>
          <w:rFonts w:ascii="Times New Roman"/>
          <w:spacing w:val="80"/>
          <w:w w:val="150"/>
          <w:position w:val="1"/>
          <w:sz w:val="20"/>
        </w:rPr>
        <w:t xml:space="preserve"> </w:t>
      </w:r>
      <w:r w:rsidR="00033D0F">
        <w:rPr>
          <w:position w:val="1"/>
        </w:rPr>
        <w:t xml:space="preserve">Contrary to China's assertions, Australia has demonstrated that MOFCOM's process </w:t>
      </w:r>
      <w:r w:rsidR="00033D0F">
        <w:t>to</w:t>
      </w:r>
      <w:r w:rsidR="00033D0F">
        <w:rPr>
          <w:spacing w:val="-14"/>
        </w:rPr>
        <w:t xml:space="preserve"> </w:t>
      </w:r>
      <w:r w:rsidR="00033D0F">
        <w:t>identify</w:t>
      </w:r>
      <w:r w:rsidR="00033D0F">
        <w:rPr>
          <w:spacing w:val="-14"/>
        </w:rPr>
        <w:t xml:space="preserve"> </w:t>
      </w:r>
      <w:r w:rsidR="00033D0F">
        <w:t>and</w:t>
      </w:r>
      <w:r w:rsidR="00033D0F">
        <w:rPr>
          <w:spacing w:val="-13"/>
        </w:rPr>
        <w:t xml:space="preserve"> </w:t>
      </w:r>
      <w:r w:rsidR="00033D0F">
        <w:t>define</w:t>
      </w:r>
      <w:r w:rsidR="00033D0F">
        <w:rPr>
          <w:spacing w:val="-14"/>
        </w:rPr>
        <w:t xml:space="preserve"> </w:t>
      </w:r>
      <w:r w:rsidR="00033D0F">
        <w:t>the</w:t>
      </w:r>
      <w:r w:rsidR="00033D0F">
        <w:rPr>
          <w:spacing w:val="-13"/>
        </w:rPr>
        <w:t xml:space="preserve"> </w:t>
      </w:r>
      <w:r w:rsidR="00033D0F">
        <w:t>domestic</w:t>
      </w:r>
      <w:r w:rsidR="00033D0F">
        <w:rPr>
          <w:spacing w:val="-14"/>
        </w:rPr>
        <w:t xml:space="preserve"> </w:t>
      </w:r>
      <w:r w:rsidR="00033D0F">
        <w:t>industry</w:t>
      </w:r>
      <w:r w:rsidR="00033D0F">
        <w:rPr>
          <w:spacing w:val="-13"/>
        </w:rPr>
        <w:t xml:space="preserve"> </w:t>
      </w:r>
      <w:r w:rsidR="00033D0F">
        <w:t>was</w:t>
      </w:r>
      <w:r w:rsidR="00033D0F">
        <w:rPr>
          <w:spacing w:val="-14"/>
        </w:rPr>
        <w:t xml:space="preserve"> </w:t>
      </w:r>
      <w:r w:rsidR="00033D0F">
        <w:t>inherently</w:t>
      </w:r>
      <w:r w:rsidR="00033D0F">
        <w:rPr>
          <w:spacing w:val="-14"/>
        </w:rPr>
        <w:t xml:space="preserve"> </w:t>
      </w:r>
      <w:r w:rsidR="00033D0F">
        <w:t>flawed.</w:t>
      </w:r>
      <w:hyperlink w:anchor="_bookmark708" w:history="1">
        <w:r w:rsidR="00033D0F">
          <w:rPr>
            <w:vertAlign w:val="superscript"/>
          </w:rPr>
          <w:t>593</w:t>
        </w:r>
      </w:hyperlink>
      <w:r w:rsidR="00033D0F">
        <w:rPr>
          <w:spacing w:val="-13"/>
        </w:rPr>
        <w:t xml:space="preserve"> </w:t>
      </w:r>
      <w:r w:rsidR="00033D0F">
        <w:t>For</w:t>
      </w:r>
      <w:r w:rsidR="00033D0F">
        <w:rPr>
          <w:spacing w:val="-14"/>
        </w:rPr>
        <w:t xml:space="preserve"> </w:t>
      </w:r>
      <w:r w:rsidR="00033D0F">
        <w:t>the</w:t>
      </w:r>
      <w:r w:rsidR="00033D0F">
        <w:rPr>
          <w:spacing w:val="-13"/>
        </w:rPr>
        <w:t xml:space="preserve"> </w:t>
      </w:r>
      <w:r w:rsidR="00033D0F">
        <w:t>reasons</w:t>
      </w:r>
      <w:r w:rsidR="00033D0F">
        <w:rPr>
          <w:spacing w:val="-14"/>
        </w:rPr>
        <w:t xml:space="preserve"> </w:t>
      </w:r>
      <w:r w:rsidR="00033D0F">
        <w:t>outlined above, and in Australia's prior submissions, MOFCOM failed to define the domestic industry in accordance with Article</w:t>
      </w:r>
      <w:r w:rsidR="00033D0F">
        <w:rPr>
          <w:spacing w:val="-3"/>
        </w:rPr>
        <w:t xml:space="preserve"> </w:t>
      </w:r>
      <w:r w:rsidR="00033D0F">
        <w:t>4.1 of the Anti-Dumping Agreement. It follows that MOFCOM's subsequent</w:t>
      </w:r>
      <w:r w:rsidR="00033D0F">
        <w:rPr>
          <w:spacing w:val="-8"/>
        </w:rPr>
        <w:t xml:space="preserve"> </w:t>
      </w:r>
      <w:r w:rsidR="00033D0F">
        <w:t>injury</w:t>
      </w:r>
      <w:r w:rsidR="00033D0F">
        <w:rPr>
          <w:spacing w:val="-6"/>
        </w:rPr>
        <w:t xml:space="preserve"> </w:t>
      </w:r>
      <w:r w:rsidR="00033D0F">
        <w:t>and</w:t>
      </w:r>
      <w:r w:rsidR="00033D0F">
        <w:rPr>
          <w:spacing w:val="-9"/>
        </w:rPr>
        <w:t xml:space="preserve"> </w:t>
      </w:r>
      <w:r w:rsidR="00033D0F">
        <w:t>causation</w:t>
      </w:r>
      <w:r w:rsidR="00033D0F">
        <w:rPr>
          <w:spacing w:val="-9"/>
        </w:rPr>
        <w:t xml:space="preserve"> </w:t>
      </w:r>
      <w:r w:rsidR="00033D0F">
        <w:t>analyses</w:t>
      </w:r>
      <w:r w:rsidR="00033D0F">
        <w:rPr>
          <w:spacing w:val="-6"/>
        </w:rPr>
        <w:t xml:space="preserve"> </w:t>
      </w:r>
      <w:r w:rsidR="00033D0F">
        <w:t>are</w:t>
      </w:r>
      <w:r w:rsidR="00033D0F">
        <w:rPr>
          <w:spacing w:val="-7"/>
        </w:rPr>
        <w:t xml:space="preserve"> </w:t>
      </w:r>
      <w:r w:rsidR="00033D0F">
        <w:t>also</w:t>
      </w:r>
      <w:r w:rsidR="00033D0F">
        <w:rPr>
          <w:spacing w:val="-14"/>
        </w:rPr>
        <w:t xml:space="preserve"> </w:t>
      </w:r>
      <w:r w:rsidR="00033D0F">
        <w:t>inconsistent</w:t>
      </w:r>
      <w:r w:rsidR="00033D0F">
        <w:rPr>
          <w:spacing w:val="-7"/>
        </w:rPr>
        <w:t xml:space="preserve"> </w:t>
      </w:r>
      <w:r w:rsidR="00033D0F">
        <w:t>with</w:t>
      </w:r>
      <w:r w:rsidR="00033D0F">
        <w:rPr>
          <w:spacing w:val="-9"/>
        </w:rPr>
        <w:t xml:space="preserve"> </w:t>
      </w:r>
      <w:r w:rsidR="00033D0F">
        <w:t>the</w:t>
      </w:r>
      <w:r w:rsidR="00033D0F">
        <w:rPr>
          <w:spacing w:val="-7"/>
        </w:rPr>
        <w:t xml:space="preserve"> </w:t>
      </w:r>
      <w:r w:rsidR="00033D0F">
        <w:t>provisions</w:t>
      </w:r>
      <w:r w:rsidR="00033D0F">
        <w:rPr>
          <w:spacing w:val="-6"/>
        </w:rPr>
        <w:t xml:space="preserve"> </w:t>
      </w:r>
      <w:r w:rsidR="00033D0F">
        <w:t>of</w:t>
      </w:r>
      <w:r w:rsidR="00033D0F">
        <w:rPr>
          <w:spacing w:val="-9"/>
        </w:rPr>
        <w:t xml:space="preserve"> </w:t>
      </w:r>
      <w:r w:rsidR="00033D0F">
        <w:t>Article</w:t>
      </w:r>
      <w:r w:rsidR="00033D0F">
        <w:rPr>
          <w:spacing w:val="-2"/>
        </w:rPr>
        <w:t xml:space="preserve"> </w:t>
      </w:r>
      <w:r w:rsidR="00033D0F">
        <w:t>3 of the Anti-Dumping Agreement.</w:t>
      </w:r>
    </w:p>
    <w:p w14:paraId="5F5B31EC" w14:textId="77777777" w:rsidR="00BD462C" w:rsidRDefault="00BD462C">
      <w:pPr>
        <w:pStyle w:val="BodyText"/>
        <w:rPr>
          <w:sz w:val="20"/>
        </w:rPr>
      </w:pPr>
    </w:p>
    <w:p w14:paraId="489716EE" w14:textId="77777777" w:rsidR="00BD462C" w:rsidRDefault="00BD462C">
      <w:pPr>
        <w:pStyle w:val="BodyText"/>
        <w:rPr>
          <w:sz w:val="20"/>
        </w:rPr>
      </w:pPr>
    </w:p>
    <w:p w14:paraId="67578D63" w14:textId="77777777" w:rsidR="00BD462C" w:rsidRDefault="00BD462C">
      <w:pPr>
        <w:pStyle w:val="BodyText"/>
        <w:rPr>
          <w:sz w:val="20"/>
        </w:rPr>
      </w:pPr>
    </w:p>
    <w:p w14:paraId="24D80282" w14:textId="77777777" w:rsidR="00BD462C" w:rsidRDefault="00BD462C">
      <w:pPr>
        <w:pStyle w:val="BodyText"/>
        <w:rPr>
          <w:sz w:val="20"/>
        </w:rPr>
      </w:pPr>
    </w:p>
    <w:p w14:paraId="0DE4EC27" w14:textId="77777777" w:rsidR="00BD462C" w:rsidRDefault="00BD462C">
      <w:pPr>
        <w:pStyle w:val="BodyText"/>
        <w:rPr>
          <w:sz w:val="20"/>
        </w:rPr>
      </w:pPr>
    </w:p>
    <w:p w14:paraId="22444D1E" w14:textId="77777777" w:rsidR="00BD462C" w:rsidRDefault="00BD462C">
      <w:pPr>
        <w:pStyle w:val="BodyText"/>
        <w:rPr>
          <w:sz w:val="20"/>
        </w:rPr>
      </w:pPr>
    </w:p>
    <w:p w14:paraId="314F2D2C" w14:textId="7B2F4A01" w:rsidR="00BD462C" w:rsidRDefault="00752F01">
      <w:pPr>
        <w:pStyle w:val="BodyText"/>
        <w:rPr>
          <w:sz w:val="20"/>
        </w:rPr>
      </w:pPr>
      <w:r>
        <w:rPr>
          <w:noProof/>
        </w:rPr>
        <mc:AlternateContent>
          <mc:Choice Requires="wps">
            <w:drawing>
              <wp:anchor distT="0" distB="0" distL="0" distR="0" simplePos="0" relativeHeight="488288768" behindDoc="1" locked="0" layoutInCell="1" allowOverlap="1" wp14:anchorId="6251BD20" wp14:editId="6036FC47">
                <wp:simplePos x="0" y="0"/>
                <wp:positionH relativeFrom="page">
                  <wp:posOffset>812800</wp:posOffset>
                </wp:positionH>
                <wp:positionV relativeFrom="paragraph">
                  <wp:posOffset>366395</wp:posOffset>
                </wp:positionV>
                <wp:extent cx="1828800" cy="8890"/>
                <wp:effectExtent l="0" t="0" r="0" b="0"/>
                <wp:wrapTopAndBottom/>
                <wp:docPr id="267" name="docshape4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34D39F" id="docshape414" o:spid="_x0000_s1026" alt="&quot;&quot;" style="position:absolute;margin-left:64pt;margin-top:28.85pt;width:2in;height:.7pt;z-index:-15027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" fillcolor="black" stroked="f">
                <w10:wrap type="topAndBottom" anchorx="page"/>
              </v:rect>
            </w:pict>
          </mc:Fallback>
        </mc:AlternateContent>
      </w:r>
    </w:p>
    <w:p w14:paraId="4584D071" w14:textId="6E3ED2F1" w:rsidR="00BD462C" w:rsidRDefault="00BD462C">
      <w:pPr>
        <w:pStyle w:val="BodyText"/>
        <w:spacing w:before="1"/>
        <w:rPr>
          <w:sz w:val="27"/>
        </w:rPr>
      </w:pPr>
    </w:p>
    <w:p w14:paraId="133D68A1" w14:textId="77777777" w:rsidR="00BD462C" w:rsidRDefault="00033D0F">
      <w:pPr>
        <w:spacing w:before="112" w:line="218" w:lineRule="exact"/>
        <w:ind w:left="135"/>
        <w:rPr>
          <w:sz w:val="18"/>
        </w:rPr>
      </w:pPr>
      <w:bookmarkStart w:id="823" w:name="_bookmark704"/>
      <w:bookmarkEnd w:id="823"/>
      <w:r>
        <w:rPr>
          <w:position w:val="5"/>
          <w:sz w:val="12"/>
        </w:rPr>
        <w:t>589</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 xml:space="preserve">submission, para. </w:t>
      </w:r>
      <w:r>
        <w:rPr>
          <w:spacing w:val="-4"/>
          <w:sz w:val="18"/>
        </w:rPr>
        <w:t>911.</w:t>
      </w:r>
    </w:p>
    <w:p w14:paraId="35E39958" w14:textId="77777777" w:rsidR="00BD462C" w:rsidRDefault="00033D0F">
      <w:pPr>
        <w:spacing w:line="218" w:lineRule="exact"/>
        <w:ind w:left="135"/>
        <w:rPr>
          <w:sz w:val="18"/>
        </w:rPr>
      </w:pPr>
      <w:bookmarkStart w:id="824" w:name="_bookmark705"/>
      <w:bookmarkEnd w:id="824"/>
      <w:r>
        <w:rPr>
          <w:position w:val="5"/>
          <w:sz w:val="12"/>
        </w:rPr>
        <w:t>590</w:t>
      </w:r>
      <w:r>
        <w:rPr>
          <w:spacing w:val="15"/>
          <w:position w:val="5"/>
          <w:sz w:val="12"/>
        </w:rPr>
        <w:t xml:space="preserve"> </w:t>
      </w:r>
      <w:r>
        <w:rPr>
          <w:sz w:val="18"/>
        </w:rPr>
        <w:t>Appellate</w:t>
      </w:r>
      <w:r>
        <w:rPr>
          <w:spacing w:val="-8"/>
          <w:sz w:val="18"/>
        </w:rPr>
        <w:t xml:space="preserve"> </w:t>
      </w:r>
      <w:r>
        <w:rPr>
          <w:sz w:val="18"/>
        </w:rPr>
        <w:t>Body</w:t>
      </w:r>
      <w:r>
        <w:rPr>
          <w:spacing w:val="-5"/>
          <w:sz w:val="18"/>
        </w:rPr>
        <w:t xml:space="preserve"> </w:t>
      </w:r>
      <w:r>
        <w:rPr>
          <w:sz w:val="18"/>
        </w:rPr>
        <w:t>Report,</w:t>
      </w:r>
      <w:r>
        <w:rPr>
          <w:spacing w:val="-2"/>
          <w:sz w:val="18"/>
        </w:rPr>
        <w:t xml:space="preserve"> </w:t>
      </w:r>
      <w:r>
        <w:rPr>
          <w:i/>
          <w:sz w:val="18"/>
        </w:rPr>
        <w:t>EC</w:t>
      </w:r>
      <w:r>
        <w:rPr>
          <w:i/>
          <w:spacing w:val="-3"/>
          <w:sz w:val="18"/>
        </w:rPr>
        <w:t xml:space="preserve"> </w:t>
      </w:r>
      <w:r>
        <w:rPr>
          <w:i/>
          <w:sz w:val="18"/>
        </w:rPr>
        <w:t>– Fasteners</w:t>
      </w:r>
      <w:r>
        <w:rPr>
          <w:i/>
          <w:spacing w:val="-3"/>
          <w:sz w:val="18"/>
        </w:rPr>
        <w:t xml:space="preserve"> </w:t>
      </w:r>
      <w:r>
        <w:rPr>
          <w:i/>
          <w:sz w:val="18"/>
        </w:rPr>
        <w:t>(China)</w:t>
      </w:r>
      <w:r>
        <w:rPr>
          <w:i/>
          <w:spacing w:val="-2"/>
          <w:sz w:val="18"/>
        </w:rPr>
        <w:t xml:space="preserve"> </w:t>
      </w:r>
      <w:r>
        <w:rPr>
          <w:i/>
          <w:sz w:val="18"/>
        </w:rPr>
        <w:t>(Article</w:t>
      </w:r>
      <w:r>
        <w:rPr>
          <w:i/>
          <w:spacing w:val="-5"/>
          <w:sz w:val="18"/>
        </w:rPr>
        <w:t xml:space="preserve"> </w:t>
      </w:r>
      <w:r>
        <w:rPr>
          <w:i/>
          <w:sz w:val="18"/>
        </w:rPr>
        <w:t>21.5</w:t>
      </w:r>
      <w:r>
        <w:rPr>
          <w:i/>
          <w:spacing w:val="-5"/>
          <w:sz w:val="18"/>
        </w:rPr>
        <w:t xml:space="preserve"> </w:t>
      </w:r>
      <w:r>
        <w:rPr>
          <w:i/>
          <w:sz w:val="18"/>
        </w:rPr>
        <w:t>–</w:t>
      </w:r>
      <w:r>
        <w:rPr>
          <w:i/>
          <w:spacing w:val="-3"/>
          <w:sz w:val="18"/>
        </w:rPr>
        <w:t xml:space="preserve"> </w:t>
      </w:r>
      <w:r>
        <w:rPr>
          <w:i/>
          <w:sz w:val="18"/>
        </w:rPr>
        <w:t>China)</w:t>
      </w:r>
      <w:r>
        <w:rPr>
          <w:sz w:val="18"/>
        </w:rPr>
        <w:t>,</w:t>
      </w:r>
      <w:r>
        <w:rPr>
          <w:spacing w:val="-2"/>
          <w:sz w:val="18"/>
        </w:rPr>
        <w:t xml:space="preserve"> </w:t>
      </w:r>
      <w:r>
        <w:rPr>
          <w:sz w:val="18"/>
        </w:rPr>
        <w:t>para.</w:t>
      </w:r>
      <w:r>
        <w:rPr>
          <w:spacing w:val="3"/>
          <w:sz w:val="18"/>
        </w:rPr>
        <w:t xml:space="preserve"> </w:t>
      </w:r>
      <w:r>
        <w:rPr>
          <w:spacing w:val="-2"/>
          <w:sz w:val="18"/>
        </w:rPr>
        <w:t>5.303.</w:t>
      </w:r>
    </w:p>
    <w:p w14:paraId="777E88ED" w14:textId="77777777" w:rsidR="00BD462C" w:rsidRDefault="00033D0F">
      <w:pPr>
        <w:spacing w:before="1"/>
        <w:ind w:left="135"/>
        <w:rPr>
          <w:sz w:val="18"/>
        </w:rPr>
      </w:pPr>
      <w:bookmarkStart w:id="825" w:name="_bookmark706"/>
      <w:bookmarkEnd w:id="825"/>
      <w:r>
        <w:rPr>
          <w:position w:val="5"/>
          <w:sz w:val="12"/>
        </w:rPr>
        <w:t>591</w:t>
      </w:r>
      <w:r>
        <w:rPr>
          <w:spacing w:val="15"/>
          <w:position w:val="5"/>
          <w:sz w:val="12"/>
        </w:rPr>
        <w:t xml:space="preserve"> </w:t>
      </w:r>
      <w:r>
        <w:rPr>
          <w:sz w:val="18"/>
        </w:rPr>
        <w:t>Appellate</w:t>
      </w:r>
      <w:r>
        <w:rPr>
          <w:spacing w:val="-9"/>
          <w:sz w:val="18"/>
        </w:rPr>
        <w:t xml:space="preserve"> </w:t>
      </w:r>
      <w:r>
        <w:rPr>
          <w:sz w:val="18"/>
        </w:rPr>
        <w:t>Body</w:t>
      </w:r>
      <w:r>
        <w:rPr>
          <w:spacing w:val="-5"/>
          <w:sz w:val="18"/>
        </w:rPr>
        <w:t xml:space="preserve"> </w:t>
      </w:r>
      <w:r>
        <w:rPr>
          <w:sz w:val="18"/>
        </w:rPr>
        <w:t>Report,</w:t>
      </w:r>
      <w:r>
        <w:rPr>
          <w:spacing w:val="-2"/>
          <w:sz w:val="18"/>
        </w:rPr>
        <w:t xml:space="preserve"> </w:t>
      </w:r>
      <w:r>
        <w:rPr>
          <w:i/>
          <w:sz w:val="18"/>
        </w:rPr>
        <w:t>EC</w:t>
      </w:r>
      <w:r>
        <w:rPr>
          <w:i/>
          <w:spacing w:val="-4"/>
          <w:sz w:val="18"/>
        </w:rPr>
        <w:t xml:space="preserve"> </w:t>
      </w:r>
      <w:r>
        <w:rPr>
          <w:i/>
          <w:sz w:val="18"/>
        </w:rPr>
        <w:t>– Fasteners</w:t>
      </w:r>
      <w:r>
        <w:rPr>
          <w:i/>
          <w:spacing w:val="-3"/>
          <w:sz w:val="18"/>
        </w:rPr>
        <w:t xml:space="preserve"> </w:t>
      </w:r>
      <w:r>
        <w:rPr>
          <w:i/>
          <w:sz w:val="18"/>
        </w:rPr>
        <w:t>(China)</w:t>
      </w:r>
      <w:r>
        <w:rPr>
          <w:i/>
          <w:spacing w:val="-3"/>
          <w:sz w:val="18"/>
        </w:rPr>
        <w:t xml:space="preserve"> </w:t>
      </w:r>
      <w:r>
        <w:rPr>
          <w:i/>
          <w:sz w:val="18"/>
        </w:rPr>
        <w:t>(Article</w:t>
      </w:r>
      <w:r>
        <w:rPr>
          <w:i/>
          <w:spacing w:val="-4"/>
          <w:sz w:val="18"/>
        </w:rPr>
        <w:t xml:space="preserve"> </w:t>
      </w:r>
      <w:r>
        <w:rPr>
          <w:i/>
          <w:sz w:val="18"/>
        </w:rPr>
        <w:t>21.5</w:t>
      </w:r>
      <w:r>
        <w:rPr>
          <w:i/>
          <w:spacing w:val="-6"/>
          <w:sz w:val="18"/>
        </w:rPr>
        <w:t xml:space="preserve"> </w:t>
      </w:r>
      <w:r>
        <w:rPr>
          <w:i/>
          <w:sz w:val="18"/>
        </w:rPr>
        <w:t>–</w:t>
      </w:r>
      <w:r>
        <w:rPr>
          <w:i/>
          <w:spacing w:val="-4"/>
          <w:sz w:val="18"/>
        </w:rPr>
        <w:t xml:space="preserve"> </w:t>
      </w:r>
      <w:r>
        <w:rPr>
          <w:i/>
          <w:sz w:val="18"/>
        </w:rPr>
        <w:t>China)</w:t>
      </w:r>
      <w:r>
        <w:rPr>
          <w:sz w:val="18"/>
        </w:rPr>
        <w:t>,</w:t>
      </w:r>
      <w:r>
        <w:rPr>
          <w:spacing w:val="-1"/>
          <w:sz w:val="18"/>
        </w:rPr>
        <w:t xml:space="preserve"> </w:t>
      </w:r>
      <w:r>
        <w:rPr>
          <w:sz w:val="18"/>
        </w:rPr>
        <w:t>paras.</w:t>
      </w:r>
      <w:r>
        <w:rPr>
          <w:spacing w:val="-3"/>
          <w:sz w:val="18"/>
        </w:rPr>
        <w:t xml:space="preserve"> </w:t>
      </w:r>
      <w:r>
        <w:rPr>
          <w:sz w:val="18"/>
        </w:rPr>
        <w:t>5.302-5.303</w:t>
      </w:r>
      <w:r>
        <w:rPr>
          <w:spacing w:val="-6"/>
          <w:sz w:val="18"/>
        </w:rPr>
        <w:t xml:space="preserve"> </w:t>
      </w:r>
      <w:r>
        <w:rPr>
          <w:sz w:val="18"/>
        </w:rPr>
        <w:t>(emphasis</w:t>
      </w:r>
      <w:r>
        <w:rPr>
          <w:spacing w:val="-3"/>
          <w:sz w:val="18"/>
        </w:rPr>
        <w:t xml:space="preserve"> </w:t>
      </w:r>
      <w:r>
        <w:rPr>
          <w:spacing w:val="-2"/>
          <w:sz w:val="18"/>
        </w:rPr>
        <w:t>added).</w:t>
      </w:r>
    </w:p>
    <w:p w14:paraId="4C57E2A2" w14:textId="77777777" w:rsidR="00BD462C" w:rsidRDefault="00033D0F">
      <w:pPr>
        <w:spacing w:before="1"/>
        <w:ind w:left="135" w:right="910"/>
        <w:jc w:val="both"/>
        <w:rPr>
          <w:sz w:val="18"/>
        </w:rPr>
      </w:pPr>
      <w:bookmarkStart w:id="826" w:name="_bookmark707"/>
      <w:bookmarkEnd w:id="826"/>
      <w:r>
        <w:rPr>
          <w:position w:val="5"/>
          <w:sz w:val="12"/>
        </w:rPr>
        <w:t>592</w:t>
      </w:r>
      <w:r>
        <w:rPr>
          <w:spacing w:val="22"/>
          <w:position w:val="5"/>
          <w:sz w:val="12"/>
        </w:rPr>
        <w:t xml:space="preserve"> </w:t>
      </w:r>
      <w:r>
        <w:rPr>
          <w:sz w:val="18"/>
        </w:rPr>
        <w:t>China's first written submission, para. 911. China has claimed that "despite the wine industry being a highly fragmented industry, the producers included in the definition</w:t>
      </w:r>
      <w:r>
        <w:rPr>
          <w:spacing w:val="-4"/>
          <w:sz w:val="18"/>
        </w:rPr>
        <w:t xml:space="preserve"> </w:t>
      </w:r>
      <w:r>
        <w:rPr>
          <w:sz w:val="18"/>
        </w:rPr>
        <w:t>of 'domestic industry'</w:t>
      </w:r>
      <w:r>
        <w:rPr>
          <w:spacing w:val="-1"/>
          <w:sz w:val="18"/>
        </w:rPr>
        <w:t xml:space="preserve"> </w:t>
      </w:r>
      <w:r>
        <w:rPr>
          <w:sz w:val="18"/>
        </w:rPr>
        <w:t>not only represented 46% of</w:t>
      </w:r>
      <w:r>
        <w:rPr>
          <w:spacing w:val="-2"/>
          <w:sz w:val="18"/>
        </w:rPr>
        <w:t xml:space="preserve"> </w:t>
      </w:r>
      <w:r>
        <w:rPr>
          <w:sz w:val="18"/>
        </w:rPr>
        <w:t>the</w:t>
      </w:r>
      <w:r>
        <w:rPr>
          <w:spacing w:val="-3"/>
          <w:sz w:val="18"/>
        </w:rPr>
        <w:t xml:space="preserve"> </w:t>
      </w:r>
      <w:r>
        <w:rPr>
          <w:sz w:val="18"/>
        </w:rPr>
        <w:t>total output of the industry as a whole, but well over 60% in each year of the investigation period." It is unclear to Australia as to how 60% of total domestic production in</w:t>
      </w:r>
      <w:r>
        <w:rPr>
          <w:spacing w:val="-4"/>
          <w:sz w:val="18"/>
        </w:rPr>
        <w:t xml:space="preserve"> </w:t>
      </w:r>
      <w:r>
        <w:rPr>
          <w:sz w:val="18"/>
        </w:rPr>
        <w:t>each year of the</w:t>
      </w:r>
      <w:r>
        <w:rPr>
          <w:spacing w:val="-3"/>
          <w:sz w:val="18"/>
        </w:rPr>
        <w:t xml:space="preserve"> </w:t>
      </w:r>
      <w:r>
        <w:rPr>
          <w:sz w:val="18"/>
        </w:rPr>
        <w:t>POI can equate to</w:t>
      </w:r>
      <w:r>
        <w:rPr>
          <w:spacing w:val="-4"/>
          <w:sz w:val="18"/>
        </w:rPr>
        <w:t xml:space="preserve"> </w:t>
      </w:r>
      <w:r>
        <w:rPr>
          <w:sz w:val="18"/>
        </w:rPr>
        <w:t>"46% of</w:t>
      </w:r>
      <w:r>
        <w:rPr>
          <w:spacing w:val="-2"/>
          <w:sz w:val="18"/>
        </w:rPr>
        <w:t xml:space="preserve"> </w:t>
      </w:r>
      <w:r>
        <w:rPr>
          <w:sz w:val="18"/>
        </w:rPr>
        <w:t>the</w:t>
      </w:r>
      <w:r>
        <w:rPr>
          <w:spacing w:val="-3"/>
          <w:sz w:val="18"/>
        </w:rPr>
        <w:t xml:space="preserve"> </w:t>
      </w:r>
      <w:r>
        <w:rPr>
          <w:sz w:val="18"/>
        </w:rPr>
        <w:t>total output of the</w:t>
      </w:r>
      <w:r>
        <w:rPr>
          <w:spacing w:val="-3"/>
          <w:sz w:val="18"/>
        </w:rPr>
        <w:t xml:space="preserve"> </w:t>
      </w:r>
      <w:r>
        <w:rPr>
          <w:sz w:val="18"/>
        </w:rPr>
        <w:t>industry as a whole".</w:t>
      </w:r>
      <w:r>
        <w:rPr>
          <w:spacing w:val="-3"/>
          <w:sz w:val="18"/>
        </w:rPr>
        <w:t xml:space="preserve"> </w:t>
      </w:r>
      <w:r>
        <w:rPr>
          <w:sz w:val="18"/>
        </w:rPr>
        <w:t xml:space="preserve">It may be that China intends this as a reference to the Panel Report in </w:t>
      </w:r>
      <w:r>
        <w:rPr>
          <w:i/>
          <w:sz w:val="18"/>
        </w:rPr>
        <w:t>Argentina – Poultry Anti-Dumping Duties</w:t>
      </w:r>
      <w:r>
        <w:rPr>
          <w:sz w:val="18"/>
        </w:rPr>
        <w:t>, which China discusses in para. 907 of its first written submission, although this is not entirely clear from the wording in para. 911.</w:t>
      </w:r>
    </w:p>
    <w:p w14:paraId="629E487A" w14:textId="77777777" w:rsidR="00BD462C" w:rsidRDefault="00033D0F">
      <w:pPr>
        <w:spacing w:before="1"/>
        <w:ind w:left="135"/>
        <w:jc w:val="both"/>
        <w:rPr>
          <w:sz w:val="18"/>
        </w:rPr>
      </w:pPr>
      <w:bookmarkStart w:id="827" w:name="_bookmark708"/>
      <w:bookmarkEnd w:id="827"/>
      <w:r>
        <w:rPr>
          <w:position w:val="5"/>
          <w:sz w:val="12"/>
        </w:rPr>
        <w:t>593</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 xml:space="preserve">submission, para. </w:t>
      </w:r>
      <w:r>
        <w:rPr>
          <w:spacing w:val="-4"/>
          <w:sz w:val="18"/>
        </w:rPr>
        <w:t>926.</w:t>
      </w:r>
    </w:p>
    <w:p w14:paraId="6D4F522D" w14:textId="77777777" w:rsidR="00BD462C" w:rsidRDefault="00BD462C">
      <w:pPr>
        <w:jc w:val="both"/>
        <w:rPr>
          <w:sz w:val="18"/>
        </w:rPr>
        <w:sectPr w:rsidR="00BD462C">
          <w:pgSz w:w="11910" w:h="16840"/>
          <w:pgMar w:top="860" w:right="500" w:bottom="780" w:left="1280" w:header="566" w:footer="590" w:gutter="0"/>
          <w:cols w:space="720"/>
        </w:sectPr>
      </w:pPr>
    </w:p>
    <w:p w14:paraId="17106ABB"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6BDB4E70"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575D1BF7"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2A06C78C" w14:textId="77777777" w:rsidR="00BD462C" w:rsidRDefault="00033D0F" w:rsidP="00DA02D9">
      <w:pPr>
        <w:pStyle w:val="Heading1"/>
        <w:numPr>
          <w:ilvl w:val="0"/>
          <w:numId w:val="72"/>
        </w:numPr>
        <w:tabs>
          <w:tab w:val="left" w:pos="985"/>
          <w:tab w:val="left" w:pos="986"/>
        </w:tabs>
        <w:spacing w:line="357" w:lineRule="auto"/>
        <w:ind w:right="919"/>
      </w:pPr>
      <w:bookmarkStart w:id="828" w:name="V._Australia's_claims_concerning_the_inj"/>
      <w:bookmarkStart w:id="829" w:name="_bookmark709"/>
      <w:bookmarkEnd w:id="828"/>
      <w:bookmarkEnd w:id="829"/>
      <w:r>
        <w:t>AUSTRALIA'S</w:t>
      </w:r>
      <w:r>
        <w:rPr>
          <w:spacing w:val="80"/>
        </w:rPr>
        <w:t xml:space="preserve"> </w:t>
      </w:r>
      <w:r>
        <w:t>CLAIMS</w:t>
      </w:r>
      <w:r>
        <w:rPr>
          <w:spacing w:val="80"/>
        </w:rPr>
        <w:t xml:space="preserve"> </w:t>
      </w:r>
      <w:r>
        <w:t>CONCERNING</w:t>
      </w:r>
      <w:r>
        <w:rPr>
          <w:spacing w:val="80"/>
        </w:rPr>
        <w:t xml:space="preserve"> </w:t>
      </w:r>
      <w:r>
        <w:t>THE</w:t>
      </w:r>
      <w:r>
        <w:rPr>
          <w:spacing w:val="80"/>
        </w:rPr>
        <w:t xml:space="preserve"> </w:t>
      </w:r>
      <w:r>
        <w:t>INJURY</w:t>
      </w:r>
      <w:r>
        <w:rPr>
          <w:spacing w:val="80"/>
        </w:rPr>
        <w:t xml:space="preserve"> </w:t>
      </w:r>
      <w:r>
        <w:t>AND</w:t>
      </w:r>
      <w:r>
        <w:rPr>
          <w:spacing w:val="80"/>
        </w:rPr>
        <w:t xml:space="preserve"> </w:t>
      </w:r>
      <w:r>
        <w:t xml:space="preserve">CAUSATION </w:t>
      </w:r>
      <w:r>
        <w:rPr>
          <w:spacing w:val="-2"/>
        </w:rPr>
        <w:t>DETERMINATION</w:t>
      </w:r>
    </w:p>
    <w:p w14:paraId="61220027" w14:textId="77777777" w:rsidR="00BD462C" w:rsidRDefault="00033D0F" w:rsidP="00DA02D9">
      <w:pPr>
        <w:pStyle w:val="ListParagraph"/>
        <w:numPr>
          <w:ilvl w:val="1"/>
          <w:numId w:val="72"/>
        </w:numPr>
        <w:tabs>
          <w:tab w:val="left" w:pos="1839"/>
          <w:tab w:val="left" w:pos="1841"/>
        </w:tabs>
        <w:spacing w:before="167"/>
        <w:ind w:left="1840" w:hanging="856"/>
        <w:rPr>
          <w:b/>
        </w:rPr>
      </w:pPr>
      <w:bookmarkStart w:id="830" w:name="_bookmark710"/>
      <w:bookmarkEnd w:id="830"/>
      <w:r>
        <w:rPr>
          <w:b/>
          <w:spacing w:val="-2"/>
          <w:sz w:val="28"/>
        </w:rPr>
        <w:t>I</w:t>
      </w:r>
      <w:r>
        <w:rPr>
          <w:b/>
          <w:spacing w:val="-2"/>
        </w:rPr>
        <w:t>NTRODUCTION</w:t>
      </w:r>
    </w:p>
    <w:p w14:paraId="706CBE25" w14:textId="77777777" w:rsidR="00BD462C" w:rsidRDefault="00BD462C">
      <w:pPr>
        <w:pStyle w:val="BodyText"/>
        <w:spacing w:before="9"/>
        <w:rPr>
          <w:b/>
          <w:sz w:val="22"/>
        </w:rPr>
      </w:pPr>
    </w:p>
    <w:p w14:paraId="16C77373" w14:textId="1334A16B" w:rsidR="00BD462C" w:rsidRDefault="006926F2">
      <w:pPr>
        <w:pStyle w:val="BodyText"/>
        <w:spacing w:before="56" w:line="360" w:lineRule="auto"/>
        <w:ind w:left="135" w:right="911" w:hanging="5"/>
        <w:jc w:val="both"/>
      </w:pPr>
      <w:r>
        <w:rPr>
          <w:noProof/>
        </w:rPr>
        <w:t>424.</w:t>
      </w:r>
      <w:r w:rsidR="00033D0F">
        <w:rPr>
          <w:rFonts w:ascii="Times New Roman"/>
          <w:spacing w:val="80"/>
          <w:position w:val="1"/>
          <w:sz w:val="20"/>
        </w:rPr>
        <w:t xml:space="preserve"> </w:t>
      </w:r>
      <w:r w:rsidR="00033D0F">
        <w:rPr>
          <w:position w:val="1"/>
        </w:rPr>
        <w:t xml:space="preserve">It is clear from the text of its Final Determination that MOFCOM considered all </w:t>
      </w:r>
      <w:r w:rsidR="00033D0F">
        <w:t>injurious effects to flow from the alleged suppression of domestic price and its injury determination was grounded solely on this basis.</w:t>
      </w:r>
      <w:hyperlink w:anchor="_bookmark711" w:history="1">
        <w:r w:rsidR="00033D0F">
          <w:rPr>
            <w:vertAlign w:val="superscript"/>
          </w:rPr>
          <w:t>594</w:t>
        </w:r>
      </w:hyperlink>
      <w:r w:rsidR="00033D0F">
        <w:t xml:space="preserve"> According to MOFCOM, the price of domestic like products was suppressed over the Injury POI because the sale price failed to increase at the same rate as unit cost increases over the same period.</w:t>
      </w:r>
      <w:hyperlink w:anchor="_bookmark712" w:history="1">
        <w:r w:rsidR="00033D0F">
          <w:rPr>
            <w:vertAlign w:val="superscript"/>
          </w:rPr>
          <w:t>595</w:t>
        </w:r>
      </w:hyperlink>
      <w:r w:rsidR="00033D0F">
        <w:t xml:space="preserve"> That is, over the Injury POI, the unit cost of domestic like products increased by 658 RMB/</w:t>
      </w:r>
      <w:proofErr w:type="spellStart"/>
      <w:r w:rsidR="00033D0F">
        <w:t>kilolitre</w:t>
      </w:r>
      <w:proofErr w:type="spellEnd"/>
      <w:r w:rsidR="00033D0F">
        <w:t xml:space="preserve"> more than the</w:t>
      </w:r>
      <w:r w:rsidR="00033D0F">
        <w:rPr>
          <w:spacing w:val="-2"/>
        </w:rPr>
        <w:t xml:space="preserve"> </w:t>
      </w:r>
      <w:r w:rsidR="00033D0F">
        <w:t>increase</w:t>
      </w:r>
      <w:r w:rsidR="00033D0F">
        <w:rPr>
          <w:spacing w:val="-1"/>
        </w:rPr>
        <w:t xml:space="preserve"> </w:t>
      </w:r>
      <w:r w:rsidR="00033D0F">
        <w:t>in</w:t>
      </w:r>
      <w:r w:rsidR="00033D0F">
        <w:rPr>
          <w:spacing w:val="-3"/>
        </w:rPr>
        <w:t xml:space="preserve"> </w:t>
      </w:r>
      <w:r w:rsidR="00033D0F">
        <w:t>the</w:t>
      </w:r>
      <w:r w:rsidR="00033D0F">
        <w:rPr>
          <w:spacing w:val="-2"/>
        </w:rPr>
        <w:t xml:space="preserve"> </w:t>
      </w:r>
      <w:r w:rsidR="00033D0F">
        <w:t>sale</w:t>
      </w:r>
      <w:r w:rsidR="00033D0F">
        <w:rPr>
          <w:spacing w:val="-1"/>
        </w:rPr>
        <w:t xml:space="preserve"> </w:t>
      </w:r>
      <w:r w:rsidR="00033D0F">
        <w:t>price of domestic</w:t>
      </w:r>
      <w:r w:rsidR="00033D0F">
        <w:rPr>
          <w:spacing w:val="-3"/>
        </w:rPr>
        <w:t xml:space="preserve"> </w:t>
      </w:r>
      <w:r w:rsidR="00033D0F">
        <w:t>like</w:t>
      </w:r>
      <w:r w:rsidR="00033D0F">
        <w:rPr>
          <w:spacing w:val="-1"/>
        </w:rPr>
        <w:t xml:space="preserve"> </w:t>
      </w:r>
      <w:r w:rsidR="00033D0F">
        <w:t>products.</w:t>
      </w:r>
      <w:hyperlink w:anchor="_bookmark713" w:history="1">
        <w:r w:rsidR="00033D0F">
          <w:rPr>
            <w:vertAlign w:val="superscript"/>
          </w:rPr>
          <w:t>596</w:t>
        </w:r>
      </w:hyperlink>
      <w:r w:rsidR="00033D0F">
        <w:rPr>
          <w:spacing w:val="-1"/>
        </w:rPr>
        <w:t xml:space="preserve"> </w:t>
      </w:r>
      <w:r w:rsidR="00033D0F">
        <w:t>This amount represents only 2% of the average unit price of domestic like products in the "base year" of 2015. In short, the foundation for MOFCOM's affirmative injury determination is a finding that the sale price of domestic</w:t>
      </w:r>
      <w:r w:rsidR="00033D0F">
        <w:rPr>
          <w:spacing w:val="-5"/>
        </w:rPr>
        <w:t xml:space="preserve"> </w:t>
      </w:r>
      <w:r w:rsidR="00033D0F">
        <w:t>like</w:t>
      </w:r>
      <w:r w:rsidR="00033D0F">
        <w:rPr>
          <w:spacing w:val="-3"/>
        </w:rPr>
        <w:t xml:space="preserve"> </w:t>
      </w:r>
      <w:r w:rsidR="00033D0F">
        <w:t>products</w:t>
      </w:r>
      <w:r w:rsidR="00033D0F">
        <w:rPr>
          <w:spacing w:val="-2"/>
        </w:rPr>
        <w:t xml:space="preserve"> </w:t>
      </w:r>
      <w:r w:rsidR="00033D0F">
        <w:t>in</w:t>
      </w:r>
      <w:r w:rsidR="00033D0F">
        <w:rPr>
          <w:spacing w:val="-5"/>
        </w:rPr>
        <w:t xml:space="preserve"> </w:t>
      </w:r>
      <w:r w:rsidR="00033D0F">
        <w:t>2015</w:t>
      </w:r>
      <w:r w:rsidR="00033D0F">
        <w:rPr>
          <w:spacing w:val="-6"/>
        </w:rPr>
        <w:t xml:space="preserve"> </w:t>
      </w:r>
      <w:r w:rsidR="00033D0F">
        <w:t>was</w:t>
      </w:r>
      <w:r w:rsidR="00033D0F">
        <w:rPr>
          <w:spacing w:val="-2"/>
        </w:rPr>
        <w:t xml:space="preserve"> </w:t>
      </w:r>
      <w:r w:rsidR="00033D0F">
        <w:t>suppressed</w:t>
      </w:r>
      <w:r w:rsidR="00033D0F">
        <w:rPr>
          <w:spacing w:val="-5"/>
        </w:rPr>
        <w:t xml:space="preserve"> </w:t>
      </w:r>
      <w:r w:rsidR="00033D0F">
        <w:t>by a</w:t>
      </w:r>
      <w:r w:rsidR="00033D0F">
        <w:rPr>
          <w:spacing w:val="-4"/>
        </w:rPr>
        <w:t xml:space="preserve"> </w:t>
      </w:r>
      <w:r w:rsidR="00033D0F">
        <w:t>mere</w:t>
      </w:r>
      <w:r w:rsidR="00033D0F">
        <w:rPr>
          <w:spacing w:val="-3"/>
        </w:rPr>
        <w:t xml:space="preserve"> </w:t>
      </w:r>
      <w:r w:rsidR="00033D0F">
        <w:t>2%</w:t>
      </w:r>
      <w:r w:rsidR="00033D0F">
        <w:rPr>
          <w:spacing w:val="-3"/>
        </w:rPr>
        <w:t xml:space="preserve"> </w:t>
      </w:r>
      <w:r w:rsidR="00033D0F">
        <w:t>over</w:t>
      </w:r>
      <w:r w:rsidR="00033D0F">
        <w:rPr>
          <w:spacing w:val="-1"/>
        </w:rPr>
        <w:t xml:space="preserve"> </w:t>
      </w:r>
      <w:r w:rsidR="00033D0F">
        <w:t>the</w:t>
      </w:r>
      <w:r w:rsidR="00033D0F">
        <w:rPr>
          <w:spacing w:val="-3"/>
        </w:rPr>
        <w:t xml:space="preserve"> </w:t>
      </w:r>
      <w:r w:rsidR="00033D0F">
        <w:t>course</w:t>
      </w:r>
      <w:r w:rsidR="00033D0F">
        <w:rPr>
          <w:spacing w:val="-3"/>
        </w:rPr>
        <w:t xml:space="preserve"> </w:t>
      </w:r>
      <w:r w:rsidR="00033D0F">
        <w:t>of</w:t>
      </w:r>
      <w:r w:rsidR="00033D0F">
        <w:rPr>
          <w:spacing w:val="-5"/>
        </w:rPr>
        <w:t xml:space="preserve"> </w:t>
      </w:r>
      <w:r w:rsidR="00033D0F">
        <w:t>the five-year Injury POI.</w:t>
      </w:r>
      <w:hyperlink w:anchor="_bookmark714" w:history="1">
        <w:r w:rsidR="00033D0F">
          <w:rPr>
            <w:vertAlign w:val="superscript"/>
          </w:rPr>
          <w:t>597</w:t>
        </w:r>
      </w:hyperlink>
    </w:p>
    <w:p w14:paraId="7CA4CCBA" w14:textId="77777777" w:rsidR="00BD462C" w:rsidRDefault="00BD462C">
      <w:pPr>
        <w:pStyle w:val="BodyText"/>
        <w:spacing w:before="5"/>
        <w:rPr>
          <w:sz w:val="8"/>
        </w:rPr>
      </w:pPr>
    </w:p>
    <w:p w14:paraId="594F067C" w14:textId="19537E04" w:rsidR="00BD462C" w:rsidRDefault="006926F2">
      <w:pPr>
        <w:pStyle w:val="BodyText"/>
        <w:spacing w:before="56" w:line="360" w:lineRule="auto"/>
        <w:ind w:left="135" w:right="912" w:hanging="5"/>
        <w:jc w:val="both"/>
      </w:pPr>
      <w:r>
        <w:rPr>
          <w:noProof/>
        </w:rPr>
        <w:t>425.</w:t>
      </w:r>
      <w:r w:rsidR="00033D0F">
        <w:rPr>
          <w:rFonts w:ascii="Times New Roman" w:hAnsi="Times New Roman"/>
          <w:spacing w:val="80"/>
          <w:position w:val="1"/>
          <w:sz w:val="20"/>
        </w:rPr>
        <w:t xml:space="preserve">  </w:t>
      </w:r>
      <w:r w:rsidR="00033D0F">
        <w:rPr>
          <w:position w:val="1"/>
        </w:rPr>
        <w:t>This negligible level of suppression further demonstrates the absurdity of the</w:t>
      </w:r>
      <w:r w:rsidR="00033D0F">
        <w:rPr>
          <w:spacing w:val="40"/>
          <w:position w:val="1"/>
        </w:rPr>
        <w:t xml:space="preserve"> </w:t>
      </w:r>
      <w:r w:rsidR="00033D0F">
        <w:t>dumping margins calculated by MOFCOM. The extraordinary implication is that, allegedly, Australian</w:t>
      </w:r>
      <w:r w:rsidR="00033D0F">
        <w:rPr>
          <w:spacing w:val="-5"/>
        </w:rPr>
        <w:t xml:space="preserve"> </w:t>
      </w:r>
      <w:r w:rsidR="00033D0F">
        <w:t>exports</w:t>
      </w:r>
      <w:r w:rsidR="00033D0F">
        <w:rPr>
          <w:spacing w:val="-2"/>
        </w:rPr>
        <w:t xml:space="preserve"> </w:t>
      </w:r>
      <w:r w:rsidR="00033D0F">
        <w:t>to</w:t>
      </w:r>
      <w:r w:rsidR="00033D0F">
        <w:rPr>
          <w:spacing w:val="-6"/>
        </w:rPr>
        <w:t xml:space="preserve"> </w:t>
      </w:r>
      <w:r w:rsidR="00033D0F">
        <w:t>which</w:t>
      </w:r>
      <w:r w:rsidR="00033D0F">
        <w:rPr>
          <w:spacing w:val="-5"/>
        </w:rPr>
        <w:t xml:space="preserve"> </w:t>
      </w:r>
      <w:r w:rsidR="00033D0F">
        <w:t>MOFCOM</w:t>
      </w:r>
      <w:r w:rsidR="00033D0F">
        <w:rPr>
          <w:spacing w:val="-3"/>
        </w:rPr>
        <w:t xml:space="preserve"> </w:t>
      </w:r>
      <w:r w:rsidR="00033D0F">
        <w:t>assigned</w:t>
      </w:r>
      <w:r w:rsidR="00033D0F">
        <w:rPr>
          <w:spacing w:val="-5"/>
        </w:rPr>
        <w:t xml:space="preserve"> </w:t>
      </w:r>
      <w:r w:rsidR="00033D0F">
        <w:t>dumping</w:t>
      </w:r>
      <w:r w:rsidR="00033D0F">
        <w:rPr>
          <w:spacing w:val="-2"/>
        </w:rPr>
        <w:t xml:space="preserve"> </w:t>
      </w:r>
      <w:r w:rsidR="00033D0F">
        <w:t>margins</w:t>
      </w:r>
      <w:r w:rsidR="00033D0F">
        <w:rPr>
          <w:spacing w:val="-7"/>
        </w:rPr>
        <w:t xml:space="preserve"> </w:t>
      </w:r>
      <w:r w:rsidR="00033D0F">
        <w:t>of</w:t>
      </w:r>
      <w:r w:rsidR="00033D0F">
        <w:rPr>
          <w:spacing w:val="-5"/>
        </w:rPr>
        <w:t xml:space="preserve"> </w:t>
      </w:r>
      <w:r w:rsidR="00033D0F">
        <w:t>over</w:t>
      </w:r>
      <w:r w:rsidR="00033D0F">
        <w:rPr>
          <w:spacing w:val="-6"/>
        </w:rPr>
        <w:t xml:space="preserve"> </w:t>
      </w:r>
      <w:r w:rsidR="00033D0F">
        <w:t>100%</w:t>
      </w:r>
      <w:r w:rsidR="00033D0F">
        <w:rPr>
          <w:spacing w:val="-3"/>
        </w:rPr>
        <w:t xml:space="preserve"> </w:t>
      </w:r>
      <w:r w:rsidR="00033D0F">
        <w:t>–</w:t>
      </w:r>
      <w:r w:rsidR="00033D0F">
        <w:rPr>
          <w:spacing w:val="-3"/>
        </w:rPr>
        <w:t xml:space="preserve"> </w:t>
      </w:r>
      <w:r w:rsidR="00033D0F">
        <w:t>and</w:t>
      </w:r>
      <w:r w:rsidR="00033D0F">
        <w:rPr>
          <w:spacing w:val="-5"/>
        </w:rPr>
        <w:t xml:space="preserve"> </w:t>
      </w:r>
      <w:r w:rsidR="00033D0F">
        <w:t>in</w:t>
      </w:r>
      <w:r w:rsidR="00033D0F">
        <w:rPr>
          <w:spacing w:val="-5"/>
        </w:rPr>
        <w:t xml:space="preserve"> </w:t>
      </w:r>
      <w:r w:rsidR="00033D0F">
        <w:t>some cases</w:t>
      </w:r>
      <w:r w:rsidR="00033D0F">
        <w:rPr>
          <w:spacing w:val="-2"/>
        </w:rPr>
        <w:t xml:space="preserve"> </w:t>
      </w:r>
      <w:r w:rsidR="00033D0F">
        <w:t>over</w:t>
      </w:r>
      <w:r w:rsidR="00033D0F">
        <w:rPr>
          <w:spacing w:val="-6"/>
        </w:rPr>
        <w:t xml:space="preserve"> </w:t>
      </w:r>
      <w:r w:rsidR="00033D0F">
        <w:t>200%</w:t>
      </w:r>
      <w:r w:rsidR="00033D0F">
        <w:rPr>
          <w:spacing w:val="-3"/>
        </w:rPr>
        <w:t xml:space="preserve"> </w:t>
      </w:r>
      <w:r w:rsidR="00033D0F">
        <w:t>–</w:t>
      </w:r>
      <w:r w:rsidR="00033D0F">
        <w:rPr>
          <w:spacing w:val="-3"/>
        </w:rPr>
        <w:t xml:space="preserve"> </w:t>
      </w:r>
      <w:r w:rsidR="00033D0F">
        <w:t>resulted</w:t>
      </w:r>
      <w:r w:rsidR="00033D0F">
        <w:rPr>
          <w:spacing w:val="-5"/>
        </w:rPr>
        <w:t xml:space="preserve"> </w:t>
      </w:r>
      <w:r w:rsidR="00033D0F">
        <w:t>in</w:t>
      </w:r>
      <w:r w:rsidR="00033D0F">
        <w:rPr>
          <w:spacing w:val="-5"/>
        </w:rPr>
        <w:t xml:space="preserve"> </w:t>
      </w:r>
      <w:r w:rsidR="00033D0F">
        <w:t>price</w:t>
      </w:r>
      <w:r w:rsidR="00033D0F">
        <w:rPr>
          <w:spacing w:val="-7"/>
        </w:rPr>
        <w:t xml:space="preserve"> </w:t>
      </w:r>
      <w:r w:rsidR="00033D0F">
        <w:t>suppression</w:t>
      </w:r>
      <w:r w:rsidR="00033D0F">
        <w:rPr>
          <w:spacing w:val="-5"/>
        </w:rPr>
        <w:t xml:space="preserve"> </w:t>
      </w:r>
      <w:r w:rsidR="00033D0F">
        <w:t>of</w:t>
      </w:r>
      <w:r w:rsidR="00033D0F">
        <w:rPr>
          <w:spacing w:val="-5"/>
        </w:rPr>
        <w:t xml:space="preserve"> </w:t>
      </w:r>
      <w:r w:rsidR="00033D0F">
        <w:t>a</w:t>
      </w:r>
      <w:r w:rsidR="00033D0F">
        <w:rPr>
          <w:spacing w:val="-4"/>
        </w:rPr>
        <w:t xml:space="preserve"> </w:t>
      </w:r>
      <w:r w:rsidR="00033D0F">
        <w:t>mere</w:t>
      </w:r>
      <w:r w:rsidR="00033D0F">
        <w:rPr>
          <w:spacing w:val="-3"/>
        </w:rPr>
        <w:t xml:space="preserve"> </w:t>
      </w:r>
      <w:r w:rsidR="00033D0F">
        <w:t>2%</w:t>
      </w:r>
      <w:r w:rsidR="00033D0F">
        <w:rPr>
          <w:spacing w:val="-3"/>
        </w:rPr>
        <w:t xml:space="preserve"> </w:t>
      </w:r>
      <w:r w:rsidR="00033D0F">
        <w:t>over</w:t>
      </w:r>
      <w:r w:rsidR="00033D0F">
        <w:rPr>
          <w:spacing w:val="-6"/>
        </w:rPr>
        <w:t xml:space="preserve"> </w:t>
      </w:r>
      <w:r w:rsidR="00033D0F">
        <w:t>the</w:t>
      </w:r>
      <w:r w:rsidR="00033D0F">
        <w:rPr>
          <w:spacing w:val="-4"/>
        </w:rPr>
        <w:t xml:space="preserve"> </w:t>
      </w:r>
      <w:r w:rsidR="00033D0F">
        <w:t>course</w:t>
      </w:r>
      <w:r w:rsidR="00033D0F">
        <w:rPr>
          <w:spacing w:val="-3"/>
        </w:rPr>
        <w:t xml:space="preserve"> </w:t>
      </w:r>
      <w:r w:rsidR="00033D0F">
        <w:t>of</w:t>
      </w:r>
      <w:r w:rsidR="00033D0F">
        <w:rPr>
          <w:spacing w:val="-5"/>
        </w:rPr>
        <w:t xml:space="preserve"> </w:t>
      </w:r>
      <w:r w:rsidR="00033D0F">
        <w:t>the</w:t>
      </w:r>
      <w:r w:rsidR="00033D0F">
        <w:rPr>
          <w:spacing w:val="-4"/>
        </w:rPr>
        <w:t xml:space="preserve"> </w:t>
      </w:r>
      <w:r w:rsidR="00033D0F">
        <w:t>five-year</w:t>
      </w:r>
    </w:p>
    <w:p w14:paraId="47B8BA42" w14:textId="77777777" w:rsidR="00BD462C" w:rsidRDefault="00BD462C">
      <w:pPr>
        <w:pStyle w:val="BodyText"/>
        <w:rPr>
          <w:sz w:val="20"/>
        </w:rPr>
      </w:pPr>
    </w:p>
    <w:p w14:paraId="14CE4F72" w14:textId="38C27A8C" w:rsidR="00BD462C" w:rsidRDefault="00D70C7D">
      <w:pPr>
        <w:pStyle w:val="BodyText"/>
        <w:spacing w:before="9"/>
        <w:rPr>
          <w:sz w:val="25"/>
        </w:rPr>
      </w:pPr>
      <w:r>
        <w:rPr>
          <w:noProof/>
        </w:rPr>
        <mc:AlternateContent>
          <mc:Choice Requires="wps">
            <w:drawing>
              <wp:anchor distT="0" distB="0" distL="0" distR="0" simplePos="0" relativeHeight="487758848" behindDoc="1" locked="0" layoutInCell="1" allowOverlap="1" wp14:anchorId="61FFA00B" wp14:editId="612D974C">
                <wp:simplePos x="0" y="0"/>
                <wp:positionH relativeFrom="page">
                  <wp:posOffset>899160</wp:posOffset>
                </wp:positionH>
                <wp:positionV relativeFrom="paragraph">
                  <wp:posOffset>215265</wp:posOffset>
                </wp:positionV>
                <wp:extent cx="1828800" cy="8890"/>
                <wp:effectExtent l="0" t="0" r="0" b="0"/>
                <wp:wrapTopAndBottom/>
                <wp:docPr id="674" name="docshape3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F36438" id="docshape382" o:spid="_x0000_s1026" alt="&quot;&quot;" style="position:absolute;margin-left:70.8pt;margin-top:16.95pt;width:2in;height:.7pt;z-index:-15557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" fillcolor="black" stroked="f">
                <w10:wrap type="topAndBottom" anchorx="page"/>
              </v:rect>
            </w:pict>
          </mc:Fallback>
        </mc:AlternateContent>
      </w:r>
    </w:p>
    <w:p w14:paraId="49CA773E" w14:textId="77777777" w:rsidR="00BD462C" w:rsidRDefault="00033D0F">
      <w:pPr>
        <w:spacing w:before="112"/>
        <w:ind w:left="135" w:right="909"/>
        <w:jc w:val="both"/>
        <w:rPr>
          <w:sz w:val="18"/>
        </w:rPr>
      </w:pPr>
      <w:bookmarkStart w:id="831" w:name="_bookmark711"/>
      <w:bookmarkEnd w:id="831"/>
      <w:r>
        <w:rPr>
          <w:position w:val="5"/>
          <w:sz w:val="12"/>
        </w:rPr>
        <w:t>594</w:t>
      </w:r>
      <w:r>
        <w:rPr>
          <w:spacing w:val="22"/>
          <w:position w:val="5"/>
          <w:sz w:val="12"/>
        </w:rPr>
        <w:t xml:space="preserve"> </w:t>
      </w:r>
      <w:r>
        <w:rPr>
          <w:sz w:val="18"/>
        </w:rPr>
        <w:t>Anti – Dumping Final Determination (Exhibit AUS-2), p. 132 ("the</w:t>
      </w:r>
      <w:r>
        <w:rPr>
          <w:spacing w:val="-2"/>
          <w:sz w:val="18"/>
        </w:rPr>
        <w:t xml:space="preserve"> </w:t>
      </w:r>
      <w:r>
        <w:rPr>
          <w:sz w:val="18"/>
        </w:rPr>
        <w:t>price of the dumped imported product suppressed the prices of domestic like products, and the production and operation of domestic like products deteriorated. The domestic relevant</w:t>
      </w:r>
      <w:r>
        <w:rPr>
          <w:spacing w:val="-1"/>
          <w:sz w:val="18"/>
        </w:rPr>
        <w:t xml:space="preserve"> </w:t>
      </w:r>
      <w:r>
        <w:rPr>
          <w:sz w:val="18"/>
        </w:rPr>
        <w:t>wine</w:t>
      </w:r>
      <w:r>
        <w:rPr>
          <w:spacing w:val="-2"/>
          <w:sz w:val="18"/>
        </w:rPr>
        <w:t xml:space="preserve"> </w:t>
      </w:r>
      <w:r>
        <w:rPr>
          <w:sz w:val="18"/>
        </w:rPr>
        <w:t>industry</w:t>
      </w:r>
      <w:r>
        <w:rPr>
          <w:spacing w:val="-4"/>
          <w:sz w:val="18"/>
        </w:rPr>
        <w:t xml:space="preserve"> </w:t>
      </w:r>
      <w:r>
        <w:rPr>
          <w:sz w:val="18"/>
        </w:rPr>
        <w:t>has</w:t>
      </w:r>
      <w:r>
        <w:rPr>
          <w:spacing w:val="-7"/>
          <w:sz w:val="18"/>
        </w:rPr>
        <w:t xml:space="preserve"> </w:t>
      </w:r>
      <w:r>
        <w:rPr>
          <w:sz w:val="18"/>
        </w:rPr>
        <w:t>suffered</w:t>
      </w:r>
      <w:r>
        <w:rPr>
          <w:spacing w:val="-3"/>
          <w:sz w:val="18"/>
        </w:rPr>
        <w:t xml:space="preserve"> </w:t>
      </w:r>
      <w:r>
        <w:rPr>
          <w:sz w:val="18"/>
        </w:rPr>
        <w:t>material</w:t>
      </w:r>
      <w:r>
        <w:rPr>
          <w:spacing w:val="-1"/>
          <w:sz w:val="18"/>
        </w:rPr>
        <w:t xml:space="preserve"> </w:t>
      </w:r>
      <w:r>
        <w:rPr>
          <w:sz w:val="18"/>
        </w:rPr>
        <w:t>injury");</w:t>
      </w:r>
      <w:r>
        <w:rPr>
          <w:spacing w:val="-4"/>
          <w:sz w:val="18"/>
        </w:rPr>
        <w:t xml:space="preserve"> </w:t>
      </w:r>
      <w:r>
        <w:rPr>
          <w:sz w:val="18"/>
        </w:rPr>
        <w:t>p.</w:t>
      </w:r>
      <w:r>
        <w:rPr>
          <w:spacing w:val="-1"/>
          <w:sz w:val="18"/>
        </w:rPr>
        <w:t xml:space="preserve"> </w:t>
      </w:r>
      <w:r>
        <w:rPr>
          <w:sz w:val="18"/>
        </w:rPr>
        <w:t>136</w:t>
      </w:r>
      <w:r>
        <w:rPr>
          <w:spacing w:val="-4"/>
          <w:sz w:val="18"/>
        </w:rPr>
        <w:t xml:space="preserve"> </w:t>
      </w:r>
      <w:r>
        <w:rPr>
          <w:sz w:val="18"/>
        </w:rPr>
        <w:t>("</w:t>
      </w:r>
      <w:r>
        <w:rPr>
          <w:i/>
          <w:sz w:val="18"/>
        </w:rPr>
        <w:t>Because</w:t>
      </w:r>
      <w:r>
        <w:rPr>
          <w:i/>
          <w:spacing w:val="-8"/>
          <w:sz w:val="18"/>
        </w:rPr>
        <w:t xml:space="preserve"> </w:t>
      </w:r>
      <w:r>
        <w:rPr>
          <w:i/>
          <w:sz w:val="18"/>
        </w:rPr>
        <w:t>of</w:t>
      </w:r>
      <w:r>
        <w:rPr>
          <w:i/>
          <w:spacing w:val="-6"/>
          <w:sz w:val="18"/>
        </w:rPr>
        <w:t xml:space="preserve"> </w:t>
      </w:r>
      <w:r>
        <w:rPr>
          <w:i/>
          <w:sz w:val="18"/>
        </w:rPr>
        <w:t>the</w:t>
      </w:r>
      <w:r>
        <w:rPr>
          <w:i/>
          <w:spacing w:val="-4"/>
          <w:sz w:val="18"/>
        </w:rPr>
        <w:t xml:space="preserve"> </w:t>
      </w:r>
      <w:r>
        <w:rPr>
          <w:i/>
          <w:sz w:val="18"/>
        </w:rPr>
        <w:t>suppressed</w:t>
      </w:r>
      <w:r>
        <w:rPr>
          <w:i/>
          <w:spacing w:val="-1"/>
          <w:sz w:val="18"/>
        </w:rPr>
        <w:t xml:space="preserve"> </w:t>
      </w:r>
      <w:r>
        <w:rPr>
          <w:i/>
          <w:sz w:val="18"/>
        </w:rPr>
        <w:t>price</w:t>
      </w:r>
      <w:r>
        <w:rPr>
          <w:sz w:val="18"/>
        </w:rPr>
        <w:t>,</w:t>
      </w:r>
      <w:r>
        <w:rPr>
          <w:spacing w:val="-5"/>
          <w:sz w:val="18"/>
        </w:rPr>
        <w:t xml:space="preserve"> </w:t>
      </w:r>
      <w:r>
        <w:rPr>
          <w:sz w:val="18"/>
        </w:rPr>
        <w:t>the</w:t>
      </w:r>
      <w:r>
        <w:rPr>
          <w:spacing w:val="-2"/>
          <w:sz w:val="18"/>
        </w:rPr>
        <w:t xml:space="preserve"> </w:t>
      </w:r>
      <w:r>
        <w:rPr>
          <w:sz w:val="18"/>
        </w:rPr>
        <w:t>pre-tax</w:t>
      </w:r>
      <w:r>
        <w:rPr>
          <w:spacing w:val="-5"/>
          <w:sz w:val="18"/>
        </w:rPr>
        <w:t xml:space="preserve"> </w:t>
      </w:r>
      <w:r>
        <w:rPr>
          <w:sz w:val="18"/>
        </w:rPr>
        <w:t>profit</w:t>
      </w:r>
      <w:r>
        <w:rPr>
          <w:spacing w:val="-1"/>
          <w:sz w:val="18"/>
        </w:rPr>
        <w:t xml:space="preserve"> </w:t>
      </w:r>
      <w:r>
        <w:rPr>
          <w:sz w:val="18"/>
        </w:rPr>
        <w:t>of</w:t>
      </w:r>
      <w:r>
        <w:rPr>
          <w:spacing w:val="-1"/>
          <w:sz w:val="18"/>
        </w:rPr>
        <w:t xml:space="preserve"> </w:t>
      </w:r>
      <w:r>
        <w:rPr>
          <w:sz w:val="18"/>
        </w:rPr>
        <w:t>domestic like</w:t>
      </w:r>
      <w:r>
        <w:rPr>
          <w:spacing w:val="-3"/>
          <w:sz w:val="18"/>
        </w:rPr>
        <w:t xml:space="preserve"> </w:t>
      </w:r>
      <w:r>
        <w:rPr>
          <w:sz w:val="18"/>
        </w:rPr>
        <w:t>products</w:t>
      </w:r>
      <w:r>
        <w:rPr>
          <w:spacing w:val="-3"/>
          <w:sz w:val="18"/>
        </w:rPr>
        <w:t xml:space="preserve"> </w:t>
      </w:r>
      <w:r>
        <w:rPr>
          <w:sz w:val="18"/>
        </w:rPr>
        <w:t>dropped,</w:t>
      </w:r>
      <w:r>
        <w:rPr>
          <w:spacing w:val="-1"/>
          <w:sz w:val="18"/>
        </w:rPr>
        <w:t xml:space="preserve"> </w:t>
      </w:r>
      <w:r>
        <w:rPr>
          <w:sz w:val="18"/>
        </w:rPr>
        <w:t>their output,</w:t>
      </w:r>
      <w:r>
        <w:rPr>
          <w:spacing w:val="-1"/>
          <w:sz w:val="18"/>
        </w:rPr>
        <w:t xml:space="preserve"> </w:t>
      </w:r>
      <w:r>
        <w:rPr>
          <w:sz w:val="18"/>
        </w:rPr>
        <w:t>sales volume,</w:t>
      </w:r>
      <w:r>
        <w:rPr>
          <w:spacing w:val="-1"/>
          <w:sz w:val="18"/>
        </w:rPr>
        <w:t xml:space="preserve"> </w:t>
      </w:r>
      <w:r>
        <w:rPr>
          <w:sz w:val="18"/>
        </w:rPr>
        <w:t>PBT, return on</w:t>
      </w:r>
      <w:r>
        <w:rPr>
          <w:spacing w:val="-4"/>
          <w:sz w:val="18"/>
        </w:rPr>
        <w:t xml:space="preserve"> </w:t>
      </w:r>
      <w:r>
        <w:rPr>
          <w:sz w:val="18"/>
        </w:rPr>
        <w:t>investment (ROI),</w:t>
      </w:r>
      <w:r>
        <w:rPr>
          <w:spacing w:val="-1"/>
          <w:sz w:val="18"/>
        </w:rPr>
        <w:t xml:space="preserve"> </w:t>
      </w:r>
      <w:r>
        <w:rPr>
          <w:sz w:val="18"/>
        </w:rPr>
        <w:t>operating rate and</w:t>
      </w:r>
      <w:r>
        <w:rPr>
          <w:spacing w:val="-4"/>
          <w:sz w:val="18"/>
        </w:rPr>
        <w:t xml:space="preserve"> </w:t>
      </w:r>
      <w:r>
        <w:rPr>
          <w:sz w:val="18"/>
        </w:rPr>
        <w:t>employment volume declined year</w:t>
      </w:r>
      <w:r>
        <w:rPr>
          <w:spacing w:val="-5"/>
          <w:sz w:val="18"/>
        </w:rPr>
        <w:t xml:space="preserve"> </w:t>
      </w:r>
      <w:r>
        <w:rPr>
          <w:sz w:val="18"/>
        </w:rPr>
        <w:t>by year,</w:t>
      </w:r>
      <w:r>
        <w:rPr>
          <w:spacing w:val="-1"/>
          <w:sz w:val="18"/>
        </w:rPr>
        <w:t xml:space="preserve"> </w:t>
      </w:r>
      <w:r>
        <w:rPr>
          <w:sz w:val="18"/>
        </w:rPr>
        <w:t>and</w:t>
      </w:r>
      <w:r>
        <w:rPr>
          <w:spacing w:val="-4"/>
          <w:sz w:val="18"/>
        </w:rPr>
        <w:t xml:space="preserve"> </w:t>
      </w:r>
      <w:r>
        <w:rPr>
          <w:sz w:val="18"/>
        </w:rPr>
        <w:t>their market</w:t>
      </w:r>
      <w:r>
        <w:rPr>
          <w:spacing w:val="-2"/>
          <w:sz w:val="18"/>
        </w:rPr>
        <w:t xml:space="preserve"> </w:t>
      </w:r>
      <w:r>
        <w:rPr>
          <w:sz w:val="18"/>
        </w:rPr>
        <w:t>share,</w:t>
      </w:r>
      <w:r>
        <w:rPr>
          <w:spacing w:val="-1"/>
          <w:sz w:val="18"/>
        </w:rPr>
        <w:t xml:space="preserve"> </w:t>
      </w:r>
      <w:r>
        <w:rPr>
          <w:sz w:val="18"/>
        </w:rPr>
        <w:t>sales revenue,</w:t>
      </w:r>
      <w:r>
        <w:rPr>
          <w:spacing w:val="-1"/>
          <w:sz w:val="18"/>
        </w:rPr>
        <w:t xml:space="preserve"> </w:t>
      </w:r>
      <w:proofErr w:type="spellStart"/>
      <w:r>
        <w:rPr>
          <w:sz w:val="18"/>
        </w:rPr>
        <w:t>labour</w:t>
      </w:r>
      <w:proofErr w:type="spellEnd"/>
      <w:r>
        <w:rPr>
          <w:sz w:val="18"/>
        </w:rPr>
        <w:t xml:space="preserve"> productivity</w:t>
      </w:r>
      <w:r>
        <w:rPr>
          <w:spacing w:val="-5"/>
          <w:sz w:val="18"/>
        </w:rPr>
        <w:t xml:space="preserve"> </w:t>
      </w:r>
      <w:r>
        <w:rPr>
          <w:sz w:val="18"/>
        </w:rPr>
        <w:t>and</w:t>
      </w:r>
      <w:r>
        <w:rPr>
          <w:spacing w:val="-4"/>
          <w:sz w:val="18"/>
        </w:rPr>
        <w:t xml:space="preserve"> </w:t>
      </w:r>
      <w:r>
        <w:rPr>
          <w:sz w:val="18"/>
        </w:rPr>
        <w:t>net cash</w:t>
      </w:r>
      <w:r>
        <w:rPr>
          <w:spacing w:val="-4"/>
          <w:sz w:val="18"/>
        </w:rPr>
        <w:t xml:space="preserve"> </w:t>
      </w:r>
      <w:r>
        <w:rPr>
          <w:sz w:val="18"/>
        </w:rPr>
        <w:t>flow from</w:t>
      </w:r>
      <w:r>
        <w:rPr>
          <w:spacing w:val="-1"/>
          <w:sz w:val="18"/>
        </w:rPr>
        <w:t xml:space="preserve"> </w:t>
      </w:r>
      <w:r>
        <w:rPr>
          <w:sz w:val="18"/>
        </w:rPr>
        <w:t>operating</w:t>
      </w:r>
      <w:r>
        <w:rPr>
          <w:spacing w:val="-3"/>
          <w:sz w:val="18"/>
        </w:rPr>
        <w:t xml:space="preserve"> </w:t>
      </w:r>
      <w:r>
        <w:rPr>
          <w:sz w:val="18"/>
        </w:rPr>
        <w:t>activities were in a downtrend.</w:t>
      </w:r>
      <w:r>
        <w:rPr>
          <w:spacing w:val="-1"/>
          <w:sz w:val="18"/>
        </w:rPr>
        <w:t xml:space="preserve"> </w:t>
      </w:r>
      <w:r>
        <w:rPr>
          <w:sz w:val="18"/>
        </w:rPr>
        <w:t>To sum up, the</w:t>
      </w:r>
      <w:r>
        <w:rPr>
          <w:spacing w:val="-2"/>
          <w:sz w:val="18"/>
        </w:rPr>
        <w:t xml:space="preserve"> </w:t>
      </w:r>
      <w:r>
        <w:rPr>
          <w:sz w:val="18"/>
        </w:rPr>
        <w:t>dumped</w:t>
      </w:r>
      <w:r>
        <w:rPr>
          <w:spacing w:val="-3"/>
          <w:sz w:val="18"/>
        </w:rPr>
        <w:t xml:space="preserve"> </w:t>
      </w:r>
      <w:r>
        <w:rPr>
          <w:sz w:val="18"/>
        </w:rPr>
        <w:t>imported</w:t>
      </w:r>
      <w:r>
        <w:rPr>
          <w:spacing w:val="-3"/>
          <w:sz w:val="18"/>
        </w:rPr>
        <w:t xml:space="preserve"> </w:t>
      </w:r>
      <w:r>
        <w:rPr>
          <w:sz w:val="18"/>
        </w:rPr>
        <w:t>product caused</w:t>
      </w:r>
      <w:r>
        <w:rPr>
          <w:spacing w:val="-3"/>
          <w:sz w:val="18"/>
        </w:rPr>
        <w:t xml:space="preserve"> </w:t>
      </w:r>
      <w:r>
        <w:rPr>
          <w:sz w:val="18"/>
        </w:rPr>
        <w:t>severe injury to domestic</w:t>
      </w:r>
      <w:r>
        <w:rPr>
          <w:spacing w:val="-3"/>
          <w:sz w:val="18"/>
        </w:rPr>
        <w:t xml:space="preserve"> </w:t>
      </w:r>
      <w:r>
        <w:rPr>
          <w:sz w:val="18"/>
        </w:rPr>
        <w:t xml:space="preserve">industrial production and operation"), p. 139 ("The comparison data showed that during the injury investigation period, the price of the dumped imported product was in a downtrend with a cumulative decline of 15.91% in 2015-2019, </w:t>
      </w:r>
      <w:r>
        <w:rPr>
          <w:i/>
          <w:sz w:val="18"/>
        </w:rPr>
        <w:t>suppressing the price</w:t>
      </w:r>
      <w:r>
        <w:rPr>
          <w:i/>
          <w:spacing w:val="-4"/>
          <w:sz w:val="18"/>
        </w:rPr>
        <w:t xml:space="preserve"> </w:t>
      </w:r>
      <w:r>
        <w:rPr>
          <w:i/>
          <w:sz w:val="18"/>
        </w:rPr>
        <w:t xml:space="preserve">of domestic like products under the background of increased costs, leading to </w:t>
      </w:r>
      <w:r>
        <w:rPr>
          <w:sz w:val="18"/>
        </w:rPr>
        <w:t>a continuous drop of sales revenue, PBT, return on investment</w:t>
      </w:r>
      <w:r>
        <w:rPr>
          <w:spacing w:val="-2"/>
          <w:sz w:val="18"/>
        </w:rPr>
        <w:t xml:space="preserve"> </w:t>
      </w:r>
      <w:r>
        <w:rPr>
          <w:sz w:val="18"/>
        </w:rPr>
        <w:t>(ROI) and</w:t>
      </w:r>
      <w:r>
        <w:rPr>
          <w:spacing w:val="-4"/>
          <w:sz w:val="18"/>
        </w:rPr>
        <w:t xml:space="preserve"> </w:t>
      </w:r>
      <w:r>
        <w:rPr>
          <w:sz w:val="18"/>
        </w:rPr>
        <w:t>other main operating</w:t>
      </w:r>
      <w:r>
        <w:rPr>
          <w:spacing w:val="-3"/>
          <w:sz w:val="18"/>
        </w:rPr>
        <w:t xml:space="preserve"> </w:t>
      </w:r>
      <w:r>
        <w:rPr>
          <w:sz w:val="18"/>
        </w:rPr>
        <w:t>indicators</w:t>
      </w:r>
      <w:r>
        <w:rPr>
          <w:spacing w:val="-3"/>
          <w:sz w:val="18"/>
        </w:rPr>
        <w:t xml:space="preserve"> </w:t>
      </w:r>
      <w:r>
        <w:rPr>
          <w:sz w:val="18"/>
        </w:rPr>
        <w:t>of</w:t>
      </w:r>
      <w:r>
        <w:rPr>
          <w:spacing w:val="-2"/>
          <w:sz w:val="18"/>
        </w:rPr>
        <w:t xml:space="preserve"> </w:t>
      </w:r>
      <w:r>
        <w:rPr>
          <w:sz w:val="18"/>
        </w:rPr>
        <w:t>domestic</w:t>
      </w:r>
      <w:r>
        <w:rPr>
          <w:spacing w:val="-4"/>
          <w:sz w:val="18"/>
        </w:rPr>
        <w:t xml:space="preserve"> </w:t>
      </w:r>
      <w:r>
        <w:rPr>
          <w:sz w:val="18"/>
        </w:rPr>
        <w:t>like products, and causing material</w:t>
      </w:r>
      <w:r>
        <w:rPr>
          <w:spacing w:val="-2"/>
          <w:sz w:val="18"/>
        </w:rPr>
        <w:t xml:space="preserve"> </w:t>
      </w:r>
      <w:r>
        <w:rPr>
          <w:sz w:val="18"/>
        </w:rPr>
        <w:t>injury</w:t>
      </w:r>
      <w:r>
        <w:rPr>
          <w:spacing w:val="-5"/>
          <w:sz w:val="18"/>
        </w:rPr>
        <w:t xml:space="preserve"> </w:t>
      </w:r>
      <w:r>
        <w:rPr>
          <w:sz w:val="18"/>
        </w:rPr>
        <w:t>to</w:t>
      </w:r>
      <w:r>
        <w:rPr>
          <w:spacing w:val="-4"/>
          <w:sz w:val="18"/>
        </w:rPr>
        <w:t xml:space="preserve"> </w:t>
      </w:r>
      <w:r>
        <w:rPr>
          <w:sz w:val="18"/>
        </w:rPr>
        <w:t>the domestic industry");</w:t>
      </w:r>
      <w:r>
        <w:rPr>
          <w:spacing w:val="-4"/>
          <w:sz w:val="18"/>
        </w:rPr>
        <w:t xml:space="preserve"> </w:t>
      </w:r>
      <w:r>
        <w:rPr>
          <w:sz w:val="18"/>
        </w:rPr>
        <w:t>p.</w:t>
      </w:r>
      <w:r>
        <w:rPr>
          <w:spacing w:val="-1"/>
          <w:sz w:val="18"/>
        </w:rPr>
        <w:t xml:space="preserve"> </w:t>
      </w:r>
      <w:r>
        <w:rPr>
          <w:sz w:val="18"/>
        </w:rPr>
        <w:t>142</w:t>
      </w:r>
      <w:r>
        <w:rPr>
          <w:spacing w:val="-9"/>
          <w:sz w:val="18"/>
        </w:rPr>
        <w:t xml:space="preserve"> </w:t>
      </w:r>
      <w:r>
        <w:rPr>
          <w:sz w:val="18"/>
        </w:rPr>
        <w:t>("the</w:t>
      </w:r>
      <w:r>
        <w:rPr>
          <w:spacing w:val="-2"/>
          <w:sz w:val="18"/>
        </w:rPr>
        <w:t xml:space="preserve"> </w:t>
      </w:r>
      <w:r>
        <w:rPr>
          <w:sz w:val="18"/>
        </w:rPr>
        <w:t>dumped</w:t>
      </w:r>
      <w:r>
        <w:rPr>
          <w:spacing w:val="-3"/>
          <w:sz w:val="18"/>
        </w:rPr>
        <w:t xml:space="preserve"> </w:t>
      </w:r>
      <w:r>
        <w:rPr>
          <w:sz w:val="18"/>
        </w:rPr>
        <w:t>imported</w:t>
      </w:r>
      <w:r>
        <w:rPr>
          <w:spacing w:val="-7"/>
          <w:sz w:val="18"/>
        </w:rPr>
        <w:t xml:space="preserve"> </w:t>
      </w:r>
      <w:r>
        <w:rPr>
          <w:sz w:val="18"/>
        </w:rPr>
        <w:t>product</w:t>
      </w:r>
      <w:r>
        <w:rPr>
          <w:spacing w:val="-1"/>
          <w:sz w:val="18"/>
        </w:rPr>
        <w:t xml:space="preserve"> </w:t>
      </w:r>
      <w:r>
        <w:rPr>
          <w:sz w:val="18"/>
        </w:rPr>
        <w:t>suppressed</w:t>
      </w:r>
      <w:r>
        <w:rPr>
          <w:spacing w:val="-3"/>
          <w:sz w:val="18"/>
        </w:rPr>
        <w:t xml:space="preserve"> </w:t>
      </w:r>
      <w:r>
        <w:rPr>
          <w:sz w:val="18"/>
        </w:rPr>
        <w:t>the</w:t>
      </w:r>
      <w:r>
        <w:rPr>
          <w:spacing w:val="-7"/>
          <w:sz w:val="18"/>
        </w:rPr>
        <w:t xml:space="preserve"> </w:t>
      </w:r>
      <w:r>
        <w:rPr>
          <w:sz w:val="18"/>
        </w:rPr>
        <w:t>prices</w:t>
      </w:r>
      <w:r>
        <w:rPr>
          <w:spacing w:val="-7"/>
          <w:sz w:val="18"/>
        </w:rPr>
        <w:t xml:space="preserve"> </w:t>
      </w:r>
      <w:r>
        <w:rPr>
          <w:sz w:val="18"/>
        </w:rPr>
        <w:t>of</w:t>
      </w:r>
      <w:r>
        <w:rPr>
          <w:spacing w:val="-1"/>
          <w:sz w:val="18"/>
        </w:rPr>
        <w:t xml:space="preserve"> </w:t>
      </w:r>
      <w:r>
        <w:rPr>
          <w:sz w:val="18"/>
        </w:rPr>
        <w:t>domestic</w:t>
      </w:r>
      <w:r>
        <w:rPr>
          <w:spacing w:val="-8"/>
          <w:sz w:val="18"/>
        </w:rPr>
        <w:t xml:space="preserve"> </w:t>
      </w:r>
      <w:r>
        <w:rPr>
          <w:sz w:val="18"/>
        </w:rPr>
        <w:t>like</w:t>
      </w:r>
      <w:r>
        <w:rPr>
          <w:spacing w:val="-7"/>
          <w:sz w:val="18"/>
        </w:rPr>
        <w:t xml:space="preserve"> </w:t>
      </w:r>
      <w:r>
        <w:rPr>
          <w:sz w:val="18"/>
        </w:rPr>
        <w:t>products, affecting</w:t>
      </w:r>
      <w:r>
        <w:rPr>
          <w:spacing w:val="-2"/>
          <w:sz w:val="18"/>
        </w:rPr>
        <w:t xml:space="preserve"> </w:t>
      </w:r>
      <w:r>
        <w:rPr>
          <w:sz w:val="18"/>
        </w:rPr>
        <w:t>the</w:t>
      </w:r>
      <w:r>
        <w:rPr>
          <w:spacing w:val="-2"/>
          <w:sz w:val="18"/>
        </w:rPr>
        <w:t xml:space="preserve"> </w:t>
      </w:r>
      <w:r>
        <w:rPr>
          <w:sz w:val="18"/>
        </w:rPr>
        <w:t>profitability of the domestic industry and further leading to a continuous decline in both PBT and ROI during the injury investigation period"); and p. 145 ("the dumped imported product suppressed the prices of domestic like products, affecting the profitability of the domestic industry and further leading to a continuous decline in both PBT and ROI during the injury investigation period") (underline emphasis added).</w:t>
      </w:r>
    </w:p>
    <w:p w14:paraId="774D7384" w14:textId="77777777" w:rsidR="00BD462C" w:rsidRDefault="00033D0F">
      <w:pPr>
        <w:spacing w:line="217" w:lineRule="exact"/>
        <w:ind w:left="135"/>
        <w:jc w:val="both"/>
        <w:rPr>
          <w:sz w:val="18"/>
        </w:rPr>
      </w:pPr>
      <w:bookmarkStart w:id="832" w:name="_bookmark712"/>
      <w:bookmarkEnd w:id="832"/>
      <w:r>
        <w:rPr>
          <w:position w:val="5"/>
          <w:sz w:val="12"/>
        </w:rPr>
        <w:t>595</w:t>
      </w:r>
      <w:r>
        <w:rPr>
          <w:spacing w:val="12"/>
          <w:position w:val="5"/>
          <w:sz w:val="12"/>
        </w:rPr>
        <w:t xml:space="preserve"> </w:t>
      </w:r>
      <w:r>
        <w:rPr>
          <w:sz w:val="18"/>
        </w:rPr>
        <w:t>Anti-Dumping</w:t>
      </w:r>
      <w:r>
        <w:rPr>
          <w:spacing w:val="-5"/>
          <w:sz w:val="18"/>
        </w:rPr>
        <w:t xml:space="preserve"> </w:t>
      </w:r>
      <w:r>
        <w:rPr>
          <w:sz w:val="18"/>
        </w:rPr>
        <w:t>Final</w:t>
      </w:r>
      <w:r>
        <w:rPr>
          <w:spacing w:val="-1"/>
          <w:sz w:val="18"/>
        </w:rPr>
        <w:t xml:space="preserve"> </w:t>
      </w:r>
      <w:r>
        <w:rPr>
          <w:sz w:val="18"/>
        </w:rPr>
        <w:t>Determination</w:t>
      </w:r>
      <w:r>
        <w:rPr>
          <w:spacing w:val="-7"/>
          <w:sz w:val="18"/>
        </w:rPr>
        <w:t xml:space="preserve"> </w:t>
      </w:r>
      <w:r>
        <w:rPr>
          <w:sz w:val="18"/>
        </w:rPr>
        <w:t>(Exhibit</w:t>
      </w:r>
      <w:r>
        <w:rPr>
          <w:spacing w:val="-1"/>
          <w:sz w:val="18"/>
        </w:rPr>
        <w:t xml:space="preserve"> </w:t>
      </w:r>
      <w:r>
        <w:rPr>
          <w:sz w:val="18"/>
        </w:rPr>
        <w:t>AUS-2),</w:t>
      </w:r>
      <w:r>
        <w:rPr>
          <w:spacing w:val="-3"/>
          <w:sz w:val="18"/>
        </w:rPr>
        <w:t xml:space="preserve"> </w:t>
      </w:r>
      <w:r>
        <w:rPr>
          <w:sz w:val="18"/>
        </w:rPr>
        <w:t>pp. 120</w:t>
      </w:r>
      <w:r>
        <w:rPr>
          <w:spacing w:val="-8"/>
          <w:sz w:val="18"/>
        </w:rPr>
        <w:t xml:space="preserve"> </w:t>
      </w:r>
      <w:r>
        <w:rPr>
          <w:sz w:val="18"/>
        </w:rPr>
        <w:t>–</w:t>
      </w:r>
      <w:r>
        <w:rPr>
          <w:spacing w:val="-6"/>
          <w:sz w:val="18"/>
        </w:rPr>
        <w:t xml:space="preserve"> </w:t>
      </w:r>
      <w:r>
        <w:rPr>
          <w:spacing w:val="-4"/>
          <w:sz w:val="18"/>
        </w:rPr>
        <w:t>121.</w:t>
      </w:r>
    </w:p>
    <w:p w14:paraId="715581AA" w14:textId="77777777" w:rsidR="00BD462C" w:rsidRDefault="00033D0F">
      <w:pPr>
        <w:spacing w:before="1"/>
        <w:ind w:left="136" w:right="910" w:hanging="1"/>
        <w:jc w:val="both"/>
        <w:rPr>
          <w:sz w:val="18"/>
        </w:rPr>
      </w:pPr>
      <w:bookmarkStart w:id="833" w:name="_bookmark713"/>
      <w:bookmarkEnd w:id="833"/>
      <w:r>
        <w:rPr>
          <w:position w:val="5"/>
          <w:sz w:val="12"/>
        </w:rPr>
        <w:t>596</w:t>
      </w:r>
      <w:r>
        <w:rPr>
          <w:spacing w:val="34"/>
          <w:position w:val="5"/>
          <w:sz w:val="12"/>
        </w:rPr>
        <w:t xml:space="preserve"> </w:t>
      </w:r>
      <w:r>
        <w:rPr>
          <w:sz w:val="18"/>
        </w:rPr>
        <w:t>Anti-Dumping Final Determination, (Exhibit AUS-2), p. 121; Final Determination (Exhibit CHN-1), p. 59; Australia's first written submission, paras. 551; 600; and 602; China's first written submission, para. 1377.</w:t>
      </w:r>
    </w:p>
    <w:p w14:paraId="785C5A8E" w14:textId="77777777" w:rsidR="00BD462C" w:rsidRDefault="00033D0F">
      <w:pPr>
        <w:spacing w:before="2"/>
        <w:ind w:left="135" w:right="906"/>
        <w:jc w:val="both"/>
        <w:rPr>
          <w:sz w:val="18"/>
        </w:rPr>
      </w:pPr>
      <w:bookmarkStart w:id="834" w:name="_bookmark714"/>
      <w:bookmarkEnd w:id="834"/>
      <w:r>
        <w:rPr>
          <w:position w:val="5"/>
          <w:sz w:val="12"/>
        </w:rPr>
        <w:t>597</w:t>
      </w:r>
      <w:r>
        <w:rPr>
          <w:spacing w:val="28"/>
          <w:position w:val="5"/>
          <w:sz w:val="12"/>
        </w:rPr>
        <w:t xml:space="preserve"> </w:t>
      </w:r>
      <w:r>
        <w:rPr>
          <w:sz w:val="18"/>
        </w:rPr>
        <w:t>China accepts that 2015 represents the "base year" for a non-injurious state for the domestic industry. See China's first written submission, paras. 1324; 1332; 1475; 1635; 1650; and 1667.</w:t>
      </w:r>
    </w:p>
    <w:p w14:paraId="0A0AE6E9" w14:textId="77777777" w:rsidR="00BD462C" w:rsidRDefault="00BD462C">
      <w:pPr>
        <w:jc w:val="both"/>
        <w:rPr>
          <w:sz w:val="18"/>
        </w:rPr>
        <w:sectPr w:rsidR="00BD462C">
          <w:pgSz w:w="11910" w:h="16840"/>
          <w:pgMar w:top="860" w:right="500" w:bottom="780" w:left="1280" w:header="566" w:footer="590" w:gutter="0"/>
          <w:cols w:space="720"/>
        </w:sectPr>
      </w:pPr>
    </w:p>
    <w:p w14:paraId="5F492CB8"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154571E7"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242F6357"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4902D1D4" w14:textId="77777777" w:rsidR="00BD462C" w:rsidRDefault="00033D0F">
      <w:pPr>
        <w:pStyle w:val="BodyText"/>
        <w:spacing w:before="102" w:line="357" w:lineRule="auto"/>
        <w:ind w:left="135" w:right="910"/>
      </w:pPr>
      <w:r>
        <w:t>Injury</w:t>
      </w:r>
      <w:r>
        <w:rPr>
          <w:spacing w:val="40"/>
        </w:rPr>
        <w:t xml:space="preserve"> </w:t>
      </w:r>
      <w:r>
        <w:t>POI.</w:t>
      </w:r>
      <w:r>
        <w:rPr>
          <w:spacing w:val="40"/>
        </w:rPr>
        <w:t xml:space="preserve"> </w:t>
      </w:r>
      <w:r>
        <w:t>This</w:t>
      </w:r>
      <w:r>
        <w:rPr>
          <w:spacing w:val="40"/>
        </w:rPr>
        <w:t xml:space="preserve"> </w:t>
      </w:r>
      <w:r>
        <w:t>suppression</w:t>
      </w:r>
      <w:r>
        <w:rPr>
          <w:spacing w:val="40"/>
        </w:rPr>
        <w:t xml:space="preserve"> </w:t>
      </w:r>
      <w:r>
        <w:t>margin</w:t>
      </w:r>
      <w:r>
        <w:rPr>
          <w:spacing w:val="40"/>
        </w:rPr>
        <w:t xml:space="preserve"> </w:t>
      </w:r>
      <w:r>
        <w:t>allegedly</w:t>
      </w:r>
      <w:r>
        <w:rPr>
          <w:spacing w:val="40"/>
        </w:rPr>
        <w:t xml:space="preserve"> </w:t>
      </w:r>
      <w:r>
        <w:t>resulted</w:t>
      </w:r>
      <w:r>
        <w:rPr>
          <w:spacing w:val="40"/>
        </w:rPr>
        <w:t xml:space="preserve"> </w:t>
      </w:r>
      <w:r>
        <w:t>in</w:t>
      </w:r>
      <w:r>
        <w:rPr>
          <w:spacing w:val="40"/>
        </w:rPr>
        <w:t xml:space="preserve"> </w:t>
      </w:r>
      <w:r>
        <w:t>material</w:t>
      </w:r>
      <w:r>
        <w:rPr>
          <w:spacing w:val="40"/>
        </w:rPr>
        <w:t xml:space="preserve"> </w:t>
      </w:r>
      <w:r>
        <w:t>injury</w:t>
      </w:r>
      <w:r>
        <w:rPr>
          <w:spacing w:val="40"/>
        </w:rPr>
        <w:t xml:space="preserve"> </w:t>
      </w:r>
      <w:r>
        <w:t>to</w:t>
      </w:r>
      <w:r>
        <w:rPr>
          <w:spacing w:val="40"/>
        </w:rPr>
        <w:t xml:space="preserve"> </w:t>
      </w:r>
      <w:r>
        <w:t>the</w:t>
      </w:r>
      <w:r>
        <w:rPr>
          <w:spacing w:val="40"/>
        </w:rPr>
        <w:t xml:space="preserve"> </w:t>
      </w:r>
      <w:r>
        <w:t>domestic industry,</w:t>
      </w:r>
      <w:hyperlink w:anchor="_bookmark715" w:history="1">
        <w:r>
          <w:rPr>
            <w:vertAlign w:val="superscript"/>
          </w:rPr>
          <w:t>598</w:t>
        </w:r>
      </w:hyperlink>
      <w:r>
        <w:t xml:space="preserve"> despite domestic prices increasing by more than 20% over the same period.</w:t>
      </w:r>
      <w:hyperlink w:anchor="_bookmark716" w:history="1">
        <w:r>
          <w:rPr>
            <w:vertAlign w:val="superscript"/>
          </w:rPr>
          <w:t>599</w:t>
        </w:r>
      </w:hyperlink>
    </w:p>
    <w:p w14:paraId="0C3887F6" w14:textId="77777777" w:rsidR="00BD462C" w:rsidRDefault="00BD462C">
      <w:pPr>
        <w:pStyle w:val="BodyText"/>
        <w:spacing w:before="3"/>
        <w:rPr>
          <w:sz w:val="9"/>
        </w:rPr>
      </w:pPr>
    </w:p>
    <w:p w14:paraId="6FC4A8F4" w14:textId="76E0AF33" w:rsidR="00BD462C" w:rsidRDefault="006926F2">
      <w:pPr>
        <w:pStyle w:val="BodyText"/>
        <w:spacing w:before="56" w:line="357" w:lineRule="auto"/>
        <w:ind w:left="136" w:right="923" w:hanging="5"/>
      </w:pPr>
      <w:r>
        <w:rPr>
          <w:noProof/>
        </w:rPr>
        <w:t>426.</w:t>
      </w:r>
      <w:r w:rsidR="00033D0F">
        <w:rPr>
          <w:rFonts w:ascii="Times New Roman"/>
          <w:spacing w:val="80"/>
          <w:w w:val="150"/>
          <w:position w:val="1"/>
          <w:sz w:val="20"/>
        </w:rPr>
        <w:t xml:space="preserve"> </w:t>
      </w:r>
      <w:r w:rsidR="00033D0F">
        <w:rPr>
          <w:position w:val="1"/>
        </w:rPr>
        <w:t xml:space="preserve">In its submissions throughout these proceedings, Australia has established a </w:t>
      </w:r>
      <w:r w:rsidR="00033D0F">
        <w:rPr>
          <w:i/>
          <w:position w:val="1"/>
        </w:rPr>
        <w:t>prima</w:t>
      </w:r>
      <w:r w:rsidR="00033D0F">
        <w:rPr>
          <w:i/>
          <w:spacing w:val="80"/>
          <w:position w:val="1"/>
        </w:rPr>
        <w:t xml:space="preserve"> </w:t>
      </w:r>
      <w:r w:rsidR="00033D0F">
        <w:rPr>
          <w:i/>
        </w:rPr>
        <w:t>facie</w:t>
      </w:r>
      <w:r w:rsidR="00033D0F">
        <w:rPr>
          <w:i/>
          <w:spacing w:val="-14"/>
        </w:rPr>
        <w:t xml:space="preserve"> </w:t>
      </w:r>
      <w:r w:rsidR="00033D0F">
        <w:t>case</w:t>
      </w:r>
      <w:r w:rsidR="00033D0F">
        <w:rPr>
          <w:spacing w:val="-16"/>
        </w:rPr>
        <w:t xml:space="preserve"> </w:t>
      </w:r>
      <w:r w:rsidR="00033D0F">
        <w:t>that</w:t>
      </w:r>
      <w:r w:rsidR="00033D0F">
        <w:rPr>
          <w:spacing w:val="-14"/>
        </w:rPr>
        <w:t xml:space="preserve"> </w:t>
      </w:r>
      <w:r w:rsidR="00033D0F">
        <w:t>MOFCOM's</w:t>
      </w:r>
      <w:r w:rsidR="00033D0F">
        <w:rPr>
          <w:spacing w:val="-13"/>
        </w:rPr>
        <w:t xml:space="preserve"> </w:t>
      </w:r>
      <w:r w:rsidR="00033D0F">
        <w:t>injury</w:t>
      </w:r>
      <w:r w:rsidR="00033D0F">
        <w:rPr>
          <w:spacing w:val="-14"/>
        </w:rPr>
        <w:t xml:space="preserve"> </w:t>
      </w:r>
      <w:r w:rsidR="00033D0F">
        <w:t>determination</w:t>
      </w:r>
      <w:r w:rsidR="00033D0F">
        <w:rPr>
          <w:spacing w:val="-13"/>
        </w:rPr>
        <w:t xml:space="preserve"> </w:t>
      </w:r>
      <w:r w:rsidR="00033D0F">
        <w:t>was</w:t>
      </w:r>
      <w:r w:rsidR="00033D0F">
        <w:rPr>
          <w:spacing w:val="-14"/>
        </w:rPr>
        <w:t xml:space="preserve"> </w:t>
      </w:r>
      <w:r w:rsidR="00033D0F">
        <w:t>inconsistent</w:t>
      </w:r>
      <w:r w:rsidR="00033D0F">
        <w:rPr>
          <w:spacing w:val="-13"/>
        </w:rPr>
        <w:t xml:space="preserve"> </w:t>
      </w:r>
      <w:r w:rsidR="00033D0F">
        <w:t>with</w:t>
      </w:r>
      <w:r w:rsidR="00033D0F">
        <w:rPr>
          <w:spacing w:val="-14"/>
        </w:rPr>
        <w:t xml:space="preserve"> </w:t>
      </w:r>
      <w:r w:rsidR="00033D0F">
        <w:t>Articles</w:t>
      </w:r>
      <w:r w:rsidR="00033D0F">
        <w:rPr>
          <w:spacing w:val="-2"/>
        </w:rPr>
        <w:t xml:space="preserve"> </w:t>
      </w:r>
      <w:r w:rsidR="00033D0F">
        <w:t>3.1,</w:t>
      </w:r>
      <w:r w:rsidR="00033D0F">
        <w:rPr>
          <w:spacing w:val="-11"/>
        </w:rPr>
        <w:t xml:space="preserve"> </w:t>
      </w:r>
      <w:r w:rsidR="00033D0F">
        <w:t>3.2,</w:t>
      </w:r>
      <w:r w:rsidR="00033D0F">
        <w:rPr>
          <w:spacing w:val="-12"/>
        </w:rPr>
        <w:t xml:space="preserve"> </w:t>
      </w:r>
      <w:r w:rsidR="00033D0F">
        <w:t>3.4</w:t>
      </w:r>
      <w:r w:rsidR="00033D0F">
        <w:rPr>
          <w:spacing w:val="-13"/>
        </w:rPr>
        <w:t xml:space="preserve"> </w:t>
      </w:r>
      <w:r w:rsidR="00033D0F">
        <w:rPr>
          <w:spacing w:val="-5"/>
        </w:rPr>
        <w:t>and</w:t>
      </w:r>
    </w:p>
    <w:p w14:paraId="66928882" w14:textId="77777777" w:rsidR="00BD462C" w:rsidRDefault="00033D0F">
      <w:pPr>
        <w:pStyle w:val="BodyText"/>
        <w:spacing w:before="1"/>
        <w:ind w:left="136"/>
      </w:pPr>
      <w:r>
        <w:t>3.5</w:t>
      </w:r>
      <w:r>
        <w:rPr>
          <w:spacing w:val="-6"/>
        </w:rPr>
        <w:t xml:space="preserve"> </w:t>
      </w:r>
      <w:r>
        <w:t>of the</w:t>
      </w:r>
      <w:r>
        <w:rPr>
          <w:spacing w:val="-3"/>
        </w:rPr>
        <w:t xml:space="preserve"> </w:t>
      </w:r>
      <w:r>
        <w:t>Anti-Dumping</w:t>
      </w:r>
      <w:r>
        <w:rPr>
          <w:spacing w:val="-2"/>
        </w:rPr>
        <w:t xml:space="preserve"> </w:t>
      </w:r>
      <w:r>
        <w:t>Agreement</w:t>
      </w:r>
      <w:r>
        <w:rPr>
          <w:spacing w:val="-3"/>
        </w:rPr>
        <w:t xml:space="preserve"> </w:t>
      </w:r>
      <w:r>
        <w:t>as</w:t>
      </w:r>
      <w:r>
        <w:rPr>
          <w:spacing w:val="-1"/>
        </w:rPr>
        <w:t xml:space="preserve"> </w:t>
      </w:r>
      <w:r>
        <w:t>set</w:t>
      </w:r>
      <w:r>
        <w:rPr>
          <w:spacing w:val="-3"/>
        </w:rPr>
        <w:t xml:space="preserve"> </w:t>
      </w:r>
      <w:r>
        <w:t>out</w:t>
      </w:r>
      <w:r>
        <w:rPr>
          <w:spacing w:val="-2"/>
        </w:rPr>
        <w:t xml:space="preserve"> below:</w:t>
      </w:r>
    </w:p>
    <w:p w14:paraId="1E8BC469" w14:textId="77777777" w:rsidR="00BD462C" w:rsidRDefault="00BD462C">
      <w:pPr>
        <w:pStyle w:val="BodyText"/>
        <w:spacing w:before="10"/>
      </w:pPr>
    </w:p>
    <w:p w14:paraId="72FABA2C" w14:textId="77777777" w:rsidR="00BD462C" w:rsidRDefault="00033D0F">
      <w:pPr>
        <w:pStyle w:val="ListParagraph"/>
        <w:numPr>
          <w:ilvl w:val="0"/>
          <w:numId w:val="2"/>
        </w:numPr>
        <w:tabs>
          <w:tab w:val="left" w:pos="1835"/>
          <w:tab w:val="left" w:pos="1836"/>
        </w:tabs>
        <w:spacing w:before="0" w:line="360" w:lineRule="auto"/>
        <w:ind w:left="1839" w:right="910" w:hanging="855"/>
        <w:jc w:val="both"/>
        <w:rPr>
          <w:sz w:val="24"/>
        </w:rPr>
      </w:pPr>
      <w:r>
        <w:rPr>
          <w:sz w:val="24"/>
        </w:rPr>
        <w:t>first, Australia claims that MOFCOM's examination of price effects was inconsistent</w:t>
      </w:r>
      <w:r>
        <w:rPr>
          <w:spacing w:val="-9"/>
          <w:sz w:val="24"/>
        </w:rPr>
        <w:t xml:space="preserve"> </w:t>
      </w:r>
      <w:r>
        <w:rPr>
          <w:sz w:val="24"/>
        </w:rPr>
        <w:t>with</w:t>
      </w:r>
      <w:r>
        <w:rPr>
          <w:spacing w:val="-6"/>
          <w:sz w:val="24"/>
        </w:rPr>
        <w:t xml:space="preserve"> </w:t>
      </w:r>
      <w:r>
        <w:rPr>
          <w:sz w:val="24"/>
        </w:rPr>
        <w:t>Articles</w:t>
      </w:r>
      <w:r>
        <w:rPr>
          <w:spacing w:val="-2"/>
          <w:sz w:val="24"/>
        </w:rPr>
        <w:t xml:space="preserve"> </w:t>
      </w:r>
      <w:r>
        <w:rPr>
          <w:sz w:val="24"/>
        </w:rPr>
        <w:t>3.1</w:t>
      </w:r>
      <w:r>
        <w:rPr>
          <w:spacing w:val="-7"/>
          <w:sz w:val="24"/>
        </w:rPr>
        <w:t xml:space="preserve"> </w:t>
      </w:r>
      <w:r>
        <w:rPr>
          <w:sz w:val="24"/>
        </w:rPr>
        <w:t>and</w:t>
      </w:r>
      <w:r>
        <w:rPr>
          <w:spacing w:val="-6"/>
          <w:sz w:val="24"/>
        </w:rPr>
        <w:t xml:space="preserve"> </w:t>
      </w:r>
      <w:r>
        <w:rPr>
          <w:sz w:val="24"/>
        </w:rPr>
        <w:t>3.2.</w:t>
      </w:r>
      <w:r>
        <w:rPr>
          <w:spacing w:val="-3"/>
          <w:sz w:val="24"/>
        </w:rPr>
        <w:t xml:space="preserve"> </w:t>
      </w:r>
      <w:r>
        <w:rPr>
          <w:sz w:val="24"/>
        </w:rPr>
        <w:t>Australia's</w:t>
      </w:r>
      <w:r>
        <w:rPr>
          <w:spacing w:val="-3"/>
          <w:sz w:val="24"/>
        </w:rPr>
        <w:t xml:space="preserve"> </w:t>
      </w:r>
      <w:r>
        <w:rPr>
          <w:sz w:val="24"/>
        </w:rPr>
        <w:t>position</w:t>
      </w:r>
      <w:r>
        <w:rPr>
          <w:spacing w:val="-6"/>
          <w:sz w:val="24"/>
        </w:rPr>
        <w:t xml:space="preserve"> </w:t>
      </w:r>
      <w:r>
        <w:rPr>
          <w:sz w:val="24"/>
        </w:rPr>
        <w:t>is</w:t>
      </w:r>
      <w:r>
        <w:rPr>
          <w:spacing w:val="-3"/>
          <w:sz w:val="24"/>
        </w:rPr>
        <w:t xml:space="preserve"> </w:t>
      </w:r>
      <w:r>
        <w:rPr>
          <w:sz w:val="24"/>
        </w:rPr>
        <w:t>that</w:t>
      </w:r>
      <w:r>
        <w:rPr>
          <w:spacing w:val="-9"/>
          <w:sz w:val="24"/>
        </w:rPr>
        <w:t xml:space="preserve"> </w:t>
      </w:r>
      <w:r>
        <w:rPr>
          <w:sz w:val="24"/>
        </w:rPr>
        <w:t>MOFCOM's price</w:t>
      </w:r>
      <w:r>
        <w:rPr>
          <w:spacing w:val="-8"/>
          <w:sz w:val="24"/>
        </w:rPr>
        <w:t xml:space="preserve"> </w:t>
      </w:r>
      <w:r>
        <w:rPr>
          <w:sz w:val="24"/>
        </w:rPr>
        <w:t>effects</w:t>
      </w:r>
      <w:r>
        <w:rPr>
          <w:spacing w:val="-7"/>
          <w:sz w:val="24"/>
        </w:rPr>
        <w:t xml:space="preserve"> </w:t>
      </w:r>
      <w:r>
        <w:rPr>
          <w:sz w:val="24"/>
        </w:rPr>
        <w:t>evaluation</w:t>
      </w:r>
      <w:r>
        <w:rPr>
          <w:spacing w:val="-10"/>
          <w:sz w:val="24"/>
        </w:rPr>
        <w:t xml:space="preserve"> </w:t>
      </w:r>
      <w:r>
        <w:rPr>
          <w:sz w:val="24"/>
        </w:rPr>
        <w:t>was</w:t>
      </w:r>
      <w:r>
        <w:rPr>
          <w:spacing w:val="-7"/>
          <w:sz w:val="24"/>
        </w:rPr>
        <w:t xml:space="preserve"> </w:t>
      </w:r>
      <w:r>
        <w:rPr>
          <w:sz w:val="24"/>
        </w:rPr>
        <w:t>deficient</w:t>
      </w:r>
      <w:r>
        <w:rPr>
          <w:spacing w:val="-8"/>
          <w:sz w:val="24"/>
        </w:rPr>
        <w:t xml:space="preserve"> </w:t>
      </w:r>
      <w:r>
        <w:rPr>
          <w:sz w:val="24"/>
        </w:rPr>
        <w:t>in</w:t>
      </w:r>
      <w:r>
        <w:rPr>
          <w:spacing w:val="-10"/>
          <w:sz w:val="24"/>
        </w:rPr>
        <w:t xml:space="preserve"> </w:t>
      </w:r>
      <w:r>
        <w:rPr>
          <w:sz w:val="24"/>
        </w:rPr>
        <w:t>multiple</w:t>
      </w:r>
      <w:r>
        <w:rPr>
          <w:spacing w:val="-8"/>
          <w:sz w:val="24"/>
        </w:rPr>
        <w:t xml:space="preserve"> </w:t>
      </w:r>
      <w:r>
        <w:rPr>
          <w:sz w:val="24"/>
        </w:rPr>
        <w:t>respects,</w:t>
      </w:r>
      <w:r>
        <w:rPr>
          <w:spacing w:val="-6"/>
          <w:sz w:val="24"/>
        </w:rPr>
        <w:t xml:space="preserve"> </w:t>
      </w:r>
      <w:r>
        <w:rPr>
          <w:sz w:val="24"/>
        </w:rPr>
        <w:t>most</w:t>
      </w:r>
      <w:r>
        <w:rPr>
          <w:spacing w:val="-8"/>
          <w:sz w:val="24"/>
        </w:rPr>
        <w:t xml:space="preserve"> </w:t>
      </w:r>
      <w:r>
        <w:rPr>
          <w:sz w:val="24"/>
        </w:rPr>
        <w:t>importantly because MOFCOM: (i) failed to ensure price comparability between the prices it calculated for subject imports and domestic like products; (ii) did not consider</w:t>
      </w:r>
      <w:r>
        <w:rPr>
          <w:spacing w:val="-1"/>
          <w:sz w:val="24"/>
        </w:rPr>
        <w:t xml:space="preserve"> </w:t>
      </w:r>
      <w:r>
        <w:rPr>
          <w:sz w:val="24"/>
        </w:rPr>
        <w:t>whether</w:t>
      </w:r>
      <w:r>
        <w:rPr>
          <w:spacing w:val="-1"/>
          <w:sz w:val="24"/>
        </w:rPr>
        <w:t xml:space="preserve"> </w:t>
      </w:r>
      <w:r>
        <w:rPr>
          <w:sz w:val="24"/>
        </w:rPr>
        <w:t>the price suppression</w:t>
      </w:r>
      <w:r>
        <w:rPr>
          <w:spacing w:val="-1"/>
          <w:sz w:val="24"/>
        </w:rPr>
        <w:t xml:space="preserve"> </w:t>
      </w:r>
      <w:r>
        <w:rPr>
          <w:sz w:val="24"/>
        </w:rPr>
        <w:t>it identified</w:t>
      </w:r>
      <w:r>
        <w:rPr>
          <w:spacing w:val="-1"/>
          <w:sz w:val="24"/>
        </w:rPr>
        <w:t xml:space="preserve"> </w:t>
      </w:r>
      <w:r>
        <w:rPr>
          <w:sz w:val="24"/>
        </w:rPr>
        <w:t>was</w:t>
      </w:r>
      <w:r>
        <w:rPr>
          <w:spacing w:val="-2"/>
          <w:sz w:val="24"/>
        </w:rPr>
        <w:t xml:space="preserve"> </w:t>
      </w:r>
      <w:r>
        <w:rPr>
          <w:sz w:val="24"/>
        </w:rPr>
        <w:t>significant;</w:t>
      </w:r>
      <w:r>
        <w:rPr>
          <w:spacing w:val="-1"/>
          <w:sz w:val="24"/>
        </w:rPr>
        <w:t xml:space="preserve"> </w:t>
      </w:r>
      <w:r>
        <w:rPr>
          <w:sz w:val="24"/>
        </w:rPr>
        <w:t>(iii) did not examine the relationship between subject imports and the price of domestic</w:t>
      </w:r>
      <w:r>
        <w:rPr>
          <w:spacing w:val="-9"/>
          <w:sz w:val="24"/>
        </w:rPr>
        <w:t xml:space="preserve"> </w:t>
      </w:r>
      <w:r>
        <w:rPr>
          <w:sz w:val="24"/>
        </w:rPr>
        <w:t>like</w:t>
      </w:r>
      <w:r>
        <w:rPr>
          <w:spacing w:val="-8"/>
          <w:sz w:val="24"/>
        </w:rPr>
        <w:t xml:space="preserve"> </w:t>
      </w:r>
      <w:r>
        <w:rPr>
          <w:sz w:val="24"/>
        </w:rPr>
        <w:t>products</w:t>
      </w:r>
      <w:r>
        <w:rPr>
          <w:spacing w:val="-7"/>
          <w:sz w:val="24"/>
        </w:rPr>
        <w:t xml:space="preserve"> </w:t>
      </w:r>
      <w:r>
        <w:rPr>
          <w:sz w:val="24"/>
        </w:rPr>
        <w:t>in</w:t>
      </w:r>
      <w:r>
        <w:rPr>
          <w:spacing w:val="-10"/>
          <w:sz w:val="24"/>
        </w:rPr>
        <w:t xml:space="preserve"> </w:t>
      </w:r>
      <w:r>
        <w:rPr>
          <w:sz w:val="24"/>
        </w:rPr>
        <w:t>order</w:t>
      </w:r>
      <w:r>
        <w:rPr>
          <w:spacing w:val="-11"/>
          <w:sz w:val="24"/>
        </w:rPr>
        <w:t xml:space="preserve"> </w:t>
      </w:r>
      <w:r>
        <w:rPr>
          <w:sz w:val="24"/>
        </w:rPr>
        <w:t>to</w:t>
      </w:r>
      <w:r>
        <w:rPr>
          <w:spacing w:val="-11"/>
          <w:sz w:val="24"/>
        </w:rPr>
        <w:t xml:space="preserve"> </w:t>
      </w:r>
      <w:r>
        <w:rPr>
          <w:sz w:val="24"/>
        </w:rPr>
        <w:t>examine</w:t>
      </w:r>
      <w:r>
        <w:rPr>
          <w:spacing w:val="-8"/>
          <w:sz w:val="24"/>
        </w:rPr>
        <w:t xml:space="preserve"> </w:t>
      </w:r>
      <w:r>
        <w:rPr>
          <w:sz w:val="24"/>
        </w:rPr>
        <w:t>explanatory</w:t>
      </w:r>
      <w:r>
        <w:rPr>
          <w:spacing w:val="-7"/>
          <w:sz w:val="24"/>
        </w:rPr>
        <w:t xml:space="preserve"> </w:t>
      </w:r>
      <w:r>
        <w:rPr>
          <w:sz w:val="24"/>
        </w:rPr>
        <w:t>force;</w:t>
      </w:r>
      <w:r>
        <w:rPr>
          <w:spacing w:val="-11"/>
          <w:sz w:val="24"/>
        </w:rPr>
        <w:t xml:space="preserve"> </w:t>
      </w:r>
      <w:r>
        <w:rPr>
          <w:sz w:val="24"/>
        </w:rPr>
        <w:t>and</w:t>
      </w:r>
      <w:r>
        <w:rPr>
          <w:spacing w:val="-10"/>
          <w:sz w:val="24"/>
        </w:rPr>
        <w:t xml:space="preserve"> </w:t>
      </w:r>
      <w:r>
        <w:rPr>
          <w:sz w:val="24"/>
        </w:rPr>
        <w:t>(iv)</w:t>
      </w:r>
      <w:r>
        <w:rPr>
          <w:spacing w:val="-10"/>
          <w:sz w:val="24"/>
        </w:rPr>
        <w:t xml:space="preserve"> </w:t>
      </w:r>
      <w:r>
        <w:rPr>
          <w:sz w:val="24"/>
        </w:rPr>
        <w:t xml:space="preserve">based its price effects analysis on average unit values that were not positive </w:t>
      </w:r>
      <w:r>
        <w:rPr>
          <w:spacing w:val="-2"/>
          <w:sz w:val="24"/>
        </w:rPr>
        <w:t>evidence.</w:t>
      </w:r>
    </w:p>
    <w:p w14:paraId="17C51582" w14:textId="77777777" w:rsidR="00BD462C" w:rsidRDefault="00033D0F">
      <w:pPr>
        <w:pStyle w:val="ListParagraph"/>
        <w:numPr>
          <w:ilvl w:val="0"/>
          <w:numId w:val="2"/>
        </w:numPr>
        <w:tabs>
          <w:tab w:val="left" w:pos="1835"/>
          <w:tab w:val="left" w:pos="1836"/>
        </w:tabs>
        <w:spacing w:before="119" w:line="360" w:lineRule="auto"/>
        <w:ind w:left="1839" w:right="910" w:hanging="855"/>
        <w:jc w:val="both"/>
        <w:rPr>
          <w:sz w:val="24"/>
        </w:rPr>
      </w:pPr>
      <w:r>
        <w:rPr>
          <w:sz w:val="24"/>
        </w:rPr>
        <w:t>second, Australia claims that MOFCOM's examination of the impact of subject imports on the domestic industry was inconsistent with Articles 3.1 and 3.4 because MOFCOM's evaluation: (i) was fatally undermined by MOFCOM's</w:t>
      </w:r>
      <w:r>
        <w:rPr>
          <w:spacing w:val="-10"/>
          <w:sz w:val="24"/>
        </w:rPr>
        <w:t xml:space="preserve"> </w:t>
      </w:r>
      <w:r>
        <w:rPr>
          <w:sz w:val="24"/>
        </w:rPr>
        <w:t>errors</w:t>
      </w:r>
      <w:r>
        <w:rPr>
          <w:spacing w:val="-10"/>
          <w:sz w:val="24"/>
        </w:rPr>
        <w:t xml:space="preserve"> </w:t>
      </w:r>
      <w:r>
        <w:rPr>
          <w:sz w:val="24"/>
        </w:rPr>
        <w:t>in</w:t>
      </w:r>
      <w:r>
        <w:rPr>
          <w:spacing w:val="-9"/>
          <w:sz w:val="24"/>
        </w:rPr>
        <w:t xml:space="preserve"> </w:t>
      </w:r>
      <w:r>
        <w:rPr>
          <w:sz w:val="24"/>
        </w:rPr>
        <w:t>defining</w:t>
      </w:r>
      <w:r>
        <w:rPr>
          <w:spacing w:val="-10"/>
          <w:sz w:val="24"/>
        </w:rPr>
        <w:t xml:space="preserve"> </w:t>
      </w:r>
      <w:r>
        <w:rPr>
          <w:sz w:val="24"/>
        </w:rPr>
        <w:t>the</w:t>
      </w:r>
      <w:r>
        <w:rPr>
          <w:spacing w:val="-7"/>
          <w:sz w:val="24"/>
        </w:rPr>
        <w:t xml:space="preserve"> </w:t>
      </w:r>
      <w:r>
        <w:rPr>
          <w:sz w:val="24"/>
        </w:rPr>
        <w:t>domestic</w:t>
      </w:r>
      <w:r>
        <w:rPr>
          <w:spacing w:val="-13"/>
          <w:sz w:val="24"/>
        </w:rPr>
        <w:t xml:space="preserve"> </w:t>
      </w:r>
      <w:r>
        <w:rPr>
          <w:sz w:val="24"/>
        </w:rPr>
        <w:t>industry</w:t>
      </w:r>
      <w:r>
        <w:rPr>
          <w:spacing w:val="-11"/>
          <w:sz w:val="24"/>
        </w:rPr>
        <w:t xml:space="preserve"> </w:t>
      </w:r>
      <w:r>
        <w:rPr>
          <w:sz w:val="24"/>
        </w:rPr>
        <w:t>under</w:t>
      </w:r>
      <w:r>
        <w:rPr>
          <w:spacing w:val="-10"/>
          <w:sz w:val="24"/>
        </w:rPr>
        <w:t xml:space="preserve"> </w:t>
      </w:r>
      <w:r>
        <w:rPr>
          <w:sz w:val="24"/>
        </w:rPr>
        <w:t>Article</w:t>
      </w:r>
      <w:r>
        <w:rPr>
          <w:spacing w:val="-2"/>
          <w:sz w:val="24"/>
        </w:rPr>
        <w:t xml:space="preserve"> </w:t>
      </w:r>
      <w:r>
        <w:rPr>
          <w:sz w:val="24"/>
        </w:rPr>
        <w:t>4.1;</w:t>
      </w:r>
      <w:r>
        <w:rPr>
          <w:spacing w:val="-14"/>
          <w:sz w:val="24"/>
        </w:rPr>
        <w:t xml:space="preserve"> </w:t>
      </w:r>
      <w:r>
        <w:rPr>
          <w:sz w:val="24"/>
        </w:rPr>
        <w:t>(ii)</w:t>
      </w:r>
      <w:r>
        <w:rPr>
          <w:spacing w:val="-12"/>
          <w:sz w:val="24"/>
        </w:rPr>
        <w:t xml:space="preserve"> </w:t>
      </w:r>
      <w:r>
        <w:rPr>
          <w:sz w:val="24"/>
        </w:rPr>
        <w:t>did not evaluate the relationship between subject imports and the state observed in the domestic industry; (iii) did not consider "factors affecting domestic prices"; and (iv) included significant errors and omissions.</w:t>
      </w:r>
    </w:p>
    <w:p w14:paraId="7ED6E8E0" w14:textId="77777777" w:rsidR="00BD462C" w:rsidRDefault="00033D0F">
      <w:pPr>
        <w:pStyle w:val="ListParagraph"/>
        <w:numPr>
          <w:ilvl w:val="0"/>
          <w:numId w:val="2"/>
        </w:numPr>
        <w:tabs>
          <w:tab w:val="left" w:pos="1835"/>
          <w:tab w:val="left" w:pos="1836"/>
        </w:tabs>
        <w:spacing w:before="122" w:line="360" w:lineRule="auto"/>
        <w:ind w:left="1839" w:right="911" w:hanging="855"/>
        <w:jc w:val="both"/>
        <w:rPr>
          <w:sz w:val="24"/>
        </w:rPr>
      </w:pPr>
      <w:r>
        <w:rPr>
          <w:sz w:val="24"/>
        </w:rPr>
        <w:t>third, Australia claims that MOFCOM's examination of causation and non- attribution factors was inconsistent with Articles</w:t>
      </w:r>
      <w:r>
        <w:rPr>
          <w:spacing w:val="-2"/>
          <w:sz w:val="24"/>
        </w:rPr>
        <w:t xml:space="preserve"> </w:t>
      </w:r>
      <w:r>
        <w:rPr>
          <w:sz w:val="24"/>
        </w:rPr>
        <w:t>3.1 and 3.5. Australia's position is that MOFCOM's evaluation of causation: (i) was undermined by MOFCOM's</w:t>
      </w:r>
      <w:r>
        <w:rPr>
          <w:spacing w:val="-8"/>
          <w:sz w:val="24"/>
        </w:rPr>
        <w:t xml:space="preserve"> </w:t>
      </w:r>
      <w:r>
        <w:rPr>
          <w:sz w:val="24"/>
        </w:rPr>
        <w:t>errors</w:t>
      </w:r>
      <w:r>
        <w:rPr>
          <w:spacing w:val="-8"/>
          <w:sz w:val="24"/>
        </w:rPr>
        <w:t xml:space="preserve"> </w:t>
      </w:r>
      <w:r>
        <w:rPr>
          <w:sz w:val="24"/>
        </w:rPr>
        <w:t>in</w:t>
      </w:r>
      <w:r>
        <w:rPr>
          <w:spacing w:val="-11"/>
          <w:sz w:val="24"/>
        </w:rPr>
        <w:t xml:space="preserve"> </w:t>
      </w:r>
      <w:r>
        <w:rPr>
          <w:sz w:val="24"/>
        </w:rPr>
        <w:t>its</w:t>
      </w:r>
      <w:r>
        <w:rPr>
          <w:spacing w:val="-8"/>
          <w:sz w:val="24"/>
        </w:rPr>
        <w:t xml:space="preserve"> </w:t>
      </w:r>
      <w:r>
        <w:rPr>
          <w:sz w:val="24"/>
        </w:rPr>
        <w:t>examination</w:t>
      </w:r>
      <w:r>
        <w:rPr>
          <w:spacing w:val="-11"/>
          <w:sz w:val="24"/>
        </w:rPr>
        <w:t xml:space="preserve"> </w:t>
      </w:r>
      <w:r>
        <w:rPr>
          <w:sz w:val="24"/>
        </w:rPr>
        <w:t>of</w:t>
      </w:r>
      <w:r>
        <w:rPr>
          <w:spacing w:val="-11"/>
          <w:sz w:val="24"/>
        </w:rPr>
        <w:t xml:space="preserve"> </w:t>
      </w:r>
      <w:r>
        <w:rPr>
          <w:sz w:val="24"/>
        </w:rPr>
        <w:t>price</w:t>
      </w:r>
      <w:r>
        <w:rPr>
          <w:spacing w:val="-9"/>
          <w:sz w:val="24"/>
        </w:rPr>
        <w:t xml:space="preserve"> </w:t>
      </w:r>
      <w:r>
        <w:rPr>
          <w:sz w:val="24"/>
        </w:rPr>
        <w:t>effects</w:t>
      </w:r>
      <w:r>
        <w:rPr>
          <w:spacing w:val="-8"/>
          <w:sz w:val="24"/>
        </w:rPr>
        <w:t xml:space="preserve"> </w:t>
      </w:r>
      <w:r>
        <w:rPr>
          <w:sz w:val="24"/>
        </w:rPr>
        <w:t>under</w:t>
      </w:r>
      <w:r>
        <w:rPr>
          <w:spacing w:val="-12"/>
          <w:sz w:val="24"/>
        </w:rPr>
        <w:t xml:space="preserve"> </w:t>
      </w:r>
      <w:r>
        <w:rPr>
          <w:sz w:val="24"/>
        </w:rPr>
        <w:t>Article</w:t>
      </w:r>
      <w:r>
        <w:rPr>
          <w:spacing w:val="-4"/>
          <w:sz w:val="24"/>
        </w:rPr>
        <w:t xml:space="preserve"> </w:t>
      </w:r>
      <w:r>
        <w:rPr>
          <w:sz w:val="24"/>
        </w:rPr>
        <w:t>3.2</w:t>
      </w:r>
      <w:r>
        <w:rPr>
          <w:spacing w:val="-11"/>
          <w:sz w:val="24"/>
        </w:rPr>
        <w:t xml:space="preserve"> </w:t>
      </w:r>
      <w:r>
        <w:rPr>
          <w:sz w:val="24"/>
        </w:rPr>
        <w:t>and</w:t>
      </w:r>
      <w:r>
        <w:rPr>
          <w:spacing w:val="-11"/>
          <w:sz w:val="24"/>
        </w:rPr>
        <w:t xml:space="preserve"> </w:t>
      </w:r>
      <w:r>
        <w:rPr>
          <w:sz w:val="24"/>
        </w:rPr>
        <w:t>its evaluation</w:t>
      </w:r>
      <w:r>
        <w:rPr>
          <w:spacing w:val="40"/>
          <w:sz w:val="24"/>
        </w:rPr>
        <w:t xml:space="preserve"> </w:t>
      </w:r>
      <w:r>
        <w:rPr>
          <w:sz w:val="24"/>
        </w:rPr>
        <w:t>of</w:t>
      </w:r>
      <w:r>
        <w:rPr>
          <w:spacing w:val="64"/>
          <w:sz w:val="24"/>
        </w:rPr>
        <w:t xml:space="preserve"> </w:t>
      </w:r>
      <w:r>
        <w:rPr>
          <w:sz w:val="24"/>
        </w:rPr>
        <w:t>relevant</w:t>
      </w:r>
      <w:r>
        <w:rPr>
          <w:spacing w:val="40"/>
          <w:sz w:val="24"/>
        </w:rPr>
        <w:t xml:space="preserve"> </w:t>
      </w:r>
      <w:r>
        <w:rPr>
          <w:sz w:val="24"/>
        </w:rPr>
        <w:t>economic</w:t>
      </w:r>
      <w:r>
        <w:rPr>
          <w:spacing w:val="40"/>
          <w:sz w:val="24"/>
        </w:rPr>
        <w:t xml:space="preserve"> </w:t>
      </w:r>
      <w:r>
        <w:rPr>
          <w:sz w:val="24"/>
        </w:rPr>
        <w:t>factors</w:t>
      </w:r>
      <w:r>
        <w:rPr>
          <w:spacing w:val="62"/>
          <w:sz w:val="24"/>
        </w:rPr>
        <w:t xml:space="preserve"> </w:t>
      </w:r>
      <w:r>
        <w:rPr>
          <w:sz w:val="24"/>
        </w:rPr>
        <w:t>under</w:t>
      </w:r>
      <w:r>
        <w:rPr>
          <w:spacing w:val="63"/>
          <w:sz w:val="24"/>
        </w:rPr>
        <w:t xml:space="preserve"> </w:t>
      </w:r>
      <w:r>
        <w:rPr>
          <w:sz w:val="24"/>
        </w:rPr>
        <w:t>Article</w:t>
      </w:r>
      <w:r>
        <w:rPr>
          <w:spacing w:val="-1"/>
          <w:sz w:val="24"/>
        </w:rPr>
        <w:t xml:space="preserve"> </w:t>
      </w:r>
      <w:r>
        <w:rPr>
          <w:sz w:val="24"/>
        </w:rPr>
        <w:t>3.4;</w:t>
      </w:r>
      <w:r>
        <w:rPr>
          <w:spacing w:val="63"/>
          <w:sz w:val="24"/>
        </w:rPr>
        <w:t xml:space="preserve"> </w:t>
      </w:r>
      <w:r>
        <w:rPr>
          <w:sz w:val="24"/>
        </w:rPr>
        <w:t>(ii)</w:t>
      </w:r>
      <w:r>
        <w:rPr>
          <w:spacing w:val="40"/>
          <w:sz w:val="24"/>
        </w:rPr>
        <w:t xml:space="preserve"> </w:t>
      </w:r>
      <w:r>
        <w:rPr>
          <w:sz w:val="24"/>
        </w:rPr>
        <w:t>failed</w:t>
      </w:r>
      <w:r>
        <w:rPr>
          <w:spacing w:val="40"/>
          <w:sz w:val="24"/>
        </w:rPr>
        <w:t xml:space="preserve"> </w:t>
      </w:r>
      <w:r>
        <w:rPr>
          <w:sz w:val="24"/>
        </w:rPr>
        <w:t>to</w:t>
      </w:r>
    </w:p>
    <w:p w14:paraId="15B0D29D" w14:textId="70D0170C" w:rsidR="00BD462C" w:rsidRDefault="00D70C7D">
      <w:pPr>
        <w:pStyle w:val="BodyText"/>
        <w:spacing w:before="4"/>
        <w:rPr>
          <w:sz w:val="18"/>
        </w:rPr>
      </w:pPr>
      <w:r>
        <w:rPr>
          <w:noProof/>
        </w:rPr>
        <mc:AlternateContent>
          <mc:Choice Requires="wps">
            <w:drawing>
              <wp:anchor distT="0" distB="0" distL="0" distR="0" simplePos="0" relativeHeight="487759360" behindDoc="1" locked="0" layoutInCell="1" allowOverlap="1" wp14:anchorId="04A01A13" wp14:editId="2D123AFE">
                <wp:simplePos x="0" y="0"/>
                <wp:positionH relativeFrom="page">
                  <wp:posOffset>899160</wp:posOffset>
                </wp:positionH>
                <wp:positionV relativeFrom="paragraph">
                  <wp:posOffset>157480</wp:posOffset>
                </wp:positionV>
                <wp:extent cx="1828800" cy="8890"/>
                <wp:effectExtent l="0" t="0" r="0" b="0"/>
                <wp:wrapTopAndBottom/>
                <wp:docPr id="672" name="docshape3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CAA8C5" id="docshape383" o:spid="_x0000_s1026" alt="&quot;&quot;" style="position:absolute;margin-left:70.8pt;margin-top:12.4pt;width:2in;height:.7pt;z-index:-15557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" fillcolor="black" stroked="f">
                <w10:wrap type="topAndBottom" anchorx="page"/>
              </v:rect>
            </w:pict>
          </mc:Fallback>
        </mc:AlternateContent>
      </w:r>
    </w:p>
    <w:p w14:paraId="3B8C809D" w14:textId="77777777" w:rsidR="00BD462C" w:rsidRDefault="00033D0F">
      <w:pPr>
        <w:spacing w:before="112"/>
        <w:ind w:left="136" w:right="909" w:hanging="1"/>
        <w:jc w:val="both"/>
        <w:rPr>
          <w:sz w:val="18"/>
        </w:rPr>
      </w:pPr>
      <w:bookmarkStart w:id="835" w:name="_bookmark715"/>
      <w:bookmarkEnd w:id="835"/>
      <w:r>
        <w:rPr>
          <w:position w:val="5"/>
          <w:sz w:val="12"/>
        </w:rPr>
        <w:t>598</w:t>
      </w:r>
      <w:r>
        <w:rPr>
          <w:spacing w:val="36"/>
          <w:position w:val="5"/>
          <w:sz w:val="12"/>
        </w:rPr>
        <w:t xml:space="preserve"> </w:t>
      </w:r>
      <w:r>
        <w:rPr>
          <w:sz w:val="18"/>
        </w:rPr>
        <w:t>China's First Written Submission, para. 1380 ("658 RMB/</w:t>
      </w:r>
      <w:proofErr w:type="spellStart"/>
      <w:r>
        <w:rPr>
          <w:sz w:val="18"/>
        </w:rPr>
        <w:t>kilolitre</w:t>
      </w:r>
      <w:proofErr w:type="spellEnd"/>
      <w:r>
        <w:rPr>
          <w:sz w:val="18"/>
        </w:rPr>
        <w:t xml:space="preserve"> was a significant amount as it led to a sharp drop in profitability and affected all the financial indicators of the domestic industry as well as their continued operations including </w:t>
      </w:r>
      <w:r>
        <w:rPr>
          <w:spacing w:val="-2"/>
          <w:sz w:val="18"/>
        </w:rPr>
        <w:t>production").</w:t>
      </w:r>
    </w:p>
    <w:p w14:paraId="182EEDFD" w14:textId="77777777" w:rsidR="00BD462C" w:rsidRDefault="00033D0F">
      <w:pPr>
        <w:spacing w:before="3"/>
        <w:ind w:left="135"/>
        <w:jc w:val="both"/>
        <w:rPr>
          <w:sz w:val="18"/>
        </w:rPr>
      </w:pPr>
      <w:bookmarkStart w:id="836" w:name="_bookmark716"/>
      <w:bookmarkEnd w:id="836"/>
      <w:r>
        <w:rPr>
          <w:position w:val="5"/>
          <w:sz w:val="12"/>
        </w:rPr>
        <w:t>599</w:t>
      </w:r>
      <w:r>
        <w:rPr>
          <w:spacing w:val="12"/>
          <w:position w:val="5"/>
          <w:sz w:val="12"/>
        </w:rPr>
        <w:t xml:space="preserve"> </w:t>
      </w:r>
      <w:r>
        <w:rPr>
          <w:sz w:val="18"/>
        </w:rPr>
        <w:t>Anti-Dumping</w:t>
      </w:r>
      <w:r>
        <w:rPr>
          <w:spacing w:val="-6"/>
          <w:sz w:val="18"/>
        </w:rPr>
        <w:t xml:space="preserve"> </w:t>
      </w:r>
      <w:r>
        <w:rPr>
          <w:sz w:val="18"/>
        </w:rPr>
        <w:t>Final</w:t>
      </w:r>
      <w:r>
        <w:rPr>
          <w:spacing w:val="-1"/>
          <w:sz w:val="18"/>
        </w:rPr>
        <w:t xml:space="preserve"> </w:t>
      </w:r>
      <w:r>
        <w:rPr>
          <w:sz w:val="18"/>
        </w:rPr>
        <w:t>Determination</w:t>
      </w:r>
      <w:r>
        <w:rPr>
          <w:spacing w:val="-7"/>
          <w:sz w:val="18"/>
        </w:rPr>
        <w:t xml:space="preserve"> </w:t>
      </w:r>
      <w:r>
        <w:rPr>
          <w:sz w:val="18"/>
        </w:rPr>
        <w:t>(Exhibit</w:t>
      </w:r>
      <w:r>
        <w:rPr>
          <w:spacing w:val="-2"/>
          <w:sz w:val="18"/>
        </w:rPr>
        <w:t xml:space="preserve"> </w:t>
      </w:r>
      <w:r>
        <w:rPr>
          <w:sz w:val="18"/>
        </w:rPr>
        <w:t>AUS-2),</w:t>
      </w:r>
      <w:r>
        <w:rPr>
          <w:spacing w:val="-4"/>
          <w:sz w:val="18"/>
        </w:rPr>
        <w:t xml:space="preserve"> </w:t>
      </w:r>
      <w:r>
        <w:rPr>
          <w:sz w:val="18"/>
        </w:rPr>
        <w:t>p.</w:t>
      </w:r>
      <w:r>
        <w:rPr>
          <w:spacing w:val="-5"/>
          <w:sz w:val="18"/>
        </w:rPr>
        <w:t xml:space="preserve"> </w:t>
      </w:r>
      <w:r>
        <w:rPr>
          <w:spacing w:val="-4"/>
          <w:sz w:val="18"/>
        </w:rPr>
        <w:t>120.</w:t>
      </w:r>
    </w:p>
    <w:p w14:paraId="5B6CCC6A" w14:textId="77777777" w:rsidR="00BD462C" w:rsidRDefault="00BD462C">
      <w:pPr>
        <w:jc w:val="both"/>
        <w:rPr>
          <w:sz w:val="18"/>
        </w:rPr>
        <w:sectPr w:rsidR="00BD462C">
          <w:pgSz w:w="11910" w:h="16840"/>
          <w:pgMar w:top="860" w:right="500" w:bottom="780" w:left="1280" w:header="566" w:footer="590" w:gutter="0"/>
          <w:cols w:space="720"/>
        </w:sectPr>
      </w:pPr>
    </w:p>
    <w:p w14:paraId="77EADF9D"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08917377"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4F073F39"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641140E0" w14:textId="77777777" w:rsidR="00BD462C" w:rsidRDefault="00033D0F">
      <w:pPr>
        <w:pStyle w:val="BodyText"/>
        <w:spacing w:before="102" w:line="360" w:lineRule="auto"/>
        <w:ind w:left="1840" w:right="913"/>
        <w:jc w:val="both"/>
      </w:pPr>
      <w:r>
        <w:t>establish a causal link between the alleged dumping of the subject imports and</w:t>
      </w:r>
      <w:r>
        <w:rPr>
          <w:spacing w:val="-4"/>
        </w:rPr>
        <w:t xml:space="preserve"> </w:t>
      </w:r>
      <w:r>
        <w:t>the alleged</w:t>
      </w:r>
      <w:r>
        <w:rPr>
          <w:spacing w:val="-4"/>
        </w:rPr>
        <w:t xml:space="preserve"> </w:t>
      </w:r>
      <w:r>
        <w:t>injury</w:t>
      </w:r>
      <w:r>
        <w:rPr>
          <w:spacing w:val="-1"/>
        </w:rPr>
        <w:t xml:space="preserve"> </w:t>
      </w:r>
      <w:r>
        <w:t>suffered by</w:t>
      </w:r>
      <w:r>
        <w:rPr>
          <w:spacing w:val="-1"/>
        </w:rPr>
        <w:t xml:space="preserve"> </w:t>
      </w:r>
      <w:r>
        <w:t>the domestic</w:t>
      </w:r>
      <w:r>
        <w:rPr>
          <w:spacing w:val="-4"/>
        </w:rPr>
        <w:t xml:space="preserve"> </w:t>
      </w:r>
      <w:r>
        <w:t>industry;</w:t>
      </w:r>
      <w:r>
        <w:rPr>
          <w:spacing w:val="-5"/>
        </w:rPr>
        <w:t xml:space="preserve"> </w:t>
      </w:r>
      <w:r>
        <w:t>(iii)</w:t>
      </w:r>
      <w:r>
        <w:rPr>
          <w:spacing w:val="-4"/>
        </w:rPr>
        <w:t xml:space="preserve"> </w:t>
      </w:r>
      <w:r>
        <w:t>was</w:t>
      </w:r>
      <w:r>
        <w:rPr>
          <w:spacing w:val="-1"/>
        </w:rPr>
        <w:t xml:space="preserve"> </w:t>
      </w:r>
      <w:r>
        <w:t>not based on an objective assessment of all relevant evidence on the record; and (iv) failed</w:t>
      </w:r>
      <w:r>
        <w:rPr>
          <w:spacing w:val="-14"/>
        </w:rPr>
        <w:t xml:space="preserve"> </w:t>
      </w:r>
      <w:r>
        <w:t>to</w:t>
      </w:r>
      <w:r>
        <w:rPr>
          <w:spacing w:val="-13"/>
        </w:rPr>
        <w:t xml:space="preserve"> </w:t>
      </w:r>
      <w:r>
        <w:t>properly</w:t>
      </w:r>
      <w:r>
        <w:rPr>
          <w:spacing w:val="-11"/>
        </w:rPr>
        <w:t xml:space="preserve"> </w:t>
      </w:r>
      <w:r>
        <w:t>examine</w:t>
      </w:r>
      <w:r>
        <w:rPr>
          <w:spacing w:val="-12"/>
        </w:rPr>
        <w:t xml:space="preserve"> </w:t>
      </w:r>
      <w:r>
        <w:t>or</w:t>
      </w:r>
      <w:r>
        <w:rPr>
          <w:spacing w:val="-10"/>
        </w:rPr>
        <w:t xml:space="preserve"> </w:t>
      </w:r>
      <w:r>
        <w:t>assess</w:t>
      </w:r>
      <w:r>
        <w:rPr>
          <w:spacing w:val="-10"/>
        </w:rPr>
        <w:t xml:space="preserve"> </w:t>
      </w:r>
      <w:r>
        <w:t>the</w:t>
      </w:r>
      <w:r>
        <w:rPr>
          <w:spacing w:val="-12"/>
        </w:rPr>
        <w:t xml:space="preserve"> </w:t>
      </w:r>
      <w:r>
        <w:t>effects</w:t>
      </w:r>
      <w:r>
        <w:rPr>
          <w:spacing w:val="-10"/>
        </w:rPr>
        <w:t xml:space="preserve"> </w:t>
      </w:r>
      <w:r>
        <w:t>of</w:t>
      </w:r>
      <w:r>
        <w:rPr>
          <w:spacing w:val="-4"/>
        </w:rPr>
        <w:t xml:space="preserve"> </w:t>
      </w:r>
      <w:r>
        <w:t>the</w:t>
      </w:r>
      <w:r>
        <w:rPr>
          <w:spacing w:val="-12"/>
        </w:rPr>
        <w:t xml:space="preserve"> </w:t>
      </w:r>
      <w:r>
        <w:t>other</w:t>
      </w:r>
      <w:r>
        <w:rPr>
          <w:spacing w:val="-10"/>
        </w:rPr>
        <w:t xml:space="preserve"> </w:t>
      </w:r>
      <w:r>
        <w:t>"known"</w:t>
      </w:r>
      <w:r>
        <w:rPr>
          <w:spacing w:val="-8"/>
        </w:rPr>
        <w:t xml:space="preserve"> </w:t>
      </w:r>
      <w:r>
        <w:t>factors on</w:t>
      </w:r>
      <w:r>
        <w:rPr>
          <w:spacing w:val="-5"/>
        </w:rPr>
        <w:t xml:space="preserve"> </w:t>
      </w:r>
      <w:r>
        <w:t>the domestic</w:t>
      </w:r>
      <w:r>
        <w:rPr>
          <w:spacing w:val="-5"/>
        </w:rPr>
        <w:t xml:space="preserve"> </w:t>
      </w:r>
      <w:r>
        <w:t>wine</w:t>
      </w:r>
      <w:r>
        <w:rPr>
          <w:spacing w:val="-4"/>
        </w:rPr>
        <w:t xml:space="preserve"> </w:t>
      </w:r>
      <w:r>
        <w:t>industry</w:t>
      </w:r>
      <w:r>
        <w:rPr>
          <w:spacing w:val="-2"/>
        </w:rPr>
        <w:t xml:space="preserve"> </w:t>
      </w:r>
      <w:r>
        <w:t>based</w:t>
      </w:r>
      <w:r>
        <w:rPr>
          <w:spacing w:val="-5"/>
        </w:rPr>
        <w:t xml:space="preserve"> </w:t>
      </w:r>
      <w:r>
        <w:t>on</w:t>
      </w:r>
      <w:r>
        <w:rPr>
          <w:spacing w:val="-5"/>
        </w:rPr>
        <w:t xml:space="preserve"> </w:t>
      </w:r>
      <w:r>
        <w:t>the relevant</w:t>
      </w:r>
      <w:r>
        <w:rPr>
          <w:spacing w:val="-3"/>
        </w:rPr>
        <w:t xml:space="preserve"> </w:t>
      </w:r>
      <w:r>
        <w:t>evidence,</w:t>
      </w:r>
      <w:r>
        <w:rPr>
          <w:spacing w:val="-1"/>
        </w:rPr>
        <w:t xml:space="preserve"> </w:t>
      </w:r>
      <w:r>
        <w:t>including</w:t>
      </w:r>
      <w:r>
        <w:rPr>
          <w:spacing w:val="-2"/>
        </w:rPr>
        <w:t xml:space="preserve"> </w:t>
      </w:r>
      <w:r>
        <w:t>by identifying, separating, and distinguishing their injurious effects from that allegedly caused by subject imports through price suppression.</w:t>
      </w:r>
    </w:p>
    <w:p w14:paraId="04F2C30C" w14:textId="2EC9BC32" w:rsidR="00BD462C" w:rsidRDefault="000C0D6F">
      <w:pPr>
        <w:pStyle w:val="BodyText"/>
        <w:spacing w:before="121" w:line="360" w:lineRule="auto"/>
        <w:ind w:left="135" w:right="912" w:hanging="5"/>
        <w:jc w:val="both"/>
      </w:pPr>
      <w:r>
        <w:rPr>
          <w:noProof/>
        </w:rPr>
        <w:t>427.</w:t>
      </w:r>
      <w:r w:rsidR="00033D0F">
        <w:rPr>
          <w:rFonts w:ascii="Times New Roman"/>
          <w:spacing w:val="80"/>
          <w:position w:val="1"/>
          <w:sz w:val="20"/>
        </w:rPr>
        <w:t xml:space="preserve"> </w:t>
      </w:r>
      <w:r w:rsidR="00033D0F">
        <w:rPr>
          <w:position w:val="1"/>
        </w:rPr>
        <w:t xml:space="preserve">In response to Australia's claims, China's first written submission and responses to </w:t>
      </w:r>
      <w:r w:rsidR="00033D0F">
        <w:t>Panel questions:</w:t>
      </w:r>
      <w:r w:rsidR="00033D0F">
        <w:rPr>
          <w:spacing w:val="-2"/>
        </w:rPr>
        <w:t xml:space="preserve"> </w:t>
      </w:r>
      <w:r w:rsidR="00033D0F">
        <w:t>(i)</w:t>
      </w:r>
      <w:r w:rsidR="00033D0F">
        <w:rPr>
          <w:spacing w:val="-1"/>
        </w:rPr>
        <w:t xml:space="preserve"> </w:t>
      </w:r>
      <w:r w:rsidR="00033D0F">
        <w:t>consist, for</w:t>
      </w:r>
      <w:r w:rsidR="00033D0F">
        <w:rPr>
          <w:spacing w:val="-2"/>
        </w:rPr>
        <w:t xml:space="preserve"> </w:t>
      </w:r>
      <w:r w:rsidR="00033D0F">
        <w:t>the most part, of</w:t>
      </w:r>
      <w:r w:rsidR="00033D0F">
        <w:rPr>
          <w:spacing w:val="-1"/>
        </w:rPr>
        <w:t xml:space="preserve"> </w:t>
      </w:r>
      <w:r w:rsidR="00033D0F">
        <w:t xml:space="preserve">significant </w:t>
      </w:r>
      <w:r w:rsidR="00033D0F">
        <w:rPr>
          <w:i/>
        </w:rPr>
        <w:t xml:space="preserve">ex post facto </w:t>
      </w:r>
      <w:r w:rsidR="00033D0F">
        <w:t>reasoning that</w:t>
      </w:r>
      <w:r w:rsidR="00033D0F">
        <w:rPr>
          <w:spacing w:val="-4"/>
        </w:rPr>
        <w:t xml:space="preserve"> </w:t>
      </w:r>
      <w:r w:rsidR="00033D0F">
        <w:t xml:space="preserve">does not appear anywhere on the investigation record; (ii) often do not respond to Australia's arguments; and (iii) seek to divert attention from the key matters in dispute by placing significant focus on so called "threshold" issues. As a result, China has failed to rebut Australia's </w:t>
      </w:r>
      <w:r w:rsidR="00033D0F">
        <w:rPr>
          <w:i/>
        </w:rPr>
        <w:t xml:space="preserve">prima facie </w:t>
      </w:r>
      <w:r w:rsidR="00033D0F">
        <w:t>case.</w:t>
      </w:r>
    </w:p>
    <w:p w14:paraId="70314586" w14:textId="77777777" w:rsidR="00BD462C" w:rsidRDefault="00BD462C">
      <w:pPr>
        <w:pStyle w:val="BodyText"/>
        <w:spacing w:before="8"/>
        <w:rPr>
          <w:sz w:val="8"/>
        </w:rPr>
      </w:pPr>
    </w:p>
    <w:p w14:paraId="2D451F4A" w14:textId="55A9AF34" w:rsidR="00BD462C" w:rsidRDefault="000C0D6F">
      <w:pPr>
        <w:pStyle w:val="BodyText"/>
        <w:spacing w:before="56" w:line="360" w:lineRule="auto"/>
        <w:ind w:left="135" w:right="914" w:hanging="5"/>
        <w:jc w:val="both"/>
      </w:pPr>
      <w:r>
        <w:rPr>
          <w:noProof/>
        </w:rPr>
        <w:t>428.</w:t>
      </w:r>
      <w:r w:rsidR="00033D0F">
        <w:rPr>
          <w:rFonts w:ascii="Times New Roman"/>
          <w:spacing w:val="80"/>
          <w:position w:val="1"/>
          <w:sz w:val="20"/>
        </w:rPr>
        <w:t xml:space="preserve"> </w:t>
      </w:r>
      <w:r w:rsidR="00033D0F">
        <w:rPr>
          <w:position w:val="1"/>
        </w:rPr>
        <w:t xml:space="preserve">In addition to the matters set out in its PRR, China has raised numerous "threshold" </w:t>
      </w:r>
      <w:r w:rsidR="00033D0F">
        <w:t>issues in relation to Australia's arguments under Article</w:t>
      </w:r>
      <w:r w:rsidR="00033D0F">
        <w:rPr>
          <w:spacing w:val="-1"/>
        </w:rPr>
        <w:t xml:space="preserve"> </w:t>
      </w:r>
      <w:r w:rsidR="00033D0F">
        <w:t xml:space="preserve">3, which seek to </w:t>
      </w:r>
      <w:proofErr w:type="spellStart"/>
      <w:r w:rsidR="00033D0F">
        <w:t>characterise</w:t>
      </w:r>
      <w:proofErr w:type="spellEnd"/>
      <w:r w:rsidR="00033D0F">
        <w:t xml:space="preserve"> Australia's</w:t>
      </w:r>
      <w:r w:rsidR="00033D0F">
        <w:rPr>
          <w:spacing w:val="-14"/>
        </w:rPr>
        <w:t xml:space="preserve"> </w:t>
      </w:r>
      <w:r w:rsidR="00033D0F">
        <w:t>arguments</w:t>
      </w:r>
      <w:r w:rsidR="00033D0F">
        <w:rPr>
          <w:spacing w:val="-14"/>
        </w:rPr>
        <w:t xml:space="preserve"> </w:t>
      </w:r>
      <w:r w:rsidR="00033D0F">
        <w:t>as</w:t>
      </w:r>
      <w:r w:rsidR="00033D0F">
        <w:rPr>
          <w:spacing w:val="-13"/>
        </w:rPr>
        <w:t xml:space="preserve"> </w:t>
      </w:r>
      <w:r w:rsidR="00033D0F">
        <w:t>being</w:t>
      </w:r>
      <w:r w:rsidR="00033D0F">
        <w:rPr>
          <w:spacing w:val="-14"/>
        </w:rPr>
        <w:t xml:space="preserve"> </w:t>
      </w:r>
      <w:r w:rsidR="00033D0F">
        <w:t>beyond</w:t>
      </w:r>
      <w:r w:rsidR="00033D0F">
        <w:rPr>
          <w:spacing w:val="-13"/>
        </w:rPr>
        <w:t xml:space="preserve"> </w:t>
      </w:r>
      <w:r w:rsidR="00033D0F">
        <w:t>the</w:t>
      </w:r>
      <w:r w:rsidR="00033D0F">
        <w:rPr>
          <w:spacing w:val="-14"/>
        </w:rPr>
        <w:t xml:space="preserve"> </w:t>
      </w:r>
      <w:r w:rsidR="00033D0F">
        <w:t>Panel's</w:t>
      </w:r>
      <w:r w:rsidR="00033D0F">
        <w:rPr>
          <w:spacing w:val="-13"/>
        </w:rPr>
        <w:t xml:space="preserve"> </w:t>
      </w:r>
      <w:r w:rsidR="00033D0F">
        <w:t>terms</w:t>
      </w:r>
      <w:r w:rsidR="00033D0F">
        <w:rPr>
          <w:spacing w:val="-14"/>
        </w:rPr>
        <w:t xml:space="preserve"> </w:t>
      </w:r>
      <w:r w:rsidR="00033D0F">
        <w:t>of</w:t>
      </w:r>
      <w:r w:rsidR="00033D0F">
        <w:rPr>
          <w:spacing w:val="-14"/>
        </w:rPr>
        <w:t xml:space="preserve"> </w:t>
      </w:r>
      <w:r w:rsidR="00033D0F">
        <w:t>reference</w:t>
      </w:r>
      <w:r w:rsidR="00033D0F">
        <w:rPr>
          <w:spacing w:val="-13"/>
        </w:rPr>
        <w:t xml:space="preserve"> </w:t>
      </w:r>
      <w:r w:rsidR="00033D0F">
        <w:t>and/or</w:t>
      </w:r>
      <w:r w:rsidR="00033D0F">
        <w:rPr>
          <w:spacing w:val="-14"/>
        </w:rPr>
        <w:t xml:space="preserve"> </w:t>
      </w:r>
      <w:r w:rsidR="00033D0F">
        <w:t>being</w:t>
      </w:r>
      <w:r w:rsidR="00033D0F">
        <w:rPr>
          <w:spacing w:val="-13"/>
        </w:rPr>
        <w:t xml:space="preserve"> </w:t>
      </w:r>
      <w:r w:rsidR="00033D0F">
        <w:t>improperly made. Australia's response to each of these arguments is</w:t>
      </w:r>
      <w:r w:rsidR="00033D0F">
        <w:rPr>
          <w:spacing w:val="-1"/>
        </w:rPr>
        <w:t xml:space="preserve"> </w:t>
      </w:r>
      <w:r w:rsidR="00033D0F">
        <w:t>set out above.</w:t>
      </w:r>
      <w:hyperlink w:anchor="_bookmark719" w:history="1">
        <w:r w:rsidR="00033D0F">
          <w:rPr>
            <w:vertAlign w:val="superscript"/>
          </w:rPr>
          <w:t>600</w:t>
        </w:r>
      </w:hyperlink>
      <w:r w:rsidR="00033D0F">
        <w:t xml:space="preserve"> In summary, they are entirely without merit.</w:t>
      </w:r>
    </w:p>
    <w:p w14:paraId="4FCE2C3A" w14:textId="77777777" w:rsidR="00BD462C" w:rsidRDefault="00033D0F" w:rsidP="00DA02D9">
      <w:pPr>
        <w:pStyle w:val="ListParagraph"/>
        <w:numPr>
          <w:ilvl w:val="1"/>
          <w:numId w:val="72"/>
        </w:numPr>
        <w:tabs>
          <w:tab w:val="left" w:pos="1839"/>
          <w:tab w:val="left" w:pos="1840"/>
        </w:tabs>
        <w:spacing w:before="155"/>
        <w:ind w:left="1840"/>
        <w:rPr>
          <w:b/>
        </w:rPr>
      </w:pPr>
      <w:bookmarkStart w:id="837" w:name="B._China_acted_inconsistently_with_Artic"/>
      <w:bookmarkStart w:id="838" w:name="_bookmark717"/>
      <w:bookmarkEnd w:id="837"/>
      <w:bookmarkEnd w:id="838"/>
      <w:r>
        <w:rPr>
          <w:b/>
          <w:sz w:val="28"/>
        </w:rPr>
        <w:t>C</w:t>
      </w:r>
      <w:r>
        <w:rPr>
          <w:b/>
        </w:rPr>
        <w:t>HINA</w:t>
      </w:r>
      <w:r>
        <w:rPr>
          <w:b/>
          <w:spacing w:val="21"/>
        </w:rPr>
        <w:t xml:space="preserve"> </w:t>
      </w:r>
      <w:r>
        <w:rPr>
          <w:b/>
        </w:rPr>
        <w:t>ACTED</w:t>
      </w:r>
      <w:r>
        <w:rPr>
          <w:b/>
          <w:spacing w:val="21"/>
        </w:rPr>
        <w:t xml:space="preserve"> </w:t>
      </w:r>
      <w:r>
        <w:rPr>
          <w:b/>
        </w:rPr>
        <w:t>INCONSISTENTLY</w:t>
      </w:r>
      <w:r>
        <w:rPr>
          <w:b/>
          <w:spacing w:val="22"/>
        </w:rPr>
        <w:t xml:space="preserve"> </w:t>
      </w:r>
      <w:r>
        <w:rPr>
          <w:b/>
        </w:rPr>
        <w:t>WITH</w:t>
      </w:r>
      <w:r>
        <w:rPr>
          <w:b/>
          <w:spacing w:val="20"/>
        </w:rPr>
        <w:t xml:space="preserve"> </w:t>
      </w:r>
      <w:r>
        <w:rPr>
          <w:b/>
          <w:sz w:val="28"/>
        </w:rPr>
        <w:t>A</w:t>
      </w:r>
      <w:r>
        <w:rPr>
          <w:b/>
        </w:rPr>
        <w:t>RTICLE</w:t>
      </w:r>
      <w:r>
        <w:rPr>
          <w:b/>
          <w:spacing w:val="24"/>
        </w:rPr>
        <w:t xml:space="preserve"> </w:t>
      </w:r>
      <w:r>
        <w:rPr>
          <w:b/>
          <w:sz w:val="28"/>
        </w:rPr>
        <w:t>3.1</w:t>
      </w:r>
      <w:r>
        <w:rPr>
          <w:b/>
          <w:spacing w:val="11"/>
          <w:sz w:val="28"/>
        </w:rPr>
        <w:t xml:space="preserve"> </w:t>
      </w:r>
      <w:r>
        <w:rPr>
          <w:b/>
        </w:rPr>
        <w:t>AND</w:t>
      </w:r>
      <w:r>
        <w:rPr>
          <w:b/>
          <w:spacing w:val="22"/>
        </w:rPr>
        <w:t xml:space="preserve"> </w:t>
      </w:r>
      <w:r>
        <w:rPr>
          <w:b/>
          <w:sz w:val="28"/>
        </w:rPr>
        <w:t>A</w:t>
      </w:r>
      <w:r>
        <w:rPr>
          <w:b/>
        </w:rPr>
        <w:t>RTICLE</w:t>
      </w:r>
      <w:r>
        <w:rPr>
          <w:b/>
          <w:spacing w:val="24"/>
        </w:rPr>
        <w:t xml:space="preserve"> </w:t>
      </w:r>
      <w:r>
        <w:rPr>
          <w:b/>
          <w:sz w:val="28"/>
        </w:rPr>
        <w:t>3.2</w:t>
      </w:r>
      <w:r>
        <w:rPr>
          <w:b/>
          <w:spacing w:val="6"/>
          <w:sz w:val="28"/>
        </w:rPr>
        <w:t xml:space="preserve"> </w:t>
      </w:r>
      <w:r>
        <w:rPr>
          <w:b/>
        </w:rPr>
        <w:t>OF</w:t>
      </w:r>
      <w:r>
        <w:rPr>
          <w:b/>
          <w:spacing w:val="25"/>
        </w:rPr>
        <w:t xml:space="preserve"> </w:t>
      </w:r>
      <w:r>
        <w:rPr>
          <w:b/>
          <w:spacing w:val="-5"/>
        </w:rPr>
        <w:t>THE</w:t>
      </w:r>
    </w:p>
    <w:p w14:paraId="33839ED0" w14:textId="77777777" w:rsidR="00BD462C" w:rsidRDefault="00033D0F">
      <w:pPr>
        <w:pStyle w:val="Heading2"/>
        <w:spacing w:before="172"/>
        <w:ind w:left="1840"/>
      </w:pPr>
      <w:r>
        <w:rPr>
          <w:smallCaps/>
          <w:spacing w:val="-2"/>
        </w:rPr>
        <w:t>Anti-Dumping</w:t>
      </w:r>
      <w:r>
        <w:rPr>
          <w:smallCaps/>
          <w:spacing w:val="10"/>
        </w:rPr>
        <w:t xml:space="preserve"> </w:t>
      </w:r>
      <w:r>
        <w:rPr>
          <w:smallCaps/>
          <w:spacing w:val="-2"/>
        </w:rPr>
        <w:t>Agreement</w:t>
      </w:r>
    </w:p>
    <w:p w14:paraId="5B70610F" w14:textId="77777777" w:rsidR="00BD462C" w:rsidRDefault="00BD462C">
      <w:pPr>
        <w:pStyle w:val="BodyText"/>
        <w:rPr>
          <w:b/>
          <w:sz w:val="27"/>
        </w:rPr>
      </w:pPr>
    </w:p>
    <w:p w14:paraId="014871F1" w14:textId="77777777" w:rsidR="00BD462C" w:rsidRDefault="00033D0F">
      <w:pPr>
        <w:pStyle w:val="Heading3"/>
        <w:numPr>
          <w:ilvl w:val="0"/>
          <w:numId w:val="40"/>
        </w:numPr>
        <w:tabs>
          <w:tab w:val="left" w:pos="2689"/>
          <w:tab w:val="left" w:pos="2690"/>
        </w:tabs>
        <w:spacing w:before="0"/>
      </w:pPr>
      <w:bookmarkStart w:id="839" w:name="_bookmark718"/>
      <w:bookmarkEnd w:id="839"/>
      <w:r>
        <w:rPr>
          <w:spacing w:val="-2"/>
        </w:rPr>
        <w:t>Introduction</w:t>
      </w:r>
    </w:p>
    <w:p w14:paraId="5347D6D5" w14:textId="77777777" w:rsidR="00BD462C" w:rsidRDefault="00BD462C">
      <w:pPr>
        <w:pStyle w:val="BodyText"/>
        <w:spacing w:before="11"/>
        <w:rPr>
          <w:b/>
          <w:sz w:val="20"/>
        </w:rPr>
      </w:pPr>
    </w:p>
    <w:p w14:paraId="060990A3" w14:textId="4ADE9B36" w:rsidR="00BD462C" w:rsidRDefault="000C0D6F">
      <w:pPr>
        <w:pStyle w:val="BodyText"/>
        <w:spacing w:before="56" w:line="360" w:lineRule="auto"/>
        <w:ind w:left="135" w:right="918" w:hanging="5"/>
        <w:jc w:val="both"/>
      </w:pPr>
      <w:r>
        <w:rPr>
          <w:noProof/>
        </w:rPr>
        <w:t>429.</w:t>
      </w:r>
      <w:r w:rsidR="00033D0F">
        <w:rPr>
          <w:rFonts w:ascii="Times New Roman"/>
          <w:spacing w:val="80"/>
          <w:position w:val="1"/>
          <w:sz w:val="20"/>
        </w:rPr>
        <w:t xml:space="preserve"> </w:t>
      </w:r>
      <w:r w:rsidR="00033D0F">
        <w:rPr>
          <w:position w:val="1"/>
        </w:rPr>
        <w:t xml:space="preserve">MOFCOM found that the increases in volume and market share and the decrease in </w:t>
      </w:r>
      <w:r w:rsidR="00033D0F">
        <w:t>price of subject imports served to suppress the prices of domestic like products over the course of the Injury POI.</w:t>
      </w:r>
      <w:hyperlink w:anchor="_bookmark720" w:history="1">
        <w:r w:rsidR="00033D0F">
          <w:rPr>
            <w:vertAlign w:val="superscript"/>
          </w:rPr>
          <w:t>601</w:t>
        </w:r>
      </w:hyperlink>
      <w:r w:rsidR="00033D0F">
        <w:t xml:space="preserve"> The quantum of the alleged price suppression that MOFCOM observed was 658 RMB/kilolitre.</w:t>
      </w:r>
      <w:hyperlink w:anchor="_bookmark721" w:history="1">
        <w:r w:rsidR="00033D0F">
          <w:rPr>
            <w:vertAlign w:val="superscript"/>
          </w:rPr>
          <w:t>602</w:t>
        </w:r>
      </w:hyperlink>
    </w:p>
    <w:p w14:paraId="37FE6155" w14:textId="77777777" w:rsidR="00BD462C" w:rsidRDefault="00BD462C">
      <w:pPr>
        <w:pStyle w:val="BodyText"/>
        <w:rPr>
          <w:sz w:val="20"/>
        </w:rPr>
      </w:pPr>
    </w:p>
    <w:p w14:paraId="34E8C27C" w14:textId="77777777" w:rsidR="00BD462C" w:rsidRDefault="00BD462C">
      <w:pPr>
        <w:pStyle w:val="BodyText"/>
        <w:rPr>
          <w:sz w:val="20"/>
        </w:rPr>
      </w:pPr>
    </w:p>
    <w:p w14:paraId="6079E942" w14:textId="2D53A421" w:rsidR="00BD462C" w:rsidRDefault="00D70C7D">
      <w:pPr>
        <w:pStyle w:val="BodyText"/>
        <w:spacing w:before="9"/>
      </w:pPr>
      <w:r>
        <w:rPr>
          <w:noProof/>
        </w:rPr>
        <mc:AlternateContent>
          <mc:Choice Requires="wps">
            <w:drawing>
              <wp:anchor distT="0" distB="0" distL="0" distR="0" simplePos="0" relativeHeight="487759872" behindDoc="1" locked="0" layoutInCell="1" allowOverlap="1" wp14:anchorId="407D0983" wp14:editId="2F6DE9D5">
                <wp:simplePos x="0" y="0"/>
                <wp:positionH relativeFrom="page">
                  <wp:posOffset>899160</wp:posOffset>
                </wp:positionH>
                <wp:positionV relativeFrom="paragraph">
                  <wp:posOffset>207010</wp:posOffset>
                </wp:positionV>
                <wp:extent cx="1828800" cy="8890"/>
                <wp:effectExtent l="0" t="0" r="0" b="0"/>
                <wp:wrapTopAndBottom/>
                <wp:docPr id="670" name="docshape3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70C27" id="docshape384" o:spid="_x0000_s1026" alt="&quot;&quot;" style="position:absolute;margin-left:70.8pt;margin-top:16.3pt;width:2in;height:.7pt;z-index:-15556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" fillcolor="black" stroked="f">
                <w10:wrap type="topAndBottom" anchorx="page"/>
              </v:rect>
            </w:pict>
          </mc:Fallback>
        </mc:AlternateContent>
      </w:r>
    </w:p>
    <w:p w14:paraId="3FF67D7E" w14:textId="77777777" w:rsidR="00BD462C" w:rsidRDefault="00033D0F">
      <w:pPr>
        <w:spacing w:before="112"/>
        <w:ind w:left="135"/>
        <w:rPr>
          <w:sz w:val="18"/>
        </w:rPr>
      </w:pPr>
      <w:bookmarkStart w:id="840" w:name="_bookmark719"/>
      <w:bookmarkEnd w:id="840"/>
      <w:r>
        <w:rPr>
          <w:position w:val="5"/>
          <w:sz w:val="12"/>
        </w:rPr>
        <w:t>600</w:t>
      </w:r>
      <w:r>
        <w:rPr>
          <w:spacing w:val="15"/>
          <w:position w:val="5"/>
          <w:sz w:val="12"/>
        </w:rPr>
        <w:t xml:space="preserve"> </w:t>
      </w:r>
      <w:r>
        <w:rPr>
          <w:sz w:val="18"/>
        </w:rPr>
        <w:t>See</w:t>
      </w:r>
      <w:r>
        <w:rPr>
          <w:spacing w:val="-4"/>
          <w:sz w:val="18"/>
        </w:rPr>
        <w:t xml:space="preserve"> </w:t>
      </w:r>
      <w:r>
        <w:rPr>
          <w:sz w:val="18"/>
        </w:rPr>
        <w:t>above</w:t>
      </w:r>
      <w:r>
        <w:rPr>
          <w:spacing w:val="-3"/>
          <w:sz w:val="18"/>
        </w:rPr>
        <w:t xml:space="preserve"> </w:t>
      </w:r>
      <w:r>
        <w:rPr>
          <w:sz w:val="18"/>
        </w:rPr>
        <w:t>sections</w:t>
      </w:r>
      <w:r>
        <w:rPr>
          <w:spacing w:val="-3"/>
          <w:sz w:val="18"/>
        </w:rPr>
        <w:t xml:space="preserve"> </w:t>
      </w:r>
      <w:hyperlink w:anchor="_bookmark6" w:history="1">
        <w:r>
          <w:rPr>
            <w:sz w:val="18"/>
          </w:rPr>
          <w:t>II.A</w:t>
        </w:r>
      </w:hyperlink>
      <w:r>
        <w:rPr>
          <w:spacing w:val="-5"/>
          <w:sz w:val="18"/>
        </w:rPr>
        <w:t xml:space="preserve"> </w:t>
      </w:r>
      <w:r>
        <w:rPr>
          <w:sz w:val="18"/>
        </w:rPr>
        <w:t>-</w:t>
      </w:r>
      <w:r>
        <w:rPr>
          <w:spacing w:val="-2"/>
          <w:sz w:val="18"/>
        </w:rPr>
        <w:t xml:space="preserve"> </w:t>
      </w:r>
      <w:hyperlink w:anchor="_bookmark91" w:history="1">
        <w:r>
          <w:rPr>
            <w:sz w:val="18"/>
          </w:rPr>
          <w:t>II.B</w:t>
        </w:r>
      </w:hyperlink>
      <w:r>
        <w:rPr>
          <w:spacing w:val="2"/>
          <w:sz w:val="18"/>
        </w:rPr>
        <w:t xml:space="preserve"> </w:t>
      </w:r>
      <w:r>
        <w:rPr>
          <w:sz w:val="18"/>
        </w:rPr>
        <w:t>and</w:t>
      </w:r>
      <w:r>
        <w:rPr>
          <w:spacing w:val="-4"/>
          <w:sz w:val="18"/>
        </w:rPr>
        <w:t xml:space="preserve"> </w:t>
      </w:r>
      <w:r>
        <w:rPr>
          <w:sz w:val="18"/>
        </w:rPr>
        <w:t>below</w:t>
      </w:r>
      <w:r>
        <w:rPr>
          <w:spacing w:val="-5"/>
          <w:sz w:val="18"/>
        </w:rPr>
        <w:t xml:space="preserve"> </w:t>
      </w:r>
      <w:r>
        <w:rPr>
          <w:sz w:val="18"/>
        </w:rPr>
        <w:t>Annex</w:t>
      </w:r>
      <w:r>
        <w:rPr>
          <w:spacing w:val="-2"/>
          <w:sz w:val="18"/>
        </w:rPr>
        <w:t xml:space="preserve"> </w:t>
      </w:r>
      <w:hyperlink w:anchor="_bookmark1749" w:history="1">
        <w:r>
          <w:rPr>
            <w:sz w:val="18"/>
          </w:rPr>
          <w:t>A.3.2</w:t>
        </w:r>
      </w:hyperlink>
      <w:hyperlink w:anchor="_bookmark1755" w:history="1">
        <w:r>
          <w:rPr>
            <w:sz w:val="18"/>
          </w:rPr>
          <w:t>-</w:t>
        </w:r>
        <w:r>
          <w:rPr>
            <w:spacing w:val="-2"/>
            <w:sz w:val="18"/>
          </w:rPr>
          <w:t>A.3.3.</w:t>
        </w:r>
      </w:hyperlink>
    </w:p>
    <w:p w14:paraId="6E390F8E" w14:textId="77777777" w:rsidR="00BD462C" w:rsidRDefault="00033D0F">
      <w:pPr>
        <w:spacing w:before="1"/>
        <w:ind w:left="135"/>
        <w:rPr>
          <w:sz w:val="18"/>
        </w:rPr>
      </w:pPr>
      <w:bookmarkStart w:id="841" w:name="_bookmark720"/>
      <w:bookmarkEnd w:id="841"/>
      <w:r>
        <w:rPr>
          <w:position w:val="5"/>
          <w:sz w:val="12"/>
        </w:rPr>
        <w:t>601</w:t>
      </w:r>
      <w:r>
        <w:rPr>
          <w:spacing w:val="12"/>
          <w:position w:val="5"/>
          <w:sz w:val="12"/>
        </w:rPr>
        <w:t xml:space="preserve"> </w:t>
      </w:r>
      <w:r>
        <w:rPr>
          <w:sz w:val="18"/>
        </w:rPr>
        <w:t>Anti-Dumping</w:t>
      </w:r>
      <w:r>
        <w:rPr>
          <w:spacing w:val="-6"/>
          <w:sz w:val="18"/>
        </w:rPr>
        <w:t xml:space="preserve"> </w:t>
      </w:r>
      <w:r>
        <w:rPr>
          <w:sz w:val="18"/>
        </w:rPr>
        <w:t>Final</w:t>
      </w:r>
      <w:r>
        <w:rPr>
          <w:spacing w:val="-1"/>
          <w:sz w:val="18"/>
        </w:rPr>
        <w:t xml:space="preserve"> </w:t>
      </w:r>
      <w:r>
        <w:rPr>
          <w:sz w:val="18"/>
        </w:rPr>
        <w:t>Determination</w:t>
      </w:r>
      <w:r>
        <w:rPr>
          <w:spacing w:val="-7"/>
          <w:sz w:val="18"/>
        </w:rPr>
        <w:t xml:space="preserve"> </w:t>
      </w:r>
      <w:r>
        <w:rPr>
          <w:sz w:val="18"/>
        </w:rPr>
        <w:t>(Exhibit</w:t>
      </w:r>
      <w:r>
        <w:rPr>
          <w:spacing w:val="-1"/>
          <w:sz w:val="18"/>
        </w:rPr>
        <w:t xml:space="preserve"> </w:t>
      </w:r>
      <w:r>
        <w:rPr>
          <w:sz w:val="18"/>
        </w:rPr>
        <w:t>AUS-2),</w:t>
      </w:r>
      <w:r>
        <w:rPr>
          <w:spacing w:val="-4"/>
          <w:sz w:val="18"/>
        </w:rPr>
        <w:t xml:space="preserve"> </w:t>
      </w:r>
      <w:r>
        <w:rPr>
          <w:sz w:val="18"/>
        </w:rPr>
        <w:t>pp.</w:t>
      </w:r>
      <w:r>
        <w:rPr>
          <w:spacing w:val="-1"/>
          <w:sz w:val="18"/>
        </w:rPr>
        <w:t xml:space="preserve"> </w:t>
      </w:r>
      <w:r>
        <w:rPr>
          <w:sz w:val="18"/>
        </w:rPr>
        <w:t>132;</w:t>
      </w:r>
      <w:r>
        <w:rPr>
          <w:spacing w:val="-7"/>
          <w:sz w:val="18"/>
        </w:rPr>
        <w:t xml:space="preserve"> </w:t>
      </w:r>
      <w:r>
        <w:rPr>
          <w:sz w:val="18"/>
        </w:rPr>
        <w:t>136;</w:t>
      </w:r>
      <w:r>
        <w:rPr>
          <w:spacing w:val="-3"/>
          <w:sz w:val="18"/>
        </w:rPr>
        <w:t xml:space="preserve"> </w:t>
      </w:r>
      <w:r>
        <w:rPr>
          <w:sz w:val="18"/>
        </w:rPr>
        <w:t>142;</w:t>
      </w:r>
      <w:r>
        <w:rPr>
          <w:spacing w:val="-4"/>
          <w:sz w:val="18"/>
        </w:rPr>
        <w:t xml:space="preserve"> </w:t>
      </w:r>
      <w:r>
        <w:rPr>
          <w:sz w:val="18"/>
        </w:rPr>
        <w:t>and</w:t>
      </w:r>
      <w:r>
        <w:rPr>
          <w:spacing w:val="-6"/>
          <w:sz w:val="18"/>
        </w:rPr>
        <w:t xml:space="preserve"> </w:t>
      </w:r>
      <w:r>
        <w:rPr>
          <w:spacing w:val="-4"/>
          <w:sz w:val="18"/>
        </w:rPr>
        <w:t>145.</w:t>
      </w:r>
    </w:p>
    <w:p w14:paraId="1E16B10D" w14:textId="77777777" w:rsidR="00BD462C" w:rsidRDefault="00033D0F">
      <w:pPr>
        <w:spacing w:before="1"/>
        <w:ind w:left="136" w:right="923" w:hanging="1"/>
        <w:rPr>
          <w:sz w:val="18"/>
        </w:rPr>
      </w:pPr>
      <w:bookmarkStart w:id="842" w:name="_bookmark721"/>
      <w:bookmarkEnd w:id="842"/>
      <w:r>
        <w:rPr>
          <w:position w:val="5"/>
          <w:sz w:val="12"/>
        </w:rPr>
        <w:t>602</w:t>
      </w:r>
      <w:r>
        <w:rPr>
          <w:spacing w:val="34"/>
          <w:position w:val="5"/>
          <w:sz w:val="12"/>
        </w:rPr>
        <w:t xml:space="preserve"> </w:t>
      </w:r>
      <w:r>
        <w:rPr>
          <w:sz w:val="18"/>
        </w:rPr>
        <w:t>Anti-Dumping Final Determination, (Exhibit AUS-2), p. 121; Final Determination (Exhibit CHN-1), p.</w:t>
      </w:r>
      <w:r>
        <w:rPr>
          <w:spacing w:val="20"/>
          <w:sz w:val="18"/>
        </w:rPr>
        <w:t xml:space="preserve"> </w:t>
      </w:r>
      <w:r>
        <w:rPr>
          <w:sz w:val="18"/>
        </w:rPr>
        <w:t>59; Australia's first written submission, paras. 551; 600; and 602; China's First Written Submission, paras. 1377; 1380; 1332; 1650; and 1667.</w:t>
      </w:r>
    </w:p>
    <w:p w14:paraId="6792F9F1" w14:textId="77777777" w:rsidR="00BD462C" w:rsidRDefault="00BD462C">
      <w:pPr>
        <w:rPr>
          <w:sz w:val="18"/>
        </w:rPr>
        <w:sectPr w:rsidR="00BD462C">
          <w:pgSz w:w="11910" w:h="16840"/>
          <w:pgMar w:top="860" w:right="500" w:bottom="780" w:left="1280" w:header="566" w:footer="590" w:gutter="0"/>
          <w:cols w:space="720"/>
        </w:sectPr>
      </w:pPr>
    </w:p>
    <w:p w14:paraId="0C8B7190"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5C906113"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29E905D9"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6B92178B" w14:textId="4FF9E824" w:rsidR="00BD462C" w:rsidRDefault="00A014C4">
      <w:pPr>
        <w:pStyle w:val="BodyText"/>
        <w:spacing w:before="107" w:line="357" w:lineRule="auto"/>
        <w:ind w:left="135" w:right="917" w:hanging="5"/>
        <w:jc w:val="both"/>
      </w:pPr>
      <w:r>
        <w:rPr>
          <w:noProof/>
        </w:rPr>
        <w:t>430.</w:t>
      </w:r>
      <w:r w:rsidR="00033D0F">
        <w:rPr>
          <w:rFonts w:ascii="Times New Roman"/>
          <w:spacing w:val="80"/>
          <w:w w:val="150"/>
          <w:position w:val="1"/>
          <w:sz w:val="20"/>
        </w:rPr>
        <w:t xml:space="preserve"> </w:t>
      </w:r>
      <w:r w:rsidR="00033D0F">
        <w:rPr>
          <w:position w:val="1"/>
        </w:rPr>
        <w:t>MOFCOM</w:t>
      </w:r>
      <w:r w:rsidR="00033D0F">
        <w:rPr>
          <w:spacing w:val="-3"/>
          <w:position w:val="1"/>
        </w:rPr>
        <w:t xml:space="preserve"> </w:t>
      </w:r>
      <w:r w:rsidR="00033D0F">
        <w:rPr>
          <w:position w:val="1"/>
        </w:rPr>
        <w:t>made</w:t>
      </w:r>
      <w:r w:rsidR="00033D0F">
        <w:rPr>
          <w:spacing w:val="-4"/>
          <w:position w:val="1"/>
        </w:rPr>
        <w:t xml:space="preserve"> </w:t>
      </w:r>
      <w:r w:rsidR="00033D0F">
        <w:rPr>
          <w:position w:val="1"/>
        </w:rPr>
        <w:t>fundamental</w:t>
      </w:r>
      <w:r w:rsidR="00033D0F">
        <w:rPr>
          <w:spacing w:val="-1"/>
          <w:position w:val="1"/>
        </w:rPr>
        <w:t xml:space="preserve"> </w:t>
      </w:r>
      <w:r w:rsidR="00033D0F">
        <w:rPr>
          <w:position w:val="1"/>
        </w:rPr>
        <w:t>errors</w:t>
      </w:r>
      <w:r w:rsidR="00033D0F">
        <w:rPr>
          <w:spacing w:val="-2"/>
          <w:position w:val="1"/>
        </w:rPr>
        <w:t xml:space="preserve"> </w:t>
      </w:r>
      <w:r w:rsidR="00033D0F">
        <w:rPr>
          <w:position w:val="1"/>
        </w:rPr>
        <w:t>and</w:t>
      </w:r>
      <w:r w:rsidR="00033D0F">
        <w:rPr>
          <w:spacing w:val="-1"/>
          <w:position w:val="1"/>
        </w:rPr>
        <w:t xml:space="preserve"> </w:t>
      </w:r>
      <w:r w:rsidR="00033D0F">
        <w:rPr>
          <w:position w:val="1"/>
        </w:rPr>
        <w:t>omissions</w:t>
      </w:r>
      <w:r w:rsidR="00033D0F">
        <w:rPr>
          <w:spacing w:val="-2"/>
          <w:position w:val="1"/>
        </w:rPr>
        <w:t xml:space="preserve"> </w:t>
      </w:r>
      <w:r w:rsidR="00033D0F">
        <w:rPr>
          <w:position w:val="1"/>
        </w:rPr>
        <w:t>at</w:t>
      </w:r>
      <w:r w:rsidR="00033D0F">
        <w:rPr>
          <w:spacing w:val="-3"/>
          <w:position w:val="1"/>
        </w:rPr>
        <w:t xml:space="preserve"> </w:t>
      </w:r>
      <w:r w:rsidR="00033D0F">
        <w:rPr>
          <w:position w:val="1"/>
        </w:rPr>
        <w:t>each</w:t>
      </w:r>
      <w:r w:rsidR="00033D0F">
        <w:rPr>
          <w:spacing w:val="-5"/>
          <w:position w:val="1"/>
        </w:rPr>
        <w:t xml:space="preserve"> </w:t>
      </w:r>
      <w:r w:rsidR="00033D0F">
        <w:rPr>
          <w:position w:val="1"/>
        </w:rPr>
        <w:t>stage</w:t>
      </w:r>
      <w:r w:rsidR="00033D0F">
        <w:rPr>
          <w:spacing w:val="-3"/>
          <w:position w:val="1"/>
        </w:rPr>
        <w:t xml:space="preserve"> </w:t>
      </w:r>
      <w:r w:rsidR="00033D0F">
        <w:rPr>
          <w:position w:val="1"/>
        </w:rPr>
        <w:t>of</w:t>
      </w:r>
      <w:r w:rsidR="00033D0F">
        <w:rPr>
          <w:spacing w:val="-5"/>
          <w:position w:val="1"/>
        </w:rPr>
        <w:t xml:space="preserve"> </w:t>
      </w:r>
      <w:r w:rsidR="00033D0F">
        <w:rPr>
          <w:position w:val="1"/>
        </w:rPr>
        <w:t>its</w:t>
      </w:r>
      <w:r w:rsidR="00033D0F">
        <w:rPr>
          <w:spacing w:val="-2"/>
          <w:position w:val="1"/>
        </w:rPr>
        <w:t xml:space="preserve"> </w:t>
      </w:r>
      <w:r w:rsidR="00033D0F">
        <w:rPr>
          <w:position w:val="1"/>
        </w:rPr>
        <w:t xml:space="preserve">consideration </w:t>
      </w:r>
      <w:r w:rsidR="00033D0F">
        <w:t>of</w:t>
      </w:r>
      <w:r w:rsidR="00033D0F">
        <w:rPr>
          <w:spacing w:val="-5"/>
        </w:rPr>
        <w:t xml:space="preserve"> </w:t>
      </w:r>
      <w:r w:rsidR="00033D0F">
        <w:t>price</w:t>
      </w:r>
      <w:r w:rsidR="00033D0F">
        <w:rPr>
          <w:spacing w:val="-3"/>
        </w:rPr>
        <w:t xml:space="preserve"> </w:t>
      </w:r>
      <w:r w:rsidR="00033D0F">
        <w:t>effects,</w:t>
      </w:r>
      <w:r w:rsidR="00033D0F">
        <w:rPr>
          <w:spacing w:val="-1"/>
        </w:rPr>
        <w:t xml:space="preserve"> </w:t>
      </w:r>
      <w:r w:rsidR="00033D0F">
        <w:t>such</w:t>
      </w:r>
      <w:r w:rsidR="00033D0F">
        <w:rPr>
          <w:spacing w:val="-5"/>
        </w:rPr>
        <w:t xml:space="preserve"> </w:t>
      </w:r>
      <w:r w:rsidR="00033D0F">
        <w:t>that</w:t>
      </w:r>
      <w:r w:rsidR="00033D0F">
        <w:rPr>
          <w:spacing w:val="-3"/>
        </w:rPr>
        <w:t xml:space="preserve"> </w:t>
      </w:r>
      <w:r w:rsidR="00033D0F">
        <w:t>its</w:t>
      </w:r>
      <w:r w:rsidR="00033D0F">
        <w:rPr>
          <w:spacing w:val="-2"/>
        </w:rPr>
        <w:t xml:space="preserve"> </w:t>
      </w:r>
      <w:r w:rsidR="00033D0F">
        <w:t>analysis</w:t>
      </w:r>
      <w:r w:rsidR="00033D0F">
        <w:rPr>
          <w:spacing w:val="-2"/>
        </w:rPr>
        <w:t xml:space="preserve"> </w:t>
      </w:r>
      <w:r w:rsidR="00033D0F">
        <w:t>and</w:t>
      </w:r>
      <w:r w:rsidR="00033D0F">
        <w:rPr>
          <w:spacing w:val="-5"/>
        </w:rPr>
        <w:t xml:space="preserve"> </w:t>
      </w:r>
      <w:r w:rsidR="00033D0F">
        <w:t>findings</w:t>
      </w:r>
      <w:r w:rsidR="00033D0F">
        <w:rPr>
          <w:spacing w:val="-7"/>
        </w:rPr>
        <w:t xml:space="preserve"> </w:t>
      </w:r>
      <w:r w:rsidR="00033D0F">
        <w:t>are</w:t>
      </w:r>
      <w:r w:rsidR="00033D0F">
        <w:rPr>
          <w:spacing w:val="-3"/>
        </w:rPr>
        <w:t xml:space="preserve"> </w:t>
      </w:r>
      <w:r w:rsidR="00033D0F">
        <w:t>inconsistent</w:t>
      </w:r>
      <w:r w:rsidR="00033D0F">
        <w:rPr>
          <w:spacing w:val="-3"/>
        </w:rPr>
        <w:t xml:space="preserve"> </w:t>
      </w:r>
      <w:r w:rsidR="00033D0F">
        <w:t>with</w:t>
      </w:r>
      <w:r w:rsidR="00033D0F">
        <w:rPr>
          <w:spacing w:val="-5"/>
        </w:rPr>
        <w:t xml:space="preserve"> </w:t>
      </w:r>
      <w:r w:rsidR="00033D0F">
        <w:t>Articles</w:t>
      </w:r>
      <w:r w:rsidR="00033D0F">
        <w:rPr>
          <w:spacing w:val="-2"/>
        </w:rPr>
        <w:t xml:space="preserve"> </w:t>
      </w:r>
      <w:r w:rsidR="00033D0F">
        <w:t>3.1</w:t>
      </w:r>
      <w:r w:rsidR="00033D0F">
        <w:rPr>
          <w:spacing w:val="-6"/>
        </w:rPr>
        <w:t xml:space="preserve"> </w:t>
      </w:r>
      <w:r w:rsidR="00033D0F">
        <w:t>and</w:t>
      </w:r>
      <w:r w:rsidR="00033D0F">
        <w:rPr>
          <w:spacing w:val="-5"/>
        </w:rPr>
        <w:t xml:space="preserve"> </w:t>
      </w:r>
      <w:r w:rsidR="00033D0F">
        <w:t>3.2</w:t>
      </w:r>
      <w:r w:rsidR="00033D0F">
        <w:rPr>
          <w:spacing w:val="-6"/>
        </w:rPr>
        <w:t xml:space="preserve"> </w:t>
      </w:r>
      <w:r w:rsidR="00033D0F">
        <w:t>of the Anti-Dumping Agreement. This is because:</w:t>
      </w:r>
    </w:p>
    <w:p w14:paraId="5E9E14CC" w14:textId="77777777" w:rsidR="00BD462C" w:rsidRDefault="00033D0F">
      <w:pPr>
        <w:pStyle w:val="ListParagraph"/>
        <w:numPr>
          <w:ilvl w:val="0"/>
          <w:numId w:val="2"/>
        </w:numPr>
        <w:tabs>
          <w:tab w:val="left" w:pos="1835"/>
          <w:tab w:val="left" w:pos="1836"/>
        </w:tabs>
        <w:spacing w:before="161" w:line="357" w:lineRule="auto"/>
        <w:ind w:right="921" w:hanging="855"/>
        <w:jc w:val="both"/>
        <w:rPr>
          <w:sz w:val="24"/>
        </w:rPr>
      </w:pPr>
      <w:r>
        <w:rPr>
          <w:sz w:val="24"/>
        </w:rPr>
        <w:t>first,</w:t>
      </w:r>
      <w:r>
        <w:rPr>
          <w:spacing w:val="-1"/>
          <w:sz w:val="24"/>
        </w:rPr>
        <w:t xml:space="preserve"> </w:t>
      </w:r>
      <w:r>
        <w:rPr>
          <w:sz w:val="24"/>
        </w:rPr>
        <w:t>the</w:t>
      </w:r>
      <w:r>
        <w:rPr>
          <w:spacing w:val="-4"/>
          <w:sz w:val="24"/>
        </w:rPr>
        <w:t xml:space="preserve"> </w:t>
      </w:r>
      <w:r>
        <w:rPr>
          <w:sz w:val="24"/>
        </w:rPr>
        <w:t>prices</w:t>
      </w:r>
      <w:r>
        <w:rPr>
          <w:spacing w:val="-2"/>
          <w:sz w:val="24"/>
        </w:rPr>
        <w:t xml:space="preserve"> </w:t>
      </w:r>
      <w:r>
        <w:rPr>
          <w:sz w:val="24"/>
        </w:rPr>
        <w:t>that</w:t>
      </w:r>
      <w:r>
        <w:rPr>
          <w:spacing w:val="-3"/>
          <w:sz w:val="24"/>
        </w:rPr>
        <w:t xml:space="preserve"> </w:t>
      </w:r>
      <w:r>
        <w:rPr>
          <w:sz w:val="24"/>
        </w:rPr>
        <w:t>MOFCOM</w:t>
      </w:r>
      <w:r>
        <w:rPr>
          <w:spacing w:val="-3"/>
          <w:sz w:val="24"/>
        </w:rPr>
        <w:t xml:space="preserve"> </w:t>
      </w:r>
      <w:r>
        <w:rPr>
          <w:sz w:val="24"/>
        </w:rPr>
        <w:t>calculated</w:t>
      </w:r>
      <w:r>
        <w:rPr>
          <w:spacing w:val="-5"/>
          <w:sz w:val="24"/>
        </w:rPr>
        <w:t xml:space="preserve"> </w:t>
      </w:r>
      <w:r>
        <w:rPr>
          <w:sz w:val="24"/>
        </w:rPr>
        <w:t>and</w:t>
      </w:r>
      <w:r>
        <w:rPr>
          <w:spacing w:val="-5"/>
          <w:sz w:val="24"/>
        </w:rPr>
        <w:t xml:space="preserve"> </w:t>
      </w:r>
      <w:r>
        <w:rPr>
          <w:sz w:val="24"/>
        </w:rPr>
        <w:t>compared</w:t>
      </w:r>
      <w:r>
        <w:rPr>
          <w:spacing w:val="-1"/>
          <w:sz w:val="24"/>
        </w:rPr>
        <w:t xml:space="preserve"> </w:t>
      </w:r>
      <w:r>
        <w:rPr>
          <w:sz w:val="24"/>
        </w:rPr>
        <w:t>for</w:t>
      </w:r>
      <w:r>
        <w:rPr>
          <w:spacing w:val="-1"/>
          <w:sz w:val="24"/>
        </w:rPr>
        <w:t xml:space="preserve"> </w:t>
      </w:r>
      <w:r>
        <w:rPr>
          <w:sz w:val="24"/>
        </w:rPr>
        <w:t>subject</w:t>
      </w:r>
      <w:r>
        <w:rPr>
          <w:spacing w:val="-3"/>
          <w:sz w:val="24"/>
        </w:rPr>
        <w:t xml:space="preserve"> </w:t>
      </w:r>
      <w:r>
        <w:rPr>
          <w:sz w:val="24"/>
        </w:rPr>
        <w:t xml:space="preserve">imports and domestic like products were not </w:t>
      </w:r>
      <w:proofErr w:type="gramStart"/>
      <w:r>
        <w:rPr>
          <w:sz w:val="24"/>
        </w:rPr>
        <w:t>comparable;</w:t>
      </w:r>
      <w:proofErr w:type="gramEnd"/>
    </w:p>
    <w:p w14:paraId="7190C620" w14:textId="77777777" w:rsidR="00BD462C" w:rsidRDefault="00033D0F">
      <w:pPr>
        <w:pStyle w:val="ListParagraph"/>
        <w:numPr>
          <w:ilvl w:val="0"/>
          <w:numId w:val="2"/>
        </w:numPr>
        <w:tabs>
          <w:tab w:val="left" w:pos="1835"/>
          <w:tab w:val="left" w:pos="1836"/>
        </w:tabs>
        <w:spacing w:before="122" w:line="360" w:lineRule="auto"/>
        <w:ind w:right="920" w:hanging="855"/>
        <w:jc w:val="both"/>
        <w:rPr>
          <w:sz w:val="24"/>
        </w:rPr>
      </w:pPr>
      <w:r>
        <w:rPr>
          <w:sz w:val="24"/>
        </w:rPr>
        <w:t xml:space="preserve">second, MOFCOM did not engage in any consideration of whether the margin of price suppression it identified was </w:t>
      </w:r>
      <w:proofErr w:type="gramStart"/>
      <w:r>
        <w:rPr>
          <w:sz w:val="24"/>
        </w:rPr>
        <w:t>significant;</w:t>
      </w:r>
      <w:proofErr w:type="gramEnd"/>
    </w:p>
    <w:p w14:paraId="5A0DA8AB" w14:textId="77777777" w:rsidR="00BD462C" w:rsidRDefault="00033D0F">
      <w:pPr>
        <w:pStyle w:val="ListParagraph"/>
        <w:numPr>
          <w:ilvl w:val="0"/>
          <w:numId w:val="2"/>
        </w:numPr>
        <w:tabs>
          <w:tab w:val="left" w:pos="1835"/>
          <w:tab w:val="left" w:pos="1836"/>
        </w:tabs>
        <w:spacing w:line="357" w:lineRule="auto"/>
        <w:ind w:right="916" w:hanging="855"/>
        <w:jc w:val="both"/>
        <w:rPr>
          <w:sz w:val="24"/>
        </w:rPr>
      </w:pPr>
      <w:r>
        <w:rPr>
          <w:sz w:val="24"/>
        </w:rPr>
        <w:t>third,</w:t>
      </w:r>
      <w:r>
        <w:rPr>
          <w:spacing w:val="-10"/>
          <w:sz w:val="24"/>
        </w:rPr>
        <w:t xml:space="preserve"> </w:t>
      </w:r>
      <w:r>
        <w:rPr>
          <w:sz w:val="24"/>
        </w:rPr>
        <w:t>MOFCOM's</w:t>
      </w:r>
      <w:r>
        <w:rPr>
          <w:spacing w:val="-9"/>
          <w:sz w:val="24"/>
        </w:rPr>
        <w:t xml:space="preserve"> </w:t>
      </w:r>
      <w:r>
        <w:rPr>
          <w:sz w:val="24"/>
        </w:rPr>
        <w:t>consideration</w:t>
      </w:r>
      <w:r>
        <w:rPr>
          <w:spacing w:val="-12"/>
          <w:sz w:val="24"/>
        </w:rPr>
        <w:t xml:space="preserve"> </w:t>
      </w:r>
      <w:r>
        <w:rPr>
          <w:sz w:val="24"/>
        </w:rPr>
        <w:t>of</w:t>
      </w:r>
      <w:r>
        <w:rPr>
          <w:spacing w:val="-12"/>
          <w:sz w:val="24"/>
        </w:rPr>
        <w:t xml:space="preserve"> </w:t>
      </w:r>
      <w:r>
        <w:rPr>
          <w:sz w:val="24"/>
        </w:rPr>
        <w:t>the</w:t>
      </w:r>
      <w:r>
        <w:rPr>
          <w:spacing w:val="-10"/>
          <w:sz w:val="24"/>
        </w:rPr>
        <w:t xml:space="preserve"> </w:t>
      </w:r>
      <w:r>
        <w:rPr>
          <w:sz w:val="24"/>
        </w:rPr>
        <w:t>relationship</w:t>
      </w:r>
      <w:r>
        <w:rPr>
          <w:spacing w:val="-14"/>
          <w:sz w:val="24"/>
        </w:rPr>
        <w:t xml:space="preserve"> </w:t>
      </w:r>
      <w:r>
        <w:rPr>
          <w:sz w:val="24"/>
        </w:rPr>
        <w:t>between</w:t>
      </w:r>
      <w:r>
        <w:rPr>
          <w:spacing w:val="-11"/>
          <w:sz w:val="24"/>
        </w:rPr>
        <w:t xml:space="preserve"> </w:t>
      </w:r>
      <w:r>
        <w:rPr>
          <w:sz w:val="24"/>
        </w:rPr>
        <w:t>subject</w:t>
      </w:r>
      <w:r>
        <w:rPr>
          <w:spacing w:val="-14"/>
          <w:sz w:val="24"/>
        </w:rPr>
        <w:t xml:space="preserve"> </w:t>
      </w:r>
      <w:r>
        <w:rPr>
          <w:sz w:val="24"/>
        </w:rPr>
        <w:t>imports and</w:t>
      </w:r>
      <w:r>
        <w:rPr>
          <w:spacing w:val="-1"/>
          <w:sz w:val="24"/>
        </w:rPr>
        <w:t xml:space="preserve"> </w:t>
      </w:r>
      <w:r>
        <w:rPr>
          <w:sz w:val="24"/>
        </w:rPr>
        <w:t>the suppression</w:t>
      </w:r>
      <w:r>
        <w:rPr>
          <w:spacing w:val="-1"/>
          <w:sz w:val="24"/>
        </w:rPr>
        <w:t xml:space="preserve"> </w:t>
      </w:r>
      <w:r>
        <w:rPr>
          <w:sz w:val="24"/>
        </w:rPr>
        <w:t>of domestic prices was woefully inadequate, such</w:t>
      </w:r>
      <w:r>
        <w:rPr>
          <w:spacing w:val="-1"/>
          <w:sz w:val="24"/>
        </w:rPr>
        <w:t xml:space="preserve"> </w:t>
      </w:r>
      <w:r>
        <w:rPr>
          <w:sz w:val="24"/>
        </w:rPr>
        <w:t>that it failed to establish whether subject imports in fact had any explanatory force for the price suppression at all; and</w:t>
      </w:r>
    </w:p>
    <w:p w14:paraId="590C8974" w14:textId="77777777" w:rsidR="00BD462C" w:rsidRDefault="00033D0F">
      <w:pPr>
        <w:pStyle w:val="ListParagraph"/>
        <w:numPr>
          <w:ilvl w:val="0"/>
          <w:numId w:val="2"/>
        </w:numPr>
        <w:tabs>
          <w:tab w:val="left" w:pos="1835"/>
          <w:tab w:val="left" w:pos="1836"/>
        </w:tabs>
        <w:spacing w:before="132" w:line="357" w:lineRule="auto"/>
        <w:ind w:right="921" w:hanging="855"/>
        <w:jc w:val="both"/>
        <w:rPr>
          <w:sz w:val="24"/>
        </w:rPr>
      </w:pPr>
      <w:r>
        <w:rPr>
          <w:sz w:val="24"/>
        </w:rPr>
        <w:t>fourth,</w:t>
      </w:r>
      <w:r>
        <w:rPr>
          <w:spacing w:val="-8"/>
          <w:sz w:val="24"/>
        </w:rPr>
        <w:t xml:space="preserve"> </w:t>
      </w:r>
      <w:r>
        <w:rPr>
          <w:sz w:val="24"/>
        </w:rPr>
        <w:t>the</w:t>
      </w:r>
      <w:r>
        <w:rPr>
          <w:spacing w:val="-10"/>
          <w:sz w:val="24"/>
        </w:rPr>
        <w:t xml:space="preserve"> </w:t>
      </w:r>
      <w:r>
        <w:rPr>
          <w:sz w:val="24"/>
        </w:rPr>
        <w:t>average</w:t>
      </w:r>
      <w:r>
        <w:rPr>
          <w:spacing w:val="-10"/>
          <w:sz w:val="24"/>
        </w:rPr>
        <w:t xml:space="preserve"> </w:t>
      </w:r>
      <w:r>
        <w:rPr>
          <w:sz w:val="24"/>
        </w:rPr>
        <w:t>unit</w:t>
      </w:r>
      <w:r>
        <w:rPr>
          <w:spacing w:val="-10"/>
          <w:sz w:val="24"/>
        </w:rPr>
        <w:t xml:space="preserve"> </w:t>
      </w:r>
      <w:r>
        <w:rPr>
          <w:sz w:val="24"/>
        </w:rPr>
        <w:t>values</w:t>
      </w:r>
      <w:r>
        <w:rPr>
          <w:spacing w:val="-9"/>
          <w:sz w:val="24"/>
        </w:rPr>
        <w:t xml:space="preserve"> </w:t>
      </w:r>
      <w:r>
        <w:rPr>
          <w:sz w:val="24"/>
        </w:rPr>
        <w:t>that</w:t>
      </w:r>
      <w:r>
        <w:rPr>
          <w:spacing w:val="-10"/>
          <w:sz w:val="24"/>
        </w:rPr>
        <w:t xml:space="preserve"> </w:t>
      </w:r>
      <w:r>
        <w:rPr>
          <w:sz w:val="24"/>
        </w:rPr>
        <w:t>MOFCOM</w:t>
      </w:r>
      <w:r>
        <w:rPr>
          <w:spacing w:val="-10"/>
          <w:sz w:val="24"/>
        </w:rPr>
        <w:t xml:space="preserve"> </w:t>
      </w:r>
      <w:r>
        <w:rPr>
          <w:sz w:val="24"/>
        </w:rPr>
        <w:t>calculated</w:t>
      </w:r>
      <w:r>
        <w:rPr>
          <w:spacing w:val="-12"/>
          <w:sz w:val="24"/>
        </w:rPr>
        <w:t xml:space="preserve"> </w:t>
      </w:r>
      <w:r>
        <w:rPr>
          <w:sz w:val="24"/>
        </w:rPr>
        <w:t>for</w:t>
      </w:r>
      <w:r>
        <w:rPr>
          <w:spacing w:val="-13"/>
          <w:sz w:val="24"/>
        </w:rPr>
        <w:t xml:space="preserve"> </w:t>
      </w:r>
      <w:r>
        <w:rPr>
          <w:sz w:val="24"/>
        </w:rPr>
        <w:t>subject</w:t>
      </w:r>
      <w:r>
        <w:rPr>
          <w:spacing w:val="-10"/>
          <w:sz w:val="24"/>
        </w:rPr>
        <w:t xml:space="preserve"> </w:t>
      </w:r>
      <w:r>
        <w:rPr>
          <w:sz w:val="24"/>
        </w:rPr>
        <w:t>imports and domestic like products were not based on positive evidence.</w:t>
      </w:r>
    </w:p>
    <w:p w14:paraId="5101FF1B" w14:textId="77777777" w:rsidR="00BD462C" w:rsidRDefault="00033D0F">
      <w:pPr>
        <w:pStyle w:val="Heading3"/>
        <w:numPr>
          <w:ilvl w:val="0"/>
          <w:numId w:val="40"/>
        </w:numPr>
        <w:tabs>
          <w:tab w:val="left" w:pos="2689"/>
          <w:tab w:val="left" w:pos="2690"/>
        </w:tabs>
        <w:spacing w:before="130" w:line="357" w:lineRule="auto"/>
        <w:ind w:right="916"/>
      </w:pPr>
      <w:bookmarkStart w:id="843" w:name="2._MOFCOM_calculated_and_compared_prices"/>
      <w:bookmarkStart w:id="844" w:name="_bookmark722"/>
      <w:bookmarkEnd w:id="843"/>
      <w:bookmarkEnd w:id="844"/>
      <w:r>
        <w:t xml:space="preserve">MOFCOM calculated and compared prices that were not </w:t>
      </w:r>
      <w:r>
        <w:rPr>
          <w:spacing w:val="-2"/>
        </w:rPr>
        <w:t>comparable</w:t>
      </w:r>
    </w:p>
    <w:p w14:paraId="54A49216" w14:textId="77777777" w:rsidR="00BD462C" w:rsidRDefault="00BD462C">
      <w:pPr>
        <w:pStyle w:val="BodyText"/>
        <w:spacing w:before="2"/>
        <w:rPr>
          <w:b/>
          <w:sz w:val="9"/>
        </w:rPr>
      </w:pPr>
    </w:p>
    <w:p w14:paraId="488549AE" w14:textId="55EF9E71" w:rsidR="00BD462C" w:rsidRDefault="00A014C4">
      <w:pPr>
        <w:pStyle w:val="BodyText"/>
        <w:spacing w:before="56" w:line="357" w:lineRule="auto"/>
        <w:ind w:left="135" w:right="923" w:hanging="5"/>
      </w:pPr>
      <w:r>
        <w:rPr>
          <w:noProof/>
        </w:rPr>
        <w:t>431.</w:t>
      </w:r>
      <w:r w:rsidR="00033D0F">
        <w:rPr>
          <w:rFonts w:ascii="Times New Roman"/>
          <w:spacing w:val="80"/>
          <w:w w:val="150"/>
          <w:position w:val="1"/>
          <w:sz w:val="20"/>
        </w:rPr>
        <w:t xml:space="preserve"> </w:t>
      </w:r>
      <w:r w:rsidR="00033D0F">
        <w:rPr>
          <w:position w:val="1"/>
        </w:rPr>
        <w:t>It is well-established</w:t>
      </w:r>
      <w:r w:rsidR="00033D0F">
        <w:rPr>
          <w:spacing w:val="-1"/>
          <w:position w:val="1"/>
        </w:rPr>
        <w:t xml:space="preserve"> </w:t>
      </w:r>
      <w:r w:rsidR="00033D0F">
        <w:rPr>
          <w:position w:val="1"/>
        </w:rPr>
        <w:t>that an</w:t>
      </w:r>
      <w:r w:rsidR="00033D0F">
        <w:rPr>
          <w:spacing w:val="-1"/>
          <w:position w:val="1"/>
        </w:rPr>
        <w:t xml:space="preserve"> </w:t>
      </w:r>
      <w:r w:rsidR="00033D0F">
        <w:rPr>
          <w:position w:val="1"/>
        </w:rPr>
        <w:t>investigating</w:t>
      </w:r>
      <w:r w:rsidR="00033D0F">
        <w:rPr>
          <w:spacing w:val="-2"/>
          <w:position w:val="1"/>
        </w:rPr>
        <w:t xml:space="preserve"> </w:t>
      </w:r>
      <w:r w:rsidR="00033D0F">
        <w:rPr>
          <w:position w:val="1"/>
        </w:rPr>
        <w:t xml:space="preserve">authority must ensure price comparability </w:t>
      </w:r>
      <w:r w:rsidR="00033D0F">
        <w:t xml:space="preserve">whenever it makes a price comparison during an </w:t>
      </w:r>
      <w:proofErr w:type="gramStart"/>
      <w:r w:rsidR="00033D0F">
        <w:t>Article</w:t>
      </w:r>
      <w:proofErr w:type="gramEnd"/>
      <w:r w:rsidR="00033D0F">
        <w:t xml:space="preserve"> 3.2 price effects analysis.</w:t>
      </w:r>
      <w:hyperlink w:anchor="_bookmark723" w:history="1">
        <w:r w:rsidR="00033D0F">
          <w:rPr>
            <w:vertAlign w:val="superscript"/>
          </w:rPr>
          <w:t>603</w:t>
        </w:r>
      </w:hyperlink>
    </w:p>
    <w:p w14:paraId="3C68836F" w14:textId="77777777" w:rsidR="00BD462C" w:rsidRDefault="00BD462C">
      <w:pPr>
        <w:pStyle w:val="BodyText"/>
        <w:spacing w:before="3"/>
        <w:rPr>
          <w:sz w:val="9"/>
        </w:rPr>
      </w:pPr>
    </w:p>
    <w:p w14:paraId="10871065" w14:textId="2F74BF79" w:rsidR="00BD462C" w:rsidRDefault="00A014C4">
      <w:pPr>
        <w:pStyle w:val="BodyText"/>
        <w:spacing w:before="56"/>
        <w:ind w:left="131"/>
      </w:pPr>
      <w:r>
        <w:rPr>
          <w:noProof/>
        </w:rPr>
        <w:t>432.</w:t>
      </w:r>
      <w:r w:rsidR="00033D0F">
        <w:rPr>
          <w:rFonts w:ascii="Times New Roman"/>
          <w:spacing w:val="80"/>
          <w:position w:val="1"/>
          <w:sz w:val="20"/>
        </w:rPr>
        <w:t xml:space="preserve"> </w:t>
      </w:r>
      <w:r w:rsidR="00033D0F">
        <w:rPr>
          <w:position w:val="1"/>
        </w:rPr>
        <w:t>Australia's position is that:</w:t>
      </w:r>
    </w:p>
    <w:p w14:paraId="288CA8B7" w14:textId="77777777" w:rsidR="00BD462C" w:rsidRDefault="00BD462C">
      <w:pPr>
        <w:pStyle w:val="BodyText"/>
        <w:spacing w:before="6"/>
      </w:pPr>
    </w:p>
    <w:p w14:paraId="37314CE6" w14:textId="77777777" w:rsidR="00BD462C" w:rsidRDefault="00033D0F">
      <w:pPr>
        <w:pStyle w:val="ListParagraph"/>
        <w:numPr>
          <w:ilvl w:val="0"/>
          <w:numId w:val="2"/>
        </w:numPr>
        <w:tabs>
          <w:tab w:val="left" w:pos="1835"/>
          <w:tab w:val="left" w:pos="1836"/>
        </w:tabs>
        <w:spacing w:before="0" w:line="357" w:lineRule="auto"/>
        <w:ind w:right="915" w:hanging="855"/>
        <w:jc w:val="both"/>
        <w:rPr>
          <w:sz w:val="24"/>
        </w:rPr>
      </w:pPr>
      <w:r>
        <w:rPr>
          <w:sz w:val="24"/>
        </w:rPr>
        <w:t>MOFCOM</w:t>
      </w:r>
      <w:r>
        <w:rPr>
          <w:spacing w:val="-14"/>
          <w:sz w:val="24"/>
        </w:rPr>
        <w:t xml:space="preserve"> </w:t>
      </w:r>
      <w:r>
        <w:rPr>
          <w:sz w:val="24"/>
        </w:rPr>
        <w:t>compared</w:t>
      </w:r>
      <w:r>
        <w:rPr>
          <w:spacing w:val="-14"/>
          <w:sz w:val="24"/>
        </w:rPr>
        <w:t xml:space="preserve"> </w:t>
      </w:r>
      <w:r>
        <w:rPr>
          <w:sz w:val="24"/>
        </w:rPr>
        <w:t>the</w:t>
      </w:r>
      <w:r>
        <w:rPr>
          <w:spacing w:val="-13"/>
          <w:sz w:val="24"/>
        </w:rPr>
        <w:t xml:space="preserve"> </w:t>
      </w:r>
      <w:r>
        <w:rPr>
          <w:sz w:val="24"/>
        </w:rPr>
        <w:t>average</w:t>
      </w:r>
      <w:r>
        <w:rPr>
          <w:spacing w:val="-14"/>
          <w:sz w:val="24"/>
        </w:rPr>
        <w:t xml:space="preserve"> </w:t>
      </w:r>
      <w:r>
        <w:rPr>
          <w:sz w:val="24"/>
        </w:rPr>
        <w:t>unit</w:t>
      </w:r>
      <w:r>
        <w:rPr>
          <w:spacing w:val="-13"/>
          <w:sz w:val="24"/>
        </w:rPr>
        <w:t xml:space="preserve"> </w:t>
      </w:r>
      <w:r>
        <w:rPr>
          <w:sz w:val="24"/>
        </w:rPr>
        <w:t>price</w:t>
      </w:r>
      <w:r>
        <w:rPr>
          <w:spacing w:val="-14"/>
          <w:sz w:val="24"/>
        </w:rPr>
        <w:t xml:space="preserve"> </w:t>
      </w:r>
      <w:r>
        <w:rPr>
          <w:sz w:val="24"/>
        </w:rPr>
        <w:t>of</w:t>
      </w:r>
      <w:r>
        <w:rPr>
          <w:spacing w:val="-13"/>
          <w:sz w:val="24"/>
        </w:rPr>
        <w:t xml:space="preserve"> </w:t>
      </w:r>
      <w:r>
        <w:rPr>
          <w:sz w:val="24"/>
        </w:rPr>
        <w:t>subject</w:t>
      </w:r>
      <w:r>
        <w:rPr>
          <w:spacing w:val="-14"/>
          <w:sz w:val="24"/>
        </w:rPr>
        <w:t xml:space="preserve"> </w:t>
      </w:r>
      <w:r>
        <w:rPr>
          <w:sz w:val="24"/>
        </w:rPr>
        <w:t>imports</w:t>
      </w:r>
      <w:r>
        <w:rPr>
          <w:spacing w:val="-14"/>
          <w:sz w:val="24"/>
        </w:rPr>
        <w:t xml:space="preserve"> </w:t>
      </w:r>
      <w:r>
        <w:rPr>
          <w:sz w:val="24"/>
        </w:rPr>
        <w:t>to</w:t>
      </w:r>
      <w:r>
        <w:rPr>
          <w:spacing w:val="-13"/>
          <w:sz w:val="24"/>
        </w:rPr>
        <w:t xml:space="preserve"> </w:t>
      </w:r>
      <w:r>
        <w:rPr>
          <w:sz w:val="24"/>
        </w:rPr>
        <w:t>the</w:t>
      </w:r>
      <w:r>
        <w:rPr>
          <w:spacing w:val="-14"/>
          <w:sz w:val="24"/>
        </w:rPr>
        <w:t xml:space="preserve"> </w:t>
      </w:r>
      <w:r>
        <w:rPr>
          <w:sz w:val="24"/>
        </w:rPr>
        <w:t>average unit</w:t>
      </w:r>
      <w:r>
        <w:rPr>
          <w:spacing w:val="-13"/>
          <w:sz w:val="24"/>
        </w:rPr>
        <w:t xml:space="preserve"> </w:t>
      </w:r>
      <w:r>
        <w:rPr>
          <w:sz w:val="24"/>
        </w:rPr>
        <w:t>price</w:t>
      </w:r>
      <w:r>
        <w:rPr>
          <w:spacing w:val="-13"/>
          <w:sz w:val="24"/>
        </w:rPr>
        <w:t xml:space="preserve"> </w:t>
      </w:r>
      <w:r>
        <w:rPr>
          <w:sz w:val="24"/>
        </w:rPr>
        <w:t>of</w:t>
      </w:r>
      <w:r>
        <w:rPr>
          <w:spacing w:val="-14"/>
          <w:sz w:val="24"/>
        </w:rPr>
        <w:t xml:space="preserve"> </w:t>
      </w:r>
      <w:r>
        <w:rPr>
          <w:sz w:val="24"/>
        </w:rPr>
        <w:t>domestic</w:t>
      </w:r>
      <w:r>
        <w:rPr>
          <w:spacing w:val="-13"/>
          <w:sz w:val="24"/>
        </w:rPr>
        <w:t xml:space="preserve"> </w:t>
      </w:r>
      <w:r>
        <w:rPr>
          <w:sz w:val="24"/>
        </w:rPr>
        <w:t>like</w:t>
      </w:r>
      <w:r>
        <w:rPr>
          <w:spacing w:val="-13"/>
          <w:sz w:val="24"/>
        </w:rPr>
        <w:t xml:space="preserve"> </w:t>
      </w:r>
      <w:r>
        <w:rPr>
          <w:sz w:val="24"/>
        </w:rPr>
        <w:t>products</w:t>
      </w:r>
      <w:r>
        <w:rPr>
          <w:spacing w:val="-11"/>
          <w:sz w:val="24"/>
        </w:rPr>
        <w:t xml:space="preserve"> </w:t>
      </w:r>
      <w:r>
        <w:rPr>
          <w:sz w:val="24"/>
        </w:rPr>
        <w:t>during</w:t>
      </w:r>
      <w:r>
        <w:rPr>
          <w:spacing w:val="-11"/>
          <w:sz w:val="24"/>
        </w:rPr>
        <w:t xml:space="preserve"> </w:t>
      </w:r>
      <w:r>
        <w:rPr>
          <w:sz w:val="24"/>
        </w:rPr>
        <w:t>its</w:t>
      </w:r>
      <w:r>
        <w:rPr>
          <w:spacing w:val="-11"/>
          <w:sz w:val="24"/>
        </w:rPr>
        <w:t xml:space="preserve"> </w:t>
      </w:r>
      <w:r>
        <w:rPr>
          <w:sz w:val="24"/>
        </w:rPr>
        <w:t>consideration</w:t>
      </w:r>
      <w:r>
        <w:rPr>
          <w:spacing w:val="-14"/>
          <w:sz w:val="24"/>
        </w:rPr>
        <w:t xml:space="preserve"> </w:t>
      </w:r>
      <w:r>
        <w:rPr>
          <w:sz w:val="24"/>
        </w:rPr>
        <w:t>of</w:t>
      </w:r>
      <w:r>
        <w:rPr>
          <w:spacing w:val="-9"/>
          <w:sz w:val="24"/>
        </w:rPr>
        <w:t xml:space="preserve"> </w:t>
      </w:r>
      <w:r>
        <w:rPr>
          <w:sz w:val="24"/>
        </w:rPr>
        <w:t>prices</w:t>
      </w:r>
      <w:r>
        <w:rPr>
          <w:spacing w:val="-11"/>
          <w:sz w:val="24"/>
        </w:rPr>
        <w:t xml:space="preserve"> </w:t>
      </w:r>
      <w:r>
        <w:rPr>
          <w:sz w:val="24"/>
        </w:rPr>
        <w:t>effects. As</w:t>
      </w:r>
      <w:r>
        <w:rPr>
          <w:spacing w:val="-3"/>
          <w:sz w:val="24"/>
        </w:rPr>
        <w:t xml:space="preserve"> </w:t>
      </w:r>
      <w:r>
        <w:rPr>
          <w:sz w:val="24"/>
        </w:rPr>
        <w:t>a</w:t>
      </w:r>
      <w:r>
        <w:rPr>
          <w:spacing w:val="-5"/>
          <w:sz w:val="24"/>
        </w:rPr>
        <w:t xml:space="preserve"> </w:t>
      </w:r>
      <w:r>
        <w:rPr>
          <w:sz w:val="24"/>
        </w:rPr>
        <w:t>result,</w:t>
      </w:r>
      <w:r>
        <w:rPr>
          <w:spacing w:val="-2"/>
          <w:sz w:val="24"/>
        </w:rPr>
        <w:t xml:space="preserve"> </w:t>
      </w:r>
      <w:r>
        <w:rPr>
          <w:sz w:val="24"/>
        </w:rPr>
        <w:t>MOFCOM</w:t>
      </w:r>
      <w:r>
        <w:rPr>
          <w:spacing w:val="-4"/>
          <w:sz w:val="24"/>
        </w:rPr>
        <w:t xml:space="preserve"> </w:t>
      </w:r>
      <w:r>
        <w:rPr>
          <w:sz w:val="24"/>
        </w:rPr>
        <w:t>needed</w:t>
      </w:r>
      <w:r>
        <w:rPr>
          <w:spacing w:val="-6"/>
          <w:sz w:val="24"/>
        </w:rPr>
        <w:t xml:space="preserve"> </w:t>
      </w:r>
      <w:r>
        <w:rPr>
          <w:sz w:val="24"/>
        </w:rPr>
        <w:t>to</w:t>
      </w:r>
      <w:r>
        <w:rPr>
          <w:spacing w:val="-7"/>
          <w:sz w:val="24"/>
        </w:rPr>
        <w:t xml:space="preserve"> </w:t>
      </w:r>
      <w:r>
        <w:rPr>
          <w:sz w:val="24"/>
        </w:rPr>
        <w:t>ensure</w:t>
      </w:r>
      <w:r>
        <w:rPr>
          <w:spacing w:val="-4"/>
          <w:sz w:val="24"/>
        </w:rPr>
        <w:t xml:space="preserve"> </w:t>
      </w:r>
      <w:r>
        <w:rPr>
          <w:sz w:val="24"/>
        </w:rPr>
        <w:t>that</w:t>
      </w:r>
      <w:r>
        <w:rPr>
          <w:spacing w:val="-4"/>
          <w:sz w:val="24"/>
        </w:rPr>
        <w:t xml:space="preserve"> </w:t>
      </w:r>
      <w:r>
        <w:rPr>
          <w:sz w:val="24"/>
        </w:rPr>
        <w:t>these</w:t>
      </w:r>
      <w:r>
        <w:rPr>
          <w:spacing w:val="-9"/>
          <w:sz w:val="24"/>
        </w:rPr>
        <w:t xml:space="preserve"> </w:t>
      </w:r>
      <w:r>
        <w:rPr>
          <w:sz w:val="24"/>
        </w:rPr>
        <w:t>prices</w:t>
      </w:r>
      <w:r>
        <w:rPr>
          <w:spacing w:val="-3"/>
          <w:sz w:val="24"/>
        </w:rPr>
        <w:t xml:space="preserve"> </w:t>
      </w:r>
      <w:r>
        <w:rPr>
          <w:sz w:val="24"/>
        </w:rPr>
        <w:t>were</w:t>
      </w:r>
      <w:r>
        <w:rPr>
          <w:spacing w:val="-4"/>
          <w:sz w:val="24"/>
        </w:rPr>
        <w:t xml:space="preserve"> </w:t>
      </w:r>
      <w:r>
        <w:rPr>
          <w:sz w:val="24"/>
        </w:rPr>
        <w:t xml:space="preserve">comparable; </w:t>
      </w:r>
      <w:r>
        <w:rPr>
          <w:spacing w:val="-4"/>
          <w:sz w:val="24"/>
        </w:rPr>
        <w:t>and</w:t>
      </w:r>
    </w:p>
    <w:p w14:paraId="795FD3EA" w14:textId="77777777" w:rsidR="00BD462C" w:rsidRDefault="00033D0F">
      <w:pPr>
        <w:pStyle w:val="ListParagraph"/>
        <w:numPr>
          <w:ilvl w:val="0"/>
          <w:numId w:val="2"/>
        </w:numPr>
        <w:tabs>
          <w:tab w:val="left" w:pos="1835"/>
          <w:tab w:val="left" w:pos="1836"/>
        </w:tabs>
        <w:spacing w:before="127" w:line="360" w:lineRule="auto"/>
        <w:ind w:right="915" w:hanging="855"/>
        <w:jc w:val="both"/>
        <w:rPr>
          <w:sz w:val="24"/>
        </w:rPr>
      </w:pPr>
      <w:r>
        <w:rPr>
          <w:sz w:val="24"/>
        </w:rPr>
        <w:t>MOFCOM</w:t>
      </w:r>
      <w:r>
        <w:rPr>
          <w:spacing w:val="-11"/>
          <w:sz w:val="24"/>
        </w:rPr>
        <w:t xml:space="preserve"> </w:t>
      </w:r>
      <w:r>
        <w:rPr>
          <w:sz w:val="24"/>
        </w:rPr>
        <w:t>failed</w:t>
      </w:r>
      <w:r>
        <w:rPr>
          <w:spacing w:val="-14"/>
          <w:sz w:val="24"/>
        </w:rPr>
        <w:t xml:space="preserve"> </w:t>
      </w:r>
      <w:r>
        <w:rPr>
          <w:sz w:val="24"/>
        </w:rPr>
        <w:t>to</w:t>
      </w:r>
      <w:r>
        <w:rPr>
          <w:spacing w:val="-13"/>
          <w:sz w:val="24"/>
        </w:rPr>
        <w:t xml:space="preserve"> </w:t>
      </w:r>
      <w:r>
        <w:rPr>
          <w:sz w:val="24"/>
        </w:rPr>
        <w:t>ensure</w:t>
      </w:r>
      <w:r>
        <w:rPr>
          <w:spacing w:val="-7"/>
          <w:sz w:val="24"/>
        </w:rPr>
        <w:t xml:space="preserve"> </w:t>
      </w:r>
      <w:r>
        <w:rPr>
          <w:sz w:val="24"/>
        </w:rPr>
        <w:t>price</w:t>
      </w:r>
      <w:r>
        <w:rPr>
          <w:spacing w:val="-12"/>
          <w:sz w:val="24"/>
        </w:rPr>
        <w:t xml:space="preserve"> </w:t>
      </w:r>
      <w:r>
        <w:rPr>
          <w:sz w:val="24"/>
        </w:rPr>
        <w:t>comparability</w:t>
      </w:r>
      <w:r>
        <w:rPr>
          <w:spacing w:val="-11"/>
          <w:sz w:val="24"/>
        </w:rPr>
        <w:t xml:space="preserve"> </w:t>
      </w:r>
      <w:r>
        <w:rPr>
          <w:sz w:val="24"/>
        </w:rPr>
        <w:t>in</w:t>
      </w:r>
      <w:r>
        <w:rPr>
          <w:spacing w:val="-14"/>
          <w:sz w:val="24"/>
        </w:rPr>
        <w:t xml:space="preserve"> </w:t>
      </w:r>
      <w:r>
        <w:rPr>
          <w:sz w:val="24"/>
        </w:rPr>
        <w:t>the</w:t>
      </w:r>
      <w:r>
        <w:rPr>
          <w:spacing w:val="-11"/>
          <w:sz w:val="24"/>
        </w:rPr>
        <w:t xml:space="preserve"> </w:t>
      </w:r>
      <w:r>
        <w:rPr>
          <w:sz w:val="24"/>
        </w:rPr>
        <w:t>average</w:t>
      </w:r>
      <w:r>
        <w:rPr>
          <w:spacing w:val="-12"/>
          <w:sz w:val="24"/>
        </w:rPr>
        <w:t xml:space="preserve"> </w:t>
      </w:r>
      <w:r>
        <w:rPr>
          <w:sz w:val="24"/>
        </w:rPr>
        <w:t>unit</w:t>
      </w:r>
      <w:r>
        <w:rPr>
          <w:spacing w:val="-11"/>
          <w:sz w:val="24"/>
        </w:rPr>
        <w:t xml:space="preserve"> </w:t>
      </w:r>
      <w:r>
        <w:rPr>
          <w:sz w:val="24"/>
        </w:rPr>
        <w:t>prices</w:t>
      </w:r>
      <w:r>
        <w:rPr>
          <w:spacing w:val="-10"/>
          <w:sz w:val="24"/>
        </w:rPr>
        <w:t xml:space="preserve"> </w:t>
      </w:r>
      <w:r>
        <w:rPr>
          <w:sz w:val="24"/>
        </w:rPr>
        <w:t>that MOFCOM</w:t>
      </w:r>
      <w:r>
        <w:rPr>
          <w:spacing w:val="-14"/>
          <w:sz w:val="24"/>
        </w:rPr>
        <w:t xml:space="preserve"> </w:t>
      </w:r>
      <w:r>
        <w:rPr>
          <w:sz w:val="24"/>
        </w:rPr>
        <w:t>calculated</w:t>
      </w:r>
      <w:r>
        <w:rPr>
          <w:spacing w:val="-14"/>
          <w:sz w:val="24"/>
        </w:rPr>
        <w:t xml:space="preserve"> </w:t>
      </w:r>
      <w:r>
        <w:rPr>
          <w:sz w:val="24"/>
        </w:rPr>
        <w:t>for</w:t>
      </w:r>
      <w:r>
        <w:rPr>
          <w:spacing w:val="-14"/>
          <w:sz w:val="24"/>
        </w:rPr>
        <w:t xml:space="preserve"> </w:t>
      </w:r>
      <w:r>
        <w:rPr>
          <w:sz w:val="24"/>
        </w:rPr>
        <w:t>subject</w:t>
      </w:r>
      <w:r>
        <w:rPr>
          <w:spacing w:val="-13"/>
          <w:sz w:val="24"/>
        </w:rPr>
        <w:t xml:space="preserve"> </w:t>
      </w:r>
      <w:r>
        <w:rPr>
          <w:sz w:val="24"/>
        </w:rPr>
        <w:t>imports</w:t>
      </w:r>
      <w:r>
        <w:rPr>
          <w:spacing w:val="-14"/>
          <w:sz w:val="24"/>
        </w:rPr>
        <w:t xml:space="preserve"> </w:t>
      </w:r>
      <w:r>
        <w:rPr>
          <w:sz w:val="24"/>
        </w:rPr>
        <w:t>and</w:t>
      </w:r>
      <w:r>
        <w:rPr>
          <w:spacing w:val="-13"/>
          <w:sz w:val="24"/>
        </w:rPr>
        <w:t xml:space="preserve"> </w:t>
      </w:r>
      <w:r>
        <w:rPr>
          <w:sz w:val="24"/>
        </w:rPr>
        <w:t>domestic</w:t>
      </w:r>
      <w:r>
        <w:rPr>
          <w:spacing w:val="-14"/>
          <w:sz w:val="24"/>
        </w:rPr>
        <w:t xml:space="preserve"> </w:t>
      </w:r>
      <w:r>
        <w:rPr>
          <w:sz w:val="24"/>
        </w:rPr>
        <w:t>like</w:t>
      </w:r>
      <w:r>
        <w:rPr>
          <w:spacing w:val="-13"/>
          <w:sz w:val="24"/>
        </w:rPr>
        <w:t xml:space="preserve"> </w:t>
      </w:r>
      <w:r>
        <w:rPr>
          <w:sz w:val="24"/>
        </w:rPr>
        <w:t>products</w:t>
      </w:r>
      <w:r>
        <w:rPr>
          <w:spacing w:val="-14"/>
          <w:sz w:val="24"/>
        </w:rPr>
        <w:t xml:space="preserve"> </w:t>
      </w:r>
      <w:r>
        <w:rPr>
          <w:sz w:val="24"/>
        </w:rPr>
        <w:t>because</w:t>
      </w:r>
    </w:p>
    <w:p w14:paraId="6C51B955" w14:textId="77777777" w:rsidR="00BD462C" w:rsidRDefault="00BD462C">
      <w:pPr>
        <w:pStyle w:val="BodyText"/>
        <w:rPr>
          <w:sz w:val="20"/>
        </w:rPr>
      </w:pPr>
    </w:p>
    <w:p w14:paraId="163FDF80" w14:textId="77777777" w:rsidR="00BD462C" w:rsidRDefault="00BD462C">
      <w:pPr>
        <w:pStyle w:val="BodyText"/>
        <w:rPr>
          <w:sz w:val="20"/>
        </w:rPr>
      </w:pPr>
    </w:p>
    <w:p w14:paraId="2B6E0173" w14:textId="77777777" w:rsidR="00BD462C" w:rsidRDefault="00BD462C">
      <w:pPr>
        <w:pStyle w:val="BodyText"/>
        <w:rPr>
          <w:sz w:val="20"/>
        </w:rPr>
      </w:pPr>
    </w:p>
    <w:p w14:paraId="363A6B59" w14:textId="1E6C301B" w:rsidR="00BD462C" w:rsidRDefault="00D70C7D">
      <w:pPr>
        <w:pStyle w:val="BodyText"/>
        <w:spacing w:before="11"/>
        <w:rPr>
          <w:sz w:val="25"/>
        </w:rPr>
      </w:pPr>
      <w:r>
        <w:rPr>
          <w:noProof/>
        </w:rPr>
        <mc:AlternateContent>
          <mc:Choice Requires="wps">
            <w:drawing>
              <wp:anchor distT="0" distB="0" distL="0" distR="0" simplePos="0" relativeHeight="487760384" behindDoc="1" locked="0" layoutInCell="1" allowOverlap="1" wp14:anchorId="4E8493DF" wp14:editId="26B055C4">
                <wp:simplePos x="0" y="0"/>
                <wp:positionH relativeFrom="page">
                  <wp:posOffset>899160</wp:posOffset>
                </wp:positionH>
                <wp:positionV relativeFrom="paragraph">
                  <wp:posOffset>215900</wp:posOffset>
                </wp:positionV>
                <wp:extent cx="1828800" cy="8890"/>
                <wp:effectExtent l="0" t="0" r="0" b="0"/>
                <wp:wrapTopAndBottom/>
                <wp:docPr id="668" name="docshape3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DAA3AD" id="docshape385" o:spid="_x0000_s1026" alt="&quot;&quot;" style="position:absolute;margin-left:70.8pt;margin-top:17pt;width:2in;height:.7pt;z-index:-15556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" fillcolor="black" stroked="f">
                <w10:wrap type="topAndBottom" anchorx="page"/>
              </v:rect>
            </w:pict>
          </mc:Fallback>
        </mc:AlternateContent>
      </w:r>
    </w:p>
    <w:p w14:paraId="7A35159D" w14:textId="77777777" w:rsidR="00BD462C" w:rsidRDefault="00033D0F">
      <w:pPr>
        <w:spacing w:before="112"/>
        <w:ind w:left="136" w:right="923" w:hanging="1"/>
        <w:rPr>
          <w:i/>
          <w:sz w:val="18"/>
        </w:rPr>
      </w:pPr>
      <w:bookmarkStart w:id="845" w:name="_bookmark723"/>
      <w:bookmarkEnd w:id="845"/>
      <w:r>
        <w:rPr>
          <w:position w:val="5"/>
          <w:sz w:val="12"/>
        </w:rPr>
        <w:t>603</w:t>
      </w:r>
      <w:r>
        <w:rPr>
          <w:spacing w:val="37"/>
          <w:position w:val="5"/>
          <w:sz w:val="12"/>
        </w:rPr>
        <w:t xml:space="preserve"> </w:t>
      </w:r>
      <w:r>
        <w:rPr>
          <w:sz w:val="18"/>
        </w:rPr>
        <w:t xml:space="preserve">Appellate Body Reports, </w:t>
      </w:r>
      <w:r>
        <w:rPr>
          <w:i/>
          <w:sz w:val="18"/>
        </w:rPr>
        <w:t>Korea – Pneumatic</w:t>
      </w:r>
      <w:r>
        <w:rPr>
          <w:i/>
          <w:spacing w:val="-1"/>
          <w:sz w:val="18"/>
        </w:rPr>
        <w:t xml:space="preserve"> </w:t>
      </w:r>
      <w:r>
        <w:rPr>
          <w:i/>
          <w:sz w:val="18"/>
        </w:rPr>
        <w:t>Valves</w:t>
      </w:r>
      <w:r>
        <w:rPr>
          <w:sz w:val="18"/>
        </w:rPr>
        <w:t>, para. 5.323, C</w:t>
      </w:r>
      <w:r>
        <w:rPr>
          <w:i/>
          <w:sz w:val="18"/>
        </w:rPr>
        <w:t>hina – GOES</w:t>
      </w:r>
      <w:r>
        <w:rPr>
          <w:sz w:val="18"/>
        </w:rPr>
        <w:t xml:space="preserve">, para. 200; Panel Reports, </w:t>
      </w:r>
      <w:r>
        <w:rPr>
          <w:i/>
          <w:sz w:val="18"/>
        </w:rPr>
        <w:t>Korea – Pneumatic</w:t>
      </w:r>
      <w:r>
        <w:rPr>
          <w:i/>
          <w:spacing w:val="-8"/>
          <w:sz w:val="18"/>
        </w:rPr>
        <w:t xml:space="preserve"> </w:t>
      </w:r>
      <w:r>
        <w:rPr>
          <w:i/>
          <w:sz w:val="18"/>
        </w:rPr>
        <w:t>Valves</w:t>
      </w:r>
      <w:r>
        <w:rPr>
          <w:i/>
          <w:spacing w:val="-3"/>
          <w:sz w:val="18"/>
        </w:rPr>
        <w:t xml:space="preserve"> </w:t>
      </w:r>
      <w:r>
        <w:rPr>
          <w:i/>
          <w:sz w:val="18"/>
        </w:rPr>
        <w:t>(Japan)</w:t>
      </w:r>
      <w:r>
        <w:rPr>
          <w:sz w:val="18"/>
        </w:rPr>
        <w:t>,</w:t>
      </w:r>
      <w:r>
        <w:rPr>
          <w:spacing w:val="-1"/>
          <w:sz w:val="18"/>
        </w:rPr>
        <w:t xml:space="preserve"> </w:t>
      </w:r>
      <w:r>
        <w:rPr>
          <w:sz w:val="18"/>
        </w:rPr>
        <w:t>para.</w:t>
      </w:r>
      <w:r>
        <w:rPr>
          <w:spacing w:val="-2"/>
          <w:sz w:val="18"/>
        </w:rPr>
        <w:t xml:space="preserve"> </w:t>
      </w:r>
      <w:r>
        <w:rPr>
          <w:sz w:val="18"/>
        </w:rPr>
        <w:t>7.266;</w:t>
      </w:r>
      <w:r>
        <w:rPr>
          <w:spacing w:val="-5"/>
          <w:sz w:val="18"/>
        </w:rPr>
        <w:t xml:space="preserve"> </w:t>
      </w:r>
      <w:r>
        <w:rPr>
          <w:i/>
          <w:sz w:val="18"/>
        </w:rPr>
        <w:t>China</w:t>
      </w:r>
      <w:r>
        <w:rPr>
          <w:i/>
          <w:spacing w:val="-2"/>
          <w:sz w:val="18"/>
        </w:rPr>
        <w:t xml:space="preserve"> </w:t>
      </w:r>
      <w:r>
        <w:rPr>
          <w:i/>
          <w:sz w:val="18"/>
        </w:rPr>
        <w:t>–</w:t>
      </w:r>
      <w:r>
        <w:rPr>
          <w:i/>
          <w:spacing w:val="-3"/>
          <w:sz w:val="18"/>
        </w:rPr>
        <w:t xml:space="preserve"> </w:t>
      </w:r>
      <w:r>
        <w:rPr>
          <w:i/>
          <w:sz w:val="18"/>
        </w:rPr>
        <w:t>X-Ray</w:t>
      </w:r>
      <w:r>
        <w:rPr>
          <w:i/>
          <w:spacing w:val="-4"/>
          <w:sz w:val="18"/>
        </w:rPr>
        <w:t xml:space="preserve"> </w:t>
      </w:r>
      <w:r>
        <w:rPr>
          <w:i/>
          <w:sz w:val="18"/>
        </w:rPr>
        <w:t>Equipment</w:t>
      </w:r>
      <w:r>
        <w:rPr>
          <w:sz w:val="18"/>
        </w:rPr>
        <w:t>,</w:t>
      </w:r>
      <w:r>
        <w:rPr>
          <w:spacing w:val="-1"/>
          <w:sz w:val="18"/>
        </w:rPr>
        <w:t xml:space="preserve"> </w:t>
      </w:r>
      <w:r>
        <w:rPr>
          <w:sz w:val="18"/>
        </w:rPr>
        <w:t>para. 7.68;</w:t>
      </w:r>
      <w:r>
        <w:rPr>
          <w:spacing w:val="-5"/>
          <w:sz w:val="18"/>
        </w:rPr>
        <w:t xml:space="preserve"> </w:t>
      </w:r>
      <w:r>
        <w:rPr>
          <w:i/>
          <w:sz w:val="18"/>
        </w:rPr>
        <w:t>Pakistan</w:t>
      </w:r>
      <w:r>
        <w:rPr>
          <w:i/>
          <w:spacing w:val="-2"/>
          <w:sz w:val="18"/>
        </w:rPr>
        <w:t xml:space="preserve"> </w:t>
      </w:r>
      <w:r>
        <w:rPr>
          <w:i/>
          <w:sz w:val="18"/>
        </w:rPr>
        <w:t>–</w:t>
      </w:r>
      <w:r>
        <w:rPr>
          <w:i/>
          <w:spacing w:val="-3"/>
          <w:sz w:val="18"/>
        </w:rPr>
        <w:t xml:space="preserve"> </w:t>
      </w:r>
      <w:r>
        <w:rPr>
          <w:i/>
          <w:sz w:val="18"/>
        </w:rPr>
        <w:t>BOPP Film</w:t>
      </w:r>
      <w:r>
        <w:rPr>
          <w:i/>
          <w:spacing w:val="-4"/>
          <w:sz w:val="18"/>
        </w:rPr>
        <w:t xml:space="preserve"> </w:t>
      </w:r>
      <w:r>
        <w:rPr>
          <w:i/>
          <w:sz w:val="18"/>
        </w:rPr>
        <w:t>(UAE)</w:t>
      </w:r>
      <w:r>
        <w:rPr>
          <w:sz w:val="18"/>
        </w:rPr>
        <w:t>, para. 7.309;</w:t>
      </w:r>
      <w:r>
        <w:rPr>
          <w:spacing w:val="-5"/>
          <w:sz w:val="18"/>
        </w:rPr>
        <w:t xml:space="preserve"> </w:t>
      </w:r>
      <w:r>
        <w:rPr>
          <w:i/>
          <w:sz w:val="18"/>
        </w:rPr>
        <w:t>China</w:t>
      </w:r>
    </w:p>
    <w:p w14:paraId="618B1188" w14:textId="77777777" w:rsidR="00BD462C" w:rsidRDefault="00033D0F">
      <w:pPr>
        <w:spacing w:before="2"/>
        <w:ind w:left="136"/>
        <w:rPr>
          <w:sz w:val="18"/>
        </w:rPr>
      </w:pPr>
      <w:r>
        <w:rPr>
          <w:i/>
          <w:sz w:val="18"/>
        </w:rPr>
        <w:t>-</w:t>
      </w:r>
      <w:r>
        <w:rPr>
          <w:i/>
          <w:spacing w:val="2"/>
          <w:sz w:val="18"/>
        </w:rPr>
        <w:t xml:space="preserve"> </w:t>
      </w:r>
      <w:r>
        <w:rPr>
          <w:i/>
          <w:sz w:val="18"/>
        </w:rPr>
        <w:t>Autos</w:t>
      </w:r>
      <w:r>
        <w:rPr>
          <w:i/>
          <w:spacing w:val="-4"/>
          <w:sz w:val="18"/>
        </w:rPr>
        <w:t xml:space="preserve"> </w:t>
      </w:r>
      <w:r>
        <w:rPr>
          <w:i/>
          <w:sz w:val="18"/>
        </w:rPr>
        <w:t>(US),</w:t>
      </w:r>
      <w:r>
        <w:rPr>
          <w:i/>
          <w:spacing w:val="-1"/>
          <w:sz w:val="18"/>
        </w:rPr>
        <w:t xml:space="preserve"> </w:t>
      </w:r>
      <w:r>
        <w:rPr>
          <w:sz w:val="18"/>
        </w:rPr>
        <w:t>para.</w:t>
      </w:r>
      <w:r>
        <w:rPr>
          <w:spacing w:val="-2"/>
          <w:sz w:val="18"/>
        </w:rPr>
        <w:t xml:space="preserve"> 7.277.</w:t>
      </w:r>
    </w:p>
    <w:p w14:paraId="2F2C8505" w14:textId="77777777" w:rsidR="00BD462C" w:rsidRDefault="00BD462C">
      <w:pPr>
        <w:rPr>
          <w:sz w:val="18"/>
        </w:rPr>
        <w:sectPr w:rsidR="00BD462C">
          <w:pgSz w:w="11910" w:h="16840"/>
          <w:pgMar w:top="860" w:right="500" w:bottom="780" w:left="1280" w:header="566" w:footer="590" w:gutter="0"/>
          <w:cols w:space="720"/>
        </w:sectPr>
      </w:pPr>
    </w:p>
    <w:p w14:paraId="59F7D8E5"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1448BF5B"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45E1CAB1"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0229D0D4" w14:textId="77777777" w:rsidR="00BD462C" w:rsidRDefault="00033D0F">
      <w:pPr>
        <w:pStyle w:val="BodyText"/>
        <w:spacing w:before="102" w:line="357" w:lineRule="auto"/>
        <w:ind w:left="1840" w:right="910"/>
      </w:pPr>
      <w:r>
        <w:t>it failed to account for differences in level of trade, conditions of sale and product mix.</w:t>
      </w:r>
    </w:p>
    <w:p w14:paraId="193D1768" w14:textId="170BDE5B" w:rsidR="00BD462C" w:rsidRDefault="00A014C4">
      <w:pPr>
        <w:pStyle w:val="BodyText"/>
        <w:spacing w:before="130" w:line="355" w:lineRule="auto"/>
        <w:ind w:left="135" w:right="923" w:hanging="5"/>
      </w:pPr>
      <w:r>
        <w:rPr>
          <w:noProof/>
        </w:rPr>
        <w:t>433.</w:t>
      </w:r>
      <w:r w:rsidR="00033D0F">
        <w:rPr>
          <w:rFonts w:ascii="Times New Roman"/>
          <w:spacing w:val="80"/>
          <w:position w:val="1"/>
          <w:sz w:val="20"/>
        </w:rPr>
        <w:t xml:space="preserve"> </w:t>
      </w:r>
      <w:r w:rsidR="00033D0F">
        <w:rPr>
          <w:position w:val="1"/>
        </w:rPr>
        <w:t>The</w:t>
      </w:r>
      <w:r w:rsidR="00033D0F">
        <w:rPr>
          <w:spacing w:val="40"/>
          <w:position w:val="1"/>
        </w:rPr>
        <w:t xml:space="preserve"> </w:t>
      </w:r>
      <w:r w:rsidR="00033D0F">
        <w:rPr>
          <w:position w:val="1"/>
        </w:rPr>
        <w:t>effect</w:t>
      </w:r>
      <w:r w:rsidR="00033D0F">
        <w:rPr>
          <w:spacing w:val="40"/>
          <w:position w:val="1"/>
        </w:rPr>
        <w:t xml:space="preserve"> </w:t>
      </w:r>
      <w:r w:rsidR="00033D0F">
        <w:rPr>
          <w:position w:val="1"/>
        </w:rPr>
        <w:t>of</w:t>
      </w:r>
      <w:r w:rsidR="00033D0F">
        <w:rPr>
          <w:spacing w:val="40"/>
          <w:position w:val="1"/>
        </w:rPr>
        <w:t xml:space="preserve"> </w:t>
      </w:r>
      <w:r w:rsidR="00033D0F">
        <w:rPr>
          <w:position w:val="1"/>
        </w:rPr>
        <w:t>this</w:t>
      </w:r>
      <w:r w:rsidR="00033D0F">
        <w:rPr>
          <w:spacing w:val="61"/>
          <w:position w:val="1"/>
        </w:rPr>
        <w:t xml:space="preserve"> </w:t>
      </w:r>
      <w:r w:rsidR="00033D0F">
        <w:rPr>
          <w:position w:val="1"/>
        </w:rPr>
        <w:t>is</w:t>
      </w:r>
      <w:r w:rsidR="00033D0F">
        <w:rPr>
          <w:spacing w:val="61"/>
          <w:position w:val="1"/>
        </w:rPr>
        <w:t xml:space="preserve"> </w:t>
      </w:r>
      <w:r w:rsidR="00033D0F">
        <w:rPr>
          <w:position w:val="1"/>
        </w:rPr>
        <w:t>that</w:t>
      </w:r>
      <w:r w:rsidR="00033D0F">
        <w:rPr>
          <w:spacing w:val="40"/>
          <w:position w:val="1"/>
        </w:rPr>
        <w:t xml:space="preserve"> </w:t>
      </w:r>
      <w:r w:rsidR="00033D0F">
        <w:rPr>
          <w:position w:val="1"/>
        </w:rPr>
        <w:t>MOFCOM's</w:t>
      </w:r>
      <w:r w:rsidR="00033D0F">
        <w:rPr>
          <w:spacing w:val="61"/>
          <w:position w:val="1"/>
        </w:rPr>
        <w:t xml:space="preserve"> </w:t>
      </w:r>
      <w:r w:rsidR="00033D0F">
        <w:rPr>
          <w:position w:val="1"/>
        </w:rPr>
        <w:t>price</w:t>
      </w:r>
      <w:r w:rsidR="00033D0F">
        <w:rPr>
          <w:spacing w:val="40"/>
          <w:position w:val="1"/>
        </w:rPr>
        <w:t xml:space="preserve"> </w:t>
      </w:r>
      <w:r w:rsidR="00033D0F">
        <w:rPr>
          <w:position w:val="1"/>
        </w:rPr>
        <w:t>effects</w:t>
      </w:r>
      <w:r w:rsidR="00033D0F">
        <w:rPr>
          <w:spacing w:val="61"/>
          <w:position w:val="1"/>
        </w:rPr>
        <w:t xml:space="preserve"> </w:t>
      </w:r>
      <w:r w:rsidR="00033D0F">
        <w:rPr>
          <w:position w:val="1"/>
        </w:rPr>
        <w:t>analysis</w:t>
      </w:r>
      <w:r w:rsidR="00033D0F">
        <w:rPr>
          <w:spacing w:val="61"/>
          <w:position w:val="1"/>
        </w:rPr>
        <w:t xml:space="preserve"> </w:t>
      </w:r>
      <w:r w:rsidR="00033D0F">
        <w:rPr>
          <w:position w:val="1"/>
        </w:rPr>
        <w:t>is</w:t>
      </w:r>
      <w:r w:rsidR="00033D0F">
        <w:rPr>
          <w:spacing w:val="40"/>
          <w:position w:val="1"/>
        </w:rPr>
        <w:t xml:space="preserve"> </w:t>
      </w:r>
      <w:r w:rsidR="00033D0F">
        <w:rPr>
          <w:position w:val="1"/>
        </w:rPr>
        <w:t>inconsistent</w:t>
      </w:r>
      <w:r w:rsidR="00033D0F">
        <w:rPr>
          <w:spacing w:val="40"/>
          <w:position w:val="1"/>
        </w:rPr>
        <w:t xml:space="preserve"> </w:t>
      </w:r>
      <w:r w:rsidR="00033D0F">
        <w:rPr>
          <w:position w:val="1"/>
        </w:rPr>
        <w:t xml:space="preserve">with </w:t>
      </w:r>
      <w:r w:rsidR="00033D0F">
        <w:t>Articles 3.1 and 3.2 of the Anti-Dumping Agreement.</w:t>
      </w:r>
    </w:p>
    <w:p w14:paraId="57B7A1B6" w14:textId="77777777" w:rsidR="00BD462C" w:rsidRDefault="00033D0F">
      <w:pPr>
        <w:pStyle w:val="ListParagraph"/>
        <w:numPr>
          <w:ilvl w:val="0"/>
          <w:numId w:val="55"/>
        </w:numPr>
        <w:tabs>
          <w:tab w:val="left" w:pos="3539"/>
          <w:tab w:val="left" w:pos="3540"/>
        </w:tabs>
        <w:spacing w:before="165" w:line="362" w:lineRule="auto"/>
        <w:ind w:right="921"/>
        <w:rPr>
          <w:sz w:val="24"/>
        </w:rPr>
      </w:pPr>
      <w:bookmarkStart w:id="846" w:name="(a)_MOFCOM_compared_the_price_of_subject"/>
      <w:bookmarkEnd w:id="846"/>
      <w:r>
        <w:rPr>
          <w:sz w:val="24"/>
          <w:u w:val="single"/>
        </w:rPr>
        <w:t>MOFCOM</w:t>
      </w:r>
      <w:r>
        <w:rPr>
          <w:spacing w:val="29"/>
          <w:sz w:val="24"/>
          <w:u w:val="single"/>
        </w:rPr>
        <w:t xml:space="preserve"> </w:t>
      </w:r>
      <w:r>
        <w:rPr>
          <w:sz w:val="24"/>
          <w:u w:val="single"/>
        </w:rPr>
        <w:t>compared</w:t>
      </w:r>
      <w:r>
        <w:rPr>
          <w:spacing w:val="26"/>
          <w:sz w:val="24"/>
          <w:u w:val="single"/>
        </w:rPr>
        <w:t xml:space="preserve"> </w:t>
      </w:r>
      <w:r>
        <w:rPr>
          <w:sz w:val="24"/>
          <w:u w:val="single"/>
        </w:rPr>
        <w:t>the</w:t>
      </w:r>
      <w:r>
        <w:rPr>
          <w:spacing w:val="32"/>
          <w:sz w:val="24"/>
          <w:u w:val="single"/>
        </w:rPr>
        <w:t xml:space="preserve"> </w:t>
      </w:r>
      <w:r>
        <w:rPr>
          <w:sz w:val="24"/>
          <w:u w:val="single"/>
        </w:rPr>
        <w:t>price</w:t>
      </w:r>
      <w:r>
        <w:rPr>
          <w:spacing w:val="28"/>
          <w:sz w:val="24"/>
          <w:u w:val="single"/>
        </w:rPr>
        <w:t xml:space="preserve"> </w:t>
      </w:r>
      <w:r>
        <w:rPr>
          <w:sz w:val="24"/>
          <w:u w:val="single"/>
        </w:rPr>
        <w:t>of</w:t>
      </w:r>
      <w:r>
        <w:rPr>
          <w:spacing w:val="31"/>
          <w:sz w:val="24"/>
          <w:u w:val="single"/>
        </w:rPr>
        <w:t xml:space="preserve"> </w:t>
      </w:r>
      <w:r>
        <w:rPr>
          <w:sz w:val="24"/>
          <w:u w:val="single"/>
        </w:rPr>
        <w:t>subject</w:t>
      </w:r>
      <w:r>
        <w:rPr>
          <w:spacing w:val="29"/>
          <w:sz w:val="24"/>
          <w:u w:val="single"/>
        </w:rPr>
        <w:t xml:space="preserve"> </w:t>
      </w:r>
      <w:r>
        <w:rPr>
          <w:sz w:val="24"/>
          <w:u w:val="single"/>
        </w:rPr>
        <w:t>imports</w:t>
      </w:r>
      <w:r>
        <w:rPr>
          <w:spacing w:val="30"/>
          <w:sz w:val="24"/>
          <w:u w:val="single"/>
        </w:rPr>
        <w:t xml:space="preserve"> </w:t>
      </w:r>
      <w:r>
        <w:rPr>
          <w:sz w:val="24"/>
          <w:u w:val="single"/>
        </w:rPr>
        <w:t>to</w:t>
      </w:r>
      <w:r>
        <w:rPr>
          <w:spacing w:val="26"/>
          <w:sz w:val="24"/>
          <w:u w:val="single"/>
        </w:rPr>
        <w:t xml:space="preserve"> </w:t>
      </w:r>
      <w:r>
        <w:rPr>
          <w:sz w:val="24"/>
          <w:u w:val="single"/>
        </w:rPr>
        <w:t>the</w:t>
      </w:r>
      <w:r>
        <w:rPr>
          <w:sz w:val="24"/>
        </w:rPr>
        <w:t xml:space="preserve"> </w:t>
      </w:r>
      <w:r>
        <w:rPr>
          <w:sz w:val="24"/>
          <w:u w:val="single"/>
        </w:rPr>
        <w:t>price of domestic like products</w:t>
      </w:r>
    </w:p>
    <w:p w14:paraId="3AC3A50D" w14:textId="77777777" w:rsidR="00BD462C" w:rsidRDefault="00BD462C">
      <w:pPr>
        <w:pStyle w:val="BodyText"/>
        <w:spacing w:before="8"/>
        <w:rPr>
          <w:sz w:val="8"/>
        </w:rPr>
      </w:pPr>
    </w:p>
    <w:p w14:paraId="7E9FA6B4" w14:textId="00FC7367" w:rsidR="00BD462C" w:rsidRDefault="00A014C4">
      <w:pPr>
        <w:pStyle w:val="BodyText"/>
        <w:spacing w:before="56" w:line="360" w:lineRule="auto"/>
        <w:ind w:left="135" w:right="914" w:hanging="5"/>
        <w:jc w:val="both"/>
      </w:pPr>
      <w:r>
        <w:rPr>
          <w:noProof/>
        </w:rPr>
        <w:t>434.</w:t>
      </w:r>
      <w:r w:rsidR="00033D0F">
        <w:rPr>
          <w:rFonts w:ascii="Times New Roman"/>
          <w:spacing w:val="80"/>
          <w:position w:val="1"/>
          <w:sz w:val="20"/>
        </w:rPr>
        <w:t xml:space="preserve"> </w:t>
      </w:r>
      <w:r w:rsidR="00033D0F">
        <w:rPr>
          <w:position w:val="1"/>
        </w:rPr>
        <w:t xml:space="preserve">As a so called "threshold issue", China argues that MOFCOM was not required to </w:t>
      </w:r>
      <w:r w:rsidR="00033D0F">
        <w:t>ensure</w:t>
      </w:r>
      <w:r w:rsidR="00033D0F">
        <w:rPr>
          <w:spacing w:val="-7"/>
        </w:rPr>
        <w:t xml:space="preserve"> </w:t>
      </w:r>
      <w:r w:rsidR="00033D0F">
        <w:t>price</w:t>
      </w:r>
      <w:r w:rsidR="00033D0F">
        <w:rPr>
          <w:spacing w:val="-7"/>
        </w:rPr>
        <w:t xml:space="preserve"> </w:t>
      </w:r>
      <w:r w:rsidR="00033D0F">
        <w:t>comparability</w:t>
      </w:r>
      <w:r w:rsidR="00033D0F">
        <w:rPr>
          <w:spacing w:val="-6"/>
        </w:rPr>
        <w:t xml:space="preserve"> </w:t>
      </w:r>
      <w:r w:rsidR="00033D0F">
        <w:t>during</w:t>
      </w:r>
      <w:r w:rsidR="00033D0F">
        <w:rPr>
          <w:spacing w:val="-6"/>
        </w:rPr>
        <w:t xml:space="preserve"> </w:t>
      </w:r>
      <w:r w:rsidR="00033D0F">
        <w:t>its</w:t>
      </w:r>
      <w:r w:rsidR="00033D0F">
        <w:rPr>
          <w:spacing w:val="-6"/>
        </w:rPr>
        <w:t xml:space="preserve"> </w:t>
      </w:r>
      <w:r w:rsidR="00033D0F">
        <w:t>prices</w:t>
      </w:r>
      <w:r w:rsidR="00033D0F">
        <w:rPr>
          <w:spacing w:val="-6"/>
        </w:rPr>
        <w:t xml:space="preserve"> </w:t>
      </w:r>
      <w:r w:rsidR="00033D0F">
        <w:t>effects</w:t>
      </w:r>
      <w:r w:rsidR="00033D0F">
        <w:rPr>
          <w:spacing w:val="-10"/>
        </w:rPr>
        <w:t xml:space="preserve"> </w:t>
      </w:r>
      <w:r w:rsidR="00033D0F">
        <w:t>analysis</w:t>
      </w:r>
      <w:r w:rsidR="00033D0F">
        <w:rPr>
          <w:spacing w:val="-6"/>
        </w:rPr>
        <w:t xml:space="preserve"> </w:t>
      </w:r>
      <w:r w:rsidR="00033D0F">
        <w:t>because:</w:t>
      </w:r>
      <w:r w:rsidR="00033D0F">
        <w:rPr>
          <w:spacing w:val="-10"/>
        </w:rPr>
        <w:t xml:space="preserve"> </w:t>
      </w:r>
      <w:r w:rsidR="00033D0F">
        <w:t>its</w:t>
      </w:r>
      <w:r w:rsidR="00033D0F">
        <w:rPr>
          <w:spacing w:val="-6"/>
        </w:rPr>
        <w:t xml:space="preserve"> </w:t>
      </w:r>
      <w:r w:rsidR="00033D0F">
        <w:t>consideration</w:t>
      </w:r>
      <w:r w:rsidR="00033D0F">
        <w:rPr>
          <w:spacing w:val="-9"/>
        </w:rPr>
        <w:t xml:space="preserve"> </w:t>
      </w:r>
      <w:r w:rsidR="00033D0F">
        <w:t>of</w:t>
      </w:r>
      <w:r w:rsidR="00033D0F">
        <w:rPr>
          <w:spacing w:val="-9"/>
        </w:rPr>
        <w:t xml:space="preserve"> </w:t>
      </w:r>
      <w:r w:rsidR="00033D0F">
        <w:t>price suppression was based on a "holistic consideration" of factors other than price,</w:t>
      </w:r>
      <w:hyperlink w:anchor="_bookmark724" w:history="1">
        <w:r w:rsidR="00033D0F">
          <w:rPr>
            <w:vertAlign w:val="superscript"/>
          </w:rPr>
          <w:t>604</w:t>
        </w:r>
      </w:hyperlink>
      <w:r w:rsidR="00033D0F">
        <w:t xml:space="preserve"> and MOFCOM</w:t>
      </w:r>
      <w:r w:rsidR="00033D0F">
        <w:rPr>
          <w:spacing w:val="-3"/>
        </w:rPr>
        <w:t xml:space="preserve"> </w:t>
      </w:r>
      <w:r w:rsidR="00033D0F">
        <w:t>"did</w:t>
      </w:r>
      <w:r w:rsidR="00033D0F">
        <w:rPr>
          <w:spacing w:val="-5"/>
        </w:rPr>
        <w:t xml:space="preserve"> </w:t>
      </w:r>
      <w:r w:rsidR="00033D0F">
        <w:t>not</w:t>
      </w:r>
      <w:r w:rsidR="00033D0F">
        <w:rPr>
          <w:spacing w:val="-3"/>
        </w:rPr>
        <w:t xml:space="preserve"> </w:t>
      </w:r>
      <w:r w:rsidR="00033D0F">
        <w:t>compare</w:t>
      </w:r>
      <w:r w:rsidR="00033D0F">
        <w:rPr>
          <w:spacing w:val="-3"/>
        </w:rPr>
        <w:t xml:space="preserve"> </w:t>
      </w:r>
      <w:r w:rsidR="00033D0F">
        <w:t>the</w:t>
      </w:r>
      <w:r w:rsidR="00033D0F">
        <w:rPr>
          <w:spacing w:val="-4"/>
        </w:rPr>
        <w:t xml:space="preserve"> </w:t>
      </w:r>
      <w:r w:rsidR="00033D0F">
        <w:t>prices</w:t>
      </w:r>
      <w:r w:rsidR="00033D0F">
        <w:rPr>
          <w:spacing w:val="-2"/>
        </w:rPr>
        <w:t xml:space="preserve"> </w:t>
      </w:r>
      <w:r w:rsidR="00033D0F">
        <w:t>of</w:t>
      </w:r>
      <w:r w:rsidR="00033D0F">
        <w:rPr>
          <w:spacing w:val="-5"/>
        </w:rPr>
        <w:t xml:space="preserve"> </w:t>
      </w:r>
      <w:r w:rsidR="00033D0F">
        <w:t>the</w:t>
      </w:r>
      <w:r w:rsidR="00033D0F">
        <w:rPr>
          <w:spacing w:val="-4"/>
        </w:rPr>
        <w:t xml:space="preserve"> </w:t>
      </w:r>
      <w:r w:rsidR="00033D0F">
        <w:t>dumped</w:t>
      </w:r>
      <w:r w:rsidR="00033D0F">
        <w:rPr>
          <w:spacing w:val="-5"/>
        </w:rPr>
        <w:t xml:space="preserve"> </w:t>
      </w:r>
      <w:r w:rsidR="00033D0F">
        <w:t>imports</w:t>
      </w:r>
      <w:r w:rsidR="00033D0F">
        <w:rPr>
          <w:spacing w:val="-2"/>
        </w:rPr>
        <w:t xml:space="preserve"> </w:t>
      </w:r>
      <w:r w:rsidR="00033D0F">
        <w:t>and</w:t>
      </w:r>
      <w:r w:rsidR="00033D0F">
        <w:rPr>
          <w:spacing w:val="-5"/>
        </w:rPr>
        <w:t xml:space="preserve"> </w:t>
      </w:r>
      <w:r w:rsidR="00033D0F">
        <w:t>the</w:t>
      </w:r>
      <w:r w:rsidR="00033D0F">
        <w:rPr>
          <w:spacing w:val="-4"/>
        </w:rPr>
        <w:t xml:space="preserve"> </w:t>
      </w:r>
      <w:r w:rsidR="00033D0F">
        <w:t>domestic</w:t>
      </w:r>
      <w:r w:rsidR="00033D0F">
        <w:rPr>
          <w:spacing w:val="-5"/>
        </w:rPr>
        <w:t xml:space="preserve"> </w:t>
      </w:r>
      <w:r w:rsidR="00033D0F">
        <w:t>like</w:t>
      </w:r>
      <w:r w:rsidR="00033D0F">
        <w:rPr>
          <w:spacing w:val="-3"/>
        </w:rPr>
        <w:t xml:space="preserve"> </w:t>
      </w:r>
      <w:r w:rsidR="00033D0F">
        <w:t>product, nor relied</w:t>
      </w:r>
      <w:r w:rsidR="00033D0F">
        <w:rPr>
          <w:spacing w:val="-4"/>
        </w:rPr>
        <w:t xml:space="preserve"> </w:t>
      </w:r>
      <w:r w:rsidR="00033D0F">
        <w:t>on</w:t>
      </w:r>
      <w:r w:rsidR="00033D0F">
        <w:rPr>
          <w:spacing w:val="-4"/>
        </w:rPr>
        <w:t xml:space="preserve"> </w:t>
      </w:r>
      <w:r w:rsidR="00033D0F">
        <w:t>such</w:t>
      </w:r>
      <w:r w:rsidR="00033D0F">
        <w:rPr>
          <w:spacing w:val="-4"/>
        </w:rPr>
        <w:t xml:space="preserve"> </w:t>
      </w:r>
      <w:r w:rsidR="00033D0F">
        <w:t>a</w:t>
      </w:r>
      <w:r w:rsidR="00033D0F">
        <w:rPr>
          <w:spacing w:val="-3"/>
        </w:rPr>
        <w:t xml:space="preserve"> </w:t>
      </w:r>
      <w:r w:rsidR="00033D0F">
        <w:t>price</w:t>
      </w:r>
      <w:r w:rsidR="00033D0F">
        <w:rPr>
          <w:spacing w:val="-2"/>
        </w:rPr>
        <w:t xml:space="preserve"> </w:t>
      </w:r>
      <w:r w:rsidR="00033D0F">
        <w:t>comparison"</w:t>
      </w:r>
      <w:r w:rsidR="00033D0F">
        <w:rPr>
          <w:spacing w:val="-3"/>
        </w:rPr>
        <w:t xml:space="preserve"> </w:t>
      </w:r>
      <w:r w:rsidR="00033D0F">
        <w:t>during</w:t>
      </w:r>
      <w:r w:rsidR="00033D0F">
        <w:rPr>
          <w:spacing w:val="-1"/>
        </w:rPr>
        <w:t xml:space="preserve"> </w:t>
      </w:r>
      <w:r w:rsidR="00033D0F">
        <w:t>its</w:t>
      </w:r>
      <w:r w:rsidR="00033D0F">
        <w:rPr>
          <w:spacing w:val="-1"/>
        </w:rPr>
        <w:t xml:space="preserve"> </w:t>
      </w:r>
      <w:r w:rsidR="00033D0F">
        <w:t>consideration</w:t>
      </w:r>
      <w:r w:rsidR="00033D0F">
        <w:rPr>
          <w:spacing w:val="-4"/>
        </w:rPr>
        <w:t xml:space="preserve"> </w:t>
      </w:r>
      <w:r w:rsidR="00033D0F">
        <w:t>of</w:t>
      </w:r>
      <w:r w:rsidR="00033D0F">
        <w:rPr>
          <w:spacing w:val="-4"/>
        </w:rPr>
        <w:t xml:space="preserve"> </w:t>
      </w:r>
      <w:r w:rsidR="00033D0F">
        <w:t>price</w:t>
      </w:r>
      <w:r w:rsidR="00033D0F">
        <w:rPr>
          <w:spacing w:val="-2"/>
        </w:rPr>
        <w:t xml:space="preserve"> </w:t>
      </w:r>
      <w:r w:rsidR="00033D0F">
        <w:t>suppression.</w:t>
      </w:r>
      <w:hyperlink w:anchor="_bookmark725" w:history="1">
        <w:r w:rsidR="00033D0F">
          <w:rPr>
            <w:vertAlign w:val="superscript"/>
          </w:rPr>
          <w:t>605</w:t>
        </w:r>
      </w:hyperlink>
      <w:r w:rsidR="00033D0F">
        <w:rPr>
          <w:spacing w:val="-2"/>
        </w:rPr>
        <w:t xml:space="preserve"> </w:t>
      </w:r>
      <w:r w:rsidR="00033D0F">
        <w:t>These arguments are without merit. The Final Determination and investigation record make clear that MOFCOM did compare the prices of subject imports and domestic like products during its</w:t>
      </w:r>
      <w:r w:rsidR="00033D0F">
        <w:rPr>
          <w:spacing w:val="-9"/>
        </w:rPr>
        <w:t xml:space="preserve"> </w:t>
      </w:r>
      <w:r w:rsidR="00033D0F">
        <w:t>price</w:t>
      </w:r>
      <w:r w:rsidR="00033D0F">
        <w:rPr>
          <w:spacing w:val="-11"/>
        </w:rPr>
        <w:t xml:space="preserve"> </w:t>
      </w:r>
      <w:r w:rsidR="00033D0F">
        <w:t>effects</w:t>
      </w:r>
      <w:r w:rsidR="00033D0F">
        <w:rPr>
          <w:spacing w:val="-9"/>
        </w:rPr>
        <w:t xml:space="preserve"> </w:t>
      </w:r>
      <w:r w:rsidR="00033D0F">
        <w:t>analysis</w:t>
      </w:r>
      <w:r w:rsidR="00033D0F">
        <w:rPr>
          <w:spacing w:val="-9"/>
        </w:rPr>
        <w:t xml:space="preserve"> </w:t>
      </w:r>
      <w:r w:rsidR="00033D0F">
        <w:t>and</w:t>
      </w:r>
      <w:r w:rsidR="00033D0F">
        <w:rPr>
          <w:spacing w:val="-13"/>
        </w:rPr>
        <w:t xml:space="preserve"> </w:t>
      </w:r>
      <w:r w:rsidR="00033D0F">
        <w:t>relied</w:t>
      </w:r>
      <w:r w:rsidR="00033D0F">
        <w:rPr>
          <w:spacing w:val="-13"/>
        </w:rPr>
        <w:t xml:space="preserve"> </w:t>
      </w:r>
      <w:r w:rsidR="00033D0F">
        <w:t>on</w:t>
      </w:r>
      <w:r w:rsidR="00033D0F">
        <w:rPr>
          <w:spacing w:val="-8"/>
        </w:rPr>
        <w:t xml:space="preserve"> </w:t>
      </w:r>
      <w:r w:rsidR="00033D0F">
        <w:t>this</w:t>
      </w:r>
      <w:r w:rsidR="00033D0F">
        <w:rPr>
          <w:spacing w:val="-9"/>
        </w:rPr>
        <w:t xml:space="preserve"> </w:t>
      </w:r>
      <w:r w:rsidR="00033D0F">
        <w:t>comparison</w:t>
      </w:r>
      <w:r w:rsidR="00033D0F">
        <w:rPr>
          <w:spacing w:val="-13"/>
        </w:rPr>
        <w:t xml:space="preserve"> </w:t>
      </w:r>
      <w:r w:rsidR="00033D0F">
        <w:t>to</w:t>
      </w:r>
      <w:r w:rsidR="00033D0F">
        <w:rPr>
          <w:spacing w:val="-13"/>
        </w:rPr>
        <w:t xml:space="preserve"> </w:t>
      </w:r>
      <w:r w:rsidR="00033D0F">
        <w:t>make</w:t>
      </w:r>
      <w:r w:rsidR="00033D0F">
        <w:rPr>
          <w:spacing w:val="-11"/>
        </w:rPr>
        <w:t xml:space="preserve"> </w:t>
      </w:r>
      <w:r w:rsidR="00033D0F">
        <w:t>its</w:t>
      </w:r>
      <w:r w:rsidR="00033D0F">
        <w:rPr>
          <w:spacing w:val="-9"/>
        </w:rPr>
        <w:t xml:space="preserve"> </w:t>
      </w:r>
      <w:r w:rsidR="00033D0F">
        <w:t>finding</w:t>
      </w:r>
      <w:r w:rsidR="00033D0F">
        <w:rPr>
          <w:spacing w:val="-9"/>
        </w:rPr>
        <w:t xml:space="preserve"> </w:t>
      </w:r>
      <w:r w:rsidR="00033D0F">
        <w:t>of</w:t>
      </w:r>
      <w:r w:rsidR="00033D0F">
        <w:rPr>
          <w:spacing w:val="-8"/>
        </w:rPr>
        <w:t xml:space="preserve"> </w:t>
      </w:r>
      <w:r w:rsidR="00033D0F">
        <w:t>price</w:t>
      </w:r>
      <w:r w:rsidR="00033D0F">
        <w:rPr>
          <w:spacing w:val="-11"/>
        </w:rPr>
        <w:t xml:space="preserve"> </w:t>
      </w:r>
      <w:r w:rsidR="00033D0F">
        <w:t>suppression. Australia asks the Panel to reject China's arguments for the following reasons.</w:t>
      </w:r>
    </w:p>
    <w:p w14:paraId="4DCB566E" w14:textId="77777777" w:rsidR="00BD462C" w:rsidRDefault="00BD462C">
      <w:pPr>
        <w:pStyle w:val="BodyText"/>
        <w:spacing w:before="5"/>
        <w:rPr>
          <w:sz w:val="8"/>
        </w:rPr>
      </w:pPr>
    </w:p>
    <w:p w14:paraId="0CBF8A5D" w14:textId="1F5F8504" w:rsidR="00BD462C" w:rsidRDefault="0081097F">
      <w:pPr>
        <w:pStyle w:val="BodyText"/>
        <w:spacing w:before="56" w:line="360" w:lineRule="auto"/>
        <w:ind w:left="135" w:right="917" w:hanging="5"/>
        <w:jc w:val="both"/>
      </w:pPr>
      <w:r>
        <w:rPr>
          <w:noProof/>
        </w:rPr>
        <w:t>435.</w:t>
      </w:r>
      <w:r w:rsidR="00033D0F">
        <w:rPr>
          <w:rFonts w:ascii="Times New Roman"/>
          <w:spacing w:val="80"/>
          <w:position w:val="1"/>
          <w:sz w:val="20"/>
        </w:rPr>
        <w:t xml:space="preserve"> </w:t>
      </w:r>
      <w:r w:rsidR="00033D0F">
        <w:rPr>
          <w:position w:val="1"/>
        </w:rPr>
        <w:t>First,</w:t>
      </w:r>
      <w:r w:rsidR="00033D0F">
        <w:rPr>
          <w:spacing w:val="-14"/>
          <w:position w:val="1"/>
        </w:rPr>
        <w:t xml:space="preserve"> </w:t>
      </w:r>
      <w:r w:rsidR="00033D0F">
        <w:rPr>
          <w:position w:val="1"/>
        </w:rPr>
        <w:t>the</w:t>
      </w:r>
      <w:r w:rsidR="00033D0F">
        <w:rPr>
          <w:spacing w:val="-14"/>
          <w:position w:val="1"/>
        </w:rPr>
        <w:t xml:space="preserve"> </w:t>
      </w:r>
      <w:r w:rsidR="00033D0F">
        <w:rPr>
          <w:position w:val="1"/>
        </w:rPr>
        <w:t>average</w:t>
      </w:r>
      <w:r w:rsidR="00033D0F">
        <w:rPr>
          <w:spacing w:val="-13"/>
          <w:position w:val="1"/>
        </w:rPr>
        <w:t xml:space="preserve"> </w:t>
      </w:r>
      <w:r w:rsidR="00033D0F">
        <w:rPr>
          <w:position w:val="1"/>
        </w:rPr>
        <w:t>unit</w:t>
      </w:r>
      <w:r w:rsidR="00033D0F">
        <w:rPr>
          <w:spacing w:val="-14"/>
          <w:position w:val="1"/>
        </w:rPr>
        <w:t xml:space="preserve"> </w:t>
      </w:r>
      <w:r w:rsidR="00033D0F">
        <w:rPr>
          <w:position w:val="1"/>
        </w:rPr>
        <w:t>price</w:t>
      </w:r>
      <w:r w:rsidR="00033D0F">
        <w:rPr>
          <w:spacing w:val="-11"/>
          <w:position w:val="1"/>
        </w:rPr>
        <w:t xml:space="preserve"> </w:t>
      </w:r>
      <w:r w:rsidR="00033D0F">
        <w:rPr>
          <w:position w:val="1"/>
        </w:rPr>
        <w:t>of</w:t>
      </w:r>
      <w:r w:rsidR="00033D0F">
        <w:rPr>
          <w:spacing w:val="-14"/>
          <w:position w:val="1"/>
        </w:rPr>
        <w:t xml:space="preserve"> </w:t>
      </w:r>
      <w:r w:rsidR="00033D0F">
        <w:rPr>
          <w:position w:val="1"/>
        </w:rPr>
        <w:t>subject</w:t>
      </w:r>
      <w:r w:rsidR="00033D0F">
        <w:rPr>
          <w:spacing w:val="-11"/>
          <w:position w:val="1"/>
        </w:rPr>
        <w:t xml:space="preserve"> </w:t>
      </w:r>
      <w:r w:rsidR="00033D0F">
        <w:rPr>
          <w:position w:val="1"/>
        </w:rPr>
        <w:t>imports</w:t>
      </w:r>
      <w:r w:rsidR="00033D0F">
        <w:rPr>
          <w:spacing w:val="-14"/>
          <w:position w:val="1"/>
        </w:rPr>
        <w:t xml:space="preserve"> </w:t>
      </w:r>
      <w:r w:rsidR="00033D0F">
        <w:rPr>
          <w:position w:val="1"/>
        </w:rPr>
        <w:t>was</w:t>
      </w:r>
      <w:r w:rsidR="00033D0F">
        <w:rPr>
          <w:spacing w:val="-10"/>
          <w:position w:val="1"/>
        </w:rPr>
        <w:t xml:space="preserve"> </w:t>
      </w:r>
      <w:r w:rsidR="00033D0F">
        <w:rPr>
          <w:position w:val="1"/>
        </w:rPr>
        <w:t>central</w:t>
      </w:r>
      <w:r w:rsidR="00033D0F">
        <w:rPr>
          <w:spacing w:val="-14"/>
          <w:position w:val="1"/>
        </w:rPr>
        <w:t xml:space="preserve"> </w:t>
      </w:r>
      <w:r w:rsidR="00033D0F">
        <w:rPr>
          <w:position w:val="1"/>
        </w:rPr>
        <w:t>to</w:t>
      </w:r>
      <w:r w:rsidR="00033D0F">
        <w:rPr>
          <w:spacing w:val="-14"/>
          <w:position w:val="1"/>
        </w:rPr>
        <w:t xml:space="preserve"> </w:t>
      </w:r>
      <w:r w:rsidR="00033D0F">
        <w:rPr>
          <w:position w:val="1"/>
        </w:rPr>
        <w:t>MOFCOM's</w:t>
      </w:r>
      <w:r w:rsidR="00033D0F">
        <w:rPr>
          <w:spacing w:val="-13"/>
          <w:position w:val="1"/>
        </w:rPr>
        <w:t xml:space="preserve"> </w:t>
      </w:r>
      <w:r w:rsidR="00033D0F">
        <w:rPr>
          <w:position w:val="1"/>
        </w:rPr>
        <w:t>findings</w:t>
      </w:r>
      <w:r w:rsidR="00033D0F">
        <w:rPr>
          <w:spacing w:val="-14"/>
          <w:position w:val="1"/>
        </w:rPr>
        <w:t xml:space="preserve"> </w:t>
      </w:r>
      <w:r w:rsidR="00033D0F">
        <w:rPr>
          <w:position w:val="1"/>
        </w:rPr>
        <w:t xml:space="preserve">that </w:t>
      </w:r>
      <w:r w:rsidR="00033D0F">
        <w:t>"during the period of injury investigation, the price of the dumped imported product suppressed</w:t>
      </w:r>
      <w:r w:rsidR="00033D0F">
        <w:rPr>
          <w:spacing w:val="-14"/>
        </w:rPr>
        <w:t xml:space="preserve"> </w:t>
      </w:r>
      <w:r w:rsidR="00033D0F">
        <w:t>that</w:t>
      </w:r>
      <w:r w:rsidR="00033D0F">
        <w:rPr>
          <w:spacing w:val="-11"/>
        </w:rPr>
        <w:t xml:space="preserve"> </w:t>
      </w:r>
      <w:r w:rsidR="00033D0F">
        <w:t>of</w:t>
      </w:r>
      <w:r w:rsidR="00033D0F">
        <w:rPr>
          <w:spacing w:val="-14"/>
        </w:rPr>
        <w:t xml:space="preserve"> </w:t>
      </w:r>
      <w:r w:rsidR="00033D0F">
        <w:t>domestic</w:t>
      </w:r>
      <w:r w:rsidR="00033D0F">
        <w:rPr>
          <w:spacing w:val="-12"/>
        </w:rPr>
        <w:t xml:space="preserve"> </w:t>
      </w:r>
      <w:r w:rsidR="00033D0F">
        <w:t>like</w:t>
      </w:r>
      <w:r w:rsidR="00033D0F">
        <w:rPr>
          <w:spacing w:val="-12"/>
        </w:rPr>
        <w:t xml:space="preserve"> </w:t>
      </w:r>
      <w:r w:rsidR="00033D0F">
        <w:t>products".</w:t>
      </w:r>
      <w:hyperlink w:anchor="_bookmark726" w:history="1">
        <w:r w:rsidR="00033D0F">
          <w:rPr>
            <w:vertAlign w:val="superscript"/>
          </w:rPr>
          <w:t>606</w:t>
        </w:r>
      </w:hyperlink>
      <w:r w:rsidR="00033D0F">
        <w:rPr>
          <w:spacing w:val="-11"/>
        </w:rPr>
        <w:t xml:space="preserve"> </w:t>
      </w:r>
      <w:r w:rsidR="00033D0F">
        <w:t>In</w:t>
      </w:r>
      <w:r w:rsidR="00033D0F">
        <w:rPr>
          <w:spacing w:val="-14"/>
        </w:rPr>
        <w:t xml:space="preserve"> </w:t>
      </w:r>
      <w:r w:rsidR="00033D0F">
        <w:t>this</w:t>
      </w:r>
      <w:r w:rsidR="00033D0F">
        <w:rPr>
          <w:spacing w:val="-10"/>
        </w:rPr>
        <w:t xml:space="preserve"> </w:t>
      </w:r>
      <w:r w:rsidR="00033D0F">
        <w:t>respect,</w:t>
      </w:r>
      <w:r w:rsidR="00033D0F">
        <w:rPr>
          <w:spacing w:val="-10"/>
        </w:rPr>
        <w:t xml:space="preserve"> </w:t>
      </w:r>
      <w:r w:rsidR="00033D0F">
        <w:t>MOFCOM</w:t>
      </w:r>
      <w:r w:rsidR="00033D0F">
        <w:rPr>
          <w:spacing w:val="-11"/>
        </w:rPr>
        <w:t xml:space="preserve"> </w:t>
      </w:r>
      <w:r w:rsidR="00033D0F">
        <w:t>did</w:t>
      </w:r>
      <w:r w:rsidR="00033D0F">
        <w:rPr>
          <w:spacing w:val="-14"/>
        </w:rPr>
        <w:t xml:space="preserve"> </w:t>
      </w:r>
      <w:r w:rsidR="00033D0F">
        <w:t>compare</w:t>
      </w:r>
      <w:r w:rsidR="00033D0F">
        <w:rPr>
          <w:spacing w:val="-11"/>
        </w:rPr>
        <w:t xml:space="preserve"> </w:t>
      </w:r>
      <w:r w:rsidR="00033D0F">
        <w:t>the</w:t>
      </w:r>
      <w:r w:rsidR="00033D0F">
        <w:rPr>
          <w:spacing w:val="-12"/>
        </w:rPr>
        <w:t xml:space="preserve"> </w:t>
      </w:r>
      <w:r w:rsidR="00033D0F">
        <w:t>price of subject imports and domestic like products and relied on this comparison both during its consideration of price effects and throughout the balance of the injury determination.</w:t>
      </w:r>
      <w:hyperlink w:anchor="_bookmark727" w:history="1">
        <w:r w:rsidR="00033D0F">
          <w:rPr>
            <w:vertAlign w:val="superscript"/>
          </w:rPr>
          <w:t>607</w:t>
        </w:r>
      </w:hyperlink>
    </w:p>
    <w:p w14:paraId="2B2BC171" w14:textId="77777777" w:rsidR="00BD462C" w:rsidRDefault="00BD462C">
      <w:pPr>
        <w:pStyle w:val="BodyText"/>
        <w:rPr>
          <w:sz w:val="20"/>
        </w:rPr>
      </w:pPr>
    </w:p>
    <w:p w14:paraId="48A8D39B" w14:textId="5451DA58" w:rsidR="00BD462C" w:rsidRDefault="00D70C7D">
      <w:pPr>
        <w:pStyle w:val="BodyText"/>
        <w:spacing w:before="9"/>
        <w:rPr>
          <w:sz w:val="15"/>
        </w:rPr>
      </w:pPr>
      <w:r>
        <w:rPr>
          <w:noProof/>
        </w:rPr>
        <mc:AlternateContent>
          <mc:Choice Requires="wps">
            <w:drawing>
              <wp:anchor distT="0" distB="0" distL="0" distR="0" simplePos="0" relativeHeight="487760896" behindDoc="1" locked="0" layoutInCell="1" allowOverlap="1" wp14:anchorId="4D0C804B" wp14:editId="55D6FB52">
                <wp:simplePos x="0" y="0"/>
                <wp:positionH relativeFrom="page">
                  <wp:posOffset>899160</wp:posOffset>
                </wp:positionH>
                <wp:positionV relativeFrom="paragraph">
                  <wp:posOffset>137160</wp:posOffset>
                </wp:positionV>
                <wp:extent cx="1828800" cy="8890"/>
                <wp:effectExtent l="0" t="0" r="0" b="0"/>
                <wp:wrapTopAndBottom/>
                <wp:docPr id="666" name="docshape3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24AC29" id="docshape386" o:spid="_x0000_s1026" alt="&quot;&quot;" style="position:absolute;margin-left:70.8pt;margin-top:10.8pt;width:2in;height:.7pt;z-index:-15555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" fillcolor="black" stroked="f">
                <w10:wrap type="topAndBottom" anchorx="page"/>
              </v:rect>
            </w:pict>
          </mc:Fallback>
        </mc:AlternateContent>
      </w:r>
    </w:p>
    <w:p w14:paraId="0FCACD0F" w14:textId="77777777" w:rsidR="00BD462C" w:rsidRDefault="00033D0F">
      <w:pPr>
        <w:spacing w:before="112"/>
        <w:ind w:left="135"/>
        <w:jc w:val="both"/>
        <w:rPr>
          <w:sz w:val="18"/>
        </w:rPr>
      </w:pPr>
      <w:bookmarkStart w:id="847" w:name="_bookmark724"/>
      <w:bookmarkEnd w:id="847"/>
      <w:r>
        <w:rPr>
          <w:position w:val="5"/>
          <w:sz w:val="12"/>
        </w:rPr>
        <w:t>604</w:t>
      </w:r>
      <w:r>
        <w:rPr>
          <w:spacing w:val="12"/>
          <w:position w:val="5"/>
          <w:sz w:val="12"/>
        </w:rPr>
        <w:t xml:space="preserve"> </w:t>
      </w:r>
      <w:r>
        <w:rPr>
          <w:sz w:val="18"/>
        </w:rPr>
        <w:t>China's</w:t>
      </w:r>
      <w:r>
        <w:rPr>
          <w:spacing w:val="-6"/>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 paras.</w:t>
      </w:r>
      <w:r>
        <w:rPr>
          <w:spacing w:val="-5"/>
          <w:sz w:val="18"/>
        </w:rPr>
        <w:t xml:space="preserve"> </w:t>
      </w:r>
      <w:r>
        <w:rPr>
          <w:sz w:val="18"/>
        </w:rPr>
        <w:t>1081-</w:t>
      </w:r>
      <w:r>
        <w:rPr>
          <w:spacing w:val="-2"/>
          <w:sz w:val="18"/>
        </w:rPr>
        <w:t>1084.</w:t>
      </w:r>
    </w:p>
    <w:p w14:paraId="72297391" w14:textId="77777777" w:rsidR="00BD462C" w:rsidRDefault="00033D0F">
      <w:pPr>
        <w:spacing w:before="1"/>
        <w:ind w:left="135"/>
        <w:jc w:val="both"/>
        <w:rPr>
          <w:sz w:val="18"/>
        </w:rPr>
      </w:pPr>
      <w:bookmarkStart w:id="848" w:name="_bookmark725"/>
      <w:bookmarkEnd w:id="848"/>
      <w:r>
        <w:rPr>
          <w:position w:val="5"/>
          <w:sz w:val="12"/>
        </w:rPr>
        <w:t>605</w:t>
      </w:r>
      <w:r>
        <w:rPr>
          <w:spacing w:val="10"/>
          <w:position w:val="5"/>
          <w:sz w:val="12"/>
        </w:rPr>
        <w:t xml:space="preserve"> </w:t>
      </w:r>
      <w:r>
        <w:rPr>
          <w:sz w:val="18"/>
        </w:rPr>
        <w:t>China's</w:t>
      </w:r>
      <w:r>
        <w:rPr>
          <w:spacing w:val="-7"/>
          <w:sz w:val="18"/>
        </w:rPr>
        <w:t xml:space="preserve"> </w:t>
      </w:r>
      <w:r>
        <w:rPr>
          <w:sz w:val="18"/>
        </w:rPr>
        <w:t>first</w:t>
      </w:r>
      <w:r>
        <w:rPr>
          <w:spacing w:val="-6"/>
          <w:sz w:val="18"/>
        </w:rPr>
        <w:t xml:space="preserve"> </w:t>
      </w:r>
      <w:r>
        <w:rPr>
          <w:sz w:val="18"/>
        </w:rPr>
        <w:t>written</w:t>
      </w:r>
      <w:r>
        <w:rPr>
          <w:spacing w:val="-9"/>
          <w:sz w:val="18"/>
        </w:rPr>
        <w:t xml:space="preserve"> </w:t>
      </w:r>
      <w:r>
        <w:rPr>
          <w:sz w:val="18"/>
        </w:rPr>
        <w:t>submission,</w:t>
      </w:r>
      <w:r>
        <w:rPr>
          <w:spacing w:val="-1"/>
          <w:sz w:val="18"/>
        </w:rPr>
        <w:t xml:space="preserve"> </w:t>
      </w:r>
      <w:r>
        <w:rPr>
          <w:sz w:val="18"/>
        </w:rPr>
        <w:t>para.</w:t>
      </w:r>
      <w:r>
        <w:rPr>
          <w:spacing w:val="-2"/>
          <w:sz w:val="18"/>
        </w:rPr>
        <w:t xml:space="preserve"> </w:t>
      </w:r>
      <w:r>
        <w:rPr>
          <w:sz w:val="18"/>
        </w:rPr>
        <w:t>1089,</w:t>
      </w:r>
      <w:r>
        <w:rPr>
          <w:spacing w:val="-6"/>
          <w:sz w:val="18"/>
        </w:rPr>
        <w:t xml:space="preserve"> </w:t>
      </w:r>
      <w:r>
        <w:rPr>
          <w:sz w:val="18"/>
        </w:rPr>
        <w:t>see</w:t>
      </w:r>
      <w:r>
        <w:rPr>
          <w:spacing w:val="-4"/>
          <w:sz w:val="18"/>
        </w:rPr>
        <w:t xml:space="preserve"> </w:t>
      </w:r>
      <w:r>
        <w:rPr>
          <w:sz w:val="18"/>
        </w:rPr>
        <w:t>also</w:t>
      </w:r>
      <w:r>
        <w:rPr>
          <w:spacing w:val="-8"/>
          <w:sz w:val="18"/>
        </w:rPr>
        <w:t xml:space="preserve"> </w:t>
      </w:r>
      <w:r>
        <w:rPr>
          <w:sz w:val="18"/>
        </w:rPr>
        <w:t>paras.</w:t>
      </w:r>
      <w:r>
        <w:rPr>
          <w:spacing w:val="-2"/>
          <w:sz w:val="18"/>
        </w:rPr>
        <w:t xml:space="preserve"> </w:t>
      </w:r>
      <w:r>
        <w:rPr>
          <w:sz w:val="18"/>
        </w:rPr>
        <w:t>1085-1087,</w:t>
      </w:r>
      <w:r>
        <w:rPr>
          <w:spacing w:val="-1"/>
          <w:sz w:val="18"/>
        </w:rPr>
        <w:t xml:space="preserve"> </w:t>
      </w:r>
      <w:r>
        <w:rPr>
          <w:sz w:val="18"/>
        </w:rPr>
        <w:t>1089-</w:t>
      </w:r>
      <w:r>
        <w:rPr>
          <w:spacing w:val="-2"/>
          <w:sz w:val="18"/>
        </w:rPr>
        <w:t>1092.</w:t>
      </w:r>
    </w:p>
    <w:p w14:paraId="3B436794" w14:textId="77777777" w:rsidR="00BD462C" w:rsidRDefault="00033D0F">
      <w:pPr>
        <w:spacing w:before="1"/>
        <w:ind w:left="135" w:right="912"/>
        <w:jc w:val="both"/>
        <w:rPr>
          <w:sz w:val="18"/>
        </w:rPr>
      </w:pPr>
      <w:bookmarkStart w:id="849" w:name="_bookmark726"/>
      <w:bookmarkEnd w:id="849"/>
      <w:r>
        <w:rPr>
          <w:position w:val="5"/>
          <w:sz w:val="12"/>
        </w:rPr>
        <w:t>606</w:t>
      </w:r>
      <w:r>
        <w:rPr>
          <w:spacing w:val="-7"/>
          <w:position w:val="5"/>
          <w:sz w:val="12"/>
        </w:rPr>
        <w:t xml:space="preserve"> </w:t>
      </w:r>
      <w:r>
        <w:rPr>
          <w:sz w:val="18"/>
        </w:rPr>
        <w:t>Anti-Dumping</w:t>
      </w:r>
      <w:r>
        <w:rPr>
          <w:spacing w:val="-10"/>
          <w:sz w:val="18"/>
        </w:rPr>
        <w:t xml:space="preserve"> </w:t>
      </w:r>
      <w:r>
        <w:rPr>
          <w:sz w:val="18"/>
        </w:rPr>
        <w:t>Final</w:t>
      </w:r>
      <w:r>
        <w:rPr>
          <w:spacing w:val="-11"/>
          <w:sz w:val="18"/>
        </w:rPr>
        <w:t xml:space="preserve"> </w:t>
      </w:r>
      <w:r>
        <w:rPr>
          <w:sz w:val="18"/>
        </w:rPr>
        <w:t>Determination</w:t>
      </w:r>
      <w:r>
        <w:rPr>
          <w:spacing w:val="-10"/>
          <w:sz w:val="18"/>
        </w:rPr>
        <w:t xml:space="preserve"> </w:t>
      </w:r>
      <w:r>
        <w:rPr>
          <w:sz w:val="18"/>
        </w:rPr>
        <w:t>(Exhibit</w:t>
      </w:r>
      <w:r>
        <w:rPr>
          <w:spacing w:val="-9"/>
          <w:sz w:val="18"/>
        </w:rPr>
        <w:t xml:space="preserve"> </w:t>
      </w:r>
      <w:r>
        <w:rPr>
          <w:sz w:val="18"/>
        </w:rPr>
        <w:t>CHN-1),p.</w:t>
      </w:r>
      <w:r>
        <w:rPr>
          <w:spacing w:val="-10"/>
          <w:sz w:val="18"/>
        </w:rPr>
        <w:t xml:space="preserve"> </w:t>
      </w:r>
      <w:r>
        <w:rPr>
          <w:sz w:val="18"/>
        </w:rPr>
        <w:t>59,</w:t>
      </w:r>
      <w:r>
        <w:rPr>
          <w:spacing w:val="-10"/>
          <w:sz w:val="18"/>
        </w:rPr>
        <w:t xml:space="preserve"> </w:t>
      </w:r>
      <w:r>
        <w:rPr>
          <w:sz w:val="18"/>
        </w:rPr>
        <w:t>see</w:t>
      </w:r>
      <w:r>
        <w:rPr>
          <w:spacing w:val="-8"/>
          <w:sz w:val="18"/>
        </w:rPr>
        <w:t xml:space="preserve"> </w:t>
      </w:r>
      <w:r>
        <w:rPr>
          <w:sz w:val="18"/>
        </w:rPr>
        <w:t>also</w:t>
      </w:r>
      <w:r>
        <w:rPr>
          <w:spacing w:val="-11"/>
          <w:sz w:val="18"/>
        </w:rPr>
        <w:t xml:space="preserve"> </w:t>
      </w:r>
      <w:r>
        <w:rPr>
          <w:sz w:val="18"/>
        </w:rPr>
        <w:t>pp.</w:t>
      </w:r>
      <w:r>
        <w:rPr>
          <w:spacing w:val="-6"/>
          <w:sz w:val="18"/>
        </w:rPr>
        <w:t xml:space="preserve"> </w:t>
      </w:r>
      <w:r>
        <w:rPr>
          <w:sz w:val="18"/>
        </w:rPr>
        <w:t>59</w:t>
      </w:r>
      <w:r>
        <w:rPr>
          <w:spacing w:val="-11"/>
          <w:sz w:val="18"/>
        </w:rPr>
        <w:t xml:space="preserve"> </w:t>
      </w:r>
      <w:r>
        <w:rPr>
          <w:sz w:val="18"/>
        </w:rPr>
        <w:t>("the</w:t>
      </w:r>
      <w:r>
        <w:rPr>
          <w:spacing w:val="-10"/>
          <w:sz w:val="18"/>
        </w:rPr>
        <w:t xml:space="preserve"> </w:t>
      </w:r>
      <w:r>
        <w:rPr>
          <w:sz w:val="18"/>
        </w:rPr>
        <w:t>price</w:t>
      </w:r>
      <w:r>
        <w:rPr>
          <w:spacing w:val="-8"/>
          <w:sz w:val="18"/>
        </w:rPr>
        <w:t xml:space="preserve"> </w:t>
      </w:r>
      <w:r>
        <w:rPr>
          <w:sz w:val="18"/>
        </w:rPr>
        <w:t>effect</w:t>
      </w:r>
      <w:r>
        <w:rPr>
          <w:spacing w:val="-10"/>
          <w:sz w:val="18"/>
        </w:rPr>
        <w:t xml:space="preserve"> </w:t>
      </w:r>
      <w:r>
        <w:rPr>
          <w:sz w:val="18"/>
        </w:rPr>
        <w:t>of</w:t>
      </w:r>
      <w:r>
        <w:rPr>
          <w:spacing w:val="-10"/>
          <w:sz w:val="18"/>
        </w:rPr>
        <w:t xml:space="preserve"> </w:t>
      </w:r>
      <w:r>
        <w:rPr>
          <w:sz w:val="18"/>
        </w:rPr>
        <w:t>the</w:t>
      </w:r>
      <w:r>
        <w:rPr>
          <w:spacing w:val="-11"/>
          <w:sz w:val="18"/>
        </w:rPr>
        <w:t xml:space="preserve"> </w:t>
      </w:r>
      <w:r>
        <w:rPr>
          <w:sz w:val="18"/>
        </w:rPr>
        <w:t>dumped</w:t>
      </w:r>
      <w:r>
        <w:rPr>
          <w:spacing w:val="-10"/>
          <w:sz w:val="18"/>
        </w:rPr>
        <w:t xml:space="preserve"> </w:t>
      </w:r>
      <w:r>
        <w:rPr>
          <w:sz w:val="18"/>
        </w:rPr>
        <w:t>imported</w:t>
      </w:r>
      <w:r>
        <w:rPr>
          <w:spacing w:val="-10"/>
          <w:sz w:val="18"/>
        </w:rPr>
        <w:t xml:space="preserve"> </w:t>
      </w:r>
      <w:r>
        <w:rPr>
          <w:sz w:val="18"/>
        </w:rPr>
        <w:t>product on</w:t>
      </w:r>
      <w:r>
        <w:rPr>
          <w:spacing w:val="-11"/>
          <w:sz w:val="18"/>
        </w:rPr>
        <w:t xml:space="preserve"> </w:t>
      </w:r>
      <w:r>
        <w:rPr>
          <w:sz w:val="18"/>
        </w:rPr>
        <w:t>the</w:t>
      </w:r>
      <w:r>
        <w:rPr>
          <w:spacing w:val="-10"/>
          <w:sz w:val="18"/>
        </w:rPr>
        <w:t xml:space="preserve"> </w:t>
      </w:r>
      <w:r>
        <w:rPr>
          <w:sz w:val="18"/>
        </w:rPr>
        <w:t>price</w:t>
      </w:r>
      <w:r>
        <w:rPr>
          <w:spacing w:val="-10"/>
          <w:sz w:val="18"/>
        </w:rPr>
        <w:t xml:space="preserve"> </w:t>
      </w:r>
      <w:r>
        <w:rPr>
          <w:sz w:val="18"/>
        </w:rPr>
        <w:t>of</w:t>
      </w:r>
      <w:r>
        <w:rPr>
          <w:spacing w:val="-10"/>
          <w:sz w:val="18"/>
        </w:rPr>
        <w:t xml:space="preserve"> </w:t>
      </w:r>
      <w:r>
        <w:rPr>
          <w:sz w:val="18"/>
        </w:rPr>
        <w:t>domestic</w:t>
      </w:r>
      <w:r>
        <w:rPr>
          <w:spacing w:val="-10"/>
          <w:sz w:val="18"/>
        </w:rPr>
        <w:t xml:space="preserve"> </w:t>
      </w:r>
      <w:r>
        <w:rPr>
          <w:sz w:val="18"/>
        </w:rPr>
        <w:t>like</w:t>
      </w:r>
      <w:r>
        <w:rPr>
          <w:spacing w:val="-11"/>
          <w:sz w:val="18"/>
        </w:rPr>
        <w:t xml:space="preserve"> </w:t>
      </w:r>
      <w:r>
        <w:rPr>
          <w:sz w:val="18"/>
        </w:rPr>
        <w:t>products</w:t>
      </w:r>
      <w:r>
        <w:rPr>
          <w:spacing w:val="-10"/>
          <w:sz w:val="18"/>
        </w:rPr>
        <w:t xml:space="preserve"> </w:t>
      </w:r>
      <w:r>
        <w:rPr>
          <w:sz w:val="18"/>
        </w:rPr>
        <w:t>included</w:t>
      </w:r>
      <w:r>
        <w:rPr>
          <w:spacing w:val="-10"/>
          <w:sz w:val="18"/>
        </w:rPr>
        <w:t xml:space="preserve"> </w:t>
      </w:r>
      <w:r>
        <w:rPr>
          <w:sz w:val="18"/>
        </w:rPr>
        <w:t>the</w:t>
      </w:r>
      <w:r>
        <w:rPr>
          <w:spacing w:val="-10"/>
          <w:sz w:val="18"/>
        </w:rPr>
        <w:t xml:space="preserve"> </w:t>
      </w:r>
      <w:r>
        <w:rPr>
          <w:sz w:val="18"/>
        </w:rPr>
        <w:t>impact</w:t>
      </w:r>
      <w:r>
        <w:rPr>
          <w:spacing w:val="-10"/>
          <w:sz w:val="18"/>
        </w:rPr>
        <w:t xml:space="preserve"> </w:t>
      </w:r>
      <w:r>
        <w:rPr>
          <w:sz w:val="18"/>
        </w:rPr>
        <w:t>of</w:t>
      </w:r>
      <w:r>
        <w:rPr>
          <w:spacing w:val="-10"/>
          <w:sz w:val="18"/>
        </w:rPr>
        <w:t xml:space="preserve"> </w:t>
      </w:r>
      <w:r>
        <w:rPr>
          <w:sz w:val="18"/>
        </w:rPr>
        <w:t>the</w:t>
      </w:r>
      <w:r>
        <w:rPr>
          <w:spacing w:val="-11"/>
          <w:sz w:val="18"/>
        </w:rPr>
        <w:t xml:space="preserve"> </w:t>
      </w:r>
      <w:r>
        <w:rPr>
          <w:sz w:val="18"/>
        </w:rPr>
        <w:t>increased</w:t>
      </w:r>
      <w:r>
        <w:rPr>
          <w:spacing w:val="-10"/>
          <w:sz w:val="18"/>
        </w:rPr>
        <w:t xml:space="preserve"> </w:t>
      </w:r>
      <w:r>
        <w:rPr>
          <w:sz w:val="18"/>
        </w:rPr>
        <w:t>volume</w:t>
      </w:r>
      <w:r>
        <w:rPr>
          <w:spacing w:val="-10"/>
          <w:sz w:val="18"/>
        </w:rPr>
        <w:t xml:space="preserve"> </w:t>
      </w:r>
      <w:r>
        <w:rPr>
          <w:sz w:val="18"/>
        </w:rPr>
        <w:t>and</w:t>
      </w:r>
      <w:r>
        <w:rPr>
          <w:spacing w:val="-10"/>
          <w:sz w:val="18"/>
        </w:rPr>
        <w:t xml:space="preserve"> </w:t>
      </w:r>
      <w:r>
        <w:rPr>
          <w:sz w:val="18"/>
          <w:u w:val="single"/>
        </w:rPr>
        <w:t>price</w:t>
      </w:r>
      <w:r>
        <w:rPr>
          <w:spacing w:val="-10"/>
          <w:sz w:val="18"/>
          <w:u w:val="single"/>
        </w:rPr>
        <w:t xml:space="preserve"> </w:t>
      </w:r>
      <w:r>
        <w:rPr>
          <w:sz w:val="18"/>
          <w:u w:val="single"/>
        </w:rPr>
        <w:t>of</w:t>
      </w:r>
      <w:r>
        <w:rPr>
          <w:spacing w:val="-10"/>
          <w:sz w:val="18"/>
          <w:u w:val="single"/>
        </w:rPr>
        <w:t xml:space="preserve"> </w:t>
      </w:r>
      <w:r>
        <w:rPr>
          <w:sz w:val="18"/>
          <w:u w:val="single"/>
        </w:rPr>
        <w:t>the</w:t>
      </w:r>
      <w:r>
        <w:rPr>
          <w:spacing w:val="-11"/>
          <w:sz w:val="18"/>
          <w:u w:val="single"/>
        </w:rPr>
        <w:t xml:space="preserve"> </w:t>
      </w:r>
      <w:r>
        <w:rPr>
          <w:sz w:val="18"/>
          <w:u w:val="single"/>
        </w:rPr>
        <w:t>dumped</w:t>
      </w:r>
      <w:r>
        <w:rPr>
          <w:spacing w:val="-10"/>
          <w:sz w:val="18"/>
          <w:u w:val="single"/>
        </w:rPr>
        <w:t xml:space="preserve"> </w:t>
      </w:r>
      <w:r>
        <w:rPr>
          <w:sz w:val="18"/>
          <w:u w:val="single"/>
        </w:rPr>
        <w:t>imported</w:t>
      </w:r>
      <w:r>
        <w:rPr>
          <w:spacing w:val="-10"/>
          <w:sz w:val="18"/>
          <w:u w:val="single"/>
        </w:rPr>
        <w:t xml:space="preserve"> </w:t>
      </w:r>
      <w:r>
        <w:rPr>
          <w:sz w:val="18"/>
          <w:u w:val="single"/>
        </w:rPr>
        <w:t>product</w:t>
      </w:r>
      <w:r>
        <w:rPr>
          <w:sz w:val="18"/>
        </w:rPr>
        <w:t xml:space="preserve"> on</w:t>
      </w:r>
      <w:r>
        <w:rPr>
          <w:spacing w:val="-4"/>
          <w:sz w:val="18"/>
        </w:rPr>
        <w:t xml:space="preserve"> </w:t>
      </w:r>
      <w:r>
        <w:rPr>
          <w:sz w:val="18"/>
        </w:rPr>
        <w:t>the</w:t>
      </w:r>
      <w:r>
        <w:rPr>
          <w:spacing w:val="-8"/>
          <w:sz w:val="18"/>
        </w:rPr>
        <w:t xml:space="preserve"> </w:t>
      </w:r>
      <w:r>
        <w:rPr>
          <w:sz w:val="18"/>
        </w:rPr>
        <w:t>price</w:t>
      </w:r>
      <w:r>
        <w:rPr>
          <w:spacing w:val="-8"/>
          <w:sz w:val="18"/>
        </w:rPr>
        <w:t xml:space="preserve"> </w:t>
      </w:r>
      <w:r>
        <w:rPr>
          <w:sz w:val="18"/>
        </w:rPr>
        <w:t>of</w:t>
      </w:r>
      <w:r>
        <w:rPr>
          <w:spacing w:val="-2"/>
          <w:sz w:val="18"/>
        </w:rPr>
        <w:t xml:space="preserve"> </w:t>
      </w:r>
      <w:r>
        <w:rPr>
          <w:sz w:val="18"/>
        </w:rPr>
        <w:t>domestic</w:t>
      </w:r>
      <w:r>
        <w:rPr>
          <w:spacing w:val="-9"/>
          <w:sz w:val="18"/>
        </w:rPr>
        <w:t xml:space="preserve"> </w:t>
      </w:r>
      <w:r>
        <w:rPr>
          <w:sz w:val="18"/>
        </w:rPr>
        <w:t>like</w:t>
      </w:r>
      <w:r>
        <w:rPr>
          <w:spacing w:val="-3"/>
          <w:sz w:val="18"/>
        </w:rPr>
        <w:t xml:space="preserve"> </w:t>
      </w:r>
      <w:r>
        <w:rPr>
          <w:sz w:val="18"/>
        </w:rPr>
        <w:t>products";</w:t>
      </w:r>
      <w:r>
        <w:rPr>
          <w:spacing w:val="-5"/>
          <w:sz w:val="18"/>
        </w:rPr>
        <w:t xml:space="preserve"> </w:t>
      </w:r>
      <w:r>
        <w:rPr>
          <w:sz w:val="18"/>
        </w:rPr>
        <w:t>"the</w:t>
      </w:r>
      <w:r>
        <w:rPr>
          <w:spacing w:val="-8"/>
          <w:sz w:val="18"/>
        </w:rPr>
        <w:t xml:space="preserve"> </w:t>
      </w:r>
      <w:r>
        <w:rPr>
          <w:sz w:val="18"/>
        </w:rPr>
        <w:t>volume</w:t>
      </w:r>
      <w:r>
        <w:rPr>
          <w:spacing w:val="-8"/>
          <w:sz w:val="18"/>
        </w:rPr>
        <w:t xml:space="preserve"> </w:t>
      </w:r>
      <w:r>
        <w:rPr>
          <w:sz w:val="18"/>
        </w:rPr>
        <w:t>of</w:t>
      </w:r>
      <w:r>
        <w:rPr>
          <w:spacing w:val="-7"/>
          <w:sz w:val="18"/>
        </w:rPr>
        <w:t xml:space="preserve"> </w:t>
      </w:r>
      <w:r>
        <w:rPr>
          <w:sz w:val="18"/>
        </w:rPr>
        <w:t>the</w:t>
      </w:r>
      <w:r>
        <w:rPr>
          <w:spacing w:val="-8"/>
          <w:sz w:val="18"/>
        </w:rPr>
        <w:t xml:space="preserve"> </w:t>
      </w:r>
      <w:r>
        <w:rPr>
          <w:sz w:val="18"/>
        </w:rPr>
        <w:t>dumped</w:t>
      </w:r>
      <w:r>
        <w:rPr>
          <w:spacing w:val="-4"/>
          <w:sz w:val="18"/>
        </w:rPr>
        <w:t xml:space="preserve"> </w:t>
      </w:r>
      <w:r>
        <w:rPr>
          <w:sz w:val="18"/>
        </w:rPr>
        <w:t>imported</w:t>
      </w:r>
      <w:r>
        <w:rPr>
          <w:spacing w:val="-4"/>
          <w:sz w:val="18"/>
        </w:rPr>
        <w:t xml:space="preserve"> </w:t>
      </w:r>
      <w:r>
        <w:rPr>
          <w:sz w:val="18"/>
        </w:rPr>
        <w:t>products</w:t>
      </w:r>
      <w:r>
        <w:rPr>
          <w:spacing w:val="-3"/>
          <w:sz w:val="18"/>
        </w:rPr>
        <w:t xml:space="preserve"> </w:t>
      </w:r>
      <w:r>
        <w:rPr>
          <w:sz w:val="18"/>
        </w:rPr>
        <w:t>accumulatively</w:t>
      </w:r>
      <w:r>
        <w:rPr>
          <w:spacing w:val="-10"/>
          <w:sz w:val="18"/>
        </w:rPr>
        <w:t xml:space="preserve"> </w:t>
      </w:r>
      <w:r>
        <w:rPr>
          <w:sz w:val="18"/>
        </w:rPr>
        <w:t>increased</w:t>
      </w:r>
      <w:r>
        <w:rPr>
          <w:spacing w:val="-9"/>
          <w:sz w:val="18"/>
        </w:rPr>
        <w:t xml:space="preserve"> </w:t>
      </w:r>
      <w:r>
        <w:rPr>
          <w:sz w:val="18"/>
        </w:rPr>
        <w:t>by</w:t>
      </w:r>
      <w:r>
        <w:rPr>
          <w:spacing w:val="-5"/>
          <w:sz w:val="18"/>
        </w:rPr>
        <w:t xml:space="preserve"> </w:t>
      </w:r>
      <w:r>
        <w:rPr>
          <w:sz w:val="18"/>
        </w:rPr>
        <w:t xml:space="preserve">113.05% and the </w:t>
      </w:r>
      <w:r>
        <w:rPr>
          <w:sz w:val="18"/>
          <w:u w:val="single"/>
        </w:rPr>
        <w:t>price dropped by 15.91%</w:t>
      </w:r>
      <w:r>
        <w:rPr>
          <w:sz w:val="18"/>
        </w:rPr>
        <w:t xml:space="preserve">, directly suppressed the price increase of the domestic like products"); 64 ("The evidence showed that from 2015 to 2019, the volume of the dumped imports from Australia continued to increase significantly, </w:t>
      </w:r>
      <w:r>
        <w:rPr>
          <w:sz w:val="18"/>
          <w:u w:val="single"/>
        </w:rPr>
        <w:t>the</w:t>
      </w:r>
      <w:r>
        <w:rPr>
          <w:sz w:val="18"/>
        </w:rPr>
        <w:t xml:space="preserve"> </w:t>
      </w:r>
      <w:r>
        <w:rPr>
          <w:sz w:val="18"/>
          <w:u w:val="single"/>
        </w:rPr>
        <w:t>price of the dumped imports suppressed the prices of the domestic like products</w:t>
      </w:r>
      <w:r>
        <w:rPr>
          <w:sz w:val="18"/>
        </w:rPr>
        <w:t>, and the production and operation of the domestic</w:t>
      </w:r>
      <w:r>
        <w:rPr>
          <w:spacing w:val="-9"/>
          <w:sz w:val="18"/>
        </w:rPr>
        <w:t xml:space="preserve"> </w:t>
      </w:r>
      <w:r>
        <w:rPr>
          <w:sz w:val="18"/>
        </w:rPr>
        <w:t>like</w:t>
      </w:r>
      <w:r>
        <w:rPr>
          <w:spacing w:val="-3"/>
          <w:sz w:val="18"/>
        </w:rPr>
        <w:t xml:space="preserve"> </w:t>
      </w:r>
      <w:r>
        <w:rPr>
          <w:sz w:val="18"/>
        </w:rPr>
        <w:t>products</w:t>
      </w:r>
      <w:r>
        <w:rPr>
          <w:spacing w:val="-8"/>
          <w:sz w:val="18"/>
        </w:rPr>
        <w:t xml:space="preserve"> </w:t>
      </w:r>
      <w:r>
        <w:rPr>
          <w:sz w:val="18"/>
        </w:rPr>
        <w:t>of</w:t>
      </w:r>
      <w:r>
        <w:rPr>
          <w:spacing w:val="-7"/>
          <w:sz w:val="18"/>
        </w:rPr>
        <w:t xml:space="preserve"> </w:t>
      </w:r>
      <w:r>
        <w:rPr>
          <w:sz w:val="18"/>
        </w:rPr>
        <w:t>the</w:t>
      </w:r>
      <w:r>
        <w:rPr>
          <w:spacing w:val="-8"/>
          <w:sz w:val="18"/>
        </w:rPr>
        <w:t xml:space="preserve"> </w:t>
      </w:r>
      <w:r>
        <w:rPr>
          <w:sz w:val="18"/>
        </w:rPr>
        <w:t>domestic</w:t>
      </w:r>
      <w:r>
        <w:rPr>
          <w:spacing w:val="-4"/>
          <w:sz w:val="18"/>
        </w:rPr>
        <w:t xml:space="preserve"> </w:t>
      </w:r>
      <w:r>
        <w:rPr>
          <w:sz w:val="18"/>
        </w:rPr>
        <w:t>industry</w:t>
      </w:r>
      <w:r>
        <w:rPr>
          <w:spacing w:val="-10"/>
          <w:sz w:val="18"/>
        </w:rPr>
        <w:t xml:space="preserve"> </w:t>
      </w:r>
      <w:r>
        <w:rPr>
          <w:sz w:val="18"/>
        </w:rPr>
        <w:t>deteriorated");</w:t>
      </w:r>
      <w:r>
        <w:rPr>
          <w:spacing w:val="-5"/>
          <w:sz w:val="18"/>
        </w:rPr>
        <w:t xml:space="preserve"> </w:t>
      </w:r>
      <w:r>
        <w:rPr>
          <w:sz w:val="18"/>
        </w:rPr>
        <w:t>and</w:t>
      </w:r>
      <w:r>
        <w:rPr>
          <w:spacing w:val="-8"/>
          <w:sz w:val="18"/>
        </w:rPr>
        <w:t xml:space="preserve"> </w:t>
      </w:r>
      <w:r>
        <w:rPr>
          <w:sz w:val="18"/>
        </w:rPr>
        <w:t>68</w:t>
      </w:r>
      <w:r>
        <w:rPr>
          <w:spacing w:val="-5"/>
          <w:sz w:val="18"/>
        </w:rPr>
        <w:t xml:space="preserve"> </w:t>
      </w:r>
      <w:r>
        <w:rPr>
          <w:sz w:val="18"/>
        </w:rPr>
        <w:t>("The</w:t>
      </w:r>
      <w:r>
        <w:rPr>
          <w:spacing w:val="-3"/>
          <w:sz w:val="18"/>
        </w:rPr>
        <w:t xml:space="preserve"> </w:t>
      </w:r>
      <w:r>
        <w:rPr>
          <w:sz w:val="18"/>
        </w:rPr>
        <w:t>comparison</w:t>
      </w:r>
      <w:r>
        <w:rPr>
          <w:spacing w:val="-8"/>
          <w:sz w:val="18"/>
        </w:rPr>
        <w:t xml:space="preserve"> </w:t>
      </w:r>
      <w:r>
        <w:rPr>
          <w:sz w:val="18"/>
        </w:rPr>
        <w:t>data</w:t>
      </w:r>
      <w:r>
        <w:rPr>
          <w:spacing w:val="-10"/>
          <w:sz w:val="18"/>
        </w:rPr>
        <w:t xml:space="preserve"> </w:t>
      </w:r>
      <w:r>
        <w:rPr>
          <w:sz w:val="18"/>
        </w:rPr>
        <w:t>showed</w:t>
      </w:r>
      <w:r>
        <w:rPr>
          <w:spacing w:val="-4"/>
          <w:sz w:val="18"/>
        </w:rPr>
        <w:t xml:space="preserve"> </w:t>
      </w:r>
      <w:r>
        <w:rPr>
          <w:sz w:val="18"/>
        </w:rPr>
        <w:t>that</w:t>
      </w:r>
      <w:r>
        <w:rPr>
          <w:spacing w:val="-7"/>
          <w:sz w:val="18"/>
        </w:rPr>
        <w:t xml:space="preserve"> </w:t>
      </w:r>
      <w:r>
        <w:rPr>
          <w:sz w:val="18"/>
        </w:rPr>
        <w:t>during</w:t>
      </w:r>
      <w:r>
        <w:rPr>
          <w:spacing w:val="-8"/>
          <w:sz w:val="18"/>
        </w:rPr>
        <w:t xml:space="preserve"> </w:t>
      </w:r>
      <w:r>
        <w:rPr>
          <w:sz w:val="18"/>
        </w:rPr>
        <w:t>the</w:t>
      </w:r>
      <w:r>
        <w:rPr>
          <w:spacing w:val="-3"/>
          <w:sz w:val="18"/>
        </w:rPr>
        <w:t xml:space="preserve"> </w:t>
      </w:r>
      <w:r>
        <w:rPr>
          <w:sz w:val="18"/>
        </w:rPr>
        <w:t>period of injury investigation, the price of the dumped imports was in a downtrend with a cumulative decline of 15.91% in 2015- 2019, suppressing the</w:t>
      </w:r>
      <w:r>
        <w:rPr>
          <w:spacing w:val="-3"/>
          <w:sz w:val="18"/>
        </w:rPr>
        <w:t xml:space="preserve"> </w:t>
      </w:r>
      <w:r>
        <w:rPr>
          <w:sz w:val="18"/>
        </w:rPr>
        <w:t>price of the domestic like products</w:t>
      </w:r>
      <w:r>
        <w:rPr>
          <w:spacing w:val="-3"/>
          <w:sz w:val="18"/>
        </w:rPr>
        <w:t xml:space="preserve"> </w:t>
      </w:r>
      <w:r>
        <w:rPr>
          <w:sz w:val="18"/>
        </w:rPr>
        <w:t>[…]"). Anti-Dumping Final Determination (Exhibit AUS-2), pp. 120- 121, 132, 139.</w:t>
      </w:r>
    </w:p>
    <w:p w14:paraId="23E973CE" w14:textId="77777777" w:rsidR="00BD462C" w:rsidRDefault="00033D0F">
      <w:pPr>
        <w:ind w:left="135" w:right="904"/>
        <w:jc w:val="both"/>
        <w:rPr>
          <w:sz w:val="18"/>
        </w:rPr>
      </w:pPr>
      <w:bookmarkStart w:id="850" w:name="_bookmark727"/>
      <w:bookmarkEnd w:id="850"/>
      <w:r>
        <w:rPr>
          <w:position w:val="5"/>
          <w:sz w:val="12"/>
        </w:rPr>
        <w:t>607</w:t>
      </w:r>
      <w:r>
        <w:rPr>
          <w:spacing w:val="30"/>
          <w:position w:val="5"/>
          <w:sz w:val="12"/>
        </w:rPr>
        <w:t xml:space="preserve"> </w:t>
      </w:r>
      <w:r>
        <w:rPr>
          <w:sz w:val="18"/>
        </w:rPr>
        <w:t xml:space="preserve">Anti-Dumping Final Determination (Exhibit CHN-1), pp. 55, 57-58 ("After further review, the IA held that […] the price competition between the Subject Product and the domestic like products didn't just occur at the retail level. Secondly, the prices of the dumped imported product and the domestic like products </w:t>
      </w:r>
      <w:r>
        <w:rPr>
          <w:sz w:val="18"/>
          <w:u w:val="single"/>
        </w:rPr>
        <w:t>should be compared</w:t>
      </w:r>
      <w:r>
        <w:rPr>
          <w:sz w:val="18"/>
        </w:rPr>
        <w:t xml:space="preserve"> at the same level of trade to ensure that they were comparable when conducting price comparisons"); and 58-59. Anti-Dumping Final Determination (Exhibit AUS-2), pp. 113-114, 117-118, 120-121.</w:t>
      </w:r>
    </w:p>
    <w:p w14:paraId="4E0C73E9" w14:textId="77777777" w:rsidR="00BD462C" w:rsidRDefault="00BD462C">
      <w:pPr>
        <w:jc w:val="both"/>
        <w:rPr>
          <w:sz w:val="18"/>
        </w:rPr>
        <w:sectPr w:rsidR="00BD462C">
          <w:pgSz w:w="11910" w:h="16840"/>
          <w:pgMar w:top="860" w:right="500" w:bottom="780" w:left="1280" w:header="566" w:footer="590" w:gutter="0"/>
          <w:cols w:space="720"/>
        </w:sectPr>
      </w:pPr>
    </w:p>
    <w:p w14:paraId="4EC795D3"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59CB93DF"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71F4B224"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53631101" w14:textId="293B89C2" w:rsidR="00BD462C" w:rsidRDefault="0081097F">
      <w:pPr>
        <w:pStyle w:val="BodyText"/>
        <w:spacing w:before="107" w:line="360" w:lineRule="auto"/>
        <w:ind w:left="135" w:right="912" w:hanging="5"/>
        <w:jc w:val="both"/>
      </w:pPr>
      <w:r>
        <w:rPr>
          <w:noProof/>
        </w:rPr>
        <w:t>436.</w:t>
      </w:r>
      <w:r w:rsidR="00033D0F">
        <w:rPr>
          <w:rFonts w:ascii="Times New Roman"/>
          <w:spacing w:val="40"/>
          <w:position w:val="1"/>
          <w:sz w:val="20"/>
        </w:rPr>
        <w:t xml:space="preserve"> </w:t>
      </w:r>
      <w:r w:rsidR="00033D0F">
        <w:rPr>
          <w:position w:val="1"/>
        </w:rPr>
        <w:t xml:space="preserve">Second, it is well established that price comparability is required any time a price </w:t>
      </w:r>
      <w:r w:rsidR="00033D0F">
        <w:t>comparison is made during a price effects analysis.</w:t>
      </w:r>
      <w:hyperlink w:anchor="_bookmark728" w:history="1">
        <w:r w:rsidR="00033D0F">
          <w:rPr>
            <w:vertAlign w:val="superscript"/>
          </w:rPr>
          <w:t>608</w:t>
        </w:r>
      </w:hyperlink>
      <w:r w:rsidR="00033D0F">
        <w:t xml:space="preserve"> A failure to do so results in a violation of</w:t>
      </w:r>
      <w:r w:rsidR="00033D0F">
        <w:rPr>
          <w:spacing w:val="-13"/>
        </w:rPr>
        <w:t xml:space="preserve"> </w:t>
      </w:r>
      <w:r w:rsidR="00033D0F">
        <w:t>Articles 3.1</w:t>
      </w:r>
      <w:r w:rsidR="00033D0F">
        <w:rPr>
          <w:spacing w:val="-13"/>
        </w:rPr>
        <w:t xml:space="preserve"> </w:t>
      </w:r>
      <w:r w:rsidR="00033D0F">
        <w:t>and</w:t>
      </w:r>
      <w:r w:rsidR="00033D0F">
        <w:rPr>
          <w:spacing w:val="-8"/>
        </w:rPr>
        <w:t xml:space="preserve"> </w:t>
      </w:r>
      <w:r w:rsidR="00033D0F">
        <w:t>3.2.</w:t>
      </w:r>
      <w:hyperlink w:anchor="_bookmark729" w:history="1">
        <w:r w:rsidR="00033D0F">
          <w:rPr>
            <w:vertAlign w:val="superscript"/>
          </w:rPr>
          <w:t>609</w:t>
        </w:r>
      </w:hyperlink>
      <w:r w:rsidR="00033D0F">
        <w:rPr>
          <w:spacing w:val="-10"/>
        </w:rPr>
        <w:t xml:space="preserve"> </w:t>
      </w:r>
      <w:r w:rsidR="00033D0F">
        <w:t>The</w:t>
      </w:r>
      <w:r w:rsidR="00033D0F">
        <w:rPr>
          <w:spacing w:val="-11"/>
        </w:rPr>
        <w:t xml:space="preserve"> </w:t>
      </w:r>
      <w:r w:rsidR="00033D0F">
        <w:t>fact</w:t>
      </w:r>
      <w:r w:rsidR="00033D0F">
        <w:rPr>
          <w:spacing w:val="-10"/>
        </w:rPr>
        <w:t xml:space="preserve"> </w:t>
      </w:r>
      <w:r w:rsidR="00033D0F">
        <w:t>that</w:t>
      </w:r>
      <w:r w:rsidR="00033D0F">
        <w:rPr>
          <w:spacing w:val="-6"/>
        </w:rPr>
        <w:t xml:space="preserve"> </w:t>
      </w:r>
      <w:r w:rsidR="00033D0F">
        <w:t>factors</w:t>
      </w:r>
      <w:r w:rsidR="00033D0F">
        <w:rPr>
          <w:spacing w:val="-5"/>
        </w:rPr>
        <w:t xml:space="preserve"> </w:t>
      </w:r>
      <w:r w:rsidR="00033D0F">
        <w:t>other</w:t>
      </w:r>
      <w:r w:rsidR="00033D0F">
        <w:rPr>
          <w:spacing w:val="-14"/>
        </w:rPr>
        <w:t xml:space="preserve"> </w:t>
      </w:r>
      <w:r w:rsidR="00033D0F">
        <w:t>than</w:t>
      </w:r>
      <w:r w:rsidR="00033D0F">
        <w:rPr>
          <w:spacing w:val="-13"/>
        </w:rPr>
        <w:t xml:space="preserve"> </w:t>
      </w:r>
      <w:r w:rsidR="00033D0F">
        <w:t>price</w:t>
      </w:r>
      <w:r w:rsidR="00033D0F">
        <w:rPr>
          <w:spacing w:val="-11"/>
        </w:rPr>
        <w:t xml:space="preserve"> </w:t>
      </w:r>
      <w:r w:rsidR="00033D0F">
        <w:t>may</w:t>
      </w:r>
      <w:r w:rsidR="00033D0F">
        <w:rPr>
          <w:spacing w:val="-10"/>
        </w:rPr>
        <w:t xml:space="preserve"> </w:t>
      </w:r>
      <w:r w:rsidR="00033D0F">
        <w:t>also</w:t>
      </w:r>
      <w:r w:rsidR="00033D0F">
        <w:rPr>
          <w:spacing w:val="-13"/>
        </w:rPr>
        <w:t xml:space="preserve"> </w:t>
      </w:r>
      <w:r w:rsidR="00033D0F">
        <w:t>have</w:t>
      </w:r>
      <w:r w:rsidR="00033D0F">
        <w:rPr>
          <w:spacing w:val="-11"/>
        </w:rPr>
        <w:t xml:space="preserve"> </w:t>
      </w:r>
      <w:r w:rsidR="00033D0F">
        <w:t>been</w:t>
      </w:r>
      <w:r w:rsidR="00033D0F">
        <w:rPr>
          <w:spacing w:val="-13"/>
        </w:rPr>
        <w:t xml:space="preserve"> </w:t>
      </w:r>
      <w:r w:rsidR="00033D0F">
        <w:t>considered during</w:t>
      </w:r>
      <w:r w:rsidR="00033D0F">
        <w:rPr>
          <w:spacing w:val="-14"/>
        </w:rPr>
        <w:t xml:space="preserve"> </w:t>
      </w:r>
      <w:r w:rsidR="00033D0F">
        <w:t>a</w:t>
      </w:r>
      <w:r w:rsidR="00033D0F">
        <w:rPr>
          <w:spacing w:val="-14"/>
        </w:rPr>
        <w:t xml:space="preserve"> </w:t>
      </w:r>
      <w:r w:rsidR="00033D0F">
        <w:t>price</w:t>
      </w:r>
      <w:r w:rsidR="00033D0F">
        <w:rPr>
          <w:spacing w:val="-13"/>
        </w:rPr>
        <w:t xml:space="preserve"> </w:t>
      </w:r>
      <w:r w:rsidR="00033D0F">
        <w:t>effects</w:t>
      </w:r>
      <w:r w:rsidR="00033D0F">
        <w:rPr>
          <w:spacing w:val="-14"/>
        </w:rPr>
        <w:t xml:space="preserve"> </w:t>
      </w:r>
      <w:r w:rsidR="00033D0F">
        <w:t>analysis</w:t>
      </w:r>
      <w:r w:rsidR="00033D0F">
        <w:rPr>
          <w:spacing w:val="-13"/>
        </w:rPr>
        <w:t xml:space="preserve"> </w:t>
      </w:r>
      <w:r w:rsidR="00033D0F">
        <w:t>is:</w:t>
      </w:r>
      <w:r w:rsidR="00033D0F">
        <w:rPr>
          <w:spacing w:val="-14"/>
        </w:rPr>
        <w:t xml:space="preserve"> </w:t>
      </w:r>
      <w:r w:rsidR="00033D0F">
        <w:t>(i)</w:t>
      </w:r>
      <w:r w:rsidR="00033D0F">
        <w:rPr>
          <w:spacing w:val="-13"/>
        </w:rPr>
        <w:t xml:space="preserve"> </w:t>
      </w:r>
      <w:r w:rsidR="00033D0F">
        <w:t>irrelevant;</w:t>
      </w:r>
      <w:r w:rsidR="00033D0F">
        <w:rPr>
          <w:spacing w:val="-14"/>
        </w:rPr>
        <w:t xml:space="preserve"> </w:t>
      </w:r>
      <w:r w:rsidR="00033D0F">
        <w:t>and</w:t>
      </w:r>
      <w:r w:rsidR="00033D0F">
        <w:rPr>
          <w:spacing w:val="-14"/>
        </w:rPr>
        <w:t xml:space="preserve"> </w:t>
      </w:r>
      <w:r w:rsidR="00033D0F">
        <w:t>(ii)</w:t>
      </w:r>
      <w:r w:rsidR="00033D0F">
        <w:rPr>
          <w:spacing w:val="-13"/>
        </w:rPr>
        <w:t xml:space="preserve"> </w:t>
      </w:r>
      <w:r w:rsidR="00033D0F">
        <w:t>not</w:t>
      </w:r>
      <w:r w:rsidR="00033D0F">
        <w:rPr>
          <w:spacing w:val="-14"/>
        </w:rPr>
        <w:t xml:space="preserve"> </w:t>
      </w:r>
      <w:r w:rsidR="00033D0F">
        <w:t>an</w:t>
      </w:r>
      <w:r w:rsidR="00033D0F">
        <w:rPr>
          <w:spacing w:val="-13"/>
        </w:rPr>
        <w:t xml:space="preserve"> </w:t>
      </w:r>
      <w:r w:rsidR="00033D0F">
        <w:t>answer</w:t>
      </w:r>
      <w:r w:rsidR="00033D0F">
        <w:rPr>
          <w:spacing w:val="-14"/>
        </w:rPr>
        <w:t xml:space="preserve"> </w:t>
      </w:r>
      <w:r w:rsidR="00033D0F">
        <w:t>to</w:t>
      </w:r>
      <w:r w:rsidR="00033D0F">
        <w:rPr>
          <w:spacing w:val="-13"/>
        </w:rPr>
        <w:t xml:space="preserve"> </w:t>
      </w:r>
      <w:r w:rsidR="00033D0F">
        <w:t>the</w:t>
      </w:r>
      <w:r w:rsidR="00033D0F">
        <w:rPr>
          <w:spacing w:val="-14"/>
        </w:rPr>
        <w:t xml:space="preserve"> </w:t>
      </w:r>
      <w:r w:rsidR="00033D0F">
        <w:t>obligation</w:t>
      </w:r>
      <w:r w:rsidR="00033D0F">
        <w:rPr>
          <w:spacing w:val="-14"/>
        </w:rPr>
        <w:t xml:space="preserve"> </w:t>
      </w:r>
      <w:r w:rsidR="00033D0F">
        <w:t>to</w:t>
      </w:r>
      <w:r w:rsidR="00033D0F">
        <w:rPr>
          <w:spacing w:val="-13"/>
        </w:rPr>
        <w:t xml:space="preserve"> </w:t>
      </w:r>
      <w:r w:rsidR="00033D0F">
        <w:t>ensure price comparability.</w:t>
      </w:r>
    </w:p>
    <w:p w14:paraId="1A902C02" w14:textId="77777777" w:rsidR="00BD462C" w:rsidRDefault="00BD462C">
      <w:pPr>
        <w:pStyle w:val="BodyText"/>
        <w:spacing w:before="6"/>
        <w:rPr>
          <w:sz w:val="8"/>
        </w:rPr>
      </w:pPr>
    </w:p>
    <w:p w14:paraId="27F4F7A2" w14:textId="6C2F2F6E" w:rsidR="00BD462C" w:rsidRDefault="0081097F">
      <w:pPr>
        <w:pStyle w:val="BodyText"/>
        <w:spacing w:before="56" w:line="357" w:lineRule="auto"/>
        <w:ind w:left="135" w:right="914" w:hanging="5"/>
        <w:jc w:val="both"/>
      </w:pPr>
      <w:r>
        <w:rPr>
          <w:noProof/>
        </w:rPr>
        <w:t>437.</w:t>
      </w:r>
      <w:r w:rsidR="00033D0F">
        <w:rPr>
          <w:rFonts w:ascii="Times New Roman"/>
          <w:spacing w:val="40"/>
          <w:position w:val="1"/>
          <w:sz w:val="20"/>
        </w:rPr>
        <w:t xml:space="preserve"> </w:t>
      </w:r>
      <w:r w:rsidR="00033D0F">
        <w:rPr>
          <w:position w:val="1"/>
        </w:rPr>
        <w:t xml:space="preserve">Australia's claim regarding price comparability was clearly identified in claim xix of </w:t>
      </w:r>
      <w:r w:rsidR="00033D0F">
        <w:t>Australia's</w:t>
      </w:r>
      <w:r w:rsidR="00033D0F">
        <w:rPr>
          <w:spacing w:val="-14"/>
        </w:rPr>
        <w:t xml:space="preserve"> </w:t>
      </w:r>
      <w:r w:rsidR="00033D0F">
        <w:t>panel</w:t>
      </w:r>
      <w:r w:rsidR="00033D0F">
        <w:rPr>
          <w:spacing w:val="-14"/>
        </w:rPr>
        <w:t xml:space="preserve"> </w:t>
      </w:r>
      <w:r w:rsidR="00033D0F">
        <w:t>request</w:t>
      </w:r>
      <w:r w:rsidR="00033D0F">
        <w:rPr>
          <w:spacing w:val="-13"/>
        </w:rPr>
        <w:t xml:space="preserve"> </w:t>
      </w:r>
      <w:r w:rsidR="00033D0F">
        <w:t>and</w:t>
      </w:r>
      <w:r w:rsidR="00033D0F">
        <w:rPr>
          <w:spacing w:val="-14"/>
        </w:rPr>
        <w:t xml:space="preserve"> </w:t>
      </w:r>
      <w:r w:rsidR="00033D0F">
        <w:t>is</w:t>
      </w:r>
      <w:r w:rsidR="00033D0F">
        <w:rPr>
          <w:spacing w:val="-13"/>
        </w:rPr>
        <w:t xml:space="preserve"> </w:t>
      </w:r>
      <w:r w:rsidR="00033D0F">
        <w:t>within</w:t>
      </w:r>
      <w:r w:rsidR="00033D0F">
        <w:rPr>
          <w:spacing w:val="-14"/>
        </w:rPr>
        <w:t xml:space="preserve"> </w:t>
      </w:r>
      <w:r w:rsidR="00033D0F">
        <w:t>the</w:t>
      </w:r>
      <w:r w:rsidR="00033D0F">
        <w:rPr>
          <w:spacing w:val="-13"/>
        </w:rPr>
        <w:t xml:space="preserve"> </w:t>
      </w:r>
      <w:r w:rsidR="00033D0F">
        <w:t>panel's</w:t>
      </w:r>
      <w:r w:rsidR="00033D0F">
        <w:rPr>
          <w:spacing w:val="-14"/>
        </w:rPr>
        <w:t xml:space="preserve"> </w:t>
      </w:r>
      <w:r w:rsidR="00033D0F">
        <w:t>terms</w:t>
      </w:r>
      <w:r w:rsidR="00033D0F">
        <w:rPr>
          <w:spacing w:val="-14"/>
        </w:rPr>
        <w:t xml:space="preserve"> </w:t>
      </w:r>
      <w:r w:rsidR="00033D0F">
        <w:t>of</w:t>
      </w:r>
      <w:r w:rsidR="00033D0F">
        <w:rPr>
          <w:spacing w:val="-13"/>
        </w:rPr>
        <w:t xml:space="preserve"> </w:t>
      </w:r>
      <w:r w:rsidR="00033D0F">
        <w:t>reference.</w:t>
      </w:r>
      <w:r w:rsidR="00033D0F">
        <w:rPr>
          <w:spacing w:val="-14"/>
        </w:rPr>
        <w:t xml:space="preserve"> </w:t>
      </w:r>
      <w:r w:rsidR="00033D0F">
        <w:t>Australia</w:t>
      </w:r>
      <w:r w:rsidR="00033D0F">
        <w:rPr>
          <w:spacing w:val="-13"/>
        </w:rPr>
        <w:t xml:space="preserve"> </w:t>
      </w:r>
      <w:r w:rsidR="00033D0F">
        <w:t>has</w:t>
      </w:r>
      <w:r w:rsidR="00033D0F">
        <w:rPr>
          <w:spacing w:val="-14"/>
        </w:rPr>
        <w:t xml:space="preserve"> </w:t>
      </w:r>
      <w:r w:rsidR="00033D0F">
        <w:t xml:space="preserve">established a </w:t>
      </w:r>
      <w:r w:rsidR="00033D0F">
        <w:rPr>
          <w:i/>
        </w:rPr>
        <w:t xml:space="preserve">prima facie </w:t>
      </w:r>
      <w:r w:rsidR="00033D0F">
        <w:t xml:space="preserve">case and discharged its burden of proof. Australia addresses China's argument relating to facts available in section </w:t>
      </w:r>
      <w:hyperlink w:anchor="_bookmark762" w:history="1">
        <w:r w:rsidR="00033D0F">
          <w:t>V.B.2(d)i</w:t>
        </w:r>
      </w:hyperlink>
      <w:r w:rsidR="00033D0F">
        <w:t xml:space="preserve"> below.</w:t>
      </w:r>
    </w:p>
    <w:p w14:paraId="7BCCD073" w14:textId="77777777" w:rsidR="00BD462C" w:rsidRDefault="00033D0F">
      <w:pPr>
        <w:pStyle w:val="ListParagraph"/>
        <w:numPr>
          <w:ilvl w:val="0"/>
          <w:numId w:val="55"/>
        </w:numPr>
        <w:tabs>
          <w:tab w:val="left" w:pos="3539"/>
          <w:tab w:val="left" w:pos="3540"/>
        </w:tabs>
        <w:spacing w:before="164" w:line="362" w:lineRule="auto"/>
        <w:ind w:right="912"/>
        <w:jc w:val="both"/>
        <w:rPr>
          <w:sz w:val="24"/>
        </w:rPr>
      </w:pPr>
      <w:bookmarkStart w:id="851" w:name="(b)_MOFCOM_failed_to_ensure_price_compar"/>
      <w:bookmarkEnd w:id="851"/>
      <w:r>
        <w:rPr>
          <w:sz w:val="24"/>
          <w:u w:val="single"/>
        </w:rPr>
        <w:t>MOFCOM</w:t>
      </w:r>
      <w:r>
        <w:rPr>
          <w:spacing w:val="-5"/>
          <w:sz w:val="24"/>
          <w:u w:val="single"/>
        </w:rPr>
        <w:t xml:space="preserve"> </w:t>
      </w:r>
      <w:r>
        <w:rPr>
          <w:sz w:val="24"/>
          <w:u w:val="single"/>
        </w:rPr>
        <w:t>failed</w:t>
      </w:r>
      <w:r>
        <w:rPr>
          <w:spacing w:val="-7"/>
          <w:sz w:val="24"/>
          <w:u w:val="single"/>
        </w:rPr>
        <w:t xml:space="preserve"> </w:t>
      </w:r>
      <w:r>
        <w:rPr>
          <w:sz w:val="24"/>
          <w:u w:val="single"/>
        </w:rPr>
        <w:t>to</w:t>
      </w:r>
      <w:r>
        <w:rPr>
          <w:spacing w:val="-8"/>
          <w:sz w:val="24"/>
          <w:u w:val="single"/>
        </w:rPr>
        <w:t xml:space="preserve"> </w:t>
      </w:r>
      <w:r>
        <w:rPr>
          <w:sz w:val="24"/>
          <w:u w:val="single"/>
        </w:rPr>
        <w:t>ensure</w:t>
      </w:r>
      <w:r>
        <w:rPr>
          <w:spacing w:val="-5"/>
          <w:sz w:val="24"/>
          <w:u w:val="single"/>
        </w:rPr>
        <w:t xml:space="preserve"> </w:t>
      </w:r>
      <w:r>
        <w:rPr>
          <w:sz w:val="24"/>
          <w:u w:val="single"/>
        </w:rPr>
        <w:t>price</w:t>
      </w:r>
      <w:r>
        <w:rPr>
          <w:spacing w:val="-5"/>
          <w:sz w:val="24"/>
          <w:u w:val="single"/>
        </w:rPr>
        <w:t xml:space="preserve"> </w:t>
      </w:r>
      <w:r>
        <w:rPr>
          <w:sz w:val="24"/>
          <w:u w:val="single"/>
        </w:rPr>
        <w:t>comparability</w:t>
      </w:r>
      <w:r>
        <w:rPr>
          <w:spacing w:val="-4"/>
          <w:sz w:val="24"/>
          <w:u w:val="single"/>
        </w:rPr>
        <w:t xml:space="preserve"> </w:t>
      </w:r>
      <w:r>
        <w:rPr>
          <w:sz w:val="24"/>
          <w:u w:val="single"/>
        </w:rPr>
        <w:t>by</w:t>
      </w:r>
      <w:r>
        <w:rPr>
          <w:spacing w:val="-4"/>
          <w:sz w:val="24"/>
          <w:u w:val="single"/>
        </w:rPr>
        <w:t xml:space="preserve"> </w:t>
      </w:r>
      <w:r>
        <w:rPr>
          <w:sz w:val="24"/>
          <w:u w:val="single"/>
        </w:rPr>
        <w:t>failing</w:t>
      </w:r>
      <w:r>
        <w:rPr>
          <w:spacing w:val="-4"/>
          <w:sz w:val="24"/>
          <w:u w:val="single"/>
        </w:rPr>
        <w:t xml:space="preserve"> </w:t>
      </w:r>
      <w:r>
        <w:rPr>
          <w:sz w:val="24"/>
          <w:u w:val="single"/>
        </w:rPr>
        <w:t>to</w:t>
      </w:r>
      <w:r>
        <w:rPr>
          <w:sz w:val="24"/>
        </w:rPr>
        <w:t xml:space="preserve"> </w:t>
      </w:r>
      <w:r>
        <w:rPr>
          <w:sz w:val="24"/>
          <w:u w:val="single"/>
        </w:rPr>
        <w:t>account for differences in level of trade</w:t>
      </w:r>
    </w:p>
    <w:p w14:paraId="7B65BA5E" w14:textId="77777777" w:rsidR="00BD462C" w:rsidRDefault="00BD462C">
      <w:pPr>
        <w:pStyle w:val="BodyText"/>
        <w:spacing w:before="8"/>
        <w:rPr>
          <w:sz w:val="8"/>
        </w:rPr>
      </w:pPr>
    </w:p>
    <w:p w14:paraId="08ABAC40" w14:textId="13F9A514" w:rsidR="00BD462C" w:rsidRDefault="0081097F">
      <w:pPr>
        <w:pStyle w:val="BodyText"/>
        <w:spacing w:before="56" w:line="355" w:lineRule="auto"/>
        <w:ind w:left="135" w:hanging="5"/>
      </w:pPr>
      <w:r>
        <w:rPr>
          <w:noProof/>
        </w:rPr>
        <w:t>438.</w:t>
      </w:r>
      <w:r w:rsidR="00033D0F">
        <w:rPr>
          <w:rFonts w:ascii="Times New Roman"/>
          <w:spacing w:val="80"/>
          <w:position w:val="1"/>
          <w:sz w:val="20"/>
        </w:rPr>
        <w:t xml:space="preserve"> </w:t>
      </w:r>
      <w:r w:rsidR="00033D0F">
        <w:rPr>
          <w:position w:val="1"/>
        </w:rPr>
        <w:t>There</w:t>
      </w:r>
      <w:r w:rsidR="00033D0F">
        <w:rPr>
          <w:spacing w:val="78"/>
          <w:position w:val="1"/>
        </w:rPr>
        <w:t xml:space="preserve"> </w:t>
      </w:r>
      <w:r w:rsidR="00033D0F">
        <w:rPr>
          <w:position w:val="1"/>
        </w:rPr>
        <w:t>are</w:t>
      </w:r>
      <w:r w:rsidR="00033D0F">
        <w:rPr>
          <w:spacing w:val="78"/>
          <w:position w:val="1"/>
        </w:rPr>
        <w:t xml:space="preserve"> </w:t>
      </w:r>
      <w:r w:rsidR="00033D0F">
        <w:rPr>
          <w:position w:val="1"/>
        </w:rPr>
        <w:t>three</w:t>
      </w:r>
      <w:r w:rsidR="00033D0F">
        <w:rPr>
          <w:spacing w:val="78"/>
          <w:position w:val="1"/>
        </w:rPr>
        <w:t xml:space="preserve"> </w:t>
      </w:r>
      <w:r w:rsidR="00033D0F">
        <w:rPr>
          <w:position w:val="1"/>
        </w:rPr>
        <w:t>key</w:t>
      </w:r>
      <w:r w:rsidR="00033D0F">
        <w:rPr>
          <w:spacing w:val="79"/>
          <w:position w:val="1"/>
        </w:rPr>
        <w:t xml:space="preserve"> </w:t>
      </w:r>
      <w:r w:rsidR="00033D0F">
        <w:rPr>
          <w:position w:val="1"/>
        </w:rPr>
        <w:t>points</w:t>
      </w:r>
      <w:r w:rsidR="00033D0F">
        <w:rPr>
          <w:spacing w:val="79"/>
          <w:position w:val="1"/>
        </w:rPr>
        <w:t xml:space="preserve"> </w:t>
      </w:r>
      <w:r w:rsidR="00033D0F">
        <w:rPr>
          <w:position w:val="1"/>
        </w:rPr>
        <w:t>of</w:t>
      </w:r>
      <w:r w:rsidR="00033D0F">
        <w:rPr>
          <w:spacing w:val="76"/>
          <w:position w:val="1"/>
        </w:rPr>
        <w:t xml:space="preserve"> </w:t>
      </w:r>
      <w:r w:rsidR="00033D0F">
        <w:rPr>
          <w:position w:val="1"/>
        </w:rPr>
        <w:t>disagreement</w:t>
      </w:r>
      <w:r w:rsidR="00033D0F">
        <w:rPr>
          <w:spacing w:val="74"/>
          <w:position w:val="1"/>
        </w:rPr>
        <w:t xml:space="preserve"> </w:t>
      </w:r>
      <w:r w:rsidR="00033D0F">
        <w:rPr>
          <w:position w:val="1"/>
        </w:rPr>
        <w:t>between</w:t>
      </w:r>
      <w:r w:rsidR="00033D0F">
        <w:rPr>
          <w:spacing w:val="76"/>
          <w:position w:val="1"/>
        </w:rPr>
        <w:t xml:space="preserve"> </w:t>
      </w:r>
      <w:r w:rsidR="00033D0F">
        <w:rPr>
          <w:position w:val="1"/>
        </w:rPr>
        <w:t>the</w:t>
      </w:r>
      <w:r w:rsidR="00033D0F">
        <w:rPr>
          <w:spacing w:val="78"/>
          <w:position w:val="1"/>
        </w:rPr>
        <w:t xml:space="preserve"> </w:t>
      </w:r>
      <w:r w:rsidR="00033D0F">
        <w:rPr>
          <w:position w:val="1"/>
        </w:rPr>
        <w:t>parties</w:t>
      </w:r>
      <w:r w:rsidR="00033D0F">
        <w:rPr>
          <w:spacing w:val="79"/>
          <w:position w:val="1"/>
        </w:rPr>
        <w:t xml:space="preserve"> </w:t>
      </w:r>
      <w:r w:rsidR="00033D0F">
        <w:rPr>
          <w:position w:val="1"/>
        </w:rPr>
        <w:t>as</w:t>
      </w:r>
      <w:r w:rsidR="00033D0F">
        <w:rPr>
          <w:spacing w:val="79"/>
          <w:position w:val="1"/>
        </w:rPr>
        <w:t xml:space="preserve"> </w:t>
      </w:r>
      <w:r w:rsidR="00033D0F">
        <w:rPr>
          <w:position w:val="1"/>
        </w:rPr>
        <w:t>to</w:t>
      </w:r>
      <w:r w:rsidR="00033D0F">
        <w:rPr>
          <w:spacing w:val="76"/>
          <w:position w:val="1"/>
        </w:rPr>
        <w:t xml:space="preserve"> </w:t>
      </w:r>
      <w:r w:rsidR="00033D0F">
        <w:rPr>
          <w:position w:val="1"/>
        </w:rPr>
        <w:t xml:space="preserve">how </w:t>
      </w:r>
      <w:r w:rsidR="00033D0F">
        <w:t>differences in level of trade should have been reflected in MOFCOM's price calculation.</w:t>
      </w:r>
    </w:p>
    <w:p w14:paraId="3CFBCFB8" w14:textId="77777777" w:rsidR="00BD462C" w:rsidRDefault="00BD462C">
      <w:pPr>
        <w:pStyle w:val="BodyText"/>
        <w:spacing w:before="4"/>
        <w:rPr>
          <w:sz w:val="9"/>
        </w:rPr>
      </w:pPr>
    </w:p>
    <w:p w14:paraId="235C8FBA" w14:textId="2937093B" w:rsidR="00BD462C" w:rsidRDefault="0081097F">
      <w:pPr>
        <w:pStyle w:val="BodyText"/>
        <w:spacing w:before="56" w:line="360" w:lineRule="auto"/>
        <w:ind w:left="136" w:right="912" w:hanging="5"/>
        <w:jc w:val="both"/>
      </w:pPr>
      <w:r>
        <w:rPr>
          <w:noProof/>
        </w:rPr>
        <w:t>439.</w:t>
      </w:r>
      <w:r w:rsidR="00033D0F">
        <w:rPr>
          <w:rFonts w:ascii="Times New Roman"/>
          <w:spacing w:val="80"/>
          <w:position w:val="1"/>
          <w:sz w:val="20"/>
        </w:rPr>
        <w:t xml:space="preserve"> </w:t>
      </w:r>
      <w:r w:rsidR="00033D0F">
        <w:rPr>
          <w:position w:val="1"/>
        </w:rPr>
        <w:t>First, China asserts</w:t>
      </w:r>
      <w:r w:rsidR="00033D0F">
        <w:rPr>
          <w:spacing w:val="-1"/>
          <w:position w:val="1"/>
        </w:rPr>
        <w:t xml:space="preserve"> </w:t>
      </w:r>
      <w:r w:rsidR="00033D0F">
        <w:rPr>
          <w:position w:val="1"/>
        </w:rPr>
        <w:t xml:space="preserve">that level of trade requires consideration of two distinct aspects: </w:t>
      </w:r>
      <w:r w:rsidR="00033D0F">
        <w:t>market stage and customer categories (or sales channels).</w:t>
      </w:r>
      <w:hyperlink w:anchor="_bookmark730" w:history="1">
        <w:r w:rsidR="00033D0F">
          <w:rPr>
            <w:vertAlign w:val="superscript"/>
          </w:rPr>
          <w:t>610</w:t>
        </w:r>
      </w:hyperlink>
      <w:r w:rsidR="00033D0F">
        <w:t xml:space="preserve"> Australia does not agree with China's view that these two aspects relate to "distinct factual and legal issues". For example, it</w:t>
      </w:r>
      <w:r w:rsidR="00033D0F">
        <w:rPr>
          <w:spacing w:val="-7"/>
        </w:rPr>
        <w:t xml:space="preserve"> </w:t>
      </w:r>
      <w:r w:rsidR="00033D0F">
        <w:t>is</w:t>
      </w:r>
      <w:r w:rsidR="00033D0F">
        <w:rPr>
          <w:spacing w:val="-6"/>
        </w:rPr>
        <w:t xml:space="preserve"> </w:t>
      </w:r>
      <w:r w:rsidR="00033D0F">
        <w:t>not</w:t>
      </w:r>
      <w:r w:rsidR="00033D0F">
        <w:rPr>
          <w:spacing w:val="-7"/>
        </w:rPr>
        <w:t xml:space="preserve"> </w:t>
      </w:r>
      <w:r w:rsidR="00033D0F">
        <w:t>clear</w:t>
      </w:r>
      <w:r w:rsidR="00033D0F">
        <w:rPr>
          <w:spacing w:val="-10"/>
        </w:rPr>
        <w:t xml:space="preserve"> </w:t>
      </w:r>
      <w:r w:rsidR="00033D0F">
        <w:t>how</w:t>
      </w:r>
      <w:r w:rsidR="00033D0F">
        <w:rPr>
          <w:spacing w:val="-7"/>
        </w:rPr>
        <w:t xml:space="preserve"> </w:t>
      </w:r>
      <w:r w:rsidR="00033D0F">
        <w:t>China's</w:t>
      </w:r>
      <w:r w:rsidR="00033D0F">
        <w:rPr>
          <w:spacing w:val="-6"/>
        </w:rPr>
        <w:t xml:space="preserve"> </w:t>
      </w:r>
      <w:r w:rsidR="00033D0F">
        <w:t>"customer</w:t>
      </w:r>
      <w:r w:rsidR="00033D0F">
        <w:rPr>
          <w:spacing w:val="-10"/>
        </w:rPr>
        <w:t xml:space="preserve"> </w:t>
      </w:r>
      <w:r w:rsidR="00033D0F">
        <w:t>categories"</w:t>
      </w:r>
      <w:r w:rsidR="00033D0F">
        <w:rPr>
          <w:spacing w:val="-8"/>
        </w:rPr>
        <w:t xml:space="preserve"> </w:t>
      </w:r>
      <w:r w:rsidR="00033D0F">
        <w:t>differ</w:t>
      </w:r>
      <w:r w:rsidR="00033D0F">
        <w:rPr>
          <w:spacing w:val="-10"/>
        </w:rPr>
        <w:t xml:space="preserve"> </w:t>
      </w:r>
      <w:r w:rsidR="00033D0F">
        <w:t>from</w:t>
      </w:r>
      <w:r w:rsidR="00033D0F">
        <w:rPr>
          <w:spacing w:val="-7"/>
        </w:rPr>
        <w:t xml:space="preserve"> </w:t>
      </w:r>
      <w:r w:rsidR="00033D0F">
        <w:t>the</w:t>
      </w:r>
      <w:r w:rsidR="00033D0F">
        <w:rPr>
          <w:spacing w:val="-7"/>
        </w:rPr>
        <w:t xml:space="preserve"> </w:t>
      </w:r>
      <w:r w:rsidR="00033D0F">
        <w:t>customer</w:t>
      </w:r>
      <w:r w:rsidR="00033D0F">
        <w:rPr>
          <w:spacing w:val="-10"/>
        </w:rPr>
        <w:t xml:space="preserve"> </w:t>
      </w:r>
      <w:r w:rsidR="00033D0F">
        <w:t>types</w:t>
      </w:r>
      <w:r w:rsidR="00033D0F">
        <w:rPr>
          <w:spacing w:val="-6"/>
        </w:rPr>
        <w:t xml:space="preserve"> </w:t>
      </w:r>
      <w:r w:rsidR="00033D0F">
        <w:t>referred</w:t>
      </w:r>
      <w:r w:rsidR="00033D0F">
        <w:rPr>
          <w:spacing w:val="-9"/>
        </w:rPr>
        <w:t xml:space="preserve"> </w:t>
      </w:r>
      <w:r w:rsidR="00033D0F">
        <w:t>to</w:t>
      </w:r>
      <w:r w:rsidR="00033D0F">
        <w:rPr>
          <w:spacing w:val="-10"/>
        </w:rPr>
        <w:t xml:space="preserve"> </w:t>
      </w:r>
      <w:r w:rsidR="00033D0F">
        <w:t>as relating</w:t>
      </w:r>
      <w:r w:rsidR="00033D0F">
        <w:rPr>
          <w:spacing w:val="-7"/>
        </w:rPr>
        <w:t xml:space="preserve"> </w:t>
      </w:r>
      <w:r w:rsidR="00033D0F">
        <w:t>to</w:t>
      </w:r>
      <w:r w:rsidR="00033D0F">
        <w:rPr>
          <w:spacing w:val="-10"/>
        </w:rPr>
        <w:t xml:space="preserve"> </w:t>
      </w:r>
      <w:r w:rsidR="00033D0F">
        <w:t>the</w:t>
      </w:r>
      <w:r w:rsidR="00033D0F">
        <w:rPr>
          <w:spacing w:val="-8"/>
        </w:rPr>
        <w:t xml:space="preserve"> </w:t>
      </w:r>
      <w:r w:rsidR="00033D0F">
        <w:t>"market</w:t>
      </w:r>
      <w:r w:rsidR="00033D0F">
        <w:rPr>
          <w:spacing w:val="-8"/>
        </w:rPr>
        <w:t xml:space="preserve"> </w:t>
      </w:r>
      <w:r w:rsidR="00033D0F">
        <w:t>stage".</w:t>
      </w:r>
      <w:r w:rsidR="00033D0F">
        <w:rPr>
          <w:spacing w:val="-7"/>
        </w:rPr>
        <w:t xml:space="preserve"> </w:t>
      </w:r>
      <w:r w:rsidR="00033D0F">
        <w:t>However,</w:t>
      </w:r>
      <w:r w:rsidR="00033D0F">
        <w:rPr>
          <w:spacing w:val="-6"/>
        </w:rPr>
        <w:t xml:space="preserve"> </w:t>
      </w:r>
      <w:r w:rsidR="00033D0F">
        <w:t>in</w:t>
      </w:r>
      <w:r w:rsidR="00033D0F">
        <w:rPr>
          <w:spacing w:val="-10"/>
        </w:rPr>
        <w:t xml:space="preserve"> </w:t>
      </w:r>
      <w:r w:rsidR="00033D0F">
        <w:t>this</w:t>
      </w:r>
      <w:r w:rsidR="00033D0F">
        <w:rPr>
          <w:spacing w:val="-7"/>
        </w:rPr>
        <w:t xml:space="preserve"> </w:t>
      </w:r>
      <w:r w:rsidR="00033D0F">
        <w:t>instance,</w:t>
      </w:r>
      <w:r w:rsidR="00033D0F">
        <w:rPr>
          <w:spacing w:val="-6"/>
        </w:rPr>
        <w:t xml:space="preserve"> </w:t>
      </w:r>
      <w:r w:rsidR="00033D0F">
        <w:t>nothing</w:t>
      </w:r>
      <w:r w:rsidR="00033D0F">
        <w:rPr>
          <w:spacing w:val="-7"/>
        </w:rPr>
        <w:t xml:space="preserve"> </w:t>
      </w:r>
      <w:r w:rsidR="00033D0F">
        <w:t>turns</w:t>
      </w:r>
      <w:r w:rsidR="00033D0F">
        <w:rPr>
          <w:spacing w:val="-7"/>
        </w:rPr>
        <w:t xml:space="preserve"> </w:t>
      </w:r>
      <w:r w:rsidR="00033D0F">
        <w:t>on</w:t>
      </w:r>
      <w:r w:rsidR="00033D0F">
        <w:rPr>
          <w:spacing w:val="-5"/>
        </w:rPr>
        <w:t xml:space="preserve"> </w:t>
      </w:r>
      <w:r w:rsidR="00033D0F">
        <w:t>the</w:t>
      </w:r>
      <w:r w:rsidR="00033D0F">
        <w:rPr>
          <w:spacing w:val="-8"/>
        </w:rPr>
        <w:t xml:space="preserve"> </w:t>
      </w:r>
      <w:r w:rsidR="00033D0F">
        <w:t>distinction</w:t>
      </w:r>
      <w:r w:rsidR="00033D0F">
        <w:rPr>
          <w:spacing w:val="-10"/>
        </w:rPr>
        <w:t xml:space="preserve"> </w:t>
      </w:r>
      <w:r w:rsidR="00033D0F">
        <w:t>that China seeks to draw. That is, MOFCOM's analysis and price calculation did not consider or account for alleged differences in either of the categories described by China.</w:t>
      </w:r>
    </w:p>
    <w:p w14:paraId="310289CB" w14:textId="77777777" w:rsidR="00BD462C" w:rsidRDefault="00BD462C">
      <w:pPr>
        <w:pStyle w:val="BodyText"/>
        <w:spacing w:before="5"/>
        <w:rPr>
          <w:sz w:val="8"/>
        </w:rPr>
      </w:pPr>
    </w:p>
    <w:p w14:paraId="496D0591" w14:textId="09C8739B" w:rsidR="00BD462C" w:rsidRDefault="0081097F">
      <w:pPr>
        <w:pStyle w:val="BodyText"/>
        <w:spacing w:before="56" w:line="360" w:lineRule="auto"/>
        <w:ind w:left="135" w:right="914" w:hanging="5"/>
        <w:jc w:val="both"/>
      </w:pPr>
      <w:r>
        <w:rPr>
          <w:noProof/>
        </w:rPr>
        <w:t>440.</w:t>
      </w:r>
      <w:r w:rsidR="00033D0F">
        <w:rPr>
          <w:rFonts w:ascii="Times New Roman"/>
          <w:spacing w:val="80"/>
          <w:w w:val="150"/>
          <w:position w:val="1"/>
          <w:sz w:val="20"/>
        </w:rPr>
        <w:t xml:space="preserve"> </w:t>
      </w:r>
      <w:r w:rsidR="00033D0F">
        <w:rPr>
          <w:position w:val="1"/>
        </w:rPr>
        <w:t>Second,</w:t>
      </w:r>
      <w:r w:rsidR="00033D0F">
        <w:rPr>
          <w:spacing w:val="-14"/>
          <w:position w:val="1"/>
        </w:rPr>
        <w:t xml:space="preserve"> </w:t>
      </w:r>
      <w:r w:rsidR="00033D0F">
        <w:rPr>
          <w:position w:val="1"/>
        </w:rPr>
        <w:t>China</w:t>
      </w:r>
      <w:r w:rsidR="00033D0F">
        <w:rPr>
          <w:spacing w:val="-14"/>
          <w:position w:val="1"/>
        </w:rPr>
        <w:t xml:space="preserve"> </w:t>
      </w:r>
      <w:r w:rsidR="00033D0F">
        <w:rPr>
          <w:position w:val="1"/>
        </w:rPr>
        <w:t>and</w:t>
      </w:r>
      <w:r w:rsidR="00033D0F">
        <w:rPr>
          <w:spacing w:val="-13"/>
          <w:position w:val="1"/>
        </w:rPr>
        <w:t xml:space="preserve"> </w:t>
      </w:r>
      <w:r w:rsidR="00033D0F">
        <w:rPr>
          <w:position w:val="1"/>
        </w:rPr>
        <w:t>Australia</w:t>
      </w:r>
      <w:r w:rsidR="00033D0F">
        <w:rPr>
          <w:spacing w:val="-14"/>
          <w:position w:val="1"/>
        </w:rPr>
        <w:t xml:space="preserve"> </w:t>
      </w:r>
      <w:r w:rsidR="00033D0F">
        <w:rPr>
          <w:position w:val="1"/>
        </w:rPr>
        <w:t>disagree</w:t>
      </w:r>
      <w:r w:rsidR="00033D0F">
        <w:rPr>
          <w:spacing w:val="-13"/>
          <w:position w:val="1"/>
        </w:rPr>
        <w:t xml:space="preserve"> </w:t>
      </w:r>
      <w:r w:rsidR="00033D0F">
        <w:rPr>
          <w:position w:val="1"/>
        </w:rPr>
        <w:t>as</w:t>
      </w:r>
      <w:r w:rsidR="00033D0F">
        <w:rPr>
          <w:spacing w:val="-14"/>
          <w:position w:val="1"/>
        </w:rPr>
        <w:t xml:space="preserve"> </w:t>
      </w:r>
      <w:r w:rsidR="00033D0F">
        <w:rPr>
          <w:position w:val="1"/>
        </w:rPr>
        <w:t>to</w:t>
      </w:r>
      <w:r w:rsidR="00033D0F">
        <w:rPr>
          <w:spacing w:val="-13"/>
          <w:position w:val="1"/>
        </w:rPr>
        <w:t xml:space="preserve"> </w:t>
      </w:r>
      <w:r w:rsidR="00033D0F">
        <w:rPr>
          <w:position w:val="1"/>
        </w:rPr>
        <w:t>how</w:t>
      </w:r>
      <w:r w:rsidR="00033D0F">
        <w:rPr>
          <w:spacing w:val="-14"/>
          <w:position w:val="1"/>
        </w:rPr>
        <w:t xml:space="preserve"> </w:t>
      </w:r>
      <w:r w:rsidR="00033D0F">
        <w:rPr>
          <w:position w:val="1"/>
        </w:rPr>
        <w:t>differences</w:t>
      </w:r>
      <w:r w:rsidR="00033D0F">
        <w:rPr>
          <w:spacing w:val="-14"/>
          <w:position w:val="1"/>
        </w:rPr>
        <w:t xml:space="preserve"> </w:t>
      </w:r>
      <w:r w:rsidR="00033D0F">
        <w:rPr>
          <w:position w:val="1"/>
        </w:rPr>
        <w:t>in</w:t>
      </w:r>
      <w:r w:rsidR="00033D0F">
        <w:rPr>
          <w:spacing w:val="-13"/>
          <w:position w:val="1"/>
        </w:rPr>
        <w:t xml:space="preserve"> </w:t>
      </w:r>
      <w:r w:rsidR="00033D0F">
        <w:rPr>
          <w:position w:val="1"/>
        </w:rPr>
        <w:t>the</w:t>
      </w:r>
      <w:r w:rsidR="00033D0F">
        <w:rPr>
          <w:spacing w:val="-14"/>
          <w:position w:val="1"/>
        </w:rPr>
        <w:t xml:space="preserve"> </w:t>
      </w:r>
      <w:r w:rsidR="00033D0F">
        <w:rPr>
          <w:position w:val="1"/>
        </w:rPr>
        <w:t>level</w:t>
      </w:r>
      <w:r w:rsidR="00033D0F">
        <w:rPr>
          <w:spacing w:val="-13"/>
          <w:position w:val="1"/>
        </w:rPr>
        <w:t xml:space="preserve"> </w:t>
      </w:r>
      <w:r w:rsidR="00033D0F">
        <w:rPr>
          <w:position w:val="1"/>
        </w:rPr>
        <w:t>of</w:t>
      </w:r>
      <w:r w:rsidR="00033D0F">
        <w:rPr>
          <w:spacing w:val="-14"/>
          <w:position w:val="1"/>
        </w:rPr>
        <w:t xml:space="preserve"> </w:t>
      </w:r>
      <w:r w:rsidR="00033D0F">
        <w:rPr>
          <w:position w:val="1"/>
        </w:rPr>
        <w:t>trade</w:t>
      </w:r>
      <w:r w:rsidR="00033D0F">
        <w:rPr>
          <w:spacing w:val="-11"/>
          <w:position w:val="1"/>
        </w:rPr>
        <w:t xml:space="preserve"> </w:t>
      </w:r>
      <w:r w:rsidR="00033D0F">
        <w:rPr>
          <w:position w:val="1"/>
        </w:rPr>
        <w:t xml:space="preserve">should </w:t>
      </w:r>
      <w:r w:rsidR="00033D0F">
        <w:t>have been</w:t>
      </w:r>
      <w:r w:rsidR="00033D0F">
        <w:rPr>
          <w:spacing w:val="-1"/>
        </w:rPr>
        <w:t xml:space="preserve"> </w:t>
      </w:r>
      <w:r w:rsidR="00033D0F">
        <w:t>accounted</w:t>
      </w:r>
      <w:r w:rsidR="00033D0F">
        <w:rPr>
          <w:spacing w:val="-1"/>
        </w:rPr>
        <w:t xml:space="preserve"> </w:t>
      </w:r>
      <w:r w:rsidR="00033D0F">
        <w:t>for</w:t>
      </w:r>
      <w:r w:rsidR="00033D0F">
        <w:rPr>
          <w:spacing w:val="-1"/>
        </w:rPr>
        <w:t xml:space="preserve"> </w:t>
      </w:r>
      <w:r w:rsidR="00033D0F">
        <w:t>in</w:t>
      </w:r>
      <w:r w:rsidR="00033D0F">
        <w:rPr>
          <w:spacing w:val="-1"/>
        </w:rPr>
        <w:t xml:space="preserve"> </w:t>
      </w:r>
      <w:r w:rsidR="00033D0F">
        <w:t>MOFCOM's price calculation. China argues that MOFCOM's price calculation</w:t>
      </w:r>
      <w:r w:rsidR="00033D0F">
        <w:rPr>
          <w:spacing w:val="-9"/>
        </w:rPr>
        <w:t xml:space="preserve"> </w:t>
      </w:r>
      <w:r w:rsidR="00033D0F">
        <w:t>accounted</w:t>
      </w:r>
      <w:r w:rsidR="00033D0F">
        <w:rPr>
          <w:spacing w:val="-9"/>
        </w:rPr>
        <w:t xml:space="preserve"> </w:t>
      </w:r>
      <w:r w:rsidR="00033D0F">
        <w:t>for</w:t>
      </w:r>
      <w:r w:rsidR="00033D0F">
        <w:rPr>
          <w:spacing w:val="-10"/>
        </w:rPr>
        <w:t xml:space="preserve"> </w:t>
      </w:r>
      <w:r w:rsidR="00033D0F">
        <w:t>those</w:t>
      </w:r>
      <w:r w:rsidR="00033D0F">
        <w:rPr>
          <w:spacing w:val="-7"/>
        </w:rPr>
        <w:t xml:space="preserve"> </w:t>
      </w:r>
      <w:r w:rsidR="00033D0F">
        <w:t>differences</w:t>
      </w:r>
      <w:r w:rsidR="00033D0F">
        <w:rPr>
          <w:spacing w:val="-6"/>
        </w:rPr>
        <w:t xml:space="preserve"> </w:t>
      </w:r>
      <w:r w:rsidR="00033D0F">
        <w:t>because</w:t>
      </w:r>
      <w:r w:rsidR="00033D0F">
        <w:rPr>
          <w:spacing w:val="-7"/>
        </w:rPr>
        <w:t xml:space="preserve"> </w:t>
      </w:r>
      <w:r w:rsidR="00033D0F">
        <w:t>it</w:t>
      </w:r>
      <w:r w:rsidR="00033D0F">
        <w:rPr>
          <w:spacing w:val="-7"/>
        </w:rPr>
        <w:t xml:space="preserve"> </w:t>
      </w:r>
      <w:r w:rsidR="00033D0F">
        <w:t>compared</w:t>
      </w:r>
      <w:r w:rsidR="00033D0F">
        <w:rPr>
          <w:spacing w:val="-9"/>
        </w:rPr>
        <w:t xml:space="preserve"> </w:t>
      </w:r>
      <w:r w:rsidR="00033D0F">
        <w:t>prices</w:t>
      </w:r>
      <w:r w:rsidR="00033D0F">
        <w:rPr>
          <w:spacing w:val="-6"/>
        </w:rPr>
        <w:t xml:space="preserve"> </w:t>
      </w:r>
      <w:r w:rsidR="00033D0F">
        <w:t>at</w:t>
      </w:r>
      <w:r w:rsidR="00033D0F">
        <w:rPr>
          <w:spacing w:val="-7"/>
        </w:rPr>
        <w:t xml:space="preserve"> </w:t>
      </w:r>
      <w:r w:rsidR="00033D0F">
        <w:t>what</w:t>
      </w:r>
      <w:r w:rsidR="00033D0F">
        <w:rPr>
          <w:spacing w:val="-7"/>
        </w:rPr>
        <w:t xml:space="preserve"> </w:t>
      </w:r>
      <w:r w:rsidR="00033D0F">
        <w:t>it</w:t>
      </w:r>
      <w:r w:rsidR="00033D0F">
        <w:rPr>
          <w:spacing w:val="-7"/>
        </w:rPr>
        <w:t xml:space="preserve"> </w:t>
      </w:r>
      <w:r w:rsidR="00033D0F">
        <w:t>determined to</w:t>
      </w:r>
      <w:r w:rsidR="00033D0F">
        <w:rPr>
          <w:spacing w:val="19"/>
        </w:rPr>
        <w:t xml:space="preserve"> </w:t>
      </w:r>
      <w:r w:rsidR="00033D0F">
        <w:t>be</w:t>
      </w:r>
      <w:r w:rsidR="00033D0F">
        <w:rPr>
          <w:spacing w:val="21"/>
        </w:rPr>
        <w:t xml:space="preserve"> </w:t>
      </w:r>
      <w:r w:rsidR="00033D0F">
        <w:t>the</w:t>
      </w:r>
      <w:r w:rsidR="00033D0F">
        <w:rPr>
          <w:spacing w:val="21"/>
        </w:rPr>
        <w:t xml:space="preserve"> </w:t>
      </w:r>
      <w:r w:rsidR="00033D0F">
        <w:t>first</w:t>
      </w:r>
      <w:r w:rsidR="00033D0F">
        <w:rPr>
          <w:spacing w:val="22"/>
        </w:rPr>
        <w:t xml:space="preserve"> </w:t>
      </w:r>
      <w:r w:rsidR="00033D0F">
        <w:t>point</w:t>
      </w:r>
      <w:r w:rsidR="00033D0F">
        <w:rPr>
          <w:spacing w:val="22"/>
        </w:rPr>
        <w:t xml:space="preserve"> </w:t>
      </w:r>
      <w:r w:rsidR="00033D0F">
        <w:t>of</w:t>
      </w:r>
      <w:r w:rsidR="00033D0F">
        <w:rPr>
          <w:spacing w:val="25"/>
        </w:rPr>
        <w:t xml:space="preserve"> </w:t>
      </w:r>
      <w:r w:rsidR="00033D0F">
        <w:t>competition</w:t>
      </w:r>
      <w:r w:rsidR="00033D0F">
        <w:rPr>
          <w:spacing w:val="20"/>
        </w:rPr>
        <w:t xml:space="preserve"> </w:t>
      </w:r>
      <w:r w:rsidR="00033D0F">
        <w:t>in</w:t>
      </w:r>
      <w:r w:rsidR="00033D0F">
        <w:rPr>
          <w:spacing w:val="20"/>
        </w:rPr>
        <w:t xml:space="preserve"> </w:t>
      </w:r>
      <w:r w:rsidR="00033D0F">
        <w:t>the</w:t>
      </w:r>
      <w:r w:rsidR="00033D0F">
        <w:rPr>
          <w:spacing w:val="21"/>
        </w:rPr>
        <w:t xml:space="preserve"> </w:t>
      </w:r>
      <w:r w:rsidR="00033D0F">
        <w:t>Chinese</w:t>
      </w:r>
      <w:r w:rsidR="00033D0F">
        <w:rPr>
          <w:spacing w:val="22"/>
        </w:rPr>
        <w:t xml:space="preserve"> </w:t>
      </w:r>
      <w:r w:rsidR="00033D0F">
        <w:t>market,</w:t>
      </w:r>
      <w:r w:rsidR="00033D0F">
        <w:rPr>
          <w:spacing w:val="24"/>
        </w:rPr>
        <w:t xml:space="preserve"> </w:t>
      </w:r>
      <w:r w:rsidR="00033D0F">
        <w:t>being</w:t>
      </w:r>
      <w:r w:rsidR="00033D0F">
        <w:rPr>
          <w:spacing w:val="23"/>
        </w:rPr>
        <w:t xml:space="preserve"> </w:t>
      </w:r>
      <w:r w:rsidR="00033D0F">
        <w:t>the</w:t>
      </w:r>
      <w:r w:rsidR="00033D0F">
        <w:rPr>
          <w:spacing w:val="21"/>
        </w:rPr>
        <w:t xml:space="preserve"> </w:t>
      </w:r>
      <w:r w:rsidR="00033D0F">
        <w:t>"liquidation"</w:t>
      </w:r>
      <w:r w:rsidR="00033D0F">
        <w:rPr>
          <w:spacing w:val="21"/>
        </w:rPr>
        <w:t xml:space="preserve"> </w:t>
      </w:r>
      <w:r w:rsidR="00033D0F">
        <w:t>price</w:t>
      </w:r>
      <w:r w:rsidR="00033D0F">
        <w:rPr>
          <w:spacing w:val="22"/>
        </w:rPr>
        <w:t xml:space="preserve"> </w:t>
      </w:r>
      <w:r w:rsidR="00033D0F">
        <w:t>of</w:t>
      </w:r>
    </w:p>
    <w:p w14:paraId="767B56D3" w14:textId="77777777" w:rsidR="00BD462C" w:rsidRDefault="00BD462C">
      <w:pPr>
        <w:pStyle w:val="BodyText"/>
        <w:rPr>
          <w:sz w:val="20"/>
        </w:rPr>
      </w:pPr>
    </w:p>
    <w:p w14:paraId="74BEE3F8" w14:textId="77777777" w:rsidR="00BD462C" w:rsidRDefault="00BD462C">
      <w:pPr>
        <w:pStyle w:val="BodyText"/>
        <w:rPr>
          <w:sz w:val="20"/>
        </w:rPr>
      </w:pPr>
    </w:p>
    <w:p w14:paraId="5A3CA318" w14:textId="34EF5245" w:rsidR="00BD462C" w:rsidRDefault="00D70C7D">
      <w:pPr>
        <w:pStyle w:val="BodyText"/>
        <w:spacing w:before="8"/>
        <w:rPr>
          <w:sz w:val="15"/>
        </w:rPr>
      </w:pPr>
      <w:r>
        <w:rPr>
          <w:noProof/>
        </w:rPr>
        <mc:AlternateContent>
          <mc:Choice Requires="wps">
            <w:drawing>
              <wp:anchor distT="0" distB="0" distL="0" distR="0" simplePos="0" relativeHeight="487761408" behindDoc="1" locked="0" layoutInCell="1" allowOverlap="1" wp14:anchorId="26755E0E" wp14:editId="33745EB1">
                <wp:simplePos x="0" y="0"/>
                <wp:positionH relativeFrom="page">
                  <wp:posOffset>899160</wp:posOffset>
                </wp:positionH>
                <wp:positionV relativeFrom="paragraph">
                  <wp:posOffset>136525</wp:posOffset>
                </wp:positionV>
                <wp:extent cx="1828800" cy="8890"/>
                <wp:effectExtent l="0" t="0" r="0" b="0"/>
                <wp:wrapTopAndBottom/>
                <wp:docPr id="664" name="docshape3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A60CEB" id="docshape387" o:spid="_x0000_s1026" alt="&quot;&quot;" style="position:absolute;margin-left:70.8pt;margin-top:10.75pt;width:2in;height:.7pt;z-index:-15555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" fillcolor="black" stroked="f">
                <w10:wrap type="topAndBottom" anchorx="page"/>
              </v:rect>
            </w:pict>
          </mc:Fallback>
        </mc:AlternateContent>
      </w:r>
    </w:p>
    <w:p w14:paraId="6349AF40" w14:textId="77777777" w:rsidR="00BD462C" w:rsidRDefault="00033D0F">
      <w:pPr>
        <w:spacing w:before="113" w:line="237" w:lineRule="auto"/>
        <w:ind w:left="135" w:right="910"/>
        <w:jc w:val="both"/>
        <w:rPr>
          <w:sz w:val="18"/>
        </w:rPr>
      </w:pPr>
      <w:bookmarkStart w:id="852" w:name="_bookmark728"/>
      <w:bookmarkEnd w:id="852"/>
      <w:r>
        <w:rPr>
          <w:position w:val="5"/>
          <w:sz w:val="12"/>
        </w:rPr>
        <w:t>608</w:t>
      </w:r>
      <w:r>
        <w:rPr>
          <w:spacing w:val="-7"/>
          <w:position w:val="5"/>
          <w:sz w:val="12"/>
        </w:rPr>
        <w:t xml:space="preserve"> </w:t>
      </w:r>
      <w:r>
        <w:rPr>
          <w:sz w:val="18"/>
        </w:rPr>
        <w:t>Appellate</w:t>
      </w:r>
      <w:r>
        <w:rPr>
          <w:spacing w:val="-10"/>
          <w:sz w:val="18"/>
        </w:rPr>
        <w:t xml:space="preserve"> </w:t>
      </w:r>
      <w:r>
        <w:rPr>
          <w:sz w:val="18"/>
        </w:rPr>
        <w:t>Body</w:t>
      </w:r>
      <w:r>
        <w:rPr>
          <w:spacing w:val="-11"/>
          <w:sz w:val="18"/>
        </w:rPr>
        <w:t xml:space="preserve"> </w:t>
      </w:r>
      <w:r>
        <w:rPr>
          <w:sz w:val="18"/>
        </w:rPr>
        <w:t>Reports,</w:t>
      </w:r>
      <w:r>
        <w:rPr>
          <w:spacing w:val="-10"/>
          <w:sz w:val="18"/>
        </w:rPr>
        <w:t xml:space="preserve"> </w:t>
      </w:r>
      <w:r>
        <w:rPr>
          <w:i/>
          <w:sz w:val="18"/>
        </w:rPr>
        <w:t>Korea</w:t>
      </w:r>
      <w:r>
        <w:rPr>
          <w:i/>
          <w:spacing w:val="-10"/>
          <w:sz w:val="18"/>
        </w:rPr>
        <w:t xml:space="preserve"> </w:t>
      </w:r>
      <w:r>
        <w:rPr>
          <w:i/>
          <w:sz w:val="18"/>
        </w:rPr>
        <w:t>–</w:t>
      </w:r>
      <w:r>
        <w:rPr>
          <w:i/>
          <w:spacing w:val="-10"/>
          <w:sz w:val="18"/>
        </w:rPr>
        <w:t xml:space="preserve"> </w:t>
      </w:r>
      <w:r>
        <w:rPr>
          <w:i/>
          <w:sz w:val="18"/>
        </w:rPr>
        <w:t>Pneumatic</w:t>
      </w:r>
      <w:r>
        <w:rPr>
          <w:i/>
          <w:spacing w:val="-10"/>
          <w:sz w:val="18"/>
        </w:rPr>
        <w:t xml:space="preserve"> </w:t>
      </w:r>
      <w:r>
        <w:rPr>
          <w:i/>
          <w:sz w:val="18"/>
        </w:rPr>
        <w:t>Valves</w:t>
      </w:r>
      <w:r>
        <w:rPr>
          <w:sz w:val="18"/>
        </w:rPr>
        <w:t>,</w:t>
      </w:r>
      <w:r>
        <w:rPr>
          <w:spacing w:val="-10"/>
          <w:sz w:val="18"/>
        </w:rPr>
        <w:t xml:space="preserve"> </w:t>
      </w:r>
      <w:r>
        <w:rPr>
          <w:sz w:val="18"/>
        </w:rPr>
        <w:t>para.</w:t>
      </w:r>
      <w:r>
        <w:rPr>
          <w:spacing w:val="-11"/>
          <w:sz w:val="18"/>
        </w:rPr>
        <w:t xml:space="preserve"> </w:t>
      </w:r>
      <w:r>
        <w:rPr>
          <w:sz w:val="18"/>
        </w:rPr>
        <w:t>5.323,</w:t>
      </w:r>
      <w:r>
        <w:rPr>
          <w:spacing w:val="-10"/>
          <w:sz w:val="18"/>
        </w:rPr>
        <w:t xml:space="preserve"> </w:t>
      </w:r>
      <w:r>
        <w:rPr>
          <w:sz w:val="18"/>
        </w:rPr>
        <w:t>C</w:t>
      </w:r>
      <w:r>
        <w:rPr>
          <w:i/>
          <w:sz w:val="18"/>
        </w:rPr>
        <w:t>hina</w:t>
      </w:r>
      <w:r>
        <w:rPr>
          <w:i/>
          <w:spacing w:val="-10"/>
          <w:sz w:val="18"/>
        </w:rPr>
        <w:t xml:space="preserve"> </w:t>
      </w:r>
      <w:r>
        <w:rPr>
          <w:i/>
          <w:sz w:val="18"/>
        </w:rPr>
        <w:t>–</w:t>
      </w:r>
      <w:r>
        <w:rPr>
          <w:i/>
          <w:spacing w:val="-10"/>
          <w:sz w:val="18"/>
        </w:rPr>
        <w:t xml:space="preserve"> </w:t>
      </w:r>
      <w:r>
        <w:rPr>
          <w:i/>
          <w:sz w:val="18"/>
        </w:rPr>
        <w:t>GOES</w:t>
      </w:r>
      <w:r>
        <w:rPr>
          <w:sz w:val="18"/>
        </w:rPr>
        <w:t>,</w:t>
      </w:r>
      <w:r>
        <w:rPr>
          <w:spacing w:val="-7"/>
          <w:sz w:val="18"/>
        </w:rPr>
        <w:t xml:space="preserve"> </w:t>
      </w:r>
      <w:r>
        <w:rPr>
          <w:sz w:val="18"/>
        </w:rPr>
        <w:t>para.</w:t>
      </w:r>
      <w:r>
        <w:rPr>
          <w:spacing w:val="-8"/>
          <w:sz w:val="18"/>
        </w:rPr>
        <w:t xml:space="preserve"> </w:t>
      </w:r>
      <w:r>
        <w:rPr>
          <w:sz w:val="18"/>
        </w:rPr>
        <w:t>200;</w:t>
      </w:r>
      <w:r>
        <w:rPr>
          <w:spacing w:val="-10"/>
          <w:sz w:val="18"/>
        </w:rPr>
        <w:t xml:space="preserve"> </w:t>
      </w:r>
      <w:r>
        <w:rPr>
          <w:sz w:val="18"/>
        </w:rPr>
        <w:t>Panel</w:t>
      </w:r>
      <w:r>
        <w:rPr>
          <w:spacing w:val="-11"/>
          <w:sz w:val="18"/>
        </w:rPr>
        <w:t xml:space="preserve"> </w:t>
      </w:r>
      <w:r>
        <w:rPr>
          <w:sz w:val="18"/>
        </w:rPr>
        <w:t>Reports,</w:t>
      </w:r>
      <w:r>
        <w:rPr>
          <w:spacing w:val="-6"/>
          <w:sz w:val="18"/>
        </w:rPr>
        <w:t xml:space="preserve"> </w:t>
      </w:r>
      <w:r>
        <w:rPr>
          <w:i/>
          <w:sz w:val="18"/>
        </w:rPr>
        <w:t>Korea</w:t>
      </w:r>
      <w:r>
        <w:rPr>
          <w:i/>
          <w:spacing w:val="-11"/>
          <w:sz w:val="18"/>
        </w:rPr>
        <w:t xml:space="preserve"> </w:t>
      </w:r>
      <w:r>
        <w:rPr>
          <w:i/>
          <w:sz w:val="18"/>
        </w:rPr>
        <w:t>–</w:t>
      </w:r>
      <w:r>
        <w:rPr>
          <w:i/>
          <w:spacing w:val="-10"/>
          <w:sz w:val="18"/>
        </w:rPr>
        <w:t xml:space="preserve"> </w:t>
      </w:r>
      <w:r>
        <w:rPr>
          <w:i/>
          <w:sz w:val="18"/>
        </w:rPr>
        <w:t>Pneumatic Valves</w:t>
      </w:r>
      <w:r>
        <w:rPr>
          <w:i/>
          <w:spacing w:val="-7"/>
          <w:sz w:val="18"/>
        </w:rPr>
        <w:t xml:space="preserve"> </w:t>
      </w:r>
      <w:r>
        <w:rPr>
          <w:i/>
          <w:sz w:val="18"/>
        </w:rPr>
        <w:t>(Japan)</w:t>
      </w:r>
      <w:r>
        <w:rPr>
          <w:sz w:val="18"/>
        </w:rPr>
        <w:t>,</w:t>
      </w:r>
      <w:r>
        <w:rPr>
          <w:spacing w:val="-5"/>
          <w:sz w:val="18"/>
        </w:rPr>
        <w:t xml:space="preserve"> </w:t>
      </w:r>
      <w:r>
        <w:rPr>
          <w:sz w:val="18"/>
        </w:rPr>
        <w:t>para.</w:t>
      </w:r>
      <w:r>
        <w:rPr>
          <w:spacing w:val="-6"/>
          <w:sz w:val="18"/>
        </w:rPr>
        <w:t xml:space="preserve"> </w:t>
      </w:r>
      <w:r>
        <w:rPr>
          <w:sz w:val="18"/>
        </w:rPr>
        <w:t>7.266;</w:t>
      </w:r>
      <w:r>
        <w:rPr>
          <w:spacing w:val="-8"/>
          <w:sz w:val="18"/>
        </w:rPr>
        <w:t xml:space="preserve"> </w:t>
      </w:r>
      <w:r>
        <w:rPr>
          <w:i/>
          <w:sz w:val="18"/>
        </w:rPr>
        <w:t>China</w:t>
      </w:r>
      <w:r>
        <w:rPr>
          <w:i/>
          <w:spacing w:val="-5"/>
          <w:sz w:val="18"/>
        </w:rPr>
        <w:t xml:space="preserve"> </w:t>
      </w:r>
      <w:r>
        <w:rPr>
          <w:i/>
          <w:sz w:val="18"/>
        </w:rPr>
        <w:t>–</w:t>
      </w:r>
      <w:r>
        <w:rPr>
          <w:i/>
          <w:spacing w:val="-7"/>
          <w:sz w:val="18"/>
        </w:rPr>
        <w:t xml:space="preserve"> </w:t>
      </w:r>
      <w:r>
        <w:rPr>
          <w:i/>
          <w:sz w:val="18"/>
        </w:rPr>
        <w:t>X-Ray</w:t>
      </w:r>
      <w:r>
        <w:rPr>
          <w:i/>
          <w:spacing w:val="-8"/>
          <w:sz w:val="18"/>
        </w:rPr>
        <w:t xml:space="preserve"> </w:t>
      </w:r>
      <w:r>
        <w:rPr>
          <w:i/>
          <w:sz w:val="18"/>
        </w:rPr>
        <w:t>Equipment</w:t>
      </w:r>
      <w:r>
        <w:rPr>
          <w:sz w:val="18"/>
        </w:rPr>
        <w:t>,</w:t>
      </w:r>
      <w:r>
        <w:rPr>
          <w:spacing w:val="-5"/>
          <w:sz w:val="18"/>
        </w:rPr>
        <w:t xml:space="preserve"> </w:t>
      </w:r>
      <w:r>
        <w:rPr>
          <w:sz w:val="18"/>
        </w:rPr>
        <w:t>para.</w:t>
      </w:r>
      <w:r>
        <w:rPr>
          <w:spacing w:val="-6"/>
          <w:sz w:val="18"/>
        </w:rPr>
        <w:t xml:space="preserve"> </w:t>
      </w:r>
      <w:r>
        <w:rPr>
          <w:sz w:val="18"/>
        </w:rPr>
        <w:t>7.68;</w:t>
      </w:r>
      <w:r>
        <w:rPr>
          <w:spacing w:val="-9"/>
          <w:sz w:val="18"/>
        </w:rPr>
        <w:t xml:space="preserve"> </w:t>
      </w:r>
      <w:r>
        <w:rPr>
          <w:i/>
          <w:sz w:val="18"/>
        </w:rPr>
        <w:t>Pakistan</w:t>
      </w:r>
      <w:r>
        <w:rPr>
          <w:i/>
          <w:spacing w:val="-5"/>
          <w:sz w:val="18"/>
        </w:rPr>
        <w:t xml:space="preserve"> </w:t>
      </w:r>
      <w:r>
        <w:rPr>
          <w:i/>
          <w:sz w:val="18"/>
        </w:rPr>
        <w:t>–</w:t>
      </w:r>
      <w:r>
        <w:rPr>
          <w:i/>
          <w:spacing w:val="-7"/>
          <w:sz w:val="18"/>
        </w:rPr>
        <w:t xml:space="preserve"> </w:t>
      </w:r>
      <w:r>
        <w:rPr>
          <w:i/>
          <w:sz w:val="18"/>
        </w:rPr>
        <w:t>BOPP</w:t>
      </w:r>
      <w:r>
        <w:rPr>
          <w:i/>
          <w:spacing w:val="-1"/>
          <w:sz w:val="18"/>
        </w:rPr>
        <w:t xml:space="preserve"> </w:t>
      </w:r>
      <w:r>
        <w:rPr>
          <w:i/>
          <w:sz w:val="18"/>
        </w:rPr>
        <w:t>Film</w:t>
      </w:r>
      <w:r>
        <w:rPr>
          <w:i/>
          <w:spacing w:val="-8"/>
          <w:sz w:val="18"/>
        </w:rPr>
        <w:t xml:space="preserve"> </w:t>
      </w:r>
      <w:r>
        <w:rPr>
          <w:i/>
          <w:sz w:val="18"/>
        </w:rPr>
        <w:t>(UAE)</w:t>
      </w:r>
      <w:r>
        <w:rPr>
          <w:sz w:val="18"/>
        </w:rPr>
        <w:t>,</w:t>
      </w:r>
      <w:r>
        <w:rPr>
          <w:spacing w:val="-5"/>
          <w:sz w:val="18"/>
        </w:rPr>
        <w:t xml:space="preserve"> </w:t>
      </w:r>
      <w:r>
        <w:rPr>
          <w:sz w:val="18"/>
        </w:rPr>
        <w:t>para.</w:t>
      </w:r>
      <w:r>
        <w:rPr>
          <w:spacing w:val="-1"/>
          <w:sz w:val="18"/>
        </w:rPr>
        <w:t xml:space="preserve"> </w:t>
      </w:r>
      <w:r>
        <w:rPr>
          <w:sz w:val="18"/>
        </w:rPr>
        <w:t>7.309;</w:t>
      </w:r>
      <w:r>
        <w:rPr>
          <w:spacing w:val="-4"/>
          <w:sz w:val="18"/>
        </w:rPr>
        <w:t xml:space="preserve"> </w:t>
      </w:r>
      <w:r>
        <w:rPr>
          <w:i/>
          <w:sz w:val="18"/>
        </w:rPr>
        <w:t>China</w:t>
      </w:r>
      <w:r>
        <w:rPr>
          <w:i/>
          <w:spacing w:val="-5"/>
          <w:sz w:val="18"/>
        </w:rPr>
        <w:t xml:space="preserve"> </w:t>
      </w:r>
      <w:r>
        <w:rPr>
          <w:i/>
          <w:sz w:val="18"/>
        </w:rPr>
        <w:t>-</w:t>
      </w:r>
      <w:r>
        <w:rPr>
          <w:i/>
          <w:spacing w:val="-6"/>
          <w:sz w:val="18"/>
        </w:rPr>
        <w:t xml:space="preserve"> </w:t>
      </w:r>
      <w:r>
        <w:rPr>
          <w:i/>
          <w:sz w:val="18"/>
        </w:rPr>
        <w:t>Autos</w:t>
      </w:r>
      <w:r>
        <w:rPr>
          <w:i/>
          <w:spacing w:val="-7"/>
          <w:sz w:val="18"/>
        </w:rPr>
        <w:t xml:space="preserve"> </w:t>
      </w:r>
      <w:r>
        <w:rPr>
          <w:i/>
          <w:sz w:val="18"/>
        </w:rPr>
        <w:t xml:space="preserve">(US), </w:t>
      </w:r>
      <w:r>
        <w:rPr>
          <w:sz w:val="18"/>
        </w:rPr>
        <w:t>para. 7.277.</w:t>
      </w:r>
    </w:p>
    <w:p w14:paraId="1CD51ACB" w14:textId="77777777" w:rsidR="00BD462C" w:rsidRDefault="00033D0F">
      <w:pPr>
        <w:spacing w:before="4"/>
        <w:ind w:left="135" w:right="910"/>
        <w:jc w:val="both"/>
        <w:rPr>
          <w:sz w:val="18"/>
        </w:rPr>
      </w:pPr>
      <w:bookmarkStart w:id="853" w:name="_bookmark729"/>
      <w:bookmarkEnd w:id="853"/>
      <w:r>
        <w:rPr>
          <w:position w:val="5"/>
          <w:sz w:val="12"/>
        </w:rPr>
        <w:t>609</w:t>
      </w:r>
      <w:r>
        <w:rPr>
          <w:spacing w:val="-7"/>
          <w:position w:val="5"/>
          <w:sz w:val="12"/>
        </w:rPr>
        <w:t xml:space="preserve"> </w:t>
      </w:r>
      <w:r>
        <w:rPr>
          <w:sz w:val="18"/>
        </w:rPr>
        <w:t>Appellate</w:t>
      </w:r>
      <w:r>
        <w:rPr>
          <w:spacing w:val="-10"/>
          <w:sz w:val="18"/>
        </w:rPr>
        <w:t xml:space="preserve"> </w:t>
      </w:r>
      <w:r>
        <w:rPr>
          <w:sz w:val="18"/>
        </w:rPr>
        <w:t>Body</w:t>
      </w:r>
      <w:r>
        <w:rPr>
          <w:spacing w:val="-11"/>
          <w:sz w:val="18"/>
        </w:rPr>
        <w:t xml:space="preserve"> </w:t>
      </w:r>
      <w:r>
        <w:rPr>
          <w:sz w:val="18"/>
        </w:rPr>
        <w:t>Reports,</w:t>
      </w:r>
      <w:r>
        <w:rPr>
          <w:spacing w:val="-10"/>
          <w:sz w:val="18"/>
        </w:rPr>
        <w:t xml:space="preserve"> </w:t>
      </w:r>
      <w:r>
        <w:rPr>
          <w:i/>
          <w:sz w:val="18"/>
        </w:rPr>
        <w:t>Korea</w:t>
      </w:r>
      <w:r>
        <w:rPr>
          <w:i/>
          <w:spacing w:val="-10"/>
          <w:sz w:val="18"/>
        </w:rPr>
        <w:t xml:space="preserve"> </w:t>
      </w:r>
      <w:r>
        <w:rPr>
          <w:i/>
          <w:sz w:val="18"/>
        </w:rPr>
        <w:t>–</w:t>
      </w:r>
      <w:r>
        <w:rPr>
          <w:i/>
          <w:spacing w:val="-10"/>
          <w:sz w:val="18"/>
        </w:rPr>
        <w:t xml:space="preserve"> </w:t>
      </w:r>
      <w:r>
        <w:rPr>
          <w:i/>
          <w:sz w:val="18"/>
        </w:rPr>
        <w:t>Pneumatic</w:t>
      </w:r>
      <w:r>
        <w:rPr>
          <w:i/>
          <w:spacing w:val="-10"/>
          <w:sz w:val="18"/>
        </w:rPr>
        <w:t xml:space="preserve"> </w:t>
      </w:r>
      <w:r>
        <w:rPr>
          <w:i/>
          <w:sz w:val="18"/>
        </w:rPr>
        <w:t>Valves</w:t>
      </w:r>
      <w:r>
        <w:rPr>
          <w:sz w:val="18"/>
        </w:rPr>
        <w:t>,</w:t>
      </w:r>
      <w:r>
        <w:rPr>
          <w:spacing w:val="-10"/>
          <w:sz w:val="18"/>
        </w:rPr>
        <w:t xml:space="preserve"> </w:t>
      </w:r>
      <w:r>
        <w:rPr>
          <w:sz w:val="18"/>
        </w:rPr>
        <w:t>para.</w:t>
      </w:r>
      <w:r>
        <w:rPr>
          <w:spacing w:val="-11"/>
          <w:sz w:val="18"/>
        </w:rPr>
        <w:t xml:space="preserve"> </w:t>
      </w:r>
      <w:r>
        <w:rPr>
          <w:sz w:val="18"/>
        </w:rPr>
        <w:t>5.323,</w:t>
      </w:r>
      <w:r>
        <w:rPr>
          <w:spacing w:val="-10"/>
          <w:sz w:val="18"/>
        </w:rPr>
        <w:t xml:space="preserve"> </w:t>
      </w:r>
      <w:r>
        <w:rPr>
          <w:sz w:val="18"/>
        </w:rPr>
        <w:t>C</w:t>
      </w:r>
      <w:r>
        <w:rPr>
          <w:i/>
          <w:sz w:val="18"/>
        </w:rPr>
        <w:t>hina</w:t>
      </w:r>
      <w:r>
        <w:rPr>
          <w:i/>
          <w:spacing w:val="-10"/>
          <w:sz w:val="18"/>
        </w:rPr>
        <w:t xml:space="preserve"> </w:t>
      </w:r>
      <w:r>
        <w:rPr>
          <w:i/>
          <w:sz w:val="18"/>
        </w:rPr>
        <w:t>–</w:t>
      </w:r>
      <w:r>
        <w:rPr>
          <w:i/>
          <w:spacing w:val="-10"/>
          <w:sz w:val="18"/>
        </w:rPr>
        <w:t xml:space="preserve"> </w:t>
      </w:r>
      <w:r>
        <w:rPr>
          <w:i/>
          <w:sz w:val="18"/>
        </w:rPr>
        <w:t>GOES</w:t>
      </w:r>
      <w:r>
        <w:rPr>
          <w:sz w:val="18"/>
        </w:rPr>
        <w:t>,</w:t>
      </w:r>
      <w:r>
        <w:rPr>
          <w:spacing w:val="-7"/>
          <w:sz w:val="18"/>
        </w:rPr>
        <w:t xml:space="preserve"> </w:t>
      </w:r>
      <w:r>
        <w:rPr>
          <w:sz w:val="18"/>
        </w:rPr>
        <w:t>para.</w:t>
      </w:r>
      <w:r>
        <w:rPr>
          <w:spacing w:val="-8"/>
          <w:sz w:val="18"/>
        </w:rPr>
        <w:t xml:space="preserve"> </w:t>
      </w:r>
      <w:r>
        <w:rPr>
          <w:sz w:val="18"/>
        </w:rPr>
        <w:t>200;</w:t>
      </w:r>
      <w:r>
        <w:rPr>
          <w:spacing w:val="-10"/>
          <w:sz w:val="18"/>
        </w:rPr>
        <w:t xml:space="preserve"> </w:t>
      </w:r>
      <w:r>
        <w:rPr>
          <w:sz w:val="18"/>
        </w:rPr>
        <w:t>Panel</w:t>
      </w:r>
      <w:r>
        <w:rPr>
          <w:spacing w:val="-11"/>
          <w:sz w:val="18"/>
        </w:rPr>
        <w:t xml:space="preserve"> </w:t>
      </w:r>
      <w:r>
        <w:rPr>
          <w:sz w:val="18"/>
        </w:rPr>
        <w:t>Reports,</w:t>
      </w:r>
      <w:r>
        <w:rPr>
          <w:spacing w:val="-6"/>
          <w:sz w:val="18"/>
        </w:rPr>
        <w:t xml:space="preserve"> </w:t>
      </w:r>
      <w:r>
        <w:rPr>
          <w:i/>
          <w:sz w:val="18"/>
        </w:rPr>
        <w:t>Korea</w:t>
      </w:r>
      <w:r>
        <w:rPr>
          <w:i/>
          <w:spacing w:val="-11"/>
          <w:sz w:val="18"/>
        </w:rPr>
        <w:t xml:space="preserve"> </w:t>
      </w:r>
      <w:r>
        <w:rPr>
          <w:i/>
          <w:sz w:val="18"/>
        </w:rPr>
        <w:t>–</w:t>
      </w:r>
      <w:r>
        <w:rPr>
          <w:i/>
          <w:spacing w:val="-10"/>
          <w:sz w:val="18"/>
        </w:rPr>
        <w:t xml:space="preserve"> </w:t>
      </w:r>
      <w:r>
        <w:rPr>
          <w:i/>
          <w:sz w:val="18"/>
        </w:rPr>
        <w:t>Pneumatic Valves</w:t>
      </w:r>
      <w:r>
        <w:rPr>
          <w:i/>
          <w:spacing w:val="-7"/>
          <w:sz w:val="18"/>
        </w:rPr>
        <w:t xml:space="preserve"> </w:t>
      </w:r>
      <w:r>
        <w:rPr>
          <w:i/>
          <w:sz w:val="18"/>
        </w:rPr>
        <w:t>(Japan)</w:t>
      </w:r>
      <w:r>
        <w:rPr>
          <w:sz w:val="18"/>
        </w:rPr>
        <w:t>,</w:t>
      </w:r>
      <w:r>
        <w:rPr>
          <w:spacing w:val="-5"/>
          <w:sz w:val="18"/>
        </w:rPr>
        <w:t xml:space="preserve"> </w:t>
      </w:r>
      <w:r>
        <w:rPr>
          <w:sz w:val="18"/>
        </w:rPr>
        <w:t>para.</w:t>
      </w:r>
      <w:r>
        <w:rPr>
          <w:spacing w:val="-6"/>
          <w:sz w:val="18"/>
        </w:rPr>
        <w:t xml:space="preserve"> </w:t>
      </w:r>
      <w:r>
        <w:rPr>
          <w:sz w:val="18"/>
        </w:rPr>
        <w:t>7.266;</w:t>
      </w:r>
      <w:r>
        <w:rPr>
          <w:spacing w:val="-8"/>
          <w:sz w:val="18"/>
        </w:rPr>
        <w:t xml:space="preserve"> </w:t>
      </w:r>
      <w:r>
        <w:rPr>
          <w:i/>
          <w:sz w:val="18"/>
        </w:rPr>
        <w:t>China</w:t>
      </w:r>
      <w:r>
        <w:rPr>
          <w:i/>
          <w:spacing w:val="-5"/>
          <w:sz w:val="18"/>
        </w:rPr>
        <w:t xml:space="preserve"> </w:t>
      </w:r>
      <w:r>
        <w:rPr>
          <w:i/>
          <w:sz w:val="18"/>
        </w:rPr>
        <w:t>–</w:t>
      </w:r>
      <w:r>
        <w:rPr>
          <w:i/>
          <w:spacing w:val="-7"/>
          <w:sz w:val="18"/>
        </w:rPr>
        <w:t xml:space="preserve"> </w:t>
      </w:r>
      <w:r>
        <w:rPr>
          <w:i/>
          <w:sz w:val="18"/>
        </w:rPr>
        <w:t>X-Ray</w:t>
      </w:r>
      <w:r>
        <w:rPr>
          <w:i/>
          <w:spacing w:val="-8"/>
          <w:sz w:val="18"/>
        </w:rPr>
        <w:t xml:space="preserve"> </w:t>
      </w:r>
      <w:r>
        <w:rPr>
          <w:i/>
          <w:sz w:val="18"/>
        </w:rPr>
        <w:t>Equipment</w:t>
      </w:r>
      <w:r>
        <w:rPr>
          <w:sz w:val="18"/>
        </w:rPr>
        <w:t>,</w:t>
      </w:r>
      <w:r>
        <w:rPr>
          <w:spacing w:val="-5"/>
          <w:sz w:val="18"/>
        </w:rPr>
        <w:t xml:space="preserve"> </w:t>
      </w:r>
      <w:r>
        <w:rPr>
          <w:sz w:val="18"/>
        </w:rPr>
        <w:t>para.</w:t>
      </w:r>
      <w:r>
        <w:rPr>
          <w:spacing w:val="-6"/>
          <w:sz w:val="18"/>
        </w:rPr>
        <w:t xml:space="preserve"> </w:t>
      </w:r>
      <w:r>
        <w:rPr>
          <w:sz w:val="18"/>
        </w:rPr>
        <w:t>7.68;</w:t>
      </w:r>
      <w:r>
        <w:rPr>
          <w:spacing w:val="-9"/>
          <w:sz w:val="18"/>
        </w:rPr>
        <w:t xml:space="preserve"> </w:t>
      </w:r>
      <w:r>
        <w:rPr>
          <w:i/>
          <w:sz w:val="18"/>
        </w:rPr>
        <w:t>Pakistan</w:t>
      </w:r>
      <w:r>
        <w:rPr>
          <w:i/>
          <w:spacing w:val="-5"/>
          <w:sz w:val="18"/>
        </w:rPr>
        <w:t xml:space="preserve"> </w:t>
      </w:r>
      <w:r>
        <w:rPr>
          <w:i/>
          <w:sz w:val="18"/>
        </w:rPr>
        <w:t>–</w:t>
      </w:r>
      <w:r>
        <w:rPr>
          <w:i/>
          <w:spacing w:val="-7"/>
          <w:sz w:val="18"/>
        </w:rPr>
        <w:t xml:space="preserve"> </w:t>
      </w:r>
      <w:r>
        <w:rPr>
          <w:i/>
          <w:sz w:val="18"/>
        </w:rPr>
        <w:t>BOPP</w:t>
      </w:r>
      <w:r>
        <w:rPr>
          <w:i/>
          <w:spacing w:val="-1"/>
          <w:sz w:val="18"/>
        </w:rPr>
        <w:t xml:space="preserve"> </w:t>
      </w:r>
      <w:r>
        <w:rPr>
          <w:i/>
          <w:sz w:val="18"/>
        </w:rPr>
        <w:t>Film</w:t>
      </w:r>
      <w:r>
        <w:rPr>
          <w:i/>
          <w:spacing w:val="-8"/>
          <w:sz w:val="18"/>
        </w:rPr>
        <w:t xml:space="preserve"> </w:t>
      </w:r>
      <w:r>
        <w:rPr>
          <w:i/>
          <w:sz w:val="18"/>
        </w:rPr>
        <w:t>(UAE)</w:t>
      </w:r>
      <w:r>
        <w:rPr>
          <w:sz w:val="18"/>
        </w:rPr>
        <w:t>,</w:t>
      </w:r>
      <w:r>
        <w:rPr>
          <w:spacing w:val="-5"/>
          <w:sz w:val="18"/>
        </w:rPr>
        <w:t xml:space="preserve"> </w:t>
      </w:r>
      <w:r>
        <w:rPr>
          <w:sz w:val="18"/>
        </w:rPr>
        <w:t>para.</w:t>
      </w:r>
      <w:r>
        <w:rPr>
          <w:spacing w:val="-1"/>
          <w:sz w:val="18"/>
        </w:rPr>
        <w:t xml:space="preserve"> </w:t>
      </w:r>
      <w:r>
        <w:rPr>
          <w:sz w:val="18"/>
        </w:rPr>
        <w:t>7.309;</w:t>
      </w:r>
      <w:r>
        <w:rPr>
          <w:spacing w:val="-4"/>
          <w:sz w:val="18"/>
        </w:rPr>
        <w:t xml:space="preserve"> </w:t>
      </w:r>
      <w:r>
        <w:rPr>
          <w:i/>
          <w:sz w:val="18"/>
        </w:rPr>
        <w:t>China</w:t>
      </w:r>
      <w:r>
        <w:rPr>
          <w:i/>
          <w:spacing w:val="-5"/>
          <w:sz w:val="18"/>
        </w:rPr>
        <w:t xml:space="preserve"> </w:t>
      </w:r>
      <w:r>
        <w:rPr>
          <w:i/>
          <w:sz w:val="18"/>
        </w:rPr>
        <w:t>-</w:t>
      </w:r>
      <w:r>
        <w:rPr>
          <w:i/>
          <w:spacing w:val="-6"/>
          <w:sz w:val="18"/>
        </w:rPr>
        <w:t xml:space="preserve"> </w:t>
      </w:r>
      <w:r>
        <w:rPr>
          <w:i/>
          <w:sz w:val="18"/>
        </w:rPr>
        <w:t>Autos</w:t>
      </w:r>
      <w:r>
        <w:rPr>
          <w:i/>
          <w:spacing w:val="-7"/>
          <w:sz w:val="18"/>
        </w:rPr>
        <w:t xml:space="preserve"> </w:t>
      </w:r>
      <w:r>
        <w:rPr>
          <w:i/>
          <w:sz w:val="18"/>
        </w:rPr>
        <w:t xml:space="preserve">(US), </w:t>
      </w:r>
      <w:r>
        <w:rPr>
          <w:sz w:val="18"/>
        </w:rPr>
        <w:t>para. 7.277.</w:t>
      </w:r>
    </w:p>
    <w:p w14:paraId="3671B0D8" w14:textId="77777777" w:rsidR="00BD462C" w:rsidRDefault="00033D0F">
      <w:pPr>
        <w:spacing w:before="3"/>
        <w:ind w:left="135"/>
        <w:jc w:val="both"/>
        <w:rPr>
          <w:sz w:val="18"/>
        </w:rPr>
      </w:pPr>
      <w:bookmarkStart w:id="854" w:name="_bookmark730"/>
      <w:bookmarkEnd w:id="854"/>
      <w:r>
        <w:rPr>
          <w:position w:val="5"/>
          <w:sz w:val="12"/>
        </w:rPr>
        <w:t>610</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 xml:space="preserve">submission, para. </w:t>
      </w:r>
      <w:r>
        <w:rPr>
          <w:spacing w:val="-2"/>
          <w:sz w:val="18"/>
        </w:rPr>
        <w:t>1232.</w:t>
      </w:r>
    </w:p>
    <w:p w14:paraId="429A12CE" w14:textId="77777777" w:rsidR="00BD462C" w:rsidRDefault="00BD462C">
      <w:pPr>
        <w:jc w:val="both"/>
        <w:rPr>
          <w:sz w:val="18"/>
        </w:rPr>
        <w:sectPr w:rsidR="00BD462C">
          <w:pgSz w:w="11910" w:h="16840"/>
          <w:pgMar w:top="860" w:right="500" w:bottom="780" w:left="1280" w:header="566" w:footer="590" w:gutter="0"/>
          <w:cols w:space="720"/>
        </w:sectPr>
      </w:pPr>
    </w:p>
    <w:p w14:paraId="2BD0357D"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6DA0CF47"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4D3CD2F3"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31758D5E" w14:textId="77777777" w:rsidR="00BD462C" w:rsidRDefault="00033D0F">
      <w:pPr>
        <w:pStyle w:val="BodyText"/>
        <w:spacing w:before="102" w:line="360" w:lineRule="auto"/>
        <w:ind w:left="135" w:right="917"/>
        <w:jc w:val="both"/>
      </w:pPr>
      <w:r>
        <w:t>imports to</w:t>
      </w:r>
      <w:r>
        <w:rPr>
          <w:spacing w:val="-4"/>
        </w:rPr>
        <w:t xml:space="preserve"> </w:t>
      </w:r>
      <w:r>
        <w:t>the ex-factory price of domestic</w:t>
      </w:r>
      <w:r>
        <w:rPr>
          <w:spacing w:val="-3"/>
        </w:rPr>
        <w:t xml:space="preserve"> </w:t>
      </w:r>
      <w:r>
        <w:t>like</w:t>
      </w:r>
      <w:r>
        <w:rPr>
          <w:spacing w:val="-1"/>
        </w:rPr>
        <w:t xml:space="preserve"> </w:t>
      </w:r>
      <w:r>
        <w:t>products.</w:t>
      </w:r>
      <w:hyperlink w:anchor="_bookmark731" w:history="1">
        <w:r>
          <w:rPr>
            <w:vertAlign w:val="superscript"/>
          </w:rPr>
          <w:t>611</w:t>
        </w:r>
      </w:hyperlink>
      <w:r>
        <w:rPr>
          <w:spacing w:val="-1"/>
        </w:rPr>
        <w:t xml:space="preserve"> </w:t>
      </w:r>
      <w:r>
        <w:t>China's argument</w:t>
      </w:r>
      <w:r>
        <w:rPr>
          <w:spacing w:val="-1"/>
        </w:rPr>
        <w:t xml:space="preserve"> </w:t>
      </w:r>
      <w:r>
        <w:t>is premised</w:t>
      </w:r>
      <w:r>
        <w:rPr>
          <w:spacing w:val="-3"/>
        </w:rPr>
        <w:t xml:space="preserve"> </w:t>
      </w:r>
      <w:r>
        <w:t>on the assumption that all wine sales in China occurred in a rigid supply chain, where domestic producers</w:t>
      </w:r>
      <w:r>
        <w:rPr>
          <w:spacing w:val="-4"/>
        </w:rPr>
        <w:t xml:space="preserve"> </w:t>
      </w:r>
      <w:r>
        <w:t>or</w:t>
      </w:r>
      <w:r>
        <w:rPr>
          <w:spacing w:val="-9"/>
        </w:rPr>
        <w:t xml:space="preserve"> </w:t>
      </w:r>
      <w:r>
        <w:t>exporters</w:t>
      </w:r>
      <w:r>
        <w:rPr>
          <w:spacing w:val="-4"/>
        </w:rPr>
        <w:t xml:space="preserve"> </w:t>
      </w:r>
      <w:r>
        <w:t>only</w:t>
      </w:r>
      <w:r>
        <w:rPr>
          <w:spacing w:val="-5"/>
        </w:rPr>
        <w:t xml:space="preserve"> </w:t>
      </w:r>
      <w:r>
        <w:t>ever</w:t>
      </w:r>
      <w:r>
        <w:rPr>
          <w:spacing w:val="-9"/>
        </w:rPr>
        <w:t xml:space="preserve"> </w:t>
      </w:r>
      <w:r>
        <w:t>made</w:t>
      </w:r>
      <w:r>
        <w:rPr>
          <w:spacing w:val="-6"/>
        </w:rPr>
        <w:t xml:space="preserve"> </w:t>
      </w:r>
      <w:r>
        <w:t>sales</w:t>
      </w:r>
      <w:r>
        <w:rPr>
          <w:spacing w:val="-5"/>
        </w:rPr>
        <w:t xml:space="preserve"> </w:t>
      </w:r>
      <w:r>
        <w:t>to</w:t>
      </w:r>
      <w:r>
        <w:rPr>
          <w:spacing w:val="-9"/>
        </w:rPr>
        <w:t xml:space="preserve"> </w:t>
      </w:r>
      <w:r>
        <w:t>a</w:t>
      </w:r>
      <w:r>
        <w:rPr>
          <w:spacing w:val="-7"/>
        </w:rPr>
        <w:t xml:space="preserve"> </w:t>
      </w:r>
      <w:r>
        <w:t>distributor</w:t>
      </w:r>
      <w:r>
        <w:rPr>
          <w:spacing w:val="-9"/>
        </w:rPr>
        <w:t xml:space="preserve"> </w:t>
      </w:r>
      <w:r>
        <w:t>and</w:t>
      </w:r>
      <w:r>
        <w:rPr>
          <w:spacing w:val="-8"/>
        </w:rPr>
        <w:t xml:space="preserve"> </w:t>
      </w:r>
      <w:r>
        <w:t>never</w:t>
      </w:r>
      <w:r>
        <w:rPr>
          <w:spacing w:val="-9"/>
        </w:rPr>
        <w:t xml:space="preserve"> </w:t>
      </w:r>
      <w:r>
        <w:t>to</w:t>
      </w:r>
      <w:r>
        <w:rPr>
          <w:spacing w:val="-4"/>
        </w:rPr>
        <w:t xml:space="preserve"> </w:t>
      </w:r>
      <w:r>
        <w:t>a</w:t>
      </w:r>
      <w:r>
        <w:rPr>
          <w:spacing w:val="-2"/>
        </w:rPr>
        <w:t xml:space="preserve"> </w:t>
      </w:r>
      <w:r>
        <w:t>retailer</w:t>
      </w:r>
      <w:r>
        <w:rPr>
          <w:spacing w:val="-9"/>
        </w:rPr>
        <w:t xml:space="preserve"> </w:t>
      </w:r>
      <w:r>
        <w:t>or</w:t>
      </w:r>
      <w:r>
        <w:rPr>
          <w:spacing w:val="-9"/>
        </w:rPr>
        <w:t xml:space="preserve"> </w:t>
      </w:r>
      <w:r>
        <w:t>an</w:t>
      </w:r>
      <w:r>
        <w:rPr>
          <w:spacing w:val="-8"/>
        </w:rPr>
        <w:t xml:space="preserve"> </w:t>
      </w:r>
      <w:r>
        <w:t>end- user. This assumption is not supported by the evidence on the record.</w:t>
      </w:r>
    </w:p>
    <w:p w14:paraId="05BD27DE" w14:textId="77777777" w:rsidR="00BD462C" w:rsidRDefault="00BD462C">
      <w:pPr>
        <w:pStyle w:val="BodyText"/>
        <w:spacing w:before="8"/>
        <w:rPr>
          <w:sz w:val="8"/>
        </w:rPr>
      </w:pPr>
    </w:p>
    <w:p w14:paraId="44AF2586" w14:textId="4E9D1067" w:rsidR="00BD462C" w:rsidRDefault="00D70C7D">
      <w:pPr>
        <w:pStyle w:val="BodyText"/>
        <w:spacing w:before="56" w:line="357" w:lineRule="auto"/>
        <w:ind w:left="135" w:right="913" w:hanging="5"/>
        <w:jc w:val="right"/>
      </w:pPr>
      <w:r>
        <w:rPr>
          <w:noProof/>
        </w:rPr>
        <mc:AlternateContent>
          <mc:Choice Requires="wps">
            <w:drawing>
              <wp:anchor distT="0" distB="0" distL="114300" distR="114300" simplePos="0" relativeHeight="15902208" behindDoc="0" locked="0" layoutInCell="1" allowOverlap="1" wp14:anchorId="7FA5F5B5" wp14:editId="70F0DF89">
                <wp:simplePos x="0" y="0"/>
                <wp:positionH relativeFrom="page">
                  <wp:posOffset>899160</wp:posOffset>
                </wp:positionH>
                <wp:positionV relativeFrom="paragraph">
                  <wp:posOffset>589280</wp:posOffset>
                </wp:positionV>
                <wp:extent cx="2368550" cy="186055"/>
                <wp:effectExtent l="0" t="0" r="0" b="0"/>
                <wp:wrapNone/>
                <wp:docPr id="662" name="docshape3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855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3A8DA7" id="docshape388" o:spid="_x0000_s1026" alt="&quot;&quot;" style="position:absolute;margin-left:70.8pt;margin-top:46.4pt;width:186.5pt;height:14.65pt;z-index:1590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" fillcolor="black" stroked="f">
                <w10:wrap anchorx="page"/>
              </v:rect>
            </w:pict>
          </mc:Fallback>
        </mc:AlternateContent>
      </w:r>
      <w:r w:rsidR="001A3E52">
        <w:rPr>
          <w:noProof/>
        </w:rPr>
        <w:t>441.</w:t>
      </w:r>
      <w:r w:rsidR="00033D0F">
        <w:rPr>
          <w:rFonts w:ascii="Times New Roman" w:hAnsi="Times New Roman"/>
          <w:spacing w:val="80"/>
          <w:position w:val="1"/>
          <w:sz w:val="20"/>
        </w:rPr>
        <w:t xml:space="preserve">  </w:t>
      </w:r>
      <w:r w:rsidR="00033D0F">
        <w:rPr>
          <w:position w:val="1"/>
        </w:rPr>
        <w:t xml:space="preserve">Rather, the evidence established that the reality of the market was more complex – </w:t>
      </w:r>
      <w:r w:rsidR="00033D0F">
        <w:t>in</w:t>
      </w:r>
      <w:r w:rsidR="00033D0F">
        <w:rPr>
          <w:spacing w:val="62"/>
          <w:w w:val="150"/>
        </w:rPr>
        <w:t xml:space="preserve"> </w:t>
      </w:r>
      <w:r w:rsidR="00033D0F">
        <w:t>that</w:t>
      </w:r>
      <w:r w:rsidR="00033D0F">
        <w:rPr>
          <w:spacing w:val="65"/>
          <w:w w:val="150"/>
        </w:rPr>
        <w:t xml:space="preserve"> </w:t>
      </w:r>
      <w:r w:rsidR="00033D0F">
        <w:t>it</w:t>
      </w:r>
      <w:r w:rsidR="00033D0F">
        <w:rPr>
          <w:spacing w:val="65"/>
          <w:w w:val="150"/>
        </w:rPr>
        <w:t xml:space="preserve"> </w:t>
      </w:r>
      <w:r w:rsidR="00033D0F">
        <w:t>showed</w:t>
      </w:r>
      <w:r w:rsidR="00033D0F">
        <w:rPr>
          <w:spacing w:val="62"/>
          <w:w w:val="150"/>
        </w:rPr>
        <w:t xml:space="preserve"> </w:t>
      </w:r>
      <w:r w:rsidR="00033D0F">
        <w:t>that</w:t>
      </w:r>
      <w:r w:rsidR="00033D0F">
        <w:rPr>
          <w:spacing w:val="60"/>
          <w:w w:val="150"/>
        </w:rPr>
        <w:t xml:space="preserve"> </w:t>
      </w:r>
      <w:r w:rsidR="00033D0F">
        <w:t>domestic</w:t>
      </w:r>
      <w:r w:rsidR="00033D0F">
        <w:rPr>
          <w:spacing w:val="63"/>
          <w:w w:val="150"/>
        </w:rPr>
        <w:t xml:space="preserve"> </w:t>
      </w:r>
      <w:r w:rsidR="00033D0F">
        <w:t>producers</w:t>
      </w:r>
      <w:r w:rsidR="00033D0F">
        <w:rPr>
          <w:spacing w:val="66"/>
          <w:w w:val="150"/>
        </w:rPr>
        <w:t xml:space="preserve"> </w:t>
      </w:r>
      <w:r w:rsidR="00033D0F">
        <w:t>and</w:t>
      </w:r>
      <w:r w:rsidR="00033D0F">
        <w:rPr>
          <w:spacing w:val="62"/>
          <w:w w:val="150"/>
        </w:rPr>
        <w:t xml:space="preserve"> </w:t>
      </w:r>
      <w:r w:rsidR="00033D0F">
        <w:t>Australian</w:t>
      </w:r>
      <w:r w:rsidR="00033D0F">
        <w:rPr>
          <w:spacing w:val="62"/>
          <w:w w:val="150"/>
        </w:rPr>
        <w:t xml:space="preserve"> </w:t>
      </w:r>
      <w:r w:rsidR="00033D0F">
        <w:t>exporters</w:t>
      </w:r>
      <w:r w:rsidR="00033D0F">
        <w:rPr>
          <w:spacing w:val="66"/>
          <w:w w:val="150"/>
        </w:rPr>
        <w:t xml:space="preserve"> </w:t>
      </w:r>
      <w:r w:rsidR="00033D0F">
        <w:t>made</w:t>
      </w:r>
      <w:r w:rsidR="00033D0F">
        <w:rPr>
          <w:spacing w:val="64"/>
          <w:w w:val="150"/>
        </w:rPr>
        <w:t xml:space="preserve"> </w:t>
      </w:r>
      <w:r w:rsidR="00033D0F">
        <w:t>sales</w:t>
      </w:r>
      <w:r w:rsidR="00033D0F">
        <w:rPr>
          <w:spacing w:val="66"/>
          <w:w w:val="150"/>
        </w:rPr>
        <w:t xml:space="preserve"> </w:t>
      </w:r>
      <w:r w:rsidR="00033D0F">
        <w:rPr>
          <w:spacing w:val="-5"/>
        </w:rPr>
        <w:t>to</w:t>
      </w:r>
    </w:p>
    <w:p w14:paraId="0E3F5029" w14:textId="740CF962" w:rsidR="00BD462C" w:rsidRDefault="00D70C7D">
      <w:pPr>
        <w:pStyle w:val="BodyText"/>
        <w:spacing w:before="1" w:line="362" w:lineRule="auto"/>
        <w:ind w:left="135" w:right="916" w:firstLine="3729"/>
        <w:jc w:val="right"/>
      </w:pPr>
      <w:r>
        <w:rPr>
          <w:noProof/>
        </w:rPr>
        <mc:AlternateContent>
          <mc:Choice Requires="wps">
            <w:drawing>
              <wp:anchor distT="0" distB="0" distL="114300" distR="114300" simplePos="0" relativeHeight="15902720" behindDoc="0" locked="0" layoutInCell="1" allowOverlap="1" wp14:anchorId="3120A0EE" wp14:editId="12618757">
                <wp:simplePos x="0" y="0"/>
                <wp:positionH relativeFrom="page">
                  <wp:posOffset>899160</wp:posOffset>
                </wp:positionH>
                <wp:positionV relativeFrom="paragraph">
                  <wp:posOffset>557530</wp:posOffset>
                </wp:positionV>
                <wp:extent cx="3230880" cy="186055"/>
                <wp:effectExtent l="0" t="0" r="0" b="0"/>
                <wp:wrapNone/>
                <wp:docPr id="660" name="docshape3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088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CD33DB" id="docshape389" o:spid="_x0000_s1026" alt="&quot;&quot;" style="position:absolute;margin-left:70.8pt;margin-top:43.9pt;width:254.4pt;height:14.65pt;z-index:15902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" fillcolor="black" stroked="f">
                <w10:wrap anchorx="page"/>
              </v:rect>
            </w:pict>
          </mc:Fallback>
        </mc:AlternateContent>
      </w:r>
      <w:hyperlink w:anchor="_bookmark732" w:history="1">
        <w:r w:rsidR="00033D0F">
          <w:rPr>
            <w:vertAlign w:val="superscript"/>
          </w:rPr>
          <w:t>612</w:t>
        </w:r>
      </w:hyperlink>
      <w:r w:rsidR="00033D0F">
        <w:rPr>
          <w:spacing w:val="-4"/>
        </w:rPr>
        <w:t xml:space="preserve"> </w:t>
      </w:r>
      <w:r w:rsidR="00033D0F">
        <w:t>As</w:t>
      </w:r>
      <w:r w:rsidR="00033D0F">
        <w:rPr>
          <w:spacing w:val="-3"/>
        </w:rPr>
        <w:t xml:space="preserve"> </w:t>
      </w:r>
      <w:r w:rsidR="00033D0F">
        <w:t>a</w:t>
      </w:r>
      <w:r w:rsidR="00033D0F">
        <w:rPr>
          <w:spacing w:val="-5"/>
        </w:rPr>
        <w:t xml:space="preserve"> </w:t>
      </w:r>
      <w:r w:rsidR="00033D0F">
        <w:t>result,</w:t>
      </w:r>
      <w:r w:rsidR="00033D0F">
        <w:rPr>
          <w:spacing w:val="-7"/>
        </w:rPr>
        <w:t xml:space="preserve"> </w:t>
      </w:r>
      <w:r w:rsidR="00033D0F">
        <w:t>the</w:t>
      </w:r>
      <w:r w:rsidR="00033D0F">
        <w:rPr>
          <w:spacing w:val="-5"/>
        </w:rPr>
        <w:t xml:space="preserve"> </w:t>
      </w:r>
      <w:r w:rsidR="00033D0F">
        <w:t>average</w:t>
      </w:r>
      <w:r w:rsidR="00033D0F">
        <w:rPr>
          <w:spacing w:val="-4"/>
        </w:rPr>
        <w:t xml:space="preserve"> </w:t>
      </w:r>
      <w:r w:rsidR="00033D0F">
        <w:t>price</w:t>
      </w:r>
      <w:r w:rsidR="00033D0F">
        <w:rPr>
          <w:spacing w:val="-4"/>
        </w:rPr>
        <w:t xml:space="preserve"> </w:t>
      </w:r>
      <w:r w:rsidR="00033D0F">
        <w:t>data</w:t>
      </w:r>
      <w:r w:rsidR="00033D0F">
        <w:rPr>
          <w:spacing w:val="-5"/>
        </w:rPr>
        <w:t xml:space="preserve"> </w:t>
      </w:r>
      <w:r w:rsidR="00033D0F">
        <w:t>forming</w:t>
      </w:r>
      <w:r w:rsidR="00033D0F">
        <w:rPr>
          <w:spacing w:val="-3"/>
        </w:rPr>
        <w:t xml:space="preserve"> </w:t>
      </w:r>
      <w:r w:rsidR="00033D0F">
        <w:t>the</w:t>
      </w:r>
      <w:r w:rsidR="00033D0F">
        <w:rPr>
          <w:spacing w:val="-5"/>
        </w:rPr>
        <w:t xml:space="preserve"> </w:t>
      </w:r>
      <w:r w:rsidR="00033D0F">
        <w:t>basis of</w:t>
      </w:r>
      <w:r w:rsidR="00033D0F">
        <w:rPr>
          <w:spacing w:val="-10"/>
        </w:rPr>
        <w:t xml:space="preserve"> </w:t>
      </w:r>
      <w:r w:rsidR="00033D0F">
        <w:t>MOFCOM's</w:t>
      </w:r>
      <w:r w:rsidR="00033D0F">
        <w:rPr>
          <w:spacing w:val="-7"/>
        </w:rPr>
        <w:t xml:space="preserve"> </w:t>
      </w:r>
      <w:r w:rsidR="00033D0F">
        <w:t>price</w:t>
      </w:r>
      <w:r w:rsidR="00033D0F">
        <w:rPr>
          <w:spacing w:val="-7"/>
        </w:rPr>
        <w:t xml:space="preserve"> </w:t>
      </w:r>
      <w:r w:rsidR="00033D0F">
        <w:t>calculations</w:t>
      </w:r>
      <w:r w:rsidR="00033D0F">
        <w:rPr>
          <w:spacing w:val="-7"/>
        </w:rPr>
        <w:t xml:space="preserve"> </w:t>
      </w:r>
      <w:r w:rsidR="00033D0F">
        <w:t>reflected</w:t>
      </w:r>
      <w:r w:rsidR="00033D0F">
        <w:rPr>
          <w:spacing w:val="-9"/>
        </w:rPr>
        <w:t xml:space="preserve"> </w:t>
      </w:r>
      <w:r w:rsidR="00033D0F">
        <w:t>prices</w:t>
      </w:r>
      <w:r w:rsidR="00033D0F">
        <w:rPr>
          <w:spacing w:val="-7"/>
        </w:rPr>
        <w:t xml:space="preserve"> </w:t>
      </w:r>
      <w:r w:rsidR="00033D0F">
        <w:t>for</w:t>
      </w:r>
      <w:r w:rsidR="00033D0F">
        <w:rPr>
          <w:spacing w:val="-11"/>
        </w:rPr>
        <w:t xml:space="preserve"> </w:t>
      </w:r>
      <w:r w:rsidR="00033D0F">
        <w:t>sales</w:t>
      </w:r>
      <w:r w:rsidR="00033D0F">
        <w:rPr>
          <w:spacing w:val="-6"/>
        </w:rPr>
        <w:t xml:space="preserve"> </w:t>
      </w:r>
      <w:r w:rsidR="00033D0F">
        <w:t>occurring</w:t>
      </w:r>
      <w:r w:rsidR="00033D0F">
        <w:rPr>
          <w:spacing w:val="-7"/>
        </w:rPr>
        <w:t xml:space="preserve"> </w:t>
      </w:r>
      <w:r w:rsidR="00033D0F">
        <w:t>at</w:t>
      </w:r>
      <w:r w:rsidR="00033D0F">
        <w:rPr>
          <w:spacing w:val="-8"/>
        </w:rPr>
        <w:t xml:space="preserve"> </w:t>
      </w:r>
      <w:r w:rsidR="00033D0F">
        <w:t>different</w:t>
      </w:r>
      <w:r w:rsidR="00033D0F">
        <w:rPr>
          <w:spacing w:val="-2"/>
        </w:rPr>
        <w:t xml:space="preserve"> </w:t>
      </w:r>
      <w:r w:rsidR="00033D0F">
        <w:t>levels</w:t>
      </w:r>
      <w:r w:rsidR="00033D0F">
        <w:rPr>
          <w:spacing w:val="-7"/>
        </w:rPr>
        <w:t xml:space="preserve"> </w:t>
      </w:r>
      <w:r w:rsidR="00033D0F">
        <w:t>of</w:t>
      </w:r>
      <w:r w:rsidR="00033D0F">
        <w:rPr>
          <w:spacing w:val="-9"/>
        </w:rPr>
        <w:t xml:space="preserve"> </w:t>
      </w:r>
      <w:r w:rsidR="00033D0F">
        <w:rPr>
          <w:spacing w:val="-2"/>
        </w:rPr>
        <w:t>trade</w:t>
      </w:r>
    </w:p>
    <w:p w14:paraId="2DF2FD80" w14:textId="77777777" w:rsidR="00BD462C" w:rsidRDefault="00033D0F">
      <w:pPr>
        <w:pStyle w:val="BodyText"/>
        <w:spacing w:line="360" w:lineRule="auto"/>
        <w:ind w:left="136" w:right="915" w:firstLine="5222"/>
        <w:jc w:val="both"/>
      </w:pPr>
      <w:r>
        <w:t>MOFCOM failed to account for that complexity in its price calculation. China accepts that differences of this nature could "affect price</w:t>
      </w:r>
      <w:r>
        <w:rPr>
          <w:spacing w:val="-12"/>
        </w:rPr>
        <w:t xml:space="preserve"> </w:t>
      </w:r>
      <w:r>
        <w:t>comparability</w:t>
      </w:r>
      <w:r>
        <w:rPr>
          <w:spacing w:val="-11"/>
        </w:rPr>
        <w:t xml:space="preserve"> </w:t>
      </w:r>
      <w:r>
        <w:t>in</w:t>
      </w:r>
      <w:r>
        <w:rPr>
          <w:spacing w:val="-14"/>
        </w:rPr>
        <w:t xml:space="preserve"> </w:t>
      </w:r>
      <w:r>
        <w:t>different</w:t>
      </w:r>
      <w:r>
        <w:rPr>
          <w:spacing w:val="-10"/>
        </w:rPr>
        <w:t xml:space="preserve"> </w:t>
      </w:r>
      <w:r>
        <w:t>ways".</w:t>
      </w:r>
      <w:hyperlink w:anchor="_bookmark733" w:history="1">
        <w:r>
          <w:rPr>
            <w:vertAlign w:val="superscript"/>
          </w:rPr>
          <w:t>613</w:t>
        </w:r>
      </w:hyperlink>
      <w:r>
        <w:rPr>
          <w:spacing w:val="-11"/>
        </w:rPr>
        <w:t xml:space="preserve"> </w:t>
      </w:r>
      <w:r>
        <w:t>MOFCOM</w:t>
      </w:r>
      <w:r>
        <w:rPr>
          <w:spacing w:val="-11"/>
        </w:rPr>
        <w:t xml:space="preserve"> </w:t>
      </w:r>
      <w:r>
        <w:t>was</w:t>
      </w:r>
      <w:r>
        <w:rPr>
          <w:spacing w:val="-10"/>
        </w:rPr>
        <w:t xml:space="preserve"> </w:t>
      </w:r>
      <w:r>
        <w:t>required</w:t>
      </w:r>
      <w:r>
        <w:rPr>
          <w:spacing w:val="-14"/>
        </w:rPr>
        <w:t xml:space="preserve"> </w:t>
      </w:r>
      <w:r>
        <w:t>to</w:t>
      </w:r>
      <w:r>
        <w:rPr>
          <w:spacing w:val="-9"/>
        </w:rPr>
        <w:t xml:space="preserve"> </w:t>
      </w:r>
      <w:r>
        <w:t>consider</w:t>
      </w:r>
      <w:r>
        <w:rPr>
          <w:spacing w:val="-14"/>
        </w:rPr>
        <w:t xml:space="preserve"> </w:t>
      </w:r>
      <w:r>
        <w:t>and</w:t>
      </w:r>
      <w:r>
        <w:rPr>
          <w:spacing w:val="-8"/>
        </w:rPr>
        <w:t xml:space="preserve"> </w:t>
      </w:r>
      <w:r>
        <w:t>reflect</w:t>
      </w:r>
      <w:r>
        <w:rPr>
          <w:spacing w:val="-11"/>
        </w:rPr>
        <w:t xml:space="preserve"> </w:t>
      </w:r>
      <w:r>
        <w:t>these differences</w:t>
      </w:r>
      <w:r>
        <w:rPr>
          <w:spacing w:val="-7"/>
        </w:rPr>
        <w:t xml:space="preserve"> </w:t>
      </w:r>
      <w:r>
        <w:t>in</w:t>
      </w:r>
      <w:r>
        <w:rPr>
          <w:spacing w:val="-10"/>
        </w:rPr>
        <w:t xml:space="preserve"> </w:t>
      </w:r>
      <w:r>
        <w:t>its</w:t>
      </w:r>
      <w:r>
        <w:rPr>
          <w:spacing w:val="-7"/>
        </w:rPr>
        <w:t xml:space="preserve"> </w:t>
      </w:r>
      <w:r>
        <w:t>price</w:t>
      </w:r>
      <w:r>
        <w:rPr>
          <w:spacing w:val="-8"/>
        </w:rPr>
        <w:t xml:space="preserve"> </w:t>
      </w:r>
      <w:r>
        <w:t>calculation</w:t>
      </w:r>
      <w:r>
        <w:rPr>
          <w:spacing w:val="-10"/>
        </w:rPr>
        <w:t xml:space="preserve"> </w:t>
      </w:r>
      <w:r>
        <w:t>in</w:t>
      </w:r>
      <w:r>
        <w:rPr>
          <w:spacing w:val="-10"/>
        </w:rPr>
        <w:t xml:space="preserve"> </w:t>
      </w:r>
      <w:r>
        <w:t>order</w:t>
      </w:r>
      <w:r>
        <w:rPr>
          <w:spacing w:val="-11"/>
        </w:rPr>
        <w:t xml:space="preserve"> </w:t>
      </w:r>
      <w:r>
        <w:t>to</w:t>
      </w:r>
      <w:r>
        <w:rPr>
          <w:spacing w:val="-11"/>
        </w:rPr>
        <w:t xml:space="preserve"> </w:t>
      </w:r>
      <w:r>
        <w:t>ensure</w:t>
      </w:r>
      <w:r>
        <w:rPr>
          <w:spacing w:val="-8"/>
        </w:rPr>
        <w:t xml:space="preserve"> </w:t>
      </w:r>
      <w:r>
        <w:t>the</w:t>
      </w:r>
      <w:r>
        <w:rPr>
          <w:spacing w:val="-8"/>
        </w:rPr>
        <w:t xml:space="preserve"> </w:t>
      </w:r>
      <w:r>
        <w:t>prices</w:t>
      </w:r>
      <w:r>
        <w:rPr>
          <w:spacing w:val="-7"/>
        </w:rPr>
        <w:t xml:space="preserve"> </w:t>
      </w:r>
      <w:r>
        <w:t>were</w:t>
      </w:r>
      <w:r>
        <w:rPr>
          <w:spacing w:val="-8"/>
        </w:rPr>
        <w:t xml:space="preserve"> </w:t>
      </w:r>
      <w:r>
        <w:t>comparable.</w:t>
      </w:r>
      <w:r>
        <w:rPr>
          <w:spacing w:val="-7"/>
        </w:rPr>
        <w:t xml:space="preserve"> </w:t>
      </w:r>
      <w:r>
        <w:t>It</w:t>
      </w:r>
      <w:r>
        <w:rPr>
          <w:spacing w:val="-8"/>
        </w:rPr>
        <w:t xml:space="preserve"> </w:t>
      </w:r>
      <w:r>
        <w:t>did</w:t>
      </w:r>
      <w:r>
        <w:rPr>
          <w:spacing w:val="-10"/>
        </w:rPr>
        <w:t xml:space="preserve"> </w:t>
      </w:r>
      <w:r>
        <w:t>not</w:t>
      </w:r>
      <w:r>
        <w:rPr>
          <w:spacing w:val="-8"/>
        </w:rPr>
        <w:t xml:space="preserve"> </w:t>
      </w:r>
      <w:r>
        <w:t xml:space="preserve">do </w:t>
      </w:r>
      <w:r>
        <w:rPr>
          <w:spacing w:val="-4"/>
        </w:rPr>
        <w:t>so.</w:t>
      </w:r>
    </w:p>
    <w:p w14:paraId="5DF3F1B6" w14:textId="77777777" w:rsidR="00BD462C" w:rsidRDefault="00BD462C">
      <w:pPr>
        <w:pStyle w:val="BodyText"/>
        <w:spacing w:before="4"/>
        <w:rPr>
          <w:sz w:val="8"/>
        </w:rPr>
      </w:pPr>
    </w:p>
    <w:p w14:paraId="728CC7A1" w14:textId="0A185808" w:rsidR="00BD462C" w:rsidRDefault="00D70C7D">
      <w:pPr>
        <w:pStyle w:val="BodyText"/>
        <w:tabs>
          <w:tab w:val="left" w:pos="7388"/>
        </w:tabs>
        <w:spacing w:before="56" w:line="360" w:lineRule="auto"/>
        <w:ind w:left="135" w:right="910" w:hanging="5"/>
        <w:jc w:val="both"/>
      </w:pPr>
      <w:r>
        <w:rPr>
          <w:noProof/>
        </w:rPr>
        <mc:AlternateContent>
          <mc:Choice Requires="wps">
            <w:drawing>
              <wp:anchor distT="0" distB="0" distL="114300" distR="114300" simplePos="0" relativeHeight="479064576" behindDoc="1" locked="0" layoutInCell="1" allowOverlap="1" wp14:anchorId="4BCA9BE8" wp14:editId="4291E2AE">
                <wp:simplePos x="0" y="0"/>
                <wp:positionH relativeFrom="page">
                  <wp:posOffset>4608830</wp:posOffset>
                </wp:positionH>
                <wp:positionV relativeFrom="paragraph">
                  <wp:posOffset>311785</wp:posOffset>
                </wp:positionV>
                <wp:extent cx="856615" cy="186055"/>
                <wp:effectExtent l="0" t="0" r="0" b="0"/>
                <wp:wrapNone/>
                <wp:docPr id="658" name="docshape3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661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E49D49" id="docshape390" o:spid="_x0000_s1026" alt="&quot;&quot;" style="position:absolute;margin-left:362.9pt;margin-top:24.55pt;width:67.45pt;height:14.65pt;z-index:-2425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" fillcolor="black" stroked="f">
                <w10:wrap anchorx="page"/>
              </v:rect>
            </w:pict>
          </mc:Fallback>
        </mc:AlternateContent>
      </w:r>
      <w:r>
        <w:rPr>
          <w:noProof/>
        </w:rPr>
        <mc:AlternateContent>
          <mc:Choice Requires="wps">
            <w:drawing>
              <wp:anchor distT="0" distB="0" distL="114300" distR="114300" simplePos="0" relativeHeight="15903744" behindDoc="0" locked="0" layoutInCell="1" allowOverlap="1" wp14:anchorId="36CBFE21" wp14:editId="71B21163">
                <wp:simplePos x="0" y="0"/>
                <wp:positionH relativeFrom="page">
                  <wp:posOffset>899160</wp:posOffset>
                </wp:positionH>
                <wp:positionV relativeFrom="paragraph">
                  <wp:posOffset>2543175</wp:posOffset>
                </wp:positionV>
                <wp:extent cx="737870" cy="186055"/>
                <wp:effectExtent l="0" t="0" r="0" b="0"/>
                <wp:wrapNone/>
                <wp:docPr id="656" name="docshape3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87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8C1D9F" id="docshape391" o:spid="_x0000_s1026" alt="&quot;&quot;" style="position:absolute;margin-left:70.8pt;margin-top:200.25pt;width:58.1pt;height:14.65pt;z-index:15903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" fillcolor="black" stroked="f">
                <w10:wrap anchorx="page"/>
              </v:rect>
            </w:pict>
          </mc:Fallback>
        </mc:AlternateContent>
      </w:r>
      <w:r w:rsidR="001A3E52">
        <w:rPr>
          <w:noProof/>
        </w:rPr>
        <w:t>442.</w:t>
      </w:r>
      <w:r w:rsidR="00033D0F">
        <w:rPr>
          <w:rFonts w:ascii="Times New Roman"/>
          <w:spacing w:val="80"/>
          <w:position w:val="1"/>
          <w:sz w:val="20"/>
        </w:rPr>
        <w:t xml:space="preserve"> </w:t>
      </w:r>
      <w:r w:rsidR="00033D0F">
        <w:rPr>
          <w:position w:val="1"/>
        </w:rPr>
        <w:t xml:space="preserve">Third, China argues that because the majority (by volume) of sales by the sampled </w:t>
      </w:r>
      <w:r w:rsidR="00033D0F">
        <w:t>Australian companies and the domestic producers were to</w:t>
      </w:r>
      <w:r w:rsidR="00033D0F">
        <w:tab/>
        <w:t>MOFCOM was not required to consider level of trade issues in its price analysis.</w:t>
      </w:r>
      <w:hyperlink w:anchor="_bookmark734" w:history="1">
        <w:r w:rsidR="00033D0F">
          <w:rPr>
            <w:vertAlign w:val="superscript"/>
          </w:rPr>
          <w:t>614</w:t>
        </w:r>
      </w:hyperlink>
      <w:r w:rsidR="00033D0F">
        <w:t xml:space="preserve"> Australia makes two observations</w:t>
      </w:r>
      <w:r w:rsidR="00033D0F">
        <w:rPr>
          <w:spacing w:val="-2"/>
        </w:rPr>
        <w:t xml:space="preserve"> </w:t>
      </w:r>
      <w:r w:rsidR="00033D0F">
        <w:t>in</w:t>
      </w:r>
      <w:r w:rsidR="00033D0F">
        <w:rPr>
          <w:spacing w:val="-5"/>
        </w:rPr>
        <w:t xml:space="preserve"> </w:t>
      </w:r>
      <w:r w:rsidR="00033D0F">
        <w:t>relation</w:t>
      </w:r>
      <w:r w:rsidR="00033D0F">
        <w:rPr>
          <w:spacing w:val="-5"/>
        </w:rPr>
        <w:t xml:space="preserve"> </w:t>
      </w:r>
      <w:r w:rsidR="00033D0F">
        <w:t>to</w:t>
      </w:r>
      <w:r w:rsidR="00033D0F">
        <w:rPr>
          <w:spacing w:val="-6"/>
        </w:rPr>
        <w:t xml:space="preserve"> </w:t>
      </w:r>
      <w:r w:rsidR="00033D0F">
        <w:t>China's</w:t>
      </w:r>
      <w:r w:rsidR="00033D0F">
        <w:rPr>
          <w:spacing w:val="-2"/>
        </w:rPr>
        <w:t xml:space="preserve"> </w:t>
      </w:r>
      <w:r w:rsidR="00033D0F">
        <w:t>argument.</w:t>
      </w:r>
      <w:r w:rsidR="00033D0F">
        <w:rPr>
          <w:spacing w:val="-2"/>
        </w:rPr>
        <w:t xml:space="preserve"> </w:t>
      </w:r>
      <w:r w:rsidR="00033D0F">
        <w:t>First,</w:t>
      </w:r>
      <w:r w:rsidR="00033D0F">
        <w:rPr>
          <w:spacing w:val="-1"/>
        </w:rPr>
        <w:t xml:space="preserve"> </w:t>
      </w:r>
      <w:r w:rsidR="00033D0F">
        <w:t>as</w:t>
      </w:r>
      <w:r w:rsidR="00033D0F">
        <w:rPr>
          <w:spacing w:val="-2"/>
        </w:rPr>
        <w:t xml:space="preserve"> </w:t>
      </w:r>
      <w:r w:rsidR="00033D0F">
        <w:t>a</w:t>
      </w:r>
      <w:r w:rsidR="00033D0F">
        <w:rPr>
          <w:spacing w:val="-4"/>
        </w:rPr>
        <w:t xml:space="preserve"> </w:t>
      </w:r>
      <w:r w:rsidR="00033D0F">
        <w:t>preliminary</w:t>
      </w:r>
      <w:r w:rsidR="00033D0F">
        <w:rPr>
          <w:spacing w:val="-2"/>
        </w:rPr>
        <w:t xml:space="preserve"> </w:t>
      </w:r>
      <w:r w:rsidR="00033D0F">
        <w:t>matter,</w:t>
      </w:r>
      <w:r w:rsidR="00033D0F">
        <w:rPr>
          <w:spacing w:val="-1"/>
        </w:rPr>
        <w:t xml:space="preserve"> </w:t>
      </w:r>
      <w:r w:rsidR="00033D0F">
        <w:t>China's</w:t>
      </w:r>
      <w:r w:rsidR="00033D0F">
        <w:rPr>
          <w:spacing w:val="-2"/>
        </w:rPr>
        <w:t xml:space="preserve"> </w:t>
      </w:r>
      <w:r w:rsidR="00033D0F">
        <w:t xml:space="preserve">argument is entirely </w:t>
      </w:r>
      <w:r w:rsidR="00033D0F">
        <w:rPr>
          <w:i/>
        </w:rPr>
        <w:t xml:space="preserve">ex post facto </w:t>
      </w:r>
      <w:proofErr w:type="spellStart"/>
      <w:r w:rsidR="00033D0F">
        <w:t>rationalisation</w:t>
      </w:r>
      <w:proofErr w:type="spellEnd"/>
      <w:r w:rsidR="00033D0F">
        <w:t>. There is no evidence in the Final Determination or elsewhere on the investigation record to suggest that MOFCOM undertook the type of examination</w:t>
      </w:r>
      <w:r w:rsidR="00033D0F">
        <w:rPr>
          <w:spacing w:val="-3"/>
        </w:rPr>
        <w:t xml:space="preserve"> </w:t>
      </w:r>
      <w:r w:rsidR="00033D0F">
        <w:t>described</w:t>
      </w:r>
      <w:r w:rsidR="00033D0F">
        <w:rPr>
          <w:spacing w:val="-3"/>
        </w:rPr>
        <w:t xml:space="preserve"> </w:t>
      </w:r>
      <w:r w:rsidR="00033D0F">
        <w:t>by China</w:t>
      </w:r>
      <w:r w:rsidR="00033D0F">
        <w:rPr>
          <w:spacing w:val="-2"/>
        </w:rPr>
        <w:t xml:space="preserve"> </w:t>
      </w:r>
      <w:r w:rsidR="00033D0F">
        <w:t>in</w:t>
      </w:r>
      <w:r w:rsidR="00033D0F">
        <w:rPr>
          <w:spacing w:val="-3"/>
        </w:rPr>
        <w:t xml:space="preserve"> </w:t>
      </w:r>
      <w:r w:rsidR="00033D0F">
        <w:t>its first</w:t>
      </w:r>
      <w:r w:rsidR="00033D0F">
        <w:rPr>
          <w:spacing w:val="-1"/>
        </w:rPr>
        <w:t xml:space="preserve"> </w:t>
      </w:r>
      <w:r w:rsidR="00033D0F">
        <w:t>written</w:t>
      </w:r>
      <w:r w:rsidR="00033D0F">
        <w:rPr>
          <w:spacing w:val="-3"/>
        </w:rPr>
        <w:t xml:space="preserve"> </w:t>
      </w:r>
      <w:r w:rsidR="00033D0F">
        <w:t>submission.</w:t>
      </w:r>
      <w:hyperlink w:anchor="_bookmark735" w:history="1">
        <w:r w:rsidR="00033D0F">
          <w:rPr>
            <w:vertAlign w:val="superscript"/>
          </w:rPr>
          <w:t>615</w:t>
        </w:r>
      </w:hyperlink>
      <w:r w:rsidR="00033D0F">
        <w:rPr>
          <w:spacing w:val="-1"/>
        </w:rPr>
        <w:t xml:space="preserve"> </w:t>
      </w:r>
      <w:r w:rsidR="00033D0F">
        <w:t>Second, as to</w:t>
      </w:r>
      <w:r w:rsidR="00033D0F">
        <w:rPr>
          <w:spacing w:val="-4"/>
        </w:rPr>
        <w:t xml:space="preserve"> </w:t>
      </w:r>
      <w:r w:rsidR="00033D0F">
        <w:t>the</w:t>
      </w:r>
      <w:r w:rsidR="00033D0F">
        <w:rPr>
          <w:spacing w:val="-2"/>
        </w:rPr>
        <w:t xml:space="preserve"> </w:t>
      </w:r>
      <w:r w:rsidR="00033D0F">
        <w:t>substance of</w:t>
      </w:r>
      <w:r w:rsidR="00033D0F">
        <w:rPr>
          <w:spacing w:val="-9"/>
        </w:rPr>
        <w:t xml:space="preserve"> </w:t>
      </w:r>
      <w:r w:rsidR="00033D0F">
        <w:t>China's</w:t>
      </w:r>
      <w:r w:rsidR="00033D0F">
        <w:rPr>
          <w:spacing w:val="-6"/>
        </w:rPr>
        <w:t xml:space="preserve"> </w:t>
      </w:r>
      <w:r w:rsidR="00033D0F">
        <w:t>argument,</w:t>
      </w:r>
      <w:r w:rsidR="00033D0F">
        <w:rPr>
          <w:spacing w:val="-5"/>
        </w:rPr>
        <w:t xml:space="preserve"> </w:t>
      </w:r>
      <w:r w:rsidR="00033D0F">
        <w:t>Australia</w:t>
      </w:r>
      <w:r w:rsidR="00033D0F">
        <w:rPr>
          <w:spacing w:val="-8"/>
        </w:rPr>
        <w:t xml:space="preserve"> </w:t>
      </w:r>
      <w:r w:rsidR="00033D0F">
        <w:t>agrees</w:t>
      </w:r>
      <w:r w:rsidR="00033D0F">
        <w:rPr>
          <w:spacing w:val="-6"/>
        </w:rPr>
        <w:t xml:space="preserve"> </w:t>
      </w:r>
      <w:r w:rsidR="00033D0F">
        <w:t>that</w:t>
      </w:r>
      <w:r w:rsidR="00033D0F">
        <w:rPr>
          <w:spacing w:val="-7"/>
        </w:rPr>
        <w:t xml:space="preserve"> </w:t>
      </w:r>
      <w:r w:rsidR="00033D0F">
        <w:t>the</w:t>
      </w:r>
      <w:r w:rsidR="00033D0F">
        <w:rPr>
          <w:spacing w:val="-7"/>
        </w:rPr>
        <w:t xml:space="preserve"> </w:t>
      </w:r>
      <w:r w:rsidR="00033D0F">
        <w:t>evidence</w:t>
      </w:r>
      <w:r w:rsidR="00033D0F">
        <w:rPr>
          <w:spacing w:val="-7"/>
        </w:rPr>
        <w:t xml:space="preserve"> </w:t>
      </w:r>
      <w:r w:rsidR="00033D0F">
        <w:t>before</w:t>
      </w:r>
      <w:r w:rsidR="00033D0F">
        <w:rPr>
          <w:spacing w:val="-7"/>
        </w:rPr>
        <w:t xml:space="preserve"> </w:t>
      </w:r>
      <w:r w:rsidR="00033D0F">
        <w:t>MOFCOM</w:t>
      </w:r>
      <w:r w:rsidR="00033D0F">
        <w:rPr>
          <w:spacing w:val="-7"/>
        </w:rPr>
        <w:t xml:space="preserve"> </w:t>
      </w:r>
      <w:r w:rsidR="00033D0F">
        <w:t>established</w:t>
      </w:r>
      <w:r w:rsidR="00033D0F">
        <w:rPr>
          <w:spacing w:val="-9"/>
        </w:rPr>
        <w:t xml:space="preserve"> </w:t>
      </w:r>
      <w:r w:rsidR="00033D0F">
        <w:t>that</w:t>
      </w:r>
      <w:r w:rsidR="00033D0F">
        <w:rPr>
          <w:spacing w:val="-7"/>
        </w:rPr>
        <w:t xml:space="preserve"> </w:t>
      </w:r>
      <w:r w:rsidR="00033D0F">
        <w:t>the majority</w:t>
      </w:r>
      <w:r w:rsidR="00033D0F">
        <w:rPr>
          <w:spacing w:val="23"/>
        </w:rPr>
        <w:t xml:space="preserve"> </w:t>
      </w:r>
      <w:r w:rsidR="00033D0F">
        <w:t>of</w:t>
      </w:r>
      <w:r w:rsidR="00033D0F">
        <w:rPr>
          <w:spacing w:val="20"/>
        </w:rPr>
        <w:t xml:space="preserve"> </w:t>
      </w:r>
      <w:r w:rsidR="00033D0F">
        <w:t>sales</w:t>
      </w:r>
      <w:r w:rsidR="00033D0F">
        <w:rPr>
          <w:spacing w:val="23"/>
        </w:rPr>
        <w:t xml:space="preserve"> </w:t>
      </w:r>
      <w:r w:rsidR="00033D0F">
        <w:t>(by</w:t>
      </w:r>
      <w:r w:rsidR="00033D0F">
        <w:rPr>
          <w:spacing w:val="24"/>
        </w:rPr>
        <w:t xml:space="preserve"> </w:t>
      </w:r>
      <w:r w:rsidR="00033D0F">
        <w:t>volume)</w:t>
      </w:r>
      <w:r w:rsidR="00033D0F">
        <w:rPr>
          <w:spacing w:val="25"/>
        </w:rPr>
        <w:t xml:space="preserve"> </w:t>
      </w:r>
      <w:r w:rsidR="00033D0F">
        <w:t>by</w:t>
      </w:r>
      <w:r w:rsidR="00033D0F">
        <w:rPr>
          <w:spacing w:val="23"/>
        </w:rPr>
        <w:t xml:space="preserve"> </w:t>
      </w:r>
      <w:r w:rsidR="00033D0F">
        <w:t>Treasury</w:t>
      </w:r>
      <w:r w:rsidR="00033D0F">
        <w:rPr>
          <w:spacing w:val="23"/>
        </w:rPr>
        <w:t xml:space="preserve"> </w:t>
      </w:r>
      <w:r w:rsidR="00033D0F">
        <w:t>Wines</w:t>
      </w:r>
      <w:r w:rsidR="00033D0F">
        <w:rPr>
          <w:spacing w:val="24"/>
        </w:rPr>
        <w:t xml:space="preserve"> </w:t>
      </w:r>
      <w:r w:rsidR="00033D0F">
        <w:t>and</w:t>
      </w:r>
      <w:r w:rsidR="00033D0F">
        <w:rPr>
          <w:spacing w:val="25"/>
        </w:rPr>
        <w:t xml:space="preserve"> </w:t>
      </w:r>
      <w:r w:rsidR="00033D0F">
        <w:t>Casella</w:t>
      </w:r>
      <w:r w:rsidR="00033D0F">
        <w:rPr>
          <w:spacing w:val="21"/>
        </w:rPr>
        <w:t xml:space="preserve"> </w:t>
      </w:r>
      <w:r w:rsidR="00033D0F">
        <w:t>Wines</w:t>
      </w:r>
      <w:r w:rsidR="00033D0F">
        <w:rPr>
          <w:spacing w:val="23"/>
        </w:rPr>
        <w:t xml:space="preserve"> </w:t>
      </w:r>
      <w:r w:rsidR="00033D0F">
        <w:t>in</w:t>
      </w:r>
      <w:r w:rsidR="00033D0F">
        <w:rPr>
          <w:spacing w:val="21"/>
        </w:rPr>
        <w:t xml:space="preserve"> </w:t>
      </w:r>
      <w:r w:rsidR="00033D0F">
        <w:t>2019</w:t>
      </w:r>
      <w:r w:rsidR="00033D0F">
        <w:rPr>
          <w:spacing w:val="24"/>
        </w:rPr>
        <w:t xml:space="preserve"> </w:t>
      </w:r>
      <w:r w:rsidR="00033D0F">
        <w:t>were</w:t>
      </w:r>
      <w:r w:rsidR="00033D0F">
        <w:rPr>
          <w:spacing w:val="26"/>
        </w:rPr>
        <w:t xml:space="preserve"> </w:t>
      </w:r>
      <w:r w:rsidR="00033D0F">
        <w:t>made</w:t>
      </w:r>
      <w:r w:rsidR="00033D0F">
        <w:rPr>
          <w:spacing w:val="23"/>
        </w:rPr>
        <w:t xml:space="preserve"> </w:t>
      </w:r>
      <w:r w:rsidR="00033D0F">
        <w:rPr>
          <w:spacing w:val="-5"/>
        </w:rPr>
        <w:t>to</w:t>
      </w:r>
    </w:p>
    <w:p w14:paraId="1DD356A3" w14:textId="77777777" w:rsidR="00BD462C" w:rsidRDefault="00033D0F">
      <w:pPr>
        <w:pStyle w:val="BodyText"/>
        <w:spacing w:line="289" w:lineRule="exact"/>
        <w:ind w:left="1297"/>
        <w:jc w:val="both"/>
      </w:pPr>
      <w:r>
        <w:t>.</w:t>
      </w:r>
      <w:hyperlink w:anchor="_bookmark736" w:history="1">
        <w:r>
          <w:rPr>
            <w:vertAlign w:val="superscript"/>
          </w:rPr>
          <w:t>616</w:t>
        </w:r>
      </w:hyperlink>
      <w:r>
        <w:rPr>
          <w:spacing w:val="14"/>
        </w:rPr>
        <w:t xml:space="preserve"> </w:t>
      </w:r>
      <w:r>
        <w:t>However,</w:t>
      </w:r>
      <w:r>
        <w:rPr>
          <w:spacing w:val="15"/>
        </w:rPr>
        <w:t xml:space="preserve"> </w:t>
      </w:r>
      <w:r>
        <w:t>the</w:t>
      </w:r>
      <w:r>
        <w:rPr>
          <w:spacing w:val="13"/>
        </w:rPr>
        <w:t xml:space="preserve"> </w:t>
      </w:r>
      <w:r>
        <w:t>volume</w:t>
      </w:r>
      <w:r>
        <w:rPr>
          <w:spacing w:val="13"/>
        </w:rPr>
        <w:t xml:space="preserve"> </w:t>
      </w:r>
      <w:r>
        <w:t>of</w:t>
      </w:r>
      <w:r>
        <w:rPr>
          <w:spacing w:val="11"/>
        </w:rPr>
        <w:t xml:space="preserve"> </w:t>
      </w:r>
      <w:r>
        <w:t>sales</w:t>
      </w:r>
      <w:r>
        <w:rPr>
          <w:spacing w:val="15"/>
        </w:rPr>
        <w:t xml:space="preserve"> </w:t>
      </w:r>
      <w:r>
        <w:t>made</w:t>
      </w:r>
      <w:r>
        <w:rPr>
          <w:spacing w:val="9"/>
        </w:rPr>
        <w:t xml:space="preserve"> </w:t>
      </w:r>
      <w:r>
        <w:t>to</w:t>
      </w:r>
      <w:r>
        <w:rPr>
          <w:spacing w:val="11"/>
        </w:rPr>
        <w:t xml:space="preserve"> </w:t>
      </w:r>
      <w:r>
        <w:t>customers</w:t>
      </w:r>
      <w:r>
        <w:rPr>
          <w:spacing w:val="15"/>
        </w:rPr>
        <w:t xml:space="preserve"> </w:t>
      </w:r>
      <w:r>
        <w:t>at</w:t>
      </w:r>
      <w:r>
        <w:rPr>
          <w:spacing w:val="14"/>
        </w:rPr>
        <w:t xml:space="preserve"> </w:t>
      </w:r>
      <w:r>
        <w:t>other</w:t>
      </w:r>
      <w:r>
        <w:rPr>
          <w:spacing w:val="10"/>
        </w:rPr>
        <w:t xml:space="preserve"> </w:t>
      </w:r>
      <w:r>
        <w:t>levels</w:t>
      </w:r>
      <w:r>
        <w:rPr>
          <w:spacing w:val="15"/>
        </w:rPr>
        <w:t xml:space="preserve"> </w:t>
      </w:r>
      <w:r>
        <w:t>of</w:t>
      </w:r>
      <w:r>
        <w:rPr>
          <w:spacing w:val="11"/>
        </w:rPr>
        <w:t xml:space="preserve"> </w:t>
      </w:r>
      <w:r>
        <w:t>trade</w:t>
      </w:r>
      <w:r>
        <w:rPr>
          <w:spacing w:val="14"/>
        </w:rPr>
        <w:t xml:space="preserve"> </w:t>
      </w:r>
      <w:r>
        <w:rPr>
          <w:spacing w:val="-5"/>
        </w:rPr>
        <w:t>in</w:t>
      </w:r>
    </w:p>
    <w:p w14:paraId="4FAF7B76" w14:textId="77777777" w:rsidR="00BD462C" w:rsidRDefault="00BD462C">
      <w:pPr>
        <w:pStyle w:val="BodyText"/>
        <w:rPr>
          <w:sz w:val="20"/>
        </w:rPr>
      </w:pPr>
    </w:p>
    <w:p w14:paraId="1A204C50" w14:textId="77777777" w:rsidR="00BD462C" w:rsidRDefault="00BD462C">
      <w:pPr>
        <w:pStyle w:val="BodyText"/>
        <w:rPr>
          <w:sz w:val="20"/>
        </w:rPr>
      </w:pPr>
    </w:p>
    <w:p w14:paraId="641C68DC" w14:textId="1D23A345" w:rsidR="00BD462C" w:rsidRDefault="00D70C7D">
      <w:pPr>
        <w:pStyle w:val="BodyText"/>
        <w:spacing w:before="4"/>
        <w:rPr>
          <w:sz w:val="13"/>
        </w:rPr>
      </w:pPr>
      <w:r>
        <w:rPr>
          <w:noProof/>
        </w:rPr>
        <mc:AlternateContent>
          <mc:Choice Requires="wps">
            <w:drawing>
              <wp:anchor distT="0" distB="0" distL="0" distR="0" simplePos="0" relativeHeight="487761920" behindDoc="1" locked="0" layoutInCell="1" allowOverlap="1" wp14:anchorId="0AA1333D" wp14:editId="5751FD8C">
                <wp:simplePos x="0" y="0"/>
                <wp:positionH relativeFrom="page">
                  <wp:posOffset>899160</wp:posOffset>
                </wp:positionH>
                <wp:positionV relativeFrom="paragraph">
                  <wp:posOffset>118745</wp:posOffset>
                </wp:positionV>
                <wp:extent cx="1828800" cy="8890"/>
                <wp:effectExtent l="0" t="0" r="0" b="0"/>
                <wp:wrapTopAndBottom/>
                <wp:docPr id="654" name="docshape3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63D3B8" id="docshape392" o:spid="_x0000_s1026" alt="&quot;&quot;" style="position:absolute;margin-left:70.8pt;margin-top:9.35pt;width:2in;height:.7pt;z-index:-15554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" fillcolor="black" stroked="f">
                <w10:wrap type="topAndBottom" anchorx="page"/>
              </v:rect>
            </w:pict>
          </mc:Fallback>
        </mc:AlternateContent>
      </w:r>
    </w:p>
    <w:p w14:paraId="30EFAAEC" w14:textId="77777777" w:rsidR="00BD462C" w:rsidRDefault="00033D0F">
      <w:pPr>
        <w:spacing w:before="112"/>
        <w:ind w:left="136" w:right="911" w:hanging="1"/>
        <w:jc w:val="both"/>
        <w:rPr>
          <w:sz w:val="18"/>
        </w:rPr>
      </w:pPr>
      <w:bookmarkStart w:id="855" w:name="_bookmark731"/>
      <w:bookmarkEnd w:id="855"/>
      <w:r>
        <w:rPr>
          <w:position w:val="5"/>
          <w:sz w:val="12"/>
        </w:rPr>
        <w:t>611</w:t>
      </w:r>
      <w:r>
        <w:rPr>
          <w:spacing w:val="15"/>
          <w:position w:val="5"/>
          <w:sz w:val="12"/>
        </w:rPr>
        <w:t xml:space="preserve"> </w:t>
      </w:r>
      <w:r>
        <w:rPr>
          <w:sz w:val="18"/>
        </w:rPr>
        <w:t>China's</w:t>
      </w:r>
      <w:r>
        <w:rPr>
          <w:spacing w:val="-3"/>
          <w:sz w:val="18"/>
        </w:rPr>
        <w:t xml:space="preserve"> </w:t>
      </w:r>
      <w:r>
        <w:rPr>
          <w:sz w:val="18"/>
        </w:rPr>
        <w:t>first</w:t>
      </w:r>
      <w:r>
        <w:rPr>
          <w:spacing w:val="-2"/>
          <w:sz w:val="18"/>
        </w:rPr>
        <w:t xml:space="preserve"> </w:t>
      </w:r>
      <w:r>
        <w:rPr>
          <w:sz w:val="18"/>
        </w:rPr>
        <w:t>written submission,</w:t>
      </w:r>
      <w:r>
        <w:rPr>
          <w:spacing w:val="-2"/>
          <w:sz w:val="18"/>
        </w:rPr>
        <w:t xml:space="preserve"> </w:t>
      </w:r>
      <w:r>
        <w:rPr>
          <w:sz w:val="18"/>
        </w:rPr>
        <w:t>paras. 1241-1247;</w:t>
      </w:r>
      <w:r>
        <w:rPr>
          <w:spacing w:val="-1"/>
          <w:sz w:val="18"/>
        </w:rPr>
        <w:t xml:space="preserve"> </w:t>
      </w:r>
      <w:r>
        <w:rPr>
          <w:sz w:val="18"/>
        </w:rPr>
        <w:t>China's response to</w:t>
      </w:r>
      <w:r>
        <w:rPr>
          <w:spacing w:val="-4"/>
          <w:sz w:val="18"/>
        </w:rPr>
        <w:t xml:space="preserve"> </w:t>
      </w:r>
      <w:r>
        <w:rPr>
          <w:sz w:val="18"/>
        </w:rPr>
        <w:t>Panel question</w:t>
      </w:r>
      <w:r>
        <w:rPr>
          <w:spacing w:val="-4"/>
          <w:sz w:val="18"/>
        </w:rPr>
        <w:t xml:space="preserve"> </w:t>
      </w:r>
      <w:r>
        <w:rPr>
          <w:sz w:val="18"/>
        </w:rPr>
        <w:t>No.</w:t>
      </w:r>
      <w:r>
        <w:rPr>
          <w:spacing w:val="-2"/>
          <w:sz w:val="18"/>
        </w:rPr>
        <w:t xml:space="preserve"> </w:t>
      </w:r>
      <w:r>
        <w:rPr>
          <w:sz w:val="18"/>
        </w:rPr>
        <w:t>30,</w:t>
      </w:r>
      <w:r>
        <w:rPr>
          <w:spacing w:val="-2"/>
          <w:sz w:val="18"/>
        </w:rPr>
        <w:t xml:space="preserve"> </w:t>
      </w:r>
      <w:r>
        <w:rPr>
          <w:sz w:val="18"/>
        </w:rPr>
        <w:t>paras. 168;</w:t>
      </w:r>
      <w:r>
        <w:rPr>
          <w:spacing w:val="-1"/>
          <w:sz w:val="18"/>
        </w:rPr>
        <w:t xml:space="preserve"> </w:t>
      </w:r>
      <w:r>
        <w:rPr>
          <w:sz w:val="18"/>
        </w:rPr>
        <w:t>170.</w:t>
      </w:r>
      <w:r>
        <w:rPr>
          <w:spacing w:val="-2"/>
          <w:sz w:val="18"/>
        </w:rPr>
        <w:t xml:space="preserve"> </w:t>
      </w:r>
      <w:r>
        <w:rPr>
          <w:sz w:val="18"/>
        </w:rPr>
        <w:t>MOFCOM chose</w:t>
      </w:r>
      <w:r>
        <w:rPr>
          <w:spacing w:val="-8"/>
          <w:sz w:val="18"/>
        </w:rPr>
        <w:t xml:space="preserve"> </w:t>
      </w:r>
      <w:r>
        <w:rPr>
          <w:sz w:val="18"/>
        </w:rPr>
        <w:t>to</w:t>
      </w:r>
      <w:r>
        <w:rPr>
          <w:spacing w:val="-4"/>
          <w:sz w:val="18"/>
        </w:rPr>
        <w:t xml:space="preserve"> </w:t>
      </w:r>
      <w:r>
        <w:rPr>
          <w:sz w:val="18"/>
        </w:rPr>
        <w:t>calculate</w:t>
      </w:r>
      <w:r>
        <w:rPr>
          <w:spacing w:val="-8"/>
          <w:sz w:val="18"/>
        </w:rPr>
        <w:t xml:space="preserve"> </w:t>
      </w:r>
      <w:r>
        <w:rPr>
          <w:sz w:val="18"/>
        </w:rPr>
        <w:t>and</w:t>
      </w:r>
      <w:r>
        <w:rPr>
          <w:spacing w:val="-4"/>
          <w:sz w:val="18"/>
        </w:rPr>
        <w:t xml:space="preserve"> </w:t>
      </w:r>
      <w:r>
        <w:rPr>
          <w:sz w:val="18"/>
        </w:rPr>
        <w:t>compare</w:t>
      </w:r>
      <w:r>
        <w:rPr>
          <w:spacing w:val="-8"/>
          <w:sz w:val="18"/>
        </w:rPr>
        <w:t xml:space="preserve"> </w:t>
      </w:r>
      <w:r>
        <w:rPr>
          <w:sz w:val="18"/>
        </w:rPr>
        <w:t>annual</w:t>
      </w:r>
      <w:r>
        <w:rPr>
          <w:spacing w:val="-7"/>
          <w:sz w:val="18"/>
        </w:rPr>
        <w:t xml:space="preserve"> </w:t>
      </w:r>
      <w:r>
        <w:rPr>
          <w:sz w:val="18"/>
        </w:rPr>
        <w:t>average</w:t>
      </w:r>
      <w:r>
        <w:rPr>
          <w:spacing w:val="-8"/>
          <w:sz w:val="18"/>
        </w:rPr>
        <w:t xml:space="preserve"> </w:t>
      </w:r>
      <w:r>
        <w:rPr>
          <w:sz w:val="18"/>
        </w:rPr>
        <w:t>unit</w:t>
      </w:r>
      <w:r>
        <w:rPr>
          <w:spacing w:val="-2"/>
          <w:sz w:val="18"/>
        </w:rPr>
        <w:t xml:space="preserve"> </w:t>
      </w:r>
      <w:r>
        <w:rPr>
          <w:sz w:val="18"/>
        </w:rPr>
        <w:t>values</w:t>
      </w:r>
      <w:r>
        <w:rPr>
          <w:spacing w:val="-8"/>
          <w:sz w:val="18"/>
        </w:rPr>
        <w:t xml:space="preserve"> </w:t>
      </w:r>
      <w:r>
        <w:rPr>
          <w:sz w:val="18"/>
        </w:rPr>
        <w:t>based</w:t>
      </w:r>
      <w:r>
        <w:rPr>
          <w:spacing w:val="-9"/>
          <w:sz w:val="18"/>
        </w:rPr>
        <w:t xml:space="preserve"> </w:t>
      </w:r>
      <w:r>
        <w:rPr>
          <w:sz w:val="18"/>
        </w:rPr>
        <w:t>on</w:t>
      </w:r>
      <w:r>
        <w:rPr>
          <w:spacing w:val="-4"/>
          <w:sz w:val="18"/>
        </w:rPr>
        <w:t xml:space="preserve"> </w:t>
      </w:r>
      <w:r>
        <w:rPr>
          <w:sz w:val="18"/>
        </w:rPr>
        <w:t>customs</w:t>
      </w:r>
      <w:r>
        <w:rPr>
          <w:spacing w:val="-8"/>
          <w:sz w:val="18"/>
        </w:rPr>
        <w:t xml:space="preserve"> </w:t>
      </w:r>
      <w:r>
        <w:rPr>
          <w:sz w:val="18"/>
        </w:rPr>
        <w:t>data</w:t>
      </w:r>
      <w:r>
        <w:rPr>
          <w:spacing w:val="-10"/>
          <w:sz w:val="18"/>
        </w:rPr>
        <w:t xml:space="preserve"> </w:t>
      </w:r>
      <w:r>
        <w:rPr>
          <w:sz w:val="18"/>
        </w:rPr>
        <w:t>(for</w:t>
      </w:r>
      <w:r>
        <w:rPr>
          <w:spacing w:val="-10"/>
          <w:sz w:val="18"/>
        </w:rPr>
        <w:t xml:space="preserve"> </w:t>
      </w:r>
      <w:r>
        <w:rPr>
          <w:sz w:val="18"/>
        </w:rPr>
        <w:t>subject</w:t>
      </w:r>
      <w:r>
        <w:rPr>
          <w:spacing w:val="-7"/>
          <w:sz w:val="18"/>
        </w:rPr>
        <w:t xml:space="preserve"> </w:t>
      </w:r>
      <w:r>
        <w:rPr>
          <w:sz w:val="18"/>
        </w:rPr>
        <w:t>imports)</w:t>
      </w:r>
      <w:r>
        <w:rPr>
          <w:spacing w:val="-6"/>
          <w:sz w:val="18"/>
        </w:rPr>
        <w:t xml:space="preserve"> </w:t>
      </w:r>
      <w:r>
        <w:rPr>
          <w:sz w:val="18"/>
        </w:rPr>
        <w:t>and</w:t>
      </w:r>
      <w:r>
        <w:rPr>
          <w:spacing w:val="-4"/>
          <w:sz w:val="18"/>
        </w:rPr>
        <w:t xml:space="preserve"> </w:t>
      </w:r>
      <w:r>
        <w:rPr>
          <w:sz w:val="18"/>
        </w:rPr>
        <w:t>a</w:t>
      </w:r>
      <w:r>
        <w:rPr>
          <w:spacing w:val="-10"/>
          <w:sz w:val="18"/>
        </w:rPr>
        <w:t xml:space="preserve"> </w:t>
      </w:r>
      <w:r>
        <w:rPr>
          <w:sz w:val="18"/>
        </w:rPr>
        <w:t>simple</w:t>
      </w:r>
      <w:r>
        <w:rPr>
          <w:spacing w:val="-3"/>
          <w:sz w:val="18"/>
        </w:rPr>
        <w:t xml:space="preserve"> </w:t>
      </w:r>
      <w:r>
        <w:rPr>
          <w:sz w:val="18"/>
        </w:rPr>
        <w:t>average of sales volumes and prices reported by the 21 domestic producers (for domestic like products).</w:t>
      </w:r>
    </w:p>
    <w:p w14:paraId="757CE1E5" w14:textId="77777777" w:rsidR="00BD462C" w:rsidRDefault="00033D0F">
      <w:pPr>
        <w:spacing w:line="218" w:lineRule="exact"/>
        <w:ind w:left="135"/>
        <w:jc w:val="both"/>
        <w:rPr>
          <w:sz w:val="18"/>
        </w:rPr>
      </w:pPr>
      <w:bookmarkStart w:id="856" w:name="_bookmark732"/>
      <w:bookmarkEnd w:id="856"/>
      <w:r>
        <w:rPr>
          <w:position w:val="5"/>
          <w:sz w:val="12"/>
        </w:rPr>
        <w:t>612</w:t>
      </w:r>
      <w:r>
        <w:rPr>
          <w:spacing w:val="12"/>
          <w:position w:val="5"/>
          <w:sz w:val="12"/>
        </w:rPr>
        <w:t xml:space="preserve"> </w:t>
      </w:r>
      <w:r>
        <w:rPr>
          <w:sz w:val="18"/>
        </w:rPr>
        <w:t>Australia's</w:t>
      </w:r>
      <w:r>
        <w:rPr>
          <w:spacing w:val="-7"/>
          <w:sz w:val="18"/>
        </w:rPr>
        <w:t xml:space="preserve"> </w:t>
      </w:r>
      <w:r>
        <w:rPr>
          <w:sz w:val="18"/>
        </w:rPr>
        <w:t>first</w:t>
      </w:r>
      <w:r>
        <w:rPr>
          <w:spacing w:val="-5"/>
          <w:sz w:val="18"/>
        </w:rPr>
        <w:t xml:space="preserve"> </w:t>
      </w:r>
      <w:r>
        <w:rPr>
          <w:sz w:val="18"/>
        </w:rPr>
        <w:t>written</w:t>
      </w:r>
      <w:r>
        <w:rPr>
          <w:spacing w:val="-3"/>
          <w:sz w:val="18"/>
        </w:rPr>
        <w:t xml:space="preserve"> </w:t>
      </w:r>
      <w:r>
        <w:rPr>
          <w:sz w:val="18"/>
        </w:rPr>
        <w:t>submission, paras.</w:t>
      </w:r>
      <w:r>
        <w:rPr>
          <w:spacing w:val="-5"/>
          <w:sz w:val="18"/>
        </w:rPr>
        <w:t xml:space="preserve"> </w:t>
      </w:r>
      <w:r>
        <w:rPr>
          <w:sz w:val="18"/>
        </w:rPr>
        <w:t>587-</w:t>
      </w:r>
      <w:r>
        <w:rPr>
          <w:spacing w:val="-4"/>
          <w:sz w:val="18"/>
        </w:rPr>
        <w:t>590.</w:t>
      </w:r>
    </w:p>
    <w:p w14:paraId="52F2F6F1" w14:textId="77777777" w:rsidR="00BD462C" w:rsidRDefault="00033D0F">
      <w:pPr>
        <w:spacing w:before="1"/>
        <w:ind w:left="135"/>
        <w:jc w:val="both"/>
        <w:rPr>
          <w:sz w:val="18"/>
        </w:rPr>
      </w:pPr>
      <w:bookmarkStart w:id="857" w:name="_bookmark733"/>
      <w:bookmarkEnd w:id="857"/>
      <w:r>
        <w:rPr>
          <w:position w:val="5"/>
          <w:sz w:val="12"/>
        </w:rPr>
        <w:t>613</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 xml:space="preserve">submission, para. </w:t>
      </w:r>
      <w:r>
        <w:rPr>
          <w:spacing w:val="-2"/>
          <w:sz w:val="18"/>
        </w:rPr>
        <w:t>1232.</w:t>
      </w:r>
    </w:p>
    <w:p w14:paraId="4DF852FE" w14:textId="77777777" w:rsidR="00BD462C" w:rsidRDefault="00033D0F">
      <w:pPr>
        <w:spacing w:before="1"/>
        <w:ind w:left="135"/>
        <w:jc w:val="both"/>
        <w:rPr>
          <w:sz w:val="18"/>
        </w:rPr>
      </w:pPr>
      <w:bookmarkStart w:id="858" w:name="_bookmark734"/>
      <w:bookmarkEnd w:id="858"/>
      <w:r>
        <w:rPr>
          <w:position w:val="5"/>
          <w:sz w:val="12"/>
        </w:rPr>
        <w:t>614</w:t>
      </w:r>
      <w:r>
        <w:rPr>
          <w:spacing w:val="12"/>
          <w:position w:val="5"/>
          <w:sz w:val="12"/>
        </w:rPr>
        <w:t xml:space="preserve"> </w:t>
      </w:r>
      <w:r>
        <w:rPr>
          <w:sz w:val="18"/>
        </w:rPr>
        <w:t>China's</w:t>
      </w:r>
      <w:r>
        <w:rPr>
          <w:spacing w:val="-6"/>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 paras.</w:t>
      </w:r>
      <w:r>
        <w:rPr>
          <w:spacing w:val="-5"/>
          <w:sz w:val="18"/>
        </w:rPr>
        <w:t xml:space="preserve"> </w:t>
      </w:r>
      <w:r>
        <w:rPr>
          <w:sz w:val="18"/>
        </w:rPr>
        <w:t>1257-</w:t>
      </w:r>
      <w:r>
        <w:rPr>
          <w:spacing w:val="-2"/>
          <w:sz w:val="18"/>
        </w:rPr>
        <w:t>1264.</w:t>
      </w:r>
    </w:p>
    <w:p w14:paraId="4A94B323" w14:textId="77777777" w:rsidR="00BD462C" w:rsidRDefault="00033D0F">
      <w:pPr>
        <w:spacing w:before="1" w:line="218" w:lineRule="exact"/>
        <w:ind w:left="135"/>
        <w:jc w:val="both"/>
        <w:rPr>
          <w:sz w:val="18"/>
        </w:rPr>
      </w:pPr>
      <w:bookmarkStart w:id="859" w:name="_bookmark735"/>
      <w:bookmarkEnd w:id="859"/>
      <w:r>
        <w:rPr>
          <w:position w:val="5"/>
          <w:sz w:val="12"/>
        </w:rPr>
        <w:t>615</w:t>
      </w:r>
      <w:r>
        <w:rPr>
          <w:spacing w:val="12"/>
          <w:position w:val="5"/>
          <w:sz w:val="12"/>
        </w:rPr>
        <w:t xml:space="preserve"> </w:t>
      </w:r>
      <w:r>
        <w:rPr>
          <w:sz w:val="18"/>
        </w:rPr>
        <w:t>China's</w:t>
      </w:r>
      <w:r>
        <w:rPr>
          <w:spacing w:val="-6"/>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 paras.</w:t>
      </w:r>
      <w:r>
        <w:rPr>
          <w:spacing w:val="-5"/>
          <w:sz w:val="18"/>
        </w:rPr>
        <w:t xml:space="preserve"> </w:t>
      </w:r>
      <w:r>
        <w:rPr>
          <w:sz w:val="18"/>
        </w:rPr>
        <w:t>1254-</w:t>
      </w:r>
      <w:r>
        <w:rPr>
          <w:spacing w:val="-2"/>
          <w:sz w:val="18"/>
        </w:rPr>
        <w:t>1261.</w:t>
      </w:r>
    </w:p>
    <w:p w14:paraId="45A92FE3" w14:textId="44E8FAAC" w:rsidR="00BD462C" w:rsidRDefault="00D70C7D">
      <w:pPr>
        <w:tabs>
          <w:tab w:val="left" w:pos="7657"/>
        </w:tabs>
        <w:ind w:left="135" w:right="908"/>
        <w:jc w:val="both"/>
        <w:rPr>
          <w:sz w:val="18"/>
        </w:rPr>
      </w:pPr>
      <w:r>
        <w:rPr>
          <w:noProof/>
        </w:rPr>
        <mc:AlternateContent>
          <mc:Choice Requires="wps">
            <w:drawing>
              <wp:anchor distT="0" distB="0" distL="114300" distR="114300" simplePos="0" relativeHeight="479065600" behindDoc="1" locked="0" layoutInCell="1" allowOverlap="1" wp14:anchorId="653756C4" wp14:editId="7F78C3FD">
                <wp:simplePos x="0" y="0"/>
                <wp:positionH relativeFrom="page">
                  <wp:posOffset>3298190</wp:posOffset>
                </wp:positionH>
                <wp:positionV relativeFrom="paragraph">
                  <wp:posOffset>419735</wp:posOffset>
                </wp:positionV>
                <wp:extent cx="2334895" cy="140335"/>
                <wp:effectExtent l="0" t="0" r="0" b="0"/>
                <wp:wrapNone/>
                <wp:docPr id="652" name="docshape3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4895" cy="140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E3E44C" id="docshape393" o:spid="_x0000_s1026" alt="&quot;&quot;" style="position:absolute;margin-left:259.7pt;margin-top:33.05pt;width:183.85pt;height:11.05pt;z-index:-2425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" fillcolor="black" stroked="f">
                <w10:wrap anchorx="page"/>
              </v:rect>
            </w:pict>
          </mc:Fallback>
        </mc:AlternateContent>
      </w:r>
      <w:bookmarkStart w:id="860" w:name="_bookmark736"/>
      <w:bookmarkEnd w:id="860"/>
      <w:r w:rsidR="00033D0F">
        <w:rPr>
          <w:position w:val="5"/>
          <w:sz w:val="12"/>
        </w:rPr>
        <w:t>616</w:t>
      </w:r>
      <w:r w:rsidR="00033D0F">
        <w:rPr>
          <w:spacing w:val="17"/>
          <w:position w:val="5"/>
          <w:sz w:val="12"/>
        </w:rPr>
        <w:t xml:space="preserve"> </w:t>
      </w:r>
      <w:r w:rsidR="00033D0F">
        <w:rPr>
          <w:sz w:val="18"/>
        </w:rPr>
        <w:t>Australia's</w:t>
      </w:r>
      <w:r w:rsidR="00033D0F">
        <w:rPr>
          <w:spacing w:val="-2"/>
          <w:sz w:val="18"/>
        </w:rPr>
        <w:t xml:space="preserve"> </w:t>
      </w:r>
      <w:r w:rsidR="00033D0F">
        <w:rPr>
          <w:sz w:val="18"/>
        </w:rPr>
        <w:t>first</w:t>
      </w:r>
      <w:r w:rsidR="00033D0F">
        <w:rPr>
          <w:spacing w:val="-1"/>
          <w:sz w:val="18"/>
        </w:rPr>
        <w:t xml:space="preserve"> </w:t>
      </w:r>
      <w:r w:rsidR="00033D0F">
        <w:rPr>
          <w:sz w:val="18"/>
        </w:rPr>
        <w:t>written</w:t>
      </w:r>
      <w:r w:rsidR="00033D0F">
        <w:rPr>
          <w:spacing w:val="-3"/>
          <w:sz w:val="18"/>
        </w:rPr>
        <w:t xml:space="preserve"> </w:t>
      </w:r>
      <w:r w:rsidR="00033D0F">
        <w:rPr>
          <w:sz w:val="18"/>
        </w:rPr>
        <w:t>submission, para. 588.</w:t>
      </w:r>
      <w:r w:rsidR="00033D0F">
        <w:rPr>
          <w:spacing w:val="-1"/>
          <w:sz w:val="18"/>
        </w:rPr>
        <w:t xml:space="preserve"> </w:t>
      </w:r>
      <w:r w:rsidR="00033D0F">
        <w:rPr>
          <w:sz w:val="18"/>
        </w:rPr>
        <w:t>There is</w:t>
      </w:r>
      <w:r w:rsidR="00033D0F">
        <w:rPr>
          <w:spacing w:val="-2"/>
          <w:sz w:val="18"/>
        </w:rPr>
        <w:t xml:space="preserve"> </w:t>
      </w:r>
      <w:r w:rsidR="00033D0F">
        <w:rPr>
          <w:sz w:val="18"/>
        </w:rPr>
        <w:t>no</w:t>
      </w:r>
      <w:r w:rsidR="00033D0F">
        <w:rPr>
          <w:spacing w:val="-3"/>
          <w:sz w:val="18"/>
        </w:rPr>
        <w:t xml:space="preserve"> </w:t>
      </w:r>
      <w:r w:rsidR="00033D0F">
        <w:rPr>
          <w:sz w:val="18"/>
        </w:rPr>
        <w:t>evidence before</w:t>
      </w:r>
      <w:r w:rsidR="00033D0F">
        <w:rPr>
          <w:spacing w:val="-2"/>
          <w:sz w:val="18"/>
        </w:rPr>
        <w:t xml:space="preserve"> </w:t>
      </w:r>
      <w:r w:rsidR="00033D0F">
        <w:rPr>
          <w:sz w:val="18"/>
        </w:rPr>
        <w:t>the</w:t>
      </w:r>
      <w:r w:rsidR="00033D0F">
        <w:rPr>
          <w:spacing w:val="-2"/>
          <w:sz w:val="18"/>
        </w:rPr>
        <w:t xml:space="preserve"> </w:t>
      </w:r>
      <w:r w:rsidR="00033D0F">
        <w:rPr>
          <w:sz w:val="18"/>
        </w:rPr>
        <w:t>Panel</w:t>
      </w:r>
      <w:r w:rsidR="00033D0F">
        <w:rPr>
          <w:spacing w:val="-1"/>
          <w:sz w:val="18"/>
        </w:rPr>
        <w:t xml:space="preserve"> </w:t>
      </w:r>
      <w:r w:rsidR="00033D0F">
        <w:rPr>
          <w:sz w:val="18"/>
        </w:rPr>
        <w:t>(or</w:t>
      </w:r>
      <w:r w:rsidR="00033D0F">
        <w:rPr>
          <w:spacing w:val="-4"/>
          <w:sz w:val="18"/>
        </w:rPr>
        <w:t xml:space="preserve"> </w:t>
      </w:r>
      <w:r w:rsidR="00033D0F">
        <w:rPr>
          <w:sz w:val="18"/>
        </w:rPr>
        <w:t>to which</w:t>
      </w:r>
      <w:r w:rsidR="00033D0F">
        <w:rPr>
          <w:spacing w:val="-3"/>
          <w:sz w:val="18"/>
        </w:rPr>
        <w:t xml:space="preserve"> </w:t>
      </w:r>
      <w:r w:rsidR="00033D0F">
        <w:rPr>
          <w:sz w:val="18"/>
        </w:rPr>
        <w:t>Australia has access) to support China's arguments regarding the level of trade mix of Swan Vintage (China's first written submission, paras. 1260). There</w:t>
      </w:r>
      <w:r w:rsidR="00033D0F">
        <w:rPr>
          <w:spacing w:val="-2"/>
          <w:sz w:val="18"/>
        </w:rPr>
        <w:t xml:space="preserve"> </w:t>
      </w:r>
      <w:r w:rsidR="00033D0F">
        <w:rPr>
          <w:sz w:val="18"/>
        </w:rPr>
        <w:t>is</w:t>
      </w:r>
      <w:r w:rsidR="00033D0F">
        <w:rPr>
          <w:spacing w:val="-7"/>
          <w:sz w:val="18"/>
        </w:rPr>
        <w:t xml:space="preserve"> </w:t>
      </w:r>
      <w:r w:rsidR="00033D0F">
        <w:rPr>
          <w:sz w:val="18"/>
        </w:rPr>
        <w:t>no</w:t>
      </w:r>
      <w:r w:rsidR="00033D0F">
        <w:rPr>
          <w:spacing w:val="-3"/>
          <w:sz w:val="18"/>
        </w:rPr>
        <w:t xml:space="preserve"> </w:t>
      </w:r>
      <w:r w:rsidR="00033D0F">
        <w:rPr>
          <w:sz w:val="18"/>
        </w:rPr>
        <w:t>evidence</w:t>
      </w:r>
      <w:r w:rsidR="00033D0F">
        <w:rPr>
          <w:spacing w:val="-7"/>
          <w:sz w:val="18"/>
        </w:rPr>
        <w:t xml:space="preserve"> </w:t>
      </w:r>
      <w:r w:rsidR="00033D0F">
        <w:rPr>
          <w:sz w:val="18"/>
        </w:rPr>
        <w:t>before</w:t>
      </w:r>
      <w:r w:rsidR="00033D0F">
        <w:rPr>
          <w:spacing w:val="-7"/>
          <w:sz w:val="18"/>
        </w:rPr>
        <w:t xml:space="preserve"> </w:t>
      </w:r>
      <w:r w:rsidR="00033D0F">
        <w:rPr>
          <w:sz w:val="18"/>
        </w:rPr>
        <w:t>the</w:t>
      </w:r>
      <w:r w:rsidR="00033D0F">
        <w:rPr>
          <w:spacing w:val="-7"/>
          <w:sz w:val="18"/>
        </w:rPr>
        <w:t xml:space="preserve"> </w:t>
      </w:r>
      <w:r w:rsidR="00033D0F">
        <w:rPr>
          <w:sz w:val="18"/>
        </w:rPr>
        <w:t>Panel</w:t>
      </w:r>
      <w:r w:rsidR="00033D0F">
        <w:rPr>
          <w:spacing w:val="-6"/>
          <w:sz w:val="18"/>
        </w:rPr>
        <w:t xml:space="preserve"> </w:t>
      </w:r>
      <w:r w:rsidR="00033D0F">
        <w:rPr>
          <w:sz w:val="18"/>
        </w:rPr>
        <w:t>(or</w:t>
      </w:r>
      <w:r w:rsidR="00033D0F">
        <w:rPr>
          <w:spacing w:val="-4"/>
          <w:sz w:val="18"/>
        </w:rPr>
        <w:t xml:space="preserve"> </w:t>
      </w:r>
      <w:r w:rsidR="00033D0F">
        <w:rPr>
          <w:sz w:val="18"/>
        </w:rPr>
        <w:t>to</w:t>
      </w:r>
      <w:r w:rsidR="00033D0F">
        <w:rPr>
          <w:spacing w:val="-3"/>
          <w:sz w:val="18"/>
        </w:rPr>
        <w:t xml:space="preserve"> </w:t>
      </w:r>
      <w:r w:rsidR="00033D0F">
        <w:rPr>
          <w:sz w:val="18"/>
        </w:rPr>
        <w:t>which</w:t>
      </w:r>
      <w:r w:rsidR="00033D0F">
        <w:rPr>
          <w:spacing w:val="-3"/>
          <w:sz w:val="18"/>
        </w:rPr>
        <w:t xml:space="preserve"> </w:t>
      </w:r>
      <w:r w:rsidR="00033D0F">
        <w:rPr>
          <w:sz w:val="18"/>
        </w:rPr>
        <w:t>Australia</w:t>
      </w:r>
      <w:r w:rsidR="00033D0F">
        <w:rPr>
          <w:spacing w:val="-9"/>
          <w:sz w:val="18"/>
        </w:rPr>
        <w:t xml:space="preserve"> </w:t>
      </w:r>
      <w:r w:rsidR="00033D0F">
        <w:rPr>
          <w:sz w:val="18"/>
        </w:rPr>
        <w:t>has</w:t>
      </w:r>
      <w:r w:rsidR="00033D0F">
        <w:rPr>
          <w:spacing w:val="-2"/>
          <w:sz w:val="18"/>
        </w:rPr>
        <w:t xml:space="preserve"> </w:t>
      </w:r>
      <w:r w:rsidR="00033D0F">
        <w:rPr>
          <w:sz w:val="18"/>
        </w:rPr>
        <w:t>access) to</w:t>
      </w:r>
      <w:r w:rsidR="00033D0F">
        <w:rPr>
          <w:spacing w:val="-3"/>
          <w:sz w:val="18"/>
        </w:rPr>
        <w:t xml:space="preserve"> </w:t>
      </w:r>
      <w:r w:rsidR="00033D0F">
        <w:rPr>
          <w:sz w:val="18"/>
        </w:rPr>
        <w:t>establish</w:t>
      </w:r>
      <w:r w:rsidR="00033D0F">
        <w:rPr>
          <w:spacing w:val="-7"/>
          <w:sz w:val="18"/>
        </w:rPr>
        <w:t xml:space="preserve"> </w:t>
      </w:r>
      <w:r w:rsidR="00033D0F">
        <w:rPr>
          <w:sz w:val="18"/>
        </w:rPr>
        <w:t>China's</w:t>
      </w:r>
      <w:r w:rsidR="00033D0F">
        <w:rPr>
          <w:spacing w:val="-2"/>
          <w:sz w:val="18"/>
        </w:rPr>
        <w:t xml:space="preserve"> </w:t>
      </w:r>
      <w:r w:rsidR="00033D0F">
        <w:rPr>
          <w:sz w:val="18"/>
        </w:rPr>
        <w:t>argument</w:t>
      </w:r>
      <w:r w:rsidR="00033D0F">
        <w:rPr>
          <w:spacing w:val="-6"/>
          <w:sz w:val="18"/>
        </w:rPr>
        <w:t xml:space="preserve"> </w:t>
      </w:r>
      <w:r w:rsidR="00033D0F">
        <w:rPr>
          <w:sz w:val="18"/>
        </w:rPr>
        <w:t>that</w:t>
      </w:r>
      <w:r w:rsidR="00033D0F">
        <w:rPr>
          <w:spacing w:val="-1"/>
          <w:sz w:val="18"/>
        </w:rPr>
        <w:t xml:space="preserve"> </w:t>
      </w:r>
      <w:r w:rsidR="00033D0F">
        <w:rPr>
          <w:sz w:val="18"/>
        </w:rPr>
        <w:t>the</w:t>
      </w:r>
      <w:r w:rsidR="00033D0F">
        <w:rPr>
          <w:spacing w:val="-2"/>
          <w:sz w:val="18"/>
        </w:rPr>
        <w:t xml:space="preserve"> </w:t>
      </w:r>
      <w:r w:rsidR="00033D0F">
        <w:rPr>
          <w:sz w:val="18"/>
        </w:rPr>
        <w:t>questionnaire responses of the domestic industry showed that</w:t>
      </w:r>
      <w:r w:rsidR="00033D0F">
        <w:rPr>
          <w:sz w:val="18"/>
        </w:rPr>
        <w:tab/>
        <w:t>(China's first written submission, paras. 1261).</w:t>
      </w:r>
    </w:p>
    <w:p w14:paraId="069F0012" w14:textId="77777777" w:rsidR="00BD462C" w:rsidRDefault="00BD462C">
      <w:pPr>
        <w:jc w:val="both"/>
        <w:rPr>
          <w:sz w:val="18"/>
        </w:rPr>
        <w:sectPr w:rsidR="00BD462C">
          <w:pgSz w:w="11910" w:h="16840"/>
          <w:pgMar w:top="860" w:right="500" w:bottom="780" w:left="1280" w:header="566" w:footer="590" w:gutter="0"/>
          <w:cols w:space="720"/>
        </w:sectPr>
      </w:pPr>
    </w:p>
    <w:p w14:paraId="1CD25588" w14:textId="77777777" w:rsidR="00BD462C" w:rsidRDefault="00033D0F">
      <w:pPr>
        <w:tabs>
          <w:tab w:val="left" w:pos="6087"/>
        </w:tabs>
        <w:spacing w:before="1"/>
        <w:ind w:left="135"/>
        <w:jc w:val="both"/>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4C281594" w14:textId="77777777" w:rsidR="00BD462C" w:rsidRDefault="00033D0F">
      <w:pPr>
        <w:spacing w:before="1"/>
        <w:ind w:left="135"/>
        <w:jc w:val="both"/>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38D09A12" w14:textId="77777777" w:rsidR="00BD462C" w:rsidRDefault="00033D0F">
      <w:pPr>
        <w:tabs>
          <w:tab w:val="left" w:pos="7652"/>
        </w:tabs>
        <w:ind w:left="135"/>
        <w:jc w:val="both"/>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35B36D12" w14:textId="77777777" w:rsidR="00BD462C" w:rsidRDefault="00033D0F">
      <w:pPr>
        <w:pStyle w:val="BodyText"/>
        <w:spacing w:before="102" w:line="360" w:lineRule="auto"/>
        <w:ind w:left="135" w:right="913"/>
        <w:jc w:val="both"/>
      </w:pPr>
      <w:r>
        <w:t>2019</w:t>
      </w:r>
      <w:r>
        <w:rPr>
          <w:spacing w:val="-5"/>
        </w:rPr>
        <w:t xml:space="preserve"> </w:t>
      </w:r>
      <w:r>
        <w:t>were</w:t>
      </w:r>
      <w:r>
        <w:rPr>
          <w:spacing w:val="-2"/>
        </w:rPr>
        <w:t xml:space="preserve"> </w:t>
      </w:r>
      <w:r>
        <w:t>not</w:t>
      </w:r>
      <w:r>
        <w:rPr>
          <w:spacing w:val="-2"/>
        </w:rPr>
        <w:t xml:space="preserve"> </w:t>
      </w:r>
      <w:r>
        <w:t>insignificant.</w:t>
      </w:r>
      <w:r>
        <w:rPr>
          <w:spacing w:val="-6"/>
        </w:rPr>
        <w:t xml:space="preserve"> </w:t>
      </w:r>
      <w:r>
        <w:t>There</w:t>
      </w:r>
      <w:r>
        <w:rPr>
          <w:spacing w:val="-2"/>
        </w:rPr>
        <w:t xml:space="preserve"> </w:t>
      </w:r>
      <w:r>
        <w:t>is</w:t>
      </w:r>
      <w:r>
        <w:rPr>
          <w:spacing w:val="-6"/>
        </w:rPr>
        <w:t xml:space="preserve"> </w:t>
      </w:r>
      <w:r>
        <w:t>nothing</w:t>
      </w:r>
      <w:r>
        <w:rPr>
          <w:spacing w:val="-1"/>
        </w:rPr>
        <w:t xml:space="preserve"> </w:t>
      </w:r>
      <w:r>
        <w:t>on</w:t>
      </w:r>
      <w:r>
        <w:rPr>
          <w:spacing w:val="-4"/>
        </w:rPr>
        <w:t xml:space="preserve"> </w:t>
      </w:r>
      <w:r>
        <w:t>the</w:t>
      </w:r>
      <w:r>
        <w:rPr>
          <w:spacing w:val="-7"/>
        </w:rPr>
        <w:t xml:space="preserve"> </w:t>
      </w:r>
      <w:r>
        <w:t>investigation</w:t>
      </w:r>
      <w:r>
        <w:rPr>
          <w:spacing w:val="-9"/>
        </w:rPr>
        <w:t xml:space="preserve"> </w:t>
      </w:r>
      <w:r>
        <w:t>record</w:t>
      </w:r>
      <w:r>
        <w:rPr>
          <w:spacing w:val="-4"/>
        </w:rPr>
        <w:t xml:space="preserve"> </w:t>
      </w:r>
      <w:r>
        <w:t>or</w:t>
      </w:r>
      <w:r>
        <w:rPr>
          <w:spacing w:val="-5"/>
        </w:rPr>
        <w:t xml:space="preserve"> </w:t>
      </w:r>
      <w:r>
        <w:t>in</w:t>
      </w:r>
      <w:r>
        <w:rPr>
          <w:spacing w:val="-9"/>
        </w:rPr>
        <w:t xml:space="preserve"> </w:t>
      </w:r>
      <w:r>
        <w:t>the</w:t>
      </w:r>
      <w:r>
        <w:rPr>
          <w:spacing w:val="-3"/>
        </w:rPr>
        <w:t xml:space="preserve"> </w:t>
      </w:r>
      <w:r>
        <w:t xml:space="preserve">subsequent </w:t>
      </w:r>
      <w:r>
        <w:rPr>
          <w:i/>
        </w:rPr>
        <w:t xml:space="preserve">ex post facto </w:t>
      </w:r>
      <w:r>
        <w:t>reasoning provided in China's first written submission which shows that MOFCOM</w:t>
      </w:r>
      <w:r>
        <w:rPr>
          <w:spacing w:val="-1"/>
        </w:rPr>
        <w:t xml:space="preserve"> </w:t>
      </w:r>
      <w:r>
        <w:t>actually considered</w:t>
      </w:r>
      <w:r>
        <w:rPr>
          <w:spacing w:val="-3"/>
        </w:rPr>
        <w:t xml:space="preserve"> </w:t>
      </w:r>
      <w:r>
        <w:t>whether</w:t>
      </w:r>
      <w:r>
        <w:rPr>
          <w:spacing w:val="-4"/>
        </w:rPr>
        <w:t xml:space="preserve"> </w:t>
      </w:r>
      <w:r>
        <w:t>such sales</w:t>
      </w:r>
      <w:r>
        <w:rPr>
          <w:spacing w:val="-5"/>
        </w:rPr>
        <w:t xml:space="preserve"> </w:t>
      </w:r>
      <w:r>
        <w:t>to</w:t>
      </w:r>
      <w:r>
        <w:rPr>
          <w:spacing w:val="-4"/>
        </w:rPr>
        <w:t xml:space="preserve"> </w:t>
      </w:r>
      <w:r>
        <w:t>different</w:t>
      </w:r>
      <w:r>
        <w:rPr>
          <w:spacing w:val="-1"/>
        </w:rPr>
        <w:t xml:space="preserve"> </w:t>
      </w:r>
      <w:r>
        <w:t>levels of</w:t>
      </w:r>
      <w:r>
        <w:rPr>
          <w:spacing w:val="-3"/>
        </w:rPr>
        <w:t xml:space="preserve"> </w:t>
      </w:r>
      <w:r>
        <w:t>trade</w:t>
      </w:r>
      <w:r>
        <w:rPr>
          <w:spacing w:val="-2"/>
        </w:rPr>
        <w:t xml:space="preserve"> </w:t>
      </w:r>
      <w:r>
        <w:t>resulted</w:t>
      </w:r>
      <w:r>
        <w:rPr>
          <w:spacing w:val="-3"/>
        </w:rPr>
        <w:t xml:space="preserve"> </w:t>
      </w:r>
      <w:r>
        <w:t>in</w:t>
      </w:r>
      <w:r>
        <w:rPr>
          <w:spacing w:val="-3"/>
        </w:rPr>
        <w:t xml:space="preserve"> </w:t>
      </w:r>
      <w:r>
        <w:t>price differences. As a result of this failure, MOFCOM's price calculation methodology did not ensure price comparability as required under Article</w:t>
      </w:r>
      <w:r>
        <w:rPr>
          <w:spacing w:val="-3"/>
        </w:rPr>
        <w:t xml:space="preserve"> </w:t>
      </w:r>
      <w:r>
        <w:t>3.2. In particular, MOFCOM did not include</w:t>
      </w:r>
      <w:r>
        <w:rPr>
          <w:spacing w:val="-14"/>
        </w:rPr>
        <w:t xml:space="preserve"> </w:t>
      </w:r>
      <w:r>
        <w:t>any</w:t>
      </w:r>
      <w:r>
        <w:rPr>
          <w:spacing w:val="-14"/>
        </w:rPr>
        <w:t xml:space="preserve"> </w:t>
      </w:r>
      <w:r>
        <w:t>consideration</w:t>
      </w:r>
      <w:r>
        <w:rPr>
          <w:spacing w:val="-13"/>
        </w:rPr>
        <w:t xml:space="preserve"> </w:t>
      </w:r>
      <w:r>
        <w:t>or</w:t>
      </w:r>
      <w:r>
        <w:rPr>
          <w:spacing w:val="-14"/>
        </w:rPr>
        <w:t xml:space="preserve"> </w:t>
      </w:r>
      <w:r>
        <w:t>adjustment</w:t>
      </w:r>
      <w:r>
        <w:rPr>
          <w:spacing w:val="-13"/>
        </w:rPr>
        <w:t xml:space="preserve"> </w:t>
      </w:r>
      <w:r>
        <w:t>to</w:t>
      </w:r>
      <w:r>
        <w:rPr>
          <w:spacing w:val="-14"/>
        </w:rPr>
        <w:t xml:space="preserve"> </w:t>
      </w:r>
      <w:r>
        <w:t>reflect</w:t>
      </w:r>
      <w:r>
        <w:rPr>
          <w:spacing w:val="-13"/>
        </w:rPr>
        <w:t xml:space="preserve"> </w:t>
      </w:r>
      <w:r>
        <w:t>differences</w:t>
      </w:r>
      <w:r>
        <w:rPr>
          <w:spacing w:val="-14"/>
        </w:rPr>
        <w:t xml:space="preserve"> </w:t>
      </w:r>
      <w:r>
        <w:t>between</w:t>
      </w:r>
      <w:r>
        <w:rPr>
          <w:spacing w:val="-14"/>
        </w:rPr>
        <w:t xml:space="preserve"> </w:t>
      </w:r>
      <w:r>
        <w:t>the</w:t>
      </w:r>
      <w:r>
        <w:rPr>
          <w:spacing w:val="-13"/>
        </w:rPr>
        <w:t xml:space="preserve"> </w:t>
      </w:r>
      <w:r>
        <w:t>"liquidated"</w:t>
      </w:r>
      <w:r>
        <w:rPr>
          <w:spacing w:val="-14"/>
        </w:rPr>
        <w:t xml:space="preserve"> </w:t>
      </w:r>
      <w:r>
        <w:t>prices of</w:t>
      </w:r>
      <w:r>
        <w:rPr>
          <w:spacing w:val="-9"/>
        </w:rPr>
        <w:t xml:space="preserve"> </w:t>
      </w:r>
      <w:r>
        <w:t>subject</w:t>
      </w:r>
      <w:r>
        <w:rPr>
          <w:spacing w:val="-8"/>
        </w:rPr>
        <w:t xml:space="preserve"> </w:t>
      </w:r>
      <w:r>
        <w:t>imports</w:t>
      </w:r>
      <w:r>
        <w:rPr>
          <w:spacing w:val="-7"/>
        </w:rPr>
        <w:t xml:space="preserve"> </w:t>
      </w:r>
      <w:r>
        <w:t>and</w:t>
      </w:r>
      <w:r>
        <w:rPr>
          <w:spacing w:val="-5"/>
        </w:rPr>
        <w:t xml:space="preserve"> </w:t>
      </w:r>
      <w:r>
        <w:t>the</w:t>
      </w:r>
      <w:r>
        <w:rPr>
          <w:spacing w:val="-8"/>
        </w:rPr>
        <w:t xml:space="preserve"> </w:t>
      </w:r>
      <w:r>
        <w:t>ex-factory</w:t>
      </w:r>
      <w:r>
        <w:rPr>
          <w:spacing w:val="-2"/>
        </w:rPr>
        <w:t xml:space="preserve"> </w:t>
      </w:r>
      <w:r>
        <w:t>prices</w:t>
      </w:r>
      <w:r>
        <w:rPr>
          <w:spacing w:val="-7"/>
        </w:rPr>
        <w:t xml:space="preserve"> </w:t>
      </w:r>
      <w:r>
        <w:t>of</w:t>
      </w:r>
      <w:r>
        <w:rPr>
          <w:spacing w:val="-9"/>
        </w:rPr>
        <w:t xml:space="preserve"> </w:t>
      </w:r>
      <w:r>
        <w:t>domestic</w:t>
      </w:r>
      <w:r>
        <w:rPr>
          <w:spacing w:val="-13"/>
        </w:rPr>
        <w:t xml:space="preserve"> </w:t>
      </w:r>
      <w:r>
        <w:t>like</w:t>
      </w:r>
      <w:r>
        <w:rPr>
          <w:spacing w:val="-8"/>
        </w:rPr>
        <w:t xml:space="preserve"> </w:t>
      </w:r>
      <w:r>
        <w:t>products</w:t>
      </w:r>
      <w:r>
        <w:rPr>
          <w:spacing w:val="-7"/>
        </w:rPr>
        <w:t xml:space="preserve"> </w:t>
      </w:r>
      <w:r>
        <w:t>in</w:t>
      </w:r>
      <w:r>
        <w:rPr>
          <w:spacing w:val="-9"/>
        </w:rPr>
        <w:t xml:space="preserve"> </w:t>
      </w:r>
      <w:r>
        <w:t>sales</w:t>
      </w:r>
      <w:r>
        <w:rPr>
          <w:spacing w:val="-7"/>
        </w:rPr>
        <w:t xml:space="preserve"> </w:t>
      </w:r>
      <w:r>
        <w:t>to</w:t>
      </w:r>
      <w:r>
        <w:rPr>
          <w:spacing w:val="-10"/>
        </w:rPr>
        <w:t xml:space="preserve"> </w:t>
      </w:r>
      <w:r>
        <w:t>purchasers</w:t>
      </w:r>
      <w:r>
        <w:rPr>
          <w:spacing w:val="-6"/>
        </w:rPr>
        <w:t xml:space="preserve"> </w:t>
      </w:r>
      <w:r>
        <w:t xml:space="preserve">in China at different levels of trade (what China refers to as "customer categories" or "sales </w:t>
      </w:r>
      <w:r>
        <w:rPr>
          <w:spacing w:val="-2"/>
        </w:rPr>
        <w:t>channels").</w:t>
      </w:r>
    </w:p>
    <w:p w14:paraId="3F6C1EC9" w14:textId="77777777" w:rsidR="00BD462C" w:rsidRDefault="00BD462C">
      <w:pPr>
        <w:pStyle w:val="BodyText"/>
        <w:spacing w:before="10"/>
        <w:rPr>
          <w:sz w:val="8"/>
        </w:rPr>
      </w:pPr>
    </w:p>
    <w:p w14:paraId="31E5D74B" w14:textId="7FBA4238" w:rsidR="00BD462C" w:rsidRDefault="00D70C7D">
      <w:pPr>
        <w:pStyle w:val="BodyText"/>
        <w:spacing w:before="56" w:line="360" w:lineRule="auto"/>
        <w:ind w:left="135" w:right="909" w:hanging="5"/>
        <w:jc w:val="both"/>
      </w:pPr>
      <w:r>
        <w:rPr>
          <w:noProof/>
        </w:rPr>
        <mc:AlternateContent>
          <mc:Choice Requires="wps">
            <w:drawing>
              <wp:anchor distT="0" distB="0" distL="114300" distR="114300" simplePos="0" relativeHeight="479066624" behindDoc="1" locked="0" layoutInCell="1" allowOverlap="1" wp14:anchorId="17089278" wp14:editId="5703C2D6">
                <wp:simplePos x="0" y="0"/>
                <wp:positionH relativeFrom="page">
                  <wp:posOffset>6409690</wp:posOffset>
                </wp:positionH>
                <wp:positionV relativeFrom="paragraph">
                  <wp:posOffset>1147445</wp:posOffset>
                </wp:positionV>
                <wp:extent cx="250190" cy="186055"/>
                <wp:effectExtent l="0" t="0" r="0" b="0"/>
                <wp:wrapNone/>
                <wp:docPr id="650" name="docshape3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901CAB" id="docshape394" o:spid="_x0000_s1026" alt="&quot;&quot;" style="position:absolute;margin-left:504.7pt;margin-top:90.35pt;width:19.7pt;height:14.65pt;z-index:-2424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" fillcolor="black" stroked="f">
                <w10:wrap anchorx="page"/>
              </v:rect>
            </w:pict>
          </mc:Fallback>
        </mc:AlternateContent>
      </w:r>
      <w:r>
        <w:rPr>
          <w:noProof/>
        </w:rPr>
        <mc:AlternateContent>
          <mc:Choice Requires="wps">
            <w:drawing>
              <wp:anchor distT="0" distB="0" distL="114300" distR="114300" simplePos="0" relativeHeight="15905792" behindDoc="0" locked="0" layoutInCell="1" allowOverlap="1" wp14:anchorId="3EE7C356" wp14:editId="46566462">
                <wp:simplePos x="0" y="0"/>
                <wp:positionH relativeFrom="page">
                  <wp:posOffset>899160</wp:posOffset>
                </wp:positionH>
                <wp:positionV relativeFrom="paragraph">
                  <wp:posOffset>1425575</wp:posOffset>
                </wp:positionV>
                <wp:extent cx="2392680" cy="186055"/>
                <wp:effectExtent l="0" t="0" r="0" b="0"/>
                <wp:wrapNone/>
                <wp:docPr id="648" name="docshape3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268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8A386" id="docshape395" o:spid="_x0000_s1026" alt="&quot;&quot;" style="position:absolute;margin-left:70.8pt;margin-top:112.25pt;width:188.4pt;height:14.65pt;z-index:15905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" fillcolor="black" stroked="f">
                <w10:wrap anchorx="page"/>
              </v:rect>
            </w:pict>
          </mc:Fallback>
        </mc:AlternateContent>
      </w:r>
      <w:r w:rsidR="001A3E52">
        <w:rPr>
          <w:noProof/>
        </w:rPr>
        <w:t>443.</w:t>
      </w:r>
      <w:r w:rsidR="00033D0F">
        <w:rPr>
          <w:rFonts w:ascii="Times New Roman"/>
          <w:spacing w:val="40"/>
          <w:position w:val="1"/>
          <w:sz w:val="20"/>
        </w:rPr>
        <w:t xml:space="preserve"> </w:t>
      </w:r>
      <w:r w:rsidR="00033D0F">
        <w:rPr>
          <w:position w:val="1"/>
        </w:rPr>
        <w:t xml:space="preserve">Finally, China accused Australia of deliberately withholding or not putting relevant </w:t>
      </w:r>
      <w:r w:rsidR="00033D0F">
        <w:t>evidence before the Panel because it was not supportive of its case.</w:t>
      </w:r>
      <w:hyperlink w:anchor="_bookmark737" w:history="1">
        <w:r w:rsidR="00033D0F">
          <w:rPr>
            <w:vertAlign w:val="superscript"/>
          </w:rPr>
          <w:t>617</w:t>
        </w:r>
      </w:hyperlink>
      <w:r w:rsidR="00033D0F">
        <w:t xml:space="preserve"> This allegation is baseless. Australia's argument is based on a fulsome and accurate reflection of the data that was before MOFCOM, to which Australia has access. Australia did refer to and exhibit the Casella</w:t>
      </w:r>
      <w:r w:rsidR="00033D0F">
        <w:rPr>
          <w:spacing w:val="-2"/>
        </w:rPr>
        <w:t xml:space="preserve"> </w:t>
      </w:r>
      <w:r w:rsidR="00033D0F">
        <w:t>Wines level of trade data in</w:t>
      </w:r>
      <w:r w:rsidR="00033D0F">
        <w:rPr>
          <w:spacing w:val="-5"/>
        </w:rPr>
        <w:t xml:space="preserve"> </w:t>
      </w:r>
      <w:r w:rsidR="00033D0F">
        <w:t>its first written</w:t>
      </w:r>
      <w:r w:rsidR="00033D0F">
        <w:rPr>
          <w:spacing w:val="-5"/>
        </w:rPr>
        <w:t xml:space="preserve"> </w:t>
      </w:r>
      <w:r w:rsidR="00033D0F">
        <w:t>submission, and accurately stated that</w:t>
      </w:r>
    </w:p>
    <w:p w14:paraId="59811CA8" w14:textId="77777777" w:rsidR="00BD462C" w:rsidRDefault="00000000">
      <w:pPr>
        <w:pStyle w:val="BodyText"/>
        <w:spacing w:line="360" w:lineRule="auto"/>
        <w:ind w:left="136" w:right="916" w:firstLine="3768"/>
        <w:jc w:val="both"/>
      </w:pPr>
      <w:hyperlink w:anchor="_bookmark738" w:history="1">
        <w:r w:rsidR="00033D0F">
          <w:rPr>
            <w:vertAlign w:val="superscript"/>
          </w:rPr>
          <w:t>618</w:t>
        </w:r>
      </w:hyperlink>
      <w:r w:rsidR="00033D0F">
        <w:t xml:space="preserve"> – this does not impact or detract from Australia's argument. Australia does not have access to the Swan Vintage data, or the data provided by the 21 domestic producers. As a result, Australia is not able to consider or exhibit that data. To</w:t>
      </w:r>
      <w:r w:rsidR="00033D0F">
        <w:rPr>
          <w:spacing w:val="-5"/>
        </w:rPr>
        <w:t xml:space="preserve"> </w:t>
      </w:r>
      <w:r w:rsidR="00033D0F">
        <w:t>the</w:t>
      </w:r>
      <w:r w:rsidR="00033D0F">
        <w:rPr>
          <w:spacing w:val="-3"/>
        </w:rPr>
        <w:t xml:space="preserve"> </w:t>
      </w:r>
      <w:r w:rsidR="00033D0F">
        <w:t>extent</w:t>
      </w:r>
      <w:r w:rsidR="00033D0F">
        <w:rPr>
          <w:spacing w:val="-2"/>
        </w:rPr>
        <w:t xml:space="preserve"> </w:t>
      </w:r>
      <w:r w:rsidR="00033D0F">
        <w:t>that</w:t>
      </w:r>
      <w:r w:rsidR="00033D0F">
        <w:rPr>
          <w:spacing w:val="-2"/>
        </w:rPr>
        <w:t xml:space="preserve"> </w:t>
      </w:r>
      <w:r w:rsidR="00033D0F">
        <w:t>China</w:t>
      </w:r>
      <w:r w:rsidR="00033D0F">
        <w:rPr>
          <w:spacing w:val="-3"/>
        </w:rPr>
        <w:t xml:space="preserve"> </w:t>
      </w:r>
      <w:r w:rsidR="00033D0F">
        <w:t>wishes</w:t>
      </w:r>
      <w:r w:rsidR="00033D0F">
        <w:rPr>
          <w:spacing w:val="-1"/>
        </w:rPr>
        <w:t xml:space="preserve"> </w:t>
      </w:r>
      <w:r w:rsidR="00033D0F">
        <w:t>the</w:t>
      </w:r>
      <w:r w:rsidR="00033D0F">
        <w:rPr>
          <w:spacing w:val="-3"/>
        </w:rPr>
        <w:t xml:space="preserve"> </w:t>
      </w:r>
      <w:r w:rsidR="00033D0F">
        <w:t>Panel to</w:t>
      </w:r>
      <w:r w:rsidR="00033D0F">
        <w:rPr>
          <w:spacing w:val="-5"/>
        </w:rPr>
        <w:t xml:space="preserve"> </w:t>
      </w:r>
      <w:r w:rsidR="00033D0F">
        <w:t>make</w:t>
      </w:r>
      <w:r w:rsidR="00033D0F">
        <w:rPr>
          <w:spacing w:val="-7"/>
        </w:rPr>
        <w:t xml:space="preserve"> </w:t>
      </w:r>
      <w:r w:rsidR="00033D0F">
        <w:t>findings</w:t>
      </w:r>
      <w:r w:rsidR="00033D0F">
        <w:rPr>
          <w:spacing w:val="-1"/>
        </w:rPr>
        <w:t xml:space="preserve"> </w:t>
      </w:r>
      <w:r w:rsidR="00033D0F">
        <w:t>on</w:t>
      </w:r>
      <w:r w:rsidR="00033D0F">
        <w:rPr>
          <w:spacing w:val="-4"/>
        </w:rPr>
        <w:t xml:space="preserve"> </w:t>
      </w:r>
      <w:r w:rsidR="00033D0F">
        <w:t>the</w:t>
      </w:r>
      <w:r w:rsidR="00033D0F">
        <w:rPr>
          <w:spacing w:val="-3"/>
        </w:rPr>
        <w:t xml:space="preserve"> </w:t>
      </w:r>
      <w:r w:rsidR="00033D0F">
        <w:t>basis</w:t>
      </w:r>
      <w:r w:rsidR="00033D0F">
        <w:rPr>
          <w:spacing w:val="-1"/>
        </w:rPr>
        <w:t xml:space="preserve"> </w:t>
      </w:r>
      <w:r w:rsidR="00033D0F">
        <w:t>of</w:t>
      </w:r>
      <w:r w:rsidR="00033D0F">
        <w:rPr>
          <w:spacing w:val="-4"/>
        </w:rPr>
        <w:t xml:space="preserve"> </w:t>
      </w:r>
      <w:r w:rsidR="00033D0F">
        <w:t>data</w:t>
      </w:r>
      <w:r w:rsidR="00033D0F">
        <w:rPr>
          <w:spacing w:val="-3"/>
        </w:rPr>
        <w:t xml:space="preserve"> </w:t>
      </w:r>
      <w:r w:rsidR="00033D0F">
        <w:t>provided</w:t>
      </w:r>
      <w:r w:rsidR="00033D0F">
        <w:rPr>
          <w:spacing w:val="-4"/>
        </w:rPr>
        <w:t xml:space="preserve"> </w:t>
      </w:r>
      <w:r w:rsidR="00033D0F">
        <w:t>to</w:t>
      </w:r>
      <w:r w:rsidR="00033D0F">
        <w:rPr>
          <w:spacing w:val="-5"/>
        </w:rPr>
        <w:t xml:space="preserve"> </w:t>
      </w:r>
      <w:r w:rsidR="00033D0F">
        <w:t>it by</w:t>
      </w:r>
      <w:r w:rsidR="00033D0F">
        <w:rPr>
          <w:spacing w:val="-6"/>
        </w:rPr>
        <w:t xml:space="preserve"> </w:t>
      </w:r>
      <w:r w:rsidR="00033D0F">
        <w:t>Swan</w:t>
      </w:r>
      <w:r w:rsidR="00033D0F">
        <w:rPr>
          <w:spacing w:val="-9"/>
        </w:rPr>
        <w:t xml:space="preserve"> </w:t>
      </w:r>
      <w:r w:rsidR="00033D0F">
        <w:t>Vintage</w:t>
      </w:r>
      <w:r w:rsidR="00033D0F">
        <w:rPr>
          <w:spacing w:val="-7"/>
        </w:rPr>
        <w:t xml:space="preserve"> </w:t>
      </w:r>
      <w:r w:rsidR="00033D0F">
        <w:t>or</w:t>
      </w:r>
      <w:r w:rsidR="00033D0F">
        <w:rPr>
          <w:spacing w:val="-5"/>
        </w:rPr>
        <w:t xml:space="preserve"> </w:t>
      </w:r>
      <w:r w:rsidR="00033D0F">
        <w:t>the</w:t>
      </w:r>
      <w:r w:rsidR="00033D0F">
        <w:rPr>
          <w:spacing w:val="-7"/>
        </w:rPr>
        <w:t xml:space="preserve"> </w:t>
      </w:r>
      <w:r w:rsidR="00033D0F">
        <w:t>21</w:t>
      </w:r>
      <w:r w:rsidR="00033D0F">
        <w:rPr>
          <w:spacing w:val="-5"/>
        </w:rPr>
        <w:t xml:space="preserve"> </w:t>
      </w:r>
      <w:r w:rsidR="00033D0F">
        <w:t>domestic</w:t>
      </w:r>
      <w:r w:rsidR="00033D0F">
        <w:rPr>
          <w:spacing w:val="-8"/>
        </w:rPr>
        <w:t xml:space="preserve"> </w:t>
      </w:r>
      <w:r w:rsidR="00033D0F">
        <w:t>producers,</w:t>
      </w:r>
      <w:r w:rsidR="00033D0F">
        <w:rPr>
          <w:spacing w:val="-5"/>
        </w:rPr>
        <w:t xml:space="preserve"> </w:t>
      </w:r>
      <w:r w:rsidR="00033D0F">
        <w:t>it</w:t>
      </w:r>
      <w:r w:rsidR="00033D0F">
        <w:rPr>
          <w:spacing w:val="-7"/>
        </w:rPr>
        <w:t xml:space="preserve"> </w:t>
      </w:r>
      <w:r w:rsidR="00033D0F">
        <w:t>must</w:t>
      </w:r>
      <w:r w:rsidR="00033D0F">
        <w:rPr>
          <w:spacing w:val="-7"/>
        </w:rPr>
        <w:t xml:space="preserve"> </w:t>
      </w:r>
      <w:r w:rsidR="00033D0F">
        <w:t>put</w:t>
      </w:r>
      <w:r w:rsidR="00033D0F">
        <w:rPr>
          <w:spacing w:val="-7"/>
        </w:rPr>
        <w:t xml:space="preserve"> </w:t>
      </w:r>
      <w:r w:rsidR="00033D0F">
        <w:t>that</w:t>
      </w:r>
      <w:r w:rsidR="00033D0F">
        <w:rPr>
          <w:spacing w:val="-7"/>
        </w:rPr>
        <w:t xml:space="preserve"> </w:t>
      </w:r>
      <w:r w:rsidR="00033D0F">
        <w:t>information</w:t>
      </w:r>
      <w:r w:rsidR="00033D0F">
        <w:rPr>
          <w:spacing w:val="-9"/>
        </w:rPr>
        <w:t xml:space="preserve"> </w:t>
      </w:r>
      <w:r w:rsidR="00033D0F">
        <w:t>before</w:t>
      </w:r>
      <w:r w:rsidR="00033D0F">
        <w:rPr>
          <w:spacing w:val="-7"/>
        </w:rPr>
        <w:t xml:space="preserve"> </w:t>
      </w:r>
      <w:r w:rsidR="00033D0F">
        <w:t>the</w:t>
      </w:r>
      <w:r w:rsidR="00033D0F">
        <w:rPr>
          <w:spacing w:val="-7"/>
        </w:rPr>
        <w:t xml:space="preserve"> </w:t>
      </w:r>
      <w:r w:rsidR="00033D0F">
        <w:t>Panel. Australia would welcome China doing so.</w:t>
      </w:r>
    </w:p>
    <w:p w14:paraId="49352CA7" w14:textId="77777777" w:rsidR="00BD462C" w:rsidRDefault="00033D0F">
      <w:pPr>
        <w:pStyle w:val="ListParagraph"/>
        <w:numPr>
          <w:ilvl w:val="0"/>
          <w:numId w:val="55"/>
        </w:numPr>
        <w:tabs>
          <w:tab w:val="left" w:pos="3539"/>
          <w:tab w:val="left" w:pos="3540"/>
        </w:tabs>
        <w:spacing w:before="153" w:line="362" w:lineRule="auto"/>
        <w:ind w:right="913"/>
        <w:jc w:val="both"/>
        <w:rPr>
          <w:sz w:val="24"/>
        </w:rPr>
      </w:pPr>
      <w:bookmarkStart w:id="861" w:name="(c)_MOFCOM_failed_to_ensure_price_compar"/>
      <w:bookmarkEnd w:id="861"/>
      <w:r>
        <w:rPr>
          <w:sz w:val="24"/>
          <w:u w:val="single"/>
        </w:rPr>
        <w:t>MOFCOM</w:t>
      </w:r>
      <w:r>
        <w:rPr>
          <w:spacing w:val="-5"/>
          <w:sz w:val="24"/>
          <w:u w:val="single"/>
        </w:rPr>
        <w:t xml:space="preserve"> </w:t>
      </w:r>
      <w:r>
        <w:rPr>
          <w:sz w:val="24"/>
          <w:u w:val="single"/>
        </w:rPr>
        <w:t>failed</w:t>
      </w:r>
      <w:r>
        <w:rPr>
          <w:spacing w:val="-7"/>
          <w:sz w:val="24"/>
          <w:u w:val="single"/>
        </w:rPr>
        <w:t xml:space="preserve"> </w:t>
      </w:r>
      <w:r>
        <w:rPr>
          <w:sz w:val="24"/>
          <w:u w:val="single"/>
        </w:rPr>
        <w:t>to</w:t>
      </w:r>
      <w:r>
        <w:rPr>
          <w:spacing w:val="-8"/>
          <w:sz w:val="24"/>
          <w:u w:val="single"/>
        </w:rPr>
        <w:t xml:space="preserve"> </w:t>
      </w:r>
      <w:r>
        <w:rPr>
          <w:sz w:val="24"/>
          <w:u w:val="single"/>
        </w:rPr>
        <w:t>ensure</w:t>
      </w:r>
      <w:r>
        <w:rPr>
          <w:spacing w:val="-5"/>
          <w:sz w:val="24"/>
          <w:u w:val="single"/>
        </w:rPr>
        <w:t xml:space="preserve"> </w:t>
      </w:r>
      <w:r>
        <w:rPr>
          <w:sz w:val="24"/>
          <w:u w:val="single"/>
        </w:rPr>
        <w:t>price</w:t>
      </w:r>
      <w:r>
        <w:rPr>
          <w:spacing w:val="-5"/>
          <w:sz w:val="24"/>
          <w:u w:val="single"/>
        </w:rPr>
        <w:t xml:space="preserve"> </w:t>
      </w:r>
      <w:r>
        <w:rPr>
          <w:sz w:val="24"/>
          <w:u w:val="single"/>
        </w:rPr>
        <w:t>comparability</w:t>
      </w:r>
      <w:r>
        <w:rPr>
          <w:spacing w:val="-5"/>
          <w:sz w:val="24"/>
          <w:u w:val="single"/>
        </w:rPr>
        <w:t xml:space="preserve"> </w:t>
      </w:r>
      <w:r>
        <w:rPr>
          <w:sz w:val="24"/>
          <w:u w:val="single"/>
        </w:rPr>
        <w:t>by</w:t>
      </w:r>
      <w:r>
        <w:rPr>
          <w:spacing w:val="-5"/>
          <w:sz w:val="24"/>
          <w:u w:val="single"/>
        </w:rPr>
        <w:t xml:space="preserve"> </w:t>
      </w:r>
      <w:r>
        <w:rPr>
          <w:sz w:val="24"/>
          <w:u w:val="single"/>
        </w:rPr>
        <w:t>failing</w:t>
      </w:r>
      <w:r>
        <w:rPr>
          <w:spacing w:val="-5"/>
          <w:sz w:val="24"/>
          <w:u w:val="single"/>
        </w:rPr>
        <w:t xml:space="preserve"> </w:t>
      </w:r>
      <w:r>
        <w:rPr>
          <w:sz w:val="24"/>
          <w:u w:val="single"/>
        </w:rPr>
        <w:t>to</w:t>
      </w:r>
      <w:r>
        <w:rPr>
          <w:sz w:val="24"/>
        </w:rPr>
        <w:t xml:space="preserve"> </w:t>
      </w:r>
      <w:r>
        <w:rPr>
          <w:sz w:val="24"/>
          <w:u w:val="single"/>
        </w:rPr>
        <w:t>account for differences in conditions of sale</w:t>
      </w:r>
    </w:p>
    <w:p w14:paraId="17FED16C" w14:textId="77777777" w:rsidR="00BD462C" w:rsidRDefault="00BD462C">
      <w:pPr>
        <w:pStyle w:val="BodyText"/>
        <w:spacing w:before="8"/>
        <w:rPr>
          <w:sz w:val="8"/>
        </w:rPr>
      </w:pPr>
    </w:p>
    <w:p w14:paraId="25B4CC0A" w14:textId="4FBDBA28" w:rsidR="00BD462C" w:rsidRDefault="001A3E52">
      <w:pPr>
        <w:pStyle w:val="BodyText"/>
        <w:spacing w:before="56" w:line="355" w:lineRule="auto"/>
        <w:ind w:left="135" w:right="923" w:hanging="5"/>
      </w:pPr>
      <w:r>
        <w:rPr>
          <w:noProof/>
        </w:rPr>
        <w:t>444.</w:t>
      </w:r>
      <w:r w:rsidR="00033D0F">
        <w:rPr>
          <w:rFonts w:ascii="Times New Roman"/>
          <w:spacing w:val="80"/>
          <w:position w:val="1"/>
          <w:sz w:val="20"/>
        </w:rPr>
        <w:t xml:space="preserve"> </w:t>
      </w:r>
      <w:r w:rsidR="00033D0F">
        <w:rPr>
          <w:position w:val="1"/>
        </w:rPr>
        <w:t xml:space="preserve">There are four key points of disagreement between the parties as to how different </w:t>
      </w:r>
      <w:r w:rsidR="00033D0F">
        <w:t>conditions of sale should have been reflected in MOFCOM's price calculation.</w:t>
      </w:r>
    </w:p>
    <w:p w14:paraId="24047121" w14:textId="77777777" w:rsidR="00BD462C" w:rsidRDefault="00BD462C">
      <w:pPr>
        <w:pStyle w:val="BodyText"/>
        <w:spacing w:before="3"/>
        <w:rPr>
          <w:sz w:val="9"/>
        </w:rPr>
      </w:pPr>
    </w:p>
    <w:p w14:paraId="5974BC21" w14:textId="737AC6C5" w:rsidR="00BD462C" w:rsidRDefault="001A3E52">
      <w:pPr>
        <w:pStyle w:val="BodyText"/>
        <w:spacing w:before="57" w:line="357" w:lineRule="auto"/>
        <w:ind w:left="135" w:right="912" w:hanging="5"/>
        <w:jc w:val="both"/>
      </w:pPr>
      <w:r>
        <w:rPr>
          <w:noProof/>
        </w:rPr>
        <w:t>445.</w:t>
      </w:r>
      <w:r w:rsidR="00033D0F">
        <w:rPr>
          <w:rFonts w:ascii="Times New Roman"/>
          <w:spacing w:val="80"/>
          <w:position w:val="1"/>
          <w:sz w:val="20"/>
        </w:rPr>
        <w:t xml:space="preserve"> </w:t>
      </w:r>
      <w:r w:rsidR="00033D0F">
        <w:rPr>
          <w:position w:val="1"/>
        </w:rPr>
        <w:t xml:space="preserve">First, China argues that conditions of sale are not a </w:t>
      </w:r>
      <w:proofErr w:type="spellStart"/>
      <w:r w:rsidR="00033D0F">
        <w:rPr>
          <w:position w:val="1"/>
        </w:rPr>
        <w:t>recognised</w:t>
      </w:r>
      <w:proofErr w:type="spellEnd"/>
      <w:r w:rsidR="00033D0F">
        <w:rPr>
          <w:position w:val="1"/>
        </w:rPr>
        <w:t xml:space="preserve"> factor that needs to </w:t>
      </w:r>
      <w:r w:rsidR="00033D0F">
        <w:t>be considered to ensure price comparability during a price effects analysis under Articles 3.1 and</w:t>
      </w:r>
      <w:r w:rsidR="00033D0F">
        <w:rPr>
          <w:spacing w:val="25"/>
        </w:rPr>
        <w:t xml:space="preserve"> </w:t>
      </w:r>
      <w:r w:rsidR="00033D0F">
        <w:t>3.2.</w:t>
      </w:r>
      <w:hyperlink w:anchor="_bookmark739" w:history="1">
        <w:r w:rsidR="00033D0F">
          <w:rPr>
            <w:vertAlign w:val="superscript"/>
          </w:rPr>
          <w:t>619</w:t>
        </w:r>
      </w:hyperlink>
      <w:r w:rsidR="00033D0F">
        <w:rPr>
          <w:spacing w:val="27"/>
        </w:rPr>
        <w:t xml:space="preserve"> </w:t>
      </w:r>
      <w:r w:rsidR="00033D0F">
        <w:t>This</w:t>
      </w:r>
      <w:r w:rsidR="00033D0F">
        <w:rPr>
          <w:spacing w:val="28"/>
        </w:rPr>
        <w:t xml:space="preserve"> </w:t>
      </w:r>
      <w:r w:rsidR="00033D0F">
        <w:t>is</w:t>
      </w:r>
      <w:r w:rsidR="00033D0F">
        <w:rPr>
          <w:spacing w:val="28"/>
        </w:rPr>
        <w:t xml:space="preserve"> </w:t>
      </w:r>
      <w:r w:rsidR="00033D0F">
        <w:t>because,</w:t>
      </w:r>
      <w:r w:rsidR="00033D0F">
        <w:rPr>
          <w:spacing w:val="28"/>
        </w:rPr>
        <w:t xml:space="preserve"> </w:t>
      </w:r>
      <w:r w:rsidR="00033D0F">
        <w:t>in</w:t>
      </w:r>
      <w:r w:rsidR="00033D0F">
        <w:rPr>
          <w:spacing w:val="25"/>
        </w:rPr>
        <w:t xml:space="preserve"> </w:t>
      </w:r>
      <w:r w:rsidR="00033D0F">
        <w:t>China's</w:t>
      </w:r>
      <w:r w:rsidR="00033D0F">
        <w:rPr>
          <w:spacing w:val="28"/>
        </w:rPr>
        <w:t xml:space="preserve"> </w:t>
      </w:r>
      <w:r w:rsidR="00033D0F">
        <w:t>view,</w:t>
      </w:r>
      <w:r w:rsidR="00033D0F">
        <w:rPr>
          <w:spacing w:val="28"/>
        </w:rPr>
        <w:t xml:space="preserve"> </w:t>
      </w:r>
      <w:r w:rsidR="00033D0F">
        <w:t>"there</w:t>
      </w:r>
      <w:r w:rsidR="00033D0F">
        <w:rPr>
          <w:spacing w:val="26"/>
        </w:rPr>
        <w:t xml:space="preserve"> </w:t>
      </w:r>
      <w:r w:rsidR="00033D0F">
        <w:t>are</w:t>
      </w:r>
      <w:r w:rsidR="00033D0F">
        <w:rPr>
          <w:spacing w:val="26"/>
        </w:rPr>
        <w:t xml:space="preserve"> </w:t>
      </w:r>
      <w:r w:rsidR="00033D0F">
        <w:t>limits</w:t>
      </w:r>
      <w:r w:rsidR="00033D0F">
        <w:rPr>
          <w:spacing w:val="28"/>
        </w:rPr>
        <w:t xml:space="preserve"> </w:t>
      </w:r>
      <w:r w:rsidR="00033D0F">
        <w:t>to</w:t>
      </w:r>
      <w:r w:rsidR="00033D0F">
        <w:rPr>
          <w:spacing w:val="24"/>
        </w:rPr>
        <w:t xml:space="preserve"> </w:t>
      </w:r>
      <w:r w:rsidR="00033D0F">
        <w:t>transposing</w:t>
      </w:r>
      <w:r w:rsidR="00033D0F">
        <w:rPr>
          <w:spacing w:val="28"/>
        </w:rPr>
        <w:t xml:space="preserve"> </w:t>
      </w:r>
      <w:r w:rsidR="00033D0F">
        <w:t>the</w:t>
      </w:r>
      <w:r w:rsidR="00033D0F">
        <w:rPr>
          <w:spacing w:val="26"/>
        </w:rPr>
        <w:t xml:space="preserve"> </w:t>
      </w:r>
      <w:r w:rsidR="00033D0F">
        <w:t>Article</w:t>
      </w:r>
      <w:r w:rsidR="00033D0F">
        <w:rPr>
          <w:spacing w:val="-2"/>
        </w:rPr>
        <w:t xml:space="preserve"> </w:t>
      </w:r>
      <w:r w:rsidR="00033D0F">
        <w:t>2.4</w:t>
      </w:r>
    </w:p>
    <w:p w14:paraId="6E622037" w14:textId="23B869E4" w:rsidR="00BD462C" w:rsidRDefault="00D70C7D">
      <w:pPr>
        <w:pStyle w:val="BodyText"/>
        <w:spacing w:before="3"/>
        <w:rPr>
          <w:sz w:val="15"/>
        </w:rPr>
      </w:pPr>
      <w:r>
        <w:rPr>
          <w:noProof/>
        </w:rPr>
        <mc:AlternateContent>
          <mc:Choice Requires="wps">
            <w:drawing>
              <wp:anchor distT="0" distB="0" distL="0" distR="0" simplePos="0" relativeHeight="487764992" behindDoc="1" locked="0" layoutInCell="1" allowOverlap="1" wp14:anchorId="1B72745A" wp14:editId="7B55D8DE">
                <wp:simplePos x="0" y="0"/>
                <wp:positionH relativeFrom="page">
                  <wp:posOffset>899160</wp:posOffset>
                </wp:positionH>
                <wp:positionV relativeFrom="paragraph">
                  <wp:posOffset>133350</wp:posOffset>
                </wp:positionV>
                <wp:extent cx="1828800" cy="8890"/>
                <wp:effectExtent l="0" t="0" r="0" b="0"/>
                <wp:wrapTopAndBottom/>
                <wp:docPr id="646" name="docshape3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7A468B" id="docshape396" o:spid="_x0000_s1026" alt="&quot;&quot;" style="position:absolute;margin-left:70.8pt;margin-top:10.5pt;width:2in;height:.7pt;z-index:-15551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" fillcolor="black" stroked="f">
                <w10:wrap type="topAndBottom" anchorx="page"/>
              </v:rect>
            </w:pict>
          </mc:Fallback>
        </mc:AlternateContent>
      </w:r>
    </w:p>
    <w:p w14:paraId="457AE334" w14:textId="77777777" w:rsidR="00BD462C" w:rsidRDefault="00033D0F">
      <w:pPr>
        <w:spacing w:before="112"/>
        <w:ind w:left="135"/>
        <w:rPr>
          <w:sz w:val="18"/>
        </w:rPr>
      </w:pPr>
      <w:bookmarkStart w:id="862" w:name="_bookmark737"/>
      <w:bookmarkEnd w:id="862"/>
      <w:r>
        <w:rPr>
          <w:position w:val="5"/>
          <w:sz w:val="12"/>
        </w:rPr>
        <w:t>617</w:t>
      </w:r>
      <w:r>
        <w:rPr>
          <w:spacing w:val="12"/>
          <w:position w:val="5"/>
          <w:sz w:val="12"/>
        </w:rPr>
        <w:t xml:space="preserve"> </w:t>
      </w:r>
      <w:r>
        <w:rPr>
          <w:sz w:val="18"/>
        </w:rPr>
        <w:t>China's</w:t>
      </w:r>
      <w:r>
        <w:rPr>
          <w:spacing w:val="-6"/>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 paras.</w:t>
      </w:r>
      <w:r>
        <w:rPr>
          <w:spacing w:val="-5"/>
          <w:sz w:val="18"/>
        </w:rPr>
        <w:t xml:space="preserve"> </w:t>
      </w:r>
      <w:r>
        <w:rPr>
          <w:sz w:val="18"/>
        </w:rPr>
        <w:t>1255-</w:t>
      </w:r>
      <w:r>
        <w:rPr>
          <w:spacing w:val="-2"/>
          <w:sz w:val="18"/>
        </w:rPr>
        <w:t>1256.</w:t>
      </w:r>
    </w:p>
    <w:p w14:paraId="166B1A3C" w14:textId="77777777" w:rsidR="00BD462C" w:rsidRDefault="00033D0F">
      <w:pPr>
        <w:spacing w:before="1"/>
        <w:ind w:left="136" w:right="908" w:hanging="1"/>
        <w:rPr>
          <w:sz w:val="18"/>
        </w:rPr>
      </w:pPr>
      <w:bookmarkStart w:id="863" w:name="_bookmark738"/>
      <w:bookmarkEnd w:id="863"/>
      <w:r>
        <w:rPr>
          <w:position w:val="5"/>
          <w:sz w:val="12"/>
        </w:rPr>
        <w:t>618</w:t>
      </w:r>
      <w:r>
        <w:rPr>
          <w:spacing w:val="10"/>
          <w:position w:val="5"/>
          <w:sz w:val="12"/>
        </w:rPr>
        <w:t xml:space="preserve"> </w:t>
      </w:r>
      <w:r>
        <w:rPr>
          <w:sz w:val="18"/>
        </w:rPr>
        <w:t>Australia's</w:t>
      </w:r>
      <w:r>
        <w:rPr>
          <w:spacing w:val="-9"/>
          <w:sz w:val="18"/>
        </w:rPr>
        <w:t xml:space="preserve"> </w:t>
      </w:r>
      <w:r>
        <w:rPr>
          <w:sz w:val="18"/>
        </w:rPr>
        <w:t>first</w:t>
      </w:r>
      <w:r>
        <w:rPr>
          <w:spacing w:val="-8"/>
          <w:sz w:val="18"/>
        </w:rPr>
        <w:t xml:space="preserve"> </w:t>
      </w:r>
      <w:r>
        <w:rPr>
          <w:sz w:val="18"/>
        </w:rPr>
        <w:t>written</w:t>
      </w:r>
      <w:r>
        <w:rPr>
          <w:spacing w:val="-9"/>
          <w:sz w:val="18"/>
        </w:rPr>
        <w:t xml:space="preserve"> </w:t>
      </w:r>
      <w:r>
        <w:rPr>
          <w:sz w:val="18"/>
        </w:rPr>
        <w:t>submission,</w:t>
      </w:r>
      <w:r>
        <w:rPr>
          <w:spacing w:val="-7"/>
          <w:sz w:val="18"/>
        </w:rPr>
        <w:t xml:space="preserve"> </w:t>
      </w:r>
      <w:r>
        <w:rPr>
          <w:sz w:val="18"/>
        </w:rPr>
        <w:t>para.</w:t>
      </w:r>
      <w:r>
        <w:rPr>
          <w:spacing w:val="-3"/>
          <w:sz w:val="18"/>
        </w:rPr>
        <w:t xml:space="preserve"> </w:t>
      </w:r>
      <w:r>
        <w:rPr>
          <w:sz w:val="18"/>
        </w:rPr>
        <w:t>598,</w:t>
      </w:r>
      <w:r>
        <w:rPr>
          <w:spacing w:val="-7"/>
          <w:sz w:val="18"/>
        </w:rPr>
        <w:t xml:space="preserve"> </w:t>
      </w:r>
      <w:r>
        <w:rPr>
          <w:sz w:val="18"/>
        </w:rPr>
        <w:t>fn.</w:t>
      </w:r>
      <w:r>
        <w:rPr>
          <w:spacing w:val="-8"/>
          <w:sz w:val="18"/>
        </w:rPr>
        <w:t xml:space="preserve"> </w:t>
      </w:r>
      <w:r>
        <w:rPr>
          <w:sz w:val="18"/>
        </w:rPr>
        <w:t>684.</w:t>
      </w:r>
      <w:r>
        <w:rPr>
          <w:spacing w:val="-8"/>
          <w:sz w:val="18"/>
        </w:rPr>
        <w:t xml:space="preserve"> </w:t>
      </w:r>
      <w:r>
        <w:rPr>
          <w:sz w:val="18"/>
        </w:rPr>
        <w:t>See</w:t>
      </w:r>
      <w:r>
        <w:rPr>
          <w:spacing w:val="-9"/>
          <w:sz w:val="18"/>
        </w:rPr>
        <w:t xml:space="preserve"> </w:t>
      </w:r>
      <w:r>
        <w:rPr>
          <w:sz w:val="18"/>
        </w:rPr>
        <w:t>also</w:t>
      </w:r>
      <w:r>
        <w:rPr>
          <w:spacing w:val="-5"/>
          <w:sz w:val="18"/>
        </w:rPr>
        <w:t xml:space="preserve"> </w:t>
      </w:r>
      <w:r>
        <w:rPr>
          <w:sz w:val="18"/>
        </w:rPr>
        <w:t>Casella</w:t>
      </w:r>
      <w:r>
        <w:rPr>
          <w:spacing w:val="-10"/>
          <w:sz w:val="18"/>
        </w:rPr>
        <w:t xml:space="preserve"> </w:t>
      </w:r>
      <w:r>
        <w:rPr>
          <w:sz w:val="18"/>
        </w:rPr>
        <w:t>Wines</w:t>
      </w:r>
      <w:r>
        <w:rPr>
          <w:spacing w:val="-9"/>
          <w:sz w:val="18"/>
        </w:rPr>
        <w:t xml:space="preserve"> </w:t>
      </w:r>
      <w:r>
        <w:rPr>
          <w:sz w:val="18"/>
        </w:rPr>
        <w:t>Anti-Dumping</w:t>
      </w:r>
      <w:r>
        <w:rPr>
          <w:spacing w:val="-9"/>
          <w:sz w:val="18"/>
        </w:rPr>
        <w:t xml:space="preserve"> </w:t>
      </w:r>
      <w:r>
        <w:rPr>
          <w:sz w:val="18"/>
        </w:rPr>
        <w:t>Questionnaire</w:t>
      </w:r>
      <w:r>
        <w:rPr>
          <w:spacing w:val="-9"/>
          <w:sz w:val="18"/>
        </w:rPr>
        <w:t xml:space="preserve"> </w:t>
      </w:r>
      <w:r>
        <w:rPr>
          <w:sz w:val="18"/>
        </w:rPr>
        <w:t>Response</w:t>
      </w:r>
      <w:r>
        <w:rPr>
          <w:spacing w:val="-9"/>
          <w:sz w:val="18"/>
        </w:rPr>
        <w:t xml:space="preserve"> </w:t>
      </w:r>
      <w:r>
        <w:rPr>
          <w:sz w:val="18"/>
        </w:rPr>
        <w:t>Form 3-4 (confidential version), Exhibit AUS-37 (BCI).</w:t>
      </w:r>
    </w:p>
    <w:p w14:paraId="25DA2932" w14:textId="77777777" w:rsidR="00BD462C" w:rsidRDefault="00033D0F">
      <w:pPr>
        <w:spacing w:before="2"/>
        <w:ind w:left="135"/>
        <w:rPr>
          <w:sz w:val="18"/>
        </w:rPr>
      </w:pPr>
      <w:bookmarkStart w:id="864" w:name="_bookmark739"/>
      <w:bookmarkEnd w:id="864"/>
      <w:r>
        <w:rPr>
          <w:position w:val="5"/>
          <w:sz w:val="12"/>
        </w:rPr>
        <w:t>619</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paras.</w:t>
      </w:r>
      <w:r>
        <w:rPr>
          <w:spacing w:val="-5"/>
          <w:sz w:val="18"/>
        </w:rPr>
        <w:t xml:space="preserve"> </w:t>
      </w:r>
      <w:r>
        <w:rPr>
          <w:sz w:val="18"/>
        </w:rPr>
        <w:t>1271-</w:t>
      </w:r>
      <w:r>
        <w:rPr>
          <w:spacing w:val="-2"/>
          <w:sz w:val="18"/>
        </w:rPr>
        <w:t>1290.</w:t>
      </w:r>
    </w:p>
    <w:p w14:paraId="3D6B1BE3" w14:textId="77777777" w:rsidR="00BD462C" w:rsidRDefault="00BD462C">
      <w:pPr>
        <w:rPr>
          <w:sz w:val="18"/>
        </w:rPr>
        <w:sectPr w:rsidR="00BD462C">
          <w:pgSz w:w="11910" w:h="16840"/>
          <w:pgMar w:top="860" w:right="500" w:bottom="780" w:left="1280" w:header="566" w:footer="590" w:gutter="0"/>
          <w:cols w:space="720"/>
        </w:sectPr>
      </w:pPr>
    </w:p>
    <w:p w14:paraId="51199A32"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5E3D5BFC"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72FEBAFE"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3158AA6B" w14:textId="77777777" w:rsidR="00BD462C" w:rsidRDefault="00033D0F">
      <w:pPr>
        <w:pStyle w:val="BodyText"/>
        <w:spacing w:before="102" w:line="360" w:lineRule="auto"/>
        <w:ind w:left="135" w:right="912"/>
        <w:jc w:val="both"/>
      </w:pPr>
      <w:r>
        <w:t>factors to the price effects analysis".</w:t>
      </w:r>
      <w:hyperlink w:anchor="_bookmark740" w:history="1">
        <w:r>
          <w:rPr>
            <w:vertAlign w:val="superscript"/>
          </w:rPr>
          <w:t>620</w:t>
        </w:r>
      </w:hyperlink>
      <w:r>
        <w:t xml:space="preserve"> Australia's position is that Article</w:t>
      </w:r>
      <w:r>
        <w:rPr>
          <w:spacing w:val="-2"/>
        </w:rPr>
        <w:t xml:space="preserve"> </w:t>
      </w:r>
      <w:r>
        <w:t>3.1 and 3.2 require an investigating authority to ensure price comparability any time it makes a price comparison.</w:t>
      </w:r>
      <w:hyperlink w:anchor="_bookmark741" w:history="1">
        <w:r>
          <w:rPr>
            <w:vertAlign w:val="superscript"/>
          </w:rPr>
          <w:t>621</w:t>
        </w:r>
      </w:hyperlink>
      <w:r>
        <w:t xml:space="preserve"> The factors that may be relevant to ensuring price comparability are not limited</w:t>
      </w:r>
      <w:r>
        <w:rPr>
          <w:spacing w:val="-5"/>
        </w:rPr>
        <w:t xml:space="preserve"> </w:t>
      </w:r>
      <w:r>
        <w:t>and</w:t>
      </w:r>
      <w:r>
        <w:rPr>
          <w:spacing w:val="-5"/>
        </w:rPr>
        <w:t xml:space="preserve"> </w:t>
      </w:r>
      <w:r>
        <w:t>may</w:t>
      </w:r>
      <w:r>
        <w:rPr>
          <w:spacing w:val="-7"/>
        </w:rPr>
        <w:t xml:space="preserve"> </w:t>
      </w:r>
      <w:r>
        <w:t>vary</w:t>
      </w:r>
      <w:r>
        <w:rPr>
          <w:spacing w:val="-2"/>
        </w:rPr>
        <w:t xml:space="preserve"> </w:t>
      </w:r>
      <w:r>
        <w:t>depending</w:t>
      </w:r>
      <w:r>
        <w:rPr>
          <w:spacing w:val="-2"/>
        </w:rPr>
        <w:t xml:space="preserve"> </w:t>
      </w:r>
      <w:r>
        <w:t>on</w:t>
      </w:r>
      <w:r>
        <w:rPr>
          <w:spacing w:val="-5"/>
        </w:rPr>
        <w:t xml:space="preserve"> </w:t>
      </w:r>
      <w:r>
        <w:t>the</w:t>
      </w:r>
      <w:r>
        <w:rPr>
          <w:spacing w:val="-4"/>
        </w:rPr>
        <w:t xml:space="preserve"> </w:t>
      </w:r>
      <w:r>
        <w:t>facts</w:t>
      </w:r>
      <w:r>
        <w:rPr>
          <w:spacing w:val="-2"/>
        </w:rPr>
        <w:t xml:space="preserve"> </w:t>
      </w:r>
      <w:r>
        <w:t>and</w:t>
      </w:r>
      <w:r>
        <w:rPr>
          <w:spacing w:val="-5"/>
        </w:rPr>
        <w:t xml:space="preserve"> </w:t>
      </w:r>
      <w:r>
        <w:t>circumstances</w:t>
      </w:r>
      <w:r>
        <w:rPr>
          <w:spacing w:val="-2"/>
        </w:rPr>
        <w:t xml:space="preserve"> </w:t>
      </w:r>
      <w:r>
        <w:t>of</w:t>
      </w:r>
      <w:r>
        <w:rPr>
          <w:spacing w:val="-5"/>
        </w:rPr>
        <w:t xml:space="preserve"> </w:t>
      </w:r>
      <w:r>
        <w:t>each</w:t>
      </w:r>
      <w:r>
        <w:rPr>
          <w:spacing w:val="-5"/>
        </w:rPr>
        <w:t xml:space="preserve"> </w:t>
      </w:r>
      <w:r>
        <w:t>case.</w:t>
      </w:r>
      <w:r>
        <w:rPr>
          <w:spacing w:val="-7"/>
        </w:rPr>
        <w:t xml:space="preserve"> </w:t>
      </w:r>
      <w:r>
        <w:t>In</w:t>
      </w:r>
      <w:r>
        <w:rPr>
          <w:spacing w:val="-5"/>
        </w:rPr>
        <w:t xml:space="preserve"> </w:t>
      </w:r>
      <w:r>
        <w:t>this</w:t>
      </w:r>
      <w:r>
        <w:rPr>
          <w:spacing w:val="-2"/>
        </w:rPr>
        <w:t xml:space="preserve"> </w:t>
      </w:r>
      <w:r>
        <w:t>instance, there</w:t>
      </w:r>
      <w:r>
        <w:rPr>
          <w:spacing w:val="-3"/>
        </w:rPr>
        <w:t xml:space="preserve"> </w:t>
      </w:r>
      <w:r>
        <w:t>was</w:t>
      </w:r>
      <w:r>
        <w:rPr>
          <w:spacing w:val="-2"/>
        </w:rPr>
        <w:t xml:space="preserve"> </w:t>
      </w:r>
      <w:r>
        <w:t>a</w:t>
      </w:r>
      <w:r>
        <w:rPr>
          <w:spacing w:val="-4"/>
        </w:rPr>
        <w:t xml:space="preserve"> </w:t>
      </w:r>
      <w:r>
        <w:t>material</w:t>
      </w:r>
      <w:r>
        <w:rPr>
          <w:spacing w:val="-2"/>
        </w:rPr>
        <w:t xml:space="preserve"> </w:t>
      </w:r>
      <w:r>
        <w:t>difference</w:t>
      </w:r>
      <w:r>
        <w:rPr>
          <w:spacing w:val="-3"/>
        </w:rPr>
        <w:t xml:space="preserve"> </w:t>
      </w:r>
      <w:r>
        <w:t>between</w:t>
      </w:r>
      <w:r>
        <w:rPr>
          <w:spacing w:val="-5"/>
        </w:rPr>
        <w:t xml:space="preserve"> </w:t>
      </w:r>
      <w:r>
        <w:t>the</w:t>
      </w:r>
      <w:r>
        <w:rPr>
          <w:spacing w:val="-3"/>
        </w:rPr>
        <w:t xml:space="preserve"> </w:t>
      </w:r>
      <w:r>
        <w:t>annual</w:t>
      </w:r>
      <w:r>
        <w:rPr>
          <w:spacing w:val="-2"/>
        </w:rPr>
        <w:t xml:space="preserve"> </w:t>
      </w:r>
      <w:r>
        <w:t>average</w:t>
      </w:r>
      <w:r>
        <w:rPr>
          <w:spacing w:val="-3"/>
        </w:rPr>
        <w:t xml:space="preserve"> </w:t>
      </w:r>
      <w:r>
        <w:t>unit</w:t>
      </w:r>
      <w:r>
        <w:rPr>
          <w:spacing w:val="-8"/>
        </w:rPr>
        <w:t xml:space="preserve"> </w:t>
      </w:r>
      <w:r>
        <w:t>values</w:t>
      </w:r>
      <w:r>
        <w:rPr>
          <w:spacing w:val="-2"/>
        </w:rPr>
        <w:t xml:space="preserve"> </w:t>
      </w:r>
      <w:r>
        <w:t>MOFCOM</w:t>
      </w:r>
      <w:r>
        <w:rPr>
          <w:spacing w:val="-3"/>
        </w:rPr>
        <w:t xml:space="preserve"> </w:t>
      </w:r>
      <w:r>
        <w:t>calculated for subject imports and domestic like products caused by the difference between the conditions of sale reflected in each price. That is, the ex-factory price for domestic like products reflected the price of goods available for inland shipment. The CIF price for subject imports did not. MOFCOM failed to include all of the adjustments to the CIF price that were necessary to address the differences between the ex-factory price and the costs incurred in making the imported Australian goods available for inland shipment. Australia's reference to Article</w:t>
      </w:r>
      <w:r>
        <w:rPr>
          <w:spacing w:val="-5"/>
        </w:rPr>
        <w:t xml:space="preserve"> </w:t>
      </w:r>
      <w:r>
        <w:t>2.4</w:t>
      </w:r>
      <w:r>
        <w:rPr>
          <w:spacing w:val="-10"/>
        </w:rPr>
        <w:t xml:space="preserve"> </w:t>
      </w:r>
      <w:r>
        <w:t>was</w:t>
      </w:r>
      <w:r>
        <w:rPr>
          <w:spacing w:val="-7"/>
        </w:rPr>
        <w:t xml:space="preserve"> </w:t>
      </w:r>
      <w:r>
        <w:t>only</w:t>
      </w:r>
      <w:r>
        <w:rPr>
          <w:spacing w:val="-7"/>
        </w:rPr>
        <w:t xml:space="preserve"> </w:t>
      </w:r>
      <w:r>
        <w:t>to</w:t>
      </w:r>
      <w:r>
        <w:rPr>
          <w:spacing w:val="-11"/>
        </w:rPr>
        <w:t xml:space="preserve"> </w:t>
      </w:r>
      <w:r>
        <w:t>demonstrate</w:t>
      </w:r>
      <w:r>
        <w:rPr>
          <w:spacing w:val="-8"/>
        </w:rPr>
        <w:t xml:space="preserve"> </w:t>
      </w:r>
      <w:r>
        <w:t>that</w:t>
      </w:r>
      <w:r>
        <w:rPr>
          <w:spacing w:val="-8"/>
        </w:rPr>
        <w:t xml:space="preserve"> </w:t>
      </w:r>
      <w:r>
        <w:t>conditions</w:t>
      </w:r>
      <w:r>
        <w:rPr>
          <w:spacing w:val="-7"/>
        </w:rPr>
        <w:t xml:space="preserve"> </w:t>
      </w:r>
      <w:r>
        <w:t>of</w:t>
      </w:r>
      <w:r>
        <w:rPr>
          <w:spacing w:val="-10"/>
        </w:rPr>
        <w:t xml:space="preserve"> </w:t>
      </w:r>
      <w:r>
        <w:t>sale</w:t>
      </w:r>
      <w:r>
        <w:rPr>
          <w:spacing w:val="-8"/>
        </w:rPr>
        <w:t xml:space="preserve"> </w:t>
      </w:r>
      <w:r>
        <w:t>are</w:t>
      </w:r>
      <w:r>
        <w:rPr>
          <w:spacing w:val="-8"/>
        </w:rPr>
        <w:t xml:space="preserve"> </w:t>
      </w:r>
      <w:proofErr w:type="spellStart"/>
      <w:r>
        <w:t>recognised</w:t>
      </w:r>
      <w:proofErr w:type="spellEnd"/>
      <w:r>
        <w:rPr>
          <w:spacing w:val="-10"/>
        </w:rPr>
        <w:t xml:space="preserve"> </w:t>
      </w:r>
      <w:r>
        <w:t>as</w:t>
      </w:r>
      <w:r>
        <w:rPr>
          <w:spacing w:val="-7"/>
        </w:rPr>
        <w:t xml:space="preserve"> </w:t>
      </w:r>
      <w:r>
        <w:t>having</w:t>
      </w:r>
      <w:r>
        <w:rPr>
          <w:spacing w:val="-7"/>
        </w:rPr>
        <w:t xml:space="preserve"> </w:t>
      </w:r>
      <w:r>
        <w:t>an</w:t>
      </w:r>
      <w:r>
        <w:rPr>
          <w:spacing w:val="-14"/>
        </w:rPr>
        <w:t xml:space="preserve"> </w:t>
      </w:r>
      <w:r>
        <w:t>impact on price comparability.</w:t>
      </w:r>
      <w:hyperlink w:anchor="_bookmark742" w:history="1">
        <w:r>
          <w:rPr>
            <w:vertAlign w:val="superscript"/>
          </w:rPr>
          <w:t>622</w:t>
        </w:r>
      </w:hyperlink>
    </w:p>
    <w:p w14:paraId="318EA65C" w14:textId="77777777" w:rsidR="00BD462C" w:rsidRDefault="00BD462C">
      <w:pPr>
        <w:pStyle w:val="BodyText"/>
        <w:spacing w:before="9"/>
        <w:rPr>
          <w:sz w:val="8"/>
        </w:rPr>
      </w:pPr>
    </w:p>
    <w:p w14:paraId="4890E8F2" w14:textId="769540EA" w:rsidR="00BD462C" w:rsidRDefault="001A3E52">
      <w:pPr>
        <w:pStyle w:val="BodyText"/>
        <w:spacing w:before="56" w:line="360" w:lineRule="auto"/>
        <w:ind w:left="135" w:right="912" w:hanging="5"/>
        <w:jc w:val="both"/>
      </w:pPr>
      <w:r>
        <w:rPr>
          <w:noProof/>
        </w:rPr>
        <w:t>446.</w:t>
      </w:r>
      <w:r w:rsidR="00033D0F">
        <w:rPr>
          <w:rFonts w:ascii="Times New Roman"/>
          <w:spacing w:val="80"/>
          <w:w w:val="150"/>
          <w:position w:val="1"/>
          <w:sz w:val="20"/>
        </w:rPr>
        <w:t xml:space="preserve"> </w:t>
      </w:r>
      <w:r w:rsidR="00033D0F">
        <w:rPr>
          <w:position w:val="1"/>
        </w:rPr>
        <w:t xml:space="preserve">Second, contrary to China's assertion, Australia's argument does not conflate </w:t>
      </w:r>
      <w:r w:rsidR="00033D0F">
        <w:t>conditions</w:t>
      </w:r>
      <w:r w:rsidR="00033D0F">
        <w:rPr>
          <w:spacing w:val="-9"/>
        </w:rPr>
        <w:t xml:space="preserve"> </w:t>
      </w:r>
      <w:r w:rsidR="00033D0F">
        <w:t>of</w:t>
      </w:r>
      <w:r w:rsidR="00033D0F">
        <w:rPr>
          <w:spacing w:val="-13"/>
        </w:rPr>
        <w:t xml:space="preserve"> </w:t>
      </w:r>
      <w:r w:rsidR="00033D0F">
        <w:t>sale</w:t>
      </w:r>
      <w:r w:rsidR="00033D0F">
        <w:rPr>
          <w:spacing w:val="-11"/>
        </w:rPr>
        <w:t xml:space="preserve"> </w:t>
      </w:r>
      <w:r w:rsidR="00033D0F">
        <w:t>with</w:t>
      </w:r>
      <w:r w:rsidR="00033D0F">
        <w:rPr>
          <w:spacing w:val="-13"/>
        </w:rPr>
        <w:t xml:space="preserve"> </w:t>
      </w:r>
      <w:r w:rsidR="00033D0F">
        <w:t>levels</w:t>
      </w:r>
      <w:r w:rsidR="00033D0F">
        <w:rPr>
          <w:spacing w:val="-9"/>
        </w:rPr>
        <w:t xml:space="preserve"> </w:t>
      </w:r>
      <w:r w:rsidR="00033D0F">
        <w:t>of</w:t>
      </w:r>
      <w:r w:rsidR="00033D0F">
        <w:rPr>
          <w:spacing w:val="-13"/>
        </w:rPr>
        <w:t xml:space="preserve"> </w:t>
      </w:r>
      <w:r w:rsidR="00033D0F">
        <w:t>trade.</w:t>
      </w:r>
      <w:hyperlink w:anchor="_bookmark743" w:history="1">
        <w:r w:rsidR="00033D0F">
          <w:rPr>
            <w:vertAlign w:val="superscript"/>
          </w:rPr>
          <w:t>623</w:t>
        </w:r>
      </w:hyperlink>
      <w:r w:rsidR="00033D0F">
        <w:rPr>
          <w:spacing w:val="-10"/>
        </w:rPr>
        <w:t xml:space="preserve"> </w:t>
      </w:r>
      <w:r w:rsidR="00033D0F">
        <w:t>Australia's</w:t>
      </w:r>
      <w:r w:rsidR="00033D0F">
        <w:rPr>
          <w:spacing w:val="-9"/>
        </w:rPr>
        <w:t xml:space="preserve"> </w:t>
      </w:r>
      <w:r w:rsidR="00033D0F">
        <w:t>position</w:t>
      </w:r>
      <w:r w:rsidR="00033D0F">
        <w:rPr>
          <w:spacing w:val="-13"/>
        </w:rPr>
        <w:t xml:space="preserve"> </w:t>
      </w:r>
      <w:r w:rsidR="00033D0F">
        <w:t>is</w:t>
      </w:r>
      <w:r w:rsidR="00033D0F">
        <w:rPr>
          <w:spacing w:val="-10"/>
        </w:rPr>
        <w:t xml:space="preserve"> </w:t>
      </w:r>
      <w:r w:rsidR="00033D0F">
        <w:t>that</w:t>
      </w:r>
      <w:r w:rsidR="00033D0F">
        <w:rPr>
          <w:spacing w:val="-10"/>
        </w:rPr>
        <w:t xml:space="preserve"> </w:t>
      </w:r>
      <w:r w:rsidR="00033D0F">
        <w:t>conditions</w:t>
      </w:r>
      <w:r w:rsidR="00033D0F">
        <w:rPr>
          <w:spacing w:val="-9"/>
        </w:rPr>
        <w:t xml:space="preserve"> </w:t>
      </w:r>
      <w:r w:rsidR="00033D0F">
        <w:t>of</w:t>
      </w:r>
      <w:r w:rsidR="00033D0F">
        <w:rPr>
          <w:spacing w:val="-13"/>
        </w:rPr>
        <w:t xml:space="preserve"> </w:t>
      </w:r>
      <w:r w:rsidR="00033D0F">
        <w:t>sale</w:t>
      </w:r>
      <w:r w:rsidR="00033D0F">
        <w:rPr>
          <w:spacing w:val="-11"/>
        </w:rPr>
        <w:t xml:space="preserve"> </w:t>
      </w:r>
      <w:r w:rsidR="00033D0F">
        <w:t>and</w:t>
      </w:r>
      <w:r w:rsidR="00033D0F">
        <w:rPr>
          <w:spacing w:val="-13"/>
        </w:rPr>
        <w:t xml:space="preserve"> </w:t>
      </w:r>
      <w:r w:rsidR="00033D0F">
        <w:t>level of</w:t>
      </w:r>
      <w:r w:rsidR="00033D0F">
        <w:rPr>
          <w:spacing w:val="-14"/>
        </w:rPr>
        <w:t xml:space="preserve"> </w:t>
      </w:r>
      <w:r w:rsidR="00033D0F">
        <w:t>trade</w:t>
      </w:r>
      <w:r w:rsidR="00033D0F">
        <w:rPr>
          <w:spacing w:val="-14"/>
        </w:rPr>
        <w:t xml:space="preserve"> </w:t>
      </w:r>
      <w:r w:rsidR="00033D0F">
        <w:t>are</w:t>
      </w:r>
      <w:r w:rsidR="00033D0F">
        <w:rPr>
          <w:spacing w:val="-13"/>
        </w:rPr>
        <w:t xml:space="preserve"> </w:t>
      </w:r>
      <w:r w:rsidR="00033D0F">
        <w:t>separate</w:t>
      </w:r>
      <w:r w:rsidR="00033D0F">
        <w:rPr>
          <w:spacing w:val="-14"/>
        </w:rPr>
        <w:t xml:space="preserve"> </w:t>
      </w:r>
      <w:r w:rsidR="00033D0F">
        <w:t>and</w:t>
      </w:r>
      <w:r w:rsidR="00033D0F">
        <w:rPr>
          <w:spacing w:val="-13"/>
        </w:rPr>
        <w:t xml:space="preserve"> </w:t>
      </w:r>
      <w:r w:rsidR="00033D0F">
        <w:t>distinct</w:t>
      </w:r>
      <w:r w:rsidR="00033D0F">
        <w:rPr>
          <w:spacing w:val="-14"/>
        </w:rPr>
        <w:t xml:space="preserve"> </w:t>
      </w:r>
      <w:r w:rsidR="00033D0F">
        <w:t>concepts.</w:t>
      </w:r>
      <w:r w:rsidR="00033D0F">
        <w:rPr>
          <w:spacing w:val="-13"/>
        </w:rPr>
        <w:t xml:space="preserve"> </w:t>
      </w:r>
      <w:r w:rsidR="00033D0F">
        <w:t>Level</w:t>
      </w:r>
      <w:r w:rsidR="00033D0F">
        <w:rPr>
          <w:spacing w:val="-14"/>
        </w:rPr>
        <w:t xml:space="preserve"> </w:t>
      </w:r>
      <w:r w:rsidR="00033D0F">
        <w:t>of</w:t>
      </w:r>
      <w:r w:rsidR="00033D0F">
        <w:rPr>
          <w:spacing w:val="-14"/>
        </w:rPr>
        <w:t xml:space="preserve"> </w:t>
      </w:r>
      <w:r w:rsidR="00033D0F">
        <w:t>trade</w:t>
      </w:r>
      <w:r w:rsidR="00033D0F">
        <w:rPr>
          <w:spacing w:val="-13"/>
        </w:rPr>
        <w:t xml:space="preserve"> </w:t>
      </w:r>
      <w:r w:rsidR="00033D0F">
        <w:t>is</w:t>
      </w:r>
      <w:r w:rsidR="00033D0F">
        <w:rPr>
          <w:spacing w:val="-14"/>
        </w:rPr>
        <w:t xml:space="preserve"> </w:t>
      </w:r>
      <w:r w:rsidR="00033D0F">
        <w:t>concerned</w:t>
      </w:r>
      <w:r w:rsidR="00033D0F">
        <w:rPr>
          <w:spacing w:val="-13"/>
        </w:rPr>
        <w:t xml:space="preserve"> </w:t>
      </w:r>
      <w:r w:rsidR="00033D0F">
        <w:t>with</w:t>
      </w:r>
      <w:r w:rsidR="00033D0F">
        <w:rPr>
          <w:spacing w:val="-14"/>
        </w:rPr>
        <w:t xml:space="preserve"> </w:t>
      </w:r>
      <w:r w:rsidR="00033D0F">
        <w:t>the</w:t>
      </w:r>
      <w:r w:rsidR="00033D0F">
        <w:rPr>
          <w:spacing w:val="-13"/>
        </w:rPr>
        <w:t xml:space="preserve"> </w:t>
      </w:r>
      <w:r w:rsidR="00033D0F">
        <w:t>characteristics of the parties to a transaction, specifically their relative position in the supply chain from producer to end user. Conditions of sale is concerned with differences in the sale terms governing transactions between vendors and purchasers.</w:t>
      </w:r>
      <w:hyperlink w:anchor="_bookmark744" w:history="1">
        <w:r w:rsidR="00033D0F">
          <w:rPr>
            <w:vertAlign w:val="superscript"/>
          </w:rPr>
          <w:t>624</w:t>
        </w:r>
      </w:hyperlink>
      <w:r w:rsidR="00033D0F">
        <w:t xml:space="preserve"> The terms ex-factory, ex- warehouse and CIF relate to conditions of sale</w:t>
      </w:r>
      <w:hyperlink w:anchor="_bookmark745" w:history="1">
        <w:r w:rsidR="00033D0F">
          <w:rPr>
            <w:vertAlign w:val="superscript"/>
          </w:rPr>
          <w:t>625</w:t>
        </w:r>
      </w:hyperlink>
      <w:r w:rsidR="00033D0F">
        <w:t xml:space="preserve"> not to levels of trade. This is because they describe the terms on which a good is sold, not the relative positions of the parties to the transaction</w:t>
      </w:r>
      <w:r w:rsidR="00033D0F">
        <w:rPr>
          <w:spacing w:val="-8"/>
        </w:rPr>
        <w:t xml:space="preserve"> </w:t>
      </w:r>
      <w:r w:rsidR="00033D0F">
        <w:t>in</w:t>
      </w:r>
      <w:r w:rsidR="00033D0F">
        <w:rPr>
          <w:spacing w:val="-8"/>
        </w:rPr>
        <w:t xml:space="preserve"> </w:t>
      </w:r>
      <w:r w:rsidR="00033D0F">
        <w:t>the</w:t>
      </w:r>
      <w:r w:rsidR="00033D0F">
        <w:rPr>
          <w:spacing w:val="-2"/>
        </w:rPr>
        <w:t xml:space="preserve"> </w:t>
      </w:r>
      <w:r w:rsidR="00033D0F">
        <w:t>supply</w:t>
      </w:r>
      <w:r w:rsidR="00033D0F">
        <w:rPr>
          <w:spacing w:val="-5"/>
        </w:rPr>
        <w:t xml:space="preserve"> </w:t>
      </w:r>
      <w:r w:rsidR="00033D0F">
        <w:t>chain.</w:t>
      </w:r>
      <w:r w:rsidR="00033D0F">
        <w:rPr>
          <w:spacing w:val="-5"/>
        </w:rPr>
        <w:t xml:space="preserve"> </w:t>
      </w:r>
      <w:r w:rsidR="00033D0F">
        <w:t>This</w:t>
      </w:r>
      <w:r w:rsidR="00033D0F">
        <w:rPr>
          <w:spacing w:val="-5"/>
        </w:rPr>
        <w:t xml:space="preserve"> </w:t>
      </w:r>
      <w:r w:rsidR="00033D0F">
        <w:t>understanding</w:t>
      </w:r>
      <w:r w:rsidR="00033D0F">
        <w:rPr>
          <w:spacing w:val="-5"/>
        </w:rPr>
        <w:t xml:space="preserve"> </w:t>
      </w:r>
      <w:r w:rsidR="00033D0F">
        <w:t>is</w:t>
      </w:r>
      <w:r w:rsidR="00033D0F">
        <w:rPr>
          <w:spacing w:val="-5"/>
        </w:rPr>
        <w:t xml:space="preserve"> </w:t>
      </w:r>
      <w:r w:rsidR="00033D0F">
        <w:t>consistent</w:t>
      </w:r>
      <w:r w:rsidR="00033D0F">
        <w:rPr>
          <w:spacing w:val="-6"/>
        </w:rPr>
        <w:t xml:space="preserve"> </w:t>
      </w:r>
      <w:r w:rsidR="00033D0F">
        <w:t>with</w:t>
      </w:r>
      <w:r w:rsidR="00033D0F">
        <w:rPr>
          <w:spacing w:val="-8"/>
        </w:rPr>
        <w:t xml:space="preserve"> </w:t>
      </w:r>
      <w:r w:rsidR="00033D0F">
        <w:t>China's</w:t>
      </w:r>
      <w:r w:rsidR="00033D0F">
        <w:rPr>
          <w:spacing w:val="-5"/>
        </w:rPr>
        <w:t xml:space="preserve"> </w:t>
      </w:r>
      <w:proofErr w:type="spellStart"/>
      <w:r w:rsidR="00033D0F">
        <w:t>characterisation</w:t>
      </w:r>
      <w:proofErr w:type="spellEnd"/>
    </w:p>
    <w:p w14:paraId="7A45575D" w14:textId="77777777" w:rsidR="00BD462C" w:rsidRDefault="00BD462C">
      <w:pPr>
        <w:pStyle w:val="BodyText"/>
        <w:rPr>
          <w:sz w:val="20"/>
        </w:rPr>
      </w:pPr>
    </w:p>
    <w:p w14:paraId="5135879D" w14:textId="2564E91B" w:rsidR="00BD462C" w:rsidRDefault="00D70C7D">
      <w:pPr>
        <w:pStyle w:val="BodyText"/>
        <w:rPr>
          <w:sz w:val="16"/>
        </w:rPr>
      </w:pPr>
      <w:r>
        <w:rPr>
          <w:noProof/>
        </w:rPr>
        <mc:AlternateContent>
          <mc:Choice Requires="wps">
            <w:drawing>
              <wp:anchor distT="0" distB="0" distL="0" distR="0" simplePos="0" relativeHeight="487766528" behindDoc="1" locked="0" layoutInCell="1" allowOverlap="1" wp14:anchorId="47CB54F4" wp14:editId="276DB19D">
                <wp:simplePos x="0" y="0"/>
                <wp:positionH relativeFrom="page">
                  <wp:posOffset>899160</wp:posOffset>
                </wp:positionH>
                <wp:positionV relativeFrom="paragraph">
                  <wp:posOffset>139700</wp:posOffset>
                </wp:positionV>
                <wp:extent cx="1828800" cy="8890"/>
                <wp:effectExtent l="0" t="0" r="0" b="0"/>
                <wp:wrapTopAndBottom/>
                <wp:docPr id="644" name="docshape3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6EE604" id="docshape397" o:spid="_x0000_s1026" alt="&quot;&quot;" style="position:absolute;margin-left:70.8pt;margin-top:11pt;width:2in;height:.7pt;z-index:-15549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" fillcolor="black" stroked="f">
                <w10:wrap type="topAndBottom" anchorx="page"/>
              </v:rect>
            </w:pict>
          </mc:Fallback>
        </mc:AlternateContent>
      </w:r>
    </w:p>
    <w:p w14:paraId="0DA0838E" w14:textId="77777777" w:rsidR="00BD462C" w:rsidRDefault="00033D0F">
      <w:pPr>
        <w:spacing w:before="112" w:line="218" w:lineRule="exact"/>
        <w:ind w:left="135"/>
        <w:jc w:val="both"/>
        <w:rPr>
          <w:sz w:val="18"/>
        </w:rPr>
      </w:pPr>
      <w:bookmarkStart w:id="865" w:name="_bookmark740"/>
      <w:bookmarkEnd w:id="865"/>
      <w:r>
        <w:rPr>
          <w:position w:val="5"/>
          <w:sz w:val="12"/>
        </w:rPr>
        <w:t>620</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 xml:space="preserve">submission, para. </w:t>
      </w:r>
      <w:r>
        <w:rPr>
          <w:spacing w:val="-2"/>
          <w:sz w:val="18"/>
        </w:rPr>
        <w:t>1279.</w:t>
      </w:r>
    </w:p>
    <w:p w14:paraId="61E3992E" w14:textId="77777777" w:rsidR="00BD462C" w:rsidRDefault="00033D0F">
      <w:pPr>
        <w:ind w:left="135" w:right="910"/>
        <w:jc w:val="both"/>
        <w:rPr>
          <w:sz w:val="18"/>
        </w:rPr>
      </w:pPr>
      <w:bookmarkStart w:id="866" w:name="_bookmark741"/>
      <w:bookmarkEnd w:id="866"/>
      <w:r>
        <w:rPr>
          <w:position w:val="5"/>
          <w:sz w:val="12"/>
        </w:rPr>
        <w:t>621</w:t>
      </w:r>
      <w:r>
        <w:rPr>
          <w:spacing w:val="-7"/>
          <w:position w:val="5"/>
          <w:sz w:val="12"/>
        </w:rPr>
        <w:t xml:space="preserve"> </w:t>
      </w:r>
      <w:r>
        <w:rPr>
          <w:sz w:val="18"/>
        </w:rPr>
        <w:t>Appellate</w:t>
      </w:r>
      <w:r>
        <w:rPr>
          <w:spacing w:val="-10"/>
          <w:sz w:val="18"/>
        </w:rPr>
        <w:t xml:space="preserve"> </w:t>
      </w:r>
      <w:r>
        <w:rPr>
          <w:sz w:val="18"/>
        </w:rPr>
        <w:t>Body</w:t>
      </w:r>
      <w:r>
        <w:rPr>
          <w:spacing w:val="-11"/>
          <w:sz w:val="18"/>
        </w:rPr>
        <w:t xml:space="preserve"> </w:t>
      </w:r>
      <w:r>
        <w:rPr>
          <w:sz w:val="18"/>
        </w:rPr>
        <w:t>Reports,</w:t>
      </w:r>
      <w:r>
        <w:rPr>
          <w:spacing w:val="-10"/>
          <w:sz w:val="18"/>
        </w:rPr>
        <w:t xml:space="preserve"> </w:t>
      </w:r>
      <w:r>
        <w:rPr>
          <w:i/>
          <w:sz w:val="18"/>
        </w:rPr>
        <w:t>Korea</w:t>
      </w:r>
      <w:r>
        <w:rPr>
          <w:i/>
          <w:spacing w:val="-10"/>
          <w:sz w:val="18"/>
        </w:rPr>
        <w:t xml:space="preserve"> </w:t>
      </w:r>
      <w:r>
        <w:rPr>
          <w:i/>
          <w:sz w:val="18"/>
        </w:rPr>
        <w:t>–</w:t>
      </w:r>
      <w:r>
        <w:rPr>
          <w:i/>
          <w:spacing w:val="-10"/>
          <w:sz w:val="18"/>
        </w:rPr>
        <w:t xml:space="preserve"> </w:t>
      </w:r>
      <w:r>
        <w:rPr>
          <w:i/>
          <w:sz w:val="18"/>
        </w:rPr>
        <w:t>Pneumatic</w:t>
      </w:r>
      <w:r>
        <w:rPr>
          <w:i/>
          <w:spacing w:val="-10"/>
          <w:sz w:val="18"/>
        </w:rPr>
        <w:t xml:space="preserve"> </w:t>
      </w:r>
      <w:r>
        <w:rPr>
          <w:i/>
          <w:sz w:val="18"/>
        </w:rPr>
        <w:t>Valves</w:t>
      </w:r>
      <w:r>
        <w:rPr>
          <w:sz w:val="18"/>
        </w:rPr>
        <w:t>,</w:t>
      </w:r>
      <w:r>
        <w:rPr>
          <w:spacing w:val="-10"/>
          <w:sz w:val="18"/>
        </w:rPr>
        <w:t xml:space="preserve"> </w:t>
      </w:r>
      <w:r>
        <w:rPr>
          <w:sz w:val="18"/>
        </w:rPr>
        <w:t>para.</w:t>
      </w:r>
      <w:r>
        <w:rPr>
          <w:spacing w:val="-11"/>
          <w:sz w:val="18"/>
        </w:rPr>
        <w:t xml:space="preserve"> </w:t>
      </w:r>
      <w:r>
        <w:rPr>
          <w:sz w:val="18"/>
        </w:rPr>
        <w:t>5.323,</w:t>
      </w:r>
      <w:r>
        <w:rPr>
          <w:spacing w:val="-10"/>
          <w:sz w:val="18"/>
        </w:rPr>
        <w:t xml:space="preserve"> </w:t>
      </w:r>
      <w:r>
        <w:rPr>
          <w:sz w:val="18"/>
        </w:rPr>
        <w:t>C</w:t>
      </w:r>
      <w:r>
        <w:rPr>
          <w:i/>
          <w:sz w:val="18"/>
        </w:rPr>
        <w:t>hina</w:t>
      </w:r>
      <w:r>
        <w:rPr>
          <w:i/>
          <w:spacing w:val="-10"/>
          <w:sz w:val="18"/>
        </w:rPr>
        <w:t xml:space="preserve"> </w:t>
      </w:r>
      <w:r>
        <w:rPr>
          <w:i/>
          <w:sz w:val="18"/>
        </w:rPr>
        <w:t>–</w:t>
      </w:r>
      <w:r>
        <w:rPr>
          <w:i/>
          <w:spacing w:val="-10"/>
          <w:sz w:val="18"/>
        </w:rPr>
        <w:t xml:space="preserve"> </w:t>
      </w:r>
      <w:r>
        <w:rPr>
          <w:i/>
          <w:sz w:val="18"/>
        </w:rPr>
        <w:t>GOES</w:t>
      </w:r>
      <w:r>
        <w:rPr>
          <w:sz w:val="18"/>
        </w:rPr>
        <w:t>,</w:t>
      </w:r>
      <w:r>
        <w:rPr>
          <w:spacing w:val="-7"/>
          <w:sz w:val="18"/>
        </w:rPr>
        <w:t xml:space="preserve"> </w:t>
      </w:r>
      <w:r>
        <w:rPr>
          <w:sz w:val="18"/>
        </w:rPr>
        <w:t>para.</w:t>
      </w:r>
      <w:r>
        <w:rPr>
          <w:spacing w:val="-8"/>
          <w:sz w:val="18"/>
        </w:rPr>
        <w:t xml:space="preserve"> </w:t>
      </w:r>
      <w:r>
        <w:rPr>
          <w:sz w:val="18"/>
        </w:rPr>
        <w:t>200;</w:t>
      </w:r>
      <w:r>
        <w:rPr>
          <w:spacing w:val="-10"/>
          <w:sz w:val="18"/>
        </w:rPr>
        <w:t xml:space="preserve"> </w:t>
      </w:r>
      <w:r>
        <w:rPr>
          <w:sz w:val="18"/>
        </w:rPr>
        <w:t>Panel</w:t>
      </w:r>
      <w:r>
        <w:rPr>
          <w:spacing w:val="-11"/>
          <w:sz w:val="18"/>
        </w:rPr>
        <w:t xml:space="preserve"> </w:t>
      </w:r>
      <w:r>
        <w:rPr>
          <w:sz w:val="18"/>
        </w:rPr>
        <w:t>Reports,</w:t>
      </w:r>
      <w:r>
        <w:rPr>
          <w:spacing w:val="-6"/>
          <w:sz w:val="18"/>
        </w:rPr>
        <w:t xml:space="preserve"> </w:t>
      </w:r>
      <w:r>
        <w:rPr>
          <w:i/>
          <w:sz w:val="18"/>
        </w:rPr>
        <w:t>Korea</w:t>
      </w:r>
      <w:r>
        <w:rPr>
          <w:i/>
          <w:spacing w:val="-11"/>
          <w:sz w:val="18"/>
        </w:rPr>
        <w:t xml:space="preserve"> </w:t>
      </w:r>
      <w:r>
        <w:rPr>
          <w:i/>
          <w:sz w:val="18"/>
        </w:rPr>
        <w:t>–</w:t>
      </w:r>
      <w:r>
        <w:rPr>
          <w:i/>
          <w:spacing w:val="-10"/>
          <w:sz w:val="18"/>
        </w:rPr>
        <w:t xml:space="preserve"> </w:t>
      </w:r>
      <w:r>
        <w:rPr>
          <w:i/>
          <w:sz w:val="18"/>
        </w:rPr>
        <w:t>Pneumatic Valves</w:t>
      </w:r>
      <w:r>
        <w:rPr>
          <w:i/>
          <w:spacing w:val="-7"/>
          <w:sz w:val="18"/>
        </w:rPr>
        <w:t xml:space="preserve"> </w:t>
      </w:r>
      <w:r>
        <w:rPr>
          <w:i/>
          <w:sz w:val="18"/>
        </w:rPr>
        <w:t>(Japan)</w:t>
      </w:r>
      <w:r>
        <w:rPr>
          <w:sz w:val="18"/>
        </w:rPr>
        <w:t>,</w:t>
      </w:r>
      <w:r>
        <w:rPr>
          <w:spacing w:val="-5"/>
          <w:sz w:val="18"/>
        </w:rPr>
        <w:t xml:space="preserve"> </w:t>
      </w:r>
      <w:r>
        <w:rPr>
          <w:sz w:val="18"/>
        </w:rPr>
        <w:t>para.</w:t>
      </w:r>
      <w:r>
        <w:rPr>
          <w:spacing w:val="-6"/>
          <w:sz w:val="18"/>
        </w:rPr>
        <w:t xml:space="preserve"> </w:t>
      </w:r>
      <w:r>
        <w:rPr>
          <w:sz w:val="18"/>
        </w:rPr>
        <w:t>7.266;</w:t>
      </w:r>
      <w:r>
        <w:rPr>
          <w:spacing w:val="-8"/>
          <w:sz w:val="18"/>
        </w:rPr>
        <w:t xml:space="preserve"> </w:t>
      </w:r>
      <w:r>
        <w:rPr>
          <w:i/>
          <w:sz w:val="18"/>
        </w:rPr>
        <w:t>China</w:t>
      </w:r>
      <w:r>
        <w:rPr>
          <w:i/>
          <w:spacing w:val="-5"/>
          <w:sz w:val="18"/>
        </w:rPr>
        <w:t xml:space="preserve"> </w:t>
      </w:r>
      <w:r>
        <w:rPr>
          <w:i/>
          <w:sz w:val="18"/>
        </w:rPr>
        <w:t>–</w:t>
      </w:r>
      <w:r>
        <w:rPr>
          <w:i/>
          <w:spacing w:val="-7"/>
          <w:sz w:val="18"/>
        </w:rPr>
        <w:t xml:space="preserve"> </w:t>
      </w:r>
      <w:r>
        <w:rPr>
          <w:i/>
          <w:sz w:val="18"/>
        </w:rPr>
        <w:t>X-Ray</w:t>
      </w:r>
      <w:r>
        <w:rPr>
          <w:i/>
          <w:spacing w:val="-8"/>
          <w:sz w:val="18"/>
        </w:rPr>
        <w:t xml:space="preserve"> </w:t>
      </w:r>
      <w:r>
        <w:rPr>
          <w:i/>
          <w:sz w:val="18"/>
        </w:rPr>
        <w:t>Equipment</w:t>
      </w:r>
      <w:r>
        <w:rPr>
          <w:sz w:val="18"/>
        </w:rPr>
        <w:t>,</w:t>
      </w:r>
      <w:r>
        <w:rPr>
          <w:spacing w:val="-5"/>
          <w:sz w:val="18"/>
        </w:rPr>
        <w:t xml:space="preserve"> </w:t>
      </w:r>
      <w:r>
        <w:rPr>
          <w:sz w:val="18"/>
        </w:rPr>
        <w:t>para.</w:t>
      </w:r>
      <w:r>
        <w:rPr>
          <w:spacing w:val="-6"/>
          <w:sz w:val="18"/>
        </w:rPr>
        <w:t xml:space="preserve"> </w:t>
      </w:r>
      <w:r>
        <w:rPr>
          <w:sz w:val="18"/>
        </w:rPr>
        <w:t>7.68;</w:t>
      </w:r>
      <w:r>
        <w:rPr>
          <w:spacing w:val="-9"/>
          <w:sz w:val="18"/>
        </w:rPr>
        <w:t xml:space="preserve"> </w:t>
      </w:r>
      <w:r>
        <w:rPr>
          <w:i/>
          <w:sz w:val="18"/>
        </w:rPr>
        <w:t>Pakistan</w:t>
      </w:r>
      <w:r>
        <w:rPr>
          <w:i/>
          <w:spacing w:val="-5"/>
          <w:sz w:val="18"/>
        </w:rPr>
        <w:t xml:space="preserve"> </w:t>
      </w:r>
      <w:r>
        <w:rPr>
          <w:i/>
          <w:sz w:val="18"/>
        </w:rPr>
        <w:t>–</w:t>
      </w:r>
      <w:r>
        <w:rPr>
          <w:i/>
          <w:spacing w:val="-7"/>
          <w:sz w:val="18"/>
        </w:rPr>
        <w:t xml:space="preserve"> </w:t>
      </w:r>
      <w:r>
        <w:rPr>
          <w:i/>
          <w:sz w:val="18"/>
        </w:rPr>
        <w:t>BOPP</w:t>
      </w:r>
      <w:r>
        <w:rPr>
          <w:i/>
          <w:spacing w:val="-1"/>
          <w:sz w:val="18"/>
        </w:rPr>
        <w:t xml:space="preserve"> </w:t>
      </w:r>
      <w:r>
        <w:rPr>
          <w:i/>
          <w:sz w:val="18"/>
        </w:rPr>
        <w:t>Film</w:t>
      </w:r>
      <w:r>
        <w:rPr>
          <w:i/>
          <w:spacing w:val="-8"/>
          <w:sz w:val="18"/>
        </w:rPr>
        <w:t xml:space="preserve"> </w:t>
      </w:r>
      <w:r>
        <w:rPr>
          <w:i/>
          <w:sz w:val="18"/>
        </w:rPr>
        <w:t>(UAE)</w:t>
      </w:r>
      <w:r>
        <w:rPr>
          <w:sz w:val="18"/>
        </w:rPr>
        <w:t>,</w:t>
      </w:r>
      <w:r>
        <w:rPr>
          <w:spacing w:val="-5"/>
          <w:sz w:val="18"/>
        </w:rPr>
        <w:t xml:space="preserve"> </w:t>
      </w:r>
      <w:r>
        <w:rPr>
          <w:sz w:val="18"/>
        </w:rPr>
        <w:t>para.</w:t>
      </w:r>
      <w:r>
        <w:rPr>
          <w:spacing w:val="-1"/>
          <w:sz w:val="18"/>
        </w:rPr>
        <w:t xml:space="preserve"> </w:t>
      </w:r>
      <w:r>
        <w:rPr>
          <w:sz w:val="18"/>
        </w:rPr>
        <w:t>7.309;</w:t>
      </w:r>
      <w:r>
        <w:rPr>
          <w:spacing w:val="-4"/>
          <w:sz w:val="18"/>
        </w:rPr>
        <w:t xml:space="preserve"> </w:t>
      </w:r>
      <w:r>
        <w:rPr>
          <w:i/>
          <w:sz w:val="18"/>
        </w:rPr>
        <w:t>China</w:t>
      </w:r>
      <w:r>
        <w:rPr>
          <w:i/>
          <w:spacing w:val="-5"/>
          <w:sz w:val="18"/>
        </w:rPr>
        <w:t xml:space="preserve"> </w:t>
      </w:r>
      <w:r>
        <w:rPr>
          <w:i/>
          <w:sz w:val="18"/>
        </w:rPr>
        <w:t>-</w:t>
      </w:r>
      <w:r>
        <w:rPr>
          <w:i/>
          <w:spacing w:val="-6"/>
          <w:sz w:val="18"/>
        </w:rPr>
        <w:t xml:space="preserve"> </w:t>
      </w:r>
      <w:r>
        <w:rPr>
          <w:i/>
          <w:sz w:val="18"/>
        </w:rPr>
        <w:t>Autos</w:t>
      </w:r>
      <w:r>
        <w:rPr>
          <w:i/>
          <w:spacing w:val="-7"/>
          <w:sz w:val="18"/>
        </w:rPr>
        <w:t xml:space="preserve"> </w:t>
      </w:r>
      <w:r>
        <w:rPr>
          <w:i/>
          <w:sz w:val="18"/>
        </w:rPr>
        <w:t xml:space="preserve">(US), </w:t>
      </w:r>
      <w:r>
        <w:rPr>
          <w:sz w:val="18"/>
        </w:rPr>
        <w:t>para. 7.277.</w:t>
      </w:r>
    </w:p>
    <w:p w14:paraId="73785532" w14:textId="77777777" w:rsidR="00BD462C" w:rsidRDefault="00033D0F">
      <w:pPr>
        <w:spacing w:before="1"/>
        <w:ind w:left="135"/>
        <w:jc w:val="both"/>
        <w:rPr>
          <w:sz w:val="18"/>
        </w:rPr>
      </w:pPr>
      <w:bookmarkStart w:id="867" w:name="_bookmark742"/>
      <w:bookmarkEnd w:id="867"/>
      <w:r>
        <w:rPr>
          <w:position w:val="5"/>
          <w:sz w:val="12"/>
        </w:rPr>
        <w:t>622</w:t>
      </w:r>
      <w:r>
        <w:rPr>
          <w:spacing w:val="12"/>
          <w:position w:val="5"/>
          <w:sz w:val="12"/>
        </w:rPr>
        <w:t xml:space="preserve"> </w:t>
      </w:r>
      <w:r>
        <w:rPr>
          <w:sz w:val="18"/>
        </w:rPr>
        <w:t>Australia's</w:t>
      </w:r>
      <w:r>
        <w:rPr>
          <w:spacing w:val="-6"/>
          <w:sz w:val="18"/>
        </w:rPr>
        <w:t xml:space="preserve"> </w:t>
      </w:r>
      <w:r>
        <w:rPr>
          <w:sz w:val="18"/>
        </w:rPr>
        <w:t>first</w:t>
      </w:r>
      <w:r>
        <w:rPr>
          <w:spacing w:val="-6"/>
          <w:sz w:val="18"/>
        </w:rPr>
        <w:t xml:space="preserve"> </w:t>
      </w:r>
      <w:r>
        <w:rPr>
          <w:sz w:val="18"/>
        </w:rPr>
        <w:t>written</w:t>
      </w:r>
      <w:r>
        <w:rPr>
          <w:spacing w:val="-2"/>
          <w:sz w:val="18"/>
        </w:rPr>
        <w:t xml:space="preserve"> </w:t>
      </w:r>
      <w:r>
        <w:rPr>
          <w:sz w:val="18"/>
        </w:rPr>
        <w:t>submission, para.</w:t>
      </w:r>
      <w:r>
        <w:rPr>
          <w:spacing w:val="-5"/>
          <w:sz w:val="18"/>
        </w:rPr>
        <w:t xml:space="preserve"> </w:t>
      </w:r>
      <w:r>
        <w:rPr>
          <w:spacing w:val="-4"/>
          <w:sz w:val="18"/>
        </w:rPr>
        <w:t>591.</w:t>
      </w:r>
    </w:p>
    <w:p w14:paraId="6A69570C" w14:textId="77777777" w:rsidR="00BD462C" w:rsidRDefault="00033D0F">
      <w:pPr>
        <w:spacing w:before="1"/>
        <w:ind w:left="136" w:right="910" w:hanging="1"/>
        <w:jc w:val="both"/>
        <w:rPr>
          <w:sz w:val="18"/>
        </w:rPr>
      </w:pPr>
      <w:bookmarkStart w:id="868" w:name="_bookmark743"/>
      <w:bookmarkEnd w:id="868"/>
      <w:r>
        <w:rPr>
          <w:position w:val="5"/>
          <w:sz w:val="12"/>
        </w:rPr>
        <w:t>623</w:t>
      </w:r>
      <w:r>
        <w:rPr>
          <w:spacing w:val="16"/>
          <w:position w:val="5"/>
          <w:sz w:val="12"/>
        </w:rPr>
        <w:t xml:space="preserve"> </w:t>
      </w:r>
      <w:r>
        <w:rPr>
          <w:sz w:val="18"/>
        </w:rPr>
        <w:t>China's</w:t>
      </w:r>
      <w:r>
        <w:rPr>
          <w:spacing w:val="-8"/>
          <w:sz w:val="18"/>
        </w:rPr>
        <w:t xml:space="preserve"> </w:t>
      </w:r>
      <w:r>
        <w:rPr>
          <w:sz w:val="18"/>
        </w:rPr>
        <w:t>first</w:t>
      </w:r>
      <w:r>
        <w:rPr>
          <w:spacing w:val="-2"/>
          <w:sz w:val="18"/>
        </w:rPr>
        <w:t xml:space="preserve"> </w:t>
      </w:r>
      <w:r>
        <w:rPr>
          <w:sz w:val="18"/>
        </w:rPr>
        <w:t>written</w:t>
      </w:r>
      <w:r>
        <w:rPr>
          <w:spacing w:val="-4"/>
          <w:sz w:val="18"/>
        </w:rPr>
        <w:t xml:space="preserve"> </w:t>
      </w:r>
      <w:r>
        <w:rPr>
          <w:sz w:val="18"/>
        </w:rPr>
        <w:t>submission,</w:t>
      </w:r>
      <w:r>
        <w:rPr>
          <w:spacing w:val="-1"/>
          <w:sz w:val="18"/>
        </w:rPr>
        <w:t xml:space="preserve"> </w:t>
      </w:r>
      <w:r>
        <w:rPr>
          <w:sz w:val="18"/>
        </w:rPr>
        <w:t>paras.</w:t>
      </w:r>
      <w:r>
        <w:rPr>
          <w:spacing w:val="-2"/>
          <w:sz w:val="18"/>
        </w:rPr>
        <w:t xml:space="preserve"> </w:t>
      </w:r>
      <w:r>
        <w:rPr>
          <w:sz w:val="18"/>
        </w:rPr>
        <w:t>1288</w:t>
      </w:r>
      <w:r>
        <w:rPr>
          <w:spacing w:val="-5"/>
          <w:sz w:val="18"/>
        </w:rPr>
        <w:t xml:space="preserve"> </w:t>
      </w:r>
      <w:r>
        <w:rPr>
          <w:sz w:val="18"/>
        </w:rPr>
        <w:t>–</w:t>
      </w:r>
      <w:r>
        <w:rPr>
          <w:spacing w:val="-3"/>
          <w:sz w:val="18"/>
        </w:rPr>
        <w:t xml:space="preserve"> </w:t>
      </w:r>
      <w:r>
        <w:rPr>
          <w:sz w:val="18"/>
        </w:rPr>
        <w:t>1290.</w:t>
      </w:r>
      <w:r>
        <w:rPr>
          <w:spacing w:val="-2"/>
          <w:sz w:val="18"/>
        </w:rPr>
        <w:t xml:space="preserve"> </w:t>
      </w:r>
      <w:r>
        <w:rPr>
          <w:sz w:val="18"/>
        </w:rPr>
        <w:t>In relation</w:t>
      </w:r>
      <w:r>
        <w:rPr>
          <w:spacing w:val="-4"/>
          <w:sz w:val="18"/>
        </w:rPr>
        <w:t xml:space="preserve"> </w:t>
      </w:r>
      <w:r>
        <w:rPr>
          <w:sz w:val="18"/>
        </w:rPr>
        <w:t>to</w:t>
      </w:r>
      <w:r>
        <w:rPr>
          <w:spacing w:val="-9"/>
          <w:sz w:val="18"/>
        </w:rPr>
        <w:t xml:space="preserve"> </w:t>
      </w:r>
      <w:r>
        <w:rPr>
          <w:sz w:val="18"/>
        </w:rPr>
        <w:t>the</w:t>
      </w:r>
      <w:r>
        <w:rPr>
          <w:spacing w:val="-3"/>
          <w:sz w:val="18"/>
        </w:rPr>
        <w:t xml:space="preserve"> </w:t>
      </w:r>
      <w:r>
        <w:rPr>
          <w:sz w:val="18"/>
        </w:rPr>
        <w:t>matters</w:t>
      </w:r>
      <w:r>
        <w:rPr>
          <w:spacing w:val="-3"/>
          <w:sz w:val="18"/>
        </w:rPr>
        <w:t xml:space="preserve"> </w:t>
      </w:r>
      <w:r>
        <w:rPr>
          <w:sz w:val="18"/>
        </w:rPr>
        <w:t>raised</w:t>
      </w:r>
      <w:r>
        <w:rPr>
          <w:spacing w:val="-8"/>
          <w:sz w:val="18"/>
        </w:rPr>
        <w:t xml:space="preserve"> </w:t>
      </w:r>
      <w:r>
        <w:rPr>
          <w:sz w:val="18"/>
        </w:rPr>
        <w:t>by</w:t>
      </w:r>
      <w:r>
        <w:rPr>
          <w:spacing w:val="-5"/>
          <w:sz w:val="18"/>
        </w:rPr>
        <w:t xml:space="preserve"> </w:t>
      </w:r>
      <w:r>
        <w:rPr>
          <w:sz w:val="18"/>
        </w:rPr>
        <w:t>China</w:t>
      </w:r>
      <w:r>
        <w:rPr>
          <w:spacing w:val="-5"/>
          <w:sz w:val="18"/>
        </w:rPr>
        <w:t xml:space="preserve"> </w:t>
      </w:r>
      <w:r>
        <w:rPr>
          <w:sz w:val="18"/>
        </w:rPr>
        <w:t>at</w:t>
      </w:r>
      <w:r>
        <w:rPr>
          <w:spacing w:val="-2"/>
          <w:sz w:val="18"/>
        </w:rPr>
        <w:t xml:space="preserve"> </w:t>
      </w:r>
      <w:r>
        <w:rPr>
          <w:sz w:val="18"/>
        </w:rPr>
        <w:t>paragraphs 1286</w:t>
      </w:r>
      <w:r>
        <w:rPr>
          <w:spacing w:val="-9"/>
          <w:sz w:val="18"/>
        </w:rPr>
        <w:t xml:space="preserve"> </w:t>
      </w:r>
      <w:r>
        <w:rPr>
          <w:sz w:val="18"/>
        </w:rPr>
        <w:t>–</w:t>
      </w:r>
      <w:r>
        <w:rPr>
          <w:spacing w:val="-3"/>
          <w:sz w:val="18"/>
        </w:rPr>
        <w:t xml:space="preserve"> </w:t>
      </w:r>
      <w:r>
        <w:rPr>
          <w:sz w:val="18"/>
        </w:rPr>
        <w:t>1287, Australia notes that it has clarified the adjustments that were required to account for conditions of sale. These are: (i) stevedoring and logistics associated with unloading the goods from the vessel of entry; (ii) transportation costs associated with moving the goods from the dock to warehousing facilities; and (iii) warehousing and storage costs (see Australia's response to Panel question No. 30, para. 76.</w:t>
      </w:r>
    </w:p>
    <w:p w14:paraId="663D592C" w14:textId="77777777" w:rsidR="00BD462C" w:rsidRDefault="00033D0F">
      <w:pPr>
        <w:spacing w:line="242" w:lineRule="auto"/>
        <w:ind w:left="136" w:right="910" w:hanging="1"/>
        <w:jc w:val="both"/>
        <w:rPr>
          <w:sz w:val="18"/>
        </w:rPr>
      </w:pPr>
      <w:bookmarkStart w:id="869" w:name="_bookmark744"/>
      <w:bookmarkEnd w:id="869"/>
      <w:r>
        <w:rPr>
          <w:position w:val="5"/>
          <w:sz w:val="12"/>
        </w:rPr>
        <w:t>624</w:t>
      </w:r>
      <w:r>
        <w:rPr>
          <w:spacing w:val="35"/>
          <w:position w:val="5"/>
          <w:sz w:val="12"/>
        </w:rPr>
        <w:t xml:space="preserve"> </w:t>
      </w:r>
      <w:r>
        <w:rPr>
          <w:sz w:val="18"/>
        </w:rPr>
        <w:t>For example, goods may be sold to customers at different levels of trade (</w:t>
      </w:r>
      <w:proofErr w:type="gramStart"/>
      <w:r>
        <w:rPr>
          <w:sz w:val="18"/>
        </w:rPr>
        <w:t>i.e.</w:t>
      </w:r>
      <w:proofErr w:type="gramEnd"/>
      <w:r>
        <w:rPr>
          <w:sz w:val="18"/>
        </w:rPr>
        <w:t xml:space="preserve"> distributors and retailers) on the same conditions</w:t>
      </w:r>
      <w:r>
        <w:rPr>
          <w:spacing w:val="-8"/>
          <w:sz w:val="18"/>
        </w:rPr>
        <w:t xml:space="preserve"> </w:t>
      </w:r>
      <w:r>
        <w:rPr>
          <w:sz w:val="18"/>
        </w:rPr>
        <w:t>of</w:t>
      </w:r>
      <w:r>
        <w:rPr>
          <w:spacing w:val="-7"/>
          <w:sz w:val="18"/>
        </w:rPr>
        <w:t xml:space="preserve"> </w:t>
      </w:r>
      <w:r>
        <w:rPr>
          <w:sz w:val="18"/>
        </w:rPr>
        <w:t>sale</w:t>
      </w:r>
      <w:r>
        <w:rPr>
          <w:spacing w:val="-8"/>
          <w:sz w:val="18"/>
        </w:rPr>
        <w:t xml:space="preserve"> </w:t>
      </w:r>
      <w:r>
        <w:rPr>
          <w:sz w:val="18"/>
        </w:rPr>
        <w:t>(i.e.</w:t>
      </w:r>
      <w:r>
        <w:rPr>
          <w:spacing w:val="-2"/>
          <w:sz w:val="18"/>
        </w:rPr>
        <w:t xml:space="preserve"> </w:t>
      </w:r>
      <w:r>
        <w:rPr>
          <w:sz w:val="18"/>
        </w:rPr>
        <w:t>CIF).</w:t>
      </w:r>
      <w:r>
        <w:rPr>
          <w:spacing w:val="-7"/>
          <w:sz w:val="18"/>
        </w:rPr>
        <w:t xml:space="preserve"> </w:t>
      </w:r>
      <w:r>
        <w:rPr>
          <w:sz w:val="18"/>
        </w:rPr>
        <w:t>Similarly,</w:t>
      </w:r>
      <w:r>
        <w:rPr>
          <w:spacing w:val="-6"/>
          <w:sz w:val="18"/>
        </w:rPr>
        <w:t xml:space="preserve"> </w:t>
      </w:r>
      <w:r>
        <w:rPr>
          <w:sz w:val="18"/>
        </w:rPr>
        <w:t>goods</w:t>
      </w:r>
      <w:r>
        <w:rPr>
          <w:spacing w:val="-3"/>
          <w:sz w:val="18"/>
        </w:rPr>
        <w:t xml:space="preserve"> </w:t>
      </w:r>
      <w:r>
        <w:rPr>
          <w:sz w:val="18"/>
        </w:rPr>
        <w:t>may</w:t>
      </w:r>
      <w:r>
        <w:rPr>
          <w:spacing w:val="-10"/>
          <w:sz w:val="18"/>
        </w:rPr>
        <w:t xml:space="preserve"> </w:t>
      </w:r>
      <w:r>
        <w:rPr>
          <w:sz w:val="18"/>
        </w:rPr>
        <w:t>be</w:t>
      </w:r>
      <w:r>
        <w:rPr>
          <w:spacing w:val="-8"/>
          <w:sz w:val="18"/>
        </w:rPr>
        <w:t xml:space="preserve"> </w:t>
      </w:r>
      <w:r>
        <w:rPr>
          <w:sz w:val="18"/>
        </w:rPr>
        <w:t>sold</w:t>
      </w:r>
      <w:r>
        <w:rPr>
          <w:spacing w:val="-8"/>
          <w:sz w:val="18"/>
        </w:rPr>
        <w:t xml:space="preserve"> </w:t>
      </w:r>
      <w:r>
        <w:rPr>
          <w:sz w:val="18"/>
        </w:rPr>
        <w:t>to</w:t>
      </w:r>
      <w:r>
        <w:rPr>
          <w:spacing w:val="-4"/>
          <w:sz w:val="18"/>
        </w:rPr>
        <w:t xml:space="preserve"> </w:t>
      </w:r>
      <w:r>
        <w:rPr>
          <w:sz w:val="18"/>
        </w:rPr>
        <w:t>customers</w:t>
      </w:r>
      <w:r>
        <w:rPr>
          <w:spacing w:val="-3"/>
          <w:sz w:val="18"/>
        </w:rPr>
        <w:t xml:space="preserve"> </w:t>
      </w:r>
      <w:r>
        <w:rPr>
          <w:sz w:val="18"/>
        </w:rPr>
        <w:t>at</w:t>
      </w:r>
      <w:r>
        <w:rPr>
          <w:spacing w:val="-7"/>
          <w:sz w:val="18"/>
        </w:rPr>
        <w:t xml:space="preserve"> </w:t>
      </w:r>
      <w:r>
        <w:rPr>
          <w:sz w:val="18"/>
        </w:rPr>
        <w:t>the</w:t>
      </w:r>
      <w:r>
        <w:rPr>
          <w:spacing w:val="-3"/>
          <w:sz w:val="18"/>
        </w:rPr>
        <w:t xml:space="preserve"> </w:t>
      </w:r>
      <w:r>
        <w:rPr>
          <w:sz w:val="18"/>
        </w:rPr>
        <w:t>same</w:t>
      </w:r>
      <w:r>
        <w:rPr>
          <w:spacing w:val="-3"/>
          <w:sz w:val="18"/>
        </w:rPr>
        <w:t xml:space="preserve"> </w:t>
      </w:r>
      <w:r>
        <w:rPr>
          <w:sz w:val="18"/>
        </w:rPr>
        <w:t>level</w:t>
      </w:r>
      <w:r>
        <w:rPr>
          <w:spacing w:val="-2"/>
          <w:sz w:val="18"/>
        </w:rPr>
        <w:t xml:space="preserve"> </w:t>
      </w:r>
      <w:r>
        <w:rPr>
          <w:sz w:val="18"/>
        </w:rPr>
        <w:t>of</w:t>
      </w:r>
      <w:r>
        <w:rPr>
          <w:spacing w:val="-7"/>
          <w:sz w:val="18"/>
        </w:rPr>
        <w:t xml:space="preserve"> </w:t>
      </w:r>
      <w:r>
        <w:rPr>
          <w:sz w:val="18"/>
        </w:rPr>
        <w:t>trade</w:t>
      </w:r>
      <w:r>
        <w:rPr>
          <w:spacing w:val="-8"/>
          <w:sz w:val="18"/>
        </w:rPr>
        <w:t xml:space="preserve"> </w:t>
      </w:r>
      <w:r>
        <w:rPr>
          <w:sz w:val="18"/>
        </w:rPr>
        <w:t>(</w:t>
      </w:r>
      <w:proofErr w:type="gramStart"/>
      <w:r>
        <w:rPr>
          <w:sz w:val="18"/>
        </w:rPr>
        <w:t>i.e.</w:t>
      </w:r>
      <w:proofErr w:type="gramEnd"/>
      <w:r>
        <w:rPr>
          <w:spacing w:val="-7"/>
          <w:sz w:val="18"/>
        </w:rPr>
        <w:t xml:space="preserve"> </w:t>
      </w:r>
      <w:r>
        <w:rPr>
          <w:sz w:val="18"/>
        </w:rPr>
        <w:t>distributors)</w:t>
      </w:r>
      <w:r>
        <w:rPr>
          <w:spacing w:val="-6"/>
          <w:sz w:val="18"/>
        </w:rPr>
        <w:t xml:space="preserve"> </w:t>
      </w:r>
      <w:r>
        <w:rPr>
          <w:sz w:val="18"/>
        </w:rPr>
        <w:t>on</w:t>
      </w:r>
      <w:r>
        <w:rPr>
          <w:spacing w:val="-9"/>
          <w:sz w:val="18"/>
        </w:rPr>
        <w:t xml:space="preserve"> </w:t>
      </w:r>
      <w:r>
        <w:rPr>
          <w:sz w:val="18"/>
        </w:rPr>
        <w:t>different conditions of sale (i.e. CIF, FOB or ex-factory). The table at paragraph 1311 of China's first written submission is consistent with this understanding.</w:t>
      </w:r>
    </w:p>
    <w:p w14:paraId="5A92E9D0" w14:textId="77777777" w:rsidR="00BD462C" w:rsidRDefault="00033D0F">
      <w:pPr>
        <w:spacing w:line="215" w:lineRule="exact"/>
        <w:ind w:left="135"/>
        <w:jc w:val="both"/>
        <w:rPr>
          <w:sz w:val="18"/>
        </w:rPr>
      </w:pPr>
      <w:bookmarkStart w:id="870" w:name="_bookmark745"/>
      <w:bookmarkEnd w:id="870"/>
      <w:r>
        <w:rPr>
          <w:position w:val="5"/>
          <w:sz w:val="12"/>
        </w:rPr>
        <w:t>625</w:t>
      </w:r>
      <w:r>
        <w:rPr>
          <w:spacing w:val="-1"/>
          <w:position w:val="5"/>
          <w:sz w:val="12"/>
        </w:rPr>
        <w:t xml:space="preserve"> </w:t>
      </w:r>
      <w:r>
        <w:rPr>
          <w:sz w:val="18"/>
        </w:rPr>
        <w:t>Cf.</w:t>
      </w:r>
      <w:r>
        <w:rPr>
          <w:spacing w:val="-6"/>
          <w:sz w:val="18"/>
        </w:rPr>
        <w:t xml:space="preserve"> </w:t>
      </w:r>
      <w:r>
        <w:rPr>
          <w:sz w:val="18"/>
        </w:rPr>
        <w:t>China's</w:t>
      </w:r>
      <w:r>
        <w:rPr>
          <w:spacing w:val="-10"/>
          <w:sz w:val="18"/>
        </w:rPr>
        <w:t xml:space="preserve"> </w:t>
      </w:r>
      <w:r>
        <w:rPr>
          <w:sz w:val="18"/>
        </w:rPr>
        <w:t>first</w:t>
      </w:r>
      <w:r>
        <w:rPr>
          <w:spacing w:val="-5"/>
          <w:sz w:val="18"/>
        </w:rPr>
        <w:t xml:space="preserve"> </w:t>
      </w:r>
      <w:r>
        <w:rPr>
          <w:sz w:val="18"/>
        </w:rPr>
        <w:t>written</w:t>
      </w:r>
      <w:r>
        <w:rPr>
          <w:spacing w:val="-11"/>
          <w:sz w:val="18"/>
        </w:rPr>
        <w:t xml:space="preserve"> </w:t>
      </w:r>
      <w:r>
        <w:rPr>
          <w:sz w:val="18"/>
        </w:rPr>
        <w:t>submission,</w:t>
      </w:r>
      <w:r>
        <w:rPr>
          <w:spacing w:val="-9"/>
          <w:sz w:val="18"/>
        </w:rPr>
        <w:t xml:space="preserve"> </w:t>
      </w:r>
      <w:r>
        <w:rPr>
          <w:sz w:val="18"/>
        </w:rPr>
        <w:t>para.</w:t>
      </w:r>
      <w:r>
        <w:rPr>
          <w:spacing w:val="-5"/>
          <w:sz w:val="18"/>
        </w:rPr>
        <w:t xml:space="preserve"> </w:t>
      </w:r>
      <w:r>
        <w:rPr>
          <w:sz w:val="18"/>
        </w:rPr>
        <w:t>1289.</w:t>
      </w:r>
      <w:r>
        <w:rPr>
          <w:spacing w:val="-6"/>
          <w:sz w:val="18"/>
        </w:rPr>
        <w:t xml:space="preserve"> </w:t>
      </w:r>
      <w:r>
        <w:rPr>
          <w:sz w:val="18"/>
        </w:rPr>
        <w:t>See</w:t>
      </w:r>
      <w:r>
        <w:rPr>
          <w:spacing w:val="-10"/>
          <w:sz w:val="18"/>
        </w:rPr>
        <w:t xml:space="preserve"> </w:t>
      </w:r>
      <w:r>
        <w:rPr>
          <w:sz w:val="18"/>
        </w:rPr>
        <w:t>International</w:t>
      </w:r>
      <w:r>
        <w:rPr>
          <w:spacing w:val="-10"/>
          <w:sz w:val="18"/>
        </w:rPr>
        <w:t xml:space="preserve"> </w:t>
      </w:r>
      <w:r>
        <w:rPr>
          <w:sz w:val="18"/>
        </w:rPr>
        <w:t>Chamber</w:t>
      </w:r>
      <w:r>
        <w:rPr>
          <w:spacing w:val="-10"/>
          <w:sz w:val="18"/>
        </w:rPr>
        <w:t xml:space="preserve"> </w:t>
      </w:r>
      <w:r>
        <w:rPr>
          <w:sz w:val="18"/>
        </w:rPr>
        <w:t>of</w:t>
      </w:r>
      <w:r>
        <w:rPr>
          <w:spacing w:val="-10"/>
          <w:sz w:val="18"/>
        </w:rPr>
        <w:t xml:space="preserve"> </w:t>
      </w:r>
      <w:r>
        <w:rPr>
          <w:sz w:val="18"/>
        </w:rPr>
        <w:t>Commerce</w:t>
      </w:r>
      <w:r>
        <w:rPr>
          <w:spacing w:val="-11"/>
          <w:sz w:val="18"/>
        </w:rPr>
        <w:t xml:space="preserve"> </w:t>
      </w:r>
      <w:r>
        <w:rPr>
          <w:sz w:val="18"/>
        </w:rPr>
        <w:t>Incoterms</w:t>
      </w:r>
      <w:r>
        <w:rPr>
          <w:spacing w:val="-6"/>
          <w:sz w:val="18"/>
        </w:rPr>
        <w:t xml:space="preserve"> </w:t>
      </w:r>
      <w:r>
        <w:rPr>
          <w:sz w:val="18"/>
        </w:rPr>
        <w:t>2010</w:t>
      </w:r>
      <w:r>
        <w:rPr>
          <w:spacing w:val="-14"/>
          <w:sz w:val="18"/>
        </w:rPr>
        <w:t xml:space="preserve"> </w:t>
      </w:r>
      <w:r>
        <w:rPr>
          <w:sz w:val="18"/>
        </w:rPr>
        <w:t>(Exhibit</w:t>
      </w:r>
      <w:r>
        <w:rPr>
          <w:spacing w:val="-10"/>
          <w:sz w:val="18"/>
        </w:rPr>
        <w:t xml:space="preserve"> </w:t>
      </w:r>
      <w:r>
        <w:rPr>
          <w:sz w:val="18"/>
        </w:rPr>
        <w:t>AUS-</w:t>
      </w:r>
      <w:r>
        <w:rPr>
          <w:spacing w:val="-4"/>
          <w:sz w:val="18"/>
        </w:rPr>
        <w:t>83).</w:t>
      </w:r>
    </w:p>
    <w:p w14:paraId="5120C1EE" w14:textId="77777777" w:rsidR="00BD462C" w:rsidRDefault="00BD462C">
      <w:pPr>
        <w:spacing w:line="215" w:lineRule="exact"/>
        <w:jc w:val="both"/>
        <w:rPr>
          <w:sz w:val="18"/>
        </w:rPr>
        <w:sectPr w:rsidR="00BD462C">
          <w:pgSz w:w="11910" w:h="16840"/>
          <w:pgMar w:top="860" w:right="500" w:bottom="780" w:left="1280" w:header="566" w:footer="590" w:gutter="0"/>
          <w:cols w:space="720"/>
        </w:sectPr>
      </w:pPr>
    </w:p>
    <w:p w14:paraId="70BC9A7B"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0E7F446B"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4370675B"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4A39E786" w14:textId="77777777" w:rsidR="00BD462C" w:rsidRDefault="00033D0F">
      <w:pPr>
        <w:pStyle w:val="BodyText"/>
        <w:spacing w:before="102" w:line="360" w:lineRule="auto"/>
        <w:ind w:left="135" w:right="916"/>
        <w:jc w:val="both"/>
      </w:pPr>
      <w:r>
        <w:t>of</w:t>
      </w:r>
      <w:r>
        <w:rPr>
          <w:spacing w:val="-11"/>
        </w:rPr>
        <w:t xml:space="preserve"> </w:t>
      </w:r>
      <w:r>
        <w:t>level</w:t>
      </w:r>
      <w:r>
        <w:rPr>
          <w:spacing w:val="-7"/>
        </w:rPr>
        <w:t xml:space="preserve"> </w:t>
      </w:r>
      <w:r>
        <w:t>of</w:t>
      </w:r>
      <w:r>
        <w:rPr>
          <w:spacing w:val="-11"/>
        </w:rPr>
        <w:t xml:space="preserve"> </w:t>
      </w:r>
      <w:r>
        <w:t>trade</w:t>
      </w:r>
      <w:r>
        <w:rPr>
          <w:spacing w:val="-9"/>
        </w:rPr>
        <w:t xml:space="preserve"> </w:t>
      </w:r>
      <w:r>
        <w:t>as</w:t>
      </w:r>
      <w:r>
        <w:rPr>
          <w:spacing w:val="-8"/>
        </w:rPr>
        <w:t xml:space="preserve"> </w:t>
      </w:r>
      <w:r>
        <w:t>relating</w:t>
      </w:r>
      <w:r>
        <w:rPr>
          <w:spacing w:val="-8"/>
        </w:rPr>
        <w:t xml:space="preserve"> </w:t>
      </w:r>
      <w:r>
        <w:t>to</w:t>
      </w:r>
      <w:r>
        <w:rPr>
          <w:spacing w:val="-11"/>
        </w:rPr>
        <w:t xml:space="preserve"> </w:t>
      </w:r>
      <w:r>
        <w:t>either</w:t>
      </w:r>
      <w:r>
        <w:rPr>
          <w:spacing w:val="-11"/>
        </w:rPr>
        <w:t xml:space="preserve"> </w:t>
      </w:r>
      <w:r>
        <w:t>the</w:t>
      </w:r>
      <w:r>
        <w:rPr>
          <w:spacing w:val="-9"/>
        </w:rPr>
        <w:t xml:space="preserve"> </w:t>
      </w:r>
      <w:r>
        <w:t>market</w:t>
      </w:r>
      <w:r>
        <w:rPr>
          <w:spacing w:val="-9"/>
        </w:rPr>
        <w:t xml:space="preserve"> </w:t>
      </w:r>
      <w:r>
        <w:t>stage</w:t>
      </w:r>
      <w:r>
        <w:rPr>
          <w:spacing w:val="-9"/>
        </w:rPr>
        <w:t xml:space="preserve"> </w:t>
      </w:r>
      <w:r>
        <w:t>at</w:t>
      </w:r>
      <w:r>
        <w:rPr>
          <w:spacing w:val="-9"/>
        </w:rPr>
        <w:t xml:space="preserve"> </w:t>
      </w:r>
      <w:r>
        <w:t>which</w:t>
      </w:r>
      <w:r>
        <w:rPr>
          <w:spacing w:val="-11"/>
        </w:rPr>
        <w:t xml:space="preserve"> </w:t>
      </w:r>
      <w:r>
        <w:t>a</w:t>
      </w:r>
      <w:r>
        <w:rPr>
          <w:spacing w:val="-10"/>
        </w:rPr>
        <w:t xml:space="preserve"> </w:t>
      </w:r>
      <w:r>
        <w:t>sale</w:t>
      </w:r>
      <w:r>
        <w:rPr>
          <w:spacing w:val="-9"/>
        </w:rPr>
        <w:t xml:space="preserve"> </w:t>
      </w:r>
      <w:r>
        <w:t>is</w:t>
      </w:r>
      <w:r>
        <w:rPr>
          <w:spacing w:val="-8"/>
        </w:rPr>
        <w:t xml:space="preserve"> </w:t>
      </w:r>
      <w:r>
        <w:t>made,</w:t>
      </w:r>
      <w:r>
        <w:rPr>
          <w:spacing w:val="-7"/>
        </w:rPr>
        <w:t xml:space="preserve"> </w:t>
      </w:r>
      <w:r>
        <w:t>or</w:t>
      </w:r>
      <w:r>
        <w:rPr>
          <w:spacing w:val="-11"/>
        </w:rPr>
        <w:t xml:space="preserve"> </w:t>
      </w:r>
      <w:r>
        <w:t>the</w:t>
      </w:r>
      <w:r>
        <w:rPr>
          <w:spacing w:val="-9"/>
        </w:rPr>
        <w:t xml:space="preserve"> </w:t>
      </w:r>
      <w:r>
        <w:t>customer category or sales channel for the sale.</w:t>
      </w:r>
      <w:hyperlink w:anchor="_bookmark746" w:history="1">
        <w:r>
          <w:rPr>
            <w:vertAlign w:val="superscript"/>
          </w:rPr>
          <w:t>626</w:t>
        </w:r>
      </w:hyperlink>
      <w:r>
        <w:t xml:space="preserve"> Neither of the 'level of trade' categories posited by China capture differences in conditions of sale.</w:t>
      </w:r>
    </w:p>
    <w:p w14:paraId="2A73D4E0" w14:textId="7385BC7E" w:rsidR="00BD462C" w:rsidRDefault="00AF5F66" w:rsidP="00AF5F66">
      <w:pPr>
        <w:pStyle w:val="BodyText"/>
        <w:spacing w:before="160" w:line="360" w:lineRule="auto"/>
        <w:ind w:left="135" w:right="911"/>
        <w:jc w:val="both"/>
      </w:pPr>
      <w:r>
        <w:rPr>
          <w:noProof/>
        </w:rPr>
        <w:t xml:space="preserve">447. </w:t>
      </w:r>
      <w:r w:rsidR="00033D0F">
        <w:t>Third, China misunderstands the factual basis of Australia's argument.</w:t>
      </w:r>
      <w:hyperlink w:anchor="_bookmark747" w:history="1">
        <w:r w:rsidR="00033D0F">
          <w:rPr>
            <w:vertAlign w:val="superscript"/>
          </w:rPr>
          <w:t>627</w:t>
        </w:r>
      </w:hyperlink>
      <w:r w:rsidR="00033D0F">
        <w:t xml:space="preserve"> Australia's argument is that, to ensure price comparability, MOFCOM needed to compare the price of goods on conditions of sale that reflected a similar level of availability to the customer, or apply adjustments</w:t>
      </w:r>
      <w:r w:rsidR="00033D0F">
        <w:rPr>
          <w:spacing w:val="-1"/>
        </w:rPr>
        <w:t xml:space="preserve"> </w:t>
      </w:r>
      <w:r w:rsidR="00033D0F">
        <w:t>to the annual average unit values it calculated</w:t>
      </w:r>
      <w:r w:rsidR="00033D0F">
        <w:rPr>
          <w:spacing w:val="-4"/>
        </w:rPr>
        <w:t xml:space="preserve"> </w:t>
      </w:r>
      <w:r w:rsidR="00033D0F">
        <w:t>to reflect differences.</w:t>
      </w:r>
      <w:hyperlink w:anchor="_bookmark748" w:history="1">
        <w:r w:rsidR="00033D0F">
          <w:rPr>
            <w:vertAlign w:val="superscript"/>
          </w:rPr>
          <w:t>628</w:t>
        </w:r>
      </w:hyperlink>
      <w:r w:rsidR="00033D0F">
        <w:t xml:space="preserve"> As a result, Australia does not need to establish that the ex-factory price included adjustments for stevedoring, dock transportation and storage or warehousing.</w:t>
      </w:r>
      <w:hyperlink w:anchor="_bookmark749" w:history="1">
        <w:r w:rsidR="00033D0F">
          <w:rPr>
            <w:vertAlign w:val="superscript"/>
          </w:rPr>
          <w:t>629</w:t>
        </w:r>
      </w:hyperlink>
      <w:r w:rsidR="00033D0F">
        <w:t xml:space="preserve"> Nor does it need to establish that Australian exporters in fact included these cost items in the export price of subject imports.</w:t>
      </w:r>
      <w:hyperlink w:anchor="_bookmark750" w:history="1">
        <w:r w:rsidR="00033D0F">
          <w:rPr>
            <w:vertAlign w:val="superscript"/>
          </w:rPr>
          <w:t>630</w:t>
        </w:r>
      </w:hyperlink>
      <w:r w:rsidR="00033D0F">
        <w:t xml:space="preserve"> This is for the following two reasons:</w:t>
      </w:r>
    </w:p>
    <w:p w14:paraId="38BA5D02" w14:textId="77777777" w:rsidR="00BD462C" w:rsidRDefault="00033D0F">
      <w:pPr>
        <w:pStyle w:val="ListParagraph"/>
        <w:numPr>
          <w:ilvl w:val="0"/>
          <w:numId w:val="54"/>
        </w:numPr>
        <w:tabs>
          <w:tab w:val="left" w:pos="1835"/>
          <w:tab w:val="left" w:pos="1836"/>
        </w:tabs>
        <w:spacing w:before="154" w:line="360" w:lineRule="auto"/>
        <w:ind w:left="1839" w:right="908" w:hanging="855"/>
        <w:jc w:val="both"/>
        <w:rPr>
          <w:sz w:val="24"/>
        </w:rPr>
      </w:pPr>
      <w:r>
        <w:rPr>
          <w:sz w:val="24"/>
        </w:rPr>
        <w:t>the</w:t>
      </w:r>
      <w:r>
        <w:rPr>
          <w:spacing w:val="-11"/>
          <w:sz w:val="24"/>
        </w:rPr>
        <w:t xml:space="preserve"> </w:t>
      </w:r>
      <w:r>
        <w:rPr>
          <w:sz w:val="24"/>
        </w:rPr>
        <w:t>adjustments</w:t>
      </w:r>
      <w:r>
        <w:rPr>
          <w:spacing w:val="-9"/>
          <w:sz w:val="24"/>
        </w:rPr>
        <w:t xml:space="preserve"> </w:t>
      </w:r>
      <w:r>
        <w:rPr>
          <w:sz w:val="24"/>
        </w:rPr>
        <w:t>Australia</w:t>
      </w:r>
      <w:r>
        <w:rPr>
          <w:spacing w:val="-11"/>
          <w:sz w:val="24"/>
        </w:rPr>
        <w:t xml:space="preserve"> </w:t>
      </w:r>
      <w:r>
        <w:rPr>
          <w:sz w:val="24"/>
        </w:rPr>
        <w:t>argues</w:t>
      </w:r>
      <w:r>
        <w:rPr>
          <w:spacing w:val="-9"/>
          <w:sz w:val="24"/>
        </w:rPr>
        <w:t xml:space="preserve"> </w:t>
      </w:r>
      <w:r>
        <w:rPr>
          <w:sz w:val="24"/>
        </w:rPr>
        <w:t>needed</w:t>
      </w:r>
      <w:r>
        <w:rPr>
          <w:spacing w:val="-8"/>
          <w:sz w:val="24"/>
        </w:rPr>
        <w:t xml:space="preserve"> </w:t>
      </w:r>
      <w:r>
        <w:rPr>
          <w:sz w:val="24"/>
        </w:rPr>
        <w:t>to</w:t>
      </w:r>
      <w:r>
        <w:rPr>
          <w:spacing w:val="-9"/>
          <w:sz w:val="24"/>
        </w:rPr>
        <w:t xml:space="preserve"> </w:t>
      </w:r>
      <w:r>
        <w:rPr>
          <w:sz w:val="24"/>
        </w:rPr>
        <w:t>be</w:t>
      </w:r>
      <w:r>
        <w:rPr>
          <w:spacing w:val="-11"/>
          <w:sz w:val="24"/>
        </w:rPr>
        <w:t xml:space="preserve"> </w:t>
      </w:r>
      <w:r>
        <w:rPr>
          <w:sz w:val="24"/>
        </w:rPr>
        <w:t>applied</w:t>
      </w:r>
      <w:r>
        <w:rPr>
          <w:spacing w:val="-13"/>
          <w:sz w:val="24"/>
        </w:rPr>
        <w:t xml:space="preserve"> </w:t>
      </w:r>
      <w:r>
        <w:rPr>
          <w:sz w:val="24"/>
        </w:rPr>
        <w:t>reflect</w:t>
      </w:r>
      <w:r>
        <w:rPr>
          <w:spacing w:val="-10"/>
          <w:sz w:val="24"/>
        </w:rPr>
        <w:t xml:space="preserve"> </w:t>
      </w:r>
      <w:r>
        <w:rPr>
          <w:sz w:val="24"/>
        </w:rPr>
        <w:t>the</w:t>
      </w:r>
      <w:r>
        <w:rPr>
          <w:spacing w:val="-11"/>
          <w:sz w:val="24"/>
        </w:rPr>
        <w:t xml:space="preserve"> </w:t>
      </w:r>
      <w:r>
        <w:rPr>
          <w:sz w:val="24"/>
        </w:rPr>
        <w:t>additional costs associated with making an imported good available for inland transport by a customer. That is, they are to account for the differences between</w:t>
      </w:r>
      <w:r>
        <w:rPr>
          <w:spacing w:val="-8"/>
          <w:sz w:val="24"/>
        </w:rPr>
        <w:t xml:space="preserve"> </w:t>
      </w:r>
      <w:r>
        <w:rPr>
          <w:sz w:val="24"/>
        </w:rPr>
        <w:t>a</w:t>
      </w:r>
      <w:r>
        <w:rPr>
          <w:spacing w:val="-7"/>
          <w:sz w:val="24"/>
        </w:rPr>
        <w:t xml:space="preserve"> </w:t>
      </w:r>
      <w:r>
        <w:rPr>
          <w:sz w:val="24"/>
        </w:rPr>
        <w:t>good</w:t>
      </w:r>
      <w:r>
        <w:rPr>
          <w:spacing w:val="-8"/>
          <w:sz w:val="24"/>
        </w:rPr>
        <w:t xml:space="preserve"> </w:t>
      </w:r>
      <w:r>
        <w:rPr>
          <w:sz w:val="24"/>
        </w:rPr>
        <w:t>sold</w:t>
      </w:r>
      <w:r>
        <w:rPr>
          <w:spacing w:val="-8"/>
          <w:sz w:val="24"/>
        </w:rPr>
        <w:t xml:space="preserve"> </w:t>
      </w:r>
      <w:r>
        <w:rPr>
          <w:sz w:val="24"/>
        </w:rPr>
        <w:t>on</w:t>
      </w:r>
      <w:r>
        <w:rPr>
          <w:spacing w:val="-8"/>
          <w:sz w:val="24"/>
        </w:rPr>
        <w:t xml:space="preserve"> </w:t>
      </w:r>
      <w:r>
        <w:rPr>
          <w:sz w:val="24"/>
        </w:rPr>
        <w:t>CIF</w:t>
      </w:r>
      <w:r>
        <w:rPr>
          <w:spacing w:val="-7"/>
          <w:sz w:val="24"/>
        </w:rPr>
        <w:t xml:space="preserve"> </w:t>
      </w:r>
      <w:r>
        <w:rPr>
          <w:sz w:val="24"/>
        </w:rPr>
        <w:t>terms</w:t>
      </w:r>
      <w:r>
        <w:rPr>
          <w:spacing w:val="-5"/>
          <w:sz w:val="24"/>
        </w:rPr>
        <w:t xml:space="preserve"> </w:t>
      </w:r>
      <w:r>
        <w:rPr>
          <w:sz w:val="24"/>
        </w:rPr>
        <w:t>and</w:t>
      </w:r>
      <w:r>
        <w:rPr>
          <w:spacing w:val="-8"/>
          <w:sz w:val="24"/>
        </w:rPr>
        <w:t xml:space="preserve"> </w:t>
      </w:r>
      <w:r>
        <w:rPr>
          <w:sz w:val="24"/>
        </w:rPr>
        <w:t>a</w:t>
      </w:r>
      <w:r>
        <w:rPr>
          <w:spacing w:val="-6"/>
          <w:sz w:val="24"/>
        </w:rPr>
        <w:t xml:space="preserve"> </w:t>
      </w:r>
      <w:r>
        <w:rPr>
          <w:sz w:val="24"/>
        </w:rPr>
        <w:t>good</w:t>
      </w:r>
      <w:r>
        <w:rPr>
          <w:spacing w:val="-8"/>
          <w:sz w:val="24"/>
        </w:rPr>
        <w:t xml:space="preserve"> </w:t>
      </w:r>
      <w:r>
        <w:rPr>
          <w:sz w:val="24"/>
        </w:rPr>
        <w:t>sold</w:t>
      </w:r>
      <w:r>
        <w:rPr>
          <w:spacing w:val="-3"/>
          <w:sz w:val="24"/>
        </w:rPr>
        <w:t xml:space="preserve"> </w:t>
      </w:r>
      <w:r>
        <w:rPr>
          <w:sz w:val="24"/>
        </w:rPr>
        <w:t>on</w:t>
      </w:r>
      <w:r>
        <w:rPr>
          <w:spacing w:val="-8"/>
          <w:sz w:val="24"/>
        </w:rPr>
        <w:t xml:space="preserve"> </w:t>
      </w:r>
      <w:r>
        <w:rPr>
          <w:sz w:val="24"/>
        </w:rPr>
        <w:t>ex-factory</w:t>
      </w:r>
      <w:r>
        <w:rPr>
          <w:spacing w:val="-5"/>
          <w:sz w:val="24"/>
        </w:rPr>
        <w:t xml:space="preserve"> </w:t>
      </w:r>
      <w:r>
        <w:rPr>
          <w:sz w:val="24"/>
        </w:rPr>
        <w:t>terms.</w:t>
      </w:r>
      <w:hyperlink w:anchor="_bookmark751" w:history="1">
        <w:r>
          <w:rPr>
            <w:sz w:val="24"/>
            <w:vertAlign w:val="superscript"/>
          </w:rPr>
          <w:t>631</w:t>
        </w:r>
      </w:hyperlink>
      <w:r>
        <w:rPr>
          <w:spacing w:val="-5"/>
          <w:sz w:val="24"/>
        </w:rPr>
        <w:t xml:space="preserve"> </w:t>
      </w:r>
      <w:r>
        <w:rPr>
          <w:sz w:val="24"/>
        </w:rPr>
        <w:t>In that way, they are akin to an adjustment for a tariff or customs clearance fee, neither of which are reflected in an ex-factory price for domestic products,</w:t>
      </w:r>
      <w:r>
        <w:rPr>
          <w:spacing w:val="-14"/>
          <w:sz w:val="24"/>
        </w:rPr>
        <w:t xml:space="preserve"> </w:t>
      </w:r>
      <w:r>
        <w:rPr>
          <w:sz w:val="24"/>
        </w:rPr>
        <w:t>but</w:t>
      </w:r>
      <w:r>
        <w:rPr>
          <w:spacing w:val="-13"/>
          <w:sz w:val="24"/>
        </w:rPr>
        <w:t xml:space="preserve"> </w:t>
      </w:r>
      <w:r>
        <w:rPr>
          <w:sz w:val="24"/>
        </w:rPr>
        <w:t>which</w:t>
      </w:r>
      <w:r>
        <w:rPr>
          <w:spacing w:val="-14"/>
          <w:sz w:val="24"/>
        </w:rPr>
        <w:t xml:space="preserve"> </w:t>
      </w:r>
      <w:r>
        <w:rPr>
          <w:sz w:val="24"/>
        </w:rPr>
        <w:t>were</w:t>
      </w:r>
      <w:r>
        <w:rPr>
          <w:spacing w:val="-13"/>
          <w:sz w:val="24"/>
        </w:rPr>
        <w:t xml:space="preserve"> </w:t>
      </w:r>
      <w:r>
        <w:rPr>
          <w:sz w:val="24"/>
        </w:rPr>
        <w:t>nonetheless</w:t>
      </w:r>
      <w:r>
        <w:rPr>
          <w:spacing w:val="-11"/>
          <w:sz w:val="24"/>
        </w:rPr>
        <w:t xml:space="preserve"> </w:t>
      </w:r>
      <w:r>
        <w:rPr>
          <w:sz w:val="24"/>
        </w:rPr>
        <w:t>appropriately</w:t>
      </w:r>
      <w:r>
        <w:rPr>
          <w:spacing w:val="-13"/>
          <w:sz w:val="24"/>
        </w:rPr>
        <w:t xml:space="preserve"> </w:t>
      </w:r>
      <w:r>
        <w:rPr>
          <w:sz w:val="24"/>
        </w:rPr>
        <w:t>applied</w:t>
      </w:r>
      <w:r>
        <w:rPr>
          <w:spacing w:val="-14"/>
          <w:sz w:val="24"/>
        </w:rPr>
        <w:t xml:space="preserve"> </w:t>
      </w:r>
      <w:r>
        <w:rPr>
          <w:sz w:val="24"/>
        </w:rPr>
        <w:t>by</w:t>
      </w:r>
      <w:r>
        <w:rPr>
          <w:spacing w:val="-12"/>
          <w:sz w:val="24"/>
        </w:rPr>
        <w:t xml:space="preserve"> </w:t>
      </w:r>
      <w:r>
        <w:rPr>
          <w:sz w:val="24"/>
        </w:rPr>
        <w:t>MOFCOM</w:t>
      </w:r>
      <w:r>
        <w:rPr>
          <w:spacing w:val="-13"/>
          <w:sz w:val="24"/>
        </w:rPr>
        <w:t xml:space="preserve"> </w:t>
      </w:r>
      <w:r>
        <w:rPr>
          <w:sz w:val="24"/>
        </w:rPr>
        <w:t>to the liquidation price for subject imports in this case.</w:t>
      </w:r>
      <w:hyperlink w:anchor="_bookmark752" w:history="1">
        <w:r>
          <w:rPr>
            <w:sz w:val="24"/>
            <w:vertAlign w:val="superscript"/>
          </w:rPr>
          <w:t>632</w:t>
        </w:r>
      </w:hyperlink>
    </w:p>
    <w:p w14:paraId="608EE214" w14:textId="77777777" w:rsidR="00BD462C" w:rsidRDefault="00033D0F">
      <w:pPr>
        <w:pStyle w:val="ListParagraph"/>
        <w:numPr>
          <w:ilvl w:val="0"/>
          <w:numId w:val="54"/>
        </w:numPr>
        <w:tabs>
          <w:tab w:val="left" w:pos="1835"/>
          <w:tab w:val="left" w:pos="1836"/>
        </w:tabs>
        <w:spacing w:before="119" w:line="360" w:lineRule="auto"/>
        <w:ind w:right="912" w:hanging="855"/>
        <w:jc w:val="both"/>
        <w:rPr>
          <w:sz w:val="24"/>
        </w:rPr>
      </w:pPr>
      <w:r>
        <w:rPr>
          <w:sz w:val="24"/>
        </w:rPr>
        <w:t>Australia's argument is grounded in the price calculation methodology that MOFCOM adopted, which used annual CIF price data as the base for the liquidation price.</w:t>
      </w:r>
      <w:hyperlink w:anchor="_bookmark753" w:history="1">
        <w:r>
          <w:rPr>
            <w:sz w:val="24"/>
            <w:vertAlign w:val="superscript"/>
          </w:rPr>
          <w:t>633</w:t>
        </w:r>
      </w:hyperlink>
      <w:r>
        <w:rPr>
          <w:sz w:val="24"/>
        </w:rPr>
        <w:t xml:space="preserve"> That is, the prices forming the base of MOFCOM's calculation were </w:t>
      </w:r>
      <w:proofErr w:type="spellStart"/>
      <w:r>
        <w:rPr>
          <w:sz w:val="24"/>
        </w:rPr>
        <w:t>normalised</w:t>
      </w:r>
      <w:proofErr w:type="spellEnd"/>
      <w:r>
        <w:rPr>
          <w:sz w:val="24"/>
        </w:rPr>
        <w:t xml:space="preserve"> on a CIF basis, which does not include the additional</w:t>
      </w:r>
      <w:r>
        <w:rPr>
          <w:spacing w:val="63"/>
          <w:sz w:val="24"/>
        </w:rPr>
        <w:t xml:space="preserve"> </w:t>
      </w:r>
      <w:r>
        <w:rPr>
          <w:sz w:val="24"/>
        </w:rPr>
        <w:t>costs</w:t>
      </w:r>
      <w:r>
        <w:rPr>
          <w:spacing w:val="62"/>
          <w:sz w:val="24"/>
        </w:rPr>
        <w:t xml:space="preserve"> </w:t>
      </w:r>
      <w:r>
        <w:rPr>
          <w:sz w:val="24"/>
        </w:rPr>
        <w:t>associated</w:t>
      </w:r>
      <w:r>
        <w:rPr>
          <w:spacing w:val="40"/>
          <w:sz w:val="24"/>
        </w:rPr>
        <w:t xml:space="preserve"> </w:t>
      </w:r>
      <w:r>
        <w:rPr>
          <w:sz w:val="24"/>
        </w:rPr>
        <w:t>with</w:t>
      </w:r>
      <w:r>
        <w:rPr>
          <w:spacing w:val="40"/>
          <w:sz w:val="24"/>
        </w:rPr>
        <w:t xml:space="preserve"> </w:t>
      </w:r>
      <w:r>
        <w:rPr>
          <w:sz w:val="24"/>
        </w:rPr>
        <w:t>bringing</w:t>
      </w:r>
      <w:r>
        <w:rPr>
          <w:spacing w:val="62"/>
          <w:sz w:val="24"/>
        </w:rPr>
        <w:t xml:space="preserve"> </w:t>
      </w:r>
      <w:r>
        <w:rPr>
          <w:sz w:val="24"/>
        </w:rPr>
        <w:t>goods</w:t>
      </w:r>
      <w:r>
        <w:rPr>
          <w:spacing w:val="62"/>
          <w:sz w:val="24"/>
        </w:rPr>
        <w:t xml:space="preserve"> </w:t>
      </w:r>
      <w:r>
        <w:rPr>
          <w:sz w:val="24"/>
        </w:rPr>
        <w:t>across</w:t>
      </w:r>
      <w:r>
        <w:rPr>
          <w:spacing w:val="62"/>
          <w:sz w:val="24"/>
        </w:rPr>
        <w:t xml:space="preserve"> </w:t>
      </w:r>
      <w:r>
        <w:rPr>
          <w:sz w:val="24"/>
        </w:rPr>
        <w:t>the</w:t>
      </w:r>
      <w:r>
        <w:rPr>
          <w:spacing w:val="40"/>
          <w:sz w:val="24"/>
        </w:rPr>
        <w:t xml:space="preserve"> </w:t>
      </w:r>
      <w:r>
        <w:rPr>
          <w:sz w:val="24"/>
        </w:rPr>
        <w:t>border</w:t>
      </w:r>
      <w:r>
        <w:rPr>
          <w:spacing w:val="40"/>
          <w:sz w:val="24"/>
        </w:rPr>
        <w:t xml:space="preserve"> </w:t>
      </w:r>
      <w:r>
        <w:rPr>
          <w:sz w:val="24"/>
        </w:rPr>
        <w:t>and</w:t>
      </w:r>
    </w:p>
    <w:p w14:paraId="6483F6A0" w14:textId="30EB37B5" w:rsidR="00BD462C" w:rsidRDefault="00752F01">
      <w:pPr>
        <w:pStyle w:val="BodyText"/>
        <w:rPr>
          <w:sz w:val="20"/>
        </w:rPr>
      </w:pPr>
      <w:r>
        <w:rPr>
          <w:noProof/>
        </w:rPr>
        <mc:AlternateContent>
          <mc:Choice Requires="wps">
            <w:drawing>
              <wp:anchor distT="0" distB="0" distL="0" distR="0" simplePos="0" relativeHeight="488303104" behindDoc="1" locked="0" layoutInCell="1" allowOverlap="1" wp14:anchorId="70CC0CD9" wp14:editId="4AC4EAB4">
                <wp:simplePos x="0" y="0"/>
                <wp:positionH relativeFrom="page">
                  <wp:posOffset>812800</wp:posOffset>
                </wp:positionH>
                <wp:positionV relativeFrom="paragraph">
                  <wp:posOffset>369570</wp:posOffset>
                </wp:positionV>
                <wp:extent cx="1828800" cy="8890"/>
                <wp:effectExtent l="0" t="0" r="0" b="0"/>
                <wp:wrapTopAndBottom/>
                <wp:docPr id="1088" name="docshape5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2A9F73" id="docshape529" o:spid="_x0000_s1026" alt="&quot;&quot;" style="position:absolute;margin-left:64pt;margin-top:29.1pt;width:2in;height:.7pt;z-index:-15013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" fillcolor="black" stroked="f">
                <w10:wrap type="topAndBottom" anchorx="page"/>
              </v:rect>
            </w:pict>
          </mc:Fallback>
        </mc:AlternateContent>
      </w:r>
    </w:p>
    <w:p w14:paraId="35993E67" w14:textId="3631D5FE" w:rsidR="00BD462C" w:rsidRDefault="00BD462C">
      <w:pPr>
        <w:pStyle w:val="BodyText"/>
        <w:spacing w:before="5"/>
        <w:rPr>
          <w:sz w:val="27"/>
        </w:rPr>
      </w:pPr>
    </w:p>
    <w:p w14:paraId="52FBCCEF" w14:textId="77777777" w:rsidR="00BD462C" w:rsidRDefault="00033D0F">
      <w:pPr>
        <w:spacing w:before="112"/>
        <w:ind w:left="135"/>
        <w:rPr>
          <w:sz w:val="18"/>
        </w:rPr>
      </w:pPr>
      <w:bookmarkStart w:id="871" w:name="_bookmark746"/>
      <w:bookmarkEnd w:id="871"/>
      <w:r>
        <w:rPr>
          <w:position w:val="5"/>
          <w:sz w:val="12"/>
        </w:rPr>
        <w:t>626</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 xml:space="preserve">submission, para. </w:t>
      </w:r>
      <w:r>
        <w:rPr>
          <w:spacing w:val="-2"/>
          <w:sz w:val="18"/>
        </w:rPr>
        <w:t>1232.</w:t>
      </w:r>
    </w:p>
    <w:p w14:paraId="20F1CCA9" w14:textId="77777777" w:rsidR="00BD462C" w:rsidRDefault="00033D0F">
      <w:pPr>
        <w:spacing w:before="1"/>
        <w:ind w:left="135"/>
        <w:rPr>
          <w:sz w:val="18"/>
        </w:rPr>
      </w:pPr>
      <w:bookmarkStart w:id="872" w:name="_bookmark747"/>
      <w:bookmarkEnd w:id="872"/>
      <w:r>
        <w:rPr>
          <w:position w:val="5"/>
          <w:sz w:val="12"/>
        </w:rPr>
        <w:t>627</w:t>
      </w:r>
      <w:r>
        <w:rPr>
          <w:spacing w:val="12"/>
          <w:position w:val="5"/>
          <w:sz w:val="12"/>
        </w:rPr>
        <w:t xml:space="preserve"> </w:t>
      </w:r>
      <w:r>
        <w:rPr>
          <w:sz w:val="18"/>
        </w:rPr>
        <w:t>China's</w:t>
      </w:r>
      <w:r>
        <w:rPr>
          <w:spacing w:val="-6"/>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 paras.</w:t>
      </w:r>
      <w:r>
        <w:rPr>
          <w:spacing w:val="-5"/>
          <w:sz w:val="18"/>
        </w:rPr>
        <w:t xml:space="preserve"> </w:t>
      </w:r>
      <w:r>
        <w:rPr>
          <w:sz w:val="18"/>
        </w:rPr>
        <w:t>1296-</w:t>
      </w:r>
      <w:r>
        <w:rPr>
          <w:spacing w:val="-2"/>
          <w:sz w:val="18"/>
        </w:rPr>
        <w:t>1313.</w:t>
      </w:r>
    </w:p>
    <w:p w14:paraId="77452F15" w14:textId="77777777" w:rsidR="00BD462C" w:rsidRDefault="00033D0F">
      <w:pPr>
        <w:spacing w:before="1"/>
        <w:ind w:left="135"/>
        <w:rPr>
          <w:sz w:val="18"/>
        </w:rPr>
      </w:pPr>
      <w:bookmarkStart w:id="873" w:name="_bookmark748"/>
      <w:bookmarkEnd w:id="873"/>
      <w:r>
        <w:rPr>
          <w:position w:val="5"/>
          <w:sz w:val="12"/>
        </w:rPr>
        <w:t>628</w:t>
      </w:r>
      <w:r>
        <w:rPr>
          <w:spacing w:val="12"/>
          <w:position w:val="5"/>
          <w:sz w:val="12"/>
        </w:rPr>
        <w:t xml:space="preserve"> </w:t>
      </w:r>
      <w:r>
        <w:rPr>
          <w:sz w:val="18"/>
        </w:rPr>
        <w:t>Australia's</w:t>
      </w:r>
      <w:r>
        <w:rPr>
          <w:spacing w:val="-7"/>
          <w:sz w:val="18"/>
        </w:rPr>
        <w:t xml:space="preserve"> </w:t>
      </w:r>
      <w:r>
        <w:rPr>
          <w:sz w:val="18"/>
        </w:rPr>
        <w:t>first</w:t>
      </w:r>
      <w:r>
        <w:rPr>
          <w:spacing w:val="-5"/>
          <w:sz w:val="18"/>
        </w:rPr>
        <w:t xml:space="preserve"> </w:t>
      </w:r>
      <w:r>
        <w:rPr>
          <w:sz w:val="18"/>
        </w:rPr>
        <w:t>written</w:t>
      </w:r>
      <w:r>
        <w:rPr>
          <w:spacing w:val="-3"/>
          <w:sz w:val="18"/>
        </w:rPr>
        <w:t xml:space="preserve"> </w:t>
      </w:r>
      <w:r>
        <w:rPr>
          <w:sz w:val="18"/>
        </w:rPr>
        <w:t>submission, paras.</w:t>
      </w:r>
      <w:r>
        <w:rPr>
          <w:spacing w:val="-5"/>
          <w:sz w:val="18"/>
        </w:rPr>
        <w:t xml:space="preserve"> </w:t>
      </w:r>
      <w:r>
        <w:rPr>
          <w:sz w:val="18"/>
        </w:rPr>
        <w:t>591-</w:t>
      </w:r>
      <w:r>
        <w:rPr>
          <w:spacing w:val="-4"/>
          <w:sz w:val="18"/>
        </w:rPr>
        <w:t>599.</w:t>
      </w:r>
    </w:p>
    <w:p w14:paraId="342C219B" w14:textId="77777777" w:rsidR="00BD462C" w:rsidRDefault="00033D0F">
      <w:pPr>
        <w:spacing w:before="1" w:line="218" w:lineRule="exact"/>
        <w:ind w:left="135"/>
        <w:rPr>
          <w:sz w:val="18"/>
        </w:rPr>
      </w:pPr>
      <w:bookmarkStart w:id="874" w:name="_bookmark749"/>
      <w:bookmarkEnd w:id="874"/>
      <w:r>
        <w:rPr>
          <w:position w:val="5"/>
          <w:sz w:val="12"/>
        </w:rPr>
        <w:t>629</w:t>
      </w:r>
      <w:r>
        <w:rPr>
          <w:spacing w:val="12"/>
          <w:position w:val="5"/>
          <w:sz w:val="12"/>
        </w:rPr>
        <w:t xml:space="preserve"> </w:t>
      </w:r>
      <w:r>
        <w:rPr>
          <w:sz w:val="18"/>
        </w:rPr>
        <w:t>Cf</w:t>
      </w:r>
      <w:r>
        <w:rPr>
          <w:spacing w:val="-5"/>
          <w:sz w:val="18"/>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7"/>
          <w:sz w:val="18"/>
        </w:rPr>
        <w:t xml:space="preserve"> </w:t>
      </w:r>
      <w:r>
        <w:rPr>
          <w:sz w:val="18"/>
        </w:rPr>
        <w:t>submission, paras.</w:t>
      </w:r>
      <w:r>
        <w:rPr>
          <w:spacing w:val="-5"/>
          <w:sz w:val="18"/>
        </w:rPr>
        <w:t xml:space="preserve"> </w:t>
      </w:r>
      <w:r>
        <w:rPr>
          <w:sz w:val="18"/>
        </w:rPr>
        <w:t>1296(i),</w:t>
      </w:r>
      <w:r>
        <w:rPr>
          <w:spacing w:val="-4"/>
          <w:sz w:val="18"/>
        </w:rPr>
        <w:t xml:space="preserve"> </w:t>
      </w:r>
      <w:r>
        <w:rPr>
          <w:sz w:val="18"/>
        </w:rPr>
        <w:t>1302-</w:t>
      </w:r>
      <w:r>
        <w:rPr>
          <w:spacing w:val="-2"/>
          <w:sz w:val="18"/>
        </w:rPr>
        <w:t>1303.</w:t>
      </w:r>
    </w:p>
    <w:p w14:paraId="1C11FD38" w14:textId="77777777" w:rsidR="00BD462C" w:rsidRDefault="00033D0F">
      <w:pPr>
        <w:spacing w:line="218" w:lineRule="exact"/>
        <w:ind w:left="135"/>
        <w:rPr>
          <w:sz w:val="18"/>
        </w:rPr>
      </w:pPr>
      <w:bookmarkStart w:id="875" w:name="_bookmark750"/>
      <w:bookmarkEnd w:id="875"/>
      <w:r>
        <w:rPr>
          <w:position w:val="5"/>
          <w:sz w:val="12"/>
        </w:rPr>
        <w:t>630</w:t>
      </w:r>
      <w:r>
        <w:rPr>
          <w:spacing w:val="11"/>
          <w:position w:val="5"/>
          <w:sz w:val="12"/>
        </w:rPr>
        <w:t xml:space="preserve"> </w:t>
      </w:r>
      <w:r>
        <w:rPr>
          <w:sz w:val="18"/>
        </w:rPr>
        <w:t>Cf</w:t>
      </w:r>
      <w:r>
        <w:rPr>
          <w:spacing w:val="-6"/>
          <w:sz w:val="18"/>
        </w:rPr>
        <w:t xml:space="preserve"> </w:t>
      </w:r>
      <w:r>
        <w:rPr>
          <w:sz w:val="18"/>
        </w:rPr>
        <w:t>China's</w:t>
      </w:r>
      <w:r>
        <w:rPr>
          <w:spacing w:val="-6"/>
          <w:sz w:val="18"/>
        </w:rPr>
        <w:t xml:space="preserve"> </w:t>
      </w:r>
      <w:r>
        <w:rPr>
          <w:sz w:val="18"/>
        </w:rPr>
        <w:t>first</w:t>
      </w:r>
      <w:r>
        <w:rPr>
          <w:spacing w:val="-6"/>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paras.</w:t>
      </w:r>
      <w:r>
        <w:rPr>
          <w:spacing w:val="-6"/>
          <w:sz w:val="18"/>
        </w:rPr>
        <w:t xml:space="preserve"> </w:t>
      </w:r>
      <w:r>
        <w:rPr>
          <w:sz w:val="18"/>
        </w:rPr>
        <w:t>1296(ii), 1304-</w:t>
      </w:r>
      <w:r>
        <w:rPr>
          <w:spacing w:val="-2"/>
          <w:sz w:val="18"/>
        </w:rPr>
        <w:t>1313.</w:t>
      </w:r>
    </w:p>
    <w:p w14:paraId="792C12E0" w14:textId="77777777" w:rsidR="00BD462C" w:rsidRDefault="00033D0F">
      <w:pPr>
        <w:spacing w:before="1"/>
        <w:ind w:left="135"/>
        <w:rPr>
          <w:sz w:val="18"/>
        </w:rPr>
      </w:pPr>
      <w:bookmarkStart w:id="876" w:name="_bookmark751"/>
      <w:bookmarkEnd w:id="876"/>
      <w:r>
        <w:rPr>
          <w:position w:val="5"/>
          <w:sz w:val="12"/>
        </w:rPr>
        <w:t>631</w:t>
      </w:r>
      <w:r>
        <w:rPr>
          <w:spacing w:val="14"/>
          <w:position w:val="5"/>
          <w:sz w:val="12"/>
        </w:rPr>
        <w:t xml:space="preserve"> </w:t>
      </w:r>
      <w:r>
        <w:rPr>
          <w:sz w:val="18"/>
        </w:rPr>
        <w:t>See</w:t>
      </w:r>
      <w:r>
        <w:rPr>
          <w:spacing w:val="-4"/>
          <w:sz w:val="18"/>
        </w:rPr>
        <w:t xml:space="preserve"> </w:t>
      </w:r>
      <w:r>
        <w:rPr>
          <w:sz w:val="18"/>
        </w:rPr>
        <w:t>also Australia's</w:t>
      </w:r>
      <w:r>
        <w:rPr>
          <w:spacing w:val="-3"/>
          <w:sz w:val="18"/>
        </w:rPr>
        <w:t xml:space="preserve"> </w:t>
      </w:r>
      <w:r>
        <w:rPr>
          <w:sz w:val="18"/>
        </w:rPr>
        <w:t>response</w:t>
      </w:r>
      <w:r>
        <w:rPr>
          <w:spacing w:val="-4"/>
          <w:sz w:val="18"/>
        </w:rPr>
        <w:t xml:space="preserve"> </w:t>
      </w:r>
      <w:r>
        <w:rPr>
          <w:sz w:val="18"/>
        </w:rPr>
        <w:t>to</w:t>
      </w:r>
      <w:r>
        <w:rPr>
          <w:spacing w:val="-5"/>
          <w:sz w:val="18"/>
        </w:rPr>
        <w:t xml:space="preserve"> </w:t>
      </w:r>
      <w:r>
        <w:rPr>
          <w:sz w:val="18"/>
        </w:rPr>
        <w:t>Panel</w:t>
      </w:r>
      <w:r>
        <w:rPr>
          <w:spacing w:val="-3"/>
          <w:sz w:val="18"/>
        </w:rPr>
        <w:t xml:space="preserve"> </w:t>
      </w:r>
      <w:r>
        <w:rPr>
          <w:sz w:val="18"/>
        </w:rPr>
        <w:t>question</w:t>
      </w:r>
      <w:r>
        <w:rPr>
          <w:spacing w:val="-5"/>
          <w:sz w:val="18"/>
        </w:rPr>
        <w:t xml:space="preserve"> </w:t>
      </w:r>
      <w:r>
        <w:rPr>
          <w:sz w:val="18"/>
        </w:rPr>
        <w:t>No.</w:t>
      </w:r>
      <w:r>
        <w:rPr>
          <w:spacing w:val="2"/>
          <w:sz w:val="18"/>
        </w:rPr>
        <w:t xml:space="preserve"> </w:t>
      </w:r>
      <w:r>
        <w:rPr>
          <w:spacing w:val="-5"/>
          <w:sz w:val="18"/>
        </w:rPr>
        <w:t>32.</w:t>
      </w:r>
    </w:p>
    <w:p w14:paraId="2ADD0ACC" w14:textId="77777777" w:rsidR="00BD462C" w:rsidRDefault="00033D0F">
      <w:pPr>
        <w:spacing w:before="1"/>
        <w:ind w:left="136" w:right="912" w:hanging="1"/>
        <w:rPr>
          <w:sz w:val="18"/>
        </w:rPr>
      </w:pPr>
      <w:bookmarkStart w:id="877" w:name="_bookmark752"/>
      <w:bookmarkEnd w:id="877"/>
      <w:r>
        <w:rPr>
          <w:position w:val="5"/>
          <w:sz w:val="12"/>
        </w:rPr>
        <w:t>632</w:t>
      </w:r>
      <w:r>
        <w:rPr>
          <w:spacing w:val="2"/>
          <w:position w:val="5"/>
          <w:sz w:val="12"/>
        </w:rPr>
        <w:t xml:space="preserve"> </w:t>
      </w:r>
      <w:r>
        <w:rPr>
          <w:sz w:val="18"/>
        </w:rPr>
        <w:t>Australia</w:t>
      </w:r>
      <w:r>
        <w:rPr>
          <w:spacing w:val="-9"/>
          <w:sz w:val="18"/>
        </w:rPr>
        <w:t xml:space="preserve"> </w:t>
      </w:r>
      <w:r>
        <w:rPr>
          <w:sz w:val="18"/>
        </w:rPr>
        <w:t>has</w:t>
      </w:r>
      <w:r>
        <w:rPr>
          <w:spacing w:val="-12"/>
          <w:sz w:val="18"/>
        </w:rPr>
        <w:t xml:space="preserve"> </w:t>
      </w:r>
      <w:r>
        <w:rPr>
          <w:sz w:val="18"/>
        </w:rPr>
        <w:t>provided</w:t>
      </w:r>
      <w:r>
        <w:rPr>
          <w:spacing w:val="-12"/>
          <w:sz w:val="18"/>
        </w:rPr>
        <w:t xml:space="preserve"> </w:t>
      </w:r>
      <w:r>
        <w:rPr>
          <w:sz w:val="18"/>
        </w:rPr>
        <w:t>its</w:t>
      </w:r>
      <w:r>
        <w:rPr>
          <w:spacing w:val="-8"/>
          <w:sz w:val="18"/>
        </w:rPr>
        <w:t xml:space="preserve"> </w:t>
      </w:r>
      <w:r>
        <w:rPr>
          <w:sz w:val="18"/>
        </w:rPr>
        <w:t>views</w:t>
      </w:r>
      <w:r>
        <w:rPr>
          <w:spacing w:val="-12"/>
          <w:sz w:val="18"/>
        </w:rPr>
        <w:t xml:space="preserve"> </w:t>
      </w:r>
      <w:r>
        <w:rPr>
          <w:sz w:val="18"/>
        </w:rPr>
        <w:t>in</w:t>
      </w:r>
      <w:r>
        <w:rPr>
          <w:spacing w:val="-8"/>
          <w:sz w:val="18"/>
        </w:rPr>
        <w:t xml:space="preserve"> </w:t>
      </w:r>
      <w:r>
        <w:rPr>
          <w:sz w:val="18"/>
        </w:rPr>
        <w:t>relation</w:t>
      </w:r>
      <w:r>
        <w:rPr>
          <w:spacing w:val="-12"/>
          <w:sz w:val="18"/>
        </w:rPr>
        <w:t xml:space="preserve"> </w:t>
      </w:r>
      <w:r>
        <w:rPr>
          <w:sz w:val="18"/>
        </w:rPr>
        <w:t>to</w:t>
      </w:r>
      <w:r>
        <w:rPr>
          <w:spacing w:val="-13"/>
          <w:sz w:val="18"/>
        </w:rPr>
        <w:t xml:space="preserve"> </w:t>
      </w:r>
      <w:r>
        <w:rPr>
          <w:sz w:val="18"/>
        </w:rPr>
        <w:t>the</w:t>
      </w:r>
      <w:r>
        <w:rPr>
          <w:spacing w:val="-12"/>
          <w:sz w:val="18"/>
        </w:rPr>
        <w:t xml:space="preserve"> </w:t>
      </w:r>
      <w:r>
        <w:rPr>
          <w:i/>
          <w:sz w:val="18"/>
        </w:rPr>
        <w:t>China</w:t>
      </w:r>
      <w:r>
        <w:rPr>
          <w:i/>
          <w:spacing w:val="-11"/>
          <w:sz w:val="18"/>
        </w:rPr>
        <w:t xml:space="preserve"> </w:t>
      </w:r>
      <w:r>
        <w:rPr>
          <w:i/>
          <w:sz w:val="18"/>
        </w:rPr>
        <w:t>–</w:t>
      </w:r>
      <w:r>
        <w:rPr>
          <w:i/>
          <w:spacing w:val="-12"/>
          <w:sz w:val="18"/>
        </w:rPr>
        <w:t xml:space="preserve"> </w:t>
      </w:r>
      <w:r>
        <w:rPr>
          <w:i/>
          <w:sz w:val="18"/>
        </w:rPr>
        <w:t>Broiler</w:t>
      </w:r>
      <w:r>
        <w:rPr>
          <w:i/>
          <w:spacing w:val="-12"/>
          <w:sz w:val="18"/>
        </w:rPr>
        <w:t xml:space="preserve"> </w:t>
      </w:r>
      <w:r>
        <w:rPr>
          <w:i/>
          <w:sz w:val="18"/>
        </w:rPr>
        <w:t>Products</w:t>
      </w:r>
      <w:r>
        <w:rPr>
          <w:i/>
          <w:spacing w:val="-11"/>
          <w:sz w:val="18"/>
        </w:rPr>
        <w:t xml:space="preserve"> </w:t>
      </w:r>
      <w:r>
        <w:rPr>
          <w:sz w:val="18"/>
        </w:rPr>
        <w:t>in</w:t>
      </w:r>
      <w:r>
        <w:rPr>
          <w:spacing w:val="-12"/>
          <w:sz w:val="18"/>
        </w:rPr>
        <w:t xml:space="preserve"> </w:t>
      </w:r>
      <w:r>
        <w:rPr>
          <w:sz w:val="18"/>
        </w:rPr>
        <w:t>its</w:t>
      </w:r>
      <w:r>
        <w:rPr>
          <w:spacing w:val="-7"/>
          <w:sz w:val="18"/>
        </w:rPr>
        <w:t xml:space="preserve"> </w:t>
      </w:r>
      <w:r>
        <w:rPr>
          <w:sz w:val="18"/>
        </w:rPr>
        <w:t>response</w:t>
      </w:r>
      <w:r>
        <w:rPr>
          <w:spacing w:val="-12"/>
          <w:sz w:val="18"/>
        </w:rPr>
        <w:t xml:space="preserve"> </w:t>
      </w:r>
      <w:r>
        <w:rPr>
          <w:sz w:val="18"/>
        </w:rPr>
        <w:t>to</w:t>
      </w:r>
      <w:r>
        <w:rPr>
          <w:spacing w:val="-13"/>
          <w:sz w:val="18"/>
        </w:rPr>
        <w:t xml:space="preserve"> </w:t>
      </w:r>
      <w:r>
        <w:rPr>
          <w:sz w:val="18"/>
        </w:rPr>
        <w:t>Panel</w:t>
      </w:r>
      <w:r>
        <w:rPr>
          <w:spacing w:val="-7"/>
          <w:sz w:val="18"/>
        </w:rPr>
        <w:t xml:space="preserve"> </w:t>
      </w:r>
      <w:r>
        <w:rPr>
          <w:sz w:val="18"/>
        </w:rPr>
        <w:t>question</w:t>
      </w:r>
      <w:r>
        <w:rPr>
          <w:spacing w:val="-12"/>
          <w:sz w:val="18"/>
        </w:rPr>
        <w:t xml:space="preserve"> </w:t>
      </w:r>
      <w:r>
        <w:rPr>
          <w:sz w:val="18"/>
        </w:rPr>
        <w:t>No.</w:t>
      </w:r>
      <w:r>
        <w:rPr>
          <w:spacing w:val="-7"/>
          <w:sz w:val="18"/>
        </w:rPr>
        <w:t xml:space="preserve"> </w:t>
      </w:r>
      <w:r>
        <w:rPr>
          <w:sz w:val="18"/>
        </w:rPr>
        <w:t>32,</w:t>
      </w:r>
      <w:r>
        <w:rPr>
          <w:spacing w:val="-11"/>
          <w:sz w:val="18"/>
        </w:rPr>
        <w:t xml:space="preserve"> </w:t>
      </w:r>
      <w:r>
        <w:rPr>
          <w:sz w:val="18"/>
        </w:rPr>
        <w:t>paras</w:t>
      </w:r>
      <w:r>
        <w:rPr>
          <w:spacing w:val="-1"/>
          <w:sz w:val="18"/>
        </w:rPr>
        <w:t xml:space="preserve"> </w:t>
      </w:r>
      <w:r>
        <w:rPr>
          <w:sz w:val="18"/>
        </w:rPr>
        <w:t xml:space="preserve">79- </w:t>
      </w:r>
      <w:r>
        <w:rPr>
          <w:spacing w:val="-4"/>
          <w:sz w:val="18"/>
        </w:rPr>
        <w:t>83.</w:t>
      </w:r>
    </w:p>
    <w:p w14:paraId="7CF3EB7A" w14:textId="77777777" w:rsidR="00BD462C" w:rsidRDefault="00033D0F">
      <w:pPr>
        <w:spacing w:before="2"/>
        <w:ind w:left="135"/>
        <w:rPr>
          <w:sz w:val="18"/>
        </w:rPr>
      </w:pPr>
      <w:bookmarkStart w:id="878" w:name="_bookmark753"/>
      <w:bookmarkEnd w:id="878"/>
      <w:r>
        <w:rPr>
          <w:position w:val="5"/>
          <w:sz w:val="12"/>
        </w:rPr>
        <w:t>633</w:t>
      </w:r>
      <w:r>
        <w:rPr>
          <w:spacing w:val="12"/>
          <w:position w:val="5"/>
          <w:sz w:val="12"/>
        </w:rPr>
        <w:t xml:space="preserve"> </w:t>
      </w:r>
      <w:r>
        <w:rPr>
          <w:sz w:val="18"/>
        </w:rPr>
        <w:t>Anti-Dumping</w:t>
      </w:r>
      <w:r>
        <w:rPr>
          <w:spacing w:val="-6"/>
          <w:sz w:val="18"/>
        </w:rPr>
        <w:t xml:space="preserve"> </w:t>
      </w:r>
      <w:r>
        <w:rPr>
          <w:sz w:val="18"/>
        </w:rPr>
        <w:t>Final</w:t>
      </w:r>
      <w:r>
        <w:rPr>
          <w:spacing w:val="-2"/>
          <w:sz w:val="18"/>
        </w:rPr>
        <w:t xml:space="preserve"> </w:t>
      </w:r>
      <w:r>
        <w:rPr>
          <w:sz w:val="18"/>
        </w:rPr>
        <w:t>Determination</w:t>
      </w:r>
      <w:r>
        <w:rPr>
          <w:spacing w:val="-7"/>
          <w:sz w:val="18"/>
        </w:rPr>
        <w:t xml:space="preserve"> </w:t>
      </w:r>
      <w:r>
        <w:rPr>
          <w:sz w:val="18"/>
        </w:rPr>
        <w:t>(Exhibit</w:t>
      </w:r>
      <w:r>
        <w:rPr>
          <w:spacing w:val="-1"/>
          <w:sz w:val="18"/>
        </w:rPr>
        <w:t xml:space="preserve"> </w:t>
      </w:r>
      <w:r>
        <w:rPr>
          <w:sz w:val="18"/>
        </w:rPr>
        <w:t>AUS-2),</w:t>
      </w:r>
      <w:r>
        <w:rPr>
          <w:spacing w:val="-4"/>
          <w:sz w:val="18"/>
        </w:rPr>
        <w:t xml:space="preserve"> </w:t>
      </w:r>
      <w:r>
        <w:rPr>
          <w:sz w:val="18"/>
        </w:rPr>
        <w:t>p.</w:t>
      </w:r>
      <w:r>
        <w:rPr>
          <w:spacing w:val="-5"/>
          <w:sz w:val="18"/>
        </w:rPr>
        <w:t xml:space="preserve"> </w:t>
      </w:r>
      <w:r>
        <w:rPr>
          <w:sz w:val="18"/>
        </w:rPr>
        <w:t>113;</w:t>
      </w:r>
      <w:r>
        <w:rPr>
          <w:spacing w:val="-3"/>
          <w:sz w:val="18"/>
        </w:rPr>
        <w:t xml:space="preserve"> </w:t>
      </w:r>
      <w:r>
        <w:rPr>
          <w:sz w:val="18"/>
        </w:rPr>
        <w:t>China's</w:t>
      </w:r>
      <w:r>
        <w:rPr>
          <w:spacing w:val="-11"/>
          <w:sz w:val="18"/>
        </w:rPr>
        <w:t xml:space="preserve"> </w:t>
      </w:r>
      <w:r>
        <w:rPr>
          <w:sz w:val="18"/>
        </w:rPr>
        <w:t>response</w:t>
      </w:r>
      <w:r>
        <w:rPr>
          <w:spacing w:val="-6"/>
          <w:sz w:val="18"/>
        </w:rPr>
        <w:t xml:space="preserve"> </w:t>
      </w:r>
      <w:r>
        <w:rPr>
          <w:sz w:val="18"/>
        </w:rPr>
        <w:t>to</w:t>
      </w:r>
      <w:r>
        <w:rPr>
          <w:spacing w:val="-6"/>
          <w:sz w:val="18"/>
        </w:rPr>
        <w:t xml:space="preserve"> </w:t>
      </w:r>
      <w:r>
        <w:rPr>
          <w:sz w:val="18"/>
        </w:rPr>
        <w:t>Panel</w:t>
      </w:r>
      <w:r>
        <w:rPr>
          <w:spacing w:val="-2"/>
          <w:sz w:val="18"/>
        </w:rPr>
        <w:t xml:space="preserve"> </w:t>
      </w:r>
      <w:r>
        <w:rPr>
          <w:sz w:val="18"/>
        </w:rPr>
        <w:t>question</w:t>
      </w:r>
      <w:r>
        <w:rPr>
          <w:spacing w:val="-7"/>
          <w:sz w:val="18"/>
        </w:rPr>
        <w:t xml:space="preserve"> </w:t>
      </w:r>
      <w:r>
        <w:rPr>
          <w:sz w:val="18"/>
        </w:rPr>
        <w:t>No. 31,</w:t>
      </w:r>
      <w:r>
        <w:rPr>
          <w:spacing w:val="-4"/>
          <w:sz w:val="18"/>
        </w:rPr>
        <w:t xml:space="preserve"> </w:t>
      </w:r>
      <w:r>
        <w:rPr>
          <w:sz w:val="18"/>
        </w:rPr>
        <w:t>paras.</w:t>
      </w:r>
      <w:r>
        <w:rPr>
          <w:spacing w:val="-1"/>
          <w:sz w:val="18"/>
        </w:rPr>
        <w:t xml:space="preserve"> </w:t>
      </w:r>
      <w:r>
        <w:rPr>
          <w:sz w:val="18"/>
        </w:rPr>
        <w:t>176-</w:t>
      </w:r>
      <w:r>
        <w:rPr>
          <w:spacing w:val="-4"/>
          <w:sz w:val="18"/>
        </w:rPr>
        <w:t>177.</w:t>
      </w:r>
    </w:p>
    <w:p w14:paraId="349DB071" w14:textId="77777777" w:rsidR="00BD462C" w:rsidRDefault="00BD462C">
      <w:pPr>
        <w:rPr>
          <w:sz w:val="18"/>
        </w:rPr>
        <w:sectPr w:rsidR="00BD462C">
          <w:pgSz w:w="11910" w:h="16840"/>
          <w:pgMar w:top="860" w:right="500" w:bottom="780" w:left="1280" w:header="566" w:footer="590" w:gutter="0"/>
          <w:cols w:space="720"/>
        </w:sectPr>
      </w:pPr>
    </w:p>
    <w:p w14:paraId="2086A21D"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6805FBD0"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489A4D21"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628DBA69" w14:textId="77777777" w:rsidR="00BD462C" w:rsidRDefault="00033D0F">
      <w:pPr>
        <w:pStyle w:val="BodyText"/>
        <w:spacing w:before="102" w:line="360" w:lineRule="auto"/>
        <w:ind w:left="1840" w:right="918"/>
        <w:jc w:val="both"/>
      </w:pPr>
      <w:r>
        <w:t>making them available for inland shipment.</w:t>
      </w:r>
      <w:hyperlink w:anchor="_bookmark755" w:history="1">
        <w:r>
          <w:rPr>
            <w:vertAlign w:val="superscript"/>
          </w:rPr>
          <w:t>634</w:t>
        </w:r>
      </w:hyperlink>
      <w:r>
        <w:t xml:space="preserve"> As a result, whether or not these</w:t>
      </w:r>
      <w:r>
        <w:rPr>
          <w:spacing w:val="-3"/>
        </w:rPr>
        <w:t xml:space="preserve"> </w:t>
      </w:r>
      <w:r>
        <w:t>additional</w:t>
      </w:r>
      <w:r>
        <w:rPr>
          <w:spacing w:val="-1"/>
        </w:rPr>
        <w:t xml:space="preserve"> </w:t>
      </w:r>
      <w:r>
        <w:t>costs</w:t>
      </w:r>
      <w:r>
        <w:rPr>
          <w:spacing w:val="-2"/>
        </w:rPr>
        <w:t xml:space="preserve"> </w:t>
      </w:r>
      <w:r>
        <w:t>were</w:t>
      </w:r>
      <w:r>
        <w:rPr>
          <w:spacing w:val="-3"/>
        </w:rPr>
        <w:t xml:space="preserve"> </w:t>
      </w:r>
      <w:r>
        <w:t>actually</w:t>
      </w:r>
      <w:r>
        <w:rPr>
          <w:spacing w:val="-2"/>
        </w:rPr>
        <w:t xml:space="preserve"> </w:t>
      </w:r>
      <w:r>
        <w:t>included</w:t>
      </w:r>
      <w:r>
        <w:rPr>
          <w:spacing w:val="-5"/>
        </w:rPr>
        <w:t xml:space="preserve"> </w:t>
      </w:r>
      <w:r>
        <w:t>in</w:t>
      </w:r>
      <w:r>
        <w:rPr>
          <w:spacing w:val="-5"/>
        </w:rPr>
        <w:t xml:space="preserve"> </w:t>
      </w:r>
      <w:r>
        <w:t>the</w:t>
      </w:r>
      <w:r>
        <w:rPr>
          <w:spacing w:val="-3"/>
        </w:rPr>
        <w:t xml:space="preserve"> </w:t>
      </w:r>
      <w:r>
        <w:t>export price</w:t>
      </w:r>
      <w:r>
        <w:rPr>
          <w:spacing w:val="-3"/>
        </w:rPr>
        <w:t xml:space="preserve"> </w:t>
      </w:r>
      <w:r>
        <w:t>charged</w:t>
      </w:r>
      <w:r>
        <w:rPr>
          <w:spacing w:val="-1"/>
        </w:rPr>
        <w:t xml:space="preserve"> </w:t>
      </w:r>
      <w:r>
        <w:t>by Australian exporters is irrelevant. They were not reflected in the data forming the basis of MOFCOM's price calculation and nor were they reflected in any of the adjustments MOFCOM subsequently applied.</w:t>
      </w:r>
    </w:p>
    <w:p w14:paraId="72353CA9" w14:textId="234448DD" w:rsidR="00BD462C" w:rsidRDefault="00AF5F66">
      <w:pPr>
        <w:pStyle w:val="BodyText"/>
        <w:spacing w:before="121" w:line="360" w:lineRule="auto"/>
        <w:ind w:left="135" w:right="913" w:hanging="5"/>
        <w:jc w:val="both"/>
      </w:pPr>
      <w:r>
        <w:rPr>
          <w:noProof/>
        </w:rPr>
        <w:t>448.</w:t>
      </w:r>
      <w:r w:rsidR="00033D0F">
        <w:rPr>
          <w:rFonts w:ascii="Times New Roman"/>
          <w:spacing w:val="80"/>
          <w:position w:val="1"/>
          <w:sz w:val="20"/>
        </w:rPr>
        <w:t xml:space="preserve"> </w:t>
      </w:r>
      <w:r w:rsidR="00033D0F">
        <w:rPr>
          <w:position w:val="1"/>
        </w:rPr>
        <w:t xml:space="preserve">Fourth, Australia does not accept that the adjustments MOFCOM applied to the </w:t>
      </w:r>
      <w:r w:rsidR="00033D0F">
        <w:t>annual</w:t>
      </w:r>
      <w:r w:rsidR="00033D0F">
        <w:rPr>
          <w:spacing w:val="-6"/>
        </w:rPr>
        <w:t xml:space="preserve"> </w:t>
      </w:r>
      <w:r w:rsidR="00033D0F">
        <w:t>CIF</w:t>
      </w:r>
      <w:r w:rsidR="00033D0F">
        <w:rPr>
          <w:spacing w:val="-9"/>
        </w:rPr>
        <w:t xml:space="preserve"> </w:t>
      </w:r>
      <w:r w:rsidR="00033D0F">
        <w:t>price</w:t>
      </w:r>
      <w:r w:rsidR="00033D0F">
        <w:rPr>
          <w:spacing w:val="-8"/>
        </w:rPr>
        <w:t xml:space="preserve"> </w:t>
      </w:r>
      <w:r w:rsidR="00033D0F">
        <w:t>in</w:t>
      </w:r>
      <w:r w:rsidR="00033D0F">
        <w:rPr>
          <w:spacing w:val="-10"/>
        </w:rPr>
        <w:t xml:space="preserve"> </w:t>
      </w:r>
      <w:r w:rsidR="00033D0F">
        <w:t>fact</w:t>
      </w:r>
      <w:r w:rsidR="00033D0F">
        <w:rPr>
          <w:spacing w:val="-8"/>
        </w:rPr>
        <w:t xml:space="preserve"> </w:t>
      </w:r>
      <w:r w:rsidR="00033D0F">
        <w:t>account</w:t>
      </w:r>
      <w:r w:rsidR="00033D0F">
        <w:rPr>
          <w:spacing w:val="-8"/>
        </w:rPr>
        <w:t xml:space="preserve"> </w:t>
      </w:r>
      <w:r w:rsidR="00033D0F">
        <w:t>for</w:t>
      </w:r>
      <w:r w:rsidR="00033D0F">
        <w:rPr>
          <w:spacing w:val="-11"/>
        </w:rPr>
        <w:t xml:space="preserve"> </w:t>
      </w:r>
      <w:r w:rsidR="00033D0F">
        <w:t>the</w:t>
      </w:r>
      <w:r w:rsidR="00033D0F">
        <w:rPr>
          <w:spacing w:val="-8"/>
        </w:rPr>
        <w:t xml:space="preserve"> </w:t>
      </w:r>
      <w:r w:rsidR="00033D0F">
        <w:t>difference</w:t>
      </w:r>
      <w:r w:rsidR="00033D0F">
        <w:rPr>
          <w:spacing w:val="-8"/>
        </w:rPr>
        <w:t xml:space="preserve"> </w:t>
      </w:r>
      <w:r w:rsidR="00033D0F">
        <w:t>in</w:t>
      </w:r>
      <w:r w:rsidR="00033D0F">
        <w:rPr>
          <w:spacing w:val="-10"/>
        </w:rPr>
        <w:t xml:space="preserve"> </w:t>
      </w:r>
      <w:r w:rsidR="00033D0F">
        <w:t>conditions</w:t>
      </w:r>
      <w:r w:rsidR="00033D0F">
        <w:rPr>
          <w:spacing w:val="-7"/>
        </w:rPr>
        <w:t xml:space="preserve"> </w:t>
      </w:r>
      <w:r w:rsidR="00033D0F">
        <w:t>of</w:t>
      </w:r>
      <w:r w:rsidR="00033D0F">
        <w:rPr>
          <w:spacing w:val="-10"/>
        </w:rPr>
        <w:t xml:space="preserve"> </w:t>
      </w:r>
      <w:r w:rsidR="00033D0F">
        <w:t>sale.</w:t>
      </w:r>
      <w:hyperlink w:anchor="_bookmark756" w:history="1">
        <w:r w:rsidR="00033D0F">
          <w:rPr>
            <w:vertAlign w:val="superscript"/>
          </w:rPr>
          <w:t>635</w:t>
        </w:r>
      </w:hyperlink>
      <w:r w:rsidR="00033D0F">
        <w:rPr>
          <w:spacing w:val="-7"/>
        </w:rPr>
        <w:t xml:space="preserve"> </w:t>
      </w:r>
      <w:r w:rsidR="00033D0F">
        <w:t>The</w:t>
      </w:r>
      <w:r w:rsidR="00033D0F">
        <w:rPr>
          <w:spacing w:val="-8"/>
        </w:rPr>
        <w:t xml:space="preserve"> </w:t>
      </w:r>
      <w:r w:rsidR="00033D0F">
        <w:t>record</w:t>
      </w:r>
      <w:r w:rsidR="00033D0F">
        <w:rPr>
          <w:spacing w:val="-10"/>
        </w:rPr>
        <w:t xml:space="preserve"> </w:t>
      </w:r>
      <w:r w:rsidR="00033D0F">
        <w:t>evidence establishes that MOFCOM applied an adjustment to the CIF price for "customs clearance costs" which were "adopted from the responses to the Questionnaire for Chinese Importers".</w:t>
      </w:r>
      <w:hyperlink w:anchor="_bookmark757" w:history="1">
        <w:r w:rsidR="00033D0F">
          <w:rPr>
            <w:vertAlign w:val="superscript"/>
          </w:rPr>
          <w:t>636</w:t>
        </w:r>
      </w:hyperlink>
      <w:r w:rsidR="00033D0F">
        <w:t xml:space="preserve"> China has subsequently asserted "they include all the costs</w:t>
      </w:r>
      <w:r w:rsidR="00033D0F">
        <w:rPr>
          <w:spacing w:val="-1"/>
        </w:rPr>
        <w:t xml:space="preserve"> </w:t>
      </w:r>
      <w:r w:rsidR="00033D0F">
        <w:t>involved in getting the goods customs cleared, i.e. customs brokerage and handling fees, and the logistics costs for getting the goods from the vessel (including unloading) to the docks for the importer to take delivery."</w:t>
      </w:r>
      <w:hyperlink w:anchor="_bookmark758" w:history="1">
        <w:r w:rsidR="00033D0F">
          <w:rPr>
            <w:vertAlign w:val="superscript"/>
          </w:rPr>
          <w:t>637</w:t>
        </w:r>
      </w:hyperlink>
      <w:r w:rsidR="00033D0F">
        <w:t xml:space="preserve"> There is simply no evidence before the Panel that establishes this.</w:t>
      </w:r>
      <w:hyperlink w:anchor="_bookmark759" w:history="1">
        <w:r w:rsidR="00033D0F">
          <w:rPr>
            <w:vertAlign w:val="superscript"/>
          </w:rPr>
          <w:t>638</w:t>
        </w:r>
      </w:hyperlink>
      <w:r w:rsidR="00033D0F">
        <w:t xml:space="preserve"> Australia's position is that adjustments were required to account for: (i)</w:t>
      </w:r>
      <w:r w:rsidR="00033D0F">
        <w:rPr>
          <w:spacing w:val="-3"/>
        </w:rPr>
        <w:t xml:space="preserve"> </w:t>
      </w:r>
      <w:r w:rsidR="00033D0F">
        <w:t>stevedoring and logistics</w:t>
      </w:r>
      <w:r w:rsidR="00033D0F">
        <w:rPr>
          <w:spacing w:val="-9"/>
        </w:rPr>
        <w:t xml:space="preserve"> </w:t>
      </w:r>
      <w:r w:rsidR="00033D0F">
        <w:t>associated</w:t>
      </w:r>
      <w:r w:rsidR="00033D0F">
        <w:rPr>
          <w:spacing w:val="-13"/>
        </w:rPr>
        <w:t xml:space="preserve"> </w:t>
      </w:r>
      <w:r w:rsidR="00033D0F">
        <w:t>with</w:t>
      </w:r>
      <w:r w:rsidR="00033D0F">
        <w:rPr>
          <w:spacing w:val="-13"/>
        </w:rPr>
        <w:t xml:space="preserve"> </w:t>
      </w:r>
      <w:r w:rsidR="00033D0F">
        <w:t>unloading</w:t>
      </w:r>
      <w:r w:rsidR="00033D0F">
        <w:rPr>
          <w:spacing w:val="-9"/>
        </w:rPr>
        <w:t xml:space="preserve"> </w:t>
      </w:r>
      <w:r w:rsidR="00033D0F">
        <w:t>the</w:t>
      </w:r>
      <w:r w:rsidR="00033D0F">
        <w:rPr>
          <w:spacing w:val="-11"/>
        </w:rPr>
        <w:t xml:space="preserve"> </w:t>
      </w:r>
      <w:r w:rsidR="00033D0F">
        <w:t>goods</w:t>
      </w:r>
      <w:r w:rsidR="00033D0F">
        <w:rPr>
          <w:spacing w:val="-9"/>
        </w:rPr>
        <w:t xml:space="preserve"> </w:t>
      </w:r>
      <w:r w:rsidR="00033D0F">
        <w:t>from</w:t>
      </w:r>
      <w:r w:rsidR="00033D0F">
        <w:rPr>
          <w:spacing w:val="-6"/>
        </w:rPr>
        <w:t xml:space="preserve"> </w:t>
      </w:r>
      <w:r w:rsidR="00033D0F">
        <w:t>the</w:t>
      </w:r>
      <w:r w:rsidR="00033D0F">
        <w:rPr>
          <w:spacing w:val="-11"/>
        </w:rPr>
        <w:t xml:space="preserve"> </w:t>
      </w:r>
      <w:r w:rsidR="00033D0F">
        <w:t>vessel</w:t>
      </w:r>
      <w:r w:rsidR="00033D0F">
        <w:rPr>
          <w:spacing w:val="-9"/>
        </w:rPr>
        <w:t xml:space="preserve"> </w:t>
      </w:r>
      <w:r w:rsidR="00033D0F">
        <w:t>of</w:t>
      </w:r>
      <w:r w:rsidR="00033D0F">
        <w:rPr>
          <w:spacing w:val="-13"/>
        </w:rPr>
        <w:t xml:space="preserve"> </w:t>
      </w:r>
      <w:r w:rsidR="00033D0F">
        <w:t>entry;</w:t>
      </w:r>
      <w:r w:rsidR="00033D0F">
        <w:rPr>
          <w:spacing w:val="-9"/>
        </w:rPr>
        <w:t xml:space="preserve"> </w:t>
      </w:r>
      <w:r w:rsidR="00033D0F">
        <w:t>(ii)</w:t>
      </w:r>
      <w:r w:rsidR="00033D0F">
        <w:rPr>
          <w:spacing w:val="-2"/>
        </w:rPr>
        <w:t xml:space="preserve"> </w:t>
      </w:r>
      <w:r w:rsidR="00033D0F">
        <w:t>transportation</w:t>
      </w:r>
      <w:r w:rsidR="00033D0F">
        <w:rPr>
          <w:spacing w:val="-13"/>
        </w:rPr>
        <w:t xml:space="preserve"> </w:t>
      </w:r>
      <w:r w:rsidR="00033D0F">
        <w:t>costs associated with moving the goods from the dock to warehousing facilities; and (iii) warehousing and storage costs.</w:t>
      </w:r>
      <w:hyperlink w:anchor="_bookmark760" w:history="1">
        <w:r w:rsidR="00033D0F">
          <w:rPr>
            <w:vertAlign w:val="superscript"/>
          </w:rPr>
          <w:t>639</w:t>
        </w:r>
      </w:hyperlink>
      <w:r w:rsidR="00033D0F">
        <w:t xml:space="preserve"> Even if the Panel were to accept China's unsubstantiated assertions</w:t>
      </w:r>
      <w:r w:rsidR="00033D0F">
        <w:rPr>
          <w:spacing w:val="-5"/>
        </w:rPr>
        <w:t xml:space="preserve"> </w:t>
      </w:r>
      <w:r w:rsidR="00033D0F">
        <w:t>concerning</w:t>
      </w:r>
      <w:r w:rsidR="00033D0F">
        <w:rPr>
          <w:spacing w:val="-5"/>
        </w:rPr>
        <w:t xml:space="preserve"> </w:t>
      </w:r>
      <w:r w:rsidR="00033D0F">
        <w:t>the</w:t>
      </w:r>
      <w:r w:rsidR="00033D0F">
        <w:rPr>
          <w:spacing w:val="-6"/>
        </w:rPr>
        <w:t xml:space="preserve"> </w:t>
      </w:r>
      <w:r w:rsidR="00033D0F">
        <w:t>costs</w:t>
      </w:r>
      <w:r w:rsidR="00033D0F">
        <w:rPr>
          <w:spacing w:val="-5"/>
        </w:rPr>
        <w:t xml:space="preserve"> </w:t>
      </w:r>
      <w:r w:rsidR="00033D0F">
        <w:t>included</w:t>
      </w:r>
      <w:r w:rsidR="00033D0F">
        <w:rPr>
          <w:spacing w:val="-8"/>
        </w:rPr>
        <w:t xml:space="preserve"> </w:t>
      </w:r>
      <w:r w:rsidR="00033D0F">
        <w:t>in</w:t>
      </w:r>
      <w:r w:rsidR="00033D0F">
        <w:rPr>
          <w:spacing w:val="-8"/>
        </w:rPr>
        <w:t xml:space="preserve"> </w:t>
      </w:r>
      <w:r w:rsidR="00033D0F">
        <w:t>the</w:t>
      </w:r>
      <w:r w:rsidR="00033D0F">
        <w:rPr>
          <w:spacing w:val="-2"/>
        </w:rPr>
        <w:t xml:space="preserve"> </w:t>
      </w:r>
      <w:r w:rsidR="00033D0F">
        <w:t>"customs</w:t>
      </w:r>
      <w:r w:rsidR="00033D0F">
        <w:rPr>
          <w:spacing w:val="-5"/>
        </w:rPr>
        <w:t xml:space="preserve"> </w:t>
      </w:r>
      <w:r w:rsidR="00033D0F">
        <w:t>clearance</w:t>
      </w:r>
      <w:r w:rsidR="00033D0F">
        <w:rPr>
          <w:spacing w:val="-6"/>
        </w:rPr>
        <w:t xml:space="preserve"> </w:t>
      </w:r>
      <w:r w:rsidR="00033D0F">
        <w:t>costs",</w:t>
      </w:r>
      <w:r w:rsidR="00033D0F">
        <w:rPr>
          <w:spacing w:val="-4"/>
        </w:rPr>
        <w:t xml:space="preserve"> </w:t>
      </w:r>
      <w:r w:rsidR="00033D0F">
        <w:t>it</w:t>
      </w:r>
      <w:r w:rsidR="00033D0F">
        <w:rPr>
          <w:spacing w:val="-6"/>
        </w:rPr>
        <w:t xml:space="preserve"> </w:t>
      </w:r>
      <w:r w:rsidR="00033D0F">
        <w:t>remains</w:t>
      </w:r>
      <w:r w:rsidR="00033D0F">
        <w:rPr>
          <w:spacing w:val="-5"/>
        </w:rPr>
        <w:t xml:space="preserve"> </w:t>
      </w:r>
      <w:r w:rsidR="00033D0F">
        <w:t>the</w:t>
      </w:r>
      <w:r w:rsidR="00033D0F">
        <w:rPr>
          <w:spacing w:val="-6"/>
        </w:rPr>
        <w:t xml:space="preserve"> </w:t>
      </w:r>
      <w:r w:rsidR="00033D0F">
        <w:t>case that MOFCOM did not apply adjustments to account for at least items (ii) and (iii).</w:t>
      </w:r>
    </w:p>
    <w:p w14:paraId="7F651C85" w14:textId="77777777" w:rsidR="00BD462C" w:rsidRDefault="00033D0F">
      <w:pPr>
        <w:pStyle w:val="ListParagraph"/>
        <w:numPr>
          <w:ilvl w:val="0"/>
          <w:numId w:val="55"/>
        </w:numPr>
        <w:tabs>
          <w:tab w:val="left" w:pos="3539"/>
          <w:tab w:val="left" w:pos="3540"/>
        </w:tabs>
        <w:spacing w:before="155" w:line="362" w:lineRule="auto"/>
        <w:ind w:right="913"/>
        <w:jc w:val="both"/>
        <w:rPr>
          <w:sz w:val="24"/>
        </w:rPr>
      </w:pPr>
      <w:bookmarkStart w:id="879" w:name="(d)_MOFCOM_failed_to_ensure_price_compar"/>
      <w:bookmarkStart w:id="880" w:name="_bookmark754"/>
      <w:bookmarkEnd w:id="879"/>
      <w:bookmarkEnd w:id="880"/>
      <w:r>
        <w:rPr>
          <w:sz w:val="24"/>
          <w:u w:val="single"/>
        </w:rPr>
        <w:t>MOFCOM</w:t>
      </w:r>
      <w:r>
        <w:rPr>
          <w:spacing w:val="-5"/>
          <w:sz w:val="24"/>
          <w:u w:val="single"/>
        </w:rPr>
        <w:t xml:space="preserve"> </w:t>
      </w:r>
      <w:r>
        <w:rPr>
          <w:sz w:val="24"/>
          <w:u w:val="single"/>
        </w:rPr>
        <w:t>failed</w:t>
      </w:r>
      <w:r>
        <w:rPr>
          <w:spacing w:val="-7"/>
          <w:sz w:val="24"/>
          <w:u w:val="single"/>
        </w:rPr>
        <w:t xml:space="preserve"> </w:t>
      </w:r>
      <w:r>
        <w:rPr>
          <w:sz w:val="24"/>
          <w:u w:val="single"/>
        </w:rPr>
        <w:t>to</w:t>
      </w:r>
      <w:r>
        <w:rPr>
          <w:spacing w:val="-8"/>
          <w:sz w:val="24"/>
          <w:u w:val="single"/>
        </w:rPr>
        <w:t xml:space="preserve"> </w:t>
      </w:r>
      <w:r>
        <w:rPr>
          <w:sz w:val="24"/>
          <w:u w:val="single"/>
        </w:rPr>
        <w:t>ensure</w:t>
      </w:r>
      <w:r>
        <w:rPr>
          <w:spacing w:val="-5"/>
          <w:sz w:val="24"/>
          <w:u w:val="single"/>
        </w:rPr>
        <w:t xml:space="preserve"> </w:t>
      </w:r>
      <w:r>
        <w:rPr>
          <w:sz w:val="24"/>
          <w:u w:val="single"/>
        </w:rPr>
        <w:t>price</w:t>
      </w:r>
      <w:r>
        <w:rPr>
          <w:spacing w:val="-5"/>
          <w:sz w:val="24"/>
          <w:u w:val="single"/>
        </w:rPr>
        <w:t xml:space="preserve"> </w:t>
      </w:r>
      <w:r>
        <w:rPr>
          <w:sz w:val="24"/>
          <w:u w:val="single"/>
        </w:rPr>
        <w:t>comparability</w:t>
      </w:r>
      <w:r>
        <w:rPr>
          <w:spacing w:val="-5"/>
          <w:sz w:val="24"/>
          <w:u w:val="single"/>
        </w:rPr>
        <w:t xml:space="preserve"> </w:t>
      </w:r>
      <w:r>
        <w:rPr>
          <w:sz w:val="24"/>
          <w:u w:val="single"/>
        </w:rPr>
        <w:t>by</w:t>
      </w:r>
      <w:r>
        <w:rPr>
          <w:spacing w:val="-5"/>
          <w:sz w:val="24"/>
          <w:u w:val="single"/>
        </w:rPr>
        <w:t xml:space="preserve"> </w:t>
      </w:r>
      <w:r>
        <w:rPr>
          <w:sz w:val="24"/>
          <w:u w:val="single"/>
        </w:rPr>
        <w:t>failing</w:t>
      </w:r>
      <w:r>
        <w:rPr>
          <w:spacing w:val="-5"/>
          <w:sz w:val="24"/>
          <w:u w:val="single"/>
        </w:rPr>
        <w:t xml:space="preserve"> </w:t>
      </w:r>
      <w:r>
        <w:rPr>
          <w:sz w:val="24"/>
          <w:u w:val="single"/>
        </w:rPr>
        <w:t>to</w:t>
      </w:r>
      <w:r>
        <w:rPr>
          <w:sz w:val="24"/>
        </w:rPr>
        <w:t xml:space="preserve"> </w:t>
      </w:r>
      <w:r>
        <w:rPr>
          <w:sz w:val="24"/>
          <w:u w:val="single"/>
        </w:rPr>
        <w:t>account for differences in product mix</w:t>
      </w:r>
    </w:p>
    <w:p w14:paraId="650427B4" w14:textId="77777777" w:rsidR="00BD462C" w:rsidRDefault="00BD462C">
      <w:pPr>
        <w:pStyle w:val="BodyText"/>
        <w:spacing w:before="8"/>
        <w:rPr>
          <w:sz w:val="8"/>
        </w:rPr>
      </w:pPr>
    </w:p>
    <w:p w14:paraId="6B741B4D" w14:textId="76F6EBE2" w:rsidR="00BD462C" w:rsidRDefault="00AF5F66">
      <w:pPr>
        <w:pStyle w:val="BodyText"/>
        <w:spacing w:before="56" w:line="360" w:lineRule="auto"/>
        <w:ind w:left="135" w:right="914" w:hanging="5"/>
        <w:jc w:val="both"/>
      </w:pPr>
      <w:r>
        <w:rPr>
          <w:noProof/>
        </w:rPr>
        <w:t>449.</w:t>
      </w:r>
      <w:r w:rsidR="00033D0F">
        <w:rPr>
          <w:rFonts w:ascii="Times New Roman"/>
          <w:spacing w:val="80"/>
          <w:position w:val="1"/>
          <w:sz w:val="20"/>
        </w:rPr>
        <w:t xml:space="preserve"> </w:t>
      </w:r>
      <w:r w:rsidR="00033D0F">
        <w:rPr>
          <w:position w:val="1"/>
        </w:rPr>
        <w:t>China</w:t>
      </w:r>
      <w:r w:rsidR="00033D0F">
        <w:rPr>
          <w:spacing w:val="-4"/>
          <w:position w:val="1"/>
        </w:rPr>
        <w:t xml:space="preserve"> </w:t>
      </w:r>
      <w:r w:rsidR="00033D0F">
        <w:rPr>
          <w:position w:val="1"/>
        </w:rPr>
        <w:t>argues</w:t>
      </w:r>
      <w:r w:rsidR="00033D0F">
        <w:rPr>
          <w:spacing w:val="-2"/>
          <w:position w:val="1"/>
        </w:rPr>
        <w:t xml:space="preserve"> </w:t>
      </w:r>
      <w:r w:rsidR="00033D0F">
        <w:rPr>
          <w:position w:val="1"/>
        </w:rPr>
        <w:t>that</w:t>
      </w:r>
      <w:r w:rsidR="00033D0F">
        <w:rPr>
          <w:spacing w:val="-8"/>
          <w:position w:val="1"/>
        </w:rPr>
        <w:t xml:space="preserve"> </w:t>
      </w:r>
      <w:r w:rsidR="00033D0F">
        <w:rPr>
          <w:position w:val="1"/>
        </w:rPr>
        <w:t>either:</w:t>
      </w:r>
      <w:r w:rsidR="00033D0F">
        <w:rPr>
          <w:spacing w:val="-6"/>
          <w:position w:val="1"/>
        </w:rPr>
        <w:t xml:space="preserve"> </w:t>
      </w:r>
      <w:r w:rsidR="00033D0F">
        <w:rPr>
          <w:position w:val="1"/>
        </w:rPr>
        <w:t>(i)</w:t>
      </w:r>
      <w:r w:rsidR="00033D0F">
        <w:rPr>
          <w:spacing w:val="-5"/>
          <w:position w:val="1"/>
        </w:rPr>
        <w:t xml:space="preserve"> </w:t>
      </w:r>
      <w:r w:rsidR="00033D0F">
        <w:rPr>
          <w:position w:val="1"/>
        </w:rPr>
        <w:t>MOFCOM</w:t>
      </w:r>
      <w:r w:rsidR="00033D0F">
        <w:rPr>
          <w:spacing w:val="-3"/>
          <w:position w:val="1"/>
        </w:rPr>
        <w:t xml:space="preserve"> </w:t>
      </w:r>
      <w:r w:rsidR="00033D0F">
        <w:rPr>
          <w:position w:val="1"/>
        </w:rPr>
        <w:t>did</w:t>
      </w:r>
      <w:r w:rsidR="00033D0F">
        <w:rPr>
          <w:spacing w:val="-5"/>
          <w:position w:val="1"/>
        </w:rPr>
        <w:t xml:space="preserve"> </w:t>
      </w:r>
      <w:r w:rsidR="00033D0F">
        <w:rPr>
          <w:position w:val="1"/>
        </w:rPr>
        <w:t>consider</w:t>
      </w:r>
      <w:r w:rsidR="00033D0F">
        <w:rPr>
          <w:spacing w:val="-6"/>
          <w:position w:val="1"/>
        </w:rPr>
        <w:t xml:space="preserve"> </w:t>
      </w:r>
      <w:r w:rsidR="00033D0F">
        <w:rPr>
          <w:position w:val="1"/>
        </w:rPr>
        <w:t>product</w:t>
      </w:r>
      <w:r w:rsidR="00033D0F">
        <w:rPr>
          <w:spacing w:val="-3"/>
          <w:position w:val="1"/>
        </w:rPr>
        <w:t xml:space="preserve"> </w:t>
      </w:r>
      <w:r w:rsidR="00033D0F">
        <w:rPr>
          <w:position w:val="1"/>
        </w:rPr>
        <w:t>mix</w:t>
      </w:r>
      <w:r w:rsidR="00033D0F">
        <w:rPr>
          <w:spacing w:val="-2"/>
          <w:position w:val="1"/>
        </w:rPr>
        <w:t xml:space="preserve"> </w:t>
      </w:r>
      <w:r w:rsidR="00033D0F">
        <w:rPr>
          <w:position w:val="1"/>
        </w:rPr>
        <w:t>and</w:t>
      </w:r>
      <w:r w:rsidR="00033D0F">
        <w:rPr>
          <w:spacing w:val="-5"/>
          <w:position w:val="1"/>
        </w:rPr>
        <w:t xml:space="preserve"> </w:t>
      </w:r>
      <w:r w:rsidR="00033D0F">
        <w:rPr>
          <w:position w:val="1"/>
        </w:rPr>
        <w:t>determined</w:t>
      </w:r>
      <w:r w:rsidR="00033D0F">
        <w:rPr>
          <w:spacing w:val="-5"/>
          <w:position w:val="1"/>
        </w:rPr>
        <w:t xml:space="preserve"> </w:t>
      </w:r>
      <w:r w:rsidR="00033D0F">
        <w:rPr>
          <w:position w:val="1"/>
        </w:rPr>
        <w:t xml:space="preserve">that </w:t>
      </w:r>
      <w:r w:rsidR="00033D0F">
        <w:t>it was not a relevant to price comparability and so did not need to be accounted for in the price calculation;</w:t>
      </w:r>
      <w:hyperlink w:anchor="_bookmark761" w:history="1">
        <w:r w:rsidR="00033D0F">
          <w:rPr>
            <w:vertAlign w:val="superscript"/>
          </w:rPr>
          <w:t>640</w:t>
        </w:r>
      </w:hyperlink>
      <w:r w:rsidR="00033D0F">
        <w:t xml:space="preserve"> or (ii) alternatively, MOFCOM had recourse to facts available and, as a result, MOFCOM's average unit prices reflected the "best information" and, in that respect,</w:t>
      </w:r>
    </w:p>
    <w:p w14:paraId="60483CED" w14:textId="77777777" w:rsidR="00BD462C" w:rsidRDefault="00BD462C">
      <w:pPr>
        <w:pStyle w:val="BodyText"/>
        <w:rPr>
          <w:sz w:val="20"/>
        </w:rPr>
      </w:pPr>
    </w:p>
    <w:p w14:paraId="4E5635ED" w14:textId="76EEDDA1" w:rsidR="00BD462C" w:rsidRDefault="00D70C7D">
      <w:pPr>
        <w:pStyle w:val="BodyText"/>
        <w:spacing w:before="10"/>
        <w:rPr>
          <w:sz w:val="10"/>
        </w:rPr>
      </w:pPr>
      <w:r>
        <w:rPr>
          <w:noProof/>
        </w:rPr>
        <mc:AlternateContent>
          <mc:Choice Requires="wps">
            <w:drawing>
              <wp:anchor distT="0" distB="0" distL="0" distR="0" simplePos="0" relativeHeight="487768064" behindDoc="1" locked="0" layoutInCell="1" allowOverlap="1" wp14:anchorId="38AA5656" wp14:editId="5AD19A4F">
                <wp:simplePos x="0" y="0"/>
                <wp:positionH relativeFrom="page">
                  <wp:posOffset>899160</wp:posOffset>
                </wp:positionH>
                <wp:positionV relativeFrom="paragraph">
                  <wp:posOffset>99695</wp:posOffset>
                </wp:positionV>
                <wp:extent cx="1828800" cy="8890"/>
                <wp:effectExtent l="0" t="0" r="0" b="0"/>
                <wp:wrapTopAndBottom/>
                <wp:docPr id="640" name="docshape3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FAC642" id="docshape399" o:spid="_x0000_s1026" alt="&quot;&quot;" style="position:absolute;margin-left:70.8pt;margin-top:7.85pt;width:2in;height:.7pt;z-index:-15548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" fillcolor="black" stroked="f">
                <w10:wrap type="topAndBottom" anchorx="page"/>
              </v:rect>
            </w:pict>
          </mc:Fallback>
        </mc:AlternateContent>
      </w:r>
    </w:p>
    <w:p w14:paraId="5C5F992A" w14:textId="77777777" w:rsidR="00BD462C" w:rsidRDefault="00033D0F">
      <w:pPr>
        <w:spacing w:before="112"/>
        <w:ind w:left="135"/>
        <w:rPr>
          <w:sz w:val="18"/>
        </w:rPr>
      </w:pPr>
      <w:bookmarkStart w:id="881" w:name="_bookmark755"/>
      <w:bookmarkEnd w:id="881"/>
      <w:r>
        <w:rPr>
          <w:position w:val="5"/>
          <w:sz w:val="12"/>
        </w:rPr>
        <w:t>634</w:t>
      </w:r>
      <w:r>
        <w:rPr>
          <w:spacing w:val="14"/>
          <w:position w:val="5"/>
          <w:sz w:val="12"/>
        </w:rPr>
        <w:t xml:space="preserve"> </w:t>
      </w:r>
      <w:r>
        <w:rPr>
          <w:sz w:val="18"/>
        </w:rPr>
        <w:t>China's</w:t>
      </w:r>
      <w:r>
        <w:rPr>
          <w:spacing w:val="1"/>
          <w:sz w:val="18"/>
        </w:rPr>
        <w:t xml:space="preserve"> </w:t>
      </w:r>
      <w:r>
        <w:rPr>
          <w:sz w:val="18"/>
        </w:rPr>
        <w:t>response</w:t>
      </w:r>
      <w:r>
        <w:rPr>
          <w:spacing w:val="-4"/>
          <w:sz w:val="18"/>
        </w:rPr>
        <w:t xml:space="preserve"> </w:t>
      </w:r>
      <w:r>
        <w:rPr>
          <w:sz w:val="18"/>
        </w:rPr>
        <w:t>to</w:t>
      </w:r>
      <w:r>
        <w:rPr>
          <w:spacing w:val="-9"/>
          <w:sz w:val="18"/>
        </w:rPr>
        <w:t xml:space="preserve"> </w:t>
      </w:r>
      <w:r>
        <w:rPr>
          <w:sz w:val="18"/>
        </w:rPr>
        <w:t>Panel</w:t>
      </w:r>
      <w:r>
        <w:rPr>
          <w:spacing w:val="-3"/>
          <w:sz w:val="18"/>
        </w:rPr>
        <w:t xml:space="preserve"> </w:t>
      </w:r>
      <w:r>
        <w:rPr>
          <w:sz w:val="18"/>
        </w:rPr>
        <w:t>question</w:t>
      </w:r>
      <w:r>
        <w:rPr>
          <w:spacing w:val="-5"/>
          <w:sz w:val="18"/>
        </w:rPr>
        <w:t xml:space="preserve"> </w:t>
      </w:r>
      <w:r>
        <w:rPr>
          <w:sz w:val="18"/>
        </w:rPr>
        <w:t>No.</w:t>
      </w:r>
      <w:r>
        <w:rPr>
          <w:spacing w:val="2"/>
          <w:sz w:val="18"/>
        </w:rPr>
        <w:t xml:space="preserve"> </w:t>
      </w:r>
      <w:r>
        <w:rPr>
          <w:sz w:val="18"/>
        </w:rPr>
        <w:t>31,</w:t>
      </w:r>
      <w:r>
        <w:rPr>
          <w:spacing w:val="-2"/>
          <w:sz w:val="18"/>
        </w:rPr>
        <w:t xml:space="preserve"> </w:t>
      </w:r>
      <w:r>
        <w:rPr>
          <w:sz w:val="18"/>
        </w:rPr>
        <w:t>para.</w:t>
      </w:r>
      <w:r>
        <w:rPr>
          <w:spacing w:val="-3"/>
          <w:sz w:val="18"/>
        </w:rPr>
        <w:t xml:space="preserve"> </w:t>
      </w:r>
      <w:r>
        <w:rPr>
          <w:spacing w:val="-4"/>
          <w:sz w:val="18"/>
        </w:rPr>
        <w:t>176.</w:t>
      </w:r>
    </w:p>
    <w:p w14:paraId="5A83D8D1" w14:textId="77777777" w:rsidR="00BD462C" w:rsidRDefault="00033D0F">
      <w:pPr>
        <w:spacing w:before="1"/>
        <w:ind w:left="135"/>
        <w:rPr>
          <w:sz w:val="18"/>
        </w:rPr>
      </w:pPr>
      <w:bookmarkStart w:id="882" w:name="_bookmark756"/>
      <w:bookmarkEnd w:id="882"/>
      <w:r>
        <w:rPr>
          <w:position w:val="5"/>
          <w:sz w:val="12"/>
        </w:rPr>
        <w:t>635</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para. 1297.</w:t>
      </w:r>
      <w:r>
        <w:rPr>
          <w:spacing w:val="-1"/>
          <w:sz w:val="18"/>
        </w:rPr>
        <w:t xml:space="preserve"> </w:t>
      </w:r>
      <w:r>
        <w:rPr>
          <w:sz w:val="18"/>
        </w:rPr>
        <w:t>China's</w:t>
      </w:r>
      <w:r>
        <w:rPr>
          <w:spacing w:val="-1"/>
          <w:sz w:val="18"/>
        </w:rPr>
        <w:t xml:space="preserve"> </w:t>
      </w:r>
      <w:r>
        <w:rPr>
          <w:sz w:val="18"/>
        </w:rPr>
        <w:t>responses</w:t>
      </w:r>
      <w:r>
        <w:rPr>
          <w:spacing w:val="-6"/>
          <w:sz w:val="18"/>
        </w:rPr>
        <w:t xml:space="preserve"> </w:t>
      </w:r>
      <w:r>
        <w:rPr>
          <w:sz w:val="18"/>
        </w:rPr>
        <w:t>to</w:t>
      </w:r>
      <w:r>
        <w:rPr>
          <w:spacing w:val="-6"/>
          <w:sz w:val="18"/>
        </w:rPr>
        <w:t xml:space="preserve"> </w:t>
      </w:r>
      <w:r>
        <w:rPr>
          <w:sz w:val="18"/>
        </w:rPr>
        <w:t>Panel</w:t>
      </w:r>
      <w:r>
        <w:rPr>
          <w:spacing w:val="-5"/>
          <w:sz w:val="18"/>
        </w:rPr>
        <w:t xml:space="preserve"> </w:t>
      </w:r>
      <w:r>
        <w:rPr>
          <w:sz w:val="18"/>
        </w:rPr>
        <w:t>questions</w:t>
      </w:r>
      <w:r>
        <w:rPr>
          <w:spacing w:val="-6"/>
          <w:sz w:val="18"/>
        </w:rPr>
        <w:t xml:space="preserve"> </w:t>
      </w:r>
      <w:r>
        <w:rPr>
          <w:sz w:val="18"/>
        </w:rPr>
        <w:t>Nos.</w:t>
      </w:r>
      <w:r>
        <w:rPr>
          <w:spacing w:val="-4"/>
          <w:sz w:val="18"/>
        </w:rPr>
        <w:t xml:space="preserve"> </w:t>
      </w:r>
      <w:r>
        <w:rPr>
          <w:sz w:val="18"/>
        </w:rPr>
        <w:t>25</w:t>
      </w:r>
      <w:r>
        <w:rPr>
          <w:spacing w:val="-3"/>
          <w:sz w:val="18"/>
        </w:rPr>
        <w:t xml:space="preserve"> </w:t>
      </w:r>
      <w:r>
        <w:rPr>
          <w:sz w:val="18"/>
        </w:rPr>
        <w:t>and</w:t>
      </w:r>
      <w:r>
        <w:rPr>
          <w:spacing w:val="-2"/>
          <w:sz w:val="18"/>
        </w:rPr>
        <w:t xml:space="preserve"> </w:t>
      </w:r>
      <w:r>
        <w:rPr>
          <w:spacing w:val="-5"/>
          <w:sz w:val="18"/>
        </w:rPr>
        <w:t>31.</w:t>
      </w:r>
    </w:p>
    <w:p w14:paraId="0F21ADBC" w14:textId="77777777" w:rsidR="00BD462C" w:rsidRDefault="00033D0F">
      <w:pPr>
        <w:spacing w:before="1" w:line="218" w:lineRule="exact"/>
        <w:ind w:left="135"/>
        <w:rPr>
          <w:sz w:val="18"/>
        </w:rPr>
      </w:pPr>
      <w:bookmarkStart w:id="883" w:name="_bookmark757"/>
      <w:bookmarkEnd w:id="883"/>
      <w:r>
        <w:rPr>
          <w:position w:val="5"/>
          <w:sz w:val="12"/>
        </w:rPr>
        <w:t>636</w:t>
      </w:r>
      <w:r>
        <w:rPr>
          <w:spacing w:val="12"/>
          <w:position w:val="5"/>
          <w:sz w:val="12"/>
        </w:rPr>
        <w:t xml:space="preserve"> </w:t>
      </w:r>
      <w:r>
        <w:rPr>
          <w:sz w:val="18"/>
        </w:rPr>
        <w:t>Anti-Dumping</w:t>
      </w:r>
      <w:r>
        <w:rPr>
          <w:spacing w:val="-6"/>
          <w:sz w:val="18"/>
        </w:rPr>
        <w:t xml:space="preserve"> </w:t>
      </w:r>
      <w:r>
        <w:rPr>
          <w:sz w:val="18"/>
        </w:rPr>
        <w:t>Final</w:t>
      </w:r>
      <w:r>
        <w:rPr>
          <w:spacing w:val="-1"/>
          <w:sz w:val="18"/>
        </w:rPr>
        <w:t xml:space="preserve"> </w:t>
      </w:r>
      <w:r>
        <w:rPr>
          <w:sz w:val="18"/>
        </w:rPr>
        <w:t>Determination</w:t>
      </w:r>
      <w:r>
        <w:rPr>
          <w:spacing w:val="-6"/>
          <w:sz w:val="18"/>
        </w:rPr>
        <w:t xml:space="preserve"> </w:t>
      </w:r>
      <w:r>
        <w:rPr>
          <w:sz w:val="18"/>
        </w:rPr>
        <w:t>(Exhibit</w:t>
      </w:r>
      <w:r>
        <w:rPr>
          <w:spacing w:val="-2"/>
          <w:sz w:val="18"/>
        </w:rPr>
        <w:t xml:space="preserve"> </w:t>
      </w:r>
      <w:r>
        <w:rPr>
          <w:sz w:val="18"/>
        </w:rPr>
        <w:t>AUS-2),</w:t>
      </w:r>
      <w:r>
        <w:rPr>
          <w:spacing w:val="-4"/>
          <w:sz w:val="18"/>
        </w:rPr>
        <w:t xml:space="preserve"> </w:t>
      </w:r>
      <w:r>
        <w:rPr>
          <w:sz w:val="18"/>
        </w:rPr>
        <w:t>p.</w:t>
      </w:r>
      <w:r>
        <w:rPr>
          <w:spacing w:val="-4"/>
          <w:sz w:val="18"/>
        </w:rPr>
        <w:t xml:space="preserve"> </w:t>
      </w:r>
      <w:r>
        <w:rPr>
          <w:sz w:val="18"/>
        </w:rPr>
        <w:t>113;</w:t>
      </w:r>
      <w:r>
        <w:rPr>
          <w:spacing w:val="-4"/>
          <w:sz w:val="18"/>
        </w:rPr>
        <w:t xml:space="preserve"> </w:t>
      </w:r>
      <w:r>
        <w:rPr>
          <w:sz w:val="18"/>
        </w:rPr>
        <w:t>Final</w:t>
      </w:r>
      <w:r>
        <w:rPr>
          <w:spacing w:val="-4"/>
          <w:sz w:val="18"/>
        </w:rPr>
        <w:t xml:space="preserve"> </w:t>
      </w:r>
      <w:r>
        <w:rPr>
          <w:sz w:val="18"/>
        </w:rPr>
        <w:t>Determination</w:t>
      </w:r>
      <w:r>
        <w:rPr>
          <w:spacing w:val="-7"/>
          <w:sz w:val="18"/>
        </w:rPr>
        <w:t xml:space="preserve"> </w:t>
      </w:r>
      <w:r>
        <w:rPr>
          <w:sz w:val="18"/>
        </w:rPr>
        <w:t>(Exhibit</w:t>
      </w:r>
      <w:r>
        <w:rPr>
          <w:spacing w:val="-5"/>
          <w:sz w:val="18"/>
        </w:rPr>
        <w:t xml:space="preserve"> </w:t>
      </w:r>
      <w:r>
        <w:rPr>
          <w:sz w:val="18"/>
        </w:rPr>
        <w:t>CHN-1),</w:t>
      </w:r>
      <w:r>
        <w:rPr>
          <w:spacing w:val="-4"/>
          <w:sz w:val="18"/>
        </w:rPr>
        <w:t xml:space="preserve"> </w:t>
      </w:r>
      <w:r>
        <w:rPr>
          <w:sz w:val="18"/>
        </w:rPr>
        <w:t>p.</w:t>
      </w:r>
      <w:r>
        <w:rPr>
          <w:spacing w:val="-5"/>
          <w:sz w:val="18"/>
        </w:rPr>
        <w:t xml:space="preserve"> 55.</w:t>
      </w:r>
    </w:p>
    <w:p w14:paraId="1A12B6AD" w14:textId="77777777" w:rsidR="00BD462C" w:rsidRDefault="00033D0F">
      <w:pPr>
        <w:spacing w:line="218" w:lineRule="exact"/>
        <w:ind w:left="135"/>
        <w:rPr>
          <w:sz w:val="18"/>
        </w:rPr>
      </w:pPr>
      <w:bookmarkStart w:id="884" w:name="_bookmark758"/>
      <w:bookmarkEnd w:id="884"/>
      <w:r>
        <w:rPr>
          <w:position w:val="5"/>
          <w:sz w:val="12"/>
        </w:rPr>
        <w:t>637</w:t>
      </w:r>
      <w:r>
        <w:rPr>
          <w:spacing w:val="13"/>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para. 1064.</w:t>
      </w:r>
      <w:r>
        <w:rPr>
          <w:spacing w:val="1"/>
          <w:sz w:val="18"/>
        </w:rPr>
        <w:t xml:space="preserve"> </w:t>
      </w:r>
      <w:r>
        <w:rPr>
          <w:sz w:val="18"/>
        </w:rPr>
        <w:t>See</w:t>
      </w:r>
      <w:r>
        <w:rPr>
          <w:spacing w:val="-2"/>
          <w:sz w:val="18"/>
        </w:rPr>
        <w:t xml:space="preserve"> </w:t>
      </w:r>
      <w:r>
        <w:rPr>
          <w:sz w:val="18"/>
        </w:rPr>
        <w:t>also</w:t>
      </w:r>
      <w:r>
        <w:rPr>
          <w:spacing w:val="-7"/>
          <w:sz w:val="18"/>
        </w:rPr>
        <w:t xml:space="preserve"> </w:t>
      </w:r>
      <w:r>
        <w:rPr>
          <w:sz w:val="18"/>
        </w:rPr>
        <w:t>China's</w:t>
      </w:r>
      <w:r>
        <w:rPr>
          <w:spacing w:val="-5"/>
          <w:sz w:val="18"/>
        </w:rPr>
        <w:t xml:space="preserve"> </w:t>
      </w:r>
      <w:r>
        <w:rPr>
          <w:sz w:val="18"/>
        </w:rPr>
        <w:t>response</w:t>
      </w:r>
      <w:r>
        <w:rPr>
          <w:spacing w:val="-5"/>
          <w:sz w:val="18"/>
        </w:rPr>
        <w:t xml:space="preserve"> </w:t>
      </w:r>
      <w:r>
        <w:rPr>
          <w:sz w:val="18"/>
        </w:rPr>
        <w:t>to</w:t>
      </w:r>
      <w:r>
        <w:rPr>
          <w:spacing w:val="-7"/>
          <w:sz w:val="18"/>
        </w:rPr>
        <w:t xml:space="preserve"> </w:t>
      </w:r>
      <w:r>
        <w:rPr>
          <w:sz w:val="18"/>
        </w:rPr>
        <w:t>Panel</w:t>
      </w:r>
      <w:r>
        <w:rPr>
          <w:spacing w:val="-4"/>
          <w:sz w:val="18"/>
        </w:rPr>
        <w:t xml:space="preserve"> </w:t>
      </w:r>
      <w:r>
        <w:rPr>
          <w:sz w:val="18"/>
        </w:rPr>
        <w:t>question</w:t>
      </w:r>
      <w:r>
        <w:rPr>
          <w:spacing w:val="-6"/>
          <w:sz w:val="18"/>
        </w:rPr>
        <w:t xml:space="preserve"> </w:t>
      </w:r>
      <w:r>
        <w:rPr>
          <w:sz w:val="18"/>
        </w:rPr>
        <w:t>No. 25,</w:t>
      </w:r>
      <w:r>
        <w:rPr>
          <w:spacing w:val="-4"/>
          <w:sz w:val="18"/>
        </w:rPr>
        <w:t xml:space="preserve"> </w:t>
      </w:r>
      <w:r>
        <w:rPr>
          <w:sz w:val="18"/>
        </w:rPr>
        <w:t>para.</w:t>
      </w:r>
      <w:r>
        <w:rPr>
          <w:spacing w:val="-4"/>
          <w:sz w:val="18"/>
        </w:rPr>
        <w:t xml:space="preserve"> 108.</w:t>
      </w:r>
    </w:p>
    <w:p w14:paraId="5AF6D939" w14:textId="77777777" w:rsidR="00BD462C" w:rsidRDefault="00033D0F">
      <w:pPr>
        <w:spacing w:before="1"/>
        <w:ind w:left="135" w:right="923"/>
        <w:rPr>
          <w:sz w:val="18"/>
        </w:rPr>
      </w:pPr>
      <w:bookmarkStart w:id="885" w:name="_bookmark759"/>
      <w:bookmarkEnd w:id="885"/>
      <w:r>
        <w:rPr>
          <w:position w:val="5"/>
          <w:sz w:val="12"/>
        </w:rPr>
        <w:t>638</w:t>
      </w:r>
      <w:r>
        <w:rPr>
          <w:spacing w:val="40"/>
          <w:position w:val="5"/>
          <w:sz w:val="12"/>
        </w:rPr>
        <w:t xml:space="preserve"> </w:t>
      </w:r>
      <w:r>
        <w:rPr>
          <w:sz w:val="18"/>
        </w:rPr>
        <w:t>See</w:t>
      </w:r>
      <w:r>
        <w:rPr>
          <w:spacing w:val="39"/>
          <w:sz w:val="18"/>
        </w:rPr>
        <w:t xml:space="preserve"> </w:t>
      </w:r>
      <w:r>
        <w:rPr>
          <w:sz w:val="18"/>
        </w:rPr>
        <w:t>China's</w:t>
      </w:r>
      <w:r>
        <w:rPr>
          <w:spacing w:val="35"/>
          <w:sz w:val="18"/>
        </w:rPr>
        <w:t xml:space="preserve"> </w:t>
      </w:r>
      <w:r>
        <w:rPr>
          <w:sz w:val="18"/>
        </w:rPr>
        <w:t>first</w:t>
      </w:r>
      <w:r>
        <w:rPr>
          <w:spacing w:val="40"/>
          <w:sz w:val="18"/>
        </w:rPr>
        <w:t xml:space="preserve"> </w:t>
      </w:r>
      <w:r>
        <w:rPr>
          <w:sz w:val="18"/>
        </w:rPr>
        <w:t>written</w:t>
      </w:r>
      <w:r>
        <w:rPr>
          <w:spacing w:val="34"/>
          <w:sz w:val="18"/>
        </w:rPr>
        <w:t xml:space="preserve"> </w:t>
      </w:r>
      <w:r>
        <w:rPr>
          <w:sz w:val="18"/>
        </w:rPr>
        <w:t>submission,</w:t>
      </w:r>
      <w:r>
        <w:rPr>
          <w:spacing w:val="36"/>
          <w:sz w:val="18"/>
        </w:rPr>
        <w:t xml:space="preserve"> </w:t>
      </w:r>
      <w:r>
        <w:rPr>
          <w:sz w:val="18"/>
        </w:rPr>
        <w:t>paras.</w:t>
      </w:r>
      <w:r>
        <w:rPr>
          <w:spacing w:val="40"/>
          <w:sz w:val="18"/>
        </w:rPr>
        <w:t xml:space="preserve"> </w:t>
      </w:r>
      <w:r>
        <w:rPr>
          <w:sz w:val="18"/>
        </w:rPr>
        <w:t>1058-1066;</w:t>
      </w:r>
      <w:r>
        <w:rPr>
          <w:spacing w:val="38"/>
          <w:sz w:val="18"/>
        </w:rPr>
        <w:t xml:space="preserve"> </w:t>
      </w:r>
      <w:r>
        <w:rPr>
          <w:sz w:val="18"/>
        </w:rPr>
        <w:t>China's</w:t>
      </w:r>
      <w:r>
        <w:rPr>
          <w:spacing w:val="35"/>
          <w:sz w:val="18"/>
        </w:rPr>
        <w:t xml:space="preserve"> </w:t>
      </w:r>
      <w:r>
        <w:rPr>
          <w:sz w:val="18"/>
        </w:rPr>
        <w:t>responses</w:t>
      </w:r>
      <w:r>
        <w:rPr>
          <w:spacing w:val="35"/>
          <w:sz w:val="18"/>
        </w:rPr>
        <w:t xml:space="preserve"> </w:t>
      </w:r>
      <w:r>
        <w:rPr>
          <w:sz w:val="18"/>
        </w:rPr>
        <w:t>to</w:t>
      </w:r>
      <w:r>
        <w:rPr>
          <w:spacing w:val="34"/>
          <w:sz w:val="18"/>
        </w:rPr>
        <w:t xml:space="preserve"> </w:t>
      </w:r>
      <w:r>
        <w:rPr>
          <w:sz w:val="18"/>
        </w:rPr>
        <w:t>Panel</w:t>
      </w:r>
      <w:r>
        <w:rPr>
          <w:spacing w:val="35"/>
          <w:sz w:val="18"/>
        </w:rPr>
        <w:t xml:space="preserve"> </w:t>
      </w:r>
      <w:r>
        <w:rPr>
          <w:sz w:val="18"/>
        </w:rPr>
        <w:t>questions</w:t>
      </w:r>
      <w:r>
        <w:rPr>
          <w:spacing w:val="39"/>
          <w:sz w:val="18"/>
        </w:rPr>
        <w:t xml:space="preserve"> </w:t>
      </w:r>
      <w:r>
        <w:rPr>
          <w:sz w:val="18"/>
        </w:rPr>
        <w:t>25</w:t>
      </w:r>
      <w:r>
        <w:rPr>
          <w:spacing w:val="37"/>
          <w:sz w:val="18"/>
        </w:rPr>
        <w:t xml:space="preserve"> </w:t>
      </w:r>
      <w:r>
        <w:rPr>
          <w:sz w:val="18"/>
        </w:rPr>
        <w:t>and</w:t>
      </w:r>
      <w:r>
        <w:rPr>
          <w:spacing w:val="39"/>
          <w:sz w:val="18"/>
        </w:rPr>
        <w:t xml:space="preserve"> </w:t>
      </w:r>
      <w:r>
        <w:rPr>
          <w:sz w:val="18"/>
        </w:rPr>
        <w:t>31.</w:t>
      </w:r>
      <w:r>
        <w:rPr>
          <w:spacing w:val="36"/>
          <w:sz w:val="18"/>
        </w:rPr>
        <w:t xml:space="preserve"> </w:t>
      </w:r>
      <w:r>
        <w:rPr>
          <w:sz w:val="18"/>
        </w:rPr>
        <w:t>Australia challenges MOFCOM confidential treatment of these responses.</w:t>
      </w:r>
    </w:p>
    <w:p w14:paraId="4AF83965" w14:textId="77777777" w:rsidR="00BD462C" w:rsidRDefault="00033D0F">
      <w:pPr>
        <w:spacing w:before="2"/>
        <w:ind w:left="135"/>
        <w:rPr>
          <w:sz w:val="18"/>
        </w:rPr>
      </w:pPr>
      <w:bookmarkStart w:id="886" w:name="_bookmark760"/>
      <w:bookmarkEnd w:id="886"/>
      <w:r>
        <w:rPr>
          <w:position w:val="5"/>
          <w:sz w:val="12"/>
        </w:rPr>
        <w:t>639</w:t>
      </w:r>
      <w:r>
        <w:rPr>
          <w:spacing w:val="14"/>
          <w:position w:val="5"/>
          <w:sz w:val="12"/>
        </w:rPr>
        <w:t xml:space="preserve"> </w:t>
      </w:r>
      <w:r>
        <w:rPr>
          <w:sz w:val="18"/>
        </w:rPr>
        <w:t>Australia's response</w:t>
      </w:r>
      <w:r>
        <w:rPr>
          <w:spacing w:val="-4"/>
          <w:sz w:val="18"/>
        </w:rPr>
        <w:t xml:space="preserve"> </w:t>
      </w:r>
      <w:r>
        <w:rPr>
          <w:sz w:val="18"/>
        </w:rPr>
        <w:t>to</w:t>
      </w:r>
      <w:r>
        <w:rPr>
          <w:spacing w:val="-5"/>
          <w:sz w:val="18"/>
        </w:rPr>
        <w:t xml:space="preserve"> </w:t>
      </w:r>
      <w:r>
        <w:rPr>
          <w:sz w:val="18"/>
        </w:rPr>
        <w:t>Panel</w:t>
      </w:r>
      <w:r>
        <w:rPr>
          <w:spacing w:val="-3"/>
          <w:sz w:val="18"/>
        </w:rPr>
        <w:t xml:space="preserve"> </w:t>
      </w:r>
      <w:r>
        <w:rPr>
          <w:sz w:val="18"/>
        </w:rPr>
        <w:t>question</w:t>
      </w:r>
      <w:r>
        <w:rPr>
          <w:spacing w:val="-5"/>
          <w:sz w:val="18"/>
        </w:rPr>
        <w:t xml:space="preserve"> </w:t>
      </w:r>
      <w:r>
        <w:rPr>
          <w:sz w:val="18"/>
        </w:rPr>
        <w:t>No.</w:t>
      </w:r>
      <w:r>
        <w:rPr>
          <w:spacing w:val="-4"/>
          <w:sz w:val="18"/>
        </w:rPr>
        <w:t xml:space="preserve"> </w:t>
      </w:r>
      <w:r>
        <w:rPr>
          <w:sz w:val="18"/>
        </w:rPr>
        <w:t>32,</w:t>
      </w:r>
      <w:r>
        <w:rPr>
          <w:spacing w:val="-2"/>
          <w:sz w:val="18"/>
        </w:rPr>
        <w:t xml:space="preserve"> </w:t>
      </w:r>
      <w:r>
        <w:rPr>
          <w:sz w:val="18"/>
        </w:rPr>
        <w:t>para.</w:t>
      </w:r>
      <w:r>
        <w:rPr>
          <w:spacing w:val="1"/>
          <w:sz w:val="18"/>
        </w:rPr>
        <w:t xml:space="preserve"> </w:t>
      </w:r>
      <w:r>
        <w:rPr>
          <w:spacing w:val="-5"/>
          <w:sz w:val="18"/>
        </w:rPr>
        <w:t>76.</w:t>
      </w:r>
    </w:p>
    <w:p w14:paraId="2FBEC1CB" w14:textId="77777777" w:rsidR="00BD462C" w:rsidRDefault="00033D0F">
      <w:pPr>
        <w:spacing w:before="1"/>
        <w:ind w:left="135"/>
        <w:rPr>
          <w:sz w:val="18"/>
        </w:rPr>
      </w:pPr>
      <w:bookmarkStart w:id="887" w:name="_bookmark761"/>
      <w:bookmarkEnd w:id="887"/>
      <w:r>
        <w:rPr>
          <w:position w:val="5"/>
          <w:sz w:val="12"/>
        </w:rPr>
        <w:t>640</w:t>
      </w:r>
      <w:r>
        <w:rPr>
          <w:spacing w:val="10"/>
          <w:position w:val="5"/>
          <w:sz w:val="12"/>
        </w:rPr>
        <w:t xml:space="preserve"> </w:t>
      </w:r>
      <w:r>
        <w:rPr>
          <w:sz w:val="18"/>
        </w:rPr>
        <w:t>China's</w:t>
      </w:r>
      <w:r>
        <w:rPr>
          <w:spacing w:val="-7"/>
          <w:sz w:val="18"/>
        </w:rPr>
        <w:t xml:space="preserve"> </w:t>
      </w:r>
      <w:r>
        <w:rPr>
          <w:sz w:val="18"/>
        </w:rPr>
        <w:t>first</w:t>
      </w:r>
      <w:r>
        <w:rPr>
          <w:spacing w:val="-7"/>
          <w:sz w:val="18"/>
        </w:rPr>
        <w:t xml:space="preserve"> </w:t>
      </w:r>
      <w:r>
        <w:rPr>
          <w:sz w:val="18"/>
        </w:rPr>
        <w:t>written</w:t>
      </w:r>
      <w:r>
        <w:rPr>
          <w:spacing w:val="-8"/>
          <w:sz w:val="18"/>
        </w:rPr>
        <w:t xml:space="preserve"> </w:t>
      </w:r>
      <w:r>
        <w:rPr>
          <w:sz w:val="18"/>
        </w:rPr>
        <w:t>submission,</w:t>
      </w:r>
      <w:r>
        <w:rPr>
          <w:spacing w:val="-1"/>
          <w:sz w:val="18"/>
        </w:rPr>
        <w:t xml:space="preserve"> </w:t>
      </w:r>
      <w:r>
        <w:rPr>
          <w:sz w:val="18"/>
        </w:rPr>
        <w:t>paras.</w:t>
      </w:r>
      <w:r>
        <w:rPr>
          <w:spacing w:val="-7"/>
          <w:sz w:val="18"/>
        </w:rPr>
        <w:t xml:space="preserve"> </w:t>
      </w:r>
      <w:r>
        <w:rPr>
          <w:sz w:val="18"/>
        </w:rPr>
        <w:t>1101-1116,</w:t>
      </w:r>
      <w:r>
        <w:rPr>
          <w:spacing w:val="-1"/>
          <w:sz w:val="18"/>
        </w:rPr>
        <w:t xml:space="preserve"> </w:t>
      </w:r>
      <w:r>
        <w:rPr>
          <w:sz w:val="18"/>
        </w:rPr>
        <w:t>1131-</w:t>
      </w:r>
      <w:r>
        <w:rPr>
          <w:spacing w:val="-2"/>
          <w:sz w:val="18"/>
        </w:rPr>
        <w:t>1146.</w:t>
      </w:r>
    </w:p>
    <w:p w14:paraId="441D4404" w14:textId="77777777" w:rsidR="00BD462C" w:rsidRDefault="00BD462C">
      <w:pPr>
        <w:rPr>
          <w:sz w:val="18"/>
        </w:rPr>
        <w:sectPr w:rsidR="00BD462C">
          <w:pgSz w:w="11910" w:h="16840"/>
          <w:pgMar w:top="860" w:right="500" w:bottom="780" w:left="1280" w:header="566" w:footer="590" w:gutter="0"/>
          <w:cols w:space="720"/>
        </w:sectPr>
      </w:pPr>
    </w:p>
    <w:p w14:paraId="31C71AEE"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3E60EF42"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27C785CE"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2C64E69C" w14:textId="77777777" w:rsidR="00BD462C" w:rsidRDefault="00033D0F">
      <w:pPr>
        <w:pStyle w:val="BodyText"/>
        <w:spacing w:before="102" w:line="360" w:lineRule="auto"/>
        <w:ind w:left="135" w:right="918"/>
        <w:jc w:val="both"/>
      </w:pPr>
      <w:r>
        <w:t>did account for product mix.</w:t>
      </w:r>
      <w:hyperlink w:anchor="_bookmark763" w:history="1">
        <w:r>
          <w:rPr>
            <w:vertAlign w:val="superscript"/>
          </w:rPr>
          <w:t>641</w:t>
        </w:r>
      </w:hyperlink>
      <w:r>
        <w:t xml:space="preserve"> China's arguments are inconsistent with each other and without merit. Australia's position is that MOFCOM's price calculation methodology did not account for differences in product mix. It should have done so. China's arguments regarding MOFCOM's supposed recourse to facts available are inconsistent and, ultimately, not an answer to MOFCOM's failure to account for product mix.</w:t>
      </w:r>
    </w:p>
    <w:p w14:paraId="35EFC00C" w14:textId="77777777" w:rsidR="00BD462C" w:rsidRDefault="00033D0F">
      <w:pPr>
        <w:pStyle w:val="ListParagraph"/>
        <w:numPr>
          <w:ilvl w:val="1"/>
          <w:numId w:val="55"/>
        </w:numPr>
        <w:tabs>
          <w:tab w:val="left" w:pos="4388"/>
          <w:tab w:val="left" w:pos="4389"/>
        </w:tabs>
        <w:spacing w:before="160" w:line="357" w:lineRule="auto"/>
        <w:ind w:right="914"/>
        <w:jc w:val="both"/>
        <w:rPr>
          <w:i/>
          <w:sz w:val="24"/>
        </w:rPr>
      </w:pPr>
      <w:bookmarkStart w:id="888" w:name="i._MOFCOM's_alleged_recourse_to_facts_av"/>
      <w:bookmarkStart w:id="889" w:name="_bookmark762"/>
      <w:bookmarkEnd w:id="888"/>
      <w:bookmarkEnd w:id="889"/>
      <w:r>
        <w:rPr>
          <w:i/>
          <w:sz w:val="24"/>
        </w:rPr>
        <w:t>MOFCOM's alleged recourse to facts available does not address the price compatibility issues</w:t>
      </w:r>
    </w:p>
    <w:p w14:paraId="49A749E0" w14:textId="77777777" w:rsidR="00BD462C" w:rsidRDefault="00BD462C">
      <w:pPr>
        <w:pStyle w:val="BodyText"/>
        <w:spacing w:before="2"/>
        <w:rPr>
          <w:i/>
          <w:sz w:val="9"/>
        </w:rPr>
      </w:pPr>
    </w:p>
    <w:p w14:paraId="31C9F516" w14:textId="1B191C33" w:rsidR="00BD462C" w:rsidRDefault="00AF5F66">
      <w:pPr>
        <w:pStyle w:val="BodyText"/>
        <w:spacing w:before="56" w:line="360" w:lineRule="auto"/>
        <w:ind w:left="135" w:right="911" w:hanging="5"/>
        <w:jc w:val="both"/>
      </w:pPr>
      <w:r>
        <w:rPr>
          <w:noProof/>
        </w:rPr>
        <w:t>450.</w:t>
      </w:r>
      <w:r w:rsidR="00033D0F">
        <w:rPr>
          <w:rFonts w:ascii="Times New Roman"/>
          <w:spacing w:val="80"/>
          <w:position w:val="1"/>
          <w:sz w:val="20"/>
        </w:rPr>
        <w:t xml:space="preserve"> </w:t>
      </w:r>
      <w:r w:rsidR="00033D0F">
        <w:rPr>
          <w:position w:val="1"/>
        </w:rPr>
        <w:t xml:space="preserve">China alleges that MOFCOM had recourse to facts available for its calculation of the </w:t>
      </w:r>
      <w:r w:rsidR="00033D0F">
        <w:t>liquidation price of subject imports.</w:t>
      </w:r>
      <w:hyperlink w:anchor="_bookmark764" w:history="1">
        <w:r w:rsidR="00033D0F">
          <w:rPr>
            <w:vertAlign w:val="superscript"/>
          </w:rPr>
          <w:t>642</w:t>
        </w:r>
      </w:hyperlink>
      <w:r w:rsidR="00033D0F">
        <w:t xml:space="preserve"> According to China, this has two implications. First, MOFCOM did not need to ensure price compatibility between the average unit values it calculated for subject imports and domestic like products.</w:t>
      </w:r>
      <w:hyperlink w:anchor="_bookmark765" w:history="1">
        <w:r w:rsidR="00033D0F">
          <w:rPr>
            <w:vertAlign w:val="superscript"/>
          </w:rPr>
          <w:t>643</w:t>
        </w:r>
      </w:hyperlink>
      <w:r w:rsidR="00033D0F">
        <w:t xml:space="preserve"> Second, Australia's arguments regarding product mix and price comparability should have been made in relation to a claim under</w:t>
      </w:r>
      <w:r w:rsidR="00033D0F">
        <w:rPr>
          <w:spacing w:val="-10"/>
        </w:rPr>
        <w:t xml:space="preserve"> </w:t>
      </w:r>
      <w:r w:rsidR="00033D0F">
        <w:t>Article</w:t>
      </w:r>
      <w:r w:rsidR="00033D0F">
        <w:rPr>
          <w:spacing w:val="-3"/>
        </w:rPr>
        <w:t xml:space="preserve"> </w:t>
      </w:r>
      <w:r w:rsidR="00033D0F">
        <w:t>6.8,</w:t>
      </w:r>
      <w:r w:rsidR="00033D0F">
        <w:rPr>
          <w:spacing w:val="-6"/>
        </w:rPr>
        <w:t xml:space="preserve"> </w:t>
      </w:r>
      <w:r w:rsidR="00033D0F">
        <w:t>not</w:t>
      </w:r>
      <w:r w:rsidR="00033D0F">
        <w:rPr>
          <w:spacing w:val="-7"/>
        </w:rPr>
        <w:t xml:space="preserve"> </w:t>
      </w:r>
      <w:r w:rsidR="00033D0F">
        <w:t>Articles</w:t>
      </w:r>
      <w:r w:rsidR="00033D0F">
        <w:rPr>
          <w:spacing w:val="-2"/>
        </w:rPr>
        <w:t xml:space="preserve"> </w:t>
      </w:r>
      <w:r w:rsidR="00033D0F">
        <w:t>3.1</w:t>
      </w:r>
      <w:r w:rsidR="00033D0F">
        <w:rPr>
          <w:spacing w:val="-9"/>
        </w:rPr>
        <w:t xml:space="preserve"> </w:t>
      </w:r>
      <w:r w:rsidR="00033D0F">
        <w:t>and</w:t>
      </w:r>
      <w:r w:rsidR="00033D0F">
        <w:rPr>
          <w:spacing w:val="-9"/>
        </w:rPr>
        <w:t xml:space="preserve"> </w:t>
      </w:r>
      <w:r w:rsidR="00033D0F">
        <w:t>3.2,</w:t>
      </w:r>
      <w:r w:rsidR="00033D0F">
        <w:rPr>
          <w:spacing w:val="-6"/>
        </w:rPr>
        <w:t xml:space="preserve"> </w:t>
      </w:r>
      <w:r w:rsidR="00033D0F">
        <w:t>and</w:t>
      </w:r>
      <w:r w:rsidR="00033D0F">
        <w:rPr>
          <w:spacing w:val="-9"/>
        </w:rPr>
        <w:t xml:space="preserve"> </w:t>
      </w:r>
      <w:r w:rsidR="00033D0F">
        <w:t>the</w:t>
      </w:r>
      <w:r w:rsidR="00033D0F">
        <w:rPr>
          <w:spacing w:val="-4"/>
        </w:rPr>
        <w:t xml:space="preserve"> </w:t>
      </w:r>
      <w:r w:rsidR="00033D0F">
        <w:t>claim</w:t>
      </w:r>
      <w:r w:rsidR="00033D0F">
        <w:rPr>
          <w:spacing w:val="-7"/>
        </w:rPr>
        <w:t xml:space="preserve"> </w:t>
      </w:r>
      <w:r w:rsidR="00033D0F">
        <w:t>is</w:t>
      </w:r>
      <w:r w:rsidR="00033D0F">
        <w:rPr>
          <w:spacing w:val="-7"/>
        </w:rPr>
        <w:t xml:space="preserve"> </w:t>
      </w:r>
      <w:r w:rsidR="00033D0F">
        <w:t>therefore</w:t>
      </w:r>
      <w:r w:rsidR="00033D0F">
        <w:rPr>
          <w:spacing w:val="-7"/>
        </w:rPr>
        <w:t xml:space="preserve"> </w:t>
      </w:r>
      <w:r w:rsidR="00033D0F">
        <w:t>outside</w:t>
      </w:r>
      <w:r w:rsidR="00033D0F">
        <w:rPr>
          <w:spacing w:val="-7"/>
        </w:rPr>
        <w:t xml:space="preserve"> </w:t>
      </w:r>
      <w:r w:rsidR="00033D0F">
        <w:t>the</w:t>
      </w:r>
      <w:r w:rsidR="00033D0F">
        <w:rPr>
          <w:spacing w:val="-7"/>
        </w:rPr>
        <w:t xml:space="preserve"> </w:t>
      </w:r>
      <w:r w:rsidR="00033D0F">
        <w:t>Panel's</w:t>
      </w:r>
      <w:r w:rsidR="00033D0F">
        <w:rPr>
          <w:spacing w:val="-7"/>
        </w:rPr>
        <w:t xml:space="preserve"> </w:t>
      </w:r>
      <w:r w:rsidR="00033D0F">
        <w:t>terms of</w:t>
      </w:r>
      <w:r w:rsidR="00033D0F">
        <w:rPr>
          <w:spacing w:val="-9"/>
        </w:rPr>
        <w:t xml:space="preserve"> </w:t>
      </w:r>
      <w:r w:rsidR="00033D0F">
        <w:t>reference.</w:t>
      </w:r>
      <w:hyperlink w:anchor="_bookmark766" w:history="1">
        <w:r w:rsidR="00033D0F">
          <w:rPr>
            <w:vertAlign w:val="superscript"/>
          </w:rPr>
          <w:t>644</w:t>
        </w:r>
      </w:hyperlink>
      <w:r w:rsidR="00033D0F">
        <w:rPr>
          <w:spacing w:val="-6"/>
        </w:rPr>
        <w:t xml:space="preserve"> </w:t>
      </w:r>
      <w:r w:rsidR="00033D0F">
        <w:t>China's</w:t>
      </w:r>
      <w:r w:rsidR="00033D0F">
        <w:rPr>
          <w:spacing w:val="-6"/>
        </w:rPr>
        <w:t xml:space="preserve"> </w:t>
      </w:r>
      <w:r w:rsidR="00033D0F">
        <w:t>arguments</w:t>
      </w:r>
      <w:r w:rsidR="00033D0F">
        <w:rPr>
          <w:spacing w:val="-6"/>
        </w:rPr>
        <w:t xml:space="preserve"> </w:t>
      </w:r>
      <w:r w:rsidR="00033D0F">
        <w:t>are</w:t>
      </w:r>
      <w:r w:rsidR="00033D0F">
        <w:rPr>
          <w:spacing w:val="-7"/>
        </w:rPr>
        <w:t xml:space="preserve"> </w:t>
      </w:r>
      <w:r w:rsidR="00033D0F">
        <w:t>not</w:t>
      </w:r>
      <w:r w:rsidR="00033D0F">
        <w:rPr>
          <w:spacing w:val="-7"/>
        </w:rPr>
        <w:t xml:space="preserve"> </w:t>
      </w:r>
      <w:r w:rsidR="00033D0F">
        <w:t>supported</w:t>
      </w:r>
      <w:r w:rsidR="00033D0F">
        <w:rPr>
          <w:spacing w:val="-9"/>
        </w:rPr>
        <w:t xml:space="preserve"> </w:t>
      </w:r>
      <w:r w:rsidR="00033D0F">
        <w:t>by</w:t>
      </w:r>
      <w:r w:rsidR="00033D0F">
        <w:rPr>
          <w:spacing w:val="-6"/>
        </w:rPr>
        <w:t xml:space="preserve"> </w:t>
      </w:r>
      <w:r w:rsidR="00033D0F">
        <w:t>record</w:t>
      </w:r>
      <w:r w:rsidR="00033D0F">
        <w:rPr>
          <w:spacing w:val="-9"/>
        </w:rPr>
        <w:t xml:space="preserve"> </w:t>
      </w:r>
      <w:r w:rsidR="00033D0F">
        <w:t>evidence</w:t>
      </w:r>
      <w:r w:rsidR="00033D0F">
        <w:rPr>
          <w:spacing w:val="-7"/>
        </w:rPr>
        <w:t xml:space="preserve"> </w:t>
      </w:r>
      <w:r w:rsidR="00033D0F">
        <w:t>and</w:t>
      </w:r>
      <w:r w:rsidR="00033D0F">
        <w:rPr>
          <w:spacing w:val="-9"/>
        </w:rPr>
        <w:t xml:space="preserve"> </w:t>
      </w:r>
      <w:r w:rsidR="00033D0F">
        <w:t>are</w:t>
      </w:r>
      <w:r w:rsidR="00033D0F">
        <w:rPr>
          <w:spacing w:val="-7"/>
        </w:rPr>
        <w:t xml:space="preserve"> </w:t>
      </w:r>
      <w:r w:rsidR="00033D0F">
        <w:t>inconsistent with each other. This is for three reasons.</w:t>
      </w:r>
    </w:p>
    <w:p w14:paraId="2BCC173F" w14:textId="77777777" w:rsidR="00BD462C" w:rsidRDefault="00BD462C">
      <w:pPr>
        <w:pStyle w:val="BodyText"/>
        <w:spacing w:before="8"/>
        <w:rPr>
          <w:sz w:val="8"/>
        </w:rPr>
      </w:pPr>
    </w:p>
    <w:p w14:paraId="4FA4A5F3" w14:textId="48E1D460" w:rsidR="00BD462C" w:rsidRDefault="00AF5F66">
      <w:pPr>
        <w:pStyle w:val="BodyText"/>
        <w:spacing w:before="56" w:line="360" w:lineRule="auto"/>
        <w:ind w:left="135" w:right="912" w:hanging="5"/>
        <w:jc w:val="both"/>
      </w:pPr>
      <w:r>
        <w:rPr>
          <w:noProof/>
        </w:rPr>
        <w:t>451.</w:t>
      </w:r>
      <w:r w:rsidR="00033D0F">
        <w:rPr>
          <w:rFonts w:ascii="Times New Roman" w:hAnsi="Times New Roman"/>
          <w:spacing w:val="80"/>
          <w:position w:val="1"/>
          <w:sz w:val="20"/>
        </w:rPr>
        <w:t xml:space="preserve"> </w:t>
      </w:r>
      <w:r w:rsidR="00033D0F">
        <w:rPr>
          <w:position w:val="1"/>
        </w:rPr>
        <w:t xml:space="preserve">First, MOFCOM did not have recourse to facts available for the purposes of its price </w:t>
      </w:r>
      <w:r w:rsidR="00033D0F">
        <w:t>calculation</w:t>
      </w:r>
      <w:r w:rsidR="00033D0F">
        <w:rPr>
          <w:spacing w:val="-14"/>
        </w:rPr>
        <w:t xml:space="preserve"> </w:t>
      </w:r>
      <w:r w:rsidR="00033D0F">
        <w:t>for</w:t>
      </w:r>
      <w:r w:rsidR="00033D0F">
        <w:rPr>
          <w:spacing w:val="-14"/>
        </w:rPr>
        <w:t xml:space="preserve"> </w:t>
      </w:r>
      <w:r w:rsidR="00033D0F">
        <w:t>subject</w:t>
      </w:r>
      <w:r w:rsidR="00033D0F">
        <w:rPr>
          <w:spacing w:val="-13"/>
        </w:rPr>
        <w:t xml:space="preserve"> </w:t>
      </w:r>
      <w:r w:rsidR="00033D0F">
        <w:t>imports</w:t>
      </w:r>
      <w:r w:rsidR="00033D0F">
        <w:rPr>
          <w:spacing w:val="-13"/>
        </w:rPr>
        <w:t xml:space="preserve"> </w:t>
      </w:r>
      <w:r w:rsidR="00033D0F">
        <w:t>and</w:t>
      </w:r>
      <w:r w:rsidR="00033D0F">
        <w:rPr>
          <w:spacing w:val="-9"/>
        </w:rPr>
        <w:t xml:space="preserve"> </w:t>
      </w:r>
      <w:r w:rsidR="00033D0F">
        <w:t>domestic</w:t>
      </w:r>
      <w:r w:rsidR="00033D0F">
        <w:rPr>
          <w:spacing w:val="-14"/>
        </w:rPr>
        <w:t xml:space="preserve"> </w:t>
      </w:r>
      <w:r w:rsidR="00033D0F">
        <w:t>like</w:t>
      </w:r>
      <w:r w:rsidR="00033D0F">
        <w:rPr>
          <w:spacing w:val="-12"/>
        </w:rPr>
        <w:t xml:space="preserve"> </w:t>
      </w:r>
      <w:r w:rsidR="00033D0F">
        <w:t>products</w:t>
      </w:r>
      <w:r w:rsidR="00033D0F">
        <w:rPr>
          <w:spacing w:val="-11"/>
        </w:rPr>
        <w:t xml:space="preserve"> </w:t>
      </w:r>
      <w:r w:rsidR="00033D0F">
        <w:t>under</w:t>
      </w:r>
      <w:r w:rsidR="00033D0F">
        <w:rPr>
          <w:spacing w:val="-14"/>
        </w:rPr>
        <w:t xml:space="preserve"> </w:t>
      </w:r>
      <w:r w:rsidR="00033D0F">
        <w:t>Article</w:t>
      </w:r>
      <w:r w:rsidR="00033D0F">
        <w:rPr>
          <w:spacing w:val="-3"/>
        </w:rPr>
        <w:t xml:space="preserve"> </w:t>
      </w:r>
      <w:r w:rsidR="00033D0F">
        <w:t>3.2.</w:t>
      </w:r>
      <w:r w:rsidR="00033D0F">
        <w:rPr>
          <w:spacing w:val="-12"/>
        </w:rPr>
        <w:t xml:space="preserve"> </w:t>
      </w:r>
      <w:r w:rsidR="00033D0F">
        <w:t>Rather,</w:t>
      </w:r>
      <w:r w:rsidR="00033D0F">
        <w:rPr>
          <w:spacing w:val="-11"/>
        </w:rPr>
        <w:t xml:space="preserve"> </w:t>
      </w:r>
      <w:r w:rsidR="00033D0F">
        <w:t>MOFCOM acknowledged that there were differences in the product mix between subject imports and domestic like products,</w:t>
      </w:r>
      <w:hyperlink w:anchor="_bookmark767" w:history="1">
        <w:r w:rsidR="00033D0F">
          <w:rPr>
            <w:vertAlign w:val="superscript"/>
          </w:rPr>
          <w:t>645</w:t>
        </w:r>
      </w:hyperlink>
      <w:r w:rsidR="00033D0F">
        <w:t xml:space="preserve"> but ultimately concluded (incorrectly) that subject imports and domestic like products were "almost identical".</w:t>
      </w:r>
      <w:hyperlink w:anchor="_bookmark768" w:history="1">
        <w:r w:rsidR="00033D0F">
          <w:rPr>
            <w:vertAlign w:val="superscript"/>
          </w:rPr>
          <w:t>646</w:t>
        </w:r>
      </w:hyperlink>
      <w:r w:rsidR="00033D0F">
        <w:t xml:space="preserve"> MOFCOM then proceeded to calculate average</w:t>
      </w:r>
      <w:r w:rsidR="00033D0F">
        <w:rPr>
          <w:spacing w:val="-4"/>
        </w:rPr>
        <w:t xml:space="preserve"> </w:t>
      </w:r>
      <w:r w:rsidR="00033D0F">
        <w:t>unit</w:t>
      </w:r>
      <w:r w:rsidR="00033D0F">
        <w:rPr>
          <w:spacing w:val="-4"/>
        </w:rPr>
        <w:t xml:space="preserve"> </w:t>
      </w:r>
      <w:r w:rsidR="00033D0F">
        <w:t>prices</w:t>
      </w:r>
      <w:r w:rsidR="00033D0F">
        <w:rPr>
          <w:spacing w:val="-3"/>
        </w:rPr>
        <w:t xml:space="preserve"> </w:t>
      </w:r>
      <w:r w:rsidR="00033D0F">
        <w:t>and</w:t>
      </w:r>
      <w:r w:rsidR="00033D0F">
        <w:rPr>
          <w:spacing w:val="-6"/>
        </w:rPr>
        <w:t xml:space="preserve"> </w:t>
      </w:r>
      <w:r w:rsidR="00033D0F">
        <w:t>compare</w:t>
      </w:r>
      <w:r w:rsidR="00033D0F">
        <w:rPr>
          <w:spacing w:val="-4"/>
        </w:rPr>
        <w:t xml:space="preserve"> </w:t>
      </w:r>
      <w:r w:rsidR="00033D0F">
        <w:t>them,</w:t>
      </w:r>
      <w:r w:rsidR="00033D0F">
        <w:rPr>
          <w:spacing w:val="-2"/>
        </w:rPr>
        <w:t xml:space="preserve"> </w:t>
      </w:r>
      <w:r w:rsidR="00033D0F">
        <w:t>without</w:t>
      </w:r>
      <w:r w:rsidR="00033D0F">
        <w:rPr>
          <w:spacing w:val="-4"/>
        </w:rPr>
        <w:t xml:space="preserve"> </w:t>
      </w:r>
      <w:r w:rsidR="00033D0F">
        <w:t>taking</w:t>
      </w:r>
      <w:r w:rsidR="00033D0F">
        <w:rPr>
          <w:spacing w:val="-3"/>
        </w:rPr>
        <w:t xml:space="preserve"> </w:t>
      </w:r>
      <w:r w:rsidR="00033D0F">
        <w:t>any</w:t>
      </w:r>
      <w:r w:rsidR="00033D0F">
        <w:rPr>
          <w:spacing w:val="-8"/>
        </w:rPr>
        <w:t xml:space="preserve"> </w:t>
      </w:r>
      <w:r w:rsidR="00033D0F">
        <w:t>steps</w:t>
      </w:r>
      <w:r w:rsidR="00033D0F">
        <w:rPr>
          <w:spacing w:val="-8"/>
        </w:rPr>
        <w:t xml:space="preserve"> </w:t>
      </w:r>
      <w:r w:rsidR="00033D0F">
        <w:t>to</w:t>
      </w:r>
      <w:r w:rsidR="00033D0F">
        <w:rPr>
          <w:spacing w:val="-7"/>
        </w:rPr>
        <w:t xml:space="preserve"> </w:t>
      </w:r>
      <w:r w:rsidR="00033D0F">
        <w:t>address</w:t>
      </w:r>
      <w:r w:rsidR="00033D0F">
        <w:rPr>
          <w:spacing w:val="-3"/>
        </w:rPr>
        <w:t xml:space="preserve"> </w:t>
      </w:r>
      <w:r w:rsidR="00033D0F">
        <w:t>the</w:t>
      </w:r>
      <w:r w:rsidR="00033D0F">
        <w:rPr>
          <w:spacing w:val="-5"/>
        </w:rPr>
        <w:t xml:space="preserve"> </w:t>
      </w:r>
      <w:r w:rsidR="00033D0F">
        <w:t>differences</w:t>
      </w:r>
      <w:r w:rsidR="00033D0F">
        <w:rPr>
          <w:spacing w:val="-8"/>
        </w:rPr>
        <w:t xml:space="preserve"> </w:t>
      </w:r>
      <w:r w:rsidR="00033D0F">
        <w:t>in product mix. In contrast, in circumstances where MOFCOM did have recourse to facts available, this was clearly identified in the Final Determination through the use of specific language, such as "in accordance with Article</w:t>
      </w:r>
      <w:r w:rsidR="00033D0F">
        <w:rPr>
          <w:spacing w:val="-2"/>
        </w:rPr>
        <w:t xml:space="preserve"> </w:t>
      </w:r>
      <w:r w:rsidR="00033D0F">
        <w:t>21 of the Regulation, the IA determined … on the</w:t>
      </w:r>
      <w:r w:rsidR="00033D0F">
        <w:rPr>
          <w:spacing w:val="22"/>
        </w:rPr>
        <w:t xml:space="preserve"> </w:t>
      </w:r>
      <w:r w:rsidR="00033D0F">
        <w:t>basis</w:t>
      </w:r>
      <w:r w:rsidR="00033D0F">
        <w:rPr>
          <w:spacing w:val="25"/>
        </w:rPr>
        <w:t xml:space="preserve"> </w:t>
      </w:r>
      <w:r w:rsidR="00033D0F">
        <w:t>of</w:t>
      </w:r>
      <w:r w:rsidR="00033D0F">
        <w:rPr>
          <w:spacing w:val="21"/>
        </w:rPr>
        <w:t xml:space="preserve"> </w:t>
      </w:r>
      <w:r w:rsidR="00033D0F">
        <w:t>the</w:t>
      </w:r>
      <w:r w:rsidR="00033D0F">
        <w:rPr>
          <w:spacing w:val="22"/>
        </w:rPr>
        <w:t xml:space="preserve"> </w:t>
      </w:r>
      <w:r w:rsidR="00033D0F">
        <w:t>facts</w:t>
      </w:r>
      <w:r w:rsidR="00033D0F">
        <w:rPr>
          <w:spacing w:val="25"/>
        </w:rPr>
        <w:t xml:space="preserve"> </w:t>
      </w:r>
      <w:r w:rsidR="00033D0F">
        <w:t>available</w:t>
      </w:r>
      <w:r w:rsidR="00033D0F">
        <w:rPr>
          <w:spacing w:val="24"/>
        </w:rPr>
        <w:t xml:space="preserve"> </w:t>
      </w:r>
      <w:r w:rsidR="00033D0F">
        <w:t>and</w:t>
      </w:r>
      <w:r w:rsidR="00033D0F">
        <w:rPr>
          <w:spacing w:val="21"/>
        </w:rPr>
        <w:t xml:space="preserve"> </w:t>
      </w:r>
      <w:r w:rsidR="00033D0F">
        <w:t>best</w:t>
      </w:r>
      <w:r w:rsidR="00033D0F">
        <w:rPr>
          <w:spacing w:val="24"/>
        </w:rPr>
        <w:t xml:space="preserve"> </w:t>
      </w:r>
      <w:r w:rsidR="00033D0F">
        <w:t>information</w:t>
      </w:r>
      <w:r w:rsidR="00033D0F">
        <w:rPr>
          <w:spacing w:val="21"/>
        </w:rPr>
        <w:t xml:space="preserve"> </w:t>
      </w:r>
      <w:r w:rsidR="00033D0F">
        <w:t>available…".</w:t>
      </w:r>
      <w:hyperlink w:anchor="_bookmark769" w:history="1">
        <w:r w:rsidR="00033D0F">
          <w:rPr>
            <w:vertAlign w:val="superscript"/>
          </w:rPr>
          <w:t>647</w:t>
        </w:r>
      </w:hyperlink>
      <w:r w:rsidR="00033D0F">
        <w:rPr>
          <w:spacing w:val="24"/>
        </w:rPr>
        <w:t xml:space="preserve"> </w:t>
      </w:r>
      <w:r w:rsidR="00033D0F">
        <w:t>No</w:t>
      </w:r>
      <w:r w:rsidR="00033D0F">
        <w:rPr>
          <w:spacing w:val="20"/>
        </w:rPr>
        <w:t xml:space="preserve"> </w:t>
      </w:r>
      <w:r w:rsidR="00033D0F">
        <w:t>such</w:t>
      </w:r>
      <w:r w:rsidR="00033D0F">
        <w:rPr>
          <w:spacing w:val="27"/>
        </w:rPr>
        <w:t xml:space="preserve"> </w:t>
      </w:r>
      <w:r w:rsidR="00033D0F">
        <w:t>language</w:t>
      </w:r>
      <w:r w:rsidR="00033D0F">
        <w:rPr>
          <w:spacing w:val="24"/>
        </w:rPr>
        <w:t xml:space="preserve"> </w:t>
      </w:r>
      <w:r w:rsidR="00033D0F">
        <w:t>was</w:t>
      </w:r>
    </w:p>
    <w:p w14:paraId="7A7F41DA" w14:textId="708B5515" w:rsidR="00BD462C" w:rsidRDefault="00D70C7D">
      <w:pPr>
        <w:pStyle w:val="BodyText"/>
        <w:spacing w:before="7"/>
        <w:rPr>
          <w:sz w:val="27"/>
        </w:rPr>
      </w:pPr>
      <w:r>
        <w:rPr>
          <w:noProof/>
        </w:rPr>
        <mc:AlternateContent>
          <mc:Choice Requires="wps">
            <w:drawing>
              <wp:anchor distT="0" distB="0" distL="0" distR="0" simplePos="0" relativeHeight="487768576" behindDoc="1" locked="0" layoutInCell="1" allowOverlap="1" wp14:anchorId="56A78927" wp14:editId="3619A756">
                <wp:simplePos x="0" y="0"/>
                <wp:positionH relativeFrom="page">
                  <wp:posOffset>899160</wp:posOffset>
                </wp:positionH>
                <wp:positionV relativeFrom="paragraph">
                  <wp:posOffset>229235</wp:posOffset>
                </wp:positionV>
                <wp:extent cx="1828800" cy="8890"/>
                <wp:effectExtent l="0" t="0" r="0" b="0"/>
                <wp:wrapTopAndBottom/>
                <wp:docPr id="638" name="docshape4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C2E182" id="docshape400" o:spid="_x0000_s1026" alt="&quot;&quot;" style="position:absolute;margin-left:70.8pt;margin-top:18.05pt;width:2in;height:.7pt;z-index:-15547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" fillcolor="black" stroked="f">
                <w10:wrap type="topAndBottom" anchorx="page"/>
              </v:rect>
            </w:pict>
          </mc:Fallback>
        </mc:AlternateContent>
      </w:r>
    </w:p>
    <w:p w14:paraId="7F0E3B95" w14:textId="77777777" w:rsidR="00BD462C" w:rsidRDefault="00033D0F">
      <w:pPr>
        <w:spacing w:before="112"/>
        <w:ind w:left="135"/>
        <w:rPr>
          <w:sz w:val="18"/>
        </w:rPr>
      </w:pPr>
      <w:bookmarkStart w:id="890" w:name="_bookmark763"/>
      <w:bookmarkEnd w:id="890"/>
      <w:r>
        <w:rPr>
          <w:position w:val="5"/>
          <w:sz w:val="12"/>
        </w:rPr>
        <w:t>641</w:t>
      </w:r>
      <w:r>
        <w:rPr>
          <w:spacing w:val="12"/>
          <w:position w:val="5"/>
          <w:sz w:val="12"/>
        </w:rPr>
        <w:t xml:space="preserve"> </w:t>
      </w:r>
      <w:r>
        <w:rPr>
          <w:sz w:val="18"/>
        </w:rPr>
        <w:t>China's</w:t>
      </w:r>
      <w:r>
        <w:rPr>
          <w:spacing w:val="-6"/>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 paras.</w:t>
      </w:r>
      <w:r>
        <w:rPr>
          <w:spacing w:val="-5"/>
          <w:sz w:val="18"/>
        </w:rPr>
        <w:t xml:space="preserve"> </w:t>
      </w:r>
      <w:r>
        <w:rPr>
          <w:sz w:val="18"/>
        </w:rPr>
        <w:t>1117-</w:t>
      </w:r>
      <w:r>
        <w:rPr>
          <w:spacing w:val="-2"/>
          <w:sz w:val="18"/>
        </w:rPr>
        <w:t>1130.</w:t>
      </w:r>
    </w:p>
    <w:p w14:paraId="6010B8D7" w14:textId="77777777" w:rsidR="00BD462C" w:rsidRDefault="00033D0F">
      <w:pPr>
        <w:spacing w:before="1"/>
        <w:ind w:left="135"/>
        <w:rPr>
          <w:sz w:val="18"/>
        </w:rPr>
      </w:pPr>
      <w:bookmarkStart w:id="891" w:name="_bookmark764"/>
      <w:bookmarkEnd w:id="891"/>
      <w:r>
        <w:rPr>
          <w:position w:val="5"/>
          <w:sz w:val="12"/>
        </w:rPr>
        <w:t>642</w:t>
      </w:r>
      <w:r>
        <w:rPr>
          <w:spacing w:val="11"/>
          <w:position w:val="5"/>
          <w:sz w:val="12"/>
        </w:rPr>
        <w:t xml:space="preserve"> </w:t>
      </w:r>
      <w:r>
        <w:rPr>
          <w:sz w:val="18"/>
        </w:rPr>
        <w:t>China's</w:t>
      </w:r>
      <w:r>
        <w:rPr>
          <w:spacing w:val="-7"/>
          <w:sz w:val="18"/>
        </w:rPr>
        <w:t xml:space="preserve"> </w:t>
      </w:r>
      <w:r>
        <w:rPr>
          <w:sz w:val="18"/>
        </w:rPr>
        <w:t>first</w:t>
      </w:r>
      <w:r>
        <w:rPr>
          <w:spacing w:val="-7"/>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para.</w:t>
      </w:r>
      <w:r>
        <w:rPr>
          <w:spacing w:val="-2"/>
          <w:sz w:val="18"/>
        </w:rPr>
        <w:t xml:space="preserve"> </w:t>
      </w:r>
      <w:r>
        <w:rPr>
          <w:sz w:val="18"/>
        </w:rPr>
        <w:t>1125-1130,</w:t>
      </w:r>
      <w:r>
        <w:rPr>
          <w:spacing w:val="-1"/>
          <w:sz w:val="18"/>
        </w:rPr>
        <w:t xml:space="preserve"> </w:t>
      </w:r>
      <w:r>
        <w:rPr>
          <w:spacing w:val="-2"/>
          <w:sz w:val="18"/>
        </w:rPr>
        <w:t>1094.</w:t>
      </w:r>
    </w:p>
    <w:p w14:paraId="7C8FF7BA" w14:textId="77777777" w:rsidR="00BD462C" w:rsidRDefault="00033D0F">
      <w:pPr>
        <w:spacing w:before="1" w:line="218" w:lineRule="exact"/>
        <w:ind w:left="135"/>
        <w:rPr>
          <w:sz w:val="18"/>
        </w:rPr>
      </w:pPr>
      <w:bookmarkStart w:id="892" w:name="_bookmark765"/>
      <w:bookmarkEnd w:id="892"/>
      <w:r>
        <w:rPr>
          <w:position w:val="5"/>
          <w:sz w:val="12"/>
        </w:rPr>
        <w:t>643</w:t>
      </w:r>
      <w:r>
        <w:rPr>
          <w:spacing w:val="11"/>
          <w:position w:val="5"/>
          <w:sz w:val="12"/>
        </w:rPr>
        <w:t xml:space="preserve"> </w:t>
      </w:r>
      <w:r>
        <w:rPr>
          <w:sz w:val="18"/>
        </w:rPr>
        <w:t>China's</w:t>
      </w:r>
      <w:r>
        <w:rPr>
          <w:spacing w:val="-6"/>
          <w:sz w:val="18"/>
        </w:rPr>
        <w:t xml:space="preserve"> </w:t>
      </w:r>
      <w:r>
        <w:rPr>
          <w:sz w:val="18"/>
        </w:rPr>
        <w:t>first</w:t>
      </w:r>
      <w:r>
        <w:rPr>
          <w:spacing w:val="-6"/>
          <w:sz w:val="18"/>
        </w:rPr>
        <w:t xml:space="preserve"> </w:t>
      </w:r>
      <w:r>
        <w:rPr>
          <w:sz w:val="18"/>
        </w:rPr>
        <w:t>written</w:t>
      </w:r>
      <w:r>
        <w:rPr>
          <w:spacing w:val="-8"/>
          <w:sz w:val="18"/>
        </w:rPr>
        <w:t xml:space="preserve"> </w:t>
      </w:r>
      <w:r>
        <w:rPr>
          <w:sz w:val="18"/>
        </w:rPr>
        <w:t>submission, para.</w:t>
      </w:r>
      <w:r>
        <w:rPr>
          <w:spacing w:val="-1"/>
          <w:sz w:val="18"/>
        </w:rPr>
        <w:t xml:space="preserve"> </w:t>
      </w:r>
      <w:r>
        <w:rPr>
          <w:sz w:val="18"/>
        </w:rPr>
        <w:t>1096-</w:t>
      </w:r>
      <w:r>
        <w:rPr>
          <w:spacing w:val="-2"/>
          <w:sz w:val="18"/>
        </w:rPr>
        <w:t>1098.</w:t>
      </w:r>
    </w:p>
    <w:p w14:paraId="3A1FA2CA" w14:textId="77777777" w:rsidR="00BD462C" w:rsidRDefault="00033D0F">
      <w:pPr>
        <w:spacing w:line="218" w:lineRule="exact"/>
        <w:ind w:left="135"/>
        <w:rPr>
          <w:sz w:val="18"/>
        </w:rPr>
      </w:pPr>
      <w:bookmarkStart w:id="893" w:name="_bookmark766"/>
      <w:bookmarkEnd w:id="893"/>
      <w:r>
        <w:rPr>
          <w:position w:val="5"/>
          <w:sz w:val="12"/>
        </w:rPr>
        <w:t>644</w:t>
      </w:r>
      <w:r>
        <w:rPr>
          <w:spacing w:val="10"/>
          <w:position w:val="5"/>
          <w:sz w:val="12"/>
        </w:rPr>
        <w:t xml:space="preserve"> </w:t>
      </w:r>
      <w:r>
        <w:rPr>
          <w:sz w:val="18"/>
        </w:rPr>
        <w:t>China's</w:t>
      </w:r>
      <w:r>
        <w:rPr>
          <w:spacing w:val="-7"/>
          <w:sz w:val="18"/>
        </w:rPr>
        <w:t xml:space="preserve"> </w:t>
      </w:r>
      <w:r>
        <w:rPr>
          <w:sz w:val="18"/>
        </w:rPr>
        <w:t>first</w:t>
      </w:r>
      <w:r>
        <w:rPr>
          <w:spacing w:val="-6"/>
          <w:sz w:val="18"/>
        </w:rPr>
        <w:t xml:space="preserve"> </w:t>
      </w:r>
      <w:r>
        <w:rPr>
          <w:sz w:val="18"/>
        </w:rPr>
        <w:t>written</w:t>
      </w:r>
      <w:r>
        <w:rPr>
          <w:spacing w:val="-8"/>
          <w:sz w:val="18"/>
        </w:rPr>
        <w:t xml:space="preserve"> </w:t>
      </w:r>
      <w:r>
        <w:rPr>
          <w:sz w:val="18"/>
        </w:rPr>
        <w:t>submission,</w:t>
      </w:r>
      <w:r>
        <w:rPr>
          <w:spacing w:val="-2"/>
          <w:sz w:val="18"/>
        </w:rPr>
        <w:t xml:space="preserve"> </w:t>
      </w:r>
      <w:r>
        <w:rPr>
          <w:sz w:val="18"/>
        </w:rPr>
        <w:t>paras.1094-</w:t>
      </w:r>
      <w:r>
        <w:rPr>
          <w:spacing w:val="-2"/>
          <w:sz w:val="18"/>
        </w:rPr>
        <w:t>1098.</w:t>
      </w:r>
    </w:p>
    <w:p w14:paraId="6AB501E9" w14:textId="77777777" w:rsidR="00BD462C" w:rsidRDefault="00033D0F">
      <w:pPr>
        <w:spacing w:before="1"/>
        <w:ind w:left="135"/>
        <w:rPr>
          <w:sz w:val="18"/>
        </w:rPr>
      </w:pPr>
      <w:bookmarkStart w:id="894" w:name="_bookmark767"/>
      <w:bookmarkEnd w:id="894"/>
      <w:r>
        <w:rPr>
          <w:position w:val="5"/>
          <w:sz w:val="12"/>
        </w:rPr>
        <w:t>645</w:t>
      </w:r>
      <w:r>
        <w:rPr>
          <w:spacing w:val="11"/>
          <w:position w:val="5"/>
          <w:sz w:val="12"/>
        </w:rPr>
        <w:t xml:space="preserve"> </w:t>
      </w:r>
      <w:r>
        <w:rPr>
          <w:sz w:val="18"/>
        </w:rPr>
        <w:t>Final</w:t>
      </w:r>
      <w:r>
        <w:rPr>
          <w:spacing w:val="-6"/>
          <w:sz w:val="18"/>
        </w:rPr>
        <w:t xml:space="preserve"> </w:t>
      </w:r>
      <w:r>
        <w:rPr>
          <w:sz w:val="18"/>
        </w:rPr>
        <w:t>Determination</w:t>
      </w:r>
      <w:r>
        <w:rPr>
          <w:spacing w:val="-7"/>
          <w:sz w:val="18"/>
        </w:rPr>
        <w:t xml:space="preserve"> </w:t>
      </w:r>
      <w:r>
        <w:rPr>
          <w:sz w:val="18"/>
        </w:rPr>
        <w:t>(Exhibit</w:t>
      </w:r>
      <w:r>
        <w:rPr>
          <w:spacing w:val="-3"/>
          <w:sz w:val="18"/>
        </w:rPr>
        <w:t xml:space="preserve"> </w:t>
      </w:r>
      <w:r>
        <w:rPr>
          <w:sz w:val="18"/>
        </w:rPr>
        <w:t>AUS-2),</w:t>
      </w:r>
      <w:r>
        <w:rPr>
          <w:spacing w:val="-4"/>
          <w:sz w:val="18"/>
        </w:rPr>
        <w:t xml:space="preserve"> </w:t>
      </w:r>
      <w:r>
        <w:rPr>
          <w:sz w:val="18"/>
        </w:rPr>
        <w:t>pp.</w:t>
      </w:r>
      <w:r>
        <w:rPr>
          <w:spacing w:val="-1"/>
          <w:sz w:val="18"/>
        </w:rPr>
        <w:t xml:space="preserve"> </w:t>
      </w:r>
      <w:r>
        <w:rPr>
          <w:sz w:val="18"/>
        </w:rPr>
        <w:t>104-105,</w:t>
      </w:r>
      <w:r>
        <w:rPr>
          <w:spacing w:val="-5"/>
          <w:sz w:val="18"/>
        </w:rPr>
        <w:t xml:space="preserve"> </w:t>
      </w:r>
      <w:r>
        <w:rPr>
          <w:sz w:val="18"/>
        </w:rPr>
        <w:t>115-</w:t>
      </w:r>
      <w:r>
        <w:rPr>
          <w:spacing w:val="-4"/>
          <w:sz w:val="18"/>
        </w:rPr>
        <w:t>116.</w:t>
      </w:r>
    </w:p>
    <w:p w14:paraId="3D174261" w14:textId="77777777" w:rsidR="00BD462C" w:rsidRDefault="00033D0F">
      <w:pPr>
        <w:spacing w:before="1"/>
        <w:ind w:left="135"/>
        <w:rPr>
          <w:sz w:val="18"/>
        </w:rPr>
      </w:pPr>
      <w:bookmarkStart w:id="895" w:name="_bookmark768"/>
      <w:bookmarkEnd w:id="895"/>
      <w:r>
        <w:rPr>
          <w:position w:val="5"/>
          <w:sz w:val="12"/>
        </w:rPr>
        <w:t>646</w:t>
      </w:r>
      <w:r>
        <w:rPr>
          <w:spacing w:val="13"/>
          <w:position w:val="5"/>
          <w:sz w:val="12"/>
        </w:rPr>
        <w:t xml:space="preserve"> </w:t>
      </w:r>
      <w:r>
        <w:rPr>
          <w:sz w:val="18"/>
        </w:rPr>
        <w:t>Final</w:t>
      </w:r>
      <w:r>
        <w:rPr>
          <w:spacing w:val="-6"/>
          <w:sz w:val="18"/>
        </w:rPr>
        <w:t xml:space="preserve"> </w:t>
      </w:r>
      <w:r>
        <w:rPr>
          <w:sz w:val="18"/>
        </w:rPr>
        <w:t>Determination</w:t>
      </w:r>
      <w:r>
        <w:rPr>
          <w:spacing w:val="-6"/>
          <w:sz w:val="18"/>
        </w:rPr>
        <w:t xml:space="preserve"> </w:t>
      </w:r>
      <w:r>
        <w:rPr>
          <w:sz w:val="18"/>
        </w:rPr>
        <w:t>(Exhibit</w:t>
      </w:r>
      <w:r>
        <w:rPr>
          <w:spacing w:val="-1"/>
          <w:sz w:val="18"/>
        </w:rPr>
        <w:t xml:space="preserve"> </w:t>
      </w:r>
      <w:r>
        <w:rPr>
          <w:sz w:val="18"/>
        </w:rPr>
        <w:t>CHN-1),</w:t>
      </w:r>
      <w:r>
        <w:rPr>
          <w:spacing w:val="-4"/>
          <w:sz w:val="18"/>
        </w:rPr>
        <w:t xml:space="preserve"> </w:t>
      </w:r>
      <w:r>
        <w:rPr>
          <w:sz w:val="18"/>
        </w:rPr>
        <w:t xml:space="preserve">p. </w:t>
      </w:r>
      <w:r>
        <w:rPr>
          <w:spacing w:val="-5"/>
          <w:sz w:val="18"/>
        </w:rPr>
        <w:t>52.</w:t>
      </w:r>
    </w:p>
    <w:p w14:paraId="405A4AF2" w14:textId="77777777" w:rsidR="00BD462C" w:rsidRDefault="00033D0F">
      <w:pPr>
        <w:spacing w:before="1"/>
        <w:ind w:left="135"/>
        <w:rPr>
          <w:sz w:val="18"/>
        </w:rPr>
      </w:pPr>
      <w:bookmarkStart w:id="896" w:name="_bookmark769"/>
      <w:bookmarkEnd w:id="896"/>
      <w:r>
        <w:rPr>
          <w:position w:val="5"/>
          <w:sz w:val="12"/>
        </w:rPr>
        <w:t>647</w:t>
      </w:r>
      <w:r>
        <w:rPr>
          <w:spacing w:val="8"/>
          <w:position w:val="5"/>
          <w:sz w:val="12"/>
        </w:rPr>
        <w:t xml:space="preserve"> </w:t>
      </w:r>
      <w:r>
        <w:rPr>
          <w:sz w:val="18"/>
        </w:rPr>
        <w:t>Final</w:t>
      </w:r>
      <w:r>
        <w:rPr>
          <w:spacing w:val="-5"/>
          <w:sz w:val="18"/>
        </w:rPr>
        <w:t xml:space="preserve"> </w:t>
      </w:r>
      <w:r>
        <w:rPr>
          <w:sz w:val="18"/>
        </w:rPr>
        <w:t>Determination</w:t>
      </w:r>
      <w:r>
        <w:rPr>
          <w:spacing w:val="-10"/>
          <w:sz w:val="18"/>
        </w:rPr>
        <w:t xml:space="preserve"> </w:t>
      </w:r>
      <w:r>
        <w:rPr>
          <w:sz w:val="18"/>
        </w:rPr>
        <w:t>(Exhibit</w:t>
      </w:r>
      <w:r>
        <w:rPr>
          <w:spacing w:val="-4"/>
          <w:sz w:val="18"/>
        </w:rPr>
        <w:t xml:space="preserve"> </w:t>
      </w:r>
      <w:r>
        <w:rPr>
          <w:sz w:val="18"/>
        </w:rPr>
        <w:t>CHN-1),</w:t>
      </w:r>
      <w:r>
        <w:rPr>
          <w:spacing w:val="-4"/>
          <w:sz w:val="18"/>
        </w:rPr>
        <w:t xml:space="preserve"> </w:t>
      </w:r>
      <w:r>
        <w:rPr>
          <w:sz w:val="18"/>
        </w:rPr>
        <w:t>pp.</w:t>
      </w:r>
      <w:r>
        <w:rPr>
          <w:spacing w:val="-4"/>
          <w:sz w:val="18"/>
        </w:rPr>
        <w:t xml:space="preserve"> </w:t>
      </w:r>
      <w:r>
        <w:rPr>
          <w:sz w:val="18"/>
        </w:rPr>
        <w:t>18;</w:t>
      </w:r>
      <w:r>
        <w:rPr>
          <w:spacing w:val="-7"/>
          <w:sz w:val="18"/>
        </w:rPr>
        <w:t xml:space="preserve"> </w:t>
      </w:r>
      <w:r>
        <w:rPr>
          <w:sz w:val="18"/>
        </w:rPr>
        <w:t>29;</w:t>
      </w:r>
      <w:r>
        <w:rPr>
          <w:spacing w:val="-7"/>
          <w:sz w:val="18"/>
        </w:rPr>
        <w:t xml:space="preserve"> </w:t>
      </w:r>
      <w:r>
        <w:rPr>
          <w:sz w:val="18"/>
        </w:rPr>
        <w:t>32;</w:t>
      </w:r>
      <w:r>
        <w:rPr>
          <w:spacing w:val="-7"/>
          <w:sz w:val="18"/>
        </w:rPr>
        <w:t xml:space="preserve"> </w:t>
      </w:r>
      <w:r>
        <w:rPr>
          <w:sz w:val="18"/>
        </w:rPr>
        <w:t>33;</w:t>
      </w:r>
      <w:r>
        <w:rPr>
          <w:spacing w:val="-8"/>
          <w:sz w:val="18"/>
        </w:rPr>
        <w:t xml:space="preserve"> </w:t>
      </w:r>
      <w:r>
        <w:rPr>
          <w:sz w:val="18"/>
        </w:rPr>
        <w:t>41;</w:t>
      </w:r>
      <w:r>
        <w:rPr>
          <w:spacing w:val="-7"/>
          <w:sz w:val="18"/>
        </w:rPr>
        <w:t xml:space="preserve"> </w:t>
      </w:r>
      <w:r>
        <w:rPr>
          <w:sz w:val="18"/>
        </w:rPr>
        <w:t>43;</w:t>
      </w:r>
      <w:r>
        <w:rPr>
          <w:spacing w:val="-7"/>
          <w:sz w:val="18"/>
        </w:rPr>
        <w:t xml:space="preserve"> </w:t>
      </w:r>
      <w:r>
        <w:rPr>
          <w:sz w:val="18"/>
        </w:rPr>
        <w:t>46;</w:t>
      </w:r>
      <w:r>
        <w:rPr>
          <w:spacing w:val="-10"/>
          <w:sz w:val="18"/>
        </w:rPr>
        <w:t xml:space="preserve"> </w:t>
      </w:r>
      <w:r>
        <w:rPr>
          <w:sz w:val="18"/>
        </w:rPr>
        <w:t>and</w:t>
      </w:r>
      <w:r>
        <w:rPr>
          <w:spacing w:val="-6"/>
          <w:sz w:val="18"/>
        </w:rPr>
        <w:t xml:space="preserve"> </w:t>
      </w:r>
      <w:r>
        <w:rPr>
          <w:sz w:val="18"/>
        </w:rPr>
        <w:t>47;</w:t>
      </w:r>
      <w:r>
        <w:rPr>
          <w:spacing w:val="-7"/>
          <w:sz w:val="18"/>
        </w:rPr>
        <w:t xml:space="preserve"> </w:t>
      </w:r>
      <w:r>
        <w:rPr>
          <w:sz w:val="18"/>
        </w:rPr>
        <w:t>Anti-Dumping</w:t>
      </w:r>
      <w:r>
        <w:rPr>
          <w:spacing w:val="-6"/>
          <w:sz w:val="18"/>
        </w:rPr>
        <w:t xml:space="preserve"> </w:t>
      </w:r>
      <w:r>
        <w:rPr>
          <w:sz w:val="18"/>
        </w:rPr>
        <w:t>Final</w:t>
      </w:r>
      <w:r>
        <w:rPr>
          <w:spacing w:val="-5"/>
          <w:sz w:val="18"/>
        </w:rPr>
        <w:t xml:space="preserve"> </w:t>
      </w:r>
      <w:r>
        <w:rPr>
          <w:sz w:val="18"/>
        </w:rPr>
        <w:t>Determination</w:t>
      </w:r>
      <w:r>
        <w:rPr>
          <w:spacing w:val="-6"/>
          <w:sz w:val="18"/>
        </w:rPr>
        <w:t xml:space="preserve"> </w:t>
      </w:r>
      <w:r>
        <w:rPr>
          <w:sz w:val="18"/>
        </w:rPr>
        <w:t>(AUS-2),</w:t>
      </w:r>
      <w:r>
        <w:rPr>
          <w:spacing w:val="-8"/>
          <w:sz w:val="18"/>
        </w:rPr>
        <w:t xml:space="preserve"> </w:t>
      </w:r>
      <w:r>
        <w:rPr>
          <w:spacing w:val="-5"/>
          <w:sz w:val="18"/>
        </w:rPr>
        <w:t>pp.</w:t>
      </w:r>
    </w:p>
    <w:p w14:paraId="62F9F93C" w14:textId="77777777" w:rsidR="00BD462C" w:rsidRDefault="00033D0F">
      <w:pPr>
        <w:spacing w:before="1"/>
        <w:ind w:left="136"/>
        <w:rPr>
          <w:sz w:val="18"/>
        </w:rPr>
      </w:pPr>
      <w:r>
        <w:rPr>
          <w:sz w:val="18"/>
        </w:rPr>
        <w:t>37;</w:t>
      </w:r>
      <w:r>
        <w:rPr>
          <w:spacing w:val="-1"/>
          <w:sz w:val="18"/>
        </w:rPr>
        <w:t xml:space="preserve"> </w:t>
      </w:r>
      <w:r>
        <w:rPr>
          <w:sz w:val="18"/>
        </w:rPr>
        <w:t>60;</w:t>
      </w:r>
      <w:r>
        <w:rPr>
          <w:spacing w:val="-1"/>
          <w:sz w:val="18"/>
        </w:rPr>
        <w:t xml:space="preserve"> </w:t>
      </w:r>
      <w:r>
        <w:rPr>
          <w:sz w:val="18"/>
        </w:rPr>
        <w:t>67;</w:t>
      </w:r>
      <w:r>
        <w:rPr>
          <w:spacing w:val="-1"/>
          <w:sz w:val="18"/>
        </w:rPr>
        <w:t xml:space="preserve"> </w:t>
      </w:r>
      <w:r>
        <w:rPr>
          <w:sz w:val="18"/>
        </w:rPr>
        <w:t>84;</w:t>
      </w:r>
      <w:r>
        <w:rPr>
          <w:spacing w:val="-6"/>
          <w:sz w:val="18"/>
        </w:rPr>
        <w:t xml:space="preserve"> </w:t>
      </w:r>
      <w:r>
        <w:rPr>
          <w:sz w:val="18"/>
        </w:rPr>
        <w:t>89;</w:t>
      </w:r>
      <w:r>
        <w:rPr>
          <w:spacing w:val="-1"/>
          <w:sz w:val="18"/>
        </w:rPr>
        <w:t xml:space="preserve"> </w:t>
      </w:r>
      <w:r>
        <w:rPr>
          <w:sz w:val="18"/>
        </w:rPr>
        <w:t>91;</w:t>
      </w:r>
      <w:r>
        <w:rPr>
          <w:spacing w:val="-6"/>
          <w:sz w:val="18"/>
        </w:rPr>
        <w:t xml:space="preserve"> </w:t>
      </w:r>
      <w:r>
        <w:rPr>
          <w:sz w:val="18"/>
        </w:rPr>
        <w:t>95;</w:t>
      </w:r>
      <w:r>
        <w:rPr>
          <w:spacing w:val="-1"/>
          <w:sz w:val="18"/>
        </w:rPr>
        <w:t xml:space="preserve"> </w:t>
      </w:r>
      <w:r>
        <w:rPr>
          <w:sz w:val="18"/>
        </w:rPr>
        <w:t>and</w:t>
      </w:r>
      <w:r>
        <w:rPr>
          <w:spacing w:val="-5"/>
          <w:sz w:val="18"/>
        </w:rPr>
        <w:t xml:space="preserve"> </w:t>
      </w:r>
      <w:r>
        <w:rPr>
          <w:spacing w:val="-4"/>
          <w:sz w:val="18"/>
        </w:rPr>
        <w:t>98.]</w:t>
      </w:r>
    </w:p>
    <w:p w14:paraId="2ADB4C0A" w14:textId="77777777" w:rsidR="00BD462C" w:rsidRDefault="00BD462C">
      <w:pPr>
        <w:rPr>
          <w:sz w:val="18"/>
        </w:rPr>
        <w:sectPr w:rsidR="00BD462C">
          <w:pgSz w:w="11910" w:h="16840"/>
          <w:pgMar w:top="860" w:right="500" w:bottom="780" w:left="1280" w:header="566" w:footer="590" w:gutter="0"/>
          <w:cols w:space="720"/>
        </w:sectPr>
      </w:pPr>
    </w:p>
    <w:p w14:paraId="3A00DBEC"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4E01C0BA"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344B912A"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520CB9D2" w14:textId="77777777" w:rsidR="00BD462C" w:rsidRDefault="00033D0F">
      <w:pPr>
        <w:pStyle w:val="BodyText"/>
        <w:spacing w:before="102" w:line="357" w:lineRule="auto"/>
        <w:ind w:left="135" w:right="923"/>
      </w:pPr>
      <w:r>
        <w:t>used in the Final Determination to describe MOFCOM's decision to use the customs data as the basis for calculating the import price of subject imports.</w:t>
      </w:r>
      <w:hyperlink w:anchor="_bookmark770" w:history="1">
        <w:r>
          <w:rPr>
            <w:vertAlign w:val="superscript"/>
          </w:rPr>
          <w:t>648</w:t>
        </w:r>
      </w:hyperlink>
    </w:p>
    <w:p w14:paraId="4D4184A8" w14:textId="77777777" w:rsidR="00BD462C" w:rsidRDefault="00BD462C">
      <w:pPr>
        <w:pStyle w:val="BodyText"/>
        <w:spacing w:before="3"/>
        <w:rPr>
          <w:sz w:val="9"/>
        </w:rPr>
      </w:pPr>
    </w:p>
    <w:p w14:paraId="658AF2ED" w14:textId="3EB0987B" w:rsidR="00BD462C" w:rsidRDefault="00AF5F66">
      <w:pPr>
        <w:pStyle w:val="BodyText"/>
        <w:spacing w:before="56" w:line="360" w:lineRule="auto"/>
        <w:ind w:left="135" w:right="911" w:hanging="5"/>
        <w:jc w:val="both"/>
      </w:pPr>
      <w:r>
        <w:rPr>
          <w:noProof/>
        </w:rPr>
        <w:t>452.</w:t>
      </w:r>
      <w:r w:rsidR="00033D0F">
        <w:rPr>
          <w:rFonts w:ascii="Times New Roman"/>
          <w:spacing w:val="80"/>
          <w:w w:val="150"/>
          <w:position w:val="1"/>
          <w:sz w:val="20"/>
        </w:rPr>
        <w:t xml:space="preserve"> </w:t>
      </w:r>
      <w:r w:rsidR="00033D0F">
        <w:rPr>
          <w:position w:val="1"/>
        </w:rPr>
        <w:t>Second,</w:t>
      </w:r>
      <w:r w:rsidR="00033D0F">
        <w:rPr>
          <w:spacing w:val="40"/>
          <w:position w:val="1"/>
        </w:rPr>
        <w:t xml:space="preserve"> </w:t>
      </w:r>
      <w:r w:rsidR="00033D0F">
        <w:rPr>
          <w:position w:val="1"/>
        </w:rPr>
        <w:t>China's</w:t>
      </w:r>
      <w:r w:rsidR="00033D0F">
        <w:rPr>
          <w:spacing w:val="40"/>
          <w:position w:val="1"/>
        </w:rPr>
        <w:t xml:space="preserve"> </w:t>
      </w:r>
      <w:r w:rsidR="00033D0F">
        <w:rPr>
          <w:position w:val="1"/>
        </w:rPr>
        <w:t>arguments</w:t>
      </w:r>
      <w:r w:rsidR="00033D0F">
        <w:rPr>
          <w:spacing w:val="40"/>
          <w:position w:val="1"/>
        </w:rPr>
        <w:t xml:space="preserve"> </w:t>
      </w:r>
      <w:r w:rsidR="00033D0F">
        <w:rPr>
          <w:position w:val="1"/>
        </w:rPr>
        <w:t>regarding</w:t>
      </w:r>
      <w:r w:rsidR="00033D0F">
        <w:rPr>
          <w:spacing w:val="40"/>
          <w:position w:val="1"/>
        </w:rPr>
        <w:t xml:space="preserve"> </w:t>
      </w:r>
      <w:r w:rsidR="00033D0F">
        <w:rPr>
          <w:position w:val="1"/>
        </w:rPr>
        <w:t>price</w:t>
      </w:r>
      <w:r w:rsidR="00033D0F">
        <w:rPr>
          <w:spacing w:val="40"/>
          <w:position w:val="1"/>
        </w:rPr>
        <w:t xml:space="preserve"> </w:t>
      </w:r>
      <w:r w:rsidR="00033D0F">
        <w:rPr>
          <w:position w:val="1"/>
        </w:rPr>
        <w:t>comparability,</w:t>
      </w:r>
      <w:r w:rsidR="00033D0F">
        <w:rPr>
          <w:spacing w:val="40"/>
          <w:position w:val="1"/>
        </w:rPr>
        <w:t xml:space="preserve"> </w:t>
      </w:r>
      <w:r w:rsidR="00033D0F">
        <w:rPr>
          <w:position w:val="1"/>
        </w:rPr>
        <w:t>product</w:t>
      </w:r>
      <w:r w:rsidR="00033D0F">
        <w:rPr>
          <w:spacing w:val="40"/>
          <w:position w:val="1"/>
        </w:rPr>
        <w:t xml:space="preserve"> </w:t>
      </w:r>
      <w:r w:rsidR="00033D0F">
        <w:rPr>
          <w:position w:val="1"/>
        </w:rPr>
        <w:t>mix</w:t>
      </w:r>
      <w:r w:rsidR="00033D0F">
        <w:rPr>
          <w:spacing w:val="40"/>
          <w:position w:val="1"/>
        </w:rPr>
        <w:t xml:space="preserve"> </w:t>
      </w:r>
      <w:r w:rsidR="00033D0F">
        <w:rPr>
          <w:position w:val="1"/>
        </w:rPr>
        <w:t xml:space="preserve">and </w:t>
      </w:r>
      <w:r w:rsidR="00033D0F">
        <w:t>MOFCOM's</w:t>
      </w:r>
      <w:r w:rsidR="00033D0F">
        <w:rPr>
          <w:spacing w:val="-2"/>
        </w:rPr>
        <w:t xml:space="preserve"> </w:t>
      </w:r>
      <w:r w:rsidR="00033D0F">
        <w:t>use</w:t>
      </w:r>
      <w:r w:rsidR="00033D0F">
        <w:rPr>
          <w:spacing w:val="-3"/>
        </w:rPr>
        <w:t xml:space="preserve"> </w:t>
      </w:r>
      <w:r w:rsidR="00033D0F">
        <w:t>of</w:t>
      </w:r>
      <w:r w:rsidR="00033D0F">
        <w:rPr>
          <w:spacing w:val="-4"/>
        </w:rPr>
        <w:t xml:space="preserve"> </w:t>
      </w:r>
      <w:proofErr w:type="spellStart"/>
      <w:r w:rsidR="00033D0F">
        <w:t>annualised</w:t>
      </w:r>
      <w:proofErr w:type="spellEnd"/>
      <w:r w:rsidR="00033D0F">
        <w:rPr>
          <w:spacing w:val="-4"/>
        </w:rPr>
        <w:t xml:space="preserve"> </w:t>
      </w:r>
      <w:r w:rsidR="00033D0F">
        <w:t>average</w:t>
      </w:r>
      <w:r w:rsidR="00033D0F">
        <w:rPr>
          <w:spacing w:val="-3"/>
        </w:rPr>
        <w:t xml:space="preserve"> </w:t>
      </w:r>
      <w:r w:rsidR="00033D0F">
        <w:t>unit</w:t>
      </w:r>
      <w:r w:rsidR="00033D0F">
        <w:rPr>
          <w:spacing w:val="-3"/>
        </w:rPr>
        <w:t xml:space="preserve"> </w:t>
      </w:r>
      <w:r w:rsidR="00033D0F">
        <w:t>values</w:t>
      </w:r>
      <w:r w:rsidR="00033D0F">
        <w:rPr>
          <w:spacing w:val="-6"/>
        </w:rPr>
        <w:t xml:space="preserve"> </w:t>
      </w:r>
      <w:r w:rsidR="00033D0F">
        <w:t>on</w:t>
      </w:r>
      <w:r w:rsidR="00033D0F">
        <w:rPr>
          <w:spacing w:val="-4"/>
        </w:rPr>
        <w:t xml:space="preserve"> </w:t>
      </w:r>
      <w:r w:rsidR="00033D0F">
        <w:t>the</w:t>
      </w:r>
      <w:r w:rsidR="00033D0F">
        <w:rPr>
          <w:spacing w:val="-3"/>
        </w:rPr>
        <w:t xml:space="preserve"> </w:t>
      </w:r>
      <w:r w:rsidR="00033D0F">
        <w:t>basis</w:t>
      </w:r>
      <w:r w:rsidR="00033D0F">
        <w:rPr>
          <w:spacing w:val="-2"/>
        </w:rPr>
        <w:t xml:space="preserve"> </w:t>
      </w:r>
      <w:r w:rsidR="00033D0F">
        <w:t>of</w:t>
      </w:r>
      <w:r w:rsidR="00033D0F">
        <w:rPr>
          <w:spacing w:val="-4"/>
        </w:rPr>
        <w:t xml:space="preserve"> </w:t>
      </w:r>
      <w:r w:rsidR="00033D0F">
        <w:t>facts</w:t>
      </w:r>
      <w:r w:rsidR="00033D0F">
        <w:rPr>
          <w:spacing w:val="-2"/>
        </w:rPr>
        <w:t xml:space="preserve"> </w:t>
      </w:r>
      <w:r w:rsidR="00033D0F">
        <w:t>available</w:t>
      </w:r>
      <w:r w:rsidR="00033D0F">
        <w:rPr>
          <w:spacing w:val="-3"/>
        </w:rPr>
        <w:t xml:space="preserve"> </w:t>
      </w:r>
      <w:r w:rsidR="00033D0F">
        <w:t>are</w:t>
      </w:r>
      <w:r w:rsidR="00033D0F">
        <w:rPr>
          <w:spacing w:val="-3"/>
        </w:rPr>
        <w:t xml:space="preserve"> </w:t>
      </w:r>
      <w:r w:rsidR="00033D0F">
        <w:t>internally inconsistent. Specifically, China argues that price comparability was not relevant to MOFCOM's examination of price effects because "MOFCOM did not compare the prices",</w:t>
      </w:r>
      <w:hyperlink w:anchor="_bookmark771" w:history="1">
        <w:r w:rsidR="00033D0F">
          <w:rPr>
            <w:vertAlign w:val="superscript"/>
          </w:rPr>
          <w:t>649</w:t>
        </w:r>
      </w:hyperlink>
      <w:r w:rsidR="00033D0F">
        <w:t xml:space="preserve"> and/or because subject imports and domestic like products were "almost identical".</w:t>
      </w:r>
      <w:hyperlink w:anchor="_bookmark772" w:history="1">
        <w:r w:rsidR="00033D0F">
          <w:rPr>
            <w:vertAlign w:val="superscript"/>
          </w:rPr>
          <w:t>650</w:t>
        </w:r>
      </w:hyperlink>
      <w:r w:rsidR="00033D0F">
        <w:t xml:space="preserve"> MOFCOM</w:t>
      </w:r>
      <w:r w:rsidR="00033D0F">
        <w:rPr>
          <w:spacing w:val="-14"/>
        </w:rPr>
        <w:t xml:space="preserve"> </w:t>
      </w:r>
      <w:r w:rsidR="00033D0F">
        <w:t>either</w:t>
      </w:r>
      <w:r w:rsidR="00033D0F">
        <w:rPr>
          <w:spacing w:val="-14"/>
        </w:rPr>
        <w:t xml:space="preserve"> </w:t>
      </w:r>
      <w:r w:rsidR="00033D0F">
        <w:t>used</w:t>
      </w:r>
      <w:r w:rsidR="00033D0F">
        <w:rPr>
          <w:spacing w:val="-13"/>
        </w:rPr>
        <w:t xml:space="preserve"> </w:t>
      </w:r>
      <w:r w:rsidR="00033D0F">
        <w:t>average</w:t>
      </w:r>
      <w:r w:rsidR="00033D0F">
        <w:rPr>
          <w:spacing w:val="-14"/>
        </w:rPr>
        <w:t xml:space="preserve"> </w:t>
      </w:r>
      <w:r w:rsidR="00033D0F">
        <w:t>unit</w:t>
      </w:r>
      <w:r w:rsidR="00033D0F">
        <w:rPr>
          <w:spacing w:val="-13"/>
        </w:rPr>
        <w:t xml:space="preserve"> </w:t>
      </w:r>
      <w:r w:rsidR="00033D0F">
        <w:t>prices:</w:t>
      </w:r>
      <w:r w:rsidR="00033D0F">
        <w:rPr>
          <w:spacing w:val="-14"/>
        </w:rPr>
        <w:t xml:space="preserve"> </w:t>
      </w:r>
      <w:r w:rsidR="00033D0F">
        <w:t>(i)</w:t>
      </w:r>
      <w:r w:rsidR="00033D0F">
        <w:rPr>
          <w:spacing w:val="-13"/>
        </w:rPr>
        <w:t xml:space="preserve"> </w:t>
      </w:r>
      <w:r w:rsidR="00033D0F">
        <w:t>because</w:t>
      </w:r>
      <w:r w:rsidR="00033D0F">
        <w:rPr>
          <w:spacing w:val="-14"/>
        </w:rPr>
        <w:t xml:space="preserve"> </w:t>
      </w:r>
      <w:r w:rsidR="00033D0F">
        <w:t>it</w:t>
      </w:r>
      <w:r w:rsidR="00033D0F">
        <w:rPr>
          <w:spacing w:val="-14"/>
        </w:rPr>
        <w:t xml:space="preserve"> </w:t>
      </w:r>
      <w:r w:rsidR="00033D0F">
        <w:t>determined</w:t>
      </w:r>
      <w:r w:rsidR="00033D0F">
        <w:rPr>
          <w:spacing w:val="-13"/>
        </w:rPr>
        <w:t xml:space="preserve"> </w:t>
      </w:r>
      <w:r w:rsidR="00033D0F">
        <w:t>that</w:t>
      </w:r>
      <w:r w:rsidR="00033D0F">
        <w:rPr>
          <w:spacing w:val="-14"/>
        </w:rPr>
        <w:t xml:space="preserve"> </w:t>
      </w:r>
      <w:r w:rsidR="00033D0F">
        <w:t>product</w:t>
      </w:r>
      <w:r w:rsidR="00033D0F">
        <w:rPr>
          <w:spacing w:val="-13"/>
        </w:rPr>
        <w:t xml:space="preserve"> </w:t>
      </w:r>
      <w:r w:rsidR="00033D0F">
        <w:t>mix</w:t>
      </w:r>
      <w:r w:rsidR="00033D0F">
        <w:rPr>
          <w:spacing w:val="-14"/>
        </w:rPr>
        <w:t xml:space="preserve"> </w:t>
      </w:r>
      <w:r w:rsidR="00033D0F">
        <w:t>and</w:t>
      </w:r>
      <w:r w:rsidR="00033D0F">
        <w:rPr>
          <w:spacing w:val="-13"/>
        </w:rPr>
        <w:t xml:space="preserve"> </w:t>
      </w:r>
      <w:r w:rsidR="00033D0F">
        <w:t>price comparability were not relevant to its price effects analysis, in which case there was no necessary</w:t>
      </w:r>
      <w:r w:rsidR="00033D0F">
        <w:rPr>
          <w:spacing w:val="-2"/>
        </w:rPr>
        <w:t xml:space="preserve"> </w:t>
      </w:r>
      <w:r w:rsidR="00033D0F">
        <w:t>information</w:t>
      </w:r>
      <w:r w:rsidR="00033D0F">
        <w:rPr>
          <w:spacing w:val="-5"/>
        </w:rPr>
        <w:t xml:space="preserve"> </w:t>
      </w:r>
      <w:r w:rsidR="00033D0F">
        <w:t>missing</w:t>
      </w:r>
      <w:r w:rsidR="00033D0F">
        <w:rPr>
          <w:spacing w:val="-2"/>
        </w:rPr>
        <w:t xml:space="preserve"> </w:t>
      </w:r>
      <w:r w:rsidR="00033D0F">
        <w:t>from</w:t>
      </w:r>
      <w:r w:rsidR="00033D0F">
        <w:rPr>
          <w:spacing w:val="-4"/>
        </w:rPr>
        <w:t xml:space="preserve"> </w:t>
      </w:r>
      <w:r w:rsidR="00033D0F">
        <w:t>the record</w:t>
      </w:r>
      <w:r w:rsidR="00033D0F">
        <w:rPr>
          <w:spacing w:val="-5"/>
        </w:rPr>
        <w:t xml:space="preserve"> </w:t>
      </w:r>
      <w:r w:rsidR="00033D0F">
        <w:t>and,</w:t>
      </w:r>
      <w:r w:rsidR="00033D0F">
        <w:rPr>
          <w:spacing w:val="-2"/>
        </w:rPr>
        <w:t xml:space="preserve"> </w:t>
      </w:r>
      <w:r w:rsidR="00033D0F">
        <w:t>therefore,</w:t>
      </w:r>
      <w:r w:rsidR="00033D0F">
        <w:rPr>
          <w:spacing w:val="-1"/>
        </w:rPr>
        <w:t xml:space="preserve"> </w:t>
      </w:r>
      <w:r w:rsidR="00033D0F">
        <w:t>no</w:t>
      </w:r>
      <w:r w:rsidR="00033D0F">
        <w:rPr>
          <w:spacing w:val="-6"/>
        </w:rPr>
        <w:t xml:space="preserve"> </w:t>
      </w:r>
      <w:r w:rsidR="00033D0F">
        <w:t>recourse</w:t>
      </w:r>
      <w:r w:rsidR="00033D0F">
        <w:rPr>
          <w:spacing w:val="-3"/>
        </w:rPr>
        <w:t xml:space="preserve"> </w:t>
      </w:r>
      <w:r w:rsidR="00033D0F">
        <w:t>to</w:t>
      </w:r>
      <w:r w:rsidR="00033D0F">
        <w:rPr>
          <w:spacing w:val="-1"/>
        </w:rPr>
        <w:t xml:space="preserve"> </w:t>
      </w:r>
      <w:r w:rsidR="00033D0F">
        <w:t>facts</w:t>
      </w:r>
      <w:r w:rsidR="00033D0F">
        <w:rPr>
          <w:spacing w:val="-2"/>
        </w:rPr>
        <w:t xml:space="preserve"> </w:t>
      </w:r>
      <w:r w:rsidR="00033D0F">
        <w:t>available; or</w:t>
      </w:r>
      <w:r w:rsidR="00033D0F">
        <w:rPr>
          <w:spacing w:val="-5"/>
        </w:rPr>
        <w:t xml:space="preserve"> </w:t>
      </w:r>
      <w:r w:rsidR="00033D0F">
        <w:t>(ii)</w:t>
      </w:r>
      <w:r w:rsidR="00033D0F">
        <w:rPr>
          <w:spacing w:val="-4"/>
        </w:rPr>
        <w:t xml:space="preserve"> </w:t>
      </w:r>
      <w:r w:rsidR="00033D0F">
        <w:t>because</w:t>
      </w:r>
      <w:r w:rsidR="00033D0F">
        <w:rPr>
          <w:spacing w:val="-3"/>
        </w:rPr>
        <w:t xml:space="preserve"> </w:t>
      </w:r>
      <w:r w:rsidR="00033D0F">
        <w:t>price</w:t>
      </w:r>
      <w:r w:rsidR="00033D0F">
        <w:rPr>
          <w:spacing w:val="-3"/>
        </w:rPr>
        <w:t xml:space="preserve"> </w:t>
      </w:r>
      <w:r w:rsidR="00033D0F">
        <w:t>comparability</w:t>
      </w:r>
      <w:r w:rsidR="00033D0F">
        <w:rPr>
          <w:spacing w:val="-2"/>
        </w:rPr>
        <w:t xml:space="preserve"> </w:t>
      </w:r>
      <w:r w:rsidR="00033D0F">
        <w:t>was</w:t>
      </w:r>
      <w:r w:rsidR="00033D0F">
        <w:rPr>
          <w:spacing w:val="-2"/>
        </w:rPr>
        <w:t xml:space="preserve"> </w:t>
      </w:r>
      <w:r w:rsidR="00033D0F">
        <w:t>relevant</w:t>
      </w:r>
      <w:r w:rsidR="00033D0F">
        <w:rPr>
          <w:spacing w:val="-3"/>
        </w:rPr>
        <w:t xml:space="preserve"> </w:t>
      </w:r>
      <w:r w:rsidR="00033D0F">
        <w:t>to</w:t>
      </w:r>
      <w:r w:rsidR="00033D0F">
        <w:rPr>
          <w:spacing w:val="-5"/>
        </w:rPr>
        <w:t xml:space="preserve"> </w:t>
      </w:r>
      <w:r w:rsidR="00033D0F">
        <w:t>MOFCOM's</w:t>
      </w:r>
      <w:r w:rsidR="00033D0F">
        <w:rPr>
          <w:spacing w:val="-2"/>
        </w:rPr>
        <w:t xml:space="preserve"> </w:t>
      </w:r>
      <w:r w:rsidR="00033D0F">
        <w:t>examination,</w:t>
      </w:r>
      <w:r w:rsidR="00033D0F">
        <w:rPr>
          <w:spacing w:val="-2"/>
        </w:rPr>
        <w:t xml:space="preserve"> </w:t>
      </w:r>
      <w:r w:rsidR="00033D0F">
        <w:t>but</w:t>
      </w:r>
      <w:r w:rsidR="00033D0F">
        <w:rPr>
          <w:spacing w:val="-3"/>
        </w:rPr>
        <w:t xml:space="preserve"> </w:t>
      </w:r>
      <w:r w:rsidR="00033D0F">
        <w:t>it</w:t>
      </w:r>
      <w:r w:rsidR="00033D0F">
        <w:rPr>
          <w:spacing w:val="-3"/>
        </w:rPr>
        <w:t xml:space="preserve"> </w:t>
      </w:r>
      <w:r w:rsidR="00033D0F">
        <w:t>considered that the Australian interested parties had not supplied the necessary information to determine</w:t>
      </w:r>
      <w:r w:rsidR="00033D0F">
        <w:rPr>
          <w:spacing w:val="-7"/>
        </w:rPr>
        <w:t xml:space="preserve"> </w:t>
      </w:r>
      <w:r w:rsidR="00033D0F">
        <w:t>the</w:t>
      </w:r>
      <w:r w:rsidR="00033D0F">
        <w:rPr>
          <w:spacing w:val="-7"/>
        </w:rPr>
        <w:t xml:space="preserve"> </w:t>
      </w:r>
      <w:r w:rsidR="00033D0F">
        <w:t>appropriate</w:t>
      </w:r>
      <w:r w:rsidR="00033D0F">
        <w:rPr>
          <w:spacing w:val="-7"/>
        </w:rPr>
        <w:t xml:space="preserve"> </w:t>
      </w:r>
      <w:r w:rsidR="00033D0F">
        <w:t>adjustments</w:t>
      </w:r>
      <w:r w:rsidR="00033D0F">
        <w:rPr>
          <w:spacing w:val="-6"/>
        </w:rPr>
        <w:t xml:space="preserve"> </w:t>
      </w:r>
      <w:r w:rsidR="00033D0F">
        <w:t>or</w:t>
      </w:r>
      <w:r w:rsidR="00033D0F">
        <w:rPr>
          <w:spacing w:val="-10"/>
        </w:rPr>
        <w:t xml:space="preserve"> </w:t>
      </w:r>
      <w:r w:rsidR="00033D0F">
        <w:t>to</w:t>
      </w:r>
      <w:r w:rsidR="00033D0F">
        <w:rPr>
          <w:spacing w:val="-10"/>
        </w:rPr>
        <w:t xml:space="preserve"> </w:t>
      </w:r>
      <w:r w:rsidR="00033D0F">
        <w:t>segregate</w:t>
      </w:r>
      <w:r w:rsidR="00033D0F">
        <w:rPr>
          <w:spacing w:val="-7"/>
        </w:rPr>
        <w:t xml:space="preserve"> </w:t>
      </w:r>
      <w:r w:rsidR="00033D0F">
        <w:t>the</w:t>
      </w:r>
      <w:r w:rsidR="00033D0F">
        <w:rPr>
          <w:spacing w:val="-6"/>
        </w:rPr>
        <w:t xml:space="preserve"> </w:t>
      </w:r>
      <w:r w:rsidR="00033D0F">
        <w:t>analysis</w:t>
      </w:r>
      <w:r w:rsidR="00033D0F">
        <w:rPr>
          <w:spacing w:val="-6"/>
        </w:rPr>
        <w:t xml:space="preserve"> </w:t>
      </w:r>
      <w:r w:rsidR="00033D0F">
        <w:t>into</w:t>
      </w:r>
      <w:r w:rsidR="00033D0F">
        <w:rPr>
          <w:spacing w:val="-10"/>
        </w:rPr>
        <w:t xml:space="preserve"> </w:t>
      </w:r>
      <w:r w:rsidR="00033D0F">
        <w:t>categories,</w:t>
      </w:r>
      <w:r w:rsidR="00033D0F">
        <w:rPr>
          <w:spacing w:val="-10"/>
        </w:rPr>
        <w:t xml:space="preserve"> </w:t>
      </w:r>
      <w:r w:rsidR="00033D0F">
        <w:t>such</w:t>
      </w:r>
      <w:r w:rsidR="00033D0F">
        <w:rPr>
          <w:spacing w:val="-9"/>
        </w:rPr>
        <w:t xml:space="preserve"> </w:t>
      </w:r>
      <w:r w:rsidR="00033D0F">
        <w:t>that recourse</w:t>
      </w:r>
      <w:r w:rsidR="00033D0F">
        <w:rPr>
          <w:spacing w:val="-8"/>
        </w:rPr>
        <w:t xml:space="preserve"> </w:t>
      </w:r>
      <w:r w:rsidR="00033D0F">
        <w:t>to</w:t>
      </w:r>
      <w:r w:rsidR="00033D0F">
        <w:rPr>
          <w:spacing w:val="-10"/>
        </w:rPr>
        <w:t xml:space="preserve"> </w:t>
      </w:r>
      <w:r w:rsidR="00033D0F">
        <w:t>the</w:t>
      </w:r>
      <w:r w:rsidR="00033D0F">
        <w:rPr>
          <w:spacing w:val="-8"/>
        </w:rPr>
        <w:t xml:space="preserve"> </w:t>
      </w:r>
      <w:r w:rsidR="00033D0F">
        <w:t>facts</w:t>
      </w:r>
      <w:r w:rsidR="00033D0F">
        <w:rPr>
          <w:spacing w:val="-7"/>
        </w:rPr>
        <w:t xml:space="preserve"> </w:t>
      </w:r>
      <w:r w:rsidR="00033D0F">
        <w:t>available</w:t>
      </w:r>
      <w:r w:rsidR="00033D0F">
        <w:rPr>
          <w:spacing w:val="-8"/>
        </w:rPr>
        <w:t xml:space="preserve"> </w:t>
      </w:r>
      <w:r w:rsidR="00033D0F">
        <w:t>was</w:t>
      </w:r>
      <w:r w:rsidR="00033D0F">
        <w:rPr>
          <w:spacing w:val="-10"/>
        </w:rPr>
        <w:t xml:space="preserve"> </w:t>
      </w:r>
      <w:r w:rsidR="00033D0F">
        <w:t>justified.</w:t>
      </w:r>
      <w:r w:rsidR="00033D0F">
        <w:rPr>
          <w:spacing w:val="-7"/>
        </w:rPr>
        <w:t xml:space="preserve"> </w:t>
      </w:r>
      <w:r w:rsidR="00033D0F">
        <w:t>China</w:t>
      </w:r>
      <w:r w:rsidR="00033D0F">
        <w:rPr>
          <w:spacing w:val="-12"/>
        </w:rPr>
        <w:t xml:space="preserve"> </w:t>
      </w:r>
      <w:r w:rsidR="00033D0F">
        <w:t>cannot</w:t>
      </w:r>
      <w:r w:rsidR="00033D0F">
        <w:rPr>
          <w:spacing w:val="-8"/>
        </w:rPr>
        <w:t xml:space="preserve"> </w:t>
      </w:r>
      <w:r w:rsidR="00033D0F">
        <w:t>have</w:t>
      </w:r>
      <w:r w:rsidR="00033D0F">
        <w:rPr>
          <w:spacing w:val="-8"/>
        </w:rPr>
        <w:t xml:space="preserve"> </w:t>
      </w:r>
      <w:r w:rsidR="00033D0F">
        <w:t>it</w:t>
      </w:r>
      <w:r w:rsidR="00033D0F">
        <w:rPr>
          <w:spacing w:val="-8"/>
        </w:rPr>
        <w:t xml:space="preserve"> </w:t>
      </w:r>
      <w:r w:rsidR="00033D0F">
        <w:t>both</w:t>
      </w:r>
      <w:r w:rsidR="00033D0F">
        <w:rPr>
          <w:spacing w:val="-9"/>
        </w:rPr>
        <w:t xml:space="preserve"> </w:t>
      </w:r>
      <w:r w:rsidR="00033D0F">
        <w:t>ways.</w:t>
      </w:r>
      <w:r w:rsidR="00033D0F">
        <w:rPr>
          <w:spacing w:val="-11"/>
        </w:rPr>
        <w:t xml:space="preserve"> </w:t>
      </w:r>
      <w:r w:rsidR="00033D0F">
        <w:t>Recourse</w:t>
      </w:r>
      <w:r w:rsidR="00033D0F">
        <w:rPr>
          <w:spacing w:val="-8"/>
        </w:rPr>
        <w:t xml:space="preserve"> </w:t>
      </w:r>
      <w:r w:rsidR="00033D0F">
        <w:t>to</w:t>
      </w:r>
      <w:r w:rsidR="00033D0F">
        <w:rPr>
          <w:spacing w:val="-10"/>
        </w:rPr>
        <w:t xml:space="preserve"> </w:t>
      </w:r>
      <w:r w:rsidR="00033D0F">
        <w:t xml:space="preserve">facts available cannot be invoked on an "alternative" </w:t>
      </w:r>
      <w:r w:rsidR="00033D0F">
        <w:rPr>
          <w:i/>
        </w:rPr>
        <w:t xml:space="preserve">ex post facto </w:t>
      </w:r>
      <w:r w:rsidR="00033D0F">
        <w:t>basis. MOFCOM either considered product mix and price comparability were irrelevant to its price effects analysis, and</w:t>
      </w:r>
      <w:r w:rsidR="00033D0F">
        <w:rPr>
          <w:spacing w:val="-9"/>
        </w:rPr>
        <w:t xml:space="preserve"> </w:t>
      </w:r>
      <w:r w:rsidR="00033D0F">
        <w:t>was</w:t>
      </w:r>
      <w:r w:rsidR="00033D0F">
        <w:rPr>
          <w:spacing w:val="-6"/>
        </w:rPr>
        <w:t xml:space="preserve"> </w:t>
      </w:r>
      <w:r w:rsidR="00033D0F">
        <w:t>therefore</w:t>
      </w:r>
      <w:r w:rsidR="00033D0F">
        <w:rPr>
          <w:spacing w:val="-7"/>
        </w:rPr>
        <w:t xml:space="preserve"> </w:t>
      </w:r>
      <w:r w:rsidR="00033D0F">
        <w:t>not</w:t>
      </w:r>
      <w:r w:rsidR="00033D0F">
        <w:rPr>
          <w:spacing w:val="-7"/>
        </w:rPr>
        <w:t xml:space="preserve"> </w:t>
      </w:r>
      <w:r w:rsidR="00033D0F">
        <w:t>missing</w:t>
      </w:r>
      <w:r w:rsidR="00033D0F">
        <w:rPr>
          <w:spacing w:val="-6"/>
        </w:rPr>
        <w:t xml:space="preserve"> </w:t>
      </w:r>
      <w:r w:rsidR="00033D0F">
        <w:t>any</w:t>
      </w:r>
      <w:r w:rsidR="00033D0F">
        <w:rPr>
          <w:spacing w:val="-6"/>
        </w:rPr>
        <w:t xml:space="preserve"> </w:t>
      </w:r>
      <w:r w:rsidR="00033D0F">
        <w:t>necessary</w:t>
      </w:r>
      <w:r w:rsidR="00033D0F">
        <w:rPr>
          <w:spacing w:val="-6"/>
        </w:rPr>
        <w:t xml:space="preserve"> </w:t>
      </w:r>
      <w:r w:rsidR="00033D0F">
        <w:t>information,</w:t>
      </w:r>
      <w:r w:rsidR="00033D0F">
        <w:rPr>
          <w:spacing w:val="-5"/>
        </w:rPr>
        <w:t xml:space="preserve"> </w:t>
      </w:r>
      <w:r w:rsidR="00033D0F">
        <w:t>or</w:t>
      </w:r>
      <w:r w:rsidR="00033D0F">
        <w:rPr>
          <w:spacing w:val="-10"/>
        </w:rPr>
        <w:t xml:space="preserve"> </w:t>
      </w:r>
      <w:r w:rsidR="00033D0F">
        <w:t>it</w:t>
      </w:r>
      <w:r w:rsidR="00033D0F">
        <w:rPr>
          <w:spacing w:val="-7"/>
        </w:rPr>
        <w:t xml:space="preserve"> </w:t>
      </w:r>
      <w:r w:rsidR="00033D0F">
        <w:t>had</w:t>
      </w:r>
      <w:r w:rsidR="00033D0F">
        <w:rPr>
          <w:spacing w:val="-4"/>
        </w:rPr>
        <w:t xml:space="preserve"> </w:t>
      </w:r>
      <w:r w:rsidR="00033D0F">
        <w:t>recourse</w:t>
      </w:r>
      <w:r w:rsidR="00033D0F">
        <w:rPr>
          <w:spacing w:val="-7"/>
        </w:rPr>
        <w:t xml:space="preserve"> </w:t>
      </w:r>
      <w:r w:rsidR="00033D0F">
        <w:t>to</w:t>
      </w:r>
      <w:r w:rsidR="00033D0F">
        <w:rPr>
          <w:spacing w:val="-10"/>
        </w:rPr>
        <w:t xml:space="preserve"> </w:t>
      </w:r>
      <w:r w:rsidR="00033D0F">
        <w:t>facts</w:t>
      </w:r>
      <w:r w:rsidR="00033D0F">
        <w:rPr>
          <w:spacing w:val="-6"/>
        </w:rPr>
        <w:t xml:space="preserve"> </w:t>
      </w:r>
      <w:r w:rsidR="00033D0F">
        <w:t xml:space="preserve">available because it determined that it lacked necessary information to assess and ensure price </w:t>
      </w:r>
      <w:r w:rsidR="00033D0F">
        <w:rPr>
          <w:spacing w:val="-2"/>
        </w:rPr>
        <w:t>comparability.</w:t>
      </w:r>
    </w:p>
    <w:p w14:paraId="1E965C65" w14:textId="77777777" w:rsidR="00BD462C" w:rsidRDefault="00BD462C">
      <w:pPr>
        <w:pStyle w:val="BodyText"/>
        <w:spacing w:before="7"/>
        <w:rPr>
          <w:sz w:val="8"/>
        </w:rPr>
      </w:pPr>
    </w:p>
    <w:p w14:paraId="0963508F" w14:textId="593B7F04" w:rsidR="00BD462C" w:rsidRDefault="00AF5F66">
      <w:pPr>
        <w:pStyle w:val="BodyText"/>
        <w:spacing w:before="56" w:line="360" w:lineRule="auto"/>
        <w:ind w:left="135" w:right="914" w:hanging="5"/>
        <w:jc w:val="both"/>
      </w:pPr>
      <w:r>
        <w:rPr>
          <w:noProof/>
        </w:rPr>
        <w:t>453.</w:t>
      </w:r>
      <w:r w:rsidR="00033D0F">
        <w:rPr>
          <w:rFonts w:ascii="Times New Roman"/>
          <w:spacing w:val="80"/>
          <w:position w:val="1"/>
          <w:sz w:val="20"/>
        </w:rPr>
        <w:t xml:space="preserve">  </w:t>
      </w:r>
      <w:r w:rsidR="00033D0F">
        <w:rPr>
          <w:position w:val="1"/>
        </w:rPr>
        <w:t xml:space="preserve">Third, in the event that the Panel accepts that MOFCOM did properly have recourse </w:t>
      </w:r>
      <w:r w:rsidR="00033D0F">
        <w:t>to facts available, it failed to do so in accordance with the requirements of Article</w:t>
      </w:r>
      <w:r w:rsidR="00033D0F">
        <w:rPr>
          <w:spacing w:val="-1"/>
        </w:rPr>
        <w:t xml:space="preserve"> </w:t>
      </w:r>
      <w:r w:rsidR="00033D0F">
        <w:t>6.8 and Annex II.</w:t>
      </w:r>
      <w:hyperlink w:anchor="_bookmark773" w:history="1">
        <w:r w:rsidR="00033D0F">
          <w:rPr>
            <w:vertAlign w:val="superscript"/>
          </w:rPr>
          <w:t>651</w:t>
        </w:r>
      </w:hyperlink>
      <w:r w:rsidR="00033D0F">
        <w:t xml:space="preserve"> This is because there was verifiable and appropriately submitted information before</w:t>
      </w:r>
      <w:r w:rsidR="00033D0F">
        <w:rPr>
          <w:spacing w:val="-14"/>
        </w:rPr>
        <w:t xml:space="preserve"> </w:t>
      </w:r>
      <w:r w:rsidR="00033D0F">
        <w:t>MOFCOM</w:t>
      </w:r>
      <w:r w:rsidR="00033D0F">
        <w:rPr>
          <w:spacing w:val="-14"/>
        </w:rPr>
        <w:t xml:space="preserve"> </w:t>
      </w:r>
      <w:r w:rsidR="00033D0F">
        <w:t>that</w:t>
      </w:r>
      <w:r w:rsidR="00033D0F">
        <w:rPr>
          <w:spacing w:val="-13"/>
        </w:rPr>
        <w:t xml:space="preserve"> </w:t>
      </w:r>
      <w:r w:rsidR="00033D0F">
        <w:t>demonstrated</w:t>
      </w:r>
      <w:r w:rsidR="00033D0F">
        <w:rPr>
          <w:spacing w:val="-13"/>
        </w:rPr>
        <w:t xml:space="preserve"> </w:t>
      </w:r>
      <w:r w:rsidR="00033D0F">
        <w:t>that</w:t>
      </w:r>
      <w:r w:rsidR="00033D0F">
        <w:rPr>
          <w:spacing w:val="-12"/>
        </w:rPr>
        <w:t xml:space="preserve"> </w:t>
      </w:r>
      <w:r w:rsidR="00033D0F">
        <w:t>there</w:t>
      </w:r>
      <w:r w:rsidR="00033D0F">
        <w:rPr>
          <w:spacing w:val="-14"/>
        </w:rPr>
        <w:t xml:space="preserve"> </w:t>
      </w:r>
      <w:r w:rsidR="00033D0F">
        <w:t>were</w:t>
      </w:r>
      <w:r w:rsidR="00033D0F">
        <w:rPr>
          <w:spacing w:val="-13"/>
        </w:rPr>
        <w:t xml:space="preserve"> </w:t>
      </w:r>
      <w:r w:rsidR="00033D0F">
        <w:t>significant</w:t>
      </w:r>
      <w:r w:rsidR="00033D0F">
        <w:rPr>
          <w:spacing w:val="-13"/>
        </w:rPr>
        <w:t xml:space="preserve"> </w:t>
      </w:r>
      <w:r w:rsidR="00033D0F">
        <w:t>differences</w:t>
      </w:r>
      <w:r w:rsidR="00033D0F">
        <w:rPr>
          <w:spacing w:val="-12"/>
        </w:rPr>
        <w:t xml:space="preserve"> </w:t>
      </w:r>
      <w:r w:rsidR="00033D0F">
        <w:t>in</w:t>
      </w:r>
      <w:r w:rsidR="00033D0F">
        <w:rPr>
          <w:spacing w:val="-14"/>
        </w:rPr>
        <w:t xml:space="preserve"> </w:t>
      </w:r>
      <w:r w:rsidR="00033D0F">
        <w:t>the</w:t>
      </w:r>
      <w:r w:rsidR="00033D0F">
        <w:rPr>
          <w:spacing w:val="-13"/>
        </w:rPr>
        <w:t xml:space="preserve"> </w:t>
      </w:r>
      <w:r w:rsidR="00033D0F">
        <w:t>product</w:t>
      </w:r>
      <w:r w:rsidR="00033D0F">
        <w:rPr>
          <w:spacing w:val="-13"/>
        </w:rPr>
        <w:t xml:space="preserve"> </w:t>
      </w:r>
      <w:r w:rsidR="00033D0F">
        <w:t>mix of</w:t>
      </w:r>
      <w:r w:rsidR="00033D0F">
        <w:rPr>
          <w:spacing w:val="-3"/>
        </w:rPr>
        <w:t xml:space="preserve"> </w:t>
      </w:r>
      <w:r w:rsidR="00033D0F">
        <w:t>subject imports and domestic</w:t>
      </w:r>
      <w:r w:rsidR="00033D0F">
        <w:rPr>
          <w:spacing w:val="-3"/>
        </w:rPr>
        <w:t xml:space="preserve"> </w:t>
      </w:r>
      <w:r w:rsidR="00033D0F">
        <w:t>like</w:t>
      </w:r>
      <w:r w:rsidR="00033D0F">
        <w:rPr>
          <w:spacing w:val="-1"/>
        </w:rPr>
        <w:t xml:space="preserve"> </w:t>
      </w:r>
      <w:r w:rsidR="00033D0F">
        <w:t>products.</w:t>
      </w:r>
      <w:hyperlink w:anchor="_bookmark774" w:history="1">
        <w:r w:rsidR="00033D0F">
          <w:rPr>
            <w:vertAlign w:val="superscript"/>
          </w:rPr>
          <w:t>652</w:t>
        </w:r>
      </w:hyperlink>
      <w:r w:rsidR="00033D0F">
        <w:rPr>
          <w:spacing w:val="-1"/>
        </w:rPr>
        <w:t xml:space="preserve"> </w:t>
      </w:r>
      <w:r w:rsidR="00033D0F">
        <w:t>MOFCOM's recourse to</w:t>
      </w:r>
      <w:r w:rsidR="00033D0F">
        <w:rPr>
          <w:spacing w:val="-4"/>
        </w:rPr>
        <w:t xml:space="preserve"> </w:t>
      </w:r>
      <w:r w:rsidR="00033D0F">
        <w:t>average unit</w:t>
      </w:r>
      <w:r w:rsidR="00033D0F">
        <w:rPr>
          <w:spacing w:val="-1"/>
        </w:rPr>
        <w:t xml:space="preserve"> </w:t>
      </w:r>
      <w:r w:rsidR="00033D0F">
        <w:t>values without applying adjustments to reflect the product mix differences did not take this information</w:t>
      </w:r>
      <w:r w:rsidR="00033D0F">
        <w:rPr>
          <w:spacing w:val="-1"/>
        </w:rPr>
        <w:t xml:space="preserve"> </w:t>
      </w:r>
      <w:r w:rsidR="00033D0F">
        <w:t>into account. The fact that the available information</w:t>
      </w:r>
      <w:r w:rsidR="00033D0F">
        <w:rPr>
          <w:spacing w:val="-1"/>
        </w:rPr>
        <w:t xml:space="preserve"> </w:t>
      </w:r>
      <w:r w:rsidR="00033D0F">
        <w:t>may not have been perfect in</w:t>
      </w:r>
      <w:r w:rsidR="00033D0F">
        <w:rPr>
          <w:spacing w:val="-13"/>
        </w:rPr>
        <w:t xml:space="preserve"> </w:t>
      </w:r>
      <w:r w:rsidR="00033D0F">
        <w:t>every</w:t>
      </w:r>
      <w:r w:rsidR="00033D0F">
        <w:rPr>
          <w:spacing w:val="-10"/>
        </w:rPr>
        <w:t xml:space="preserve"> </w:t>
      </w:r>
      <w:r w:rsidR="00033D0F">
        <w:t>respect,</w:t>
      </w:r>
      <w:r w:rsidR="00033D0F">
        <w:rPr>
          <w:spacing w:val="-9"/>
        </w:rPr>
        <w:t xml:space="preserve"> </w:t>
      </w:r>
      <w:r w:rsidR="00033D0F">
        <w:t>did</w:t>
      </w:r>
      <w:r w:rsidR="00033D0F">
        <w:rPr>
          <w:spacing w:val="-13"/>
        </w:rPr>
        <w:t xml:space="preserve"> </w:t>
      </w:r>
      <w:r w:rsidR="00033D0F">
        <w:t>not</w:t>
      </w:r>
      <w:r w:rsidR="00033D0F">
        <w:rPr>
          <w:spacing w:val="-10"/>
        </w:rPr>
        <w:t xml:space="preserve"> </w:t>
      </w:r>
      <w:r w:rsidR="00033D0F">
        <w:t>entitle</w:t>
      </w:r>
      <w:r w:rsidR="00033D0F">
        <w:rPr>
          <w:spacing w:val="-11"/>
        </w:rPr>
        <w:t xml:space="preserve"> </w:t>
      </w:r>
      <w:r w:rsidR="00033D0F">
        <w:t>MOFCOM</w:t>
      </w:r>
      <w:r w:rsidR="00033D0F">
        <w:rPr>
          <w:spacing w:val="-10"/>
        </w:rPr>
        <w:t xml:space="preserve"> </w:t>
      </w:r>
      <w:r w:rsidR="00033D0F">
        <w:t>simply</w:t>
      </w:r>
      <w:r w:rsidR="00033D0F">
        <w:rPr>
          <w:spacing w:val="-10"/>
        </w:rPr>
        <w:t xml:space="preserve"> </w:t>
      </w:r>
      <w:r w:rsidR="00033D0F">
        <w:t>disregard</w:t>
      </w:r>
      <w:r w:rsidR="00033D0F">
        <w:rPr>
          <w:spacing w:val="-13"/>
        </w:rPr>
        <w:t xml:space="preserve"> </w:t>
      </w:r>
      <w:r w:rsidR="00033D0F">
        <w:t>it.</w:t>
      </w:r>
      <w:r w:rsidR="00033D0F">
        <w:rPr>
          <w:spacing w:val="-10"/>
        </w:rPr>
        <w:t xml:space="preserve"> </w:t>
      </w:r>
      <w:r w:rsidR="00033D0F">
        <w:t>As</w:t>
      </w:r>
      <w:r w:rsidR="00033D0F">
        <w:rPr>
          <w:spacing w:val="-9"/>
        </w:rPr>
        <w:t xml:space="preserve"> </w:t>
      </w:r>
      <w:r w:rsidR="00033D0F">
        <w:t>a</w:t>
      </w:r>
      <w:r w:rsidR="00033D0F">
        <w:rPr>
          <w:spacing w:val="-11"/>
        </w:rPr>
        <w:t xml:space="preserve"> </w:t>
      </w:r>
      <w:r w:rsidR="00033D0F">
        <w:t>result,</w:t>
      </w:r>
      <w:r w:rsidR="00033D0F">
        <w:rPr>
          <w:spacing w:val="-9"/>
        </w:rPr>
        <w:t xml:space="preserve"> </w:t>
      </w:r>
      <w:r w:rsidR="00033D0F">
        <w:t>MOFCOM's</w:t>
      </w:r>
      <w:r w:rsidR="00033D0F">
        <w:rPr>
          <w:spacing w:val="-9"/>
        </w:rPr>
        <w:t xml:space="preserve"> </w:t>
      </w:r>
      <w:r w:rsidR="00033D0F">
        <w:t>recourse</w:t>
      </w:r>
    </w:p>
    <w:p w14:paraId="42162476" w14:textId="77095206" w:rsidR="00BD462C" w:rsidRDefault="00D70C7D">
      <w:pPr>
        <w:pStyle w:val="BodyText"/>
        <w:spacing w:before="11"/>
        <w:rPr>
          <w:sz w:val="22"/>
        </w:rPr>
      </w:pPr>
      <w:r>
        <w:rPr>
          <w:noProof/>
        </w:rPr>
        <mc:AlternateContent>
          <mc:Choice Requires="wps">
            <w:drawing>
              <wp:anchor distT="0" distB="0" distL="0" distR="0" simplePos="0" relativeHeight="487769088" behindDoc="1" locked="0" layoutInCell="1" allowOverlap="1" wp14:anchorId="7CF1DFFA" wp14:editId="11355188">
                <wp:simplePos x="0" y="0"/>
                <wp:positionH relativeFrom="page">
                  <wp:posOffset>899160</wp:posOffset>
                </wp:positionH>
                <wp:positionV relativeFrom="paragraph">
                  <wp:posOffset>193040</wp:posOffset>
                </wp:positionV>
                <wp:extent cx="1828800" cy="8890"/>
                <wp:effectExtent l="0" t="0" r="0" b="0"/>
                <wp:wrapTopAndBottom/>
                <wp:docPr id="636" name="docshape4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20557B" id="docshape401" o:spid="_x0000_s1026" alt="&quot;&quot;" style="position:absolute;margin-left:70.8pt;margin-top:15.2pt;width:2in;height:.7pt;z-index:-15547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" fillcolor="black" stroked="f">
                <w10:wrap type="topAndBottom" anchorx="page"/>
              </v:rect>
            </w:pict>
          </mc:Fallback>
        </mc:AlternateContent>
      </w:r>
    </w:p>
    <w:p w14:paraId="6681AAA4" w14:textId="77777777" w:rsidR="00BD462C" w:rsidRDefault="00033D0F">
      <w:pPr>
        <w:spacing w:before="107"/>
        <w:ind w:left="135"/>
        <w:rPr>
          <w:sz w:val="18"/>
        </w:rPr>
      </w:pPr>
      <w:bookmarkStart w:id="897" w:name="_bookmark770"/>
      <w:bookmarkEnd w:id="897"/>
      <w:r>
        <w:rPr>
          <w:position w:val="5"/>
          <w:sz w:val="12"/>
        </w:rPr>
        <w:t>648</w:t>
      </w:r>
      <w:r>
        <w:rPr>
          <w:spacing w:val="11"/>
          <w:position w:val="5"/>
          <w:sz w:val="12"/>
        </w:rPr>
        <w:t xml:space="preserve"> </w:t>
      </w:r>
      <w:r>
        <w:rPr>
          <w:sz w:val="18"/>
        </w:rPr>
        <w:t>Final</w:t>
      </w:r>
      <w:r>
        <w:rPr>
          <w:spacing w:val="-6"/>
          <w:sz w:val="18"/>
        </w:rPr>
        <w:t xml:space="preserve"> </w:t>
      </w:r>
      <w:r>
        <w:rPr>
          <w:sz w:val="18"/>
        </w:rPr>
        <w:t>Determination</w:t>
      </w:r>
      <w:r>
        <w:rPr>
          <w:spacing w:val="-8"/>
          <w:sz w:val="18"/>
        </w:rPr>
        <w:t xml:space="preserve"> </w:t>
      </w:r>
      <w:r>
        <w:rPr>
          <w:sz w:val="18"/>
        </w:rPr>
        <w:t>(Exhibit</w:t>
      </w:r>
      <w:r>
        <w:rPr>
          <w:spacing w:val="-2"/>
          <w:sz w:val="18"/>
        </w:rPr>
        <w:t xml:space="preserve"> </w:t>
      </w:r>
      <w:r>
        <w:rPr>
          <w:sz w:val="18"/>
        </w:rPr>
        <w:t>CHN-1),</w:t>
      </w:r>
      <w:r>
        <w:rPr>
          <w:spacing w:val="-5"/>
          <w:sz w:val="18"/>
        </w:rPr>
        <w:t xml:space="preserve"> </w:t>
      </w:r>
      <w:r>
        <w:rPr>
          <w:sz w:val="18"/>
        </w:rPr>
        <w:t>pp.</w:t>
      </w:r>
      <w:r>
        <w:rPr>
          <w:spacing w:val="-1"/>
          <w:sz w:val="18"/>
        </w:rPr>
        <w:t xml:space="preserve"> </w:t>
      </w:r>
      <w:r>
        <w:rPr>
          <w:sz w:val="18"/>
        </w:rPr>
        <w:t>55-58;</w:t>
      </w:r>
      <w:r>
        <w:rPr>
          <w:spacing w:val="-9"/>
          <w:sz w:val="18"/>
        </w:rPr>
        <w:t xml:space="preserve"> </w:t>
      </w:r>
      <w:r>
        <w:rPr>
          <w:sz w:val="18"/>
        </w:rPr>
        <w:t>Anti-Dumping</w:t>
      </w:r>
      <w:r>
        <w:rPr>
          <w:spacing w:val="-6"/>
          <w:sz w:val="18"/>
        </w:rPr>
        <w:t xml:space="preserve"> </w:t>
      </w:r>
      <w:r>
        <w:rPr>
          <w:sz w:val="18"/>
        </w:rPr>
        <w:t>Final</w:t>
      </w:r>
      <w:r>
        <w:rPr>
          <w:spacing w:val="-2"/>
          <w:sz w:val="18"/>
        </w:rPr>
        <w:t xml:space="preserve"> </w:t>
      </w:r>
      <w:r>
        <w:rPr>
          <w:sz w:val="18"/>
        </w:rPr>
        <w:t>Determination</w:t>
      </w:r>
      <w:r>
        <w:rPr>
          <w:spacing w:val="-8"/>
          <w:sz w:val="18"/>
        </w:rPr>
        <w:t xml:space="preserve"> </w:t>
      </w:r>
      <w:r>
        <w:rPr>
          <w:sz w:val="18"/>
        </w:rPr>
        <w:t>9Exhibit</w:t>
      </w:r>
      <w:r>
        <w:rPr>
          <w:spacing w:val="-6"/>
          <w:sz w:val="18"/>
        </w:rPr>
        <w:t xml:space="preserve"> </w:t>
      </w:r>
      <w:r>
        <w:rPr>
          <w:sz w:val="18"/>
        </w:rPr>
        <w:t>AUS-2),</w:t>
      </w:r>
      <w:r>
        <w:rPr>
          <w:spacing w:val="-4"/>
          <w:sz w:val="18"/>
        </w:rPr>
        <w:t xml:space="preserve"> </w:t>
      </w:r>
      <w:r>
        <w:rPr>
          <w:sz w:val="18"/>
        </w:rPr>
        <w:t>pp.</w:t>
      </w:r>
      <w:r>
        <w:rPr>
          <w:spacing w:val="-2"/>
          <w:sz w:val="18"/>
        </w:rPr>
        <w:t xml:space="preserve"> </w:t>
      </w:r>
      <w:r>
        <w:rPr>
          <w:sz w:val="18"/>
        </w:rPr>
        <w:t>112-</w:t>
      </w:r>
      <w:r>
        <w:rPr>
          <w:spacing w:val="-4"/>
          <w:sz w:val="18"/>
        </w:rPr>
        <w:t>119.</w:t>
      </w:r>
    </w:p>
    <w:p w14:paraId="177C4560" w14:textId="77777777" w:rsidR="00BD462C" w:rsidRDefault="00033D0F">
      <w:pPr>
        <w:spacing w:before="1"/>
        <w:ind w:left="135"/>
        <w:rPr>
          <w:sz w:val="18"/>
        </w:rPr>
      </w:pPr>
      <w:bookmarkStart w:id="898" w:name="_bookmark771"/>
      <w:bookmarkEnd w:id="898"/>
      <w:r>
        <w:rPr>
          <w:position w:val="5"/>
          <w:sz w:val="12"/>
        </w:rPr>
        <w:t>649</w:t>
      </w:r>
      <w:r>
        <w:rPr>
          <w:spacing w:val="13"/>
          <w:position w:val="5"/>
          <w:sz w:val="12"/>
        </w:rPr>
        <w:t xml:space="preserve"> </w:t>
      </w:r>
      <w:r>
        <w:rPr>
          <w:sz w:val="18"/>
        </w:rPr>
        <w:t>China's</w:t>
      </w:r>
      <w:r>
        <w:rPr>
          <w:spacing w:val="-5"/>
          <w:sz w:val="18"/>
        </w:rPr>
        <w:t xml:space="preserve"> </w:t>
      </w:r>
      <w:r>
        <w:rPr>
          <w:sz w:val="18"/>
        </w:rPr>
        <w:t>first</w:t>
      </w:r>
      <w:r>
        <w:rPr>
          <w:spacing w:val="-3"/>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paras.</w:t>
      </w:r>
      <w:r>
        <w:rPr>
          <w:spacing w:val="-3"/>
          <w:sz w:val="18"/>
        </w:rPr>
        <w:t xml:space="preserve"> </w:t>
      </w:r>
      <w:r>
        <w:rPr>
          <w:sz w:val="18"/>
        </w:rPr>
        <w:t>1092;</w:t>
      </w:r>
      <w:r>
        <w:rPr>
          <w:spacing w:val="-2"/>
          <w:sz w:val="18"/>
        </w:rPr>
        <w:t xml:space="preserve"> </w:t>
      </w:r>
      <w:r>
        <w:rPr>
          <w:sz w:val="18"/>
        </w:rPr>
        <w:t>1089;</w:t>
      </w:r>
      <w:r>
        <w:rPr>
          <w:spacing w:val="-7"/>
          <w:sz w:val="18"/>
        </w:rPr>
        <w:t xml:space="preserve"> </w:t>
      </w:r>
      <w:r>
        <w:rPr>
          <w:sz w:val="18"/>
        </w:rPr>
        <w:t>and</w:t>
      </w:r>
      <w:r>
        <w:rPr>
          <w:spacing w:val="-6"/>
          <w:sz w:val="18"/>
        </w:rPr>
        <w:t xml:space="preserve"> </w:t>
      </w:r>
      <w:r>
        <w:rPr>
          <w:spacing w:val="-2"/>
          <w:sz w:val="18"/>
        </w:rPr>
        <w:t>1091.</w:t>
      </w:r>
    </w:p>
    <w:p w14:paraId="157E27A7" w14:textId="77777777" w:rsidR="00BD462C" w:rsidRDefault="00033D0F">
      <w:pPr>
        <w:spacing w:before="1"/>
        <w:ind w:left="135"/>
        <w:rPr>
          <w:sz w:val="18"/>
        </w:rPr>
      </w:pPr>
      <w:bookmarkStart w:id="899" w:name="_bookmark772"/>
      <w:bookmarkEnd w:id="899"/>
      <w:r>
        <w:rPr>
          <w:position w:val="5"/>
          <w:sz w:val="12"/>
        </w:rPr>
        <w:t>650</w:t>
      </w:r>
      <w:r>
        <w:rPr>
          <w:spacing w:val="13"/>
          <w:position w:val="5"/>
          <w:sz w:val="12"/>
        </w:rPr>
        <w:t xml:space="preserve"> </w:t>
      </w:r>
      <w:r>
        <w:rPr>
          <w:sz w:val="18"/>
        </w:rPr>
        <w:t>Final</w:t>
      </w:r>
      <w:r>
        <w:rPr>
          <w:spacing w:val="-5"/>
          <w:sz w:val="18"/>
        </w:rPr>
        <w:t xml:space="preserve"> </w:t>
      </w:r>
      <w:r>
        <w:rPr>
          <w:sz w:val="18"/>
        </w:rPr>
        <w:t>Determination</w:t>
      </w:r>
      <w:r>
        <w:rPr>
          <w:spacing w:val="-6"/>
          <w:sz w:val="18"/>
        </w:rPr>
        <w:t xml:space="preserve"> </w:t>
      </w:r>
      <w:r>
        <w:rPr>
          <w:sz w:val="18"/>
        </w:rPr>
        <w:t>(Exhibit</w:t>
      </w:r>
      <w:r>
        <w:rPr>
          <w:spacing w:val="-1"/>
          <w:sz w:val="18"/>
        </w:rPr>
        <w:t xml:space="preserve"> </w:t>
      </w:r>
      <w:r>
        <w:rPr>
          <w:sz w:val="18"/>
        </w:rPr>
        <w:t>CHN-1),</w:t>
      </w:r>
      <w:r>
        <w:rPr>
          <w:spacing w:val="-3"/>
          <w:sz w:val="18"/>
        </w:rPr>
        <w:t xml:space="preserve"> </w:t>
      </w:r>
      <w:r>
        <w:rPr>
          <w:sz w:val="18"/>
        </w:rPr>
        <w:t>p. 52. See</w:t>
      </w:r>
      <w:r>
        <w:rPr>
          <w:spacing w:val="-2"/>
          <w:sz w:val="18"/>
        </w:rPr>
        <w:t xml:space="preserve"> </w:t>
      </w:r>
      <w:r>
        <w:rPr>
          <w:sz w:val="18"/>
        </w:rPr>
        <w:t>also</w:t>
      </w:r>
      <w:r>
        <w:rPr>
          <w:spacing w:val="-6"/>
          <w:sz w:val="18"/>
        </w:rPr>
        <w:t xml:space="preserve"> </w:t>
      </w:r>
      <w:r>
        <w:rPr>
          <w:sz w:val="18"/>
        </w:rPr>
        <w:t>Anti-Dumping</w:t>
      </w:r>
      <w:r>
        <w:rPr>
          <w:spacing w:val="-10"/>
          <w:sz w:val="18"/>
        </w:rPr>
        <w:t xml:space="preserve"> </w:t>
      </w:r>
      <w:r>
        <w:rPr>
          <w:sz w:val="18"/>
        </w:rPr>
        <w:t>Final</w:t>
      </w:r>
      <w:r>
        <w:rPr>
          <w:spacing w:val="-1"/>
          <w:sz w:val="18"/>
        </w:rPr>
        <w:t xml:space="preserve"> </w:t>
      </w:r>
      <w:r>
        <w:rPr>
          <w:sz w:val="18"/>
        </w:rPr>
        <w:t>Determination</w:t>
      </w:r>
      <w:r>
        <w:rPr>
          <w:spacing w:val="-6"/>
          <w:sz w:val="18"/>
        </w:rPr>
        <w:t xml:space="preserve"> </w:t>
      </w:r>
      <w:r>
        <w:rPr>
          <w:sz w:val="18"/>
        </w:rPr>
        <w:t>(Exhibit</w:t>
      </w:r>
      <w:r>
        <w:rPr>
          <w:spacing w:val="-5"/>
          <w:sz w:val="18"/>
        </w:rPr>
        <w:t xml:space="preserve"> </w:t>
      </w:r>
      <w:r>
        <w:rPr>
          <w:sz w:val="18"/>
        </w:rPr>
        <w:t>AUS-2),</w:t>
      </w:r>
      <w:r>
        <w:rPr>
          <w:spacing w:val="-3"/>
          <w:sz w:val="18"/>
        </w:rPr>
        <w:t xml:space="preserve"> </w:t>
      </w:r>
      <w:r>
        <w:rPr>
          <w:sz w:val="18"/>
        </w:rPr>
        <w:t>pp.</w:t>
      </w:r>
      <w:r>
        <w:rPr>
          <w:spacing w:val="-5"/>
          <w:sz w:val="18"/>
        </w:rPr>
        <w:t xml:space="preserve"> </w:t>
      </w:r>
      <w:r>
        <w:rPr>
          <w:sz w:val="18"/>
        </w:rPr>
        <w:t>107</w:t>
      </w:r>
      <w:r>
        <w:rPr>
          <w:spacing w:val="-2"/>
          <w:sz w:val="18"/>
        </w:rPr>
        <w:t xml:space="preserve"> </w:t>
      </w:r>
      <w:r>
        <w:rPr>
          <w:sz w:val="18"/>
        </w:rPr>
        <w:t>–</w:t>
      </w:r>
      <w:r>
        <w:rPr>
          <w:spacing w:val="-7"/>
          <w:sz w:val="18"/>
        </w:rPr>
        <w:t xml:space="preserve"> </w:t>
      </w:r>
      <w:r>
        <w:rPr>
          <w:spacing w:val="-4"/>
          <w:sz w:val="18"/>
        </w:rPr>
        <w:t>108.</w:t>
      </w:r>
    </w:p>
    <w:p w14:paraId="23C3F8DA" w14:textId="77777777" w:rsidR="00BD462C" w:rsidRDefault="00033D0F">
      <w:pPr>
        <w:spacing w:before="1"/>
        <w:ind w:left="135"/>
        <w:rPr>
          <w:sz w:val="18"/>
        </w:rPr>
      </w:pPr>
      <w:bookmarkStart w:id="900" w:name="_bookmark773"/>
      <w:bookmarkEnd w:id="900"/>
      <w:r>
        <w:rPr>
          <w:position w:val="5"/>
          <w:sz w:val="12"/>
        </w:rPr>
        <w:t>651</w:t>
      </w:r>
      <w:r>
        <w:rPr>
          <w:spacing w:val="15"/>
          <w:position w:val="5"/>
          <w:sz w:val="12"/>
        </w:rPr>
        <w:t xml:space="preserve"> </w:t>
      </w:r>
      <w:r>
        <w:rPr>
          <w:sz w:val="18"/>
        </w:rPr>
        <w:t>This</w:t>
      </w:r>
      <w:r>
        <w:rPr>
          <w:spacing w:val="-4"/>
          <w:sz w:val="18"/>
        </w:rPr>
        <w:t xml:space="preserve"> </w:t>
      </w:r>
      <w:r>
        <w:rPr>
          <w:sz w:val="18"/>
        </w:rPr>
        <w:t>argument</w:t>
      </w:r>
      <w:r>
        <w:rPr>
          <w:spacing w:val="1"/>
          <w:sz w:val="18"/>
        </w:rPr>
        <w:t xml:space="preserve"> </w:t>
      </w:r>
      <w:r>
        <w:rPr>
          <w:sz w:val="18"/>
        </w:rPr>
        <w:t>is</w:t>
      </w:r>
      <w:r>
        <w:rPr>
          <w:spacing w:val="2"/>
          <w:sz w:val="18"/>
        </w:rPr>
        <w:t xml:space="preserve"> </w:t>
      </w:r>
      <w:r>
        <w:rPr>
          <w:sz w:val="18"/>
        </w:rPr>
        <w:t>captured</w:t>
      </w:r>
      <w:r>
        <w:rPr>
          <w:spacing w:val="-5"/>
          <w:sz w:val="18"/>
        </w:rPr>
        <w:t xml:space="preserve"> </w:t>
      </w:r>
      <w:r>
        <w:rPr>
          <w:sz w:val="18"/>
        </w:rPr>
        <w:t>by</w:t>
      </w:r>
      <w:r>
        <w:rPr>
          <w:spacing w:val="-5"/>
          <w:sz w:val="18"/>
        </w:rPr>
        <w:t xml:space="preserve"> </w:t>
      </w:r>
      <w:r>
        <w:rPr>
          <w:sz w:val="18"/>
        </w:rPr>
        <w:t>claim</w:t>
      </w:r>
      <w:r>
        <w:rPr>
          <w:spacing w:val="-2"/>
          <w:sz w:val="18"/>
        </w:rPr>
        <w:t xml:space="preserve"> </w:t>
      </w:r>
      <w:r>
        <w:rPr>
          <w:sz w:val="18"/>
        </w:rPr>
        <w:t>ix</w:t>
      </w:r>
      <w:r>
        <w:rPr>
          <w:spacing w:val="-6"/>
          <w:sz w:val="18"/>
        </w:rPr>
        <w:t xml:space="preserve"> </w:t>
      </w:r>
      <w:r>
        <w:rPr>
          <w:sz w:val="18"/>
        </w:rPr>
        <w:t>in</w:t>
      </w:r>
      <w:r>
        <w:rPr>
          <w:spacing w:val="-5"/>
          <w:sz w:val="18"/>
        </w:rPr>
        <w:t xml:space="preserve"> </w:t>
      </w:r>
      <w:r>
        <w:rPr>
          <w:sz w:val="18"/>
        </w:rPr>
        <w:t>Australia's</w:t>
      </w:r>
      <w:r>
        <w:rPr>
          <w:spacing w:val="-3"/>
          <w:sz w:val="18"/>
        </w:rPr>
        <w:t xml:space="preserve"> </w:t>
      </w:r>
      <w:r>
        <w:rPr>
          <w:sz w:val="18"/>
        </w:rPr>
        <w:t>panel</w:t>
      </w:r>
      <w:r>
        <w:rPr>
          <w:spacing w:val="-3"/>
          <w:sz w:val="18"/>
        </w:rPr>
        <w:t xml:space="preserve"> </w:t>
      </w:r>
      <w:r>
        <w:rPr>
          <w:spacing w:val="-2"/>
          <w:sz w:val="18"/>
        </w:rPr>
        <w:t>request.</w:t>
      </w:r>
    </w:p>
    <w:p w14:paraId="302E8C1A" w14:textId="77777777" w:rsidR="00BD462C" w:rsidRDefault="00033D0F">
      <w:pPr>
        <w:spacing w:before="1"/>
        <w:ind w:left="135"/>
        <w:rPr>
          <w:sz w:val="18"/>
        </w:rPr>
      </w:pPr>
      <w:bookmarkStart w:id="901" w:name="_bookmark774"/>
      <w:bookmarkEnd w:id="901"/>
      <w:r>
        <w:rPr>
          <w:position w:val="5"/>
          <w:sz w:val="12"/>
        </w:rPr>
        <w:t>652</w:t>
      </w:r>
      <w:r>
        <w:rPr>
          <w:spacing w:val="13"/>
          <w:position w:val="5"/>
          <w:sz w:val="12"/>
        </w:rPr>
        <w:t xml:space="preserve"> </w:t>
      </w:r>
      <w:r>
        <w:rPr>
          <w:sz w:val="18"/>
        </w:rPr>
        <w:t>This</w:t>
      </w:r>
      <w:r>
        <w:rPr>
          <w:spacing w:val="-4"/>
          <w:sz w:val="18"/>
        </w:rPr>
        <w:t xml:space="preserve"> </w:t>
      </w:r>
      <w:r>
        <w:rPr>
          <w:sz w:val="18"/>
        </w:rPr>
        <w:t>evidence</w:t>
      </w:r>
      <w:r>
        <w:rPr>
          <w:spacing w:val="-5"/>
          <w:sz w:val="18"/>
        </w:rPr>
        <w:t xml:space="preserve"> </w:t>
      </w:r>
      <w:r>
        <w:rPr>
          <w:sz w:val="18"/>
        </w:rPr>
        <w:t>is</w:t>
      </w:r>
      <w:r>
        <w:rPr>
          <w:spacing w:val="-5"/>
          <w:sz w:val="18"/>
        </w:rPr>
        <w:t xml:space="preserve"> </w:t>
      </w:r>
      <w:r>
        <w:rPr>
          <w:sz w:val="18"/>
        </w:rPr>
        <w:t>discussed</w:t>
      </w:r>
      <w:r>
        <w:rPr>
          <w:spacing w:val="-6"/>
          <w:sz w:val="18"/>
        </w:rPr>
        <w:t xml:space="preserve"> </w:t>
      </w:r>
      <w:r>
        <w:rPr>
          <w:sz w:val="18"/>
        </w:rPr>
        <w:t>in</w:t>
      </w:r>
      <w:r>
        <w:rPr>
          <w:spacing w:val="-5"/>
          <w:sz w:val="18"/>
        </w:rPr>
        <w:t xml:space="preserve"> </w:t>
      </w:r>
      <w:r>
        <w:rPr>
          <w:sz w:val="18"/>
        </w:rPr>
        <w:t>detail</w:t>
      </w:r>
      <w:r>
        <w:rPr>
          <w:spacing w:val="-4"/>
          <w:sz w:val="18"/>
        </w:rPr>
        <w:t xml:space="preserve"> </w:t>
      </w:r>
      <w:r>
        <w:rPr>
          <w:sz w:val="18"/>
        </w:rPr>
        <w:t>in</w:t>
      </w:r>
      <w:r>
        <w:rPr>
          <w:spacing w:val="-1"/>
          <w:sz w:val="18"/>
        </w:rPr>
        <w:t xml:space="preserve"> </w:t>
      </w:r>
      <w:r>
        <w:rPr>
          <w:sz w:val="18"/>
        </w:rPr>
        <w:t>Australia's</w:t>
      </w:r>
      <w:r>
        <w:rPr>
          <w:spacing w:val="-5"/>
          <w:sz w:val="18"/>
        </w:rPr>
        <w:t xml:space="preserve"> </w:t>
      </w:r>
      <w:r>
        <w:rPr>
          <w:sz w:val="18"/>
        </w:rPr>
        <w:t>first</w:t>
      </w:r>
      <w:r>
        <w:rPr>
          <w:spacing w:val="-4"/>
          <w:sz w:val="18"/>
        </w:rPr>
        <w:t xml:space="preserve"> </w:t>
      </w:r>
      <w:r>
        <w:rPr>
          <w:sz w:val="18"/>
        </w:rPr>
        <w:t>written</w:t>
      </w:r>
      <w:r>
        <w:rPr>
          <w:spacing w:val="-6"/>
          <w:sz w:val="18"/>
        </w:rPr>
        <w:t xml:space="preserve"> </w:t>
      </w:r>
      <w:r>
        <w:rPr>
          <w:sz w:val="18"/>
        </w:rPr>
        <w:t>submission,</w:t>
      </w:r>
      <w:r>
        <w:rPr>
          <w:spacing w:val="2"/>
          <w:sz w:val="18"/>
        </w:rPr>
        <w:t xml:space="preserve"> </w:t>
      </w:r>
      <w:r>
        <w:rPr>
          <w:sz w:val="18"/>
        </w:rPr>
        <w:t>paras.</w:t>
      </w:r>
      <w:r>
        <w:rPr>
          <w:spacing w:val="-4"/>
          <w:sz w:val="18"/>
        </w:rPr>
        <w:t xml:space="preserve"> </w:t>
      </w:r>
      <w:r>
        <w:rPr>
          <w:sz w:val="18"/>
        </w:rPr>
        <w:t>563-</w:t>
      </w:r>
      <w:r>
        <w:rPr>
          <w:spacing w:val="-4"/>
          <w:sz w:val="18"/>
        </w:rPr>
        <w:t>599.</w:t>
      </w:r>
    </w:p>
    <w:p w14:paraId="04C1912C" w14:textId="77777777" w:rsidR="00BD462C" w:rsidRDefault="00BD462C">
      <w:pPr>
        <w:rPr>
          <w:sz w:val="18"/>
        </w:rPr>
        <w:sectPr w:rsidR="00BD462C">
          <w:pgSz w:w="11910" w:h="16840"/>
          <w:pgMar w:top="860" w:right="500" w:bottom="780" w:left="1280" w:header="566" w:footer="590" w:gutter="0"/>
          <w:cols w:space="720"/>
        </w:sectPr>
      </w:pPr>
    </w:p>
    <w:p w14:paraId="10EB02A7"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22D186F4"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5B3300A7"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4EACE17B" w14:textId="77777777" w:rsidR="00BD462C" w:rsidRDefault="00033D0F">
      <w:pPr>
        <w:pStyle w:val="BodyText"/>
        <w:spacing w:before="102" w:line="360" w:lineRule="auto"/>
        <w:ind w:left="135" w:right="914"/>
        <w:jc w:val="both"/>
      </w:pPr>
      <w:r>
        <w:t>to annual average unit values, without applying adjustments to reflect the diversity in the product mix, was</w:t>
      </w:r>
      <w:r>
        <w:rPr>
          <w:spacing w:val="-1"/>
        </w:rPr>
        <w:t xml:space="preserve"> </w:t>
      </w:r>
      <w:r>
        <w:t>inconsistent with paragraphs 3 and 5 of Annex II. MOFCOM did not engage in a process of evaluation or reasoning to support the selection of appropriate replacement data</w:t>
      </w:r>
      <w:r>
        <w:rPr>
          <w:spacing w:val="-9"/>
        </w:rPr>
        <w:t xml:space="preserve"> </w:t>
      </w:r>
      <w:r>
        <w:t>and,</w:t>
      </w:r>
      <w:r>
        <w:rPr>
          <w:spacing w:val="-6"/>
        </w:rPr>
        <w:t xml:space="preserve"> </w:t>
      </w:r>
      <w:r>
        <w:t>consequently,</w:t>
      </w:r>
      <w:r>
        <w:rPr>
          <w:spacing w:val="-6"/>
        </w:rPr>
        <w:t xml:space="preserve"> </w:t>
      </w:r>
      <w:r>
        <w:t>the</w:t>
      </w:r>
      <w:r>
        <w:rPr>
          <w:spacing w:val="-8"/>
        </w:rPr>
        <w:t xml:space="preserve"> </w:t>
      </w:r>
      <w:r>
        <w:t>replacement</w:t>
      </w:r>
      <w:r>
        <w:rPr>
          <w:spacing w:val="-7"/>
        </w:rPr>
        <w:t xml:space="preserve"> </w:t>
      </w:r>
      <w:r>
        <w:t>data</w:t>
      </w:r>
      <w:r>
        <w:rPr>
          <w:spacing w:val="-8"/>
        </w:rPr>
        <w:t xml:space="preserve"> </w:t>
      </w:r>
      <w:r>
        <w:t>that</w:t>
      </w:r>
      <w:r>
        <w:rPr>
          <w:spacing w:val="-8"/>
        </w:rPr>
        <w:t xml:space="preserve"> </w:t>
      </w:r>
      <w:r>
        <w:t>MOFCOM</w:t>
      </w:r>
      <w:r>
        <w:rPr>
          <w:spacing w:val="-8"/>
        </w:rPr>
        <w:t xml:space="preserve"> </w:t>
      </w:r>
      <w:r>
        <w:t>selected</w:t>
      </w:r>
      <w:r>
        <w:rPr>
          <w:spacing w:val="-10"/>
        </w:rPr>
        <w:t xml:space="preserve"> </w:t>
      </w:r>
      <w:r>
        <w:t>did</w:t>
      </w:r>
      <w:r>
        <w:rPr>
          <w:spacing w:val="-10"/>
        </w:rPr>
        <w:t xml:space="preserve"> </w:t>
      </w:r>
      <w:r>
        <w:t>not</w:t>
      </w:r>
      <w:r>
        <w:rPr>
          <w:spacing w:val="-8"/>
        </w:rPr>
        <w:t xml:space="preserve"> </w:t>
      </w:r>
      <w:r>
        <w:t>reflect</w:t>
      </w:r>
      <w:r>
        <w:rPr>
          <w:spacing w:val="-8"/>
        </w:rPr>
        <w:t xml:space="preserve"> </w:t>
      </w:r>
      <w:r>
        <w:t>the</w:t>
      </w:r>
      <w:r>
        <w:rPr>
          <w:spacing w:val="-8"/>
        </w:rPr>
        <w:t xml:space="preserve"> </w:t>
      </w:r>
      <w:r>
        <w:t>best information available.</w:t>
      </w:r>
    </w:p>
    <w:p w14:paraId="59530B37" w14:textId="77777777" w:rsidR="00BD462C" w:rsidRDefault="00033D0F">
      <w:pPr>
        <w:pStyle w:val="ListParagraph"/>
        <w:numPr>
          <w:ilvl w:val="1"/>
          <w:numId w:val="55"/>
        </w:numPr>
        <w:tabs>
          <w:tab w:val="left" w:pos="4388"/>
          <w:tab w:val="left" w:pos="4389"/>
        </w:tabs>
        <w:spacing w:before="160" w:line="357" w:lineRule="auto"/>
        <w:ind w:right="916"/>
        <w:jc w:val="both"/>
        <w:rPr>
          <w:i/>
          <w:sz w:val="24"/>
        </w:rPr>
      </w:pPr>
      <w:bookmarkStart w:id="902" w:name="ii._MOFCOM's_price_calculation_did_not_e"/>
      <w:bookmarkEnd w:id="902"/>
      <w:r>
        <w:rPr>
          <w:i/>
          <w:sz w:val="24"/>
        </w:rPr>
        <w:t xml:space="preserve">MOFCOM's price calculation did not ensure price </w:t>
      </w:r>
      <w:r>
        <w:rPr>
          <w:i/>
          <w:spacing w:val="-2"/>
          <w:sz w:val="24"/>
        </w:rPr>
        <w:t>comparability</w:t>
      </w:r>
    </w:p>
    <w:p w14:paraId="61E22D85" w14:textId="77777777" w:rsidR="00BD462C" w:rsidRDefault="00BD462C">
      <w:pPr>
        <w:pStyle w:val="BodyText"/>
        <w:spacing w:before="2"/>
        <w:rPr>
          <w:i/>
          <w:sz w:val="9"/>
        </w:rPr>
      </w:pPr>
    </w:p>
    <w:p w14:paraId="3CF940C7" w14:textId="3992ABAF" w:rsidR="00BD462C" w:rsidRDefault="00AF5F66">
      <w:pPr>
        <w:pStyle w:val="BodyText"/>
        <w:spacing w:before="56" w:line="360" w:lineRule="auto"/>
        <w:ind w:left="135" w:right="909" w:hanging="5"/>
        <w:jc w:val="both"/>
      </w:pPr>
      <w:r>
        <w:rPr>
          <w:noProof/>
        </w:rPr>
        <w:t>454.</w:t>
      </w:r>
      <w:r w:rsidR="00033D0F">
        <w:rPr>
          <w:rFonts w:ascii="Times New Roman"/>
          <w:spacing w:val="80"/>
          <w:position w:val="1"/>
          <w:sz w:val="20"/>
        </w:rPr>
        <w:t xml:space="preserve"> </w:t>
      </w:r>
      <w:r w:rsidR="00033D0F">
        <w:rPr>
          <w:position w:val="1"/>
        </w:rPr>
        <w:t>China argues that MOFCOM's detailed</w:t>
      </w:r>
      <w:r w:rsidR="00033D0F">
        <w:rPr>
          <w:spacing w:val="-1"/>
          <w:position w:val="1"/>
        </w:rPr>
        <w:t xml:space="preserve"> </w:t>
      </w:r>
      <w:r w:rsidR="00033D0F">
        <w:rPr>
          <w:position w:val="1"/>
        </w:rPr>
        <w:t>consideration</w:t>
      </w:r>
      <w:r w:rsidR="00033D0F">
        <w:rPr>
          <w:spacing w:val="-1"/>
          <w:position w:val="1"/>
        </w:rPr>
        <w:t xml:space="preserve"> </w:t>
      </w:r>
      <w:r w:rsidR="00033D0F">
        <w:rPr>
          <w:position w:val="1"/>
        </w:rPr>
        <w:t xml:space="preserve">of product mix issues is set out </w:t>
      </w:r>
      <w:r w:rsidR="00033D0F">
        <w:t>in its Preliminary Determination, Disclosure of Essential Facts and Final Determination.</w:t>
      </w:r>
      <w:hyperlink w:anchor="_bookmark775" w:history="1">
        <w:r w:rsidR="00033D0F">
          <w:rPr>
            <w:vertAlign w:val="superscript"/>
          </w:rPr>
          <w:t>653</w:t>
        </w:r>
      </w:hyperlink>
      <w:r w:rsidR="00033D0F">
        <w:t xml:space="preserve"> In this</w:t>
      </w:r>
      <w:r w:rsidR="00033D0F">
        <w:rPr>
          <w:spacing w:val="-7"/>
        </w:rPr>
        <w:t xml:space="preserve"> </w:t>
      </w:r>
      <w:r w:rsidR="00033D0F">
        <w:t>context,</w:t>
      </w:r>
      <w:r w:rsidR="00033D0F">
        <w:rPr>
          <w:spacing w:val="-6"/>
        </w:rPr>
        <w:t xml:space="preserve"> </w:t>
      </w:r>
      <w:r w:rsidR="00033D0F">
        <w:t>China</w:t>
      </w:r>
      <w:r w:rsidR="00033D0F">
        <w:rPr>
          <w:spacing w:val="-9"/>
        </w:rPr>
        <w:t xml:space="preserve"> </w:t>
      </w:r>
      <w:r w:rsidR="00033D0F">
        <w:t>asserts</w:t>
      </w:r>
      <w:r w:rsidR="00033D0F">
        <w:rPr>
          <w:spacing w:val="-7"/>
        </w:rPr>
        <w:t xml:space="preserve"> </w:t>
      </w:r>
      <w:r w:rsidR="00033D0F">
        <w:t>that</w:t>
      </w:r>
      <w:r w:rsidR="00033D0F">
        <w:rPr>
          <w:spacing w:val="-8"/>
        </w:rPr>
        <w:t xml:space="preserve"> </w:t>
      </w:r>
      <w:r w:rsidR="00033D0F">
        <w:t>on</w:t>
      </w:r>
      <w:r w:rsidR="00033D0F">
        <w:rPr>
          <w:spacing w:val="-10"/>
        </w:rPr>
        <w:t xml:space="preserve"> </w:t>
      </w:r>
      <w:r w:rsidR="00033D0F">
        <w:t>the</w:t>
      </w:r>
      <w:r w:rsidR="00033D0F">
        <w:rPr>
          <w:spacing w:val="-8"/>
        </w:rPr>
        <w:t xml:space="preserve"> </w:t>
      </w:r>
      <w:r w:rsidR="00033D0F">
        <w:t>basis</w:t>
      </w:r>
      <w:r w:rsidR="00033D0F">
        <w:rPr>
          <w:spacing w:val="-7"/>
        </w:rPr>
        <w:t xml:space="preserve"> </w:t>
      </w:r>
      <w:r w:rsidR="00033D0F">
        <w:t>of</w:t>
      </w:r>
      <w:r w:rsidR="00033D0F">
        <w:rPr>
          <w:spacing w:val="-10"/>
        </w:rPr>
        <w:t xml:space="preserve"> </w:t>
      </w:r>
      <w:r w:rsidR="00033D0F">
        <w:t>the</w:t>
      </w:r>
      <w:r w:rsidR="00033D0F">
        <w:rPr>
          <w:spacing w:val="-8"/>
        </w:rPr>
        <w:t xml:space="preserve"> </w:t>
      </w:r>
      <w:r w:rsidR="00033D0F">
        <w:t>information</w:t>
      </w:r>
      <w:r w:rsidR="00033D0F">
        <w:rPr>
          <w:spacing w:val="-10"/>
        </w:rPr>
        <w:t xml:space="preserve"> </w:t>
      </w:r>
      <w:r w:rsidR="00033D0F">
        <w:t>available</w:t>
      </w:r>
      <w:r w:rsidR="00033D0F">
        <w:rPr>
          <w:spacing w:val="-8"/>
        </w:rPr>
        <w:t xml:space="preserve"> </w:t>
      </w:r>
      <w:r w:rsidR="00033D0F">
        <w:t>to</w:t>
      </w:r>
      <w:r w:rsidR="00033D0F">
        <w:rPr>
          <w:spacing w:val="-11"/>
        </w:rPr>
        <w:t xml:space="preserve"> </w:t>
      </w:r>
      <w:r w:rsidR="00033D0F">
        <w:t>MOFCOM,</w:t>
      </w:r>
      <w:r w:rsidR="00033D0F">
        <w:rPr>
          <w:spacing w:val="-6"/>
        </w:rPr>
        <w:t xml:space="preserve"> </w:t>
      </w:r>
      <w:r w:rsidR="00033D0F">
        <w:t>its</w:t>
      </w:r>
      <w:r w:rsidR="00033D0F">
        <w:rPr>
          <w:spacing w:val="-7"/>
        </w:rPr>
        <w:t xml:space="preserve"> </w:t>
      </w:r>
      <w:r w:rsidR="00033D0F">
        <w:t>price calculation did appropriately consider and account for product mix differences.</w:t>
      </w:r>
      <w:hyperlink w:anchor="_bookmark776" w:history="1">
        <w:r w:rsidR="00033D0F">
          <w:rPr>
            <w:vertAlign w:val="superscript"/>
          </w:rPr>
          <w:t>654</w:t>
        </w:r>
      </w:hyperlink>
      <w:r w:rsidR="00033D0F">
        <w:t xml:space="preserve"> Australia </w:t>
      </w:r>
      <w:r w:rsidR="00033D0F">
        <w:rPr>
          <w:spacing w:val="-2"/>
        </w:rPr>
        <w:t>disagrees.</w:t>
      </w:r>
    </w:p>
    <w:p w14:paraId="4136D6A1" w14:textId="77777777" w:rsidR="00BD462C" w:rsidRDefault="00BD462C">
      <w:pPr>
        <w:pStyle w:val="BodyText"/>
        <w:spacing w:before="6"/>
        <w:rPr>
          <w:sz w:val="8"/>
        </w:rPr>
      </w:pPr>
    </w:p>
    <w:p w14:paraId="6FD4AB23" w14:textId="01CAA29C" w:rsidR="00BD462C" w:rsidRDefault="00AF5F66">
      <w:pPr>
        <w:pStyle w:val="BodyText"/>
        <w:spacing w:before="56" w:line="360" w:lineRule="auto"/>
        <w:ind w:left="135" w:right="914" w:hanging="5"/>
        <w:jc w:val="both"/>
      </w:pPr>
      <w:r>
        <w:rPr>
          <w:noProof/>
        </w:rPr>
        <w:t>455.</w:t>
      </w:r>
      <w:r w:rsidR="00033D0F">
        <w:rPr>
          <w:rFonts w:ascii="Times New Roman"/>
          <w:spacing w:val="80"/>
          <w:position w:val="1"/>
          <w:sz w:val="20"/>
        </w:rPr>
        <w:t xml:space="preserve"> </w:t>
      </w:r>
      <w:r w:rsidR="00033D0F">
        <w:rPr>
          <w:position w:val="1"/>
        </w:rPr>
        <w:t xml:space="preserve">First, the Preliminary Determination, Disclosure of Essential Facts and Final </w:t>
      </w:r>
      <w:r w:rsidR="00033D0F">
        <w:t>Determination</w:t>
      </w:r>
      <w:r w:rsidR="00033D0F">
        <w:rPr>
          <w:spacing w:val="-4"/>
        </w:rPr>
        <w:t xml:space="preserve"> </w:t>
      </w:r>
      <w:r w:rsidR="00033D0F">
        <w:t>do not disclose</w:t>
      </w:r>
      <w:r w:rsidR="00033D0F">
        <w:rPr>
          <w:spacing w:val="-2"/>
        </w:rPr>
        <w:t xml:space="preserve"> </w:t>
      </w:r>
      <w:r w:rsidR="00033D0F">
        <w:t>any</w:t>
      </w:r>
      <w:r w:rsidR="00033D0F">
        <w:rPr>
          <w:spacing w:val="-1"/>
        </w:rPr>
        <w:t xml:space="preserve"> </w:t>
      </w:r>
      <w:r w:rsidR="00033D0F">
        <w:t>meaningful examination</w:t>
      </w:r>
      <w:r w:rsidR="00033D0F">
        <w:rPr>
          <w:spacing w:val="-4"/>
        </w:rPr>
        <w:t xml:space="preserve"> </w:t>
      </w:r>
      <w:r w:rsidR="00033D0F">
        <w:t>of product mix</w:t>
      </w:r>
      <w:r w:rsidR="00033D0F">
        <w:rPr>
          <w:spacing w:val="-1"/>
        </w:rPr>
        <w:t xml:space="preserve"> </w:t>
      </w:r>
      <w:r w:rsidR="00033D0F">
        <w:t>by</w:t>
      </w:r>
      <w:r w:rsidR="00033D0F">
        <w:rPr>
          <w:spacing w:val="-1"/>
        </w:rPr>
        <w:t xml:space="preserve"> </w:t>
      </w:r>
      <w:r w:rsidR="00033D0F">
        <w:t>MOFCOM.</w:t>
      </w:r>
      <w:r w:rsidR="00033D0F">
        <w:rPr>
          <w:spacing w:val="-1"/>
        </w:rPr>
        <w:t xml:space="preserve"> </w:t>
      </w:r>
      <w:r w:rsidR="00033D0F">
        <w:t>The passages</w:t>
      </w:r>
      <w:r w:rsidR="00033D0F">
        <w:rPr>
          <w:spacing w:val="-14"/>
        </w:rPr>
        <w:t xml:space="preserve"> </w:t>
      </w:r>
      <w:r w:rsidR="00033D0F">
        <w:t>relied</w:t>
      </w:r>
      <w:r w:rsidR="00033D0F">
        <w:rPr>
          <w:spacing w:val="-14"/>
        </w:rPr>
        <w:t xml:space="preserve"> </w:t>
      </w:r>
      <w:r w:rsidR="00033D0F">
        <w:t>on</w:t>
      </w:r>
      <w:r w:rsidR="00033D0F">
        <w:rPr>
          <w:spacing w:val="-13"/>
        </w:rPr>
        <w:t xml:space="preserve"> </w:t>
      </w:r>
      <w:r w:rsidR="00033D0F">
        <w:t>by</w:t>
      </w:r>
      <w:r w:rsidR="00033D0F">
        <w:rPr>
          <w:spacing w:val="-14"/>
        </w:rPr>
        <w:t xml:space="preserve"> </w:t>
      </w:r>
      <w:r w:rsidR="00033D0F">
        <w:t>China</w:t>
      </w:r>
      <w:r w:rsidR="00033D0F">
        <w:rPr>
          <w:spacing w:val="-13"/>
        </w:rPr>
        <w:t xml:space="preserve"> </w:t>
      </w:r>
      <w:r w:rsidR="00033D0F">
        <w:t>as</w:t>
      </w:r>
      <w:r w:rsidR="00033D0F">
        <w:rPr>
          <w:spacing w:val="-14"/>
        </w:rPr>
        <w:t xml:space="preserve"> </w:t>
      </w:r>
      <w:r w:rsidR="00033D0F">
        <w:t>allegedly</w:t>
      </w:r>
      <w:r w:rsidR="00033D0F">
        <w:rPr>
          <w:spacing w:val="-13"/>
        </w:rPr>
        <w:t xml:space="preserve"> </w:t>
      </w:r>
      <w:r w:rsidR="00033D0F">
        <w:t>recording</w:t>
      </w:r>
      <w:r w:rsidR="00033D0F">
        <w:rPr>
          <w:spacing w:val="-14"/>
        </w:rPr>
        <w:t xml:space="preserve"> </w:t>
      </w:r>
      <w:r w:rsidR="00033D0F">
        <w:t>MOFCOM's</w:t>
      </w:r>
      <w:r w:rsidR="00033D0F">
        <w:rPr>
          <w:spacing w:val="-12"/>
        </w:rPr>
        <w:t xml:space="preserve"> </w:t>
      </w:r>
      <w:r w:rsidR="00033D0F">
        <w:t>consideration</w:t>
      </w:r>
      <w:r w:rsidR="00033D0F">
        <w:rPr>
          <w:spacing w:val="-14"/>
        </w:rPr>
        <w:t xml:space="preserve"> </w:t>
      </w:r>
      <w:r w:rsidR="00033D0F">
        <w:t>of</w:t>
      </w:r>
      <w:r w:rsidR="00033D0F">
        <w:rPr>
          <w:spacing w:val="-14"/>
        </w:rPr>
        <w:t xml:space="preserve"> </w:t>
      </w:r>
      <w:r w:rsidR="00033D0F">
        <w:t>product</w:t>
      </w:r>
      <w:r w:rsidR="00033D0F">
        <w:rPr>
          <w:spacing w:val="-11"/>
        </w:rPr>
        <w:t xml:space="preserve"> </w:t>
      </w:r>
      <w:r w:rsidR="00033D0F">
        <w:t>mix,</w:t>
      </w:r>
      <w:hyperlink w:anchor="_bookmark777" w:history="1">
        <w:r w:rsidR="00033D0F">
          <w:rPr>
            <w:vertAlign w:val="superscript"/>
          </w:rPr>
          <w:t>655</w:t>
        </w:r>
      </w:hyperlink>
      <w:r w:rsidR="00033D0F">
        <w:t xml:space="preserve"> relate to MOFCOM's assertions that subject imports and domestic like products were sufficiently similar to be considered "like products" and competed with each other. MOFCOM's analysis was insufficient to establish price comparability.</w:t>
      </w:r>
    </w:p>
    <w:p w14:paraId="4CB656F3" w14:textId="77777777" w:rsidR="00BD462C" w:rsidRDefault="00BD462C">
      <w:pPr>
        <w:pStyle w:val="BodyText"/>
        <w:spacing w:before="8"/>
        <w:rPr>
          <w:sz w:val="8"/>
        </w:rPr>
      </w:pPr>
    </w:p>
    <w:p w14:paraId="0A327E39" w14:textId="5E0385AD" w:rsidR="00BD462C" w:rsidRDefault="00537546">
      <w:pPr>
        <w:pStyle w:val="BodyText"/>
        <w:spacing w:before="56" w:line="360" w:lineRule="auto"/>
        <w:ind w:left="136" w:right="915" w:hanging="5"/>
        <w:jc w:val="both"/>
      </w:pPr>
      <w:r>
        <w:rPr>
          <w:noProof/>
        </w:rPr>
        <w:t>456.</w:t>
      </w:r>
      <w:r w:rsidR="00033D0F">
        <w:rPr>
          <w:rFonts w:ascii="Times New Roman"/>
          <w:spacing w:val="80"/>
          <w:w w:val="150"/>
          <w:position w:val="1"/>
          <w:sz w:val="20"/>
        </w:rPr>
        <w:t xml:space="preserve"> </w:t>
      </w:r>
      <w:r w:rsidR="00033D0F">
        <w:rPr>
          <w:position w:val="1"/>
        </w:rPr>
        <w:t xml:space="preserve">Second, China acknowledges that the statements made at paragraphs 1135 - 1137 </w:t>
      </w:r>
      <w:r w:rsidR="00033D0F">
        <w:t xml:space="preserve">and 1198 of its First Written submission reflect </w:t>
      </w:r>
      <w:r w:rsidR="00033D0F">
        <w:rPr>
          <w:i/>
        </w:rPr>
        <w:t xml:space="preserve">ex post facto </w:t>
      </w:r>
      <w:r w:rsidR="00033D0F">
        <w:t>analysis by China. They do not reflect</w:t>
      </w:r>
      <w:r w:rsidR="00033D0F">
        <w:rPr>
          <w:spacing w:val="-14"/>
        </w:rPr>
        <w:t xml:space="preserve"> </w:t>
      </w:r>
      <w:r w:rsidR="00033D0F">
        <w:t>analysis</w:t>
      </w:r>
      <w:r w:rsidR="00033D0F">
        <w:rPr>
          <w:spacing w:val="-14"/>
        </w:rPr>
        <w:t xml:space="preserve"> </w:t>
      </w:r>
      <w:r w:rsidR="00033D0F">
        <w:t>or</w:t>
      </w:r>
      <w:r w:rsidR="00033D0F">
        <w:rPr>
          <w:spacing w:val="-13"/>
        </w:rPr>
        <w:t xml:space="preserve"> </w:t>
      </w:r>
      <w:r w:rsidR="00033D0F">
        <w:t>consideration</w:t>
      </w:r>
      <w:r w:rsidR="00033D0F">
        <w:rPr>
          <w:spacing w:val="-14"/>
        </w:rPr>
        <w:t xml:space="preserve"> </w:t>
      </w:r>
      <w:r w:rsidR="00033D0F">
        <w:t>performed</w:t>
      </w:r>
      <w:r w:rsidR="00033D0F">
        <w:rPr>
          <w:spacing w:val="-13"/>
        </w:rPr>
        <w:t xml:space="preserve"> </w:t>
      </w:r>
      <w:r w:rsidR="00033D0F">
        <w:t>by</w:t>
      </w:r>
      <w:r w:rsidR="00033D0F">
        <w:rPr>
          <w:spacing w:val="-14"/>
        </w:rPr>
        <w:t xml:space="preserve"> </w:t>
      </w:r>
      <w:r w:rsidR="00033D0F">
        <w:t>MOFCOM.</w:t>
      </w:r>
      <w:hyperlink w:anchor="_bookmark778" w:history="1">
        <w:r w:rsidR="00033D0F">
          <w:rPr>
            <w:vertAlign w:val="superscript"/>
          </w:rPr>
          <w:t>656</w:t>
        </w:r>
      </w:hyperlink>
      <w:r w:rsidR="00033D0F">
        <w:rPr>
          <w:spacing w:val="-13"/>
        </w:rPr>
        <w:t xml:space="preserve"> </w:t>
      </w:r>
      <w:r w:rsidR="00033D0F">
        <w:t>Similarly,</w:t>
      </w:r>
      <w:r w:rsidR="00033D0F">
        <w:rPr>
          <w:spacing w:val="-14"/>
        </w:rPr>
        <w:t xml:space="preserve"> </w:t>
      </w:r>
      <w:r w:rsidR="00033D0F">
        <w:t>the</w:t>
      </w:r>
      <w:r w:rsidR="00033D0F">
        <w:rPr>
          <w:spacing w:val="-14"/>
        </w:rPr>
        <w:t xml:space="preserve"> </w:t>
      </w:r>
      <w:r w:rsidR="00033D0F">
        <w:t>analysis</w:t>
      </w:r>
      <w:r w:rsidR="00033D0F">
        <w:rPr>
          <w:spacing w:val="-13"/>
        </w:rPr>
        <w:t xml:space="preserve"> </w:t>
      </w:r>
      <w:r w:rsidR="00033D0F">
        <w:t>of</w:t>
      </w:r>
      <w:r w:rsidR="00033D0F">
        <w:rPr>
          <w:spacing w:val="-14"/>
        </w:rPr>
        <w:t xml:space="preserve"> </w:t>
      </w:r>
      <w:r w:rsidR="00033D0F">
        <w:t>evidence, calculations and reasoning set out in China's response to question 27 does not appear in the Final Determination or elsewhere on the investigation record. In that light, it is unclear what China's</w:t>
      </w:r>
      <w:r w:rsidR="00033D0F">
        <w:rPr>
          <w:spacing w:val="64"/>
        </w:rPr>
        <w:t xml:space="preserve"> </w:t>
      </w:r>
      <w:r w:rsidR="00033D0F">
        <w:t>references</w:t>
      </w:r>
      <w:r w:rsidR="00033D0F">
        <w:rPr>
          <w:spacing w:val="64"/>
        </w:rPr>
        <w:t xml:space="preserve"> </w:t>
      </w:r>
      <w:r w:rsidR="00033D0F">
        <w:t>to</w:t>
      </w:r>
      <w:r w:rsidR="00033D0F">
        <w:rPr>
          <w:spacing w:val="60"/>
        </w:rPr>
        <w:t xml:space="preserve"> </w:t>
      </w:r>
      <w:r w:rsidR="00033D0F">
        <w:t>the</w:t>
      </w:r>
      <w:r w:rsidR="00033D0F">
        <w:rPr>
          <w:spacing w:val="62"/>
        </w:rPr>
        <w:t xml:space="preserve"> </w:t>
      </w:r>
      <w:r w:rsidR="00033D0F">
        <w:t>"official</w:t>
      </w:r>
      <w:r w:rsidR="00033D0F">
        <w:rPr>
          <w:spacing w:val="65"/>
        </w:rPr>
        <w:t xml:space="preserve"> </w:t>
      </w:r>
      <w:r w:rsidR="00033D0F">
        <w:t>internal</w:t>
      </w:r>
      <w:r w:rsidR="00033D0F">
        <w:rPr>
          <w:spacing w:val="65"/>
        </w:rPr>
        <w:t xml:space="preserve"> </w:t>
      </w:r>
      <w:r w:rsidR="00033D0F">
        <w:t>record"</w:t>
      </w:r>
      <w:r w:rsidR="00033D0F">
        <w:rPr>
          <w:spacing w:val="67"/>
        </w:rPr>
        <w:t xml:space="preserve"> </w:t>
      </w:r>
      <w:r w:rsidR="00033D0F">
        <w:t>relate</w:t>
      </w:r>
      <w:r w:rsidR="00033D0F">
        <w:rPr>
          <w:spacing w:val="63"/>
        </w:rPr>
        <w:t xml:space="preserve"> </w:t>
      </w:r>
      <w:r w:rsidR="00033D0F">
        <w:t>to.</w:t>
      </w:r>
      <w:hyperlink w:anchor="_bookmark779" w:history="1">
        <w:r w:rsidR="00033D0F">
          <w:rPr>
            <w:vertAlign w:val="superscript"/>
          </w:rPr>
          <w:t>657</w:t>
        </w:r>
      </w:hyperlink>
      <w:r w:rsidR="00033D0F">
        <w:rPr>
          <w:spacing w:val="63"/>
        </w:rPr>
        <w:t xml:space="preserve"> </w:t>
      </w:r>
      <w:r w:rsidR="00033D0F">
        <w:t>The</w:t>
      </w:r>
      <w:r w:rsidR="00033D0F">
        <w:rPr>
          <w:spacing w:val="63"/>
        </w:rPr>
        <w:t xml:space="preserve"> </w:t>
      </w:r>
      <w:r w:rsidR="00033D0F">
        <w:t>record</w:t>
      </w:r>
      <w:r w:rsidR="00033D0F">
        <w:rPr>
          <w:spacing w:val="61"/>
        </w:rPr>
        <w:t xml:space="preserve"> </w:t>
      </w:r>
      <w:r w:rsidR="00033D0F">
        <w:t>shows</w:t>
      </w:r>
      <w:r w:rsidR="00033D0F">
        <w:rPr>
          <w:spacing w:val="64"/>
        </w:rPr>
        <w:t xml:space="preserve"> </w:t>
      </w:r>
      <w:r w:rsidR="00033D0F">
        <w:t>that</w:t>
      </w:r>
    </w:p>
    <w:p w14:paraId="4E21114B" w14:textId="77777777" w:rsidR="00BD462C" w:rsidRDefault="00BD462C">
      <w:pPr>
        <w:pStyle w:val="BodyText"/>
        <w:rPr>
          <w:sz w:val="20"/>
        </w:rPr>
      </w:pPr>
    </w:p>
    <w:p w14:paraId="65A15A1D" w14:textId="77777777" w:rsidR="00BD462C" w:rsidRDefault="00BD462C">
      <w:pPr>
        <w:pStyle w:val="BodyText"/>
        <w:rPr>
          <w:sz w:val="20"/>
        </w:rPr>
      </w:pPr>
    </w:p>
    <w:p w14:paraId="7A0AEBA4" w14:textId="4E34E169" w:rsidR="00BD462C" w:rsidRDefault="00D70C7D">
      <w:pPr>
        <w:pStyle w:val="BodyText"/>
        <w:spacing w:before="6"/>
        <w:rPr>
          <w:sz w:val="10"/>
        </w:rPr>
      </w:pPr>
      <w:r>
        <w:rPr>
          <w:noProof/>
        </w:rPr>
        <mc:AlternateContent>
          <mc:Choice Requires="wps">
            <w:drawing>
              <wp:anchor distT="0" distB="0" distL="0" distR="0" simplePos="0" relativeHeight="487769600" behindDoc="1" locked="0" layoutInCell="1" allowOverlap="1" wp14:anchorId="4E54957A" wp14:editId="561E53CE">
                <wp:simplePos x="0" y="0"/>
                <wp:positionH relativeFrom="page">
                  <wp:posOffset>899160</wp:posOffset>
                </wp:positionH>
                <wp:positionV relativeFrom="paragraph">
                  <wp:posOffset>96520</wp:posOffset>
                </wp:positionV>
                <wp:extent cx="1828800" cy="8890"/>
                <wp:effectExtent l="0" t="0" r="0" b="0"/>
                <wp:wrapTopAndBottom/>
                <wp:docPr id="634" name="docshape4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D9A081" id="docshape402" o:spid="_x0000_s1026" alt="&quot;&quot;" style="position:absolute;margin-left:70.8pt;margin-top:7.6pt;width:2in;height:.7pt;z-index:-15546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" fillcolor="black" stroked="f">
                <w10:wrap type="topAndBottom" anchorx="page"/>
              </v:rect>
            </w:pict>
          </mc:Fallback>
        </mc:AlternateContent>
      </w:r>
    </w:p>
    <w:p w14:paraId="0FFEDC01" w14:textId="77777777" w:rsidR="00BD462C" w:rsidRDefault="00033D0F">
      <w:pPr>
        <w:spacing w:before="112"/>
        <w:ind w:left="135"/>
        <w:rPr>
          <w:sz w:val="18"/>
        </w:rPr>
      </w:pPr>
      <w:bookmarkStart w:id="903" w:name="_bookmark775"/>
      <w:bookmarkEnd w:id="903"/>
      <w:r>
        <w:rPr>
          <w:position w:val="5"/>
          <w:sz w:val="12"/>
        </w:rPr>
        <w:t>653</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 xml:space="preserve">submission, para. </w:t>
      </w:r>
      <w:r>
        <w:rPr>
          <w:spacing w:val="-2"/>
          <w:sz w:val="18"/>
        </w:rPr>
        <w:t>1101.</w:t>
      </w:r>
    </w:p>
    <w:p w14:paraId="3F4ADBB8" w14:textId="77777777" w:rsidR="00BD462C" w:rsidRDefault="00033D0F">
      <w:pPr>
        <w:spacing w:before="1"/>
        <w:ind w:left="135"/>
        <w:rPr>
          <w:sz w:val="18"/>
        </w:rPr>
      </w:pPr>
      <w:bookmarkStart w:id="904" w:name="_bookmark776"/>
      <w:bookmarkEnd w:id="904"/>
      <w:r>
        <w:rPr>
          <w:position w:val="5"/>
          <w:sz w:val="12"/>
        </w:rPr>
        <w:t>654</w:t>
      </w:r>
      <w:r>
        <w:rPr>
          <w:spacing w:val="12"/>
          <w:position w:val="5"/>
          <w:sz w:val="12"/>
        </w:rPr>
        <w:t xml:space="preserve"> </w:t>
      </w:r>
      <w:r>
        <w:rPr>
          <w:sz w:val="18"/>
        </w:rPr>
        <w:t>China's</w:t>
      </w:r>
      <w:r>
        <w:rPr>
          <w:spacing w:val="-6"/>
          <w:sz w:val="18"/>
        </w:rPr>
        <w:t xml:space="preserve"> </w:t>
      </w:r>
      <w:r>
        <w:rPr>
          <w:sz w:val="18"/>
        </w:rPr>
        <w:t>first</w:t>
      </w:r>
      <w:r>
        <w:rPr>
          <w:spacing w:val="-5"/>
          <w:sz w:val="18"/>
        </w:rPr>
        <w:t xml:space="preserve"> </w:t>
      </w:r>
      <w:r>
        <w:rPr>
          <w:sz w:val="18"/>
        </w:rPr>
        <w:t>written</w:t>
      </w:r>
      <w:r>
        <w:rPr>
          <w:spacing w:val="-7"/>
          <w:sz w:val="18"/>
        </w:rPr>
        <w:t xml:space="preserve"> </w:t>
      </w:r>
      <w:r>
        <w:rPr>
          <w:sz w:val="18"/>
        </w:rPr>
        <w:t>submission, paras.</w:t>
      </w:r>
      <w:r>
        <w:rPr>
          <w:spacing w:val="-4"/>
          <w:sz w:val="18"/>
        </w:rPr>
        <w:t xml:space="preserve"> </w:t>
      </w:r>
      <w:r>
        <w:rPr>
          <w:sz w:val="18"/>
        </w:rPr>
        <w:t>1101-</w:t>
      </w:r>
      <w:r>
        <w:rPr>
          <w:spacing w:val="-2"/>
          <w:sz w:val="18"/>
        </w:rPr>
        <w:t>1145.</w:t>
      </w:r>
    </w:p>
    <w:p w14:paraId="35DBF504" w14:textId="77777777" w:rsidR="00BD462C" w:rsidRDefault="00033D0F">
      <w:pPr>
        <w:spacing w:before="4" w:line="235" w:lineRule="auto"/>
        <w:ind w:left="135" w:right="911"/>
        <w:rPr>
          <w:sz w:val="18"/>
        </w:rPr>
      </w:pPr>
      <w:bookmarkStart w:id="905" w:name="_bookmark777"/>
      <w:bookmarkEnd w:id="905"/>
      <w:r>
        <w:rPr>
          <w:position w:val="5"/>
          <w:sz w:val="12"/>
        </w:rPr>
        <w:t>655</w:t>
      </w:r>
      <w:r>
        <w:rPr>
          <w:spacing w:val="-5"/>
          <w:position w:val="5"/>
          <w:sz w:val="12"/>
        </w:rPr>
        <w:t xml:space="preserve"> </w:t>
      </w:r>
      <w:r>
        <w:rPr>
          <w:sz w:val="18"/>
        </w:rPr>
        <w:t>China's</w:t>
      </w:r>
      <w:r>
        <w:rPr>
          <w:spacing w:val="-12"/>
          <w:sz w:val="18"/>
        </w:rPr>
        <w:t xml:space="preserve"> </w:t>
      </w:r>
      <w:r>
        <w:rPr>
          <w:sz w:val="18"/>
        </w:rPr>
        <w:t>first</w:t>
      </w:r>
      <w:r>
        <w:rPr>
          <w:spacing w:val="-11"/>
          <w:sz w:val="18"/>
        </w:rPr>
        <w:t xml:space="preserve"> </w:t>
      </w:r>
      <w:r>
        <w:rPr>
          <w:sz w:val="18"/>
        </w:rPr>
        <w:t>written</w:t>
      </w:r>
      <w:r>
        <w:rPr>
          <w:spacing w:val="-12"/>
          <w:sz w:val="18"/>
        </w:rPr>
        <w:t xml:space="preserve"> </w:t>
      </w:r>
      <w:r>
        <w:rPr>
          <w:sz w:val="18"/>
        </w:rPr>
        <w:t>submission,</w:t>
      </w:r>
      <w:r>
        <w:rPr>
          <w:spacing w:val="-10"/>
          <w:sz w:val="18"/>
        </w:rPr>
        <w:t xml:space="preserve"> </w:t>
      </w:r>
      <w:r>
        <w:rPr>
          <w:sz w:val="18"/>
        </w:rPr>
        <w:t>para.</w:t>
      </w:r>
      <w:r>
        <w:rPr>
          <w:spacing w:val="-10"/>
          <w:sz w:val="18"/>
        </w:rPr>
        <w:t xml:space="preserve"> </w:t>
      </w:r>
      <w:r>
        <w:rPr>
          <w:sz w:val="18"/>
        </w:rPr>
        <w:t>1101</w:t>
      </w:r>
      <w:r>
        <w:rPr>
          <w:spacing w:val="-14"/>
          <w:sz w:val="18"/>
        </w:rPr>
        <w:t xml:space="preserve"> </w:t>
      </w:r>
      <w:r>
        <w:rPr>
          <w:sz w:val="18"/>
        </w:rPr>
        <w:t>citing</w:t>
      </w:r>
      <w:r>
        <w:rPr>
          <w:spacing w:val="-12"/>
          <w:sz w:val="18"/>
        </w:rPr>
        <w:t xml:space="preserve"> </w:t>
      </w:r>
      <w:r>
        <w:rPr>
          <w:sz w:val="18"/>
        </w:rPr>
        <w:t>Preliminary</w:t>
      </w:r>
      <w:r>
        <w:rPr>
          <w:spacing w:val="-13"/>
          <w:sz w:val="18"/>
        </w:rPr>
        <w:t xml:space="preserve"> </w:t>
      </w:r>
      <w:r>
        <w:rPr>
          <w:sz w:val="18"/>
        </w:rPr>
        <w:t>Determination,</w:t>
      </w:r>
      <w:r>
        <w:rPr>
          <w:spacing w:val="-10"/>
          <w:sz w:val="18"/>
        </w:rPr>
        <w:t xml:space="preserve"> </w:t>
      </w:r>
      <w:r>
        <w:rPr>
          <w:sz w:val="18"/>
        </w:rPr>
        <w:t>Exhibit</w:t>
      </w:r>
      <w:r>
        <w:rPr>
          <w:spacing w:val="-9"/>
          <w:sz w:val="18"/>
        </w:rPr>
        <w:t xml:space="preserve"> </w:t>
      </w:r>
      <w:r>
        <w:rPr>
          <w:sz w:val="18"/>
        </w:rPr>
        <w:t>CHN-3,</w:t>
      </w:r>
      <w:r>
        <w:rPr>
          <w:spacing w:val="-10"/>
          <w:sz w:val="18"/>
        </w:rPr>
        <w:t xml:space="preserve"> </w:t>
      </w:r>
      <w:r>
        <w:rPr>
          <w:sz w:val="18"/>
        </w:rPr>
        <w:t>pages</w:t>
      </w:r>
      <w:r>
        <w:rPr>
          <w:spacing w:val="-12"/>
          <w:sz w:val="18"/>
        </w:rPr>
        <w:t xml:space="preserve"> </w:t>
      </w:r>
      <w:r>
        <w:rPr>
          <w:sz w:val="18"/>
        </w:rPr>
        <w:t>30-31;</w:t>
      </w:r>
      <w:r>
        <w:rPr>
          <w:spacing w:val="-13"/>
          <w:sz w:val="18"/>
        </w:rPr>
        <w:t xml:space="preserve"> </w:t>
      </w:r>
      <w:r>
        <w:rPr>
          <w:sz w:val="18"/>
        </w:rPr>
        <w:t>33-36;</w:t>
      </w:r>
      <w:r>
        <w:rPr>
          <w:spacing w:val="-13"/>
          <w:sz w:val="18"/>
        </w:rPr>
        <w:t xml:space="preserve"> </w:t>
      </w:r>
      <w:r>
        <w:rPr>
          <w:sz w:val="18"/>
        </w:rPr>
        <w:t>Disclosure of Essential Facts, Exhibit CHN-2, pages 29-32; 34-38; Final Determination, Exhibit CHN-1, pages 48-52; 55-58.</w:t>
      </w:r>
    </w:p>
    <w:p w14:paraId="525365C1" w14:textId="77777777" w:rsidR="00BD462C" w:rsidRDefault="00033D0F">
      <w:pPr>
        <w:spacing w:before="3"/>
        <w:ind w:left="135" w:right="912"/>
        <w:jc w:val="both"/>
        <w:rPr>
          <w:sz w:val="18"/>
        </w:rPr>
      </w:pPr>
      <w:bookmarkStart w:id="906" w:name="_bookmark778"/>
      <w:bookmarkEnd w:id="906"/>
      <w:r>
        <w:rPr>
          <w:position w:val="5"/>
          <w:sz w:val="12"/>
        </w:rPr>
        <w:t>656</w:t>
      </w:r>
      <w:r>
        <w:rPr>
          <w:spacing w:val="27"/>
          <w:position w:val="5"/>
          <w:sz w:val="12"/>
        </w:rPr>
        <w:t xml:space="preserve"> </w:t>
      </w:r>
      <w:r>
        <w:rPr>
          <w:sz w:val="18"/>
        </w:rPr>
        <w:t>China's response to Panel question no. 27, para. 125 ("the statements noted in the question were made by China in its first</w:t>
      </w:r>
      <w:r>
        <w:rPr>
          <w:spacing w:val="-11"/>
          <w:sz w:val="18"/>
        </w:rPr>
        <w:t xml:space="preserve"> </w:t>
      </w:r>
      <w:r>
        <w:rPr>
          <w:sz w:val="18"/>
        </w:rPr>
        <w:t>written</w:t>
      </w:r>
      <w:r>
        <w:rPr>
          <w:spacing w:val="-10"/>
          <w:sz w:val="18"/>
        </w:rPr>
        <w:t xml:space="preserve"> </w:t>
      </w:r>
      <w:r>
        <w:rPr>
          <w:sz w:val="18"/>
        </w:rPr>
        <w:t>submission</w:t>
      </w:r>
      <w:r>
        <w:rPr>
          <w:spacing w:val="-9"/>
          <w:sz w:val="18"/>
        </w:rPr>
        <w:t xml:space="preserve"> </w:t>
      </w:r>
      <w:r>
        <w:rPr>
          <w:sz w:val="18"/>
        </w:rPr>
        <w:t>on</w:t>
      </w:r>
      <w:r>
        <w:rPr>
          <w:spacing w:val="-10"/>
          <w:sz w:val="18"/>
        </w:rPr>
        <w:t xml:space="preserve"> </w:t>
      </w:r>
      <w:r>
        <w:rPr>
          <w:sz w:val="18"/>
        </w:rPr>
        <w:t>the</w:t>
      </w:r>
      <w:r>
        <w:rPr>
          <w:spacing w:val="-10"/>
          <w:sz w:val="18"/>
        </w:rPr>
        <w:t xml:space="preserve"> </w:t>
      </w:r>
      <w:r>
        <w:rPr>
          <w:sz w:val="18"/>
        </w:rPr>
        <w:t>basis</w:t>
      </w:r>
      <w:r>
        <w:rPr>
          <w:spacing w:val="-6"/>
          <w:sz w:val="18"/>
        </w:rPr>
        <w:t xml:space="preserve"> </w:t>
      </w:r>
      <w:r>
        <w:rPr>
          <w:sz w:val="18"/>
        </w:rPr>
        <w:t>of</w:t>
      </w:r>
      <w:r>
        <w:rPr>
          <w:spacing w:val="-6"/>
          <w:sz w:val="18"/>
        </w:rPr>
        <w:t xml:space="preserve"> </w:t>
      </w:r>
      <w:r>
        <w:rPr>
          <w:sz w:val="18"/>
        </w:rPr>
        <w:t>a</w:t>
      </w:r>
      <w:r>
        <w:rPr>
          <w:spacing w:val="-11"/>
          <w:sz w:val="18"/>
        </w:rPr>
        <w:t xml:space="preserve"> </w:t>
      </w:r>
      <w:r>
        <w:rPr>
          <w:sz w:val="18"/>
        </w:rPr>
        <w:t>comparison</w:t>
      </w:r>
      <w:r>
        <w:rPr>
          <w:spacing w:val="-10"/>
          <w:sz w:val="18"/>
        </w:rPr>
        <w:t xml:space="preserve"> </w:t>
      </w:r>
      <w:r>
        <w:rPr>
          <w:sz w:val="18"/>
        </w:rPr>
        <w:t>of</w:t>
      </w:r>
      <w:r>
        <w:rPr>
          <w:spacing w:val="-9"/>
          <w:sz w:val="18"/>
        </w:rPr>
        <w:t xml:space="preserve"> </w:t>
      </w:r>
      <w:r>
        <w:rPr>
          <w:sz w:val="18"/>
        </w:rPr>
        <w:t>the</w:t>
      </w:r>
      <w:r>
        <w:rPr>
          <w:spacing w:val="-7"/>
          <w:sz w:val="18"/>
        </w:rPr>
        <w:t xml:space="preserve"> </w:t>
      </w:r>
      <w:r>
        <w:rPr>
          <w:sz w:val="18"/>
        </w:rPr>
        <w:t>data</w:t>
      </w:r>
      <w:r>
        <w:rPr>
          <w:spacing w:val="-9"/>
          <w:sz w:val="18"/>
        </w:rPr>
        <w:t xml:space="preserve"> </w:t>
      </w:r>
      <w:r>
        <w:rPr>
          <w:sz w:val="18"/>
        </w:rPr>
        <w:t>available</w:t>
      </w:r>
      <w:r>
        <w:rPr>
          <w:spacing w:val="-7"/>
          <w:sz w:val="18"/>
        </w:rPr>
        <w:t xml:space="preserve"> </w:t>
      </w:r>
      <w:r>
        <w:rPr>
          <w:sz w:val="18"/>
        </w:rPr>
        <w:t>pertaining</w:t>
      </w:r>
      <w:r>
        <w:rPr>
          <w:spacing w:val="-7"/>
          <w:sz w:val="18"/>
        </w:rPr>
        <w:t xml:space="preserve"> </w:t>
      </w:r>
      <w:r>
        <w:rPr>
          <w:sz w:val="18"/>
        </w:rPr>
        <w:t>to</w:t>
      </w:r>
      <w:r>
        <w:rPr>
          <w:spacing w:val="-11"/>
          <w:sz w:val="18"/>
        </w:rPr>
        <w:t xml:space="preserve"> </w:t>
      </w:r>
      <w:r>
        <w:rPr>
          <w:sz w:val="18"/>
        </w:rPr>
        <w:t>the</w:t>
      </w:r>
      <w:r>
        <w:rPr>
          <w:spacing w:val="-10"/>
          <w:sz w:val="18"/>
        </w:rPr>
        <w:t xml:space="preserve"> </w:t>
      </w:r>
      <w:r>
        <w:rPr>
          <w:sz w:val="18"/>
        </w:rPr>
        <w:t>dumped</w:t>
      </w:r>
      <w:r>
        <w:rPr>
          <w:spacing w:val="-6"/>
          <w:sz w:val="18"/>
        </w:rPr>
        <w:t xml:space="preserve"> </w:t>
      </w:r>
      <w:r>
        <w:rPr>
          <w:sz w:val="18"/>
        </w:rPr>
        <w:t>imports</w:t>
      </w:r>
      <w:r>
        <w:rPr>
          <w:spacing w:val="-7"/>
          <w:sz w:val="18"/>
        </w:rPr>
        <w:t xml:space="preserve"> </w:t>
      </w:r>
      <w:r>
        <w:rPr>
          <w:sz w:val="18"/>
        </w:rPr>
        <w:t>on</w:t>
      </w:r>
      <w:r>
        <w:rPr>
          <w:spacing w:val="-11"/>
          <w:sz w:val="18"/>
        </w:rPr>
        <w:t xml:space="preserve"> </w:t>
      </w:r>
      <w:r>
        <w:rPr>
          <w:sz w:val="18"/>
        </w:rPr>
        <w:t>the</w:t>
      </w:r>
      <w:r>
        <w:rPr>
          <w:spacing w:val="-6"/>
          <w:sz w:val="18"/>
        </w:rPr>
        <w:t xml:space="preserve"> </w:t>
      </w:r>
      <w:r>
        <w:rPr>
          <w:sz w:val="18"/>
        </w:rPr>
        <w:t>one</w:t>
      </w:r>
      <w:r>
        <w:rPr>
          <w:spacing w:val="-7"/>
          <w:sz w:val="18"/>
        </w:rPr>
        <w:t xml:space="preserve"> </w:t>
      </w:r>
      <w:r>
        <w:rPr>
          <w:sz w:val="18"/>
        </w:rPr>
        <w:t>hand, and the domestic industry like product sales on the other hand."</w:t>
      </w:r>
    </w:p>
    <w:p w14:paraId="64738C01" w14:textId="77777777" w:rsidR="00BD462C" w:rsidRDefault="00033D0F">
      <w:pPr>
        <w:spacing w:before="3"/>
        <w:ind w:left="135"/>
        <w:jc w:val="both"/>
        <w:rPr>
          <w:sz w:val="18"/>
        </w:rPr>
      </w:pPr>
      <w:bookmarkStart w:id="907" w:name="_bookmark779"/>
      <w:bookmarkEnd w:id="907"/>
      <w:r>
        <w:rPr>
          <w:position w:val="5"/>
          <w:sz w:val="12"/>
        </w:rPr>
        <w:t>657</w:t>
      </w:r>
      <w:r>
        <w:rPr>
          <w:spacing w:val="14"/>
          <w:position w:val="5"/>
          <w:sz w:val="12"/>
        </w:rPr>
        <w:t xml:space="preserve"> </w:t>
      </w:r>
      <w:r>
        <w:rPr>
          <w:sz w:val="18"/>
        </w:rPr>
        <w:t>China's response</w:t>
      </w:r>
      <w:r>
        <w:rPr>
          <w:spacing w:val="-4"/>
          <w:sz w:val="18"/>
        </w:rPr>
        <w:t xml:space="preserve"> </w:t>
      </w:r>
      <w:r>
        <w:rPr>
          <w:sz w:val="18"/>
        </w:rPr>
        <w:t>to</w:t>
      </w:r>
      <w:r>
        <w:rPr>
          <w:spacing w:val="-10"/>
          <w:sz w:val="18"/>
        </w:rPr>
        <w:t xml:space="preserve"> </w:t>
      </w:r>
      <w:r>
        <w:rPr>
          <w:sz w:val="18"/>
        </w:rPr>
        <w:t>Panel</w:t>
      </w:r>
      <w:r>
        <w:rPr>
          <w:spacing w:val="-3"/>
          <w:sz w:val="18"/>
        </w:rPr>
        <w:t xml:space="preserve"> </w:t>
      </w:r>
      <w:r>
        <w:rPr>
          <w:sz w:val="18"/>
        </w:rPr>
        <w:t>question</w:t>
      </w:r>
      <w:r>
        <w:rPr>
          <w:spacing w:val="-5"/>
          <w:sz w:val="18"/>
        </w:rPr>
        <w:t xml:space="preserve"> </w:t>
      </w:r>
      <w:r>
        <w:rPr>
          <w:sz w:val="18"/>
        </w:rPr>
        <w:t>no.</w:t>
      </w:r>
      <w:r>
        <w:rPr>
          <w:spacing w:val="-3"/>
          <w:sz w:val="18"/>
        </w:rPr>
        <w:t xml:space="preserve"> </w:t>
      </w:r>
      <w:r>
        <w:rPr>
          <w:sz w:val="18"/>
        </w:rPr>
        <w:t>27,</w:t>
      </w:r>
      <w:r>
        <w:rPr>
          <w:spacing w:val="2"/>
          <w:sz w:val="18"/>
        </w:rPr>
        <w:t xml:space="preserve"> </w:t>
      </w:r>
      <w:r>
        <w:rPr>
          <w:sz w:val="18"/>
        </w:rPr>
        <w:t>para.</w:t>
      </w:r>
      <w:r>
        <w:rPr>
          <w:spacing w:val="-3"/>
          <w:sz w:val="18"/>
        </w:rPr>
        <w:t xml:space="preserve"> </w:t>
      </w:r>
      <w:r>
        <w:rPr>
          <w:spacing w:val="-4"/>
          <w:sz w:val="18"/>
        </w:rPr>
        <w:t>152.</w:t>
      </w:r>
    </w:p>
    <w:p w14:paraId="3FCEFBF9" w14:textId="77777777" w:rsidR="00BD462C" w:rsidRDefault="00BD462C">
      <w:pPr>
        <w:jc w:val="both"/>
        <w:rPr>
          <w:sz w:val="18"/>
        </w:rPr>
        <w:sectPr w:rsidR="00BD462C">
          <w:pgSz w:w="11910" w:h="16840"/>
          <w:pgMar w:top="860" w:right="500" w:bottom="780" w:left="1280" w:header="566" w:footer="590" w:gutter="0"/>
          <w:cols w:space="720"/>
        </w:sectPr>
      </w:pPr>
    </w:p>
    <w:p w14:paraId="02A551BB"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1B3D3758"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1680FE98"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6DB3CC9B" w14:textId="77777777" w:rsidR="00BD462C" w:rsidRDefault="00033D0F">
      <w:pPr>
        <w:pStyle w:val="BodyText"/>
        <w:spacing w:before="102" w:line="357" w:lineRule="auto"/>
        <w:ind w:left="135"/>
      </w:pPr>
      <w:r>
        <w:t>MOFCOM</w:t>
      </w:r>
      <w:r>
        <w:rPr>
          <w:spacing w:val="40"/>
        </w:rPr>
        <w:t xml:space="preserve"> </w:t>
      </w:r>
      <w:r>
        <w:t>did</w:t>
      </w:r>
      <w:r>
        <w:rPr>
          <w:spacing w:val="39"/>
        </w:rPr>
        <w:t xml:space="preserve"> </w:t>
      </w:r>
      <w:r>
        <w:t>not</w:t>
      </w:r>
      <w:r>
        <w:rPr>
          <w:spacing w:val="40"/>
        </w:rPr>
        <w:t xml:space="preserve"> </w:t>
      </w:r>
      <w:r>
        <w:t>examine</w:t>
      </w:r>
      <w:r>
        <w:rPr>
          <w:spacing w:val="39"/>
        </w:rPr>
        <w:t xml:space="preserve"> </w:t>
      </w:r>
      <w:r>
        <w:t>whether</w:t>
      </w:r>
      <w:r>
        <w:rPr>
          <w:spacing w:val="40"/>
        </w:rPr>
        <w:t xml:space="preserve"> </w:t>
      </w:r>
      <w:r>
        <w:t>product</w:t>
      </w:r>
      <w:r>
        <w:rPr>
          <w:spacing w:val="40"/>
        </w:rPr>
        <w:t xml:space="preserve"> </w:t>
      </w:r>
      <w:r>
        <w:t>mix</w:t>
      </w:r>
      <w:r>
        <w:rPr>
          <w:spacing w:val="40"/>
        </w:rPr>
        <w:t xml:space="preserve"> </w:t>
      </w:r>
      <w:r>
        <w:t>impacted</w:t>
      </w:r>
      <w:r>
        <w:rPr>
          <w:spacing w:val="39"/>
        </w:rPr>
        <w:t xml:space="preserve"> </w:t>
      </w:r>
      <w:r>
        <w:t>price</w:t>
      </w:r>
      <w:r>
        <w:rPr>
          <w:spacing w:val="40"/>
        </w:rPr>
        <w:t xml:space="preserve"> </w:t>
      </w:r>
      <w:r>
        <w:t>comparability</w:t>
      </w:r>
      <w:r>
        <w:rPr>
          <w:spacing w:val="40"/>
        </w:rPr>
        <w:t xml:space="preserve"> </w:t>
      </w:r>
      <w:r>
        <w:t>during</w:t>
      </w:r>
      <w:r>
        <w:rPr>
          <w:spacing w:val="40"/>
        </w:rPr>
        <w:t xml:space="preserve"> </w:t>
      </w:r>
      <w:r>
        <w:t>its investigation.</w:t>
      </w:r>
      <w:r>
        <w:rPr>
          <w:spacing w:val="-5"/>
        </w:rPr>
        <w:t xml:space="preserve"> </w:t>
      </w:r>
      <w:r>
        <w:t>China's</w:t>
      </w:r>
      <w:r>
        <w:rPr>
          <w:spacing w:val="-3"/>
        </w:rPr>
        <w:t xml:space="preserve"> </w:t>
      </w:r>
      <w:r>
        <w:rPr>
          <w:i/>
        </w:rPr>
        <w:t>ex</w:t>
      </w:r>
      <w:r>
        <w:rPr>
          <w:i/>
          <w:spacing w:val="-2"/>
        </w:rPr>
        <w:t xml:space="preserve"> </w:t>
      </w:r>
      <w:r>
        <w:rPr>
          <w:i/>
        </w:rPr>
        <w:t>post</w:t>
      </w:r>
      <w:r>
        <w:rPr>
          <w:i/>
          <w:spacing w:val="-4"/>
        </w:rPr>
        <w:t xml:space="preserve"> </w:t>
      </w:r>
      <w:r>
        <w:rPr>
          <w:i/>
        </w:rPr>
        <w:t>facto</w:t>
      </w:r>
      <w:r>
        <w:rPr>
          <w:i/>
          <w:spacing w:val="-7"/>
        </w:rPr>
        <w:t xml:space="preserve"> </w:t>
      </w:r>
      <w:r>
        <w:t>submissions</w:t>
      </w:r>
      <w:r>
        <w:rPr>
          <w:spacing w:val="-3"/>
        </w:rPr>
        <w:t xml:space="preserve"> </w:t>
      </w:r>
      <w:r>
        <w:t>cannot</w:t>
      </w:r>
      <w:r>
        <w:rPr>
          <w:spacing w:val="-3"/>
        </w:rPr>
        <w:t xml:space="preserve"> </w:t>
      </w:r>
      <w:r>
        <w:t>be relied</w:t>
      </w:r>
      <w:r>
        <w:rPr>
          <w:spacing w:val="-5"/>
        </w:rPr>
        <w:t xml:space="preserve"> </w:t>
      </w:r>
      <w:r>
        <w:t>on</w:t>
      </w:r>
      <w:r>
        <w:rPr>
          <w:spacing w:val="-6"/>
        </w:rPr>
        <w:t xml:space="preserve"> </w:t>
      </w:r>
      <w:r>
        <w:t>to</w:t>
      </w:r>
      <w:r>
        <w:rPr>
          <w:spacing w:val="-1"/>
        </w:rPr>
        <w:t xml:space="preserve"> </w:t>
      </w:r>
      <w:r>
        <w:t>remedy</w:t>
      </w:r>
      <w:r>
        <w:rPr>
          <w:spacing w:val="-3"/>
        </w:rPr>
        <w:t xml:space="preserve"> </w:t>
      </w:r>
      <w:r>
        <w:t>that</w:t>
      </w:r>
      <w:r>
        <w:rPr>
          <w:spacing w:val="-3"/>
        </w:rPr>
        <w:t xml:space="preserve"> </w:t>
      </w:r>
      <w:r>
        <w:rPr>
          <w:spacing w:val="-2"/>
        </w:rPr>
        <w:t>defect.</w:t>
      </w:r>
      <w:hyperlink w:anchor="_bookmark780" w:history="1">
        <w:r>
          <w:rPr>
            <w:spacing w:val="-2"/>
            <w:vertAlign w:val="superscript"/>
          </w:rPr>
          <w:t>658</w:t>
        </w:r>
      </w:hyperlink>
    </w:p>
    <w:p w14:paraId="25BD49C6" w14:textId="77777777" w:rsidR="00BD462C" w:rsidRDefault="00BD462C">
      <w:pPr>
        <w:pStyle w:val="BodyText"/>
        <w:spacing w:before="3"/>
        <w:rPr>
          <w:sz w:val="9"/>
        </w:rPr>
      </w:pPr>
    </w:p>
    <w:p w14:paraId="69C40752" w14:textId="771AA241" w:rsidR="00BD462C" w:rsidRDefault="00D70C7D">
      <w:pPr>
        <w:pStyle w:val="BodyText"/>
        <w:spacing w:before="56" w:line="360" w:lineRule="auto"/>
        <w:ind w:left="135" w:right="911" w:hanging="5"/>
        <w:jc w:val="both"/>
      </w:pPr>
      <w:r>
        <w:rPr>
          <w:noProof/>
        </w:rPr>
        <mc:AlternateContent>
          <mc:Choice Requires="wps">
            <w:drawing>
              <wp:anchor distT="0" distB="0" distL="114300" distR="114300" simplePos="0" relativeHeight="479072256" behindDoc="1" locked="0" layoutInCell="1" allowOverlap="1" wp14:anchorId="1DF73AB2" wp14:editId="7746119B">
                <wp:simplePos x="0" y="0"/>
                <wp:positionH relativeFrom="page">
                  <wp:posOffset>1896110</wp:posOffset>
                </wp:positionH>
                <wp:positionV relativeFrom="paragraph">
                  <wp:posOffset>1425575</wp:posOffset>
                </wp:positionV>
                <wp:extent cx="4763770" cy="186055"/>
                <wp:effectExtent l="0" t="0" r="0" b="0"/>
                <wp:wrapNone/>
                <wp:docPr id="632" name="docshape4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377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E22117" id="docshape403" o:spid="_x0000_s1026" alt="&quot;&quot;" style="position:absolute;margin-left:149.3pt;margin-top:112.25pt;width:375.1pt;height:14.65pt;z-index:-24244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" fillcolor="black" stroked="f">
                <w10:wrap anchorx="page"/>
              </v:rect>
            </w:pict>
          </mc:Fallback>
        </mc:AlternateContent>
      </w:r>
      <w:r w:rsidR="007A6FB5">
        <w:rPr>
          <w:noProof/>
        </w:rPr>
        <w:t>457.</w:t>
      </w:r>
      <w:r w:rsidR="00033D0F">
        <w:rPr>
          <w:rFonts w:ascii="Times New Roman"/>
          <w:spacing w:val="40"/>
          <w:position w:val="1"/>
          <w:sz w:val="20"/>
        </w:rPr>
        <w:t xml:space="preserve"> </w:t>
      </w:r>
      <w:r w:rsidR="00033D0F">
        <w:rPr>
          <w:position w:val="1"/>
        </w:rPr>
        <w:t xml:space="preserve">Third, the extensive </w:t>
      </w:r>
      <w:r w:rsidR="00033D0F">
        <w:rPr>
          <w:i/>
          <w:position w:val="1"/>
        </w:rPr>
        <w:t xml:space="preserve">ex post facto </w:t>
      </w:r>
      <w:r w:rsidR="00033D0F">
        <w:rPr>
          <w:position w:val="1"/>
        </w:rPr>
        <w:t xml:space="preserve">reasoning provided by China in its first written </w:t>
      </w:r>
      <w:r w:rsidR="00033D0F">
        <w:t>submission and in response to Panel questions</w:t>
      </w:r>
      <w:hyperlink w:anchor="_bookmark781" w:history="1">
        <w:r w:rsidR="00033D0F">
          <w:rPr>
            <w:vertAlign w:val="superscript"/>
          </w:rPr>
          <w:t>659</w:t>
        </w:r>
      </w:hyperlink>
      <w:r w:rsidR="00033D0F">
        <w:t xml:space="preserve"> does not support the position allegedly adopted</w:t>
      </w:r>
      <w:r w:rsidR="00033D0F">
        <w:rPr>
          <w:spacing w:val="-4"/>
        </w:rPr>
        <w:t xml:space="preserve"> </w:t>
      </w:r>
      <w:r w:rsidR="00033D0F">
        <w:t>by</w:t>
      </w:r>
      <w:r w:rsidR="00033D0F">
        <w:rPr>
          <w:spacing w:val="-6"/>
        </w:rPr>
        <w:t xml:space="preserve"> </w:t>
      </w:r>
      <w:r w:rsidR="00033D0F">
        <w:t>MOFCOM</w:t>
      </w:r>
      <w:r w:rsidR="00033D0F">
        <w:rPr>
          <w:spacing w:val="-7"/>
        </w:rPr>
        <w:t xml:space="preserve"> </w:t>
      </w:r>
      <w:r w:rsidR="00033D0F">
        <w:t>that</w:t>
      </w:r>
      <w:r w:rsidR="00033D0F">
        <w:rPr>
          <w:spacing w:val="-2"/>
        </w:rPr>
        <w:t xml:space="preserve"> </w:t>
      </w:r>
      <w:r w:rsidR="00033D0F">
        <w:t>"there</w:t>
      </w:r>
      <w:r w:rsidR="00033D0F">
        <w:rPr>
          <w:spacing w:val="-2"/>
        </w:rPr>
        <w:t xml:space="preserve"> </w:t>
      </w:r>
      <w:r w:rsidR="00033D0F">
        <w:t>was</w:t>
      </w:r>
      <w:r w:rsidR="00033D0F">
        <w:rPr>
          <w:spacing w:val="-6"/>
        </w:rPr>
        <w:t xml:space="preserve"> </w:t>
      </w:r>
      <w:r w:rsidR="00033D0F">
        <w:t>sufficient</w:t>
      </w:r>
      <w:r w:rsidR="00033D0F">
        <w:rPr>
          <w:spacing w:val="-7"/>
        </w:rPr>
        <w:t xml:space="preserve"> </w:t>
      </w:r>
      <w:r w:rsidR="00033D0F">
        <w:t>similarity</w:t>
      </w:r>
      <w:r w:rsidR="00033D0F">
        <w:rPr>
          <w:spacing w:val="-6"/>
        </w:rPr>
        <w:t xml:space="preserve"> </w:t>
      </w:r>
      <w:r w:rsidR="00033D0F">
        <w:t>between</w:t>
      </w:r>
      <w:r w:rsidR="00033D0F">
        <w:rPr>
          <w:spacing w:val="-9"/>
        </w:rPr>
        <w:t xml:space="preserve"> </w:t>
      </w:r>
      <w:r w:rsidR="00033D0F">
        <w:t>the</w:t>
      </w:r>
      <w:r w:rsidR="00033D0F">
        <w:rPr>
          <w:spacing w:val="-7"/>
        </w:rPr>
        <w:t xml:space="preserve"> </w:t>
      </w:r>
      <w:r w:rsidR="00033D0F">
        <w:t>basket</w:t>
      </w:r>
      <w:r w:rsidR="00033D0F">
        <w:rPr>
          <w:spacing w:val="-7"/>
        </w:rPr>
        <w:t xml:space="preserve"> </w:t>
      </w:r>
      <w:r w:rsidR="00033D0F">
        <w:t>of</w:t>
      </w:r>
      <w:r w:rsidR="00033D0F">
        <w:rPr>
          <w:spacing w:val="-4"/>
        </w:rPr>
        <w:t xml:space="preserve"> </w:t>
      </w:r>
      <w:r w:rsidR="00033D0F">
        <w:t>the</w:t>
      </w:r>
      <w:r w:rsidR="00033D0F">
        <w:rPr>
          <w:spacing w:val="-3"/>
        </w:rPr>
        <w:t xml:space="preserve"> </w:t>
      </w:r>
      <w:r w:rsidR="00033D0F">
        <w:t>dumped imports and the basket of the domestic like product",</w:t>
      </w:r>
      <w:hyperlink w:anchor="_bookmark782" w:history="1">
        <w:r w:rsidR="00033D0F">
          <w:rPr>
            <w:vertAlign w:val="superscript"/>
          </w:rPr>
          <w:t>660</w:t>
        </w:r>
      </w:hyperlink>
      <w:r w:rsidR="00033D0F">
        <w:t xml:space="preserve"> such that it did not need to apply adjustments to address product differentiation. Rather, the evidence discussed by China confirms</w:t>
      </w:r>
      <w:r w:rsidR="00033D0F">
        <w:rPr>
          <w:spacing w:val="80"/>
        </w:rPr>
        <w:t xml:space="preserve"> </w:t>
      </w:r>
      <w:r w:rsidR="00033D0F">
        <w:t>that</w:t>
      </w:r>
    </w:p>
    <w:p w14:paraId="2059BF31" w14:textId="42A9E733" w:rsidR="00BD462C" w:rsidRDefault="00D70C7D">
      <w:pPr>
        <w:spacing w:line="184" w:lineRule="exact"/>
        <w:ind w:left="2210" w:right="1171"/>
        <w:jc w:val="center"/>
        <w:rPr>
          <w:sz w:val="16"/>
        </w:rPr>
      </w:pPr>
      <w:r>
        <w:rPr>
          <w:noProof/>
        </w:rPr>
        <mc:AlternateContent>
          <mc:Choice Requires="wps">
            <w:drawing>
              <wp:anchor distT="0" distB="0" distL="114300" distR="114300" simplePos="0" relativeHeight="15911424" behindDoc="0" locked="0" layoutInCell="1" allowOverlap="1" wp14:anchorId="6A952C7C" wp14:editId="6481E046">
                <wp:simplePos x="0" y="0"/>
                <wp:positionH relativeFrom="page">
                  <wp:posOffset>899160</wp:posOffset>
                </wp:positionH>
                <wp:positionV relativeFrom="paragraph">
                  <wp:posOffset>-5080</wp:posOffset>
                </wp:positionV>
                <wp:extent cx="3380105" cy="186055"/>
                <wp:effectExtent l="0" t="0" r="0" b="0"/>
                <wp:wrapNone/>
                <wp:docPr id="630" name="docshape4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010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FEFD35" id="docshape404" o:spid="_x0000_s1026" alt="&quot;&quot;" style="position:absolute;margin-left:70.8pt;margin-top:-.4pt;width:266.15pt;height:14.65pt;z-index:1591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" fillcolor="black" stroked="f">
                <w10:wrap anchorx="page"/>
              </v:rect>
            </w:pict>
          </mc:Fallback>
        </mc:AlternateContent>
      </w:r>
      <w:hyperlink w:anchor="_bookmark783" w:history="1">
        <w:r w:rsidR="00033D0F">
          <w:rPr>
            <w:spacing w:val="-5"/>
            <w:sz w:val="16"/>
          </w:rPr>
          <w:t>661</w:t>
        </w:r>
      </w:hyperlink>
    </w:p>
    <w:p w14:paraId="2E086B95" w14:textId="77777777" w:rsidR="00BD462C" w:rsidRDefault="00BD462C">
      <w:pPr>
        <w:pStyle w:val="BodyText"/>
        <w:spacing w:before="4"/>
        <w:rPr>
          <w:sz w:val="29"/>
        </w:rPr>
      </w:pPr>
    </w:p>
    <w:p w14:paraId="1413F020" w14:textId="794E1A9D" w:rsidR="00BD462C" w:rsidRDefault="00D70C7D">
      <w:pPr>
        <w:pStyle w:val="BodyText"/>
        <w:spacing w:before="56" w:line="360" w:lineRule="auto"/>
        <w:ind w:left="135" w:right="915" w:hanging="5"/>
        <w:jc w:val="both"/>
      </w:pPr>
      <w:r>
        <w:rPr>
          <w:noProof/>
        </w:rPr>
        <mc:AlternateContent>
          <mc:Choice Requires="wps">
            <w:drawing>
              <wp:anchor distT="0" distB="0" distL="114300" distR="114300" simplePos="0" relativeHeight="479073280" behindDoc="1" locked="0" layoutInCell="1" allowOverlap="1" wp14:anchorId="77D89179" wp14:editId="63D180C6">
                <wp:simplePos x="0" y="0"/>
                <wp:positionH relativeFrom="page">
                  <wp:posOffset>1818005</wp:posOffset>
                </wp:positionH>
                <wp:positionV relativeFrom="paragraph">
                  <wp:posOffset>869950</wp:posOffset>
                </wp:positionV>
                <wp:extent cx="4839970" cy="186055"/>
                <wp:effectExtent l="0" t="0" r="0" b="0"/>
                <wp:wrapNone/>
                <wp:docPr id="628" name="docshape4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997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A44D79" id="docshape405" o:spid="_x0000_s1026" alt="&quot;&quot;" style="position:absolute;margin-left:143.15pt;margin-top:68.5pt;width:381.1pt;height:14.65pt;z-index:-24243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" fillcolor="black" stroked="f">
                <w10:wrap anchorx="page"/>
              </v:rect>
            </w:pict>
          </mc:Fallback>
        </mc:AlternateContent>
      </w:r>
      <w:r w:rsidR="007A6FB5">
        <w:rPr>
          <w:noProof/>
        </w:rPr>
        <w:t>458.</w:t>
      </w:r>
      <w:r w:rsidR="00033D0F">
        <w:rPr>
          <w:rFonts w:ascii="Times New Roman"/>
          <w:spacing w:val="80"/>
          <w:w w:val="150"/>
          <w:position w:val="1"/>
          <w:sz w:val="20"/>
        </w:rPr>
        <w:t xml:space="preserve"> </w:t>
      </w:r>
      <w:r w:rsidR="00033D0F">
        <w:rPr>
          <w:position w:val="1"/>
        </w:rPr>
        <w:t xml:space="preserve">China's extensive </w:t>
      </w:r>
      <w:r w:rsidR="00033D0F">
        <w:rPr>
          <w:i/>
          <w:position w:val="1"/>
        </w:rPr>
        <w:t xml:space="preserve">ex post facto </w:t>
      </w:r>
      <w:r w:rsidR="00033D0F">
        <w:rPr>
          <w:position w:val="1"/>
        </w:rPr>
        <w:t xml:space="preserve">explanations provided in response to Panel question </w:t>
      </w:r>
      <w:r w:rsidR="00033D0F">
        <w:t>No. 27 establish two things: (i) China accepts that</w:t>
      </w:r>
      <w:r w:rsidR="00033D0F">
        <w:rPr>
          <w:spacing w:val="-2"/>
        </w:rPr>
        <w:t xml:space="preserve"> </w:t>
      </w:r>
      <w:r w:rsidR="00033D0F">
        <w:t xml:space="preserve">the evidence before MOFCOM established that the exports of the Australian sampled companies and the domestic industry could be </w:t>
      </w:r>
      <w:proofErr w:type="spellStart"/>
      <w:r w:rsidR="00033D0F">
        <w:rPr>
          <w:spacing w:val="-2"/>
        </w:rPr>
        <w:t>categorised</w:t>
      </w:r>
      <w:proofErr w:type="spellEnd"/>
    </w:p>
    <w:p w14:paraId="5BEFA98E" w14:textId="439F04D5" w:rsidR="00BD462C" w:rsidRDefault="00D70C7D">
      <w:pPr>
        <w:pStyle w:val="BodyText"/>
        <w:spacing w:line="288" w:lineRule="exact"/>
        <w:ind w:left="1856" w:right="2340"/>
        <w:jc w:val="center"/>
      </w:pPr>
      <w:r>
        <w:rPr>
          <w:noProof/>
        </w:rPr>
        <mc:AlternateContent>
          <mc:Choice Requires="wps">
            <w:drawing>
              <wp:anchor distT="0" distB="0" distL="114300" distR="114300" simplePos="0" relativeHeight="15912448" behindDoc="0" locked="0" layoutInCell="1" allowOverlap="1" wp14:anchorId="2089E255" wp14:editId="6585C07C">
                <wp:simplePos x="0" y="0"/>
                <wp:positionH relativeFrom="page">
                  <wp:posOffset>899160</wp:posOffset>
                </wp:positionH>
                <wp:positionV relativeFrom="paragraph">
                  <wp:posOffset>-4445</wp:posOffset>
                </wp:positionV>
                <wp:extent cx="2624455" cy="186055"/>
                <wp:effectExtent l="0" t="0" r="0" b="0"/>
                <wp:wrapNone/>
                <wp:docPr id="626" name="docshape4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445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DAFB88" id="docshape406" o:spid="_x0000_s1026" alt="&quot;&quot;" style="position:absolute;margin-left:70.8pt;margin-top:-.35pt;width:206.65pt;height:14.65pt;z-index:1591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" fillcolor="black" stroked="f">
                <w10:wrap anchorx="page"/>
              </v:rect>
            </w:pict>
          </mc:Fallback>
        </mc:AlternateContent>
      </w:r>
      <w:r>
        <w:rPr>
          <w:noProof/>
        </w:rPr>
        <mc:AlternateContent>
          <mc:Choice Requires="wps">
            <w:drawing>
              <wp:anchor distT="0" distB="0" distL="114300" distR="114300" simplePos="0" relativeHeight="15912960" behindDoc="0" locked="0" layoutInCell="1" allowOverlap="1" wp14:anchorId="64BC93F2" wp14:editId="2E7B4546">
                <wp:simplePos x="0" y="0"/>
                <wp:positionH relativeFrom="page">
                  <wp:posOffset>4270375</wp:posOffset>
                </wp:positionH>
                <wp:positionV relativeFrom="paragraph">
                  <wp:posOffset>-4445</wp:posOffset>
                </wp:positionV>
                <wp:extent cx="2389505" cy="186055"/>
                <wp:effectExtent l="0" t="0" r="0" b="0"/>
                <wp:wrapNone/>
                <wp:docPr id="624" name="docshape4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950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6455EC" id="docshape407" o:spid="_x0000_s1026" alt="&quot;&quot;" style="position:absolute;margin-left:336.25pt;margin-top:-.35pt;width:188.15pt;height:14.65pt;z-index:15912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" fillcolor="black" stroked="f">
                <w10:wrap anchorx="page"/>
              </v:rect>
            </w:pict>
          </mc:Fallback>
        </mc:AlternateContent>
      </w:r>
      <w:r w:rsidR="00033D0F">
        <w:t>;</w:t>
      </w:r>
      <w:hyperlink w:anchor="_bookmark784" w:history="1">
        <w:r w:rsidR="00033D0F">
          <w:rPr>
            <w:vertAlign w:val="superscript"/>
          </w:rPr>
          <w:t>662</w:t>
        </w:r>
      </w:hyperlink>
      <w:r w:rsidR="00033D0F">
        <w:rPr>
          <w:spacing w:val="26"/>
        </w:rPr>
        <w:t xml:space="preserve"> </w:t>
      </w:r>
      <w:r w:rsidR="00033D0F">
        <w:t>and</w:t>
      </w:r>
      <w:r w:rsidR="00033D0F">
        <w:rPr>
          <w:spacing w:val="25"/>
        </w:rPr>
        <w:t xml:space="preserve"> </w:t>
      </w:r>
      <w:r w:rsidR="00033D0F">
        <w:rPr>
          <w:spacing w:val="-4"/>
        </w:rPr>
        <w:t>(ii)</w:t>
      </w:r>
    </w:p>
    <w:p w14:paraId="144893B1" w14:textId="56966099" w:rsidR="00BD462C" w:rsidRDefault="00D70C7D">
      <w:pPr>
        <w:pStyle w:val="BodyText"/>
        <w:rPr>
          <w:sz w:val="10"/>
        </w:rPr>
      </w:pPr>
      <w:r>
        <w:rPr>
          <w:noProof/>
        </w:rPr>
        <mc:AlternateContent>
          <mc:Choice Requires="wps">
            <w:drawing>
              <wp:anchor distT="0" distB="0" distL="0" distR="0" simplePos="0" relativeHeight="487770112" behindDoc="1" locked="0" layoutInCell="1" allowOverlap="1" wp14:anchorId="3184862E" wp14:editId="14B57B8A">
                <wp:simplePos x="0" y="0"/>
                <wp:positionH relativeFrom="page">
                  <wp:posOffset>899160</wp:posOffset>
                </wp:positionH>
                <wp:positionV relativeFrom="paragraph">
                  <wp:posOffset>93345</wp:posOffset>
                </wp:positionV>
                <wp:extent cx="5696585" cy="186055"/>
                <wp:effectExtent l="0" t="0" r="0" b="0"/>
                <wp:wrapTopAndBottom/>
                <wp:docPr id="622" name="docshape4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658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5B5B19" id="docshape408" o:spid="_x0000_s1026" alt="&quot;&quot;" style="position:absolute;margin-left:70.8pt;margin-top:7.35pt;width:448.55pt;height:14.65pt;z-index:-15546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" fillcolor="black" stroked="f">
                <w10:wrap type="topAndBottom" anchorx="page"/>
              </v:rect>
            </w:pict>
          </mc:Fallback>
        </mc:AlternateContent>
      </w:r>
    </w:p>
    <w:p w14:paraId="3F569E61" w14:textId="77777777" w:rsidR="00BD462C" w:rsidRDefault="00BD462C">
      <w:pPr>
        <w:pStyle w:val="BodyText"/>
        <w:spacing w:before="5"/>
        <w:rPr>
          <w:sz w:val="6"/>
        </w:rPr>
      </w:pPr>
    </w:p>
    <w:p w14:paraId="7906C81A" w14:textId="33C5CD51" w:rsidR="00BD462C" w:rsidRDefault="00D70C7D">
      <w:pPr>
        <w:pStyle w:val="BodyText"/>
        <w:spacing w:before="72" w:line="360" w:lineRule="auto"/>
        <w:ind w:left="136" w:right="916" w:firstLine="2140"/>
        <w:jc w:val="both"/>
      </w:pPr>
      <w:r>
        <w:rPr>
          <w:noProof/>
        </w:rPr>
        <mc:AlternateContent>
          <mc:Choice Requires="wps">
            <w:drawing>
              <wp:anchor distT="0" distB="0" distL="114300" distR="114300" simplePos="0" relativeHeight="15913472" behindDoc="0" locked="0" layoutInCell="1" allowOverlap="1" wp14:anchorId="441C4F54" wp14:editId="4585863A">
                <wp:simplePos x="0" y="0"/>
                <wp:positionH relativeFrom="page">
                  <wp:posOffset>899160</wp:posOffset>
                </wp:positionH>
                <wp:positionV relativeFrom="paragraph">
                  <wp:posOffset>44450</wp:posOffset>
                </wp:positionV>
                <wp:extent cx="1359535" cy="186055"/>
                <wp:effectExtent l="0" t="0" r="0" b="0"/>
                <wp:wrapNone/>
                <wp:docPr id="620" name="docshape4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953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DD90A8" id="docshape409" o:spid="_x0000_s1026" alt="&quot;&quot;" style="position:absolute;margin-left:70.8pt;margin-top:3.5pt;width:107.05pt;height:14.65pt;z-index:1591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" fillcolor="black" stroked="f">
                <w10:wrap anchorx="page"/>
              </v:rect>
            </w:pict>
          </mc:Fallback>
        </mc:AlternateContent>
      </w:r>
      <w:r w:rsidR="00033D0F">
        <w:t>.</w:t>
      </w:r>
      <w:hyperlink w:anchor="_bookmark785" w:history="1">
        <w:r w:rsidR="00033D0F">
          <w:rPr>
            <w:vertAlign w:val="superscript"/>
          </w:rPr>
          <w:t>663</w:t>
        </w:r>
      </w:hyperlink>
      <w:r w:rsidR="00033D0F">
        <w:t xml:space="preserve"> Changes in the product composition arising from either of these factors are likely to have impacted the annual average unit values MOFCOM calculated. Yet, despite being considered, apparently in some detail by MOFCOM, these differences are not reflected in the price calculation methodology MOFCOM adopted.</w:t>
      </w:r>
      <w:hyperlink w:anchor="_bookmark786" w:history="1">
        <w:r w:rsidR="00033D0F">
          <w:rPr>
            <w:vertAlign w:val="superscript"/>
          </w:rPr>
          <w:t>664</w:t>
        </w:r>
      </w:hyperlink>
    </w:p>
    <w:p w14:paraId="1437779F" w14:textId="77777777" w:rsidR="00BD462C" w:rsidRDefault="00BD462C">
      <w:pPr>
        <w:pStyle w:val="BodyText"/>
        <w:spacing w:before="8"/>
        <w:rPr>
          <w:sz w:val="8"/>
        </w:rPr>
      </w:pPr>
    </w:p>
    <w:p w14:paraId="2EF4D113" w14:textId="34EE108B" w:rsidR="00BD462C" w:rsidRDefault="00D70C7D">
      <w:pPr>
        <w:pStyle w:val="BodyText"/>
        <w:spacing w:before="56"/>
        <w:ind w:left="131"/>
      </w:pPr>
      <w:r>
        <w:rPr>
          <w:noProof/>
        </w:rPr>
        <mc:AlternateContent>
          <mc:Choice Requires="wps">
            <w:drawing>
              <wp:anchor distT="0" distB="0" distL="114300" distR="114300" simplePos="0" relativeHeight="15913984" behindDoc="0" locked="0" layoutInCell="1" allowOverlap="1" wp14:anchorId="0D1C2156" wp14:editId="70C5A202">
                <wp:simplePos x="0" y="0"/>
                <wp:positionH relativeFrom="page">
                  <wp:posOffset>4986655</wp:posOffset>
                </wp:positionH>
                <wp:positionV relativeFrom="paragraph">
                  <wp:posOffset>31750</wp:posOffset>
                </wp:positionV>
                <wp:extent cx="1673225" cy="186055"/>
                <wp:effectExtent l="0" t="0" r="0" b="0"/>
                <wp:wrapNone/>
                <wp:docPr id="618" name="docshape4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322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C6C08F" id="docshape410" o:spid="_x0000_s1026" alt="&quot;&quot;" style="position:absolute;margin-left:392.65pt;margin-top:2.5pt;width:131.75pt;height:14.65pt;z-index:15913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" fillcolor="black" stroked="f">
                <w10:wrap anchorx="page"/>
              </v:rect>
            </w:pict>
          </mc:Fallback>
        </mc:AlternateContent>
      </w:r>
      <w:r w:rsidR="007A6FB5">
        <w:rPr>
          <w:noProof/>
        </w:rPr>
        <w:t>459.</w:t>
      </w:r>
      <w:r w:rsidR="00033D0F">
        <w:rPr>
          <w:rFonts w:ascii="Times New Roman"/>
          <w:spacing w:val="80"/>
          <w:position w:val="1"/>
          <w:sz w:val="20"/>
        </w:rPr>
        <w:t xml:space="preserve"> </w:t>
      </w:r>
      <w:r w:rsidR="00033D0F">
        <w:rPr>
          <w:position w:val="1"/>
        </w:rPr>
        <w:t>Indeed,</w:t>
      </w:r>
      <w:r w:rsidR="00033D0F">
        <w:rPr>
          <w:spacing w:val="80"/>
          <w:w w:val="150"/>
          <w:position w:val="1"/>
        </w:rPr>
        <w:t xml:space="preserve"> </w:t>
      </w:r>
      <w:r w:rsidR="00033D0F">
        <w:rPr>
          <w:position w:val="1"/>
        </w:rPr>
        <w:t>contrary</w:t>
      </w:r>
      <w:r w:rsidR="00033D0F">
        <w:rPr>
          <w:spacing w:val="80"/>
          <w:w w:val="150"/>
          <w:position w:val="1"/>
        </w:rPr>
        <w:t xml:space="preserve"> </w:t>
      </w:r>
      <w:r w:rsidR="00033D0F">
        <w:rPr>
          <w:position w:val="1"/>
        </w:rPr>
        <w:t>to</w:t>
      </w:r>
      <w:r w:rsidR="00033D0F">
        <w:rPr>
          <w:spacing w:val="80"/>
          <w:w w:val="150"/>
          <w:position w:val="1"/>
        </w:rPr>
        <w:t xml:space="preserve"> </w:t>
      </w:r>
      <w:r w:rsidR="00033D0F">
        <w:rPr>
          <w:position w:val="1"/>
        </w:rPr>
        <w:t>MOFCOM's</w:t>
      </w:r>
      <w:r w:rsidR="00033D0F">
        <w:rPr>
          <w:spacing w:val="80"/>
          <w:w w:val="150"/>
          <w:position w:val="1"/>
        </w:rPr>
        <w:t xml:space="preserve"> </w:t>
      </w:r>
      <w:r w:rsidR="00033D0F">
        <w:rPr>
          <w:position w:val="1"/>
        </w:rPr>
        <w:t>ultimate</w:t>
      </w:r>
      <w:r w:rsidR="00033D0F">
        <w:rPr>
          <w:spacing w:val="80"/>
          <w:w w:val="150"/>
          <w:position w:val="1"/>
        </w:rPr>
        <w:t xml:space="preserve"> </w:t>
      </w:r>
      <w:r w:rsidR="00033D0F">
        <w:rPr>
          <w:position w:val="1"/>
        </w:rPr>
        <w:t>findings,</w:t>
      </w:r>
    </w:p>
    <w:p w14:paraId="0105963B" w14:textId="6E170D52" w:rsidR="00BD462C" w:rsidRDefault="00D70C7D">
      <w:pPr>
        <w:pStyle w:val="BodyText"/>
        <w:spacing w:before="145" w:line="357" w:lineRule="auto"/>
        <w:ind w:left="136" w:right="912" w:firstLine="5798"/>
      </w:pPr>
      <w:r>
        <w:rPr>
          <w:noProof/>
        </w:rPr>
        <mc:AlternateContent>
          <mc:Choice Requires="wps">
            <w:drawing>
              <wp:anchor distT="0" distB="0" distL="114300" distR="114300" simplePos="0" relativeHeight="15914496" behindDoc="0" locked="0" layoutInCell="1" allowOverlap="1" wp14:anchorId="224D8EE8" wp14:editId="00E1B68F">
                <wp:simplePos x="0" y="0"/>
                <wp:positionH relativeFrom="page">
                  <wp:posOffset>899160</wp:posOffset>
                </wp:positionH>
                <wp:positionV relativeFrom="paragraph">
                  <wp:posOffset>90805</wp:posOffset>
                </wp:positionV>
                <wp:extent cx="3651250" cy="186055"/>
                <wp:effectExtent l="0" t="0" r="0" b="0"/>
                <wp:wrapNone/>
                <wp:docPr id="616" name="docshape4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125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9E3202" id="docshape411" o:spid="_x0000_s1026" alt="&quot;&quot;" style="position:absolute;margin-left:70.8pt;margin-top:7.15pt;width:287.5pt;height:14.65pt;z-index:1591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" fillcolor="black" stroked="f">
                <w10:wrap anchorx="page"/>
              </v:rect>
            </w:pict>
          </mc:Fallback>
        </mc:AlternateContent>
      </w:r>
      <w:r w:rsidR="00033D0F">
        <w:t>does</w:t>
      </w:r>
      <w:r w:rsidR="00033D0F">
        <w:rPr>
          <w:spacing w:val="-10"/>
        </w:rPr>
        <w:t xml:space="preserve"> </w:t>
      </w:r>
      <w:r w:rsidR="00033D0F">
        <w:t>not</w:t>
      </w:r>
      <w:r w:rsidR="00033D0F">
        <w:rPr>
          <w:spacing w:val="-11"/>
        </w:rPr>
        <w:t xml:space="preserve"> </w:t>
      </w:r>
      <w:r w:rsidR="00033D0F">
        <w:t>provide</w:t>
      </w:r>
      <w:r w:rsidR="00033D0F">
        <w:rPr>
          <w:spacing w:val="-11"/>
        </w:rPr>
        <w:t xml:space="preserve"> </w:t>
      </w:r>
      <w:r w:rsidR="00033D0F">
        <w:t>a</w:t>
      </w:r>
      <w:r w:rsidR="00033D0F">
        <w:rPr>
          <w:spacing w:val="-12"/>
        </w:rPr>
        <w:t xml:space="preserve"> </w:t>
      </w:r>
      <w:r w:rsidR="00033D0F">
        <w:t>basis</w:t>
      </w:r>
      <w:r w:rsidR="00033D0F">
        <w:rPr>
          <w:spacing w:val="-10"/>
        </w:rPr>
        <w:t xml:space="preserve"> </w:t>
      </w:r>
      <w:r w:rsidR="00033D0F">
        <w:t>on</w:t>
      </w:r>
      <w:r w:rsidR="00033D0F">
        <w:rPr>
          <w:spacing w:val="-13"/>
        </w:rPr>
        <w:t xml:space="preserve"> </w:t>
      </w:r>
      <w:r w:rsidR="00033D0F">
        <w:t>which to</w:t>
      </w:r>
      <w:r w:rsidR="00033D0F">
        <w:rPr>
          <w:spacing w:val="8"/>
        </w:rPr>
        <w:t xml:space="preserve"> </w:t>
      </w:r>
      <w:r w:rsidR="00033D0F">
        <w:t>conclude</w:t>
      </w:r>
      <w:r w:rsidR="00033D0F">
        <w:rPr>
          <w:spacing w:val="11"/>
        </w:rPr>
        <w:t xml:space="preserve"> </w:t>
      </w:r>
      <w:r w:rsidR="00033D0F">
        <w:t>that</w:t>
      </w:r>
      <w:r w:rsidR="00033D0F">
        <w:rPr>
          <w:spacing w:val="12"/>
        </w:rPr>
        <w:t xml:space="preserve"> </w:t>
      </w:r>
      <w:r w:rsidR="00033D0F">
        <w:t>the</w:t>
      </w:r>
      <w:r w:rsidR="00033D0F">
        <w:rPr>
          <w:spacing w:val="16"/>
        </w:rPr>
        <w:t xml:space="preserve"> </w:t>
      </w:r>
      <w:r w:rsidR="00033D0F">
        <w:t>products</w:t>
      </w:r>
      <w:r w:rsidR="00033D0F">
        <w:rPr>
          <w:spacing w:val="13"/>
        </w:rPr>
        <w:t xml:space="preserve"> </w:t>
      </w:r>
      <w:r w:rsidR="00033D0F">
        <w:t>were</w:t>
      </w:r>
      <w:r w:rsidR="00033D0F">
        <w:rPr>
          <w:spacing w:val="10"/>
        </w:rPr>
        <w:t xml:space="preserve"> </w:t>
      </w:r>
      <w:r w:rsidR="00033D0F">
        <w:t>sufficiently</w:t>
      </w:r>
      <w:r w:rsidR="00033D0F">
        <w:rPr>
          <w:spacing w:val="12"/>
        </w:rPr>
        <w:t xml:space="preserve"> </w:t>
      </w:r>
      <w:r w:rsidR="00033D0F">
        <w:t>similar</w:t>
      </w:r>
      <w:r w:rsidR="00033D0F">
        <w:rPr>
          <w:spacing w:val="8"/>
        </w:rPr>
        <w:t xml:space="preserve"> </w:t>
      </w:r>
      <w:r w:rsidR="00033D0F">
        <w:t>such</w:t>
      </w:r>
      <w:r w:rsidR="00033D0F">
        <w:rPr>
          <w:spacing w:val="9"/>
        </w:rPr>
        <w:t xml:space="preserve"> </w:t>
      </w:r>
      <w:r w:rsidR="00033D0F">
        <w:t>that</w:t>
      </w:r>
      <w:r w:rsidR="00033D0F">
        <w:rPr>
          <w:spacing w:val="12"/>
        </w:rPr>
        <w:t xml:space="preserve"> </w:t>
      </w:r>
      <w:r w:rsidR="00033D0F">
        <w:t>annual</w:t>
      </w:r>
      <w:r w:rsidR="00033D0F">
        <w:rPr>
          <w:spacing w:val="13"/>
        </w:rPr>
        <w:t xml:space="preserve"> </w:t>
      </w:r>
      <w:r w:rsidR="00033D0F">
        <w:t>average</w:t>
      </w:r>
      <w:r w:rsidR="00033D0F">
        <w:rPr>
          <w:spacing w:val="11"/>
        </w:rPr>
        <w:t xml:space="preserve"> </w:t>
      </w:r>
      <w:r w:rsidR="00033D0F">
        <w:t>unit</w:t>
      </w:r>
      <w:r w:rsidR="00033D0F">
        <w:rPr>
          <w:spacing w:val="12"/>
        </w:rPr>
        <w:t xml:space="preserve"> </w:t>
      </w:r>
      <w:r w:rsidR="00033D0F">
        <w:rPr>
          <w:spacing w:val="-2"/>
        </w:rPr>
        <w:t>values</w:t>
      </w:r>
    </w:p>
    <w:p w14:paraId="4E60FE1E" w14:textId="668E8F89" w:rsidR="00BD462C" w:rsidRDefault="006E6DEA">
      <w:pPr>
        <w:pStyle w:val="BodyText"/>
        <w:rPr>
          <w:sz w:val="20"/>
        </w:rPr>
      </w:pPr>
      <w:r>
        <w:rPr>
          <w:noProof/>
        </w:rPr>
        <mc:AlternateContent>
          <mc:Choice Requires="wps">
            <w:drawing>
              <wp:anchor distT="0" distB="0" distL="0" distR="0" simplePos="0" relativeHeight="488147456" behindDoc="1" locked="0" layoutInCell="1" allowOverlap="1" wp14:anchorId="75F66723" wp14:editId="5BC6D42D">
                <wp:simplePos x="0" y="0"/>
                <wp:positionH relativeFrom="page">
                  <wp:posOffset>812800</wp:posOffset>
                </wp:positionH>
                <wp:positionV relativeFrom="paragraph">
                  <wp:posOffset>361315</wp:posOffset>
                </wp:positionV>
                <wp:extent cx="1828800" cy="8890"/>
                <wp:effectExtent l="0" t="0" r="0" b="0"/>
                <wp:wrapTopAndBottom/>
                <wp:docPr id="121" name="docshape7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44EF4D" id="docshape705" o:spid="_x0000_s1026" alt="&quot;&quot;" style="position:absolute;margin-left:64pt;margin-top:28.45pt;width:2in;height:.7pt;z-index:-1516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" fillcolor="black" stroked="f">
                <w10:wrap type="topAndBottom" anchorx="page"/>
              </v:rect>
            </w:pict>
          </mc:Fallback>
        </mc:AlternateContent>
      </w:r>
    </w:p>
    <w:p w14:paraId="7A01B6F0" w14:textId="2F5EE547" w:rsidR="00BD462C" w:rsidRDefault="00BD462C">
      <w:pPr>
        <w:pStyle w:val="BodyText"/>
        <w:spacing w:before="3"/>
        <w:rPr>
          <w:sz w:val="26"/>
        </w:rPr>
      </w:pPr>
      <w:bookmarkStart w:id="908" w:name="_bookmark780"/>
      <w:bookmarkEnd w:id="908"/>
    </w:p>
    <w:p w14:paraId="2ED40C06" w14:textId="77777777" w:rsidR="00BD462C" w:rsidRDefault="00033D0F">
      <w:pPr>
        <w:spacing w:before="112"/>
        <w:ind w:left="136" w:right="911" w:hanging="1"/>
        <w:jc w:val="both"/>
        <w:rPr>
          <w:sz w:val="18"/>
        </w:rPr>
      </w:pPr>
      <w:r>
        <w:rPr>
          <w:position w:val="5"/>
          <w:sz w:val="12"/>
        </w:rPr>
        <w:t>658</w:t>
      </w:r>
      <w:r>
        <w:rPr>
          <w:spacing w:val="10"/>
          <w:position w:val="5"/>
          <w:sz w:val="12"/>
        </w:rPr>
        <w:t xml:space="preserve"> </w:t>
      </w:r>
      <w:r>
        <w:rPr>
          <w:sz w:val="18"/>
        </w:rPr>
        <w:t>In</w:t>
      </w:r>
      <w:r>
        <w:rPr>
          <w:spacing w:val="-9"/>
          <w:sz w:val="18"/>
        </w:rPr>
        <w:t xml:space="preserve"> </w:t>
      </w:r>
      <w:r>
        <w:rPr>
          <w:sz w:val="18"/>
        </w:rPr>
        <w:t>this</w:t>
      </w:r>
      <w:r>
        <w:rPr>
          <w:spacing w:val="-3"/>
          <w:sz w:val="18"/>
        </w:rPr>
        <w:t xml:space="preserve"> </w:t>
      </w:r>
      <w:r>
        <w:rPr>
          <w:sz w:val="18"/>
        </w:rPr>
        <w:t>respect,</w:t>
      </w:r>
      <w:r>
        <w:rPr>
          <w:spacing w:val="-6"/>
          <w:sz w:val="18"/>
        </w:rPr>
        <w:t xml:space="preserve"> </w:t>
      </w:r>
      <w:r>
        <w:rPr>
          <w:sz w:val="18"/>
        </w:rPr>
        <w:t>Australia</w:t>
      </w:r>
      <w:r>
        <w:rPr>
          <w:spacing w:val="-10"/>
          <w:sz w:val="18"/>
        </w:rPr>
        <w:t xml:space="preserve"> </w:t>
      </w:r>
      <w:r>
        <w:rPr>
          <w:sz w:val="18"/>
        </w:rPr>
        <w:t>notes</w:t>
      </w:r>
      <w:r>
        <w:rPr>
          <w:spacing w:val="-8"/>
          <w:sz w:val="18"/>
        </w:rPr>
        <w:t xml:space="preserve"> </w:t>
      </w:r>
      <w:r>
        <w:rPr>
          <w:sz w:val="18"/>
        </w:rPr>
        <w:t>that</w:t>
      </w:r>
      <w:r>
        <w:rPr>
          <w:spacing w:val="-7"/>
          <w:sz w:val="18"/>
        </w:rPr>
        <w:t xml:space="preserve"> </w:t>
      </w:r>
      <w:r>
        <w:rPr>
          <w:sz w:val="18"/>
        </w:rPr>
        <w:t>despite</w:t>
      </w:r>
      <w:r>
        <w:rPr>
          <w:spacing w:val="-8"/>
          <w:sz w:val="18"/>
        </w:rPr>
        <w:t xml:space="preserve"> </w:t>
      </w:r>
      <w:r>
        <w:rPr>
          <w:sz w:val="18"/>
        </w:rPr>
        <w:t>a</w:t>
      </w:r>
      <w:r>
        <w:rPr>
          <w:spacing w:val="-5"/>
          <w:sz w:val="18"/>
        </w:rPr>
        <w:t xml:space="preserve"> </w:t>
      </w:r>
      <w:r>
        <w:rPr>
          <w:sz w:val="18"/>
        </w:rPr>
        <w:t>request</w:t>
      </w:r>
      <w:r>
        <w:rPr>
          <w:spacing w:val="-11"/>
          <w:sz w:val="18"/>
        </w:rPr>
        <w:t xml:space="preserve"> </w:t>
      </w:r>
      <w:r>
        <w:rPr>
          <w:sz w:val="18"/>
        </w:rPr>
        <w:t>from</w:t>
      </w:r>
      <w:r>
        <w:rPr>
          <w:spacing w:val="-9"/>
          <w:sz w:val="18"/>
        </w:rPr>
        <w:t xml:space="preserve"> </w:t>
      </w:r>
      <w:r>
        <w:rPr>
          <w:sz w:val="18"/>
        </w:rPr>
        <w:t>the</w:t>
      </w:r>
      <w:r>
        <w:rPr>
          <w:spacing w:val="-8"/>
          <w:sz w:val="18"/>
        </w:rPr>
        <w:t xml:space="preserve"> </w:t>
      </w:r>
      <w:r>
        <w:rPr>
          <w:sz w:val="18"/>
        </w:rPr>
        <w:t>Panel,</w:t>
      </w:r>
      <w:r>
        <w:rPr>
          <w:spacing w:val="-6"/>
          <w:sz w:val="18"/>
        </w:rPr>
        <w:t xml:space="preserve"> </w:t>
      </w:r>
      <w:r>
        <w:rPr>
          <w:sz w:val="18"/>
        </w:rPr>
        <w:t>China</w:t>
      </w:r>
      <w:r>
        <w:rPr>
          <w:spacing w:val="-10"/>
          <w:sz w:val="18"/>
        </w:rPr>
        <w:t xml:space="preserve"> </w:t>
      </w:r>
      <w:r>
        <w:rPr>
          <w:sz w:val="18"/>
        </w:rPr>
        <w:t>has</w:t>
      </w:r>
      <w:r>
        <w:rPr>
          <w:spacing w:val="-8"/>
          <w:sz w:val="18"/>
        </w:rPr>
        <w:t xml:space="preserve"> </w:t>
      </w:r>
      <w:r>
        <w:rPr>
          <w:sz w:val="18"/>
        </w:rPr>
        <w:t>not</w:t>
      </w:r>
      <w:r>
        <w:rPr>
          <w:spacing w:val="-7"/>
          <w:sz w:val="18"/>
        </w:rPr>
        <w:t xml:space="preserve"> </w:t>
      </w:r>
      <w:r>
        <w:rPr>
          <w:sz w:val="18"/>
        </w:rPr>
        <w:t>produced</w:t>
      </w:r>
      <w:r>
        <w:rPr>
          <w:spacing w:val="-9"/>
          <w:sz w:val="18"/>
        </w:rPr>
        <w:t xml:space="preserve"> </w:t>
      </w:r>
      <w:r>
        <w:rPr>
          <w:sz w:val="18"/>
        </w:rPr>
        <w:t>the</w:t>
      </w:r>
      <w:r>
        <w:rPr>
          <w:spacing w:val="-8"/>
          <w:sz w:val="18"/>
        </w:rPr>
        <w:t xml:space="preserve"> </w:t>
      </w:r>
      <w:r>
        <w:rPr>
          <w:sz w:val="18"/>
        </w:rPr>
        <w:t>"official</w:t>
      </w:r>
      <w:r>
        <w:rPr>
          <w:spacing w:val="-7"/>
          <w:sz w:val="18"/>
        </w:rPr>
        <w:t xml:space="preserve"> </w:t>
      </w:r>
      <w:r>
        <w:rPr>
          <w:sz w:val="18"/>
        </w:rPr>
        <w:t>internal</w:t>
      </w:r>
      <w:r>
        <w:rPr>
          <w:spacing w:val="-2"/>
          <w:sz w:val="18"/>
        </w:rPr>
        <w:t xml:space="preserve"> </w:t>
      </w:r>
      <w:r>
        <w:rPr>
          <w:sz w:val="18"/>
        </w:rPr>
        <w:t xml:space="preserve">record". The analysis described by China in response to Panel question no. 27, self-evidently was not reflected on the investigation record, rather it reflects entirely </w:t>
      </w:r>
      <w:r>
        <w:rPr>
          <w:i/>
          <w:sz w:val="18"/>
        </w:rPr>
        <w:t xml:space="preserve">es-post facto </w:t>
      </w:r>
      <w:r>
        <w:rPr>
          <w:sz w:val="18"/>
        </w:rPr>
        <w:t>reasoning.</w:t>
      </w:r>
    </w:p>
    <w:p w14:paraId="17DE1F51" w14:textId="77777777" w:rsidR="00BD462C" w:rsidRDefault="00033D0F">
      <w:pPr>
        <w:spacing w:before="3" w:line="218" w:lineRule="exact"/>
        <w:ind w:left="135"/>
        <w:jc w:val="both"/>
        <w:rPr>
          <w:sz w:val="18"/>
        </w:rPr>
      </w:pPr>
      <w:bookmarkStart w:id="909" w:name="_bookmark781"/>
      <w:bookmarkEnd w:id="909"/>
      <w:r>
        <w:rPr>
          <w:position w:val="5"/>
          <w:sz w:val="12"/>
        </w:rPr>
        <w:t>659</w:t>
      </w:r>
      <w:r>
        <w:rPr>
          <w:spacing w:val="14"/>
          <w:position w:val="5"/>
          <w:sz w:val="12"/>
        </w:rPr>
        <w:t xml:space="preserve"> </w:t>
      </w:r>
      <w:r>
        <w:rPr>
          <w:sz w:val="18"/>
        </w:rPr>
        <w:t>China</w:t>
      </w:r>
      <w:r>
        <w:rPr>
          <w:spacing w:val="-7"/>
          <w:sz w:val="18"/>
        </w:rPr>
        <w:t xml:space="preserve"> </w:t>
      </w:r>
      <w:r>
        <w:rPr>
          <w:sz w:val="18"/>
        </w:rPr>
        <w:t>first</w:t>
      </w:r>
      <w:r>
        <w:rPr>
          <w:spacing w:val="1"/>
          <w:sz w:val="18"/>
        </w:rPr>
        <w:t xml:space="preserve"> </w:t>
      </w:r>
      <w:r>
        <w:rPr>
          <w:sz w:val="18"/>
        </w:rPr>
        <w:t>written</w:t>
      </w:r>
      <w:r>
        <w:rPr>
          <w:spacing w:val="-6"/>
          <w:sz w:val="18"/>
        </w:rPr>
        <w:t xml:space="preserve"> </w:t>
      </w:r>
      <w:r>
        <w:rPr>
          <w:sz w:val="18"/>
        </w:rPr>
        <w:t>submission,</w:t>
      </w:r>
      <w:r>
        <w:rPr>
          <w:spacing w:val="-2"/>
          <w:sz w:val="18"/>
        </w:rPr>
        <w:t xml:space="preserve"> </w:t>
      </w:r>
      <w:r>
        <w:rPr>
          <w:sz w:val="18"/>
        </w:rPr>
        <w:t>paras.</w:t>
      </w:r>
      <w:r>
        <w:rPr>
          <w:spacing w:val="-4"/>
          <w:sz w:val="18"/>
        </w:rPr>
        <w:t xml:space="preserve"> </w:t>
      </w:r>
      <w:r>
        <w:rPr>
          <w:sz w:val="18"/>
        </w:rPr>
        <w:t>1132-1143;</w:t>
      </w:r>
      <w:r>
        <w:rPr>
          <w:spacing w:val="-6"/>
          <w:sz w:val="18"/>
        </w:rPr>
        <w:t xml:space="preserve"> </w:t>
      </w:r>
      <w:r>
        <w:rPr>
          <w:sz w:val="18"/>
        </w:rPr>
        <w:t>response</w:t>
      </w:r>
      <w:r>
        <w:rPr>
          <w:spacing w:val="-5"/>
          <w:sz w:val="18"/>
        </w:rPr>
        <w:t xml:space="preserve"> </w:t>
      </w:r>
      <w:r>
        <w:rPr>
          <w:sz w:val="18"/>
        </w:rPr>
        <w:t>to</w:t>
      </w:r>
      <w:r>
        <w:rPr>
          <w:spacing w:val="-5"/>
          <w:sz w:val="18"/>
        </w:rPr>
        <w:t xml:space="preserve"> </w:t>
      </w:r>
      <w:r>
        <w:rPr>
          <w:sz w:val="18"/>
        </w:rPr>
        <w:t>Panel</w:t>
      </w:r>
      <w:r>
        <w:rPr>
          <w:spacing w:val="-4"/>
          <w:sz w:val="18"/>
        </w:rPr>
        <w:t xml:space="preserve"> </w:t>
      </w:r>
      <w:r>
        <w:rPr>
          <w:sz w:val="18"/>
        </w:rPr>
        <w:t>question</w:t>
      </w:r>
      <w:r>
        <w:rPr>
          <w:spacing w:val="-5"/>
          <w:sz w:val="18"/>
        </w:rPr>
        <w:t xml:space="preserve"> </w:t>
      </w:r>
      <w:r>
        <w:rPr>
          <w:sz w:val="18"/>
        </w:rPr>
        <w:t>no.</w:t>
      </w:r>
      <w:r>
        <w:rPr>
          <w:spacing w:val="-4"/>
          <w:sz w:val="18"/>
        </w:rPr>
        <w:t xml:space="preserve"> </w:t>
      </w:r>
      <w:r>
        <w:rPr>
          <w:spacing w:val="-5"/>
          <w:sz w:val="18"/>
        </w:rPr>
        <w:t>27.</w:t>
      </w:r>
    </w:p>
    <w:p w14:paraId="3F6437CC" w14:textId="77777777" w:rsidR="00BD462C" w:rsidRDefault="00033D0F">
      <w:pPr>
        <w:spacing w:line="218" w:lineRule="exact"/>
        <w:ind w:left="135"/>
        <w:jc w:val="both"/>
        <w:rPr>
          <w:sz w:val="18"/>
        </w:rPr>
      </w:pPr>
      <w:bookmarkStart w:id="910" w:name="_bookmark782"/>
      <w:bookmarkEnd w:id="910"/>
      <w:r>
        <w:rPr>
          <w:position w:val="5"/>
          <w:sz w:val="12"/>
        </w:rPr>
        <w:t>660</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 xml:space="preserve">submission, para. </w:t>
      </w:r>
      <w:r>
        <w:rPr>
          <w:spacing w:val="-2"/>
          <w:sz w:val="18"/>
        </w:rPr>
        <w:t>1138.</w:t>
      </w:r>
    </w:p>
    <w:p w14:paraId="02BD70FE" w14:textId="77777777" w:rsidR="00BD462C" w:rsidRDefault="00033D0F">
      <w:pPr>
        <w:spacing w:before="1"/>
        <w:ind w:left="136" w:right="909" w:hanging="1"/>
        <w:jc w:val="both"/>
        <w:rPr>
          <w:sz w:val="18"/>
        </w:rPr>
      </w:pPr>
      <w:bookmarkStart w:id="911" w:name="_bookmark783"/>
      <w:bookmarkEnd w:id="911"/>
      <w:r>
        <w:rPr>
          <w:position w:val="5"/>
          <w:sz w:val="12"/>
        </w:rPr>
        <w:t>661</w:t>
      </w:r>
      <w:r>
        <w:rPr>
          <w:spacing w:val="16"/>
          <w:position w:val="5"/>
          <w:sz w:val="12"/>
        </w:rPr>
        <w:t xml:space="preserve"> </w:t>
      </w:r>
      <w:r>
        <w:rPr>
          <w:sz w:val="18"/>
        </w:rPr>
        <w:t>China's</w:t>
      </w:r>
      <w:r>
        <w:rPr>
          <w:spacing w:val="-3"/>
          <w:sz w:val="18"/>
        </w:rPr>
        <w:t xml:space="preserve"> </w:t>
      </w:r>
      <w:r>
        <w:rPr>
          <w:sz w:val="18"/>
        </w:rPr>
        <w:t>first</w:t>
      </w:r>
      <w:r>
        <w:rPr>
          <w:spacing w:val="-7"/>
          <w:sz w:val="18"/>
        </w:rPr>
        <w:t xml:space="preserve"> </w:t>
      </w:r>
      <w:r>
        <w:rPr>
          <w:sz w:val="18"/>
        </w:rPr>
        <w:t>written</w:t>
      </w:r>
      <w:r>
        <w:rPr>
          <w:spacing w:val="-8"/>
          <w:sz w:val="18"/>
        </w:rPr>
        <w:t xml:space="preserve"> </w:t>
      </w:r>
      <w:r>
        <w:rPr>
          <w:sz w:val="18"/>
        </w:rPr>
        <w:t>submission,</w:t>
      </w:r>
      <w:r>
        <w:rPr>
          <w:spacing w:val="-1"/>
          <w:sz w:val="18"/>
        </w:rPr>
        <w:t xml:space="preserve"> </w:t>
      </w:r>
      <w:r>
        <w:rPr>
          <w:sz w:val="18"/>
        </w:rPr>
        <w:t>paras.</w:t>
      </w:r>
      <w:r>
        <w:rPr>
          <w:spacing w:val="-2"/>
          <w:sz w:val="18"/>
        </w:rPr>
        <w:t xml:space="preserve"> </w:t>
      </w:r>
      <w:r>
        <w:rPr>
          <w:sz w:val="18"/>
        </w:rPr>
        <w:t>1132-1143;</w:t>
      </w:r>
      <w:r>
        <w:rPr>
          <w:spacing w:val="-5"/>
          <w:sz w:val="18"/>
        </w:rPr>
        <w:t xml:space="preserve"> </w:t>
      </w:r>
      <w:r>
        <w:rPr>
          <w:sz w:val="18"/>
        </w:rPr>
        <w:t>China's</w:t>
      </w:r>
      <w:r>
        <w:rPr>
          <w:spacing w:val="-3"/>
          <w:sz w:val="18"/>
        </w:rPr>
        <w:t xml:space="preserve"> </w:t>
      </w:r>
      <w:r>
        <w:rPr>
          <w:sz w:val="18"/>
        </w:rPr>
        <w:t>response</w:t>
      </w:r>
      <w:r>
        <w:rPr>
          <w:spacing w:val="-3"/>
          <w:sz w:val="18"/>
        </w:rPr>
        <w:t xml:space="preserve"> </w:t>
      </w:r>
      <w:r>
        <w:rPr>
          <w:sz w:val="18"/>
        </w:rPr>
        <w:t>to</w:t>
      </w:r>
      <w:r>
        <w:rPr>
          <w:spacing w:val="-4"/>
          <w:sz w:val="18"/>
        </w:rPr>
        <w:t xml:space="preserve"> </w:t>
      </w:r>
      <w:r>
        <w:rPr>
          <w:sz w:val="18"/>
        </w:rPr>
        <w:t>Panel</w:t>
      </w:r>
      <w:r>
        <w:rPr>
          <w:spacing w:val="-7"/>
          <w:sz w:val="18"/>
        </w:rPr>
        <w:t xml:space="preserve"> </w:t>
      </w:r>
      <w:r>
        <w:rPr>
          <w:sz w:val="18"/>
        </w:rPr>
        <w:t>question</w:t>
      </w:r>
      <w:r>
        <w:rPr>
          <w:spacing w:val="-4"/>
          <w:sz w:val="18"/>
        </w:rPr>
        <w:t xml:space="preserve"> </w:t>
      </w:r>
      <w:r>
        <w:rPr>
          <w:sz w:val="18"/>
        </w:rPr>
        <w:t>no.</w:t>
      </w:r>
      <w:r>
        <w:rPr>
          <w:spacing w:val="-2"/>
          <w:sz w:val="18"/>
        </w:rPr>
        <w:t xml:space="preserve"> </w:t>
      </w:r>
      <w:r>
        <w:rPr>
          <w:sz w:val="18"/>
        </w:rPr>
        <w:t>27.</w:t>
      </w:r>
      <w:r>
        <w:rPr>
          <w:spacing w:val="-2"/>
          <w:sz w:val="18"/>
        </w:rPr>
        <w:t xml:space="preserve"> </w:t>
      </w:r>
      <w:r>
        <w:rPr>
          <w:sz w:val="18"/>
        </w:rPr>
        <w:t>Australia</w:t>
      </w:r>
      <w:r>
        <w:rPr>
          <w:spacing w:val="-5"/>
          <w:sz w:val="18"/>
        </w:rPr>
        <w:t xml:space="preserve"> </w:t>
      </w:r>
      <w:r>
        <w:rPr>
          <w:sz w:val="18"/>
        </w:rPr>
        <w:t>notes</w:t>
      </w:r>
      <w:r>
        <w:rPr>
          <w:spacing w:val="-3"/>
          <w:sz w:val="18"/>
        </w:rPr>
        <w:t xml:space="preserve"> </w:t>
      </w:r>
      <w:r>
        <w:rPr>
          <w:sz w:val="18"/>
        </w:rPr>
        <w:t>that</w:t>
      </w:r>
      <w:r>
        <w:rPr>
          <w:spacing w:val="-2"/>
          <w:sz w:val="18"/>
        </w:rPr>
        <w:t xml:space="preserve"> </w:t>
      </w:r>
      <w:r>
        <w:rPr>
          <w:sz w:val="18"/>
        </w:rPr>
        <w:t>China's response to question 27 relies heavily on evidence that China has not provided to the panel, on the basis of domestic confidentiality obligations.</w:t>
      </w:r>
    </w:p>
    <w:p w14:paraId="38A4789F" w14:textId="77777777" w:rsidR="00BD462C" w:rsidRDefault="00033D0F">
      <w:pPr>
        <w:spacing w:line="218" w:lineRule="exact"/>
        <w:ind w:left="135"/>
        <w:jc w:val="both"/>
        <w:rPr>
          <w:sz w:val="18"/>
        </w:rPr>
      </w:pPr>
      <w:bookmarkStart w:id="912" w:name="_bookmark784"/>
      <w:bookmarkEnd w:id="912"/>
      <w:r>
        <w:rPr>
          <w:position w:val="5"/>
          <w:sz w:val="12"/>
        </w:rPr>
        <w:t>662</w:t>
      </w:r>
      <w:r>
        <w:rPr>
          <w:spacing w:val="11"/>
          <w:position w:val="5"/>
          <w:sz w:val="12"/>
        </w:rPr>
        <w:t xml:space="preserve"> </w:t>
      </w:r>
      <w:r>
        <w:rPr>
          <w:sz w:val="18"/>
        </w:rPr>
        <w:t>China's</w:t>
      </w:r>
      <w:r>
        <w:rPr>
          <w:spacing w:val="-2"/>
          <w:sz w:val="18"/>
        </w:rPr>
        <w:t xml:space="preserve"> </w:t>
      </w:r>
      <w:r>
        <w:rPr>
          <w:sz w:val="18"/>
        </w:rPr>
        <w:t>response</w:t>
      </w:r>
      <w:r>
        <w:rPr>
          <w:spacing w:val="-6"/>
          <w:sz w:val="18"/>
        </w:rPr>
        <w:t xml:space="preserve"> </w:t>
      </w:r>
      <w:r>
        <w:rPr>
          <w:sz w:val="18"/>
        </w:rPr>
        <w:t>to</w:t>
      </w:r>
      <w:r>
        <w:rPr>
          <w:spacing w:val="-10"/>
          <w:sz w:val="18"/>
        </w:rPr>
        <w:t xml:space="preserve"> </w:t>
      </w:r>
      <w:r>
        <w:rPr>
          <w:sz w:val="18"/>
        </w:rPr>
        <w:t>Panel</w:t>
      </w:r>
      <w:r>
        <w:rPr>
          <w:spacing w:val="-5"/>
          <w:sz w:val="18"/>
        </w:rPr>
        <w:t xml:space="preserve"> </w:t>
      </w:r>
      <w:r>
        <w:rPr>
          <w:sz w:val="18"/>
        </w:rPr>
        <w:t>question</w:t>
      </w:r>
      <w:r>
        <w:rPr>
          <w:spacing w:val="-7"/>
          <w:sz w:val="18"/>
        </w:rPr>
        <w:t xml:space="preserve"> </w:t>
      </w:r>
      <w:r>
        <w:rPr>
          <w:sz w:val="18"/>
        </w:rPr>
        <w:t>no.</w:t>
      </w:r>
      <w:r>
        <w:rPr>
          <w:spacing w:val="-5"/>
          <w:sz w:val="18"/>
        </w:rPr>
        <w:t xml:space="preserve"> </w:t>
      </w:r>
      <w:r>
        <w:rPr>
          <w:sz w:val="18"/>
        </w:rPr>
        <w:t>27,</w:t>
      </w:r>
      <w:r>
        <w:rPr>
          <w:spacing w:val="1"/>
          <w:sz w:val="18"/>
        </w:rPr>
        <w:t xml:space="preserve"> </w:t>
      </w:r>
      <w:r>
        <w:rPr>
          <w:sz w:val="18"/>
        </w:rPr>
        <w:t>paras.</w:t>
      </w:r>
      <w:r>
        <w:rPr>
          <w:spacing w:val="-6"/>
          <w:sz w:val="18"/>
        </w:rPr>
        <w:t xml:space="preserve"> </w:t>
      </w:r>
      <w:r>
        <w:rPr>
          <w:sz w:val="18"/>
        </w:rPr>
        <w:t>134-138,</w:t>
      </w:r>
      <w:r>
        <w:rPr>
          <w:spacing w:val="-4"/>
          <w:sz w:val="18"/>
        </w:rPr>
        <w:t xml:space="preserve"> </w:t>
      </w:r>
      <w:r>
        <w:rPr>
          <w:sz w:val="18"/>
        </w:rPr>
        <w:t>141-145, 150, and</w:t>
      </w:r>
      <w:r>
        <w:rPr>
          <w:spacing w:val="-2"/>
          <w:sz w:val="18"/>
        </w:rPr>
        <w:t xml:space="preserve"> </w:t>
      </w:r>
      <w:r>
        <w:rPr>
          <w:sz w:val="18"/>
        </w:rPr>
        <w:t>151-</w:t>
      </w:r>
      <w:r>
        <w:rPr>
          <w:spacing w:val="-4"/>
          <w:sz w:val="18"/>
        </w:rPr>
        <w:t>152.</w:t>
      </w:r>
    </w:p>
    <w:p w14:paraId="18B43605" w14:textId="77777777" w:rsidR="00BD462C" w:rsidRDefault="00033D0F">
      <w:pPr>
        <w:spacing w:before="1"/>
        <w:ind w:left="135"/>
        <w:jc w:val="both"/>
        <w:rPr>
          <w:sz w:val="18"/>
        </w:rPr>
      </w:pPr>
      <w:bookmarkStart w:id="913" w:name="_bookmark785"/>
      <w:bookmarkEnd w:id="913"/>
      <w:r>
        <w:rPr>
          <w:position w:val="5"/>
          <w:sz w:val="12"/>
        </w:rPr>
        <w:t>663</w:t>
      </w:r>
      <w:r>
        <w:rPr>
          <w:spacing w:val="14"/>
          <w:position w:val="5"/>
          <w:sz w:val="12"/>
        </w:rPr>
        <w:t xml:space="preserve"> </w:t>
      </w:r>
      <w:r>
        <w:rPr>
          <w:sz w:val="18"/>
        </w:rPr>
        <w:t>China's response</w:t>
      </w:r>
      <w:r>
        <w:rPr>
          <w:spacing w:val="-4"/>
          <w:sz w:val="18"/>
        </w:rPr>
        <w:t xml:space="preserve"> </w:t>
      </w:r>
      <w:r>
        <w:rPr>
          <w:sz w:val="18"/>
        </w:rPr>
        <w:t>to</w:t>
      </w:r>
      <w:r>
        <w:rPr>
          <w:spacing w:val="-10"/>
          <w:sz w:val="18"/>
        </w:rPr>
        <w:t xml:space="preserve"> </w:t>
      </w:r>
      <w:r>
        <w:rPr>
          <w:sz w:val="18"/>
        </w:rPr>
        <w:t>Panel</w:t>
      </w:r>
      <w:r>
        <w:rPr>
          <w:spacing w:val="-3"/>
          <w:sz w:val="18"/>
        </w:rPr>
        <w:t xml:space="preserve"> </w:t>
      </w:r>
      <w:r>
        <w:rPr>
          <w:sz w:val="18"/>
        </w:rPr>
        <w:t>question</w:t>
      </w:r>
      <w:r>
        <w:rPr>
          <w:spacing w:val="-5"/>
          <w:sz w:val="18"/>
        </w:rPr>
        <w:t xml:space="preserve"> </w:t>
      </w:r>
      <w:r>
        <w:rPr>
          <w:sz w:val="18"/>
        </w:rPr>
        <w:t>no.</w:t>
      </w:r>
      <w:r>
        <w:rPr>
          <w:spacing w:val="-3"/>
          <w:sz w:val="18"/>
        </w:rPr>
        <w:t xml:space="preserve"> </w:t>
      </w:r>
      <w:r>
        <w:rPr>
          <w:sz w:val="18"/>
        </w:rPr>
        <w:t>27,</w:t>
      </w:r>
      <w:r>
        <w:rPr>
          <w:spacing w:val="2"/>
          <w:sz w:val="18"/>
        </w:rPr>
        <w:t xml:space="preserve"> </w:t>
      </w:r>
      <w:r>
        <w:rPr>
          <w:sz w:val="18"/>
        </w:rPr>
        <w:t>paras.</w:t>
      </w:r>
      <w:r>
        <w:rPr>
          <w:spacing w:val="-3"/>
          <w:sz w:val="18"/>
        </w:rPr>
        <w:t xml:space="preserve"> </w:t>
      </w:r>
      <w:r>
        <w:rPr>
          <w:sz w:val="18"/>
        </w:rPr>
        <w:t>139-</w:t>
      </w:r>
      <w:r>
        <w:rPr>
          <w:spacing w:val="-4"/>
          <w:sz w:val="18"/>
        </w:rPr>
        <w:t>140.</w:t>
      </w:r>
    </w:p>
    <w:p w14:paraId="54892885" w14:textId="77777777" w:rsidR="00BD462C" w:rsidRDefault="00033D0F">
      <w:pPr>
        <w:spacing w:before="1"/>
        <w:ind w:left="135" w:right="909"/>
        <w:jc w:val="both"/>
        <w:rPr>
          <w:sz w:val="18"/>
        </w:rPr>
      </w:pPr>
      <w:bookmarkStart w:id="914" w:name="_bookmark786"/>
      <w:bookmarkEnd w:id="914"/>
      <w:r>
        <w:rPr>
          <w:position w:val="5"/>
          <w:sz w:val="12"/>
        </w:rPr>
        <w:t>664</w:t>
      </w:r>
      <w:r>
        <w:rPr>
          <w:spacing w:val="22"/>
          <w:position w:val="5"/>
          <w:sz w:val="12"/>
        </w:rPr>
        <w:t xml:space="preserve"> </w:t>
      </w:r>
      <w:r>
        <w:rPr>
          <w:sz w:val="18"/>
        </w:rPr>
        <w:t>The matters raised by China in response to question 27 do not establish that MOFCOM addressed product mix issues in its</w:t>
      </w:r>
      <w:r>
        <w:rPr>
          <w:spacing w:val="-10"/>
          <w:sz w:val="18"/>
        </w:rPr>
        <w:t xml:space="preserve"> </w:t>
      </w:r>
      <w:r>
        <w:rPr>
          <w:sz w:val="18"/>
        </w:rPr>
        <w:t>price</w:t>
      </w:r>
      <w:r>
        <w:rPr>
          <w:spacing w:val="-7"/>
          <w:sz w:val="18"/>
        </w:rPr>
        <w:t xml:space="preserve"> </w:t>
      </w:r>
      <w:r>
        <w:rPr>
          <w:sz w:val="18"/>
        </w:rPr>
        <w:t>calculation</w:t>
      </w:r>
      <w:r>
        <w:rPr>
          <w:spacing w:val="-7"/>
          <w:sz w:val="18"/>
        </w:rPr>
        <w:t xml:space="preserve"> </w:t>
      </w:r>
      <w:r>
        <w:rPr>
          <w:sz w:val="18"/>
        </w:rPr>
        <w:t>methodology.</w:t>
      </w:r>
      <w:r>
        <w:rPr>
          <w:spacing w:val="-10"/>
          <w:sz w:val="18"/>
        </w:rPr>
        <w:t xml:space="preserve"> </w:t>
      </w:r>
      <w:r>
        <w:rPr>
          <w:sz w:val="18"/>
        </w:rPr>
        <w:t>Rather,</w:t>
      </w:r>
      <w:r>
        <w:rPr>
          <w:spacing w:val="-10"/>
          <w:sz w:val="18"/>
        </w:rPr>
        <w:t xml:space="preserve"> </w:t>
      </w:r>
      <w:r>
        <w:rPr>
          <w:sz w:val="18"/>
        </w:rPr>
        <w:t>they</w:t>
      </w:r>
      <w:r>
        <w:rPr>
          <w:spacing w:val="-11"/>
          <w:sz w:val="18"/>
        </w:rPr>
        <w:t xml:space="preserve"> </w:t>
      </w:r>
      <w:r>
        <w:rPr>
          <w:sz w:val="18"/>
        </w:rPr>
        <w:t>demonstrate</w:t>
      </w:r>
      <w:r>
        <w:rPr>
          <w:spacing w:val="-6"/>
          <w:sz w:val="18"/>
        </w:rPr>
        <w:t xml:space="preserve"> </w:t>
      </w:r>
      <w:r>
        <w:rPr>
          <w:sz w:val="18"/>
        </w:rPr>
        <w:t>that</w:t>
      </w:r>
      <w:r>
        <w:rPr>
          <w:spacing w:val="-11"/>
          <w:sz w:val="18"/>
        </w:rPr>
        <w:t xml:space="preserve"> </w:t>
      </w:r>
      <w:r>
        <w:rPr>
          <w:sz w:val="18"/>
        </w:rPr>
        <w:t>MOFCOM</w:t>
      </w:r>
      <w:r>
        <w:rPr>
          <w:spacing w:val="-4"/>
          <w:sz w:val="18"/>
        </w:rPr>
        <w:t xml:space="preserve"> </w:t>
      </w:r>
      <w:r>
        <w:rPr>
          <w:sz w:val="18"/>
        </w:rPr>
        <w:t>ignored</w:t>
      </w:r>
      <w:r>
        <w:rPr>
          <w:spacing w:val="-7"/>
          <w:sz w:val="18"/>
        </w:rPr>
        <w:t xml:space="preserve"> </w:t>
      </w:r>
      <w:r>
        <w:rPr>
          <w:sz w:val="18"/>
        </w:rPr>
        <w:t>the</w:t>
      </w:r>
      <w:r>
        <w:rPr>
          <w:spacing w:val="-7"/>
          <w:sz w:val="18"/>
        </w:rPr>
        <w:t xml:space="preserve"> </w:t>
      </w:r>
      <w:r>
        <w:rPr>
          <w:sz w:val="18"/>
        </w:rPr>
        <w:t>issues,</w:t>
      </w:r>
      <w:r>
        <w:rPr>
          <w:spacing w:val="-10"/>
          <w:sz w:val="18"/>
        </w:rPr>
        <w:t xml:space="preserve"> </w:t>
      </w:r>
      <w:r>
        <w:rPr>
          <w:sz w:val="18"/>
        </w:rPr>
        <w:t>despite</w:t>
      </w:r>
      <w:r>
        <w:rPr>
          <w:spacing w:val="-7"/>
          <w:sz w:val="18"/>
        </w:rPr>
        <w:t xml:space="preserve"> </w:t>
      </w:r>
      <w:r>
        <w:rPr>
          <w:sz w:val="18"/>
        </w:rPr>
        <w:t>clear</w:t>
      </w:r>
      <w:r>
        <w:rPr>
          <w:spacing w:val="-9"/>
          <w:sz w:val="18"/>
        </w:rPr>
        <w:t xml:space="preserve"> </w:t>
      </w:r>
      <w:r>
        <w:rPr>
          <w:sz w:val="18"/>
        </w:rPr>
        <w:t>evidence</w:t>
      </w:r>
      <w:r>
        <w:rPr>
          <w:spacing w:val="-7"/>
          <w:sz w:val="18"/>
        </w:rPr>
        <w:t xml:space="preserve"> </w:t>
      </w:r>
      <w:r>
        <w:rPr>
          <w:sz w:val="18"/>
        </w:rPr>
        <w:t>of</w:t>
      </w:r>
      <w:r>
        <w:rPr>
          <w:spacing w:val="-10"/>
          <w:sz w:val="18"/>
        </w:rPr>
        <w:t xml:space="preserve"> </w:t>
      </w:r>
      <w:r>
        <w:rPr>
          <w:sz w:val="18"/>
        </w:rPr>
        <w:t>their importance. See China's response to Panel question No. 27, paras. 155-164.</w:t>
      </w:r>
    </w:p>
    <w:p w14:paraId="2CE453D4" w14:textId="77777777" w:rsidR="00BD462C" w:rsidRDefault="00BD462C">
      <w:pPr>
        <w:jc w:val="both"/>
        <w:rPr>
          <w:sz w:val="18"/>
        </w:rPr>
        <w:sectPr w:rsidR="00BD462C">
          <w:pgSz w:w="11910" w:h="16840"/>
          <w:pgMar w:top="860" w:right="500" w:bottom="780" w:left="1280" w:header="566" w:footer="590" w:gutter="0"/>
          <w:cols w:space="720"/>
        </w:sectPr>
      </w:pPr>
    </w:p>
    <w:p w14:paraId="4E70B9DE"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559748EC"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27D56652"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40C3106F" w14:textId="77777777" w:rsidR="00BD462C" w:rsidRDefault="00033D0F">
      <w:pPr>
        <w:pStyle w:val="BodyText"/>
        <w:spacing w:before="102" w:line="360" w:lineRule="auto"/>
        <w:ind w:left="135" w:right="912"/>
        <w:jc w:val="both"/>
      </w:pPr>
      <w:r>
        <w:t>were</w:t>
      </w:r>
      <w:r>
        <w:rPr>
          <w:spacing w:val="-14"/>
        </w:rPr>
        <w:t xml:space="preserve"> </w:t>
      </w:r>
      <w:r>
        <w:t>comparable,</w:t>
      </w:r>
      <w:r>
        <w:rPr>
          <w:spacing w:val="-13"/>
        </w:rPr>
        <w:t xml:space="preserve"> </w:t>
      </w:r>
      <w:r>
        <w:t>without</w:t>
      </w:r>
      <w:r>
        <w:rPr>
          <w:spacing w:val="-13"/>
        </w:rPr>
        <w:t xml:space="preserve"> </w:t>
      </w:r>
      <w:r>
        <w:t>any</w:t>
      </w:r>
      <w:r>
        <w:rPr>
          <w:spacing w:val="-13"/>
        </w:rPr>
        <w:t xml:space="preserve"> </w:t>
      </w:r>
      <w:r>
        <w:t>adjustments</w:t>
      </w:r>
      <w:r>
        <w:rPr>
          <w:spacing w:val="-12"/>
        </w:rPr>
        <w:t xml:space="preserve"> </w:t>
      </w:r>
      <w:r>
        <w:t>to</w:t>
      </w:r>
      <w:r>
        <w:rPr>
          <w:spacing w:val="-14"/>
        </w:rPr>
        <w:t xml:space="preserve"> </w:t>
      </w:r>
      <w:r>
        <w:t>reflect</w:t>
      </w:r>
      <w:r>
        <w:rPr>
          <w:spacing w:val="-12"/>
        </w:rPr>
        <w:t xml:space="preserve"> </w:t>
      </w:r>
      <w:r>
        <w:t>the</w:t>
      </w:r>
      <w:r>
        <w:rPr>
          <w:spacing w:val="-14"/>
        </w:rPr>
        <w:t xml:space="preserve"> </w:t>
      </w:r>
      <w:r>
        <w:t>differences</w:t>
      </w:r>
      <w:r>
        <w:rPr>
          <w:spacing w:val="-11"/>
        </w:rPr>
        <w:t xml:space="preserve"> </w:t>
      </w:r>
      <w:r>
        <w:t>in</w:t>
      </w:r>
      <w:r>
        <w:rPr>
          <w:spacing w:val="-14"/>
        </w:rPr>
        <w:t xml:space="preserve"> </w:t>
      </w:r>
      <w:r>
        <w:t>product</w:t>
      </w:r>
      <w:r>
        <w:rPr>
          <w:spacing w:val="-12"/>
        </w:rPr>
        <w:t xml:space="preserve"> </w:t>
      </w:r>
      <w:r>
        <w:t>mix.</w:t>
      </w:r>
      <w:r>
        <w:rPr>
          <w:spacing w:val="-13"/>
        </w:rPr>
        <w:t xml:space="preserve"> </w:t>
      </w:r>
      <w:r>
        <w:t>It</w:t>
      </w:r>
      <w:r>
        <w:rPr>
          <w:spacing w:val="-13"/>
        </w:rPr>
        <w:t xml:space="preserve"> </w:t>
      </w:r>
      <w:r>
        <w:t>is</w:t>
      </w:r>
      <w:r>
        <w:rPr>
          <w:spacing w:val="-12"/>
        </w:rPr>
        <w:t xml:space="preserve"> </w:t>
      </w:r>
      <w:r>
        <w:t>quite the</w:t>
      </w:r>
      <w:r>
        <w:rPr>
          <w:spacing w:val="-14"/>
        </w:rPr>
        <w:t xml:space="preserve"> </w:t>
      </w:r>
      <w:r>
        <w:t>opposite</w:t>
      </w:r>
      <w:r>
        <w:rPr>
          <w:spacing w:val="-14"/>
        </w:rPr>
        <w:t xml:space="preserve"> </w:t>
      </w:r>
      <w:r>
        <w:t>-</w:t>
      </w:r>
      <w:r>
        <w:rPr>
          <w:spacing w:val="-13"/>
        </w:rPr>
        <w:t xml:space="preserve"> </w:t>
      </w:r>
      <w:r>
        <w:t>these</w:t>
      </w:r>
      <w:r>
        <w:rPr>
          <w:spacing w:val="-13"/>
        </w:rPr>
        <w:t xml:space="preserve"> </w:t>
      </w:r>
      <w:r>
        <w:t>differences</w:t>
      </w:r>
      <w:r>
        <w:rPr>
          <w:spacing w:val="-11"/>
        </w:rPr>
        <w:t xml:space="preserve"> </w:t>
      </w:r>
      <w:r>
        <w:t>are</w:t>
      </w:r>
      <w:r>
        <w:rPr>
          <w:spacing w:val="-8"/>
        </w:rPr>
        <w:t xml:space="preserve"> </w:t>
      </w:r>
      <w:r>
        <w:t>precisely</w:t>
      </w:r>
      <w:r>
        <w:rPr>
          <w:spacing w:val="-12"/>
        </w:rPr>
        <w:t xml:space="preserve"> </w:t>
      </w:r>
      <w:r>
        <w:t>the</w:t>
      </w:r>
      <w:r>
        <w:rPr>
          <w:spacing w:val="-13"/>
        </w:rPr>
        <w:t xml:space="preserve"> </w:t>
      </w:r>
      <w:r>
        <w:t>kind</w:t>
      </w:r>
      <w:r>
        <w:rPr>
          <w:spacing w:val="-14"/>
        </w:rPr>
        <w:t xml:space="preserve"> </w:t>
      </w:r>
      <w:r>
        <w:t>of</w:t>
      </w:r>
      <w:r>
        <w:rPr>
          <w:spacing w:val="-10"/>
        </w:rPr>
        <w:t xml:space="preserve"> </w:t>
      </w:r>
      <w:r>
        <w:t>product</w:t>
      </w:r>
      <w:r>
        <w:rPr>
          <w:spacing w:val="-12"/>
        </w:rPr>
        <w:t xml:space="preserve"> </w:t>
      </w:r>
      <w:r>
        <w:t>mix</w:t>
      </w:r>
      <w:r>
        <w:rPr>
          <w:spacing w:val="-12"/>
        </w:rPr>
        <w:t xml:space="preserve"> </w:t>
      </w:r>
      <w:r>
        <w:t>considerations</w:t>
      </w:r>
      <w:r>
        <w:rPr>
          <w:spacing w:val="-11"/>
        </w:rPr>
        <w:t xml:space="preserve"> </w:t>
      </w:r>
      <w:r>
        <w:t>that</w:t>
      </w:r>
      <w:r>
        <w:rPr>
          <w:spacing w:val="-12"/>
        </w:rPr>
        <w:t xml:space="preserve"> </w:t>
      </w:r>
      <w:r>
        <w:t>need to be accounted for, to ensure that price changes are attributable to the effects of dumping, not</w:t>
      </w:r>
      <w:r>
        <w:rPr>
          <w:spacing w:val="-8"/>
        </w:rPr>
        <w:t xml:space="preserve"> </w:t>
      </w:r>
      <w:r>
        <w:t>changes</w:t>
      </w:r>
      <w:r>
        <w:rPr>
          <w:spacing w:val="-7"/>
        </w:rPr>
        <w:t xml:space="preserve"> </w:t>
      </w:r>
      <w:r>
        <w:t>in</w:t>
      </w:r>
      <w:r>
        <w:rPr>
          <w:spacing w:val="-10"/>
        </w:rPr>
        <w:t xml:space="preserve"> </w:t>
      </w:r>
      <w:r>
        <w:t>product</w:t>
      </w:r>
      <w:r>
        <w:rPr>
          <w:spacing w:val="-8"/>
        </w:rPr>
        <w:t xml:space="preserve"> </w:t>
      </w:r>
      <w:r>
        <w:t>mix</w:t>
      </w:r>
      <w:r>
        <w:rPr>
          <w:spacing w:val="-7"/>
        </w:rPr>
        <w:t xml:space="preserve"> </w:t>
      </w:r>
      <w:r>
        <w:t>composition.</w:t>
      </w:r>
      <w:hyperlink w:anchor="_bookmark787" w:history="1">
        <w:r>
          <w:rPr>
            <w:vertAlign w:val="superscript"/>
          </w:rPr>
          <w:t>665</w:t>
        </w:r>
      </w:hyperlink>
      <w:r>
        <w:rPr>
          <w:spacing w:val="-7"/>
        </w:rPr>
        <w:t xml:space="preserve"> </w:t>
      </w:r>
      <w:r>
        <w:t>The</w:t>
      </w:r>
      <w:r>
        <w:rPr>
          <w:spacing w:val="-8"/>
        </w:rPr>
        <w:t xml:space="preserve"> </w:t>
      </w:r>
      <w:r>
        <w:t>fact</w:t>
      </w:r>
      <w:r>
        <w:rPr>
          <w:spacing w:val="-8"/>
        </w:rPr>
        <w:t xml:space="preserve"> </w:t>
      </w:r>
      <w:r>
        <w:t>that</w:t>
      </w:r>
      <w:r>
        <w:rPr>
          <w:spacing w:val="-8"/>
        </w:rPr>
        <w:t xml:space="preserve"> </w:t>
      </w:r>
      <w:r>
        <w:t>MOFCOM</w:t>
      </w:r>
      <w:r>
        <w:rPr>
          <w:spacing w:val="-8"/>
        </w:rPr>
        <w:t xml:space="preserve"> </w:t>
      </w:r>
      <w:r>
        <w:t>asserted,</w:t>
      </w:r>
      <w:r>
        <w:rPr>
          <w:spacing w:val="-6"/>
        </w:rPr>
        <w:t xml:space="preserve"> </w:t>
      </w:r>
      <w:r>
        <w:t>in</w:t>
      </w:r>
      <w:r>
        <w:rPr>
          <w:spacing w:val="-10"/>
        </w:rPr>
        <w:t xml:space="preserve"> </w:t>
      </w:r>
      <w:r>
        <w:t>the</w:t>
      </w:r>
      <w:r>
        <w:rPr>
          <w:spacing w:val="-8"/>
        </w:rPr>
        <w:t xml:space="preserve"> </w:t>
      </w:r>
      <w:r>
        <w:t>context</w:t>
      </w:r>
      <w:r>
        <w:rPr>
          <w:spacing w:val="-8"/>
        </w:rPr>
        <w:t xml:space="preserve"> </w:t>
      </w:r>
      <w:r>
        <w:t>of its</w:t>
      </w:r>
      <w:r>
        <w:rPr>
          <w:spacing w:val="-14"/>
        </w:rPr>
        <w:t xml:space="preserve"> </w:t>
      </w:r>
      <w:r>
        <w:t>like</w:t>
      </w:r>
      <w:r>
        <w:rPr>
          <w:spacing w:val="-14"/>
        </w:rPr>
        <w:t xml:space="preserve"> </w:t>
      </w:r>
      <w:r>
        <w:t>product</w:t>
      </w:r>
      <w:r>
        <w:rPr>
          <w:spacing w:val="-13"/>
        </w:rPr>
        <w:t xml:space="preserve"> </w:t>
      </w:r>
      <w:r>
        <w:t>determination,</w:t>
      </w:r>
      <w:r>
        <w:rPr>
          <w:spacing w:val="-14"/>
        </w:rPr>
        <w:t xml:space="preserve"> </w:t>
      </w:r>
      <w:r>
        <w:t>that</w:t>
      </w:r>
      <w:r>
        <w:rPr>
          <w:spacing w:val="-13"/>
        </w:rPr>
        <w:t xml:space="preserve"> </w:t>
      </w:r>
      <w:r>
        <w:t>subject</w:t>
      </w:r>
      <w:r>
        <w:rPr>
          <w:spacing w:val="-14"/>
        </w:rPr>
        <w:t xml:space="preserve"> </w:t>
      </w:r>
      <w:r>
        <w:t>imports</w:t>
      </w:r>
      <w:r>
        <w:rPr>
          <w:spacing w:val="-13"/>
        </w:rPr>
        <w:t xml:space="preserve"> </w:t>
      </w:r>
      <w:r>
        <w:t>and</w:t>
      </w:r>
      <w:r>
        <w:rPr>
          <w:spacing w:val="-14"/>
        </w:rPr>
        <w:t xml:space="preserve"> </w:t>
      </w:r>
      <w:r>
        <w:t>domestic</w:t>
      </w:r>
      <w:r>
        <w:rPr>
          <w:spacing w:val="-14"/>
        </w:rPr>
        <w:t xml:space="preserve"> </w:t>
      </w:r>
      <w:r>
        <w:t>like</w:t>
      </w:r>
      <w:r>
        <w:rPr>
          <w:spacing w:val="-13"/>
        </w:rPr>
        <w:t xml:space="preserve"> </w:t>
      </w:r>
      <w:r>
        <w:t>products</w:t>
      </w:r>
      <w:r>
        <w:rPr>
          <w:spacing w:val="-14"/>
        </w:rPr>
        <w:t xml:space="preserve"> </w:t>
      </w:r>
      <w:r>
        <w:t>competed</w:t>
      </w:r>
      <w:r>
        <w:rPr>
          <w:spacing w:val="-13"/>
        </w:rPr>
        <w:t xml:space="preserve"> </w:t>
      </w:r>
      <w:r>
        <w:t>with each other is not an answer to this issue.</w:t>
      </w:r>
      <w:hyperlink w:anchor="_bookmark788" w:history="1">
        <w:r>
          <w:rPr>
            <w:vertAlign w:val="superscript"/>
          </w:rPr>
          <w:t>666</w:t>
        </w:r>
      </w:hyperlink>
      <w:r>
        <w:t xml:space="preserve"> A determination that a basket of subject import products</w:t>
      </w:r>
      <w:r>
        <w:rPr>
          <w:spacing w:val="-12"/>
        </w:rPr>
        <w:t xml:space="preserve"> </w:t>
      </w:r>
      <w:r>
        <w:t>and</w:t>
      </w:r>
      <w:r>
        <w:rPr>
          <w:spacing w:val="-14"/>
        </w:rPr>
        <w:t xml:space="preserve"> </w:t>
      </w:r>
      <w:r>
        <w:t>a</w:t>
      </w:r>
      <w:r>
        <w:rPr>
          <w:spacing w:val="-12"/>
        </w:rPr>
        <w:t xml:space="preserve"> </w:t>
      </w:r>
      <w:r>
        <w:t>basket</w:t>
      </w:r>
      <w:r>
        <w:rPr>
          <w:spacing w:val="-12"/>
        </w:rPr>
        <w:t xml:space="preserve"> </w:t>
      </w:r>
      <w:r>
        <w:t>of</w:t>
      </w:r>
      <w:r>
        <w:rPr>
          <w:spacing w:val="-14"/>
        </w:rPr>
        <w:t xml:space="preserve"> </w:t>
      </w:r>
      <w:r>
        <w:t>domestic</w:t>
      </w:r>
      <w:r>
        <w:rPr>
          <w:spacing w:val="-13"/>
        </w:rPr>
        <w:t xml:space="preserve"> </w:t>
      </w:r>
      <w:r>
        <w:t>products</w:t>
      </w:r>
      <w:r>
        <w:rPr>
          <w:spacing w:val="-11"/>
        </w:rPr>
        <w:t xml:space="preserve"> </w:t>
      </w:r>
      <w:r>
        <w:t>are</w:t>
      </w:r>
      <w:r>
        <w:rPr>
          <w:spacing w:val="-13"/>
        </w:rPr>
        <w:t xml:space="preserve"> </w:t>
      </w:r>
      <w:r>
        <w:t>"like</w:t>
      </w:r>
      <w:r>
        <w:rPr>
          <w:spacing w:val="-13"/>
        </w:rPr>
        <w:t xml:space="preserve"> </w:t>
      </w:r>
      <w:r>
        <w:t>products"</w:t>
      </w:r>
      <w:r>
        <w:rPr>
          <w:spacing w:val="-14"/>
        </w:rPr>
        <w:t xml:space="preserve"> </w:t>
      </w:r>
      <w:r>
        <w:t>is</w:t>
      </w:r>
      <w:r>
        <w:rPr>
          <w:spacing w:val="-10"/>
        </w:rPr>
        <w:t xml:space="preserve"> </w:t>
      </w:r>
      <w:r>
        <w:t>insufficient</w:t>
      </w:r>
      <w:r>
        <w:rPr>
          <w:spacing w:val="-12"/>
        </w:rPr>
        <w:t xml:space="preserve"> </w:t>
      </w:r>
      <w:r>
        <w:t>to</w:t>
      </w:r>
      <w:r>
        <w:rPr>
          <w:spacing w:val="-14"/>
        </w:rPr>
        <w:t xml:space="preserve"> </w:t>
      </w:r>
      <w:r>
        <w:t>establish</w:t>
      </w:r>
      <w:r>
        <w:rPr>
          <w:spacing w:val="-14"/>
        </w:rPr>
        <w:t xml:space="preserve"> </w:t>
      </w:r>
      <w:r>
        <w:t>price comparability where the products within each basket are not homogenous.</w:t>
      </w:r>
      <w:hyperlink w:anchor="_bookmark789" w:history="1">
        <w:r>
          <w:rPr>
            <w:vertAlign w:val="superscript"/>
          </w:rPr>
          <w:t>667</w:t>
        </w:r>
      </w:hyperlink>
    </w:p>
    <w:p w14:paraId="165A5874" w14:textId="77777777" w:rsidR="00BD462C" w:rsidRDefault="00BD462C">
      <w:pPr>
        <w:pStyle w:val="BodyText"/>
        <w:spacing w:before="7"/>
        <w:rPr>
          <w:sz w:val="8"/>
        </w:rPr>
      </w:pPr>
    </w:p>
    <w:p w14:paraId="230023B9" w14:textId="6590D02E" w:rsidR="00BD462C" w:rsidRDefault="007A6FB5">
      <w:pPr>
        <w:pStyle w:val="BodyText"/>
        <w:spacing w:before="56" w:line="360" w:lineRule="auto"/>
        <w:ind w:left="135" w:right="912" w:hanging="5"/>
        <w:jc w:val="both"/>
      </w:pPr>
      <w:r>
        <w:rPr>
          <w:noProof/>
        </w:rPr>
        <w:t>460.</w:t>
      </w:r>
      <w:r w:rsidR="00033D0F">
        <w:rPr>
          <w:rFonts w:ascii="Times New Roman"/>
          <w:spacing w:val="40"/>
          <w:position w:val="1"/>
          <w:sz w:val="20"/>
        </w:rPr>
        <w:t xml:space="preserve"> </w:t>
      </w:r>
      <w:r w:rsidR="00033D0F">
        <w:rPr>
          <w:position w:val="1"/>
        </w:rPr>
        <w:t xml:space="preserve">Finally, China's assertion that accepting Australia's argument would somehow set a </w:t>
      </w:r>
      <w:r w:rsidR="00033D0F">
        <w:t>"dangerous precedent" is without merit.</w:t>
      </w:r>
      <w:hyperlink w:anchor="_bookmark790" w:history="1">
        <w:r w:rsidR="00033D0F">
          <w:rPr>
            <w:vertAlign w:val="superscript"/>
          </w:rPr>
          <w:t>668</w:t>
        </w:r>
      </w:hyperlink>
      <w:r w:rsidR="00033D0F">
        <w:t xml:space="preserve"> Australia's argument is: (i) grounded in the particular facts and circumstances of this case; and (ii) entirely consistent with the text of Articles 3.1 and 3.2 and supported by the prior panel and Appellate Body reports which confirm that price comparability must be ensured.</w:t>
      </w:r>
    </w:p>
    <w:p w14:paraId="576731EB" w14:textId="77777777" w:rsidR="00BD462C" w:rsidRDefault="00033D0F">
      <w:pPr>
        <w:pStyle w:val="ListParagraph"/>
        <w:numPr>
          <w:ilvl w:val="1"/>
          <w:numId w:val="55"/>
        </w:numPr>
        <w:tabs>
          <w:tab w:val="left" w:pos="4388"/>
          <w:tab w:val="left" w:pos="4389"/>
        </w:tabs>
        <w:spacing w:before="156" w:line="362" w:lineRule="auto"/>
        <w:ind w:right="916"/>
        <w:jc w:val="both"/>
        <w:rPr>
          <w:i/>
          <w:sz w:val="24"/>
        </w:rPr>
      </w:pPr>
      <w:bookmarkStart w:id="915" w:name="iii._China's_arguments_do_not_address_MO"/>
      <w:bookmarkEnd w:id="915"/>
      <w:r>
        <w:rPr>
          <w:i/>
          <w:sz w:val="24"/>
        </w:rPr>
        <w:t>China's arguments do not address MOFCOM's failure to consider product mix</w:t>
      </w:r>
    </w:p>
    <w:p w14:paraId="2CF2E9AD" w14:textId="77777777" w:rsidR="00BD462C" w:rsidRDefault="00033D0F">
      <w:pPr>
        <w:pStyle w:val="ListParagraph"/>
        <w:numPr>
          <w:ilvl w:val="2"/>
          <w:numId w:val="55"/>
        </w:numPr>
        <w:tabs>
          <w:tab w:val="left" w:pos="5239"/>
        </w:tabs>
        <w:spacing w:before="156"/>
        <w:ind w:hanging="851"/>
        <w:jc w:val="both"/>
        <w:rPr>
          <w:i/>
          <w:sz w:val="24"/>
        </w:rPr>
      </w:pPr>
      <w:bookmarkStart w:id="916" w:name="(A)_Australia_has_established_a_prima_fa"/>
      <w:bookmarkEnd w:id="916"/>
      <w:r>
        <w:rPr>
          <w:sz w:val="24"/>
          <w:u w:val="single"/>
        </w:rPr>
        <w:t>Australia</w:t>
      </w:r>
      <w:r>
        <w:rPr>
          <w:spacing w:val="45"/>
          <w:sz w:val="24"/>
          <w:u w:val="single"/>
        </w:rPr>
        <w:t xml:space="preserve"> </w:t>
      </w:r>
      <w:r>
        <w:rPr>
          <w:sz w:val="24"/>
          <w:u w:val="single"/>
        </w:rPr>
        <w:t>has</w:t>
      </w:r>
      <w:r>
        <w:rPr>
          <w:spacing w:val="42"/>
          <w:sz w:val="24"/>
          <w:u w:val="single"/>
        </w:rPr>
        <w:t xml:space="preserve"> </w:t>
      </w:r>
      <w:r>
        <w:rPr>
          <w:sz w:val="24"/>
          <w:u w:val="single"/>
        </w:rPr>
        <w:t>established</w:t>
      </w:r>
      <w:r>
        <w:rPr>
          <w:spacing w:val="43"/>
          <w:sz w:val="24"/>
          <w:u w:val="single"/>
        </w:rPr>
        <w:t xml:space="preserve"> </w:t>
      </w:r>
      <w:proofErr w:type="gramStart"/>
      <w:r>
        <w:rPr>
          <w:sz w:val="24"/>
          <w:u w:val="single"/>
        </w:rPr>
        <w:t>a</w:t>
      </w:r>
      <w:r>
        <w:rPr>
          <w:spacing w:val="45"/>
          <w:sz w:val="24"/>
          <w:u w:val="single"/>
        </w:rPr>
        <w:t xml:space="preserve"> </w:t>
      </w:r>
      <w:r>
        <w:rPr>
          <w:i/>
          <w:sz w:val="24"/>
          <w:u w:val="single"/>
        </w:rPr>
        <w:t>prima</w:t>
      </w:r>
      <w:r>
        <w:rPr>
          <w:i/>
          <w:spacing w:val="46"/>
          <w:sz w:val="24"/>
          <w:u w:val="single"/>
        </w:rPr>
        <w:t xml:space="preserve"> </w:t>
      </w:r>
      <w:r>
        <w:rPr>
          <w:i/>
          <w:spacing w:val="-4"/>
          <w:sz w:val="24"/>
          <w:u w:val="single"/>
        </w:rPr>
        <w:t>facie</w:t>
      </w:r>
      <w:proofErr w:type="gramEnd"/>
    </w:p>
    <w:p w14:paraId="7DFB5B80" w14:textId="77777777" w:rsidR="00BD462C" w:rsidRDefault="00033D0F">
      <w:pPr>
        <w:pStyle w:val="BodyText"/>
        <w:spacing w:before="144"/>
        <w:ind w:left="2210" w:right="1426"/>
        <w:jc w:val="center"/>
      </w:pPr>
      <w:r>
        <w:rPr>
          <w:spacing w:val="-4"/>
          <w:u w:val="single"/>
        </w:rPr>
        <w:t>case</w:t>
      </w:r>
    </w:p>
    <w:p w14:paraId="2EF22C8C" w14:textId="77777777" w:rsidR="00BD462C" w:rsidRDefault="00BD462C">
      <w:pPr>
        <w:pStyle w:val="BodyText"/>
        <w:spacing w:before="3"/>
        <w:rPr>
          <w:sz w:val="19"/>
        </w:rPr>
      </w:pPr>
    </w:p>
    <w:p w14:paraId="1BA3B1D5" w14:textId="0299E189" w:rsidR="00BD462C" w:rsidRDefault="007A6FB5">
      <w:pPr>
        <w:pStyle w:val="BodyText"/>
        <w:spacing w:before="77" w:line="357" w:lineRule="auto"/>
        <w:ind w:left="135" w:right="907" w:hanging="5"/>
        <w:jc w:val="both"/>
      </w:pPr>
      <w:r>
        <w:rPr>
          <w:noProof/>
        </w:rPr>
        <w:t>461.</w:t>
      </w:r>
      <w:r w:rsidR="00033D0F">
        <w:rPr>
          <w:rFonts w:ascii="Times New Roman"/>
          <w:spacing w:val="80"/>
          <w:position w:val="1"/>
          <w:sz w:val="20"/>
        </w:rPr>
        <w:t xml:space="preserve"> </w:t>
      </w:r>
      <w:r w:rsidR="00033D0F">
        <w:rPr>
          <w:position w:val="1"/>
        </w:rPr>
        <w:t>Contrary to China's assertion,</w:t>
      </w:r>
      <w:hyperlink w:anchor="_bookmark791" w:history="1">
        <w:r w:rsidR="00033D0F">
          <w:rPr>
            <w:position w:val="1"/>
            <w:vertAlign w:val="superscript"/>
          </w:rPr>
          <w:t>669</w:t>
        </w:r>
      </w:hyperlink>
      <w:r w:rsidR="00033D0F">
        <w:rPr>
          <w:position w:val="1"/>
        </w:rPr>
        <w:t xml:space="preserve"> Australia has established a </w:t>
      </w:r>
      <w:r w:rsidR="00033D0F">
        <w:rPr>
          <w:i/>
          <w:position w:val="1"/>
        </w:rPr>
        <w:t xml:space="preserve">prima facie </w:t>
      </w:r>
      <w:r w:rsidR="00033D0F">
        <w:rPr>
          <w:position w:val="1"/>
        </w:rPr>
        <w:t>case in</w:t>
      </w:r>
      <w:r w:rsidR="00033D0F">
        <w:rPr>
          <w:spacing w:val="40"/>
          <w:position w:val="1"/>
        </w:rPr>
        <w:t xml:space="preserve"> </w:t>
      </w:r>
      <w:r w:rsidR="00033D0F">
        <w:t>relation to its argument that MOFCOM failed to ensure price comparability by failing to consider the impact of differences in the product mix between the basket of subject imports and the basket of domestic like products.</w:t>
      </w:r>
    </w:p>
    <w:p w14:paraId="71E9E9FB" w14:textId="77777777" w:rsidR="00BD462C" w:rsidRDefault="00BD462C">
      <w:pPr>
        <w:pStyle w:val="BodyText"/>
        <w:spacing w:before="10"/>
        <w:rPr>
          <w:sz w:val="8"/>
        </w:rPr>
      </w:pPr>
    </w:p>
    <w:p w14:paraId="35C22577" w14:textId="3646D12E" w:rsidR="00BD462C" w:rsidRDefault="007A6FB5">
      <w:pPr>
        <w:pStyle w:val="BodyText"/>
        <w:spacing w:before="56" w:line="360" w:lineRule="auto"/>
        <w:ind w:left="135" w:right="915" w:hanging="5"/>
        <w:jc w:val="both"/>
      </w:pPr>
      <w:r>
        <w:rPr>
          <w:noProof/>
        </w:rPr>
        <w:t>462.</w:t>
      </w:r>
      <w:r w:rsidR="00033D0F">
        <w:rPr>
          <w:rFonts w:ascii="Times New Roman"/>
          <w:spacing w:val="80"/>
          <w:position w:val="1"/>
          <w:sz w:val="20"/>
        </w:rPr>
        <w:t xml:space="preserve"> </w:t>
      </w:r>
      <w:r w:rsidR="00033D0F">
        <w:rPr>
          <w:position w:val="1"/>
        </w:rPr>
        <w:t>China misconstrues Australia's argument and misstates the burden that Australia</w:t>
      </w:r>
      <w:r w:rsidR="00033D0F">
        <w:rPr>
          <w:spacing w:val="40"/>
          <w:position w:val="1"/>
        </w:rPr>
        <w:t xml:space="preserve"> </w:t>
      </w:r>
      <w:r w:rsidR="00033D0F">
        <w:t>must meet in this regard.</w:t>
      </w:r>
      <w:hyperlink w:anchor="_bookmark792" w:history="1">
        <w:r w:rsidR="00033D0F">
          <w:rPr>
            <w:vertAlign w:val="superscript"/>
          </w:rPr>
          <w:t>670</w:t>
        </w:r>
      </w:hyperlink>
      <w:r w:rsidR="00033D0F">
        <w:t xml:space="preserve"> Australia's argument is that MOFCOM failed to ensure price comparability during its price effects analysis by, </w:t>
      </w:r>
      <w:r w:rsidR="00033D0F">
        <w:rPr>
          <w:i/>
        </w:rPr>
        <w:t>inter alia</w:t>
      </w:r>
      <w:r w:rsidR="00033D0F">
        <w:t>, failing to account for differences in</w:t>
      </w:r>
      <w:r w:rsidR="00033D0F">
        <w:rPr>
          <w:spacing w:val="27"/>
        </w:rPr>
        <w:t xml:space="preserve"> </w:t>
      </w:r>
      <w:r w:rsidR="00033D0F">
        <w:t>the</w:t>
      </w:r>
      <w:r w:rsidR="00033D0F">
        <w:rPr>
          <w:spacing w:val="31"/>
        </w:rPr>
        <w:t xml:space="preserve"> </w:t>
      </w:r>
      <w:r w:rsidR="00033D0F">
        <w:t>product</w:t>
      </w:r>
      <w:r w:rsidR="00033D0F">
        <w:rPr>
          <w:spacing w:val="32"/>
        </w:rPr>
        <w:t xml:space="preserve"> </w:t>
      </w:r>
      <w:r w:rsidR="00033D0F">
        <w:t>mix.</w:t>
      </w:r>
      <w:r w:rsidR="00033D0F">
        <w:rPr>
          <w:spacing w:val="32"/>
        </w:rPr>
        <w:t xml:space="preserve"> </w:t>
      </w:r>
      <w:r w:rsidR="00033D0F">
        <w:t>In</w:t>
      </w:r>
      <w:r w:rsidR="00033D0F">
        <w:rPr>
          <w:spacing w:val="29"/>
        </w:rPr>
        <w:t xml:space="preserve"> </w:t>
      </w:r>
      <w:r w:rsidR="00033D0F">
        <w:t>its</w:t>
      </w:r>
      <w:r w:rsidR="00033D0F">
        <w:rPr>
          <w:spacing w:val="33"/>
        </w:rPr>
        <w:t xml:space="preserve"> </w:t>
      </w:r>
      <w:r w:rsidR="00033D0F">
        <w:t>first</w:t>
      </w:r>
      <w:r w:rsidR="00033D0F">
        <w:rPr>
          <w:spacing w:val="31"/>
        </w:rPr>
        <w:t xml:space="preserve"> </w:t>
      </w:r>
      <w:r w:rsidR="00033D0F">
        <w:t>written</w:t>
      </w:r>
      <w:r w:rsidR="00033D0F">
        <w:rPr>
          <w:spacing w:val="30"/>
        </w:rPr>
        <w:t xml:space="preserve"> </w:t>
      </w:r>
      <w:r w:rsidR="00033D0F">
        <w:t>submission,</w:t>
      </w:r>
      <w:r w:rsidR="00033D0F">
        <w:rPr>
          <w:spacing w:val="32"/>
        </w:rPr>
        <w:t xml:space="preserve"> </w:t>
      </w:r>
      <w:r w:rsidR="00033D0F">
        <w:t>Australia</w:t>
      </w:r>
      <w:r w:rsidR="00033D0F">
        <w:rPr>
          <w:spacing w:val="31"/>
        </w:rPr>
        <w:t xml:space="preserve"> </w:t>
      </w:r>
      <w:r w:rsidR="00033D0F">
        <w:t>has</w:t>
      </w:r>
      <w:r w:rsidR="00033D0F">
        <w:rPr>
          <w:spacing w:val="33"/>
        </w:rPr>
        <w:t xml:space="preserve"> </w:t>
      </w:r>
      <w:r w:rsidR="00033D0F">
        <w:t>pointed</w:t>
      </w:r>
      <w:r w:rsidR="00033D0F">
        <w:rPr>
          <w:spacing w:val="29"/>
        </w:rPr>
        <w:t xml:space="preserve"> </w:t>
      </w:r>
      <w:r w:rsidR="00033D0F">
        <w:t>to</w:t>
      </w:r>
      <w:r w:rsidR="00033D0F">
        <w:rPr>
          <w:spacing w:val="30"/>
        </w:rPr>
        <w:t xml:space="preserve"> </w:t>
      </w:r>
      <w:r w:rsidR="00033D0F">
        <w:t>the</w:t>
      </w:r>
      <w:r w:rsidR="00033D0F">
        <w:rPr>
          <w:spacing w:val="31"/>
        </w:rPr>
        <w:t xml:space="preserve"> </w:t>
      </w:r>
      <w:r w:rsidR="00033D0F">
        <w:rPr>
          <w:spacing w:val="-2"/>
        </w:rPr>
        <w:t>significant</w:t>
      </w:r>
    </w:p>
    <w:p w14:paraId="742413A1" w14:textId="2A3FB96E" w:rsidR="00BD462C" w:rsidRDefault="00752F01">
      <w:pPr>
        <w:pStyle w:val="BodyText"/>
        <w:rPr>
          <w:sz w:val="20"/>
        </w:rPr>
      </w:pPr>
      <w:r>
        <w:rPr>
          <w:noProof/>
        </w:rPr>
        <mc:AlternateContent>
          <mc:Choice Requires="wps">
            <w:drawing>
              <wp:anchor distT="0" distB="0" distL="0" distR="0" simplePos="0" relativeHeight="488272384" behindDoc="1" locked="0" layoutInCell="1" allowOverlap="1" wp14:anchorId="6EB15AAC" wp14:editId="69B972AC">
                <wp:simplePos x="0" y="0"/>
                <wp:positionH relativeFrom="page">
                  <wp:posOffset>812800</wp:posOffset>
                </wp:positionH>
                <wp:positionV relativeFrom="paragraph">
                  <wp:posOffset>294005</wp:posOffset>
                </wp:positionV>
                <wp:extent cx="1828800" cy="8890"/>
                <wp:effectExtent l="0" t="0" r="0" b="0"/>
                <wp:wrapTopAndBottom/>
                <wp:docPr id="251" name="docshape4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6F2DB1" id="docshape414" o:spid="_x0000_s1026" alt="&quot;&quot;" style="position:absolute;margin-left:64pt;margin-top:23.15pt;width:2in;height:.7pt;z-index:-15044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" fillcolor="black" stroked="f">
                <w10:wrap type="topAndBottom" anchorx="page"/>
              </v:rect>
            </w:pict>
          </mc:Fallback>
        </mc:AlternateContent>
      </w:r>
    </w:p>
    <w:p w14:paraId="2711F9AE" w14:textId="2D86DFAD" w:rsidR="00BD462C" w:rsidRDefault="00BD462C">
      <w:pPr>
        <w:pStyle w:val="BodyText"/>
        <w:spacing w:before="6"/>
        <w:rPr>
          <w:sz w:val="17"/>
        </w:rPr>
      </w:pPr>
    </w:p>
    <w:p w14:paraId="77A45B27" w14:textId="77777777" w:rsidR="00BD462C" w:rsidRDefault="00033D0F">
      <w:pPr>
        <w:spacing w:before="112" w:line="218" w:lineRule="exact"/>
        <w:ind w:left="135"/>
        <w:rPr>
          <w:sz w:val="18"/>
        </w:rPr>
      </w:pPr>
      <w:bookmarkStart w:id="917" w:name="_bookmark787"/>
      <w:bookmarkEnd w:id="917"/>
      <w:r>
        <w:rPr>
          <w:position w:val="5"/>
          <w:sz w:val="12"/>
        </w:rPr>
        <w:t>665</w:t>
      </w:r>
      <w:r>
        <w:rPr>
          <w:spacing w:val="13"/>
          <w:position w:val="5"/>
          <w:sz w:val="12"/>
        </w:rPr>
        <w:t xml:space="preserve"> </w:t>
      </w:r>
      <w:r>
        <w:rPr>
          <w:sz w:val="18"/>
        </w:rPr>
        <w:t>Panel</w:t>
      </w:r>
      <w:r>
        <w:rPr>
          <w:spacing w:val="-3"/>
          <w:sz w:val="18"/>
        </w:rPr>
        <w:t xml:space="preserve"> </w:t>
      </w:r>
      <w:r>
        <w:rPr>
          <w:sz w:val="18"/>
        </w:rPr>
        <w:t>Reports,</w:t>
      </w:r>
      <w:r>
        <w:rPr>
          <w:spacing w:val="-4"/>
          <w:sz w:val="18"/>
        </w:rPr>
        <w:t xml:space="preserve"> </w:t>
      </w:r>
      <w:r>
        <w:rPr>
          <w:i/>
          <w:sz w:val="18"/>
        </w:rPr>
        <w:t>China</w:t>
      </w:r>
      <w:r>
        <w:rPr>
          <w:i/>
          <w:spacing w:val="-4"/>
          <w:sz w:val="18"/>
        </w:rPr>
        <w:t xml:space="preserve"> </w:t>
      </w:r>
      <w:r>
        <w:rPr>
          <w:i/>
          <w:sz w:val="18"/>
        </w:rPr>
        <w:t>–</w:t>
      </w:r>
      <w:r>
        <w:rPr>
          <w:i/>
          <w:spacing w:val="-5"/>
          <w:sz w:val="18"/>
        </w:rPr>
        <w:t xml:space="preserve"> </w:t>
      </w:r>
      <w:r>
        <w:rPr>
          <w:i/>
          <w:sz w:val="18"/>
        </w:rPr>
        <w:t>Autos</w:t>
      </w:r>
      <w:r>
        <w:rPr>
          <w:i/>
          <w:spacing w:val="-5"/>
          <w:sz w:val="18"/>
        </w:rPr>
        <w:t xml:space="preserve"> </w:t>
      </w:r>
      <w:r>
        <w:rPr>
          <w:i/>
          <w:sz w:val="18"/>
        </w:rPr>
        <w:t>(US)</w:t>
      </w:r>
      <w:r>
        <w:rPr>
          <w:sz w:val="18"/>
        </w:rPr>
        <w:t>,</w:t>
      </w:r>
      <w:r>
        <w:rPr>
          <w:spacing w:val="2"/>
          <w:sz w:val="18"/>
        </w:rPr>
        <w:t xml:space="preserve"> </w:t>
      </w:r>
      <w:r>
        <w:rPr>
          <w:sz w:val="18"/>
        </w:rPr>
        <w:t>para.</w:t>
      </w:r>
      <w:r>
        <w:rPr>
          <w:spacing w:val="1"/>
          <w:sz w:val="18"/>
        </w:rPr>
        <w:t xml:space="preserve"> </w:t>
      </w:r>
      <w:r>
        <w:rPr>
          <w:sz w:val="18"/>
        </w:rPr>
        <w:t>7.256;</w:t>
      </w:r>
      <w:r>
        <w:rPr>
          <w:spacing w:val="-7"/>
          <w:sz w:val="18"/>
        </w:rPr>
        <w:t xml:space="preserve"> </w:t>
      </w:r>
      <w:r>
        <w:rPr>
          <w:i/>
          <w:sz w:val="18"/>
        </w:rPr>
        <w:t>China</w:t>
      </w:r>
      <w:r>
        <w:rPr>
          <w:i/>
          <w:spacing w:val="-3"/>
          <w:sz w:val="18"/>
        </w:rPr>
        <w:t xml:space="preserve"> </w:t>
      </w:r>
      <w:r>
        <w:rPr>
          <w:i/>
          <w:sz w:val="18"/>
        </w:rPr>
        <w:t>-</w:t>
      </w:r>
      <w:r>
        <w:rPr>
          <w:i/>
          <w:spacing w:val="-9"/>
          <w:sz w:val="18"/>
        </w:rPr>
        <w:t xml:space="preserve"> </w:t>
      </w:r>
      <w:r>
        <w:rPr>
          <w:i/>
          <w:sz w:val="18"/>
        </w:rPr>
        <w:t>X-Ray</w:t>
      </w:r>
      <w:r>
        <w:rPr>
          <w:i/>
          <w:spacing w:val="-6"/>
          <w:sz w:val="18"/>
        </w:rPr>
        <w:t xml:space="preserve"> </w:t>
      </w:r>
      <w:r>
        <w:rPr>
          <w:i/>
          <w:sz w:val="18"/>
        </w:rPr>
        <w:t>Equipment,</w:t>
      </w:r>
      <w:r>
        <w:rPr>
          <w:i/>
          <w:spacing w:val="-3"/>
          <w:sz w:val="18"/>
        </w:rPr>
        <w:t xml:space="preserve"> </w:t>
      </w:r>
      <w:r>
        <w:rPr>
          <w:sz w:val="18"/>
        </w:rPr>
        <w:t>para. 7.57;</w:t>
      </w:r>
      <w:r>
        <w:rPr>
          <w:spacing w:val="-6"/>
          <w:sz w:val="18"/>
        </w:rPr>
        <w:t xml:space="preserve"> </w:t>
      </w:r>
      <w:r>
        <w:rPr>
          <w:i/>
          <w:sz w:val="18"/>
        </w:rPr>
        <w:t>China</w:t>
      </w:r>
      <w:r>
        <w:rPr>
          <w:i/>
          <w:spacing w:val="-4"/>
          <w:sz w:val="18"/>
        </w:rPr>
        <w:t xml:space="preserve"> </w:t>
      </w:r>
      <w:r>
        <w:rPr>
          <w:i/>
          <w:sz w:val="18"/>
        </w:rPr>
        <w:t>-</w:t>
      </w:r>
      <w:r>
        <w:rPr>
          <w:i/>
          <w:spacing w:val="-4"/>
          <w:sz w:val="18"/>
        </w:rPr>
        <w:t xml:space="preserve"> </w:t>
      </w:r>
      <w:r>
        <w:rPr>
          <w:i/>
          <w:sz w:val="18"/>
        </w:rPr>
        <w:t>Broiler</w:t>
      </w:r>
      <w:r>
        <w:rPr>
          <w:i/>
          <w:spacing w:val="-5"/>
          <w:sz w:val="18"/>
        </w:rPr>
        <w:t xml:space="preserve"> </w:t>
      </w:r>
      <w:r>
        <w:rPr>
          <w:i/>
          <w:sz w:val="18"/>
        </w:rPr>
        <w:t>Products</w:t>
      </w:r>
      <w:r>
        <w:rPr>
          <w:sz w:val="18"/>
        </w:rPr>
        <w:t>,</w:t>
      </w:r>
      <w:r>
        <w:rPr>
          <w:spacing w:val="1"/>
          <w:sz w:val="18"/>
        </w:rPr>
        <w:t xml:space="preserve"> </w:t>
      </w:r>
      <w:r>
        <w:rPr>
          <w:sz w:val="18"/>
        </w:rPr>
        <w:t>para.</w:t>
      </w:r>
      <w:r>
        <w:rPr>
          <w:spacing w:val="-4"/>
          <w:sz w:val="18"/>
        </w:rPr>
        <w:t xml:space="preserve"> </w:t>
      </w:r>
      <w:r>
        <w:rPr>
          <w:spacing w:val="-2"/>
          <w:sz w:val="18"/>
        </w:rPr>
        <w:t>7.483.</w:t>
      </w:r>
    </w:p>
    <w:p w14:paraId="7749EA4A" w14:textId="77777777" w:rsidR="00BD462C" w:rsidRDefault="00033D0F">
      <w:pPr>
        <w:spacing w:line="218" w:lineRule="exact"/>
        <w:ind w:left="135"/>
        <w:rPr>
          <w:sz w:val="18"/>
        </w:rPr>
      </w:pPr>
      <w:bookmarkStart w:id="918" w:name="_bookmark788"/>
      <w:bookmarkEnd w:id="918"/>
      <w:r>
        <w:rPr>
          <w:position w:val="5"/>
          <w:sz w:val="12"/>
        </w:rPr>
        <w:t>666</w:t>
      </w:r>
      <w:r>
        <w:rPr>
          <w:spacing w:val="13"/>
          <w:position w:val="5"/>
          <w:sz w:val="12"/>
        </w:rPr>
        <w:t xml:space="preserve"> </w:t>
      </w:r>
      <w:r>
        <w:rPr>
          <w:sz w:val="18"/>
        </w:rPr>
        <w:t>Cf</w:t>
      </w:r>
      <w:r>
        <w:rPr>
          <w:spacing w:val="-4"/>
          <w:sz w:val="18"/>
        </w:rPr>
        <w:t xml:space="preserve"> </w:t>
      </w:r>
      <w:r>
        <w:rPr>
          <w:sz w:val="18"/>
        </w:rPr>
        <w:t>China's</w:t>
      </w:r>
      <w:r>
        <w:rPr>
          <w:spacing w:val="-5"/>
          <w:sz w:val="18"/>
        </w:rPr>
        <w:t xml:space="preserve"> </w:t>
      </w:r>
      <w:r>
        <w:rPr>
          <w:sz w:val="18"/>
        </w:rPr>
        <w:t>first</w:t>
      </w:r>
      <w:r>
        <w:rPr>
          <w:spacing w:val="-4"/>
          <w:sz w:val="18"/>
        </w:rPr>
        <w:t xml:space="preserve"> </w:t>
      </w:r>
      <w:r>
        <w:rPr>
          <w:sz w:val="18"/>
        </w:rPr>
        <w:t>written</w:t>
      </w:r>
      <w:r>
        <w:rPr>
          <w:spacing w:val="-6"/>
          <w:sz w:val="18"/>
        </w:rPr>
        <w:t xml:space="preserve"> </w:t>
      </w:r>
      <w:r>
        <w:rPr>
          <w:sz w:val="18"/>
        </w:rPr>
        <w:t>submission,</w:t>
      </w:r>
      <w:r>
        <w:rPr>
          <w:spacing w:val="2"/>
          <w:sz w:val="18"/>
        </w:rPr>
        <w:t xml:space="preserve"> </w:t>
      </w:r>
      <w:r>
        <w:rPr>
          <w:sz w:val="18"/>
        </w:rPr>
        <w:t>para.</w:t>
      </w:r>
      <w:r>
        <w:rPr>
          <w:spacing w:val="-4"/>
          <w:sz w:val="18"/>
        </w:rPr>
        <w:t xml:space="preserve"> </w:t>
      </w:r>
      <w:r>
        <w:rPr>
          <w:spacing w:val="-2"/>
          <w:sz w:val="18"/>
        </w:rPr>
        <w:t>1139.</w:t>
      </w:r>
    </w:p>
    <w:p w14:paraId="69AE144A" w14:textId="77777777" w:rsidR="00BD462C" w:rsidRDefault="00033D0F">
      <w:pPr>
        <w:spacing w:before="1"/>
        <w:ind w:left="135"/>
        <w:rPr>
          <w:sz w:val="18"/>
        </w:rPr>
      </w:pPr>
      <w:bookmarkStart w:id="919" w:name="_bookmark789"/>
      <w:bookmarkEnd w:id="919"/>
      <w:r>
        <w:rPr>
          <w:position w:val="5"/>
          <w:sz w:val="12"/>
        </w:rPr>
        <w:t>667</w:t>
      </w:r>
      <w:r>
        <w:rPr>
          <w:spacing w:val="14"/>
          <w:position w:val="5"/>
          <w:sz w:val="12"/>
        </w:rPr>
        <w:t xml:space="preserve"> </w:t>
      </w:r>
      <w:r>
        <w:rPr>
          <w:sz w:val="18"/>
        </w:rPr>
        <w:t>Panel</w:t>
      </w:r>
      <w:r>
        <w:rPr>
          <w:spacing w:val="-4"/>
          <w:sz w:val="18"/>
        </w:rPr>
        <w:t xml:space="preserve"> </w:t>
      </w:r>
      <w:r>
        <w:rPr>
          <w:sz w:val="18"/>
        </w:rPr>
        <w:t>Report,</w:t>
      </w:r>
      <w:r>
        <w:rPr>
          <w:spacing w:val="-2"/>
          <w:sz w:val="18"/>
        </w:rPr>
        <w:t xml:space="preserve"> </w:t>
      </w:r>
      <w:r>
        <w:rPr>
          <w:i/>
          <w:sz w:val="18"/>
        </w:rPr>
        <w:t>China</w:t>
      </w:r>
      <w:r>
        <w:rPr>
          <w:i/>
          <w:spacing w:val="-4"/>
          <w:sz w:val="18"/>
        </w:rPr>
        <w:t xml:space="preserve"> </w:t>
      </w:r>
      <w:r>
        <w:rPr>
          <w:i/>
          <w:sz w:val="18"/>
        </w:rPr>
        <w:t>-</w:t>
      </w:r>
      <w:r>
        <w:rPr>
          <w:i/>
          <w:spacing w:val="-3"/>
          <w:sz w:val="18"/>
        </w:rPr>
        <w:t xml:space="preserve"> </w:t>
      </w:r>
      <w:r>
        <w:rPr>
          <w:i/>
          <w:sz w:val="18"/>
        </w:rPr>
        <w:t>Broiler</w:t>
      </w:r>
      <w:r>
        <w:rPr>
          <w:i/>
          <w:spacing w:val="-6"/>
          <w:sz w:val="18"/>
        </w:rPr>
        <w:t xml:space="preserve"> </w:t>
      </w:r>
      <w:r>
        <w:rPr>
          <w:i/>
          <w:sz w:val="18"/>
        </w:rPr>
        <w:t>Products</w:t>
      </w:r>
      <w:r>
        <w:rPr>
          <w:sz w:val="18"/>
        </w:rPr>
        <w:t>,</w:t>
      </w:r>
      <w:r>
        <w:rPr>
          <w:spacing w:val="-2"/>
          <w:sz w:val="18"/>
        </w:rPr>
        <w:t xml:space="preserve"> </w:t>
      </w:r>
      <w:r>
        <w:rPr>
          <w:sz w:val="18"/>
        </w:rPr>
        <w:t>para.</w:t>
      </w:r>
      <w:r>
        <w:rPr>
          <w:spacing w:val="1"/>
          <w:sz w:val="18"/>
        </w:rPr>
        <w:t xml:space="preserve"> </w:t>
      </w:r>
      <w:r>
        <w:rPr>
          <w:spacing w:val="-2"/>
          <w:sz w:val="18"/>
        </w:rPr>
        <w:t>7.483.</w:t>
      </w:r>
    </w:p>
    <w:p w14:paraId="564D3B04" w14:textId="77777777" w:rsidR="00BD462C" w:rsidRDefault="00033D0F">
      <w:pPr>
        <w:spacing w:before="1"/>
        <w:ind w:left="135"/>
        <w:rPr>
          <w:sz w:val="18"/>
        </w:rPr>
      </w:pPr>
      <w:bookmarkStart w:id="920" w:name="_bookmark790"/>
      <w:bookmarkEnd w:id="920"/>
      <w:r>
        <w:rPr>
          <w:position w:val="5"/>
          <w:sz w:val="12"/>
        </w:rPr>
        <w:t>668</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 xml:space="preserve">submission, para. </w:t>
      </w:r>
      <w:r>
        <w:rPr>
          <w:spacing w:val="-2"/>
          <w:sz w:val="18"/>
        </w:rPr>
        <w:t>1146.</w:t>
      </w:r>
    </w:p>
    <w:p w14:paraId="6BDDE403" w14:textId="77777777" w:rsidR="00BD462C" w:rsidRDefault="00033D0F">
      <w:pPr>
        <w:spacing w:before="1"/>
        <w:ind w:left="135"/>
        <w:rPr>
          <w:sz w:val="18"/>
        </w:rPr>
      </w:pPr>
      <w:bookmarkStart w:id="921" w:name="_bookmark791"/>
      <w:bookmarkEnd w:id="921"/>
      <w:r>
        <w:rPr>
          <w:position w:val="5"/>
          <w:sz w:val="12"/>
        </w:rPr>
        <w:t>669</w:t>
      </w:r>
      <w:r>
        <w:rPr>
          <w:spacing w:val="12"/>
          <w:position w:val="5"/>
          <w:sz w:val="12"/>
        </w:rPr>
        <w:t xml:space="preserve"> </w:t>
      </w:r>
      <w:r>
        <w:rPr>
          <w:sz w:val="18"/>
        </w:rPr>
        <w:t>China's</w:t>
      </w:r>
      <w:r>
        <w:rPr>
          <w:spacing w:val="-6"/>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 paras.</w:t>
      </w:r>
      <w:r>
        <w:rPr>
          <w:spacing w:val="-5"/>
          <w:sz w:val="18"/>
        </w:rPr>
        <w:t xml:space="preserve"> </w:t>
      </w:r>
      <w:r>
        <w:rPr>
          <w:sz w:val="18"/>
        </w:rPr>
        <w:t>1147-</w:t>
      </w:r>
      <w:r>
        <w:rPr>
          <w:spacing w:val="-2"/>
          <w:sz w:val="18"/>
        </w:rPr>
        <w:t>1150.</w:t>
      </w:r>
    </w:p>
    <w:p w14:paraId="3A8145F2" w14:textId="77777777" w:rsidR="00BD462C" w:rsidRDefault="00033D0F">
      <w:pPr>
        <w:spacing w:before="1"/>
        <w:ind w:left="135"/>
        <w:rPr>
          <w:sz w:val="18"/>
        </w:rPr>
      </w:pPr>
      <w:bookmarkStart w:id="922" w:name="_bookmark792"/>
      <w:bookmarkEnd w:id="922"/>
      <w:r>
        <w:rPr>
          <w:position w:val="5"/>
          <w:sz w:val="12"/>
        </w:rPr>
        <w:t>670</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 xml:space="preserve">submission, para. </w:t>
      </w:r>
      <w:r>
        <w:rPr>
          <w:spacing w:val="-2"/>
          <w:sz w:val="18"/>
        </w:rPr>
        <w:t>1147.</w:t>
      </w:r>
    </w:p>
    <w:p w14:paraId="0C651C53" w14:textId="77777777" w:rsidR="00BD462C" w:rsidRDefault="00BD462C">
      <w:pPr>
        <w:rPr>
          <w:sz w:val="18"/>
        </w:rPr>
        <w:sectPr w:rsidR="00BD462C">
          <w:pgSz w:w="11910" w:h="16840"/>
          <w:pgMar w:top="860" w:right="500" w:bottom="780" w:left="1280" w:header="566" w:footer="590" w:gutter="0"/>
          <w:cols w:space="720"/>
        </w:sectPr>
      </w:pPr>
    </w:p>
    <w:p w14:paraId="1DFC539A"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741FFE4E"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0A6BDB7E"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66D02CA4" w14:textId="77777777" w:rsidR="00BD462C" w:rsidRDefault="00033D0F">
      <w:pPr>
        <w:pStyle w:val="BodyText"/>
        <w:spacing w:before="102" w:line="360" w:lineRule="auto"/>
        <w:ind w:left="135" w:right="912"/>
        <w:jc w:val="both"/>
      </w:pPr>
      <w:r>
        <w:t>evidence on the record which demonstrated the existence of differences in product mix affecting price comparability.</w:t>
      </w:r>
      <w:hyperlink w:anchor="_bookmark793" w:history="1">
        <w:r>
          <w:rPr>
            <w:vertAlign w:val="superscript"/>
          </w:rPr>
          <w:t>671</w:t>
        </w:r>
      </w:hyperlink>
      <w:r>
        <w:t xml:space="preserve"> China</w:t>
      </w:r>
      <w:r>
        <w:rPr>
          <w:spacing w:val="-1"/>
        </w:rPr>
        <w:t xml:space="preserve"> </w:t>
      </w:r>
      <w:r>
        <w:t>also</w:t>
      </w:r>
      <w:r>
        <w:rPr>
          <w:spacing w:val="-3"/>
        </w:rPr>
        <w:t xml:space="preserve"> </w:t>
      </w:r>
      <w:r>
        <w:t>accepts that the</w:t>
      </w:r>
      <w:r>
        <w:rPr>
          <w:spacing w:val="-1"/>
        </w:rPr>
        <w:t xml:space="preserve"> </w:t>
      </w:r>
      <w:r>
        <w:t>evidence before it demonstrated that</w:t>
      </w:r>
      <w:r>
        <w:rPr>
          <w:spacing w:val="-8"/>
        </w:rPr>
        <w:t xml:space="preserve"> </w:t>
      </w:r>
      <w:r>
        <w:t>there</w:t>
      </w:r>
      <w:r>
        <w:rPr>
          <w:spacing w:val="-8"/>
        </w:rPr>
        <w:t xml:space="preserve"> </w:t>
      </w:r>
      <w:r>
        <w:t>were</w:t>
      </w:r>
      <w:r>
        <w:rPr>
          <w:spacing w:val="-8"/>
        </w:rPr>
        <w:t xml:space="preserve"> </w:t>
      </w:r>
      <w:r>
        <w:t>significant</w:t>
      </w:r>
      <w:r>
        <w:rPr>
          <w:spacing w:val="-8"/>
        </w:rPr>
        <w:t xml:space="preserve"> </w:t>
      </w:r>
      <w:r>
        <w:t>differences</w:t>
      </w:r>
      <w:r>
        <w:rPr>
          <w:spacing w:val="-7"/>
        </w:rPr>
        <w:t xml:space="preserve"> </w:t>
      </w:r>
      <w:r>
        <w:t>in</w:t>
      </w:r>
      <w:r>
        <w:rPr>
          <w:spacing w:val="-10"/>
        </w:rPr>
        <w:t xml:space="preserve"> </w:t>
      </w:r>
      <w:r>
        <w:t>the</w:t>
      </w:r>
      <w:r>
        <w:rPr>
          <w:spacing w:val="-8"/>
        </w:rPr>
        <w:t xml:space="preserve"> </w:t>
      </w:r>
      <w:r>
        <w:t>product</w:t>
      </w:r>
      <w:r>
        <w:rPr>
          <w:spacing w:val="-8"/>
        </w:rPr>
        <w:t xml:space="preserve"> </w:t>
      </w:r>
      <w:r>
        <w:t>mix</w:t>
      </w:r>
      <w:r>
        <w:rPr>
          <w:spacing w:val="-7"/>
        </w:rPr>
        <w:t xml:space="preserve"> </w:t>
      </w:r>
      <w:r>
        <w:t>of</w:t>
      </w:r>
      <w:r>
        <w:rPr>
          <w:spacing w:val="-10"/>
        </w:rPr>
        <w:t xml:space="preserve"> </w:t>
      </w:r>
      <w:r>
        <w:t>subject</w:t>
      </w:r>
      <w:r>
        <w:rPr>
          <w:spacing w:val="-8"/>
        </w:rPr>
        <w:t xml:space="preserve"> </w:t>
      </w:r>
      <w:r>
        <w:t>imports</w:t>
      </w:r>
      <w:r>
        <w:rPr>
          <w:spacing w:val="-7"/>
        </w:rPr>
        <w:t xml:space="preserve"> </w:t>
      </w:r>
      <w:r>
        <w:t>and</w:t>
      </w:r>
      <w:r>
        <w:rPr>
          <w:spacing w:val="-10"/>
        </w:rPr>
        <w:t xml:space="preserve"> </w:t>
      </w:r>
      <w:r>
        <w:t>domestic</w:t>
      </w:r>
      <w:r>
        <w:rPr>
          <w:spacing w:val="-14"/>
        </w:rPr>
        <w:t xml:space="preserve"> </w:t>
      </w:r>
      <w:r>
        <w:t>like products.</w:t>
      </w:r>
      <w:hyperlink w:anchor="_bookmark794" w:history="1">
        <w:r>
          <w:rPr>
            <w:vertAlign w:val="superscript"/>
          </w:rPr>
          <w:t>672</w:t>
        </w:r>
      </w:hyperlink>
      <w:r>
        <w:t xml:space="preserve"> In light of this evidence, there is nothing on the investigation record which justifies or supports MOFCOM's finding that the average unit prices that it calculated for the basket</w:t>
      </w:r>
      <w:r>
        <w:rPr>
          <w:spacing w:val="-11"/>
        </w:rPr>
        <w:t xml:space="preserve"> </w:t>
      </w:r>
      <w:r>
        <w:t>of</w:t>
      </w:r>
      <w:r>
        <w:rPr>
          <w:spacing w:val="-14"/>
        </w:rPr>
        <w:t xml:space="preserve"> </w:t>
      </w:r>
      <w:r>
        <w:t>subject</w:t>
      </w:r>
      <w:r>
        <w:rPr>
          <w:spacing w:val="-10"/>
        </w:rPr>
        <w:t xml:space="preserve"> </w:t>
      </w:r>
      <w:r>
        <w:t>imports</w:t>
      </w:r>
      <w:r>
        <w:rPr>
          <w:spacing w:val="-10"/>
        </w:rPr>
        <w:t xml:space="preserve"> </w:t>
      </w:r>
      <w:r>
        <w:t>and</w:t>
      </w:r>
      <w:r>
        <w:rPr>
          <w:spacing w:val="-14"/>
        </w:rPr>
        <w:t xml:space="preserve"> </w:t>
      </w:r>
      <w:r>
        <w:t>for</w:t>
      </w:r>
      <w:r>
        <w:rPr>
          <w:spacing w:val="-9"/>
        </w:rPr>
        <w:t xml:space="preserve"> </w:t>
      </w:r>
      <w:r>
        <w:t>the</w:t>
      </w:r>
      <w:r>
        <w:rPr>
          <w:spacing w:val="-12"/>
        </w:rPr>
        <w:t xml:space="preserve"> </w:t>
      </w:r>
      <w:r>
        <w:t>basket</w:t>
      </w:r>
      <w:r>
        <w:rPr>
          <w:spacing w:val="-11"/>
        </w:rPr>
        <w:t xml:space="preserve"> </w:t>
      </w:r>
      <w:r>
        <w:t>of</w:t>
      </w:r>
      <w:r>
        <w:rPr>
          <w:spacing w:val="-9"/>
        </w:rPr>
        <w:t xml:space="preserve"> </w:t>
      </w:r>
      <w:r>
        <w:t>domestic</w:t>
      </w:r>
      <w:r>
        <w:rPr>
          <w:spacing w:val="-13"/>
        </w:rPr>
        <w:t xml:space="preserve"> </w:t>
      </w:r>
      <w:r>
        <w:t>like</w:t>
      </w:r>
      <w:r>
        <w:rPr>
          <w:spacing w:val="-12"/>
        </w:rPr>
        <w:t xml:space="preserve"> </w:t>
      </w:r>
      <w:r>
        <w:t>products</w:t>
      </w:r>
      <w:r>
        <w:rPr>
          <w:spacing w:val="-10"/>
        </w:rPr>
        <w:t xml:space="preserve"> </w:t>
      </w:r>
      <w:r>
        <w:t>were</w:t>
      </w:r>
      <w:r>
        <w:rPr>
          <w:spacing w:val="-12"/>
        </w:rPr>
        <w:t xml:space="preserve"> </w:t>
      </w:r>
      <w:r>
        <w:t>sufficiently</w:t>
      </w:r>
      <w:r>
        <w:rPr>
          <w:spacing w:val="-11"/>
        </w:rPr>
        <w:t xml:space="preserve"> </w:t>
      </w:r>
      <w:r>
        <w:t>similar to be compared without adjustments.</w:t>
      </w:r>
    </w:p>
    <w:p w14:paraId="5B4D6E70" w14:textId="50C086F9" w:rsidR="00BD462C" w:rsidRDefault="007A6FB5">
      <w:pPr>
        <w:pStyle w:val="BodyText"/>
        <w:spacing w:before="164" w:line="357" w:lineRule="auto"/>
        <w:ind w:left="136" w:right="912" w:hanging="5"/>
        <w:jc w:val="both"/>
      </w:pPr>
      <w:r>
        <w:rPr>
          <w:noProof/>
        </w:rPr>
        <w:t>463.</w:t>
      </w:r>
      <w:r w:rsidR="00033D0F">
        <w:rPr>
          <w:rFonts w:ascii="Times New Roman"/>
          <w:spacing w:val="80"/>
          <w:position w:val="1"/>
          <w:sz w:val="20"/>
        </w:rPr>
        <w:t xml:space="preserve"> </w:t>
      </w:r>
      <w:r w:rsidR="00033D0F">
        <w:rPr>
          <w:position w:val="1"/>
        </w:rPr>
        <w:t>In asserting that</w:t>
      </w:r>
      <w:r w:rsidR="00033D0F">
        <w:rPr>
          <w:spacing w:val="-2"/>
          <w:position w:val="1"/>
        </w:rPr>
        <w:t xml:space="preserve"> </w:t>
      </w:r>
      <w:r w:rsidR="00033D0F">
        <w:rPr>
          <w:position w:val="1"/>
        </w:rPr>
        <w:t>Australia has conflated quality and product categorisation,</w:t>
      </w:r>
      <w:hyperlink w:anchor="_bookmark795" w:history="1">
        <w:r w:rsidR="00033D0F">
          <w:rPr>
            <w:position w:val="1"/>
            <w:vertAlign w:val="superscript"/>
          </w:rPr>
          <w:t>673</w:t>
        </w:r>
      </w:hyperlink>
      <w:r w:rsidR="00033D0F">
        <w:rPr>
          <w:position w:val="1"/>
        </w:rPr>
        <w:t xml:space="preserve"> China </w:t>
      </w:r>
      <w:r w:rsidR="00033D0F">
        <w:t>seeks to draw a distinction without difference, which, ultimately, is irrelevant to Australia's argument.</w:t>
      </w:r>
      <w:r w:rsidR="00033D0F">
        <w:rPr>
          <w:spacing w:val="-5"/>
        </w:rPr>
        <w:t xml:space="preserve"> </w:t>
      </w:r>
      <w:r w:rsidR="00033D0F">
        <w:t>Australia's</w:t>
      </w:r>
      <w:r w:rsidR="00033D0F">
        <w:rPr>
          <w:spacing w:val="-5"/>
        </w:rPr>
        <w:t xml:space="preserve"> </w:t>
      </w:r>
      <w:r w:rsidR="00033D0F">
        <w:t>position</w:t>
      </w:r>
      <w:r w:rsidR="00033D0F">
        <w:rPr>
          <w:spacing w:val="-8"/>
        </w:rPr>
        <w:t xml:space="preserve"> </w:t>
      </w:r>
      <w:r w:rsidR="00033D0F">
        <w:t>is</w:t>
      </w:r>
      <w:r w:rsidR="00033D0F">
        <w:rPr>
          <w:spacing w:val="-5"/>
        </w:rPr>
        <w:t xml:space="preserve"> </w:t>
      </w:r>
      <w:r w:rsidR="00033D0F">
        <w:t>that</w:t>
      </w:r>
      <w:r w:rsidR="00033D0F">
        <w:rPr>
          <w:spacing w:val="-6"/>
        </w:rPr>
        <w:t xml:space="preserve"> </w:t>
      </w:r>
      <w:r w:rsidR="00033D0F">
        <w:t>differences</w:t>
      </w:r>
      <w:r w:rsidR="00033D0F">
        <w:rPr>
          <w:spacing w:val="-5"/>
        </w:rPr>
        <w:t xml:space="preserve"> </w:t>
      </w:r>
      <w:r w:rsidR="00033D0F">
        <w:t>in</w:t>
      </w:r>
      <w:r w:rsidR="00033D0F">
        <w:rPr>
          <w:spacing w:val="-8"/>
        </w:rPr>
        <w:t xml:space="preserve"> </w:t>
      </w:r>
      <w:r w:rsidR="00033D0F">
        <w:t>product</w:t>
      </w:r>
      <w:r w:rsidR="00033D0F">
        <w:rPr>
          <w:spacing w:val="-6"/>
        </w:rPr>
        <w:t xml:space="preserve"> </w:t>
      </w:r>
      <w:r w:rsidR="00033D0F">
        <w:t>types,</w:t>
      </w:r>
      <w:r w:rsidR="00033D0F">
        <w:rPr>
          <w:spacing w:val="-4"/>
        </w:rPr>
        <w:t xml:space="preserve"> </w:t>
      </w:r>
      <w:r w:rsidR="00033D0F">
        <w:t>grades</w:t>
      </w:r>
      <w:r w:rsidR="00033D0F">
        <w:rPr>
          <w:spacing w:val="-5"/>
        </w:rPr>
        <w:t xml:space="preserve"> </w:t>
      </w:r>
      <w:r w:rsidR="00033D0F">
        <w:t>and</w:t>
      </w:r>
      <w:r w:rsidR="00033D0F">
        <w:rPr>
          <w:spacing w:val="-3"/>
        </w:rPr>
        <w:t xml:space="preserve"> </w:t>
      </w:r>
      <w:proofErr w:type="spellStart"/>
      <w:r w:rsidR="00033D0F">
        <w:t>categorisations</w:t>
      </w:r>
      <w:proofErr w:type="spellEnd"/>
      <w:r w:rsidR="00033D0F">
        <w:t xml:space="preserve"> are all factors which</w:t>
      </w:r>
      <w:r w:rsidR="00033D0F">
        <w:rPr>
          <w:spacing w:val="-1"/>
        </w:rPr>
        <w:t xml:space="preserve"> </w:t>
      </w:r>
      <w:r w:rsidR="00033D0F">
        <w:t>impact product quality. These differences are ultimately reflected</w:t>
      </w:r>
      <w:r w:rsidR="00033D0F">
        <w:rPr>
          <w:spacing w:val="-5"/>
        </w:rPr>
        <w:t xml:space="preserve"> </w:t>
      </w:r>
      <w:r w:rsidR="00033D0F">
        <w:t>in</w:t>
      </w:r>
      <w:r w:rsidR="00033D0F">
        <w:rPr>
          <w:spacing w:val="-1"/>
        </w:rPr>
        <w:t xml:space="preserve"> </w:t>
      </w:r>
      <w:r w:rsidR="00033D0F">
        <w:t>the prices that purchasers are willing to pay for different products in the market. Australia's argument is directed to MOFCOM's failure to ensure price comparability during its price effects analysis. The reality</w:t>
      </w:r>
      <w:r w:rsidR="00033D0F">
        <w:rPr>
          <w:spacing w:val="-2"/>
        </w:rPr>
        <w:t xml:space="preserve"> </w:t>
      </w:r>
      <w:r w:rsidR="00033D0F">
        <w:t>is</w:t>
      </w:r>
      <w:r w:rsidR="00033D0F">
        <w:rPr>
          <w:spacing w:val="-2"/>
        </w:rPr>
        <w:t xml:space="preserve"> </w:t>
      </w:r>
      <w:r w:rsidR="00033D0F">
        <w:t>that MOFCOM</w:t>
      </w:r>
      <w:r w:rsidR="00033D0F">
        <w:rPr>
          <w:spacing w:val="-3"/>
        </w:rPr>
        <w:t xml:space="preserve"> </w:t>
      </w:r>
      <w:r w:rsidR="00033D0F">
        <w:t>did</w:t>
      </w:r>
      <w:r w:rsidR="00033D0F">
        <w:rPr>
          <w:spacing w:val="-1"/>
        </w:rPr>
        <w:t xml:space="preserve"> </w:t>
      </w:r>
      <w:r w:rsidR="00033D0F">
        <w:t>not make any adjustments or</w:t>
      </w:r>
      <w:r w:rsidR="00033D0F">
        <w:rPr>
          <w:spacing w:val="-1"/>
        </w:rPr>
        <w:t xml:space="preserve"> </w:t>
      </w:r>
      <w:r w:rsidR="00033D0F">
        <w:t>take any</w:t>
      </w:r>
      <w:r w:rsidR="00033D0F">
        <w:rPr>
          <w:spacing w:val="-2"/>
        </w:rPr>
        <w:t xml:space="preserve"> </w:t>
      </w:r>
      <w:r w:rsidR="00033D0F">
        <w:t xml:space="preserve">steps to address product mix differences, whether </w:t>
      </w:r>
      <w:proofErr w:type="spellStart"/>
      <w:r w:rsidR="00033D0F">
        <w:t>characterised</w:t>
      </w:r>
      <w:proofErr w:type="spellEnd"/>
      <w:r w:rsidR="00033D0F">
        <w:t xml:space="preserve"> as differences in "quality </w:t>
      </w:r>
      <w:r w:rsidR="00033D0F">
        <w:rPr>
          <w:i/>
        </w:rPr>
        <w:t>per se</w:t>
      </w:r>
      <w:r w:rsidR="00033D0F">
        <w:t>" or</w:t>
      </w:r>
      <w:r w:rsidR="00033D0F">
        <w:rPr>
          <w:spacing w:val="-5"/>
        </w:rPr>
        <w:t xml:space="preserve"> </w:t>
      </w:r>
      <w:r w:rsidR="00033D0F">
        <w:t>as differences</w:t>
      </w:r>
      <w:r w:rsidR="00033D0F">
        <w:rPr>
          <w:spacing w:val="-1"/>
        </w:rPr>
        <w:t xml:space="preserve"> </w:t>
      </w:r>
      <w:r w:rsidR="00033D0F">
        <w:t xml:space="preserve">in type, grade, or </w:t>
      </w:r>
      <w:proofErr w:type="spellStart"/>
      <w:r w:rsidR="00033D0F">
        <w:t>categorisation</w:t>
      </w:r>
      <w:proofErr w:type="spellEnd"/>
      <w:r w:rsidR="00033D0F">
        <w:rPr>
          <w:spacing w:val="-4"/>
        </w:rPr>
        <w:t xml:space="preserve"> </w:t>
      </w:r>
      <w:r w:rsidR="00033D0F">
        <w:t>that</w:t>
      </w:r>
      <w:r w:rsidR="00033D0F">
        <w:rPr>
          <w:spacing w:val="-2"/>
        </w:rPr>
        <w:t xml:space="preserve"> </w:t>
      </w:r>
      <w:r w:rsidR="00033D0F">
        <w:t>are</w:t>
      </w:r>
      <w:r w:rsidR="00033D0F">
        <w:rPr>
          <w:spacing w:val="-2"/>
        </w:rPr>
        <w:t xml:space="preserve"> </w:t>
      </w:r>
      <w:r w:rsidR="00033D0F">
        <w:t>ultimately</w:t>
      </w:r>
      <w:r w:rsidR="00033D0F">
        <w:rPr>
          <w:spacing w:val="-1"/>
        </w:rPr>
        <w:t xml:space="preserve"> </w:t>
      </w:r>
      <w:r w:rsidR="00033D0F">
        <w:t>related</w:t>
      </w:r>
      <w:r w:rsidR="00033D0F">
        <w:rPr>
          <w:spacing w:val="-4"/>
        </w:rPr>
        <w:t xml:space="preserve"> </w:t>
      </w:r>
      <w:r w:rsidR="00033D0F">
        <w:t>to</w:t>
      </w:r>
      <w:r w:rsidR="00033D0F">
        <w:rPr>
          <w:spacing w:val="-5"/>
        </w:rPr>
        <w:t xml:space="preserve"> </w:t>
      </w:r>
      <w:r w:rsidR="00033D0F">
        <w:t>the</w:t>
      </w:r>
      <w:r w:rsidR="00033D0F">
        <w:rPr>
          <w:spacing w:val="-3"/>
        </w:rPr>
        <w:t xml:space="preserve"> </w:t>
      </w:r>
      <w:r w:rsidR="00033D0F">
        <w:t>questions of quality and value.</w:t>
      </w:r>
      <w:hyperlink w:anchor="_bookmark796" w:history="1">
        <w:r w:rsidR="00033D0F">
          <w:rPr>
            <w:vertAlign w:val="superscript"/>
          </w:rPr>
          <w:t>674</w:t>
        </w:r>
      </w:hyperlink>
    </w:p>
    <w:p w14:paraId="449296E1" w14:textId="77777777" w:rsidR="00BD462C" w:rsidRDefault="00033D0F">
      <w:pPr>
        <w:pStyle w:val="ListParagraph"/>
        <w:numPr>
          <w:ilvl w:val="2"/>
          <w:numId w:val="55"/>
        </w:numPr>
        <w:tabs>
          <w:tab w:val="left" w:pos="5238"/>
          <w:tab w:val="left" w:pos="5239"/>
        </w:tabs>
        <w:spacing w:before="175" w:line="357" w:lineRule="auto"/>
        <w:ind w:right="922"/>
        <w:jc w:val="both"/>
        <w:rPr>
          <w:sz w:val="24"/>
        </w:rPr>
      </w:pPr>
      <w:bookmarkStart w:id="923" w:name="(B)_Australia's_arguments_are_not_based_"/>
      <w:bookmarkEnd w:id="923"/>
      <w:r>
        <w:rPr>
          <w:sz w:val="24"/>
          <w:u w:val="single"/>
        </w:rPr>
        <w:t>Australia's arguments are not based on</w:t>
      </w:r>
      <w:r>
        <w:rPr>
          <w:sz w:val="24"/>
        </w:rPr>
        <w:t xml:space="preserve"> </w:t>
      </w:r>
      <w:r>
        <w:rPr>
          <w:spacing w:val="-2"/>
          <w:sz w:val="24"/>
          <w:u w:val="single"/>
        </w:rPr>
        <w:t>misrepresentations</w:t>
      </w:r>
    </w:p>
    <w:p w14:paraId="46B3078F" w14:textId="77777777" w:rsidR="00BD462C" w:rsidRDefault="00BD462C">
      <w:pPr>
        <w:pStyle w:val="BodyText"/>
        <w:spacing w:before="3"/>
        <w:rPr>
          <w:sz w:val="9"/>
        </w:rPr>
      </w:pPr>
    </w:p>
    <w:p w14:paraId="5D35E046" w14:textId="57E4ED5F" w:rsidR="00BD462C" w:rsidRDefault="007A6FB5">
      <w:pPr>
        <w:pStyle w:val="BodyText"/>
        <w:spacing w:before="56" w:line="357" w:lineRule="auto"/>
        <w:ind w:left="135" w:hanging="5"/>
      </w:pPr>
      <w:r>
        <w:rPr>
          <w:noProof/>
        </w:rPr>
        <w:t>464.</w:t>
      </w:r>
      <w:r w:rsidR="00033D0F">
        <w:rPr>
          <w:rFonts w:ascii="Times New Roman"/>
          <w:spacing w:val="80"/>
          <w:position w:val="1"/>
          <w:sz w:val="20"/>
        </w:rPr>
        <w:t xml:space="preserve">  </w:t>
      </w:r>
      <w:r w:rsidR="00033D0F">
        <w:rPr>
          <w:position w:val="1"/>
        </w:rPr>
        <w:t>China</w:t>
      </w:r>
      <w:r w:rsidR="00033D0F">
        <w:rPr>
          <w:spacing w:val="25"/>
          <w:position w:val="1"/>
        </w:rPr>
        <w:t xml:space="preserve"> </w:t>
      </w:r>
      <w:r w:rsidR="00033D0F">
        <w:rPr>
          <w:position w:val="1"/>
        </w:rPr>
        <w:t>asserts</w:t>
      </w:r>
      <w:r w:rsidR="00033D0F">
        <w:rPr>
          <w:spacing w:val="27"/>
          <w:position w:val="1"/>
        </w:rPr>
        <w:t xml:space="preserve"> </w:t>
      </w:r>
      <w:r w:rsidR="00033D0F">
        <w:rPr>
          <w:position w:val="1"/>
        </w:rPr>
        <w:t>that</w:t>
      </w:r>
      <w:r w:rsidR="00033D0F">
        <w:rPr>
          <w:spacing w:val="26"/>
          <w:position w:val="1"/>
        </w:rPr>
        <w:t xml:space="preserve"> </w:t>
      </w:r>
      <w:r w:rsidR="00033D0F">
        <w:rPr>
          <w:position w:val="1"/>
        </w:rPr>
        <w:t>Australia's</w:t>
      </w:r>
      <w:r w:rsidR="00033D0F">
        <w:rPr>
          <w:spacing w:val="27"/>
          <w:position w:val="1"/>
        </w:rPr>
        <w:t xml:space="preserve"> </w:t>
      </w:r>
      <w:r w:rsidR="00033D0F">
        <w:rPr>
          <w:position w:val="1"/>
        </w:rPr>
        <w:t>argument</w:t>
      </w:r>
      <w:r w:rsidR="00033D0F">
        <w:rPr>
          <w:spacing w:val="26"/>
          <w:position w:val="1"/>
        </w:rPr>
        <w:t xml:space="preserve"> </w:t>
      </w:r>
      <w:r w:rsidR="00033D0F">
        <w:rPr>
          <w:position w:val="1"/>
        </w:rPr>
        <w:t>regarding</w:t>
      </w:r>
      <w:r w:rsidR="00033D0F">
        <w:rPr>
          <w:spacing w:val="27"/>
          <w:position w:val="1"/>
        </w:rPr>
        <w:t xml:space="preserve"> </w:t>
      </w:r>
      <w:r w:rsidR="00033D0F">
        <w:rPr>
          <w:position w:val="1"/>
        </w:rPr>
        <w:t>product</w:t>
      </w:r>
      <w:r w:rsidR="00033D0F">
        <w:rPr>
          <w:spacing w:val="26"/>
          <w:position w:val="1"/>
        </w:rPr>
        <w:t xml:space="preserve"> </w:t>
      </w:r>
      <w:r w:rsidR="00033D0F">
        <w:rPr>
          <w:position w:val="1"/>
        </w:rPr>
        <w:t>mix</w:t>
      </w:r>
      <w:r w:rsidR="00033D0F">
        <w:rPr>
          <w:spacing w:val="26"/>
          <w:position w:val="1"/>
        </w:rPr>
        <w:t xml:space="preserve"> </w:t>
      </w:r>
      <w:r w:rsidR="00033D0F">
        <w:rPr>
          <w:position w:val="1"/>
        </w:rPr>
        <w:t>is</w:t>
      </w:r>
      <w:r w:rsidR="00033D0F">
        <w:rPr>
          <w:spacing w:val="27"/>
          <w:position w:val="1"/>
        </w:rPr>
        <w:t xml:space="preserve"> </w:t>
      </w:r>
      <w:r w:rsidR="00033D0F">
        <w:rPr>
          <w:position w:val="1"/>
        </w:rPr>
        <w:t>based</w:t>
      </w:r>
      <w:r w:rsidR="00033D0F">
        <w:rPr>
          <w:spacing w:val="23"/>
          <w:position w:val="1"/>
        </w:rPr>
        <w:t xml:space="preserve"> </w:t>
      </w:r>
      <w:r w:rsidR="00033D0F">
        <w:rPr>
          <w:position w:val="1"/>
        </w:rPr>
        <w:t>on</w:t>
      </w:r>
      <w:r w:rsidR="00033D0F">
        <w:rPr>
          <w:spacing w:val="23"/>
          <w:position w:val="1"/>
        </w:rPr>
        <w:t xml:space="preserve"> </w:t>
      </w:r>
      <w:r w:rsidR="00033D0F">
        <w:rPr>
          <w:position w:val="1"/>
        </w:rPr>
        <w:t xml:space="preserve">factual </w:t>
      </w:r>
      <w:r w:rsidR="00033D0F">
        <w:t>misrepresentations.</w:t>
      </w:r>
      <w:hyperlink w:anchor="_bookmark797" w:history="1">
        <w:r w:rsidR="00033D0F">
          <w:rPr>
            <w:vertAlign w:val="superscript"/>
          </w:rPr>
          <w:t>675</w:t>
        </w:r>
      </w:hyperlink>
      <w:r w:rsidR="00033D0F">
        <w:t xml:space="preserve"> This is incorrect.</w:t>
      </w:r>
    </w:p>
    <w:p w14:paraId="76E9C9C6" w14:textId="77777777" w:rsidR="00BD462C" w:rsidRDefault="00BD462C">
      <w:pPr>
        <w:pStyle w:val="BodyText"/>
        <w:spacing w:before="2"/>
        <w:rPr>
          <w:sz w:val="9"/>
        </w:rPr>
      </w:pPr>
    </w:p>
    <w:p w14:paraId="01EEA3CD" w14:textId="1D20E653" w:rsidR="00BD462C" w:rsidRDefault="007A6FB5">
      <w:pPr>
        <w:pStyle w:val="BodyText"/>
        <w:spacing w:before="56" w:line="357" w:lineRule="auto"/>
        <w:ind w:left="135" w:right="912" w:hanging="5"/>
        <w:jc w:val="both"/>
      </w:pPr>
      <w:r>
        <w:rPr>
          <w:noProof/>
        </w:rPr>
        <w:t>465.</w:t>
      </w:r>
      <w:r w:rsidR="00033D0F">
        <w:rPr>
          <w:rFonts w:ascii="Times New Roman"/>
          <w:spacing w:val="80"/>
          <w:position w:val="1"/>
          <w:sz w:val="20"/>
        </w:rPr>
        <w:t xml:space="preserve"> </w:t>
      </w:r>
      <w:r w:rsidR="00033D0F">
        <w:rPr>
          <w:position w:val="1"/>
        </w:rPr>
        <w:t>First, contrary</w:t>
      </w:r>
      <w:r w:rsidR="00033D0F">
        <w:rPr>
          <w:spacing w:val="-1"/>
          <w:position w:val="1"/>
        </w:rPr>
        <w:t xml:space="preserve"> </w:t>
      </w:r>
      <w:r w:rsidR="00033D0F">
        <w:rPr>
          <w:position w:val="1"/>
        </w:rPr>
        <w:t>to</w:t>
      </w:r>
      <w:r w:rsidR="00033D0F">
        <w:rPr>
          <w:spacing w:val="-5"/>
          <w:position w:val="1"/>
        </w:rPr>
        <w:t xml:space="preserve"> </w:t>
      </w:r>
      <w:r w:rsidR="00033D0F">
        <w:rPr>
          <w:position w:val="1"/>
        </w:rPr>
        <w:t>China's</w:t>
      </w:r>
      <w:r w:rsidR="00033D0F">
        <w:rPr>
          <w:spacing w:val="-1"/>
          <w:position w:val="1"/>
        </w:rPr>
        <w:t xml:space="preserve"> </w:t>
      </w:r>
      <w:r w:rsidR="00033D0F">
        <w:rPr>
          <w:position w:val="1"/>
        </w:rPr>
        <w:t>assertion,</w:t>
      </w:r>
      <w:r w:rsidR="00033D0F">
        <w:rPr>
          <w:spacing w:val="-1"/>
          <w:position w:val="1"/>
        </w:rPr>
        <w:t xml:space="preserve"> </w:t>
      </w:r>
      <w:r w:rsidR="00033D0F">
        <w:rPr>
          <w:position w:val="1"/>
        </w:rPr>
        <w:t>Australia</w:t>
      </w:r>
      <w:r w:rsidR="00033D0F">
        <w:rPr>
          <w:spacing w:val="-3"/>
          <w:position w:val="1"/>
        </w:rPr>
        <w:t xml:space="preserve"> </w:t>
      </w:r>
      <w:r w:rsidR="00033D0F">
        <w:rPr>
          <w:position w:val="1"/>
        </w:rPr>
        <w:t>has</w:t>
      </w:r>
      <w:r w:rsidR="00033D0F">
        <w:rPr>
          <w:spacing w:val="-1"/>
          <w:position w:val="1"/>
        </w:rPr>
        <w:t xml:space="preserve"> </w:t>
      </w:r>
      <w:r w:rsidR="00033D0F">
        <w:rPr>
          <w:position w:val="1"/>
        </w:rPr>
        <w:t>not</w:t>
      </w:r>
      <w:r w:rsidR="00033D0F">
        <w:rPr>
          <w:spacing w:val="-2"/>
          <w:position w:val="1"/>
        </w:rPr>
        <w:t xml:space="preserve"> </w:t>
      </w:r>
      <w:r w:rsidR="00033D0F">
        <w:rPr>
          <w:position w:val="1"/>
        </w:rPr>
        <w:t>quoted the</w:t>
      </w:r>
      <w:r w:rsidR="00033D0F">
        <w:rPr>
          <w:spacing w:val="-3"/>
          <w:position w:val="1"/>
        </w:rPr>
        <w:t xml:space="preserve"> </w:t>
      </w:r>
      <w:r w:rsidR="00033D0F">
        <w:rPr>
          <w:position w:val="1"/>
        </w:rPr>
        <w:t xml:space="preserve">Final Determination </w:t>
      </w:r>
      <w:r w:rsidR="00033D0F">
        <w:t>out of context.</w:t>
      </w:r>
      <w:hyperlink w:anchor="_bookmark798" w:history="1">
        <w:r w:rsidR="00033D0F">
          <w:rPr>
            <w:vertAlign w:val="superscript"/>
          </w:rPr>
          <w:t>676</w:t>
        </w:r>
      </w:hyperlink>
      <w:r w:rsidR="00033D0F">
        <w:t xml:space="preserve"> Australia's argument is grounded in and reflects the consideration that MOFCOM</w:t>
      </w:r>
      <w:r w:rsidR="00033D0F">
        <w:rPr>
          <w:spacing w:val="-3"/>
        </w:rPr>
        <w:t xml:space="preserve"> </w:t>
      </w:r>
      <w:r w:rsidR="00033D0F">
        <w:t>gave</w:t>
      </w:r>
      <w:r w:rsidR="00033D0F">
        <w:rPr>
          <w:spacing w:val="-3"/>
        </w:rPr>
        <w:t xml:space="preserve"> </w:t>
      </w:r>
      <w:r w:rsidR="00033D0F">
        <w:t>to</w:t>
      </w:r>
      <w:r w:rsidR="00033D0F">
        <w:rPr>
          <w:spacing w:val="-6"/>
        </w:rPr>
        <w:t xml:space="preserve"> </w:t>
      </w:r>
      <w:r w:rsidR="00033D0F">
        <w:t>product</w:t>
      </w:r>
      <w:r w:rsidR="00033D0F">
        <w:rPr>
          <w:spacing w:val="-3"/>
        </w:rPr>
        <w:t xml:space="preserve"> </w:t>
      </w:r>
      <w:r w:rsidR="00033D0F">
        <w:t>mix,</w:t>
      </w:r>
      <w:r w:rsidR="00033D0F">
        <w:rPr>
          <w:spacing w:val="-2"/>
        </w:rPr>
        <w:t xml:space="preserve"> </w:t>
      </w:r>
      <w:r w:rsidR="00033D0F">
        <w:t>as</w:t>
      </w:r>
      <w:r w:rsidR="00033D0F">
        <w:rPr>
          <w:spacing w:val="-7"/>
        </w:rPr>
        <w:t xml:space="preserve"> </w:t>
      </w:r>
      <w:r w:rsidR="00033D0F">
        <w:t>evidenced</w:t>
      </w:r>
      <w:r w:rsidR="00033D0F">
        <w:rPr>
          <w:spacing w:val="-5"/>
        </w:rPr>
        <w:t xml:space="preserve"> </w:t>
      </w:r>
      <w:r w:rsidR="00033D0F">
        <w:t>on</w:t>
      </w:r>
      <w:r w:rsidR="00033D0F">
        <w:rPr>
          <w:spacing w:val="-5"/>
        </w:rPr>
        <w:t xml:space="preserve"> </w:t>
      </w:r>
      <w:r w:rsidR="00033D0F">
        <w:t>the</w:t>
      </w:r>
      <w:r w:rsidR="00033D0F">
        <w:rPr>
          <w:spacing w:val="-3"/>
        </w:rPr>
        <w:t xml:space="preserve"> </w:t>
      </w:r>
      <w:r w:rsidR="00033D0F">
        <w:t>investigation</w:t>
      </w:r>
      <w:r w:rsidR="00033D0F">
        <w:rPr>
          <w:spacing w:val="-5"/>
        </w:rPr>
        <w:t xml:space="preserve"> </w:t>
      </w:r>
      <w:r w:rsidR="00033D0F">
        <w:t>record.</w:t>
      </w:r>
      <w:r w:rsidR="00033D0F">
        <w:rPr>
          <w:spacing w:val="-3"/>
        </w:rPr>
        <w:t xml:space="preserve"> </w:t>
      </w:r>
      <w:r w:rsidR="00033D0F">
        <w:t>That</w:t>
      </w:r>
      <w:r w:rsidR="00033D0F">
        <w:rPr>
          <w:spacing w:val="-3"/>
        </w:rPr>
        <w:t xml:space="preserve"> </w:t>
      </w:r>
      <w:r w:rsidR="00033D0F">
        <w:t>is,</w:t>
      </w:r>
      <w:r w:rsidR="00033D0F">
        <w:rPr>
          <w:spacing w:val="-2"/>
        </w:rPr>
        <w:t xml:space="preserve"> </w:t>
      </w:r>
      <w:r w:rsidR="00033D0F">
        <w:t>both</w:t>
      </w:r>
      <w:r w:rsidR="00033D0F">
        <w:rPr>
          <w:spacing w:val="-5"/>
        </w:rPr>
        <w:t xml:space="preserve"> </w:t>
      </w:r>
      <w:r w:rsidR="00033D0F">
        <w:t>parties agree that MOFCOM's decision not to consider product mix was made on the basis of its like</w:t>
      </w:r>
    </w:p>
    <w:p w14:paraId="3B0E8E1E" w14:textId="77777777" w:rsidR="00BD462C" w:rsidRDefault="00BD462C">
      <w:pPr>
        <w:pStyle w:val="BodyText"/>
        <w:rPr>
          <w:sz w:val="20"/>
        </w:rPr>
      </w:pPr>
    </w:p>
    <w:p w14:paraId="386EF9E8" w14:textId="77777777" w:rsidR="00BD462C" w:rsidRDefault="00BD462C">
      <w:pPr>
        <w:pStyle w:val="BodyText"/>
        <w:rPr>
          <w:sz w:val="20"/>
        </w:rPr>
      </w:pPr>
    </w:p>
    <w:p w14:paraId="1475FE12" w14:textId="79A1B7B5" w:rsidR="00BD462C" w:rsidRDefault="00D70C7D">
      <w:pPr>
        <w:pStyle w:val="BodyText"/>
        <w:spacing w:before="6"/>
        <w:rPr>
          <w:sz w:val="11"/>
        </w:rPr>
      </w:pPr>
      <w:r>
        <w:rPr>
          <w:noProof/>
        </w:rPr>
        <mc:AlternateContent>
          <mc:Choice Requires="wps">
            <w:drawing>
              <wp:anchor distT="0" distB="0" distL="0" distR="0" simplePos="0" relativeHeight="487775744" behindDoc="1" locked="0" layoutInCell="1" allowOverlap="1" wp14:anchorId="6F93D52D" wp14:editId="54E7998F">
                <wp:simplePos x="0" y="0"/>
                <wp:positionH relativeFrom="page">
                  <wp:posOffset>899160</wp:posOffset>
                </wp:positionH>
                <wp:positionV relativeFrom="paragraph">
                  <wp:posOffset>104775</wp:posOffset>
                </wp:positionV>
                <wp:extent cx="1828800" cy="8890"/>
                <wp:effectExtent l="0" t="0" r="0" b="0"/>
                <wp:wrapTopAndBottom/>
                <wp:docPr id="610" name="docshape4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830EA7" id="docshape414" o:spid="_x0000_s1026" alt="&quot;&quot;" style="position:absolute;margin-left:70.8pt;margin-top:8.25pt;width:2in;height:.7pt;z-index:-15540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" fillcolor="black" stroked="f">
                <w10:wrap type="topAndBottom" anchorx="page"/>
              </v:rect>
            </w:pict>
          </mc:Fallback>
        </mc:AlternateContent>
      </w:r>
    </w:p>
    <w:p w14:paraId="0DA0A247" w14:textId="77777777" w:rsidR="00BD462C" w:rsidRDefault="00033D0F">
      <w:pPr>
        <w:spacing w:before="112" w:line="218" w:lineRule="exact"/>
        <w:ind w:left="135"/>
        <w:rPr>
          <w:sz w:val="18"/>
        </w:rPr>
      </w:pPr>
      <w:bookmarkStart w:id="924" w:name="_bookmark793"/>
      <w:bookmarkEnd w:id="924"/>
      <w:r>
        <w:rPr>
          <w:position w:val="5"/>
          <w:sz w:val="12"/>
        </w:rPr>
        <w:t>671</w:t>
      </w:r>
      <w:r>
        <w:rPr>
          <w:spacing w:val="12"/>
          <w:position w:val="5"/>
          <w:sz w:val="12"/>
        </w:rPr>
        <w:t xml:space="preserve"> </w:t>
      </w:r>
      <w:r>
        <w:rPr>
          <w:sz w:val="18"/>
        </w:rPr>
        <w:t>Australia's</w:t>
      </w:r>
      <w:r>
        <w:rPr>
          <w:spacing w:val="-7"/>
          <w:sz w:val="18"/>
        </w:rPr>
        <w:t xml:space="preserve"> </w:t>
      </w:r>
      <w:r>
        <w:rPr>
          <w:sz w:val="18"/>
        </w:rPr>
        <w:t>first</w:t>
      </w:r>
      <w:r>
        <w:rPr>
          <w:spacing w:val="-5"/>
          <w:sz w:val="18"/>
        </w:rPr>
        <w:t xml:space="preserve"> </w:t>
      </w:r>
      <w:r>
        <w:rPr>
          <w:sz w:val="18"/>
        </w:rPr>
        <w:t>written</w:t>
      </w:r>
      <w:r>
        <w:rPr>
          <w:spacing w:val="-3"/>
          <w:sz w:val="18"/>
        </w:rPr>
        <w:t xml:space="preserve"> </w:t>
      </w:r>
      <w:r>
        <w:rPr>
          <w:sz w:val="18"/>
        </w:rPr>
        <w:t>submission, paras.</w:t>
      </w:r>
      <w:r>
        <w:rPr>
          <w:spacing w:val="-5"/>
          <w:sz w:val="18"/>
        </w:rPr>
        <w:t xml:space="preserve"> </w:t>
      </w:r>
      <w:r>
        <w:rPr>
          <w:sz w:val="18"/>
        </w:rPr>
        <w:t>566-</w:t>
      </w:r>
      <w:r>
        <w:rPr>
          <w:spacing w:val="-4"/>
          <w:sz w:val="18"/>
        </w:rPr>
        <w:t>586.</w:t>
      </w:r>
    </w:p>
    <w:p w14:paraId="667E37EF" w14:textId="77777777" w:rsidR="00BD462C" w:rsidRDefault="00033D0F">
      <w:pPr>
        <w:spacing w:line="218" w:lineRule="exact"/>
        <w:ind w:left="135"/>
        <w:rPr>
          <w:sz w:val="18"/>
        </w:rPr>
      </w:pPr>
      <w:bookmarkStart w:id="925" w:name="_bookmark794"/>
      <w:bookmarkEnd w:id="925"/>
      <w:r>
        <w:rPr>
          <w:position w:val="5"/>
          <w:sz w:val="12"/>
        </w:rPr>
        <w:t>672</w:t>
      </w:r>
      <w:r>
        <w:rPr>
          <w:spacing w:val="14"/>
          <w:position w:val="5"/>
          <w:sz w:val="12"/>
        </w:rPr>
        <w:t xml:space="preserve"> </w:t>
      </w:r>
      <w:r>
        <w:rPr>
          <w:sz w:val="18"/>
        </w:rPr>
        <w:t>China's</w:t>
      </w:r>
      <w:r>
        <w:rPr>
          <w:spacing w:val="-5"/>
          <w:sz w:val="18"/>
        </w:rPr>
        <w:t xml:space="preserve"> </w:t>
      </w:r>
      <w:r>
        <w:rPr>
          <w:sz w:val="18"/>
        </w:rPr>
        <w:t>first</w:t>
      </w:r>
      <w:r>
        <w:rPr>
          <w:spacing w:val="-4"/>
          <w:sz w:val="18"/>
        </w:rPr>
        <w:t xml:space="preserve"> </w:t>
      </w:r>
      <w:r>
        <w:rPr>
          <w:sz w:val="18"/>
        </w:rPr>
        <w:t>written</w:t>
      </w:r>
      <w:r>
        <w:rPr>
          <w:spacing w:val="-5"/>
          <w:sz w:val="18"/>
        </w:rPr>
        <w:t xml:space="preserve"> </w:t>
      </w:r>
      <w:r>
        <w:rPr>
          <w:sz w:val="18"/>
        </w:rPr>
        <w:t>submission,</w:t>
      </w:r>
      <w:r>
        <w:rPr>
          <w:spacing w:val="2"/>
          <w:sz w:val="18"/>
        </w:rPr>
        <w:t xml:space="preserve"> </w:t>
      </w:r>
      <w:r>
        <w:rPr>
          <w:sz w:val="18"/>
        </w:rPr>
        <w:t>paras.</w:t>
      </w:r>
      <w:r>
        <w:rPr>
          <w:spacing w:val="-4"/>
          <w:sz w:val="18"/>
        </w:rPr>
        <w:t xml:space="preserve"> </w:t>
      </w:r>
      <w:r>
        <w:rPr>
          <w:sz w:val="18"/>
        </w:rPr>
        <w:t>1132-1143;</w:t>
      </w:r>
      <w:r>
        <w:rPr>
          <w:spacing w:val="-7"/>
          <w:sz w:val="18"/>
        </w:rPr>
        <w:t xml:space="preserve"> </w:t>
      </w:r>
      <w:r>
        <w:rPr>
          <w:sz w:val="18"/>
        </w:rPr>
        <w:t>response</w:t>
      </w:r>
      <w:r>
        <w:rPr>
          <w:spacing w:val="-4"/>
          <w:sz w:val="18"/>
        </w:rPr>
        <w:t xml:space="preserve"> </w:t>
      </w:r>
      <w:r>
        <w:rPr>
          <w:sz w:val="18"/>
        </w:rPr>
        <w:t>to</w:t>
      </w:r>
      <w:r>
        <w:rPr>
          <w:spacing w:val="-6"/>
          <w:sz w:val="18"/>
        </w:rPr>
        <w:t xml:space="preserve"> </w:t>
      </w:r>
      <w:r>
        <w:rPr>
          <w:sz w:val="18"/>
        </w:rPr>
        <w:t>Panel</w:t>
      </w:r>
      <w:r>
        <w:rPr>
          <w:spacing w:val="-3"/>
          <w:sz w:val="18"/>
        </w:rPr>
        <w:t xml:space="preserve"> </w:t>
      </w:r>
      <w:r>
        <w:rPr>
          <w:sz w:val="18"/>
        </w:rPr>
        <w:t>question</w:t>
      </w:r>
      <w:r>
        <w:rPr>
          <w:spacing w:val="-10"/>
          <w:sz w:val="18"/>
        </w:rPr>
        <w:t xml:space="preserve"> </w:t>
      </w:r>
      <w:r>
        <w:rPr>
          <w:sz w:val="18"/>
        </w:rPr>
        <w:t>No.</w:t>
      </w:r>
      <w:r>
        <w:rPr>
          <w:spacing w:val="-3"/>
          <w:sz w:val="18"/>
        </w:rPr>
        <w:t xml:space="preserve"> </w:t>
      </w:r>
      <w:r>
        <w:rPr>
          <w:spacing w:val="-5"/>
          <w:sz w:val="18"/>
        </w:rPr>
        <w:t>27.</w:t>
      </w:r>
    </w:p>
    <w:p w14:paraId="1334CA3B" w14:textId="77777777" w:rsidR="00BD462C" w:rsidRDefault="00033D0F">
      <w:pPr>
        <w:spacing w:before="1"/>
        <w:ind w:left="135"/>
        <w:rPr>
          <w:sz w:val="18"/>
        </w:rPr>
      </w:pPr>
      <w:bookmarkStart w:id="926" w:name="_bookmark795"/>
      <w:bookmarkEnd w:id="926"/>
      <w:r>
        <w:rPr>
          <w:position w:val="5"/>
          <w:sz w:val="12"/>
        </w:rPr>
        <w:t>673</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 xml:space="preserve">submission, para. </w:t>
      </w:r>
      <w:r>
        <w:rPr>
          <w:spacing w:val="-2"/>
          <w:sz w:val="18"/>
        </w:rPr>
        <w:t>1148.</w:t>
      </w:r>
    </w:p>
    <w:p w14:paraId="6B3EFD51" w14:textId="77777777" w:rsidR="00BD462C" w:rsidRDefault="00033D0F">
      <w:pPr>
        <w:spacing w:before="1"/>
        <w:ind w:left="135"/>
        <w:rPr>
          <w:sz w:val="18"/>
        </w:rPr>
      </w:pPr>
      <w:bookmarkStart w:id="927" w:name="_bookmark796"/>
      <w:bookmarkEnd w:id="927"/>
      <w:r>
        <w:rPr>
          <w:position w:val="5"/>
          <w:sz w:val="12"/>
        </w:rPr>
        <w:t>674</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 xml:space="preserve">submission, para. </w:t>
      </w:r>
      <w:r>
        <w:rPr>
          <w:spacing w:val="-2"/>
          <w:sz w:val="18"/>
        </w:rPr>
        <w:t>1148.</w:t>
      </w:r>
    </w:p>
    <w:p w14:paraId="6A88FBFE" w14:textId="77777777" w:rsidR="00BD462C" w:rsidRDefault="00033D0F">
      <w:pPr>
        <w:spacing w:before="1"/>
        <w:ind w:left="135"/>
        <w:rPr>
          <w:sz w:val="18"/>
        </w:rPr>
      </w:pPr>
      <w:bookmarkStart w:id="928" w:name="_bookmark797"/>
      <w:bookmarkEnd w:id="928"/>
      <w:r>
        <w:rPr>
          <w:position w:val="5"/>
          <w:sz w:val="12"/>
        </w:rPr>
        <w:t>675</w:t>
      </w:r>
      <w:r>
        <w:rPr>
          <w:spacing w:val="12"/>
          <w:position w:val="5"/>
          <w:sz w:val="12"/>
        </w:rPr>
        <w:t xml:space="preserve"> </w:t>
      </w:r>
      <w:r>
        <w:rPr>
          <w:sz w:val="18"/>
        </w:rPr>
        <w:t>China's</w:t>
      </w:r>
      <w:r>
        <w:rPr>
          <w:spacing w:val="-6"/>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 paras.</w:t>
      </w:r>
      <w:r>
        <w:rPr>
          <w:spacing w:val="-5"/>
          <w:sz w:val="18"/>
        </w:rPr>
        <w:t xml:space="preserve"> </w:t>
      </w:r>
      <w:r>
        <w:rPr>
          <w:sz w:val="18"/>
        </w:rPr>
        <w:t>1152-</w:t>
      </w:r>
      <w:r>
        <w:rPr>
          <w:spacing w:val="-2"/>
          <w:sz w:val="18"/>
        </w:rPr>
        <w:t>1163.</w:t>
      </w:r>
    </w:p>
    <w:p w14:paraId="24382AF3" w14:textId="77777777" w:rsidR="00BD462C" w:rsidRDefault="00033D0F">
      <w:pPr>
        <w:spacing w:before="1"/>
        <w:ind w:left="135"/>
        <w:rPr>
          <w:sz w:val="18"/>
        </w:rPr>
      </w:pPr>
      <w:bookmarkStart w:id="929" w:name="_bookmark798"/>
      <w:bookmarkEnd w:id="929"/>
      <w:r>
        <w:rPr>
          <w:position w:val="5"/>
          <w:sz w:val="12"/>
        </w:rPr>
        <w:t>676</w:t>
      </w:r>
      <w:r>
        <w:rPr>
          <w:spacing w:val="12"/>
          <w:position w:val="5"/>
          <w:sz w:val="12"/>
        </w:rPr>
        <w:t xml:space="preserve"> </w:t>
      </w:r>
      <w:r>
        <w:rPr>
          <w:sz w:val="18"/>
        </w:rPr>
        <w:t>China's</w:t>
      </w:r>
      <w:r>
        <w:rPr>
          <w:spacing w:val="-6"/>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 paras.</w:t>
      </w:r>
      <w:r>
        <w:rPr>
          <w:spacing w:val="-5"/>
          <w:sz w:val="18"/>
        </w:rPr>
        <w:t xml:space="preserve"> </w:t>
      </w:r>
      <w:r>
        <w:rPr>
          <w:sz w:val="18"/>
        </w:rPr>
        <w:t>1155-</w:t>
      </w:r>
      <w:r>
        <w:rPr>
          <w:spacing w:val="-2"/>
          <w:sz w:val="18"/>
        </w:rPr>
        <w:t>1158.</w:t>
      </w:r>
    </w:p>
    <w:p w14:paraId="19D4606E" w14:textId="77777777" w:rsidR="00BD462C" w:rsidRDefault="00BD462C">
      <w:pPr>
        <w:rPr>
          <w:sz w:val="18"/>
        </w:rPr>
        <w:sectPr w:rsidR="00BD462C">
          <w:pgSz w:w="11910" w:h="16840"/>
          <w:pgMar w:top="860" w:right="500" w:bottom="780" w:left="1280" w:header="566" w:footer="590" w:gutter="0"/>
          <w:cols w:space="720"/>
        </w:sectPr>
      </w:pPr>
    </w:p>
    <w:p w14:paraId="03841FA0"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7EBDF16C"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57E3B432"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5584B4A9" w14:textId="77777777" w:rsidR="00BD462C" w:rsidRDefault="00033D0F">
      <w:pPr>
        <w:pStyle w:val="BodyText"/>
        <w:spacing w:before="102" w:line="360" w:lineRule="auto"/>
        <w:ind w:left="135" w:right="916"/>
        <w:jc w:val="both"/>
      </w:pPr>
      <w:r>
        <w:t>product</w:t>
      </w:r>
      <w:r>
        <w:rPr>
          <w:spacing w:val="-1"/>
        </w:rPr>
        <w:t xml:space="preserve"> </w:t>
      </w:r>
      <w:r>
        <w:t>determination.</w:t>
      </w:r>
      <w:hyperlink w:anchor="_bookmark799" w:history="1">
        <w:r>
          <w:rPr>
            <w:vertAlign w:val="superscript"/>
          </w:rPr>
          <w:t>677</w:t>
        </w:r>
      </w:hyperlink>
      <w:r>
        <w:rPr>
          <w:spacing w:val="-1"/>
        </w:rPr>
        <w:t xml:space="preserve"> </w:t>
      </w:r>
      <w:r>
        <w:t>As set</w:t>
      </w:r>
      <w:r>
        <w:rPr>
          <w:spacing w:val="-1"/>
        </w:rPr>
        <w:t xml:space="preserve"> </w:t>
      </w:r>
      <w:r>
        <w:t>out</w:t>
      </w:r>
      <w:r>
        <w:rPr>
          <w:spacing w:val="-1"/>
        </w:rPr>
        <w:t xml:space="preserve"> </w:t>
      </w:r>
      <w:r>
        <w:t>above, a determination</w:t>
      </w:r>
      <w:r>
        <w:rPr>
          <w:spacing w:val="-3"/>
        </w:rPr>
        <w:t xml:space="preserve"> </w:t>
      </w:r>
      <w:r>
        <w:t>that</w:t>
      </w:r>
      <w:r>
        <w:rPr>
          <w:spacing w:val="-1"/>
        </w:rPr>
        <w:t xml:space="preserve"> </w:t>
      </w:r>
      <w:r>
        <w:t>a</w:t>
      </w:r>
      <w:r>
        <w:rPr>
          <w:spacing w:val="-2"/>
        </w:rPr>
        <w:t xml:space="preserve"> </w:t>
      </w:r>
      <w:r>
        <w:t>basket</w:t>
      </w:r>
      <w:r>
        <w:rPr>
          <w:spacing w:val="-1"/>
        </w:rPr>
        <w:t xml:space="preserve"> </w:t>
      </w:r>
      <w:r>
        <w:t>of subject</w:t>
      </w:r>
      <w:r>
        <w:rPr>
          <w:spacing w:val="-1"/>
        </w:rPr>
        <w:t xml:space="preserve"> </w:t>
      </w:r>
      <w:r>
        <w:t>imports and a basket of domestic products are "like products" is insufficient to establish price comparability where the products within each basket are not homogenous.</w:t>
      </w:r>
      <w:hyperlink w:anchor="_bookmark800" w:history="1">
        <w:r>
          <w:rPr>
            <w:vertAlign w:val="superscript"/>
          </w:rPr>
          <w:t>678</w:t>
        </w:r>
      </w:hyperlink>
    </w:p>
    <w:p w14:paraId="5F1390B5" w14:textId="77777777" w:rsidR="00BD462C" w:rsidRDefault="00BD462C">
      <w:pPr>
        <w:pStyle w:val="BodyText"/>
        <w:spacing w:before="11"/>
        <w:rPr>
          <w:sz w:val="8"/>
        </w:rPr>
      </w:pPr>
    </w:p>
    <w:p w14:paraId="0CA35D61" w14:textId="145727D7" w:rsidR="00BD462C" w:rsidRDefault="007A6FB5">
      <w:pPr>
        <w:pStyle w:val="BodyText"/>
        <w:spacing w:before="56" w:line="360" w:lineRule="auto"/>
        <w:ind w:left="135" w:right="910" w:hanging="5"/>
        <w:jc w:val="both"/>
      </w:pPr>
      <w:r>
        <w:rPr>
          <w:noProof/>
        </w:rPr>
        <w:t>466.</w:t>
      </w:r>
      <w:r w:rsidR="00033D0F">
        <w:rPr>
          <w:rFonts w:ascii="Times New Roman" w:hAnsi="Times New Roman"/>
          <w:spacing w:val="80"/>
          <w:w w:val="150"/>
          <w:position w:val="1"/>
          <w:sz w:val="20"/>
        </w:rPr>
        <w:t xml:space="preserve"> </w:t>
      </w:r>
      <w:r w:rsidR="00033D0F">
        <w:rPr>
          <w:position w:val="1"/>
        </w:rPr>
        <w:t xml:space="preserve">Second, the panel's reasoning in </w:t>
      </w:r>
      <w:r w:rsidR="00033D0F">
        <w:rPr>
          <w:i/>
          <w:position w:val="1"/>
        </w:rPr>
        <w:t xml:space="preserve">China – Autos (US) </w:t>
      </w:r>
      <w:r w:rsidR="00033D0F">
        <w:rPr>
          <w:position w:val="1"/>
        </w:rPr>
        <w:t xml:space="preserve">is highly relevant to this case. In </w:t>
      </w:r>
      <w:r w:rsidR="00033D0F">
        <w:t>that dispute, the panel found that MOFCOM's determination that the annual average unit values were comparable was inadequate for two reasons: (i) there was evidence before MOFCOM suggesting that the mix of products differed between the subject imports and the domestic like product; and (ii) MOFCOM's determination acknowledged some lack of competitive</w:t>
      </w:r>
      <w:r w:rsidR="00033D0F">
        <w:rPr>
          <w:spacing w:val="-2"/>
        </w:rPr>
        <w:t xml:space="preserve"> </w:t>
      </w:r>
      <w:r w:rsidR="00033D0F">
        <w:t>overlap</w:t>
      </w:r>
      <w:r w:rsidR="00033D0F">
        <w:rPr>
          <w:spacing w:val="-4"/>
        </w:rPr>
        <w:t xml:space="preserve"> </w:t>
      </w:r>
      <w:r w:rsidR="00033D0F">
        <w:t>between</w:t>
      </w:r>
      <w:r w:rsidR="00033D0F">
        <w:rPr>
          <w:spacing w:val="-4"/>
        </w:rPr>
        <w:t xml:space="preserve"> </w:t>
      </w:r>
      <w:r w:rsidR="00033D0F">
        <w:t>subject</w:t>
      </w:r>
      <w:r w:rsidR="00033D0F">
        <w:rPr>
          <w:spacing w:val="-7"/>
        </w:rPr>
        <w:t xml:space="preserve"> </w:t>
      </w:r>
      <w:r w:rsidR="00033D0F">
        <w:t>imports</w:t>
      </w:r>
      <w:r w:rsidR="00033D0F">
        <w:rPr>
          <w:spacing w:val="-1"/>
        </w:rPr>
        <w:t xml:space="preserve"> </w:t>
      </w:r>
      <w:r w:rsidR="00033D0F">
        <w:t>and</w:t>
      </w:r>
      <w:r w:rsidR="00033D0F">
        <w:rPr>
          <w:spacing w:val="-4"/>
        </w:rPr>
        <w:t xml:space="preserve"> </w:t>
      </w:r>
      <w:r w:rsidR="00033D0F">
        <w:t>the</w:t>
      </w:r>
      <w:r w:rsidR="00033D0F">
        <w:rPr>
          <w:spacing w:val="-3"/>
        </w:rPr>
        <w:t xml:space="preserve"> </w:t>
      </w:r>
      <w:r w:rsidR="00033D0F">
        <w:t>domestic</w:t>
      </w:r>
      <w:r w:rsidR="00033D0F">
        <w:rPr>
          <w:spacing w:val="-4"/>
        </w:rPr>
        <w:t xml:space="preserve"> </w:t>
      </w:r>
      <w:r w:rsidR="00033D0F">
        <w:t>like</w:t>
      </w:r>
      <w:r w:rsidR="00033D0F">
        <w:rPr>
          <w:spacing w:val="-2"/>
        </w:rPr>
        <w:t xml:space="preserve"> </w:t>
      </w:r>
      <w:r w:rsidR="00033D0F">
        <w:t>product.</w:t>
      </w:r>
      <w:hyperlink w:anchor="_bookmark801" w:history="1">
        <w:r w:rsidR="00033D0F">
          <w:rPr>
            <w:vertAlign w:val="superscript"/>
          </w:rPr>
          <w:t>679</w:t>
        </w:r>
      </w:hyperlink>
      <w:r w:rsidR="00033D0F">
        <w:rPr>
          <w:spacing w:val="-2"/>
        </w:rPr>
        <w:t xml:space="preserve"> </w:t>
      </w:r>
      <w:r w:rsidR="00033D0F">
        <w:t>Both</w:t>
      </w:r>
      <w:r w:rsidR="00033D0F">
        <w:rPr>
          <w:spacing w:val="-4"/>
        </w:rPr>
        <w:t xml:space="preserve"> </w:t>
      </w:r>
      <w:r w:rsidR="00033D0F">
        <w:t>of</w:t>
      </w:r>
      <w:r w:rsidR="00033D0F">
        <w:rPr>
          <w:spacing w:val="-4"/>
        </w:rPr>
        <w:t xml:space="preserve"> </w:t>
      </w:r>
      <w:r w:rsidR="00033D0F">
        <w:t xml:space="preserve">these features are also present in the present dispute. In </w:t>
      </w:r>
      <w:r w:rsidR="00033D0F">
        <w:rPr>
          <w:i/>
        </w:rPr>
        <w:t>China – Autos (US)</w:t>
      </w:r>
      <w:r w:rsidR="00033D0F">
        <w:t>, the panel concluded that</w:t>
      </w:r>
      <w:r w:rsidR="00033D0F">
        <w:rPr>
          <w:spacing w:val="-2"/>
        </w:rPr>
        <w:t xml:space="preserve"> </w:t>
      </w:r>
      <w:r w:rsidR="00033D0F">
        <w:t>these</w:t>
      </w:r>
      <w:r w:rsidR="00033D0F">
        <w:rPr>
          <w:spacing w:val="-2"/>
        </w:rPr>
        <w:t xml:space="preserve"> </w:t>
      </w:r>
      <w:r w:rsidR="00033D0F">
        <w:t>two</w:t>
      </w:r>
      <w:r w:rsidR="00033D0F">
        <w:rPr>
          <w:spacing w:val="-5"/>
        </w:rPr>
        <w:t xml:space="preserve"> </w:t>
      </w:r>
      <w:r w:rsidR="00033D0F">
        <w:t>reasons meant</w:t>
      </w:r>
      <w:r w:rsidR="00033D0F">
        <w:rPr>
          <w:spacing w:val="-2"/>
        </w:rPr>
        <w:t xml:space="preserve"> </w:t>
      </w:r>
      <w:r w:rsidR="00033D0F">
        <w:t>that MOFCOM</w:t>
      </w:r>
      <w:r w:rsidR="00033D0F">
        <w:rPr>
          <w:spacing w:val="-2"/>
        </w:rPr>
        <w:t xml:space="preserve"> </w:t>
      </w:r>
      <w:r w:rsidR="00033D0F">
        <w:t>was aware</w:t>
      </w:r>
      <w:r w:rsidR="00033D0F">
        <w:rPr>
          <w:spacing w:val="-2"/>
        </w:rPr>
        <w:t xml:space="preserve"> </w:t>
      </w:r>
      <w:r w:rsidR="00033D0F">
        <w:t>of product</w:t>
      </w:r>
      <w:r w:rsidR="00033D0F">
        <w:rPr>
          <w:spacing w:val="-2"/>
        </w:rPr>
        <w:t xml:space="preserve"> </w:t>
      </w:r>
      <w:r w:rsidR="00033D0F">
        <w:t>mix</w:t>
      </w:r>
      <w:r w:rsidR="00033D0F">
        <w:rPr>
          <w:spacing w:val="-1"/>
        </w:rPr>
        <w:t xml:space="preserve"> </w:t>
      </w:r>
      <w:r w:rsidR="00033D0F">
        <w:t>differences</w:t>
      </w:r>
      <w:r w:rsidR="00033D0F">
        <w:rPr>
          <w:spacing w:val="-1"/>
        </w:rPr>
        <w:t xml:space="preserve"> </w:t>
      </w:r>
      <w:r w:rsidR="00033D0F">
        <w:t>and, as</w:t>
      </w:r>
      <w:r w:rsidR="00033D0F">
        <w:rPr>
          <w:spacing w:val="-1"/>
        </w:rPr>
        <w:t xml:space="preserve"> </w:t>
      </w:r>
      <w:r w:rsidR="00033D0F">
        <w:t>a result, an objective decision maker should have conducted further enquiries into those differences to determine whether they affected prices.</w:t>
      </w:r>
      <w:hyperlink w:anchor="_bookmark802" w:history="1">
        <w:r w:rsidR="00033D0F">
          <w:rPr>
            <w:vertAlign w:val="superscript"/>
          </w:rPr>
          <w:t>680</w:t>
        </w:r>
      </w:hyperlink>
      <w:r w:rsidR="00033D0F">
        <w:t xml:space="preserve"> The panel in that dispute further noted that MOFCOM's final determination did not contain a discussion of the product mix differences in the context of the price effects analysis.</w:t>
      </w:r>
      <w:hyperlink w:anchor="_bookmark803" w:history="1">
        <w:r w:rsidR="00033D0F">
          <w:rPr>
            <w:vertAlign w:val="superscript"/>
          </w:rPr>
          <w:t>681</w:t>
        </w:r>
      </w:hyperlink>
      <w:r w:rsidR="00033D0F">
        <w:t xml:space="preserve"> Both observations are equally true in this dispute.</w:t>
      </w:r>
    </w:p>
    <w:p w14:paraId="7241FBBF" w14:textId="77777777" w:rsidR="00BD462C" w:rsidRDefault="00BD462C">
      <w:pPr>
        <w:pStyle w:val="BodyText"/>
        <w:spacing w:before="4"/>
        <w:rPr>
          <w:sz w:val="8"/>
        </w:rPr>
      </w:pPr>
    </w:p>
    <w:p w14:paraId="6863C05A" w14:textId="1278C35F" w:rsidR="00BD462C" w:rsidRDefault="007A6FB5">
      <w:pPr>
        <w:pStyle w:val="BodyText"/>
        <w:spacing w:before="56" w:line="360" w:lineRule="auto"/>
        <w:ind w:left="136" w:right="915" w:hanging="5"/>
        <w:jc w:val="both"/>
      </w:pPr>
      <w:r>
        <w:rPr>
          <w:noProof/>
        </w:rPr>
        <w:t>467.</w:t>
      </w:r>
      <w:r w:rsidR="00033D0F">
        <w:rPr>
          <w:rFonts w:ascii="Times New Roman" w:hAnsi="Times New Roman"/>
          <w:spacing w:val="80"/>
          <w:position w:val="1"/>
          <w:sz w:val="20"/>
        </w:rPr>
        <w:t xml:space="preserve"> </w:t>
      </w:r>
      <w:r w:rsidR="00033D0F">
        <w:rPr>
          <w:position w:val="1"/>
        </w:rPr>
        <w:t xml:space="preserve">China attempts to distinguish the present dispute from </w:t>
      </w:r>
      <w:r w:rsidR="00033D0F">
        <w:rPr>
          <w:i/>
          <w:position w:val="1"/>
        </w:rPr>
        <w:t xml:space="preserve">China – Autos (US) </w:t>
      </w:r>
      <w:r w:rsidR="00033D0F">
        <w:rPr>
          <w:position w:val="1"/>
        </w:rPr>
        <w:t>by</w:t>
      </w:r>
      <w:r w:rsidR="00033D0F">
        <w:rPr>
          <w:spacing w:val="40"/>
          <w:position w:val="1"/>
        </w:rPr>
        <w:t xml:space="preserve"> </w:t>
      </w:r>
      <w:r w:rsidR="00033D0F">
        <w:t>asserting that the Australian sampled companies in this dispute failed to provide some data sought by MOFCOM, meaning that, having regard to the evidence on the record, MOFCOM could</w:t>
      </w:r>
      <w:r w:rsidR="00033D0F">
        <w:rPr>
          <w:spacing w:val="-14"/>
        </w:rPr>
        <w:t xml:space="preserve"> </w:t>
      </w:r>
      <w:r w:rsidR="00033D0F">
        <w:t>not</w:t>
      </w:r>
      <w:r w:rsidR="00033D0F">
        <w:rPr>
          <w:spacing w:val="-14"/>
        </w:rPr>
        <w:t xml:space="preserve"> </w:t>
      </w:r>
      <w:r w:rsidR="00033D0F">
        <w:t>enquire</w:t>
      </w:r>
      <w:r w:rsidR="00033D0F">
        <w:rPr>
          <w:spacing w:val="-13"/>
        </w:rPr>
        <w:t xml:space="preserve"> </w:t>
      </w:r>
      <w:r w:rsidR="00033D0F">
        <w:t>into</w:t>
      </w:r>
      <w:r w:rsidR="00033D0F">
        <w:rPr>
          <w:spacing w:val="-14"/>
        </w:rPr>
        <w:t xml:space="preserve"> </w:t>
      </w:r>
      <w:r w:rsidR="00033D0F">
        <w:t>or</w:t>
      </w:r>
      <w:r w:rsidR="00033D0F">
        <w:rPr>
          <w:spacing w:val="-13"/>
        </w:rPr>
        <w:t xml:space="preserve"> </w:t>
      </w:r>
      <w:r w:rsidR="00033D0F">
        <w:t>account</w:t>
      </w:r>
      <w:r w:rsidR="00033D0F">
        <w:rPr>
          <w:spacing w:val="-14"/>
        </w:rPr>
        <w:t xml:space="preserve"> </w:t>
      </w:r>
      <w:r w:rsidR="00033D0F">
        <w:t>for</w:t>
      </w:r>
      <w:r w:rsidR="00033D0F">
        <w:rPr>
          <w:spacing w:val="-13"/>
        </w:rPr>
        <w:t xml:space="preserve"> </w:t>
      </w:r>
      <w:r w:rsidR="00033D0F">
        <w:t>the</w:t>
      </w:r>
      <w:r w:rsidR="00033D0F">
        <w:rPr>
          <w:spacing w:val="-14"/>
        </w:rPr>
        <w:t xml:space="preserve"> </w:t>
      </w:r>
      <w:r w:rsidR="00033D0F">
        <w:t>differences</w:t>
      </w:r>
      <w:r w:rsidR="00033D0F">
        <w:rPr>
          <w:spacing w:val="-14"/>
        </w:rPr>
        <w:t xml:space="preserve"> </w:t>
      </w:r>
      <w:r w:rsidR="00033D0F">
        <w:t>in</w:t>
      </w:r>
      <w:r w:rsidR="00033D0F">
        <w:rPr>
          <w:spacing w:val="-13"/>
        </w:rPr>
        <w:t xml:space="preserve"> </w:t>
      </w:r>
      <w:r w:rsidR="00033D0F">
        <w:t>product</w:t>
      </w:r>
      <w:r w:rsidR="00033D0F">
        <w:rPr>
          <w:spacing w:val="-14"/>
        </w:rPr>
        <w:t xml:space="preserve"> </w:t>
      </w:r>
      <w:r w:rsidR="00033D0F">
        <w:t>mix</w:t>
      </w:r>
      <w:r w:rsidR="00033D0F">
        <w:rPr>
          <w:spacing w:val="-13"/>
        </w:rPr>
        <w:t xml:space="preserve"> </w:t>
      </w:r>
      <w:r w:rsidR="00033D0F">
        <w:t>in</w:t>
      </w:r>
      <w:r w:rsidR="00033D0F">
        <w:rPr>
          <w:spacing w:val="-14"/>
        </w:rPr>
        <w:t xml:space="preserve"> </w:t>
      </w:r>
      <w:r w:rsidR="00033D0F">
        <w:t>its</w:t>
      </w:r>
      <w:r w:rsidR="00033D0F">
        <w:rPr>
          <w:spacing w:val="-11"/>
        </w:rPr>
        <w:t xml:space="preserve"> </w:t>
      </w:r>
      <w:r w:rsidR="00033D0F">
        <w:t>price</w:t>
      </w:r>
      <w:r w:rsidR="00033D0F">
        <w:rPr>
          <w:spacing w:val="-13"/>
        </w:rPr>
        <w:t xml:space="preserve"> </w:t>
      </w:r>
      <w:r w:rsidR="00033D0F">
        <w:t>effects</w:t>
      </w:r>
      <w:r w:rsidR="00033D0F">
        <w:rPr>
          <w:spacing w:val="-12"/>
        </w:rPr>
        <w:t xml:space="preserve"> </w:t>
      </w:r>
      <w:r w:rsidR="00033D0F">
        <w:t>analysis. This assertion is not supported by the facts. Australia acknowledges that while the evidence before MOFCOM was not perfect, there was significant and detailed evidence concerning differences in product composition resulting in price differences.</w:t>
      </w:r>
      <w:hyperlink w:anchor="_bookmark804" w:history="1">
        <w:r w:rsidR="00033D0F">
          <w:rPr>
            <w:vertAlign w:val="superscript"/>
          </w:rPr>
          <w:t>682</w:t>
        </w:r>
      </w:hyperlink>
    </w:p>
    <w:p w14:paraId="55D7212C" w14:textId="77777777" w:rsidR="00BD462C" w:rsidRDefault="00BD462C">
      <w:pPr>
        <w:pStyle w:val="BodyText"/>
        <w:spacing w:before="5"/>
        <w:rPr>
          <w:sz w:val="8"/>
        </w:rPr>
      </w:pPr>
    </w:p>
    <w:p w14:paraId="39208514" w14:textId="7041B55E" w:rsidR="00BD462C" w:rsidRDefault="007A6FB5">
      <w:pPr>
        <w:pStyle w:val="BodyText"/>
        <w:spacing w:before="56" w:line="357" w:lineRule="auto"/>
        <w:ind w:left="135" w:right="923" w:hanging="5"/>
      </w:pPr>
      <w:r>
        <w:rPr>
          <w:noProof/>
        </w:rPr>
        <w:t>468.</w:t>
      </w:r>
      <w:r w:rsidR="00033D0F">
        <w:rPr>
          <w:rFonts w:ascii="Times New Roman" w:hAnsi="Times New Roman"/>
          <w:spacing w:val="80"/>
          <w:position w:val="1"/>
          <w:sz w:val="20"/>
        </w:rPr>
        <w:t xml:space="preserve">  </w:t>
      </w:r>
      <w:r w:rsidR="00033D0F">
        <w:rPr>
          <w:position w:val="1"/>
        </w:rPr>
        <w:t>The</w:t>
      </w:r>
      <w:r w:rsidR="00033D0F">
        <w:rPr>
          <w:spacing w:val="17"/>
          <w:position w:val="1"/>
        </w:rPr>
        <w:t xml:space="preserve"> </w:t>
      </w:r>
      <w:r w:rsidR="00033D0F">
        <w:rPr>
          <w:position w:val="1"/>
        </w:rPr>
        <w:t>balance</w:t>
      </w:r>
      <w:r w:rsidR="00033D0F">
        <w:rPr>
          <w:spacing w:val="22"/>
          <w:position w:val="1"/>
        </w:rPr>
        <w:t xml:space="preserve"> </w:t>
      </w:r>
      <w:r w:rsidR="00033D0F">
        <w:rPr>
          <w:position w:val="1"/>
        </w:rPr>
        <w:t>of the</w:t>
      </w:r>
      <w:r w:rsidR="00033D0F">
        <w:rPr>
          <w:spacing w:val="21"/>
          <w:position w:val="1"/>
        </w:rPr>
        <w:t xml:space="preserve"> </w:t>
      </w:r>
      <w:r w:rsidR="00033D0F">
        <w:rPr>
          <w:position w:val="1"/>
        </w:rPr>
        <w:t>"differences" included in China's</w:t>
      </w:r>
      <w:r w:rsidR="00033D0F">
        <w:rPr>
          <w:spacing w:val="18"/>
          <w:position w:val="1"/>
        </w:rPr>
        <w:t xml:space="preserve"> </w:t>
      </w:r>
      <w:r w:rsidR="00033D0F">
        <w:rPr>
          <w:position w:val="1"/>
        </w:rPr>
        <w:t>table</w:t>
      </w:r>
      <w:r w:rsidR="00033D0F">
        <w:rPr>
          <w:spacing w:val="17"/>
          <w:position w:val="1"/>
        </w:rPr>
        <w:t xml:space="preserve"> </w:t>
      </w:r>
      <w:r w:rsidR="00033D0F">
        <w:rPr>
          <w:position w:val="1"/>
        </w:rPr>
        <w:t>at</w:t>
      </w:r>
      <w:r w:rsidR="00033D0F">
        <w:rPr>
          <w:spacing w:val="17"/>
          <w:position w:val="1"/>
        </w:rPr>
        <w:t xml:space="preserve"> </w:t>
      </w:r>
      <w:r w:rsidR="00033D0F">
        <w:rPr>
          <w:position w:val="1"/>
        </w:rPr>
        <w:t>paragraph</w:t>
      </w:r>
      <w:r w:rsidR="00033D0F">
        <w:rPr>
          <w:spacing w:val="20"/>
          <w:position w:val="1"/>
        </w:rPr>
        <w:t xml:space="preserve"> </w:t>
      </w:r>
      <w:r w:rsidR="00033D0F">
        <w:rPr>
          <w:position w:val="1"/>
        </w:rPr>
        <w:t>1161</w:t>
      </w:r>
      <w:r w:rsidR="00033D0F">
        <w:rPr>
          <w:spacing w:val="19"/>
          <w:position w:val="1"/>
        </w:rPr>
        <w:t xml:space="preserve"> </w:t>
      </w:r>
      <w:r w:rsidR="00033D0F">
        <w:rPr>
          <w:position w:val="1"/>
        </w:rPr>
        <w:t xml:space="preserve">of its </w:t>
      </w:r>
      <w:r w:rsidR="00033D0F">
        <w:t>Frist</w:t>
      </w:r>
      <w:r w:rsidR="00033D0F">
        <w:rPr>
          <w:spacing w:val="2"/>
        </w:rPr>
        <w:t xml:space="preserve"> </w:t>
      </w:r>
      <w:r w:rsidR="00033D0F">
        <w:t>Written</w:t>
      </w:r>
      <w:r w:rsidR="00033D0F">
        <w:rPr>
          <w:spacing w:val="1"/>
        </w:rPr>
        <w:t xml:space="preserve"> </w:t>
      </w:r>
      <w:r w:rsidR="00033D0F">
        <w:t>Submission</w:t>
      </w:r>
      <w:r w:rsidR="00033D0F">
        <w:rPr>
          <w:spacing w:val="1"/>
        </w:rPr>
        <w:t xml:space="preserve"> </w:t>
      </w:r>
      <w:r w:rsidR="00033D0F">
        <w:t>are</w:t>
      </w:r>
      <w:r w:rsidR="00033D0F">
        <w:rPr>
          <w:spacing w:val="3"/>
        </w:rPr>
        <w:t xml:space="preserve"> </w:t>
      </w:r>
      <w:r w:rsidR="00033D0F">
        <w:t>irrelevant</w:t>
      </w:r>
      <w:r w:rsidR="00033D0F">
        <w:rPr>
          <w:spacing w:val="4"/>
        </w:rPr>
        <w:t xml:space="preserve"> </w:t>
      </w:r>
      <w:r w:rsidR="00033D0F">
        <w:t>to</w:t>
      </w:r>
      <w:r w:rsidR="00033D0F">
        <w:rPr>
          <w:spacing w:val="1"/>
        </w:rPr>
        <w:t xml:space="preserve"> </w:t>
      </w:r>
      <w:r w:rsidR="00033D0F">
        <w:t>the</w:t>
      </w:r>
      <w:r w:rsidR="00033D0F">
        <w:rPr>
          <w:spacing w:val="3"/>
        </w:rPr>
        <w:t xml:space="preserve"> </w:t>
      </w:r>
      <w:r w:rsidR="00033D0F">
        <w:t>panel's</w:t>
      </w:r>
      <w:r w:rsidR="00033D0F">
        <w:rPr>
          <w:spacing w:val="6"/>
        </w:rPr>
        <w:t xml:space="preserve"> </w:t>
      </w:r>
      <w:r w:rsidR="00033D0F">
        <w:t>reasoning</w:t>
      </w:r>
      <w:r w:rsidR="00033D0F">
        <w:rPr>
          <w:spacing w:val="5"/>
        </w:rPr>
        <w:t xml:space="preserve"> </w:t>
      </w:r>
      <w:r w:rsidR="00033D0F">
        <w:t>in</w:t>
      </w:r>
      <w:r w:rsidR="00033D0F">
        <w:rPr>
          <w:spacing w:val="1"/>
        </w:rPr>
        <w:t xml:space="preserve"> </w:t>
      </w:r>
      <w:r w:rsidR="00033D0F">
        <w:rPr>
          <w:i/>
        </w:rPr>
        <w:t>China</w:t>
      </w:r>
      <w:r w:rsidR="00033D0F">
        <w:rPr>
          <w:i/>
          <w:spacing w:val="5"/>
        </w:rPr>
        <w:t xml:space="preserve"> </w:t>
      </w:r>
      <w:r w:rsidR="00033D0F">
        <w:rPr>
          <w:i/>
        </w:rPr>
        <w:t>–</w:t>
      </w:r>
      <w:r w:rsidR="00033D0F">
        <w:rPr>
          <w:i/>
          <w:spacing w:val="3"/>
        </w:rPr>
        <w:t xml:space="preserve"> </w:t>
      </w:r>
      <w:r w:rsidR="00033D0F">
        <w:rPr>
          <w:i/>
        </w:rPr>
        <w:t>Autos</w:t>
      </w:r>
      <w:r w:rsidR="00033D0F">
        <w:rPr>
          <w:i/>
          <w:spacing w:val="1"/>
        </w:rPr>
        <w:t xml:space="preserve"> </w:t>
      </w:r>
      <w:r w:rsidR="00033D0F">
        <w:rPr>
          <w:i/>
        </w:rPr>
        <w:t>(US)</w:t>
      </w:r>
      <w:r w:rsidR="00033D0F">
        <w:rPr>
          <w:i/>
          <w:spacing w:val="2"/>
        </w:rPr>
        <w:t xml:space="preserve"> </w:t>
      </w:r>
      <w:r w:rsidR="00033D0F">
        <w:t>and</w:t>
      </w:r>
      <w:r w:rsidR="00033D0F">
        <w:rPr>
          <w:spacing w:val="2"/>
        </w:rPr>
        <w:t xml:space="preserve"> </w:t>
      </w:r>
      <w:r w:rsidR="00033D0F">
        <w:rPr>
          <w:spacing w:val="-5"/>
        </w:rPr>
        <w:t>do</w:t>
      </w:r>
    </w:p>
    <w:p w14:paraId="2F9E1FEA" w14:textId="032FCAD3" w:rsidR="00BD462C" w:rsidRDefault="006E6DEA">
      <w:pPr>
        <w:pStyle w:val="BodyText"/>
        <w:rPr>
          <w:sz w:val="20"/>
        </w:rPr>
      </w:pPr>
      <w:r>
        <w:rPr>
          <w:noProof/>
        </w:rPr>
        <mc:AlternateContent>
          <mc:Choice Requires="wps">
            <w:drawing>
              <wp:anchor distT="0" distB="0" distL="0" distR="0" simplePos="0" relativeHeight="488149504" behindDoc="1" locked="0" layoutInCell="1" allowOverlap="1" wp14:anchorId="0E0822D0" wp14:editId="3948D1E4">
                <wp:simplePos x="0" y="0"/>
                <wp:positionH relativeFrom="page">
                  <wp:posOffset>812800</wp:posOffset>
                </wp:positionH>
                <wp:positionV relativeFrom="paragraph">
                  <wp:posOffset>361950</wp:posOffset>
                </wp:positionV>
                <wp:extent cx="1828800" cy="8890"/>
                <wp:effectExtent l="0" t="0" r="0" b="0"/>
                <wp:wrapTopAndBottom/>
                <wp:docPr id="123" name="docshape7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1D34FF" id="docshape705" o:spid="_x0000_s1026" alt="&quot;&quot;" style="position:absolute;margin-left:64pt;margin-top:28.5pt;width:2in;height:.7pt;z-index:-1516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" fillcolor="black" stroked="f">
                <w10:wrap type="topAndBottom" anchorx="page"/>
              </v:rect>
            </w:pict>
          </mc:Fallback>
        </mc:AlternateContent>
      </w:r>
    </w:p>
    <w:p w14:paraId="603B3111" w14:textId="30CEA8D5" w:rsidR="00BD462C" w:rsidRDefault="00BD462C">
      <w:pPr>
        <w:pStyle w:val="BodyText"/>
        <w:spacing w:before="4"/>
        <w:rPr>
          <w:sz w:val="26"/>
        </w:rPr>
      </w:pPr>
    </w:p>
    <w:p w14:paraId="59D649F1" w14:textId="77777777" w:rsidR="00BD462C" w:rsidRDefault="00033D0F">
      <w:pPr>
        <w:spacing w:before="112"/>
        <w:ind w:left="136" w:right="910" w:hanging="1"/>
        <w:rPr>
          <w:sz w:val="18"/>
        </w:rPr>
      </w:pPr>
      <w:bookmarkStart w:id="930" w:name="_bookmark799"/>
      <w:bookmarkEnd w:id="930"/>
      <w:r>
        <w:rPr>
          <w:position w:val="5"/>
          <w:sz w:val="12"/>
        </w:rPr>
        <w:t>677</w:t>
      </w:r>
      <w:r>
        <w:rPr>
          <w:spacing w:val="64"/>
          <w:position w:val="5"/>
          <w:sz w:val="12"/>
        </w:rPr>
        <w:t xml:space="preserve"> </w:t>
      </w:r>
      <w:r>
        <w:rPr>
          <w:sz w:val="18"/>
        </w:rPr>
        <w:t>China's</w:t>
      </w:r>
      <w:r>
        <w:rPr>
          <w:spacing w:val="40"/>
          <w:sz w:val="18"/>
        </w:rPr>
        <w:t xml:space="preserve"> </w:t>
      </w:r>
      <w:r>
        <w:rPr>
          <w:sz w:val="18"/>
        </w:rPr>
        <w:t>first</w:t>
      </w:r>
      <w:r>
        <w:rPr>
          <w:spacing w:val="40"/>
          <w:sz w:val="18"/>
        </w:rPr>
        <w:t xml:space="preserve"> </w:t>
      </w:r>
      <w:r>
        <w:rPr>
          <w:sz w:val="18"/>
        </w:rPr>
        <w:t>written</w:t>
      </w:r>
      <w:r>
        <w:rPr>
          <w:spacing w:val="40"/>
          <w:sz w:val="18"/>
        </w:rPr>
        <w:t xml:space="preserve"> </w:t>
      </w:r>
      <w:r>
        <w:rPr>
          <w:sz w:val="18"/>
        </w:rPr>
        <w:t>submission,</w:t>
      </w:r>
      <w:r>
        <w:rPr>
          <w:spacing w:val="40"/>
          <w:sz w:val="18"/>
        </w:rPr>
        <w:t xml:space="preserve"> </w:t>
      </w:r>
      <w:r>
        <w:rPr>
          <w:sz w:val="18"/>
        </w:rPr>
        <w:t>para.</w:t>
      </w:r>
      <w:r>
        <w:rPr>
          <w:spacing w:val="40"/>
          <w:sz w:val="18"/>
        </w:rPr>
        <w:t xml:space="preserve"> </w:t>
      </w:r>
      <w:r>
        <w:rPr>
          <w:sz w:val="18"/>
        </w:rPr>
        <w:t>1155</w:t>
      </w:r>
      <w:r>
        <w:rPr>
          <w:spacing w:val="40"/>
          <w:sz w:val="18"/>
        </w:rPr>
        <w:t xml:space="preserve"> </w:t>
      </w:r>
      <w:r>
        <w:rPr>
          <w:sz w:val="18"/>
        </w:rPr>
        <w:t>(citing</w:t>
      </w:r>
      <w:r>
        <w:rPr>
          <w:spacing w:val="40"/>
          <w:sz w:val="18"/>
        </w:rPr>
        <w:t xml:space="preserve"> </w:t>
      </w:r>
      <w:r>
        <w:rPr>
          <w:sz w:val="18"/>
        </w:rPr>
        <w:t>Final</w:t>
      </w:r>
      <w:r>
        <w:rPr>
          <w:spacing w:val="40"/>
          <w:sz w:val="18"/>
        </w:rPr>
        <w:t xml:space="preserve"> </w:t>
      </w:r>
      <w:r>
        <w:rPr>
          <w:sz w:val="18"/>
        </w:rPr>
        <w:t>Determination</w:t>
      </w:r>
      <w:r>
        <w:rPr>
          <w:spacing w:val="40"/>
          <w:sz w:val="18"/>
        </w:rPr>
        <w:t xml:space="preserve"> </w:t>
      </w:r>
      <w:r>
        <w:rPr>
          <w:sz w:val="18"/>
        </w:rPr>
        <w:t>(Exhibit</w:t>
      </w:r>
      <w:r>
        <w:rPr>
          <w:spacing w:val="40"/>
          <w:sz w:val="18"/>
        </w:rPr>
        <w:t xml:space="preserve"> </w:t>
      </w:r>
      <w:r>
        <w:rPr>
          <w:sz w:val="18"/>
        </w:rPr>
        <w:t>CHN-1)</w:t>
      </w:r>
      <w:r>
        <w:rPr>
          <w:spacing w:val="40"/>
          <w:sz w:val="18"/>
        </w:rPr>
        <w:t xml:space="preserve"> </w:t>
      </w:r>
      <w:r>
        <w:rPr>
          <w:sz w:val="18"/>
        </w:rPr>
        <w:t>pp.</w:t>
      </w:r>
      <w:r>
        <w:rPr>
          <w:spacing w:val="40"/>
          <w:sz w:val="18"/>
        </w:rPr>
        <w:t xml:space="preserve"> </w:t>
      </w:r>
      <w:r>
        <w:rPr>
          <w:sz w:val="18"/>
        </w:rPr>
        <w:t>50-51,</w:t>
      </w:r>
      <w:r>
        <w:rPr>
          <w:spacing w:val="40"/>
          <w:sz w:val="18"/>
        </w:rPr>
        <w:t xml:space="preserve"> </w:t>
      </w:r>
      <w:r>
        <w:rPr>
          <w:sz w:val="18"/>
        </w:rPr>
        <w:t>which</w:t>
      </w:r>
      <w:r>
        <w:rPr>
          <w:spacing w:val="40"/>
          <w:sz w:val="18"/>
        </w:rPr>
        <w:t xml:space="preserve"> </w:t>
      </w:r>
      <w:r>
        <w:rPr>
          <w:sz w:val="18"/>
        </w:rPr>
        <w:t xml:space="preserve">records </w:t>
      </w:r>
      <w:proofErr w:type="gramStart"/>
      <w:r>
        <w:rPr>
          <w:sz w:val="18"/>
        </w:rPr>
        <w:t>MOFCOM's</w:t>
      </w:r>
      <w:proofErr w:type="gramEnd"/>
      <w:r>
        <w:rPr>
          <w:sz w:val="18"/>
        </w:rPr>
        <w:t xml:space="preserve"> like products determination). See also first written submission, para. 1139.</w:t>
      </w:r>
    </w:p>
    <w:p w14:paraId="0CDF8A8E" w14:textId="77777777" w:rsidR="00BD462C" w:rsidRDefault="00033D0F">
      <w:pPr>
        <w:spacing w:line="217" w:lineRule="exact"/>
        <w:ind w:left="135"/>
        <w:rPr>
          <w:sz w:val="18"/>
        </w:rPr>
      </w:pPr>
      <w:bookmarkStart w:id="931" w:name="_bookmark800"/>
      <w:bookmarkEnd w:id="931"/>
      <w:r>
        <w:rPr>
          <w:position w:val="5"/>
          <w:sz w:val="12"/>
        </w:rPr>
        <w:t>678</w:t>
      </w:r>
      <w:r>
        <w:rPr>
          <w:spacing w:val="14"/>
          <w:position w:val="5"/>
          <w:sz w:val="12"/>
        </w:rPr>
        <w:t xml:space="preserve"> </w:t>
      </w:r>
      <w:r>
        <w:rPr>
          <w:sz w:val="18"/>
        </w:rPr>
        <w:t>Panel</w:t>
      </w:r>
      <w:r>
        <w:rPr>
          <w:spacing w:val="-4"/>
          <w:sz w:val="18"/>
        </w:rPr>
        <w:t xml:space="preserve"> </w:t>
      </w:r>
      <w:r>
        <w:rPr>
          <w:sz w:val="18"/>
        </w:rPr>
        <w:t>Report,</w:t>
      </w:r>
      <w:r>
        <w:rPr>
          <w:spacing w:val="-2"/>
          <w:sz w:val="18"/>
        </w:rPr>
        <w:t xml:space="preserve"> </w:t>
      </w:r>
      <w:r>
        <w:rPr>
          <w:i/>
          <w:sz w:val="18"/>
        </w:rPr>
        <w:t>China</w:t>
      </w:r>
      <w:r>
        <w:rPr>
          <w:i/>
          <w:spacing w:val="-4"/>
          <w:sz w:val="18"/>
        </w:rPr>
        <w:t xml:space="preserve"> </w:t>
      </w:r>
      <w:r>
        <w:rPr>
          <w:i/>
          <w:sz w:val="18"/>
        </w:rPr>
        <w:t>-</w:t>
      </w:r>
      <w:r>
        <w:rPr>
          <w:i/>
          <w:spacing w:val="-3"/>
          <w:sz w:val="18"/>
        </w:rPr>
        <w:t xml:space="preserve"> </w:t>
      </w:r>
      <w:r>
        <w:rPr>
          <w:i/>
          <w:sz w:val="18"/>
        </w:rPr>
        <w:t>Broiler</w:t>
      </w:r>
      <w:r>
        <w:rPr>
          <w:i/>
          <w:spacing w:val="-6"/>
          <w:sz w:val="18"/>
        </w:rPr>
        <w:t xml:space="preserve"> </w:t>
      </w:r>
      <w:r>
        <w:rPr>
          <w:i/>
          <w:sz w:val="18"/>
        </w:rPr>
        <w:t>Products</w:t>
      </w:r>
      <w:r>
        <w:rPr>
          <w:sz w:val="18"/>
        </w:rPr>
        <w:t>,</w:t>
      </w:r>
      <w:r>
        <w:rPr>
          <w:spacing w:val="-2"/>
          <w:sz w:val="18"/>
        </w:rPr>
        <w:t xml:space="preserve"> </w:t>
      </w:r>
      <w:r>
        <w:rPr>
          <w:sz w:val="18"/>
        </w:rPr>
        <w:t>para.</w:t>
      </w:r>
      <w:r>
        <w:rPr>
          <w:spacing w:val="1"/>
          <w:sz w:val="18"/>
        </w:rPr>
        <w:t xml:space="preserve"> </w:t>
      </w:r>
      <w:r>
        <w:rPr>
          <w:spacing w:val="-2"/>
          <w:sz w:val="18"/>
        </w:rPr>
        <w:t>7.483.</w:t>
      </w:r>
    </w:p>
    <w:p w14:paraId="76D3218E" w14:textId="77777777" w:rsidR="00BD462C" w:rsidRDefault="00033D0F">
      <w:pPr>
        <w:spacing w:before="1"/>
        <w:ind w:left="135"/>
        <w:rPr>
          <w:sz w:val="18"/>
        </w:rPr>
      </w:pPr>
      <w:bookmarkStart w:id="932" w:name="_bookmark801"/>
      <w:bookmarkEnd w:id="932"/>
      <w:r>
        <w:rPr>
          <w:position w:val="5"/>
          <w:sz w:val="12"/>
        </w:rPr>
        <w:t>679</w:t>
      </w:r>
      <w:r>
        <w:rPr>
          <w:spacing w:val="13"/>
          <w:position w:val="5"/>
          <w:sz w:val="12"/>
        </w:rPr>
        <w:t xml:space="preserve"> </w:t>
      </w:r>
      <w:r>
        <w:rPr>
          <w:sz w:val="18"/>
        </w:rPr>
        <w:t>Panel</w:t>
      </w:r>
      <w:r>
        <w:rPr>
          <w:spacing w:val="-4"/>
          <w:sz w:val="18"/>
        </w:rPr>
        <w:t xml:space="preserve"> </w:t>
      </w:r>
      <w:r>
        <w:rPr>
          <w:sz w:val="18"/>
        </w:rPr>
        <w:t>Report,</w:t>
      </w:r>
      <w:r>
        <w:rPr>
          <w:spacing w:val="-3"/>
          <w:sz w:val="18"/>
        </w:rPr>
        <w:t xml:space="preserve"> </w:t>
      </w:r>
      <w:r>
        <w:rPr>
          <w:i/>
          <w:sz w:val="18"/>
        </w:rPr>
        <w:t>China</w:t>
      </w:r>
      <w:r>
        <w:rPr>
          <w:i/>
          <w:spacing w:val="-4"/>
          <w:sz w:val="18"/>
        </w:rPr>
        <w:t xml:space="preserve"> </w:t>
      </w:r>
      <w:r>
        <w:rPr>
          <w:i/>
          <w:sz w:val="18"/>
        </w:rPr>
        <w:t>–</w:t>
      </w:r>
      <w:r>
        <w:rPr>
          <w:i/>
          <w:spacing w:val="-2"/>
          <w:sz w:val="18"/>
        </w:rPr>
        <w:t xml:space="preserve"> </w:t>
      </w:r>
      <w:r>
        <w:rPr>
          <w:i/>
          <w:sz w:val="18"/>
        </w:rPr>
        <w:t>Autos</w:t>
      </w:r>
      <w:r>
        <w:rPr>
          <w:i/>
          <w:spacing w:val="-5"/>
          <w:sz w:val="18"/>
        </w:rPr>
        <w:t xml:space="preserve"> </w:t>
      </w:r>
      <w:r>
        <w:rPr>
          <w:i/>
          <w:sz w:val="18"/>
        </w:rPr>
        <w:t>(US)</w:t>
      </w:r>
      <w:r>
        <w:rPr>
          <w:sz w:val="18"/>
        </w:rPr>
        <w:t>,</w:t>
      </w:r>
      <w:r>
        <w:rPr>
          <w:spacing w:val="-3"/>
          <w:sz w:val="18"/>
        </w:rPr>
        <w:t xml:space="preserve"> </w:t>
      </w:r>
      <w:r>
        <w:rPr>
          <w:sz w:val="18"/>
        </w:rPr>
        <w:t>paras.</w:t>
      </w:r>
      <w:r>
        <w:rPr>
          <w:spacing w:val="1"/>
          <w:sz w:val="18"/>
        </w:rPr>
        <w:t xml:space="preserve"> </w:t>
      </w:r>
      <w:r>
        <w:rPr>
          <w:sz w:val="18"/>
        </w:rPr>
        <w:t>7.279-</w:t>
      </w:r>
      <w:r>
        <w:rPr>
          <w:spacing w:val="-2"/>
          <w:sz w:val="18"/>
        </w:rPr>
        <w:t>7.280.</w:t>
      </w:r>
    </w:p>
    <w:p w14:paraId="1CBB38BA" w14:textId="77777777" w:rsidR="00BD462C" w:rsidRDefault="00033D0F">
      <w:pPr>
        <w:spacing w:before="1"/>
        <w:ind w:left="135"/>
        <w:rPr>
          <w:sz w:val="18"/>
        </w:rPr>
      </w:pPr>
      <w:bookmarkStart w:id="933" w:name="_bookmark802"/>
      <w:bookmarkEnd w:id="933"/>
      <w:r>
        <w:rPr>
          <w:position w:val="5"/>
          <w:sz w:val="12"/>
        </w:rPr>
        <w:t>680</w:t>
      </w:r>
      <w:r>
        <w:rPr>
          <w:spacing w:val="14"/>
          <w:position w:val="5"/>
          <w:sz w:val="12"/>
        </w:rPr>
        <w:t xml:space="preserve"> </w:t>
      </w:r>
      <w:r>
        <w:rPr>
          <w:sz w:val="18"/>
        </w:rPr>
        <w:t>Panel</w:t>
      </w:r>
      <w:r>
        <w:rPr>
          <w:spacing w:val="-4"/>
          <w:sz w:val="18"/>
        </w:rPr>
        <w:t xml:space="preserve"> </w:t>
      </w:r>
      <w:r>
        <w:rPr>
          <w:sz w:val="18"/>
        </w:rPr>
        <w:t>Report,</w:t>
      </w:r>
      <w:r>
        <w:rPr>
          <w:spacing w:val="-2"/>
          <w:sz w:val="18"/>
        </w:rPr>
        <w:t xml:space="preserve"> </w:t>
      </w:r>
      <w:r>
        <w:rPr>
          <w:i/>
          <w:sz w:val="18"/>
        </w:rPr>
        <w:t>China</w:t>
      </w:r>
      <w:r>
        <w:rPr>
          <w:i/>
          <w:spacing w:val="-3"/>
          <w:sz w:val="18"/>
        </w:rPr>
        <w:t xml:space="preserve"> </w:t>
      </w:r>
      <w:r>
        <w:rPr>
          <w:i/>
          <w:sz w:val="18"/>
        </w:rPr>
        <w:t>–</w:t>
      </w:r>
      <w:r>
        <w:rPr>
          <w:i/>
          <w:spacing w:val="-1"/>
          <w:sz w:val="18"/>
        </w:rPr>
        <w:t xml:space="preserve"> </w:t>
      </w:r>
      <w:r>
        <w:rPr>
          <w:i/>
          <w:sz w:val="18"/>
        </w:rPr>
        <w:t>Autos</w:t>
      </w:r>
      <w:r>
        <w:rPr>
          <w:i/>
          <w:spacing w:val="-4"/>
          <w:sz w:val="18"/>
        </w:rPr>
        <w:t xml:space="preserve"> </w:t>
      </w:r>
      <w:r>
        <w:rPr>
          <w:i/>
          <w:sz w:val="18"/>
        </w:rPr>
        <w:t>(US)</w:t>
      </w:r>
      <w:r>
        <w:rPr>
          <w:sz w:val="18"/>
        </w:rPr>
        <w:t>,</w:t>
      </w:r>
      <w:r>
        <w:rPr>
          <w:spacing w:val="-3"/>
          <w:sz w:val="18"/>
        </w:rPr>
        <w:t xml:space="preserve"> </w:t>
      </w:r>
      <w:r>
        <w:rPr>
          <w:sz w:val="18"/>
        </w:rPr>
        <w:t>para.</w:t>
      </w:r>
      <w:r>
        <w:rPr>
          <w:spacing w:val="1"/>
          <w:sz w:val="18"/>
        </w:rPr>
        <w:t xml:space="preserve"> </w:t>
      </w:r>
      <w:r>
        <w:rPr>
          <w:spacing w:val="-2"/>
          <w:sz w:val="18"/>
        </w:rPr>
        <w:t>7.281.</w:t>
      </w:r>
    </w:p>
    <w:p w14:paraId="557C0006" w14:textId="77777777" w:rsidR="00BD462C" w:rsidRDefault="00033D0F">
      <w:pPr>
        <w:spacing w:before="1"/>
        <w:ind w:left="135"/>
        <w:rPr>
          <w:sz w:val="18"/>
        </w:rPr>
      </w:pPr>
      <w:bookmarkStart w:id="934" w:name="_bookmark803"/>
      <w:bookmarkEnd w:id="934"/>
      <w:r>
        <w:rPr>
          <w:position w:val="5"/>
          <w:sz w:val="12"/>
        </w:rPr>
        <w:t>681</w:t>
      </w:r>
      <w:r>
        <w:rPr>
          <w:spacing w:val="14"/>
          <w:position w:val="5"/>
          <w:sz w:val="12"/>
        </w:rPr>
        <w:t xml:space="preserve"> </w:t>
      </w:r>
      <w:r>
        <w:rPr>
          <w:sz w:val="18"/>
        </w:rPr>
        <w:t>Panel</w:t>
      </w:r>
      <w:r>
        <w:rPr>
          <w:spacing w:val="-4"/>
          <w:sz w:val="18"/>
        </w:rPr>
        <w:t xml:space="preserve"> </w:t>
      </w:r>
      <w:r>
        <w:rPr>
          <w:sz w:val="18"/>
        </w:rPr>
        <w:t>Report,</w:t>
      </w:r>
      <w:r>
        <w:rPr>
          <w:spacing w:val="-2"/>
          <w:sz w:val="18"/>
        </w:rPr>
        <w:t xml:space="preserve"> </w:t>
      </w:r>
      <w:r>
        <w:rPr>
          <w:i/>
          <w:sz w:val="18"/>
        </w:rPr>
        <w:t>China</w:t>
      </w:r>
      <w:r>
        <w:rPr>
          <w:i/>
          <w:spacing w:val="-3"/>
          <w:sz w:val="18"/>
        </w:rPr>
        <w:t xml:space="preserve"> </w:t>
      </w:r>
      <w:r>
        <w:rPr>
          <w:i/>
          <w:sz w:val="18"/>
        </w:rPr>
        <w:t>–</w:t>
      </w:r>
      <w:r>
        <w:rPr>
          <w:i/>
          <w:spacing w:val="-1"/>
          <w:sz w:val="18"/>
        </w:rPr>
        <w:t xml:space="preserve"> </w:t>
      </w:r>
      <w:r>
        <w:rPr>
          <w:i/>
          <w:sz w:val="18"/>
        </w:rPr>
        <w:t>Autos</w:t>
      </w:r>
      <w:r>
        <w:rPr>
          <w:i/>
          <w:spacing w:val="-4"/>
          <w:sz w:val="18"/>
        </w:rPr>
        <w:t xml:space="preserve"> </w:t>
      </w:r>
      <w:r>
        <w:rPr>
          <w:i/>
          <w:sz w:val="18"/>
        </w:rPr>
        <w:t>(US)</w:t>
      </w:r>
      <w:r>
        <w:rPr>
          <w:sz w:val="18"/>
        </w:rPr>
        <w:t>,</w:t>
      </w:r>
      <w:r>
        <w:rPr>
          <w:spacing w:val="-3"/>
          <w:sz w:val="18"/>
        </w:rPr>
        <w:t xml:space="preserve"> </w:t>
      </w:r>
      <w:r>
        <w:rPr>
          <w:sz w:val="18"/>
        </w:rPr>
        <w:t>para.</w:t>
      </w:r>
      <w:r>
        <w:rPr>
          <w:spacing w:val="1"/>
          <w:sz w:val="18"/>
        </w:rPr>
        <w:t xml:space="preserve"> </w:t>
      </w:r>
      <w:r>
        <w:rPr>
          <w:spacing w:val="-2"/>
          <w:sz w:val="18"/>
        </w:rPr>
        <w:t>7.281.</w:t>
      </w:r>
    </w:p>
    <w:p w14:paraId="1119D8D3" w14:textId="77777777" w:rsidR="00BD462C" w:rsidRDefault="00033D0F">
      <w:pPr>
        <w:spacing w:before="1"/>
        <w:ind w:left="135"/>
        <w:rPr>
          <w:sz w:val="18"/>
        </w:rPr>
      </w:pPr>
      <w:bookmarkStart w:id="935" w:name="_bookmark804"/>
      <w:bookmarkEnd w:id="935"/>
      <w:r>
        <w:rPr>
          <w:position w:val="5"/>
          <w:sz w:val="12"/>
        </w:rPr>
        <w:t>682</w:t>
      </w:r>
      <w:r>
        <w:rPr>
          <w:spacing w:val="12"/>
          <w:position w:val="5"/>
          <w:sz w:val="12"/>
        </w:rPr>
        <w:t xml:space="preserve"> </w:t>
      </w:r>
      <w:r>
        <w:rPr>
          <w:sz w:val="18"/>
        </w:rPr>
        <w:t>See</w:t>
      </w:r>
      <w:r>
        <w:rPr>
          <w:spacing w:val="-6"/>
          <w:sz w:val="18"/>
        </w:rPr>
        <w:t xml:space="preserve"> </w:t>
      </w:r>
      <w:r>
        <w:rPr>
          <w:sz w:val="18"/>
        </w:rPr>
        <w:t>Australia's</w:t>
      </w:r>
      <w:r>
        <w:rPr>
          <w:spacing w:val="-6"/>
          <w:sz w:val="18"/>
        </w:rPr>
        <w:t xml:space="preserve"> </w:t>
      </w:r>
      <w:r>
        <w:rPr>
          <w:sz w:val="18"/>
        </w:rPr>
        <w:t>first</w:t>
      </w:r>
      <w:r>
        <w:rPr>
          <w:spacing w:val="-5"/>
          <w:sz w:val="18"/>
        </w:rPr>
        <w:t xml:space="preserve"> </w:t>
      </w:r>
      <w:r>
        <w:rPr>
          <w:sz w:val="18"/>
        </w:rPr>
        <w:t>written</w:t>
      </w:r>
      <w:r>
        <w:rPr>
          <w:spacing w:val="-2"/>
          <w:sz w:val="18"/>
        </w:rPr>
        <w:t xml:space="preserve"> </w:t>
      </w:r>
      <w:r>
        <w:rPr>
          <w:sz w:val="18"/>
        </w:rPr>
        <w:t>submission, paras.</w:t>
      </w:r>
      <w:r>
        <w:rPr>
          <w:spacing w:val="-5"/>
          <w:sz w:val="18"/>
        </w:rPr>
        <w:t xml:space="preserve"> </w:t>
      </w:r>
      <w:r>
        <w:rPr>
          <w:sz w:val="18"/>
        </w:rPr>
        <w:t>571-</w:t>
      </w:r>
      <w:r>
        <w:rPr>
          <w:spacing w:val="-4"/>
          <w:sz w:val="18"/>
        </w:rPr>
        <w:t>580.</w:t>
      </w:r>
    </w:p>
    <w:p w14:paraId="279FC6AF" w14:textId="77777777" w:rsidR="00BD462C" w:rsidRDefault="00BD462C">
      <w:pPr>
        <w:rPr>
          <w:sz w:val="18"/>
        </w:rPr>
        <w:sectPr w:rsidR="00BD462C">
          <w:pgSz w:w="11910" w:h="16840"/>
          <w:pgMar w:top="860" w:right="500" w:bottom="780" w:left="1280" w:header="566" w:footer="590" w:gutter="0"/>
          <w:cols w:space="720"/>
        </w:sectPr>
      </w:pPr>
    </w:p>
    <w:p w14:paraId="3795EB9C"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0D7C96D1"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7FB28CEA"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7FD4E7A9" w14:textId="77777777" w:rsidR="00BD462C" w:rsidRDefault="00033D0F">
      <w:pPr>
        <w:pStyle w:val="BodyText"/>
        <w:spacing w:before="102" w:line="357" w:lineRule="auto"/>
        <w:ind w:left="135" w:right="923"/>
      </w:pPr>
      <w:r>
        <w:t>nothing</w:t>
      </w:r>
      <w:r>
        <w:rPr>
          <w:spacing w:val="31"/>
        </w:rPr>
        <w:t xml:space="preserve"> </w:t>
      </w:r>
      <w:r>
        <w:t>to</w:t>
      </w:r>
      <w:r>
        <w:rPr>
          <w:spacing w:val="28"/>
        </w:rPr>
        <w:t xml:space="preserve"> </w:t>
      </w:r>
      <w:r>
        <w:t>undermine</w:t>
      </w:r>
      <w:r>
        <w:rPr>
          <w:spacing w:val="30"/>
        </w:rPr>
        <w:t xml:space="preserve"> </w:t>
      </w:r>
      <w:r>
        <w:t>Australia's</w:t>
      </w:r>
      <w:r>
        <w:rPr>
          <w:spacing w:val="32"/>
        </w:rPr>
        <w:t xml:space="preserve"> </w:t>
      </w:r>
      <w:r>
        <w:t>position</w:t>
      </w:r>
      <w:r>
        <w:rPr>
          <w:spacing w:val="28"/>
        </w:rPr>
        <w:t xml:space="preserve"> </w:t>
      </w:r>
      <w:r>
        <w:t>concerning</w:t>
      </w:r>
      <w:r>
        <w:rPr>
          <w:spacing w:val="31"/>
        </w:rPr>
        <w:t xml:space="preserve"> </w:t>
      </w:r>
      <w:r>
        <w:t>the</w:t>
      </w:r>
      <w:r>
        <w:rPr>
          <w:spacing w:val="30"/>
        </w:rPr>
        <w:t xml:space="preserve"> </w:t>
      </w:r>
      <w:r>
        <w:t>clear applicability</w:t>
      </w:r>
      <w:r>
        <w:rPr>
          <w:spacing w:val="31"/>
        </w:rPr>
        <w:t xml:space="preserve"> </w:t>
      </w:r>
      <w:r>
        <w:t>of</w:t>
      </w:r>
      <w:r>
        <w:rPr>
          <w:spacing w:val="28"/>
        </w:rPr>
        <w:t xml:space="preserve"> </w:t>
      </w:r>
      <w:r>
        <w:t>the</w:t>
      </w:r>
      <w:r>
        <w:rPr>
          <w:spacing w:val="30"/>
        </w:rPr>
        <w:t xml:space="preserve"> </w:t>
      </w:r>
      <w:r>
        <w:t>panel's reasoning in that dispute to the facts before the Panel in this dispute.</w:t>
      </w:r>
    </w:p>
    <w:p w14:paraId="25C84BF0" w14:textId="77777777" w:rsidR="00BD462C" w:rsidRDefault="00033D0F">
      <w:pPr>
        <w:pStyle w:val="ListParagraph"/>
        <w:numPr>
          <w:ilvl w:val="2"/>
          <w:numId w:val="55"/>
        </w:numPr>
        <w:tabs>
          <w:tab w:val="left" w:pos="5238"/>
          <w:tab w:val="left" w:pos="5239"/>
        </w:tabs>
        <w:spacing w:before="164" w:line="360" w:lineRule="auto"/>
        <w:ind w:right="914"/>
        <w:jc w:val="both"/>
        <w:rPr>
          <w:sz w:val="24"/>
        </w:rPr>
      </w:pPr>
      <w:bookmarkStart w:id="936" w:name="(C)_Australia_has_identified_relevant_an"/>
      <w:bookmarkEnd w:id="936"/>
      <w:r>
        <w:rPr>
          <w:sz w:val="24"/>
          <w:u w:val="single"/>
        </w:rPr>
        <w:t>Australia has identified relevant and</w:t>
      </w:r>
      <w:r>
        <w:rPr>
          <w:sz w:val="24"/>
        </w:rPr>
        <w:t xml:space="preserve"> </w:t>
      </w:r>
      <w:r>
        <w:rPr>
          <w:sz w:val="24"/>
          <w:u w:val="single"/>
        </w:rPr>
        <w:t>cogent evidence regarding product mix</w:t>
      </w:r>
      <w:r>
        <w:rPr>
          <w:sz w:val="24"/>
        </w:rPr>
        <w:t xml:space="preserve"> </w:t>
      </w:r>
      <w:r>
        <w:rPr>
          <w:sz w:val="24"/>
          <w:u w:val="single"/>
        </w:rPr>
        <w:t>for subject imports</w:t>
      </w:r>
    </w:p>
    <w:p w14:paraId="1015EE50" w14:textId="77777777" w:rsidR="00BD462C" w:rsidRDefault="00BD462C">
      <w:pPr>
        <w:pStyle w:val="BodyText"/>
        <w:spacing w:before="11"/>
        <w:rPr>
          <w:sz w:val="8"/>
        </w:rPr>
      </w:pPr>
    </w:p>
    <w:p w14:paraId="3464286A" w14:textId="5C82A95A" w:rsidR="00BD462C" w:rsidRDefault="007A6FB5">
      <w:pPr>
        <w:pStyle w:val="BodyText"/>
        <w:spacing w:before="56" w:line="360" w:lineRule="auto"/>
        <w:ind w:left="136" w:right="914" w:hanging="5"/>
        <w:jc w:val="both"/>
      </w:pPr>
      <w:r>
        <w:rPr>
          <w:noProof/>
        </w:rPr>
        <w:t>469.</w:t>
      </w:r>
      <w:r w:rsidR="00033D0F">
        <w:rPr>
          <w:rFonts w:ascii="Times New Roman"/>
          <w:spacing w:val="80"/>
          <w:position w:val="1"/>
          <w:sz w:val="20"/>
        </w:rPr>
        <w:t xml:space="preserve"> </w:t>
      </w:r>
      <w:r w:rsidR="00033D0F">
        <w:rPr>
          <w:position w:val="1"/>
        </w:rPr>
        <w:t xml:space="preserve">China asserts that the evidence relied on by Australia in support of its product mix </w:t>
      </w:r>
      <w:r w:rsidR="00033D0F">
        <w:t>argument is "partial", "incomplete</w:t>
      </w:r>
      <w:proofErr w:type="gramStart"/>
      <w:r w:rsidR="00033D0F">
        <w:t>"</w:t>
      </w:r>
      <w:proofErr w:type="gramEnd"/>
      <w:r w:rsidR="00033D0F">
        <w:t xml:space="preserve"> or "misleading".</w:t>
      </w:r>
      <w:hyperlink w:anchor="_bookmark805" w:history="1">
        <w:r w:rsidR="00033D0F">
          <w:rPr>
            <w:vertAlign w:val="superscript"/>
          </w:rPr>
          <w:t>683</w:t>
        </w:r>
      </w:hyperlink>
      <w:r w:rsidR="00033D0F">
        <w:t xml:space="preserve"> This is incorrect. In particular, China alleges that Australia's argument is based on incomplete and misleading evidence on four grounds: (i) the Australian sampled companies did not provide data sought by MOFCOM;</w:t>
      </w:r>
      <w:hyperlink w:anchor="_bookmark806" w:history="1">
        <w:r w:rsidR="00033D0F">
          <w:rPr>
            <w:vertAlign w:val="superscript"/>
          </w:rPr>
          <w:t>684</w:t>
        </w:r>
      </w:hyperlink>
    </w:p>
    <w:p w14:paraId="016F2A93" w14:textId="77777777" w:rsidR="00BD462C" w:rsidRDefault="00033D0F">
      <w:pPr>
        <w:pStyle w:val="BodyText"/>
        <w:spacing w:line="360" w:lineRule="auto"/>
        <w:ind w:left="135" w:right="908"/>
        <w:jc w:val="both"/>
      </w:pPr>
      <w:r>
        <w:t>(ii)</w:t>
      </w:r>
      <w:r>
        <w:rPr>
          <w:spacing w:val="-2"/>
        </w:rPr>
        <w:t xml:space="preserve"> </w:t>
      </w:r>
      <w:r>
        <w:t>Australia relies on assertions rather than evidence;</w:t>
      </w:r>
      <w:hyperlink w:anchor="_bookmark807" w:history="1">
        <w:r>
          <w:rPr>
            <w:vertAlign w:val="superscript"/>
          </w:rPr>
          <w:t>685</w:t>
        </w:r>
      </w:hyperlink>
      <w:r>
        <w:t xml:space="preserve"> (iii) China disagrees with Australia's analysis of the product mix data that was available to MOFCOM;</w:t>
      </w:r>
      <w:hyperlink w:anchor="_bookmark808" w:history="1">
        <w:r>
          <w:rPr>
            <w:vertAlign w:val="superscript"/>
          </w:rPr>
          <w:t>686</w:t>
        </w:r>
      </w:hyperlink>
      <w:r>
        <w:t xml:space="preserve"> and (iv) China could not rely on</w:t>
      </w:r>
      <w:r>
        <w:rPr>
          <w:spacing w:val="-1"/>
        </w:rPr>
        <w:t xml:space="preserve"> </w:t>
      </w:r>
      <w:r>
        <w:t>Treasury Wines data alone.</w:t>
      </w:r>
      <w:hyperlink w:anchor="_bookmark809" w:history="1">
        <w:r>
          <w:rPr>
            <w:vertAlign w:val="superscript"/>
          </w:rPr>
          <w:t>687</w:t>
        </w:r>
      </w:hyperlink>
      <w:r>
        <w:t xml:space="preserve"> Each</w:t>
      </w:r>
      <w:r>
        <w:rPr>
          <w:spacing w:val="-1"/>
        </w:rPr>
        <w:t xml:space="preserve"> </w:t>
      </w:r>
      <w:r>
        <w:t>of these allegations is</w:t>
      </w:r>
      <w:r>
        <w:rPr>
          <w:spacing w:val="-2"/>
        </w:rPr>
        <w:t xml:space="preserve"> </w:t>
      </w:r>
      <w:r>
        <w:t>without merit and</w:t>
      </w:r>
      <w:r>
        <w:rPr>
          <w:spacing w:val="-1"/>
        </w:rPr>
        <w:t xml:space="preserve"> </w:t>
      </w:r>
      <w:r>
        <w:t>is not an answer to Australia's argument regarding MOFCOM's failure to account for the potential impact of differences in product mix on price comparability.</w:t>
      </w:r>
    </w:p>
    <w:p w14:paraId="20C1087F" w14:textId="77777777" w:rsidR="00BD462C" w:rsidRDefault="00BD462C">
      <w:pPr>
        <w:pStyle w:val="BodyText"/>
        <w:spacing w:before="5"/>
        <w:rPr>
          <w:sz w:val="8"/>
        </w:rPr>
      </w:pPr>
    </w:p>
    <w:p w14:paraId="286FA15E" w14:textId="2CF9315F" w:rsidR="00BD462C" w:rsidRDefault="007A6FB5">
      <w:pPr>
        <w:pStyle w:val="BodyText"/>
        <w:spacing w:before="56" w:line="360" w:lineRule="auto"/>
        <w:ind w:left="135" w:right="916" w:hanging="5"/>
        <w:jc w:val="both"/>
      </w:pPr>
      <w:r>
        <w:rPr>
          <w:noProof/>
        </w:rPr>
        <w:t>470.</w:t>
      </w:r>
      <w:r w:rsidR="00033D0F">
        <w:rPr>
          <w:rFonts w:ascii="Times New Roman"/>
          <w:spacing w:val="80"/>
          <w:position w:val="1"/>
          <w:sz w:val="20"/>
        </w:rPr>
        <w:t xml:space="preserve"> </w:t>
      </w:r>
      <w:r w:rsidR="00033D0F">
        <w:rPr>
          <w:position w:val="1"/>
        </w:rPr>
        <w:t xml:space="preserve">First, the missing data does not provide a basis for MOFCOM to fail to ensure price </w:t>
      </w:r>
      <w:r w:rsidR="00033D0F">
        <w:t>comparability as required by Articles 3.1 and 3.2. Australia's first written submission, China's first</w:t>
      </w:r>
      <w:r w:rsidR="00033D0F">
        <w:rPr>
          <w:spacing w:val="-11"/>
        </w:rPr>
        <w:t xml:space="preserve"> </w:t>
      </w:r>
      <w:r w:rsidR="00033D0F">
        <w:t>written</w:t>
      </w:r>
      <w:r w:rsidR="00033D0F">
        <w:rPr>
          <w:spacing w:val="-14"/>
        </w:rPr>
        <w:t xml:space="preserve"> </w:t>
      </w:r>
      <w:r w:rsidR="00033D0F">
        <w:t>submission</w:t>
      </w:r>
      <w:r w:rsidR="00033D0F">
        <w:rPr>
          <w:spacing w:val="-13"/>
        </w:rPr>
        <w:t xml:space="preserve"> </w:t>
      </w:r>
      <w:r w:rsidR="00033D0F">
        <w:t>and</w:t>
      </w:r>
      <w:r w:rsidR="00033D0F">
        <w:rPr>
          <w:spacing w:val="-9"/>
        </w:rPr>
        <w:t xml:space="preserve"> </w:t>
      </w:r>
      <w:r w:rsidR="00033D0F">
        <w:t>China's</w:t>
      </w:r>
      <w:r w:rsidR="00033D0F">
        <w:rPr>
          <w:spacing w:val="-10"/>
        </w:rPr>
        <w:t xml:space="preserve"> </w:t>
      </w:r>
      <w:r w:rsidR="00033D0F">
        <w:t>responses</w:t>
      </w:r>
      <w:r w:rsidR="00033D0F">
        <w:rPr>
          <w:spacing w:val="-10"/>
        </w:rPr>
        <w:t xml:space="preserve"> </w:t>
      </w:r>
      <w:r w:rsidR="00033D0F">
        <w:t>to</w:t>
      </w:r>
      <w:r w:rsidR="00033D0F">
        <w:rPr>
          <w:spacing w:val="-14"/>
        </w:rPr>
        <w:t xml:space="preserve"> </w:t>
      </w:r>
      <w:r w:rsidR="00033D0F">
        <w:t>Panel</w:t>
      </w:r>
      <w:r w:rsidR="00033D0F">
        <w:rPr>
          <w:spacing w:val="-9"/>
        </w:rPr>
        <w:t xml:space="preserve"> </w:t>
      </w:r>
      <w:r w:rsidR="00033D0F">
        <w:t>questions</w:t>
      </w:r>
      <w:r w:rsidR="00033D0F">
        <w:rPr>
          <w:spacing w:val="-10"/>
        </w:rPr>
        <w:t xml:space="preserve"> </w:t>
      </w:r>
      <w:r w:rsidR="00033D0F">
        <w:t>demonstrate</w:t>
      </w:r>
      <w:r w:rsidR="00033D0F">
        <w:rPr>
          <w:spacing w:val="-12"/>
        </w:rPr>
        <w:t xml:space="preserve"> </w:t>
      </w:r>
      <w:r w:rsidR="00033D0F">
        <w:t>that</w:t>
      </w:r>
      <w:r w:rsidR="00033D0F">
        <w:rPr>
          <w:spacing w:val="-7"/>
        </w:rPr>
        <w:t xml:space="preserve"> </w:t>
      </w:r>
      <w:r w:rsidR="00033D0F">
        <w:t>there</w:t>
      </w:r>
      <w:r w:rsidR="00033D0F">
        <w:rPr>
          <w:spacing w:val="-7"/>
        </w:rPr>
        <w:t xml:space="preserve"> </w:t>
      </w:r>
      <w:r w:rsidR="00033D0F">
        <w:t>was significant and cogent evidence regarding product mix before MOFCOM.</w:t>
      </w:r>
      <w:hyperlink w:anchor="_bookmark810" w:history="1">
        <w:r w:rsidR="00033D0F">
          <w:rPr>
            <w:vertAlign w:val="superscript"/>
          </w:rPr>
          <w:t>688</w:t>
        </w:r>
      </w:hyperlink>
    </w:p>
    <w:p w14:paraId="5D8E5F16" w14:textId="77777777" w:rsidR="00BD462C" w:rsidRDefault="00BD462C">
      <w:pPr>
        <w:pStyle w:val="BodyText"/>
        <w:spacing w:before="8"/>
        <w:rPr>
          <w:sz w:val="8"/>
        </w:rPr>
      </w:pPr>
    </w:p>
    <w:p w14:paraId="39E2BF93" w14:textId="1ADF4FCD" w:rsidR="00BD462C" w:rsidRDefault="007A6FB5">
      <w:pPr>
        <w:pStyle w:val="BodyText"/>
        <w:spacing w:before="56" w:line="360" w:lineRule="auto"/>
        <w:ind w:left="135" w:right="914" w:hanging="5"/>
        <w:jc w:val="both"/>
      </w:pPr>
      <w:r>
        <w:rPr>
          <w:noProof/>
        </w:rPr>
        <w:t>471.</w:t>
      </w:r>
      <w:r w:rsidR="00033D0F">
        <w:rPr>
          <w:rFonts w:ascii="Times New Roman"/>
          <w:spacing w:val="80"/>
          <w:position w:val="1"/>
          <w:sz w:val="20"/>
        </w:rPr>
        <w:t xml:space="preserve"> </w:t>
      </w:r>
      <w:r w:rsidR="00033D0F">
        <w:rPr>
          <w:position w:val="1"/>
        </w:rPr>
        <w:t xml:space="preserve">Second, China </w:t>
      </w:r>
      <w:proofErr w:type="spellStart"/>
      <w:r w:rsidR="00033D0F">
        <w:rPr>
          <w:position w:val="1"/>
        </w:rPr>
        <w:t>characterises</w:t>
      </w:r>
      <w:proofErr w:type="spellEnd"/>
      <w:r w:rsidR="00033D0F">
        <w:rPr>
          <w:position w:val="1"/>
        </w:rPr>
        <w:t xml:space="preserve"> some of the evidence that Australia relies on regarding </w:t>
      </w:r>
      <w:r w:rsidR="00033D0F">
        <w:t>product mix as "assertions".</w:t>
      </w:r>
      <w:hyperlink w:anchor="_bookmark811" w:history="1">
        <w:r w:rsidR="00033D0F">
          <w:rPr>
            <w:vertAlign w:val="superscript"/>
          </w:rPr>
          <w:t>689</w:t>
        </w:r>
      </w:hyperlink>
      <w:r w:rsidR="00033D0F">
        <w:t xml:space="preserve"> Australia rejects this </w:t>
      </w:r>
      <w:proofErr w:type="spellStart"/>
      <w:r w:rsidR="00033D0F">
        <w:t>characterisation</w:t>
      </w:r>
      <w:proofErr w:type="spellEnd"/>
      <w:r w:rsidR="00033D0F">
        <w:t xml:space="preserve"> on two grounds: (i) the evidence was duly submitted to MOFCOM by interested parties during the course of the investigation, and it should have been considered by MOFCOM; (ii) China's allegation that Australian</w:t>
      </w:r>
      <w:r w:rsidR="00033D0F">
        <w:rPr>
          <w:spacing w:val="-10"/>
        </w:rPr>
        <w:t xml:space="preserve"> </w:t>
      </w:r>
      <w:r w:rsidR="00033D0F">
        <w:t>interested</w:t>
      </w:r>
      <w:r w:rsidR="00033D0F">
        <w:rPr>
          <w:spacing w:val="-10"/>
        </w:rPr>
        <w:t xml:space="preserve"> </w:t>
      </w:r>
      <w:r w:rsidR="00033D0F">
        <w:t>parties</w:t>
      </w:r>
      <w:r w:rsidR="00033D0F">
        <w:rPr>
          <w:spacing w:val="-7"/>
        </w:rPr>
        <w:t xml:space="preserve"> </w:t>
      </w:r>
      <w:r w:rsidR="00033D0F">
        <w:t>"did</w:t>
      </w:r>
      <w:r w:rsidR="00033D0F">
        <w:rPr>
          <w:spacing w:val="-10"/>
        </w:rPr>
        <w:t xml:space="preserve"> </w:t>
      </w:r>
      <w:r w:rsidR="00033D0F">
        <w:t>not</w:t>
      </w:r>
      <w:r w:rsidR="00033D0F">
        <w:rPr>
          <w:spacing w:val="-8"/>
        </w:rPr>
        <w:t xml:space="preserve"> </w:t>
      </w:r>
      <w:r w:rsidR="00033D0F">
        <w:t>provide</w:t>
      </w:r>
      <w:r w:rsidR="00033D0F">
        <w:rPr>
          <w:spacing w:val="-8"/>
        </w:rPr>
        <w:t xml:space="preserve"> </w:t>
      </w:r>
      <w:r w:rsidR="00033D0F">
        <w:t>any</w:t>
      </w:r>
      <w:r w:rsidR="00033D0F">
        <w:rPr>
          <w:spacing w:val="-7"/>
        </w:rPr>
        <w:t xml:space="preserve"> </w:t>
      </w:r>
      <w:r w:rsidR="00033D0F">
        <w:t>proof</w:t>
      </w:r>
      <w:r w:rsidR="00033D0F">
        <w:rPr>
          <w:spacing w:val="-10"/>
        </w:rPr>
        <w:t xml:space="preserve"> </w:t>
      </w:r>
      <w:r w:rsidR="00033D0F">
        <w:t>or</w:t>
      </w:r>
      <w:r w:rsidR="00033D0F">
        <w:rPr>
          <w:spacing w:val="-11"/>
        </w:rPr>
        <w:t xml:space="preserve"> </w:t>
      </w:r>
      <w:r w:rsidR="00033D0F">
        <w:t>evidence</w:t>
      </w:r>
      <w:r w:rsidR="00033D0F">
        <w:rPr>
          <w:spacing w:val="-8"/>
        </w:rPr>
        <w:t xml:space="preserve"> </w:t>
      </w:r>
      <w:r w:rsidR="00033D0F">
        <w:t>that</w:t>
      </w:r>
      <w:r w:rsidR="00033D0F">
        <w:rPr>
          <w:spacing w:val="-8"/>
        </w:rPr>
        <w:t xml:space="preserve"> </w:t>
      </w:r>
      <w:r w:rsidR="00033D0F">
        <w:t>Australian</w:t>
      </w:r>
      <w:r w:rsidR="00033D0F">
        <w:rPr>
          <w:spacing w:val="-10"/>
        </w:rPr>
        <w:t xml:space="preserve"> </w:t>
      </w:r>
      <w:r w:rsidR="00033D0F">
        <w:t>wines</w:t>
      </w:r>
      <w:r w:rsidR="00033D0F">
        <w:rPr>
          <w:spacing w:val="-7"/>
        </w:rPr>
        <w:t xml:space="preserve"> </w:t>
      </w:r>
      <w:r w:rsidR="00033D0F">
        <w:t>had</w:t>
      </w:r>
    </w:p>
    <w:p w14:paraId="4ADC2DD6" w14:textId="77777777" w:rsidR="00BD462C" w:rsidRDefault="00BD462C">
      <w:pPr>
        <w:pStyle w:val="BodyText"/>
        <w:rPr>
          <w:sz w:val="20"/>
        </w:rPr>
      </w:pPr>
    </w:p>
    <w:p w14:paraId="7BD756DC" w14:textId="77777777" w:rsidR="00BD462C" w:rsidRDefault="00BD462C">
      <w:pPr>
        <w:pStyle w:val="BodyText"/>
        <w:rPr>
          <w:sz w:val="20"/>
        </w:rPr>
      </w:pPr>
    </w:p>
    <w:p w14:paraId="0F2C3A40" w14:textId="1107D537" w:rsidR="00BD462C" w:rsidRDefault="00D70C7D">
      <w:pPr>
        <w:pStyle w:val="BodyText"/>
        <w:spacing w:before="9"/>
        <w:rPr>
          <w:sz w:val="10"/>
        </w:rPr>
      </w:pPr>
      <w:r>
        <w:rPr>
          <w:noProof/>
        </w:rPr>
        <mc:AlternateContent>
          <mc:Choice Requires="wps">
            <w:drawing>
              <wp:anchor distT="0" distB="0" distL="0" distR="0" simplePos="0" relativeHeight="487776768" behindDoc="1" locked="0" layoutInCell="1" allowOverlap="1" wp14:anchorId="46B51173" wp14:editId="161AC305">
                <wp:simplePos x="0" y="0"/>
                <wp:positionH relativeFrom="page">
                  <wp:posOffset>899160</wp:posOffset>
                </wp:positionH>
                <wp:positionV relativeFrom="paragraph">
                  <wp:posOffset>98425</wp:posOffset>
                </wp:positionV>
                <wp:extent cx="1828800" cy="8890"/>
                <wp:effectExtent l="0" t="0" r="0" b="0"/>
                <wp:wrapTopAndBottom/>
                <wp:docPr id="606" name="docshape4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5A1CF6" id="docshape416" o:spid="_x0000_s1026" alt="&quot;&quot;" style="position:absolute;margin-left:70.8pt;margin-top:7.75pt;width:2in;height:.7pt;z-index:-15539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" fillcolor="black" stroked="f">
                <w10:wrap type="topAndBottom" anchorx="page"/>
              </v:rect>
            </w:pict>
          </mc:Fallback>
        </mc:AlternateContent>
      </w:r>
    </w:p>
    <w:p w14:paraId="2EC35456" w14:textId="77777777" w:rsidR="00BD462C" w:rsidRDefault="00033D0F">
      <w:pPr>
        <w:spacing w:before="113" w:line="237" w:lineRule="auto"/>
        <w:ind w:left="136" w:right="909" w:hanging="1"/>
        <w:jc w:val="both"/>
        <w:rPr>
          <w:sz w:val="18"/>
        </w:rPr>
      </w:pPr>
      <w:bookmarkStart w:id="937" w:name="_bookmark805"/>
      <w:bookmarkEnd w:id="937"/>
      <w:r>
        <w:rPr>
          <w:position w:val="5"/>
          <w:sz w:val="12"/>
        </w:rPr>
        <w:t>683</w:t>
      </w:r>
      <w:r>
        <w:rPr>
          <w:spacing w:val="7"/>
          <w:position w:val="5"/>
          <w:sz w:val="12"/>
        </w:rPr>
        <w:t xml:space="preserve"> </w:t>
      </w:r>
      <w:r>
        <w:rPr>
          <w:sz w:val="18"/>
        </w:rPr>
        <w:t>China's</w:t>
      </w:r>
      <w:r>
        <w:rPr>
          <w:spacing w:val="-7"/>
          <w:sz w:val="18"/>
        </w:rPr>
        <w:t xml:space="preserve"> </w:t>
      </w:r>
      <w:r>
        <w:rPr>
          <w:sz w:val="18"/>
        </w:rPr>
        <w:t>first</w:t>
      </w:r>
      <w:r>
        <w:rPr>
          <w:spacing w:val="-7"/>
          <w:sz w:val="18"/>
        </w:rPr>
        <w:t xml:space="preserve"> </w:t>
      </w:r>
      <w:r>
        <w:rPr>
          <w:sz w:val="18"/>
        </w:rPr>
        <w:t>written</w:t>
      </w:r>
      <w:r>
        <w:rPr>
          <w:spacing w:val="-11"/>
          <w:sz w:val="18"/>
        </w:rPr>
        <w:t xml:space="preserve"> </w:t>
      </w:r>
      <w:r>
        <w:rPr>
          <w:sz w:val="18"/>
        </w:rPr>
        <w:t>submission,</w:t>
      </w:r>
      <w:r>
        <w:rPr>
          <w:spacing w:val="-5"/>
          <w:sz w:val="18"/>
        </w:rPr>
        <w:t xml:space="preserve"> </w:t>
      </w:r>
      <w:r>
        <w:rPr>
          <w:sz w:val="18"/>
        </w:rPr>
        <w:t>paras.</w:t>
      </w:r>
      <w:r>
        <w:rPr>
          <w:spacing w:val="-7"/>
          <w:sz w:val="18"/>
        </w:rPr>
        <w:t xml:space="preserve"> </w:t>
      </w:r>
      <w:r>
        <w:rPr>
          <w:sz w:val="18"/>
        </w:rPr>
        <w:t>1164-1200.</w:t>
      </w:r>
      <w:r>
        <w:rPr>
          <w:spacing w:val="-7"/>
          <w:sz w:val="18"/>
        </w:rPr>
        <w:t xml:space="preserve"> </w:t>
      </w:r>
      <w:r>
        <w:rPr>
          <w:sz w:val="18"/>
        </w:rPr>
        <w:t>The</w:t>
      </w:r>
      <w:r>
        <w:rPr>
          <w:spacing w:val="-8"/>
          <w:sz w:val="18"/>
        </w:rPr>
        <w:t xml:space="preserve"> </w:t>
      </w:r>
      <w:r>
        <w:rPr>
          <w:sz w:val="18"/>
        </w:rPr>
        <w:t>matters</w:t>
      </w:r>
      <w:r>
        <w:rPr>
          <w:spacing w:val="-8"/>
          <w:sz w:val="18"/>
        </w:rPr>
        <w:t xml:space="preserve"> </w:t>
      </w:r>
      <w:r>
        <w:rPr>
          <w:sz w:val="18"/>
        </w:rPr>
        <w:t>raised</w:t>
      </w:r>
      <w:r>
        <w:rPr>
          <w:spacing w:val="-9"/>
          <w:sz w:val="18"/>
        </w:rPr>
        <w:t xml:space="preserve"> </w:t>
      </w:r>
      <w:r>
        <w:rPr>
          <w:sz w:val="18"/>
        </w:rPr>
        <w:t>by</w:t>
      </w:r>
      <w:r>
        <w:rPr>
          <w:spacing w:val="-10"/>
          <w:sz w:val="18"/>
        </w:rPr>
        <w:t xml:space="preserve"> </w:t>
      </w:r>
      <w:r>
        <w:rPr>
          <w:sz w:val="18"/>
        </w:rPr>
        <w:t>China</w:t>
      </w:r>
      <w:r>
        <w:rPr>
          <w:spacing w:val="-10"/>
          <w:sz w:val="18"/>
        </w:rPr>
        <w:t xml:space="preserve"> </w:t>
      </w:r>
      <w:r>
        <w:rPr>
          <w:sz w:val="18"/>
        </w:rPr>
        <w:t>at</w:t>
      </w:r>
      <w:r>
        <w:rPr>
          <w:spacing w:val="-7"/>
          <w:sz w:val="18"/>
        </w:rPr>
        <w:t xml:space="preserve"> </w:t>
      </w:r>
      <w:r>
        <w:rPr>
          <w:sz w:val="18"/>
        </w:rPr>
        <w:t>paragraphs</w:t>
      </w:r>
      <w:r>
        <w:rPr>
          <w:spacing w:val="-8"/>
          <w:sz w:val="18"/>
        </w:rPr>
        <w:t xml:space="preserve"> </w:t>
      </w:r>
      <w:r>
        <w:rPr>
          <w:sz w:val="18"/>
        </w:rPr>
        <w:t>1164-1172</w:t>
      </w:r>
      <w:r>
        <w:rPr>
          <w:spacing w:val="-10"/>
          <w:sz w:val="18"/>
        </w:rPr>
        <w:t xml:space="preserve"> </w:t>
      </w:r>
      <w:r>
        <w:rPr>
          <w:sz w:val="18"/>
        </w:rPr>
        <w:t>of</w:t>
      </w:r>
      <w:r>
        <w:rPr>
          <w:spacing w:val="-11"/>
          <w:sz w:val="18"/>
        </w:rPr>
        <w:t xml:space="preserve"> </w:t>
      </w:r>
      <w:r>
        <w:rPr>
          <w:sz w:val="18"/>
        </w:rPr>
        <w:t>its</w:t>
      </w:r>
      <w:r>
        <w:rPr>
          <w:spacing w:val="-10"/>
          <w:sz w:val="18"/>
        </w:rPr>
        <w:t xml:space="preserve"> </w:t>
      </w:r>
      <w:r>
        <w:rPr>
          <w:sz w:val="18"/>
        </w:rPr>
        <w:t>first</w:t>
      </w:r>
      <w:r>
        <w:rPr>
          <w:spacing w:val="-6"/>
          <w:sz w:val="18"/>
        </w:rPr>
        <w:t xml:space="preserve"> </w:t>
      </w:r>
      <w:r>
        <w:rPr>
          <w:sz w:val="18"/>
        </w:rPr>
        <w:t>written submission</w:t>
      </w:r>
      <w:r>
        <w:rPr>
          <w:spacing w:val="-8"/>
          <w:sz w:val="18"/>
        </w:rPr>
        <w:t xml:space="preserve"> </w:t>
      </w:r>
      <w:r>
        <w:rPr>
          <w:sz w:val="18"/>
        </w:rPr>
        <w:t>are</w:t>
      </w:r>
      <w:r>
        <w:rPr>
          <w:spacing w:val="-8"/>
          <w:sz w:val="18"/>
        </w:rPr>
        <w:t xml:space="preserve"> </w:t>
      </w:r>
      <w:r>
        <w:rPr>
          <w:sz w:val="18"/>
        </w:rPr>
        <w:t>irrelevant</w:t>
      </w:r>
      <w:r>
        <w:rPr>
          <w:spacing w:val="-7"/>
          <w:sz w:val="18"/>
        </w:rPr>
        <w:t xml:space="preserve"> </w:t>
      </w:r>
      <w:r>
        <w:rPr>
          <w:sz w:val="18"/>
        </w:rPr>
        <w:t>to</w:t>
      </w:r>
      <w:r>
        <w:rPr>
          <w:spacing w:val="-9"/>
          <w:sz w:val="18"/>
        </w:rPr>
        <w:t xml:space="preserve"> </w:t>
      </w:r>
      <w:r>
        <w:rPr>
          <w:sz w:val="18"/>
        </w:rPr>
        <w:t>the</w:t>
      </w:r>
      <w:r>
        <w:rPr>
          <w:spacing w:val="-8"/>
          <w:sz w:val="18"/>
        </w:rPr>
        <w:t xml:space="preserve"> </w:t>
      </w:r>
      <w:r>
        <w:rPr>
          <w:sz w:val="18"/>
        </w:rPr>
        <w:t>question</w:t>
      </w:r>
      <w:r>
        <w:rPr>
          <w:spacing w:val="-4"/>
          <w:sz w:val="18"/>
        </w:rPr>
        <w:t xml:space="preserve"> </w:t>
      </w:r>
      <w:r>
        <w:rPr>
          <w:sz w:val="18"/>
        </w:rPr>
        <w:t>of</w:t>
      </w:r>
      <w:r>
        <w:rPr>
          <w:spacing w:val="-7"/>
          <w:sz w:val="18"/>
        </w:rPr>
        <w:t xml:space="preserve"> </w:t>
      </w:r>
      <w:r>
        <w:rPr>
          <w:sz w:val="18"/>
        </w:rPr>
        <w:t>price</w:t>
      </w:r>
      <w:r>
        <w:rPr>
          <w:spacing w:val="-3"/>
          <w:sz w:val="18"/>
        </w:rPr>
        <w:t xml:space="preserve"> </w:t>
      </w:r>
      <w:r>
        <w:rPr>
          <w:sz w:val="18"/>
        </w:rPr>
        <w:t>comparability</w:t>
      </w:r>
      <w:r>
        <w:rPr>
          <w:spacing w:val="-10"/>
          <w:sz w:val="18"/>
        </w:rPr>
        <w:t xml:space="preserve"> </w:t>
      </w:r>
      <w:r>
        <w:rPr>
          <w:sz w:val="18"/>
        </w:rPr>
        <w:t>and</w:t>
      </w:r>
      <w:r>
        <w:rPr>
          <w:spacing w:val="-4"/>
          <w:sz w:val="18"/>
        </w:rPr>
        <w:t xml:space="preserve"> </w:t>
      </w:r>
      <w:r>
        <w:rPr>
          <w:sz w:val="18"/>
        </w:rPr>
        <w:t>product</w:t>
      </w:r>
      <w:r>
        <w:rPr>
          <w:spacing w:val="-2"/>
          <w:sz w:val="18"/>
        </w:rPr>
        <w:t xml:space="preserve"> </w:t>
      </w:r>
      <w:r>
        <w:rPr>
          <w:sz w:val="18"/>
        </w:rPr>
        <w:t>mix.</w:t>
      </w:r>
      <w:r>
        <w:rPr>
          <w:spacing w:val="-7"/>
          <w:sz w:val="18"/>
        </w:rPr>
        <w:t xml:space="preserve"> </w:t>
      </w:r>
      <w:r>
        <w:rPr>
          <w:sz w:val="18"/>
        </w:rPr>
        <w:t>They</w:t>
      </w:r>
      <w:r>
        <w:rPr>
          <w:spacing w:val="-10"/>
          <w:sz w:val="18"/>
        </w:rPr>
        <w:t xml:space="preserve"> </w:t>
      </w:r>
      <w:r>
        <w:rPr>
          <w:sz w:val="18"/>
        </w:rPr>
        <w:t>do</w:t>
      </w:r>
      <w:r>
        <w:rPr>
          <w:spacing w:val="-9"/>
          <w:sz w:val="18"/>
        </w:rPr>
        <w:t xml:space="preserve"> </w:t>
      </w:r>
      <w:r>
        <w:rPr>
          <w:sz w:val="18"/>
        </w:rPr>
        <w:t>not</w:t>
      </w:r>
      <w:r>
        <w:rPr>
          <w:spacing w:val="-7"/>
          <w:sz w:val="18"/>
        </w:rPr>
        <w:t xml:space="preserve"> </w:t>
      </w:r>
      <w:r>
        <w:rPr>
          <w:sz w:val="18"/>
        </w:rPr>
        <w:t>advance</w:t>
      </w:r>
      <w:r>
        <w:rPr>
          <w:spacing w:val="-8"/>
          <w:sz w:val="18"/>
        </w:rPr>
        <w:t xml:space="preserve"> </w:t>
      </w:r>
      <w:r>
        <w:rPr>
          <w:sz w:val="18"/>
        </w:rPr>
        <w:t>China's</w:t>
      </w:r>
      <w:r>
        <w:rPr>
          <w:spacing w:val="-3"/>
          <w:sz w:val="18"/>
        </w:rPr>
        <w:t xml:space="preserve"> </w:t>
      </w:r>
      <w:r>
        <w:rPr>
          <w:sz w:val="18"/>
        </w:rPr>
        <w:t>argument</w:t>
      </w:r>
      <w:r>
        <w:rPr>
          <w:spacing w:val="-7"/>
          <w:sz w:val="18"/>
        </w:rPr>
        <w:t xml:space="preserve"> </w:t>
      </w:r>
      <w:r>
        <w:rPr>
          <w:sz w:val="18"/>
        </w:rPr>
        <w:t>that Australia's case is based on partial and misleading evidence and can be disregarded.</w:t>
      </w:r>
    </w:p>
    <w:p w14:paraId="16872BBB" w14:textId="77777777" w:rsidR="00BD462C" w:rsidRDefault="00033D0F">
      <w:pPr>
        <w:spacing w:before="4"/>
        <w:ind w:left="135"/>
        <w:jc w:val="both"/>
        <w:rPr>
          <w:sz w:val="18"/>
        </w:rPr>
      </w:pPr>
      <w:bookmarkStart w:id="938" w:name="_bookmark806"/>
      <w:bookmarkEnd w:id="938"/>
      <w:r>
        <w:rPr>
          <w:position w:val="5"/>
          <w:sz w:val="12"/>
        </w:rPr>
        <w:t>684</w:t>
      </w:r>
      <w:r>
        <w:rPr>
          <w:spacing w:val="12"/>
          <w:position w:val="5"/>
          <w:sz w:val="12"/>
        </w:rPr>
        <w:t xml:space="preserve"> </w:t>
      </w:r>
      <w:r>
        <w:rPr>
          <w:sz w:val="18"/>
        </w:rPr>
        <w:t>China's</w:t>
      </w:r>
      <w:r>
        <w:rPr>
          <w:spacing w:val="-6"/>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 paras.</w:t>
      </w:r>
      <w:r>
        <w:rPr>
          <w:spacing w:val="-5"/>
          <w:sz w:val="18"/>
        </w:rPr>
        <w:t xml:space="preserve"> </w:t>
      </w:r>
      <w:r>
        <w:rPr>
          <w:sz w:val="18"/>
        </w:rPr>
        <w:t>1173-</w:t>
      </w:r>
      <w:r>
        <w:rPr>
          <w:spacing w:val="-2"/>
          <w:sz w:val="18"/>
        </w:rPr>
        <w:t>1178.</w:t>
      </w:r>
    </w:p>
    <w:p w14:paraId="5AA55928" w14:textId="77777777" w:rsidR="00BD462C" w:rsidRDefault="00033D0F">
      <w:pPr>
        <w:spacing w:before="1" w:line="218" w:lineRule="exact"/>
        <w:ind w:left="135"/>
        <w:jc w:val="both"/>
        <w:rPr>
          <w:sz w:val="18"/>
        </w:rPr>
      </w:pPr>
      <w:bookmarkStart w:id="939" w:name="_bookmark807"/>
      <w:bookmarkEnd w:id="939"/>
      <w:r>
        <w:rPr>
          <w:position w:val="5"/>
          <w:sz w:val="12"/>
        </w:rPr>
        <w:t>685</w:t>
      </w:r>
      <w:r>
        <w:rPr>
          <w:spacing w:val="12"/>
          <w:position w:val="5"/>
          <w:sz w:val="12"/>
        </w:rPr>
        <w:t xml:space="preserve"> </w:t>
      </w:r>
      <w:r>
        <w:rPr>
          <w:sz w:val="18"/>
        </w:rPr>
        <w:t>China's</w:t>
      </w:r>
      <w:r>
        <w:rPr>
          <w:spacing w:val="-6"/>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 paras.</w:t>
      </w:r>
      <w:r>
        <w:rPr>
          <w:spacing w:val="-5"/>
          <w:sz w:val="18"/>
        </w:rPr>
        <w:t xml:space="preserve"> </w:t>
      </w:r>
      <w:r>
        <w:rPr>
          <w:sz w:val="18"/>
        </w:rPr>
        <w:t>1179-</w:t>
      </w:r>
      <w:r>
        <w:rPr>
          <w:spacing w:val="-2"/>
          <w:sz w:val="18"/>
        </w:rPr>
        <w:t>1183.</w:t>
      </w:r>
    </w:p>
    <w:p w14:paraId="145A4487" w14:textId="77777777" w:rsidR="00BD462C" w:rsidRDefault="00033D0F">
      <w:pPr>
        <w:spacing w:line="218" w:lineRule="exact"/>
        <w:ind w:left="135"/>
        <w:jc w:val="both"/>
        <w:rPr>
          <w:sz w:val="18"/>
        </w:rPr>
      </w:pPr>
      <w:bookmarkStart w:id="940" w:name="_bookmark808"/>
      <w:bookmarkEnd w:id="940"/>
      <w:r>
        <w:rPr>
          <w:position w:val="5"/>
          <w:sz w:val="12"/>
        </w:rPr>
        <w:t>686</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paras.</w:t>
      </w:r>
      <w:r>
        <w:rPr>
          <w:spacing w:val="-5"/>
          <w:sz w:val="18"/>
        </w:rPr>
        <w:t xml:space="preserve"> </w:t>
      </w:r>
      <w:r>
        <w:rPr>
          <w:sz w:val="18"/>
        </w:rPr>
        <w:t>1184-</w:t>
      </w:r>
      <w:r>
        <w:rPr>
          <w:spacing w:val="-2"/>
          <w:sz w:val="18"/>
        </w:rPr>
        <w:t>1200.</w:t>
      </w:r>
    </w:p>
    <w:p w14:paraId="66039F38" w14:textId="77777777" w:rsidR="00BD462C" w:rsidRDefault="00033D0F">
      <w:pPr>
        <w:spacing w:before="1"/>
        <w:ind w:left="135"/>
        <w:rPr>
          <w:sz w:val="18"/>
        </w:rPr>
      </w:pPr>
      <w:bookmarkStart w:id="941" w:name="_bookmark809"/>
      <w:bookmarkEnd w:id="941"/>
      <w:r>
        <w:rPr>
          <w:position w:val="5"/>
          <w:sz w:val="12"/>
        </w:rPr>
        <w:t>687</w:t>
      </w:r>
      <w:r>
        <w:rPr>
          <w:spacing w:val="12"/>
          <w:position w:val="5"/>
          <w:sz w:val="12"/>
        </w:rPr>
        <w:t xml:space="preserve"> </w:t>
      </w:r>
      <w:r>
        <w:rPr>
          <w:sz w:val="18"/>
        </w:rPr>
        <w:t>China's</w:t>
      </w:r>
      <w:r>
        <w:rPr>
          <w:spacing w:val="-6"/>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 paras.</w:t>
      </w:r>
      <w:r>
        <w:rPr>
          <w:spacing w:val="-5"/>
          <w:sz w:val="18"/>
        </w:rPr>
        <w:t xml:space="preserve"> </w:t>
      </w:r>
      <w:r>
        <w:rPr>
          <w:sz w:val="18"/>
        </w:rPr>
        <w:t>1184-</w:t>
      </w:r>
      <w:r>
        <w:rPr>
          <w:spacing w:val="-2"/>
          <w:sz w:val="18"/>
        </w:rPr>
        <w:t>1200.</w:t>
      </w:r>
    </w:p>
    <w:p w14:paraId="34001FAE" w14:textId="77777777" w:rsidR="00BD462C" w:rsidRDefault="00033D0F">
      <w:pPr>
        <w:spacing w:before="1"/>
        <w:ind w:left="136" w:right="910" w:hanging="1"/>
        <w:rPr>
          <w:sz w:val="18"/>
        </w:rPr>
      </w:pPr>
      <w:bookmarkStart w:id="942" w:name="_bookmark810"/>
      <w:bookmarkEnd w:id="942"/>
      <w:r>
        <w:rPr>
          <w:position w:val="5"/>
          <w:sz w:val="12"/>
        </w:rPr>
        <w:t>688</w:t>
      </w:r>
      <w:r>
        <w:rPr>
          <w:spacing w:val="20"/>
          <w:position w:val="5"/>
          <w:sz w:val="12"/>
        </w:rPr>
        <w:t xml:space="preserve"> </w:t>
      </w:r>
      <w:r>
        <w:rPr>
          <w:sz w:val="18"/>
        </w:rPr>
        <w:t>Australia's first written submission, paras. 566-580; China's first written submission, paras. 1101-1145; China's response to Panel question No. 27.</w:t>
      </w:r>
    </w:p>
    <w:p w14:paraId="03CC251D" w14:textId="77777777" w:rsidR="00BD462C" w:rsidRDefault="00033D0F">
      <w:pPr>
        <w:spacing w:before="2"/>
        <w:ind w:left="135"/>
        <w:rPr>
          <w:sz w:val="18"/>
        </w:rPr>
      </w:pPr>
      <w:bookmarkStart w:id="943" w:name="_bookmark811"/>
      <w:bookmarkEnd w:id="943"/>
      <w:r>
        <w:rPr>
          <w:position w:val="5"/>
          <w:sz w:val="12"/>
        </w:rPr>
        <w:t>689</w:t>
      </w:r>
      <w:r>
        <w:rPr>
          <w:spacing w:val="12"/>
          <w:position w:val="5"/>
          <w:sz w:val="12"/>
        </w:rPr>
        <w:t xml:space="preserve"> </w:t>
      </w:r>
      <w:r>
        <w:rPr>
          <w:sz w:val="18"/>
        </w:rPr>
        <w:t>China's</w:t>
      </w:r>
      <w:r>
        <w:rPr>
          <w:spacing w:val="-6"/>
          <w:sz w:val="18"/>
        </w:rPr>
        <w:t xml:space="preserve"> </w:t>
      </w:r>
      <w:r>
        <w:rPr>
          <w:sz w:val="18"/>
        </w:rPr>
        <w:t>first</w:t>
      </w:r>
      <w:r>
        <w:rPr>
          <w:spacing w:val="-5"/>
          <w:sz w:val="18"/>
        </w:rPr>
        <w:t xml:space="preserve"> </w:t>
      </w:r>
      <w:r>
        <w:rPr>
          <w:sz w:val="18"/>
        </w:rPr>
        <w:t>written</w:t>
      </w:r>
      <w:r>
        <w:rPr>
          <w:spacing w:val="-7"/>
          <w:sz w:val="18"/>
        </w:rPr>
        <w:t xml:space="preserve"> </w:t>
      </w:r>
      <w:r>
        <w:rPr>
          <w:sz w:val="18"/>
        </w:rPr>
        <w:t>submission, paras.</w:t>
      </w:r>
      <w:r>
        <w:rPr>
          <w:spacing w:val="-5"/>
          <w:sz w:val="18"/>
        </w:rPr>
        <w:t xml:space="preserve"> </w:t>
      </w:r>
      <w:r>
        <w:rPr>
          <w:sz w:val="18"/>
        </w:rPr>
        <w:t>1179-</w:t>
      </w:r>
      <w:r>
        <w:rPr>
          <w:spacing w:val="-2"/>
          <w:sz w:val="18"/>
        </w:rPr>
        <w:t>1183.</w:t>
      </w:r>
    </w:p>
    <w:p w14:paraId="49B88747" w14:textId="77777777" w:rsidR="00BD462C" w:rsidRDefault="00BD462C">
      <w:pPr>
        <w:rPr>
          <w:sz w:val="18"/>
        </w:rPr>
        <w:sectPr w:rsidR="00BD462C">
          <w:pgSz w:w="11910" w:h="16840"/>
          <w:pgMar w:top="860" w:right="500" w:bottom="780" w:left="1280" w:header="566" w:footer="590" w:gutter="0"/>
          <w:cols w:space="720"/>
        </w:sectPr>
      </w:pPr>
    </w:p>
    <w:p w14:paraId="472A7C0B"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43E59640"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59C1F070"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0031D4B4" w14:textId="77777777" w:rsidR="00BD462C" w:rsidRDefault="00033D0F">
      <w:pPr>
        <w:pStyle w:val="BodyText"/>
        <w:spacing w:before="102" w:line="360" w:lineRule="auto"/>
        <w:ind w:left="136" w:right="916"/>
        <w:jc w:val="both"/>
      </w:pPr>
      <w:r>
        <w:t>a segment or market of their own…"</w:t>
      </w:r>
      <w:hyperlink w:anchor="_bookmark812" w:history="1">
        <w:r>
          <w:rPr>
            <w:vertAlign w:val="superscript"/>
          </w:rPr>
          <w:t>690</w:t>
        </w:r>
      </w:hyperlink>
      <w:r>
        <w:t xml:space="preserve"> appears to be at least partially inconsistent with the examination</w:t>
      </w:r>
      <w:r>
        <w:rPr>
          <w:spacing w:val="-4"/>
        </w:rPr>
        <w:t xml:space="preserve"> </w:t>
      </w:r>
      <w:r>
        <w:t>of evidence</w:t>
      </w:r>
      <w:r>
        <w:rPr>
          <w:spacing w:val="-2"/>
        </w:rPr>
        <w:t xml:space="preserve"> </w:t>
      </w:r>
      <w:r>
        <w:t>and findings</w:t>
      </w:r>
      <w:r>
        <w:rPr>
          <w:spacing w:val="-1"/>
        </w:rPr>
        <w:t xml:space="preserve"> </w:t>
      </w:r>
      <w:r>
        <w:t>we</w:t>
      </w:r>
      <w:r>
        <w:rPr>
          <w:spacing w:val="-2"/>
        </w:rPr>
        <w:t xml:space="preserve"> </w:t>
      </w:r>
      <w:r>
        <w:t>have</w:t>
      </w:r>
      <w:r>
        <w:rPr>
          <w:spacing w:val="-2"/>
        </w:rPr>
        <w:t xml:space="preserve"> </w:t>
      </w:r>
      <w:r>
        <w:t>now</w:t>
      </w:r>
      <w:r>
        <w:rPr>
          <w:spacing w:val="-2"/>
        </w:rPr>
        <w:t xml:space="preserve"> </w:t>
      </w:r>
      <w:r>
        <w:t>been</w:t>
      </w:r>
      <w:r>
        <w:rPr>
          <w:spacing w:val="-4"/>
        </w:rPr>
        <w:t xml:space="preserve"> </w:t>
      </w:r>
      <w:r>
        <w:t>told that</w:t>
      </w:r>
      <w:r>
        <w:rPr>
          <w:spacing w:val="-2"/>
        </w:rPr>
        <w:t xml:space="preserve"> </w:t>
      </w:r>
      <w:r>
        <w:t>MOFCOM</w:t>
      </w:r>
      <w:r>
        <w:rPr>
          <w:spacing w:val="-2"/>
        </w:rPr>
        <w:t xml:space="preserve"> </w:t>
      </w:r>
      <w:r>
        <w:t>made regarding the existence of low, middle and high end product categories.</w:t>
      </w:r>
      <w:hyperlink w:anchor="_bookmark813" w:history="1">
        <w:r>
          <w:rPr>
            <w:vertAlign w:val="superscript"/>
          </w:rPr>
          <w:t>691</w:t>
        </w:r>
      </w:hyperlink>
    </w:p>
    <w:p w14:paraId="12B9B2F8" w14:textId="77777777" w:rsidR="00BD462C" w:rsidRDefault="00BD462C">
      <w:pPr>
        <w:pStyle w:val="BodyText"/>
        <w:spacing w:before="11"/>
        <w:rPr>
          <w:sz w:val="8"/>
        </w:rPr>
      </w:pPr>
    </w:p>
    <w:p w14:paraId="791382B3" w14:textId="10CD893A" w:rsidR="00BD462C" w:rsidRDefault="007A6FB5">
      <w:pPr>
        <w:pStyle w:val="BodyText"/>
        <w:spacing w:before="56" w:line="360" w:lineRule="auto"/>
        <w:ind w:left="135" w:right="911" w:hanging="5"/>
        <w:jc w:val="both"/>
      </w:pPr>
      <w:r>
        <w:rPr>
          <w:noProof/>
        </w:rPr>
        <w:t>472.</w:t>
      </w:r>
      <w:r w:rsidR="00033D0F">
        <w:rPr>
          <w:rFonts w:ascii="Times New Roman"/>
          <w:spacing w:val="80"/>
          <w:w w:val="150"/>
          <w:position w:val="1"/>
          <w:sz w:val="20"/>
        </w:rPr>
        <w:t xml:space="preserve"> </w:t>
      </w:r>
      <w:r w:rsidR="00033D0F">
        <w:rPr>
          <w:position w:val="1"/>
        </w:rPr>
        <w:t>The</w:t>
      </w:r>
      <w:r w:rsidR="00033D0F">
        <w:rPr>
          <w:spacing w:val="-12"/>
          <w:position w:val="1"/>
        </w:rPr>
        <w:t xml:space="preserve"> </w:t>
      </w:r>
      <w:r w:rsidR="00033D0F">
        <w:rPr>
          <w:position w:val="1"/>
        </w:rPr>
        <w:t>issue</w:t>
      </w:r>
      <w:r w:rsidR="00033D0F">
        <w:rPr>
          <w:spacing w:val="-12"/>
          <w:position w:val="1"/>
        </w:rPr>
        <w:t xml:space="preserve"> </w:t>
      </w:r>
      <w:r w:rsidR="00033D0F">
        <w:rPr>
          <w:position w:val="1"/>
        </w:rPr>
        <w:t>appears</w:t>
      </w:r>
      <w:r w:rsidR="00033D0F">
        <w:rPr>
          <w:spacing w:val="-10"/>
          <w:position w:val="1"/>
        </w:rPr>
        <w:t xml:space="preserve"> </w:t>
      </w:r>
      <w:r w:rsidR="00033D0F">
        <w:rPr>
          <w:position w:val="1"/>
        </w:rPr>
        <w:t>to</w:t>
      </w:r>
      <w:r w:rsidR="00033D0F">
        <w:rPr>
          <w:spacing w:val="-14"/>
          <w:position w:val="1"/>
        </w:rPr>
        <w:t xml:space="preserve"> </w:t>
      </w:r>
      <w:r w:rsidR="00033D0F">
        <w:rPr>
          <w:position w:val="1"/>
        </w:rPr>
        <w:t>be</w:t>
      </w:r>
      <w:r w:rsidR="00033D0F">
        <w:rPr>
          <w:spacing w:val="-12"/>
          <w:position w:val="1"/>
        </w:rPr>
        <w:t xml:space="preserve"> </w:t>
      </w:r>
      <w:r w:rsidR="00033D0F">
        <w:rPr>
          <w:position w:val="1"/>
        </w:rPr>
        <w:t>that</w:t>
      </w:r>
      <w:r w:rsidR="00033D0F">
        <w:rPr>
          <w:spacing w:val="-11"/>
          <w:position w:val="1"/>
        </w:rPr>
        <w:t xml:space="preserve"> </w:t>
      </w:r>
      <w:r w:rsidR="00033D0F">
        <w:rPr>
          <w:position w:val="1"/>
        </w:rPr>
        <w:t>China</w:t>
      </w:r>
      <w:r w:rsidR="00033D0F">
        <w:rPr>
          <w:spacing w:val="-12"/>
          <w:position w:val="1"/>
        </w:rPr>
        <w:t xml:space="preserve"> </w:t>
      </w:r>
      <w:r w:rsidR="00033D0F">
        <w:rPr>
          <w:position w:val="1"/>
        </w:rPr>
        <w:t>disagrees</w:t>
      </w:r>
      <w:r w:rsidR="00033D0F">
        <w:rPr>
          <w:spacing w:val="-10"/>
          <w:position w:val="1"/>
        </w:rPr>
        <w:t xml:space="preserve"> </w:t>
      </w:r>
      <w:r w:rsidR="00033D0F">
        <w:rPr>
          <w:position w:val="1"/>
        </w:rPr>
        <w:t>with</w:t>
      </w:r>
      <w:r w:rsidR="00033D0F">
        <w:rPr>
          <w:spacing w:val="-14"/>
          <w:position w:val="1"/>
        </w:rPr>
        <w:t xml:space="preserve"> </w:t>
      </w:r>
      <w:r w:rsidR="00033D0F">
        <w:rPr>
          <w:position w:val="1"/>
        </w:rPr>
        <w:t>the</w:t>
      </w:r>
      <w:r w:rsidR="00033D0F">
        <w:rPr>
          <w:spacing w:val="-12"/>
          <w:position w:val="1"/>
        </w:rPr>
        <w:t xml:space="preserve"> </w:t>
      </w:r>
      <w:r w:rsidR="00033D0F">
        <w:rPr>
          <w:position w:val="1"/>
        </w:rPr>
        <w:t>methodology</w:t>
      </w:r>
      <w:r w:rsidR="00033D0F">
        <w:rPr>
          <w:spacing w:val="-11"/>
          <w:position w:val="1"/>
        </w:rPr>
        <w:t xml:space="preserve"> </w:t>
      </w:r>
      <w:r w:rsidR="00033D0F">
        <w:rPr>
          <w:position w:val="1"/>
        </w:rPr>
        <w:t>Australia</w:t>
      </w:r>
      <w:r w:rsidR="00033D0F">
        <w:rPr>
          <w:spacing w:val="-12"/>
          <w:position w:val="1"/>
        </w:rPr>
        <w:t xml:space="preserve"> </w:t>
      </w:r>
      <w:r w:rsidR="00033D0F">
        <w:rPr>
          <w:position w:val="1"/>
        </w:rPr>
        <w:t xml:space="preserve">adopted </w:t>
      </w:r>
      <w:r w:rsidR="00033D0F">
        <w:t>to consider the product mix evidence data and ultimately seeks to draw different conclusions.</w:t>
      </w:r>
      <w:hyperlink w:anchor="_bookmark814" w:history="1">
        <w:r w:rsidR="00033D0F">
          <w:rPr>
            <w:vertAlign w:val="superscript"/>
          </w:rPr>
          <w:t>692</w:t>
        </w:r>
      </w:hyperlink>
      <w:r w:rsidR="00033D0F">
        <w:t xml:space="preserve"> That is appropriate. It is for the investigating authority to determine what methodology it adopts, so long as that methodology complies with the requirements of Articles 3.1 and 3.2. Australia's argument is not that MOFCOM must </w:t>
      </w:r>
      <w:proofErr w:type="spellStart"/>
      <w:r w:rsidR="00033D0F">
        <w:t>analyse</w:t>
      </w:r>
      <w:proofErr w:type="spellEnd"/>
      <w:r w:rsidR="00033D0F">
        <w:t xml:space="preserve"> the product mix data in exactly the same way and reach the same conclusions as Australia. Australia's argument is that MOFCOM failed to adopt any methodology or take any steps to ensure the comparability of the pricing information that it used in its examination of whether subject imports were suppressing the price of domestic like products, even though the necessary information was available on the record before it.</w:t>
      </w:r>
    </w:p>
    <w:p w14:paraId="7C89F47B" w14:textId="38163409" w:rsidR="00BD462C" w:rsidRDefault="00BD462C">
      <w:pPr>
        <w:pStyle w:val="BodyText"/>
        <w:spacing w:before="2"/>
        <w:rPr>
          <w:sz w:val="8"/>
        </w:rPr>
      </w:pPr>
    </w:p>
    <w:p w14:paraId="537514D5" w14:textId="652CF25D" w:rsidR="00BD462C" w:rsidRDefault="005B60EE" w:rsidP="005B60EE">
      <w:pPr>
        <w:pStyle w:val="BodyText"/>
        <w:spacing w:before="52" w:line="360" w:lineRule="auto"/>
        <w:ind w:left="135" w:right="913"/>
        <w:jc w:val="both"/>
      </w:pPr>
      <w:r>
        <w:rPr>
          <w:noProof/>
        </w:rPr>
        <w:t>473.</w:t>
      </w:r>
      <w:r>
        <w:rPr>
          <w:rFonts w:ascii="Times New Roman"/>
          <w:spacing w:val="80"/>
          <w:w w:val="150"/>
          <w:position w:val="1"/>
          <w:sz w:val="20"/>
        </w:rPr>
        <w:t xml:space="preserve"> </w:t>
      </w:r>
      <w:r w:rsidR="00752F01">
        <w:rPr>
          <w:noProof/>
        </w:rPr>
        <mc:AlternateContent>
          <mc:Choice Requires="wps">
            <w:drawing>
              <wp:anchor distT="0" distB="0" distL="114300" distR="114300" simplePos="0" relativeHeight="15919616" behindDoc="0" locked="0" layoutInCell="1" allowOverlap="1" wp14:anchorId="40659843" wp14:editId="0A7115CB">
                <wp:simplePos x="0" y="0"/>
                <wp:positionH relativeFrom="page">
                  <wp:posOffset>4787900</wp:posOffset>
                </wp:positionH>
                <wp:positionV relativeFrom="paragraph">
                  <wp:posOffset>1426210</wp:posOffset>
                </wp:positionV>
                <wp:extent cx="1870710" cy="186055"/>
                <wp:effectExtent l="0" t="0" r="0" b="4445"/>
                <wp:wrapNone/>
                <wp:docPr id="598" name="docshape4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071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B14922" id="docshape420" o:spid="_x0000_s1026" alt="&quot;&quot;" style="position:absolute;margin-left:377pt;margin-top:112.3pt;width:147.3pt;height:14.65pt;z-index:1591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" fillcolor="black" stroked="f">
                <w10:wrap anchorx="page"/>
              </v:rect>
            </w:pict>
          </mc:Fallback>
        </mc:AlternateContent>
      </w:r>
      <w:r w:rsidR="00033D0F">
        <w:t>Third,</w:t>
      </w:r>
      <w:r w:rsidR="00033D0F">
        <w:rPr>
          <w:spacing w:val="-4"/>
        </w:rPr>
        <w:t xml:space="preserve"> </w:t>
      </w:r>
      <w:r w:rsidR="00033D0F">
        <w:t>China</w:t>
      </w:r>
      <w:r w:rsidR="00033D0F">
        <w:rPr>
          <w:spacing w:val="-6"/>
        </w:rPr>
        <w:t xml:space="preserve"> </w:t>
      </w:r>
      <w:r w:rsidR="00033D0F">
        <w:t>misunderstands</w:t>
      </w:r>
      <w:r w:rsidR="00033D0F">
        <w:rPr>
          <w:spacing w:val="-4"/>
        </w:rPr>
        <w:t xml:space="preserve"> </w:t>
      </w:r>
      <w:r w:rsidR="00033D0F">
        <w:t>Australia's</w:t>
      </w:r>
      <w:r w:rsidR="00033D0F">
        <w:rPr>
          <w:spacing w:val="-4"/>
        </w:rPr>
        <w:t xml:space="preserve"> </w:t>
      </w:r>
      <w:r w:rsidR="00033D0F">
        <w:t>argument</w:t>
      </w:r>
      <w:r w:rsidR="00033D0F">
        <w:rPr>
          <w:spacing w:val="-10"/>
        </w:rPr>
        <w:t xml:space="preserve"> </w:t>
      </w:r>
      <w:r w:rsidR="00033D0F">
        <w:t>as</w:t>
      </w:r>
      <w:r w:rsidR="00033D0F">
        <w:rPr>
          <w:spacing w:val="-4"/>
        </w:rPr>
        <w:t xml:space="preserve"> </w:t>
      </w:r>
      <w:r w:rsidR="00033D0F">
        <w:t>asserting</w:t>
      </w:r>
      <w:r w:rsidR="00033D0F">
        <w:rPr>
          <w:spacing w:val="-9"/>
        </w:rPr>
        <w:t xml:space="preserve"> </w:t>
      </w:r>
      <w:r w:rsidR="00033D0F">
        <w:t>that</w:t>
      </w:r>
      <w:r w:rsidR="00033D0F">
        <w:rPr>
          <w:spacing w:val="-5"/>
        </w:rPr>
        <w:t xml:space="preserve"> </w:t>
      </w:r>
      <w:r w:rsidR="00033D0F">
        <w:t>MOFCOM</w:t>
      </w:r>
      <w:r w:rsidR="00033D0F">
        <w:rPr>
          <w:spacing w:val="-5"/>
        </w:rPr>
        <w:t xml:space="preserve"> </w:t>
      </w:r>
      <w:r w:rsidR="00033D0F">
        <w:t>should have relied on the Treasury Wines data alone.</w:t>
      </w:r>
      <w:hyperlink w:anchor="_bookmark815" w:history="1">
        <w:r w:rsidR="00033D0F">
          <w:rPr>
            <w:vertAlign w:val="superscript"/>
          </w:rPr>
          <w:t>693</w:t>
        </w:r>
      </w:hyperlink>
      <w:r w:rsidR="00033D0F">
        <w:t xml:space="preserve"> That is not Australia's argument. Quite the opposite, Australia's argument is that MOFCOM should have had regard to all product mix data available to it and ensured that data was adequately reflected in the price effects analysis. Australia's focus on the Treasury Wines data in its first written submission simply reflects</w:t>
      </w:r>
      <w:r w:rsidR="00033D0F">
        <w:rPr>
          <w:spacing w:val="40"/>
        </w:rPr>
        <w:t xml:space="preserve"> </w:t>
      </w:r>
      <w:r w:rsidR="00033D0F">
        <w:t>the</w:t>
      </w:r>
      <w:r w:rsidR="00033D0F">
        <w:rPr>
          <w:spacing w:val="40"/>
        </w:rPr>
        <w:t xml:space="preserve"> </w:t>
      </w:r>
      <w:r w:rsidR="00033D0F">
        <w:t>fact</w:t>
      </w:r>
      <w:r w:rsidR="00033D0F">
        <w:rPr>
          <w:spacing w:val="40"/>
        </w:rPr>
        <w:t xml:space="preserve"> </w:t>
      </w:r>
      <w:r w:rsidR="00033D0F">
        <w:t>that</w:t>
      </w:r>
      <w:r w:rsidR="00033D0F">
        <w:rPr>
          <w:spacing w:val="40"/>
        </w:rPr>
        <w:t xml:space="preserve"> </w:t>
      </w:r>
      <w:r w:rsidR="00033D0F">
        <w:t>of</w:t>
      </w:r>
      <w:r w:rsidR="00033D0F">
        <w:rPr>
          <w:spacing w:val="40"/>
        </w:rPr>
        <w:t xml:space="preserve"> </w:t>
      </w:r>
      <w:r w:rsidR="00033D0F">
        <w:t>the</w:t>
      </w:r>
      <w:r w:rsidR="00033D0F">
        <w:rPr>
          <w:spacing w:val="40"/>
        </w:rPr>
        <w:t xml:space="preserve"> </w:t>
      </w:r>
      <w:r w:rsidR="00033D0F">
        <w:t>three</w:t>
      </w:r>
      <w:r w:rsidR="00033D0F">
        <w:rPr>
          <w:spacing w:val="40"/>
        </w:rPr>
        <w:t xml:space="preserve"> </w:t>
      </w:r>
      <w:r w:rsidR="00033D0F">
        <w:t>sampled</w:t>
      </w:r>
      <w:r w:rsidR="00033D0F">
        <w:rPr>
          <w:spacing w:val="40"/>
        </w:rPr>
        <w:t xml:space="preserve"> </w:t>
      </w:r>
      <w:r w:rsidR="00033D0F">
        <w:t>companies,</w:t>
      </w:r>
      <w:r w:rsidR="00033D0F">
        <w:rPr>
          <w:spacing w:val="40"/>
        </w:rPr>
        <w:t xml:space="preserve"> </w:t>
      </w:r>
      <w:r w:rsidR="00033D0F">
        <w:t>Treasury</w:t>
      </w:r>
      <w:r w:rsidR="00033D0F">
        <w:rPr>
          <w:spacing w:val="40"/>
        </w:rPr>
        <w:t xml:space="preserve"> </w:t>
      </w:r>
      <w:r w:rsidR="00033D0F">
        <w:t>Wines</w:t>
      </w:r>
    </w:p>
    <w:p w14:paraId="4DAD1CD9" w14:textId="41212DC5" w:rsidR="00BD462C" w:rsidRDefault="00D70C7D">
      <w:pPr>
        <w:pStyle w:val="BodyText"/>
        <w:ind w:left="136"/>
        <w:rPr>
          <w:sz w:val="20"/>
        </w:rPr>
      </w:pPr>
      <w:r>
        <w:rPr>
          <w:noProof/>
          <w:sz w:val="20"/>
        </w:rPr>
        <mc:AlternateContent>
          <mc:Choice Requires="wpg">
            <w:drawing>
              <wp:inline distT="0" distB="0" distL="0" distR="0" wp14:anchorId="519D94DC" wp14:editId="6509B993">
                <wp:extent cx="2505710" cy="186055"/>
                <wp:effectExtent l="3810" t="0" r="0" b="0"/>
                <wp:docPr id="594" name="docshapegroup421" descr="Redac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5710" cy="186055"/>
                          <a:chOff x="0" y="0"/>
                          <a:chExt cx="3946" cy="293"/>
                        </a:xfrm>
                      </wpg:grpSpPr>
                      <wps:wsp>
                        <wps:cNvPr id="596" name="docshape422"/>
                        <wps:cNvSpPr>
                          <a:spLocks noChangeArrowheads="1"/>
                        </wps:cNvSpPr>
                        <wps:spPr bwMode="auto">
                          <a:xfrm>
                            <a:off x="0" y="0"/>
                            <a:ext cx="3946" cy="29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FBE2136" id="docshapegroup421" o:spid="_x0000_s1026" alt="Redacted" style="width:197.3pt;height:14.65pt;mso-position-horizontal-relative:char;mso-position-vertical-relative:line" coordsize="3946,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">
                <v:rect id="docshape422" o:spid="_x0000_s1027" style="position:absolute;width:3946;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" fillcolor="black" stroked="f"/>
                <w10:anchorlock/>
              </v:group>
            </w:pict>
          </mc:Fallback>
        </mc:AlternateContent>
      </w:r>
    </w:p>
    <w:p w14:paraId="05389923" w14:textId="77777777" w:rsidR="00BD462C" w:rsidRDefault="00BD462C">
      <w:pPr>
        <w:pStyle w:val="BodyText"/>
        <w:spacing w:before="5"/>
        <w:rPr>
          <w:sz w:val="18"/>
        </w:rPr>
      </w:pPr>
    </w:p>
    <w:p w14:paraId="67578132" w14:textId="22F6FF06" w:rsidR="00BD462C" w:rsidRDefault="005B60EE">
      <w:pPr>
        <w:pStyle w:val="BodyText"/>
        <w:spacing w:before="56" w:line="357" w:lineRule="auto"/>
        <w:ind w:left="136" w:right="911" w:hanging="5"/>
        <w:jc w:val="both"/>
      </w:pPr>
      <w:r>
        <w:rPr>
          <w:noProof/>
        </w:rPr>
        <w:t>474.</w:t>
      </w:r>
      <w:r w:rsidR="00033D0F">
        <w:rPr>
          <w:rFonts w:ascii="Times New Roman"/>
          <w:spacing w:val="80"/>
          <w:w w:val="150"/>
          <w:position w:val="1"/>
          <w:sz w:val="20"/>
        </w:rPr>
        <w:t xml:space="preserve"> </w:t>
      </w:r>
      <w:r w:rsidR="00033D0F">
        <w:rPr>
          <w:position w:val="1"/>
        </w:rPr>
        <w:t xml:space="preserve">Finally, for completeness, Australia notes the points that China raises in relation to </w:t>
      </w:r>
      <w:r w:rsidR="00033D0F">
        <w:t>the product mix of domestic like products.</w:t>
      </w:r>
      <w:hyperlink w:anchor="_bookmark816" w:history="1">
        <w:r w:rsidR="00033D0F">
          <w:rPr>
            <w:vertAlign w:val="superscript"/>
          </w:rPr>
          <w:t>694</w:t>
        </w:r>
      </w:hyperlink>
      <w:r w:rsidR="00033D0F">
        <w:t xml:space="preserve"> In sum, these are not an answer to Australia's argument and have been addressed earlier in this submission.</w:t>
      </w:r>
    </w:p>
    <w:p w14:paraId="23043ED2" w14:textId="77777777" w:rsidR="00BD462C" w:rsidRDefault="00BD462C">
      <w:pPr>
        <w:pStyle w:val="BodyText"/>
        <w:rPr>
          <w:sz w:val="20"/>
        </w:rPr>
      </w:pPr>
    </w:p>
    <w:p w14:paraId="74EAC817" w14:textId="77777777" w:rsidR="00BD462C" w:rsidRDefault="00BD462C">
      <w:pPr>
        <w:pStyle w:val="BodyText"/>
        <w:rPr>
          <w:sz w:val="20"/>
        </w:rPr>
      </w:pPr>
    </w:p>
    <w:p w14:paraId="6E0B1755" w14:textId="77777777" w:rsidR="00BD462C" w:rsidRDefault="00BD462C">
      <w:pPr>
        <w:pStyle w:val="BodyText"/>
        <w:rPr>
          <w:sz w:val="20"/>
        </w:rPr>
      </w:pPr>
    </w:p>
    <w:p w14:paraId="3A8B172F" w14:textId="77777777" w:rsidR="00BD462C" w:rsidRDefault="00BD462C">
      <w:pPr>
        <w:pStyle w:val="BodyText"/>
        <w:rPr>
          <w:sz w:val="20"/>
        </w:rPr>
      </w:pPr>
    </w:p>
    <w:p w14:paraId="050530EE" w14:textId="77777777" w:rsidR="00BD462C" w:rsidRDefault="00BD462C">
      <w:pPr>
        <w:pStyle w:val="BodyText"/>
        <w:rPr>
          <w:sz w:val="20"/>
        </w:rPr>
      </w:pPr>
    </w:p>
    <w:p w14:paraId="3332DF8C" w14:textId="70FE916D" w:rsidR="00BD462C" w:rsidRDefault="00752F01">
      <w:pPr>
        <w:pStyle w:val="BodyText"/>
        <w:spacing w:before="4"/>
        <w:rPr>
          <w:sz w:val="18"/>
        </w:rPr>
      </w:pPr>
      <w:r>
        <w:rPr>
          <w:noProof/>
        </w:rPr>
        <mc:AlternateContent>
          <mc:Choice Requires="wps">
            <w:drawing>
              <wp:anchor distT="0" distB="0" distL="0" distR="0" simplePos="0" relativeHeight="488270336" behindDoc="1" locked="0" layoutInCell="1" allowOverlap="1" wp14:anchorId="711DFF5A" wp14:editId="26DA0A2C">
                <wp:simplePos x="0" y="0"/>
                <wp:positionH relativeFrom="page">
                  <wp:posOffset>812800</wp:posOffset>
                </wp:positionH>
                <wp:positionV relativeFrom="paragraph">
                  <wp:posOffset>144145</wp:posOffset>
                </wp:positionV>
                <wp:extent cx="1828800" cy="8890"/>
                <wp:effectExtent l="0" t="0" r="0" b="0"/>
                <wp:wrapTopAndBottom/>
                <wp:docPr id="249" name="docshape4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9DBBD4" id="docshape414" o:spid="_x0000_s1026" alt="&quot;&quot;" style="position:absolute;margin-left:64pt;margin-top:11.35pt;width:2in;height:.7pt;z-index:-15046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" fillcolor="black" stroked="f">
                <w10:wrap type="topAndBottom" anchorx="page"/>
              </v:rect>
            </w:pict>
          </mc:Fallback>
        </mc:AlternateContent>
      </w:r>
    </w:p>
    <w:p w14:paraId="41B6C378" w14:textId="77777777" w:rsidR="00BD462C" w:rsidRDefault="00033D0F">
      <w:pPr>
        <w:spacing w:before="112"/>
        <w:ind w:left="135"/>
        <w:jc w:val="both"/>
        <w:rPr>
          <w:sz w:val="18"/>
        </w:rPr>
      </w:pPr>
      <w:bookmarkStart w:id="944" w:name="_bookmark812"/>
      <w:bookmarkEnd w:id="944"/>
      <w:r>
        <w:rPr>
          <w:position w:val="5"/>
          <w:sz w:val="12"/>
        </w:rPr>
        <w:t>690</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 xml:space="preserve">submission, para. </w:t>
      </w:r>
      <w:r>
        <w:rPr>
          <w:spacing w:val="-2"/>
          <w:sz w:val="18"/>
        </w:rPr>
        <w:t>1182.</w:t>
      </w:r>
    </w:p>
    <w:p w14:paraId="1B75A29F" w14:textId="77777777" w:rsidR="00BD462C" w:rsidRDefault="00033D0F">
      <w:pPr>
        <w:spacing w:before="2" w:line="237" w:lineRule="auto"/>
        <w:ind w:left="136" w:right="909" w:hanging="1"/>
        <w:jc w:val="both"/>
        <w:rPr>
          <w:sz w:val="18"/>
        </w:rPr>
      </w:pPr>
      <w:bookmarkStart w:id="945" w:name="_bookmark813"/>
      <w:bookmarkEnd w:id="945"/>
      <w:r>
        <w:rPr>
          <w:position w:val="5"/>
          <w:sz w:val="12"/>
        </w:rPr>
        <w:t>691</w:t>
      </w:r>
      <w:r>
        <w:rPr>
          <w:spacing w:val="25"/>
          <w:position w:val="5"/>
          <w:sz w:val="12"/>
        </w:rPr>
        <w:t xml:space="preserve"> </w:t>
      </w:r>
      <w:r>
        <w:rPr>
          <w:sz w:val="18"/>
        </w:rPr>
        <w:t>China's response to Panel question No. 27, paras. 134-140. This portion of China's response makes clear that Australian interested parties did submit relevant evidence to MOFCOM, which we are now told was examined in some detail by MOFCOM and informed a finding that subject imports "were of low and middle-end wine".</w:t>
      </w:r>
    </w:p>
    <w:p w14:paraId="0AEC60F1" w14:textId="77777777" w:rsidR="00BD462C" w:rsidRDefault="00033D0F">
      <w:pPr>
        <w:spacing w:before="4"/>
        <w:ind w:left="135"/>
        <w:rPr>
          <w:sz w:val="18"/>
        </w:rPr>
      </w:pPr>
      <w:bookmarkStart w:id="946" w:name="_bookmark814"/>
      <w:bookmarkEnd w:id="946"/>
      <w:r>
        <w:rPr>
          <w:position w:val="5"/>
          <w:sz w:val="12"/>
        </w:rPr>
        <w:t>692</w:t>
      </w:r>
      <w:r>
        <w:rPr>
          <w:spacing w:val="12"/>
          <w:position w:val="5"/>
          <w:sz w:val="12"/>
        </w:rPr>
        <w:t xml:space="preserve"> </w:t>
      </w:r>
      <w:r>
        <w:rPr>
          <w:sz w:val="18"/>
        </w:rPr>
        <w:t>China's</w:t>
      </w:r>
      <w:r>
        <w:rPr>
          <w:spacing w:val="-6"/>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 paras.</w:t>
      </w:r>
      <w:r>
        <w:rPr>
          <w:spacing w:val="-5"/>
          <w:sz w:val="18"/>
        </w:rPr>
        <w:t xml:space="preserve"> </w:t>
      </w:r>
      <w:r>
        <w:rPr>
          <w:sz w:val="18"/>
        </w:rPr>
        <w:t>1189-</w:t>
      </w:r>
      <w:r>
        <w:rPr>
          <w:spacing w:val="-2"/>
          <w:sz w:val="18"/>
        </w:rPr>
        <w:t>1195.</w:t>
      </w:r>
    </w:p>
    <w:p w14:paraId="294FB35A" w14:textId="77777777" w:rsidR="00BD462C" w:rsidRDefault="00033D0F">
      <w:pPr>
        <w:spacing w:before="1"/>
        <w:ind w:left="135"/>
        <w:rPr>
          <w:sz w:val="18"/>
        </w:rPr>
      </w:pPr>
      <w:bookmarkStart w:id="947" w:name="_bookmark815"/>
      <w:bookmarkEnd w:id="947"/>
      <w:r>
        <w:rPr>
          <w:position w:val="5"/>
          <w:sz w:val="12"/>
        </w:rPr>
        <w:t>693</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paras.</w:t>
      </w:r>
      <w:r>
        <w:rPr>
          <w:spacing w:val="-5"/>
          <w:sz w:val="18"/>
        </w:rPr>
        <w:t xml:space="preserve"> </w:t>
      </w:r>
      <w:r>
        <w:rPr>
          <w:sz w:val="18"/>
        </w:rPr>
        <w:t>1201-</w:t>
      </w:r>
      <w:r>
        <w:rPr>
          <w:spacing w:val="-2"/>
          <w:sz w:val="18"/>
        </w:rPr>
        <w:t>1223.</w:t>
      </w:r>
    </w:p>
    <w:p w14:paraId="71A04734" w14:textId="77777777" w:rsidR="00BD462C" w:rsidRDefault="00033D0F">
      <w:pPr>
        <w:spacing w:before="1"/>
        <w:ind w:left="135"/>
        <w:rPr>
          <w:sz w:val="18"/>
        </w:rPr>
      </w:pPr>
      <w:bookmarkStart w:id="948" w:name="_bookmark816"/>
      <w:bookmarkEnd w:id="948"/>
      <w:r>
        <w:rPr>
          <w:position w:val="5"/>
          <w:sz w:val="12"/>
        </w:rPr>
        <w:t>694</w:t>
      </w:r>
      <w:r>
        <w:rPr>
          <w:spacing w:val="12"/>
          <w:position w:val="5"/>
          <w:sz w:val="12"/>
        </w:rPr>
        <w:t xml:space="preserve"> </w:t>
      </w:r>
      <w:r>
        <w:rPr>
          <w:sz w:val="18"/>
        </w:rPr>
        <w:t>China's</w:t>
      </w:r>
      <w:r>
        <w:rPr>
          <w:spacing w:val="-6"/>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 paras.</w:t>
      </w:r>
      <w:r>
        <w:rPr>
          <w:spacing w:val="-5"/>
          <w:sz w:val="18"/>
        </w:rPr>
        <w:t xml:space="preserve"> </w:t>
      </w:r>
      <w:r>
        <w:rPr>
          <w:sz w:val="18"/>
        </w:rPr>
        <w:t>1201-</w:t>
      </w:r>
      <w:r>
        <w:rPr>
          <w:spacing w:val="-2"/>
          <w:sz w:val="18"/>
        </w:rPr>
        <w:t>1205.</w:t>
      </w:r>
    </w:p>
    <w:p w14:paraId="2CD888FB" w14:textId="77777777" w:rsidR="00BD462C" w:rsidRDefault="00BD462C">
      <w:pPr>
        <w:rPr>
          <w:sz w:val="18"/>
        </w:rPr>
        <w:sectPr w:rsidR="00BD462C">
          <w:pgSz w:w="11910" w:h="16840"/>
          <w:pgMar w:top="860" w:right="500" w:bottom="780" w:left="1280" w:header="566" w:footer="590" w:gutter="0"/>
          <w:cols w:space="720"/>
        </w:sectPr>
      </w:pPr>
    </w:p>
    <w:p w14:paraId="0A0BDF07"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0477BADB"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00481697"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689746B7" w14:textId="77777777" w:rsidR="00BD462C" w:rsidRDefault="00033D0F">
      <w:pPr>
        <w:pStyle w:val="ListParagraph"/>
        <w:numPr>
          <w:ilvl w:val="0"/>
          <w:numId w:val="55"/>
        </w:numPr>
        <w:tabs>
          <w:tab w:val="left" w:pos="3539"/>
          <w:tab w:val="left" w:pos="3540"/>
        </w:tabs>
        <w:spacing w:before="102"/>
        <w:ind w:hanging="851"/>
        <w:rPr>
          <w:sz w:val="24"/>
        </w:rPr>
      </w:pPr>
      <w:bookmarkStart w:id="949" w:name="(e)_Conclusion"/>
      <w:bookmarkEnd w:id="949"/>
      <w:r>
        <w:rPr>
          <w:spacing w:val="-2"/>
          <w:sz w:val="24"/>
          <w:u w:val="single"/>
        </w:rPr>
        <w:t>Conclusion</w:t>
      </w:r>
    </w:p>
    <w:p w14:paraId="0E80CC9A" w14:textId="77777777" w:rsidR="00BD462C" w:rsidRDefault="00BD462C">
      <w:pPr>
        <w:pStyle w:val="BodyText"/>
        <w:spacing w:before="7"/>
        <w:rPr>
          <w:sz w:val="20"/>
        </w:rPr>
      </w:pPr>
    </w:p>
    <w:p w14:paraId="7E35E3F1" w14:textId="12519081" w:rsidR="00BD462C" w:rsidRDefault="005B60EE">
      <w:pPr>
        <w:pStyle w:val="BodyText"/>
        <w:spacing w:before="56" w:line="357" w:lineRule="auto"/>
        <w:ind w:left="135" w:right="918" w:hanging="5"/>
        <w:jc w:val="both"/>
      </w:pPr>
      <w:r>
        <w:rPr>
          <w:noProof/>
        </w:rPr>
        <w:t>475.</w:t>
      </w:r>
      <w:r w:rsidR="00033D0F">
        <w:rPr>
          <w:rFonts w:ascii="Times New Roman"/>
          <w:spacing w:val="80"/>
          <w:w w:val="150"/>
          <w:position w:val="1"/>
          <w:sz w:val="20"/>
        </w:rPr>
        <w:t xml:space="preserve"> </w:t>
      </w:r>
      <w:r w:rsidR="00033D0F">
        <w:rPr>
          <w:position w:val="1"/>
        </w:rPr>
        <w:t>In</w:t>
      </w:r>
      <w:r w:rsidR="00033D0F">
        <w:rPr>
          <w:spacing w:val="-5"/>
          <w:position w:val="1"/>
        </w:rPr>
        <w:t xml:space="preserve"> </w:t>
      </w:r>
      <w:r w:rsidR="00033D0F">
        <w:rPr>
          <w:position w:val="1"/>
        </w:rPr>
        <w:t>conclusion,</w:t>
      </w:r>
      <w:r w:rsidR="00033D0F">
        <w:rPr>
          <w:spacing w:val="-2"/>
          <w:position w:val="1"/>
        </w:rPr>
        <w:t xml:space="preserve"> </w:t>
      </w:r>
      <w:r w:rsidR="00033D0F">
        <w:rPr>
          <w:position w:val="1"/>
        </w:rPr>
        <w:t>the</w:t>
      </w:r>
      <w:r w:rsidR="00033D0F">
        <w:rPr>
          <w:spacing w:val="-4"/>
          <w:position w:val="1"/>
        </w:rPr>
        <w:t xml:space="preserve"> </w:t>
      </w:r>
      <w:r w:rsidR="00033D0F">
        <w:rPr>
          <w:position w:val="1"/>
        </w:rPr>
        <w:t>evidence</w:t>
      </w:r>
      <w:r w:rsidR="00033D0F">
        <w:rPr>
          <w:spacing w:val="-3"/>
          <w:position w:val="1"/>
        </w:rPr>
        <w:t xml:space="preserve"> </w:t>
      </w:r>
      <w:r w:rsidR="00033D0F">
        <w:rPr>
          <w:position w:val="1"/>
        </w:rPr>
        <w:t>before</w:t>
      </w:r>
      <w:r w:rsidR="00033D0F">
        <w:rPr>
          <w:spacing w:val="-3"/>
          <w:position w:val="1"/>
        </w:rPr>
        <w:t xml:space="preserve"> </w:t>
      </w:r>
      <w:r w:rsidR="00033D0F">
        <w:rPr>
          <w:position w:val="1"/>
        </w:rPr>
        <w:t>the</w:t>
      </w:r>
      <w:r w:rsidR="00033D0F">
        <w:rPr>
          <w:spacing w:val="-4"/>
          <w:position w:val="1"/>
        </w:rPr>
        <w:t xml:space="preserve"> </w:t>
      </w:r>
      <w:r w:rsidR="00033D0F">
        <w:rPr>
          <w:position w:val="1"/>
        </w:rPr>
        <w:t>Panel,</w:t>
      </w:r>
      <w:r w:rsidR="00033D0F">
        <w:rPr>
          <w:spacing w:val="-1"/>
          <w:position w:val="1"/>
        </w:rPr>
        <w:t xml:space="preserve"> </w:t>
      </w:r>
      <w:r w:rsidR="00033D0F">
        <w:rPr>
          <w:position w:val="1"/>
        </w:rPr>
        <w:t>the</w:t>
      </w:r>
      <w:r w:rsidR="00033D0F">
        <w:rPr>
          <w:spacing w:val="-8"/>
          <w:position w:val="1"/>
        </w:rPr>
        <w:t xml:space="preserve"> </w:t>
      </w:r>
      <w:r w:rsidR="00033D0F">
        <w:rPr>
          <w:position w:val="1"/>
        </w:rPr>
        <w:t>parties'</w:t>
      </w:r>
      <w:r w:rsidR="00033D0F">
        <w:rPr>
          <w:spacing w:val="-4"/>
          <w:position w:val="1"/>
        </w:rPr>
        <w:t xml:space="preserve"> </w:t>
      </w:r>
      <w:r w:rsidR="00033D0F">
        <w:rPr>
          <w:position w:val="1"/>
        </w:rPr>
        <w:t>submissions</w:t>
      </w:r>
      <w:r w:rsidR="00033D0F">
        <w:rPr>
          <w:spacing w:val="-2"/>
          <w:position w:val="1"/>
        </w:rPr>
        <w:t xml:space="preserve"> </w:t>
      </w:r>
      <w:r w:rsidR="00033D0F">
        <w:rPr>
          <w:position w:val="1"/>
        </w:rPr>
        <w:t>and</w:t>
      </w:r>
      <w:r w:rsidR="00033D0F">
        <w:rPr>
          <w:spacing w:val="-5"/>
          <w:position w:val="1"/>
        </w:rPr>
        <w:t xml:space="preserve"> </w:t>
      </w:r>
      <w:r w:rsidR="00033D0F">
        <w:rPr>
          <w:position w:val="1"/>
        </w:rPr>
        <w:t xml:space="preserve">responses </w:t>
      </w:r>
      <w:r w:rsidR="00033D0F">
        <w:t>to questions establish that:</w:t>
      </w:r>
    </w:p>
    <w:p w14:paraId="74769700" w14:textId="77777777" w:rsidR="00BD462C" w:rsidRDefault="00033D0F">
      <w:pPr>
        <w:pStyle w:val="ListParagraph"/>
        <w:numPr>
          <w:ilvl w:val="0"/>
          <w:numId w:val="53"/>
        </w:numPr>
        <w:tabs>
          <w:tab w:val="left" w:pos="1835"/>
          <w:tab w:val="left" w:pos="1836"/>
        </w:tabs>
        <w:spacing w:before="161" w:line="357" w:lineRule="auto"/>
        <w:ind w:right="915" w:hanging="855"/>
        <w:jc w:val="both"/>
        <w:rPr>
          <w:sz w:val="24"/>
        </w:rPr>
      </w:pPr>
      <w:r>
        <w:rPr>
          <w:sz w:val="24"/>
        </w:rPr>
        <w:t>MOFCOM</w:t>
      </w:r>
      <w:r>
        <w:rPr>
          <w:spacing w:val="-14"/>
          <w:sz w:val="24"/>
        </w:rPr>
        <w:t xml:space="preserve"> </w:t>
      </w:r>
      <w:r>
        <w:rPr>
          <w:sz w:val="24"/>
        </w:rPr>
        <w:t>compared</w:t>
      </w:r>
      <w:r>
        <w:rPr>
          <w:spacing w:val="-14"/>
          <w:sz w:val="24"/>
        </w:rPr>
        <w:t xml:space="preserve"> </w:t>
      </w:r>
      <w:r>
        <w:rPr>
          <w:sz w:val="24"/>
        </w:rPr>
        <w:t>the</w:t>
      </w:r>
      <w:r>
        <w:rPr>
          <w:spacing w:val="-13"/>
          <w:sz w:val="24"/>
        </w:rPr>
        <w:t xml:space="preserve"> </w:t>
      </w:r>
      <w:r>
        <w:rPr>
          <w:sz w:val="24"/>
        </w:rPr>
        <w:t>average</w:t>
      </w:r>
      <w:r>
        <w:rPr>
          <w:spacing w:val="-14"/>
          <w:sz w:val="24"/>
        </w:rPr>
        <w:t xml:space="preserve"> </w:t>
      </w:r>
      <w:r>
        <w:rPr>
          <w:sz w:val="24"/>
        </w:rPr>
        <w:t>unit</w:t>
      </w:r>
      <w:r>
        <w:rPr>
          <w:spacing w:val="-13"/>
          <w:sz w:val="24"/>
        </w:rPr>
        <w:t xml:space="preserve"> </w:t>
      </w:r>
      <w:r>
        <w:rPr>
          <w:sz w:val="24"/>
        </w:rPr>
        <w:t>price</w:t>
      </w:r>
      <w:r>
        <w:rPr>
          <w:spacing w:val="-14"/>
          <w:sz w:val="24"/>
        </w:rPr>
        <w:t xml:space="preserve"> </w:t>
      </w:r>
      <w:r>
        <w:rPr>
          <w:sz w:val="24"/>
        </w:rPr>
        <w:t>of</w:t>
      </w:r>
      <w:r>
        <w:rPr>
          <w:spacing w:val="-13"/>
          <w:sz w:val="24"/>
        </w:rPr>
        <w:t xml:space="preserve"> </w:t>
      </w:r>
      <w:r>
        <w:rPr>
          <w:sz w:val="24"/>
        </w:rPr>
        <w:t>subject</w:t>
      </w:r>
      <w:r>
        <w:rPr>
          <w:spacing w:val="-14"/>
          <w:sz w:val="24"/>
        </w:rPr>
        <w:t xml:space="preserve"> </w:t>
      </w:r>
      <w:r>
        <w:rPr>
          <w:sz w:val="24"/>
        </w:rPr>
        <w:t>imports</w:t>
      </w:r>
      <w:r>
        <w:rPr>
          <w:spacing w:val="-14"/>
          <w:sz w:val="24"/>
        </w:rPr>
        <w:t xml:space="preserve"> </w:t>
      </w:r>
      <w:r>
        <w:rPr>
          <w:sz w:val="24"/>
        </w:rPr>
        <w:t>to</w:t>
      </w:r>
      <w:r>
        <w:rPr>
          <w:spacing w:val="-13"/>
          <w:sz w:val="24"/>
        </w:rPr>
        <w:t xml:space="preserve"> </w:t>
      </w:r>
      <w:r>
        <w:rPr>
          <w:sz w:val="24"/>
        </w:rPr>
        <w:t>the</w:t>
      </w:r>
      <w:r>
        <w:rPr>
          <w:spacing w:val="-14"/>
          <w:sz w:val="24"/>
        </w:rPr>
        <w:t xml:space="preserve"> </w:t>
      </w:r>
      <w:r>
        <w:rPr>
          <w:sz w:val="24"/>
        </w:rPr>
        <w:t>average unit</w:t>
      </w:r>
      <w:r>
        <w:rPr>
          <w:spacing w:val="-13"/>
          <w:sz w:val="24"/>
        </w:rPr>
        <w:t xml:space="preserve"> </w:t>
      </w:r>
      <w:r>
        <w:rPr>
          <w:sz w:val="24"/>
        </w:rPr>
        <w:t>price</w:t>
      </w:r>
      <w:r>
        <w:rPr>
          <w:spacing w:val="-13"/>
          <w:sz w:val="24"/>
        </w:rPr>
        <w:t xml:space="preserve"> </w:t>
      </w:r>
      <w:r>
        <w:rPr>
          <w:sz w:val="24"/>
        </w:rPr>
        <w:t>of</w:t>
      </w:r>
      <w:r>
        <w:rPr>
          <w:spacing w:val="-14"/>
          <w:sz w:val="24"/>
        </w:rPr>
        <w:t xml:space="preserve"> </w:t>
      </w:r>
      <w:r>
        <w:rPr>
          <w:sz w:val="24"/>
        </w:rPr>
        <w:t>domestic</w:t>
      </w:r>
      <w:r>
        <w:rPr>
          <w:spacing w:val="-13"/>
          <w:sz w:val="24"/>
        </w:rPr>
        <w:t xml:space="preserve"> </w:t>
      </w:r>
      <w:r>
        <w:rPr>
          <w:sz w:val="24"/>
        </w:rPr>
        <w:t>like</w:t>
      </w:r>
      <w:r>
        <w:rPr>
          <w:spacing w:val="-13"/>
          <w:sz w:val="24"/>
        </w:rPr>
        <w:t xml:space="preserve"> </w:t>
      </w:r>
      <w:r>
        <w:rPr>
          <w:sz w:val="24"/>
        </w:rPr>
        <w:t>products</w:t>
      </w:r>
      <w:r>
        <w:rPr>
          <w:spacing w:val="-11"/>
          <w:sz w:val="24"/>
        </w:rPr>
        <w:t xml:space="preserve"> </w:t>
      </w:r>
      <w:r>
        <w:rPr>
          <w:sz w:val="24"/>
        </w:rPr>
        <w:t>during</w:t>
      </w:r>
      <w:r>
        <w:rPr>
          <w:spacing w:val="-11"/>
          <w:sz w:val="24"/>
        </w:rPr>
        <w:t xml:space="preserve"> </w:t>
      </w:r>
      <w:r>
        <w:rPr>
          <w:sz w:val="24"/>
        </w:rPr>
        <w:t>its</w:t>
      </w:r>
      <w:r>
        <w:rPr>
          <w:spacing w:val="-11"/>
          <w:sz w:val="24"/>
        </w:rPr>
        <w:t xml:space="preserve"> </w:t>
      </w:r>
      <w:r>
        <w:rPr>
          <w:sz w:val="24"/>
        </w:rPr>
        <w:t>consideration</w:t>
      </w:r>
      <w:r>
        <w:rPr>
          <w:spacing w:val="-14"/>
          <w:sz w:val="24"/>
        </w:rPr>
        <w:t xml:space="preserve"> </w:t>
      </w:r>
      <w:r>
        <w:rPr>
          <w:sz w:val="24"/>
        </w:rPr>
        <w:t>of</w:t>
      </w:r>
      <w:r>
        <w:rPr>
          <w:spacing w:val="-9"/>
          <w:sz w:val="24"/>
        </w:rPr>
        <w:t xml:space="preserve"> </w:t>
      </w:r>
      <w:r>
        <w:rPr>
          <w:sz w:val="24"/>
        </w:rPr>
        <w:t>prices</w:t>
      </w:r>
      <w:r>
        <w:rPr>
          <w:spacing w:val="-11"/>
          <w:sz w:val="24"/>
        </w:rPr>
        <w:t xml:space="preserve"> </w:t>
      </w:r>
      <w:r>
        <w:rPr>
          <w:sz w:val="24"/>
        </w:rPr>
        <w:t>effects.</w:t>
      </w:r>
    </w:p>
    <w:p w14:paraId="048BBDFC" w14:textId="77777777" w:rsidR="00BD462C" w:rsidRDefault="00033D0F">
      <w:pPr>
        <w:pStyle w:val="ListParagraph"/>
        <w:numPr>
          <w:ilvl w:val="0"/>
          <w:numId w:val="53"/>
        </w:numPr>
        <w:tabs>
          <w:tab w:val="left" w:pos="1835"/>
          <w:tab w:val="left" w:pos="1836"/>
        </w:tabs>
        <w:spacing w:before="126" w:line="357" w:lineRule="auto"/>
        <w:ind w:right="914" w:hanging="855"/>
        <w:jc w:val="both"/>
        <w:rPr>
          <w:sz w:val="24"/>
        </w:rPr>
      </w:pPr>
      <w:r>
        <w:rPr>
          <w:sz w:val="24"/>
        </w:rPr>
        <w:t>MOFCOM</w:t>
      </w:r>
      <w:r>
        <w:rPr>
          <w:spacing w:val="-11"/>
          <w:sz w:val="24"/>
        </w:rPr>
        <w:t xml:space="preserve"> </w:t>
      </w:r>
      <w:r>
        <w:rPr>
          <w:sz w:val="24"/>
        </w:rPr>
        <w:t>failed</w:t>
      </w:r>
      <w:r>
        <w:rPr>
          <w:spacing w:val="-14"/>
          <w:sz w:val="24"/>
        </w:rPr>
        <w:t xml:space="preserve"> </w:t>
      </w:r>
      <w:r>
        <w:rPr>
          <w:sz w:val="24"/>
        </w:rPr>
        <w:t>to</w:t>
      </w:r>
      <w:r>
        <w:rPr>
          <w:spacing w:val="-13"/>
          <w:sz w:val="24"/>
        </w:rPr>
        <w:t xml:space="preserve"> </w:t>
      </w:r>
      <w:r>
        <w:rPr>
          <w:sz w:val="24"/>
        </w:rPr>
        <w:t>ensure</w:t>
      </w:r>
      <w:r>
        <w:rPr>
          <w:spacing w:val="-7"/>
          <w:sz w:val="24"/>
        </w:rPr>
        <w:t xml:space="preserve"> </w:t>
      </w:r>
      <w:r>
        <w:rPr>
          <w:sz w:val="24"/>
        </w:rPr>
        <w:t>price</w:t>
      </w:r>
      <w:r>
        <w:rPr>
          <w:spacing w:val="-12"/>
          <w:sz w:val="24"/>
        </w:rPr>
        <w:t xml:space="preserve"> </w:t>
      </w:r>
      <w:r>
        <w:rPr>
          <w:sz w:val="24"/>
        </w:rPr>
        <w:t>comparability</w:t>
      </w:r>
      <w:r>
        <w:rPr>
          <w:spacing w:val="-11"/>
          <w:sz w:val="24"/>
        </w:rPr>
        <w:t xml:space="preserve"> </w:t>
      </w:r>
      <w:r>
        <w:rPr>
          <w:sz w:val="24"/>
        </w:rPr>
        <w:t>in</w:t>
      </w:r>
      <w:r>
        <w:rPr>
          <w:spacing w:val="-13"/>
          <w:sz w:val="24"/>
        </w:rPr>
        <w:t xml:space="preserve"> </w:t>
      </w:r>
      <w:r>
        <w:rPr>
          <w:sz w:val="24"/>
        </w:rPr>
        <w:t>the</w:t>
      </w:r>
      <w:r>
        <w:rPr>
          <w:spacing w:val="-12"/>
          <w:sz w:val="24"/>
        </w:rPr>
        <w:t xml:space="preserve"> </w:t>
      </w:r>
      <w:r>
        <w:rPr>
          <w:sz w:val="24"/>
        </w:rPr>
        <w:t>average</w:t>
      </w:r>
      <w:r>
        <w:rPr>
          <w:spacing w:val="-12"/>
          <w:sz w:val="24"/>
        </w:rPr>
        <w:t xml:space="preserve"> </w:t>
      </w:r>
      <w:r>
        <w:rPr>
          <w:sz w:val="24"/>
        </w:rPr>
        <w:t>unit</w:t>
      </w:r>
      <w:r>
        <w:rPr>
          <w:spacing w:val="-11"/>
          <w:sz w:val="24"/>
        </w:rPr>
        <w:t xml:space="preserve"> </w:t>
      </w:r>
      <w:r>
        <w:rPr>
          <w:sz w:val="24"/>
        </w:rPr>
        <w:t>prices</w:t>
      </w:r>
      <w:r>
        <w:rPr>
          <w:spacing w:val="-10"/>
          <w:sz w:val="24"/>
        </w:rPr>
        <w:t xml:space="preserve"> </w:t>
      </w:r>
      <w:r>
        <w:rPr>
          <w:sz w:val="24"/>
        </w:rPr>
        <w:t>that MOFCOM</w:t>
      </w:r>
      <w:r>
        <w:rPr>
          <w:spacing w:val="-14"/>
          <w:sz w:val="24"/>
        </w:rPr>
        <w:t xml:space="preserve"> </w:t>
      </w:r>
      <w:r>
        <w:rPr>
          <w:sz w:val="24"/>
        </w:rPr>
        <w:t>calculated</w:t>
      </w:r>
      <w:r>
        <w:rPr>
          <w:spacing w:val="-14"/>
          <w:sz w:val="24"/>
        </w:rPr>
        <w:t xml:space="preserve"> </w:t>
      </w:r>
      <w:r>
        <w:rPr>
          <w:sz w:val="24"/>
        </w:rPr>
        <w:t>for</w:t>
      </w:r>
      <w:r>
        <w:rPr>
          <w:spacing w:val="-13"/>
          <w:sz w:val="24"/>
        </w:rPr>
        <w:t xml:space="preserve"> </w:t>
      </w:r>
      <w:r>
        <w:rPr>
          <w:sz w:val="24"/>
        </w:rPr>
        <w:t>subject</w:t>
      </w:r>
      <w:r>
        <w:rPr>
          <w:spacing w:val="-14"/>
          <w:sz w:val="24"/>
        </w:rPr>
        <w:t xml:space="preserve"> </w:t>
      </w:r>
      <w:r>
        <w:rPr>
          <w:sz w:val="24"/>
        </w:rPr>
        <w:t>imports</w:t>
      </w:r>
      <w:r>
        <w:rPr>
          <w:spacing w:val="-13"/>
          <w:sz w:val="24"/>
        </w:rPr>
        <w:t xml:space="preserve"> </w:t>
      </w:r>
      <w:r>
        <w:rPr>
          <w:sz w:val="24"/>
        </w:rPr>
        <w:t>and</w:t>
      </w:r>
      <w:r>
        <w:rPr>
          <w:spacing w:val="-14"/>
          <w:sz w:val="24"/>
        </w:rPr>
        <w:t xml:space="preserve"> </w:t>
      </w:r>
      <w:r>
        <w:rPr>
          <w:sz w:val="24"/>
        </w:rPr>
        <w:t>domestic</w:t>
      </w:r>
      <w:r>
        <w:rPr>
          <w:spacing w:val="-13"/>
          <w:sz w:val="24"/>
        </w:rPr>
        <w:t xml:space="preserve"> </w:t>
      </w:r>
      <w:r>
        <w:rPr>
          <w:sz w:val="24"/>
        </w:rPr>
        <w:t>like</w:t>
      </w:r>
      <w:r>
        <w:rPr>
          <w:spacing w:val="-14"/>
          <w:sz w:val="24"/>
        </w:rPr>
        <w:t xml:space="preserve"> </w:t>
      </w:r>
      <w:r>
        <w:rPr>
          <w:sz w:val="24"/>
        </w:rPr>
        <w:t>products</w:t>
      </w:r>
      <w:r>
        <w:rPr>
          <w:spacing w:val="-14"/>
          <w:sz w:val="24"/>
        </w:rPr>
        <w:t xml:space="preserve"> </w:t>
      </w:r>
      <w:r>
        <w:rPr>
          <w:sz w:val="24"/>
        </w:rPr>
        <w:t>because it failed to account for differences in level of trade, conditions of sale and product mix.</w:t>
      </w:r>
    </w:p>
    <w:p w14:paraId="00041E14" w14:textId="0147D00A" w:rsidR="00BD462C" w:rsidRDefault="005B60EE">
      <w:pPr>
        <w:pStyle w:val="BodyText"/>
        <w:spacing w:before="140"/>
        <w:ind w:left="131"/>
      </w:pPr>
      <w:r>
        <w:rPr>
          <w:noProof/>
        </w:rPr>
        <w:t>476.</w:t>
      </w:r>
      <w:r w:rsidR="00033D0F">
        <w:rPr>
          <w:rFonts w:ascii="Times New Roman"/>
          <w:spacing w:val="80"/>
          <w:position w:val="1"/>
          <w:sz w:val="20"/>
        </w:rPr>
        <w:t xml:space="preserve">  </w:t>
      </w:r>
      <w:r w:rsidR="00033D0F">
        <w:rPr>
          <w:position w:val="1"/>
        </w:rPr>
        <w:t>As</w:t>
      </w:r>
      <w:r w:rsidR="00033D0F">
        <w:rPr>
          <w:spacing w:val="24"/>
          <w:position w:val="1"/>
        </w:rPr>
        <w:t xml:space="preserve"> </w:t>
      </w:r>
      <w:r w:rsidR="00033D0F">
        <w:rPr>
          <w:position w:val="1"/>
        </w:rPr>
        <w:t>a</w:t>
      </w:r>
      <w:r w:rsidR="00033D0F">
        <w:rPr>
          <w:spacing w:val="21"/>
          <w:position w:val="1"/>
        </w:rPr>
        <w:t xml:space="preserve"> </w:t>
      </w:r>
      <w:r w:rsidR="00033D0F">
        <w:rPr>
          <w:position w:val="1"/>
        </w:rPr>
        <w:t>result,</w:t>
      </w:r>
      <w:r w:rsidR="00033D0F">
        <w:rPr>
          <w:spacing w:val="24"/>
          <w:position w:val="1"/>
        </w:rPr>
        <w:t xml:space="preserve"> </w:t>
      </w:r>
      <w:r w:rsidR="00033D0F">
        <w:rPr>
          <w:position w:val="1"/>
        </w:rPr>
        <w:t>MOFCOM's</w:t>
      </w:r>
      <w:r w:rsidR="00033D0F">
        <w:rPr>
          <w:spacing w:val="24"/>
          <w:position w:val="1"/>
        </w:rPr>
        <w:t xml:space="preserve"> </w:t>
      </w:r>
      <w:r w:rsidR="00033D0F">
        <w:rPr>
          <w:position w:val="1"/>
        </w:rPr>
        <w:t>price</w:t>
      </w:r>
      <w:r w:rsidR="00033D0F">
        <w:rPr>
          <w:spacing w:val="21"/>
          <w:position w:val="1"/>
        </w:rPr>
        <w:t xml:space="preserve"> </w:t>
      </w:r>
      <w:r w:rsidR="00033D0F">
        <w:rPr>
          <w:position w:val="1"/>
        </w:rPr>
        <w:t>effects</w:t>
      </w:r>
      <w:r w:rsidR="00033D0F">
        <w:rPr>
          <w:spacing w:val="28"/>
          <w:position w:val="1"/>
        </w:rPr>
        <w:t xml:space="preserve"> </w:t>
      </w:r>
      <w:r w:rsidR="00033D0F">
        <w:rPr>
          <w:position w:val="1"/>
        </w:rPr>
        <w:t>analysis</w:t>
      </w:r>
      <w:r w:rsidR="00033D0F">
        <w:rPr>
          <w:spacing w:val="24"/>
          <w:position w:val="1"/>
        </w:rPr>
        <w:t xml:space="preserve"> </w:t>
      </w:r>
      <w:r w:rsidR="00033D0F">
        <w:rPr>
          <w:position w:val="1"/>
        </w:rPr>
        <w:t>was</w:t>
      </w:r>
      <w:r w:rsidR="00033D0F">
        <w:rPr>
          <w:spacing w:val="18"/>
          <w:position w:val="1"/>
        </w:rPr>
        <w:t xml:space="preserve"> </w:t>
      </w:r>
      <w:r w:rsidR="00033D0F">
        <w:rPr>
          <w:position w:val="1"/>
        </w:rPr>
        <w:t>inconsistent</w:t>
      </w:r>
      <w:r w:rsidR="00033D0F">
        <w:rPr>
          <w:spacing w:val="22"/>
          <w:position w:val="1"/>
        </w:rPr>
        <w:t xml:space="preserve"> </w:t>
      </w:r>
      <w:r w:rsidR="00033D0F">
        <w:rPr>
          <w:position w:val="1"/>
        </w:rPr>
        <w:t>with</w:t>
      </w:r>
      <w:r w:rsidR="00033D0F">
        <w:rPr>
          <w:spacing w:val="19"/>
          <w:position w:val="1"/>
        </w:rPr>
        <w:t xml:space="preserve"> </w:t>
      </w:r>
      <w:r w:rsidR="00033D0F">
        <w:rPr>
          <w:position w:val="1"/>
        </w:rPr>
        <w:t>Articles 3.1</w:t>
      </w:r>
      <w:r w:rsidR="00033D0F">
        <w:rPr>
          <w:spacing w:val="19"/>
          <w:position w:val="1"/>
        </w:rPr>
        <w:t xml:space="preserve"> </w:t>
      </w:r>
      <w:r w:rsidR="00033D0F">
        <w:rPr>
          <w:position w:val="1"/>
        </w:rPr>
        <w:t>and</w:t>
      </w:r>
    </w:p>
    <w:p w14:paraId="39029B37" w14:textId="77777777" w:rsidR="00BD462C" w:rsidRDefault="00033D0F">
      <w:pPr>
        <w:pStyle w:val="BodyText"/>
        <w:spacing w:before="139"/>
        <w:ind w:left="136"/>
      </w:pPr>
      <w:r>
        <w:t>3.2</w:t>
      </w:r>
      <w:r>
        <w:rPr>
          <w:spacing w:val="-6"/>
        </w:rPr>
        <w:t xml:space="preserve"> </w:t>
      </w:r>
      <w:r>
        <w:t>of the</w:t>
      </w:r>
      <w:r>
        <w:rPr>
          <w:spacing w:val="-3"/>
        </w:rPr>
        <w:t xml:space="preserve"> </w:t>
      </w:r>
      <w:r>
        <w:t>Anti-Dumping</w:t>
      </w:r>
      <w:r>
        <w:rPr>
          <w:spacing w:val="-2"/>
        </w:rPr>
        <w:t xml:space="preserve"> Agreement.</w:t>
      </w:r>
    </w:p>
    <w:p w14:paraId="34095E6E" w14:textId="77777777" w:rsidR="00BD462C" w:rsidRDefault="00BD462C">
      <w:pPr>
        <w:pStyle w:val="BodyText"/>
        <w:spacing w:before="2"/>
        <w:rPr>
          <w:sz w:val="25"/>
        </w:rPr>
      </w:pPr>
    </w:p>
    <w:p w14:paraId="6678744E" w14:textId="77777777" w:rsidR="00BD462C" w:rsidRDefault="00033D0F">
      <w:pPr>
        <w:pStyle w:val="Heading3"/>
        <w:numPr>
          <w:ilvl w:val="0"/>
          <w:numId w:val="40"/>
        </w:numPr>
        <w:tabs>
          <w:tab w:val="left" w:pos="2689"/>
          <w:tab w:val="left" w:pos="2690"/>
        </w:tabs>
        <w:spacing w:before="0" w:line="362" w:lineRule="auto"/>
        <w:ind w:right="915"/>
      </w:pPr>
      <w:bookmarkStart w:id="950" w:name="3._MOFCOM_did_not_consider_whether_the_p"/>
      <w:bookmarkStart w:id="951" w:name="_bookmark817"/>
      <w:bookmarkEnd w:id="950"/>
      <w:bookmarkEnd w:id="951"/>
      <w:r>
        <w:t>MOFCOM</w:t>
      </w:r>
      <w:r>
        <w:rPr>
          <w:spacing w:val="40"/>
        </w:rPr>
        <w:t xml:space="preserve"> </w:t>
      </w:r>
      <w:r>
        <w:t>did</w:t>
      </w:r>
      <w:r>
        <w:rPr>
          <w:spacing w:val="40"/>
        </w:rPr>
        <w:t xml:space="preserve"> </w:t>
      </w:r>
      <w:r>
        <w:t>not</w:t>
      </w:r>
      <w:r>
        <w:rPr>
          <w:spacing w:val="40"/>
        </w:rPr>
        <w:t xml:space="preserve"> </w:t>
      </w:r>
      <w:r>
        <w:t>consider</w:t>
      </w:r>
      <w:r>
        <w:rPr>
          <w:spacing w:val="40"/>
        </w:rPr>
        <w:t xml:space="preserve"> </w:t>
      </w:r>
      <w:r>
        <w:t>whether</w:t>
      </w:r>
      <w:r>
        <w:rPr>
          <w:spacing w:val="40"/>
        </w:rPr>
        <w:t xml:space="preserve"> </w:t>
      </w:r>
      <w:r>
        <w:t>the</w:t>
      </w:r>
      <w:r>
        <w:rPr>
          <w:spacing w:val="40"/>
        </w:rPr>
        <w:t xml:space="preserve"> </w:t>
      </w:r>
      <w:r>
        <w:t>price</w:t>
      </w:r>
      <w:r>
        <w:rPr>
          <w:spacing w:val="40"/>
        </w:rPr>
        <w:t xml:space="preserve"> </w:t>
      </w:r>
      <w:r>
        <w:t>suppression</w:t>
      </w:r>
      <w:r>
        <w:rPr>
          <w:spacing w:val="40"/>
        </w:rPr>
        <w:t xml:space="preserve"> </w:t>
      </w:r>
      <w:r>
        <w:t>it</w:t>
      </w:r>
      <w:r>
        <w:rPr>
          <w:spacing w:val="40"/>
        </w:rPr>
        <w:t xml:space="preserve"> </w:t>
      </w:r>
      <w:r>
        <w:t>identified was significant</w:t>
      </w:r>
    </w:p>
    <w:p w14:paraId="3612C614" w14:textId="77777777" w:rsidR="00BD462C" w:rsidRDefault="00BD462C">
      <w:pPr>
        <w:pStyle w:val="BodyText"/>
        <w:spacing w:before="3"/>
        <w:rPr>
          <w:b/>
          <w:sz w:val="8"/>
        </w:rPr>
      </w:pPr>
    </w:p>
    <w:p w14:paraId="0945BCC5" w14:textId="221491FD" w:rsidR="00BD462C" w:rsidRDefault="005B60EE">
      <w:pPr>
        <w:pStyle w:val="BodyText"/>
        <w:spacing w:before="56" w:line="357" w:lineRule="auto"/>
        <w:ind w:left="135" w:right="923" w:hanging="5"/>
      </w:pPr>
      <w:r>
        <w:rPr>
          <w:noProof/>
        </w:rPr>
        <w:t>477.</w:t>
      </w:r>
      <w:r w:rsidR="00033D0F">
        <w:rPr>
          <w:rFonts w:ascii="Times New Roman"/>
          <w:spacing w:val="80"/>
          <w:position w:val="1"/>
          <w:sz w:val="20"/>
        </w:rPr>
        <w:t xml:space="preserve">  </w:t>
      </w:r>
      <w:r w:rsidR="00033D0F">
        <w:rPr>
          <w:position w:val="1"/>
        </w:rPr>
        <w:t xml:space="preserve">The parties agree that the margin of price suppression identified by MOFCOM was </w:t>
      </w:r>
      <w:r w:rsidR="00033D0F">
        <w:t>658 RMB/</w:t>
      </w:r>
      <w:proofErr w:type="spellStart"/>
      <w:r w:rsidR="00033D0F">
        <w:t>kilolitre</w:t>
      </w:r>
      <w:proofErr w:type="spellEnd"/>
      <w:r w:rsidR="00033D0F">
        <w:t>, over the course of the Injury POI.</w:t>
      </w:r>
      <w:hyperlink w:anchor="_bookmark818" w:history="1">
        <w:r w:rsidR="00033D0F">
          <w:rPr>
            <w:vertAlign w:val="superscript"/>
          </w:rPr>
          <w:t>695</w:t>
        </w:r>
      </w:hyperlink>
    </w:p>
    <w:p w14:paraId="53677A54" w14:textId="77777777" w:rsidR="00BD462C" w:rsidRDefault="00BD462C">
      <w:pPr>
        <w:pStyle w:val="BodyText"/>
        <w:spacing w:before="2"/>
        <w:rPr>
          <w:sz w:val="9"/>
        </w:rPr>
      </w:pPr>
    </w:p>
    <w:p w14:paraId="43CCBB29" w14:textId="73767ACC" w:rsidR="00BD462C" w:rsidRDefault="005B60EE">
      <w:pPr>
        <w:pStyle w:val="BodyText"/>
        <w:spacing w:before="56" w:line="360" w:lineRule="auto"/>
        <w:ind w:left="135" w:right="911" w:hanging="5"/>
        <w:jc w:val="both"/>
      </w:pPr>
      <w:r>
        <w:rPr>
          <w:noProof/>
        </w:rPr>
        <w:t>478.</w:t>
      </w:r>
      <w:r w:rsidR="00033D0F">
        <w:rPr>
          <w:rFonts w:ascii="Times New Roman" w:hAnsi="Times New Roman"/>
          <w:spacing w:val="80"/>
          <w:position w:val="1"/>
          <w:sz w:val="20"/>
        </w:rPr>
        <w:t xml:space="preserve"> </w:t>
      </w:r>
      <w:r w:rsidR="00033D0F">
        <w:rPr>
          <w:position w:val="1"/>
        </w:rPr>
        <w:t>Article</w:t>
      </w:r>
      <w:r w:rsidR="00033D0F">
        <w:rPr>
          <w:spacing w:val="-2"/>
          <w:position w:val="1"/>
        </w:rPr>
        <w:t xml:space="preserve"> </w:t>
      </w:r>
      <w:r w:rsidR="00033D0F">
        <w:rPr>
          <w:position w:val="1"/>
        </w:rPr>
        <w:t xml:space="preserve">3.2 requires an investigating authority to consider whether prices have been </w:t>
      </w:r>
      <w:r w:rsidR="00033D0F">
        <w:t>suppressed to a "significant' degree. "Significant" in the context of Article</w:t>
      </w:r>
      <w:r w:rsidR="00033D0F">
        <w:rPr>
          <w:spacing w:val="-1"/>
        </w:rPr>
        <w:t xml:space="preserve"> </w:t>
      </w:r>
      <w:r w:rsidR="00033D0F">
        <w:t>3.2 means "noteworthy, important, consequential".</w:t>
      </w:r>
      <w:hyperlink w:anchor="_bookmark819" w:history="1">
        <w:r w:rsidR="00033D0F">
          <w:rPr>
            <w:vertAlign w:val="superscript"/>
          </w:rPr>
          <w:t>696</w:t>
        </w:r>
      </w:hyperlink>
      <w:r w:rsidR="00033D0F">
        <w:rPr>
          <w:spacing w:val="-2"/>
        </w:rPr>
        <w:t xml:space="preserve"> </w:t>
      </w:r>
      <w:r w:rsidR="00033D0F">
        <w:t>In</w:t>
      </w:r>
      <w:r w:rsidR="00033D0F">
        <w:rPr>
          <w:spacing w:val="-4"/>
        </w:rPr>
        <w:t xml:space="preserve"> </w:t>
      </w:r>
      <w:r w:rsidR="00033D0F">
        <w:t>the</w:t>
      </w:r>
      <w:r w:rsidR="00033D0F">
        <w:rPr>
          <w:spacing w:val="-3"/>
        </w:rPr>
        <w:t xml:space="preserve"> </w:t>
      </w:r>
      <w:r w:rsidR="00033D0F">
        <w:t>Final Determination, MOFCOM</w:t>
      </w:r>
      <w:r w:rsidR="00033D0F">
        <w:rPr>
          <w:spacing w:val="-2"/>
        </w:rPr>
        <w:t xml:space="preserve"> </w:t>
      </w:r>
      <w:r w:rsidR="00033D0F">
        <w:t>stated</w:t>
      </w:r>
      <w:r w:rsidR="00033D0F">
        <w:rPr>
          <w:spacing w:val="-4"/>
        </w:rPr>
        <w:t xml:space="preserve"> </w:t>
      </w:r>
      <w:r w:rsidR="00033D0F">
        <w:t>that "the growth of selling price failed to reasonably reflect the cost increase … leading to a downward trend of the difference between the sales prices and costs of the domestic like products from 3,296 RMB/</w:t>
      </w:r>
      <w:proofErr w:type="spellStart"/>
      <w:r w:rsidR="00033D0F">
        <w:t>kilolitre</w:t>
      </w:r>
      <w:proofErr w:type="spellEnd"/>
      <w:r w:rsidR="00033D0F">
        <w:t xml:space="preserve"> in 2015 to 2,638 RMB/</w:t>
      </w:r>
      <w:proofErr w:type="spellStart"/>
      <w:r w:rsidR="00033D0F">
        <w:t>kilolitre</w:t>
      </w:r>
      <w:proofErr w:type="spellEnd"/>
      <w:r w:rsidR="00033D0F">
        <w:t xml:space="preserve"> in 2019."</w:t>
      </w:r>
      <w:hyperlink w:anchor="_bookmark820" w:history="1">
        <w:r w:rsidR="00033D0F">
          <w:rPr>
            <w:vertAlign w:val="superscript"/>
          </w:rPr>
          <w:t>697</w:t>
        </w:r>
      </w:hyperlink>
      <w:r w:rsidR="00033D0F">
        <w:t xml:space="preserve"> Therefore, according to MOFCOM, during the Injury POI, the price of the dumped imported product suppressed that of domestic like products.</w:t>
      </w:r>
      <w:hyperlink w:anchor="_bookmark821" w:history="1">
        <w:r w:rsidR="00033D0F">
          <w:rPr>
            <w:vertAlign w:val="superscript"/>
          </w:rPr>
          <w:t>698</w:t>
        </w:r>
      </w:hyperlink>
    </w:p>
    <w:p w14:paraId="2034FB26" w14:textId="77777777" w:rsidR="00BD462C" w:rsidRDefault="00BD462C">
      <w:pPr>
        <w:pStyle w:val="BodyText"/>
        <w:spacing w:before="8"/>
        <w:rPr>
          <w:sz w:val="8"/>
        </w:rPr>
      </w:pPr>
    </w:p>
    <w:p w14:paraId="2B939FD2" w14:textId="36A442AE" w:rsidR="00BD462C" w:rsidRDefault="006E6DEA">
      <w:pPr>
        <w:pStyle w:val="BodyText"/>
        <w:spacing w:before="56" w:line="355" w:lineRule="auto"/>
        <w:ind w:left="135" w:right="923" w:hanging="5"/>
      </w:pPr>
      <w:r>
        <w:rPr>
          <w:noProof/>
        </w:rPr>
        <mc:AlternateContent>
          <mc:Choice Requires="wps">
            <w:drawing>
              <wp:anchor distT="0" distB="0" distL="0" distR="0" simplePos="0" relativeHeight="488151552" behindDoc="1" locked="0" layoutInCell="1" allowOverlap="1" wp14:anchorId="2843EDE8" wp14:editId="7C603543">
                <wp:simplePos x="0" y="0"/>
                <wp:positionH relativeFrom="page">
                  <wp:posOffset>812800</wp:posOffset>
                </wp:positionH>
                <wp:positionV relativeFrom="paragraph">
                  <wp:posOffset>754380</wp:posOffset>
                </wp:positionV>
                <wp:extent cx="1828800" cy="8890"/>
                <wp:effectExtent l="0" t="0" r="0" b="0"/>
                <wp:wrapTopAndBottom/>
                <wp:docPr id="125" name="docshape7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199D40" id="docshape705" o:spid="_x0000_s1026" alt="&quot;&quot;" style="position:absolute;margin-left:64pt;margin-top:59.4pt;width:2in;height:.7pt;z-index:-1516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" fillcolor="black" stroked="f">
                <w10:wrap type="topAndBottom" anchorx="page"/>
              </v:rect>
            </w:pict>
          </mc:Fallback>
        </mc:AlternateContent>
      </w:r>
      <w:r w:rsidR="005B60EE">
        <w:rPr>
          <w:noProof/>
        </w:rPr>
        <w:t>479.</w:t>
      </w:r>
      <w:r w:rsidR="00033D0F">
        <w:rPr>
          <w:rFonts w:ascii="Times New Roman"/>
          <w:spacing w:val="80"/>
          <w:position w:val="1"/>
          <w:sz w:val="20"/>
        </w:rPr>
        <w:t xml:space="preserve">  </w:t>
      </w:r>
      <w:r w:rsidR="00033D0F">
        <w:rPr>
          <w:position w:val="1"/>
        </w:rPr>
        <w:t>However,</w:t>
      </w:r>
      <w:r w:rsidR="00033D0F">
        <w:rPr>
          <w:spacing w:val="40"/>
          <w:position w:val="1"/>
        </w:rPr>
        <w:t xml:space="preserve"> </w:t>
      </w:r>
      <w:r w:rsidR="00033D0F">
        <w:rPr>
          <w:position w:val="1"/>
        </w:rPr>
        <w:t>the</w:t>
      </w:r>
      <w:r w:rsidR="00033D0F">
        <w:rPr>
          <w:spacing w:val="40"/>
          <w:position w:val="1"/>
        </w:rPr>
        <w:t xml:space="preserve"> </w:t>
      </w:r>
      <w:r w:rsidR="00033D0F">
        <w:rPr>
          <w:position w:val="1"/>
        </w:rPr>
        <w:t>facts</w:t>
      </w:r>
      <w:r w:rsidR="00033D0F">
        <w:rPr>
          <w:spacing w:val="40"/>
          <w:position w:val="1"/>
        </w:rPr>
        <w:t xml:space="preserve"> </w:t>
      </w:r>
      <w:r w:rsidR="00033D0F">
        <w:rPr>
          <w:position w:val="1"/>
        </w:rPr>
        <w:t>established</w:t>
      </w:r>
      <w:r w:rsidR="00033D0F">
        <w:rPr>
          <w:spacing w:val="40"/>
          <w:position w:val="1"/>
        </w:rPr>
        <w:t xml:space="preserve"> </w:t>
      </w:r>
      <w:r w:rsidR="00033D0F">
        <w:rPr>
          <w:position w:val="1"/>
        </w:rPr>
        <w:t>by</w:t>
      </w:r>
      <w:r w:rsidR="00033D0F">
        <w:rPr>
          <w:spacing w:val="40"/>
          <w:position w:val="1"/>
        </w:rPr>
        <w:t xml:space="preserve"> </w:t>
      </w:r>
      <w:r w:rsidR="00033D0F">
        <w:rPr>
          <w:position w:val="1"/>
        </w:rPr>
        <w:t>MOFCOM</w:t>
      </w:r>
      <w:r w:rsidR="00033D0F">
        <w:rPr>
          <w:spacing w:val="40"/>
          <w:position w:val="1"/>
        </w:rPr>
        <w:t xml:space="preserve"> </w:t>
      </w:r>
      <w:r w:rsidR="00033D0F">
        <w:rPr>
          <w:position w:val="1"/>
        </w:rPr>
        <w:t>raised</w:t>
      </w:r>
      <w:r w:rsidR="00033D0F">
        <w:rPr>
          <w:spacing w:val="40"/>
          <w:position w:val="1"/>
        </w:rPr>
        <w:t xml:space="preserve"> </w:t>
      </w:r>
      <w:r w:rsidR="00033D0F">
        <w:rPr>
          <w:position w:val="1"/>
        </w:rPr>
        <w:t>serious</w:t>
      </w:r>
      <w:r w:rsidR="00033D0F">
        <w:rPr>
          <w:spacing w:val="40"/>
          <w:position w:val="1"/>
        </w:rPr>
        <w:t xml:space="preserve"> </w:t>
      </w:r>
      <w:r w:rsidR="00033D0F">
        <w:rPr>
          <w:position w:val="1"/>
        </w:rPr>
        <w:t>questions</w:t>
      </w:r>
      <w:r w:rsidR="00033D0F">
        <w:rPr>
          <w:spacing w:val="40"/>
          <w:position w:val="1"/>
        </w:rPr>
        <w:t xml:space="preserve"> </w:t>
      </w:r>
      <w:r w:rsidR="00033D0F">
        <w:rPr>
          <w:position w:val="1"/>
        </w:rPr>
        <w:t xml:space="preserve">regarding </w:t>
      </w:r>
      <w:r w:rsidR="00033D0F">
        <w:t>whether</w:t>
      </w:r>
      <w:r w:rsidR="00033D0F">
        <w:rPr>
          <w:spacing w:val="31"/>
        </w:rPr>
        <w:t xml:space="preserve"> </w:t>
      </w:r>
      <w:r w:rsidR="00033D0F">
        <w:t>price</w:t>
      </w:r>
      <w:r w:rsidR="00033D0F">
        <w:rPr>
          <w:spacing w:val="40"/>
        </w:rPr>
        <w:t xml:space="preserve"> </w:t>
      </w:r>
      <w:r w:rsidR="00033D0F">
        <w:t>suppression</w:t>
      </w:r>
      <w:r w:rsidR="00033D0F">
        <w:rPr>
          <w:spacing w:val="35"/>
        </w:rPr>
        <w:t xml:space="preserve"> </w:t>
      </w:r>
      <w:r w:rsidR="00033D0F">
        <w:t>of</w:t>
      </w:r>
      <w:r w:rsidR="00033D0F">
        <w:rPr>
          <w:spacing w:val="38"/>
        </w:rPr>
        <w:t xml:space="preserve"> </w:t>
      </w:r>
      <w:r w:rsidR="00033D0F">
        <w:t>658RMB/</w:t>
      </w:r>
      <w:proofErr w:type="spellStart"/>
      <w:r w:rsidR="00033D0F">
        <w:t>kilolitre</w:t>
      </w:r>
      <w:proofErr w:type="spellEnd"/>
      <w:r w:rsidR="00033D0F">
        <w:rPr>
          <w:spacing w:val="36"/>
        </w:rPr>
        <w:t xml:space="preserve"> </w:t>
      </w:r>
      <w:r w:rsidR="00033D0F">
        <w:t>over</w:t>
      </w:r>
      <w:r w:rsidR="00033D0F">
        <w:rPr>
          <w:spacing w:val="34"/>
        </w:rPr>
        <w:t xml:space="preserve"> </w:t>
      </w:r>
      <w:r w:rsidR="00033D0F">
        <w:t>the</w:t>
      </w:r>
      <w:r w:rsidR="00033D0F">
        <w:rPr>
          <w:spacing w:val="36"/>
        </w:rPr>
        <w:t xml:space="preserve"> </w:t>
      </w:r>
      <w:r w:rsidR="00033D0F">
        <w:t>Injury</w:t>
      </w:r>
      <w:r w:rsidR="00033D0F">
        <w:rPr>
          <w:spacing w:val="37"/>
        </w:rPr>
        <w:t xml:space="preserve"> </w:t>
      </w:r>
      <w:r w:rsidR="00033D0F">
        <w:t>POI</w:t>
      </w:r>
      <w:r w:rsidR="00033D0F">
        <w:rPr>
          <w:spacing w:val="37"/>
        </w:rPr>
        <w:t xml:space="preserve"> </w:t>
      </w:r>
      <w:r w:rsidR="00033D0F">
        <w:t>was</w:t>
      </w:r>
      <w:r w:rsidR="00033D0F">
        <w:rPr>
          <w:spacing w:val="37"/>
        </w:rPr>
        <w:t xml:space="preserve"> </w:t>
      </w:r>
      <w:r w:rsidR="00033D0F">
        <w:t>"significant".</w:t>
      </w:r>
      <w:r w:rsidR="00033D0F">
        <w:rPr>
          <w:spacing w:val="37"/>
        </w:rPr>
        <w:t xml:space="preserve"> </w:t>
      </w:r>
      <w:r w:rsidR="00033D0F">
        <w:rPr>
          <w:spacing w:val="-4"/>
        </w:rPr>
        <w:t>This</w:t>
      </w:r>
    </w:p>
    <w:p w14:paraId="59670BE9" w14:textId="55F41471" w:rsidR="00BD462C" w:rsidRDefault="00BD462C">
      <w:pPr>
        <w:pStyle w:val="BodyText"/>
        <w:spacing w:before="8"/>
        <w:rPr>
          <w:sz w:val="21"/>
        </w:rPr>
      </w:pPr>
    </w:p>
    <w:p w14:paraId="6140D491" w14:textId="77777777" w:rsidR="00BD462C" w:rsidRDefault="00033D0F">
      <w:pPr>
        <w:spacing w:before="107"/>
        <w:ind w:left="136" w:right="923" w:hanging="1"/>
        <w:rPr>
          <w:sz w:val="18"/>
        </w:rPr>
      </w:pPr>
      <w:bookmarkStart w:id="952" w:name="_bookmark818"/>
      <w:bookmarkEnd w:id="952"/>
      <w:r>
        <w:rPr>
          <w:position w:val="5"/>
          <w:sz w:val="12"/>
        </w:rPr>
        <w:t>695</w:t>
      </w:r>
      <w:r>
        <w:rPr>
          <w:spacing w:val="35"/>
          <w:position w:val="5"/>
          <w:sz w:val="12"/>
        </w:rPr>
        <w:t xml:space="preserve"> </w:t>
      </w:r>
      <w:r>
        <w:rPr>
          <w:sz w:val="18"/>
        </w:rPr>
        <w:t>Anti-Dumping</w:t>
      </w:r>
      <w:r>
        <w:rPr>
          <w:spacing w:val="20"/>
          <w:sz w:val="18"/>
        </w:rPr>
        <w:t xml:space="preserve"> </w:t>
      </w:r>
      <w:r>
        <w:rPr>
          <w:sz w:val="18"/>
        </w:rPr>
        <w:t>Final</w:t>
      </w:r>
      <w:r>
        <w:rPr>
          <w:spacing w:val="21"/>
          <w:sz w:val="18"/>
        </w:rPr>
        <w:t xml:space="preserve"> </w:t>
      </w:r>
      <w:r>
        <w:rPr>
          <w:sz w:val="18"/>
        </w:rPr>
        <w:t>Determination</w:t>
      </w:r>
      <w:r>
        <w:rPr>
          <w:spacing w:val="20"/>
          <w:sz w:val="18"/>
        </w:rPr>
        <w:t xml:space="preserve"> </w:t>
      </w:r>
      <w:r>
        <w:rPr>
          <w:sz w:val="18"/>
        </w:rPr>
        <w:t>(Exhibit</w:t>
      </w:r>
      <w:r>
        <w:rPr>
          <w:spacing w:val="21"/>
          <w:sz w:val="18"/>
        </w:rPr>
        <w:t xml:space="preserve"> </w:t>
      </w:r>
      <w:r>
        <w:rPr>
          <w:sz w:val="18"/>
        </w:rPr>
        <w:t>AUS-2),</w:t>
      </w:r>
      <w:r>
        <w:rPr>
          <w:spacing w:val="22"/>
          <w:sz w:val="18"/>
        </w:rPr>
        <w:t xml:space="preserve"> </w:t>
      </w:r>
      <w:r>
        <w:rPr>
          <w:sz w:val="18"/>
        </w:rPr>
        <w:t>p. 121; Final Determination (Exhibit</w:t>
      </w:r>
      <w:r>
        <w:rPr>
          <w:spacing w:val="21"/>
          <w:sz w:val="18"/>
        </w:rPr>
        <w:t xml:space="preserve"> </w:t>
      </w:r>
      <w:r>
        <w:rPr>
          <w:sz w:val="18"/>
        </w:rPr>
        <w:t>CHN-1), p.</w:t>
      </w:r>
      <w:r>
        <w:rPr>
          <w:spacing w:val="21"/>
          <w:sz w:val="18"/>
        </w:rPr>
        <w:t xml:space="preserve"> </w:t>
      </w:r>
      <w:r>
        <w:rPr>
          <w:sz w:val="18"/>
        </w:rPr>
        <w:t>59; Australia's</w:t>
      </w:r>
      <w:r>
        <w:rPr>
          <w:spacing w:val="20"/>
          <w:sz w:val="18"/>
        </w:rPr>
        <w:t xml:space="preserve"> </w:t>
      </w:r>
      <w:r>
        <w:rPr>
          <w:sz w:val="18"/>
        </w:rPr>
        <w:t>first written submission, paras. 551, 600, 602; China's first written submission, para. 1377; 1380; 1332; 1650; and 1667.</w:t>
      </w:r>
    </w:p>
    <w:p w14:paraId="0F27A03C" w14:textId="77777777" w:rsidR="00BD462C" w:rsidRDefault="00033D0F">
      <w:pPr>
        <w:spacing w:before="2"/>
        <w:ind w:left="135"/>
        <w:rPr>
          <w:sz w:val="18"/>
        </w:rPr>
      </w:pPr>
      <w:bookmarkStart w:id="953" w:name="_bookmark819"/>
      <w:bookmarkEnd w:id="953"/>
      <w:r>
        <w:rPr>
          <w:position w:val="5"/>
          <w:sz w:val="12"/>
        </w:rPr>
        <w:t>696</w:t>
      </w:r>
      <w:r>
        <w:rPr>
          <w:spacing w:val="14"/>
          <w:position w:val="5"/>
          <w:sz w:val="12"/>
        </w:rPr>
        <w:t xml:space="preserve"> </w:t>
      </w:r>
      <w:r>
        <w:rPr>
          <w:sz w:val="18"/>
        </w:rPr>
        <w:t>Panel</w:t>
      </w:r>
      <w:r>
        <w:rPr>
          <w:spacing w:val="-4"/>
          <w:sz w:val="18"/>
        </w:rPr>
        <w:t xml:space="preserve"> </w:t>
      </w:r>
      <w:r>
        <w:rPr>
          <w:sz w:val="18"/>
        </w:rPr>
        <w:t>Reports,</w:t>
      </w:r>
      <w:r>
        <w:rPr>
          <w:spacing w:val="-2"/>
          <w:sz w:val="18"/>
        </w:rPr>
        <w:t xml:space="preserve"> </w:t>
      </w:r>
      <w:r>
        <w:rPr>
          <w:i/>
          <w:sz w:val="18"/>
        </w:rPr>
        <w:t>China</w:t>
      </w:r>
      <w:r>
        <w:rPr>
          <w:i/>
          <w:spacing w:val="-4"/>
          <w:sz w:val="18"/>
        </w:rPr>
        <w:t xml:space="preserve"> </w:t>
      </w:r>
      <w:r>
        <w:rPr>
          <w:i/>
          <w:sz w:val="18"/>
        </w:rPr>
        <w:t>–</w:t>
      </w:r>
      <w:r>
        <w:rPr>
          <w:i/>
          <w:spacing w:val="-4"/>
          <w:sz w:val="18"/>
        </w:rPr>
        <w:t xml:space="preserve"> </w:t>
      </w:r>
      <w:r>
        <w:rPr>
          <w:i/>
          <w:sz w:val="18"/>
        </w:rPr>
        <w:t>Cellulose</w:t>
      </w:r>
      <w:r>
        <w:rPr>
          <w:i/>
          <w:spacing w:val="-5"/>
          <w:sz w:val="18"/>
        </w:rPr>
        <w:t xml:space="preserve"> </w:t>
      </w:r>
      <w:r>
        <w:rPr>
          <w:i/>
          <w:sz w:val="18"/>
        </w:rPr>
        <w:t>Pulp</w:t>
      </w:r>
      <w:r>
        <w:rPr>
          <w:sz w:val="18"/>
        </w:rPr>
        <w:t>,</w:t>
      </w:r>
      <w:r>
        <w:rPr>
          <w:spacing w:val="-3"/>
          <w:sz w:val="18"/>
        </w:rPr>
        <w:t xml:space="preserve"> </w:t>
      </w:r>
      <w:r>
        <w:rPr>
          <w:sz w:val="18"/>
        </w:rPr>
        <w:t>para.</w:t>
      </w:r>
      <w:r>
        <w:rPr>
          <w:spacing w:val="-3"/>
          <w:sz w:val="18"/>
        </w:rPr>
        <w:t xml:space="preserve"> </w:t>
      </w:r>
      <w:r>
        <w:rPr>
          <w:sz w:val="18"/>
        </w:rPr>
        <w:t>7.40;</w:t>
      </w:r>
      <w:r>
        <w:rPr>
          <w:spacing w:val="-7"/>
          <w:sz w:val="18"/>
        </w:rPr>
        <w:t xml:space="preserve"> </w:t>
      </w:r>
      <w:r>
        <w:rPr>
          <w:i/>
          <w:sz w:val="18"/>
        </w:rPr>
        <w:t>Thailand</w:t>
      </w:r>
      <w:r>
        <w:rPr>
          <w:i/>
          <w:spacing w:val="-3"/>
          <w:sz w:val="18"/>
        </w:rPr>
        <w:t xml:space="preserve"> </w:t>
      </w:r>
      <w:r>
        <w:rPr>
          <w:i/>
          <w:sz w:val="18"/>
        </w:rPr>
        <w:t>–</w:t>
      </w:r>
      <w:r>
        <w:rPr>
          <w:i/>
          <w:spacing w:val="-4"/>
          <w:sz w:val="18"/>
        </w:rPr>
        <w:t xml:space="preserve"> </w:t>
      </w:r>
      <w:r>
        <w:rPr>
          <w:i/>
          <w:sz w:val="18"/>
        </w:rPr>
        <w:t>H-Beams</w:t>
      </w:r>
      <w:r>
        <w:rPr>
          <w:sz w:val="18"/>
        </w:rPr>
        <w:t>,</w:t>
      </w:r>
      <w:r>
        <w:rPr>
          <w:spacing w:val="-3"/>
          <w:sz w:val="18"/>
        </w:rPr>
        <w:t xml:space="preserve"> </w:t>
      </w:r>
      <w:r>
        <w:rPr>
          <w:sz w:val="18"/>
        </w:rPr>
        <w:t>para.</w:t>
      </w:r>
      <w:r>
        <w:rPr>
          <w:spacing w:val="1"/>
          <w:sz w:val="18"/>
        </w:rPr>
        <w:t xml:space="preserve"> </w:t>
      </w:r>
      <w:r>
        <w:rPr>
          <w:spacing w:val="-2"/>
          <w:sz w:val="18"/>
        </w:rPr>
        <w:t>7.163.</w:t>
      </w:r>
    </w:p>
    <w:p w14:paraId="7E3AE44D" w14:textId="77777777" w:rsidR="00BD462C" w:rsidRDefault="00033D0F">
      <w:pPr>
        <w:spacing w:before="1"/>
        <w:ind w:left="135"/>
        <w:rPr>
          <w:sz w:val="18"/>
        </w:rPr>
      </w:pPr>
      <w:bookmarkStart w:id="954" w:name="_bookmark820"/>
      <w:bookmarkEnd w:id="954"/>
      <w:r>
        <w:rPr>
          <w:position w:val="5"/>
          <w:sz w:val="12"/>
        </w:rPr>
        <w:t>697</w:t>
      </w:r>
      <w:r>
        <w:rPr>
          <w:spacing w:val="12"/>
          <w:position w:val="5"/>
          <w:sz w:val="12"/>
        </w:rPr>
        <w:t xml:space="preserve"> </w:t>
      </w:r>
      <w:r>
        <w:rPr>
          <w:sz w:val="18"/>
        </w:rPr>
        <w:t>Final</w:t>
      </w:r>
      <w:r>
        <w:rPr>
          <w:spacing w:val="-5"/>
          <w:sz w:val="18"/>
        </w:rPr>
        <w:t xml:space="preserve"> </w:t>
      </w:r>
      <w:r>
        <w:rPr>
          <w:sz w:val="18"/>
        </w:rPr>
        <w:t>Determination</w:t>
      </w:r>
      <w:r>
        <w:rPr>
          <w:spacing w:val="-7"/>
          <w:sz w:val="18"/>
        </w:rPr>
        <w:t xml:space="preserve"> </w:t>
      </w:r>
      <w:r>
        <w:rPr>
          <w:sz w:val="18"/>
        </w:rPr>
        <w:t>(Exhibit</w:t>
      </w:r>
      <w:r>
        <w:rPr>
          <w:spacing w:val="-1"/>
          <w:sz w:val="18"/>
        </w:rPr>
        <w:t xml:space="preserve"> </w:t>
      </w:r>
      <w:r>
        <w:rPr>
          <w:sz w:val="18"/>
        </w:rPr>
        <w:t>CHN-1),</w:t>
      </w:r>
      <w:r>
        <w:rPr>
          <w:spacing w:val="-4"/>
          <w:sz w:val="18"/>
        </w:rPr>
        <w:t xml:space="preserve"> </w:t>
      </w:r>
      <w:r>
        <w:rPr>
          <w:sz w:val="18"/>
        </w:rPr>
        <w:t>p. 59;</w:t>
      </w:r>
      <w:r>
        <w:rPr>
          <w:spacing w:val="-8"/>
          <w:sz w:val="18"/>
        </w:rPr>
        <w:t xml:space="preserve"> </w:t>
      </w:r>
      <w:r>
        <w:rPr>
          <w:sz w:val="18"/>
        </w:rPr>
        <w:t>Anti-Dumping</w:t>
      </w:r>
      <w:r>
        <w:rPr>
          <w:spacing w:val="-5"/>
          <w:sz w:val="18"/>
        </w:rPr>
        <w:t xml:space="preserve"> </w:t>
      </w:r>
      <w:r>
        <w:rPr>
          <w:sz w:val="18"/>
        </w:rPr>
        <w:t>Final</w:t>
      </w:r>
      <w:r>
        <w:rPr>
          <w:spacing w:val="-2"/>
          <w:sz w:val="18"/>
        </w:rPr>
        <w:t xml:space="preserve"> </w:t>
      </w:r>
      <w:r>
        <w:rPr>
          <w:sz w:val="18"/>
        </w:rPr>
        <w:t>Determination</w:t>
      </w:r>
      <w:r>
        <w:rPr>
          <w:spacing w:val="-10"/>
          <w:sz w:val="18"/>
        </w:rPr>
        <w:t xml:space="preserve"> </w:t>
      </w:r>
      <w:r>
        <w:rPr>
          <w:sz w:val="18"/>
        </w:rPr>
        <w:t>(Exhibit</w:t>
      </w:r>
      <w:r>
        <w:rPr>
          <w:spacing w:val="-5"/>
          <w:sz w:val="18"/>
        </w:rPr>
        <w:t xml:space="preserve"> </w:t>
      </w:r>
      <w:r>
        <w:rPr>
          <w:sz w:val="18"/>
        </w:rPr>
        <w:t>AUS-2),</w:t>
      </w:r>
      <w:r>
        <w:rPr>
          <w:spacing w:val="-3"/>
          <w:sz w:val="18"/>
        </w:rPr>
        <w:t xml:space="preserve"> </w:t>
      </w:r>
      <w:r>
        <w:rPr>
          <w:sz w:val="18"/>
        </w:rPr>
        <w:t>p.</w:t>
      </w:r>
      <w:r>
        <w:rPr>
          <w:spacing w:val="-1"/>
          <w:sz w:val="18"/>
        </w:rPr>
        <w:t xml:space="preserve"> </w:t>
      </w:r>
      <w:r>
        <w:rPr>
          <w:spacing w:val="-4"/>
          <w:sz w:val="18"/>
        </w:rPr>
        <w:t>121.</w:t>
      </w:r>
    </w:p>
    <w:p w14:paraId="34555B41" w14:textId="77777777" w:rsidR="00BD462C" w:rsidRDefault="00033D0F">
      <w:pPr>
        <w:spacing w:before="1"/>
        <w:ind w:left="135"/>
        <w:rPr>
          <w:sz w:val="18"/>
        </w:rPr>
      </w:pPr>
      <w:bookmarkStart w:id="955" w:name="_bookmark821"/>
      <w:bookmarkEnd w:id="955"/>
      <w:r>
        <w:rPr>
          <w:position w:val="5"/>
          <w:sz w:val="12"/>
        </w:rPr>
        <w:t>698</w:t>
      </w:r>
      <w:r>
        <w:rPr>
          <w:spacing w:val="12"/>
          <w:position w:val="5"/>
          <w:sz w:val="12"/>
        </w:rPr>
        <w:t xml:space="preserve"> </w:t>
      </w:r>
      <w:r>
        <w:rPr>
          <w:sz w:val="18"/>
        </w:rPr>
        <w:t>Final</w:t>
      </w:r>
      <w:r>
        <w:rPr>
          <w:spacing w:val="-5"/>
          <w:sz w:val="18"/>
        </w:rPr>
        <w:t xml:space="preserve"> </w:t>
      </w:r>
      <w:r>
        <w:rPr>
          <w:sz w:val="18"/>
        </w:rPr>
        <w:t>Determination</w:t>
      </w:r>
      <w:r>
        <w:rPr>
          <w:spacing w:val="-7"/>
          <w:sz w:val="18"/>
        </w:rPr>
        <w:t xml:space="preserve"> </w:t>
      </w:r>
      <w:r>
        <w:rPr>
          <w:sz w:val="18"/>
        </w:rPr>
        <w:t>(Exhibit</w:t>
      </w:r>
      <w:r>
        <w:rPr>
          <w:spacing w:val="-1"/>
          <w:sz w:val="18"/>
        </w:rPr>
        <w:t xml:space="preserve"> </w:t>
      </w:r>
      <w:r>
        <w:rPr>
          <w:sz w:val="18"/>
        </w:rPr>
        <w:t>CHN-1),</w:t>
      </w:r>
      <w:r>
        <w:rPr>
          <w:spacing w:val="-4"/>
          <w:sz w:val="18"/>
        </w:rPr>
        <w:t xml:space="preserve"> </w:t>
      </w:r>
      <w:r>
        <w:rPr>
          <w:sz w:val="18"/>
        </w:rPr>
        <w:t>p. 59;</w:t>
      </w:r>
      <w:r>
        <w:rPr>
          <w:spacing w:val="-8"/>
          <w:sz w:val="18"/>
        </w:rPr>
        <w:t xml:space="preserve"> </w:t>
      </w:r>
      <w:r>
        <w:rPr>
          <w:sz w:val="18"/>
        </w:rPr>
        <w:t>Anti-Dumping</w:t>
      </w:r>
      <w:r>
        <w:rPr>
          <w:spacing w:val="-5"/>
          <w:sz w:val="18"/>
        </w:rPr>
        <w:t xml:space="preserve"> </w:t>
      </w:r>
      <w:r>
        <w:rPr>
          <w:sz w:val="18"/>
        </w:rPr>
        <w:t>Final</w:t>
      </w:r>
      <w:r>
        <w:rPr>
          <w:spacing w:val="-2"/>
          <w:sz w:val="18"/>
        </w:rPr>
        <w:t xml:space="preserve"> </w:t>
      </w:r>
      <w:r>
        <w:rPr>
          <w:sz w:val="18"/>
        </w:rPr>
        <w:t>Determination</w:t>
      </w:r>
      <w:r>
        <w:rPr>
          <w:spacing w:val="-10"/>
          <w:sz w:val="18"/>
        </w:rPr>
        <w:t xml:space="preserve"> </w:t>
      </w:r>
      <w:r>
        <w:rPr>
          <w:sz w:val="18"/>
        </w:rPr>
        <w:t>(Exhibit</w:t>
      </w:r>
      <w:r>
        <w:rPr>
          <w:spacing w:val="-5"/>
          <w:sz w:val="18"/>
        </w:rPr>
        <w:t xml:space="preserve"> </w:t>
      </w:r>
      <w:r>
        <w:rPr>
          <w:sz w:val="18"/>
        </w:rPr>
        <w:t>AUS-2),</w:t>
      </w:r>
      <w:r>
        <w:rPr>
          <w:spacing w:val="-3"/>
          <w:sz w:val="18"/>
        </w:rPr>
        <w:t xml:space="preserve"> </w:t>
      </w:r>
      <w:r>
        <w:rPr>
          <w:sz w:val="18"/>
        </w:rPr>
        <w:t>p.</w:t>
      </w:r>
      <w:r>
        <w:rPr>
          <w:spacing w:val="-1"/>
          <w:sz w:val="18"/>
        </w:rPr>
        <w:t xml:space="preserve"> </w:t>
      </w:r>
      <w:r>
        <w:rPr>
          <w:spacing w:val="-4"/>
          <w:sz w:val="18"/>
        </w:rPr>
        <w:t>121.</w:t>
      </w:r>
    </w:p>
    <w:p w14:paraId="499A9B10" w14:textId="77777777" w:rsidR="00BD462C" w:rsidRDefault="00BD462C">
      <w:pPr>
        <w:rPr>
          <w:sz w:val="18"/>
        </w:rPr>
        <w:sectPr w:rsidR="00BD462C">
          <w:pgSz w:w="11910" w:h="16840"/>
          <w:pgMar w:top="860" w:right="500" w:bottom="780" w:left="1280" w:header="566" w:footer="590" w:gutter="0"/>
          <w:cols w:space="720"/>
        </w:sectPr>
      </w:pPr>
    </w:p>
    <w:p w14:paraId="4B3B9578" w14:textId="77777777" w:rsidR="00BD462C" w:rsidRDefault="00033D0F">
      <w:pPr>
        <w:tabs>
          <w:tab w:val="left" w:pos="6087"/>
        </w:tabs>
        <w:spacing w:before="1"/>
        <w:ind w:left="135"/>
        <w:jc w:val="both"/>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47E20292" w14:textId="77777777" w:rsidR="00BD462C" w:rsidRDefault="00033D0F">
      <w:pPr>
        <w:spacing w:before="1"/>
        <w:ind w:left="135"/>
        <w:jc w:val="both"/>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44897D0C" w14:textId="77777777" w:rsidR="00BD462C" w:rsidRDefault="00033D0F">
      <w:pPr>
        <w:tabs>
          <w:tab w:val="left" w:pos="7652"/>
        </w:tabs>
        <w:ind w:left="135"/>
        <w:jc w:val="both"/>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698EFF50" w14:textId="77777777" w:rsidR="00BD462C" w:rsidRDefault="00033D0F">
      <w:pPr>
        <w:pStyle w:val="BodyText"/>
        <w:spacing w:before="102" w:line="360" w:lineRule="auto"/>
        <w:ind w:left="135" w:right="917"/>
        <w:jc w:val="both"/>
      </w:pPr>
      <w:r>
        <w:t>includes:</w:t>
      </w:r>
      <w:r>
        <w:rPr>
          <w:spacing w:val="-10"/>
        </w:rPr>
        <w:t xml:space="preserve"> </w:t>
      </w:r>
      <w:r>
        <w:t>(i)</w:t>
      </w:r>
      <w:r>
        <w:rPr>
          <w:spacing w:val="-3"/>
        </w:rPr>
        <w:t xml:space="preserve"> </w:t>
      </w:r>
      <w:r>
        <w:t>that</w:t>
      </w:r>
      <w:r>
        <w:rPr>
          <w:spacing w:val="-7"/>
        </w:rPr>
        <w:t xml:space="preserve"> </w:t>
      </w:r>
      <w:r>
        <w:t>subject</w:t>
      </w:r>
      <w:r>
        <w:rPr>
          <w:spacing w:val="-7"/>
        </w:rPr>
        <w:t xml:space="preserve"> </w:t>
      </w:r>
      <w:r>
        <w:t>imports</w:t>
      </w:r>
      <w:r>
        <w:rPr>
          <w:spacing w:val="-6"/>
        </w:rPr>
        <w:t xml:space="preserve"> </w:t>
      </w:r>
      <w:r>
        <w:t>were</w:t>
      </w:r>
      <w:r>
        <w:rPr>
          <w:spacing w:val="-7"/>
        </w:rPr>
        <w:t xml:space="preserve"> </w:t>
      </w:r>
      <w:r>
        <w:t>always</w:t>
      </w:r>
      <w:r>
        <w:rPr>
          <w:spacing w:val="-6"/>
        </w:rPr>
        <w:t xml:space="preserve"> </w:t>
      </w:r>
      <w:r>
        <w:t>more</w:t>
      </w:r>
      <w:r>
        <w:rPr>
          <w:spacing w:val="-7"/>
        </w:rPr>
        <w:t xml:space="preserve"> </w:t>
      </w:r>
      <w:r>
        <w:t>expensive</w:t>
      </w:r>
      <w:r>
        <w:rPr>
          <w:spacing w:val="-7"/>
        </w:rPr>
        <w:t xml:space="preserve"> </w:t>
      </w:r>
      <w:r>
        <w:t>than</w:t>
      </w:r>
      <w:r>
        <w:rPr>
          <w:spacing w:val="-9"/>
        </w:rPr>
        <w:t xml:space="preserve"> </w:t>
      </w:r>
      <w:r>
        <w:t>domestic</w:t>
      </w:r>
      <w:r>
        <w:rPr>
          <w:spacing w:val="-8"/>
        </w:rPr>
        <w:t xml:space="preserve"> </w:t>
      </w:r>
      <w:r>
        <w:t>like</w:t>
      </w:r>
      <w:r>
        <w:rPr>
          <w:spacing w:val="-7"/>
        </w:rPr>
        <w:t xml:space="preserve"> </w:t>
      </w:r>
      <w:r>
        <w:t>products,</w:t>
      </w:r>
      <w:r>
        <w:rPr>
          <w:spacing w:val="-5"/>
        </w:rPr>
        <w:t xml:space="preserve"> </w:t>
      </w:r>
      <w:r>
        <w:t>by a</w:t>
      </w:r>
      <w:r>
        <w:rPr>
          <w:spacing w:val="-14"/>
        </w:rPr>
        <w:t xml:space="preserve"> </w:t>
      </w:r>
      <w:r>
        <w:t>margin</w:t>
      </w:r>
      <w:r>
        <w:rPr>
          <w:spacing w:val="-14"/>
        </w:rPr>
        <w:t xml:space="preserve"> </w:t>
      </w:r>
      <w:r>
        <w:t>of</w:t>
      </w:r>
      <w:r>
        <w:rPr>
          <w:spacing w:val="-13"/>
        </w:rPr>
        <w:t xml:space="preserve"> </w:t>
      </w:r>
      <w:r>
        <w:t>at</w:t>
      </w:r>
      <w:r>
        <w:rPr>
          <w:spacing w:val="-14"/>
        </w:rPr>
        <w:t xml:space="preserve"> </w:t>
      </w:r>
      <w:r>
        <w:t>least</w:t>
      </w:r>
      <w:r>
        <w:rPr>
          <w:spacing w:val="-13"/>
        </w:rPr>
        <w:t xml:space="preserve"> </w:t>
      </w:r>
      <w:r>
        <w:t>5,848RMB/</w:t>
      </w:r>
      <w:proofErr w:type="spellStart"/>
      <w:r>
        <w:t>kilolitre</w:t>
      </w:r>
      <w:proofErr w:type="spellEnd"/>
      <w:r>
        <w:t>;</w:t>
      </w:r>
      <w:r>
        <w:rPr>
          <w:spacing w:val="-14"/>
        </w:rPr>
        <w:t xml:space="preserve"> </w:t>
      </w:r>
      <w:r>
        <w:t>and</w:t>
      </w:r>
      <w:r>
        <w:rPr>
          <w:spacing w:val="-13"/>
        </w:rPr>
        <w:t xml:space="preserve"> </w:t>
      </w:r>
      <w:r>
        <w:t>(ii)</w:t>
      </w:r>
      <w:r>
        <w:rPr>
          <w:spacing w:val="-14"/>
        </w:rPr>
        <w:t xml:space="preserve"> </w:t>
      </w:r>
      <w:r>
        <w:t>prices</w:t>
      </w:r>
      <w:r>
        <w:rPr>
          <w:spacing w:val="-14"/>
        </w:rPr>
        <w:t xml:space="preserve"> </w:t>
      </w:r>
      <w:r>
        <w:t>of</w:t>
      </w:r>
      <w:r>
        <w:rPr>
          <w:spacing w:val="-13"/>
        </w:rPr>
        <w:t xml:space="preserve"> </w:t>
      </w:r>
      <w:r>
        <w:t>domestic</w:t>
      </w:r>
      <w:r>
        <w:rPr>
          <w:spacing w:val="-14"/>
        </w:rPr>
        <w:t xml:space="preserve"> </w:t>
      </w:r>
      <w:r>
        <w:t>like</w:t>
      </w:r>
      <w:r>
        <w:rPr>
          <w:spacing w:val="-13"/>
        </w:rPr>
        <w:t xml:space="preserve"> </w:t>
      </w:r>
      <w:r>
        <w:t>imports</w:t>
      </w:r>
      <w:r>
        <w:rPr>
          <w:spacing w:val="-14"/>
        </w:rPr>
        <w:t xml:space="preserve"> </w:t>
      </w:r>
      <w:r>
        <w:t>in</w:t>
      </w:r>
      <w:r>
        <w:rPr>
          <w:spacing w:val="-13"/>
        </w:rPr>
        <w:t xml:space="preserve"> </w:t>
      </w:r>
      <w:r>
        <w:t>fact</w:t>
      </w:r>
      <w:r>
        <w:rPr>
          <w:spacing w:val="-14"/>
        </w:rPr>
        <w:t xml:space="preserve"> </w:t>
      </w:r>
      <w:r>
        <w:t>increased by 20.5% or 6,576RMB/</w:t>
      </w:r>
      <w:proofErr w:type="spellStart"/>
      <w:r>
        <w:t>kilolitre</w:t>
      </w:r>
      <w:proofErr w:type="spellEnd"/>
      <w:r>
        <w:t xml:space="preserve"> over the Injury POI.</w:t>
      </w:r>
    </w:p>
    <w:p w14:paraId="2DE5849E" w14:textId="77777777" w:rsidR="00BD462C" w:rsidRDefault="00BD462C">
      <w:pPr>
        <w:pStyle w:val="BodyText"/>
        <w:spacing w:before="11"/>
        <w:rPr>
          <w:sz w:val="8"/>
        </w:rPr>
      </w:pPr>
    </w:p>
    <w:p w14:paraId="591D7218" w14:textId="120B59CD" w:rsidR="00BD462C" w:rsidRDefault="005B60EE">
      <w:pPr>
        <w:pStyle w:val="BodyText"/>
        <w:spacing w:before="56" w:line="360" w:lineRule="auto"/>
        <w:ind w:left="135" w:right="912" w:hanging="5"/>
        <w:jc w:val="both"/>
      </w:pPr>
      <w:r>
        <w:rPr>
          <w:noProof/>
        </w:rPr>
        <w:t>480.</w:t>
      </w:r>
      <w:r w:rsidR="00033D0F">
        <w:rPr>
          <w:rFonts w:ascii="Times New Roman"/>
          <w:spacing w:val="80"/>
          <w:position w:val="1"/>
          <w:sz w:val="20"/>
        </w:rPr>
        <w:t xml:space="preserve"> </w:t>
      </w:r>
      <w:r w:rsidR="00033D0F">
        <w:rPr>
          <w:position w:val="1"/>
        </w:rPr>
        <w:t>In</w:t>
      </w:r>
      <w:r w:rsidR="00033D0F">
        <w:rPr>
          <w:spacing w:val="-8"/>
          <w:position w:val="1"/>
        </w:rPr>
        <w:t xml:space="preserve"> </w:t>
      </w:r>
      <w:r w:rsidR="00033D0F">
        <w:rPr>
          <w:position w:val="1"/>
        </w:rPr>
        <w:t>light</w:t>
      </w:r>
      <w:r w:rsidR="00033D0F">
        <w:rPr>
          <w:spacing w:val="-6"/>
          <w:position w:val="1"/>
        </w:rPr>
        <w:t xml:space="preserve"> </w:t>
      </w:r>
      <w:r w:rsidR="00033D0F">
        <w:rPr>
          <w:position w:val="1"/>
        </w:rPr>
        <w:t>of</w:t>
      </w:r>
      <w:r w:rsidR="00033D0F">
        <w:rPr>
          <w:spacing w:val="-8"/>
          <w:position w:val="1"/>
        </w:rPr>
        <w:t xml:space="preserve"> </w:t>
      </w:r>
      <w:r w:rsidR="00033D0F">
        <w:rPr>
          <w:position w:val="1"/>
        </w:rPr>
        <w:t>these</w:t>
      </w:r>
      <w:r w:rsidR="00033D0F">
        <w:rPr>
          <w:spacing w:val="-6"/>
          <w:position w:val="1"/>
        </w:rPr>
        <w:t xml:space="preserve"> </w:t>
      </w:r>
      <w:r w:rsidR="00033D0F">
        <w:rPr>
          <w:position w:val="1"/>
        </w:rPr>
        <w:t>facts,</w:t>
      </w:r>
      <w:r w:rsidR="00033D0F">
        <w:rPr>
          <w:spacing w:val="-4"/>
          <w:position w:val="1"/>
        </w:rPr>
        <w:t xml:space="preserve"> </w:t>
      </w:r>
      <w:r w:rsidR="00033D0F">
        <w:rPr>
          <w:position w:val="1"/>
        </w:rPr>
        <w:t>it</w:t>
      </w:r>
      <w:r w:rsidR="00033D0F">
        <w:rPr>
          <w:spacing w:val="-6"/>
          <w:position w:val="1"/>
        </w:rPr>
        <w:t xml:space="preserve"> </w:t>
      </w:r>
      <w:r w:rsidR="00033D0F">
        <w:rPr>
          <w:position w:val="1"/>
        </w:rPr>
        <w:t>is</w:t>
      </w:r>
      <w:r w:rsidR="00033D0F">
        <w:rPr>
          <w:spacing w:val="-5"/>
          <w:position w:val="1"/>
        </w:rPr>
        <w:t xml:space="preserve"> </w:t>
      </w:r>
      <w:r w:rsidR="00033D0F">
        <w:rPr>
          <w:position w:val="1"/>
        </w:rPr>
        <w:t>all</w:t>
      </w:r>
      <w:r w:rsidR="00033D0F">
        <w:rPr>
          <w:spacing w:val="-4"/>
          <w:position w:val="1"/>
        </w:rPr>
        <w:t xml:space="preserve"> </w:t>
      </w:r>
      <w:r w:rsidR="00033D0F">
        <w:rPr>
          <w:position w:val="1"/>
        </w:rPr>
        <w:t>the</w:t>
      </w:r>
      <w:r w:rsidR="00033D0F">
        <w:rPr>
          <w:spacing w:val="-6"/>
          <w:position w:val="1"/>
        </w:rPr>
        <w:t xml:space="preserve"> </w:t>
      </w:r>
      <w:r w:rsidR="00033D0F">
        <w:rPr>
          <w:position w:val="1"/>
        </w:rPr>
        <w:t>more</w:t>
      </w:r>
      <w:r w:rsidR="00033D0F">
        <w:rPr>
          <w:spacing w:val="-6"/>
          <w:position w:val="1"/>
        </w:rPr>
        <w:t xml:space="preserve"> </w:t>
      </w:r>
      <w:r w:rsidR="00033D0F">
        <w:rPr>
          <w:position w:val="1"/>
        </w:rPr>
        <w:t>troubling</w:t>
      </w:r>
      <w:r w:rsidR="00033D0F">
        <w:rPr>
          <w:spacing w:val="-5"/>
          <w:position w:val="1"/>
        </w:rPr>
        <w:t xml:space="preserve"> </w:t>
      </w:r>
      <w:r w:rsidR="00033D0F">
        <w:rPr>
          <w:position w:val="1"/>
        </w:rPr>
        <w:t>that</w:t>
      </w:r>
      <w:r w:rsidR="00033D0F">
        <w:rPr>
          <w:spacing w:val="-6"/>
          <w:position w:val="1"/>
        </w:rPr>
        <w:t xml:space="preserve"> </w:t>
      </w:r>
      <w:r w:rsidR="00033D0F">
        <w:rPr>
          <w:position w:val="1"/>
        </w:rPr>
        <w:t>there</w:t>
      </w:r>
      <w:r w:rsidR="00033D0F">
        <w:rPr>
          <w:spacing w:val="-6"/>
          <w:position w:val="1"/>
        </w:rPr>
        <w:t xml:space="preserve"> </w:t>
      </w:r>
      <w:r w:rsidR="00033D0F">
        <w:rPr>
          <w:position w:val="1"/>
        </w:rPr>
        <w:t>is</w:t>
      </w:r>
      <w:r w:rsidR="00033D0F">
        <w:rPr>
          <w:spacing w:val="-5"/>
          <w:position w:val="1"/>
        </w:rPr>
        <w:t xml:space="preserve"> </w:t>
      </w:r>
      <w:r w:rsidR="00033D0F">
        <w:rPr>
          <w:position w:val="1"/>
        </w:rPr>
        <w:t>no</w:t>
      </w:r>
      <w:r w:rsidR="00033D0F">
        <w:rPr>
          <w:spacing w:val="-4"/>
          <w:position w:val="1"/>
        </w:rPr>
        <w:t xml:space="preserve"> </w:t>
      </w:r>
      <w:r w:rsidR="00033D0F">
        <w:rPr>
          <w:position w:val="1"/>
        </w:rPr>
        <w:t>evidence</w:t>
      </w:r>
      <w:r w:rsidR="00033D0F">
        <w:rPr>
          <w:spacing w:val="-6"/>
          <w:position w:val="1"/>
        </w:rPr>
        <w:t xml:space="preserve"> </w:t>
      </w:r>
      <w:r w:rsidR="00033D0F">
        <w:rPr>
          <w:position w:val="1"/>
        </w:rPr>
        <w:t>in</w:t>
      </w:r>
      <w:r w:rsidR="00033D0F">
        <w:rPr>
          <w:spacing w:val="-8"/>
          <w:position w:val="1"/>
        </w:rPr>
        <w:t xml:space="preserve"> </w:t>
      </w:r>
      <w:r w:rsidR="00033D0F">
        <w:rPr>
          <w:position w:val="1"/>
        </w:rPr>
        <w:t>the</w:t>
      </w:r>
      <w:r w:rsidR="00033D0F">
        <w:rPr>
          <w:spacing w:val="-2"/>
          <w:position w:val="1"/>
        </w:rPr>
        <w:t xml:space="preserve"> </w:t>
      </w:r>
      <w:r w:rsidR="00033D0F">
        <w:rPr>
          <w:position w:val="1"/>
        </w:rPr>
        <w:t xml:space="preserve">Final </w:t>
      </w:r>
      <w:r w:rsidR="00033D0F">
        <w:t>Determination, or elsewhere on the investigation record, to suggest that MOFCOM engaged in</w:t>
      </w:r>
      <w:r w:rsidR="00033D0F">
        <w:rPr>
          <w:spacing w:val="-1"/>
        </w:rPr>
        <w:t xml:space="preserve"> </w:t>
      </w:r>
      <w:r w:rsidR="00033D0F">
        <w:t>any consideration</w:t>
      </w:r>
      <w:r w:rsidR="00033D0F">
        <w:rPr>
          <w:spacing w:val="-1"/>
        </w:rPr>
        <w:t xml:space="preserve"> </w:t>
      </w:r>
      <w:r w:rsidR="00033D0F">
        <w:t>of whether</w:t>
      </w:r>
      <w:r w:rsidR="00033D0F">
        <w:rPr>
          <w:spacing w:val="-1"/>
        </w:rPr>
        <w:t xml:space="preserve"> </w:t>
      </w:r>
      <w:r w:rsidR="00033D0F">
        <w:t>the margin</w:t>
      </w:r>
      <w:r w:rsidR="00033D0F">
        <w:rPr>
          <w:spacing w:val="-1"/>
        </w:rPr>
        <w:t xml:space="preserve"> </w:t>
      </w:r>
      <w:r w:rsidR="00033D0F">
        <w:t>of suppression</w:t>
      </w:r>
      <w:r w:rsidR="00033D0F">
        <w:rPr>
          <w:spacing w:val="-1"/>
        </w:rPr>
        <w:t xml:space="preserve"> </w:t>
      </w:r>
      <w:r w:rsidR="00033D0F">
        <w:t>was</w:t>
      </w:r>
      <w:r w:rsidR="00033D0F">
        <w:rPr>
          <w:spacing w:val="-1"/>
        </w:rPr>
        <w:t xml:space="preserve"> </w:t>
      </w:r>
      <w:r w:rsidR="00033D0F">
        <w:t>significant. It</w:t>
      </w:r>
      <w:r w:rsidR="00033D0F">
        <w:rPr>
          <w:spacing w:val="-2"/>
        </w:rPr>
        <w:t xml:space="preserve"> </w:t>
      </w:r>
      <w:r w:rsidR="00033D0F">
        <w:t>was</w:t>
      </w:r>
      <w:r w:rsidR="00033D0F">
        <w:rPr>
          <w:spacing w:val="-1"/>
        </w:rPr>
        <w:t xml:space="preserve"> </w:t>
      </w:r>
      <w:r w:rsidR="00033D0F">
        <w:t>required</w:t>
      </w:r>
      <w:r w:rsidR="00033D0F">
        <w:rPr>
          <w:spacing w:val="-1"/>
        </w:rPr>
        <w:t xml:space="preserve"> </w:t>
      </w:r>
      <w:r w:rsidR="00033D0F">
        <w:t xml:space="preserve">to do so. As a result, MOFCOM's price suppression finding is inconsistent with Articles 3.1 and </w:t>
      </w:r>
      <w:r w:rsidR="00033D0F">
        <w:rPr>
          <w:spacing w:val="-4"/>
        </w:rPr>
        <w:t>3.2.</w:t>
      </w:r>
    </w:p>
    <w:p w14:paraId="59AEF49C" w14:textId="77777777" w:rsidR="00BD462C" w:rsidRDefault="00033D0F">
      <w:pPr>
        <w:pStyle w:val="Heading3"/>
        <w:numPr>
          <w:ilvl w:val="0"/>
          <w:numId w:val="40"/>
        </w:numPr>
        <w:tabs>
          <w:tab w:val="left" w:pos="2689"/>
          <w:tab w:val="left" w:pos="2690"/>
        </w:tabs>
        <w:spacing w:before="155" w:line="357" w:lineRule="auto"/>
        <w:ind w:right="910"/>
      </w:pPr>
      <w:bookmarkStart w:id="956" w:name="4._MOFCOM_did_not_establish_that_subject"/>
      <w:bookmarkStart w:id="957" w:name="_bookmark822"/>
      <w:bookmarkEnd w:id="956"/>
      <w:bookmarkEnd w:id="957"/>
      <w:r>
        <w:t>MOFCOM did not establish that subject imports had explanatory force for the alleged price suppression</w:t>
      </w:r>
    </w:p>
    <w:p w14:paraId="27EAE21C" w14:textId="77777777" w:rsidR="00BD462C" w:rsidRDefault="00BD462C">
      <w:pPr>
        <w:pStyle w:val="BodyText"/>
        <w:spacing w:before="2"/>
        <w:rPr>
          <w:b/>
          <w:sz w:val="9"/>
        </w:rPr>
      </w:pPr>
    </w:p>
    <w:p w14:paraId="78F1130D" w14:textId="470F5AA6" w:rsidR="00BD462C" w:rsidRDefault="005B60EE">
      <w:pPr>
        <w:pStyle w:val="BodyText"/>
        <w:spacing w:before="57" w:line="357" w:lineRule="auto"/>
        <w:ind w:left="136" w:right="912" w:hanging="5"/>
        <w:jc w:val="both"/>
      </w:pPr>
      <w:r>
        <w:rPr>
          <w:noProof/>
        </w:rPr>
        <w:t>481.</w:t>
      </w:r>
      <w:r w:rsidR="00033D0F">
        <w:rPr>
          <w:rFonts w:ascii="Times New Roman"/>
          <w:spacing w:val="40"/>
          <w:position w:val="1"/>
          <w:sz w:val="20"/>
        </w:rPr>
        <w:t xml:space="preserve"> </w:t>
      </w:r>
      <w:r w:rsidR="00033D0F">
        <w:rPr>
          <w:position w:val="1"/>
        </w:rPr>
        <w:t>China appears to misunderstand paragraphs</w:t>
      </w:r>
      <w:r w:rsidR="00033D0F">
        <w:rPr>
          <w:spacing w:val="-1"/>
          <w:position w:val="1"/>
        </w:rPr>
        <w:t xml:space="preserve"> </w:t>
      </w:r>
      <w:r w:rsidR="00033D0F">
        <w:rPr>
          <w:position w:val="1"/>
        </w:rPr>
        <w:t xml:space="preserve">600 to 602 of Australia's first written </w:t>
      </w:r>
      <w:r w:rsidR="00033D0F">
        <w:t>submission.</w:t>
      </w:r>
      <w:hyperlink w:anchor="_bookmark823" w:history="1">
        <w:r w:rsidR="00033D0F">
          <w:rPr>
            <w:vertAlign w:val="superscript"/>
          </w:rPr>
          <w:t>699</w:t>
        </w:r>
      </w:hyperlink>
      <w:r w:rsidR="00033D0F">
        <w:t xml:space="preserve"> For clarity, Australia's argument is as follows:</w:t>
      </w:r>
    </w:p>
    <w:p w14:paraId="5374D37B" w14:textId="77777777" w:rsidR="00BD462C" w:rsidRDefault="00033D0F">
      <w:pPr>
        <w:pStyle w:val="ListParagraph"/>
        <w:numPr>
          <w:ilvl w:val="0"/>
          <w:numId w:val="52"/>
        </w:numPr>
        <w:tabs>
          <w:tab w:val="left" w:pos="1835"/>
          <w:tab w:val="left" w:pos="1836"/>
        </w:tabs>
        <w:spacing w:before="161" w:line="357" w:lineRule="auto"/>
        <w:ind w:right="917" w:hanging="855"/>
        <w:jc w:val="both"/>
        <w:rPr>
          <w:sz w:val="24"/>
        </w:rPr>
      </w:pPr>
      <w:r>
        <w:rPr>
          <w:sz w:val="24"/>
        </w:rPr>
        <w:t>Sections 3a and 3b of Australia's first written submission establish that the average unit prices calculated by MOFCOM and relied on for the purposes of its price effects analysis were inconsistent with Articles 3.1 and 3.2.</w:t>
      </w:r>
    </w:p>
    <w:p w14:paraId="43E1F5F7" w14:textId="77777777" w:rsidR="00BD462C" w:rsidRDefault="00033D0F">
      <w:pPr>
        <w:pStyle w:val="ListParagraph"/>
        <w:numPr>
          <w:ilvl w:val="0"/>
          <w:numId w:val="52"/>
        </w:numPr>
        <w:tabs>
          <w:tab w:val="left" w:pos="1835"/>
          <w:tab w:val="left" w:pos="1836"/>
        </w:tabs>
        <w:spacing w:before="126" w:line="360" w:lineRule="auto"/>
        <w:ind w:left="1839" w:right="913" w:hanging="855"/>
        <w:jc w:val="both"/>
        <w:rPr>
          <w:sz w:val="24"/>
        </w:rPr>
      </w:pPr>
      <w:r>
        <w:rPr>
          <w:sz w:val="24"/>
        </w:rPr>
        <w:t>In</w:t>
      </w:r>
      <w:r>
        <w:rPr>
          <w:spacing w:val="-13"/>
          <w:sz w:val="24"/>
        </w:rPr>
        <w:t xml:space="preserve"> </w:t>
      </w:r>
      <w:r>
        <w:rPr>
          <w:sz w:val="24"/>
        </w:rPr>
        <w:t>addition,</w:t>
      </w:r>
      <w:r>
        <w:rPr>
          <w:spacing w:val="-9"/>
          <w:sz w:val="24"/>
        </w:rPr>
        <w:t xml:space="preserve"> </w:t>
      </w:r>
      <w:r>
        <w:rPr>
          <w:sz w:val="24"/>
        </w:rPr>
        <w:t>even</w:t>
      </w:r>
      <w:r>
        <w:rPr>
          <w:spacing w:val="-13"/>
          <w:sz w:val="24"/>
        </w:rPr>
        <w:t xml:space="preserve"> </w:t>
      </w:r>
      <w:r>
        <w:rPr>
          <w:sz w:val="24"/>
        </w:rPr>
        <w:t>if,</w:t>
      </w:r>
      <w:r>
        <w:rPr>
          <w:spacing w:val="-9"/>
          <w:sz w:val="24"/>
        </w:rPr>
        <w:t xml:space="preserve"> </w:t>
      </w:r>
      <w:r>
        <w:rPr>
          <w:i/>
          <w:sz w:val="24"/>
        </w:rPr>
        <w:t>arguendo</w:t>
      </w:r>
      <w:r>
        <w:rPr>
          <w:sz w:val="24"/>
        </w:rPr>
        <w:t>,</w:t>
      </w:r>
      <w:r>
        <w:rPr>
          <w:spacing w:val="-9"/>
          <w:sz w:val="24"/>
        </w:rPr>
        <w:t xml:space="preserve"> </w:t>
      </w:r>
      <w:r>
        <w:rPr>
          <w:sz w:val="24"/>
        </w:rPr>
        <w:t>the</w:t>
      </w:r>
      <w:r>
        <w:rPr>
          <w:spacing w:val="-11"/>
          <w:sz w:val="24"/>
        </w:rPr>
        <w:t xml:space="preserve"> </w:t>
      </w:r>
      <w:r>
        <w:rPr>
          <w:sz w:val="24"/>
        </w:rPr>
        <w:t>panel</w:t>
      </w:r>
      <w:r>
        <w:rPr>
          <w:spacing w:val="-9"/>
          <w:sz w:val="24"/>
        </w:rPr>
        <w:t xml:space="preserve"> </w:t>
      </w:r>
      <w:r>
        <w:rPr>
          <w:sz w:val="24"/>
        </w:rPr>
        <w:t>were</w:t>
      </w:r>
      <w:r>
        <w:rPr>
          <w:spacing w:val="-11"/>
          <w:sz w:val="24"/>
        </w:rPr>
        <w:t xml:space="preserve"> </w:t>
      </w:r>
      <w:r>
        <w:rPr>
          <w:sz w:val="24"/>
        </w:rPr>
        <w:t>to</w:t>
      </w:r>
      <w:r>
        <w:rPr>
          <w:spacing w:val="-13"/>
          <w:sz w:val="24"/>
        </w:rPr>
        <w:t xml:space="preserve"> </w:t>
      </w:r>
      <w:r>
        <w:rPr>
          <w:sz w:val="24"/>
        </w:rPr>
        <w:t>find</w:t>
      </w:r>
      <w:r>
        <w:rPr>
          <w:spacing w:val="-13"/>
          <w:sz w:val="24"/>
        </w:rPr>
        <w:t xml:space="preserve"> </w:t>
      </w:r>
      <w:r>
        <w:rPr>
          <w:sz w:val="24"/>
        </w:rPr>
        <w:t>that</w:t>
      </w:r>
      <w:r>
        <w:rPr>
          <w:spacing w:val="-6"/>
          <w:sz w:val="24"/>
        </w:rPr>
        <w:t xml:space="preserve"> </w:t>
      </w:r>
      <w:r>
        <w:rPr>
          <w:sz w:val="24"/>
        </w:rPr>
        <w:t>these</w:t>
      </w:r>
      <w:r>
        <w:rPr>
          <w:spacing w:val="-11"/>
          <w:sz w:val="24"/>
        </w:rPr>
        <w:t xml:space="preserve"> </w:t>
      </w:r>
      <w:r>
        <w:rPr>
          <w:sz w:val="24"/>
        </w:rPr>
        <w:t>average</w:t>
      </w:r>
      <w:r>
        <w:rPr>
          <w:spacing w:val="-11"/>
          <w:sz w:val="24"/>
        </w:rPr>
        <w:t xml:space="preserve"> </w:t>
      </w:r>
      <w:r>
        <w:rPr>
          <w:sz w:val="24"/>
        </w:rPr>
        <w:t>unit prices were consistent with Articles</w:t>
      </w:r>
      <w:r>
        <w:rPr>
          <w:spacing w:val="-1"/>
          <w:sz w:val="24"/>
        </w:rPr>
        <w:t xml:space="preserve"> </w:t>
      </w:r>
      <w:r>
        <w:rPr>
          <w:sz w:val="24"/>
        </w:rPr>
        <w:t>3.1 and 3.2, MOFCOM's examination and finding of price suppression on the basis of these values was inconsistent with Articles 3.1 and 3.2 because it failed to consider whether the subject imports had "explanatory force" for the alleged suppression of the</w:t>
      </w:r>
      <w:r>
        <w:rPr>
          <w:spacing w:val="-14"/>
          <w:sz w:val="24"/>
        </w:rPr>
        <w:t xml:space="preserve"> </w:t>
      </w:r>
      <w:r>
        <w:rPr>
          <w:sz w:val="24"/>
        </w:rPr>
        <w:t>prices</w:t>
      </w:r>
      <w:r>
        <w:rPr>
          <w:spacing w:val="-13"/>
          <w:sz w:val="24"/>
        </w:rPr>
        <w:t xml:space="preserve"> </w:t>
      </w:r>
      <w:r>
        <w:rPr>
          <w:sz w:val="24"/>
        </w:rPr>
        <w:t>of</w:t>
      </w:r>
      <w:r>
        <w:rPr>
          <w:spacing w:val="-13"/>
          <w:sz w:val="24"/>
        </w:rPr>
        <w:t xml:space="preserve"> </w:t>
      </w:r>
      <w:r>
        <w:rPr>
          <w:sz w:val="24"/>
        </w:rPr>
        <w:t>the</w:t>
      </w:r>
      <w:r>
        <w:rPr>
          <w:spacing w:val="-8"/>
          <w:sz w:val="24"/>
        </w:rPr>
        <w:t xml:space="preserve"> </w:t>
      </w:r>
      <w:r>
        <w:rPr>
          <w:sz w:val="24"/>
        </w:rPr>
        <w:t>domestic</w:t>
      </w:r>
      <w:r>
        <w:rPr>
          <w:spacing w:val="-14"/>
          <w:sz w:val="24"/>
        </w:rPr>
        <w:t xml:space="preserve"> </w:t>
      </w:r>
      <w:r>
        <w:rPr>
          <w:sz w:val="24"/>
        </w:rPr>
        <w:t>like</w:t>
      </w:r>
      <w:r>
        <w:rPr>
          <w:spacing w:val="-13"/>
          <w:sz w:val="24"/>
        </w:rPr>
        <w:t xml:space="preserve"> </w:t>
      </w:r>
      <w:r>
        <w:rPr>
          <w:sz w:val="24"/>
        </w:rPr>
        <w:t>products.</w:t>
      </w:r>
      <w:r>
        <w:rPr>
          <w:spacing w:val="-12"/>
          <w:sz w:val="24"/>
        </w:rPr>
        <w:t xml:space="preserve"> </w:t>
      </w:r>
      <w:r>
        <w:rPr>
          <w:sz w:val="24"/>
        </w:rPr>
        <w:t>In</w:t>
      </w:r>
      <w:r>
        <w:rPr>
          <w:spacing w:val="-14"/>
          <w:sz w:val="24"/>
        </w:rPr>
        <w:t xml:space="preserve"> </w:t>
      </w:r>
      <w:r>
        <w:rPr>
          <w:sz w:val="24"/>
        </w:rPr>
        <w:t>this</w:t>
      </w:r>
      <w:r>
        <w:rPr>
          <w:spacing w:val="-11"/>
          <w:sz w:val="24"/>
        </w:rPr>
        <w:t xml:space="preserve"> </w:t>
      </w:r>
      <w:r>
        <w:rPr>
          <w:sz w:val="24"/>
        </w:rPr>
        <w:t>respect,</w:t>
      </w:r>
      <w:r>
        <w:rPr>
          <w:spacing w:val="-11"/>
          <w:sz w:val="24"/>
        </w:rPr>
        <w:t xml:space="preserve"> </w:t>
      </w:r>
      <w:r>
        <w:rPr>
          <w:sz w:val="24"/>
        </w:rPr>
        <w:t>Australia</w:t>
      </w:r>
      <w:r>
        <w:rPr>
          <w:spacing w:val="-13"/>
          <w:sz w:val="24"/>
        </w:rPr>
        <w:t xml:space="preserve"> </w:t>
      </w:r>
      <w:r>
        <w:rPr>
          <w:sz w:val="24"/>
        </w:rPr>
        <w:t>argues</w:t>
      </w:r>
      <w:r>
        <w:rPr>
          <w:spacing w:val="-11"/>
          <w:sz w:val="24"/>
        </w:rPr>
        <w:t xml:space="preserve"> </w:t>
      </w:r>
      <w:r>
        <w:rPr>
          <w:sz w:val="24"/>
        </w:rPr>
        <w:t>that MOFCOM failed to:</w:t>
      </w:r>
    </w:p>
    <w:p w14:paraId="4EA5EE3B" w14:textId="77777777" w:rsidR="00BD462C" w:rsidRDefault="00033D0F">
      <w:pPr>
        <w:pStyle w:val="ListParagraph"/>
        <w:numPr>
          <w:ilvl w:val="1"/>
          <w:numId w:val="52"/>
        </w:numPr>
        <w:tabs>
          <w:tab w:val="left" w:pos="2689"/>
          <w:tab w:val="left" w:pos="2690"/>
        </w:tabs>
        <w:spacing w:line="362" w:lineRule="auto"/>
        <w:ind w:right="915"/>
        <w:rPr>
          <w:sz w:val="24"/>
        </w:rPr>
      </w:pPr>
      <w:r>
        <w:rPr>
          <w:sz w:val="24"/>
        </w:rPr>
        <w:t>examine the factors identified at paragraph</w:t>
      </w:r>
      <w:r>
        <w:rPr>
          <w:spacing w:val="-6"/>
          <w:sz w:val="24"/>
        </w:rPr>
        <w:t xml:space="preserve"> </w:t>
      </w:r>
      <w:r>
        <w:rPr>
          <w:sz w:val="24"/>
        </w:rPr>
        <w:t>602 of Australia's first written submission; and/or</w:t>
      </w:r>
    </w:p>
    <w:p w14:paraId="4EB11DAE" w14:textId="77777777" w:rsidR="00BD462C" w:rsidRDefault="00033D0F">
      <w:pPr>
        <w:pStyle w:val="ListParagraph"/>
        <w:numPr>
          <w:ilvl w:val="1"/>
          <w:numId w:val="52"/>
        </w:numPr>
        <w:tabs>
          <w:tab w:val="left" w:pos="2689"/>
          <w:tab w:val="left" w:pos="2690"/>
        </w:tabs>
        <w:spacing w:before="119" w:line="357" w:lineRule="auto"/>
        <w:ind w:right="924"/>
        <w:rPr>
          <w:sz w:val="24"/>
        </w:rPr>
      </w:pPr>
      <w:r>
        <w:rPr>
          <w:sz w:val="24"/>
        </w:rPr>
        <w:t>consider</w:t>
      </w:r>
      <w:r>
        <w:rPr>
          <w:spacing w:val="27"/>
          <w:sz w:val="24"/>
        </w:rPr>
        <w:t xml:space="preserve"> </w:t>
      </w:r>
      <w:r>
        <w:rPr>
          <w:sz w:val="24"/>
        </w:rPr>
        <w:t>the</w:t>
      </w:r>
      <w:r>
        <w:rPr>
          <w:spacing w:val="35"/>
          <w:sz w:val="24"/>
        </w:rPr>
        <w:t xml:space="preserve"> </w:t>
      </w:r>
      <w:r>
        <w:rPr>
          <w:sz w:val="24"/>
        </w:rPr>
        <w:t>specific</w:t>
      </w:r>
      <w:r>
        <w:rPr>
          <w:spacing w:val="29"/>
          <w:sz w:val="24"/>
        </w:rPr>
        <w:t xml:space="preserve"> </w:t>
      </w:r>
      <w:r>
        <w:rPr>
          <w:sz w:val="24"/>
        </w:rPr>
        <w:t>factors</w:t>
      </w:r>
      <w:r>
        <w:rPr>
          <w:spacing w:val="32"/>
          <w:sz w:val="24"/>
        </w:rPr>
        <w:t xml:space="preserve"> </w:t>
      </w:r>
      <w:r>
        <w:rPr>
          <w:sz w:val="24"/>
        </w:rPr>
        <w:t>set</w:t>
      </w:r>
      <w:r>
        <w:rPr>
          <w:spacing w:val="31"/>
          <w:sz w:val="24"/>
        </w:rPr>
        <w:t xml:space="preserve"> </w:t>
      </w:r>
      <w:r>
        <w:rPr>
          <w:sz w:val="24"/>
        </w:rPr>
        <w:t>out</w:t>
      </w:r>
      <w:r>
        <w:rPr>
          <w:spacing w:val="31"/>
          <w:sz w:val="24"/>
        </w:rPr>
        <w:t xml:space="preserve"> </w:t>
      </w:r>
      <w:r>
        <w:rPr>
          <w:sz w:val="24"/>
        </w:rPr>
        <w:t>at</w:t>
      </w:r>
      <w:r>
        <w:rPr>
          <w:spacing w:val="35"/>
          <w:sz w:val="24"/>
        </w:rPr>
        <w:t xml:space="preserve"> </w:t>
      </w:r>
      <w:r>
        <w:rPr>
          <w:sz w:val="24"/>
        </w:rPr>
        <w:t>paragraphs</w:t>
      </w:r>
      <w:r>
        <w:rPr>
          <w:spacing w:val="31"/>
          <w:sz w:val="24"/>
        </w:rPr>
        <w:t xml:space="preserve"> </w:t>
      </w:r>
      <w:r>
        <w:rPr>
          <w:sz w:val="24"/>
        </w:rPr>
        <w:t>603</w:t>
      </w:r>
      <w:r>
        <w:rPr>
          <w:spacing w:val="28"/>
          <w:sz w:val="24"/>
        </w:rPr>
        <w:t xml:space="preserve"> </w:t>
      </w:r>
      <w:r>
        <w:rPr>
          <w:sz w:val="24"/>
        </w:rPr>
        <w:t>–</w:t>
      </w:r>
      <w:r>
        <w:rPr>
          <w:spacing w:val="35"/>
          <w:sz w:val="24"/>
        </w:rPr>
        <w:t xml:space="preserve"> </w:t>
      </w:r>
      <w:r>
        <w:rPr>
          <w:sz w:val="24"/>
        </w:rPr>
        <w:t>612</w:t>
      </w:r>
      <w:r>
        <w:rPr>
          <w:spacing w:val="33"/>
          <w:sz w:val="24"/>
        </w:rPr>
        <w:t xml:space="preserve"> </w:t>
      </w:r>
      <w:r>
        <w:rPr>
          <w:sz w:val="24"/>
        </w:rPr>
        <w:t>of Australia's first written submission.</w:t>
      </w:r>
    </w:p>
    <w:p w14:paraId="7BCC8AA7" w14:textId="3409501D" w:rsidR="00BD462C" w:rsidRDefault="005B60EE">
      <w:pPr>
        <w:pStyle w:val="BodyText"/>
        <w:spacing w:before="130"/>
        <w:ind w:left="131"/>
      </w:pPr>
      <w:r>
        <w:rPr>
          <w:noProof/>
        </w:rPr>
        <w:t>482.</w:t>
      </w:r>
      <w:r w:rsidR="00033D0F">
        <w:rPr>
          <w:rFonts w:ascii="Times New Roman"/>
          <w:spacing w:val="80"/>
          <w:position w:val="1"/>
          <w:sz w:val="20"/>
        </w:rPr>
        <w:t xml:space="preserve">  </w:t>
      </w:r>
      <w:r w:rsidR="00033D0F">
        <w:rPr>
          <w:position w:val="1"/>
        </w:rPr>
        <w:t xml:space="preserve">Australia has established a </w:t>
      </w:r>
      <w:r w:rsidR="00033D0F">
        <w:rPr>
          <w:i/>
          <w:position w:val="1"/>
        </w:rPr>
        <w:t xml:space="preserve">prima facie </w:t>
      </w:r>
      <w:r w:rsidR="00033D0F">
        <w:rPr>
          <w:position w:val="1"/>
        </w:rPr>
        <w:t>case in relation to each of these arguments.</w:t>
      </w:r>
    </w:p>
    <w:p w14:paraId="70F01ED4" w14:textId="667BFA5F" w:rsidR="00BD462C" w:rsidRDefault="00752F01">
      <w:pPr>
        <w:pStyle w:val="BodyText"/>
        <w:rPr>
          <w:sz w:val="20"/>
        </w:rPr>
      </w:pPr>
      <w:r>
        <w:rPr>
          <w:noProof/>
        </w:rPr>
        <mc:AlternateContent>
          <mc:Choice Requires="wps">
            <w:drawing>
              <wp:anchor distT="0" distB="0" distL="0" distR="0" simplePos="0" relativeHeight="488274432" behindDoc="1" locked="0" layoutInCell="1" allowOverlap="1" wp14:anchorId="3978363F" wp14:editId="3D40FAC9">
                <wp:simplePos x="0" y="0"/>
                <wp:positionH relativeFrom="page">
                  <wp:posOffset>812800</wp:posOffset>
                </wp:positionH>
                <wp:positionV relativeFrom="paragraph">
                  <wp:posOffset>306705</wp:posOffset>
                </wp:positionV>
                <wp:extent cx="1828800" cy="8890"/>
                <wp:effectExtent l="0" t="0" r="0" b="0"/>
                <wp:wrapTopAndBottom/>
                <wp:docPr id="253" name="docshape4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EDEEE7" id="docshape414" o:spid="_x0000_s1026" alt="&quot;&quot;" style="position:absolute;margin-left:64pt;margin-top:24.15pt;width:2in;height:.7pt;z-index:-15042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" fillcolor="black" stroked="f">
                <w10:wrap type="topAndBottom" anchorx="page"/>
              </v:rect>
            </w:pict>
          </mc:Fallback>
        </mc:AlternateContent>
      </w:r>
    </w:p>
    <w:p w14:paraId="46DB9617" w14:textId="1320A58E" w:rsidR="00BD462C" w:rsidRDefault="00BD462C">
      <w:pPr>
        <w:pStyle w:val="BodyText"/>
        <w:spacing w:before="2"/>
        <w:rPr>
          <w:sz w:val="19"/>
        </w:rPr>
      </w:pPr>
    </w:p>
    <w:p w14:paraId="7119B98F" w14:textId="77777777" w:rsidR="00BD462C" w:rsidRDefault="00033D0F">
      <w:pPr>
        <w:spacing w:before="112"/>
        <w:ind w:left="135"/>
        <w:rPr>
          <w:sz w:val="18"/>
        </w:rPr>
      </w:pPr>
      <w:bookmarkStart w:id="958" w:name="_bookmark823"/>
      <w:bookmarkEnd w:id="958"/>
      <w:r>
        <w:rPr>
          <w:position w:val="5"/>
          <w:sz w:val="12"/>
        </w:rPr>
        <w:t>699</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paras.</w:t>
      </w:r>
      <w:r>
        <w:rPr>
          <w:spacing w:val="-5"/>
          <w:sz w:val="18"/>
        </w:rPr>
        <w:t xml:space="preserve"> </w:t>
      </w:r>
      <w:r>
        <w:rPr>
          <w:sz w:val="18"/>
        </w:rPr>
        <w:t>1316-</w:t>
      </w:r>
      <w:r>
        <w:rPr>
          <w:spacing w:val="-2"/>
          <w:sz w:val="18"/>
        </w:rPr>
        <w:t>1320.</w:t>
      </w:r>
    </w:p>
    <w:p w14:paraId="02F08E8D" w14:textId="77777777" w:rsidR="00BD462C" w:rsidRDefault="00BD462C">
      <w:pPr>
        <w:rPr>
          <w:sz w:val="18"/>
        </w:rPr>
        <w:sectPr w:rsidR="00BD462C">
          <w:pgSz w:w="11910" w:h="16840"/>
          <w:pgMar w:top="860" w:right="500" w:bottom="780" w:left="1280" w:header="566" w:footer="590" w:gutter="0"/>
          <w:cols w:space="720"/>
        </w:sectPr>
      </w:pPr>
    </w:p>
    <w:p w14:paraId="61996467"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54ADB190"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2681D29B"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5D79505C" w14:textId="77777777" w:rsidR="00BD462C" w:rsidRDefault="00033D0F">
      <w:pPr>
        <w:pStyle w:val="ListParagraph"/>
        <w:numPr>
          <w:ilvl w:val="0"/>
          <w:numId w:val="51"/>
        </w:numPr>
        <w:tabs>
          <w:tab w:val="left" w:pos="3539"/>
          <w:tab w:val="left" w:pos="3540"/>
        </w:tabs>
        <w:spacing w:before="102"/>
        <w:ind w:hanging="851"/>
        <w:rPr>
          <w:sz w:val="24"/>
        </w:rPr>
      </w:pPr>
      <w:bookmarkStart w:id="959" w:name="(a)_MOFCOM's_consideration_of_price_supp"/>
      <w:bookmarkStart w:id="960" w:name="_bookmark824"/>
      <w:bookmarkEnd w:id="959"/>
      <w:bookmarkEnd w:id="960"/>
      <w:r>
        <w:rPr>
          <w:sz w:val="24"/>
          <w:u w:val="single"/>
        </w:rPr>
        <w:t>MOFCOM's</w:t>
      </w:r>
      <w:r>
        <w:rPr>
          <w:spacing w:val="-3"/>
          <w:sz w:val="24"/>
          <w:u w:val="single"/>
        </w:rPr>
        <w:t xml:space="preserve"> </w:t>
      </w:r>
      <w:r>
        <w:rPr>
          <w:sz w:val="24"/>
          <w:u w:val="single"/>
        </w:rPr>
        <w:t>consideration</w:t>
      </w:r>
      <w:r>
        <w:rPr>
          <w:spacing w:val="-6"/>
          <w:sz w:val="24"/>
          <w:u w:val="single"/>
        </w:rPr>
        <w:t xml:space="preserve"> </w:t>
      </w:r>
      <w:r>
        <w:rPr>
          <w:sz w:val="24"/>
          <w:u w:val="single"/>
        </w:rPr>
        <w:t>of</w:t>
      </w:r>
      <w:r>
        <w:rPr>
          <w:spacing w:val="-6"/>
          <w:sz w:val="24"/>
          <w:u w:val="single"/>
        </w:rPr>
        <w:t xml:space="preserve"> </w:t>
      </w:r>
      <w:r>
        <w:rPr>
          <w:sz w:val="24"/>
          <w:u w:val="single"/>
        </w:rPr>
        <w:t>price</w:t>
      </w:r>
      <w:r>
        <w:rPr>
          <w:spacing w:val="-3"/>
          <w:sz w:val="24"/>
          <w:u w:val="single"/>
        </w:rPr>
        <w:t xml:space="preserve"> </w:t>
      </w:r>
      <w:r>
        <w:rPr>
          <w:spacing w:val="-2"/>
          <w:sz w:val="24"/>
          <w:u w:val="single"/>
        </w:rPr>
        <w:t>suppression</w:t>
      </w:r>
    </w:p>
    <w:p w14:paraId="120CC147" w14:textId="77777777" w:rsidR="00BD462C" w:rsidRDefault="00BD462C">
      <w:pPr>
        <w:pStyle w:val="BodyText"/>
        <w:spacing w:before="7"/>
        <w:rPr>
          <w:sz w:val="20"/>
        </w:rPr>
      </w:pPr>
    </w:p>
    <w:p w14:paraId="0E5F6AD5" w14:textId="7F5B2F1D" w:rsidR="00BD462C" w:rsidRDefault="005B60EE">
      <w:pPr>
        <w:pStyle w:val="BodyText"/>
        <w:spacing w:before="56" w:line="360" w:lineRule="auto"/>
        <w:ind w:left="135" w:right="917" w:hanging="5"/>
        <w:jc w:val="both"/>
      </w:pPr>
      <w:r>
        <w:rPr>
          <w:noProof/>
        </w:rPr>
        <w:t>483.</w:t>
      </w:r>
      <w:r w:rsidR="00033D0F">
        <w:rPr>
          <w:rFonts w:ascii="Times New Roman"/>
          <w:spacing w:val="40"/>
          <w:position w:val="1"/>
          <w:sz w:val="20"/>
        </w:rPr>
        <w:t xml:space="preserve"> </w:t>
      </w:r>
      <w:r w:rsidR="00033D0F">
        <w:rPr>
          <w:position w:val="1"/>
        </w:rPr>
        <w:t xml:space="preserve">China has now provided an extensive </w:t>
      </w:r>
      <w:r w:rsidR="00033D0F">
        <w:rPr>
          <w:i/>
          <w:position w:val="1"/>
        </w:rPr>
        <w:t xml:space="preserve">ex post facto </w:t>
      </w:r>
      <w:r w:rsidR="00033D0F">
        <w:rPr>
          <w:position w:val="1"/>
        </w:rPr>
        <w:t xml:space="preserve">explanation of the assessment </w:t>
      </w:r>
      <w:r w:rsidR="00033D0F">
        <w:t>MOFCOM allegedly carried out when assessing the explanatory force subject imports were said to have for the suppression of domestic prices.</w:t>
      </w:r>
      <w:hyperlink w:anchor="_bookmark825" w:history="1">
        <w:r w:rsidR="00033D0F">
          <w:rPr>
            <w:vertAlign w:val="superscript"/>
          </w:rPr>
          <w:t>700</w:t>
        </w:r>
      </w:hyperlink>
    </w:p>
    <w:p w14:paraId="7D921D08" w14:textId="77777777" w:rsidR="00BD462C" w:rsidRDefault="00BD462C">
      <w:pPr>
        <w:pStyle w:val="BodyText"/>
        <w:spacing w:before="6"/>
        <w:rPr>
          <w:sz w:val="8"/>
        </w:rPr>
      </w:pPr>
    </w:p>
    <w:p w14:paraId="6970A9D3" w14:textId="039504F8" w:rsidR="00BD462C" w:rsidRDefault="005B60EE">
      <w:pPr>
        <w:pStyle w:val="BodyText"/>
        <w:spacing w:before="56" w:line="360" w:lineRule="auto"/>
        <w:ind w:left="135" w:right="911" w:hanging="5"/>
        <w:jc w:val="both"/>
      </w:pPr>
      <w:r>
        <w:rPr>
          <w:noProof/>
        </w:rPr>
        <w:t>484.</w:t>
      </w:r>
      <w:r w:rsidR="00033D0F">
        <w:rPr>
          <w:rFonts w:ascii="Times New Roman"/>
          <w:spacing w:val="80"/>
          <w:w w:val="150"/>
          <w:position w:val="1"/>
          <w:sz w:val="20"/>
        </w:rPr>
        <w:t xml:space="preserve"> </w:t>
      </w:r>
      <w:r w:rsidR="00033D0F">
        <w:rPr>
          <w:position w:val="1"/>
        </w:rPr>
        <w:t>At the outset Australia notes that, aside from the quote at paragraph</w:t>
      </w:r>
      <w:r w:rsidR="00033D0F">
        <w:rPr>
          <w:spacing w:val="-4"/>
          <w:position w:val="1"/>
        </w:rPr>
        <w:t xml:space="preserve"> </w:t>
      </w:r>
      <w:r w:rsidR="00033D0F">
        <w:rPr>
          <w:position w:val="1"/>
        </w:rPr>
        <w:t xml:space="preserve">1343, none of </w:t>
      </w:r>
      <w:r w:rsidR="00033D0F">
        <w:t>the reasoning or explanations attributed to MOFCOM by China appear in the Final Determination or elsewhere on the investigation record.</w:t>
      </w:r>
      <w:hyperlink w:anchor="_bookmark826" w:history="1">
        <w:r w:rsidR="00033D0F">
          <w:rPr>
            <w:vertAlign w:val="superscript"/>
          </w:rPr>
          <w:t>701</w:t>
        </w:r>
      </w:hyperlink>
      <w:r w:rsidR="00033D0F">
        <w:t xml:space="preserve"> Australia asks the Panel to disregard this </w:t>
      </w:r>
      <w:r w:rsidR="00033D0F">
        <w:rPr>
          <w:i/>
        </w:rPr>
        <w:t xml:space="preserve">ex post facto </w:t>
      </w:r>
      <w:r w:rsidR="00033D0F">
        <w:t>justification. Australia also makes four additional points.</w:t>
      </w:r>
    </w:p>
    <w:p w14:paraId="222FEF7A" w14:textId="77777777" w:rsidR="00BD462C" w:rsidRDefault="00BD462C">
      <w:pPr>
        <w:pStyle w:val="BodyText"/>
        <w:spacing w:before="9"/>
        <w:rPr>
          <w:sz w:val="8"/>
        </w:rPr>
      </w:pPr>
    </w:p>
    <w:p w14:paraId="2402DD69" w14:textId="0ECC53B3" w:rsidR="00BD462C" w:rsidRDefault="006E6DEA">
      <w:pPr>
        <w:pStyle w:val="BodyText"/>
        <w:spacing w:before="56" w:line="360" w:lineRule="auto"/>
        <w:ind w:left="135" w:right="916" w:hanging="5"/>
        <w:jc w:val="both"/>
      </w:pPr>
      <w:r>
        <w:rPr>
          <w:noProof/>
        </w:rPr>
        <mc:AlternateContent>
          <mc:Choice Requires="wps">
            <w:drawing>
              <wp:anchor distT="0" distB="0" distL="0" distR="0" simplePos="0" relativeHeight="488153600" behindDoc="1" locked="0" layoutInCell="1" allowOverlap="1" wp14:anchorId="3D5A58CE" wp14:editId="201662BA">
                <wp:simplePos x="0" y="0"/>
                <wp:positionH relativeFrom="page">
                  <wp:posOffset>812800</wp:posOffset>
                </wp:positionH>
                <wp:positionV relativeFrom="paragraph">
                  <wp:posOffset>2720340</wp:posOffset>
                </wp:positionV>
                <wp:extent cx="1828800" cy="8890"/>
                <wp:effectExtent l="0" t="0" r="0" b="0"/>
                <wp:wrapTopAndBottom/>
                <wp:docPr id="127" name="docshape7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35D554" id="docshape705" o:spid="_x0000_s1026" alt="&quot;&quot;" style="position:absolute;margin-left:64pt;margin-top:214.2pt;width:2in;height:.7pt;z-index:-1516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" fillcolor="black" stroked="f">
                <w10:wrap type="topAndBottom" anchorx="page"/>
              </v:rect>
            </w:pict>
          </mc:Fallback>
        </mc:AlternateContent>
      </w:r>
      <w:r w:rsidR="005B60EE">
        <w:rPr>
          <w:noProof/>
        </w:rPr>
        <w:t>485.</w:t>
      </w:r>
      <w:r w:rsidR="00033D0F">
        <w:rPr>
          <w:rFonts w:ascii="Times New Roman"/>
          <w:spacing w:val="40"/>
          <w:position w:val="1"/>
          <w:sz w:val="20"/>
        </w:rPr>
        <w:t xml:space="preserve"> </w:t>
      </w:r>
      <w:r w:rsidR="00033D0F">
        <w:rPr>
          <w:position w:val="1"/>
        </w:rPr>
        <w:t xml:space="preserve">First, China now seeks to </w:t>
      </w:r>
      <w:proofErr w:type="spellStart"/>
      <w:r w:rsidR="00033D0F">
        <w:rPr>
          <w:position w:val="1"/>
        </w:rPr>
        <w:t>minimise</w:t>
      </w:r>
      <w:proofErr w:type="spellEnd"/>
      <w:r w:rsidR="00033D0F">
        <w:rPr>
          <w:position w:val="1"/>
        </w:rPr>
        <w:t xml:space="preserve"> the role that price played in MOFCOM's price </w:t>
      </w:r>
      <w:r w:rsidR="00033D0F">
        <w:t>suppression</w:t>
      </w:r>
      <w:r w:rsidR="00033D0F">
        <w:rPr>
          <w:spacing w:val="-10"/>
        </w:rPr>
        <w:t xml:space="preserve"> </w:t>
      </w:r>
      <w:r w:rsidR="00033D0F">
        <w:t>finding,</w:t>
      </w:r>
      <w:r w:rsidR="00033D0F">
        <w:rPr>
          <w:spacing w:val="-11"/>
        </w:rPr>
        <w:t xml:space="preserve"> </w:t>
      </w:r>
      <w:r w:rsidR="00033D0F">
        <w:t>saying</w:t>
      </w:r>
      <w:r w:rsidR="00033D0F">
        <w:rPr>
          <w:spacing w:val="-7"/>
        </w:rPr>
        <w:t xml:space="preserve"> </w:t>
      </w:r>
      <w:r w:rsidR="00033D0F">
        <w:t>that</w:t>
      </w:r>
      <w:r w:rsidR="00033D0F">
        <w:rPr>
          <w:spacing w:val="-8"/>
        </w:rPr>
        <w:t xml:space="preserve"> </w:t>
      </w:r>
      <w:r w:rsidR="00033D0F">
        <w:t>prices</w:t>
      </w:r>
      <w:r w:rsidR="00033D0F">
        <w:rPr>
          <w:spacing w:val="-11"/>
        </w:rPr>
        <w:t xml:space="preserve"> </w:t>
      </w:r>
      <w:r w:rsidR="00033D0F">
        <w:t>were</w:t>
      </w:r>
      <w:r w:rsidR="00033D0F">
        <w:rPr>
          <w:spacing w:val="-8"/>
        </w:rPr>
        <w:t xml:space="preserve"> </w:t>
      </w:r>
      <w:r w:rsidR="00033D0F">
        <w:t>only</w:t>
      </w:r>
      <w:r w:rsidR="00033D0F">
        <w:rPr>
          <w:spacing w:val="-7"/>
        </w:rPr>
        <w:t xml:space="preserve"> </w:t>
      </w:r>
      <w:r w:rsidR="00033D0F">
        <w:t>considered</w:t>
      </w:r>
      <w:r w:rsidR="00033D0F">
        <w:rPr>
          <w:spacing w:val="-10"/>
        </w:rPr>
        <w:t xml:space="preserve"> </w:t>
      </w:r>
      <w:r w:rsidR="00033D0F">
        <w:t>in</w:t>
      </w:r>
      <w:r w:rsidR="00033D0F">
        <w:rPr>
          <w:spacing w:val="-10"/>
        </w:rPr>
        <w:t xml:space="preserve"> </w:t>
      </w:r>
      <w:r w:rsidR="00033D0F">
        <w:t>the</w:t>
      </w:r>
      <w:r w:rsidR="00033D0F">
        <w:rPr>
          <w:spacing w:val="-8"/>
        </w:rPr>
        <w:t xml:space="preserve"> </w:t>
      </w:r>
      <w:r w:rsidR="00033D0F">
        <w:t>context</w:t>
      </w:r>
      <w:r w:rsidR="00033D0F">
        <w:rPr>
          <w:spacing w:val="-8"/>
        </w:rPr>
        <w:t xml:space="preserve"> </w:t>
      </w:r>
      <w:r w:rsidR="00033D0F">
        <w:t>of</w:t>
      </w:r>
      <w:r w:rsidR="00033D0F">
        <w:rPr>
          <w:spacing w:val="-10"/>
        </w:rPr>
        <w:t xml:space="preserve"> </w:t>
      </w:r>
      <w:r w:rsidR="00033D0F">
        <w:t>subject</w:t>
      </w:r>
      <w:r w:rsidR="00033D0F">
        <w:rPr>
          <w:spacing w:val="-8"/>
        </w:rPr>
        <w:t xml:space="preserve"> </w:t>
      </w:r>
      <w:r w:rsidR="00033D0F">
        <w:t>imports' volume and market share increases.</w:t>
      </w:r>
      <w:hyperlink w:anchor="_bookmark827" w:history="1">
        <w:r w:rsidR="00033D0F">
          <w:rPr>
            <w:vertAlign w:val="superscript"/>
          </w:rPr>
          <w:t>702</w:t>
        </w:r>
      </w:hyperlink>
      <w:r w:rsidR="00033D0F">
        <w:t xml:space="preserve"> This </w:t>
      </w:r>
      <w:proofErr w:type="spellStart"/>
      <w:r w:rsidR="00033D0F">
        <w:t>mischaracterises</w:t>
      </w:r>
      <w:proofErr w:type="spellEnd"/>
      <w:r w:rsidR="00033D0F">
        <w:t xml:space="preserve"> MOFCOM's price suppression finding. It is clear</w:t>
      </w:r>
      <w:r w:rsidR="00033D0F">
        <w:rPr>
          <w:spacing w:val="-1"/>
        </w:rPr>
        <w:t xml:space="preserve"> </w:t>
      </w:r>
      <w:r w:rsidR="00033D0F">
        <w:t>from the text of the Final</w:t>
      </w:r>
      <w:r w:rsidR="00033D0F">
        <w:rPr>
          <w:spacing w:val="-1"/>
        </w:rPr>
        <w:t xml:space="preserve"> </w:t>
      </w:r>
      <w:r w:rsidR="00033D0F">
        <w:t>Determination</w:t>
      </w:r>
      <w:r w:rsidR="00033D0F">
        <w:rPr>
          <w:spacing w:val="-1"/>
        </w:rPr>
        <w:t xml:space="preserve"> </w:t>
      </w:r>
      <w:r w:rsidR="00033D0F">
        <w:t xml:space="preserve">that the average unit prices of the subject imports were central to MOFCOM's examination of price effects and its finding that "during the period of injury investigation, the </w:t>
      </w:r>
      <w:r w:rsidR="00033D0F">
        <w:rPr>
          <w:u w:val="single"/>
        </w:rPr>
        <w:t>price</w:t>
      </w:r>
      <w:r w:rsidR="00033D0F">
        <w:t xml:space="preserve"> of the dumped imported product suppressed that of domestic like products".</w:t>
      </w:r>
      <w:hyperlink w:anchor="_bookmark828" w:history="1">
        <w:r w:rsidR="00033D0F">
          <w:rPr>
            <w:vertAlign w:val="superscript"/>
          </w:rPr>
          <w:t>703</w:t>
        </w:r>
      </w:hyperlink>
      <w:r w:rsidR="00033D0F">
        <w:t xml:space="preserve"> It is also clear from the text of the Final Determination and related documents that MOFCOM directly compared the average unit prices</w:t>
      </w:r>
      <w:r w:rsidR="00033D0F">
        <w:rPr>
          <w:spacing w:val="31"/>
        </w:rPr>
        <w:t xml:space="preserve"> </w:t>
      </w:r>
      <w:r w:rsidR="00033D0F">
        <w:t>of</w:t>
      </w:r>
      <w:r w:rsidR="00033D0F">
        <w:rPr>
          <w:spacing w:val="27"/>
        </w:rPr>
        <w:t xml:space="preserve"> </w:t>
      </w:r>
      <w:r w:rsidR="00033D0F">
        <w:t>subject</w:t>
      </w:r>
      <w:r w:rsidR="00033D0F">
        <w:rPr>
          <w:spacing w:val="30"/>
        </w:rPr>
        <w:t xml:space="preserve"> </w:t>
      </w:r>
      <w:r w:rsidR="00033D0F">
        <w:t>imports</w:t>
      </w:r>
      <w:r w:rsidR="00033D0F">
        <w:rPr>
          <w:spacing w:val="31"/>
        </w:rPr>
        <w:t xml:space="preserve"> </w:t>
      </w:r>
      <w:r w:rsidR="00033D0F">
        <w:t>and</w:t>
      </w:r>
      <w:r w:rsidR="00033D0F">
        <w:rPr>
          <w:spacing w:val="27"/>
        </w:rPr>
        <w:t xml:space="preserve"> </w:t>
      </w:r>
      <w:r w:rsidR="00033D0F">
        <w:t>domestic</w:t>
      </w:r>
      <w:r w:rsidR="00033D0F">
        <w:rPr>
          <w:spacing w:val="23"/>
        </w:rPr>
        <w:t xml:space="preserve"> </w:t>
      </w:r>
      <w:r w:rsidR="00033D0F">
        <w:t>like</w:t>
      </w:r>
      <w:r w:rsidR="00033D0F">
        <w:rPr>
          <w:spacing w:val="29"/>
        </w:rPr>
        <w:t xml:space="preserve"> </w:t>
      </w:r>
      <w:r w:rsidR="00033D0F">
        <w:t>products.</w:t>
      </w:r>
      <w:hyperlink w:anchor="_bookmark829" w:history="1">
        <w:r w:rsidR="00033D0F">
          <w:rPr>
            <w:vertAlign w:val="superscript"/>
          </w:rPr>
          <w:t>704</w:t>
        </w:r>
      </w:hyperlink>
      <w:r w:rsidR="00033D0F">
        <w:rPr>
          <w:spacing w:val="30"/>
        </w:rPr>
        <w:t xml:space="preserve"> </w:t>
      </w:r>
      <w:r w:rsidR="00033D0F">
        <w:t>MOFCOM's</w:t>
      </w:r>
      <w:r w:rsidR="00033D0F">
        <w:rPr>
          <w:spacing w:val="31"/>
        </w:rPr>
        <w:t xml:space="preserve"> </w:t>
      </w:r>
      <w:r w:rsidR="00033D0F">
        <w:t>suppression</w:t>
      </w:r>
      <w:r w:rsidR="00033D0F">
        <w:rPr>
          <w:spacing w:val="27"/>
        </w:rPr>
        <w:t xml:space="preserve"> </w:t>
      </w:r>
      <w:r w:rsidR="00033D0F">
        <w:t>finding</w:t>
      </w:r>
      <w:r w:rsidR="00033D0F">
        <w:rPr>
          <w:spacing w:val="30"/>
        </w:rPr>
        <w:t xml:space="preserve"> </w:t>
      </w:r>
      <w:r w:rsidR="00033D0F">
        <w:t>is</w:t>
      </w:r>
    </w:p>
    <w:p w14:paraId="1CF4C091" w14:textId="0FCAF94F" w:rsidR="00BD462C" w:rsidRDefault="00BD462C">
      <w:pPr>
        <w:pStyle w:val="BodyText"/>
        <w:spacing w:before="11"/>
        <w:rPr>
          <w:sz w:val="21"/>
        </w:rPr>
      </w:pPr>
    </w:p>
    <w:p w14:paraId="748C2FB9" w14:textId="77777777" w:rsidR="00BD462C" w:rsidRDefault="00033D0F">
      <w:pPr>
        <w:spacing w:before="107"/>
        <w:ind w:left="135"/>
        <w:jc w:val="both"/>
        <w:rPr>
          <w:sz w:val="18"/>
        </w:rPr>
      </w:pPr>
      <w:bookmarkStart w:id="961" w:name="_bookmark825"/>
      <w:bookmarkEnd w:id="961"/>
      <w:r>
        <w:rPr>
          <w:position w:val="5"/>
          <w:sz w:val="12"/>
        </w:rPr>
        <w:t>700</w:t>
      </w:r>
      <w:r>
        <w:rPr>
          <w:spacing w:val="12"/>
          <w:position w:val="5"/>
          <w:sz w:val="12"/>
        </w:rPr>
        <w:t xml:space="preserve"> </w:t>
      </w:r>
      <w:r>
        <w:rPr>
          <w:sz w:val="18"/>
        </w:rPr>
        <w:t>China's</w:t>
      </w:r>
      <w:r>
        <w:rPr>
          <w:spacing w:val="-6"/>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 paras.</w:t>
      </w:r>
      <w:r>
        <w:rPr>
          <w:spacing w:val="-5"/>
          <w:sz w:val="18"/>
        </w:rPr>
        <w:t xml:space="preserve"> </w:t>
      </w:r>
      <w:r>
        <w:rPr>
          <w:sz w:val="18"/>
        </w:rPr>
        <w:t>1321-</w:t>
      </w:r>
      <w:r>
        <w:rPr>
          <w:spacing w:val="-2"/>
          <w:sz w:val="18"/>
        </w:rPr>
        <w:t>1344.</w:t>
      </w:r>
    </w:p>
    <w:p w14:paraId="410FBD20" w14:textId="77777777" w:rsidR="00BD462C" w:rsidRDefault="00033D0F">
      <w:pPr>
        <w:spacing w:before="1"/>
        <w:ind w:left="136" w:right="910" w:hanging="1"/>
        <w:jc w:val="both"/>
        <w:rPr>
          <w:sz w:val="18"/>
        </w:rPr>
      </w:pPr>
      <w:bookmarkStart w:id="962" w:name="_bookmark826"/>
      <w:bookmarkEnd w:id="962"/>
      <w:r>
        <w:rPr>
          <w:position w:val="5"/>
          <w:sz w:val="12"/>
        </w:rPr>
        <w:t>701</w:t>
      </w:r>
      <w:r>
        <w:rPr>
          <w:spacing w:val="17"/>
          <w:position w:val="5"/>
          <w:sz w:val="12"/>
        </w:rPr>
        <w:t xml:space="preserve"> </w:t>
      </w:r>
      <w:r>
        <w:rPr>
          <w:sz w:val="18"/>
        </w:rPr>
        <w:t>This is evidenced by China's failure to provide references to</w:t>
      </w:r>
      <w:r>
        <w:rPr>
          <w:spacing w:val="-3"/>
          <w:sz w:val="18"/>
        </w:rPr>
        <w:t xml:space="preserve"> </w:t>
      </w:r>
      <w:r>
        <w:rPr>
          <w:sz w:val="18"/>
        </w:rPr>
        <w:t>the</w:t>
      </w:r>
      <w:r>
        <w:rPr>
          <w:spacing w:val="-2"/>
          <w:sz w:val="18"/>
        </w:rPr>
        <w:t xml:space="preserve"> </w:t>
      </w:r>
      <w:r>
        <w:rPr>
          <w:sz w:val="18"/>
        </w:rPr>
        <w:t>investigation record evidencing</w:t>
      </w:r>
      <w:r>
        <w:rPr>
          <w:spacing w:val="-2"/>
          <w:sz w:val="18"/>
        </w:rPr>
        <w:t xml:space="preserve"> </w:t>
      </w:r>
      <w:r>
        <w:rPr>
          <w:sz w:val="18"/>
        </w:rPr>
        <w:t>MOFCOM's reasoning or consideration of factors described in the following paragraphs of this section of China's first written submission:1323 (final sentence); MOFCOM consideration of the factors described in 1326; 1327 (final sentence); 1328 (first, third, fourth, sentences)</w:t>
      </w:r>
      <w:r>
        <w:rPr>
          <w:spacing w:val="-1"/>
          <w:sz w:val="18"/>
        </w:rPr>
        <w:t xml:space="preserve"> </w:t>
      </w:r>
      <w:r>
        <w:rPr>
          <w:sz w:val="18"/>
        </w:rPr>
        <w:t>1329</w:t>
      </w:r>
      <w:r>
        <w:rPr>
          <w:spacing w:val="-10"/>
          <w:sz w:val="18"/>
        </w:rPr>
        <w:t xml:space="preserve"> </w:t>
      </w:r>
      <w:r>
        <w:rPr>
          <w:sz w:val="18"/>
        </w:rPr>
        <w:t>(whole</w:t>
      </w:r>
      <w:r>
        <w:rPr>
          <w:spacing w:val="-3"/>
          <w:sz w:val="18"/>
        </w:rPr>
        <w:t xml:space="preserve"> </w:t>
      </w:r>
      <w:r>
        <w:rPr>
          <w:sz w:val="18"/>
        </w:rPr>
        <w:t>paragraph);</w:t>
      </w:r>
      <w:r>
        <w:rPr>
          <w:spacing w:val="-5"/>
          <w:sz w:val="18"/>
        </w:rPr>
        <w:t xml:space="preserve"> </w:t>
      </w:r>
      <w:r>
        <w:rPr>
          <w:sz w:val="18"/>
        </w:rPr>
        <w:t>1330</w:t>
      </w:r>
      <w:r>
        <w:rPr>
          <w:spacing w:val="-10"/>
          <w:sz w:val="18"/>
        </w:rPr>
        <w:t xml:space="preserve"> </w:t>
      </w:r>
      <w:r>
        <w:rPr>
          <w:sz w:val="18"/>
        </w:rPr>
        <w:t>(second,</w:t>
      </w:r>
      <w:r>
        <w:rPr>
          <w:spacing w:val="-6"/>
          <w:sz w:val="18"/>
        </w:rPr>
        <w:t xml:space="preserve"> </w:t>
      </w:r>
      <w:r>
        <w:rPr>
          <w:sz w:val="18"/>
        </w:rPr>
        <w:t>third</w:t>
      </w:r>
      <w:r>
        <w:rPr>
          <w:spacing w:val="-4"/>
          <w:sz w:val="18"/>
        </w:rPr>
        <w:t xml:space="preserve"> </w:t>
      </w:r>
      <w:r>
        <w:rPr>
          <w:sz w:val="18"/>
        </w:rPr>
        <w:t>sentences);</w:t>
      </w:r>
      <w:r>
        <w:rPr>
          <w:spacing w:val="-5"/>
          <w:sz w:val="18"/>
        </w:rPr>
        <w:t xml:space="preserve"> </w:t>
      </w:r>
      <w:r>
        <w:rPr>
          <w:sz w:val="18"/>
        </w:rPr>
        <w:t>1334</w:t>
      </w:r>
      <w:r>
        <w:rPr>
          <w:spacing w:val="-10"/>
          <w:sz w:val="18"/>
        </w:rPr>
        <w:t xml:space="preserve"> </w:t>
      </w:r>
      <w:r>
        <w:rPr>
          <w:sz w:val="18"/>
        </w:rPr>
        <w:t>(first,</w:t>
      </w:r>
      <w:r>
        <w:rPr>
          <w:spacing w:val="-6"/>
          <w:sz w:val="18"/>
        </w:rPr>
        <w:t xml:space="preserve"> </w:t>
      </w:r>
      <w:r>
        <w:rPr>
          <w:sz w:val="18"/>
        </w:rPr>
        <w:t>second,</w:t>
      </w:r>
      <w:r>
        <w:rPr>
          <w:spacing w:val="-6"/>
          <w:sz w:val="18"/>
        </w:rPr>
        <w:t xml:space="preserve"> </w:t>
      </w:r>
      <w:r>
        <w:rPr>
          <w:sz w:val="18"/>
        </w:rPr>
        <w:t>fourth,</w:t>
      </w:r>
      <w:r>
        <w:rPr>
          <w:spacing w:val="-6"/>
          <w:sz w:val="18"/>
        </w:rPr>
        <w:t xml:space="preserve"> </w:t>
      </w:r>
      <w:r>
        <w:rPr>
          <w:sz w:val="18"/>
        </w:rPr>
        <w:t>fifth</w:t>
      </w:r>
      <w:r>
        <w:rPr>
          <w:spacing w:val="-8"/>
          <w:sz w:val="18"/>
        </w:rPr>
        <w:t xml:space="preserve"> </w:t>
      </w:r>
      <w:r>
        <w:rPr>
          <w:sz w:val="18"/>
        </w:rPr>
        <w:t>sentences);</w:t>
      </w:r>
      <w:r>
        <w:rPr>
          <w:spacing w:val="-9"/>
          <w:sz w:val="18"/>
        </w:rPr>
        <w:t xml:space="preserve"> </w:t>
      </w:r>
      <w:r>
        <w:rPr>
          <w:sz w:val="18"/>
        </w:rPr>
        <w:t>1335</w:t>
      </w:r>
      <w:r>
        <w:rPr>
          <w:spacing w:val="-10"/>
          <w:sz w:val="18"/>
        </w:rPr>
        <w:t xml:space="preserve"> </w:t>
      </w:r>
      <w:r>
        <w:rPr>
          <w:sz w:val="18"/>
        </w:rPr>
        <w:t>(whole paragraph); 1336 (first sentence from "at a minimum"); 1337 (whole); 1338 (whole paragraph and rows 5 and 6 of table); 1339 (whole); 1340 (whole); and 1342 (whole).</w:t>
      </w:r>
    </w:p>
    <w:p w14:paraId="13D74447" w14:textId="77777777" w:rsidR="00BD462C" w:rsidRDefault="00033D0F">
      <w:pPr>
        <w:spacing w:before="1"/>
        <w:ind w:left="135"/>
        <w:jc w:val="both"/>
        <w:rPr>
          <w:sz w:val="18"/>
        </w:rPr>
      </w:pPr>
      <w:bookmarkStart w:id="963" w:name="_bookmark827"/>
      <w:bookmarkEnd w:id="963"/>
      <w:r>
        <w:rPr>
          <w:position w:val="5"/>
          <w:sz w:val="12"/>
        </w:rPr>
        <w:t>702</w:t>
      </w:r>
      <w:r>
        <w:rPr>
          <w:spacing w:val="13"/>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 xml:space="preserve">para. </w:t>
      </w:r>
      <w:r>
        <w:rPr>
          <w:spacing w:val="-2"/>
          <w:sz w:val="18"/>
        </w:rPr>
        <w:t>1326.</w:t>
      </w:r>
    </w:p>
    <w:p w14:paraId="44630E7E" w14:textId="77777777" w:rsidR="00BD462C" w:rsidRDefault="00033D0F">
      <w:pPr>
        <w:spacing w:before="2"/>
        <w:ind w:left="135" w:right="911"/>
        <w:jc w:val="both"/>
        <w:rPr>
          <w:sz w:val="18"/>
        </w:rPr>
      </w:pPr>
      <w:bookmarkStart w:id="964" w:name="_bookmark828"/>
      <w:bookmarkEnd w:id="964"/>
      <w:r>
        <w:rPr>
          <w:position w:val="5"/>
          <w:sz w:val="12"/>
        </w:rPr>
        <w:t>703</w:t>
      </w:r>
      <w:r>
        <w:rPr>
          <w:spacing w:val="40"/>
          <w:position w:val="5"/>
          <w:sz w:val="12"/>
        </w:rPr>
        <w:t xml:space="preserve"> </w:t>
      </w:r>
      <w:r>
        <w:rPr>
          <w:sz w:val="18"/>
        </w:rPr>
        <w:t>Anti-Dumping Final Determination (Exhibit CHN-1), p. 59, see also pp. 59 ("the price effect of the dumped imported product</w:t>
      </w:r>
      <w:r>
        <w:rPr>
          <w:spacing w:val="-11"/>
          <w:sz w:val="18"/>
        </w:rPr>
        <w:t xml:space="preserve"> </w:t>
      </w:r>
      <w:r>
        <w:rPr>
          <w:sz w:val="18"/>
        </w:rPr>
        <w:t>on</w:t>
      </w:r>
      <w:r>
        <w:rPr>
          <w:spacing w:val="-10"/>
          <w:sz w:val="18"/>
        </w:rPr>
        <w:t xml:space="preserve"> </w:t>
      </w:r>
      <w:r>
        <w:rPr>
          <w:sz w:val="18"/>
        </w:rPr>
        <w:t>the</w:t>
      </w:r>
      <w:r>
        <w:rPr>
          <w:spacing w:val="-10"/>
          <w:sz w:val="18"/>
        </w:rPr>
        <w:t xml:space="preserve"> </w:t>
      </w:r>
      <w:r>
        <w:rPr>
          <w:sz w:val="18"/>
        </w:rPr>
        <w:t>price</w:t>
      </w:r>
      <w:r>
        <w:rPr>
          <w:spacing w:val="-10"/>
          <w:sz w:val="18"/>
        </w:rPr>
        <w:t xml:space="preserve"> </w:t>
      </w:r>
      <w:r>
        <w:rPr>
          <w:sz w:val="18"/>
        </w:rPr>
        <w:t>of</w:t>
      </w:r>
      <w:r>
        <w:rPr>
          <w:spacing w:val="-10"/>
          <w:sz w:val="18"/>
        </w:rPr>
        <w:t xml:space="preserve"> </w:t>
      </w:r>
      <w:r>
        <w:rPr>
          <w:sz w:val="18"/>
        </w:rPr>
        <w:t>domestic</w:t>
      </w:r>
      <w:r>
        <w:rPr>
          <w:spacing w:val="-11"/>
          <w:sz w:val="18"/>
        </w:rPr>
        <w:t xml:space="preserve"> </w:t>
      </w:r>
      <w:r>
        <w:rPr>
          <w:sz w:val="18"/>
        </w:rPr>
        <w:t>like</w:t>
      </w:r>
      <w:r>
        <w:rPr>
          <w:spacing w:val="-10"/>
          <w:sz w:val="18"/>
        </w:rPr>
        <w:t xml:space="preserve"> </w:t>
      </w:r>
      <w:r>
        <w:rPr>
          <w:sz w:val="18"/>
        </w:rPr>
        <w:t>products</w:t>
      </w:r>
      <w:r>
        <w:rPr>
          <w:spacing w:val="-10"/>
          <w:sz w:val="18"/>
        </w:rPr>
        <w:t xml:space="preserve"> </w:t>
      </w:r>
      <w:r>
        <w:rPr>
          <w:sz w:val="18"/>
        </w:rPr>
        <w:t>included</w:t>
      </w:r>
      <w:r>
        <w:rPr>
          <w:spacing w:val="-10"/>
          <w:sz w:val="18"/>
        </w:rPr>
        <w:t xml:space="preserve"> </w:t>
      </w:r>
      <w:r>
        <w:rPr>
          <w:sz w:val="18"/>
        </w:rPr>
        <w:t>the</w:t>
      </w:r>
      <w:r>
        <w:rPr>
          <w:spacing w:val="-10"/>
          <w:sz w:val="18"/>
        </w:rPr>
        <w:t xml:space="preserve"> </w:t>
      </w:r>
      <w:r>
        <w:rPr>
          <w:sz w:val="18"/>
        </w:rPr>
        <w:t>impact</w:t>
      </w:r>
      <w:r>
        <w:rPr>
          <w:spacing w:val="-10"/>
          <w:sz w:val="18"/>
        </w:rPr>
        <w:t xml:space="preserve"> </w:t>
      </w:r>
      <w:r>
        <w:rPr>
          <w:sz w:val="18"/>
        </w:rPr>
        <w:t>of</w:t>
      </w:r>
      <w:r>
        <w:rPr>
          <w:spacing w:val="-11"/>
          <w:sz w:val="18"/>
        </w:rPr>
        <w:t xml:space="preserve"> </w:t>
      </w:r>
      <w:r>
        <w:rPr>
          <w:sz w:val="18"/>
        </w:rPr>
        <w:t>the</w:t>
      </w:r>
      <w:r>
        <w:rPr>
          <w:spacing w:val="-10"/>
          <w:sz w:val="18"/>
        </w:rPr>
        <w:t xml:space="preserve"> </w:t>
      </w:r>
      <w:r>
        <w:rPr>
          <w:sz w:val="18"/>
        </w:rPr>
        <w:t>increased</w:t>
      </w:r>
      <w:r>
        <w:rPr>
          <w:spacing w:val="-10"/>
          <w:sz w:val="18"/>
        </w:rPr>
        <w:t xml:space="preserve"> </w:t>
      </w:r>
      <w:r>
        <w:rPr>
          <w:sz w:val="18"/>
        </w:rPr>
        <w:t>volume</w:t>
      </w:r>
      <w:r>
        <w:rPr>
          <w:spacing w:val="-10"/>
          <w:sz w:val="18"/>
        </w:rPr>
        <w:t xml:space="preserve"> </w:t>
      </w:r>
      <w:r>
        <w:rPr>
          <w:sz w:val="18"/>
        </w:rPr>
        <w:t>and</w:t>
      </w:r>
      <w:r>
        <w:rPr>
          <w:spacing w:val="-10"/>
          <w:sz w:val="18"/>
        </w:rPr>
        <w:t xml:space="preserve"> </w:t>
      </w:r>
      <w:r>
        <w:rPr>
          <w:sz w:val="18"/>
          <w:u w:val="single"/>
        </w:rPr>
        <w:t>price</w:t>
      </w:r>
      <w:r>
        <w:rPr>
          <w:spacing w:val="-10"/>
          <w:sz w:val="18"/>
          <w:u w:val="single"/>
        </w:rPr>
        <w:t xml:space="preserve"> </w:t>
      </w:r>
      <w:r>
        <w:rPr>
          <w:sz w:val="18"/>
          <w:u w:val="single"/>
        </w:rPr>
        <w:t>of</w:t>
      </w:r>
      <w:r>
        <w:rPr>
          <w:spacing w:val="-11"/>
          <w:sz w:val="18"/>
          <w:u w:val="single"/>
        </w:rPr>
        <w:t xml:space="preserve"> </w:t>
      </w:r>
      <w:r>
        <w:rPr>
          <w:sz w:val="18"/>
          <w:u w:val="single"/>
        </w:rPr>
        <w:t>the</w:t>
      </w:r>
      <w:r>
        <w:rPr>
          <w:spacing w:val="-10"/>
          <w:sz w:val="18"/>
          <w:u w:val="single"/>
        </w:rPr>
        <w:t xml:space="preserve"> </w:t>
      </w:r>
      <w:r>
        <w:rPr>
          <w:sz w:val="18"/>
          <w:u w:val="single"/>
        </w:rPr>
        <w:t>dumped</w:t>
      </w:r>
      <w:r>
        <w:rPr>
          <w:spacing w:val="-10"/>
          <w:sz w:val="18"/>
          <w:u w:val="single"/>
        </w:rPr>
        <w:t xml:space="preserve"> </w:t>
      </w:r>
      <w:r>
        <w:rPr>
          <w:sz w:val="18"/>
          <w:u w:val="single"/>
        </w:rPr>
        <w:t>imported</w:t>
      </w:r>
      <w:r>
        <w:rPr>
          <w:sz w:val="18"/>
        </w:rPr>
        <w:t xml:space="preserve"> </w:t>
      </w:r>
      <w:r>
        <w:rPr>
          <w:sz w:val="18"/>
          <w:u w:val="single"/>
        </w:rPr>
        <w:t>product</w:t>
      </w:r>
      <w:r>
        <w:rPr>
          <w:spacing w:val="-2"/>
          <w:sz w:val="18"/>
        </w:rPr>
        <w:t xml:space="preserve"> </w:t>
      </w:r>
      <w:r>
        <w:rPr>
          <w:sz w:val="18"/>
        </w:rPr>
        <w:t>on</w:t>
      </w:r>
      <w:r>
        <w:rPr>
          <w:spacing w:val="-4"/>
          <w:sz w:val="18"/>
        </w:rPr>
        <w:t xml:space="preserve"> </w:t>
      </w:r>
      <w:r>
        <w:rPr>
          <w:sz w:val="18"/>
        </w:rPr>
        <w:t>the</w:t>
      </w:r>
      <w:r>
        <w:rPr>
          <w:spacing w:val="-3"/>
          <w:sz w:val="18"/>
        </w:rPr>
        <w:t xml:space="preserve"> </w:t>
      </w:r>
      <w:r>
        <w:rPr>
          <w:sz w:val="18"/>
        </w:rPr>
        <w:t>price</w:t>
      </w:r>
      <w:r>
        <w:rPr>
          <w:spacing w:val="-3"/>
          <w:sz w:val="18"/>
        </w:rPr>
        <w:t xml:space="preserve"> </w:t>
      </w:r>
      <w:r>
        <w:rPr>
          <w:sz w:val="18"/>
        </w:rPr>
        <w:t>of</w:t>
      </w:r>
      <w:r>
        <w:rPr>
          <w:spacing w:val="-2"/>
          <w:sz w:val="18"/>
        </w:rPr>
        <w:t xml:space="preserve"> </w:t>
      </w:r>
      <w:r>
        <w:rPr>
          <w:sz w:val="18"/>
        </w:rPr>
        <w:t>domestic</w:t>
      </w:r>
      <w:r>
        <w:rPr>
          <w:spacing w:val="-4"/>
          <w:sz w:val="18"/>
        </w:rPr>
        <w:t xml:space="preserve"> </w:t>
      </w:r>
      <w:r>
        <w:rPr>
          <w:sz w:val="18"/>
        </w:rPr>
        <w:t>like</w:t>
      </w:r>
      <w:r>
        <w:rPr>
          <w:spacing w:val="-3"/>
          <w:sz w:val="18"/>
        </w:rPr>
        <w:t xml:space="preserve"> </w:t>
      </w:r>
      <w:r>
        <w:rPr>
          <w:sz w:val="18"/>
        </w:rPr>
        <w:t>products";</w:t>
      </w:r>
      <w:r>
        <w:rPr>
          <w:spacing w:val="-5"/>
          <w:sz w:val="18"/>
        </w:rPr>
        <w:t xml:space="preserve"> </w:t>
      </w:r>
      <w:r>
        <w:rPr>
          <w:sz w:val="18"/>
        </w:rPr>
        <w:t>"the</w:t>
      </w:r>
      <w:r>
        <w:rPr>
          <w:spacing w:val="-3"/>
          <w:sz w:val="18"/>
        </w:rPr>
        <w:t xml:space="preserve"> </w:t>
      </w:r>
      <w:r>
        <w:rPr>
          <w:sz w:val="18"/>
        </w:rPr>
        <w:t>volume</w:t>
      </w:r>
      <w:r>
        <w:rPr>
          <w:spacing w:val="-3"/>
          <w:sz w:val="18"/>
        </w:rPr>
        <w:t xml:space="preserve"> </w:t>
      </w:r>
      <w:r>
        <w:rPr>
          <w:sz w:val="18"/>
        </w:rPr>
        <w:t>of</w:t>
      </w:r>
      <w:r>
        <w:rPr>
          <w:spacing w:val="-2"/>
          <w:sz w:val="18"/>
        </w:rPr>
        <w:t xml:space="preserve"> </w:t>
      </w:r>
      <w:r>
        <w:rPr>
          <w:sz w:val="18"/>
        </w:rPr>
        <w:t>the dumped</w:t>
      </w:r>
      <w:r>
        <w:rPr>
          <w:spacing w:val="-4"/>
          <w:sz w:val="18"/>
        </w:rPr>
        <w:t xml:space="preserve"> </w:t>
      </w:r>
      <w:r>
        <w:rPr>
          <w:sz w:val="18"/>
        </w:rPr>
        <w:t>imported</w:t>
      </w:r>
      <w:r>
        <w:rPr>
          <w:spacing w:val="-4"/>
          <w:sz w:val="18"/>
        </w:rPr>
        <w:t xml:space="preserve"> </w:t>
      </w:r>
      <w:r>
        <w:rPr>
          <w:sz w:val="18"/>
        </w:rPr>
        <w:t>products</w:t>
      </w:r>
      <w:r>
        <w:rPr>
          <w:spacing w:val="-3"/>
          <w:sz w:val="18"/>
        </w:rPr>
        <w:t xml:space="preserve"> </w:t>
      </w:r>
      <w:r>
        <w:rPr>
          <w:sz w:val="18"/>
        </w:rPr>
        <w:t>accumulatively</w:t>
      </w:r>
      <w:r>
        <w:rPr>
          <w:spacing w:val="-5"/>
          <w:sz w:val="18"/>
        </w:rPr>
        <w:t xml:space="preserve"> </w:t>
      </w:r>
      <w:r>
        <w:rPr>
          <w:sz w:val="18"/>
        </w:rPr>
        <w:t>increased</w:t>
      </w:r>
      <w:r>
        <w:rPr>
          <w:spacing w:val="-4"/>
          <w:sz w:val="18"/>
        </w:rPr>
        <w:t xml:space="preserve"> </w:t>
      </w:r>
      <w:r>
        <w:rPr>
          <w:sz w:val="18"/>
        </w:rPr>
        <w:t xml:space="preserve">by 113.05% and the </w:t>
      </w:r>
      <w:r>
        <w:rPr>
          <w:sz w:val="18"/>
          <w:u w:val="single"/>
        </w:rPr>
        <w:t>price dropped by 15.91%</w:t>
      </w:r>
      <w:r>
        <w:rPr>
          <w:sz w:val="18"/>
        </w:rPr>
        <w:t xml:space="preserve">, directly suppressed the price increase of the domestic like products"); 64 ("The evidence showed that from 2015 to 2019, the volume of the dumped imports from Australia continued to increase significantly, </w:t>
      </w:r>
      <w:r>
        <w:rPr>
          <w:sz w:val="18"/>
          <w:u w:val="single"/>
        </w:rPr>
        <w:t>the price of the dumped imports suppressed the prices of the domestic like products</w:t>
      </w:r>
      <w:r>
        <w:rPr>
          <w:sz w:val="18"/>
        </w:rPr>
        <w:t>, and the production and operation</w:t>
      </w:r>
      <w:r>
        <w:rPr>
          <w:spacing w:val="-3"/>
          <w:sz w:val="18"/>
        </w:rPr>
        <w:t xml:space="preserve"> </w:t>
      </w:r>
      <w:r>
        <w:rPr>
          <w:sz w:val="18"/>
        </w:rPr>
        <w:t>of</w:t>
      </w:r>
      <w:r>
        <w:rPr>
          <w:spacing w:val="-1"/>
          <w:sz w:val="18"/>
        </w:rPr>
        <w:t xml:space="preserve"> </w:t>
      </w:r>
      <w:r>
        <w:rPr>
          <w:sz w:val="18"/>
        </w:rPr>
        <w:t>the</w:t>
      </w:r>
      <w:r>
        <w:rPr>
          <w:spacing w:val="-2"/>
          <w:sz w:val="18"/>
        </w:rPr>
        <w:t xml:space="preserve"> </w:t>
      </w:r>
      <w:r>
        <w:rPr>
          <w:sz w:val="18"/>
        </w:rPr>
        <w:t>domestic like</w:t>
      </w:r>
      <w:r>
        <w:rPr>
          <w:spacing w:val="-2"/>
          <w:sz w:val="18"/>
        </w:rPr>
        <w:t xml:space="preserve"> </w:t>
      </w:r>
      <w:r>
        <w:rPr>
          <w:sz w:val="18"/>
        </w:rPr>
        <w:t>products of</w:t>
      </w:r>
      <w:r>
        <w:rPr>
          <w:spacing w:val="-1"/>
          <w:sz w:val="18"/>
        </w:rPr>
        <w:t xml:space="preserve"> </w:t>
      </w:r>
      <w:r>
        <w:rPr>
          <w:sz w:val="18"/>
        </w:rPr>
        <w:t>the</w:t>
      </w:r>
      <w:r>
        <w:rPr>
          <w:spacing w:val="-2"/>
          <w:sz w:val="18"/>
        </w:rPr>
        <w:t xml:space="preserve"> </w:t>
      </w:r>
      <w:r>
        <w:rPr>
          <w:sz w:val="18"/>
        </w:rPr>
        <w:t>domestic</w:t>
      </w:r>
      <w:r>
        <w:rPr>
          <w:spacing w:val="-3"/>
          <w:sz w:val="18"/>
        </w:rPr>
        <w:t xml:space="preserve"> </w:t>
      </w:r>
      <w:r>
        <w:rPr>
          <w:sz w:val="18"/>
        </w:rPr>
        <w:t>industry</w:t>
      </w:r>
      <w:r>
        <w:rPr>
          <w:spacing w:val="-4"/>
          <w:sz w:val="18"/>
        </w:rPr>
        <w:t xml:space="preserve"> </w:t>
      </w:r>
      <w:r>
        <w:rPr>
          <w:sz w:val="18"/>
        </w:rPr>
        <w:t>deteriorated");</w:t>
      </w:r>
      <w:r>
        <w:rPr>
          <w:spacing w:val="-4"/>
          <w:sz w:val="18"/>
        </w:rPr>
        <w:t xml:space="preserve"> </w:t>
      </w:r>
      <w:r>
        <w:rPr>
          <w:sz w:val="18"/>
        </w:rPr>
        <w:t>and</w:t>
      </w:r>
      <w:r>
        <w:rPr>
          <w:spacing w:val="-3"/>
          <w:sz w:val="18"/>
        </w:rPr>
        <w:t xml:space="preserve"> </w:t>
      </w:r>
      <w:r>
        <w:rPr>
          <w:sz w:val="18"/>
        </w:rPr>
        <w:t>68</w:t>
      </w:r>
      <w:r>
        <w:rPr>
          <w:spacing w:val="-4"/>
          <w:sz w:val="18"/>
        </w:rPr>
        <w:t xml:space="preserve"> </w:t>
      </w:r>
      <w:r>
        <w:rPr>
          <w:sz w:val="18"/>
        </w:rPr>
        <w:t>("The</w:t>
      </w:r>
      <w:r>
        <w:rPr>
          <w:spacing w:val="-2"/>
          <w:sz w:val="18"/>
        </w:rPr>
        <w:t xml:space="preserve"> </w:t>
      </w:r>
      <w:r>
        <w:rPr>
          <w:sz w:val="18"/>
        </w:rPr>
        <w:t>comparison data</w:t>
      </w:r>
      <w:r>
        <w:rPr>
          <w:spacing w:val="-4"/>
          <w:sz w:val="18"/>
        </w:rPr>
        <w:t xml:space="preserve"> </w:t>
      </w:r>
      <w:r>
        <w:rPr>
          <w:sz w:val="18"/>
        </w:rPr>
        <w:t>showed</w:t>
      </w:r>
      <w:r>
        <w:rPr>
          <w:spacing w:val="-3"/>
          <w:sz w:val="18"/>
        </w:rPr>
        <w:t xml:space="preserve"> </w:t>
      </w:r>
      <w:r>
        <w:rPr>
          <w:sz w:val="18"/>
        </w:rPr>
        <w:t>that during the period of injury investigation, the price of the dumped imports was in a downtrend with a cumulative decline of 15.91% in 2015-2019, suppressing the price of the domestic like products […]"). Anti-Dumping Final Determination (Exhibit AUS-2), pp. 120-121, 132, and 139.</w:t>
      </w:r>
    </w:p>
    <w:p w14:paraId="272FC22E" w14:textId="77777777" w:rsidR="00BD462C" w:rsidRDefault="00033D0F">
      <w:pPr>
        <w:ind w:left="135" w:right="906"/>
        <w:jc w:val="both"/>
        <w:rPr>
          <w:sz w:val="18"/>
        </w:rPr>
      </w:pPr>
      <w:bookmarkStart w:id="965" w:name="_bookmark829"/>
      <w:bookmarkEnd w:id="965"/>
      <w:r>
        <w:rPr>
          <w:position w:val="5"/>
          <w:sz w:val="12"/>
        </w:rPr>
        <w:t>704</w:t>
      </w:r>
      <w:r>
        <w:rPr>
          <w:spacing w:val="22"/>
          <w:position w:val="5"/>
          <w:sz w:val="12"/>
        </w:rPr>
        <w:t xml:space="preserve"> </w:t>
      </w:r>
      <w:r>
        <w:rPr>
          <w:sz w:val="18"/>
        </w:rPr>
        <w:t>Final Determination (Exhibit CHN-1), pp. 59 ("the IA held that: first, the price effect of the dumped imported product on the price</w:t>
      </w:r>
      <w:r>
        <w:rPr>
          <w:spacing w:val="-2"/>
          <w:sz w:val="18"/>
        </w:rPr>
        <w:t xml:space="preserve"> </w:t>
      </w:r>
      <w:r>
        <w:rPr>
          <w:sz w:val="18"/>
        </w:rPr>
        <w:t>of domestic</w:t>
      </w:r>
      <w:r>
        <w:rPr>
          <w:spacing w:val="-3"/>
          <w:sz w:val="18"/>
        </w:rPr>
        <w:t xml:space="preserve"> </w:t>
      </w:r>
      <w:r>
        <w:rPr>
          <w:sz w:val="18"/>
        </w:rPr>
        <w:t>like products included</w:t>
      </w:r>
      <w:r>
        <w:rPr>
          <w:spacing w:val="-3"/>
          <w:sz w:val="18"/>
        </w:rPr>
        <w:t xml:space="preserve"> </w:t>
      </w:r>
      <w:r>
        <w:rPr>
          <w:sz w:val="18"/>
        </w:rPr>
        <w:t>the</w:t>
      </w:r>
      <w:r>
        <w:rPr>
          <w:spacing w:val="-2"/>
          <w:sz w:val="18"/>
        </w:rPr>
        <w:t xml:space="preserve"> </w:t>
      </w:r>
      <w:r>
        <w:rPr>
          <w:sz w:val="18"/>
        </w:rPr>
        <w:t>impact of the increased volume and price of the dumped</w:t>
      </w:r>
      <w:r>
        <w:rPr>
          <w:spacing w:val="-3"/>
          <w:sz w:val="18"/>
        </w:rPr>
        <w:t xml:space="preserve"> </w:t>
      </w:r>
      <w:r>
        <w:rPr>
          <w:sz w:val="18"/>
        </w:rPr>
        <w:t>imported</w:t>
      </w:r>
      <w:r>
        <w:rPr>
          <w:spacing w:val="-3"/>
          <w:sz w:val="18"/>
        </w:rPr>
        <w:t xml:space="preserve"> </w:t>
      </w:r>
      <w:r>
        <w:rPr>
          <w:sz w:val="18"/>
        </w:rPr>
        <w:t>product on the price of domestic like products […] Therefore, the volume increase and price decrease of the dumped imported product sufficed to cause a material adverse impact on the price of the domestic like products</w:t>
      </w:r>
      <w:r>
        <w:rPr>
          <w:spacing w:val="-2"/>
          <w:sz w:val="18"/>
        </w:rPr>
        <w:t xml:space="preserve"> </w:t>
      </w:r>
      <w:r>
        <w:rPr>
          <w:sz w:val="18"/>
        </w:rPr>
        <w:t>[…] Despite the fact</w:t>
      </w:r>
      <w:r>
        <w:rPr>
          <w:spacing w:val="-1"/>
          <w:sz w:val="18"/>
        </w:rPr>
        <w:t xml:space="preserve"> </w:t>
      </w:r>
      <w:r>
        <w:rPr>
          <w:sz w:val="18"/>
        </w:rPr>
        <w:t>that the price</w:t>
      </w:r>
      <w:r>
        <w:rPr>
          <w:spacing w:val="26"/>
          <w:sz w:val="18"/>
        </w:rPr>
        <w:t xml:space="preserve"> </w:t>
      </w:r>
      <w:r>
        <w:rPr>
          <w:sz w:val="18"/>
        </w:rPr>
        <w:t>of</w:t>
      </w:r>
      <w:r>
        <w:rPr>
          <w:spacing w:val="27"/>
          <w:sz w:val="18"/>
        </w:rPr>
        <w:t xml:space="preserve"> </w:t>
      </w:r>
      <w:r>
        <w:rPr>
          <w:sz w:val="18"/>
        </w:rPr>
        <w:t>the</w:t>
      </w:r>
      <w:r>
        <w:rPr>
          <w:spacing w:val="26"/>
          <w:sz w:val="18"/>
        </w:rPr>
        <w:t xml:space="preserve"> </w:t>
      </w:r>
      <w:r>
        <w:rPr>
          <w:sz w:val="18"/>
        </w:rPr>
        <w:t>dumped</w:t>
      </w:r>
      <w:r>
        <w:rPr>
          <w:spacing w:val="26"/>
          <w:sz w:val="18"/>
        </w:rPr>
        <w:t xml:space="preserve"> </w:t>
      </w:r>
      <w:r>
        <w:rPr>
          <w:sz w:val="18"/>
        </w:rPr>
        <w:t>imported</w:t>
      </w:r>
      <w:r>
        <w:rPr>
          <w:spacing w:val="26"/>
          <w:sz w:val="18"/>
        </w:rPr>
        <w:t xml:space="preserve"> </w:t>
      </w:r>
      <w:r>
        <w:rPr>
          <w:sz w:val="18"/>
        </w:rPr>
        <w:t>product</w:t>
      </w:r>
      <w:r>
        <w:rPr>
          <w:spacing w:val="27"/>
          <w:sz w:val="18"/>
        </w:rPr>
        <w:t xml:space="preserve"> </w:t>
      </w:r>
      <w:r>
        <w:rPr>
          <w:sz w:val="18"/>
        </w:rPr>
        <w:t>was</w:t>
      </w:r>
      <w:r>
        <w:rPr>
          <w:spacing w:val="26"/>
          <w:sz w:val="18"/>
        </w:rPr>
        <w:t xml:space="preserve"> </w:t>
      </w:r>
      <w:r>
        <w:rPr>
          <w:sz w:val="18"/>
        </w:rPr>
        <w:t>higher</w:t>
      </w:r>
      <w:r>
        <w:rPr>
          <w:spacing w:val="24"/>
          <w:sz w:val="18"/>
        </w:rPr>
        <w:t xml:space="preserve"> </w:t>
      </w:r>
      <w:r>
        <w:rPr>
          <w:sz w:val="18"/>
        </w:rPr>
        <w:t>than</w:t>
      </w:r>
      <w:r>
        <w:rPr>
          <w:spacing w:val="26"/>
          <w:sz w:val="18"/>
        </w:rPr>
        <w:t xml:space="preserve"> </w:t>
      </w:r>
      <w:r>
        <w:rPr>
          <w:sz w:val="18"/>
        </w:rPr>
        <w:t>that</w:t>
      </w:r>
      <w:r>
        <w:rPr>
          <w:spacing w:val="27"/>
          <w:sz w:val="18"/>
        </w:rPr>
        <w:t xml:space="preserve"> </w:t>
      </w:r>
      <w:r>
        <w:rPr>
          <w:sz w:val="18"/>
        </w:rPr>
        <w:t>of</w:t>
      </w:r>
      <w:r>
        <w:rPr>
          <w:spacing w:val="22"/>
          <w:sz w:val="18"/>
        </w:rPr>
        <w:t xml:space="preserve"> </w:t>
      </w:r>
      <w:r>
        <w:rPr>
          <w:sz w:val="18"/>
        </w:rPr>
        <w:t>the</w:t>
      </w:r>
      <w:r>
        <w:rPr>
          <w:spacing w:val="26"/>
          <w:sz w:val="18"/>
        </w:rPr>
        <w:t xml:space="preserve"> </w:t>
      </w:r>
      <w:r>
        <w:rPr>
          <w:sz w:val="18"/>
        </w:rPr>
        <w:t>domestic</w:t>
      </w:r>
      <w:r>
        <w:rPr>
          <w:spacing w:val="20"/>
          <w:sz w:val="18"/>
        </w:rPr>
        <w:t xml:space="preserve"> </w:t>
      </w:r>
      <w:r>
        <w:rPr>
          <w:sz w:val="18"/>
        </w:rPr>
        <w:t>like</w:t>
      </w:r>
      <w:r>
        <w:rPr>
          <w:spacing w:val="21"/>
          <w:sz w:val="18"/>
        </w:rPr>
        <w:t xml:space="preserve"> </w:t>
      </w:r>
      <w:r>
        <w:rPr>
          <w:sz w:val="18"/>
        </w:rPr>
        <w:t>products,</w:t>
      </w:r>
      <w:r>
        <w:rPr>
          <w:spacing w:val="28"/>
          <w:sz w:val="18"/>
        </w:rPr>
        <w:t xml:space="preserve"> </w:t>
      </w:r>
      <w:r>
        <w:rPr>
          <w:sz w:val="18"/>
        </w:rPr>
        <w:t>during</w:t>
      </w:r>
      <w:r>
        <w:rPr>
          <w:spacing w:val="26"/>
          <w:sz w:val="18"/>
        </w:rPr>
        <w:t xml:space="preserve"> </w:t>
      </w:r>
      <w:r>
        <w:rPr>
          <w:sz w:val="18"/>
        </w:rPr>
        <w:t>the</w:t>
      </w:r>
      <w:r>
        <w:rPr>
          <w:spacing w:val="26"/>
          <w:sz w:val="18"/>
        </w:rPr>
        <w:t xml:space="preserve"> </w:t>
      </w:r>
      <w:r>
        <w:rPr>
          <w:sz w:val="18"/>
        </w:rPr>
        <w:t>period</w:t>
      </w:r>
      <w:r>
        <w:rPr>
          <w:spacing w:val="21"/>
          <w:sz w:val="18"/>
        </w:rPr>
        <w:t xml:space="preserve"> </w:t>
      </w:r>
      <w:r>
        <w:rPr>
          <w:sz w:val="18"/>
        </w:rPr>
        <w:t>of</w:t>
      </w:r>
      <w:r>
        <w:rPr>
          <w:spacing w:val="27"/>
          <w:sz w:val="18"/>
        </w:rPr>
        <w:t xml:space="preserve"> </w:t>
      </w:r>
      <w:r>
        <w:rPr>
          <w:sz w:val="18"/>
        </w:rPr>
        <w:t>injury</w:t>
      </w:r>
    </w:p>
    <w:p w14:paraId="6E392058" w14:textId="77777777" w:rsidR="00BD462C" w:rsidRDefault="00BD462C">
      <w:pPr>
        <w:jc w:val="both"/>
        <w:rPr>
          <w:sz w:val="18"/>
        </w:rPr>
        <w:sectPr w:rsidR="00BD462C">
          <w:pgSz w:w="11910" w:h="16840"/>
          <w:pgMar w:top="860" w:right="500" w:bottom="780" w:left="1280" w:header="566" w:footer="590" w:gutter="0"/>
          <w:cols w:space="720"/>
        </w:sectPr>
      </w:pPr>
    </w:p>
    <w:p w14:paraId="209AD4AB" w14:textId="77777777" w:rsidR="00BD462C" w:rsidRDefault="00033D0F">
      <w:pPr>
        <w:tabs>
          <w:tab w:val="left" w:pos="6087"/>
        </w:tabs>
        <w:spacing w:before="1"/>
        <w:ind w:left="135"/>
        <w:jc w:val="both"/>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6EDD71F8" w14:textId="77777777" w:rsidR="00BD462C" w:rsidRDefault="00033D0F">
      <w:pPr>
        <w:spacing w:before="1"/>
        <w:ind w:left="135"/>
        <w:jc w:val="both"/>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406A2CBB" w14:textId="77777777" w:rsidR="00BD462C" w:rsidRDefault="00033D0F">
      <w:pPr>
        <w:tabs>
          <w:tab w:val="left" w:pos="7652"/>
        </w:tabs>
        <w:ind w:left="135"/>
        <w:jc w:val="both"/>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4442E2AB" w14:textId="77777777" w:rsidR="00BD462C" w:rsidRDefault="00033D0F">
      <w:pPr>
        <w:pStyle w:val="BodyText"/>
        <w:spacing w:before="102" w:line="360" w:lineRule="auto"/>
        <w:ind w:left="135" w:right="917"/>
        <w:jc w:val="both"/>
      </w:pPr>
      <w:r>
        <w:t>undermined by the errors in it price comparison, as discussed in detail above. The fact that MOFCOM also considered volume and market share trends is not an answer to this fundamental flaw.</w:t>
      </w:r>
    </w:p>
    <w:p w14:paraId="54FE80B4" w14:textId="77777777" w:rsidR="00BD462C" w:rsidRDefault="00BD462C">
      <w:pPr>
        <w:pStyle w:val="BodyText"/>
        <w:spacing w:before="11"/>
        <w:rPr>
          <w:sz w:val="8"/>
        </w:rPr>
      </w:pPr>
    </w:p>
    <w:p w14:paraId="429C5747" w14:textId="09DF54A2" w:rsidR="00BD462C" w:rsidRDefault="001250D0">
      <w:pPr>
        <w:pStyle w:val="BodyText"/>
        <w:spacing w:before="56" w:line="360" w:lineRule="auto"/>
        <w:ind w:left="135" w:right="912" w:hanging="5"/>
        <w:jc w:val="both"/>
      </w:pPr>
      <w:r>
        <w:rPr>
          <w:noProof/>
        </w:rPr>
        <w:t>486.</w:t>
      </w:r>
      <w:r w:rsidR="00033D0F">
        <w:rPr>
          <w:rFonts w:ascii="Times New Roman"/>
          <w:spacing w:val="80"/>
          <w:position w:val="1"/>
          <w:sz w:val="20"/>
        </w:rPr>
        <w:t xml:space="preserve">  </w:t>
      </w:r>
      <w:r w:rsidR="00033D0F">
        <w:rPr>
          <w:position w:val="1"/>
        </w:rPr>
        <w:t>Second, an investigating authority</w:t>
      </w:r>
      <w:r w:rsidR="00033D0F">
        <w:rPr>
          <w:spacing w:val="-1"/>
          <w:position w:val="1"/>
        </w:rPr>
        <w:t xml:space="preserve"> </w:t>
      </w:r>
      <w:r w:rsidR="00033D0F">
        <w:rPr>
          <w:position w:val="1"/>
        </w:rPr>
        <w:t>is not entitled to simply assume "that</w:t>
      </w:r>
      <w:r w:rsidR="00033D0F">
        <w:rPr>
          <w:spacing w:val="-2"/>
          <w:position w:val="1"/>
        </w:rPr>
        <w:t xml:space="preserve"> </w:t>
      </w:r>
      <w:r w:rsidR="00033D0F">
        <w:rPr>
          <w:position w:val="1"/>
        </w:rPr>
        <w:t xml:space="preserve">an increase </w:t>
      </w:r>
      <w:r w:rsidR="00033D0F">
        <w:t>in</w:t>
      </w:r>
      <w:r w:rsidR="00033D0F">
        <w:rPr>
          <w:spacing w:val="-3"/>
        </w:rPr>
        <w:t xml:space="preserve"> </w:t>
      </w:r>
      <w:r w:rsidR="00033D0F">
        <w:t>subject</w:t>
      </w:r>
      <w:r w:rsidR="00033D0F">
        <w:rPr>
          <w:spacing w:val="-1"/>
        </w:rPr>
        <w:t xml:space="preserve"> </w:t>
      </w:r>
      <w:r w:rsidR="00033D0F">
        <w:t>import</w:t>
      </w:r>
      <w:r w:rsidR="00033D0F">
        <w:rPr>
          <w:spacing w:val="-1"/>
        </w:rPr>
        <w:t xml:space="preserve"> </w:t>
      </w:r>
      <w:r w:rsidR="00033D0F">
        <w:t>volume</w:t>
      </w:r>
      <w:r w:rsidR="00033D0F">
        <w:rPr>
          <w:spacing w:val="-1"/>
        </w:rPr>
        <w:t xml:space="preserve"> </w:t>
      </w:r>
      <w:r w:rsidR="00033D0F">
        <w:t>and market</w:t>
      </w:r>
      <w:r w:rsidR="00033D0F">
        <w:rPr>
          <w:spacing w:val="-1"/>
        </w:rPr>
        <w:t xml:space="preserve"> </w:t>
      </w:r>
      <w:r w:rsidR="00033D0F">
        <w:t>share will have</w:t>
      </w:r>
      <w:r w:rsidR="00033D0F">
        <w:rPr>
          <w:spacing w:val="-1"/>
        </w:rPr>
        <w:t xml:space="preserve"> </w:t>
      </w:r>
      <w:r w:rsidR="00033D0F">
        <w:t>a</w:t>
      </w:r>
      <w:r w:rsidR="00033D0F">
        <w:rPr>
          <w:spacing w:val="-2"/>
        </w:rPr>
        <w:t xml:space="preserve"> </w:t>
      </w:r>
      <w:r w:rsidR="00033D0F">
        <w:t>price</w:t>
      </w:r>
      <w:r w:rsidR="00033D0F">
        <w:rPr>
          <w:spacing w:val="-1"/>
        </w:rPr>
        <w:t xml:space="preserve"> </w:t>
      </w:r>
      <w:r w:rsidR="00033D0F">
        <w:t>suppressing or depressing effect on</w:t>
      </w:r>
      <w:r w:rsidR="00033D0F">
        <w:rPr>
          <w:spacing w:val="-2"/>
        </w:rPr>
        <w:t xml:space="preserve"> </w:t>
      </w:r>
      <w:r w:rsidR="00033D0F">
        <w:t>domestic</w:t>
      </w:r>
      <w:r w:rsidR="00033D0F">
        <w:rPr>
          <w:spacing w:val="-7"/>
        </w:rPr>
        <w:t xml:space="preserve"> </w:t>
      </w:r>
      <w:r w:rsidR="00033D0F">
        <w:t>prices".</w:t>
      </w:r>
      <w:hyperlink w:anchor="_bookmark830" w:history="1">
        <w:r w:rsidR="00033D0F">
          <w:rPr>
            <w:vertAlign w:val="superscript"/>
          </w:rPr>
          <w:t>705</w:t>
        </w:r>
      </w:hyperlink>
      <w:r w:rsidR="00033D0F">
        <w:rPr>
          <w:spacing w:val="-5"/>
        </w:rPr>
        <w:t xml:space="preserve"> </w:t>
      </w:r>
      <w:r w:rsidR="00033D0F">
        <w:t>This</w:t>
      </w:r>
      <w:r w:rsidR="00033D0F">
        <w:rPr>
          <w:spacing w:val="-5"/>
        </w:rPr>
        <w:t xml:space="preserve"> </w:t>
      </w:r>
      <w:r w:rsidR="00033D0F">
        <w:t>is</w:t>
      </w:r>
      <w:r w:rsidR="00033D0F">
        <w:rPr>
          <w:spacing w:val="-5"/>
        </w:rPr>
        <w:t xml:space="preserve"> </w:t>
      </w:r>
      <w:r w:rsidR="00033D0F">
        <w:t>because</w:t>
      </w:r>
      <w:r w:rsidR="00033D0F">
        <w:rPr>
          <w:spacing w:val="-6"/>
        </w:rPr>
        <w:t xml:space="preserve"> </w:t>
      </w:r>
      <w:r w:rsidR="00033D0F">
        <w:t>allowing</w:t>
      </w:r>
      <w:r w:rsidR="00033D0F">
        <w:rPr>
          <w:spacing w:val="-5"/>
        </w:rPr>
        <w:t xml:space="preserve"> </w:t>
      </w:r>
      <w:r w:rsidR="00033D0F">
        <w:t>such</w:t>
      </w:r>
      <w:r w:rsidR="00033D0F">
        <w:rPr>
          <w:spacing w:val="-2"/>
        </w:rPr>
        <w:t xml:space="preserve"> </w:t>
      </w:r>
      <w:r w:rsidR="00033D0F">
        <w:t>an</w:t>
      </w:r>
      <w:r w:rsidR="00033D0F">
        <w:rPr>
          <w:spacing w:val="-8"/>
        </w:rPr>
        <w:t xml:space="preserve"> </w:t>
      </w:r>
      <w:r w:rsidR="00033D0F">
        <w:t>assumption</w:t>
      </w:r>
      <w:r w:rsidR="00033D0F">
        <w:rPr>
          <w:spacing w:val="-8"/>
        </w:rPr>
        <w:t xml:space="preserve"> </w:t>
      </w:r>
      <w:r w:rsidR="00033D0F">
        <w:t>would</w:t>
      </w:r>
      <w:r w:rsidR="00033D0F">
        <w:rPr>
          <w:spacing w:val="-2"/>
        </w:rPr>
        <w:t xml:space="preserve"> </w:t>
      </w:r>
      <w:r w:rsidR="00033D0F">
        <w:t>render</w:t>
      </w:r>
      <w:r w:rsidR="00033D0F">
        <w:rPr>
          <w:spacing w:val="-4"/>
        </w:rPr>
        <w:t xml:space="preserve"> </w:t>
      </w:r>
      <w:r w:rsidR="00033D0F">
        <w:t>the</w:t>
      </w:r>
      <w:r w:rsidR="00033D0F">
        <w:rPr>
          <w:spacing w:val="-6"/>
        </w:rPr>
        <w:t xml:space="preserve"> </w:t>
      </w:r>
      <w:r w:rsidR="00033D0F">
        <w:t>second sentence of Article</w:t>
      </w:r>
      <w:r w:rsidR="00033D0F">
        <w:rPr>
          <w:spacing w:val="-3"/>
        </w:rPr>
        <w:t xml:space="preserve"> </w:t>
      </w:r>
      <w:r w:rsidR="00033D0F">
        <w:t>3.2 redundant.</w:t>
      </w:r>
      <w:hyperlink w:anchor="_bookmark831" w:history="1">
        <w:r w:rsidR="00033D0F">
          <w:rPr>
            <w:vertAlign w:val="superscript"/>
          </w:rPr>
          <w:t>706</w:t>
        </w:r>
      </w:hyperlink>
      <w:r w:rsidR="00033D0F">
        <w:t xml:space="preserve"> Rather, an investigating authority must establish a link between the volume increase and the price effect.</w:t>
      </w:r>
      <w:hyperlink w:anchor="_bookmark832" w:history="1">
        <w:r w:rsidR="00033D0F">
          <w:rPr>
            <w:vertAlign w:val="superscript"/>
          </w:rPr>
          <w:t>707</w:t>
        </w:r>
      </w:hyperlink>
      <w:r w:rsidR="00033D0F">
        <w:t xml:space="preserve"> This requires, at a minimum, consideration</w:t>
      </w:r>
      <w:r w:rsidR="00033D0F">
        <w:rPr>
          <w:spacing w:val="-5"/>
        </w:rPr>
        <w:t xml:space="preserve"> </w:t>
      </w:r>
      <w:r w:rsidR="00033D0F">
        <w:t>of</w:t>
      </w:r>
      <w:r w:rsidR="00033D0F">
        <w:rPr>
          <w:spacing w:val="-5"/>
        </w:rPr>
        <w:t xml:space="preserve"> </w:t>
      </w:r>
      <w:r w:rsidR="00033D0F">
        <w:t>the</w:t>
      </w:r>
      <w:r w:rsidR="00033D0F">
        <w:rPr>
          <w:spacing w:val="-4"/>
        </w:rPr>
        <w:t xml:space="preserve"> </w:t>
      </w:r>
      <w:r w:rsidR="00033D0F">
        <w:t>relative</w:t>
      </w:r>
      <w:r w:rsidR="00033D0F">
        <w:rPr>
          <w:spacing w:val="-3"/>
        </w:rPr>
        <w:t xml:space="preserve"> </w:t>
      </w:r>
      <w:r w:rsidR="00033D0F">
        <w:t>prices</w:t>
      </w:r>
      <w:r w:rsidR="00033D0F">
        <w:rPr>
          <w:spacing w:val="-2"/>
        </w:rPr>
        <w:t xml:space="preserve"> </w:t>
      </w:r>
      <w:r w:rsidR="00033D0F">
        <w:t>of</w:t>
      </w:r>
      <w:r w:rsidR="00033D0F">
        <w:rPr>
          <w:spacing w:val="-5"/>
        </w:rPr>
        <w:t xml:space="preserve"> </w:t>
      </w:r>
      <w:r w:rsidR="00033D0F">
        <w:t>subject</w:t>
      </w:r>
      <w:r w:rsidR="00033D0F">
        <w:rPr>
          <w:spacing w:val="-3"/>
        </w:rPr>
        <w:t xml:space="preserve"> </w:t>
      </w:r>
      <w:r w:rsidR="00033D0F">
        <w:t>imports</w:t>
      </w:r>
      <w:r w:rsidR="00033D0F">
        <w:rPr>
          <w:spacing w:val="-2"/>
        </w:rPr>
        <w:t xml:space="preserve"> </w:t>
      </w:r>
      <w:r w:rsidR="00033D0F">
        <w:t>and</w:t>
      </w:r>
      <w:r w:rsidR="00033D0F">
        <w:rPr>
          <w:spacing w:val="-5"/>
        </w:rPr>
        <w:t xml:space="preserve"> </w:t>
      </w:r>
      <w:r w:rsidR="00033D0F">
        <w:t>domestic</w:t>
      </w:r>
      <w:r w:rsidR="00033D0F">
        <w:rPr>
          <w:spacing w:val="-5"/>
        </w:rPr>
        <w:t xml:space="preserve"> </w:t>
      </w:r>
      <w:r w:rsidR="00033D0F">
        <w:t>like</w:t>
      </w:r>
      <w:r w:rsidR="00033D0F">
        <w:rPr>
          <w:spacing w:val="-3"/>
        </w:rPr>
        <w:t xml:space="preserve"> </w:t>
      </w:r>
      <w:r w:rsidR="00033D0F">
        <w:t>products.</w:t>
      </w:r>
      <w:hyperlink w:anchor="_bookmark833" w:history="1">
        <w:r w:rsidR="00033D0F">
          <w:rPr>
            <w:vertAlign w:val="superscript"/>
          </w:rPr>
          <w:t>708</w:t>
        </w:r>
      </w:hyperlink>
      <w:r w:rsidR="00033D0F">
        <w:rPr>
          <w:spacing w:val="-3"/>
        </w:rPr>
        <w:t xml:space="preserve"> </w:t>
      </w:r>
      <w:r w:rsidR="00033D0F">
        <w:t>A</w:t>
      </w:r>
      <w:r w:rsidR="00033D0F">
        <w:rPr>
          <w:spacing w:val="-4"/>
        </w:rPr>
        <w:t xml:space="preserve"> </w:t>
      </w:r>
      <w:r w:rsidR="00033D0F">
        <w:t>failure to do so will mean that the investigating authority "could not have reached a reasoned and adequate conclusion that the domestic industry's prices were suppressed by the volume of subject imports, having failed to consider the relative prices of subject imports and the domestic like product at all."</w:t>
      </w:r>
      <w:hyperlink w:anchor="_bookmark834" w:history="1">
        <w:r w:rsidR="00033D0F">
          <w:rPr>
            <w:vertAlign w:val="superscript"/>
          </w:rPr>
          <w:t>709</w:t>
        </w:r>
      </w:hyperlink>
    </w:p>
    <w:p w14:paraId="02CD0920" w14:textId="77777777" w:rsidR="00BD462C" w:rsidRDefault="00BD462C">
      <w:pPr>
        <w:pStyle w:val="BodyText"/>
        <w:spacing w:before="2"/>
        <w:rPr>
          <w:sz w:val="8"/>
        </w:rPr>
      </w:pPr>
    </w:p>
    <w:p w14:paraId="0EE3CB4C" w14:textId="6088E9D1" w:rsidR="00BD462C" w:rsidRDefault="001250D0">
      <w:pPr>
        <w:pStyle w:val="BodyText"/>
        <w:spacing w:before="56" w:line="360" w:lineRule="auto"/>
        <w:ind w:left="135" w:right="915" w:hanging="5"/>
        <w:jc w:val="both"/>
      </w:pPr>
      <w:r>
        <w:rPr>
          <w:noProof/>
        </w:rPr>
        <w:t>487.</w:t>
      </w:r>
      <w:r w:rsidR="00033D0F">
        <w:rPr>
          <w:rFonts w:ascii="Times New Roman"/>
          <w:spacing w:val="80"/>
          <w:position w:val="1"/>
          <w:sz w:val="20"/>
        </w:rPr>
        <w:t xml:space="preserve"> </w:t>
      </w:r>
      <w:r w:rsidR="00033D0F">
        <w:rPr>
          <w:position w:val="1"/>
        </w:rPr>
        <w:t xml:space="preserve">Third, China now seeks to </w:t>
      </w:r>
      <w:proofErr w:type="spellStart"/>
      <w:r w:rsidR="00033D0F">
        <w:rPr>
          <w:position w:val="1"/>
        </w:rPr>
        <w:t>maximise</w:t>
      </w:r>
      <w:proofErr w:type="spellEnd"/>
      <w:r w:rsidR="00033D0F">
        <w:rPr>
          <w:position w:val="1"/>
        </w:rPr>
        <w:t xml:space="preserve"> the importance of MOFCOM's volume and</w:t>
      </w:r>
      <w:r w:rsidR="00033D0F">
        <w:rPr>
          <w:spacing w:val="40"/>
          <w:position w:val="1"/>
        </w:rPr>
        <w:t xml:space="preserve"> </w:t>
      </w:r>
      <w:r w:rsidR="00033D0F">
        <w:t>market share analysis to its price suppression finding. For the reasons set out at paragraphs 680 - 684 of Australia's first written submission, MOFCOM's market share comparison is flawed.</w:t>
      </w:r>
      <w:hyperlink w:anchor="_bookmark835" w:history="1">
        <w:r w:rsidR="00033D0F">
          <w:rPr>
            <w:vertAlign w:val="superscript"/>
          </w:rPr>
          <w:t>710</w:t>
        </w:r>
      </w:hyperlink>
      <w:r w:rsidR="00033D0F">
        <w:t xml:space="preserve"> As a result, these same flaws also undermine the price suppression finding.</w:t>
      </w:r>
    </w:p>
    <w:p w14:paraId="53FADEB4" w14:textId="77777777" w:rsidR="00BD462C" w:rsidRDefault="00BD462C">
      <w:pPr>
        <w:pStyle w:val="BodyText"/>
        <w:spacing w:before="9"/>
        <w:rPr>
          <w:sz w:val="8"/>
        </w:rPr>
      </w:pPr>
    </w:p>
    <w:p w14:paraId="5A3E83CB" w14:textId="2074B8F4" w:rsidR="00BD462C" w:rsidRDefault="001250D0">
      <w:pPr>
        <w:pStyle w:val="BodyText"/>
        <w:spacing w:before="56" w:line="357" w:lineRule="auto"/>
        <w:ind w:left="135" w:right="918" w:hanging="5"/>
        <w:jc w:val="both"/>
      </w:pPr>
      <w:r>
        <w:rPr>
          <w:noProof/>
        </w:rPr>
        <w:t>488.</w:t>
      </w:r>
      <w:r w:rsidR="00033D0F">
        <w:rPr>
          <w:rFonts w:ascii="Times New Roman"/>
          <w:spacing w:val="80"/>
          <w:position w:val="1"/>
          <w:sz w:val="20"/>
        </w:rPr>
        <w:t xml:space="preserve"> </w:t>
      </w:r>
      <w:r w:rsidR="00033D0F">
        <w:rPr>
          <w:position w:val="1"/>
        </w:rPr>
        <w:t>Fourth,</w:t>
      </w:r>
      <w:r w:rsidR="00033D0F">
        <w:rPr>
          <w:spacing w:val="-2"/>
          <w:position w:val="1"/>
        </w:rPr>
        <w:t xml:space="preserve"> </w:t>
      </w:r>
      <w:r w:rsidR="00033D0F">
        <w:rPr>
          <w:position w:val="1"/>
        </w:rPr>
        <w:t>China</w:t>
      </w:r>
      <w:r w:rsidR="00033D0F">
        <w:rPr>
          <w:spacing w:val="-4"/>
          <w:position w:val="1"/>
        </w:rPr>
        <w:t xml:space="preserve"> </w:t>
      </w:r>
      <w:r w:rsidR="00033D0F">
        <w:rPr>
          <w:position w:val="1"/>
        </w:rPr>
        <w:t>accepts</w:t>
      </w:r>
      <w:r w:rsidR="00033D0F">
        <w:rPr>
          <w:spacing w:val="-2"/>
          <w:position w:val="1"/>
        </w:rPr>
        <w:t xml:space="preserve"> </w:t>
      </w:r>
      <w:r w:rsidR="00033D0F">
        <w:rPr>
          <w:position w:val="1"/>
        </w:rPr>
        <w:t>that:</w:t>
      </w:r>
      <w:r w:rsidR="00033D0F">
        <w:rPr>
          <w:spacing w:val="-6"/>
          <w:position w:val="1"/>
        </w:rPr>
        <w:t xml:space="preserve"> </w:t>
      </w:r>
      <w:r w:rsidR="00033D0F">
        <w:rPr>
          <w:position w:val="1"/>
        </w:rPr>
        <w:t>(i)</w:t>
      </w:r>
      <w:r w:rsidR="00033D0F">
        <w:rPr>
          <w:spacing w:val="-5"/>
          <w:position w:val="1"/>
        </w:rPr>
        <w:t xml:space="preserve"> </w:t>
      </w:r>
      <w:r w:rsidR="00033D0F">
        <w:rPr>
          <w:position w:val="1"/>
        </w:rPr>
        <w:t>the</w:t>
      </w:r>
      <w:r w:rsidR="00033D0F">
        <w:rPr>
          <w:spacing w:val="-4"/>
          <w:position w:val="1"/>
        </w:rPr>
        <w:t xml:space="preserve"> </w:t>
      </w:r>
      <w:r w:rsidR="00033D0F">
        <w:rPr>
          <w:position w:val="1"/>
        </w:rPr>
        <w:t>product</w:t>
      </w:r>
      <w:r w:rsidR="00033D0F">
        <w:rPr>
          <w:spacing w:val="-3"/>
          <w:position w:val="1"/>
        </w:rPr>
        <w:t xml:space="preserve"> </w:t>
      </w:r>
      <w:r w:rsidR="00033D0F">
        <w:rPr>
          <w:position w:val="1"/>
        </w:rPr>
        <w:t>mix</w:t>
      </w:r>
      <w:r w:rsidR="00033D0F">
        <w:rPr>
          <w:spacing w:val="-2"/>
          <w:position w:val="1"/>
        </w:rPr>
        <w:t xml:space="preserve"> </w:t>
      </w:r>
      <w:r w:rsidR="00033D0F">
        <w:rPr>
          <w:position w:val="1"/>
        </w:rPr>
        <w:t>differed</w:t>
      </w:r>
      <w:r w:rsidR="00033D0F">
        <w:rPr>
          <w:spacing w:val="-5"/>
          <w:position w:val="1"/>
        </w:rPr>
        <w:t xml:space="preserve"> </w:t>
      </w:r>
      <w:r w:rsidR="00033D0F">
        <w:rPr>
          <w:position w:val="1"/>
        </w:rPr>
        <w:t>between</w:t>
      </w:r>
      <w:r w:rsidR="00033D0F">
        <w:rPr>
          <w:spacing w:val="-5"/>
          <w:position w:val="1"/>
        </w:rPr>
        <w:t xml:space="preserve"> </w:t>
      </w:r>
      <w:r w:rsidR="00033D0F">
        <w:rPr>
          <w:position w:val="1"/>
        </w:rPr>
        <w:t>subject</w:t>
      </w:r>
      <w:r w:rsidR="00033D0F">
        <w:rPr>
          <w:spacing w:val="-3"/>
          <w:position w:val="1"/>
        </w:rPr>
        <w:t xml:space="preserve"> </w:t>
      </w:r>
      <w:r w:rsidR="00033D0F">
        <w:rPr>
          <w:position w:val="1"/>
        </w:rPr>
        <w:t xml:space="preserve">imports and </w:t>
      </w:r>
      <w:r w:rsidR="00033D0F">
        <w:t>domestic like products and that differences in the product mix resulted in significant price differences;</w:t>
      </w:r>
      <w:hyperlink w:anchor="_bookmark836" w:history="1">
        <w:r w:rsidR="00033D0F">
          <w:rPr>
            <w:vertAlign w:val="superscript"/>
          </w:rPr>
          <w:t>711</w:t>
        </w:r>
      </w:hyperlink>
      <w:r w:rsidR="00033D0F">
        <w:t xml:space="preserve"> and (ii) that the declining price trend observed by MOFCOM "may or may not</w:t>
      </w:r>
    </w:p>
    <w:p w14:paraId="2B52EBDF" w14:textId="7546FF6E" w:rsidR="00BD462C" w:rsidRDefault="00752F01">
      <w:pPr>
        <w:pStyle w:val="BodyText"/>
        <w:rPr>
          <w:sz w:val="20"/>
        </w:rPr>
      </w:pPr>
      <w:r>
        <w:rPr>
          <w:noProof/>
        </w:rPr>
        <mc:AlternateContent>
          <mc:Choice Requires="wps">
            <w:drawing>
              <wp:anchor distT="0" distB="0" distL="0" distR="0" simplePos="0" relativeHeight="488276480" behindDoc="1" locked="0" layoutInCell="1" allowOverlap="1" wp14:anchorId="469D367C" wp14:editId="3FC20C82">
                <wp:simplePos x="0" y="0"/>
                <wp:positionH relativeFrom="page">
                  <wp:posOffset>812800</wp:posOffset>
                </wp:positionH>
                <wp:positionV relativeFrom="paragraph">
                  <wp:posOffset>361950</wp:posOffset>
                </wp:positionV>
                <wp:extent cx="1828800" cy="8890"/>
                <wp:effectExtent l="0" t="0" r="0" b="0"/>
                <wp:wrapTopAndBottom/>
                <wp:docPr id="255" name="docshape4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6FD319" id="docshape414" o:spid="_x0000_s1026" alt="&quot;&quot;" style="position:absolute;margin-left:64pt;margin-top:28.5pt;width:2in;height:.7pt;z-index:-15040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" fillcolor="black" stroked="f">
                <w10:wrap type="topAndBottom" anchorx="page"/>
              </v:rect>
            </w:pict>
          </mc:Fallback>
        </mc:AlternateContent>
      </w:r>
    </w:p>
    <w:p w14:paraId="272F9DC9" w14:textId="23C26FC8" w:rsidR="00BD462C" w:rsidRDefault="00BD462C">
      <w:pPr>
        <w:pStyle w:val="BodyText"/>
        <w:spacing w:before="4"/>
        <w:rPr>
          <w:sz w:val="26"/>
        </w:rPr>
      </w:pPr>
    </w:p>
    <w:p w14:paraId="68C4DE57" w14:textId="77777777" w:rsidR="00BD462C" w:rsidRDefault="00033D0F">
      <w:pPr>
        <w:spacing w:before="112"/>
        <w:ind w:left="135" w:right="910"/>
        <w:jc w:val="both"/>
        <w:rPr>
          <w:sz w:val="18"/>
        </w:rPr>
      </w:pPr>
      <w:r>
        <w:rPr>
          <w:sz w:val="18"/>
        </w:rPr>
        <w:t>investigation, the volume of</w:t>
      </w:r>
      <w:r>
        <w:rPr>
          <w:spacing w:val="-2"/>
          <w:sz w:val="18"/>
        </w:rPr>
        <w:t xml:space="preserve"> </w:t>
      </w:r>
      <w:r>
        <w:rPr>
          <w:sz w:val="18"/>
        </w:rPr>
        <w:t>the</w:t>
      </w:r>
      <w:r>
        <w:rPr>
          <w:spacing w:val="-3"/>
          <w:sz w:val="18"/>
        </w:rPr>
        <w:t xml:space="preserve"> </w:t>
      </w:r>
      <w:r>
        <w:rPr>
          <w:sz w:val="18"/>
        </w:rPr>
        <w:t>dumped</w:t>
      </w:r>
      <w:r>
        <w:rPr>
          <w:spacing w:val="-4"/>
          <w:sz w:val="18"/>
        </w:rPr>
        <w:t xml:space="preserve"> </w:t>
      </w:r>
      <w:r>
        <w:rPr>
          <w:sz w:val="18"/>
        </w:rPr>
        <w:t>imported</w:t>
      </w:r>
      <w:r>
        <w:rPr>
          <w:spacing w:val="-4"/>
          <w:sz w:val="18"/>
        </w:rPr>
        <w:t xml:space="preserve"> </w:t>
      </w:r>
      <w:r>
        <w:rPr>
          <w:sz w:val="18"/>
        </w:rPr>
        <w:t>products accumulatively</w:t>
      </w:r>
      <w:r>
        <w:rPr>
          <w:spacing w:val="-5"/>
          <w:sz w:val="18"/>
        </w:rPr>
        <w:t xml:space="preserve"> </w:t>
      </w:r>
      <w:r>
        <w:rPr>
          <w:sz w:val="18"/>
        </w:rPr>
        <w:t>increased</w:t>
      </w:r>
      <w:r>
        <w:rPr>
          <w:spacing w:val="-4"/>
          <w:sz w:val="18"/>
        </w:rPr>
        <w:t xml:space="preserve"> </w:t>
      </w:r>
      <w:r>
        <w:rPr>
          <w:sz w:val="18"/>
        </w:rPr>
        <w:t>by 113.05% and the</w:t>
      </w:r>
      <w:r>
        <w:rPr>
          <w:spacing w:val="-3"/>
          <w:sz w:val="18"/>
        </w:rPr>
        <w:t xml:space="preserve"> </w:t>
      </w:r>
      <w:r>
        <w:rPr>
          <w:sz w:val="18"/>
        </w:rPr>
        <w:t>price</w:t>
      </w:r>
      <w:r>
        <w:rPr>
          <w:spacing w:val="-3"/>
          <w:sz w:val="18"/>
        </w:rPr>
        <w:t xml:space="preserve"> </w:t>
      </w:r>
      <w:r>
        <w:rPr>
          <w:sz w:val="18"/>
        </w:rPr>
        <w:t>dropped</w:t>
      </w:r>
      <w:r>
        <w:rPr>
          <w:spacing w:val="-4"/>
          <w:sz w:val="18"/>
        </w:rPr>
        <w:t xml:space="preserve"> </w:t>
      </w:r>
      <w:r>
        <w:rPr>
          <w:sz w:val="18"/>
        </w:rPr>
        <w:t>by 15.91%, directly suppressed the price increase of the domestic like products. As a result, the price of the domestic like products was unable to increase accordingly […] "); 66 ("During the period of injury investigation, the price of the dumped imports declined continuously. While the</w:t>
      </w:r>
      <w:r>
        <w:rPr>
          <w:spacing w:val="-3"/>
          <w:sz w:val="18"/>
        </w:rPr>
        <w:t xml:space="preserve"> </w:t>
      </w:r>
      <w:r>
        <w:rPr>
          <w:sz w:val="18"/>
        </w:rPr>
        <w:t>unit cost of the domestic like products increased by 25.19% as a whole, especially while</w:t>
      </w:r>
      <w:r>
        <w:rPr>
          <w:spacing w:val="-3"/>
          <w:sz w:val="18"/>
        </w:rPr>
        <w:t xml:space="preserve"> </w:t>
      </w:r>
      <w:r>
        <w:rPr>
          <w:sz w:val="18"/>
        </w:rPr>
        <w:t>the</w:t>
      </w:r>
      <w:r>
        <w:rPr>
          <w:spacing w:val="-3"/>
          <w:sz w:val="18"/>
        </w:rPr>
        <w:t xml:space="preserve"> </w:t>
      </w:r>
      <w:r>
        <w:rPr>
          <w:sz w:val="18"/>
        </w:rPr>
        <w:t>unit</w:t>
      </w:r>
      <w:r>
        <w:rPr>
          <w:spacing w:val="-2"/>
          <w:sz w:val="18"/>
        </w:rPr>
        <w:t xml:space="preserve"> </w:t>
      </w:r>
      <w:r>
        <w:rPr>
          <w:sz w:val="18"/>
        </w:rPr>
        <w:t>cost</w:t>
      </w:r>
      <w:r>
        <w:rPr>
          <w:spacing w:val="-2"/>
          <w:sz w:val="18"/>
        </w:rPr>
        <w:t xml:space="preserve"> </w:t>
      </w:r>
      <w:r>
        <w:rPr>
          <w:sz w:val="18"/>
        </w:rPr>
        <w:t>increased</w:t>
      </w:r>
      <w:r>
        <w:rPr>
          <w:spacing w:val="-4"/>
          <w:sz w:val="18"/>
        </w:rPr>
        <w:t xml:space="preserve"> </w:t>
      </w:r>
      <w:r>
        <w:rPr>
          <w:sz w:val="18"/>
        </w:rPr>
        <w:t>by</w:t>
      </w:r>
      <w:r>
        <w:rPr>
          <w:spacing w:val="-5"/>
          <w:sz w:val="18"/>
        </w:rPr>
        <w:t xml:space="preserve"> </w:t>
      </w:r>
      <w:r>
        <w:rPr>
          <w:sz w:val="18"/>
        </w:rPr>
        <w:t>30.24%,</w:t>
      </w:r>
      <w:r>
        <w:rPr>
          <w:spacing w:val="-1"/>
          <w:sz w:val="18"/>
        </w:rPr>
        <w:t xml:space="preserve"> </w:t>
      </w:r>
      <w:r>
        <w:rPr>
          <w:sz w:val="18"/>
        </w:rPr>
        <w:t>the</w:t>
      </w:r>
      <w:r>
        <w:rPr>
          <w:spacing w:val="-3"/>
          <w:sz w:val="18"/>
        </w:rPr>
        <w:t xml:space="preserve"> </w:t>
      </w:r>
      <w:r>
        <w:rPr>
          <w:sz w:val="18"/>
        </w:rPr>
        <w:t>sales</w:t>
      </w:r>
      <w:r>
        <w:rPr>
          <w:spacing w:val="-3"/>
          <w:sz w:val="18"/>
        </w:rPr>
        <w:t xml:space="preserve"> </w:t>
      </w:r>
      <w:r>
        <w:rPr>
          <w:sz w:val="18"/>
        </w:rPr>
        <w:t>price</w:t>
      </w:r>
      <w:r>
        <w:rPr>
          <w:spacing w:val="-3"/>
          <w:sz w:val="18"/>
        </w:rPr>
        <w:t xml:space="preserve"> </w:t>
      </w:r>
      <w:r>
        <w:rPr>
          <w:sz w:val="18"/>
        </w:rPr>
        <w:t>only</w:t>
      </w:r>
      <w:r>
        <w:rPr>
          <w:spacing w:val="-5"/>
          <w:sz w:val="18"/>
        </w:rPr>
        <w:t xml:space="preserve"> </w:t>
      </w:r>
      <w:r>
        <w:rPr>
          <w:sz w:val="18"/>
        </w:rPr>
        <w:t>increased</w:t>
      </w:r>
      <w:r>
        <w:rPr>
          <w:spacing w:val="-4"/>
          <w:sz w:val="18"/>
        </w:rPr>
        <w:t xml:space="preserve"> </w:t>
      </w:r>
      <w:r>
        <w:rPr>
          <w:sz w:val="18"/>
        </w:rPr>
        <w:t>by</w:t>
      </w:r>
      <w:r>
        <w:rPr>
          <w:spacing w:val="-5"/>
          <w:sz w:val="18"/>
        </w:rPr>
        <w:t xml:space="preserve"> </w:t>
      </w:r>
      <w:r>
        <w:rPr>
          <w:sz w:val="18"/>
        </w:rPr>
        <w:t>20.54%</w:t>
      </w:r>
      <w:r>
        <w:rPr>
          <w:spacing w:val="-5"/>
          <w:sz w:val="18"/>
        </w:rPr>
        <w:t xml:space="preserve"> </w:t>
      </w:r>
      <w:r>
        <w:rPr>
          <w:sz w:val="18"/>
        </w:rPr>
        <w:t>which</w:t>
      </w:r>
      <w:r>
        <w:rPr>
          <w:spacing w:val="-4"/>
          <w:sz w:val="18"/>
        </w:rPr>
        <w:t xml:space="preserve"> </w:t>
      </w:r>
      <w:r>
        <w:rPr>
          <w:sz w:val="18"/>
        </w:rPr>
        <w:t>was</w:t>
      </w:r>
      <w:r>
        <w:rPr>
          <w:spacing w:val="-8"/>
          <w:sz w:val="18"/>
        </w:rPr>
        <w:t xml:space="preserve"> </w:t>
      </w:r>
      <w:r>
        <w:rPr>
          <w:sz w:val="18"/>
        </w:rPr>
        <w:t>lower</w:t>
      </w:r>
      <w:r>
        <w:rPr>
          <w:spacing w:val="-5"/>
          <w:sz w:val="18"/>
        </w:rPr>
        <w:t xml:space="preserve"> </w:t>
      </w:r>
      <w:r>
        <w:rPr>
          <w:sz w:val="18"/>
        </w:rPr>
        <w:t>than</w:t>
      </w:r>
      <w:r>
        <w:rPr>
          <w:spacing w:val="-4"/>
          <w:sz w:val="18"/>
        </w:rPr>
        <w:t xml:space="preserve"> </w:t>
      </w:r>
      <w:r>
        <w:rPr>
          <w:sz w:val="18"/>
        </w:rPr>
        <w:t>the</w:t>
      </w:r>
      <w:r>
        <w:rPr>
          <w:spacing w:val="-3"/>
          <w:sz w:val="18"/>
        </w:rPr>
        <w:t xml:space="preserve"> </w:t>
      </w:r>
      <w:r>
        <w:rPr>
          <w:sz w:val="18"/>
        </w:rPr>
        <w:t>increase</w:t>
      </w:r>
      <w:r>
        <w:rPr>
          <w:spacing w:val="-3"/>
          <w:sz w:val="18"/>
        </w:rPr>
        <w:t xml:space="preserve"> </w:t>
      </w:r>
      <w:r>
        <w:rPr>
          <w:sz w:val="18"/>
        </w:rPr>
        <w:t>of</w:t>
      </w:r>
      <w:r>
        <w:rPr>
          <w:spacing w:val="-2"/>
          <w:sz w:val="18"/>
        </w:rPr>
        <w:t xml:space="preserve"> </w:t>
      </w:r>
      <w:r>
        <w:rPr>
          <w:sz w:val="18"/>
        </w:rPr>
        <w:t>costs in the same period"); and 68 (The comparison data showed that during the period of injury investigation, the price of the dumped</w:t>
      </w:r>
      <w:r>
        <w:rPr>
          <w:spacing w:val="-11"/>
          <w:sz w:val="18"/>
        </w:rPr>
        <w:t xml:space="preserve"> </w:t>
      </w:r>
      <w:r>
        <w:rPr>
          <w:sz w:val="18"/>
        </w:rPr>
        <w:t>imports</w:t>
      </w:r>
      <w:r>
        <w:rPr>
          <w:spacing w:val="-10"/>
          <w:sz w:val="18"/>
        </w:rPr>
        <w:t xml:space="preserve"> </w:t>
      </w:r>
      <w:r>
        <w:rPr>
          <w:sz w:val="18"/>
        </w:rPr>
        <w:t>was</w:t>
      </w:r>
      <w:r>
        <w:rPr>
          <w:spacing w:val="-10"/>
          <w:sz w:val="18"/>
        </w:rPr>
        <w:t xml:space="preserve"> </w:t>
      </w:r>
      <w:r>
        <w:rPr>
          <w:sz w:val="18"/>
        </w:rPr>
        <w:t>in</w:t>
      </w:r>
      <w:r>
        <w:rPr>
          <w:spacing w:val="-10"/>
          <w:sz w:val="18"/>
        </w:rPr>
        <w:t xml:space="preserve"> </w:t>
      </w:r>
      <w:r>
        <w:rPr>
          <w:sz w:val="18"/>
        </w:rPr>
        <w:t>a</w:t>
      </w:r>
      <w:r>
        <w:rPr>
          <w:spacing w:val="-10"/>
          <w:sz w:val="18"/>
        </w:rPr>
        <w:t xml:space="preserve"> </w:t>
      </w:r>
      <w:r>
        <w:rPr>
          <w:sz w:val="18"/>
        </w:rPr>
        <w:t>downtrend</w:t>
      </w:r>
      <w:r>
        <w:rPr>
          <w:spacing w:val="-11"/>
          <w:sz w:val="18"/>
        </w:rPr>
        <w:t xml:space="preserve"> </w:t>
      </w:r>
      <w:r>
        <w:rPr>
          <w:sz w:val="18"/>
        </w:rPr>
        <w:t>with</w:t>
      </w:r>
      <w:r>
        <w:rPr>
          <w:spacing w:val="-10"/>
          <w:sz w:val="18"/>
        </w:rPr>
        <w:t xml:space="preserve"> </w:t>
      </w:r>
      <w:r>
        <w:rPr>
          <w:sz w:val="18"/>
        </w:rPr>
        <w:t>a</w:t>
      </w:r>
      <w:r>
        <w:rPr>
          <w:spacing w:val="-10"/>
          <w:sz w:val="18"/>
        </w:rPr>
        <w:t xml:space="preserve"> </w:t>
      </w:r>
      <w:r>
        <w:rPr>
          <w:sz w:val="18"/>
        </w:rPr>
        <w:t>cumulative</w:t>
      </w:r>
      <w:r>
        <w:rPr>
          <w:spacing w:val="-10"/>
          <w:sz w:val="18"/>
        </w:rPr>
        <w:t xml:space="preserve"> </w:t>
      </w:r>
      <w:r>
        <w:rPr>
          <w:sz w:val="18"/>
        </w:rPr>
        <w:t>decline</w:t>
      </w:r>
      <w:r>
        <w:rPr>
          <w:spacing w:val="-10"/>
          <w:sz w:val="18"/>
        </w:rPr>
        <w:t xml:space="preserve"> </w:t>
      </w:r>
      <w:r>
        <w:rPr>
          <w:sz w:val="18"/>
        </w:rPr>
        <w:t>of</w:t>
      </w:r>
      <w:r>
        <w:rPr>
          <w:spacing w:val="-10"/>
          <w:sz w:val="18"/>
        </w:rPr>
        <w:t xml:space="preserve"> </w:t>
      </w:r>
      <w:r>
        <w:rPr>
          <w:sz w:val="18"/>
        </w:rPr>
        <w:t>15.91%</w:t>
      </w:r>
      <w:r>
        <w:rPr>
          <w:spacing w:val="-8"/>
          <w:sz w:val="18"/>
        </w:rPr>
        <w:t xml:space="preserve"> </w:t>
      </w:r>
      <w:r>
        <w:rPr>
          <w:sz w:val="18"/>
        </w:rPr>
        <w:t>in</w:t>
      </w:r>
      <w:r>
        <w:rPr>
          <w:spacing w:val="-9"/>
          <w:sz w:val="18"/>
        </w:rPr>
        <w:t xml:space="preserve"> </w:t>
      </w:r>
      <w:r>
        <w:rPr>
          <w:sz w:val="18"/>
        </w:rPr>
        <w:t>2015-2019,</w:t>
      </w:r>
      <w:r>
        <w:rPr>
          <w:spacing w:val="-6"/>
          <w:sz w:val="18"/>
        </w:rPr>
        <w:t xml:space="preserve"> </w:t>
      </w:r>
      <w:r>
        <w:rPr>
          <w:sz w:val="18"/>
        </w:rPr>
        <w:t>suppressing</w:t>
      </w:r>
      <w:r>
        <w:rPr>
          <w:spacing w:val="-11"/>
          <w:sz w:val="18"/>
        </w:rPr>
        <w:t xml:space="preserve"> </w:t>
      </w:r>
      <w:r>
        <w:rPr>
          <w:sz w:val="18"/>
        </w:rPr>
        <w:t>the</w:t>
      </w:r>
      <w:r>
        <w:rPr>
          <w:spacing w:val="-10"/>
          <w:sz w:val="18"/>
        </w:rPr>
        <w:t xml:space="preserve"> </w:t>
      </w:r>
      <w:r>
        <w:rPr>
          <w:sz w:val="18"/>
        </w:rPr>
        <w:t>price</w:t>
      </w:r>
      <w:r>
        <w:rPr>
          <w:spacing w:val="-7"/>
          <w:sz w:val="18"/>
        </w:rPr>
        <w:t xml:space="preserve"> </w:t>
      </w:r>
      <w:r>
        <w:rPr>
          <w:sz w:val="18"/>
        </w:rPr>
        <w:t>of</w:t>
      </w:r>
      <w:r>
        <w:rPr>
          <w:spacing w:val="-7"/>
          <w:sz w:val="18"/>
        </w:rPr>
        <w:t xml:space="preserve"> </w:t>
      </w:r>
      <w:r>
        <w:rPr>
          <w:sz w:val="18"/>
        </w:rPr>
        <w:t>the</w:t>
      </w:r>
      <w:r>
        <w:rPr>
          <w:spacing w:val="-8"/>
          <w:sz w:val="18"/>
        </w:rPr>
        <w:t xml:space="preserve"> </w:t>
      </w:r>
      <w:r>
        <w:rPr>
          <w:sz w:val="18"/>
        </w:rPr>
        <w:t>domestic like products on conditions of the increases in cost[…]"). See also Anti-Dumping Final Determination (AUS-2), pp. 120-123; 136, 139-140.</w:t>
      </w:r>
    </w:p>
    <w:p w14:paraId="6392A3E4" w14:textId="77777777" w:rsidR="00BD462C" w:rsidRDefault="00033D0F">
      <w:pPr>
        <w:ind w:left="135"/>
        <w:jc w:val="both"/>
        <w:rPr>
          <w:sz w:val="18"/>
        </w:rPr>
      </w:pPr>
      <w:bookmarkStart w:id="966" w:name="_bookmark830"/>
      <w:bookmarkEnd w:id="966"/>
      <w:r>
        <w:rPr>
          <w:position w:val="5"/>
          <w:sz w:val="12"/>
        </w:rPr>
        <w:t>705</w:t>
      </w:r>
      <w:r>
        <w:rPr>
          <w:spacing w:val="16"/>
          <w:position w:val="5"/>
          <w:sz w:val="12"/>
        </w:rPr>
        <w:t xml:space="preserve"> </w:t>
      </w:r>
      <w:r>
        <w:rPr>
          <w:sz w:val="18"/>
        </w:rPr>
        <w:t>Panel</w:t>
      </w:r>
      <w:r>
        <w:rPr>
          <w:spacing w:val="-2"/>
          <w:sz w:val="18"/>
        </w:rPr>
        <w:t xml:space="preserve"> </w:t>
      </w:r>
      <w:r>
        <w:rPr>
          <w:sz w:val="18"/>
        </w:rPr>
        <w:t>Report,</w:t>
      </w:r>
      <w:r>
        <w:rPr>
          <w:spacing w:val="-1"/>
          <w:sz w:val="18"/>
        </w:rPr>
        <w:t xml:space="preserve"> </w:t>
      </w:r>
      <w:r>
        <w:rPr>
          <w:i/>
          <w:sz w:val="18"/>
        </w:rPr>
        <w:t>China</w:t>
      </w:r>
      <w:r>
        <w:rPr>
          <w:i/>
          <w:spacing w:val="-2"/>
          <w:sz w:val="18"/>
        </w:rPr>
        <w:t xml:space="preserve"> </w:t>
      </w:r>
      <w:r>
        <w:rPr>
          <w:i/>
          <w:sz w:val="18"/>
        </w:rPr>
        <w:t>–</w:t>
      </w:r>
      <w:r>
        <w:rPr>
          <w:i/>
          <w:spacing w:val="-3"/>
          <w:sz w:val="18"/>
        </w:rPr>
        <w:t xml:space="preserve"> </w:t>
      </w:r>
      <w:r>
        <w:rPr>
          <w:i/>
          <w:sz w:val="18"/>
        </w:rPr>
        <w:t>GOES</w:t>
      </w:r>
      <w:r>
        <w:rPr>
          <w:i/>
          <w:spacing w:val="-4"/>
          <w:sz w:val="18"/>
        </w:rPr>
        <w:t xml:space="preserve"> </w:t>
      </w:r>
      <w:r>
        <w:rPr>
          <w:i/>
          <w:sz w:val="18"/>
        </w:rPr>
        <w:t>(Article</w:t>
      </w:r>
      <w:r>
        <w:rPr>
          <w:i/>
          <w:spacing w:val="-5"/>
          <w:sz w:val="18"/>
        </w:rPr>
        <w:t xml:space="preserve"> </w:t>
      </w:r>
      <w:r>
        <w:rPr>
          <w:i/>
          <w:sz w:val="18"/>
        </w:rPr>
        <w:t>21.5</w:t>
      </w:r>
      <w:r>
        <w:rPr>
          <w:i/>
          <w:spacing w:val="-5"/>
          <w:sz w:val="18"/>
        </w:rPr>
        <w:t xml:space="preserve"> </w:t>
      </w:r>
      <w:r>
        <w:rPr>
          <w:i/>
          <w:sz w:val="18"/>
        </w:rPr>
        <w:t>-</w:t>
      </w:r>
      <w:r>
        <w:rPr>
          <w:i/>
          <w:spacing w:val="-2"/>
          <w:sz w:val="18"/>
        </w:rPr>
        <w:t xml:space="preserve"> </w:t>
      </w:r>
      <w:r>
        <w:rPr>
          <w:i/>
          <w:sz w:val="18"/>
        </w:rPr>
        <w:t>US)</w:t>
      </w:r>
      <w:r>
        <w:rPr>
          <w:sz w:val="18"/>
        </w:rPr>
        <w:t>, para.</w:t>
      </w:r>
      <w:r>
        <w:rPr>
          <w:spacing w:val="-2"/>
          <w:sz w:val="18"/>
        </w:rPr>
        <w:t xml:space="preserve"> </w:t>
      </w:r>
      <w:r>
        <w:rPr>
          <w:spacing w:val="-4"/>
          <w:sz w:val="18"/>
        </w:rPr>
        <w:t>7.50.</w:t>
      </w:r>
    </w:p>
    <w:p w14:paraId="0BA65E70" w14:textId="77777777" w:rsidR="00BD462C" w:rsidRDefault="00033D0F">
      <w:pPr>
        <w:spacing w:before="1"/>
        <w:ind w:left="135"/>
        <w:jc w:val="both"/>
        <w:rPr>
          <w:sz w:val="18"/>
        </w:rPr>
      </w:pPr>
      <w:bookmarkStart w:id="967" w:name="_bookmark831"/>
      <w:bookmarkEnd w:id="967"/>
      <w:r>
        <w:rPr>
          <w:position w:val="5"/>
          <w:sz w:val="12"/>
        </w:rPr>
        <w:t>706</w:t>
      </w:r>
      <w:r>
        <w:rPr>
          <w:spacing w:val="16"/>
          <w:position w:val="5"/>
          <w:sz w:val="12"/>
        </w:rPr>
        <w:t xml:space="preserve"> </w:t>
      </w:r>
      <w:r>
        <w:rPr>
          <w:sz w:val="18"/>
        </w:rPr>
        <w:t>Panel</w:t>
      </w:r>
      <w:r>
        <w:rPr>
          <w:spacing w:val="-2"/>
          <w:sz w:val="18"/>
        </w:rPr>
        <w:t xml:space="preserve"> </w:t>
      </w:r>
      <w:r>
        <w:rPr>
          <w:sz w:val="18"/>
        </w:rPr>
        <w:t>Report,</w:t>
      </w:r>
      <w:r>
        <w:rPr>
          <w:spacing w:val="-1"/>
          <w:sz w:val="18"/>
        </w:rPr>
        <w:t xml:space="preserve"> </w:t>
      </w:r>
      <w:r>
        <w:rPr>
          <w:i/>
          <w:sz w:val="18"/>
        </w:rPr>
        <w:t>China</w:t>
      </w:r>
      <w:r>
        <w:rPr>
          <w:i/>
          <w:spacing w:val="-2"/>
          <w:sz w:val="18"/>
        </w:rPr>
        <w:t xml:space="preserve"> </w:t>
      </w:r>
      <w:r>
        <w:rPr>
          <w:i/>
          <w:sz w:val="18"/>
        </w:rPr>
        <w:t>–</w:t>
      </w:r>
      <w:r>
        <w:rPr>
          <w:i/>
          <w:spacing w:val="-3"/>
          <w:sz w:val="18"/>
        </w:rPr>
        <w:t xml:space="preserve"> </w:t>
      </w:r>
      <w:r>
        <w:rPr>
          <w:i/>
          <w:sz w:val="18"/>
        </w:rPr>
        <w:t>GOES</w:t>
      </w:r>
      <w:r>
        <w:rPr>
          <w:i/>
          <w:spacing w:val="-5"/>
          <w:sz w:val="18"/>
        </w:rPr>
        <w:t xml:space="preserve"> </w:t>
      </w:r>
      <w:r>
        <w:rPr>
          <w:i/>
          <w:sz w:val="18"/>
        </w:rPr>
        <w:t>(Article</w:t>
      </w:r>
      <w:r>
        <w:rPr>
          <w:i/>
          <w:spacing w:val="-5"/>
          <w:sz w:val="18"/>
        </w:rPr>
        <w:t xml:space="preserve"> </w:t>
      </w:r>
      <w:r>
        <w:rPr>
          <w:i/>
          <w:sz w:val="18"/>
        </w:rPr>
        <w:t>21.5</w:t>
      </w:r>
      <w:r>
        <w:rPr>
          <w:i/>
          <w:spacing w:val="-5"/>
          <w:sz w:val="18"/>
        </w:rPr>
        <w:t xml:space="preserve"> </w:t>
      </w:r>
      <w:r>
        <w:rPr>
          <w:i/>
          <w:sz w:val="18"/>
        </w:rPr>
        <w:t>-</w:t>
      </w:r>
      <w:r>
        <w:rPr>
          <w:i/>
          <w:spacing w:val="-1"/>
          <w:sz w:val="18"/>
        </w:rPr>
        <w:t xml:space="preserve"> </w:t>
      </w:r>
      <w:r>
        <w:rPr>
          <w:i/>
          <w:sz w:val="18"/>
        </w:rPr>
        <w:t>US)</w:t>
      </w:r>
      <w:r>
        <w:rPr>
          <w:sz w:val="18"/>
        </w:rPr>
        <w:t>,</w:t>
      </w:r>
      <w:r>
        <w:rPr>
          <w:spacing w:val="-1"/>
          <w:sz w:val="18"/>
        </w:rPr>
        <w:t xml:space="preserve"> </w:t>
      </w:r>
      <w:r>
        <w:rPr>
          <w:sz w:val="18"/>
        </w:rPr>
        <w:t>para.</w:t>
      </w:r>
      <w:r>
        <w:rPr>
          <w:spacing w:val="-2"/>
          <w:sz w:val="18"/>
        </w:rPr>
        <w:t xml:space="preserve"> </w:t>
      </w:r>
      <w:r>
        <w:rPr>
          <w:spacing w:val="-4"/>
          <w:sz w:val="18"/>
        </w:rPr>
        <w:t>7.50.</w:t>
      </w:r>
    </w:p>
    <w:p w14:paraId="0881A4CA" w14:textId="77777777" w:rsidR="00BD462C" w:rsidRDefault="00033D0F">
      <w:pPr>
        <w:spacing w:before="1" w:line="218" w:lineRule="exact"/>
        <w:ind w:left="135"/>
        <w:jc w:val="both"/>
        <w:rPr>
          <w:sz w:val="18"/>
        </w:rPr>
      </w:pPr>
      <w:bookmarkStart w:id="968" w:name="_bookmark832"/>
      <w:bookmarkEnd w:id="968"/>
      <w:r>
        <w:rPr>
          <w:position w:val="5"/>
          <w:sz w:val="12"/>
        </w:rPr>
        <w:t>707</w:t>
      </w:r>
      <w:r>
        <w:rPr>
          <w:spacing w:val="15"/>
          <w:position w:val="5"/>
          <w:sz w:val="12"/>
        </w:rPr>
        <w:t xml:space="preserve"> </w:t>
      </w:r>
      <w:r>
        <w:rPr>
          <w:sz w:val="18"/>
        </w:rPr>
        <w:t>Panel</w:t>
      </w:r>
      <w:r>
        <w:rPr>
          <w:spacing w:val="-2"/>
          <w:sz w:val="18"/>
        </w:rPr>
        <w:t xml:space="preserve"> </w:t>
      </w:r>
      <w:r>
        <w:rPr>
          <w:sz w:val="18"/>
        </w:rPr>
        <w:t>Report,</w:t>
      </w:r>
      <w:r>
        <w:rPr>
          <w:spacing w:val="-1"/>
          <w:sz w:val="18"/>
        </w:rPr>
        <w:t xml:space="preserve"> </w:t>
      </w:r>
      <w:r>
        <w:rPr>
          <w:i/>
          <w:sz w:val="18"/>
        </w:rPr>
        <w:t>China</w:t>
      </w:r>
      <w:r>
        <w:rPr>
          <w:i/>
          <w:spacing w:val="-2"/>
          <w:sz w:val="18"/>
        </w:rPr>
        <w:t xml:space="preserve"> </w:t>
      </w:r>
      <w:r>
        <w:rPr>
          <w:i/>
          <w:sz w:val="18"/>
        </w:rPr>
        <w:t>–</w:t>
      </w:r>
      <w:r>
        <w:rPr>
          <w:i/>
          <w:spacing w:val="-4"/>
          <w:sz w:val="18"/>
        </w:rPr>
        <w:t xml:space="preserve"> </w:t>
      </w:r>
      <w:r>
        <w:rPr>
          <w:i/>
          <w:sz w:val="18"/>
        </w:rPr>
        <w:t>GOES</w:t>
      </w:r>
      <w:r>
        <w:rPr>
          <w:i/>
          <w:spacing w:val="-5"/>
          <w:sz w:val="18"/>
        </w:rPr>
        <w:t xml:space="preserve"> </w:t>
      </w:r>
      <w:r>
        <w:rPr>
          <w:i/>
          <w:sz w:val="18"/>
        </w:rPr>
        <w:t>(Article</w:t>
      </w:r>
      <w:r>
        <w:rPr>
          <w:i/>
          <w:spacing w:val="-5"/>
          <w:sz w:val="18"/>
        </w:rPr>
        <w:t xml:space="preserve"> </w:t>
      </w:r>
      <w:r>
        <w:rPr>
          <w:i/>
          <w:sz w:val="18"/>
        </w:rPr>
        <w:t>21.5</w:t>
      </w:r>
      <w:r>
        <w:rPr>
          <w:i/>
          <w:spacing w:val="-5"/>
          <w:sz w:val="18"/>
        </w:rPr>
        <w:t xml:space="preserve"> </w:t>
      </w:r>
      <w:r>
        <w:rPr>
          <w:i/>
          <w:sz w:val="18"/>
        </w:rPr>
        <w:t>-</w:t>
      </w:r>
      <w:r>
        <w:rPr>
          <w:i/>
          <w:spacing w:val="-2"/>
          <w:sz w:val="18"/>
        </w:rPr>
        <w:t xml:space="preserve"> </w:t>
      </w:r>
      <w:r>
        <w:rPr>
          <w:i/>
          <w:sz w:val="18"/>
        </w:rPr>
        <w:t>US)</w:t>
      </w:r>
      <w:r>
        <w:rPr>
          <w:sz w:val="18"/>
        </w:rPr>
        <w:t>,</w:t>
      </w:r>
      <w:r>
        <w:rPr>
          <w:spacing w:val="-1"/>
          <w:sz w:val="18"/>
        </w:rPr>
        <w:t xml:space="preserve"> </w:t>
      </w:r>
      <w:r>
        <w:rPr>
          <w:sz w:val="18"/>
        </w:rPr>
        <w:t>para.</w:t>
      </w:r>
      <w:r>
        <w:rPr>
          <w:spacing w:val="-3"/>
          <w:sz w:val="18"/>
        </w:rPr>
        <w:t xml:space="preserve"> </w:t>
      </w:r>
      <w:r>
        <w:rPr>
          <w:sz w:val="18"/>
        </w:rPr>
        <w:t>7.50-</w:t>
      </w:r>
      <w:r>
        <w:rPr>
          <w:spacing w:val="-4"/>
          <w:sz w:val="18"/>
        </w:rPr>
        <w:t>7.51.</w:t>
      </w:r>
    </w:p>
    <w:p w14:paraId="709B9267" w14:textId="77777777" w:rsidR="00BD462C" w:rsidRDefault="00033D0F">
      <w:pPr>
        <w:spacing w:line="218" w:lineRule="exact"/>
        <w:ind w:left="135"/>
        <w:jc w:val="both"/>
        <w:rPr>
          <w:sz w:val="18"/>
        </w:rPr>
      </w:pPr>
      <w:bookmarkStart w:id="969" w:name="_bookmark833"/>
      <w:bookmarkEnd w:id="969"/>
      <w:r>
        <w:rPr>
          <w:position w:val="5"/>
          <w:sz w:val="12"/>
        </w:rPr>
        <w:t>708</w:t>
      </w:r>
      <w:r>
        <w:rPr>
          <w:spacing w:val="16"/>
          <w:position w:val="5"/>
          <w:sz w:val="12"/>
        </w:rPr>
        <w:t xml:space="preserve"> </w:t>
      </w:r>
      <w:r>
        <w:rPr>
          <w:sz w:val="18"/>
        </w:rPr>
        <w:t>Panel</w:t>
      </w:r>
      <w:r>
        <w:rPr>
          <w:spacing w:val="-2"/>
          <w:sz w:val="18"/>
        </w:rPr>
        <w:t xml:space="preserve"> </w:t>
      </w:r>
      <w:r>
        <w:rPr>
          <w:sz w:val="18"/>
        </w:rPr>
        <w:t>Report,</w:t>
      </w:r>
      <w:r>
        <w:rPr>
          <w:spacing w:val="-1"/>
          <w:sz w:val="18"/>
        </w:rPr>
        <w:t xml:space="preserve"> </w:t>
      </w:r>
      <w:r>
        <w:rPr>
          <w:i/>
          <w:sz w:val="18"/>
        </w:rPr>
        <w:t>China</w:t>
      </w:r>
      <w:r>
        <w:rPr>
          <w:i/>
          <w:spacing w:val="-2"/>
          <w:sz w:val="18"/>
        </w:rPr>
        <w:t xml:space="preserve"> </w:t>
      </w:r>
      <w:r>
        <w:rPr>
          <w:i/>
          <w:sz w:val="18"/>
        </w:rPr>
        <w:t>–</w:t>
      </w:r>
      <w:r>
        <w:rPr>
          <w:i/>
          <w:spacing w:val="-3"/>
          <w:sz w:val="18"/>
        </w:rPr>
        <w:t xml:space="preserve"> </w:t>
      </w:r>
      <w:r>
        <w:rPr>
          <w:i/>
          <w:sz w:val="18"/>
        </w:rPr>
        <w:t>GOES</w:t>
      </w:r>
      <w:r>
        <w:rPr>
          <w:i/>
          <w:spacing w:val="-4"/>
          <w:sz w:val="18"/>
        </w:rPr>
        <w:t xml:space="preserve"> </w:t>
      </w:r>
      <w:r>
        <w:rPr>
          <w:i/>
          <w:sz w:val="18"/>
        </w:rPr>
        <w:t>(Article</w:t>
      </w:r>
      <w:r>
        <w:rPr>
          <w:i/>
          <w:spacing w:val="-5"/>
          <w:sz w:val="18"/>
        </w:rPr>
        <w:t xml:space="preserve"> </w:t>
      </w:r>
      <w:r>
        <w:rPr>
          <w:i/>
          <w:sz w:val="18"/>
        </w:rPr>
        <w:t>21.5</w:t>
      </w:r>
      <w:r>
        <w:rPr>
          <w:i/>
          <w:spacing w:val="-5"/>
          <w:sz w:val="18"/>
        </w:rPr>
        <w:t xml:space="preserve"> </w:t>
      </w:r>
      <w:r>
        <w:rPr>
          <w:i/>
          <w:sz w:val="18"/>
        </w:rPr>
        <w:t>-</w:t>
      </w:r>
      <w:r>
        <w:rPr>
          <w:i/>
          <w:spacing w:val="-2"/>
          <w:sz w:val="18"/>
        </w:rPr>
        <w:t xml:space="preserve"> </w:t>
      </w:r>
      <w:r>
        <w:rPr>
          <w:i/>
          <w:sz w:val="18"/>
        </w:rPr>
        <w:t>US)</w:t>
      </w:r>
      <w:r>
        <w:rPr>
          <w:sz w:val="18"/>
        </w:rPr>
        <w:t>, para.</w:t>
      </w:r>
      <w:r>
        <w:rPr>
          <w:spacing w:val="-2"/>
          <w:sz w:val="18"/>
        </w:rPr>
        <w:t xml:space="preserve"> </w:t>
      </w:r>
      <w:r>
        <w:rPr>
          <w:spacing w:val="-4"/>
          <w:sz w:val="18"/>
        </w:rPr>
        <w:t>7.58.</w:t>
      </w:r>
    </w:p>
    <w:p w14:paraId="1B4C5C07" w14:textId="77777777" w:rsidR="00BD462C" w:rsidRDefault="00033D0F">
      <w:pPr>
        <w:spacing w:before="1"/>
        <w:ind w:left="135"/>
        <w:rPr>
          <w:sz w:val="18"/>
        </w:rPr>
      </w:pPr>
      <w:bookmarkStart w:id="970" w:name="_bookmark834"/>
      <w:bookmarkEnd w:id="970"/>
      <w:r>
        <w:rPr>
          <w:position w:val="5"/>
          <w:sz w:val="12"/>
        </w:rPr>
        <w:t>709</w:t>
      </w:r>
      <w:r>
        <w:rPr>
          <w:spacing w:val="16"/>
          <w:position w:val="5"/>
          <w:sz w:val="12"/>
        </w:rPr>
        <w:t xml:space="preserve"> </w:t>
      </w:r>
      <w:r>
        <w:rPr>
          <w:sz w:val="18"/>
        </w:rPr>
        <w:t>Panel</w:t>
      </w:r>
      <w:r>
        <w:rPr>
          <w:spacing w:val="-2"/>
          <w:sz w:val="18"/>
        </w:rPr>
        <w:t xml:space="preserve"> </w:t>
      </w:r>
      <w:r>
        <w:rPr>
          <w:sz w:val="18"/>
        </w:rPr>
        <w:t>Report,</w:t>
      </w:r>
      <w:r>
        <w:rPr>
          <w:spacing w:val="-1"/>
          <w:sz w:val="18"/>
        </w:rPr>
        <w:t xml:space="preserve"> </w:t>
      </w:r>
      <w:r>
        <w:rPr>
          <w:i/>
          <w:sz w:val="18"/>
        </w:rPr>
        <w:t>China</w:t>
      </w:r>
      <w:r>
        <w:rPr>
          <w:i/>
          <w:spacing w:val="-2"/>
          <w:sz w:val="18"/>
        </w:rPr>
        <w:t xml:space="preserve"> </w:t>
      </w:r>
      <w:r>
        <w:rPr>
          <w:i/>
          <w:sz w:val="18"/>
        </w:rPr>
        <w:t>–</w:t>
      </w:r>
      <w:r>
        <w:rPr>
          <w:i/>
          <w:spacing w:val="-3"/>
          <w:sz w:val="18"/>
        </w:rPr>
        <w:t xml:space="preserve"> </w:t>
      </w:r>
      <w:r>
        <w:rPr>
          <w:i/>
          <w:sz w:val="18"/>
        </w:rPr>
        <w:t>GOES</w:t>
      </w:r>
      <w:r>
        <w:rPr>
          <w:i/>
          <w:spacing w:val="-4"/>
          <w:sz w:val="18"/>
        </w:rPr>
        <w:t xml:space="preserve"> </w:t>
      </w:r>
      <w:r>
        <w:rPr>
          <w:i/>
          <w:sz w:val="18"/>
        </w:rPr>
        <w:t>(Article</w:t>
      </w:r>
      <w:r>
        <w:rPr>
          <w:i/>
          <w:spacing w:val="-5"/>
          <w:sz w:val="18"/>
        </w:rPr>
        <w:t xml:space="preserve"> </w:t>
      </w:r>
      <w:r>
        <w:rPr>
          <w:i/>
          <w:sz w:val="18"/>
        </w:rPr>
        <w:t>21.5</w:t>
      </w:r>
      <w:r>
        <w:rPr>
          <w:i/>
          <w:spacing w:val="-5"/>
          <w:sz w:val="18"/>
        </w:rPr>
        <w:t xml:space="preserve"> </w:t>
      </w:r>
      <w:r>
        <w:rPr>
          <w:i/>
          <w:sz w:val="18"/>
        </w:rPr>
        <w:t>-</w:t>
      </w:r>
      <w:r>
        <w:rPr>
          <w:i/>
          <w:spacing w:val="-2"/>
          <w:sz w:val="18"/>
        </w:rPr>
        <w:t xml:space="preserve"> </w:t>
      </w:r>
      <w:r>
        <w:rPr>
          <w:i/>
          <w:sz w:val="18"/>
        </w:rPr>
        <w:t>US)</w:t>
      </w:r>
      <w:r>
        <w:rPr>
          <w:sz w:val="18"/>
        </w:rPr>
        <w:t>, para.</w:t>
      </w:r>
      <w:r>
        <w:rPr>
          <w:spacing w:val="-2"/>
          <w:sz w:val="18"/>
        </w:rPr>
        <w:t xml:space="preserve"> </w:t>
      </w:r>
      <w:r>
        <w:rPr>
          <w:spacing w:val="-4"/>
          <w:sz w:val="18"/>
        </w:rPr>
        <w:t>7.63.</w:t>
      </w:r>
    </w:p>
    <w:p w14:paraId="5B732D84" w14:textId="77777777" w:rsidR="00BD462C" w:rsidRDefault="00033D0F">
      <w:pPr>
        <w:spacing w:before="1"/>
        <w:ind w:left="135"/>
        <w:rPr>
          <w:sz w:val="18"/>
        </w:rPr>
      </w:pPr>
      <w:bookmarkStart w:id="971" w:name="_bookmark835"/>
      <w:bookmarkEnd w:id="971"/>
      <w:r>
        <w:rPr>
          <w:position w:val="5"/>
          <w:sz w:val="12"/>
        </w:rPr>
        <w:t>710</w:t>
      </w:r>
      <w:r>
        <w:rPr>
          <w:spacing w:val="15"/>
          <w:position w:val="5"/>
          <w:sz w:val="12"/>
        </w:rPr>
        <w:t xml:space="preserve"> </w:t>
      </w:r>
      <w:r>
        <w:rPr>
          <w:sz w:val="18"/>
        </w:rPr>
        <w:t>See</w:t>
      </w:r>
      <w:r>
        <w:rPr>
          <w:spacing w:val="-3"/>
          <w:sz w:val="18"/>
        </w:rPr>
        <w:t xml:space="preserve"> </w:t>
      </w:r>
      <w:r>
        <w:rPr>
          <w:sz w:val="18"/>
        </w:rPr>
        <w:t>also</w:t>
      </w:r>
      <w:r>
        <w:rPr>
          <w:spacing w:val="1"/>
          <w:sz w:val="18"/>
        </w:rPr>
        <w:t xml:space="preserve"> </w:t>
      </w:r>
      <w:r>
        <w:rPr>
          <w:sz w:val="18"/>
        </w:rPr>
        <w:t>section</w:t>
      </w:r>
      <w:r>
        <w:rPr>
          <w:spacing w:val="-5"/>
          <w:sz w:val="18"/>
        </w:rPr>
        <w:t xml:space="preserve"> </w:t>
      </w:r>
      <w:hyperlink w:anchor="_bookmark1015" w:history="1">
        <w:r>
          <w:rPr>
            <w:spacing w:val="-2"/>
            <w:sz w:val="18"/>
          </w:rPr>
          <w:t>V.D.3(b)i.</w:t>
        </w:r>
      </w:hyperlink>
    </w:p>
    <w:p w14:paraId="6CA60AE6" w14:textId="77777777" w:rsidR="00BD462C" w:rsidRDefault="00033D0F">
      <w:pPr>
        <w:spacing w:before="1"/>
        <w:ind w:left="135" w:right="904"/>
        <w:rPr>
          <w:sz w:val="18"/>
        </w:rPr>
      </w:pPr>
      <w:bookmarkStart w:id="972" w:name="_bookmark836"/>
      <w:bookmarkEnd w:id="972"/>
      <w:r>
        <w:rPr>
          <w:position w:val="5"/>
          <w:sz w:val="12"/>
        </w:rPr>
        <w:t>711</w:t>
      </w:r>
      <w:r>
        <w:rPr>
          <w:spacing w:val="26"/>
          <w:position w:val="5"/>
          <w:sz w:val="12"/>
        </w:rPr>
        <w:t xml:space="preserve"> </w:t>
      </w:r>
      <w:r>
        <w:rPr>
          <w:sz w:val="18"/>
        </w:rPr>
        <w:t xml:space="preserve">China's first written submission, para. 1187(ii-iii); response to Panel question no. 27, paras. 134-138, 141-145, 150, and </w:t>
      </w:r>
      <w:r>
        <w:rPr>
          <w:spacing w:val="-2"/>
          <w:sz w:val="18"/>
        </w:rPr>
        <w:t>151-152.</w:t>
      </w:r>
    </w:p>
    <w:p w14:paraId="38FD139D" w14:textId="77777777" w:rsidR="00BD462C" w:rsidRDefault="00BD462C">
      <w:pPr>
        <w:rPr>
          <w:sz w:val="18"/>
        </w:rPr>
        <w:sectPr w:rsidR="00BD462C">
          <w:pgSz w:w="11910" w:h="16840"/>
          <w:pgMar w:top="860" w:right="500" w:bottom="780" w:left="1280" w:header="566" w:footer="590" w:gutter="0"/>
          <w:cols w:space="720"/>
        </w:sectPr>
      </w:pPr>
    </w:p>
    <w:p w14:paraId="5FE643D4"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1FC4F508"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61F905A7"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295AB807" w14:textId="77777777" w:rsidR="00BD462C" w:rsidRDefault="00033D0F">
      <w:pPr>
        <w:pStyle w:val="BodyText"/>
        <w:spacing w:before="102" w:line="360" w:lineRule="auto"/>
        <w:ind w:left="136" w:right="909"/>
        <w:jc w:val="both"/>
      </w:pPr>
      <w:r>
        <w:t>be indicative of a change in the category or grade of products exported".</w:t>
      </w:r>
      <w:hyperlink w:anchor="_bookmark837" w:history="1">
        <w:r>
          <w:rPr>
            <w:vertAlign w:val="superscript"/>
          </w:rPr>
          <w:t>712</w:t>
        </w:r>
      </w:hyperlink>
      <w:r>
        <w:t xml:space="preserve"> The fact that MOFCOM's calculation</w:t>
      </w:r>
      <w:r>
        <w:rPr>
          <w:spacing w:val="-1"/>
        </w:rPr>
        <w:t xml:space="preserve"> </w:t>
      </w:r>
      <w:r>
        <w:t>of the "liquidation</w:t>
      </w:r>
      <w:r>
        <w:rPr>
          <w:spacing w:val="-1"/>
        </w:rPr>
        <w:t xml:space="preserve"> </w:t>
      </w:r>
      <w:r>
        <w:t>price" of subject imports did</w:t>
      </w:r>
      <w:r>
        <w:rPr>
          <w:spacing w:val="-1"/>
        </w:rPr>
        <w:t xml:space="preserve"> </w:t>
      </w:r>
      <w:r>
        <w:t>not account for</w:t>
      </w:r>
      <w:r>
        <w:rPr>
          <w:spacing w:val="-1"/>
        </w:rPr>
        <w:t xml:space="preserve"> </w:t>
      </w:r>
      <w:r>
        <w:t>these potential</w:t>
      </w:r>
      <w:r>
        <w:rPr>
          <w:spacing w:val="-2"/>
        </w:rPr>
        <w:t xml:space="preserve"> </w:t>
      </w:r>
      <w:r>
        <w:t>differences</w:t>
      </w:r>
      <w:r>
        <w:rPr>
          <w:spacing w:val="-3"/>
        </w:rPr>
        <w:t xml:space="preserve"> </w:t>
      </w:r>
      <w:r>
        <w:t>means</w:t>
      </w:r>
      <w:r>
        <w:rPr>
          <w:spacing w:val="-3"/>
        </w:rPr>
        <w:t xml:space="preserve"> </w:t>
      </w:r>
      <w:r>
        <w:t>that</w:t>
      </w:r>
      <w:r>
        <w:rPr>
          <w:spacing w:val="-4"/>
        </w:rPr>
        <w:t xml:space="preserve"> </w:t>
      </w:r>
      <w:r>
        <w:t>MOFCOM</w:t>
      </w:r>
      <w:r>
        <w:rPr>
          <w:spacing w:val="-4"/>
        </w:rPr>
        <w:t xml:space="preserve"> </w:t>
      </w:r>
      <w:r>
        <w:t>failed</w:t>
      </w:r>
      <w:r>
        <w:rPr>
          <w:spacing w:val="-6"/>
        </w:rPr>
        <w:t xml:space="preserve"> </w:t>
      </w:r>
      <w:r>
        <w:t>to</w:t>
      </w:r>
      <w:r>
        <w:rPr>
          <w:spacing w:val="-7"/>
        </w:rPr>
        <w:t xml:space="preserve"> </w:t>
      </w:r>
      <w:r>
        <w:t>ensure</w:t>
      </w:r>
      <w:r>
        <w:rPr>
          <w:spacing w:val="-4"/>
        </w:rPr>
        <w:t xml:space="preserve"> </w:t>
      </w:r>
      <w:r>
        <w:t>that</w:t>
      </w:r>
      <w:r>
        <w:rPr>
          <w:spacing w:val="-4"/>
        </w:rPr>
        <w:t xml:space="preserve"> </w:t>
      </w:r>
      <w:r>
        <w:t>the</w:t>
      </w:r>
      <w:r>
        <w:rPr>
          <w:spacing w:val="-5"/>
        </w:rPr>
        <w:t xml:space="preserve"> </w:t>
      </w:r>
      <w:r>
        <w:t>average</w:t>
      </w:r>
      <w:r>
        <w:rPr>
          <w:spacing w:val="-4"/>
        </w:rPr>
        <w:t xml:space="preserve"> </w:t>
      </w:r>
      <w:r>
        <w:t>unit</w:t>
      </w:r>
      <w:r>
        <w:rPr>
          <w:spacing w:val="-4"/>
        </w:rPr>
        <w:t xml:space="preserve"> </w:t>
      </w:r>
      <w:r>
        <w:t>values</w:t>
      </w:r>
      <w:r>
        <w:rPr>
          <w:spacing w:val="-3"/>
        </w:rPr>
        <w:t xml:space="preserve"> </w:t>
      </w:r>
      <w:r>
        <w:t>used for its price effects analysis were comparable. As a consequence, the price trends that MOFCOM</w:t>
      </w:r>
      <w:r>
        <w:rPr>
          <w:spacing w:val="-10"/>
        </w:rPr>
        <w:t xml:space="preserve"> </w:t>
      </w:r>
      <w:r>
        <w:t>observed</w:t>
      </w:r>
      <w:r>
        <w:rPr>
          <w:spacing w:val="-13"/>
        </w:rPr>
        <w:t xml:space="preserve"> </w:t>
      </w:r>
      <w:r>
        <w:t>and</w:t>
      </w:r>
      <w:r>
        <w:rPr>
          <w:spacing w:val="-8"/>
        </w:rPr>
        <w:t xml:space="preserve"> </w:t>
      </w:r>
      <w:r>
        <w:t>relied</w:t>
      </w:r>
      <w:r>
        <w:rPr>
          <w:spacing w:val="-13"/>
        </w:rPr>
        <w:t xml:space="preserve"> </w:t>
      </w:r>
      <w:r>
        <w:t>upon</w:t>
      </w:r>
      <w:r>
        <w:rPr>
          <w:spacing w:val="-8"/>
        </w:rPr>
        <w:t xml:space="preserve"> </w:t>
      </w:r>
      <w:r>
        <w:t>for</w:t>
      </w:r>
      <w:r>
        <w:rPr>
          <w:spacing w:val="-14"/>
        </w:rPr>
        <w:t xml:space="preserve"> </w:t>
      </w:r>
      <w:r>
        <w:t>its</w:t>
      </w:r>
      <w:r>
        <w:rPr>
          <w:spacing w:val="-8"/>
        </w:rPr>
        <w:t xml:space="preserve"> </w:t>
      </w:r>
      <w:r>
        <w:t>price</w:t>
      </w:r>
      <w:r>
        <w:rPr>
          <w:spacing w:val="-11"/>
        </w:rPr>
        <w:t xml:space="preserve"> </w:t>
      </w:r>
      <w:r>
        <w:t>suppression</w:t>
      </w:r>
      <w:r>
        <w:rPr>
          <w:spacing w:val="-13"/>
        </w:rPr>
        <w:t xml:space="preserve"> </w:t>
      </w:r>
      <w:r>
        <w:t>finding</w:t>
      </w:r>
      <w:r>
        <w:rPr>
          <w:spacing w:val="-9"/>
        </w:rPr>
        <w:t xml:space="preserve"> </w:t>
      </w:r>
      <w:r>
        <w:t>may</w:t>
      </w:r>
      <w:r>
        <w:rPr>
          <w:spacing w:val="-5"/>
        </w:rPr>
        <w:t xml:space="preserve"> </w:t>
      </w:r>
      <w:r>
        <w:t>not</w:t>
      </w:r>
      <w:r>
        <w:rPr>
          <w:spacing w:val="-6"/>
        </w:rPr>
        <w:t xml:space="preserve"> </w:t>
      </w:r>
      <w:r>
        <w:t>result</w:t>
      </w:r>
      <w:r>
        <w:rPr>
          <w:spacing w:val="-10"/>
        </w:rPr>
        <w:t xml:space="preserve"> </w:t>
      </w:r>
      <w:r>
        <w:t>from</w:t>
      </w:r>
      <w:r>
        <w:rPr>
          <w:spacing w:val="-6"/>
        </w:rPr>
        <w:t xml:space="preserve"> </w:t>
      </w:r>
      <w:r>
        <w:t>price changes</w:t>
      </w:r>
      <w:r>
        <w:rPr>
          <w:spacing w:val="-8"/>
        </w:rPr>
        <w:t xml:space="preserve"> </w:t>
      </w:r>
      <w:r>
        <w:t>brought</w:t>
      </w:r>
      <w:r>
        <w:rPr>
          <w:spacing w:val="-9"/>
        </w:rPr>
        <w:t xml:space="preserve"> </w:t>
      </w:r>
      <w:r>
        <w:t>about</w:t>
      </w:r>
      <w:r>
        <w:rPr>
          <w:spacing w:val="-9"/>
        </w:rPr>
        <w:t xml:space="preserve"> </w:t>
      </w:r>
      <w:r>
        <w:t>through</w:t>
      </w:r>
      <w:r>
        <w:rPr>
          <w:spacing w:val="-10"/>
        </w:rPr>
        <w:t xml:space="preserve"> </w:t>
      </w:r>
      <w:r>
        <w:t>the</w:t>
      </w:r>
      <w:r>
        <w:rPr>
          <w:spacing w:val="-9"/>
        </w:rPr>
        <w:t xml:space="preserve"> </w:t>
      </w:r>
      <w:r>
        <w:t>effects</w:t>
      </w:r>
      <w:r>
        <w:rPr>
          <w:spacing w:val="-8"/>
        </w:rPr>
        <w:t xml:space="preserve"> </w:t>
      </w:r>
      <w:r>
        <w:t>of</w:t>
      </w:r>
      <w:r>
        <w:rPr>
          <w:spacing w:val="-10"/>
        </w:rPr>
        <w:t xml:space="preserve"> </w:t>
      </w:r>
      <w:r>
        <w:t>dumping,</w:t>
      </w:r>
      <w:r>
        <w:rPr>
          <w:spacing w:val="-7"/>
        </w:rPr>
        <w:t xml:space="preserve"> </w:t>
      </w:r>
      <w:r>
        <w:t>but</w:t>
      </w:r>
      <w:r>
        <w:rPr>
          <w:spacing w:val="-12"/>
        </w:rPr>
        <w:t xml:space="preserve"> </w:t>
      </w:r>
      <w:r>
        <w:t>instead</w:t>
      </w:r>
      <w:r>
        <w:rPr>
          <w:spacing w:val="-10"/>
        </w:rPr>
        <w:t xml:space="preserve"> </w:t>
      </w:r>
      <w:r>
        <w:t>could</w:t>
      </w:r>
      <w:r>
        <w:rPr>
          <w:spacing w:val="-10"/>
        </w:rPr>
        <w:t xml:space="preserve"> </w:t>
      </w:r>
      <w:r>
        <w:t>result</w:t>
      </w:r>
      <w:r>
        <w:rPr>
          <w:spacing w:val="-12"/>
        </w:rPr>
        <w:t xml:space="preserve"> </w:t>
      </w:r>
      <w:r>
        <w:t>from</w:t>
      </w:r>
      <w:r>
        <w:rPr>
          <w:spacing w:val="-9"/>
        </w:rPr>
        <w:t xml:space="preserve"> </w:t>
      </w:r>
      <w:r>
        <w:t>changes in product composition over the course of the Injury POI.</w:t>
      </w:r>
    </w:p>
    <w:p w14:paraId="1852AEA6" w14:textId="77777777" w:rsidR="00BD462C" w:rsidRDefault="00033D0F">
      <w:pPr>
        <w:pStyle w:val="ListParagraph"/>
        <w:numPr>
          <w:ilvl w:val="0"/>
          <w:numId w:val="51"/>
        </w:numPr>
        <w:tabs>
          <w:tab w:val="left" w:pos="3539"/>
          <w:tab w:val="left" w:pos="3540"/>
        </w:tabs>
        <w:spacing w:before="159" w:line="357" w:lineRule="auto"/>
        <w:ind w:right="921"/>
        <w:jc w:val="both"/>
        <w:rPr>
          <w:sz w:val="24"/>
        </w:rPr>
      </w:pPr>
      <w:bookmarkStart w:id="973" w:name="(b)_MOFCOM_was_required_to_conduct_a_cou"/>
      <w:bookmarkEnd w:id="973"/>
      <w:r>
        <w:rPr>
          <w:sz w:val="24"/>
          <w:u w:val="single"/>
        </w:rPr>
        <w:t>MOFCOM was required to conduct a counterfactual</w:t>
      </w:r>
      <w:r>
        <w:rPr>
          <w:sz w:val="24"/>
        </w:rPr>
        <w:t xml:space="preserve"> </w:t>
      </w:r>
      <w:r>
        <w:rPr>
          <w:spacing w:val="-2"/>
          <w:sz w:val="24"/>
          <w:u w:val="single"/>
        </w:rPr>
        <w:t>analysis</w:t>
      </w:r>
    </w:p>
    <w:p w14:paraId="3702E26F" w14:textId="3C7807A0" w:rsidR="00BD462C" w:rsidRDefault="001250D0">
      <w:pPr>
        <w:pStyle w:val="BodyText"/>
        <w:spacing w:before="169" w:line="357" w:lineRule="auto"/>
        <w:ind w:left="135" w:right="914" w:hanging="5"/>
        <w:jc w:val="both"/>
      </w:pPr>
      <w:r>
        <w:rPr>
          <w:noProof/>
        </w:rPr>
        <w:t>489.</w:t>
      </w:r>
      <w:r w:rsidR="00033D0F">
        <w:rPr>
          <w:rFonts w:ascii="Times New Roman"/>
          <w:spacing w:val="80"/>
          <w:position w:val="1"/>
          <w:sz w:val="20"/>
        </w:rPr>
        <w:t xml:space="preserve">  </w:t>
      </w:r>
      <w:r w:rsidR="00033D0F">
        <w:rPr>
          <w:position w:val="1"/>
        </w:rPr>
        <w:t>China</w:t>
      </w:r>
      <w:r w:rsidR="00033D0F">
        <w:rPr>
          <w:spacing w:val="-3"/>
          <w:position w:val="1"/>
        </w:rPr>
        <w:t xml:space="preserve"> </w:t>
      </w:r>
      <w:r w:rsidR="00033D0F">
        <w:rPr>
          <w:position w:val="1"/>
        </w:rPr>
        <w:t>misunderstands</w:t>
      </w:r>
      <w:r w:rsidR="00033D0F">
        <w:rPr>
          <w:spacing w:val="-1"/>
          <w:position w:val="1"/>
        </w:rPr>
        <w:t xml:space="preserve"> </w:t>
      </w:r>
      <w:r w:rsidR="00033D0F">
        <w:rPr>
          <w:position w:val="1"/>
        </w:rPr>
        <w:t>Australia's</w:t>
      </w:r>
      <w:r w:rsidR="00033D0F">
        <w:rPr>
          <w:spacing w:val="-1"/>
          <w:position w:val="1"/>
        </w:rPr>
        <w:t xml:space="preserve"> </w:t>
      </w:r>
      <w:r w:rsidR="00033D0F">
        <w:rPr>
          <w:position w:val="1"/>
        </w:rPr>
        <w:t>argument</w:t>
      </w:r>
      <w:r w:rsidR="00033D0F">
        <w:rPr>
          <w:spacing w:val="-2"/>
          <w:position w:val="1"/>
        </w:rPr>
        <w:t xml:space="preserve"> </w:t>
      </w:r>
      <w:r w:rsidR="00033D0F">
        <w:rPr>
          <w:position w:val="1"/>
        </w:rPr>
        <w:t>regarding</w:t>
      </w:r>
      <w:r w:rsidR="00033D0F">
        <w:rPr>
          <w:spacing w:val="-1"/>
          <w:position w:val="1"/>
        </w:rPr>
        <w:t xml:space="preserve"> </w:t>
      </w:r>
      <w:r w:rsidR="00033D0F">
        <w:rPr>
          <w:position w:val="1"/>
        </w:rPr>
        <w:t>the</w:t>
      </w:r>
      <w:r w:rsidR="00033D0F">
        <w:rPr>
          <w:spacing w:val="-3"/>
          <w:position w:val="1"/>
        </w:rPr>
        <w:t xml:space="preserve"> </w:t>
      </w:r>
      <w:r w:rsidR="00033D0F">
        <w:rPr>
          <w:position w:val="1"/>
        </w:rPr>
        <w:t>counterfactual analysis.</w:t>
      </w:r>
      <w:hyperlink w:anchor="_bookmark838" w:history="1">
        <w:r w:rsidR="00033D0F">
          <w:rPr>
            <w:position w:val="1"/>
            <w:vertAlign w:val="superscript"/>
          </w:rPr>
          <w:t>713</w:t>
        </w:r>
      </w:hyperlink>
      <w:r w:rsidR="00033D0F">
        <w:rPr>
          <w:position w:val="1"/>
        </w:rPr>
        <w:t xml:space="preserve"> </w:t>
      </w:r>
      <w:r w:rsidR="00033D0F">
        <w:t>It appears that the parties generally agree as to the applicable legal standards.</w:t>
      </w:r>
      <w:hyperlink w:anchor="_bookmark839" w:history="1">
        <w:r w:rsidR="00033D0F">
          <w:rPr>
            <w:vertAlign w:val="superscript"/>
          </w:rPr>
          <w:t>714</w:t>
        </w:r>
      </w:hyperlink>
      <w:r w:rsidR="00033D0F">
        <w:t xml:space="preserve"> The key difference appears to be what those standards required in this particular case. To assist the Panel, Australia provides two further points of clarification below.</w:t>
      </w:r>
    </w:p>
    <w:p w14:paraId="04B584C9" w14:textId="77777777" w:rsidR="00BD462C" w:rsidRDefault="00BD462C">
      <w:pPr>
        <w:pStyle w:val="BodyText"/>
        <w:spacing w:before="10"/>
        <w:rPr>
          <w:sz w:val="8"/>
        </w:rPr>
      </w:pPr>
    </w:p>
    <w:p w14:paraId="42B3B8EF" w14:textId="12858EF8" w:rsidR="00BD462C" w:rsidRDefault="001250D0">
      <w:pPr>
        <w:pStyle w:val="BodyText"/>
        <w:spacing w:before="56" w:line="360" w:lineRule="auto"/>
        <w:ind w:left="135" w:right="913" w:hanging="5"/>
        <w:jc w:val="both"/>
      </w:pPr>
      <w:r>
        <w:rPr>
          <w:noProof/>
        </w:rPr>
        <w:t>490.</w:t>
      </w:r>
      <w:r w:rsidR="00033D0F">
        <w:rPr>
          <w:rFonts w:ascii="Times New Roman"/>
          <w:spacing w:val="40"/>
          <w:position w:val="1"/>
          <w:sz w:val="20"/>
        </w:rPr>
        <w:t xml:space="preserve"> </w:t>
      </w:r>
      <w:r w:rsidR="00033D0F">
        <w:rPr>
          <w:position w:val="1"/>
        </w:rPr>
        <w:t xml:space="preserve">First, Australia uses the term counterfactual analysis as shorthand for the analysis </w:t>
      </w:r>
      <w:r w:rsidR="00033D0F">
        <w:t>required by the phrase "otherwise would have occurred" in Article</w:t>
      </w:r>
      <w:r w:rsidR="00033D0F">
        <w:rPr>
          <w:spacing w:val="-1"/>
        </w:rPr>
        <w:t xml:space="preserve"> </w:t>
      </w:r>
      <w:r w:rsidR="00033D0F">
        <w:t>3.2. That is, price suppression requires an analysis of whether price increases, that otherwise would have occurred, have been prevented through the effect of dumped imports. This analysis is mandated by the text of Article</w:t>
      </w:r>
      <w:r w:rsidR="00033D0F">
        <w:rPr>
          <w:spacing w:val="-2"/>
        </w:rPr>
        <w:t xml:space="preserve"> </w:t>
      </w:r>
      <w:r w:rsidR="00033D0F">
        <w:t>3.2 and, in particular, the requirement to establish "explanatory force" in any price effects analysis.</w:t>
      </w:r>
      <w:hyperlink w:anchor="_bookmark840" w:history="1">
        <w:r w:rsidR="00033D0F">
          <w:rPr>
            <w:vertAlign w:val="superscript"/>
          </w:rPr>
          <w:t>715</w:t>
        </w:r>
      </w:hyperlink>
      <w:r w:rsidR="00033D0F">
        <w:t xml:space="preserve"> MOFCOM undertook no such analysis.</w:t>
      </w:r>
    </w:p>
    <w:p w14:paraId="03CA7F38" w14:textId="51FBCF5D" w:rsidR="00BD462C" w:rsidRDefault="001250D0">
      <w:pPr>
        <w:pStyle w:val="BodyText"/>
        <w:spacing w:before="157" w:line="357" w:lineRule="auto"/>
        <w:ind w:left="136" w:right="913" w:hanging="5"/>
        <w:jc w:val="both"/>
      </w:pPr>
      <w:r>
        <w:rPr>
          <w:noProof/>
        </w:rPr>
        <w:t>491.</w:t>
      </w:r>
      <w:r w:rsidR="00033D0F">
        <w:rPr>
          <w:rFonts w:ascii="Times New Roman"/>
          <w:spacing w:val="40"/>
          <w:position w:val="1"/>
          <w:sz w:val="20"/>
        </w:rPr>
        <w:t xml:space="preserve"> </w:t>
      </w:r>
      <w:r w:rsidR="00033D0F">
        <w:rPr>
          <w:position w:val="1"/>
        </w:rPr>
        <w:t>Second, Australia considers that the balance of China's argument</w:t>
      </w:r>
      <w:hyperlink w:anchor="_bookmark841" w:history="1">
        <w:r w:rsidR="00033D0F">
          <w:rPr>
            <w:position w:val="1"/>
            <w:vertAlign w:val="superscript"/>
          </w:rPr>
          <w:t>716</w:t>
        </w:r>
      </w:hyperlink>
      <w:r w:rsidR="00033D0F">
        <w:rPr>
          <w:position w:val="1"/>
        </w:rPr>
        <w:t xml:space="preserve"> is largely</w:t>
      </w:r>
      <w:r w:rsidR="00033D0F">
        <w:rPr>
          <w:spacing w:val="80"/>
          <w:position w:val="1"/>
        </w:rPr>
        <w:t xml:space="preserve"> </w:t>
      </w:r>
      <w:r w:rsidR="00033D0F">
        <w:t>irrelevant to the determination of this case. The parties agree that a consideration of price suppression must include an examination of whether the subject imports have "explanatory force" for the suppression of domestic prices.</w:t>
      </w:r>
      <w:hyperlink w:anchor="_bookmark842" w:history="1">
        <w:r w:rsidR="00033D0F">
          <w:rPr>
            <w:vertAlign w:val="superscript"/>
          </w:rPr>
          <w:t>717</w:t>
        </w:r>
      </w:hyperlink>
      <w:r w:rsidR="00033D0F">
        <w:t xml:space="preserve"> This requires an evaluation of whether subject imports have prevented price increases that "otherwise would have occurred". This, in</w:t>
      </w:r>
      <w:r w:rsidR="00033D0F">
        <w:rPr>
          <w:spacing w:val="18"/>
        </w:rPr>
        <w:t xml:space="preserve"> </w:t>
      </w:r>
      <w:r w:rsidR="00033D0F">
        <w:t>turn,</w:t>
      </w:r>
      <w:r w:rsidR="00033D0F">
        <w:rPr>
          <w:spacing w:val="21"/>
        </w:rPr>
        <w:t xml:space="preserve"> </w:t>
      </w:r>
      <w:r w:rsidR="00033D0F">
        <w:t>requires</w:t>
      </w:r>
      <w:r w:rsidR="00033D0F">
        <w:rPr>
          <w:spacing w:val="21"/>
        </w:rPr>
        <w:t xml:space="preserve"> </w:t>
      </w:r>
      <w:r w:rsidR="00033D0F">
        <w:t>some</w:t>
      </w:r>
      <w:r w:rsidR="00033D0F">
        <w:rPr>
          <w:spacing w:val="20"/>
        </w:rPr>
        <w:t xml:space="preserve"> </w:t>
      </w:r>
      <w:r w:rsidR="00033D0F">
        <w:t>evaluation</w:t>
      </w:r>
      <w:r w:rsidR="00033D0F">
        <w:rPr>
          <w:spacing w:val="18"/>
        </w:rPr>
        <w:t xml:space="preserve"> </w:t>
      </w:r>
      <w:r w:rsidR="00033D0F">
        <w:t>of</w:t>
      </w:r>
      <w:r w:rsidR="00033D0F">
        <w:rPr>
          <w:spacing w:val="18"/>
        </w:rPr>
        <w:t xml:space="preserve"> </w:t>
      </w:r>
      <w:r w:rsidR="00033D0F">
        <w:t>what</w:t>
      </w:r>
      <w:r w:rsidR="00033D0F">
        <w:rPr>
          <w:spacing w:val="20"/>
        </w:rPr>
        <w:t xml:space="preserve"> </w:t>
      </w:r>
      <w:r w:rsidR="00033D0F">
        <w:t>price</w:t>
      </w:r>
      <w:r w:rsidR="00033D0F">
        <w:rPr>
          <w:spacing w:val="20"/>
        </w:rPr>
        <w:t xml:space="preserve"> </w:t>
      </w:r>
      <w:r w:rsidR="00033D0F">
        <w:t>increases</w:t>
      </w:r>
      <w:r w:rsidR="00033D0F">
        <w:rPr>
          <w:spacing w:val="21"/>
        </w:rPr>
        <w:t xml:space="preserve"> </w:t>
      </w:r>
      <w:r w:rsidR="00033D0F">
        <w:t>would</w:t>
      </w:r>
      <w:r w:rsidR="00033D0F">
        <w:rPr>
          <w:spacing w:val="18"/>
        </w:rPr>
        <w:t xml:space="preserve"> </w:t>
      </w:r>
      <w:r w:rsidR="00033D0F">
        <w:t>have</w:t>
      </w:r>
      <w:r w:rsidR="00033D0F">
        <w:rPr>
          <w:spacing w:val="20"/>
        </w:rPr>
        <w:t xml:space="preserve"> </w:t>
      </w:r>
      <w:r w:rsidR="00033D0F">
        <w:t>occurred,</w:t>
      </w:r>
      <w:r w:rsidR="00033D0F">
        <w:rPr>
          <w:spacing w:val="21"/>
        </w:rPr>
        <w:t xml:space="preserve"> </w:t>
      </w:r>
      <w:r w:rsidR="00033D0F">
        <w:t>but</w:t>
      </w:r>
      <w:r w:rsidR="00033D0F">
        <w:rPr>
          <w:spacing w:val="20"/>
        </w:rPr>
        <w:t xml:space="preserve"> </w:t>
      </w:r>
      <w:r w:rsidR="00033D0F">
        <w:t>for,</w:t>
      </w:r>
      <w:r w:rsidR="00033D0F">
        <w:rPr>
          <w:spacing w:val="22"/>
        </w:rPr>
        <w:t xml:space="preserve"> </w:t>
      </w:r>
      <w:r w:rsidR="00033D0F">
        <w:t>or</w:t>
      </w:r>
    </w:p>
    <w:p w14:paraId="0A7F4B62" w14:textId="77777777" w:rsidR="00BD462C" w:rsidRDefault="00BD462C">
      <w:pPr>
        <w:pStyle w:val="BodyText"/>
        <w:rPr>
          <w:sz w:val="20"/>
        </w:rPr>
      </w:pPr>
    </w:p>
    <w:p w14:paraId="507B9F61" w14:textId="32EBC427" w:rsidR="00BD462C" w:rsidRDefault="006E6DEA">
      <w:pPr>
        <w:pStyle w:val="BodyText"/>
        <w:spacing w:before="4"/>
        <w:rPr>
          <w:sz w:val="13"/>
        </w:rPr>
      </w:pPr>
      <w:r>
        <w:rPr>
          <w:noProof/>
        </w:rPr>
        <mc:AlternateContent>
          <mc:Choice Requires="wps">
            <w:drawing>
              <wp:anchor distT="0" distB="0" distL="0" distR="0" simplePos="0" relativeHeight="488145408" behindDoc="1" locked="0" layoutInCell="1" allowOverlap="1" wp14:anchorId="19D0E87B" wp14:editId="7E738821">
                <wp:simplePos x="0" y="0"/>
                <wp:positionH relativeFrom="page">
                  <wp:posOffset>812800</wp:posOffset>
                </wp:positionH>
                <wp:positionV relativeFrom="paragraph">
                  <wp:posOffset>105410</wp:posOffset>
                </wp:positionV>
                <wp:extent cx="1828800" cy="8890"/>
                <wp:effectExtent l="0" t="0" r="0" b="0"/>
                <wp:wrapTopAndBottom/>
                <wp:docPr id="117" name="docshape7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BCA825" id="docshape705" o:spid="_x0000_s1026" alt="&quot;&quot;" style="position:absolute;margin-left:64pt;margin-top:8.3pt;width:2in;height:.7pt;z-index:-1517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" fillcolor="black" stroked="f">
                <w10:wrap type="topAndBottom" anchorx="page"/>
              </v:rect>
            </w:pict>
          </mc:Fallback>
        </mc:AlternateContent>
      </w:r>
    </w:p>
    <w:p w14:paraId="319E2F98" w14:textId="77777777" w:rsidR="00BD462C" w:rsidRDefault="00033D0F">
      <w:pPr>
        <w:spacing w:before="112"/>
        <w:ind w:left="135"/>
        <w:rPr>
          <w:sz w:val="18"/>
        </w:rPr>
      </w:pPr>
      <w:bookmarkStart w:id="974" w:name="_bookmark837"/>
      <w:bookmarkEnd w:id="974"/>
      <w:r>
        <w:rPr>
          <w:position w:val="5"/>
          <w:sz w:val="12"/>
        </w:rPr>
        <w:t>712</w:t>
      </w:r>
      <w:r>
        <w:rPr>
          <w:spacing w:val="12"/>
          <w:position w:val="5"/>
          <w:sz w:val="12"/>
        </w:rPr>
        <w:t xml:space="preserve"> </w:t>
      </w:r>
      <w:r>
        <w:rPr>
          <w:sz w:val="18"/>
        </w:rPr>
        <w:t>China's</w:t>
      </w:r>
      <w:r>
        <w:rPr>
          <w:spacing w:val="-6"/>
          <w:sz w:val="18"/>
        </w:rPr>
        <w:t xml:space="preserve"> </w:t>
      </w:r>
      <w:r>
        <w:rPr>
          <w:sz w:val="18"/>
        </w:rPr>
        <w:t>first</w:t>
      </w:r>
      <w:r>
        <w:rPr>
          <w:spacing w:val="-6"/>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para.</w:t>
      </w:r>
      <w:r>
        <w:rPr>
          <w:spacing w:val="-1"/>
          <w:sz w:val="18"/>
        </w:rPr>
        <w:t xml:space="preserve"> </w:t>
      </w:r>
      <w:r>
        <w:rPr>
          <w:sz w:val="18"/>
        </w:rPr>
        <w:t>1200,</w:t>
      </w:r>
      <w:r>
        <w:rPr>
          <w:spacing w:val="-4"/>
          <w:sz w:val="18"/>
        </w:rPr>
        <w:t xml:space="preserve"> </w:t>
      </w:r>
      <w:r>
        <w:rPr>
          <w:sz w:val="18"/>
        </w:rPr>
        <w:t>see</w:t>
      </w:r>
      <w:r>
        <w:rPr>
          <w:spacing w:val="-3"/>
          <w:sz w:val="18"/>
        </w:rPr>
        <w:t xml:space="preserve"> </w:t>
      </w:r>
      <w:r>
        <w:rPr>
          <w:sz w:val="18"/>
        </w:rPr>
        <w:t>also</w:t>
      </w:r>
      <w:r>
        <w:rPr>
          <w:spacing w:val="-7"/>
          <w:sz w:val="18"/>
        </w:rPr>
        <w:t xml:space="preserve"> </w:t>
      </w:r>
      <w:r>
        <w:rPr>
          <w:sz w:val="18"/>
        </w:rPr>
        <w:t>paras.</w:t>
      </w:r>
      <w:r>
        <w:rPr>
          <w:spacing w:val="-1"/>
          <w:sz w:val="18"/>
        </w:rPr>
        <w:t xml:space="preserve"> </w:t>
      </w:r>
      <w:r>
        <w:rPr>
          <w:sz w:val="18"/>
        </w:rPr>
        <w:t>1195,</w:t>
      </w:r>
      <w:r>
        <w:rPr>
          <w:spacing w:val="-9"/>
          <w:sz w:val="18"/>
        </w:rPr>
        <w:t xml:space="preserve"> </w:t>
      </w:r>
      <w:r>
        <w:rPr>
          <w:spacing w:val="-2"/>
          <w:sz w:val="18"/>
        </w:rPr>
        <w:t>1199.</w:t>
      </w:r>
    </w:p>
    <w:p w14:paraId="1C94AE84" w14:textId="77777777" w:rsidR="00BD462C" w:rsidRDefault="00033D0F">
      <w:pPr>
        <w:spacing w:before="1" w:line="218" w:lineRule="exact"/>
        <w:ind w:left="135"/>
        <w:rPr>
          <w:sz w:val="18"/>
        </w:rPr>
      </w:pPr>
      <w:bookmarkStart w:id="975" w:name="_bookmark838"/>
      <w:bookmarkEnd w:id="975"/>
      <w:r>
        <w:rPr>
          <w:position w:val="5"/>
          <w:sz w:val="12"/>
        </w:rPr>
        <w:t>713</w:t>
      </w:r>
      <w:r>
        <w:rPr>
          <w:spacing w:val="12"/>
          <w:position w:val="5"/>
          <w:sz w:val="12"/>
        </w:rPr>
        <w:t xml:space="preserve"> </w:t>
      </w:r>
      <w:r>
        <w:rPr>
          <w:sz w:val="18"/>
        </w:rPr>
        <w:t>China's</w:t>
      </w:r>
      <w:r>
        <w:rPr>
          <w:spacing w:val="-6"/>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 paras.</w:t>
      </w:r>
      <w:r>
        <w:rPr>
          <w:spacing w:val="-5"/>
          <w:sz w:val="18"/>
        </w:rPr>
        <w:t xml:space="preserve"> </w:t>
      </w:r>
      <w:r>
        <w:rPr>
          <w:sz w:val="18"/>
        </w:rPr>
        <w:t>1347-</w:t>
      </w:r>
      <w:r>
        <w:rPr>
          <w:spacing w:val="-2"/>
          <w:sz w:val="18"/>
        </w:rPr>
        <w:t>1370.</w:t>
      </w:r>
    </w:p>
    <w:p w14:paraId="0EF7BEB2" w14:textId="77777777" w:rsidR="00BD462C" w:rsidRDefault="00033D0F">
      <w:pPr>
        <w:spacing w:line="218" w:lineRule="exact"/>
        <w:ind w:left="135"/>
        <w:rPr>
          <w:sz w:val="18"/>
        </w:rPr>
      </w:pPr>
      <w:bookmarkStart w:id="976" w:name="_bookmark839"/>
      <w:bookmarkEnd w:id="976"/>
      <w:r>
        <w:rPr>
          <w:position w:val="5"/>
          <w:sz w:val="12"/>
        </w:rPr>
        <w:t>714</w:t>
      </w:r>
      <w:r>
        <w:rPr>
          <w:spacing w:val="13"/>
          <w:position w:val="5"/>
          <w:sz w:val="12"/>
        </w:rPr>
        <w:t xml:space="preserve"> </w:t>
      </w:r>
      <w:r>
        <w:rPr>
          <w:sz w:val="18"/>
        </w:rPr>
        <w:t>Australia</w:t>
      </w:r>
      <w:r>
        <w:rPr>
          <w:spacing w:val="-2"/>
          <w:sz w:val="18"/>
        </w:rPr>
        <w:t xml:space="preserve"> </w:t>
      </w:r>
      <w:r>
        <w:rPr>
          <w:sz w:val="18"/>
        </w:rPr>
        <w:t>agrees with</w:t>
      </w:r>
      <w:r>
        <w:rPr>
          <w:spacing w:val="-1"/>
          <w:sz w:val="18"/>
        </w:rPr>
        <w:t xml:space="preserve"> </w:t>
      </w:r>
      <w:r>
        <w:rPr>
          <w:sz w:val="18"/>
        </w:rPr>
        <w:t>the</w:t>
      </w:r>
      <w:r>
        <w:rPr>
          <w:spacing w:val="-5"/>
          <w:sz w:val="18"/>
        </w:rPr>
        <w:t xml:space="preserve"> </w:t>
      </w:r>
      <w:r>
        <w:rPr>
          <w:sz w:val="18"/>
        </w:rPr>
        <w:t>legal</w:t>
      </w:r>
      <w:r>
        <w:rPr>
          <w:spacing w:val="-4"/>
          <w:sz w:val="18"/>
        </w:rPr>
        <w:t xml:space="preserve"> </w:t>
      </w:r>
      <w:r>
        <w:rPr>
          <w:sz w:val="18"/>
        </w:rPr>
        <w:t>principles articulated</w:t>
      </w:r>
      <w:r>
        <w:rPr>
          <w:spacing w:val="-5"/>
          <w:sz w:val="18"/>
        </w:rPr>
        <w:t xml:space="preserve"> </w:t>
      </w:r>
      <w:r>
        <w:rPr>
          <w:sz w:val="18"/>
        </w:rPr>
        <w:t>by</w:t>
      </w:r>
      <w:r>
        <w:rPr>
          <w:spacing w:val="-2"/>
          <w:sz w:val="18"/>
        </w:rPr>
        <w:t xml:space="preserve"> </w:t>
      </w:r>
      <w:r>
        <w:rPr>
          <w:sz w:val="18"/>
        </w:rPr>
        <w:t>China</w:t>
      </w:r>
      <w:r>
        <w:rPr>
          <w:spacing w:val="-7"/>
          <w:sz w:val="18"/>
        </w:rPr>
        <w:t xml:space="preserve"> </w:t>
      </w:r>
      <w:r>
        <w:rPr>
          <w:sz w:val="18"/>
        </w:rPr>
        <w:t>at</w:t>
      </w:r>
      <w:r>
        <w:rPr>
          <w:spacing w:val="-4"/>
          <w:sz w:val="18"/>
        </w:rPr>
        <w:t xml:space="preserve"> </w:t>
      </w:r>
      <w:r>
        <w:rPr>
          <w:sz w:val="18"/>
        </w:rPr>
        <w:t>paragraphs</w:t>
      </w:r>
      <w:r>
        <w:rPr>
          <w:spacing w:val="-5"/>
          <w:sz w:val="18"/>
        </w:rPr>
        <w:t xml:space="preserve"> </w:t>
      </w:r>
      <w:r>
        <w:rPr>
          <w:sz w:val="18"/>
        </w:rPr>
        <w:t>1357</w:t>
      </w:r>
      <w:r>
        <w:rPr>
          <w:spacing w:val="-2"/>
          <w:sz w:val="18"/>
        </w:rPr>
        <w:t xml:space="preserve"> </w:t>
      </w:r>
      <w:r>
        <w:rPr>
          <w:sz w:val="18"/>
        </w:rPr>
        <w:t>and</w:t>
      </w:r>
      <w:r>
        <w:rPr>
          <w:spacing w:val="-1"/>
          <w:sz w:val="18"/>
        </w:rPr>
        <w:t xml:space="preserve"> </w:t>
      </w:r>
      <w:r>
        <w:rPr>
          <w:sz w:val="18"/>
        </w:rPr>
        <w:t>1358</w:t>
      </w:r>
      <w:r>
        <w:rPr>
          <w:spacing w:val="-6"/>
          <w:sz w:val="18"/>
        </w:rPr>
        <w:t xml:space="preserve"> </w:t>
      </w:r>
      <w:r>
        <w:rPr>
          <w:sz w:val="18"/>
        </w:rPr>
        <w:t>of</w:t>
      </w:r>
      <w:r>
        <w:rPr>
          <w:spacing w:val="-4"/>
          <w:sz w:val="18"/>
        </w:rPr>
        <w:t xml:space="preserve"> </w:t>
      </w:r>
      <w:r>
        <w:rPr>
          <w:sz w:val="18"/>
        </w:rPr>
        <w:t>its</w:t>
      </w:r>
      <w:r>
        <w:rPr>
          <w:spacing w:val="-5"/>
          <w:sz w:val="18"/>
        </w:rPr>
        <w:t xml:space="preserve"> </w:t>
      </w:r>
      <w:r>
        <w:rPr>
          <w:sz w:val="18"/>
        </w:rPr>
        <w:t>first written</w:t>
      </w:r>
      <w:r>
        <w:rPr>
          <w:spacing w:val="-6"/>
          <w:sz w:val="18"/>
        </w:rPr>
        <w:t xml:space="preserve"> </w:t>
      </w:r>
      <w:r>
        <w:rPr>
          <w:spacing w:val="-2"/>
          <w:sz w:val="18"/>
        </w:rPr>
        <w:t>submission.</w:t>
      </w:r>
    </w:p>
    <w:p w14:paraId="515B63BE" w14:textId="77777777" w:rsidR="00BD462C" w:rsidRDefault="00033D0F">
      <w:pPr>
        <w:spacing w:before="1"/>
        <w:ind w:left="136" w:right="923" w:hanging="1"/>
        <w:rPr>
          <w:sz w:val="18"/>
        </w:rPr>
      </w:pPr>
      <w:bookmarkStart w:id="977" w:name="_bookmark840"/>
      <w:bookmarkEnd w:id="977"/>
      <w:r>
        <w:rPr>
          <w:position w:val="5"/>
          <w:sz w:val="12"/>
        </w:rPr>
        <w:t>715</w:t>
      </w:r>
      <w:r>
        <w:rPr>
          <w:spacing w:val="73"/>
          <w:position w:val="5"/>
          <w:sz w:val="12"/>
        </w:rPr>
        <w:t xml:space="preserve"> </w:t>
      </w:r>
      <w:r>
        <w:rPr>
          <w:sz w:val="18"/>
        </w:rPr>
        <w:t>Australia</w:t>
      </w:r>
      <w:r>
        <w:rPr>
          <w:spacing w:val="40"/>
          <w:sz w:val="18"/>
        </w:rPr>
        <w:t xml:space="preserve"> </w:t>
      </w:r>
      <w:r>
        <w:rPr>
          <w:sz w:val="18"/>
        </w:rPr>
        <w:t>understands</w:t>
      </w:r>
      <w:r>
        <w:rPr>
          <w:spacing w:val="40"/>
          <w:sz w:val="18"/>
        </w:rPr>
        <w:t xml:space="preserve"> </w:t>
      </w:r>
      <w:r>
        <w:rPr>
          <w:sz w:val="18"/>
        </w:rPr>
        <w:t>this</w:t>
      </w:r>
      <w:r>
        <w:rPr>
          <w:spacing w:val="40"/>
          <w:sz w:val="18"/>
        </w:rPr>
        <w:t xml:space="preserve"> </w:t>
      </w:r>
      <w:r>
        <w:rPr>
          <w:sz w:val="18"/>
        </w:rPr>
        <w:t>interpretation</w:t>
      </w:r>
      <w:r>
        <w:rPr>
          <w:spacing w:val="40"/>
          <w:sz w:val="18"/>
        </w:rPr>
        <w:t xml:space="preserve"> </w:t>
      </w:r>
      <w:r>
        <w:rPr>
          <w:sz w:val="18"/>
        </w:rPr>
        <w:t>to</w:t>
      </w:r>
      <w:r>
        <w:rPr>
          <w:spacing w:val="40"/>
          <w:sz w:val="18"/>
        </w:rPr>
        <w:t xml:space="preserve"> </w:t>
      </w:r>
      <w:r>
        <w:rPr>
          <w:sz w:val="18"/>
        </w:rPr>
        <w:t>be</w:t>
      </w:r>
      <w:r>
        <w:rPr>
          <w:spacing w:val="40"/>
          <w:sz w:val="18"/>
        </w:rPr>
        <w:t xml:space="preserve"> </w:t>
      </w:r>
      <w:r>
        <w:rPr>
          <w:sz w:val="18"/>
        </w:rPr>
        <w:t>entirely</w:t>
      </w:r>
      <w:r>
        <w:rPr>
          <w:spacing w:val="40"/>
          <w:sz w:val="18"/>
        </w:rPr>
        <w:t xml:space="preserve"> </w:t>
      </w:r>
      <w:r>
        <w:rPr>
          <w:sz w:val="18"/>
        </w:rPr>
        <w:t>consistent</w:t>
      </w:r>
      <w:r>
        <w:rPr>
          <w:spacing w:val="40"/>
          <w:sz w:val="18"/>
        </w:rPr>
        <w:t xml:space="preserve"> </w:t>
      </w:r>
      <w:r>
        <w:rPr>
          <w:sz w:val="18"/>
        </w:rPr>
        <w:t>with</w:t>
      </w:r>
      <w:r>
        <w:rPr>
          <w:spacing w:val="40"/>
          <w:sz w:val="18"/>
        </w:rPr>
        <w:t xml:space="preserve"> </w:t>
      </w:r>
      <w:r>
        <w:rPr>
          <w:sz w:val="18"/>
        </w:rPr>
        <w:t>Appellate</w:t>
      </w:r>
      <w:r>
        <w:rPr>
          <w:spacing w:val="40"/>
          <w:sz w:val="18"/>
        </w:rPr>
        <w:t xml:space="preserve"> </w:t>
      </w:r>
      <w:r>
        <w:rPr>
          <w:sz w:val="18"/>
        </w:rPr>
        <w:t>Body</w:t>
      </w:r>
      <w:r>
        <w:rPr>
          <w:spacing w:val="40"/>
          <w:sz w:val="18"/>
        </w:rPr>
        <w:t xml:space="preserve"> </w:t>
      </w:r>
      <w:r>
        <w:rPr>
          <w:sz w:val="18"/>
        </w:rPr>
        <w:t>Report,</w:t>
      </w:r>
      <w:r>
        <w:rPr>
          <w:spacing w:val="61"/>
          <w:sz w:val="18"/>
        </w:rPr>
        <w:t xml:space="preserve"> </w:t>
      </w:r>
      <w:r>
        <w:rPr>
          <w:i/>
          <w:sz w:val="18"/>
        </w:rPr>
        <w:t>China</w:t>
      </w:r>
      <w:r>
        <w:rPr>
          <w:i/>
          <w:spacing w:val="40"/>
          <w:sz w:val="18"/>
        </w:rPr>
        <w:t xml:space="preserve"> </w:t>
      </w:r>
      <w:r>
        <w:rPr>
          <w:i/>
          <w:sz w:val="18"/>
        </w:rPr>
        <w:t>–</w:t>
      </w:r>
      <w:r>
        <w:rPr>
          <w:i/>
          <w:spacing w:val="40"/>
          <w:sz w:val="18"/>
        </w:rPr>
        <w:t xml:space="preserve"> </w:t>
      </w:r>
      <w:r>
        <w:rPr>
          <w:i/>
          <w:sz w:val="18"/>
        </w:rPr>
        <w:t>GOES</w:t>
      </w:r>
      <w:r>
        <w:rPr>
          <w:sz w:val="18"/>
        </w:rPr>
        <w:t>, paras. 136-142 (cited in China's first written submission at para. 1364).</w:t>
      </w:r>
    </w:p>
    <w:p w14:paraId="3A0E48E4" w14:textId="77777777" w:rsidR="00BD462C" w:rsidRDefault="00033D0F">
      <w:pPr>
        <w:spacing w:before="2"/>
        <w:ind w:left="135"/>
        <w:rPr>
          <w:sz w:val="18"/>
        </w:rPr>
      </w:pPr>
      <w:bookmarkStart w:id="978" w:name="_bookmark841"/>
      <w:bookmarkEnd w:id="978"/>
      <w:r>
        <w:rPr>
          <w:position w:val="5"/>
          <w:sz w:val="12"/>
        </w:rPr>
        <w:t>716</w:t>
      </w:r>
      <w:r>
        <w:rPr>
          <w:spacing w:val="10"/>
          <w:position w:val="5"/>
          <w:sz w:val="12"/>
        </w:rPr>
        <w:t xml:space="preserve"> </w:t>
      </w:r>
      <w:r>
        <w:rPr>
          <w:sz w:val="18"/>
        </w:rPr>
        <w:t>China's</w:t>
      </w:r>
      <w:r>
        <w:rPr>
          <w:spacing w:val="-8"/>
          <w:sz w:val="18"/>
        </w:rPr>
        <w:t xml:space="preserve"> </w:t>
      </w:r>
      <w:r>
        <w:rPr>
          <w:sz w:val="18"/>
        </w:rPr>
        <w:t>first</w:t>
      </w:r>
      <w:r>
        <w:rPr>
          <w:spacing w:val="-7"/>
          <w:sz w:val="18"/>
        </w:rPr>
        <w:t xml:space="preserve"> </w:t>
      </w:r>
      <w:r>
        <w:rPr>
          <w:sz w:val="18"/>
        </w:rPr>
        <w:t>written</w:t>
      </w:r>
      <w:r>
        <w:rPr>
          <w:spacing w:val="-9"/>
          <w:sz w:val="18"/>
        </w:rPr>
        <w:t xml:space="preserve"> </w:t>
      </w:r>
      <w:r>
        <w:rPr>
          <w:sz w:val="18"/>
        </w:rPr>
        <w:t>submission,</w:t>
      </w:r>
      <w:r>
        <w:rPr>
          <w:spacing w:val="-2"/>
          <w:sz w:val="18"/>
        </w:rPr>
        <w:t xml:space="preserve"> </w:t>
      </w:r>
      <w:r>
        <w:rPr>
          <w:sz w:val="18"/>
        </w:rPr>
        <w:t>para.</w:t>
      </w:r>
      <w:r>
        <w:rPr>
          <w:spacing w:val="-2"/>
          <w:sz w:val="18"/>
        </w:rPr>
        <w:t xml:space="preserve"> </w:t>
      </w:r>
      <w:r>
        <w:rPr>
          <w:sz w:val="18"/>
        </w:rPr>
        <w:t>1359-1363,</w:t>
      </w:r>
      <w:r>
        <w:rPr>
          <w:spacing w:val="-2"/>
          <w:sz w:val="18"/>
        </w:rPr>
        <w:t xml:space="preserve"> </w:t>
      </w:r>
      <w:r>
        <w:rPr>
          <w:sz w:val="18"/>
        </w:rPr>
        <w:t>1365-</w:t>
      </w:r>
      <w:r>
        <w:rPr>
          <w:spacing w:val="-2"/>
          <w:sz w:val="18"/>
        </w:rPr>
        <w:t>1370.</w:t>
      </w:r>
    </w:p>
    <w:p w14:paraId="510F16A3" w14:textId="77777777" w:rsidR="00BD462C" w:rsidRDefault="00033D0F">
      <w:pPr>
        <w:spacing w:before="1"/>
        <w:ind w:left="135"/>
        <w:rPr>
          <w:sz w:val="18"/>
        </w:rPr>
      </w:pPr>
      <w:bookmarkStart w:id="979" w:name="_bookmark842"/>
      <w:bookmarkEnd w:id="979"/>
      <w:r>
        <w:rPr>
          <w:position w:val="5"/>
          <w:sz w:val="12"/>
        </w:rPr>
        <w:t>717</w:t>
      </w:r>
      <w:r>
        <w:rPr>
          <w:spacing w:val="11"/>
          <w:position w:val="5"/>
          <w:sz w:val="12"/>
        </w:rPr>
        <w:t xml:space="preserve"> </w:t>
      </w:r>
      <w:r>
        <w:rPr>
          <w:sz w:val="18"/>
        </w:rPr>
        <w:t>China's</w:t>
      </w:r>
      <w:r>
        <w:rPr>
          <w:spacing w:val="-7"/>
          <w:sz w:val="18"/>
        </w:rPr>
        <w:t xml:space="preserve"> </w:t>
      </w:r>
      <w:r>
        <w:rPr>
          <w:sz w:val="18"/>
        </w:rPr>
        <w:t>first</w:t>
      </w:r>
      <w:r>
        <w:rPr>
          <w:spacing w:val="-6"/>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paras.</w:t>
      </w:r>
      <w:r>
        <w:rPr>
          <w:spacing w:val="-6"/>
          <w:sz w:val="18"/>
        </w:rPr>
        <w:t xml:space="preserve"> </w:t>
      </w:r>
      <w:r>
        <w:rPr>
          <w:sz w:val="18"/>
        </w:rPr>
        <w:t>1357,</w:t>
      </w:r>
      <w:r>
        <w:rPr>
          <w:spacing w:val="-5"/>
          <w:sz w:val="18"/>
        </w:rPr>
        <w:t xml:space="preserve"> </w:t>
      </w:r>
      <w:r>
        <w:rPr>
          <w:sz w:val="18"/>
        </w:rPr>
        <w:t>1358, 1364,</w:t>
      </w:r>
      <w:r>
        <w:rPr>
          <w:spacing w:val="-1"/>
          <w:sz w:val="18"/>
        </w:rPr>
        <w:t xml:space="preserve"> </w:t>
      </w:r>
      <w:r>
        <w:rPr>
          <w:sz w:val="18"/>
        </w:rPr>
        <w:t>1365,</w:t>
      </w:r>
      <w:r>
        <w:rPr>
          <w:spacing w:val="-1"/>
          <w:sz w:val="18"/>
        </w:rPr>
        <w:t xml:space="preserve"> </w:t>
      </w:r>
      <w:r>
        <w:rPr>
          <w:sz w:val="18"/>
        </w:rPr>
        <w:t>and</w:t>
      </w:r>
      <w:r>
        <w:rPr>
          <w:spacing w:val="-3"/>
          <w:sz w:val="18"/>
        </w:rPr>
        <w:t xml:space="preserve"> </w:t>
      </w:r>
      <w:r>
        <w:rPr>
          <w:spacing w:val="-2"/>
          <w:sz w:val="18"/>
        </w:rPr>
        <w:t>1366.</w:t>
      </w:r>
    </w:p>
    <w:p w14:paraId="4AE453D0" w14:textId="77777777" w:rsidR="00BD462C" w:rsidRDefault="00BD462C">
      <w:pPr>
        <w:rPr>
          <w:sz w:val="18"/>
        </w:rPr>
        <w:sectPr w:rsidR="00BD462C">
          <w:pgSz w:w="11910" w:h="16840"/>
          <w:pgMar w:top="860" w:right="500" w:bottom="780" w:left="1280" w:header="566" w:footer="590" w:gutter="0"/>
          <w:cols w:space="720"/>
        </w:sectPr>
      </w:pPr>
    </w:p>
    <w:p w14:paraId="34704248"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51AB9753"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3ED93CD2"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2EFF0CD2" w14:textId="77777777" w:rsidR="00BD462C" w:rsidRDefault="00033D0F">
      <w:pPr>
        <w:pStyle w:val="BodyText"/>
        <w:spacing w:before="102" w:line="360" w:lineRule="auto"/>
        <w:ind w:left="136" w:right="916"/>
        <w:jc w:val="both"/>
      </w:pPr>
      <w:r>
        <w:t>without,</w:t>
      </w:r>
      <w:r>
        <w:rPr>
          <w:spacing w:val="-6"/>
        </w:rPr>
        <w:t xml:space="preserve"> </w:t>
      </w:r>
      <w:r>
        <w:t>the</w:t>
      </w:r>
      <w:r>
        <w:rPr>
          <w:spacing w:val="-8"/>
        </w:rPr>
        <w:t xml:space="preserve"> </w:t>
      </w:r>
      <w:r>
        <w:t>impact</w:t>
      </w:r>
      <w:r>
        <w:rPr>
          <w:spacing w:val="-8"/>
        </w:rPr>
        <w:t xml:space="preserve"> </w:t>
      </w:r>
      <w:r>
        <w:t>of</w:t>
      </w:r>
      <w:r>
        <w:rPr>
          <w:spacing w:val="-10"/>
        </w:rPr>
        <w:t xml:space="preserve"> </w:t>
      </w:r>
      <w:r>
        <w:t>subject</w:t>
      </w:r>
      <w:r>
        <w:rPr>
          <w:spacing w:val="-8"/>
        </w:rPr>
        <w:t xml:space="preserve"> </w:t>
      </w:r>
      <w:r>
        <w:t>imports.</w:t>
      </w:r>
      <w:r>
        <w:rPr>
          <w:spacing w:val="-12"/>
        </w:rPr>
        <w:t xml:space="preserve"> </w:t>
      </w:r>
      <w:r>
        <w:t>In</w:t>
      </w:r>
      <w:r>
        <w:rPr>
          <w:spacing w:val="-10"/>
        </w:rPr>
        <w:t xml:space="preserve"> </w:t>
      </w:r>
      <w:r>
        <w:t>this</w:t>
      </w:r>
      <w:r>
        <w:rPr>
          <w:spacing w:val="-11"/>
        </w:rPr>
        <w:t xml:space="preserve"> </w:t>
      </w:r>
      <w:r>
        <w:t>instance,</w:t>
      </w:r>
      <w:r>
        <w:rPr>
          <w:spacing w:val="-6"/>
        </w:rPr>
        <w:t xml:space="preserve"> </w:t>
      </w:r>
      <w:r>
        <w:t>there</w:t>
      </w:r>
      <w:r>
        <w:rPr>
          <w:spacing w:val="-8"/>
        </w:rPr>
        <w:t xml:space="preserve"> </w:t>
      </w:r>
      <w:r>
        <w:t>is</w:t>
      </w:r>
      <w:r>
        <w:rPr>
          <w:spacing w:val="-7"/>
        </w:rPr>
        <w:t xml:space="preserve"> </w:t>
      </w:r>
      <w:r>
        <w:t>no</w:t>
      </w:r>
      <w:r>
        <w:rPr>
          <w:spacing w:val="-11"/>
        </w:rPr>
        <w:t xml:space="preserve"> </w:t>
      </w:r>
      <w:r>
        <w:t>record</w:t>
      </w:r>
      <w:r>
        <w:rPr>
          <w:spacing w:val="-5"/>
        </w:rPr>
        <w:t xml:space="preserve"> </w:t>
      </w:r>
      <w:r>
        <w:t>of</w:t>
      </w:r>
      <w:r>
        <w:rPr>
          <w:spacing w:val="-10"/>
        </w:rPr>
        <w:t xml:space="preserve"> </w:t>
      </w:r>
      <w:r>
        <w:t>any</w:t>
      </w:r>
      <w:r>
        <w:rPr>
          <w:spacing w:val="-7"/>
        </w:rPr>
        <w:t xml:space="preserve"> </w:t>
      </w:r>
      <w:r>
        <w:t>such</w:t>
      </w:r>
      <w:r>
        <w:rPr>
          <w:spacing w:val="-10"/>
        </w:rPr>
        <w:t xml:space="preserve"> </w:t>
      </w:r>
      <w:r>
        <w:t>analysis or evaluation by MOFCOM. MOFCOM's apparent failure in this regard is particularly problematic in the circumstances of this case because: (i) the average unit price of subject imports</w:t>
      </w:r>
      <w:r>
        <w:rPr>
          <w:spacing w:val="-6"/>
        </w:rPr>
        <w:t xml:space="preserve"> </w:t>
      </w:r>
      <w:r>
        <w:t>was</w:t>
      </w:r>
      <w:r>
        <w:rPr>
          <w:spacing w:val="-6"/>
        </w:rPr>
        <w:t xml:space="preserve"> </w:t>
      </w:r>
      <w:r>
        <w:t>significantly</w:t>
      </w:r>
      <w:r>
        <w:rPr>
          <w:spacing w:val="-6"/>
        </w:rPr>
        <w:t xml:space="preserve"> </w:t>
      </w:r>
      <w:r>
        <w:t>higher</w:t>
      </w:r>
      <w:r>
        <w:rPr>
          <w:spacing w:val="-10"/>
        </w:rPr>
        <w:t xml:space="preserve"> </w:t>
      </w:r>
      <w:r>
        <w:t>than</w:t>
      </w:r>
      <w:r>
        <w:rPr>
          <w:spacing w:val="-9"/>
        </w:rPr>
        <w:t xml:space="preserve"> </w:t>
      </w:r>
      <w:r>
        <w:t>that</w:t>
      </w:r>
      <w:r>
        <w:rPr>
          <w:spacing w:val="-7"/>
        </w:rPr>
        <w:t xml:space="preserve"> </w:t>
      </w:r>
      <w:r>
        <w:t>of</w:t>
      </w:r>
      <w:r>
        <w:rPr>
          <w:spacing w:val="-4"/>
        </w:rPr>
        <w:t xml:space="preserve"> </w:t>
      </w:r>
      <w:r>
        <w:t>domestic</w:t>
      </w:r>
      <w:r>
        <w:rPr>
          <w:spacing w:val="-8"/>
        </w:rPr>
        <w:t xml:space="preserve"> </w:t>
      </w:r>
      <w:r>
        <w:t>like</w:t>
      </w:r>
      <w:r>
        <w:rPr>
          <w:spacing w:val="-7"/>
        </w:rPr>
        <w:t xml:space="preserve"> </w:t>
      </w:r>
      <w:r>
        <w:t>products;</w:t>
      </w:r>
      <w:r>
        <w:rPr>
          <w:spacing w:val="-5"/>
        </w:rPr>
        <w:t xml:space="preserve"> </w:t>
      </w:r>
      <w:r>
        <w:t>(ii)</w:t>
      </w:r>
      <w:r>
        <w:rPr>
          <w:spacing w:val="-3"/>
        </w:rPr>
        <w:t xml:space="preserve"> </w:t>
      </w:r>
      <w:r>
        <w:t>the</w:t>
      </w:r>
      <w:r>
        <w:rPr>
          <w:spacing w:val="-7"/>
        </w:rPr>
        <w:t xml:space="preserve"> </w:t>
      </w:r>
      <w:r>
        <w:t>average</w:t>
      </w:r>
      <w:r>
        <w:rPr>
          <w:spacing w:val="-7"/>
        </w:rPr>
        <w:t xml:space="preserve"> </w:t>
      </w:r>
      <w:r>
        <w:t>unit</w:t>
      </w:r>
      <w:r>
        <w:rPr>
          <w:spacing w:val="-7"/>
        </w:rPr>
        <w:t xml:space="preserve"> </w:t>
      </w:r>
      <w:r>
        <w:t>price of domestic like products increased by 20.5% of the course of the Injury POI; and (iii) the magnitude of the price suppression that MOFCOM observed was only2% of the average unit price of domestic like products in the base year of 2015.</w:t>
      </w:r>
    </w:p>
    <w:p w14:paraId="099BA78A" w14:textId="77777777" w:rsidR="00BD462C" w:rsidRDefault="00033D0F">
      <w:pPr>
        <w:pStyle w:val="ListParagraph"/>
        <w:numPr>
          <w:ilvl w:val="0"/>
          <w:numId w:val="51"/>
        </w:numPr>
        <w:tabs>
          <w:tab w:val="left" w:pos="3539"/>
          <w:tab w:val="left" w:pos="3540"/>
        </w:tabs>
        <w:spacing w:before="159" w:line="357" w:lineRule="auto"/>
        <w:ind w:right="919"/>
        <w:jc w:val="both"/>
        <w:rPr>
          <w:sz w:val="24"/>
        </w:rPr>
      </w:pPr>
      <w:bookmarkStart w:id="980" w:name="(c)_Subject_imports_did_not_have_explana"/>
      <w:bookmarkEnd w:id="980"/>
      <w:r>
        <w:rPr>
          <w:sz w:val="24"/>
          <w:u w:val="single"/>
        </w:rPr>
        <w:t>Subject imports did not have explanatory force for the</w:t>
      </w:r>
      <w:r>
        <w:rPr>
          <w:sz w:val="24"/>
        </w:rPr>
        <w:t xml:space="preserve"> </w:t>
      </w:r>
      <w:r>
        <w:rPr>
          <w:sz w:val="24"/>
          <w:u w:val="single"/>
        </w:rPr>
        <w:t>price suppression</w:t>
      </w:r>
    </w:p>
    <w:p w14:paraId="3377050B" w14:textId="77777777" w:rsidR="00BD462C" w:rsidRDefault="00BD462C">
      <w:pPr>
        <w:pStyle w:val="BodyText"/>
        <w:spacing w:before="3"/>
        <w:rPr>
          <w:sz w:val="9"/>
        </w:rPr>
      </w:pPr>
    </w:p>
    <w:p w14:paraId="78093B67" w14:textId="490EBD32" w:rsidR="00BD462C" w:rsidRDefault="001250D0">
      <w:pPr>
        <w:pStyle w:val="BodyText"/>
        <w:spacing w:before="56" w:line="360" w:lineRule="auto"/>
        <w:ind w:left="135" w:right="911" w:hanging="5"/>
        <w:jc w:val="both"/>
      </w:pPr>
      <w:r>
        <w:rPr>
          <w:noProof/>
        </w:rPr>
        <w:t>492.</w:t>
      </w:r>
      <w:r w:rsidR="00033D0F">
        <w:rPr>
          <w:rFonts w:ascii="Times New Roman"/>
          <w:spacing w:val="40"/>
          <w:position w:val="1"/>
          <w:sz w:val="20"/>
        </w:rPr>
        <w:t xml:space="preserve"> </w:t>
      </w:r>
      <w:r w:rsidR="00033D0F">
        <w:rPr>
          <w:position w:val="1"/>
        </w:rPr>
        <w:t xml:space="preserve">The parties disagree as to whether MOFCOM considered that subject imports had </w:t>
      </w:r>
      <w:r w:rsidR="00033D0F">
        <w:t xml:space="preserve">explanatory force for the alleged price suppression. Australia's position is that explanatory force was asserted by MOFCOM, but not examined. In an attempt to overcome MOFCOM's apparent inaction, China has now provided significant </w:t>
      </w:r>
      <w:r w:rsidR="00033D0F">
        <w:rPr>
          <w:i/>
        </w:rPr>
        <w:t xml:space="preserve">ex post facto </w:t>
      </w:r>
      <w:proofErr w:type="spellStart"/>
      <w:r w:rsidR="00033D0F">
        <w:t>rationalisation</w:t>
      </w:r>
      <w:proofErr w:type="spellEnd"/>
      <w:r w:rsidR="00033D0F">
        <w:t xml:space="preserve"> with respect to MOFCOM's alleged consideration of explanatory force.</w:t>
      </w:r>
      <w:hyperlink w:anchor="_bookmark843" w:history="1">
        <w:r w:rsidR="00033D0F">
          <w:rPr>
            <w:vertAlign w:val="superscript"/>
          </w:rPr>
          <w:t>718</w:t>
        </w:r>
      </w:hyperlink>
      <w:r w:rsidR="00033D0F">
        <w:t xml:space="preserve"> This explanation is not found anywhere on the record of the investigation and should be disregarded by the Panel.</w:t>
      </w:r>
    </w:p>
    <w:p w14:paraId="1538D867" w14:textId="77777777" w:rsidR="00BD462C" w:rsidRDefault="00BD462C">
      <w:pPr>
        <w:pStyle w:val="BodyText"/>
        <w:spacing w:before="8"/>
        <w:rPr>
          <w:sz w:val="8"/>
        </w:rPr>
      </w:pPr>
    </w:p>
    <w:p w14:paraId="40D2B62B" w14:textId="6821FC2B" w:rsidR="00BD462C" w:rsidRDefault="001250D0">
      <w:pPr>
        <w:pStyle w:val="BodyText"/>
        <w:spacing w:before="56" w:line="360" w:lineRule="auto"/>
        <w:ind w:left="135" w:right="911" w:hanging="5"/>
        <w:jc w:val="both"/>
      </w:pPr>
      <w:r>
        <w:rPr>
          <w:noProof/>
        </w:rPr>
        <w:t>493.</w:t>
      </w:r>
      <w:r w:rsidR="00033D0F">
        <w:rPr>
          <w:rFonts w:ascii="Times New Roman"/>
          <w:spacing w:val="40"/>
          <w:position w:val="1"/>
          <w:sz w:val="20"/>
        </w:rPr>
        <w:t xml:space="preserve"> </w:t>
      </w:r>
      <w:r w:rsidR="00033D0F">
        <w:rPr>
          <w:position w:val="1"/>
        </w:rPr>
        <w:t xml:space="preserve">The thrust of China's lengthy submissions on this point is that MOFCOM's "holistic </w:t>
      </w:r>
      <w:r w:rsidR="00033D0F">
        <w:t>consideration" established that subject imports had explanatory force for the price suppression.</w:t>
      </w:r>
      <w:r w:rsidR="00033D0F">
        <w:rPr>
          <w:spacing w:val="-1"/>
        </w:rPr>
        <w:t xml:space="preserve"> </w:t>
      </w:r>
      <w:r w:rsidR="00033D0F">
        <w:t>This</w:t>
      </w:r>
      <w:r w:rsidR="00033D0F">
        <w:rPr>
          <w:spacing w:val="-1"/>
        </w:rPr>
        <w:t xml:space="preserve"> </w:t>
      </w:r>
      <w:r w:rsidR="00033D0F">
        <w:t>"holistic</w:t>
      </w:r>
      <w:r w:rsidR="00033D0F">
        <w:rPr>
          <w:spacing w:val="-4"/>
        </w:rPr>
        <w:t xml:space="preserve"> </w:t>
      </w:r>
      <w:r w:rsidR="00033D0F">
        <w:t>consideration"</w:t>
      </w:r>
      <w:hyperlink w:anchor="_bookmark844" w:history="1">
        <w:r w:rsidR="00033D0F">
          <w:rPr>
            <w:vertAlign w:val="superscript"/>
          </w:rPr>
          <w:t>719</w:t>
        </w:r>
      </w:hyperlink>
      <w:r w:rsidR="00033D0F">
        <w:rPr>
          <w:spacing w:val="-2"/>
        </w:rPr>
        <w:t xml:space="preserve"> </w:t>
      </w:r>
      <w:r w:rsidR="00033D0F">
        <w:t>appears</w:t>
      </w:r>
      <w:r w:rsidR="00033D0F">
        <w:rPr>
          <w:spacing w:val="-1"/>
        </w:rPr>
        <w:t xml:space="preserve"> </w:t>
      </w:r>
      <w:r w:rsidR="00033D0F">
        <w:t>to</w:t>
      </w:r>
      <w:r w:rsidR="00033D0F">
        <w:rPr>
          <w:spacing w:val="-5"/>
        </w:rPr>
        <w:t xml:space="preserve"> </w:t>
      </w:r>
      <w:r w:rsidR="00033D0F">
        <w:t>be</w:t>
      </w:r>
      <w:r w:rsidR="00033D0F">
        <w:rPr>
          <w:spacing w:val="-3"/>
        </w:rPr>
        <w:t xml:space="preserve"> </w:t>
      </w:r>
      <w:r w:rsidR="00033D0F">
        <w:t>based</w:t>
      </w:r>
      <w:r w:rsidR="00033D0F">
        <w:rPr>
          <w:spacing w:val="-4"/>
        </w:rPr>
        <w:t xml:space="preserve"> </w:t>
      </w:r>
      <w:r w:rsidR="00033D0F">
        <w:t>on MOFCOM's</w:t>
      </w:r>
      <w:r w:rsidR="00033D0F">
        <w:rPr>
          <w:spacing w:val="-1"/>
        </w:rPr>
        <w:t xml:space="preserve"> </w:t>
      </w:r>
      <w:r w:rsidR="00033D0F">
        <w:t>observations that, during the Injury POI: (i) the subject imports increased in absolute volume and market share; and (ii) at the same time, the domestic industry could not raise the average unit price of domestic like products enough to fully cover its increasing average unit costs.</w:t>
      </w:r>
      <w:hyperlink w:anchor="_bookmark845" w:history="1">
        <w:r w:rsidR="00033D0F">
          <w:rPr>
            <w:vertAlign w:val="superscript"/>
          </w:rPr>
          <w:t>720</w:t>
        </w:r>
      </w:hyperlink>
      <w:r w:rsidR="00033D0F">
        <w:t xml:space="preserve"> In this regard, MOFCOM's examination of price effects appears to contemplate a wine market in which there are only subject imports from Australia and domestic like products to supply a steady demand. Absent from MOFCOM's "holistic analysis"</w:t>
      </w:r>
      <w:hyperlink w:anchor="_bookmark846" w:history="1">
        <w:r w:rsidR="00033D0F">
          <w:rPr>
            <w:vertAlign w:val="superscript"/>
          </w:rPr>
          <w:t>721</w:t>
        </w:r>
      </w:hyperlink>
      <w:r w:rsidR="00033D0F">
        <w:t xml:space="preserve"> was any consideration of the much</w:t>
      </w:r>
      <w:r w:rsidR="00033D0F">
        <w:rPr>
          <w:spacing w:val="29"/>
        </w:rPr>
        <w:t xml:space="preserve"> </w:t>
      </w:r>
      <w:r w:rsidR="00033D0F">
        <w:t>larger</w:t>
      </w:r>
      <w:r w:rsidR="00033D0F">
        <w:rPr>
          <w:spacing w:val="28"/>
        </w:rPr>
        <w:t xml:space="preserve"> </w:t>
      </w:r>
      <w:r w:rsidR="00033D0F">
        <w:t>volume</w:t>
      </w:r>
      <w:r w:rsidR="00033D0F">
        <w:rPr>
          <w:spacing w:val="31"/>
        </w:rPr>
        <w:t xml:space="preserve"> </w:t>
      </w:r>
      <w:r w:rsidR="00033D0F">
        <w:t>of</w:t>
      </w:r>
      <w:r w:rsidR="00033D0F">
        <w:rPr>
          <w:spacing w:val="29"/>
        </w:rPr>
        <w:t xml:space="preserve"> </w:t>
      </w:r>
      <w:r w:rsidR="00033D0F">
        <w:t>like</w:t>
      </w:r>
      <w:r w:rsidR="00033D0F">
        <w:rPr>
          <w:spacing w:val="31"/>
        </w:rPr>
        <w:t xml:space="preserve"> </w:t>
      </w:r>
      <w:r w:rsidR="00033D0F">
        <w:t>imports</w:t>
      </w:r>
      <w:r w:rsidR="00033D0F">
        <w:rPr>
          <w:spacing w:val="33"/>
        </w:rPr>
        <w:t xml:space="preserve"> </w:t>
      </w:r>
      <w:r w:rsidR="00033D0F">
        <w:t>from</w:t>
      </w:r>
      <w:r w:rsidR="00033D0F">
        <w:rPr>
          <w:spacing w:val="35"/>
        </w:rPr>
        <w:t xml:space="preserve"> </w:t>
      </w:r>
      <w:r w:rsidR="00033D0F">
        <w:t>third</w:t>
      </w:r>
      <w:r w:rsidR="00033D0F">
        <w:rPr>
          <w:spacing w:val="29"/>
        </w:rPr>
        <w:t xml:space="preserve"> </w:t>
      </w:r>
      <w:r w:rsidR="00033D0F">
        <w:t>countries,</w:t>
      </w:r>
      <w:r w:rsidR="00033D0F">
        <w:rPr>
          <w:spacing w:val="33"/>
        </w:rPr>
        <w:t xml:space="preserve"> </w:t>
      </w:r>
      <w:r w:rsidR="00033D0F">
        <w:t>whose</w:t>
      </w:r>
      <w:r w:rsidR="00033D0F">
        <w:rPr>
          <w:spacing w:val="31"/>
        </w:rPr>
        <w:t xml:space="preserve"> </w:t>
      </w:r>
      <w:r w:rsidR="00033D0F">
        <w:t>average</w:t>
      </w:r>
      <w:r w:rsidR="00033D0F">
        <w:rPr>
          <w:spacing w:val="31"/>
        </w:rPr>
        <w:t xml:space="preserve"> </w:t>
      </w:r>
      <w:r w:rsidR="00033D0F">
        <w:t>unit</w:t>
      </w:r>
      <w:r w:rsidR="00033D0F">
        <w:rPr>
          <w:spacing w:val="32"/>
        </w:rPr>
        <w:t xml:space="preserve"> </w:t>
      </w:r>
      <w:r w:rsidR="00033D0F">
        <w:t>prices</w:t>
      </w:r>
      <w:r w:rsidR="00033D0F">
        <w:rPr>
          <w:spacing w:val="33"/>
        </w:rPr>
        <w:t xml:space="preserve"> </w:t>
      </w:r>
      <w:r w:rsidR="00033D0F">
        <w:t>were</w:t>
      </w:r>
    </w:p>
    <w:p w14:paraId="6EA365C9" w14:textId="77777777" w:rsidR="00BD462C" w:rsidRDefault="00BD462C">
      <w:pPr>
        <w:pStyle w:val="BodyText"/>
        <w:rPr>
          <w:sz w:val="20"/>
        </w:rPr>
      </w:pPr>
    </w:p>
    <w:p w14:paraId="0D84CBE1" w14:textId="3EB97B1A" w:rsidR="00BD462C" w:rsidRDefault="00752F01">
      <w:pPr>
        <w:pStyle w:val="BodyText"/>
        <w:rPr>
          <w:sz w:val="20"/>
        </w:rPr>
      </w:pPr>
      <w:r>
        <w:rPr>
          <w:noProof/>
        </w:rPr>
        <mc:AlternateContent>
          <mc:Choice Requires="wps">
            <w:drawing>
              <wp:anchor distT="0" distB="0" distL="0" distR="0" simplePos="0" relativeHeight="488286720" behindDoc="1" locked="0" layoutInCell="1" allowOverlap="1" wp14:anchorId="2C462CBC" wp14:editId="6CB46F1B">
                <wp:simplePos x="0" y="0"/>
                <wp:positionH relativeFrom="page">
                  <wp:posOffset>812800</wp:posOffset>
                </wp:positionH>
                <wp:positionV relativeFrom="paragraph">
                  <wp:posOffset>340995</wp:posOffset>
                </wp:positionV>
                <wp:extent cx="1828800" cy="8890"/>
                <wp:effectExtent l="0" t="0" r="0" b="0"/>
                <wp:wrapTopAndBottom/>
                <wp:docPr id="265" name="docshape4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EFDADE" id="docshape414" o:spid="_x0000_s1026" alt="&quot;&quot;" style="position:absolute;margin-left:64pt;margin-top:26.85pt;width:2in;height:.7pt;z-index:-15029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" fillcolor="black" stroked="f">
                <w10:wrap type="topAndBottom" anchorx="page"/>
              </v:rect>
            </w:pict>
          </mc:Fallback>
        </mc:AlternateContent>
      </w:r>
    </w:p>
    <w:p w14:paraId="3A8E33F5" w14:textId="1BF91C25" w:rsidR="00BD462C" w:rsidRDefault="00BD462C">
      <w:pPr>
        <w:pStyle w:val="BodyText"/>
        <w:spacing w:before="9"/>
        <w:rPr>
          <w:sz w:val="23"/>
        </w:rPr>
      </w:pPr>
    </w:p>
    <w:p w14:paraId="7C6C00D6" w14:textId="77777777" w:rsidR="00BD462C" w:rsidRDefault="00033D0F">
      <w:pPr>
        <w:spacing w:before="112" w:line="218" w:lineRule="exact"/>
        <w:ind w:left="135"/>
        <w:jc w:val="both"/>
        <w:rPr>
          <w:sz w:val="18"/>
        </w:rPr>
      </w:pPr>
      <w:bookmarkStart w:id="981" w:name="_bookmark843"/>
      <w:bookmarkEnd w:id="981"/>
      <w:r>
        <w:rPr>
          <w:position w:val="5"/>
          <w:sz w:val="12"/>
        </w:rPr>
        <w:t>718</w:t>
      </w:r>
      <w:r>
        <w:rPr>
          <w:spacing w:val="11"/>
          <w:position w:val="5"/>
          <w:sz w:val="12"/>
        </w:rPr>
        <w:t xml:space="preserve"> </w:t>
      </w:r>
      <w:r>
        <w:rPr>
          <w:sz w:val="18"/>
        </w:rPr>
        <w:t>China's</w:t>
      </w:r>
      <w:r>
        <w:rPr>
          <w:spacing w:val="-7"/>
          <w:sz w:val="18"/>
        </w:rPr>
        <w:t xml:space="preserve"> </w:t>
      </w:r>
      <w:r>
        <w:rPr>
          <w:sz w:val="18"/>
        </w:rPr>
        <w:t>first</w:t>
      </w:r>
      <w:r>
        <w:rPr>
          <w:spacing w:val="-5"/>
          <w:sz w:val="18"/>
        </w:rPr>
        <w:t xml:space="preserve"> </w:t>
      </w:r>
      <w:r>
        <w:rPr>
          <w:sz w:val="18"/>
        </w:rPr>
        <w:t>written</w:t>
      </w:r>
      <w:r>
        <w:rPr>
          <w:spacing w:val="-8"/>
          <w:sz w:val="18"/>
        </w:rPr>
        <w:t xml:space="preserve"> </w:t>
      </w:r>
      <w:r>
        <w:rPr>
          <w:sz w:val="18"/>
        </w:rPr>
        <w:t>submission,</w:t>
      </w:r>
      <w:r>
        <w:rPr>
          <w:spacing w:val="-1"/>
          <w:sz w:val="18"/>
        </w:rPr>
        <w:t xml:space="preserve"> </w:t>
      </w:r>
      <w:r>
        <w:rPr>
          <w:sz w:val="18"/>
        </w:rPr>
        <w:t>paras.</w:t>
      </w:r>
      <w:r>
        <w:rPr>
          <w:spacing w:val="-5"/>
          <w:sz w:val="18"/>
        </w:rPr>
        <w:t xml:space="preserve"> </w:t>
      </w:r>
      <w:r>
        <w:rPr>
          <w:sz w:val="18"/>
        </w:rPr>
        <w:t>1371-1380;</w:t>
      </w:r>
      <w:r>
        <w:rPr>
          <w:spacing w:val="-9"/>
          <w:sz w:val="18"/>
        </w:rPr>
        <w:t xml:space="preserve"> </w:t>
      </w:r>
      <w:r>
        <w:rPr>
          <w:sz w:val="18"/>
        </w:rPr>
        <w:t>1381-1397.</w:t>
      </w:r>
      <w:r>
        <w:rPr>
          <w:spacing w:val="-1"/>
          <w:sz w:val="18"/>
        </w:rPr>
        <w:t xml:space="preserve"> </w:t>
      </w:r>
      <w:r>
        <w:rPr>
          <w:sz w:val="18"/>
        </w:rPr>
        <w:t>See</w:t>
      </w:r>
      <w:r>
        <w:rPr>
          <w:spacing w:val="-7"/>
          <w:sz w:val="18"/>
        </w:rPr>
        <w:t xml:space="preserve"> </w:t>
      </w:r>
      <w:r>
        <w:rPr>
          <w:sz w:val="18"/>
        </w:rPr>
        <w:t>also</w:t>
      </w:r>
      <w:r>
        <w:rPr>
          <w:spacing w:val="-3"/>
          <w:sz w:val="18"/>
        </w:rPr>
        <w:t xml:space="preserve"> </w:t>
      </w:r>
      <w:r>
        <w:rPr>
          <w:sz w:val="18"/>
        </w:rPr>
        <w:t>paras.</w:t>
      </w:r>
      <w:r>
        <w:rPr>
          <w:spacing w:val="-6"/>
          <w:sz w:val="18"/>
        </w:rPr>
        <w:t xml:space="preserve"> </w:t>
      </w:r>
      <w:r>
        <w:rPr>
          <w:sz w:val="18"/>
        </w:rPr>
        <w:t>1321-</w:t>
      </w:r>
      <w:r>
        <w:rPr>
          <w:spacing w:val="-2"/>
          <w:sz w:val="18"/>
        </w:rPr>
        <w:t>1344.</w:t>
      </w:r>
    </w:p>
    <w:p w14:paraId="566912D8" w14:textId="77777777" w:rsidR="00BD462C" w:rsidRDefault="00033D0F">
      <w:pPr>
        <w:spacing w:line="218" w:lineRule="exact"/>
        <w:ind w:left="135"/>
        <w:jc w:val="both"/>
        <w:rPr>
          <w:sz w:val="18"/>
        </w:rPr>
      </w:pPr>
      <w:bookmarkStart w:id="982" w:name="_bookmark844"/>
      <w:bookmarkEnd w:id="982"/>
      <w:r>
        <w:rPr>
          <w:position w:val="5"/>
          <w:sz w:val="12"/>
        </w:rPr>
        <w:t>719</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 xml:space="preserve">submission, para. </w:t>
      </w:r>
      <w:r>
        <w:rPr>
          <w:spacing w:val="-2"/>
          <w:sz w:val="18"/>
        </w:rPr>
        <w:t>1382.</w:t>
      </w:r>
    </w:p>
    <w:p w14:paraId="1804C11D" w14:textId="77777777" w:rsidR="00BD462C" w:rsidRDefault="00033D0F">
      <w:pPr>
        <w:spacing w:before="1"/>
        <w:ind w:left="136" w:right="908" w:hanging="1"/>
        <w:jc w:val="both"/>
        <w:rPr>
          <w:sz w:val="18"/>
        </w:rPr>
      </w:pPr>
      <w:bookmarkStart w:id="983" w:name="_bookmark845"/>
      <w:bookmarkEnd w:id="983"/>
      <w:r>
        <w:rPr>
          <w:position w:val="5"/>
          <w:sz w:val="12"/>
        </w:rPr>
        <w:t>720</w:t>
      </w:r>
      <w:r>
        <w:rPr>
          <w:spacing w:val="15"/>
          <w:position w:val="5"/>
          <w:sz w:val="12"/>
        </w:rPr>
        <w:t xml:space="preserve"> </w:t>
      </w:r>
      <w:r>
        <w:rPr>
          <w:sz w:val="18"/>
        </w:rPr>
        <w:t>China's</w:t>
      </w:r>
      <w:r>
        <w:rPr>
          <w:spacing w:val="-3"/>
          <w:sz w:val="18"/>
        </w:rPr>
        <w:t xml:space="preserve"> </w:t>
      </w:r>
      <w:r>
        <w:rPr>
          <w:sz w:val="18"/>
        </w:rPr>
        <w:t>first written</w:t>
      </w:r>
      <w:r>
        <w:rPr>
          <w:spacing w:val="-4"/>
          <w:sz w:val="18"/>
        </w:rPr>
        <w:t xml:space="preserve"> </w:t>
      </w:r>
      <w:r>
        <w:rPr>
          <w:sz w:val="18"/>
        </w:rPr>
        <w:t>submission,</w:t>
      </w:r>
      <w:r>
        <w:rPr>
          <w:spacing w:val="-1"/>
          <w:sz w:val="18"/>
        </w:rPr>
        <w:t xml:space="preserve"> </w:t>
      </w:r>
      <w:r>
        <w:rPr>
          <w:sz w:val="18"/>
        </w:rPr>
        <w:t>paras.</w:t>
      </w:r>
      <w:r>
        <w:rPr>
          <w:spacing w:val="-2"/>
          <w:sz w:val="18"/>
        </w:rPr>
        <w:t xml:space="preserve"> </w:t>
      </w:r>
      <w:r>
        <w:rPr>
          <w:sz w:val="18"/>
        </w:rPr>
        <w:t>1382-1385. Australia</w:t>
      </w:r>
      <w:r>
        <w:rPr>
          <w:spacing w:val="-5"/>
          <w:sz w:val="18"/>
        </w:rPr>
        <w:t xml:space="preserve"> </w:t>
      </w:r>
      <w:r>
        <w:rPr>
          <w:sz w:val="18"/>
        </w:rPr>
        <w:t>notes</w:t>
      </w:r>
      <w:r>
        <w:rPr>
          <w:spacing w:val="-3"/>
          <w:sz w:val="18"/>
        </w:rPr>
        <w:t xml:space="preserve"> </w:t>
      </w:r>
      <w:r>
        <w:rPr>
          <w:sz w:val="18"/>
        </w:rPr>
        <w:t>that</w:t>
      </w:r>
      <w:r>
        <w:rPr>
          <w:spacing w:val="-2"/>
          <w:sz w:val="18"/>
        </w:rPr>
        <w:t xml:space="preserve"> </w:t>
      </w:r>
      <w:r>
        <w:rPr>
          <w:sz w:val="18"/>
        </w:rPr>
        <w:t>an</w:t>
      </w:r>
      <w:r>
        <w:rPr>
          <w:spacing w:val="-4"/>
          <w:sz w:val="18"/>
        </w:rPr>
        <w:t xml:space="preserve"> </w:t>
      </w:r>
      <w:r>
        <w:rPr>
          <w:sz w:val="18"/>
        </w:rPr>
        <w:t>investigating authority</w:t>
      </w:r>
      <w:r>
        <w:rPr>
          <w:spacing w:val="-5"/>
          <w:sz w:val="18"/>
        </w:rPr>
        <w:t xml:space="preserve"> </w:t>
      </w:r>
      <w:r>
        <w:rPr>
          <w:sz w:val="18"/>
        </w:rPr>
        <w:t>is not</w:t>
      </w:r>
      <w:r>
        <w:rPr>
          <w:spacing w:val="-2"/>
          <w:sz w:val="18"/>
        </w:rPr>
        <w:t xml:space="preserve"> </w:t>
      </w:r>
      <w:r>
        <w:rPr>
          <w:sz w:val="18"/>
        </w:rPr>
        <w:t>entitled to</w:t>
      </w:r>
      <w:r>
        <w:rPr>
          <w:spacing w:val="-4"/>
          <w:sz w:val="18"/>
        </w:rPr>
        <w:t xml:space="preserve"> </w:t>
      </w:r>
      <w:r>
        <w:rPr>
          <w:sz w:val="18"/>
        </w:rPr>
        <w:t>simply assume</w:t>
      </w:r>
      <w:r>
        <w:rPr>
          <w:spacing w:val="-3"/>
          <w:sz w:val="18"/>
        </w:rPr>
        <w:t xml:space="preserve"> </w:t>
      </w:r>
      <w:r>
        <w:rPr>
          <w:sz w:val="18"/>
        </w:rPr>
        <w:t>that rising volumes and declining prices will have a suppressing effect on</w:t>
      </w:r>
      <w:r>
        <w:rPr>
          <w:spacing w:val="-4"/>
          <w:sz w:val="18"/>
        </w:rPr>
        <w:t xml:space="preserve"> </w:t>
      </w:r>
      <w:r>
        <w:rPr>
          <w:sz w:val="18"/>
        </w:rPr>
        <w:t>domestic prices. See Panel</w:t>
      </w:r>
      <w:r>
        <w:rPr>
          <w:spacing w:val="-2"/>
          <w:sz w:val="18"/>
        </w:rPr>
        <w:t xml:space="preserve"> </w:t>
      </w:r>
      <w:r>
        <w:rPr>
          <w:sz w:val="18"/>
        </w:rPr>
        <w:t xml:space="preserve">Report, </w:t>
      </w:r>
      <w:r>
        <w:rPr>
          <w:i/>
          <w:sz w:val="18"/>
        </w:rPr>
        <w:t>China - GOES (Article 21.5 - US)</w:t>
      </w:r>
      <w:r>
        <w:rPr>
          <w:sz w:val="18"/>
        </w:rPr>
        <w:t>, paras. 7.50-7.51, 7.58.</w:t>
      </w:r>
    </w:p>
    <w:p w14:paraId="09712472" w14:textId="77777777" w:rsidR="00BD462C" w:rsidRDefault="00033D0F">
      <w:pPr>
        <w:spacing w:before="3"/>
        <w:ind w:left="135"/>
        <w:jc w:val="both"/>
        <w:rPr>
          <w:sz w:val="18"/>
        </w:rPr>
      </w:pPr>
      <w:bookmarkStart w:id="984" w:name="_bookmark846"/>
      <w:bookmarkEnd w:id="984"/>
      <w:r>
        <w:rPr>
          <w:position w:val="5"/>
          <w:sz w:val="12"/>
        </w:rPr>
        <w:t>721</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 xml:space="preserve">submission, para. </w:t>
      </w:r>
      <w:r>
        <w:rPr>
          <w:spacing w:val="-2"/>
          <w:sz w:val="18"/>
        </w:rPr>
        <w:t>1392.</w:t>
      </w:r>
    </w:p>
    <w:p w14:paraId="548FD1A6" w14:textId="77777777" w:rsidR="00BD462C" w:rsidRDefault="00BD462C">
      <w:pPr>
        <w:jc w:val="both"/>
        <w:rPr>
          <w:sz w:val="18"/>
        </w:rPr>
        <w:sectPr w:rsidR="00BD462C">
          <w:pgSz w:w="11910" w:h="16840"/>
          <w:pgMar w:top="860" w:right="500" w:bottom="780" w:left="1280" w:header="566" w:footer="590" w:gutter="0"/>
          <w:cols w:space="720"/>
        </w:sectPr>
      </w:pPr>
    </w:p>
    <w:p w14:paraId="2C6ABBE6"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15B7444B"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32C3ADA4"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17E92F7E" w14:textId="77777777" w:rsidR="00BD462C" w:rsidRDefault="00033D0F">
      <w:pPr>
        <w:pStyle w:val="BodyText"/>
        <w:spacing w:before="102" w:line="357" w:lineRule="auto"/>
        <w:ind w:left="135" w:right="923"/>
      </w:pPr>
      <w:r>
        <w:t>significantly lower than the average unit prices of domestic like products, or the substantial changes in market demand during the Injury POI.</w:t>
      </w:r>
    </w:p>
    <w:p w14:paraId="67CFB01D" w14:textId="77777777" w:rsidR="00BD462C" w:rsidRDefault="00BD462C">
      <w:pPr>
        <w:pStyle w:val="BodyText"/>
        <w:spacing w:before="3"/>
        <w:rPr>
          <w:sz w:val="9"/>
        </w:rPr>
      </w:pPr>
    </w:p>
    <w:p w14:paraId="25A44358" w14:textId="312E57F3" w:rsidR="00BD462C" w:rsidRDefault="001250D0">
      <w:pPr>
        <w:pStyle w:val="BodyText"/>
        <w:spacing w:before="56" w:line="357" w:lineRule="auto"/>
        <w:ind w:left="136" w:right="921" w:hanging="5"/>
        <w:jc w:val="both"/>
      </w:pPr>
      <w:r>
        <w:rPr>
          <w:noProof/>
        </w:rPr>
        <w:t>494.</w:t>
      </w:r>
      <w:r w:rsidR="00033D0F">
        <w:rPr>
          <w:rFonts w:ascii="Times New Roman"/>
          <w:spacing w:val="80"/>
          <w:position w:val="1"/>
          <w:sz w:val="20"/>
        </w:rPr>
        <w:t xml:space="preserve"> </w:t>
      </w:r>
      <w:r w:rsidR="00033D0F">
        <w:rPr>
          <w:position w:val="1"/>
        </w:rPr>
        <w:t>China's</w:t>
      </w:r>
      <w:r w:rsidR="00033D0F">
        <w:rPr>
          <w:spacing w:val="-14"/>
          <w:position w:val="1"/>
        </w:rPr>
        <w:t xml:space="preserve"> </w:t>
      </w:r>
      <w:r w:rsidR="00033D0F">
        <w:rPr>
          <w:i/>
          <w:position w:val="1"/>
        </w:rPr>
        <w:t>ex</w:t>
      </w:r>
      <w:r w:rsidR="00033D0F">
        <w:rPr>
          <w:i/>
          <w:spacing w:val="-14"/>
          <w:position w:val="1"/>
        </w:rPr>
        <w:t xml:space="preserve"> </w:t>
      </w:r>
      <w:r w:rsidR="00033D0F">
        <w:rPr>
          <w:i/>
          <w:position w:val="1"/>
        </w:rPr>
        <w:t>post</w:t>
      </w:r>
      <w:r w:rsidR="00033D0F">
        <w:rPr>
          <w:i/>
          <w:spacing w:val="-13"/>
          <w:position w:val="1"/>
        </w:rPr>
        <w:t xml:space="preserve"> </w:t>
      </w:r>
      <w:r w:rsidR="00033D0F">
        <w:rPr>
          <w:i/>
          <w:position w:val="1"/>
        </w:rPr>
        <w:t>facto</w:t>
      </w:r>
      <w:r w:rsidR="00033D0F">
        <w:rPr>
          <w:i/>
          <w:spacing w:val="-14"/>
          <w:position w:val="1"/>
        </w:rPr>
        <w:t xml:space="preserve"> </w:t>
      </w:r>
      <w:r w:rsidR="00033D0F">
        <w:rPr>
          <w:position w:val="1"/>
        </w:rPr>
        <w:t>arguments</w:t>
      </w:r>
      <w:r w:rsidR="00033D0F">
        <w:rPr>
          <w:spacing w:val="-13"/>
          <w:position w:val="1"/>
        </w:rPr>
        <w:t xml:space="preserve"> </w:t>
      </w:r>
      <w:r w:rsidR="00033D0F">
        <w:rPr>
          <w:position w:val="1"/>
        </w:rPr>
        <w:t>do</w:t>
      </w:r>
      <w:r w:rsidR="00033D0F">
        <w:rPr>
          <w:spacing w:val="-14"/>
          <w:position w:val="1"/>
        </w:rPr>
        <w:t xml:space="preserve"> </w:t>
      </w:r>
      <w:r w:rsidR="00033D0F">
        <w:rPr>
          <w:position w:val="1"/>
        </w:rPr>
        <w:t>not</w:t>
      </w:r>
      <w:r w:rsidR="00033D0F">
        <w:rPr>
          <w:spacing w:val="-10"/>
          <w:position w:val="1"/>
        </w:rPr>
        <w:t xml:space="preserve"> </w:t>
      </w:r>
      <w:r w:rsidR="00033D0F">
        <w:rPr>
          <w:position w:val="1"/>
        </w:rPr>
        <w:t>assist</w:t>
      </w:r>
      <w:r w:rsidR="00033D0F">
        <w:rPr>
          <w:spacing w:val="-14"/>
          <w:position w:val="1"/>
        </w:rPr>
        <w:t xml:space="preserve"> </w:t>
      </w:r>
      <w:r w:rsidR="00033D0F">
        <w:rPr>
          <w:position w:val="1"/>
        </w:rPr>
        <w:t>it</w:t>
      </w:r>
      <w:r w:rsidR="00033D0F">
        <w:rPr>
          <w:spacing w:val="-14"/>
          <w:position w:val="1"/>
        </w:rPr>
        <w:t xml:space="preserve"> </w:t>
      </w:r>
      <w:r w:rsidR="00033D0F">
        <w:rPr>
          <w:position w:val="1"/>
        </w:rPr>
        <w:t>in</w:t>
      </w:r>
      <w:r w:rsidR="00033D0F">
        <w:rPr>
          <w:spacing w:val="-13"/>
          <w:position w:val="1"/>
        </w:rPr>
        <w:t xml:space="preserve"> </w:t>
      </w:r>
      <w:r w:rsidR="00033D0F">
        <w:rPr>
          <w:position w:val="1"/>
        </w:rPr>
        <w:t>establishing</w:t>
      </w:r>
      <w:r w:rsidR="00033D0F">
        <w:rPr>
          <w:spacing w:val="-14"/>
          <w:position w:val="1"/>
        </w:rPr>
        <w:t xml:space="preserve"> </w:t>
      </w:r>
      <w:r w:rsidR="00033D0F">
        <w:rPr>
          <w:position w:val="1"/>
        </w:rPr>
        <w:t>that</w:t>
      </w:r>
      <w:r w:rsidR="00033D0F">
        <w:rPr>
          <w:spacing w:val="-13"/>
          <w:position w:val="1"/>
        </w:rPr>
        <w:t xml:space="preserve"> </w:t>
      </w:r>
      <w:r w:rsidR="00033D0F">
        <w:rPr>
          <w:position w:val="1"/>
        </w:rPr>
        <w:t>MOFCOM</w:t>
      </w:r>
      <w:r w:rsidR="00033D0F">
        <w:rPr>
          <w:spacing w:val="-14"/>
          <w:position w:val="1"/>
        </w:rPr>
        <w:t xml:space="preserve"> </w:t>
      </w:r>
      <w:r w:rsidR="00033D0F">
        <w:rPr>
          <w:position w:val="1"/>
        </w:rPr>
        <w:t xml:space="preserve">properly </w:t>
      </w:r>
      <w:r w:rsidR="00033D0F">
        <w:t>considered</w:t>
      </w:r>
      <w:r w:rsidR="00033D0F">
        <w:rPr>
          <w:spacing w:val="-5"/>
        </w:rPr>
        <w:t xml:space="preserve"> </w:t>
      </w:r>
      <w:r w:rsidR="00033D0F">
        <w:t>whether</w:t>
      </w:r>
      <w:r w:rsidR="00033D0F">
        <w:rPr>
          <w:spacing w:val="-1"/>
        </w:rPr>
        <w:t xml:space="preserve"> </w:t>
      </w:r>
      <w:r w:rsidR="00033D0F">
        <w:t>the</w:t>
      </w:r>
      <w:r w:rsidR="00033D0F">
        <w:rPr>
          <w:spacing w:val="-4"/>
        </w:rPr>
        <w:t xml:space="preserve"> </w:t>
      </w:r>
      <w:r w:rsidR="00033D0F">
        <w:t>subject</w:t>
      </w:r>
      <w:r w:rsidR="00033D0F">
        <w:rPr>
          <w:spacing w:val="-3"/>
        </w:rPr>
        <w:t xml:space="preserve"> </w:t>
      </w:r>
      <w:r w:rsidR="00033D0F">
        <w:t>imports</w:t>
      </w:r>
      <w:r w:rsidR="00033D0F">
        <w:rPr>
          <w:spacing w:val="-2"/>
        </w:rPr>
        <w:t xml:space="preserve"> </w:t>
      </w:r>
      <w:r w:rsidR="00033D0F">
        <w:t>had explanatory</w:t>
      </w:r>
      <w:r w:rsidR="00033D0F">
        <w:rPr>
          <w:spacing w:val="-2"/>
        </w:rPr>
        <w:t xml:space="preserve"> </w:t>
      </w:r>
      <w:r w:rsidR="00033D0F">
        <w:t>force for</w:t>
      </w:r>
      <w:r w:rsidR="00033D0F">
        <w:rPr>
          <w:spacing w:val="-6"/>
        </w:rPr>
        <w:t xml:space="preserve"> </w:t>
      </w:r>
      <w:r w:rsidR="00033D0F">
        <w:t>the</w:t>
      </w:r>
      <w:r w:rsidR="00033D0F">
        <w:rPr>
          <w:spacing w:val="-4"/>
        </w:rPr>
        <w:t xml:space="preserve"> </w:t>
      </w:r>
      <w:r w:rsidR="00033D0F">
        <w:t>alleged</w:t>
      </w:r>
      <w:r w:rsidR="00033D0F">
        <w:rPr>
          <w:spacing w:val="-5"/>
        </w:rPr>
        <w:t xml:space="preserve"> </w:t>
      </w:r>
      <w:r w:rsidR="00033D0F">
        <w:t>suppression</w:t>
      </w:r>
      <w:r w:rsidR="00033D0F">
        <w:rPr>
          <w:spacing w:val="-5"/>
        </w:rPr>
        <w:t xml:space="preserve"> </w:t>
      </w:r>
      <w:r w:rsidR="00033D0F">
        <w:t>of domestic prices. This is because:</w:t>
      </w:r>
    </w:p>
    <w:p w14:paraId="29B855A5" w14:textId="77777777" w:rsidR="00BD462C" w:rsidRDefault="00033D0F">
      <w:pPr>
        <w:pStyle w:val="ListParagraph"/>
        <w:numPr>
          <w:ilvl w:val="0"/>
          <w:numId w:val="50"/>
        </w:numPr>
        <w:tabs>
          <w:tab w:val="left" w:pos="1835"/>
          <w:tab w:val="left" w:pos="1836"/>
        </w:tabs>
        <w:spacing w:before="161" w:line="360" w:lineRule="auto"/>
        <w:ind w:left="1839" w:right="909" w:hanging="855"/>
        <w:jc w:val="both"/>
        <w:rPr>
          <w:sz w:val="24"/>
        </w:rPr>
      </w:pPr>
      <w:r>
        <w:rPr>
          <w:sz w:val="24"/>
        </w:rPr>
        <w:t>MOFCOM's consideration of price effects was premised on its finding that all</w:t>
      </w:r>
      <w:r>
        <w:rPr>
          <w:spacing w:val="-14"/>
          <w:sz w:val="24"/>
        </w:rPr>
        <w:t xml:space="preserve"> </w:t>
      </w:r>
      <w:r>
        <w:rPr>
          <w:sz w:val="24"/>
        </w:rPr>
        <w:t>Australian</w:t>
      </w:r>
      <w:r>
        <w:rPr>
          <w:spacing w:val="-14"/>
          <w:sz w:val="24"/>
        </w:rPr>
        <w:t xml:space="preserve"> </w:t>
      </w:r>
      <w:r>
        <w:rPr>
          <w:sz w:val="24"/>
        </w:rPr>
        <w:t>wine</w:t>
      </w:r>
      <w:r>
        <w:rPr>
          <w:spacing w:val="-13"/>
          <w:sz w:val="24"/>
        </w:rPr>
        <w:t xml:space="preserve"> </w:t>
      </w:r>
      <w:r>
        <w:rPr>
          <w:sz w:val="24"/>
        </w:rPr>
        <w:t>products</w:t>
      </w:r>
      <w:r>
        <w:rPr>
          <w:spacing w:val="-14"/>
          <w:sz w:val="24"/>
        </w:rPr>
        <w:t xml:space="preserve"> </w:t>
      </w:r>
      <w:r>
        <w:rPr>
          <w:sz w:val="24"/>
        </w:rPr>
        <w:t>compete</w:t>
      </w:r>
      <w:r>
        <w:rPr>
          <w:spacing w:val="-13"/>
          <w:sz w:val="24"/>
        </w:rPr>
        <w:t xml:space="preserve"> </w:t>
      </w:r>
      <w:r>
        <w:rPr>
          <w:sz w:val="24"/>
        </w:rPr>
        <w:t>equally</w:t>
      </w:r>
      <w:r>
        <w:rPr>
          <w:spacing w:val="-14"/>
          <w:sz w:val="24"/>
        </w:rPr>
        <w:t xml:space="preserve"> </w:t>
      </w:r>
      <w:r>
        <w:rPr>
          <w:sz w:val="24"/>
        </w:rPr>
        <w:t>with</w:t>
      </w:r>
      <w:r>
        <w:rPr>
          <w:spacing w:val="-13"/>
          <w:sz w:val="24"/>
        </w:rPr>
        <w:t xml:space="preserve"> </w:t>
      </w:r>
      <w:r>
        <w:rPr>
          <w:sz w:val="24"/>
        </w:rPr>
        <w:t>and</w:t>
      </w:r>
      <w:r>
        <w:rPr>
          <w:spacing w:val="-14"/>
          <w:sz w:val="24"/>
        </w:rPr>
        <w:t xml:space="preserve"> </w:t>
      </w:r>
      <w:r>
        <w:rPr>
          <w:sz w:val="24"/>
        </w:rPr>
        <w:t>are</w:t>
      </w:r>
      <w:r>
        <w:rPr>
          <w:spacing w:val="-14"/>
          <w:sz w:val="24"/>
        </w:rPr>
        <w:t xml:space="preserve"> </w:t>
      </w:r>
      <w:r>
        <w:rPr>
          <w:sz w:val="24"/>
        </w:rPr>
        <w:t>substitutable</w:t>
      </w:r>
      <w:r>
        <w:rPr>
          <w:spacing w:val="-13"/>
          <w:sz w:val="24"/>
        </w:rPr>
        <w:t xml:space="preserve"> </w:t>
      </w:r>
      <w:r>
        <w:rPr>
          <w:sz w:val="24"/>
        </w:rPr>
        <w:t>with all Chinese</w:t>
      </w:r>
      <w:r>
        <w:rPr>
          <w:spacing w:val="-2"/>
          <w:sz w:val="24"/>
        </w:rPr>
        <w:t xml:space="preserve"> </w:t>
      </w:r>
      <w:r>
        <w:rPr>
          <w:sz w:val="24"/>
        </w:rPr>
        <w:t>wine</w:t>
      </w:r>
      <w:r>
        <w:rPr>
          <w:spacing w:val="-3"/>
          <w:sz w:val="24"/>
        </w:rPr>
        <w:t xml:space="preserve"> </w:t>
      </w:r>
      <w:r>
        <w:rPr>
          <w:sz w:val="24"/>
        </w:rPr>
        <w:t>products.</w:t>
      </w:r>
      <w:hyperlink w:anchor="_bookmark847" w:history="1">
        <w:r>
          <w:rPr>
            <w:sz w:val="24"/>
            <w:vertAlign w:val="superscript"/>
          </w:rPr>
          <w:t>722</w:t>
        </w:r>
      </w:hyperlink>
      <w:r>
        <w:rPr>
          <w:spacing w:val="-2"/>
          <w:sz w:val="24"/>
        </w:rPr>
        <w:t xml:space="preserve"> </w:t>
      </w:r>
      <w:r>
        <w:rPr>
          <w:sz w:val="24"/>
        </w:rPr>
        <w:t>It</w:t>
      </w:r>
      <w:r>
        <w:rPr>
          <w:spacing w:val="-2"/>
          <w:sz w:val="24"/>
        </w:rPr>
        <w:t xml:space="preserve"> </w:t>
      </w:r>
      <w:r>
        <w:rPr>
          <w:sz w:val="24"/>
        </w:rPr>
        <w:t>is</w:t>
      </w:r>
      <w:r>
        <w:rPr>
          <w:spacing w:val="-1"/>
          <w:sz w:val="24"/>
        </w:rPr>
        <w:t xml:space="preserve"> </w:t>
      </w:r>
      <w:r>
        <w:rPr>
          <w:sz w:val="24"/>
        </w:rPr>
        <w:t>for</w:t>
      </w:r>
      <w:r>
        <w:rPr>
          <w:spacing w:val="-5"/>
          <w:sz w:val="24"/>
        </w:rPr>
        <w:t xml:space="preserve"> </w:t>
      </w:r>
      <w:r>
        <w:rPr>
          <w:sz w:val="24"/>
        </w:rPr>
        <w:t>this</w:t>
      </w:r>
      <w:r>
        <w:rPr>
          <w:spacing w:val="-1"/>
          <w:sz w:val="24"/>
        </w:rPr>
        <w:t xml:space="preserve"> </w:t>
      </w:r>
      <w:r>
        <w:rPr>
          <w:sz w:val="24"/>
        </w:rPr>
        <w:t>reason</w:t>
      </w:r>
      <w:r>
        <w:rPr>
          <w:spacing w:val="-4"/>
          <w:sz w:val="24"/>
        </w:rPr>
        <w:t xml:space="preserve"> </w:t>
      </w:r>
      <w:r>
        <w:rPr>
          <w:sz w:val="24"/>
        </w:rPr>
        <w:t>that</w:t>
      </w:r>
      <w:r>
        <w:rPr>
          <w:spacing w:val="-2"/>
          <w:sz w:val="24"/>
        </w:rPr>
        <w:t xml:space="preserve"> </w:t>
      </w:r>
      <w:r>
        <w:rPr>
          <w:sz w:val="24"/>
        </w:rPr>
        <w:t>the</w:t>
      </w:r>
      <w:r>
        <w:rPr>
          <w:spacing w:val="-3"/>
          <w:sz w:val="24"/>
        </w:rPr>
        <w:t xml:space="preserve"> </w:t>
      </w:r>
      <w:r>
        <w:rPr>
          <w:sz w:val="24"/>
        </w:rPr>
        <w:t>price</w:t>
      </w:r>
      <w:r>
        <w:rPr>
          <w:spacing w:val="-2"/>
          <w:sz w:val="24"/>
        </w:rPr>
        <w:t xml:space="preserve"> </w:t>
      </w:r>
      <w:r>
        <w:rPr>
          <w:sz w:val="24"/>
        </w:rPr>
        <w:t>gap</w:t>
      </w:r>
      <w:r>
        <w:rPr>
          <w:spacing w:val="-4"/>
          <w:sz w:val="24"/>
        </w:rPr>
        <w:t xml:space="preserve"> </w:t>
      </w:r>
      <w:r>
        <w:rPr>
          <w:sz w:val="24"/>
        </w:rPr>
        <w:t>between the average unit price of subject imports and domestic like products is important.</w:t>
      </w:r>
      <w:hyperlink w:anchor="_bookmark848" w:history="1">
        <w:r>
          <w:rPr>
            <w:sz w:val="24"/>
            <w:vertAlign w:val="superscript"/>
          </w:rPr>
          <w:t>723</w:t>
        </w:r>
      </w:hyperlink>
      <w:r>
        <w:rPr>
          <w:sz w:val="24"/>
        </w:rPr>
        <w:t xml:space="preserve"> That is, if all wine products are "relatively highly competitive and interchangeable",</w:t>
      </w:r>
      <w:hyperlink w:anchor="_bookmark849" w:history="1">
        <w:r>
          <w:rPr>
            <w:sz w:val="24"/>
            <w:vertAlign w:val="superscript"/>
          </w:rPr>
          <w:t>724</w:t>
        </w:r>
      </w:hyperlink>
      <w:r>
        <w:rPr>
          <w:sz w:val="24"/>
        </w:rPr>
        <w:t xml:space="preserve"> and "price has become the primary factor for consideration when downstream customers choose products",</w:t>
      </w:r>
      <w:hyperlink w:anchor="_bookmark850" w:history="1">
        <w:r>
          <w:rPr>
            <w:sz w:val="24"/>
            <w:vertAlign w:val="superscript"/>
          </w:rPr>
          <w:t>725</w:t>
        </w:r>
      </w:hyperlink>
      <w:r>
        <w:rPr>
          <w:sz w:val="24"/>
        </w:rPr>
        <w:t xml:space="preserve"> how did subject imports prevent the average domestic</w:t>
      </w:r>
      <w:r>
        <w:rPr>
          <w:spacing w:val="-1"/>
          <w:sz w:val="24"/>
        </w:rPr>
        <w:t xml:space="preserve"> </w:t>
      </w:r>
      <w:r>
        <w:rPr>
          <w:sz w:val="24"/>
        </w:rPr>
        <w:t>unit price from increasing by 658</w:t>
      </w:r>
      <w:r>
        <w:rPr>
          <w:spacing w:val="-14"/>
          <w:sz w:val="24"/>
        </w:rPr>
        <w:t xml:space="preserve"> </w:t>
      </w:r>
      <w:r>
        <w:rPr>
          <w:sz w:val="24"/>
        </w:rPr>
        <w:t>RMB/</w:t>
      </w:r>
      <w:proofErr w:type="spellStart"/>
      <w:r>
        <w:rPr>
          <w:sz w:val="24"/>
        </w:rPr>
        <w:t>kilolitre</w:t>
      </w:r>
      <w:proofErr w:type="spellEnd"/>
      <w:r>
        <w:rPr>
          <w:spacing w:val="-14"/>
          <w:sz w:val="24"/>
        </w:rPr>
        <w:t xml:space="preserve"> </w:t>
      </w:r>
      <w:r>
        <w:rPr>
          <w:sz w:val="24"/>
        </w:rPr>
        <w:t>over</w:t>
      </w:r>
      <w:r>
        <w:rPr>
          <w:spacing w:val="-13"/>
          <w:sz w:val="24"/>
        </w:rPr>
        <w:t xml:space="preserve"> </w:t>
      </w:r>
      <w:r>
        <w:rPr>
          <w:sz w:val="24"/>
        </w:rPr>
        <w:t>the</w:t>
      </w:r>
      <w:r>
        <w:rPr>
          <w:spacing w:val="-14"/>
          <w:sz w:val="24"/>
        </w:rPr>
        <w:t xml:space="preserve"> </w:t>
      </w:r>
      <w:r>
        <w:rPr>
          <w:sz w:val="24"/>
        </w:rPr>
        <w:t>Injury</w:t>
      </w:r>
      <w:r>
        <w:rPr>
          <w:spacing w:val="-13"/>
          <w:sz w:val="24"/>
        </w:rPr>
        <w:t xml:space="preserve"> </w:t>
      </w:r>
      <w:r>
        <w:rPr>
          <w:sz w:val="24"/>
        </w:rPr>
        <w:t>POI,</w:t>
      </w:r>
      <w:r>
        <w:rPr>
          <w:spacing w:val="-14"/>
          <w:sz w:val="24"/>
        </w:rPr>
        <w:t xml:space="preserve"> </w:t>
      </w:r>
      <w:r>
        <w:rPr>
          <w:sz w:val="24"/>
        </w:rPr>
        <w:t>when</w:t>
      </w:r>
      <w:r>
        <w:rPr>
          <w:spacing w:val="-13"/>
          <w:sz w:val="24"/>
        </w:rPr>
        <w:t xml:space="preserve"> </w:t>
      </w:r>
      <w:r>
        <w:rPr>
          <w:sz w:val="24"/>
        </w:rPr>
        <w:t>such</w:t>
      </w:r>
      <w:r>
        <w:rPr>
          <w:spacing w:val="-14"/>
          <w:sz w:val="24"/>
        </w:rPr>
        <w:t xml:space="preserve"> </w:t>
      </w:r>
      <w:r>
        <w:rPr>
          <w:sz w:val="24"/>
        </w:rPr>
        <w:t>an</w:t>
      </w:r>
      <w:r>
        <w:rPr>
          <w:spacing w:val="-14"/>
          <w:sz w:val="24"/>
        </w:rPr>
        <w:t xml:space="preserve"> </w:t>
      </w:r>
      <w:r>
        <w:rPr>
          <w:sz w:val="24"/>
        </w:rPr>
        <w:t>increase</w:t>
      </w:r>
      <w:r>
        <w:rPr>
          <w:spacing w:val="-13"/>
          <w:sz w:val="24"/>
        </w:rPr>
        <w:t xml:space="preserve"> </w:t>
      </w:r>
      <w:r>
        <w:rPr>
          <w:sz w:val="24"/>
        </w:rPr>
        <w:t>would</w:t>
      </w:r>
      <w:r>
        <w:rPr>
          <w:spacing w:val="-14"/>
          <w:sz w:val="24"/>
        </w:rPr>
        <w:t xml:space="preserve"> </w:t>
      </w:r>
      <w:r>
        <w:rPr>
          <w:sz w:val="24"/>
        </w:rPr>
        <w:t>still</w:t>
      </w:r>
      <w:r>
        <w:rPr>
          <w:spacing w:val="-12"/>
          <w:sz w:val="24"/>
        </w:rPr>
        <w:t xml:space="preserve"> </w:t>
      </w:r>
      <w:r>
        <w:rPr>
          <w:sz w:val="24"/>
        </w:rPr>
        <w:t>have resulted in domestic like products being cheaper than subject imports? It was incumbent on MOFCOM to "demonstrate how its factual findings concerning price competition support its conclusions regarding the price effects</w:t>
      </w:r>
      <w:r>
        <w:rPr>
          <w:spacing w:val="-6"/>
          <w:sz w:val="24"/>
        </w:rPr>
        <w:t xml:space="preserve"> </w:t>
      </w:r>
      <w:r>
        <w:rPr>
          <w:sz w:val="24"/>
        </w:rPr>
        <w:t>of</w:t>
      </w:r>
      <w:r>
        <w:rPr>
          <w:spacing w:val="-9"/>
          <w:sz w:val="24"/>
        </w:rPr>
        <w:t xml:space="preserve"> </w:t>
      </w:r>
      <w:r>
        <w:rPr>
          <w:sz w:val="24"/>
        </w:rPr>
        <w:t>subject</w:t>
      </w:r>
      <w:r>
        <w:rPr>
          <w:spacing w:val="-7"/>
          <w:sz w:val="24"/>
        </w:rPr>
        <w:t xml:space="preserve"> </w:t>
      </w:r>
      <w:r>
        <w:rPr>
          <w:sz w:val="24"/>
        </w:rPr>
        <w:t>imports</w:t>
      </w:r>
      <w:r>
        <w:rPr>
          <w:spacing w:val="-6"/>
          <w:sz w:val="24"/>
        </w:rPr>
        <w:t xml:space="preserve"> </w:t>
      </w:r>
      <w:r>
        <w:rPr>
          <w:sz w:val="24"/>
        </w:rPr>
        <w:t>on</w:t>
      </w:r>
      <w:r>
        <w:rPr>
          <w:spacing w:val="-9"/>
          <w:sz w:val="24"/>
        </w:rPr>
        <w:t xml:space="preserve"> </w:t>
      </w:r>
      <w:r>
        <w:rPr>
          <w:sz w:val="24"/>
        </w:rPr>
        <w:t>the</w:t>
      </w:r>
      <w:r>
        <w:rPr>
          <w:spacing w:val="-7"/>
          <w:sz w:val="24"/>
        </w:rPr>
        <w:t xml:space="preserve"> </w:t>
      </w:r>
      <w:r>
        <w:rPr>
          <w:sz w:val="24"/>
        </w:rPr>
        <w:t>domestic</w:t>
      </w:r>
      <w:r>
        <w:rPr>
          <w:spacing w:val="-8"/>
          <w:sz w:val="24"/>
        </w:rPr>
        <w:t xml:space="preserve"> </w:t>
      </w:r>
      <w:r>
        <w:rPr>
          <w:sz w:val="24"/>
        </w:rPr>
        <w:t>like</w:t>
      </w:r>
      <w:r>
        <w:rPr>
          <w:spacing w:val="-7"/>
          <w:sz w:val="24"/>
        </w:rPr>
        <w:t xml:space="preserve"> </w:t>
      </w:r>
      <w:r>
        <w:rPr>
          <w:sz w:val="24"/>
        </w:rPr>
        <w:t>product."</w:t>
      </w:r>
      <w:hyperlink w:anchor="_bookmark851" w:history="1">
        <w:r>
          <w:rPr>
            <w:sz w:val="24"/>
            <w:vertAlign w:val="superscript"/>
          </w:rPr>
          <w:t>726</w:t>
        </w:r>
      </w:hyperlink>
      <w:r>
        <w:rPr>
          <w:spacing w:val="-6"/>
          <w:sz w:val="24"/>
        </w:rPr>
        <w:t xml:space="preserve"> </w:t>
      </w:r>
      <w:r>
        <w:rPr>
          <w:sz w:val="24"/>
        </w:rPr>
        <w:t>It</w:t>
      </w:r>
      <w:r>
        <w:rPr>
          <w:spacing w:val="-7"/>
          <w:sz w:val="24"/>
        </w:rPr>
        <w:t xml:space="preserve"> </w:t>
      </w:r>
      <w:r>
        <w:rPr>
          <w:sz w:val="24"/>
        </w:rPr>
        <w:t>failed</w:t>
      </w:r>
      <w:r>
        <w:rPr>
          <w:spacing w:val="-9"/>
          <w:sz w:val="24"/>
        </w:rPr>
        <w:t xml:space="preserve"> </w:t>
      </w:r>
      <w:r>
        <w:rPr>
          <w:sz w:val="24"/>
        </w:rPr>
        <w:t>to</w:t>
      </w:r>
      <w:r>
        <w:rPr>
          <w:spacing w:val="-10"/>
          <w:sz w:val="24"/>
        </w:rPr>
        <w:t xml:space="preserve"> </w:t>
      </w:r>
      <w:r>
        <w:rPr>
          <w:sz w:val="24"/>
        </w:rPr>
        <w:t>do</w:t>
      </w:r>
      <w:r>
        <w:rPr>
          <w:spacing w:val="-10"/>
          <w:sz w:val="24"/>
        </w:rPr>
        <w:t xml:space="preserve"> </w:t>
      </w:r>
      <w:r>
        <w:rPr>
          <w:sz w:val="24"/>
        </w:rPr>
        <w:t>so.</w:t>
      </w:r>
    </w:p>
    <w:p w14:paraId="1FBA6A25" w14:textId="77777777" w:rsidR="00BD462C" w:rsidRDefault="00033D0F">
      <w:pPr>
        <w:pStyle w:val="ListParagraph"/>
        <w:numPr>
          <w:ilvl w:val="0"/>
          <w:numId w:val="50"/>
        </w:numPr>
        <w:tabs>
          <w:tab w:val="left" w:pos="1835"/>
          <w:tab w:val="left" w:pos="1836"/>
        </w:tabs>
        <w:spacing w:line="360" w:lineRule="auto"/>
        <w:ind w:left="1839" w:right="913" w:hanging="855"/>
        <w:jc w:val="both"/>
        <w:rPr>
          <w:sz w:val="24"/>
        </w:rPr>
      </w:pPr>
      <w:r>
        <w:rPr>
          <w:sz w:val="24"/>
        </w:rPr>
        <w:t>The year-on-year volume increases in subject imports apparently relied upon</w:t>
      </w:r>
      <w:r>
        <w:rPr>
          <w:spacing w:val="-7"/>
          <w:sz w:val="24"/>
        </w:rPr>
        <w:t xml:space="preserve"> </w:t>
      </w:r>
      <w:r>
        <w:rPr>
          <w:sz w:val="24"/>
        </w:rPr>
        <w:t>by</w:t>
      </w:r>
      <w:r>
        <w:rPr>
          <w:spacing w:val="-8"/>
          <w:sz w:val="24"/>
        </w:rPr>
        <w:t xml:space="preserve"> </w:t>
      </w:r>
      <w:r>
        <w:rPr>
          <w:sz w:val="24"/>
        </w:rPr>
        <w:t>MOFCOM,</w:t>
      </w:r>
      <w:r>
        <w:rPr>
          <w:spacing w:val="-8"/>
          <w:sz w:val="24"/>
        </w:rPr>
        <w:t xml:space="preserve"> </w:t>
      </w:r>
      <w:r>
        <w:rPr>
          <w:sz w:val="24"/>
        </w:rPr>
        <w:t>do</w:t>
      </w:r>
      <w:r>
        <w:rPr>
          <w:spacing w:val="-12"/>
          <w:sz w:val="24"/>
        </w:rPr>
        <w:t xml:space="preserve"> </w:t>
      </w:r>
      <w:r>
        <w:rPr>
          <w:sz w:val="24"/>
        </w:rPr>
        <w:t>not</w:t>
      </w:r>
      <w:r>
        <w:rPr>
          <w:spacing w:val="-9"/>
          <w:sz w:val="24"/>
        </w:rPr>
        <w:t xml:space="preserve"> </w:t>
      </w:r>
      <w:r>
        <w:rPr>
          <w:sz w:val="24"/>
        </w:rPr>
        <w:t>explain</w:t>
      </w:r>
      <w:r>
        <w:rPr>
          <w:spacing w:val="-11"/>
          <w:sz w:val="24"/>
        </w:rPr>
        <w:t xml:space="preserve"> </w:t>
      </w:r>
      <w:r>
        <w:rPr>
          <w:sz w:val="24"/>
        </w:rPr>
        <w:t>the</w:t>
      </w:r>
      <w:r>
        <w:rPr>
          <w:spacing w:val="-9"/>
          <w:sz w:val="24"/>
        </w:rPr>
        <w:t xml:space="preserve"> </w:t>
      </w:r>
      <w:r>
        <w:rPr>
          <w:sz w:val="24"/>
        </w:rPr>
        <w:t>significant</w:t>
      </w:r>
      <w:r>
        <w:rPr>
          <w:spacing w:val="-9"/>
          <w:sz w:val="24"/>
        </w:rPr>
        <w:t xml:space="preserve"> </w:t>
      </w:r>
      <w:r>
        <w:rPr>
          <w:sz w:val="24"/>
        </w:rPr>
        <w:t>volume</w:t>
      </w:r>
      <w:r>
        <w:rPr>
          <w:spacing w:val="-9"/>
          <w:sz w:val="24"/>
        </w:rPr>
        <w:t xml:space="preserve"> </w:t>
      </w:r>
      <w:r>
        <w:rPr>
          <w:sz w:val="24"/>
        </w:rPr>
        <w:t>losses</w:t>
      </w:r>
      <w:r>
        <w:rPr>
          <w:spacing w:val="-8"/>
          <w:sz w:val="24"/>
        </w:rPr>
        <w:t xml:space="preserve"> </w:t>
      </w:r>
      <w:r>
        <w:rPr>
          <w:sz w:val="24"/>
        </w:rPr>
        <w:t>experienced by</w:t>
      </w:r>
      <w:r>
        <w:rPr>
          <w:spacing w:val="-11"/>
          <w:sz w:val="24"/>
        </w:rPr>
        <w:t xml:space="preserve"> </w:t>
      </w:r>
      <w:r>
        <w:rPr>
          <w:sz w:val="24"/>
        </w:rPr>
        <w:t>the</w:t>
      </w:r>
      <w:r>
        <w:rPr>
          <w:spacing w:val="-12"/>
          <w:sz w:val="24"/>
        </w:rPr>
        <w:t xml:space="preserve"> </w:t>
      </w:r>
      <w:r>
        <w:rPr>
          <w:sz w:val="24"/>
        </w:rPr>
        <w:t>domestic</w:t>
      </w:r>
      <w:r>
        <w:rPr>
          <w:spacing w:val="-13"/>
          <w:sz w:val="24"/>
        </w:rPr>
        <w:t xml:space="preserve"> </w:t>
      </w:r>
      <w:r>
        <w:rPr>
          <w:sz w:val="24"/>
        </w:rPr>
        <w:t>industry.</w:t>
      </w:r>
      <w:r>
        <w:rPr>
          <w:spacing w:val="-11"/>
          <w:sz w:val="24"/>
        </w:rPr>
        <w:t xml:space="preserve"> </w:t>
      </w:r>
      <w:r>
        <w:rPr>
          <w:sz w:val="24"/>
        </w:rPr>
        <w:t>The</w:t>
      </w:r>
      <w:r>
        <w:rPr>
          <w:spacing w:val="-12"/>
          <w:sz w:val="24"/>
        </w:rPr>
        <w:t xml:space="preserve"> </w:t>
      </w:r>
      <w:r>
        <w:rPr>
          <w:sz w:val="24"/>
        </w:rPr>
        <w:t>differences</w:t>
      </w:r>
      <w:r>
        <w:rPr>
          <w:spacing w:val="-10"/>
          <w:sz w:val="24"/>
        </w:rPr>
        <w:t xml:space="preserve"> </w:t>
      </w:r>
      <w:r>
        <w:rPr>
          <w:sz w:val="24"/>
        </w:rPr>
        <w:t>in</w:t>
      </w:r>
      <w:r>
        <w:rPr>
          <w:spacing w:val="-14"/>
          <w:sz w:val="24"/>
        </w:rPr>
        <w:t xml:space="preserve"> </w:t>
      </w:r>
      <w:r>
        <w:rPr>
          <w:sz w:val="24"/>
        </w:rPr>
        <w:t>absolute</w:t>
      </w:r>
      <w:r>
        <w:rPr>
          <w:spacing w:val="-11"/>
          <w:sz w:val="24"/>
        </w:rPr>
        <w:t xml:space="preserve"> </w:t>
      </w:r>
      <w:r>
        <w:rPr>
          <w:sz w:val="24"/>
        </w:rPr>
        <w:t>volumes</w:t>
      </w:r>
      <w:r>
        <w:rPr>
          <w:spacing w:val="-10"/>
          <w:sz w:val="24"/>
        </w:rPr>
        <w:t xml:space="preserve"> </w:t>
      </w:r>
      <w:r>
        <w:rPr>
          <w:sz w:val="24"/>
        </w:rPr>
        <w:t>show</w:t>
      </w:r>
      <w:r>
        <w:rPr>
          <w:spacing w:val="-11"/>
          <w:sz w:val="24"/>
        </w:rPr>
        <w:t xml:space="preserve"> </w:t>
      </w:r>
      <w:r>
        <w:rPr>
          <w:sz w:val="24"/>
        </w:rPr>
        <w:t>that</w:t>
      </w:r>
      <w:r>
        <w:rPr>
          <w:spacing w:val="-11"/>
          <w:sz w:val="24"/>
        </w:rPr>
        <w:t xml:space="preserve"> </w:t>
      </w:r>
      <w:r>
        <w:rPr>
          <w:sz w:val="24"/>
        </w:rPr>
        <w:t>the Chinese</w:t>
      </w:r>
      <w:r>
        <w:rPr>
          <w:spacing w:val="-5"/>
          <w:sz w:val="24"/>
        </w:rPr>
        <w:t xml:space="preserve"> </w:t>
      </w:r>
      <w:r>
        <w:rPr>
          <w:sz w:val="24"/>
        </w:rPr>
        <w:t>wine</w:t>
      </w:r>
      <w:r>
        <w:rPr>
          <w:spacing w:val="-6"/>
          <w:sz w:val="24"/>
        </w:rPr>
        <w:t xml:space="preserve"> </w:t>
      </w:r>
      <w:r>
        <w:rPr>
          <w:sz w:val="24"/>
        </w:rPr>
        <w:t>market</w:t>
      </w:r>
      <w:r>
        <w:rPr>
          <w:spacing w:val="-5"/>
          <w:sz w:val="24"/>
        </w:rPr>
        <w:t xml:space="preserve"> </w:t>
      </w:r>
      <w:r>
        <w:rPr>
          <w:sz w:val="24"/>
        </w:rPr>
        <w:t>was</w:t>
      </w:r>
      <w:r>
        <w:rPr>
          <w:spacing w:val="-4"/>
          <w:sz w:val="24"/>
        </w:rPr>
        <w:t xml:space="preserve"> </w:t>
      </w:r>
      <w:r>
        <w:rPr>
          <w:sz w:val="24"/>
        </w:rPr>
        <w:t>significantly</w:t>
      </w:r>
      <w:r>
        <w:rPr>
          <w:spacing w:val="-4"/>
          <w:sz w:val="24"/>
        </w:rPr>
        <w:t xml:space="preserve"> </w:t>
      </w:r>
      <w:r>
        <w:rPr>
          <w:sz w:val="24"/>
        </w:rPr>
        <w:t>more</w:t>
      </w:r>
      <w:r>
        <w:rPr>
          <w:spacing w:val="-5"/>
          <w:sz w:val="24"/>
        </w:rPr>
        <w:t xml:space="preserve"> </w:t>
      </w:r>
      <w:r>
        <w:rPr>
          <w:sz w:val="24"/>
        </w:rPr>
        <w:t>complex</w:t>
      </w:r>
      <w:r>
        <w:rPr>
          <w:spacing w:val="-4"/>
          <w:sz w:val="24"/>
        </w:rPr>
        <w:t xml:space="preserve"> </w:t>
      </w:r>
      <w:r>
        <w:rPr>
          <w:sz w:val="24"/>
        </w:rPr>
        <w:t>than</w:t>
      </w:r>
      <w:r>
        <w:rPr>
          <w:spacing w:val="-7"/>
          <w:sz w:val="24"/>
        </w:rPr>
        <w:t xml:space="preserve"> </w:t>
      </w:r>
      <w:r>
        <w:rPr>
          <w:sz w:val="24"/>
        </w:rPr>
        <w:t>simply</w:t>
      </w:r>
      <w:r>
        <w:rPr>
          <w:spacing w:val="-4"/>
          <w:sz w:val="24"/>
        </w:rPr>
        <w:t xml:space="preserve"> </w:t>
      </w:r>
      <w:r>
        <w:rPr>
          <w:sz w:val="24"/>
        </w:rPr>
        <w:t>Australian imports taking market share from domestic like products. The absolute figures are set out below.</w:t>
      </w:r>
    </w:p>
    <w:p w14:paraId="4D86C0B1" w14:textId="77777777" w:rsidR="00BD462C" w:rsidRDefault="00BD462C">
      <w:pPr>
        <w:pStyle w:val="BodyText"/>
        <w:rPr>
          <w:sz w:val="20"/>
        </w:rPr>
      </w:pPr>
    </w:p>
    <w:p w14:paraId="459B296E" w14:textId="77777777" w:rsidR="00BD462C" w:rsidRDefault="00BD462C">
      <w:pPr>
        <w:pStyle w:val="BodyText"/>
        <w:rPr>
          <w:sz w:val="20"/>
        </w:rPr>
      </w:pPr>
    </w:p>
    <w:p w14:paraId="6C9146B6" w14:textId="0BF7D1BF" w:rsidR="00BD462C" w:rsidRDefault="00752F01">
      <w:pPr>
        <w:pStyle w:val="BodyText"/>
        <w:spacing w:before="4"/>
        <w:rPr>
          <w:sz w:val="25"/>
        </w:rPr>
      </w:pPr>
      <w:r>
        <w:rPr>
          <w:noProof/>
        </w:rPr>
        <mc:AlternateContent>
          <mc:Choice Requires="wps">
            <w:drawing>
              <wp:anchor distT="0" distB="0" distL="0" distR="0" simplePos="0" relativeHeight="488260096" behindDoc="1" locked="0" layoutInCell="1" allowOverlap="1" wp14:anchorId="3D363BAB" wp14:editId="649BDA33">
                <wp:simplePos x="0" y="0"/>
                <wp:positionH relativeFrom="page">
                  <wp:posOffset>812800</wp:posOffset>
                </wp:positionH>
                <wp:positionV relativeFrom="paragraph">
                  <wp:posOffset>198120</wp:posOffset>
                </wp:positionV>
                <wp:extent cx="1828800" cy="8890"/>
                <wp:effectExtent l="0" t="0" r="0" b="0"/>
                <wp:wrapTopAndBottom/>
                <wp:docPr id="239" name="docshape6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577B7E" id="docshape664" o:spid="_x0000_s1026" alt="&quot;&quot;" style="position:absolute;margin-left:64pt;margin-top:15.6pt;width:2in;height:.7pt;z-index:-15056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" fillcolor="black" stroked="f">
                <w10:wrap type="topAndBottom" anchorx="page"/>
              </v:rect>
            </w:pict>
          </mc:Fallback>
        </mc:AlternateContent>
      </w:r>
    </w:p>
    <w:p w14:paraId="1C52A796" w14:textId="77777777" w:rsidR="00BD462C" w:rsidRDefault="00033D0F">
      <w:pPr>
        <w:spacing w:before="112"/>
        <w:ind w:left="135"/>
        <w:jc w:val="both"/>
        <w:rPr>
          <w:sz w:val="18"/>
        </w:rPr>
      </w:pPr>
      <w:bookmarkStart w:id="985" w:name="_bookmark847"/>
      <w:bookmarkEnd w:id="985"/>
      <w:proofErr w:type="gramStart"/>
      <w:r>
        <w:rPr>
          <w:position w:val="5"/>
          <w:sz w:val="12"/>
        </w:rPr>
        <w:t>722</w:t>
      </w:r>
      <w:r>
        <w:rPr>
          <w:spacing w:val="69"/>
          <w:position w:val="5"/>
          <w:sz w:val="12"/>
        </w:rPr>
        <w:t xml:space="preserve">  </w:t>
      </w:r>
      <w:r>
        <w:rPr>
          <w:sz w:val="18"/>
        </w:rPr>
        <w:t>China's</w:t>
      </w:r>
      <w:proofErr w:type="gramEnd"/>
      <w:r>
        <w:rPr>
          <w:spacing w:val="54"/>
          <w:sz w:val="18"/>
        </w:rPr>
        <w:t xml:space="preserve">  </w:t>
      </w:r>
      <w:r>
        <w:rPr>
          <w:sz w:val="18"/>
        </w:rPr>
        <w:t>first</w:t>
      </w:r>
      <w:r>
        <w:rPr>
          <w:spacing w:val="56"/>
          <w:sz w:val="18"/>
        </w:rPr>
        <w:t xml:space="preserve">  </w:t>
      </w:r>
      <w:r>
        <w:rPr>
          <w:sz w:val="18"/>
        </w:rPr>
        <w:t>written</w:t>
      </w:r>
      <w:r>
        <w:rPr>
          <w:spacing w:val="53"/>
          <w:sz w:val="18"/>
        </w:rPr>
        <w:t xml:space="preserve">  </w:t>
      </w:r>
      <w:r>
        <w:rPr>
          <w:sz w:val="18"/>
        </w:rPr>
        <w:t>submission,</w:t>
      </w:r>
      <w:r>
        <w:rPr>
          <w:spacing w:val="55"/>
          <w:sz w:val="18"/>
        </w:rPr>
        <w:t xml:space="preserve">  </w:t>
      </w:r>
      <w:r>
        <w:rPr>
          <w:sz w:val="18"/>
        </w:rPr>
        <w:t>para.</w:t>
      </w:r>
      <w:r>
        <w:rPr>
          <w:spacing w:val="57"/>
          <w:sz w:val="18"/>
        </w:rPr>
        <w:t xml:space="preserve">  </w:t>
      </w:r>
      <w:proofErr w:type="gramStart"/>
      <w:r>
        <w:rPr>
          <w:sz w:val="18"/>
        </w:rPr>
        <w:t>1330;</w:t>
      </w:r>
      <w:r>
        <w:rPr>
          <w:spacing w:val="52"/>
          <w:sz w:val="18"/>
        </w:rPr>
        <w:t xml:space="preserve">  </w:t>
      </w:r>
      <w:r>
        <w:rPr>
          <w:sz w:val="18"/>
        </w:rPr>
        <w:t>1343</w:t>
      </w:r>
      <w:proofErr w:type="gramEnd"/>
      <w:r>
        <w:rPr>
          <w:sz w:val="18"/>
        </w:rPr>
        <w:t>;</w:t>
      </w:r>
      <w:r>
        <w:rPr>
          <w:spacing w:val="53"/>
          <w:sz w:val="18"/>
        </w:rPr>
        <w:t xml:space="preserve">  </w:t>
      </w:r>
      <w:r>
        <w:rPr>
          <w:sz w:val="18"/>
        </w:rPr>
        <w:t>1419;</w:t>
      </w:r>
      <w:r>
        <w:rPr>
          <w:spacing w:val="55"/>
          <w:sz w:val="18"/>
        </w:rPr>
        <w:t xml:space="preserve">  </w:t>
      </w:r>
      <w:r>
        <w:rPr>
          <w:sz w:val="18"/>
        </w:rPr>
        <w:t>1747;</w:t>
      </w:r>
      <w:r>
        <w:rPr>
          <w:spacing w:val="55"/>
          <w:sz w:val="18"/>
        </w:rPr>
        <w:t xml:space="preserve">  </w:t>
      </w:r>
      <w:r>
        <w:rPr>
          <w:sz w:val="18"/>
        </w:rPr>
        <w:t>1833;</w:t>
      </w:r>
      <w:r>
        <w:rPr>
          <w:spacing w:val="53"/>
          <w:sz w:val="18"/>
        </w:rPr>
        <w:t xml:space="preserve">  </w:t>
      </w:r>
      <w:r>
        <w:rPr>
          <w:sz w:val="18"/>
        </w:rPr>
        <w:t>and</w:t>
      </w:r>
      <w:r>
        <w:rPr>
          <w:spacing w:val="53"/>
          <w:sz w:val="18"/>
        </w:rPr>
        <w:t xml:space="preserve">  </w:t>
      </w:r>
      <w:r>
        <w:rPr>
          <w:sz w:val="18"/>
        </w:rPr>
        <w:t>1856;</w:t>
      </w:r>
      <w:r>
        <w:rPr>
          <w:spacing w:val="53"/>
          <w:sz w:val="18"/>
        </w:rPr>
        <w:t xml:space="preserve">  </w:t>
      </w:r>
      <w:r>
        <w:rPr>
          <w:sz w:val="18"/>
        </w:rPr>
        <w:t>Anti-</w:t>
      </w:r>
      <w:r>
        <w:rPr>
          <w:spacing w:val="-2"/>
          <w:sz w:val="18"/>
        </w:rPr>
        <w:t>Dumping</w:t>
      </w:r>
    </w:p>
    <w:p w14:paraId="29F3D586" w14:textId="77777777" w:rsidR="00BD462C" w:rsidRDefault="00033D0F">
      <w:pPr>
        <w:spacing w:before="1"/>
        <w:ind w:left="136"/>
        <w:jc w:val="both"/>
        <w:rPr>
          <w:sz w:val="18"/>
        </w:rPr>
      </w:pPr>
      <w:r>
        <w:rPr>
          <w:sz w:val="18"/>
        </w:rPr>
        <w:t>Final</w:t>
      </w:r>
      <w:r>
        <w:rPr>
          <w:spacing w:val="-1"/>
          <w:sz w:val="18"/>
        </w:rPr>
        <w:t xml:space="preserve"> </w:t>
      </w:r>
      <w:r>
        <w:rPr>
          <w:sz w:val="18"/>
        </w:rPr>
        <w:t>Determination</w:t>
      </w:r>
      <w:r>
        <w:rPr>
          <w:spacing w:val="-5"/>
          <w:sz w:val="18"/>
        </w:rPr>
        <w:t xml:space="preserve"> </w:t>
      </w:r>
      <w:r>
        <w:rPr>
          <w:sz w:val="18"/>
        </w:rPr>
        <w:t>(Exhibit</w:t>
      </w:r>
      <w:r>
        <w:rPr>
          <w:spacing w:val="-5"/>
          <w:sz w:val="18"/>
        </w:rPr>
        <w:t xml:space="preserve"> </w:t>
      </w:r>
      <w:r>
        <w:rPr>
          <w:sz w:val="18"/>
        </w:rPr>
        <w:t>AUS-2),</w:t>
      </w:r>
      <w:r>
        <w:rPr>
          <w:spacing w:val="-3"/>
          <w:sz w:val="18"/>
        </w:rPr>
        <w:t xml:space="preserve"> </w:t>
      </w:r>
      <w:r>
        <w:rPr>
          <w:sz w:val="18"/>
        </w:rPr>
        <w:t>pp.</w:t>
      </w:r>
      <w:r>
        <w:rPr>
          <w:spacing w:val="-4"/>
          <w:sz w:val="18"/>
        </w:rPr>
        <w:t xml:space="preserve"> </w:t>
      </w:r>
      <w:r>
        <w:rPr>
          <w:sz w:val="18"/>
        </w:rPr>
        <w:t>106,</w:t>
      </w:r>
      <w:r>
        <w:rPr>
          <w:spacing w:val="-2"/>
          <w:sz w:val="18"/>
        </w:rPr>
        <w:t xml:space="preserve"> </w:t>
      </w:r>
      <w:r>
        <w:rPr>
          <w:sz w:val="18"/>
        </w:rPr>
        <w:t>118,</w:t>
      </w:r>
      <w:r>
        <w:rPr>
          <w:spacing w:val="-3"/>
          <w:sz w:val="18"/>
        </w:rPr>
        <w:t xml:space="preserve"> </w:t>
      </w:r>
      <w:r>
        <w:rPr>
          <w:sz w:val="18"/>
        </w:rPr>
        <w:t>and</w:t>
      </w:r>
      <w:r>
        <w:rPr>
          <w:spacing w:val="-6"/>
          <w:sz w:val="18"/>
        </w:rPr>
        <w:t xml:space="preserve"> </w:t>
      </w:r>
      <w:r>
        <w:rPr>
          <w:spacing w:val="-4"/>
          <w:sz w:val="18"/>
        </w:rPr>
        <w:t>120.</w:t>
      </w:r>
    </w:p>
    <w:p w14:paraId="0A5339B8" w14:textId="77777777" w:rsidR="00BD462C" w:rsidRDefault="00033D0F">
      <w:pPr>
        <w:spacing w:before="2" w:line="237" w:lineRule="auto"/>
        <w:ind w:left="136" w:right="906" w:hanging="1"/>
        <w:jc w:val="both"/>
        <w:rPr>
          <w:sz w:val="18"/>
        </w:rPr>
      </w:pPr>
      <w:bookmarkStart w:id="986" w:name="_bookmark848"/>
      <w:bookmarkEnd w:id="986"/>
      <w:r>
        <w:rPr>
          <w:position w:val="5"/>
          <w:sz w:val="12"/>
        </w:rPr>
        <w:t>723</w:t>
      </w:r>
      <w:r>
        <w:rPr>
          <w:spacing w:val="16"/>
          <w:position w:val="5"/>
          <w:sz w:val="12"/>
        </w:rPr>
        <w:t xml:space="preserve"> </w:t>
      </w:r>
      <w:r>
        <w:rPr>
          <w:sz w:val="18"/>
        </w:rPr>
        <w:t>Australia</w:t>
      </w:r>
      <w:r>
        <w:rPr>
          <w:spacing w:val="-5"/>
          <w:sz w:val="18"/>
        </w:rPr>
        <w:t xml:space="preserve"> </w:t>
      </w:r>
      <w:r>
        <w:rPr>
          <w:sz w:val="18"/>
        </w:rPr>
        <w:t>notes</w:t>
      </w:r>
      <w:r>
        <w:rPr>
          <w:spacing w:val="-8"/>
          <w:sz w:val="18"/>
        </w:rPr>
        <w:t xml:space="preserve"> </w:t>
      </w:r>
      <w:r>
        <w:rPr>
          <w:sz w:val="18"/>
        </w:rPr>
        <w:t>the</w:t>
      </w:r>
      <w:r>
        <w:rPr>
          <w:spacing w:val="-8"/>
          <w:sz w:val="18"/>
        </w:rPr>
        <w:t xml:space="preserve"> </w:t>
      </w:r>
      <w:r>
        <w:rPr>
          <w:sz w:val="18"/>
        </w:rPr>
        <w:t>legal</w:t>
      </w:r>
      <w:r>
        <w:rPr>
          <w:spacing w:val="-2"/>
          <w:sz w:val="18"/>
        </w:rPr>
        <w:t xml:space="preserve"> </w:t>
      </w:r>
      <w:r>
        <w:rPr>
          <w:sz w:val="18"/>
        </w:rPr>
        <w:t>argument</w:t>
      </w:r>
      <w:r>
        <w:rPr>
          <w:spacing w:val="-3"/>
          <w:sz w:val="18"/>
        </w:rPr>
        <w:t xml:space="preserve"> </w:t>
      </w:r>
      <w:r>
        <w:rPr>
          <w:sz w:val="18"/>
        </w:rPr>
        <w:t>advanced</w:t>
      </w:r>
      <w:r>
        <w:rPr>
          <w:spacing w:val="-4"/>
          <w:sz w:val="18"/>
        </w:rPr>
        <w:t xml:space="preserve"> </w:t>
      </w:r>
      <w:r>
        <w:rPr>
          <w:sz w:val="18"/>
        </w:rPr>
        <w:t>by</w:t>
      </w:r>
      <w:r>
        <w:rPr>
          <w:spacing w:val="-5"/>
          <w:sz w:val="18"/>
        </w:rPr>
        <w:t xml:space="preserve"> </w:t>
      </w:r>
      <w:r>
        <w:rPr>
          <w:sz w:val="18"/>
        </w:rPr>
        <w:t>China</w:t>
      </w:r>
      <w:r>
        <w:rPr>
          <w:spacing w:val="-5"/>
          <w:sz w:val="18"/>
        </w:rPr>
        <w:t xml:space="preserve"> </w:t>
      </w:r>
      <w:r>
        <w:rPr>
          <w:sz w:val="18"/>
        </w:rPr>
        <w:t>at</w:t>
      </w:r>
      <w:r>
        <w:rPr>
          <w:spacing w:val="-2"/>
          <w:sz w:val="18"/>
        </w:rPr>
        <w:t xml:space="preserve"> </w:t>
      </w:r>
      <w:r>
        <w:rPr>
          <w:sz w:val="18"/>
        </w:rPr>
        <w:t>1389-1391 of</w:t>
      </w:r>
      <w:r>
        <w:rPr>
          <w:spacing w:val="-2"/>
          <w:sz w:val="18"/>
        </w:rPr>
        <w:t xml:space="preserve"> </w:t>
      </w:r>
      <w:r>
        <w:rPr>
          <w:sz w:val="18"/>
        </w:rPr>
        <w:t>its</w:t>
      </w:r>
      <w:r>
        <w:rPr>
          <w:spacing w:val="-3"/>
          <w:sz w:val="18"/>
        </w:rPr>
        <w:t xml:space="preserve"> </w:t>
      </w:r>
      <w:r>
        <w:rPr>
          <w:sz w:val="18"/>
        </w:rPr>
        <w:t>first</w:t>
      </w:r>
      <w:r>
        <w:rPr>
          <w:spacing w:val="-2"/>
          <w:sz w:val="18"/>
        </w:rPr>
        <w:t xml:space="preserve"> </w:t>
      </w:r>
      <w:r>
        <w:rPr>
          <w:sz w:val="18"/>
        </w:rPr>
        <w:t>written</w:t>
      </w:r>
      <w:r>
        <w:rPr>
          <w:spacing w:val="-4"/>
          <w:sz w:val="18"/>
        </w:rPr>
        <w:t xml:space="preserve"> </w:t>
      </w:r>
      <w:r>
        <w:rPr>
          <w:sz w:val="18"/>
        </w:rPr>
        <w:t>submission.</w:t>
      </w:r>
      <w:r>
        <w:rPr>
          <w:spacing w:val="-2"/>
          <w:sz w:val="18"/>
        </w:rPr>
        <w:t xml:space="preserve"> </w:t>
      </w:r>
      <w:r>
        <w:rPr>
          <w:sz w:val="18"/>
        </w:rPr>
        <w:t>Australia's</w:t>
      </w:r>
      <w:r>
        <w:rPr>
          <w:spacing w:val="-3"/>
          <w:sz w:val="18"/>
        </w:rPr>
        <w:t xml:space="preserve"> </w:t>
      </w:r>
      <w:r>
        <w:rPr>
          <w:sz w:val="18"/>
        </w:rPr>
        <w:t>argument</w:t>
      </w:r>
      <w:r>
        <w:rPr>
          <w:spacing w:val="-2"/>
          <w:sz w:val="18"/>
        </w:rPr>
        <w:t xml:space="preserve"> </w:t>
      </w:r>
      <w:r>
        <w:rPr>
          <w:sz w:val="18"/>
        </w:rPr>
        <w:t>is not that higher priced goods cannot cause price suppression. Australia's argument is that, due to the particular factual findings MOFCOM made, the price gap is relevant to examining explanatory force in this instance.</w:t>
      </w:r>
    </w:p>
    <w:p w14:paraId="35D9F89F" w14:textId="77777777" w:rsidR="00BD462C" w:rsidRDefault="00033D0F">
      <w:pPr>
        <w:spacing w:before="4"/>
        <w:ind w:left="135"/>
        <w:rPr>
          <w:sz w:val="18"/>
        </w:rPr>
      </w:pPr>
      <w:bookmarkStart w:id="987" w:name="_bookmark849"/>
      <w:bookmarkEnd w:id="987"/>
      <w:r>
        <w:rPr>
          <w:position w:val="5"/>
          <w:sz w:val="12"/>
        </w:rPr>
        <w:t>724</w:t>
      </w:r>
      <w:r>
        <w:rPr>
          <w:spacing w:val="12"/>
          <w:position w:val="5"/>
          <w:sz w:val="12"/>
        </w:rPr>
        <w:t xml:space="preserve"> </w:t>
      </w:r>
      <w:r>
        <w:rPr>
          <w:sz w:val="18"/>
        </w:rPr>
        <w:t>Final</w:t>
      </w:r>
      <w:r>
        <w:rPr>
          <w:spacing w:val="-6"/>
          <w:sz w:val="18"/>
        </w:rPr>
        <w:t xml:space="preserve"> </w:t>
      </w:r>
      <w:r>
        <w:rPr>
          <w:sz w:val="18"/>
        </w:rPr>
        <w:t>Determination</w:t>
      </w:r>
      <w:r>
        <w:rPr>
          <w:spacing w:val="-7"/>
          <w:sz w:val="18"/>
        </w:rPr>
        <w:t xml:space="preserve"> </w:t>
      </w:r>
      <w:r>
        <w:rPr>
          <w:sz w:val="18"/>
        </w:rPr>
        <w:t>(Exhibit</w:t>
      </w:r>
      <w:r>
        <w:rPr>
          <w:spacing w:val="-1"/>
          <w:sz w:val="18"/>
        </w:rPr>
        <w:t xml:space="preserve"> </w:t>
      </w:r>
      <w:r>
        <w:rPr>
          <w:sz w:val="18"/>
        </w:rPr>
        <w:t>CHN-1),</w:t>
      </w:r>
      <w:r>
        <w:rPr>
          <w:spacing w:val="-4"/>
          <w:sz w:val="18"/>
        </w:rPr>
        <w:t xml:space="preserve"> </w:t>
      </w:r>
      <w:r>
        <w:rPr>
          <w:sz w:val="18"/>
        </w:rPr>
        <w:t>p.</w:t>
      </w:r>
      <w:r>
        <w:rPr>
          <w:spacing w:val="-1"/>
          <w:sz w:val="18"/>
        </w:rPr>
        <w:t xml:space="preserve"> </w:t>
      </w:r>
      <w:r>
        <w:rPr>
          <w:sz w:val="18"/>
        </w:rPr>
        <w:t>51. See</w:t>
      </w:r>
      <w:r>
        <w:rPr>
          <w:spacing w:val="-3"/>
          <w:sz w:val="18"/>
        </w:rPr>
        <w:t xml:space="preserve"> </w:t>
      </w:r>
      <w:r>
        <w:rPr>
          <w:sz w:val="18"/>
        </w:rPr>
        <w:t>also</w:t>
      </w:r>
      <w:r>
        <w:rPr>
          <w:spacing w:val="-6"/>
          <w:sz w:val="18"/>
        </w:rPr>
        <w:t xml:space="preserve"> </w:t>
      </w:r>
      <w:r>
        <w:rPr>
          <w:sz w:val="18"/>
        </w:rPr>
        <w:t>Anti-Dumping</w:t>
      </w:r>
      <w:r>
        <w:rPr>
          <w:spacing w:val="-11"/>
          <w:sz w:val="18"/>
        </w:rPr>
        <w:t xml:space="preserve"> </w:t>
      </w:r>
      <w:r>
        <w:rPr>
          <w:sz w:val="18"/>
        </w:rPr>
        <w:t>Final</w:t>
      </w:r>
      <w:r>
        <w:rPr>
          <w:spacing w:val="-1"/>
          <w:sz w:val="18"/>
        </w:rPr>
        <w:t xml:space="preserve"> </w:t>
      </w:r>
      <w:r>
        <w:rPr>
          <w:sz w:val="18"/>
        </w:rPr>
        <w:t>Determination</w:t>
      </w:r>
      <w:r>
        <w:rPr>
          <w:spacing w:val="-7"/>
          <w:sz w:val="18"/>
        </w:rPr>
        <w:t xml:space="preserve"> </w:t>
      </w:r>
      <w:r>
        <w:rPr>
          <w:sz w:val="18"/>
        </w:rPr>
        <w:t>(Exhibit</w:t>
      </w:r>
      <w:r>
        <w:rPr>
          <w:spacing w:val="-5"/>
          <w:sz w:val="18"/>
        </w:rPr>
        <w:t xml:space="preserve"> </w:t>
      </w:r>
      <w:r>
        <w:rPr>
          <w:sz w:val="18"/>
        </w:rPr>
        <w:t>AUS-2),</w:t>
      </w:r>
      <w:r>
        <w:rPr>
          <w:spacing w:val="-4"/>
          <w:sz w:val="18"/>
        </w:rPr>
        <w:t xml:space="preserve"> </w:t>
      </w:r>
      <w:r>
        <w:rPr>
          <w:sz w:val="18"/>
        </w:rPr>
        <w:t>pp.</w:t>
      </w:r>
      <w:r>
        <w:rPr>
          <w:spacing w:val="-5"/>
          <w:sz w:val="18"/>
        </w:rPr>
        <w:t xml:space="preserve"> </w:t>
      </w:r>
      <w:r>
        <w:rPr>
          <w:sz w:val="18"/>
        </w:rPr>
        <w:t>106-</w:t>
      </w:r>
      <w:r>
        <w:rPr>
          <w:spacing w:val="-4"/>
          <w:sz w:val="18"/>
        </w:rPr>
        <w:t>107.</w:t>
      </w:r>
    </w:p>
    <w:p w14:paraId="0623CF1F" w14:textId="77777777" w:rsidR="00BD462C" w:rsidRDefault="00033D0F">
      <w:pPr>
        <w:spacing w:before="1"/>
        <w:ind w:left="135"/>
        <w:rPr>
          <w:sz w:val="18"/>
        </w:rPr>
      </w:pPr>
      <w:bookmarkStart w:id="988" w:name="_bookmark850"/>
      <w:bookmarkEnd w:id="988"/>
      <w:r>
        <w:rPr>
          <w:position w:val="5"/>
          <w:sz w:val="12"/>
        </w:rPr>
        <w:t>725</w:t>
      </w:r>
      <w:r>
        <w:rPr>
          <w:spacing w:val="9"/>
          <w:position w:val="5"/>
          <w:sz w:val="12"/>
        </w:rPr>
        <w:t xml:space="preserve"> </w:t>
      </w:r>
      <w:r>
        <w:rPr>
          <w:sz w:val="18"/>
        </w:rPr>
        <w:t>Anti-Dumping</w:t>
      </w:r>
      <w:r>
        <w:rPr>
          <w:spacing w:val="-7"/>
          <w:sz w:val="18"/>
        </w:rPr>
        <w:t xml:space="preserve"> </w:t>
      </w:r>
      <w:r>
        <w:rPr>
          <w:sz w:val="18"/>
        </w:rPr>
        <w:t>Final</w:t>
      </w:r>
      <w:r>
        <w:rPr>
          <w:spacing w:val="-2"/>
          <w:sz w:val="18"/>
        </w:rPr>
        <w:t xml:space="preserve"> </w:t>
      </w:r>
      <w:r>
        <w:rPr>
          <w:sz w:val="18"/>
        </w:rPr>
        <w:t>Determination</w:t>
      </w:r>
      <w:r>
        <w:rPr>
          <w:spacing w:val="-8"/>
          <w:sz w:val="18"/>
        </w:rPr>
        <w:t xml:space="preserve"> </w:t>
      </w:r>
      <w:r>
        <w:rPr>
          <w:sz w:val="18"/>
        </w:rPr>
        <w:t>(Exhibit</w:t>
      </w:r>
      <w:r>
        <w:rPr>
          <w:spacing w:val="-3"/>
          <w:sz w:val="18"/>
        </w:rPr>
        <w:t xml:space="preserve"> </w:t>
      </w:r>
      <w:r>
        <w:rPr>
          <w:sz w:val="18"/>
        </w:rPr>
        <w:t>AUS-2),</w:t>
      </w:r>
      <w:r>
        <w:rPr>
          <w:spacing w:val="-6"/>
          <w:sz w:val="18"/>
        </w:rPr>
        <w:t xml:space="preserve"> </w:t>
      </w:r>
      <w:r>
        <w:rPr>
          <w:sz w:val="18"/>
        </w:rPr>
        <w:t>pp.</w:t>
      </w:r>
      <w:r>
        <w:rPr>
          <w:spacing w:val="-1"/>
          <w:sz w:val="18"/>
        </w:rPr>
        <w:t xml:space="preserve"> </w:t>
      </w:r>
      <w:r>
        <w:rPr>
          <w:sz w:val="18"/>
        </w:rPr>
        <w:t>135-136;</w:t>
      </w:r>
      <w:r>
        <w:rPr>
          <w:spacing w:val="-5"/>
          <w:sz w:val="18"/>
        </w:rPr>
        <w:t xml:space="preserve"> </w:t>
      </w:r>
      <w:r>
        <w:rPr>
          <w:sz w:val="18"/>
        </w:rPr>
        <w:t>Final</w:t>
      </w:r>
      <w:r>
        <w:rPr>
          <w:spacing w:val="-3"/>
          <w:sz w:val="18"/>
        </w:rPr>
        <w:t xml:space="preserve"> </w:t>
      </w:r>
      <w:r>
        <w:rPr>
          <w:sz w:val="18"/>
        </w:rPr>
        <w:t>Determination</w:t>
      </w:r>
      <w:r>
        <w:rPr>
          <w:spacing w:val="-10"/>
          <w:sz w:val="18"/>
        </w:rPr>
        <w:t xml:space="preserve"> </w:t>
      </w:r>
      <w:r>
        <w:rPr>
          <w:sz w:val="18"/>
        </w:rPr>
        <w:t>(Exhibit</w:t>
      </w:r>
      <w:r>
        <w:rPr>
          <w:spacing w:val="-3"/>
          <w:sz w:val="18"/>
        </w:rPr>
        <w:t xml:space="preserve"> </w:t>
      </w:r>
      <w:r>
        <w:rPr>
          <w:sz w:val="18"/>
        </w:rPr>
        <w:t>CHN-1),</w:t>
      </w:r>
      <w:r>
        <w:rPr>
          <w:spacing w:val="-1"/>
          <w:sz w:val="18"/>
        </w:rPr>
        <w:t xml:space="preserve"> </w:t>
      </w:r>
      <w:r>
        <w:rPr>
          <w:sz w:val="18"/>
        </w:rPr>
        <w:t>p.</w:t>
      </w:r>
      <w:r>
        <w:rPr>
          <w:spacing w:val="-1"/>
          <w:sz w:val="18"/>
        </w:rPr>
        <w:t xml:space="preserve"> </w:t>
      </w:r>
      <w:r>
        <w:rPr>
          <w:spacing w:val="-5"/>
          <w:sz w:val="18"/>
        </w:rPr>
        <w:t>66.</w:t>
      </w:r>
    </w:p>
    <w:p w14:paraId="26CD8632" w14:textId="77777777" w:rsidR="00BD462C" w:rsidRDefault="00033D0F">
      <w:pPr>
        <w:spacing w:before="1"/>
        <w:ind w:left="135"/>
        <w:rPr>
          <w:sz w:val="18"/>
        </w:rPr>
      </w:pPr>
      <w:bookmarkStart w:id="989" w:name="_bookmark851"/>
      <w:bookmarkEnd w:id="989"/>
      <w:r>
        <w:rPr>
          <w:position w:val="5"/>
          <w:sz w:val="12"/>
        </w:rPr>
        <w:t>726</w:t>
      </w:r>
      <w:r>
        <w:rPr>
          <w:spacing w:val="15"/>
          <w:position w:val="5"/>
          <w:sz w:val="12"/>
        </w:rPr>
        <w:t xml:space="preserve"> </w:t>
      </w:r>
      <w:r>
        <w:rPr>
          <w:sz w:val="18"/>
        </w:rPr>
        <w:t>Panel</w:t>
      </w:r>
      <w:r>
        <w:rPr>
          <w:spacing w:val="-1"/>
          <w:sz w:val="18"/>
        </w:rPr>
        <w:t xml:space="preserve"> </w:t>
      </w:r>
      <w:r>
        <w:rPr>
          <w:sz w:val="18"/>
        </w:rPr>
        <w:t>Report,</w:t>
      </w:r>
      <w:r>
        <w:rPr>
          <w:spacing w:val="-1"/>
          <w:sz w:val="18"/>
        </w:rPr>
        <w:t xml:space="preserve"> </w:t>
      </w:r>
      <w:r>
        <w:rPr>
          <w:i/>
          <w:sz w:val="18"/>
        </w:rPr>
        <w:t>China</w:t>
      </w:r>
      <w:r>
        <w:rPr>
          <w:i/>
          <w:spacing w:val="-2"/>
          <w:sz w:val="18"/>
        </w:rPr>
        <w:t xml:space="preserve"> </w:t>
      </w:r>
      <w:r>
        <w:rPr>
          <w:i/>
          <w:sz w:val="18"/>
        </w:rPr>
        <w:t>-</w:t>
      </w:r>
      <w:r>
        <w:rPr>
          <w:i/>
          <w:spacing w:val="-2"/>
          <w:sz w:val="18"/>
        </w:rPr>
        <w:t xml:space="preserve"> </w:t>
      </w:r>
      <w:r>
        <w:rPr>
          <w:i/>
          <w:sz w:val="18"/>
        </w:rPr>
        <w:t>GOES</w:t>
      </w:r>
      <w:r>
        <w:rPr>
          <w:i/>
          <w:spacing w:val="-5"/>
          <w:sz w:val="18"/>
        </w:rPr>
        <w:t xml:space="preserve"> </w:t>
      </w:r>
      <w:r>
        <w:rPr>
          <w:i/>
          <w:sz w:val="18"/>
        </w:rPr>
        <w:t>(Article</w:t>
      </w:r>
      <w:r>
        <w:rPr>
          <w:i/>
          <w:spacing w:val="-4"/>
          <w:sz w:val="18"/>
        </w:rPr>
        <w:t xml:space="preserve"> </w:t>
      </w:r>
      <w:r>
        <w:rPr>
          <w:i/>
          <w:sz w:val="18"/>
        </w:rPr>
        <w:t>21.5</w:t>
      </w:r>
      <w:r>
        <w:rPr>
          <w:i/>
          <w:spacing w:val="-5"/>
          <w:sz w:val="18"/>
        </w:rPr>
        <w:t xml:space="preserve"> </w:t>
      </w:r>
      <w:r>
        <w:rPr>
          <w:i/>
          <w:sz w:val="18"/>
        </w:rPr>
        <w:t>-</w:t>
      </w:r>
      <w:r>
        <w:rPr>
          <w:i/>
          <w:spacing w:val="-2"/>
          <w:sz w:val="18"/>
        </w:rPr>
        <w:t xml:space="preserve"> </w:t>
      </w:r>
      <w:r>
        <w:rPr>
          <w:i/>
          <w:sz w:val="18"/>
        </w:rPr>
        <w:t>US)</w:t>
      </w:r>
      <w:r>
        <w:rPr>
          <w:sz w:val="18"/>
        </w:rPr>
        <w:t>,</w:t>
      </w:r>
      <w:r>
        <w:rPr>
          <w:spacing w:val="-1"/>
          <w:sz w:val="18"/>
        </w:rPr>
        <w:t xml:space="preserve"> </w:t>
      </w:r>
      <w:r>
        <w:rPr>
          <w:sz w:val="18"/>
        </w:rPr>
        <w:t>para.</w:t>
      </w:r>
      <w:r>
        <w:rPr>
          <w:spacing w:val="-2"/>
          <w:sz w:val="18"/>
        </w:rPr>
        <w:t xml:space="preserve"> 7.111.</w:t>
      </w:r>
    </w:p>
    <w:p w14:paraId="35A1ECE7" w14:textId="77777777" w:rsidR="00BD462C" w:rsidRDefault="00BD462C">
      <w:pPr>
        <w:rPr>
          <w:sz w:val="18"/>
        </w:rPr>
        <w:sectPr w:rsidR="00BD462C">
          <w:pgSz w:w="11910" w:h="16840"/>
          <w:pgMar w:top="860" w:right="500" w:bottom="780" w:left="1280" w:header="566" w:footer="590" w:gutter="0"/>
          <w:cols w:space="720"/>
        </w:sectPr>
      </w:pPr>
    </w:p>
    <w:p w14:paraId="200A315D"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42146F49"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24FE2DB2"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57CC74D6" w14:textId="1195E369" w:rsidR="00D70C7D" w:rsidRDefault="00033D0F" w:rsidP="00D70C7D">
      <w:pPr>
        <w:pStyle w:val="Heading3"/>
        <w:tabs>
          <w:tab w:val="left" w:pos="3462"/>
        </w:tabs>
        <w:ind w:left="2329" w:firstLine="0"/>
        <w:jc w:val="left"/>
        <w:rPr>
          <w:spacing w:val="-5"/>
        </w:rPr>
      </w:pPr>
      <w:bookmarkStart w:id="990" w:name="Table_2_Volume_comparison_over_Injury_PO"/>
      <w:bookmarkStart w:id="991" w:name="_bookmark852"/>
      <w:bookmarkEnd w:id="990"/>
      <w:bookmarkEnd w:id="991"/>
      <w:r>
        <w:t>Table</w:t>
      </w:r>
      <w:r>
        <w:rPr>
          <w:spacing w:val="-3"/>
        </w:rPr>
        <w:t xml:space="preserve"> </w:t>
      </w:r>
      <w:r>
        <w:rPr>
          <w:spacing w:val="-10"/>
        </w:rPr>
        <w:t>2</w:t>
      </w:r>
      <w:r>
        <w:tab/>
        <w:t>Volume</w:t>
      </w:r>
      <w:r>
        <w:rPr>
          <w:spacing w:val="-4"/>
        </w:rPr>
        <w:t xml:space="preserve"> </w:t>
      </w:r>
      <w:r>
        <w:t>comparison</w:t>
      </w:r>
      <w:r>
        <w:rPr>
          <w:spacing w:val="-2"/>
        </w:rPr>
        <w:t xml:space="preserve"> </w:t>
      </w:r>
      <w:r>
        <w:t>over</w:t>
      </w:r>
      <w:r>
        <w:rPr>
          <w:spacing w:val="-2"/>
        </w:rPr>
        <w:t xml:space="preserve"> </w:t>
      </w:r>
      <w:r>
        <w:t xml:space="preserve">Injury </w:t>
      </w:r>
      <w:r>
        <w:rPr>
          <w:spacing w:val="-5"/>
        </w:rPr>
        <w:t>POI</w:t>
      </w:r>
    </w:p>
    <w:tbl>
      <w:tblPr>
        <w:tblStyle w:val="TableGrid"/>
        <w:tblW w:w="10324" w:type="dxa"/>
        <w:tblInd w:w="-147" w:type="dxa"/>
        <w:tblLook w:val="04A0" w:firstRow="1" w:lastRow="0" w:firstColumn="1" w:lastColumn="0" w:noHBand="0" w:noVBand="1"/>
      </w:tblPr>
      <w:tblGrid>
        <w:gridCol w:w="2399"/>
        <w:gridCol w:w="1585"/>
        <w:gridCol w:w="1585"/>
        <w:gridCol w:w="1585"/>
        <w:gridCol w:w="1585"/>
        <w:gridCol w:w="1585"/>
      </w:tblGrid>
      <w:tr w:rsidR="00D70C7D" w14:paraId="5167821F" w14:textId="77777777" w:rsidTr="00752F01">
        <w:trPr>
          <w:trHeight w:val="130"/>
        </w:trPr>
        <w:tc>
          <w:tcPr>
            <w:tcW w:w="2399" w:type="dxa"/>
          </w:tcPr>
          <w:p w14:paraId="7D9124FF" w14:textId="77777777" w:rsidR="00D70C7D" w:rsidRDefault="00D70C7D" w:rsidP="00D70C7D">
            <w:pPr>
              <w:pStyle w:val="Heading3"/>
              <w:tabs>
                <w:tab w:val="left" w:pos="3462"/>
              </w:tabs>
              <w:ind w:left="0" w:firstLine="0"/>
              <w:jc w:val="left"/>
              <w:rPr>
                <w:spacing w:val="-5"/>
              </w:rPr>
            </w:pPr>
          </w:p>
        </w:tc>
        <w:tc>
          <w:tcPr>
            <w:tcW w:w="1585" w:type="dxa"/>
          </w:tcPr>
          <w:p w14:paraId="4445504F" w14:textId="448C60BD" w:rsidR="00D70C7D" w:rsidRDefault="00D70C7D" w:rsidP="00D70C7D">
            <w:pPr>
              <w:pStyle w:val="Heading3"/>
              <w:tabs>
                <w:tab w:val="left" w:pos="3462"/>
              </w:tabs>
              <w:ind w:left="0" w:firstLine="0"/>
              <w:jc w:val="left"/>
              <w:rPr>
                <w:spacing w:val="-5"/>
              </w:rPr>
            </w:pPr>
            <w:r>
              <w:rPr>
                <w:spacing w:val="-4"/>
              </w:rPr>
              <w:t>2015</w:t>
            </w:r>
          </w:p>
        </w:tc>
        <w:tc>
          <w:tcPr>
            <w:tcW w:w="1585" w:type="dxa"/>
          </w:tcPr>
          <w:p w14:paraId="3226C256" w14:textId="58680D79" w:rsidR="00D70C7D" w:rsidRDefault="00D70C7D" w:rsidP="00D70C7D">
            <w:pPr>
              <w:pStyle w:val="Heading3"/>
              <w:tabs>
                <w:tab w:val="left" w:pos="3462"/>
              </w:tabs>
              <w:ind w:left="0" w:firstLine="0"/>
              <w:jc w:val="left"/>
              <w:rPr>
                <w:spacing w:val="-5"/>
              </w:rPr>
            </w:pPr>
            <w:r>
              <w:rPr>
                <w:spacing w:val="-4"/>
              </w:rPr>
              <w:t>2016</w:t>
            </w:r>
          </w:p>
        </w:tc>
        <w:tc>
          <w:tcPr>
            <w:tcW w:w="1585" w:type="dxa"/>
          </w:tcPr>
          <w:p w14:paraId="13FA3CB4" w14:textId="2AD9BA7E" w:rsidR="00D70C7D" w:rsidRDefault="00D70C7D" w:rsidP="00D70C7D">
            <w:pPr>
              <w:pStyle w:val="Heading3"/>
              <w:tabs>
                <w:tab w:val="left" w:pos="3462"/>
              </w:tabs>
              <w:ind w:left="0" w:firstLine="0"/>
              <w:jc w:val="left"/>
              <w:rPr>
                <w:spacing w:val="-5"/>
              </w:rPr>
            </w:pPr>
            <w:r>
              <w:rPr>
                <w:spacing w:val="-4"/>
              </w:rPr>
              <w:t>2017</w:t>
            </w:r>
          </w:p>
        </w:tc>
        <w:tc>
          <w:tcPr>
            <w:tcW w:w="1585" w:type="dxa"/>
          </w:tcPr>
          <w:p w14:paraId="01F7889B" w14:textId="7DD43DF3" w:rsidR="00D70C7D" w:rsidRDefault="00D70C7D" w:rsidP="00D70C7D">
            <w:pPr>
              <w:pStyle w:val="Heading3"/>
              <w:tabs>
                <w:tab w:val="left" w:pos="3462"/>
              </w:tabs>
              <w:ind w:left="0" w:firstLine="0"/>
              <w:jc w:val="left"/>
              <w:rPr>
                <w:spacing w:val="-5"/>
              </w:rPr>
            </w:pPr>
            <w:r>
              <w:rPr>
                <w:spacing w:val="-4"/>
              </w:rPr>
              <w:t>2018</w:t>
            </w:r>
          </w:p>
        </w:tc>
        <w:tc>
          <w:tcPr>
            <w:tcW w:w="1585" w:type="dxa"/>
          </w:tcPr>
          <w:p w14:paraId="1040532A" w14:textId="52598CBC" w:rsidR="00D70C7D" w:rsidRDefault="00D70C7D" w:rsidP="00D70C7D">
            <w:pPr>
              <w:pStyle w:val="Heading3"/>
              <w:tabs>
                <w:tab w:val="left" w:pos="3462"/>
              </w:tabs>
              <w:ind w:left="0" w:firstLine="0"/>
              <w:jc w:val="left"/>
              <w:rPr>
                <w:spacing w:val="-5"/>
              </w:rPr>
            </w:pPr>
            <w:r>
              <w:rPr>
                <w:spacing w:val="-4"/>
              </w:rPr>
              <w:t>2019</w:t>
            </w:r>
          </w:p>
        </w:tc>
      </w:tr>
      <w:tr w:rsidR="00D70C7D" w14:paraId="4ACD70EB" w14:textId="77777777" w:rsidTr="00752F01">
        <w:trPr>
          <w:trHeight w:val="320"/>
        </w:trPr>
        <w:tc>
          <w:tcPr>
            <w:tcW w:w="2399" w:type="dxa"/>
          </w:tcPr>
          <w:p w14:paraId="7203E984" w14:textId="5078F312" w:rsidR="00D70C7D" w:rsidRPr="00D70C7D" w:rsidRDefault="00D70C7D" w:rsidP="00D70C7D">
            <w:pPr>
              <w:pStyle w:val="Heading3"/>
              <w:tabs>
                <w:tab w:val="left" w:pos="3462"/>
              </w:tabs>
              <w:ind w:left="0" w:firstLine="0"/>
              <w:jc w:val="left"/>
              <w:rPr>
                <w:b w:val="0"/>
                <w:bCs w:val="0"/>
                <w:spacing w:val="-5"/>
              </w:rPr>
            </w:pPr>
            <w:r w:rsidRPr="00D70C7D">
              <w:rPr>
                <w:b w:val="0"/>
                <w:bCs w:val="0"/>
              </w:rPr>
              <w:t>Subject</w:t>
            </w:r>
            <w:r w:rsidRPr="00D70C7D">
              <w:rPr>
                <w:b w:val="0"/>
                <w:bCs w:val="0"/>
                <w:spacing w:val="-8"/>
              </w:rPr>
              <w:t xml:space="preserve"> </w:t>
            </w:r>
            <w:r w:rsidRPr="00D70C7D">
              <w:rPr>
                <w:b w:val="0"/>
                <w:bCs w:val="0"/>
              </w:rPr>
              <w:t>import</w:t>
            </w:r>
            <w:r w:rsidRPr="00D70C7D">
              <w:rPr>
                <w:b w:val="0"/>
                <w:bCs w:val="0"/>
                <w:spacing w:val="-8"/>
              </w:rPr>
              <w:t xml:space="preserve"> </w:t>
            </w:r>
            <w:r w:rsidRPr="00D70C7D">
              <w:rPr>
                <w:b w:val="0"/>
                <w:bCs w:val="0"/>
                <w:spacing w:val="-2"/>
              </w:rPr>
              <w:t>volume</w:t>
            </w:r>
            <w:hyperlink w:anchor="_bookmark856" w:history="1">
              <w:r w:rsidRPr="00D70C7D">
                <w:rPr>
                  <w:b w:val="0"/>
                  <w:bCs w:val="0"/>
                  <w:spacing w:val="-2"/>
                  <w:vertAlign w:val="superscript"/>
                </w:rPr>
                <w:t>727</w:t>
              </w:r>
            </w:hyperlink>
          </w:p>
        </w:tc>
        <w:tc>
          <w:tcPr>
            <w:tcW w:w="1585" w:type="dxa"/>
          </w:tcPr>
          <w:p w14:paraId="1B2271BB" w14:textId="4B11CD29" w:rsidR="00D70C7D" w:rsidRPr="00D70C7D" w:rsidRDefault="00D70C7D" w:rsidP="00D70C7D">
            <w:pPr>
              <w:pStyle w:val="Heading3"/>
              <w:tabs>
                <w:tab w:val="left" w:pos="3462"/>
              </w:tabs>
              <w:ind w:left="0" w:firstLine="0"/>
              <w:jc w:val="left"/>
              <w:rPr>
                <w:b w:val="0"/>
                <w:bCs w:val="0"/>
                <w:spacing w:val="-5"/>
              </w:rPr>
            </w:pPr>
            <w:r w:rsidRPr="00D70C7D">
              <w:rPr>
                <w:b w:val="0"/>
                <w:bCs w:val="0"/>
                <w:spacing w:val="-2"/>
              </w:rPr>
              <w:t>56,700</w:t>
            </w:r>
          </w:p>
        </w:tc>
        <w:tc>
          <w:tcPr>
            <w:tcW w:w="1585" w:type="dxa"/>
          </w:tcPr>
          <w:p w14:paraId="1371C151" w14:textId="04F86CA6" w:rsidR="00D70C7D" w:rsidRPr="00D70C7D" w:rsidRDefault="00D70C7D" w:rsidP="00D70C7D">
            <w:pPr>
              <w:pStyle w:val="Heading3"/>
              <w:tabs>
                <w:tab w:val="left" w:pos="3462"/>
              </w:tabs>
              <w:ind w:left="0" w:firstLine="0"/>
              <w:jc w:val="left"/>
              <w:rPr>
                <w:b w:val="0"/>
                <w:bCs w:val="0"/>
                <w:spacing w:val="-5"/>
              </w:rPr>
            </w:pPr>
            <w:r w:rsidRPr="00D70C7D">
              <w:rPr>
                <w:b w:val="0"/>
                <w:bCs w:val="0"/>
                <w:spacing w:val="-2"/>
              </w:rPr>
              <w:t>79,400</w:t>
            </w:r>
          </w:p>
        </w:tc>
        <w:tc>
          <w:tcPr>
            <w:tcW w:w="1585" w:type="dxa"/>
          </w:tcPr>
          <w:p w14:paraId="0E12049D" w14:textId="496CCC1C" w:rsidR="00D70C7D" w:rsidRPr="00D70C7D" w:rsidRDefault="00D70C7D" w:rsidP="00D70C7D">
            <w:pPr>
              <w:pStyle w:val="Heading3"/>
              <w:tabs>
                <w:tab w:val="left" w:pos="3462"/>
              </w:tabs>
              <w:ind w:left="0" w:firstLine="0"/>
              <w:jc w:val="left"/>
              <w:rPr>
                <w:b w:val="0"/>
                <w:bCs w:val="0"/>
                <w:spacing w:val="-5"/>
              </w:rPr>
            </w:pPr>
            <w:r w:rsidRPr="00D70C7D">
              <w:rPr>
                <w:b w:val="0"/>
                <w:bCs w:val="0"/>
                <w:spacing w:val="-2"/>
              </w:rPr>
              <w:t>105,800</w:t>
            </w:r>
          </w:p>
        </w:tc>
        <w:tc>
          <w:tcPr>
            <w:tcW w:w="1585" w:type="dxa"/>
          </w:tcPr>
          <w:p w14:paraId="6447B9C0" w14:textId="6DDF23AA" w:rsidR="00D70C7D" w:rsidRPr="00D70C7D" w:rsidRDefault="00D70C7D" w:rsidP="00D70C7D">
            <w:pPr>
              <w:pStyle w:val="Heading3"/>
              <w:tabs>
                <w:tab w:val="left" w:pos="3462"/>
              </w:tabs>
              <w:ind w:left="0" w:firstLine="0"/>
              <w:jc w:val="left"/>
              <w:rPr>
                <w:b w:val="0"/>
                <w:bCs w:val="0"/>
                <w:spacing w:val="-5"/>
              </w:rPr>
            </w:pPr>
            <w:r w:rsidRPr="00D70C7D">
              <w:rPr>
                <w:b w:val="0"/>
                <w:bCs w:val="0"/>
                <w:spacing w:val="-2"/>
              </w:rPr>
              <w:t>117,800</w:t>
            </w:r>
          </w:p>
        </w:tc>
        <w:tc>
          <w:tcPr>
            <w:tcW w:w="1585" w:type="dxa"/>
          </w:tcPr>
          <w:p w14:paraId="2EADD5DD" w14:textId="24681444" w:rsidR="00D70C7D" w:rsidRPr="00D70C7D" w:rsidRDefault="00D70C7D" w:rsidP="00D70C7D">
            <w:pPr>
              <w:pStyle w:val="Heading3"/>
              <w:tabs>
                <w:tab w:val="left" w:pos="3462"/>
              </w:tabs>
              <w:ind w:left="0" w:firstLine="0"/>
              <w:jc w:val="left"/>
              <w:rPr>
                <w:b w:val="0"/>
                <w:bCs w:val="0"/>
                <w:spacing w:val="-5"/>
              </w:rPr>
            </w:pPr>
            <w:r w:rsidRPr="00D70C7D">
              <w:rPr>
                <w:b w:val="0"/>
                <w:bCs w:val="0"/>
                <w:spacing w:val="-2"/>
              </w:rPr>
              <w:t>120,800</w:t>
            </w:r>
          </w:p>
        </w:tc>
      </w:tr>
      <w:tr w:rsidR="00D70C7D" w14:paraId="2CC18434" w14:textId="77777777" w:rsidTr="00752F01">
        <w:trPr>
          <w:trHeight w:val="130"/>
        </w:trPr>
        <w:tc>
          <w:tcPr>
            <w:tcW w:w="2399" w:type="dxa"/>
          </w:tcPr>
          <w:p w14:paraId="3499FA93" w14:textId="47DE3092" w:rsidR="00D70C7D" w:rsidRPr="00D70C7D" w:rsidRDefault="00D70C7D" w:rsidP="00D70C7D">
            <w:pPr>
              <w:pStyle w:val="Heading3"/>
              <w:tabs>
                <w:tab w:val="left" w:pos="3462"/>
              </w:tabs>
              <w:ind w:left="0" w:firstLine="0"/>
              <w:jc w:val="left"/>
              <w:rPr>
                <w:b w:val="0"/>
                <w:bCs w:val="0"/>
                <w:spacing w:val="-5"/>
              </w:rPr>
            </w:pPr>
            <w:r w:rsidRPr="00D70C7D">
              <w:rPr>
                <w:b w:val="0"/>
                <w:bCs w:val="0"/>
                <w:spacing w:val="-2"/>
              </w:rPr>
              <w:t>Difference</w:t>
            </w:r>
          </w:p>
        </w:tc>
        <w:tc>
          <w:tcPr>
            <w:tcW w:w="1585" w:type="dxa"/>
          </w:tcPr>
          <w:p w14:paraId="122EAE00" w14:textId="77777777" w:rsidR="00D70C7D" w:rsidRPr="00D70C7D" w:rsidRDefault="00D70C7D" w:rsidP="00D70C7D">
            <w:pPr>
              <w:pStyle w:val="Heading3"/>
              <w:tabs>
                <w:tab w:val="left" w:pos="3462"/>
              </w:tabs>
              <w:ind w:left="0" w:firstLine="0"/>
              <w:jc w:val="left"/>
              <w:rPr>
                <w:b w:val="0"/>
                <w:bCs w:val="0"/>
                <w:spacing w:val="-5"/>
              </w:rPr>
            </w:pPr>
          </w:p>
        </w:tc>
        <w:tc>
          <w:tcPr>
            <w:tcW w:w="1585" w:type="dxa"/>
          </w:tcPr>
          <w:p w14:paraId="23D5EC40" w14:textId="31FA2FE6" w:rsidR="00D70C7D" w:rsidRPr="00D70C7D" w:rsidRDefault="00D70C7D" w:rsidP="00D70C7D">
            <w:pPr>
              <w:pStyle w:val="Heading3"/>
              <w:tabs>
                <w:tab w:val="left" w:pos="3462"/>
              </w:tabs>
              <w:ind w:left="0" w:firstLine="0"/>
              <w:jc w:val="left"/>
              <w:rPr>
                <w:b w:val="0"/>
                <w:bCs w:val="0"/>
                <w:spacing w:val="-5"/>
              </w:rPr>
            </w:pPr>
            <w:r w:rsidRPr="00D70C7D">
              <w:rPr>
                <w:b w:val="0"/>
                <w:bCs w:val="0"/>
                <w:spacing w:val="-2"/>
              </w:rPr>
              <w:t>22,700</w:t>
            </w:r>
          </w:p>
        </w:tc>
        <w:tc>
          <w:tcPr>
            <w:tcW w:w="1585" w:type="dxa"/>
          </w:tcPr>
          <w:p w14:paraId="60D51A35" w14:textId="660C62BE" w:rsidR="00D70C7D" w:rsidRPr="00D70C7D" w:rsidRDefault="00D70C7D" w:rsidP="00D70C7D">
            <w:pPr>
              <w:pStyle w:val="Heading3"/>
              <w:tabs>
                <w:tab w:val="left" w:pos="3462"/>
              </w:tabs>
              <w:ind w:left="0" w:firstLine="0"/>
              <w:jc w:val="left"/>
              <w:rPr>
                <w:b w:val="0"/>
                <w:bCs w:val="0"/>
                <w:spacing w:val="-5"/>
              </w:rPr>
            </w:pPr>
            <w:r w:rsidRPr="00D70C7D">
              <w:rPr>
                <w:b w:val="0"/>
                <w:bCs w:val="0"/>
                <w:spacing w:val="-2"/>
              </w:rPr>
              <w:t>26,400</w:t>
            </w:r>
          </w:p>
        </w:tc>
        <w:tc>
          <w:tcPr>
            <w:tcW w:w="1585" w:type="dxa"/>
          </w:tcPr>
          <w:p w14:paraId="6A5B3D9D" w14:textId="04350B36" w:rsidR="00D70C7D" w:rsidRPr="00D70C7D" w:rsidRDefault="00D70C7D" w:rsidP="00D70C7D">
            <w:pPr>
              <w:pStyle w:val="Heading3"/>
              <w:tabs>
                <w:tab w:val="left" w:pos="3462"/>
              </w:tabs>
              <w:ind w:left="0" w:firstLine="0"/>
              <w:jc w:val="left"/>
              <w:rPr>
                <w:b w:val="0"/>
                <w:bCs w:val="0"/>
                <w:spacing w:val="-5"/>
              </w:rPr>
            </w:pPr>
            <w:r w:rsidRPr="00D70C7D">
              <w:rPr>
                <w:b w:val="0"/>
                <w:bCs w:val="0"/>
                <w:spacing w:val="-2"/>
              </w:rPr>
              <w:t>12,000</w:t>
            </w:r>
          </w:p>
        </w:tc>
        <w:tc>
          <w:tcPr>
            <w:tcW w:w="1585" w:type="dxa"/>
          </w:tcPr>
          <w:p w14:paraId="4957B27C" w14:textId="01FBD796" w:rsidR="00D70C7D" w:rsidRPr="00D70C7D" w:rsidRDefault="00D70C7D" w:rsidP="00D70C7D">
            <w:pPr>
              <w:pStyle w:val="Heading3"/>
              <w:tabs>
                <w:tab w:val="left" w:pos="3462"/>
              </w:tabs>
              <w:ind w:left="0" w:firstLine="0"/>
              <w:jc w:val="left"/>
              <w:rPr>
                <w:b w:val="0"/>
                <w:bCs w:val="0"/>
                <w:spacing w:val="-5"/>
              </w:rPr>
            </w:pPr>
            <w:r w:rsidRPr="00D70C7D">
              <w:rPr>
                <w:b w:val="0"/>
                <w:bCs w:val="0"/>
                <w:spacing w:val="-4"/>
              </w:rPr>
              <w:t>3,000</w:t>
            </w:r>
          </w:p>
        </w:tc>
      </w:tr>
      <w:tr w:rsidR="00D70C7D" w14:paraId="16349EB5" w14:textId="77777777" w:rsidTr="00752F01">
        <w:trPr>
          <w:trHeight w:val="511"/>
        </w:trPr>
        <w:tc>
          <w:tcPr>
            <w:tcW w:w="2399" w:type="dxa"/>
          </w:tcPr>
          <w:p w14:paraId="438E5E7D" w14:textId="358A351D" w:rsidR="00D70C7D" w:rsidRPr="00D70C7D" w:rsidRDefault="00D70C7D" w:rsidP="00D70C7D">
            <w:pPr>
              <w:pStyle w:val="Heading3"/>
              <w:tabs>
                <w:tab w:val="left" w:pos="3462"/>
              </w:tabs>
              <w:ind w:left="0" w:firstLine="0"/>
              <w:jc w:val="left"/>
              <w:rPr>
                <w:b w:val="0"/>
                <w:bCs w:val="0"/>
                <w:spacing w:val="-5"/>
              </w:rPr>
            </w:pPr>
            <w:r w:rsidRPr="00D70C7D">
              <w:rPr>
                <w:b w:val="0"/>
                <w:bCs w:val="0"/>
              </w:rPr>
              <w:t>Domestic</w:t>
            </w:r>
            <w:r w:rsidRPr="00D70C7D">
              <w:rPr>
                <w:b w:val="0"/>
                <w:bCs w:val="0"/>
                <w:spacing w:val="-13"/>
              </w:rPr>
              <w:t xml:space="preserve"> </w:t>
            </w:r>
            <w:r w:rsidRPr="00D70C7D">
              <w:rPr>
                <w:b w:val="0"/>
                <w:bCs w:val="0"/>
              </w:rPr>
              <w:t>like</w:t>
            </w:r>
            <w:r w:rsidRPr="00D70C7D">
              <w:rPr>
                <w:b w:val="0"/>
                <w:bCs w:val="0"/>
                <w:spacing w:val="-12"/>
              </w:rPr>
              <w:t xml:space="preserve"> </w:t>
            </w:r>
            <w:r w:rsidRPr="00D70C7D">
              <w:rPr>
                <w:b w:val="0"/>
                <w:bCs w:val="0"/>
              </w:rPr>
              <w:t>product</w:t>
            </w:r>
            <w:r w:rsidRPr="00D70C7D">
              <w:rPr>
                <w:b w:val="0"/>
                <w:bCs w:val="0"/>
                <w:spacing w:val="-13"/>
              </w:rPr>
              <w:t xml:space="preserve"> </w:t>
            </w:r>
            <w:r w:rsidRPr="00D70C7D">
              <w:rPr>
                <w:b w:val="0"/>
                <w:bCs w:val="0"/>
              </w:rPr>
              <w:t xml:space="preserve">sale </w:t>
            </w:r>
            <w:r w:rsidRPr="00D70C7D">
              <w:rPr>
                <w:b w:val="0"/>
                <w:bCs w:val="0"/>
                <w:spacing w:val="-2"/>
              </w:rPr>
              <w:t>volume</w:t>
            </w:r>
            <w:hyperlink w:anchor="_bookmark857" w:history="1">
              <w:r w:rsidRPr="00D70C7D">
                <w:rPr>
                  <w:b w:val="0"/>
                  <w:bCs w:val="0"/>
                  <w:spacing w:val="-2"/>
                  <w:vertAlign w:val="superscript"/>
                </w:rPr>
                <w:t>728</w:t>
              </w:r>
            </w:hyperlink>
          </w:p>
        </w:tc>
        <w:tc>
          <w:tcPr>
            <w:tcW w:w="1585" w:type="dxa"/>
          </w:tcPr>
          <w:p w14:paraId="1224660B" w14:textId="77777777" w:rsidR="00D70C7D" w:rsidRPr="00D70C7D" w:rsidRDefault="00D70C7D" w:rsidP="00D70C7D">
            <w:pPr>
              <w:pStyle w:val="TableParagraph"/>
              <w:spacing w:before="3"/>
              <w:ind w:left="0"/>
              <w:rPr>
                <w:sz w:val="27"/>
              </w:rPr>
            </w:pPr>
          </w:p>
          <w:p w14:paraId="47CBBAE0" w14:textId="196B6993" w:rsidR="00D70C7D" w:rsidRPr="00D70C7D" w:rsidRDefault="00D70C7D" w:rsidP="00D70C7D">
            <w:pPr>
              <w:pStyle w:val="Heading3"/>
              <w:tabs>
                <w:tab w:val="left" w:pos="3462"/>
              </w:tabs>
              <w:ind w:left="0" w:firstLine="0"/>
              <w:jc w:val="left"/>
              <w:rPr>
                <w:b w:val="0"/>
                <w:bCs w:val="0"/>
                <w:spacing w:val="-5"/>
              </w:rPr>
            </w:pPr>
            <w:r w:rsidRPr="00D70C7D">
              <w:rPr>
                <w:b w:val="0"/>
                <w:bCs w:val="0"/>
                <w:spacing w:val="-2"/>
              </w:rPr>
              <w:t>242,100</w:t>
            </w:r>
          </w:p>
        </w:tc>
        <w:tc>
          <w:tcPr>
            <w:tcW w:w="1585" w:type="dxa"/>
          </w:tcPr>
          <w:p w14:paraId="48BDDB02" w14:textId="77777777" w:rsidR="00D70C7D" w:rsidRPr="00D70C7D" w:rsidRDefault="00D70C7D" w:rsidP="00D70C7D">
            <w:pPr>
              <w:pStyle w:val="TableParagraph"/>
              <w:spacing w:before="3"/>
              <w:ind w:left="0"/>
              <w:rPr>
                <w:sz w:val="27"/>
              </w:rPr>
            </w:pPr>
          </w:p>
          <w:p w14:paraId="6DCCF891" w14:textId="3687B4D1" w:rsidR="00D70C7D" w:rsidRPr="00D70C7D" w:rsidRDefault="00D70C7D" w:rsidP="00D70C7D">
            <w:pPr>
              <w:pStyle w:val="Heading3"/>
              <w:tabs>
                <w:tab w:val="left" w:pos="3462"/>
              </w:tabs>
              <w:ind w:left="0" w:firstLine="0"/>
              <w:jc w:val="left"/>
              <w:rPr>
                <w:b w:val="0"/>
                <w:bCs w:val="0"/>
                <w:spacing w:val="-5"/>
              </w:rPr>
            </w:pPr>
            <w:r w:rsidRPr="00D70C7D">
              <w:rPr>
                <w:b w:val="0"/>
                <w:bCs w:val="0"/>
                <w:spacing w:val="-2"/>
              </w:rPr>
              <w:t>227,800</w:t>
            </w:r>
          </w:p>
        </w:tc>
        <w:tc>
          <w:tcPr>
            <w:tcW w:w="1585" w:type="dxa"/>
          </w:tcPr>
          <w:p w14:paraId="0F308EA5" w14:textId="77777777" w:rsidR="00D70C7D" w:rsidRPr="00D70C7D" w:rsidRDefault="00D70C7D" w:rsidP="00D70C7D">
            <w:pPr>
              <w:pStyle w:val="TableParagraph"/>
              <w:spacing w:before="3"/>
              <w:ind w:left="0"/>
              <w:rPr>
                <w:sz w:val="27"/>
              </w:rPr>
            </w:pPr>
          </w:p>
          <w:p w14:paraId="6B68C0AB" w14:textId="54DD05D0" w:rsidR="00D70C7D" w:rsidRPr="00D70C7D" w:rsidRDefault="00D70C7D" w:rsidP="00D70C7D">
            <w:pPr>
              <w:pStyle w:val="Heading3"/>
              <w:tabs>
                <w:tab w:val="left" w:pos="3462"/>
              </w:tabs>
              <w:ind w:left="0" w:firstLine="0"/>
              <w:jc w:val="left"/>
              <w:rPr>
                <w:b w:val="0"/>
                <w:bCs w:val="0"/>
                <w:spacing w:val="-5"/>
              </w:rPr>
            </w:pPr>
            <w:r w:rsidRPr="00D70C7D">
              <w:rPr>
                <w:b w:val="0"/>
                <w:bCs w:val="0"/>
                <w:spacing w:val="-2"/>
              </w:rPr>
              <w:t>219,300</w:t>
            </w:r>
          </w:p>
        </w:tc>
        <w:tc>
          <w:tcPr>
            <w:tcW w:w="1585" w:type="dxa"/>
          </w:tcPr>
          <w:p w14:paraId="3E34ED68" w14:textId="77777777" w:rsidR="00D70C7D" w:rsidRPr="00D70C7D" w:rsidRDefault="00D70C7D" w:rsidP="00D70C7D">
            <w:pPr>
              <w:pStyle w:val="TableParagraph"/>
              <w:spacing w:before="3"/>
              <w:ind w:left="0"/>
              <w:rPr>
                <w:sz w:val="27"/>
              </w:rPr>
            </w:pPr>
          </w:p>
          <w:p w14:paraId="2CB452D6" w14:textId="0F847764" w:rsidR="00D70C7D" w:rsidRPr="00D70C7D" w:rsidRDefault="00D70C7D" w:rsidP="00D70C7D">
            <w:pPr>
              <w:pStyle w:val="Heading3"/>
              <w:tabs>
                <w:tab w:val="left" w:pos="3462"/>
              </w:tabs>
              <w:ind w:left="0" w:firstLine="0"/>
              <w:jc w:val="left"/>
              <w:rPr>
                <w:b w:val="0"/>
                <w:bCs w:val="0"/>
                <w:spacing w:val="-5"/>
              </w:rPr>
            </w:pPr>
            <w:r w:rsidRPr="00D70C7D">
              <w:rPr>
                <w:b w:val="0"/>
                <w:bCs w:val="0"/>
                <w:spacing w:val="-2"/>
              </w:rPr>
              <w:t>217,100</w:t>
            </w:r>
          </w:p>
        </w:tc>
        <w:tc>
          <w:tcPr>
            <w:tcW w:w="1585" w:type="dxa"/>
          </w:tcPr>
          <w:p w14:paraId="67E4EB2D" w14:textId="77777777" w:rsidR="00D70C7D" w:rsidRPr="00D70C7D" w:rsidRDefault="00D70C7D" w:rsidP="00D70C7D">
            <w:pPr>
              <w:pStyle w:val="TableParagraph"/>
              <w:spacing w:before="3"/>
              <w:ind w:left="0"/>
              <w:rPr>
                <w:sz w:val="27"/>
              </w:rPr>
            </w:pPr>
          </w:p>
          <w:p w14:paraId="1CDAB92E" w14:textId="541F11DC" w:rsidR="00D70C7D" w:rsidRPr="00D70C7D" w:rsidRDefault="00D70C7D" w:rsidP="00D70C7D">
            <w:pPr>
              <w:pStyle w:val="Heading3"/>
              <w:tabs>
                <w:tab w:val="left" w:pos="3462"/>
              </w:tabs>
              <w:ind w:left="0" w:firstLine="0"/>
              <w:jc w:val="left"/>
              <w:rPr>
                <w:b w:val="0"/>
                <w:bCs w:val="0"/>
                <w:spacing w:val="-5"/>
              </w:rPr>
            </w:pPr>
            <w:r w:rsidRPr="00D70C7D">
              <w:rPr>
                <w:b w:val="0"/>
                <w:bCs w:val="0"/>
                <w:spacing w:val="-2"/>
              </w:rPr>
              <w:t>182,400</w:t>
            </w:r>
          </w:p>
        </w:tc>
      </w:tr>
      <w:tr w:rsidR="00D70C7D" w14:paraId="6E663735" w14:textId="77777777" w:rsidTr="00752F01">
        <w:trPr>
          <w:trHeight w:val="130"/>
        </w:trPr>
        <w:tc>
          <w:tcPr>
            <w:tcW w:w="2399" w:type="dxa"/>
          </w:tcPr>
          <w:p w14:paraId="05FAFA9E" w14:textId="46FD1012" w:rsidR="00D70C7D" w:rsidRPr="00D70C7D" w:rsidRDefault="00D70C7D" w:rsidP="00D70C7D">
            <w:pPr>
              <w:pStyle w:val="Heading3"/>
              <w:tabs>
                <w:tab w:val="left" w:pos="3462"/>
              </w:tabs>
              <w:ind w:left="0" w:firstLine="0"/>
              <w:jc w:val="left"/>
              <w:rPr>
                <w:b w:val="0"/>
                <w:bCs w:val="0"/>
                <w:spacing w:val="-5"/>
              </w:rPr>
            </w:pPr>
            <w:r w:rsidRPr="00D70C7D">
              <w:rPr>
                <w:b w:val="0"/>
                <w:bCs w:val="0"/>
                <w:spacing w:val="-2"/>
              </w:rPr>
              <w:t>Difference</w:t>
            </w:r>
          </w:p>
        </w:tc>
        <w:tc>
          <w:tcPr>
            <w:tcW w:w="1585" w:type="dxa"/>
          </w:tcPr>
          <w:p w14:paraId="086D393F" w14:textId="77777777" w:rsidR="00D70C7D" w:rsidRPr="00D70C7D" w:rsidRDefault="00D70C7D" w:rsidP="00D70C7D">
            <w:pPr>
              <w:pStyle w:val="Heading3"/>
              <w:tabs>
                <w:tab w:val="left" w:pos="3462"/>
              </w:tabs>
              <w:ind w:left="0" w:firstLine="0"/>
              <w:jc w:val="left"/>
              <w:rPr>
                <w:b w:val="0"/>
                <w:bCs w:val="0"/>
                <w:spacing w:val="-5"/>
              </w:rPr>
            </w:pPr>
          </w:p>
        </w:tc>
        <w:tc>
          <w:tcPr>
            <w:tcW w:w="1585" w:type="dxa"/>
          </w:tcPr>
          <w:p w14:paraId="6139E20D" w14:textId="755E52A2" w:rsidR="00D70C7D" w:rsidRPr="00D70C7D" w:rsidRDefault="00D70C7D" w:rsidP="00D70C7D">
            <w:pPr>
              <w:pStyle w:val="Heading3"/>
              <w:tabs>
                <w:tab w:val="left" w:pos="3462"/>
              </w:tabs>
              <w:ind w:left="0" w:firstLine="0"/>
              <w:jc w:val="left"/>
              <w:rPr>
                <w:b w:val="0"/>
                <w:bCs w:val="0"/>
                <w:spacing w:val="-5"/>
              </w:rPr>
            </w:pPr>
            <w:r w:rsidRPr="00D70C7D">
              <w:rPr>
                <w:b w:val="0"/>
                <w:bCs w:val="0"/>
                <w:spacing w:val="-2"/>
              </w:rPr>
              <w:t>-14,300</w:t>
            </w:r>
          </w:p>
        </w:tc>
        <w:tc>
          <w:tcPr>
            <w:tcW w:w="1585" w:type="dxa"/>
          </w:tcPr>
          <w:p w14:paraId="04A20776" w14:textId="3E9517B9" w:rsidR="00D70C7D" w:rsidRPr="00D70C7D" w:rsidRDefault="00D70C7D" w:rsidP="00D70C7D">
            <w:pPr>
              <w:pStyle w:val="Heading3"/>
              <w:tabs>
                <w:tab w:val="left" w:pos="3462"/>
              </w:tabs>
              <w:ind w:left="0" w:firstLine="0"/>
              <w:jc w:val="left"/>
              <w:rPr>
                <w:b w:val="0"/>
                <w:bCs w:val="0"/>
                <w:spacing w:val="-5"/>
              </w:rPr>
            </w:pPr>
            <w:r w:rsidRPr="00D70C7D">
              <w:rPr>
                <w:b w:val="0"/>
                <w:bCs w:val="0"/>
                <w:spacing w:val="-2"/>
              </w:rPr>
              <w:t>-</w:t>
            </w:r>
            <w:r w:rsidRPr="00D70C7D">
              <w:rPr>
                <w:b w:val="0"/>
                <w:bCs w:val="0"/>
                <w:spacing w:val="-4"/>
              </w:rPr>
              <w:t>8,500</w:t>
            </w:r>
          </w:p>
        </w:tc>
        <w:tc>
          <w:tcPr>
            <w:tcW w:w="1585" w:type="dxa"/>
          </w:tcPr>
          <w:p w14:paraId="5704DB36" w14:textId="78BBEC3F" w:rsidR="00D70C7D" w:rsidRPr="00D70C7D" w:rsidRDefault="00D70C7D" w:rsidP="00D70C7D">
            <w:pPr>
              <w:pStyle w:val="Heading3"/>
              <w:tabs>
                <w:tab w:val="left" w:pos="3462"/>
              </w:tabs>
              <w:ind w:left="0" w:firstLine="0"/>
              <w:jc w:val="left"/>
              <w:rPr>
                <w:b w:val="0"/>
                <w:bCs w:val="0"/>
                <w:spacing w:val="-5"/>
              </w:rPr>
            </w:pPr>
            <w:r w:rsidRPr="00D70C7D">
              <w:rPr>
                <w:b w:val="0"/>
                <w:bCs w:val="0"/>
                <w:spacing w:val="-2"/>
              </w:rPr>
              <w:t>-</w:t>
            </w:r>
            <w:r w:rsidRPr="00D70C7D">
              <w:rPr>
                <w:b w:val="0"/>
                <w:bCs w:val="0"/>
                <w:spacing w:val="-4"/>
              </w:rPr>
              <w:t>2,200</w:t>
            </w:r>
          </w:p>
        </w:tc>
        <w:tc>
          <w:tcPr>
            <w:tcW w:w="1585" w:type="dxa"/>
          </w:tcPr>
          <w:p w14:paraId="705A79EF" w14:textId="5C631722" w:rsidR="00D70C7D" w:rsidRPr="00D70C7D" w:rsidRDefault="00D70C7D" w:rsidP="00D70C7D">
            <w:pPr>
              <w:pStyle w:val="Heading3"/>
              <w:tabs>
                <w:tab w:val="left" w:pos="3462"/>
              </w:tabs>
              <w:ind w:left="0" w:firstLine="0"/>
              <w:jc w:val="left"/>
              <w:rPr>
                <w:b w:val="0"/>
                <w:bCs w:val="0"/>
                <w:spacing w:val="-5"/>
              </w:rPr>
            </w:pPr>
            <w:r w:rsidRPr="00D70C7D">
              <w:rPr>
                <w:b w:val="0"/>
                <w:bCs w:val="0"/>
                <w:spacing w:val="-2"/>
              </w:rPr>
              <w:t>-34,700</w:t>
            </w:r>
          </w:p>
        </w:tc>
      </w:tr>
      <w:tr w:rsidR="00D70C7D" w14:paraId="5AD27FBE" w14:textId="77777777" w:rsidTr="00752F01">
        <w:trPr>
          <w:trHeight w:val="320"/>
        </w:trPr>
        <w:tc>
          <w:tcPr>
            <w:tcW w:w="2399" w:type="dxa"/>
          </w:tcPr>
          <w:p w14:paraId="209198B5" w14:textId="587B9149" w:rsidR="00D70C7D" w:rsidRPr="00D70C7D" w:rsidRDefault="00D70C7D" w:rsidP="00D70C7D">
            <w:pPr>
              <w:pStyle w:val="Heading3"/>
              <w:tabs>
                <w:tab w:val="left" w:pos="3462"/>
              </w:tabs>
              <w:ind w:left="0" w:firstLine="0"/>
              <w:jc w:val="left"/>
              <w:rPr>
                <w:b w:val="0"/>
                <w:bCs w:val="0"/>
                <w:spacing w:val="-2"/>
              </w:rPr>
            </w:pPr>
            <w:r w:rsidRPr="00D70C7D">
              <w:rPr>
                <w:b w:val="0"/>
                <w:bCs w:val="0"/>
              </w:rPr>
              <w:t>Domestic</w:t>
            </w:r>
            <w:r w:rsidRPr="00D70C7D">
              <w:rPr>
                <w:b w:val="0"/>
                <w:bCs w:val="0"/>
                <w:spacing w:val="-7"/>
              </w:rPr>
              <w:t xml:space="preserve"> </w:t>
            </w:r>
            <w:r w:rsidRPr="00D70C7D">
              <w:rPr>
                <w:b w:val="0"/>
                <w:bCs w:val="0"/>
              </w:rPr>
              <w:t>price</w:t>
            </w:r>
            <w:r w:rsidRPr="00D70C7D">
              <w:rPr>
                <w:b w:val="0"/>
                <w:bCs w:val="0"/>
                <w:spacing w:val="-5"/>
              </w:rPr>
              <w:t xml:space="preserve"> </w:t>
            </w:r>
            <w:r w:rsidRPr="00D70C7D">
              <w:rPr>
                <w:b w:val="0"/>
                <w:bCs w:val="0"/>
                <w:spacing w:val="-2"/>
              </w:rPr>
              <w:t>increase</w:t>
            </w:r>
            <w:hyperlink w:anchor="_bookmark858" w:history="1">
              <w:r w:rsidRPr="00D70C7D">
                <w:rPr>
                  <w:b w:val="0"/>
                  <w:bCs w:val="0"/>
                  <w:spacing w:val="-2"/>
                  <w:vertAlign w:val="superscript"/>
                </w:rPr>
                <w:t>729</w:t>
              </w:r>
            </w:hyperlink>
          </w:p>
        </w:tc>
        <w:tc>
          <w:tcPr>
            <w:tcW w:w="1585" w:type="dxa"/>
          </w:tcPr>
          <w:p w14:paraId="0C9C0F21" w14:textId="77777777" w:rsidR="00D70C7D" w:rsidRPr="00D70C7D" w:rsidRDefault="00D70C7D" w:rsidP="00D70C7D">
            <w:pPr>
              <w:pStyle w:val="Heading3"/>
              <w:tabs>
                <w:tab w:val="left" w:pos="3462"/>
              </w:tabs>
              <w:ind w:left="0" w:firstLine="0"/>
              <w:jc w:val="left"/>
              <w:rPr>
                <w:b w:val="0"/>
                <w:bCs w:val="0"/>
                <w:spacing w:val="-5"/>
              </w:rPr>
            </w:pPr>
          </w:p>
        </w:tc>
        <w:tc>
          <w:tcPr>
            <w:tcW w:w="1585" w:type="dxa"/>
          </w:tcPr>
          <w:p w14:paraId="59FD2161" w14:textId="178181A0" w:rsidR="00D70C7D" w:rsidRPr="00D70C7D" w:rsidRDefault="00D70C7D" w:rsidP="00D70C7D">
            <w:pPr>
              <w:pStyle w:val="Heading3"/>
              <w:tabs>
                <w:tab w:val="left" w:pos="3462"/>
              </w:tabs>
              <w:ind w:left="0" w:firstLine="0"/>
              <w:jc w:val="left"/>
              <w:rPr>
                <w:b w:val="0"/>
                <w:bCs w:val="0"/>
                <w:spacing w:val="-2"/>
              </w:rPr>
            </w:pPr>
            <w:r w:rsidRPr="00D70C7D">
              <w:rPr>
                <w:b w:val="0"/>
                <w:bCs w:val="0"/>
                <w:spacing w:val="-4"/>
              </w:rPr>
              <w:t>3.77%</w:t>
            </w:r>
          </w:p>
        </w:tc>
        <w:tc>
          <w:tcPr>
            <w:tcW w:w="1585" w:type="dxa"/>
          </w:tcPr>
          <w:p w14:paraId="5EF66F83" w14:textId="5E56A460" w:rsidR="00D70C7D" w:rsidRPr="00D70C7D" w:rsidRDefault="00D70C7D" w:rsidP="00D70C7D">
            <w:pPr>
              <w:pStyle w:val="Heading3"/>
              <w:tabs>
                <w:tab w:val="left" w:pos="3462"/>
              </w:tabs>
              <w:ind w:left="0" w:firstLine="0"/>
              <w:jc w:val="left"/>
              <w:rPr>
                <w:b w:val="0"/>
                <w:bCs w:val="0"/>
                <w:spacing w:val="-2"/>
              </w:rPr>
            </w:pPr>
            <w:r w:rsidRPr="00D70C7D">
              <w:rPr>
                <w:b w:val="0"/>
                <w:bCs w:val="0"/>
                <w:spacing w:val="-4"/>
              </w:rPr>
              <w:t>4.01%</w:t>
            </w:r>
          </w:p>
        </w:tc>
        <w:tc>
          <w:tcPr>
            <w:tcW w:w="1585" w:type="dxa"/>
          </w:tcPr>
          <w:p w14:paraId="2F20D64C" w14:textId="3CECDB21" w:rsidR="00D70C7D" w:rsidRPr="00D70C7D" w:rsidRDefault="00D70C7D" w:rsidP="00D70C7D">
            <w:pPr>
              <w:pStyle w:val="Heading3"/>
              <w:tabs>
                <w:tab w:val="left" w:pos="3462"/>
              </w:tabs>
              <w:ind w:left="0" w:firstLine="0"/>
              <w:jc w:val="left"/>
              <w:rPr>
                <w:b w:val="0"/>
                <w:bCs w:val="0"/>
                <w:spacing w:val="-2"/>
              </w:rPr>
            </w:pPr>
            <w:r w:rsidRPr="00D70C7D">
              <w:rPr>
                <w:b w:val="0"/>
                <w:bCs w:val="0"/>
                <w:spacing w:val="-4"/>
              </w:rPr>
              <w:t>3.97%</w:t>
            </w:r>
          </w:p>
        </w:tc>
        <w:tc>
          <w:tcPr>
            <w:tcW w:w="1585" w:type="dxa"/>
          </w:tcPr>
          <w:p w14:paraId="19C9F60E" w14:textId="659F5C2D" w:rsidR="00D70C7D" w:rsidRPr="00D70C7D" w:rsidRDefault="00D70C7D" w:rsidP="00D70C7D">
            <w:pPr>
              <w:pStyle w:val="Heading3"/>
              <w:tabs>
                <w:tab w:val="left" w:pos="3462"/>
              </w:tabs>
              <w:ind w:left="0" w:firstLine="0"/>
              <w:jc w:val="left"/>
              <w:rPr>
                <w:b w:val="0"/>
                <w:bCs w:val="0"/>
                <w:spacing w:val="-2"/>
              </w:rPr>
            </w:pPr>
            <w:r w:rsidRPr="00D70C7D">
              <w:rPr>
                <w:b w:val="0"/>
                <w:bCs w:val="0"/>
                <w:spacing w:val="-4"/>
              </w:rPr>
              <w:t>7.41%</w:t>
            </w:r>
          </w:p>
        </w:tc>
      </w:tr>
    </w:tbl>
    <w:p w14:paraId="6D507654" w14:textId="77777777" w:rsidR="00BD462C" w:rsidRDefault="00BD462C">
      <w:pPr>
        <w:pStyle w:val="BodyText"/>
        <w:spacing w:before="4"/>
        <w:rPr>
          <w:b/>
          <w:sz w:val="25"/>
        </w:rPr>
      </w:pPr>
    </w:p>
    <w:p w14:paraId="42D870AC" w14:textId="77777777" w:rsidR="00BD462C" w:rsidRDefault="00033D0F">
      <w:pPr>
        <w:pStyle w:val="ListParagraph"/>
        <w:numPr>
          <w:ilvl w:val="0"/>
          <w:numId w:val="51"/>
        </w:numPr>
        <w:tabs>
          <w:tab w:val="left" w:pos="3539"/>
          <w:tab w:val="left" w:pos="3540"/>
        </w:tabs>
        <w:spacing w:before="0"/>
        <w:ind w:hanging="851"/>
        <w:rPr>
          <w:sz w:val="24"/>
        </w:rPr>
      </w:pPr>
      <w:bookmarkStart w:id="992" w:name="(d)_Price_undercutting_and_price_depress"/>
      <w:bookmarkEnd w:id="992"/>
      <w:r>
        <w:rPr>
          <w:sz w:val="24"/>
          <w:u w:val="single"/>
        </w:rPr>
        <w:t>Price</w:t>
      </w:r>
      <w:r>
        <w:rPr>
          <w:spacing w:val="-5"/>
          <w:sz w:val="24"/>
          <w:u w:val="single"/>
        </w:rPr>
        <w:t xml:space="preserve"> </w:t>
      </w:r>
      <w:r>
        <w:rPr>
          <w:sz w:val="24"/>
          <w:u w:val="single"/>
        </w:rPr>
        <w:t>undercutting</w:t>
      </w:r>
      <w:r>
        <w:rPr>
          <w:spacing w:val="-3"/>
          <w:sz w:val="24"/>
          <w:u w:val="single"/>
        </w:rPr>
        <w:t xml:space="preserve"> </w:t>
      </w:r>
      <w:r>
        <w:rPr>
          <w:sz w:val="24"/>
          <w:u w:val="single"/>
        </w:rPr>
        <w:t>and</w:t>
      </w:r>
      <w:r>
        <w:rPr>
          <w:spacing w:val="-6"/>
          <w:sz w:val="24"/>
          <w:u w:val="single"/>
        </w:rPr>
        <w:t xml:space="preserve"> </w:t>
      </w:r>
      <w:r>
        <w:rPr>
          <w:sz w:val="24"/>
          <w:u w:val="single"/>
        </w:rPr>
        <w:t>price</w:t>
      </w:r>
      <w:r>
        <w:rPr>
          <w:spacing w:val="-4"/>
          <w:sz w:val="24"/>
          <w:u w:val="single"/>
        </w:rPr>
        <w:t xml:space="preserve"> </w:t>
      </w:r>
      <w:r>
        <w:rPr>
          <w:spacing w:val="-2"/>
          <w:sz w:val="24"/>
          <w:u w:val="single"/>
        </w:rPr>
        <w:t>depression</w:t>
      </w:r>
    </w:p>
    <w:p w14:paraId="04674F94" w14:textId="77777777" w:rsidR="00BD462C" w:rsidRDefault="00BD462C">
      <w:pPr>
        <w:pStyle w:val="BodyText"/>
        <w:spacing w:before="11"/>
        <w:rPr>
          <w:sz w:val="20"/>
        </w:rPr>
      </w:pPr>
    </w:p>
    <w:p w14:paraId="0A64931F" w14:textId="525E2141" w:rsidR="00BD462C" w:rsidRDefault="001250D0">
      <w:pPr>
        <w:pStyle w:val="BodyText"/>
        <w:spacing w:before="56" w:line="360" w:lineRule="auto"/>
        <w:ind w:left="135" w:right="914" w:hanging="5"/>
        <w:jc w:val="both"/>
      </w:pPr>
      <w:r>
        <w:rPr>
          <w:noProof/>
        </w:rPr>
        <w:t>495.</w:t>
      </w:r>
      <w:r w:rsidR="00033D0F">
        <w:rPr>
          <w:rFonts w:ascii="Times New Roman"/>
          <w:spacing w:val="380"/>
          <w:position w:val="1"/>
          <w:sz w:val="20"/>
        </w:rPr>
        <w:t xml:space="preserve"> </w:t>
      </w:r>
      <w:r w:rsidR="00033D0F">
        <w:rPr>
          <w:position w:val="1"/>
        </w:rPr>
        <w:t>Australia's</w:t>
      </w:r>
      <w:r w:rsidR="00033D0F">
        <w:rPr>
          <w:spacing w:val="-10"/>
          <w:position w:val="1"/>
        </w:rPr>
        <w:t xml:space="preserve"> </w:t>
      </w:r>
      <w:r w:rsidR="00033D0F">
        <w:rPr>
          <w:position w:val="1"/>
        </w:rPr>
        <w:t>arguments</w:t>
      </w:r>
      <w:r w:rsidR="00033D0F">
        <w:rPr>
          <w:spacing w:val="-10"/>
          <w:position w:val="1"/>
        </w:rPr>
        <w:t xml:space="preserve"> </w:t>
      </w:r>
      <w:r w:rsidR="00033D0F">
        <w:rPr>
          <w:position w:val="1"/>
        </w:rPr>
        <w:t>regarding</w:t>
      </w:r>
      <w:r w:rsidR="00033D0F">
        <w:rPr>
          <w:spacing w:val="-11"/>
          <w:position w:val="1"/>
        </w:rPr>
        <w:t xml:space="preserve"> </w:t>
      </w:r>
      <w:r w:rsidR="00033D0F">
        <w:rPr>
          <w:position w:val="1"/>
        </w:rPr>
        <w:t>price</w:t>
      </w:r>
      <w:r w:rsidR="00033D0F">
        <w:rPr>
          <w:spacing w:val="-12"/>
          <w:position w:val="1"/>
        </w:rPr>
        <w:t xml:space="preserve"> </w:t>
      </w:r>
      <w:r w:rsidR="00033D0F">
        <w:rPr>
          <w:position w:val="1"/>
        </w:rPr>
        <w:t>undercutting</w:t>
      </w:r>
      <w:r w:rsidR="00033D0F">
        <w:rPr>
          <w:spacing w:val="-10"/>
          <w:position w:val="1"/>
        </w:rPr>
        <w:t xml:space="preserve"> </w:t>
      </w:r>
      <w:r w:rsidR="00033D0F">
        <w:rPr>
          <w:position w:val="1"/>
        </w:rPr>
        <w:t>and</w:t>
      </w:r>
      <w:r w:rsidR="00033D0F">
        <w:rPr>
          <w:spacing w:val="-9"/>
          <w:position w:val="1"/>
        </w:rPr>
        <w:t xml:space="preserve"> </w:t>
      </w:r>
      <w:r w:rsidR="00033D0F">
        <w:rPr>
          <w:position w:val="1"/>
        </w:rPr>
        <w:t>price</w:t>
      </w:r>
      <w:r w:rsidR="00033D0F">
        <w:rPr>
          <w:spacing w:val="-7"/>
          <w:position w:val="1"/>
        </w:rPr>
        <w:t xml:space="preserve"> </w:t>
      </w:r>
      <w:r w:rsidR="00033D0F">
        <w:rPr>
          <w:position w:val="1"/>
        </w:rPr>
        <w:t>depression</w:t>
      </w:r>
      <w:r w:rsidR="00033D0F">
        <w:rPr>
          <w:spacing w:val="-14"/>
          <w:position w:val="1"/>
        </w:rPr>
        <w:t xml:space="preserve"> </w:t>
      </w:r>
      <w:r w:rsidR="00033D0F">
        <w:rPr>
          <w:position w:val="1"/>
        </w:rPr>
        <w:t>are</w:t>
      </w:r>
      <w:r w:rsidR="00033D0F">
        <w:rPr>
          <w:spacing w:val="-7"/>
          <w:position w:val="1"/>
        </w:rPr>
        <w:t xml:space="preserve"> </w:t>
      </w:r>
      <w:r w:rsidR="00033D0F">
        <w:rPr>
          <w:position w:val="1"/>
        </w:rPr>
        <w:t xml:space="preserve">directed </w:t>
      </w:r>
      <w:r w:rsidR="00033D0F">
        <w:t>to the importance of the price gap between subject imports and domestic like products in establishing explanatory force in this investigation.</w:t>
      </w:r>
      <w:hyperlink w:anchor="_bookmark859" w:history="1">
        <w:r w:rsidR="00033D0F">
          <w:rPr>
            <w:vertAlign w:val="superscript"/>
          </w:rPr>
          <w:t>730</w:t>
        </w:r>
      </w:hyperlink>
      <w:r w:rsidR="00033D0F">
        <w:t xml:space="preserve"> Australia's argument is that the price gap shown in the evidence on the record in this investigation required MOFCOM to consider how</w:t>
      </w:r>
      <w:r w:rsidR="00033D0F">
        <w:rPr>
          <w:spacing w:val="-8"/>
        </w:rPr>
        <w:t xml:space="preserve"> </w:t>
      </w:r>
      <w:r w:rsidR="00033D0F">
        <w:t>subject</w:t>
      </w:r>
      <w:r w:rsidR="00033D0F">
        <w:rPr>
          <w:spacing w:val="-8"/>
        </w:rPr>
        <w:t xml:space="preserve"> </w:t>
      </w:r>
      <w:r w:rsidR="00033D0F">
        <w:t>imports</w:t>
      </w:r>
      <w:r w:rsidR="00033D0F">
        <w:rPr>
          <w:spacing w:val="-7"/>
        </w:rPr>
        <w:t xml:space="preserve"> </w:t>
      </w:r>
      <w:r w:rsidR="00033D0F">
        <w:t>had</w:t>
      </w:r>
      <w:r w:rsidR="00033D0F">
        <w:rPr>
          <w:spacing w:val="-10"/>
        </w:rPr>
        <w:t xml:space="preserve"> </w:t>
      </w:r>
      <w:r w:rsidR="00033D0F">
        <w:t>explanatory</w:t>
      </w:r>
      <w:r w:rsidR="00033D0F">
        <w:rPr>
          <w:spacing w:val="-7"/>
        </w:rPr>
        <w:t xml:space="preserve"> </w:t>
      </w:r>
      <w:r w:rsidR="00033D0F">
        <w:t>force</w:t>
      </w:r>
      <w:r w:rsidR="00033D0F">
        <w:rPr>
          <w:spacing w:val="-3"/>
        </w:rPr>
        <w:t xml:space="preserve"> </w:t>
      </w:r>
      <w:r w:rsidR="00033D0F">
        <w:t>for</w:t>
      </w:r>
      <w:r w:rsidR="00033D0F">
        <w:rPr>
          <w:spacing w:val="-6"/>
        </w:rPr>
        <w:t xml:space="preserve"> </w:t>
      </w:r>
      <w:r w:rsidR="00033D0F">
        <w:t>the</w:t>
      </w:r>
      <w:r w:rsidR="00033D0F">
        <w:rPr>
          <w:spacing w:val="-8"/>
        </w:rPr>
        <w:t xml:space="preserve"> </w:t>
      </w:r>
      <w:r w:rsidR="00033D0F">
        <w:t>price</w:t>
      </w:r>
      <w:r w:rsidR="00033D0F">
        <w:rPr>
          <w:spacing w:val="-8"/>
        </w:rPr>
        <w:t xml:space="preserve"> </w:t>
      </w:r>
      <w:r w:rsidR="00033D0F">
        <w:t>suppression.</w:t>
      </w:r>
      <w:r w:rsidR="00033D0F">
        <w:rPr>
          <w:spacing w:val="-7"/>
        </w:rPr>
        <w:t xml:space="preserve"> </w:t>
      </w:r>
      <w:r w:rsidR="00033D0F">
        <w:t>MOFCOM</w:t>
      </w:r>
      <w:r w:rsidR="00033D0F">
        <w:rPr>
          <w:spacing w:val="-8"/>
        </w:rPr>
        <w:t xml:space="preserve"> </w:t>
      </w:r>
      <w:r w:rsidR="00033D0F">
        <w:t>did</w:t>
      </w:r>
      <w:r w:rsidR="00033D0F">
        <w:rPr>
          <w:spacing w:val="-10"/>
        </w:rPr>
        <w:t xml:space="preserve"> </w:t>
      </w:r>
      <w:r w:rsidR="00033D0F">
        <w:t>not</w:t>
      </w:r>
      <w:r w:rsidR="00033D0F">
        <w:rPr>
          <w:spacing w:val="-8"/>
        </w:rPr>
        <w:t xml:space="preserve"> </w:t>
      </w:r>
      <w:r w:rsidR="00033D0F">
        <w:t>do</w:t>
      </w:r>
      <w:r w:rsidR="00033D0F">
        <w:rPr>
          <w:spacing w:val="-11"/>
        </w:rPr>
        <w:t xml:space="preserve"> </w:t>
      </w:r>
      <w:r w:rsidR="00033D0F">
        <w:t>so, whether by conducting a price undercutting or depression analysis or by some other mechanism. As a result, the Panel does not need to address the matters raised by China at paragraphs 1401-1412 of its first written submission.</w:t>
      </w:r>
    </w:p>
    <w:p w14:paraId="4F6CC222" w14:textId="77777777" w:rsidR="00BD462C" w:rsidRDefault="00BD462C">
      <w:pPr>
        <w:pStyle w:val="BodyText"/>
        <w:spacing w:before="8"/>
        <w:rPr>
          <w:sz w:val="8"/>
        </w:rPr>
      </w:pPr>
    </w:p>
    <w:p w14:paraId="1A608332" w14:textId="025948E7" w:rsidR="00BD462C" w:rsidRDefault="001250D0">
      <w:pPr>
        <w:pStyle w:val="BodyText"/>
        <w:spacing w:before="56" w:line="357" w:lineRule="auto"/>
        <w:ind w:left="135" w:right="911" w:hanging="5"/>
        <w:jc w:val="both"/>
      </w:pPr>
      <w:r>
        <w:rPr>
          <w:noProof/>
        </w:rPr>
        <w:t>496.</w:t>
      </w:r>
      <w:r w:rsidR="00033D0F">
        <w:rPr>
          <w:rFonts w:ascii="Times New Roman"/>
          <w:spacing w:val="382"/>
          <w:position w:val="1"/>
          <w:sz w:val="20"/>
        </w:rPr>
        <w:t xml:space="preserve"> </w:t>
      </w:r>
      <w:r w:rsidR="00033D0F">
        <w:rPr>
          <w:position w:val="1"/>
        </w:rPr>
        <w:t xml:space="preserve">For completeness, Australia notes that the matters raised by China at paragraphs </w:t>
      </w:r>
      <w:r w:rsidR="00033D0F">
        <w:t>1413-1432</w:t>
      </w:r>
      <w:r w:rsidR="00033D0F">
        <w:rPr>
          <w:spacing w:val="-14"/>
        </w:rPr>
        <w:t xml:space="preserve"> </w:t>
      </w:r>
      <w:r w:rsidR="00033D0F">
        <w:t>of</w:t>
      </w:r>
      <w:r w:rsidR="00033D0F">
        <w:rPr>
          <w:spacing w:val="-14"/>
        </w:rPr>
        <w:t xml:space="preserve"> </w:t>
      </w:r>
      <w:r w:rsidR="00033D0F">
        <w:t>its</w:t>
      </w:r>
      <w:r w:rsidR="00033D0F">
        <w:rPr>
          <w:spacing w:val="-13"/>
        </w:rPr>
        <w:t xml:space="preserve"> </w:t>
      </w:r>
      <w:r w:rsidR="00033D0F">
        <w:t>first</w:t>
      </w:r>
      <w:r w:rsidR="00033D0F">
        <w:rPr>
          <w:spacing w:val="-14"/>
        </w:rPr>
        <w:t xml:space="preserve"> </w:t>
      </w:r>
      <w:r w:rsidR="00033D0F">
        <w:t>written</w:t>
      </w:r>
      <w:r w:rsidR="00033D0F">
        <w:rPr>
          <w:spacing w:val="-13"/>
        </w:rPr>
        <w:t xml:space="preserve"> </w:t>
      </w:r>
      <w:r w:rsidR="00033D0F">
        <w:t>submission</w:t>
      </w:r>
      <w:r w:rsidR="00033D0F">
        <w:rPr>
          <w:spacing w:val="-14"/>
        </w:rPr>
        <w:t xml:space="preserve"> </w:t>
      </w:r>
      <w:r w:rsidR="00033D0F">
        <w:t>in</w:t>
      </w:r>
      <w:r w:rsidR="00033D0F">
        <w:rPr>
          <w:spacing w:val="-13"/>
        </w:rPr>
        <w:t xml:space="preserve"> </w:t>
      </w:r>
      <w:r w:rsidR="00033D0F">
        <w:t>the</w:t>
      </w:r>
      <w:r w:rsidR="00033D0F">
        <w:rPr>
          <w:spacing w:val="-14"/>
        </w:rPr>
        <w:t xml:space="preserve"> </w:t>
      </w:r>
      <w:r w:rsidR="00033D0F">
        <w:t>context</w:t>
      </w:r>
      <w:r w:rsidR="00033D0F">
        <w:rPr>
          <w:spacing w:val="-14"/>
        </w:rPr>
        <w:t xml:space="preserve"> </w:t>
      </w:r>
      <w:r w:rsidR="00033D0F">
        <w:t>of</w:t>
      </w:r>
      <w:r w:rsidR="00033D0F">
        <w:rPr>
          <w:spacing w:val="-13"/>
        </w:rPr>
        <w:t xml:space="preserve"> </w:t>
      </w:r>
      <w:r w:rsidR="00033D0F">
        <w:t>its</w:t>
      </w:r>
      <w:r w:rsidR="00033D0F">
        <w:rPr>
          <w:spacing w:val="-14"/>
        </w:rPr>
        <w:t xml:space="preserve"> </w:t>
      </w:r>
      <w:r w:rsidR="00033D0F">
        <w:t>response</w:t>
      </w:r>
      <w:r w:rsidR="00033D0F">
        <w:rPr>
          <w:spacing w:val="-13"/>
        </w:rPr>
        <w:t xml:space="preserve"> </w:t>
      </w:r>
      <w:r w:rsidR="00033D0F">
        <w:t>to</w:t>
      </w:r>
      <w:r w:rsidR="00033D0F">
        <w:rPr>
          <w:spacing w:val="-14"/>
        </w:rPr>
        <w:t xml:space="preserve"> </w:t>
      </w:r>
      <w:r w:rsidR="00033D0F">
        <w:t>Australia's</w:t>
      </w:r>
      <w:r w:rsidR="00033D0F">
        <w:rPr>
          <w:spacing w:val="-13"/>
        </w:rPr>
        <w:t xml:space="preserve"> </w:t>
      </w:r>
      <w:r w:rsidR="00033D0F">
        <w:t>arguments concerning price undercutting and price depressions are duplicative of issues Australia's has already raised and addressed above in this submission.</w:t>
      </w:r>
      <w:hyperlink w:anchor="_bookmark860" w:history="1">
        <w:r w:rsidR="00033D0F">
          <w:rPr>
            <w:vertAlign w:val="superscript"/>
          </w:rPr>
          <w:t>731</w:t>
        </w:r>
      </w:hyperlink>
    </w:p>
    <w:p w14:paraId="0395DDC6" w14:textId="77777777" w:rsidR="00BD462C" w:rsidRDefault="00033D0F">
      <w:pPr>
        <w:pStyle w:val="ListParagraph"/>
        <w:numPr>
          <w:ilvl w:val="0"/>
          <w:numId w:val="51"/>
        </w:numPr>
        <w:tabs>
          <w:tab w:val="left" w:pos="3539"/>
          <w:tab w:val="left" w:pos="3540"/>
        </w:tabs>
        <w:spacing w:before="165"/>
        <w:ind w:hanging="851"/>
        <w:jc w:val="both"/>
        <w:rPr>
          <w:sz w:val="24"/>
        </w:rPr>
      </w:pPr>
      <w:bookmarkStart w:id="993" w:name="(e)_Third_country_imports"/>
      <w:bookmarkEnd w:id="993"/>
      <w:r>
        <w:rPr>
          <w:sz w:val="24"/>
          <w:u w:val="single"/>
        </w:rPr>
        <w:t>Third</w:t>
      </w:r>
      <w:r>
        <w:rPr>
          <w:spacing w:val="-8"/>
          <w:sz w:val="24"/>
          <w:u w:val="single"/>
        </w:rPr>
        <w:t xml:space="preserve"> </w:t>
      </w:r>
      <w:r>
        <w:rPr>
          <w:sz w:val="24"/>
          <w:u w:val="single"/>
        </w:rPr>
        <w:t>country</w:t>
      </w:r>
      <w:r>
        <w:rPr>
          <w:spacing w:val="-4"/>
          <w:sz w:val="24"/>
          <w:u w:val="single"/>
        </w:rPr>
        <w:t xml:space="preserve"> </w:t>
      </w:r>
      <w:r>
        <w:rPr>
          <w:spacing w:val="-2"/>
          <w:sz w:val="24"/>
          <w:u w:val="single"/>
        </w:rPr>
        <w:t>imports</w:t>
      </w:r>
    </w:p>
    <w:p w14:paraId="2769A8C8" w14:textId="77777777" w:rsidR="00BD462C" w:rsidRDefault="00BD462C">
      <w:pPr>
        <w:pStyle w:val="BodyText"/>
        <w:spacing w:before="11"/>
        <w:rPr>
          <w:sz w:val="20"/>
        </w:rPr>
      </w:pPr>
    </w:p>
    <w:p w14:paraId="650456A5" w14:textId="462A5A2F" w:rsidR="00BD462C" w:rsidRDefault="001250D0" w:rsidP="00752F01">
      <w:pPr>
        <w:pStyle w:val="BodyText"/>
        <w:spacing w:before="56" w:line="360" w:lineRule="auto"/>
        <w:ind w:left="135" w:right="910" w:hanging="5"/>
        <w:jc w:val="both"/>
        <w:rPr>
          <w:sz w:val="20"/>
        </w:rPr>
      </w:pPr>
      <w:r>
        <w:rPr>
          <w:noProof/>
        </w:rPr>
        <w:t>497.</w:t>
      </w:r>
      <w:r w:rsidR="00033D0F">
        <w:rPr>
          <w:rFonts w:ascii="Times New Roman"/>
          <w:spacing w:val="386"/>
          <w:position w:val="1"/>
          <w:sz w:val="20"/>
        </w:rPr>
        <w:t xml:space="preserve"> </w:t>
      </w:r>
      <w:bookmarkStart w:id="994" w:name="_bookmark855"/>
      <w:bookmarkEnd w:id="994"/>
      <w:r w:rsidR="00033D0F">
        <w:rPr>
          <w:position w:val="1"/>
        </w:rPr>
        <w:t xml:space="preserve">Australia will set out in greater detail its position regarding the important effect of </w:t>
      </w:r>
      <w:r w:rsidR="00033D0F">
        <w:t>third country imports, which MOFCOM failed to consider, in its submissions relating to</w:t>
      </w:r>
      <w:r w:rsidR="00033D0F">
        <w:rPr>
          <w:spacing w:val="40"/>
        </w:rPr>
        <w:t xml:space="preserve"> </w:t>
      </w:r>
      <w:r w:rsidR="00033D0F">
        <w:t>Article</w:t>
      </w:r>
      <w:r w:rsidR="00033D0F">
        <w:rPr>
          <w:spacing w:val="-2"/>
        </w:rPr>
        <w:t xml:space="preserve"> </w:t>
      </w:r>
      <w:r w:rsidR="00033D0F">
        <w:t>3.5. However, it will make three brief observations regarding their relevance to the Article 3.2 evaluation.</w:t>
      </w:r>
    </w:p>
    <w:p w14:paraId="727CD872" w14:textId="3F2E5205" w:rsidR="00BD462C" w:rsidRDefault="00752F01">
      <w:pPr>
        <w:pStyle w:val="BodyText"/>
        <w:rPr>
          <w:sz w:val="18"/>
        </w:rPr>
      </w:pPr>
      <w:r>
        <w:rPr>
          <w:noProof/>
        </w:rPr>
        <mc:AlternateContent>
          <mc:Choice Requires="wps">
            <w:drawing>
              <wp:anchor distT="0" distB="0" distL="0" distR="0" simplePos="0" relativeHeight="488262144" behindDoc="1" locked="0" layoutInCell="1" allowOverlap="1" wp14:anchorId="6F0D5F28" wp14:editId="6F087D76">
                <wp:simplePos x="0" y="0"/>
                <wp:positionH relativeFrom="page">
                  <wp:posOffset>812800</wp:posOffset>
                </wp:positionH>
                <wp:positionV relativeFrom="paragraph">
                  <wp:posOffset>139065</wp:posOffset>
                </wp:positionV>
                <wp:extent cx="1828800" cy="8890"/>
                <wp:effectExtent l="0" t="0" r="0" b="0"/>
                <wp:wrapTopAndBottom/>
                <wp:docPr id="241" name="docshape6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5ED195" id="docshape664" o:spid="_x0000_s1026" alt="&quot;&quot;" style="position:absolute;margin-left:64pt;margin-top:10.95pt;width:2in;height:.7pt;z-index:-15054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" fillcolor="black" stroked="f">
                <w10:wrap type="topAndBottom" anchorx="page"/>
              </v:rect>
            </w:pict>
          </mc:Fallback>
        </mc:AlternateContent>
      </w:r>
    </w:p>
    <w:p w14:paraId="3A888BD2" w14:textId="77777777" w:rsidR="00BD462C" w:rsidRDefault="00033D0F">
      <w:pPr>
        <w:spacing w:before="107"/>
        <w:ind w:left="135"/>
        <w:rPr>
          <w:sz w:val="18"/>
        </w:rPr>
      </w:pPr>
      <w:bookmarkStart w:id="995" w:name="_bookmark856"/>
      <w:bookmarkEnd w:id="995"/>
      <w:r>
        <w:rPr>
          <w:position w:val="5"/>
          <w:sz w:val="12"/>
        </w:rPr>
        <w:t>727</w:t>
      </w:r>
      <w:r>
        <w:rPr>
          <w:spacing w:val="12"/>
          <w:position w:val="5"/>
          <w:sz w:val="12"/>
        </w:rPr>
        <w:t xml:space="preserve"> </w:t>
      </w:r>
      <w:r>
        <w:rPr>
          <w:sz w:val="18"/>
        </w:rPr>
        <w:t>Anti-Dumping</w:t>
      </w:r>
      <w:r>
        <w:rPr>
          <w:spacing w:val="-6"/>
          <w:sz w:val="18"/>
        </w:rPr>
        <w:t xml:space="preserve"> </w:t>
      </w:r>
      <w:r>
        <w:rPr>
          <w:sz w:val="18"/>
        </w:rPr>
        <w:t>Final</w:t>
      </w:r>
      <w:r>
        <w:rPr>
          <w:spacing w:val="-1"/>
          <w:sz w:val="18"/>
        </w:rPr>
        <w:t xml:space="preserve"> </w:t>
      </w:r>
      <w:r>
        <w:rPr>
          <w:sz w:val="18"/>
        </w:rPr>
        <w:t>Determination</w:t>
      </w:r>
      <w:r>
        <w:rPr>
          <w:spacing w:val="-7"/>
          <w:sz w:val="18"/>
        </w:rPr>
        <w:t xml:space="preserve"> </w:t>
      </w:r>
      <w:r>
        <w:rPr>
          <w:sz w:val="18"/>
        </w:rPr>
        <w:t>(Exhibit</w:t>
      </w:r>
      <w:r>
        <w:rPr>
          <w:spacing w:val="-2"/>
          <w:sz w:val="18"/>
        </w:rPr>
        <w:t xml:space="preserve"> </w:t>
      </w:r>
      <w:r>
        <w:rPr>
          <w:sz w:val="18"/>
        </w:rPr>
        <w:t>AUS-2),</w:t>
      </w:r>
      <w:r>
        <w:rPr>
          <w:spacing w:val="-4"/>
          <w:sz w:val="18"/>
        </w:rPr>
        <w:t xml:space="preserve"> </w:t>
      </w:r>
      <w:r>
        <w:rPr>
          <w:sz w:val="18"/>
        </w:rPr>
        <w:t>p.</w:t>
      </w:r>
      <w:r>
        <w:rPr>
          <w:spacing w:val="-5"/>
          <w:sz w:val="18"/>
        </w:rPr>
        <w:t xml:space="preserve"> </w:t>
      </w:r>
      <w:r>
        <w:rPr>
          <w:spacing w:val="-4"/>
          <w:sz w:val="18"/>
        </w:rPr>
        <w:t>148.</w:t>
      </w:r>
    </w:p>
    <w:p w14:paraId="2368BB40" w14:textId="77777777" w:rsidR="00BD462C" w:rsidRDefault="00033D0F">
      <w:pPr>
        <w:spacing w:before="1"/>
        <w:ind w:left="135"/>
        <w:rPr>
          <w:sz w:val="18"/>
        </w:rPr>
      </w:pPr>
      <w:bookmarkStart w:id="996" w:name="_bookmark857"/>
      <w:bookmarkEnd w:id="996"/>
      <w:r>
        <w:rPr>
          <w:position w:val="5"/>
          <w:sz w:val="12"/>
        </w:rPr>
        <w:t>728</w:t>
      </w:r>
      <w:r>
        <w:rPr>
          <w:spacing w:val="12"/>
          <w:position w:val="5"/>
          <w:sz w:val="12"/>
        </w:rPr>
        <w:t xml:space="preserve"> </w:t>
      </w:r>
      <w:r>
        <w:rPr>
          <w:sz w:val="18"/>
        </w:rPr>
        <w:t>Anti-Dumping</w:t>
      </w:r>
      <w:r>
        <w:rPr>
          <w:spacing w:val="-6"/>
          <w:sz w:val="18"/>
        </w:rPr>
        <w:t xml:space="preserve"> </w:t>
      </w:r>
      <w:r>
        <w:rPr>
          <w:sz w:val="18"/>
        </w:rPr>
        <w:t>Final</w:t>
      </w:r>
      <w:r>
        <w:rPr>
          <w:spacing w:val="-1"/>
          <w:sz w:val="18"/>
        </w:rPr>
        <w:t xml:space="preserve"> </w:t>
      </w:r>
      <w:r>
        <w:rPr>
          <w:sz w:val="18"/>
        </w:rPr>
        <w:t>Determination</w:t>
      </w:r>
      <w:r>
        <w:rPr>
          <w:spacing w:val="-7"/>
          <w:sz w:val="18"/>
        </w:rPr>
        <w:t xml:space="preserve"> </w:t>
      </w:r>
      <w:r>
        <w:rPr>
          <w:sz w:val="18"/>
        </w:rPr>
        <w:t>(Exhibit</w:t>
      </w:r>
      <w:r>
        <w:rPr>
          <w:spacing w:val="-2"/>
          <w:sz w:val="18"/>
        </w:rPr>
        <w:t xml:space="preserve"> </w:t>
      </w:r>
      <w:r>
        <w:rPr>
          <w:sz w:val="18"/>
        </w:rPr>
        <w:t>AUS-2),</w:t>
      </w:r>
      <w:r>
        <w:rPr>
          <w:spacing w:val="-4"/>
          <w:sz w:val="18"/>
        </w:rPr>
        <w:t xml:space="preserve"> </w:t>
      </w:r>
      <w:r>
        <w:rPr>
          <w:sz w:val="18"/>
        </w:rPr>
        <w:t>p.</w:t>
      </w:r>
      <w:r>
        <w:rPr>
          <w:spacing w:val="-5"/>
          <w:sz w:val="18"/>
        </w:rPr>
        <w:t xml:space="preserve"> </w:t>
      </w:r>
      <w:r>
        <w:rPr>
          <w:spacing w:val="-4"/>
          <w:sz w:val="18"/>
        </w:rPr>
        <w:t>148.</w:t>
      </w:r>
    </w:p>
    <w:p w14:paraId="03E4566D" w14:textId="77777777" w:rsidR="00BD462C" w:rsidRDefault="00033D0F">
      <w:pPr>
        <w:spacing w:before="1"/>
        <w:ind w:left="135"/>
        <w:rPr>
          <w:sz w:val="18"/>
        </w:rPr>
      </w:pPr>
      <w:bookmarkStart w:id="997" w:name="_bookmark858"/>
      <w:bookmarkEnd w:id="997"/>
      <w:r>
        <w:rPr>
          <w:position w:val="5"/>
          <w:sz w:val="12"/>
        </w:rPr>
        <w:t>729</w:t>
      </w:r>
      <w:r>
        <w:rPr>
          <w:spacing w:val="12"/>
          <w:position w:val="5"/>
          <w:sz w:val="12"/>
        </w:rPr>
        <w:t xml:space="preserve"> </w:t>
      </w:r>
      <w:r>
        <w:rPr>
          <w:sz w:val="18"/>
        </w:rPr>
        <w:t>Anti-Dumping</w:t>
      </w:r>
      <w:r>
        <w:rPr>
          <w:spacing w:val="-6"/>
          <w:sz w:val="18"/>
        </w:rPr>
        <w:t xml:space="preserve"> </w:t>
      </w:r>
      <w:r>
        <w:rPr>
          <w:sz w:val="18"/>
        </w:rPr>
        <w:t>Final</w:t>
      </w:r>
      <w:r>
        <w:rPr>
          <w:spacing w:val="-1"/>
          <w:sz w:val="18"/>
        </w:rPr>
        <w:t xml:space="preserve"> </w:t>
      </w:r>
      <w:r>
        <w:rPr>
          <w:sz w:val="18"/>
        </w:rPr>
        <w:t>Determination</w:t>
      </w:r>
      <w:r>
        <w:rPr>
          <w:spacing w:val="-7"/>
          <w:sz w:val="18"/>
        </w:rPr>
        <w:t xml:space="preserve"> </w:t>
      </w:r>
      <w:r>
        <w:rPr>
          <w:sz w:val="18"/>
        </w:rPr>
        <w:t>(Exhibit</w:t>
      </w:r>
      <w:r>
        <w:rPr>
          <w:spacing w:val="-1"/>
          <w:sz w:val="18"/>
        </w:rPr>
        <w:t xml:space="preserve"> </w:t>
      </w:r>
      <w:r>
        <w:rPr>
          <w:sz w:val="18"/>
        </w:rPr>
        <w:t>AUS-2),</w:t>
      </w:r>
      <w:r>
        <w:rPr>
          <w:spacing w:val="-4"/>
          <w:sz w:val="18"/>
        </w:rPr>
        <w:t xml:space="preserve"> </w:t>
      </w:r>
      <w:r>
        <w:rPr>
          <w:sz w:val="18"/>
        </w:rPr>
        <w:t>p.</w:t>
      </w:r>
      <w:r>
        <w:rPr>
          <w:spacing w:val="-5"/>
          <w:sz w:val="18"/>
        </w:rPr>
        <w:t xml:space="preserve"> </w:t>
      </w:r>
      <w:r>
        <w:rPr>
          <w:spacing w:val="-4"/>
          <w:sz w:val="18"/>
        </w:rPr>
        <w:t>148.</w:t>
      </w:r>
    </w:p>
    <w:p w14:paraId="69D454B5" w14:textId="77777777" w:rsidR="00BD462C" w:rsidRDefault="00033D0F">
      <w:pPr>
        <w:spacing w:before="1"/>
        <w:ind w:left="135"/>
        <w:rPr>
          <w:sz w:val="18"/>
        </w:rPr>
      </w:pPr>
      <w:bookmarkStart w:id="998" w:name="_bookmark859"/>
      <w:bookmarkEnd w:id="998"/>
      <w:r>
        <w:rPr>
          <w:position w:val="5"/>
          <w:sz w:val="12"/>
        </w:rPr>
        <w:t>730</w:t>
      </w:r>
      <w:r>
        <w:rPr>
          <w:spacing w:val="13"/>
          <w:position w:val="5"/>
          <w:sz w:val="12"/>
        </w:rPr>
        <w:t xml:space="preserve"> </w:t>
      </w:r>
      <w:r>
        <w:rPr>
          <w:sz w:val="18"/>
        </w:rPr>
        <w:t>See</w:t>
      </w:r>
      <w:r>
        <w:rPr>
          <w:spacing w:val="-5"/>
          <w:sz w:val="18"/>
        </w:rPr>
        <w:t xml:space="preserve"> </w:t>
      </w:r>
      <w:r>
        <w:rPr>
          <w:sz w:val="18"/>
        </w:rPr>
        <w:t>discussion</w:t>
      </w:r>
      <w:r>
        <w:rPr>
          <w:spacing w:val="-1"/>
          <w:sz w:val="18"/>
        </w:rPr>
        <w:t xml:space="preserve"> </w:t>
      </w:r>
      <w:r>
        <w:rPr>
          <w:sz w:val="18"/>
        </w:rPr>
        <w:t>above</w:t>
      </w:r>
      <w:r>
        <w:rPr>
          <w:spacing w:val="-5"/>
          <w:sz w:val="18"/>
        </w:rPr>
        <w:t xml:space="preserve"> </w:t>
      </w:r>
      <w:r>
        <w:rPr>
          <w:sz w:val="18"/>
        </w:rPr>
        <w:t>at</w:t>
      </w:r>
      <w:r>
        <w:rPr>
          <w:spacing w:val="-4"/>
          <w:sz w:val="18"/>
        </w:rPr>
        <w:t xml:space="preserve"> </w:t>
      </w:r>
      <w:r>
        <w:rPr>
          <w:sz w:val="18"/>
        </w:rPr>
        <w:t xml:space="preserve">paras. </w:t>
      </w:r>
      <w:hyperlink w:anchor="_bookmark855" w:history="1">
        <w:r>
          <w:rPr>
            <w:sz w:val="18"/>
          </w:rPr>
          <w:t>497</w:t>
        </w:r>
      </w:hyperlink>
      <w:hyperlink w:anchor="_bookmark861" w:history="1">
        <w:r>
          <w:rPr>
            <w:sz w:val="18"/>
          </w:rPr>
          <w:t>-</w:t>
        </w:r>
        <w:r>
          <w:rPr>
            <w:spacing w:val="-4"/>
            <w:sz w:val="18"/>
          </w:rPr>
          <w:t>500.</w:t>
        </w:r>
      </w:hyperlink>
    </w:p>
    <w:p w14:paraId="11C29E0A" w14:textId="77777777" w:rsidR="00BD462C" w:rsidRDefault="00033D0F">
      <w:pPr>
        <w:spacing w:before="1"/>
        <w:ind w:left="135"/>
        <w:rPr>
          <w:sz w:val="18"/>
        </w:rPr>
      </w:pPr>
      <w:bookmarkStart w:id="999" w:name="_bookmark860"/>
      <w:bookmarkEnd w:id="999"/>
      <w:r>
        <w:rPr>
          <w:position w:val="5"/>
          <w:sz w:val="12"/>
        </w:rPr>
        <w:t>731</w:t>
      </w:r>
      <w:r>
        <w:rPr>
          <w:spacing w:val="14"/>
          <w:position w:val="5"/>
          <w:sz w:val="12"/>
        </w:rPr>
        <w:t xml:space="preserve"> </w:t>
      </w:r>
      <w:r>
        <w:rPr>
          <w:sz w:val="18"/>
        </w:rPr>
        <w:t>See</w:t>
      </w:r>
      <w:r>
        <w:rPr>
          <w:spacing w:val="-5"/>
          <w:sz w:val="18"/>
        </w:rPr>
        <w:t xml:space="preserve"> </w:t>
      </w:r>
      <w:r>
        <w:rPr>
          <w:sz w:val="18"/>
        </w:rPr>
        <w:t>above,</w:t>
      </w:r>
      <w:r>
        <w:rPr>
          <w:spacing w:val="-2"/>
          <w:sz w:val="18"/>
        </w:rPr>
        <w:t xml:space="preserve"> </w:t>
      </w:r>
      <w:r>
        <w:rPr>
          <w:sz w:val="18"/>
        </w:rPr>
        <w:t>paras.</w:t>
      </w:r>
      <w:r>
        <w:rPr>
          <w:spacing w:val="1"/>
          <w:sz w:val="18"/>
        </w:rPr>
        <w:t xml:space="preserve"> </w:t>
      </w:r>
      <w:hyperlink w:anchor="_bookmark853" w:history="1">
        <w:r>
          <w:rPr>
            <w:sz w:val="18"/>
          </w:rPr>
          <w:t>495</w:t>
        </w:r>
      </w:hyperlink>
      <w:r>
        <w:rPr>
          <w:sz w:val="18"/>
        </w:rPr>
        <w:t>-</w:t>
      </w:r>
      <w:r>
        <w:rPr>
          <w:spacing w:val="1"/>
          <w:sz w:val="18"/>
        </w:rPr>
        <w:t xml:space="preserve"> </w:t>
      </w:r>
      <w:hyperlink w:anchor="_bookmark854" w:history="1">
        <w:r>
          <w:rPr>
            <w:spacing w:val="-4"/>
            <w:sz w:val="18"/>
          </w:rPr>
          <w:t>496.</w:t>
        </w:r>
      </w:hyperlink>
    </w:p>
    <w:p w14:paraId="7235A9E4" w14:textId="77777777" w:rsidR="00BD462C" w:rsidRDefault="00BD462C">
      <w:pPr>
        <w:rPr>
          <w:sz w:val="18"/>
        </w:rPr>
        <w:sectPr w:rsidR="00BD462C">
          <w:pgSz w:w="11910" w:h="16840"/>
          <w:pgMar w:top="860" w:right="500" w:bottom="780" w:left="1280" w:header="566" w:footer="590" w:gutter="0"/>
          <w:cols w:space="720"/>
        </w:sectPr>
      </w:pPr>
    </w:p>
    <w:p w14:paraId="0FC37BE1"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59741784"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55B7064F"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6979D8FE" w14:textId="53323F4E" w:rsidR="00BD462C" w:rsidRDefault="001250D0">
      <w:pPr>
        <w:pStyle w:val="BodyText"/>
        <w:spacing w:before="107" w:line="357" w:lineRule="auto"/>
        <w:ind w:left="135" w:right="915" w:hanging="5"/>
        <w:jc w:val="both"/>
      </w:pPr>
      <w:r>
        <w:rPr>
          <w:noProof/>
        </w:rPr>
        <w:t>498.</w:t>
      </w:r>
      <w:r w:rsidR="00033D0F">
        <w:rPr>
          <w:rFonts w:ascii="Times New Roman"/>
          <w:spacing w:val="40"/>
          <w:position w:val="1"/>
          <w:sz w:val="20"/>
        </w:rPr>
        <w:t xml:space="preserve">  </w:t>
      </w:r>
      <w:r w:rsidR="00033D0F">
        <w:rPr>
          <w:position w:val="1"/>
        </w:rPr>
        <w:t>First,</w:t>
      </w:r>
      <w:r w:rsidR="00033D0F">
        <w:rPr>
          <w:spacing w:val="40"/>
          <w:position w:val="1"/>
        </w:rPr>
        <w:t xml:space="preserve"> </w:t>
      </w:r>
      <w:r w:rsidR="00033D0F">
        <w:rPr>
          <w:position w:val="1"/>
        </w:rPr>
        <w:t>as</w:t>
      </w:r>
      <w:r w:rsidR="00033D0F">
        <w:rPr>
          <w:spacing w:val="40"/>
          <w:position w:val="1"/>
        </w:rPr>
        <w:t xml:space="preserve"> </w:t>
      </w:r>
      <w:r w:rsidR="00033D0F">
        <w:rPr>
          <w:position w:val="1"/>
        </w:rPr>
        <w:t>set</w:t>
      </w:r>
      <w:r w:rsidR="00033D0F">
        <w:rPr>
          <w:spacing w:val="40"/>
          <w:position w:val="1"/>
        </w:rPr>
        <w:t xml:space="preserve"> </w:t>
      </w:r>
      <w:r w:rsidR="00033D0F">
        <w:rPr>
          <w:position w:val="1"/>
        </w:rPr>
        <w:t>out</w:t>
      </w:r>
      <w:r w:rsidR="00033D0F">
        <w:rPr>
          <w:spacing w:val="40"/>
          <w:position w:val="1"/>
        </w:rPr>
        <w:t xml:space="preserve"> </w:t>
      </w:r>
      <w:r w:rsidR="00033D0F">
        <w:rPr>
          <w:position w:val="1"/>
        </w:rPr>
        <w:t>in</w:t>
      </w:r>
      <w:r w:rsidR="00033D0F">
        <w:rPr>
          <w:spacing w:val="40"/>
          <w:position w:val="1"/>
        </w:rPr>
        <w:t xml:space="preserve"> </w:t>
      </w:r>
      <w:r w:rsidR="00033D0F">
        <w:rPr>
          <w:position w:val="1"/>
        </w:rPr>
        <w:t>Australia's</w:t>
      </w:r>
      <w:r w:rsidR="00033D0F">
        <w:rPr>
          <w:spacing w:val="40"/>
          <w:position w:val="1"/>
        </w:rPr>
        <w:t xml:space="preserve"> </w:t>
      </w:r>
      <w:r w:rsidR="00033D0F">
        <w:rPr>
          <w:position w:val="1"/>
        </w:rPr>
        <w:t>first</w:t>
      </w:r>
      <w:r w:rsidR="00033D0F">
        <w:rPr>
          <w:spacing w:val="40"/>
          <w:position w:val="1"/>
        </w:rPr>
        <w:t xml:space="preserve"> </w:t>
      </w:r>
      <w:r w:rsidR="00033D0F">
        <w:rPr>
          <w:position w:val="1"/>
        </w:rPr>
        <w:t>written</w:t>
      </w:r>
      <w:r w:rsidR="00033D0F">
        <w:rPr>
          <w:spacing w:val="40"/>
          <w:position w:val="1"/>
        </w:rPr>
        <w:t xml:space="preserve"> </w:t>
      </w:r>
      <w:r w:rsidR="00033D0F">
        <w:rPr>
          <w:position w:val="1"/>
        </w:rPr>
        <w:t>submission,</w:t>
      </w:r>
      <w:hyperlink w:anchor="_bookmark862" w:history="1">
        <w:r w:rsidR="00033D0F">
          <w:rPr>
            <w:position w:val="1"/>
            <w:vertAlign w:val="superscript"/>
          </w:rPr>
          <w:t>732</w:t>
        </w:r>
      </w:hyperlink>
      <w:r w:rsidR="00033D0F">
        <w:rPr>
          <w:spacing w:val="40"/>
          <w:position w:val="1"/>
        </w:rPr>
        <w:t xml:space="preserve"> </w:t>
      </w:r>
      <w:r w:rsidR="00033D0F">
        <w:rPr>
          <w:position w:val="1"/>
        </w:rPr>
        <w:t>and</w:t>
      </w:r>
      <w:r w:rsidR="00033D0F">
        <w:rPr>
          <w:spacing w:val="40"/>
          <w:position w:val="1"/>
        </w:rPr>
        <w:t xml:space="preserve"> </w:t>
      </w:r>
      <w:r w:rsidR="00033D0F">
        <w:rPr>
          <w:position w:val="1"/>
        </w:rPr>
        <w:t>evidenced</w:t>
      </w:r>
      <w:r w:rsidR="00033D0F">
        <w:rPr>
          <w:spacing w:val="40"/>
          <w:position w:val="1"/>
        </w:rPr>
        <w:t xml:space="preserve"> </w:t>
      </w:r>
      <w:r w:rsidR="00033D0F">
        <w:rPr>
          <w:position w:val="1"/>
        </w:rPr>
        <w:t xml:space="preserve">by </w:t>
      </w:r>
      <w:r w:rsidR="00033D0F">
        <w:t>information</w:t>
      </w:r>
      <w:r w:rsidR="00033D0F">
        <w:rPr>
          <w:spacing w:val="-4"/>
        </w:rPr>
        <w:t xml:space="preserve"> </w:t>
      </w:r>
      <w:r w:rsidR="00033D0F">
        <w:t>that</w:t>
      </w:r>
      <w:r w:rsidR="00033D0F">
        <w:rPr>
          <w:spacing w:val="-2"/>
        </w:rPr>
        <w:t xml:space="preserve"> </w:t>
      </w:r>
      <w:r w:rsidR="00033D0F">
        <w:t>was before</w:t>
      </w:r>
      <w:r w:rsidR="00033D0F">
        <w:rPr>
          <w:spacing w:val="-2"/>
        </w:rPr>
        <w:t xml:space="preserve"> </w:t>
      </w:r>
      <w:r w:rsidR="00033D0F">
        <w:t>MOFCOM, third</w:t>
      </w:r>
      <w:r w:rsidR="00033D0F">
        <w:rPr>
          <w:spacing w:val="-4"/>
        </w:rPr>
        <w:t xml:space="preserve"> </w:t>
      </w:r>
      <w:r w:rsidR="00033D0F">
        <w:t>country</w:t>
      </w:r>
      <w:r w:rsidR="00033D0F">
        <w:rPr>
          <w:spacing w:val="-1"/>
        </w:rPr>
        <w:t xml:space="preserve"> </w:t>
      </w:r>
      <w:r w:rsidR="00033D0F">
        <w:t>imports</w:t>
      </w:r>
      <w:r w:rsidR="00033D0F">
        <w:rPr>
          <w:spacing w:val="-1"/>
        </w:rPr>
        <w:t xml:space="preserve"> </w:t>
      </w:r>
      <w:r w:rsidR="00033D0F">
        <w:t>played</w:t>
      </w:r>
      <w:r w:rsidR="00033D0F">
        <w:rPr>
          <w:spacing w:val="-4"/>
        </w:rPr>
        <w:t xml:space="preserve"> </w:t>
      </w:r>
      <w:r w:rsidR="00033D0F">
        <w:t>a very</w:t>
      </w:r>
      <w:r w:rsidR="00033D0F">
        <w:rPr>
          <w:spacing w:val="-1"/>
        </w:rPr>
        <w:t xml:space="preserve"> </w:t>
      </w:r>
      <w:r w:rsidR="00033D0F">
        <w:t>significant</w:t>
      </w:r>
      <w:r w:rsidR="00033D0F">
        <w:rPr>
          <w:spacing w:val="-2"/>
        </w:rPr>
        <w:t xml:space="preserve"> </w:t>
      </w:r>
      <w:r w:rsidR="00033D0F">
        <w:t>role</w:t>
      </w:r>
      <w:r w:rsidR="00033D0F">
        <w:rPr>
          <w:spacing w:val="-2"/>
        </w:rPr>
        <w:t xml:space="preserve"> </w:t>
      </w:r>
      <w:r w:rsidR="00033D0F">
        <w:t>in the Chinese wine market. In particular, the evidence established that third country imports occupied</w:t>
      </w:r>
      <w:r w:rsidR="00033D0F">
        <w:rPr>
          <w:spacing w:val="-3"/>
        </w:rPr>
        <w:t xml:space="preserve"> </w:t>
      </w:r>
      <w:r w:rsidR="00033D0F">
        <w:t>a significant</w:t>
      </w:r>
      <w:r w:rsidR="00033D0F">
        <w:rPr>
          <w:spacing w:val="-1"/>
        </w:rPr>
        <w:t xml:space="preserve"> </w:t>
      </w:r>
      <w:r w:rsidR="00033D0F">
        <w:t>portion</w:t>
      </w:r>
      <w:r w:rsidR="00033D0F">
        <w:rPr>
          <w:spacing w:val="-3"/>
        </w:rPr>
        <w:t xml:space="preserve"> </w:t>
      </w:r>
      <w:r w:rsidR="00033D0F">
        <w:t>of</w:t>
      </w:r>
      <w:r w:rsidR="00033D0F">
        <w:rPr>
          <w:spacing w:val="-3"/>
        </w:rPr>
        <w:t xml:space="preserve"> </w:t>
      </w:r>
      <w:r w:rsidR="00033D0F">
        <w:t>the Chinese</w:t>
      </w:r>
      <w:r w:rsidR="00033D0F">
        <w:rPr>
          <w:spacing w:val="-1"/>
        </w:rPr>
        <w:t xml:space="preserve"> </w:t>
      </w:r>
      <w:r w:rsidR="00033D0F">
        <w:t>market</w:t>
      </w:r>
      <w:r w:rsidR="00033D0F">
        <w:rPr>
          <w:spacing w:val="-1"/>
        </w:rPr>
        <w:t xml:space="preserve"> </w:t>
      </w:r>
      <w:r w:rsidR="00033D0F">
        <w:t>(by volume)</w:t>
      </w:r>
      <w:r w:rsidR="00033D0F">
        <w:rPr>
          <w:spacing w:val="-3"/>
        </w:rPr>
        <w:t xml:space="preserve"> </w:t>
      </w:r>
      <w:r w:rsidR="00033D0F">
        <w:t>and</w:t>
      </w:r>
      <w:r w:rsidR="00033D0F">
        <w:rPr>
          <w:spacing w:val="-3"/>
        </w:rPr>
        <w:t xml:space="preserve"> </w:t>
      </w:r>
      <w:r w:rsidR="00033D0F">
        <w:t>had</w:t>
      </w:r>
      <w:r w:rsidR="00033D0F">
        <w:rPr>
          <w:spacing w:val="-3"/>
        </w:rPr>
        <w:t xml:space="preserve"> </w:t>
      </w:r>
      <w:r w:rsidR="00033D0F">
        <w:t>average</w:t>
      </w:r>
      <w:r w:rsidR="00033D0F">
        <w:rPr>
          <w:spacing w:val="-1"/>
        </w:rPr>
        <w:t xml:space="preserve"> </w:t>
      </w:r>
      <w:r w:rsidR="00033D0F">
        <w:t>unit prices that were: (i) much lower than the average unit prices of subject imports; and (ii) generally lower than the average unit prices of the domestic like products (and, in some cases, much lower). MOFCOM also found that all wine products competed equally in the Chinese market.</w:t>
      </w:r>
      <w:hyperlink w:anchor="_bookmark863" w:history="1">
        <w:r w:rsidR="00033D0F">
          <w:rPr>
            <w:vertAlign w:val="superscript"/>
          </w:rPr>
          <w:t>733</w:t>
        </w:r>
      </w:hyperlink>
      <w:r w:rsidR="00033D0F">
        <w:rPr>
          <w:spacing w:val="-14"/>
        </w:rPr>
        <w:t xml:space="preserve"> </w:t>
      </w:r>
      <w:r w:rsidR="00033D0F">
        <w:t>As</w:t>
      </w:r>
      <w:r w:rsidR="00033D0F">
        <w:rPr>
          <w:spacing w:val="-14"/>
        </w:rPr>
        <w:t xml:space="preserve"> </w:t>
      </w:r>
      <w:r w:rsidR="00033D0F">
        <w:t>a</w:t>
      </w:r>
      <w:r w:rsidR="00033D0F">
        <w:rPr>
          <w:spacing w:val="-13"/>
        </w:rPr>
        <w:t xml:space="preserve"> </w:t>
      </w:r>
      <w:r w:rsidR="00033D0F">
        <w:t>consequence,</w:t>
      </w:r>
      <w:r w:rsidR="00033D0F">
        <w:rPr>
          <w:spacing w:val="-14"/>
        </w:rPr>
        <w:t xml:space="preserve"> </w:t>
      </w:r>
      <w:r w:rsidR="00033D0F">
        <w:t>MOFCOM</w:t>
      </w:r>
      <w:r w:rsidR="00033D0F">
        <w:rPr>
          <w:spacing w:val="-13"/>
        </w:rPr>
        <w:t xml:space="preserve"> </w:t>
      </w:r>
      <w:r w:rsidR="00033D0F">
        <w:t>needed</w:t>
      </w:r>
      <w:r w:rsidR="00033D0F">
        <w:rPr>
          <w:spacing w:val="-14"/>
        </w:rPr>
        <w:t xml:space="preserve"> </w:t>
      </w:r>
      <w:r w:rsidR="00033D0F">
        <w:t>to</w:t>
      </w:r>
      <w:r w:rsidR="00033D0F">
        <w:rPr>
          <w:spacing w:val="-13"/>
        </w:rPr>
        <w:t xml:space="preserve"> </w:t>
      </w:r>
      <w:r w:rsidR="00033D0F">
        <w:t>consider</w:t>
      </w:r>
      <w:r w:rsidR="00033D0F">
        <w:rPr>
          <w:spacing w:val="-14"/>
        </w:rPr>
        <w:t xml:space="preserve"> </w:t>
      </w:r>
      <w:r w:rsidR="00033D0F">
        <w:t>the</w:t>
      </w:r>
      <w:r w:rsidR="00033D0F">
        <w:rPr>
          <w:spacing w:val="-14"/>
        </w:rPr>
        <w:t xml:space="preserve"> </w:t>
      </w:r>
      <w:r w:rsidR="00033D0F">
        <w:t>effect</w:t>
      </w:r>
      <w:r w:rsidR="00033D0F">
        <w:rPr>
          <w:spacing w:val="-13"/>
        </w:rPr>
        <w:t xml:space="preserve"> </w:t>
      </w:r>
      <w:r w:rsidR="00033D0F">
        <w:t>of</w:t>
      </w:r>
      <w:r w:rsidR="00033D0F">
        <w:rPr>
          <w:spacing w:val="-14"/>
        </w:rPr>
        <w:t xml:space="preserve"> </w:t>
      </w:r>
      <w:r w:rsidR="00033D0F">
        <w:t>third</w:t>
      </w:r>
      <w:r w:rsidR="00033D0F">
        <w:rPr>
          <w:spacing w:val="-13"/>
        </w:rPr>
        <w:t xml:space="preserve"> </w:t>
      </w:r>
      <w:r w:rsidR="00033D0F">
        <w:t>country</w:t>
      </w:r>
      <w:r w:rsidR="00033D0F">
        <w:rPr>
          <w:spacing w:val="-14"/>
        </w:rPr>
        <w:t xml:space="preserve"> </w:t>
      </w:r>
      <w:r w:rsidR="00033D0F">
        <w:t xml:space="preserve">imports on domestic prices during its </w:t>
      </w:r>
      <w:proofErr w:type="gramStart"/>
      <w:r w:rsidR="00033D0F">
        <w:t>Article</w:t>
      </w:r>
      <w:proofErr w:type="gramEnd"/>
      <w:r w:rsidR="00033D0F">
        <w:t xml:space="preserve"> 3.2 analysis.</w:t>
      </w:r>
    </w:p>
    <w:p w14:paraId="02866F61" w14:textId="77777777" w:rsidR="00BD462C" w:rsidRDefault="00BD462C">
      <w:pPr>
        <w:pStyle w:val="BodyText"/>
        <w:spacing w:before="9"/>
        <w:rPr>
          <w:sz w:val="9"/>
        </w:rPr>
      </w:pPr>
    </w:p>
    <w:p w14:paraId="7A6B8D50" w14:textId="12887662" w:rsidR="00BD462C" w:rsidRDefault="001250D0">
      <w:pPr>
        <w:pStyle w:val="BodyText"/>
        <w:spacing w:before="56" w:line="360" w:lineRule="auto"/>
        <w:ind w:left="135" w:right="912" w:hanging="5"/>
        <w:jc w:val="both"/>
      </w:pPr>
      <w:r>
        <w:rPr>
          <w:noProof/>
        </w:rPr>
        <w:t>499.</w:t>
      </w:r>
      <w:r w:rsidR="00033D0F">
        <w:rPr>
          <w:rFonts w:ascii="Times New Roman"/>
          <w:spacing w:val="80"/>
          <w:position w:val="1"/>
          <w:sz w:val="20"/>
        </w:rPr>
        <w:t xml:space="preserve"> </w:t>
      </w:r>
      <w:r w:rsidR="00033D0F">
        <w:rPr>
          <w:position w:val="1"/>
        </w:rPr>
        <w:t>Second,</w:t>
      </w:r>
      <w:r w:rsidR="00033D0F">
        <w:rPr>
          <w:spacing w:val="-1"/>
          <w:position w:val="1"/>
        </w:rPr>
        <w:t xml:space="preserve"> </w:t>
      </w:r>
      <w:r w:rsidR="00033D0F">
        <w:rPr>
          <w:position w:val="1"/>
        </w:rPr>
        <w:t>it</w:t>
      </w:r>
      <w:r w:rsidR="00033D0F">
        <w:rPr>
          <w:spacing w:val="-2"/>
          <w:position w:val="1"/>
        </w:rPr>
        <w:t xml:space="preserve"> </w:t>
      </w:r>
      <w:r w:rsidR="00033D0F">
        <w:rPr>
          <w:position w:val="1"/>
        </w:rPr>
        <w:t>is</w:t>
      </w:r>
      <w:r w:rsidR="00033D0F">
        <w:rPr>
          <w:spacing w:val="-1"/>
          <w:position w:val="1"/>
        </w:rPr>
        <w:t xml:space="preserve"> </w:t>
      </w:r>
      <w:r w:rsidR="00033D0F">
        <w:rPr>
          <w:position w:val="1"/>
        </w:rPr>
        <w:t>evident</w:t>
      </w:r>
      <w:r w:rsidR="00033D0F">
        <w:rPr>
          <w:spacing w:val="-2"/>
          <w:position w:val="1"/>
        </w:rPr>
        <w:t xml:space="preserve"> </w:t>
      </w:r>
      <w:r w:rsidR="00033D0F">
        <w:rPr>
          <w:position w:val="1"/>
        </w:rPr>
        <w:t>that</w:t>
      </w:r>
      <w:r w:rsidR="00033D0F">
        <w:rPr>
          <w:spacing w:val="-2"/>
          <w:position w:val="1"/>
        </w:rPr>
        <w:t xml:space="preserve"> </w:t>
      </w:r>
      <w:r w:rsidR="00033D0F">
        <w:rPr>
          <w:position w:val="1"/>
        </w:rPr>
        <w:t>MOFCOM</w:t>
      </w:r>
      <w:r w:rsidR="00033D0F">
        <w:rPr>
          <w:spacing w:val="-2"/>
          <w:position w:val="1"/>
        </w:rPr>
        <w:t xml:space="preserve"> </w:t>
      </w:r>
      <w:r w:rsidR="00033D0F">
        <w:rPr>
          <w:position w:val="1"/>
        </w:rPr>
        <w:t>did</w:t>
      </w:r>
      <w:r w:rsidR="00033D0F">
        <w:rPr>
          <w:spacing w:val="-4"/>
          <w:position w:val="1"/>
        </w:rPr>
        <w:t xml:space="preserve"> </w:t>
      </w:r>
      <w:r w:rsidR="00033D0F">
        <w:rPr>
          <w:position w:val="1"/>
        </w:rPr>
        <w:t>not</w:t>
      </w:r>
      <w:r w:rsidR="00033D0F">
        <w:rPr>
          <w:spacing w:val="-2"/>
          <w:position w:val="1"/>
        </w:rPr>
        <w:t xml:space="preserve"> </w:t>
      </w:r>
      <w:r w:rsidR="00033D0F">
        <w:rPr>
          <w:position w:val="1"/>
        </w:rPr>
        <w:t>evaluate</w:t>
      </w:r>
      <w:r w:rsidR="00033D0F">
        <w:rPr>
          <w:spacing w:val="-2"/>
          <w:position w:val="1"/>
        </w:rPr>
        <w:t xml:space="preserve"> </w:t>
      </w:r>
      <w:r w:rsidR="00033D0F">
        <w:rPr>
          <w:position w:val="1"/>
        </w:rPr>
        <w:t>or</w:t>
      </w:r>
      <w:r w:rsidR="00033D0F">
        <w:rPr>
          <w:spacing w:val="-5"/>
          <w:position w:val="1"/>
        </w:rPr>
        <w:t xml:space="preserve"> </w:t>
      </w:r>
      <w:r w:rsidR="00033D0F">
        <w:rPr>
          <w:position w:val="1"/>
        </w:rPr>
        <w:t>consider</w:t>
      </w:r>
      <w:r w:rsidR="00033D0F">
        <w:rPr>
          <w:spacing w:val="-5"/>
          <w:position w:val="1"/>
        </w:rPr>
        <w:t xml:space="preserve"> </w:t>
      </w:r>
      <w:r w:rsidR="00033D0F">
        <w:rPr>
          <w:position w:val="1"/>
        </w:rPr>
        <w:t>any</w:t>
      </w:r>
      <w:r w:rsidR="00033D0F">
        <w:rPr>
          <w:spacing w:val="-1"/>
          <w:position w:val="1"/>
        </w:rPr>
        <w:t xml:space="preserve"> </w:t>
      </w:r>
      <w:r w:rsidR="00033D0F">
        <w:rPr>
          <w:position w:val="1"/>
        </w:rPr>
        <w:t>of this</w:t>
      </w:r>
      <w:r w:rsidR="00033D0F">
        <w:rPr>
          <w:spacing w:val="-1"/>
          <w:position w:val="1"/>
        </w:rPr>
        <w:t xml:space="preserve"> </w:t>
      </w:r>
      <w:r w:rsidR="00033D0F">
        <w:rPr>
          <w:position w:val="1"/>
        </w:rPr>
        <w:t xml:space="preserve">evidence </w:t>
      </w:r>
      <w:r w:rsidR="00033D0F">
        <w:t>concerning the impact of third country imports at all during its price effects analysis. China's submissions</w:t>
      </w:r>
      <w:r w:rsidR="00033D0F">
        <w:rPr>
          <w:spacing w:val="-11"/>
        </w:rPr>
        <w:t xml:space="preserve"> </w:t>
      </w:r>
      <w:r w:rsidR="00033D0F">
        <w:t>at</w:t>
      </w:r>
      <w:r w:rsidR="00033D0F">
        <w:rPr>
          <w:spacing w:val="-11"/>
        </w:rPr>
        <w:t xml:space="preserve"> </w:t>
      </w:r>
      <w:r w:rsidR="00033D0F">
        <w:t>paragraphs</w:t>
      </w:r>
      <w:r w:rsidR="00033D0F">
        <w:rPr>
          <w:spacing w:val="-10"/>
        </w:rPr>
        <w:t xml:space="preserve"> </w:t>
      </w:r>
      <w:r w:rsidR="00033D0F">
        <w:t>1436</w:t>
      </w:r>
      <w:r w:rsidR="00033D0F">
        <w:rPr>
          <w:spacing w:val="-14"/>
        </w:rPr>
        <w:t xml:space="preserve"> </w:t>
      </w:r>
      <w:r w:rsidR="00033D0F">
        <w:t>to</w:t>
      </w:r>
      <w:r w:rsidR="00033D0F">
        <w:rPr>
          <w:spacing w:val="-10"/>
        </w:rPr>
        <w:t xml:space="preserve"> </w:t>
      </w:r>
      <w:r w:rsidR="00033D0F">
        <w:t>1439</w:t>
      </w:r>
      <w:r w:rsidR="00033D0F">
        <w:rPr>
          <w:spacing w:val="-14"/>
        </w:rPr>
        <w:t xml:space="preserve"> </w:t>
      </w:r>
      <w:r w:rsidR="00033D0F">
        <w:t>are</w:t>
      </w:r>
      <w:r w:rsidR="00033D0F">
        <w:rPr>
          <w:spacing w:val="-12"/>
        </w:rPr>
        <w:t xml:space="preserve"> </w:t>
      </w:r>
      <w:r w:rsidR="00033D0F">
        <w:t>entirely</w:t>
      </w:r>
      <w:r w:rsidR="00033D0F">
        <w:rPr>
          <w:spacing w:val="-11"/>
        </w:rPr>
        <w:t xml:space="preserve"> </w:t>
      </w:r>
      <w:r w:rsidR="00033D0F">
        <w:rPr>
          <w:i/>
        </w:rPr>
        <w:t>ex</w:t>
      </w:r>
      <w:r w:rsidR="00033D0F">
        <w:rPr>
          <w:i/>
          <w:spacing w:val="-11"/>
        </w:rPr>
        <w:t xml:space="preserve"> </w:t>
      </w:r>
      <w:r w:rsidR="00033D0F">
        <w:rPr>
          <w:i/>
        </w:rPr>
        <w:t>post</w:t>
      </w:r>
      <w:r w:rsidR="00033D0F">
        <w:rPr>
          <w:i/>
          <w:spacing w:val="-11"/>
        </w:rPr>
        <w:t xml:space="preserve"> </w:t>
      </w:r>
      <w:r w:rsidR="00033D0F">
        <w:rPr>
          <w:i/>
        </w:rPr>
        <w:t>facto</w:t>
      </w:r>
      <w:r w:rsidR="00033D0F">
        <w:t>.</w:t>
      </w:r>
      <w:r w:rsidR="00033D0F">
        <w:rPr>
          <w:spacing w:val="-11"/>
        </w:rPr>
        <w:t xml:space="preserve"> </w:t>
      </w:r>
      <w:r w:rsidR="00033D0F">
        <w:t>This</w:t>
      </w:r>
      <w:r w:rsidR="00033D0F">
        <w:rPr>
          <w:spacing w:val="-10"/>
        </w:rPr>
        <w:t xml:space="preserve"> </w:t>
      </w:r>
      <w:r w:rsidR="00033D0F">
        <w:t>is</w:t>
      </w:r>
      <w:r w:rsidR="00033D0F">
        <w:rPr>
          <w:spacing w:val="-10"/>
        </w:rPr>
        <w:t xml:space="preserve"> </w:t>
      </w:r>
      <w:r w:rsidR="00033D0F">
        <w:t>confirmed</w:t>
      </w:r>
      <w:r w:rsidR="00033D0F">
        <w:rPr>
          <w:spacing w:val="-14"/>
        </w:rPr>
        <w:t xml:space="preserve"> </w:t>
      </w:r>
      <w:r w:rsidR="00033D0F">
        <w:t>by</w:t>
      </w:r>
      <w:r w:rsidR="00033D0F">
        <w:rPr>
          <w:spacing w:val="-11"/>
        </w:rPr>
        <w:t xml:space="preserve"> </w:t>
      </w:r>
      <w:r w:rsidR="00033D0F">
        <w:t>China's inability to point to any references from the evidentiary record showing the alleged consideration by MOFCOM.</w:t>
      </w:r>
    </w:p>
    <w:p w14:paraId="0B19354C" w14:textId="77777777" w:rsidR="00BD462C" w:rsidRDefault="00BD462C">
      <w:pPr>
        <w:pStyle w:val="BodyText"/>
        <w:spacing w:before="6"/>
        <w:rPr>
          <w:sz w:val="8"/>
        </w:rPr>
      </w:pPr>
    </w:p>
    <w:p w14:paraId="611E5922" w14:textId="73F55BDD" w:rsidR="00BD462C" w:rsidRDefault="001250D0">
      <w:pPr>
        <w:pStyle w:val="BodyText"/>
        <w:spacing w:before="56" w:line="360" w:lineRule="auto"/>
        <w:ind w:left="135" w:right="918"/>
        <w:jc w:val="both"/>
      </w:pPr>
      <w:r>
        <w:rPr>
          <w:noProof/>
        </w:rPr>
        <w:t>500.</w:t>
      </w:r>
      <w:r w:rsidR="00033D0F">
        <w:rPr>
          <w:rFonts w:ascii="Times New Roman"/>
          <w:spacing w:val="380"/>
          <w:position w:val="1"/>
          <w:sz w:val="20"/>
        </w:rPr>
        <w:t xml:space="preserve"> </w:t>
      </w:r>
      <w:bookmarkStart w:id="1000" w:name="_bookmark861"/>
      <w:bookmarkEnd w:id="1000"/>
      <w:r w:rsidR="00033D0F">
        <w:rPr>
          <w:position w:val="1"/>
        </w:rPr>
        <w:t>In</w:t>
      </w:r>
      <w:r w:rsidR="00033D0F">
        <w:rPr>
          <w:spacing w:val="-4"/>
          <w:position w:val="1"/>
        </w:rPr>
        <w:t xml:space="preserve"> </w:t>
      </w:r>
      <w:r w:rsidR="00033D0F">
        <w:rPr>
          <w:position w:val="1"/>
        </w:rPr>
        <w:t>light</w:t>
      </w:r>
      <w:r w:rsidR="00033D0F">
        <w:rPr>
          <w:spacing w:val="-2"/>
          <w:position w:val="1"/>
        </w:rPr>
        <w:t xml:space="preserve"> </w:t>
      </w:r>
      <w:r w:rsidR="00033D0F">
        <w:rPr>
          <w:position w:val="1"/>
        </w:rPr>
        <w:t>of</w:t>
      </w:r>
      <w:r w:rsidR="00033D0F">
        <w:rPr>
          <w:spacing w:val="-4"/>
          <w:position w:val="1"/>
        </w:rPr>
        <w:t xml:space="preserve"> </w:t>
      </w:r>
      <w:r w:rsidR="00033D0F">
        <w:rPr>
          <w:position w:val="1"/>
        </w:rPr>
        <w:t>MOFCOM's</w:t>
      </w:r>
      <w:r w:rsidR="00033D0F">
        <w:rPr>
          <w:spacing w:val="-1"/>
          <w:position w:val="1"/>
        </w:rPr>
        <w:t xml:space="preserve"> </w:t>
      </w:r>
      <w:r w:rsidR="00033D0F">
        <w:rPr>
          <w:position w:val="1"/>
        </w:rPr>
        <w:t>failings</w:t>
      </w:r>
      <w:r w:rsidR="00033D0F">
        <w:rPr>
          <w:spacing w:val="-6"/>
          <w:position w:val="1"/>
        </w:rPr>
        <w:t xml:space="preserve"> </w:t>
      </w:r>
      <w:r w:rsidR="00033D0F">
        <w:rPr>
          <w:position w:val="1"/>
        </w:rPr>
        <w:t>in</w:t>
      </w:r>
      <w:r w:rsidR="00033D0F">
        <w:rPr>
          <w:spacing w:val="-4"/>
          <w:position w:val="1"/>
        </w:rPr>
        <w:t xml:space="preserve"> </w:t>
      </w:r>
      <w:r w:rsidR="00033D0F">
        <w:rPr>
          <w:position w:val="1"/>
        </w:rPr>
        <w:t>this</w:t>
      </w:r>
      <w:r w:rsidR="00033D0F">
        <w:rPr>
          <w:spacing w:val="-1"/>
          <w:position w:val="1"/>
        </w:rPr>
        <w:t xml:space="preserve"> </w:t>
      </w:r>
      <w:r w:rsidR="00033D0F">
        <w:rPr>
          <w:position w:val="1"/>
        </w:rPr>
        <w:t>regard,</w:t>
      </w:r>
      <w:r w:rsidR="00033D0F">
        <w:rPr>
          <w:spacing w:val="-1"/>
          <w:position w:val="1"/>
        </w:rPr>
        <w:t xml:space="preserve"> </w:t>
      </w:r>
      <w:r w:rsidR="00033D0F">
        <w:rPr>
          <w:position w:val="1"/>
        </w:rPr>
        <w:t>"it</w:t>
      </w:r>
      <w:r w:rsidR="00033D0F">
        <w:rPr>
          <w:spacing w:val="-2"/>
          <w:position w:val="1"/>
        </w:rPr>
        <w:t xml:space="preserve"> </w:t>
      </w:r>
      <w:r w:rsidR="00033D0F">
        <w:rPr>
          <w:position w:val="1"/>
        </w:rPr>
        <w:t>is</w:t>
      </w:r>
      <w:r w:rsidR="00033D0F">
        <w:rPr>
          <w:spacing w:val="-1"/>
          <w:position w:val="1"/>
        </w:rPr>
        <w:t xml:space="preserve"> </w:t>
      </w:r>
      <w:r w:rsidR="00033D0F">
        <w:rPr>
          <w:position w:val="1"/>
        </w:rPr>
        <w:t>unclear</w:t>
      </w:r>
      <w:r w:rsidR="00033D0F">
        <w:rPr>
          <w:spacing w:val="-5"/>
          <w:position w:val="1"/>
        </w:rPr>
        <w:t xml:space="preserve"> </w:t>
      </w:r>
      <w:r w:rsidR="00033D0F">
        <w:rPr>
          <w:position w:val="1"/>
        </w:rPr>
        <w:t>how</w:t>
      </w:r>
      <w:r w:rsidR="00033D0F">
        <w:rPr>
          <w:spacing w:val="-2"/>
          <w:position w:val="1"/>
        </w:rPr>
        <w:t xml:space="preserve"> </w:t>
      </w:r>
      <w:r w:rsidR="00033D0F">
        <w:rPr>
          <w:position w:val="1"/>
        </w:rPr>
        <w:t>MOFCOM</w:t>
      </w:r>
      <w:r w:rsidR="00033D0F">
        <w:rPr>
          <w:spacing w:val="-2"/>
          <w:position w:val="1"/>
        </w:rPr>
        <w:t xml:space="preserve"> </w:t>
      </w:r>
      <w:r w:rsidR="00033D0F">
        <w:rPr>
          <w:position w:val="1"/>
        </w:rPr>
        <w:t>reached</w:t>
      </w:r>
      <w:r w:rsidR="00033D0F">
        <w:rPr>
          <w:spacing w:val="-4"/>
          <w:position w:val="1"/>
        </w:rPr>
        <w:t xml:space="preserve"> </w:t>
      </w:r>
      <w:r w:rsidR="00033D0F">
        <w:rPr>
          <w:position w:val="1"/>
        </w:rPr>
        <w:t xml:space="preserve">the </w:t>
      </w:r>
      <w:r w:rsidR="00033D0F">
        <w:t xml:space="preserve">conclusion that domestic industry prices were precluded from increasing as a result of the increased volume of subject imports, but that the significant volume of non-subject imports in the Chinese market, at prices similar to those of domestic like products, had no such </w:t>
      </w:r>
      <w:r w:rsidR="00033D0F">
        <w:rPr>
          <w:spacing w:val="-2"/>
        </w:rPr>
        <w:t>effect".</w:t>
      </w:r>
      <w:hyperlink w:anchor="_bookmark864" w:history="1">
        <w:r w:rsidR="00033D0F">
          <w:rPr>
            <w:spacing w:val="-2"/>
            <w:vertAlign w:val="superscript"/>
          </w:rPr>
          <w:t>734</w:t>
        </w:r>
      </w:hyperlink>
    </w:p>
    <w:p w14:paraId="644E53DA" w14:textId="77777777" w:rsidR="00BD462C" w:rsidRDefault="00033D0F">
      <w:pPr>
        <w:pStyle w:val="ListParagraph"/>
        <w:numPr>
          <w:ilvl w:val="0"/>
          <w:numId w:val="51"/>
        </w:numPr>
        <w:tabs>
          <w:tab w:val="left" w:pos="3539"/>
          <w:tab w:val="left" w:pos="3540"/>
        </w:tabs>
        <w:spacing w:before="155"/>
        <w:ind w:hanging="851"/>
        <w:jc w:val="both"/>
        <w:rPr>
          <w:sz w:val="24"/>
        </w:rPr>
      </w:pPr>
      <w:bookmarkStart w:id="1001" w:name="(f)_Yearly_price_fluctuations"/>
      <w:bookmarkEnd w:id="1001"/>
      <w:r>
        <w:rPr>
          <w:sz w:val="24"/>
          <w:u w:val="single"/>
        </w:rPr>
        <w:t>Yearly</w:t>
      </w:r>
      <w:r>
        <w:rPr>
          <w:spacing w:val="-4"/>
          <w:sz w:val="24"/>
          <w:u w:val="single"/>
        </w:rPr>
        <w:t xml:space="preserve"> </w:t>
      </w:r>
      <w:r>
        <w:rPr>
          <w:sz w:val="24"/>
          <w:u w:val="single"/>
        </w:rPr>
        <w:t>price</w:t>
      </w:r>
      <w:r>
        <w:rPr>
          <w:spacing w:val="-4"/>
          <w:sz w:val="24"/>
          <w:u w:val="single"/>
        </w:rPr>
        <w:t xml:space="preserve"> </w:t>
      </w:r>
      <w:r>
        <w:rPr>
          <w:spacing w:val="-2"/>
          <w:sz w:val="24"/>
          <w:u w:val="single"/>
        </w:rPr>
        <w:t>fluctuations</w:t>
      </w:r>
    </w:p>
    <w:p w14:paraId="2BF3BE9E" w14:textId="77777777" w:rsidR="00BD462C" w:rsidRDefault="00BD462C">
      <w:pPr>
        <w:pStyle w:val="BodyText"/>
        <w:spacing w:before="11"/>
        <w:rPr>
          <w:sz w:val="20"/>
        </w:rPr>
      </w:pPr>
    </w:p>
    <w:p w14:paraId="40E486DE" w14:textId="5EDE61F4" w:rsidR="00BD462C" w:rsidRDefault="001250D0">
      <w:pPr>
        <w:pStyle w:val="BodyText"/>
        <w:spacing w:before="56" w:line="357" w:lineRule="auto"/>
        <w:ind w:left="136" w:right="923"/>
      </w:pPr>
      <w:r>
        <w:rPr>
          <w:noProof/>
        </w:rPr>
        <w:t>501.</w:t>
      </w:r>
      <w:r w:rsidR="00033D0F">
        <w:rPr>
          <w:rFonts w:ascii="Times New Roman"/>
          <w:spacing w:val="80"/>
          <w:position w:val="1"/>
          <w:sz w:val="20"/>
        </w:rPr>
        <w:t xml:space="preserve">   </w:t>
      </w:r>
      <w:r w:rsidR="00033D0F">
        <w:rPr>
          <w:position w:val="1"/>
        </w:rPr>
        <w:t xml:space="preserve">As Australia set out in its first written submission, the wine market in China was far </w:t>
      </w:r>
      <w:r w:rsidR="00033D0F">
        <w:t>more</w:t>
      </w:r>
      <w:r w:rsidR="00033D0F">
        <w:rPr>
          <w:spacing w:val="5"/>
        </w:rPr>
        <w:t xml:space="preserve"> </w:t>
      </w:r>
      <w:r w:rsidR="00033D0F">
        <w:t>complex</w:t>
      </w:r>
      <w:r w:rsidR="00033D0F">
        <w:rPr>
          <w:spacing w:val="4"/>
        </w:rPr>
        <w:t xml:space="preserve"> </w:t>
      </w:r>
      <w:r w:rsidR="00033D0F">
        <w:t>than</w:t>
      </w:r>
      <w:r w:rsidR="00033D0F">
        <w:rPr>
          <w:spacing w:val="6"/>
        </w:rPr>
        <w:t xml:space="preserve"> </w:t>
      </w:r>
      <w:r w:rsidR="00033D0F">
        <w:t>MOFCOM's</w:t>
      </w:r>
      <w:r w:rsidR="00033D0F">
        <w:rPr>
          <w:spacing w:val="4"/>
        </w:rPr>
        <w:t xml:space="preserve"> </w:t>
      </w:r>
      <w:r w:rsidR="00033D0F">
        <w:t>examination</w:t>
      </w:r>
      <w:r w:rsidR="00033D0F">
        <w:rPr>
          <w:spacing w:val="1"/>
        </w:rPr>
        <w:t xml:space="preserve"> </w:t>
      </w:r>
      <w:r w:rsidR="00033D0F">
        <w:t>revealed.</w:t>
      </w:r>
      <w:r w:rsidR="00033D0F">
        <w:rPr>
          <w:spacing w:val="5"/>
        </w:rPr>
        <w:t xml:space="preserve"> </w:t>
      </w:r>
      <w:r w:rsidR="00033D0F">
        <w:t>MOFCOM</w:t>
      </w:r>
      <w:r w:rsidR="00033D0F">
        <w:rPr>
          <w:spacing w:val="3"/>
        </w:rPr>
        <w:t xml:space="preserve"> </w:t>
      </w:r>
      <w:r w:rsidR="00033D0F">
        <w:t>failed</w:t>
      </w:r>
      <w:r w:rsidR="00033D0F">
        <w:rPr>
          <w:spacing w:val="1"/>
        </w:rPr>
        <w:t xml:space="preserve"> </w:t>
      </w:r>
      <w:r w:rsidR="00033D0F">
        <w:t>to</w:t>
      </w:r>
      <w:r w:rsidR="00033D0F">
        <w:rPr>
          <w:spacing w:val="1"/>
        </w:rPr>
        <w:t xml:space="preserve"> </w:t>
      </w:r>
      <w:r w:rsidR="00033D0F">
        <w:t>account</w:t>
      </w:r>
      <w:r w:rsidR="00033D0F">
        <w:rPr>
          <w:spacing w:val="8"/>
        </w:rPr>
        <w:t xml:space="preserve"> </w:t>
      </w:r>
      <w:r w:rsidR="00033D0F">
        <w:t>for</w:t>
      </w:r>
      <w:r w:rsidR="00033D0F">
        <w:rPr>
          <w:spacing w:val="1"/>
        </w:rPr>
        <w:t xml:space="preserve"> </w:t>
      </w:r>
      <w:r w:rsidR="00033D0F">
        <w:rPr>
          <w:spacing w:val="-2"/>
        </w:rPr>
        <w:t>yearly</w:t>
      </w:r>
    </w:p>
    <w:p w14:paraId="1A16D9D4" w14:textId="77777777" w:rsidR="00BD462C" w:rsidRDefault="00BD462C">
      <w:pPr>
        <w:pStyle w:val="BodyText"/>
        <w:rPr>
          <w:sz w:val="20"/>
        </w:rPr>
      </w:pPr>
    </w:p>
    <w:p w14:paraId="79AF520F" w14:textId="77777777" w:rsidR="00BD462C" w:rsidRDefault="00BD462C">
      <w:pPr>
        <w:pStyle w:val="BodyText"/>
        <w:rPr>
          <w:sz w:val="20"/>
        </w:rPr>
      </w:pPr>
    </w:p>
    <w:p w14:paraId="55EC048E" w14:textId="77777777" w:rsidR="00BD462C" w:rsidRDefault="00BD462C">
      <w:pPr>
        <w:pStyle w:val="BodyText"/>
        <w:rPr>
          <w:sz w:val="20"/>
        </w:rPr>
      </w:pPr>
    </w:p>
    <w:p w14:paraId="5A77A635" w14:textId="77777777" w:rsidR="00BD462C" w:rsidRDefault="00BD462C">
      <w:pPr>
        <w:pStyle w:val="BodyText"/>
        <w:rPr>
          <w:sz w:val="20"/>
        </w:rPr>
      </w:pPr>
    </w:p>
    <w:p w14:paraId="3B302B4D" w14:textId="77777777" w:rsidR="00BD462C" w:rsidRDefault="00BD462C">
      <w:pPr>
        <w:pStyle w:val="BodyText"/>
        <w:rPr>
          <w:sz w:val="20"/>
        </w:rPr>
      </w:pPr>
    </w:p>
    <w:p w14:paraId="41F9FFF7" w14:textId="77777777" w:rsidR="00BD462C" w:rsidRDefault="00BD462C">
      <w:pPr>
        <w:pStyle w:val="BodyText"/>
        <w:rPr>
          <w:sz w:val="20"/>
        </w:rPr>
      </w:pPr>
    </w:p>
    <w:p w14:paraId="2EDD7C26" w14:textId="77777777" w:rsidR="00BD462C" w:rsidRDefault="00BD462C">
      <w:pPr>
        <w:pStyle w:val="BodyText"/>
        <w:rPr>
          <w:sz w:val="20"/>
        </w:rPr>
      </w:pPr>
    </w:p>
    <w:p w14:paraId="01F09A58" w14:textId="77777777" w:rsidR="00BD462C" w:rsidRDefault="00BD462C">
      <w:pPr>
        <w:pStyle w:val="BodyText"/>
        <w:rPr>
          <w:sz w:val="20"/>
        </w:rPr>
      </w:pPr>
    </w:p>
    <w:p w14:paraId="065DE1F6" w14:textId="77777777" w:rsidR="00BD462C" w:rsidRDefault="00BD462C">
      <w:pPr>
        <w:pStyle w:val="BodyText"/>
        <w:rPr>
          <w:sz w:val="20"/>
        </w:rPr>
      </w:pPr>
    </w:p>
    <w:p w14:paraId="5AB2527D" w14:textId="50D87A8D" w:rsidR="00BD462C" w:rsidRDefault="00752F01">
      <w:pPr>
        <w:pStyle w:val="BodyText"/>
        <w:spacing w:before="12"/>
        <w:rPr>
          <w:sz w:val="14"/>
        </w:rPr>
      </w:pPr>
      <w:r>
        <w:rPr>
          <w:noProof/>
        </w:rPr>
        <mc:AlternateContent>
          <mc:Choice Requires="wps">
            <w:drawing>
              <wp:anchor distT="0" distB="0" distL="0" distR="0" simplePos="0" relativeHeight="488266240" behindDoc="1" locked="0" layoutInCell="1" allowOverlap="1" wp14:anchorId="1BE24905" wp14:editId="5317F778">
                <wp:simplePos x="0" y="0"/>
                <wp:positionH relativeFrom="page">
                  <wp:posOffset>812800</wp:posOffset>
                </wp:positionH>
                <wp:positionV relativeFrom="paragraph">
                  <wp:posOffset>118110</wp:posOffset>
                </wp:positionV>
                <wp:extent cx="1828800" cy="8890"/>
                <wp:effectExtent l="0" t="0" r="0" b="0"/>
                <wp:wrapTopAndBottom/>
                <wp:docPr id="245" name="docshape6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C1E759" id="docshape664" o:spid="_x0000_s1026" alt="&quot;&quot;" style="position:absolute;margin-left:64pt;margin-top:9.3pt;width:2in;height:.7pt;z-index:-15050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" fillcolor="black" stroked="f">
                <w10:wrap type="topAndBottom" anchorx="page"/>
              </v:rect>
            </w:pict>
          </mc:Fallback>
        </mc:AlternateContent>
      </w:r>
    </w:p>
    <w:p w14:paraId="0613781F" w14:textId="77777777" w:rsidR="00BD462C" w:rsidRDefault="00033D0F">
      <w:pPr>
        <w:spacing w:before="112"/>
        <w:ind w:left="135"/>
        <w:rPr>
          <w:sz w:val="18"/>
        </w:rPr>
      </w:pPr>
      <w:bookmarkStart w:id="1002" w:name="_bookmark862"/>
      <w:bookmarkEnd w:id="1002"/>
      <w:r>
        <w:rPr>
          <w:position w:val="5"/>
          <w:sz w:val="12"/>
        </w:rPr>
        <w:t>732</w:t>
      </w:r>
      <w:r>
        <w:rPr>
          <w:spacing w:val="12"/>
          <w:position w:val="5"/>
          <w:sz w:val="12"/>
        </w:rPr>
        <w:t xml:space="preserve"> </w:t>
      </w:r>
      <w:r>
        <w:rPr>
          <w:sz w:val="18"/>
        </w:rPr>
        <w:t>Australia's</w:t>
      </w:r>
      <w:r>
        <w:rPr>
          <w:spacing w:val="-7"/>
          <w:sz w:val="18"/>
        </w:rPr>
        <w:t xml:space="preserve"> </w:t>
      </w:r>
      <w:r>
        <w:rPr>
          <w:sz w:val="18"/>
        </w:rPr>
        <w:t>first</w:t>
      </w:r>
      <w:r>
        <w:rPr>
          <w:spacing w:val="-5"/>
          <w:sz w:val="18"/>
        </w:rPr>
        <w:t xml:space="preserve"> </w:t>
      </w:r>
      <w:r>
        <w:rPr>
          <w:sz w:val="18"/>
        </w:rPr>
        <w:t>written</w:t>
      </w:r>
      <w:r>
        <w:rPr>
          <w:spacing w:val="-3"/>
          <w:sz w:val="18"/>
        </w:rPr>
        <w:t xml:space="preserve"> </w:t>
      </w:r>
      <w:r>
        <w:rPr>
          <w:sz w:val="18"/>
        </w:rPr>
        <w:t>submission, paras.</w:t>
      </w:r>
      <w:r>
        <w:rPr>
          <w:spacing w:val="-5"/>
          <w:sz w:val="18"/>
        </w:rPr>
        <w:t xml:space="preserve"> </w:t>
      </w:r>
      <w:r>
        <w:rPr>
          <w:sz w:val="18"/>
        </w:rPr>
        <w:t>696-</w:t>
      </w:r>
      <w:r>
        <w:rPr>
          <w:spacing w:val="-4"/>
          <w:sz w:val="18"/>
        </w:rPr>
        <w:t>704.</w:t>
      </w:r>
    </w:p>
    <w:p w14:paraId="33F3E4FA" w14:textId="77777777" w:rsidR="00BD462C" w:rsidRDefault="00033D0F">
      <w:pPr>
        <w:spacing w:before="1"/>
        <w:ind w:left="135"/>
        <w:rPr>
          <w:sz w:val="18"/>
        </w:rPr>
      </w:pPr>
      <w:bookmarkStart w:id="1003" w:name="_bookmark863"/>
      <w:bookmarkEnd w:id="1003"/>
      <w:proofErr w:type="gramStart"/>
      <w:r>
        <w:rPr>
          <w:position w:val="5"/>
          <w:sz w:val="12"/>
        </w:rPr>
        <w:t>733</w:t>
      </w:r>
      <w:r>
        <w:rPr>
          <w:spacing w:val="45"/>
          <w:position w:val="5"/>
          <w:sz w:val="12"/>
        </w:rPr>
        <w:t xml:space="preserve">  </w:t>
      </w:r>
      <w:r>
        <w:rPr>
          <w:sz w:val="18"/>
        </w:rPr>
        <w:t>China's</w:t>
      </w:r>
      <w:proofErr w:type="gramEnd"/>
      <w:r>
        <w:rPr>
          <w:spacing w:val="32"/>
          <w:sz w:val="18"/>
        </w:rPr>
        <w:t xml:space="preserve">  </w:t>
      </w:r>
      <w:r>
        <w:rPr>
          <w:sz w:val="18"/>
        </w:rPr>
        <w:t>first</w:t>
      </w:r>
      <w:r>
        <w:rPr>
          <w:spacing w:val="32"/>
          <w:sz w:val="18"/>
        </w:rPr>
        <w:t xml:space="preserve">  </w:t>
      </w:r>
      <w:r>
        <w:rPr>
          <w:sz w:val="18"/>
        </w:rPr>
        <w:t>written</w:t>
      </w:r>
      <w:r>
        <w:rPr>
          <w:spacing w:val="31"/>
          <w:sz w:val="18"/>
        </w:rPr>
        <w:t xml:space="preserve">  </w:t>
      </w:r>
      <w:r>
        <w:rPr>
          <w:sz w:val="18"/>
        </w:rPr>
        <w:t>submission,</w:t>
      </w:r>
      <w:r>
        <w:rPr>
          <w:spacing w:val="35"/>
          <w:sz w:val="18"/>
        </w:rPr>
        <w:t xml:space="preserve">  </w:t>
      </w:r>
      <w:r>
        <w:rPr>
          <w:sz w:val="18"/>
        </w:rPr>
        <w:t>paras.</w:t>
      </w:r>
      <w:r>
        <w:rPr>
          <w:spacing w:val="32"/>
          <w:sz w:val="18"/>
        </w:rPr>
        <w:t xml:space="preserve">  </w:t>
      </w:r>
      <w:proofErr w:type="gramStart"/>
      <w:r>
        <w:rPr>
          <w:sz w:val="18"/>
        </w:rPr>
        <w:t>1330,</w:t>
      </w:r>
      <w:r>
        <w:rPr>
          <w:spacing w:val="33"/>
          <w:sz w:val="18"/>
        </w:rPr>
        <w:t xml:space="preserve">  </w:t>
      </w:r>
      <w:r>
        <w:rPr>
          <w:sz w:val="18"/>
        </w:rPr>
        <w:t>1343</w:t>
      </w:r>
      <w:proofErr w:type="gramEnd"/>
      <w:r>
        <w:rPr>
          <w:sz w:val="18"/>
        </w:rPr>
        <w:t>,</w:t>
      </w:r>
      <w:r>
        <w:rPr>
          <w:spacing w:val="33"/>
          <w:sz w:val="18"/>
        </w:rPr>
        <w:t xml:space="preserve">  </w:t>
      </w:r>
      <w:r>
        <w:rPr>
          <w:sz w:val="18"/>
        </w:rPr>
        <w:t>1419,</w:t>
      </w:r>
      <w:r>
        <w:rPr>
          <w:spacing w:val="35"/>
          <w:sz w:val="18"/>
        </w:rPr>
        <w:t xml:space="preserve">  </w:t>
      </w:r>
      <w:r>
        <w:rPr>
          <w:sz w:val="18"/>
        </w:rPr>
        <w:t>1747,</w:t>
      </w:r>
      <w:r>
        <w:rPr>
          <w:spacing w:val="34"/>
          <w:sz w:val="18"/>
        </w:rPr>
        <w:t xml:space="preserve">  </w:t>
      </w:r>
      <w:r>
        <w:rPr>
          <w:sz w:val="18"/>
        </w:rPr>
        <w:t>1833,</w:t>
      </w:r>
      <w:r>
        <w:rPr>
          <w:spacing w:val="35"/>
          <w:sz w:val="18"/>
        </w:rPr>
        <w:t xml:space="preserve">  </w:t>
      </w:r>
      <w:r>
        <w:rPr>
          <w:sz w:val="18"/>
        </w:rPr>
        <w:t>and</w:t>
      </w:r>
      <w:r>
        <w:rPr>
          <w:spacing w:val="34"/>
          <w:sz w:val="18"/>
        </w:rPr>
        <w:t xml:space="preserve">  </w:t>
      </w:r>
      <w:r>
        <w:rPr>
          <w:sz w:val="18"/>
        </w:rPr>
        <w:t>1856;</w:t>
      </w:r>
      <w:r>
        <w:rPr>
          <w:spacing w:val="32"/>
          <w:sz w:val="18"/>
        </w:rPr>
        <w:t xml:space="preserve">  </w:t>
      </w:r>
      <w:r>
        <w:rPr>
          <w:sz w:val="18"/>
        </w:rPr>
        <w:t>Anti-Dumping</w:t>
      </w:r>
      <w:r>
        <w:rPr>
          <w:spacing w:val="34"/>
          <w:sz w:val="18"/>
        </w:rPr>
        <w:t xml:space="preserve">  </w:t>
      </w:r>
      <w:r>
        <w:rPr>
          <w:spacing w:val="-2"/>
          <w:sz w:val="18"/>
        </w:rPr>
        <w:t>Final</w:t>
      </w:r>
    </w:p>
    <w:p w14:paraId="2EA408A3" w14:textId="77777777" w:rsidR="00BD462C" w:rsidRDefault="00033D0F">
      <w:pPr>
        <w:spacing w:before="1"/>
        <w:ind w:left="136"/>
        <w:rPr>
          <w:sz w:val="18"/>
        </w:rPr>
      </w:pPr>
      <w:r>
        <w:rPr>
          <w:sz w:val="18"/>
        </w:rPr>
        <w:t>Determination</w:t>
      </w:r>
      <w:r>
        <w:rPr>
          <w:spacing w:val="-8"/>
          <w:sz w:val="18"/>
        </w:rPr>
        <w:t xml:space="preserve"> </w:t>
      </w:r>
      <w:r>
        <w:rPr>
          <w:sz w:val="18"/>
        </w:rPr>
        <w:t>(Exhibit</w:t>
      </w:r>
      <w:r>
        <w:rPr>
          <w:spacing w:val="-3"/>
          <w:sz w:val="18"/>
        </w:rPr>
        <w:t xml:space="preserve"> </w:t>
      </w:r>
      <w:r>
        <w:rPr>
          <w:sz w:val="18"/>
        </w:rPr>
        <w:t>AUS-2),</w:t>
      </w:r>
      <w:r>
        <w:rPr>
          <w:spacing w:val="-5"/>
          <w:sz w:val="18"/>
        </w:rPr>
        <w:t xml:space="preserve"> </w:t>
      </w:r>
      <w:r>
        <w:rPr>
          <w:sz w:val="18"/>
        </w:rPr>
        <w:t>pp.</w:t>
      </w:r>
      <w:r>
        <w:rPr>
          <w:spacing w:val="-2"/>
          <w:sz w:val="18"/>
        </w:rPr>
        <w:t xml:space="preserve"> </w:t>
      </w:r>
      <w:r>
        <w:rPr>
          <w:sz w:val="18"/>
        </w:rPr>
        <w:t>106,</w:t>
      </w:r>
      <w:r>
        <w:rPr>
          <w:spacing w:val="-1"/>
          <w:sz w:val="18"/>
        </w:rPr>
        <w:t xml:space="preserve"> </w:t>
      </w:r>
      <w:r>
        <w:rPr>
          <w:sz w:val="18"/>
        </w:rPr>
        <w:t>118, and</w:t>
      </w:r>
      <w:r>
        <w:rPr>
          <w:spacing w:val="-8"/>
          <w:sz w:val="18"/>
        </w:rPr>
        <w:t xml:space="preserve"> </w:t>
      </w:r>
      <w:r>
        <w:rPr>
          <w:spacing w:val="-4"/>
          <w:sz w:val="18"/>
        </w:rPr>
        <w:t>120.</w:t>
      </w:r>
    </w:p>
    <w:p w14:paraId="65EC296F" w14:textId="77777777" w:rsidR="00BD462C" w:rsidRDefault="00033D0F">
      <w:pPr>
        <w:spacing w:before="1"/>
        <w:ind w:left="135"/>
        <w:rPr>
          <w:sz w:val="18"/>
        </w:rPr>
      </w:pPr>
      <w:bookmarkStart w:id="1004" w:name="_bookmark864"/>
      <w:bookmarkEnd w:id="1004"/>
      <w:r>
        <w:rPr>
          <w:position w:val="5"/>
          <w:sz w:val="12"/>
        </w:rPr>
        <w:t>734</w:t>
      </w:r>
      <w:r>
        <w:rPr>
          <w:spacing w:val="15"/>
          <w:position w:val="5"/>
          <w:sz w:val="12"/>
        </w:rPr>
        <w:t xml:space="preserve"> </w:t>
      </w:r>
      <w:r>
        <w:rPr>
          <w:sz w:val="18"/>
        </w:rPr>
        <w:t>Panel</w:t>
      </w:r>
      <w:r>
        <w:rPr>
          <w:spacing w:val="-1"/>
          <w:sz w:val="18"/>
        </w:rPr>
        <w:t xml:space="preserve"> </w:t>
      </w:r>
      <w:r>
        <w:rPr>
          <w:sz w:val="18"/>
        </w:rPr>
        <w:t>Report,</w:t>
      </w:r>
      <w:r>
        <w:rPr>
          <w:spacing w:val="-1"/>
          <w:sz w:val="18"/>
        </w:rPr>
        <w:t xml:space="preserve"> </w:t>
      </w:r>
      <w:r>
        <w:rPr>
          <w:i/>
          <w:sz w:val="18"/>
        </w:rPr>
        <w:t>China</w:t>
      </w:r>
      <w:r>
        <w:rPr>
          <w:i/>
          <w:spacing w:val="-2"/>
          <w:sz w:val="18"/>
        </w:rPr>
        <w:t xml:space="preserve"> </w:t>
      </w:r>
      <w:r>
        <w:rPr>
          <w:i/>
          <w:sz w:val="18"/>
        </w:rPr>
        <w:t>-</w:t>
      </w:r>
      <w:r>
        <w:rPr>
          <w:i/>
          <w:spacing w:val="-2"/>
          <w:sz w:val="18"/>
        </w:rPr>
        <w:t xml:space="preserve"> </w:t>
      </w:r>
      <w:r>
        <w:rPr>
          <w:i/>
          <w:sz w:val="18"/>
        </w:rPr>
        <w:t>GOES</w:t>
      </w:r>
      <w:r>
        <w:rPr>
          <w:i/>
          <w:spacing w:val="-5"/>
          <w:sz w:val="18"/>
        </w:rPr>
        <w:t xml:space="preserve"> </w:t>
      </w:r>
      <w:r>
        <w:rPr>
          <w:i/>
          <w:sz w:val="18"/>
        </w:rPr>
        <w:t>(Article</w:t>
      </w:r>
      <w:r>
        <w:rPr>
          <w:i/>
          <w:spacing w:val="-5"/>
          <w:sz w:val="18"/>
        </w:rPr>
        <w:t xml:space="preserve"> </w:t>
      </w:r>
      <w:r>
        <w:rPr>
          <w:i/>
          <w:sz w:val="18"/>
        </w:rPr>
        <w:t>21.5</w:t>
      </w:r>
      <w:r>
        <w:rPr>
          <w:i/>
          <w:spacing w:val="-5"/>
          <w:sz w:val="18"/>
        </w:rPr>
        <w:t xml:space="preserve"> </w:t>
      </w:r>
      <w:r>
        <w:rPr>
          <w:i/>
          <w:sz w:val="18"/>
        </w:rPr>
        <w:t>-</w:t>
      </w:r>
      <w:r>
        <w:rPr>
          <w:i/>
          <w:spacing w:val="-2"/>
          <w:sz w:val="18"/>
        </w:rPr>
        <w:t xml:space="preserve"> </w:t>
      </w:r>
      <w:r>
        <w:rPr>
          <w:i/>
          <w:sz w:val="18"/>
        </w:rPr>
        <w:t>US)</w:t>
      </w:r>
      <w:r>
        <w:rPr>
          <w:sz w:val="18"/>
        </w:rPr>
        <w:t>,</w:t>
      </w:r>
      <w:r>
        <w:rPr>
          <w:spacing w:val="-1"/>
          <w:sz w:val="18"/>
        </w:rPr>
        <w:t xml:space="preserve"> </w:t>
      </w:r>
      <w:r>
        <w:rPr>
          <w:sz w:val="18"/>
        </w:rPr>
        <w:t>para.</w:t>
      </w:r>
      <w:r>
        <w:rPr>
          <w:spacing w:val="-2"/>
          <w:sz w:val="18"/>
        </w:rPr>
        <w:t xml:space="preserve"> 7.54.</w:t>
      </w:r>
    </w:p>
    <w:p w14:paraId="2FFE6775" w14:textId="77777777" w:rsidR="00BD462C" w:rsidRDefault="00BD462C">
      <w:pPr>
        <w:rPr>
          <w:sz w:val="18"/>
        </w:rPr>
        <w:sectPr w:rsidR="00BD462C">
          <w:pgSz w:w="11910" w:h="16840"/>
          <w:pgMar w:top="860" w:right="500" w:bottom="780" w:left="1280" w:header="566" w:footer="590" w:gutter="0"/>
          <w:cols w:space="720"/>
        </w:sectPr>
      </w:pPr>
    </w:p>
    <w:p w14:paraId="4DD3CF11"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51BB97AA"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24B64274"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7F2032FB" w14:textId="77777777" w:rsidR="00BD462C" w:rsidRDefault="00033D0F">
      <w:pPr>
        <w:pStyle w:val="BodyText"/>
        <w:spacing w:before="102" w:line="357" w:lineRule="auto"/>
        <w:ind w:left="135" w:right="923"/>
      </w:pPr>
      <w:r>
        <w:t>price fluctuations in the context of its price suppression finding. China's submissions do not establish that MOFCOM examined this issue.</w:t>
      </w:r>
      <w:hyperlink w:anchor="_bookmark866" w:history="1">
        <w:r>
          <w:rPr>
            <w:vertAlign w:val="superscript"/>
          </w:rPr>
          <w:t>735</w:t>
        </w:r>
      </w:hyperlink>
    </w:p>
    <w:p w14:paraId="1150B508" w14:textId="77777777" w:rsidR="00BD462C" w:rsidRDefault="00BD462C">
      <w:pPr>
        <w:pStyle w:val="BodyText"/>
        <w:spacing w:before="3"/>
        <w:rPr>
          <w:sz w:val="9"/>
        </w:rPr>
      </w:pPr>
    </w:p>
    <w:p w14:paraId="603DB278" w14:textId="291D9094" w:rsidR="00BD462C" w:rsidRDefault="001250D0">
      <w:pPr>
        <w:pStyle w:val="BodyText"/>
        <w:spacing w:before="56" w:line="357" w:lineRule="auto"/>
        <w:ind w:left="135" w:right="910"/>
      </w:pPr>
      <w:r>
        <w:rPr>
          <w:noProof/>
        </w:rPr>
        <w:t>502.</w:t>
      </w:r>
      <w:r w:rsidR="00033D0F">
        <w:rPr>
          <w:rFonts w:ascii="Times New Roman"/>
          <w:spacing w:val="80"/>
          <w:w w:val="150"/>
          <w:position w:val="1"/>
          <w:sz w:val="20"/>
        </w:rPr>
        <w:t xml:space="preserve">  </w:t>
      </w:r>
      <w:r w:rsidR="00033D0F">
        <w:rPr>
          <w:position w:val="1"/>
        </w:rPr>
        <w:t>For</w:t>
      </w:r>
      <w:r w:rsidR="00033D0F">
        <w:rPr>
          <w:spacing w:val="-1"/>
          <w:position w:val="1"/>
        </w:rPr>
        <w:t xml:space="preserve"> </w:t>
      </w:r>
      <w:r w:rsidR="00033D0F">
        <w:rPr>
          <w:position w:val="1"/>
        </w:rPr>
        <w:t>example, evidence concerning the volume and</w:t>
      </w:r>
      <w:r w:rsidR="00033D0F">
        <w:rPr>
          <w:spacing w:val="-1"/>
          <w:position w:val="1"/>
        </w:rPr>
        <w:t xml:space="preserve"> </w:t>
      </w:r>
      <w:r w:rsidR="00033D0F">
        <w:rPr>
          <w:position w:val="1"/>
        </w:rPr>
        <w:t xml:space="preserve">price changes occurring between </w:t>
      </w:r>
      <w:r w:rsidR="00033D0F">
        <w:t>2018 and 2019 showed that:</w:t>
      </w:r>
    </w:p>
    <w:p w14:paraId="39F49922" w14:textId="77777777" w:rsidR="00BD462C" w:rsidRDefault="00033D0F">
      <w:pPr>
        <w:pStyle w:val="ListParagraph"/>
        <w:numPr>
          <w:ilvl w:val="0"/>
          <w:numId w:val="49"/>
        </w:numPr>
        <w:tabs>
          <w:tab w:val="left" w:pos="1835"/>
          <w:tab w:val="left" w:pos="1836"/>
        </w:tabs>
        <w:spacing w:before="156" w:line="360" w:lineRule="auto"/>
        <w:ind w:right="918" w:hanging="855"/>
        <w:rPr>
          <w:sz w:val="24"/>
        </w:rPr>
      </w:pPr>
      <w:r>
        <w:rPr>
          <w:sz w:val="24"/>
        </w:rPr>
        <w:t>apparent</w:t>
      </w:r>
      <w:r>
        <w:rPr>
          <w:spacing w:val="80"/>
          <w:w w:val="150"/>
          <w:sz w:val="24"/>
        </w:rPr>
        <w:t xml:space="preserve"> </w:t>
      </w:r>
      <w:r>
        <w:rPr>
          <w:sz w:val="24"/>
        </w:rPr>
        <w:t>consumption</w:t>
      </w:r>
      <w:r>
        <w:rPr>
          <w:spacing w:val="80"/>
          <w:w w:val="150"/>
          <w:sz w:val="24"/>
        </w:rPr>
        <w:t xml:space="preserve"> </w:t>
      </w:r>
      <w:r>
        <w:rPr>
          <w:sz w:val="24"/>
        </w:rPr>
        <w:t>experienced</w:t>
      </w:r>
      <w:r>
        <w:rPr>
          <w:spacing w:val="80"/>
          <w:w w:val="150"/>
          <w:sz w:val="24"/>
        </w:rPr>
        <w:t xml:space="preserve"> </w:t>
      </w:r>
      <w:r>
        <w:rPr>
          <w:sz w:val="24"/>
        </w:rPr>
        <w:t>its</w:t>
      </w:r>
      <w:r>
        <w:rPr>
          <w:spacing w:val="80"/>
          <w:w w:val="150"/>
          <w:sz w:val="24"/>
        </w:rPr>
        <w:t xml:space="preserve"> </w:t>
      </w:r>
      <w:r>
        <w:rPr>
          <w:sz w:val="24"/>
        </w:rPr>
        <w:t>most</w:t>
      </w:r>
      <w:r>
        <w:rPr>
          <w:spacing w:val="80"/>
          <w:w w:val="150"/>
          <w:sz w:val="24"/>
        </w:rPr>
        <w:t xml:space="preserve"> </w:t>
      </w:r>
      <w:r>
        <w:rPr>
          <w:sz w:val="24"/>
        </w:rPr>
        <w:t>significant</w:t>
      </w:r>
      <w:r>
        <w:rPr>
          <w:spacing w:val="80"/>
          <w:w w:val="150"/>
          <w:sz w:val="24"/>
        </w:rPr>
        <w:t xml:space="preserve"> </w:t>
      </w:r>
      <w:r>
        <w:rPr>
          <w:sz w:val="24"/>
        </w:rPr>
        <w:t>decline</w:t>
      </w:r>
      <w:r>
        <w:rPr>
          <w:spacing w:val="80"/>
          <w:w w:val="150"/>
          <w:sz w:val="24"/>
        </w:rPr>
        <w:t xml:space="preserve"> </w:t>
      </w:r>
      <w:r>
        <w:rPr>
          <w:sz w:val="24"/>
        </w:rPr>
        <w:t>of</w:t>
      </w:r>
      <w:r>
        <w:rPr>
          <w:spacing w:val="40"/>
          <w:sz w:val="24"/>
        </w:rPr>
        <w:t xml:space="preserve"> </w:t>
      </w:r>
      <w:r>
        <w:rPr>
          <w:sz w:val="24"/>
        </w:rPr>
        <w:t xml:space="preserve">112,700 </w:t>
      </w:r>
      <w:proofErr w:type="spellStart"/>
      <w:proofErr w:type="gramStart"/>
      <w:r>
        <w:rPr>
          <w:sz w:val="24"/>
        </w:rPr>
        <w:t>kilolitres</w:t>
      </w:r>
      <w:proofErr w:type="spellEnd"/>
      <w:r>
        <w:rPr>
          <w:sz w:val="24"/>
        </w:rPr>
        <w:t>;</w:t>
      </w:r>
      <w:proofErr w:type="gramEnd"/>
    </w:p>
    <w:p w14:paraId="77A38AA2" w14:textId="77777777" w:rsidR="00BD462C" w:rsidRDefault="00033D0F">
      <w:pPr>
        <w:pStyle w:val="ListParagraph"/>
        <w:numPr>
          <w:ilvl w:val="0"/>
          <w:numId w:val="49"/>
        </w:numPr>
        <w:tabs>
          <w:tab w:val="left" w:pos="1835"/>
          <w:tab w:val="left" w:pos="1836"/>
        </w:tabs>
        <w:spacing w:line="357" w:lineRule="auto"/>
        <w:ind w:right="916" w:hanging="855"/>
        <w:rPr>
          <w:sz w:val="24"/>
        </w:rPr>
      </w:pPr>
      <w:r>
        <w:rPr>
          <w:sz w:val="24"/>
        </w:rPr>
        <w:t xml:space="preserve">sales volumes for domestic like products experienced their most significant decline of 34,700 </w:t>
      </w:r>
      <w:proofErr w:type="spellStart"/>
      <w:r>
        <w:rPr>
          <w:sz w:val="24"/>
        </w:rPr>
        <w:t>kilolitres</w:t>
      </w:r>
      <w:proofErr w:type="spellEnd"/>
      <w:r>
        <w:rPr>
          <w:sz w:val="24"/>
        </w:rPr>
        <w:t xml:space="preserve">, while their prices increased by </w:t>
      </w:r>
      <w:proofErr w:type="gramStart"/>
      <w:r>
        <w:rPr>
          <w:sz w:val="24"/>
        </w:rPr>
        <w:t>7.41%;</w:t>
      </w:r>
      <w:proofErr w:type="gramEnd"/>
      <w:r>
        <w:rPr>
          <w:sz w:val="24"/>
        </w:rPr>
        <w:t xml:space="preserve"> and</w:t>
      </w:r>
    </w:p>
    <w:p w14:paraId="580A6E86" w14:textId="77777777" w:rsidR="00BD462C" w:rsidRDefault="00033D0F">
      <w:pPr>
        <w:pStyle w:val="ListParagraph"/>
        <w:numPr>
          <w:ilvl w:val="0"/>
          <w:numId w:val="49"/>
        </w:numPr>
        <w:tabs>
          <w:tab w:val="left" w:pos="1835"/>
          <w:tab w:val="left" w:pos="1836"/>
        </w:tabs>
        <w:spacing w:before="127" w:line="357" w:lineRule="auto"/>
        <w:ind w:right="918" w:hanging="855"/>
        <w:rPr>
          <w:sz w:val="24"/>
        </w:rPr>
      </w:pPr>
      <w:r>
        <w:rPr>
          <w:sz w:val="24"/>
        </w:rPr>
        <w:t>conversely,</w:t>
      </w:r>
      <w:r>
        <w:rPr>
          <w:spacing w:val="-2"/>
          <w:sz w:val="24"/>
        </w:rPr>
        <w:t xml:space="preserve"> </w:t>
      </w:r>
      <w:r>
        <w:rPr>
          <w:sz w:val="24"/>
        </w:rPr>
        <w:t>Australian</w:t>
      </w:r>
      <w:r>
        <w:rPr>
          <w:spacing w:val="-1"/>
          <w:sz w:val="24"/>
        </w:rPr>
        <w:t xml:space="preserve"> </w:t>
      </w:r>
      <w:r>
        <w:rPr>
          <w:sz w:val="24"/>
        </w:rPr>
        <w:t>import volumes</w:t>
      </w:r>
      <w:r>
        <w:rPr>
          <w:spacing w:val="-3"/>
          <w:sz w:val="24"/>
        </w:rPr>
        <w:t xml:space="preserve"> </w:t>
      </w:r>
      <w:r>
        <w:rPr>
          <w:sz w:val="24"/>
        </w:rPr>
        <w:t>increased</w:t>
      </w:r>
      <w:r>
        <w:rPr>
          <w:spacing w:val="-6"/>
          <w:sz w:val="24"/>
        </w:rPr>
        <w:t xml:space="preserve"> </w:t>
      </w:r>
      <w:r>
        <w:rPr>
          <w:sz w:val="24"/>
        </w:rPr>
        <w:t>by just 3,000</w:t>
      </w:r>
      <w:r>
        <w:rPr>
          <w:spacing w:val="-2"/>
          <w:sz w:val="24"/>
        </w:rPr>
        <w:t xml:space="preserve"> </w:t>
      </w:r>
      <w:proofErr w:type="spellStart"/>
      <w:r>
        <w:rPr>
          <w:sz w:val="24"/>
        </w:rPr>
        <w:t>kilolitres</w:t>
      </w:r>
      <w:proofErr w:type="spellEnd"/>
      <w:r>
        <w:rPr>
          <w:sz w:val="24"/>
        </w:rPr>
        <w:t xml:space="preserve"> and prices increased by 11.48%.</w:t>
      </w:r>
    </w:p>
    <w:p w14:paraId="233EE652" w14:textId="7916E86A" w:rsidR="00BD462C" w:rsidRDefault="001250D0">
      <w:pPr>
        <w:pStyle w:val="BodyText"/>
        <w:spacing w:before="134" w:line="357" w:lineRule="auto"/>
        <w:ind w:left="136" w:right="919"/>
        <w:jc w:val="both"/>
      </w:pPr>
      <w:r>
        <w:rPr>
          <w:noProof/>
        </w:rPr>
        <w:t>503.</w:t>
      </w:r>
      <w:r w:rsidR="00033D0F">
        <w:rPr>
          <w:rFonts w:ascii="Times New Roman"/>
          <w:spacing w:val="40"/>
          <w:position w:val="1"/>
          <w:sz w:val="20"/>
        </w:rPr>
        <w:t xml:space="preserve">  </w:t>
      </w:r>
      <w:r w:rsidR="00033D0F">
        <w:rPr>
          <w:position w:val="1"/>
        </w:rPr>
        <w:t xml:space="preserve">Assuming, as MOFCOM does, that Australian volumes were responsible for the </w:t>
      </w:r>
      <w:r w:rsidR="00033D0F">
        <w:t>declines</w:t>
      </w:r>
      <w:r w:rsidR="00033D0F">
        <w:rPr>
          <w:spacing w:val="-12"/>
        </w:rPr>
        <w:t xml:space="preserve"> </w:t>
      </w:r>
      <w:r w:rsidR="00033D0F">
        <w:t>in</w:t>
      </w:r>
      <w:r w:rsidR="00033D0F">
        <w:rPr>
          <w:spacing w:val="-11"/>
        </w:rPr>
        <w:t xml:space="preserve"> </w:t>
      </w:r>
      <w:r w:rsidR="00033D0F">
        <w:t>domestic</w:t>
      </w:r>
      <w:r w:rsidR="00033D0F">
        <w:rPr>
          <w:spacing w:val="-14"/>
        </w:rPr>
        <w:t xml:space="preserve"> </w:t>
      </w:r>
      <w:r w:rsidR="00033D0F">
        <w:t>sales</w:t>
      </w:r>
      <w:r w:rsidR="00033D0F">
        <w:rPr>
          <w:spacing w:val="-8"/>
        </w:rPr>
        <w:t xml:space="preserve"> </w:t>
      </w:r>
      <w:r w:rsidR="00033D0F">
        <w:t>volumes,</w:t>
      </w:r>
      <w:r w:rsidR="00033D0F">
        <w:rPr>
          <w:spacing w:val="-12"/>
        </w:rPr>
        <w:t xml:space="preserve"> </w:t>
      </w:r>
      <w:r w:rsidR="00033D0F">
        <w:t>MOFCOM's</w:t>
      </w:r>
      <w:r w:rsidR="00033D0F">
        <w:rPr>
          <w:spacing w:val="-8"/>
        </w:rPr>
        <w:t xml:space="preserve"> </w:t>
      </w:r>
      <w:r w:rsidR="00033D0F">
        <w:t>analysis</w:t>
      </w:r>
      <w:r w:rsidR="00033D0F">
        <w:rPr>
          <w:spacing w:val="-8"/>
        </w:rPr>
        <w:t xml:space="preserve"> </w:t>
      </w:r>
      <w:r w:rsidR="00033D0F">
        <w:t>does</w:t>
      </w:r>
      <w:r w:rsidR="00033D0F">
        <w:rPr>
          <w:spacing w:val="-12"/>
        </w:rPr>
        <w:t xml:space="preserve"> </w:t>
      </w:r>
      <w:r w:rsidR="00033D0F">
        <w:t>not</w:t>
      </w:r>
      <w:r w:rsidR="00033D0F">
        <w:rPr>
          <w:spacing w:val="-9"/>
        </w:rPr>
        <w:t xml:space="preserve"> </w:t>
      </w:r>
      <w:r w:rsidR="00033D0F">
        <w:t>include</w:t>
      </w:r>
      <w:r w:rsidR="00033D0F">
        <w:rPr>
          <w:spacing w:val="-9"/>
        </w:rPr>
        <w:t xml:space="preserve"> </w:t>
      </w:r>
      <w:r w:rsidR="00033D0F">
        <w:t>any</w:t>
      </w:r>
      <w:r w:rsidR="00033D0F">
        <w:rPr>
          <w:spacing w:val="-8"/>
        </w:rPr>
        <w:t xml:space="preserve"> </w:t>
      </w:r>
      <w:r w:rsidR="00033D0F">
        <w:t>consideration</w:t>
      </w:r>
      <w:r w:rsidR="00033D0F">
        <w:rPr>
          <w:spacing w:val="-11"/>
        </w:rPr>
        <w:t xml:space="preserve"> </w:t>
      </w:r>
      <w:r w:rsidR="00033D0F">
        <w:t>of what</w:t>
      </w:r>
      <w:r w:rsidR="00033D0F">
        <w:rPr>
          <w:spacing w:val="-2"/>
        </w:rPr>
        <w:t xml:space="preserve"> </w:t>
      </w:r>
      <w:r w:rsidR="00033D0F">
        <w:t>caused</w:t>
      </w:r>
      <w:r w:rsidR="00033D0F">
        <w:rPr>
          <w:spacing w:val="-4"/>
        </w:rPr>
        <w:t xml:space="preserve"> </w:t>
      </w:r>
      <w:r w:rsidR="00033D0F">
        <w:t>the</w:t>
      </w:r>
      <w:r w:rsidR="00033D0F">
        <w:rPr>
          <w:spacing w:val="-3"/>
        </w:rPr>
        <w:t xml:space="preserve"> </w:t>
      </w:r>
      <w:r w:rsidR="00033D0F">
        <w:t xml:space="preserve">additional 31,700 </w:t>
      </w:r>
      <w:proofErr w:type="spellStart"/>
      <w:r w:rsidR="00033D0F">
        <w:t>kilolitre</w:t>
      </w:r>
      <w:proofErr w:type="spellEnd"/>
      <w:r w:rsidR="00033D0F">
        <w:rPr>
          <w:spacing w:val="-2"/>
        </w:rPr>
        <w:t xml:space="preserve"> </w:t>
      </w:r>
      <w:r w:rsidR="00033D0F">
        <w:t>decline</w:t>
      </w:r>
      <w:r w:rsidR="00033D0F">
        <w:rPr>
          <w:spacing w:val="-2"/>
        </w:rPr>
        <w:t xml:space="preserve"> </w:t>
      </w:r>
      <w:r w:rsidR="00033D0F">
        <w:t>in</w:t>
      </w:r>
      <w:r w:rsidR="00033D0F">
        <w:rPr>
          <w:spacing w:val="-4"/>
        </w:rPr>
        <w:t xml:space="preserve"> </w:t>
      </w:r>
      <w:r w:rsidR="00033D0F">
        <w:t>sales</w:t>
      </w:r>
      <w:r w:rsidR="00033D0F">
        <w:rPr>
          <w:spacing w:val="-1"/>
        </w:rPr>
        <w:t xml:space="preserve"> </w:t>
      </w:r>
      <w:r w:rsidR="00033D0F">
        <w:t>volumes</w:t>
      </w:r>
      <w:r w:rsidR="00033D0F">
        <w:rPr>
          <w:spacing w:val="-1"/>
        </w:rPr>
        <w:t xml:space="preserve"> </w:t>
      </w:r>
      <w:r w:rsidR="00033D0F">
        <w:t>experienced</w:t>
      </w:r>
      <w:r w:rsidR="00033D0F">
        <w:rPr>
          <w:spacing w:val="-4"/>
        </w:rPr>
        <w:t xml:space="preserve"> </w:t>
      </w:r>
      <w:r w:rsidR="00033D0F">
        <w:t>by</w:t>
      </w:r>
      <w:r w:rsidR="00033D0F">
        <w:rPr>
          <w:spacing w:val="-1"/>
        </w:rPr>
        <w:t xml:space="preserve"> </w:t>
      </w:r>
      <w:r w:rsidR="00033D0F">
        <w:t>domestic like products in 2019.</w:t>
      </w:r>
    </w:p>
    <w:p w14:paraId="3F1690E3" w14:textId="77777777" w:rsidR="00BD462C" w:rsidRDefault="00033D0F">
      <w:pPr>
        <w:pStyle w:val="Heading3"/>
        <w:numPr>
          <w:ilvl w:val="0"/>
          <w:numId w:val="40"/>
        </w:numPr>
        <w:tabs>
          <w:tab w:val="left" w:pos="2689"/>
          <w:tab w:val="left" w:pos="2690"/>
        </w:tabs>
        <w:spacing w:before="165" w:line="362" w:lineRule="auto"/>
        <w:ind w:right="916"/>
      </w:pPr>
      <w:bookmarkStart w:id="1005" w:name="5._The_annual_average_unit_values_calcul"/>
      <w:bookmarkStart w:id="1006" w:name="_bookmark865"/>
      <w:bookmarkEnd w:id="1005"/>
      <w:bookmarkEnd w:id="1006"/>
      <w:r>
        <w:t>The annual average unit values calculated by MOFCOM were not based on positive evidence</w:t>
      </w:r>
    </w:p>
    <w:p w14:paraId="5FC117AD" w14:textId="77777777" w:rsidR="00BD462C" w:rsidRDefault="00BD462C">
      <w:pPr>
        <w:pStyle w:val="BodyText"/>
        <w:spacing w:before="7"/>
        <w:rPr>
          <w:b/>
          <w:sz w:val="8"/>
        </w:rPr>
      </w:pPr>
    </w:p>
    <w:p w14:paraId="0DB61F11" w14:textId="708B387F" w:rsidR="00BD462C" w:rsidRDefault="001250D0">
      <w:pPr>
        <w:pStyle w:val="BodyText"/>
        <w:spacing w:before="56" w:line="360" w:lineRule="auto"/>
        <w:ind w:left="135" w:right="917"/>
        <w:jc w:val="both"/>
      </w:pPr>
      <w:r>
        <w:rPr>
          <w:noProof/>
        </w:rPr>
        <w:t>504.</w:t>
      </w:r>
      <w:r w:rsidR="00033D0F">
        <w:rPr>
          <w:rFonts w:ascii="Times New Roman"/>
          <w:spacing w:val="80"/>
          <w:position w:val="1"/>
          <w:sz w:val="20"/>
        </w:rPr>
        <w:t xml:space="preserve">  </w:t>
      </w:r>
      <w:r w:rsidR="00033D0F">
        <w:rPr>
          <w:position w:val="1"/>
        </w:rPr>
        <w:t xml:space="preserve">As Australia established in its first written submission, MOFCOM's explanation of its </w:t>
      </w:r>
      <w:r w:rsidR="00033D0F">
        <w:t>price calculation</w:t>
      </w:r>
      <w:r w:rsidR="00033D0F">
        <w:rPr>
          <w:spacing w:val="-2"/>
        </w:rPr>
        <w:t xml:space="preserve"> </w:t>
      </w:r>
      <w:r w:rsidR="00033D0F">
        <w:t>methodology was grossly deficient. This, coupled</w:t>
      </w:r>
      <w:r w:rsidR="00033D0F">
        <w:rPr>
          <w:spacing w:val="-2"/>
        </w:rPr>
        <w:t xml:space="preserve"> </w:t>
      </w:r>
      <w:r w:rsidR="00033D0F">
        <w:t>with</w:t>
      </w:r>
      <w:r w:rsidR="00033D0F">
        <w:rPr>
          <w:spacing w:val="-2"/>
        </w:rPr>
        <w:t xml:space="preserve"> </w:t>
      </w:r>
      <w:r w:rsidR="00033D0F">
        <w:t>MOFCOM's failure to adequately</w:t>
      </w:r>
      <w:r w:rsidR="00033D0F">
        <w:rPr>
          <w:spacing w:val="-10"/>
        </w:rPr>
        <w:t xml:space="preserve"> </w:t>
      </w:r>
      <w:r w:rsidR="00033D0F">
        <w:t>disclose</w:t>
      </w:r>
      <w:r w:rsidR="00033D0F">
        <w:rPr>
          <w:spacing w:val="-12"/>
        </w:rPr>
        <w:t xml:space="preserve"> </w:t>
      </w:r>
      <w:r w:rsidR="00033D0F">
        <w:t>the</w:t>
      </w:r>
      <w:r w:rsidR="00033D0F">
        <w:rPr>
          <w:spacing w:val="-12"/>
        </w:rPr>
        <w:t xml:space="preserve"> </w:t>
      </w:r>
      <w:r w:rsidR="00033D0F">
        <w:t>underlying</w:t>
      </w:r>
      <w:r w:rsidR="00033D0F">
        <w:rPr>
          <w:spacing w:val="-10"/>
        </w:rPr>
        <w:t xml:space="preserve"> </w:t>
      </w:r>
      <w:r w:rsidR="00033D0F">
        <w:t>data</w:t>
      </w:r>
      <w:r w:rsidR="00033D0F">
        <w:rPr>
          <w:spacing w:val="-12"/>
        </w:rPr>
        <w:t xml:space="preserve"> </w:t>
      </w:r>
      <w:r w:rsidR="00033D0F">
        <w:t>both</w:t>
      </w:r>
      <w:r w:rsidR="00033D0F">
        <w:rPr>
          <w:spacing w:val="-14"/>
        </w:rPr>
        <w:t xml:space="preserve"> </w:t>
      </w:r>
      <w:r w:rsidR="00033D0F">
        <w:t>in</w:t>
      </w:r>
      <w:r w:rsidR="00033D0F">
        <w:rPr>
          <w:spacing w:val="-8"/>
        </w:rPr>
        <w:t xml:space="preserve"> </w:t>
      </w:r>
      <w:r w:rsidR="00033D0F">
        <w:t>the</w:t>
      </w:r>
      <w:r w:rsidR="00033D0F">
        <w:rPr>
          <w:spacing w:val="-12"/>
        </w:rPr>
        <w:t xml:space="preserve"> </w:t>
      </w:r>
      <w:r w:rsidR="00033D0F">
        <w:t>Final</w:t>
      </w:r>
      <w:r w:rsidR="00033D0F">
        <w:rPr>
          <w:spacing w:val="-10"/>
        </w:rPr>
        <w:t xml:space="preserve"> </w:t>
      </w:r>
      <w:r w:rsidR="00033D0F">
        <w:t>Determination</w:t>
      </w:r>
      <w:r w:rsidR="00033D0F">
        <w:rPr>
          <w:spacing w:val="-14"/>
        </w:rPr>
        <w:t xml:space="preserve"> </w:t>
      </w:r>
      <w:r w:rsidR="00033D0F">
        <w:t>and</w:t>
      </w:r>
      <w:r w:rsidR="00033D0F">
        <w:rPr>
          <w:spacing w:val="-13"/>
        </w:rPr>
        <w:t xml:space="preserve"> </w:t>
      </w:r>
      <w:r w:rsidR="00033D0F">
        <w:t>elsewhere</w:t>
      </w:r>
      <w:r w:rsidR="00033D0F">
        <w:rPr>
          <w:spacing w:val="-12"/>
        </w:rPr>
        <w:t xml:space="preserve"> </w:t>
      </w:r>
      <w:r w:rsidR="00033D0F">
        <w:t>on</w:t>
      </w:r>
      <w:r w:rsidR="00033D0F">
        <w:rPr>
          <w:spacing w:val="-9"/>
        </w:rPr>
        <w:t xml:space="preserve"> </w:t>
      </w:r>
      <w:r w:rsidR="00033D0F">
        <w:t>the investigation record, mean that the annual average unit values used by MOFCOM are not based on positive evidence.</w:t>
      </w:r>
      <w:hyperlink w:anchor="_bookmark867" w:history="1">
        <w:r w:rsidR="00033D0F">
          <w:rPr>
            <w:vertAlign w:val="superscript"/>
          </w:rPr>
          <w:t>736</w:t>
        </w:r>
      </w:hyperlink>
    </w:p>
    <w:p w14:paraId="1ED29323" w14:textId="77777777" w:rsidR="00BD462C" w:rsidRDefault="00BD462C">
      <w:pPr>
        <w:pStyle w:val="BodyText"/>
        <w:spacing w:before="6"/>
        <w:rPr>
          <w:sz w:val="8"/>
        </w:rPr>
      </w:pPr>
    </w:p>
    <w:p w14:paraId="0F6375E4" w14:textId="257B94C5" w:rsidR="00BD462C" w:rsidRDefault="001250D0">
      <w:pPr>
        <w:pStyle w:val="BodyText"/>
        <w:spacing w:before="56" w:line="360" w:lineRule="auto"/>
        <w:ind w:left="136" w:right="909"/>
        <w:jc w:val="both"/>
      </w:pPr>
      <w:r>
        <w:rPr>
          <w:noProof/>
        </w:rPr>
        <w:t>505.</w:t>
      </w:r>
      <w:r w:rsidR="00033D0F">
        <w:rPr>
          <w:rFonts w:ascii="Times New Roman"/>
          <w:spacing w:val="40"/>
          <w:position w:val="1"/>
          <w:sz w:val="20"/>
        </w:rPr>
        <w:t xml:space="preserve">  </w:t>
      </w:r>
      <w:r w:rsidR="00033D0F">
        <w:rPr>
          <w:position w:val="1"/>
        </w:rPr>
        <w:t xml:space="preserve">In essence, China's appears to argue in response that the description of the price </w:t>
      </w:r>
      <w:r w:rsidR="00033D0F">
        <w:t>calculation</w:t>
      </w:r>
      <w:r w:rsidR="00033D0F">
        <w:rPr>
          <w:spacing w:val="-13"/>
        </w:rPr>
        <w:t xml:space="preserve"> </w:t>
      </w:r>
      <w:r w:rsidR="00033D0F">
        <w:t>methodology</w:t>
      </w:r>
      <w:r w:rsidR="00033D0F">
        <w:rPr>
          <w:spacing w:val="-10"/>
        </w:rPr>
        <w:t xml:space="preserve"> </w:t>
      </w:r>
      <w:r w:rsidR="00033D0F">
        <w:t>provided</w:t>
      </w:r>
      <w:r w:rsidR="00033D0F">
        <w:rPr>
          <w:spacing w:val="-13"/>
        </w:rPr>
        <w:t xml:space="preserve"> </w:t>
      </w:r>
      <w:r w:rsidR="00033D0F">
        <w:t>in</w:t>
      </w:r>
      <w:r w:rsidR="00033D0F">
        <w:rPr>
          <w:spacing w:val="-13"/>
        </w:rPr>
        <w:t xml:space="preserve"> </w:t>
      </w:r>
      <w:r w:rsidR="00033D0F">
        <w:t>the</w:t>
      </w:r>
      <w:r w:rsidR="00033D0F">
        <w:rPr>
          <w:spacing w:val="-11"/>
        </w:rPr>
        <w:t xml:space="preserve"> </w:t>
      </w:r>
      <w:r w:rsidR="00033D0F">
        <w:t>Final</w:t>
      </w:r>
      <w:r w:rsidR="00033D0F">
        <w:rPr>
          <w:spacing w:val="-9"/>
        </w:rPr>
        <w:t xml:space="preserve"> </w:t>
      </w:r>
      <w:r w:rsidR="00033D0F">
        <w:t>Determination,</w:t>
      </w:r>
      <w:r w:rsidR="00033D0F">
        <w:rPr>
          <w:spacing w:val="-9"/>
        </w:rPr>
        <w:t xml:space="preserve"> </w:t>
      </w:r>
      <w:r w:rsidR="00033D0F">
        <w:t>coupled</w:t>
      </w:r>
      <w:r w:rsidR="00033D0F">
        <w:rPr>
          <w:spacing w:val="-13"/>
        </w:rPr>
        <w:t xml:space="preserve"> </w:t>
      </w:r>
      <w:r w:rsidR="00033D0F">
        <w:t>with</w:t>
      </w:r>
      <w:r w:rsidR="00033D0F">
        <w:rPr>
          <w:spacing w:val="-13"/>
        </w:rPr>
        <w:t xml:space="preserve"> </w:t>
      </w:r>
      <w:r w:rsidR="00033D0F">
        <w:t>the</w:t>
      </w:r>
      <w:r w:rsidR="00033D0F">
        <w:rPr>
          <w:spacing w:val="-11"/>
        </w:rPr>
        <w:t xml:space="preserve"> </w:t>
      </w:r>
      <w:r w:rsidR="00033D0F">
        <w:t>fact</w:t>
      </w:r>
      <w:r w:rsidR="00033D0F">
        <w:rPr>
          <w:spacing w:val="-10"/>
        </w:rPr>
        <w:t xml:space="preserve"> </w:t>
      </w:r>
      <w:r w:rsidR="00033D0F">
        <w:t>that</w:t>
      </w:r>
      <w:r w:rsidR="00033D0F">
        <w:rPr>
          <w:spacing w:val="-10"/>
        </w:rPr>
        <w:t xml:space="preserve"> </w:t>
      </w:r>
      <w:r w:rsidR="00033D0F">
        <w:t>some of the data MOFCOM relied on to calculate the "liquidation price" of subject imports was publicly</w:t>
      </w:r>
      <w:r w:rsidR="00033D0F">
        <w:rPr>
          <w:spacing w:val="-14"/>
        </w:rPr>
        <w:t xml:space="preserve"> </w:t>
      </w:r>
      <w:r w:rsidR="00033D0F">
        <w:t>available,</w:t>
      </w:r>
      <w:r w:rsidR="00033D0F">
        <w:rPr>
          <w:spacing w:val="-14"/>
        </w:rPr>
        <w:t xml:space="preserve"> </w:t>
      </w:r>
      <w:r w:rsidR="00033D0F">
        <w:t>means</w:t>
      </w:r>
      <w:r w:rsidR="00033D0F">
        <w:rPr>
          <w:spacing w:val="-13"/>
        </w:rPr>
        <w:t xml:space="preserve"> </w:t>
      </w:r>
      <w:r w:rsidR="00033D0F">
        <w:t>that</w:t>
      </w:r>
      <w:r w:rsidR="00033D0F">
        <w:rPr>
          <w:spacing w:val="-14"/>
        </w:rPr>
        <w:t xml:space="preserve"> </w:t>
      </w:r>
      <w:r w:rsidR="00033D0F">
        <w:t>the</w:t>
      </w:r>
      <w:r w:rsidR="00033D0F">
        <w:rPr>
          <w:spacing w:val="-13"/>
        </w:rPr>
        <w:t xml:space="preserve"> </w:t>
      </w:r>
      <w:r w:rsidR="00033D0F">
        <w:t>annual</w:t>
      </w:r>
      <w:r w:rsidR="00033D0F">
        <w:rPr>
          <w:spacing w:val="-14"/>
        </w:rPr>
        <w:t xml:space="preserve"> </w:t>
      </w:r>
      <w:r w:rsidR="00033D0F">
        <w:t>average</w:t>
      </w:r>
      <w:r w:rsidR="00033D0F">
        <w:rPr>
          <w:spacing w:val="-13"/>
        </w:rPr>
        <w:t xml:space="preserve"> </w:t>
      </w:r>
      <w:r w:rsidR="00033D0F">
        <w:t>unit</w:t>
      </w:r>
      <w:r w:rsidR="00033D0F">
        <w:rPr>
          <w:spacing w:val="-14"/>
        </w:rPr>
        <w:t xml:space="preserve"> </w:t>
      </w:r>
      <w:r w:rsidR="00033D0F">
        <w:t>values</w:t>
      </w:r>
      <w:r w:rsidR="00033D0F">
        <w:rPr>
          <w:spacing w:val="-14"/>
        </w:rPr>
        <w:t xml:space="preserve"> </w:t>
      </w:r>
      <w:r w:rsidR="00033D0F">
        <w:t>were</w:t>
      </w:r>
      <w:r w:rsidR="00033D0F">
        <w:rPr>
          <w:spacing w:val="-13"/>
        </w:rPr>
        <w:t xml:space="preserve"> </w:t>
      </w:r>
      <w:r w:rsidR="00033D0F">
        <w:t>based</w:t>
      </w:r>
      <w:r w:rsidR="00033D0F">
        <w:rPr>
          <w:spacing w:val="-14"/>
        </w:rPr>
        <w:t xml:space="preserve"> </w:t>
      </w:r>
      <w:r w:rsidR="00033D0F">
        <w:t>on</w:t>
      </w:r>
      <w:r w:rsidR="00033D0F">
        <w:rPr>
          <w:spacing w:val="-13"/>
        </w:rPr>
        <w:t xml:space="preserve"> </w:t>
      </w:r>
      <w:r w:rsidR="00033D0F">
        <w:t>positive</w:t>
      </w:r>
      <w:r w:rsidR="00033D0F">
        <w:rPr>
          <w:spacing w:val="-14"/>
        </w:rPr>
        <w:t xml:space="preserve"> </w:t>
      </w:r>
      <w:r w:rsidR="00033D0F">
        <w:t>evidence. However, as Australia will set out below, this response only raises additional questions as to</w:t>
      </w:r>
    </w:p>
    <w:p w14:paraId="75AE6CF0" w14:textId="62F15E5E" w:rsidR="00BD462C" w:rsidRDefault="00752F01">
      <w:pPr>
        <w:pStyle w:val="BodyText"/>
        <w:rPr>
          <w:sz w:val="20"/>
        </w:rPr>
      </w:pPr>
      <w:r>
        <w:rPr>
          <w:noProof/>
        </w:rPr>
        <mc:AlternateContent>
          <mc:Choice Requires="wps">
            <w:drawing>
              <wp:anchor distT="0" distB="0" distL="0" distR="0" simplePos="0" relativeHeight="488278528" behindDoc="1" locked="0" layoutInCell="1" allowOverlap="1" wp14:anchorId="0C4178B7" wp14:editId="15A193E2">
                <wp:simplePos x="0" y="0"/>
                <wp:positionH relativeFrom="page">
                  <wp:posOffset>812800</wp:posOffset>
                </wp:positionH>
                <wp:positionV relativeFrom="paragraph">
                  <wp:posOffset>318135</wp:posOffset>
                </wp:positionV>
                <wp:extent cx="1828800" cy="8890"/>
                <wp:effectExtent l="0" t="0" r="0" b="0"/>
                <wp:wrapTopAndBottom/>
                <wp:docPr id="257" name="docshape4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BBEC11" id="docshape414" o:spid="_x0000_s1026" alt="&quot;&quot;" style="position:absolute;margin-left:64pt;margin-top:25.05pt;width:2in;height:.7pt;z-index:-15037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" fillcolor="black" stroked="f">
                <w10:wrap type="topAndBottom" anchorx="page"/>
              </v:rect>
            </w:pict>
          </mc:Fallback>
        </mc:AlternateContent>
      </w:r>
    </w:p>
    <w:p w14:paraId="3F962D79" w14:textId="4B2B9B4B" w:rsidR="00BD462C" w:rsidRDefault="00BD462C">
      <w:pPr>
        <w:pStyle w:val="BodyText"/>
        <w:spacing w:before="10"/>
        <w:rPr>
          <w:sz w:val="20"/>
        </w:rPr>
      </w:pPr>
    </w:p>
    <w:p w14:paraId="7F5B3F37" w14:textId="77777777" w:rsidR="00BD462C" w:rsidRDefault="00033D0F">
      <w:pPr>
        <w:spacing w:before="112"/>
        <w:ind w:left="135"/>
        <w:rPr>
          <w:sz w:val="18"/>
        </w:rPr>
      </w:pPr>
      <w:bookmarkStart w:id="1007" w:name="_bookmark866"/>
      <w:bookmarkEnd w:id="1007"/>
      <w:r>
        <w:rPr>
          <w:position w:val="5"/>
          <w:sz w:val="12"/>
        </w:rPr>
        <w:t>735</w:t>
      </w:r>
      <w:r>
        <w:rPr>
          <w:spacing w:val="12"/>
          <w:position w:val="5"/>
          <w:sz w:val="12"/>
        </w:rPr>
        <w:t xml:space="preserve"> </w:t>
      </w:r>
      <w:r>
        <w:rPr>
          <w:sz w:val="18"/>
        </w:rPr>
        <w:t>China's</w:t>
      </w:r>
      <w:r>
        <w:rPr>
          <w:spacing w:val="-6"/>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 paras.</w:t>
      </w:r>
      <w:r>
        <w:rPr>
          <w:spacing w:val="-5"/>
          <w:sz w:val="18"/>
        </w:rPr>
        <w:t xml:space="preserve"> </w:t>
      </w:r>
      <w:r>
        <w:rPr>
          <w:sz w:val="18"/>
        </w:rPr>
        <w:t>1441-</w:t>
      </w:r>
      <w:r>
        <w:rPr>
          <w:spacing w:val="-2"/>
          <w:sz w:val="18"/>
        </w:rPr>
        <w:t>1449.</w:t>
      </w:r>
    </w:p>
    <w:p w14:paraId="6A950D06" w14:textId="77777777" w:rsidR="00BD462C" w:rsidRDefault="00033D0F">
      <w:pPr>
        <w:spacing w:before="1"/>
        <w:ind w:left="135"/>
        <w:rPr>
          <w:sz w:val="18"/>
        </w:rPr>
      </w:pPr>
      <w:bookmarkStart w:id="1008" w:name="_bookmark867"/>
      <w:bookmarkEnd w:id="1008"/>
      <w:r>
        <w:rPr>
          <w:position w:val="5"/>
          <w:sz w:val="12"/>
        </w:rPr>
        <w:t>736</w:t>
      </w:r>
      <w:r>
        <w:rPr>
          <w:spacing w:val="12"/>
          <w:position w:val="5"/>
          <w:sz w:val="12"/>
        </w:rPr>
        <w:t xml:space="preserve"> </w:t>
      </w:r>
      <w:r>
        <w:rPr>
          <w:sz w:val="18"/>
        </w:rPr>
        <w:t>Australia's</w:t>
      </w:r>
      <w:r>
        <w:rPr>
          <w:spacing w:val="-7"/>
          <w:sz w:val="18"/>
        </w:rPr>
        <w:t xml:space="preserve"> </w:t>
      </w:r>
      <w:r>
        <w:rPr>
          <w:sz w:val="18"/>
        </w:rPr>
        <w:t>first</w:t>
      </w:r>
      <w:r>
        <w:rPr>
          <w:spacing w:val="-5"/>
          <w:sz w:val="18"/>
        </w:rPr>
        <w:t xml:space="preserve"> </w:t>
      </w:r>
      <w:r>
        <w:rPr>
          <w:sz w:val="18"/>
        </w:rPr>
        <w:t>written</w:t>
      </w:r>
      <w:r>
        <w:rPr>
          <w:spacing w:val="-3"/>
          <w:sz w:val="18"/>
        </w:rPr>
        <w:t xml:space="preserve"> </w:t>
      </w:r>
      <w:r>
        <w:rPr>
          <w:sz w:val="18"/>
        </w:rPr>
        <w:t>submission, paras.</w:t>
      </w:r>
      <w:r>
        <w:rPr>
          <w:spacing w:val="-5"/>
          <w:sz w:val="18"/>
        </w:rPr>
        <w:t xml:space="preserve"> </w:t>
      </w:r>
      <w:r>
        <w:rPr>
          <w:sz w:val="18"/>
        </w:rPr>
        <w:t>558-</w:t>
      </w:r>
      <w:r>
        <w:rPr>
          <w:spacing w:val="-4"/>
          <w:sz w:val="18"/>
        </w:rPr>
        <w:t>562.</w:t>
      </w:r>
    </w:p>
    <w:p w14:paraId="73219CAF" w14:textId="77777777" w:rsidR="00BD462C" w:rsidRDefault="00BD462C">
      <w:pPr>
        <w:rPr>
          <w:sz w:val="18"/>
        </w:rPr>
        <w:sectPr w:rsidR="00BD462C">
          <w:pgSz w:w="11910" w:h="16840"/>
          <w:pgMar w:top="860" w:right="500" w:bottom="780" w:left="1280" w:header="566" w:footer="590" w:gutter="0"/>
          <w:cols w:space="720"/>
        </w:sectPr>
      </w:pPr>
    </w:p>
    <w:p w14:paraId="6B84C8ED"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601D26E7"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596A6108"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61194612" w14:textId="77777777" w:rsidR="00BD462C" w:rsidRDefault="00033D0F">
      <w:pPr>
        <w:pStyle w:val="BodyText"/>
        <w:spacing w:before="102" w:line="357" w:lineRule="auto"/>
        <w:ind w:left="135" w:right="923"/>
      </w:pPr>
      <w:r>
        <w:t>whether</w:t>
      </w:r>
      <w:r>
        <w:rPr>
          <w:spacing w:val="-11"/>
        </w:rPr>
        <w:t xml:space="preserve"> </w:t>
      </w:r>
      <w:r>
        <w:t>the</w:t>
      </w:r>
      <w:r>
        <w:rPr>
          <w:spacing w:val="-8"/>
        </w:rPr>
        <w:t xml:space="preserve"> </w:t>
      </w:r>
      <w:r>
        <w:t>HS</w:t>
      </w:r>
      <w:r>
        <w:rPr>
          <w:spacing w:val="-9"/>
        </w:rPr>
        <w:t xml:space="preserve"> </w:t>
      </w:r>
      <w:r>
        <w:t>code</w:t>
      </w:r>
      <w:r>
        <w:rPr>
          <w:spacing w:val="-8"/>
        </w:rPr>
        <w:t xml:space="preserve"> </w:t>
      </w:r>
      <w:r>
        <w:t>and</w:t>
      </w:r>
      <w:r>
        <w:rPr>
          <w:spacing w:val="-10"/>
        </w:rPr>
        <w:t xml:space="preserve"> </w:t>
      </w:r>
      <w:r>
        <w:t>apparent</w:t>
      </w:r>
      <w:r>
        <w:rPr>
          <w:spacing w:val="-8"/>
        </w:rPr>
        <w:t xml:space="preserve"> </w:t>
      </w:r>
      <w:r>
        <w:t>consumption</w:t>
      </w:r>
      <w:r>
        <w:rPr>
          <w:spacing w:val="-5"/>
        </w:rPr>
        <w:t xml:space="preserve"> </w:t>
      </w:r>
      <w:r>
        <w:t>data</w:t>
      </w:r>
      <w:r>
        <w:rPr>
          <w:spacing w:val="-9"/>
        </w:rPr>
        <w:t xml:space="preserve"> </w:t>
      </w:r>
      <w:r>
        <w:t>that</w:t>
      </w:r>
      <w:r>
        <w:rPr>
          <w:spacing w:val="-8"/>
        </w:rPr>
        <w:t xml:space="preserve"> </w:t>
      </w:r>
      <w:r>
        <w:t>MOFCOM</w:t>
      </w:r>
      <w:r>
        <w:rPr>
          <w:spacing w:val="-8"/>
        </w:rPr>
        <w:t xml:space="preserve"> </w:t>
      </w:r>
      <w:r>
        <w:t>relied</w:t>
      </w:r>
      <w:r>
        <w:rPr>
          <w:spacing w:val="-10"/>
        </w:rPr>
        <w:t xml:space="preserve"> </w:t>
      </w:r>
      <w:r>
        <w:t>on</w:t>
      </w:r>
      <w:r>
        <w:rPr>
          <w:spacing w:val="-10"/>
        </w:rPr>
        <w:t xml:space="preserve"> </w:t>
      </w:r>
      <w:r>
        <w:t>as</w:t>
      </w:r>
      <w:r>
        <w:rPr>
          <w:spacing w:val="-7"/>
        </w:rPr>
        <w:t xml:space="preserve"> </w:t>
      </w:r>
      <w:r>
        <w:t>the</w:t>
      </w:r>
      <w:r>
        <w:rPr>
          <w:spacing w:val="-8"/>
        </w:rPr>
        <w:t xml:space="preserve"> </w:t>
      </w:r>
      <w:r>
        <w:t>basis</w:t>
      </w:r>
      <w:r>
        <w:rPr>
          <w:spacing w:val="-7"/>
        </w:rPr>
        <w:t xml:space="preserve"> </w:t>
      </w:r>
      <w:r>
        <w:t>for its volume and price calculations was positive evidence.</w:t>
      </w:r>
    </w:p>
    <w:p w14:paraId="21A21C66" w14:textId="77777777" w:rsidR="00BD462C" w:rsidRDefault="00BD462C">
      <w:pPr>
        <w:pStyle w:val="BodyText"/>
        <w:spacing w:before="3"/>
        <w:rPr>
          <w:sz w:val="9"/>
        </w:rPr>
      </w:pPr>
    </w:p>
    <w:p w14:paraId="63283232" w14:textId="6389A4BE" w:rsidR="00BD462C" w:rsidRDefault="001250D0">
      <w:pPr>
        <w:pStyle w:val="BodyText"/>
        <w:spacing w:before="56" w:line="360" w:lineRule="auto"/>
        <w:ind w:left="135" w:right="914"/>
        <w:jc w:val="both"/>
      </w:pPr>
      <w:r>
        <w:rPr>
          <w:noProof/>
        </w:rPr>
        <w:t>506.</w:t>
      </w:r>
      <w:r w:rsidR="00033D0F">
        <w:rPr>
          <w:rFonts w:ascii="Times New Roman"/>
          <w:spacing w:val="80"/>
          <w:position w:val="1"/>
          <w:sz w:val="20"/>
        </w:rPr>
        <w:t xml:space="preserve">  </w:t>
      </w:r>
      <w:r w:rsidR="00033D0F">
        <w:rPr>
          <w:position w:val="1"/>
        </w:rPr>
        <w:t xml:space="preserve">If the panel accepts Australia's view that MOFCOM's volume and price calculations </w:t>
      </w:r>
      <w:r w:rsidR="00033D0F">
        <w:t>were not based on positive evidence, the effect is that MOFCOM's observations regarding volume</w:t>
      </w:r>
      <w:r w:rsidR="00033D0F">
        <w:rPr>
          <w:spacing w:val="-14"/>
        </w:rPr>
        <w:t xml:space="preserve"> </w:t>
      </w:r>
      <w:r w:rsidR="00033D0F">
        <w:t>and</w:t>
      </w:r>
      <w:r w:rsidR="00033D0F">
        <w:rPr>
          <w:spacing w:val="-14"/>
        </w:rPr>
        <w:t xml:space="preserve"> </w:t>
      </w:r>
      <w:r w:rsidR="00033D0F">
        <w:t>market</w:t>
      </w:r>
      <w:r w:rsidR="00033D0F">
        <w:rPr>
          <w:spacing w:val="-13"/>
        </w:rPr>
        <w:t xml:space="preserve"> </w:t>
      </w:r>
      <w:r w:rsidR="00033D0F">
        <w:t>share</w:t>
      </w:r>
      <w:r w:rsidR="00033D0F">
        <w:rPr>
          <w:spacing w:val="-14"/>
        </w:rPr>
        <w:t xml:space="preserve"> </w:t>
      </w:r>
      <w:r w:rsidR="00033D0F">
        <w:t>trends</w:t>
      </w:r>
      <w:r w:rsidR="00033D0F">
        <w:rPr>
          <w:spacing w:val="-13"/>
        </w:rPr>
        <w:t xml:space="preserve"> </w:t>
      </w:r>
      <w:r w:rsidR="00033D0F">
        <w:t>and</w:t>
      </w:r>
      <w:r w:rsidR="00033D0F">
        <w:rPr>
          <w:spacing w:val="-14"/>
        </w:rPr>
        <w:t xml:space="preserve"> </w:t>
      </w:r>
      <w:r w:rsidR="00033D0F">
        <w:t>its</w:t>
      </w:r>
      <w:r w:rsidR="00033D0F">
        <w:rPr>
          <w:spacing w:val="-13"/>
        </w:rPr>
        <w:t xml:space="preserve"> </w:t>
      </w:r>
      <w:r w:rsidR="00033D0F">
        <w:t>price</w:t>
      </w:r>
      <w:r w:rsidR="00033D0F">
        <w:rPr>
          <w:spacing w:val="-14"/>
        </w:rPr>
        <w:t xml:space="preserve"> </w:t>
      </w:r>
      <w:r w:rsidR="00033D0F">
        <w:t>suppression</w:t>
      </w:r>
      <w:r w:rsidR="00033D0F">
        <w:rPr>
          <w:spacing w:val="-14"/>
        </w:rPr>
        <w:t xml:space="preserve"> </w:t>
      </w:r>
      <w:r w:rsidR="00033D0F">
        <w:t>determination</w:t>
      </w:r>
      <w:r w:rsidR="00033D0F">
        <w:rPr>
          <w:spacing w:val="-13"/>
        </w:rPr>
        <w:t xml:space="preserve"> </w:t>
      </w:r>
      <w:r w:rsidR="00033D0F">
        <w:t>are</w:t>
      </w:r>
      <w:r w:rsidR="00033D0F">
        <w:rPr>
          <w:spacing w:val="-14"/>
        </w:rPr>
        <w:t xml:space="preserve"> </w:t>
      </w:r>
      <w:r w:rsidR="00033D0F">
        <w:t>inconsistent</w:t>
      </w:r>
      <w:r w:rsidR="00033D0F">
        <w:rPr>
          <w:spacing w:val="-13"/>
        </w:rPr>
        <w:t xml:space="preserve"> </w:t>
      </w:r>
      <w:r w:rsidR="00033D0F">
        <w:t>with Articles 3.1 and 3.2.</w:t>
      </w:r>
    </w:p>
    <w:p w14:paraId="181A8A66" w14:textId="77777777" w:rsidR="00BD462C" w:rsidRDefault="00033D0F">
      <w:pPr>
        <w:pStyle w:val="ListParagraph"/>
        <w:numPr>
          <w:ilvl w:val="1"/>
          <w:numId w:val="40"/>
        </w:numPr>
        <w:tabs>
          <w:tab w:val="left" w:pos="3539"/>
          <w:tab w:val="left" w:pos="3540"/>
        </w:tabs>
        <w:spacing w:before="157"/>
        <w:ind w:hanging="851"/>
        <w:jc w:val="both"/>
        <w:rPr>
          <w:sz w:val="24"/>
        </w:rPr>
      </w:pPr>
      <w:bookmarkStart w:id="1009" w:name="(a)_HS_code"/>
      <w:bookmarkEnd w:id="1009"/>
      <w:r>
        <w:rPr>
          <w:sz w:val="24"/>
          <w:u w:val="single"/>
        </w:rPr>
        <w:t>HS</w:t>
      </w:r>
      <w:r>
        <w:rPr>
          <w:spacing w:val="-3"/>
          <w:sz w:val="24"/>
          <w:u w:val="single"/>
        </w:rPr>
        <w:t xml:space="preserve"> </w:t>
      </w:r>
      <w:r>
        <w:rPr>
          <w:spacing w:val="-4"/>
          <w:sz w:val="24"/>
          <w:u w:val="single"/>
        </w:rPr>
        <w:t>code</w:t>
      </w:r>
    </w:p>
    <w:p w14:paraId="4D3C238D" w14:textId="77777777" w:rsidR="00BD462C" w:rsidRDefault="00BD462C">
      <w:pPr>
        <w:pStyle w:val="BodyText"/>
        <w:spacing w:before="7"/>
        <w:rPr>
          <w:sz w:val="20"/>
        </w:rPr>
      </w:pPr>
    </w:p>
    <w:p w14:paraId="172CB06B" w14:textId="05D152BD" w:rsidR="00BD462C" w:rsidRDefault="001250D0">
      <w:pPr>
        <w:pStyle w:val="BodyText"/>
        <w:spacing w:before="56" w:line="360" w:lineRule="auto"/>
        <w:ind w:left="135" w:right="916"/>
        <w:jc w:val="both"/>
      </w:pPr>
      <w:r>
        <w:rPr>
          <w:noProof/>
        </w:rPr>
        <w:t>507.</w:t>
      </w:r>
      <w:r w:rsidR="00033D0F">
        <w:rPr>
          <w:rFonts w:ascii="Times New Roman"/>
          <w:spacing w:val="80"/>
          <w:w w:val="150"/>
          <w:position w:val="1"/>
          <w:sz w:val="20"/>
        </w:rPr>
        <w:t xml:space="preserve">  </w:t>
      </w:r>
      <w:r w:rsidR="00033D0F">
        <w:rPr>
          <w:position w:val="1"/>
        </w:rPr>
        <w:t xml:space="preserve">China's first written submission has now clarified that MOFCOM did not undertake </w:t>
      </w:r>
      <w:r w:rsidR="00033D0F">
        <w:t>any</w:t>
      </w:r>
      <w:r w:rsidR="00033D0F">
        <w:rPr>
          <w:spacing w:val="-3"/>
        </w:rPr>
        <w:t xml:space="preserve"> </w:t>
      </w:r>
      <w:r w:rsidR="00033D0F">
        <w:t>filtering</w:t>
      </w:r>
      <w:r w:rsidR="00033D0F">
        <w:rPr>
          <w:spacing w:val="-3"/>
        </w:rPr>
        <w:t xml:space="preserve"> </w:t>
      </w:r>
      <w:r w:rsidR="00033D0F">
        <w:t>process</w:t>
      </w:r>
      <w:r w:rsidR="00033D0F">
        <w:rPr>
          <w:spacing w:val="-3"/>
        </w:rPr>
        <w:t xml:space="preserve"> </w:t>
      </w:r>
      <w:r w:rsidR="00033D0F">
        <w:t>of</w:t>
      </w:r>
      <w:r w:rsidR="00033D0F">
        <w:rPr>
          <w:spacing w:val="-6"/>
        </w:rPr>
        <w:t xml:space="preserve"> </w:t>
      </w:r>
      <w:r w:rsidR="00033D0F">
        <w:t>the</w:t>
      </w:r>
      <w:r w:rsidR="00033D0F">
        <w:rPr>
          <w:spacing w:val="-5"/>
        </w:rPr>
        <w:t xml:space="preserve"> </w:t>
      </w:r>
      <w:r w:rsidR="00033D0F">
        <w:t>customs</w:t>
      </w:r>
      <w:r w:rsidR="00033D0F">
        <w:rPr>
          <w:spacing w:val="-8"/>
        </w:rPr>
        <w:t xml:space="preserve"> </w:t>
      </w:r>
      <w:r w:rsidR="00033D0F">
        <w:t>import</w:t>
      </w:r>
      <w:r w:rsidR="00033D0F">
        <w:rPr>
          <w:spacing w:val="-4"/>
        </w:rPr>
        <w:t xml:space="preserve"> </w:t>
      </w:r>
      <w:r w:rsidR="00033D0F">
        <w:t>data</w:t>
      </w:r>
      <w:r w:rsidR="00033D0F">
        <w:rPr>
          <w:spacing w:val="-5"/>
        </w:rPr>
        <w:t xml:space="preserve"> </w:t>
      </w:r>
      <w:r w:rsidR="00033D0F">
        <w:t>that</w:t>
      </w:r>
      <w:r w:rsidR="00033D0F">
        <w:rPr>
          <w:spacing w:val="-4"/>
        </w:rPr>
        <w:t xml:space="preserve"> </w:t>
      </w:r>
      <w:r w:rsidR="00033D0F">
        <w:t>formed</w:t>
      </w:r>
      <w:r w:rsidR="00033D0F">
        <w:rPr>
          <w:spacing w:val="-6"/>
        </w:rPr>
        <w:t xml:space="preserve"> </w:t>
      </w:r>
      <w:r w:rsidR="00033D0F">
        <w:t>the</w:t>
      </w:r>
      <w:r w:rsidR="00033D0F">
        <w:rPr>
          <w:spacing w:val="-5"/>
        </w:rPr>
        <w:t xml:space="preserve"> </w:t>
      </w:r>
      <w:r w:rsidR="00033D0F">
        <w:t>basis</w:t>
      </w:r>
      <w:r w:rsidR="00033D0F">
        <w:rPr>
          <w:spacing w:val="-3"/>
        </w:rPr>
        <w:t xml:space="preserve"> </w:t>
      </w:r>
      <w:r w:rsidR="00033D0F">
        <w:t>of</w:t>
      </w:r>
      <w:r w:rsidR="00033D0F">
        <w:rPr>
          <w:spacing w:val="-6"/>
        </w:rPr>
        <w:t xml:space="preserve"> </w:t>
      </w:r>
      <w:r w:rsidR="00033D0F">
        <w:t>its</w:t>
      </w:r>
      <w:r w:rsidR="00033D0F">
        <w:rPr>
          <w:spacing w:val="-3"/>
        </w:rPr>
        <w:t xml:space="preserve"> </w:t>
      </w:r>
      <w:r w:rsidR="00033D0F">
        <w:t>volume</w:t>
      </w:r>
      <w:r w:rsidR="00033D0F">
        <w:rPr>
          <w:spacing w:val="-4"/>
        </w:rPr>
        <w:t xml:space="preserve"> </w:t>
      </w:r>
      <w:r w:rsidR="00033D0F">
        <w:t>and</w:t>
      </w:r>
      <w:r w:rsidR="00033D0F">
        <w:rPr>
          <w:spacing w:val="-6"/>
        </w:rPr>
        <w:t xml:space="preserve"> </w:t>
      </w:r>
      <w:r w:rsidR="00033D0F">
        <w:t>price calculations</w:t>
      </w:r>
      <w:r w:rsidR="00033D0F">
        <w:rPr>
          <w:spacing w:val="-7"/>
        </w:rPr>
        <w:t xml:space="preserve"> </w:t>
      </w:r>
      <w:r w:rsidR="00033D0F">
        <w:t>for</w:t>
      </w:r>
      <w:r w:rsidR="00033D0F">
        <w:rPr>
          <w:spacing w:val="-11"/>
        </w:rPr>
        <w:t xml:space="preserve"> </w:t>
      </w:r>
      <w:r w:rsidR="00033D0F">
        <w:t>subject</w:t>
      </w:r>
      <w:r w:rsidR="00033D0F">
        <w:rPr>
          <w:spacing w:val="-8"/>
        </w:rPr>
        <w:t xml:space="preserve"> </w:t>
      </w:r>
      <w:r w:rsidR="00033D0F">
        <w:t>imports.</w:t>
      </w:r>
      <w:r w:rsidR="00033D0F">
        <w:rPr>
          <w:spacing w:val="-7"/>
        </w:rPr>
        <w:t xml:space="preserve"> </w:t>
      </w:r>
      <w:r w:rsidR="00033D0F">
        <w:t>Rather,</w:t>
      </w:r>
      <w:r w:rsidR="00033D0F">
        <w:rPr>
          <w:spacing w:val="-6"/>
        </w:rPr>
        <w:t xml:space="preserve"> </w:t>
      </w:r>
      <w:r w:rsidR="00033D0F">
        <w:t>MOFCOM</w:t>
      </w:r>
      <w:r w:rsidR="00033D0F">
        <w:rPr>
          <w:spacing w:val="-12"/>
        </w:rPr>
        <w:t xml:space="preserve"> </w:t>
      </w:r>
      <w:r w:rsidR="00033D0F">
        <w:t>simply</w:t>
      </w:r>
      <w:r w:rsidR="00033D0F">
        <w:rPr>
          <w:spacing w:val="-7"/>
        </w:rPr>
        <w:t xml:space="preserve"> </w:t>
      </w:r>
      <w:r w:rsidR="00033D0F">
        <w:t>relied</w:t>
      </w:r>
      <w:r w:rsidR="00033D0F">
        <w:rPr>
          <w:spacing w:val="-10"/>
        </w:rPr>
        <w:t xml:space="preserve"> </w:t>
      </w:r>
      <w:r w:rsidR="00033D0F">
        <w:t>on</w:t>
      </w:r>
      <w:r w:rsidR="00033D0F">
        <w:rPr>
          <w:spacing w:val="-10"/>
        </w:rPr>
        <w:t xml:space="preserve"> </w:t>
      </w:r>
      <w:r w:rsidR="00033D0F">
        <w:t>the</w:t>
      </w:r>
      <w:r w:rsidR="00033D0F">
        <w:rPr>
          <w:spacing w:val="-8"/>
        </w:rPr>
        <w:t xml:space="preserve"> </w:t>
      </w:r>
      <w:r w:rsidR="00033D0F">
        <w:t>total</w:t>
      </w:r>
      <w:r w:rsidR="00033D0F">
        <w:rPr>
          <w:spacing w:val="-11"/>
        </w:rPr>
        <w:t xml:space="preserve"> </w:t>
      </w:r>
      <w:r w:rsidR="00033D0F">
        <w:t>volume</w:t>
      </w:r>
      <w:r w:rsidR="00033D0F">
        <w:rPr>
          <w:spacing w:val="-8"/>
        </w:rPr>
        <w:t xml:space="preserve"> </w:t>
      </w:r>
      <w:r w:rsidR="00033D0F">
        <w:t>and</w:t>
      </w:r>
      <w:r w:rsidR="00033D0F">
        <w:rPr>
          <w:spacing w:val="-10"/>
        </w:rPr>
        <w:t xml:space="preserve"> </w:t>
      </w:r>
      <w:r w:rsidR="00033D0F">
        <w:t>price figures relating to all imports classified under tariff code HS22042100.</w:t>
      </w:r>
      <w:hyperlink w:anchor="_bookmark868" w:history="1">
        <w:r w:rsidR="00033D0F">
          <w:rPr>
            <w:vertAlign w:val="superscript"/>
          </w:rPr>
          <w:t>737</w:t>
        </w:r>
      </w:hyperlink>
    </w:p>
    <w:p w14:paraId="2878A455" w14:textId="21AAF8FA" w:rsidR="00BD462C" w:rsidRDefault="001250D0">
      <w:pPr>
        <w:pStyle w:val="BodyText"/>
        <w:spacing w:before="162" w:line="357" w:lineRule="auto"/>
        <w:ind w:left="135" w:right="909"/>
        <w:jc w:val="both"/>
      </w:pPr>
      <w:r>
        <w:rPr>
          <w:noProof/>
        </w:rPr>
        <w:t>508.</w:t>
      </w:r>
      <w:r w:rsidR="00033D0F">
        <w:rPr>
          <w:rFonts w:ascii="Times New Roman"/>
          <w:spacing w:val="80"/>
          <w:position w:val="1"/>
          <w:sz w:val="20"/>
        </w:rPr>
        <w:t xml:space="preserve"> </w:t>
      </w:r>
      <w:r w:rsidR="00033D0F">
        <w:rPr>
          <w:position w:val="1"/>
        </w:rPr>
        <w:t>Tariff code HS22042100 included data relating to fortified wine products.</w:t>
      </w:r>
      <w:hyperlink w:anchor="_bookmark869" w:history="1">
        <w:r w:rsidR="00033D0F">
          <w:rPr>
            <w:position w:val="1"/>
            <w:vertAlign w:val="superscript"/>
          </w:rPr>
          <w:t>738</w:t>
        </w:r>
      </w:hyperlink>
      <w:r w:rsidR="00033D0F">
        <w:rPr>
          <w:position w:val="1"/>
        </w:rPr>
        <w:t xml:space="preserve"> A </w:t>
      </w:r>
      <w:r w:rsidR="00033D0F">
        <w:t>fundamental difficulty with MOFCOM's process, if not inconsistency, is that it is unclear whether fortified wines were included in the scope of products under consideration ("PUC"). This</w:t>
      </w:r>
      <w:r w:rsidR="00033D0F">
        <w:rPr>
          <w:spacing w:val="-9"/>
        </w:rPr>
        <w:t xml:space="preserve"> </w:t>
      </w:r>
      <w:r w:rsidR="00033D0F">
        <w:t>is</w:t>
      </w:r>
      <w:r w:rsidR="00033D0F">
        <w:rPr>
          <w:spacing w:val="-9"/>
        </w:rPr>
        <w:t xml:space="preserve"> </w:t>
      </w:r>
      <w:r w:rsidR="00033D0F">
        <w:t>because:</w:t>
      </w:r>
      <w:r w:rsidR="00033D0F">
        <w:rPr>
          <w:spacing w:val="-13"/>
        </w:rPr>
        <w:t xml:space="preserve"> </w:t>
      </w:r>
      <w:r w:rsidR="00033D0F">
        <w:t>(i)</w:t>
      </w:r>
      <w:r w:rsidR="00033D0F">
        <w:rPr>
          <w:spacing w:val="-8"/>
        </w:rPr>
        <w:t xml:space="preserve"> </w:t>
      </w:r>
      <w:r w:rsidR="00033D0F">
        <w:t>in</w:t>
      </w:r>
      <w:r w:rsidR="00033D0F">
        <w:rPr>
          <w:spacing w:val="-13"/>
        </w:rPr>
        <w:t xml:space="preserve"> </w:t>
      </w:r>
      <w:r w:rsidR="00033D0F">
        <w:t>the</w:t>
      </w:r>
      <w:r w:rsidR="00033D0F">
        <w:rPr>
          <w:spacing w:val="-6"/>
        </w:rPr>
        <w:t xml:space="preserve"> </w:t>
      </w:r>
      <w:r w:rsidR="00033D0F">
        <w:t>Preliminary</w:t>
      </w:r>
      <w:r w:rsidR="00033D0F">
        <w:rPr>
          <w:spacing w:val="-10"/>
        </w:rPr>
        <w:t xml:space="preserve"> </w:t>
      </w:r>
      <w:r w:rsidR="00033D0F">
        <w:t>Determination,</w:t>
      </w:r>
      <w:r w:rsidR="00033D0F">
        <w:rPr>
          <w:spacing w:val="-9"/>
        </w:rPr>
        <w:t xml:space="preserve"> </w:t>
      </w:r>
      <w:r w:rsidR="00033D0F">
        <w:t>MOFCOM</w:t>
      </w:r>
      <w:r w:rsidR="00033D0F">
        <w:rPr>
          <w:spacing w:val="-10"/>
        </w:rPr>
        <w:t xml:space="preserve"> </w:t>
      </w:r>
      <w:r w:rsidR="00033D0F">
        <w:t>"stressed</w:t>
      </w:r>
      <w:r w:rsidR="00033D0F">
        <w:rPr>
          <w:spacing w:val="-13"/>
        </w:rPr>
        <w:t xml:space="preserve"> </w:t>
      </w:r>
      <w:r w:rsidR="00033D0F">
        <w:t>that</w:t>
      </w:r>
      <w:r w:rsidR="00033D0F">
        <w:rPr>
          <w:spacing w:val="-10"/>
        </w:rPr>
        <w:t xml:space="preserve"> </w:t>
      </w:r>
      <w:r w:rsidR="00033D0F">
        <w:t>the</w:t>
      </w:r>
      <w:r w:rsidR="00033D0F">
        <w:rPr>
          <w:spacing w:val="-11"/>
        </w:rPr>
        <w:t xml:space="preserve"> </w:t>
      </w:r>
      <w:r w:rsidR="00033D0F">
        <w:t>scope</w:t>
      </w:r>
      <w:r w:rsidR="00033D0F">
        <w:rPr>
          <w:spacing w:val="-6"/>
        </w:rPr>
        <w:t xml:space="preserve"> </w:t>
      </w:r>
      <w:r w:rsidR="00033D0F">
        <w:t>of</w:t>
      </w:r>
      <w:r w:rsidR="00033D0F">
        <w:rPr>
          <w:spacing w:val="-8"/>
        </w:rPr>
        <w:t xml:space="preserve"> </w:t>
      </w:r>
      <w:r w:rsidR="00033D0F">
        <w:t>the product under investigation is based on the product description";</w:t>
      </w:r>
      <w:hyperlink w:anchor="_bookmark870" w:history="1">
        <w:r w:rsidR="00033D0F">
          <w:rPr>
            <w:vertAlign w:val="superscript"/>
          </w:rPr>
          <w:t>739</w:t>
        </w:r>
      </w:hyperlink>
      <w:r w:rsidR="00033D0F">
        <w:rPr>
          <w:spacing w:val="-10"/>
        </w:rPr>
        <w:t xml:space="preserve"> </w:t>
      </w:r>
      <w:r w:rsidR="00033D0F">
        <w:t>(ii) MOFCOM's product description</w:t>
      </w:r>
      <w:r w:rsidR="00033D0F">
        <w:rPr>
          <w:spacing w:val="-8"/>
        </w:rPr>
        <w:t xml:space="preserve"> </w:t>
      </w:r>
      <w:r w:rsidR="00033D0F">
        <w:t>of</w:t>
      </w:r>
      <w:r w:rsidR="00033D0F">
        <w:rPr>
          <w:spacing w:val="-8"/>
        </w:rPr>
        <w:t xml:space="preserve"> </w:t>
      </w:r>
      <w:r w:rsidR="00033D0F">
        <w:t>the</w:t>
      </w:r>
      <w:r w:rsidR="00033D0F">
        <w:rPr>
          <w:spacing w:val="-6"/>
        </w:rPr>
        <w:t xml:space="preserve"> </w:t>
      </w:r>
      <w:r w:rsidR="00033D0F">
        <w:t>PUC</w:t>
      </w:r>
      <w:r w:rsidR="00033D0F">
        <w:rPr>
          <w:spacing w:val="-5"/>
        </w:rPr>
        <w:t xml:space="preserve"> </w:t>
      </w:r>
      <w:r w:rsidR="00033D0F">
        <w:t>did</w:t>
      </w:r>
      <w:r w:rsidR="00033D0F">
        <w:rPr>
          <w:spacing w:val="-8"/>
        </w:rPr>
        <w:t xml:space="preserve"> </w:t>
      </w:r>
      <w:r w:rsidR="00033D0F">
        <w:t>not</w:t>
      </w:r>
      <w:r w:rsidR="00033D0F">
        <w:rPr>
          <w:spacing w:val="-6"/>
        </w:rPr>
        <w:t xml:space="preserve"> </w:t>
      </w:r>
      <w:r w:rsidR="00033D0F">
        <w:t>include</w:t>
      </w:r>
      <w:r w:rsidR="00033D0F">
        <w:rPr>
          <w:spacing w:val="-6"/>
        </w:rPr>
        <w:t xml:space="preserve"> </w:t>
      </w:r>
      <w:r w:rsidR="00033D0F">
        <w:t>any</w:t>
      </w:r>
      <w:r w:rsidR="00033D0F">
        <w:rPr>
          <w:spacing w:val="-5"/>
        </w:rPr>
        <w:t xml:space="preserve"> </w:t>
      </w:r>
      <w:r w:rsidR="00033D0F">
        <w:t>reference</w:t>
      </w:r>
      <w:r w:rsidR="00033D0F">
        <w:rPr>
          <w:spacing w:val="-6"/>
        </w:rPr>
        <w:t xml:space="preserve"> </w:t>
      </w:r>
      <w:r w:rsidR="00033D0F">
        <w:t>to</w:t>
      </w:r>
      <w:r w:rsidR="00033D0F">
        <w:rPr>
          <w:spacing w:val="-9"/>
        </w:rPr>
        <w:t xml:space="preserve"> </w:t>
      </w:r>
      <w:r w:rsidR="00033D0F">
        <w:t>"fortified</w:t>
      </w:r>
      <w:r w:rsidR="00033D0F">
        <w:rPr>
          <w:spacing w:val="-8"/>
        </w:rPr>
        <w:t xml:space="preserve"> </w:t>
      </w:r>
      <w:r w:rsidR="00033D0F">
        <w:t>wines";</w:t>
      </w:r>
      <w:hyperlink w:anchor="_bookmark871" w:history="1">
        <w:r w:rsidR="00033D0F">
          <w:rPr>
            <w:vertAlign w:val="superscript"/>
          </w:rPr>
          <w:t>740</w:t>
        </w:r>
      </w:hyperlink>
      <w:r w:rsidR="00033D0F">
        <w:rPr>
          <w:spacing w:val="-5"/>
        </w:rPr>
        <w:t xml:space="preserve"> </w:t>
      </w:r>
      <w:r w:rsidR="00033D0F">
        <w:t>and</w:t>
      </w:r>
      <w:r w:rsidR="00033D0F">
        <w:rPr>
          <w:spacing w:val="-8"/>
        </w:rPr>
        <w:t xml:space="preserve"> </w:t>
      </w:r>
      <w:r w:rsidR="00033D0F">
        <w:t>(iii)</w:t>
      </w:r>
      <w:r w:rsidR="00033D0F">
        <w:rPr>
          <w:spacing w:val="-8"/>
        </w:rPr>
        <w:t xml:space="preserve"> </w:t>
      </w:r>
      <w:r w:rsidR="00033D0F">
        <w:t>MOFCOM expressly excluded "liqueur wines" from the definition of like domestic products</w:t>
      </w:r>
      <w:hyperlink w:anchor="_bookmark872" w:history="1">
        <w:r w:rsidR="00033D0F">
          <w:rPr>
            <w:vertAlign w:val="superscript"/>
          </w:rPr>
          <w:t>741</w:t>
        </w:r>
      </w:hyperlink>
      <w:r w:rsidR="00033D0F">
        <w:t xml:space="preserve"> and did not include fortified wines in its estimate of total domestic production.</w:t>
      </w:r>
      <w:hyperlink w:anchor="_bookmark873" w:history="1">
        <w:r w:rsidR="00033D0F">
          <w:rPr>
            <w:vertAlign w:val="superscript"/>
          </w:rPr>
          <w:t>742</w:t>
        </w:r>
      </w:hyperlink>
      <w:r w:rsidR="00033D0F">
        <w:t xml:space="preserve"> As a result, it is unclear</w:t>
      </w:r>
      <w:r w:rsidR="00033D0F">
        <w:rPr>
          <w:spacing w:val="80"/>
        </w:rPr>
        <w:t xml:space="preserve"> </w:t>
      </w:r>
      <w:r w:rsidR="00033D0F">
        <w:t>whether</w:t>
      </w:r>
      <w:r w:rsidR="00033D0F">
        <w:rPr>
          <w:spacing w:val="80"/>
        </w:rPr>
        <w:t xml:space="preserve"> </w:t>
      </w:r>
      <w:r w:rsidR="00033D0F">
        <w:t>MOFCOM's</w:t>
      </w:r>
      <w:r w:rsidR="00033D0F">
        <w:rPr>
          <w:spacing w:val="80"/>
        </w:rPr>
        <w:t xml:space="preserve"> </w:t>
      </w:r>
      <w:r w:rsidR="00033D0F">
        <w:t>examination</w:t>
      </w:r>
      <w:r w:rsidR="00033D0F">
        <w:rPr>
          <w:spacing w:val="80"/>
        </w:rPr>
        <w:t xml:space="preserve"> </w:t>
      </w:r>
      <w:r w:rsidR="00033D0F">
        <w:t>of</w:t>
      </w:r>
      <w:r w:rsidR="00033D0F">
        <w:rPr>
          <w:spacing w:val="80"/>
        </w:rPr>
        <w:t xml:space="preserve"> </w:t>
      </w:r>
      <w:r w:rsidR="00033D0F">
        <w:t>price</w:t>
      </w:r>
      <w:r w:rsidR="00033D0F">
        <w:rPr>
          <w:spacing w:val="80"/>
        </w:rPr>
        <w:t xml:space="preserve"> </w:t>
      </w:r>
      <w:r w:rsidR="00033D0F">
        <w:t>suppression</w:t>
      </w:r>
      <w:r w:rsidR="00033D0F">
        <w:rPr>
          <w:spacing w:val="80"/>
        </w:rPr>
        <w:t xml:space="preserve"> </w:t>
      </w:r>
      <w:r w:rsidR="00033D0F">
        <w:t>reflected</w:t>
      </w:r>
      <w:r w:rsidR="00033D0F">
        <w:rPr>
          <w:spacing w:val="80"/>
        </w:rPr>
        <w:t xml:space="preserve"> </w:t>
      </w:r>
      <w:r w:rsidR="00033D0F">
        <w:t>an</w:t>
      </w:r>
      <w:r w:rsidR="00033D0F">
        <w:rPr>
          <w:spacing w:val="80"/>
        </w:rPr>
        <w:t xml:space="preserve"> </w:t>
      </w:r>
      <w:r w:rsidR="00033D0F">
        <w:t>objective</w:t>
      </w:r>
    </w:p>
    <w:p w14:paraId="374511D8" w14:textId="13BD8A37" w:rsidR="00BD462C" w:rsidRDefault="00752F01">
      <w:pPr>
        <w:pStyle w:val="BodyText"/>
        <w:rPr>
          <w:sz w:val="20"/>
        </w:rPr>
      </w:pPr>
      <w:r>
        <w:rPr>
          <w:noProof/>
        </w:rPr>
        <mc:AlternateContent>
          <mc:Choice Requires="wps">
            <w:drawing>
              <wp:anchor distT="0" distB="0" distL="0" distR="0" simplePos="0" relativeHeight="488264192" behindDoc="1" locked="0" layoutInCell="1" allowOverlap="1" wp14:anchorId="69209788" wp14:editId="696C14F4">
                <wp:simplePos x="0" y="0"/>
                <wp:positionH relativeFrom="page">
                  <wp:posOffset>812800</wp:posOffset>
                </wp:positionH>
                <wp:positionV relativeFrom="paragraph">
                  <wp:posOffset>264160</wp:posOffset>
                </wp:positionV>
                <wp:extent cx="1828800" cy="8890"/>
                <wp:effectExtent l="0" t="0" r="0" b="0"/>
                <wp:wrapTopAndBottom/>
                <wp:docPr id="243" name="docshape6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771EF2" id="docshape664" o:spid="_x0000_s1026" alt="&quot;&quot;" style="position:absolute;margin-left:64pt;margin-top:20.8pt;width:2in;height:.7pt;z-index:-15052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" fillcolor="black" stroked="f">
                <w10:wrap type="topAndBottom" anchorx="page"/>
              </v:rect>
            </w:pict>
          </mc:Fallback>
        </mc:AlternateContent>
      </w:r>
    </w:p>
    <w:p w14:paraId="6FCA5173" w14:textId="6ED24568" w:rsidR="00BD462C" w:rsidRDefault="00BD462C">
      <w:pPr>
        <w:pStyle w:val="BodyText"/>
        <w:spacing w:before="11"/>
        <w:rPr>
          <w:sz w:val="13"/>
        </w:rPr>
      </w:pPr>
    </w:p>
    <w:p w14:paraId="3FA39BA5" w14:textId="77777777" w:rsidR="00BD462C" w:rsidRDefault="00033D0F">
      <w:pPr>
        <w:spacing w:before="112"/>
        <w:ind w:left="135"/>
        <w:rPr>
          <w:sz w:val="18"/>
        </w:rPr>
      </w:pPr>
      <w:bookmarkStart w:id="1010" w:name="_bookmark868"/>
      <w:bookmarkEnd w:id="1010"/>
      <w:r>
        <w:rPr>
          <w:position w:val="5"/>
          <w:sz w:val="12"/>
        </w:rPr>
        <w:t>737</w:t>
      </w:r>
      <w:r>
        <w:rPr>
          <w:spacing w:val="12"/>
          <w:position w:val="5"/>
          <w:sz w:val="12"/>
        </w:rPr>
        <w:t xml:space="preserve"> </w:t>
      </w:r>
      <w:r>
        <w:rPr>
          <w:sz w:val="18"/>
        </w:rPr>
        <w:t>China's</w:t>
      </w:r>
      <w:r>
        <w:rPr>
          <w:spacing w:val="-6"/>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 paras.</w:t>
      </w:r>
      <w:r>
        <w:rPr>
          <w:spacing w:val="-5"/>
          <w:sz w:val="18"/>
        </w:rPr>
        <w:t xml:space="preserve"> </w:t>
      </w:r>
      <w:r>
        <w:rPr>
          <w:sz w:val="18"/>
        </w:rPr>
        <w:t>1023-</w:t>
      </w:r>
      <w:r>
        <w:rPr>
          <w:spacing w:val="-2"/>
          <w:sz w:val="18"/>
        </w:rPr>
        <w:t>1029.</w:t>
      </w:r>
    </w:p>
    <w:p w14:paraId="0296CDF4" w14:textId="77777777" w:rsidR="00BD462C" w:rsidRDefault="00033D0F">
      <w:pPr>
        <w:spacing w:before="1"/>
        <w:ind w:left="135"/>
        <w:rPr>
          <w:sz w:val="18"/>
        </w:rPr>
      </w:pPr>
      <w:bookmarkStart w:id="1011" w:name="_bookmark869"/>
      <w:bookmarkEnd w:id="1011"/>
      <w:r>
        <w:rPr>
          <w:position w:val="5"/>
          <w:sz w:val="12"/>
        </w:rPr>
        <w:t>738</w:t>
      </w:r>
      <w:r>
        <w:rPr>
          <w:spacing w:val="15"/>
          <w:position w:val="5"/>
          <w:sz w:val="12"/>
        </w:rPr>
        <w:t xml:space="preserve"> </w:t>
      </w:r>
      <w:r>
        <w:rPr>
          <w:sz w:val="18"/>
        </w:rPr>
        <w:t>China's</w:t>
      </w:r>
      <w:r>
        <w:rPr>
          <w:spacing w:val="1"/>
          <w:sz w:val="18"/>
        </w:rPr>
        <w:t xml:space="preserve"> </w:t>
      </w:r>
      <w:r>
        <w:rPr>
          <w:sz w:val="18"/>
        </w:rPr>
        <w:t>response</w:t>
      </w:r>
      <w:r>
        <w:rPr>
          <w:spacing w:val="-4"/>
          <w:sz w:val="18"/>
        </w:rPr>
        <w:t xml:space="preserve"> </w:t>
      </w:r>
      <w:r>
        <w:rPr>
          <w:sz w:val="18"/>
        </w:rPr>
        <w:t>to</w:t>
      </w:r>
      <w:r>
        <w:rPr>
          <w:spacing w:val="-10"/>
          <w:sz w:val="18"/>
        </w:rPr>
        <w:t xml:space="preserve"> </w:t>
      </w:r>
      <w:r>
        <w:rPr>
          <w:sz w:val="18"/>
        </w:rPr>
        <w:t>Panel</w:t>
      </w:r>
      <w:r>
        <w:rPr>
          <w:spacing w:val="-2"/>
          <w:sz w:val="18"/>
        </w:rPr>
        <w:t xml:space="preserve"> </w:t>
      </w:r>
      <w:r>
        <w:rPr>
          <w:sz w:val="18"/>
        </w:rPr>
        <w:t>question</w:t>
      </w:r>
      <w:r>
        <w:rPr>
          <w:spacing w:val="-5"/>
          <w:sz w:val="18"/>
        </w:rPr>
        <w:t xml:space="preserve"> </w:t>
      </w:r>
      <w:r>
        <w:rPr>
          <w:sz w:val="18"/>
        </w:rPr>
        <w:t>No.</w:t>
      </w:r>
      <w:r>
        <w:rPr>
          <w:spacing w:val="2"/>
          <w:sz w:val="18"/>
        </w:rPr>
        <w:t xml:space="preserve"> </w:t>
      </w:r>
      <w:r>
        <w:rPr>
          <w:sz w:val="18"/>
        </w:rPr>
        <w:t>21;</w:t>
      </w:r>
      <w:r>
        <w:rPr>
          <w:spacing w:val="-6"/>
          <w:sz w:val="18"/>
        </w:rPr>
        <w:t xml:space="preserve"> </w:t>
      </w:r>
      <w:r>
        <w:rPr>
          <w:sz w:val="18"/>
        </w:rPr>
        <w:t>Australia's</w:t>
      </w:r>
      <w:r>
        <w:rPr>
          <w:spacing w:val="-3"/>
          <w:sz w:val="18"/>
        </w:rPr>
        <w:t xml:space="preserve"> </w:t>
      </w:r>
      <w:r>
        <w:rPr>
          <w:sz w:val="18"/>
        </w:rPr>
        <w:t>response</w:t>
      </w:r>
      <w:r>
        <w:rPr>
          <w:spacing w:val="-4"/>
          <w:sz w:val="18"/>
        </w:rPr>
        <w:t xml:space="preserve"> </w:t>
      </w:r>
      <w:r>
        <w:rPr>
          <w:sz w:val="18"/>
        </w:rPr>
        <w:t>to</w:t>
      </w:r>
      <w:r>
        <w:rPr>
          <w:spacing w:val="-9"/>
          <w:sz w:val="18"/>
        </w:rPr>
        <w:t xml:space="preserve"> </w:t>
      </w:r>
      <w:r>
        <w:rPr>
          <w:sz w:val="18"/>
        </w:rPr>
        <w:t>Panel</w:t>
      </w:r>
      <w:r>
        <w:rPr>
          <w:spacing w:val="-3"/>
          <w:sz w:val="18"/>
        </w:rPr>
        <w:t xml:space="preserve"> </w:t>
      </w:r>
      <w:r>
        <w:rPr>
          <w:sz w:val="18"/>
        </w:rPr>
        <w:t>question</w:t>
      </w:r>
      <w:r>
        <w:rPr>
          <w:spacing w:val="-5"/>
          <w:sz w:val="18"/>
        </w:rPr>
        <w:t xml:space="preserve"> </w:t>
      </w:r>
      <w:r>
        <w:rPr>
          <w:sz w:val="18"/>
        </w:rPr>
        <w:t>No.</w:t>
      </w:r>
      <w:r>
        <w:rPr>
          <w:spacing w:val="2"/>
          <w:sz w:val="18"/>
        </w:rPr>
        <w:t xml:space="preserve"> </w:t>
      </w:r>
      <w:r>
        <w:rPr>
          <w:spacing w:val="-5"/>
          <w:sz w:val="18"/>
        </w:rPr>
        <w:t>21.</w:t>
      </w:r>
    </w:p>
    <w:p w14:paraId="6E67C847" w14:textId="77777777" w:rsidR="00BD462C" w:rsidRDefault="00033D0F">
      <w:pPr>
        <w:spacing w:before="1" w:line="218" w:lineRule="exact"/>
        <w:ind w:left="135"/>
        <w:rPr>
          <w:sz w:val="18"/>
        </w:rPr>
      </w:pPr>
      <w:bookmarkStart w:id="1012" w:name="_bookmark870"/>
      <w:bookmarkEnd w:id="1012"/>
      <w:r>
        <w:rPr>
          <w:position w:val="5"/>
          <w:sz w:val="12"/>
        </w:rPr>
        <w:t>739</w:t>
      </w:r>
      <w:r>
        <w:rPr>
          <w:spacing w:val="12"/>
          <w:position w:val="5"/>
          <w:sz w:val="12"/>
        </w:rPr>
        <w:t xml:space="preserve"> </w:t>
      </w:r>
      <w:r>
        <w:rPr>
          <w:sz w:val="18"/>
        </w:rPr>
        <w:t>Anti-Dumping</w:t>
      </w:r>
      <w:r>
        <w:rPr>
          <w:spacing w:val="-5"/>
          <w:sz w:val="18"/>
        </w:rPr>
        <w:t xml:space="preserve"> </w:t>
      </w:r>
      <w:r>
        <w:rPr>
          <w:sz w:val="18"/>
        </w:rPr>
        <w:t>Preliminary</w:t>
      </w:r>
      <w:r>
        <w:rPr>
          <w:spacing w:val="-8"/>
          <w:sz w:val="18"/>
        </w:rPr>
        <w:t xml:space="preserve"> </w:t>
      </w:r>
      <w:r>
        <w:rPr>
          <w:sz w:val="18"/>
        </w:rPr>
        <w:t>Determination</w:t>
      </w:r>
      <w:r>
        <w:rPr>
          <w:spacing w:val="-6"/>
          <w:sz w:val="18"/>
        </w:rPr>
        <w:t xml:space="preserve"> </w:t>
      </w:r>
      <w:r>
        <w:rPr>
          <w:sz w:val="18"/>
        </w:rPr>
        <w:t>(Exhibit</w:t>
      </w:r>
      <w:r>
        <w:rPr>
          <w:spacing w:val="-5"/>
          <w:sz w:val="18"/>
        </w:rPr>
        <w:t xml:space="preserve"> </w:t>
      </w:r>
      <w:r>
        <w:rPr>
          <w:sz w:val="18"/>
        </w:rPr>
        <w:t xml:space="preserve">AUS-35), p. </w:t>
      </w:r>
      <w:r>
        <w:rPr>
          <w:spacing w:val="-5"/>
          <w:sz w:val="18"/>
        </w:rPr>
        <w:t>11.</w:t>
      </w:r>
    </w:p>
    <w:p w14:paraId="1E7B464E" w14:textId="77777777" w:rsidR="00BD462C" w:rsidRDefault="00033D0F">
      <w:pPr>
        <w:ind w:left="136" w:right="910" w:hanging="1"/>
        <w:jc w:val="both"/>
        <w:rPr>
          <w:sz w:val="18"/>
        </w:rPr>
      </w:pPr>
      <w:bookmarkStart w:id="1013" w:name="_bookmark871"/>
      <w:bookmarkEnd w:id="1013"/>
      <w:r>
        <w:rPr>
          <w:position w:val="5"/>
          <w:sz w:val="12"/>
        </w:rPr>
        <w:t>740</w:t>
      </w:r>
      <w:r>
        <w:rPr>
          <w:spacing w:val="22"/>
          <w:position w:val="5"/>
          <w:sz w:val="12"/>
        </w:rPr>
        <w:t xml:space="preserve"> </w:t>
      </w:r>
      <w:r>
        <w:rPr>
          <w:sz w:val="18"/>
        </w:rPr>
        <w:t xml:space="preserve">Rather, the subject products are defined as "wines in containers holding 2 </w:t>
      </w:r>
      <w:proofErr w:type="spellStart"/>
      <w:r>
        <w:rPr>
          <w:sz w:val="18"/>
        </w:rPr>
        <w:t>litres</w:t>
      </w:r>
      <w:proofErr w:type="spellEnd"/>
      <w:r>
        <w:rPr>
          <w:spacing w:val="-2"/>
          <w:sz w:val="18"/>
        </w:rPr>
        <w:t xml:space="preserve"> </w:t>
      </w:r>
      <w:r>
        <w:rPr>
          <w:sz w:val="18"/>
        </w:rPr>
        <w:t>or less that are made from</w:t>
      </w:r>
      <w:r>
        <w:rPr>
          <w:spacing w:val="-5"/>
          <w:sz w:val="18"/>
        </w:rPr>
        <w:t xml:space="preserve"> </w:t>
      </w:r>
      <w:r>
        <w:rPr>
          <w:sz w:val="18"/>
        </w:rPr>
        <w:t>full or partial fermentation,</w:t>
      </w:r>
      <w:r>
        <w:rPr>
          <w:spacing w:val="-8"/>
          <w:sz w:val="18"/>
        </w:rPr>
        <w:t xml:space="preserve"> </w:t>
      </w:r>
      <w:r>
        <w:rPr>
          <w:sz w:val="18"/>
        </w:rPr>
        <w:t>with</w:t>
      </w:r>
      <w:r>
        <w:rPr>
          <w:spacing w:val="-8"/>
          <w:sz w:val="18"/>
        </w:rPr>
        <w:t xml:space="preserve"> </w:t>
      </w:r>
      <w:r>
        <w:rPr>
          <w:sz w:val="18"/>
        </w:rPr>
        <w:t>fresh</w:t>
      </w:r>
      <w:r>
        <w:rPr>
          <w:spacing w:val="-8"/>
          <w:sz w:val="18"/>
        </w:rPr>
        <w:t xml:space="preserve"> </w:t>
      </w:r>
      <w:r>
        <w:rPr>
          <w:sz w:val="18"/>
        </w:rPr>
        <w:t>grapes</w:t>
      </w:r>
      <w:r>
        <w:rPr>
          <w:spacing w:val="-8"/>
          <w:sz w:val="18"/>
        </w:rPr>
        <w:t xml:space="preserve"> </w:t>
      </w:r>
      <w:r>
        <w:rPr>
          <w:sz w:val="18"/>
        </w:rPr>
        <w:t>or</w:t>
      </w:r>
      <w:r>
        <w:rPr>
          <w:spacing w:val="-10"/>
          <w:sz w:val="18"/>
        </w:rPr>
        <w:t xml:space="preserve"> </w:t>
      </w:r>
      <w:r>
        <w:rPr>
          <w:sz w:val="18"/>
        </w:rPr>
        <w:t>grape</w:t>
      </w:r>
      <w:r>
        <w:rPr>
          <w:spacing w:val="-8"/>
          <w:sz w:val="18"/>
        </w:rPr>
        <w:t xml:space="preserve"> </w:t>
      </w:r>
      <w:r>
        <w:rPr>
          <w:sz w:val="18"/>
        </w:rPr>
        <w:t>juice</w:t>
      </w:r>
      <w:r>
        <w:rPr>
          <w:spacing w:val="-8"/>
          <w:sz w:val="18"/>
        </w:rPr>
        <w:t xml:space="preserve"> </w:t>
      </w:r>
      <w:r>
        <w:rPr>
          <w:sz w:val="18"/>
        </w:rPr>
        <w:t>as</w:t>
      </w:r>
      <w:r>
        <w:rPr>
          <w:spacing w:val="-8"/>
          <w:sz w:val="18"/>
        </w:rPr>
        <w:t xml:space="preserve"> </w:t>
      </w:r>
      <w:r>
        <w:rPr>
          <w:sz w:val="18"/>
        </w:rPr>
        <w:t>raw</w:t>
      </w:r>
      <w:r>
        <w:rPr>
          <w:spacing w:val="-9"/>
          <w:sz w:val="18"/>
        </w:rPr>
        <w:t xml:space="preserve"> </w:t>
      </w:r>
      <w:r>
        <w:rPr>
          <w:sz w:val="18"/>
        </w:rPr>
        <w:t>material".</w:t>
      </w:r>
      <w:r>
        <w:rPr>
          <w:spacing w:val="-7"/>
          <w:sz w:val="18"/>
        </w:rPr>
        <w:t xml:space="preserve"> </w:t>
      </w:r>
      <w:r>
        <w:rPr>
          <w:sz w:val="18"/>
        </w:rPr>
        <w:t>The</w:t>
      </w:r>
      <w:r>
        <w:rPr>
          <w:spacing w:val="-8"/>
          <w:sz w:val="18"/>
        </w:rPr>
        <w:t xml:space="preserve"> </w:t>
      </w:r>
      <w:r>
        <w:rPr>
          <w:sz w:val="18"/>
        </w:rPr>
        <w:t>Final</w:t>
      </w:r>
      <w:r>
        <w:rPr>
          <w:spacing w:val="-2"/>
          <w:sz w:val="18"/>
        </w:rPr>
        <w:t xml:space="preserve"> </w:t>
      </w:r>
      <w:r>
        <w:rPr>
          <w:sz w:val="18"/>
        </w:rPr>
        <w:t>Determination</w:t>
      </w:r>
      <w:r>
        <w:rPr>
          <w:spacing w:val="-11"/>
          <w:sz w:val="18"/>
        </w:rPr>
        <w:t xml:space="preserve"> </w:t>
      </w:r>
      <w:r>
        <w:rPr>
          <w:sz w:val="18"/>
        </w:rPr>
        <w:t>provides</w:t>
      </w:r>
      <w:r>
        <w:rPr>
          <w:spacing w:val="-7"/>
          <w:sz w:val="18"/>
        </w:rPr>
        <w:t xml:space="preserve"> </w:t>
      </w:r>
      <w:r>
        <w:rPr>
          <w:sz w:val="18"/>
        </w:rPr>
        <w:t>that</w:t>
      </w:r>
      <w:r>
        <w:rPr>
          <w:spacing w:val="-7"/>
          <w:sz w:val="18"/>
        </w:rPr>
        <w:t xml:space="preserve"> </w:t>
      </w:r>
      <w:r>
        <w:rPr>
          <w:sz w:val="18"/>
        </w:rPr>
        <w:t>"[t]his</w:t>
      </w:r>
      <w:r>
        <w:rPr>
          <w:spacing w:val="-8"/>
          <w:sz w:val="18"/>
        </w:rPr>
        <w:t xml:space="preserve"> </w:t>
      </w:r>
      <w:r>
        <w:rPr>
          <w:sz w:val="18"/>
        </w:rPr>
        <w:t>product</w:t>
      </w:r>
      <w:r>
        <w:rPr>
          <w:spacing w:val="-7"/>
          <w:sz w:val="18"/>
        </w:rPr>
        <w:t xml:space="preserve"> </w:t>
      </w:r>
      <w:r>
        <w:rPr>
          <w:sz w:val="18"/>
        </w:rPr>
        <w:t>is</w:t>
      </w:r>
      <w:r>
        <w:rPr>
          <w:spacing w:val="-8"/>
          <w:sz w:val="18"/>
        </w:rPr>
        <w:t xml:space="preserve"> </w:t>
      </w:r>
      <w:r>
        <w:rPr>
          <w:sz w:val="18"/>
        </w:rPr>
        <w:t>listed under the tariff heading 22042100 in the Customs Import and Export Tariff of the People's Republic of China". Further clarification provides that "all the Subject Products were listed under the tariff heading of 22042100 […], and the products listed under other tariff headings did not belong to the Subject Product" (Exhibit CHN-1, p. 15; Exhibit AUS-2, pp. 31-32). These statements do not indicate that tariff code 22042100 defines the product under investigation, but rather that all products falling within the scope of the investigation are classified under this tariff code.</w:t>
      </w:r>
    </w:p>
    <w:p w14:paraId="7A44E823" w14:textId="77777777" w:rsidR="00BD462C" w:rsidRDefault="00033D0F">
      <w:pPr>
        <w:spacing w:before="1"/>
        <w:ind w:left="135" w:right="909"/>
        <w:jc w:val="both"/>
        <w:rPr>
          <w:sz w:val="18"/>
        </w:rPr>
      </w:pPr>
      <w:bookmarkStart w:id="1014" w:name="_bookmark872"/>
      <w:bookmarkEnd w:id="1014"/>
      <w:r>
        <w:rPr>
          <w:position w:val="5"/>
          <w:sz w:val="12"/>
        </w:rPr>
        <w:t>741</w:t>
      </w:r>
      <w:r>
        <w:rPr>
          <w:spacing w:val="27"/>
          <w:position w:val="5"/>
          <w:sz w:val="12"/>
        </w:rPr>
        <w:t xml:space="preserve"> </w:t>
      </w:r>
      <w:r>
        <w:rPr>
          <w:sz w:val="18"/>
        </w:rPr>
        <w:t xml:space="preserve">China's response to Panel's question 15 states that the products which it excluded from the scope of the domestic like products "included certain (but not all) liqueur wines" (para. 52), and that the scope "included certain (but not all) liqueur wines" (para. 52). This is </w:t>
      </w:r>
      <w:r>
        <w:rPr>
          <w:i/>
          <w:sz w:val="18"/>
        </w:rPr>
        <w:t xml:space="preserve">ex post facto </w:t>
      </w:r>
      <w:proofErr w:type="spellStart"/>
      <w:r>
        <w:rPr>
          <w:sz w:val="18"/>
        </w:rPr>
        <w:t>rationalisation</w:t>
      </w:r>
      <w:proofErr w:type="spellEnd"/>
      <w:r>
        <w:rPr>
          <w:sz w:val="18"/>
        </w:rPr>
        <w:t>. MOFCOM's Final Determination does not contain these detailed explanations. Rather, it plainly states that CADA's data included "other wines beyond the product scope subject to the Application, including liqueur wines, […] distilled wines". It did not state "some" liqueur wines or "certain" liqueur wines.</w:t>
      </w:r>
    </w:p>
    <w:p w14:paraId="408A83B2" w14:textId="77777777" w:rsidR="00BD462C" w:rsidRDefault="00033D0F">
      <w:pPr>
        <w:ind w:left="135" w:right="914"/>
        <w:jc w:val="both"/>
        <w:rPr>
          <w:sz w:val="18"/>
        </w:rPr>
      </w:pPr>
      <w:bookmarkStart w:id="1015" w:name="_bookmark873"/>
      <w:bookmarkEnd w:id="1015"/>
      <w:r>
        <w:rPr>
          <w:position w:val="5"/>
          <w:sz w:val="12"/>
        </w:rPr>
        <w:t>742</w:t>
      </w:r>
      <w:r>
        <w:rPr>
          <w:spacing w:val="40"/>
          <w:position w:val="5"/>
          <w:sz w:val="12"/>
        </w:rPr>
        <w:t xml:space="preserve"> </w:t>
      </w:r>
      <w:r>
        <w:rPr>
          <w:sz w:val="18"/>
        </w:rPr>
        <w:t>Anti-Dumping Final Determination (Exhibit AUS-2), p. 109; China's response to Panel question No. 16, para. 55; and Exhibit CHN-32 (BCI).</w:t>
      </w:r>
    </w:p>
    <w:p w14:paraId="1CEB1C9B" w14:textId="77777777" w:rsidR="00BD462C" w:rsidRDefault="00BD462C">
      <w:pPr>
        <w:jc w:val="both"/>
        <w:rPr>
          <w:sz w:val="18"/>
        </w:rPr>
        <w:sectPr w:rsidR="00BD462C">
          <w:pgSz w:w="11910" w:h="16840"/>
          <w:pgMar w:top="860" w:right="500" w:bottom="780" w:left="1280" w:header="566" w:footer="590" w:gutter="0"/>
          <w:cols w:space="720"/>
        </w:sectPr>
      </w:pPr>
    </w:p>
    <w:p w14:paraId="02B53117"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7C28FD78"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4B90D4B0"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0E3C4AAB" w14:textId="77777777" w:rsidR="00BD462C" w:rsidRDefault="00033D0F">
      <w:pPr>
        <w:pStyle w:val="BodyText"/>
        <w:spacing w:before="102" w:line="360" w:lineRule="auto"/>
        <w:ind w:left="135" w:right="917"/>
        <w:jc w:val="both"/>
      </w:pPr>
      <w:r>
        <w:t>examination of positive evidence, because the volume and price trends observed in subject imports may have been attributable to: (i) the inclusion of non-subject imports in the data; and/or</w:t>
      </w:r>
      <w:r>
        <w:rPr>
          <w:spacing w:val="-11"/>
        </w:rPr>
        <w:t xml:space="preserve"> </w:t>
      </w:r>
      <w:r>
        <w:t>(ii)</w:t>
      </w:r>
      <w:r>
        <w:rPr>
          <w:spacing w:val="-10"/>
        </w:rPr>
        <w:t xml:space="preserve"> </w:t>
      </w:r>
      <w:r>
        <w:t>reflected</w:t>
      </w:r>
      <w:r>
        <w:rPr>
          <w:spacing w:val="-10"/>
        </w:rPr>
        <w:t xml:space="preserve"> </w:t>
      </w:r>
      <w:r>
        <w:t>the</w:t>
      </w:r>
      <w:r>
        <w:rPr>
          <w:spacing w:val="-8"/>
        </w:rPr>
        <w:t xml:space="preserve"> </w:t>
      </w:r>
      <w:r>
        <w:t>difference</w:t>
      </w:r>
      <w:r>
        <w:rPr>
          <w:spacing w:val="-8"/>
        </w:rPr>
        <w:t xml:space="preserve"> </w:t>
      </w:r>
      <w:r>
        <w:t>between</w:t>
      </w:r>
      <w:r>
        <w:rPr>
          <w:spacing w:val="-9"/>
        </w:rPr>
        <w:t xml:space="preserve"> </w:t>
      </w:r>
      <w:r>
        <w:t>the</w:t>
      </w:r>
      <w:r>
        <w:rPr>
          <w:spacing w:val="-8"/>
        </w:rPr>
        <w:t xml:space="preserve"> </w:t>
      </w:r>
      <w:r>
        <w:t>types</w:t>
      </w:r>
      <w:r>
        <w:rPr>
          <w:spacing w:val="-7"/>
        </w:rPr>
        <w:t xml:space="preserve"> </w:t>
      </w:r>
      <w:r>
        <w:t>of</w:t>
      </w:r>
      <w:r>
        <w:rPr>
          <w:spacing w:val="-10"/>
        </w:rPr>
        <w:t xml:space="preserve"> </w:t>
      </w:r>
      <w:r>
        <w:t>products</w:t>
      </w:r>
      <w:r>
        <w:rPr>
          <w:spacing w:val="-7"/>
        </w:rPr>
        <w:t xml:space="preserve"> </w:t>
      </w:r>
      <w:r>
        <w:t>included</w:t>
      </w:r>
      <w:r>
        <w:rPr>
          <w:spacing w:val="-10"/>
        </w:rPr>
        <w:t xml:space="preserve"> </w:t>
      </w:r>
      <w:r>
        <w:t>in</w:t>
      </w:r>
      <w:r>
        <w:rPr>
          <w:spacing w:val="-10"/>
        </w:rPr>
        <w:t xml:space="preserve"> </w:t>
      </w:r>
      <w:r>
        <w:t>the</w:t>
      </w:r>
      <w:r>
        <w:rPr>
          <w:spacing w:val="-8"/>
        </w:rPr>
        <w:t xml:space="preserve"> </w:t>
      </w:r>
      <w:r>
        <w:t>scope</w:t>
      </w:r>
      <w:r>
        <w:rPr>
          <w:spacing w:val="-8"/>
        </w:rPr>
        <w:t xml:space="preserve"> </w:t>
      </w:r>
      <w:r>
        <w:t>of</w:t>
      </w:r>
      <w:r>
        <w:rPr>
          <w:spacing w:val="-5"/>
        </w:rPr>
        <w:t xml:space="preserve"> </w:t>
      </w:r>
      <w:r>
        <w:t>the PUC as opposed to products in the scope of domestic like products.</w:t>
      </w:r>
    </w:p>
    <w:p w14:paraId="3A0936B9" w14:textId="77777777" w:rsidR="00BD462C" w:rsidRDefault="00033D0F">
      <w:pPr>
        <w:pStyle w:val="ListParagraph"/>
        <w:numPr>
          <w:ilvl w:val="1"/>
          <w:numId w:val="40"/>
        </w:numPr>
        <w:tabs>
          <w:tab w:val="left" w:pos="3539"/>
          <w:tab w:val="left" w:pos="3540"/>
        </w:tabs>
        <w:spacing w:before="158"/>
        <w:ind w:hanging="851"/>
        <w:jc w:val="both"/>
        <w:rPr>
          <w:sz w:val="24"/>
        </w:rPr>
      </w:pPr>
      <w:bookmarkStart w:id="1016" w:name="(b)_Apparent_consumption"/>
      <w:bookmarkEnd w:id="1016"/>
      <w:r>
        <w:rPr>
          <w:sz w:val="24"/>
          <w:u w:val="single"/>
        </w:rPr>
        <w:t>Apparent</w:t>
      </w:r>
      <w:r>
        <w:rPr>
          <w:spacing w:val="-10"/>
          <w:sz w:val="24"/>
          <w:u w:val="single"/>
        </w:rPr>
        <w:t xml:space="preserve"> </w:t>
      </w:r>
      <w:r>
        <w:rPr>
          <w:spacing w:val="-2"/>
          <w:sz w:val="24"/>
          <w:u w:val="single"/>
        </w:rPr>
        <w:t>consumption</w:t>
      </w:r>
    </w:p>
    <w:p w14:paraId="0E851E51" w14:textId="77777777" w:rsidR="00BD462C" w:rsidRDefault="00BD462C">
      <w:pPr>
        <w:pStyle w:val="BodyText"/>
        <w:spacing w:before="11"/>
        <w:rPr>
          <w:sz w:val="20"/>
        </w:rPr>
      </w:pPr>
    </w:p>
    <w:p w14:paraId="23E8CB5D" w14:textId="74D8C559" w:rsidR="00BD462C" w:rsidRDefault="00CF659E">
      <w:pPr>
        <w:pStyle w:val="BodyText"/>
        <w:spacing w:before="56" w:line="360" w:lineRule="auto"/>
        <w:ind w:left="135" w:right="980"/>
      </w:pPr>
      <w:r>
        <w:rPr>
          <w:noProof/>
        </w:rPr>
        <w:t>509.</w:t>
      </w:r>
      <w:r w:rsidR="00033D0F">
        <w:rPr>
          <w:rFonts w:ascii="Times New Roman"/>
          <w:spacing w:val="80"/>
          <w:position w:val="1"/>
          <w:sz w:val="20"/>
        </w:rPr>
        <w:t xml:space="preserve">   </w:t>
      </w:r>
      <w:r w:rsidR="00033D0F">
        <w:rPr>
          <w:position w:val="1"/>
        </w:rPr>
        <w:t xml:space="preserve">In order to arrive at its finding of price suppression, MOFCOM considered subject </w:t>
      </w:r>
      <w:r w:rsidR="00033D0F">
        <w:t>import</w:t>
      </w:r>
      <w:r w:rsidR="00033D0F">
        <w:rPr>
          <w:spacing w:val="-4"/>
        </w:rPr>
        <w:t xml:space="preserve"> </w:t>
      </w:r>
      <w:r w:rsidR="00033D0F">
        <w:t>volumes</w:t>
      </w:r>
      <w:r w:rsidR="00033D0F">
        <w:rPr>
          <w:spacing w:val="-3"/>
        </w:rPr>
        <w:t xml:space="preserve"> </w:t>
      </w:r>
      <w:r w:rsidR="00033D0F">
        <w:t>and</w:t>
      </w:r>
      <w:r w:rsidR="00033D0F">
        <w:rPr>
          <w:spacing w:val="-6"/>
        </w:rPr>
        <w:t xml:space="preserve"> </w:t>
      </w:r>
      <w:r w:rsidR="00033D0F">
        <w:t>domestic</w:t>
      </w:r>
      <w:r w:rsidR="00033D0F">
        <w:rPr>
          <w:spacing w:val="-6"/>
        </w:rPr>
        <w:t xml:space="preserve"> </w:t>
      </w:r>
      <w:r w:rsidR="00033D0F">
        <w:t>sales</w:t>
      </w:r>
      <w:r w:rsidR="00033D0F">
        <w:rPr>
          <w:spacing w:val="-3"/>
        </w:rPr>
        <w:t xml:space="preserve"> </w:t>
      </w:r>
      <w:r w:rsidR="00033D0F">
        <w:t>volumes</w:t>
      </w:r>
      <w:r w:rsidR="00033D0F">
        <w:rPr>
          <w:spacing w:val="-3"/>
        </w:rPr>
        <w:t xml:space="preserve"> </w:t>
      </w:r>
      <w:r w:rsidR="00033D0F">
        <w:t>relative</w:t>
      </w:r>
      <w:r w:rsidR="00033D0F">
        <w:rPr>
          <w:spacing w:val="-4"/>
        </w:rPr>
        <w:t xml:space="preserve"> </w:t>
      </w:r>
      <w:r w:rsidR="00033D0F">
        <w:t>to</w:t>
      </w:r>
      <w:r w:rsidR="00033D0F">
        <w:rPr>
          <w:spacing w:val="-7"/>
        </w:rPr>
        <w:t xml:space="preserve"> </w:t>
      </w:r>
      <w:r w:rsidR="00033D0F">
        <w:t>"apparent</w:t>
      </w:r>
      <w:r w:rsidR="00033D0F">
        <w:rPr>
          <w:spacing w:val="-4"/>
        </w:rPr>
        <w:t xml:space="preserve"> </w:t>
      </w:r>
      <w:r w:rsidR="00033D0F">
        <w:t>consumption".</w:t>
      </w:r>
      <w:r w:rsidR="00033D0F">
        <w:rPr>
          <w:spacing w:val="-3"/>
        </w:rPr>
        <w:t xml:space="preserve"> </w:t>
      </w:r>
      <w:r w:rsidR="00033D0F">
        <w:t>China</w:t>
      </w:r>
      <w:r w:rsidR="00033D0F">
        <w:rPr>
          <w:spacing w:val="-5"/>
        </w:rPr>
        <w:t xml:space="preserve"> </w:t>
      </w:r>
      <w:r w:rsidR="00033D0F">
        <w:t>has now confirmed that the "apparent consumption" figures that MOFCOM relied on were based on its estimate of total domestic production.</w:t>
      </w:r>
      <w:hyperlink w:anchor="_bookmark874" w:history="1">
        <w:r w:rsidR="00033D0F">
          <w:rPr>
            <w:vertAlign w:val="superscript"/>
          </w:rPr>
          <w:t>743</w:t>
        </w:r>
      </w:hyperlink>
      <w:r w:rsidR="00033D0F">
        <w:t xml:space="preserve"> The estimate of total domestic production is derived from: (i) underlying values of unknown provenance and unknown veracity; and (ii) a very simple formula that does not include relevant variables or controls and is therefore incapable of reaching an accurate estimate. As a result, MOFCOM's apparent consumption figures are not positive evidence.</w:t>
      </w:r>
    </w:p>
    <w:p w14:paraId="34CE82A2" w14:textId="77777777" w:rsidR="00BD462C" w:rsidRDefault="00033D0F">
      <w:pPr>
        <w:pStyle w:val="ListParagraph"/>
        <w:numPr>
          <w:ilvl w:val="1"/>
          <w:numId w:val="40"/>
        </w:numPr>
        <w:tabs>
          <w:tab w:val="left" w:pos="3539"/>
          <w:tab w:val="left" w:pos="3540"/>
        </w:tabs>
        <w:spacing w:before="157"/>
        <w:ind w:hanging="851"/>
        <w:rPr>
          <w:sz w:val="24"/>
        </w:rPr>
      </w:pPr>
      <w:bookmarkStart w:id="1017" w:name="(c)_Explanation_of_price_calculation_met"/>
      <w:bookmarkEnd w:id="1017"/>
      <w:r>
        <w:rPr>
          <w:sz w:val="24"/>
          <w:u w:val="single"/>
        </w:rPr>
        <w:t>Explanation</w:t>
      </w:r>
      <w:r>
        <w:rPr>
          <w:spacing w:val="-4"/>
          <w:sz w:val="24"/>
          <w:u w:val="single"/>
        </w:rPr>
        <w:t xml:space="preserve"> </w:t>
      </w:r>
      <w:r>
        <w:rPr>
          <w:sz w:val="24"/>
          <w:u w:val="single"/>
        </w:rPr>
        <w:t>of</w:t>
      </w:r>
      <w:r>
        <w:rPr>
          <w:spacing w:val="-3"/>
          <w:sz w:val="24"/>
          <w:u w:val="single"/>
        </w:rPr>
        <w:t xml:space="preserve"> </w:t>
      </w:r>
      <w:r>
        <w:rPr>
          <w:sz w:val="24"/>
          <w:u w:val="single"/>
        </w:rPr>
        <w:t>price</w:t>
      </w:r>
      <w:r>
        <w:rPr>
          <w:spacing w:val="-2"/>
          <w:sz w:val="24"/>
          <w:u w:val="single"/>
        </w:rPr>
        <w:t xml:space="preserve"> </w:t>
      </w:r>
      <w:r>
        <w:rPr>
          <w:sz w:val="24"/>
          <w:u w:val="single"/>
        </w:rPr>
        <w:t>calculation</w:t>
      </w:r>
      <w:r>
        <w:rPr>
          <w:spacing w:val="-3"/>
          <w:sz w:val="24"/>
          <w:u w:val="single"/>
        </w:rPr>
        <w:t xml:space="preserve"> </w:t>
      </w:r>
      <w:r>
        <w:rPr>
          <w:spacing w:val="-2"/>
          <w:sz w:val="24"/>
          <w:u w:val="single"/>
        </w:rPr>
        <w:t>methodology</w:t>
      </w:r>
    </w:p>
    <w:p w14:paraId="71763E24" w14:textId="77777777" w:rsidR="00BD462C" w:rsidRDefault="00BD462C">
      <w:pPr>
        <w:pStyle w:val="BodyText"/>
        <w:spacing w:before="11"/>
        <w:rPr>
          <w:sz w:val="20"/>
        </w:rPr>
      </w:pPr>
    </w:p>
    <w:p w14:paraId="603ADB3F" w14:textId="3C4D1082" w:rsidR="00BD462C" w:rsidRDefault="00CF659E">
      <w:pPr>
        <w:pStyle w:val="BodyText"/>
        <w:spacing w:before="56" w:line="360" w:lineRule="auto"/>
        <w:ind w:left="135" w:right="913"/>
        <w:jc w:val="both"/>
      </w:pPr>
      <w:r>
        <w:rPr>
          <w:noProof/>
        </w:rPr>
        <w:t>510.</w:t>
      </w:r>
      <w:r w:rsidR="00033D0F">
        <w:rPr>
          <w:rFonts w:ascii="Times New Roman"/>
          <w:spacing w:val="80"/>
          <w:position w:val="1"/>
          <w:sz w:val="20"/>
        </w:rPr>
        <w:t xml:space="preserve"> </w:t>
      </w:r>
      <w:r w:rsidR="00033D0F">
        <w:rPr>
          <w:position w:val="1"/>
        </w:rPr>
        <w:t>China misconstrues Australia's argument in relation to MOFCOM's deficient</w:t>
      </w:r>
      <w:r w:rsidR="00033D0F">
        <w:rPr>
          <w:spacing w:val="40"/>
          <w:position w:val="1"/>
        </w:rPr>
        <w:t xml:space="preserve"> </w:t>
      </w:r>
      <w:r w:rsidR="00033D0F">
        <w:t>explanation</w:t>
      </w:r>
      <w:r w:rsidR="00033D0F">
        <w:rPr>
          <w:spacing w:val="-9"/>
        </w:rPr>
        <w:t xml:space="preserve"> </w:t>
      </w:r>
      <w:r w:rsidR="00033D0F">
        <w:t>of</w:t>
      </w:r>
      <w:r w:rsidR="00033D0F">
        <w:rPr>
          <w:spacing w:val="-9"/>
        </w:rPr>
        <w:t xml:space="preserve"> </w:t>
      </w:r>
      <w:r w:rsidR="00033D0F">
        <w:t>its</w:t>
      </w:r>
      <w:r w:rsidR="00033D0F">
        <w:rPr>
          <w:spacing w:val="-6"/>
        </w:rPr>
        <w:t xml:space="preserve"> </w:t>
      </w:r>
      <w:r w:rsidR="00033D0F">
        <w:t>price</w:t>
      </w:r>
      <w:r w:rsidR="00033D0F">
        <w:rPr>
          <w:spacing w:val="-7"/>
        </w:rPr>
        <w:t xml:space="preserve"> </w:t>
      </w:r>
      <w:r w:rsidR="00033D0F">
        <w:t>calculation</w:t>
      </w:r>
      <w:r w:rsidR="00033D0F">
        <w:rPr>
          <w:spacing w:val="-9"/>
        </w:rPr>
        <w:t xml:space="preserve"> </w:t>
      </w:r>
      <w:r w:rsidR="00033D0F">
        <w:t>methodology.</w:t>
      </w:r>
      <w:r w:rsidR="00033D0F">
        <w:rPr>
          <w:spacing w:val="-6"/>
        </w:rPr>
        <w:t xml:space="preserve"> </w:t>
      </w:r>
      <w:r w:rsidR="00033D0F">
        <w:t>Australia's</w:t>
      </w:r>
      <w:r w:rsidR="00033D0F">
        <w:rPr>
          <w:spacing w:val="-6"/>
        </w:rPr>
        <w:t xml:space="preserve"> </w:t>
      </w:r>
      <w:r w:rsidR="00033D0F">
        <w:t>argument</w:t>
      </w:r>
      <w:r w:rsidR="00033D0F">
        <w:rPr>
          <w:spacing w:val="-7"/>
        </w:rPr>
        <w:t xml:space="preserve"> </w:t>
      </w:r>
      <w:r w:rsidR="00033D0F">
        <w:t>is</w:t>
      </w:r>
      <w:r w:rsidR="00033D0F">
        <w:rPr>
          <w:spacing w:val="-6"/>
        </w:rPr>
        <w:t xml:space="preserve"> </w:t>
      </w:r>
      <w:r w:rsidR="00033D0F">
        <w:t>not</w:t>
      </w:r>
      <w:r w:rsidR="00033D0F">
        <w:rPr>
          <w:spacing w:val="-7"/>
        </w:rPr>
        <w:t xml:space="preserve"> </w:t>
      </w:r>
      <w:r w:rsidR="00033D0F">
        <w:t>that</w:t>
      </w:r>
      <w:r w:rsidR="00033D0F">
        <w:rPr>
          <w:spacing w:val="-7"/>
        </w:rPr>
        <w:t xml:space="preserve"> </w:t>
      </w:r>
      <w:r w:rsidR="00033D0F">
        <w:t>Article</w:t>
      </w:r>
      <w:r w:rsidR="00033D0F">
        <w:rPr>
          <w:spacing w:val="-2"/>
        </w:rPr>
        <w:t xml:space="preserve"> </w:t>
      </w:r>
      <w:r w:rsidR="00033D0F">
        <w:t>3.1</w:t>
      </w:r>
      <w:r w:rsidR="00033D0F">
        <w:rPr>
          <w:spacing w:val="-9"/>
        </w:rPr>
        <w:t xml:space="preserve"> </w:t>
      </w:r>
      <w:r w:rsidR="00033D0F">
        <w:t>is a procedural obligation regarding transparency, due process, and disclosure with respect to MOFCOM's examinations under Article</w:t>
      </w:r>
      <w:r w:rsidR="00033D0F">
        <w:rPr>
          <w:spacing w:val="-3"/>
        </w:rPr>
        <w:t xml:space="preserve"> </w:t>
      </w:r>
      <w:r w:rsidR="00033D0F">
        <w:t>3.2, including its determinations of average unit values.</w:t>
      </w:r>
      <w:hyperlink w:anchor="_bookmark875" w:history="1">
        <w:r w:rsidR="00033D0F">
          <w:rPr>
            <w:vertAlign w:val="superscript"/>
          </w:rPr>
          <w:t>744</w:t>
        </w:r>
      </w:hyperlink>
      <w:r w:rsidR="00033D0F">
        <w:t xml:space="preserve"> Nor is it Australia's argument that information relied upon by MOFCOM had to actually</w:t>
      </w:r>
      <w:r w:rsidR="00033D0F">
        <w:rPr>
          <w:spacing w:val="40"/>
        </w:rPr>
        <w:t xml:space="preserve"> </w:t>
      </w:r>
      <w:r w:rsidR="00033D0F">
        <w:t>be</w:t>
      </w:r>
      <w:r w:rsidR="00033D0F">
        <w:rPr>
          <w:spacing w:val="40"/>
        </w:rPr>
        <w:t xml:space="preserve"> </w:t>
      </w:r>
      <w:r w:rsidR="00033D0F">
        <w:t>verified</w:t>
      </w:r>
      <w:r w:rsidR="00033D0F">
        <w:rPr>
          <w:spacing w:val="40"/>
        </w:rPr>
        <w:t xml:space="preserve"> </w:t>
      </w:r>
      <w:r w:rsidR="00033D0F">
        <w:t>by</w:t>
      </w:r>
      <w:r w:rsidR="00033D0F">
        <w:rPr>
          <w:spacing w:val="40"/>
        </w:rPr>
        <w:t xml:space="preserve"> </w:t>
      </w:r>
      <w:r w:rsidR="00033D0F">
        <w:t>interested</w:t>
      </w:r>
      <w:r w:rsidR="00033D0F">
        <w:rPr>
          <w:spacing w:val="40"/>
        </w:rPr>
        <w:t xml:space="preserve"> </w:t>
      </w:r>
      <w:r w:rsidR="00033D0F">
        <w:t>parties</w:t>
      </w:r>
      <w:r w:rsidR="00033D0F">
        <w:rPr>
          <w:spacing w:val="40"/>
        </w:rPr>
        <w:t xml:space="preserve"> </w:t>
      </w:r>
      <w:r w:rsidR="00033D0F">
        <w:t>in</w:t>
      </w:r>
      <w:r w:rsidR="00033D0F">
        <w:rPr>
          <w:spacing w:val="40"/>
        </w:rPr>
        <w:t xml:space="preserve"> </w:t>
      </w:r>
      <w:r w:rsidR="00033D0F">
        <w:t>order</w:t>
      </w:r>
      <w:r w:rsidR="00033D0F">
        <w:rPr>
          <w:spacing w:val="40"/>
        </w:rPr>
        <w:t xml:space="preserve"> </w:t>
      </w:r>
      <w:r w:rsidR="00033D0F">
        <w:t>to</w:t>
      </w:r>
      <w:r w:rsidR="00033D0F">
        <w:rPr>
          <w:spacing w:val="40"/>
        </w:rPr>
        <w:t xml:space="preserve"> </w:t>
      </w:r>
      <w:r w:rsidR="00033D0F">
        <w:t>comply</w:t>
      </w:r>
      <w:r w:rsidR="00033D0F">
        <w:rPr>
          <w:spacing w:val="40"/>
        </w:rPr>
        <w:t xml:space="preserve"> </w:t>
      </w:r>
      <w:r w:rsidR="00033D0F">
        <w:t>with</w:t>
      </w:r>
      <w:r w:rsidR="00033D0F">
        <w:rPr>
          <w:spacing w:val="40"/>
        </w:rPr>
        <w:t xml:space="preserve"> </w:t>
      </w:r>
      <w:r w:rsidR="00033D0F">
        <w:t>Article</w:t>
      </w:r>
      <w:r w:rsidR="00033D0F">
        <w:rPr>
          <w:spacing w:val="-1"/>
        </w:rPr>
        <w:t xml:space="preserve"> </w:t>
      </w:r>
      <w:r w:rsidR="00033D0F">
        <w:t>3.1,</w:t>
      </w:r>
      <w:hyperlink w:anchor="_bookmark876" w:history="1">
        <w:r w:rsidR="00033D0F">
          <w:rPr>
            <w:vertAlign w:val="superscript"/>
          </w:rPr>
          <w:t>745</w:t>
        </w:r>
      </w:hyperlink>
      <w:r w:rsidR="00033D0F">
        <w:rPr>
          <w:spacing w:val="40"/>
        </w:rPr>
        <w:t xml:space="preserve"> </w:t>
      </w:r>
      <w:r w:rsidR="00033D0F">
        <w:t>or</w:t>
      </w:r>
      <w:r w:rsidR="00033D0F">
        <w:rPr>
          <w:spacing w:val="40"/>
        </w:rPr>
        <w:t xml:space="preserve"> </w:t>
      </w:r>
      <w:r w:rsidR="00033D0F">
        <w:t>that Article 17.6 should somehow be read as imposing an additional obligation into Article 3.1.</w:t>
      </w:r>
      <w:hyperlink w:anchor="_bookmark877" w:history="1">
        <w:r w:rsidR="00033D0F">
          <w:rPr>
            <w:vertAlign w:val="superscript"/>
          </w:rPr>
          <w:t>746</w:t>
        </w:r>
      </w:hyperlink>
      <w:r w:rsidR="00033D0F">
        <w:t xml:space="preserve"> Rather,</w:t>
      </w:r>
      <w:r w:rsidR="00033D0F">
        <w:rPr>
          <w:spacing w:val="-1"/>
        </w:rPr>
        <w:t xml:space="preserve"> </w:t>
      </w:r>
      <w:r w:rsidR="00033D0F">
        <w:t>consistent</w:t>
      </w:r>
      <w:r w:rsidR="00033D0F">
        <w:rPr>
          <w:spacing w:val="-2"/>
        </w:rPr>
        <w:t xml:space="preserve"> </w:t>
      </w:r>
      <w:r w:rsidR="00033D0F">
        <w:t>with</w:t>
      </w:r>
      <w:r w:rsidR="00033D0F">
        <w:rPr>
          <w:spacing w:val="-4"/>
        </w:rPr>
        <w:t xml:space="preserve"> </w:t>
      </w:r>
      <w:r w:rsidR="00033D0F">
        <w:t>the</w:t>
      </w:r>
      <w:r w:rsidR="00033D0F">
        <w:rPr>
          <w:spacing w:val="-3"/>
        </w:rPr>
        <w:t xml:space="preserve"> </w:t>
      </w:r>
      <w:r w:rsidR="00033D0F">
        <w:t>text</w:t>
      </w:r>
      <w:r w:rsidR="00033D0F">
        <w:rPr>
          <w:spacing w:val="-2"/>
        </w:rPr>
        <w:t xml:space="preserve"> </w:t>
      </w:r>
      <w:r w:rsidR="00033D0F">
        <w:t>of</w:t>
      </w:r>
      <w:r w:rsidR="00033D0F">
        <w:rPr>
          <w:spacing w:val="-4"/>
        </w:rPr>
        <w:t xml:space="preserve"> </w:t>
      </w:r>
      <w:r w:rsidR="00033D0F">
        <w:t>the</w:t>
      </w:r>
      <w:r w:rsidR="00033D0F">
        <w:rPr>
          <w:spacing w:val="-3"/>
        </w:rPr>
        <w:t xml:space="preserve"> </w:t>
      </w:r>
      <w:r w:rsidR="00033D0F">
        <w:t>provision</w:t>
      </w:r>
      <w:r w:rsidR="00033D0F">
        <w:rPr>
          <w:spacing w:val="-4"/>
        </w:rPr>
        <w:t xml:space="preserve"> </w:t>
      </w:r>
      <w:r w:rsidR="00033D0F">
        <w:t>as</w:t>
      </w:r>
      <w:r w:rsidR="00033D0F">
        <w:rPr>
          <w:spacing w:val="-2"/>
        </w:rPr>
        <w:t xml:space="preserve"> </w:t>
      </w:r>
      <w:r w:rsidR="00033D0F">
        <w:t>interpreted</w:t>
      </w:r>
      <w:r w:rsidR="00033D0F">
        <w:rPr>
          <w:spacing w:val="-4"/>
        </w:rPr>
        <w:t xml:space="preserve"> </w:t>
      </w:r>
      <w:r w:rsidR="00033D0F">
        <w:t>and</w:t>
      </w:r>
      <w:r w:rsidR="00033D0F">
        <w:rPr>
          <w:spacing w:val="-4"/>
        </w:rPr>
        <w:t xml:space="preserve"> </w:t>
      </w:r>
      <w:r w:rsidR="00033D0F">
        <w:t>applied</w:t>
      </w:r>
      <w:r w:rsidR="00033D0F">
        <w:rPr>
          <w:spacing w:val="-4"/>
        </w:rPr>
        <w:t xml:space="preserve"> </w:t>
      </w:r>
      <w:r w:rsidR="00033D0F">
        <w:t>in</w:t>
      </w:r>
      <w:r w:rsidR="00033D0F">
        <w:rPr>
          <w:spacing w:val="-4"/>
        </w:rPr>
        <w:t xml:space="preserve"> </w:t>
      </w:r>
      <w:r w:rsidR="00033D0F">
        <w:t>prior</w:t>
      </w:r>
      <w:r w:rsidR="00033D0F">
        <w:rPr>
          <w:spacing w:val="-5"/>
        </w:rPr>
        <w:t xml:space="preserve"> </w:t>
      </w:r>
      <w:r w:rsidR="00033D0F">
        <w:t>panel</w:t>
      </w:r>
      <w:r w:rsidR="00033D0F">
        <w:rPr>
          <w:spacing w:val="-1"/>
        </w:rPr>
        <w:t xml:space="preserve"> </w:t>
      </w:r>
      <w:r w:rsidR="00033D0F">
        <w:t>and Appellate Body reports, Australia's position is that Article</w:t>
      </w:r>
      <w:r w:rsidR="00033D0F">
        <w:rPr>
          <w:spacing w:val="-1"/>
        </w:rPr>
        <w:t xml:space="preserve"> </w:t>
      </w:r>
      <w:r w:rsidR="00033D0F">
        <w:t>3.1 requires an investigating authority to base its determination of injury on an objective examination of evidence that is</w:t>
      </w:r>
    </w:p>
    <w:p w14:paraId="4CF9D694" w14:textId="77777777" w:rsidR="00BD462C" w:rsidRDefault="00BD462C">
      <w:pPr>
        <w:pStyle w:val="BodyText"/>
        <w:rPr>
          <w:sz w:val="20"/>
        </w:rPr>
      </w:pPr>
    </w:p>
    <w:p w14:paraId="27A9CBAD" w14:textId="77777777" w:rsidR="00BD462C" w:rsidRDefault="00BD462C">
      <w:pPr>
        <w:pStyle w:val="BodyText"/>
        <w:rPr>
          <w:sz w:val="20"/>
        </w:rPr>
      </w:pPr>
    </w:p>
    <w:p w14:paraId="37F77281" w14:textId="77777777" w:rsidR="00BD462C" w:rsidRDefault="00BD462C">
      <w:pPr>
        <w:pStyle w:val="BodyText"/>
        <w:rPr>
          <w:sz w:val="20"/>
        </w:rPr>
      </w:pPr>
    </w:p>
    <w:p w14:paraId="2AF0A3B8" w14:textId="77777777" w:rsidR="00BD462C" w:rsidRDefault="00BD462C">
      <w:pPr>
        <w:pStyle w:val="BodyText"/>
        <w:rPr>
          <w:sz w:val="20"/>
        </w:rPr>
      </w:pPr>
    </w:p>
    <w:p w14:paraId="6CC5900D" w14:textId="77777777" w:rsidR="00BD462C" w:rsidRDefault="00BD462C">
      <w:pPr>
        <w:pStyle w:val="BodyText"/>
        <w:rPr>
          <w:sz w:val="20"/>
        </w:rPr>
      </w:pPr>
    </w:p>
    <w:p w14:paraId="72342420" w14:textId="573C1455" w:rsidR="00BD462C" w:rsidRDefault="00752F01">
      <w:pPr>
        <w:pStyle w:val="BodyText"/>
        <w:spacing w:before="4"/>
        <w:rPr>
          <w:sz w:val="22"/>
        </w:rPr>
      </w:pPr>
      <w:r>
        <w:rPr>
          <w:noProof/>
        </w:rPr>
        <mc:AlternateContent>
          <mc:Choice Requires="wps">
            <w:drawing>
              <wp:anchor distT="0" distB="0" distL="0" distR="0" simplePos="0" relativeHeight="488280576" behindDoc="1" locked="0" layoutInCell="1" allowOverlap="1" wp14:anchorId="36E4EA9B" wp14:editId="0708FB1A">
                <wp:simplePos x="0" y="0"/>
                <wp:positionH relativeFrom="page">
                  <wp:posOffset>812800</wp:posOffset>
                </wp:positionH>
                <wp:positionV relativeFrom="paragraph">
                  <wp:posOffset>173355</wp:posOffset>
                </wp:positionV>
                <wp:extent cx="1828800" cy="8890"/>
                <wp:effectExtent l="0" t="0" r="0" b="0"/>
                <wp:wrapTopAndBottom/>
                <wp:docPr id="259" name="docshape4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2012C4" id="docshape414" o:spid="_x0000_s1026" alt="&quot;&quot;" style="position:absolute;margin-left:64pt;margin-top:13.65pt;width:2in;height:.7pt;z-index:-15035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" fillcolor="black" stroked="f">
                <w10:wrap type="topAndBottom" anchorx="page"/>
              </v:rect>
            </w:pict>
          </mc:Fallback>
        </mc:AlternateContent>
      </w:r>
    </w:p>
    <w:p w14:paraId="555AE4EC" w14:textId="77777777" w:rsidR="00BD462C" w:rsidRDefault="00033D0F">
      <w:pPr>
        <w:spacing w:before="112"/>
        <w:ind w:left="135"/>
        <w:rPr>
          <w:sz w:val="18"/>
        </w:rPr>
      </w:pPr>
      <w:bookmarkStart w:id="1018" w:name="_bookmark874"/>
      <w:bookmarkEnd w:id="1018"/>
      <w:r>
        <w:rPr>
          <w:position w:val="5"/>
          <w:sz w:val="12"/>
        </w:rPr>
        <w:t>743</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 xml:space="preserve">submission, para. </w:t>
      </w:r>
      <w:r>
        <w:rPr>
          <w:spacing w:val="-2"/>
          <w:sz w:val="18"/>
        </w:rPr>
        <w:t>1879.</w:t>
      </w:r>
    </w:p>
    <w:p w14:paraId="1B0D10F9" w14:textId="77777777" w:rsidR="00BD462C" w:rsidRDefault="00033D0F">
      <w:pPr>
        <w:spacing w:before="1"/>
        <w:ind w:left="135"/>
        <w:rPr>
          <w:sz w:val="18"/>
        </w:rPr>
      </w:pPr>
      <w:bookmarkStart w:id="1019" w:name="_bookmark875"/>
      <w:bookmarkEnd w:id="1019"/>
      <w:r>
        <w:rPr>
          <w:position w:val="5"/>
          <w:sz w:val="12"/>
        </w:rPr>
        <w:t>744</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paras.</w:t>
      </w:r>
      <w:r>
        <w:rPr>
          <w:spacing w:val="-5"/>
          <w:sz w:val="18"/>
        </w:rPr>
        <w:t xml:space="preserve"> </w:t>
      </w:r>
      <w:r>
        <w:rPr>
          <w:sz w:val="18"/>
        </w:rPr>
        <w:t>981-</w:t>
      </w:r>
      <w:r>
        <w:rPr>
          <w:spacing w:val="-4"/>
          <w:sz w:val="18"/>
        </w:rPr>
        <w:t>999.</w:t>
      </w:r>
    </w:p>
    <w:p w14:paraId="5F50CEC3" w14:textId="77777777" w:rsidR="00BD462C" w:rsidRDefault="00033D0F">
      <w:pPr>
        <w:spacing w:before="1"/>
        <w:ind w:left="135"/>
        <w:rPr>
          <w:sz w:val="18"/>
        </w:rPr>
      </w:pPr>
      <w:bookmarkStart w:id="1020" w:name="_bookmark876"/>
      <w:bookmarkEnd w:id="1020"/>
      <w:r>
        <w:rPr>
          <w:position w:val="5"/>
          <w:sz w:val="12"/>
        </w:rPr>
        <w:t>745</w:t>
      </w:r>
      <w:r>
        <w:rPr>
          <w:spacing w:val="12"/>
          <w:position w:val="5"/>
          <w:sz w:val="12"/>
        </w:rPr>
        <w:t xml:space="preserve"> </w:t>
      </w:r>
      <w:r>
        <w:rPr>
          <w:sz w:val="18"/>
        </w:rPr>
        <w:t>China's</w:t>
      </w:r>
      <w:r>
        <w:rPr>
          <w:spacing w:val="-6"/>
          <w:sz w:val="18"/>
        </w:rPr>
        <w:t xml:space="preserve"> </w:t>
      </w:r>
      <w:r>
        <w:rPr>
          <w:sz w:val="18"/>
        </w:rPr>
        <w:t>first</w:t>
      </w:r>
      <w:r>
        <w:rPr>
          <w:spacing w:val="-5"/>
          <w:sz w:val="18"/>
        </w:rPr>
        <w:t xml:space="preserve"> </w:t>
      </w:r>
      <w:r>
        <w:rPr>
          <w:sz w:val="18"/>
        </w:rPr>
        <w:t>written</w:t>
      </w:r>
      <w:r>
        <w:rPr>
          <w:spacing w:val="-7"/>
          <w:sz w:val="18"/>
        </w:rPr>
        <w:t xml:space="preserve"> </w:t>
      </w:r>
      <w:r>
        <w:rPr>
          <w:sz w:val="18"/>
        </w:rPr>
        <w:t>submission, paras.</w:t>
      </w:r>
      <w:r>
        <w:rPr>
          <w:spacing w:val="-5"/>
          <w:sz w:val="18"/>
        </w:rPr>
        <w:t xml:space="preserve"> </w:t>
      </w:r>
      <w:r>
        <w:rPr>
          <w:sz w:val="18"/>
        </w:rPr>
        <w:t>988-999, 1012-1017;</w:t>
      </w:r>
      <w:r>
        <w:rPr>
          <w:spacing w:val="-3"/>
          <w:sz w:val="18"/>
        </w:rPr>
        <w:t xml:space="preserve"> </w:t>
      </w:r>
      <w:r>
        <w:rPr>
          <w:sz w:val="18"/>
        </w:rPr>
        <w:t>China's</w:t>
      </w:r>
      <w:r>
        <w:rPr>
          <w:spacing w:val="-2"/>
          <w:sz w:val="18"/>
        </w:rPr>
        <w:t xml:space="preserve"> </w:t>
      </w:r>
      <w:r>
        <w:rPr>
          <w:sz w:val="18"/>
        </w:rPr>
        <w:t>response</w:t>
      </w:r>
      <w:r>
        <w:rPr>
          <w:spacing w:val="-6"/>
          <w:sz w:val="18"/>
        </w:rPr>
        <w:t xml:space="preserve"> </w:t>
      </w:r>
      <w:r>
        <w:rPr>
          <w:sz w:val="18"/>
        </w:rPr>
        <w:t>to</w:t>
      </w:r>
      <w:r>
        <w:rPr>
          <w:spacing w:val="-6"/>
          <w:sz w:val="18"/>
        </w:rPr>
        <w:t xml:space="preserve"> </w:t>
      </w:r>
      <w:r>
        <w:rPr>
          <w:sz w:val="18"/>
        </w:rPr>
        <w:t>Panel</w:t>
      </w:r>
      <w:r>
        <w:rPr>
          <w:spacing w:val="-6"/>
          <w:sz w:val="18"/>
        </w:rPr>
        <w:t xml:space="preserve"> </w:t>
      </w:r>
      <w:r>
        <w:rPr>
          <w:sz w:val="18"/>
        </w:rPr>
        <w:t>question</w:t>
      </w:r>
      <w:r>
        <w:rPr>
          <w:spacing w:val="-10"/>
          <w:sz w:val="18"/>
        </w:rPr>
        <w:t xml:space="preserve"> </w:t>
      </w:r>
      <w:r>
        <w:rPr>
          <w:sz w:val="18"/>
        </w:rPr>
        <w:t>No.</w:t>
      </w:r>
      <w:r>
        <w:rPr>
          <w:spacing w:val="-5"/>
          <w:sz w:val="18"/>
        </w:rPr>
        <w:t xml:space="preserve"> </w:t>
      </w:r>
      <w:r>
        <w:rPr>
          <w:sz w:val="18"/>
        </w:rPr>
        <w:t>20,</w:t>
      </w:r>
      <w:r>
        <w:rPr>
          <w:spacing w:val="1"/>
          <w:sz w:val="18"/>
        </w:rPr>
        <w:t xml:space="preserve"> </w:t>
      </w:r>
      <w:r>
        <w:rPr>
          <w:sz w:val="18"/>
        </w:rPr>
        <w:t>paras.</w:t>
      </w:r>
      <w:r>
        <w:rPr>
          <w:spacing w:val="-6"/>
          <w:sz w:val="18"/>
        </w:rPr>
        <w:t xml:space="preserve"> </w:t>
      </w:r>
      <w:r>
        <w:rPr>
          <w:sz w:val="18"/>
        </w:rPr>
        <w:t>61-</w:t>
      </w:r>
      <w:r>
        <w:rPr>
          <w:spacing w:val="-5"/>
          <w:sz w:val="18"/>
        </w:rPr>
        <w:t>70.</w:t>
      </w:r>
    </w:p>
    <w:p w14:paraId="3A18F26C" w14:textId="77777777" w:rsidR="00BD462C" w:rsidRDefault="00033D0F">
      <w:pPr>
        <w:spacing w:before="1"/>
        <w:ind w:left="135"/>
        <w:rPr>
          <w:sz w:val="18"/>
        </w:rPr>
      </w:pPr>
      <w:bookmarkStart w:id="1021" w:name="_bookmark877"/>
      <w:bookmarkEnd w:id="1021"/>
      <w:r>
        <w:rPr>
          <w:position w:val="5"/>
          <w:sz w:val="12"/>
        </w:rPr>
        <w:t>746</w:t>
      </w:r>
      <w:r>
        <w:rPr>
          <w:spacing w:val="12"/>
          <w:position w:val="5"/>
          <w:sz w:val="12"/>
        </w:rPr>
        <w:t xml:space="preserve"> </w:t>
      </w:r>
      <w:r>
        <w:rPr>
          <w:sz w:val="18"/>
        </w:rPr>
        <w:t>China's</w:t>
      </w:r>
      <w:r>
        <w:rPr>
          <w:spacing w:val="-6"/>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 paras.</w:t>
      </w:r>
      <w:r>
        <w:rPr>
          <w:spacing w:val="-5"/>
          <w:sz w:val="18"/>
        </w:rPr>
        <w:t xml:space="preserve"> </w:t>
      </w:r>
      <w:r>
        <w:rPr>
          <w:sz w:val="18"/>
        </w:rPr>
        <w:t>1000-</w:t>
      </w:r>
      <w:r>
        <w:rPr>
          <w:spacing w:val="-2"/>
          <w:sz w:val="18"/>
        </w:rPr>
        <w:t>1009.</w:t>
      </w:r>
    </w:p>
    <w:p w14:paraId="6A18DC11" w14:textId="77777777" w:rsidR="00BD462C" w:rsidRDefault="00BD462C">
      <w:pPr>
        <w:rPr>
          <w:sz w:val="18"/>
        </w:rPr>
        <w:sectPr w:rsidR="00BD462C">
          <w:pgSz w:w="11910" w:h="16840"/>
          <w:pgMar w:top="860" w:right="500" w:bottom="780" w:left="1280" w:header="566" w:footer="590" w:gutter="0"/>
          <w:cols w:space="720"/>
        </w:sectPr>
      </w:pPr>
    </w:p>
    <w:p w14:paraId="56BF7947"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0A9C715D"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2EB5A4B9"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097D1FEE" w14:textId="77777777" w:rsidR="00BD462C" w:rsidRDefault="00033D0F">
      <w:pPr>
        <w:pStyle w:val="BodyText"/>
        <w:spacing w:before="102" w:line="357" w:lineRule="auto"/>
        <w:ind w:left="136" w:right="923"/>
      </w:pPr>
      <w:r>
        <w:t>positive, in the sense of "admitting no question" and being "definite, precise", "affirmative, objective, verifiable, and credible".</w:t>
      </w:r>
      <w:hyperlink w:anchor="_bookmark881" w:history="1">
        <w:r>
          <w:rPr>
            <w:vertAlign w:val="superscript"/>
          </w:rPr>
          <w:t>747</w:t>
        </w:r>
      </w:hyperlink>
    </w:p>
    <w:p w14:paraId="203EB552" w14:textId="77777777" w:rsidR="00BD462C" w:rsidRDefault="00BD462C">
      <w:pPr>
        <w:pStyle w:val="BodyText"/>
        <w:spacing w:before="3"/>
        <w:rPr>
          <w:sz w:val="9"/>
        </w:rPr>
      </w:pPr>
    </w:p>
    <w:p w14:paraId="20BEC5AF" w14:textId="6F81E722" w:rsidR="00BD462C" w:rsidRDefault="00CF659E">
      <w:pPr>
        <w:pStyle w:val="BodyText"/>
        <w:spacing w:before="56" w:line="360" w:lineRule="auto"/>
        <w:ind w:left="135" w:right="911"/>
        <w:jc w:val="both"/>
      </w:pPr>
      <w:r>
        <w:rPr>
          <w:noProof/>
        </w:rPr>
        <w:t>511.</w:t>
      </w:r>
      <w:r w:rsidR="00033D0F">
        <w:rPr>
          <w:rFonts w:ascii="Times New Roman"/>
          <w:spacing w:val="80"/>
          <w:w w:val="150"/>
          <w:position w:val="1"/>
          <w:sz w:val="20"/>
        </w:rPr>
        <w:t xml:space="preserve"> </w:t>
      </w:r>
      <w:r w:rsidR="00033D0F">
        <w:rPr>
          <w:position w:val="1"/>
        </w:rPr>
        <w:t xml:space="preserve">China has dedicated over 40 pages of its first written submission to describing </w:t>
      </w:r>
      <w:r w:rsidR="00033D0F">
        <w:t>MOFCOM's price calculation methodology and the sources of the underlying data that MOFCOM relied on.</w:t>
      </w:r>
      <w:hyperlink w:anchor="_bookmark882" w:history="1">
        <w:r w:rsidR="00033D0F">
          <w:rPr>
            <w:vertAlign w:val="superscript"/>
          </w:rPr>
          <w:t>748</w:t>
        </w:r>
      </w:hyperlink>
      <w:r w:rsidR="00033D0F">
        <w:t xml:space="preserve"> This level of detail does not appear anywhere on the investigation record. While some of the</w:t>
      </w:r>
      <w:r w:rsidR="00033D0F">
        <w:rPr>
          <w:spacing w:val="-4"/>
        </w:rPr>
        <w:t xml:space="preserve"> </w:t>
      </w:r>
      <w:r w:rsidR="00033D0F">
        <w:t>information</w:t>
      </w:r>
      <w:r w:rsidR="00033D0F">
        <w:rPr>
          <w:spacing w:val="-1"/>
        </w:rPr>
        <w:t xml:space="preserve"> </w:t>
      </w:r>
      <w:r w:rsidR="00033D0F">
        <w:t>relied</w:t>
      </w:r>
      <w:r w:rsidR="00033D0F">
        <w:rPr>
          <w:spacing w:val="-1"/>
        </w:rPr>
        <w:t xml:space="preserve"> </w:t>
      </w:r>
      <w:r w:rsidR="00033D0F">
        <w:t>upon</w:t>
      </w:r>
      <w:r w:rsidR="00033D0F">
        <w:rPr>
          <w:spacing w:val="-1"/>
        </w:rPr>
        <w:t xml:space="preserve"> </w:t>
      </w:r>
      <w:r w:rsidR="00033D0F">
        <w:t>for</w:t>
      </w:r>
      <w:r w:rsidR="00033D0F">
        <w:rPr>
          <w:spacing w:val="-1"/>
        </w:rPr>
        <w:t xml:space="preserve"> </w:t>
      </w:r>
      <w:r w:rsidR="00033D0F">
        <w:t>the calculation</w:t>
      </w:r>
      <w:r w:rsidR="00033D0F">
        <w:rPr>
          <w:spacing w:val="-1"/>
        </w:rPr>
        <w:t xml:space="preserve"> </w:t>
      </w:r>
      <w:r w:rsidR="00033D0F">
        <w:t>of the liquidation</w:t>
      </w:r>
      <w:r w:rsidR="00033D0F">
        <w:rPr>
          <w:spacing w:val="-1"/>
        </w:rPr>
        <w:t xml:space="preserve"> </w:t>
      </w:r>
      <w:r w:rsidR="00033D0F">
        <w:t>price also appeared to be included in annexures to CADA's Application,</w:t>
      </w:r>
      <w:hyperlink w:anchor="_bookmark883" w:history="1">
        <w:r w:rsidR="00033D0F">
          <w:rPr>
            <w:vertAlign w:val="superscript"/>
          </w:rPr>
          <w:t>749</w:t>
        </w:r>
      </w:hyperlink>
      <w:r w:rsidR="00033D0F">
        <w:t xml:space="preserve"> there is nothing on the investigation</w:t>
      </w:r>
      <w:r w:rsidR="00033D0F">
        <w:rPr>
          <w:spacing w:val="-5"/>
        </w:rPr>
        <w:t xml:space="preserve"> </w:t>
      </w:r>
      <w:r w:rsidR="00033D0F">
        <w:t>record</w:t>
      </w:r>
      <w:r w:rsidR="00033D0F">
        <w:rPr>
          <w:spacing w:val="-5"/>
        </w:rPr>
        <w:t xml:space="preserve"> </w:t>
      </w:r>
      <w:r w:rsidR="00033D0F">
        <w:t>that</w:t>
      </w:r>
      <w:r w:rsidR="00033D0F">
        <w:rPr>
          <w:spacing w:val="-3"/>
        </w:rPr>
        <w:t xml:space="preserve"> </w:t>
      </w:r>
      <w:r w:rsidR="00033D0F">
        <w:t>confirms</w:t>
      </w:r>
      <w:r w:rsidR="00033D0F">
        <w:rPr>
          <w:spacing w:val="-2"/>
        </w:rPr>
        <w:t xml:space="preserve"> </w:t>
      </w:r>
      <w:r w:rsidR="00033D0F">
        <w:t>that</w:t>
      </w:r>
      <w:r w:rsidR="00033D0F">
        <w:rPr>
          <w:spacing w:val="-3"/>
        </w:rPr>
        <w:t xml:space="preserve"> </w:t>
      </w:r>
      <w:r w:rsidR="00033D0F">
        <w:t>this</w:t>
      </w:r>
      <w:r w:rsidR="00033D0F">
        <w:rPr>
          <w:spacing w:val="-2"/>
        </w:rPr>
        <w:t xml:space="preserve"> </w:t>
      </w:r>
      <w:r w:rsidR="00033D0F">
        <w:t>was</w:t>
      </w:r>
      <w:r w:rsidR="00033D0F">
        <w:rPr>
          <w:spacing w:val="-2"/>
        </w:rPr>
        <w:t xml:space="preserve"> </w:t>
      </w:r>
      <w:r w:rsidR="00033D0F">
        <w:t>an</w:t>
      </w:r>
      <w:r w:rsidR="00033D0F">
        <w:rPr>
          <w:spacing w:val="-10"/>
        </w:rPr>
        <w:t xml:space="preserve"> </w:t>
      </w:r>
      <w:r w:rsidR="00033D0F">
        <w:t>accurate</w:t>
      </w:r>
      <w:r w:rsidR="00033D0F">
        <w:rPr>
          <w:spacing w:val="-3"/>
        </w:rPr>
        <w:t xml:space="preserve"> </w:t>
      </w:r>
      <w:r w:rsidR="00033D0F">
        <w:t>representation</w:t>
      </w:r>
      <w:r w:rsidR="00033D0F">
        <w:rPr>
          <w:spacing w:val="-5"/>
        </w:rPr>
        <w:t xml:space="preserve"> </w:t>
      </w:r>
      <w:r w:rsidR="00033D0F">
        <w:t>of</w:t>
      </w:r>
      <w:r w:rsidR="00033D0F">
        <w:rPr>
          <w:spacing w:val="-5"/>
        </w:rPr>
        <w:t xml:space="preserve"> </w:t>
      </w:r>
      <w:r w:rsidR="00033D0F">
        <w:t>the</w:t>
      </w:r>
      <w:r w:rsidR="00033D0F">
        <w:rPr>
          <w:spacing w:val="-4"/>
        </w:rPr>
        <w:t xml:space="preserve"> </w:t>
      </w:r>
      <w:r w:rsidR="00033D0F">
        <w:t>actual</w:t>
      </w:r>
      <w:r w:rsidR="00033D0F">
        <w:rPr>
          <w:spacing w:val="-1"/>
        </w:rPr>
        <w:t xml:space="preserve"> </w:t>
      </w:r>
      <w:r w:rsidR="00033D0F">
        <w:t>data used by MOFCOM. Indeed, MOFCOM rejected data included in CADA's Application on the basis that it was not accurate for the purposes of the investigation.</w:t>
      </w:r>
      <w:hyperlink w:anchor="_bookmark884" w:history="1">
        <w:r w:rsidR="00033D0F">
          <w:rPr>
            <w:vertAlign w:val="superscript"/>
          </w:rPr>
          <w:t>750</w:t>
        </w:r>
      </w:hyperlink>
    </w:p>
    <w:p w14:paraId="51B29B92" w14:textId="77777777" w:rsidR="00BD462C" w:rsidRDefault="00BD462C">
      <w:pPr>
        <w:pStyle w:val="BodyText"/>
        <w:spacing w:before="7"/>
        <w:rPr>
          <w:sz w:val="8"/>
        </w:rPr>
      </w:pPr>
    </w:p>
    <w:p w14:paraId="4C071771" w14:textId="1C5BD851" w:rsidR="00BD462C" w:rsidRDefault="00CF659E">
      <w:pPr>
        <w:pStyle w:val="BodyText"/>
        <w:spacing w:before="56" w:line="357" w:lineRule="auto"/>
        <w:ind w:left="135" w:right="915"/>
        <w:jc w:val="both"/>
      </w:pPr>
      <w:r>
        <w:rPr>
          <w:noProof/>
        </w:rPr>
        <w:t>51</w:t>
      </w:r>
      <w:r w:rsidR="00996BE4">
        <w:rPr>
          <w:noProof/>
        </w:rPr>
        <w:t>2.</w:t>
      </w:r>
      <w:r w:rsidR="00033D0F">
        <w:rPr>
          <w:rFonts w:ascii="Times New Roman"/>
          <w:spacing w:val="80"/>
          <w:position w:val="1"/>
          <w:sz w:val="20"/>
        </w:rPr>
        <w:t xml:space="preserve"> </w:t>
      </w:r>
      <w:r w:rsidR="00033D0F">
        <w:rPr>
          <w:position w:val="1"/>
        </w:rPr>
        <w:t xml:space="preserve">The net result of this is that the explanation of MOFCOM's price calculations </w:t>
      </w:r>
      <w:r w:rsidR="00033D0F">
        <w:t>methodology</w:t>
      </w:r>
      <w:r w:rsidR="00033D0F">
        <w:rPr>
          <w:spacing w:val="-5"/>
        </w:rPr>
        <w:t xml:space="preserve"> </w:t>
      </w:r>
      <w:r w:rsidR="00033D0F">
        <w:t>on</w:t>
      </w:r>
      <w:r w:rsidR="00033D0F">
        <w:rPr>
          <w:spacing w:val="-8"/>
        </w:rPr>
        <w:t xml:space="preserve"> </w:t>
      </w:r>
      <w:r w:rsidR="00033D0F">
        <w:t>the</w:t>
      </w:r>
      <w:r w:rsidR="00033D0F">
        <w:rPr>
          <w:spacing w:val="-2"/>
        </w:rPr>
        <w:t xml:space="preserve"> </w:t>
      </w:r>
      <w:r w:rsidR="00033D0F">
        <w:t>investigation</w:t>
      </w:r>
      <w:r w:rsidR="00033D0F">
        <w:rPr>
          <w:spacing w:val="-8"/>
        </w:rPr>
        <w:t xml:space="preserve"> </w:t>
      </w:r>
      <w:r w:rsidR="00033D0F">
        <w:t>record,</w:t>
      </w:r>
      <w:r w:rsidR="00033D0F">
        <w:rPr>
          <w:spacing w:val="-4"/>
        </w:rPr>
        <w:t xml:space="preserve"> </w:t>
      </w:r>
      <w:r w:rsidR="00033D0F">
        <w:t>was</w:t>
      </w:r>
      <w:r w:rsidR="00033D0F">
        <w:rPr>
          <w:spacing w:val="-5"/>
        </w:rPr>
        <w:t xml:space="preserve"> </w:t>
      </w:r>
      <w:r w:rsidR="00033D0F">
        <w:t>insufficient</w:t>
      </w:r>
      <w:r w:rsidR="00033D0F">
        <w:rPr>
          <w:spacing w:val="-6"/>
        </w:rPr>
        <w:t xml:space="preserve"> </w:t>
      </w:r>
      <w:r w:rsidR="00033D0F">
        <w:t>to</w:t>
      </w:r>
      <w:r w:rsidR="00033D0F">
        <w:rPr>
          <w:spacing w:val="-9"/>
        </w:rPr>
        <w:t xml:space="preserve"> </w:t>
      </w:r>
      <w:r w:rsidR="00033D0F">
        <w:t>establish</w:t>
      </w:r>
      <w:r w:rsidR="00033D0F">
        <w:rPr>
          <w:spacing w:val="-8"/>
        </w:rPr>
        <w:t xml:space="preserve"> </w:t>
      </w:r>
      <w:r w:rsidR="00033D0F">
        <w:t>that</w:t>
      </w:r>
      <w:r w:rsidR="00033D0F">
        <w:rPr>
          <w:spacing w:val="-6"/>
        </w:rPr>
        <w:t xml:space="preserve"> </w:t>
      </w:r>
      <w:r w:rsidR="00033D0F">
        <w:t>it</w:t>
      </w:r>
      <w:r w:rsidR="00033D0F">
        <w:rPr>
          <w:spacing w:val="-6"/>
        </w:rPr>
        <w:t xml:space="preserve"> </w:t>
      </w:r>
      <w:r w:rsidR="00033D0F">
        <w:t>was</w:t>
      </w:r>
      <w:r w:rsidR="00033D0F">
        <w:rPr>
          <w:spacing w:val="-5"/>
        </w:rPr>
        <w:t xml:space="preserve"> </w:t>
      </w:r>
      <w:r w:rsidR="00033D0F">
        <w:t>based</w:t>
      </w:r>
      <w:r w:rsidR="00033D0F">
        <w:rPr>
          <w:spacing w:val="-8"/>
        </w:rPr>
        <w:t xml:space="preserve"> </w:t>
      </w:r>
      <w:r w:rsidR="00033D0F">
        <w:t>on</w:t>
      </w:r>
      <w:r w:rsidR="00033D0F">
        <w:rPr>
          <w:spacing w:val="-8"/>
        </w:rPr>
        <w:t xml:space="preserve"> </w:t>
      </w:r>
      <w:r w:rsidR="00033D0F">
        <w:t>an objective</w:t>
      </w:r>
      <w:r w:rsidR="00033D0F">
        <w:rPr>
          <w:spacing w:val="-9"/>
        </w:rPr>
        <w:t xml:space="preserve"> </w:t>
      </w:r>
      <w:r w:rsidR="00033D0F">
        <w:t>examination</w:t>
      </w:r>
      <w:r w:rsidR="00033D0F">
        <w:rPr>
          <w:spacing w:val="-11"/>
        </w:rPr>
        <w:t xml:space="preserve"> </w:t>
      </w:r>
      <w:r w:rsidR="00033D0F">
        <w:t>of</w:t>
      </w:r>
      <w:r w:rsidR="00033D0F">
        <w:rPr>
          <w:spacing w:val="-11"/>
        </w:rPr>
        <w:t xml:space="preserve"> </w:t>
      </w:r>
      <w:r w:rsidR="00033D0F">
        <w:t>positive</w:t>
      </w:r>
      <w:r w:rsidR="00033D0F">
        <w:rPr>
          <w:spacing w:val="-9"/>
        </w:rPr>
        <w:t xml:space="preserve"> </w:t>
      </w:r>
      <w:r w:rsidR="00033D0F">
        <w:t>evidence.</w:t>
      </w:r>
      <w:r w:rsidR="00033D0F">
        <w:rPr>
          <w:spacing w:val="-13"/>
        </w:rPr>
        <w:t xml:space="preserve"> </w:t>
      </w:r>
      <w:r w:rsidR="00033D0F">
        <w:t>This</w:t>
      </w:r>
      <w:r w:rsidR="00033D0F">
        <w:rPr>
          <w:spacing w:val="-8"/>
        </w:rPr>
        <w:t xml:space="preserve"> </w:t>
      </w:r>
      <w:r w:rsidR="00033D0F">
        <w:t>defect</w:t>
      </w:r>
      <w:r w:rsidR="00033D0F">
        <w:rPr>
          <w:spacing w:val="-9"/>
        </w:rPr>
        <w:t xml:space="preserve"> </w:t>
      </w:r>
      <w:r w:rsidR="00033D0F">
        <w:t>cannot</w:t>
      </w:r>
      <w:r w:rsidR="00033D0F">
        <w:rPr>
          <w:spacing w:val="-9"/>
        </w:rPr>
        <w:t xml:space="preserve"> </w:t>
      </w:r>
      <w:r w:rsidR="00033D0F">
        <w:t>be</w:t>
      </w:r>
      <w:r w:rsidR="00033D0F">
        <w:rPr>
          <w:spacing w:val="-9"/>
        </w:rPr>
        <w:t xml:space="preserve"> </w:t>
      </w:r>
      <w:r w:rsidR="00033D0F">
        <w:t>remedied</w:t>
      </w:r>
      <w:r w:rsidR="00033D0F">
        <w:rPr>
          <w:spacing w:val="-11"/>
        </w:rPr>
        <w:t xml:space="preserve"> </w:t>
      </w:r>
      <w:r w:rsidR="00033D0F">
        <w:t>by</w:t>
      </w:r>
      <w:r w:rsidR="00033D0F">
        <w:rPr>
          <w:spacing w:val="-8"/>
        </w:rPr>
        <w:t xml:space="preserve"> </w:t>
      </w:r>
      <w:r w:rsidR="00033D0F">
        <w:t>China's</w:t>
      </w:r>
      <w:r w:rsidR="00033D0F">
        <w:rPr>
          <w:spacing w:val="-8"/>
        </w:rPr>
        <w:t xml:space="preserve"> </w:t>
      </w:r>
      <w:r w:rsidR="00033D0F">
        <w:rPr>
          <w:i/>
        </w:rPr>
        <w:t>ex</w:t>
      </w:r>
      <w:r w:rsidR="00033D0F">
        <w:rPr>
          <w:i/>
          <w:spacing w:val="-13"/>
        </w:rPr>
        <w:t xml:space="preserve"> </w:t>
      </w:r>
      <w:r w:rsidR="00033D0F">
        <w:rPr>
          <w:i/>
        </w:rPr>
        <w:t xml:space="preserve">post facto </w:t>
      </w:r>
      <w:r w:rsidR="00033D0F">
        <w:t>explanations.</w:t>
      </w:r>
    </w:p>
    <w:p w14:paraId="471B1701" w14:textId="77777777" w:rsidR="00BD462C" w:rsidRDefault="00033D0F">
      <w:pPr>
        <w:pStyle w:val="Heading3"/>
        <w:numPr>
          <w:ilvl w:val="0"/>
          <w:numId w:val="40"/>
        </w:numPr>
        <w:tabs>
          <w:tab w:val="left" w:pos="2689"/>
          <w:tab w:val="left" w:pos="2690"/>
        </w:tabs>
        <w:spacing w:before="165"/>
      </w:pPr>
      <w:bookmarkStart w:id="1022" w:name="_bookmark878"/>
      <w:bookmarkEnd w:id="1022"/>
      <w:r>
        <w:rPr>
          <w:spacing w:val="-2"/>
        </w:rPr>
        <w:t>Conclusion</w:t>
      </w:r>
    </w:p>
    <w:p w14:paraId="754E49BE" w14:textId="77777777" w:rsidR="00BD462C" w:rsidRDefault="00BD462C">
      <w:pPr>
        <w:pStyle w:val="BodyText"/>
        <w:spacing w:before="11"/>
        <w:rPr>
          <w:b/>
          <w:sz w:val="20"/>
        </w:rPr>
      </w:pPr>
    </w:p>
    <w:p w14:paraId="576FE9B2" w14:textId="20477383" w:rsidR="00BD462C" w:rsidRDefault="00996BE4">
      <w:pPr>
        <w:pStyle w:val="BodyText"/>
        <w:spacing w:before="56" w:line="357" w:lineRule="auto"/>
        <w:ind w:left="135" w:right="920"/>
        <w:jc w:val="both"/>
      </w:pPr>
      <w:r>
        <w:rPr>
          <w:noProof/>
        </w:rPr>
        <w:t>513.</w:t>
      </w:r>
      <w:r w:rsidR="00033D0F">
        <w:rPr>
          <w:rFonts w:ascii="Times New Roman"/>
          <w:spacing w:val="80"/>
          <w:w w:val="150"/>
          <w:position w:val="1"/>
          <w:sz w:val="20"/>
        </w:rPr>
        <w:t xml:space="preserve">  </w:t>
      </w:r>
      <w:r w:rsidR="00033D0F">
        <w:rPr>
          <w:position w:val="1"/>
        </w:rPr>
        <w:t xml:space="preserve">China has failed to rebut Australia's </w:t>
      </w:r>
      <w:r w:rsidR="00033D0F">
        <w:rPr>
          <w:i/>
          <w:position w:val="1"/>
        </w:rPr>
        <w:t xml:space="preserve">prima facie </w:t>
      </w:r>
      <w:r w:rsidR="00033D0F">
        <w:rPr>
          <w:position w:val="1"/>
        </w:rPr>
        <w:t xml:space="preserve">case. For the reasons set out above </w:t>
      </w:r>
      <w:r w:rsidR="00033D0F">
        <w:t>and</w:t>
      </w:r>
      <w:r w:rsidR="00033D0F">
        <w:rPr>
          <w:spacing w:val="-1"/>
        </w:rPr>
        <w:t xml:space="preserve"> </w:t>
      </w:r>
      <w:r w:rsidR="00033D0F">
        <w:t>in</w:t>
      </w:r>
      <w:r w:rsidR="00033D0F">
        <w:rPr>
          <w:spacing w:val="-1"/>
        </w:rPr>
        <w:t xml:space="preserve"> </w:t>
      </w:r>
      <w:r w:rsidR="00033D0F">
        <w:t>Australia's first written</w:t>
      </w:r>
      <w:r w:rsidR="00033D0F">
        <w:rPr>
          <w:spacing w:val="-1"/>
        </w:rPr>
        <w:t xml:space="preserve"> </w:t>
      </w:r>
      <w:r w:rsidR="00033D0F">
        <w:t>submission, China acted</w:t>
      </w:r>
      <w:r w:rsidR="00033D0F">
        <w:rPr>
          <w:spacing w:val="-1"/>
        </w:rPr>
        <w:t xml:space="preserve"> </w:t>
      </w:r>
      <w:r w:rsidR="00033D0F">
        <w:t>inconsistently with</w:t>
      </w:r>
      <w:r w:rsidR="00033D0F">
        <w:rPr>
          <w:spacing w:val="-1"/>
        </w:rPr>
        <w:t xml:space="preserve"> </w:t>
      </w:r>
      <w:r w:rsidR="00033D0F">
        <w:t>Article 3.1</w:t>
      </w:r>
      <w:r w:rsidR="00033D0F">
        <w:rPr>
          <w:spacing w:val="-1"/>
        </w:rPr>
        <w:t xml:space="preserve"> </w:t>
      </w:r>
      <w:r w:rsidR="00033D0F">
        <w:t>and</w:t>
      </w:r>
      <w:r w:rsidR="00033D0F">
        <w:rPr>
          <w:spacing w:val="-1"/>
        </w:rPr>
        <w:t xml:space="preserve"> </w:t>
      </w:r>
      <w:r w:rsidR="00033D0F">
        <w:t>the second sentence of Article 3.2 of the Anti-Dumping Agreement.</w:t>
      </w:r>
    </w:p>
    <w:p w14:paraId="7B652C40" w14:textId="77777777" w:rsidR="00BD462C" w:rsidRDefault="00033D0F" w:rsidP="00DA02D9">
      <w:pPr>
        <w:pStyle w:val="ListParagraph"/>
        <w:numPr>
          <w:ilvl w:val="1"/>
          <w:numId w:val="72"/>
        </w:numPr>
        <w:tabs>
          <w:tab w:val="left" w:pos="1839"/>
          <w:tab w:val="left" w:pos="1840"/>
        </w:tabs>
        <w:spacing w:before="165" w:line="360" w:lineRule="auto"/>
        <w:ind w:right="919"/>
        <w:rPr>
          <w:b/>
        </w:rPr>
      </w:pPr>
      <w:bookmarkStart w:id="1023" w:name="C._China_acted_inconsistently_with_Artic"/>
      <w:bookmarkStart w:id="1024" w:name="_bookmark879"/>
      <w:bookmarkEnd w:id="1023"/>
      <w:bookmarkEnd w:id="1024"/>
      <w:r>
        <w:rPr>
          <w:b/>
          <w:sz w:val="28"/>
        </w:rPr>
        <w:t>C</w:t>
      </w:r>
      <w:r>
        <w:rPr>
          <w:b/>
        </w:rPr>
        <w:t>HINA</w:t>
      </w:r>
      <w:r>
        <w:rPr>
          <w:b/>
          <w:spacing w:val="34"/>
        </w:rPr>
        <w:t xml:space="preserve"> </w:t>
      </w:r>
      <w:r>
        <w:rPr>
          <w:b/>
        </w:rPr>
        <w:t>ACTED</w:t>
      </w:r>
      <w:r>
        <w:rPr>
          <w:b/>
          <w:spacing w:val="33"/>
        </w:rPr>
        <w:t xml:space="preserve"> </w:t>
      </w:r>
      <w:r>
        <w:rPr>
          <w:b/>
        </w:rPr>
        <w:t>INCONSISTENTLY</w:t>
      </w:r>
      <w:r>
        <w:rPr>
          <w:b/>
          <w:spacing w:val="34"/>
        </w:rPr>
        <w:t xml:space="preserve"> </w:t>
      </w:r>
      <w:r>
        <w:rPr>
          <w:b/>
        </w:rPr>
        <w:t>WITH</w:t>
      </w:r>
      <w:r>
        <w:rPr>
          <w:b/>
          <w:spacing w:val="33"/>
        </w:rPr>
        <w:t xml:space="preserve"> </w:t>
      </w:r>
      <w:r>
        <w:rPr>
          <w:b/>
          <w:sz w:val="28"/>
        </w:rPr>
        <w:t>A</w:t>
      </w:r>
      <w:r>
        <w:rPr>
          <w:b/>
        </w:rPr>
        <w:t>RTICLES</w:t>
      </w:r>
      <w:r>
        <w:rPr>
          <w:b/>
          <w:spacing w:val="35"/>
        </w:rPr>
        <w:t xml:space="preserve"> </w:t>
      </w:r>
      <w:r>
        <w:rPr>
          <w:b/>
          <w:sz w:val="28"/>
        </w:rPr>
        <w:t xml:space="preserve">3.1 </w:t>
      </w:r>
      <w:r>
        <w:rPr>
          <w:b/>
        </w:rPr>
        <w:t>AND</w:t>
      </w:r>
      <w:r>
        <w:rPr>
          <w:b/>
          <w:spacing w:val="38"/>
        </w:rPr>
        <w:t xml:space="preserve"> </w:t>
      </w:r>
      <w:r>
        <w:rPr>
          <w:b/>
          <w:sz w:val="28"/>
        </w:rPr>
        <w:t xml:space="preserve">3.4 </w:t>
      </w:r>
      <w:r>
        <w:rPr>
          <w:b/>
        </w:rPr>
        <w:t>OF</w:t>
      </w:r>
      <w:r>
        <w:rPr>
          <w:b/>
          <w:spacing w:val="33"/>
        </w:rPr>
        <w:t xml:space="preserve"> </w:t>
      </w:r>
      <w:r>
        <w:rPr>
          <w:b/>
        </w:rPr>
        <w:t>THE</w:t>
      </w:r>
      <w:r>
        <w:rPr>
          <w:b/>
          <w:spacing w:val="36"/>
        </w:rPr>
        <w:t xml:space="preserve"> </w:t>
      </w:r>
      <w:r>
        <w:rPr>
          <w:b/>
          <w:sz w:val="28"/>
        </w:rPr>
        <w:t>A</w:t>
      </w:r>
      <w:r>
        <w:rPr>
          <w:b/>
        </w:rPr>
        <w:t>NTI</w:t>
      </w:r>
      <w:r>
        <w:rPr>
          <w:b/>
          <w:sz w:val="28"/>
        </w:rPr>
        <w:t>- D</w:t>
      </w:r>
      <w:r>
        <w:rPr>
          <w:b/>
        </w:rPr>
        <w:t xml:space="preserve">UMPING </w:t>
      </w:r>
      <w:r>
        <w:rPr>
          <w:b/>
          <w:sz w:val="28"/>
        </w:rPr>
        <w:t>A</w:t>
      </w:r>
      <w:r>
        <w:rPr>
          <w:b/>
        </w:rPr>
        <w:t>GREEMENT</w:t>
      </w:r>
    </w:p>
    <w:p w14:paraId="735F843D" w14:textId="77777777" w:rsidR="00BD462C" w:rsidRDefault="00033D0F">
      <w:pPr>
        <w:pStyle w:val="Heading3"/>
        <w:numPr>
          <w:ilvl w:val="0"/>
          <w:numId w:val="33"/>
        </w:numPr>
        <w:tabs>
          <w:tab w:val="left" w:pos="2689"/>
          <w:tab w:val="left" w:pos="2690"/>
        </w:tabs>
        <w:spacing w:before="160"/>
      </w:pPr>
      <w:bookmarkStart w:id="1025" w:name="_bookmark880"/>
      <w:bookmarkEnd w:id="1025"/>
      <w:r>
        <w:rPr>
          <w:spacing w:val="-2"/>
        </w:rPr>
        <w:t>Introduction</w:t>
      </w:r>
    </w:p>
    <w:p w14:paraId="32611511" w14:textId="77777777" w:rsidR="00BD462C" w:rsidRDefault="00BD462C">
      <w:pPr>
        <w:pStyle w:val="BodyText"/>
        <w:spacing w:before="11"/>
        <w:rPr>
          <w:b/>
          <w:sz w:val="20"/>
        </w:rPr>
      </w:pPr>
    </w:p>
    <w:p w14:paraId="5171FF39" w14:textId="3156D03F" w:rsidR="00BD462C" w:rsidRDefault="00996BE4">
      <w:pPr>
        <w:pStyle w:val="BodyText"/>
        <w:spacing w:before="56" w:line="360" w:lineRule="auto"/>
        <w:ind w:left="135" w:right="914"/>
        <w:jc w:val="both"/>
      </w:pPr>
      <w:r>
        <w:rPr>
          <w:noProof/>
        </w:rPr>
        <w:t>514.</w:t>
      </w:r>
      <w:r w:rsidR="00033D0F">
        <w:rPr>
          <w:rFonts w:ascii="Times New Roman"/>
          <w:spacing w:val="40"/>
          <w:position w:val="1"/>
          <w:sz w:val="20"/>
        </w:rPr>
        <w:t xml:space="preserve">  </w:t>
      </w:r>
      <w:r w:rsidR="00033D0F">
        <w:rPr>
          <w:position w:val="1"/>
        </w:rPr>
        <w:t xml:space="preserve">MOFCOM determined that subject imports had a material impact on the state </w:t>
      </w:r>
      <w:r w:rsidR="00033D0F">
        <w:t>observed in the domestic industry. Australia's position is</w:t>
      </w:r>
      <w:r w:rsidR="00033D0F">
        <w:rPr>
          <w:spacing w:val="-1"/>
        </w:rPr>
        <w:t xml:space="preserve"> </w:t>
      </w:r>
      <w:r w:rsidR="00033D0F">
        <w:t>that MOFCOM's examination of the impact that subject imports had on the domestic industry was wholly deficient, such that it did</w:t>
      </w:r>
      <w:r w:rsidR="00033D0F">
        <w:rPr>
          <w:spacing w:val="8"/>
        </w:rPr>
        <w:t xml:space="preserve"> </w:t>
      </w:r>
      <w:r w:rsidR="00033D0F">
        <w:t>not</w:t>
      </w:r>
      <w:r w:rsidR="00033D0F">
        <w:rPr>
          <w:spacing w:val="11"/>
        </w:rPr>
        <w:t xml:space="preserve"> </w:t>
      </w:r>
      <w:r w:rsidR="00033D0F">
        <w:t>provide</w:t>
      </w:r>
      <w:r w:rsidR="00033D0F">
        <w:rPr>
          <w:spacing w:val="11"/>
        </w:rPr>
        <w:t xml:space="preserve"> </w:t>
      </w:r>
      <w:r w:rsidR="00033D0F">
        <w:t>a</w:t>
      </w:r>
      <w:r w:rsidR="00033D0F">
        <w:rPr>
          <w:spacing w:val="10"/>
        </w:rPr>
        <w:t xml:space="preserve"> </w:t>
      </w:r>
      <w:r w:rsidR="00033D0F">
        <w:t>rational</w:t>
      </w:r>
      <w:r w:rsidR="00033D0F">
        <w:rPr>
          <w:spacing w:val="13"/>
        </w:rPr>
        <w:t xml:space="preserve"> </w:t>
      </w:r>
      <w:r w:rsidR="00033D0F">
        <w:t>basis</w:t>
      </w:r>
      <w:r w:rsidR="00033D0F">
        <w:rPr>
          <w:spacing w:val="12"/>
        </w:rPr>
        <w:t xml:space="preserve"> </w:t>
      </w:r>
      <w:r w:rsidR="00033D0F">
        <w:t>for</w:t>
      </w:r>
      <w:r w:rsidR="00033D0F">
        <w:rPr>
          <w:spacing w:val="7"/>
        </w:rPr>
        <w:t xml:space="preserve"> </w:t>
      </w:r>
      <w:r w:rsidR="00033D0F">
        <w:t>the</w:t>
      </w:r>
      <w:r w:rsidR="00033D0F">
        <w:rPr>
          <w:spacing w:val="11"/>
        </w:rPr>
        <w:t xml:space="preserve"> </w:t>
      </w:r>
      <w:r w:rsidR="00033D0F">
        <w:t>injury</w:t>
      </w:r>
      <w:r w:rsidR="00033D0F">
        <w:rPr>
          <w:spacing w:val="11"/>
        </w:rPr>
        <w:t xml:space="preserve"> </w:t>
      </w:r>
      <w:r w:rsidR="00033D0F">
        <w:t>determination.</w:t>
      </w:r>
      <w:r w:rsidR="00033D0F">
        <w:rPr>
          <w:spacing w:val="12"/>
        </w:rPr>
        <w:t xml:space="preserve"> </w:t>
      </w:r>
      <w:r w:rsidR="00033D0F">
        <w:t>As</w:t>
      </w:r>
      <w:r w:rsidR="00033D0F">
        <w:rPr>
          <w:spacing w:val="12"/>
        </w:rPr>
        <w:t xml:space="preserve"> </w:t>
      </w:r>
      <w:r w:rsidR="00033D0F">
        <w:t>a</w:t>
      </w:r>
      <w:r w:rsidR="00033D0F">
        <w:rPr>
          <w:spacing w:val="10"/>
        </w:rPr>
        <w:t xml:space="preserve"> </w:t>
      </w:r>
      <w:r w:rsidR="00033D0F">
        <w:t>result,</w:t>
      </w:r>
      <w:r w:rsidR="00033D0F">
        <w:rPr>
          <w:spacing w:val="13"/>
        </w:rPr>
        <w:t xml:space="preserve"> </w:t>
      </w:r>
      <w:r w:rsidR="00033D0F">
        <w:t>the</w:t>
      </w:r>
      <w:r w:rsidR="00033D0F">
        <w:rPr>
          <w:spacing w:val="10"/>
        </w:rPr>
        <w:t xml:space="preserve"> </w:t>
      </w:r>
      <w:r w:rsidR="00033D0F">
        <w:t>evaluation</w:t>
      </w:r>
      <w:r w:rsidR="00033D0F">
        <w:rPr>
          <w:spacing w:val="9"/>
        </w:rPr>
        <w:t xml:space="preserve"> </w:t>
      </w:r>
      <w:r w:rsidR="00033D0F">
        <w:rPr>
          <w:spacing w:val="-5"/>
        </w:rPr>
        <w:t>and</w:t>
      </w:r>
    </w:p>
    <w:p w14:paraId="1D590394" w14:textId="27951722" w:rsidR="00BD462C" w:rsidRDefault="00E14314">
      <w:pPr>
        <w:pStyle w:val="BodyText"/>
        <w:spacing w:before="6"/>
        <w:rPr>
          <w:sz w:val="17"/>
        </w:rPr>
      </w:pPr>
      <w:r>
        <w:rPr>
          <w:noProof/>
        </w:rPr>
        <mc:AlternateContent>
          <mc:Choice Requires="wps">
            <w:drawing>
              <wp:anchor distT="0" distB="0" distL="0" distR="0" simplePos="0" relativeHeight="488059392" behindDoc="1" locked="0" layoutInCell="1" allowOverlap="1" wp14:anchorId="1DA53391" wp14:editId="65B80EB3">
                <wp:simplePos x="0" y="0"/>
                <wp:positionH relativeFrom="page">
                  <wp:posOffset>812800</wp:posOffset>
                </wp:positionH>
                <wp:positionV relativeFrom="paragraph">
                  <wp:posOffset>137160</wp:posOffset>
                </wp:positionV>
                <wp:extent cx="1828800" cy="8890"/>
                <wp:effectExtent l="0" t="0" r="0" b="0"/>
                <wp:wrapTopAndBottom/>
                <wp:docPr id="41" name="docshape2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2652E" id="docshape267" o:spid="_x0000_s1026" alt="&quot;&quot;" style="position:absolute;margin-left:64pt;margin-top:10.8pt;width:2in;height:.7pt;z-index:-15257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" fillcolor="black" stroked="f">
                <w10:wrap type="topAndBottom" anchorx="page"/>
              </v:rect>
            </w:pict>
          </mc:Fallback>
        </mc:AlternateContent>
      </w:r>
    </w:p>
    <w:p w14:paraId="7AEAFE62" w14:textId="77777777" w:rsidR="00BD462C" w:rsidRDefault="00033D0F">
      <w:pPr>
        <w:spacing w:before="107"/>
        <w:ind w:left="136" w:right="923" w:hanging="1"/>
        <w:rPr>
          <w:sz w:val="18"/>
        </w:rPr>
      </w:pPr>
      <w:bookmarkStart w:id="1026" w:name="_bookmark881"/>
      <w:bookmarkEnd w:id="1026"/>
      <w:r>
        <w:rPr>
          <w:position w:val="5"/>
          <w:sz w:val="12"/>
        </w:rPr>
        <w:t>747</w:t>
      </w:r>
      <w:r>
        <w:rPr>
          <w:spacing w:val="17"/>
          <w:position w:val="5"/>
          <w:sz w:val="12"/>
        </w:rPr>
        <w:t xml:space="preserve"> </w:t>
      </w:r>
      <w:r>
        <w:rPr>
          <w:sz w:val="18"/>
        </w:rPr>
        <w:t>Panel</w:t>
      </w:r>
      <w:r>
        <w:rPr>
          <w:spacing w:val="-1"/>
          <w:sz w:val="18"/>
        </w:rPr>
        <w:t xml:space="preserve"> </w:t>
      </w:r>
      <w:r>
        <w:rPr>
          <w:sz w:val="18"/>
        </w:rPr>
        <w:t xml:space="preserve">Report, </w:t>
      </w:r>
      <w:r>
        <w:rPr>
          <w:i/>
          <w:sz w:val="18"/>
        </w:rPr>
        <w:t>Pakistan –</w:t>
      </w:r>
      <w:r>
        <w:rPr>
          <w:i/>
          <w:spacing w:val="-2"/>
          <w:sz w:val="18"/>
        </w:rPr>
        <w:t xml:space="preserve"> </w:t>
      </w:r>
      <w:r>
        <w:rPr>
          <w:i/>
          <w:sz w:val="18"/>
        </w:rPr>
        <w:t>BOPP Film</w:t>
      </w:r>
      <w:r>
        <w:rPr>
          <w:i/>
          <w:spacing w:val="-3"/>
          <w:sz w:val="18"/>
        </w:rPr>
        <w:t xml:space="preserve"> </w:t>
      </w:r>
      <w:r>
        <w:rPr>
          <w:i/>
          <w:sz w:val="18"/>
        </w:rPr>
        <w:t>(UAE)</w:t>
      </w:r>
      <w:r>
        <w:rPr>
          <w:sz w:val="18"/>
        </w:rPr>
        <w:t>, para.</w:t>
      </w:r>
      <w:r>
        <w:rPr>
          <w:spacing w:val="-1"/>
          <w:sz w:val="18"/>
        </w:rPr>
        <w:t xml:space="preserve"> </w:t>
      </w:r>
      <w:r>
        <w:rPr>
          <w:sz w:val="18"/>
        </w:rPr>
        <w:t>7.257;</w:t>
      </w:r>
      <w:r>
        <w:rPr>
          <w:spacing w:val="-4"/>
          <w:sz w:val="18"/>
        </w:rPr>
        <w:t xml:space="preserve"> </w:t>
      </w:r>
      <w:r>
        <w:rPr>
          <w:sz w:val="18"/>
        </w:rPr>
        <w:t>Appellate</w:t>
      </w:r>
      <w:r>
        <w:rPr>
          <w:spacing w:val="-7"/>
          <w:sz w:val="18"/>
        </w:rPr>
        <w:t xml:space="preserve"> </w:t>
      </w:r>
      <w:r>
        <w:rPr>
          <w:sz w:val="18"/>
        </w:rPr>
        <w:t>Body</w:t>
      </w:r>
      <w:r>
        <w:rPr>
          <w:spacing w:val="-4"/>
          <w:sz w:val="18"/>
        </w:rPr>
        <w:t xml:space="preserve"> </w:t>
      </w:r>
      <w:r>
        <w:rPr>
          <w:sz w:val="18"/>
        </w:rPr>
        <w:t xml:space="preserve">Reports, </w:t>
      </w:r>
      <w:r>
        <w:rPr>
          <w:i/>
          <w:sz w:val="18"/>
        </w:rPr>
        <w:t>China –</w:t>
      </w:r>
      <w:r>
        <w:rPr>
          <w:i/>
          <w:spacing w:val="-2"/>
          <w:sz w:val="18"/>
        </w:rPr>
        <w:t xml:space="preserve"> </w:t>
      </w:r>
      <w:r>
        <w:rPr>
          <w:i/>
          <w:sz w:val="18"/>
        </w:rPr>
        <w:t>GOES</w:t>
      </w:r>
      <w:r>
        <w:rPr>
          <w:sz w:val="18"/>
        </w:rPr>
        <w:t>, para. 126;</w:t>
      </w:r>
      <w:r>
        <w:rPr>
          <w:spacing w:val="-4"/>
          <w:sz w:val="18"/>
        </w:rPr>
        <w:t xml:space="preserve"> </w:t>
      </w:r>
      <w:r>
        <w:rPr>
          <w:i/>
          <w:sz w:val="18"/>
        </w:rPr>
        <w:t>US –</w:t>
      </w:r>
      <w:r>
        <w:rPr>
          <w:i/>
          <w:spacing w:val="-2"/>
          <w:sz w:val="18"/>
        </w:rPr>
        <w:t xml:space="preserve"> </w:t>
      </w:r>
      <w:r>
        <w:rPr>
          <w:i/>
          <w:sz w:val="18"/>
        </w:rPr>
        <w:t>Hot-Rolled Steel</w:t>
      </w:r>
      <w:r>
        <w:rPr>
          <w:sz w:val="18"/>
        </w:rPr>
        <w:t xml:space="preserve">, para. 192; </w:t>
      </w:r>
      <w:r>
        <w:rPr>
          <w:i/>
          <w:sz w:val="18"/>
        </w:rPr>
        <w:t>Mexico – Anti-Dumping Measures on Rice</w:t>
      </w:r>
      <w:r>
        <w:rPr>
          <w:sz w:val="18"/>
        </w:rPr>
        <w:t>, para. 192.</w:t>
      </w:r>
    </w:p>
    <w:p w14:paraId="242DE998" w14:textId="77777777" w:rsidR="00BD462C" w:rsidRDefault="00033D0F">
      <w:pPr>
        <w:spacing w:before="2"/>
        <w:ind w:left="135"/>
        <w:rPr>
          <w:sz w:val="18"/>
        </w:rPr>
      </w:pPr>
      <w:bookmarkStart w:id="1027" w:name="_bookmark882"/>
      <w:bookmarkEnd w:id="1027"/>
      <w:r>
        <w:rPr>
          <w:position w:val="5"/>
          <w:sz w:val="12"/>
        </w:rPr>
        <w:t>748</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paras.</w:t>
      </w:r>
      <w:r>
        <w:rPr>
          <w:spacing w:val="-5"/>
          <w:sz w:val="18"/>
        </w:rPr>
        <w:t xml:space="preserve"> </w:t>
      </w:r>
      <w:r>
        <w:rPr>
          <w:sz w:val="18"/>
        </w:rPr>
        <w:t>944-</w:t>
      </w:r>
      <w:r>
        <w:rPr>
          <w:spacing w:val="-2"/>
          <w:sz w:val="18"/>
        </w:rPr>
        <w:t>1078.</w:t>
      </w:r>
    </w:p>
    <w:p w14:paraId="10672697" w14:textId="77777777" w:rsidR="00BD462C" w:rsidRDefault="00033D0F">
      <w:pPr>
        <w:spacing w:before="1"/>
        <w:ind w:left="135"/>
        <w:rPr>
          <w:sz w:val="18"/>
        </w:rPr>
      </w:pPr>
      <w:bookmarkStart w:id="1028" w:name="_bookmark883"/>
      <w:bookmarkEnd w:id="1028"/>
      <w:r>
        <w:rPr>
          <w:position w:val="5"/>
          <w:sz w:val="12"/>
        </w:rPr>
        <w:t>749</w:t>
      </w:r>
      <w:r>
        <w:rPr>
          <w:spacing w:val="10"/>
          <w:position w:val="5"/>
          <w:sz w:val="12"/>
        </w:rPr>
        <w:t xml:space="preserve"> </w:t>
      </w:r>
      <w:r>
        <w:rPr>
          <w:sz w:val="18"/>
        </w:rPr>
        <w:t>China's</w:t>
      </w:r>
      <w:r>
        <w:rPr>
          <w:spacing w:val="-7"/>
          <w:sz w:val="18"/>
        </w:rPr>
        <w:t xml:space="preserve"> </w:t>
      </w:r>
      <w:r>
        <w:rPr>
          <w:sz w:val="18"/>
        </w:rPr>
        <w:t>first</w:t>
      </w:r>
      <w:r>
        <w:rPr>
          <w:spacing w:val="-7"/>
          <w:sz w:val="18"/>
        </w:rPr>
        <w:t xml:space="preserve"> </w:t>
      </w:r>
      <w:r>
        <w:rPr>
          <w:sz w:val="18"/>
        </w:rPr>
        <w:t>written</w:t>
      </w:r>
      <w:r>
        <w:rPr>
          <w:spacing w:val="-8"/>
          <w:sz w:val="18"/>
        </w:rPr>
        <w:t xml:space="preserve"> </w:t>
      </w:r>
      <w:r>
        <w:rPr>
          <w:sz w:val="18"/>
        </w:rPr>
        <w:t>submission,</w:t>
      </w:r>
      <w:r>
        <w:rPr>
          <w:spacing w:val="-1"/>
          <w:sz w:val="18"/>
        </w:rPr>
        <w:t xml:space="preserve"> </w:t>
      </w:r>
      <w:r>
        <w:rPr>
          <w:sz w:val="18"/>
        </w:rPr>
        <w:t>paras.</w:t>
      </w:r>
      <w:r>
        <w:rPr>
          <w:spacing w:val="-7"/>
          <w:sz w:val="18"/>
        </w:rPr>
        <w:t xml:space="preserve"> </w:t>
      </w:r>
      <w:r>
        <w:rPr>
          <w:sz w:val="18"/>
        </w:rPr>
        <w:t>1025-1026,</w:t>
      </w:r>
      <w:r>
        <w:rPr>
          <w:spacing w:val="-1"/>
          <w:sz w:val="18"/>
        </w:rPr>
        <w:t xml:space="preserve"> </w:t>
      </w:r>
      <w:r>
        <w:rPr>
          <w:sz w:val="18"/>
        </w:rPr>
        <w:t>1048-1051,</w:t>
      </w:r>
      <w:r>
        <w:rPr>
          <w:spacing w:val="-2"/>
          <w:sz w:val="18"/>
        </w:rPr>
        <w:t xml:space="preserve"> </w:t>
      </w:r>
      <w:r>
        <w:rPr>
          <w:sz w:val="18"/>
        </w:rPr>
        <w:t>and</w:t>
      </w:r>
      <w:r>
        <w:rPr>
          <w:spacing w:val="-4"/>
          <w:sz w:val="18"/>
        </w:rPr>
        <w:t xml:space="preserve"> </w:t>
      </w:r>
      <w:r>
        <w:rPr>
          <w:spacing w:val="-2"/>
          <w:sz w:val="18"/>
        </w:rPr>
        <w:t>1055.</w:t>
      </w:r>
    </w:p>
    <w:p w14:paraId="60403570" w14:textId="77777777" w:rsidR="00BD462C" w:rsidRDefault="00033D0F">
      <w:pPr>
        <w:spacing w:before="1"/>
        <w:ind w:left="135"/>
        <w:rPr>
          <w:sz w:val="18"/>
        </w:rPr>
      </w:pPr>
      <w:bookmarkStart w:id="1029" w:name="_bookmark884"/>
      <w:bookmarkEnd w:id="1029"/>
      <w:r>
        <w:rPr>
          <w:position w:val="5"/>
          <w:sz w:val="12"/>
        </w:rPr>
        <w:t>750</w:t>
      </w:r>
      <w:r>
        <w:rPr>
          <w:spacing w:val="12"/>
          <w:position w:val="5"/>
          <w:sz w:val="12"/>
        </w:rPr>
        <w:t xml:space="preserve"> </w:t>
      </w:r>
      <w:r>
        <w:rPr>
          <w:sz w:val="18"/>
        </w:rPr>
        <w:t>Anti-Dumping</w:t>
      </w:r>
      <w:r>
        <w:rPr>
          <w:spacing w:val="-6"/>
          <w:sz w:val="18"/>
        </w:rPr>
        <w:t xml:space="preserve"> </w:t>
      </w:r>
      <w:r>
        <w:rPr>
          <w:sz w:val="18"/>
        </w:rPr>
        <w:t>Final</w:t>
      </w:r>
      <w:r>
        <w:rPr>
          <w:spacing w:val="-1"/>
          <w:sz w:val="18"/>
        </w:rPr>
        <w:t xml:space="preserve"> </w:t>
      </w:r>
      <w:r>
        <w:rPr>
          <w:sz w:val="18"/>
        </w:rPr>
        <w:t>Determination</w:t>
      </w:r>
      <w:r>
        <w:rPr>
          <w:spacing w:val="-7"/>
          <w:sz w:val="18"/>
        </w:rPr>
        <w:t xml:space="preserve"> </w:t>
      </w:r>
      <w:r>
        <w:rPr>
          <w:sz w:val="18"/>
        </w:rPr>
        <w:t>(Exhibit</w:t>
      </w:r>
      <w:r>
        <w:rPr>
          <w:spacing w:val="-2"/>
          <w:sz w:val="18"/>
        </w:rPr>
        <w:t xml:space="preserve"> </w:t>
      </w:r>
      <w:r>
        <w:rPr>
          <w:sz w:val="18"/>
        </w:rPr>
        <w:t>AUS-2),</w:t>
      </w:r>
      <w:r>
        <w:rPr>
          <w:spacing w:val="-4"/>
          <w:sz w:val="18"/>
        </w:rPr>
        <w:t xml:space="preserve"> </w:t>
      </w:r>
      <w:r>
        <w:rPr>
          <w:sz w:val="18"/>
        </w:rPr>
        <w:t>p.</w:t>
      </w:r>
      <w:r>
        <w:rPr>
          <w:spacing w:val="-5"/>
          <w:sz w:val="18"/>
        </w:rPr>
        <w:t xml:space="preserve"> </w:t>
      </w:r>
      <w:r>
        <w:rPr>
          <w:spacing w:val="-4"/>
          <w:sz w:val="18"/>
        </w:rPr>
        <w:t>109.</w:t>
      </w:r>
    </w:p>
    <w:p w14:paraId="1A4EE793" w14:textId="77777777" w:rsidR="00BD462C" w:rsidRDefault="00BD462C">
      <w:pPr>
        <w:rPr>
          <w:sz w:val="18"/>
        </w:rPr>
        <w:sectPr w:rsidR="00BD462C">
          <w:pgSz w:w="11910" w:h="16840"/>
          <w:pgMar w:top="860" w:right="500" w:bottom="780" w:left="1280" w:header="566" w:footer="590" w:gutter="0"/>
          <w:cols w:space="720"/>
        </w:sectPr>
      </w:pPr>
    </w:p>
    <w:p w14:paraId="6016BCBB"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635332F7"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09D71031"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1A94CED7" w14:textId="77777777" w:rsidR="00BD462C" w:rsidRDefault="00033D0F">
      <w:pPr>
        <w:pStyle w:val="BodyText"/>
        <w:spacing w:before="102" w:line="357" w:lineRule="auto"/>
        <w:ind w:left="136" w:right="923"/>
      </w:pPr>
      <w:r>
        <w:t>findings</w:t>
      </w:r>
      <w:r>
        <w:rPr>
          <w:spacing w:val="31"/>
        </w:rPr>
        <w:t xml:space="preserve"> </w:t>
      </w:r>
      <w:r>
        <w:t>are</w:t>
      </w:r>
      <w:r>
        <w:rPr>
          <w:spacing w:val="29"/>
        </w:rPr>
        <w:t xml:space="preserve"> </w:t>
      </w:r>
      <w:r>
        <w:t>inconsistent</w:t>
      </w:r>
      <w:r>
        <w:rPr>
          <w:spacing w:val="25"/>
        </w:rPr>
        <w:t xml:space="preserve"> </w:t>
      </w:r>
      <w:r>
        <w:t>with</w:t>
      </w:r>
      <w:r>
        <w:rPr>
          <w:spacing w:val="27"/>
        </w:rPr>
        <w:t xml:space="preserve"> </w:t>
      </w:r>
      <w:r>
        <w:t>Articles</w:t>
      </w:r>
      <w:r>
        <w:rPr>
          <w:spacing w:val="-1"/>
        </w:rPr>
        <w:t xml:space="preserve"> </w:t>
      </w:r>
      <w:r>
        <w:t>3.1</w:t>
      </w:r>
      <w:r>
        <w:rPr>
          <w:spacing w:val="27"/>
        </w:rPr>
        <w:t xml:space="preserve"> </w:t>
      </w:r>
      <w:r>
        <w:t>and</w:t>
      </w:r>
      <w:r>
        <w:rPr>
          <w:spacing w:val="27"/>
        </w:rPr>
        <w:t xml:space="preserve"> </w:t>
      </w:r>
      <w:r>
        <w:t>3.4</w:t>
      </w:r>
      <w:r>
        <w:rPr>
          <w:spacing w:val="27"/>
        </w:rPr>
        <w:t xml:space="preserve"> </w:t>
      </w:r>
      <w:r>
        <w:t>of</w:t>
      </w:r>
      <w:r>
        <w:rPr>
          <w:spacing w:val="27"/>
        </w:rPr>
        <w:t xml:space="preserve"> </w:t>
      </w:r>
      <w:r>
        <w:t>the</w:t>
      </w:r>
      <w:r>
        <w:rPr>
          <w:spacing w:val="29"/>
        </w:rPr>
        <w:t xml:space="preserve"> </w:t>
      </w:r>
      <w:r>
        <w:t>Anti-Dumping</w:t>
      </w:r>
      <w:r>
        <w:rPr>
          <w:spacing w:val="30"/>
        </w:rPr>
        <w:t xml:space="preserve"> </w:t>
      </w:r>
      <w:r>
        <w:t>Agreement.</w:t>
      </w:r>
      <w:r>
        <w:rPr>
          <w:spacing w:val="30"/>
        </w:rPr>
        <w:t xml:space="preserve"> </w:t>
      </w:r>
      <w:r>
        <w:t>This</w:t>
      </w:r>
      <w:r>
        <w:rPr>
          <w:spacing w:val="31"/>
        </w:rPr>
        <w:t xml:space="preserve"> </w:t>
      </w:r>
      <w:r>
        <w:t xml:space="preserve">is </w:t>
      </w:r>
      <w:r>
        <w:rPr>
          <w:spacing w:val="-2"/>
        </w:rPr>
        <w:t>because:</w:t>
      </w:r>
    </w:p>
    <w:p w14:paraId="59CFD9EF" w14:textId="77777777" w:rsidR="00BD462C" w:rsidRDefault="00033D0F">
      <w:pPr>
        <w:pStyle w:val="ListParagraph"/>
        <w:numPr>
          <w:ilvl w:val="0"/>
          <w:numId w:val="48"/>
        </w:numPr>
        <w:tabs>
          <w:tab w:val="left" w:pos="1835"/>
          <w:tab w:val="left" w:pos="1836"/>
        </w:tabs>
        <w:spacing w:before="161" w:line="360" w:lineRule="auto"/>
        <w:ind w:right="913" w:hanging="855"/>
        <w:jc w:val="both"/>
        <w:rPr>
          <w:sz w:val="24"/>
        </w:rPr>
      </w:pPr>
      <w:r>
        <w:rPr>
          <w:sz w:val="24"/>
        </w:rPr>
        <w:t>first, MOFCOM</w:t>
      </w:r>
      <w:r>
        <w:rPr>
          <w:spacing w:val="-2"/>
          <w:sz w:val="24"/>
        </w:rPr>
        <w:t xml:space="preserve"> </w:t>
      </w:r>
      <w:r>
        <w:rPr>
          <w:sz w:val="24"/>
        </w:rPr>
        <w:t>made</w:t>
      </w:r>
      <w:r>
        <w:rPr>
          <w:spacing w:val="-3"/>
          <w:sz w:val="24"/>
        </w:rPr>
        <w:t xml:space="preserve"> </w:t>
      </w:r>
      <w:r>
        <w:rPr>
          <w:sz w:val="24"/>
        </w:rPr>
        <w:t>fundamental errors</w:t>
      </w:r>
      <w:r>
        <w:rPr>
          <w:spacing w:val="-1"/>
          <w:sz w:val="24"/>
        </w:rPr>
        <w:t xml:space="preserve"> </w:t>
      </w:r>
      <w:r>
        <w:rPr>
          <w:sz w:val="24"/>
        </w:rPr>
        <w:t>in</w:t>
      </w:r>
      <w:r>
        <w:rPr>
          <w:spacing w:val="-4"/>
          <w:sz w:val="24"/>
        </w:rPr>
        <w:t xml:space="preserve"> </w:t>
      </w:r>
      <w:r>
        <w:rPr>
          <w:sz w:val="24"/>
        </w:rPr>
        <w:t>defining</w:t>
      </w:r>
      <w:r>
        <w:rPr>
          <w:spacing w:val="-1"/>
          <w:sz w:val="24"/>
        </w:rPr>
        <w:t xml:space="preserve"> </w:t>
      </w:r>
      <w:r>
        <w:rPr>
          <w:sz w:val="24"/>
        </w:rPr>
        <w:t>the</w:t>
      </w:r>
      <w:r>
        <w:rPr>
          <w:spacing w:val="-3"/>
          <w:sz w:val="24"/>
        </w:rPr>
        <w:t xml:space="preserve"> </w:t>
      </w:r>
      <w:r>
        <w:rPr>
          <w:sz w:val="24"/>
        </w:rPr>
        <w:t>domestic</w:t>
      </w:r>
      <w:r>
        <w:rPr>
          <w:spacing w:val="-4"/>
          <w:sz w:val="24"/>
        </w:rPr>
        <w:t xml:space="preserve"> </w:t>
      </w:r>
      <w:r>
        <w:rPr>
          <w:sz w:val="24"/>
        </w:rPr>
        <w:t>industry. As a result, its examination of the state of that industry under Articles 3.1 and 3.4 was also fundamentally undermined.</w:t>
      </w:r>
    </w:p>
    <w:p w14:paraId="15E878C6" w14:textId="77777777" w:rsidR="00BD462C" w:rsidRDefault="00033D0F">
      <w:pPr>
        <w:pStyle w:val="ListParagraph"/>
        <w:numPr>
          <w:ilvl w:val="0"/>
          <w:numId w:val="48"/>
        </w:numPr>
        <w:tabs>
          <w:tab w:val="left" w:pos="1835"/>
          <w:tab w:val="left" w:pos="1836"/>
        </w:tabs>
        <w:spacing w:before="118" w:line="360" w:lineRule="auto"/>
        <w:ind w:right="913" w:hanging="855"/>
        <w:jc w:val="both"/>
        <w:rPr>
          <w:sz w:val="24"/>
        </w:rPr>
      </w:pPr>
      <w:r>
        <w:rPr>
          <w:sz w:val="24"/>
        </w:rPr>
        <w:t>second, MOFCOM asserted</w:t>
      </w:r>
      <w:r>
        <w:rPr>
          <w:spacing w:val="-2"/>
          <w:sz w:val="24"/>
        </w:rPr>
        <w:t xml:space="preserve"> </w:t>
      </w:r>
      <w:r>
        <w:rPr>
          <w:sz w:val="24"/>
        </w:rPr>
        <w:t>rather</w:t>
      </w:r>
      <w:r>
        <w:rPr>
          <w:spacing w:val="-2"/>
          <w:sz w:val="24"/>
        </w:rPr>
        <w:t xml:space="preserve"> </w:t>
      </w:r>
      <w:r>
        <w:rPr>
          <w:sz w:val="24"/>
        </w:rPr>
        <w:t>than</w:t>
      </w:r>
      <w:r>
        <w:rPr>
          <w:spacing w:val="-2"/>
          <w:sz w:val="24"/>
        </w:rPr>
        <w:t xml:space="preserve"> </w:t>
      </w:r>
      <w:r>
        <w:rPr>
          <w:sz w:val="24"/>
        </w:rPr>
        <w:t>examined</w:t>
      </w:r>
      <w:r>
        <w:rPr>
          <w:spacing w:val="-2"/>
          <w:sz w:val="24"/>
        </w:rPr>
        <w:t xml:space="preserve"> </w:t>
      </w:r>
      <w:r>
        <w:rPr>
          <w:sz w:val="24"/>
        </w:rPr>
        <w:t>the</w:t>
      </w:r>
      <w:r>
        <w:rPr>
          <w:spacing w:val="-1"/>
          <w:sz w:val="24"/>
        </w:rPr>
        <w:t xml:space="preserve"> </w:t>
      </w:r>
      <w:r>
        <w:rPr>
          <w:sz w:val="24"/>
        </w:rPr>
        <w:t>relationship</w:t>
      </w:r>
      <w:r>
        <w:rPr>
          <w:spacing w:val="-2"/>
          <w:sz w:val="24"/>
        </w:rPr>
        <w:t xml:space="preserve"> </w:t>
      </w:r>
      <w:r>
        <w:rPr>
          <w:sz w:val="24"/>
        </w:rPr>
        <w:t>between subject</w:t>
      </w:r>
      <w:r>
        <w:rPr>
          <w:spacing w:val="-8"/>
          <w:sz w:val="24"/>
        </w:rPr>
        <w:t xml:space="preserve"> </w:t>
      </w:r>
      <w:r>
        <w:rPr>
          <w:sz w:val="24"/>
        </w:rPr>
        <w:t>imports</w:t>
      </w:r>
      <w:r>
        <w:rPr>
          <w:spacing w:val="-7"/>
          <w:sz w:val="24"/>
        </w:rPr>
        <w:t xml:space="preserve"> </w:t>
      </w:r>
      <w:r>
        <w:rPr>
          <w:sz w:val="24"/>
        </w:rPr>
        <w:t>and</w:t>
      </w:r>
      <w:r>
        <w:rPr>
          <w:spacing w:val="-10"/>
          <w:sz w:val="24"/>
        </w:rPr>
        <w:t xml:space="preserve"> </w:t>
      </w:r>
      <w:r>
        <w:rPr>
          <w:sz w:val="24"/>
        </w:rPr>
        <w:t>the</w:t>
      </w:r>
      <w:r>
        <w:rPr>
          <w:spacing w:val="-8"/>
          <w:sz w:val="24"/>
        </w:rPr>
        <w:t xml:space="preserve"> </w:t>
      </w:r>
      <w:r>
        <w:rPr>
          <w:sz w:val="24"/>
        </w:rPr>
        <w:t>state</w:t>
      </w:r>
      <w:r>
        <w:rPr>
          <w:spacing w:val="-8"/>
          <w:sz w:val="24"/>
        </w:rPr>
        <w:t xml:space="preserve"> </w:t>
      </w:r>
      <w:r>
        <w:rPr>
          <w:sz w:val="24"/>
        </w:rPr>
        <w:t>observed</w:t>
      </w:r>
      <w:r>
        <w:rPr>
          <w:spacing w:val="-10"/>
          <w:sz w:val="24"/>
        </w:rPr>
        <w:t xml:space="preserve"> </w:t>
      </w:r>
      <w:r>
        <w:rPr>
          <w:sz w:val="24"/>
        </w:rPr>
        <w:t>in</w:t>
      </w:r>
      <w:r>
        <w:rPr>
          <w:spacing w:val="-10"/>
          <w:sz w:val="24"/>
        </w:rPr>
        <w:t xml:space="preserve"> </w:t>
      </w:r>
      <w:r>
        <w:rPr>
          <w:sz w:val="24"/>
        </w:rPr>
        <w:t>the</w:t>
      </w:r>
      <w:r>
        <w:rPr>
          <w:spacing w:val="-8"/>
          <w:sz w:val="24"/>
        </w:rPr>
        <w:t xml:space="preserve"> </w:t>
      </w:r>
      <w:r>
        <w:rPr>
          <w:sz w:val="24"/>
        </w:rPr>
        <w:t>domestic</w:t>
      </w:r>
      <w:r>
        <w:rPr>
          <w:spacing w:val="-9"/>
          <w:sz w:val="24"/>
        </w:rPr>
        <w:t xml:space="preserve"> </w:t>
      </w:r>
      <w:r>
        <w:rPr>
          <w:sz w:val="24"/>
        </w:rPr>
        <w:t>industry.</w:t>
      </w:r>
      <w:r>
        <w:rPr>
          <w:spacing w:val="-7"/>
          <w:sz w:val="24"/>
        </w:rPr>
        <w:t xml:space="preserve"> </w:t>
      </w:r>
      <w:r>
        <w:rPr>
          <w:sz w:val="24"/>
        </w:rPr>
        <w:t>As</w:t>
      </w:r>
      <w:r>
        <w:rPr>
          <w:spacing w:val="-7"/>
          <w:sz w:val="24"/>
        </w:rPr>
        <w:t xml:space="preserve"> </w:t>
      </w:r>
      <w:r>
        <w:rPr>
          <w:sz w:val="24"/>
        </w:rPr>
        <w:t>a</w:t>
      </w:r>
      <w:r>
        <w:rPr>
          <w:spacing w:val="-9"/>
          <w:sz w:val="24"/>
        </w:rPr>
        <w:t xml:space="preserve"> </w:t>
      </w:r>
      <w:r>
        <w:rPr>
          <w:sz w:val="24"/>
        </w:rPr>
        <w:t>result, the examination was a mechanical exercise that did not examine whether subject imports had explanatory force the state observed at all.</w:t>
      </w:r>
    </w:p>
    <w:p w14:paraId="126DFA55" w14:textId="77777777" w:rsidR="00BD462C" w:rsidRDefault="00033D0F">
      <w:pPr>
        <w:pStyle w:val="ListParagraph"/>
        <w:numPr>
          <w:ilvl w:val="0"/>
          <w:numId w:val="48"/>
        </w:numPr>
        <w:tabs>
          <w:tab w:val="left" w:pos="1835"/>
          <w:tab w:val="left" w:pos="1836"/>
        </w:tabs>
        <w:spacing w:line="357" w:lineRule="auto"/>
        <w:ind w:right="922" w:hanging="855"/>
        <w:jc w:val="both"/>
        <w:rPr>
          <w:sz w:val="24"/>
        </w:rPr>
      </w:pPr>
      <w:r>
        <w:rPr>
          <w:sz w:val="24"/>
        </w:rPr>
        <w:t>third, MOFCOM did not examine a mandatory Article</w:t>
      </w:r>
      <w:r>
        <w:rPr>
          <w:spacing w:val="-3"/>
          <w:sz w:val="24"/>
        </w:rPr>
        <w:t xml:space="preserve"> </w:t>
      </w:r>
      <w:r>
        <w:rPr>
          <w:sz w:val="24"/>
        </w:rPr>
        <w:t>3.4 factor, being "factors affecting domestic prices".</w:t>
      </w:r>
    </w:p>
    <w:p w14:paraId="20293D69" w14:textId="77777777" w:rsidR="00BD462C" w:rsidRDefault="00033D0F">
      <w:pPr>
        <w:pStyle w:val="ListParagraph"/>
        <w:numPr>
          <w:ilvl w:val="0"/>
          <w:numId w:val="48"/>
        </w:numPr>
        <w:tabs>
          <w:tab w:val="left" w:pos="1835"/>
          <w:tab w:val="left" w:pos="1836"/>
        </w:tabs>
        <w:spacing w:before="126" w:line="357" w:lineRule="auto"/>
        <w:ind w:right="913" w:hanging="855"/>
        <w:jc w:val="both"/>
        <w:rPr>
          <w:sz w:val="24"/>
        </w:rPr>
      </w:pPr>
      <w:r>
        <w:rPr>
          <w:sz w:val="24"/>
        </w:rPr>
        <w:t>fourth, MOFCOM's examination</w:t>
      </w:r>
      <w:r>
        <w:rPr>
          <w:spacing w:val="-2"/>
          <w:sz w:val="24"/>
        </w:rPr>
        <w:t xml:space="preserve"> </w:t>
      </w:r>
      <w:r>
        <w:rPr>
          <w:sz w:val="24"/>
        </w:rPr>
        <w:t>contained</w:t>
      </w:r>
      <w:r>
        <w:rPr>
          <w:spacing w:val="-2"/>
          <w:sz w:val="24"/>
        </w:rPr>
        <w:t xml:space="preserve"> </w:t>
      </w:r>
      <w:r>
        <w:rPr>
          <w:sz w:val="24"/>
        </w:rPr>
        <w:t xml:space="preserve">significant errors and omissions, such that the examination did not reflect an objective examination of positive evidence and did not provide a proper examination of explanatory </w:t>
      </w:r>
      <w:r>
        <w:rPr>
          <w:spacing w:val="-2"/>
          <w:sz w:val="24"/>
        </w:rPr>
        <w:t>force.</w:t>
      </w:r>
    </w:p>
    <w:p w14:paraId="6925B744" w14:textId="6F8D957A" w:rsidR="00BD462C" w:rsidRDefault="00996BE4">
      <w:pPr>
        <w:pStyle w:val="BodyText"/>
        <w:spacing w:before="140" w:line="357" w:lineRule="auto"/>
        <w:ind w:left="135" w:right="913"/>
        <w:jc w:val="both"/>
      </w:pPr>
      <w:r>
        <w:rPr>
          <w:noProof/>
        </w:rPr>
        <w:t>515.</w:t>
      </w:r>
      <w:r w:rsidR="00033D0F">
        <w:rPr>
          <w:rFonts w:ascii="Times New Roman"/>
          <w:spacing w:val="80"/>
          <w:w w:val="150"/>
          <w:position w:val="1"/>
          <w:sz w:val="20"/>
        </w:rPr>
        <w:t xml:space="preserve">  </w:t>
      </w:r>
      <w:r w:rsidR="00033D0F">
        <w:rPr>
          <w:position w:val="1"/>
        </w:rPr>
        <w:t>Australia</w:t>
      </w:r>
      <w:r w:rsidR="00033D0F">
        <w:rPr>
          <w:spacing w:val="-3"/>
          <w:position w:val="1"/>
        </w:rPr>
        <w:t xml:space="preserve"> </w:t>
      </w:r>
      <w:r w:rsidR="00033D0F">
        <w:rPr>
          <w:position w:val="1"/>
        </w:rPr>
        <w:t>has</w:t>
      </w:r>
      <w:r w:rsidR="00033D0F">
        <w:rPr>
          <w:spacing w:val="-1"/>
          <w:position w:val="1"/>
        </w:rPr>
        <w:t xml:space="preserve"> </w:t>
      </w:r>
      <w:r w:rsidR="00033D0F">
        <w:rPr>
          <w:position w:val="1"/>
        </w:rPr>
        <w:t>established</w:t>
      </w:r>
      <w:r w:rsidR="00033D0F">
        <w:rPr>
          <w:spacing w:val="-4"/>
          <w:position w:val="1"/>
        </w:rPr>
        <w:t xml:space="preserve"> </w:t>
      </w:r>
      <w:r w:rsidR="00033D0F">
        <w:rPr>
          <w:position w:val="1"/>
        </w:rPr>
        <w:t>a</w:t>
      </w:r>
      <w:r w:rsidR="00033D0F">
        <w:rPr>
          <w:spacing w:val="-3"/>
          <w:position w:val="1"/>
        </w:rPr>
        <w:t xml:space="preserve"> </w:t>
      </w:r>
      <w:r w:rsidR="00033D0F">
        <w:rPr>
          <w:i/>
          <w:position w:val="1"/>
        </w:rPr>
        <w:t>prima</w:t>
      </w:r>
      <w:r w:rsidR="00033D0F">
        <w:rPr>
          <w:i/>
          <w:spacing w:val="-2"/>
          <w:position w:val="1"/>
        </w:rPr>
        <w:t xml:space="preserve"> </w:t>
      </w:r>
      <w:r w:rsidR="00033D0F">
        <w:rPr>
          <w:i/>
          <w:position w:val="1"/>
        </w:rPr>
        <w:t>facie</w:t>
      </w:r>
      <w:r w:rsidR="00033D0F">
        <w:rPr>
          <w:i/>
          <w:spacing w:val="-2"/>
          <w:position w:val="1"/>
        </w:rPr>
        <w:t xml:space="preserve"> </w:t>
      </w:r>
      <w:r w:rsidR="00033D0F">
        <w:rPr>
          <w:position w:val="1"/>
        </w:rPr>
        <w:t>case</w:t>
      </w:r>
      <w:r w:rsidR="00033D0F">
        <w:rPr>
          <w:spacing w:val="-2"/>
          <w:position w:val="1"/>
        </w:rPr>
        <w:t xml:space="preserve"> </w:t>
      </w:r>
      <w:r w:rsidR="00033D0F">
        <w:rPr>
          <w:position w:val="1"/>
        </w:rPr>
        <w:t>in</w:t>
      </w:r>
      <w:r w:rsidR="00033D0F">
        <w:rPr>
          <w:spacing w:val="-4"/>
          <w:position w:val="1"/>
        </w:rPr>
        <w:t xml:space="preserve"> </w:t>
      </w:r>
      <w:r w:rsidR="00033D0F">
        <w:rPr>
          <w:position w:val="1"/>
        </w:rPr>
        <w:t>relation</w:t>
      </w:r>
      <w:r w:rsidR="00033D0F">
        <w:rPr>
          <w:spacing w:val="-4"/>
          <w:position w:val="1"/>
        </w:rPr>
        <w:t xml:space="preserve"> </w:t>
      </w:r>
      <w:r w:rsidR="00033D0F">
        <w:rPr>
          <w:position w:val="1"/>
        </w:rPr>
        <w:t>to</w:t>
      </w:r>
      <w:r w:rsidR="00033D0F">
        <w:rPr>
          <w:spacing w:val="-5"/>
          <w:position w:val="1"/>
        </w:rPr>
        <w:t xml:space="preserve"> </w:t>
      </w:r>
      <w:r w:rsidR="00033D0F">
        <w:rPr>
          <w:position w:val="1"/>
        </w:rPr>
        <w:t>each</w:t>
      </w:r>
      <w:r w:rsidR="00033D0F">
        <w:rPr>
          <w:spacing w:val="-4"/>
          <w:position w:val="1"/>
        </w:rPr>
        <w:t xml:space="preserve"> </w:t>
      </w:r>
      <w:r w:rsidR="00033D0F">
        <w:rPr>
          <w:position w:val="1"/>
        </w:rPr>
        <w:t>of</w:t>
      </w:r>
      <w:r w:rsidR="00033D0F">
        <w:rPr>
          <w:spacing w:val="-4"/>
          <w:position w:val="1"/>
        </w:rPr>
        <w:t xml:space="preserve"> </w:t>
      </w:r>
      <w:r w:rsidR="00033D0F">
        <w:rPr>
          <w:position w:val="1"/>
        </w:rPr>
        <w:t>these</w:t>
      </w:r>
      <w:r w:rsidR="00033D0F">
        <w:rPr>
          <w:spacing w:val="-2"/>
          <w:position w:val="1"/>
        </w:rPr>
        <w:t xml:space="preserve"> </w:t>
      </w:r>
      <w:r w:rsidR="00033D0F">
        <w:rPr>
          <w:position w:val="1"/>
        </w:rPr>
        <w:t>arguments.</w:t>
      </w:r>
      <w:r w:rsidR="00033D0F">
        <w:rPr>
          <w:spacing w:val="-6"/>
          <w:position w:val="1"/>
        </w:rPr>
        <w:t xml:space="preserve"> </w:t>
      </w:r>
      <w:r w:rsidR="00033D0F">
        <w:rPr>
          <w:position w:val="1"/>
        </w:rPr>
        <w:t xml:space="preserve">If </w:t>
      </w:r>
      <w:r w:rsidR="00033D0F">
        <w:t>the Panel accepts any of Australia's arguments regarding MOFCOM's flawed analysis, the result is that MOFCOM's injury determination is inconsistent with Article 3.1 and 3.4.</w:t>
      </w:r>
    </w:p>
    <w:p w14:paraId="66F4888A" w14:textId="77777777" w:rsidR="00BD462C" w:rsidRDefault="00033D0F">
      <w:pPr>
        <w:pStyle w:val="Heading3"/>
        <w:numPr>
          <w:ilvl w:val="0"/>
          <w:numId w:val="33"/>
        </w:numPr>
        <w:tabs>
          <w:tab w:val="left" w:pos="2689"/>
          <w:tab w:val="left" w:pos="2690"/>
        </w:tabs>
        <w:spacing w:before="164"/>
      </w:pPr>
      <w:bookmarkStart w:id="1030" w:name="2._The_domestic_industry_was_incorrectly"/>
      <w:bookmarkStart w:id="1031" w:name="_bookmark885"/>
      <w:bookmarkEnd w:id="1030"/>
      <w:bookmarkEnd w:id="1031"/>
      <w:r>
        <w:t>The</w:t>
      </w:r>
      <w:r>
        <w:rPr>
          <w:spacing w:val="-6"/>
        </w:rPr>
        <w:t xml:space="preserve"> </w:t>
      </w:r>
      <w:r>
        <w:t>domestic</w:t>
      </w:r>
      <w:r>
        <w:rPr>
          <w:spacing w:val="-4"/>
        </w:rPr>
        <w:t xml:space="preserve"> </w:t>
      </w:r>
      <w:r>
        <w:t>industry</w:t>
      </w:r>
      <w:r>
        <w:rPr>
          <w:spacing w:val="-3"/>
        </w:rPr>
        <w:t xml:space="preserve"> </w:t>
      </w:r>
      <w:r>
        <w:t>was</w:t>
      </w:r>
      <w:r>
        <w:rPr>
          <w:spacing w:val="-4"/>
        </w:rPr>
        <w:t xml:space="preserve"> </w:t>
      </w:r>
      <w:r>
        <w:t>incorrectly</w:t>
      </w:r>
      <w:r>
        <w:rPr>
          <w:spacing w:val="-2"/>
        </w:rPr>
        <w:t xml:space="preserve"> defined</w:t>
      </w:r>
    </w:p>
    <w:p w14:paraId="4E26F1FF" w14:textId="77777777" w:rsidR="00BD462C" w:rsidRDefault="00BD462C">
      <w:pPr>
        <w:pStyle w:val="BodyText"/>
        <w:spacing w:before="11"/>
        <w:rPr>
          <w:b/>
          <w:sz w:val="20"/>
        </w:rPr>
      </w:pPr>
    </w:p>
    <w:p w14:paraId="471E91A3" w14:textId="675BA2E9" w:rsidR="00BD462C" w:rsidRDefault="00996BE4">
      <w:pPr>
        <w:pStyle w:val="BodyText"/>
        <w:spacing w:before="57" w:line="360" w:lineRule="auto"/>
        <w:ind w:left="136" w:right="916"/>
        <w:jc w:val="both"/>
      </w:pPr>
      <w:r>
        <w:rPr>
          <w:noProof/>
        </w:rPr>
        <w:t>516.</w:t>
      </w:r>
      <w:r w:rsidR="00033D0F">
        <w:rPr>
          <w:rFonts w:ascii="Times New Roman"/>
          <w:spacing w:val="80"/>
          <w:position w:val="1"/>
          <w:sz w:val="20"/>
        </w:rPr>
        <w:t xml:space="preserve">  </w:t>
      </w:r>
      <w:r w:rsidR="00033D0F">
        <w:rPr>
          <w:position w:val="1"/>
        </w:rPr>
        <w:t>Australia</w:t>
      </w:r>
      <w:r w:rsidR="00033D0F">
        <w:rPr>
          <w:spacing w:val="-8"/>
          <w:position w:val="1"/>
        </w:rPr>
        <w:t xml:space="preserve"> </w:t>
      </w:r>
      <w:r w:rsidR="00033D0F">
        <w:rPr>
          <w:position w:val="1"/>
        </w:rPr>
        <w:t>argues</w:t>
      </w:r>
      <w:r w:rsidR="00033D0F">
        <w:rPr>
          <w:spacing w:val="-6"/>
          <w:position w:val="1"/>
        </w:rPr>
        <w:t xml:space="preserve"> </w:t>
      </w:r>
      <w:r w:rsidR="00033D0F">
        <w:rPr>
          <w:position w:val="1"/>
        </w:rPr>
        <w:t>that</w:t>
      </w:r>
      <w:r w:rsidR="00033D0F">
        <w:rPr>
          <w:spacing w:val="-7"/>
          <w:position w:val="1"/>
        </w:rPr>
        <w:t xml:space="preserve"> </w:t>
      </w:r>
      <w:r w:rsidR="00033D0F">
        <w:rPr>
          <w:position w:val="1"/>
        </w:rPr>
        <w:t>errors</w:t>
      </w:r>
      <w:r w:rsidR="00033D0F">
        <w:rPr>
          <w:spacing w:val="-6"/>
          <w:position w:val="1"/>
        </w:rPr>
        <w:t xml:space="preserve"> </w:t>
      </w:r>
      <w:r w:rsidR="00033D0F">
        <w:rPr>
          <w:position w:val="1"/>
        </w:rPr>
        <w:t>in</w:t>
      </w:r>
      <w:r w:rsidR="00033D0F">
        <w:rPr>
          <w:spacing w:val="-9"/>
          <w:position w:val="1"/>
        </w:rPr>
        <w:t xml:space="preserve"> </w:t>
      </w:r>
      <w:r w:rsidR="00033D0F">
        <w:rPr>
          <w:position w:val="1"/>
        </w:rPr>
        <w:t>MOFCOM's</w:t>
      </w:r>
      <w:r w:rsidR="00033D0F">
        <w:rPr>
          <w:spacing w:val="-6"/>
          <w:position w:val="1"/>
        </w:rPr>
        <w:t xml:space="preserve"> </w:t>
      </w:r>
      <w:r w:rsidR="00033D0F">
        <w:rPr>
          <w:position w:val="1"/>
        </w:rPr>
        <w:t>domestic</w:t>
      </w:r>
      <w:r w:rsidR="00033D0F">
        <w:rPr>
          <w:spacing w:val="-8"/>
          <w:position w:val="1"/>
        </w:rPr>
        <w:t xml:space="preserve"> </w:t>
      </w:r>
      <w:r w:rsidR="00033D0F">
        <w:rPr>
          <w:position w:val="1"/>
        </w:rPr>
        <w:t>industry</w:t>
      </w:r>
      <w:r w:rsidR="00033D0F">
        <w:rPr>
          <w:spacing w:val="-6"/>
          <w:position w:val="1"/>
        </w:rPr>
        <w:t xml:space="preserve"> </w:t>
      </w:r>
      <w:r w:rsidR="00033D0F">
        <w:rPr>
          <w:position w:val="1"/>
        </w:rPr>
        <w:t>definition</w:t>
      </w:r>
      <w:r w:rsidR="00033D0F">
        <w:rPr>
          <w:spacing w:val="-9"/>
          <w:position w:val="1"/>
        </w:rPr>
        <w:t xml:space="preserve"> </w:t>
      </w:r>
      <w:r w:rsidR="00033D0F">
        <w:rPr>
          <w:position w:val="1"/>
        </w:rPr>
        <w:t>resulted</w:t>
      </w:r>
      <w:r w:rsidR="00033D0F">
        <w:rPr>
          <w:spacing w:val="-9"/>
          <w:position w:val="1"/>
        </w:rPr>
        <w:t xml:space="preserve"> </w:t>
      </w:r>
      <w:r w:rsidR="00033D0F">
        <w:rPr>
          <w:position w:val="1"/>
        </w:rPr>
        <w:t>in</w:t>
      </w:r>
      <w:r w:rsidR="00033D0F">
        <w:rPr>
          <w:spacing w:val="-9"/>
          <w:position w:val="1"/>
        </w:rPr>
        <w:t xml:space="preserve"> </w:t>
      </w:r>
      <w:r w:rsidR="00033D0F">
        <w:rPr>
          <w:position w:val="1"/>
        </w:rPr>
        <w:t xml:space="preserve">an </w:t>
      </w:r>
      <w:proofErr w:type="gramStart"/>
      <w:r w:rsidR="00033D0F">
        <w:t>Article</w:t>
      </w:r>
      <w:proofErr w:type="gramEnd"/>
      <w:r w:rsidR="00033D0F">
        <w:rPr>
          <w:spacing w:val="-2"/>
        </w:rPr>
        <w:t xml:space="preserve"> </w:t>
      </w:r>
      <w:r w:rsidR="00033D0F">
        <w:t>3.4 violation. As such, this argument is consequential to Australia's claim under</w:t>
      </w:r>
      <w:r w:rsidR="00033D0F">
        <w:rPr>
          <w:spacing w:val="80"/>
        </w:rPr>
        <w:t xml:space="preserve"> </w:t>
      </w:r>
      <w:r w:rsidR="00033D0F">
        <w:t>Article</w:t>
      </w:r>
      <w:r w:rsidR="00033D0F">
        <w:rPr>
          <w:spacing w:val="-3"/>
        </w:rPr>
        <w:t xml:space="preserve"> </w:t>
      </w:r>
      <w:r w:rsidR="00033D0F">
        <w:t>4.1. The parties agree on this point.</w:t>
      </w:r>
      <w:hyperlink w:anchor="_bookmark886" w:history="1">
        <w:r w:rsidR="00033D0F">
          <w:rPr>
            <w:vertAlign w:val="superscript"/>
          </w:rPr>
          <w:t>751</w:t>
        </w:r>
      </w:hyperlink>
      <w:r w:rsidR="00033D0F">
        <w:t xml:space="preserve"> If the Panel accepts Australia's arguments relating</w:t>
      </w:r>
      <w:r w:rsidR="00033D0F">
        <w:rPr>
          <w:spacing w:val="-1"/>
        </w:rPr>
        <w:t xml:space="preserve"> </w:t>
      </w:r>
      <w:r w:rsidR="00033D0F">
        <w:t>to Article</w:t>
      </w:r>
      <w:r w:rsidR="00033D0F">
        <w:rPr>
          <w:spacing w:val="-2"/>
        </w:rPr>
        <w:t xml:space="preserve"> </w:t>
      </w:r>
      <w:r w:rsidR="00033D0F">
        <w:t>4.1, the consequence is</w:t>
      </w:r>
      <w:r w:rsidR="00033D0F">
        <w:rPr>
          <w:spacing w:val="-1"/>
        </w:rPr>
        <w:t xml:space="preserve"> </w:t>
      </w:r>
      <w:r w:rsidR="00033D0F">
        <w:t>that the</w:t>
      </w:r>
      <w:r w:rsidR="00033D0F">
        <w:rPr>
          <w:spacing w:val="-3"/>
        </w:rPr>
        <w:t xml:space="preserve"> </w:t>
      </w:r>
      <w:r w:rsidR="00033D0F">
        <w:t>entirety of MOFCOM's</w:t>
      </w:r>
      <w:r w:rsidR="00033D0F">
        <w:rPr>
          <w:spacing w:val="-1"/>
        </w:rPr>
        <w:t xml:space="preserve"> </w:t>
      </w:r>
      <w:r w:rsidR="00033D0F">
        <w:t>examination of the impact of the subject imports on the domestic industry is also inconsistent with Article 3.4.</w:t>
      </w:r>
    </w:p>
    <w:p w14:paraId="7AC5F76C" w14:textId="77777777" w:rsidR="00BD462C" w:rsidRDefault="00BD462C">
      <w:pPr>
        <w:pStyle w:val="BodyText"/>
        <w:rPr>
          <w:sz w:val="20"/>
        </w:rPr>
      </w:pPr>
    </w:p>
    <w:p w14:paraId="17B1E8F1" w14:textId="77777777" w:rsidR="00BD462C" w:rsidRDefault="00BD462C">
      <w:pPr>
        <w:pStyle w:val="BodyText"/>
        <w:rPr>
          <w:sz w:val="20"/>
        </w:rPr>
      </w:pPr>
    </w:p>
    <w:p w14:paraId="1F421F06" w14:textId="77777777" w:rsidR="00BD462C" w:rsidRDefault="00BD462C">
      <w:pPr>
        <w:pStyle w:val="BodyText"/>
        <w:rPr>
          <w:sz w:val="20"/>
        </w:rPr>
      </w:pPr>
    </w:p>
    <w:p w14:paraId="46ACE8DE" w14:textId="77777777" w:rsidR="00BD462C" w:rsidRDefault="00BD462C">
      <w:pPr>
        <w:pStyle w:val="BodyText"/>
        <w:rPr>
          <w:sz w:val="20"/>
        </w:rPr>
      </w:pPr>
    </w:p>
    <w:p w14:paraId="726E759F" w14:textId="77777777" w:rsidR="00BD462C" w:rsidRDefault="00BD462C">
      <w:pPr>
        <w:pStyle w:val="BodyText"/>
        <w:rPr>
          <w:sz w:val="20"/>
        </w:rPr>
      </w:pPr>
    </w:p>
    <w:p w14:paraId="12A340F6" w14:textId="77777777" w:rsidR="00BD462C" w:rsidRDefault="00BD462C">
      <w:pPr>
        <w:pStyle w:val="BodyText"/>
        <w:rPr>
          <w:sz w:val="20"/>
        </w:rPr>
      </w:pPr>
    </w:p>
    <w:p w14:paraId="1BFFDBEF" w14:textId="016E3577" w:rsidR="00BD462C" w:rsidRDefault="00D70C7D">
      <w:pPr>
        <w:pStyle w:val="BodyText"/>
        <w:spacing w:before="2"/>
        <w:rPr>
          <w:sz w:val="26"/>
        </w:rPr>
      </w:pPr>
      <w:r>
        <w:rPr>
          <w:noProof/>
        </w:rPr>
        <mc:AlternateContent>
          <mc:Choice Requires="wps">
            <w:drawing>
              <wp:anchor distT="0" distB="0" distL="0" distR="0" simplePos="0" relativeHeight="487785984" behindDoc="1" locked="0" layoutInCell="1" allowOverlap="1" wp14:anchorId="7CB06648" wp14:editId="7F76659D">
                <wp:simplePos x="0" y="0"/>
                <wp:positionH relativeFrom="page">
                  <wp:posOffset>899160</wp:posOffset>
                </wp:positionH>
                <wp:positionV relativeFrom="paragraph">
                  <wp:posOffset>218440</wp:posOffset>
                </wp:positionV>
                <wp:extent cx="1828800" cy="8890"/>
                <wp:effectExtent l="0" t="0" r="0" b="0"/>
                <wp:wrapTopAndBottom/>
                <wp:docPr id="564" name="docshape4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2F98A2" id="docshape437" o:spid="_x0000_s1026" alt="&quot;&quot;" style="position:absolute;margin-left:70.8pt;margin-top:17.2pt;width:2in;height:.7pt;z-index:-15530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" fillcolor="black" stroked="f">
                <w10:wrap type="topAndBottom" anchorx="page"/>
              </v:rect>
            </w:pict>
          </mc:Fallback>
        </mc:AlternateContent>
      </w:r>
    </w:p>
    <w:p w14:paraId="41A52D00" w14:textId="77777777" w:rsidR="00BD462C" w:rsidRDefault="00033D0F">
      <w:pPr>
        <w:spacing w:before="112"/>
        <w:ind w:left="135"/>
        <w:rPr>
          <w:sz w:val="18"/>
        </w:rPr>
      </w:pPr>
      <w:bookmarkStart w:id="1032" w:name="_bookmark886"/>
      <w:bookmarkEnd w:id="1032"/>
      <w:r>
        <w:rPr>
          <w:position w:val="5"/>
          <w:sz w:val="12"/>
        </w:rPr>
        <w:t>751</w:t>
      </w:r>
      <w:r>
        <w:rPr>
          <w:spacing w:val="12"/>
          <w:position w:val="5"/>
          <w:sz w:val="12"/>
        </w:rPr>
        <w:t xml:space="preserve"> </w:t>
      </w:r>
      <w:r>
        <w:rPr>
          <w:sz w:val="18"/>
        </w:rPr>
        <w:t>China's</w:t>
      </w:r>
      <w:r>
        <w:rPr>
          <w:spacing w:val="-6"/>
          <w:sz w:val="18"/>
        </w:rPr>
        <w:t xml:space="preserve"> </w:t>
      </w:r>
      <w:r>
        <w:rPr>
          <w:sz w:val="18"/>
        </w:rPr>
        <w:t>first</w:t>
      </w:r>
      <w:r>
        <w:rPr>
          <w:spacing w:val="-6"/>
          <w:sz w:val="18"/>
        </w:rPr>
        <w:t xml:space="preserve"> </w:t>
      </w:r>
      <w:r>
        <w:rPr>
          <w:sz w:val="18"/>
        </w:rPr>
        <w:t>written</w:t>
      </w:r>
      <w:r>
        <w:rPr>
          <w:spacing w:val="-7"/>
          <w:sz w:val="18"/>
        </w:rPr>
        <w:t xml:space="preserve"> </w:t>
      </w:r>
      <w:r>
        <w:rPr>
          <w:sz w:val="18"/>
        </w:rPr>
        <w:t>submission, paras.</w:t>
      </w:r>
      <w:r>
        <w:rPr>
          <w:spacing w:val="-5"/>
          <w:sz w:val="18"/>
        </w:rPr>
        <w:t xml:space="preserve"> </w:t>
      </w:r>
      <w:r>
        <w:rPr>
          <w:sz w:val="18"/>
        </w:rPr>
        <w:t>1457-1458;</w:t>
      </w:r>
      <w:r>
        <w:rPr>
          <w:spacing w:val="-8"/>
          <w:sz w:val="18"/>
        </w:rPr>
        <w:t xml:space="preserve"> </w:t>
      </w:r>
      <w:r>
        <w:rPr>
          <w:sz w:val="18"/>
        </w:rPr>
        <w:t>Australia's</w:t>
      </w:r>
      <w:r>
        <w:rPr>
          <w:spacing w:val="-6"/>
          <w:sz w:val="18"/>
        </w:rPr>
        <w:t xml:space="preserve"> </w:t>
      </w:r>
      <w:r>
        <w:rPr>
          <w:sz w:val="18"/>
        </w:rPr>
        <w:t>first</w:t>
      </w:r>
      <w:r>
        <w:rPr>
          <w:spacing w:val="-10"/>
          <w:sz w:val="18"/>
        </w:rPr>
        <w:t xml:space="preserve"> </w:t>
      </w:r>
      <w:r>
        <w:rPr>
          <w:sz w:val="18"/>
        </w:rPr>
        <w:t>written</w:t>
      </w:r>
      <w:r>
        <w:rPr>
          <w:spacing w:val="-7"/>
          <w:sz w:val="18"/>
        </w:rPr>
        <w:t xml:space="preserve"> </w:t>
      </w:r>
      <w:r>
        <w:rPr>
          <w:sz w:val="18"/>
        </w:rPr>
        <w:t>submission,</w:t>
      </w:r>
      <w:r>
        <w:rPr>
          <w:spacing w:val="-5"/>
          <w:sz w:val="18"/>
        </w:rPr>
        <w:t xml:space="preserve"> </w:t>
      </w:r>
      <w:r>
        <w:rPr>
          <w:sz w:val="18"/>
        </w:rPr>
        <w:t>paras. 616-</w:t>
      </w:r>
      <w:r>
        <w:rPr>
          <w:spacing w:val="-4"/>
          <w:sz w:val="18"/>
        </w:rPr>
        <w:t>618.</w:t>
      </w:r>
    </w:p>
    <w:p w14:paraId="78BC3648" w14:textId="77777777" w:rsidR="00BD462C" w:rsidRDefault="00BD462C">
      <w:pPr>
        <w:rPr>
          <w:sz w:val="18"/>
        </w:rPr>
        <w:sectPr w:rsidR="00BD462C">
          <w:pgSz w:w="11910" w:h="16840"/>
          <w:pgMar w:top="860" w:right="500" w:bottom="780" w:left="1280" w:header="566" w:footer="590" w:gutter="0"/>
          <w:cols w:space="720"/>
        </w:sectPr>
      </w:pPr>
    </w:p>
    <w:p w14:paraId="677B6DD4"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053139A8"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4C7D9B20"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09B50434" w14:textId="77777777" w:rsidR="00BD462C" w:rsidRDefault="00033D0F">
      <w:pPr>
        <w:pStyle w:val="Heading3"/>
        <w:numPr>
          <w:ilvl w:val="0"/>
          <w:numId w:val="33"/>
        </w:numPr>
        <w:tabs>
          <w:tab w:val="left" w:pos="2689"/>
          <w:tab w:val="left" w:pos="2690"/>
        </w:tabs>
        <w:spacing w:line="357" w:lineRule="auto"/>
        <w:ind w:right="917"/>
      </w:pPr>
      <w:bookmarkStart w:id="1033" w:name="3._MOFCOM's_evaluation_of_the_domestic_i"/>
      <w:bookmarkStart w:id="1034" w:name="_bookmark887"/>
      <w:bookmarkEnd w:id="1033"/>
      <w:bookmarkEnd w:id="1034"/>
      <w:r>
        <w:t>MOFCOM's</w:t>
      </w:r>
      <w:r>
        <w:rPr>
          <w:spacing w:val="-8"/>
        </w:rPr>
        <w:t xml:space="preserve"> </w:t>
      </w:r>
      <w:r>
        <w:t>evaluation</w:t>
      </w:r>
      <w:r>
        <w:rPr>
          <w:spacing w:val="-8"/>
        </w:rPr>
        <w:t xml:space="preserve"> </w:t>
      </w:r>
      <w:r>
        <w:t>of</w:t>
      </w:r>
      <w:r>
        <w:rPr>
          <w:spacing w:val="-8"/>
        </w:rPr>
        <w:t xml:space="preserve"> </w:t>
      </w:r>
      <w:r>
        <w:t>the</w:t>
      </w:r>
      <w:r>
        <w:rPr>
          <w:spacing w:val="-9"/>
        </w:rPr>
        <w:t xml:space="preserve"> </w:t>
      </w:r>
      <w:r>
        <w:t>domestic</w:t>
      </w:r>
      <w:r>
        <w:rPr>
          <w:spacing w:val="-8"/>
        </w:rPr>
        <w:t xml:space="preserve"> </w:t>
      </w:r>
      <w:r>
        <w:t>industry</w:t>
      </w:r>
      <w:r>
        <w:rPr>
          <w:spacing w:val="-2"/>
        </w:rPr>
        <w:t xml:space="preserve"> </w:t>
      </w:r>
      <w:r>
        <w:t>was</w:t>
      </w:r>
      <w:r>
        <w:rPr>
          <w:spacing w:val="-9"/>
        </w:rPr>
        <w:t xml:space="preserve"> </w:t>
      </w:r>
      <w:r>
        <w:t>a</w:t>
      </w:r>
      <w:r>
        <w:rPr>
          <w:spacing w:val="-7"/>
        </w:rPr>
        <w:t xml:space="preserve"> </w:t>
      </w:r>
      <w:r>
        <w:t>mechanical exercise that did not examine explanatory force</w:t>
      </w:r>
    </w:p>
    <w:p w14:paraId="006EEFC0" w14:textId="3C771020" w:rsidR="00BD462C" w:rsidRDefault="00996BE4" w:rsidP="00996BE4">
      <w:pPr>
        <w:pStyle w:val="BodyText"/>
        <w:spacing w:before="164" w:line="360" w:lineRule="auto"/>
        <w:ind w:left="135" w:right="911"/>
        <w:jc w:val="both"/>
      </w:pPr>
      <w:r>
        <w:rPr>
          <w:noProof/>
        </w:rPr>
        <w:t xml:space="preserve">517. </w:t>
      </w:r>
      <w:r w:rsidR="00033D0F">
        <w:t>Both</w:t>
      </w:r>
      <w:r w:rsidR="00033D0F">
        <w:rPr>
          <w:spacing w:val="40"/>
        </w:rPr>
        <w:t xml:space="preserve"> </w:t>
      </w:r>
      <w:r w:rsidR="00033D0F">
        <w:t>Australia</w:t>
      </w:r>
      <w:r w:rsidR="00033D0F">
        <w:rPr>
          <w:spacing w:val="40"/>
        </w:rPr>
        <w:t xml:space="preserve"> </w:t>
      </w:r>
      <w:r w:rsidR="00033D0F">
        <w:t>and</w:t>
      </w:r>
      <w:r w:rsidR="00033D0F">
        <w:rPr>
          <w:spacing w:val="40"/>
        </w:rPr>
        <w:t xml:space="preserve"> </w:t>
      </w:r>
      <w:r w:rsidR="00033D0F">
        <w:t>China</w:t>
      </w:r>
      <w:hyperlink w:anchor="_bookmark889" w:history="1">
        <w:r w:rsidR="00033D0F">
          <w:rPr>
            <w:vertAlign w:val="superscript"/>
          </w:rPr>
          <w:t>752</w:t>
        </w:r>
      </w:hyperlink>
      <w:r w:rsidR="00033D0F">
        <w:rPr>
          <w:spacing w:val="40"/>
        </w:rPr>
        <w:t xml:space="preserve"> </w:t>
      </w:r>
      <w:r w:rsidR="00033D0F">
        <w:t>appear</w:t>
      </w:r>
      <w:r w:rsidR="00033D0F">
        <w:rPr>
          <w:spacing w:val="40"/>
        </w:rPr>
        <w:t xml:space="preserve"> </w:t>
      </w:r>
      <w:r w:rsidR="00033D0F">
        <w:t>to</w:t>
      </w:r>
      <w:r w:rsidR="00033D0F">
        <w:rPr>
          <w:spacing w:val="40"/>
        </w:rPr>
        <w:t xml:space="preserve"> </w:t>
      </w:r>
      <w:r w:rsidR="00033D0F">
        <w:t>agree</w:t>
      </w:r>
      <w:r w:rsidR="00033D0F">
        <w:rPr>
          <w:spacing w:val="40"/>
        </w:rPr>
        <w:t xml:space="preserve"> </w:t>
      </w:r>
      <w:r w:rsidR="00033D0F">
        <w:t>that</w:t>
      </w:r>
      <w:r w:rsidR="00033D0F">
        <w:rPr>
          <w:spacing w:val="40"/>
        </w:rPr>
        <w:t xml:space="preserve"> </w:t>
      </w:r>
      <w:r w:rsidR="00033D0F">
        <w:t>the</w:t>
      </w:r>
      <w:r w:rsidR="00033D0F">
        <w:rPr>
          <w:spacing w:val="40"/>
        </w:rPr>
        <w:t xml:space="preserve"> </w:t>
      </w:r>
      <w:r w:rsidR="00033D0F">
        <w:t>evaluation</w:t>
      </w:r>
      <w:r w:rsidR="00033D0F">
        <w:rPr>
          <w:spacing w:val="40"/>
        </w:rPr>
        <w:t xml:space="preserve"> </w:t>
      </w:r>
      <w:r w:rsidR="00033D0F">
        <w:t>required</w:t>
      </w:r>
      <w:r w:rsidR="00033D0F">
        <w:rPr>
          <w:spacing w:val="40"/>
        </w:rPr>
        <w:t xml:space="preserve"> </w:t>
      </w:r>
      <w:r w:rsidR="00033D0F">
        <w:t>by Article</w:t>
      </w:r>
      <w:r w:rsidR="00033D0F">
        <w:rPr>
          <w:spacing w:val="-1"/>
        </w:rPr>
        <w:t xml:space="preserve"> </w:t>
      </w:r>
      <w:r w:rsidR="00033D0F">
        <w:t>3.4</w:t>
      </w:r>
      <w:r w:rsidR="00033D0F">
        <w:rPr>
          <w:spacing w:val="-8"/>
        </w:rPr>
        <w:t xml:space="preserve"> </w:t>
      </w:r>
      <w:r w:rsidR="00033D0F">
        <w:t>must</w:t>
      </w:r>
      <w:r w:rsidR="00033D0F">
        <w:rPr>
          <w:spacing w:val="-6"/>
        </w:rPr>
        <w:t xml:space="preserve"> </w:t>
      </w:r>
      <w:r w:rsidR="00033D0F">
        <w:t>be</w:t>
      </w:r>
      <w:r w:rsidR="00033D0F">
        <w:rPr>
          <w:spacing w:val="-6"/>
        </w:rPr>
        <w:t xml:space="preserve"> </w:t>
      </w:r>
      <w:r w:rsidR="00033D0F">
        <w:t>sufficient</w:t>
      </w:r>
      <w:r w:rsidR="00033D0F">
        <w:rPr>
          <w:spacing w:val="-6"/>
        </w:rPr>
        <w:t xml:space="preserve"> </w:t>
      </w:r>
      <w:r w:rsidR="00033D0F">
        <w:t>to</w:t>
      </w:r>
      <w:r w:rsidR="00033D0F">
        <w:rPr>
          <w:spacing w:val="-4"/>
        </w:rPr>
        <w:t xml:space="preserve"> </w:t>
      </w:r>
      <w:r w:rsidR="00033D0F">
        <w:t>enable</w:t>
      </w:r>
      <w:r w:rsidR="00033D0F">
        <w:rPr>
          <w:spacing w:val="-6"/>
        </w:rPr>
        <w:t xml:space="preserve"> </w:t>
      </w:r>
      <w:r w:rsidR="00033D0F">
        <w:t>an</w:t>
      </w:r>
      <w:r w:rsidR="00033D0F">
        <w:rPr>
          <w:spacing w:val="-3"/>
        </w:rPr>
        <w:t xml:space="preserve"> </w:t>
      </w:r>
      <w:r w:rsidR="00033D0F">
        <w:t>investigating</w:t>
      </w:r>
      <w:r w:rsidR="00033D0F">
        <w:rPr>
          <w:spacing w:val="-5"/>
        </w:rPr>
        <w:t xml:space="preserve"> </w:t>
      </w:r>
      <w:r w:rsidR="00033D0F">
        <w:t>authority</w:t>
      </w:r>
      <w:r w:rsidR="00033D0F">
        <w:rPr>
          <w:spacing w:val="-5"/>
        </w:rPr>
        <w:t xml:space="preserve"> </w:t>
      </w:r>
      <w:r w:rsidR="00033D0F">
        <w:t>to</w:t>
      </w:r>
      <w:r w:rsidR="00033D0F">
        <w:rPr>
          <w:spacing w:val="-9"/>
        </w:rPr>
        <w:t xml:space="preserve"> </w:t>
      </w:r>
      <w:r w:rsidR="00033D0F">
        <w:t>"derive</w:t>
      </w:r>
      <w:r w:rsidR="00033D0F">
        <w:rPr>
          <w:spacing w:val="-6"/>
        </w:rPr>
        <w:t xml:space="preserve"> </w:t>
      </w:r>
      <w:r w:rsidR="00033D0F">
        <w:t>an</w:t>
      </w:r>
      <w:r w:rsidR="00033D0F">
        <w:rPr>
          <w:spacing w:val="-3"/>
        </w:rPr>
        <w:t xml:space="preserve"> </w:t>
      </w:r>
      <w:r w:rsidR="00033D0F">
        <w:t xml:space="preserve">understanding of the </w:t>
      </w:r>
      <w:r w:rsidR="00033D0F">
        <w:rPr>
          <w:i/>
        </w:rPr>
        <w:t xml:space="preserve">impact of </w:t>
      </w:r>
      <w:r w:rsidR="00033D0F">
        <w:t>subject imports on" the domestic industry.</w:t>
      </w:r>
      <w:hyperlink w:anchor="_bookmark890" w:history="1">
        <w:r w:rsidR="00033D0F">
          <w:rPr>
            <w:vertAlign w:val="superscript"/>
          </w:rPr>
          <w:t>753</w:t>
        </w:r>
      </w:hyperlink>
      <w:r w:rsidR="00033D0F">
        <w:t xml:space="preserve"> This requires an investigating authority to engage in more than mechanical or "check list" review of the relevant economic factors and</w:t>
      </w:r>
      <w:r w:rsidR="00033D0F">
        <w:rPr>
          <w:spacing w:val="-3"/>
        </w:rPr>
        <w:t xml:space="preserve"> </w:t>
      </w:r>
      <w:r w:rsidR="00033D0F">
        <w:t>indices.</w:t>
      </w:r>
      <w:hyperlink w:anchor="_bookmark891" w:history="1">
        <w:r w:rsidR="00033D0F">
          <w:rPr>
            <w:vertAlign w:val="superscript"/>
          </w:rPr>
          <w:t>754</w:t>
        </w:r>
      </w:hyperlink>
      <w:r w:rsidR="00033D0F">
        <w:rPr>
          <w:spacing w:val="-1"/>
        </w:rPr>
        <w:t xml:space="preserve"> </w:t>
      </w:r>
      <w:r w:rsidR="00033D0F">
        <w:t>It requires an investigating authority to</w:t>
      </w:r>
      <w:r w:rsidR="00033D0F">
        <w:rPr>
          <w:spacing w:val="-4"/>
        </w:rPr>
        <w:t xml:space="preserve"> </w:t>
      </w:r>
      <w:r w:rsidR="00033D0F">
        <w:t>examine</w:t>
      </w:r>
      <w:r w:rsidR="00033D0F">
        <w:rPr>
          <w:spacing w:val="-2"/>
        </w:rPr>
        <w:t xml:space="preserve"> </w:t>
      </w:r>
      <w:r w:rsidR="00033D0F">
        <w:t>the explanatory force of subject imports for the state observed in the domestic industry.</w:t>
      </w:r>
      <w:hyperlink w:anchor="_bookmark892" w:history="1">
        <w:r w:rsidR="00033D0F">
          <w:rPr>
            <w:vertAlign w:val="superscript"/>
          </w:rPr>
          <w:t>755</w:t>
        </w:r>
      </w:hyperlink>
      <w:r w:rsidR="00033D0F">
        <w:t xml:space="preserve"> Australia also agrees with</w:t>
      </w:r>
      <w:r w:rsidR="00033D0F">
        <w:rPr>
          <w:spacing w:val="-9"/>
        </w:rPr>
        <w:t xml:space="preserve"> </w:t>
      </w:r>
      <w:r w:rsidR="00033D0F">
        <w:t>China</w:t>
      </w:r>
      <w:r w:rsidR="00033D0F">
        <w:rPr>
          <w:spacing w:val="-12"/>
        </w:rPr>
        <w:t xml:space="preserve"> </w:t>
      </w:r>
      <w:r w:rsidR="00033D0F">
        <w:t>that</w:t>
      </w:r>
      <w:r w:rsidR="00033D0F">
        <w:rPr>
          <w:spacing w:val="-7"/>
        </w:rPr>
        <w:t xml:space="preserve"> </w:t>
      </w:r>
      <w:r w:rsidR="00033D0F">
        <w:t>the</w:t>
      </w:r>
      <w:r w:rsidR="00033D0F">
        <w:rPr>
          <w:spacing w:val="-7"/>
        </w:rPr>
        <w:t xml:space="preserve"> </w:t>
      </w:r>
      <w:r w:rsidR="00033D0F">
        <w:t>analysis</w:t>
      </w:r>
      <w:r w:rsidR="00033D0F">
        <w:rPr>
          <w:spacing w:val="-6"/>
        </w:rPr>
        <w:t xml:space="preserve"> </w:t>
      </w:r>
      <w:r w:rsidR="00033D0F">
        <w:t>under</w:t>
      </w:r>
      <w:r w:rsidR="00033D0F">
        <w:rPr>
          <w:spacing w:val="-10"/>
        </w:rPr>
        <w:t xml:space="preserve"> </w:t>
      </w:r>
      <w:r w:rsidR="00033D0F">
        <w:t>Article</w:t>
      </w:r>
      <w:r w:rsidR="00033D0F">
        <w:rPr>
          <w:spacing w:val="-2"/>
        </w:rPr>
        <w:t xml:space="preserve"> </w:t>
      </w:r>
      <w:r w:rsidR="00033D0F">
        <w:t>3.2</w:t>
      </w:r>
      <w:r w:rsidR="00033D0F">
        <w:rPr>
          <w:spacing w:val="-9"/>
        </w:rPr>
        <w:t xml:space="preserve"> </w:t>
      </w:r>
      <w:r w:rsidR="00033D0F">
        <w:t>is</w:t>
      </w:r>
      <w:r w:rsidR="00033D0F">
        <w:rPr>
          <w:spacing w:val="-6"/>
        </w:rPr>
        <w:t xml:space="preserve"> </w:t>
      </w:r>
      <w:r w:rsidR="00033D0F">
        <w:t>relevant</w:t>
      </w:r>
      <w:r w:rsidR="00033D0F">
        <w:rPr>
          <w:spacing w:val="-7"/>
        </w:rPr>
        <w:t xml:space="preserve"> </w:t>
      </w:r>
      <w:r w:rsidR="00033D0F">
        <w:t>to</w:t>
      </w:r>
      <w:r w:rsidR="00033D0F">
        <w:rPr>
          <w:spacing w:val="-10"/>
        </w:rPr>
        <w:t xml:space="preserve"> </w:t>
      </w:r>
      <w:r w:rsidR="00033D0F">
        <w:t>the</w:t>
      </w:r>
      <w:r w:rsidR="00033D0F">
        <w:rPr>
          <w:spacing w:val="-7"/>
        </w:rPr>
        <w:t xml:space="preserve"> </w:t>
      </w:r>
      <w:r w:rsidR="00033D0F">
        <w:t>evaluation</w:t>
      </w:r>
      <w:r w:rsidR="00033D0F">
        <w:rPr>
          <w:spacing w:val="-9"/>
        </w:rPr>
        <w:t xml:space="preserve"> </w:t>
      </w:r>
      <w:r w:rsidR="00033D0F">
        <w:t>under</w:t>
      </w:r>
      <w:r w:rsidR="00033D0F">
        <w:rPr>
          <w:spacing w:val="-10"/>
        </w:rPr>
        <w:t xml:space="preserve"> </w:t>
      </w:r>
      <w:r w:rsidR="00033D0F">
        <w:t>Article</w:t>
      </w:r>
      <w:r w:rsidR="00033D0F">
        <w:rPr>
          <w:spacing w:val="-2"/>
        </w:rPr>
        <w:t xml:space="preserve"> </w:t>
      </w:r>
      <w:r w:rsidR="00033D0F">
        <w:t>3.4.</w:t>
      </w:r>
      <w:hyperlink w:anchor="_bookmark893" w:history="1">
        <w:r w:rsidR="00033D0F">
          <w:rPr>
            <w:vertAlign w:val="superscript"/>
          </w:rPr>
          <w:t>756</w:t>
        </w:r>
      </w:hyperlink>
    </w:p>
    <w:p w14:paraId="3AF03659" w14:textId="77777777" w:rsidR="00BD462C" w:rsidRDefault="00BD462C">
      <w:pPr>
        <w:pStyle w:val="BodyText"/>
        <w:spacing w:before="10"/>
        <w:rPr>
          <w:sz w:val="8"/>
        </w:rPr>
      </w:pPr>
    </w:p>
    <w:p w14:paraId="2C61C482" w14:textId="0D50DC00" w:rsidR="00BD462C" w:rsidRDefault="00996BE4">
      <w:pPr>
        <w:pStyle w:val="BodyText"/>
        <w:spacing w:before="56" w:line="360" w:lineRule="auto"/>
        <w:ind w:left="135" w:right="916"/>
        <w:jc w:val="both"/>
      </w:pPr>
      <w:r>
        <w:rPr>
          <w:noProof/>
        </w:rPr>
        <w:t>518.</w:t>
      </w:r>
      <w:r w:rsidR="00033D0F">
        <w:rPr>
          <w:rFonts w:ascii="Times New Roman"/>
          <w:spacing w:val="80"/>
          <w:position w:val="1"/>
          <w:sz w:val="20"/>
        </w:rPr>
        <w:t xml:space="preserve">  </w:t>
      </w:r>
      <w:r w:rsidR="00033D0F">
        <w:rPr>
          <w:position w:val="1"/>
        </w:rPr>
        <w:t>Where</w:t>
      </w:r>
      <w:r w:rsidR="00033D0F">
        <w:rPr>
          <w:spacing w:val="-2"/>
          <w:position w:val="1"/>
        </w:rPr>
        <w:t xml:space="preserve"> </w:t>
      </w:r>
      <w:r w:rsidR="00033D0F">
        <w:rPr>
          <w:position w:val="1"/>
        </w:rPr>
        <w:t>the</w:t>
      </w:r>
      <w:r w:rsidR="00033D0F">
        <w:rPr>
          <w:spacing w:val="-2"/>
          <w:position w:val="1"/>
        </w:rPr>
        <w:t xml:space="preserve"> </w:t>
      </w:r>
      <w:r w:rsidR="00033D0F">
        <w:rPr>
          <w:position w:val="1"/>
        </w:rPr>
        <w:t>parties</w:t>
      </w:r>
      <w:r w:rsidR="00033D0F">
        <w:rPr>
          <w:spacing w:val="-1"/>
          <w:position w:val="1"/>
        </w:rPr>
        <w:t xml:space="preserve"> </w:t>
      </w:r>
      <w:r w:rsidR="00033D0F">
        <w:rPr>
          <w:position w:val="1"/>
        </w:rPr>
        <w:t>appear</w:t>
      </w:r>
      <w:r w:rsidR="00033D0F">
        <w:rPr>
          <w:spacing w:val="-5"/>
          <w:position w:val="1"/>
        </w:rPr>
        <w:t xml:space="preserve"> </w:t>
      </w:r>
      <w:r w:rsidR="00033D0F">
        <w:rPr>
          <w:position w:val="1"/>
        </w:rPr>
        <w:t>to disagree</w:t>
      </w:r>
      <w:r w:rsidR="00033D0F">
        <w:rPr>
          <w:spacing w:val="-2"/>
          <w:position w:val="1"/>
        </w:rPr>
        <w:t xml:space="preserve"> </w:t>
      </w:r>
      <w:r w:rsidR="00033D0F">
        <w:rPr>
          <w:position w:val="1"/>
        </w:rPr>
        <w:t>is</w:t>
      </w:r>
      <w:r w:rsidR="00033D0F">
        <w:rPr>
          <w:spacing w:val="-1"/>
          <w:position w:val="1"/>
        </w:rPr>
        <w:t xml:space="preserve"> </w:t>
      </w:r>
      <w:r w:rsidR="00033D0F">
        <w:rPr>
          <w:position w:val="1"/>
        </w:rPr>
        <w:t>whether</w:t>
      </w:r>
      <w:r w:rsidR="00033D0F">
        <w:rPr>
          <w:spacing w:val="-5"/>
          <w:position w:val="1"/>
        </w:rPr>
        <w:t xml:space="preserve"> </w:t>
      </w:r>
      <w:r w:rsidR="00033D0F">
        <w:rPr>
          <w:position w:val="1"/>
        </w:rPr>
        <w:t>MOFCOM's</w:t>
      </w:r>
      <w:r w:rsidR="00033D0F">
        <w:rPr>
          <w:spacing w:val="-1"/>
          <w:position w:val="1"/>
        </w:rPr>
        <w:t xml:space="preserve"> </w:t>
      </w:r>
      <w:r w:rsidR="00033D0F">
        <w:rPr>
          <w:position w:val="1"/>
        </w:rPr>
        <w:t>"review</w:t>
      </w:r>
      <w:r w:rsidR="00033D0F">
        <w:rPr>
          <w:spacing w:val="-2"/>
          <w:position w:val="1"/>
        </w:rPr>
        <w:t xml:space="preserve"> </w:t>
      </w:r>
      <w:r w:rsidR="00033D0F">
        <w:rPr>
          <w:position w:val="1"/>
        </w:rPr>
        <w:t>of</w:t>
      </w:r>
      <w:r w:rsidR="00033D0F">
        <w:rPr>
          <w:spacing w:val="-4"/>
          <w:position w:val="1"/>
        </w:rPr>
        <w:t xml:space="preserve"> </w:t>
      </w:r>
      <w:r w:rsidR="00033D0F">
        <w:rPr>
          <w:position w:val="1"/>
        </w:rPr>
        <w:t xml:space="preserve">the relevant </w:t>
      </w:r>
      <w:r w:rsidR="00033D0F">
        <w:t>economic factors and indicators of the domestic industry",</w:t>
      </w:r>
      <w:hyperlink w:anchor="_bookmark894" w:history="1">
        <w:r w:rsidR="00033D0F">
          <w:rPr>
            <w:vertAlign w:val="superscript"/>
          </w:rPr>
          <w:t>757</w:t>
        </w:r>
      </w:hyperlink>
      <w:r w:rsidR="00033D0F">
        <w:t xml:space="preserve"> as recorded in the Preliminary Determination, Essential Facts Disclosure and Final Determination, met the agreed standard outlined above.</w:t>
      </w:r>
      <w:hyperlink w:anchor="_bookmark895" w:history="1">
        <w:r w:rsidR="00033D0F">
          <w:rPr>
            <w:vertAlign w:val="superscript"/>
          </w:rPr>
          <w:t>758</w:t>
        </w:r>
      </w:hyperlink>
      <w:r w:rsidR="00033D0F">
        <w:t xml:space="preserve"> Australia's position is that it did not.</w:t>
      </w:r>
    </w:p>
    <w:p w14:paraId="3DBC7BCE" w14:textId="77777777" w:rsidR="00BD462C" w:rsidRDefault="00BD462C">
      <w:pPr>
        <w:pStyle w:val="BodyText"/>
        <w:spacing w:before="8"/>
        <w:rPr>
          <w:sz w:val="8"/>
        </w:rPr>
      </w:pPr>
    </w:p>
    <w:p w14:paraId="02E659BE" w14:textId="30D661DE" w:rsidR="00BD462C" w:rsidRDefault="00996BE4">
      <w:pPr>
        <w:pStyle w:val="BodyText"/>
        <w:spacing w:before="56" w:line="360" w:lineRule="auto"/>
        <w:ind w:left="135" w:right="917"/>
        <w:jc w:val="both"/>
      </w:pPr>
      <w:r>
        <w:rPr>
          <w:noProof/>
        </w:rPr>
        <w:t>519.</w:t>
      </w:r>
      <w:r w:rsidR="00033D0F">
        <w:rPr>
          <w:rFonts w:ascii="Times New Roman"/>
          <w:spacing w:val="381"/>
          <w:position w:val="1"/>
          <w:sz w:val="20"/>
        </w:rPr>
        <w:t xml:space="preserve"> </w:t>
      </w:r>
      <w:bookmarkStart w:id="1035" w:name="_bookmark888"/>
      <w:bookmarkEnd w:id="1035"/>
      <w:r w:rsidR="00033D0F">
        <w:rPr>
          <w:position w:val="1"/>
        </w:rPr>
        <w:t>Relevantly,</w:t>
      </w:r>
      <w:r w:rsidR="00033D0F">
        <w:rPr>
          <w:spacing w:val="-5"/>
          <w:position w:val="1"/>
        </w:rPr>
        <w:t xml:space="preserve"> </w:t>
      </w:r>
      <w:r w:rsidR="00033D0F">
        <w:rPr>
          <w:position w:val="1"/>
        </w:rPr>
        <w:t>MOFCOM's</w:t>
      </w:r>
      <w:r w:rsidR="00033D0F">
        <w:rPr>
          <w:spacing w:val="-6"/>
          <w:position w:val="1"/>
        </w:rPr>
        <w:t xml:space="preserve"> </w:t>
      </w:r>
      <w:r w:rsidR="00033D0F">
        <w:rPr>
          <w:position w:val="1"/>
        </w:rPr>
        <w:t>Article</w:t>
      </w:r>
      <w:r w:rsidR="00033D0F">
        <w:rPr>
          <w:spacing w:val="-2"/>
          <w:position w:val="1"/>
        </w:rPr>
        <w:t xml:space="preserve"> </w:t>
      </w:r>
      <w:r w:rsidR="00033D0F">
        <w:rPr>
          <w:position w:val="1"/>
        </w:rPr>
        <w:t>3.2</w:t>
      </w:r>
      <w:r w:rsidR="00033D0F">
        <w:rPr>
          <w:spacing w:val="-9"/>
          <w:position w:val="1"/>
        </w:rPr>
        <w:t xml:space="preserve"> </w:t>
      </w:r>
      <w:r w:rsidR="00033D0F">
        <w:rPr>
          <w:position w:val="1"/>
        </w:rPr>
        <w:t>analysis</w:t>
      </w:r>
      <w:r w:rsidR="00033D0F">
        <w:rPr>
          <w:spacing w:val="-6"/>
          <w:position w:val="1"/>
        </w:rPr>
        <w:t xml:space="preserve"> </w:t>
      </w:r>
      <w:r w:rsidR="00033D0F">
        <w:rPr>
          <w:position w:val="1"/>
        </w:rPr>
        <w:t>included</w:t>
      </w:r>
      <w:r w:rsidR="00033D0F">
        <w:rPr>
          <w:spacing w:val="-9"/>
          <w:position w:val="1"/>
        </w:rPr>
        <w:t xml:space="preserve"> </w:t>
      </w:r>
      <w:r w:rsidR="00033D0F">
        <w:rPr>
          <w:position w:val="1"/>
        </w:rPr>
        <w:t>the</w:t>
      </w:r>
      <w:r w:rsidR="00033D0F">
        <w:rPr>
          <w:spacing w:val="-7"/>
          <w:position w:val="1"/>
        </w:rPr>
        <w:t xml:space="preserve"> </w:t>
      </w:r>
      <w:r w:rsidR="00033D0F">
        <w:rPr>
          <w:position w:val="1"/>
        </w:rPr>
        <w:t>following</w:t>
      </w:r>
      <w:r w:rsidR="00033D0F">
        <w:rPr>
          <w:spacing w:val="-6"/>
          <w:position w:val="1"/>
        </w:rPr>
        <w:t xml:space="preserve"> </w:t>
      </w:r>
      <w:r w:rsidR="00033D0F">
        <w:rPr>
          <w:position w:val="1"/>
        </w:rPr>
        <w:t>outcomes:</w:t>
      </w:r>
      <w:r w:rsidR="00033D0F">
        <w:rPr>
          <w:spacing w:val="-10"/>
          <w:position w:val="1"/>
        </w:rPr>
        <w:t xml:space="preserve"> </w:t>
      </w:r>
      <w:r w:rsidR="00033D0F">
        <w:rPr>
          <w:position w:val="1"/>
        </w:rPr>
        <w:t>(i)</w:t>
      </w:r>
      <w:r w:rsidR="00033D0F">
        <w:rPr>
          <w:spacing w:val="-9"/>
          <w:position w:val="1"/>
        </w:rPr>
        <w:t xml:space="preserve"> </w:t>
      </w:r>
      <w:r w:rsidR="00033D0F">
        <w:rPr>
          <w:position w:val="1"/>
        </w:rPr>
        <w:t xml:space="preserve">there </w:t>
      </w:r>
      <w:r w:rsidR="00033D0F">
        <w:t>was a significant price gap between the average unit values of subject imports and domestic like products, showing that subject imports were significantly more expensive;</w:t>
      </w:r>
      <w:hyperlink w:anchor="_bookmark896" w:history="1">
        <w:r w:rsidR="00033D0F">
          <w:rPr>
            <w:vertAlign w:val="superscript"/>
          </w:rPr>
          <w:t>759</w:t>
        </w:r>
      </w:hyperlink>
      <w:r w:rsidR="00033D0F">
        <w:t xml:space="preserve"> (ii) during the Injury POI, subject imports occupied a maximum share of 16.30% of the annual consumption</w:t>
      </w:r>
      <w:r w:rsidR="00033D0F">
        <w:rPr>
          <w:spacing w:val="-9"/>
        </w:rPr>
        <w:t xml:space="preserve"> </w:t>
      </w:r>
      <w:r w:rsidR="00033D0F">
        <w:t>volumes</w:t>
      </w:r>
      <w:r w:rsidR="00033D0F">
        <w:rPr>
          <w:spacing w:val="-6"/>
        </w:rPr>
        <w:t xml:space="preserve"> </w:t>
      </w:r>
      <w:r w:rsidR="00033D0F">
        <w:t>that</w:t>
      </w:r>
      <w:r w:rsidR="00033D0F">
        <w:rPr>
          <w:spacing w:val="-7"/>
        </w:rPr>
        <w:t xml:space="preserve"> </w:t>
      </w:r>
      <w:r w:rsidR="00033D0F">
        <w:t>MOFCOM</w:t>
      </w:r>
      <w:r w:rsidR="00033D0F">
        <w:rPr>
          <w:spacing w:val="-7"/>
        </w:rPr>
        <w:t xml:space="preserve"> </w:t>
      </w:r>
      <w:r w:rsidR="00033D0F">
        <w:t>had</w:t>
      </w:r>
      <w:r w:rsidR="00033D0F">
        <w:rPr>
          <w:spacing w:val="-9"/>
        </w:rPr>
        <w:t xml:space="preserve"> </w:t>
      </w:r>
      <w:r w:rsidR="00033D0F">
        <w:t>estimated;</w:t>
      </w:r>
      <w:hyperlink w:anchor="_bookmark897" w:history="1">
        <w:r w:rsidR="00033D0F">
          <w:rPr>
            <w:vertAlign w:val="superscript"/>
          </w:rPr>
          <w:t>760</w:t>
        </w:r>
      </w:hyperlink>
      <w:r w:rsidR="00033D0F">
        <w:rPr>
          <w:spacing w:val="-6"/>
        </w:rPr>
        <w:t xml:space="preserve"> </w:t>
      </w:r>
      <w:r w:rsidR="00033D0F">
        <w:t>and</w:t>
      </w:r>
      <w:r w:rsidR="00033D0F">
        <w:rPr>
          <w:spacing w:val="-9"/>
        </w:rPr>
        <w:t xml:space="preserve"> </w:t>
      </w:r>
      <w:r w:rsidR="00033D0F">
        <w:t>(iii)</w:t>
      </w:r>
      <w:r w:rsidR="00033D0F">
        <w:rPr>
          <w:spacing w:val="-9"/>
        </w:rPr>
        <w:t xml:space="preserve"> </w:t>
      </w:r>
      <w:r w:rsidR="00033D0F">
        <w:t>to</w:t>
      </w:r>
      <w:r w:rsidR="00033D0F">
        <w:rPr>
          <w:spacing w:val="-10"/>
        </w:rPr>
        <w:t xml:space="preserve"> </w:t>
      </w:r>
      <w:r w:rsidR="00033D0F">
        <w:t>the</w:t>
      </w:r>
      <w:r w:rsidR="00033D0F">
        <w:rPr>
          <w:spacing w:val="-7"/>
        </w:rPr>
        <w:t xml:space="preserve"> </w:t>
      </w:r>
      <w:r w:rsidR="00033D0F">
        <w:t>extent</w:t>
      </w:r>
      <w:r w:rsidR="00033D0F">
        <w:rPr>
          <w:spacing w:val="-7"/>
        </w:rPr>
        <w:t xml:space="preserve"> </w:t>
      </w:r>
      <w:r w:rsidR="00033D0F">
        <w:t>that</w:t>
      </w:r>
      <w:r w:rsidR="00033D0F">
        <w:rPr>
          <w:spacing w:val="-7"/>
        </w:rPr>
        <w:t xml:space="preserve"> </w:t>
      </w:r>
      <w:r w:rsidR="00033D0F">
        <w:t>the</w:t>
      </w:r>
      <w:r w:rsidR="00033D0F">
        <w:rPr>
          <w:spacing w:val="-7"/>
        </w:rPr>
        <w:t xml:space="preserve"> </w:t>
      </w:r>
      <w:r w:rsidR="00033D0F">
        <w:t>price</w:t>
      </w:r>
      <w:r w:rsidR="00033D0F">
        <w:rPr>
          <w:spacing w:val="-7"/>
        </w:rPr>
        <w:t xml:space="preserve"> </w:t>
      </w:r>
      <w:r w:rsidR="00033D0F">
        <w:t>of domestic</w:t>
      </w:r>
      <w:r w:rsidR="00033D0F">
        <w:rPr>
          <w:spacing w:val="-9"/>
        </w:rPr>
        <w:t xml:space="preserve"> </w:t>
      </w:r>
      <w:r w:rsidR="00033D0F">
        <w:t>like</w:t>
      </w:r>
      <w:r w:rsidR="00033D0F">
        <w:rPr>
          <w:spacing w:val="-8"/>
        </w:rPr>
        <w:t xml:space="preserve"> </w:t>
      </w:r>
      <w:r w:rsidR="00033D0F">
        <w:t>products</w:t>
      </w:r>
      <w:r w:rsidR="00033D0F">
        <w:rPr>
          <w:spacing w:val="-8"/>
        </w:rPr>
        <w:t xml:space="preserve"> </w:t>
      </w:r>
      <w:r w:rsidR="00033D0F">
        <w:t>was</w:t>
      </w:r>
      <w:r w:rsidR="00033D0F">
        <w:rPr>
          <w:spacing w:val="-8"/>
        </w:rPr>
        <w:t xml:space="preserve"> </w:t>
      </w:r>
      <w:r w:rsidR="00033D0F">
        <w:t>being</w:t>
      </w:r>
      <w:r w:rsidR="00033D0F">
        <w:rPr>
          <w:spacing w:val="-8"/>
        </w:rPr>
        <w:t xml:space="preserve"> </w:t>
      </w:r>
      <w:r w:rsidR="00033D0F">
        <w:t>suppressed,</w:t>
      </w:r>
      <w:r w:rsidR="00033D0F">
        <w:rPr>
          <w:spacing w:val="-7"/>
        </w:rPr>
        <w:t xml:space="preserve"> </w:t>
      </w:r>
      <w:r w:rsidR="00033D0F">
        <w:t>the</w:t>
      </w:r>
      <w:r w:rsidR="00033D0F">
        <w:rPr>
          <w:spacing w:val="-13"/>
        </w:rPr>
        <w:t xml:space="preserve"> </w:t>
      </w:r>
      <w:r w:rsidR="00033D0F">
        <w:t>magnitude</w:t>
      </w:r>
      <w:r w:rsidR="00033D0F">
        <w:rPr>
          <w:spacing w:val="-8"/>
        </w:rPr>
        <w:t xml:space="preserve"> </w:t>
      </w:r>
      <w:r w:rsidR="00033D0F">
        <w:t>of</w:t>
      </w:r>
      <w:r w:rsidR="00033D0F">
        <w:rPr>
          <w:spacing w:val="-10"/>
        </w:rPr>
        <w:t xml:space="preserve"> </w:t>
      </w:r>
      <w:r w:rsidR="00033D0F">
        <w:t>that</w:t>
      </w:r>
      <w:r w:rsidR="00033D0F">
        <w:rPr>
          <w:spacing w:val="-8"/>
        </w:rPr>
        <w:t xml:space="preserve"> </w:t>
      </w:r>
      <w:r w:rsidR="00033D0F">
        <w:t>suppression</w:t>
      </w:r>
      <w:r w:rsidR="00033D0F">
        <w:rPr>
          <w:spacing w:val="-10"/>
        </w:rPr>
        <w:t xml:space="preserve"> </w:t>
      </w:r>
      <w:r w:rsidR="00033D0F">
        <w:t>was</w:t>
      </w:r>
      <w:r w:rsidR="00033D0F">
        <w:rPr>
          <w:spacing w:val="-8"/>
        </w:rPr>
        <w:t xml:space="preserve"> </w:t>
      </w:r>
      <w:r w:rsidR="00033D0F">
        <w:t>just</w:t>
      </w:r>
      <w:r w:rsidR="00033D0F">
        <w:rPr>
          <w:spacing w:val="-8"/>
        </w:rPr>
        <w:t xml:space="preserve"> </w:t>
      </w:r>
      <w:r w:rsidR="00033D0F">
        <w:t>658</w:t>
      </w:r>
    </w:p>
    <w:p w14:paraId="5A0D8193" w14:textId="77777777" w:rsidR="00BD462C" w:rsidRDefault="00BD462C">
      <w:pPr>
        <w:pStyle w:val="BodyText"/>
        <w:rPr>
          <w:sz w:val="20"/>
        </w:rPr>
      </w:pPr>
    </w:p>
    <w:p w14:paraId="5330BD0B" w14:textId="77777777" w:rsidR="00BD462C" w:rsidRDefault="00BD462C">
      <w:pPr>
        <w:pStyle w:val="BodyText"/>
        <w:rPr>
          <w:sz w:val="20"/>
        </w:rPr>
      </w:pPr>
    </w:p>
    <w:p w14:paraId="0FD13B45" w14:textId="77777777" w:rsidR="00BD462C" w:rsidRDefault="00BD462C">
      <w:pPr>
        <w:pStyle w:val="BodyText"/>
        <w:rPr>
          <w:sz w:val="20"/>
        </w:rPr>
      </w:pPr>
    </w:p>
    <w:p w14:paraId="68DB8B99" w14:textId="77777777" w:rsidR="00BD462C" w:rsidRDefault="00BD462C">
      <w:pPr>
        <w:pStyle w:val="BodyText"/>
        <w:rPr>
          <w:sz w:val="20"/>
        </w:rPr>
      </w:pPr>
    </w:p>
    <w:p w14:paraId="49875C00" w14:textId="77777777" w:rsidR="00BD462C" w:rsidRDefault="00BD462C">
      <w:pPr>
        <w:pStyle w:val="BodyText"/>
        <w:rPr>
          <w:sz w:val="20"/>
        </w:rPr>
      </w:pPr>
    </w:p>
    <w:p w14:paraId="68E149A8" w14:textId="77777777" w:rsidR="00BD462C" w:rsidRDefault="00BD462C">
      <w:pPr>
        <w:pStyle w:val="BodyText"/>
        <w:rPr>
          <w:sz w:val="20"/>
        </w:rPr>
      </w:pPr>
    </w:p>
    <w:p w14:paraId="25D3B42F" w14:textId="77777777" w:rsidR="00BD462C" w:rsidRDefault="00BD462C">
      <w:pPr>
        <w:pStyle w:val="BodyText"/>
        <w:rPr>
          <w:sz w:val="20"/>
        </w:rPr>
      </w:pPr>
    </w:p>
    <w:p w14:paraId="45B4361B" w14:textId="179910CC" w:rsidR="00BD462C" w:rsidRDefault="00E14314">
      <w:pPr>
        <w:pStyle w:val="BodyText"/>
        <w:spacing w:before="6"/>
        <w:rPr>
          <w:sz w:val="13"/>
        </w:rPr>
      </w:pPr>
      <w:r>
        <w:rPr>
          <w:noProof/>
        </w:rPr>
        <mc:AlternateContent>
          <mc:Choice Requires="wps">
            <w:drawing>
              <wp:anchor distT="0" distB="0" distL="0" distR="0" simplePos="0" relativeHeight="488061440" behindDoc="1" locked="0" layoutInCell="1" allowOverlap="1" wp14:anchorId="66261C2D" wp14:editId="5F13E1C8">
                <wp:simplePos x="0" y="0"/>
                <wp:positionH relativeFrom="page">
                  <wp:posOffset>812800</wp:posOffset>
                </wp:positionH>
                <wp:positionV relativeFrom="paragraph">
                  <wp:posOffset>102870</wp:posOffset>
                </wp:positionV>
                <wp:extent cx="1828800" cy="8890"/>
                <wp:effectExtent l="0" t="0" r="0" b="0"/>
                <wp:wrapTopAndBottom/>
                <wp:docPr id="42" name="docshape2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7F9C06" id="docshape267" o:spid="_x0000_s1026" alt="&quot;&quot;" style="position:absolute;margin-left:64pt;margin-top:8.1pt;width:2in;height:.7pt;z-index:-15255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" fillcolor="black" stroked="f">
                <w10:wrap type="topAndBottom" anchorx="page"/>
              </v:rect>
            </w:pict>
          </mc:Fallback>
        </mc:AlternateContent>
      </w:r>
    </w:p>
    <w:p w14:paraId="2D8C8B24" w14:textId="77777777" w:rsidR="00BD462C" w:rsidRDefault="00033D0F">
      <w:pPr>
        <w:spacing w:before="112"/>
        <w:ind w:left="135"/>
        <w:rPr>
          <w:sz w:val="18"/>
        </w:rPr>
      </w:pPr>
      <w:bookmarkStart w:id="1036" w:name="_bookmark889"/>
      <w:bookmarkEnd w:id="1036"/>
      <w:r>
        <w:rPr>
          <w:position w:val="5"/>
          <w:sz w:val="12"/>
        </w:rPr>
        <w:t>752</w:t>
      </w:r>
      <w:r>
        <w:rPr>
          <w:spacing w:val="11"/>
          <w:position w:val="5"/>
          <w:sz w:val="12"/>
        </w:rPr>
        <w:t xml:space="preserve"> </w:t>
      </w:r>
      <w:r>
        <w:rPr>
          <w:sz w:val="18"/>
        </w:rPr>
        <w:t>China's</w:t>
      </w:r>
      <w:r>
        <w:rPr>
          <w:spacing w:val="-7"/>
          <w:sz w:val="18"/>
        </w:rPr>
        <w:t xml:space="preserve"> </w:t>
      </w:r>
      <w:r>
        <w:rPr>
          <w:sz w:val="18"/>
        </w:rPr>
        <w:t>first</w:t>
      </w:r>
      <w:r>
        <w:rPr>
          <w:spacing w:val="-6"/>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paras.</w:t>
      </w:r>
      <w:r>
        <w:rPr>
          <w:spacing w:val="-6"/>
          <w:sz w:val="18"/>
        </w:rPr>
        <w:t xml:space="preserve"> </w:t>
      </w:r>
      <w:r>
        <w:rPr>
          <w:sz w:val="18"/>
        </w:rPr>
        <w:t>1463,</w:t>
      </w:r>
      <w:r>
        <w:rPr>
          <w:spacing w:val="-5"/>
          <w:sz w:val="18"/>
        </w:rPr>
        <w:t xml:space="preserve"> </w:t>
      </w:r>
      <w:r>
        <w:rPr>
          <w:sz w:val="18"/>
        </w:rPr>
        <w:t>1466,</w:t>
      </w:r>
      <w:r>
        <w:rPr>
          <w:spacing w:val="-1"/>
          <w:sz w:val="18"/>
        </w:rPr>
        <w:t xml:space="preserve"> </w:t>
      </w:r>
      <w:r>
        <w:rPr>
          <w:sz w:val="18"/>
        </w:rPr>
        <w:t>1488-</w:t>
      </w:r>
      <w:r>
        <w:rPr>
          <w:spacing w:val="-4"/>
          <w:sz w:val="18"/>
        </w:rPr>
        <w:t>1489,</w:t>
      </w:r>
    </w:p>
    <w:p w14:paraId="03C2BC0C" w14:textId="77777777" w:rsidR="00BD462C" w:rsidRDefault="00033D0F">
      <w:pPr>
        <w:spacing w:before="1"/>
        <w:ind w:left="135"/>
        <w:rPr>
          <w:sz w:val="18"/>
        </w:rPr>
      </w:pPr>
      <w:bookmarkStart w:id="1037" w:name="_bookmark890"/>
      <w:bookmarkEnd w:id="1037"/>
      <w:r>
        <w:rPr>
          <w:position w:val="5"/>
          <w:sz w:val="12"/>
        </w:rPr>
        <w:t>753</w:t>
      </w:r>
      <w:r>
        <w:rPr>
          <w:spacing w:val="14"/>
          <w:position w:val="5"/>
          <w:sz w:val="12"/>
        </w:rPr>
        <w:t xml:space="preserve"> </w:t>
      </w:r>
      <w:r>
        <w:rPr>
          <w:sz w:val="18"/>
        </w:rPr>
        <w:t>Appellate</w:t>
      </w:r>
      <w:r>
        <w:rPr>
          <w:spacing w:val="-8"/>
          <w:sz w:val="18"/>
        </w:rPr>
        <w:t xml:space="preserve"> </w:t>
      </w:r>
      <w:r>
        <w:rPr>
          <w:sz w:val="18"/>
        </w:rPr>
        <w:t>Body</w:t>
      </w:r>
      <w:r>
        <w:rPr>
          <w:spacing w:val="-6"/>
          <w:sz w:val="18"/>
        </w:rPr>
        <w:t xml:space="preserve"> </w:t>
      </w:r>
      <w:r>
        <w:rPr>
          <w:sz w:val="18"/>
        </w:rPr>
        <w:t>Report,</w:t>
      </w:r>
      <w:r>
        <w:rPr>
          <w:spacing w:val="-2"/>
          <w:sz w:val="18"/>
        </w:rPr>
        <w:t xml:space="preserve"> </w:t>
      </w:r>
      <w:r>
        <w:rPr>
          <w:i/>
          <w:sz w:val="18"/>
        </w:rPr>
        <w:t>China</w:t>
      </w:r>
      <w:r>
        <w:rPr>
          <w:i/>
          <w:spacing w:val="1"/>
          <w:sz w:val="18"/>
        </w:rPr>
        <w:t xml:space="preserve"> </w:t>
      </w:r>
      <w:r>
        <w:rPr>
          <w:i/>
          <w:sz w:val="18"/>
        </w:rPr>
        <w:t>–</w:t>
      </w:r>
      <w:r>
        <w:rPr>
          <w:i/>
          <w:spacing w:val="-4"/>
          <w:sz w:val="18"/>
        </w:rPr>
        <w:t xml:space="preserve"> </w:t>
      </w:r>
      <w:r>
        <w:rPr>
          <w:i/>
          <w:sz w:val="18"/>
        </w:rPr>
        <w:t>GOES</w:t>
      </w:r>
      <w:r>
        <w:rPr>
          <w:sz w:val="18"/>
        </w:rPr>
        <w:t>,</w:t>
      </w:r>
      <w:r>
        <w:rPr>
          <w:spacing w:val="-2"/>
          <w:sz w:val="18"/>
        </w:rPr>
        <w:t xml:space="preserve"> </w:t>
      </w:r>
      <w:r>
        <w:rPr>
          <w:sz w:val="18"/>
        </w:rPr>
        <w:t>para.</w:t>
      </w:r>
      <w:r>
        <w:rPr>
          <w:spacing w:val="2"/>
          <w:sz w:val="18"/>
        </w:rPr>
        <w:t xml:space="preserve"> </w:t>
      </w:r>
      <w:r>
        <w:rPr>
          <w:sz w:val="18"/>
        </w:rPr>
        <w:t>149</w:t>
      </w:r>
      <w:r>
        <w:rPr>
          <w:spacing w:val="-6"/>
          <w:sz w:val="18"/>
        </w:rPr>
        <w:t xml:space="preserve"> </w:t>
      </w:r>
      <w:r>
        <w:rPr>
          <w:sz w:val="18"/>
        </w:rPr>
        <w:t>(emphasis</w:t>
      </w:r>
      <w:r>
        <w:rPr>
          <w:spacing w:val="-4"/>
          <w:sz w:val="18"/>
        </w:rPr>
        <w:t xml:space="preserve"> </w:t>
      </w:r>
      <w:r>
        <w:rPr>
          <w:spacing w:val="-2"/>
          <w:sz w:val="18"/>
        </w:rPr>
        <w:t>original)</w:t>
      </w:r>
    </w:p>
    <w:p w14:paraId="60B4D546" w14:textId="77777777" w:rsidR="00BD462C" w:rsidRDefault="00033D0F">
      <w:pPr>
        <w:spacing w:before="2" w:line="237" w:lineRule="auto"/>
        <w:ind w:left="136" w:right="948" w:hanging="1"/>
        <w:rPr>
          <w:sz w:val="18"/>
        </w:rPr>
      </w:pPr>
      <w:bookmarkStart w:id="1038" w:name="_bookmark891"/>
      <w:bookmarkEnd w:id="1038"/>
      <w:r>
        <w:rPr>
          <w:position w:val="5"/>
          <w:sz w:val="12"/>
        </w:rPr>
        <w:t>754</w:t>
      </w:r>
      <w:r>
        <w:rPr>
          <w:spacing w:val="24"/>
          <w:position w:val="5"/>
          <w:sz w:val="12"/>
        </w:rPr>
        <w:t xml:space="preserve"> </w:t>
      </w:r>
      <w:r>
        <w:rPr>
          <w:sz w:val="18"/>
        </w:rPr>
        <w:t xml:space="preserve">Panel Report, </w:t>
      </w:r>
      <w:r>
        <w:rPr>
          <w:i/>
          <w:sz w:val="18"/>
        </w:rPr>
        <w:t>Thailand – H-Beams</w:t>
      </w:r>
      <w:r>
        <w:rPr>
          <w:sz w:val="18"/>
        </w:rPr>
        <w:t xml:space="preserve">, para. 7.236. See also Panel Reports, </w:t>
      </w:r>
      <w:r>
        <w:rPr>
          <w:i/>
          <w:sz w:val="18"/>
        </w:rPr>
        <w:t>Korea – Certain Paper</w:t>
      </w:r>
      <w:r>
        <w:rPr>
          <w:sz w:val="18"/>
        </w:rPr>
        <w:t xml:space="preserve">, para. 7.272; </w:t>
      </w:r>
      <w:r>
        <w:rPr>
          <w:i/>
          <w:sz w:val="18"/>
        </w:rPr>
        <w:t xml:space="preserve">EC – Bed </w:t>
      </w:r>
      <w:proofErr w:type="gramStart"/>
      <w:r>
        <w:rPr>
          <w:i/>
          <w:sz w:val="18"/>
        </w:rPr>
        <w:t>Linen.(</w:t>
      </w:r>
      <w:proofErr w:type="gramEnd"/>
      <w:r>
        <w:rPr>
          <w:i/>
          <w:sz w:val="18"/>
        </w:rPr>
        <w:t>Article 21.5 –</w:t>
      </w:r>
      <w:r>
        <w:rPr>
          <w:i/>
          <w:spacing w:val="-3"/>
          <w:sz w:val="18"/>
        </w:rPr>
        <w:t xml:space="preserve"> </w:t>
      </w:r>
      <w:r>
        <w:rPr>
          <w:i/>
          <w:sz w:val="18"/>
        </w:rPr>
        <w:t>India)</w:t>
      </w:r>
      <w:r>
        <w:rPr>
          <w:sz w:val="18"/>
        </w:rPr>
        <w:t>,</w:t>
      </w:r>
      <w:r>
        <w:rPr>
          <w:spacing w:val="-1"/>
          <w:sz w:val="18"/>
        </w:rPr>
        <w:t xml:space="preserve"> </w:t>
      </w:r>
      <w:r>
        <w:rPr>
          <w:sz w:val="18"/>
        </w:rPr>
        <w:t>para. 6.162;</w:t>
      </w:r>
      <w:r>
        <w:rPr>
          <w:spacing w:val="-5"/>
          <w:sz w:val="18"/>
        </w:rPr>
        <w:t xml:space="preserve"> </w:t>
      </w:r>
      <w:r>
        <w:rPr>
          <w:i/>
          <w:sz w:val="18"/>
        </w:rPr>
        <w:t>Egypt</w:t>
      </w:r>
      <w:r>
        <w:rPr>
          <w:i/>
          <w:spacing w:val="-2"/>
          <w:sz w:val="18"/>
        </w:rPr>
        <w:t xml:space="preserve"> </w:t>
      </w:r>
      <w:r>
        <w:rPr>
          <w:i/>
          <w:sz w:val="18"/>
        </w:rPr>
        <w:t>– Steel</w:t>
      </w:r>
      <w:r>
        <w:rPr>
          <w:i/>
          <w:spacing w:val="-7"/>
          <w:sz w:val="18"/>
        </w:rPr>
        <w:t xml:space="preserve"> </w:t>
      </w:r>
      <w:r>
        <w:rPr>
          <w:i/>
          <w:sz w:val="18"/>
        </w:rPr>
        <w:t>Rebar</w:t>
      </w:r>
      <w:r>
        <w:rPr>
          <w:sz w:val="18"/>
        </w:rPr>
        <w:t>,</w:t>
      </w:r>
      <w:r>
        <w:rPr>
          <w:spacing w:val="-1"/>
          <w:sz w:val="18"/>
        </w:rPr>
        <w:t xml:space="preserve"> </w:t>
      </w:r>
      <w:r>
        <w:rPr>
          <w:sz w:val="18"/>
        </w:rPr>
        <w:t>paras.</w:t>
      </w:r>
      <w:r>
        <w:rPr>
          <w:spacing w:val="-2"/>
          <w:sz w:val="18"/>
        </w:rPr>
        <w:t xml:space="preserve"> </w:t>
      </w:r>
      <w:r>
        <w:rPr>
          <w:sz w:val="18"/>
        </w:rPr>
        <w:t>7.44,</w:t>
      </w:r>
      <w:r>
        <w:rPr>
          <w:spacing w:val="-1"/>
          <w:sz w:val="18"/>
        </w:rPr>
        <w:t xml:space="preserve"> </w:t>
      </w:r>
      <w:r>
        <w:rPr>
          <w:sz w:val="18"/>
        </w:rPr>
        <w:t>7.46;</w:t>
      </w:r>
      <w:r>
        <w:rPr>
          <w:spacing w:val="-5"/>
          <w:sz w:val="18"/>
        </w:rPr>
        <w:t xml:space="preserve"> </w:t>
      </w:r>
      <w:r>
        <w:rPr>
          <w:sz w:val="18"/>
        </w:rPr>
        <w:t>and</w:t>
      </w:r>
      <w:r>
        <w:rPr>
          <w:spacing w:val="-4"/>
          <w:sz w:val="18"/>
        </w:rPr>
        <w:t xml:space="preserve"> </w:t>
      </w:r>
      <w:r>
        <w:rPr>
          <w:i/>
          <w:sz w:val="18"/>
        </w:rPr>
        <w:t>US</w:t>
      </w:r>
      <w:r>
        <w:rPr>
          <w:i/>
          <w:spacing w:val="-5"/>
          <w:sz w:val="18"/>
        </w:rPr>
        <w:t xml:space="preserve"> </w:t>
      </w:r>
      <w:r>
        <w:rPr>
          <w:i/>
          <w:sz w:val="18"/>
        </w:rPr>
        <w:t>–</w:t>
      </w:r>
      <w:r>
        <w:rPr>
          <w:i/>
          <w:spacing w:val="-3"/>
          <w:sz w:val="18"/>
        </w:rPr>
        <w:t xml:space="preserve"> </w:t>
      </w:r>
      <w:r>
        <w:rPr>
          <w:i/>
          <w:sz w:val="18"/>
        </w:rPr>
        <w:t>Hot-Rolled Steel</w:t>
      </w:r>
      <w:r>
        <w:rPr>
          <w:sz w:val="18"/>
        </w:rPr>
        <w:t>,</w:t>
      </w:r>
      <w:r>
        <w:rPr>
          <w:spacing w:val="-1"/>
          <w:sz w:val="18"/>
        </w:rPr>
        <w:t xml:space="preserve"> </w:t>
      </w:r>
      <w:r>
        <w:rPr>
          <w:sz w:val="18"/>
        </w:rPr>
        <w:t>para.</w:t>
      </w:r>
      <w:r>
        <w:rPr>
          <w:spacing w:val="-2"/>
          <w:sz w:val="18"/>
        </w:rPr>
        <w:t xml:space="preserve"> </w:t>
      </w:r>
      <w:r>
        <w:rPr>
          <w:sz w:val="18"/>
        </w:rPr>
        <w:t>7.232. See also China's first written submission, para. 1463.</w:t>
      </w:r>
    </w:p>
    <w:p w14:paraId="1466D21F" w14:textId="77777777" w:rsidR="00BD462C" w:rsidRDefault="00033D0F">
      <w:pPr>
        <w:spacing w:before="4"/>
        <w:ind w:left="136" w:right="923" w:hanging="1"/>
        <w:rPr>
          <w:sz w:val="18"/>
        </w:rPr>
      </w:pPr>
      <w:bookmarkStart w:id="1039" w:name="_bookmark892"/>
      <w:bookmarkEnd w:id="1039"/>
      <w:r>
        <w:rPr>
          <w:position w:val="5"/>
          <w:sz w:val="12"/>
        </w:rPr>
        <w:t>755</w:t>
      </w:r>
      <w:r>
        <w:rPr>
          <w:spacing w:val="15"/>
          <w:position w:val="5"/>
          <w:sz w:val="12"/>
        </w:rPr>
        <w:t xml:space="preserve"> </w:t>
      </w:r>
      <w:r>
        <w:rPr>
          <w:sz w:val="18"/>
        </w:rPr>
        <w:t>Appellate</w:t>
      </w:r>
      <w:r>
        <w:rPr>
          <w:spacing w:val="-4"/>
          <w:sz w:val="18"/>
        </w:rPr>
        <w:t xml:space="preserve"> </w:t>
      </w:r>
      <w:r>
        <w:rPr>
          <w:sz w:val="18"/>
        </w:rPr>
        <w:t>Body</w:t>
      </w:r>
      <w:r>
        <w:rPr>
          <w:spacing w:val="-6"/>
          <w:sz w:val="18"/>
        </w:rPr>
        <w:t xml:space="preserve"> </w:t>
      </w:r>
      <w:r>
        <w:rPr>
          <w:sz w:val="18"/>
        </w:rPr>
        <w:t>Report,</w:t>
      </w:r>
      <w:r>
        <w:rPr>
          <w:spacing w:val="-7"/>
          <w:sz w:val="18"/>
        </w:rPr>
        <w:t xml:space="preserve"> </w:t>
      </w:r>
      <w:r>
        <w:rPr>
          <w:i/>
          <w:sz w:val="18"/>
        </w:rPr>
        <w:t>China</w:t>
      </w:r>
      <w:r>
        <w:rPr>
          <w:i/>
          <w:spacing w:val="-3"/>
          <w:sz w:val="18"/>
        </w:rPr>
        <w:t xml:space="preserve"> </w:t>
      </w:r>
      <w:r>
        <w:rPr>
          <w:i/>
          <w:sz w:val="18"/>
        </w:rPr>
        <w:t>–</w:t>
      </w:r>
      <w:r>
        <w:rPr>
          <w:i/>
          <w:spacing w:val="-9"/>
          <w:sz w:val="18"/>
        </w:rPr>
        <w:t xml:space="preserve"> </w:t>
      </w:r>
      <w:r>
        <w:rPr>
          <w:i/>
          <w:sz w:val="18"/>
        </w:rPr>
        <w:t>GOES</w:t>
      </w:r>
      <w:r>
        <w:rPr>
          <w:sz w:val="18"/>
        </w:rPr>
        <w:t>,</w:t>
      </w:r>
      <w:r>
        <w:rPr>
          <w:spacing w:val="-7"/>
          <w:sz w:val="18"/>
        </w:rPr>
        <w:t xml:space="preserve"> </w:t>
      </w:r>
      <w:r>
        <w:rPr>
          <w:sz w:val="18"/>
        </w:rPr>
        <w:t>para.</w:t>
      </w:r>
      <w:r>
        <w:rPr>
          <w:spacing w:val="-3"/>
          <w:sz w:val="18"/>
        </w:rPr>
        <w:t xml:space="preserve"> </w:t>
      </w:r>
      <w:r>
        <w:rPr>
          <w:sz w:val="18"/>
        </w:rPr>
        <w:t>149. See</w:t>
      </w:r>
      <w:r>
        <w:rPr>
          <w:spacing w:val="-4"/>
          <w:sz w:val="18"/>
        </w:rPr>
        <w:t xml:space="preserve"> </w:t>
      </w:r>
      <w:r>
        <w:rPr>
          <w:sz w:val="18"/>
        </w:rPr>
        <w:t>also</w:t>
      </w:r>
      <w:r>
        <w:rPr>
          <w:spacing w:val="-5"/>
          <w:sz w:val="18"/>
        </w:rPr>
        <w:t xml:space="preserve"> </w:t>
      </w:r>
      <w:r>
        <w:rPr>
          <w:sz w:val="18"/>
        </w:rPr>
        <w:t>China's</w:t>
      </w:r>
      <w:r>
        <w:rPr>
          <w:spacing w:val="-4"/>
          <w:sz w:val="18"/>
        </w:rPr>
        <w:t xml:space="preserve"> </w:t>
      </w:r>
      <w:r>
        <w:rPr>
          <w:sz w:val="18"/>
        </w:rPr>
        <w:t>first</w:t>
      </w:r>
      <w:r>
        <w:rPr>
          <w:spacing w:val="-3"/>
          <w:sz w:val="18"/>
        </w:rPr>
        <w:t xml:space="preserve"> </w:t>
      </w:r>
      <w:r>
        <w:rPr>
          <w:sz w:val="18"/>
        </w:rPr>
        <w:t>written</w:t>
      </w:r>
      <w:r>
        <w:rPr>
          <w:spacing w:val="-5"/>
          <w:sz w:val="18"/>
        </w:rPr>
        <w:t xml:space="preserve"> </w:t>
      </w:r>
      <w:r>
        <w:rPr>
          <w:sz w:val="18"/>
        </w:rPr>
        <w:t>submission,</w:t>
      </w:r>
      <w:r>
        <w:rPr>
          <w:spacing w:val="-2"/>
          <w:sz w:val="18"/>
        </w:rPr>
        <w:t xml:space="preserve"> </w:t>
      </w:r>
      <w:r>
        <w:rPr>
          <w:sz w:val="18"/>
        </w:rPr>
        <w:t>paras.</w:t>
      </w:r>
      <w:r>
        <w:rPr>
          <w:spacing w:val="-3"/>
          <w:sz w:val="18"/>
        </w:rPr>
        <w:t xml:space="preserve"> </w:t>
      </w:r>
      <w:r>
        <w:rPr>
          <w:sz w:val="18"/>
        </w:rPr>
        <w:t>1454,</w:t>
      </w:r>
      <w:r>
        <w:rPr>
          <w:spacing w:val="-3"/>
          <w:sz w:val="18"/>
        </w:rPr>
        <w:t xml:space="preserve"> </w:t>
      </w:r>
      <w:r>
        <w:rPr>
          <w:sz w:val="18"/>
        </w:rPr>
        <w:t>1482,</w:t>
      </w:r>
      <w:r>
        <w:rPr>
          <w:spacing w:val="-2"/>
          <w:sz w:val="18"/>
        </w:rPr>
        <w:t xml:space="preserve"> </w:t>
      </w:r>
      <w:r>
        <w:rPr>
          <w:sz w:val="18"/>
        </w:rPr>
        <w:t>1561,</w:t>
      </w:r>
      <w:r>
        <w:rPr>
          <w:spacing w:val="34"/>
          <w:sz w:val="18"/>
        </w:rPr>
        <w:t xml:space="preserve"> </w:t>
      </w:r>
      <w:r>
        <w:rPr>
          <w:sz w:val="18"/>
        </w:rPr>
        <w:t xml:space="preserve">1597, </w:t>
      </w:r>
      <w:r>
        <w:rPr>
          <w:spacing w:val="-2"/>
          <w:sz w:val="18"/>
        </w:rPr>
        <w:t>1608.</w:t>
      </w:r>
    </w:p>
    <w:p w14:paraId="4797B41F" w14:textId="77777777" w:rsidR="00BD462C" w:rsidRDefault="00033D0F">
      <w:pPr>
        <w:spacing w:before="5" w:line="235" w:lineRule="auto"/>
        <w:ind w:left="136" w:right="923" w:hanging="1"/>
        <w:rPr>
          <w:sz w:val="18"/>
        </w:rPr>
      </w:pPr>
      <w:bookmarkStart w:id="1040" w:name="_bookmark893"/>
      <w:bookmarkEnd w:id="1040"/>
      <w:r>
        <w:rPr>
          <w:position w:val="5"/>
          <w:sz w:val="12"/>
        </w:rPr>
        <w:t>756</w:t>
      </w:r>
      <w:r>
        <w:rPr>
          <w:spacing w:val="16"/>
          <w:position w:val="5"/>
          <w:sz w:val="12"/>
        </w:rPr>
        <w:t xml:space="preserve"> </w:t>
      </w:r>
      <w:r>
        <w:rPr>
          <w:sz w:val="18"/>
        </w:rPr>
        <w:t>China's</w:t>
      </w:r>
      <w:r>
        <w:rPr>
          <w:spacing w:val="-3"/>
          <w:sz w:val="18"/>
        </w:rPr>
        <w:t xml:space="preserve"> </w:t>
      </w:r>
      <w:r>
        <w:rPr>
          <w:sz w:val="18"/>
        </w:rPr>
        <w:t>first written</w:t>
      </w:r>
      <w:r>
        <w:rPr>
          <w:spacing w:val="-4"/>
          <w:sz w:val="18"/>
        </w:rPr>
        <w:t xml:space="preserve"> </w:t>
      </w:r>
      <w:r>
        <w:rPr>
          <w:sz w:val="18"/>
        </w:rPr>
        <w:t>submission, para. 1469 citing</w:t>
      </w:r>
      <w:r>
        <w:rPr>
          <w:spacing w:val="-3"/>
          <w:sz w:val="18"/>
        </w:rPr>
        <w:t xml:space="preserve"> </w:t>
      </w:r>
      <w:r>
        <w:rPr>
          <w:sz w:val="18"/>
        </w:rPr>
        <w:t>Appellate</w:t>
      </w:r>
      <w:r>
        <w:rPr>
          <w:spacing w:val="-3"/>
          <w:sz w:val="18"/>
        </w:rPr>
        <w:t xml:space="preserve"> </w:t>
      </w:r>
      <w:r>
        <w:rPr>
          <w:sz w:val="18"/>
        </w:rPr>
        <w:t>Body</w:t>
      </w:r>
      <w:r>
        <w:rPr>
          <w:spacing w:val="-10"/>
          <w:sz w:val="18"/>
        </w:rPr>
        <w:t xml:space="preserve"> </w:t>
      </w:r>
      <w:r>
        <w:rPr>
          <w:sz w:val="18"/>
        </w:rPr>
        <w:t xml:space="preserve">Reports, </w:t>
      </w:r>
      <w:r>
        <w:rPr>
          <w:i/>
          <w:sz w:val="18"/>
        </w:rPr>
        <w:t>China –</w:t>
      </w:r>
      <w:r>
        <w:rPr>
          <w:i/>
          <w:spacing w:val="-3"/>
          <w:sz w:val="18"/>
        </w:rPr>
        <w:t xml:space="preserve"> </w:t>
      </w:r>
      <w:r>
        <w:rPr>
          <w:i/>
          <w:sz w:val="18"/>
        </w:rPr>
        <w:t>HPSSST (Japan)</w:t>
      </w:r>
      <w:r>
        <w:rPr>
          <w:i/>
          <w:spacing w:val="-1"/>
          <w:sz w:val="18"/>
        </w:rPr>
        <w:t xml:space="preserve"> </w:t>
      </w:r>
      <w:r>
        <w:rPr>
          <w:i/>
          <w:sz w:val="18"/>
        </w:rPr>
        <w:t>/ China –</w:t>
      </w:r>
      <w:r>
        <w:rPr>
          <w:i/>
          <w:spacing w:val="-3"/>
          <w:sz w:val="18"/>
        </w:rPr>
        <w:t xml:space="preserve"> </w:t>
      </w:r>
      <w:r>
        <w:rPr>
          <w:i/>
          <w:sz w:val="18"/>
        </w:rPr>
        <w:t>HPSSST</w:t>
      </w:r>
      <w:r>
        <w:rPr>
          <w:i/>
          <w:spacing w:val="-1"/>
          <w:sz w:val="18"/>
        </w:rPr>
        <w:t xml:space="preserve"> </w:t>
      </w:r>
      <w:r>
        <w:rPr>
          <w:i/>
          <w:sz w:val="18"/>
        </w:rPr>
        <w:t>(EU)</w:t>
      </w:r>
      <w:r>
        <w:rPr>
          <w:sz w:val="18"/>
        </w:rPr>
        <w:t>, para. 5.209.</w:t>
      </w:r>
    </w:p>
    <w:p w14:paraId="21E5E055" w14:textId="77777777" w:rsidR="00BD462C" w:rsidRDefault="00033D0F">
      <w:pPr>
        <w:spacing w:before="3"/>
        <w:ind w:left="135"/>
        <w:rPr>
          <w:sz w:val="18"/>
        </w:rPr>
      </w:pPr>
      <w:bookmarkStart w:id="1041" w:name="_bookmark894"/>
      <w:bookmarkEnd w:id="1041"/>
      <w:r>
        <w:rPr>
          <w:position w:val="5"/>
          <w:sz w:val="12"/>
        </w:rPr>
        <w:t>757</w:t>
      </w:r>
      <w:r>
        <w:rPr>
          <w:spacing w:val="12"/>
          <w:position w:val="5"/>
          <w:sz w:val="12"/>
        </w:rPr>
        <w:t xml:space="preserve"> </w:t>
      </w:r>
      <w:r>
        <w:rPr>
          <w:sz w:val="18"/>
        </w:rPr>
        <w:t>Final</w:t>
      </w:r>
      <w:r>
        <w:rPr>
          <w:spacing w:val="-5"/>
          <w:sz w:val="18"/>
        </w:rPr>
        <w:t xml:space="preserve"> </w:t>
      </w:r>
      <w:r>
        <w:rPr>
          <w:sz w:val="18"/>
        </w:rPr>
        <w:t>Determination</w:t>
      </w:r>
      <w:r>
        <w:rPr>
          <w:spacing w:val="-7"/>
          <w:sz w:val="18"/>
        </w:rPr>
        <w:t xml:space="preserve"> </w:t>
      </w:r>
      <w:r>
        <w:rPr>
          <w:sz w:val="18"/>
        </w:rPr>
        <w:t>(Exhibit</w:t>
      </w:r>
      <w:r>
        <w:rPr>
          <w:spacing w:val="-1"/>
          <w:sz w:val="18"/>
        </w:rPr>
        <w:t xml:space="preserve"> </w:t>
      </w:r>
      <w:r>
        <w:rPr>
          <w:sz w:val="18"/>
        </w:rPr>
        <w:t>CHN-1),</w:t>
      </w:r>
      <w:r>
        <w:rPr>
          <w:spacing w:val="-4"/>
          <w:sz w:val="18"/>
        </w:rPr>
        <w:t xml:space="preserve"> </w:t>
      </w:r>
      <w:r>
        <w:rPr>
          <w:sz w:val="18"/>
        </w:rPr>
        <w:t>p. 60;</w:t>
      </w:r>
      <w:r>
        <w:rPr>
          <w:spacing w:val="-8"/>
          <w:sz w:val="18"/>
        </w:rPr>
        <w:t xml:space="preserve"> </w:t>
      </w:r>
      <w:r>
        <w:rPr>
          <w:sz w:val="18"/>
        </w:rPr>
        <w:t>Anti-Dumping</w:t>
      </w:r>
      <w:r>
        <w:rPr>
          <w:spacing w:val="-5"/>
          <w:sz w:val="18"/>
        </w:rPr>
        <w:t xml:space="preserve"> </w:t>
      </w:r>
      <w:r>
        <w:rPr>
          <w:sz w:val="18"/>
        </w:rPr>
        <w:t>Final</w:t>
      </w:r>
      <w:r>
        <w:rPr>
          <w:spacing w:val="-2"/>
          <w:sz w:val="18"/>
        </w:rPr>
        <w:t xml:space="preserve"> </w:t>
      </w:r>
      <w:r>
        <w:rPr>
          <w:sz w:val="18"/>
        </w:rPr>
        <w:t>Determination</w:t>
      </w:r>
      <w:r>
        <w:rPr>
          <w:spacing w:val="-10"/>
          <w:sz w:val="18"/>
        </w:rPr>
        <w:t xml:space="preserve"> </w:t>
      </w:r>
      <w:r>
        <w:rPr>
          <w:sz w:val="18"/>
        </w:rPr>
        <w:t>(Exhibit</w:t>
      </w:r>
      <w:r>
        <w:rPr>
          <w:spacing w:val="-5"/>
          <w:sz w:val="18"/>
        </w:rPr>
        <w:t xml:space="preserve"> </w:t>
      </w:r>
      <w:r>
        <w:rPr>
          <w:sz w:val="18"/>
        </w:rPr>
        <w:t>AUS-2),</w:t>
      </w:r>
      <w:r>
        <w:rPr>
          <w:spacing w:val="-3"/>
          <w:sz w:val="18"/>
        </w:rPr>
        <w:t xml:space="preserve"> </w:t>
      </w:r>
      <w:r>
        <w:rPr>
          <w:sz w:val="18"/>
        </w:rPr>
        <w:t>p.</w:t>
      </w:r>
      <w:r>
        <w:rPr>
          <w:spacing w:val="-1"/>
          <w:sz w:val="18"/>
        </w:rPr>
        <w:t xml:space="preserve"> </w:t>
      </w:r>
      <w:r>
        <w:rPr>
          <w:spacing w:val="-4"/>
          <w:sz w:val="18"/>
        </w:rPr>
        <w:t>123.</w:t>
      </w:r>
    </w:p>
    <w:p w14:paraId="0ADBD2E8" w14:textId="77777777" w:rsidR="00BD462C" w:rsidRDefault="00033D0F">
      <w:pPr>
        <w:spacing w:before="1"/>
        <w:ind w:left="135"/>
        <w:rPr>
          <w:sz w:val="18"/>
        </w:rPr>
      </w:pPr>
      <w:bookmarkStart w:id="1042" w:name="_bookmark895"/>
      <w:bookmarkEnd w:id="1042"/>
      <w:r>
        <w:rPr>
          <w:position w:val="5"/>
          <w:sz w:val="12"/>
        </w:rPr>
        <w:t>758</w:t>
      </w:r>
      <w:r>
        <w:rPr>
          <w:spacing w:val="12"/>
          <w:position w:val="5"/>
          <w:sz w:val="12"/>
        </w:rPr>
        <w:t xml:space="preserve"> </w:t>
      </w:r>
      <w:r>
        <w:rPr>
          <w:sz w:val="18"/>
        </w:rPr>
        <w:t>Australia</w:t>
      </w:r>
      <w:r>
        <w:rPr>
          <w:spacing w:val="-8"/>
          <w:sz w:val="18"/>
        </w:rPr>
        <w:t xml:space="preserve"> </w:t>
      </w:r>
      <w:r>
        <w:rPr>
          <w:sz w:val="18"/>
        </w:rPr>
        <w:t>first</w:t>
      </w:r>
      <w:r>
        <w:rPr>
          <w:spacing w:val="-6"/>
          <w:sz w:val="18"/>
        </w:rPr>
        <w:t xml:space="preserve"> </w:t>
      </w:r>
      <w:r>
        <w:rPr>
          <w:sz w:val="18"/>
        </w:rPr>
        <w:t>written</w:t>
      </w:r>
      <w:r>
        <w:rPr>
          <w:spacing w:val="-7"/>
          <w:sz w:val="18"/>
        </w:rPr>
        <w:t xml:space="preserve"> </w:t>
      </w:r>
      <w:r>
        <w:rPr>
          <w:sz w:val="18"/>
        </w:rPr>
        <w:t>submission, paras.</w:t>
      </w:r>
      <w:r>
        <w:rPr>
          <w:spacing w:val="-5"/>
          <w:sz w:val="18"/>
        </w:rPr>
        <w:t xml:space="preserve"> </w:t>
      </w:r>
      <w:r>
        <w:rPr>
          <w:sz w:val="18"/>
        </w:rPr>
        <w:t>626-638;</w:t>
      </w:r>
      <w:r>
        <w:rPr>
          <w:spacing w:val="-8"/>
          <w:sz w:val="18"/>
        </w:rPr>
        <w:t xml:space="preserve"> </w:t>
      </w:r>
      <w:r>
        <w:rPr>
          <w:sz w:val="18"/>
        </w:rPr>
        <w:t>China's</w:t>
      </w:r>
      <w:r>
        <w:rPr>
          <w:spacing w:val="-7"/>
          <w:sz w:val="18"/>
        </w:rPr>
        <w:t xml:space="preserve"> </w:t>
      </w:r>
      <w:r>
        <w:rPr>
          <w:sz w:val="18"/>
        </w:rPr>
        <w:t>first</w:t>
      </w:r>
      <w:r>
        <w:rPr>
          <w:spacing w:val="-5"/>
          <w:sz w:val="18"/>
        </w:rPr>
        <w:t xml:space="preserve"> </w:t>
      </w:r>
      <w:r>
        <w:rPr>
          <w:sz w:val="18"/>
        </w:rPr>
        <w:t>written</w:t>
      </w:r>
      <w:r>
        <w:rPr>
          <w:spacing w:val="-7"/>
          <w:sz w:val="18"/>
        </w:rPr>
        <w:t xml:space="preserve"> </w:t>
      </w:r>
      <w:r>
        <w:rPr>
          <w:sz w:val="18"/>
        </w:rPr>
        <w:t>submission,</w:t>
      </w:r>
      <w:r>
        <w:rPr>
          <w:spacing w:val="-4"/>
          <w:sz w:val="18"/>
        </w:rPr>
        <w:t xml:space="preserve"> </w:t>
      </w:r>
      <w:r>
        <w:rPr>
          <w:sz w:val="18"/>
        </w:rPr>
        <w:t>paras.</w:t>
      </w:r>
      <w:r>
        <w:rPr>
          <w:spacing w:val="-1"/>
          <w:sz w:val="18"/>
        </w:rPr>
        <w:t xml:space="preserve"> </w:t>
      </w:r>
      <w:r>
        <w:rPr>
          <w:sz w:val="18"/>
        </w:rPr>
        <w:t>1459-</w:t>
      </w:r>
      <w:r>
        <w:rPr>
          <w:spacing w:val="-2"/>
          <w:sz w:val="18"/>
        </w:rPr>
        <w:t>1530.</w:t>
      </w:r>
    </w:p>
    <w:p w14:paraId="2E36C056" w14:textId="77777777" w:rsidR="00BD462C" w:rsidRDefault="00033D0F">
      <w:pPr>
        <w:spacing w:before="1"/>
        <w:ind w:left="135"/>
        <w:rPr>
          <w:sz w:val="18"/>
        </w:rPr>
      </w:pPr>
      <w:bookmarkStart w:id="1043" w:name="_bookmark896"/>
      <w:bookmarkEnd w:id="1043"/>
      <w:r>
        <w:rPr>
          <w:position w:val="5"/>
          <w:sz w:val="12"/>
        </w:rPr>
        <w:t>759</w:t>
      </w:r>
      <w:r>
        <w:rPr>
          <w:spacing w:val="13"/>
          <w:position w:val="5"/>
          <w:sz w:val="12"/>
        </w:rPr>
        <w:t xml:space="preserve"> </w:t>
      </w:r>
      <w:r>
        <w:rPr>
          <w:sz w:val="18"/>
        </w:rPr>
        <w:t>Australian</w:t>
      </w:r>
      <w:r>
        <w:rPr>
          <w:spacing w:val="-6"/>
          <w:sz w:val="18"/>
        </w:rPr>
        <w:t xml:space="preserve"> </w:t>
      </w:r>
      <w:r>
        <w:rPr>
          <w:sz w:val="18"/>
        </w:rPr>
        <w:t>Government,</w:t>
      </w:r>
      <w:r>
        <w:rPr>
          <w:spacing w:val="1"/>
          <w:sz w:val="18"/>
        </w:rPr>
        <w:t xml:space="preserve"> </w:t>
      </w:r>
      <w:r>
        <w:rPr>
          <w:sz w:val="18"/>
        </w:rPr>
        <w:t>Section</w:t>
      </w:r>
      <w:r>
        <w:rPr>
          <w:spacing w:val="-7"/>
          <w:sz w:val="18"/>
        </w:rPr>
        <w:t xml:space="preserve"> </w:t>
      </w:r>
      <w:r>
        <w:rPr>
          <w:sz w:val="18"/>
        </w:rPr>
        <w:t>IV,</w:t>
      </w:r>
      <w:r>
        <w:rPr>
          <w:spacing w:val="-3"/>
          <w:sz w:val="18"/>
        </w:rPr>
        <w:t xml:space="preserve"> </w:t>
      </w:r>
      <w:r>
        <w:rPr>
          <w:sz w:val="18"/>
        </w:rPr>
        <w:t>Injury</w:t>
      </w:r>
      <w:r>
        <w:rPr>
          <w:spacing w:val="-3"/>
          <w:sz w:val="18"/>
        </w:rPr>
        <w:t xml:space="preserve"> </w:t>
      </w:r>
      <w:r>
        <w:rPr>
          <w:sz w:val="18"/>
        </w:rPr>
        <w:t>and</w:t>
      </w:r>
      <w:r>
        <w:rPr>
          <w:spacing w:val="-1"/>
          <w:sz w:val="18"/>
        </w:rPr>
        <w:t xml:space="preserve"> </w:t>
      </w:r>
      <w:r>
        <w:rPr>
          <w:sz w:val="18"/>
        </w:rPr>
        <w:t>Causation</w:t>
      </w:r>
      <w:r>
        <w:rPr>
          <w:spacing w:val="-6"/>
          <w:sz w:val="18"/>
        </w:rPr>
        <w:t xml:space="preserve"> </w:t>
      </w:r>
      <w:r>
        <w:rPr>
          <w:sz w:val="18"/>
        </w:rPr>
        <w:t>Tables</w:t>
      </w:r>
      <w:r>
        <w:rPr>
          <w:spacing w:val="-6"/>
          <w:sz w:val="18"/>
        </w:rPr>
        <w:t xml:space="preserve"> </w:t>
      </w:r>
      <w:r>
        <w:rPr>
          <w:sz w:val="18"/>
        </w:rPr>
        <w:t>(Exhibit</w:t>
      </w:r>
      <w:r>
        <w:rPr>
          <w:spacing w:val="-1"/>
          <w:sz w:val="18"/>
        </w:rPr>
        <w:t xml:space="preserve"> </w:t>
      </w:r>
      <w:r>
        <w:rPr>
          <w:sz w:val="18"/>
        </w:rPr>
        <w:t>AUS-65)</w:t>
      </w:r>
      <w:r>
        <w:rPr>
          <w:spacing w:val="-4"/>
          <w:sz w:val="18"/>
        </w:rPr>
        <w:t xml:space="preserve"> </w:t>
      </w:r>
      <w:r>
        <w:rPr>
          <w:sz w:val="18"/>
        </w:rPr>
        <w:t>(BCI),</w:t>
      </w:r>
      <w:r>
        <w:rPr>
          <w:spacing w:val="-3"/>
          <w:sz w:val="18"/>
        </w:rPr>
        <w:t xml:space="preserve"> </w:t>
      </w:r>
      <w:r>
        <w:rPr>
          <w:sz w:val="18"/>
        </w:rPr>
        <w:t>Table</w:t>
      </w:r>
      <w:r>
        <w:rPr>
          <w:spacing w:val="-6"/>
          <w:sz w:val="18"/>
        </w:rPr>
        <w:t xml:space="preserve"> </w:t>
      </w:r>
      <w:r>
        <w:rPr>
          <w:sz w:val="18"/>
        </w:rPr>
        <w:t>1,</w:t>
      </w:r>
      <w:r>
        <w:rPr>
          <w:spacing w:val="-3"/>
          <w:sz w:val="18"/>
        </w:rPr>
        <w:t xml:space="preserve"> </w:t>
      </w:r>
      <w:r>
        <w:rPr>
          <w:sz w:val="18"/>
        </w:rPr>
        <w:t xml:space="preserve">p. </w:t>
      </w:r>
      <w:r>
        <w:rPr>
          <w:spacing w:val="-5"/>
          <w:sz w:val="18"/>
        </w:rPr>
        <w:t>2.</w:t>
      </w:r>
    </w:p>
    <w:p w14:paraId="057D639C" w14:textId="77777777" w:rsidR="00BD462C" w:rsidRDefault="00033D0F">
      <w:pPr>
        <w:spacing w:before="1"/>
        <w:ind w:left="135"/>
        <w:rPr>
          <w:sz w:val="18"/>
        </w:rPr>
      </w:pPr>
      <w:bookmarkStart w:id="1044" w:name="_bookmark897"/>
      <w:bookmarkEnd w:id="1044"/>
      <w:r>
        <w:rPr>
          <w:position w:val="5"/>
          <w:sz w:val="12"/>
        </w:rPr>
        <w:t>760</w:t>
      </w:r>
      <w:r>
        <w:rPr>
          <w:spacing w:val="12"/>
          <w:position w:val="5"/>
          <w:sz w:val="12"/>
        </w:rPr>
        <w:t xml:space="preserve"> </w:t>
      </w:r>
      <w:r>
        <w:rPr>
          <w:sz w:val="18"/>
        </w:rPr>
        <w:t>Anti-Dumping</w:t>
      </w:r>
      <w:r>
        <w:rPr>
          <w:spacing w:val="-6"/>
          <w:sz w:val="18"/>
        </w:rPr>
        <w:t xml:space="preserve"> </w:t>
      </w:r>
      <w:r>
        <w:rPr>
          <w:sz w:val="18"/>
        </w:rPr>
        <w:t>Final</w:t>
      </w:r>
      <w:r>
        <w:rPr>
          <w:spacing w:val="-1"/>
          <w:sz w:val="18"/>
        </w:rPr>
        <w:t xml:space="preserve"> </w:t>
      </w:r>
      <w:r>
        <w:rPr>
          <w:sz w:val="18"/>
        </w:rPr>
        <w:t>Determination</w:t>
      </w:r>
      <w:r>
        <w:rPr>
          <w:spacing w:val="-7"/>
          <w:sz w:val="18"/>
        </w:rPr>
        <w:t xml:space="preserve"> </w:t>
      </w:r>
      <w:r>
        <w:rPr>
          <w:sz w:val="18"/>
        </w:rPr>
        <w:t>(Exhibit</w:t>
      </w:r>
      <w:r>
        <w:rPr>
          <w:spacing w:val="-2"/>
          <w:sz w:val="18"/>
        </w:rPr>
        <w:t xml:space="preserve"> </w:t>
      </w:r>
      <w:r>
        <w:rPr>
          <w:sz w:val="18"/>
        </w:rPr>
        <w:t>AUS-2),</w:t>
      </w:r>
      <w:r>
        <w:rPr>
          <w:spacing w:val="-4"/>
          <w:sz w:val="18"/>
        </w:rPr>
        <w:t xml:space="preserve"> </w:t>
      </w:r>
      <w:r>
        <w:rPr>
          <w:sz w:val="18"/>
        </w:rPr>
        <w:t>p.</w:t>
      </w:r>
      <w:r>
        <w:rPr>
          <w:spacing w:val="-5"/>
          <w:sz w:val="18"/>
        </w:rPr>
        <w:t xml:space="preserve"> </w:t>
      </w:r>
      <w:r>
        <w:rPr>
          <w:spacing w:val="-4"/>
          <w:sz w:val="18"/>
        </w:rPr>
        <w:t>148.</w:t>
      </w:r>
    </w:p>
    <w:p w14:paraId="36630C46" w14:textId="77777777" w:rsidR="00BD462C" w:rsidRDefault="00BD462C">
      <w:pPr>
        <w:rPr>
          <w:sz w:val="18"/>
        </w:rPr>
        <w:sectPr w:rsidR="00BD462C">
          <w:pgSz w:w="11910" w:h="16840"/>
          <w:pgMar w:top="860" w:right="500" w:bottom="780" w:left="1280" w:header="566" w:footer="590" w:gutter="0"/>
          <w:cols w:space="720"/>
        </w:sectPr>
      </w:pPr>
    </w:p>
    <w:p w14:paraId="10DAA08A"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2E4D9012"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709CD662"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4BD95141" w14:textId="77777777" w:rsidR="00BD462C" w:rsidRDefault="00033D0F">
      <w:pPr>
        <w:pStyle w:val="BodyText"/>
        <w:spacing w:before="102" w:line="357" w:lineRule="auto"/>
        <w:ind w:left="135" w:right="912"/>
      </w:pPr>
      <w:r>
        <w:t>RMB/</w:t>
      </w:r>
      <w:proofErr w:type="spellStart"/>
      <w:r>
        <w:t>kilolitre</w:t>
      </w:r>
      <w:proofErr w:type="spellEnd"/>
      <w:r>
        <w:rPr>
          <w:spacing w:val="-7"/>
        </w:rPr>
        <w:t xml:space="preserve"> </w:t>
      </w:r>
      <w:r>
        <w:t>over</w:t>
      </w:r>
      <w:r>
        <w:rPr>
          <w:spacing w:val="-10"/>
        </w:rPr>
        <w:t xml:space="preserve"> </w:t>
      </w:r>
      <w:r>
        <w:t>the</w:t>
      </w:r>
      <w:r>
        <w:rPr>
          <w:spacing w:val="-7"/>
        </w:rPr>
        <w:t xml:space="preserve"> </w:t>
      </w:r>
      <w:r>
        <w:t>course</w:t>
      </w:r>
      <w:r>
        <w:rPr>
          <w:spacing w:val="-7"/>
        </w:rPr>
        <w:t xml:space="preserve"> </w:t>
      </w:r>
      <w:r>
        <w:t>of</w:t>
      </w:r>
      <w:r>
        <w:rPr>
          <w:spacing w:val="-9"/>
        </w:rPr>
        <w:t xml:space="preserve"> </w:t>
      </w:r>
      <w:r>
        <w:t>the</w:t>
      </w:r>
      <w:r>
        <w:rPr>
          <w:spacing w:val="-2"/>
        </w:rPr>
        <w:t xml:space="preserve"> </w:t>
      </w:r>
      <w:r>
        <w:t>Injury</w:t>
      </w:r>
      <w:r>
        <w:rPr>
          <w:spacing w:val="-6"/>
        </w:rPr>
        <w:t xml:space="preserve"> </w:t>
      </w:r>
      <w:r>
        <w:t>POI,</w:t>
      </w:r>
      <w:r>
        <w:rPr>
          <w:spacing w:val="-5"/>
        </w:rPr>
        <w:t xml:space="preserve"> </w:t>
      </w:r>
      <w:r>
        <w:t>which</w:t>
      </w:r>
      <w:r>
        <w:rPr>
          <w:spacing w:val="-9"/>
        </w:rPr>
        <w:t xml:space="preserve"> </w:t>
      </w:r>
      <w:r>
        <w:t>was</w:t>
      </w:r>
      <w:r>
        <w:rPr>
          <w:spacing w:val="-6"/>
        </w:rPr>
        <w:t xml:space="preserve"> </w:t>
      </w:r>
      <w:r>
        <w:t>only</w:t>
      </w:r>
      <w:r>
        <w:rPr>
          <w:spacing w:val="-6"/>
        </w:rPr>
        <w:t xml:space="preserve"> </w:t>
      </w:r>
      <w:r>
        <w:t>2%</w:t>
      </w:r>
      <w:r>
        <w:rPr>
          <w:spacing w:val="-7"/>
        </w:rPr>
        <w:t xml:space="preserve"> </w:t>
      </w:r>
      <w:r>
        <w:t>of</w:t>
      </w:r>
      <w:r>
        <w:rPr>
          <w:spacing w:val="-9"/>
        </w:rPr>
        <w:t xml:space="preserve"> </w:t>
      </w:r>
      <w:r>
        <w:t>the</w:t>
      </w:r>
      <w:r>
        <w:rPr>
          <w:spacing w:val="-7"/>
        </w:rPr>
        <w:t xml:space="preserve"> </w:t>
      </w:r>
      <w:r>
        <w:t>average</w:t>
      </w:r>
      <w:r>
        <w:rPr>
          <w:spacing w:val="-7"/>
        </w:rPr>
        <w:t xml:space="preserve"> </w:t>
      </w:r>
      <w:r>
        <w:t>unit</w:t>
      </w:r>
      <w:r>
        <w:rPr>
          <w:spacing w:val="-7"/>
        </w:rPr>
        <w:t xml:space="preserve"> </w:t>
      </w:r>
      <w:r>
        <w:t>price</w:t>
      </w:r>
      <w:r>
        <w:rPr>
          <w:spacing w:val="-7"/>
        </w:rPr>
        <w:t xml:space="preserve"> </w:t>
      </w:r>
      <w:r>
        <w:t>in the 2015 "base year".</w:t>
      </w:r>
      <w:hyperlink w:anchor="_bookmark898" w:history="1">
        <w:r>
          <w:rPr>
            <w:vertAlign w:val="superscript"/>
          </w:rPr>
          <w:t>761</w:t>
        </w:r>
      </w:hyperlink>
    </w:p>
    <w:p w14:paraId="6B0F1AEE" w14:textId="77777777" w:rsidR="00BD462C" w:rsidRDefault="00BD462C">
      <w:pPr>
        <w:pStyle w:val="BodyText"/>
        <w:spacing w:before="3"/>
        <w:rPr>
          <w:sz w:val="9"/>
        </w:rPr>
      </w:pPr>
    </w:p>
    <w:p w14:paraId="3D890104" w14:textId="623C7515" w:rsidR="00BD462C" w:rsidRDefault="00387F6E">
      <w:pPr>
        <w:pStyle w:val="BodyText"/>
        <w:spacing w:before="56" w:line="360" w:lineRule="auto"/>
        <w:ind w:left="135" w:right="911"/>
        <w:jc w:val="both"/>
      </w:pPr>
      <w:r>
        <w:rPr>
          <w:noProof/>
        </w:rPr>
        <w:t>520.</w:t>
      </w:r>
      <w:r w:rsidR="00033D0F">
        <w:rPr>
          <w:rFonts w:ascii="Times New Roman"/>
          <w:spacing w:val="80"/>
          <w:w w:val="150"/>
          <w:position w:val="1"/>
          <w:sz w:val="20"/>
        </w:rPr>
        <w:t xml:space="preserve">  </w:t>
      </w:r>
      <w:r w:rsidR="00033D0F">
        <w:rPr>
          <w:position w:val="1"/>
        </w:rPr>
        <w:t>These</w:t>
      </w:r>
      <w:r w:rsidR="00033D0F">
        <w:rPr>
          <w:spacing w:val="-7"/>
          <w:position w:val="1"/>
        </w:rPr>
        <w:t xml:space="preserve"> </w:t>
      </w:r>
      <w:r w:rsidR="00033D0F">
        <w:rPr>
          <w:position w:val="1"/>
        </w:rPr>
        <w:t>considerations</w:t>
      </w:r>
      <w:r w:rsidR="00033D0F">
        <w:rPr>
          <w:spacing w:val="-6"/>
          <w:position w:val="1"/>
        </w:rPr>
        <w:t xml:space="preserve"> </w:t>
      </w:r>
      <w:r w:rsidR="00033D0F">
        <w:rPr>
          <w:position w:val="1"/>
        </w:rPr>
        <w:t>were</w:t>
      </w:r>
      <w:r w:rsidR="00033D0F">
        <w:rPr>
          <w:spacing w:val="-7"/>
          <w:position w:val="1"/>
        </w:rPr>
        <w:t xml:space="preserve"> </w:t>
      </w:r>
      <w:r w:rsidR="00033D0F">
        <w:rPr>
          <w:position w:val="1"/>
        </w:rPr>
        <w:t>highly</w:t>
      </w:r>
      <w:r w:rsidR="00033D0F">
        <w:rPr>
          <w:spacing w:val="-6"/>
          <w:position w:val="1"/>
        </w:rPr>
        <w:t xml:space="preserve"> </w:t>
      </w:r>
      <w:r w:rsidR="00033D0F">
        <w:rPr>
          <w:position w:val="1"/>
        </w:rPr>
        <w:t>pertinent</w:t>
      </w:r>
      <w:r w:rsidR="00033D0F">
        <w:rPr>
          <w:spacing w:val="-7"/>
          <w:position w:val="1"/>
        </w:rPr>
        <w:t xml:space="preserve"> </w:t>
      </w:r>
      <w:r w:rsidR="00033D0F">
        <w:rPr>
          <w:position w:val="1"/>
        </w:rPr>
        <w:t>to</w:t>
      </w:r>
      <w:r w:rsidR="00033D0F">
        <w:rPr>
          <w:spacing w:val="-10"/>
          <w:position w:val="1"/>
        </w:rPr>
        <w:t xml:space="preserve"> </w:t>
      </w:r>
      <w:r w:rsidR="00033D0F">
        <w:rPr>
          <w:position w:val="1"/>
        </w:rPr>
        <w:t>MOFCOM's</w:t>
      </w:r>
      <w:r w:rsidR="00033D0F">
        <w:rPr>
          <w:spacing w:val="-6"/>
          <w:position w:val="1"/>
        </w:rPr>
        <w:t xml:space="preserve"> </w:t>
      </w:r>
      <w:r w:rsidR="00033D0F">
        <w:rPr>
          <w:position w:val="1"/>
        </w:rPr>
        <w:t>examination</w:t>
      </w:r>
      <w:r w:rsidR="00033D0F">
        <w:rPr>
          <w:spacing w:val="-9"/>
          <w:position w:val="1"/>
        </w:rPr>
        <w:t xml:space="preserve"> </w:t>
      </w:r>
      <w:r w:rsidR="00033D0F">
        <w:rPr>
          <w:position w:val="1"/>
        </w:rPr>
        <w:t>of</w:t>
      </w:r>
      <w:r w:rsidR="00033D0F">
        <w:rPr>
          <w:spacing w:val="-9"/>
          <w:position w:val="1"/>
        </w:rPr>
        <w:t xml:space="preserve"> </w:t>
      </w:r>
      <w:r w:rsidR="00033D0F">
        <w:rPr>
          <w:position w:val="1"/>
        </w:rPr>
        <w:t>the</w:t>
      </w:r>
      <w:r w:rsidR="00033D0F">
        <w:rPr>
          <w:spacing w:val="-7"/>
          <w:position w:val="1"/>
        </w:rPr>
        <w:t xml:space="preserve"> </w:t>
      </w:r>
      <w:r w:rsidR="00033D0F">
        <w:rPr>
          <w:position w:val="1"/>
        </w:rPr>
        <w:t xml:space="preserve">impact </w:t>
      </w:r>
      <w:r w:rsidR="00033D0F">
        <w:t>of the subject imports on the domestic industry and the materiality thereof, including with respect</w:t>
      </w:r>
      <w:r w:rsidR="00033D0F">
        <w:rPr>
          <w:spacing w:val="-2"/>
        </w:rPr>
        <w:t xml:space="preserve"> </w:t>
      </w:r>
      <w:r w:rsidR="00033D0F">
        <w:t>to</w:t>
      </w:r>
      <w:r w:rsidR="00033D0F">
        <w:rPr>
          <w:spacing w:val="-5"/>
        </w:rPr>
        <w:t xml:space="preserve"> </w:t>
      </w:r>
      <w:r w:rsidR="00033D0F">
        <w:t>the</w:t>
      </w:r>
      <w:r w:rsidR="00033D0F">
        <w:rPr>
          <w:spacing w:val="-2"/>
        </w:rPr>
        <w:t xml:space="preserve"> </w:t>
      </w:r>
      <w:r w:rsidR="00033D0F">
        <w:t>evaluation</w:t>
      </w:r>
      <w:r w:rsidR="00033D0F">
        <w:rPr>
          <w:spacing w:val="-4"/>
        </w:rPr>
        <w:t xml:space="preserve"> </w:t>
      </w:r>
      <w:r w:rsidR="00033D0F">
        <w:t>of</w:t>
      </w:r>
      <w:r w:rsidR="00033D0F">
        <w:rPr>
          <w:spacing w:val="-4"/>
        </w:rPr>
        <w:t xml:space="preserve"> </w:t>
      </w:r>
      <w:r w:rsidR="00033D0F">
        <w:t>all relevant</w:t>
      </w:r>
      <w:r w:rsidR="00033D0F">
        <w:rPr>
          <w:spacing w:val="-2"/>
        </w:rPr>
        <w:t xml:space="preserve"> </w:t>
      </w:r>
      <w:r w:rsidR="00033D0F">
        <w:t>economic</w:t>
      </w:r>
      <w:r w:rsidR="00033D0F">
        <w:rPr>
          <w:spacing w:val="-4"/>
        </w:rPr>
        <w:t xml:space="preserve"> </w:t>
      </w:r>
      <w:r w:rsidR="00033D0F">
        <w:t>factors</w:t>
      </w:r>
      <w:r w:rsidR="00033D0F">
        <w:rPr>
          <w:spacing w:val="-1"/>
        </w:rPr>
        <w:t xml:space="preserve"> </w:t>
      </w:r>
      <w:r w:rsidR="00033D0F">
        <w:t>and</w:t>
      </w:r>
      <w:r w:rsidR="00033D0F">
        <w:rPr>
          <w:spacing w:val="-4"/>
        </w:rPr>
        <w:t xml:space="preserve"> </w:t>
      </w:r>
      <w:r w:rsidR="00033D0F">
        <w:t>indices</w:t>
      </w:r>
      <w:r w:rsidR="00033D0F">
        <w:rPr>
          <w:spacing w:val="-1"/>
        </w:rPr>
        <w:t xml:space="preserve"> </w:t>
      </w:r>
      <w:r w:rsidR="00033D0F">
        <w:t>having</w:t>
      </w:r>
      <w:r w:rsidR="00033D0F">
        <w:rPr>
          <w:spacing w:val="-1"/>
        </w:rPr>
        <w:t xml:space="preserve"> </w:t>
      </w:r>
      <w:r w:rsidR="00033D0F">
        <w:t>a</w:t>
      </w:r>
      <w:r w:rsidR="00033D0F">
        <w:rPr>
          <w:spacing w:val="-3"/>
        </w:rPr>
        <w:t xml:space="preserve"> </w:t>
      </w:r>
      <w:r w:rsidR="00033D0F">
        <w:t>bearing</w:t>
      </w:r>
      <w:r w:rsidR="00033D0F">
        <w:rPr>
          <w:spacing w:val="-1"/>
        </w:rPr>
        <w:t xml:space="preserve"> </w:t>
      </w:r>
      <w:r w:rsidR="00033D0F">
        <w:t>on</w:t>
      </w:r>
      <w:r w:rsidR="00033D0F">
        <w:rPr>
          <w:spacing w:val="-4"/>
        </w:rPr>
        <w:t xml:space="preserve"> </w:t>
      </w:r>
      <w:r w:rsidR="00033D0F">
        <w:t>the state of the domestic industry. However, MOFCOM's evaluation did not engage with these considerations</w:t>
      </w:r>
      <w:r w:rsidR="00033D0F">
        <w:rPr>
          <w:spacing w:val="-7"/>
        </w:rPr>
        <w:t xml:space="preserve"> </w:t>
      </w:r>
      <w:r w:rsidR="00033D0F">
        <w:t>at</w:t>
      </w:r>
      <w:r w:rsidR="00033D0F">
        <w:rPr>
          <w:spacing w:val="-8"/>
        </w:rPr>
        <w:t xml:space="preserve"> </w:t>
      </w:r>
      <w:r w:rsidR="00033D0F">
        <w:t>all.</w:t>
      </w:r>
      <w:r w:rsidR="00033D0F">
        <w:rPr>
          <w:spacing w:val="-7"/>
        </w:rPr>
        <w:t xml:space="preserve"> </w:t>
      </w:r>
      <w:r w:rsidR="00033D0F">
        <w:t>Rather,</w:t>
      </w:r>
      <w:r w:rsidR="00033D0F">
        <w:rPr>
          <w:spacing w:val="-11"/>
        </w:rPr>
        <w:t xml:space="preserve"> </w:t>
      </w:r>
      <w:r w:rsidR="00033D0F">
        <w:t>MOFCOM</w:t>
      </w:r>
      <w:r w:rsidR="00033D0F">
        <w:rPr>
          <w:spacing w:val="-8"/>
        </w:rPr>
        <w:t xml:space="preserve"> </w:t>
      </w:r>
      <w:r w:rsidR="00033D0F">
        <w:t>mechanically</w:t>
      </w:r>
      <w:r w:rsidR="00033D0F">
        <w:rPr>
          <w:spacing w:val="-7"/>
        </w:rPr>
        <w:t xml:space="preserve"> </w:t>
      </w:r>
      <w:r w:rsidR="00033D0F">
        <w:t>recited</w:t>
      </w:r>
      <w:r w:rsidR="00033D0F">
        <w:rPr>
          <w:spacing w:val="-10"/>
        </w:rPr>
        <w:t xml:space="preserve"> </w:t>
      </w:r>
      <w:r w:rsidR="00033D0F">
        <w:t>the</w:t>
      </w:r>
      <w:r w:rsidR="00033D0F">
        <w:rPr>
          <w:spacing w:val="-8"/>
        </w:rPr>
        <w:t xml:space="preserve"> </w:t>
      </w:r>
      <w:r w:rsidR="00033D0F">
        <w:t>trends</w:t>
      </w:r>
      <w:r w:rsidR="00033D0F">
        <w:rPr>
          <w:spacing w:val="-7"/>
        </w:rPr>
        <w:t xml:space="preserve"> </w:t>
      </w:r>
      <w:r w:rsidR="00033D0F">
        <w:t>that</w:t>
      </w:r>
      <w:r w:rsidR="00033D0F">
        <w:rPr>
          <w:spacing w:val="-12"/>
        </w:rPr>
        <w:t xml:space="preserve"> </w:t>
      </w:r>
      <w:r w:rsidR="00033D0F">
        <w:t>it</w:t>
      </w:r>
      <w:r w:rsidR="00033D0F">
        <w:rPr>
          <w:spacing w:val="-8"/>
        </w:rPr>
        <w:t xml:space="preserve"> </w:t>
      </w:r>
      <w:r w:rsidR="00033D0F">
        <w:t>observed</w:t>
      </w:r>
      <w:r w:rsidR="00033D0F">
        <w:rPr>
          <w:spacing w:val="-14"/>
        </w:rPr>
        <w:t xml:space="preserve"> </w:t>
      </w:r>
      <w:r w:rsidR="00033D0F">
        <w:t>in</w:t>
      </w:r>
      <w:r w:rsidR="00033D0F">
        <w:rPr>
          <w:spacing w:val="-10"/>
        </w:rPr>
        <w:t xml:space="preserve"> </w:t>
      </w:r>
      <w:r w:rsidR="00033D0F">
        <w:t>the data</w:t>
      </w:r>
      <w:r w:rsidR="00033D0F">
        <w:rPr>
          <w:spacing w:val="-2"/>
        </w:rPr>
        <w:t xml:space="preserve"> </w:t>
      </w:r>
      <w:r w:rsidR="00033D0F">
        <w:t>pertaining to</w:t>
      </w:r>
      <w:r w:rsidR="00033D0F">
        <w:rPr>
          <w:spacing w:val="-4"/>
        </w:rPr>
        <w:t xml:space="preserve"> </w:t>
      </w:r>
      <w:r w:rsidR="00033D0F">
        <w:t>the relevant</w:t>
      </w:r>
      <w:r w:rsidR="00033D0F">
        <w:rPr>
          <w:spacing w:val="-1"/>
        </w:rPr>
        <w:t xml:space="preserve"> </w:t>
      </w:r>
      <w:r w:rsidR="00033D0F">
        <w:t>economic factors and</w:t>
      </w:r>
      <w:r w:rsidR="00033D0F">
        <w:rPr>
          <w:spacing w:val="-3"/>
        </w:rPr>
        <w:t xml:space="preserve"> </w:t>
      </w:r>
      <w:r w:rsidR="00033D0F">
        <w:t>indices,</w:t>
      </w:r>
      <w:hyperlink w:anchor="_bookmark899" w:history="1">
        <w:r w:rsidR="00033D0F">
          <w:rPr>
            <w:vertAlign w:val="superscript"/>
          </w:rPr>
          <w:t>762</w:t>
        </w:r>
      </w:hyperlink>
      <w:r w:rsidR="00033D0F">
        <w:rPr>
          <w:spacing w:val="-1"/>
        </w:rPr>
        <w:t xml:space="preserve"> </w:t>
      </w:r>
      <w:r w:rsidR="00033D0F">
        <w:t>to</w:t>
      </w:r>
      <w:r w:rsidR="00033D0F">
        <w:rPr>
          <w:spacing w:val="-4"/>
        </w:rPr>
        <w:t xml:space="preserve"> </w:t>
      </w:r>
      <w:r w:rsidR="00033D0F">
        <w:t>which it</w:t>
      </w:r>
      <w:r w:rsidR="00033D0F">
        <w:rPr>
          <w:spacing w:val="-1"/>
        </w:rPr>
        <w:t xml:space="preserve"> </w:t>
      </w:r>
      <w:r w:rsidR="00033D0F">
        <w:t>added its findings regarding</w:t>
      </w:r>
      <w:r w:rsidR="00033D0F">
        <w:rPr>
          <w:spacing w:val="-9"/>
        </w:rPr>
        <w:t xml:space="preserve"> </w:t>
      </w:r>
      <w:r w:rsidR="00033D0F">
        <w:t>"the</w:t>
      </w:r>
      <w:r w:rsidR="00033D0F">
        <w:rPr>
          <w:spacing w:val="-11"/>
        </w:rPr>
        <w:t xml:space="preserve"> </w:t>
      </w:r>
      <w:r w:rsidR="00033D0F">
        <w:t>continuous</w:t>
      </w:r>
      <w:r w:rsidR="00033D0F">
        <w:rPr>
          <w:spacing w:val="-5"/>
        </w:rPr>
        <w:t xml:space="preserve"> </w:t>
      </w:r>
      <w:r w:rsidR="00033D0F">
        <w:t>significant</w:t>
      </w:r>
      <w:r w:rsidR="00033D0F">
        <w:rPr>
          <w:spacing w:val="-10"/>
        </w:rPr>
        <w:t xml:space="preserve"> </w:t>
      </w:r>
      <w:r w:rsidR="00033D0F">
        <w:t>increase</w:t>
      </w:r>
      <w:r w:rsidR="00033D0F">
        <w:rPr>
          <w:spacing w:val="-11"/>
        </w:rPr>
        <w:t xml:space="preserve"> </w:t>
      </w:r>
      <w:r w:rsidR="00033D0F">
        <w:t>in</w:t>
      </w:r>
      <w:r w:rsidR="00033D0F">
        <w:rPr>
          <w:spacing w:val="-13"/>
        </w:rPr>
        <w:t xml:space="preserve"> </w:t>
      </w:r>
      <w:r w:rsidR="00033D0F">
        <w:t>the</w:t>
      </w:r>
      <w:r w:rsidR="00033D0F">
        <w:rPr>
          <w:spacing w:val="-11"/>
        </w:rPr>
        <w:t xml:space="preserve"> </w:t>
      </w:r>
      <w:r w:rsidR="00033D0F">
        <w:t>absolute</w:t>
      </w:r>
      <w:r w:rsidR="00033D0F">
        <w:rPr>
          <w:spacing w:val="-11"/>
        </w:rPr>
        <w:t xml:space="preserve"> </w:t>
      </w:r>
      <w:r w:rsidR="00033D0F">
        <w:t>volume</w:t>
      </w:r>
      <w:r w:rsidR="00033D0F">
        <w:rPr>
          <w:spacing w:val="-11"/>
        </w:rPr>
        <w:t xml:space="preserve"> </w:t>
      </w:r>
      <w:r w:rsidR="00033D0F">
        <w:t>and</w:t>
      </w:r>
      <w:r w:rsidR="00033D0F">
        <w:rPr>
          <w:spacing w:val="-8"/>
        </w:rPr>
        <w:t xml:space="preserve"> </w:t>
      </w:r>
      <w:r w:rsidR="00033D0F">
        <w:t>market</w:t>
      </w:r>
      <w:r w:rsidR="00033D0F">
        <w:rPr>
          <w:spacing w:val="-10"/>
        </w:rPr>
        <w:t xml:space="preserve"> </w:t>
      </w:r>
      <w:r w:rsidR="00033D0F">
        <w:t>share</w:t>
      </w:r>
      <w:r w:rsidR="00033D0F">
        <w:rPr>
          <w:spacing w:val="-6"/>
        </w:rPr>
        <w:t xml:space="preserve"> </w:t>
      </w:r>
      <w:r w:rsidR="00033D0F">
        <w:t>of</w:t>
      </w:r>
      <w:r w:rsidR="00033D0F">
        <w:rPr>
          <w:spacing w:val="-13"/>
        </w:rPr>
        <w:t xml:space="preserve"> </w:t>
      </w:r>
      <w:r w:rsidR="00033D0F">
        <w:t xml:space="preserve">the dumped imports, and the cumulative decline in the price of the dumped imports by </w:t>
      </w:r>
      <w:r w:rsidR="00033D0F">
        <w:rPr>
          <w:spacing w:val="-2"/>
        </w:rPr>
        <w:t>15.91%".</w:t>
      </w:r>
      <w:hyperlink w:anchor="_bookmark900" w:history="1">
        <w:r w:rsidR="00033D0F">
          <w:rPr>
            <w:spacing w:val="-2"/>
            <w:vertAlign w:val="superscript"/>
          </w:rPr>
          <w:t>763</w:t>
        </w:r>
      </w:hyperlink>
    </w:p>
    <w:p w14:paraId="4BF8C74D" w14:textId="77777777" w:rsidR="00BD462C" w:rsidRDefault="00BD462C">
      <w:pPr>
        <w:pStyle w:val="BodyText"/>
        <w:spacing w:before="4"/>
        <w:rPr>
          <w:sz w:val="8"/>
        </w:rPr>
      </w:pPr>
    </w:p>
    <w:p w14:paraId="2202AE70" w14:textId="3CEA51B3" w:rsidR="00BD462C" w:rsidRDefault="00387F6E">
      <w:pPr>
        <w:pStyle w:val="BodyText"/>
        <w:spacing w:before="57" w:line="360" w:lineRule="auto"/>
        <w:ind w:left="135" w:right="914"/>
        <w:jc w:val="both"/>
      </w:pPr>
      <w:r>
        <w:rPr>
          <w:noProof/>
        </w:rPr>
        <w:t>521.</w:t>
      </w:r>
      <w:r w:rsidR="00033D0F">
        <w:rPr>
          <w:rFonts w:ascii="Times New Roman" w:hAnsi="Times New Roman"/>
          <w:spacing w:val="40"/>
          <w:position w:val="1"/>
          <w:sz w:val="20"/>
        </w:rPr>
        <w:t xml:space="preserve">  </w:t>
      </w:r>
      <w:r w:rsidR="00033D0F">
        <w:rPr>
          <w:position w:val="1"/>
        </w:rPr>
        <w:t xml:space="preserve">On this basis, MOFCOM simply stated the following conclusions: "[t]he evidence </w:t>
      </w:r>
      <w:r w:rsidR="00033D0F">
        <w:t>showed</w:t>
      </w:r>
      <w:r w:rsidR="00033D0F">
        <w:rPr>
          <w:spacing w:val="-5"/>
        </w:rPr>
        <w:t xml:space="preserve"> </w:t>
      </w:r>
      <w:r w:rsidR="00033D0F">
        <w:t>that</w:t>
      </w:r>
      <w:r w:rsidR="00033D0F">
        <w:rPr>
          <w:spacing w:val="-3"/>
        </w:rPr>
        <w:t xml:space="preserve"> </w:t>
      </w:r>
      <w:r w:rsidR="00033D0F">
        <w:t>from</w:t>
      </w:r>
      <w:r w:rsidR="00033D0F">
        <w:rPr>
          <w:spacing w:val="-4"/>
        </w:rPr>
        <w:t xml:space="preserve"> </w:t>
      </w:r>
      <w:r w:rsidR="00033D0F">
        <w:t>2015</w:t>
      </w:r>
      <w:r w:rsidR="00033D0F">
        <w:rPr>
          <w:spacing w:val="-6"/>
        </w:rPr>
        <w:t xml:space="preserve"> </w:t>
      </w:r>
      <w:r w:rsidR="00033D0F">
        <w:t>to</w:t>
      </w:r>
      <w:r w:rsidR="00033D0F">
        <w:rPr>
          <w:spacing w:val="-6"/>
        </w:rPr>
        <w:t xml:space="preserve"> </w:t>
      </w:r>
      <w:r w:rsidR="00033D0F">
        <w:t>2019,</w:t>
      </w:r>
      <w:r w:rsidR="00033D0F">
        <w:rPr>
          <w:spacing w:val="-1"/>
        </w:rPr>
        <w:t xml:space="preserve"> </w:t>
      </w:r>
      <w:r w:rsidR="00033D0F">
        <w:t>the</w:t>
      </w:r>
      <w:r w:rsidR="00033D0F">
        <w:rPr>
          <w:spacing w:val="-4"/>
        </w:rPr>
        <w:t xml:space="preserve"> </w:t>
      </w:r>
      <w:r w:rsidR="00033D0F">
        <w:t>number</w:t>
      </w:r>
      <w:r w:rsidR="00033D0F">
        <w:rPr>
          <w:spacing w:val="-6"/>
        </w:rPr>
        <w:t xml:space="preserve"> </w:t>
      </w:r>
      <w:r w:rsidR="00033D0F">
        <w:t>of</w:t>
      </w:r>
      <w:r w:rsidR="00033D0F">
        <w:rPr>
          <w:spacing w:val="-5"/>
        </w:rPr>
        <w:t xml:space="preserve"> </w:t>
      </w:r>
      <w:r w:rsidR="00033D0F">
        <w:t>the</w:t>
      </w:r>
      <w:r w:rsidR="00033D0F">
        <w:rPr>
          <w:spacing w:val="-3"/>
        </w:rPr>
        <w:t xml:space="preserve"> </w:t>
      </w:r>
      <w:r w:rsidR="00033D0F">
        <w:t>dumped</w:t>
      </w:r>
      <w:r w:rsidR="00033D0F">
        <w:rPr>
          <w:spacing w:val="-5"/>
        </w:rPr>
        <w:t xml:space="preserve"> </w:t>
      </w:r>
      <w:r w:rsidR="00033D0F">
        <w:t>imported</w:t>
      </w:r>
      <w:r w:rsidR="00033D0F">
        <w:rPr>
          <w:spacing w:val="-5"/>
        </w:rPr>
        <w:t xml:space="preserve"> </w:t>
      </w:r>
      <w:r w:rsidR="00033D0F">
        <w:t>product</w:t>
      </w:r>
      <w:r w:rsidR="00033D0F">
        <w:rPr>
          <w:spacing w:val="-3"/>
        </w:rPr>
        <w:t xml:space="preserve"> </w:t>
      </w:r>
      <w:r w:rsidR="00033D0F">
        <w:t>from</w:t>
      </w:r>
      <w:r w:rsidR="00033D0F">
        <w:rPr>
          <w:spacing w:val="-4"/>
        </w:rPr>
        <w:t xml:space="preserve"> </w:t>
      </w:r>
      <w:r w:rsidR="00033D0F">
        <w:t>Australia continued</w:t>
      </w:r>
      <w:r w:rsidR="00033D0F">
        <w:rPr>
          <w:spacing w:val="-11"/>
        </w:rPr>
        <w:t xml:space="preserve"> </w:t>
      </w:r>
      <w:r w:rsidR="00033D0F">
        <w:t>to</w:t>
      </w:r>
      <w:r w:rsidR="00033D0F">
        <w:rPr>
          <w:spacing w:val="-11"/>
        </w:rPr>
        <w:t xml:space="preserve"> </w:t>
      </w:r>
      <w:r w:rsidR="00033D0F">
        <w:t>increase</w:t>
      </w:r>
      <w:r w:rsidR="00033D0F">
        <w:rPr>
          <w:spacing w:val="-9"/>
        </w:rPr>
        <w:t xml:space="preserve"> </w:t>
      </w:r>
      <w:r w:rsidR="00033D0F">
        <w:t>significantly,</w:t>
      </w:r>
      <w:r w:rsidR="00033D0F">
        <w:rPr>
          <w:spacing w:val="-7"/>
        </w:rPr>
        <w:t xml:space="preserve"> </w:t>
      </w:r>
      <w:r w:rsidR="00033D0F">
        <w:t>the</w:t>
      </w:r>
      <w:r w:rsidR="00033D0F">
        <w:rPr>
          <w:spacing w:val="-9"/>
        </w:rPr>
        <w:t xml:space="preserve"> </w:t>
      </w:r>
      <w:r w:rsidR="00033D0F">
        <w:t>price</w:t>
      </w:r>
      <w:r w:rsidR="00033D0F">
        <w:rPr>
          <w:spacing w:val="-9"/>
        </w:rPr>
        <w:t xml:space="preserve"> </w:t>
      </w:r>
      <w:r w:rsidR="00033D0F">
        <w:t>of</w:t>
      </w:r>
      <w:r w:rsidR="00033D0F">
        <w:rPr>
          <w:spacing w:val="-11"/>
        </w:rPr>
        <w:t xml:space="preserve"> </w:t>
      </w:r>
      <w:r w:rsidR="00033D0F">
        <w:t>the</w:t>
      </w:r>
      <w:r w:rsidR="00033D0F">
        <w:rPr>
          <w:spacing w:val="-9"/>
        </w:rPr>
        <w:t xml:space="preserve"> </w:t>
      </w:r>
      <w:r w:rsidR="00033D0F">
        <w:t>dumped</w:t>
      </w:r>
      <w:r w:rsidR="00033D0F">
        <w:rPr>
          <w:spacing w:val="-11"/>
        </w:rPr>
        <w:t xml:space="preserve"> </w:t>
      </w:r>
      <w:r w:rsidR="00033D0F">
        <w:t>imported</w:t>
      </w:r>
      <w:r w:rsidR="00033D0F">
        <w:rPr>
          <w:spacing w:val="-6"/>
        </w:rPr>
        <w:t xml:space="preserve"> </w:t>
      </w:r>
      <w:r w:rsidR="00033D0F">
        <w:t>product</w:t>
      </w:r>
      <w:r w:rsidR="00033D0F">
        <w:rPr>
          <w:spacing w:val="-9"/>
        </w:rPr>
        <w:t xml:space="preserve"> </w:t>
      </w:r>
      <w:r w:rsidR="00033D0F">
        <w:t>suppressed</w:t>
      </w:r>
      <w:r w:rsidR="00033D0F">
        <w:rPr>
          <w:spacing w:val="-11"/>
        </w:rPr>
        <w:t xml:space="preserve"> </w:t>
      </w:r>
      <w:r w:rsidR="00033D0F">
        <w:t>the prices of domestic like products, and</w:t>
      </w:r>
      <w:r w:rsidR="00033D0F">
        <w:rPr>
          <w:spacing w:val="-1"/>
        </w:rPr>
        <w:t xml:space="preserve"> </w:t>
      </w:r>
      <w:r w:rsidR="00033D0F">
        <w:t>the production</w:t>
      </w:r>
      <w:r w:rsidR="00033D0F">
        <w:rPr>
          <w:spacing w:val="-1"/>
        </w:rPr>
        <w:t xml:space="preserve"> </w:t>
      </w:r>
      <w:r w:rsidR="00033D0F">
        <w:t>and</w:t>
      </w:r>
      <w:r w:rsidR="00033D0F">
        <w:rPr>
          <w:spacing w:val="-1"/>
        </w:rPr>
        <w:t xml:space="preserve"> </w:t>
      </w:r>
      <w:r w:rsidR="00033D0F">
        <w:t>operation</w:t>
      </w:r>
      <w:r w:rsidR="00033D0F">
        <w:rPr>
          <w:spacing w:val="-1"/>
        </w:rPr>
        <w:t xml:space="preserve"> </w:t>
      </w:r>
      <w:r w:rsidR="00033D0F">
        <w:t>of domestic like</w:t>
      </w:r>
      <w:r w:rsidR="00033D0F">
        <w:rPr>
          <w:spacing w:val="-3"/>
        </w:rPr>
        <w:t xml:space="preserve"> </w:t>
      </w:r>
      <w:r w:rsidR="00033D0F">
        <w:t>products deteriorated" and "[t]he domestic relevant wine industry has suffered material injury".</w:t>
      </w:r>
      <w:hyperlink w:anchor="_bookmark901" w:history="1">
        <w:r w:rsidR="00033D0F">
          <w:rPr>
            <w:vertAlign w:val="superscript"/>
          </w:rPr>
          <w:t>764</w:t>
        </w:r>
      </w:hyperlink>
      <w:r w:rsidR="00033D0F">
        <w:t xml:space="preserve"> There was no examination as to how the subject imports had explanatory force for the state of</w:t>
      </w:r>
      <w:r w:rsidR="00033D0F">
        <w:rPr>
          <w:spacing w:val="-9"/>
        </w:rPr>
        <w:t xml:space="preserve"> </w:t>
      </w:r>
      <w:r w:rsidR="00033D0F">
        <w:t>the</w:t>
      </w:r>
      <w:r w:rsidR="00033D0F">
        <w:rPr>
          <w:spacing w:val="-8"/>
        </w:rPr>
        <w:t xml:space="preserve"> </w:t>
      </w:r>
      <w:r w:rsidR="00033D0F">
        <w:t>domestic</w:t>
      </w:r>
      <w:r w:rsidR="00033D0F">
        <w:rPr>
          <w:spacing w:val="-8"/>
        </w:rPr>
        <w:t xml:space="preserve"> </w:t>
      </w:r>
      <w:r w:rsidR="00033D0F">
        <w:t>industry</w:t>
      </w:r>
      <w:r w:rsidR="00033D0F">
        <w:rPr>
          <w:spacing w:val="-7"/>
        </w:rPr>
        <w:t xml:space="preserve"> </w:t>
      </w:r>
      <w:r w:rsidR="00033D0F">
        <w:t>—</w:t>
      </w:r>
      <w:r w:rsidR="00033D0F">
        <w:rPr>
          <w:spacing w:val="-9"/>
        </w:rPr>
        <w:t xml:space="preserve"> </w:t>
      </w:r>
      <w:r w:rsidR="00033D0F">
        <w:t>that</w:t>
      </w:r>
      <w:r w:rsidR="00033D0F">
        <w:rPr>
          <w:spacing w:val="-8"/>
        </w:rPr>
        <w:t xml:space="preserve"> </w:t>
      </w:r>
      <w:r w:rsidR="00033D0F">
        <w:t>is,</w:t>
      </w:r>
      <w:r w:rsidR="00033D0F">
        <w:rPr>
          <w:spacing w:val="-6"/>
        </w:rPr>
        <w:t xml:space="preserve"> </w:t>
      </w:r>
      <w:r w:rsidR="00033D0F">
        <w:t>"the</w:t>
      </w:r>
      <w:r w:rsidR="00033D0F">
        <w:rPr>
          <w:spacing w:val="-8"/>
        </w:rPr>
        <w:t xml:space="preserve"> </w:t>
      </w:r>
      <w:r w:rsidR="00033D0F">
        <w:t>relationship</w:t>
      </w:r>
      <w:r w:rsidR="00033D0F">
        <w:rPr>
          <w:spacing w:val="-9"/>
        </w:rPr>
        <w:t xml:space="preserve"> </w:t>
      </w:r>
      <w:r w:rsidR="00033D0F">
        <w:t>between</w:t>
      </w:r>
      <w:r w:rsidR="00033D0F">
        <w:rPr>
          <w:spacing w:val="-9"/>
        </w:rPr>
        <w:t xml:space="preserve"> </w:t>
      </w:r>
      <w:r w:rsidR="00033D0F">
        <w:t>subject</w:t>
      </w:r>
      <w:r w:rsidR="00033D0F">
        <w:rPr>
          <w:spacing w:val="-8"/>
        </w:rPr>
        <w:t xml:space="preserve"> </w:t>
      </w:r>
      <w:r w:rsidR="00033D0F">
        <w:t>imports</w:t>
      </w:r>
      <w:r w:rsidR="00033D0F">
        <w:rPr>
          <w:spacing w:val="-7"/>
        </w:rPr>
        <w:t xml:space="preserve"> </w:t>
      </w:r>
      <w:r w:rsidR="00033D0F">
        <w:t>and</w:t>
      </w:r>
      <w:r w:rsidR="00033D0F">
        <w:rPr>
          <w:spacing w:val="-9"/>
        </w:rPr>
        <w:t xml:space="preserve"> </w:t>
      </w:r>
      <w:r w:rsidR="00033D0F">
        <w:t>the</w:t>
      </w:r>
      <w:r w:rsidR="00033D0F">
        <w:rPr>
          <w:spacing w:val="-8"/>
        </w:rPr>
        <w:t xml:space="preserve"> </w:t>
      </w:r>
      <w:r w:rsidR="00033D0F">
        <w:t>state</w:t>
      </w:r>
      <w:r w:rsidR="00033D0F">
        <w:rPr>
          <w:spacing w:val="-8"/>
        </w:rPr>
        <w:t xml:space="preserve"> </w:t>
      </w:r>
      <w:r w:rsidR="00033D0F">
        <w:t>of the</w:t>
      </w:r>
      <w:r w:rsidR="00033D0F">
        <w:rPr>
          <w:spacing w:val="-11"/>
        </w:rPr>
        <w:t xml:space="preserve"> </w:t>
      </w:r>
      <w:r w:rsidR="00033D0F">
        <w:t>domestic</w:t>
      </w:r>
      <w:r w:rsidR="00033D0F">
        <w:rPr>
          <w:spacing w:val="-12"/>
        </w:rPr>
        <w:t xml:space="preserve"> </w:t>
      </w:r>
      <w:r w:rsidR="00033D0F">
        <w:t>industry"</w:t>
      </w:r>
      <w:hyperlink w:anchor="_bookmark902" w:history="1">
        <w:r w:rsidR="00033D0F">
          <w:rPr>
            <w:vertAlign w:val="superscript"/>
          </w:rPr>
          <w:t>765</w:t>
        </w:r>
      </w:hyperlink>
      <w:r w:rsidR="00033D0F">
        <w:rPr>
          <w:spacing w:val="-10"/>
        </w:rPr>
        <w:t xml:space="preserve"> </w:t>
      </w:r>
      <w:r w:rsidR="00033D0F">
        <w:t>—</w:t>
      </w:r>
      <w:r w:rsidR="00033D0F">
        <w:rPr>
          <w:spacing w:val="-13"/>
        </w:rPr>
        <w:t xml:space="preserve"> </w:t>
      </w:r>
      <w:r w:rsidR="00033D0F">
        <w:t>let</w:t>
      </w:r>
      <w:r w:rsidR="00033D0F">
        <w:rPr>
          <w:spacing w:val="-10"/>
        </w:rPr>
        <w:t xml:space="preserve"> </w:t>
      </w:r>
      <w:r w:rsidR="00033D0F">
        <w:t>alone</w:t>
      </w:r>
      <w:r w:rsidR="00033D0F">
        <w:rPr>
          <w:spacing w:val="-11"/>
        </w:rPr>
        <w:t xml:space="preserve"> </w:t>
      </w:r>
      <w:r w:rsidR="00033D0F">
        <w:t>any</w:t>
      </w:r>
      <w:r w:rsidR="00033D0F">
        <w:rPr>
          <w:spacing w:val="-10"/>
        </w:rPr>
        <w:t xml:space="preserve"> </w:t>
      </w:r>
      <w:r w:rsidR="00033D0F">
        <w:t>consideration</w:t>
      </w:r>
      <w:r w:rsidR="00033D0F">
        <w:rPr>
          <w:spacing w:val="-8"/>
        </w:rPr>
        <w:t xml:space="preserve"> </w:t>
      </w:r>
      <w:r w:rsidR="00033D0F">
        <w:t>of</w:t>
      </w:r>
      <w:r w:rsidR="00033D0F">
        <w:rPr>
          <w:spacing w:val="-13"/>
        </w:rPr>
        <w:t xml:space="preserve"> </w:t>
      </w:r>
      <w:r w:rsidR="00033D0F">
        <w:t>circumstances</w:t>
      </w:r>
      <w:r w:rsidR="00033D0F">
        <w:rPr>
          <w:spacing w:val="-9"/>
        </w:rPr>
        <w:t xml:space="preserve"> </w:t>
      </w:r>
      <w:r w:rsidR="00033D0F">
        <w:t>calling</w:t>
      </w:r>
      <w:r w:rsidR="00033D0F">
        <w:rPr>
          <w:spacing w:val="-9"/>
        </w:rPr>
        <w:t xml:space="preserve"> </w:t>
      </w:r>
      <w:r w:rsidR="00033D0F">
        <w:t>into</w:t>
      </w:r>
      <w:r w:rsidR="00033D0F">
        <w:rPr>
          <w:spacing w:val="-13"/>
        </w:rPr>
        <w:t xml:space="preserve"> </w:t>
      </w:r>
      <w:r w:rsidR="00033D0F">
        <w:t xml:space="preserve">question such a relationship. As a result, MOFCOM's evaluation of the domestic industry was insufficient to allow it to derive an understanding of the </w:t>
      </w:r>
      <w:r w:rsidR="00033D0F">
        <w:rPr>
          <w:i/>
        </w:rPr>
        <w:t xml:space="preserve">impact of </w:t>
      </w:r>
      <w:r w:rsidR="00033D0F">
        <w:t>subject imports on the domestic industry, as required under Article 3.4.</w:t>
      </w:r>
    </w:p>
    <w:p w14:paraId="5BEAD3E1" w14:textId="77777777" w:rsidR="00BD462C" w:rsidRDefault="00BD462C">
      <w:pPr>
        <w:pStyle w:val="BodyText"/>
        <w:spacing w:before="9"/>
        <w:rPr>
          <w:sz w:val="8"/>
        </w:rPr>
      </w:pPr>
    </w:p>
    <w:p w14:paraId="5ACF4CBB" w14:textId="09A90340" w:rsidR="00BD462C" w:rsidRDefault="00387F6E">
      <w:pPr>
        <w:pStyle w:val="BodyText"/>
        <w:spacing w:before="56" w:line="357" w:lineRule="auto"/>
        <w:ind w:left="135" w:right="918"/>
        <w:jc w:val="both"/>
      </w:pPr>
      <w:r>
        <w:rPr>
          <w:noProof/>
        </w:rPr>
        <w:t>522.</w:t>
      </w:r>
      <w:r w:rsidR="00033D0F">
        <w:rPr>
          <w:rFonts w:ascii="Times New Roman"/>
          <w:spacing w:val="80"/>
          <w:w w:val="150"/>
          <w:position w:val="1"/>
          <w:sz w:val="20"/>
        </w:rPr>
        <w:t xml:space="preserve">  </w:t>
      </w:r>
      <w:r w:rsidR="00033D0F">
        <w:rPr>
          <w:position w:val="1"/>
        </w:rPr>
        <w:t xml:space="preserve">Moreover, there was no examination of whether any impact of the subject imports </w:t>
      </w:r>
      <w:r w:rsidR="00033D0F">
        <w:t xml:space="preserve">on the domestic industry </w:t>
      </w:r>
      <w:proofErr w:type="gramStart"/>
      <w:r w:rsidR="00033D0F">
        <w:t>was material</w:t>
      </w:r>
      <w:proofErr w:type="gramEnd"/>
      <w:r w:rsidR="00033D0F">
        <w:t>. This failure is striking in the light of MOFCOM's own evidence</w:t>
      </w:r>
      <w:r w:rsidR="00033D0F">
        <w:rPr>
          <w:spacing w:val="-3"/>
        </w:rPr>
        <w:t xml:space="preserve"> </w:t>
      </w:r>
      <w:r w:rsidR="00033D0F">
        <w:t>that:</w:t>
      </w:r>
      <w:r w:rsidR="00033D0F">
        <w:rPr>
          <w:spacing w:val="-6"/>
        </w:rPr>
        <w:t xml:space="preserve"> </w:t>
      </w:r>
      <w:r w:rsidR="00033D0F">
        <w:t>(i)</w:t>
      </w:r>
      <w:r w:rsidR="00033D0F">
        <w:rPr>
          <w:spacing w:val="-5"/>
        </w:rPr>
        <w:t xml:space="preserve"> </w:t>
      </w:r>
      <w:r w:rsidR="00033D0F">
        <w:t>the</w:t>
      </w:r>
      <w:r w:rsidR="00033D0F">
        <w:rPr>
          <w:spacing w:val="-4"/>
        </w:rPr>
        <w:t xml:space="preserve"> </w:t>
      </w:r>
      <w:r w:rsidR="00033D0F">
        <w:t>subject</w:t>
      </w:r>
      <w:r w:rsidR="00033D0F">
        <w:rPr>
          <w:spacing w:val="-3"/>
        </w:rPr>
        <w:t xml:space="preserve"> </w:t>
      </w:r>
      <w:r w:rsidR="00033D0F">
        <w:t>imports</w:t>
      </w:r>
      <w:r w:rsidR="00033D0F">
        <w:rPr>
          <w:spacing w:val="-2"/>
        </w:rPr>
        <w:t xml:space="preserve"> </w:t>
      </w:r>
      <w:r w:rsidR="00033D0F">
        <w:t>accounted</w:t>
      </w:r>
      <w:r w:rsidR="00033D0F">
        <w:rPr>
          <w:spacing w:val="-5"/>
        </w:rPr>
        <w:t xml:space="preserve"> </w:t>
      </w:r>
      <w:r w:rsidR="00033D0F">
        <w:t>for</w:t>
      </w:r>
      <w:r w:rsidR="00033D0F">
        <w:rPr>
          <w:spacing w:val="-6"/>
        </w:rPr>
        <w:t xml:space="preserve"> </w:t>
      </w:r>
      <w:r w:rsidR="00033D0F">
        <w:t>a</w:t>
      </w:r>
      <w:r w:rsidR="00033D0F">
        <w:rPr>
          <w:spacing w:val="-4"/>
        </w:rPr>
        <w:t xml:space="preserve"> </w:t>
      </w:r>
      <w:r w:rsidR="00033D0F">
        <w:t>smaller</w:t>
      </w:r>
      <w:r w:rsidR="00033D0F">
        <w:rPr>
          <w:spacing w:val="-6"/>
        </w:rPr>
        <w:t xml:space="preserve"> </w:t>
      </w:r>
      <w:r w:rsidR="00033D0F">
        <w:t>share</w:t>
      </w:r>
      <w:r w:rsidR="00033D0F">
        <w:rPr>
          <w:spacing w:val="-3"/>
        </w:rPr>
        <w:t xml:space="preserve"> </w:t>
      </w:r>
      <w:r w:rsidR="00033D0F">
        <w:t>of</w:t>
      </w:r>
      <w:r w:rsidR="00033D0F">
        <w:rPr>
          <w:spacing w:val="-5"/>
        </w:rPr>
        <w:t xml:space="preserve"> </w:t>
      </w:r>
      <w:r w:rsidR="00033D0F">
        <w:t>apparent</w:t>
      </w:r>
      <w:r w:rsidR="00033D0F">
        <w:rPr>
          <w:spacing w:val="-3"/>
        </w:rPr>
        <w:t xml:space="preserve"> </w:t>
      </w:r>
      <w:r w:rsidR="00033D0F">
        <w:t>consumption</w:t>
      </w:r>
    </w:p>
    <w:p w14:paraId="5DBF94A6" w14:textId="32A489CC" w:rsidR="00BD462C" w:rsidRDefault="00E14314">
      <w:pPr>
        <w:pStyle w:val="BodyText"/>
        <w:spacing w:before="3"/>
        <w:rPr>
          <w:sz w:val="28"/>
        </w:rPr>
      </w:pPr>
      <w:r>
        <w:rPr>
          <w:noProof/>
        </w:rPr>
        <mc:AlternateContent>
          <mc:Choice Requires="wps">
            <w:drawing>
              <wp:anchor distT="0" distB="0" distL="0" distR="0" simplePos="0" relativeHeight="488063488" behindDoc="1" locked="0" layoutInCell="1" allowOverlap="1" wp14:anchorId="6D4737C4" wp14:editId="6033402E">
                <wp:simplePos x="0" y="0"/>
                <wp:positionH relativeFrom="page">
                  <wp:posOffset>812800</wp:posOffset>
                </wp:positionH>
                <wp:positionV relativeFrom="paragraph">
                  <wp:posOffset>219710</wp:posOffset>
                </wp:positionV>
                <wp:extent cx="1828800" cy="8890"/>
                <wp:effectExtent l="0" t="0" r="0" b="0"/>
                <wp:wrapTopAndBottom/>
                <wp:docPr id="43" name="docshape2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CAFC05" id="docshape267" o:spid="_x0000_s1026" alt="&quot;&quot;" style="position:absolute;margin-left:64pt;margin-top:17.3pt;width:2in;height:.7pt;z-index:-15252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" fillcolor="black" stroked="f">
                <w10:wrap type="topAndBottom" anchorx="page"/>
              </v:rect>
            </w:pict>
          </mc:Fallback>
        </mc:AlternateContent>
      </w:r>
    </w:p>
    <w:p w14:paraId="19B681AB" w14:textId="77777777" w:rsidR="00BD462C" w:rsidRDefault="00033D0F">
      <w:pPr>
        <w:spacing w:before="112"/>
        <w:ind w:left="135" w:right="909"/>
        <w:jc w:val="both"/>
        <w:rPr>
          <w:sz w:val="18"/>
        </w:rPr>
      </w:pPr>
      <w:bookmarkStart w:id="1045" w:name="_bookmark898"/>
      <w:bookmarkEnd w:id="1045"/>
      <w:r>
        <w:rPr>
          <w:position w:val="5"/>
          <w:sz w:val="12"/>
        </w:rPr>
        <w:t>761</w:t>
      </w:r>
      <w:r>
        <w:rPr>
          <w:spacing w:val="28"/>
          <w:position w:val="5"/>
          <w:sz w:val="12"/>
        </w:rPr>
        <w:t xml:space="preserve"> </w:t>
      </w:r>
      <w:r>
        <w:rPr>
          <w:sz w:val="18"/>
        </w:rPr>
        <w:t>China accepts that 2015 represents the "base year" for a non-injurious state for the domestic industry (see China's first written</w:t>
      </w:r>
      <w:r>
        <w:rPr>
          <w:spacing w:val="-10"/>
          <w:sz w:val="18"/>
        </w:rPr>
        <w:t xml:space="preserve"> </w:t>
      </w:r>
      <w:r>
        <w:rPr>
          <w:sz w:val="18"/>
        </w:rPr>
        <w:t>submission,</w:t>
      </w:r>
      <w:r>
        <w:rPr>
          <w:spacing w:val="-8"/>
          <w:sz w:val="18"/>
        </w:rPr>
        <w:t xml:space="preserve"> </w:t>
      </w:r>
      <w:r>
        <w:rPr>
          <w:sz w:val="18"/>
        </w:rPr>
        <w:t>paras.</w:t>
      </w:r>
      <w:r>
        <w:rPr>
          <w:spacing w:val="-4"/>
          <w:sz w:val="18"/>
        </w:rPr>
        <w:t xml:space="preserve"> </w:t>
      </w:r>
      <w:r>
        <w:rPr>
          <w:sz w:val="18"/>
        </w:rPr>
        <w:t>1324,</w:t>
      </w:r>
      <w:r>
        <w:rPr>
          <w:spacing w:val="-3"/>
          <w:sz w:val="18"/>
        </w:rPr>
        <w:t xml:space="preserve"> </w:t>
      </w:r>
      <w:r>
        <w:rPr>
          <w:sz w:val="18"/>
        </w:rPr>
        <w:t>1332,</w:t>
      </w:r>
      <w:r>
        <w:rPr>
          <w:spacing w:val="-3"/>
          <w:sz w:val="18"/>
        </w:rPr>
        <w:t xml:space="preserve"> </w:t>
      </w:r>
      <w:r>
        <w:rPr>
          <w:sz w:val="18"/>
        </w:rPr>
        <w:t>1475,</w:t>
      </w:r>
      <w:r>
        <w:rPr>
          <w:spacing w:val="-3"/>
          <w:sz w:val="18"/>
        </w:rPr>
        <w:t xml:space="preserve"> </w:t>
      </w:r>
      <w:r>
        <w:rPr>
          <w:sz w:val="18"/>
        </w:rPr>
        <w:t>1635,</w:t>
      </w:r>
      <w:r>
        <w:rPr>
          <w:spacing w:val="-3"/>
          <w:sz w:val="18"/>
        </w:rPr>
        <w:t xml:space="preserve"> </w:t>
      </w:r>
      <w:r>
        <w:rPr>
          <w:sz w:val="18"/>
        </w:rPr>
        <w:t>1650,</w:t>
      </w:r>
      <w:r>
        <w:rPr>
          <w:spacing w:val="-3"/>
          <w:sz w:val="18"/>
        </w:rPr>
        <w:t xml:space="preserve"> </w:t>
      </w:r>
      <w:r>
        <w:rPr>
          <w:sz w:val="18"/>
        </w:rPr>
        <w:t>and</w:t>
      </w:r>
      <w:r>
        <w:rPr>
          <w:spacing w:val="-6"/>
          <w:sz w:val="18"/>
        </w:rPr>
        <w:t xml:space="preserve"> </w:t>
      </w:r>
      <w:r>
        <w:rPr>
          <w:sz w:val="18"/>
        </w:rPr>
        <w:t>1667).</w:t>
      </w:r>
      <w:r>
        <w:rPr>
          <w:spacing w:val="-9"/>
          <w:sz w:val="18"/>
        </w:rPr>
        <w:t xml:space="preserve"> </w:t>
      </w:r>
      <w:r>
        <w:rPr>
          <w:sz w:val="18"/>
        </w:rPr>
        <w:t>For</w:t>
      </w:r>
      <w:r>
        <w:rPr>
          <w:spacing w:val="-7"/>
          <w:sz w:val="18"/>
        </w:rPr>
        <w:t xml:space="preserve"> </w:t>
      </w:r>
      <w:r>
        <w:rPr>
          <w:sz w:val="18"/>
        </w:rPr>
        <w:t>the</w:t>
      </w:r>
      <w:r>
        <w:rPr>
          <w:spacing w:val="-5"/>
          <w:sz w:val="18"/>
        </w:rPr>
        <w:t xml:space="preserve"> </w:t>
      </w:r>
      <w:r>
        <w:rPr>
          <w:sz w:val="18"/>
        </w:rPr>
        <w:t>magnitude</w:t>
      </w:r>
      <w:r>
        <w:rPr>
          <w:spacing w:val="-10"/>
          <w:sz w:val="18"/>
        </w:rPr>
        <w:t xml:space="preserve"> </w:t>
      </w:r>
      <w:r>
        <w:rPr>
          <w:sz w:val="18"/>
        </w:rPr>
        <w:t>of</w:t>
      </w:r>
      <w:r>
        <w:rPr>
          <w:spacing w:val="-9"/>
          <w:sz w:val="18"/>
        </w:rPr>
        <w:t xml:space="preserve"> </w:t>
      </w:r>
      <w:r>
        <w:rPr>
          <w:sz w:val="18"/>
        </w:rPr>
        <w:t>the</w:t>
      </w:r>
      <w:r>
        <w:rPr>
          <w:spacing w:val="-5"/>
          <w:sz w:val="18"/>
        </w:rPr>
        <w:t xml:space="preserve"> </w:t>
      </w:r>
      <w:r>
        <w:rPr>
          <w:sz w:val="18"/>
        </w:rPr>
        <w:t>suppression</w:t>
      </w:r>
      <w:r>
        <w:rPr>
          <w:spacing w:val="-10"/>
          <w:sz w:val="18"/>
        </w:rPr>
        <w:t xml:space="preserve"> </w:t>
      </w:r>
      <w:r>
        <w:rPr>
          <w:sz w:val="18"/>
        </w:rPr>
        <w:t>see</w:t>
      </w:r>
      <w:r>
        <w:rPr>
          <w:spacing w:val="-9"/>
          <w:sz w:val="18"/>
        </w:rPr>
        <w:t xml:space="preserve"> </w:t>
      </w:r>
      <w:r>
        <w:rPr>
          <w:sz w:val="18"/>
        </w:rPr>
        <w:t>Anti-Dumping Final Determination (Exhibit AUS-2), p. 121; Final Determination (Exhibit CHN-1), p. 59; Australia's first written submission, paras. 551; 600; and 602; China's First Written Submission, paras. 1377; 1380; 1332; 1650; and 1667.</w:t>
      </w:r>
    </w:p>
    <w:p w14:paraId="09993D0A" w14:textId="77777777" w:rsidR="00BD462C" w:rsidRDefault="00033D0F">
      <w:pPr>
        <w:spacing w:line="219" w:lineRule="exact"/>
        <w:ind w:left="135"/>
        <w:jc w:val="both"/>
        <w:rPr>
          <w:sz w:val="18"/>
        </w:rPr>
      </w:pPr>
      <w:bookmarkStart w:id="1046" w:name="_bookmark899"/>
      <w:bookmarkEnd w:id="1046"/>
      <w:r>
        <w:rPr>
          <w:position w:val="5"/>
          <w:sz w:val="12"/>
        </w:rPr>
        <w:t>762</w:t>
      </w:r>
      <w:r>
        <w:rPr>
          <w:spacing w:val="8"/>
          <w:position w:val="5"/>
          <w:sz w:val="12"/>
        </w:rPr>
        <w:t xml:space="preserve"> </w:t>
      </w:r>
      <w:r>
        <w:rPr>
          <w:sz w:val="18"/>
        </w:rPr>
        <w:t>Anti-Dumping</w:t>
      </w:r>
      <w:r>
        <w:rPr>
          <w:spacing w:val="-7"/>
          <w:sz w:val="18"/>
        </w:rPr>
        <w:t xml:space="preserve"> </w:t>
      </w:r>
      <w:r>
        <w:rPr>
          <w:sz w:val="18"/>
        </w:rPr>
        <w:t>Final</w:t>
      </w:r>
      <w:r>
        <w:rPr>
          <w:spacing w:val="-3"/>
          <w:sz w:val="18"/>
        </w:rPr>
        <w:t xml:space="preserve"> </w:t>
      </w:r>
      <w:r>
        <w:rPr>
          <w:sz w:val="18"/>
        </w:rPr>
        <w:t>Determination</w:t>
      </w:r>
      <w:r>
        <w:rPr>
          <w:spacing w:val="-8"/>
          <w:sz w:val="18"/>
        </w:rPr>
        <w:t xml:space="preserve"> </w:t>
      </w:r>
      <w:r>
        <w:rPr>
          <w:sz w:val="18"/>
        </w:rPr>
        <w:t>(Exhibit</w:t>
      </w:r>
      <w:r>
        <w:rPr>
          <w:spacing w:val="-3"/>
          <w:sz w:val="18"/>
        </w:rPr>
        <w:t xml:space="preserve"> </w:t>
      </w:r>
      <w:r>
        <w:rPr>
          <w:sz w:val="18"/>
        </w:rPr>
        <w:t>AUS-2),</w:t>
      </w:r>
      <w:r>
        <w:rPr>
          <w:spacing w:val="-5"/>
          <w:sz w:val="18"/>
        </w:rPr>
        <w:t xml:space="preserve"> </w:t>
      </w:r>
      <w:r>
        <w:rPr>
          <w:sz w:val="18"/>
        </w:rPr>
        <w:t>pp.</w:t>
      </w:r>
      <w:r>
        <w:rPr>
          <w:spacing w:val="-2"/>
          <w:sz w:val="18"/>
        </w:rPr>
        <w:t xml:space="preserve"> </w:t>
      </w:r>
      <w:r>
        <w:rPr>
          <w:sz w:val="18"/>
        </w:rPr>
        <w:t>123-</w:t>
      </w:r>
      <w:r>
        <w:rPr>
          <w:spacing w:val="-4"/>
          <w:sz w:val="18"/>
        </w:rPr>
        <w:t>131.</w:t>
      </w:r>
    </w:p>
    <w:p w14:paraId="56C759C9" w14:textId="77777777" w:rsidR="00BD462C" w:rsidRDefault="00033D0F">
      <w:pPr>
        <w:spacing w:before="1"/>
        <w:ind w:left="135"/>
        <w:rPr>
          <w:sz w:val="18"/>
        </w:rPr>
      </w:pPr>
      <w:bookmarkStart w:id="1047" w:name="_bookmark900"/>
      <w:bookmarkEnd w:id="1047"/>
      <w:r>
        <w:rPr>
          <w:position w:val="5"/>
          <w:sz w:val="12"/>
        </w:rPr>
        <w:t>763</w:t>
      </w:r>
      <w:r>
        <w:rPr>
          <w:spacing w:val="12"/>
          <w:position w:val="5"/>
          <w:sz w:val="12"/>
        </w:rPr>
        <w:t xml:space="preserve"> </w:t>
      </w:r>
      <w:r>
        <w:rPr>
          <w:sz w:val="18"/>
        </w:rPr>
        <w:t>Anti-Dumping</w:t>
      </w:r>
      <w:r>
        <w:rPr>
          <w:spacing w:val="-6"/>
          <w:sz w:val="18"/>
        </w:rPr>
        <w:t xml:space="preserve"> </w:t>
      </w:r>
      <w:r>
        <w:rPr>
          <w:sz w:val="18"/>
        </w:rPr>
        <w:t>Final</w:t>
      </w:r>
      <w:r>
        <w:rPr>
          <w:spacing w:val="-1"/>
          <w:sz w:val="18"/>
        </w:rPr>
        <w:t xml:space="preserve"> </w:t>
      </w:r>
      <w:r>
        <w:rPr>
          <w:sz w:val="18"/>
        </w:rPr>
        <w:t>Determination</w:t>
      </w:r>
      <w:r>
        <w:rPr>
          <w:spacing w:val="-7"/>
          <w:sz w:val="18"/>
        </w:rPr>
        <w:t xml:space="preserve"> </w:t>
      </w:r>
      <w:r>
        <w:rPr>
          <w:sz w:val="18"/>
        </w:rPr>
        <w:t>(Exhibit</w:t>
      </w:r>
      <w:r>
        <w:rPr>
          <w:spacing w:val="-2"/>
          <w:sz w:val="18"/>
        </w:rPr>
        <w:t xml:space="preserve"> </w:t>
      </w:r>
      <w:r>
        <w:rPr>
          <w:sz w:val="18"/>
        </w:rPr>
        <w:t>AUS-2),</w:t>
      </w:r>
      <w:r>
        <w:rPr>
          <w:spacing w:val="-4"/>
          <w:sz w:val="18"/>
        </w:rPr>
        <w:t xml:space="preserve"> </w:t>
      </w:r>
      <w:r>
        <w:rPr>
          <w:sz w:val="18"/>
        </w:rPr>
        <w:t>p.</w:t>
      </w:r>
      <w:r>
        <w:rPr>
          <w:spacing w:val="-5"/>
          <w:sz w:val="18"/>
        </w:rPr>
        <w:t xml:space="preserve"> </w:t>
      </w:r>
      <w:r>
        <w:rPr>
          <w:spacing w:val="-4"/>
          <w:sz w:val="18"/>
        </w:rPr>
        <w:t>130.</w:t>
      </w:r>
    </w:p>
    <w:p w14:paraId="38CC53DB" w14:textId="77777777" w:rsidR="00BD462C" w:rsidRDefault="00033D0F">
      <w:pPr>
        <w:spacing w:before="1"/>
        <w:ind w:left="135"/>
        <w:rPr>
          <w:sz w:val="18"/>
        </w:rPr>
      </w:pPr>
      <w:bookmarkStart w:id="1048" w:name="_bookmark901"/>
      <w:bookmarkEnd w:id="1048"/>
      <w:r>
        <w:rPr>
          <w:position w:val="5"/>
          <w:sz w:val="12"/>
        </w:rPr>
        <w:t>764</w:t>
      </w:r>
      <w:r>
        <w:rPr>
          <w:spacing w:val="12"/>
          <w:position w:val="5"/>
          <w:sz w:val="12"/>
        </w:rPr>
        <w:t xml:space="preserve"> </w:t>
      </w:r>
      <w:r>
        <w:rPr>
          <w:sz w:val="18"/>
        </w:rPr>
        <w:t>Anti-Dumping</w:t>
      </w:r>
      <w:r>
        <w:rPr>
          <w:spacing w:val="-6"/>
          <w:sz w:val="18"/>
        </w:rPr>
        <w:t xml:space="preserve"> </w:t>
      </w:r>
      <w:r>
        <w:rPr>
          <w:sz w:val="18"/>
        </w:rPr>
        <w:t>Final</w:t>
      </w:r>
      <w:r>
        <w:rPr>
          <w:spacing w:val="-1"/>
          <w:sz w:val="18"/>
        </w:rPr>
        <w:t xml:space="preserve"> </w:t>
      </w:r>
      <w:r>
        <w:rPr>
          <w:sz w:val="18"/>
        </w:rPr>
        <w:t>Determination</w:t>
      </w:r>
      <w:r>
        <w:rPr>
          <w:spacing w:val="-7"/>
          <w:sz w:val="18"/>
        </w:rPr>
        <w:t xml:space="preserve"> </w:t>
      </w:r>
      <w:r>
        <w:rPr>
          <w:sz w:val="18"/>
        </w:rPr>
        <w:t>(Exhibit</w:t>
      </w:r>
      <w:r>
        <w:rPr>
          <w:spacing w:val="-2"/>
          <w:sz w:val="18"/>
        </w:rPr>
        <w:t xml:space="preserve"> </w:t>
      </w:r>
      <w:r>
        <w:rPr>
          <w:sz w:val="18"/>
        </w:rPr>
        <w:t>AUS-2),</w:t>
      </w:r>
      <w:r>
        <w:rPr>
          <w:spacing w:val="-4"/>
          <w:sz w:val="18"/>
        </w:rPr>
        <w:t xml:space="preserve"> </w:t>
      </w:r>
      <w:r>
        <w:rPr>
          <w:sz w:val="18"/>
        </w:rPr>
        <w:t>p.</w:t>
      </w:r>
      <w:r>
        <w:rPr>
          <w:spacing w:val="-5"/>
          <w:sz w:val="18"/>
        </w:rPr>
        <w:t xml:space="preserve"> </w:t>
      </w:r>
      <w:r>
        <w:rPr>
          <w:spacing w:val="-4"/>
          <w:sz w:val="18"/>
        </w:rPr>
        <w:t>132.</w:t>
      </w:r>
    </w:p>
    <w:p w14:paraId="11B9B840" w14:textId="77777777" w:rsidR="00BD462C" w:rsidRDefault="00033D0F">
      <w:pPr>
        <w:spacing w:before="1"/>
        <w:ind w:left="135"/>
        <w:rPr>
          <w:sz w:val="18"/>
        </w:rPr>
      </w:pPr>
      <w:bookmarkStart w:id="1049" w:name="_bookmark902"/>
      <w:bookmarkEnd w:id="1049"/>
      <w:r>
        <w:rPr>
          <w:position w:val="5"/>
          <w:sz w:val="12"/>
        </w:rPr>
        <w:t>765</w:t>
      </w:r>
      <w:r>
        <w:rPr>
          <w:spacing w:val="13"/>
          <w:position w:val="5"/>
          <w:sz w:val="12"/>
        </w:rPr>
        <w:t xml:space="preserve"> </w:t>
      </w:r>
      <w:r>
        <w:rPr>
          <w:sz w:val="18"/>
        </w:rPr>
        <w:t>Appellate</w:t>
      </w:r>
      <w:r>
        <w:rPr>
          <w:spacing w:val="-9"/>
          <w:sz w:val="18"/>
        </w:rPr>
        <w:t xml:space="preserve"> </w:t>
      </w:r>
      <w:r>
        <w:rPr>
          <w:sz w:val="18"/>
        </w:rPr>
        <w:t>Body</w:t>
      </w:r>
      <w:r>
        <w:rPr>
          <w:spacing w:val="-7"/>
          <w:sz w:val="18"/>
        </w:rPr>
        <w:t xml:space="preserve"> </w:t>
      </w:r>
      <w:r>
        <w:rPr>
          <w:sz w:val="18"/>
        </w:rPr>
        <w:t>Report,</w:t>
      </w:r>
      <w:r>
        <w:rPr>
          <w:spacing w:val="-3"/>
          <w:sz w:val="18"/>
        </w:rPr>
        <w:t xml:space="preserve"> </w:t>
      </w:r>
      <w:r>
        <w:rPr>
          <w:i/>
          <w:sz w:val="18"/>
        </w:rPr>
        <w:t>China –</w:t>
      </w:r>
      <w:r>
        <w:rPr>
          <w:i/>
          <w:spacing w:val="-5"/>
          <w:sz w:val="18"/>
        </w:rPr>
        <w:t xml:space="preserve"> </w:t>
      </w:r>
      <w:r>
        <w:rPr>
          <w:i/>
          <w:sz w:val="18"/>
        </w:rPr>
        <w:t>GOES</w:t>
      </w:r>
      <w:r>
        <w:rPr>
          <w:sz w:val="18"/>
        </w:rPr>
        <w:t>,</w:t>
      </w:r>
      <w:r>
        <w:rPr>
          <w:spacing w:val="-3"/>
          <w:sz w:val="18"/>
        </w:rPr>
        <w:t xml:space="preserve"> </w:t>
      </w:r>
      <w:r>
        <w:rPr>
          <w:sz w:val="18"/>
        </w:rPr>
        <w:t>para.</w:t>
      </w:r>
      <w:r>
        <w:rPr>
          <w:spacing w:val="1"/>
          <w:sz w:val="18"/>
        </w:rPr>
        <w:t xml:space="preserve"> </w:t>
      </w:r>
      <w:r>
        <w:rPr>
          <w:sz w:val="18"/>
        </w:rPr>
        <w:t>149</w:t>
      </w:r>
      <w:r>
        <w:rPr>
          <w:spacing w:val="-7"/>
          <w:sz w:val="18"/>
        </w:rPr>
        <w:t xml:space="preserve"> </w:t>
      </w:r>
      <w:r>
        <w:rPr>
          <w:sz w:val="18"/>
        </w:rPr>
        <w:t>(cited</w:t>
      </w:r>
      <w:r>
        <w:rPr>
          <w:spacing w:val="-6"/>
          <w:sz w:val="18"/>
        </w:rPr>
        <w:t xml:space="preserve"> </w:t>
      </w:r>
      <w:r>
        <w:rPr>
          <w:sz w:val="18"/>
        </w:rPr>
        <w:t>in</w:t>
      </w:r>
      <w:r>
        <w:rPr>
          <w:spacing w:val="-6"/>
          <w:sz w:val="18"/>
        </w:rPr>
        <w:t xml:space="preserve"> </w:t>
      </w:r>
      <w:r>
        <w:rPr>
          <w:sz w:val="18"/>
        </w:rPr>
        <w:t>Australia's first written</w:t>
      </w:r>
      <w:r>
        <w:rPr>
          <w:spacing w:val="-6"/>
          <w:sz w:val="18"/>
        </w:rPr>
        <w:t xml:space="preserve"> </w:t>
      </w:r>
      <w:r>
        <w:rPr>
          <w:sz w:val="18"/>
        </w:rPr>
        <w:t>submission,</w:t>
      </w:r>
      <w:r>
        <w:rPr>
          <w:spacing w:val="-3"/>
          <w:sz w:val="18"/>
        </w:rPr>
        <w:t xml:space="preserve"> </w:t>
      </w:r>
      <w:r>
        <w:rPr>
          <w:sz w:val="18"/>
        </w:rPr>
        <w:t xml:space="preserve">para. </w:t>
      </w:r>
      <w:r>
        <w:rPr>
          <w:spacing w:val="-2"/>
          <w:sz w:val="18"/>
        </w:rPr>
        <w:t>620).</w:t>
      </w:r>
    </w:p>
    <w:p w14:paraId="1CDE31DD" w14:textId="77777777" w:rsidR="00BD462C" w:rsidRDefault="00BD462C">
      <w:pPr>
        <w:rPr>
          <w:sz w:val="18"/>
        </w:rPr>
        <w:sectPr w:rsidR="00BD462C">
          <w:pgSz w:w="11910" w:h="16840"/>
          <w:pgMar w:top="860" w:right="500" w:bottom="780" w:left="1280" w:header="566" w:footer="590" w:gutter="0"/>
          <w:cols w:space="720"/>
        </w:sectPr>
      </w:pPr>
    </w:p>
    <w:p w14:paraId="132BB11F"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0E36B0D5"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632A8231"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70D16F15" w14:textId="77777777" w:rsidR="00BD462C" w:rsidRDefault="00033D0F">
      <w:pPr>
        <w:pStyle w:val="BodyText"/>
        <w:spacing w:before="102" w:line="357" w:lineRule="auto"/>
        <w:ind w:left="136" w:right="923"/>
      </w:pPr>
      <w:r>
        <w:t>than domestic like products and third country imports;</w:t>
      </w:r>
      <w:hyperlink w:anchor="_bookmark904" w:history="1">
        <w:r>
          <w:rPr>
            <w:vertAlign w:val="superscript"/>
          </w:rPr>
          <w:t>766</w:t>
        </w:r>
      </w:hyperlink>
      <w:r>
        <w:t xml:space="preserve"> and (ii) the margin of suppression identified by MOFCOM was just 658RMB/</w:t>
      </w:r>
      <w:proofErr w:type="spellStart"/>
      <w:r>
        <w:t>kilolitre</w:t>
      </w:r>
      <w:proofErr w:type="spellEnd"/>
      <w:r>
        <w:t xml:space="preserve"> over the Injury POI.</w:t>
      </w:r>
      <w:hyperlink w:anchor="_bookmark905" w:history="1">
        <w:r>
          <w:rPr>
            <w:vertAlign w:val="superscript"/>
          </w:rPr>
          <w:t>767</w:t>
        </w:r>
      </w:hyperlink>
    </w:p>
    <w:p w14:paraId="2D9F7E4D" w14:textId="77777777" w:rsidR="00BD462C" w:rsidRDefault="00BD462C">
      <w:pPr>
        <w:pStyle w:val="BodyText"/>
        <w:spacing w:before="3"/>
        <w:rPr>
          <w:sz w:val="9"/>
        </w:rPr>
      </w:pPr>
    </w:p>
    <w:p w14:paraId="5ABD2B9C" w14:textId="7892C972" w:rsidR="00BD462C" w:rsidRDefault="00387F6E">
      <w:pPr>
        <w:pStyle w:val="BodyText"/>
        <w:spacing w:before="56" w:line="360" w:lineRule="auto"/>
        <w:ind w:left="135" w:right="911"/>
        <w:jc w:val="both"/>
      </w:pPr>
      <w:r>
        <w:rPr>
          <w:noProof/>
        </w:rPr>
        <w:t>523.</w:t>
      </w:r>
      <w:bookmarkStart w:id="1050" w:name="_bookmark903"/>
      <w:bookmarkEnd w:id="1050"/>
      <w:r w:rsidR="00033D0F">
        <w:rPr>
          <w:rFonts w:ascii="Times New Roman" w:hAnsi="Times New Roman"/>
          <w:spacing w:val="385"/>
          <w:position w:val="1"/>
          <w:sz w:val="20"/>
        </w:rPr>
        <w:t xml:space="preserve"> </w:t>
      </w:r>
      <w:r w:rsidR="00033D0F">
        <w:rPr>
          <w:position w:val="1"/>
        </w:rPr>
        <w:t xml:space="preserve">Finally, China relies on the panel report in </w:t>
      </w:r>
      <w:r w:rsidR="00033D0F">
        <w:rPr>
          <w:i/>
          <w:position w:val="1"/>
        </w:rPr>
        <w:t xml:space="preserve">Egypt – Steel Rebar </w:t>
      </w:r>
      <w:r w:rsidR="00033D0F">
        <w:rPr>
          <w:position w:val="1"/>
        </w:rPr>
        <w:t xml:space="preserve">as support for its </w:t>
      </w:r>
      <w:r w:rsidR="00033D0F">
        <w:t>proposition that the evaluation of a relevant economic factor or index under Article</w:t>
      </w:r>
      <w:r w:rsidR="00033D0F">
        <w:rPr>
          <w:spacing w:val="-1"/>
        </w:rPr>
        <w:t xml:space="preserve"> </w:t>
      </w:r>
      <w:r w:rsidR="00033D0F">
        <w:t>3.4 can be satisfied by a perfunctory "one-line" statement.</w:t>
      </w:r>
      <w:hyperlink w:anchor="_bookmark906" w:history="1">
        <w:r w:rsidR="00033D0F">
          <w:rPr>
            <w:vertAlign w:val="superscript"/>
          </w:rPr>
          <w:t>768</w:t>
        </w:r>
      </w:hyperlink>
      <w:r w:rsidR="00033D0F">
        <w:t xml:space="preserve"> The panel's reasoning in </w:t>
      </w:r>
      <w:r w:rsidR="00033D0F">
        <w:rPr>
          <w:i/>
        </w:rPr>
        <w:t xml:space="preserve">Egypt – Steel Rebar </w:t>
      </w:r>
      <w:r w:rsidR="00033D0F">
        <w:t>does not stand for the notion that, in order to assess compliance with Articles 3.1 and 3.4, all a</w:t>
      </w:r>
      <w:r w:rsidR="00033D0F">
        <w:rPr>
          <w:spacing w:val="-3"/>
        </w:rPr>
        <w:t xml:space="preserve"> </w:t>
      </w:r>
      <w:r w:rsidR="00033D0F">
        <w:t>panel must</w:t>
      </w:r>
      <w:r w:rsidR="00033D0F">
        <w:rPr>
          <w:spacing w:val="-2"/>
        </w:rPr>
        <w:t xml:space="preserve"> </w:t>
      </w:r>
      <w:r w:rsidR="00033D0F">
        <w:t>do</w:t>
      </w:r>
      <w:r w:rsidR="00033D0F">
        <w:rPr>
          <w:spacing w:val="-5"/>
        </w:rPr>
        <w:t xml:space="preserve"> </w:t>
      </w:r>
      <w:r w:rsidR="00033D0F">
        <w:t>is</w:t>
      </w:r>
      <w:r w:rsidR="00033D0F">
        <w:rPr>
          <w:spacing w:val="-1"/>
        </w:rPr>
        <w:t xml:space="preserve"> </w:t>
      </w:r>
      <w:r w:rsidR="00033D0F">
        <w:t>count</w:t>
      </w:r>
      <w:r w:rsidR="00033D0F">
        <w:rPr>
          <w:spacing w:val="-2"/>
        </w:rPr>
        <w:t xml:space="preserve"> </w:t>
      </w:r>
      <w:r w:rsidR="00033D0F">
        <w:t>the</w:t>
      </w:r>
      <w:r w:rsidR="00033D0F">
        <w:rPr>
          <w:spacing w:val="-3"/>
        </w:rPr>
        <w:t xml:space="preserve"> </w:t>
      </w:r>
      <w:r w:rsidR="00033D0F">
        <w:t>number of</w:t>
      </w:r>
      <w:r w:rsidR="00033D0F">
        <w:rPr>
          <w:spacing w:val="-4"/>
        </w:rPr>
        <w:t xml:space="preserve"> </w:t>
      </w:r>
      <w:r w:rsidR="00033D0F">
        <w:t>words</w:t>
      </w:r>
      <w:r w:rsidR="00033D0F">
        <w:rPr>
          <w:spacing w:val="-1"/>
        </w:rPr>
        <w:t xml:space="preserve"> </w:t>
      </w:r>
      <w:r w:rsidR="00033D0F">
        <w:t>used</w:t>
      </w:r>
      <w:r w:rsidR="00033D0F">
        <w:rPr>
          <w:spacing w:val="-4"/>
        </w:rPr>
        <w:t xml:space="preserve"> </w:t>
      </w:r>
      <w:r w:rsidR="00033D0F">
        <w:t>by</w:t>
      </w:r>
      <w:r w:rsidR="00033D0F">
        <w:rPr>
          <w:spacing w:val="-1"/>
        </w:rPr>
        <w:t xml:space="preserve"> </w:t>
      </w:r>
      <w:r w:rsidR="00033D0F">
        <w:t>an</w:t>
      </w:r>
      <w:r w:rsidR="00033D0F">
        <w:rPr>
          <w:spacing w:val="-4"/>
        </w:rPr>
        <w:t xml:space="preserve"> </w:t>
      </w:r>
      <w:r w:rsidR="00033D0F">
        <w:t>investigating</w:t>
      </w:r>
      <w:r w:rsidR="00033D0F">
        <w:rPr>
          <w:spacing w:val="-1"/>
        </w:rPr>
        <w:t xml:space="preserve"> </w:t>
      </w:r>
      <w:r w:rsidR="00033D0F">
        <w:t>authority</w:t>
      </w:r>
      <w:r w:rsidR="00033D0F">
        <w:rPr>
          <w:spacing w:val="-1"/>
        </w:rPr>
        <w:t xml:space="preserve"> </w:t>
      </w:r>
      <w:r w:rsidR="00033D0F">
        <w:t>in</w:t>
      </w:r>
      <w:r w:rsidR="00033D0F">
        <w:rPr>
          <w:spacing w:val="-4"/>
        </w:rPr>
        <w:t xml:space="preserve"> </w:t>
      </w:r>
      <w:r w:rsidR="00033D0F">
        <w:t xml:space="preserve">its analysis of a given factor. Rather, the panel's reasoning in </w:t>
      </w:r>
      <w:r w:rsidR="00033D0F">
        <w:rPr>
          <w:i/>
        </w:rPr>
        <w:t xml:space="preserve">Egypt – Steel Rebar </w:t>
      </w:r>
      <w:r w:rsidR="00033D0F">
        <w:t>makes clear that:</w:t>
      </w:r>
      <w:r w:rsidR="00033D0F">
        <w:rPr>
          <w:spacing w:val="-13"/>
        </w:rPr>
        <w:t xml:space="preserve"> </w:t>
      </w:r>
      <w:r w:rsidR="00033D0F">
        <w:t>(i)</w:t>
      </w:r>
      <w:r w:rsidR="00033D0F">
        <w:rPr>
          <w:spacing w:val="-12"/>
        </w:rPr>
        <w:t xml:space="preserve"> </w:t>
      </w:r>
      <w:r w:rsidR="00033D0F">
        <w:t>whether</w:t>
      </w:r>
      <w:r w:rsidR="00033D0F">
        <w:rPr>
          <w:spacing w:val="-14"/>
        </w:rPr>
        <w:t xml:space="preserve"> </w:t>
      </w:r>
      <w:r w:rsidR="00033D0F">
        <w:t>or</w:t>
      </w:r>
      <w:r w:rsidR="00033D0F">
        <w:rPr>
          <w:spacing w:val="-14"/>
        </w:rPr>
        <w:t xml:space="preserve"> </w:t>
      </w:r>
      <w:r w:rsidR="00033D0F">
        <w:t>not</w:t>
      </w:r>
      <w:r w:rsidR="00033D0F">
        <w:rPr>
          <w:spacing w:val="-10"/>
        </w:rPr>
        <w:t xml:space="preserve"> </w:t>
      </w:r>
      <w:r w:rsidR="00033D0F">
        <w:t>an</w:t>
      </w:r>
      <w:r w:rsidR="00033D0F">
        <w:rPr>
          <w:spacing w:val="-13"/>
        </w:rPr>
        <w:t xml:space="preserve"> </w:t>
      </w:r>
      <w:r w:rsidR="00033D0F">
        <w:t>investigating</w:t>
      </w:r>
      <w:r w:rsidR="00033D0F">
        <w:rPr>
          <w:spacing w:val="-9"/>
        </w:rPr>
        <w:t xml:space="preserve"> </w:t>
      </w:r>
      <w:r w:rsidR="00033D0F">
        <w:t>authority's</w:t>
      </w:r>
      <w:r w:rsidR="00033D0F">
        <w:rPr>
          <w:spacing w:val="-14"/>
        </w:rPr>
        <w:t xml:space="preserve"> </w:t>
      </w:r>
      <w:r w:rsidR="00033D0F">
        <w:t>examination</w:t>
      </w:r>
      <w:r w:rsidR="00033D0F">
        <w:rPr>
          <w:spacing w:val="-13"/>
        </w:rPr>
        <w:t xml:space="preserve"> </w:t>
      </w:r>
      <w:r w:rsidR="00033D0F">
        <w:t>complies</w:t>
      </w:r>
      <w:r w:rsidR="00033D0F">
        <w:rPr>
          <w:spacing w:val="-9"/>
        </w:rPr>
        <w:t xml:space="preserve"> </w:t>
      </w:r>
      <w:r w:rsidR="00033D0F">
        <w:t>with</w:t>
      </w:r>
      <w:r w:rsidR="00033D0F">
        <w:rPr>
          <w:spacing w:val="-13"/>
        </w:rPr>
        <w:t xml:space="preserve"> </w:t>
      </w:r>
      <w:r w:rsidR="00033D0F">
        <w:t>Articles 3.1</w:t>
      </w:r>
      <w:r w:rsidR="00033D0F">
        <w:rPr>
          <w:spacing w:val="-13"/>
        </w:rPr>
        <w:t xml:space="preserve"> </w:t>
      </w:r>
      <w:r w:rsidR="00033D0F">
        <w:t>and</w:t>
      </w:r>
    </w:p>
    <w:p w14:paraId="263EDF22" w14:textId="77777777" w:rsidR="00BD462C" w:rsidRDefault="00033D0F">
      <w:pPr>
        <w:pStyle w:val="BodyText"/>
        <w:spacing w:line="360" w:lineRule="auto"/>
        <w:ind w:left="135" w:right="918"/>
        <w:jc w:val="both"/>
      </w:pPr>
      <w:r>
        <w:t xml:space="preserve">3.4 is a question to be decided on the facts and circumstances of each case; and (ii) this assessment must </w:t>
      </w:r>
      <w:proofErr w:type="gramStart"/>
      <w:r>
        <w:t>take into account</w:t>
      </w:r>
      <w:proofErr w:type="gramEnd"/>
      <w:r>
        <w:t xml:space="preserve"> the full context of the analysis conducted by the investigating authority.</w:t>
      </w:r>
      <w:hyperlink w:anchor="_bookmark907" w:history="1">
        <w:r>
          <w:rPr>
            <w:vertAlign w:val="superscript"/>
          </w:rPr>
          <w:t>769</w:t>
        </w:r>
      </w:hyperlink>
    </w:p>
    <w:p w14:paraId="5502DE90" w14:textId="77777777" w:rsidR="00BD462C" w:rsidRDefault="00BD462C">
      <w:pPr>
        <w:pStyle w:val="BodyText"/>
        <w:spacing w:before="7"/>
        <w:rPr>
          <w:sz w:val="8"/>
        </w:rPr>
      </w:pPr>
    </w:p>
    <w:p w14:paraId="6A211187" w14:textId="6B7A2EA0" w:rsidR="00BD462C" w:rsidRDefault="00387F6E">
      <w:pPr>
        <w:pStyle w:val="BodyText"/>
        <w:spacing w:before="56" w:line="360" w:lineRule="auto"/>
        <w:ind w:left="135" w:right="914"/>
        <w:jc w:val="both"/>
      </w:pPr>
      <w:r>
        <w:rPr>
          <w:noProof/>
        </w:rPr>
        <w:t>524.</w:t>
      </w:r>
      <w:r w:rsidR="00033D0F">
        <w:rPr>
          <w:rFonts w:ascii="Times New Roman"/>
          <w:spacing w:val="80"/>
          <w:position w:val="1"/>
          <w:sz w:val="20"/>
        </w:rPr>
        <w:t xml:space="preserve">  </w:t>
      </w:r>
      <w:r w:rsidR="00033D0F">
        <w:rPr>
          <w:position w:val="1"/>
        </w:rPr>
        <w:t>In</w:t>
      </w:r>
      <w:r w:rsidR="00033D0F">
        <w:rPr>
          <w:spacing w:val="-14"/>
          <w:position w:val="1"/>
        </w:rPr>
        <w:t xml:space="preserve"> </w:t>
      </w:r>
      <w:r w:rsidR="00033D0F">
        <w:rPr>
          <w:position w:val="1"/>
        </w:rPr>
        <w:t>the</w:t>
      </w:r>
      <w:r w:rsidR="00033D0F">
        <w:rPr>
          <w:spacing w:val="-11"/>
          <w:position w:val="1"/>
        </w:rPr>
        <w:t xml:space="preserve"> </w:t>
      </w:r>
      <w:r w:rsidR="00033D0F">
        <w:rPr>
          <w:position w:val="1"/>
        </w:rPr>
        <w:t>circumstances</w:t>
      </w:r>
      <w:r w:rsidR="00033D0F">
        <w:rPr>
          <w:spacing w:val="-10"/>
          <w:position w:val="1"/>
        </w:rPr>
        <w:t xml:space="preserve"> </w:t>
      </w:r>
      <w:r w:rsidR="00033D0F">
        <w:rPr>
          <w:position w:val="1"/>
        </w:rPr>
        <w:t>of</w:t>
      </w:r>
      <w:r w:rsidR="00033D0F">
        <w:rPr>
          <w:spacing w:val="-9"/>
          <w:position w:val="1"/>
        </w:rPr>
        <w:t xml:space="preserve"> </w:t>
      </w:r>
      <w:r w:rsidR="00033D0F">
        <w:rPr>
          <w:position w:val="1"/>
        </w:rPr>
        <w:t>this</w:t>
      </w:r>
      <w:r w:rsidR="00033D0F">
        <w:rPr>
          <w:spacing w:val="-10"/>
          <w:position w:val="1"/>
        </w:rPr>
        <w:t xml:space="preserve"> </w:t>
      </w:r>
      <w:r w:rsidR="00033D0F">
        <w:rPr>
          <w:position w:val="1"/>
        </w:rPr>
        <w:t>case,</w:t>
      </w:r>
      <w:r w:rsidR="00033D0F">
        <w:rPr>
          <w:spacing w:val="-10"/>
          <w:position w:val="1"/>
        </w:rPr>
        <w:t xml:space="preserve"> </w:t>
      </w:r>
      <w:r w:rsidR="00033D0F">
        <w:rPr>
          <w:position w:val="1"/>
        </w:rPr>
        <w:t>Australia's</w:t>
      </w:r>
      <w:r w:rsidR="00033D0F">
        <w:rPr>
          <w:spacing w:val="-10"/>
          <w:position w:val="1"/>
        </w:rPr>
        <w:t xml:space="preserve"> </w:t>
      </w:r>
      <w:r w:rsidR="00033D0F">
        <w:rPr>
          <w:position w:val="1"/>
        </w:rPr>
        <w:t>position</w:t>
      </w:r>
      <w:r w:rsidR="00033D0F">
        <w:rPr>
          <w:spacing w:val="-14"/>
          <w:position w:val="1"/>
        </w:rPr>
        <w:t xml:space="preserve"> </w:t>
      </w:r>
      <w:r w:rsidR="00033D0F">
        <w:rPr>
          <w:position w:val="1"/>
        </w:rPr>
        <w:t>is</w:t>
      </w:r>
      <w:r w:rsidR="00033D0F">
        <w:rPr>
          <w:spacing w:val="-9"/>
          <w:position w:val="1"/>
        </w:rPr>
        <w:t xml:space="preserve"> </w:t>
      </w:r>
      <w:r w:rsidR="00033D0F">
        <w:rPr>
          <w:position w:val="1"/>
        </w:rPr>
        <w:t>that</w:t>
      </w:r>
      <w:r w:rsidR="00033D0F">
        <w:rPr>
          <w:spacing w:val="-11"/>
          <w:position w:val="1"/>
        </w:rPr>
        <w:t xml:space="preserve"> </w:t>
      </w:r>
      <w:r w:rsidR="00033D0F">
        <w:rPr>
          <w:position w:val="1"/>
        </w:rPr>
        <w:t>due</w:t>
      </w:r>
      <w:r w:rsidR="00033D0F">
        <w:rPr>
          <w:spacing w:val="-12"/>
          <w:position w:val="1"/>
        </w:rPr>
        <w:t xml:space="preserve"> </w:t>
      </w:r>
      <w:r w:rsidR="00033D0F">
        <w:rPr>
          <w:position w:val="1"/>
        </w:rPr>
        <w:t>to</w:t>
      </w:r>
      <w:r w:rsidR="00033D0F">
        <w:rPr>
          <w:spacing w:val="-14"/>
          <w:position w:val="1"/>
        </w:rPr>
        <w:t xml:space="preserve"> </w:t>
      </w:r>
      <w:r w:rsidR="00033D0F">
        <w:rPr>
          <w:position w:val="1"/>
        </w:rPr>
        <w:t>the</w:t>
      </w:r>
      <w:r w:rsidR="00033D0F">
        <w:rPr>
          <w:spacing w:val="-11"/>
          <w:position w:val="1"/>
        </w:rPr>
        <w:t xml:space="preserve"> </w:t>
      </w:r>
      <w:r w:rsidR="00033D0F">
        <w:rPr>
          <w:position w:val="1"/>
        </w:rPr>
        <w:t xml:space="preserve">considerations </w:t>
      </w:r>
      <w:r w:rsidR="00033D0F">
        <w:t>outlined above and below, including the context provided by MOFCOM's own evidence,</w:t>
      </w:r>
      <w:hyperlink w:anchor="_bookmark908" w:history="1">
        <w:r w:rsidR="00033D0F">
          <w:rPr>
            <w:vertAlign w:val="superscript"/>
          </w:rPr>
          <w:t>770</w:t>
        </w:r>
      </w:hyperlink>
      <w:r w:rsidR="00033D0F">
        <w:t xml:space="preserve"> MOFCOM's evaluation failed to examine the explanatory force or relationship between subject</w:t>
      </w:r>
      <w:r w:rsidR="00033D0F">
        <w:rPr>
          <w:spacing w:val="-7"/>
        </w:rPr>
        <w:t xml:space="preserve"> </w:t>
      </w:r>
      <w:r w:rsidR="00033D0F">
        <w:t>imports</w:t>
      </w:r>
      <w:r w:rsidR="00033D0F">
        <w:rPr>
          <w:spacing w:val="-6"/>
        </w:rPr>
        <w:t xml:space="preserve"> </w:t>
      </w:r>
      <w:r w:rsidR="00033D0F">
        <w:t>and</w:t>
      </w:r>
      <w:r w:rsidR="00033D0F">
        <w:rPr>
          <w:spacing w:val="-9"/>
        </w:rPr>
        <w:t xml:space="preserve"> </w:t>
      </w:r>
      <w:r w:rsidR="00033D0F">
        <w:t>the</w:t>
      </w:r>
      <w:r w:rsidR="00033D0F">
        <w:rPr>
          <w:spacing w:val="-7"/>
        </w:rPr>
        <w:t xml:space="preserve"> </w:t>
      </w:r>
      <w:r w:rsidR="00033D0F">
        <w:t>state</w:t>
      </w:r>
      <w:r w:rsidR="00033D0F">
        <w:rPr>
          <w:spacing w:val="-7"/>
        </w:rPr>
        <w:t xml:space="preserve"> </w:t>
      </w:r>
      <w:r w:rsidR="00033D0F">
        <w:t>observed</w:t>
      </w:r>
      <w:r w:rsidR="00033D0F">
        <w:rPr>
          <w:spacing w:val="-9"/>
        </w:rPr>
        <w:t xml:space="preserve"> </w:t>
      </w:r>
      <w:r w:rsidR="00033D0F">
        <w:t>in</w:t>
      </w:r>
      <w:r w:rsidR="00033D0F">
        <w:rPr>
          <w:spacing w:val="-9"/>
        </w:rPr>
        <w:t xml:space="preserve"> </w:t>
      </w:r>
      <w:r w:rsidR="00033D0F">
        <w:t>the</w:t>
      </w:r>
      <w:r w:rsidR="00033D0F">
        <w:rPr>
          <w:spacing w:val="-7"/>
        </w:rPr>
        <w:t xml:space="preserve"> </w:t>
      </w:r>
      <w:r w:rsidR="00033D0F">
        <w:t>domestic</w:t>
      </w:r>
      <w:r w:rsidR="00033D0F">
        <w:rPr>
          <w:spacing w:val="-13"/>
        </w:rPr>
        <w:t xml:space="preserve"> </w:t>
      </w:r>
      <w:r w:rsidR="00033D0F">
        <w:t>industry</w:t>
      </w:r>
      <w:r w:rsidR="00033D0F">
        <w:rPr>
          <w:spacing w:val="-6"/>
        </w:rPr>
        <w:t xml:space="preserve"> </w:t>
      </w:r>
      <w:r w:rsidR="00033D0F">
        <w:t>as</w:t>
      </w:r>
      <w:r w:rsidR="00033D0F">
        <w:rPr>
          <w:spacing w:val="-6"/>
        </w:rPr>
        <w:t xml:space="preserve"> </w:t>
      </w:r>
      <w:r w:rsidR="00033D0F">
        <w:t>required</w:t>
      </w:r>
      <w:r w:rsidR="00033D0F">
        <w:rPr>
          <w:spacing w:val="-9"/>
        </w:rPr>
        <w:t xml:space="preserve"> </w:t>
      </w:r>
      <w:r w:rsidR="00033D0F">
        <w:t>under</w:t>
      </w:r>
      <w:r w:rsidR="00033D0F">
        <w:rPr>
          <w:spacing w:val="-10"/>
        </w:rPr>
        <w:t xml:space="preserve"> </w:t>
      </w:r>
      <w:r w:rsidR="00033D0F">
        <w:t>Article</w:t>
      </w:r>
      <w:r w:rsidR="00033D0F">
        <w:rPr>
          <w:spacing w:val="-1"/>
        </w:rPr>
        <w:t xml:space="preserve"> </w:t>
      </w:r>
      <w:r w:rsidR="00033D0F">
        <w:t>3.4.</w:t>
      </w:r>
    </w:p>
    <w:p w14:paraId="11AA525F" w14:textId="77777777" w:rsidR="00BD462C" w:rsidRDefault="00033D0F">
      <w:pPr>
        <w:pStyle w:val="ListParagraph"/>
        <w:numPr>
          <w:ilvl w:val="1"/>
          <w:numId w:val="33"/>
        </w:numPr>
        <w:tabs>
          <w:tab w:val="left" w:pos="3539"/>
          <w:tab w:val="left" w:pos="3540"/>
        </w:tabs>
        <w:spacing w:before="153" w:line="362" w:lineRule="auto"/>
        <w:ind w:right="922"/>
        <w:jc w:val="both"/>
        <w:rPr>
          <w:sz w:val="24"/>
        </w:rPr>
      </w:pPr>
      <w:bookmarkStart w:id="1051" w:name="(a)_Labour_productivity,_salary_per_capi"/>
      <w:bookmarkEnd w:id="1051"/>
      <w:proofErr w:type="spellStart"/>
      <w:r>
        <w:rPr>
          <w:sz w:val="24"/>
          <w:u w:val="single"/>
        </w:rPr>
        <w:t>Labour</w:t>
      </w:r>
      <w:proofErr w:type="spellEnd"/>
      <w:r>
        <w:rPr>
          <w:sz w:val="24"/>
          <w:u w:val="single"/>
        </w:rPr>
        <w:t xml:space="preserve"> productivity, salary per capita and dumping</w:t>
      </w:r>
      <w:r>
        <w:rPr>
          <w:sz w:val="24"/>
        </w:rPr>
        <w:t xml:space="preserve"> </w:t>
      </w:r>
      <w:r>
        <w:rPr>
          <w:spacing w:val="-2"/>
          <w:sz w:val="24"/>
          <w:u w:val="single"/>
        </w:rPr>
        <w:t>margins</w:t>
      </w:r>
    </w:p>
    <w:p w14:paraId="4E26B052" w14:textId="77777777" w:rsidR="00BD462C" w:rsidRDefault="00BD462C">
      <w:pPr>
        <w:pStyle w:val="BodyText"/>
        <w:spacing w:before="7"/>
        <w:rPr>
          <w:sz w:val="8"/>
        </w:rPr>
      </w:pPr>
    </w:p>
    <w:p w14:paraId="3D472144" w14:textId="73B628E7" w:rsidR="00BD462C" w:rsidRDefault="00387F6E">
      <w:pPr>
        <w:pStyle w:val="BodyText"/>
        <w:spacing w:before="56" w:line="360" w:lineRule="auto"/>
        <w:ind w:left="136" w:right="915"/>
        <w:jc w:val="both"/>
      </w:pPr>
      <w:r>
        <w:rPr>
          <w:noProof/>
        </w:rPr>
        <w:t>525.</w:t>
      </w:r>
      <w:r w:rsidR="00033D0F">
        <w:rPr>
          <w:rFonts w:ascii="Times New Roman"/>
          <w:spacing w:val="80"/>
          <w:position w:val="1"/>
          <w:sz w:val="20"/>
        </w:rPr>
        <w:t xml:space="preserve">  </w:t>
      </w:r>
      <w:r w:rsidR="00033D0F">
        <w:rPr>
          <w:position w:val="1"/>
        </w:rPr>
        <w:t xml:space="preserve">MOFCOM omitted </w:t>
      </w:r>
      <w:proofErr w:type="spellStart"/>
      <w:r w:rsidR="00033D0F">
        <w:rPr>
          <w:position w:val="1"/>
        </w:rPr>
        <w:t>labour</w:t>
      </w:r>
      <w:proofErr w:type="spellEnd"/>
      <w:r w:rsidR="00033D0F">
        <w:rPr>
          <w:position w:val="1"/>
        </w:rPr>
        <w:t xml:space="preserve"> productivity, salary per capita and dumping margins from </w:t>
      </w:r>
      <w:r w:rsidR="00033D0F">
        <w:t>the narrative component of its impact analysis.</w:t>
      </w:r>
      <w:hyperlink w:anchor="_bookmark909" w:history="1">
        <w:r w:rsidR="00033D0F">
          <w:rPr>
            <w:vertAlign w:val="superscript"/>
          </w:rPr>
          <w:t>771</w:t>
        </w:r>
      </w:hyperlink>
      <w:r w:rsidR="00033D0F">
        <w:t xml:space="preserve"> As such, Australia understood that MOFCOM did not consider these three factors to be relevant to its discussion of the state of the domestic industry (and ultimately the injury determination).</w:t>
      </w:r>
    </w:p>
    <w:p w14:paraId="6CD4019F" w14:textId="77777777" w:rsidR="00BD462C" w:rsidRDefault="00BD462C">
      <w:pPr>
        <w:pStyle w:val="BodyText"/>
        <w:spacing w:before="4"/>
        <w:rPr>
          <w:sz w:val="8"/>
        </w:rPr>
      </w:pPr>
    </w:p>
    <w:p w14:paraId="1C4F1B63" w14:textId="19EC47BD" w:rsidR="00BD462C" w:rsidRDefault="00387F6E">
      <w:pPr>
        <w:pStyle w:val="BodyText"/>
        <w:spacing w:before="56" w:line="357" w:lineRule="auto"/>
        <w:ind w:left="135" w:right="923"/>
      </w:pPr>
      <w:r>
        <w:rPr>
          <w:noProof/>
        </w:rPr>
        <w:t>526.</w:t>
      </w:r>
      <w:r w:rsidR="00033D0F">
        <w:rPr>
          <w:rFonts w:ascii="Times New Roman"/>
          <w:spacing w:val="80"/>
          <w:position w:val="1"/>
          <w:sz w:val="20"/>
        </w:rPr>
        <w:t xml:space="preserve">   </w:t>
      </w:r>
      <w:r w:rsidR="00033D0F">
        <w:rPr>
          <w:position w:val="1"/>
        </w:rPr>
        <w:t>China</w:t>
      </w:r>
      <w:r w:rsidR="00033D0F">
        <w:rPr>
          <w:spacing w:val="-12"/>
          <w:position w:val="1"/>
        </w:rPr>
        <w:t xml:space="preserve"> </w:t>
      </w:r>
      <w:r w:rsidR="00033D0F">
        <w:rPr>
          <w:position w:val="1"/>
        </w:rPr>
        <w:t>now</w:t>
      </w:r>
      <w:r w:rsidR="00033D0F">
        <w:rPr>
          <w:spacing w:val="-11"/>
          <w:position w:val="1"/>
        </w:rPr>
        <w:t xml:space="preserve"> </w:t>
      </w:r>
      <w:r w:rsidR="00033D0F">
        <w:rPr>
          <w:position w:val="1"/>
        </w:rPr>
        <w:t>argues</w:t>
      </w:r>
      <w:r w:rsidR="00033D0F">
        <w:rPr>
          <w:spacing w:val="-10"/>
          <w:position w:val="1"/>
        </w:rPr>
        <w:t xml:space="preserve"> </w:t>
      </w:r>
      <w:r w:rsidR="00033D0F">
        <w:rPr>
          <w:position w:val="1"/>
        </w:rPr>
        <w:t>that,</w:t>
      </w:r>
      <w:r w:rsidR="00033D0F">
        <w:rPr>
          <w:spacing w:val="-10"/>
          <w:position w:val="1"/>
        </w:rPr>
        <w:t xml:space="preserve"> </w:t>
      </w:r>
      <w:r w:rsidR="00033D0F">
        <w:rPr>
          <w:position w:val="1"/>
        </w:rPr>
        <w:t>despite</w:t>
      </w:r>
      <w:r w:rsidR="00033D0F">
        <w:rPr>
          <w:spacing w:val="-12"/>
          <w:position w:val="1"/>
        </w:rPr>
        <w:t xml:space="preserve"> </w:t>
      </w:r>
      <w:r w:rsidR="00033D0F">
        <w:rPr>
          <w:position w:val="1"/>
        </w:rPr>
        <w:t>the</w:t>
      </w:r>
      <w:r w:rsidR="00033D0F">
        <w:rPr>
          <w:spacing w:val="-12"/>
          <w:position w:val="1"/>
        </w:rPr>
        <w:t xml:space="preserve"> </w:t>
      </w:r>
      <w:r w:rsidR="00033D0F">
        <w:rPr>
          <w:position w:val="1"/>
        </w:rPr>
        <w:t>omission</w:t>
      </w:r>
      <w:r w:rsidR="00033D0F">
        <w:rPr>
          <w:spacing w:val="-14"/>
          <w:position w:val="1"/>
        </w:rPr>
        <w:t xml:space="preserve"> </w:t>
      </w:r>
      <w:r w:rsidR="00033D0F">
        <w:rPr>
          <w:position w:val="1"/>
        </w:rPr>
        <w:t>of</w:t>
      </w:r>
      <w:r w:rsidR="00033D0F">
        <w:rPr>
          <w:spacing w:val="-9"/>
          <w:position w:val="1"/>
        </w:rPr>
        <w:t xml:space="preserve"> </w:t>
      </w:r>
      <w:r w:rsidR="00033D0F">
        <w:rPr>
          <w:position w:val="1"/>
        </w:rPr>
        <w:t>these</w:t>
      </w:r>
      <w:r w:rsidR="00033D0F">
        <w:rPr>
          <w:spacing w:val="-12"/>
          <w:position w:val="1"/>
        </w:rPr>
        <w:t xml:space="preserve"> </w:t>
      </w:r>
      <w:r w:rsidR="00033D0F">
        <w:rPr>
          <w:position w:val="1"/>
        </w:rPr>
        <w:t>three</w:t>
      </w:r>
      <w:r w:rsidR="00033D0F">
        <w:rPr>
          <w:spacing w:val="-12"/>
          <w:position w:val="1"/>
        </w:rPr>
        <w:t xml:space="preserve"> </w:t>
      </w:r>
      <w:r w:rsidR="00033D0F">
        <w:rPr>
          <w:position w:val="1"/>
        </w:rPr>
        <w:t>factors</w:t>
      </w:r>
      <w:r w:rsidR="00033D0F">
        <w:rPr>
          <w:spacing w:val="-7"/>
          <w:position w:val="1"/>
        </w:rPr>
        <w:t xml:space="preserve"> </w:t>
      </w:r>
      <w:r w:rsidR="00033D0F">
        <w:rPr>
          <w:position w:val="1"/>
        </w:rPr>
        <w:t>from</w:t>
      </w:r>
      <w:r w:rsidR="00033D0F">
        <w:rPr>
          <w:spacing w:val="-8"/>
          <w:position w:val="1"/>
        </w:rPr>
        <w:t xml:space="preserve"> </w:t>
      </w:r>
      <w:r w:rsidR="00033D0F">
        <w:rPr>
          <w:position w:val="1"/>
        </w:rPr>
        <w:t>the</w:t>
      </w:r>
      <w:r w:rsidR="00033D0F">
        <w:rPr>
          <w:spacing w:val="-12"/>
          <w:position w:val="1"/>
        </w:rPr>
        <w:t xml:space="preserve"> </w:t>
      </w:r>
      <w:r w:rsidR="00033D0F">
        <w:rPr>
          <w:position w:val="1"/>
        </w:rPr>
        <w:t xml:space="preserve">narrative </w:t>
      </w:r>
      <w:r w:rsidR="00033D0F">
        <w:t>discussion</w:t>
      </w:r>
      <w:r w:rsidR="00033D0F">
        <w:rPr>
          <w:spacing w:val="12"/>
        </w:rPr>
        <w:t xml:space="preserve"> </w:t>
      </w:r>
      <w:r w:rsidR="00033D0F">
        <w:t>of</w:t>
      </w:r>
      <w:r w:rsidR="00033D0F">
        <w:rPr>
          <w:spacing w:val="15"/>
        </w:rPr>
        <w:t xml:space="preserve"> </w:t>
      </w:r>
      <w:r w:rsidR="00033D0F">
        <w:t>the</w:t>
      </w:r>
      <w:r w:rsidR="00033D0F">
        <w:rPr>
          <w:spacing w:val="17"/>
        </w:rPr>
        <w:t xml:space="preserve"> </w:t>
      </w:r>
      <w:r w:rsidR="00033D0F">
        <w:t>state</w:t>
      </w:r>
      <w:r w:rsidR="00033D0F">
        <w:rPr>
          <w:spacing w:val="17"/>
        </w:rPr>
        <w:t xml:space="preserve"> </w:t>
      </w:r>
      <w:r w:rsidR="00033D0F">
        <w:t>of</w:t>
      </w:r>
      <w:r w:rsidR="00033D0F">
        <w:rPr>
          <w:spacing w:val="15"/>
        </w:rPr>
        <w:t xml:space="preserve"> </w:t>
      </w:r>
      <w:r w:rsidR="00033D0F">
        <w:t>the</w:t>
      </w:r>
      <w:r w:rsidR="00033D0F">
        <w:rPr>
          <w:spacing w:val="21"/>
        </w:rPr>
        <w:t xml:space="preserve"> </w:t>
      </w:r>
      <w:r w:rsidR="00033D0F">
        <w:t>domestic</w:t>
      </w:r>
      <w:r w:rsidR="00033D0F">
        <w:rPr>
          <w:spacing w:val="16"/>
        </w:rPr>
        <w:t xml:space="preserve"> </w:t>
      </w:r>
      <w:r w:rsidR="00033D0F">
        <w:t>industry,</w:t>
      </w:r>
      <w:r w:rsidR="00033D0F">
        <w:rPr>
          <w:spacing w:val="19"/>
        </w:rPr>
        <w:t xml:space="preserve"> </w:t>
      </w:r>
      <w:r w:rsidR="00033D0F">
        <w:t>MOFCOM</w:t>
      </w:r>
      <w:r w:rsidR="00033D0F">
        <w:rPr>
          <w:spacing w:val="17"/>
        </w:rPr>
        <w:t xml:space="preserve"> </w:t>
      </w:r>
      <w:r w:rsidR="00033D0F">
        <w:t>considered</w:t>
      </w:r>
      <w:r w:rsidR="00033D0F">
        <w:rPr>
          <w:spacing w:val="15"/>
        </w:rPr>
        <w:t xml:space="preserve"> </w:t>
      </w:r>
      <w:r w:rsidR="00033D0F">
        <w:t>them</w:t>
      </w:r>
      <w:r w:rsidR="00033D0F">
        <w:rPr>
          <w:spacing w:val="17"/>
        </w:rPr>
        <w:t xml:space="preserve"> </w:t>
      </w:r>
      <w:r w:rsidR="00033D0F">
        <w:t>to</w:t>
      </w:r>
      <w:r w:rsidR="00033D0F">
        <w:rPr>
          <w:spacing w:val="14"/>
        </w:rPr>
        <w:t xml:space="preserve"> </w:t>
      </w:r>
      <w:r w:rsidR="00033D0F">
        <w:t>be</w:t>
      </w:r>
      <w:r w:rsidR="00033D0F">
        <w:rPr>
          <w:spacing w:val="21"/>
        </w:rPr>
        <w:t xml:space="preserve"> </w:t>
      </w:r>
      <w:r w:rsidR="00033D0F">
        <w:rPr>
          <w:spacing w:val="-2"/>
        </w:rPr>
        <w:t>relevant</w:t>
      </w:r>
    </w:p>
    <w:p w14:paraId="21DA6ABA" w14:textId="77777777" w:rsidR="00BD462C" w:rsidRDefault="00BD462C">
      <w:pPr>
        <w:pStyle w:val="BodyText"/>
        <w:rPr>
          <w:sz w:val="20"/>
        </w:rPr>
      </w:pPr>
    </w:p>
    <w:p w14:paraId="533D192B" w14:textId="77777777" w:rsidR="00BD462C" w:rsidRDefault="00BD462C">
      <w:pPr>
        <w:pStyle w:val="BodyText"/>
        <w:rPr>
          <w:sz w:val="20"/>
        </w:rPr>
      </w:pPr>
    </w:p>
    <w:p w14:paraId="69FB57EB" w14:textId="236F38A7" w:rsidR="00BD462C" w:rsidRDefault="00E14314">
      <w:pPr>
        <w:pStyle w:val="BodyText"/>
        <w:spacing w:before="2"/>
        <w:rPr>
          <w:sz w:val="16"/>
        </w:rPr>
      </w:pPr>
      <w:r>
        <w:rPr>
          <w:noProof/>
        </w:rPr>
        <mc:AlternateContent>
          <mc:Choice Requires="wps">
            <w:drawing>
              <wp:anchor distT="0" distB="0" distL="0" distR="0" simplePos="0" relativeHeight="488065536" behindDoc="1" locked="0" layoutInCell="1" allowOverlap="1" wp14:anchorId="7CDD2ACB" wp14:editId="4BBF9C91">
                <wp:simplePos x="0" y="0"/>
                <wp:positionH relativeFrom="page">
                  <wp:posOffset>812800</wp:posOffset>
                </wp:positionH>
                <wp:positionV relativeFrom="paragraph">
                  <wp:posOffset>126365</wp:posOffset>
                </wp:positionV>
                <wp:extent cx="1828800" cy="8890"/>
                <wp:effectExtent l="0" t="0" r="0" b="0"/>
                <wp:wrapTopAndBottom/>
                <wp:docPr id="44" name="docshape2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7FE6D5" id="docshape267" o:spid="_x0000_s1026" alt="&quot;&quot;" style="position:absolute;margin-left:64pt;margin-top:9.95pt;width:2in;height:.7pt;z-index:-15250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" fillcolor="black" stroked="f">
                <w10:wrap type="topAndBottom" anchorx="page"/>
              </v:rect>
            </w:pict>
          </mc:Fallback>
        </mc:AlternateContent>
      </w:r>
    </w:p>
    <w:p w14:paraId="6A68AF48" w14:textId="77777777" w:rsidR="00BD462C" w:rsidRDefault="00033D0F">
      <w:pPr>
        <w:spacing w:before="112"/>
        <w:ind w:left="135"/>
        <w:rPr>
          <w:sz w:val="18"/>
        </w:rPr>
      </w:pPr>
      <w:bookmarkStart w:id="1052" w:name="_bookmark904"/>
      <w:bookmarkEnd w:id="1052"/>
      <w:r>
        <w:rPr>
          <w:position w:val="5"/>
          <w:sz w:val="12"/>
        </w:rPr>
        <w:t>766</w:t>
      </w:r>
      <w:r>
        <w:rPr>
          <w:spacing w:val="12"/>
          <w:position w:val="5"/>
          <w:sz w:val="12"/>
        </w:rPr>
        <w:t xml:space="preserve"> </w:t>
      </w:r>
      <w:r>
        <w:rPr>
          <w:sz w:val="18"/>
        </w:rPr>
        <w:t>Anti-Dumping</w:t>
      </w:r>
      <w:r>
        <w:rPr>
          <w:spacing w:val="-6"/>
          <w:sz w:val="18"/>
        </w:rPr>
        <w:t xml:space="preserve"> </w:t>
      </w:r>
      <w:r>
        <w:rPr>
          <w:sz w:val="18"/>
        </w:rPr>
        <w:t>Final</w:t>
      </w:r>
      <w:r>
        <w:rPr>
          <w:spacing w:val="-1"/>
          <w:sz w:val="18"/>
        </w:rPr>
        <w:t xml:space="preserve"> </w:t>
      </w:r>
      <w:r>
        <w:rPr>
          <w:sz w:val="18"/>
        </w:rPr>
        <w:t>Determination</w:t>
      </w:r>
      <w:r>
        <w:rPr>
          <w:spacing w:val="-7"/>
          <w:sz w:val="18"/>
        </w:rPr>
        <w:t xml:space="preserve"> </w:t>
      </w:r>
      <w:r>
        <w:rPr>
          <w:sz w:val="18"/>
        </w:rPr>
        <w:t>(Exhibit</w:t>
      </w:r>
      <w:r>
        <w:rPr>
          <w:spacing w:val="-2"/>
          <w:sz w:val="18"/>
        </w:rPr>
        <w:t xml:space="preserve"> </w:t>
      </w:r>
      <w:r>
        <w:rPr>
          <w:sz w:val="18"/>
        </w:rPr>
        <w:t>AUS-2),</w:t>
      </w:r>
      <w:r>
        <w:rPr>
          <w:spacing w:val="-4"/>
          <w:sz w:val="18"/>
        </w:rPr>
        <w:t xml:space="preserve"> </w:t>
      </w:r>
      <w:r>
        <w:rPr>
          <w:sz w:val="18"/>
        </w:rPr>
        <w:t>p.</w:t>
      </w:r>
      <w:r>
        <w:rPr>
          <w:spacing w:val="-5"/>
          <w:sz w:val="18"/>
        </w:rPr>
        <w:t xml:space="preserve"> </w:t>
      </w:r>
      <w:r>
        <w:rPr>
          <w:spacing w:val="-4"/>
          <w:sz w:val="18"/>
        </w:rPr>
        <w:t>148.</w:t>
      </w:r>
    </w:p>
    <w:p w14:paraId="4D193FFC" w14:textId="77777777" w:rsidR="00BD462C" w:rsidRDefault="00033D0F">
      <w:pPr>
        <w:spacing w:before="4" w:line="235" w:lineRule="auto"/>
        <w:ind w:left="136" w:right="923" w:hanging="1"/>
        <w:rPr>
          <w:sz w:val="18"/>
        </w:rPr>
      </w:pPr>
      <w:bookmarkStart w:id="1053" w:name="_bookmark905"/>
      <w:bookmarkEnd w:id="1053"/>
      <w:r>
        <w:rPr>
          <w:position w:val="5"/>
          <w:sz w:val="12"/>
        </w:rPr>
        <w:t>767</w:t>
      </w:r>
      <w:r>
        <w:rPr>
          <w:spacing w:val="35"/>
          <w:position w:val="5"/>
          <w:sz w:val="12"/>
        </w:rPr>
        <w:t xml:space="preserve"> </w:t>
      </w:r>
      <w:r>
        <w:rPr>
          <w:sz w:val="18"/>
        </w:rPr>
        <w:t>Anti-Dumping</w:t>
      </w:r>
      <w:r>
        <w:rPr>
          <w:spacing w:val="20"/>
          <w:sz w:val="18"/>
        </w:rPr>
        <w:t xml:space="preserve"> </w:t>
      </w:r>
      <w:r>
        <w:rPr>
          <w:sz w:val="18"/>
        </w:rPr>
        <w:t>Final</w:t>
      </w:r>
      <w:r>
        <w:rPr>
          <w:spacing w:val="21"/>
          <w:sz w:val="18"/>
        </w:rPr>
        <w:t xml:space="preserve"> </w:t>
      </w:r>
      <w:r>
        <w:rPr>
          <w:sz w:val="18"/>
        </w:rPr>
        <w:t>Determination</w:t>
      </w:r>
      <w:r>
        <w:rPr>
          <w:spacing w:val="20"/>
          <w:sz w:val="18"/>
        </w:rPr>
        <w:t xml:space="preserve"> </w:t>
      </w:r>
      <w:r>
        <w:rPr>
          <w:sz w:val="18"/>
        </w:rPr>
        <w:t>(Exhibit</w:t>
      </w:r>
      <w:r>
        <w:rPr>
          <w:spacing w:val="21"/>
          <w:sz w:val="18"/>
        </w:rPr>
        <w:t xml:space="preserve"> </w:t>
      </w:r>
      <w:r>
        <w:rPr>
          <w:sz w:val="18"/>
        </w:rPr>
        <w:t>AUS-2),</w:t>
      </w:r>
      <w:r>
        <w:rPr>
          <w:spacing w:val="22"/>
          <w:sz w:val="18"/>
        </w:rPr>
        <w:t xml:space="preserve"> </w:t>
      </w:r>
      <w:r>
        <w:rPr>
          <w:sz w:val="18"/>
        </w:rPr>
        <w:t>p. 121; Final Determination (Exhibit</w:t>
      </w:r>
      <w:r>
        <w:rPr>
          <w:spacing w:val="21"/>
          <w:sz w:val="18"/>
        </w:rPr>
        <w:t xml:space="preserve"> </w:t>
      </w:r>
      <w:r>
        <w:rPr>
          <w:sz w:val="18"/>
        </w:rPr>
        <w:t>CHN-1), p.</w:t>
      </w:r>
      <w:r>
        <w:rPr>
          <w:spacing w:val="21"/>
          <w:sz w:val="18"/>
        </w:rPr>
        <w:t xml:space="preserve"> </w:t>
      </w:r>
      <w:r>
        <w:rPr>
          <w:sz w:val="18"/>
        </w:rPr>
        <w:t>59; Australia's</w:t>
      </w:r>
      <w:r>
        <w:rPr>
          <w:spacing w:val="20"/>
          <w:sz w:val="18"/>
        </w:rPr>
        <w:t xml:space="preserve"> </w:t>
      </w:r>
      <w:r>
        <w:rPr>
          <w:sz w:val="18"/>
        </w:rPr>
        <w:t>first written submission, paras. 551, 600, and 602; China's</w:t>
      </w:r>
      <w:r>
        <w:rPr>
          <w:spacing w:val="-2"/>
          <w:sz w:val="18"/>
        </w:rPr>
        <w:t xml:space="preserve"> </w:t>
      </w:r>
      <w:r>
        <w:rPr>
          <w:sz w:val="18"/>
        </w:rPr>
        <w:t>first written submission, paras. 1377; 1380; 1332; 1650; and 1667.</w:t>
      </w:r>
    </w:p>
    <w:p w14:paraId="5CB896CA" w14:textId="77777777" w:rsidR="00BD462C" w:rsidRDefault="00033D0F">
      <w:pPr>
        <w:spacing w:before="3"/>
        <w:ind w:left="135"/>
        <w:rPr>
          <w:sz w:val="18"/>
        </w:rPr>
      </w:pPr>
      <w:bookmarkStart w:id="1054" w:name="_bookmark906"/>
      <w:bookmarkEnd w:id="1054"/>
      <w:r>
        <w:rPr>
          <w:position w:val="5"/>
          <w:sz w:val="12"/>
        </w:rPr>
        <w:t>768</w:t>
      </w:r>
      <w:r>
        <w:rPr>
          <w:spacing w:val="11"/>
          <w:position w:val="5"/>
          <w:sz w:val="12"/>
        </w:rPr>
        <w:t xml:space="preserve"> </w:t>
      </w:r>
      <w:r>
        <w:rPr>
          <w:sz w:val="18"/>
        </w:rPr>
        <w:t>China's</w:t>
      </w:r>
      <w:r>
        <w:rPr>
          <w:spacing w:val="-6"/>
          <w:sz w:val="18"/>
        </w:rPr>
        <w:t xml:space="preserve"> </w:t>
      </w:r>
      <w:r>
        <w:rPr>
          <w:sz w:val="18"/>
        </w:rPr>
        <w:t>first</w:t>
      </w:r>
      <w:r>
        <w:rPr>
          <w:spacing w:val="-6"/>
          <w:sz w:val="18"/>
        </w:rPr>
        <w:t xml:space="preserve"> </w:t>
      </w:r>
      <w:r>
        <w:rPr>
          <w:sz w:val="18"/>
        </w:rPr>
        <w:t>written</w:t>
      </w:r>
      <w:r>
        <w:rPr>
          <w:spacing w:val="-7"/>
          <w:sz w:val="18"/>
        </w:rPr>
        <w:t xml:space="preserve"> </w:t>
      </w:r>
      <w:r>
        <w:rPr>
          <w:sz w:val="18"/>
        </w:rPr>
        <w:t>submission, paras.</w:t>
      </w:r>
      <w:r>
        <w:rPr>
          <w:spacing w:val="-6"/>
          <w:sz w:val="18"/>
        </w:rPr>
        <w:t xml:space="preserve"> </w:t>
      </w:r>
      <w:r>
        <w:rPr>
          <w:sz w:val="18"/>
        </w:rPr>
        <w:t>1509-1510.</w:t>
      </w:r>
      <w:r>
        <w:rPr>
          <w:spacing w:val="-1"/>
          <w:sz w:val="18"/>
        </w:rPr>
        <w:t xml:space="preserve"> </w:t>
      </w:r>
      <w:r>
        <w:rPr>
          <w:sz w:val="18"/>
        </w:rPr>
        <w:t>See</w:t>
      </w:r>
      <w:r>
        <w:rPr>
          <w:spacing w:val="-3"/>
          <w:sz w:val="18"/>
        </w:rPr>
        <w:t xml:space="preserve"> </w:t>
      </w:r>
      <w:r>
        <w:rPr>
          <w:sz w:val="18"/>
        </w:rPr>
        <w:t>also</w:t>
      </w:r>
      <w:r>
        <w:rPr>
          <w:spacing w:val="-7"/>
          <w:sz w:val="18"/>
        </w:rPr>
        <w:t xml:space="preserve"> </w:t>
      </w:r>
      <w:r>
        <w:rPr>
          <w:sz w:val="18"/>
        </w:rPr>
        <w:t>paras.</w:t>
      </w:r>
      <w:r>
        <w:rPr>
          <w:spacing w:val="-10"/>
          <w:sz w:val="18"/>
        </w:rPr>
        <w:t xml:space="preserve"> </w:t>
      </w:r>
      <w:r>
        <w:rPr>
          <w:sz w:val="18"/>
        </w:rPr>
        <w:t>1527-</w:t>
      </w:r>
      <w:r>
        <w:rPr>
          <w:spacing w:val="-2"/>
          <w:sz w:val="18"/>
        </w:rPr>
        <w:t>1529.</w:t>
      </w:r>
    </w:p>
    <w:p w14:paraId="307DA0F8" w14:textId="77777777" w:rsidR="00BD462C" w:rsidRDefault="00033D0F">
      <w:pPr>
        <w:spacing w:before="1"/>
        <w:ind w:left="135"/>
        <w:rPr>
          <w:sz w:val="18"/>
        </w:rPr>
      </w:pPr>
      <w:bookmarkStart w:id="1055" w:name="_bookmark907"/>
      <w:bookmarkEnd w:id="1055"/>
      <w:r>
        <w:rPr>
          <w:position w:val="5"/>
          <w:sz w:val="12"/>
        </w:rPr>
        <w:t>769</w:t>
      </w:r>
      <w:r>
        <w:rPr>
          <w:spacing w:val="14"/>
          <w:position w:val="5"/>
          <w:sz w:val="12"/>
        </w:rPr>
        <w:t xml:space="preserve"> </w:t>
      </w:r>
      <w:r>
        <w:rPr>
          <w:sz w:val="18"/>
        </w:rPr>
        <w:t>Panel</w:t>
      </w:r>
      <w:r>
        <w:rPr>
          <w:spacing w:val="-4"/>
          <w:sz w:val="18"/>
        </w:rPr>
        <w:t xml:space="preserve"> </w:t>
      </w:r>
      <w:r>
        <w:rPr>
          <w:sz w:val="18"/>
        </w:rPr>
        <w:t>Report,</w:t>
      </w:r>
      <w:r>
        <w:rPr>
          <w:spacing w:val="-7"/>
          <w:sz w:val="18"/>
        </w:rPr>
        <w:t xml:space="preserve"> </w:t>
      </w:r>
      <w:r>
        <w:rPr>
          <w:i/>
          <w:sz w:val="18"/>
        </w:rPr>
        <w:t>Egypt –</w:t>
      </w:r>
      <w:r>
        <w:rPr>
          <w:i/>
          <w:spacing w:val="-4"/>
          <w:sz w:val="18"/>
        </w:rPr>
        <w:t xml:space="preserve"> </w:t>
      </w:r>
      <w:r>
        <w:rPr>
          <w:i/>
          <w:sz w:val="18"/>
        </w:rPr>
        <w:t>Steel</w:t>
      </w:r>
      <w:r>
        <w:rPr>
          <w:i/>
          <w:spacing w:val="-4"/>
          <w:sz w:val="18"/>
        </w:rPr>
        <w:t xml:space="preserve"> </w:t>
      </w:r>
      <w:r>
        <w:rPr>
          <w:i/>
          <w:sz w:val="18"/>
        </w:rPr>
        <w:t>Rebar</w:t>
      </w:r>
      <w:r>
        <w:rPr>
          <w:sz w:val="18"/>
        </w:rPr>
        <w:t>,</w:t>
      </w:r>
      <w:r>
        <w:rPr>
          <w:spacing w:val="2"/>
          <w:sz w:val="18"/>
        </w:rPr>
        <w:t xml:space="preserve"> </w:t>
      </w:r>
      <w:r>
        <w:rPr>
          <w:sz w:val="18"/>
        </w:rPr>
        <w:t>paras.</w:t>
      </w:r>
      <w:r>
        <w:rPr>
          <w:spacing w:val="-3"/>
          <w:sz w:val="18"/>
        </w:rPr>
        <w:t xml:space="preserve"> </w:t>
      </w:r>
      <w:r>
        <w:rPr>
          <w:sz w:val="18"/>
        </w:rPr>
        <w:t>7.49-</w:t>
      </w:r>
      <w:r>
        <w:rPr>
          <w:spacing w:val="-4"/>
          <w:sz w:val="18"/>
        </w:rPr>
        <w:t>7.53.</w:t>
      </w:r>
    </w:p>
    <w:p w14:paraId="5E951EE9" w14:textId="77777777" w:rsidR="00BD462C" w:rsidRDefault="00033D0F">
      <w:pPr>
        <w:spacing w:before="1"/>
        <w:ind w:left="135"/>
        <w:rPr>
          <w:sz w:val="18"/>
        </w:rPr>
      </w:pPr>
      <w:bookmarkStart w:id="1056" w:name="_bookmark908"/>
      <w:bookmarkEnd w:id="1056"/>
      <w:r>
        <w:rPr>
          <w:position w:val="5"/>
          <w:sz w:val="12"/>
        </w:rPr>
        <w:t>770</w:t>
      </w:r>
      <w:r>
        <w:rPr>
          <w:spacing w:val="17"/>
          <w:position w:val="5"/>
          <w:sz w:val="12"/>
        </w:rPr>
        <w:t xml:space="preserve"> </w:t>
      </w:r>
      <w:r>
        <w:rPr>
          <w:sz w:val="18"/>
        </w:rPr>
        <w:t>See</w:t>
      </w:r>
      <w:r>
        <w:rPr>
          <w:spacing w:val="-2"/>
          <w:sz w:val="18"/>
        </w:rPr>
        <w:t xml:space="preserve"> </w:t>
      </w:r>
      <w:r>
        <w:rPr>
          <w:sz w:val="18"/>
        </w:rPr>
        <w:t xml:space="preserve">para. </w:t>
      </w:r>
      <w:hyperlink w:anchor="_bookmark888" w:history="1">
        <w:r>
          <w:rPr>
            <w:spacing w:val="-4"/>
            <w:sz w:val="18"/>
          </w:rPr>
          <w:t>519.</w:t>
        </w:r>
      </w:hyperlink>
    </w:p>
    <w:p w14:paraId="19CFC22A" w14:textId="77777777" w:rsidR="00BD462C" w:rsidRDefault="00033D0F">
      <w:pPr>
        <w:spacing w:before="1"/>
        <w:ind w:left="135"/>
        <w:rPr>
          <w:sz w:val="18"/>
        </w:rPr>
      </w:pPr>
      <w:bookmarkStart w:id="1057" w:name="_bookmark909"/>
      <w:bookmarkEnd w:id="1057"/>
      <w:r>
        <w:rPr>
          <w:position w:val="5"/>
          <w:sz w:val="12"/>
        </w:rPr>
        <w:t>771</w:t>
      </w:r>
      <w:r>
        <w:rPr>
          <w:spacing w:val="12"/>
          <w:position w:val="5"/>
          <w:sz w:val="12"/>
        </w:rPr>
        <w:t xml:space="preserve"> </w:t>
      </w:r>
      <w:r>
        <w:rPr>
          <w:sz w:val="18"/>
        </w:rPr>
        <w:t>Australia's</w:t>
      </w:r>
      <w:r>
        <w:rPr>
          <w:spacing w:val="-7"/>
          <w:sz w:val="18"/>
        </w:rPr>
        <w:t xml:space="preserve"> </w:t>
      </w:r>
      <w:r>
        <w:rPr>
          <w:sz w:val="18"/>
        </w:rPr>
        <w:t>first</w:t>
      </w:r>
      <w:r>
        <w:rPr>
          <w:spacing w:val="-5"/>
          <w:sz w:val="18"/>
        </w:rPr>
        <w:t xml:space="preserve"> </w:t>
      </w:r>
      <w:r>
        <w:rPr>
          <w:sz w:val="18"/>
        </w:rPr>
        <w:t>written</w:t>
      </w:r>
      <w:r>
        <w:rPr>
          <w:spacing w:val="-3"/>
          <w:sz w:val="18"/>
        </w:rPr>
        <w:t xml:space="preserve"> </w:t>
      </w:r>
      <w:r>
        <w:rPr>
          <w:sz w:val="18"/>
        </w:rPr>
        <w:t>submission, paras.</w:t>
      </w:r>
      <w:r>
        <w:rPr>
          <w:spacing w:val="-5"/>
          <w:sz w:val="18"/>
        </w:rPr>
        <w:t xml:space="preserve"> </w:t>
      </w:r>
      <w:r>
        <w:rPr>
          <w:sz w:val="18"/>
        </w:rPr>
        <w:t>633-</w:t>
      </w:r>
      <w:r>
        <w:rPr>
          <w:spacing w:val="-4"/>
          <w:sz w:val="18"/>
        </w:rPr>
        <w:t>634.</w:t>
      </w:r>
    </w:p>
    <w:p w14:paraId="52587FDA" w14:textId="77777777" w:rsidR="00BD462C" w:rsidRDefault="00BD462C">
      <w:pPr>
        <w:rPr>
          <w:sz w:val="18"/>
        </w:rPr>
        <w:sectPr w:rsidR="00BD462C">
          <w:pgSz w:w="11910" w:h="16840"/>
          <w:pgMar w:top="860" w:right="500" w:bottom="780" w:left="1280" w:header="566" w:footer="590" w:gutter="0"/>
          <w:cols w:space="720"/>
        </w:sectPr>
      </w:pPr>
    </w:p>
    <w:p w14:paraId="282DA9AF"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7AD37018"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1C803A8A"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7E52704F" w14:textId="77777777" w:rsidR="00BD462C" w:rsidRDefault="00033D0F">
      <w:pPr>
        <w:pStyle w:val="BodyText"/>
        <w:spacing w:before="102" w:line="360" w:lineRule="auto"/>
        <w:ind w:left="135" w:right="912"/>
        <w:jc w:val="both"/>
      </w:pPr>
      <w:r>
        <w:t>and</w:t>
      </w:r>
      <w:r>
        <w:rPr>
          <w:spacing w:val="-3"/>
        </w:rPr>
        <w:t xml:space="preserve"> </w:t>
      </w:r>
      <w:r>
        <w:t>duly considered</w:t>
      </w:r>
      <w:r>
        <w:rPr>
          <w:spacing w:val="-3"/>
        </w:rPr>
        <w:t xml:space="preserve"> </w:t>
      </w:r>
      <w:r>
        <w:t>them.</w:t>
      </w:r>
      <w:hyperlink w:anchor="_bookmark910" w:history="1">
        <w:r>
          <w:rPr>
            <w:vertAlign w:val="superscript"/>
          </w:rPr>
          <w:t>772</w:t>
        </w:r>
      </w:hyperlink>
      <w:r>
        <w:rPr>
          <w:spacing w:val="-1"/>
        </w:rPr>
        <w:t xml:space="preserve"> </w:t>
      </w:r>
      <w:r>
        <w:t>Australia</w:t>
      </w:r>
      <w:r>
        <w:rPr>
          <w:spacing w:val="-2"/>
        </w:rPr>
        <w:t xml:space="preserve"> </w:t>
      </w:r>
      <w:r>
        <w:t xml:space="preserve">considers this </w:t>
      </w:r>
      <w:r>
        <w:rPr>
          <w:i/>
        </w:rPr>
        <w:t>ex post</w:t>
      </w:r>
      <w:r>
        <w:rPr>
          <w:i/>
          <w:spacing w:val="-1"/>
        </w:rPr>
        <w:t xml:space="preserve"> </w:t>
      </w:r>
      <w:r>
        <w:rPr>
          <w:i/>
        </w:rPr>
        <w:t xml:space="preserve">facto </w:t>
      </w:r>
      <w:proofErr w:type="spellStart"/>
      <w:r>
        <w:t>rationalisation</w:t>
      </w:r>
      <w:proofErr w:type="spellEnd"/>
      <w:r>
        <w:rPr>
          <w:spacing w:val="-3"/>
        </w:rPr>
        <w:t xml:space="preserve"> </w:t>
      </w:r>
      <w:r>
        <w:t>from</w:t>
      </w:r>
      <w:r>
        <w:rPr>
          <w:spacing w:val="-2"/>
        </w:rPr>
        <w:t xml:space="preserve"> </w:t>
      </w:r>
      <w:r>
        <w:t>China to</w:t>
      </w:r>
      <w:r>
        <w:rPr>
          <w:spacing w:val="-14"/>
        </w:rPr>
        <w:t xml:space="preserve"> </w:t>
      </w:r>
      <w:r>
        <w:t>be</w:t>
      </w:r>
      <w:r>
        <w:rPr>
          <w:spacing w:val="-14"/>
        </w:rPr>
        <w:t xml:space="preserve"> </w:t>
      </w:r>
      <w:r>
        <w:t>implausible.</w:t>
      </w:r>
      <w:r>
        <w:rPr>
          <w:spacing w:val="-13"/>
        </w:rPr>
        <w:t xml:space="preserve"> </w:t>
      </w:r>
      <w:r>
        <w:t>Article</w:t>
      </w:r>
      <w:r>
        <w:rPr>
          <w:spacing w:val="-7"/>
        </w:rPr>
        <w:t xml:space="preserve"> </w:t>
      </w:r>
      <w:r>
        <w:t>3.4</w:t>
      </w:r>
      <w:r>
        <w:rPr>
          <w:spacing w:val="-14"/>
        </w:rPr>
        <w:t xml:space="preserve"> </w:t>
      </w:r>
      <w:r>
        <w:t>requires</w:t>
      </w:r>
      <w:r>
        <w:rPr>
          <w:spacing w:val="-10"/>
        </w:rPr>
        <w:t xml:space="preserve"> </w:t>
      </w:r>
      <w:r>
        <w:t>an</w:t>
      </w:r>
      <w:r>
        <w:rPr>
          <w:spacing w:val="-14"/>
        </w:rPr>
        <w:t xml:space="preserve"> </w:t>
      </w:r>
      <w:r>
        <w:t>investigating</w:t>
      </w:r>
      <w:r>
        <w:rPr>
          <w:spacing w:val="-11"/>
        </w:rPr>
        <w:t xml:space="preserve"> </w:t>
      </w:r>
      <w:r>
        <w:t>authority</w:t>
      </w:r>
      <w:r>
        <w:rPr>
          <w:spacing w:val="-12"/>
        </w:rPr>
        <w:t xml:space="preserve"> </w:t>
      </w:r>
      <w:r>
        <w:t>to</w:t>
      </w:r>
      <w:r>
        <w:rPr>
          <w:spacing w:val="-14"/>
        </w:rPr>
        <w:t xml:space="preserve"> </w:t>
      </w:r>
      <w:r>
        <w:t>do</w:t>
      </w:r>
      <w:r>
        <w:rPr>
          <w:spacing w:val="-14"/>
        </w:rPr>
        <w:t xml:space="preserve"> </w:t>
      </w:r>
      <w:r>
        <w:t>more</w:t>
      </w:r>
      <w:r>
        <w:rPr>
          <w:spacing w:val="-12"/>
        </w:rPr>
        <w:t xml:space="preserve"> </w:t>
      </w:r>
      <w:r>
        <w:t>than</w:t>
      </w:r>
      <w:r>
        <w:rPr>
          <w:spacing w:val="-14"/>
        </w:rPr>
        <w:t xml:space="preserve"> </w:t>
      </w:r>
      <w:r>
        <w:t>simply</w:t>
      </w:r>
      <w:r>
        <w:rPr>
          <w:spacing w:val="-14"/>
        </w:rPr>
        <w:t xml:space="preserve"> </w:t>
      </w:r>
      <w:r>
        <w:t xml:space="preserve">gather data – it must </w:t>
      </w:r>
      <w:proofErr w:type="spellStart"/>
      <w:r>
        <w:t>analyse</w:t>
      </w:r>
      <w:proofErr w:type="spellEnd"/>
      <w:r>
        <w:t xml:space="preserve"> and interpret that data in order to properly examine the impact of subject</w:t>
      </w:r>
      <w:r>
        <w:rPr>
          <w:spacing w:val="-14"/>
        </w:rPr>
        <w:t xml:space="preserve"> </w:t>
      </w:r>
      <w:r>
        <w:t>imports</w:t>
      </w:r>
      <w:r>
        <w:rPr>
          <w:spacing w:val="-14"/>
        </w:rPr>
        <w:t xml:space="preserve"> </w:t>
      </w:r>
      <w:r>
        <w:t>on</w:t>
      </w:r>
      <w:r>
        <w:rPr>
          <w:spacing w:val="-13"/>
        </w:rPr>
        <w:t xml:space="preserve"> </w:t>
      </w:r>
      <w:r>
        <w:t>the</w:t>
      </w:r>
      <w:r>
        <w:rPr>
          <w:spacing w:val="-14"/>
        </w:rPr>
        <w:t xml:space="preserve"> </w:t>
      </w:r>
      <w:r>
        <w:t>state</w:t>
      </w:r>
      <w:r>
        <w:rPr>
          <w:spacing w:val="-13"/>
        </w:rPr>
        <w:t xml:space="preserve"> </w:t>
      </w:r>
      <w:r>
        <w:t>observed</w:t>
      </w:r>
      <w:r>
        <w:rPr>
          <w:spacing w:val="-14"/>
        </w:rPr>
        <w:t xml:space="preserve"> </w:t>
      </w:r>
      <w:r>
        <w:t>in</w:t>
      </w:r>
      <w:r>
        <w:rPr>
          <w:spacing w:val="-13"/>
        </w:rPr>
        <w:t xml:space="preserve"> </w:t>
      </w:r>
      <w:r>
        <w:t>the</w:t>
      </w:r>
      <w:r>
        <w:rPr>
          <w:spacing w:val="-14"/>
        </w:rPr>
        <w:t xml:space="preserve"> </w:t>
      </w:r>
      <w:r>
        <w:t>domestic</w:t>
      </w:r>
      <w:r>
        <w:rPr>
          <w:spacing w:val="-14"/>
        </w:rPr>
        <w:t xml:space="preserve"> </w:t>
      </w:r>
      <w:r>
        <w:t>industry.</w:t>
      </w:r>
      <w:hyperlink w:anchor="_bookmark911" w:history="1">
        <w:r>
          <w:rPr>
            <w:vertAlign w:val="superscript"/>
          </w:rPr>
          <w:t>773</w:t>
        </w:r>
      </w:hyperlink>
      <w:r>
        <w:rPr>
          <w:spacing w:val="-13"/>
        </w:rPr>
        <w:t xml:space="preserve"> </w:t>
      </w:r>
      <w:r>
        <w:t>Listing</w:t>
      </w:r>
      <w:r>
        <w:rPr>
          <w:spacing w:val="-14"/>
        </w:rPr>
        <w:t xml:space="preserve"> </w:t>
      </w:r>
      <w:r>
        <w:t>broad</w:t>
      </w:r>
      <w:r>
        <w:rPr>
          <w:spacing w:val="-13"/>
        </w:rPr>
        <w:t xml:space="preserve"> </w:t>
      </w:r>
      <w:r>
        <w:t>annual</w:t>
      </w:r>
      <w:r>
        <w:rPr>
          <w:spacing w:val="-12"/>
        </w:rPr>
        <w:t xml:space="preserve"> </w:t>
      </w:r>
      <w:r>
        <w:t>or</w:t>
      </w:r>
      <w:r>
        <w:rPr>
          <w:spacing w:val="-14"/>
        </w:rPr>
        <w:t xml:space="preserve"> </w:t>
      </w:r>
      <w:r>
        <w:t>total figures and reciting simple</w:t>
      </w:r>
      <w:r>
        <w:rPr>
          <w:spacing w:val="-2"/>
        </w:rPr>
        <w:t xml:space="preserve"> </w:t>
      </w:r>
      <w:r>
        <w:t>year to year changes, as MOFCOM did in the Final Determination, is insufficient for this purpose.</w:t>
      </w:r>
      <w:hyperlink w:anchor="_bookmark912" w:history="1">
        <w:r>
          <w:rPr>
            <w:vertAlign w:val="superscript"/>
          </w:rPr>
          <w:t>774</w:t>
        </w:r>
      </w:hyperlink>
    </w:p>
    <w:p w14:paraId="3BAB7F09" w14:textId="77777777" w:rsidR="00BD462C" w:rsidRDefault="00BD462C">
      <w:pPr>
        <w:pStyle w:val="BodyText"/>
        <w:spacing w:before="8"/>
        <w:rPr>
          <w:sz w:val="8"/>
        </w:rPr>
      </w:pPr>
    </w:p>
    <w:p w14:paraId="3D354B52" w14:textId="0335724B" w:rsidR="00BD462C" w:rsidRDefault="00387F6E">
      <w:pPr>
        <w:pStyle w:val="BodyText"/>
        <w:spacing w:before="56" w:line="360" w:lineRule="auto"/>
        <w:ind w:left="135" w:right="911"/>
        <w:jc w:val="both"/>
      </w:pPr>
      <w:r>
        <w:rPr>
          <w:noProof/>
        </w:rPr>
        <w:t>527.</w:t>
      </w:r>
      <w:r w:rsidR="00033D0F">
        <w:rPr>
          <w:rFonts w:ascii="Times New Roman"/>
          <w:spacing w:val="80"/>
          <w:position w:val="1"/>
          <w:sz w:val="20"/>
        </w:rPr>
        <w:t xml:space="preserve"> </w:t>
      </w:r>
      <w:r w:rsidR="00033D0F">
        <w:rPr>
          <w:position w:val="1"/>
        </w:rPr>
        <w:t xml:space="preserve">China's entirely </w:t>
      </w:r>
      <w:r w:rsidR="00033D0F">
        <w:rPr>
          <w:i/>
          <w:position w:val="1"/>
        </w:rPr>
        <w:t xml:space="preserve">ex post facto </w:t>
      </w:r>
      <w:r w:rsidR="00033D0F">
        <w:rPr>
          <w:position w:val="1"/>
        </w:rPr>
        <w:t>submissions regarding MOFCOM's supposed</w:t>
      </w:r>
      <w:r w:rsidR="00033D0F">
        <w:rPr>
          <w:spacing w:val="40"/>
          <w:position w:val="1"/>
        </w:rPr>
        <w:t xml:space="preserve"> </w:t>
      </w:r>
      <w:r w:rsidR="00033D0F">
        <w:t xml:space="preserve">consideration of </w:t>
      </w:r>
      <w:proofErr w:type="spellStart"/>
      <w:r w:rsidR="00033D0F">
        <w:t>labour</w:t>
      </w:r>
      <w:proofErr w:type="spellEnd"/>
      <w:r w:rsidR="00033D0F">
        <w:t xml:space="preserve"> productivity and salary per capita are in and of themselves based on assertion.</w:t>
      </w:r>
      <w:r w:rsidR="00033D0F">
        <w:rPr>
          <w:spacing w:val="-3"/>
        </w:rPr>
        <w:t xml:space="preserve"> </w:t>
      </w:r>
      <w:r w:rsidR="00033D0F">
        <w:t>Neither</w:t>
      </w:r>
      <w:r w:rsidR="00033D0F">
        <w:rPr>
          <w:spacing w:val="-7"/>
        </w:rPr>
        <w:t xml:space="preserve"> </w:t>
      </w:r>
      <w:r w:rsidR="00033D0F">
        <w:t>MOFCOM's</w:t>
      </w:r>
      <w:r w:rsidR="00033D0F">
        <w:rPr>
          <w:spacing w:val="-3"/>
        </w:rPr>
        <w:t xml:space="preserve"> </w:t>
      </w:r>
      <w:r w:rsidR="00033D0F">
        <w:t>evaluation</w:t>
      </w:r>
      <w:r w:rsidR="00033D0F">
        <w:rPr>
          <w:spacing w:val="-6"/>
        </w:rPr>
        <w:t xml:space="preserve"> </w:t>
      </w:r>
      <w:r w:rsidR="00033D0F">
        <w:t>nor</w:t>
      </w:r>
      <w:r w:rsidR="00033D0F">
        <w:rPr>
          <w:spacing w:val="-7"/>
        </w:rPr>
        <w:t xml:space="preserve"> </w:t>
      </w:r>
      <w:r w:rsidR="00033D0F">
        <w:t>China's</w:t>
      </w:r>
      <w:r w:rsidR="00033D0F">
        <w:rPr>
          <w:spacing w:val="-3"/>
        </w:rPr>
        <w:t xml:space="preserve"> </w:t>
      </w:r>
      <w:r w:rsidR="00033D0F">
        <w:rPr>
          <w:i/>
        </w:rPr>
        <w:t>ex</w:t>
      </w:r>
      <w:r w:rsidR="00033D0F">
        <w:rPr>
          <w:i/>
          <w:spacing w:val="-3"/>
        </w:rPr>
        <w:t xml:space="preserve"> </w:t>
      </w:r>
      <w:r w:rsidR="00033D0F">
        <w:rPr>
          <w:i/>
        </w:rPr>
        <w:t>post</w:t>
      </w:r>
      <w:r w:rsidR="00033D0F">
        <w:rPr>
          <w:i/>
          <w:spacing w:val="-4"/>
        </w:rPr>
        <w:t xml:space="preserve"> </w:t>
      </w:r>
      <w:r w:rsidR="00033D0F">
        <w:rPr>
          <w:i/>
        </w:rPr>
        <w:t>facto</w:t>
      </w:r>
      <w:r w:rsidR="00033D0F">
        <w:rPr>
          <w:i/>
          <w:spacing w:val="-3"/>
        </w:rPr>
        <w:t xml:space="preserve"> </w:t>
      </w:r>
      <w:proofErr w:type="spellStart"/>
      <w:r w:rsidR="00033D0F">
        <w:t>rationalisation</w:t>
      </w:r>
      <w:proofErr w:type="spellEnd"/>
      <w:r w:rsidR="00033D0F">
        <w:rPr>
          <w:spacing w:val="-6"/>
        </w:rPr>
        <w:t xml:space="preserve"> </w:t>
      </w:r>
      <w:r w:rsidR="00033D0F">
        <w:t>contain</w:t>
      </w:r>
      <w:r w:rsidR="00033D0F">
        <w:rPr>
          <w:spacing w:val="-6"/>
        </w:rPr>
        <w:t xml:space="preserve"> </w:t>
      </w:r>
      <w:r w:rsidR="00033D0F">
        <w:t>any evaluation of the relationship between subject imports and productivity or salary per capita.</w:t>
      </w:r>
      <w:hyperlink w:anchor="_bookmark913" w:history="1">
        <w:r w:rsidR="00033D0F">
          <w:rPr>
            <w:vertAlign w:val="superscript"/>
          </w:rPr>
          <w:t>775</w:t>
        </w:r>
      </w:hyperlink>
      <w:r w:rsidR="00033D0F">
        <w:rPr>
          <w:spacing w:val="-2"/>
        </w:rPr>
        <w:t xml:space="preserve"> </w:t>
      </w:r>
      <w:r w:rsidR="00033D0F">
        <w:t>The</w:t>
      </w:r>
      <w:r w:rsidR="00033D0F">
        <w:rPr>
          <w:spacing w:val="-3"/>
        </w:rPr>
        <w:t xml:space="preserve"> </w:t>
      </w:r>
      <w:r w:rsidR="00033D0F">
        <w:t>evaluation</w:t>
      </w:r>
      <w:r w:rsidR="00033D0F">
        <w:rPr>
          <w:spacing w:val="-4"/>
        </w:rPr>
        <w:t xml:space="preserve"> </w:t>
      </w:r>
      <w:r w:rsidR="00033D0F">
        <w:t>contained</w:t>
      </w:r>
      <w:r w:rsidR="00033D0F">
        <w:rPr>
          <w:spacing w:val="-4"/>
        </w:rPr>
        <w:t xml:space="preserve"> </w:t>
      </w:r>
      <w:r w:rsidR="00033D0F">
        <w:t>in</w:t>
      </w:r>
      <w:r w:rsidR="00033D0F">
        <w:rPr>
          <w:spacing w:val="-4"/>
        </w:rPr>
        <w:t xml:space="preserve"> </w:t>
      </w:r>
      <w:r w:rsidR="00033D0F">
        <w:t>China's</w:t>
      </w:r>
      <w:r w:rsidR="00033D0F">
        <w:rPr>
          <w:spacing w:val="-1"/>
        </w:rPr>
        <w:t xml:space="preserve"> </w:t>
      </w:r>
      <w:r w:rsidR="00033D0F">
        <w:t>first</w:t>
      </w:r>
      <w:r w:rsidR="00033D0F">
        <w:rPr>
          <w:spacing w:val="-2"/>
        </w:rPr>
        <w:t xml:space="preserve"> </w:t>
      </w:r>
      <w:r w:rsidR="00033D0F">
        <w:t>written</w:t>
      </w:r>
      <w:r w:rsidR="00033D0F">
        <w:rPr>
          <w:spacing w:val="-4"/>
        </w:rPr>
        <w:t xml:space="preserve"> </w:t>
      </w:r>
      <w:r w:rsidR="00033D0F">
        <w:t>submission</w:t>
      </w:r>
      <w:r w:rsidR="00033D0F">
        <w:rPr>
          <w:spacing w:val="-4"/>
        </w:rPr>
        <w:t xml:space="preserve"> </w:t>
      </w:r>
      <w:r w:rsidR="00033D0F">
        <w:t>and</w:t>
      </w:r>
      <w:r w:rsidR="00033D0F">
        <w:rPr>
          <w:spacing w:val="-4"/>
        </w:rPr>
        <w:t xml:space="preserve"> </w:t>
      </w:r>
      <w:r w:rsidR="00033D0F">
        <w:t>responses</w:t>
      </w:r>
      <w:r w:rsidR="00033D0F">
        <w:rPr>
          <w:spacing w:val="-1"/>
        </w:rPr>
        <w:t xml:space="preserve"> </w:t>
      </w:r>
      <w:r w:rsidR="00033D0F">
        <w:t>to</w:t>
      </w:r>
      <w:r w:rsidR="00033D0F">
        <w:rPr>
          <w:spacing w:val="-5"/>
        </w:rPr>
        <w:t xml:space="preserve"> </w:t>
      </w:r>
      <w:r w:rsidR="00033D0F">
        <w:t>Panel questions 34 and 35 does not appear anywhere on the investigation record.</w:t>
      </w:r>
      <w:hyperlink w:anchor="_bookmark914" w:history="1">
        <w:r w:rsidR="00033D0F">
          <w:rPr>
            <w:vertAlign w:val="superscript"/>
          </w:rPr>
          <w:t>776</w:t>
        </w:r>
      </w:hyperlink>
      <w:r w:rsidR="00033D0F">
        <w:t xml:space="preserve"> In particular, nowhere</w:t>
      </w:r>
      <w:r w:rsidR="00033D0F">
        <w:rPr>
          <w:spacing w:val="-6"/>
        </w:rPr>
        <w:t xml:space="preserve"> </w:t>
      </w:r>
      <w:r w:rsidR="00033D0F">
        <w:t>in</w:t>
      </w:r>
      <w:r w:rsidR="00033D0F">
        <w:rPr>
          <w:spacing w:val="-3"/>
        </w:rPr>
        <w:t xml:space="preserve"> </w:t>
      </w:r>
      <w:r w:rsidR="00033D0F">
        <w:t>MOFCOM's</w:t>
      </w:r>
      <w:r w:rsidR="00033D0F">
        <w:rPr>
          <w:spacing w:val="-5"/>
        </w:rPr>
        <w:t xml:space="preserve"> </w:t>
      </w:r>
      <w:r w:rsidR="00033D0F">
        <w:t>review</w:t>
      </w:r>
      <w:r w:rsidR="00033D0F">
        <w:rPr>
          <w:spacing w:val="-6"/>
        </w:rPr>
        <w:t xml:space="preserve"> </w:t>
      </w:r>
      <w:r w:rsidR="00033D0F">
        <w:t>of</w:t>
      </w:r>
      <w:r w:rsidR="00033D0F">
        <w:rPr>
          <w:spacing w:val="-8"/>
        </w:rPr>
        <w:t xml:space="preserve"> </w:t>
      </w:r>
      <w:r w:rsidR="00033D0F">
        <w:t>economic</w:t>
      </w:r>
      <w:r w:rsidR="00033D0F">
        <w:rPr>
          <w:spacing w:val="-8"/>
        </w:rPr>
        <w:t xml:space="preserve"> </w:t>
      </w:r>
      <w:r w:rsidR="00033D0F">
        <w:t>factors</w:t>
      </w:r>
      <w:r w:rsidR="00033D0F">
        <w:rPr>
          <w:spacing w:val="-4"/>
        </w:rPr>
        <w:t xml:space="preserve"> </w:t>
      </w:r>
      <w:r w:rsidR="00033D0F">
        <w:t>or</w:t>
      </w:r>
      <w:r w:rsidR="00033D0F">
        <w:rPr>
          <w:spacing w:val="-4"/>
        </w:rPr>
        <w:t xml:space="preserve"> </w:t>
      </w:r>
      <w:r w:rsidR="00033D0F">
        <w:t>elsewhere</w:t>
      </w:r>
      <w:r w:rsidR="00033D0F">
        <w:rPr>
          <w:spacing w:val="-6"/>
        </w:rPr>
        <w:t xml:space="preserve"> </w:t>
      </w:r>
      <w:r w:rsidR="00033D0F">
        <w:t>in</w:t>
      </w:r>
      <w:r w:rsidR="00033D0F">
        <w:rPr>
          <w:spacing w:val="-8"/>
        </w:rPr>
        <w:t xml:space="preserve"> </w:t>
      </w:r>
      <w:r w:rsidR="00033D0F">
        <w:t>the</w:t>
      </w:r>
      <w:r w:rsidR="00033D0F">
        <w:rPr>
          <w:spacing w:val="-6"/>
        </w:rPr>
        <w:t xml:space="preserve"> </w:t>
      </w:r>
      <w:r w:rsidR="00033D0F">
        <w:t>Final</w:t>
      </w:r>
      <w:r w:rsidR="00033D0F">
        <w:rPr>
          <w:spacing w:val="-4"/>
        </w:rPr>
        <w:t xml:space="preserve"> </w:t>
      </w:r>
      <w:r w:rsidR="00033D0F">
        <w:t>Determination</w:t>
      </w:r>
      <w:r w:rsidR="00033D0F">
        <w:rPr>
          <w:spacing w:val="-8"/>
        </w:rPr>
        <w:t xml:space="preserve"> </w:t>
      </w:r>
      <w:r w:rsidR="00033D0F">
        <w:t>is there anything to indicate that MOFCOM considered that: (</w:t>
      </w:r>
      <w:proofErr w:type="spellStart"/>
      <w:r w:rsidR="00033D0F">
        <w:t>i</w:t>
      </w:r>
      <w:proofErr w:type="spellEnd"/>
      <w:r w:rsidR="00033D0F">
        <w:t>) "</w:t>
      </w:r>
      <w:proofErr w:type="spellStart"/>
      <w:r w:rsidR="00033D0F">
        <w:t>labour</w:t>
      </w:r>
      <w:proofErr w:type="spellEnd"/>
      <w:r w:rsidR="00033D0F">
        <w:t xml:space="preserve"> costs accounted for a small</w:t>
      </w:r>
      <w:r w:rsidR="00033D0F">
        <w:rPr>
          <w:spacing w:val="-4"/>
        </w:rPr>
        <w:t xml:space="preserve"> </w:t>
      </w:r>
      <w:r w:rsidR="00033D0F">
        <w:t>percentage</w:t>
      </w:r>
      <w:r w:rsidR="00033D0F">
        <w:rPr>
          <w:spacing w:val="-6"/>
        </w:rPr>
        <w:t xml:space="preserve"> </w:t>
      </w:r>
      <w:r w:rsidR="00033D0F">
        <w:t>of</w:t>
      </w:r>
      <w:r w:rsidR="00033D0F">
        <w:rPr>
          <w:spacing w:val="-8"/>
        </w:rPr>
        <w:t xml:space="preserve"> </w:t>
      </w:r>
      <w:r w:rsidR="00033D0F">
        <w:t>the</w:t>
      </w:r>
      <w:r w:rsidR="00033D0F">
        <w:rPr>
          <w:spacing w:val="-6"/>
        </w:rPr>
        <w:t xml:space="preserve"> </w:t>
      </w:r>
      <w:r w:rsidR="00033D0F">
        <w:t>total</w:t>
      </w:r>
      <w:r w:rsidR="00033D0F">
        <w:rPr>
          <w:spacing w:val="-4"/>
        </w:rPr>
        <w:t xml:space="preserve"> </w:t>
      </w:r>
      <w:r w:rsidR="00033D0F">
        <w:t>production</w:t>
      </w:r>
      <w:r w:rsidR="00033D0F">
        <w:rPr>
          <w:spacing w:val="-8"/>
        </w:rPr>
        <w:t xml:space="preserve"> </w:t>
      </w:r>
      <w:r w:rsidR="00033D0F">
        <w:t>costs";</w:t>
      </w:r>
      <w:hyperlink w:anchor="_bookmark915" w:history="1">
        <w:r w:rsidR="00033D0F">
          <w:rPr>
            <w:vertAlign w:val="superscript"/>
          </w:rPr>
          <w:t>777</w:t>
        </w:r>
      </w:hyperlink>
      <w:r w:rsidR="00033D0F">
        <w:rPr>
          <w:spacing w:val="-5"/>
        </w:rPr>
        <w:t xml:space="preserve"> </w:t>
      </w:r>
      <w:r w:rsidR="00033D0F">
        <w:t>(ii)</w:t>
      </w:r>
      <w:r w:rsidR="00033D0F">
        <w:rPr>
          <w:spacing w:val="-8"/>
        </w:rPr>
        <w:t xml:space="preserve"> </w:t>
      </w:r>
      <w:r w:rsidR="00033D0F">
        <w:t>"productivity</w:t>
      </w:r>
      <w:r w:rsidR="00033D0F">
        <w:rPr>
          <w:spacing w:val="-5"/>
        </w:rPr>
        <w:t xml:space="preserve"> </w:t>
      </w:r>
      <w:r w:rsidR="00033D0F">
        <w:t>was</w:t>
      </w:r>
      <w:r w:rsidR="00033D0F">
        <w:rPr>
          <w:spacing w:val="-5"/>
        </w:rPr>
        <w:t xml:space="preserve"> </w:t>
      </w:r>
      <w:r w:rsidR="00033D0F">
        <w:t>not</w:t>
      </w:r>
      <w:r w:rsidR="00033D0F">
        <w:rPr>
          <w:spacing w:val="-6"/>
        </w:rPr>
        <w:t xml:space="preserve"> </w:t>
      </w:r>
      <w:r w:rsidR="00033D0F">
        <w:t>the</w:t>
      </w:r>
      <w:r w:rsidR="00033D0F">
        <w:rPr>
          <w:spacing w:val="-6"/>
        </w:rPr>
        <w:t xml:space="preserve"> </w:t>
      </w:r>
      <w:r w:rsidR="00033D0F">
        <w:t>key</w:t>
      </w:r>
      <w:r w:rsidR="00033D0F">
        <w:rPr>
          <w:spacing w:val="-5"/>
        </w:rPr>
        <w:t xml:space="preserve"> </w:t>
      </w:r>
      <w:r w:rsidR="00033D0F">
        <w:t>or</w:t>
      </w:r>
      <w:r w:rsidR="00033D0F">
        <w:rPr>
          <w:spacing w:val="-9"/>
        </w:rPr>
        <w:t xml:space="preserve"> </w:t>
      </w:r>
      <w:r w:rsidR="00033D0F">
        <w:t>driving factor for the domestic industry's situation or an indicator thereof";</w:t>
      </w:r>
      <w:hyperlink w:anchor="_bookmark916" w:history="1">
        <w:r w:rsidR="00033D0F">
          <w:rPr>
            <w:vertAlign w:val="superscript"/>
          </w:rPr>
          <w:t>778</w:t>
        </w:r>
      </w:hyperlink>
      <w:r w:rsidR="00033D0F">
        <w:t xml:space="preserve"> or (iii) </w:t>
      </w:r>
      <w:proofErr w:type="spellStart"/>
      <w:r w:rsidR="00033D0F">
        <w:t>labour</w:t>
      </w:r>
      <w:proofErr w:type="spellEnd"/>
      <w:r w:rsidR="00033D0F">
        <w:t xml:space="preserve"> productivity and salary per capita data did not negate, conflict or detract from the finding of a link between subject imports and the state observed in the domestic industry.</w:t>
      </w:r>
      <w:hyperlink w:anchor="_bookmark917" w:history="1">
        <w:r w:rsidR="00033D0F">
          <w:rPr>
            <w:vertAlign w:val="superscript"/>
          </w:rPr>
          <w:t>779</w:t>
        </w:r>
      </w:hyperlink>
    </w:p>
    <w:p w14:paraId="40975478" w14:textId="77777777" w:rsidR="00BD462C" w:rsidRDefault="00BD462C">
      <w:pPr>
        <w:pStyle w:val="BodyText"/>
        <w:spacing w:before="6"/>
        <w:rPr>
          <w:sz w:val="8"/>
        </w:rPr>
      </w:pPr>
    </w:p>
    <w:p w14:paraId="0890449B" w14:textId="2BC0A46F" w:rsidR="00BD462C" w:rsidRDefault="00387F6E">
      <w:pPr>
        <w:pStyle w:val="BodyText"/>
        <w:spacing w:before="56" w:line="357" w:lineRule="auto"/>
        <w:ind w:left="135" w:right="919"/>
        <w:jc w:val="both"/>
      </w:pPr>
      <w:r>
        <w:rPr>
          <w:noProof/>
        </w:rPr>
        <w:t>528.</w:t>
      </w:r>
      <w:r w:rsidR="00033D0F">
        <w:rPr>
          <w:rFonts w:ascii="Times New Roman"/>
          <w:spacing w:val="80"/>
          <w:position w:val="1"/>
          <w:sz w:val="20"/>
        </w:rPr>
        <w:t xml:space="preserve">  </w:t>
      </w:r>
      <w:r w:rsidR="00033D0F">
        <w:rPr>
          <w:position w:val="1"/>
        </w:rPr>
        <w:t xml:space="preserve">Rather, the evidence established that </w:t>
      </w:r>
      <w:proofErr w:type="spellStart"/>
      <w:r w:rsidR="00033D0F">
        <w:rPr>
          <w:position w:val="1"/>
        </w:rPr>
        <w:t>labour</w:t>
      </w:r>
      <w:proofErr w:type="spellEnd"/>
      <w:r w:rsidR="00033D0F">
        <w:rPr>
          <w:position w:val="1"/>
        </w:rPr>
        <w:t xml:space="preserve"> productivity exhibited and increasing </w:t>
      </w:r>
      <w:r w:rsidR="00033D0F">
        <w:t>trend</w:t>
      </w:r>
      <w:r w:rsidR="00033D0F">
        <w:rPr>
          <w:spacing w:val="-9"/>
        </w:rPr>
        <w:t xml:space="preserve"> </w:t>
      </w:r>
      <w:r w:rsidR="00033D0F">
        <w:t>between</w:t>
      </w:r>
      <w:r w:rsidR="00033D0F">
        <w:rPr>
          <w:spacing w:val="-9"/>
        </w:rPr>
        <w:t xml:space="preserve"> </w:t>
      </w:r>
      <w:r w:rsidR="00033D0F">
        <w:t>2015</w:t>
      </w:r>
      <w:r w:rsidR="00033D0F">
        <w:rPr>
          <w:spacing w:val="-5"/>
        </w:rPr>
        <w:t xml:space="preserve"> </w:t>
      </w:r>
      <w:r w:rsidR="00033D0F">
        <w:t>and</w:t>
      </w:r>
      <w:r w:rsidR="00033D0F">
        <w:rPr>
          <w:spacing w:val="-4"/>
        </w:rPr>
        <w:t xml:space="preserve"> </w:t>
      </w:r>
      <w:r w:rsidR="00033D0F">
        <w:t>2018,</w:t>
      </w:r>
      <w:r w:rsidR="00033D0F">
        <w:rPr>
          <w:spacing w:val="-5"/>
        </w:rPr>
        <w:t xml:space="preserve"> </w:t>
      </w:r>
      <w:r w:rsidR="00033D0F">
        <w:t>and</w:t>
      </w:r>
      <w:r w:rsidR="00033D0F">
        <w:rPr>
          <w:spacing w:val="-9"/>
        </w:rPr>
        <w:t xml:space="preserve"> </w:t>
      </w:r>
      <w:r w:rsidR="00033D0F">
        <w:t>then</w:t>
      </w:r>
      <w:r w:rsidR="00033D0F">
        <w:rPr>
          <w:spacing w:val="-4"/>
        </w:rPr>
        <w:t xml:space="preserve"> </w:t>
      </w:r>
      <w:r w:rsidR="00033D0F">
        <w:t>experienced</w:t>
      </w:r>
      <w:r w:rsidR="00033D0F">
        <w:rPr>
          <w:spacing w:val="-9"/>
        </w:rPr>
        <w:t xml:space="preserve"> </w:t>
      </w:r>
      <w:r w:rsidR="00033D0F">
        <w:t>a</w:t>
      </w:r>
      <w:r w:rsidR="00033D0F">
        <w:rPr>
          <w:spacing w:val="-8"/>
        </w:rPr>
        <w:t xml:space="preserve"> </w:t>
      </w:r>
      <w:r w:rsidR="00033D0F">
        <w:t>substantial</w:t>
      </w:r>
      <w:r w:rsidR="00033D0F">
        <w:rPr>
          <w:spacing w:val="-5"/>
        </w:rPr>
        <w:t xml:space="preserve"> </w:t>
      </w:r>
      <w:r w:rsidR="00033D0F">
        <w:t>decline</w:t>
      </w:r>
      <w:r w:rsidR="00033D0F">
        <w:rPr>
          <w:spacing w:val="-7"/>
        </w:rPr>
        <w:t xml:space="preserve"> </w:t>
      </w:r>
      <w:r w:rsidR="00033D0F">
        <w:t>between</w:t>
      </w:r>
      <w:r w:rsidR="00033D0F">
        <w:rPr>
          <w:spacing w:val="-9"/>
        </w:rPr>
        <w:t xml:space="preserve"> </w:t>
      </w:r>
      <w:r w:rsidR="00033D0F">
        <w:t>2018</w:t>
      </w:r>
      <w:r w:rsidR="00033D0F">
        <w:rPr>
          <w:spacing w:val="-9"/>
        </w:rPr>
        <w:t xml:space="preserve"> </w:t>
      </w:r>
      <w:r w:rsidR="00033D0F">
        <w:t>and 2019.</w:t>
      </w:r>
      <w:hyperlink w:anchor="_bookmark918" w:history="1">
        <w:r w:rsidR="00033D0F">
          <w:rPr>
            <w:vertAlign w:val="superscript"/>
          </w:rPr>
          <w:t>780</w:t>
        </w:r>
      </w:hyperlink>
      <w:r w:rsidR="00033D0F">
        <w:rPr>
          <w:spacing w:val="-3"/>
        </w:rPr>
        <w:t xml:space="preserve"> </w:t>
      </w:r>
      <w:r w:rsidR="00033D0F">
        <w:t>This</w:t>
      </w:r>
      <w:r w:rsidR="00033D0F">
        <w:rPr>
          <w:spacing w:val="-2"/>
        </w:rPr>
        <w:t xml:space="preserve"> </w:t>
      </w:r>
      <w:r w:rsidR="00033D0F">
        <w:t>trend</w:t>
      </w:r>
      <w:r w:rsidR="00033D0F">
        <w:rPr>
          <w:spacing w:val="-5"/>
        </w:rPr>
        <w:t xml:space="preserve"> </w:t>
      </w:r>
      <w:r w:rsidR="00033D0F">
        <w:t>conflicts</w:t>
      </w:r>
      <w:r w:rsidR="00033D0F">
        <w:rPr>
          <w:spacing w:val="-2"/>
        </w:rPr>
        <w:t xml:space="preserve"> </w:t>
      </w:r>
      <w:r w:rsidR="00033D0F">
        <w:t>with</w:t>
      </w:r>
      <w:r w:rsidR="00033D0F">
        <w:rPr>
          <w:spacing w:val="-5"/>
        </w:rPr>
        <w:t xml:space="preserve"> </w:t>
      </w:r>
      <w:r w:rsidR="00033D0F">
        <w:t>the</w:t>
      </w:r>
      <w:r w:rsidR="00033D0F">
        <w:rPr>
          <w:spacing w:val="-4"/>
        </w:rPr>
        <w:t xml:space="preserve"> </w:t>
      </w:r>
      <w:r w:rsidR="00033D0F">
        <w:t>year-to-year</w:t>
      </w:r>
      <w:r w:rsidR="00033D0F">
        <w:rPr>
          <w:spacing w:val="-6"/>
        </w:rPr>
        <w:t xml:space="preserve"> </w:t>
      </w:r>
      <w:r w:rsidR="00033D0F">
        <w:t>decline</w:t>
      </w:r>
      <w:r w:rsidR="00033D0F">
        <w:rPr>
          <w:spacing w:val="-4"/>
        </w:rPr>
        <w:t xml:space="preserve"> </w:t>
      </w:r>
      <w:r w:rsidR="00033D0F">
        <w:t>trends</w:t>
      </w:r>
      <w:r w:rsidR="00033D0F">
        <w:rPr>
          <w:spacing w:val="-2"/>
        </w:rPr>
        <w:t xml:space="preserve"> </w:t>
      </w:r>
      <w:r w:rsidR="00033D0F">
        <w:t>exhibited</w:t>
      </w:r>
      <w:r w:rsidR="00033D0F">
        <w:rPr>
          <w:spacing w:val="-5"/>
        </w:rPr>
        <w:t xml:space="preserve"> </w:t>
      </w:r>
      <w:r w:rsidR="00033D0F">
        <w:t>by</w:t>
      </w:r>
      <w:r w:rsidR="00033D0F">
        <w:rPr>
          <w:spacing w:val="-2"/>
        </w:rPr>
        <w:t xml:space="preserve"> </w:t>
      </w:r>
      <w:r w:rsidR="00033D0F">
        <w:t>production</w:t>
      </w:r>
      <w:r w:rsidR="00033D0F">
        <w:rPr>
          <w:spacing w:val="-5"/>
        </w:rPr>
        <w:t xml:space="preserve"> </w:t>
      </w:r>
      <w:r w:rsidR="00033D0F">
        <w:t>and</w:t>
      </w:r>
    </w:p>
    <w:p w14:paraId="21A4ACF3" w14:textId="77777777" w:rsidR="00BD462C" w:rsidRDefault="00BD462C">
      <w:pPr>
        <w:pStyle w:val="BodyText"/>
        <w:rPr>
          <w:sz w:val="20"/>
        </w:rPr>
      </w:pPr>
    </w:p>
    <w:p w14:paraId="458BBA6C" w14:textId="241E71FB" w:rsidR="00BD462C" w:rsidRDefault="00752F01">
      <w:pPr>
        <w:pStyle w:val="BodyText"/>
        <w:rPr>
          <w:sz w:val="20"/>
        </w:rPr>
      </w:pPr>
      <w:r>
        <w:rPr>
          <w:noProof/>
        </w:rPr>
        <mc:AlternateContent>
          <mc:Choice Requires="wps">
            <w:drawing>
              <wp:anchor distT="0" distB="0" distL="0" distR="0" simplePos="0" relativeHeight="488282624" behindDoc="1" locked="0" layoutInCell="1" allowOverlap="1" wp14:anchorId="7957DB82" wp14:editId="3F0762FB">
                <wp:simplePos x="0" y="0"/>
                <wp:positionH relativeFrom="page">
                  <wp:posOffset>812800</wp:posOffset>
                </wp:positionH>
                <wp:positionV relativeFrom="paragraph">
                  <wp:posOffset>311150</wp:posOffset>
                </wp:positionV>
                <wp:extent cx="1828800" cy="8890"/>
                <wp:effectExtent l="0" t="0" r="0" b="0"/>
                <wp:wrapTopAndBottom/>
                <wp:docPr id="261" name="docshape4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A69FCF" id="docshape414" o:spid="_x0000_s1026" alt="&quot;&quot;" style="position:absolute;margin-left:64pt;margin-top:24.5pt;width:2in;height:.7pt;z-index:-15033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" fillcolor="black" stroked="f">
                <w10:wrap type="topAndBottom" anchorx="page"/>
              </v:rect>
            </w:pict>
          </mc:Fallback>
        </mc:AlternateContent>
      </w:r>
    </w:p>
    <w:p w14:paraId="1C7B9A67" w14:textId="276D3888" w:rsidR="00BD462C" w:rsidRDefault="00BD462C">
      <w:pPr>
        <w:pStyle w:val="BodyText"/>
        <w:spacing w:before="9"/>
        <w:rPr>
          <w:sz w:val="19"/>
        </w:rPr>
      </w:pPr>
    </w:p>
    <w:p w14:paraId="4CDF1ABD" w14:textId="77777777" w:rsidR="00BD462C" w:rsidRDefault="00033D0F">
      <w:pPr>
        <w:spacing w:before="112" w:line="218" w:lineRule="exact"/>
        <w:ind w:left="135"/>
        <w:jc w:val="both"/>
        <w:rPr>
          <w:sz w:val="18"/>
        </w:rPr>
      </w:pPr>
      <w:bookmarkStart w:id="1058" w:name="_bookmark910"/>
      <w:bookmarkEnd w:id="1058"/>
      <w:r>
        <w:rPr>
          <w:position w:val="5"/>
          <w:sz w:val="12"/>
        </w:rPr>
        <w:t>772</w:t>
      </w:r>
      <w:r>
        <w:rPr>
          <w:spacing w:val="12"/>
          <w:position w:val="5"/>
          <w:sz w:val="12"/>
        </w:rPr>
        <w:t xml:space="preserve"> </w:t>
      </w:r>
      <w:r>
        <w:rPr>
          <w:sz w:val="18"/>
        </w:rPr>
        <w:t>China's</w:t>
      </w:r>
      <w:r>
        <w:rPr>
          <w:spacing w:val="-6"/>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 paras.</w:t>
      </w:r>
      <w:r>
        <w:rPr>
          <w:spacing w:val="-5"/>
          <w:sz w:val="18"/>
        </w:rPr>
        <w:t xml:space="preserve"> </w:t>
      </w:r>
      <w:r>
        <w:rPr>
          <w:sz w:val="18"/>
        </w:rPr>
        <w:t>1485-</w:t>
      </w:r>
      <w:r>
        <w:rPr>
          <w:spacing w:val="-2"/>
          <w:sz w:val="18"/>
        </w:rPr>
        <w:t>1530.</w:t>
      </w:r>
    </w:p>
    <w:p w14:paraId="26119CC7" w14:textId="77777777" w:rsidR="00BD462C" w:rsidRDefault="00033D0F">
      <w:pPr>
        <w:spacing w:line="218" w:lineRule="exact"/>
        <w:ind w:left="135"/>
        <w:jc w:val="both"/>
        <w:rPr>
          <w:sz w:val="18"/>
        </w:rPr>
      </w:pPr>
      <w:bookmarkStart w:id="1059" w:name="_bookmark911"/>
      <w:bookmarkEnd w:id="1059"/>
      <w:r>
        <w:rPr>
          <w:position w:val="5"/>
          <w:sz w:val="12"/>
        </w:rPr>
        <w:t>773</w:t>
      </w:r>
      <w:r>
        <w:rPr>
          <w:spacing w:val="15"/>
          <w:position w:val="5"/>
          <w:sz w:val="12"/>
        </w:rPr>
        <w:t xml:space="preserve"> </w:t>
      </w:r>
      <w:r>
        <w:rPr>
          <w:sz w:val="18"/>
        </w:rPr>
        <w:t>Panel</w:t>
      </w:r>
      <w:r>
        <w:rPr>
          <w:spacing w:val="-3"/>
          <w:sz w:val="18"/>
        </w:rPr>
        <w:t xml:space="preserve"> </w:t>
      </w:r>
      <w:r>
        <w:rPr>
          <w:sz w:val="18"/>
        </w:rPr>
        <w:t>Reports,</w:t>
      </w:r>
      <w:r>
        <w:rPr>
          <w:spacing w:val="-2"/>
          <w:sz w:val="18"/>
        </w:rPr>
        <w:t xml:space="preserve"> </w:t>
      </w:r>
      <w:r>
        <w:rPr>
          <w:i/>
          <w:sz w:val="18"/>
        </w:rPr>
        <w:t>Egypt</w:t>
      </w:r>
      <w:r>
        <w:rPr>
          <w:i/>
          <w:spacing w:val="-3"/>
          <w:sz w:val="18"/>
        </w:rPr>
        <w:t xml:space="preserve"> </w:t>
      </w:r>
      <w:r>
        <w:rPr>
          <w:i/>
          <w:sz w:val="18"/>
        </w:rPr>
        <w:t>– Steel</w:t>
      </w:r>
      <w:r>
        <w:rPr>
          <w:i/>
          <w:spacing w:val="-7"/>
          <w:sz w:val="18"/>
        </w:rPr>
        <w:t xml:space="preserve"> </w:t>
      </w:r>
      <w:r>
        <w:rPr>
          <w:i/>
          <w:sz w:val="18"/>
        </w:rPr>
        <w:t>Rebar</w:t>
      </w:r>
      <w:r>
        <w:rPr>
          <w:sz w:val="18"/>
        </w:rPr>
        <w:t>,</w:t>
      </w:r>
      <w:r>
        <w:rPr>
          <w:spacing w:val="-2"/>
          <w:sz w:val="18"/>
        </w:rPr>
        <w:t xml:space="preserve"> </w:t>
      </w:r>
      <w:r>
        <w:rPr>
          <w:sz w:val="18"/>
        </w:rPr>
        <w:t>para.</w:t>
      </w:r>
      <w:r>
        <w:rPr>
          <w:spacing w:val="-2"/>
          <w:sz w:val="18"/>
        </w:rPr>
        <w:t xml:space="preserve"> </w:t>
      </w:r>
      <w:r>
        <w:rPr>
          <w:sz w:val="18"/>
        </w:rPr>
        <w:t>7.44;</w:t>
      </w:r>
      <w:r>
        <w:rPr>
          <w:spacing w:val="-6"/>
          <w:sz w:val="18"/>
        </w:rPr>
        <w:t xml:space="preserve"> </w:t>
      </w:r>
      <w:r>
        <w:rPr>
          <w:i/>
          <w:sz w:val="18"/>
        </w:rPr>
        <w:t>Korea</w:t>
      </w:r>
      <w:r>
        <w:rPr>
          <w:i/>
          <w:spacing w:val="-2"/>
          <w:sz w:val="18"/>
        </w:rPr>
        <w:t xml:space="preserve"> </w:t>
      </w:r>
      <w:r>
        <w:rPr>
          <w:i/>
          <w:sz w:val="18"/>
        </w:rPr>
        <w:t>–</w:t>
      </w:r>
      <w:r>
        <w:rPr>
          <w:i/>
          <w:spacing w:val="-4"/>
          <w:sz w:val="18"/>
        </w:rPr>
        <w:t xml:space="preserve"> </w:t>
      </w:r>
      <w:r>
        <w:rPr>
          <w:i/>
          <w:sz w:val="18"/>
        </w:rPr>
        <w:t>Certain</w:t>
      </w:r>
      <w:r>
        <w:rPr>
          <w:i/>
          <w:spacing w:val="-6"/>
          <w:sz w:val="18"/>
        </w:rPr>
        <w:t xml:space="preserve"> </w:t>
      </w:r>
      <w:r>
        <w:rPr>
          <w:i/>
          <w:sz w:val="18"/>
        </w:rPr>
        <w:t>Paper</w:t>
      </w:r>
      <w:r>
        <w:rPr>
          <w:sz w:val="18"/>
        </w:rPr>
        <w:t>,</w:t>
      </w:r>
      <w:r>
        <w:rPr>
          <w:spacing w:val="-2"/>
          <w:sz w:val="18"/>
        </w:rPr>
        <w:t xml:space="preserve"> </w:t>
      </w:r>
      <w:r>
        <w:rPr>
          <w:sz w:val="18"/>
        </w:rPr>
        <w:t>para.</w:t>
      </w:r>
      <w:r>
        <w:rPr>
          <w:spacing w:val="-3"/>
          <w:sz w:val="18"/>
        </w:rPr>
        <w:t xml:space="preserve"> </w:t>
      </w:r>
      <w:r>
        <w:rPr>
          <w:spacing w:val="-2"/>
          <w:sz w:val="18"/>
        </w:rPr>
        <w:t>7.268.</w:t>
      </w:r>
    </w:p>
    <w:p w14:paraId="0CB84926" w14:textId="77777777" w:rsidR="00BD462C" w:rsidRDefault="00033D0F">
      <w:pPr>
        <w:spacing w:before="1"/>
        <w:ind w:left="136" w:right="905" w:hanging="1"/>
        <w:jc w:val="both"/>
        <w:rPr>
          <w:sz w:val="18"/>
        </w:rPr>
      </w:pPr>
      <w:bookmarkStart w:id="1060" w:name="_bookmark912"/>
      <w:bookmarkEnd w:id="1060"/>
      <w:r>
        <w:rPr>
          <w:position w:val="5"/>
          <w:sz w:val="12"/>
        </w:rPr>
        <w:t>774</w:t>
      </w:r>
      <w:r>
        <w:rPr>
          <w:spacing w:val="31"/>
          <w:position w:val="5"/>
          <w:sz w:val="12"/>
        </w:rPr>
        <w:t xml:space="preserve"> </w:t>
      </w:r>
      <w:r>
        <w:rPr>
          <w:sz w:val="18"/>
        </w:rPr>
        <w:t xml:space="preserve">China's analysis of the impact of subject imports on productivity, </w:t>
      </w:r>
      <w:proofErr w:type="spellStart"/>
      <w:r>
        <w:rPr>
          <w:sz w:val="18"/>
        </w:rPr>
        <w:t>labour</w:t>
      </w:r>
      <w:proofErr w:type="spellEnd"/>
      <w:r>
        <w:rPr>
          <w:sz w:val="18"/>
        </w:rPr>
        <w:t xml:space="preserve"> costs and salary per capita is entirely </w:t>
      </w:r>
      <w:r>
        <w:rPr>
          <w:i/>
          <w:sz w:val="18"/>
        </w:rPr>
        <w:t xml:space="preserve">ex-post </w:t>
      </w:r>
      <w:r>
        <w:rPr>
          <w:sz w:val="18"/>
        </w:rPr>
        <w:t xml:space="preserve">(China's first written submission, paras. 1514, 1515, 1522-1523). With respect to China's </w:t>
      </w:r>
      <w:r>
        <w:rPr>
          <w:i/>
          <w:sz w:val="18"/>
        </w:rPr>
        <w:t xml:space="preserve">ex post </w:t>
      </w:r>
      <w:proofErr w:type="spellStart"/>
      <w:r>
        <w:rPr>
          <w:sz w:val="18"/>
        </w:rPr>
        <w:t>rationalisation</w:t>
      </w:r>
      <w:proofErr w:type="spellEnd"/>
      <w:r>
        <w:rPr>
          <w:sz w:val="18"/>
        </w:rPr>
        <w:t xml:space="preserve"> that "productivity was also evaluated</w:t>
      </w:r>
      <w:r>
        <w:rPr>
          <w:spacing w:val="-4"/>
          <w:sz w:val="18"/>
        </w:rPr>
        <w:t xml:space="preserve"> </w:t>
      </w:r>
      <w:r>
        <w:rPr>
          <w:sz w:val="18"/>
        </w:rPr>
        <w:t>implicitly" (China's</w:t>
      </w:r>
      <w:r>
        <w:rPr>
          <w:spacing w:val="-3"/>
          <w:sz w:val="18"/>
        </w:rPr>
        <w:t xml:space="preserve"> </w:t>
      </w:r>
      <w:r>
        <w:rPr>
          <w:sz w:val="18"/>
        </w:rPr>
        <w:t>first</w:t>
      </w:r>
      <w:r>
        <w:rPr>
          <w:spacing w:val="-2"/>
          <w:sz w:val="18"/>
        </w:rPr>
        <w:t xml:space="preserve"> </w:t>
      </w:r>
      <w:r>
        <w:rPr>
          <w:sz w:val="18"/>
        </w:rPr>
        <w:t>written</w:t>
      </w:r>
      <w:r>
        <w:rPr>
          <w:spacing w:val="-4"/>
          <w:sz w:val="18"/>
        </w:rPr>
        <w:t xml:space="preserve"> </w:t>
      </w:r>
      <w:r>
        <w:rPr>
          <w:sz w:val="18"/>
        </w:rPr>
        <w:t>submission, para. 1513; China's</w:t>
      </w:r>
      <w:r>
        <w:rPr>
          <w:spacing w:val="-3"/>
          <w:sz w:val="18"/>
        </w:rPr>
        <w:t xml:space="preserve"> </w:t>
      </w:r>
      <w:r>
        <w:rPr>
          <w:sz w:val="18"/>
        </w:rPr>
        <w:t xml:space="preserve">response to Panel question no. 34, para. 194), this assertion acknowledges the absence of an evaluation of </w:t>
      </w:r>
      <w:proofErr w:type="spellStart"/>
      <w:r>
        <w:rPr>
          <w:sz w:val="18"/>
        </w:rPr>
        <w:t>labour</w:t>
      </w:r>
      <w:proofErr w:type="spellEnd"/>
      <w:r>
        <w:rPr>
          <w:sz w:val="18"/>
        </w:rPr>
        <w:t xml:space="preserve"> productivity in the text of the Final Determination and is insufficient to remedy that omission.</w:t>
      </w:r>
    </w:p>
    <w:p w14:paraId="14DAFBE4" w14:textId="77777777" w:rsidR="00BD462C" w:rsidRDefault="00033D0F">
      <w:pPr>
        <w:ind w:left="135"/>
        <w:jc w:val="both"/>
        <w:rPr>
          <w:sz w:val="18"/>
        </w:rPr>
      </w:pPr>
      <w:bookmarkStart w:id="1061" w:name="_bookmark913"/>
      <w:bookmarkEnd w:id="1061"/>
      <w:r>
        <w:rPr>
          <w:position w:val="5"/>
          <w:sz w:val="12"/>
        </w:rPr>
        <w:t>775</w:t>
      </w:r>
      <w:r>
        <w:rPr>
          <w:spacing w:val="13"/>
          <w:position w:val="5"/>
          <w:sz w:val="12"/>
        </w:rPr>
        <w:t xml:space="preserve"> </w:t>
      </w:r>
      <w:r>
        <w:rPr>
          <w:sz w:val="18"/>
        </w:rPr>
        <w:t>China's</w:t>
      </w:r>
      <w:r>
        <w:rPr>
          <w:spacing w:val="-5"/>
          <w:sz w:val="18"/>
        </w:rPr>
        <w:t xml:space="preserve"> </w:t>
      </w:r>
      <w:r>
        <w:rPr>
          <w:sz w:val="18"/>
        </w:rPr>
        <w:t>first</w:t>
      </w:r>
      <w:r>
        <w:rPr>
          <w:spacing w:val="-4"/>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paras.</w:t>
      </w:r>
      <w:r>
        <w:rPr>
          <w:spacing w:val="-4"/>
          <w:sz w:val="18"/>
        </w:rPr>
        <w:t xml:space="preserve"> </w:t>
      </w:r>
      <w:r>
        <w:rPr>
          <w:sz w:val="18"/>
        </w:rPr>
        <w:t>1514,</w:t>
      </w:r>
      <w:r>
        <w:rPr>
          <w:spacing w:val="-4"/>
          <w:sz w:val="18"/>
        </w:rPr>
        <w:t xml:space="preserve"> </w:t>
      </w:r>
      <w:r>
        <w:rPr>
          <w:sz w:val="18"/>
        </w:rPr>
        <w:t>1513-1523;</w:t>
      </w:r>
      <w:r>
        <w:rPr>
          <w:spacing w:val="-7"/>
          <w:sz w:val="18"/>
        </w:rPr>
        <w:t xml:space="preserve"> </w:t>
      </w:r>
      <w:r>
        <w:rPr>
          <w:sz w:val="18"/>
        </w:rPr>
        <w:t>response</w:t>
      </w:r>
      <w:r>
        <w:rPr>
          <w:spacing w:val="-5"/>
          <w:sz w:val="18"/>
        </w:rPr>
        <w:t xml:space="preserve"> </w:t>
      </w:r>
      <w:r>
        <w:rPr>
          <w:sz w:val="18"/>
        </w:rPr>
        <w:t>to</w:t>
      </w:r>
      <w:r>
        <w:rPr>
          <w:spacing w:val="-6"/>
          <w:sz w:val="18"/>
        </w:rPr>
        <w:t xml:space="preserve"> </w:t>
      </w:r>
      <w:r>
        <w:rPr>
          <w:sz w:val="18"/>
        </w:rPr>
        <w:t>Panel</w:t>
      </w:r>
      <w:r>
        <w:rPr>
          <w:spacing w:val="-4"/>
          <w:sz w:val="18"/>
        </w:rPr>
        <w:t xml:space="preserve"> </w:t>
      </w:r>
      <w:r>
        <w:rPr>
          <w:sz w:val="18"/>
        </w:rPr>
        <w:t>question</w:t>
      </w:r>
      <w:r>
        <w:rPr>
          <w:spacing w:val="-6"/>
          <w:sz w:val="18"/>
        </w:rPr>
        <w:t xml:space="preserve"> </w:t>
      </w:r>
      <w:r>
        <w:rPr>
          <w:sz w:val="18"/>
        </w:rPr>
        <w:t>Nos.</w:t>
      </w:r>
      <w:r>
        <w:rPr>
          <w:spacing w:val="-4"/>
          <w:sz w:val="18"/>
        </w:rPr>
        <w:t xml:space="preserve"> </w:t>
      </w:r>
      <w:r>
        <w:rPr>
          <w:sz w:val="18"/>
        </w:rPr>
        <w:t>34</w:t>
      </w:r>
      <w:r>
        <w:rPr>
          <w:spacing w:val="-3"/>
          <w:sz w:val="18"/>
        </w:rPr>
        <w:t xml:space="preserve"> </w:t>
      </w:r>
      <w:r>
        <w:rPr>
          <w:sz w:val="18"/>
        </w:rPr>
        <w:t>and</w:t>
      </w:r>
      <w:r>
        <w:rPr>
          <w:spacing w:val="-1"/>
          <w:sz w:val="18"/>
        </w:rPr>
        <w:t xml:space="preserve"> </w:t>
      </w:r>
      <w:r>
        <w:rPr>
          <w:spacing w:val="-5"/>
          <w:sz w:val="18"/>
        </w:rPr>
        <w:t>35.</w:t>
      </w:r>
    </w:p>
    <w:p w14:paraId="2FFE1F70" w14:textId="77777777" w:rsidR="00BD462C" w:rsidRDefault="00033D0F">
      <w:pPr>
        <w:spacing w:before="3" w:line="237" w:lineRule="auto"/>
        <w:ind w:left="135" w:right="909"/>
        <w:jc w:val="both"/>
        <w:rPr>
          <w:sz w:val="18"/>
        </w:rPr>
      </w:pPr>
      <w:bookmarkStart w:id="1062" w:name="_bookmark914"/>
      <w:bookmarkEnd w:id="1062"/>
      <w:r>
        <w:rPr>
          <w:position w:val="5"/>
          <w:sz w:val="12"/>
        </w:rPr>
        <w:t>776</w:t>
      </w:r>
      <w:r>
        <w:rPr>
          <w:spacing w:val="20"/>
          <w:position w:val="5"/>
          <w:sz w:val="12"/>
        </w:rPr>
        <w:t xml:space="preserve"> </w:t>
      </w:r>
      <w:r>
        <w:rPr>
          <w:sz w:val="18"/>
        </w:rPr>
        <w:t>China's first written submission, paras. 1514, 1513-1523; response to Panel question</w:t>
      </w:r>
      <w:r>
        <w:rPr>
          <w:spacing w:val="-5"/>
          <w:sz w:val="18"/>
        </w:rPr>
        <w:t xml:space="preserve"> </w:t>
      </w:r>
      <w:r>
        <w:rPr>
          <w:sz w:val="18"/>
        </w:rPr>
        <w:t>Nos. 34</w:t>
      </w:r>
      <w:r>
        <w:rPr>
          <w:spacing w:val="-1"/>
          <w:sz w:val="18"/>
        </w:rPr>
        <w:t xml:space="preserve"> </w:t>
      </w:r>
      <w:r>
        <w:rPr>
          <w:sz w:val="18"/>
        </w:rPr>
        <w:t xml:space="preserve">and 35. The extracts of the Final Determination relied on by China do not show any evaluation of the relationship between subject imports and </w:t>
      </w:r>
      <w:proofErr w:type="spellStart"/>
      <w:r>
        <w:rPr>
          <w:sz w:val="18"/>
        </w:rPr>
        <w:t>labour</w:t>
      </w:r>
      <w:proofErr w:type="spellEnd"/>
      <w:r>
        <w:rPr>
          <w:sz w:val="18"/>
        </w:rPr>
        <w:t xml:space="preserve"> productivity or salaries.</w:t>
      </w:r>
    </w:p>
    <w:p w14:paraId="4308DBB6" w14:textId="77777777" w:rsidR="00BD462C" w:rsidRDefault="00033D0F">
      <w:pPr>
        <w:spacing w:before="3"/>
        <w:ind w:left="135"/>
        <w:rPr>
          <w:sz w:val="18"/>
        </w:rPr>
      </w:pPr>
      <w:bookmarkStart w:id="1063" w:name="_bookmark915"/>
      <w:bookmarkEnd w:id="1063"/>
      <w:r>
        <w:rPr>
          <w:position w:val="5"/>
          <w:sz w:val="12"/>
        </w:rPr>
        <w:t>777</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 xml:space="preserve">submission, para. </w:t>
      </w:r>
      <w:r>
        <w:rPr>
          <w:spacing w:val="-2"/>
          <w:sz w:val="18"/>
        </w:rPr>
        <w:t>1515.</w:t>
      </w:r>
    </w:p>
    <w:p w14:paraId="45E1AEA8" w14:textId="77777777" w:rsidR="00BD462C" w:rsidRDefault="00033D0F">
      <w:pPr>
        <w:spacing w:before="1"/>
        <w:ind w:left="135"/>
        <w:rPr>
          <w:sz w:val="18"/>
        </w:rPr>
      </w:pPr>
      <w:bookmarkStart w:id="1064" w:name="_bookmark916"/>
      <w:bookmarkEnd w:id="1064"/>
      <w:r>
        <w:rPr>
          <w:position w:val="5"/>
          <w:sz w:val="12"/>
        </w:rPr>
        <w:t>778</w:t>
      </w:r>
      <w:r>
        <w:rPr>
          <w:spacing w:val="13"/>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 xml:space="preserve">para. </w:t>
      </w:r>
      <w:r>
        <w:rPr>
          <w:spacing w:val="-2"/>
          <w:sz w:val="18"/>
        </w:rPr>
        <w:t>1515.</w:t>
      </w:r>
    </w:p>
    <w:p w14:paraId="7DF63F31" w14:textId="77777777" w:rsidR="00BD462C" w:rsidRDefault="00033D0F">
      <w:pPr>
        <w:spacing w:before="1"/>
        <w:ind w:left="135"/>
        <w:rPr>
          <w:sz w:val="18"/>
        </w:rPr>
      </w:pPr>
      <w:bookmarkStart w:id="1065" w:name="_bookmark917"/>
      <w:bookmarkEnd w:id="1065"/>
      <w:r>
        <w:rPr>
          <w:position w:val="5"/>
          <w:sz w:val="12"/>
        </w:rPr>
        <w:t>779</w:t>
      </w:r>
      <w:r>
        <w:rPr>
          <w:spacing w:val="12"/>
          <w:position w:val="5"/>
          <w:sz w:val="12"/>
        </w:rPr>
        <w:t xml:space="preserve"> </w:t>
      </w:r>
      <w:r>
        <w:rPr>
          <w:sz w:val="18"/>
        </w:rPr>
        <w:t>China's</w:t>
      </w:r>
      <w:r>
        <w:rPr>
          <w:spacing w:val="-7"/>
          <w:sz w:val="18"/>
        </w:rPr>
        <w:t xml:space="preserve"> </w:t>
      </w:r>
      <w:r>
        <w:rPr>
          <w:sz w:val="18"/>
        </w:rPr>
        <w:t>first</w:t>
      </w:r>
      <w:r>
        <w:rPr>
          <w:spacing w:val="-5"/>
          <w:sz w:val="18"/>
        </w:rPr>
        <w:t xml:space="preserve"> </w:t>
      </w:r>
      <w:r>
        <w:rPr>
          <w:sz w:val="18"/>
        </w:rPr>
        <w:t>written</w:t>
      </w:r>
      <w:r>
        <w:rPr>
          <w:spacing w:val="-8"/>
          <w:sz w:val="18"/>
        </w:rPr>
        <w:t xml:space="preserve"> </w:t>
      </w:r>
      <w:r>
        <w:rPr>
          <w:sz w:val="18"/>
        </w:rPr>
        <w:t>submission, para.</w:t>
      </w:r>
      <w:r>
        <w:rPr>
          <w:spacing w:val="-1"/>
          <w:sz w:val="18"/>
        </w:rPr>
        <w:t xml:space="preserve"> </w:t>
      </w:r>
      <w:r>
        <w:rPr>
          <w:sz w:val="18"/>
        </w:rPr>
        <w:t>1514,</w:t>
      </w:r>
      <w:r>
        <w:rPr>
          <w:spacing w:val="-4"/>
          <w:sz w:val="18"/>
        </w:rPr>
        <w:t xml:space="preserve"> </w:t>
      </w:r>
      <w:r>
        <w:rPr>
          <w:sz w:val="18"/>
        </w:rPr>
        <w:t>1522-</w:t>
      </w:r>
      <w:r>
        <w:rPr>
          <w:spacing w:val="-2"/>
          <w:sz w:val="18"/>
        </w:rPr>
        <w:t>1523.</w:t>
      </w:r>
    </w:p>
    <w:p w14:paraId="6AE324AC" w14:textId="77777777" w:rsidR="00BD462C" w:rsidRDefault="00033D0F">
      <w:pPr>
        <w:spacing w:before="1"/>
        <w:ind w:left="135"/>
        <w:rPr>
          <w:sz w:val="18"/>
        </w:rPr>
      </w:pPr>
      <w:bookmarkStart w:id="1066" w:name="_bookmark918"/>
      <w:bookmarkEnd w:id="1066"/>
      <w:r>
        <w:rPr>
          <w:position w:val="5"/>
          <w:sz w:val="12"/>
        </w:rPr>
        <w:t>780</w:t>
      </w:r>
      <w:r>
        <w:rPr>
          <w:spacing w:val="12"/>
          <w:position w:val="5"/>
          <w:sz w:val="12"/>
        </w:rPr>
        <w:t xml:space="preserve"> </w:t>
      </w:r>
      <w:r>
        <w:rPr>
          <w:sz w:val="18"/>
        </w:rPr>
        <w:t>Final</w:t>
      </w:r>
      <w:r>
        <w:rPr>
          <w:spacing w:val="-5"/>
          <w:sz w:val="18"/>
        </w:rPr>
        <w:t xml:space="preserve"> </w:t>
      </w:r>
      <w:r>
        <w:rPr>
          <w:sz w:val="18"/>
        </w:rPr>
        <w:t>Determination</w:t>
      </w:r>
      <w:r>
        <w:rPr>
          <w:spacing w:val="-7"/>
          <w:sz w:val="18"/>
        </w:rPr>
        <w:t xml:space="preserve"> </w:t>
      </w:r>
      <w:r>
        <w:rPr>
          <w:sz w:val="18"/>
        </w:rPr>
        <w:t>(Exhibit</w:t>
      </w:r>
      <w:r>
        <w:rPr>
          <w:spacing w:val="-1"/>
          <w:sz w:val="18"/>
        </w:rPr>
        <w:t xml:space="preserve"> </w:t>
      </w:r>
      <w:r>
        <w:rPr>
          <w:sz w:val="18"/>
        </w:rPr>
        <w:t>CHN-1),</w:t>
      </w:r>
      <w:r>
        <w:rPr>
          <w:spacing w:val="-4"/>
          <w:sz w:val="18"/>
        </w:rPr>
        <w:t xml:space="preserve"> </w:t>
      </w:r>
      <w:r>
        <w:rPr>
          <w:sz w:val="18"/>
        </w:rPr>
        <w:t>p. 62;</w:t>
      </w:r>
      <w:r>
        <w:rPr>
          <w:spacing w:val="-8"/>
          <w:sz w:val="18"/>
        </w:rPr>
        <w:t xml:space="preserve"> </w:t>
      </w:r>
      <w:r>
        <w:rPr>
          <w:sz w:val="18"/>
        </w:rPr>
        <w:t>Anti-Dumping</w:t>
      </w:r>
      <w:r>
        <w:rPr>
          <w:spacing w:val="-5"/>
          <w:sz w:val="18"/>
        </w:rPr>
        <w:t xml:space="preserve"> </w:t>
      </w:r>
      <w:r>
        <w:rPr>
          <w:sz w:val="18"/>
        </w:rPr>
        <w:t>Final</w:t>
      </w:r>
      <w:r>
        <w:rPr>
          <w:spacing w:val="-2"/>
          <w:sz w:val="18"/>
        </w:rPr>
        <w:t xml:space="preserve"> </w:t>
      </w:r>
      <w:r>
        <w:rPr>
          <w:sz w:val="18"/>
        </w:rPr>
        <w:t>Determination</w:t>
      </w:r>
      <w:r>
        <w:rPr>
          <w:spacing w:val="-10"/>
          <w:sz w:val="18"/>
        </w:rPr>
        <w:t xml:space="preserve"> </w:t>
      </w:r>
      <w:r>
        <w:rPr>
          <w:sz w:val="18"/>
        </w:rPr>
        <w:t>(Exhibit</w:t>
      </w:r>
      <w:r>
        <w:rPr>
          <w:spacing w:val="-5"/>
          <w:sz w:val="18"/>
        </w:rPr>
        <w:t xml:space="preserve"> </w:t>
      </w:r>
      <w:r>
        <w:rPr>
          <w:sz w:val="18"/>
        </w:rPr>
        <w:t>AUS-2),</w:t>
      </w:r>
      <w:r>
        <w:rPr>
          <w:spacing w:val="-3"/>
          <w:sz w:val="18"/>
        </w:rPr>
        <w:t xml:space="preserve"> </w:t>
      </w:r>
      <w:r>
        <w:rPr>
          <w:sz w:val="18"/>
        </w:rPr>
        <w:t>p.</w:t>
      </w:r>
      <w:r>
        <w:rPr>
          <w:spacing w:val="-1"/>
          <w:sz w:val="18"/>
        </w:rPr>
        <w:t xml:space="preserve"> </w:t>
      </w:r>
      <w:r>
        <w:rPr>
          <w:spacing w:val="-4"/>
          <w:sz w:val="18"/>
        </w:rPr>
        <w:t>127.</w:t>
      </w:r>
    </w:p>
    <w:p w14:paraId="2702CDA7" w14:textId="77777777" w:rsidR="00BD462C" w:rsidRDefault="00BD462C">
      <w:pPr>
        <w:rPr>
          <w:sz w:val="18"/>
        </w:rPr>
        <w:sectPr w:rsidR="00BD462C">
          <w:pgSz w:w="11910" w:h="16840"/>
          <w:pgMar w:top="860" w:right="500" w:bottom="780" w:left="1280" w:header="566" w:footer="590" w:gutter="0"/>
          <w:cols w:space="720"/>
        </w:sectPr>
      </w:pPr>
    </w:p>
    <w:p w14:paraId="31983A30"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37FD17F5"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038CE7A7"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4F9F9662" w14:textId="77777777" w:rsidR="00BD462C" w:rsidRDefault="00033D0F">
      <w:pPr>
        <w:pStyle w:val="BodyText"/>
        <w:spacing w:before="102" w:line="360" w:lineRule="auto"/>
        <w:ind w:left="135" w:right="910"/>
        <w:jc w:val="both"/>
      </w:pPr>
      <w:r>
        <w:t>employment.</w:t>
      </w:r>
      <w:hyperlink w:anchor="_bookmark919" w:history="1">
        <w:r>
          <w:rPr>
            <w:vertAlign w:val="superscript"/>
          </w:rPr>
          <w:t>781</w:t>
        </w:r>
      </w:hyperlink>
      <w:r>
        <w:t xml:space="preserve"> MOFCOM was required to explain how conflicting trends in the data were considered in its analysis.</w:t>
      </w:r>
      <w:hyperlink w:anchor="_bookmark920" w:history="1">
        <w:r>
          <w:rPr>
            <w:vertAlign w:val="superscript"/>
          </w:rPr>
          <w:t>782</w:t>
        </w:r>
      </w:hyperlink>
      <w:r>
        <w:t xml:space="preserve"> There is nothing on the investigation record to suggest that MOFCOM did so. Indeed, China's assertion that productivity was somehow evaluated "implicitly" acknowledges the absence of an evaluation of </w:t>
      </w:r>
      <w:proofErr w:type="spellStart"/>
      <w:r>
        <w:t>labour</w:t>
      </w:r>
      <w:proofErr w:type="spellEnd"/>
      <w:r>
        <w:t xml:space="preserve"> productivity in the text of the</w:t>
      </w:r>
      <w:r>
        <w:rPr>
          <w:spacing w:val="-7"/>
        </w:rPr>
        <w:t xml:space="preserve"> </w:t>
      </w:r>
      <w:r>
        <w:t>Final</w:t>
      </w:r>
      <w:r>
        <w:rPr>
          <w:spacing w:val="-5"/>
        </w:rPr>
        <w:t xml:space="preserve"> </w:t>
      </w:r>
      <w:r>
        <w:t>Determination.</w:t>
      </w:r>
      <w:hyperlink w:anchor="_bookmark921" w:history="1">
        <w:r>
          <w:rPr>
            <w:vertAlign w:val="superscript"/>
          </w:rPr>
          <w:t>783</w:t>
        </w:r>
      </w:hyperlink>
      <w:r>
        <w:rPr>
          <w:spacing w:val="-6"/>
        </w:rPr>
        <w:t xml:space="preserve"> </w:t>
      </w:r>
      <w:r>
        <w:t>China's</w:t>
      </w:r>
      <w:r>
        <w:rPr>
          <w:spacing w:val="-6"/>
        </w:rPr>
        <w:t xml:space="preserve"> </w:t>
      </w:r>
      <w:r>
        <w:rPr>
          <w:i/>
        </w:rPr>
        <w:t>ex</w:t>
      </w:r>
      <w:r>
        <w:rPr>
          <w:i/>
          <w:spacing w:val="-6"/>
        </w:rPr>
        <w:t xml:space="preserve"> </w:t>
      </w:r>
      <w:r>
        <w:rPr>
          <w:i/>
        </w:rPr>
        <w:t>post</w:t>
      </w:r>
      <w:r>
        <w:rPr>
          <w:i/>
          <w:spacing w:val="-7"/>
        </w:rPr>
        <w:t xml:space="preserve"> </w:t>
      </w:r>
      <w:r>
        <w:rPr>
          <w:i/>
        </w:rPr>
        <w:t>facto</w:t>
      </w:r>
      <w:r>
        <w:rPr>
          <w:i/>
          <w:spacing w:val="-6"/>
        </w:rPr>
        <w:t xml:space="preserve"> </w:t>
      </w:r>
      <w:proofErr w:type="spellStart"/>
      <w:r>
        <w:t>rationalisations</w:t>
      </w:r>
      <w:proofErr w:type="spellEnd"/>
      <w:r>
        <w:rPr>
          <w:spacing w:val="-6"/>
        </w:rPr>
        <w:t xml:space="preserve"> </w:t>
      </w:r>
      <w:r>
        <w:t>cannot</w:t>
      </w:r>
      <w:r>
        <w:rPr>
          <w:spacing w:val="-2"/>
        </w:rPr>
        <w:t xml:space="preserve"> </w:t>
      </w:r>
      <w:r>
        <w:t>remedy</w:t>
      </w:r>
      <w:r>
        <w:rPr>
          <w:spacing w:val="-6"/>
        </w:rPr>
        <w:t xml:space="preserve"> </w:t>
      </w:r>
      <w:r>
        <w:t>this</w:t>
      </w:r>
      <w:r>
        <w:rPr>
          <w:spacing w:val="-6"/>
        </w:rPr>
        <w:t xml:space="preserve"> </w:t>
      </w:r>
      <w:r>
        <w:t>omission in MOFCOM's analysis.</w:t>
      </w:r>
    </w:p>
    <w:p w14:paraId="38590797" w14:textId="77777777" w:rsidR="00BD462C" w:rsidRDefault="00BD462C">
      <w:pPr>
        <w:pStyle w:val="BodyText"/>
        <w:spacing w:before="8"/>
        <w:rPr>
          <w:sz w:val="8"/>
        </w:rPr>
      </w:pPr>
    </w:p>
    <w:p w14:paraId="4A850B77" w14:textId="5C070C44" w:rsidR="00BD462C" w:rsidRDefault="00387F6E">
      <w:pPr>
        <w:pStyle w:val="BodyText"/>
        <w:spacing w:before="56" w:line="360" w:lineRule="auto"/>
        <w:ind w:left="135" w:right="913"/>
        <w:jc w:val="both"/>
      </w:pPr>
      <w:r>
        <w:rPr>
          <w:noProof/>
        </w:rPr>
        <w:t>529.</w:t>
      </w:r>
      <w:r w:rsidR="00033D0F">
        <w:rPr>
          <w:rFonts w:ascii="Times New Roman"/>
          <w:spacing w:val="80"/>
          <w:w w:val="150"/>
          <w:position w:val="1"/>
          <w:sz w:val="20"/>
        </w:rPr>
        <w:t xml:space="preserve"> </w:t>
      </w:r>
      <w:r w:rsidR="00033D0F">
        <w:rPr>
          <w:position w:val="1"/>
        </w:rPr>
        <w:t xml:space="preserve">There is nothing on the investigation record or elsewhere in China's first written </w:t>
      </w:r>
      <w:r w:rsidR="00033D0F">
        <w:t xml:space="preserve">submission or responses to Panel questions that discloses MOFCOM's reasoning and evaluation to support the conclusion that </w:t>
      </w:r>
      <w:proofErr w:type="spellStart"/>
      <w:proofErr w:type="gramStart"/>
      <w:r w:rsidR="00033D0F">
        <w:t>labour</w:t>
      </w:r>
      <w:proofErr w:type="spellEnd"/>
      <w:proofErr w:type="gramEnd"/>
      <w:r w:rsidR="00033D0F">
        <w:t xml:space="preserve"> and salary costs did not have a significant impact on the financial indices of the domestic industry. This omission is notable in circumstances where MOFCOM considered that: (i) a price suppression margin of 658RMB/</w:t>
      </w:r>
      <w:proofErr w:type="spellStart"/>
      <w:r w:rsidR="00033D0F">
        <w:t>kilolitre</w:t>
      </w:r>
      <w:proofErr w:type="spellEnd"/>
      <w:r w:rsidR="00033D0F">
        <w:t xml:space="preserve"> (2% of the sale price in 2015) resulted in material injury to the domestic industry; but (ii) at the same time considered a </w:t>
      </w:r>
      <w:proofErr w:type="spellStart"/>
      <w:r w:rsidR="00033D0F">
        <w:t>labour</w:t>
      </w:r>
      <w:proofErr w:type="spellEnd"/>
      <w:r w:rsidR="00033D0F">
        <w:t xml:space="preserve"> cost increase of 1,097RMB/</w:t>
      </w:r>
      <w:proofErr w:type="spellStart"/>
      <w:r w:rsidR="00033D0F">
        <w:t>kilolitre</w:t>
      </w:r>
      <w:proofErr w:type="spellEnd"/>
      <w:r w:rsidR="00033D0F">
        <w:t xml:space="preserve"> to have no significant impact on the financial state of the domestic industry.</w:t>
      </w:r>
      <w:hyperlink w:anchor="_bookmark922" w:history="1">
        <w:r w:rsidR="00033D0F">
          <w:rPr>
            <w:vertAlign w:val="superscript"/>
          </w:rPr>
          <w:t>784</w:t>
        </w:r>
      </w:hyperlink>
    </w:p>
    <w:p w14:paraId="6D15A560" w14:textId="77777777" w:rsidR="00BD462C" w:rsidRDefault="00BD462C">
      <w:pPr>
        <w:pStyle w:val="BodyText"/>
        <w:spacing w:before="7"/>
        <w:rPr>
          <w:sz w:val="8"/>
        </w:rPr>
      </w:pPr>
    </w:p>
    <w:p w14:paraId="72764936" w14:textId="12063093" w:rsidR="00BD462C" w:rsidRDefault="00387F6E">
      <w:pPr>
        <w:pStyle w:val="BodyText"/>
        <w:spacing w:before="57" w:line="360" w:lineRule="auto"/>
        <w:ind w:left="136" w:right="913"/>
        <w:jc w:val="both"/>
      </w:pPr>
      <w:r>
        <w:rPr>
          <w:noProof/>
        </w:rPr>
        <w:t>530.</w:t>
      </w:r>
      <w:r w:rsidR="00033D0F">
        <w:rPr>
          <w:rFonts w:ascii="Times New Roman"/>
          <w:spacing w:val="80"/>
          <w:position w:val="1"/>
          <w:sz w:val="20"/>
        </w:rPr>
        <w:t xml:space="preserve">  </w:t>
      </w:r>
      <w:r w:rsidR="00033D0F">
        <w:rPr>
          <w:position w:val="1"/>
        </w:rPr>
        <w:t xml:space="preserve">Finally, China argues that MOFCOM's simple observation that the dumping margins </w:t>
      </w:r>
      <w:r w:rsidR="00033D0F">
        <w:t xml:space="preserve">that it had calculated "were not </w:t>
      </w:r>
      <w:r w:rsidR="00033D0F">
        <w:rPr>
          <w:i/>
        </w:rPr>
        <w:t>de minimis</w:t>
      </w:r>
      <w:r w:rsidR="00033D0F">
        <w:t>" is sufficient to satisfy the evaluation required under Article</w:t>
      </w:r>
      <w:r w:rsidR="00033D0F">
        <w:rPr>
          <w:spacing w:val="-3"/>
        </w:rPr>
        <w:t xml:space="preserve"> </w:t>
      </w:r>
      <w:r w:rsidR="00033D0F">
        <w:t>3.4.</w:t>
      </w:r>
      <w:hyperlink w:anchor="_bookmark923" w:history="1">
        <w:r w:rsidR="00033D0F">
          <w:rPr>
            <w:vertAlign w:val="superscript"/>
          </w:rPr>
          <w:t>785</w:t>
        </w:r>
      </w:hyperlink>
      <w:r w:rsidR="00033D0F">
        <w:t xml:space="preserve"> As set out above, a simple perfunctory statement is not, in and of itself, sufficient to satisfy the evaluation required by Article</w:t>
      </w:r>
      <w:r w:rsidR="00033D0F">
        <w:rPr>
          <w:spacing w:val="-1"/>
        </w:rPr>
        <w:t xml:space="preserve"> </w:t>
      </w:r>
      <w:r w:rsidR="00033D0F">
        <w:t>3.4.</w:t>
      </w:r>
      <w:hyperlink w:anchor="_bookmark924" w:history="1">
        <w:r w:rsidR="00033D0F">
          <w:rPr>
            <w:vertAlign w:val="superscript"/>
          </w:rPr>
          <w:t>786</w:t>
        </w:r>
      </w:hyperlink>
      <w:r w:rsidR="00033D0F">
        <w:t xml:space="preserve"> Rather, the assessment and evaluation required depends on the circumstances of the particular case.</w:t>
      </w:r>
      <w:hyperlink w:anchor="_bookmark925" w:history="1">
        <w:r w:rsidR="00033D0F">
          <w:rPr>
            <w:vertAlign w:val="superscript"/>
          </w:rPr>
          <w:t>787</w:t>
        </w:r>
      </w:hyperlink>
      <w:r w:rsidR="00033D0F">
        <w:t xml:space="preserve"> In this instance, MOFCOM's determinations resulted in a significant delta between the dumping margins of Australian</w:t>
      </w:r>
      <w:r w:rsidR="00033D0F">
        <w:rPr>
          <w:spacing w:val="-14"/>
        </w:rPr>
        <w:t xml:space="preserve"> </w:t>
      </w:r>
      <w:r w:rsidR="00033D0F">
        <w:t>imports</w:t>
      </w:r>
      <w:r w:rsidR="00033D0F">
        <w:rPr>
          <w:spacing w:val="-14"/>
        </w:rPr>
        <w:t xml:space="preserve"> </w:t>
      </w:r>
      <w:r w:rsidR="00033D0F">
        <w:t>on</w:t>
      </w:r>
      <w:r w:rsidR="00033D0F">
        <w:rPr>
          <w:spacing w:val="-13"/>
        </w:rPr>
        <w:t xml:space="preserve"> </w:t>
      </w:r>
      <w:r w:rsidR="00033D0F">
        <w:t>the</w:t>
      </w:r>
      <w:r w:rsidR="00033D0F">
        <w:rPr>
          <w:spacing w:val="-14"/>
        </w:rPr>
        <w:t xml:space="preserve"> </w:t>
      </w:r>
      <w:r w:rsidR="00033D0F">
        <w:t>one</w:t>
      </w:r>
      <w:r w:rsidR="00033D0F">
        <w:rPr>
          <w:spacing w:val="-13"/>
        </w:rPr>
        <w:t xml:space="preserve"> </w:t>
      </w:r>
      <w:r w:rsidR="00033D0F">
        <w:t>hand</w:t>
      </w:r>
      <w:r w:rsidR="00033D0F">
        <w:rPr>
          <w:spacing w:val="-14"/>
        </w:rPr>
        <w:t xml:space="preserve"> </w:t>
      </w:r>
      <w:r w:rsidR="00033D0F">
        <w:t>and</w:t>
      </w:r>
      <w:r w:rsidR="00033D0F">
        <w:rPr>
          <w:spacing w:val="-13"/>
        </w:rPr>
        <w:t xml:space="preserve"> </w:t>
      </w:r>
      <w:r w:rsidR="00033D0F">
        <w:t>the</w:t>
      </w:r>
      <w:r w:rsidR="00033D0F">
        <w:rPr>
          <w:spacing w:val="-14"/>
        </w:rPr>
        <w:t xml:space="preserve"> </w:t>
      </w:r>
      <w:r w:rsidR="00033D0F">
        <w:t>resulting</w:t>
      </w:r>
      <w:r w:rsidR="00033D0F">
        <w:rPr>
          <w:spacing w:val="-14"/>
        </w:rPr>
        <w:t xml:space="preserve"> </w:t>
      </w:r>
      <w:r w:rsidR="00033D0F">
        <w:t>margin</w:t>
      </w:r>
      <w:r w:rsidR="00033D0F">
        <w:rPr>
          <w:spacing w:val="-13"/>
        </w:rPr>
        <w:t xml:space="preserve"> </w:t>
      </w:r>
      <w:r w:rsidR="00033D0F">
        <w:t>of</w:t>
      </w:r>
      <w:r w:rsidR="00033D0F">
        <w:rPr>
          <w:spacing w:val="-14"/>
        </w:rPr>
        <w:t xml:space="preserve"> </w:t>
      </w:r>
      <w:r w:rsidR="00033D0F">
        <w:t>price</w:t>
      </w:r>
      <w:r w:rsidR="00033D0F">
        <w:rPr>
          <w:spacing w:val="-13"/>
        </w:rPr>
        <w:t xml:space="preserve"> </w:t>
      </w:r>
      <w:r w:rsidR="00033D0F">
        <w:t>suppression</w:t>
      </w:r>
      <w:r w:rsidR="00033D0F">
        <w:rPr>
          <w:spacing w:val="-14"/>
        </w:rPr>
        <w:t xml:space="preserve"> </w:t>
      </w:r>
      <w:r w:rsidR="00033D0F">
        <w:t>on</w:t>
      </w:r>
      <w:r w:rsidR="00033D0F">
        <w:rPr>
          <w:spacing w:val="-13"/>
        </w:rPr>
        <w:t xml:space="preserve"> </w:t>
      </w:r>
      <w:r w:rsidR="00033D0F">
        <w:t>the</w:t>
      </w:r>
      <w:r w:rsidR="00033D0F">
        <w:rPr>
          <w:spacing w:val="-14"/>
        </w:rPr>
        <w:t xml:space="preserve"> </w:t>
      </w:r>
      <w:r w:rsidR="00033D0F">
        <w:t>other. MOFCOM's</w:t>
      </w:r>
      <w:r w:rsidR="00033D0F">
        <w:rPr>
          <w:spacing w:val="-9"/>
        </w:rPr>
        <w:t xml:space="preserve"> </w:t>
      </w:r>
      <w:r w:rsidR="00033D0F">
        <w:t>evaluation</w:t>
      </w:r>
      <w:r w:rsidR="00033D0F">
        <w:rPr>
          <w:spacing w:val="-13"/>
        </w:rPr>
        <w:t xml:space="preserve"> </w:t>
      </w:r>
      <w:r w:rsidR="00033D0F">
        <w:t>did</w:t>
      </w:r>
      <w:r w:rsidR="00033D0F">
        <w:rPr>
          <w:spacing w:val="-13"/>
        </w:rPr>
        <w:t xml:space="preserve"> </w:t>
      </w:r>
      <w:r w:rsidR="00033D0F">
        <w:t>not</w:t>
      </w:r>
      <w:r w:rsidR="00033D0F">
        <w:rPr>
          <w:spacing w:val="-10"/>
        </w:rPr>
        <w:t xml:space="preserve"> </w:t>
      </w:r>
      <w:r w:rsidR="00033D0F">
        <w:t>consider</w:t>
      </w:r>
      <w:r w:rsidR="00033D0F">
        <w:rPr>
          <w:spacing w:val="-14"/>
        </w:rPr>
        <w:t xml:space="preserve"> </w:t>
      </w:r>
      <w:r w:rsidR="00033D0F">
        <w:t>the</w:t>
      </w:r>
      <w:r w:rsidR="00033D0F">
        <w:rPr>
          <w:spacing w:val="-6"/>
        </w:rPr>
        <w:t xml:space="preserve"> </w:t>
      </w:r>
      <w:r w:rsidR="00033D0F">
        <w:t>materiality</w:t>
      </w:r>
      <w:r w:rsidR="00033D0F">
        <w:rPr>
          <w:spacing w:val="-10"/>
        </w:rPr>
        <w:t xml:space="preserve"> </w:t>
      </w:r>
      <w:r w:rsidR="00033D0F">
        <w:t>of</w:t>
      </w:r>
      <w:r w:rsidR="00033D0F">
        <w:rPr>
          <w:spacing w:val="-13"/>
        </w:rPr>
        <w:t xml:space="preserve"> </w:t>
      </w:r>
      <w:r w:rsidR="00033D0F">
        <w:t>the</w:t>
      </w:r>
      <w:r w:rsidR="00033D0F">
        <w:rPr>
          <w:spacing w:val="-6"/>
        </w:rPr>
        <w:t xml:space="preserve"> </w:t>
      </w:r>
      <w:r w:rsidR="00033D0F">
        <w:t>impact</w:t>
      </w:r>
      <w:r w:rsidR="00033D0F">
        <w:rPr>
          <w:spacing w:val="-10"/>
        </w:rPr>
        <w:t xml:space="preserve"> </w:t>
      </w:r>
      <w:r w:rsidR="00033D0F">
        <w:t>that</w:t>
      </w:r>
      <w:r w:rsidR="00033D0F">
        <w:rPr>
          <w:spacing w:val="-6"/>
        </w:rPr>
        <w:t xml:space="preserve"> </w:t>
      </w:r>
      <w:r w:rsidR="00033D0F">
        <w:t>subject</w:t>
      </w:r>
      <w:r w:rsidR="00033D0F">
        <w:rPr>
          <w:spacing w:val="-10"/>
        </w:rPr>
        <w:t xml:space="preserve"> </w:t>
      </w:r>
      <w:r w:rsidR="00033D0F">
        <w:t>imports</w:t>
      </w:r>
      <w:r w:rsidR="00033D0F">
        <w:rPr>
          <w:spacing w:val="-9"/>
        </w:rPr>
        <w:t xml:space="preserve"> </w:t>
      </w:r>
      <w:r w:rsidR="00033D0F">
        <w:t>that</w:t>
      </w:r>
    </w:p>
    <w:p w14:paraId="3EE387D7" w14:textId="7A9937EE" w:rsidR="00BD462C" w:rsidRDefault="007E218F">
      <w:pPr>
        <w:pStyle w:val="BodyText"/>
        <w:rPr>
          <w:sz w:val="20"/>
        </w:rPr>
      </w:pPr>
      <w:r>
        <w:rPr>
          <w:noProof/>
        </w:rPr>
        <mc:AlternateContent>
          <mc:Choice Requires="wps">
            <w:drawing>
              <wp:anchor distT="0" distB="0" distL="0" distR="0" simplePos="0" relativeHeight="488217088" behindDoc="1" locked="0" layoutInCell="1" allowOverlap="1" wp14:anchorId="56FB80F9" wp14:editId="6303AC1B">
                <wp:simplePos x="0" y="0"/>
                <wp:positionH relativeFrom="page">
                  <wp:posOffset>812800</wp:posOffset>
                </wp:positionH>
                <wp:positionV relativeFrom="paragraph">
                  <wp:posOffset>318770</wp:posOffset>
                </wp:positionV>
                <wp:extent cx="1828800" cy="8890"/>
                <wp:effectExtent l="0" t="0" r="0" b="0"/>
                <wp:wrapTopAndBottom/>
                <wp:docPr id="193" name="docshape6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CA8A60" id="docshape664" o:spid="_x0000_s1026" alt="&quot;&quot;" style="position:absolute;margin-left:64pt;margin-top:25.1pt;width:2in;height:.7pt;z-index:-15099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" fillcolor="black" stroked="f">
                <w10:wrap type="topAndBottom" anchorx="page"/>
              </v:rect>
            </w:pict>
          </mc:Fallback>
        </mc:AlternateContent>
      </w:r>
    </w:p>
    <w:p w14:paraId="39DF1A3F" w14:textId="629B4B00" w:rsidR="00BD462C" w:rsidRDefault="00BD462C">
      <w:pPr>
        <w:pStyle w:val="BodyText"/>
        <w:spacing w:before="12"/>
        <w:rPr>
          <w:sz w:val="20"/>
        </w:rPr>
      </w:pPr>
    </w:p>
    <w:p w14:paraId="3EFEC63E" w14:textId="77777777" w:rsidR="00BD462C" w:rsidRDefault="00033D0F">
      <w:pPr>
        <w:spacing w:before="107"/>
        <w:ind w:left="135"/>
        <w:rPr>
          <w:sz w:val="18"/>
        </w:rPr>
      </w:pPr>
      <w:bookmarkStart w:id="1067" w:name="_bookmark919"/>
      <w:bookmarkEnd w:id="1067"/>
      <w:r>
        <w:rPr>
          <w:position w:val="5"/>
          <w:sz w:val="12"/>
        </w:rPr>
        <w:t>781</w:t>
      </w:r>
      <w:r>
        <w:rPr>
          <w:spacing w:val="10"/>
          <w:position w:val="5"/>
          <w:sz w:val="12"/>
        </w:rPr>
        <w:t xml:space="preserve"> </w:t>
      </w:r>
      <w:r>
        <w:rPr>
          <w:sz w:val="18"/>
        </w:rPr>
        <w:t>Anti-Dumping</w:t>
      </w:r>
      <w:r>
        <w:rPr>
          <w:spacing w:val="-6"/>
          <w:sz w:val="18"/>
        </w:rPr>
        <w:t xml:space="preserve"> </w:t>
      </w:r>
      <w:r>
        <w:rPr>
          <w:sz w:val="18"/>
        </w:rPr>
        <w:t>Final</w:t>
      </w:r>
      <w:r>
        <w:rPr>
          <w:spacing w:val="-3"/>
          <w:sz w:val="18"/>
        </w:rPr>
        <w:t xml:space="preserve"> </w:t>
      </w:r>
      <w:r>
        <w:rPr>
          <w:sz w:val="18"/>
        </w:rPr>
        <w:t>Determination</w:t>
      </w:r>
      <w:r>
        <w:rPr>
          <w:spacing w:val="-7"/>
          <w:sz w:val="18"/>
        </w:rPr>
        <w:t xml:space="preserve"> </w:t>
      </w:r>
      <w:r>
        <w:rPr>
          <w:sz w:val="18"/>
        </w:rPr>
        <w:t>(Exhibit</w:t>
      </w:r>
      <w:r>
        <w:rPr>
          <w:spacing w:val="-2"/>
          <w:sz w:val="18"/>
        </w:rPr>
        <w:t xml:space="preserve"> </w:t>
      </w:r>
      <w:r>
        <w:rPr>
          <w:sz w:val="18"/>
        </w:rPr>
        <w:t>AUS-2),</w:t>
      </w:r>
      <w:r>
        <w:rPr>
          <w:spacing w:val="-5"/>
          <w:sz w:val="18"/>
        </w:rPr>
        <w:t xml:space="preserve"> </w:t>
      </w:r>
      <w:r>
        <w:rPr>
          <w:sz w:val="18"/>
        </w:rPr>
        <w:t>pp.</w:t>
      </w:r>
      <w:r>
        <w:rPr>
          <w:spacing w:val="-2"/>
          <w:sz w:val="18"/>
        </w:rPr>
        <w:t xml:space="preserve"> </w:t>
      </w:r>
      <w:r>
        <w:rPr>
          <w:sz w:val="18"/>
        </w:rPr>
        <w:t>124, 127;</w:t>
      </w:r>
      <w:r>
        <w:rPr>
          <w:spacing w:val="-9"/>
          <w:sz w:val="18"/>
        </w:rPr>
        <w:t xml:space="preserve"> </w:t>
      </w:r>
      <w:r>
        <w:rPr>
          <w:sz w:val="18"/>
        </w:rPr>
        <w:t>Final</w:t>
      </w:r>
      <w:r>
        <w:rPr>
          <w:spacing w:val="-2"/>
          <w:sz w:val="18"/>
        </w:rPr>
        <w:t xml:space="preserve"> </w:t>
      </w:r>
      <w:r>
        <w:rPr>
          <w:sz w:val="18"/>
        </w:rPr>
        <w:t>Determination</w:t>
      </w:r>
      <w:r>
        <w:rPr>
          <w:spacing w:val="-10"/>
          <w:sz w:val="18"/>
        </w:rPr>
        <w:t xml:space="preserve"> </w:t>
      </w:r>
      <w:r>
        <w:rPr>
          <w:sz w:val="18"/>
        </w:rPr>
        <w:t>(Exhibit</w:t>
      </w:r>
      <w:r>
        <w:rPr>
          <w:spacing w:val="-2"/>
          <w:sz w:val="18"/>
        </w:rPr>
        <w:t xml:space="preserve"> </w:t>
      </w:r>
      <w:r>
        <w:rPr>
          <w:sz w:val="18"/>
        </w:rPr>
        <w:t>CHN-1),</w:t>
      </w:r>
      <w:r>
        <w:rPr>
          <w:spacing w:val="-1"/>
          <w:sz w:val="18"/>
        </w:rPr>
        <w:t xml:space="preserve"> </w:t>
      </w:r>
      <w:r>
        <w:rPr>
          <w:sz w:val="18"/>
        </w:rPr>
        <w:t>pp.</w:t>
      </w:r>
      <w:r>
        <w:rPr>
          <w:spacing w:val="-5"/>
          <w:sz w:val="18"/>
        </w:rPr>
        <w:t xml:space="preserve"> </w:t>
      </w:r>
      <w:r>
        <w:rPr>
          <w:sz w:val="18"/>
        </w:rPr>
        <w:t>60,</w:t>
      </w:r>
      <w:r>
        <w:rPr>
          <w:spacing w:val="-5"/>
          <w:sz w:val="18"/>
        </w:rPr>
        <w:t xml:space="preserve"> 62.</w:t>
      </w:r>
    </w:p>
    <w:p w14:paraId="4F080CD1" w14:textId="77777777" w:rsidR="00BD462C" w:rsidRDefault="00033D0F">
      <w:pPr>
        <w:spacing w:before="1"/>
        <w:ind w:left="136" w:right="923" w:hanging="1"/>
        <w:rPr>
          <w:sz w:val="18"/>
        </w:rPr>
      </w:pPr>
      <w:bookmarkStart w:id="1068" w:name="_bookmark920"/>
      <w:bookmarkEnd w:id="1068"/>
      <w:r>
        <w:rPr>
          <w:position w:val="5"/>
          <w:sz w:val="12"/>
        </w:rPr>
        <w:t>782</w:t>
      </w:r>
      <w:r>
        <w:rPr>
          <w:spacing w:val="36"/>
          <w:position w:val="5"/>
          <w:sz w:val="12"/>
        </w:rPr>
        <w:t xml:space="preserve"> </w:t>
      </w:r>
      <w:r>
        <w:rPr>
          <w:sz w:val="18"/>
        </w:rPr>
        <w:t>Panel Reports,</w:t>
      </w:r>
      <w:r>
        <w:rPr>
          <w:spacing w:val="19"/>
          <w:sz w:val="18"/>
        </w:rPr>
        <w:t xml:space="preserve"> </w:t>
      </w:r>
      <w:r>
        <w:rPr>
          <w:i/>
          <w:sz w:val="18"/>
        </w:rPr>
        <w:t>Pakistan</w:t>
      </w:r>
      <w:r>
        <w:rPr>
          <w:i/>
          <w:spacing w:val="19"/>
          <w:sz w:val="18"/>
        </w:rPr>
        <w:t xml:space="preserve"> </w:t>
      </w:r>
      <w:r>
        <w:rPr>
          <w:i/>
          <w:sz w:val="18"/>
        </w:rPr>
        <w:t>-</w:t>
      </w:r>
      <w:r>
        <w:rPr>
          <w:i/>
          <w:spacing w:val="18"/>
          <w:sz w:val="18"/>
        </w:rPr>
        <w:t xml:space="preserve"> </w:t>
      </w:r>
      <w:r>
        <w:rPr>
          <w:i/>
          <w:sz w:val="18"/>
        </w:rPr>
        <w:t>BOPP</w:t>
      </w:r>
      <w:r>
        <w:rPr>
          <w:i/>
          <w:spacing w:val="22"/>
          <w:sz w:val="18"/>
        </w:rPr>
        <w:t xml:space="preserve"> </w:t>
      </w:r>
      <w:r>
        <w:rPr>
          <w:i/>
          <w:sz w:val="18"/>
        </w:rPr>
        <w:t>Film (UAE)</w:t>
      </w:r>
      <w:r>
        <w:rPr>
          <w:sz w:val="18"/>
        </w:rPr>
        <w:t>,</w:t>
      </w:r>
      <w:r>
        <w:rPr>
          <w:spacing w:val="19"/>
          <w:sz w:val="18"/>
        </w:rPr>
        <w:t xml:space="preserve"> </w:t>
      </w:r>
      <w:r>
        <w:rPr>
          <w:sz w:val="18"/>
        </w:rPr>
        <w:t>para.</w:t>
      </w:r>
      <w:r>
        <w:rPr>
          <w:spacing w:val="18"/>
          <w:sz w:val="18"/>
        </w:rPr>
        <w:t xml:space="preserve"> </w:t>
      </w:r>
      <w:r>
        <w:rPr>
          <w:sz w:val="18"/>
        </w:rPr>
        <w:t xml:space="preserve">7.352; </w:t>
      </w:r>
      <w:r>
        <w:rPr>
          <w:i/>
          <w:sz w:val="18"/>
        </w:rPr>
        <w:t>China</w:t>
      </w:r>
      <w:r>
        <w:rPr>
          <w:i/>
          <w:spacing w:val="19"/>
          <w:sz w:val="18"/>
        </w:rPr>
        <w:t xml:space="preserve"> </w:t>
      </w:r>
      <w:r>
        <w:rPr>
          <w:i/>
          <w:sz w:val="18"/>
        </w:rPr>
        <w:t>–</w:t>
      </w:r>
      <w:r>
        <w:rPr>
          <w:i/>
          <w:spacing w:val="17"/>
          <w:sz w:val="18"/>
        </w:rPr>
        <w:t xml:space="preserve"> </w:t>
      </w:r>
      <w:r>
        <w:rPr>
          <w:i/>
          <w:sz w:val="18"/>
        </w:rPr>
        <w:t>X-Ray Equipment</w:t>
      </w:r>
      <w:r>
        <w:rPr>
          <w:sz w:val="18"/>
        </w:rPr>
        <w:t>,</w:t>
      </w:r>
      <w:r>
        <w:rPr>
          <w:spacing w:val="19"/>
          <w:sz w:val="18"/>
        </w:rPr>
        <w:t xml:space="preserve"> </w:t>
      </w:r>
      <w:r>
        <w:rPr>
          <w:sz w:val="18"/>
        </w:rPr>
        <w:t>paras.</w:t>
      </w:r>
      <w:r>
        <w:rPr>
          <w:spacing w:val="18"/>
          <w:sz w:val="18"/>
        </w:rPr>
        <w:t xml:space="preserve"> </w:t>
      </w:r>
      <w:r>
        <w:rPr>
          <w:sz w:val="18"/>
        </w:rPr>
        <w:t>7.215</w:t>
      </w:r>
      <w:r>
        <w:rPr>
          <w:spacing w:val="19"/>
          <w:sz w:val="18"/>
        </w:rPr>
        <w:t xml:space="preserve"> </w:t>
      </w:r>
      <w:r>
        <w:rPr>
          <w:sz w:val="18"/>
        </w:rPr>
        <w:t xml:space="preserve">7.216; </w:t>
      </w:r>
      <w:r>
        <w:rPr>
          <w:i/>
          <w:sz w:val="18"/>
        </w:rPr>
        <w:t>EU –</w:t>
      </w:r>
      <w:r>
        <w:rPr>
          <w:i/>
          <w:spacing w:val="17"/>
          <w:sz w:val="18"/>
        </w:rPr>
        <w:t xml:space="preserve"> </w:t>
      </w:r>
      <w:r>
        <w:rPr>
          <w:i/>
          <w:sz w:val="18"/>
        </w:rPr>
        <w:t>Footwear (China)</w:t>
      </w:r>
      <w:r>
        <w:rPr>
          <w:sz w:val="18"/>
        </w:rPr>
        <w:t xml:space="preserve">, para. 7.413; </w:t>
      </w:r>
      <w:r>
        <w:rPr>
          <w:i/>
          <w:sz w:val="18"/>
        </w:rPr>
        <w:t>Korea - Pneumatic Valves</w:t>
      </w:r>
      <w:r>
        <w:rPr>
          <w:sz w:val="18"/>
        </w:rPr>
        <w:t>, para. 7.179.</w:t>
      </w:r>
    </w:p>
    <w:p w14:paraId="02E09508" w14:textId="77777777" w:rsidR="00BD462C" w:rsidRDefault="00033D0F">
      <w:pPr>
        <w:spacing w:before="2"/>
        <w:ind w:left="135"/>
        <w:rPr>
          <w:sz w:val="18"/>
        </w:rPr>
      </w:pPr>
      <w:bookmarkStart w:id="1069" w:name="_bookmark921"/>
      <w:bookmarkEnd w:id="1069"/>
      <w:r>
        <w:rPr>
          <w:position w:val="5"/>
          <w:sz w:val="12"/>
        </w:rPr>
        <w:t>783</w:t>
      </w:r>
      <w:r>
        <w:rPr>
          <w:spacing w:val="13"/>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w:t>
      </w:r>
      <w:r>
        <w:rPr>
          <w:spacing w:val="2"/>
          <w:sz w:val="18"/>
        </w:rPr>
        <w:t xml:space="preserve"> </w:t>
      </w:r>
      <w:r>
        <w:rPr>
          <w:sz w:val="18"/>
        </w:rPr>
        <w:t>para. 1513;</w:t>
      </w:r>
      <w:r>
        <w:rPr>
          <w:spacing w:val="-7"/>
          <w:sz w:val="18"/>
        </w:rPr>
        <w:t xml:space="preserve"> </w:t>
      </w:r>
      <w:r>
        <w:rPr>
          <w:sz w:val="18"/>
        </w:rPr>
        <w:t>China's</w:t>
      </w:r>
      <w:r>
        <w:rPr>
          <w:spacing w:val="-5"/>
          <w:sz w:val="18"/>
        </w:rPr>
        <w:t xml:space="preserve"> </w:t>
      </w:r>
      <w:r>
        <w:rPr>
          <w:sz w:val="18"/>
        </w:rPr>
        <w:t>response</w:t>
      </w:r>
      <w:r>
        <w:rPr>
          <w:spacing w:val="-5"/>
          <w:sz w:val="18"/>
        </w:rPr>
        <w:t xml:space="preserve"> </w:t>
      </w:r>
      <w:r>
        <w:rPr>
          <w:sz w:val="18"/>
        </w:rPr>
        <w:t>to</w:t>
      </w:r>
      <w:r>
        <w:rPr>
          <w:spacing w:val="-7"/>
          <w:sz w:val="18"/>
        </w:rPr>
        <w:t xml:space="preserve"> </w:t>
      </w:r>
      <w:r>
        <w:rPr>
          <w:sz w:val="18"/>
        </w:rPr>
        <w:t>Panel</w:t>
      </w:r>
      <w:r>
        <w:rPr>
          <w:spacing w:val="-4"/>
          <w:sz w:val="18"/>
        </w:rPr>
        <w:t xml:space="preserve"> </w:t>
      </w:r>
      <w:r>
        <w:rPr>
          <w:sz w:val="18"/>
        </w:rPr>
        <w:t>question</w:t>
      </w:r>
      <w:r>
        <w:rPr>
          <w:spacing w:val="-6"/>
          <w:sz w:val="18"/>
        </w:rPr>
        <w:t xml:space="preserve"> </w:t>
      </w:r>
      <w:r>
        <w:rPr>
          <w:sz w:val="18"/>
        </w:rPr>
        <w:t>no. 34,</w:t>
      </w:r>
      <w:r>
        <w:rPr>
          <w:spacing w:val="-3"/>
          <w:sz w:val="18"/>
        </w:rPr>
        <w:t xml:space="preserve"> </w:t>
      </w:r>
      <w:r>
        <w:rPr>
          <w:sz w:val="18"/>
        </w:rPr>
        <w:t>para.</w:t>
      </w:r>
      <w:r>
        <w:rPr>
          <w:spacing w:val="-4"/>
          <w:sz w:val="18"/>
        </w:rPr>
        <w:t xml:space="preserve"> 194.</w:t>
      </w:r>
    </w:p>
    <w:p w14:paraId="7CC204FB" w14:textId="77777777" w:rsidR="00BD462C" w:rsidRDefault="00033D0F">
      <w:pPr>
        <w:spacing w:before="1"/>
        <w:ind w:left="135" w:right="908"/>
        <w:jc w:val="both"/>
        <w:rPr>
          <w:sz w:val="18"/>
        </w:rPr>
      </w:pPr>
      <w:bookmarkStart w:id="1070" w:name="_bookmark922"/>
      <w:bookmarkEnd w:id="1070"/>
      <w:r>
        <w:rPr>
          <w:position w:val="5"/>
          <w:sz w:val="12"/>
        </w:rPr>
        <w:t>784</w:t>
      </w:r>
      <w:r>
        <w:rPr>
          <w:spacing w:val="11"/>
          <w:position w:val="5"/>
          <w:sz w:val="12"/>
        </w:rPr>
        <w:t xml:space="preserve"> </w:t>
      </w:r>
      <w:r>
        <w:rPr>
          <w:sz w:val="18"/>
        </w:rPr>
        <w:t>See</w:t>
      </w:r>
      <w:r>
        <w:rPr>
          <w:spacing w:val="-3"/>
          <w:sz w:val="18"/>
        </w:rPr>
        <w:t xml:space="preserve"> </w:t>
      </w:r>
      <w:r>
        <w:rPr>
          <w:sz w:val="18"/>
        </w:rPr>
        <w:t>China's</w:t>
      </w:r>
      <w:r>
        <w:rPr>
          <w:spacing w:val="-3"/>
          <w:sz w:val="18"/>
        </w:rPr>
        <w:t xml:space="preserve"> </w:t>
      </w:r>
      <w:r>
        <w:rPr>
          <w:sz w:val="18"/>
        </w:rPr>
        <w:t>first</w:t>
      </w:r>
      <w:r>
        <w:rPr>
          <w:spacing w:val="-7"/>
          <w:sz w:val="18"/>
        </w:rPr>
        <w:t xml:space="preserve"> </w:t>
      </w:r>
      <w:r>
        <w:rPr>
          <w:sz w:val="18"/>
        </w:rPr>
        <w:t>written</w:t>
      </w:r>
      <w:r>
        <w:rPr>
          <w:spacing w:val="-8"/>
          <w:sz w:val="18"/>
        </w:rPr>
        <w:t xml:space="preserve"> </w:t>
      </w:r>
      <w:r>
        <w:rPr>
          <w:sz w:val="18"/>
        </w:rPr>
        <w:t>submission,</w:t>
      </w:r>
      <w:r>
        <w:rPr>
          <w:spacing w:val="-1"/>
          <w:sz w:val="18"/>
        </w:rPr>
        <w:t xml:space="preserve"> </w:t>
      </w:r>
      <w:r>
        <w:rPr>
          <w:sz w:val="18"/>
        </w:rPr>
        <w:t>para.</w:t>
      </w:r>
      <w:r>
        <w:rPr>
          <w:spacing w:val="-2"/>
          <w:sz w:val="18"/>
        </w:rPr>
        <w:t xml:space="preserve"> </w:t>
      </w:r>
      <w:r>
        <w:rPr>
          <w:sz w:val="18"/>
        </w:rPr>
        <w:t>1521.</w:t>
      </w:r>
      <w:r>
        <w:rPr>
          <w:spacing w:val="-2"/>
          <w:sz w:val="18"/>
        </w:rPr>
        <w:t xml:space="preserve"> </w:t>
      </w:r>
      <w:r>
        <w:rPr>
          <w:sz w:val="18"/>
        </w:rPr>
        <w:t>Australia</w:t>
      </w:r>
      <w:r>
        <w:rPr>
          <w:spacing w:val="-5"/>
          <w:sz w:val="18"/>
        </w:rPr>
        <w:t xml:space="preserve"> </w:t>
      </w:r>
      <w:r>
        <w:rPr>
          <w:sz w:val="18"/>
        </w:rPr>
        <w:t>has</w:t>
      </w:r>
      <w:r>
        <w:rPr>
          <w:spacing w:val="-3"/>
          <w:sz w:val="18"/>
        </w:rPr>
        <w:t xml:space="preserve"> </w:t>
      </w:r>
      <w:r>
        <w:rPr>
          <w:sz w:val="18"/>
        </w:rPr>
        <w:t>calculated</w:t>
      </w:r>
      <w:r>
        <w:rPr>
          <w:spacing w:val="-4"/>
          <w:sz w:val="18"/>
        </w:rPr>
        <w:t xml:space="preserve"> </w:t>
      </w:r>
      <w:r>
        <w:rPr>
          <w:sz w:val="18"/>
        </w:rPr>
        <w:t>the</w:t>
      </w:r>
      <w:r>
        <w:rPr>
          <w:spacing w:val="-3"/>
          <w:sz w:val="18"/>
        </w:rPr>
        <w:t xml:space="preserve"> </w:t>
      </w:r>
      <w:proofErr w:type="spellStart"/>
      <w:r>
        <w:rPr>
          <w:sz w:val="18"/>
        </w:rPr>
        <w:t>labour</w:t>
      </w:r>
      <w:proofErr w:type="spellEnd"/>
      <w:r>
        <w:rPr>
          <w:spacing w:val="-5"/>
          <w:sz w:val="18"/>
        </w:rPr>
        <w:t xml:space="preserve"> </w:t>
      </w:r>
      <w:r>
        <w:rPr>
          <w:sz w:val="18"/>
        </w:rPr>
        <w:t>cost</w:t>
      </w:r>
      <w:r>
        <w:rPr>
          <w:spacing w:val="-2"/>
          <w:sz w:val="18"/>
        </w:rPr>
        <w:t xml:space="preserve"> </w:t>
      </w:r>
      <w:r>
        <w:rPr>
          <w:sz w:val="18"/>
        </w:rPr>
        <w:t>per</w:t>
      </w:r>
      <w:r>
        <w:rPr>
          <w:spacing w:val="-5"/>
          <w:sz w:val="18"/>
        </w:rPr>
        <w:t xml:space="preserve"> </w:t>
      </w:r>
      <w:proofErr w:type="spellStart"/>
      <w:r>
        <w:rPr>
          <w:sz w:val="18"/>
        </w:rPr>
        <w:t>kilolitre</w:t>
      </w:r>
      <w:proofErr w:type="spellEnd"/>
      <w:r>
        <w:rPr>
          <w:spacing w:val="-8"/>
          <w:sz w:val="18"/>
        </w:rPr>
        <w:t xml:space="preserve"> </w:t>
      </w:r>
      <w:r>
        <w:rPr>
          <w:sz w:val="18"/>
        </w:rPr>
        <w:t>by</w:t>
      </w:r>
      <w:r>
        <w:rPr>
          <w:spacing w:val="-5"/>
          <w:sz w:val="18"/>
        </w:rPr>
        <w:t xml:space="preserve"> </w:t>
      </w:r>
      <w:r>
        <w:rPr>
          <w:sz w:val="18"/>
        </w:rPr>
        <w:t>dividing</w:t>
      </w:r>
      <w:r>
        <w:rPr>
          <w:spacing w:val="-8"/>
          <w:sz w:val="18"/>
        </w:rPr>
        <w:t xml:space="preserve"> </w:t>
      </w:r>
      <w:r>
        <w:rPr>
          <w:sz w:val="18"/>
        </w:rPr>
        <w:t>the</w:t>
      </w:r>
      <w:r>
        <w:rPr>
          <w:spacing w:val="-4"/>
          <w:sz w:val="18"/>
        </w:rPr>
        <w:t xml:space="preserve"> </w:t>
      </w:r>
      <w:r>
        <w:rPr>
          <w:sz w:val="18"/>
        </w:rPr>
        <w:t>"Total labor costs</w:t>
      </w:r>
      <w:r>
        <w:rPr>
          <w:spacing w:val="-1"/>
          <w:sz w:val="18"/>
        </w:rPr>
        <w:t xml:space="preserve"> </w:t>
      </w:r>
      <w:r>
        <w:rPr>
          <w:sz w:val="18"/>
        </w:rPr>
        <w:t>for the output of the domestic like product"</w:t>
      </w:r>
      <w:r>
        <w:rPr>
          <w:spacing w:val="-4"/>
          <w:sz w:val="18"/>
        </w:rPr>
        <w:t xml:space="preserve"> </w:t>
      </w:r>
      <w:r>
        <w:rPr>
          <w:sz w:val="18"/>
        </w:rPr>
        <w:t>(item C in</w:t>
      </w:r>
      <w:r>
        <w:rPr>
          <w:spacing w:val="-2"/>
          <w:sz w:val="18"/>
        </w:rPr>
        <w:t xml:space="preserve"> </w:t>
      </w:r>
      <w:r>
        <w:rPr>
          <w:sz w:val="18"/>
        </w:rPr>
        <w:t>the table: China's</w:t>
      </w:r>
      <w:r>
        <w:rPr>
          <w:spacing w:val="-1"/>
          <w:sz w:val="18"/>
        </w:rPr>
        <w:t xml:space="preserve"> </w:t>
      </w:r>
      <w:r>
        <w:rPr>
          <w:sz w:val="18"/>
        </w:rPr>
        <w:t>first written submission, para. 1521) by the "Output of the domestic like product (</w:t>
      </w:r>
      <w:proofErr w:type="spellStart"/>
      <w:r>
        <w:rPr>
          <w:sz w:val="18"/>
        </w:rPr>
        <w:t>kilolitre</w:t>
      </w:r>
      <w:proofErr w:type="spellEnd"/>
      <w:r>
        <w:rPr>
          <w:sz w:val="18"/>
        </w:rPr>
        <w:t>)" (item E in the table at para. 1521). The 1,097RMB/</w:t>
      </w:r>
      <w:proofErr w:type="spellStart"/>
      <w:r>
        <w:rPr>
          <w:sz w:val="18"/>
        </w:rPr>
        <w:t>kilolitre</w:t>
      </w:r>
      <w:proofErr w:type="spellEnd"/>
      <w:r>
        <w:rPr>
          <w:sz w:val="18"/>
        </w:rPr>
        <w:t xml:space="preserve"> figure is the difference between the </w:t>
      </w:r>
      <w:proofErr w:type="spellStart"/>
      <w:r>
        <w:rPr>
          <w:sz w:val="18"/>
        </w:rPr>
        <w:t>labour</w:t>
      </w:r>
      <w:proofErr w:type="spellEnd"/>
      <w:r>
        <w:rPr>
          <w:sz w:val="18"/>
        </w:rPr>
        <w:t xml:space="preserve"> cost in 2019 (3,043RMB/</w:t>
      </w:r>
      <w:proofErr w:type="spellStart"/>
      <w:r>
        <w:rPr>
          <w:sz w:val="18"/>
        </w:rPr>
        <w:t>kilolitre</w:t>
      </w:r>
      <w:proofErr w:type="spellEnd"/>
      <w:r>
        <w:rPr>
          <w:sz w:val="18"/>
        </w:rPr>
        <w:t xml:space="preserve">) against the </w:t>
      </w:r>
      <w:proofErr w:type="spellStart"/>
      <w:r>
        <w:rPr>
          <w:sz w:val="18"/>
        </w:rPr>
        <w:t>labour</w:t>
      </w:r>
      <w:proofErr w:type="spellEnd"/>
      <w:r>
        <w:rPr>
          <w:sz w:val="18"/>
        </w:rPr>
        <w:t xml:space="preserve"> cost in 2015 (1,946RMB/</w:t>
      </w:r>
      <w:proofErr w:type="spellStart"/>
      <w:r>
        <w:rPr>
          <w:sz w:val="18"/>
        </w:rPr>
        <w:t>kilolitre</w:t>
      </w:r>
      <w:proofErr w:type="spellEnd"/>
      <w:r>
        <w:rPr>
          <w:sz w:val="18"/>
        </w:rPr>
        <w:t>).</w:t>
      </w:r>
    </w:p>
    <w:p w14:paraId="3A46106A" w14:textId="77777777" w:rsidR="00BD462C" w:rsidRDefault="00033D0F">
      <w:pPr>
        <w:spacing w:before="1" w:line="237" w:lineRule="auto"/>
        <w:ind w:left="136" w:right="911" w:hanging="1"/>
        <w:jc w:val="both"/>
        <w:rPr>
          <w:sz w:val="18"/>
        </w:rPr>
      </w:pPr>
      <w:bookmarkStart w:id="1071" w:name="_bookmark923"/>
      <w:bookmarkEnd w:id="1071"/>
      <w:r>
        <w:rPr>
          <w:position w:val="5"/>
          <w:sz w:val="12"/>
        </w:rPr>
        <w:t>785</w:t>
      </w:r>
      <w:r>
        <w:rPr>
          <w:spacing w:val="10"/>
          <w:position w:val="5"/>
          <w:sz w:val="12"/>
        </w:rPr>
        <w:t xml:space="preserve"> </w:t>
      </w:r>
      <w:r>
        <w:rPr>
          <w:sz w:val="18"/>
        </w:rPr>
        <w:t>China's</w:t>
      </w:r>
      <w:r>
        <w:rPr>
          <w:spacing w:val="-9"/>
          <w:sz w:val="18"/>
        </w:rPr>
        <w:t xml:space="preserve"> </w:t>
      </w:r>
      <w:r>
        <w:rPr>
          <w:sz w:val="18"/>
        </w:rPr>
        <w:t>first</w:t>
      </w:r>
      <w:r>
        <w:rPr>
          <w:spacing w:val="-8"/>
          <w:sz w:val="18"/>
        </w:rPr>
        <w:t xml:space="preserve"> </w:t>
      </w:r>
      <w:r>
        <w:rPr>
          <w:sz w:val="18"/>
        </w:rPr>
        <w:t>written</w:t>
      </w:r>
      <w:r>
        <w:rPr>
          <w:spacing w:val="-5"/>
          <w:sz w:val="18"/>
        </w:rPr>
        <w:t xml:space="preserve"> </w:t>
      </w:r>
      <w:r>
        <w:rPr>
          <w:sz w:val="18"/>
        </w:rPr>
        <w:t>submission,</w:t>
      </w:r>
      <w:r>
        <w:rPr>
          <w:spacing w:val="-7"/>
          <w:sz w:val="18"/>
        </w:rPr>
        <w:t xml:space="preserve"> </w:t>
      </w:r>
      <w:r>
        <w:rPr>
          <w:sz w:val="18"/>
        </w:rPr>
        <w:t>paras.</w:t>
      </w:r>
      <w:r>
        <w:rPr>
          <w:spacing w:val="-3"/>
          <w:sz w:val="18"/>
        </w:rPr>
        <w:t xml:space="preserve"> </w:t>
      </w:r>
      <w:r>
        <w:rPr>
          <w:sz w:val="18"/>
        </w:rPr>
        <w:t>1524</w:t>
      </w:r>
      <w:r>
        <w:rPr>
          <w:spacing w:val="-10"/>
          <w:sz w:val="18"/>
        </w:rPr>
        <w:t xml:space="preserve"> </w:t>
      </w:r>
      <w:r>
        <w:rPr>
          <w:sz w:val="18"/>
        </w:rPr>
        <w:t>–</w:t>
      </w:r>
      <w:r>
        <w:rPr>
          <w:spacing w:val="-4"/>
          <w:sz w:val="18"/>
        </w:rPr>
        <w:t xml:space="preserve"> </w:t>
      </w:r>
      <w:r>
        <w:rPr>
          <w:sz w:val="18"/>
        </w:rPr>
        <w:t>1530.</w:t>
      </w:r>
      <w:r>
        <w:rPr>
          <w:spacing w:val="-8"/>
          <w:sz w:val="18"/>
        </w:rPr>
        <w:t xml:space="preserve"> </w:t>
      </w:r>
      <w:r>
        <w:rPr>
          <w:sz w:val="18"/>
        </w:rPr>
        <w:t>As</w:t>
      </w:r>
      <w:r>
        <w:rPr>
          <w:spacing w:val="-9"/>
          <w:sz w:val="18"/>
        </w:rPr>
        <w:t xml:space="preserve"> </w:t>
      </w:r>
      <w:r>
        <w:rPr>
          <w:sz w:val="18"/>
        </w:rPr>
        <w:t>set</w:t>
      </w:r>
      <w:r>
        <w:rPr>
          <w:spacing w:val="-3"/>
          <w:sz w:val="18"/>
        </w:rPr>
        <w:t xml:space="preserve"> </w:t>
      </w:r>
      <w:r>
        <w:rPr>
          <w:sz w:val="18"/>
        </w:rPr>
        <w:t>out</w:t>
      </w:r>
      <w:r>
        <w:rPr>
          <w:spacing w:val="-3"/>
          <w:sz w:val="18"/>
        </w:rPr>
        <w:t xml:space="preserve"> </w:t>
      </w:r>
      <w:r>
        <w:rPr>
          <w:sz w:val="18"/>
        </w:rPr>
        <w:t>earlier</w:t>
      </w:r>
      <w:r>
        <w:rPr>
          <w:spacing w:val="-6"/>
          <w:sz w:val="18"/>
        </w:rPr>
        <w:t xml:space="preserve"> </w:t>
      </w:r>
      <w:r>
        <w:rPr>
          <w:sz w:val="18"/>
        </w:rPr>
        <w:t>in</w:t>
      </w:r>
      <w:r>
        <w:rPr>
          <w:spacing w:val="-5"/>
          <w:sz w:val="18"/>
        </w:rPr>
        <w:t xml:space="preserve"> </w:t>
      </w:r>
      <w:r>
        <w:rPr>
          <w:sz w:val="18"/>
        </w:rPr>
        <w:t>these</w:t>
      </w:r>
      <w:r>
        <w:rPr>
          <w:spacing w:val="-4"/>
          <w:sz w:val="18"/>
        </w:rPr>
        <w:t xml:space="preserve"> </w:t>
      </w:r>
      <w:r>
        <w:rPr>
          <w:sz w:val="18"/>
        </w:rPr>
        <w:t>submissions,</w:t>
      </w:r>
      <w:r>
        <w:rPr>
          <w:spacing w:val="-2"/>
          <w:sz w:val="18"/>
        </w:rPr>
        <w:t xml:space="preserve"> </w:t>
      </w:r>
      <w:r>
        <w:rPr>
          <w:sz w:val="18"/>
        </w:rPr>
        <w:t>Australia</w:t>
      </w:r>
      <w:r>
        <w:rPr>
          <w:spacing w:val="-10"/>
          <w:sz w:val="18"/>
        </w:rPr>
        <w:t xml:space="preserve"> </w:t>
      </w:r>
      <w:r>
        <w:rPr>
          <w:sz w:val="18"/>
        </w:rPr>
        <w:t>does</w:t>
      </w:r>
      <w:r>
        <w:rPr>
          <w:spacing w:val="-4"/>
          <w:sz w:val="18"/>
        </w:rPr>
        <w:t xml:space="preserve"> </w:t>
      </w:r>
      <w:r>
        <w:rPr>
          <w:sz w:val="18"/>
        </w:rPr>
        <w:t>not</w:t>
      </w:r>
      <w:r>
        <w:rPr>
          <w:spacing w:val="-3"/>
          <w:sz w:val="18"/>
        </w:rPr>
        <w:t xml:space="preserve"> </w:t>
      </w:r>
      <w:r>
        <w:rPr>
          <w:sz w:val="18"/>
        </w:rPr>
        <w:t>accept</w:t>
      </w:r>
      <w:r>
        <w:rPr>
          <w:spacing w:val="-3"/>
          <w:sz w:val="18"/>
        </w:rPr>
        <w:t xml:space="preserve"> </w:t>
      </w:r>
      <w:r>
        <w:rPr>
          <w:sz w:val="18"/>
        </w:rPr>
        <w:t xml:space="preserve">that MOFCOM's process for calculating these dumping margins was consistent with China's obligations under the Anti-Dumping </w:t>
      </w:r>
      <w:r>
        <w:rPr>
          <w:spacing w:val="-2"/>
          <w:sz w:val="18"/>
        </w:rPr>
        <w:t>Agreement.</w:t>
      </w:r>
    </w:p>
    <w:p w14:paraId="2CF08D66" w14:textId="77777777" w:rsidR="00BD462C" w:rsidRDefault="00033D0F">
      <w:pPr>
        <w:spacing w:before="4"/>
        <w:ind w:left="135"/>
        <w:jc w:val="both"/>
        <w:rPr>
          <w:sz w:val="18"/>
        </w:rPr>
      </w:pPr>
      <w:bookmarkStart w:id="1072" w:name="_bookmark924"/>
      <w:bookmarkEnd w:id="1072"/>
      <w:r>
        <w:rPr>
          <w:position w:val="5"/>
          <w:sz w:val="12"/>
        </w:rPr>
        <w:t>786</w:t>
      </w:r>
      <w:r>
        <w:rPr>
          <w:spacing w:val="13"/>
          <w:position w:val="5"/>
          <w:sz w:val="12"/>
        </w:rPr>
        <w:t xml:space="preserve"> </w:t>
      </w:r>
      <w:r>
        <w:rPr>
          <w:sz w:val="18"/>
        </w:rPr>
        <w:t>See</w:t>
      </w:r>
      <w:r>
        <w:rPr>
          <w:spacing w:val="-4"/>
          <w:sz w:val="18"/>
        </w:rPr>
        <w:t xml:space="preserve"> </w:t>
      </w:r>
      <w:r>
        <w:rPr>
          <w:sz w:val="18"/>
        </w:rPr>
        <w:t>above</w:t>
      </w:r>
      <w:r>
        <w:rPr>
          <w:spacing w:val="-5"/>
          <w:sz w:val="18"/>
        </w:rPr>
        <w:t xml:space="preserve"> </w:t>
      </w:r>
      <w:r>
        <w:rPr>
          <w:sz w:val="18"/>
        </w:rPr>
        <w:t>para.</w:t>
      </w:r>
      <w:r>
        <w:rPr>
          <w:spacing w:val="1"/>
          <w:sz w:val="18"/>
        </w:rPr>
        <w:t xml:space="preserve"> </w:t>
      </w:r>
      <w:hyperlink w:anchor="_bookmark903" w:history="1">
        <w:r>
          <w:rPr>
            <w:sz w:val="18"/>
          </w:rPr>
          <w:t>523</w:t>
        </w:r>
      </w:hyperlink>
      <w:r>
        <w:rPr>
          <w:sz w:val="18"/>
        </w:rPr>
        <w:t>;</w:t>
      </w:r>
      <w:r>
        <w:rPr>
          <w:spacing w:val="-7"/>
          <w:sz w:val="18"/>
        </w:rPr>
        <w:t xml:space="preserve"> </w:t>
      </w:r>
      <w:r>
        <w:rPr>
          <w:sz w:val="18"/>
        </w:rPr>
        <w:t>Panel</w:t>
      </w:r>
      <w:r>
        <w:rPr>
          <w:spacing w:val="-3"/>
          <w:sz w:val="18"/>
        </w:rPr>
        <w:t xml:space="preserve"> </w:t>
      </w:r>
      <w:r>
        <w:rPr>
          <w:sz w:val="18"/>
        </w:rPr>
        <w:t>Report,</w:t>
      </w:r>
      <w:r>
        <w:rPr>
          <w:spacing w:val="-3"/>
          <w:sz w:val="18"/>
        </w:rPr>
        <w:t xml:space="preserve"> </w:t>
      </w:r>
      <w:r>
        <w:rPr>
          <w:i/>
          <w:sz w:val="18"/>
        </w:rPr>
        <w:t>Egypt</w:t>
      </w:r>
      <w:r>
        <w:rPr>
          <w:i/>
          <w:spacing w:val="-4"/>
          <w:sz w:val="18"/>
        </w:rPr>
        <w:t xml:space="preserve"> </w:t>
      </w:r>
      <w:r>
        <w:rPr>
          <w:i/>
          <w:sz w:val="18"/>
        </w:rPr>
        <w:t>–</w:t>
      </w:r>
      <w:r>
        <w:rPr>
          <w:i/>
          <w:spacing w:val="-1"/>
          <w:sz w:val="18"/>
        </w:rPr>
        <w:t xml:space="preserve"> </w:t>
      </w:r>
      <w:r>
        <w:rPr>
          <w:i/>
          <w:sz w:val="18"/>
        </w:rPr>
        <w:t>Steel</w:t>
      </w:r>
      <w:r>
        <w:rPr>
          <w:i/>
          <w:spacing w:val="-8"/>
          <w:sz w:val="18"/>
        </w:rPr>
        <w:t xml:space="preserve"> </w:t>
      </w:r>
      <w:r>
        <w:rPr>
          <w:i/>
          <w:sz w:val="18"/>
        </w:rPr>
        <w:t>Rebar</w:t>
      </w:r>
      <w:r>
        <w:rPr>
          <w:sz w:val="18"/>
        </w:rPr>
        <w:t>,</w:t>
      </w:r>
      <w:r>
        <w:rPr>
          <w:spacing w:val="-3"/>
          <w:sz w:val="18"/>
        </w:rPr>
        <w:t xml:space="preserve"> </w:t>
      </w:r>
      <w:r>
        <w:rPr>
          <w:sz w:val="18"/>
        </w:rPr>
        <w:t>paras.</w:t>
      </w:r>
      <w:r>
        <w:rPr>
          <w:spacing w:val="1"/>
          <w:sz w:val="18"/>
        </w:rPr>
        <w:t xml:space="preserve"> </w:t>
      </w:r>
      <w:r>
        <w:rPr>
          <w:sz w:val="18"/>
        </w:rPr>
        <w:t>7.49-</w:t>
      </w:r>
      <w:r>
        <w:rPr>
          <w:spacing w:val="-2"/>
          <w:sz w:val="18"/>
        </w:rPr>
        <w:t>7.53.</w:t>
      </w:r>
    </w:p>
    <w:p w14:paraId="236D4232" w14:textId="77777777" w:rsidR="00BD462C" w:rsidRDefault="00033D0F">
      <w:pPr>
        <w:spacing w:before="1"/>
        <w:ind w:left="135" w:right="911"/>
        <w:jc w:val="both"/>
        <w:rPr>
          <w:sz w:val="18"/>
        </w:rPr>
      </w:pPr>
      <w:bookmarkStart w:id="1073" w:name="_bookmark925"/>
      <w:bookmarkEnd w:id="1073"/>
      <w:r>
        <w:rPr>
          <w:position w:val="5"/>
          <w:sz w:val="12"/>
        </w:rPr>
        <w:t>787</w:t>
      </w:r>
      <w:r>
        <w:rPr>
          <w:spacing w:val="-7"/>
          <w:position w:val="5"/>
          <w:sz w:val="12"/>
        </w:rPr>
        <w:t xml:space="preserve"> </w:t>
      </w:r>
      <w:r>
        <w:rPr>
          <w:sz w:val="18"/>
        </w:rPr>
        <w:t>Panel</w:t>
      </w:r>
      <w:r>
        <w:rPr>
          <w:spacing w:val="-10"/>
          <w:sz w:val="18"/>
        </w:rPr>
        <w:t xml:space="preserve"> </w:t>
      </w:r>
      <w:r>
        <w:rPr>
          <w:sz w:val="18"/>
        </w:rPr>
        <w:t>Reports,</w:t>
      </w:r>
      <w:r>
        <w:rPr>
          <w:spacing w:val="-11"/>
          <w:sz w:val="18"/>
        </w:rPr>
        <w:t xml:space="preserve"> </w:t>
      </w:r>
      <w:r>
        <w:rPr>
          <w:i/>
          <w:sz w:val="18"/>
        </w:rPr>
        <w:t>Pakistan</w:t>
      </w:r>
      <w:r>
        <w:rPr>
          <w:i/>
          <w:spacing w:val="-8"/>
          <w:sz w:val="18"/>
        </w:rPr>
        <w:t xml:space="preserve"> </w:t>
      </w:r>
      <w:r>
        <w:rPr>
          <w:i/>
          <w:sz w:val="18"/>
        </w:rPr>
        <w:t>–</w:t>
      </w:r>
      <w:r>
        <w:rPr>
          <w:i/>
          <w:spacing w:val="-11"/>
          <w:sz w:val="18"/>
        </w:rPr>
        <w:t xml:space="preserve"> </w:t>
      </w:r>
      <w:r>
        <w:rPr>
          <w:i/>
          <w:sz w:val="18"/>
        </w:rPr>
        <w:t>BOPP</w:t>
      </w:r>
      <w:r>
        <w:rPr>
          <w:i/>
          <w:spacing w:val="-6"/>
          <w:sz w:val="18"/>
        </w:rPr>
        <w:t xml:space="preserve"> </w:t>
      </w:r>
      <w:r>
        <w:rPr>
          <w:i/>
          <w:sz w:val="18"/>
        </w:rPr>
        <w:t>Film</w:t>
      </w:r>
      <w:r>
        <w:rPr>
          <w:i/>
          <w:spacing w:val="-11"/>
          <w:sz w:val="18"/>
        </w:rPr>
        <w:t xml:space="preserve"> </w:t>
      </w:r>
      <w:r>
        <w:rPr>
          <w:i/>
          <w:sz w:val="18"/>
        </w:rPr>
        <w:t>(UAE)</w:t>
      </w:r>
      <w:r>
        <w:rPr>
          <w:sz w:val="18"/>
        </w:rPr>
        <w:t>,</w:t>
      </w:r>
      <w:r>
        <w:rPr>
          <w:spacing w:val="-5"/>
          <w:sz w:val="18"/>
        </w:rPr>
        <w:t xml:space="preserve"> </w:t>
      </w:r>
      <w:r>
        <w:rPr>
          <w:sz w:val="18"/>
        </w:rPr>
        <w:t>para.</w:t>
      </w:r>
      <w:r>
        <w:rPr>
          <w:spacing w:val="-7"/>
          <w:sz w:val="18"/>
        </w:rPr>
        <w:t xml:space="preserve"> </w:t>
      </w:r>
      <w:r>
        <w:rPr>
          <w:sz w:val="18"/>
        </w:rPr>
        <w:t>7.352;</w:t>
      </w:r>
      <w:r>
        <w:rPr>
          <w:spacing w:val="-9"/>
          <w:sz w:val="18"/>
        </w:rPr>
        <w:t xml:space="preserve"> </w:t>
      </w:r>
      <w:r>
        <w:rPr>
          <w:i/>
          <w:sz w:val="18"/>
        </w:rPr>
        <w:t>Russia</w:t>
      </w:r>
      <w:r>
        <w:rPr>
          <w:i/>
          <w:spacing w:val="-6"/>
          <w:sz w:val="18"/>
        </w:rPr>
        <w:t xml:space="preserve"> </w:t>
      </w:r>
      <w:r>
        <w:rPr>
          <w:i/>
          <w:sz w:val="18"/>
        </w:rPr>
        <w:t>–</w:t>
      </w:r>
      <w:r>
        <w:rPr>
          <w:i/>
          <w:spacing w:val="-11"/>
          <w:sz w:val="18"/>
        </w:rPr>
        <w:t xml:space="preserve"> </w:t>
      </w:r>
      <w:r>
        <w:rPr>
          <w:i/>
          <w:sz w:val="18"/>
        </w:rPr>
        <w:t>Commercial</w:t>
      </w:r>
      <w:r>
        <w:rPr>
          <w:i/>
          <w:spacing w:val="-10"/>
          <w:sz w:val="18"/>
        </w:rPr>
        <w:t xml:space="preserve"> </w:t>
      </w:r>
      <w:r>
        <w:rPr>
          <w:i/>
          <w:sz w:val="18"/>
        </w:rPr>
        <w:t>Vehicles</w:t>
      </w:r>
      <w:r>
        <w:rPr>
          <w:sz w:val="18"/>
        </w:rPr>
        <w:t>,</w:t>
      </w:r>
      <w:r>
        <w:rPr>
          <w:spacing w:val="-5"/>
          <w:sz w:val="18"/>
        </w:rPr>
        <w:t xml:space="preserve"> </w:t>
      </w:r>
      <w:r>
        <w:rPr>
          <w:sz w:val="18"/>
        </w:rPr>
        <w:t>paras.</w:t>
      </w:r>
      <w:r>
        <w:rPr>
          <w:spacing w:val="-7"/>
          <w:sz w:val="18"/>
        </w:rPr>
        <w:t xml:space="preserve"> </w:t>
      </w:r>
      <w:r>
        <w:rPr>
          <w:sz w:val="18"/>
        </w:rPr>
        <w:t>7.126;</w:t>
      </w:r>
      <w:r>
        <w:rPr>
          <w:spacing w:val="-11"/>
          <w:sz w:val="18"/>
        </w:rPr>
        <w:t xml:space="preserve"> </w:t>
      </w:r>
      <w:r>
        <w:rPr>
          <w:i/>
          <w:sz w:val="18"/>
        </w:rPr>
        <w:t>EU</w:t>
      </w:r>
      <w:r>
        <w:rPr>
          <w:i/>
          <w:spacing w:val="-9"/>
          <w:sz w:val="18"/>
        </w:rPr>
        <w:t xml:space="preserve"> </w:t>
      </w:r>
      <w:r>
        <w:rPr>
          <w:i/>
          <w:sz w:val="18"/>
        </w:rPr>
        <w:t>–</w:t>
      </w:r>
      <w:r>
        <w:rPr>
          <w:i/>
          <w:spacing w:val="-8"/>
          <w:sz w:val="18"/>
        </w:rPr>
        <w:t xml:space="preserve"> </w:t>
      </w:r>
      <w:r>
        <w:rPr>
          <w:i/>
          <w:sz w:val="18"/>
        </w:rPr>
        <w:t>Footwear</w:t>
      </w:r>
      <w:r>
        <w:rPr>
          <w:i/>
          <w:spacing w:val="-11"/>
          <w:sz w:val="18"/>
        </w:rPr>
        <w:t xml:space="preserve"> </w:t>
      </w:r>
      <w:r>
        <w:rPr>
          <w:i/>
          <w:sz w:val="18"/>
        </w:rPr>
        <w:t>(China)</w:t>
      </w:r>
      <w:r>
        <w:rPr>
          <w:sz w:val="18"/>
        </w:rPr>
        <w:t>, para. 7.413.</w:t>
      </w:r>
    </w:p>
    <w:p w14:paraId="31913E39" w14:textId="77777777" w:rsidR="00BD462C" w:rsidRDefault="00BD462C">
      <w:pPr>
        <w:jc w:val="both"/>
        <w:rPr>
          <w:sz w:val="18"/>
        </w:rPr>
        <w:sectPr w:rsidR="00BD462C">
          <w:pgSz w:w="11910" w:h="16840"/>
          <w:pgMar w:top="860" w:right="500" w:bottom="780" w:left="1280" w:header="566" w:footer="590" w:gutter="0"/>
          <w:cols w:space="720"/>
        </w:sectPr>
      </w:pPr>
    </w:p>
    <w:p w14:paraId="2C0CE42E"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059A7987"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1234E818"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12B88F1A" w14:textId="77777777" w:rsidR="00BD462C" w:rsidRDefault="00033D0F">
      <w:pPr>
        <w:pStyle w:val="BodyText"/>
        <w:spacing w:before="102" w:line="360" w:lineRule="auto"/>
        <w:ind w:left="136" w:right="914"/>
        <w:jc w:val="both"/>
      </w:pPr>
      <w:r>
        <w:t>were allegedly sold at dumping margins of over 100% but were allegedly causing price suppression of just 2%, were actually having the domestic industry. In these circumstances, MOFCOM's single line of observation</w:t>
      </w:r>
      <w:r>
        <w:rPr>
          <w:spacing w:val="-1"/>
        </w:rPr>
        <w:t xml:space="preserve"> </w:t>
      </w:r>
      <w:r>
        <w:t>regarding the dumping margins does not establish</w:t>
      </w:r>
      <w:r>
        <w:rPr>
          <w:spacing w:val="-1"/>
        </w:rPr>
        <w:t xml:space="preserve"> </w:t>
      </w:r>
      <w:r>
        <w:t>that MOFCOM evaluated the factor as a "substantive matter".</w:t>
      </w:r>
      <w:hyperlink w:anchor="_bookmark927" w:history="1">
        <w:r>
          <w:rPr>
            <w:vertAlign w:val="superscript"/>
          </w:rPr>
          <w:t>788</w:t>
        </w:r>
      </w:hyperlink>
    </w:p>
    <w:p w14:paraId="4D569CA1" w14:textId="77777777" w:rsidR="00BD462C" w:rsidRDefault="00033D0F">
      <w:pPr>
        <w:pStyle w:val="Heading3"/>
        <w:numPr>
          <w:ilvl w:val="0"/>
          <w:numId w:val="33"/>
        </w:numPr>
        <w:tabs>
          <w:tab w:val="left" w:pos="2689"/>
          <w:tab w:val="left" w:pos="2690"/>
        </w:tabs>
        <w:spacing w:before="158"/>
      </w:pPr>
      <w:bookmarkStart w:id="1074" w:name="4._MOFCOM_did_not_evaluate_&quot;factors_affe"/>
      <w:bookmarkStart w:id="1075" w:name="_bookmark926"/>
      <w:bookmarkEnd w:id="1074"/>
      <w:bookmarkEnd w:id="1075"/>
      <w:r>
        <w:t>MOFCOM</w:t>
      </w:r>
      <w:r>
        <w:rPr>
          <w:spacing w:val="-6"/>
        </w:rPr>
        <w:t xml:space="preserve"> </w:t>
      </w:r>
      <w:r>
        <w:t>did</w:t>
      </w:r>
      <w:r>
        <w:rPr>
          <w:spacing w:val="-4"/>
        </w:rPr>
        <w:t xml:space="preserve"> </w:t>
      </w:r>
      <w:r>
        <w:t>not</w:t>
      </w:r>
      <w:r>
        <w:rPr>
          <w:spacing w:val="-6"/>
        </w:rPr>
        <w:t xml:space="preserve"> </w:t>
      </w:r>
      <w:r>
        <w:t>evaluate</w:t>
      </w:r>
      <w:r>
        <w:rPr>
          <w:spacing w:val="-6"/>
        </w:rPr>
        <w:t xml:space="preserve"> </w:t>
      </w:r>
      <w:r>
        <w:t>"factors</w:t>
      </w:r>
      <w:r>
        <w:rPr>
          <w:spacing w:val="-4"/>
        </w:rPr>
        <w:t xml:space="preserve"> </w:t>
      </w:r>
      <w:r>
        <w:t>affecting</w:t>
      </w:r>
      <w:r>
        <w:rPr>
          <w:spacing w:val="-4"/>
        </w:rPr>
        <w:t xml:space="preserve"> </w:t>
      </w:r>
      <w:r>
        <w:t>domestic</w:t>
      </w:r>
      <w:r>
        <w:rPr>
          <w:spacing w:val="-4"/>
        </w:rPr>
        <w:t xml:space="preserve"> </w:t>
      </w:r>
      <w:r>
        <w:rPr>
          <w:spacing w:val="-2"/>
        </w:rPr>
        <w:t>prices"</w:t>
      </w:r>
    </w:p>
    <w:p w14:paraId="0EC3B192" w14:textId="77777777" w:rsidR="00BD462C" w:rsidRDefault="00BD462C">
      <w:pPr>
        <w:pStyle w:val="BodyText"/>
        <w:spacing w:before="11"/>
        <w:rPr>
          <w:b/>
          <w:sz w:val="20"/>
        </w:rPr>
      </w:pPr>
    </w:p>
    <w:p w14:paraId="047FE2CB" w14:textId="4A93F2F8" w:rsidR="00BD462C" w:rsidRDefault="00387F6E">
      <w:pPr>
        <w:pStyle w:val="BodyText"/>
        <w:spacing w:before="56" w:line="360" w:lineRule="auto"/>
        <w:ind w:left="135" w:right="911"/>
        <w:jc w:val="both"/>
      </w:pPr>
      <w:r>
        <w:rPr>
          <w:noProof/>
        </w:rPr>
        <w:t>531.</w:t>
      </w:r>
      <w:r w:rsidR="00033D0F">
        <w:rPr>
          <w:rFonts w:ascii="Times New Roman"/>
          <w:spacing w:val="80"/>
          <w:position w:val="1"/>
          <w:sz w:val="20"/>
        </w:rPr>
        <w:t xml:space="preserve">  </w:t>
      </w:r>
      <w:r w:rsidR="00033D0F">
        <w:rPr>
          <w:position w:val="1"/>
        </w:rPr>
        <w:t xml:space="preserve">The second key point of disagreement between the parties is: (i) whether MOFCOM </w:t>
      </w:r>
      <w:r w:rsidR="00033D0F">
        <w:t>was</w:t>
      </w:r>
      <w:r w:rsidR="00033D0F">
        <w:rPr>
          <w:spacing w:val="-6"/>
        </w:rPr>
        <w:t xml:space="preserve"> </w:t>
      </w:r>
      <w:r w:rsidR="00033D0F">
        <w:t>required</w:t>
      </w:r>
      <w:r w:rsidR="00033D0F">
        <w:rPr>
          <w:spacing w:val="-9"/>
        </w:rPr>
        <w:t xml:space="preserve"> </w:t>
      </w:r>
      <w:r w:rsidR="00033D0F">
        <w:t>to</w:t>
      </w:r>
      <w:r w:rsidR="00033D0F">
        <w:rPr>
          <w:spacing w:val="-5"/>
        </w:rPr>
        <w:t xml:space="preserve"> </w:t>
      </w:r>
      <w:r w:rsidR="00033D0F">
        <w:t>consider</w:t>
      </w:r>
      <w:r w:rsidR="00033D0F">
        <w:rPr>
          <w:spacing w:val="-10"/>
        </w:rPr>
        <w:t xml:space="preserve"> </w:t>
      </w:r>
      <w:r w:rsidR="00033D0F">
        <w:t>market</w:t>
      </w:r>
      <w:r w:rsidR="00033D0F">
        <w:rPr>
          <w:spacing w:val="-7"/>
        </w:rPr>
        <w:t xml:space="preserve"> </w:t>
      </w:r>
      <w:r w:rsidR="00033D0F">
        <w:t>supply</w:t>
      </w:r>
      <w:r w:rsidR="00033D0F">
        <w:rPr>
          <w:spacing w:val="-6"/>
        </w:rPr>
        <w:t xml:space="preserve"> </w:t>
      </w:r>
      <w:r w:rsidR="00033D0F">
        <w:t>and</w:t>
      </w:r>
      <w:r w:rsidR="00033D0F">
        <w:rPr>
          <w:spacing w:val="-9"/>
        </w:rPr>
        <w:t xml:space="preserve"> </w:t>
      </w:r>
      <w:r w:rsidR="00033D0F">
        <w:t>demand</w:t>
      </w:r>
      <w:r w:rsidR="00033D0F">
        <w:rPr>
          <w:spacing w:val="-9"/>
        </w:rPr>
        <w:t xml:space="preserve"> </w:t>
      </w:r>
      <w:r w:rsidR="00033D0F">
        <w:t>and</w:t>
      </w:r>
      <w:r w:rsidR="00033D0F">
        <w:rPr>
          <w:spacing w:val="-4"/>
        </w:rPr>
        <w:t xml:space="preserve"> </w:t>
      </w:r>
      <w:r w:rsidR="00033D0F">
        <w:t>the</w:t>
      </w:r>
      <w:r w:rsidR="00033D0F">
        <w:rPr>
          <w:spacing w:val="-7"/>
        </w:rPr>
        <w:t xml:space="preserve"> </w:t>
      </w:r>
      <w:r w:rsidR="00033D0F">
        <w:t>cost</w:t>
      </w:r>
      <w:r w:rsidR="00033D0F">
        <w:rPr>
          <w:spacing w:val="-7"/>
        </w:rPr>
        <w:t xml:space="preserve"> </w:t>
      </w:r>
      <w:r w:rsidR="00033D0F">
        <w:t>of</w:t>
      </w:r>
      <w:r w:rsidR="00033D0F">
        <w:rPr>
          <w:spacing w:val="-4"/>
        </w:rPr>
        <w:t xml:space="preserve"> </w:t>
      </w:r>
      <w:r w:rsidR="00033D0F">
        <w:t>raw</w:t>
      </w:r>
      <w:r w:rsidR="00033D0F">
        <w:rPr>
          <w:spacing w:val="-7"/>
        </w:rPr>
        <w:t xml:space="preserve"> </w:t>
      </w:r>
      <w:r w:rsidR="00033D0F">
        <w:t>materials</w:t>
      </w:r>
      <w:r w:rsidR="00033D0F">
        <w:rPr>
          <w:spacing w:val="-6"/>
        </w:rPr>
        <w:t xml:space="preserve"> </w:t>
      </w:r>
      <w:r w:rsidR="00033D0F">
        <w:t>as</w:t>
      </w:r>
      <w:r w:rsidR="00033D0F">
        <w:rPr>
          <w:spacing w:val="-6"/>
        </w:rPr>
        <w:t xml:space="preserve"> </w:t>
      </w:r>
      <w:r w:rsidR="00033D0F">
        <w:t>"factors affecting</w:t>
      </w:r>
      <w:r w:rsidR="00033D0F">
        <w:rPr>
          <w:spacing w:val="-14"/>
        </w:rPr>
        <w:t xml:space="preserve"> </w:t>
      </w:r>
      <w:r w:rsidR="00033D0F">
        <w:t>domestic</w:t>
      </w:r>
      <w:r w:rsidR="00033D0F">
        <w:rPr>
          <w:spacing w:val="-14"/>
        </w:rPr>
        <w:t xml:space="preserve"> </w:t>
      </w:r>
      <w:r w:rsidR="00033D0F">
        <w:t>prices"</w:t>
      </w:r>
      <w:r w:rsidR="00033D0F">
        <w:rPr>
          <w:spacing w:val="-13"/>
        </w:rPr>
        <w:t xml:space="preserve"> </w:t>
      </w:r>
      <w:r w:rsidR="00033D0F">
        <w:t>during</w:t>
      </w:r>
      <w:r w:rsidR="00033D0F">
        <w:rPr>
          <w:spacing w:val="-14"/>
        </w:rPr>
        <w:t xml:space="preserve"> </w:t>
      </w:r>
      <w:r w:rsidR="00033D0F">
        <w:t>its</w:t>
      </w:r>
      <w:r w:rsidR="00033D0F">
        <w:rPr>
          <w:spacing w:val="-13"/>
        </w:rPr>
        <w:t xml:space="preserve"> </w:t>
      </w:r>
      <w:r w:rsidR="00033D0F">
        <w:t>evaluation</w:t>
      </w:r>
      <w:r w:rsidR="00033D0F">
        <w:rPr>
          <w:spacing w:val="-14"/>
        </w:rPr>
        <w:t xml:space="preserve"> </w:t>
      </w:r>
      <w:r w:rsidR="00033D0F">
        <w:t>of</w:t>
      </w:r>
      <w:r w:rsidR="00033D0F">
        <w:rPr>
          <w:spacing w:val="-13"/>
        </w:rPr>
        <w:t xml:space="preserve"> </w:t>
      </w:r>
      <w:r w:rsidR="00033D0F">
        <w:t>relevant</w:t>
      </w:r>
      <w:r w:rsidR="00033D0F">
        <w:rPr>
          <w:spacing w:val="-14"/>
        </w:rPr>
        <w:t xml:space="preserve"> </w:t>
      </w:r>
      <w:r w:rsidR="00033D0F">
        <w:t>economic</w:t>
      </w:r>
      <w:r w:rsidR="00033D0F">
        <w:rPr>
          <w:spacing w:val="-14"/>
        </w:rPr>
        <w:t xml:space="preserve"> </w:t>
      </w:r>
      <w:r w:rsidR="00033D0F">
        <w:t>factors</w:t>
      </w:r>
      <w:r w:rsidR="00033D0F">
        <w:rPr>
          <w:spacing w:val="-13"/>
        </w:rPr>
        <w:t xml:space="preserve"> </w:t>
      </w:r>
      <w:r w:rsidR="00033D0F">
        <w:t>and</w:t>
      </w:r>
      <w:r w:rsidR="00033D0F">
        <w:rPr>
          <w:spacing w:val="-14"/>
        </w:rPr>
        <w:t xml:space="preserve"> </w:t>
      </w:r>
      <w:r w:rsidR="00033D0F">
        <w:t>indices</w:t>
      </w:r>
      <w:r w:rsidR="00033D0F">
        <w:rPr>
          <w:spacing w:val="-13"/>
        </w:rPr>
        <w:t xml:space="preserve"> </w:t>
      </w:r>
      <w:r w:rsidR="00033D0F">
        <w:t>under Article</w:t>
      </w:r>
      <w:r w:rsidR="00033D0F">
        <w:rPr>
          <w:spacing w:val="-3"/>
        </w:rPr>
        <w:t xml:space="preserve"> </w:t>
      </w:r>
      <w:r w:rsidR="00033D0F">
        <w:t>3.4;</w:t>
      </w:r>
      <w:hyperlink w:anchor="_bookmark928" w:history="1">
        <w:r w:rsidR="00033D0F">
          <w:rPr>
            <w:vertAlign w:val="superscript"/>
          </w:rPr>
          <w:t>789</w:t>
        </w:r>
      </w:hyperlink>
      <w:r w:rsidR="00033D0F">
        <w:t xml:space="preserve"> and</w:t>
      </w:r>
      <w:r w:rsidR="00033D0F">
        <w:rPr>
          <w:spacing w:val="-1"/>
        </w:rPr>
        <w:t xml:space="preserve"> </w:t>
      </w:r>
      <w:r w:rsidR="00033D0F">
        <w:t>(ii) if an</w:t>
      </w:r>
      <w:r w:rsidR="00033D0F">
        <w:rPr>
          <w:spacing w:val="-1"/>
        </w:rPr>
        <w:t xml:space="preserve"> </w:t>
      </w:r>
      <w:r w:rsidR="00033D0F">
        <w:t>evaluation</w:t>
      </w:r>
      <w:r w:rsidR="00033D0F">
        <w:rPr>
          <w:spacing w:val="-1"/>
        </w:rPr>
        <w:t xml:space="preserve"> </w:t>
      </w:r>
      <w:r w:rsidR="00033D0F">
        <w:t>of such</w:t>
      </w:r>
      <w:r w:rsidR="00033D0F">
        <w:rPr>
          <w:spacing w:val="-1"/>
        </w:rPr>
        <w:t xml:space="preserve"> </w:t>
      </w:r>
      <w:r w:rsidR="00033D0F">
        <w:t>factors was required, whether</w:t>
      </w:r>
      <w:r w:rsidR="00033D0F">
        <w:rPr>
          <w:spacing w:val="-1"/>
        </w:rPr>
        <w:t xml:space="preserve"> </w:t>
      </w:r>
      <w:r w:rsidR="00033D0F">
        <w:t>MOFCOM in</w:t>
      </w:r>
      <w:r w:rsidR="00033D0F">
        <w:rPr>
          <w:spacing w:val="-1"/>
        </w:rPr>
        <w:t xml:space="preserve"> </w:t>
      </w:r>
      <w:r w:rsidR="00033D0F">
        <w:t>fact did so.</w:t>
      </w:r>
      <w:hyperlink w:anchor="_bookmark929" w:history="1">
        <w:r w:rsidR="00033D0F">
          <w:rPr>
            <w:vertAlign w:val="superscript"/>
          </w:rPr>
          <w:t>790</w:t>
        </w:r>
      </w:hyperlink>
    </w:p>
    <w:p w14:paraId="392C346D" w14:textId="77777777" w:rsidR="00BD462C" w:rsidRDefault="00033D0F">
      <w:pPr>
        <w:pStyle w:val="ListParagraph"/>
        <w:numPr>
          <w:ilvl w:val="1"/>
          <w:numId w:val="33"/>
        </w:numPr>
        <w:tabs>
          <w:tab w:val="left" w:pos="3539"/>
          <w:tab w:val="left" w:pos="3540"/>
        </w:tabs>
        <w:spacing w:before="155" w:line="360" w:lineRule="auto"/>
        <w:ind w:right="917"/>
        <w:jc w:val="both"/>
        <w:rPr>
          <w:sz w:val="24"/>
        </w:rPr>
      </w:pPr>
      <w:bookmarkStart w:id="1076" w:name="(a)_MOFCOM_was_required_to_consider_mark"/>
      <w:bookmarkEnd w:id="1076"/>
      <w:r>
        <w:rPr>
          <w:sz w:val="24"/>
          <w:u w:val="single"/>
        </w:rPr>
        <w:t>MOFCOM was required to consider market supply and</w:t>
      </w:r>
      <w:r>
        <w:rPr>
          <w:sz w:val="24"/>
        </w:rPr>
        <w:t xml:space="preserve"> </w:t>
      </w:r>
      <w:r>
        <w:rPr>
          <w:sz w:val="24"/>
          <w:u w:val="single"/>
        </w:rPr>
        <w:t>demand and raw material costs as factors affecting</w:t>
      </w:r>
      <w:r>
        <w:rPr>
          <w:sz w:val="24"/>
        </w:rPr>
        <w:t xml:space="preserve"> </w:t>
      </w:r>
      <w:r>
        <w:rPr>
          <w:sz w:val="24"/>
          <w:u w:val="single"/>
        </w:rPr>
        <w:t>domestic prices</w:t>
      </w:r>
    </w:p>
    <w:p w14:paraId="6FE419A7" w14:textId="77777777" w:rsidR="00BD462C" w:rsidRDefault="00BD462C">
      <w:pPr>
        <w:pStyle w:val="BodyText"/>
        <w:spacing w:before="11"/>
        <w:rPr>
          <w:sz w:val="8"/>
        </w:rPr>
      </w:pPr>
    </w:p>
    <w:p w14:paraId="1CB916A1" w14:textId="1C333C60" w:rsidR="00BD462C" w:rsidRDefault="00AF1D30">
      <w:pPr>
        <w:pStyle w:val="BodyText"/>
        <w:spacing w:before="56" w:line="360" w:lineRule="auto"/>
        <w:ind w:left="135" w:right="913"/>
        <w:jc w:val="both"/>
      </w:pPr>
      <w:r>
        <w:rPr>
          <w:noProof/>
        </w:rPr>
        <w:t>532.</w:t>
      </w:r>
      <w:r w:rsidR="00033D0F">
        <w:rPr>
          <w:rFonts w:ascii="Times New Roman"/>
          <w:spacing w:val="80"/>
          <w:position w:val="1"/>
          <w:sz w:val="20"/>
        </w:rPr>
        <w:t xml:space="preserve">  </w:t>
      </w:r>
      <w:r w:rsidR="00033D0F">
        <w:rPr>
          <w:position w:val="1"/>
        </w:rPr>
        <w:t>Australia's</w:t>
      </w:r>
      <w:r w:rsidR="00033D0F">
        <w:rPr>
          <w:spacing w:val="-2"/>
          <w:position w:val="1"/>
        </w:rPr>
        <w:t xml:space="preserve"> </w:t>
      </w:r>
      <w:r w:rsidR="00033D0F">
        <w:rPr>
          <w:position w:val="1"/>
        </w:rPr>
        <w:t>position</w:t>
      </w:r>
      <w:r w:rsidR="00033D0F">
        <w:rPr>
          <w:spacing w:val="-5"/>
          <w:position w:val="1"/>
        </w:rPr>
        <w:t xml:space="preserve"> </w:t>
      </w:r>
      <w:r w:rsidR="00033D0F">
        <w:rPr>
          <w:position w:val="1"/>
        </w:rPr>
        <w:t>is</w:t>
      </w:r>
      <w:r w:rsidR="00033D0F">
        <w:rPr>
          <w:spacing w:val="-7"/>
          <w:position w:val="1"/>
        </w:rPr>
        <w:t xml:space="preserve"> </w:t>
      </w:r>
      <w:r w:rsidR="00033D0F">
        <w:rPr>
          <w:position w:val="1"/>
        </w:rPr>
        <w:t>that,</w:t>
      </w:r>
      <w:r w:rsidR="00033D0F">
        <w:rPr>
          <w:spacing w:val="-1"/>
          <w:position w:val="1"/>
        </w:rPr>
        <w:t xml:space="preserve"> </w:t>
      </w:r>
      <w:r w:rsidR="00033D0F">
        <w:rPr>
          <w:position w:val="1"/>
        </w:rPr>
        <w:t>having</w:t>
      </w:r>
      <w:r w:rsidR="00033D0F">
        <w:rPr>
          <w:spacing w:val="-2"/>
          <w:position w:val="1"/>
        </w:rPr>
        <w:t xml:space="preserve"> </w:t>
      </w:r>
      <w:r w:rsidR="00033D0F">
        <w:rPr>
          <w:position w:val="1"/>
        </w:rPr>
        <w:t>regard</w:t>
      </w:r>
      <w:r w:rsidR="00033D0F">
        <w:rPr>
          <w:spacing w:val="-5"/>
          <w:position w:val="1"/>
        </w:rPr>
        <w:t xml:space="preserve"> </w:t>
      </w:r>
      <w:r w:rsidR="00033D0F">
        <w:rPr>
          <w:position w:val="1"/>
        </w:rPr>
        <w:t>to</w:t>
      </w:r>
      <w:r w:rsidR="00033D0F">
        <w:rPr>
          <w:spacing w:val="-6"/>
          <w:position w:val="1"/>
        </w:rPr>
        <w:t xml:space="preserve"> </w:t>
      </w:r>
      <w:r w:rsidR="00033D0F">
        <w:rPr>
          <w:position w:val="1"/>
        </w:rPr>
        <w:t>the</w:t>
      </w:r>
      <w:r w:rsidR="00033D0F">
        <w:rPr>
          <w:spacing w:val="-4"/>
          <w:position w:val="1"/>
        </w:rPr>
        <w:t xml:space="preserve"> </w:t>
      </w:r>
      <w:r w:rsidR="00033D0F">
        <w:rPr>
          <w:position w:val="1"/>
        </w:rPr>
        <w:t>particular</w:t>
      </w:r>
      <w:r w:rsidR="00033D0F">
        <w:rPr>
          <w:spacing w:val="-6"/>
          <w:position w:val="1"/>
        </w:rPr>
        <w:t xml:space="preserve"> </w:t>
      </w:r>
      <w:r w:rsidR="00033D0F">
        <w:rPr>
          <w:position w:val="1"/>
        </w:rPr>
        <w:t>facts</w:t>
      </w:r>
      <w:r w:rsidR="00033D0F">
        <w:rPr>
          <w:spacing w:val="-2"/>
          <w:position w:val="1"/>
        </w:rPr>
        <w:t xml:space="preserve"> </w:t>
      </w:r>
      <w:r w:rsidR="00033D0F">
        <w:rPr>
          <w:position w:val="1"/>
        </w:rPr>
        <w:t>and</w:t>
      </w:r>
      <w:r w:rsidR="00033D0F">
        <w:rPr>
          <w:spacing w:val="-5"/>
          <w:position w:val="1"/>
        </w:rPr>
        <w:t xml:space="preserve"> </w:t>
      </w:r>
      <w:r w:rsidR="00033D0F">
        <w:rPr>
          <w:position w:val="1"/>
        </w:rPr>
        <w:t>circumstances</w:t>
      </w:r>
      <w:r w:rsidR="00033D0F">
        <w:rPr>
          <w:spacing w:val="-2"/>
          <w:position w:val="1"/>
        </w:rPr>
        <w:t xml:space="preserve"> </w:t>
      </w:r>
      <w:r w:rsidR="00033D0F">
        <w:rPr>
          <w:position w:val="1"/>
        </w:rPr>
        <w:t xml:space="preserve">of </w:t>
      </w:r>
      <w:r w:rsidR="00033D0F">
        <w:t>this case, MOFCOM was required to consider, as "factors affecting domestic prices", the impact of: (i) market supply and demand; and (ii) the cost of raw materials in order to undertake</w:t>
      </w:r>
      <w:r w:rsidR="00033D0F">
        <w:rPr>
          <w:spacing w:val="-13"/>
        </w:rPr>
        <w:t xml:space="preserve"> </w:t>
      </w:r>
      <w:r w:rsidR="00033D0F">
        <w:t>a</w:t>
      </w:r>
      <w:r w:rsidR="00033D0F">
        <w:rPr>
          <w:spacing w:val="-12"/>
        </w:rPr>
        <w:t xml:space="preserve"> </w:t>
      </w:r>
      <w:r w:rsidR="00033D0F">
        <w:t>proper</w:t>
      </w:r>
      <w:r w:rsidR="00033D0F">
        <w:rPr>
          <w:spacing w:val="-10"/>
        </w:rPr>
        <w:t xml:space="preserve"> </w:t>
      </w:r>
      <w:r w:rsidR="00033D0F">
        <w:t>Article</w:t>
      </w:r>
      <w:r w:rsidR="00033D0F">
        <w:rPr>
          <w:spacing w:val="-2"/>
        </w:rPr>
        <w:t xml:space="preserve"> </w:t>
      </w:r>
      <w:r w:rsidR="00033D0F">
        <w:t>3.4</w:t>
      </w:r>
      <w:r w:rsidR="00033D0F">
        <w:rPr>
          <w:spacing w:val="-14"/>
        </w:rPr>
        <w:t xml:space="preserve"> </w:t>
      </w:r>
      <w:r w:rsidR="00033D0F">
        <w:t>evaluation.</w:t>
      </w:r>
      <w:hyperlink w:anchor="_bookmark930" w:history="1">
        <w:r w:rsidR="00033D0F">
          <w:rPr>
            <w:vertAlign w:val="superscript"/>
          </w:rPr>
          <w:t>791</w:t>
        </w:r>
      </w:hyperlink>
      <w:r w:rsidR="00033D0F">
        <w:rPr>
          <w:spacing w:val="-11"/>
        </w:rPr>
        <w:t xml:space="preserve"> </w:t>
      </w:r>
      <w:r w:rsidR="00033D0F">
        <w:t>In</w:t>
      </w:r>
      <w:r w:rsidR="00033D0F">
        <w:rPr>
          <w:spacing w:val="-14"/>
        </w:rPr>
        <w:t xml:space="preserve"> </w:t>
      </w:r>
      <w:r w:rsidR="00033D0F">
        <w:t>response,</w:t>
      </w:r>
      <w:r w:rsidR="00033D0F">
        <w:rPr>
          <w:spacing w:val="-10"/>
        </w:rPr>
        <w:t xml:space="preserve"> </w:t>
      </w:r>
      <w:r w:rsidR="00033D0F">
        <w:t>China</w:t>
      </w:r>
      <w:r w:rsidR="00033D0F">
        <w:rPr>
          <w:spacing w:val="-12"/>
        </w:rPr>
        <w:t xml:space="preserve"> </w:t>
      </w:r>
      <w:r w:rsidR="00033D0F">
        <w:t>argues</w:t>
      </w:r>
      <w:r w:rsidR="00033D0F">
        <w:rPr>
          <w:spacing w:val="-10"/>
        </w:rPr>
        <w:t xml:space="preserve"> </w:t>
      </w:r>
      <w:r w:rsidR="00033D0F">
        <w:t>that</w:t>
      </w:r>
      <w:r w:rsidR="00033D0F">
        <w:rPr>
          <w:spacing w:val="-11"/>
        </w:rPr>
        <w:t xml:space="preserve"> </w:t>
      </w:r>
      <w:r w:rsidR="00033D0F">
        <w:t>MOFCOM</w:t>
      </w:r>
      <w:r w:rsidR="00033D0F">
        <w:rPr>
          <w:spacing w:val="-11"/>
        </w:rPr>
        <w:t xml:space="preserve"> </w:t>
      </w:r>
      <w:r w:rsidR="00033D0F">
        <w:t>was</w:t>
      </w:r>
      <w:r w:rsidR="00033D0F">
        <w:rPr>
          <w:spacing w:val="-10"/>
        </w:rPr>
        <w:t xml:space="preserve"> </w:t>
      </w:r>
      <w:r w:rsidR="00033D0F">
        <w:t>not required to consider these factors because: (i) Australia's arguments relate to either price effects to be examined under Article</w:t>
      </w:r>
      <w:r w:rsidR="00033D0F">
        <w:rPr>
          <w:spacing w:val="-1"/>
        </w:rPr>
        <w:t xml:space="preserve"> </w:t>
      </w:r>
      <w:r w:rsidR="00033D0F">
        <w:t>3.2 or causation to be examined under Article</w:t>
      </w:r>
      <w:r w:rsidR="00033D0F">
        <w:rPr>
          <w:spacing w:val="-1"/>
        </w:rPr>
        <w:t xml:space="preserve"> </w:t>
      </w:r>
      <w:r w:rsidR="00033D0F">
        <w:t>3.5;</w:t>
      </w:r>
      <w:hyperlink w:anchor="_bookmark931" w:history="1">
        <w:r w:rsidR="00033D0F">
          <w:rPr>
            <w:vertAlign w:val="superscript"/>
          </w:rPr>
          <w:t>792</w:t>
        </w:r>
      </w:hyperlink>
      <w:r w:rsidR="00033D0F">
        <w:t xml:space="preserve"> and/or (ii) Australia has misinterpreted the evidence from the domestic industry that these factors affected domestic prices during the Injury POI.</w:t>
      </w:r>
      <w:hyperlink w:anchor="_bookmark932" w:history="1">
        <w:r w:rsidR="00033D0F">
          <w:rPr>
            <w:vertAlign w:val="superscript"/>
          </w:rPr>
          <w:t>793</w:t>
        </w:r>
      </w:hyperlink>
      <w:r w:rsidR="00033D0F">
        <w:t xml:space="preserve"> Both of China's arguments are without merit. Australia has set out in detail the basis for its position in its first written submission and in response to Panel questions 36 and 37.</w:t>
      </w:r>
      <w:hyperlink w:anchor="_bookmark933" w:history="1">
        <w:r w:rsidR="00033D0F">
          <w:rPr>
            <w:vertAlign w:val="superscript"/>
          </w:rPr>
          <w:t>794</w:t>
        </w:r>
      </w:hyperlink>
      <w:r w:rsidR="00033D0F">
        <w:t xml:space="preserve"> Australia continues to rely on those submissions and, in addition, makes the following three points.</w:t>
      </w:r>
    </w:p>
    <w:p w14:paraId="03A5D4D1" w14:textId="1B1B22E6" w:rsidR="00BD462C" w:rsidRDefault="006E6DEA">
      <w:pPr>
        <w:pStyle w:val="BodyText"/>
        <w:rPr>
          <w:sz w:val="20"/>
        </w:rPr>
      </w:pPr>
      <w:r>
        <w:rPr>
          <w:noProof/>
        </w:rPr>
        <mc:AlternateContent>
          <mc:Choice Requires="wps">
            <w:drawing>
              <wp:anchor distT="0" distB="0" distL="0" distR="0" simplePos="0" relativeHeight="488143360" behindDoc="1" locked="0" layoutInCell="1" allowOverlap="1" wp14:anchorId="7725002A" wp14:editId="7B168673">
                <wp:simplePos x="0" y="0"/>
                <wp:positionH relativeFrom="page">
                  <wp:posOffset>812800</wp:posOffset>
                </wp:positionH>
                <wp:positionV relativeFrom="paragraph">
                  <wp:posOffset>255270</wp:posOffset>
                </wp:positionV>
                <wp:extent cx="1828800" cy="8890"/>
                <wp:effectExtent l="0" t="0" r="0" b="0"/>
                <wp:wrapTopAndBottom/>
                <wp:docPr id="115" name="docshape7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FB04C5" id="docshape705" o:spid="_x0000_s1026" alt="&quot;&quot;" style="position:absolute;margin-left:64pt;margin-top:20.1pt;width:2in;height:.7pt;z-index:-1517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" fillcolor="black" stroked="f">
                <w10:wrap type="topAndBottom" anchorx="page"/>
              </v:rect>
            </w:pict>
          </mc:Fallback>
        </mc:AlternateContent>
      </w:r>
    </w:p>
    <w:p w14:paraId="0BE1FD7E" w14:textId="370377E3" w:rsidR="00BD462C" w:rsidRDefault="00BD462C">
      <w:pPr>
        <w:pStyle w:val="BodyText"/>
        <w:spacing w:before="6"/>
        <w:rPr>
          <w:sz w:val="12"/>
        </w:rPr>
      </w:pPr>
    </w:p>
    <w:p w14:paraId="77C67AA6" w14:textId="77777777" w:rsidR="00BD462C" w:rsidRDefault="00033D0F">
      <w:pPr>
        <w:spacing w:before="112"/>
        <w:ind w:left="135"/>
        <w:rPr>
          <w:sz w:val="18"/>
        </w:rPr>
      </w:pPr>
      <w:bookmarkStart w:id="1077" w:name="_bookmark927"/>
      <w:bookmarkEnd w:id="1077"/>
      <w:r>
        <w:rPr>
          <w:position w:val="5"/>
          <w:sz w:val="12"/>
        </w:rPr>
        <w:t>788</w:t>
      </w:r>
      <w:r>
        <w:rPr>
          <w:spacing w:val="14"/>
          <w:position w:val="5"/>
          <w:sz w:val="12"/>
        </w:rPr>
        <w:t xml:space="preserve"> </w:t>
      </w:r>
      <w:r>
        <w:rPr>
          <w:sz w:val="18"/>
        </w:rPr>
        <w:t>Panel</w:t>
      </w:r>
      <w:r>
        <w:rPr>
          <w:spacing w:val="-4"/>
          <w:sz w:val="18"/>
        </w:rPr>
        <w:t xml:space="preserve"> </w:t>
      </w:r>
      <w:r>
        <w:rPr>
          <w:sz w:val="18"/>
        </w:rPr>
        <w:t>Report,</w:t>
      </w:r>
      <w:r>
        <w:rPr>
          <w:spacing w:val="-2"/>
          <w:sz w:val="18"/>
        </w:rPr>
        <w:t xml:space="preserve"> </w:t>
      </w:r>
      <w:r>
        <w:rPr>
          <w:i/>
          <w:sz w:val="18"/>
        </w:rPr>
        <w:t>Korea</w:t>
      </w:r>
      <w:r>
        <w:rPr>
          <w:i/>
          <w:spacing w:val="-4"/>
          <w:sz w:val="18"/>
        </w:rPr>
        <w:t xml:space="preserve"> </w:t>
      </w:r>
      <w:r>
        <w:rPr>
          <w:i/>
          <w:sz w:val="18"/>
        </w:rPr>
        <w:t>–</w:t>
      </w:r>
      <w:r>
        <w:rPr>
          <w:i/>
          <w:spacing w:val="-4"/>
          <w:sz w:val="18"/>
        </w:rPr>
        <w:t xml:space="preserve"> </w:t>
      </w:r>
      <w:r>
        <w:rPr>
          <w:i/>
          <w:sz w:val="18"/>
        </w:rPr>
        <w:t>Pneumatic</w:t>
      </w:r>
      <w:r>
        <w:rPr>
          <w:i/>
          <w:spacing w:val="-4"/>
          <w:sz w:val="18"/>
        </w:rPr>
        <w:t xml:space="preserve"> </w:t>
      </w:r>
      <w:r>
        <w:rPr>
          <w:i/>
          <w:sz w:val="18"/>
        </w:rPr>
        <w:t>Valves</w:t>
      </w:r>
      <w:r>
        <w:rPr>
          <w:i/>
          <w:spacing w:val="-5"/>
          <w:sz w:val="18"/>
        </w:rPr>
        <w:t xml:space="preserve"> </w:t>
      </w:r>
      <w:r>
        <w:rPr>
          <w:i/>
          <w:sz w:val="18"/>
        </w:rPr>
        <w:t>(Japan)</w:t>
      </w:r>
      <w:r>
        <w:rPr>
          <w:sz w:val="18"/>
        </w:rPr>
        <w:t>,</w:t>
      </w:r>
      <w:r>
        <w:rPr>
          <w:spacing w:val="-2"/>
          <w:sz w:val="18"/>
        </w:rPr>
        <w:t xml:space="preserve"> </w:t>
      </w:r>
      <w:r>
        <w:rPr>
          <w:sz w:val="18"/>
        </w:rPr>
        <w:t>para.</w:t>
      </w:r>
      <w:r>
        <w:rPr>
          <w:spacing w:val="1"/>
          <w:sz w:val="18"/>
        </w:rPr>
        <w:t xml:space="preserve"> </w:t>
      </w:r>
      <w:r>
        <w:rPr>
          <w:spacing w:val="-2"/>
          <w:sz w:val="18"/>
        </w:rPr>
        <w:t>7.189.</w:t>
      </w:r>
    </w:p>
    <w:p w14:paraId="145C3522" w14:textId="77777777" w:rsidR="00BD462C" w:rsidRDefault="00033D0F">
      <w:pPr>
        <w:spacing w:before="1"/>
        <w:ind w:left="135"/>
        <w:rPr>
          <w:sz w:val="18"/>
        </w:rPr>
      </w:pPr>
      <w:bookmarkStart w:id="1078" w:name="_bookmark928"/>
      <w:bookmarkEnd w:id="1078"/>
      <w:r>
        <w:rPr>
          <w:position w:val="5"/>
          <w:sz w:val="12"/>
        </w:rPr>
        <w:t>789</w:t>
      </w:r>
      <w:r>
        <w:rPr>
          <w:spacing w:val="11"/>
          <w:position w:val="5"/>
          <w:sz w:val="12"/>
        </w:rPr>
        <w:t xml:space="preserve"> </w:t>
      </w:r>
      <w:r>
        <w:rPr>
          <w:sz w:val="18"/>
        </w:rPr>
        <w:t>Australia's</w:t>
      </w:r>
      <w:r>
        <w:rPr>
          <w:spacing w:val="-7"/>
          <w:sz w:val="18"/>
        </w:rPr>
        <w:t xml:space="preserve"> </w:t>
      </w:r>
      <w:r>
        <w:rPr>
          <w:sz w:val="18"/>
        </w:rPr>
        <w:t>first</w:t>
      </w:r>
      <w:r>
        <w:rPr>
          <w:spacing w:val="-6"/>
          <w:sz w:val="18"/>
        </w:rPr>
        <w:t xml:space="preserve"> </w:t>
      </w:r>
      <w:r>
        <w:rPr>
          <w:sz w:val="18"/>
        </w:rPr>
        <w:t>written</w:t>
      </w:r>
      <w:r>
        <w:rPr>
          <w:spacing w:val="-3"/>
          <w:sz w:val="18"/>
        </w:rPr>
        <w:t xml:space="preserve"> </w:t>
      </w:r>
      <w:r>
        <w:rPr>
          <w:sz w:val="18"/>
        </w:rPr>
        <w:t>submission,</w:t>
      </w:r>
      <w:r>
        <w:rPr>
          <w:spacing w:val="-1"/>
          <w:sz w:val="18"/>
        </w:rPr>
        <w:t xml:space="preserve"> </w:t>
      </w:r>
      <w:r>
        <w:rPr>
          <w:sz w:val="18"/>
        </w:rPr>
        <w:t>paras.</w:t>
      </w:r>
      <w:r>
        <w:rPr>
          <w:spacing w:val="-5"/>
          <w:sz w:val="18"/>
        </w:rPr>
        <w:t xml:space="preserve"> </w:t>
      </w:r>
      <w:r>
        <w:rPr>
          <w:sz w:val="18"/>
        </w:rPr>
        <w:t>639-645;</w:t>
      </w:r>
      <w:r>
        <w:rPr>
          <w:spacing w:val="-9"/>
          <w:sz w:val="18"/>
        </w:rPr>
        <w:t xml:space="preserve"> </w:t>
      </w:r>
      <w:r>
        <w:rPr>
          <w:sz w:val="18"/>
        </w:rPr>
        <w:t>China's</w:t>
      </w:r>
      <w:r>
        <w:rPr>
          <w:spacing w:val="-7"/>
          <w:sz w:val="18"/>
        </w:rPr>
        <w:t xml:space="preserve"> </w:t>
      </w:r>
      <w:r>
        <w:rPr>
          <w:sz w:val="18"/>
        </w:rPr>
        <w:t>first</w:t>
      </w:r>
      <w:r>
        <w:rPr>
          <w:spacing w:val="-6"/>
          <w:sz w:val="18"/>
        </w:rPr>
        <w:t xml:space="preserve"> </w:t>
      </w:r>
      <w:r>
        <w:rPr>
          <w:sz w:val="18"/>
        </w:rPr>
        <w:t>written</w:t>
      </w:r>
      <w:r>
        <w:rPr>
          <w:spacing w:val="-7"/>
          <w:sz w:val="18"/>
        </w:rPr>
        <w:t xml:space="preserve"> </w:t>
      </w:r>
      <w:r>
        <w:rPr>
          <w:sz w:val="18"/>
        </w:rPr>
        <w:t>submission,</w:t>
      </w:r>
      <w:r>
        <w:rPr>
          <w:spacing w:val="-5"/>
          <w:sz w:val="18"/>
        </w:rPr>
        <w:t xml:space="preserve"> </w:t>
      </w:r>
      <w:r>
        <w:rPr>
          <w:sz w:val="18"/>
        </w:rPr>
        <w:t>paras.</w:t>
      </w:r>
      <w:r>
        <w:rPr>
          <w:spacing w:val="-2"/>
          <w:sz w:val="18"/>
        </w:rPr>
        <w:t xml:space="preserve"> </w:t>
      </w:r>
      <w:r>
        <w:rPr>
          <w:sz w:val="18"/>
        </w:rPr>
        <w:t>1539-1548,</w:t>
      </w:r>
      <w:r>
        <w:rPr>
          <w:spacing w:val="-5"/>
          <w:sz w:val="18"/>
        </w:rPr>
        <w:t xml:space="preserve"> </w:t>
      </w:r>
      <w:r>
        <w:rPr>
          <w:sz w:val="18"/>
        </w:rPr>
        <w:t>1459-</w:t>
      </w:r>
      <w:r>
        <w:rPr>
          <w:spacing w:val="-2"/>
          <w:sz w:val="18"/>
        </w:rPr>
        <w:t>1559.</w:t>
      </w:r>
    </w:p>
    <w:p w14:paraId="306F1286" w14:textId="77777777" w:rsidR="00BD462C" w:rsidRDefault="00033D0F">
      <w:pPr>
        <w:spacing w:before="1"/>
        <w:ind w:left="135"/>
        <w:rPr>
          <w:sz w:val="18"/>
        </w:rPr>
      </w:pPr>
      <w:bookmarkStart w:id="1079" w:name="_bookmark929"/>
      <w:bookmarkEnd w:id="1079"/>
      <w:r>
        <w:rPr>
          <w:position w:val="5"/>
          <w:sz w:val="12"/>
        </w:rPr>
        <w:t>790</w:t>
      </w:r>
      <w:r>
        <w:rPr>
          <w:spacing w:val="11"/>
          <w:position w:val="5"/>
          <w:sz w:val="12"/>
        </w:rPr>
        <w:t xml:space="preserve"> </w:t>
      </w:r>
      <w:r>
        <w:rPr>
          <w:sz w:val="18"/>
        </w:rPr>
        <w:t>Australia's</w:t>
      </w:r>
      <w:r>
        <w:rPr>
          <w:spacing w:val="-6"/>
          <w:sz w:val="18"/>
        </w:rPr>
        <w:t xml:space="preserve"> </w:t>
      </w:r>
      <w:r>
        <w:rPr>
          <w:sz w:val="18"/>
        </w:rPr>
        <w:t>first</w:t>
      </w:r>
      <w:r>
        <w:rPr>
          <w:spacing w:val="-6"/>
          <w:sz w:val="18"/>
        </w:rPr>
        <w:t xml:space="preserve"> </w:t>
      </w:r>
      <w:r>
        <w:rPr>
          <w:sz w:val="18"/>
        </w:rPr>
        <w:t>written</w:t>
      </w:r>
      <w:r>
        <w:rPr>
          <w:spacing w:val="-3"/>
          <w:sz w:val="18"/>
        </w:rPr>
        <w:t xml:space="preserve"> </w:t>
      </w:r>
      <w:r>
        <w:rPr>
          <w:sz w:val="18"/>
        </w:rPr>
        <w:t>submission,</w:t>
      </w:r>
      <w:r>
        <w:rPr>
          <w:spacing w:val="-1"/>
          <w:sz w:val="18"/>
        </w:rPr>
        <w:t xml:space="preserve"> </w:t>
      </w:r>
      <w:r>
        <w:rPr>
          <w:sz w:val="18"/>
        </w:rPr>
        <w:t>paras.</w:t>
      </w:r>
      <w:r>
        <w:rPr>
          <w:spacing w:val="-6"/>
          <w:sz w:val="18"/>
        </w:rPr>
        <w:t xml:space="preserve"> </w:t>
      </w:r>
      <w:r>
        <w:rPr>
          <w:sz w:val="18"/>
        </w:rPr>
        <w:t>639-645;</w:t>
      </w:r>
      <w:r>
        <w:rPr>
          <w:spacing w:val="-8"/>
          <w:sz w:val="18"/>
        </w:rPr>
        <w:t xml:space="preserve"> </w:t>
      </w:r>
      <w:r>
        <w:rPr>
          <w:sz w:val="18"/>
        </w:rPr>
        <w:t>China's</w:t>
      </w:r>
      <w:r>
        <w:rPr>
          <w:spacing w:val="-7"/>
          <w:sz w:val="18"/>
        </w:rPr>
        <w:t xml:space="preserve"> </w:t>
      </w:r>
      <w:r>
        <w:rPr>
          <w:sz w:val="18"/>
        </w:rPr>
        <w:t>first</w:t>
      </w:r>
      <w:r>
        <w:rPr>
          <w:spacing w:val="-5"/>
          <w:sz w:val="18"/>
        </w:rPr>
        <w:t xml:space="preserve"> </w:t>
      </w:r>
      <w:r>
        <w:rPr>
          <w:sz w:val="18"/>
        </w:rPr>
        <w:t>written</w:t>
      </w:r>
      <w:r>
        <w:rPr>
          <w:spacing w:val="-8"/>
          <w:sz w:val="18"/>
        </w:rPr>
        <w:t xml:space="preserve"> </w:t>
      </w:r>
      <w:r>
        <w:rPr>
          <w:sz w:val="18"/>
        </w:rPr>
        <w:t>submission,</w:t>
      </w:r>
      <w:r>
        <w:rPr>
          <w:spacing w:val="-5"/>
          <w:sz w:val="18"/>
        </w:rPr>
        <w:t xml:space="preserve"> </w:t>
      </w:r>
      <w:r>
        <w:rPr>
          <w:sz w:val="18"/>
        </w:rPr>
        <w:t>paras.</w:t>
      </w:r>
      <w:r>
        <w:rPr>
          <w:spacing w:val="-1"/>
          <w:sz w:val="18"/>
        </w:rPr>
        <w:t xml:space="preserve"> </w:t>
      </w:r>
      <w:r>
        <w:rPr>
          <w:sz w:val="18"/>
        </w:rPr>
        <w:t>1560-</w:t>
      </w:r>
      <w:r>
        <w:rPr>
          <w:spacing w:val="-2"/>
          <w:sz w:val="18"/>
        </w:rPr>
        <w:t>1589.</w:t>
      </w:r>
    </w:p>
    <w:p w14:paraId="302668DC" w14:textId="77777777" w:rsidR="00BD462C" w:rsidRDefault="00033D0F">
      <w:pPr>
        <w:spacing w:before="1" w:line="218" w:lineRule="exact"/>
        <w:ind w:left="135"/>
        <w:rPr>
          <w:sz w:val="18"/>
        </w:rPr>
      </w:pPr>
      <w:bookmarkStart w:id="1080" w:name="_bookmark930"/>
      <w:bookmarkEnd w:id="1080"/>
      <w:r>
        <w:rPr>
          <w:position w:val="5"/>
          <w:sz w:val="12"/>
        </w:rPr>
        <w:t>791</w:t>
      </w:r>
      <w:r>
        <w:rPr>
          <w:spacing w:val="13"/>
          <w:position w:val="5"/>
          <w:sz w:val="12"/>
        </w:rPr>
        <w:t xml:space="preserve"> </w:t>
      </w:r>
      <w:r>
        <w:rPr>
          <w:sz w:val="18"/>
        </w:rPr>
        <w:t>Australia's</w:t>
      </w:r>
      <w:r>
        <w:rPr>
          <w:spacing w:val="-1"/>
          <w:sz w:val="18"/>
        </w:rPr>
        <w:t xml:space="preserve"> </w:t>
      </w:r>
      <w:r>
        <w:rPr>
          <w:sz w:val="18"/>
        </w:rPr>
        <w:t>First</w:t>
      </w:r>
      <w:r>
        <w:rPr>
          <w:spacing w:val="-4"/>
          <w:sz w:val="18"/>
        </w:rPr>
        <w:t xml:space="preserve"> </w:t>
      </w:r>
      <w:r>
        <w:rPr>
          <w:sz w:val="18"/>
        </w:rPr>
        <w:t>Written</w:t>
      </w:r>
      <w:r>
        <w:rPr>
          <w:spacing w:val="-6"/>
          <w:sz w:val="18"/>
        </w:rPr>
        <w:t xml:space="preserve"> </w:t>
      </w:r>
      <w:r>
        <w:rPr>
          <w:sz w:val="18"/>
        </w:rPr>
        <w:t>Submission,</w:t>
      </w:r>
      <w:r>
        <w:rPr>
          <w:spacing w:val="-4"/>
          <w:sz w:val="18"/>
        </w:rPr>
        <w:t xml:space="preserve"> </w:t>
      </w:r>
      <w:r>
        <w:rPr>
          <w:sz w:val="18"/>
        </w:rPr>
        <w:t>paras.</w:t>
      </w:r>
      <w:r>
        <w:rPr>
          <w:spacing w:val="-4"/>
          <w:sz w:val="18"/>
        </w:rPr>
        <w:t xml:space="preserve"> </w:t>
      </w:r>
      <w:r>
        <w:rPr>
          <w:sz w:val="18"/>
        </w:rPr>
        <w:t>639-645;</w:t>
      </w:r>
      <w:r>
        <w:rPr>
          <w:spacing w:val="-2"/>
          <w:sz w:val="18"/>
        </w:rPr>
        <w:t xml:space="preserve"> </w:t>
      </w:r>
      <w:r>
        <w:rPr>
          <w:sz w:val="18"/>
        </w:rPr>
        <w:t>Australia's</w:t>
      </w:r>
      <w:r>
        <w:rPr>
          <w:spacing w:val="-6"/>
          <w:sz w:val="18"/>
        </w:rPr>
        <w:t xml:space="preserve"> </w:t>
      </w:r>
      <w:r>
        <w:rPr>
          <w:sz w:val="18"/>
        </w:rPr>
        <w:t>response</w:t>
      </w:r>
      <w:r>
        <w:rPr>
          <w:spacing w:val="-5"/>
          <w:sz w:val="18"/>
        </w:rPr>
        <w:t xml:space="preserve"> </w:t>
      </w:r>
      <w:r>
        <w:rPr>
          <w:sz w:val="18"/>
        </w:rPr>
        <w:t>to</w:t>
      </w:r>
      <w:r>
        <w:rPr>
          <w:spacing w:val="-6"/>
          <w:sz w:val="18"/>
        </w:rPr>
        <w:t xml:space="preserve"> </w:t>
      </w:r>
      <w:r>
        <w:rPr>
          <w:sz w:val="18"/>
        </w:rPr>
        <w:t>Panel</w:t>
      </w:r>
      <w:r>
        <w:rPr>
          <w:spacing w:val="-4"/>
          <w:sz w:val="18"/>
        </w:rPr>
        <w:t xml:space="preserve"> </w:t>
      </w:r>
      <w:r>
        <w:rPr>
          <w:sz w:val="18"/>
        </w:rPr>
        <w:t>question</w:t>
      </w:r>
      <w:r>
        <w:rPr>
          <w:spacing w:val="-10"/>
          <w:sz w:val="18"/>
        </w:rPr>
        <w:t xml:space="preserve"> </w:t>
      </w:r>
      <w:r>
        <w:rPr>
          <w:sz w:val="18"/>
        </w:rPr>
        <w:t>No. 36,</w:t>
      </w:r>
      <w:r>
        <w:rPr>
          <w:spacing w:val="-3"/>
          <w:sz w:val="18"/>
        </w:rPr>
        <w:t xml:space="preserve"> </w:t>
      </w:r>
      <w:r>
        <w:rPr>
          <w:sz w:val="18"/>
        </w:rPr>
        <w:t>paras.</w:t>
      </w:r>
      <w:r>
        <w:rPr>
          <w:spacing w:val="-4"/>
          <w:sz w:val="18"/>
        </w:rPr>
        <w:t xml:space="preserve"> </w:t>
      </w:r>
      <w:r>
        <w:rPr>
          <w:sz w:val="18"/>
        </w:rPr>
        <w:t>85-</w:t>
      </w:r>
      <w:r>
        <w:rPr>
          <w:spacing w:val="-5"/>
          <w:sz w:val="18"/>
        </w:rPr>
        <w:t>95.</w:t>
      </w:r>
    </w:p>
    <w:p w14:paraId="4C919304" w14:textId="77777777" w:rsidR="00BD462C" w:rsidRDefault="00033D0F">
      <w:pPr>
        <w:ind w:left="135" w:right="910"/>
        <w:rPr>
          <w:sz w:val="18"/>
        </w:rPr>
      </w:pPr>
      <w:bookmarkStart w:id="1081" w:name="_bookmark931"/>
      <w:bookmarkEnd w:id="1081"/>
      <w:r>
        <w:rPr>
          <w:position w:val="5"/>
          <w:sz w:val="12"/>
        </w:rPr>
        <w:t>792</w:t>
      </w:r>
      <w:r>
        <w:rPr>
          <w:spacing w:val="21"/>
          <w:position w:val="5"/>
          <w:sz w:val="12"/>
        </w:rPr>
        <w:t xml:space="preserve"> </w:t>
      </w:r>
      <w:r>
        <w:rPr>
          <w:sz w:val="18"/>
        </w:rPr>
        <w:t>China's first written submission, paras. 1539-1548; China's response to panel question No. 39 (paras. 208-214), question 40 (para. 230)</w:t>
      </w:r>
    </w:p>
    <w:p w14:paraId="07C1EB28" w14:textId="77777777" w:rsidR="00BD462C" w:rsidRDefault="00033D0F">
      <w:pPr>
        <w:ind w:left="136" w:right="910" w:hanging="1"/>
        <w:rPr>
          <w:sz w:val="18"/>
        </w:rPr>
      </w:pPr>
      <w:bookmarkStart w:id="1082" w:name="_bookmark932"/>
      <w:bookmarkEnd w:id="1082"/>
      <w:r>
        <w:rPr>
          <w:position w:val="5"/>
          <w:sz w:val="12"/>
        </w:rPr>
        <w:t>793</w:t>
      </w:r>
      <w:r>
        <w:rPr>
          <w:spacing w:val="21"/>
          <w:position w:val="5"/>
          <w:sz w:val="12"/>
        </w:rPr>
        <w:t xml:space="preserve"> </w:t>
      </w:r>
      <w:r>
        <w:rPr>
          <w:sz w:val="18"/>
        </w:rPr>
        <w:t>China's first written submission, paras. 1549-1559; China's response to panel question No. 39 (paras. 208-214), question 40 (para. 230)</w:t>
      </w:r>
    </w:p>
    <w:p w14:paraId="356703D2" w14:textId="77777777" w:rsidR="00BD462C" w:rsidRDefault="00033D0F">
      <w:pPr>
        <w:spacing w:before="2"/>
        <w:ind w:left="135"/>
        <w:rPr>
          <w:sz w:val="18"/>
        </w:rPr>
      </w:pPr>
      <w:bookmarkStart w:id="1083" w:name="_bookmark933"/>
      <w:bookmarkEnd w:id="1083"/>
      <w:r>
        <w:rPr>
          <w:position w:val="5"/>
          <w:sz w:val="12"/>
        </w:rPr>
        <w:t>794</w:t>
      </w:r>
      <w:r>
        <w:rPr>
          <w:spacing w:val="13"/>
          <w:position w:val="5"/>
          <w:sz w:val="12"/>
        </w:rPr>
        <w:t xml:space="preserve"> </w:t>
      </w:r>
      <w:r>
        <w:rPr>
          <w:sz w:val="18"/>
        </w:rPr>
        <w:t>Australia's</w:t>
      </w:r>
      <w:r>
        <w:rPr>
          <w:spacing w:val="-5"/>
          <w:sz w:val="18"/>
        </w:rPr>
        <w:t xml:space="preserve"> </w:t>
      </w:r>
      <w:r>
        <w:rPr>
          <w:sz w:val="18"/>
        </w:rPr>
        <w:t>first</w:t>
      </w:r>
      <w:r>
        <w:rPr>
          <w:spacing w:val="-6"/>
          <w:sz w:val="18"/>
        </w:rPr>
        <w:t xml:space="preserve"> </w:t>
      </w:r>
      <w:r>
        <w:rPr>
          <w:sz w:val="18"/>
        </w:rPr>
        <w:t>written</w:t>
      </w:r>
      <w:r>
        <w:rPr>
          <w:spacing w:val="-1"/>
          <w:sz w:val="18"/>
        </w:rPr>
        <w:t xml:space="preserve"> </w:t>
      </w:r>
      <w:r>
        <w:rPr>
          <w:sz w:val="18"/>
        </w:rPr>
        <w:t>submission,</w:t>
      </w:r>
      <w:r>
        <w:rPr>
          <w:spacing w:val="1"/>
          <w:sz w:val="18"/>
        </w:rPr>
        <w:t xml:space="preserve"> </w:t>
      </w:r>
      <w:r>
        <w:rPr>
          <w:sz w:val="18"/>
        </w:rPr>
        <w:t>paras.</w:t>
      </w:r>
      <w:r>
        <w:rPr>
          <w:spacing w:val="-4"/>
          <w:sz w:val="18"/>
        </w:rPr>
        <w:t xml:space="preserve"> </w:t>
      </w:r>
      <w:r>
        <w:rPr>
          <w:sz w:val="18"/>
        </w:rPr>
        <w:t>639-645;</w:t>
      </w:r>
      <w:r>
        <w:rPr>
          <w:spacing w:val="-8"/>
          <w:sz w:val="18"/>
        </w:rPr>
        <w:t xml:space="preserve"> </w:t>
      </w:r>
      <w:r>
        <w:rPr>
          <w:sz w:val="18"/>
        </w:rPr>
        <w:t>Australia's</w:t>
      </w:r>
      <w:r>
        <w:rPr>
          <w:spacing w:val="-5"/>
          <w:sz w:val="18"/>
        </w:rPr>
        <w:t xml:space="preserve"> </w:t>
      </w:r>
      <w:r>
        <w:rPr>
          <w:sz w:val="18"/>
        </w:rPr>
        <w:t>responses</w:t>
      </w:r>
      <w:r>
        <w:rPr>
          <w:spacing w:val="-5"/>
          <w:sz w:val="18"/>
        </w:rPr>
        <w:t xml:space="preserve"> </w:t>
      </w:r>
      <w:r>
        <w:rPr>
          <w:sz w:val="18"/>
        </w:rPr>
        <w:t>to</w:t>
      </w:r>
      <w:r>
        <w:rPr>
          <w:spacing w:val="-6"/>
          <w:sz w:val="18"/>
        </w:rPr>
        <w:t xml:space="preserve"> </w:t>
      </w:r>
      <w:r>
        <w:rPr>
          <w:sz w:val="18"/>
        </w:rPr>
        <w:t>Panel</w:t>
      </w:r>
      <w:r>
        <w:rPr>
          <w:spacing w:val="-5"/>
          <w:sz w:val="18"/>
        </w:rPr>
        <w:t xml:space="preserve"> </w:t>
      </w:r>
      <w:r>
        <w:rPr>
          <w:sz w:val="18"/>
        </w:rPr>
        <w:t>questions</w:t>
      </w:r>
      <w:r>
        <w:rPr>
          <w:spacing w:val="-5"/>
          <w:sz w:val="18"/>
        </w:rPr>
        <w:t xml:space="preserve"> </w:t>
      </w:r>
      <w:r>
        <w:rPr>
          <w:sz w:val="18"/>
        </w:rPr>
        <w:t>No. 36</w:t>
      </w:r>
      <w:r>
        <w:rPr>
          <w:spacing w:val="-7"/>
          <w:sz w:val="18"/>
        </w:rPr>
        <w:t xml:space="preserve"> </w:t>
      </w:r>
      <w:r>
        <w:rPr>
          <w:sz w:val="18"/>
        </w:rPr>
        <w:t>and</w:t>
      </w:r>
      <w:r>
        <w:rPr>
          <w:spacing w:val="-1"/>
          <w:sz w:val="18"/>
        </w:rPr>
        <w:t xml:space="preserve"> </w:t>
      </w:r>
      <w:r>
        <w:rPr>
          <w:spacing w:val="-5"/>
          <w:sz w:val="18"/>
        </w:rPr>
        <w:t>37.</w:t>
      </w:r>
    </w:p>
    <w:p w14:paraId="4C0A6229" w14:textId="77777777" w:rsidR="00BD462C" w:rsidRDefault="00BD462C">
      <w:pPr>
        <w:rPr>
          <w:sz w:val="18"/>
        </w:rPr>
        <w:sectPr w:rsidR="00BD462C">
          <w:pgSz w:w="11910" w:h="16840"/>
          <w:pgMar w:top="860" w:right="500" w:bottom="780" w:left="1280" w:header="566" w:footer="590" w:gutter="0"/>
          <w:cols w:space="720"/>
        </w:sectPr>
      </w:pPr>
    </w:p>
    <w:p w14:paraId="456494B0"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3EA8FCF4"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73FCEE62"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49522C53" w14:textId="16A9A261" w:rsidR="00BD462C" w:rsidRDefault="00AF1D30">
      <w:pPr>
        <w:pStyle w:val="BodyText"/>
        <w:spacing w:before="107" w:line="360" w:lineRule="auto"/>
        <w:ind w:left="135" w:right="914"/>
        <w:jc w:val="both"/>
      </w:pPr>
      <w:r>
        <w:rPr>
          <w:noProof/>
        </w:rPr>
        <w:t>533.</w:t>
      </w:r>
      <w:r w:rsidR="00033D0F">
        <w:rPr>
          <w:rFonts w:ascii="Times New Roman"/>
          <w:spacing w:val="80"/>
          <w:position w:val="1"/>
          <w:sz w:val="20"/>
        </w:rPr>
        <w:t xml:space="preserve">  </w:t>
      </w:r>
      <w:r w:rsidR="00033D0F">
        <w:rPr>
          <w:position w:val="1"/>
        </w:rPr>
        <w:t xml:space="preserve">First, the evidence on the investigation record clearly established that the domestic </w:t>
      </w:r>
      <w:r w:rsidR="00033D0F">
        <w:t>industry</w:t>
      </w:r>
      <w:r w:rsidR="00033D0F">
        <w:rPr>
          <w:spacing w:val="-14"/>
        </w:rPr>
        <w:t xml:space="preserve"> </w:t>
      </w:r>
      <w:r w:rsidR="00033D0F">
        <w:t>informed</w:t>
      </w:r>
      <w:r w:rsidR="00033D0F">
        <w:rPr>
          <w:spacing w:val="-14"/>
        </w:rPr>
        <w:t xml:space="preserve"> </w:t>
      </w:r>
      <w:r w:rsidR="00033D0F">
        <w:t>MOFCOM</w:t>
      </w:r>
      <w:r w:rsidR="00033D0F">
        <w:rPr>
          <w:spacing w:val="-13"/>
        </w:rPr>
        <w:t xml:space="preserve"> </w:t>
      </w:r>
      <w:r w:rsidR="00033D0F">
        <w:t>that</w:t>
      </w:r>
      <w:r w:rsidR="00033D0F">
        <w:rPr>
          <w:spacing w:val="-14"/>
        </w:rPr>
        <w:t xml:space="preserve"> </w:t>
      </w:r>
      <w:r w:rsidR="00033D0F">
        <w:t>three</w:t>
      </w:r>
      <w:r w:rsidR="00033D0F">
        <w:rPr>
          <w:spacing w:val="-13"/>
        </w:rPr>
        <w:t xml:space="preserve"> </w:t>
      </w:r>
      <w:r w:rsidR="00033D0F">
        <w:t>main</w:t>
      </w:r>
      <w:r w:rsidR="00033D0F">
        <w:rPr>
          <w:spacing w:val="-14"/>
        </w:rPr>
        <w:t xml:space="preserve"> </w:t>
      </w:r>
      <w:r w:rsidR="00033D0F">
        <w:t>factors</w:t>
      </w:r>
      <w:r w:rsidR="00033D0F">
        <w:rPr>
          <w:spacing w:val="-13"/>
        </w:rPr>
        <w:t xml:space="preserve"> </w:t>
      </w:r>
      <w:r w:rsidR="00033D0F">
        <w:t>affected</w:t>
      </w:r>
      <w:r w:rsidR="00033D0F">
        <w:rPr>
          <w:spacing w:val="-14"/>
        </w:rPr>
        <w:t xml:space="preserve"> </w:t>
      </w:r>
      <w:r w:rsidR="00033D0F">
        <w:t>domestic</w:t>
      </w:r>
      <w:r w:rsidR="00033D0F">
        <w:rPr>
          <w:spacing w:val="-14"/>
        </w:rPr>
        <w:t xml:space="preserve"> </w:t>
      </w:r>
      <w:r w:rsidR="00033D0F">
        <w:t>prices</w:t>
      </w:r>
      <w:r w:rsidR="00033D0F">
        <w:rPr>
          <w:spacing w:val="-13"/>
        </w:rPr>
        <w:t xml:space="preserve"> </w:t>
      </w:r>
      <w:r w:rsidR="00033D0F">
        <w:t>during</w:t>
      </w:r>
      <w:r w:rsidR="00033D0F">
        <w:rPr>
          <w:spacing w:val="-14"/>
        </w:rPr>
        <w:t xml:space="preserve"> </w:t>
      </w:r>
      <w:r w:rsidR="00033D0F">
        <w:t>the</w:t>
      </w:r>
      <w:r w:rsidR="00033D0F">
        <w:rPr>
          <w:spacing w:val="-13"/>
        </w:rPr>
        <w:t xml:space="preserve"> </w:t>
      </w:r>
      <w:r w:rsidR="00033D0F">
        <w:t>Injury POI: market supply and demand, raw material costs and subject imports. This is apparent from: (i) a plain reading of question 39(5) in the questionnaire to the domestic industry;</w:t>
      </w:r>
      <w:hyperlink w:anchor="_bookmark934" w:history="1">
        <w:r w:rsidR="00033D0F">
          <w:rPr>
            <w:vertAlign w:val="superscript"/>
          </w:rPr>
          <w:t>795</w:t>
        </w:r>
      </w:hyperlink>
      <w:r w:rsidR="00033D0F">
        <w:t xml:space="preserve"> and (ii) the responses from the 21 domestic producers.</w:t>
      </w:r>
      <w:hyperlink w:anchor="_bookmark935" w:history="1">
        <w:r w:rsidR="00033D0F">
          <w:rPr>
            <w:vertAlign w:val="superscript"/>
          </w:rPr>
          <w:t>796</w:t>
        </w:r>
      </w:hyperlink>
      <w:r w:rsidR="00033D0F">
        <w:t xml:space="preserve"> In contrast, the interpretation of question 39(5) advanced by China in its first written submission and at the first substantive meeting</w:t>
      </w:r>
      <w:r w:rsidR="00033D0F">
        <w:rPr>
          <w:spacing w:val="-14"/>
        </w:rPr>
        <w:t xml:space="preserve"> </w:t>
      </w:r>
      <w:r w:rsidR="00033D0F">
        <w:t>requires</w:t>
      </w:r>
      <w:r w:rsidR="00033D0F">
        <w:rPr>
          <w:spacing w:val="-11"/>
        </w:rPr>
        <w:t xml:space="preserve"> </w:t>
      </w:r>
      <w:r w:rsidR="00033D0F">
        <w:t>a</w:t>
      </w:r>
      <w:r w:rsidR="00033D0F">
        <w:rPr>
          <w:spacing w:val="-13"/>
        </w:rPr>
        <w:t xml:space="preserve"> </w:t>
      </w:r>
      <w:r w:rsidR="00033D0F">
        <w:t>contorted</w:t>
      </w:r>
      <w:r w:rsidR="00033D0F">
        <w:rPr>
          <w:spacing w:val="-14"/>
        </w:rPr>
        <w:t xml:space="preserve"> </w:t>
      </w:r>
      <w:r w:rsidR="00033D0F">
        <w:t>and</w:t>
      </w:r>
      <w:r w:rsidR="00033D0F">
        <w:rPr>
          <w:spacing w:val="-14"/>
        </w:rPr>
        <w:t xml:space="preserve"> </w:t>
      </w:r>
      <w:r w:rsidR="00033D0F">
        <w:t>illogical</w:t>
      </w:r>
      <w:r w:rsidR="00033D0F">
        <w:rPr>
          <w:spacing w:val="-10"/>
        </w:rPr>
        <w:t xml:space="preserve"> </w:t>
      </w:r>
      <w:r w:rsidR="00033D0F">
        <w:t>reading</w:t>
      </w:r>
      <w:r w:rsidR="00033D0F">
        <w:rPr>
          <w:spacing w:val="-14"/>
        </w:rPr>
        <w:t xml:space="preserve"> </w:t>
      </w:r>
      <w:r w:rsidR="00033D0F">
        <w:t>of</w:t>
      </w:r>
      <w:r w:rsidR="00033D0F">
        <w:rPr>
          <w:spacing w:val="-14"/>
        </w:rPr>
        <w:t xml:space="preserve"> </w:t>
      </w:r>
      <w:r w:rsidR="00033D0F">
        <w:t>this</w:t>
      </w:r>
      <w:r w:rsidR="00033D0F">
        <w:rPr>
          <w:spacing w:val="-10"/>
        </w:rPr>
        <w:t xml:space="preserve"> </w:t>
      </w:r>
      <w:r w:rsidR="00033D0F">
        <w:t>evidence</w:t>
      </w:r>
      <w:r w:rsidR="00033D0F">
        <w:rPr>
          <w:spacing w:val="-13"/>
        </w:rPr>
        <w:t xml:space="preserve"> </w:t>
      </w:r>
      <w:r w:rsidR="00033D0F">
        <w:t>and</w:t>
      </w:r>
      <w:r w:rsidR="00033D0F">
        <w:rPr>
          <w:spacing w:val="-14"/>
        </w:rPr>
        <w:t xml:space="preserve"> </w:t>
      </w:r>
      <w:r w:rsidR="00033D0F">
        <w:t>should</w:t>
      </w:r>
      <w:r w:rsidR="00033D0F">
        <w:rPr>
          <w:spacing w:val="-14"/>
        </w:rPr>
        <w:t xml:space="preserve"> </w:t>
      </w:r>
      <w:r w:rsidR="00033D0F">
        <w:t>not</w:t>
      </w:r>
      <w:r w:rsidR="00033D0F">
        <w:rPr>
          <w:spacing w:val="-11"/>
        </w:rPr>
        <w:t xml:space="preserve"> </w:t>
      </w:r>
      <w:r w:rsidR="00033D0F">
        <w:t>be</w:t>
      </w:r>
      <w:r w:rsidR="00033D0F">
        <w:rPr>
          <w:spacing w:val="-13"/>
        </w:rPr>
        <w:t xml:space="preserve"> </w:t>
      </w:r>
      <w:r w:rsidR="00033D0F">
        <w:t>accepted by</w:t>
      </w:r>
      <w:r w:rsidR="00033D0F">
        <w:rPr>
          <w:spacing w:val="-11"/>
        </w:rPr>
        <w:t xml:space="preserve"> </w:t>
      </w:r>
      <w:r w:rsidR="00033D0F">
        <w:t>the</w:t>
      </w:r>
      <w:r w:rsidR="00033D0F">
        <w:rPr>
          <w:spacing w:val="-12"/>
        </w:rPr>
        <w:t xml:space="preserve"> </w:t>
      </w:r>
      <w:r w:rsidR="00033D0F">
        <w:t>Panel.</w:t>
      </w:r>
      <w:hyperlink w:anchor="_bookmark936" w:history="1">
        <w:r w:rsidR="00033D0F">
          <w:rPr>
            <w:vertAlign w:val="superscript"/>
          </w:rPr>
          <w:t>797</w:t>
        </w:r>
      </w:hyperlink>
      <w:r w:rsidR="00033D0F">
        <w:rPr>
          <w:spacing w:val="-11"/>
        </w:rPr>
        <w:t xml:space="preserve"> </w:t>
      </w:r>
      <w:r w:rsidR="00033D0F">
        <w:t>Further,</w:t>
      </w:r>
      <w:r w:rsidR="00033D0F">
        <w:rPr>
          <w:spacing w:val="-10"/>
        </w:rPr>
        <w:t xml:space="preserve"> </w:t>
      </w:r>
      <w:r w:rsidR="00033D0F">
        <w:t>China</w:t>
      </w:r>
      <w:r w:rsidR="00033D0F">
        <w:rPr>
          <w:spacing w:val="-12"/>
        </w:rPr>
        <w:t xml:space="preserve"> </w:t>
      </w:r>
      <w:r w:rsidR="00033D0F">
        <w:t>relies</w:t>
      </w:r>
      <w:r w:rsidR="00033D0F">
        <w:rPr>
          <w:spacing w:val="-10"/>
        </w:rPr>
        <w:t xml:space="preserve"> </w:t>
      </w:r>
      <w:r w:rsidR="00033D0F">
        <w:t>on</w:t>
      </w:r>
      <w:r w:rsidR="00033D0F">
        <w:rPr>
          <w:spacing w:val="-14"/>
        </w:rPr>
        <w:t xml:space="preserve"> </w:t>
      </w:r>
      <w:r w:rsidR="00033D0F">
        <w:t>the</w:t>
      </w:r>
      <w:r w:rsidR="00033D0F">
        <w:rPr>
          <w:spacing w:val="-12"/>
        </w:rPr>
        <w:t xml:space="preserve"> </w:t>
      </w:r>
      <w:r w:rsidR="00033D0F">
        <w:t>domestic</w:t>
      </w:r>
      <w:r w:rsidR="00033D0F">
        <w:rPr>
          <w:spacing w:val="-13"/>
        </w:rPr>
        <w:t xml:space="preserve"> </w:t>
      </w:r>
      <w:r w:rsidR="00033D0F">
        <w:t>industry's</w:t>
      </w:r>
      <w:r w:rsidR="00033D0F">
        <w:rPr>
          <w:spacing w:val="-10"/>
        </w:rPr>
        <w:t xml:space="preserve"> </w:t>
      </w:r>
      <w:r w:rsidR="00033D0F">
        <w:t>responses</w:t>
      </w:r>
      <w:r w:rsidR="00033D0F">
        <w:rPr>
          <w:spacing w:val="-10"/>
        </w:rPr>
        <w:t xml:space="preserve"> </w:t>
      </w:r>
      <w:r w:rsidR="00033D0F">
        <w:t>to</w:t>
      </w:r>
      <w:r w:rsidR="00033D0F">
        <w:rPr>
          <w:spacing w:val="-14"/>
        </w:rPr>
        <w:t xml:space="preserve"> </w:t>
      </w:r>
      <w:r w:rsidR="00033D0F">
        <w:t>questions</w:t>
      </w:r>
      <w:r w:rsidR="00033D0F">
        <w:rPr>
          <w:spacing w:val="-10"/>
        </w:rPr>
        <w:t xml:space="preserve"> </w:t>
      </w:r>
      <w:r w:rsidR="00033D0F">
        <w:t>51</w:t>
      </w:r>
      <w:r w:rsidR="00033D0F">
        <w:rPr>
          <w:spacing w:val="-14"/>
        </w:rPr>
        <w:t xml:space="preserve"> </w:t>
      </w:r>
      <w:r w:rsidR="00033D0F">
        <w:t>and 52 in the questionnaire to support its argument that demand and supply changes did not affect domestic prices.</w:t>
      </w:r>
      <w:hyperlink w:anchor="_bookmark937" w:history="1">
        <w:r w:rsidR="00033D0F">
          <w:rPr>
            <w:vertAlign w:val="superscript"/>
          </w:rPr>
          <w:t>798</w:t>
        </w:r>
      </w:hyperlink>
      <w:r w:rsidR="00033D0F">
        <w:t xml:space="preserve"> However, these questions did not seek information regarding "factors affecting domestic</w:t>
      </w:r>
      <w:r w:rsidR="00033D0F">
        <w:rPr>
          <w:spacing w:val="-3"/>
        </w:rPr>
        <w:t xml:space="preserve"> </w:t>
      </w:r>
      <w:r w:rsidR="00033D0F">
        <w:t>prices".</w:t>
      </w:r>
      <w:hyperlink w:anchor="_bookmark938" w:history="1">
        <w:r w:rsidR="00033D0F">
          <w:rPr>
            <w:vertAlign w:val="superscript"/>
          </w:rPr>
          <w:t>799</w:t>
        </w:r>
      </w:hyperlink>
      <w:r w:rsidR="00033D0F">
        <w:rPr>
          <w:spacing w:val="-1"/>
        </w:rPr>
        <w:t xml:space="preserve"> </w:t>
      </w:r>
      <w:r w:rsidR="00033D0F">
        <w:t>As a</w:t>
      </w:r>
      <w:r w:rsidR="00033D0F">
        <w:rPr>
          <w:spacing w:val="-2"/>
        </w:rPr>
        <w:t xml:space="preserve"> </w:t>
      </w:r>
      <w:r w:rsidR="00033D0F">
        <w:t>result, they are</w:t>
      </w:r>
      <w:r w:rsidR="00033D0F">
        <w:rPr>
          <w:spacing w:val="-1"/>
        </w:rPr>
        <w:t xml:space="preserve"> </w:t>
      </w:r>
      <w:r w:rsidR="00033D0F">
        <w:t>irrelevant</w:t>
      </w:r>
      <w:r w:rsidR="00033D0F">
        <w:rPr>
          <w:spacing w:val="-1"/>
        </w:rPr>
        <w:t xml:space="preserve"> </w:t>
      </w:r>
      <w:r w:rsidR="00033D0F">
        <w:t>to</w:t>
      </w:r>
      <w:r w:rsidR="00033D0F">
        <w:rPr>
          <w:spacing w:val="-4"/>
        </w:rPr>
        <w:t xml:space="preserve"> </w:t>
      </w:r>
      <w:r w:rsidR="00033D0F">
        <w:t>Australia's argument.</w:t>
      </w:r>
    </w:p>
    <w:p w14:paraId="707B3667" w14:textId="77777777" w:rsidR="00BD462C" w:rsidRDefault="00BD462C">
      <w:pPr>
        <w:pStyle w:val="BodyText"/>
        <w:spacing w:before="4"/>
        <w:rPr>
          <w:sz w:val="8"/>
        </w:rPr>
      </w:pPr>
    </w:p>
    <w:p w14:paraId="41E30DD8" w14:textId="2BFB57B2" w:rsidR="00BD462C" w:rsidRDefault="00AF1D30">
      <w:pPr>
        <w:pStyle w:val="BodyText"/>
        <w:spacing w:before="56" w:line="360" w:lineRule="auto"/>
        <w:ind w:left="135" w:right="911"/>
        <w:jc w:val="both"/>
      </w:pPr>
      <w:r>
        <w:rPr>
          <w:noProof/>
        </w:rPr>
        <w:t>534.</w:t>
      </w:r>
      <w:r w:rsidR="00033D0F">
        <w:rPr>
          <w:rFonts w:ascii="Times New Roman"/>
          <w:spacing w:val="80"/>
          <w:position w:val="1"/>
          <w:sz w:val="20"/>
        </w:rPr>
        <w:t xml:space="preserve">  </w:t>
      </w:r>
      <w:r w:rsidR="00033D0F">
        <w:rPr>
          <w:position w:val="1"/>
        </w:rPr>
        <w:t>Second, the evidence in the underlying investigation established that there were</w:t>
      </w:r>
      <w:r w:rsidR="00033D0F">
        <w:rPr>
          <w:spacing w:val="40"/>
          <w:position w:val="1"/>
        </w:rPr>
        <w:t xml:space="preserve"> </w:t>
      </w:r>
      <w:r w:rsidR="00033D0F">
        <w:t>three factors affecting domestic industry prices.</w:t>
      </w:r>
      <w:hyperlink w:anchor="_bookmark939" w:history="1">
        <w:r w:rsidR="00033D0F">
          <w:rPr>
            <w:vertAlign w:val="superscript"/>
          </w:rPr>
          <w:t>800</w:t>
        </w:r>
      </w:hyperlink>
      <w:r w:rsidR="00033D0F">
        <w:t xml:space="preserve"> In order to properly evaluate the explanatory</w:t>
      </w:r>
      <w:r w:rsidR="00033D0F">
        <w:rPr>
          <w:spacing w:val="-3"/>
        </w:rPr>
        <w:t xml:space="preserve"> </w:t>
      </w:r>
      <w:r w:rsidR="00033D0F">
        <w:t>force</w:t>
      </w:r>
      <w:r w:rsidR="00033D0F">
        <w:rPr>
          <w:spacing w:val="-4"/>
        </w:rPr>
        <w:t xml:space="preserve"> </w:t>
      </w:r>
      <w:r w:rsidR="00033D0F">
        <w:t>of</w:t>
      </w:r>
      <w:r w:rsidR="00033D0F">
        <w:rPr>
          <w:spacing w:val="-6"/>
        </w:rPr>
        <w:t xml:space="preserve"> </w:t>
      </w:r>
      <w:r w:rsidR="00033D0F">
        <w:t>subject</w:t>
      </w:r>
      <w:r w:rsidR="00033D0F">
        <w:rPr>
          <w:spacing w:val="-4"/>
        </w:rPr>
        <w:t xml:space="preserve"> </w:t>
      </w:r>
      <w:r w:rsidR="00033D0F">
        <w:t>imports</w:t>
      </w:r>
      <w:r w:rsidR="00033D0F">
        <w:rPr>
          <w:spacing w:val="-3"/>
        </w:rPr>
        <w:t xml:space="preserve"> </w:t>
      </w:r>
      <w:r w:rsidR="00033D0F">
        <w:t>for</w:t>
      </w:r>
      <w:r w:rsidR="00033D0F">
        <w:rPr>
          <w:spacing w:val="-7"/>
        </w:rPr>
        <w:t xml:space="preserve"> </w:t>
      </w:r>
      <w:r w:rsidR="00033D0F">
        <w:t>the</w:t>
      </w:r>
      <w:r w:rsidR="00033D0F">
        <w:rPr>
          <w:spacing w:val="-5"/>
        </w:rPr>
        <w:t xml:space="preserve"> </w:t>
      </w:r>
      <w:r w:rsidR="00033D0F">
        <w:t>state</w:t>
      </w:r>
      <w:r w:rsidR="00033D0F">
        <w:rPr>
          <w:spacing w:val="-4"/>
        </w:rPr>
        <w:t xml:space="preserve"> </w:t>
      </w:r>
      <w:r w:rsidR="00033D0F">
        <w:t>observed</w:t>
      </w:r>
      <w:r w:rsidR="00033D0F">
        <w:rPr>
          <w:spacing w:val="-6"/>
        </w:rPr>
        <w:t xml:space="preserve"> </w:t>
      </w:r>
      <w:r w:rsidR="00033D0F">
        <w:t>in</w:t>
      </w:r>
      <w:r w:rsidR="00033D0F">
        <w:rPr>
          <w:spacing w:val="-6"/>
        </w:rPr>
        <w:t xml:space="preserve"> </w:t>
      </w:r>
      <w:r w:rsidR="00033D0F">
        <w:t>domestic</w:t>
      </w:r>
      <w:r w:rsidR="00033D0F">
        <w:rPr>
          <w:spacing w:val="-6"/>
        </w:rPr>
        <w:t xml:space="preserve"> </w:t>
      </w:r>
      <w:r w:rsidR="00033D0F">
        <w:t>prices,</w:t>
      </w:r>
      <w:r w:rsidR="00033D0F">
        <w:rPr>
          <w:spacing w:val="-2"/>
        </w:rPr>
        <w:t xml:space="preserve"> </w:t>
      </w:r>
      <w:r w:rsidR="00033D0F">
        <w:t>MOFCOM</w:t>
      </w:r>
      <w:r w:rsidR="00033D0F">
        <w:rPr>
          <w:spacing w:val="-4"/>
        </w:rPr>
        <w:t xml:space="preserve"> </w:t>
      </w:r>
      <w:r w:rsidR="00033D0F">
        <w:t>was required</w:t>
      </w:r>
      <w:r w:rsidR="00033D0F">
        <w:rPr>
          <w:spacing w:val="-1"/>
        </w:rPr>
        <w:t xml:space="preserve"> </w:t>
      </w:r>
      <w:r w:rsidR="00033D0F">
        <w:t>to</w:t>
      </w:r>
      <w:r w:rsidR="00033D0F">
        <w:rPr>
          <w:spacing w:val="-1"/>
        </w:rPr>
        <w:t xml:space="preserve"> </w:t>
      </w:r>
      <w:r w:rsidR="00033D0F">
        <w:t>evaluate all three of the factors. MOFCOM was not entitled, as</w:t>
      </w:r>
      <w:r w:rsidR="00033D0F">
        <w:rPr>
          <w:spacing w:val="-2"/>
        </w:rPr>
        <w:t xml:space="preserve"> </w:t>
      </w:r>
      <w:r w:rsidR="00033D0F">
        <w:t>it did, to</w:t>
      </w:r>
      <w:r w:rsidR="00033D0F">
        <w:rPr>
          <w:spacing w:val="-1"/>
        </w:rPr>
        <w:t xml:space="preserve"> </w:t>
      </w:r>
      <w:r w:rsidR="00033D0F">
        <w:t xml:space="preserve">consider only the impact of subject imports, to the exclusion of the other two factors (i.e. (i) market supply and demand and (ii) raw material costs on domestic prices). By failing to take </w:t>
      </w:r>
      <w:r w:rsidR="00033D0F">
        <w:rPr>
          <w:i/>
        </w:rPr>
        <w:t xml:space="preserve">all </w:t>
      </w:r>
      <w:r w:rsidR="00033D0F">
        <w:t>relevant factors into consideration, MOFCOM conducted its examination in a manner that made a finding that subject imports were having an impact on the domestic industry more likely. According to the Appellate Body, "investigating authorities are not entitled to conduct</w:t>
      </w:r>
    </w:p>
    <w:p w14:paraId="3E96FE32" w14:textId="77777777" w:rsidR="00BD462C" w:rsidRDefault="00BD462C">
      <w:pPr>
        <w:pStyle w:val="BodyText"/>
        <w:rPr>
          <w:sz w:val="20"/>
        </w:rPr>
      </w:pPr>
    </w:p>
    <w:p w14:paraId="41A29F21" w14:textId="77777777" w:rsidR="00BD462C" w:rsidRDefault="00BD462C">
      <w:pPr>
        <w:pStyle w:val="BodyText"/>
        <w:rPr>
          <w:sz w:val="20"/>
        </w:rPr>
      </w:pPr>
    </w:p>
    <w:p w14:paraId="16BF7C19" w14:textId="77777777" w:rsidR="00BD462C" w:rsidRDefault="00BD462C">
      <w:pPr>
        <w:pStyle w:val="BodyText"/>
        <w:rPr>
          <w:sz w:val="20"/>
        </w:rPr>
      </w:pPr>
    </w:p>
    <w:p w14:paraId="4B088D05" w14:textId="755C3BB4" w:rsidR="00BD462C" w:rsidRDefault="007E218F">
      <w:pPr>
        <w:pStyle w:val="BodyText"/>
        <w:rPr>
          <w:sz w:val="20"/>
        </w:rPr>
      </w:pPr>
      <w:r>
        <w:rPr>
          <w:noProof/>
        </w:rPr>
        <mc:AlternateContent>
          <mc:Choice Requires="wps">
            <w:drawing>
              <wp:anchor distT="0" distB="0" distL="0" distR="0" simplePos="0" relativeHeight="488219136" behindDoc="1" locked="0" layoutInCell="1" allowOverlap="1" wp14:anchorId="2BB3A340" wp14:editId="6E6B6837">
                <wp:simplePos x="0" y="0"/>
                <wp:positionH relativeFrom="page">
                  <wp:posOffset>812800</wp:posOffset>
                </wp:positionH>
                <wp:positionV relativeFrom="paragraph">
                  <wp:posOffset>374015</wp:posOffset>
                </wp:positionV>
                <wp:extent cx="1828800" cy="8890"/>
                <wp:effectExtent l="0" t="0" r="0" b="0"/>
                <wp:wrapTopAndBottom/>
                <wp:docPr id="195" name="docshape6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550F3" id="docshape664" o:spid="_x0000_s1026" alt="&quot;&quot;" style="position:absolute;margin-left:64pt;margin-top:29.45pt;width:2in;height:.7pt;z-index:-15097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" fillcolor="black" stroked="f">
                <w10:wrap type="topAndBottom" anchorx="page"/>
              </v:rect>
            </w:pict>
          </mc:Fallback>
        </mc:AlternateContent>
      </w:r>
    </w:p>
    <w:p w14:paraId="2216CCAA" w14:textId="3C9D308C" w:rsidR="00BD462C" w:rsidRDefault="00BD462C">
      <w:pPr>
        <w:pStyle w:val="BodyText"/>
        <w:rPr>
          <w:sz w:val="28"/>
        </w:rPr>
      </w:pPr>
    </w:p>
    <w:p w14:paraId="5FB6530C" w14:textId="77777777" w:rsidR="00BD462C" w:rsidRDefault="00033D0F">
      <w:pPr>
        <w:spacing w:before="112" w:line="218" w:lineRule="exact"/>
        <w:ind w:left="135"/>
        <w:jc w:val="both"/>
        <w:rPr>
          <w:sz w:val="18"/>
        </w:rPr>
      </w:pPr>
      <w:bookmarkStart w:id="1084" w:name="_bookmark934"/>
      <w:bookmarkEnd w:id="1084"/>
      <w:r>
        <w:rPr>
          <w:position w:val="5"/>
          <w:sz w:val="12"/>
        </w:rPr>
        <w:t>795</w:t>
      </w:r>
      <w:r>
        <w:rPr>
          <w:spacing w:val="14"/>
          <w:position w:val="5"/>
          <w:sz w:val="12"/>
        </w:rPr>
        <w:t xml:space="preserve"> </w:t>
      </w:r>
      <w:r>
        <w:rPr>
          <w:sz w:val="18"/>
        </w:rPr>
        <w:t>Anti-Dumping</w:t>
      </w:r>
      <w:r>
        <w:rPr>
          <w:spacing w:val="-4"/>
          <w:sz w:val="18"/>
        </w:rPr>
        <w:t xml:space="preserve"> </w:t>
      </w:r>
      <w:r>
        <w:rPr>
          <w:sz w:val="18"/>
        </w:rPr>
        <w:t>Questionnaire</w:t>
      </w:r>
      <w:r>
        <w:rPr>
          <w:spacing w:val="-4"/>
          <w:sz w:val="18"/>
        </w:rPr>
        <w:t xml:space="preserve"> </w:t>
      </w:r>
      <w:r>
        <w:rPr>
          <w:sz w:val="18"/>
        </w:rPr>
        <w:t>for</w:t>
      </w:r>
      <w:r>
        <w:rPr>
          <w:spacing w:val="-6"/>
          <w:sz w:val="18"/>
        </w:rPr>
        <w:t xml:space="preserve"> </w:t>
      </w:r>
      <w:r>
        <w:rPr>
          <w:sz w:val="18"/>
        </w:rPr>
        <w:t>Domestic</w:t>
      </w:r>
      <w:r>
        <w:rPr>
          <w:spacing w:val="-10"/>
          <w:sz w:val="18"/>
        </w:rPr>
        <w:t xml:space="preserve"> </w:t>
      </w:r>
      <w:r>
        <w:rPr>
          <w:sz w:val="18"/>
        </w:rPr>
        <w:t>Producers</w:t>
      </w:r>
      <w:r>
        <w:rPr>
          <w:spacing w:val="-4"/>
          <w:sz w:val="18"/>
        </w:rPr>
        <w:t xml:space="preserve"> </w:t>
      </w:r>
      <w:r>
        <w:rPr>
          <w:sz w:val="18"/>
        </w:rPr>
        <w:t>(Exhibit</w:t>
      </w:r>
      <w:r>
        <w:rPr>
          <w:spacing w:val="1"/>
          <w:sz w:val="18"/>
        </w:rPr>
        <w:t xml:space="preserve"> </w:t>
      </w:r>
      <w:r>
        <w:rPr>
          <w:sz w:val="18"/>
        </w:rPr>
        <w:t>CHN-16),</w:t>
      </w:r>
      <w:r>
        <w:rPr>
          <w:spacing w:val="-2"/>
          <w:sz w:val="18"/>
        </w:rPr>
        <w:t xml:space="preserve"> </w:t>
      </w:r>
      <w:r>
        <w:rPr>
          <w:sz w:val="18"/>
        </w:rPr>
        <w:t>pp.</w:t>
      </w:r>
      <w:r>
        <w:rPr>
          <w:spacing w:val="-3"/>
          <w:sz w:val="18"/>
        </w:rPr>
        <w:t xml:space="preserve"> </w:t>
      </w:r>
      <w:r>
        <w:rPr>
          <w:sz w:val="18"/>
        </w:rPr>
        <w:t>34</w:t>
      </w:r>
      <w:r>
        <w:rPr>
          <w:spacing w:val="-6"/>
          <w:sz w:val="18"/>
        </w:rPr>
        <w:t xml:space="preserve"> </w:t>
      </w:r>
      <w:r>
        <w:rPr>
          <w:sz w:val="18"/>
        </w:rPr>
        <w:t xml:space="preserve">– </w:t>
      </w:r>
      <w:r>
        <w:rPr>
          <w:spacing w:val="-5"/>
          <w:sz w:val="18"/>
        </w:rPr>
        <w:t>36.</w:t>
      </w:r>
    </w:p>
    <w:p w14:paraId="709CE386" w14:textId="77777777" w:rsidR="00BD462C" w:rsidRDefault="00033D0F">
      <w:pPr>
        <w:ind w:left="135" w:right="912"/>
        <w:jc w:val="both"/>
        <w:rPr>
          <w:sz w:val="18"/>
        </w:rPr>
      </w:pPr>
      <w:bookmarkStart w:id="1085" w:name="_bookmark935"/>
      <w:bookmarkEnd w:id="1085"/>
      <w:r>
        <w:rPr>
          <w:position w:val="5"/>
          <w:sz w:val="12"/>
        </w:rPr>
        <w:t>796</w:t>
      </w:r>
      <w:r>
        <w:rPr>
          <w:spacing w:val="-7"/>
          <w:position w:val="5"/>
          <w:sz w:val="12"/>
        </w:rPr>
        <w:t xml:space="preserve"> </w:t>
      </w:r>
      <w:r>
        <w:rPr>
          <w:sz w:val="18"/>
        </w:rPr>
        <w:t>See</w:t>
      </w:r>
      <w:r>
        <w:rPr>
          <w:spacing w:val="-10"/>
          <w:sz w:val="18"/>
        </w:rPr>
        <w:t xml:space="preserve"> </w:t>
      </w:r>
      <w:r>
        <w:rPr>
          <w:sz w:val="18"/>
        </w:rPr>
        <w:t>responses</w:t>
      </w:r>
      <w:r>
        <w:rPr>
          <w:spacing w:val="-11"/>
          <w:sz w:val="18"/>
        </w:rPr>
        <w:t xml:space="preserve"> </w:t>
      </w:r>
      <w:r>
        <w:rPr>
          <w:sz w:val="18"/>
        </w:rPr>
        <w:t>from</w:t>
      </w:r>
      <w:r>
        <w:rPr>
          <w:spacing w:val="-10"/>
          <w:sz w:val="18"/>
        </w:rPr>
        <w:t xml:space="preserve"> </w:t>
      </w:r>
      <w:r>
        <w:rPr>
          <w:sz w:val="18"/>
        </w:rPr>
        <w:t>the</w:t>
      </w:r>
      <w:r>
        <w:rPr>
          <w:spacing w:val="-10"/>
          <w:sz w:val="18"/>
        </w:rPr>
        <w:t xml:space="preserve"> </w:t>
      </w:r>
      <w:r>
        <w:rPr>
          <w:sz w:val="18"/>
        </w:rPr>
        <w:t>21</w:t>
      </w:r>
      <w:r>
        <w:rPr>
          <w:spacing w:val="-10"/>
          <w:sz w:val="18"/>
        </w:rPr>
        <w:t xml:space="preserve"> </w:t>
      </w:r>
      <w:r>
        <w:rPr>
          <w:sz w:val="18"/>
        </w:rPr>
        <w:t>domestic</w:t>
      </w:r>
      <w:r>
        <w:rPr>
          <w:spacing w:val="-10"/>
          <w:sz w:val="18"/>
        </w:rPr>
        <w:t xml:space="preserve"> </w:t>
      </w:r>
      <w:r>
        <w:rPr>
          <w:sz w:val="18"/>
        </w:rPr>
        <w:t>producers</w:t>
      </w:r>
      <w:r>
        <w:rPr>
          <w:spacing w:val="-10"/>
          <w:sz w:val="18"/>
        </w:rPr>
        <w:t xml:space="preserve"> </w:t>
      </w:r>
      <w:r>
        <w:rPr>
          <w:sz w:val="18"/>
        </w:rPr>
        <w:t>to</w:t>
      </w:r>
      <w:r>
        <w:rPr>
          <w:spacing w:val="-11"/>
          <w:sz w:val="18"/>
        </w:rPr>
        <w:t xml:space="preserve"> </w:t>
      </w:r>
      <w:r>
        <w:rPr>
          <w:sz w:val="18"/>
        </w:rPr>
        <w:t>question</w:t>
      </w:r>
      <w:r>
        <w:rPr>
          <w:spacing w:val="-10"/>
          <w:sz w:val="18"/>
        </w:rPr>
        <w:t xml:space="preserve"> </w:t>
      </w:r>
      <w:r>
        <w:rPr>
          <w:sz w:val="18"/>
        </w:rPr>
        <w:t>39(5)</w:t>
      </w:r>
      <w:r>
        <w:rPr>
          <w:spacing w:val="-10"/>
          <w:sz w:val="18"/>
        </w:rPr>
        <w:t xml:space="preserve"> </w:t>
      </w:r>
      <w:r>
        <w:rPr>
          <w:sz w:val="18"/>
        </w:rPr>
        <w:t>in</w:t>
      </w:r>
      <w:r>
        <w:rPr>
          <w:spacing w:val="-10"/>
          <w:sz w:val="18"/>
        </w:rPr>
        <w:t xml:space="preserve"> </w:t>
      </w:r>
      <w:r>
        <w:rPr>
          <w:sz w:val="18"/>
        </w:rPr>
        <w:t>the</w:t>
      </w:r>
      <w:r>
        <w:rPr>
          <w:spacing w:val="-10"/>
          <w:sz w:val="18"/>
        </w:rPr>
        <w:t xml:space="preserve"> </w:t>
      </w:r>
      <w:r>
        <w:rPr>
          <w:sz w:val="18"/>
        </w:rPr>
        <w:t>anti-dumping</w:t>
      </w:r>
      <w:r>
        <w:rPr>
          <w:spacing w:val="-11"/>
          <w:sz w:val="18"/>
        </w:rPr>
        <w:t xml:space="preserve"> </w:t>
      </w:r>
      <w:r>
        <w:rPr>
          <w:sz w:val="18"/>
        </w:rPr>
        <w:t>questionnaire</w:t>
      </w:r>
      <w:r>
        <w:rPr>
          <w:spacing w:val="-10"/>
          <w:sz w:val="18"/>
        </w:rPr>
        <w:t xml:space="preserve"> </w:t>
      </w:r>
      <w:r>
        <w:rPr>
          <w:sz w:val="18"/>
        </w:rPr>
        <w:t>to</w:t>
      </w:r>
      <w:r>
        <w:rPr>
          <w:spacing w:val="-10"/>
          <w:sz w:val="18"/>
        </w:rPr>
        <w:t xml:space="preserve"> </w:t>
      </w:r>
      <w:r>
        <w:rPr>
          <w:sz w:val="18"/>
        </w:rPr>
        <w:t>domestic</w:t>
      </w:r>
      <w:r>
        <w:rPr>
          <w:spacing w:val="-10"/>
          <w:sz w:val="18"/>
        </w:rPr>
        <w:t xml:space="preserve"> </w:t>
      </w:r>
      <w:r>
        <w:rPr>
          <w:sz w:val="18"/>
        </w:rPr>
        <w:t>producers. For pinpoint references</w:t>
      </w:r>
      <w:r>
        <w:rPr>
          <w:spacing w:val="-2"/>
          <w:sz w:val="18"/>
        </w:rPr>
        <w:t xml:space="preserve"> </w:t>
      </w:r>
      <w:r>
        <w:rPr>
          <w:sz w:val="18"/>
        </w:rPr>
        <w:t>to</w:t>
      </w:r>
      <w:r>
        <w:rPr>
          <w:spacing w:val="-3"/>
          <w:sz w:val="18"/>
        </w:rPr>
        <w:t xml:space="preserve"> </w:t>
      </w:r>
      <w:r>
        <w:rPr>
          <w:sz w:val="18"/>
        </w:rPr>
        <w:t>each</w:t>
      </w:r>
      <w:r>
        <w:rPr>
          <w:spacing w:val="-3"/>
          <w:sz w:val="18"/>
        </w:rPr>
        <w:t xml:space="preserve"> </w:t>
      </w:r>
      <w:r>
        <w:rPr>
          <w:sz w:val="18"/>
        </w:rPr>
        <w:t>of</w:t>
      </w:r>
      <w:r>
        <w:rPr>
          <w:spacing w:val="-1"/>
          <w:sz w:val="18"/>
        </w:rPr>
        <w:t xml:space="preserve"> </w:t>
      </w:r>
      <w:r>
        <w:rPr>
          <w:sz w:val="18"/>
        </w:rPr>
        <w:t>the</w:t>
      </w:r>
      <w:r>
        <w:rPr>
          <w:spacing w:val="-2"/>
          <w:sz w:val="18"/>
        </w:rPr>
        <w:t xml:space="preserve"> </w:t>
      </w:r>
      <w:r>
        <w:rPr>
          <w:sz w:val="18"/>
        </w:rPr>
        <w:t>21 domestic</w:t>
      </w:r>
      <w:r>
        <w:rPr>
          <w:spacing w:val="-3"/>
          <w:sz w:val="18"/>
        </w:rPr>
        <w:t xml:space="preserve"> </w:t>
      </w:r>
      <w:r>
        <w:rPr>
          <w:sz w:val="18"/>
        </w:rPr>
        <w:t>industry responses, see</w:t>
      </w:r>
      <w:r>
        <w:rPr>
          <w:spacing w:val="-2"/>
          <w:sz w:val="18"/>
        </w:rPr>
        <w:t xml:space="preserve"> </w:t>
      </w:r>
      <w:r>
        <w:rPr>
          <w:sz w:val="18"/>
        </w:rPr>
        <w:t>Australia's first</w:t>
      </w:r>
      <w:r>
        <w:rPr>
          <w:spacing w:val="-1"/>
          <w:sz w:val="18"/>
        </w:rPr>
        <w:t xml:space="preserve"> </w:t>
      </w:r>
      <w:r>
        <w:rPr>
          <w:sz w:val="18"/>
        </w:rPr>
        <w:t>written submission, para.</w:t>
      </w:r>
      <w:r>
        <w:rPr>
          <w:spacing w:val="-1"/>
          <w:sz w:val="18"/>
        </w:rPr>
        <w:t xml:space="preserve"> </w:t>
      </w:r>
      <w:r>
        <w:rPr>
          <w:sz w:val="18"/>
        </w:rPr>
        <w:t xml:space="preserve">640, </w:t>
      </w:r>
      <w:proofErr w:type="spellStart"/>
      <w:r>
        <w:rPr>
          <w:sz w:val="18"/>
        </w:rPr>
        <w:t>fn</w:t>
      </w:r>
      <w:proofErr w:type="spellEnd"/>
      <w:r>
        <w:rPr>
          <w:sz w:val="18"/>
        </w:rPr>
        <w:t xml:space="preserve"> 739. For a</w:t>
      </w:r>
      <w:r>
        <w:rPr>
          <w:spacing w:val="-4"/>
          <w:sz w:val="18"/>
        </w:rPr>
        <w:t xml:space="preserve"> </w:t>
      </w:r>
      <w:r>
        <w:rPr>
          <w:sz w:val="18"/>
        </w:rPr>
        <w:t>detailed explanation</w:t>
      </w:r>
      <w:r>
        <w:rPr>
          <w:spacing w:val="-3"/>
          <w:sz w:val="18"/>
        </w:rPr>
        <w:t xml:space="preserve"> </w:t>
      </w:r>
      <w:r>
        <w:rPr>
          <w:sz w:val="18"/>
        </w:rPr>
        <w:t>of</w:t>
      </w:r>
      <w:r>
        <w:rPr>
          <w:spacing w:val="-1"/>
          <w:sz w:val="18"/>
        </w:rPr>
        <w:t xml:space="preserve"> </w:t>
      </w:r>
      <w:r>
        <w:rPr>
          <w:sz w:val="18"/>
        </w:rPr>
        <w:t>the</w:t>
      </w:r>
      <w:r>
        <w:rPr>
          <w:spacing w:val="-2"/>
          <w:sz w:val="18"/>
        </w:rPr>
        <w:t xml:space="preserve"> </w:t>
      </w:r>
      <w:r>
        <w:rPr>
          <w:sz w:val="18"/>
        </w:rPr>
        <w:t>textual basis of Australia argument</w:t>
      </w:r>
      <w:r>
        <w:rPr>
          <w:spacing w:val="-1"/>
          <w:sz w:val="18"/>
        </w:rPr>
        <w:t xml:space="preserve"> </w:t>
      </w:r>
      <w:r>
        <w:rPr>
          <w:sz w:val="18"/>
        </w:rPr>
        <w:t>see</w:t>
      </w:r>
      <w:r>
        <w:rPr>
          <w:spacing w:val="-2"/>
          <w:sz w:val="18"/>
        </w:rPr>
        <w:t xml:space="preserve"> </w:t>
      </w:r>
      <w:r>
        <w:rPr>
          <w:sz w:val="18"/>
        </w:rPr>
        <w:t>Australia's response to</w:t>
      </w:r>
      <w:r>
        <w:rPr>
          <w:spacing w:val="-3"/>
          <w:sz w:val="18"/>
        </w:rPr>
        <w:t xml:space="preserve"> </w:t>
      </w:r>
      <w:r>
        <w:rPr>
          <w:sz w:val="18"/>
        </w:rPr>
        <w:t>panel question</w:t>
      </w:r>
      <w:r>
        <w:rPr>
          <w:spacing w:val="-2"/>
          <w:sz w:val="18"/>
        </w:rPr>
        <w:t xml:space="preserve"> </w:t>
      </w:r>
      <w:r>
        <w:rPr>
          <w:sz w:val="18"/>
        </w:rPr>
        <w:t>No. 37, paras.</w:t>
      </w:r>
      <w:r>
        <w:rPr>
          <w:spacing w:val="-2"/>
          <w:sz w:val="18"/>
        </w:rPr>
        <w:t xml:space="preserve"> </w:t>
      </w:r>
      <w:r>
        <w:rPr>
          <w:sz w:val="18"/>
        </w:rPr>
        <w:t>96-102.</w:t>
      </w:r>
    </w:p>
    <w:p w14:paraId="4DD188A9" w14:textId="77777777" w:rsidR="00BD462C" w:rsidRDefault="00033D0F">
      <w:pPr>
        <w:spacing w:before="2" w:line="218" w:lineRule="exact"/>
        <w:ind w:left="135"/>
        <w:jc w:val="both"/>
        <w:rPr>
          <w:sz w:val="18"/>
        </w:rPr>
      </w:pPr>
      <w:bookmarkStart w:id="1086" w:name="_bookmark936"/>
      <w:bookmarkEnd w:id="1086"/>
      <w:r>
        <w:rPr>
          <w:position w:val="5"/>
          <w:sz w:val="12"/>
        </w:rPr>
        <w:t>797</w:t>
      </w:r>
      <w:r>
        <w:rPr>
          <w:spacing w:val="12"/>
          <w:position w:val="5"/>
          <w:sz w:val="12"/>
        </w:rPr>
        <w:t xml:space="preserve"> </w:t>
      </w:r>
      <w:r>
        <w:rPr>
          <w:sz w:val="18"/>
        </w:rPr>
        <w:t>China's</w:t>
      </w:r>
      <w:r>
        <w:rPr>
          <w:spacing w:val="-6"/>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 paras.</w:t>
      </w:r>
      <w:r>
        <w:rPr>
          <w:spacing w:val="-5"/>
          <w:sz w:val="18"/>
        </w:rPr>
        <w:t xml:space="preserve"> </w:t>
      </w:r>
      <w:r>
        <w:rPr>
          <w:sz w:val="18"/>
        </w:rPr>
        <w:t>1549-</w:t>
      </w:r>
      <w:r>
        <w:rPr>
          <w:spacing w:val="-2"/>
          <w:sz w:val="18"/>
        </w:rPr>
        <w:t>1559.</w:t>
      </w:r>
    </w:p>
    <w:p w14:paraId="7A749455" w14:textId="77777777" w:rsidR="00BD462C" w:rsidRDefault="00033D0F">
      <w:pPr>
        <w:spacing w:line="218" w:lineRule="exact"/>
        <w:ind w:left="135"/>
        <w:jc w:val="both"/>
        <w:rPr>
          <w:sz w:val="18"/>
        </w:rPr>
      </w:pPr>
      <w:bookmarkStart w:id="1087" w:name="_bookmark937"/>
      <w:bookmarkEnd w:id="1087"/>
      <w:r>
        <w:rPr>
          <w:position w:val="5"/>
          <w:sz w:val="12"/>
        </w:rPr>
        <w:t>798</w:t>
      </w:r>
      <w:r>
        <w:rPr>
          <w:spacing w:val="12"/>
          <w:position w:val="5"/>
          <w:sz w:val="12"/>
        </w:rPr>
        <w:t xml:space="preserve"> </w:t>
      </w:r>
      <w:r>
        <w:rPr>
          <w:sz w:val="18"/>
        </w:rPr>
        <w:t>China's</w:t>
      </w:r>
      <w:r>
        <w:rPr>
          <w:spacing w:val="-6"/>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 paras.</w:t>
      </w:r>
      <w:r>
        <w:rPr>
          <w:spacing w:val="-5"/>
          <w:sz w:val="18"/>
        </w:rPr>
        <w:t xml:space="preserve"> </w:t>
      </w:r>
      <w:r>
        <w:rPr>
          <w:sz w:val="18"/>
        </w:rPr>
        <w:t>1555-</w:t>
      </w:r>
      <w:r>
        <w:rPr>
          <w:spacing w:val="-2"/>
          <w:sz w:val="18"/>
        </w:rPr>
        <w:t>1557.</w:t>
      </w:r>
    </w:p>
    <w:p w14:paraId="656B7205" w14:textId="77777777" w:rsidR="00BD462C" w:rsidRDefault="00033D0F">
      <w:pPr>
        <w:spacing w:before="1"/>
        <w:ind w:left="135"/>
        <w:jc w:val="both"/>
        <w:rPr>
          <w:sz w:val="18"/>
        </w:rPr>
      </w:pPr>
      <w:bookmarkStart w:id="1088" w:name="_bookmark938"/>
      <w:bookmarkEnd w:id="1088"/>
      <w:r>
        <w:rPr>
          <w:position w:val="5"/>
          <w:sz w:val="12"/>
        </w:rPr>
        <w:t>799</w:t>
      </w:r>
      <w:r>
        <w:rPr>
          <w:spacing w:val="-2"/>
          <w:position w:val="5"/>
          <w:sz w:val="12"/>
        </w:rPr>
        <w:t xml:space="preserve"> </w:t>
      </w:r>
      <w:r>
        <w:rPr>
          <w:sz w:val="18"/>
        </w:rPr>
        <w:t>China's</w:t>
      </w:r>
      <w:r>
        <w:rPr>
          <w:spacing w:val="-10"/>
          <w:sz w:val="18"/>
        </w:rPr>
        <w:t xml:space="preserve"> </w:t>
      </w:r>
      <w:r>
        <w:rPr>
          <w:sz w:val="18"/>
        </w:rPr>
        <w:t>first</w:t>
      </w:r>
      <w:r>
        <w:rPr>
          <w:spacing w:val="-11"/>
          <w:sz w:val="18"/>
        </w:rPr>
        <w:t xml:space="preserve"> </w:t>
      </w:r>
      <w:r>
        <w:rPr>
          <w:sz w:val="18"/>
        </w:rPr>
        <w:t>written</w:t>
      </w:r>
      <w:r>
        <w:rPr>
          <w:spacing w:val="-10"/>
          <w:sz w:val="18"/>
        </w:rPr>
        <w:t xml:space="preserve"> </w:t>
      </w:r>
      <w:r>
        <w:rPr>
          <w:sz w:val="18"/>
        </w:rPr>
        <w:t>submission,</w:t>
      </w:r>
      <w:r>
        <w:rPr>
          <w:spacing w:val="-10"/>
          <w:sz w:val="18"/>
        </w:rPr>
        <w:t xml:space="preserve"> </w:t>
      </w:r>
      <w:r>
        <w:rPr>
          <w:sz w:val="18"/>
        </w:rPr>
        <w:t>paras.</w:t>
      </w:r>
      <w:r>
        <w:rPr>
          <w:spacing w:val="-8"/>
          <w:sz w:val="18"/>
        </w:rPr>
        <w:t xml:space="preserve"> </w:t>
      </w:r>
      <w:r>
        <w:rPr>
          <w:sz w:val="18"/>
        </w:rPr>
        <w:t>1555,</w:t>
      </w:r>
      <w:r>
        <w:rPr>
          <w:spacing w:val="-10"/>
          <w:sz w:val="18"/>
        </w:rPr>
        <w:t xml:space="preserve"> </w:t>
      </w:r>
      <w:r>
        <w:rPr>
          <w:sz w:val="18"/>
        </w:rPr>
        <w:t>1557;</w:t>
      </w:r>
      <w:r>
        <w:rPr>
          <w:spacing w:val="-10"/>
          <w:sz w:val="18"/>
        </w:rPr>
        <w:t xml:space="preserve"> </w:t>
      </w:r>
      <w:r>
        <w:rPr>
          <w:sz w:val="18"/>
        </w:rPr>
        <w:t>Anti-Dumping</w:t>
      </w:r>
      <w:r>
        <w:rPr>
          <w:spacing w:val="-12"/>
          <w:sz w:val="18"/>
        </w:rPr>
        <w:t xml:space="preserve"> </w:t>
      </w:r>
      <w:r>
        <w:rPr>
          <w:sz w:val="18"/>
        </w:rPr>
        <w:t>Questionnaire</w:t>
      </w:r>
      <w:r>
        <w:rPr>
          <w:spacing w:val="-10"/>
          <w:sz w:val="18"/>
        </w:rPr>
        <w:t xml:space="preserve"> </w:t>
      </w:r>
      <w:r>
        <w:rPr>
          <w:sz w:val="18"/>
        </w:rPr>
        <w:t>for</w:t>
      </w:r>
      <w:r>
        <w:rPr>
          <w:spacing w:val="-9"/>
          <w:sz w:val="18"/>
        </w:rPr>
        <w:t xml:space="preserve"> </w:t>
      </w:r>
      <w:r>
        <w:rPr>
          <w:sz w:val="18"/>
        </w:rPr>
        <w:t>Domestic</w:t>
      </w:r>
      <w:r>
        <w:rPr>
          <w:spacing w:val="-10"/>
          <w:sz w:val="18"/>
        </w:rPr>
        <w:t xml:space="preserve"> </w:t>
      </w:r>
      <w:r>
        <w:rPr>
          <w:sz w:val="18"/>
        </w:rPr>
        <w:t>Producers</w:t>
      </w:r>
      <w:r>
        <w:rPr>
          <w:spacing w:val="-10"/>
          <w:sz w:val="18"/>
        </w:rPr>
        <w:t xml:space="preserve"> </w:t>
      </w:r>
      <w:r>
        <w:rPr>
          <w:sz w:val="18"/>
        </w:rPr>
        <w:t>(Exhibit</w:t>
      </w:r>
      <w:r>
        <w:rPr>
          <w:spacing w:val="-10"/>
          <w:sz w:val="18"/>
        </w:rPr>
        <w:t xml:space="preserve"> </w:t>
      </w:r>
      <w:r>
        <w:rPr>
          <w:sz w:val="18"/>
        </w:rPr>
        <w:t>CHN-</w:t>
      </w:r>
      <w:r>
        <w:rPr>
          <w:spacing w:val="-4"/>
          <w:sz w:val="18"/>
        </w:rPr>
        <w:t>16),</w:t>
      </w:r>
    </w:p>
    <w:p w14:paraId="66020E71" w14:textId="77777777" w:rsidR="00BD462C" w:rsidRDefault="00033D0F">
      <w:pPr>
        <w:spacing w:before="3" w:line="237" w:lineRule="auto"/>
        <w:ind w:left="136" w:right="917" w:hanging="1"/>
        <w:jc w:val="both"/>
        <w:rPr>
          <w:sz w:val="18"/>
        </w:rPr>
      </w:pPr>
      <w:r>
        <w:rPr>
          <w:sz w:val="18"/>
        </w:rPr>
        <w:t>pp. 43-44. Questions 51 and 52 of the Anti-Dumping Questionnaire for Domestic Producers sought information regarding "factors that may affect the domestic industry" and "the relationship between changes in your business operation and financial indicators and the imported products under investigation".</w:t>
      </w:r>
    </w:p>
    <w:p w14:paraId="77F10314" w14:textId="77777777" w:rsidR="00BD462C" w:rsidRDefault="00033D0F">
      <w:pPr>
        <w:spacing w:before="3"/>
        <w:ind w:left="135" w:right="912"/>
        <w:jc w:val="both"/>
        <w:rPr>
          <w:sz w:val="18"/>
        </w:rPr>
      </w:pPr>
      <w:bookmarkStart w:id="1089" w:name="_bookmark939"/>
      <w:bookmarkEnd w:id="1089"/>
      <w:r>
        <w:rPr>
          <w:position w:val="5"/>
          <w:sz w:val="12"/>
        </w:rPr>
        <w:t>800</w:t>
      </w:r>
      <w:r>
        <w:rPr>
          <w:spacing w:val="-7"/>
          <w:position w:val="5"/>
          <w:sz w:val="12"/>
        </w:rPr>
        <w:t xml:space="preserve"> </w:t>
      </w:r>
      <w:r>
        <w:rPr>
          <w:sz w:val="18"/>
        </w:rPr>
        <w:t>See</w:t>
      </w:r>
      <w:r>
        <w:rPr>
          <w:spacing w:val="-10"/>
          <w:sz w:val="18"/>
        </w:rPr>
        <w:t xml:space="preserve"> </w:t>
      </w:r>
      <w:r>
        <w:rPr>
          <w:sz w:val="18"/>
        </w:rPr>
        <w:t>responses</w:t>
      </w:r>
      <w:r>
        <w:rPr>
          <w:spacing w:val="-11"/>
          <w:sz w:val="18"/>
        </w:rPr>
        <w:t xml:space="preserve"> </w:t>
      </w:r>
      <w:r>
        <w:rPr>
          <w:sz w:val="18"/>
        </w:rPr>
        <w:t>from</w:t>
      </w:r>
      <w:r>
        <w:rPr>
          <w:spacing w:val="-10"/>
          <w:sz w:val="18"/>
        </w:rPr>
        <w:t xml:space="preserve"> </w:t>
      </w:r>
      <w:r>
        <w:rPr>
          <w:sz w:val="18"/>
        </w:rPr>
        <w:t>the</w:t>
      </w:r>
      <w:r>
        <w:rPr>
          <w:spacing w:val="-10"/>
          <w:sz w:val="18"/>
        </w:rPr>
        <w:t xml:space="preserve"> </w:t>
      </w:r>
      <w:r>
        <w:rPr>
          <w:sz w:val="18"/>
        </w:rPr>
        <w:t>21</w:t>
      </w:r>
      <w:r>
        <w:rPr>
          <w:spacing w:val="-10"/>
          <w:sz w:val="18"/>
        </w:rPr>
        <w:t xml:space="preserve"> </w:t>
      </w:r>
      <w:r>
        <w:rPr>
          <w:sz w:val="18"/>
        </w:rPr>
        <w:t>domestic</w:t>
      </w:r>
      <w:r>
        <w:rPr>
          <w:spacing w:val="-10"/>
          <w:sz w:val="18"/>
        </w:rPr>
        <w:t xml:space="preserve"> </w:t>
      </w:r>
      <w:r>
        <w:rPr>
          <w:sz w:val="18"/>
        </w:rPr>
        <w:t>producers</w:t>
      </w:r>
      <w:r>
        <w:rPr>
          <w:spacing w:val="-10"/>
          <w:sz w:val="18"/>
        </w:rPr>
        <w:t xml:space="preserve"> </w:t>
      </w:r>
      <w:r>
        <w:rPr>
          <w:sz w:val="18"/>
        </w:rPr>
        <w:t>to</w:t>
      </w:r>
      <w:r>
        <w:rPr>
          <w:spacing w:val="-11"/>
          <w:sz w:val="18"/>
        </w:rPr>
        <w:t xml:space="preserve"> </w:t>
      </w:r>
      <w:r>
        <w:rPr>
          <w:sz w:val="18"/>
        </w:rPr>
        <w:t>question</w:t>
      </w:r>
      <w:r>
        <w:rPr>
          <w:spacing w:val="-10"/>
          <w:sz w:val="18"/>
        </w:rPr>
        <w:t xml:space="preserve"> </w:t>
      </w:r>
      <w:r>
        <w:rPr>
          <w:sz w:val="18"/>
        </w:rPr>
        <w:t>39(5)</w:t>
      </w:r>
      <w:r>
        <w:rPr>
          <w:spacing w:val="-10"/>
          <w:sz w:val="18"/>
        </w:rPr>
        <w:t xml:space="preserve"> </w:t>
      </w:r>
      <w:r>
        <w:rPr>
          <w:sz w:val="18"/>
        </w:rPr>
        <w:t>in</w:t>
      </w:r>
      <w:r>
        <w:rPr>
          <w:spacing w:val="-10"/>
          <w:sz w:val="18"/>
        </w:rPr>
        <w:t xml:space="preserve"> </w:t>
      </w:r>
      <w:r>
        <w:rPr>
          <w:sz w:val="18"/>
        </w:rPr>
        <w:t>the</w:t>
      </w:r>
      <w:r>
        <w:rPr>
          <w:spacing w:val="-10"/>
          <w:sz w:val="18"/>
        </w:rPr>
        <w:t xml:space="preserve"> </w:t>
      </w:r>
      <w:r>
        <w:rPr>
          <w:sz w:val="18"/>
        </w:rPr>
        <w:t>anti-dumping</w:t>
      </w:r>
      <w:r>
        <w:rPr>
          <w:spacing w:val="-11"/>
          <w:sz w:val="18"/>
        </w:rPr>
        <w:t xml:space="preserve"> </w:t>
      </w:r>
      <w:r>
        <w:rPr>
          <w:sz w:val="18"/>
        </w:rPr>
        <w:t>questionnaire</w:t>
      </w:r>
      <w:r>
        <w:rPr>
          <w:spacing w:val="-10"/>
          <w:sz w:val="18"/>
        </w:rPr>
        <w:t xml:space="preserve"> </w:t>
      </w:r>
      <w:r>
        <w:rPr>
          <w:sz w:val="18"/>
        </w:rPr>
        <w:t>to</w:t>
      </w:r>
      <w:r>
        <w:rPr>
          <w:spacing w:val="-10"/>
          <w:sz w:val="18"/>
        </w:rPr>
        <w:t xml:space="preserve"> </w:t>
      </w:r>
      <w:r>
        <w:rPr>
          <w:sz w:val="18"/>
        </w:rPr>
        <w:t>domestic</w:t>
      </w:r>
      <w:r>
        <w:rPr>
          <w:spacing w:val="-10"/>
          <w:sz w:val="18"/>
        </w:rPr>
        <w:t xml:space="preserve"> </w:t>
      </w:r>
      <w:r>
        <w:rPr>
          <w:sz w:val="18"/>
        </w:rPr>
        <w:t>producers. For pinpoint references</w:t>
      </w:r>
      <w:r>
        <w:rPr>
          <w:spacing w:val="-2"/>
          <w:sz w:val="18"/>
        </w:rPr>
        <w:t xml:space="preserve"> </w:t>
      </w:r>
      <w:r>
        <w:rPr>
          <w:sz w:val="18"/>
        </w:rPr>
        <w:t>to</w:t>
      </w:r>
      <w:r>
        <w:rPr>
          <w:spacing w:val="-3"/>
          <w:sz w:val="18"/>
        </w:rPr>
        <w:t xml:space="preserve"> </w:t>
      </w:r>
      <w:r>
        <w:rPr>
          <w:sz w:val="18"/>
        </w:rPr>
        <w:t>each</w:t>
      </w:r>
      <w:r>
        <w:rPr>
          <w:spacing w:val="-3"/>
          <w:sz w:val="18"/>
        </w:rPr>
        <w:t xml:space="preserve"> </w:t>
      </w:r>
      <w:r>
        <w:rPr>
          <w:sz w:val="18"/>
        </w:rPr>
        <w:t>of</w:t>
      </w:r>
      <w:r>
        <w:rPr>
          <w:spacing w:val="-1"/>
          <w:sz w:val="18"/>
        </w:rPr>
        <w:t xml:space="preserve"> </w:t>
      </w:r>
      <w:r>
        <w:rPr>
          <w:sz w:val="18"/>
        </w:rPr>
        <w:t>the</w:t>
      </w:r>
      <w:r>
        <w:rPr>
          <w:spacing w:val="-2"/>
          <w:sz w:val="18"/>
        </w:rPr>
        <w:t xml:space="preserve"> </w:t>
      </w:r>
      <w:r>
        <w:rPr>
          <w:sz w:val="18"/>
        </w:rPr>
        <w:t>21 domestic</w:t>
      </w:r>
      <w:r>
        <w:rPr>
          <w:spacing w:val="-3"/>
          <w:sz w:val="18"/>
        </w:rPr>
        <w:t xml:space="preserve"> </w:t>
      </w:r>
      <w:r>
        <w:rPr>
          <w:sz w:val="18"/>
        </w:rPr>
        <w:t>industry responses, see</w:t>
      </w:r>
      <w:r>
        <w:rPr>
          <w:spacing w:val="-2"/>
          <w:sz w:val="18"/>
        </w:rPr>
        <w:t xml:space="preserve"> </w:t>
      </w:r>
      <w:r>
        <w:rPr>
          <w:sz w:val="18"/>
        </w:rPr>
        <w:t>Australia's first</w:t>
      </w:r>
      <w:r>
        <w:rPr>
          <w:spacing w:val="-1"/>
          <w:sz w:val="18"/>
        </w:rPr>
        <w:t xml:space="preserve"> </w:t>
      </w:r>
      <w:r>
        <w:rPr>
          <w:sz w:val="18"/>
        </w:rPr>
        <w:t>written submission, para.</w:t>
      </w:r>
      <w:r>
        <w:rPr>
          <w:spacing w:val="-1"/>
          <w:sz w:val="18"/>
        </w:rPr>
        <w:t xml:space="preserve"> </w:t>
      </w:r>
      <w:r>
        <w:rPr>
          <w:sz w:val="18"/>
        </w:rPr>
        <w:t xml:space="preserve">640, </w:t>
      </w:r>
      <w:proofErr w:type="spellStart"/>
      <w:r>
        <w:rPr>
          <w:sz w:val="18"/>
        </w:rPr>
        <w:t>fn</w:t>
      </w:r>
      <w:proofErr w:type="spellEnd"/>
      <w:r>
        <w:rPr>
          <w:sz w:val="18"/>
        </w:rPr>
        <w:t xml:space="preserve"> 739. For a</w:t>
      </w:r>
      <w:r>
        <w:rPr>
          <w:spacing w:val="-4"/>
          <w:sz w:val="18"/>
        </w:rPr>
        <w:t xml:space="preserve"> </w:t>
      </w:r>
      <w:r>
        <w:rPr>
          <w:sz w:val="18"/>
        </w:rPr>
        <w:t>detailed explanation</w:t>
      </w:r>
      <w:r>
        <w:rPr>
          <w:spacing w:val="-3"/>
          <w:sz w:val="18"/>
        </w:rPr>
        <w:t xml:space="preserve"> </w:t>
      </w:r>
      <w:r>
        <w:rPr>
          <w:sz w:val="18"/>
        </w:rPr>
        <w:t>of the textual basis of Australia argument</w:t>
      </w:r>
      <w:r>
        <w:rPr>
          <w:spacing w:val="-1"/>
          <w:sz w:val="18"/>
        </w:rPr>
        <w:t xml:space="preserve"> </w:t>
      </w:r>
      <w:r>
        <w:rPr>
          <w:sz w:val="18"/>
        </w:rPr>
        <w:t>see</w:t>
      </w:r>
      <w:r>
        <w:rPr>
          <w:spacing w:val="-2"/>
          <w:sz w:val="18"/>
        </w:rPr>
        <w:t xml:space="preserve"> </w:t>
      </w:r>
      <w:r>
        <w:rPr>
          <w:sz w:val="18"/>
        </w:rPr>
        <w:t>Australia's response to</w:t>
      </w:r>
      <w:r>
        <w:rPr>
          <w:spacing w:val="-3"/>
          <w:sz w:val="18"/>
        </w:rPr>
        <w:t xml:space="preserve"> </w:t>
      </w:r>
      <w:r>
        <w:rPr>
          <w:sz w:val="18"/>
        </w:rPr>
        <w:t>Panel question</w:t>
      </w:r>
      <w:r>
        <w:rPr>
          <w:spacing w:val="-2"/>
          <w:sz w:val="18"/>
        </w:rPr>
        <w:t xml:space="preserve"> </w:t>
      </w:r>
      <w:r>
        <w:rPr>
          <w:sz w:val="18"/>
        </w:rPr>
        <w:t>No. 37, paras.</w:t>
      </w:r>
      <w:r>
        <w:rPr>
          <w:spacing w:val="-2"/>
          <w:sz w:val="18"/>
        </w:rPr>
        <w:t xml:space="preserve"> </w:t>
      </w:r>
      <w:r>
        <w:rPr>
          <w:sz w:val="18"/>
        </w:rPr>
        <w:t>96-102.</w:t>
      </w:r>
    </w:p>
    <w:p w14:paraId="74100408" w14:textId="77777777" w:rsidR="00BD462C" w:rsidRDefault="00BD462C">
      <w:pPr>
        <w:jc w:val="both"/>
        <w:rPr>
          <w:sz w:val="18"/>
        </w:rPr>
        <w:sectPr w:rsidR="00BD462C">
          <w:pgSz w:w="11910" w:h="16840"/>
          <w:pgMar w:top="860" w:right="500" w:bottom="780" w:left="1280" w:header="566" w:footer="590" w:gutter="0"/>
          <w:cols w:space="720"/>
        </w:sectPr>
      </w:pPr>
    </w:p>
    <w:p w14:paraId="2577AB28"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7AEDE7EF"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13E7A3D4"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3884B3FD" w14:textId="77777777" w:rsidR="00BD462C" w:rsidRDefault="00033D0F">
      <w:pPr>
        <w:pStyle w:val="BodyText"/>
        <w:spacing w:before="102" w:line="357" w:lineRule="auto"/>
        <w:ind w:left="136" w:right="923"/>
      </w:pPr>
      <w:r>
        <w:t>their</w:t>
      </w:r>
      <w:r>
        <w:rPr>
          <w:spacing w:val="-14"/>
        </w:rPr>
        <w:t xml:space="preserve"> </w:t>
      </w:r>
      <w:r>
        <w:t>investigation</w:t>
      </w:r>
      <w:r>
        <w:rPr>
          <w:spacing w:val="-13"/>
        </w:rPr>
        <w:t xml:space="preserve"> </w:t>
      </w:r>
      <w:r>
        <w:t>in</w:t>
      </w:r>
      <w:r>
        <w:rPr>
          <w:spacing w:val="-13"/>
        </w:rPr>
        <w:t xml:space="preserve"> </w:t>
      </w:r>
      <w:r>
        <w:t>such</w:t>
      </w:r>
      <w:r>
        <w:rPr>
          <w:spacing w:val="-13"/>
        </w:rPr>
        <w:t xml:space="preserve"> </w:t>
      </w:r>
      <w:r>
        <w:t>a</w:t>
      </w:r>
      <w:r>
        <w:rPr>
          <w:spacing w:val="-7"/>
        </w:rPr>
        <w:t xml:space="preserve"> </w:t>
      </w:r>
      <w:r>
        <w:t>way</w:t>
      </w:r>
      <w:r>
        <w:rPr>
          <w:spacing w:val="-10"/>
        </w:rPr>
        <w:t xml:space="preserve"> </w:t>
      </w:r>
      <w:r>
        <w:t>that</w:t>
      </w:r>
      <w:r>
        <w:rPr>
          <w:spacing w:val="-10"/>
        </w:rPr>
        <w:t xml:space="preserve"> </w:t>
      </w:r>
      <w:r>
        <w:t>it</w:t>
      </w:r>
      <w:r>
        <w:rPr>
          <w:spacing w:val="-10"/>
        </w:rPr>
        <w:t xml:space="preserve"> </w:t>
      </w:r>
      <w:r>
        <w:t>becomes</w:t>
      </w:r>
      <w:r>
        <w:rPr>
          <w:spacing w:val="-9"/>
        </w:rPr>
        <w:t xml:space="preserve"> </w:t>
      </w:r>
      <w:r>
        <w:t>more</w:t>
      </w:r>
      <w:r>
        <w:rPr>
          <w:spacing w:val="-11"/>
        </w:rPr>
        <w:t xml:space="preserve"> </w:t>
      </w:r>
      <w:r>
        <w:t>likely</w:t>
      </w:r>
      <w:r>
        <w:rPr>
          <w:spacing w:val="-10"/>
        </w:rPr>
        <w:t xml:space="preserve"> </w:t>
      </w:r>
      <w:r>
        <w:t>that,</w:t>
      </w:r>
      <w:r>
        <w:rPr>
          <w:spacing w:val="-9"/>
        </w:rPr>
        <w:t xml:space="preserve"> </w:t>
      </w:r>
      <w:r>
        <w:t>as</w:t>
      </w:r>
      <w:r>
        <w:rPr>
          <w:spacing w:val="-9"/>
        </w:rPr>
        <w:t xml:space="preserve"> </w:t>
      </w:r>
      <w:r>
        <w:t>a</w:t>
      </w:r>
      <w:r>
        <w:rPr>
          <w:spacing w:val="-11"/>
        </w:rPr>
        <w:t xml:space="preserve"> </w:t>
      </w:r>
      <w:r>
        <w:t>result</w:t>
      </w:r>
      <w:r>
        <w:rPr>
          <w:spacing w:val="-10"/>
        </w:rPr>
        <w:t xml:space="preserve"> </w:t>
      </w:r>
      <w:r>
        <w:t>of</w:t>
      </w:r>
      <w:r>
        <w:rPr>
          <w:spacing w:val="-13"/>
        </w:rPr>
        <w:t xml:space="preserve"> </w:t>
      </w:r>
      <w:r>
        <w:t>the</w:t>
      </w:r>
      <w:r>
        <w:rPr>
          <w:spacing w:val="-6"/>
        </w:rPr>
        <w:t xml:space="preserve"> </w:t>
      </w:r>
      <w:r>
        <w:t>fact-finding or evaluation process, they will determine that the domestic industry is injured".</w:t>
      </w:r>
      <w:hyperlink w:anchor="_bookmark940" w:history="1">
        <w:r>
          <w:rPr>
            <w:vertAlign w:val="superscript"/>
          </w:rPr>
          <w:t>801</w:t>
        </w:r>
      </w:hyperlink>
    </w:p>
    <w:p w14:paraId="55F9BEAF" w14:textId="77777777" w:rsidR="00BD462C" w:rsidRDefault="00BD462C">
      <w:pPr>
        <w:pStyle w:val="BodyText"/>
        <w:spacing w:before="3"/>
        <w:rPr>
          <w:sz w:val="9"/>
        </w:rPr>
      </w:pPr>
    </w:p>
    <w:p w14:paraId="69152E3E" w14:textId="14EE4D3B" w:rsidR="00BD462C" w:rsidRDefault="00AF1D30">
      <w:pPr>
        <w:pStyle w:val="BodyText"/>
        <w:spacing w:before="56" w:line="357" w:lineRule="auto"/>
        <w:ind w:left="135" w:right="917"/>
        <w:jc w:val="both"/>
      </w:pPr>
      <w:r>
        <w:rPr>
          <w:noProof/>
        </w:rPr>
        <w:t>535.</w:t>
      </w:r>
      <w:r w:rsidR="00033D0F">
        <w:rPr>
          <w:rFonts w:ascii="Times New Roman"/>
          <w:spacing w:val="80"/>
          <w:position w:val="1"/>
          <w:sz w:val="20"/>
        </w:rPr>
        <w:t xml:space="preserve">  </w:t>
      </w:r>
      <w:r w:rsidR="00033D0F">
        <w:rPr>
          <w:position w:val="1"/>
        </w:rPr>
        <w:t xml:space="preserve">As Australia outlined at the first substantive meeting and in written responses to </w:t>
      </w:r>
      <w:r w:rsidR="00033D0F">
        <w:t>Panel</w:t>
      </w:r>
      <w:r w:rsidR="00033D0F">
        <w:rPr>
          <w:spacing w:val="-8"/>
        </w:rPr>
        <w:t xml:space="preserve"> </w:t>
      </w:r>
      <w:r w:rsidR="00033D0F">
        <w:t>questions,</w:t>
      </w:r>
      <w:r w:rsidR="00033D0F">
        <w:rPr>
          <w:spacing w:val="-8"/>
        </w:rPr>
        <w:t xml:space="preserve"> </w:t>
      </w:r>
      <w:r w:rsidR="00033D0F">
        <w:t>while</w:t>
      </w:r>
      <w:r w:rsidR="00033D0F">
        <w:rPr>
          <w:spacing w:val="-10"/>
        </w:rPr>
        <w:t xml:space="preserve"> </w:t>
      </w:r>
      <w:r w:rsidR="00033D0F">
        <w:t>there</w:t>
      </w:r>
      <w:r w:rsidR="00033D0F">
        <w:rPr>
          <w:spacing w:val="-10"/>
        </w:rPr>
        <w:t xml:space="preserve"> </w:t>
      </w:r>
      <w:r w:rsidR="00033D0F">
        <w:t>may</w:t>
      </w:r>
      <w:r w:rsidR="00033D0F">
        <w:rPr>
          <w:spacing w:val="-9"/>
        </w:rPr>
        <w:t xml:space="preserve"> </w:t>
      </w:r>
      <w:r w:rsidR="00033D0F">
        <w:t>be</w:t>
      </w:r>
      <w:r w:rsidR="00033D0F">
        <w:rPr>
          <w:spacing w:val="-10"/>
        </w:rPr>
        <w:t xml:space="preserve"> </w:t>
      </w:r>
      <w:r w:rsidR="00033D0F">
        <w:t>overlap,</w:t>
      </w:r>
      <w:r w:rsidR="00033D0F">
        <w:rPr>
          <w:spacing w:val="-8"/>
        </w:rPr>
        <w:t xml:space="preserve"> </w:t>
      </w:r>
      <w:r w:rsidR="00033D0F">
        <w:t>the</w:t>
      </w:r>
      <w:r w:rsidR="00033D0F">
        <w:rPr>
          <w:spacing w:val="-10"/>
        </w:rPr>
        <w:t xml:space="preserve"> </w:t>
      </w:r>
      <w:r w:rsidR="00033D0F">
        <w:t>analyses</w:t>
      </w:r>
      <w:r w:rsidR="00033D0F">
        <w:rPr>
          <w:spacing w:val="-9"/>
        </w:rPr>
        <w:t xml:space="preserve"> </w:t>
      </w:r>
      <w:r w:rsidR="00033D0F">
        <w:t>required</w:t>
      </w:r>
      <w:r w:rsidR="00033D0F">
        <w:rPr>
          <w:spacing w:val="-11"/>
        </w:rPr>
        <w:t xml:space="preserve"> </w:t>
      </w:r>
      <w:r w:rsidR="00033D0F">
        <w:t>under</w:t>
      </w:r>
      <w:r w:rsidR="00033D0F">
        <w:rPr>
          <w:spacing w:val="-12"/>
        </w:rPr>
        <w:t xml:space="preserve"> </w:t>
      </w:r>
      <w:r w:rsidR="00033D0F">
        <w:t>Articles</w:t>
      </w:r>
      <w:r w:rsidR="00033D0F">
        <w:rPr>
          <w:spacing w:val="-2"/>
        </w:rPr>
        <w:t xml:space="preserve"> </w:t>
      </w:r>
      <w:r w:rsidR="00033D0F">
        <w:t>3.2,</w:t>
      </w:r>
      <w:r w:rsidR="00033D0F">
        <w:rPr>
          <w:spacing w:val="-8"/>
        </w:rPr>
        <w:t xml:space="preserve"> </w:t>
      </w:r>
      <w:r w:rsidR="00033D0F">
        <w:t>3.4</w:t>
      </w:r>
      <w:r w:rsidR="00033D0F">
        <w:rPr>
          <w:spacing w:val="-11"/>
        </w:rPr>
        <w:t xml:space="preserve"> </w:t>
      </w:r>
      <w:r w:rsidR="00033D0F">
        <w:t>and</w:t>
      </w:r>
    </w:p>
    <w:p w14:paraId="6C9BE53A" w14:textId="77777777" w:rsidR="00BD462C" w:rsidRDefault="00033D0F">
      <w:pPr>
        <w:pStyle w:val="BodyText"/>
        <w:spacing w:before="1" w:line="360" w:lineRule="auto"/>
        <w:ind w:left="135" w:right="914"/>
        <w:jc w:val="both"/>
      </w:pPr>
      <w:r>
        <w:t>3.5</w:t>
      </w:r>
      <w:r>
        <w:rPr>
          <w:spacing w:val="-4"/>
        </w:rPr>
        <w:t xml:space="preserve"> </w:t>
      </w:r>
      <w:r>
        <w:t>are distinct</w:t>
      </w:r>
      <w:r>
        <w:rPr>
          <w:spacing w:val="-1"/>
        </w:rPr>
        <w:t xml:space="preserve"> </w:t>
      </w:r>
      <w:r>
        <w:t>–</w:t>
      </w:r>
      <w:r>
        <w:rPr>
          <w:spacing w:val="-2"/>
        </w:rPr>
        <w:t xml:space="preserve"> </w:t>
      </w:r>
      <w:r>
        <w:t>they are directed</w:t>
      </w:r>
      <w:r>
        <w:rPr>
          <w:spacing w:val="-3"/>
        </w:rPr>
        <w:t xml:space="preserve"> </w:t>
      </w:r>
      <w:r>
        <w:t>to different questions, which</w:t>
      </w:r>
      <w:r>
        <w:rPr>
          <w:spacing w:val="-3"/>
        </w:rPr>
        <w:t xml:space="preserve"> </w:t>
      </w:r>
      <w:r>
        <w:t>require</w:t>
      </w:r>
      <w:r>
        <w:rPr>
          <w:spacing w:val="-1"/>
        </w:rPr>
        <w:t xml:space="preserve"> </w:t>
      </w:r>
      <w:r>
        <w:t>different</w:t>
      </w:r>
      <w:r>
        <w:rPr>
          <w:spacing w:val="-1"/>
        </w:rPr>
        <w:t xml:space="preserve"> </w:t>
      </w:r>
      <w:r>
        <w:t>analyses to resolve.</w:t>
      </w:r>
      <w:hyperlink w:anchor="_bookmark941" w:history="1">
        <w:r>
          <w:rPr>
            <w:vertAlign w:val="superscript"/>
          </w:rPr>
          <w:t>802</w:t>
        </w:r>
      </w:hyperlink>
      <w:r>
        <w:rPr>
          <w:spacing w:val="-6"/>
        </w:rPr>
        <w:t xml:space="preserve"> </w:t>
      </w:r>
      <w:r>
        <w:t>In</w:t>
      </w:r>
      <w:r>
        <w:rPr>
          <w:spacing w:val="-9"/>
        </w:rPr>
        <w:t xml:space="preserve"> </w:t>
      </w:r>
      <w:r>
        <w:t>the</w:t>
      </w:r>
      <w:r>
        <w:rPr>
          <w:spacing w:val="-7"/>
        </w:rPr>
        <w:t xml:space="preserve"> </w:t>
      </w:r>
      <w:r>
        <w:t>current</w:t>
      </w:r>
      <w:r>
        <w:rPr>
          <w:spacing w:val="-7"/>
        </w:rPr>
        <w:t xml:space="preserve"> </w:t>
      </w:r>
      <w:r>
        <w:t>context,</w:t>
      </w:r>
      <w:r>
        <w:rPr>
          <w:spacing w:val="-5"/>
        </w:rPr>
        <w:t xml:space="preserve"> </w:t>
      </w:r>
      <w:r>
        <w:t>Australia's</w:t>
      </w:r>
      <w:r>
        <w:rPr>
          <w:spacing w:val="-6"/>
        </w:rPr>
        <w:t xml:space="preserve"> </w:t>
      </w:r>
      <w:r>
        <w:t>argument</w:t>
      </w:r>
      <w:r>
        <w:rPr>
          <w:spacing w:val="-7"/>
        </w:rPr>
        <w:t xml:space="preserve"> </w:t>
      </w:r>
      <w:r>
        <w:t>is</w:t>
      </w:r>
      <w:r>
        <w:rPr>
          <w:spacing w:val="-6"/>
        </w:rPr>
        <w:t xml:space="preserve"> </w:t>
      </w:r>
      <w:r>
        <w:t>directed</w:t>
      </w:r>
      <w:r>
        <w:rPr>
          <w:spacing w:val="-9"/>
        </w:rPr>
        <w:t xml:space="preserve"> </w:t>
      </w:r>
      <w:r>
        <w:t>to</w:t>
      </w:r>
      <w:r>
        <w:rPr>
          <w:spacing w:val="-9"/>
        </w:rPr>
        <w:t xml:space="preserve"> </w:t>
      </w:r>
      <w:r>
        <w:t>the</w:t>
      </w:r>
      <w:r>
        <w:rPr>
          <w:spacing w:val="-7"/>
        </w:rPr>
        <w:t xml:space="preserve"> </w:t>
      </w:r>
      <w:r>
        <w:t>Article</w:t>
      </w:r>
      <w:r>
        <w:rPr>
          <w:spacing w:val="-1"/>
        </w:rPr>
        <w:t xml:space="preserve"> </w:t>
      </w:r>
      <w:r>
        <w:t>3.4</w:t>
      </w:r>
      <w:r>
        <w:rPr>
          <w:spacing w:val="-9"/>
        </w:rPr>
        <w:t xml:space="preserve"> </w:t>
      </w:r>
      <w:r>
        <w:t>obligation to examine the explanatory force — that is, the relationship — between subject imports and the</w:t>
      </w:r>
      <w:r>
        <w:rPr>
          <w:spacing w:val="-7"/>
        </w:rPr>
        <w:t xml:space="preserve"> </w:t>
      </w:r>
      <w:r>
        <w:t>state</w:t>
      </w:r>
      <w:r>
        <w:rPr>
          <w:spacing w:val="-7"/>
        </w:rPr>
        <w:t xml:space="preserve"> </w:t>
      </w:r>
      <w:r>
        <w:t>observed</w:t>
      </w:r>
      <w:r>
        <w:rPr>
          <w:spacing w:val="-9"/>
        </w:rPr>
        <w:t xml:space="preserve"> </w:t>
      </w:r>
      <w:r>
        <w:t>in</w:t>
      </w:r>
      <w:r>
        <w:rPr>
          <w:spacing w:val="-9"/>
        </w:rPr>
        <w:t xml:space="preserve"> </w:t>
      </w:r>
      <w:r>
        <w:t>the</w:t>
      </w:r>
      <w:r>
        <w:rPr>
          <w:spacing w:val="-7"/>
        </w:rPr>
        <w:t xml:space="preserve"> </w:t>
      </w:r>
      <w:r>
        <w:t>domestic</w:t>
      </w:r>
      <w:r>
        <w:rPr>
          <w:spacing w:val="-8"/>
        </w:rPr>
        <w:t xml:space="preserve"> </w:t>
      </w:r>
      <w:r>
        <w:t>industry,</w:t>
      </w:r>
      <w:r>
        <w:rPr>
          <w:spacing w:val="-5"/>
        </w:rPr>
        <w:t xml:space="preserve"> </w:t>
      </w:r>
      <w:r>
        <w:t>including</w:t>
      </w:r>
      <w:r>
        <w:rPr>
          <w:spacing w:val="-6"/>
        </w:rPr>
        <w:t xml:space="preserve"> </w:t>
      </w:r>
      <w:r>
        <w:t>through</w:t>
      </w:r>
      <w:r>
        <w:rPr>
          <w:spacing w:val="-9"/>
        </w:rPr>
        <w:t xml:space="preserve"> </w:t>
      </w:r>
      <w:r>
        <w:t>an</w:t>
      </w:r>
      <w:r>
        <w:rPr>
          <w:spacing w:val="-4"/>
        </w:rPr>
        <w:t xml:space="preserve"> </w:t>
      </w:r>
      <w:r>
        <w:t>evaluation</w:t>
      </w:r>
      <w:r>
        <w:rPr>
          <w:spacing w:val="-9"/>
        </w:rPr>
        <w:t xml:space="preserve"> </w:t>
      </w:r>
      <w:r>
        <w:t>of,</w:t>
      </w:r>
      <w:r>
        <w:rPr>
          <w:spacing w:val="-5"/>
        </w:rPr>
        <w:t xml:space="preserve"> </w:t>
      </w:r>
      <w:r>
        <w:rPr>
          <w:i/>
        </w:rPr>
        <w:t>inter</w:t>
      </w:r>
      <w:r>
        <w:rPr>
          <w:i/>
          <w:spacing w:val="-8"/>
        </w:rPr>
        <w:t xml:space="preserve"> </w:t>
      </w:r>
      <w:r>
        <w:rPr>
          <w:i/>
        </w:rPr>
        <w:t>alia</w:t>
      </w:r>
      <w:r>
        <w:t>,</w:t>
      </w:r>
      <w:r>
        <w:rPr>
          <w:spacing w:val="-5"/>
        </w:rPr>
        <w:t xml:space="preserve"> </w:t>
      </w:r>
      <w:r>
        <w:t>the "factors affecting domestic prices".</w:t>
      </w:r>
    </w:p>
    <w:p w14:paraId="33B5C0B5" w14:textId="77777777" w:rsidR="00BD462C" w:rsidRDefault="00BD462C">
      <w:pPr>
        <w:pStyle w:val="BodyText"/>
        <w:spacing w:before="10"/>
        <w:rPr>
          <w:sz w:val="8"/>
        </w:rPr>
      </w:pPr>
    </w:p>
    <w:p w14:paraId="5EAEA31D" w14:textId="3F2941C7" w:rsidR="00BD462C" w:rsidRDefault="00AF1D30">
      <w:pPr>
        <w:pStyle w:val="BodyText"/>
        <w:spacing w:before="56" w:line="360" w:lineRule="auto"/>
        <w:ind w:left="135" w:right="913"/>
        <w:jc w:val="both"/>
      </w:pPr>
      <w:r>
        <w:rPr>
          <w:noProof/>
        </w:rPr>
        <w:t>536.</w:t>
      </w:r>
      <w:r w:rsidR="00033D0F">
        <w:rPr>
          <w:rFonts w:ascii="Times New Roman" w:hAnsi="Times New Roman"/>
          <w:spacing w:val="80"/>
          <w:position w:val="1"/>
          <w:sz w:val="20"/>
        </w:rPr>
        <w:t xml:space="preserve">   </w:t>
      </w:r>
      <w:r w:rsidR="00033D0F">
        <w:rPr>
          <w:position w:val="1"/>
        </w:rPr>
        <w:t>Third,</w:t>
      </w:r>
      <w:r w:rsidR="00033D0F">
        <w:rPr>
          <w:spacing w:val="-1"/>
          <w:position w:val="1"/>
        </w:rPr>
        <w:t xml:space="preserve"> </w:t>
      </w:r>
      <w:r w:rsidR="00033D0F">
        <w:rPr>
          <w:position w:val="1"/>
        </w:rPr>
        <w:t>the panel reports upon</w:t>
      </w:r>
      <w:r w:rsidR="00033D0F">
        <w:rPr>
          <w:spacing w:val="-4"/>
          <w:position w:val="1"/>
        </w:rPr>
        <w:t xml:space="preserve"> </w:t>
      </w:r>
      <w:r w:rsidR="00033D0F">
        <w:rPr>
          <w:position w:val="1"/>
        </w:rPr>
        <w:t xml:space="preserve">which China relies, </w:t>
      </w:r>
      <w:r w:rsidR="00033D0F">
        <w:rPr>
          <w:i/>
          <w:position w:val="1"/>
        </w:rPr>
        <w:t>Egypt</w:t>
      </w:r>
      <w:r w:rsidR="00033D0F">
        <w:rPr>
          <w:i/>
          <w:spacing w:val="-1"/>
          <w:position w:val="1"/>
        </w:rPr>
        <w:t xml:space="preserve"> </w:t>
      </w:r>
      <w:r w:rsidR="00033D0F">
        <w:rPr>
          <w:i/>
          <w:position w:val="1"/>
        </w:rPr>
        <w:t>–</w:t>
      </w:r>
      <w:r w:rsidR="00033D0F">
        <w:rPr>
          <w:i/>
          <w:spacing w:val="-2"/>
          <w:position w:val="1"/>
        </w:rPr>
        <w:t xml:space="preserve"> </w:t>
      </w:r>
      <w:r w:rsidR="00033D0F">
        <w:rPr>
          <w:i/>
          <w:position w:val="1"/>
        </w:rPr>
        <w:t>Steel Re-Bar</w:t>
      </w:r>
      <w:r w:rsidR="00033D0F">
        <w:rPr>
          <w:i/>
          <w:spacing w:val="-4"/>
          <w:position w:val="1"/>
        </w:rPr>
        <w:t xml:space="preserve"> </w:t>
      </w:r>
      <w:r w:rsidR="00033D0F">
        <w:rPr>
          <w:position w:val="1"/>
        </w:rPr>
        <w:t xml:space="preserve">and </w:t>
      </w:r>
      <w:r w:rsidR="00033D0F">
        <w:rPr>
          <w:i/>
          <w:position w:val="1"/>
        </w:rPr>
        <w:t xml:space="preserve">EC – Tube </w:t>
      </w:r>
      <w:r w:rsidR="00033D0F">
        <w:rPr>
          <w:i/>
        </w:rPr>
        <w:t>or Pipe Fittings</w:t>
      </w:r>
      <w:r w:rsidR="00033D0F">
        <w:t>, do not support its arguments.</w:t>
      </w:r>
      <w:hyperlink w:anchor="_bookmark942" w:history="1">
        <w:r w:rsidR="00033D0F">
          <w:rPr>
            <w:vertAlign w:val="superscript"/>
          </w:rPr>
          <w:t>803</w:t>
        </w:r>
      </w:hyperlink>
      <w:r w:rsidR="00033D0F">
        <w:t xml:space="preserve"> Australia's argument is wholly consistent with</w:t>
      </w:r>
      <w:r w:rsidR="00033D0F">
        <w:rPr>
          <w:spacing w:val="-4"/>
        </w:rPr>
        <w:t xml:space="preserve"> </w:t>
      </w:r>
      <w:r w:rsidR="00033D0F">
        <w:t>the</w:t>
      </w:r>
      <w:r w:rsidR="00033D0F">
        <w:rPr>
          <w:spacing w:val="-3"/>
        </w:rPr>
        <w:t xml:space="preserve"> </w:t>
      </w:r>
      <w:r w:rsidR="00033D0F">
        <w:t>principle</w:t>
      </w:r>
      <w:r w:rsidR="00033D0F">
        <w:rPr>
          <w:spacing w:val="-2"/>
        </w:rPr>
        <w:t xml:space="preserve"> </w:t>
      </w:r>
      <w:r w:rsidR="00033D0F">
        <w:t>adopted</w:t>
      </w:r>
      <w:r w:rsidR="00033D0F">
        <w:rPr>
          <w:spacing w:val="-4"/>
        </w:rPr>
        <w:t xml:space="preserve"> </w:t>
      </w:r>
      <w:r w:rsidR="00033D0F">
        <w:t>by</w:t>
      </w:r>
      <w:r w:rsidR="00033D0F">
        <w:rPr>
          <w:spacing w:val="-1"/>
        </w:rPr>
        <w:t xml:space="preserve"> </w:t>
      </w:r>
      <w:r w:rsidR="00033D0F">
        <w:t>the panel in</w:t>
      </w:r>
      <w:r w:rsidR="00033D0F">
        <w:rPr>
          <w:spacing w:val="-4"/>
        </w:rPr>
        <w:t xml:space="preserve"> </w:t>
      </w:r>
      <w:r w:rsidR="00033D0F">
        <w:rPr>
          <w:i/>
        </w:rPr>
        <w:t>Egypt –</w:t>
      </w:r>
      <w:r w:rsidR="00033D0F">
        <w:rPr>
          <w:i/>
          <w:spacing w:val="-2"/>
        </w:rPr>
        <w:t xml:space="preserve"> </w:t>
      </w:r>
      <w:r w:rsidR="00033D0F">
        <w:rPr>
          <w:i/>
        </w:rPr>
        <w:t>Steel Rebar</w:t>
      </w:r>
      <w:r w:rsidR="00033D0F">
        <w:rPr>
          <w:i/>
          <w:spacing w:val="-4"/>
        </w:rPr>
        <w:t xml:space="preserve"> </w:t>
      </w:r>
      <w:r w:rsidR="00033D0F">
        <w:rPr>
          <w:i/>
        </w:rPr>
        <w:t>(Turkey)</w:t>
      </w:r>
      <w:r w:rsidR="00033D0F">
        <w:t>, that</w:t>
      </w:r>
      <w:r w:rsidR="00033D0F">
        <w:rPr>
          <w:spacing w:val="-2"/>
        </w:rPr>
        <w:t xml:space="preserve"> </w:t>
      </w:r>
      <w:r w:rsidR="00033D0F">
        <w:t>in</w:t>
      </w:r>
      <w:r w:rsidR="00033D0F">
        <w:rPr>
          <w:spacing w:val="-4"/>
        </w:rPr>
        <w:t xml:space="preserve"> </w:t>
      </w:r>
      <w:r w:rsidR="00033D0F">
        <w:t>conducting</w:t>
      </w:r>
      <w:r w:rsidR="00033D0F">
        <w:rPr>
          <w:spacing w:val="-1"/>
        </w:rPr>
        <w:t xml:space="preserve"> </w:t>
      </w:r>
      <w:r w:rsidR="00033D0F">
        <w:t>an "evaluation</w:t>
      </w:r>
      <w:r w:rsidR="00033D0F">
        <w:rPr>
          <w:spacing w:val="-1"/>
        </w:rPr>
        <w:t xml:space="preserve"> </w:t>
      </w:r>
      <w:r w:rsidR="00033D0F">
        <w:t>of the state of the industry, an</w:t>
      </w:r>
      <w:r w:rsidR="00033D0F">
        <w:rPr>
          <w:spacing w:val="-1"/>
        </w:rPr>
        <w:t xml:space="preserve"> </w:t>
      </w:r>
      <w:r w:rsidR="00033D0F">
        <w:t>investigating authority must in</w:t>
      </w:r>
      <w:r w:rsidR="00033D0F">
        <w:rPr>
          <w:spacing w:val="-1"/>
        </w:rPr>
        <w:t xml:space="preserve"> </w:t>
      </w:r>
      <w:r w:rsidR="00033D0F">
        <w:t>every case</w:t>
      </w:r>
      <w:r w:rsidR="00033D0F">
        <w:rPr>
          <w:spacing w:val="-3"/>
        </w:rPr>
        <w:t xml:space="preserve"> </w:t>
      </w:r>
      <w:r w:rsidR="00033D0F">
        <w:t xml:space="preserve">include a price analysis of the type required by Articles 3.1 and 3.2 […] In addition, in our view, an investigating authority must consider generally the question of 'factors affecting domestic </w:t>
      </w:r>
      <w:r w:rsidR="00033D0F">
        <w:rPr>
          <w:spacing w:val="-2"/>
        </w:rPr>
        <w:t>prices'".</w:t>
      </w:r>
      <w:hyperlink w:anchor="_bookmark943" w:history="1">
        <w:r w:rsidR="00033D0F">
          <w:rPr>
            <w:spacing w:val="-2"/>
            <w:vertAlign w:val="superscript"/>
          </w:rPr>
          <w:t>804</w:t>
        </w:r>
      </w:hyperlink>
    </w:p>
    <w:p w14:paraId="6CB474B0" w14:textId="77777777" w:rsidR="00BD462C" w:rsidRDefault="00BD462C">
      <w:pPr>
        <w:pStyle w:val="BodyText"/>
        <w:spacing w:before="5"/>
        <w:rPr>
          <w:sz w:val="8"/>
        </w:rPr>
      </w:pPr>
    </w:p>
    <w:p w14:paraId="61ED6604" w14:textId="56204C7E" w:rsidR="00BD462C" w:rsidRDefault="00AF1D30">
      <w:pPr>
        <w:pStyle w:val="BodyText"/>
        <w:spacing w:before="56" w:line="360" w:lineRule="auto"/>
        <w:ind w:left="135" w:right="916"/>
        <w:jc w:val="both"/>
      </w:pPr>
      <w:r>
        <w:rPr>
          <w:noProof/>
        </w:rPr>
        <w:t>537.</w:t>
      </w:r>
      <w:r w:rsidR="00033D0F">
        <w:rPr>
          <w:rFonts w:ascii="Times New Roman" w:hAnsi="Times New Roman"/>
          <w:spacing w:val="80"/>
          <w:position w:val="1"/>
          <w:sz w:val="20"/>
        </w:rPr>
        <w:t xml:space="preserve">  </w:t>
      </w:r>
      <w:r w:rsidR="00033D0F">
        <w:rPr>
          <w:position w:val="1"/>
        </w:rPr>
        <w:t>Further,</w:t>
      </w:r>
      <w:r w:rsidR="00033D0F">
        <w:rPr>
          <w:spacing w:val="-6"/>
          <w:position w:val="1"/>
        </w:rPr>
        <w:t xml:space="preserve"> </w:t>
      </w:r>
      <w:r w:rsidR="00033D0F">
        <w:rPr>
          <w:position w:val="1"/>
        </w:rPr>
        <w:t>China's</w:t>
      </w:r>
      <w:r w:rsidR="00033D0F">
        <w:rPr>
          <w:spacing w:val="-7"/>
          <w:position w:val="1"/>
        </w:rPr>
        <w:t xml:space="preserve"> </w:t>
      </w:r>
      <w:r w:rsidR="00033D0F">
        <w:rPr>
          <w:position w:val="1"/>
        </w:rPr>
        <w:t>reliance</w:t>
      </w:r>
      <w:r w:rsidR="00033D0F">
        <w:rPr>
          <w:spacing w:val="-8"/>
          <w:position w:val="1"/>
        </w:rPr>
        <w:t xml:space="preserve"> </w:t>
      </w:r>
      <w:r w:rsidR="00033D0F">
        <w:rPr>
          <w:position w:val="1"/>
        </w:rPr>
        <w:t>on</w:t>
      </w:r>
      <w:r w:rsidR="00033D0F">
        <w:rPr>
          <w:spacing w:val="-10"/>
          <w:position w:val="1"/>
        </w:rPr>
        <w:t xml:space="preserve"> </w:t>
      </w:r>
      <w:r w:rsidR="00033D0F">
        <w:rPr>
          <w:i/>
          <w:position w:val="1"/>
        </w:rPr>
        <w:t>EC</w:t>
      </w:r>
      <w:r w:rsidR="00033D0F">
        <w:rPr>
          <w:i/>
          <w:spacing w:val="-9"/>
          <w:position w:val="1"/>
        </w:rPr>
        <w:t xml:space="preserve"> </w:t>
      </w:r>
      <w:r w:rsidR="00033D0F">
        <w:rPr>
          <w:i/>
          <w:position w:val="1"/>
        </w:rPr>
        <w:t>–</w:t>
      </w:r>
      <w:r w:rsidR="00033D0F">
        <w:rPr>
          <w:i/>
          <w:spacing w:val="-8"/>
          <w:position w:val="1"/>
        </w:rPr>
        <w:t xml:space="preserve"> </w:t>
      </w:r>
      <w:r w:rsidR="00033D0F">
        <w:rPr>
          <w:i/>
          <w:position w:val="1"/>
        </w:rPr>
        <w:t>Tube</w:t>
      </w:r>
      <w:r w:rsidR="00033D0F">
        <w:rPr>
          <w:i/>
          <w:spacing w:val="-8"/>
          <w:position w:val="1"/>
        </w:rPr>
        <w:t xml:space="preserve"> </w:t>
      </w:r>
      <w:r w:rsidR="00033D0F">
        <w:rPr>
          <w:i/>
          <w:position w:val="1"/>
        </w:rPr>
        <w:t>and</w:t>
      </w:r>
      <w:r w:rsidR="00033D0F">
        <w:rPr>
          <w:i/>
          <w:spacing w:val="-12"/>
          <w:position w:val="1"/>
        </w:rPr>
        <w:t xml:space="preserve"> </w:t>
      </w:r>
      <w:r w:rsidR="00033D0F">
        <w:rPr>
          <w:i/>
          <w:position w:val="1"/>
        </w:rPr>
        <w:t>Pipe</w:t>
      </w:r>
      <w:r w:rsidR="00033D0F">
        <w:rPr>
          <w:i/>
          <w:spacing w:val="-8"/>
          <w:position w:val="1"/>
        </w:rPr>
        <w:t xml:space="preserve"> </w:t>
      </w:r>
      <w:r w:rsidR="00033D0F">
        <w:rPr>
          <w:i/>
          <w:position w:val="1"/>
        </w:rPr>
        <w:t>Fittings</w:t>
      </w:r>
      <w:r w:rsidR="00033D0F">
        <w:rPr>
          <w:i/>
          <w:spacing w:val="-11"/>
          <w:position w:val="1"/>
        </w:rPr>
        <w:t xml:space="preserve"> </w:t>
      </w:r>
      <w:r w:rsidR="00033D0F">
        <w:rPr>
          <w:position w:val="1"/>
        </w:rPr>
        <w:t>is</w:t>
      </w:r>
      <w:r w:rsidR="00033D0F">
        <w:rPr>
          <w:spacing w:val="-7"/>
          <w:position w:val="1"/>
        </w:rPr>
        <w:t xml:space="preserve"> </w:t>
      </w:r>
      <w:r w:rsidR="00033D0F">
        <w:rPr>
          <w:position w:val="1"/>
        </w:rPr>
        <w:t>of</w:t>
      </w:r>
      <w:r w:rsidR="00033D0F">
        <w:rPr>
          <w:spacing w:val="-10"/>
          <w:position w:val="1"/>
        </w:rPr>
        <w:t xml:space="preserve"> </w:t>
      </w:r>
      <w:r w:rsidR="00033D0F">
        <w:rPr>
          <w:position w:val="1"/>
        </w:rPr>
        <w:t>little</w:t>
      </w:r>
      <w:r w:rsidR="00033D0F">
        <w:rPr>
          <w:spacing w:val="-8"/>
          <w:position w:val="1"/>
        </w:rPr>
        <w:t xml:space="preserve"> </w:t>
      </w:r>
      <w:r w:rsidR="00033D0F">
        <w:rPr>
          <w:position w:val="1"/>
        </w:rPr>
        <w:t>relevance</w:t>
      </w:r>
      <w:r w:rsidR="00033D0F">
        <w:rPr>
          <w:spacing w:val="-8"/>
          <w:position w:val="1"/>
        </w:rPr>
        <w:t xml:space="preserve"> </w:t>
      </w:r>
      <w:r w:rsidR="00033D0F">
        <w:rPr>
          <w:position w:val="1"/>
        </w:rPr>
        <w:t>and</w:t>
      </w:r>
      <w:r w:rsidR="00033D0F">
        <w:rPr>
          <w:spacing w:val="-9"/>
          <w:position w:val="1"/>
        </w:rPr>
        <w:t xml:space="preserve"> </w:t>
      </w:r>
      <w:r w:rsidR="00033D0F">
        <w:rPr>
          <w:position w:val="1"/>
        </w:rPr>
        <w:t>is</w:t>
      </w:r>
      <w:r w:rsidR="00033D0F">
        <w:rPr>
          <w:spacing w:val="-7"/>
          <w:position w:val="1"/>
        </w:rPr>
        <w:t xml:space="preserve"> </w:t>
      </w:r>
      <w:r w:rsidR="00033D0F">
        <w:rPr>
          <w:position w:val="1"/>
        </w:rPr>
        <w:t xml:space="preserve">not </w:t>
      </w:r>
      <w:r w:rsidR="00033D0F">
        <w:t>determinative of Australia's argument in this proceeding. The argument advanced and rejected</w:t>
      </w:r>
      <w:r w:rsidR="00033D0F">
        <w:rPr>
          <w:spacing w:val="-14"/>
        </w:rPr>
        <w:t xml:space="preserve"> </w:t>
      </w:r>
      <w:r w:rsidR="00033D0F">
        <w:t>by</w:t>
      </w:r>
      <w:r w:rsidR="00033D0F">
        <w:rPr>
          <w:spacing w:val="-11"/>
        </w:rPr>
        <w:t xml:space="preserve"> </w:t>
      </w:r>
      <w:r w:rsidR="00033D0F">
        <w:t>the</w:t>
      </w:r>
      <w:r w:rsidR="00033D0F">
        <w:rPr>
          <w:spacing w:val="-7"/>
        </w:rPr>
        <w:t xml:space="preserve"> </w:t>
      </w:r>
      <w:r w:rsidR="00033D0F">
        <w:t>panel</w:t>
      </w:r>
      <w:r w:rsidR="00033D0F">
        <w:rPr>
          <w:spacing w:val="-10"/>
        </w:rPr>
        <w:t xml:space="preserve"> </w:t>
      </w:r>
      <w:r w:rsidR="00033D0F">
        <w:t>in</w:t>
      </w:r>
      <w:r w:rsidR="00033D0F">
        <w:rPr>
          <w:spacing w:val="-14"/>
        </w:rPr>
        <w:t xml:space="preserve"> </w:t>
      </w:r>
      <w:r w:rsidR="00033D0F">
        <w:rPr>
          <w:i/>
        </w:rPr>
        <w:t>EC</w:t>
      </w:r>
      <w:r w:rsidR="00033D0F">
        <w:rPr>
          <w:i/>
          <w:spacing w:val="-12"/>
        </w:rPr>
        <w:t xml:space="preserve"> </w:t>
      </w:r>
      <w:r w:rsidR="00033D0F">
        <w:rPr>
          <w:i/>
        </w:rPr>
        <w:t>–</w:t>
      </w:r>
      <w:r w:rsidR="00033D0F">
        <w:rPr>
          <w:i/>
          <w:spacing w:val="-7"/>
        </w:rPr>
        <w:t xml:space="preserve"> </w:t>
      </w:r>
      <w:r w:rsidR="00033D0F">
        <w:rPr>
          <w:i/>
        </w:rPr>
        <w:t>Tube</w:t>
      </w:r>
      <w:r w:rsidR="00033D0F">
        <w:rPr>
          <w:i/>
          <w:spacing w:val="-12"/>
        </w:rPr>
        <w:t xml:space="preserve"> </w:t>
      </w:r>
      <w:r w:rsidR="00033D0F">
        <w:rPr>
          <w:i/>
        </w:rPr>
        <w:t>and</w:t>
      </w:r>
      <w:r w:rsidR="00033D0F">
        <w:rPr>
          <w:i/>
          <w:spacing w:val="-11"/>
        </w:rPr>
        <w:t xml:space="preserve"> </w:t>
      </w:r>
      <w:r w:rsidR="00033D0F">
        <w:rPr>
          <w:i/>
        </w:rPr>
        <w:t>Pipe</w:t>
      </w:r>
      <w:r w:rsidR="00033D0F">
        <w:rPr>
          <w:i/>
          <w:spacing w:val="-12"/>
        </w:rPr>
        <w:t xml:space="preserve"> </w:t>
      </w:r>
      <w:r w:rsidR="00033D0F">
        <w:rPr>
          <w:i/>
        </w:rPr>
        <w:t>Fittings</w:t>
      </w:r>
      <w:r w:rsidR="00033D0F">
        <w:rPr>
          <w:i/>
          <w:spacing w:val="-14"/>
        </w:rPr>
        <w:t xml:space="preserve"> </w:t>
      </w:r>
      <w:r w:rsidR="00033D0F">
        <w:t>was</w:t>
      </w:r>
      <w:r w:rsidR="00033D0F">
        <w:rPr>
          <w:spacing w:val="-10"/>
        </w:rPr>
        <w:t xml:space="preserve"> </w:t>
      </w:r>
      <w:r w:rsidR="00033D0F">
        <w:t>that</w:t>
      </w:r>
      <w:r w:rsidR="00033D0F">
        <w:rPr>
          <w:spacing w:val="-11"/>
        </w:rPr>
        <w:t xml:space="preserve"> </w:t>
      </w:r>
      <w:r w:rsidR="00033D0F">
        <w:t>all</w:t>
      </w:r>
      <w:r w:rsidR="00033D0F">
        <w:rPr>
          <w:spacing w:val="-10"/>
        </w:rPr>
        <w:t xml:space="preserve"> </w:t>
      </w:r>
      <w:r w:rsidR="00033D0F">
        <w:t>factors</w:t>
      </w:r>
      <w:r w:rsidR="00033D0F">
        <w:rPr>
          <w:spacing w:val="-10"/>
        </w:rPr>
        <w:t xml:space="preserve"> </w:t>
      </w:r>
      <w:r w:rsidR="00033D0F">
        <w:t>affecting</w:t>
      </w:r>
      <w:r w:rsidR="00033D0F">
        <w:rPr>
          <w:spacing w:val="-10"/>
        </w:rPr>
        <w:t xml:space="preserve"> </w:t>
      </w:r>
      <w:r w:rsidR="00033D0F">
        <w:t>prices</w:t>
      </w:r>
      <w:r w:rsidR="00033D0F">
        <w:rPr>
          <w:spacing w:val="-10"/>
        </w:rPr>
        <w:t xml:space="preserve"> </w:t>
      </w:r>
      <w:r w:rsidR="00033D0F">
        <w:t>needed to</w:t>
      </w:r>
      <w:r w:rsidR="00033D0F">
        <w:rPr>
          <w:spacing w:val="-14"/>
        </w:rPr>
        <w:t xml:space="preserve"> </w:t>
      </w:r>
      <w:r w:rsidR="00033D0F">
        <w:t>be</w:t>
      </w:r>
      <w:r w:rsidR="00033D0F">
        <w:rPr>
          <w:spacing w:val="-11"/>
        </w:rPr>
        <w:t xml:space="preserve"> </w:t>
      </w:r>
      <w:r w:rsidR="00033D0F">
        <w:t>considered.</w:t>
      </w:r>
      <w:hyperlink w:anchor="_bookmark944" w:history="1">
        <w:r w:rsidR="00033D0F">
          <w:rPr>
            <w:vertAlign w:val="superscript"/>
          </w:rPr>
          <w:t>805</w:t>
        </w:r>
      </w:hyperlink>
      <w:r w:rsidR="00033D0F">
        <w:rPr>
          <w:spacing w:val="-11"/>
        </w:rPr>
        <w:t xml:space="preserve"> </w:t>
      </w:r>
      <w:r w:rsidR="00033D0F">
        <w:t>This</w:t>
      </w:r>
      <w:r w:rsidR="00033D0F">
        <w:rPr>
          <w:spacing w:val="-10"/>
        </w:rPr>
        <w:t xml:space="preserve"> </w:t>
      </w:r>
      <w:r w:rsidR="00033D0F">
        <w:t>is</w:t>
      </w:r>
      <w:r w:rsidR="00033D0F">
        <w:rPr>
          <w:spacing w:val="-10"/>
        </w:rPr>
        <w:t xml:space="preserve"> </w:t>
      </w:r>
      <w:r w:rsidR="00033D0F">
        <w:t>fundamentally</w:t>
      </w:r>
      <w:r w:rsidR="00033D0F">
        <w:rPr>
          <w:spacing w:val="-11"/>
        </w:rPr>
        <w:t xml:space="preserve"> </w:t>
      </w:r>
      <w:r w:rsidR="00033D0F">
        <w:t>different</w:t>
      </w:r>
      <w:r w:rsidR="00033D0F">
        <w:rPr>
          <w:spacing w:val="-11"/>
        </w:rPr>
        <w:t xml:space="preserve"> </w:t>
      </w:r>
      <w:r w:rsidR="00033D0F">
        <w:t>to</w:t>
      </w:r>
      <w:r w:rsidR="00033D0F">
        <w:rPr>
          <w:spacing w:val="-14"/>
        </w:rPr>
        <w:t xml:space="preserve"> </w:t>
      </w:r>
      <w:r w:rsidR="00033D0F">
        <w:t>Australia's</w:t>
      </w:r>
      <w:r w:rsidR="00033D0F">
        <w:rPr>
          <w:spacing w:val="-9"/>
        </w:rPr>
        <w:t xml:space="preserve"> </w:t>
      </w:r>
      <w:r w:rsidR="00033D0F">
        <w:t>argument</w:t>
      </w:r>
      <w:r w:rsidR="00033D0F">
        <w:rPr>
          <w:spacing w:val="-11"/>
        </w:rPr>
        <w:t xml:space="preserve"> </w:t>
      </w:r>
      <w:r w:rsidR="00033D0F">
        <w:t>in</w:t>
      </w:r>
      <w:r w:rsidR="00033D0F">
        <w:rPr>
          <w:spacing w:val="-14"/>
        </w:rPr>
        <w:t xml:space="preserve"> </w:t>
      </w:r>
      <w:r w:rsidR="00033D0F">
        <w:t>this</w:t>
      </w:r>
      <w:r w:rsidR="00033D0F">
        <w:rPr>
          <w:spacing w:val="-9"/>
        </w:rPr>
        <w:t xml:space="preserve"> </w:t>
      </w:r>
      <w:r w:rsidR="00033D0F">
        <w:t>proceeding.</w:t>
      </w:r>
    </w:p>
    <w:p w14:paraId="6B6F9ED0" w14:textId="066139CE" w:rsidR="00BD462C" w:rsidRDefault="00752F01">
      <w:pPr>
        <w:pStyle w:val="BodyText"/>
        <w:spacing w:before="9"/>
        <w:rPr>
          <w:sz w:val="27"/>
        </w:rPr>
      </w:pPr>
      <w:r>
        <w:rPr>
          <w:noProof/>
        </w:rPr>
        <mc:AlternateContent>
          <mc:Choice Requires="wps">
            <w:drawing>
              <wp:anchor distT="0" distB="0" distL="0" distR="0" simplePos="0" relativeHeight="488284672" behindDoc="1" locked="0" layoutInCell="1" allowOverlap="1" wp14:anchorId="5AF3564C" wp14:editId="44427FDF">
                <wp:simplePos x="0" y="0"/>
                <wp:positionH relativeFrom="page">
                  <wp:posOffset>812800</wp:posOffset>
                </wp:positionH>
                <wp:positionV relativeFrom="paragraph">
                  <wp:posOffset>215900</wp:posOffset>
                </wp:positionV>
                <wp:extent cx="1828800" cy="8890"/>
                <wp:effectExtent l="0" t="0" r="0" b="0"/>
                <wp:wrapTopAndBottom/>
                <wp:docPr id="263" name="docshape4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7EB286" id="docshape414" o:spid="_x0000_s1026" alt="&quot;&quot;" style="position:absolute;margin-left:64pt;margin-top:17pt;width:2in;height:.7pt;z-index:-15031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" fillcolor="black" stroked="f">
                <w10:wrap type="topAndBottom" anchorx="page"/>
              </v:rect>
            </w:pict>
          </mc:Fallback>
        </mc:AlternateContent>
      </w:r>
    </w:p>
    <w:p w14:paraId="342C78F7" w14:textId="77777777" w:rsidR="00BD462C" w:rsidRDefault="00033D0F">
      <w:pPr>
        <w:spacing w:before="112"/>
        <w:ind w:left="135"/>
        <w:jc w:val="both"/>
        <w:rPr>
          <w:sz w:val="18"/>
        </w:rPr>
      </w:pPr>
      <w:bookmarkStart w:id="1090" w:name="_bookmark940"/>
      <w:bookmarkEnd w:id="1090"/>
      <w:r>
        <w:rPr>
          <w:position w:val="5"/>
          <w:sz w:val="12"/>
        </w:rPr>
        <w:t>801</w:t>
      </w:r>
      <w:r>
        <w:rPr>
          <w:spacing w:val="13"/>
          <w:position w:val="5"/>
          <w:sz w:val="12"/>
        </w:rPr>
        <w:t xml:space="preserve"> </w:t>
      </w:r>
      <w:r>
        <w:rPr>
          <w:sz w:val="18"/>
        </w:rPr>
        <w:t>Appellate</w:t>
      </w:r>
      <w:r>
        <w:rPr>
          <w:spacing w:val="-9"/>
          <w:sz w:val="18"/>
        </w:rPr>
        <w:t xml:space="preserve"> </w:t>
      </w:r>
      <w:r>
        <w:rPr>
          <w:sz w:val="18"/>
        </w:rPr>
        <w:t>Body</w:t>
      </w:r>
      <w:r>
        <w:rPr>
          <w:spacing w:val="-6"/>
          <w:sz w:val="18"/>
        </w:rPr>
        <w:t xml:space="preserve"> </w:t>
      </w:r>
      <w:r>
        <w:rPr>
          <w:sz w:val="18"/>
        </w:rPr>
        <w:t>Report,</w:t>
      </w:r>
      <w:r>
        <w:rPr>
          <w:spacing w:val="-3"/>
          <w:sz w:val="18"/>
        </w:rPr>
        <w:t xml:space="preserve"> </w:t>
      </w:r>
      <w:r>
        <w:rPr>
          <w:i/>
          <w:sz w:val="18"/>
        </w:rPr>
        <w:t>US</w:t>
      </w:r>
      <w:r>
        <w:rPr>
          <w:i/>
          <w:spacing w:val="-2"/>
          <w:sz w:val="18"/>
        </w:rPr>
        <w:t xml:space="preserve"> </w:t>
      </w:r>
      <w:r>
        <w:rPr>
          <w:i/>
          <w:sz w:val="18"/>
        </w:rPr>
        <w:t>–</w:t>
      </w:r>
      <w:r>
        <w:rPr>
          <w:i/>
          <w:spacing w:val="-9"/>
          <w:sz w:val="18"/>
        </w:rPr>
        <w:t xml:space="preserve"> </w:t>
      </w:r>
      <w:r>
        <w:rPr>
          <w:i/>
          <w:sz w:val="18"/>
        </w:rPr>
        <w:t>Hot-Rolled</w:t>
      </w:r>
      <w:r>
        <w:rPr>
          <w:i/>
          <w:spacing w:val="-3"/>
          <w:sz w:val="18"/>
        </w:rPr>
        <w:t xml:space="preserve"> </w:t>
      </w:r>
      <w:r>
        <w:rPr>
          <w:i/>
          <w:sz w:val="18"/>
        </w:rPr>
        <w:t>Steel</w:t>
      </w:r>
      <w:r>
        <w:rPr>
          <w:sz w:val="18"/>
        </w:rPr>
        <w:t>,</w:t>
      </w:r>
      <w:r>
        <w:rPr>
          <w:spacing w:val="2"/>
          <w:sz w:val="18"/>
        </w:rPr>
        <w:t xml:space="preserve"> </w:t>
      </w:r>
      <w:r>
        <w:rPr>
          <w:sz w:val="18"/>
        </w:rPr>
        <w:t>para.</w:t>
      </w:r>
      <w:r>
        <w:rPr>
          <w:spacing w:val="-4"/>
          <w:sz w:val="18"/>
        </w:rPr>
        <w:t xml:space="preserve"> </w:t>
      </w:r>
      <w:r>
        <w:rPr>
          <w:sz w:val="18"/>
        </w:rPr>
        <w:t>196;</w:t>
      </w:r>
      <w:r>
        <w:rPr>
          <w:spacing w:val="-6"/>
          <w:sz w:val="18"/>
        </w:rPr>
        <w:t xml:space="preserve"> </w:t>
      </w:r>
      <w:r>
        <w:rPr>
          <w:sz w:val="18"/>
        </w:rPr>
        <w:t>Panel</w:t>
      </w:r>
      <w:r>
        <w:rPr>
          <w:spacing w:val="-4"/>
          <w:sz w:val="18"/>
        </w:rPr>
        <w:t xml:space="preserve"> </w:t>
      </w:r>
      <w:r>
        <w:rPr>
          <w:sz w:val="18"/>
        </w:rPr>
        <w:t>Report,</w:t>
      </w:r>
      <w:r>
        <w:rPr>
          <w:spacing w:val="-8"/>
          <w:sz w:val="18"/>
        </w:rPr>
        <w:t xml:space="preserve"> </w:t>
      </w:r>
      <w:r>
        <w:rPr>
          <w:i/>
          <w:sz w:val="18"/>
        </w:rPr>
        <w:t>Morocco</w:t>
      </w:r>
      <w:r>
        <w:rPr>
          <w:i/>
          <w:spacing w:val="-2"/>
          <w:sz w:val="18"/>
        </w:rPr>
        <w:t xml:space="preserve"> </w:t>
      </w:r>
      <w:r>
        <w:rPr>
          <w:i/>
          <w:sz w:val="18"/>
        </w:rPr>
        <w:t>–</w:t>
      </w:r>
      <w:r>
        <w:rPr>
          <w:i/>
          <w:spacing w:val="-5"/>
          <w:sz w:val="18"/>
        </w:rPr>
        <w:t xml:space="preserve"> </w:t>
      </w:r>
      <w:r>
        <w:rPr>
          <w:i/>
          <w:sz w:val="18"/>
        </w:rPr>
        <w:t>Hot-Rolled</w:t>
      </w:r>
      <w:r>
        <w:rPr>
          <w:i/>
          <w:spacing w:val="1"/>
          <w:sz w:val="18"/>
        </w:rPr>
        <w:t xml:space="preserve"> </w:t>
      </w:r>
      <w:r>
        <w:rPr>
          <w:i/>
          <w:sz w:val="18"/>
        </w:rPr>
        <w:t>Steel</w:t>
      </w:r>
      <w:r>
        <w:rPr>
          <w:i/>
          <w:spacing w:val="-4"/>
          <w:sz w:val="18"/>
        </w:rPr>
        <w:t xml:space="preserve"> </w:t>
      </w:r>
      <w:r>
        <w:rPr>
          <w:i/>
          <w:sz w:val="18"/>
        </w:rPr>
        <w:t>(Turkey)</w:t>
      </w:r>
      <w:r>
        <w:rPr>
          <w:b/>
          <w:sz w:val="18"/>
        </w:rPr>
        <w:t>,</w:t>
      </w:r>
      <w:r>
        <w:rPr>
          <w:b/>
          <w:spacing w:val="-4"/>
          <w:sz w:val="18"/>
        </w:rPr>
        <w:t xml:space="preserve"> </w:t>
      </w:r>
      <w:r>
        <w:rPr>
          <w:sz w:val="18"/>
        </w:rPr>
        <w:t xml:space="preserve">para. </w:t>
      </w:r>
      <w:r>
        <w:rPr>
          <w:spacing w:val="-2"/>
          <w:sz w:val="18"/>
        </w:rPr>
        <w:t>7.272.</w:t>
      </w:r>
    </w:p>
    <w:p w14:paraId="292968AF" w14:textId="77777777" w:rsidR="00BD462C" w:rsidRDefault="00033D0F">
      <w:pPr>
        <w:spacing w:before="1"/>
        <w:ind w:left="135"/>
        <w:jc w:val="both"/>
        <w:rPr>
          <w:sz w:val="18"/>
        </w:rPr>
      </w:pPr>
      <w:bookmarkStart w:id="1091" w:name="_bookmark941"/>
      <w:bookmarkEnd w:id="1091"/>
      <w:r>
        <w:rPr>
          <w:position w:val="5"/>
          <w:sz w:val="12"/>
        </w:rPr>
        <w:t>802</w:t>
      </w:r>
      <w:r>
        <w:rPr>
          <w:spacing w:val="6"/>
          <w:position w:val="5"/>
          <w:sz w:val="12"/>
        </w:rPr>
        <w:t xml:space="preserve"> </w:t>
      </w:r>
      <w:r>
        <w:rPr>
          <w:sz w:val="18"/>
        </w:rPr>
        <w:t>See</w:t>
      </w:r>
      <w:r>
        <w:rPr>
          <w:spacing w:val="-9"/>
          <w:sz w:val="18"/>
        </w:rPr>
        <w:t xml:space="preserve"> </w:t>
      </w:r>
      <w:r>
        <w:rPr>
          <w:sz w:val="18"/>
        </w:rPr>
        <w:t>Australia's</w:t>
      </w:r>
      <w:r>
        <w:rPr>
          <w:spacing w:val="-5"/>
          <w:sz w:val="18"/>
        </w:rPr>
        <w:t xml:space="preserve"> </w:t>
      </w:r>
      <w:r>
        <w:rPr>
          <w:sz w:val="18"/>
        </w:rPr>
        <w:t>responses</w:t>
      </w:r>
      <w:r>
        <w:rPr>
          <w:spacing w:val="-9"/>
          <w:sz w:val="18"/>
        </w:rPr>
        <w:t xml:space="preserve"> </w:t>
      </w:r>
      <w:r>
        <w:rPr>
          <w:sz w:val="18"/>
        </w:rPr>
        <w:t>to</w:t>
      </w:r>
      <w:r>
        <w:rPr>
          <w:spacing w:val="-11"/>
          <w:sz w:val="18"/>
        </w:rPr>
        <w:t xml:space="preserve"> </w:t>
      </w:r>
      <w:r>
        <w:rPr>
          <w:sz w:val="18"/>
        </w:rPr>
        <w:t>Panel</w:t>
      </w:r>
      <w:r>
        <w:rPr>
          <w:spacing w:val="-3"/>
          <w:sz w:val="18"/>
        </w:rPr>
        <w:t xml:space="preserve"> </w:t>
      </w:r>
      <w:r>
        <w:rPr>
          <w:sz w:val="18"/>
        </w:rPr>
        <w:t>questions</w:t>
      </w:r>
      <w:r>
        <w:rPr>
          <w:spacing w:val="-5"/>
          <w:sz w:val="18"/>
        </w:rPr>
        <w:t xml:space="preserve"> </w:t>
      </w:r>
      <w:r>
        <w:rPr>
          <w:sz w:val="18"/>
        </w:rPr>
        <w:t>36</w:t>
      </w:r>
      <w:r>
        <w:rPr>
          <w:spacing w:val="-10"/>
          <w:sz w:val="18"/>
        </w:rPr>
        <w:t xml:space="preserve"> </w:t>
      </w:r>
      <w:r>
        <w:rPr>
          <w:sz w:val="18"/>
        </w:rPr>
        <w:t>(paras.</w:t>
      </w:r>
      <w:r>
        <w:rPr>
          <w:spacing w:val="-4"/>
          <w:sz w:val="18"/>
        </w:rPr>
        <w:t xml:space="preserve"> </w:t>
      </w:r>
      <w:r>
        <w:rPr>
          <w:sz w:val="18"/>
        </w:rPr>
        <w:t>87-90),</w:t>
      </w:r>
      <w:r>
        <w:rPr>
          <w:spacing w:val="-3"/>
          <w:sz w:val="18"/>
        </w:rPr>
        <w:t xml:space="preserve"> </w:t>
      </w:r>
      <w:r>
        <w:rPr>
          <w:sz w:val="18"/>
        </w:rPr>
        <w:t>41</w:t>
      </w:r>
      <w:r>
        <w:rPr>
          <w:spacing w:val="-10"/>
          <w:sz w:val="18"/>
        </w:rPr>
        <w:t xml:space="preserve"> </w:t>
      </w:r>
      <w:r>
        <w:rPr>
          <w:sz w:val="18"/>
        </w:rPr>
        <w:t>(paras.</w:t>
      </w:r>
      <w:r>
        <w:rPr>
          <w:spacing w:val="-9"/>
          <w:sz w:val="18"/>
        </w:rPr>
        <w:t xml:space="preserve"> </w:t>
      </w:r>
      <w:r>
        <w:rPr>
          <w:sz w:val="18"/>
        </w:rPr>
        <w:t>107-110).</w:t>
      </w:r>
      <w:r>
        <w:rPr>
          <w:spacing w:val="-8"/>
          <w:sz w:val="18"/>
        </w:rPr>
        <w:t xml:space="preserve"> </w:t>
      </w:r>
      <w:r>
        <w:rPr>
          <w:sz w:val="18"/>
        </w:rPr>
        <w:t>Australia's</w:t>
      </w:r>
      <w:r>
        <w:rPr>
          <w:spacing w:val="-10"/>
          <w:sz w:val="18"/>
        </w:rPr>
        <w:t xml:space="preserve"> </w:t>
      </w:r>
      <w:r>
        <w:rPr>
          <w:sz w:val="18"/>
        </w:rPr>
        <w:t>position</w:t>
      </w:r>
      <w:r>
        <w:rPr>
          <w:spacing w:val="-9"/>
          <w:sz w:val="18"/>
        </w:rPr>
        <w:t xml:space="preserve"> </w:t>
      </w:r>
      <w:r>
        <w:rPr>
          <w:sz w:val="18"/>
        </w:rPr>
        <w:t>is</w:t>
      </w:r>
      <w:r>
        <w:rPr>
          <w:spacing w:val="-10"/>
          <w:sz w:val="18"/>
        </w:rPr>
        <w:t xml:space="preserve"> </w:t>
      </w:r>
      <w:r>
        <w:rPr>
          <w:sz w:val="18"/>
        </w:rPr>
        <w:t>that,</w:t>
      </w:r>
      <w:r>
        <w:rPr>
          <w:spacing w:val="-7"/>
          <w:sz w:val="18"/>
        </w:rPr>
        <w:t xml:space="preserve"> </w:t>
      </w:r>
      <w:r>
        <w:rPr>
          <w:sz w:val="18"/>
        </w:rPr>
        <w:t>in</w:t>
      </w:r>
      <w:r>
        <w:rPr>
          <w:spacing w:val="-10"/>
          <w:sz w:val="18"/>
        </w:rPr>
        <w:t xml:space="preserve"> </w:t>
      </w:r>
      <w:r>
        <w:rPr>
          <w:sz w:val="18"/>
        </w:rPr>
        <w:t>this</w:t>
      </w:r>
      <w:r>
        <w:rPr>
          <w:spacing w:val="-9"/>
          <w:sz w:val="18"/>
        </w:rPr>
        <w:t xml:space="preserve"> </w:t>
      </w:r>
      <w:r>
        <w:rPr>
          <w:spacing w:val="-2"/>
          <w:sz w:val="18"/>
        </w:rPr>
        <w:t>case:</w:t>
      </w:r>
    </w:p>
    <w:p w14:paraId="34A1C9F5" w14:textId="77777777" w:rsidR="00BD462C" w:rsidRDefault="00033D0F">
      <w:pPr>
        <w:pStyle w:val="ListParagraph"/>
        <w:numPr>
          <w:ilvl w:val="0"/>
          <w:numId w:val="47"/>
        </w:numPr>
        <w:tabs>
          <w:tab w:val="left" w:pos="348"/>
        </w:tabs>
        <w:spacing w:before="1"/>
        <w:ind w:right="908" w:firstLine="0"/>
        <w:jc w:val="both"/>
        <w:rPr>
          <w:sz w:val="18"/>
        </w:rPr>
      </w:pPr>
      <w:r>
        <w:rPr>
          <w:sz w:val="18"/>
        </w:rPr>
        <w:t>Article</w:t>
      </w:r>
      <w:r>
        <w:rPr>
          <w:spacing w:val="-2"/>
          <w:sz w:val="18"/>
        </w:rPr>
        <w:t xml:space="preserve"> </w:t>
      </w:r>
      <w:r>
        <w:rPr>
          <w:sz w:val="18"/>
        </w:rPr>
        <w:t>3.2 required consideration of whether the volume and price of subject imports has the effect of or explanatory force</w:t>
      </w:r>
      <w:r>
        <w:rPr>
          <w:spacing w:val="-2"/>
          <w:sz w:val="18"/>
        </w:rPr>
        <w:t xml:space="preserve"> </w:t>
      </w:r>
      <w:r>
        <w:rPr>
          <w:sz w:val="18"/>
        </w:rPr>
        <w:t>for domestic</w:t>
      </w:r>
      <w:r>
        <w:rPr>
          <w:spacing w:val="-3"/>
          <w:sz w:val="18"/>
        </w:rPr>
        <w:t xml:space="preserve"> </w:t>
      </w:r>
      <w:r>
        <w:rPr>
          <w:sz w:val="18"/>
        </w:rPr>
        <w:t>prices exhibiting one of</w:t>
      </w:r>
      <w:r>
        <w:rPr>
          <w:spacing w:val="-1"/>
          <w:sz w:val="18"/>
        </w:rPr>
        <w:t xml:space="preserve"> </w:t>
      </w:r>
      <w:r>
        <w:rPr>
          <w:sz w:val="18"/>
        </w:rPr>
        <w:t>the</w:t>
      </w:r>
      <w:r>
        <w:rPr>
          <w:spacing w:val="-2"/>
          <w:sz w:val="18"/>
        </w:rPr>
        <w:t xml:space="preserve"> </w:t>
      </w:r>
      <w:r>
        <w:rPr>
          <w:sz w:val="18"/>
        </w:rPr>
        <w:t>three price effects.</w:t>
      </w:r>
      <w:r>
        <w:rPr>
          <w:spacing w:val="-1"/>
          <w:sz w:val="18"/>
        </w:rPr>
        <w:t xml:space="preserve"> </w:t>
      </w:r>
      <w:r>
        <w:rPr>
          <w:sz w:val="18"/>
        </w:rPr>
        <w:t>Article 3.4</w:t>
      </w:r>
      <w:r>
        <w:rPr>
          <w:spacing w:val="-4"/>
          <w:sz w:val="18"/>
        </w:rPr>
        <w:t xml:space="preserve"> </w:t>
      </w:r>
      <w:r>
        <w:rPr>
          <w:sz w:val="18"/>
        </w:rPr>
        <w:t>is not limited</w:t>
      </w:r>
      <w:r>
        <w:rPr>
          <w:spacing w:val="-3"/>
          <w:sz w:val="18"/>
        </w:rPr>
        <w:t xml:space="preserve"> </w:t>
      </w:r>
      <w:r>
        <w:rPr>
          <w:sz w:val="18"/>
        </w:rPr>
        <w:t>to an evaluation</w:t>
      </w:r>
      <w:r>
        <w:rPr>
          <w:spacing w:val="-3"/>
          <w:sz w:val="18"/>
        </w:rPr>
        <w:t xml:space="preserve"> </w:t>
      </w:r>
      <w:r>
        <w:rPr>
          <w:sz w:val="18"/>
        </w:rPr>
        <w:t>of just the three price effects listed in</w:t>
      </w:r>
      <w:r>
        <w:rPr>
          <w:spacing w:val="-4"/>
          <w:sz w:val="18"/>
        </w:rPr>
        <w:t xml:space="preserve"> </w:t>
      </w:r>
      <w:r>
        <w:rPr>
          <w:sz w:val="18"/>
        </w:rPr>
        <w:t>Article</w:t>
      </w:r>
      <w:r>
        <w:rPr>
          <w:spacing w:val="-3"/>
          <w:sz w:val="18"/>
        </w:rPr>
        <w:t xml:space="preserve"> </w:t>
      </w:r>
      <w:r>
        <w:rPr>
          <w:sz w:val="18"/>
        </w:rPr>
        <w:t>3.2. Rather, it requires an evaluation of relevant evidence relating</w:t>
      </w:r>
      <w:r>
        <w:rPr>
          <w:spacing w:val="-3"/>
          <w:sz w:val="18"/>
        </w:rPr>
        <w:t xml:space="preserve"> </w:t>
      </w:r>
      <w:r>
        <w:rPr>
          <w:sz w:val="18"/>
        </w:rPr>
        <w:t>to factors affecting domestic prices, in order to consider the explanatory force between subject imports and the state observed therein.</w:t>
      </w:r>
    </w:p>
    <w:p w14:paraId="3DCD8150" w14:textId="77777777" w:rsidR="00BD462C" w:rsidRDefault="00033D0F">
      <w:pPr>
        <w:pStyle w:val="ListParagraph"/>
        <w:numPr>
          <w:ilvl w:val="0"/>
          <w:numId w:val="47"/>
        </w:numPr>
        <w:tabs>
          <w:tab w:val="left" w:pos="367"/>
        </w:tabs>
        <w:spacing w:before="0"/>
        <w:ind w:right="909" w:hanging="1"/>
        <w:jc w:val="both"/>
        <w:rPr>
          <w:sz w:val="18"/>
        </w:rPr>
      </w:pPr>
      <w:r>
        <w:rPr>
          <w:sz w:val="18"/>
        </w:rPr>
        <w:t>if</w:t>
      </w:r>
      <w:r>
        <w:rPr>
          <w:spacing w:val="-11"/>
          <w:sz w:val="18"/>
        </w:rPr>
        <w:t xml:space="preserve"> </w:t>
      </w:r>
      <w:r>
        <w:rPr>
          <w:sz w:val="18"/>
        </w:rPr>
        <w:t>MOFCOM had</w:t>
      </w:r>
      <w:r>
        <w:rPr>
          <w:spacing w:val="-4"/>
          <w:sz w:val="18"/>
        </w:rPr>
        <w:t xml:space="preserve"> </w:t>
      </w:r>
      <w:r>
        <w:rPr>
          <w:sz w:val="18"/>
        </w:rPr>
        <w:t>properly</w:t>
      </w:r>
      <w:r>
        <w:rPr>
          <w:spacing w:val="-10"/>
          <w:sz w:val="18"/>
        </w:rPr>
        <w:t xml:space="preserve"> </w:t>
      </w:r>
      <w:r>
        <w:rPr>
          <w:sz w:val="18"/>
        </w:rPr>
        <w:t>considered</w:t>
      </w:r>
      <w:r>
        <w:rPr>
          <w:spacing w:val="-8"/>
          <w:sz w:val="18"/>
        </w:rPr>
        <w:t xml:space="preserve"> </w:t>
      </w:r>
      <w:r>
        <w:rPr>
          <w:sz w:val="18"/>
        </w:rPr>
        <w:t>all</w:t>
      </w:r>
      <w:r>
        <w:rPr>
          <w:spacing w:val="-2"/>
          <w:sz w:val="18"/>
        </w:rPr>
        <w:t xml:space="preserve"> </w:t>
      </w:r>
      <w:r>
        <w:rPr>
          <w:sz w:val="18"/>
        </w:rPr>
        <w:t>three</w:t>
      </w:r>
      <w:r>
        <w:rPr>
          <w:spacing w:val="-8"/>
          <w:sz w:val="18"/>
        </w:rPr>
        <w:t xml:space="preserve"> </w:t>
      </w:r>
      <w:r>
        <w:rPr>
          <w:sz w:val="18"/>
        </w:rPr>
        <w:t>factors</w:t>
      </w:r>
      <w:r>
        <w:rPr>
          <w:spacing w:val="-8"/>
          <w:sz w:val="18"/>
        </w:rPr>
        <w:t xml:space="preserve"> </w:t>
      </w:r>
      <w:r>
        <w:rPr>
          <w:sz w:val="18"/>
        </w:rPr>
        <w:t>affecting</w:t>
      </w:r>
      <w:r>
        <w:rPr>
          <w:spacing w:val="-3"/>
          <w:sz w:val="18"/>
        </w:rPr>
        <w:t xml:space="preserve"> </w:t>
      </w:r>
      <w:r>
        <w:rPr>
          <w:sz w:val="18"/>
        </w:rPr>
        <w:t>domestic</w:t>
      </w:r>
      <w:r>
        <w:rPr>
          <w:spacing w:val="-9"/>
          <w:sz w:val="18"/>
        </w:rPr>
        <w:t xml:space="preserve"> </w:t>
      </w:r>
      <w:r>
        <w:rPr>
          <w:sz w:val="18"/>
        </w:rPr>
        <w:t>prices</w:t>
      </w:r>
      <w:r>
        <w:rPr>
          <w:spacing w:val="-8"/>
          <w:sz w:val="18"/>
        </w:rPr>
        <w:t xml:space="preserve"> </w:t>
      </w:r>
      <w:r>
        <w:rPr>
          <w:sz w:val="18"/>
        </w:rPr>
        <w:t>for</w:t>
      </w:r>
      <w:r>
        <w:rPr>
          <w:spacing w:val="-10"/>
          <w:sz w:val="18"/>
        </w:rPr>
        <w:t xml:space="preserve"> </w:t>
      </w:r>
      <w:r>
        <w:rPr>
          <w:sz w:val="18"/>
        </w:rPr>
        <w:t>the</w:t>
      </w:r>
      <w:r>
        <w:rPr>
          <w:spacing w:val="-8"/>
          <w:sz w:val="18"/>
        </w:rPr>
        <w:t xml:space="preserve"> </w:t>
      </w:r>
      <w:r>
        <w:rPr>
          <w:sz w:val="18"/>
        </w:rPr>
        <w:t>purposes</w:t>
      </w:r>
      <w:r>
        <w:rPr>
          <w:spacing w:val="-3"/>
          <w:sz w:val="18"/>
        </w:rPr>
        <w:t xml:space="preserve"> </w:t>
      </w:r>
      <w:r>
        <w:rPr>
          <w:sz w:val="18"/>
        </w:rPr>
        <w:t>of</w:t>
      </w:r>
      <w:r>
        <w:rPr>
          <w:spacing w:val="-2"/>
          <w:sz w:val="18"/>
        </w:rPr>
        <w:t xml:space="preserve"> </w:t>
      </w:r>
      <w:r>
        <w:rPr>
          <w:sz w:val="18"/>
        </w:rPr>
        <w:t>Article</w:t>
      </w:r>
      <w:r>
        <w:rPr>
          <w:spacing w:val="-4"/>
          <w:sz w:val="18"/>
        </w:rPr>
        <w:t xml:space="preserve"> </w:t>
      </w:r>
      <w:r>
        <w:rPr>
          <w:sz w:val="18"/>
        </w:rPr>
        <w:t>3.4,</w:t>
      </w:r>
      <w:r>
        <w:rPr>
          <w:spacing w:val="-1"/>
          <w:sz w:val="18"/>
        </w:rPr>
        <w:t xml:space="preserve"> </w:t>
      </w:r>
      <w:r>
        <w:rPr>
          <w:sz w:val="18"/>
        </w:rPr>
        <w:t>it</w:t>
      </w:r>
      <w:r>
        <w:rPr>
          <w:spacing w:val="-2"/>
          <w:sz w:val="18"/>
        </w:rPr>
        <w:t xml:space="preserve"> </w:t>
      </w:r>
      <w:r>
        <w:rPr>
          <w:sz w:val="18"/>
        </w:rPr>
        <w:t>may</w:t>
      </w:r>
      <w:r>
        <w:rPr>
          <w:spacing w:val="-10"/>
          <w:sz w:val="18"/>
        </w:rPr>
        <w:t xml:space="preserve"> </w:t>
      </w:r>
      <w:r>
        <w:rPr>
          <w:sz w:val="18"/>
        </w:rPr>
        <w:t>have necessitated consideration of supply and demand or raw material costs under Article</w:t>
      </w:r>
      <w:r>
        <w:rPr>
          <w:spacing w:val="-3"/>
          <w:sz w:val="18"/>
        </w:rPr>
        <w:t xml:space="preserve"> </w:t>
      </w:r>
      <w:r>
        <w:rPr>
          <w:sz w:val="18"/>
        </w:rPr>
        <w:t>3.5. However, any such examination would have been directed to a different question. That is, Article</w:t>
      </w:r>
      <w:r>
        <w:rPr>
          <w:spacing w:val="-7"/>
          <w:sz w:val="18"/>
        </w:rPr>
        <w:t xml:space="preserve"> </w:t>
      </w:r>
      <w:r>
        <w:rPr>
          <w:sz w:val="18"/>
        </w:rPr>
        <w:t>3.5 would have required consideration of whether, based on the analysis under Article 3.2 and 3.4, supply and demand or raw material costs caused material injury to the domestic industry and, if so, identification and separation of that injury.</w:t>
      </w:r>
    </w:p>
    <w:p w14:paraId="0FE6B494" w14:textId="77777777" w:rsidR="00BD462C" w:rsidRDefault="00033D0F">
      <w:pPr>
        <w:ind w:left="135"/>
        <w:jc w:val="both"/>
        <w:rPr>
          <w:sz w:val="18"/>
        </w:rPr>
      </w:pPr>
      <w:bookmarkStart w:id="1092" w:name="_bookmark942"/>
      <w:bookmarkEnd w:id="1092"/>
      <w:r>
        <w:rPr>
          <w:position w:val="5"/>
          <w:sz w:val="12"/>
        </w:rPr>
        <w:t>803</w:t>
      </w:r>
      <w:r>
        <w:rPr>
          <w:spacing w:val="13"/>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paras.</w:t>
      </w:r>
      <w:r>
        <w:rPr>
          <w:spacing w:val="-4"/>
          <w:sz w:val="18"/>
        </w:rPr>
        <w:t xml:space="preserve"> </w:t>
      </w:r>
      <w:r>
        <w:rPr>
          <w:sz w:val="18"/>
        </w:rPr>
        <w:t>1542,</w:t>
      </w:r>
      <w:r>
        <w:rPr>
          <w:spacing w:val="-4"/>
          <w:sz w:val="18"/>
        </w:rPr>
        <w:t xml:space="preserve"> </w:t>
      </w:r>
      <w:r>
        <w:rPr>
          <w:spacing w:val="-2"/>
          <w:sz w:val="18"/>
        </w:rPr>
        <w:t>1544.</w:t>
      </w:r>
    </w:p>
    <w:p w14:paraId="20AA556E" w14:textId="77777777" w:rsidR="00BD462C" w:rsidRDefault="00033D0F">
      <w:pPr>
        <w:spacing w:before="1"/>
        <w:ind w:left="136" w:right="904" w:hanging="1"/>
        <w:jc w:val="both"/>
        <w:rPr>
          <w:sz w:val="18"/>
        </w:rPr>
      </w:pPr>
      <w:bookmarkStart w:id="1093" w:name="_bookmark943"/>
      <w:bookmarkEnd w:id="1093"/>
      <w:r>
        <w:rPr>
          <w:position w:val="5"/>
          <w:sz w:val="12"/>
        </w:rPr>
        <w:t>804</w:t>
      </w:r>
      <w:r>
        <w:rPr>
          <w:spacing w:val="12"/>
          <w:position w:val="5"/>
          <w:sz w:val="12"/>
        </w:rPr>
        <w:t xml:space="preserve"> </w:t>
      </w:r>
      <w:r>
        <w:rPr>
          <w:sz w:val="18"/>
        </w:rPr>
        <w:t>Panel</w:t>
      </w:r>
      <w:r>
        <w:rPr>
          <w:spacing w:val="-6"/>
          <w:sz w:val="18"/>
        </w:rPr>
        <w:t xml:space="preserve"> </w:t>
      </w:r>
      <w:r>
        <w:rPr>
          <w:sz w:val="18"/>
        </w:rPr>
        <w:t>Report,</w:t>
      </w:r>
      <w:r>
        <w:rPr>
          <w:spacing w:val="-5"/>
          <w:sz w:val="18"/>
        </w:rPr>
        <w:t xml:space="preserve"> </w:t>
      </w:r>
      <w:r>
        <w:rPr>
          <w:i/>
          <w:sz w:val="18"/>
        </w:rPr>
        <w:t>Egypt</w:t>
      </w:r>
      <w:r>
        <w:rPr>
          <w:i/>
          <w:spacing w:val="-1"/>
          <w:sz w:val="18"/>
        </w:rPr>
        <w:t xml:space="preserve"> </w:t>
      </w:r>
      <w:r>
        <w:rPr>
          <w:i/>
          <w:sz w:val="18"/>
        </w:rPr>
        <w:t>–</w:t>
      </w:r>
      <w:r>
        <w:rPr>
          <w:i/>
          <w:spacing w:val="-7"/>
          <w:sz w:val="18"/>
        </w:rPr>
        <w:t xml:space="preserve"> </w:t>
      </w:r>
      <w:r>
        <w:rPr>
          <w:i/>
          <w:sz w:val="18"/>
        </w:rPr>
        <w:t>Steel</w:t>
      </w:r>
      <w:r>
        <w:rPr>
          <w:i/>
          <w:spacing w:val="-6"/>
          <w:sz w:val="18"/>
        </w:rPr>
        <w:t xml:space="preserve"> </w:t>
      </w:r>
      <w:r>
        <w:rPr>
          <w:i/>
          <w:sz w:val="18"/>
        </w:rPr>
        <w:t>Rebar</w:t>
      </w:r>
      <w:r>
        <w:rPr>
          <w:i/>
          <w:spacing w:val="-8"/>
          <w:sz w:val="18"/>
        </w:rPr>
        <w:t xml:space="preserve"> </w:t>
      </w:r>
      <w:r>
        <w:rPr>
          <w:i/>
          <w:sz w:val="18"/>
        </w:rPr>
        <w:t>(Turkey)</w:t>
      </w:r>
      <w:r>
        <w:rPr>
          <w:sz w:val="18"/>
        </w:rPr>
        <w:t>,</w:t>
      </w:r>
      <w:r>
        <w:rPr>
          <w:spacing w:val="-5"/>
          <w:sz w:val="18"/>
        </w:rPr>
        <w:t xml:space="preserve"> </w:t>
      </w:r>
      <w:r>
        <w:rPr>
          <w:sz w:val="18"/>
        </w:rPr>
        <w:t>para.</w:t>
      </w:r>
      <w:r>
        <w:rPr>
          <w:spacing w:val="-6"/>
          <w:sz w:val="18"/>
        </w:rPr>
        <w:t xml:space="preserve"> </w:t>
      </w:r>
      <w:r>
        <w:rPr>
          <w:sz w:val="18"/>
        </w:rPr>
        <w:t>7.61.</w:t>
      </w:r>
      <w:r>
        <w:rPr>
          <w:spacing w:val="-6"/>
          <w:sz w:val="18"/>
        </w:rPr>
        <w:t xml:space="preserve"> </w:t>
      </w:r>
      <w:r>
        <w:rPr>
          <w:sz w:val="18"/>
        </w:rPr>
        <w:t>Relevantly, the</w:t>
      </w:r>
      <w:r>
        <w:rPr>
          <w:spacing w:val="-3"/>
          <w:sz w:val="18"/>
        </w:rPr>
        <w:t xml:space="preserve"> </w:t>
      </w:r>
      <w:r>
        <w:rPr>
          <w:sz w:val="18"/>
        </w:rPr>
        <w:t>panel</w:t>
      </w:r>
      <w:r>
        <w:rPr>
          <w:spacing w:val="-7"/>
          <w:sz w:val="18"/>
        </w:rPr>
        <w:t xml:space="preserve"> </w:t>
      </w:r>
      <w:r>
        <w:rPr>
          <w:sz w:val="18"/>
        </w:rPr>
        <w:t>in</w:t>
      </w:r>
      <w:r>
        <w:rPr>
          <w:spacing w:val="-7"/>
          <w:sz w:val="18"/>
        </w:rPr>
        <w:t xml:space="preserve"> </w:t>
      </w:r>
      <w:r>
        <w:rPr>
          <w:i/>
          <w:sz w:val="18"/>
        </w:rPr>
        <w:t>Egypt</w:t>
      </w:r>
      <w:r>
        <w:rPr>
          <w:i/>
          <w:spacing w:val="-6"/>
          <w:sz w:val="18"/>
        </w:rPr>
        <w:t xml:space="preserve"> </w:t>
      </w:r>
      <w:r>
        <w:rPr>
          <w:i/>
          <w:sz w:val="18"/>
        </w:rPr>
        <w:t>–</w:t>
      </w:r>
      <w:r>
        <w:rPr>
          <w:i/>
          <w:spacing w:val="-2"/>
          <w:sz w:val="18"/>
        </w:rPr>
        <w:t xml:space="preserve"> </w:t>
      </w:r>
      <w:r>
        <w:rPr>
          <w:i/>
          <w:sz w:val="18"/>
        </w:rPr>
        <w:t>Steel</w:t>
      </w:r>
      <w:r>
        <w:rPr>
          <w:i/>
          <w:spacing w:val="-6"/>
          <w:sz w:val="18"/>
        </w:rPr>
        <w:t xml:space="preserve"> </w:t>
      </w:r>
      <w:r>
        <w:rPr>
          <w:i/>
          <w:sz w:val="18"/>
        </w:rPr>
        <w:t>Rebar</w:t>
      </w:r>
      <w:r>
        <w:rPr>
          <w:i/>
          <w:spacing w:val="-3"/>
          <w:sz w:val="18"/>
        </w:rPr>
        <w:t xml:space="preserve"> </w:t>
      </w:r>
      <w:r>
        <w:rPr>
          <w:sz w:val="18"/>
        </w:rPr>
        <w:t>noted</w:t>
      </w:r>
      <w:r>
        <w:rPr>
          <w:spacing w:val="-3"/>
          <w:sz w:val="18"/>
        </w:rPr>
        <w:t xml:space="preserve"> </w:t>
      </w:r>
      <w:r>
        <w:rPr>
          <w:sz w:val="18"/>
        </w:rPr>
        <w:t>at</w:t>
      </w:r>
      <w:r>
        <w:rPr>
          <w:spacing w:val="-6"/>
          <w:sz w:val="18"/>
        </w:rPr>
        <w:t xml:space="preserve"> </w:t>
      </w:r>
      <w:r>
        <w:rPr>
          <w:sz w:val="18"/>
        </w:rPr>
        <w:t>this</w:t>
      </w:r>
      <w:r>
        <w:rPr>
          <w:spacing w:val="-7"/>
          <w:sz w:val="18"/>
        </w:rPr>
        <w:t xml:space="preserve"> </w:t>
      </w:r>
      <w:r>
        <w:rPr>
          <w:sz w:val="18"/>
        </w:rPr>
        <w:t xml:space="preserve">paragraph that the investigating authority "considered the potential price effects of imports from third countries". As set out in Australia's first written submission and above, MOFCOM did not consider third country imports during its price effects </w:t>
      </w:r>
      <w:r>
        <w:rPr>
          <w:spacing w:val="-2"/>
          <w:sz w:val="18"/>
        </w:rPr>
        <w:t>analysis.</w:t>
      </w:r>
    </w:p>
    <w:p w14:paraId="419C1143" w14:textId="77777777" w:rsidR="00BD462C" w:rsidRDefault="00033D0F">
      <w:pPr>
        <w:ind w:left="135" w:right="906"/>
        <w:jc w:val="both"/>
        <w:rPr>
          <w:sz w:val="18"/>
        </w:rPr>
      </w:pPr>
      <w:bookmarkStart w:id="1094" w:name="_bookmark944"/>
      <w:bookmarkEnd w:id="1094"/>
      <w:r>
        <w:rPr>
          <w:position w:val="5"/>
          <w:sz w:val="12"/>
        </w:rPr>
        <w:t>805</w:t>
      </w:r>
      <w:r>
        <w:rPr>
          <w:spacing w:val="27"/>
          <w:position w:val="5"/>
          <w:sz w:val="12"/>
        </w:rPr>
        <w:t xml:space="preserve"> </w:t>
      </w:r>
      <w:r>
        <w:rPr>
          <w:sz w:val="18"/>
        </w:rPr>
        <w:t xml:space="preserve">Panel Report, </w:t>
      </w:r>
      <w:r>
        <w:rPr>
          <w:i/>
          <w:sz w:val="18"/>
        </w:rPr>
        <w:t>EC – Tube and Pipe Fittings</w:t>
      </w:r>
      <w:r>
        <w:rPr>
          <w:sz w:val="18"/>
        </w:rPr>
        <w:t xml:space="preserve">, para. 7.335. See also Panel Report, </w:t>
      </w:r>
      <w:r>
        <w:rPr>
          <w:i/>
          <w:sz w:val="18"/>
        </w:rPr>
        <w:t>Egypt – Steel Rebar (Turkey)</w:t>
      </w:r>
      <w:r>
        <w:rPr>
          <w:sz w:val="18"/>
        </w:rPr>
        <w:t xml:space="preserve">, paras. 7.59- </w:t>
      </w:r>
      <w:r>
        <w:rPr>
          <w:spacing w:val="-2"/>
          <w:sz w:val="18"/>
        </w:rPr>
        <w:t>7.60.</w:t>
      </w:r>
    </w:p>
    <w:p w14:paraId="1B4F08F0" w14:textId="77777777" w:rsidR="00BD462C" w:rsidRDefault="00BD462C">
      <w:pPr>
        <w:jc w:val="both"/>
        <w:rPr>
          <w:sz w:val="18"/>
        </w:rPr>
        <w:sectPr w:rsidR="00BD462C">
          <w:pgSz w:w="11910" w:h="16840"/>
          <w:pgMar w:top="860" w:right="500" w:bottom="780" w:left="1280" w:header="566" w:footer="590" w:gutter="0"/>
          <w:cols w:space="720"/>
        </w:sectPr>
      </w:pPr>
    </w:p>
    <w:p w14:paraId="4216B19C"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7BA88004"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0A440B33"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6F6E4CCF" w14:textId="77777777" w:rsidR="00BD462C" w:rsidRDefault="00033D0F">
      <w:pPr>
        <w:pStyle w:val="BodyText"/>
        <w:spacing w:before="102" w:line="360" w:lineRule="auto"/>
        <w:ind w:left="135" w:right="916"/>
        <w:jc w:val="both"/>
      </w:pPr>
      <w:r>
        <w:t>Australia's argument is that once an Investigating Authority has collected information concerning "factors affecting domestic prices</w:t>
      </w:r>
      <w:proofErr w:type="gramStart"/>
      <w:r>
        <w:t>", or</w:t>
      </w:r>
      <w:proofErr w:type="gramEnd"/>
      <w:r>
        <w:t xml:space="preserve"> is otherwise informed by the interested parties</w:t>
      </w:r>
      <w:r>
        <w:rPr>
          <w:spacing w:val="-6"/>
        </w:rPr>
        <w:t xml:space="preserve"> </w:t>
      </w:r>
      <w:r>
        <w:t>of</w:t>
      </w:r>
      <w:r>
        <w:rPr>
          <w:spacing w:val="-9"/>
        </w:rPr>
        <w:t xml:space="preserve"> </w:t>
      </w:r>
      <w:r>
        <w:t>a</w:t>
      </w:r>
      <w:r>
        <w:rPr>
          <w:spacing w:val="-8"/>
        </w:rPr>
        <w:t xml:space="preserve"> </w:t>
      </w:r>
      <w:r>
        <w:t>specific</w:t>
      </w:r>
      <w:r>
        <w:rPr>
          <w:spacing w:val="-8"/>
        </w:rPr>
        <w:t xml:space="preserve"> </w:t>
      </w:r>
      <w:r>
        <w:t>factor</w:t>
      </w:r>
      <w:r>
        <w:rPr>
          <w:spacing w:val="-5"/>
        </w:rPr>
        <w:t xml:space="preserve"> </w:t>
      </w:r>
      <w:r>
        <w:t>affecting</w:t>
      </w:r>
      <w:r>
        <w:rPr>
          <w:spacing w:val="-6"/>
        </w:rPr>
        <w:t xml:space="preserve"> </w:t>
      </w:r>
      <w:r>
        <w:t>domestic</w:t>
      </w:r>
      <w:r>
        <w:rPr>
          <w:spacing w:val="-8"/>
        </w:rPr>
        <w:t xml:space="preserve"> </w:t>
      </w:r>
      <w:r>
        <w:t>prices,</w:t>
      </w:r>
      <w:r>
        <w:rPr>
          <w:spacing w:val="-5"/>
        </w:rPr>
        <w:t xml:space="preserve"> </w:t>
      </w:r>
      <w:r>
        <w:t>the</w:t>
      </w:r>
      <w:r>
        <w:rPr>
          <w:spacing w:val="-7"/>
        </w:rPr>
        <w:t xml:space="preserve"> </w:t>
      </w:r>
      <w:r>
        <w:t>obligations</w:t>
      </w:r>
      <w:r>
        <w:rPr>
          <w:spacing w:val="-6"/>
        </w:rPr>
        <w:t xml:space="preserve"> </w:t>
      </w:r>
      <w:r>
        <w:t>under</w:t>
      </w:r>
      <w:r>
        <w:rPr>
          <w:spacing w:val="-10"/>
        </w:rPr>
        <w:t xml:space="preserve"> </w:t>
      </w:r>
      <w:r>
        <w:t>Articles 3.1</w:t>
      </w:r>
      <w:r>
        <w:rPr>
          <w:spacing w:val="-9"/>
        </w:rPr>
        <w:t xml:space="preserve"> </w:t>
      </w:r>
      <w:r>
        <w:t>and</w:t>
      </w:r>
      <w:r>
        <w:rPr>
          <w:spacing w:val="-4"/>
        </w:rPr>
        <w:t xml:space="preserve"> </w:t>
      </w:r>
      <w:r>
        <w:t>3.4 require</w:t>
      </w:r>
      <w:r>
        <w:rPr>
          <w:spacing w:val="-14"/>
        </w:rPr>
        <w:t xml:space="preserve"> </w:t>
      </w:r>
      <w:r>
        <w:t>the</w:t>
      </w:r>
      <w:r>
        <w:rPr>
          <w:spacing w:val="-14"/>
        </w:rPr>
        <w:t xml:space="preserve"> </w:t>
      </w:r>
      <w:r>
        <w:t>evaluation</w:t>
      </w:r>
      <w:r>
        <w:rPr>
          <w:spacing w:val="-13"/>
        </w:rPr>
        <w:t xml:space="preserve"> </w:t>
      </w:r>
      <w:r>
        <w:t>of</w:t>
      </w:r>
      <w:r>
        <w:rPr>
          <w:spacing w:val="-14"/>
        </w:rPr>
        <w:t xml:space="preserve"> </w:t>
      </w:r>
      <w:r>
        <w:t>that</w:t>
      </w:r>
      <w:r>
        <w:rPr>
          <w:spacing w:val="-13"/>
        </w:rPr>
        <w:t xml:space="preserve"> </w:t>
      </w:r>
      <w:r>
        <w:t>factor,</w:t>
      </w:r>
      <w:r>
        <w:rPr>
          <w:spacing w:val="-14"/>
        </w:rPr>
        <w:t xml:space="preserve"> </w:t>
      </w:r>
      <w:r>
        <w:t>or</w:t>
      </w:r>
      <w:r>
        <w:rPr>
          <w:spacing w:val="-13"/>
        </w:rPr>
        <w:t xml:space="preserve"> </w:t>
      </w:r>
      <w:r>
        <w:t>factors,</w:t>
      </w:r>
      <w:r>
        <w:rPr>
          <w:spacing w:val="-14"/>
        </w:rPr>
        <w:t xml:space="preserve"> </w:t>
      </w:r>
      <w:r>
        <w:t>in</w:t>
      </w:r>
      <w:r>
        <w:rPr>
          <w:spacing w:val="-14"/>
        </w:rPr>
        <w:t xml:space="preserve"> </w:t>
      </w:r>
      <w:r>
        <w:t>the</w:t>
      </w:r>
      <w:r>
        <w:rPr>
          <w:spacing w:val="-13"/>
        </w:rPr>
        <w:t xml:space="preserve"> </w:t>
      </w:r>
      <w:r>
        <w:t>examination</w:t>
      </w:r>
      <w:r>
        <w:rPr>
          <w:spacing w:val="-14"/>
        </w:rPr>
        <w:t xml:space="preserve"> </w:t>
      </w:r>
      <w:r>
        <w:t>of</w:t>
      </w:r>
      <w:r>
        <w:rPr>
          <w:spacing w:val="-13"/>
        </w:rPr>
        <w:t xml:space="preserve"> </w:t>
      </w:r>
      <w:r>
        <w:t>the</w:t>
      </w:r>
      <w:r>
        <w:rPr>
          <w:spacing w:val="-14"/>
        </w:rPr>
        <w:t xml:space="preserve"> </w:t>
      </w:r>
      <w:r>
        <w:t>impact</w:t>
      </w:r>
      <w:r>
        <w:rPr>
          <w:spacing w:val="-13"/>
        </w:rPr>
        <w:t xml:space="preserve"> </w:t>
      </w:r>
      <w:r>
        <w:t>of</w:t>
      </w:r>
      <w:r>
        <w:rPr>
          <w:spacing w:val="-14"/>
        </w:rPr>
        <w:t xml:space="preserve"> </w:t>
      </w:r>
      <w:r>
        <w:t>the</w:t>
      </w:r>
      <w:r>
        <w:rPr>
          <w:spacing w:val="-14"/>
        </w:rPr>
        <w:t xml:space="preserve"> </w:t>
      </w:r>
      <w:r>
        <w:t>subject imports on the domestic industry.</w:t>
      </w:r>
    </w:p>
    <w:p w14:paraId="7585A49F" w14:textId="77777777" w:rsidR="00BD462C" w:rsidRDefault="00033D0F">
      <w:pPr>
        <w:pStyle w:val="ListParagraph"/>
        <w:numPr>
          <w:ilvl w:val="1"/>
          <w:numId w:val="33"/>
        </w:numPr>
        <w:tabs>
          <w:tab w:val="left" w:pos="3539"/>
          <w:tab w:val="left" w:pos="3540"/>
        </w:tabs>
        <w:spacing w:before="160" w:line="357" w:lineRule="auto"/>
        <w:ind w:right="920"/>
        <w:jc w:val="both"/>
        <w:rPr>
          <w:sz w:val="24"/>
        </w:rPr>
      </w:pPr>
      <w:bookmarkStart w:id="1095" w:name="(b)_MOFCOM_did_not_evaluate_how_supply_a"/>
      <w:bookmarkEnd w:id="1095"/>
      <w:r>
        <w:rPr>
          <w:sz w:val="24"/>
          <w:u w:val="single"/>
        </w:rPr>
        <w:t>MOFCOM</w:t>
      </w:r>
      <w:r>
        <w:rPr>
          <w:spacing w:val="-14"/>
          <w:sz w:val="24"/>
          <w:u w:val="single"/>
        </w:rPr>
        <w:t xml:space="preserve"> </w:t>
      </w:r>
      <w:r>
        <w:rPr>
          <w:sz w:val="24"/>
          <w:u w:val="single"/>
        </w:rPr>
        <w:t>did</w:t>
      </w:r>
      <w:r>
        <w:rPr>
          <w:spacing w:val="-14"/>
          <w:sz w:val="24"/>
          <w:u w:val="single"/>
        </w:rPr>
        <w:t xml:space="preserve"> </w:t>
      </w:r>
      <w:r>
        <w:rPr>
          <w:sz w:val="24"/>
          <w:u w:val="single"/>
        </w:rPr>
        <w:t>not</w:t>
      </w:r>
      <w:r>
        <w:rPr>
          <w:spacing w:val="-13"/>
          <w:sz w:val="24"/>
          <w:u w:val="single"/>
        </w:rPr>
        <w:t xml:space="preserve"> </w:t>
      </w:r>
      <w:r>
        <w:rPr>
          <w:sz w:val="24"/>
          <w:u w:val="single"/>
        </w:rPr>
        <w:t>evaluate</w:t>
      </w:r>
      <w:r>
        <w:rPr>
          <w:spacing w:val="-14"/>
          <w:sz w:val="24"/>
          <w:u w:val="single"/>
        </w:rPr>
        <w:t xml:space="preserve"> </w:t>
      </w:r>
      <w:r>
        <w:rPr>
          <w:sz w:val="24"/>
          <w:u w:val="single"/>
        </w:rPr>
        <w:t>how</w:t>
      </w:r>
      <w:r>
        <w:rPr>
          <w:spacing w:val="-12"/>
          <w:sz w:val="24"/>
          <w:u w:val="single"/>
        </w:rPr>
        <w:t xml:space="preserve"> </w:t>
      </w:r>
      <w:r>
        <w:rPr>
          <w:sz w:val="24"/>
          <w:u w:val="single"/>
        </w:rPr>
        <w:t>supply</w:t>
      </w:r>
      <w:r>
        <w:rPr>
          <w:spacing w:val="-12"/>
          <w:sz w:val="24"/>
          <w:u w:val="single"/>
        </w:rPr>
        <w:t xml:space="preserve"> </w:t>
      </w:r>
      <w:r>
        <w:rPr>
          <w:sz w:val="24"/>
          <w:u w:val="single"/>
        </w:rPr>
        <w:t>and</w:t>
      </w:r>
      <w:r>
        <w:rPr>
          <w:spacing w:val="-10"/>
          <w:sz w:val="24"/>
          <w:u w:val="single"/>
        </w:rPr>
        <w:t xml:space="preserve"> </w:t>
      </w:r>
      <w:proofErr w:type="gramStart"/>
      <w:r>
        <w:rPr>
          <w:sz w:val="24"/>
          <w:u w:val="single"/>
        </w:rPr>
        <w:t>demand</w:t>
      </w:r>
      <w:proofErr w:type="gramEnd"/>
      <w:r>
        <w:rPr>
          <w:spacing w:val="-14"/>
          <w:sz w:val="24"/>
          <w:u w:val="single"/>
        </w:rPr>
        <w:t xml:space="preserve"> </w:t>
      </w:r>
      <w:r>
        <w:rPr>
          <w:sz w:val="24"/>
          <w:u w:val="single"/>
        </w:rPr>
        <w:t>or</w:t>
      </w:r>
      <w:r>
        <w:rPr>
          <w:spacing w:val="-14"/>
          <w:sz w:val="24"/>
          <w:u w:val="single"/>
        </w:rPr>
        <w:t xml:space="preserve"> </w:t>
      </w:r>
      <w:r>
        <w:rPr>
          <w:sz w:val="24"/>
          <w:u w:val="single"/>
        </w:rPr>
        <w:t>raw</w:t>
      </w:r>
      <w:r>
        <w:rPr>
          <w:sz w:val="24"/>
        </w:rPr>
        <w:t xml:space="preserve"> </w:t>
      </w:r>
      <w:r>
        <w:rPr>
          <w:sz w:val="24"/>
          <w:u w:val="single"/>
        </w:rPr>
        <w:t>material costs affected domestic prices</w:t>
      </w:r>
    </w:p>
    <w:p w14:paraId="230958AE" w14:textId="77777777" w:rsidR="00BD462C" w:rsidRDefault="00BD462C">
      <w:pPr>
        <w:pStyle w:val="BodyText"/>
        <w:spacing w:before="2"/>
        <w:rPr>
          <w:sz w:val="9"/>
        </w:rPr>
      </w:pPr>
    </w:p>
    <w:p w14:paraId="389BDADC" w14:textId="6B1D0657" w:rsidR="00BD462C" w:rsidRDefault="00AF1D30">
      <w:pPr>
        <w:pStyle w:val="BodyText"/>
        <w:spacing w:before="56" w:line="360" w:lineRule="auto"/>
        <w:ind w:left="135" w:right="910"/>
        <w:jc w:val="both"/>
      </w:pPr>
      <w:r>
        <w:rPr>
          <w:noProof/>
        </w:rPr>
        <w:t>538.</w:t>
      </w:r>
      <w:r w:rsidR="00033D0F">
        <w:rPr>
          <w:rFonts w:ascii="Times New Roman"/>
          <w:spacing w:val="80"/>
          <w:position w:val="1"/>
          <w:sz w:val="20"/>
        </w:rPr>
        <w:t xml:space="preserve">  </w:t>
      </w:r>
      <w:r w:rsidR="00033D0F">
        <w:rPr>
          <w:position w:val="1"/>
        </w:rPr>
        <w:t xml:space="preserve">At the outset, Australia notes that China </w:t>
      </w:r>
      <w:proofErr w:type="spellStart"/>
      <w:r w:rsidR="00033D0F">
        <w:rPr>
          <w:position w:val="1"/>
        </w:rPr>
        <w:t>mischaracterises</w:t>
      </w:r>
      <w:proofErr w:type="spellEnd"/>
      <w:r w:rsidR="00033D0F">
        <w:rPr>
          <w:position w:val="1"/>
        </w:rPr>
        <w:t xml:space="preserve"> the burden of proof and </w:t>
      </w:r>
      <w:r w:rsidR="00033D0F">
        <w:rPr>
          <w:i/>
        </w:rPr>
        <w:t xml:space="preserve">prima facie </w:t>
      </w:r>
      <w:r w:rsidR="00033D0F">
        <w:t>case standards.</w:t>
      </w:r>
      <w:hyperlink w:anchor="_bookmark945" w:history="1">
        <w:r w:rsidR="00033D0F">
          <w:rPr>
            <w:vertAlign w:val="superscript"/>
          </w:rPr>
          <w:t>806</w:t>
        </w:r>
      </w:hyperlink>
      <w:r w:rsidR="00033D0F">
        <w:t xml:space="preserve"> Australia's argument, as set out in its first written submission, is</w:t>
      </w:r>
      <w:r w:rsidR="00033D0F">
        <w:rPr>
          <w:spacing w:val="-2"/>
        </w:rPr>
        <w:t xml:space="preserve"> </w:t>
      </w:r>
      <w:r w:rsidR="00033D0F">
        <w:t>that</w:t>
      </w:r>
      <w:r w:rsidR="00033D0F">
        <w:rPr>
          <w:spacing w:val="-8"/>
        </w:rPr>
        <w:t xml:space="preserve"> </w:t>
      </w:r>
      <w:r w:rsidR="00033D0F">
        <w:t>MOFCOM</w:t>
      </w:r>
      <w:r w:rsidR="00033D0F">
        <w:rPr>
          <w:spacing w:val="-8"/>
        </w:rPr>
        <w:t xml:space="preserve"> </w:t>
      </w:r>
      <w:r w:rsidR="00033D0F">
        <w:t>was</w:t>
      </w:r>
      <w:r w:rsidR="00033D0F">
        <w:rPr>
          <w:spacing w:val="-2"/>
        </w:rPr>
        <w:t xml:space="preserve"> </w:t>
      </w:r>
      <w:r w:rsidR="00033D0F">
        <w:t>required</w:t>
      </w:r>
      <w:r w:rsidR="00033D0F">
        <w:rPr>
          <w:spacing w:val="-5"/>
        </w:rPr>
        <w:t xml:space="preserve"> </w:t>
      </w:r>
      <w:r w:rsidR="00033D0F">
        <w:t>to</w:t>
      </w:r>
      <w:r w:rsidR="00033D0F">
        <w:rPr>
          <w:spacing w:val="-6"/>
        </w:rPr>
        <w:t xml:space="preserve"> </w:t>
      </w:r>
      <w:r w:rsidR="00033D0F">
        <w:t>evaluate</w:t>
      </w:r>
      <w:r w:rsidR="00033D0F">
        <w:rPr>
          <w:spacing w:val="-3"/>
        </w:rPr>
        <w:t xml:space="preserve"> </w:t>
      </w:r>
      <w:r w:rsidR="00033D0F">
        <w:t>market</w:t>
      </w:r>
      <w:r w:rsidR="00033D0F">
        <w:rPr>
          <w:spacing w:val="-8"/>
        </w:rPr>
        <w:t xml:space="preserve"> </w:t>
      </w:r>
      <w:r w:rsidR="00033D0F">
        <w:t>supply</w:t>
      </w:r>
      <w:r w:rsidR="00033D0F">
        <w:rPr>
          <w:spacing w:val="-2"/>
        </w:rPr>
        <w:t xml:space="preserve"> </w:t>
      </w:r>
      <w:r w:rsidR="00033D0F">
        <w:t>and</w:t>
      </w:r>
      <w:r w:rsidR="00033D0F">
        <w:rPr>
          <w:spacing w:val="-5"/>
        </w:rPr>
        <w:t xml:space="preserve"> </w:t>
      </w:r>
      <w:r w:rsidR="00033D0F">
        <w:t>demand</w:t>
      </w:r>
      <w:r w:rsidR="00033D0F">
        <w:rPr>
          <w:spacing w:val="-5"/>
        </w:rPr>
        <w:t xml:space="preserve"> </w:t>
      </w:r>
      <w:r w:rsidR="00033D0F">
        <w:t>and</w:t>
      </w:r>
      <w:r w:rsidR="00033D0F">
        <w:rPr>
          <w:spacing w:val="-5"/>
        </w:rPr>
        <w:t xml:space="preserve"> </w:t>
      </w:r>
      <w:r w:rsidR="00033D0F">
        <w:t>raw</w:t>
      </w:r>
      <w:r w:rsidR="00033D0F">
        <w:rPr>
          <w:spacing w:val="-3"/>
        </w:rPr>
        <w:t xml:space="preserve"> </w:t>
      </w:r>
      <w:r w:rsidR="00033D0F">
        <w:t>material</w:t>
      </w:r>
      <w:r w:rsidR="00033D0F">
        <w:rPr>
          <w:spacing w:val="-1"/>
        </w:rPr>
        <w:t xml:space="preserve"> </w:t>
      </w:r>
      <w:r w:rsidR="00033D0F">
        <w:t>costs as "factors affecting domestic prices". It did not do so. Australia's argument is directed to MOFCOM's failure to evaluate a mandatory Article</w:t>
      </w:r>
      <w:r w:rsidR="00033D0F">
        <w:rPr>
          <w:spacing w:val="-3"/>
        </w:rPr>
        <w:t xml:space="preserve"> </w:t>
      </w:r>
      <w:r w:rsidR="00033D0F">
        <w:t>3.4 factor. As a result, contrary to China's submissions, to</w:t>
      </w:r>
      <w:r w:rsidR="00033D0F">
        <w:rPr>
          <w:spacing w:val="-1"/>
        </w:rPr>
        <w:t xml:space="preserve"> </w:t>
      </w:r>
      <w:r w:rsidR="00033D0F">
        <w:t>be successful Australia is not required to</w:t>
      </w:r>
      <w:r w:rsidR="00033D0F">
        <w:rPr>
          <w:spacing w:val="-1"/>
        </w:rPr>
        <w:t xml:space="preserve"> </w:t>
      </w:r>
      <w:r w:rsidR="00033D0F">
        <w:t>demonstrate "exactly what was the impact of these two factors on domestic prices" or identify how MOFCOM's determination "would have been different" if it had conducted an evaluation of these factors.</w:t>
      </w:r>
      <w:hyperlink w:anchor="_bookmark946" w:history="1">
        <w:r w:rsidR="00033D0F">
          <w:rPr>
            <w:vertAlign w:val="superscript"/>
          </w:rPr>
          <w:t>807</w:t>
        </w:r>
      </w:hyperlink>
      <w:r w:rsidR="00033D0F">
        <w:t xml:space="preserve"> Rather, Australia is required to establish that MOFCOM did not evaluate a mandatory Article</w:t>
      </w:r>
      <w:r w:rsidR="00033D0F">
        <w:rPr>
          <w:spacing w:val="-1"/>
        </w:rPr>
        <w:t xml:space="preserve"> </w:t>
      </w:r>
      <w:r w:rsidR="00033D0F">
        <w:t>3.4 factor,</w:t>
      </w:r>
      <w:r w:rsidR="00033D0F">
        <w:rPr>
          <w:spacing w:val="-10"/>
        </w:rPr>
        <w:t xml:space="preserve"> </w:t>
      </w:r>
      <w:r w:rsidR="00033D0F">
        <w:t>being</w:t>
      </w:r>
      <w:r w:rsidR="00033D0F">
        <w:rPr>
          <w:spacing w:val="-10"/>
        </w:rPr>
        <w:t xml:space="preserve"> </w:t>
      </w:r>
      <w:r w:rsidR="00033D0F">
        <w:t>"factors</w:t>
      </w:r>
      <w:r w:rsidR="00033D0F">
        <w:rPr>
          <w:spacing w:val="-6"/>
        </w:rPr>
        <w:t xml:space="preserve"> </w:t>
      </w:r>
      <w:r w:rsidR="00033D0F">
        <w:t>affecting</w:t>
      </w:r>
      <w:r w:rsidR="00033D0F">
        <w:rPr>
          <w:spacing w:val="-10"/>
        </w:rPr>
        <w:t xml:space="preserve"> </w:t>
      </w:r>
      <w:r w:rsidR="00033D0F">
        <w:t>domestic</w:t>
      </w:r>
      <w:r w:rsidR="00033D0F">
        <w:rPr>
          <w:spacing w:val="-13"/>
        </w:rPr>
        <w:t xml:space="preserve"> </w:t>
      </w:r>
      <w:r w:rsidR="00033D0F">
        <w:t>prices".</w:t>
      </w:r>
      <w:r w:rsidR="00033D0F">
        <w:rPr>
          <w:spacing w:val="-11"/>
        </w:rPr>
        <w:t xml:space="preserve"> </w:t>
      </w:r>
      <w:r w:rsidR="00033D0F">
        <w:t>Australia</w:t>
      </w:r>
      <w:r w:rsidR="00033D0F">
        <w:rPr>
          <w:spacing w:val="-12"/>
        </w:rPr>
        <w:t xml:space="preserve"> </w:t>
      </w:r>
      <w:r w:rsidR="00033D0F">
        <w:t>has</w:t>
      </w:r>
      <w:r w:rsidR="00033D0F">
        <w:rPr>
          <w:spacing w:val="-10"/>
        </w:rPr>
        <w:t xml:space="preserve"> </w:t>
      </w:r>
      <w:r w:rsidR="00033D0F">
        <w:t>done</w:t>
      </w:r>
      <w:r w:rsidR="00033D0F">
        <w:rPr>
          <w:spacing w:val="-7"/>
        </w:rPr>
        <w:t xml:space="preserve"> </w:t>
      </w:r>
      <w:r w:rsidR="00033D0F">
        <w:t>so.</w:t>
      </w:r>
      <w:r w:rsidR="00033D0F">
        <w:rPr>
          <w:spacing w:val="-11"/>
        </w:rPr>
        <w:t xml:space="preserve"> </w:t>
      </w:r>
      <w:r w:rsidR="00033D0F">
        <w:t>Nonetheless,</w:t>
      </w:r>
      <w:r w:rsidR="00033D0F">
        <w:rPr>
          <w:spacing w:val="-10"/>
        </w:rPr>
        <w:t xml:space="preserve"> </w:t>
      </w:r>
      <w:r w:rsidR="00033D0F">
        <w:t>Australia has provided</w:t>
      </w:r>
      <w:r w:rsidR="00033D0F">
        <w:rPr>
          <w:spacing w:val="-1"/>
        </w:rPr>
        <w:t xml:space="preserve"> </w:t>
      </w:r>
      <w:r w:rsidR="00033D0F">
        <w:t>its</w:t>
      </w:r>
      <w:r w:rsidR="00033D0F">
        <w:rPr>
          <w:spacing w:val="-2"/>
        </w:rPr>
        <w:t xml:space="preserve"> </w:t>
      </w:r>
      <w:r w:rsidR="00033D0F">
        <w:t>views on</w:t>
      </w:r>
      <w:r w:rsidR="00033D0F">
        <w:rPr>
          <w:spacing w:val="-1"/>
        </w:rPr>
        <w:t xml:space="preserve"> </w:t>
      </w:r>
      <w:r w:rsidR="00033D0F">
        <w:t>the importance of market supply and</w:t>
      </w:r>
      <w:r w:rsidR="00033D0F">
        <w:rPr>
          <w:spacing w:val="-1"/>
        </w:rPr>
        <w:t xml:space="preserve"> </w:t>
      </w:r>
      <w:r w:rsidR="00033D0F">
        <w:t>demand</w:t>
      </w:r>
      <w:r w:rsidR="00033D0F">
        <w:rPr>
          <w:spacing w:val="-1"/>
        </w:rPr>
        <w:t xml:space="preserve"> </w:t>
      </w:r>
      <w:r w:rsidR="00033D0F">
        <w:t>in</w:t>
      </w:r>
      <w:r w:rsidR="00033D0F">
        <w:rPr>
          <w:spacing w:val="-1"/>
        </w:rPr>
        <w:t xml:space="preserve"> </w:t>
      </w:r>
      <w:r w:rsidR="00033D0F">
        <w:t>response to</w:t>
      </w:r>
      <w:r w:rsidR="00033D0F">
        <w:rPr>
          <w:spacing w:val="-1"/>
        </w:rPr>
        <w:t xml:space="preserve"> </w:t>
      </w:r>
      <w:r w:rsidR="00033D0F">
        <w:t>Panel question No. 38.</w:t>
      </w:r>
    </w:p>
    <w:p w14:paraId="4E2806FB" w14:textId="77777777" w:rsidR="00BD462C" w:rsidRDefault="00BD462C">
      <w:pPr>
        <w:pStyle w:val="BodyText"/>
        <w:spacing w:before="7"/>
        <w:rPr>
          <w:sz w:val="8"/>
        </w:rPr>
      </w:pPr>
    </w:p>
    <w:p w14:paraId="70A0BBF3" w14:textId="492AC9BD" w:rsidR="00BD462C" w:rsidRDefault="00AF1D30">
      <w:pPr>
        <w:pStyle w:val="BodyText"/>
        <w:spacing w:before="56" w:line="360" w:lineRule="auto"/>
        <w:ind w:left="135" w:right="912"/>
        <w:jc w:val="both"/>
      </w:pPr>
      <w:r>
        <w:rPr>
          <w:noProof/>
        </w:rPr>
        <w:t>539.</w:t>
      </w:r>
      <w:r w:rsidR="00033D0F">
        <w:rPr>
          <w:rFonts w:ascii="Times New Roman"/>
          <w:spacing w:val="80"/>
          <w:w w:val="150"/>
          <w:position w:val="1"/>
          <w:sz w:val="20"/>
        </w:rPr>
        <w:t xml:space="preserve"> </w:t>
      </w:r>
      <w:r w:rsidR="00033D0F">
        <w:rPr>
          <w:position w:val="1"/>
        </w:rPr>
        <w:t xml:space="preserve">Turning to the substance of the dispute, the parties disagree as to whether the </w:t>
      </w:r>
      <w:r w:rsidR="00033D0F">
        <w:t>investigation record shows any evaluation by MOFCOM of these "factors affecting domestic prices".</w:t>
      </w:r>
      <w:hyperlink w:anchor="_bookmark947" w:history="1">
        <w:r w:rsidR="00033D0F">
          <w:rPr>
            <w:vertAlign w:val="superscript"/>
          </w:rPr>
          <w:t>808</w:t>
        </w:r>
      </w:hyperlink>
      <w:r w:rsidR="00033D0F">
        <w:t xml:space="preserve"> Australia submits that there is nothing in the Final Determination, related documents, or elsewhere on the record to indicate that MOFCOM conducted any such evaluation. In response, China is only able to offer entirely </w:t>
      </w:r>
      <w:r w:rsidR="00033D0F">
        <w:rPr>
          <w:i/>
        </w:rPr>
        <w:t xml:space="preserve">ex post facto </w:t>
      </w:r>
      <w:r w:rsidR="00033D0F">
        <w:t>explanations which are</w:t>
      </w:r>
      <w:r w:rsidR="00033D0F">
        <w:rPr>
          <w:spacing w:val="-1"/>
        </w:rPr>
        <w:t xml:space="preserve"> </w:t>
      </w:r>
      <w:r w:rsidR="00033D0F">
        <w:t>largely irrelevant. As Australia</w:t>
      </w:r>
      <w:r w:rsidR="00033D0F">
        <w:rPr>
          <w:spacing w:val="-2"/>
        </w:rPr>
        <w:t xml:space="preserve"> </w:t>
      </w:r>
      <w:r w:rsidR="00033D0F">
        <w:t>will set</w:t>
      </w:r>
      <w:r w:rsidR="00033D0F">
        <w:rPr>
          <w:spacing w:val="-1"/>
        </w:rPr>
        <w:t xml:space="preserve"> </w:t>
      </w:r>
      <w:r w:rsidR="00033D0F">
        <w:t>out</w:t>
      </w:r>
      <w:r w:rsidR="00033D0F">
        <w:rPr>
          <w:spacing w:val="-1"/>
        </w:rPr>
        <w:t xml:space="preserve"> </w:t>
      </w:r>
      <w:r w:rsidR="00033D0F">
        <w:t>in</w:t>
      </w:r>
      <w:r w:rsidR="00033D0F">
        <w:rPr>
          <w:spacing w:val="-3"/>
        </w:rPr>
        <w:t xml:space="preserve"> </w:t>
      </w:r>
      <w:r w:rsidR="00033D0F">
        <w:t>detail below, China</w:t>
      </w:r>
      <w:r w:rsidR="00033D0F">
        <w:rPr>
          <w:spacing w:val="-2"/>
        </w:rPr>
        <w:t xml:space="preserve"> </w:t>
      </w:r>
      <w:r w:rsidR="00033D0F">
        <w:t>has failed</w:t>
      </w:r>
      <w:r w:rsidR="00033D0F">
        <w:rPr>
          <w:spacing w:val="-3"/>
        </w:rPr>
        <w:t xml:space="preserve"> </w:t>
      </w:r>
      <w:r w:rsidR="00033D0F">
        <w:t>to</w:t>
      </w:r>
      <w:r w:rsidR="00033D0F">
        <w:rPr>
          <w:spacing w:val="-4"/>
        </w:rPr>
        <w:t xml:space="preserve"> </w:t>
      </w:r>
      <w:r w:rsidR="00033D0F">
        <w:t>point</w:t>
      </w:r>
      <w:r w:rsidR="00033D0F">
        <w:rPr>
          <w:spacing w:val="-1"/>
        </w:rPr>
        <w:t xml:space="preserve"> </w:t>
      </w:r>
      <w:r w:rsidR="00033D0F">
        <w:t>to any evidence</w:t>
      </w:r>
      <w:r w:rsidR="00033D0F">
        <w:rPr>
          <w:spacing w:val="-3"/>
        </w:rPr>
        <w:t xml:space="preserve"> </w:t>
      </w:r>
      <w:r w:rsidR="00033D0F">
        <w:t>on</w:t>
      </w:r>
      <w:r w:rsidR="00033D0F">
        <w:rPr>
          <w:spacing w:val="-5"/>
        </w:rPr>
        <w:t xml:space="preserve"> </w:t>
      </w:r>
      <w:r w:rsidR="00033D0F">
        <w:t>the</w:t>
      </w:r>
      <w:r w:rsidR="00033D0F">
        <w:rPr>
          <w:spacing w:val="-4"/>
        </w:rPr>
        <w:t xml:space="preserve"> </w:t>
      </w:r>
      <w:r w:rsidR="00033D0F">
        <w:t>record</w:t>
      </w:r>
      <w:r w:rsidR="00033D0F">
        <w:rPr>
          <w:spacing w:val="-5"/>
        </w:rPr>
        <w:t xml:space="preserve"> </w:t>
      </w:r>
      <w:r w:rsidR="00033D0F">
        <w:t>of</w:t>
      </w:r>
      <w:r w:rsidR="00033D0F">
        <w:rPr>
          <w:spacing w:val="-5"/>
        </w:rPr>
        <w:t xml:space="preserve"> </w:t>
      </w:r>
      <w:r w:rsidR="00033D0F">
        <w:t>the</w:t>
      </w:r>
      <w:r w:rsidR="00033D0F">
        <w:rPr>
          <w:spacing w:val="-4"/>
        </w:rPr>
        <w:t xml:space="preserve"> </w:t>
      </w:r>
      <w:r w:rsidR="00033D0F">
        <w:t>investigation</w:t>
      </w:r>
      <w:r w:rsidR="00033D0F">
        <w:rPr>
          <w:spacing w:val="-5"/>
        </w:rPr>
        <w:t xml:space="preserve"> </w:t>
      </w:r>
      <w:r w:rsidR="00033D0F">
        <w:t>which</w:t>
      </w:r>
      <w:r w:rsidR="00033D0F">
        <w:rPr>
          <w:spacing w:val="-5"/>
        </w:rPr>
        <w:t xml:space="preserve"> </w:t>
      </w:r>
      <w:r w:rsidR="00033D0F">
        <w:t>shows</w:t>
      </w:r>
      <w:r w:rsidR="00033D0F">
        <w:rPr>
          <w:spacing w:val="-2"/>
        </w:rPr>
        <w:t xml:space="preserve"> </w:t>
      </w:r>
      <w:r w:rsidR="00033D0F">
        <w:t>that</w:t>
      </w:r>
      <w:r w:rsidR="00033D0F">
        <w:rPr>
          <w:spacing w:val="-3"/>
        </w:rPr>
        <w:t xml:space="preserve"> </w:t>
      </w:r>
      <w:r w:rsidR="00033D0F">
        <w:t>MOFCOM</w:t>
      </w:r>
      <w:r w:rsidR="00033D0F">
        <w:rPr>
          <w:spacing w:val="-3"/>
        </w:rPr>
        <w:t xml:space="preserve"> </w:t>
      </w:r>
      <w:r w:rsidR="00033D0F">
        <w:t>evaluated</w:t>
      </w:r>
      <w:r w:rsidR="00033D0F">
        <w:rPr>
          <w:spacing w:val="-5"/>
        </w:rPr>
        <w:t xml:space="preserve"> </w:t>
      </w:r>
      <w:r w:rsidR="00033D0F">
        <w:t>the</w:t>
      </w:r>
      <w:r w:rsidR="00033D0F">
        <w:rPr>
          <w:spacing w:val="-4"/>
        </w:rPr>
        <w:t xml:space="preserve"> </w:t>
      </w:r>
      <w:r w:rsidR="00033D0F">
        <w:t>effects that supply, demand or raw material costs had on the price of domestic like products.</w:t>
      </w:r>
    </w:p>
    <w:p w14:paraId="61574147" w14:textId="77777777" w:rsidR="00BD462C" w:rsidRDefault="00BD462C">
      <w:pPr>
        <w:pStyle w:val="BodyText"/>
        <w:rPr>
          <w:sz w:val="20"/>
        </w:rPr>
      </w:pPr>
    </w:p>
    <w:p w14:paraId="6B701F20" w14:textId="1D5F12E8" w:rsidR="00BD462C" w:rsidRDefault="00D70C7D">
      <w:pPr>
        <w:pStyle w:val="BodyText"/>
        <w:spacing w:before="8"/>
        <w:rPr>
          <w:sz w:val="25"/>
        </w:rPr>
      </w:pPr>
      <w:r>
        <w:rPr>
          <w:noProof/>
        </w:rPr>
        <mc:AlternateContent>
          <mc:Choice Requires="wps">
            <w:drawing>
              <wp:anchor distT="0" distB="0" distL="0" distR="0" simplePos="0" relativeHeight="487791104" behindDoc="1" locked="0" layoutInCell="1" allowOverlap="1" wp14:anchorId="2EA74823" wp14:editId="556F439A">
                <wp:simplePos x="0" y="0"/>
                <wp:positionH relativeFrom="page">
                  <wp:posOffset>899160</wp:posOffset>
                </wp:positionH>
                <wp:positionV relativeFrom="paragraph">
                  <wp:posOffset>214630</wp:posOffset>
                </wp:positionV>
                <wp:extent cx="1828800" cy="8890"/>
                <wp:effectExtent l="0" t="0" r="0" b="0"/>
                <wp:wrapTopAndBottom/>
                <wp:docPr id="546" name="docshape4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4904D0" id="docshape446" o:spid="_x0000_s1026" alt="&quot;&quot;" style="position:absolute;margin-left:70.8pt;margin-top:16.9pt;width:2in;height:.7pt;z-index:-15525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" fillcolor="black" stroked="f">
                <w10:wrap type="topAndBottom" anchorx="page"/>
              </v:rect>
            </w:pict>
          </mc:Fallback>
        </mc:AlternateContent>
      </w:r>
    </w:p>
    <w:p w14:paraId="476702C4" w14:textId="77777777" w:rsidR="00BD462C" w:rsidRDefault="00033D0F">
      <w:pPr>
        <w:spacing w:before="112"/>
        <w:ind w:left="135"/>
        <w:rPr>
          <w:sz w:val="18"/>
        </w:rPr>
      </w:pPr>
      <w:bookmarkStart w:id="1096" w:name="_bookmark945"/>
      <w:bookmarkEnd w:id="1096"/>
      <w:r>
        <w:rPr>
          <w:position w:val="5"/>
          <w:sz w:val="12"/>
        </w:rPr>
        <w:t>806</w:t>
      </w:r>
      <w:r>
        <w:rPr>
          <w:spacing w:val="12"/>
          <w:position w:val="5"/>
          <w:sz w:val="12"/>
        </w:rPr>
        <w:t xml:space="preserve"> </w:t>
      </w:r>
      <w:r>
        <w:rPr>
          <w:sz w:val="18"/>
        </w:rPr>
        <w:t>China's</w:t>
      </w:r>
      <w:r>
        <w:rPr>
          <w:spacing w:val="-6"/>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 paras.</w:t>
      </w:r>
      <w:r>
        <w:rPr>
          <w:spacing w:val="-5"/>
          <w:sz w:val="18"/>
        </w:rPr>
        <w:t xml:space="preserve"> </w:t>
      </w:r>
      <w:r>
        <w:rPr>
          <w:sz w:val="18"/>
        </w:rPr>
        <w:t>1560-</w:t>
      </w:r>
      <w:r>
        <w:rPr>
          <w:spacing w:val="-2"/>
          <w:sz w:val="18"/>
        </w:rPr>
        <w:t>1565.</w:t>
      </w:r>
    </w:p>
    <w:p w14:paraId="55E1E1A8" w14:textId="77777777" w:rsidR="00BD462C" w:rsidRDefault="00033D0F">
      <w:pPr>
        <w:spacing w:before="1"/>
        <w:ind w:left="135"/>
        <w:rPr>
          <w:sz w:val="18"/>
        </w:rPr>
      </w:pPr>
      <w:bookmarkStart w:id="1097" w:name="_bookmark946"/>
      <w:bookmarkEnd w:id="1097"/>
      <w:r>
        <w:rPr>
          <w:position w:val="5"/>
          <w:sz w:val="12"/>
        </w:rPr>
        <w:t>807</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 xml:space="preserve">submission, para. </w:t>
      </w:r>
      <w:r>
        <w:rPr>
          <w:spacing w:val="-2"/>
          <w:sz w:val="18"/>
        </w:rPr>
        <w:t>1561.</w:t>
      </w:r>
    </w:p>
    <w:p w14:paraId="559ADCAC" w14:textId="77777777" w:rsidR="00BD462C" w:rsidRDefault="00033D0F">
      <w:pPr>
        <w:spacing w:before="1"/>
        <w:ind w:left="135"/>
        <w:rPr>
          <w:sz w:val="18"/>
        </w:rPr>
      </w:pPr>
      <w:bookmarkStart w:id="1098" w:name="_bookmark947"/>
      <w:bookmarkEnd w:id="1098"/>
      <w:r>
        <w:rPr>
          <w:position w:val="5"/>
          <w:sz w:val="12"/>
        </w:rPr>
        <w:t>808</w:t>
      </w:r>
      <w:r>
        <w:rPr>
          <w:spacing w:val="11"/>
          <w:position w:val="5"/>
          <w:sz w:val="12"/>
        </w:rPr>
        <w:t xml:space="preserve"> </w:t>
      </w:r>
      <w:r>
        <w:rPr>
          <w:sz w:val="18"/>
        </w:rPr>
        <w:t>Australia's</w:t>
      </w:r>
      <w:r>
        <w:rPr>
          <w:spacing w:val="-6"/>
          <w:sz w:val="18"/>
        </w:rPr>
        <w:t xml:space="preserve"> </w:t>
      </w:r>
      <w:r>
        <w:rPr>
          <w:sz w:val="18"/>
        </w:rPr>
        <w:t>first</w:t>
      </w:r>
      <w:r>
        <w:rPr>
          <w:spacing w:val="-6"/>
          <w:sz w:val="18"/>
        </w:rPr>
        <w:t xml:space="preserve"> </w:t>
      </w:r>
      <w:r>
        <w:rPr>
          <w:sz w:val="18"/>
        </w:rPr>
        <w:t>written</w:t>
      </w:r>
      <w:r>
        <w:rPr>
          <w:spacing w:val="-3"/>
          <w:sz w:val="18"/>
        </w:rPr>
        <w:t xml:space="preserve"> </w:t>
      </w:r>
      <w:r>
        <w:rPr>
          <w:sz w:val="18"/>
        </w:rPr>
        <w:t>submission,</w:t>
      </w:r>
      <w:r>
        <w:rPr>
          <w:spacing w:val="-1"/>
          <w:sz w:val="18"/>
        </w:rPr>
        <w:t xml:space="preserve"> </w:t>
      </w:r>
      <w:r>
        <w:rPr>
          <w:sz w:val="18"/>
        </w:rPr>
        <w:t>paras.</w:t>
      </w:r>
      <w:r>
        <w:rPr>
          <w:spacing w:val="-6"/>
          <w:sz w:val="18"/>
        </w:rPr>
        <w:t xml:space="preserve"> </w:t>
      </w:r>
      <w:r>
        <w:rPr>
          <w:sz w:val="18"/>
        </w:rPr>
        <w:t>641-644;</w:t>
      </w:r>
      <w:r>
        <w:rPr>
          <w:spacing w:val="-8"/>
          <w:sz w:val="18"/>
        </w:rPr>
        <w:t xml:space="preserve"> </w:t>
      </w:r>
      <w:r>
        <w:rPr>
          <w:sz w:val="18"/>
        </w:rPr>
        <w:t>China's</w:t>
      </w:r>
      <w:r>
        <w:rPr>
          <w:spacing w:val="-7"/>
          <w:sz w:val="18"/>
        </w:rPr>
        <w:t xml:space="preserve"> </w:t>
      </w:r>
      <w:r>
        <w:rPr>
          <w:sz w:val="18"/>
        </w:rPr>
        <w:t>first</w:t>
      </w:r>
      <w:r>
        <w:rPr>
          <w:spacing w:val="-5"/>
          <w:sz w:val="18"/>
        </w:rPr>
        <w:t xml:space="preserve"> </w:t>
      </w:r>
      <w:r>
        <w:rPr>
          <w:sz w:val="18"/>
        </w:rPr>
        <w:t>written</w:t>
      </w:r>
      <w:r>
        <w:rPr>
          <w:spacing w:val="-8"/>
          <w:sz w:val="18"/>
        </w:rPr>
        <w:t xml:space="preserve"> </w:t>
      </w:r>
      <w:r>
        <w:rPr>
          <w:sz w:val="18"/>
        </w:rPr>
        <w:t>submission,</w:t>
      </w:r>
      <w:r>
        <w:rPr>
          <w:spacing w:val="-5"/>
          <w:sz w:val="18"/>
        </w:rPr>
        <w:t xml:space="preserve"> </w:t>
      </w:r>
      <w:r>
        <w:rPr>
          <w:sz w:val="18"/>
        </w:rPr>
        <w:t>paras.</w:t>
      </w:r>
      <w:r>
        <w:rPr>
          <w:spacing w:val="-1"/>
          <w:sz w:val="18"/>
        </w:rPr>
        <w:t xml:space="preserve"> </w:t>
      </w:r>
      <w:r>
        <w:rPr>
          <w:sz w:val="18"/>
        </w:rPr>
        <w:t>1567-</w:t>
      </w:r>
      <w:r>
        <w:rPr>
          <w:spacing w:val="-2"/>
          <w:sz w:val="18"/>
        </w:rPr>
        <w:t>1589.</w:t>
      </w:r>
    </w:p>
    <w:p w14:paraId="311088E1" w14:textId="77777777" w:rsidR="00BD462C" w:rsidRDefault="00BD462C">
      <w:pPr>
        <w:rPr>
          <w:sz w:val="18"/>
        </w:rPr>
        <w:sectPr w:rsidR="00BD462C">
          <w:pgSz w:w="11910" w:h="16840"/>
          <w:pgMar w:top="860" w:right="500" w:bottom="780" w:left="1280" w:header="566" w:footer="590" w:gutter="0"/>
          <w:cols w:space="720"/>
        </w:sectPr>
      </w:pPr>
    </w:p>
    <w:p w14:paraId="625FE3C5"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13B1FA13"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2DD367E5"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2245907D" w14:textId="4ECCFB73" w:rsidR="00BD462C" w:rsidRDefault="00AF1D30">
      <w:pPr>
        <w:pStyle w:val="BodyText"/>
        <w:spacing w:before="107" w:line="357" w:lineRule="auto"/>
        <w:ind w:left="136" w:right="917"/>
        <w:jc w:val="both"/>
      </w:pPr>
      <w:r>
        <w:rPr>
          <w:noProof/>
        </w:rPr>
        <w:t>540.</w:t>
      </w:r>
      <w:r w:rsidR="00033D0F">
        <w:rPr>
          <w:rFonts w:ascii="Times New Roman"/>
          <w:spacing w:val="80"/>
          <w:position w:val="1"/>
          <w:sz w:val="20"/>
        </w:rPr>
        <w:t xml:space="preserve">  </w:t>
      </w:r>
      <w:r w:rsidR="00033D0F">
        <w:rPr>
          <w:position w:val="1"/>
        </w:rPr>
        <w:t>First,</w:t>
      </w:r>
      <w:r w:rsidR="00033D0F">
        <w:rPr>
          <w:spacing w:val="-10"/>
          <w:position w:val="1"/>
        </w:rPr>
        <w:t xml:space="preserve"> </w:t>
      </w:r>
      <w:r w:rsidR="00033D0F">
        <w:rPr>
          <w:position w:val="1"/>
        </w:rPr>
        <w:t>in</w:t>
      </w:r>
      <w:r w:rsidR="00033D0F">
        <w:rPr>
          <w:spacing w:val="-9"/>
          <w:position w:val="1"/>
        </w:rPr>
        <w:t xml:space="preserve"> </w:t>
      </w:r>
      <w:r w:rsidR="00033D0F">
        <w:rPr>
          <w:position w:val="1"/>
        </w:rPr>
        <w:t>asserting</w:t>
      </w:r>
      <w:r w:rsidR="00033D0F">
        <w:rPr>
          <w:spacing w:val="-6"/>
          <w:position w:val="1"/>
        </w:rPr>
        <w:t xml:space="preserve"> </w:t>
      </w:r>
      <w:r w:rsidR="00033D0F">
        <w:rPr>
          <w:position w:val="1"/>
        </w:rPr>
        <w:t>MOFCOM's</w:t>
      </w:r>
      <w:r w:rsidR="00033D0F">
        <w:rPr>
          <w:spacing w:val="-6"/>
          <w:position w:val="1"/>
        </w:rPr>
        <w:t xml:space="preserve"> </w:t>
      </w:r>
      <w:r w:rsidR="00033D0F">
        <w:rPr>
          <w:position w:val="1"/>
        </w:rPr>
        <w:t>evaluation</w:t>
      </w:r>
      <w:r w:rsidR="00033D0F">
        <w:rPr>
          <w:spacing w:val="-9"/>
          <w:position w:val="1"/>
        </w:rPr>
        <w:t xml:space="preserve"> </w:t>
      </w:r>
      <w:r w:rsidR="00033D0F">
        <w:rPr>
          <w:position w:val="1"/>
        </w:rPr>
        <w:t>of</w:t>
      </w:r>
      <w:r w:rsidR="00033D0F">
        <w:rPr>
          <w:spacing w:val="-9"/>
          <w:position w:val="1"/>
        </w:rPr>
        <w:t xml:space="preserve"> </w:t>
      </w:r>
      <w:r w:rsidR="00033D0F">
        <w:rPr>
          <w:position w:val="1"/>
        </w:rPr>
        <w:t>the</w:t>
      </w:r>
      <w:r w:rsidR="00033D0F">
        <w:rPr>
          <w:spacing w:val="-7"/>
          <w:position w:val="1"/>
        </w:rPr>
        <w:t xml:space="preserve"> </w:t>
      </w:r>
      <w:r w:rsidR="00033D0F">
        <w:rPr>
          <w:position w:val="1"/>
        </w:rPr>
        <w:t>effect(s)</w:t>
      </w:r>
      <w:r w:rsidR="00033D0F">
        <w:rPr>
          <w:spacing w:val="-9"/>
          <w:position w:val="1"/>
        </w:rPr>
        <w:t xml:space="preserve"> </w:t>
      </w:r>
      <w:r w:rsidR="00033D0F">
        <w:rPr>
          <w:position w:val="1"/>
        </w:rPr>
        <w:t>of</w:t>
      </w:r>
      <w:r w:rsidR="00033D0F">
        <w:rPr>
          <w:spacing w:val="-9"/>
          <w:position w:val="1"/>
        </w:rPr>
        <w:t xml:space="preserve"> </w:t>
      </w:r>
      <w:r w:rsidR="00033D0F">
        <w:rPr>
          <w:position w:val="1"/>
        </w:rPr>
        <w:t>supply</w:t>
      </w:r>
      <w:r w:rsidR="00033D0F">
        <w:rPr>
          <w:spacing w:val="-6"/>
          <w:position w:val="1"/>
        </w:rPr>
        <w:t xml:space="preserve"> </w:t>
      </w:r>
      <w:r w:rsidR="00033D0F">
        <w:rPr>
          <w:position w:val="1"/>
        </w:rPr>
        <w:t>on</w:t>
      </w:r>
      <w:r w:rsidR="00033D0F">
        <w:rPr>
          <w:spacing w:val="-9"/>
          <w:position w:val="1"/>
        </w:rPr>
        <w:t xml:space="preserve"> </w:t>
      </w:r>
      <w:r w:rsidR="00033D0F">
        <w:rPr>
          <w:position w:val="1"/>
        </w:rPr>
        <w:t>domestic</w:t>
      </w:r>
      <w:r w:rsidR="00033D0F">
        <w:rPr>
          <w:spacing w:val="-8"/>
          <w:position w:val="1"/>
        </w:rPr>
        <w:t xml:space="preserve"> </w:t>
      </w:r>
      <w:r w:rsidR="00033D0F">
        <w:rPr>
          <w:position w:val="1"/>
        </w:rPr>
        <w:t xml:space="preserve">prices, </w:t>
      </w:r>
      <w:r w:rsidR="00033D0F">
        <w:t>China</w:t>
      </w:r>
      <w:r w:rsidR="00033D0F">
        <w:rPr>
          <w:spacing w:val="-8"/>
        </w:rPr>
        <w:t xml:space="preserve"> </w:t>
      </w:r>
      <w:r w:rsidR="00033D0F">
        <w:t>relies</w:t>
      </w:r>
      <w:r w:rsidR="00033D0F">
        <w:rPr>
          <w:spacing w:val="-6"/>
        </w:rPr>
        <w:t xml:space="preserve"> </w:t>
      </w:r>
      <w:r w:rsidR="00033D0F">
        <w:t>on</w:t>
      </w:r>
      <w:r w:rsidR="00033D0F">
        <w:rPr>
          <w:spacing w:val="-9"/>
        </w:rPr>
        <w:t xml:space="preserve"> </w:t>
      </w:r>
      <w:r w:rsidR="00033D0F">
        <w:t>the</w:t>
      </w:r>
      <w:r w:rsidR="00033D0F">
        <w:rPr>
          <w:spacing w:val="-7"/>
        </w:rPr>
        <w:t xml:space="preserve"> </w:t>
      </w:r>
      <w:r w:rsidR="00033D0F">
        <w:t>following</w:t>
      </w:r>
      <w:r w:rsidR="00033D0F">
        <w:rPr>
          <w:spacing w:val="-6"/>
        </w:rPr>
        <w:t xml:space="preserve"> </w:t>
      </w:r>
      <w:r w:rsidR="00033D0F">
        <w:t>extracts</w:t>
      </w:r>
      <w:r w:rsidR="00033D0F">
        <w:rPr>
          <w:spacing w:val="-6"/>
        </w:rPr>
        <w:t xml:space="preserve"> </w:t>
      </w:r>
      <w:r w:rsidR="00033D0F">
        <w:t>of</w:t>
      </w:r>
      <w:r w:rsidR="00033D0F">
        <w:rPr>
          <w:spacing w:val="-9"/>
        </w:rPr>
        <w:t xml:space="preserve"> </w:t>
      </w:r>
      <w:r w:rsidR="00033D0F">
        <w:t>the</w:t>
      </w:r>
      <w:r w:rsidR="00033D0F">
        <w:rPr>
          <w:spacing w:val="-7"/>
        </w:rPr>
        <w:t xml:space="preserve"> </w:t>
      </w:r>
      <w:r w:rsidR="00033D0F">
        <w:t>Final Determination,</w:t>
      </w:r>
      <w:r w:rsidR="00033D0F">
        <w:rPr>
          <w:spacing w:val="-5"/>
        </w:rPr>
        <w:t xml:space="preserve"> </w:t>
      </w:r>
      <w:r w:rsidR="00033D0F">
        <w:t>none</w:t>
      </w:r>
      <w:r w:rsidR="00033D0F">
        <w:rPr>
          <w:spacing w:val="-7"/>
        </w:rPr>
        <w:t xml:space="preserve"> </w:t>
      </w:r>
      <w:r w:rsidR="00033D0F">
        <w:t>of</w:t>
      </w:r>
      <w:r w:rsidR="00033D0F">
        <w:rPr>
          <w:spacing w:val="-9"/>
        </w:rPr>
        <w:t xml:space="preserve"> </w:t>
      </w:r>
      <w:r w:rsidR="00033D0F">
        <w:t>which</w:t>
      </w:r>
      <w:r w:rsidR="00033D0F">
        <w:rPr>
          <w:spacing w:val="-4"/>
        </w:rPr>
        <w:t xml:space="preserve"> </w:t>
      </w:r>
      <w:r w:rsidR="00033D0F">
        <w:t>evidence</w:t>
      </w:r>
      <w:r w:rsidR="00033D0F">
        <w:rPr>
          <w:spacing w:val="-7"/>
        </w:rPr>
        <w:t xml:space="preserve"> </w:t>
      </w:r>
      <w:r w:rsidR="00033D0F">
        <w:t>that such an evaluation took place:</w:t>
      </w:r>
      <w:hyperlink w:anchor="_bookmark948" w:history="1">
        <w:r w:rsidR="00033D0F">
          <w:rPr>
            <w:vertAlign w:val="superscript"/>
          </w:rPr>
          <w:t>809</w:t>
        </w:r>
      </w:hyperlink>
    </w:p>
    <w:p w14:paraId="61C4CC25" w14:textId="77777777" w:rsidR="00BD462C" w:rsidRDefault="00033D0F">
      <w:pPr>
        <w:pStyle w:val="ListParagraph"/>
        <w:numPr>
          <w:ilvl w:val="0"/>
          <w:numId w:val="46"/>
        </w:numPr>
        <w:tabs>
          <w:tab w:val="left" w:pos="1835"/>
          <w:tab w:val="left" w:pos="1836"/>
        </w:tabs>
        <w:spacing w:before="161" w:line="357" w:lineRule="auto"/>
        <w:ind w:right="911" w:hanging="855"/>
        <w:jc w:val="both"/>
        <w:rPr>
          <w:sz w:val="24"/>
        </w:rPr>
      </w:pPr>
      <w:r>
        <w:rPr>
          <w:sz w:val="24"/>
        </w:rPr>
        <w:t>pages 54, 58 – 59, 63 – 64, 66 – 67.</w:t>
      </w:r>
      <w:hyperlink w:anchor="_bookmark949" w:history="1">
        <w:r>
          <w:rPr>
            <w:sz w:val="24"/>
            <w:vertAlign w:val="superscript"/>
          </w:rPr>
          <w:t>810</w:t>
        </w:r>
      </w:hyperlink>
      <w:r>
        <w:rPr>
          <w:sz w:val="24"/>
        </w:rPr>
        <w:t xml:space="preserve"> These extracts relate to MOFCOM's purported evaluation of the effect of volume and price of </w:t>
      </w:r>
      <w:r>
        <w:rPr>
          <w:i/>
          <w:sz w:val="24"/>
        </w:rPr>
        <w:t xml:space="preserve">subject imports </w:t>
      </w:r>
      <w:r>
        <w:rPr>
          <w:sz w:val="24"/>
        </w:rPr>
        <w:t>only</w:t>
      </w:r>
      <w:r>
        <w:rPr>
          <w:spacing w:val="-7"/>
          <w:sz w:val="24"/>
        </w:rPr>
        <w:t xml:space="preserve"> </w:t>
      </w:r>
      <w:r>
        <w:rPr>
          <w:sz w:val="24"/>
        </w:rPr>
        <w:t>on</w:t>
      </w:r>
      <w:r>
        <w:rPr>
          <w:spacing w:val="-9"/>
          <w:sz w:val="24"/>
        </w:rPr>
        <w:t xml:space="preserve"> </w:t>
      </w:r>
      <w:r>
        <w:rPr>
          <w:sz w:val="24"/>
        </w:rPr>
        <w:t>the</w:t>
      </w:r>
      <w:r>
        <w:rPr>
          <w:spacing w:val="-8"/>
          <w:sz w:val="24"/>
        </w:rPr>
        <w:t xml:space="preserve"> </w:t>
      </w:r>
      <w:r>
        <w:rPr>
          <w:sz w:val="24"/>
        </w:rPr>
        <w:t>price</w:t>
      </w:r>
      <w:r>
        <w:rPr>
          <w:spacing w:val="-8"/>
          <w:sz w:val="24"/>
        </w:rPr>
        <w:t xml:space="preserve"> </w:t>
      </w:r>
      <w:r>
        <w:rPr>
          <w:sz w:val="24"/>
        </w:rPr>
        <w:t>of</w:t>
      </w:r>
      <w:r>
        <w:rPr>
          <w:spacing w:val="-5"/>
          <w:sz w:val="24"/>
        </w:rPr>
        <w:t xml:space="preserve"> </w:t>
      </w:r>
      <w:r>
        <w:rPr>
          <w:sz w:val="24"/>
        </w:rPr>
        <w:t>domestic</w:t>
      </w:r>
      <w:r>
        <w:rPr>
          <w:spacing w:val="-9"/>
          <w:sz w:val="24"/>
        </w:rPr>
        <w:t xml:space="preserve"> </w:t>
      </w:r>
      <w:r>
        <w:rPr>
          <w:sz w:val="24"/>
        </w:rPr>
        <w:t>like</w:t>
      </w:r>
      <w:r>
        <w:rPr>
          <w:spacing w:val="-8"/>
          <w:sz w:val="24"/>
        </w:rPr>
        <w:t xml:space="preserve"> </w:t>
      </w:r>
      <w:r>
        <w:rPr>
          <w:sz w:val="24"/>
        </w:rPr>
        <w:t>products</w:t>
      </w:r>
      <w:r>
        <w:rPr>
          <w:spacing w:val="-7"/>
          <w:sz w:val="24"/>
        </w:rPr>
        <w:t xml:space="preserve"> </w:t>
      </w:r>
      <w:r>
        <w:rPr>
          <w:sz w:val="24"/>
        </w:rPr>
        <w:t>–</w:t>
      </w:r>
      <w:r>
        <w:rPr>
          <w:spacing w:val="-8"/>
          <w:sz w:val="24"/>
        </w:rPr>
        <w:t xml:space="preserve"> </w:t>
      </w:r>
      <w:r>
        <w:rPr>
          <w:sz w:val="24"/>
        </w:rPr>
        <w:t>not</w:t>
      </w:r>
      <w:r>
        <w:rPr>
          <w:spacing w:val="-8"/>
          <w:sz w:val="24"/>
        </w:rPr>
        <w:t xml:space="preserve"> </w:t>
      </w:r>
      <w:r>
        <w:rPr>
          <w:sz w:val="24"/>
        </w:rPr>
        <w:t>the</w:t>
      </w:r>
      <w:r>
        <w:rPr>
          <w:spacing w:val="-8"/>
          <w:sz w:val="24"/>
        </w:rPr>
        <w:t xml:space="preserve"> </w:t>
      </w:r>
      <w:r>
        <w:rPr>
          <w:sz w:val="24"/>
        </w:rPr>
        <w:t>effect(s)</w:t>
      </w:r>
      <w:r>
        <w:rPr>
          <w:spacing w:val="-9"/>
          <w:sz w:val="24"/>
        </w:rPr>
        <w:t xml:space="preserve"> </w:t>
      </w:r>
      <w:r>
        <w:rPr>
          <w:sz w:val="24"/>
        </w:rPr>
        <w:t>of</w:t>
      </w:r>
      <w:r>
        <w:rPr>
          <w:spacing w:val="-5"/>
          <w:sz w:val="24"/>
        </w:rPr>
        <w:t xml:space="preserve"> </w:t>
      </w:r>
      <w:r>
        <w:rPr>
          <w:sz w:val="24"/>
        </w:rPr>
        <w:t>supply</w:t>
      </w:r>
      <w:r>
        <w:rPr>
          <w:spacing w:val="-7"/>
          <w:sz w:val="24"/>
        </w:rPr>
        <w:t xml:space="preserve"> </w:t>
      </w:r>
      <w:r>
        <w:rPr>
          <w:sz w:val="24"/>
        </w:rPr>
        <w:t xml:space="preserve">from all sources on domestic </w:t>
      </w:r>
      <w:proofErr w:type="gramStart"/>
      <w:r>
        <w:rPr>
          <w:sz w:val="24"/>
        </w:rPr>
        <w:t>prices;</w:t>
      </w:r>
      <w:proofErr w:type="gramEnd"/>
    </w:p>
    <w:p w14:paraId="55D8A53F" w14:textId="77777777" w:rsidR="00BD462C" w:rsidRDefault="00033D0F">
      <w:pPr>
        <w:pStyle w:val="ListParagraph"/>
        <w:numPr>
          <w:ilvl w:val="0"/>
          <w:numId w:val="46"/>
        </w:numPr>
        <w:tabs>
          <w:tab w:val="left" w:pos="1835"/>
          <w:tab w:val="left" w:pos="1836"/>
        </w:tabs>
        <w:spacing w:before="127" w:line="360" w:lineRule="auto"/>
        <w:ind w:left="1839" w:right="914" w:hanging="855"/>
        <w:jc w:val="both"/>
        <w:rPr>
          <w:sz w:val="24"/>
        </w:rPr>
      </w:pPr>
      <w:r>
        <w:rPr>
          <w:sz w:val="24"/>
        </w:rPr>
        <w:t>pages 58-59, 61, 63-64, 66-67, 69-70.</w:t>
      </w:r>
      <w:hyperlink w:anchor="_bookmark950" w:history="1">
        <w:r>
          <w:rPr>
            <w:sz w:val="24"/>
            <w:vertAlign w:val="superscript"/>
          </w:rPr>
          <w:t>811</w:t>
        </w:r>
      </w:hyperlink>
      <w:r>
        <w:rPr>
          <w:sz w:val="24"/>
        </w:rPr>
        <w:t xml:space="preserve"> These extracts do not show any evaluation of the effect(s) that </w:t>
      </w:r>
      <w:r>
        <w:rPr>
          <w:i/>
          <w:sz w:val="24"/>
        </w:rPr>
        <w:t xml:space="preserve">supply </w:t>
      </w:r>
      <w:r>
        <w:rPr>
          <w:sz w:val="24"/>
        </w:rPr>
        <w:t>of domestic like products or like products from third countries had on domestic prices; and</w:t>
      </w:r>
    </w:p>
    <w:p w14:paraId="73483AC0" w14:textId="77777777" w:rsidR="00BD462C" w:rsidRDefault="00033D0F">
      <w:pPr>
        <w:pStyle w:val="ListParagraph"/>
        <w:numPr>
          <w:ilvl w:val="0"/>
          <w:numId w:val="46"/>
        </w:numPr>
        <w:tabs>
          <w:tab w:val="left" w:pos="1835"/>
          <w:tab w:val="left" w:pos="1836"/>
        </w:tabs>
        <w:spacing w:before="123" w:line="357" w:lineRule="auto"/>
        <w:ind w:right="919" w:hanging="855"/>
        <w:jc w:val="both"/>
        <w:rPr>
          <w:sz w:val="24"/>
        </w:rPr>
      </w:pPr>
      <w:r>
        <w:rPr>
          <w:sz w:val="24"/>
        </w:rPr>
        <w:t>pages 73 – 74.</w:t>
      </w:r>
      <w:hyperlink w:anchor="_bookmark951" w:history="1">
        <w:r>
          <w:rPr>
            <w:sz w:val="24"/>
            <w:vertAlign w:val="superscript"/>
          </w:rPr>
          <w:t>812</w:t>
        </w:r>
      </w:hyperlink>
      <w:r>
        <w:rPr>
          <w:sz w:val="24"/>
        </w:rPr>
        <w:t xml:space="preserve"> These extracts are data tables. They do not evidence any evaluation or consideration by MOFCOM.</w:t>
      </w:r>
    </w:p>
    <w:p w14:paraId="3502C1ED" w14:textId="0C381EC6" w:rsidR="00BD462C" w:rsidRDefault="00AF1D30">
      <w:pPr>
        <w:pStyle w:val="BodyText"/>
        <w:spacing w:before="134" w:line="357" w:lineRule="auto"/>
        <w:ind w:left="135" w:right="914"/>
        <w:jc w:val="both"/>
      </w:pPr>
      <w:r>
        <w:rPr>
          <w:noProof/>
        </w:rPr>
        <w:t>541.</w:t>
      </w:r>
      <w:r w:rsidR="00033D0F">
        <w:rPr>
          <w:rFonts w:ascii="Times New Roman"/>
          <w:spacing w:val="80"/>
          <w:position w:val="1"/>
          <w:sz w:val="20"/>
        </w:rPr>
        <w:t xml:space="preserve">  </w:t>
      </w:r>
      <w:r w:rsidR="00033D0F">
        <w:rPr>
          <w:position w:val="1"/>
        </w:rPr>
        <w:t xml:space="preserve">Second, in asserting MOFCOM's evaluation of the effect(s) of demand on domestic </w:t>
      </w:r>
      <w:r w:rsidR="00033D0F">
        <w:t>prices China relies on the following extracts of the Final Determination, none of which evidence that such an evaluation took place:</w:t>
      </w:r>
    </w:p>
    <w:p w14:paraId="45D66369" w14:textId="77777777" w:rsidR="00BD462C" w:rsidRDefault="00033D0F">
      <w:pPr>
        <w:pStyle w:val="ListParagraph"/>
        <w:numPr>
          <w:ilvl w:val="0"/>
          <w:numId w:val="46"/>
        </w:numPr>
        <w:tabs>
          <w:tab w:val="left" w:pos="1835"/>
          <w:tab w:val="left" w:pos="1836"/>
        </w:tabs>
        <w:spacing w:before="161" w:line="357" w:lineRule="auto"/>
        <w:ind w:left="1839" w:right="916" w:hanging="855"/>
        <w:jc w:val="both"/>
        <w:rPr>
          <w:sz w:val="24"/>
        </w:rPr>
      </w:pPr>
      <w:r>
        <w:rPr>
          <w:sz w:val="24"/>
        </w:rPr>
        <w:t>pages 54, 57-58.</w:t>
      </w:r>
      <w:hyperlink w:anchor="_bookmark952" w:history="1">
        <w:r>
          <w:rPr>
            <w:sz w:val="24"/>
            <w:vertAlign w:val="superscript"/>
          </w:rPr>
          <w:t>813</w:t>
        </w:r>
      </w:hyperlink>
      <w:r>
        <w:rPr>
          <w:sz w:val="24"/>
        </w:rPr>
        <w:t xml:space="preserve"> These extracts relate to MOFCOM's purported evaluation of the effect of volume and price of </w:t>
      </w:r>
      <w:r>
        <w:rPr>
          <w:i/>
          <w:sz w:val="24"/>
        </w:rPr>
        <w:t xml:space="preserve">subject imports </w:t>
      </w:r>
      <w:r>
        <w:rPr>
          <w:sz w:val="24"/>
        </w:rPr>
        <w:t>on the price of</w:t>
      </w:r>
      <w:r>
        <w:rPr>
          <w:spacing w:val="-1"/>
          <w:sz w:val="24"/>
        </w:rPr>
        <w:t xml:space="preserve"> </w:t>
      </w:r>
      <w:r>
        <w:rPr>
          <w:sz w:val="24"/>
        </w:rPr>
        <w:t>domestic</w:t>
      </w:r>
      <w:r>
        <w:rPr>
          <w:spacing w:val="-1"/>
          <w:sz w:val="24"/>
        </w:rPr>
        <w:t xml:space="preserve"> </w:t>
      </w:r>
      <w:r>
        <w:rPr>
          <w:sz w:val="24"/>
        </w:rPr>
        <w:t>like products – not the effect(s)</w:t>
      </w:r>
      <w:r>
        <w:rPr>
          <w:spacing w:val="-1"/>
          <w:sz w:val="24"/>
        </w:rPr>
        <w:t xml:space="preserve"> </w:t>
      </w:r>
      <w:r>
        <w:rPr>
          <w:sz w:val="24"/>
        </w:rPr>
        <w:t>of</w:t>
      </w:r>
      <w:r>
        <w:rPr>
          <w:spacing w:val="-1"/>
          <w:sz w:val="24"/>
        </w:rPr>
        <w:t xml:space="preserve"> </w:t>
      </w:r>
      <w:r>
        <w:rPr>
          <w:sz w:val="24"/>
        </w:rPr>
        <w:t>demand</w:t>
      </w:r>
      <w:r>
        <w:rPr>
          <w:spacing w:val="-1"/>
          <w:sz w:val="24"/>
        </w:rPr>
        <w:t xml:space="preserve"> </w:t>
      </w:r>
      <w:r>
        <w:rPr>
          <w:sz w:val="24"/>
        </w:rPr>
        <w:t>on domestic</w:t>
      </w:r>
      <w:r>
        <w:rPr>
          <w:spacing w:val="-1"/>
          <w:sz w:val="24"/>
        </w:rPr>
        <w:t xml:space="preserve"> </w:t>
      </w:r>
      <w:proofErr w:type="gramStart"/>
      <w:r>
        <w:rPr>
          <w:sz w:val="24"/>
        </w:rPr>
        <w:t>prices;</w:t>
      </w:r>
      <w:proofErr w:type="gramEnd"/>
    </w:p>
    <w:p w14:paraId="4CB08378" w14:textId="77777777" w:rsidR="00BD462C" w:rsidRDefault="00033D0F">
      <w:pPr>
        <w:pStyle w:val="ListParagraph"/>
        <w:numPr>
          <w:ilvl w:val="0"/>
          <w:numId w:val="46"/>
        </w:numPr>
        <w:tabs>
          <w:tab w:val="left" w:pos="1835"/>
          <w:tab w:val="left" w:pos="1836"/>
        </w:tabs>
        <w:spacing w:before="127" w:line="357" w:lineRule="auto"/>
        <w:ind w:right="925" w:hanging="855"/>
        <w:jc w:val="both"/>
        <w:rPr>
          <w:sz w:val="24"/>
        </w:rPr>
      </w:pPr>
      <w:r>
        <w:rPr>
          <w:sz w:val="24"/>
        </w:rPr>
        <w:t>pages 60, 61 and 63.</w:t>
      </w:r>
      <w:hyperlink w:anchor="_bookmark953" w:history="1">
        <w:r>
          <w:rPr>
            <w:sz w:val="24"/>
            <w:vertAlign w:val="superscript"/>
          </w:rPr>
          <w:t>814</w:t>
        </w:r>
      </w:hyperlink>
      <w:r>
        <w:rPr>
          <w:sz w:val="24"/>
        </w:rPr>
        <w:t xml:space="preserve"> These extracts do not show any evaluation of the effect(s) of demand on domestic prices; and</w:t>
      </w:r>
    </w:p>
    <w:p w14:paraId="2AB061A5" w14:textId="77777777" w:rsidR="00BD462C" w:rsidRDefault="00033D0F">
      <w:pPr>
        <w:pStyle w:val="ListParagraph"/>
        <w:numPr>
          <w:ilvl w:val="0"/>
          <w:numId w:val="46"/>
        </w:numPr>
        <w:tabs>
          <w:tab w:val="left" w:pos="1835"/>
          <w:tab w:val="left" w:pos="1836"/>
        </w:tabs>
        <w:spacing w:before="126" w:line="357" w:lineRule="auto"/>
        <w:ind w:right="911" w:hanging="855"/>
        <w:jc w:val="both"/>
        <w:rPr>
          <w:sz w:val="24"/>
        </w:rPr>
      </w:pPr>
      <w:r>
        <w:rPr>
          <w:sz w:val="24"/>
        </w:rPr>
        <w:t>pages 69, 71.</w:t>
      </w:r>
      <w:hyperlink w:anchor="_bookmark954" w:history="1">
        <w:r>
          <w:rPr>
            <w:sz w:val="24"/>
            <w:vertAlign w:val="superscript"/>
          </w:rPr>
          <w:t>815</w:t>
        </w:r>
      </w:hyperlink>
      <w:r>
        <w:rPr>
          <w:sz w:val="24"/>
        </w:rPr>
        <w:t xml:space="preserve"> As China identifies, these extracts relate to MOFCOM's purported evaluation of "how the effect of the dumped imports – and not changes</w:t>
      </w:r>
      <w:r>
        <w:rPr>
          <w:spacing w:val="80"/>
          <w:sz w:val="24"/>
        </w:rPr>
        <w:t xml:space="preserve"> </w:t>
      </w:r>
      <w:r>
        <w:rPr>
          <w:sz w:val="24"/>
        </w:rPr>
        <w:t>in</w:t>
      </w:r>
      <w:r>
        <w:rPr>
          <w:spacing w:val="80"/>
          <w:sz w:val="24"/>
        </w:rPr>
        <w:t xml:space="preserve"> </w:t>
      </w:r>
      <w:r>
        <w:rPr>
          <w:sz w:val="24"/>
        </w:rPr>
        <w:t>apparent</w:t>
      </w:r>
      <w:r>
        <w:rPr>
          <w:spacing w:val="80"/>
          <w:sz w:val="24"/>
        </w:rPr>
        <w:t xml:space="preserve"> </w:t>
      </w:r>
      <w:r>
        <w:rPr>
          <w:sz w:val="24"/>
        </w:rPr>
        <w:t>consumption</w:t>
      </w:r>
      <w:r>
        <w:rPr>
          <w:spacing w:val="80"/>
          <w:sz w:val="24"/>
        </w:rPr>
        <w:t xml:space="preserve"> </w:t>
      </w:r>
      <w:r>
        <w:rPr>
          <w:sz w:val="24"/>
        </w:rPr>
        <w:t>–</w:t>
      </w:r>
      <w:r>
        <w:rPr>
          <w:spacing w:val="80"/>
          <w:sz w:val="24"/>
        </w:rPr>
        <w:t xml:space="preserve"> </w:t>
      </w:r>
      <w:r>
        <w:rPr>
          <w:sz w:val="24"/>
        </w:rPr>
        <w:t>affected</w:t>
      </w:r>
      <w:r>
        <w:rPr>
          <w:spacing w:val="80"/>
          <w:sz w:val="24"/>
        </w:rPr>
        <w:t xml:space="preserve"> </w:t>
      </w:r>
      <w:r>
        <w:rPr>
          <w:sz w:val="24"/>
        </w:rPr>
        <w:t>the</w:t>
      </w:r>
      <w:r>
        <w:rPr>
          <w:spacing w:val="80"/>
          <w:sz w:val="24"/>
        </w:rPr>
        <w:t xml:space="preserve"> </w:t>
      </w:r>
      <w:r>
        <w:rPr>
          <w:sz w:val="24"/>
        </w:rPr>
        <w:t>domestic</w:t>
      </w:r>
      <w:r>
        <w:rPr>
          <w:spacing w:val="80"/>
          <w:sz w:val="24"/>
        </w:rPr>
        <w:t xml:space="preserve"> </w:t>
      </w:r>
      <w:r>
        <w:rPr>
          <w:sz w:val="24"/>
        </w:rPr>
        <w:t>industry</w:t>
      </w:r>
    </w:p>
    <w:p w14:paraId="4B9EC29E" w14:textId="77777777" w:rsidR="00BD462C" w:rsidRDefault="00BD462C">
      <w:pPr>
        <w:pStyle w:val="BodyText"/>
        <w:rPr>
          <w:sz w:val="20"/>
        </w:rPr>
      </w:pPr>
    </w:p>
    <w:p w14:paraId="249D12C6" w14:textId="77777777" w:rsidR="00BD462C" w:rsidRDefault="00BD462C">
      <w:pPr>
        <w:pStyle w:val="BodyText"/>
        <w:rPr>
          <w:sz w:val="20"/>
        </w:rPr>
      </w:pPr>
    </w:p>
    <w:p w14:paraId="38E5F492" w14:textId="1C59A504" w:rsidR="00BD462C" w:rsidRDefault="00D70C7D">
      <w:pPr>
        <w:pStyle w:val="BodyText"/>
        <w:spacing w:before="6"/>
        <w:rPr>
          <w:sz w:val="18"/>
        </w:rPr>
      </w:pPr>
      <w:r>
        <w:rPr>
          <w:noProof/>
        </w:rPr>
        <mc:AlternateContent>
          <mc:Choice Requires="wps">
            <w:drawing>
              <wp:anchor distT="0" distB="0" distL="0" distR="0" simplePos="0" relativeHeight="487791616" behindDoc="1" locked="0" layoutInCell="1" allowOverlap="1" wp14:anchorId="364E86B1" wp14:editId="4A1D5EFA">
                <wp:simplePos x="0" y="0"/>
                <wp:positionH relativeFrom="page">
                  <wp:posOffset>899160</wp:posOffset>
                </wp:positionH>
                <wp:positionV relativeFrom="paragraph">
                  <wp:posOffset>158750</wp:posOffset>
                </wp:positionV>
                <wp:extent cx="1828800" cy="8890"/>
                <wp:effectExtent l="0" t="0" r="0" b="0"/>
                <wp:wrapTopAndBottom/>
                <wp:docPr id="544" name="docshape4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DEE2C9" id="docshape447" o:spid="_x0000_s1026" alt="&quot;&quot;" style="position:absolute;margin-left:70.8pt;margin-top:12.5pt;width:2in;height:.7pt;z-index:-15524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" fillcolor="black" stroked="f">
                <w10:wrap type="topAndBottom" anchorx="page"/>
              </v:rect>
            </w:pict>
          </mc:Fallback>
        </mc:AlternateContent>
      </w:r>
    </w:p>
    <w:p w14:paraId="68E4592E" w14:textId="77777777" w:rsidR="00BD462C" w:rsidRDefault="00033D0F">
      <w:pPr>
        <w:spacing w:before="112"/>
        <w:ind w:left="136" w:right="597" w:hanging="1"/>
        <w:rPr>
          <w:sz w:val="18"/>
        </w:rPr>
      </w:pPr>
      <w:bookmarkStart w:id="1099" w:name="_bookmark948"/>
      <w:bookmarkEnd w:id="1099"/>
      <w:r>
        <w:rPr>
          <w:position w:val="5"/>
          <w:sz w:val="12"/>
        </w:rPr>
        <w:t>809</w:t>
      </w:r>
      <w:r>
        <w:rPr>
          <w:spacing w:val="12"/>
          <w:position w:val="5"/>
          <w:sz w:val="12"/>
        </w:rPr>
        <w:t xml:space="preserve"> </w:t>
      </w:r>
      <w:r>
        <w:rPr>
          <w:sz w:val="18"/>
        </w:rPr>
        <w:t>Australia</w:t>
      </w:r>
      <w:r>
        <w:rPr>
          <w:spacing w:val="-9"/>
          <w:sz w:val="18"/>
        </w:rPr>
        <w:t xml:space="preserve"> </w:t>
      </w:r>
      <w:r>
        <w:rPr>
          <w:sz w:val="18"/>
        </w:rPr>
        <w:t>notes</w:t>
      </w:r>
      <w:r>
        <w:rPr>
          <w:spacing w:val="-2"/>
          <w:sz w:val="18"/>
        </w:rPr>
        <w:t xml:space="preserve"> </w:t>
      </w:r>
      <w:r>
        <w:rPr>
          <w:sz w:val="18"/>
        </w:rPr>
        <w:t>China's</w:t>
      </w:r>
      <w:r>
        <w:rPr>
          <w:spacing w:val="-2"/>
          <w:sz w:val="18"/>
        </w:rPr>
        <w:t xml:space="preserve"> </w:t>
      </w:r>
      <w:r>
        <w:rPr>
          <w:sz w:val="18"/>
        </w:rPr>
        <w:t>assertion</w:t>
      </w:r>
      <w:r>
        <w:rPr>
          <w:spacing w:val="-3"/>
          <w:sz w:val="18"/>
        </w:rPr>
        <w:t xml:space="preserve"> </w:t>
      </w:r>
      <w:r>
        <w:rPr>
          <w:sz w:val="18"/>
        </w:rPr>
        <w:t>at</w:t>
      </w:r>
      <w:r>
        <w:rPr>
          <w:spacing w:val="-6"/>
          <w:sz w:val="18"/>
        </w:rPr>
        <w:t xml:space="preserve"> </w:t>
      </w:r>
      <w:r>
        <w:rPr>
          <w:sz w:val="18"/>
        </w:rPr>
        <w:t>paragraph</w:t>
      </w:r>
      <w:r>
        <w:rPr>
          <w:spacing w:val="-7"/>
          <w:sz w:val="18"/>
        </w:rPr>
        <w:t xml:space="preserve"> </w:t>
      </w:r>
      <w:r>
        <w:rPr>
          <w:sz w:val="18"/>
        </w:rPr>
        <w:t>231</w:t>
      </w:r>
      <w:r>
        <w:rPr>
          <w:spacing w:val="-4"/>
          <w:sz w:val="18"/>
        </w:rPr>
        <w:t xml:space="preserve"> </w:t>
      </w:r>
      <w:r>
        <w:rPr>
          <w:sz w:val="18"/>
        </w:rPr>
        <w:t>of</w:t>
      </w:r>
      <w:r>
        <w:rPr>
          <w:spacing w:val="-6"/>
          <w:sz w:val="18"/>
        </w:rPr>
        <w:t xml:space="preserve"> </w:t>
      </w:r>
      <w:r>
        <w:rPr>
          <w:sz w:val="18"/>
        </w:rPr>
        <w:t>its</w:t>
      </w:r>
      <w:r>
        <w:rPr>
          <w:spacing w:val="-2"/>
          <w:sz w:val="18"/>
        </w:rPr>
        <w:t xml:space="preserve"> </w:t>
      </w:r>
      <w:r>
        <w:rPr>
          <w:sz w:val="18"/>
        </w:rPr>
        <w:t>response</w:t>
      </w:r>
      <w:r>
        <w:rPr>
          <w:spacing w:val="-2"/>
          <w:sz w:val="18"/>
        </w:rPr>
        <w:t xml:space="preserve"> </w:t>
      </w:r>
      <w:r>
        <w:rPr>
          <w:sz w:val="18"/>
        </w:rPr>
        <w:t>to</w:t>
      </w:r>
      <w:r>
        <w:rPr>
          <w:spacing w:val="-3"/>
          <w:sz w:val="18"/>
        </w:rPr>
        <w:t xml:space="preserve"> </w:t>
      </w:r>
      <w:r>
        <w:rPr>
          <w:sz w:val="18"/>
        </w:rPr>
        <w:t>Panel</w:t>
      </w:r>
      <w:r>
        <w:rPr>
          <w:spacing w:val="-1"/>
          <w:sz w:val="18"/>
        </w:rPr>
        <w:t xml:space="preserve"> </w:t>
      </w:r>
      <w:r>
        <w:rPr>
          <w:sz w:val="18"/>
        </w:rPr>
        <w:t>question</w:t>
      </w:r>
      <w:r>
        <w:rPr>
          <w:spacing w:val="-7"/>
          <w:sz w:val="18"/>
        </w:rPr>
        <w:t xml:space="preserve"> </w:t>
      </w:r>
      <w:r>
        <w:rPr>
          <w:sz w:val="18"/>
        </w:rPr>
        <w:t>No.</w:t>
      </w:r>
      <w:r>
        <w:rPr>
          <w:spacing w:val="-1"/>
          <w:sz w:val="18"/>
        </w:rPr>
        <w:t xml:space="preserve"> </w:t>
      </w:r>
      <w:r>
        <w:rPr>
          <w:sz w:val="18"/>
        </w:rPr>
        <w:t>40.</w:t>
      </w:r>
      <w:r>
        <w:rPr>
          <w:spacing w:val="-1"/>
          <w:sz w:val="18"/>
        </w:rPr>
        <w:t xml:space="preserve"> </w:t>
      </w:r>
      <w:r>
        <w:rPr>
          <w:sz w:val="18"/>
        </w:rPr>
        <w:t>Australia</w:t>
      </w:r>
      <w:r>
        <w:rPr>
          <w:spacing w:val="-9"/>
          <w:sz w:val="18"/>
        </w:rPr>
        <w:t xml:space="preserve"> </w:t>
      </w:r>
      <w:r>
        <w:rPr>
          <w:sz w:val="18"/>
        </w:rPr>
        <w:t>does</w:t>
      </w:r>
      <w:r>
        <w:rPr>
          <w:spacing w:val="-2"/>
          <w:sz w:val="18"/>
        </w:rPr>
        <w:t xml:space="preserve"> </w:t>
      </w:r>
      <w:r>
        <w:rPr>
          <w:sz w:val="18"/>
        </w:rPr>
        <w:t>not</w:t>
      </w:r>
      <w:r>
        <w:rPr>
          <w:spacing w:val="-1"/>
          <w:sz w:val="18"/>
        </w:rPr>
        <w:t xml:space="preserve"> </w:t>
      </w:r>
      <w:r>
        <w:rPr>
          <w:sz w:val="18"/>
        </w:rPr>
        <w:t>accept</w:t>
      </w:r>
      <w:r>
        <w:rPr>
          <w:spacing w:val="-6"/>
          <w:sz w:val="18"/>
        </w:rPr>
        <w:t xml:space="preserve"> </w:t>
      </w:r>
      <w:r>
        <w:rPr>
          <w:sz w:val="18"/>
        </w:rPr>
        <w:t>that MOFCOM gave any consideration to the impact of supply on domestic prices.</w:t>
      </w:r>
    </w:p>
    <w:p w14:paraId="1B3E393E" w14:textId="77777777" w:rsidR="00BD462C" w:rsidRDefault="00033D0F">
      <w:pPr>
        <w:spacing w:before="2" w:line="218" w:lineRule="exact"/>
        <w:ind w:left="135"/>
        <w:rPr>
          <w:sz w:val="18"/>
        </w:rPr>
      </w:pPr>
      <w:bookmarkStart w:id="1100" w:name="_bookmark949"/>
      <w:bookmarkEnd w:id="1100"/>
      <w:r>
        <w:rPr>
          <w:position w:val="5"/>
          <w:sz w:val="12"/>
        </w:rPr>
        <w:t>810</w:t>
      </w:r>
      <w:r>
        <w:rPr>
          <w:spacing w:val="14"/>
          <w:position w:val="5"/>
          <w:sz w:val="12"/>
        </w:rPr>
        <w:t xml:space="preserve"> </w:t>
      </w:r>
      <w:r>
        <w:rPr>
          <w:sz w:val="18"/>
        </w:rPr>
        <w:t>China's</w:t>
      </w:r>
      <w:r>
        <w:rPr>
          <w:spacing w:val="1"/>
          <w:sz w:val="18"/>
        </w:rPr>
        <w:t xml:space="preserve"> </w:t>
      </w:r>
      <w:r>
        <w:rPr>
          <w:sz w:val="18"/>
        </w:rPr>
        <w:t>response</w:t>
      </w:r>
      <w:r>
        <w:rPr>
          <w:spacing w:val="-4"/>
          <w:sz w:val="18"/>
        </w:rPr>
        <w:t xml:space="preserve"> </w:t>
      </w:r>
      <w:r>
        <w:rPr>
          <w:sz w:val="18"/>
        </w:rPr>
        <w:t>to</w:t>
      </w:r>
      <w:r>
        <w:rPr>
          <w:spacing w:val="-9"/>
          <w:sz w:val="18"/>
        </w:rPr>
        <w:t xml:space="preserve"> </w:t>
      </w:r>
      <w:r>
        <w:rPr>
          <w:sz w:val="18"/>
        </w:rPr>
        <w:t>Panel</w:t>
      </w:r>
      <w:r>
        <w:rPr>
          <w:spacing w:val="-3"/>
          <w:sz w:val="18"/>
        </w:rPr>
        <w:t xml:space="preserve"> </w:t>
      </w:r>
      <w:r>
        <w:rPr>
          <w:sz w:val="18"/>
        </w:rPr>
        <w:t>question</w:t>
      </w:r>
      <w:r>
        <w:rPr>
          <w:spacing w:val="-5"/>
          <w:sz w:val="18"/>
        </w:rPr>
        <w:t xml:space="preserve"> </w:t>
      </w:r>
      <w:r>
        <w:rPr>
          <w:sz w:val="18"/>
        </w:rPr>
        <w:t>No.</w:t>
      </w:r>
      <w:r>
        <w:rPr>
          <w:spacing w:val="2"/>
          <w:sz w:val="18"/>
        </w:rPr>
        <w:t xml:space="preserve"> </w:t>
      </w:r>
      <w:r>
        <w:rPr>
          <w:sz w:val="18"/>
        </w:rPr>
        <w:t>40,</w:t>
      </w:r>
      <w:r>
        <w:rPr>
          <w:spacing w:val="-2"/>
          <w:sz w:val="18"/>
        </w:rPr>
        <w:t xml:space="preserve"> </w:t>
      </w:r>
      <w:r>
        <w:rPr>
          <w:sz w:val="18"/>
        </w:rPr>
        <w:t>para.</w:t>
      </w:r>
      <w:r>
        <w:rPr>
          <w:spacing w:val="-3"/>
          <w:sz w:val="18"/>
        </w:rPr>
        <w:t xml:space="preserve"> </w:t>
      </w:r>
      <w:r>
        <w:rPr>
          <w:spacing w:val="-4"/>
          <w:sz w:val="18"/>
        </w:rPr>
        <w:t>234.</w:t>
      </w:r>
    </w:p>
    <w:p w14:paraId="3D26B8D8" w14:textId="77777777" w:rsidR="00BD462C" w:rsidRDefault="00033D0F">
      <w:pPr>
        <w:spacing w:line="218" w:lineRule="exact"/>
        <w:ind w:left="135"/>
        <w:rPr>
          <w:sz w:val="18"/>
        </w:rPr>
      </w:pPr>
      <w:bookmarkStart w:id="1101" w:name="_bookmark950"/>
      <w:bookmarkEnd w:id="1101"/>
      <w:r>
        <w:rPr>
          <w:position w:val="5"/>
          <w:sz w:val="12"/>
        </w:rPr>
        <w:t>811</w:t>
      </w:r>
      <w:r>
        <w:rPr>
          <w:spacing w:val="14"/>
          <w:position w:val="5"/>
          <w:sz w:val="12"/>
        </w:rPr>
        <w:t xml:space="preserve"> </w:t>
      </w:r>
      <w:r>
        <w:rPr>
          <w:sz w:val="18"/>
        </w:rPr>
        <w:t>China's</w:t>
      </w:r>
      <w:r>
        <w:rPr>
          <w:spacing w:val="1"/>
          <w:sz w:val="18"/>
        </w:rPr>
        <w:t xml:space="preserve"> </w:t>
      </w:r>
      <w:r>
        <w:rPr>
          <w:sz w:val="18"/>
        </w:rPr>
        <w:t>response</w:t>
      </w:r>
      <w:r>
        <w:rPr>
          <w:spacing w:val="-4"/>
          <w:sz w:val="18"/>
        </w:rPr>
        <w:t xml:space="preserve"> </w:t>
      </w:r>
      <w:r>
        <w:rPr>
          <w:sz w:val="18"/>
        </w:rPr>
        <w:t>to</w:t>
      </w:r>
      <w:r>
        <w:rPr>
          <w:spacing w:val="-9"/>
          <w:sz w:val="18"/>
        </w:rPr>
        <w:t xml:space="preserve"> </w:t>
      </w:r>
      <w:r>
        <w:rPr>
          <w:sz w:val="18"/>
        </w:rPr>
        <w:t>Panel</w:t>
      </w:r>
      <w:r>
        <w:rPr>
          <w:spacing w:val="-3"/>
          <w:sz w:val="18"/>
        </w:rPr>
        <w:t xml:space="preserve"> </w:t>
      </w:r>
      <w:r>
        <w:rPr>
          <w:sz w:val="18"/>
        </w:rPr>
        <w:t>question</w:t>
      </w:r>
      <w:r>
        <w:rPr>
          <w:spacing w:val="-5"/>
          <w:sz w:val="18"/>
        </w:rPr>
        <w:t xml:space="preserve"> </w:t>
      </w:r>
      <w:r>
        <w:rPr>
          <w:sz w:val="18"/>
        </w:rPr>
        <w:t>No.</w:t>
      </w:r>
      <w:r>
        <w:rPr>
          <w:spacing w:val="2"/>
          <w:sz w:val="18"/>
        </w:rPr>
        <w:t xml:space="preserve"> </w:t>
      </w:r>
      <w:r>
        <w:rPr>
          <w:sz w:val="18"/>
        </w:rPr>
        <w:t>40,</w:t>
      </w:r>
      <w:r>
        <w:rPr>
          <w:spacing w:val="-2"/>
          <w:sz w:val="18"/>
        </w:rPr>
        <w:t xml:space="preserve"> </w:t>
      </w:r>
      <w:r>
        <w:rPr>
          <w:sz w:val="18"/>
        </w:rPr>
        <w:t>para.</w:t>
      </w:r>
      <w:r>
        <w:rPr>
          <w:spacing w:val="-3"/>
          <w:sz w:val="18"/>
        </w:rPr>
        <w:t xml:space="preserve"> </w:t>
      </w:r>
      <w:r>
        <w:rPr>
          <w:spacing w:val="-4"/>
          <w:sz w:val="18"/>
        </w:rPr>
        <w:t>235.</w:t>
      </w:r>
    </w:p>
    <w:p w14:paraId="118E0E96" w14:textId="77777777" w:rsidR="00BD462C" w:rsidRDefault="00033D0F">
      <w:pPr>
        <w:spacing w:before="1"/>
        <w:ind w:left="135"/>
        <w:rPr>
          <w:sz w:val="18"/>
        </w:rPr>
      </w:pPr>
      <w:bookmarkStart w:id="1102" w:name="_bookmark951"/>
      <w:bookmarkEnd w:id="1102"/>
      <w:r>
        <w:rPr>
          <w:position w:val="5"/>
          <w:sz w:val="12"/>
        </w:rPr>
        <w:t>812</w:t>
      </w:r>
      <w:r>
        <w:rPr>
          <w:spacing w:val="14"/>
          <w:position w:val="5"/>
          <w:sz w:val="12"/>
        </w:rPr>
        <w:t xml:space="preserve"> </w:t>
      </w:r>
      <w:r>
        <w:rPr>
          <w:sz w:val="18"/>
        </w:rPr>
        <w:t>China's</w:t>
      </w:r>
      <w:r>
        <w:rPr>
          <w:spacing w:val="1"/>
          <w:sz w:val="18"/>
        </w:rPr>
        <w:t xml:space="preserve"> </w:t>
      </w:r>
      <w:r>
        <w:rPr>
          <w:sz w:val="18"/>
        </w:rPr>
        <w:t>response</w:t>
      </w:r>
      <w:r>
        <w:rPr>
          <w:spacing w:val="-4"/>
          <w:sz w:val="18"/>
        </w:rPr>
        <w:t xml:space="preserve"> </w:t>
      </w:r>
      <w:r>
        <w:rPr>
          <w:sz w:val="18"/>
        </w:rPr>
        <w:t>to</w:t>
      </w:r>
      <w:r>
        <w:rPr>
          <w:spacing w:val="-9"/>
          <w:sz w:val="18"/>
        </w:rPr>
        <w:t xml:space="preserve"> </w:t>
      </w:r>
      <w:r>
        <w:rPr>
          <w:sz w:val="18"/>
        </w:rPr>
        <w:t>Panel</w:t>
      </w:r>
      <w:r>
        <w:rPr>
          <w:spacing w:val="-3"/>
          <w:sz w:val="18"/>
        </w:rPr>
        <w:t xml:space="preserve"> </w:t>
      </w:r>
      <w:r>
        <w:rPr>
          <w:sz w:val="18"/>
        </w:rPr>
        <w:t>question</w:t>
      </w:r>
      <w:r>
        <w:rPr>
          <w:spacing w:val="-5"/>
          <w:sz w:val="18"/>
        </w:rPr>
        <w:t xml:space="preserve"> </w:t>
      </w:r>
      <w:r>
        <w:rPr>
          <w:sz w:val="18"/>
        </w:rPr>
        <w:t>No.</w:t>
      </w:r>
      <w:r>
        <w:rPr>
          <w:spacing w:val="2"/>
          <w:sz w:val="18"/>
        </w:rPr>
        <w:t xml:space="preserve"> </w:t>
      </w:r>
      <w:r>
        <w:rPr>
          <w:sz w:val="18"/>
        </w:rPr>
        <w:t>40,</w:t>
      </w:r>
      <w:r>
        <w:rPr>
          <w:spacing w:val="-2"/>
          <w:sz w:val="18"/>
        </w:rPr>
        <w:t xml:space="preserve"> </w:t>
      </w:r>
      <w:r>
        <w:rPr>
          <w:sz w:val="18"/>
        </w:rPr>
        <w:t>para.</w:t>
      </w:r>
      <w:r>
        <w:rPr>
          <w:spacing w:val="-3"/>
          <w:sz w:val="18"/>
        </w:rPr>
        <w:t xml:space="preserve"> </w:t>
      </w:r>
      <w:r>
        <w:rPr>
          <w:spacing w:val="-4"/>
          <w:sz w:val="18"/>
        </w:rPr>
        <w:t>235.</w:t>
      </w:r>
    </w:p>
    <w:p w14:paraId="11D25B59" w14:textId="77777777" w:rsidR="00BD462C" w:rsidRDefault="00033D0F">
      <w:pPr>
        <w:spacing w:before="1"/>
        <w:ind w:left="135"/>
        <w:rPr>
          <w:sz w:val="18"/>
        </w:rPr>
      </w:pPr>
      <w:bookmarkStart w:id="1103" w:name="_bookmark952"/>
      <w:bookmarkEnd w:id="1103"/>
      <w:r>
        <w:rPr>
          <w:position w:val="5"/>
          <w:sz w:val="12"/>
        </w:rPr>
        <w:t>813</w:t>
      </w:r>
      <w:r>
        <w:rPr>
          <w:spacing w:val="12"/>
          <w:position w:val="5"/>
          <w:sz w:val="12"/>
        </w:rPr>
        <w:t xml:space="preserve"> </w:t>
      </w:r>
      <w:r>
        <w:rPr>
          <w:sz w:val="18"/>
        </w:rPr>
        <w:t>China's</w:t>
      </w:r>
      <w:r>
        <w:rPr>
          <w:spacing w:val="-1"/>
          <w:sz w:val="18"/>
        </w:rPr>
        <w:t xml:space="preserve"> </w:t>
      </w:r>
      <w:r>
        <w:rPr>
          <w:sz w:val="18"/>
        </w:rPr>
        <w:t>response</w:t>
      </w:r>
      <w:r>
        <w:rPr>
          <w:spacing w:val="-5"/>
          <w:sz w:val="18"/>
        </w:rPr>
        <w:t xml:space="preserve"> </w:t>
      </w:r>
      <w:r>
        <w:rPr>
          <w:sz w:val="18"/>
        </w:rPr>
        <w:t>to</w:t>
      </w:r>
      <w:r>
        <w:rPr>
          <w:spacing w:val="-10"/>
          <w:sz w:val="18"/>
        </w:rPr>
        <w:t xml:space="preserve"> </w:t>
      </w:r>
      <w:r>
        <w:rPr>
          <w:sz w:val="18"/>
        </w:rPr>
        <w:t>Panel</w:t>
      </w:r>
      <w:r>
        <w:rPr>
          <w:spacing w:val="-5"/>
          <w:sz w:val="18"/>
        </w:rPr>
        <w:t xml:space="preserve"> </w:t>
      </w:r>
      <w:r>
        <w:rPr>
          <w:sz w:val="18"/>
        </w:rPr>
        <w:t>question</w:t>
      </w:r>
      <w:r>
        <w:rPr>
          <w:spacing w:val="-6"/>
          <w:sz w:val="18"/>
        </w:rPr>
        <w:t xml:space="preserve"> </w:t>
      </w:r>
      <w:r>
        <w:rPr>
          <w:sz w:val="18"/>
        </w:rPr>
        <w:t>No. 39,</w:t>
      </w:r>
      <w:r>
        <w:rPr>
          <w:spacing w:val="-3"/>
          <w:sz w:val="18"/>
        </w:rPr>
        <w:t xml:space="preserve"> </w:t>
      </w:r>
      <w:r>
        <w:rPr>
          <w:sz w:val="18"/>
        </w:rPr>
        <w:t>paras. 220,</w:t>
      </w:r>
      <w:r>
        <w:rPr>
          <w:spacing w:val="1"/>
          <w:sz w:val="18"/>
        </w:rPr>
        <w:t xml:space="preserve"> </w:t>
      </w:r>
      <w:r>
        <w:rPr>
          <w:sz w:val="18"/>
        </w:rPr>
        <w:t>221-</w:t>
      </w:r>
      <w:r>
        <w:rPr>
          <w:spacing w:val="-4"/>
          <w:sz w:val="18"/>
        </w:rPr>
        <w:t>223.</w:t>
      </w:r>
    </w:p>
    <w:p w14:paraId="4E072A6A" w14:textId="77777777" w:rsidR="00BD462C" w:rsidRDefault="00033D0F">
      <w:pPr>
        <w:spacing w:before="1"/>
        <w:ind w:left="135"/>
        <w:rPr>
          <w:sz w:val="18"/>
        </w:rPr>
      </w:pPr>
      <w:bookmarkStart w:id="1104" w:name="_bookmark953"/>
      <w:bookmarkEnd w:id="1104"/>
      <w:r>
        <w:rPr>
          <w:position w:val="5"/>
          <w:sz w:val="12"/>
        </w:rPr>
        <w:t>814</w:t>
      </w:r>
      <w:r>
        <w:rPr>
          <w:spacing w:val="12"/>
          <w:position w:val="5"/>
          <w:sz w:val="12"/>
        </w:rPr>
        <w:t xml:space="preserve"> </w:t>
      </w:r>
      <w:r>
        <w:rPr>
          <w:sz w:val="18"/>
        </w:rPr>
        <w:t>China's</w:t>
      </w:r>
      <w:r>
        <w:rPr>
          <w:spacing w:val="-1"/>
          <w:sz w:val="18"/>
        </w:rPr>
        <w:t xml:space="preserve"> </w:t>
      </w:r>
      <w:r>
        <w:rPr>
          <w:sz w:val="18"/>
        </w:rPr>
        <w:t>response</w:t>
      </w:r>
      <w:r>
        <w:rPr>
          <w:spacing w:val="-5"/>
          <w:sz w:val="18"/>
        </w:rPr>
        <w:t xml:space="preserve"> </w:t>
      </w:r>
      <w:r>
        <w:rPr>
          <w:sz w:val="18"/>
        </w:rPr>
        <w:t>to</w:t>
      </w:r>
      <w:r>
        <w:rPr>
          <w:spacing w:val="-10"/>
          <w:sz w:val="18"/>
        </w:rPr>
        <w:t xml:space="preserve"> </w:t>
      </w:r>
      <w:r>
        <w:rPr>
          <w:sz w:val="18"/>
        </w:rPr>
        <w:t>Panel</w:t>
      </w:r>
      <w:r>
        <w:rPr>
          <w:spacing w:val="-5"/>
          <w:sz w:val="18"/>
        </w:rPr>
        <w:t xml:space="preserve"> </w:t>
      </w:r>
      <w:r>
        <w:rPr>
          <w:sz w:val="18"/>
        </w:rPr>
        <w:t>question</w:t>
      </w:r>
      <w:r>
        <w:rPr>
          <w:spacing w:val="-6"/>
          <w:sz w:val="18"/>
        </w:rPr>
        <w:t xml:space="preserve"> </w:t>
      </w:r>
      <w:r>
        <w:rPr>
          <w:sz w:val="18"/>
        </w:rPr>
        <w:t>No. 39,</w:t>
      </w:r>
      <w:r>
        <w:rPr>
          <w:spacing w:val="-3"/>
          <w:sz w:val="18"/>
        </w:rPr>
        <w:t xml:space="preserve"> </w:t>
      </w:r>
      <w:r>
        <w:rPr>
          <w:sz w:val="18"/>
        </w:rPr>
        <w:t>paras. 220,</w:t>
      </w:r>
      <w:r>
        <w:rPr>
          <w:spacing w:val="1"/>
          <w:sz w:val="18"/>
        </w:rPr>
        <w:t xml:space="preserve"> </w:t>
      </w:r>
      <w:r>
        <w:rPr>
          <w:sz w:val="18"/>
        </w:rPr>
        <w:t>225-</w:t>
      </w:r>
      <w:r>
        <w:rPr>
          <w:spacing w:val="-4"/>
          <w:sz w:val="18"/>
        </w:rPr>
        <w:t>226.</w:t>
      </w:r>
    </w:p>
    <w:p w14:paraId="03F3107C" w14:textId="77777777" w:rsidR="00BD462C" w:rsidRDefault="00033D0F">
      <w:pPr>
        <w:spacing w:before="1"/>
        <w:ind w:left="135"/>
        <w:rPr>
          <w:sz w:val="18"/>
        </w:rPr>
      </w:pPr>
      <w:bookmarkStart w:id="1105" w:name="_bookmark954"/>
      <w:bookmarkEnd w:id="1105"/>
      <w:r>
        <w:rPr>
          <w:position w:val="5"/>
          <w:sz w:val="12"/>
        </w:rPr>
        <w:t>815</w:t>
      </w:r>
      <w:r>
        <w:rPr>
          <w:spacing w:val="13"/>
          <w:position w:val="5"/>
          <w:sz w:val="12"/>
        </w:rPr>
        <w:t xml:space="preserve"> </w:t>
      </w:r>
      <w:r>
        <w:rPr>
          <w:sz w:val="18"/>
        </w:rPr>
        <w:t>China's response</w:t>
      </w:r>
      <w:r>
        <w:rPr>
          <w:spacing w:val="-5"/>
          <w:sz w:val="18"/>
        </w:rPr>
        <w:t xml:space="preserve"> </w:t>
      </w:r>
      <w:r>
        <w:rPr>
          <w:sz w:val="18"/>
        </w:rPr>
        <w:t>to</w:t>
      </w:r>
      <w:r>
        <w:rPr>
          <w:spacing w:val="-10"/>
          <w:sz w:val="18"/>
        </w:rPr>
        <w:t xml:space="preserve"> </w:t>
      </w:r>
      <w:r>
        <w:rPr>
          <w:sz w:val="18"/>
        </w:rPr>
        <w:t>Panel</w:t>
      </w:r>
      <w:r>
        <w:rPr>
          <w:spacing w:val="-4"/>
          <w:sz w:val="18"/>
        </w:rPr>
        <w:t xml:space="preserve"> </w:t>
      </w:r>
      <w:r>
        <w:rPr>
          <w:sz w:val="18"/>
        </w:rPr>
        <w:t>question</w:t>
      </w:r>
      <w:r>
        <w:rPr>
          <w:spacing w:val="-5"/>
          <w:sz w:val="18"/>
        </w:rPr>
        <w:t xml:space="preserve"> </w:t>
      </w:r>
      <w:r>
        <w:rPr>
          <w:sz w:val="18"/>
        </w:rPr>
        <w:t>No. 39,</w:t>
      </w:r>
      <w:r>
        <w:rPr>
          <w:spacing w:val="-3"/>
          <w:sz w:val="18"/>
        </w:rPr>
        <w:t xml:space="preserve"> </w:t>
      </w:r>
      <w:r>
        <w:rPr>
          <w:sz w:val="18"/>
        </w:rPr>
        <w:t>paras.</w:t>
      </w:r>
      <w:r>
        <w:rPr>
          <w:spacing w:val="1"/>
          <w:sz w:val="18"/>
        </w:rPr>
        <w:t xml:space="preserve"> </w:t>
      </w:r>
      <w:r>
        <w:rPr>
          <w:sz w:val="18"/>
        </w:rPr>
        <w:t>220,</w:t>
      </w:r>
      <w:r>
        <w:rPr>
          <w:spacing w:val="2"/>
          <w:sz w:val="18"/>
        </w:rPr>
        <w:t xml:space="preserve"> </w:t>
      </w:r>
      <w:r>
        <w:rPr>
          <w:spacing w:val="-4"/>
          <w:sz w:val="18"/>
        </w:rPr>
        <w:t>227.</w:t>
      </w:r>
    </w:p>
    <w:p w14:paraId="1ECC0EB6" w14:textId="77777777" w:rsidR="00BD462C" w:rsidRDefault="00BD462C">
      <w:pPr>
        <w:rPr>
          <w:sz w:val="18"/>
        </w:rPr>
        <w:sectPr w:rsidR="00BD462C">
          <w:pgSz w:w="11910" w:h="16840"/>
          <w:pgMar w:top="860" w:right="500" w:bottom="780" w:left="1280" w:header="566" w:footer="590" w:gutter="0"/>
          <w:cols w:space="720"/>
        </w:sectPr>
      </w:pPr>
    </w:p>
    <w:p w14:paraId="155D0F4C"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2E208C69"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31B75BA8"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624408C2" w14:textId="77777777" w:rsidR="00BD462C" w:rsidRDefault="00033D0F">
      <w:pPr>
        <w:pStyle w:val="BodyText"/>
        <w:spacing w:before="102" w:line="360" w:lineRule="auto"/>
        <w:ind w:left="1840" w:right="915"/>
        <w:jc w:val="both"/>
      </w:pPr>
      <w:r>
        <w:t>economic indicators including prices."</w:t>
      </w:r>
      <w:hyperlink w:anchor="_bookmark956" w:history="1">
        <w:r>
          <w:rPr>
            <w:vertAlign w:val="superscript"/>
          </w:rPr>
          <w:t>816</w:t>
        </w:r>
      </w:hyperlink>
      <w:r>
        <w:t xml:space="preserve"> That is, these extracts do not evidence MOFCOM's alleged evaluation of the effect(s) of demand on domestic prices.</w:t>
      </w:r>
    </w:p>
    <w:p w14:paraId="6710D450" w14:textId="6454C91E" w:rsidR="00BD462C" w:rsidRDefault="00AF1D30">
      <w:pPr>
        <w:pStyle w:val="BodyText"/>
        <w:spacing w:before="122" w:line="360" w:lineRule="auto"/>
        <w:ind w:left="135" w:right="917"/>
        <w:jc w:val="both"/>
      </w:pPr>
      <w:r>
        <w:rPr>
          <w:noProof/>
        </w:rPr>
        <w:t>542.</w:t>
      </w:r>
      <w:r w:rsidR="00033D0F">
        <w:rPr>
          <w:rFonts w:ascii="Times New Roman"/>
          <w:spacing w:val="80"/>
          <w:w w:val="150"/>
          <w:position w:val="1"/>
          <w:sz w:val="20"/>
        </w:rPr>
        <w:t xml:space="preserve">  </w:t>
      </w:r>
      <w:r w:rsidR="00033D0F">
        <w:rPr>
          <w:position w:val="1"/>
        </w:rPr>
        <w:t xml:space="preserve">Third, China has not referenced any evidence on the investigation record showing </w:t>
      </w:r>
      <w:r w:rsidR="00033D0F">
        <w:t>that MOFCOM evaluated the evidence relating to raw material costs at all, let alone how it affected domestic prices. This is despite the fact that the extracts of the domestic industry questionnaire set out in China's first written submission show that MOFCOM sought information from its domestic industry regarding raw material costs over the Injury POI.</w:t>
      </w:r>
      <w:hyperlink w:anchor="_bookmark957" w:history="1">
        <w:r w:rsidR="00033D0F">
          <w:rPr>
            <w:vertAlign w:val="superscript"/>
          </w:rPr>
          <w:t>817</w:t>
        </w:r>
      </w:hyperlink>
    </w:p>
    <w:p w14:paraId="0BADF91A" w14:textId="77777777" w:rsidR="00BD462C" w:rsidRDefault="00BD462C">
      <w:pPr>
        <w:pStyle w:val="BodyText"/>
        <w:spacing w:before="5"/>
        <w:rPr>
          <w:sz w:val="8"/>
        </w:rPr>
      </w:pPr>
    </w:p>
    <w:p w14:paraId="2C3A0D79" w14:textId="7A39F66C" w:rsidR="00BD462C" w:rsidRDefault="00AF1D30">
      <w:pPr>
        <w:pStyle w:val="BodyText"/>
        <w:spacing w:before="56" w:line="360" w:lineRule="auto"/>
        <w:ind w:left="135" w:right="912"/>
        <w:jc w:val="both"/>
      </w:pPr>
      <w:r>
        <w:rPr>
          <w:noProof/>
        </w:rPr>
        <w:t>543.</w:t>
      </w:r>
      <w:r w:rsidR="00033D0F">
        <w:rPr>
          <w:rFonts w:ascii="Times New Roman"/>
          <w:spacing w:val="40"/>
          <w:position w:val="1"/>
          <w:sz w:val="20"/>
        </w:rPr>
        <w:t xml:space="preserve">  </w:t>
      </w:r>
      <w:r w:rsidR="00033D0F">
        <w:rPr>
          <w:position w:val="1"/>
        </w:rPr>
        <w:t xml:space="preserve">Finally, China asserts that MOFCOM did not need to consider market supply and </w:t>
      </w:r>
      <w:r w:rsidR="00033D0F">
        <w:t>demand</w:t>
      </w:r>
      <w:r w:rsidR="00033D0F">
        <w:rPr>
          <w:spacing w:val="-1"/>
        </w:rPr>
        <w:t xml:space="preserve"> </w:t>
      </w:r>
      <w:r w:rsidR="00033D0F">
        <w:t>or</w:t>
      </w:r>
      <w:r w:rsidR="00033D0F">
        <w:rPr>
          <w:spacing w:val="-1"/>
        </w:rPr>
        <w:t xml:space="preserve"> </w:t>
      </w:r>
      <w:r w:rsidR="00033D0F">
        <w:t>raw</w:t>
      </w:r>
      <w:r w:rsidR="00033D0F">
        <w:rPr>
          <w:spacing w:val="-2"/>
        </w:rPr>
        <w:t xml:space="preserve"> </w:t>
      </w:r>
      <w:r w:rsidR="00033D0F">
        <w:t>material</w:t>
      </w:r>
      <w:r w:rsidR="00033D0F">
        <w:rPr>
          <w:spacing w:val="-1"/>
        </w:rPr>
        <w:t xml:space="preserve"> </w:t>
      </w:r>
      <w:r w:rsidR="00033D0F">
        <w:t>costs,</w:t>
      </w:r>
      <w:r w:rsidR="00033D0F">
        <w:rPr>
          <w:spacing w:val="-1"/>
        </w:rPr>
        <w:t xml:space="preserve"> </w:t>
      </w:r>
      <w:r w:rsidR="00033D0F">
        <w:t>because</w:t>
      </w:r>
      <w:r w:rsidR="00033D0F">
        <w:rPr>
          <w:spacing w:val="-2"/>
        </w:rPr>
        <w:t xml:space="preserve"> </w:t>
      </w:r>
      <w:r w:rsidR="00033D0F">
        <w:t>they</w:t>
      </w:r>
      <w:r w:rsidR="00033D0F">
        <w:rPr>
          <w:spacing w:val="-2"/>
        </w:rPr>
        <w:t xml:space="preserve"> </w:t>
      </w:r>
      <w:r w:rsidR="00033D0F">
        <w:t>were not raised</w:t>
      </w:r>
      <w:r w:rsidR="00033D0F">
        <w:rPr>
          <w:spacing w:val="-4"/>
        </w:rPr>
        <w:t xml:space="preserve"> </w:t>
      </w:r>
      <w:r w:rsidR="00033D0F">
        <w:t>as relevant</w:t>
      </w:r>
      <w:r w:rsidR="00033D0F">
        <w:rPr>
          <w:spacing w:val="-2"/>
        </w:rPr>
        <w:t xml:space="preserve"> </w:t>
      </w:r>
      <w:r w:rsidR="00033D0F">
        <w:t>economic</w:t>
      </w:r>
      <w:r w:rsidR="00033D0F">
        <w:rPr>
          <w:spacing w:val="-4"/>
        </w:rPr>
        <w:t xml:space="preserve"> </w:t>
      </w:r>
      <w:r w:rsidR="00033D0F">
        <w:t>factors by Australian interested parties during the investigation.</w:t>
      </w:r>
      <w:hyperlink w:anchor="_bookmark958" w:history="1">
        <w:r w:rsidR="00033D0F">
          <w:rPr>
            <w:vertAlign w:val="superscript"/>
          </w:rPr>
          <w:t>818</w:t>
        </w:r>
      </w:hyperlink>
      <w:r w:rsidR="00033D0F">
        <w:t xml:space="preserve"> As Australia has explained above, these factors were identified as being relevant by the domestic industry directly in response to MOFCOM's request for information on the factors affecting domestic prices. MOFCOM's failure to evaluate how these factors affected domestic prices is inconsistent with the obligations under Article 3.1 and 3.4.</w:t>
      </w:r>
    </w:p>
    <w:p w14:paraId="4A23A92F" w14:textId="77777777" w:rsidR="00BD462C" w:rsidRDefault="00033D0F">
      <w:pPr>
        <w:pStyle w:val="Heading3"/>
        <w:numPr>
          <w:ilvl w:val="0"/>
          <w:numId w:val="33"/>
        </w:numPr>
        <w:tabs>
          <w:tab w:val="left" w:pos="2689"/>
          <w:tab w:val="left" w:pos="2690"/>
        </w:tabs>
        <w:spacing w:before="160" w:line="357" w:lineRule="auto"/>
        <w:ind w:right="911"/>
      </w:pPr>
      <w:bookmarkStart w:id="1106" w:name="5._The_errors_and_omissions_in_MOFCOM's_"/>
      <w:bookmarkStart w:id="1107" w:name="_bookmark955"/>
      <w:bookmarkEnd w:id="1106"/>
      <w:bookmarkEnd w:id="1107"/>
      <w:r>
        <w:t>The errors and omissions in MOFCOM's evaluation mean that it has not established explanatory force</w:t>
      </w:r>
    </w:p>
    <w:p w14:paraId="551E3BD3" w14:textId="77777777" w:rsidR="00BD462C" w:rsidRDefault="00033D0F">
      <w:pPr>
        <w:pStyle w:val="ListParagraph"/>
        <w:numPr>
          <w:ilvl w:val="1"/>
          <w:numId w:val="33"/>
        </w:numPr>
        <w:tabs>
          <w:tab w:val="left" w:pos="3539"/>
          <w:tab w:val="left" w:pos="3540"/>
        </w:tabs>
        <w:spacing w:before="164" w:line="362" w:lineRule="auto"/>
        <w:ind w:right="917"/>
        <w:jc w:val="both"/>
        <w:rPr>
          <w:sz w:val="24"/>
        </w:rPr>
      </w:pPr>
      <w:bookmarkStart w:id="1108" w:name="(a)_Australia's_arguments_relate_to_the_"/>
      <w:bookmarkEnd w:id="1108"/>
      <w:r>
        <w:rPr>
          <w:sz w:val="24"/>
          <w:u w:val="single"/>
        </w:rPr>
        <w:t>Australia's arguments relate to the obligations under</w:t>
      </w:r>
      <w:r>
        <w:rPr>
          <w:sz w:val="24"/>
        </w:rPr>
        <w:t xml:space="preserve"> </w:t>
      </w:r>
      <w:r>
        <w:rPr>
          <w:sz w:val="24"/>
          <w:u w:val="single"/>
        </w:rPr>
        <w:t>Articles 3.1 and 3.4</w:t>
      </w:r>
    </w:p>
    <w:p w14:paraId="03E9FFFF" w14:textId="27C99944" w:rsidR="00BD462C" w:rsidRDefault="00AF1D30" w:rsidP="00AF1D30">
      <w:pPr>
        <w:pStyle w:val="BodyText"/>
        <w:spacing w:before="152" w:line="360" w:lineRule="auto"/>
        <w:ind w:left="136" w:right="912"/>
        <w:jc w:val="both"/>
      </w:pPr>
      <w:r>
        <w:rPr>
          <w:noProof/>
        </w:rPr>
        <w:t xml:space="preserve">544. </w:t>
      </w:r>
      <w:r w:rsidR="00033D0F">
        <w:t>Contrary to China's mischaracterisation,</w:t>
      </w:r>
      <w:hyperlink w:anchor="_bookmark959" w:history="1">
        <w:r w:rsidR="00033D0F">
          <w:rPr>
            <w:vertAlign w:val="superscript"/>
          </w:rPr>
          <w:t>819</w:t>
        </w:r>
      </w:hyperlink>
      <w:r w:rsidR="00033D0F">
        <w:t xml:space="preserve"> Australia's arguments are directed to errors and omissions in MOFCOM's evaluation of the impact that subject imports had on the state observed in the domestic industry. They relate to China's obligations under</w:t>
      </w:r>
      <w:r w:rsidR="00033D0F">
        <w:rPr>
          <w:spacing w:val="-3"/>
        </w:rPr>
        <w:t xml:space="preserve"> </w:t>
      </w:r>
      <w:r w:rsidR="00033D0F">
        <w:t>Articles 3.1 and 3.4.</w:t>
      </w:r>
    </w:p>
    <w:p w14:paraId="430E9428" w14:textId="77777777" w:rsidR="00BD462C" w:rsidRDefault="00BD462C">
      <w:pPr>
        <w:pStyle w:val="BodyText"/>
        <w:rPr>
          <w:sz w:val="20"/>
        </w:rPr>
      </w:pPr>
    </w:p>
    <w:p w14:paraId="2156970D" w14:textId="77777777" w:rsidR="00BD462C" w:rsidRDefault="00BD462C">
      <w:pPr>
        <w:pStyle w:val="BodyText"/>
        <w:rPr>
          <w:sz w:val="20"/>
        </w:rPr>
      </w:pPr>
    </w:p>
    <w:p w14:paraId="11EDA35E" w14:textId="77777777" w:rsidR="00BD462C" w:rsidRDefault="00BD462C">
      <w:pPr>
        <w:pStyle w:val="BodyText"/>
        <w:rPr>
          <w:sz w:val="20"/>
        </w:rPr>
      </w:pPr>
    </w:p>
    <w:p w14:paraId="64A1183A" w14:textId="77777777" w:rsidR="00BD462C" w:rsidRDefault="00BD462C">
      <w:pPr>
        <w:pStyle w:val="BodyText"/>
        <w:rPr>
          <w:sz w:val="20"/>
        </w:rPr>
      </w:pPr>
    </w:p>
    <w:p w14:paraId="132B4310" w14:textId="77777777" w:rsidR="00BD462C" w:rsidRDefault="00BD462C">
      <w:pPr>
        <w:pStyle w:val="BodyText"/>
        <w:rPr>
          <w:sz w:val="20"/>
        </w:rPr>
      </w:pPr>
    </w:p>
    <w:p w14:paraId="7DB8760E" w14:textId="77777777" w:rsidR="00BD462C" w:rsidRDefault="00BD462C">
      <w:pPr>
        <w:pStyle w:val="BodyText"/>
        <w:rPr>
          <w:sz w:val="20"/>
        </w:rPr>
      </w:pPr>
    </w:p>
    <w:p w14:paraId="2895EE99" w14:textId="4A2DB588" w:rsidR="00BD462C" w:rsidRDefault="00752F01">
      <w:pPr>
        <w:pStyle w:val="BodyText"/>
        <w:spacing w:before="2"/>
        <w:rPr>
          <w:sz w:val="29"/>
        </w:rPr>
      </w:pPr>
      <w:r>
        <w:rPr>
          <w:noProof/>
        </w:rPr>
        <mc:AlternateContent>
          <mc:Choice Requires="wps">
            <w:drawing>
              <wp:anchor distT="0" distB="0" distL="0" distR="0" simplePos="0" relativeHeight="488247808" behindDoc="1" locked="0" layoutInCell="1" allowOverlap="1" wp14:anchorId="569A0995" wp14:editId="6E6E7789">
                <wp:simplePos x="0" y="0"/>
                <wp:positionH relativeFrom="page">
                  <wp:posOffset>812800</wp:posOffset>
                </wp:positionH>
                <wp:positionV relativeFrom="paragraph">
                  <wp:posOffset>227965</wp:posOffset>
                </wp:positionV>
                <wp:extent cx="1828800" cy="8890"/>
                <wp:effectExtent l="0" t="0" r="0" b="0"/>
                <wp:wrapTopAndBottom/>
                <wp:docPr id="227" name="docshape6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FCA72F" id="docshape664" o:spid="_x0000_s1026" alt="&quot;&quot;" style="position:absolute;margin-left:64pt;margin-top:17.95pt;width:2in;height:.7pt;z-index:-1506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" fillcolor="black" stroked="f">
                <w10:wrap type="topAndBottom" anchorx="page"/>
              </v:rect>
            </w:pict>
          </mc:Fallback>
        </mc:AlternateContent>
      </w:r>
    </w:p>
    <w:p w14:paraId="1AEF32A2" w14:textId="77777777" w:rsidR="00BD462C" w:rsidRDefault="00033D0F">
      <w:pPr>
        <w:spacing w:before="112"/>
        <w:ind w:left="135"/>
        <w:rPr>
          <w:sz w:val="18"/>
        </w:rPr>
      </w:pPr>
      <w:bookmarkStart w:id="1109" w:name="_bookmark956"/>
      <w:bookmarkEnd w:id="1109"/>
      <w:r>
        <w:rPr>
          <w:position w:val="5"/>
          <w:sz w:val="12"/>
        </w:rPr>
        <w:t>816</w:t>
      </w:r>
      <w:r>
        <w:rPr>
          <w:spacing w:val="14"/>
          <w:position w:val="5"/>
          <w:sz w:val="12"/>
        </w:rPr>
        <w:t xml:space="preserve"> </w:t>
      </w:r>
      <w:r>
        <w:rPr>
          <w:sz w:val="18"/>
        </w:rPr>
        <w:t>China's</w:t>
      </w:r>
      <w:r>
        <w:rPr>
          <w:spacing w:val="1"/>
          <w:sz w:val="18"/>
        </w:rPr>
        <w:t xml:space="preserve"> </w:t>
      </w:r>
      <w:r>
        <w:rPr>
          <w:sz w:val="18"/>
        </w:rPr>
        <w:t>response</w:t>
      </w:r>
      <w:r>
        <w:rPr>
          <w:spacing w:val="-4"/>
          <w:sz w:val="18"/>
        </w:rPr>
        <w:t xml:space="preserve"> </w:t>
      </w:r>
      <w:r>
        <w:rPr>
          <w:sz w:val="18"/>
        </w:rPr>
        <w:t>to</w:t>
      </w:r>
      <w:r>
        <w:rPr>
          <w:spacing w:val="-9"/>
          <w:sz w:val="18"/>
        </w:rPr>
        <w:t xml:space="preserve"> </w:t>
      </w:r>
      <w:r>
        <w:rPr>
          <w:sz w:val="18"/>
        </w:rPr>
        <w:t>Panel</w:t>
      </w:r>
      <w:r>
        <w:rPr>
          <w:spacing w:val="-3"/>
          <w:sz w:val="18"/>
        </w:rPr>
        <w:t xml:space="preserve"> </w:t>
      </w:r>
      <w:r>
        <w:rPr>
          <w:sz w:val="18"/>
        </w:rPr>
        <w:t>question</w:t>
      </w:r>
      <w:r>
        <w:rPr>
          <w:spacing w:val="-5"/>
          <w:sz w:val="18"/>
        </w:rPr>
        <w:t xml:space="preserve"> </w:t>
      </w:r>
      <w:r>
        <w:rPr>
          <w:sz w:val="18"/>
        </w:rPr>
        <w:t>No.</w:t>
      </w:r>
      <w:r>
        <w:rPr>
          <w:spacing w:val="2"/>
          <w:sz w:val="18"/>
        </w:rPr>
        <w:t xml:space="preserve"> </w:t>
      </w:r>
      <w:r>
        <w:rPr>
          <w:sz w:val="18"/>
        </w:rPr>
        <w:t>39,</w:t>
      </w:r>
      <w:r>
        <w:rPr>
          <w:spacing w:val="-2"/>
          <w:sz w:val="18"/>
        </w:rPr>
        <w:t xml:space="preserve"> </w:t>
      </w:r>
      <w:r>
        <w:rPr>
          <w:sz w:val="18"/>
        </w:rPr>
        <w:t>para.</w:t>
      </w:r>
      <w:r>
        <w:rPr>
          <w:spacing w:val="-3"/>
          <w:sz w:val="18"/>
        </w:rPr>
        <w:t xml:space="preserve"> </w:t>
      </w:r>
      <w:r>
        <w:rPr>
          <w:spacing w:val="-4"/>
          <w:sz w:val="18"/>
        </w:rPr>
        <w:t>227.</w:t>
      </w:r>
    </w:p>
    <w:p w14:paraId="65763C87" w14:textId="77777777" w:rsidR="00BD462C" w:rsidRDefault="00033D0F">
      <w:pPr>
        <w:spacing w:before="1"/>
        <w:ind w:left="135"/>
        <w:rPr>
          <w:sz w:val="18"/>
        </w:rPr>
      </w:pPr>
      <w:bookmarkStart w:id="1110" w:name="_bookmark957"/>
      <w:bookmarkEnd w:id="1110"/>
      <w:r>
        <w:rPr>
          <w:position w:val="5"/>
          <w:sz w:val="12"/>
        </w:rPr>
        <w:t>817</w:t>
      </w:r>
      <w:r>
        <w:rPr>
          <w:spacing w:val="12"/>
          <w:position w:val="5"/>
          <w:sz w:val="12"/>
        </w:rPr>
        <w:t xml:space="preserve"> </w:t>
      </w:r>
      <w:r>
        <w:rPr>
          <w:sz w:val="18"/>
        </w:rPr>
        <w:t>China's</w:t>
      </w:r>
      <w:r>
        <w:rPr>
          <w:spacing w:val="-6"/>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 paras.</w:t>
      </w:r>
      <w:r>
        <w:rPr>
          <w:spacing w:val="-5"/>
          <w:sz w:val="18"/>
        </w:rPr>
        <w:t xml:space="preserve"> </w:t>
      </w:r>
      <w:r>
        <w:rPr>
          <w:sz w:val="18"/>
        </w:rPr>
        <w:t>1581-</w:t>
      </w:r>
      <w:r>
        <w:rPr>
          <w:spacing w:val="-2"/>
          <w:sz w:val="18"/>
        </w:rPr>
        <w:t>1584.</w:t>
      </w:r>
    </w:p>
    <w:p w14:paraId="03FCF26B" w14:textId="77777777" w:rsidR="00BD462C" w:rsidRDefault="00033D0F">
      <w:pPr>
        <w:spacing w:before="1"/>
        <w:ind w:left="135"/>
        <w:rPr>
          <w:sz w:val="18"/>
        </w:rPr>
      </w:pPr>
      <w:bookmarkStart w:id="1111" w:name="_bookmark958"/>
      <w:bookmarkEnd w:id="1111"/>
      <w:r>
        <w:rPr>
          <w:position w:val="5"/>
          <w:sz w:val="12"/>
        </w:rPr>
        <w:t>818</w:t>
      </w:r>
      <w:r>
        <w:rPr>
          <w:spacing w:val="13"/>
          <w:position w:val="5"/>
          <w:sz w:val="12"/>
        </w:rPr>
        <w:t xml:space="preserve"> </w:t>
      </w:r>
      <w:r>
        <w:rPr>
          <w:sz w:val="18"/>
        </w:rPr>
        <w:t>China's</w:t>
      </w:r>
      <w:r>
        <w:rPr>
          <w:spacing w:val="-4"/>
          <w:sz w:val="18"/>
        </w:rPr>
        <w:t xml:space="preserve"> </w:t>
      </w:r>
      <w:r>
        <w:rPr>
          <w:sz w:val="18"/>
        </w:rPr>
        <w:t>first</w:t>
      </w:r>
      <w:r>
        <w:rPr>
          <w:spacing w:val="-4"/>
          <w:sz w:val="18"/>
        </w:rPr>
        <w:t xml:space="preserve"> </w:t>
      </w:r>
      <w:r>
        <w:rPr>
          <w:sz w:val="18"/>
        </w:rPr>
        <w:t>written</w:t>
      </w:r>
      <w:r>
        <w:rPr>
          <w:spacing w:val="-6"/>
          <w:sz w:val="18"/>
        </w:rPr>
        <w:t xml:space="preserve"> </w:t>
      </w:r>
      <w:r>
        <w:rPr>
          <w:sz w:val="18"/>
        </w:rPr>
        <w:t>submission,</w:t>
      </w:r>
      <w:r>
        <w:rPr>
          <w:spacing w:val="2"/>
          <w:sz w:val="18"/>
        </w:rPr>
        <w:t xml:space="preserve"> </w:t>
      </w:r>
      <w:r>
        <w:rPr>
          <w:sz w:val="18"/>
        </w:rPr>
        <w:t>paras.</w:t>
      </w:r>
      <w:r>
        <w:rPr>
          <w:spacing w:val="-3"/>
          <w:sz w:val="18"/>
        </w:rPr>
        <w:t xml:space="preserve"> </w:t>
      </w:r>
      <w:r>
        <w:rPr>
          <w:sz w:val="18"/>
        </w:rPr>
        <w:t>1589,</w:t>
      </w:r>
      <w:r>
        <w:rPr>
          <w:spacing w:val="-3"/>
          <w:sz w:val="18"/>
        </w:rPr>
        <w:t xml:space="preserve"> </w:t>
      </w:r>
      <w:r>
        <w:rPr>
          <w:sz w:val="18"/>
        </w:rPr>
        <w:t>China's</w:t>
      </w:r>
      <w:r>
        <w:rPr>
          <w:spacing w:val="-5"/>
          <w:sz w:val="18"/>
        </w:rPr>
        <w:t xml:space="preserve"> </w:t>
      </w:r>
      <w:r>
        <w:rPr>
          <w:sz w:val="18"/>
        </w:rPr>
        <w:t>response</w:t>
      </w:r>
      <w:r>
        <w:rPr>
          <w:spacing w:val="-5"/>
          <w:sz w:val="18"/>
        </w:rPr>
        <w:t xml:space="preserve"> </w:t>
      </w:r>
      <w:r>
        <w:rPr>
          <w:sz w:val="18"/>
        </w:rPr>
        <w:t>to</w:t>
      </w:r>
      <w:r>
        <w:rPr>
          <w:spacing w:val="-5"/>
          <w:sz w:val="18"/>
        </w:rPr>
        <w:t xml:space="preserve"> </w:t>
      </w:r>
      <w:r>
        <w:rPr>
          <w:sz w:val="18"/>
        </w:rPr>
        <w:t>Panel</w:t>
      </w:r>
      <w:r>
        <w:rPr>
          <w:spacing w:val="-4"/>
          <w:sz w:val="18"/>
        </w:rPr>
        <w:t xml:space="preserve"> </w:t>
      </w:r>
      <w:r>
        <w:rPr>
          <w:sz w:val="18"/>
        </w:rPr>
        <w:t>question</w:t>
      </w:r>
      <w:r>
        <w:rPr>
          <w:spacing w:val="-9"/>
          <w:sz w:val="18"/>
        </w:rPr>
        <w:t xml:space="preserve"> </w:t>
      </w:r>
      <w:r>
        <w:rPr>
          <w:sz w:val="18"/>
        </w:rPr>
        <w:t>No.</w:t>
      </w:r>
      <w:r>
        <w:rPr>
          <w:spacing w:val="-4"/>
          <w:sz w:val="18"/>
        </w:rPr>
        <w:t xml:space="preserve"> </w:t>
      </w:r>
      <w:r>
        <w:rPr>
          <w:sz w:val="18"/>
        </w:rPr>
        <w:t>39,</w:t>
      </w:r>
      <w:r>
        <w:rPr>
          <w:spacing w:val="-3"/>
          <w:sz w:val="18"/>
        </w:rPr>
        <w:t xml:space="preserve"> </w:t>
      </w:r>
      <w:r>
        <w:rPr>
          <w:sz w:val="18"/>
        </w:rPr>
        <w:t>paras.</w:t>
      </w:r>
      <w:r>
        <w:rPr>
          <w:spacing w:val="-4"/>
          <w:sz w:val="18"/>
        </w:rPr>
        <w:t xml:space="preserve"> </w:t>
      </w:r>
      <w:r>
        <w:rPr>
          <w:sz w:val="18"/>
        </w:rPr>
        <w:t>218,</w:t>
      </w:r>
      <w:r>
        <w:rPr>
          <w:spacing w:val="-2"/>
          <w:sz w:val="18"/>
        </w:rPr>
        <w:t xml:space="preserve"> </w:t>
      </w:r>
      <w:r>
        <w:rPr>
          <w:spacing w:val="-4"/>
          <w:sz w:val="18"/>
        </w:rPr>
        <w:t>229.</w:t>
      </w:r>
    </w:p>
    <w:p w14:paraId="19ECB184" w14:textId="77777777" w:rsidR="00BD462C" w:rsidRDefault="00033D0F">
      <w:pPr>
        <w:spacing w:before="1"/>
        <w:ind w:left="135"/>
        <w:rPr>
          <w:sz w:val="18"/>
        </w:rPr>
      </w:pPr>
      <w:bookmarkStart w:id="1112" w:name="_bookmark959"/>
      <w:bookmarkEnd w:id="1112"/>
      <w:r>
        <w:rPr>
          <w:position w:val="5"/>
          <w:sz w:val="12"/>
        </w:rPr>
        <w:t>819</w:t>
      </w:r>
      <w:r>
        <w:rPr>
          <w:spacing w:val="12"/>
          <w:position w:val="5"/>
          <w:sz w:val="12"/>
        </w:rPr>
        <w:t xml:space="preserve"> </w:t>
      </w:r>
      <w:r>
        <w:rPr>
          <w:sz w:val="18"/>
        </w:rPr>
        <w:t>China's</w:t>
      </w:r>
      <w:r>
        <w:rPr>
          <w:spacing w:val="-6"/>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 paras.</w:t>
      </w:r>
      <w:r>
        <w:rPr>
          <w:spacing w:val="-5"/>
          <w:sz w:val="18"/>
        </w:rPr>
        <w:t xml:space="preserve"> </w:t>
      </w:r>
      <w:r>
        <w:rPr>
          <w:sz w:val="18"/>
        </w:rPr>
        <w:t>1590-</w:t>
      </w:r>
      <w:r>
        <w:rPr>
          <w:spacing w:val="-2"/>
          <w:sz w:val="18"/>
        </w:rPr>
        <w:t>1599.</w:t>
      </w:r>
    </w:p>
    <w:p w14:paraId="2862C2BC" w14:textId="77777777" w:rsidR="00BD462C" w:rsidRDefault="00BD462C">
      <w:pPr>
        <w:rPr>
          <w:sz w:val="18"/>
        </w:rPr>
        <w:sectPr w:rsidR="00BD462C">
          <w:pgSz w:w="11910" w:h="16840"/>
          <w:pgMar w:top="860" w:right="500" w:bottom="780" w:left="1280" w:header="566" w:footer="590" w:gutter="0"/>
          <w:cols w:space="720"/>
        </w:sectPr>
      </w:pPr>
    </w:p>
    <w:p w14:paraId="6FD57F75"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6C87B18C"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2CB3466A"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74A12267" w14:textId="045E632B" w:rsidR="00BD462C" w:rsidRDefault="00AF1D30">
      <w:pPr>
        <w:pStyle w:val="BodyText"/>
        <w:spacing w:before="107" w:line="360" w:lineRule="auto"/>
        <w:ind w:left="135" w:right="911"/>
        <w:jc w:val="both"/>
      </w:pPr>
      <w:r>
        <w:rPr>
          <w:noProof/>
        </w:rPr>
        <w:t>545.</w:t>
      </w:r>
      <w:r w:rsidR="00033D0F">
        <w:rPr>
          <w:rFonts w:ascii="Times New Roman"/>
          <w:spacing w:val="80"/>
          <w:position w:val="1"/>
          <w:sz w:val="20"/>
        </w:rPr>
        <w:t xml:space="preserve">  </w:t>
      </w:r>
      <w:r w:rsidR="00033D0F">
        <w:rPr>
          <w:position w:val="1"/>
        </w:rPr>
        <w:t xml:space="preserve">As Australia has explained, while there may be overlap, the analysis required under </w:t>
      </w:r>
      <w:r w:rsidR="00033D0F">
        <w:t>Articles 3.4</w:t>
      </w:r>
      <w:r w:rsidR="00033D0F">
        <w:rPr>
          <w:spacing w:val="-5"/>
        </w:rPr>
        <w:t xml:space="preserve"> </w:t>
      </w:r>
      <w:r w:rsidR="00033D0F">
        <w:t>and</w:t>
      </w:r>
      <w:r w:rsidR="00033D0F">
        <w:rPr>
          <w:spacing w:val="-4"/>
        </w:rPr>
        <w:t xml:space="preserve"> </w:t>
      </w:r>
      <w:r w:rsidR="00033D0F">
        <w:t>3.5</w:t>
      </w:r>
      <w:r w:rsidR="00033D0F">
        <w:rPr>
          <w:spacing w:val="-5"/>
        </w:rPr>
        <w:t xml:space="preserve"> </w:t>
      </w:r>
      <w:r w:rsidR="00033D0F">
        <w:t>are</w:t>
      </w:r>
      <w:r w:rsidR="00033D0F">
        <w:rPr>
          <w:spacing w:val="-2"/>
        </w:rPr>
        <w:t xml:space="preserve"> </w:t>
      </w:r>
      <w:r w:rsidR="00033D0F">
        <w:t>distinct</w:t>
      </w:r>
      <w:r w:rsidR="00033D0F">
        <w:rPr>
          <w:spacing w:val="-2"/>
        </w:rPr>
        <w:t xml:space="preserve"> </w:t>
      </w:r>
      <w:r w:rsidR="00033D0F">
        <w:t>and</w:t>
      </w:r>
      <w:r w:rsidR="00033D0F">
        <w:rPr>
          <w:spacing w:val="-4"/>
        </w:rPr>
        <w:t xml:space="preserve"> </w:t>
      </w:r>
      <w:r w:rsidR="00033D0F">
        <w:t>the</w:t>
      </w:r>
      <w:r w:rsidR="00033D0F">
        <w:rPr>
          <w:spacing w:val="-3"/>
        </w:rPr>
        <w:t xml:space="preserve"> </w:t>
      </w:r>
      <w:r w:rsidR="00033D0F">
        <w:t>focus</w:t>
      </w:r>
      <w:r w:rsidR="00033D0F">
        <w:rPr>
          <w:spacing w:val="-1"/>
        </w:rPr>
        <w:t xml:space="preserve"> </w:t>
      </w:r>
      <w:r w:rsidR="00033D0F">
        <w:t>of</w:t>
      </w:r>
      <w:r w:rsidR="00033D0F">
        <w:rPr>
          <w:spacing w:val="-4"/>
        </w:rPr>
        <w:t xml:space="preserve"> </w:t>
      </w:r>
      <w:r w:rsidR="00033D0F">
        <w:t>each</w:t>
      </w:r>
      <w:r w:rsidR="00033D0F">
        <w:rPr>
          <w:spacing w:val="-4"/>
        </w:rPr>
        <w:t xml:space="preserve"> </w:t>
      </w:r>
      <w:r w:rsidR="00033D0F">
        <w:t>examination</w:t>
      </w:r>
      <w:r w:rsidR="00033D0F">
        <w:rPr>
          <w:spacing w:val="-4"/>
        </w:rPr>
        <w:t xml:space="preserve"> </w:t>
      </w:r>
      <w:r w:rsidR="00033D0F">
        <w:t>is</w:t>
      </w:r>
      <w:r w:rsidR="00033D0F">
        <w:rPr>
          <w:spacing w:val="-1"/>
        </w:rPr>
        <w:t xml:space="preserve"> </w:t>
      </w:r>
      <w:r w:rsidR="00033D0F">
        <w:t>different.</w:t>
      </w:r>
      <w:hyperlink w:anchor="_bookmark960" w:history="1">
        <w:r w:rsidR="00033D0F">
          <w:rPr>
            <w:vertAlign w:val="superscript"/>
          </w:rPr>
          <w:t>820</w:t>
        </w:r>
      </w:hyperlink>
      <w:r w:rsidR="00033D0F">
        <w:rPr>
          <w:spacing w:val="-2"/>
        </w:rPr>
        <w:t xml:space="preserve"> </w:t>
      </w:r>
      <w:r w:rsidR="00033D0F">
        <w:t>The</w:t>
      </w:r>
      <w:r w:rsidR="00033D0F">
        <w:rPr>
          <w:spacing w:val="-2"/>
        </w:rPr>
        <w:t xml:space="preserve"> </w:t>
      </w:r>
      <w:r w:rsidR="00033D0F">
        <w:t>analysis under</w:t>
      </w:r>
      <w:r w:rsidR="00033D0F">
        <w:rPr>
          <w:spacing w:val="-9"/>
        </w:rPr>
        <w:t xml:space="preserve"> </w:t>
      </w:r>
      <w:r w:rsidR="00033D0F">
        <w:t>Article</w:t>
      </w:r>
      <w:r w:rsidR="00033D0F">
        <w:rPr>
          <w:spacing w:val="-1"/>
        </w:rPr>
        <w:t xml:space="preserve"> </w:t>
      </w:r>
      <w:r w:rsidR="00033D0F">
        <w:t>3.5</w:t>
      </w:r>
      <w:r w:rsidR="00033D0F">
        <w:rPr>
          <w:spacing w:val="-8"/>
        </w:rPr>
        <w:t xml:space="preserve"> </w:t>
      </w:r>
      <w:r w:rsidR="00033D0F">
        <w:t>requires</w:t>
      </w:r>
      <w:r w:rsidR="00033D0F">
        <w:rPr>
          <w:spacing w:val="-5"/>
        </w:rPr>
        <w:t xml:space="preserve"> </w:t>
      </w:r>
      <w:r w:rsidR="00033D0F">
        <w:t>an</w:t>
      </w:r>
      <w:r w:rsidR="00033D0F">
        <w:rPr>
          <w:spacing w:val="-3"/>
        </w:rPr>
        <w:t xml:space="preserve"> </w:t>
      </w:r>
      <w:r w:rsidR="00033D0F">
        <w:t>analysis</w:t>
      </w:r>
      <w:r w:rsidR="00033D0F">
        <w:rPr>
          <w:spacing w:val="-5"/>
        </w:rPr>
        <w:t xml:space="preserve"> </w:t>
      </w:r>
      <w:r w:rsidR="00033D0F">
        <w:t>of</w:t>
      </w:r>
      <w:r w:rsidR="00033D0F">
        <w:rPr>
          <w:spacing w:val="-8"/>
        </w:rPr>
        <w:t xml:space="preserve"> </w:t>
      </w:r>
      <w:r w:rsidR="00033D0F">
        <w:t>whether</w:t>
      </w:r>
      <w:r w:rsidR="00033D0F">
        <w:rPr>
          <w:spacing w:val="-9"/>
        </w:rPr>
        <w:t xml:space="preserve"> </w:t>
      </w:r>
      <w:r w:rsidR="00033D0F">
        <w:t>subject</w:t>
      </w:r>
      <w:r w:rsidR="00033D0F">
        <w:rPr>
          <w:spacing w:val="-6"/>
        </w:rPr>
        <w:t xml:space="preserve"> </w:t>
      </w:r>
      <w:r w:rsidR="00033D0F">
        <w:t>imports</w:t>
      </w:r>
      <w:r w:rsidR="00033D0F">
        <w:rPr>
          <w:spacing w:val="-5"/>
        </w:rPr>
        <w:t xml:space="preserve"> </w:t>
      </w:r>
      <w:r w:rsidR="00033D0F">
        <w:t>or</w:t>
      </w:r>
      <w:r w:rsidR="00033D0F">
        <w:rPr>
          <w:spacing w:val="-9"/>
        </w:rPr>
        <w:t xml:space="preserve"> </w:t>
      </w:r>
      <w:r w:rsidR="00033D0F">
        <w:t>other</w:t>
      </w:r>
      <w:r w:rsidR="00033D0F">
        <w:rPr>
          <w:spacing w:val="-9"/>
        </w:rPr>
        <w:t xml:space="preserve"> </w:t>
      </w:r>
      <w:r w:rsidR="00033D0F">
        <w:t>known</w:t>
      </w:r>
      <w:r w:rsidR="00033D0F">
        <w:rPr>
          <w:spacing w:val="-3"/>
        </w:rPr>
        <w:t xml:space="preserve"> </w:t>
      </w:r>
      <w:r w:rsidR="00033D0F">
        <w:t>factors</w:t>
      </w:r>
      <w:r w:rsidR="00033D0F">
        <w:rPr>
          <w:spacing w:val="-5"/>
        </w:rPr>
        <w:t xml:space="preserve"> </w:t>
      </w:r>
      <w:r w:rsidR="00033D0F">
        <w:t xml:space="preserve">have caused </w:t>
      </w:r>
      <w:r w:rsidR="00033D0F">
        <w:rPr>
          <w:i/>
        </w:rPr>
        <w:t xml:space="preserve">material injury </w:t>
      </w:r>
      <w:r w:rsidR="00033D0F">
        <w:t>to the domestic industry.</w:t>
      </w:r>
      <w:hyperlink w:anchor="_bookmark961" w:history="1">
        <w:r w:rsidR="00033D0F">
          <w:rPr>
            <w:vertAlign w:val="superscript"/>
          </w:rPr>
          <w:t>821</w:t>
        </w:r>
      </w:hyperlink>
      <w:r w:rsidR="00033D0F">
        <w:t xml:space="preserve"> This is different from the evaluation required by Article</w:t>
      </w:r>
      <w:r w:rsidR="00033D0F">
        <w:rPr>
          <w:spacing w:val="-1"/>
        </w:rPr>
        <w:t xml:space="preserve"> </w:t>
      </w:r>
      <w:r w:rsidR="00033D0F">
        <w:t>3.4 which focuses on an examination of the impact that subject imports have</w:t>
      </w:r>
      <w:r w:rsidR="00033D0F">
        <w:rPr>
          <w:spacing w:val="-6"/>
        </w:rPr>
        <w:t xml:space="preserve"> </w:t>
      </w:r>
      <w:r w:rsidR="00033D0F">
        <w:t>for</w:t>
      </w:r>
      <w:r w:rsidR="00033D0F">
        <w:rPr>
          <w:spacing w:val="-4"/>
        </w:rPr>
        <w:t xml:space="preserve"> </w:t>
      </w:r>
      <w:r w:rsidR="00033D0F">
        <w:t>the</w:t>
      </w:r>
      <w:r w:rsidR="00033D0F">
        <w:rPr>
          <w:spacing w:val="-6"/>
        </w:rPr>
        <w:t xml:space="preserve"> </w:t>
      </w:r>
      <w:r w:rsidR="00033D0F">
        <w:t>state</w:t>
      </w:r>
      <w:r w:rsidR="00033D0F">
        <w:rPr>
          <w:spacing w:val="-6"/>
        </w:rPr>
        <w:t xml:space="preserve"> </w:t>
      </w:r>
      <w:r w:rsidR="00033D0F">
        <w:t>observed</w:t>
      </w:r>
      <w:r w:rsidR="00033D0F">
        <w:rPr>
          <w:spacing w:val="-8"/>
        </w:rPr>
        <w:t xml:space="preserve"> </w:t>
      </w:r>
      <w:r w:rsidR="00033D0F">
        <w:t>in</w:t>
      </w:r>
      <w:r w:rsidR="00033D0F">
        <w:rPr>
          <w:spacing w:val="-8"/>
        </w:rPr>
        <w:t xml:space="preserve"> </w:t>
      </w:r>
      <w:r w:rsidR="00033D0F">
        <w:t>the</w:t>
      </w:r>
      <w:r w:rsidR="00033D0F">
        <w:rPr>
          <w:spacing w:val="-6"/>
        </w:rPr>
        <w:t xml:space="preserve"> </w:t>
      </w:r>
      <w:r w:rsidR="00033D0F">
        <w:t>domestic</w:t>
      </w:r>
      <w:r w:rsidR="00033D0F">
        <w:rPr>
          <w:spacing w:val="-7"/>
        </w:rPr>
        <w:t xml:space="preserve"> </w:t>
      </w:r>
      <w:r w:rsidR="00033D0F">
        <w:t>industry.</w:t>
      </w:r>
      <w:r w:rsidR="00033D0F">
        <w:rPr>
          <w:spacing w:val="-5"/>
        </w:rPr>
        <w:t xml:space="preserve"> </w:t>
      </w:r>
      <w:r w:rsidR="00033D0F">
        <w:t>China</w:t>
      </w:r>
      <w:r w:rsidR="00033D0F">
        <w:rPr>
          <w:spacing w:val="-7"/>
        </w:rPr>
        <w:t xml:space="preserve"> </w:t>
      </w:r>
      <w:r w:rsidR="00033D0F">
        <w:t>agrees</w:t>
      </w:r>
      <w:r w:rsidR="00033D0F">
        <w:rPr>
          <w:spacing w:val="-5"/>
        </w:rPr>
        <w:t xml:space="preserve"> </w:t>
      </w:r>
      <w:r w:rsidR="00033D0F">
        <w:t>that</w:t>
      </w:r>
      <w:r w:rsidR="00033D0F">
        <w:rPr>
          <w:spacing w:val="-6"/>
        </w:rPr>
        <w:t xml:space="preserve"> </w:t>
      </w:r>
      <w:r w:rsidR="00033D0F">
        <w:t>Article 3.4</w:t>
      </w:r>
      <w:r w:rsidR="00033D0F">
        <w:rPr>
          <w:spacing w:val="-8"/>
        </w:rPr>
        <w:t xml:space="preserve"> </w:t>
      </w:r>
      <w:r w:rsidR="00033D0F">
        <w:t>requires</w:t>
      </w:r>
      <w:r w:rsidR="00033D0F">
        <w:rPr>
          <w:spacing w:val="-5"/>
        </w:rPr>
        <w:t xml:space="preserve"> </w:t>
      </w:r>
      <w:r w:rsidR="00033D0F">
        <w:t>an investigating authority to examine the "explanatory force" between subject imports and the state observed in the domestic industry,</w:t>
      </w:r>
      <w:hyperlink w:anchor="_bookmark962" w:history="1">
        <w:r w:rsidR="00033D0F">
          <w:rPr>
            <w:vertAlign w:val="superscript"/>
          </w:rPr>
          <w:t>822</w:t>
        </w:r>
      </w:hyperlink>
      <w:r w:rsidR="00033D0F">
        <w:t xml:space="preserve"> but does not elaborate on what that requires. Rather, China seeks to create unnecessary confusion by </w:t>
      </w:r>
      <w:proofErr w:type="spellStart"/>
      <w:r w:rsidR="00033D0F">
        <w:t>mischaracterising</w:t>
      </w:r>
      <w:proofErr w:type="spellEnd"/>
      <w:r w:rsidR="00033D0F">
        <w:t xml:space="preserve"> all of Australia's arguments relating to "explanatory force" as falling within the scope of Article 3.5.</w:t>
      </w:r>
      <w:hyperlink w:anchor="_bookmark963" w:history="1">
        <w:r w:rsidR="00033D0F">
          <w:rPr>
            <w:vertAlign w:val="superscript"/>
          </w:rPr>
          <w:t>823</w:t>
        </w:r>
      </w:hyperlink>
    </w:p>
    <w:p w14:paraId="64B1B7B6" w14:textId="77777777" w:rsidR="00BD462C" w:rsidRDefault="00BD462C">
      <w:pPr>
        <w:pStyle w:val="BodyText"/>
        <w:spacing w:before="2"/>
        <w:rPr>
          <w:sz w:val="8"/>
        </w:rPr>
      </w:pPr>
    </w:p>
    <w:p w14:paraId="10E1A958" w14:textId="3A0D4661" w:rsidR="00BD462C" w:rsidRDefault="00AF1D30">
      <w:pPr>
        <w:pStyle w:val="BodyText"/>
        <w:spacing w:before="56" w:line="360" w:lineRule="auto"/>
        <w:ind w:left="135" w:right="913"/>
        <w:jc w:val="both"/>
      </w:pPr>
      <w:r>
        <w:rPr>
          <w:noProof/>
        </w:rPr>
        <w:t>546.</w:t>
      </w:r>
      <w:r w:rsidR="00033D0F">
        <w:rPr>
          <w:rFonts w:ascii="Times New Roman"/>
          <w:spacing w:val="80"/>
          <w:position w:val="1"/>
          <w:sz w:val="20"/>
        </w:rPr>
        <w:t xml:space="preserve">  </w:t>
      </w:r>
      <w:r w:rsidR="00033D0F">
        <w:rPr>
          <w:position w:val="1"/>
        </w:rPr>
        <w:t xml:space="preserve">Australia's position is that the requirement to examine "explanatory force" under </w:t>
      </w:r>
      <w:r w:rsidR="00033D0F">
        <w:t>Article</w:t>
      </w:r>
      <w:r w:rsidR="00033D0F">
        <w:rPr>
          <w:spacing w:val="-2"/>
        </w:rPr>
        <w:t xml:space="preserve"> </w:t>
      </w:r>
      <w:r w:rsidR="00033D0F">
        <w:t>3.4 is necessary in order to enable an investigating authority to "derive an understanding of the impact of subject imports on the domestic industry".</w:t>
      </w:r>
      <w:hyperlink w:anchor="_bookmark964" w:history="1">
        <w:r w:rsidR="00033D0F">
          <w:rPr>
            <w:vertAlign w:val="superscript"/>
          </w:rPr>
          <w:t>824</w:t>
        </w:r>
      </w:hyperlink>
      <w:r w:rsidR="00033D0F">
        <w:t xml:space="preserve"> This is distinct from the analysis required under Article</w:t>
      </w:r>
      <w:r w:rsidR="00033D0F">
        <w:rPr>
          <w:spacing w:val="-2"/>
        </w:rPr>
        <w:t xml:space="preserve"> </w:t>
      </w:r>
      <w:r w:rsidR="00033D0F">
        <w:t>3.5 in that it does not require an investigating authority to "</w:t>
      </w:r>
      <w:r w:rsidR="00033D0F">
        <w:rPr>
          <w:i/>
        </w:rPr>
        <w:t xml:space="preserve">demonstrate </w:t>
      </w:r>
      <w:r w:rsidR="00033D0F">
        <w:t>that dumped imports are causing injury to the domestic industry".</w:t>
      </w:r>
      <w:hyperlink w:anchor="_bookmark965" w:history="1">
        <w:r w:rsidR="00033D0F">
          <w:rPr>
            <w:vertAlign w:val="superscript"/>
          </w:rPr>
          <w:t>825</w:t>
        </w:r>
      </w:hyperlink>
      <w:r w:rsidR="00033D0F">
        <w:rPr>
          <w:spacing w:val="-14"/>
        </w:rPr>
        <w:t xml:space="preserve"> </w:t>
      </w:r>
      <w:r w:rsidR="00033D0F">
        <w:t>In</w:t>
      </w:r>
      <w:r w:rsidR="00033D0F">
        <w:rPr>
          <w:spacing w:val="-14"/>
        </w:rPr>
        <w:t xml:space="preserve"> </w:t>
      </w:r>
      <w:r w:rsidR="00033D0F">
        <w:t>this</w:t>
      </w:r>
      <w:r w:rsidR="00033D0F">
        <w:rPr>
          <w:spacing w:val="-13"/>
        </w:rPr>
        <w:t xml:space="preserve"> </w:t>
      </w:r>
      <w:r w:rsidR="00033D0F">
        <w:t>way,</w:t>
      </w:r>
      <w:r w:rsidR="00033D0F">
        <w:rPr>
          <w:spacing w:val="-11"/>
        </w:rPr>
        <w:t xml:space="preserve"> </w:t>
      </w:r>
      <w:r w:rsidR="00033D0F">
        <w:t>the</w:t>
      </w:r>
      <w:r w:rsidR="00033D0F">
        <w:rPr>
          <w:spacing w:val="-13"/>
        </w:rPr>
        <w:t xml:space="preserve"> </w:t>
      </w:r>
      <w:r w:rsidR="00033D0F">
        <w:t>requirement</w:t>
      </w:r>
      <w:r w:rsidR="00033D0F">
        <w:rPr>
          <w:spacing w:val="-12"/>
        </w:rPr>
        <w:t xml:space="preserve"> </w:t>
      </w:r>
      <w:r w:rsidR="00033D0F">
        <w:t>to</w:t>
      </w:r>
      <w:r w:rsidR="00033D0F">
        <w:rPr>
          <w:spacing w:val="-14"/>
        </w:rPr>
        <w:t xml:space="preserve"> </w:t>
      </w:r>
      <w:r w:rsidR="00033D0F">
        <w:t>evaluate</w:t>
      </w:r>
      <w:r w:rsidR="00033D0F">
        <w:rPr>
          <w:spacing w:val="-14"/>
        </w:rPr>
        <w:t xml:space="preserve"> </w:t>
      </w:r>
      <w:r w:rsidR="00033D0F">
        <w:t>the</w:t>
      </w:r>
      <w:r w:rsidR="00033D0F">
        <w:rPr>
          <w:spacing w:val="-12"/>
        </w:rPr>
        <w:t xml:space="preserve"> </w:t>
      </w:r>
      <w:r w:rsidR="00033D0F">
        <w:t>explanatory</w:t>
      </w:r>
      <w:r w:rsidR="00033D0F">
        <w:rPr>
          <w:spacing w:val="-12"/>
        </w:rPr>
        <w:t xml:space="preserve"> </w:t>
      </w:r>
      <w:r w:rsidR="00033D0F">
        <w:t>force</w:t>
      </w:r>
      <w:r w:rsidR="00033D0F">
        <w:rPr>
          <w:spacing w:val="-13"/>
        </w:rPr>
        <w:t xml:space="preserve"> </w:t>
      </w:r>
      <w:r w:rsidR="00033D0F">
        <w:t>"is</w:t>
      </w:r>
      <w:r w:rsidR="00033D0F">
        <w:rPr>
          <w:spacing w:val="-11"/>
        </w:rPr>
        <w:t xml:space="preserve"> </w:t>
      </w:r>
      <w:r w:rsidR="00033D0F">
        <w:t>concerned</w:t>
      </w:r>
      <w:r w:rsidR="00033D0F">
        <w:rPr>
          <w:spacing w:val="-14"/>
        </w:rPr>
        <w:t xml:space="preserve"> </w:t>
      </w:r>
      <w:r w:rsidR="00033D0F">
        <w:t>with 'the relationship between subject imports and the state of the domestic industry".</w:t>
      </w:r>
      <w:hyperlink w:anchor="_bookmark966" w:history="1">
        <w:r w:rsidR="00033D0F">
          <w:rPr>
            <w:vertAlign w:val="superscript"/>
          </w:rPr>
          <w:t>826</w:t>
        </w:r>
      </w:hyperlink>
    </w:p>
    <w:p w14:paraId="3C2A61D9" w14:textId="77777777" w:rsidR="00BD462C" w:rsidRDefault="00BD462C">
      <w:pPr>
        <w:pStyle w:val="BodyText"/>
        <w:spacing w:before="10"/>
        <w:rPr>
          <w:sz w:val="8"/>
        </w:rPr>
      </w:pPr>
    </w:p>
    <w:p w14:paraId="40F8833F" w14:textId="4676B852" w:rsidR="00BD462C" w:rsidRDefault="00732032">
      <w:pPr>
        <w:pStyle w:val="BodyText"/>
        <w:spacing w:before="56" w:line="360" w:lineRule="auto"/>
        <w:ind w:left="135" w:right="912"/>
        <w:jc w:val="both"/>
      </w:pPr>
      <w:r>
        <w:rPr>
          <w:noProof/>
        </w:rPr>
        <w:t>547.</w:t>
      </w:r>
      <w:r w:rsidR="00033D0F">
        <w:rPr>
          <w:rFonts w:ascii="Times New Roman"/>
          <w:spacing w:val="40"/>
          <w:position w:val="1"/>
          <w:sz w:val="20"/>
        </w:rPr>
        <w:t xml:space="preserve">  </w:t>
      </w:r>
      <w:r w:rsidR="00033D0F">
        <w:rPr>
          <w:position w:val="1"/>
        </w:rPr>
        <w:t>Australia's arguments regarding the errors and omissions in MOFCOM's Article</w:t>
      </w:r>
      <w:r w:rsidR="00033D0F">
        <w:rPr>
          <w:spacing w:val="-2"/>
          <w:position w:val="1"/>
        </w:rPr>
        <w:t xml:space="preserve"> </w:t>
      </w:r>
      <w:r w:rsidR="00033D0F">
        <w:rPr>
          <w:position w:val="1"/>
        </w:rPr>
        <w:t xml:space="preserve">3.4 </w:t>
      </w:r>
      <w:r w:rsidR="00033D0F">
        <w:t>analysis are directed to MOFCOM's failure to objectively examine the explanatory force or relationship between subject</w:t>
      </w:r>
      <w:r w:rsidR="00033D0F">
        <w:rPr>
          <w:spacing w:val="-2"/>
        </w:rPr>
        <w:t xml:space="preserve"> </w:t>
      </w:r>
      <w:r w:rsidR="00033D0F">
        <w:t>imports and the state observed in the various economic indicia of the domestic industry. At its core, Australia's argument is directed to the fact that MOFCOM's examination of the domestic industry simply assumed that subject imports had</w:t>
      </w:r>
    </w:p>
    <w:p w14:paraId="18CFD152" w14:textId="77777777" w:rsidR="00BD462C" w:rsidRDefault="00BD462C">
      <w:pPr>
        <w:pStyle w:val="BodyText"/>
        <w:rPr>
          <w:sz w:val="20"/>
        </w:rPr>
      </w:pPr>
    </w:p>
    <w:p w14:paraId="779DEA90" w14:textId="6DF57565" w:rsidR="00BD462C" w:rsidRDefault="00752F01">
      <w:pPr>
        <w:pStyle w:val="BodyText"/>
        <w:spacing w:before="11"/>
        <w:rPr>
          <w:sz w:val="20"/>
        </w:rPr>
      </w:pPr>
      <w:r>
        <w:rPr>
          <w:noProof/>
        </w:rPr>
        <mc:AlternateContent>
          <mc:Choice Requires="wps">
            <w:drawing>
              <wp:anchor distT="0" distB="0" distL="0" distR="0" simplePos="0" relativeHeight="488249856" behindDoc="1" locked="0" layoutInCell="1" allowOverlap="1" wp14:anchorId="7CA5A41D" wp14:editId="7995F99F">
                <wp:simplePos x="0" y="0"/>
                <wp:positionH relativeFrom="page">
                  <wp:posOffset>812800</wp:posOffset>
                </wp:positionH>
                <wp:positionV relativeFrom="paragraph">
                  <wp:posOffset>164465</wp:posOffset>
                </wp:positionV>
                <wp:extent cx="1828800" cy="8890"/>
                <wp:effectExtent l="0" t="0" r="0" b="0"/>
                <wp:wrapTopAndBottom/>
                <wp:docPr id="229" name="docshape6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AABCAE" id="docshape664" o:spid="_x0000_s1026" alt="&quot;&quot;" style="position:absolute;margin-left:64pt;margin-top:12.95pt;width:2in;height:.7pt;z-index:-1506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" fillcolor="black" stroked="f">
                <w10:wrap type="topAndBottom" anchorx="page"/>
              </v:rect>
            </w:pict>
          </mc:Fallback>
        </mc:AlternateContent>
      </w:r>
    </w:p>
    <w:p w14:paraId="003C83DD" w14:textId="77777777" w:rsidR="00BD462C" w:rsidRDefault="00033D0F">
      <w:pPr>
        <w:spacing w:before="107"/>
        <w:ind w:left="136" w:right="911" w:hanging="1"/>
        <w:jc w:val="both"/>
        <w:rPr>
          <w:sz w:val="18"/>
        </w:rPr>
      </w:pPr>
      <w:bookmarkStart w:id="1113" w:name="_bookmark960"/>
      <w:bookmarkEnd w:id="1113"/>
      <w:r>
        <w:rPr>
          <w:position w:val="5"/>
          <w:sz w:val="12"/>
        </w:rPr>
        <w:t>820</w:t>
      </w:r>
      <w:r>
        <w:rPr>
          <w:spacing w:val="21"/>
          <w:position w:val="5"/>
          <w:sz w:val="12"/>
        </w:rPr>
        <w:t xml:space="preserve"> </w:t>
      </w:r>
      <w:r>
        <w:rPr>
          <w:sz w:val="18"/>
        </w:rPr>
        <w:t>See Australia's responses to Panel question No. 41</w:t>
      </w:r>
      <w:r>
        <w:rPr>
          <w:spacing w:val="-5"/>
          <w:sz w:val="18"/>
        </w:rPr>
        <w:t xml:space="preserve"> </w:t>
      </w:r>
      <w:r>
        <w:rPr>
          <w:sz w:val="18"/>
        </w:rPr>
        <w:t>(paras. 107-110). China appears to rely on the Appellate Body Report in</w:t>
      </w:r>
      <w:r>
        <w:rPr>
          <w:spacing w:val="-8"/>
          <w:sz w:val="18"/>
        </w:rPr>
        <w:t xml:space="preserve"> </w:t>
      </w:r>
      <w:r>
        <w:rPr>
          <w:i/>
          <w:sz w:val="18"/>
        </w:rPr>
        <w:t>Korea</w:t>
      </w:r>
      <w:r>
        <w:rPr>
          <w:i/>
          <w:spacing w:val="-6"/>
          <w:sz w:val="18"/>
        </w:rPr>
        <w:t xml:space="preserve"> </w:t>
      </w:r>
      <w:r>
        <w:rPr>
          <w:i/>
          <w:sz w:val="18"/>
        </w:rPr>
        <w:t>–</w:t>
      </w:r>
      <w:r>
        <w:rPr>
          <w:i/>
          <w:spacing w:val="-8"/>
          <w:sz w:val="18"/>
        </w:rPr>
        <w:t xml:space="preserve"> </w:t>
      </w:r>
      <w:r>
        <w:rPr>
          <w:i/>
          <w:sz w:val="18"/>
        </w:rPr>
        <w:t>Pneumatic</w:t>
      </w:r>
      <w:r>
        <w:rPr>
          <w:i/>
          <w:spacing w:val="-8"/>
          <w:sz w:val="18"/>
        </w:rPr>
        <w:t xml:space="preserve"> </w:t>
      </w:r>
      <w:r>
        <w:rPr>
          <w:i/>
          <w:sz w:val="18"/>
        </w:rPr>
        <w:t>Valves</w:t>
      </w:r>
      <w:r>
        <w:rPr>
          <w:i/>
          <w:spacing w:val="-8"/>
          <w:sz w:val="18"/>
        </w:rPr>
        <w:t xml:space="preserve"> </w:t>
      </w:r>
      <w:r>
        <w:rPr>
          <w:i/>
          <w:sz w:val="18"/>
        </w:rPr>
        <w:t>(Japan)</w:t>
      </w:r>
      <w:r>
        <w:rPr>
          <w:i/>
          <w:spacing w:val="-1"/>
          <w:sz w:val="18"/>
        </w:rPr>
        <w:t xml:space="preserve"> </w:t>
      </w:r>
      <w:r>
        <w:rPr>
          <w:sz w:val="18"/>
        </w:rPr>
        <w:t>as</w:t>
      </w:r>
      <w:r>
        <w:rPr>
          <w:spacing w:val="-3"/>
          <w:sz w:val="18"/>
        </w:rPr>
        <w:t xml:space="preserve"> </w:t>
      </w:r>
      <w:r>
        <w:rPr>
          <w:sz w:val="18"/>
        </w:rPr>
        <w:t>authority</w:t>
      </w:r>
      <w:r>
        <w:rPr>
          <w:spacing w:val="-10"/>
          <w:sz w:val="18"/>
        </w:rPr>
        <w:t xml:space="preserve"> </w:t>
      </w:r>
      <w:r>
        <w:rPr>
          <w:sz w:val="18"/>
        </w:rPr>
        <w:t>for</w:t>
      </w:r>
      <w:r>
        <w:rPr>
          <w:spacing w:val="-10"/>
          <w:sz w:val="18"/>
        </w:rPr>
        <w:t xml:space="preserve"> </w:t>
      </w:r>
      <w:r>
        <w:rPr>
          <w:sz w:val="18"/>
        </w:rPr>
        <w:t>the</w:t>
      </w:r>
      <w:r>
        <w:rPr>
          <w:spacing w:val="-3"/>
          <w:sz w:val="18"/>
        </w:rPr>
        <w:t xml:space="preserve"> </w:t>
      </w:r>
      <w:r>
        <w:rPr>
          <w:sz w:val="18"/>
        </w:rPr>
        <w:t>principle</w:t>
      </w:r>
      <w:r>
        <w:rPr>
          <w:spacing w:val="-8"/>
          <w:sz w:val="18"/>
        </w:rPr>
        <w:t xml:space="preserve"> </w:t>
      </w:r>
      <w:r>
        <w:rPr>
          <w:sz w:val="18"/>
        </w:rPr>
        <w:t>that</w:t>
      </w:r>
      <w:r>
        <w:rPr>
          <w:spacing w:val="-7"/>
          <w:sz w:val="18"/>
        </w:rPr>
        <w:t xml:space="preserve"> </w:t>
      </w:r>
      <w:r>
        <w:rPr>
          <w:sz w:val="18"/>
        </w:rPr>
        <w:t>Articles</w:t>
      </w:r>
      <w:r>
        <w:rPr>
          <w:spacing w:val="-3"/>
          <w:sz w:val="18"/>
        </w:rPr>
        <w:t xml:space="preserve"> </w:t>
      </w:r>
      <w:r>
        <w:rPr>
          <w:sz w:val="18"/>
        </w:rPr>
        <w:t>3.4</w:t>
      </w:r>
      <w:r>
        <w:rPr>
          <w:spacing w:val="-10"/>
          <w:sz w:val="18"/>
        </w:rPr>
        <w:t xml:space="preserve"> </w:t>
      </w:r>
      <w:r>
        <w:rPr>
          <w:sz w:val="18"/>
        </w:rPr>
        <w:t>and</w:t>
      </w:r>
      <w:r>
        <w:rPr>
          <w:spacing w:val="-4"/>
          <w:sz w:val="18"/>
        </w:rPr>
        <w:t xml:space="preserve"> </w:t>
      </w:r>
      <w:r>
        <w:rPr>
          <w:sz w:val="18"/>
        </w:rPr>
        <w:t>3.5</w:t>
      </w:r>
      <w:r>
        <w:rPr>
          <w:spacing w:val="-5"/>
          <w:sz w:val="18"/>
        </w:rPr>
        <w:t xml:space="preserve"> </w:t>
      </w:r>
      <w:r>
        <w:rPr>
          <w:sz w:val="18"/>
        </w:rPr>
        <w:t>require</w:t>
      </w:r>
      <w:r>
        <w:rPr>
          <w:spacing w:val="-8"/>
          <w:sz w:val="18"/>
        </w:rPr>
        <w:t xml:space="preserve"> </w:t>
      </w:r>
      <w:r>
        <w:rPr>
          <w:sz w:val="18"/>
        </w:rPr>
        <w:t>separate</w:t>
      </w:r>
      <w:r>
        <w:rPr>
          <w:spacing w:val="-3"/>
          <w:sz w:val="18"/>
        </w:rPr>
        <w:t xml:space="preserve"> </w:t>
      </w:r>
      <w:r>
        <w:rPr>
          <w:sz w:val="18"/>
        </w:rPr>
        <w:t>analysis.</w:t>
      </w:r>
      <w:r>
        <w:rPr>
          <w:spacing w:val="-2"/>
          <w:sz w:val="18"/>
        </w:rPr>
        <w:t xml:space="preserve"> </w:t>
      </w:r>
      <w:r>
        <w:rPr>
          <w:sz w:val="18"/>
        </w:rPr>
        <w:t>Australia agrees with this statement of principle. However, notes that the arguments before the Appellate Body were materially different to those advanced by Australia in this case. In particular, Australia's argument is not that Article 3.4 and 3.5 both require a causation and non-attribution analysis.</w:t>
      </w:r>
    </w:p>
    <w:p w14:paraId="2C9B57FA" w14:textId="77777777" w:rsidR="00BD462C" w:rsidRDefault="00033D0F">
      <w:pPr>
        <w:ind w:left="135"/>
        <w:jc w:val="both"/>
        <w:rPr>
          <w:sz w:val="18"/>
        </w:rPr>
      </w:pPr>
      <w:bookmarkStart w:id="1114" w:name="_bookmark961"/>
      <w:bookmarkEnd w:id="1114"/>
      <w:r>
        <w:rPr>
          <w:position w:val="5"/>
          <w:sz w:val="12"/>
        </w:rPr>
        <w:t>821</w:t>
      </w:r>
      <w:r>
        <w:rPr>
          <w:spacing w:val="15"/>
          <w:position w:val="5"/>
          <w:sz w:val="12"/>
        </w:rPr>
        <w:t xml:space="preserve"> </w:t>
      </w:r>
      <w:r>
        <w:rPr>
          <w:sz w:val="18"/>
        </w:rPr>
        <w:t>Appellate</w:t>
      </w:r>
      <w:r>
        <w:rPr>
          <w:spacing w:val="-9"/>
          <w:sz w:val="18"/>
        </w:rPr>
        <w:t xml:space="preserve"> </w:t>
      </w:r>
      <w:r>
        <w:rPr>
          <w:sz w:val="18"/>
        </w:rPr>
        <w:t>Body</w:t>
      </w:r>
      <w:r>
        <w:rPr>
          <w:spacing w:val="-5"/>
          <w:sz w:val="18"/>
        </w:rPr>
        <w:t xml:space="preserve"> </w:t>
      </w:r>
      <w:r>
        <w:rPr>
          <w:sz w:val="18"/>
        </w:rPr>
        <w:t>Report,</w:t>
      </w:r>
      <w:r>
        <w:rPr>
          <w:spacing w:val="-2"/>
          <w:sz w:val="18"/>
        </w:rPr>
        <w:t xml:space="preserve"> </w:t>
      </w:r>
      <w:r>
        <w:rPr>
          <w:i/>
          <w:sz w:val="18"/>
        </w:rPr>
        <w:t>China</w:t>
      </w:r>
      <w:r>
        <w:rPr>
          <w:i/>
          <w:spacing w:val="3"/>
          <w:sz w:val="18"/>
        </w:rPr>
        <w:t xml:space="preserve"> </w:t>
      </w:r>
      <w:r>
        <w:rPr>
          <w:i/>
          <w:sz w:val="18"/>
        </w:rPr>
        <w:t>–</w:t>
      </w:r>
      <w:r>
        <w:rPr>
          <w:i/>
          <w:spacing w:val="-4"/>
          <w:sz w:val="18"/>
        </w:rPr>
        <w:t xml:space="preserve"> </w:t>
      </w:r>
      <w:r>
        <w:rPr>
          <w:i/>
          <w:sz w:val="18"/>
        </w:rPr>
        <w:t>GOES</w:t>
      </w:r>
      <w:r>
        <w:rPr>
          <w:i/>
          <w:spacing w:val="-5"/>
          <w:sz w:val="18"/>
        </w:rPr>
        <w:t xml:space="preserve"> </w:t>
      </w:r>
      <w:r>
        <w:rPr>
          <w:sz w:val="18"/>
        </w:rPr>
        <w:t>(2012),</w:t>
      </w:r>
      <w:r>
        <w:rPr>
          <w:spacing w:val="-2"/>
          <w:sz w:val="18"/>
        </w:rPr>
        <w:t xml:space="preserve"> </w:t>
      </w:r>
      <w:r>
        <w:rPr>
          <w:sz w:val="18"/>
        </w:rPr>
        <w:t>para.</w:t>
      </w:r>
      <w:r>
        <w:rPr>
          <w:spacing w:val="-2"/>
          <w:sz w:val="18"/>
        </w:rPr>
        <w:t xml:space="preserve"> </w:t>
      </w:r>
      <w:r>
        <w:rPr>
          <w:spacing w:val="-4"/>
          <w:sz w:val="18"/>
        </w:rPr>
        <w:t>150.</w:t>
      </w:r>
    </w:p>
    <w:p w14:paraId="5E8AEF7B" w14:textId="77777777" w:rsidR="00BD462C" w:rsidRDefault="00033D0F">
      <w:pPr>
        <w:spacing w:before="1"/>
        <w:ind w:left="135"/>
        <w:jc w:val="both"/>
        <w:rPr>
          <w:sz w:val="18"/>
        </w:rPr>
      </w:pPr>
      <w:bookmarkStart w:id="1115" w:name="_bookmark962"/>
      <w:bookmarkEnd w:id="1115"/>
      <w:r>
        <w:rPr>
          <w:position w:val="5"/>
          <w:sz w:val="12"/>
        </w:rPr>
        <w:t>822</w:t>
      </w:r>
      <w:r>
        <w:rPr>
          <w:spacing w:val="12"/>
          <w:position w:val="5"/>
          <w:sz w:val="12"/>
        </w:rPr>
        <w:t xml:space="preserve"> </w:t>
      </w:r>
      <w:r>
        <w:rPr>
          <w:sz w:val="18"/>
        </w:rPr>
        <w:t>See</w:t>
      </w:r>
      <w:r>
        <w:rPr>
          <w:spacing w:val="-5"/>
          <w:sz w:val="18"/>
        </w:rPr>
        <w:t xml:space="preserve"> </w:t>
      </w:r>
      <w:r>
        <w:rPr>
          <w:sz w:val="18"/>
        </w:rPr>
        <w:t>also</w:t>
      </w:r>
      <w:r>
        <w:rPr>
          <w:spacing w:val="-3"/>
          <w:sz w:val="18"/>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7"/>
          <w:sz w:val="18"/>
        </w:rPr>
        <w:t xml:space="preserve"> </w:t>
      </w:r>
      <w:r>
        <w:rPr>
          <w:sz w:val="18"/>
        </w:rPr>
        <w:t>submission,</w:t>
      </w:r>
      <w:r>
        <w:rPr>
          <w:spacing w:val="-4"/>
          <w:sz w:val="18"/>
        </w:rPr>
        <w:t xml:space="preserve"> </w:t>
      </w:r>
      <w:r>
        <w:rPr>
          <w:sz w:val="18"/>
        </w:rPr>
        <w:t>paras. 1454,</w:t>
      </w:r>
      <w:r>
        <w:rPr>
          <w:spacing w:val="1"/>
          <w:sz w:val="18"/>
        </w:rPr>
        <w:t xml:space="preserve"> </w:t>
      </w:r>
      <w:r>
        <w:rPr>
          <w:sz w:val="18"/>
        </w:rPr>
        <w:t>1482,</w:t>
      </w:r>
      <w:r>
        <w:rPr>
          <w:spacing w:val="-4"/>
          <w:sz w:val="18"/>
        </w:rPr>
        <w:t xml:space="preserve"> </w:t>
      </w:r>
      <w:r>
        <w:rPr>
          <w:sz w:val="18"/>
        </w:rPr>
        <w:t>1561,</w:t>
      </w:r>
      <w:r>
        <w:rPr>
          <w:spacing w:val="-9"/>
          <w:sz w:val="18"/>
        </w:rPr>
        <w:t xml:space="preserve"> </w:t>
      </w:r>
      <w:r>
        <w:rPr>
          <w:sz w:val="18"/>
        </w:rPr>
        <w:t xml:space="preserve">1597, </w:t>
      </w:r>
      <w:r>
        <w:rPr>
          <w:spacing w:val="-2"/>
          <w:sz w:val="18"/>
        </w:rPr>
        <w:t>1608.</w:t>
      </w:r>
    </w:p>
    <w:p w14:paraId="13122BDC" w14:textId="77777777" w:rsidR="00BD462C" w:rsidRDefault="00033D0F">
      <w:pPr>
        <w:spacing w:before="1"/>
        <w:ind w:left="135"/>
        <w:jc w:val="both"/>
        <w:rPr>
          <w:sz w:val="18"/>
        </w:rPr>
      </w:pPr>
      <w:bookmarkStart w:id="1116" w:name="_bookmark963"/>
      <w:bookmarkEnd w:id="1116"/>
      <w:r>
        <w:rPr>
          <w:position w:val="5"/>
          <w:sz w:val="12"/>
        </w:rPr>
        <w:t>823</w:t>
      </w:r>
      <w:r>
        <w:rPr>
          <w:spacing w:val="10"/>
          <w:position w:val="5"/>
          <w:sz w:val="12"/>
        </w:rPr>
        <w:t xml:space="preserve"> </w:t>
      </w:r>
      <w:r>
        <w:rPr>
          <w:sz w:val="18"/>
        </w:rPr>
        <w:t>China's</w:t>
      </w:r>
      <w:r>
        <w:rPr>
          <w:spacing w:val="-7"/>
          <w:sz w:val="18"/>
        </w:rPr>
        <w:t xml:space="preserve"> </w:t>
      </w:r>
      <w:r>
        <w:rPr>
          <w:sz w:val="18"/>
        </w:rPr>
        <w:t>first</w:t>
      </w:r>
      <w:r>
        <w:rPr>
          <w:spacing w:val="-6"/>
          <w:sz w:val="18"/>
        </w:rPr>
        <w:t xml:space="preserve"> </w:t>
      </w:r>
      <w:r>
        <w:rPr>
          <w:sz w:val="18"/>
        </w:rPr>
        <w:t>written</w:t>
      </w:r>
      <w:r>
        <w:rPr>
          <w:spacing w:val="-8"/>
          <w:sz w:val="18"/>
        </w:rPr>
        <w:t xml:space="preserve"> </w:t>
      </w:r>
      <w:r>
        <w:rPr>
          <w:sz w:val="18"/>
        </w:rPr>
        <w:t>submission,</w:t>
      </w:r>
      <w:r>
        <w:rPr>
          <w:spacing w:val="-2"/>
          <w:sz w:val="18"/>
        </w:rPr>
        <w:t xml:space="preserve"> </w:t>
      </w:r>
      <w:r>
        <w:rPr>
          <w:sz w:val="18"/>
        </w:rPr>
        <w:t>paras.</w:t>
      </w:r>
      <w:r>
        <w:rPr>
          <w:spacing w:val="-6"/>
          <w:sz w:val="18"/>
        </w:rPr>
        <w:t xml:space="preserve"> </w:t>
      </w:r>
      <w:r>
        <w:rPr>
          <w:sz w:val="18"/>
        </w:rPr>
        <w:t>1451-1456,</w:t>
      </w:r>
      <w:r>
        <w:rPr>
          <w:spacing w:val="-1"/>
          <w:sz w:val="18"/>
        </w:rPr>
        <w:t xml:space="preserve"> </w:t>
      </w:r>
      <w:r>
        <w:rPr>
          <w:sz w:val="18"/>
        </w:rPr>
        <w:t>1596-</w:t>
      </w:r>
      <w:r>
        <w:rPr>
          <w:spacing w:val="-2"/>
          <w:sz w:val="18"/>
        </w:rPr>
        <w:t>1598.</w:t>
      </w:r>
    </w:p>
    <w:p w14:paraId="3B295929" w14:textId="77777777" w:rsidR="00BD462C" w:rsidRDefault="00033D0F">
      <w:pPr>
        <w:spacing w:before="5" w:line="235" w:lineRule="auto"/>
        <w:ind w:left="136" w:right="911" w:hanging="1"/>
        <w:jc w:val="both"/>
        <w:rPr>
          <w:sz w:val="18"/>
        </w:rPr>
      </w:pPr>
      <w:bookmarkStart w:id="1117" w:name="_bookmark964"/>
      <w:bookmarkEnd w:id="1117"/>
      <w:r>
        <w:rPr>
          <w:position w:val="5"/>
          <w:sz w:val="12"/>
        </w:rPr>
        <w:t>824</w:t>
      </w:r>
      <w:r>
        <w:rPr>
          <w:spacing w:val="31"/>
          <w:position w:val="5"/>
          <w:sz w:val="12"/>
        </w:rPr>
        <w:t xml:space="preserve"> </w:t>
      </w:r>
      <w:r>
        <w:rPr>
          <w:sz w:val="18"/>
        </w:rPr>
        <w:t xml:space="preserve">Appellate Body Report, </w:t>
      </w:r>
      <w:r>
        <w:rPr>
          <w:i/>
          <w:sz w:val="18"/>
        </w:rPr>
        <w:t xml:space="preserve">Korea - Pneumatic Valves </w:t>
      </w:r>
      <w:r>
        <w:rPr>
          <w:sz w:val="18"/>
        </w:rPr>
        <w:t xml:space="preserve">(DS504), para. 5.166, citing Appellate Body Reports, China – </w:t>
      </w:r>
      <w:r>
        <w:rPr>
          <w:i/>
          <w:sz w:val="18"/>
        </w:rPr>
        <w:t>HP-SSST (Japan) / China–HP-SSST (EU)</w:t>
      </w:r>
      <w:r>
        <w:rPr>
          <w:sz w:val="18"/>
        </w:rPr>
        <w:t xml:space="preserve">, para. 5.205 (citing Appellate Body Report, </w:t>
      </w:r>
      <w:r>
        <w:rPr>
          <w:i/>
          <w:sz w:val="18"/>
        </w:rPr>
        <w:t>China–GOES</w:t>
      </w:r>
      <w:r>
        <w:rPr>
          <w:sz w:val="18"/>
        </w:rPr>
        <w:t>, para. 149.</w:t>
      </w:r>
    </w:p>
    <w:p w14:paraId="3C4E4340" w14:textId="77777777" w:rsidR="00BD462C" w:rsidRDefault="00033D0F">
      <w:pPr>
        <w:spacing w:before="3"/>
        <w:ind w:left="136" w:right="911" w:hanging="1"/>
        <w:jc w:val="both"/>
        <w:rPr>
          <w:sz w:val="18"/>
        </w:rPr>
      </w:pPr>
      <w:bookmarkStart w:id="1118" w:name="_bookmark965"/>
      <w:bookmarkEnd w:id="1118"/>
      <w:r>
        <w:rPr>
          <w:position w:val="5"/>
          <w:sz w:val="12"/>
        </w:rPr>
        <w:t>825</w:t>
      </w:r>
      <w:r>
        <w:rPr>
          <w:spacing w:val="30"/>
          <w:position w:val="5"/>
          <w:sz w:val="12"/>
        </w:rPr>
        <w:t xml:space="preserve"> </w:t>
      </w:r>
      <w:r>
        <w:rPr>
          <w:sz w:val="18"/>
        </w:rPr>
        <w:t xml:space="preserve">Appellate Body Report, </w:t>
      </w:r>
      <w:r>
        <w:rPr>
          <w:i/>
          <w:sz w:val="18"/>
        </w:rPr>
        <w:t xml:space="preserve">Korea - Pneumatic Valves </w:t>
      </w:r>
      <w:r>
        <w:rPr>
          <w:sz w:val="18"/>
        </w:rPr>
        <w:t xml:space="preserve">(DS504), para. 5.166, citing Appellate Body Reports, </w:t>
      </w:r>
      <w:r>
        <w:rPr>
          <w:i/>
          <w:sz w:val="18"/>
        </w:rPr>
        <w:t>China – HP-SSST (Japan)</w:t>
      </w:r>
      <w:r>
        <w:rPr>
          <w:i/>
          <w:spacing w:val="-2"/>
          <w:sz w:val="18"/>
        </w:rPr>
        <w:t xml:space="preserve"> </w:t>
      </w:r>
      <w:r>
        <w:rPr>
          <w:i/>
          <w:sz w:val="18"/>
        </w:rPr>
        <w:t>/</w:t>
      </w:r>
      <w:r>
        <w:rPr>
          <w:i/>
          <w:spacing w:val="-2"/>
          <w:sz w:val="18"/>
        </w:rPr>
        <w:t xml:space="preserve"> </w:t>
      </w:r>
      <w:r>
        <w:rPr>
          <w:i/>
          <w:sz w:val="18"/>
        </w:rPr>
        <w:t>China</w:t>
      </w:r>
      <w:r>
        <w:rPr>
          <w:i/>
          <w:spacing w:val="-2"/>
          <w:sz w:val="18"/>
        </w:rPr>
        <w:t xml:space="preserve"> </w:t>
      </w:r>
      <w:r>
        <w:rPr>
          <w:i/>
          <w:sz w:val="18"/>
        </w:rPr>
        <w:t>–</w:t>
      </w:r>
      <w:r>
        <w:rPr>
          <w:i/>
          <w:spacing w:val="-3"/>
          <w:sz w:val="18"/>
        </w:rPr>
        <w:t xml:space="preserve"> </w:t>
      </w:r>
      <w:r>
        <w:rPr>
          <w:i/>
          <w:sz w:val="18"/>
        </w:rPr>
        <w:t>HP-SSST</w:t>
      </w:r>
      <w:r>
        <w:rPr>
          <w:i/>
          <w:spacing w:val="-1"/>
          <w:sz w:val="18"/>
        </w:rPr>
        <w:t xml:space="preserve"> </w:t>
      </w:r>
      <w:r>
        <w:rPr>
          <w:i/>
          <w:sz w:val="18"/>
        </w:rPr>
        <w:t>(EU)</w:t>
      </w:r>
      <w:r>
        <w:rPr>
          <w:sz w:val="18"/>
        </w:rPr>
        <w:t>,</w:t>
      </w:r>
      <w:r>
        <w:rPr>
          <w:spacing w:val="-1"/>
          <w:sz w:val="18"/>
        </w:rPr>
        <w:t xml:space="preserve"> </w:t>
      </w:r>
      <w:r>
        <w:rPr>
          <w:sz w:val="18"/>
        </w:rPr>
        <w:t>para. 5.205</w:t>
      </w:r>
      <w:r>
        <w:rPr>
          <w:spacing w:val="-5"/>
          <w:sz w:val="18"/>
        </w:rPr>
        <w:t xml:space="preserve"> </w:t>
      </w:r>
      <w:r>
        <w:rPr>
          <w:sz w:val="18"/>
        </w:rPr>
        <w:t>(referring</w:t>
      </w:r>
      <w:r>
        <w:rPr>
          <w:spacing w:val="-3"/>
          <w:sz w:val="18"/>
        </w:rPr>
        <w:t xml:space="preserve"> </w:t>
      </w:r>
      <w:r>
        <w:rPr>
          <w:sz w:val="18"/>
        </w:rPr>
        <w:t>to</w:t>
      </w:r>
      <w:r>
        <w:rPr>
          <w:spacing w:val="-4"/>
          <w:sz w:val="18"/>
        </w:rPr>
        <w:t xml:space="preserve"> </w:t>
      </w:r>
      <w:r>
        <w:rPr>
          <w:sz w:val="18"/>
        </w:rPr>
        <w:t>Appellate</w:t>
      </w:r>
      <w:r>
        <w:rPr>
          <w:spacing w:val="-8"/>
          <w:sz w:val="18"/>
        </w:rPr>
        <w:t xml:space="preserve"> </w:t>
      </w:r>
      <w:r>
        <w:rPr>
          <w:sz w:val="18"/>
        </w:rPr>
        <w:t>Body</w:t>
      </w:r>
      <w:r>
        <w:rPr>
          <w:spacing w:val="-5"/>
          <w:sz w:val="18"/>
        </w:rPr>
        <w:t xml:space="preserve"> </w:t>
      </w:r>
      <w:r>
        <w:rPr>
          <w:sz w:val="18"/>
        </w:rPr>
        <w:t>Report,</w:t>
      </w:r>
      <w:r>
        <w:rPr>
          <w:spacing w:val="-1"/>
          <w:sz w:val="18"/>
        </w:rPr>
        <w:t xml:space="preserve"> </w:t>
      </w:r>
      <w:r>
        <w:rPr>
          <w:i/>
          <w:sz w:val="18"/>
        </w:rPr>
        <w:t>China</w:t>
      </w:r>
      <w:r>
        <w:rPr>
          <w:i/>
          <w:spacing w:val="-1"/>
          <w:sz w:val="18"/>
        </w:rPr>
        <w:t xml:space="preserve"> </w:t>
      </w:r>
      <w:r>
        <w:rPr>
          <w:i/>
          <w:sz w:val="18"/>
        </w:rPr>
        <w:t>–</w:t>
      </w:r>
      <w:r>
        <w:rPr>
          <w:i/>
          <w:spacing w:val="-3"/>
          <w:sz w:val="18"/>
        </w:rPr>
        <w:t xml:space="preserve"> </w:t>
      </w:r>
      <w:r>
        <w:rPr>
          <w:i/>
          <w:sz w:val="18"/>
        </w:rPr>
        <w:t>GOES</w:t>
      </w:r>
      <w:r>
        <w:rPr>
          <w:sz w:val="18"/>
        </w:rPr>
        <w:t>,</w:t>
      </w:r>
      <w:r>
        <w:rPr>
          <w:spacing w:val="-1"/>
          <w:sz w:val="18"/>
        </w:rPr>
        <w:t xml:space="preserve"> </w:t>
      </w:r>
      <w:r>
        <w:rPr>
          <w:sz w:val="18"/>
        </w:rPr>
        <w:t>para.</w:t>
      </w:r>
      <w:r>
        <w:rPr>
          <w:spacing w:val="-2"/>
          <w:sz w:val="18"/>
        </w:rPr>
        <w:t xml:space="preserve"> </w:t>
      </w:r>
      <w:r>
        <w:rPr>
          <w:sz w:val="18"/>
        </w:rPr>
        <w:t>150).</w:t>
      </w:r>
      <w:r>
        <w:rPr>
          <w:spacing w:val="-2"/>
          <w:sz w:val="18"/>
        </w:rPr>
        <w:t xml:space="preserve"> </w:t>
      </w:r>
      <w:r>
        <w:rPr>
          <w:sz w:val="18"/>
        </w:rPr>
        <w:t>See</w:t>
      </w:r>
      <w:r>
        <w:rPr>
          <w:spacing w:val="-3"/>
          <w:sz w:val="18"/>
        </w:rPr>
        <w:t xml:space="preserve"> </w:t>
      </w:r>
      <w:r>
        <w:rPr>
          <w:sz w:val="18"/>
        </w:rPr>
        <w:t>also</w:t>
      </w:r>
      <w:r>
        <w:rPr>
          <w:spacing w:val="-4"/>
          <w:sz w:val="18"/>
        </w:rPr>
        <w:t xml:space="preserve"> </w:t>
      </w:r>
      <w:r>
        <w:rPr>
          <w:sz w:val="18"/>
        </w:rPr>
        <w:t xml:space="preserve">Appellate Body Report, </w:t>
      </w:r>
      <w:r>
        <w:rPr>
          <w:i/>
          <w:sz w:val="18"/>
        </w:rPr>
        <w:t xml:space="preserve">Korea - Pneumatic Valves </w:t>
      </w:r>
      <w:r>
        <w:rPr>
          <w:sz w:val="18"/>
        </w:rPr>
        <w:t>(DS504), para. 5.190.</w:t>
      </w:r>
    </w:p>
    <w:p w14:paraId="2176C16C" w14:textId="77777777" w:rsidR="00BD462C" w:rsidRDefault="00033D0F">
      <w:pPr>
        <w:spacing w:before="3"/>
        <w:ind w:left="135"/>
        <w:jc w:val="both"/>
        <w:rPr>
          <w:sz w:val="18"/>
        </w:rPr>
      </w:pPr>
      <w:bookmarkStart w:id="1119" w:name="_bookmark966"/>
      <w:bookmarkEnd w:id="1119"/>
      <w:r>
        <w:rPr>
          <w:position w:val="5"/>
          <w:sz w:val="12"/>
        </w:rPr>
        <w:t>826</w:t>
      </w:r>
      <w:r>
        <w:rPr>
          <w:spacing w:val="14"/>
          <w:position w:val="5"/>
          <w:sz w:val="12"/>
        </w:rPr>
        <w:t xml:space="preserve"> </w:t>
      </w:r>
      <w:r>
        <w:rPr>
          <w:sz w:val="18"/>
        </w:rPr>
        <w:t>Appellate</w:t>
      </w:r>
      <w:r>
        <w:rPr>
          <w:spacing w:val="-8"/>
          <w:sz w:val="18"/>
        </w:rPr>
        <w:t xml:space="preserve"> </w:t>
      </w:r>
      <w:r>
        <w:rPr>
          <w:sz w:val="18"/>
        </w:rPr>
        <w:t>Body</w:t>
      </w:r>
      <w:r>
        <w:rPr>
          <w:spacing w:val="-6"/>
          <w:sz w:val="18"/>
        </w:rPr>
        <w:t xml:space="preserve"> </w:t>
      </w:r>
      <w:r>
        <w:rPr>
          <w:sz w:val="18"/>
        </w:rPr>
        <w:t>Reports,</w:t>
      </w:r>
      <w:r>
        <w:rPr>
          <w:spacing w:val="-2"/>
          <w:sz w:val="18"/>
        </w:rPr>
        <w:t xml:space="preserve"> </w:t>
      </w:r>
      <w:r>
        <w:rPr>
          <w:i/>
          <w:sz w:val="18"/>
        </w:rPr>
        <w:t>China</w:t>
      </w:r>
      <w:r>
        <w:rPr>
          <w:i/>
          <w:spacing w:val="-3"/>
          <w:sz w:val="18"/>
        </w:rPr>
        <w:t xml:space="preserve"> </w:t>
      </w:r>
      <w:r>
        <w:rPr>
          <w:i/>
          <w:sz w:val="18"/>
        </w:rPr>
        <w:t>–</w:t>
      </w:r>
      <w:r>
        <w:rPr>
          <w:i/>
          <w:spacing w:val="-3"/>
          <w:sz w:val="18"/>
        </w:rPr>
        <w:t xml:space="preserve"> </w:t>
      </w:r>
      <w:r>
        <w:rPr>
          <w:i/>
          <w:sz w:val="18"/>
        </w:rPr>
        <w:t>HP-SSST</w:t>
      </w:r>
      <w:r>
        <w:rPr>
          <w:i/>
          <w:spacing w:val="-2"/>
          <w:sz w:val="18"/>
        </w:rPr>
        <w:t xml:space="preserve"> </w:t>
      </w:r>
      <w:r>
        <w:rPr>
          <w:i/>
          <w:sz w:val="18"/>
        </w:rPr>
        <w:t>(Japan)</w:t>
      </w:r>
      <w:r>
        <w:rPr>
          <w:i/>
          <w:spacing w:val="-2"/>
          <w:sz w:val="18"/>
        </w:rPr>
        <w:t xml:space="preserve"> </w:t>
      </w:r>
      <w:r>
        <w:rPr>
          <w:i/>
          <w:sz w:val="18"/>
        </w:rPr>
        <w:t>/</w:t>
      </w:r>
      <w:r>
        <w:rPr>
          <w:i/>
          <w:spacing w:val="-3"/>
          <w:sz w:val="18"/>
        </w:rPr>
        <w:t xml:space="preserve"> </w:t>
      </w:r>
      <w:r>
        <w:rPr>
          <w:i/>
          <w:sz w:val="18"/>
        </w:rPr>
        <w:t>China</w:t>
      </w:r>
      <w:r>
        <w:rPr>
          <w:i/>
          <w:spacing w:val="-3"/>
          <w:sz w:val="18"/>
        </w:rPr>
        <w:t xml:space="preserve"> </w:t>
      </w:r>
      <w:r>
        <w:rPr>
          <w:i/>
          <w:sz w:val="18"/>
        </w:rPr>
        <w:t>–</w:t>
      </w:r>
      <w:r>
        <w:rPr>
          <w:i/>
          <w:spacing w:val="-4"/>
          <w:sz w:val="18"/>
        </w:rPr>
        <w:t xml:space="preserve"> </w:t>
      </w:r>
      <w:r>
        <w:rPr>
          <w:i/>
          <w:sz w:val="18"/>
        </w:rPr>
        <w:t>HP-SSST</w:t>
      </w:r>
      <w:r>
        <w:rPr>
          <w:i/>
          <w:spacing w:val="-3"/>
          <w:sz w:val="18"/>
        </w:rPr>
        <w:t xml:space="preserve"> </w:t>
      </w:r>
      <w:r>
        <w:rPr>
          <w:i/>
          <w:sz w:val="18"/>
        </w:rPr>
        <w:t>(EU)</w:t>
      </w:r>
      <w:r>
        <w:rPr>
          <w:sz w:val="18"/>
        </w:rPr>
        <w:t>,</w:t>
      </w:r>
      <w:r>
        <w:rPr>
          <w:spacing w:val="-1"/>
          <w:sz w:val="18"/>
        </w:rPr>
        <w:t xml:space="preserve"> </w:t>
      </w:r>
      <w:r>
        <w:rPr>
          <w:sz w:val="18"/>
        </w:rPr>
        <w:t>para.</w:t>
      </w:r>
      <w:r>
        <w:rPr>
          <w:spacing w:val="-3"/>
          <w:sz w:val="18"/>
        </w:rPr>
        <w:t xml:space="preserve"> </w:t>
      </w:r>
      <w:r>
        <w:rPr>
          <w:spacing w:val="-2"/>
          <w:sz w:val="18"/>
        </w:rPr>
        <w:t>5.205.</w:t>
      </w:r>
    </w:p>
    <w:p w14:paraId="63E71789" w14:textId="77777777" w:rsidR="00BD462C" w:rsidRDefault="00BD462C">
      <w:pPr>
        <w:jc w:val="both"/>
        <w:rPr>
          <w:sz w:val="18"/>
        </w:rPr>
        <w:sectPr w:rsidR="00BD462C">
          <w:pgSz w:w="11910" w:h="16840"/>
          <w:pgMar w:top="860" w:right="500" w:bottom="780" w:left="1280" w:header="566" w:footer="590" w:gutter="0"/>
          <w:cols w:space="720"/>
        </w:sectPr>
      </w:pPr>
    </w:p>
    <w:p w14:paraId="337ED1AA"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233E3A01"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25440AA3"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3E58D3A0" w14:textId="77777777" w:rsidR="00BD462C" w:rsidRDefault="00033D0F">
      <w:pPr>
        <w:pStyle w:val="BodyText"/>
        <w:spacing w:before="102" w:line="360" w:lineRule="auto"/>
        <w:ind w:left="135" w:right="917"/>
        <w:jc w:val="both"/>
      </w:pPr>
      <w:r>
        <w:t xml:space="preserve">explanatory force for the state observed in the domestic industry, it did not include any meaningful examination of the relationship between the two. Additionally, the errors and omissions ultimately served to </w:t>
      </w:r>
      <w:proofErr w:type="gramStart"/>
      <w:r>
        <w:t>make a determination</w:t>
      </w:r>
      <w:proofErr w:type="gramEnd"/>
      <w:r>
        <w:t xml:space="preserve"> of injury more likely. As a result, MOFCOM's analysis is inconsistent with Articles 3.1 and 3.4.</w:t>
      </w:r>
    </w:p>
    <w:p w14:paraId="70BB74BE" w14:textId="77777777" w:rsidR="00BD462C" w:rsidRDefault="00033D0F">
      <w:pPr>
        <w:pStyle w:val="ListParagraph"/>
        <w:numPr>
          <w:ilvl w:val="1"/>
          <w:numId w:val="33"/>
        </w:numPr>
        <w:tabs>
          <w:tab w:val="left" w:pos="3539"/>
          <w:tab w:val="left" w:pos="3540"/>
        </w:tabs>
        <w:spacing w:before="158" w:line="362" w:lineRule="auto"/>
        <w:ind w:right="913"/>
        <w:jc w:val="both"/>
        <w:rPr>
          <w:sz w:val="24"/>
        </w:rPr>
      </w:pPr>
      <w:bookmarkStart w:id="1120" w:name="(b)_There_were_errors_and_omissions_in_M"/>
      <w:bookmarkEnd w:id="1120"/>
      <w:r>
        <w:rPr>
          <w:sz w:val="24"/>
          <w:u w:val="single"/>
        </w:rPr>
        <w:t>There</w:t>
      </w:r>
      <w:r>
        <w:rPr>
          <w:spacing w:val="-6"/>
          <w:sz w:val="24"/>
          <w:u w:val="single"/>
        </w:rPr>
        <w:t xml:space="preserve"> </w:t>
      </w:r>
      <w:r>
        <w:rPr>
          <w:sz w:val="24"/>
          <w:u w:val="single"/>
        </w:rPr>
        <w:t>were</w:t>
      </w:r>
      <w:r>
        <w:rPr>
          <w:spacing w:val="-6"/>
          <w:sz w:val="24"/>
          <w:u w:val="single"/>
        </w:rPr>
        <w:t xml:space="preserve"> </w:t>
      </w:r>
      <w:r>
        <w:rPr>
          <w:sz w:val="24"/>
          <w:u w:val="single"/>
        </w:rPr>
        <w:t>errors</w:t>
      </w:r>
      <w:r>
        <w:rPr>
          <w:spacing w:val="-5"/>
          <w:sz w:val="24"/>
          <w:u w:val="single"/>
        </w:rPr>
        <w:t xml:space="preserve"> </w:t>
      </w:r>
      <w:r>
        <w:rPr>
          <w:sz w:val="24"/>
          <w:u w:val="single"/>
        </w:rPr>
        <w:t>and</w:t>
      </w:r>
      <w:r>
        <w:rPr>
          <w:spacing w:val="-8"/>
          <w:sz w:val="24"/>
          <w:u w:val="single"/>
        </w:rPr>
        <w:t xml:space="preserve"> </w:t>
      </w:r>
      <w:r>
        <w:rPr>
          <w:sz w:val="24"/>
          <w:u w:val="single"/>
        </w:rPr>
        <w:t>omissions</w:t>
      </w:r>
      <w:r>
        <w:rPr>
          <w:spacing w:val="-10"/>
          <w:sz w:val="24"/>
          <w:u w:val="single"/>
        </w:rPr>
        <w:t xml:space="preserve"> </w:t>
      </w:r>
      <w:r>
        <w:rPr>
          <w:sz w:val="24"/>
          <w:u w:val="single"/>
        </w:rPr>
        <w:t>in</w:t>
      </w:r>
      <w:r>
        <w:rPr>
          <w:spacing w:val="-8"/>
          <w:sz w:val="24"/>
          <w:u w:val="single"/>
        </w:rPr>
        <w:t xml:space="preserve"> </w:t>
      </w:r>
      <w:r>
        <w:rPr>
          <w:sz w:val="24"/>
          <w:u w:val="single"/>
        </w:rPr>
        <w:t>MOFCOM's</w:t>
      </w:r>
      <w:r>
        <w:rPr>
          <w:spacing w:val="-5"/>
          <w:sz w:val="24"/>
          <w:u w:val="single"/>
        </w:rPr>
        <w:t xml:space="preserve"> </w:t>
      </w:r>
      <w:r>
        <w:rPr>
          <w:sz w:val="24"/>
          <w:u w:val="single"/>
        </w:rPr>
        <w:t>evaluation</w:t>
      </w:r>
      <w:r>
        <w:rPr>
          <w:sz w:val="24"/>
        </w:rPr>
        <w:t xml:space="preserve"> </w:t>
      </w:r>
      <w:r>
        <w:rPr>
          <w:sz w:val="24"/>
          <w:u w:val="single"/>
        </w:rPr>
        <w:t>that undermine the consideration of explanatory force</w:t>
      </w:r>
    </w:p>
    <w:p w14:paraId="627A9222" w14:textId="77777777" w:rsidR="00BD462C" w:rsidRDefault="00BD462C">
      <w:pPr>
        <w:pStyle w:val="BodyText"/>
        <w:spacing w:before="7"/>
        <w:rPr>
          <w:sz w:val="8"/>
        </w:rPr>
      </w:pPr>
    </w:p>
    <w:p w14:paraId="13451EF6" w14:textId="77777777" w:rsidR="00BD462C" w:rsidRDefault="00033D0F">
      <w:pPr>
        <w:pStyle w:val="ListParagraph"/>
        <w:numPr>
          <w:ilvl w:val="2"/>
          <w:numId w:val="33"/>
        </w:numPr>
        <w:tabs>
          <w:tab w:val="left" w:pos="4388"/>
          <w:tab w:val="left" w:pos="4389"/>
        </w:tabs>
        <w:spacing w:before="52"/>
        <w:rPr>
          <w:i/>
          <w:sz w:val="24"/>
        </w:rPr>
      </w:pPr>
      <w:bookmarkStart w:id="1121" w:name="i._Apparent_consumption"/>
      <w:bookmarkEnd w:id="1121"/>
      <w:r>
        <w:rPr>
          <w:i/>
          <w:sz w:val="24"/>
        </w:rPr>
        <w:t>Apparent</w:t>
      </w:r>
      <w:r>
        <w:rPr>
          <w:i/>
          <w:spacing w:val="-3"/>
          <w:sz w:val="24"/>
        </w:rPr>
        <w:t xml:space="preserve"> </w:t>
      </w:r>
      <w:r>
        <w:rPr>
          <w:i/>
          <w:spacing w:val="-2"/>
          <w:sz w:val="24"/>
        </w:rPr>
        <w:t>consumption</w:t>
      </w:r>
    </w:p>
    <w:p w14:paraId="5DC17977" w14:textId="77777777" w:rsidR="00BD462C" w:rsidRDefault="00BD462C">
      <w:pPr>
        <w:pStyle w:val="BodyText"/>
        <w:spacing w:before="6"/>
        <w:rPr>
          <w:i/>
          <w:sz w:val="20"/>
        </w:rPr>
      </w:pPr>
    </w:p>
    <w:p w14:paraId="625DA99D" w14:textId="2F5010A7" w:rsidR="00BD462C" w:rsidRDefault="00732032">
      <w:pPr>
        <w:pStyle w:val="BodyText"/>
        <w:spacing w:before="56" w:line="360" w:lineRule="auto"/>
        <w:ind w:left="135" w:right="912"/>
        <w:jc w:val="both"/>
      </w:pPr>
      <w:r>
        <w:rPr>
          <w:noProof/>
        </w:rPr>
        <w:t>548.</w:t>
      </w:r>
      <w:r w:rsidR="00033D0F">
        <w:rPr>
          <w:rFonts w:ascii="Times New Roman"/>
          <w:spacing w:val="383"/>
          <w:position w:val="1"/>
          <w:sz w:val="20"/>
        </w:rPr>
        <w:t xml:space="preserve"> </w:t>
      </w:r>
      <w:bookmarkStart w:id="1122" w:name="_bookmark967"/>
      <w:bookmarkEnd w:id="1122"/>
      <w:r w:rsidR="00033D0F">
        <w:rPr>
          <w:position w:val="1"/>
        </w:rPr>
        <w:t xml:space="preserve">Australia's position is that, having regard to the factual circumstances of this case, </w:t>
      </w:r>
      <w:r w:rsidR="00033D0F">
        <w:t>MOFCOM was required to consider the impact that apparent consumption had on domestic prices and the domestic industry.</w:t>
      </w:r>
      <w:hyperlink w:anchor="_bookmark969" w:history="1">
        <w:r w:rsidR="00033D0F">
          <w:rPr>
            <w:vertAlign w:val="superscript"/>
          </w:rPr>
          <w:t>827</w:t>
        </w:r>
      </w:hyperlink>
      <w:r w:rsidR="00033D0F">
        <w:t xml:space="preserve"> This is because the evidence showed: (i) a significant increase that was followed by a significant contraction;</w:t>
      </w:r>
      <w:hyperlink w:anchor="_bookmark970" w:history="1">
        <w:r w:rsidR="00033D0F">
          <w:rPr>
            <w:vertAlign w:val="superscript"/>
          </w:rPr>
          <w:t>828</w:t>
        </w:r>
      </w:hyperlink>
      <w:r w:rsidR="00033D0F">
        <w:t xml:space="preserve"> and (ii) the domestic industry identified market supply and demand as one of the three main factors affecting domestic prices;</w:t>
      </w:r>
      <w:hyperlink w:anchor="_bookmark971" w:history="1">
        <w:r w:rsidR="00033D0F">
          <w:rPr>
            <w:vertAlign w:val="superscript"/>
          </w:rPr>
          <w:t>829</w:t>
        </w:r>
      </w:hyperlink>
      <w:r w:rsidR="00033D0F">
        <w:t xml:space="preserve"> and (iii) at the beginning of MOFCOM's examination of the impact of the subject imports</w:t>
      </w:r>
      <w:r w:rsidR="00033D0F">
        <w:rPr>
          <w:spacing w:val="-3"/>
        </w:rPr>
        <w:t xml:space="preserve"> </w:t>
      </w:r>
      <w:r w:rsidR="00033D0F">
        <w:t>on</w:t>
      </w:r>
      <w:r w:rsidR="00033D0F">
        <w:rPr>
          <w:spacing w:val="-6"/>
        </w:rPr>
        <w:t xml:space="preserve"> </w:t>
      </w:r>
      <w:r w:rsidR="00033D0F">
        <w:t>the</w:t>
      </w:r>
      <w:r w:rsidR="00033D0F">
        <w:rPr>
          <w:spacing w:val="-5"/>
        </w:rPr>
        <w:t xml:space="preserve"> </w:t>
      </w:r>
      <w:r w:rsidR="00033D0F">
        <w:t>domestic</w:t>
      </w:r>
      <w:r w:rsidR="00033D0F">
        <w:rPr>
          <w:spacing w:val="-6"/>
        </w:rPr>
        <w:t xml:space="preserve"> </w:t>
      </w:r>
      <w:r w:rsidR="00033D0F">
        <w:t>industry,</w:t>
      </w:r>
      <w:r w:rsidR="00033D0F">
        <w:rPr>
          <w:spacing w:val="-2"/>
        </w:rPr>
        <w:t xml:space="preserve"> </w:t>
      </w:r>
      <w:r w:rsidR="00033D0F">
        <w:t>MOFCOM</w:t>
      </w:r>
      <w:r w:rsidR="00033D0F">
        <w:rPr>
          <w:spacing w:val="-4"/>
        </w:rPr>
        <w:t xml:space="preserve"> </w:t>
      </w:r>
      <w:r w:rsidR="00033D0F">
        <w:t>recited</w:t>
      </w:r>
      <w:r w:rsidR="00033D0F">
        <w:rPr>
          <w:spacing w:val="-6"/>
        </w:rPr>
        <w:t xml:space="preserve"> </w:t>
      </w:r>
      <w:r w:rsidR="00033D0F">
        <w:t>its</w:t>
      </w:r>
      <w:r w:rsidR="00033D0F">
        <w:rPr>
          <w:spacing w:val="-3"/>
        </w:rPr>
        <w:t xml:space="preserve"> </w:t>
      </w:r>
      <w:r w:rsidR="00033D0F">
        <w:t>estimates</w:t>
      </w:r>
      <w:r w:rsidR="00033D0F">
        <w:rPr>
          <w:spacing w:val="-3"/>
        </w:rPr>
        <w:t xml:space="preserve"> </w:t>
      </w:r>
      <w:r w:rsidR="00033D0F">
        <w:t>of</w:t>
      </w:r>
      <w:r w:rsidR="00033D0F">
        <w:rPr>
          <w:spacing w:val="-6"/>
        </w:rPr>
        <w:t xml:space="preserve"> </w:t>
      </w:r>
      <w:r w:rsidR="00033D0F">
        <w:t>"apparent</w:t>
      </w:r>
      <w:r w:rsidR="00033D0F">
        <w:rPr>
          <w:spacing w:val="-4"/>
        </w:rPr>
        <w:t xml:space="preserve"> </w:t>
      </w:r>
      <w:r w:rsidR="00033D0F">
        <w:t>consumption" and observed the year-to-year changes,</w:t>
      </w:r>
      <w:hyperlink w:anchor="_bookmark972" w:history="1">
        <w:r w:rsidR="00033D0F">
          <w:rPr>
            <w:vertAlign w:val="superscript"/>
          </w:rPr>
          <w:t>830</w:t>
        </w:r>
      </w:hyperlink>
      <w:r w:rsidR="00033D0F">
        <w:t xml:space="preserve"> treating this information in the same way that it subsequently treated the information relating to each of the fifteen economic factors and </w:t>
      </w:r>
      <w:r w:rsidR="00033D0F">
        <w:rPr>
          <w:spacing w:val="-2"/>
        </w:rPr>
        <w:t>indices.</w:t>
      </w:r>
      <w:hyperlink w:anchor="_bookmark973" w:history="1">
        <w:r w:rsidR="00033D0F">
          <w:rPr>
            <w:spacing w:val="-2"/>
            <w:vertAlign w:val="superscript"/>
          </w:rPr>
          <w:t>831</w:t>
        </w:r>
      </w:hyperlink>
    </w:p>
    <w:p w14:paraId="3E40CEA4" w14:textId="77777777" w:rsidR="00BD462C" w:rsidRDefault="00BD462C">
      <w:pPr>
        <w:pStyle w:val="BodyText"/>
        <w:spacing w:before="7"/>
        <w:rPr>
          <w:sz w:val="8"/>
        </w:rPr>
      </w:pPr>
    </w:p>
    <w:p w14:paraId="574444EA" w14:textId="64AF89F6" w:rsidR="00BD462C" w:rsidRDefault="00732032">
      <w:pPr>
        <w:pStyle w:val="BodyText"/>
        <w:spacing w:before="56" w:line="357" w:lineRule="auto"/>
        <w:ind w:left="135" w:right="921"/>
        <w:jc w:val="both"/>
      </w:pPr>
      <w:r>
        <w:rPr>
          <w:noProof/>
        </w:rPr>
        <w:t>549.</w:t>
      </w:r>
      <w:r w:rsidR="00033D0F">
        <w:rPr>
          <w:rFonts w:ascii="Times New Roman"/>
          <w:spacing w:val="383"/>
          <w:position w:val="1"/>
          <w:sz w:val="20"/>
        </w:rPr>
        <w:t xml:space="preserve"> </w:t>
      </w:r>
      <w:bookmarkStart w:id="1123" w:name="_bookmark968"/>
      <w:bookmarkEnd w:id="1123"/>
      <w:r w:rsidR="00033D0F">
        <w:rPr>
          <w:position w:val="1"/>
        </w:rPr>
        <w:t xml:space="preserve">As set out above, there is nothing on the investigation record or in China's </w:t>
      </w:r>
      <w:r w:rsidR="00033D0F">
        <w:t>submissions that establishes that MOFCOM considered the impact that changes in apparent consumption had on the state observed in the domestic industry.</w:t>
      </w:r>
      <w:hyperlink w:anchor="_bookmark974" w:history="1">
        <w:r w:rsidR="00033D0F">
          <w:rPr>
            <w:vertAlign w:val="superscript"/>
          </w:rPr>
          <w:t>832</w:t>
        </w:r>
      </w:hyperlink>
    </w:p>
    <w:p w14:paraId="7114AEF4" w14:textId="77777777" w:rsidR="00BD462C" w:rsidRDefault="00033D0F">
      <w:pPr>
        <w:pStyle w:val="ListParagraph"/>
        <w:numPr>
          <w:ilvl w:val="2"/>
          <w:numId w:val="33"/>
        </w:numPr>
        <w:tabs>
          <w:tab w:val="left" w:pos="4388"/>
          <w:tab w:val="left" w:pos="4389"/>
        </w:tabs>
        <w:spacing w:before="165"/>
        <w:jc w:val="both"/>
        <w:rPr>
          <w:i/>
          <w:sz w:val="24"/>
        </w:rPr>
      </w:pPr>
      <w:bookmarkStart w:id="1124" w:name="ii._Domestic_industry_capacity_expansion"/>
      <w:bookmarkEnd w:id="1124"/>
      <w:r>
        <w:rPr>
          <w:i/>
          <w:sz w:val="24"/>
        </w:rPr>
        <w:t>Domestic</w:t>
      </w:r>
      <w:r>
        <w:rPr>
          <w:i/>
          <w:spacing w:val="-2"/>
          <w:sz w:val="24"/>
        </w:rPr>
        <w:t xml:space="preserve"> </w:t>
      </w:r>
      <w:r>
        <w:rPr>
          <w:i/>
          <w:sz w:val="24"/>
        </w:rPr>
        <w:t>industry</w:t>
      </w:r>
      <w:r>
        <w:rPr>
          <w:i/>
          <w:spacing w:val="-5"/>
          <w:sz w:val="24"/>
        </w:rPr>
        <w:t xml:space="preserve"> </w:t>
      </w:r>
      <w:r>
        <w:rPr>
          <w:i/>
          <w:sz w:val="24"/>
        </w:rPr>
        <w:t>capacity</w:t>
      </w:r>
      <w:r>
        <w:rPr>
          <w:i/>
          <w:spacing w:val="-5"/>
          <w:sz w:val="24"/>
        </w:rPr>
        <w:t xml:space="preserve"> </w:t>
      </w:r>
      <w:r>
        <w:rPr>
          <w:i/>
          <w:sz w:val="24"/>
        </w:rPr>
        <w:t>expansion</w:t>
      </w:r>
      <w:r>
        <w:rPr>
          <w:i/>
          <w:spacing w:val="-1"/>
          <w:sz w:val="24"/>
        </w:rPr>
        <w:t xml:space="preserve"> </w:t>
      </w:r>
      <w:r>
        <w:rPr>
          <w:i/>
          <w:spacing w:val="-4"/>
          <w:sz w:val="24"/>
        </w:rPr>
        <w:t>plan</w:t>
      </w:r>
    </w:p>
    <w:p w14:paraId="4188C0B3" w14:textId="77777777" w:rsidR="00BD462C" w:rsidRDefault="00BD462C">
      <w:pPr>
        <w:pStyle w:val="BodyText"/>
        <w:spacing w:before="11"/>
        <w:rPr>
          <w:i/>
          <w:sz w:val="20"/>
        </w:rPr>
      </w:pPr>
    </w:p>
    <w:p w14:paraId="365568D2" w14:textId="471B5BB6" w:rsidR="00BD462C" w:rsidRDefault="00732032">
      <w:pPr>
        <w:pStyle w:val="BodyText"/>
        <w:spacing w:before="56" w:line="357" w:lineRule="auto"/>
        <w:ind w:left="135" w:right="910"/>
      </w:pPr>
      <w:r>
        <w:rPr>
          <w:noProof/>
        </w:rPr>
        <w:t>550.</w:t>
      </w:r>
      <w:r w:rsidR="00033D0F">
        <w:rPr>
          <w:rFonts w:ascii="Times New Roman"/>
          <w:spacing w:val="80"/>
          <w:position w:val="1"/>
          <w:sz w:val="20"/>
        </w:rPr>
        <w:t xml:space="preserve">   </w:t>
      </w:r>
      <w:r w:rsidR="00033D0F">
        <w:rPr>
          <w:position w:val="1"/>
        </w:rPr>
        <w:t>The</w:t>
      </w:r>
      <w:r w:rsidR="00033D0F">
        <w:rPr>
          <w:spacing w:val="-7"/>
          <w:position w:val="1"/>
        </w:rPr>
        <w:t xml:space="preserve"> </w:t>
      </w:r>
      <w:r w:rsidR="00033D0F">
        <w:rPr>
          <w:position w:val="1"/>
        </w:rPr>
        <w:t>parties</w:t>
      </w:r>
      <w:r w:rsidR="00033D0F">
        <w:rPr>
          <w:spacing w:val="-6"/>
          <w:position w:val="1"/>
        </w:rPr>
        <w:t xml:space="preserve"> </w:t>
      </w:r>
      <w:r w:rsidR="00033D0F">
        <w:rPr>
          <w:position w:val="1"/>
        </w:rPr>
        <w:t>disagree</w:t>
      </w:r>
      <w:r w:rsidR="00033D0F">
        <w:rPr>
          <w:spacing w:val="-7"/>
          <w:position w:val="1"/>
        </w:rPr>
        <w:t xml:space="preserve"> </w:t>
      </w:r>
      <w:r w:rsidR="00033D0F">
        <w:rPr>
          <w:position w:val="1"/>
        </w:rPr>
        <w:t>as</w:t>
      </w:r>
      <w:r w:rsidR="00033D0F">
        <w:rPr>
          <w:spacing w:val="-10"/>
          <w:position w:val="1"/>
        </w:rPr>
        <w:t xml:space="preserve"> </w:t>
      </w:r>
      <w:r w:rsidR="00033D0F">
        <w:rPr>
          <w:position w:val="1"/>
        </w:rPr>
        <w:t>to</w:t>
      </w:r>
      <w:r w:rsidR="00033D0F">
        <w:rPr>
          <w:spacing w:val="-10"/>
          <w:position w:val="1"/>
        </w:rPr>
        <w:t xml:space="preserve"> </w:t>
      </w:r>
      <w:r w:rsidR="00033D0F">
        <w:rPr>
          <w:position w:val="1"/>
        </w:rPr>
        <w:t>whether</w:t>
      </w:r>
      <w:r w:rsidR="00033D0F">
        <w:rPr>
          <w:spacing w:val="-10"/>
          <w:position w:val="1"/>
        </w:rPr>
        <w:t xml:space="preserve"> </w:t>
      </w:r>
      <w:r w:rsidR="00033D0F">
        <w:rPr>
          <w:position w:val="1"/>
        </w:rPr>
        <w:t>MOFCOM</w:t>
      </w:r>
      <w:r w:rsidR="00033D0F">
        <w:rPr>
          <w:spacing w:val="-7"/>
          <w:position w:val="1"/>
        </w:rPr>
        <w:t xml:space="preserve"> </w:t>
      </w:r>
      <w:r w:rsidR="00033D0F">
        <w:rPr>
          <w:position w:val="1"/>
        </w:rPr>
        <w:t>made</w:t>
      </w:r>
      <w:r w:rsidR="00033D0F">
        <w:rPr>
          <w:spacing w:val="-7"/>
          <w:position w:val="1"/>
        </w:rPr>
        <w:t xml:space="preserve"> </w:t>
      </w:r>
      <w:r w:rsidR="00033D0F">
        <w:rPr>
          <w:position w:val="1"/>
        </w:rPr>
        <w:t>a</w:t>
      </w:r>
      <w:r w:rsidR="00033D0F">
        <w:rPr>
          <w:spacing w:val="-8"/>
          <w:position w:val="1"/>
        </w:rPr>
        <w:t xml:space="preserve"> </w:t>
      </w:r>
      <w:r w:rsidR="00033D0F">
        <w:rPr>
          <w:position w:val="1"/>
        </w:rPr>
        <w:t>finding</w:t>
      </w:r>
      <w:r w:rsidR="00033D0F">
        <w:rPr>
          <w:spacing w:val="-6"/>
          <w:position w:val="1"/>
        </w:rPr>
        <w:t xml:space="preserve"> </w:t>
      </w:r>
      <w:r w:rsidR="00033D0F">
        <w:rPr>
          <w:position w:val="1"/>
        </w:rPr>
        <w:t>relating</w:t>
      </w:r>
      <w:r w:rsidR="00033D0F">
        <w:rPr>
          <w:spacing w:val="-6"/>
          <w:position w:val="1"/>
        </w:rPr>
        <w:t xml:space="preserve"> </w:t>
      </w:r>
      <w:r w:rsidR="00033D0F">
        <w:rPr>
          <w:position w:val="1"/>
        </w:rPr>
        <w:t>to</w:t>
      </w:r>
      <w:r w:rsidR="00033D0F">
        <w:rPr>
          <w:spacing w:val="-10"/>
          <w:position w:val="1"/>
        </w:rPr>
        <w:t xml:space="preserve"> </w:t>
      </w:r>
      <w:r w:rsidR="00033D0F">
        <w:rPr>
          <w:position w:val="1"/>
        </w:rPr>
        <w:t>the</w:t>
      </w:r>
      <w:r w:rsidR="00033D0F">
        <w:rPr>
          <w:spacing w:val="-7"/>
          <w:position w:val="1"/>
        </w:rPr>
        <w:t xml:space="preserve"> </w:t>
      </w:r>
      <w:r w:rsidR="00033D0F">
        <w:rPr>
          <w:position w:val="1"/>
        </w:rPr>
        <w:t xml:space="preserve">domestic </w:t>
      </w:r>
      <w:r w:rsidR="00033D0F">
        <w:t>industry's</w:t>
      </w:r>
      <w:r w:rsidR="00033D0F">
        <w:rPr>
          <w:spacing w:val="-16"/>
        </w:rPr>
        <w:t xml:space="preserve"> </w:t>
      </w:r>
      <w:r w:rsidR="00033D0F">
        <w:t>capacity</w:t>
      </w:r>
      <w:r w:rsidR="00033D0F">
        <w:rPr>
          <w:spacing w:val="-15"/>
        </w:rPr>
        <w:t xml:space="preserve"> </w:t>
      </w:r>
      <w:r w:rsidR="00033D0F">
        <w:t>expansion</w:t>
      </w:r>
      <w:r w:rsidR="00033D0F">
        <w:rPr>
          <w:spacing w:val="-14"/>
        </w:rPr>
        <w:t xml:space="preserve"> </w:t>
      </w:r>
      <w:r w:rsidR="00033D0F">
        <w:t>plan.</w:t>
      </w:r>
      <w:r w:rsidR="00033D0F">
        <w:rPr>
          <w:spacing w:val="-13"/>
        </w:rPr>
        <w:t xml:space="preserve"> </w:t>
      </w:r>
      <w:r w:rsidR="00033D0F">
        <w:t>Australia's</w:t>
      </w:r>
      <w:r w:rsidR="00033D0F">
        <w:rPr>
          <w:spacing w:val="-14"/>
        </w:rPr>
        <w:t xml:space="preserve"> </w:t>
      </w:r>
      <w:r w:rsidR="00033D0F">
        <w:t>position</w:t>
      </w:r>
      <w:r w:rsidR="00033D0F">
        <w:rPr>
          <w:spacing w:val="-13"/>
        </w:rPr>
        <w:t xml:space="preserve"> </w:t>
      </w:r>
      <w:r w:rsidR="00033D0F">
        <w:t>is</w:t>
      </w:r>
      <w:r w:rsidR="00033D0F">
        <w:rPr>
          <w:spacing w:val="-12"/>
        </w:rPr>
        <w:t xml:space="preserve"> </w:t>
      </w:r>
      <w:r w:rsidR="00033D0F">
        <w:t>that</w:t>
      </w:r>
      <w:r w:rsidR="00033D0F">
        <w:rPr>
          <w:spacing w:val="-15"/>
        </w:rPr>
        <w:t xml:space="preserve"> </w:t>
      </w:r>
      <w:r w:rsidR="00033D0F">
        <w:t>MOFCOM</w:t>
      </w:r>
      <w:r w:rsidR="00033D0F">
        <w:rPr>
          <w:spacing w:val="-12"/>
        </w:rPr>
        <w:t xml:space="preserve"> </w:t>
      </w:r>
      <w:r w:rsidR="00033D0F">
        <w:t>made</w:t>
      </w:r>
      <w:r w:rsidR="00033D0F">
        <w:rPr>
          <w:spacing w:val="-13"/>
        </w:rPr>
        <w:t xml:space="preserve"> </w:t>
      </w:r>
      <w:r w:rsidR="00033D0F">
        <w:t>a</w:t>
      </w:r>
      <w:r w:rsidR="00033D0F">
        <w:rPr>
          <w:spacing w:val="-13"/>
        </w:rPr>
        <w:t xml:space="preserve"> </w:t>
      </w:r>
      <w:r w:rsidR="00033D0F">
        <w:t>factual</w:t>
      </w:r>
      <w:r w:rsidR="00033D0F">
        <w:rPr>
          <w:spacing w:val="-11"/>
        </w:rPr>
        <w:t xml:space="preserve"> </w:t>
      </w:r>
      <w:r w:rsidR="00033D0F">
        <w:rPr>
          <w:spacing w:val="-2"/>
        </w:rPr>
        <w:t>finding</w:t>
      </w:r>
    </w:p>
    <w:p w14:paraId="05A3194F" w14:textId="77777777" w:rsidR="00BD462C" w:rsidRDefault="00BD462C">
      <w:pPr>
        <w:pStyle w:val="BodyText"/>
        <w:rPr>
          <w:sz w:val="20"/>
        </w:rPr>
      </w:pPr>
    </w:p>
    <w:p w14:paraId="5D0E9715" w14:textId="7E4D3ABD" w:rsidR="00BD462C" w:rsidRDefault="00752F01">
      <w:pPr>
        <w:pStyle w:val="BodyText"/>
        <w:spacing w:before="10"/>
        <w:rPr>
          <w:sz w:val="22"/>
        </w:rPr>
      </w:pPr>
      <w:r>
        <w:rPr>
          <w:noProof/>
        </w:rPr>
        <mc:AlternateContent>
          <mc:Choice Requires="wps">
            <w:drawing>
              <wp:anchor distT="0" distB="0" distL="0" distR="0" simplePos="0" relativeHeight="488251904" behindDoc="1" locked="0" layoutInCell="1" allowOverlap="1" wp14:anchorId="73D35B32" wp14:editId="0E5E74CB">
                <wp:simplePos x="0" y="0"/>
                <wp:positionH relativeFrom="page">
                  <wp:posOffset>812800</wp:posOffset>
                </wp:positionH>
                <wp:positionV relativeFrom="paragraph">
                  <wp:posOffset>177800</wp:posOffset>
                </wp:positionV>
                <wp:extent cx="1828800" cy="8890"/>
                <wp:effectExtent l="0" t="0" r="0" b="0"/>
                <wp:wrapTopAndBottom/>
                <wp:docPr id="231" name="docshape6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DBE175" id="docshape664" o:spid="_x0000_s1026" alt="&quot;&quot;" style="position:absolute;margin-left:64pt;margin-top:14pt;width:2in;height:.7pt;z-index:-1506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" fillcolor="black" stroked="f">
                <w10:wrap type="topAndBottom" anchorx="page"/>
              </v:rect>
            </w:pict>
          </mc:Fallback>
        </mc:AlternateContent>
      </w:r>
    </w:p>
    <w:p w14:paraId="13C6E0FD" w14:textId="77777777" w:rsidR="00BD462C" w:rsidRDefault="00033D0F">
      <w:pPr>
        <w:spacing w:before="112"/>
        <w:ind w:left="136" w:right="907" w:hanging="1"/>
        <w:jc w:val="both"/>
        <w:rPr>
          <w:sz w:val="18"/>
        </w:rPr>
      </w:pPr>
      <w:bookmarkStart w:id="1125" w:name="_bookmark969"/>
      <w:bookmarkEnd w:id="1125"/>
      <w:r>
        <w:rPr>
          <w:position w:val="5"/>
          <w:sz w:val="12"/>
        </w:rPr>
        <w:t>827</w:t>
      </w:r>
      <w:r>
        <w:rPr>
          <w:spacing w:val="11"/>
          <w:position w:val="5"/>
          <w:sz w:val="12"/>
        </w:rPr>
        <w:t xml:space="preserve"> </w:t>
      </w:r>
      <w:r>
        <w:rPr>
          <w:sz w:val="18"/>
        </w:rPr>
        <w:t>As</w:t>
      </w:r>
      <w:r>
        <w:rPr>
          <w:spacing w:val="-8"/>
          <w:sz w:val="18"/>
        </w:rPr>
        <w:t xml:space="preserve"> </w:t>
      </w:r>
      <w:r>
        <w:rPr>
          <w:sz w:val="18"/>
        </w:rPr>
        <w:t>Australia</w:t>
      </w:r>
      <w:r>
        <w:rPr>
          <w:spacing w:val="-9"/>
          <w:sz w:val="18"/>
        </w:rPr>
        <w:t xml:space="preserve"> </w:t>
      </w:r>
      <w:r>
        <w:rPr>
          <w:sz w:val="18"/>
        </w:rPr>
        <w:t>has</w:t>
      </w:r>
      <w:r>
        <w:rPr>
          <w:spacing w:val="-8"/>
          <w:sz w:val="18"/>
        </w:rPr>
        <w:t xml:space="preserve"> </w:t>
      </w:r>
      <w:r>
        <w:rPr>
          <w:sz w:val="18"/>
        </w:rPr>
        <w:t>already</w:t>
      </w:r>
      <w:r>
        <w:rPr>
          <w:spacing w:val="-10"/>
          <w:sz w:val="18"/>
        </w:rPr>
        <w:t xml:space="preserve"> </w:t>
      </w:r>
      <w:r>
        <w:rPr>
          <w:sz w:val="18"/>
        </w:rPr>
        <w:t>explained,</w:t>
      </w:r>
      <w:r>
        <w:rPr>
          <w:spacing w:val="-6"/>
          <w:sz w:val="18"/>
        </w:rPr>
        <w:t xml:space="preserve"> </w:t>
      </w:r>
      <w:r>
        <w:rPr>
          <w:sz w:val="18"/>
        </w:rPr>
        <w:t>such</w:t>
      </w:r>
      <w:r>
        <w:rPr>
          <w:spacing w:val="-8"/>
          <w:sz w:val="18"/>
        </w:rPr>
        <w:t xml:space="preserve"> </w:t>
      </w:r>
      <w:r>
        <w:rPr>
          <w:sz w:val="18"/>
        </w:rPr>
        <w:t>an</w:t>
      </w:r>
      <w:r>
        <w:rPr>
          <w:spacing w:val="-9"/>
          <w:sz w:val="18"/>
        </w:rPr>
        <w:t xml:space="preserve"> </w:t>
      </w:r>
      <w:r>
        <w:rPr>
          <w:sz w:val="18"/>
        </w:rPr>
        <w:t>analysis,</w:t>
      </w:r>
      <w:r>
        <w:rPr>
          <w:spacing w:val="-6"/>
          <w:sz w:val="18"/>
        </w:rPr>
        <w:t xml:space="preserve"> </w:t>
      </w:r>
      <w:r>
        <w:rPr>
          <w:sz w:val="18"/>
        </w:rPr>
        <w:t>required</w:t>
      </w:r>
      <w:r>
        <w:rPr>
          <w:spacing w:val="-8"/>
          <w:sz w:val="18"/>
        </w:rPr>
        <w:t xml:space="preserve"> </w:t>
      </w:r>
      <w:r>
        <w:rPr>
          <w:sz w:val="18"/>
        </w:rPr>
        <w:t>under</w:t>
      </w:r>
      <w:r>
        <w:rPr>
          <w:spacing w:val="-5"/>
          <w:sz w:val="18"/>
        </w:rPr>
        <w:t xml:space="preserve"> </w:t>
      </w:r>
      <w:r>
        <w:rPr>
          <w:sz w:val="18"/>
        </w:rPr>
        <w:t>Article</w:t>
      </w:r>
      <w:r>
        <w:rPr>
          <w:spacing w:val="-2"/>
          <w:sz w:val="18"/>
        </w:rPr>
        <w:t xml:space="preserve"> </w:t>
      </w:r>
      <w:r>
        <w:rPr>
          <w:sz w:val="18"/>
        </w:rPr>
        <w:t>3.4,</w:t>
      </w:r>
      <w:r>
        <w:rPr>
          <w:spacing w:val="-6"/>
          <w:sz w:val="18"/>
        </w:rPr>
        <w:t xml:space="preserve"> </w:t>
      </w:r>
      <w:r>
        <w:rPr>
          <w:sz w:val="18"/>
        </w:rPr>
        <w:t>is</w:t>
      </w:r>
      <w:r>
        <w:rPr>
          <w:spacing w:val="-8"/>
          <w:sz w:val="18"/>
        </w:rPr>
        <w:t xml:space="preserve"> </w:t>
      </w:r>
      <w:r>
        <w:rPr>
          <w:sz w:val="18"/>
        </w:rPr>
        <w:t>distinct</w:t>
      </w:r>
      <w:r>
        <w:rPr>
          <w:spacing w:val="-7"/>
          <w:sz w:val="18"/>
        </w:rPr>
        <w:t xml:space="preserve"> </w:t>
      </w:r>
      <w:r>
        <w:rPr>
          <w:sz w:val="18"/>
        </w:rPr>
        <w:t>from</w:t>
      </w:r>
      <w:r>
        <w:rPr>
          <w:spacing w:val="-10"/>
          <w:sz w:val="18"/>
        </w:rPr>
        <w:t xml:space="preserve"> </w:t>
      </w:r>
      <w:r>
        <w:rPr>
          <w:sz w:val="18"/>
        </w:rPr>
        <w:t>the</w:t>
      </w:r>
      <w:r>
        <w:rPr>
          <w:spacing w:val="-3"/>
          <w:sz w:val="18"/>
        </w:rPr>
        <w:t xml:space="preserve"> </w:t>
      </w:r>
      <w:r>
        <w:rPr>
          <w:sz w:val="18"/>
        </w:rPr>
        <w:t>analysis</w:t>
      </w:r>
      <w:r>
        <w:rPr>
          <w:spacing w:val="-8"/>
          <w:sz w:val="18"/>
        </w:rPr>
        <w:t xml:space="preserve"> </w:t>
      </w:r>
      <w:r>
        <w:rPr>
          <w:sz w:val="18"/>
        </w:rPr>
        <w:t>required</w:t>
      </w:r>
      <w:r>
        <w:rPr>
          <w:spacing w:val="-8"/>
          <w:sz w:val="18"/>
        </w:rPr>
        <w:t xml:space="preserve"> </w:t>
      </w:r>
      <w:r>
        <w:rPr>
          <w:sz w:val="18"/>
        </w:rPr>
        <w:t>under Article 3.5.</w:t>
      </w:r>
    </w:p>
    <w:p w14:paraId="4FB21403" w14:textId="77777777" w:rsidR="00BD462C" w:rsidRDefault="00033D0F">
      <w:pPr>
        <w:spacing w:before="2"/>
        <w:ind w:left="135"/>
        <w:jc w:val="both"/>
        <w:rPr>
          <w:sz w:val="18"/>
        </w:rPr>
      </w:pPr>
      <w:bookmarkStart w:id="1126" w:name="_bookmark970"/>
      <w:bookmarkEnd w:id="1126"/>
      <w:r>
        <w:rPr>
          <w:position w:val="5"/>
          <w:sz w:val="12"/>
        </w:rPr>
        <w:t>828</w:t>
      </w:r>
      <w:r>
        <w:rPr>
          <w:spacing w:val="12"/>
          <w:position w:val="5"/>
          <w:sz w:val="12"/>
        </w:rPr>
        <w:t xml:space="preserve"> </w:t>
      </w:r>
      <w:r>
        <w:rPr>
          <w:sz w:val="18"/>
        </w:rPr>
        <w:t>See</w:t>
      </w:r>
      <w:r>
        <w:rPr>
          <w:spacing w:val="-5"/>
          <w:sz w:val="18"/>
        </w:rPr>
        <w:t xml:space="preserve"> </w:t>
      </w:r>
      <w:r>
        <w:rPr>
          <w:sz w:val="18"/>
        </w:rPr>
        <w:t>apparent</w:t>
      </w:r>
      <w:r>
        <w:rPr>
          <w:spacing w:val="-6"/>
          <w:sz w:val="18"/>
        </w:rPr>
        <w:t xml:space="preserve"> </w:t>
      </w:r>
      <w:r>
        <w:rPr>
          <w:sz w:val="18"/>
        </w:rPr>
        <w:t>consumption</w:t>
      </w:r>
      <w:r>
        <w:rPr>
          <w:spacing w:val="-6"/>
          <w:sz w:val="18"/>
        </w:rPr>
        <w:t xml:space="preserve"> </w:t>
      </w:r>
      <w:r>
        <w:rPr>
          <w:sz w:val="18"/>
        </w:rPr>
        <w:t>figures,</w:t>
      </w:r>
      <w:r>
        <w:rPr>
          <w:spacing w:val="-4"/>
          <w:sz w:val="18"/>
        </w:rPr>
        <w:t xml:space="preserve"> </w:t>
      </w:r>
      <w:r>
        <w:rPr>
          <w:sz w:val="18"/>
        </w:rPr>
        <w:t>Anti-Dumping</w:t>
      </w:r>
      <w:r>
        <w:rPr>
          <w:spacing w:val="-5"/>
          <w:sz w:val="18"/>
        </w:rPr>
        <w:t xml:space="preserve"> </w:t>
      </w:r>
      <w:r>
        <w:rPr>
          <w:sz w:val="18"/>
        </w:rPr>
        <w:t>Final</w:t>
      </w:r>
      <w:r>
        <w:rPr>
          <w:spacing w:val="-1"/>
          <w:sz w:val="18"/>
        </w:rPr>
        <w:t xml:space="preserve"> </w:t>
      </w:r>
      <w:r>
        <w:rPr>
          <w:sz w:val="18"/>
        </w:rPr>
        <w:t>Determination</w:t>
      </w:r>
      <w:r>
        <w:rPr>
          <w:spacing w:val="-10"/>
          <w:sz w:val="18"/>
        </w:rPr>
        <w:t xml:space="preserve"> </w:t>
      </w:r>
      <w:r>
        <w:rPr>
          <w:sz w:val="18"/>
        </w:rPr>
        <w:t>(Exhibit</w:t>
      </w:r>
      <w:r>
        <w:rPr>
          <w:spacing w:val="-5"/>
          <w:sz w:val="18"/>
        </w:rPr>
        <w:t xml:space="preserve"> </w:t>
      </w:r>
      <w:r>
        <w:rPr>
          <w:sz w:val="18"/>
        </w:rPr>
        <w:t>AUS-2),</w:t>
      </w:r>
      <w:r>
        <w:rPr>
          <w:spacing w:val="-4"/>
          <w:sz w:val="18"/>
        </w:rPr>
        <w:t xml:space="preserve"> </w:t>
      </w:r>
      <w:r>
        <w:rPr>
          <w:sz w:val="18"/>
        </w:rPr>
        <w:t>pp. 111,</w:t>
      </w:r>
      <w:r>
        <w:rPr>
          <w:spacing w:val="1"/>
          <w:sz w:val="18"/>
        </w:rPr>
        <w:t xml:space="preserve"> </w:t>
      </w:r>
      <w:r>
        <w:rPr>
          <w:sz w:val="18"/>
        </w:rPr>
        <w:t>123,</w:t>
      </w:r>
      <w:r>
        <w:rPr>
          <w:spacing w:val="-4"/>
          <w:sz w:val="18"/>
        </w:rPr>
        <w:t xml:space="preserve"> </w:t>
      </w:r>
      <w:r>
        <w:rPr>
          <w:sz w:val="18"/>
        </w:rPr>
        <w:t>and</w:t>
      </w:r>
      <w:r>
        <w:rPr>
          <w:spacing w:val="-6"/>
          <w:sz w:val="18"/>
        </w:rPr>
        <w:t xml:space="preserve"> </w:t>
      </w:r>
      <w:r>
        <w:rPr>
          <w:spacing w:val="-4"/>
          <w:sz w:val="18"/>
        </w:rPr>
        <w:t>148.</w:t>
      </w:r>
    </w:p>
    <w:p w14:paraId="7DB6A994" w14:textId="77777777" w:rsidR="00BD462C" w:rsidRDefault="00033D0F">
      <w:pPr>
        <w:spacing w:before="2" w:line="237" w:lineRule="auto"/>
        <w:ind w:left="135" w:right="912"/>
        <w:jc w:val="both"/>
        <w:rPr>
          <w:sz w:val="18"/>
        </w:rPr>
      </w:pPr>
      <w:bookmarkStart w:id="1127" w:name="_bookmark971"/>
      <w:bookmarkEnd w:id="1127"/>
      <w:r>
        <w:rPr>
          <w:position w:val="5"/>
          <w:sz w:val="12"/>
        </w:rPr>
        <w:t>829</w:t>
      </w:r>
      <w:r>
        <w:rPr>
          <w:spacing w:val="-7"/>
          <w:position w:val="5"/>
          <w:sz w:val="12"/>
        </w:rPr>
        <w:t xml:space="preserve"> </w:t>
      </w:r>
      <w:r>
        <w:rPr>
          <w:sz w:val="18"/>
        </w:rPr>
        <w:t>See</w:t>
      </w:r>
      <w:r>
        <w:rPr>
          <w:spacing w:val="-10"/>
          <w:sz w:val="18"/>
        </w:rPr>
        <w:t xml:space="preserve"> </w:t>
      </w:r>
      <w:r>
        <w:rPr>
          <w:sz w:val="18"/>
        </w:rPr>
        <w:t>responses</w:t>
      </w:r>
      <w:r>
        <w:rPr>
          <w:spacing w:val="-11"/>
          <w:sz w:val="18"/>
        </w:rPr>
        <w:t xml:space="preserve"> </w:t>
      </w:r>
      <w:r>
        <w:rPr>
          <w:sz w:val="18"/>
        </w:rPr>
        <w:t>from</w:t>
      </w:r>
      <w:r>
        <w:rPr>
          <w:spacing w:val="-10"/>
          <w:sz w:val="18"/>
        </w:rPr>
        <w:t xml:space="preserve"> </w:t>
      </w:r>
      <w:r>
        <w:rPr>
          <w:sz w:val="18"/>
        </w:rPr>
        <w:t>the</w:t>
      </w:r>
      <w:r>
        <w:rPr>
          <w:spacing w:val="-10"/>
          <w:sz w:val="18"/>
        </w:rPr>
        <w:t xml:space="preserve"> </w:t>
      </w:r>
      <w:r>
        <w:rPr>
          <w:sz w:val="18"/>
        </w:rPr>
        <w:t>21</w:t>
      </w:r>
      <w:r>
        <w:rPr>
          <w:spacing w:val="-10"/>
          <w:sz w:val="18"/>
        </w:rPr>
        <w:t xml:space="preserve"> </w:t>
      </w:r>
      <w:r>
        <w:rPr>
          <w:sz w:val="18"/>
        </w:rPr>
        <w:t>domestic</w:t>
      </w:r>
      <w:r>
        <w:rPr>
          <w:spacing w:val="-10"/>
          <w:sz w:val="18"/>
        </w:rPr>
        <w:t xml:space="preserve"> </w:t>
      </w:r>
      <w:r>
        <w:rPr>
          <w:sz w:val="18"/>
        </w:rPr>
        <w:t>producers</w:t>
      </w:r>
      <w:r>
        <w:rPr>
          <w:spacing w:val="-10"/>
          <w:sz w:val="18"/>
        </w:rPr>
        <w:t xml:space="preserve"> </w:t>
      </w:r>
      <w:r>
        <w:rPr>
          <w:sz w:val="18"/>
        </w:rPr>
        <w:t>to</w:t>
      </w:r>
      <w:r>
        <w:rPr>
          <w:spacing w:val="-11"/>
          <w:sz w:val="18"/>
        </w:rPr>
        <w:t xml:space="preserve"> </w:t>
      </w:r>
      <w:r>
        <w:rPr>
          <w:sz w:val="18"/>
        </w:rPr>
        <w:t>question</w:t>
      </w:r>
      <w:r>
        <w:rPr>
          <w:spacing w:val="-10"/>
          <w:sz w:val="18"/>
        </w:rPr>
        <w:t xml:space="preserve"> </w:t>
      </w:r>
      <w:r>
        <w:rPr>
          <w:sz w:val="18"/>
        </w:rPr>
        <w:t>39(5)</w:t>
      </w:r>
      <w:r>
        <w:rPr>
          <w:spacing w:val="-10"/>
          <w:sz w:val="18"/>
        </w:rPr>
        <w:t xml:space="preserve"> </w:t>
      </w:r>
      <w:r>
        <w:rPr>
          <w:sz w:val="18"/>
        </w:rPr>
        <w:t>in</w:t>
      </w:r>
      <w:r>
        <w:rPr>
          <w:spacing w:val="-10"/>
          <w:sz w:val="18"/>
        </w:rPr>
        <w:t xml:space="preserve"> </w:t>
      </w:r>
      <w:r>
        <w:rPr>
          <w:sz w:val="18"/>
        </w:rPr>
        <w:t>the</w:t>
      </w:r>
      <w:r>
        <w:rPr>
          <w:spacing w:val="-10"/>
          <w:sz w:val="18"/>
        </w:rPr>
        <w:t xml:space="preserve"> </w:t>
      </w:r>
      <w:r>
        <w:rPr>
          <w:sz w:val="18"/>
        </w:rPr>
        <w:t>anti-dumping</w:t>
      </w:r>
      <w:r>
        <w:rPr>
          <w:spacing w:val="-11"/>
          <w:sz w:val="18"/>
        </w:rPr>
        <w:t xml:space="preserve"> </w:t>
      </w:r>
      <w:r>
        <w:rPr>
          <w:sz w:val="18"/>
        </w:rPr>
        <w:t>questionnaire</w:t>
      </w:r>
      <w:r>
        <w:rPr>
          <w:spacing w:val="-10"/>
          <w:sz w:val="18"/>
        </w:rPr>
        <w:t xml:space="preserve"> </w:t>
      </w:r>
      <w:r>
        <w:rPr>
          <w:sz w:val="18"/>
        </w:rPr>
        <w:t>to</w:t>
      </w:r>
      <w:r>
        <w:rPr>
          <w:spacing w:val="-10"/>
          <w:sz w:val="18"/>
        </w:rPr>
        <w:t xml:space="preserve"> </w:t>
      </w:r>
      <w:r>
        <w:rPr>
          <w:sz w:val="18"/>
        </w:rPr>
        <w:t>domestic</w:t>
      </w:r>
      <w:r>
        <w:rPr>
          <w:spacing w:val="-10"/>
          <w:sz w:val="18"/>
        </w:rPr>
        <w:t xml:space="preserve"> </w:t>
      </w:r>
      <w:r>
        <w:rPr>
          <w:sz w:val="18"/>
        </w:rPr>
        <w:t>producers. For pinpoint references</w:t>
      </w:r>
      <w:r>
        <w:rPr>
          <w:spacing w:val="-2"/>
          <w:sz w:val="18"/>
        </w:rPr>
        <w:t xml:space="preserve"> </w:t>
      </w:r>
      <w:r>
        <w:rPr>
          <w:sz w:val="18"/>
        </w:rPr>
        <w:t>to</w:t>
      </w:r>
      <w:r>
        <w:rPr>
          <w:spacing w:val="-3"/>
          <w:sz w:val="18"/>
        </w:rPr>
        <w:t xml:space="preserve"> </w:t>
      </w:r>
      <w:r>
        <w:rPr>
          <w:sz w:val="18"/>
        </w:rPr>
        <w:t>each</w:t>
      </w:r>
      <w:r>
        <w:rPr>
          <w:spacing w:val="-3"/>
          <w:sz w:val="18"/>
        </w:rPr>
        <w:t xml:space="preserve"> </w:t>
      </w:r>
      <w:r>
        <w:rPr>
          <w:sz w:val="18"/>
        </w:rPr>
        <w:t>of</w:t>
      </w:r>
      <w:r>
        <w:rPr>
          <w:spacing w:val="-1"/>
          <w:sz w:val="18"/>
        </w:rPr>
        <w:t xml:space="preserve"> </w:t>
      </w:r>
      <w:r>
        <w:rPr>
          <w:sz w:val="18"/>
        </w:rPr>
        <w:t>the</w:t>
      </w:r>
      <w:r>
        <w:rPr>
          <w:spacing w:val="-2"/>
          <w:sz w:val="18"/>
        </w:rPr>
        <w:t xml:space="preserve"> </w:t>
      </w:r>
      <w:r>
        <w:rPr>
          <w:sz w:val="18"/>
        </w:rPr>
        <w:t>21 domestic</w:t>
      </w:r>
      <w:r>
        <w:rPr>
          <w:spacing w:val="-3"/>
          <w:sz w:val="18"/>
        </w:rPr>
        <w:t xml:space="preserve"> </w:t>
      </w:r>
      <w:r>
        <w:rPr>
          <w:sz w:val="18"/>
        </w:rPr>
        <w:t>industry responses, see</w:t>
      </w:r>
      <w:r>
        <w:rPr>
          <w:spacing w:val="-2"/>
          <w:sz w:val="18"/>
        </w:rPr>
        <w:t xml:space="preserve"> </w:t>
      </w:r>
      <w:r>
        <w:rPr>
          <w:sz w:val="18"/>
        </w:rPr>
        <w:t>Australia's first</w:t>
      </w:r>
      <w:r>
        <w:rPr>
          <w:spacing w:val="-1"/>
          <w:sz w:val="18"/>
        </w:rPr>
        <w:t xml:space="preserve"> </w:t>
      </w:r>
      <w:r>
        <w:rPr>
          <w:sz w:val="18"/>
        </w:rPr>
        <w:t>written submission, para.</w:t>
      </w:r>
      <w:r>
        <w:rPr>
          <w:spacing w:val="-1"/>
          <w:sz w:val="18"/>
        </w:rPr>
        <w:t xml:space="preserve"> </w:t>
      </w:r>
      <w:r>
        <w:rPr>
          <w:sz w:val="18"/>
        </w:rPr>
        <w:t xml:space="preserve">640, </w:t>
      </w:r>
      <w:proofErr w:type="spellStart"/>
      <w:r>
        <w:rPr>
          <w:sz w:val="18"/>
        </w:rPr>
        <w:t>fn</w:t>
      </w:r>
      <w:proofErr w:type="spellEnd"/>
      <w:r>
        <w:rPr>
          <w:sz w:val="18"/>
        </w:rPr>
        <w:t xml:space="preserve"> </w:t>
      </w:r>
      <w:r>
        <w:rPr>
          <w:spacing w:val="-4"/>
          <w:sz w:val="18"/>
        </w:rPr>
        <w:t>739.</w:t>
      </w:r>
    </w:p>
    <w:p w14:paraId="63948195" w14:textId="77777777" w:rsidR="00BD462C" w:rsidRDefault="00033D0F">
      <w:pPr>
        <w:spacing w:before="4"/>
        <w:ind w:left="135"/>
        <w:rPr>
          <w:sz w:val="18"/>
        </w:rPr>
      </w:pPr>
      <w:bookmarkStart w:id="1128" w:name="_bookmark972"/>
      <w:bookmarkEnd w:id="1128"/>
      <w:r>
        <w:rPr>
          <w:position w:val="5"/>
          <w:sz w:val="12"/>
        </w:rPr>
        <w:t>830</w:t>
      </w:r>
      <w:r>
        <w:rPr>
          <w:spacing w:val="11"/>
          <w:position w:val="5"/>
          <w:sz w:val="12"/>
        </w:rPr>
        <w:t xml:space="preserve"> </w:t>
      </w:r>
      <w:r>
        <w:rPr>
          <w:sz w:val="18"/>
        </w:rPr>
        <w:t>Anti-Dumping</w:t>
      </w:r>
      <w:r>
        <w:rPr>
          <w:spacing w:val="-6"/>
          <w:sz w:val="18"/>
        </w:rPr>
        <w:t xml:space="preserve"> </w:t>
      </w:r>
      <w:r>
        <w:rPr>
          <w:sz w:val="18"/>
        </w:rPr>
        <w:t>Final</w:t>
      </w:r>
      <w:r>
        <w:rPr>
          <w:spacing w:val="-2"/>
          <w:sz w:val="18"/>
        </w:rPr>
        <w:t xml:space="preserve"> </w:t>
      </w:r>
      <w:r>
        <w:rPr>
          <w:sz w:val="18"/>
        </w:rPr>
        <w:t>Determination</w:t>
      </w:r>
      <w:r>
        <w:rPr>
          <w:spacing w:val="-7"/>
          <w:sz w:val="18"/>
        </w:rPr>
        <w:t xml:space="preserve"> </w:t>
      </w:r>
      <w:r>
        <w:rPr>
          <w:sz w:val="18"/>
        </w:rPr>
        <w:t>(Exhibit</w:t>
      </w:r>
      <w:r>
        <w:rPr>
          <w:spacing w:val="-2"/>
          <w:sz w:val="18"/>
        </w:rPr>
        <w:t xml:space="preserve"> </w:t>
      </w:r>
      <w:r>
        <w:rPr>
          <w:sz w:val="18"/>
        </w:rPr>
        <w:t>AUS-2),</w:t>
      </w:r>
      <w:r>
        <w:rPr>
          <w:spacing w:val="-4"/>
          <w:sz w:val="18"/>
        </w:rPr>
        <w:t xml:space="preserve"> </w:t>
      </w:r>
      <w:r>
        <w:rPr>
          <w:sz w:val="18"/>
        </w:rPr>
        <w:t>p.</w:t>
      </w:r>
      <w:r>
        <w:rPr>
          <w:spacing w:val="-6"/>
          <w:sz w:val="18"/>
        </w:rPr>
        <w:t xml:space="preserve"> </w:t>
      </w:r>
      <w:r>
        <w:rPr>
          <w:sz w:val="18"/>
        </w:rPr>
        <w:t>123;</w:t>
      </w:r>
      <w:r>
        <w:rPr>
          <w:spacing w:val="-8"/>
          <w:sz w:val="18"/>
        </w:rPr>
        <w:t xml:space="preserve"> </w:t>
      </w:r>
      <w:r>
        <w:rPr>
          <w:sz w:val="18"/>
        </w:rPr>
        <w:t>Anti-Dumping</w:t>
      </w:r>
      <w:r>
        <w:rPr>
          <w:spacing w:val="-6"/>
          <w:sz w:val="18"/>
        </w:rPr>
        <w:t xml:space="preserve"> </w:t>
      </w:r>
      <w:r>
        <w:rPr>
          <w:sz w:val="18"/>
        </w:rPr>
        <w:t>Final</w:t>
      </w:r>
      <w:r>
        <w:rPr>
          <w:spacing w:val="-2"/>
          <w:sz w:val="18"/>
        </w:rPr>
        <w:t xml:space="preserve"> </w:t>
      </w:r>
      <w:r>
        <w:rPr>
          <w:sz w:val="18"/>
        </w:rPr>
        <w:t>Determination</w:t>
      </w:r>
      <w:r>
        <w:rPr>
          <w:spacing w:val="-10"/>
          <w:sz w:val="18"/>
        </w:rPr>
        <w:t xml:space="preserve"> </w:t>
      </w:r>
      <w:r>
        <w:rPr>
          <w:sz w:val="18"/>
        </w:rPr>
        <w:t>(Exhibit</w:t>
      </w:r>
      <w:r>
        <w:rPr>
          <w:spacing w:val="-2"/>
          <w:sz w:val="18"/>
        </w:rPr>
        <w:t xml:space="preserve"> </w:t>
      </w:r>
      <w:r>
        <w:rPr>
          <w:sz w:val="18"/>
        </w:rPr>
        <w:t>CHN-1),</w:t>
      </w:r>
      <w:r>
        <w:rPr>
          <w:spacing w:val="-4"/>
          <w:sz w:val="18"/>
        </w:rPr>
        <w:t xml:space="preserve"> </w:t>
      </w:r>
      <w:r>
        <w:rPr>
          <w:sz w:val="18"/>
        </w:rPr>
        <w:t>p.</w:t>
      </w:r>
      <w:r>
        <w:rPr>
          <w:spacing w:val="-6"/>
          <w:sz w:val="18"/>
        </w:rPr>
        <w:t xml:space="preserve"> </w:t>
      </w:r>
      <w:r>
        <w:rPr>
          <w:spacing w:val="-5"/>
          <w:sz w:val="18"/>
        </w:rPr>
        <w:t>60.</w:t>
      </w:r>
    </w:p>
    <w:p w14:paraId="533C23D8" w14:textId="77777777" w:rsidR="00BD462C" w:rsidRDefault="00033D0F">
      <w:pPr>
        <w:spacing w:before="1"/>
        <w:ind w:left="135"/>
        <w:rPr>
          <w:sz w:val="18"/>
        </w:rPr>
      </w:pPr>
      <w:bookmarkStart w:id="1129" w:name="_bookmark973"/>
      <w:bookmarkEnd w:id="1129"/>
      <w:r>
        <w:rPr>
          <w:position w:val="5"/>
          <w:sz w:val="12"/>
        </w:rPr>
        <w:t>831</w:t>
      </w:r>
      <w:r>
        <w:rPr>
          <w:spacing w:val="12"/>
          <w:position w:val="5"/>
          <w:sz w:val="12"/>
        </w:rPr>
        <w:t xml:space="preserve"> </w:t>
      </w:r>
      <w:r>
        <w:rPr>
          <w:sz w:val="18"/>
        </w:rPr>
        <w:t>Anti-Dumping</w:t>
      </w:r>
      <w:r>
        <w:rPr>
          <w:spacing w:val="-6"/>
          <w:sz w:val="18"/>
        </w:rPr>
        <w:t xml:space="preserve"> </w:t>
      </w:r>
      <w:r>
        <w:rPr>
          <w:sz w:val="18"/>
        </w:rPr>
        <w:t>Final</w:t>
      </w:r>
      <w:r>
        <w:rPr>
          <w:spacing w:val="-1"/>
          <w:sz w:val="18"/>
        </w:rPr>
        <w:t xml:space="preserve"> </w:t>
      </w:r>
      <w:r>
        <w:rPr>
          <w:sz w:val="18"/>
        </w:rPr>
        <w:t>Determination</w:t>
      </w:r>
      <w:r>
        <w:rPr>
          <w:spacing w:val="-7"/>
          <w:sz w:val="18"/>
        </w:rPr>
        <w:t xml:space="preserve"> </w:t>
      </w:r>
      <w:r>
        <w:rPr>
          <w:sz w:val="18"/>
        </w:rPr>
        <w:t>(Exhibit</w:t>
      </w:r>
      <w:r>
        <w:rPr>
          <w:spacing w:val="-2"/>
          <w:sz w:val="18"/>
        </w:rPr>
        <w:t xml:space="preserve"> </w:t>
      </w:r>
      <w:r>
        <w:rPr>
          <w:sz w:val="18"/>
        </w:rPr>
        <w:t>AUS-2),</w:t>
      </w:r>
      <w:r>
        <w:rPr>
          <w:spacing w:val="-4"/>
          <w:sz w:val="18"/>
        </w:rPr>
        <w:t xml:space="preserve"> </w:t>
      </w:r>
      <w:r>
        <w:rPr>
          <w:sz w:val="18"/>
        </w:rPr>
        <w:t>p.</w:t>
      </w:r>
      <w:r>
        <w:rPr>
          <w:spacing w:val="-5"/>
          <w:sz w:val="18"/>
        </w:rPr>
        <w:t xml:space="preserve"> </w:t>
      </w:r>
      <w:r>
        <w:rPr>
          <w:spacing w:val="-4"/>
          <w:sz w:val="18"/>
        </w:rPr>
        <w:t>123.</w:t>
      </w:r>
    </w:p>
    <w:p w14:paraId="4537F2D4" w14:textId="77777777" w:rsidR="00BD462C" w:rsidRDefault="00033D0F">
      <w:pPr>
        <w:spacing w:before="1"/>
        <w:ind w:left="135"/>
        <w:rPr>
          <w:sz w:val="18"/>
        </w:rPr>
      </w:pPr>
      <w:bookmarkStart w:id="1130" w:name="_bookmark974"/>
      <w:bookmarkEnd w:id="1130"/>
      <w:r>
        <w:rPr>
          <w:position w:val="5"/>
          <w:sz w:val="12"/>
        </w:rPr>
        <w:t>832</w:t>
      </w:r>
      <w:r>
        <w:rPr>
          <w:spacing w:val="13"/>
          <w:position w:val="5"/>
          <w:sz w:val="12"/>
        </w:rPr>
        <w:t xml:space="preserve"> </w:t>
      </w:r>
      <w:r>
        <w:rPr>
          <w:sz w:val="18"/>
        </w:rPr>
        <w:t>See</w:t>
      </w:r>
      <w:r>
        <w:rPr>
          <w:spacing w:val="-5"/>
          <w:sz w:val="18"/>
        </w:rPr>
        <w:t xml:space="preserve"> </w:t>
      </w:r>
      <w:r>
        <w:rPr>
          <w:sz w:val="18"/>
        </w:rPr>
        <w:t>above,</w:t>
      </w:r>
      <w:r>
        <w:rPr>
          <w:spacing w:val="-3"/>
          <w:sz w:val="18"/>
        </w:rPr>
        <w:t xml:space="preserve"> </w:t>
      </w:r>
      <w:r>
        <w:rPr>
          <w:sz w:val="18"/>
        </w:rPr>
        <w:t>paras.</w:t>
      </w:r>
      <w:r>
        <w:rPr>
          <w:spacing w:val="1"/>
          <w:sz w:val="18"/>
        </w:rPr>
        <w:t xml:space="preserve"> </w:t>
      </w:r>
      <w:hyperlink w:anchor="_bookmark967" w:history="1">
        <w:r>
          <w:rPr>
            <w:sz w:val="18"/>
          </w:rPr>
          <w:t>548</w:t>
        </w:r>
      </w:hyperlink>
      <w:hyperlink w:anchor="_bookmark968" w:history="1">
        <w:r>
          <w:rPr>
            <w:sz w:val="18"/>
          </w:rPr>
          <w:t>-</w:t>
        </w:r>
        <w:r>
          <w:rPr>
            <w:spacing w:val="-5"/>
            <w:sz w:val="18"/>
          </w:rPr>
          <w:t>549</w:t>
        </w:r>
      </w:hyperlink>
    </w:p>
    <w:p w14:paraId="0E6B954C" w14:textId="77777777" w:rsidR="00BD462C" w:rsidRDefault="00BD462C">
      <w:pPr>
        <w:rPr>
          <w:sz w:val="18"/>
        </w:rPr>
        <w:sectPr w:rsidR="00BD462C">
          <w:pgSz w:w="11910" w:h="16840"/>
          <w:pgMar w:top="860" w:right="500" w:bottom="780" w:left="1280" w:header="566" w:footer="590" w:gutter="0"/>
          <w:cols w:space="720"/>
        </w:sectPr>
      </w:pPr>
    </w:p>
    <w:p w14:paraId="504B35C3"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705A59AC"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552F0189"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075ACDE6" w14:textId="77777777" w:rsidR="00BD462C" w:rsidRDefault="00033D0F">
      <w:pPr>
        <w:pStyle w:val="BodyText"/>
        <w:spacing w:before="102" w:line="360" w:lineRule="auto"/>
        <w:ind w:left="135" w:right="909"/>
        <w:jc w:val="both"/>
      </w:pPr>
      <w:r>
        <w:t>that "evidence shows … the domestic industry capacity expansion plan was suspended with the volume increase and price decrease of" subject imports.</w:t>
      </w:r>
      <w:hyperlink w:anchor="_bookmark975" w:history="1">
        <w:r>
          <w:rPr>
            <w:vertAlign w:val="superscript"/>
          </w:rPr>
          <w:t>833</w:t>
        </w:r>
      </w:hyperlink>
      <w:r>
        <w:t xml:space="preserve"> China's assertion that MOFCOM did not make such a finding is contradicted by the clear and unambiguous statement made by MOFCOM in the Final Determination.</w:t>
      </w:r>
      <w:hyperlink w:anchor="_bookmark976" w:history="1">
        <w:r>
          <w:rPr>
            <w:vertAlign w:val="superscript"/>
          </w:rPr>
          <w:t>834</w:t>
        </w:r>
      </w:hyperlink>
    </w:p>
    <w:p w14:paraId="41999DF6" w14:textId="77777777" w:rsidR="00BD462C" w:rsidRDefault="00BD462C">
      <w:pPr>
        <w:pStyle w:val="BodyText"/>
        <w:spacing w:before="8"/>
        <w:rPr>
          <w:sz w:val="8"/>
        </w:rPr>
      </w:pPr>
    </w:p>
    <w:p w14:paraId="3D4DC30E" w14:textId="5F3F7075" w:rsidR="00BD462C" w:rsidRDefault="00732032">
      <w:pPr>
        <w:pStyle w:val="BodyText"/>
        <w:spacing w:before="56" w:line="360" w:lineRule="auto"/>
        <w:ind w:left="135" w:right="913"/>
        <w:jc w:val="both"/>
      </w:pPr>
      <w:r>
        <w:rPr>
          <w:noProof/>
        </w:rPr>
        <w:t>551.</w:t>
      </w:r>
      <w:r w:rsidR="00033D0F">
        <w:rPr>
          <w:rFonts w:ascii="Times New Roman"/>
          <w:spacing w:val="80"/>
          <w:position w:val="1"/>
          <w:sz w:val="20"/>
        </w:rPr>
        <w:t xml:space="preserve">  </w:t>
      </w:r>
      <w:r w:rsidR="00033D0F">
        <w:rPr>
          <w:position w:val="1"/>
        </w:rPr>
        <w:t xml:space="preserve">Further, China has confirmed that the domestic industry informed MOFCOM during </w:t>
      </w:r>
      <w:r w:rsidR="00033D0F">
        <w:t>the investigation that they did not plan to increase production capacity.</w:t>
      </w:r>
      <w:hyperlink w:anchor="_bookmark977" w:history="1">
        <w:r w:rsidR="00033D0F">
          <w:rPr>
            <w:vertAlign w:val="superscript"/>
          </w:rPr>
          <w:t>835</w:t>
        </w:r>
      </w:hyperlink>
      <w:r w:rsidR="00033D0F">
        <w:t xml:space="preserve"> As a result, there was no evidence before MOFCOM to support its finding that: (i) a capacity expansion plan existed; and (ii) it was suspended due to the effect of subject imports.</w:t>
      </w:r>
      <w:hyperlink w:anchor="_bookmark978" w:history="1">
        <w:r w:rsidR="00033D0F">
          <w:rPr>
            <w:vertAlign w:val="superscript"/>
          </w:rPr>
          <w:t>836</w:t>
        </w:r>
      </w:hyperlink>
      <w:r w:rsidR="00033D0F">
        <w:t xml:space="preserve"> As a result, MOFCOM's finding is inconsistent with the obligation in Articles 3.1 and 3.4 to objectively examine the explanatory force between subject imports and the state observed in the domestic industry on the basis of positive evidence.</w:t>
      </w:r>
    </w:p>
    <w:p w14:paraId="6B40BE02" w14:textId="77777777" w:rsidR="00BD462C" w:rsidRDefault="00033D0F">
      <w:pPr>
        <w:pStyle w:val="ListParagraph"/>
        <w:numPr>
          <w:ilvl w:val="2"/>
          <w:numId w:val="33"/>
        </w:numPr>
        <w:tabs>
          <w:tab w:val="left" w:pos="4388"/>
          <w:tab w:val="left" w:pos="4389"/>
        </w:tabs>
        <w:spacing w:before="155"/>
        <w:jc w:val="both"/>
        <w:rPr>
          <w:i/>
          <w:sz w:val="24"/>
        </w:rPr>
      </w:pPr>
      <w:bookmarkStart w:id="1131" w:name="iii._Capacity_utilisation"/>
      <w:bookmarkEnd w:id="1131"/>
      <w:r>
        <w:rPr>
          <w:i/>
          <w:sz w:val="24"/>
        </w:rPr>
        <w:t>Capacity</w:t>
      </w:r>
      <w:r>
        <w:rPr>
          <w:i/>
          <w:spacing w:val="-4"/>
          <w:sz w:val="24"/>
        </w:rPr>
        <w:t xml:space="preserve"> </w:t>
      </w:r>
      <w:proofErr w:type="spellStart"/>
      <w:r>
        <w:rPr>
          <w:i/>
          <w:spacing w:val="-2"/>
          <w:sz w:val="24"/>
        </w:rPr>
        <w:t>utilisation</w:t>
      </w:r>
      <w:proofErr w:type="spellEnd"/>
    </w:p>
    <w:p w14:paraId="2DC64F55" w14:textId="77777777" w:rsidR="00BD462C" w:rsidRDefault="00BD462C">
      <w:pPr>
        <w:pStyle w:val="BodyText"/>
        <w:spacing w:before="11"/>
        <w:rPr>
          <w:i/>
          <w:sz w:val="20"/>
        </w:rPr>
      </w:pPr>
    </w:p>
    <w:p w14:paraId="2BDE4C6B" w14:textId="40E74206" w:rsidR="00BD462C" w:rsidRDefault="00732032">
      <w:pPr>
        <w:pStyle w:val="BodyText"/>
        <w:spacing w:before="56" w:line="360" w:lineRule="auto"/>
        <w:ind w:left="135" w:right="912"/>
        <w:jc w:val="both"/>
      </w:pPr>
      <w:r>
        <w:rPr>
          <w:noProof/>
        </w:rPr>
        <w:t>552.</w:t>
      </w:r>
      <w:r w:rsidR="00033D0F">
        <w:rPr>
          <w:rFonts w:ascii="Times New Roman"/>
          <w:spacing w:val="40"/>
          <w:position w:val="1"/>
          <w:sz w:val="20"/>
        </w:rPr>
        <w:t xml:space="preserve">  </w:t>
      </w:r>
      <w:r w:rsidR="00033D0F">
        <w:rPr>
          <w:position w:val="1"/>
        </w:rPr>
        <w:t xml:space="preserve">As Australia has demonstrated in its prior submissions, MOFCOM did not properly </w:t>
      </w:r>
      <w:r w:rsidR="00033D0F">
        <w:t xml:space="preserve">consider the totality of the evidence regarding low domestic capacity </w:t>
      </w:r>
      <w:proofErr w:type="spellStart"/>
      <w:r w:rsidR="00033D0F">
        <w:t>utilisation</w:t>
      </w:r>
      <w:proofErr w:type="spellEnd"/>
      <w:r w:rsidR="00033D0F">
        <w:t xml:space="preserve">, before asserting that "capacity could not be released effectively" due to subject imports. Australia's argument is not concerned with what "other factors" were causing the low </w:t>
      </w:r>
      <w:proofErr w:type="spellStart"/>
      <w:r w:rsidR="00033D0F">
        <w:t>utilisation</w:t>
      </w:r>
      <w:proofErr w:type="spellEnd"/>
      <w:r w:rsidR="00033D0F">
        <w:t xml:space="preserve"> or whether the low </w:t>
      </w:r>
      <w:proofErr w:type="spellStart"/>
      <w:r w:rsidR="00033D0F">
        <w:t>utilisation</w:t>
      </w:r>
      <w:proofErr w:type="spellEnd"/>
      <w:r w:rsidR="00033D0F">
        <w:t xml:space="preserve"> caused material injury to the domestic industry. Rather, it is addressed</w:t>
      </w:r>
      <w:r w:rsidR="00033D0F">
        <w:rPr>
          <w:spacing w:val="-4"/>
        </w:rPr>
        <w:t xml:space="preserve"> </w:t>
      </w:r>
      <w:r w:rsidR="00033D0F">
        <w:t>to</w:t>
      </w:r>
      <w:r w:rsidR="00033D0F">
        <w:rPr>
          <w:spacing w:val="-5"/>
        </w:rPr>
        <w:t xml:space="preserve"> </w:t>
      </w:r>
      <w:r w:rsidR="00033D0F">
        <w:t>the</w:t>
      </w:r>
      <w:r w:rsidR="00033D0F">
        <w:rPr>
          <w:spacing w:val="-3"/>
        </w:rPr>
        <w:t xml:space="preserve"> </w:t>
      </w:r>
      <w:r w:rsidR="00033D0F">
        <w:t>materiality</w:t>
      </w:r>
      <w:r w:rsidR="00033D0F">
        <w:rPr>
          <w:spacing w:val="-1"/>
        </w:rPr>
        <w:t xml:space="preserve"> </w:t>
      </w:r>
      <w:r w:rsidR="00033D0F">
        <w:t>of</w:t>
      </w:r>
      <w:r w:rsidR="00033D0F">
        <w:rPr>
          <w:spacing w:val="-4"/>
        </w:rPr>
        <w:t xml:space="preserve"> </w:t>
      </w:r>
      <w:r w:rsidR="00033D0F">
        <w:t>the</w:t>
      </w:r>
      <w:r w:rsidR="00033D0F">
        <w:rPr>
          <w:spacing w:val="-3"/>
        </w:rPr>
        <w:t xml:space="preserve"> </w:t>
      </w:r>
      <w:r w:rsidR="00033D0F">
        <w:t>impact</w:t>
      </w:r>
      <w:r w:rsidR="00033D0F">
        <w:rPr>
          <w:spacing w:val="-2"/>
        </w:rPr>
        <w:t xml:space="preserve"> </w:t>
      </w:r>
      <w:r w:rsidR="00033D0F">
        <w:t>of</w:t>
      </w:r>
      <w:r w:rsidR="00033D0F">
        <w:rPr>
          <w:spacing w:val="-4"/>
        </w:rPr>
        <w:t xml:space="preserve"> </w:t>
      </w:r>
      <w:r w:rsidR="00033D0F">
        <w:t>subject</w:t>
      </w:r>
      <w:r w:rsidR="00033D0F">
        <w:rPr>
          <w:spacing w:val="-2"/>
        </w:rPr>
        <w:t xml:space="preserve"> </w:t>
      </w:r>
      <w:r w:rsidR="00033D0F">
        <w:t>imports</w:t>
      </w:r>
      <w:r w:rsidR="00033D0F">
        <w:rPr>
          <w:spacing w:val="-1"/>
        </w:rPr>
        <w:t xml:space="preserve"> </w:t>
      </w:r>
      <w:r w:rsidR="00033D0F">
        <w:t>on</w:t>
      </w:r>
      <w:r w:rsidR="00033D0F">
        <w:rPr>
          <w:spacing w:val="-4"/>
        </w:rPr>
        <w:t xml:space="preserve"> </w:t>
      </w:r>
      <w:r w:rsidR="00033D0F">
        <w:t>the</w:t>
      </w:r>
      <w:r w:rsidR="00033D0F">
        <w:rPr>
          <w:spacing w:val="-3"/>
        </w:rPr>
        <w:t xml:space="preserve"> </w:t>
      </w:r>
      <w:r w:rsidR="00033D0F">
        <w:t>low</w:t>
      </w:r>
      <w:r w:rsidR="00033D0F">
        <w:rPr>
          <w:spacing w:val="-2"/>
        </w:rPr>
        <w:t xml:space="preserve"> </w:t>
      </w:r>
      <w:proofErr w:type="spellStart"/>
      <w:r w:rsidR="00033D0F">
        <w:t>utilisation</w:t>
      </w:r>
      <w:proofErr w:type="spellEnd"/>
      <w:r w:rsidR="00033D0F">
        <w:rPr>
          <w:spacing w:val="-4"/>
        </w:rPr>
        <w:t xml:space="preserve"> </w:t>
      </w:r>
      <w:r w:rsidR="00033D0F">
        <w:t>observed. MOFCOM's</w:t>
      </w:r>
      <w:r w:rsidR="00033D0F">
        <w:rPr>
          <w:spacing w:val="-1"/>
        </w:rPr>
        <w:t xml:space="preserve"> </w:t>
      </w:r>
      <w:r w:rsidR="00033D0F">
        <w:t>failure</w:t>
      </w:r>
      <w:r w:rsidR="00033D0F">
        <w:rPr>
          <w:spacing w:val="-2"/>
        </w:rPr>
        <w:t xml:space="preserve"> </w:t>
      </w:r>
      <w:r w:rsidR="00033D0F">
        <w:t>to</w:t>
      </w:r>
      <w:r w:rsidR="00033D0F">
        <w:rPr>
          <w:spacing w:val="-5"/>
        </w:rPr>
        <w:t xml:space="preserve"> </w:t>
      </w:r>
      <w:r w:rsidR="00033D0F">
        <w:t>consider or provide</w:t>
      </w:r>
      <w:r w:rsidR="00033D0F">
        <w:rPr>
          <w:spacing w:val="-3"/>
        </w:rPr>
        <w:t xml:space="preserve"> </w:t>
      </w:r>
      <w:r w:rsidR="00033D0F">
        <w:t>reasons for its</w:t>
      </w:r>
      <w:r w:rsidR="00033D0F">
        <w:rPr>
          <w:spacing w:val="-1"/>
        </w:rPr>
        <w:t xml:space="preserve"> </w:t>
      </w:r>
      <w:r w:rsidR="00033D0F">
        <w:t>finding</w:t>
      </w:r>
      <w:r w:rsidR="00033D0F">
        <w:rPr>
          <w:spacing w:val="-1"/>
        </w:rPr>
        <w:t xml:space="preserve"> </w:t>
      </w:r>
      <w:r w:rsidR="00033D0F">
        <w:t>mean</w:t>
      </w:r>
      <w:r w:rsidR="00033D0F">
        <w:rPr>
          <w:spacing w:val="-4"/>
        </w:rPr>
        <w:t xml:space="preserve"> </w:t>
      </w:r>
      <w:r w:rsidR="00033D0F">
        <w:t>that</w:t>
      </w:r>
      <w:r w:rsidR="00033D0F">
        <w:rPr>
          <w:spacing w:val="-2"/>
        </w:rPr>
        <w:t xml:space="preserve"> </w:t>
      </w:r>
      <w:r w:rsidR="00033D0F">
        <w:t>it</w:t>
      </w:r>
      <w:r w:rsidR="00033D0F">
        <w:rPr>
          <w:spacing w:val="-2"/>
        </w:rPr>
        <w:t xml:space="preserve"> </w:t>
      </w:r>
      <w:r w:rsidR="00033D0F">
        <w:t>did</w:t>
      </w:r>
      <w:r w:rsidR="00033D0F">
        <w:rPr>
          <w:spacing w:val="-4"/>
        </w:rPr>
        <w:t xml:space="preserve"> </w:t>
      </w:r>
      <w:r w:rsidR="00033D0F">
        <w:t>not</w:t>
      </w:r>
      <w:r w:rsidR="00033D0F">
        <w:rPr>
          <w:spacing w:val="-2"/>
        </w:rPr>
        <w:t xml:space="preserve"> </w:t>
      </w:r>
      <w:r w:rsidR="00033D0F">
        <w:t>properly consider if subject imports were the explanatory force for this occurrence.</w:t>
      </w:r>
    </w:p>
    <w:p w14:paraId="0A2664DD" w14:textId="77777777" w:rsidR="00BD462C" w:rsidRDefault="00033D0F">
      <w:pPr>
        <w:pStyle w:val="ListParagraph"/>
        <w:numPr>
          <w:ilvl w:val="2"/>
          <w:numId w:val="33"/>
        </w:numPr>
        <w:tabs>
          <w:tab w:val="left" w:pos="4388"/>
          <w:tab w:val="left" w:pos="4389"/>
        </w:tabs>
        <w:spacing w:before="157"/>
        <w:jc w:val="both"/>
        <w:rPr>
          <w:i/>
          <w:sz w:val="24"/>
        </w:rPr>
      </w:pPr>
      <w:bookmarkStart w:id="1132" w:name="iv._Price"/>
      <w:bookmarkEnd w:id="1132"/>
      <w:r>
        <w:rPr>
          <w:i/>
          <w:spacing w:val="-2"/>
          <w:sz w:val="24"/>
        </w:rPr>
        <w:t>Price</w:t>
      </w:r>
    </w:p>
    <w:p w14:paraId="7DF82A67" w14:textId="77777777" w:rsidR="00BD462C" w:rsidRDefault="00BD462C">
      <w:pPr>
        <w:pStyle w:val="BodyText"/>
        <w:spacing w:before="11"/>
        <w:rPr>
          <w:i/>
          <w:sz w:val="20"/>
        </w:rPr>
      </w:pPr>
    </w:p>
    <w:p w14:paraId="347FB37F" w14:textId="22FB7264" w:rsidR="00BD462C" w:rsidRDefault="00732032">
      <w:pPr>
        <w:pStyle w:val="BodyText"/>
        <w:spacing w:before="56" w:line="357" w:lineRule="auto"/>
        <w:ind w:left="135" w:right="915"/>
        <w:jc w:val="both"/>
      </w:pPr>
      <w:r>
        <w:rPr>
          <w:noProof/>
        </w:rPr>
        <w:t>553.</w:t>
      </w:r>
      <w:r w:rsidR="00033D0F">
        <w:rPr>
          <w:rFonts w:ascii="Times New Roman"/>
          <w:spacing w:val="80"/>
          <w:position w:val="1"/>
          <w:sz w:val="20"/>
        </w:rPr>
        <w:t xml:space="preserve">  </w:t>
      </w:r>
      <w:r w:rsidR="00033D0F">
        <w:rPr>
          <w:position w:val="1"/>
        </w:rPr>
        <w:t>Australia</w:t>
      </w:r>
      <w:r w:rsidR="00033D0F">
        <w:rPr>
          <w:spacing w:val="-7"/>
          <w:position w:val="1"/>
        </w:rPr>
        <w:t xml:space="preserve"> </w:t>
      </w:r>
      <w:r w:rsidR="00033D0F">
        <w:rPr>
          <w:position w:val="1"/>
        </w:rPr>
        <w:t>has</w:t>
      </w:r>
      <w:r w:rsidR="00033D0F">
        <w:rPr>
          <w:spacing w:val="-5"/>
          <w:position w:val="1"/>
        </w:rPr>
        <w:t xml:space="preserve"> </w:t>
      </w:r>
      <w:r w:rsidR="00033D0F">
        <w:rPr>
          <w:position w:val="1"/>
        </w:rPr>
        <w:t>also</w:t>
      </w:r>
      <w:r w:rsidR="00033D0F">
        <w:rPr>
          <w:spacing w:val="-9"/>
          <w:position w:val="1"/>
        </w:rPr>
        <w:t xml:space="preserve"> </w:t>
      </w:r>
      <w:r w:rsidR="00033D0F">
        <w:rPr>
          <w:position w:val="1"/>
        </w:rPr>
        <w:t>demonstrated</w:t>
      </w:r>
      <w:r w:rsidR="00033D0F">
        <w:rPr>
          <w:spacing w:val="-8"/>
          <w:position w:val="1"/>
        </w:rPr>
        <w:t xml:space="preserve"> </w:t>
      </w:r>
      <w:r w:rsidR="00033D0F">
        <w:rPr>
          <w:position w:val="1"/>
        </w:rPr>
        <w:t>in</w:t>
      </w:r>
      <w:r w:rsidR="00033D0F">
        <w:rPr>
          <w:spacing w:val="-8"/>
          <w:position w:val="1"/>
        </w:rPr>
        <w:t xml:space="preserve"> </w:t>
      </w:r>
      <w:r w:rsidR="00033D0F">
        <w:rPr>
          <w:position w:val="1"/>
        </w:rPr>
        <w:t>prior</w:t>
      </w:r>
      <w:r w:rsidR="00033D0F">
        <w:rPr>
          <w:spacing w:val="-4"/>
          <w:position w:val="1"/>
        </w:rPr>
        <w:t xml:space="preserve"> </w:t>
      </w:r>
      <w:r w:rsidR="00033D0F">
        <w:rPr>
          <w:position w:val="1"/>
        </w:rPr>
        <w:t>submissions</w:t>
      </w:r>
      <w:r w:rsidR="00033D0F">
        <w:rPr>
          <w:spacing w:val="-5"/>
          <w:position w:val="1"/>
        </w:rPr>
        <w:t xml:space="preserve"> </w:t>
      </w:r>
      <w:r w:rsidR="00033D0F">
        <w:rPr>
          <w:position w:val="1"/>
        </w:rPr>
        <w:t>that</w:t>
      </w:r>
      <w:r w:rsidR="00033D0F">
        <w:rPr>
          <w:spacing w:val="-6"/>
          <w:position w:val="1"/>
        </w:rPr>
        <w:t xml:space="preserve"> </w:t>
      </w:r>
      <w:r w:rsidR="00033D0F">
        <w:rPr>
          <w:position w:val="1"/>
        </w:rPr>
        <w:t>MOFCOM</w:t>
      </w:r>
      <w:r w:rsidR="00033D0F">
        <w:rPr>
          <w:spacing w:val="-6"/>
          <w:position w:val="1"/>
        </w:rPr>
        <w:t xml:space="preserve"> </w:t>
      </w:r>
      <w:r w:rsidR="00033D0F">
        <w:rPr>
          <w:position w:val="1"/>
        </w:rPr>
        <w:t>did</w:t>
      </w:r>
      <w:r w:rsidR="00033D0F">
        <w:rPr>
          <w:spacing w:val="-8"/>
          <w:position w:val="1"/>
        </w:rPr>
        <w:t xml:space="preserve"> </w:t>
      </w:r>
      <w:r w:rsidR="00033D0F">
        <w:rPr>
          <w:position w:val="1"/>
        </w:rPr>
        <w:t>not</w:t>
      </w:r>
      <w:r w:rsidR="00033D0F">
        <w:rPr>
          <w:spacing w:val="-6"/>
          <w:position w:val="1"/>
        </w:rPr>
        <w:t xml:space="preserve"> </w:t>
      </w:r>
      <w:r w:rsidR="00033D0F">
        <w:rPr>
          <w:position w:val="1"/>
        </w:rPr>
        <w:t xml:space="preserve">evaluate </w:t>
      </w:r>
      <w:r w:rsidR="00033D0F">
        <w:t>the materiality of the impact or explanatory force that subject imports had for the state observed</w:t>
      </w:r>
      <w:r w:rsidR="00033D0F">
        <w:rPr>
          <w:spacing w:val="-5"/>
        </w:rPr>
        <w:t xml:space="preserve"> </w:t>
      </w:r>
      <w:r w:rsidR="00033D0F">
        <w:t>in</w:t>
      </w:r>
      <w:r w:rsidR="00033D0F">
        <w:rPr>
          <w:spacing w:val="-5"/>
        </w:rPr>
        <w:t xml:space="preserve"> </w:t>
      </w:r>
      <w:r w:rsidR="00033D0F">
        <w:t>domestic</w:t>
      </w:r>
      <w:r w:rsidR="00033D0F">
        <w:rPr>
          <w:spacing w:val="-5"/>
        </w:rPr>
        <w:t xml:space="preserve"> </w:t>
      </w:r>
      <w:r w:rsidR="00033D0F">
        <w:t>prices,</w:t>
      </w:r>
      <w:r w:rsidR="00033D0F">
        <w:rPr>
          <w:spacing w:val="-6"/>
        </w:rPr>
        <w:t xml:space="preserve"> </w:t>
      </w:r>
      <w:r w:rsidR="00033D0F">
        <w:t>including</w:t>
      </w:r>
      <w:r w:rsidR="00033D0F">
        <w:rPr>
          <w:spacing w:val="-2"/>
        </w:rPr>
        <w:t xml:space="preserve"> </w:t>
      </w:r>
      <w:r w:rsidR="00033D0F">
        <w:t>by</w:t>
      </w:r>
      <w:r w:rsidR="00033D0F">
        <w:rPr>
          <w:spacing w:val="-2"/>
        </w:rPr>
        <w:t xml:space="preserve"> </w:t>
      </w:r>
      <w:r w:rsidR="00033D0F">
        <w:t>failing</w:t>
      </w:r>
      <w:r w:rsidR="00033D0F">
        <w:rPr>
          <w:spacing w:val="-2"/>
        </w:rPr>
        <w:t xml:space="preserve"> </w:t>
      </w:r>
      <w:r w:rsidR="00033D0F">
        <w:t>to</w:t>
      </w:r>
      <w:r w:rsidR="00033D0F">
        <w:rPr>
          <w:spacing w:val="-11"/>
        </w:rPr>
        <w:t xml:space="preserve"> </w:t>
      </w:r>
      <w:r w:rsidR="00033D0F">
        <w:t>examine</w:t>
      </w:r>
      <w:r w:rsidR="00033D0F">
        <w:rPr>
          <w:spacing w:val="-4"/>
        </w:rPr>
        <w:t xml:space="preserve"> </w:t>
      </w:r>
      <w:r w:rsidR="00033D0F">
        <w:t>factors</w:t>
      </w:r>
      <w:r w:rsidR="00033D0F">
        <w:rPr>
          <w:spacing w:val="-2"/>
        </w:rPr>
        <w:t xml:space="preserve"> </w:t>
      </w:r>
      <w:r w:rsidR="00033D0F">
        <w:t>affecting</w:t>
      </w:r>
      <w:r w:rsidR="00033D0F">
        <w:rPr>
          <w:spacing w:val="-2"/>
        </w:rPr>
        <w:t xml:space="preserve"> </w:t>
      </w:r>
      <w:r w:rsidR="00033D0F">
        <w:t>domestic</w:t>
      </w:r>
      <w:r w:rsidR="00033D0F">
        <w:rPr>
          <w:spacing w:val="-5"/>
        </w:rPr>
        <w:t xml:space="preserve"> </w:t>
      </w:r>
      <w:r w:rsidR="00033D0F">
        <w:t>prices.</w:t>
      </w:r>
    </w:p>
    <w:p w14:paraId="2215CF34" w14:textId="77777777" w:rsidR="00BD462C" w:rsidRDefault="00BD462C">
      <w:pPr>
        <w:pStyle w:val="BodyText"/>
        <w:rPr>
          <w:sz w:val="20"/>
        </w:rPr>
      </w:pPr>
    </w:p>
    <w:p w14:paraId="39BABCFB" w14:textId="6F3E9F41" w:rsidR="00BD462C" w:rsidRDefault="00752F01">
      <w:pPr>
        <w:pStyle w:val="BodyText"/>
        <w:spacing w:before="1"/>
        <w:rPr>
          <w:sz w:val="18"/>
        </w:rPr>
      </w:pPr>
      <w:r>
        <w:rPr>
          <w:noProof/>
        </w:rPr>
        <mc:AlternateContent>
          <mc:Choice Requires="wps">
            <w:drawing>
              <wp:anchor distT="0" distB="0" distL="0" distR="0" simplePos="0" relativeHeight="488253952" behindDoc="1" locked="0" layoutInCell="1" allowOverlap="1" wp14:anchorId="507072CE" wp14:editId="04F11BC9">
                <wp:simplePos x="0" y="0"/>
                <wp:positionH relativeFrom="page">
                  <wp:posOffset>812800</wp:posOffset>
                </wp:positionH>
                <wp:positionV relativeFrom="paragraph">
                  <wp:posOffset>144145</wp:posOffset>
                </wp:positionV>
                <wp:extent cx="1828800" cy="8890"/>
                <wp:effectExtent l="0" t="0" r="0" b="0"/>
                <wp:wrapTopAndBottom/>
                <wp:docPr id="233" name="docshape6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DCB6A2" id="docshape664" o:spid="_x0000_s1026" alt="&quot;&quot;" style="position:absolute;margin-left:64pt;margin-top:11.35pt;width:2in;height:.7pt;z-index:-15062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" fillcolor="black" stroked="f">
                <w10:wrap type="topAndBottom" anchorx="page"/>
              </v:rect>
            </w:pict>
          </mc:Fallback>
        </mc:AlternateContent>
      </w:r>
    </w:p>
    <w:p w14:paraId="4BF0C0C6" w14:textId="77777777" w:rsidR="00BD462C" w:rsidRDefault="00033D0F">
      <w:pPr>
        <w:spacing w:before="112"/>
        <w:ind w:left="136" w:right="910" w:hanging="1"/>
        <w:jc w:val="both"/>
        <w:rPr>
          <w:sz w:val="18"/>
        </w:rPr>
      </w:pPr>
      <w:bookmarkStart w:id="1133" w:name="_bookmark975"/>
      <w:bookmarkEnd w:id="1133"/>
      <w:r>
        <w:rPr>
          <w:position w:val="5"/>
          <w:sz w:val="12"/>
        </w:rPr>
        <w:t>833</w:t>
      </w:r>
      <w:r>
        <w:rPr>
          <w:spacing w:val="40"/>
          <w:position w:val="5"/>
          <w:sz w:val="12"/>
        </w:rPr>
        <w:t xml:space="preserve"> </w:t>
      </w:r>
      <w:r>
        <w:rPr>
          <w:sz w:val="18"/>
        </w:rPr>
        <w:t>Australia's first written submission, paras. 649 – 650; Anti-Dumping Final Determination (Exhibit AUS-2) p. 129; Final Determination (Exhibit CHN-1), p. 63.</w:t>
      </w:r>
    </w:p>
    <w:p w14:paraId="6E2052BB" w14:textId="77777777" w:rsidR="00BD462C" w:rsidRDefault="00033D0F">
      <w:pPr>
        <w:spacing w:before="2" w:line="218" w:lineRule="exact"/>
        <w:ind w:left="135"/>
        <w:jc w:val="both"/>
        <w:rPr>
          <w:sz w:val="18"/>
        </w:rPr>
      </w:pPr>
      <w:bookmarkStart w:id="1134" w:name="_bookmark976"/>
      <w:bookmarkEnd w:id="1134"/>
      <w:r>
        <w:rPr>
          <w:position w:val="5"/>
          <w:sz w:val="12"/>
        </w:rPr>
        <w:t>834</w:t>
      </w:r>
      <w:r>
        <w:rPr>
          <w:spacing w:val="14"/>
          <w:position w:val="5"/>
          <w:sz w:val="12"/>
        </w:rPr>
        <w:t xml:space="preserve"> </w:t>
      </w:r>
      <w:r>
        <w:rPr>
          <w:sz w:val="18"/>
        </w:rPr>
        <w:t>China's</w:t>
      </w:r>
      <w:r>
        <w:rPr>
          <w:spacing w:val="1"/>
          <w:sz w:val="18"/>
        </w:rPr>
        <w:t xml:space="preserve"> </w:t>
      </w:r>
      <w:r>
        <w:rPr>
          <w:sz w:val="18"/>
        </w:rPr>
        <w:t>response</w:t>
      </w:r>
      <w:r>
        <w:rPr>
          <w:spacing w:val="-4"/>
          <w:sz w:val="18"/>
        </w:rPr>
        <w:t xml:space="preserve"> </w:t>
      </w:r>
      <w:r>
        <w:rPr>
          <w:sz w:val="18"/>
        </w:rPr>
        <w:t>to</w:t>
      </w:r>
      <w:r>
        <w:rPr>
          <w:spacing w:val="-9"/>
          <w:sz w:val="18"/>
        </w:rPr>
        <w:t xml:space="preserve"> </w:t>
      </w:r>
      <w:r>
        <w:rPr>
          <w:sz w:val="18"/>
        </w:rPr>
        <w:t>Panel</w:t>
      </w:r>
      <w:r>
        <w:rPr>
          <w:spacing w:val="-3"/>
          <w:sz w:val="18"/>
        </w:rPr>
        <w:t xml:space="preserve"> </w:t>
      </w:r>
      <w:r>
        <w:rPr>
          <w:sz w:val="18"/>
        </w:rPr>
        <w:t>question</w:t>
      </w:r>
      <w:r>
        <w:rPr>
          <w:spacing w:val="-5"/>
          <w:sz w:val="18"/>
        </w:rPr>
        <w:t xml:space="preserve"> </w:t>
      </w:r>
      <w:r>
        <w:rPr>
          <w:sz w:val="18"/>
        </w:rPr>
        <w:t>No.</w:t>
      </w:r>
      <w:r>
        <w:rPr>
          <w:spacing w:val="2"/>
          <w:sz w:val="18"/>
        </w:rPr>
        <w:t xml:space="preserve"> </w:t>
      </w:r>
      <w:r>
        <w:rPr>
          <w:sz w:val="18"/>
        </w:rPr>
        <w:t>42,</w:t>
      </w:r>
      <w:r>
        <w:rPr>
          <w:spacing w:val="-2"/>
          <w:sz w:val="18"/>
        </w:rPr>
        <w:t xml:space="preserve"> </w:t>
      </w:r>
      <w:r>
        <w:rPr>
          <w:sz w:val="18"/>
        </w:rPr>
        <w:t>para.</w:t>
      </w:r>
      <w:r>
        <w:rPr>
          <w:spacing w:val="-3"/>
          <w:sz w:val="18"/>
        </w:rPr>
        <w:t xml:space="preserve"> </w:t>
      </w:r>
      <w:r>
        <w:rPr>
          <w:spacing w:val="-4"/>
          <w:sz w:val="18"/>
        </w:rPr>
        <w:t>237.</w:t>
      </w:r>
    </w:p>
    <w:p w14:paraId="6912B1DD" w14:textId="77777777" w:rsidR="00BD462C" w:rsidRDefault="00033D0F">
      <w:pPr>
        <w:spacing w:line="218" w:lineRule="exact"/>
        <w:ind w:left="135"/>
        <w:jc w:val="both"/>
        <w:rPr>
          <w:sz w:val="18"/>
        </w:rPr>
      </w:pPr>
      <w:bookmarkStart w:id="1135" w:name="_bookmark977"/>
      <w:bookmarkEnd w:id="1135"/>
      <w:r>
        <w:rPr>
          <w:position w:val="5"/>
          <w:sz w:val="12"/>
        </w:rPr>
        <w:t>835</w:t>
      </w:r>
      <w:r>
        <w:rPr>
          <w:spacing w:val="13"/>
          <w:position w:val="5"/>
          <w:sz w:val="12"/>
        </w:rPr>
        <w:t xml:space="preserve"> </w:t>
      </w:r>
      <w:r>
        <w:rPr>
          <w:sz w:val="18"/>
        </w:rPr>
        <w:t>China's response</w:t>
      </w:r>
      <w:r>
        <w:rPr>
          <w:spacing w:val="-5"/>
          <w:sz w:val="18"/>
        </w:rPr>
        <w:t xml:space="preserve"> </w:t>
      </w:r>
      <w:r>
        <w:rPr>
          <w:sz w:val="18"/>
        </w:rPr>
        <w:t>to</w:t>
      </w:r>
      <w:r>
        <w:rPr>
          <w:spacing w:val="-10"/>
          <w:sz w:val="18"/>
        </w:rPr>
        <w:t xml:space="preserve"> </w:t>
      </w:r>
      <w:r>
        <w:rPr>
          <w:sz w:val="18"/>
        </w:rPr>
        <w:t>Panel</w:t>
      </w:r>
      <w:r>
        <w:rPr>
          <w:spacing w:val="-4"/>
          <w:sz w:val="18"/>
        </w:rPr>
        <w:t xml:space="preserve"> </w:t>
      </w:r>
      <w:r>
        <w:rPr>
          <w:sz w:val="18"/>
        </w:rPr>
        <w:t>question</w:t>
      </w:r>
      <w:r>
        <w:rPr>
          <w:spacing w:val="-6"/>
          <w:sz w:val="18"/>
        </w:rPr>
        <w:t xml:space="preserve"> </w:t>
      </w:r>
      <w:r>
        <w:rPr>
          <w:sz w:val="18"/>
        </w:rPr>
        <w:t>No. 42,</w:t>
      </w:r>
      <w:r>
        <w:rPr>
          <w:spacing w:val="-3"/>
          <w:sz w:val="18"/>
        </w:rPr>
        <w:t xml:space="preserve"> </w:t>
      </w:r>
      <w:r>
        <w:rPr>
          <w:sz w:val="18"/>
        </w:rPr>
        <w:t>paras.</w:t>
      </w:r>
      <w:r>
        <w:rPr>
          <w:spacing w:val="1"/>
          <w:sz w:val="18"/>
        </w:rPr>
        <w:t xml:space="preserve"> </w:t>
      </w:r>
      <w:r>
        <w:rPr>
          <w:sz w:val="18"/>
        </w:rPr>
        <w:t>240-</w:t>
      </w:r>
      <w:r>
        <w:rPr>
          <w:spacing w:val="-4"/>
          <w:sz w:val="18"/>
        </w:rPr>
        <w:t>242.</w:t>
      </w:r>
    </w:p>
    <w:p w14:paraId="0D3E54B6" w14:textId="77777777" w:rsidR="00BD462C" w:rsidRDefault="00033D0F">
      <w:pPr>
        <w:spacing w:before="1"/>
        <w:ind w:left="136" w:right="912" w:hanging="1"/>
        <w:jc w:val="both"/>
        <w:rPr>
          <w:sz w:val="18"/>
        </w:rPr>
      </w:pPr>
      <w:bookmarkStart w:id="1136" w:name="_bookmark978"/>
      <w:bookmarkEnd w:id="1136"/>
      <w:r>
        <w:rPr>
          <w:position w:val="5"/>
          <w:sz w:val="12"/>
        </w:rPr>
        <w:t>836</w:t>
      </w:r>
      <w:r>
        <w:rPr>
          <w:spacing w:val="31"/>
          <w:position w:val="5"/>
          <w:sz w:val="12"/>
        </w:rPr>
        <w:t xml:space="preserve"> </w:t>
      </w:r>
      <w:r>
        <w:rPr>
          <w:sz w:val="18"/>
        </w:rPr>
        <w:t>This is consistent with the evidence highlighted by Australia relating to idle capacity and falling demand in 2017-2019, which</w:t>
      </w:r>
      <w:r>
        <w:rPr>
          <w:spacing w:val="-11"/>
          <w:sz w:val="18"/>
        </w:rPr>
        <w:t xml:space="preserve"> </w:t>
      </w:r>
      <w:r>
        <w:rPr>
          <w:sz w:val="18"/>
        </w:rPr>
        <w:t>raised</w:t>
      </w:r>
      <w:r>
        <w:rPr>
          <w:spacing w:val="-10"/>
          <w:sz w:val="18"/>
        </w:rPr>
        <w:t xml:space="preserve"> </w:t>
      </w:r>
      <w:r>
        <w:rPr>
          <w:sz w:val="18"/>
        </w:rPr>
        <w:t>questions</w:t>
      </w:r>
      <w:r>
        <w:rPr>
          <w:spacing w:val="-10"/>
          <w:sz w:val="18"/>
        </w:rPr>
        <w:t xml:space="preserve"> </w:t>
      </w:r>
      <w:r>
        <w:rPr>
          <w:sz w:val="18"/>
        </w:rPr>
        <w:t>regarding</w:t>
      </w:r>
      <w:r>
        <w:rPr>
          <w:spacing w:val="-10"/>
          <w:sz w:val="18"/>
        </w:rPr>
        <w:t xml:space="preserve"> </w:t>
      </w:r>
      <w:r>
        <w:rPr>
          <w:sz w:val="18"/>
        </w:rPr>
        <w:t>the</w:t>
      </w:r>
      <w:r>
        <w:rPr>
          <w:spacing w:val="-10"/>
          <w:sz w:val="18"/>
        </w:rPr>
        <w:t xml:space="preserve"> </w:t>
      </w:r>
      <w:r>
        <w:rPr>
          <w:sz w:val="18"/>
        </w:rPr>
        <w:t>link</w:t>
      </w:r>
      <w:r>
        <w:rPr>
          <w:spacing w:val="-11"/>
          <w:sz w:val="18"/>
        </w:rPr>
        <w:t xml:space="preserve"> </w:t>
      </w:r>
      <w:r>
        <w:rPr>
          <w:sz w:val="18"/>
        </w:rPr>
        <w:t>between</w:t>
      </w:r>
      <w:r>
        <w:rPr>
          <w:spacing w:val="-10"/>
          <w:sz w:val="18"/>
        </w:rPr>
        <w:t xml:space="preserve"> </w:t>
      </w:r>
      <w:r>
        <w:rPr>
          <w:sz w:val="18"/>
        </w:rPr>
        <w:t>subject</w:t>
      </w:r>
      <w:r>
        <w:rPr>
          <w:spacing w:val="-9"/>
          <w:sz w:val="18"/>
        </w:rPr>
        <w:t xml:space="preserve"> </w:t>
      </w:r>
      <w:r>
        <w:rPr>
          <w:sz w:val="18"/>
        </w:rPr>
        <w:t>imports</w:t>
      </w:r>
      <w:r>
        <w:rPr>
          <w:spacing w:val="-10"/>
          <w:sz w:val="18"/>
        </w:rPr>
        <w:t xml:space="preserve"> </w:t>
      </w:r>
      <w:r>
        <w:rPr>
          <w:sz w:val="18"/>
        </w:rPr>
        <w:t>and</w:t>
      </w:r>
      <w:r>
        <w:rPr>
          <w:spacing w:val="-9"/>
          <w:sz w:val="18"/>
        </w:rPr>
        <w:t xml:space="preserve"> </w:t>
      </w:r>
      <w:r>
        <w:rPr>
          <w:sz w:val="18"/>
        </w:rPr>
        <w:t>the</w:t>
      </w:r>
      <w:r>
        <w:rPr>
          <w:spacing w:val="-8"/>
          <w:sz w:val="18"/>
        </w:rPr>
        <w:t xml:space="preserve"> </w:t>
      </w:r>
      <w:r>
        <w:rPr>
          <w:sz w:val="18"/>
        </w:rPr>
        <w:t>suspension</w:t>
      </w:r>
      <w:r>
        <w:rPr>
          <w:spacing w:val="-9"/>
          <w:sz w:val="18"/>
        </w:rPr>
        <w:t xml:space="preserve"> </w:t>
      </w:r>
      <w:r>
        <w:rPr>
          <w:sz w:val="18"/>
        </w:rPr>
        <w:t>of</w:t>
      </w:r>
      <w:r>
        <w:rPr>
          <w:spacing w:val="-11"/>
          <w:sz w:val="18"/>
        </w:rPr>
        <w:t xml:space="preserve"> </w:t>
      </w:r>
      <w:r>
        <w:rPr>
          <w:sz w:val="18"/>
        </w:rPr>
        <w:t>the</w:t>
      </w:r>
      <w:r>
        <w:rPr>
          <w:spacing w:val="-7"/>
          <w:sz w:val="18"/>
        </w:rPr>
        <w:t xml:space="preserve"> </w:t>
      </w:r>
      <w:r>
        <w:rPr>
          <w:sz w:val="18"/>
        </w:rPr>
        <w:t>alleged</w:t>
      </w:r>
      <w:r>
        <w:rPr>
          <w:spacing w:val="-9"/>
          <w:sz w:val="18"/>
        </w:rPr>
        <w:t xml:space="preserve"> </w:t>
      </w:r>
      <w:r>
        <w:rPr>
          <w:sz w:val="18"/>
        </w:rPr>
        <w:t>plan</w:t>
      </w:r>
      <w:r>
        <w:rPr>
          <w:spacing w:val="-9"/>
          <w:sz w:val="18"/>
        </w:rPr>
        <w:t xml:space="preserve"> </w:t>
      </w:r>
      <w:r>
        <w:rPr>
          <w:sz w:val="18"/>
        </w:rPr>
        <w:t>to</w:t>
      </w:r>
      <w:r>
        <w:rPr>
          <w:spacing w:val="-9"/>
          <w:sz w:val="18"/>
        </w:rPr>
        <w:t xml:space="preserve"> </w:t>
      </w:r>
      <w:r>
        <w:rPr>
          <w:sz w:val="18"/>
        </w:rPr>
        <w:t>expand</w:t>
      </w:r>
      <w:r>
        <w:rPr>
          <w:spacing w:val="-9"/>
          <w:sz w:val="18"/>
        </w:rPr>
        <w:t xml:space="preserve"> </w:t>
      </w:r>
      <w:r>
        <w:rPr>
          <w:sz w:val="18"/>
        </w:rPr>
        <w:t>domestic production.</w:t>
      </w:r>
      <w:r>
        <w:rPr>
          <w:spacing w:val="-3"/>
          <w:sz w:val="18"/>
        </w:rPr>
        <w:t xml:space="preserve"> </w:t>
      </w:r>
      <w:r>
        <w:rPr>
          <w:sz w:val="18"/>
        </w:rPr>
        <w:t>See</w:t>
      </w:r>
      <w:r>
        <w:rPr>
          <w:spacing w:val="-4"/>
          <w:sz w:val="18"/>
        </w:rPr>
        <w:t xml:space="preserve"> </w:t>
      </w:r>
      <w:r>
        <w:rPr>
          <w:sz w:val="18"/>
        </w:rPr>
        <w:t>Australia's</w:t>
      </w:r>
      <w:r>
        <w:rPr>
          <w:spacing w:val="-4"/>
          <w:sz w:val="18"/>
        </w:rPr>
        <w:t xml:space="preserve"> </w:t>
      </w:r>
      <w:r>
        <w:rPr>
          <w:sz w:val="18"/>
        </w:rPr>
        <w:t>first</w:t>
      </w:r>
      <w:r>
        <w:rPr>
          <w:spacing w:val="-3"/>
          <w:sz w:val="18"/>
        </w:rPr>
        <w:t xml:space="preserve"> </w:t>
      </w:r>
      <w:r>
        <w:rPr>
          <w:sz w:val="18"/>
        </w:rPr>
        <w:t>written</w:t>
      </w:r>
      <w:r>
        <w:rPr>
          <w:spacing w:val="-5"/>
          <w:sz w:val="18"/>
        </w:rPr>
        <w:t xml:space="preserve"> </w:t>
      </w:r>
      <w:r>
        <w:rPr>
          <w:sz w:val="18"/>
        </w:rPr>
        <w:t>submission,</w:t>
      </w:r>
      <w:r>
        <w:rPr>
          <w:spacing w:val="-2"/>
          <w:sz w:val="18"/>
        </w:rPr>
        <w:t xml:space="preserve"> </w:t>
      </w:r>
      <w:r>
        <w:rPr>
          <w:sz w:val="18"/>
        </w:rPr>
        <w:t>paras.</w:t>
      </w:r>
      <w:r>
        <w:rPr>
          <w:spacing w:val="-3"/>
          <w:sz w:val="18"/>
        </w:rPr>
        <w:t xml:space="preserve"> </w:t>
      </w:r>
      <w:r>
        <w:rPr>
          <w:sz w:val="18"/>
        </w:rPr>
        <w:t>649-650;</w:t>
      </w:r>
      <w:r>
        <w:rPr>
          <w:spacing w:val="-1"/>
          <w:sz w:val="18"/>
        </w:rPr>
        <w:t xml:space="preserve"> </w:t>
      </w:r>
      <w:r>
        <w:rPr>
          <w:sz w:val="18"/>
        </w:rPr>
        <w:t>Australia</w:t>
      </w:r>
      <w:r>
        <w:rPr>
          <w:spacing w:val="-1"/>
          <w:sz w:val="18"/>
        </w:rPr>
        <w:t xml:space="preserve"> </w:t>
      </w:r>
      <w:r>
        <w:rPr>
          <w:sz w:val="18"/>
        </w:rPr>
        <w:t>response</w:t>
      </w:r>
      <w:r>
        <w:rPr>
          <w:spacing w:val="-4"/>
          <w:sz w:val="18"/>
        </w:rPr>
        <w:t xml:space="preserve"> </w:t>
      </w:r>
      <w:r>
        <w:rPr>
          <w:sz w:val="18"/>
        </w:rPr>
        <w:t>to</w:t>
      </w:r>
      <w:r>
        <w:rPr>
          <w:spacing w:val="-5"/>
          <w:sz w:val="18"/>
        </w:rPr>
        <w:t xml:space="preserve"> </w:t>
      </w:r>
      <w:r>
        <w:rPr>
          <w:sz w:val="18"/>
        </w:rPr>
        <w:t>Panel</w:t>
      </w:r>
      <w:r>
        <w:rPr>
          <w:spacing w:val="-3"/>
          <w:sz w:val="18"/>
        </w:rPr>
        <w:t xml:space="preserve"> </w:t>
      </w:r>
      <w:r>
        <w:rPr>
          <w:sz w:val="18"/>
        </w:rPr>
        <w:t>question</w:t>
      </w:r>
      <w:r>
        <w:rPr>
          <w:spacing w:val="-5"/>
          <w:sz w:val="18"/>
        </w:rPr>
        <w:t xml:space="preserve"> </w:t>
      </w:r>
      <w:r>
        <w:rPr>
          <w:sz w:val="18"/>
        </w:rPr>
        <w:t>No.</w:t>
      </w:r>
      <w:r>
        <w:rPr>
          <w:spacing w:val="-3"/>
          <w:sz w:val="18"/>
        </w:rPr>
        <w:t xml:space="preserve"> </w:t>
      </w:r>
      <w:r>
        <w:rPr>
          <w:sz w:val="18"/>
        </w:rPr>
        <w:t>43,</w:t>
      </w:r>
      <w:r>
        <w:rPr>
          <w:spacing w:val="-2"/>
          <w:sz w:val="18"/>
        </w:rPr>
        <w:t xml:space="preserve"> </w:t>
      </w:r>
      <w:r>
        <w:rPr>
          <w:sz w:val="18"/>
        </w:rPr>
        <w:t>paras.</w:t>
      </w:r>
      <w:r>
        <w:rPr>
          <w:spacing w:val="-3"/>
          <w:sz w:val="18"/>
        </w:rPr>
        <w:t xml:space="preserve"> </w:t>
      </w:r>
      <w:r>
        <w:rPr>
          <w:sz w:val="18"/>
        </w:rPr>
        <w:t xml:space="preserve">112- </w:t>
      </w:r>
      <w:r>
        <w:rPr>
          <w:spacing w:val="-4"/>
          <w:sz w:val="18"/>
        </w:rPr>
        <w:t>113.</w:t>
      </w:r>
    </w:p>
    <w:p w14:paraId="2B449366" w14:textId="77777777" w:rsidR="00BD462C" w:rsidRDefault="00BD462C">
      <w:pPr>
        <w:jc w:val="both"/>
        <w:rPr>
          <w:sz w:val="18"/>
        </w:rPr>
        <w:sectPr w:rsidR="00BD462C">
          <w:pgSz w:w="11910" w:h="16840"/>
          <w:pgMar w:top="860" w:right="500" w:bottom="780" w:left="1280" w:header="566" w:footer="590" w:gutter="0"/>
          <w:cols w:space="720"/>
        </w:sectPr>
      </w:pPr>
    </w:p>
    <w:p w14:paraId="00D77C43"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65C6BF66"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14A99A94"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499BDBA2" w14:textId="77777777" w:rsidR="00BD462C" w:rsidRDefault="00033D0F">
      <w:pPr>
        <w:pStyle w:val="BodyText"/>
        <w:spacing w:before="102" w:line="360" w:lineRule="auto"/>
        <w:ind w:left="136" w:right="918"/>
        <w:jc w:val="both"/>
      </w:pPr>
      <w:r>
        <w:t>China's reliance on MOFCOM's price effects analysis under Article</w:t>
      </w:r>
      <w:r>
        <w:rPr>
          <w:spacing w:val="-1"/>
        </w:rPr>
        <w:t xml:space="preserve"> </w:t>
      </w:r>
      <w:r>
        <w:t>3.2 is not a remedy to this failure</w:t>
      </w:r>
      <w:r>
        <w:rPr>
          <w:spacing w:val="-14"/>
        </w:rPr>
        <w:t xml:space="preserve"> </w:t>
      </w:r>
      <w:r>
        <w:t>because,</w:t>
      </w:r>
      <w:r>
        <w:rPr>
          <w:spacing w:val="-10"/>
        </w:rPr>
        <w:t xml:space="preserve"> </w:t>
      </w:r>
      <w:r>
        <w:t>it</w:t>
      </w:r>
      <w:r>
        <w:rPr>
          <w:spacing w:val="-11"/>
        </w:rPr>
        <w:t xml:space="preserve"> </w:t>
      </w:r>
      <w:r>
        <w:t>too</w:t>
      </w:r>
      <w:r>
        <w:rPr>
          <w:spacing w:val="-14"/>
        </w:rPr>
        <w:t xml:space="preserve"> </w:t>
      </w:r>
      <w:r>
        <w:t>failed</w:t>
      </w:r>
      <w:r>
        <w:rPr>
          <w:spacing w:val="-14"/>
        </w:rPr>
        <w:t xml:space="preserve"> </w:t>
      </w:r>
      <w:r>
        <w:t>to</w:t>
      </w:r>
      <w:r>
        <w:rPr>
          <w:spacing w:val="-13"/>
        </w:rPr>
        <w:t xml:space="preserve"> </w:t>
      </w:r>
      <w:r>
        <w:t>establish</w:t>
      </w:r>
      <w:r>
        <w:rPr>
          <w:spacing w:val="-14"/>
        </w:rPr>
        <w:t xml:space="preserve"> </w:t>
      </w:r>
      <w:r>
        <w:t>the</w:t>
      </w:r>
      <w:r>
        <w:rPr>
          <w:spacing w:val="-12"/>
        </w:rPr>
        <w:t xml:space="preserve"> </w:t>
      </w:r>
      <w:r>
        <w:t>link</w:t>
      </w:r>
      <w:r>
        <w:rPr>
          <w:spacing w:val="-11"/>
        </w:rPr>
        <w:t xml:space="preserve"> </w:t>
      </w:r>
      <w:r>
        <w:t>or</w:t>
      </w:r>
      <w:r>
        <w:rPr>
          <w:spacing w:val="-14"/>
        </w:rPr>
        <w:t xml:space="preserve"> </w:t>
      </w:r>
      <w:r>
        <w:t>explanatory</w:t>
      </w:r>
      <w:r>
        <w:rPr>
          <w:spacing w:val="-11"/>
        </w:rPr>
        <w:t xml:space="preserve"> </w:t>
      </w:r>
      <w:r>
        <w:t>force</w:t>
      </w:r>
      <w:r>
        <w:rPr>
          <w:spacing w:val="-7"/>
        </w:rPr>
        <w:t xml:space="preserve"> </w:t>
      </w:r>
      <w:r>
        <w:t>between</w:t>
      </w:r>
      <w:r>
        <w:rPr>
          <w:spacing w:val="-14"/>
        </w:rPr>
        <w:t xml:space="preserve"> </w:t>
      </w:r>
      <w:r>
        <w:t>subject</w:t>
      </w:r>
      <w:r>
        <w:rPr>
          <w:spacing w:val="-11"/>
        </w:rPr>
        <w:t xml:space="preserve"> </w:t>
      </w:r>
      <w:r>
        <w:t xml:space="preserve">imports and the alleged suppression of domestic prices and did not include an evaluation of supply, </w:t>
      </w:r>
      <w:proofErr w:type="gramStart"/>
      <w:r>
        <w:t>demand</w:t>
      </w:r>
      <w:proofErr w:type="gramEnd"/>
      <w:r>
        <w:t xml:space="preserve"> or raw material costs.</w:t>
      </w:r>
    </w:p>
    <w:p w14:paraId="7B45B4B5" w14:textId="77777777" w:rsidR="00BD462C" w:rsidRDefault="00033D0F">
      <w:pPr>
        <w:pStyle w:val="ListParagraph"/>
        <w:numPr>
          <w:ilvl w:val="2"/>
          <w:numId w:val="33"/>
        </w:numPr>
        <w:tabs>
          <w:tab w:val="left" w:pos="4388"/>
          <w:tab w:val="left" w:pos="4389"/>
        </w:tabs>
        <w:spacing w:before="158"/>
        <w:jc w:val="both"/>
        <w:rPr>
          <w:i/>
          <w:sz w:val="24"/>
        </w:rPr>
      </w:pPr>
      <w:bookmarkStart w:id="1137" w:name="v._Production_and_operation_of_the_domes"/>
      <w:bookmarkEnd w:id="1137"/>
      <w:r>
        <w:rPr>
          <w:i/>
          <w:spacing w:val="-2"/>
          <w:sz w:val="24"/>
        </w:rPr>
        <w:t>Production</w:t>
      </w:r>
      <w:r>
        <w:rPr>
          <w:i/>
          <w:sz w:val="24"/>
        </w:rPr>
        <w:t xml:space="preserve"> </w:t>
      </w:r>
      <w:r>
        <w:rPr>
          <w:i/>
          <w:spacing w:val="-2"/>
          <w:sz w:val="24"/>
        </w:rPr>
        <w:t>and</w:t>
      </w:r>
      <w:r>
        <w:rPr>
          <w:i/>
          <w:spacing w:val="1"/>
          <w:sz w:val="24"/>
        </w:rPr>
        <w:t xml:space="preserve"> </w:t>
      </w:r>
      <w:r>
        <w:rPr>
          <w:i/>
          <w:spacing w:val="-2"/>
          <w:sz w:val="24"/>
        </w:rPr>
        <w:t>operation</w:t>
      </w:r>
      <w:r>
        <w:rPr>
          <w:i/>
          <w:spacing w:val="-5"/>
          <w:sz w:val="24"/>
        </w:rPr>
        <w:t xml:space="preserve"> </w:t>
      </w:r>
      <w:r>
        <w:rPr>
          <w:i/>
          <w:spacing w:val="-2"/>
          <w:sz w:val="24"/>
        </w:rPr>
        <w:t>of</w:t>
      </w:r>
      <w:r>
        <w:rPr>
          <w:i/>
          <w:spacing w:val="-3"/>
          <w:sz w:val="24"/>
        </w:rPr>
        <w:t xml:space="preserve"> </w:t>
      </w:r>
      <w:r>
        <w:rPr>
          <w:i/>
          <w:spacing w:val="-2"/>
          <w:sz w:val="24"/>
        </w:rPr>
        <w:t>the</w:t>
      </w:r>
      <w:r>
        <w:rPr>
          <w:i/>
          <w:spacing w:val="-6"/>
          <w:sz w:val="24"/>
        </w:rPr>
        <w:t xml:space="preserve"> </w:t>
      </w:r>
      <w:r>
        <w:rPr>
          <w:i/>
          <w:spacing w:val="-2"/>
          <w:sz w:val="24"/>
        </w:rPr>
        <w:t>domestic</w:t>
      </w:r>
      <w:r>
        <w:rPr>
          <w:i/>
          <w:spacing w:val="-5"/>
          <w:sz w:val="24"/>
        </w:rPr>
        <w:t xml:space="preserve"> </w:t>
      </w:r>
      <w:r>
        <w:rPr>
          <w:i/>
          <w:spacing w:val="-2"/>
          <w:sz w:val="24"/>
        </w:rPr>
        <w:t>industry</w:t>
      </w:r>
    </w:p>
    <w:p w14:paraId="3C32824F" w14:textId="77777777" w:rsidR="00BD462C" w:rsidRDefault="00BD462C">
      <w:pPr>
        <w:pStyle w:val="BodyText"/>
        <w:spacing w:before="11"/>
        <w:rPr>
          <w:i/>
          <w:sz w:val="20"/>
        </w:rPr>
      </w:pPr>
    </w:p>
    <w:p w14:paraId="78BDE298" w14:textId="231E87F3" w:rsidR="00BD462C" w:rsidRDefault="00732032">
      <w:pPr>
        <w:pStyle w:val="BodyText"/>
        <w:spacing w:before="56" w:line="360" w:lineRule="auto"/>
        <w:ind w:left="135" w:right="912"/>
        <w:jc w:val="both"/>
      </w:pPr>
      <w:r>
        <w:rPr>
          <w:noProof/>
        </w:rPr>
        <w:t>554.</w:t>
      </w:r>
      <w:r w:rsidR="00033D0F">
        <w:rPr>
          <w:rFonts w:ascii="Times New Roman"/>
          <w:spacing w:val="80"/>
          <w:w w:val="150"/>
          <w:position w:val="1"/>
          <w:sz w:val="20"/>
        </w:rPr>
        <w:t xml:space="preserve"> </w:t>
      </w:r>
      <w:r w:rsidR="00033D0F">
        <w:rPr>
          <w:position w:val="1"/>
        </w:rPr>
        <w:t>Australia</w:t>
      </w:r>
      <w:r w:rsidR="00033D0F">
        <w:rPr>
          <w:spacing w:val="40"/>
          <w:position w:val="1"/>
        </w:rPr>
        <w:t xml:space="preserve"> </w:t>
      </w:r>
      <w:r w:rsidR="00033D0F">
        <w:rPr>
          <w:position w:val="1"/>
        </w:rPr>
        <w:t>acknowledges</w:t>
      </w:r>
      <w:r w:rsidR="00033D0F">
        <w:rPr>
          <w:spacing w:val="40"/>
          <w:position w:val="1"/>
        </w:rPr>
        <w:t xml:space="preserve"> </w:t>
      </w:r>
      <w:r w:rsidR="00033D0F">
        <w:rPr>
          <w:position w:val="1"/>
        </w:rPr>
        <w:t>there</w:t>
      </w:r>
      <w:r w:rsidR="00033D0F">
        <w:rPr>
          <w:spacing w:val="40"/>
          <w:position w:val="1"/>
        </w:rPr>
        <w:t xml:space="preserve"> </w:t>
      </w:r>
      <w:r w:rsidR="00033D0F">
        <w:rPr>
          <w:position w:val="1"/>
        </w:rPr>
        <w:t>is</w:t>
      </w:r>
      <w:r w:rsidR="00033D0F">
        <w:rPr>
          <w:spacing w:val="40"/>
          <w:position w:val="1"/>
        </w:rPr>
        <w:t xml:space="preserve"> </w:t>
      </w:r>
      <w:r w:rsidR="00033D0F">
        <w:rPr>
          <w:position w:val="1"/>
        </w:rPr>
        <w:t>ambiguity</w:t>
      </w:r>
      <w:r w:rsidR="00033D0F">
        <w:rPr>
          <w:spacing w:val="40"/>
          <w:position w:val="1"/>
        </w:rPr>
        <w:t xml:space="preserve"> </w:t>
      </w:r>
      <w:r w:rsidR="00033D0F">
        <w:rPr>
          <w:position w:val="1"/>
        </w:rPr>
        <w:t>in</w:t>
      </w:r>
      <w:r w:rsidR="00033D0F">
        <w:rPr>
          <w:spacing w:val="40"/>
          <w:position w:val="1"/>
        </w:rPr>
        <w:t xml:space="preserve"> </w:t>
      </w:r>
      <w:r w:rsidR="00033D0F">
        <w:rPr>
          <w:position w:val="1"/>
        </w:rPr>
        <w:t>the</w:t>
      </w:r>
      <w:r w:rsidR="00033D0F">
        <w:rPr>
          <w:spacing w:val="40"/>
          <w:position w:val="1"/>
        </w:rPr>
        <w:t xml:space="preserve"> </w:t>
      </w:r>
      <w:r w:rsidR="00033D0F">
        <w:rPr>
          <w:position w:val="1"/>
        </w:rPr>
        <w:t>meaning</w:t>
      </w:r>
      <w:r w:rsidR="00033D0F">
        <w:rPr>
          <w:spacing w:val="40"/>
          <w:position w:val="1"/>
        </w:rPr>
        <w:t xml:space="preserve"> </w:t>
      </w:r>
      <w:r w:rsidR="00033D0F">
        <w:rPr>
          <w:position w:val="1"/>
        </w:rPr>
        <w:t>of</w:t>
      </w:r>
      <w:r w:rsidR="00033D0F">
        <w:rPr>
          <w:spacing w:val="40"/>
          <w:position w:val="1"/>
        </w:rPr>
        <w:t xml:space="preserve"> </w:t>
      </w:r>
      <w:r w:rsidR="00033D0F">
        <w:rPr>
          <w:position w:val="1"/>
        </w:rPr>
        <w:t>the</w:t>
      </w:r>
      <w:r w:rsidR="00033D0F">
        <w:rPr>
          <w:spacing w:val="40"/>
          <w:position w:val="1"/>
        </w:rPr>
        <w:t xml:space="preserve"> </w:t>
      </w:r>
      <w:r w:rsidR="00033D0F">
        <w:rPr>
          <w:position w:val="1"/>
        </w:rPr>
        <w:t xml:space="preserve">phrase </w:t>
      </w:r>
      <w:r w:rsidR="00033D0F">
        <w:t>"deterioration of the production and operation" of the domestic industry. Australia uses this phrase because it is the one MOFCOM used it in the Final Determination.</w:t>
      </w:r>
      <w:hyperlink w:anchor="_bookmark979" w:history="1">
        <w:r w:rsidR="00033D0F">
          <w:rPr>
            <w:vertAlign w:val="superscript"/>
          </w:rPr>
          <w:t>837</w:t>
        </w:r>
      </w:hyperlink>
      <w:r w:rsidR="00033D0F">
        <w:t xml:space="preserve"> Australia understood this phrase to refer to the production and operating rates of the domestic industry.</w:t>
      </w:r>
      <w:hyperlink w:anchor="_bookmark980" w:history="1">
        <w:r w:rsidR="00033D0F">
          <w:rPr>
            <w:vertAlign w:val="superscript"/>
          </w:rPr>
          <w:t>838</w:t>
        </w:r>
      </w:hyperlink>
      <w:r w:rsidR="00033D0F">
        <w:t xml:space="preserve"> Australia's argument relates to MOFCOM's failure to evaluate the explanatory force that subject imports had for the deterioration observed in relation to these factors.</w:t>
      </w:r>
    </w:p>
    <w:p w14:paraId="27AACF84" w14:textId="77777777" w:rsidR="00BD462C" w:rsidRDefault="00BD462C">
      <w:pPr>
        <w:pStyle w:val="BodyText"/>
        <w:spacing w:before="8"/>
        <w:rPr>
          <w:sz w:val="8"/>
        </w:rPr>
      </w:pPr>
    </w:p>
    <w:p w14:paraId="5EE7BCD0" w14:textId="028EF10E" w:rsidR="00BD462C" w:rsidRDefault="006A7CCF">
      <w:pPr>
        <w:pStyle w:val="BodyText"/>
        <w:spacing w:before="56" w:line="360" w:lineRule="auto"/>
        <w:ind w:left="135" w:right="914"/>
        <w:jc w:val="both"/>
      </w:pPr>
      <w:r>
        <w:rPr>
          <w:noProof/>
        </w:rPr>
        <w:t>555.</w:t>
      </w:r>
      <w:r w:rsidR="00033D0F">
        <w:rPr>
          <w:rFonts w:ascii="Times New Roman"/>
          <w:spacing w:val="80"/>
          <w:position w:val="1"/>
          <w:sz w:val="20"/>
        </w:rPr>
        <w:t xml:space="preserve">  </w:t>
      </w:r>
      <w:r w:rsidR="00033D0F">
        <w:rPr>
          <w:position w:val="1"/>
        </w:rPr>
        <w:t xml:space="preserve">China has now clarified that the phrase "is an integral part of and should be </w:t>
      </w:r>
      <w:r w:rsidR="00033D0F">
        <w:t>considered in the full context of MOFCOM's overall evaluation and explanation of the explanatory force of the dumped imports for the domestic industry's situation".</w:t>
      </w:r>
      <w:hyperlink w:anchor="_bookmark981" w:history="1">
        <w:r w:rsidR="00033D0F">
          <w:rPr>
            <w:vertAlign w:val="superscript"/>
          </w:rPr>
          <w:t>839</w:t>
        </w:r>
      </w:hyperlink>
      <w:r w:rsidR="00033D0F">
        <w:t xml:space="preserve"> Evidence on the record indicated that the "deterioration of the production and operation" of the industry was most profound in relation to products outside the scope of domestic like products. This is evidenced by the significant gap between the yearly total wine production data from the Chinese National Bureau of Statistics</w:t>
      </w:r>
      <w:hyperlink w:anchor="_bookmark982" w:history="1">
        <w:r w:rsidR="00033D0F">
          <w:rPr>
            <w:vertAlign w:val="superscript"/>
          </w:rPr>
          <w:t>840</w:t>
        </w:r>
      </w:hyperlink>
      <w:r w:rsidR="00033D0F">
        <w:t xml:space="preserve"> and MOFCOM's estimate of total production of subject products.</w:t>
      </w:r>
      <w:hyperlink w:anchor="_bookmark983" w:history="1">
        <w:r w:rsidR="00033D0F">
          <w:rPr>
            <w:vertAlign w:val="superscript"/>
          </w:rPr>
          <w:t>841</w:t>
        </w:r>
      </w:hyperlink>
      <w:r w:rsidR="00033D0F">
        <w:t xml:space="preserve"> This evidence shows a significant decline in domestic production of wine products outside the scope of the investigation ("other products") over the course of the Injury POI (from 783,500 </w:t>
      </w:r>
      <w:proofErr w:type="spellStart"/>
      <w:r w:rsidR="00033D0F">
        <w:t>kilolitres</w:t>
      </w:r>
      <w:proofErr w:type="spellEnd"/>
      <w:r w:rsidR="00033D0F">
        <w:t xml:space="preserve"> in 2015 to 163,000 </w:t>
      </w:r>
      <w:proofErr w:type="spellStart"/>
      <w:r w:rsidR="00033D0F">
        <w:t>kilolitres</w:t>
      </w:r>
      <w:proofErr w:type="spellEnd"/>
      <w:r w:rsidR="00033D0F">
        <w:t xml:space="preserve"> in 2019).</w:t>
      </w:r>
      <w:hyperlink w:anchor="_bookmark984" w:history="1">
        <w:r w:rsidR="00033D0F">
          <w:rPr>
            <w:vertAlign w:val="superscript"/>
          </w:rPr>
          <w:t>842</w:t>
        </w:r>
      </w:hyperlink>
      <w:r w:rsidR="00033D0F">
        <w:t xml:space="preserve"> This loss in production volume of 620,500 </w:t>
      </w:r>
      <w:proofErr w:type="spellStart"/>
      <w:r w:rsidR="00033D0F">
        <w:t>kilolitres</w:t>
      </w:r>
      <w:proofErr w:type="spellEnd"/>
      <w:r w:rsidR="00033D0F">
        <w:t xml:space="preserve"> represents a drop of about 79% of production in the "base year" of 2015.</w:t>
      </w:r>
    </w:p>
    <w:p w14:paraId="7B436ACD" w14:textId="77777777" w:rsidR="00BD462C" w:rsidRDefault="00BD462C">
      <w:pPr>
        <w:pStyle w:val="BodyText"/>
        <w:spacing w:before="6"/>
        <w:rPr>
          <w:sz w:val="8"/>
        </w:rPr>
      </w:pPr>
    </w:p>
    <w:p w14:paraId="6465223F" w14:textId="51589654" w:rsidR="00BD462C" w:rsidRDefault="006A7CCF">
      <w:pPr>
        <w:pStyle w:val="BodyText"/>
        <w:spacing w:before="57" w:line="355" w:lineRule="auto"/>
        <w:ind w:left="135" w:right="923"/>
      </w:pPr>
      <w:r>
        <w:rPr>
          <w:noProof/>
        </w:rPr>
        <w:t>556.</w:t>
      </w:r>
      <w:r w:rsidR="00033D0F">
        <w:rPr>
          <w:rFonts w:ascii="Times New Roman"/>
          <w:spacing w:val="80"/>
          <w:position w:val="1"/>
          <w:sz w:val="20"/>
        </w:rPr>
        <w:t xml:space="preserve">   </w:t>
      </w:r>
      <w:r w:rsidR="00033D0F">
        <w:rPr>
          <w:position w:val="1"/>
        </w:rPr>
        <w:t xml:space="preserve">Such a profound collapse in production of other wine products would ordinarily be </w:t>
      </w:r>
      <w:r w:rsidR="00033D0F">
        <w:t>expected</w:t>
      </w:r>
      <w:r w:rsidR="00033D0F">
        <w:rPr>
          <w:spacing w:val="-3"/>
        </w:rPr>
        <w:t xml:space="preserve"> </w:t>
      </w:r>
      <w:r w:rsidR="00033D0F">
        <w:t>to</w:t>
      </w:r>
      <w:r w:rsidR="00033D0F">
        <w:rPr>
          <w:spacing w:val="1"/>
        </w:rPr>
        <w:t xml:space="preserve"> </w:t>
      </w:r>
      <w:r w:rsidR="00033D0F">
        <w:t>have a</w:t>
      </w:r>
      <w:r w:rsidR="00033D0F">
        <w:rPr>
          <w:spacing w:val="-2"/>
        </w:rPr>
        <w:t xml:space="preserve"> </w:t>
      </w:r>
      <w:r w:rsidR="00033D0F">
        <w:t>significant</w:t>
      </w:r>
      <w:r w:rsidR="00033D0F">
        <w:rPr>
          <w:spacing w:val="-1"/>
        </w:rPr>
        <w:t xml:space="preserve"> </w:t>
      </w:r>
      <w:r w:rsidR="00033D0F">
        <w:t>impact on</w:t>
      </w:r>
      <w:r w:rsidR="00033D0F">
        <w:rPr>
          <w:spacing w:val="2"/>
        </w:rPr>
        <w:t xml:space="preserve"> </w:t>
      </w:r>
      <w:r w:rsidR="00033D0F">
        <w:t>the</w:t>
      </w:r>
      <w:r w:rsidR="00033D0F">
        <w:rPr>
          <w:spacing w:val="4"/>
        </w:rPr>
        <w:t xml:space="preserve"> </w:t>
      </w:r>
      <w:r w:rsidR="00033D0F">
        <w:t>domestic</w:t>
      </w:r>
      <w:r w:rsidR="00033D0F">
        <w:rPr>
          <w:spacing w:val="-3"/>
        </w:rPr>
        <w:t xml:space="preserve"> </w:t>
      </w:r>
      <w:r w:rsidR="00033D0F">
        <w:t>industry,</w:t>
      </w:r>
      <w:r w:rsidR="00033D0F">
        <w:rPr>
          <w:spacing w:val="1"/>
        </w:rPr>
        <w:t xml:space="preserve"> </w:t>
      </w:r>
      <w:r w:rsidR="00033D0F">
        <w:t>given</w:t>
      </w:r>
      <w:r w:rsidR="00033D0F">
        <w:rPr>
          <w:spacing w:val="-2"/>
        </w:rPr>
        <w:t xml:space="preserve"> </w:t>
      </w:r>
      <w:r w:rsidR="00033D0F">
        <w:t>the</w:t>
      </w:r>
      <w:r w:rsidR="00033D0F">
        <w:rPr>
          <w:spacing w:val="-2"/>
        </w:rPr>
        <w:t xml:space="preserve"> </w:t>
      </w:r>
      <w:r w:rsidR="00033D0F">
        <w:t>closely</w:t>
      </w:r>
      <w:r w:rsidR="00033D0F">
        <w:rPr>
          <w:spacing w:val="1"/>
        </w:rPr>
        <w:t xml:space="preserve"> </w:t>
      </w:r>
      <w:r w:rsidR="00033D0F">
        <w:rPr>
          <w:spacing w:val="-2"/>
        </w:rPr>
        <w:t>intertwined</w:t>
      </w:r>
    </w:p>
    <w:p w14:paraId="16DFBAC2" w14:textId="77777777" w:rsidR="00BD462C" w:rsidRDefault="00BD462C">
      <w:pPr>
        <w:pStyle w:val="BodyText"/>
        <w:rPr>
          <w:sz w:val="20"/>
        </w:rPr>
      </w:pPr>
    </w:p>
    <w:p w14:paraId="200C5F39" w14:textId="3F6E4040" w:rsidR="00BD462C" w:rsidRDefault="00752F01">
      <w:pPr>
        <w:pStyle w:val="BodyText"/>
        <w:spacing w:before="5"/>
        <w:rPr>
          <w:sz w:val="13"/>
        </w:rPr>
      </w:pPr>
      <w:r>
        <w:rPr>
          <w:noProof/>
        </w:rPr>
        <mc:AlternateContent>
          <mc:Choice Requires="wps">
            <w:drawing>
              <wp:anchor distT="0" distB="0" distL="0" distR="0" simplePos="0" relativeHeight="488256000" behindDoc="1" locked="0" layoutInCell="1" allowOverlap="1" wp14:anchorId="03A3B750" wp14:editId="3ABC264B">
                <wp:simplePos x="0" y="0"/>
                <wp:positionH relativeFrom="page">
                  <wp:posOffset>812800</wp:posOffset>
                </wp:positionH>
                <wp:positionV relativeFrom="paragraph">
                  <wp:posOffset>101600</wp:posOffset>
                </wp:positionV>
                <wp:extent cx="1828800" cy="8890"/>
                <wp:effectExtent l="0" t="0" r="0" b="0"/>
                <wp:wrapTopAndBottom/>
                <wp:docPr id="235" name="docshape6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FCBBB9" id="docshape664" o:spid="_x0000_s1026" alt="&quot;&quot;" style="position:absolute;margin-left:64pt;margin-top:8pt;width:2in;height:.7pt;z-index:-1506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" fillcolor="black" stroked="f">
                <w10:wrap type="topAndBottom" anchorx="page"/>
              </v:rect>
            </w:pict>
          </mc:Fallback>
        </mc:AlternateContent>
      </w:r>
    </w:p>
    <w:p w14:paraId="15ADD0C5" w14:textId="77777777" w:rsidR="00BD462C" w:rsidRDefault="00033D0F">
      <w:pPr>
        <w:spacing w:before="112"/>
        <w:ind w:left="135"/>
        <w:rPr>
          <w:sz w:val="18"/>
        </w:rPr>
      </w:pPr>
      <w:bookmarkStart w:id="1138" w:name="_bookmark979"/>
      <w:bookmarkEnd w:id="1138"/>
      <w:r>
        <w:rPr>
          <w:position w:val="5"/>
          <w:sz w:val="12"/>
        </w:rPr>
        <w:t>837</w:t>
      </w:r>
      <w:r>
        <w:rPr>
          <w:spacing w:val="12"/>
          <w:position w:val="5"/>
          <w:sz w:val="12"/>
        </w:rPr>
        <w:t xml:space="preserve"> </w:t>
      </w:r>
      <w:r>
        <w:rPr>
          <w:sz w:val="18"/>
        </w:rPr>
        <w:t>Anti-Dumping</w:t>
      </w:r>
      <w:r>
        <w:rPr>
          <w:spacing w:val="-6"/>
          <w:sz w:val="18"/>
        </w:rPr>
        <w:t xml:space="preserve"> </w:t>
      </w:r>
      <w:r>
        <w:rPr>
          <w:sz w:val="18"/>
        </w:rPr>
        <w:t>Final</w:t>
      </w:r>
      <w:r>
        <w:rPr>
          <w:spacing w:val="-1"/>
          <w:sz w:val="18"/>
        </w:rPr>
        <w:t xml:space="preserve"> </w:t>
      </w:r>
      <w:r>
        <w:rPr>
          <w:sz w:val="18"/>
        </w:rPr>
        <w:t>Determination</w:t>
      </w:r>
      <w:r>
        <w:rPr>
          <w:spacing w:val="-6"/>
          <w:sz w:val="18"/>
        </w:rPr>
        <w:t xml:space="preserve"> </w:t>
      </w:r>
      <w:r>
        <w:rPr>
          <w:sz w:val="18"/>
        </w:rPr>
        <w:t>(Exhibit</w:t>
      </w:r>
      <w:r>
        <w:rPr>
          <w:spacing w:val="-2"/>
          <w:sz w:val="18"/>
        </w:rPr>
        <w:t xml:space="preserve"> </w:t>
      </w:r>
      <w:r>
        <w:rPr>
          <w:sz w:val="18"/>
        </w:rPr>
        <w:t>AUS-2),</w:t>
      </w:r>
      <w:r>
        <w:rPr>
          <w:spacing w:val="-3"/>
          <w:sz w:val="18"/>
        </w:rPr>
        <w:t xml:space="preserve"> </w:t>
      </w:r>
      <w:r>
        <w:rPr>
          <w:sz w:val="18"/>
        </w:rPr>
        <w:t>p.</w:t>
      </w:r>
      <w:r>
        <w:rPr>
          <w:spacing w:val="-5"/>
          <w:sz w:val="18"/>
        </w:rPr>
        <w:t xml:space="preserve"> </w:t>
      </w:r>
      <w:r>
        <w:rPr>
          <w:sz w:val="18"/>
        </w:rPr>
        <w:t>131, quoted</w:t>
      </w:r>
      <w:r>
        <w:rPr>
          <w:spacing w:val="-6"/>
          <w:sz w:val="18"/>
        </w:rPr>
        <w:t xml:space="preserve"> </w:t>
      </w:r>
      <w:r>
        <w:rPr>
          <w:sz w:val="18"/>
        </w:rPr>
        <w:t>in</w:t>
      </w:r>
      <w:r>
        <w:rPr>
          <w:spacing w:val="-7"/>
          <w:sz w:val="18"/>
        </w:rPr>
        <w:t xml:space="preserve"> </w:t>
      </w:r>
      <w:r>
        <w:rPr>
          <w:sz w:val="18"/>
        </w:rPr>
        <w:t>Australia's</w:t>
      </w:r>
      <w:r>
        <w:rPr>
          <w:spacing w:val="-10"/>
          <w:sz w:val="18"/>
        </w:rPr>
        <w:t xml:space="preserve"> </w:t>
      </w:r>
      <w:r>
        <w:rPr>
          <w:sz w:val="18"/>
        </w:rPr>
        <w:t>first</w:t>
      </w:r>
      <w:r>
        <w:rPr>
          <w:spacing w:val="-1"/>
          <w:sz w:val="18"/>
        </w:rPr>
        <w:t xml:space="preserve"> </w:t>
      </w:r>
      <w:r>
        <w:rPr>
          <w:sz w:val="18"/>
        </w:rPr>
        <w:t>written</w:t>
      </w:r>
      <w:r>
        <w:rPr>
          <w:spacing w:val="-7"/>
          <w:sz w:val="18"/>
        </w:rPr>
        <w:t xml:space="preserve"> </w:t>
      </w:r>
      <w:r>
        <w:rPr>
          <w:sz w:val="18"/>
        </w:rPr>
        <w:t>submission,</w:t>
      </w:r>
      <w:r>
        <w:rPr>
          <w:spacing w:val="-4"/>
          <w:sz w:val="18"/>
        </w:rPr>
        <w:t xml:space="preserve"> </w:t>
      </w:r>
      <w:r>
        <w:rPr>
          <w:sz w:val="18"/>
        </w:rPr>
        <w:t>paras.</w:t>
      </w:r>
      <w:r>
        <w:rPr>
          <w:spacing w:val="-5"/>
          <w:sz w:val="18"/>
        </w:rPr>
        <w:t xml:space="preserve"> </w:t>
      </w:r>
      <w:r>
        <w:rPr>
          <w:sz w:val="18"/>
        </w:rPr>
        <w:t>655-</w:t>
      </w:r>
      <w:r>
        <w:rPr>
          <w:spacing w:val="-4"/>
          <w:sz w:val="18"/>
        </w:rPr>
        <w:t>656.</w:t>
      </w:r>
    </w:p>
    <w:p w14:paraId="482EDED9" w14:textId="77777777" w:rsidR="00BD462C" w:rsidRDefault="00033D0F">
      <w:pPr>
        <w:spacing w:before="1" w:line="218" w:lineRule="exact"/>
        <w:ind w:left="135"/>
        <w:rPr>
          <w:sz w:val="18"/>
        </w:rPr>
      </w:pPr>
      <w:bookmarkStart w:id="1139" w:name="_bookmark980"/>
      <w:bookmarkEnd w:id="1139"/>
      <w:r>
        <w:rPr>
          <w:position w:val="5"/>
          <w:sz w:val="12"/>
        </w:rPr>
        <w:t>838</w:t>
      </w:r>
      <w:r>
        <w:rPr>
          <w:spacing w:val="14"/>
          <w:position w:val="5"/>
          <w:sz w:val="12"/>
        </w:rPr>
        <w:t xml:space="preserve"> </w:t>
      </w:r>
      <w:r>
        <w:rPr>
          <w:sz w:val="18"/>
        </w:rPr>
        <w:t>Australia's response</w:t>
      </w:r>
      <w:r>
        <w:rPr>
          <w:spacing w:val="-4"/>
          <w:sz w:val="18"/>
        </w:rPr>
        <w:t xml:space="preserve"> </w:t>
      </w:r>
      <w:r>
        <w:rPr>
          <w:sz w:val="18"/>
        </w:rPr>
        <w:t>to</w:t>
      </w:r>
      <w:r>
        <w:rPr>
          <w:spacing w:val="-6"/>
          <w:sz w:val="18"/>
        </w:rPr>
        <w:t xml:space="preserve"> </w:t>
      </w:r>
      <w:r>
        <w:rPr>
          <w:sz w:val="18"/>
        </w:rPr>
        <w:t>Panel</w:t>
      </w:r>
      <w:r>
        <w:rPr>
          <w:spacing w:val="-3"/>
          <w:sz w:val="18"/>
        </w:rPr>
        <w:t xml:space="preserve"> </w:t>
      </w:r>
      <w:r>
        <w:rPr>
          <w:sz w:val="18"/>
        </w:rPr>
        <w:t>question</w:t>
      </w:r>
      <w:r>
        <w:rPr>
          <w:spacing w:val="-6"/>
          <w:sz w:val="18"/>
        </w:rPr>
        <w:t xml:space="preserve"> </w:t>
      </w:r>
      <w:r>
        <w:rPr>
          <w:sz w:val="18"/>
        </w:rPr>
        <w:t>No.</w:t>
      </w:r>
      <w:r>
        <w:rPr>
          <w:spacing w:val="-3"/>
          <w:sz w:val="18"/>
        </w:rPr>
        <w:t xml:space="preserve"> </w:t>
      </w:r>
      <w:r>
        <w:rPr>
          <w:sz w:val="18"/>
        </w:rPr>
        <w:t>44,</w:t>
      </w:r>
      <w:r>
        <w:rPr>
          <w:spacing w:val="-3"/>
          <w:sz w:val="18"/>
        </w:rPr>
        <w:t xml:space="preserve"> </w:t>
      </w:r>
      <w:r>
        <w:rPr>
          <w:sz w:val="18"/>
        </w:rPr>
        <w:t>para.</w:t>
      </w:r>
      <w:r>
        <w:rPr>
          <w:spacing w:val="1"/>
          <w:sz w:val="18"/>
        </w:rPr>
        <w:t xml:space="preserve"> </w:t>
      </w:r>
      <w:r>
        <w:rPr>
          <w:spacing w:val="-4"/>
          <w:sz w:val="18"/>
        </w:rPr>
        <w:t>116.</w:t>
      </w:r>
    </w:p>
    <w:p w14:paraId="4927F709" w14:textId="77777777" w:rsidR="00BD462C" w:rsidRDefault="00033D0F">
      <w:pPr>
        <w:spacing w:line="218" w:lineRule="exact"/>
        <w:ind w:left="135"/>
        <w:rPr>
          <w:sz w:val="18"/>
        </w:rPr>
      </w:pPr>
      <w:bookmarkStart w:id="1140" w:name="_bookmark981"/>
      <w:bookmarkEnd w:id="1140"/>
      <w:r>
        <w:rPr>
          <w:position w:val="5"/>
          <w:sz w:val="12"/>
        </w:rPr>
        <w:t>839</w:t>
      </w:r>
      <w:r>
        <w:rPr>
          <w:spacing w:val="14"/>
          <w:position w:val="5"/>
          <w:sz w:val="12"/>
        </w:rPr>
        <w:t xml:space="preserve"> </w:t>
      </w:r>
      <w:r>
        <w:rPr>
          <w:sz w:val="18"/>
        </w:rPr>
        <w:t>China's</w:t>
      </w:r>
      <w:r>
        <w:rPr>
          <w:spacing w:val="1"/>
          <w:sz w:val="18"/>
        </w:rPr>
        <w:t xml:space="preserve"> </w:t>
      </w:r>
      <w:r>
        <w:rPr>
          <w:sz w:val="18"/>
        </w:rPr>
        <w:t>response</w:t>
      </w:r>
      <w:r>
        <w:rPr>
          <w:spacing w:val="-4"/>
          <w:sz w:val="18"/>
        </w:rPr>
        <w:t xml:space="preserve"> </w:t>
      </w:r>
      <w:r>
        <w:rPr>
          <w:sz w:val="18"/>
        </w:rPr>
        <w:t>to</w:t>
      </w:r>
      <w:r>
        <w:rPr>
          <w:spacing w:val="-9"/>
          <w:sz w:val="18"/>
        </w:rPr>
        <w:t xml:space="preserve"> </w:t>
      </w:r>
      <w:r>
        <w:rPr>
          <w:sz w:val="18"/>
        </w:rPr>
        <w:t>Panel</w:t>
      </w:r>
      <w:r>
        <w:rPr>
          <w:spacing w:val="-3"/>
          <w:sz w:val="18"/>
        </w:rPr>
        <w:t xml:space="preserve"> </w:t>
      </w:r>
      <w:r>
        <w:rPr>
          <w:sz w:val="18"/>
        </w:rPr>
        <w:t>question</w:t>
      </w:r>
      <w:r>
        <w:rPr>
          <w:spacing w:val="-5"/>
          <w:sz w:val="18"/>
        </w:rPr>
        <w:t xml:space="preserve"> </w:t>
      </w:r>
      <w:r>
        <w:rPr>
          <w:sz w:val="18"/>
        </w:rPr>
        <w:t>No.</w:t>
      </w:r>
      <w:r>
        <w:rPr>
          <w:spacing w:val="2"/>
          <w:sz w:val="18"/>
        </w:rPr>
        <w:t xml:space="preserve"> </w:t>
      </w:r>
      <w:r>
        <w:rPr>
          <w:sz w:val="18"/>
        </w:rPr>
        <w:t>44,</w:t>
      </w:r>
      <w:r>
        <w:rPr>
          <w:spacing w:val="-2"/>
          <w:sz w:val="18"/>
        </w:rPr>
        <w:t xml:space="preserve"> </w:t>
      </w:r>
      <w:r>
        <w:rPr>
          <w:sz w:val="18"/>
        </w:rPr>
        <w:t>para.</w:t>
      </w:r>
      <w:r>
        <w:rPr>
          <w:spacing w:val="-3"/>
          <w:sz w:val="18"/>
        </w:rPr>
        <w:t xml:space="preserve"> </w:t>
      </w:r>
      <w:r>
        <w:rPr>
          <w:spacing w:val="-4"/>
          <w:sz w:val="18"/>
        </w:rPr>
        <w:t>244.</w:t>
      </w:r>
    </w:p>
    <w:p w14:paraId="1D3CE3B2" w14:textId="77777777" w:rsidR="00BD462C" w:rsidRDefault="00033D0F">
      <w:pPr>
        <w:spacing w:before="1"/>
        <w:ind w:left="135"/>
        <w:rPr>
          <w:sz w:val="18"/>
        </w:rPr>
      </w:pPr>
      <w:bookmarkStart w:id="1141" w:name="_bookmark982"/>
      <w:bookmarkEnd w:id="1141"/>
      <w:r>
        <w:rPr>
          <w:position w:val="5"/>
          <w:sz w:val="12"/>
        </w:rPr>
        <w:t>840</w:t>
      </w:r>
      <w:r>
        <w:rPr>
          <w:spacing w:val="13"/>
          <w:position w:val="5"/>
          <w:sz w:val="12"/>
        </w:rPr>
        <w:t xml:space="preserve"> </w:t>
      </w:r>
      <w:r>
        <w:rPr>
          <w:sz w:val="18"/>
        </w:rPr>
        <w:t>CADA</w:t>
      </w:r>
      <w:r>
        <w:rPr>
          <w:spacing w:val="-6"/>
          <w:sz w:val="18"/>
        </w:rPr>
        <w:t xml:space="preserve"> </w:t>
      </w:r>
      <w:r>
        <w:rPr>
          <w:sz w:val="18"/>
        </w:rPr>
        <w:t>Application</w:t>
      </w:r>
      <w:r>
        <w:rPr>
          <w:spacing w:val="-6"/>
          <w:sz w:val="18"/>
        </w:rPr>
        <w:t xml:space="preserve"> </w:t>
      </w:r>
      <w:r>
        <w:rPr>
          <w:sz w:val="18"/>
        </w:rPr>
        <w:t>for</w:t>
      </w:r>
      <w:r>
        <w:rPr>
          <w:spacing w:val="-7"/>
          <w:sz w:val="18"/>
        </w:rPr>
        <w:t xml:space="preserve"> </w:t>
      </w:r>
      <w:r>
        <w:rPr>
          <w:sz w:val="18"/>
        </w:rPr>
        <w:t>Anti-Dumping</w:t>
      </w:r>
      <w:r>
        <w:rPr>
          <w:spacing w:val="-5"/>
          <w:sz w:val="18"/>
        </w:rPr>
        <w:t xml:space="preserve"> </w:t>
      </w:r>
      <w:r>
        <w:rPr>
          <w:sz w:val="18"/>
        </w:rPr>
        <w:t>Investigation,</w:t>
      </w:r>
      <w:r>
        <w:rPr>
          <w:spacing w:val="1"/>
          <w:sz w:val="18"/>
        </w:rPr>
        <w:t xml:space="preserve"> </w:t>
      </w:r>
      <w:r>
        <w:rPr>
          <w:sz w:val="18"/>
        </w:rPr>
        <w:t>Annexes</w:t>
      </w:r>
      <w:r>
        <w:rPr>
          <w:spacing w:val="-1"/>
          <w:sz w:val="18"/>
        </w:rPr>
        <w:t xml:space="preserve"> </w:t>
      </w:r>
      <w:r>
        <w:rPr>
          <w:sz w:val="18"/>
        </w:rPr>
        <w:t>1-12</w:t>
      </w:r>
      <w:r>
        <w:rPr>
          <w:spacing w:val="-7"/>
          <w:sz w:val="18"/>
        </w:rPr>
        <w:t xml:space="preserve"> </w:t>
      </w:r>
      <w:r>
        <w:rPr>
          <w:sz w:val="18"/>
        </w:rPr>
        <w:t>(Part 1)</w:t>
      </w:r>
      <w:r>
        <w:rPr>
          <w:spacing w:val="-4"/>
          <w:sz w:val="18"/>
        </w:rPr>
        <w:t xml:space="preserve"> </w:t>
      </w:r>
      <w:r>
        <w:rPr>
          <w:sz w:val="18"/>
        </w:rPr>
        <w:t>(Exhibit</w:t>
      </w:r>
      <w:r>
        <w:rPr>
          <w:spacing w:val="-4"/>
          <w:sz w:val="18"/>
        </w:rPr>
        <w:t xml:space="preserve"> </w:t>
      </w:r>
      <w:r>
        <w:rPr>
          <w:sz w:val="18"/>
        </w:rPr>
        <w:t>AUS-90),</w:t>
      </w:r>
      <w:r>
        <w:rPr>
          <w:spacing w:val="-3"/>
          <w:sz w:val="18"/>
        </w:rPr>
        <w:t xml:space="preserve"> </w:t>
      </w:r>
      <w:r>
        <w:rPr>
          <w:sz w:val="18"/>
        </w:rPr>
        <w:t>Annex</w:t>
      </w:r>
      <w:r>
        <w:rPr>
          <w:spacing w:val="-8"/>
          <w:sz w:val="18"/>
        </w:rPr>
        <w:t xml:space="preserve"> </w:t>
      </w:r>
      <w:r>
        <w:rPr>
          <w:sz w:val="18"/>
        </w:rPr>
        <w:t>V,</w:t>
      </w:r>
      <w:r>
        <w:rPr>
          <w:spacing w:val="-4"/>
          <w:sz w:val="18"/>
        </w:rPr>
        <w:t xml:space="preserve"> </w:t>
      </w:r>
      <w:r>
        <w:rPr>
          <w:sz w:val="18"/>
        </w:rPr>
        <w:t>p.</w:t>
      </w:r>
      <w:r>
        <w:rPr>
          <w:spacing w:val="-4"/>
          <w:sz w:val="18"/>
        </w:rPr>
        <w:t xml:space="preserve"> </w:t>
      </w:r>
      <w:r>
        <w:rPr>
          <w:spacing w:val="-5"/>
          <w:sz w:val="18"/>
        </w:rPr>
        <w:t>20.</w:t>
      </w:r>
    </w:p>
    <w:p w14:paraId="43F7EBD2" w14:textId="77777777" w:rsidR="00BD462C" w:rsidRDefault="00033D0F">
      <w:pPr>
        <w:spacing w:before="1"/>
        <w:ind w:left="135"/>
        <w:rPr>
          <w:sz w:val="18"/>
        </w:rPr>
      </w:pPr>
      <w:bookmarkStart w:id="1142" w:name="_bookmark983"/>
      <w:bookmarkEnd w:id="1142"/>
      <w:r>
        <w:rPr>
          <w:position w:val="5"/>
          <w:sz w:val="12"/>
        </w:rPr>
        <w:t>841</w:t>
      </w:r>
      <w:r>
        <w:rPr>
          <w:spacing w:val="12"/>
          <w:position w:val="5"/>
          <w:sz w:val="12"/>
        </w:rPr>
        <w:t xml:space="preserve"> </w:t>
      </w:r>
      <w:r>
        <w:rPr>
          <w:sz w:val="18"/>
        </w:rPr>
        <w:t>Anti-Dumping</w:t>
      </w:r>
      <w:r>
        <w:rPr>
          <w:spacing w:val="-5"/>
          <w:sz w:val="18"/>
        </w:rPr>
        <w:t xml:space="preserve"> </w:t>
      </w:r>
      <w:r>
        <w:rPr>
          <w:sz w:val="18"/>
        </w:rPr>
        <w:t>Final</w:t>
      </w:r>
      <w:r>
        <w:rPr>
          <w:spacing w:val="-2"/>
          <w:sz w:val="18"/>
        </w:rPr>
        <w:t xml:space="preserve"> </w:t>
      </w:r>
      <w:r>
        <w:rPr>
          <w:sz w:val="18"/>
        </w:rPr>
        <w:t>Determinations</w:t>
      </w:r>
      <w:r>
        <w:rPr>
          <w:spacing w:val="-5"/>
          <w:sz w:val="18"/>
        </w:rPr>
        <w:t xml:space="preserve"> </w:t>
      </w:r>
      <w:r>
        <w:rPr>
          <w:sz w:val="18"/>
        </w:rPr>
        <w:t>(Exhibit</w:t>
      </w:r>
      <w:r>
        <w:rPr>
          <w:spacing w:val="-5"/>
          <w:sz w:val="18"/>
        </w:rPr>
        <w:t xml:space="preserve"> </w:t>
      </w:r>
      <w:r>
        <w:rPr>
          <w:sz w:val="18"/>
        </w:rPr>
        <w:t>AUS-2),</w:t>
      </w:r>
      <w:r>
        <w:rPr>
          <w:spacing w:val="-4"/>
          <w:sz w:val="18"/>
        </w:rPr>
        <w:t xml:space="preserve"> </w:t>
      </w:r>
      <w:r>
        <w:rPr>
          <w:sz w:val="18"/>
        </w:rPr>
        <w:t>pp.</w:t>
      </w:r>
      <w:r>
        <w:rPr>
          <w:spacing w:val="-5"/>
          <w:sz w:val="18"/>
        </w:rPr>
        <w:t xml:space="preserve"> </w:t>
      </w:r>
      <w:r>
        <w:rPr>
          <w:spacing w:val="-4"/>
          <w:sz w:val="18"/>
        </w:rPr>
        <w:t>148.</w:t>
      </w:r>
    </w:p>
    <w:p w14:paraId="191EAE0F" w14:textId="77777777" w:rsidR="00BD462C" w:rsidRDefault="00033D0F">
      <w:pPr>
        <w:spacing w:before="1"/>
        <w:ind w:left="135"/>
        <w:rPr>
          <w:sz w:val="18"/>
        </w:rPr>
      </w:pPr>
      <w:bookmarkStart w:id="1143" w:name="_bookmark984"/>
      <w:bookmarkEnd w:id="1143"/>
      <w:r>
        <w:rPr>
          <w:position w:val="5"/>
          <w:sz w:val="12"/>
        </w:rPr>
        <w:t>842</w:t>
      </w:r>
      <w:r>
        <w:rPr>
          <w:spacing w:val="25"/>
          <w:position w:val="5"/>
          <w:sz w:val="12"/>
        </w:rPr>
        <w:t xml:space="preserve"> </w:t>
      </w:r>
      <w:r>
        <w:rPr>
          <w:sz w:val="18"/>
        </w:rPr>
        <w:t>Australia has calculated output (</w:t>
      </w:r>
      <w:proofErr w:type="spellStart"/>
      <w:r>
        <w:rPr>
          <w:sz w:val="18"/>
        </w:rPr>
        <w:t>kilolitre</w:t>
      </w:r>
      <w:proofErr w:type="spellEnd"/>
      <w:r>
        <w:rPr>
          <w:sz w:val="18"/>
        </w:rPr>
        <w:t>) of non-subject domestic products by subtracting "Total national output" (Final Determination, AUS-2, p. 148) from "Output" (CADA Application Annexures, AUS-90, p. 20).</w:t>
      </w:r>
    </w:p>
    <w:p w14:paraId="490835F6" w14:textId="77777777" w:rsidR="00BD462C" w:rsidRDefault="00BD462C">
      <w:pPr>
        <w:rPr>
          <w:sz w:val="18"/>
        </w:rPr>
        <w:sectPr w:rsidR="00BD462C">
          <w:pgSz w:w="11910" w:h="16840"/>
          <w:pgMar w:top="860" w:right="500" w:bottom="780" w:left="1280" w:header="566" w:footer="590" w:gutter="0"/>
          <w:cols w:space="720"/>
        </w:sectPr>
      </w:pPr>
    </w:p>
    <w:p w14:paraId="5B0B0744"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5122A0EE"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3884B383"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55E77564" w14:textId="77777777" w:rsidR="00BD462C" w:rsidRDefault="00033D0F">
      <w:pPr>
        <w:pStyle w:val="BodyText"/>
        <w:spacing w:before="102" w:line="360" w:lineRule="auto"/>
        <w:ind w:left="135" w:right="913"/>
        <w:jc w:val="both"/>
      </w:pPr>
      <w:r>
        <w:t>production processes used for the domestic like products and other products, including by contributing to increases in average unit costs for domestic like products and the associated decline</w:t>
      </w:r>
      <w:r>
        <w:rPr>
          <w:spacing w:val="-14"/>
        </w:rPr>
        <w:t xml:space="preserve"> </w:t>
      </w:r>
      <w:r>
        <w:t>in</w:t>
      </w:r>
      <w:r>
        <w:rPr>
          <w:spacing w:val="-14"/>
        </w:rPr>
        <w:t xml:space="preserve"> </w:t>
      </w:r>
      <w:r>
        <w:t>profitability.</w:t>
      </w:r>
      <w:r>
        <w:rPr>
          <w:spacing w:val="-13"/>
        </w:rPr>
        <w:t xml:space="preserve"> </w:t>
      </w:r>
      <w:r>
        <w:t>This</w:t>
      </w:r>
      <w:r>
        <w:rPr>
          <w:spacing w:val="-14"/>
        </w:rPr>
        <w:t xml:space="preserve"> </w:t>
      </w:r>
      <w:r>
        <w:t>is</w:t>
      </w:r>
      <w:r>
        <w:rPr>
          <w:spacing w:val="-13"/>
        </w:rPr>
        <w:t xml:space="preserve"> </w:t>
      </w:r>
      <w:r>
        <w:t>because</w:t>
      </w:r>
      <w:r>
        <w:rPr>
          <w:spacing w:val="-14"/>
        </w:rPr>
        <w:t xml:space="preserve"> </w:t>
      </w:r>
      <w:r>
        <w:t>where</w:t>
      </w:r>
      <w:r>
        <w:rPr>
          <w:spacing w:val="-13"/>
        </w:rPr>
        <w:t xml:space="preserve"> </w:t>
      </w:r>
      <w:r>
        <w:t>there</w:t>
      </w:r>
      <w:r>
        <w:rPr>
          <w:spacing w:val="-14"/>
        </w:rPr>
        <w:t xml:space="preserve"> </w:t>
      </w:r>
      <w:r>
        <w:t>is</w:t>
      </w:r>
      <w:r>
        <w:rPr>
          <w:spacing w:val="-13"/>
        </w:rPr>
        <w:t xml:space="preserve"> </w:t>
      </w:r>
      <w:r>
        <w:t>a</w:t>
      </w:r>
      <w:r>
        <w:rPr>
          <w:spacing w:val="-12"/>
        </w:rPr>
        <w:t xml:space="preserve"> </w:t>
      </w:r>
      <w:r>
        <w:t>fall</w:t>
      </w:r>
      <w:r>
        <w:rPr>
          <w:spacing w:val="-14"/>
        </w:rPr>
        <w:t xml:space="preserve"> </w:t>
      </w:r>
      <w:r>
        <w:t>in</w:t>
      </w:r>
      <w:r>
        <w:rPr>
          <w:spacing w:val="-14"/>
        </w:rPr>
        <w:t xml:space="preserve"> </w:t>
      </w:r>
      <w:r>
        <w:t>the</w:t>
      </w:r>
      <w:r>
        <w:rPr>
          <w:spacing w:val="-12"/>
        </w:rPr>
        <w:t xml:space="preserve"> </w:t>
      </w:r>
      <w:r>
        <w:t>production</w:t>
      </w:r>
      <w:r>
        <w:rPr>
          <w:spacing w:val="-14"/>
        </w:rPr>
        <w:t xml:space="preserve"> </w:t>
      </w:r>
      <w:r>
        <w:t>of</w:t>
      </w:r>
      <w:r>
        <w:rPr>
          <w:spacing w:val="-10"/>
        </w:rPr>
        <w:t xml:space="preserve"> </w:t>
      </w:r>
      <w:r>
        <w:t>other</w:t>
      </w:r>
      <w:r>
        <w:rPr>
          <w:spacing w:val="-14"/>
        </w:rPr>
        <w:t xml:space="preserve"> </w:t>
      </w:r>
      <w:r>
        <w:t>products, there would be fewer units of overall production (i.e., domestic like products and other products),</w:t>
      </w:r>
      <w:r>
        <w:rPr>
          <w:spacing w:val="-4"/>
        </w:rPr>
        <w:t xml:space="preserve"> </w:t>
      </w:r>
      <w:r>
        <w:t>to</w:t>
      </w:r>
      <w:r>
        <w:rPr>
          <w:spacing w:val="-8"/>
        </w:rPr>
        <w:t xml:space="preserve"> </w:t>
      </w:r>
      <w:r>
        <w:t>account</w:t>
      </w:r>
      <w:r>
        <w:rPr>
          <w:spacing w:val="-6"/>
        </w:rPr>
        <w:t xml:space="preserve"> </w:t>
      </w:r>
      <w:r>
        <w:t>for</w:t>
      </w:r>
      <w:r>
        <w:rPr>
          <w:spacing w:val="-9"/>
        </w:rPr>
        <w:t xml:space="preserve"> </w:t>
      </w:r>
      <w:r>
        <w:t>shared</w:t>
      </w:r>
      <w:r>
        <w:rPr>
          <w:spacing w:val="-8"/>
        </w:rPr>
        <w:t xml:space="preserve"> </w:t>
      </w:r>
      <w:r>
        <w:t>fixed</w:t>
      </w:r>
      <w:r>
        <w:rPr>
          <w:spacing w:val="-8"/>
        </w:rPr>
        <w:t xml:space="preserve"> </w:t>
      </w:r>
      <w:r>
        <w:t>and</w:t>
      </w:r>
      <w:r>
        <w:rPr>
          <w:spacing w:val="-3"/>
        </w:rPr>
        <w:t xml:space="preserve"> </w:t>
      </w:r>
      <w:r>
        <w:t>overhead</w:t>
      </w:r>
      <w:r>
        <w:rPr>
          <w:spacing w:val="-8"/>
        </w:rPr>
        <w:t xml:space="preserve"> </w:t>
      </w:r>
      <w:r>
        <w:t>costs.</w:t>
      </w:r>
      <w:r>
        <w:rPr>
          <w:spacing w:val="-5"/>
        </w:rPr>
        <w:t xml:space="preserve"> </w:t>
      </w:r>
      <w:r>
        <w:t>MOFCOM</w:t>
      </w:r>
      <w:r>
        <w:rPr>
          <w:spacing w:val="-6"/>
        </w:rPr>
        <w:t xml:space="preserve"> </w:t>
      </w:r>
      <w:r>
        <w:t>was</w:t>
      </w:r>
      <w:r>
        <w:rPr>
          <w:spacing w:val="-5"/>
        </w:rPr>
        <w:t xml:space="preserve"> </w:t>
      </w:r>
      <w:r>
        <w:t>clearly</w:t>
      </w:r>
      <w:r>
        <w:rPr>
          <w:spacing w:val="-5"/>
        </w:rPr>
        <w:t xml:space="preserve"> </w:t>
      </w:r>
      <w:r>
        <w:t>aware</w:t>
      </w:r>
      <w:r>
        <w:rPr>
          <w:spacing w:val="-6"/>
        </w:rPr>
        <w:t xml:space="preserve"> </w:t>
      </w:r>
      <w:r>
        <w:t>of</w:t>
      </w:r>
      <w:r>
        <w:rPr>
          <w:spacing w:val="-8"/>
        </w:rPr>
        <w:t xml:space="preserve"> </w:t>
      </w:r>
      <w:r>
        <w:t>the significant difference in domestic like products and other products. The record shows that MOFCOM examined the National Bureau of Statistics data, concluded that it included products outside the scope of the investigation, and then proceeded to estimate the total production of domestic like products in order to arrive at significantly lower figures.</w:t>
      </w:r>
      <w:hyperlink w:anchor="_bookmark988" w:history="1">
        <w:r>
          <w:rPr>
            <w:vertAlign w:val="superscript"/>
          </w:rPr>
          <w:t>843</w:t>
        </w:r>
      </w:hyperlink>
      <w:r>
        <w:t xml:space="preserve"> MOFCOM also anticipated that there was overlap in equipment and </w:t>
      </w:r>
      <w:proofErr w:type="spellStart"/>
      <w:r>
        <w:t>labour</w:t>
      </w:r>
      <w:proofErr w:type="spellEnd"/>
      <w:r>
        <w:t xml:space="preserve"> used by the domestic</w:t>
      </w:r>
      <w:r>
        <w:rPr>
          <w:spacing w:val="-9"/>
        </w:rPr>
        <w:t xml:space="preserve"> </w:t>
      </w:r>
      <w:r>
        <w:t>industry</w:t>
      </w:r>
      <w:r>
        <w:rPr>
          <w:spacing w:val="-7"/>
        </w:rPr>
        <w:t xml:space="preserve"> </w:t>
      </w:r>
      <w:r>
        <w:t>to</w:t>
      </w:r>
      <w:r>
        <w:rPr>
          <w:spacing w:val="-11"/>
        </w:rPr>
        <w:t xml:space="preserve"> </w:t>
      </w:r>
      <w:r>
        <w:t>produce</w:t>
      </w:r>
      <w:r>
        <w:rPr>
          <w:spacing w:val="-8"/>
        </w:rPr>
        <w:t xml:space="preserve"> </w:t>
      </w:r>
      <w:r>
        <w:t>subject</w:t>
      </w:r>
      <w:r>
        <w:rPr>
          <w:spacing w:val="-8"/>
        </w:rPr>
        <w:t xml:space="preserve"> </w:t>
      </w:r>
      <w:r>
        <w:t>and</w:t>
      </w:r>
      <w:r>
        <w:rPr>
          <w:spacing w:val="-10"/>
        </w:rPr>
        <w:t xml:space="preserve"> </w:t>
      </w:r>
      <w:r>
        <w:t>non-subject</w:t>
      </w:r>
      <w:r>
        <w:rPr>
          <w:spacing w:val="-8"/>
        </w:rPr>
        <w:t xml:space="preserve"> </w:t>
      </w:r>
      <w:r>
        <w:t>products.</w:t>
      </w:r>
      <w:hyperlink w:anchor="_bookmark989" w:history="1">
        <w:r>
          <w:rPr>
            <w:vertAlign w:val="superscript"/>
          </w:rPr>
          <w:t>844</w:t>
        </w:r>
      </w:hyperlink>
      <w:r>
        <w:rPr>
          <w:spacing w:val="-7"/>
        </w:rPr>
        <w:t xml:space="preserve"> </w:t>
      </w:r>
      <w:r>
        <w:t>Yet</w:t>
      </w:r>
      <w:r>
        <w:rPr>
          <w:spacing w:val="-8"/>
        </w:rPr>
        <w:t xml:space="preserve"> </w:t>
      </w:r>
      <w:r>
        <w:t>there</w:t>
      </w:r>
      <w:r>
        <w:rPr>
          <w:spacing w:val="-8"/>
        </w:rPr>
        <w:t xml:space="preserve"> </w:t>
      </w:r>
      <w:r>
        <w:t>is</w:t>
      </w:r>
      <w:r>
        <w:rPr>
          <w:spacing w:val="-7"/>
        </w:rPr>
        <w:t xml:space="preserve"> </w:t>
      </w:r>
      <w:r>
        <w:t>nothing</w:t>
      </w:r>
      <w:r>
        <w:rPr>
          <w:spacing w:val="-7"/>
        </w:rPr>
        <w:t xml:space="preserve"> </w:t>
      </w:r>
      <w:r>
        <w:t>on</w:t>
      </w:r>
      <w:r>
        <w:rPr>
          <w:spacing w:val="-10"/>
        </w:rPr>
        <w:t xml:space="preserve"> </w:t>
      </w:r>
      <w:r>
        <w:t>the record to suggest that MOFCOM considered the impact that the significant decline in the production volumes of other products had on the domestic industry, before concluding that subject imports had explanatory force for the "domestic industry's situation".</w:t>
      </w:r>
      <w:hyperlink w:anchor="_bookmark990" w:history="1">
        <w:r>
          <w:rPr>
            <w:vertAlign w:val="superscript"/>
          </w:rPr>
          <w:t>845</w:t>
        </w:r>
      </w:hyperlink>
    </w:p>
    <w:p w14:paraId="2B8F5E23" w14:textId="77777777" w:rsidR="00BD462C" w:rsidRDefault="00033D0F">
      <w:pPr>
        <w:pStyle w:val="Heading3"/>
        <w:numPr>
          <w:ilvl w:val="0"/>
          <w:numId w:val="33"/>
        </w:numPr>
        <w:tabs>
          <w:tab w:val="left" w:pos="2689"/>
          <w:tab w:val="left" w:pos="2690"/>
        </w:tabs>
        <w:spacing w:before="160"/>
        <w:ind w:hanging="851"/>
      </w:pPr>
      <w:bookmarkStart w:id="1144" w:name="_bookmark985"/>
      <w:bookmarkEnd w:id="1144"/>
      <w:r>
        <w:rPr>
          <w:spacing w:val="-2"/>
        </w:rPr>
        <w:t>Conclusion</w:t>
      </w:r>
    </w:p>
    <w:p w14:paraId="361B3244" w14:textId="77777777" w:rsidR="00BD462C" w:rsidRDefault="00BD462C">
      <w:pPr>
        <w:pStyle w:val="BodyText"/>
        <w:spacing w:before="11"/>
        <w:rPr>
          <w:b/>
          <w:sz w:val="20"/>
        </w:rPr>
      </w:pPr>
    </w:p>
    <w:p w14:paraId="4C643477" w14:textId="6D5B2409" w:rsidR="00BD462C" w:rsidRDefault="006A7CCF">
      <w:pPr>
        <w:pStyle w:val="BodyText"/>
        <w:spacing w:before="56" w:line="357" w:lineRule="auto"/>
        <w:ind w:left="135" w:right="918"/>
        <w:jc w:val="both"/>
      </w:pPr>
      <w:r>
        <w:rPr>
          <w:noProof/>
        </w:rPr>
        <w:t>557.</w:t>
      </w:r>
      <w:r w:rsidR="00033D0F">
        <w:rPr>
          <w:rFonts w:ascii="Times New Roman"/>
          <w:spacing w:val="80"/>
          <w:w w:val="150"/>
          <w:position w:val="1"/>
          <w:sz w:val="20"/>
        </w:rPr>
        <w:t xml:space="preserve">  </w:t>
      </w:r>
      <w:r w:rsidR="00033D0F">
        <w:rPr>
          <w:position w:val="1"/>
        </w:rPr>
        <w:t xml:space="preserve">China has failed to rebut Australia's </w:t>
      </w:r>
      <w:r w:rsidR="00033D0F">
        <w:rPr>
          <w:i/>
          <w:position w:val="1"/>
        </w:rPr>
        <w:t xml:space="preserve">prima facie </w:t>
      </w:r>
      <w:r w:rsidR="00033D0F">
        <w:rPr>
          <w:position w:val="1"/>
        </w:rPr>
        <w:t xml:space="preserve">case. For the reasons set out above </w:t>
      </w:r>
      <w:r w:rsidR="00033D0F">
        <w:t>and</w:t>
      </w:r>
      <w:r w:rsidR="00033D0F">
        <w:rPr>
          <w:spacing w:val="-6"/>
        </w:rPr>
        <w:t xml:space="preserve"> </w:t>
      </w:r>
      <w:r w:rsidR="00033D0F">
        <w:t>in</w:t>
      </w:r>
      <w:r w:rsidR="00033D0F">
        <w:rPr>
          <w:spacing w:val="-6"/>
        </w:rPr>
        <w:t xml:space="preserve"> </w:t>
      </w:r>
      <w:r w:rsidR="00033D0F">
        <w:t>Australia's</w:t>
      </w:r>
      <w:r w:rsidR="00033D0F">
        <w:rPr>
          <w:spacing w:val="-3"/>
        </w:rPr>
        <w:t xml:space="preserve"> </w:t>
      </w:r>
      <w:r w:rsidR="00033D0F">
        <w:t>first</w:t>
      </w:r>
      <w:r w:rsidR="00033D0F">
        <w:rPr>
          <w:spacing w:val="-4"/>
        </w:rPr>
        <w:t xml:space="preserve"> </w:t>
      </w:r>
      <w:r w:rsidR="00033D0F">
        <w:t>written</w:t>
      </w:r>
      <w:r w:rsidR="00033D0F">
        <w:rPr>
          <w:spacing w:val="-6"/>
        </w:rPr>
        <w:t xml:space="preserve"> </w:t>
      </w:r>
      <w:r w:rsidR="00033D0F">
        <w:t>submission,</w:t>
      </w:r>
      <w:r w:rsidR="00033D0F">
        <w:rPr>
          <w:spacing w:val="-3"/>
        </w:rPr>
        <w:t xml:space="preserve"> </w:t>
      </w:r>
      <w:r w:rsidR="00033D0F">
        <w:t>China</w:t>
      </w:r>
      <w:r w:rsidR="00033D0F">
        <w:rPr>
          <w:spacing w:val="-5"/>
        </w:rPr>
        <w:t xml:space="preserve"> </w:t>
      </w:r>
      <w:r w:rsidR="00033D0F">
        <w:t>acted</w:t>
      </w:r>
      <w:r w:rsidR="00033D0F">
        <w:rPr>
          <w:spacing w:val="-6"/>
        </w:rPr>
        <w:t xml:space="preserve"> </w:t>
      </w:r>
      <w:r w:rsidR="00033D0F">
        <w:t>inconsistently</w:t>
      </w:r>
      <w:r w:rsidR="00033D0F">
        <w:rPr>
          <w:spacing w:val="-3"/>
        </w:rPr>
        <w:t xml:space="preserve"> </w:t>
      </w:r>
      <w:r w:rsidR="00033D0F">
        <w:t>with</w:t>
      </w:r>
      <w:r w:rsidR="00033D0F">
        <w:rPr>
          <w:spacing w:val="-6"/>
        </w:rPr>
        <w:t xml:space="preserve"> </w:t>
      </w:r>
      <w:r w:rsidR="00033D0F">
        <w:t>Articles</w:t>
      </w:r>
      <w:r w:rsidR="00033D0F">
        <w:rPr>
          <w:spacing w:val="-3"/>
        </w:rPr>
        <w:t xml:space="preserve"> </w:t>
      </w:r>
      <w:r w:rsidR="00033D0F">
        <w:t>3.1</w:t>
      </w:r>
      <w:r w:rsidR="00033D0F">
        <w:rPr>
          <w:spacing w:val="-7"/>
        </w:rPr>
        <w:t xml:space="preserve"> </w:t>
      </w:r>
      <w:r w:rsidR="00033D0F">
        <w:t>and</w:t>
      </w:r>
      <w:r w:rsidR="00033D0F">
        <w:rPr>
          <w:spacing w:val="-6"/>
        </w:rPr>
        <w:t xml:space="preserve"> </w:t>
      </w:r>
      <w:r w:rsidR="00033D0F">
        <w:t>3.4 of the Anti-Dumping Agreement.</w:t>
      </w:r>
    </w:p>
    <w:p w14:paraId="3B3DAA4C" w14:textId="77777777" w:rsidR="00BD462C" w:rsidRDefault="00033D0F" w:rsidP="00DA02D9">
      <w:pPr>
        <w:pStyle w:val="ListParagraph"/>
        <w:numPr>
          <w:ilvl w:val="1"/>
          <w:numId w:val="72"/>
        </w:numPr>
        <w:tabs>
          <w:tab w:val="left" w:pos="1839"/>
          <w:tab w:val="left" w:pos="1840"/>
        </w:tabs>
        <w:spacing w:before="165" w:line="357" w:lineRule="auto"/>
        <w:ind w:right="919"/>
        <w:rPr>
          <w:b/>
        </w:rPr>
      </w:pPr>
      <w:bookmarkStart w:id="1145" w:name="D._China_acted_inconsistently_with_Artic"/>
      <w:bookmarkStart w:id="1146" w:name="_bookmark986"/>
      <w:bookmarkEnd w:id="1145"/>
      <w:bookmarkEnd w:id="1146"/>
      <w:r>
        <w:rPr>
          <w:b/>
          <w:sz w:val="28"/>
        </w:rPr>
        <w:t>C</w:t>
      </w:r>
      <w:r>
        <w:rPr>
          <w:b/>
        </w:rPr>
        <w:t>HINA</w:t>
      </w:r>
      <w:r>
        <w:rPr>
          <w:b/>
          <w:spacing w:val="34"/>
        </w:rPr>
        <w:t xml:space="preserve"> </w:t>
      </w:r>
      <w:r>
        <w:rPr>
          <w:b/>
        </w:rPr>
        <w:t>ACTED</w:t>
      </w:r>
      <w:r>
        <w:rPr>
          <w:b/>
          <w:spacing w:val="33"/>
        </w:rPr>
        <w:t xml:space="preserve"> </w:t>
      </w:r>
      <w:r>
        <w:rPr>
          <w:b/>
        </w:rPr>
        <w:t>INCONSISTENTLY</w:t>
      </w:r>
      <w:r>
        <w:rPr>
          <w:b/>
          <w:spacing w:val="34"/>
        </w:rPr>
        <w:t xml:space="preserve"> </w:t>
      </w:r>
      <w:r>
        <w:rPr>
          <w:b/>
        </w:rPr>
        <w:t>WITH</w:t>
      </w:r>
      <w:r>
        <w:rPr>
          <w:b/>
          <w:spacing w:val="33"/>
        </w:rPr>
        <w:t xml:space="preserve"> </w:t>
      </w:r>
      <w:r>
        <w:rPr>
          <w:b/>
          <w:sz w:val="28"/>
        </w:rPr>
        <w:t>A</w:t>
      </w:r>
      <w:r>
        <w:rPr>
          <w:b/>
        </w:rPr>
        <w:t>RTICLES</w:t>
      </w:r>
      <w:r>
        <w:rPr>
          <w:b/>
          <w:spacing w:val="35"/>
        </w:rPr>
        <w:t xml:space="preserve"> </w:t>
      </w:r>
      <w:r>
        <w:rPr>
          <w:b/>
          <w:sz w:val="28"/>
        </w:rPr>
        <w:t xml:space="preserve">3.1 </w:t>
      </w:r>
      <w:r>
        <w:rPr>
          <w:b/>
        </w:rPr>
        <w:t>AND</w:t>
      </w:r>
      <w:r>
        <w:rPr>
          <w:b/>
          <w:spacing w:val="38"/>
        </w:rPr>
        <w:t xml:space="preserve"> </w:t>
      </w:r>
      <w:r>
        <w:rPr>
          <w:b/>
          <w:sz w:val="28"/>
        </w:rPr>
        <w:t xml:space="preserve">3.5 </w:t>
      </w:r>
      <w:r>
        <w:rPr>
          <w:b/>
        </w:rPr>
        <w:t>OF</w:t>
      </w:r>
      <w:r>
        <w:rPr>
          <w:b/>
          <w:spacing w:val="33"/>
        </w:rPr>
        <w:t xml:space="preserve"> </w:t>
      </w:r>
      <w:r>
        <w:rPr>
          <w:b/>
        </w:rPr>
        <w:t>THE</w:t>
      </w:r>
      <w:r>
        <w:rPr>
          <w:b/>
          <w:spacing w:val="36"/>
        </w:rPr>
        <w:t xml:space="preserve"> </w:t>
      </w:r>
      <w:r>
        <w:rPr>
          <w:b/>
          <w:sz w:val="28"/>
        </w:rPr>
        <w:t>A</w:t>
      </w:r>
      <w:r>
        <w:rPr>
          <w:b/>
        </w:rPr>
        <w:t>NTI</w:t>
      </w:r>
      <w:r>
        <w:rPr>
          <w:b/>
          <w:sz w:val="28"/>
        </w:rPr>
        <w:t>- D</w:t>
      </w:r>
      <w:r>
        <w:rPr>
          <w:b/>
        </w:rPr>
        <w:t xml:space="preserve">UMPING </w:t>
      </w:r>
      <w:r>
        <w:rPr>
          <w:b/>
          <w:sz w:val="28"/>
        </w:rPr>
        <w:t>A</w:t>
      </w:r>
      <w:r>
        <w:rPr>
          <w:b/>
        </w:rPr>
        <w:t>GREEMENT</w:t>
      </w:r>
    </w:p>
    <w:p w14:paraId="47BB031F" w14:textId="77777777" w:rsidR="00BD462C" w:rsidRDefault="00033D0F">
      <w:pPr>
        <w:pStyle w:val="Heading3"/>
        <w:numPr>
          <w:ilvl w:val="0"/>
          <w:numId w:val="32"/>
        </w:numPr>
        <w:tabs>
          <w:tab w:val="left" w:pos="2689"/>
          <w:tab w:val="left" w:pos="2690"/>
        </w:tabs>
        <w:spacing w:before="162"/>
      </w:pPr>
      <w:bookmarkStart w:id="1147" w:name="_bookmark987"/>
      <w:bookmarkEnd w:id="1147"/>
      <w:r>
        <w:rPr>
          <w:spacing w:val="-2"/>
        </w:rPr>
        <w:t>Introduction</w:t>
      </w:r>
    </w:p>
    <w:p w14:paraId="6C738A1C" w14:textId="77777777" w:rsidR="00BD462C" w:rsidRDefault="00BD462C">
      <w:pPr>
        <w:pStyle w:val="BodyText"/>
        <w:spacing w:before="11"/>
        <w:rPr>
          <w:b/>
          <w:sz w:val="20"/>
        </w:rPr>
      </w:pPr>
    </w:p>
    <w:p w14:paraId="278649D0" w14:textId="1E0B7A22" w:rsidR="00BD462C" w:rsidRDefault="000F5FA7">
      <w:pPr>
        <w:pStyle w:val="BodyText"/>
        <w:spacing w:before="56" w:line="357" w:lineRule="auto"/>
        <w:ind w:left="136" w:right="923"/>
      </w:pPr>
      <w:r>
        <w:rPr>
          <w:noProof/>
        </w:rPr>
        <w:t>558.</w:t>
      </w:r>
      <w:r w:rsidR="00033D0F">
        <w:rPr>
          <w:rFonts w:ascii="Times New Roman"/>
          <w:spacing w:val="80"/>
          <w:position w:val="1"/>
          <w:sz w:val="20"/>
        </w:rPr>
        <w:t xml:space="preserve">   </w:t>
      </w:r>
      <w:r w:rsidR="00033D0F">
        <w:rPr>
          <w:position w:val="1"/>
        </w:rPr>
        <w:t>MOFCOM</w:t>
      </w:r>
      <w:r w:rsidR="00033D0F">
        <w:rPr>
          <w:spacing w:val="-11"/>
          <w:position w:val="1"/>
        </w:rPr>
        <w:t xml:space="preserve"> </w:t>
      </w:r>
      <w:r w:rsidR="00033D0F">
        <w:rPr>
          <w:position w:val="1"/>
        </w:rPr>
        <w:t>considered</w:t>
      </w:r>
      <w:r w:rsidR="00033D0F">
        <w:rPr>
          <w:spacing w:val="-14"/>
          <w:position w:val="1"/>
        </w:rPr>
        <w:t xml:space="preserve"> </w:t>
      </w:r>
      <w:r w:rsidR="00033D0F">
        <w:rPr>
          <w:position w:val="1"/>
        </w:rPr>
        <w:t>that</w:t>
      </w:r>
      <w:r w:rsidR="00033D0F">
        <w:rPr>
          <w:spacing w:val="-11"/>
          <w:position w:val="1"/>
        </w:rPr>
        <w:t xml:space="preserve"> </w:t>
      </w:r>
      <w:r w:rsidR="00033D0F">
        <w:rPr>
          <w:position w:val="1"/>
        </w:rPr>
        <w:t>subject</w:t>
      </w:r>
      <w:r w:rsidR="00033D0F">
        <w:rPr>
          <w:spacing w:val="-11"/>
          <w:position w:val="1"/>
        </w:rPr>
        <w:t xml:space="preserve"> </w:t>
      </w:r>
      <w:r w:rsidR="00033D0F">
        <w:rPr>
          <w:position w:val="1"/>
        </w:rPr>
        <w:t>imports</w:t>
      </w:r>
      <w:r w:rsidR="00033D0F">
        <w:rPr>
          <w:spacing w:val="-10"/>
          <w:position w:val="1"/>
        </w:rPr>
        <w:t xml:space="preserve"> </w:t>
      </w:r>
      <w:r w:rsidR="00033D0F">
        <w:rPr>
          <w:position w:val="1"/>
        </w:rPr>
        <w:t>had</w:t>
      </w:r>
      <w:r w:rsidR="00033D0F">
        <w:rPr>
          <w:spacing w:val="-14"/>
          <w:position w:val="1"/>
        </w:rPr>
        <w:t xml:space="preserve"> </w:t>
      </w:r>
      <w:r w:rsidR="00033D0F">
        <w:rPr>
          <w:position w:val="1"/>
        </w:rPr>
        <w:t>suppressed</w:t>
      </w:r>
      <w:r w:rsidR="00033D0F">
        <w:rPr>
          <w:spacing w:val="-14"/>
          <w:position w:val="1"/>
        </w:rPr>
        <w:t xml:space="preserve"> </w:t>
      </w:r>
      <w:r w:rsidR="00033D0F">
        <w:rPr>
          <w:position w:val="1"/>
        </w:rPr>
        <w:t>the</w:t>
      </w:r>
      <w:r w:rsidR="00033D0F">
        <w:rPr>
          <w:spacing w:val="-11"/>
          <w:position w:val="1"/>
        </w:rPr>
        <w:t xml:space="preserve"> </w:t>
      </w:r>
      <w:r w:rsidR="00033D0F">
        <w:rPr>
          <w:position w:val="1"/>
        </w:rPr>
        <w:t>prices</w:t>
      </w:r>
      <w:r w:rsidR="00033D0F">
        <w:rPr>
          <w:spacing w:val="-10"/>
          <w:position w:val="1"/>
        </w:rPr>
        <w:t xml:space="preserve"> </w:t>
      </w:r>
      <w:r w:rsidR="00033D0F">
        <w:rPr>
          <w:position w:val="1"/>
        </w:rPr>
        <w:t>of</w:t>
      </w:r>
      <w:r w:rsidR="00033D0F">
        <w:rPr>
          <w:spacing w:val="-9"/>
          <w:position w:val="1"/>
        </w:rPr>
        <w:t xml:space="preserve"> </w:t>
      </w:r>
      <w:r w:rsidR="00033D0F">
        <w:rPr>
          <w:position w:val="1"/>
        </w:rPr>
        <w:t>domestic</w:t>
      </w:r>
      <w:r w:rsidR="00033D0F">
        <w:rPr>
          <w:spacing w:val="-13"/>
          <w:position w:val="1"/>
        </w:rPr>
        <w:t xml:space="preserve"> </w:t>
      </w:r>
      <w:r w:rsidR="00033D0F">
        <w:rPr>
          <w:position w:val="1"/>
        </w:rPr>
        <w:t xml:space="preserve">like </w:t>
      </w:r>
      <w:r w:rsidR="00033D0F">
        <w:t>products</w:t>
      </w:r>
      <w:r w:rsidR="00033D0F">
        <w:rPr>
          <w:spacing w:val="-4"/>
        </w:rPr>
        <w:t xml:space="preserve"> </w:t>
      </w:r>
      <w:r w:rsidR="00033D0F">
        <w:t>over</w:t>
      </w:r>
      <w:r w:rsidR="00033D0F">
        <w:rPr>
          <w:spacing w:val="-6"/>
        </w:rPr>
        <w:t xml:space="preserve"> </w:t>
      </w:r>
      <w:r w:rsidR="00033D0F">
        <w:t>the</w:t>
      </w:r>
      <w:r w:rsidR="00033D0F">
        <w:rPr>
          <w:spacing w:val="1"/>
        </w:rPr>
        <w:t xml:space="preserve"> </w:t>
      </w:r>
      <w:r w:rsidR="00033D0F">
        <w:t>Injury</w:t>
      </w:r>
      <w:r w:rsidR="00033D0F">
        <w:rPr>
          <w:spacing w:val="3"/>
        </w:rPr>
        <w:t xml:space="preserve"> </w:t>
      </w:r>
      <w:r w:rsidR="00033D0F">
        <w:t>POI.</w:t>
      </w:r>
      <w:r w:rsidR="00033D0F">
        <w:rPr>
          <w:spacing w:val="-2"/>
        </w:rPr>
        <w:t xml:space="preserve"> </w:t>
      </w:r>
      <w:r w:rsidR="00033D0F">
        <w:t>China</w:t>
      </w:r>
      <w:r w:rsidR="00033D0F">
        <w:rPr>
          <w:spacing w:val="-3"/>
        </w:rPr>
        <w:t xml:space="preserve"> </w:t>
      </w:r>
      <w:r w:rsidR="00033D0F">
        <w:t>agrees</w:t>
      </w:r>
      <w:r w:rsidR="00033D0F">
        <w:rPr>
          <w:spacing w:val="-2"/>
        </w:rPr>
        <w:t xml:space="preserve"> </w:t>
      </w:r>
      <w:r w:rsidR="00033D0F">
        <w:t>that</w:t>
      </w:r>
      <w:r w:rsidR="00033D0F">
        <w:rPr>
          <w:spacing w:val="-3"/>
        </w:rPr>
        <w:t xml:space="preserve"> </w:t>
      </w:r>
      <w:r w:rsidR="00033D0F">
        <w:t>the</w:t>
      </w:r>
      <w:r w:rsidR="00033D0F">
        <w:rPr>
          <w:spacing w:val="-4"/>
        </w:rPr>
        <w:t xml:space="preserve"> </w:t>
      </w:r>
      <w:r w:rsidR="00033D0F">
        <w:t>quantum</w:t>
      </w:r>
      <w:r w:rsidR="00033D0F">
        <w:rPr>
          <w:spacing w:val="2"/>
        </w:rPr>
        <w:t xml:space="preserve"> </w:t>
      </w:r>
      <w:r w:rsidR="00033D0F">
        <w:t>of the</w:t>
      </w:r>
      <w:r w:rsidR="00033D0F">
        <w:rPr>
          <w:spacing w:val="-4"/>
        </w:rPr>
        <w:t xml:space="preserve"> </w:t>
      </w:r>
      <w:r w:rsidR="00033D0F">
        <w:t>alleged</w:t>
      </w:r>
      <w:r w:rsidR="00033D0F">
        <w:rPr>
          <w:spacing w:val="-5"/>
        </w:rPr>
        <w:t xml:space="preserve"> </w:t>
      </w:r>
      <w:r w:rsidR="00033D0F">
        <w:t>price</w:t>
      </w:r>
      <w:r w:rsidR="00033D0F">
        <w:rPr>
          <w:spacing w:val="-2"/>
        </w:rPr>
        <w:t xml:space="preserve"> suppression</w:t>
      </w:r>
    </w:p>
    <w:p w14:paraId="65CA6AEE" w14:textId="77777777" w:rsidR="00BD462C" w:rsidRDefault="00BD462C">
      <w:pPr>
        <w:pStyle w:val="BodyText"/>
        <w:rPr>
          <w:sz w:val="20"/>
        </w:rPr>
      </w:pPr>
    </w:p>
    <w:p w14:paraId="21751969" w14:textId="77777777" w:rsidR="00BD462C" w:rsidRDefault="00BD462C">
      <w:pPr>
        <w:pStyle w:val="BodyText"/>
        <w:rPr>
          <w:sz w:val="20"/>
        </w:rPr>
      </w:pPr>
    </w:p>
    <w:p w14:paraId="245C88AB" w14:textId="10F92E74" w:rsidR="00BD462C" w:rsidRDefault="00752F01">
      <w:pPr>
        <w:pStyle w:val="BodyText"/>
        <w:spacing w:before="1"/>
        <w:rPr>
          <w:sz w:val="22"/>
        </w:rPr>
      </w:pPr>
      <w:r>
        <w:rPr>
          <w:noProof/>
        </w:rPr>
        <mc:AlternateContent>
          <mc:Choice Requires="wps">
            <w:drawing>
              <wp:anchor distT="0" distB="0" distL="0" distR="0" simplePos="0" relativeHeight="488258048" behindDoc="1" locked="0" layoutInCell="1" allowOverlap="1" wp14:anchorId="4277C76C" wp14:editId="082A4551">
                <wp:simplePos x="0" y="0"/>
                <wp:positionH relativeFrom="page">
                  <wp:posOffset>812800</wp:posOffset>
                </wp:positionH>
                <wp:positionV relativeFrom="paragraph">
                  <wp:posOffset>173355</wp:posOffset>
                </wp:positionV>
                <wp:extent cx="1828800" cy="8890"/>
                <wp:effectExtent l="0" t="0" r="0" b="0"/>
                <wp:wrapTopAndBottom/>
                <wp:docPr id="237" name="docshape6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F2967D" id="docshape664" o:spid="_x0000_s1026" alt="&quot;&quot;" style="position:absolute;margin-left:64pt;margin-top:13.65pt;width:2in;height:.7pt;z-index:-15058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" fillcolor="black" stroked="f">
                <w10:wrap type="topAndBottom" anchorx="page"/>
              </v:rect>
            </w:pict>
          </mc:Fallback>
        </mc:AlternateContent>
      </w:r>
    </w:p>
    <w:p w14:paraId="0CF3D274" w14:textId="77777777" w:rsidR="00BD462C" w:rsidRDefault="00033D0F">
      <w:pPr>
        <w:spacing w:before="112"/>
        <w:ind w:left="136" w:right="910" w:hanging="1"/>
        <w:jc w:val="both"/>
        <w:rPr>
          <w:sz w:val="18"/>
        </w:rPr>
      </w:pPr>
      <w:bookmarkStart w:id="1148" w:name="_bookmark988"/>
      <w:bookmarkEnd w:id="1148"/>
      <w:r>
        <w:rPr>
          <w:position w:val="5"/>
          <w:sz w:val="12"/>
        </w:rPr>
        <w:t>843</w:t>
      </w:r>
      <w:r>
        <w:rPr>
          <w:spacing w:val="20"/>
          <w:position w:val="5"/>
          <w:sz w:val="12"/>
        </w:rPr>
        <w:t xml:space="preserve"> </w:t>
      </w:r>
      <w:r>
        <w:rPr>
          <w:sz w:val="18"/>
        </w:rPr>
        <w:t>Anti-Dumping Final Determination (Exhibit AUS-2), p. 109; China's responses to Panel questions 15</w:t>
      </w:r>
      <w:r>
        <w:rPr>
          <w:spacing w:val="-1"/>
          <w:sz w:val="18"/>
        </w:rPr>
        <w:t xml:space="preserve"> </w:t>
      </w:r>
      <w:r>
        <w:rPr>
          <w:sz w:val="18"/>
        </w:rPr>
        <w:t>and 16;</w:t>
      </w:r>
      <w:r>
        <w:rPr>
          <w:spacing w:val="-1"/>
          <w:sz w:val="18"/>
        </w:rPr>
        <w:t xml:space="preserve"> </w:t>
      </w:r>
      <w:r>
        <w:rPr>
          <w:sz w:val="18"/>
        </w:rPr>
        <w:t>Exhibit CHN- 32 (BCI).</w:t>
      </w:r>
    </w:p>
    <w:p w14:paraId="00DD66D0" w14:textId="77777777" w:rsidR="00BD462C" w:rsidRDefault="00033D0F">
      <w:pPr>
        <w:spacing w:before="2"/>
        <w:ind w:left="135" w:right="908"/>
        <w:jc w:val="both"/>
        <w:rPr>
          <w:sz w:val="18"/>
        </w:rPr>
      </w:pPr>
      <w:bookmarkStart w:id="1149" w:name="_bookmark989"/>
      <w:bookmarkEnd w:id="1149"/>
      <w:r>
        <w:rPr>
          <w:position w:val="5"/>
          <w:sz w:val="12"/>
        </w:rPr>
        <w:t>844</w:t>
      </w:r>
      <w:r>
        <w:rPr>
          <w:spacing w:val="35"/>
          <w:position w:val="5"/>
          <w:sz w:val="12"/>
        </w:rPr>
        <w:t xml:space="preserve"> </w:t>
      </w:r>
      <w:r>
        <w:rPr>
          <w:sz w:val="18"/>
        </w:rPr>
        <w:t>Domestic Producer Questionnaire (Exhibit CHN-16), questions 19, 20, 21, pp. 20-21. It appears the domestic industry provided</w:t>
      </w:r>
      <w:r>
        <w:rPr>
          <w:spacing w:val="-11"/>
          <w:sz w:val="18"/>
        </w:rPr>
        <w:t xml:space="preserve"> </w:t>
      </w:r>
      <w:r>
        <w:rPr>
          <w:sz w:val="18"/>
        </w:rPr>
        <w:t>responses</w:t>
      </w:r>
      <w:r>
        <w:rPr>
          <w:spacing w:val="-10"/>
          <w:sz w:val="18"/>
        </w:rPr>
        <w:t xml:space="preserve"> </w:t>
      </w:r>
      <w:r>
        <w:rPr>
          <w:sz w:val="18"/>
        </w:rPr>
        <w:t>to</w:t>
      </w:r>
      <w:r>
        <w:rPr>
          <w:spacing w:val="-10"/>
          <w:sz w:val="18"/>
        </w:rPr>
        <w:t xml:space="preserve"> </w:t>
      </w:r>
      <w:r>
        <w:rPr>
          <w:sz w:val="18"/>
        </w:rPr>
        <w:t>these</w:t>
      </w:r>
      <w:r>
        <w:rPr>
          <w:spacing w:val="-10"/>
          <w:sz w:val="18"/>
        </w:rPr>
        <w:t xml:space="preserve"> </w:t>
      </w:r>
      <w:r>
        <w:rPr>
          <w:sz w:val="18"/>
        </w:rPr>
        <w:t>questions</w:t>
      </w:r>
      <w:r>
        <w:rPr>
          <w:spacing w:val="-10"/>
          <w:sz w:val="18"/>
        </w:rPr>
        <w:t xml:space="preserve"> </w:t>
      </w:r>
      <w:r>
        <w:rPr>
          <w:sz w:val="18"/>
        </w:rPr>
        <w:t>that</w:t>
      </w:r>
      <w:r>
        <w:rPr>
          <w:spacing w:val="-9"/>
          <w:sz w:val="18"/>
        </w:rPr>
        <w:t xml:space="preserve"> </w:t>
      </w:r>
      <w:r>
        <w:rPr>
          <w:sz w:val="18"/>
        </w:rPr>
        <w:t>were</w:t>
      </w:r>
      <w:r>
        <w:rPr>
          <w:spacing w:val="-7"/>
          <w:sz w:val="18"/>
        </w:rPr>
        <w:t xml:space="preserve"> </w:t>
      </w:r>
      <w:r>
        <w:rPr>
          <w:sz w:val="18"/>
        </w:rPr>
        <w:t>granted</w:t>
      </w:r>
      <w:r>
        <w:rPr>
          <w:spacing w:val="-8"/>
          <w:sz w:val="18"/>
        </w:rPr>
        <w:t xml:space="preserve"> </w:t>
      </w:r>
      <w:r>
        <w:rPr>
          <w:sz w:val="18"/>
        </w:rPr>
        <w:t>confidential</w:t>
      </w:r>
      <w:r>
        <w:rPr>
          <w:spacing w:val="-7"/>
          <w:sz w:val="18"/>
        </w:rPr>
        <w:t xml:space="preserve"> </w:t>
      </w:r>
      <w:r>
        <w:rPr>
          <w:sz w:val="18"/>
        </w:rPr>
        <w:t>treatment,</w:t>
      </w:r>
      <w:r>
        <w:rPr>
          <w:spacing w:val="-6"/>
          <w:sz w:val="18"/>
        </w:rPr>
        <w:t xml:space="preserve"> </w:t>
      </w:r>
      <w:r>
        <w:rPr>
          <w:sz w:val="18"/>
        </w:rPr>
        <w:t>suggesting</w:t>
      </w:r>
      <w:r>
        <w:rPr>
          <w:spacing w:val="-8"/>
          <w:sz w:val="18"/>
        </w:rPr>
        <w:t xml:space="preserve"> </w:t>
      </w:r>
      <w:r>
        <w:rPr>
          <w:sz w:val="18"/>
        </w:rPr>
        <w:t>that</w:t>
      </w:r>
      <w:r>
        <w:rPr>
          <w:spacing w:val="-7"/>
          <w:sz w:val="18"/>
        </w:rPr>
        <w:t xml:space="preserve"> </w:t>
      </w:r>
      <w:r>
        <w:rPr>
          <w:sz w:val="18"/>
        </w:rPr>
        <w:t>data</w:t>
      </w:r>
      <w:r>
        <w:rPr>
          <w:spacing w:val="-9"/>
          <w:sz w:val="18"/>
        </w:rPr>
        <w:t xml:space="preserve"> </w:t>
      </w:r>
      <w:r>
        <w:rPr>
          <w:sz w:val="18"/>
        </w:rPr>
        <w:t>providing</w:t>
      </w:r>
      <w:r>
        <w:rPr>
          <w:spacing w:val="-8"/>
          <w:sz w:val="18"/>
        </w:rPr>
        <w:t xml:space="preserve"> </w:t>
      </w:r>
      <w:r>
        <w:rPr>
          <w:sz w:val="18"/>
        </w:rPr>
        <w:t>an</w:t>
      </w:r>
      <w:r>
        <w:rPr>
          <w:spacing w:val="-8"/>
          <w:sz w:val="18"/>
        </w:rPr>
        <w:t xml:space="preserve"> </w:t>
      </w:r>
      <w:r>
        <w:rPr>
          <w:sz w:val="18"/>
        </w:rPr>
        <w:t xml:space="preserve">allocation of shared equipment and </w:t>
      </w:r>
      <w:proofErr w:type="spellStart"/>
      <w:r>
        <w:rPr>
          <w:sz w:val="18"/>
        </w:rPr>
        <w:t>labour</w:t>
      </w:r>
      <w:proofErr w:type="spellEnd"/>
      <w:r>
        <w:rPr>
          <w:sz w:val="18"/>
        </w:rPr>
        <w:t xml:space="preserve"> expenses was provided: see for example </w:t>
      </w:r>
      <w:proofErr w:type="spellStart"/>
      <w:r>
        <w:rPr>
          <w:sz w:val="18"/>
        </w:rPr>
        <w:t>Tonghua</w:t>
      </w:r>
      <w:proofErr w:type="spellEnd"/>
      <w:r>
        <w:rPr>
          <w:sz w:val="18"/>
        </w:rPr>
        <w:t xml:space="preserve"> Winery Anti-Dumping Questionnaire Response (Exhibit AUS-43), pp. 24-21; COFCO Anti-Dumping Questionnaire Response (Exhibit AUS-44), pp. 24-26; Xinjiang West Region Pearl Winery Anti-Dumping Questionnaire Response (Exhibit AUS-45), pp. 22-24.</w:t>
      </w:r>
    </w:p>
    <w:p w14:paraId="48BDF5A8" w14:textId="77777777" w:rsidR="00BD462C" w:rsidRDefault="00033D0F">
      <w:pPr>
        <w:ind w:left="135"/>
        <w:jc w:val="both"/>
        <w:rPr>
          <w:sz w:val="18"/>
        </w:rPr>
      </w:pPr>
      <w:bookmarkStart w:id="1150" w:name="_bookmark990"/>
      <w:bookmarkEnd w:id="1150"/>
      <w:r>
        <w:rPr>
          <w:position w:val="5"/>
          <w:sz w:val="12"/>
        </w:rPr>
        <w:t>845</w:t>
      </w:r>
      <w:r>
        <w:rPr>
          <w:spacing w:val="14"/>
          <w:position w:val="5"/>
          <w:sz w:val="12"/>
        </w:rPr>
        <w:t xml:space="preserve"> </w:t>
      </w:r>
      <w:r>
        <w:rPr>
          <w:sz w:val="18"/>
        </w:rPr>
        <w:t>China's</w:t>
      </w:r>
      <w:r>
        <w:rPr>
          <w:spacing w:val="1"/>
          <w:sz w:val="18"/>
        </w:rPr>
        <w:t xml:space="preserve"> </w:t>
      </w:r>
      <w:r>
        <w:rPr>
          <w:sz w:val="18"/>
        </w:rPr>
        <w:t>response</w:t>
      </w:r>
      <w:r>
        <w:rPr>
          <w:spacing w:val="-4"/>
          <w:sz w:val="18"/>
        </w:rPr>
        <w:t xml:space="preserve"> </w:t>
      </w:r>
      <w:r>
        <w:rPr>
          <w:sz w:val="18"/>
        </w:rPr>
        <w:t>to</w:t>
      </w:r>
      <w:r>
        <w:rPr>
          <w:spacing w:val="-9"/>
          <w:sz w:val="18"/>
        </w:rPr>
        <w:t xml:space="preserve"> </w:t>
      </w:r>
      <w:r>
        <w:rPr>
          <w:sz w:val="18"/>
        </w:rPr>
        <w:t>Panel</w:t>
      </w:r>
      <w:r>
        <w:rPr>
          <w:spacing w:val="-3"/>
          <w:sz w:val="18"/>
        </w:rPr>
        <w:t xml:space="preserve"> </w:t>
      </w:r>
      <w:r>
        <w:rPr>
          <w:sz w:val="18"/>
        </w:rPr>
        <w:t>question</w:t>
      </w:r>
      <w:r>
        <w:rPr>
          <w:spacing w:val="-5"/>
          <w:sz w:val="18"/>
        </w:rPr>
        <w:t xml:space="preserve"> </w:t>
      </w:r>
      <w:r>
        <w:rPr>
          <w:sz w:val="18"/>
        </w:rPr>
        <w:t>No.</w:t>
      </w:r>
      <w:r>
        <w:rPr>
          <w:spacing w:val="2"/>
          <w:sz w:val="18"/>
        </w:rPr>
        <w:t xml:space="preserve"> </w:t>
      </w:r>
      <w:r>
        <w:rPr>
          <w:sz w:val="18"/>
        </w:rPr>
        <w:t>44,</w:t>
      </w:r>
      <w:r>
        <w:rPr>
          <w:spacing w:val="-2"/>
          <w:sz w:val="18"/>
        </w:rPr>
        <w:t xml:space="preserve"> </w:t>
      </w:r>
      <w:r>
        <w:rPr>
          <w:sz w:val="18"/>
        </w:rPr>
        <w:t>para.</w:t>
      </w:r>
      <w:r>
        <w:rPr>
          <w:spacing w:val="-3"/>
          <w:sz w:val="18"/>
        </w:rPr>
        <w:t xml:space="preserve"> </w:t>
      </w:r>
      <w:r>
        <w:rPr>
          <w:spacing w:val="-4"/>
          <w:sz w:val="18"/>
        </w:rPr>
        <w:t>244.</w:t>
      </w:r>
    </w:p>
    <w:p w14:paraId="3A85FB6F" w14:textId="77777777" w:rsidR="00BD462C" w:rsidRDefault="00BD462C">
      <w:pPr>
        <w:jc w:val="both"/>
        <w:rPr>
          <w:sz w:val="18"/>
        </w:rPr>
        <w:sectPr w:rsidR="00BD462C">
          <w:pgSz w:w="11910" w:h="16840"/>
          <w:pgMar w:top="860" w:right="500" w:bottom="780" w:left="1280" w:header="566" w:footer="590" w:gutter="0"/>
          <w:cols w:space="720"/>
        </w:sectPr>
      </w:pPr>
    </w:p>
    <w:p w14:paraId="410BA89E"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77508053"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6657E291"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549BBC9A" w14:textId="77777777" w:rsidR="00BD462C" w:rsidRDefault="00033D0F">
      <w:pPr>
        <w:pStyle w:val="BodyText"/>
        <w:spacing w:before="102" w:line="360" w:lineRule="auto"/>
        <w:ind w:left="136" w:right="913"/>
        <w:jc w:val="both"/>
      </w:pPr>
      <w:r>
        <w:t>that MOFCOM observed was 658</w:t>
      </w:r>
      <w:r>
        <w:rPr>
          <w:spacing w:val="-5"/>
        </w:rPr>
        <w:t xml:space="preserve"> </w:t>
      </w:r>
      <w:r>
        <w:t>RMB/kilolitre.</w:t>
      </w:r>
      <w:hyperlink w:anchor="_bookmark992" w:history="1">
        <w:r>
          <w:rPr>
            <w:vertAlign w:val="superscript"/>
          </w:rPr>
          <w:t>846</w:t>
        </w:r>
      </w:hyperlink>
      <w:r>
        <w:t xml:space="preserve"> MOFCOM determined that this margin of suppression, coupled with rising import volumes, caused the material injury experienced by the domestic industry over the Injury POI.</w:t>
      </w:r>
      <w:hyperlink w:anchor="_bookmark993" w:history="1">
        <w:r>
          <w:rPr>
            <w:vertAlign w:val="superscript"/>
          </w:rPr>
          <w:t>847</w:t>
        </w:r>
      </w:hyperlink>
      <w:r>
        <w:t xml:space="preserve"> Australia maintains that, having regard to the relevant facts and</w:t>
      </w:r>
      <w:r>
        <w:rPr>
          <w:spacing w:val="-2"/>
        </w:rPr>
        <w:t xml:space="preserve"> </w:t>
      </w:r>
      <w:r>
        <w:t>circumstances of</w:t>
      </w:r>
      <w:r>
        <w:rPr>
          <w:spacing w:val="-1"/>
        </w:rPr>
        <w:t xml:space="preserve"> </w:t>
      </w:r>
      <w:r>
        <w:t>this case,</w:t>
      </w:r>
      <w:r>
        <w:rPr>
          <w:spacing w:val="-2"/>
        </w:rPr>
        <w:t xml:space="preserve"> </w:t>
      </w:r>
      <w:r>
        <w:t>MOFCOM's determination</w:t>
      </w:r>
      <w:r>
        <w:rPr>
          <w:spacing w:val="-2"/>
        </w:rPr>
        <w:t xml:space="preserve"> </w:t>
      </w:r>
      <w:r>
        <w:t>was not one that an objective and unbiased investigating authority could make. MOFCOM's determination is therefore inconsistent with Articles</w:t>
      </w:r>
      <w:r>
        <w:rPr>
          <w:spacing w:val="-1"/>
        </w:rPr>
        <w:t xml:space="preserve"> </w:t>
      </w:r>
      <w:r>
        <w:t xml:space="preserve">3.1 and 3.5 of the Anti-Dumping Agreement. This is </w:t>
      </w:r>
      <w:r>
        <w:rPr>
          <w:spacing w:val="-2"/>
        </w:rPr>
        <w:t>because:</w:t>
      </w:r>
    </w:p>
    <w:p w14:paraId="759F374F" w14:textId="77777777" w:rsidR="00BD462C" w:rsidRDefault="00033D0F">
      <w:pPr>
        <w:pStyle w:val="ListParagraph"/>
        <w:numPr>
          <w:ilvl w:val="0"/>
          <w:numId w:val="45"/>
        </w:numPr>
        <w:tabs>
          <w:tab w:val="left" w:pos="1835"/>
          <w:tab w:val="left" w:pos="1836"/>
        </w:tabs>
        <w:spacing w:before="156" w:line="360" w:lineRule="auto"/>
        <w:ind w:right="917" w:hanging="855"/>
        <w:jc w:val="both"/>
        <w:rPr>
          <w:sz w:val="24"/>
        </w:rPr>
      </w:pPr>
      <w:r>
        <w:rPr>
          <w:sz w:val="24"/>
        </w:rPr>
        <w:t>first, in making its material injury determination, MOFCOM relied on the flawed outcomes and evaluations under Articles</w:t>
      </w:r>
      <w:r>
        <w:rPr>
          <w:spacing w:val="-6"/>
          <w:sz w:val="24"/>
        </w:rPr>
        <w:t xml:space="preserve"> </w:t>
      </w:r>
      <w:r>
        <w:rPr>
          <w:sz w:val="24"/>
        </w:rPr>
        <w:t xml:space="preserve">3.2 and 3.4 of the Anti- Dumping </w:t>
      </w:r>
      <w:proofErr w:type="gramStart"/>
      <w:r>
        <w:rPr>
          <w:sz w:val="24"/>
        </w:rPr>
        <w:t>Agreement;</w:t>
      </w:r>
      <w:proofErr w:type="gramEnd"/>
    </w:p>
    <w:p w14:paraId="7819C9F5" w14:textId="77777777" w:rsidR="00BD462C" w:rsidRDefault="00033D0F">
      <w:pPr>
        <w:pStyle w:val="ListParagraph"/>
        <w:numPr>
          <w:ilvl w:val="0"/>
          <w:numId w:val="45"/>
        </w:numPr>
        <w:tabs>
          <w:tab w:val="left" w:pos="1835"/>
          <w:tab w:val="left" w:pos="1836"/>
        </w:tabs>
        <w:spacing w:before="118" w:line="360" w:lineRule="auto"/>
        <w:ind w:right="909" w:hanging="855"/>
        <w:jc w:val="both"/>
        <w:rPr>
          <w:sz w:val="24"/>
        </w:rPr>
      </w:pPr>
      <w:r>
        <w:rPr>
          <w:sz w:val="24"/>
        </w:rPr>
        <w:t>second, MOFCOM did not establish that a genuine relationship of cause an effect existed between the subject imports and the material injury alleged to have been experienced by the domestic industry; and</w:t>
      </w:r>
    </w:p>
    <w:p w14:paraId="1065AA60" w14:textId="77777777" w:rsidR="00BD462C" w:rsidRDefault="00033D0F">
      <w:pPr>
        <w:pStyle w:val="ListParagraph"/>
        <w:numPr>
          <w:ilvl w:val="0"/>
          <w:numId w:val="45"/>
        </w:numPr>
        <w:tabs>
          <w:tab w:val="left" w:pos="1835"/>
          <w:tab w:val="left" w:pos="1836"/>
        </w:tabs>
        <w:spacing w:before="118" w:line="360" w:lineRule="auto"/>
        <w:ind w:right="916" w:hanging="855"/>
        <w:jc w:val="both"/>
        <w:rPr>
          <w:sz w:val="24"/>
        </w:rPr>
      </w:pPr>
      <w:r>
        <w:rPr>
          <w:sz w:val="24"/>
        </w:rPr>
        <w:t xml:space="preserve">third, MOFCOM did not appropriately identify, </w:t>
      </w:r>
      <w:proofErr w:type="gramStart"/>
      <w:r>
        <w:rPr>
          <w:sz w:val="24"/>
        </w:rPr>
        <w:t>separate</w:t>
      </w:r>
      <w:proofErr w:type="gramEnd"/>
      <w:r>
        <w:rPr>
          <w:sz w:val="24"/>
        </w:rPr>
        <w:t xml:space="preserve"> and distinguish injury that was caused by other known factors from the injury said to have been attributable to the subject imports.</w:t>
      </w:r>
    </w:p>
    <w:p w14:paraId="2745EDC8" w14:textId="77777777" w:rsidR="00BD462C" w:rsidRDefault="00033D0F">
      <w:pPr>
        <w:pStyle w:val="Heading3"/>
        <w:numPr>
          <w:ilvl w:val="0"/>
          <w:numId w:val="32"/>
        </w:numPr>
        <w:tabs>
          <w:tab w:val="left" w:pos="2689"/>
          <w:tab w:val="left" w:pos="2690"/>
        </w:tabs>
        <w:spacing w:before="126" w:line="357" w:lineRule="auto"/>
        <w:ind w:right="911"/>
      </w:pPr>
      <w:bookmarkStart w:id="1151" w:name="2._Errors_in_MOFCOM's_Article_3.2_and_3."/>
      <w:bookmarkStart w:id="1152" w:name="_bookmark991"/>
      <w:bookmarkEnd w:id="1151"/>
      <w:bookmarkEnd w:id="1152"/>
      <w:r>
        <w:t>Errors in MOFCOM's Article 3.2 and 3.4 examinations undermine the causation determination</w:t>
      </w:r>
    </w:p>
    <w:p w14:paraId="40BFE161" w14:textId="77777777" w:rsidR="00BD462C" w:rsidRDefault="00BD462C">
      <w:pPr>
        <w:pStyle w:val="BodyText"/>
        <w:spacing w:before="2"/>
        <w:rPr>
          <w:b/>
          <w:sz w:val="9"/>
        </w:rPr>
      </w:pPr>
    </w:p>
    <w:p w14:paraId="1C362A45" w14:textId="5FB93A51" w:rsidR="00BD462C" w:rsidRDefault="000F5FA7">
      <w:pPr>
        <w:pStyle w:val="BodyText"/>
        <w:spacing w:before="56" w:line="360" w:lineRule="auto"/>
        <w:ind w:left="135" w:right="913"/>
        <w:jc w:val="both"/>
      </w:pPr>
      <w:r>
        <w:rPr>
          <w:noProof/>
        </w:rPr>
        <w:t>559.</w:t>
      </w:r>
      <w:r w:rsidR="00033D0F">
        <w:rPr>
          <w:rFonts w:ascii="Times New Roman" w:hAnsi="Times New Roman"/>
          <w:spacing w:val="80"/>
          <w:w w:val="150"/>
          <w:position w:val="1"/>
          <w:sz w:val="20"/>
        </w:rPr>
        <w:t xml:space="preserve">  </w:t>
      </w:r>
      <w:r w:rsidR="00033D0F">
        <w:rPr>
          <w:position w:val="1"/>
        </w:rPr>
        <w:t>The</w:t>
      </w:r>
      <w:r w:rsidR="00033D0F">
        <w:rPr>
          <w:spacing w:val="-12"/>
          <w:position w:val="1"/>
        </w:rPr>
        <w:t xml:space="preserve"> </w:t>
      </w:r>
      <w:r w:rsidR="00033D0F">
        <w:rPr>
          <w:position w:val="1"/>
        </w:rPr>
        <w:t>parties</w:t>
      </w:r>
      <w:r w:rsidR="00033D0F">
        <w:rPr>
          <w:spacing w:val="-14"/>
          <w:position w:val="1"/>
        </w:rPr>
        <w:t xml:space="preserve"> </w:t>
      </w:r>
      <w:r w:rsidR="00033D0F">
        <w:rPr>
          <w:position w:val="1"/>
        </w:rPr>
        <w:t>agree</w:t>
      </w:r>
      <w:r w:rsidR="00033D0F">
        <w:rPr>
          <w:spacing w:val="-12"/>
          <w:position w:val="1"/>
        </w:rPr>
        <w:t xml:space="preserve"> </w:t>
      </w:r>
      <w:r w:rsidR="00033D0F">
        <w:rPr>
          <w:position w:val="1"/>
        </w:rPr>
        <w:t>that</w:t>
      </w:r>
      <w:r w:rsidR="00033D0F">
        <w:rPr>
          <w:spacing w:val="-14"/>
          <w:position w:val="1"/>
        </w:rPr>
        <w:t xml:space="preserve"> </w:t>
      </w:r>
      <w:r w:rsidR="00033D0F">
        <w:rPr>
          <w:position w:val="1"/>
        </w:rPr>
        <w:t>Australia's</w:t>
      </w:r>
      <w:r w:rsidR="00033D0F">
        <w:rPr>
          <w:spacing w:val="-14"/>
          <w:position w:val="1"/>
        </w:rPr>
        <w:t xml:space="preserve"> </w:t>
      </w:r>
      <w:r w:rsidR="00033D0F">
        <w:rPr>
          <w:position w:val="1"/>
        </w:rPr>
        <w:t>argument</w:t>
      </w:r>
      <w:r w:rsidR="00033D0F">
        <w:rPr>
          <w:spacing w:val="-13"/>
          <w:position w:val="1"/>
        </w:rPr>
        <w:t xml:space="preserve"> </w:t>
      </w:r>
      <w:r w:rsidR="00033D0F">
        <w:rPr>
          <w:position w:val="1"/>
        </w:rPr>
        <w:t>at</w:t>
      </w:r>
      <w:r w:rsidR="00033D0F">
        <w:rPr>
          <w:spacing w:val="-11"/>
          <w:position w:val="1"/>
        </w:rPr>
        <w:t xml:space="preserve"> </w:t>
      </w:r>
      <w:r w:rsidR="00033D0F">
        <w:rPr>
          <w:position w:val="1"/>
        </w:rPr>
        <w:t>paragraphs</w:t>
      </w:r>
      <w:r w:rsidR="00033D0F">
        <w:rPr>
          <w:spacing w:val="-14"/>
          <w:position w:val="1"/>
        </w:rPr>
        <w:t xml:space="preserve"> </w:t>
      </w:r>
      <w:r w:rsidR="00033D0F">
        <w:rPr>
          <w:position w:val="1"/>
        </w:rPr>
        <w:t>664</w:t>
      </w:r>
      <w:r w:rsidR="00033D0F">
        <w:rPr>
          <w:spacing w:val="-14"/>
          <w:position w:val="1"/>
        </w:rPr>
        <w:t xml:space="preserve"> </w:t>
      </w:r>
      <w:r w:rsidR="00033D0F">
        <w:rPr>
          <w:position w:val="1"/>
        </w:rPr>
        <w:t>–</w:t>
      </w:r>
      <w:r w:rsidR="00033D0F">
        <w:rPr>
          <w:spacing w:val="-11"/>
          <w:position w:val="1"/>
        </w:rPr>
        <w:t xml:space="preserve"> </w:t>
      </w:r>
      <w:r w:rsidR="00033D0F">
        <w:rPr>
          <w:position w:val="1"/>
        </w:rPr>
        <w:t>666</w:t>
      </w:r>
      <w:r w:rsidR="00033D0F">
        <w:rPr>
          <w:spacing w:val="-14"/>
          <w:position w:val="1"/>
        </w:rPr>
        <w:t xml:space="preserve"> </w:t>
      </w:r>
      <w:r w:rsidR="00033D0F">
        <w:rPr>
          <w:position w:val="1"/>
        </w:rPr>
        <w:t>of</w:t>
      </w:r>
      <w:r w:rsidR="00033D0F">
        <w:rPr>
          <w:spacing w:val="-14"/>
          <w:position w:val="1"/>
        </w:rPr>
        <w:t xml:space="preserve"> </w:t>
      </w:r>
      <w:r w:rsidR="00033D0F">
        <w:rPr>
          <w:position w:val="1"/>
        </w:rPr>
        <w:t>its</w:t>
      </w:r>
      <w:r w:rsidR="00033D0F">
        <w:rPr>
          <w:spacing w:val="-9"/>
          <w:position w:val="1"/>
        </w:rPr>
        <w:t xml:space="preserve"> </w:t>
      </w:r>
      <w:r w:rsidR="00033D0F">
        <w:rPr>
          <w:position w:val="1"/>
        </w:rPr>
        <w:t>first</w:t>
      </w:r>
      <w:r w:rsidR="00033D0F">
        <w:rPr>
          <w:spacing w:val="-14"/>
          <w:position w:val="1"/>
        </w:rPr>
        <w:t xml:space="preserve"> </w:t>
      </w:r>
      <w:r w:rsidR="00033D0F">
        <w:rPr>
          <w:position w:val="1"/>
        </w:rPr>
        <w:t xml:space="preserve">written </w:t>
      </w:r>
      <w:r w:rsidR="00033D0F">
        <w:t>submission</w:t>
      </w:r>
      <w:r w:rsidR="00033D0F">
        <w:rPr>
          <w:spacing w:val="-7"/>
        </w:rPr>
        <w:t xml:space="preserve"> </w:t>
      </w:r>
      <w:r w:rsidR="00033D0F">
        <w:t>is</w:t>
      </w:r>
      <w:r w:rsidR="00033D0F">
        <w:rPr>
          <w:spacing w:val="-4"/>
        </w:rPr>
        <w:t xml:space="preserve"> </w:t>
      </w:r>
      <w:r w:rsidR="00033D0F">
        <w:t>consequential</w:t>
      </w:r>
      <w:r w:rsidR="00033D0F">
        <w:rPr>
          <w:spacing w:val="-3"/>
        </w:rPr>
        <w:t xml:space="preserve"> </w:t>
      </w:r>
      <w:r w:rsidR="00033D0F">
        <w:t>to</w:t>
      </w:r>
      <w:r w:rsidR="00033D0F">
        <w:rPr>
          <w:spacing w:val="-8"/>
        </w:rPr>
        <w:t xml:space="preserve"> </w:t>
      </w:r>
      <w:r w:rsidR="00033D0F">
        <w:t>its</w:t>
      </w:r>
      <w:r w:rsidR="00033D0F">
        <w:rPr>
          <w:spacing w:val="-4"/>
        </w:rPr>
        <w:t xml:space="preserve"> </w:t>
      </w:r>
      <w:r w:rsidR="00033D0F">
        <w:t>claims</w:t>
      </w:r>
      <w:r w:rsidR="00033D0F">
        <w:rPr>
          <w:spacing w:val="-4"/>
        </w:rPr>
        <w:t xml:space="preserve"> </w:t>
      </w:r>
      <w:r w:rsidR="00033D0F">
        <w:t>under</w:t>
      </w:r>
      <w:r w:rsidR="00033D0F">
        <w:rPr>
          <w:spacing w:val="-3"/>
        </w:rPr>
        <w:t xml:space="preserve"> </w:t>
      </w:r>
      <w:r w:rsidR="00033D0F">
        <w:t>Articles 3.1</w:t>
      </w:r>
      <w:r w:rsidR="00033D0F">
        <w:rPr>
          <w:spacing w:val="-7"/>
        </w:rPr>
        <w:t xml:space="preserve"> </w:t>
      </w:r>
      <w:r w:rsidR="00033D0F">
        <w:t>and</w:t>
      </w:r>
      <w:r w:rsidR="00033D0F">
        <w:rPr>
          <w:spacing w:val="-7"/>
        </w:rPr>
        <w:t xml:space="preserve"> </w:t>
      </w:r>
      <w:r w:rsidR="00033D0F">
        <w:t>3.2</w:t>
      </w:r>
      <w:r w:rsidR="00033D0F">
        <w:rPr>
          <w:spacing w:val="-3"/>
        </w:rPr>
        <w:t xml:space="preserve"> </w:t>
      </w:r>
      <w:r w:rsidR="00033D0F">
        <w:t>and</w:t>
      </w:r>
      <w:r w:rsidR="00033D0F">
        <w:rPr>
          <w:spacing w:val="-2"/>
        </w:rPr>
        <w:t xml:space="preserve"> </w:t>
      </w:r>
      <w:r w:rsidR="00033D0F">
        <w:t>3.1</w:t>
      </w:r>
      <w:r w:rsidR="00033D0F">
        <w:rPr>
          <w:spacing w:val="-7"/>
        </w:rPr>
        <w:t xml:space="preserve"> </w:t>
      </w:r>
      <w:r w:rsidR="00033D0F">
        <w:t>and</w:t>
      </w:r>
      <w:r w:rsidR="00033D0F">
        <w:rPr>
          <w:spacing w:val="-2"/>
        </w:rPr>
        <w:t xml:space="preserve"> </w:t>
      </w:r>
      <w:r w:rsidR="00033D0F">
        <w:t>3.4.</w:t>
      </w:r>
      <w:hyperlink w:anchor="_bookmark994" w:history="1">
        <w:r w:rsidR="00033D0F">
          <w:rPr>
            <w:vertAlign w:val="superscript"/>
          </w:rPr>
          <w:t>848</w:t>
        </w:r>
      </w:hyperlink>
      <w:r w:rsidR="00033D0F">
        <w:t xml:space="preserve"> That</w:t>
      </w:r>
      <w:r w:rsidR="00033D0F">
        <w:rPr>
          <w:spacing w:val="-5"/>
        </w:rPr>
        <w:t xml:space="preserve"> </w:t>
      </w:r>
      <w:r w:rsidR="00033D0F">
        <w:t>is, if</w:t>
      </w:r>
      <w:r w:rsidR="00033D0F">
        <w:rPr>
          <w:spacing w:val="-5"/>
        </w:rPr>
        <w:t xml:space="preserve"> </w:t>
      </w:r>
      <w:r w:rsidR="00033D0F">
        <w:t>the</w:t>
      </w:r>
      <w:r w:rsidR="00033D0F">
        <w:rPr>
          <w:spacing w:val="-4"/>
        </w:rPr>
        <w:t xml:space="preserve"> </w:t>
      </w:r>
      <w:r w:rsidR="00033D0F">
        <w:t>Panel</w:t>
      </w:r>
      <w:r w:rsidR="00033D0F">
        <w:rPr>
          <w:spacing w:val="-1"/>
        </w:rPr>
        <w:t xml:space="preserve"> </w:t>
      </w:r>
      <w:r w:rsidR="00033D0F">
        <w:t>finds</w:t>
      </w:r>
      <w:r w:rsidR="00033D0F">
        <w:rPr>
          <w:spacing w:val="-2"/>
        </w:rPr>
        <w:t xml:space="preserve"> </w:t>
      </w:r>
      <w:r w:rsidR="00033D0F">
        <w:t>that</w:t>
      </w:r>
      <w:r w:rsidR="00033D0F">
        <w:rPr>
          <w:spacing w:val="-3"/>
        </w:rPr>
        <w:t xml:space="preserve"> </w:t>
      </w:r>
      <w:r w:rsidR="00033D0F">
        <w:t>MOFCOM's</w:t>
      </w:r>
      <w:r w:rsidR="00033D0F">
        <w:rPr>
          <w:spacing w:val="-2"/>
        </w:rPr>
        <w:t xml:space="preserve"> </w:t>
      </w:r>
      <w:r w:rsidR="00033D0F">
        <w:t>price</w:t>
      </w:r>
      <w:r w:rsidR="00033D0F">
        <w:rPr>
          <w:spacing w:val="-3"/>
        </w:rPr>
        <w:t xml:space="preserve"> </w:t>
      </w:r>
      <w:r w:rsidR="00033D0F">
        <w:t>effects</w:t>
      </w:r>
      <w:r w:rsidR="00033D0F">
        <w:rPr>
          <w:spacing w:val="-2"/>
        </w:rPr>
        <w:t xml:space="preserve"> </w:t>
      </w:r>
      <w:r w:rsidR="00033D0F">
        <w:t>or</w:t>
      </w:r>
      <w:r w:rsidR="00033D0F">
        <w:rPr>
          <w:spacing w:val="-1"/>
        </w:rPr>
        <w:t xml:space="preserve"> </w:t>
      </w:r>
      <w:r w:rsidR="00033D0F">
        <w:t>domestic</w:t>
      </w:r>
      <w:r w:rsidR="00033D0F">
        <w:rPr>
          <w:spacing w:val="-5"/>
        </w:rPr>
        <w:t xml:space="preserve"> </w:t>
      </w:r>
      <w:r w:rsidR="00033D0F">
        <w:t>industry</w:t>
      </w:r>
      <w:r w:rsidR="00033D0F">
        <w:rPr>
          <w:spacing w:val="-2"/>
        </w:rPr>
        <w:t xml:space="preserve"> </w:t>
      </w:r>
      <w:r w:rsidR="00033D0F">
        <w:t>analyses</w:t>
      </w:r>
      <w:r w:rsidR="00033D0F">
        <w:rPr>
          <w:spacing w:val="-2"/>
        </w:rPr>
        <w:t xml:space="preserve"> </w:t>
      </w:r>
      <w:r w:rsidR="00033D0F">
        <w:t>are</w:t>
      </w:r>
      <w:r w:rsidR="00033D0F">
        <w:rPr>
          <w:spacing w:val="-3"/>
        </w:rPr>
        <w:t xml:space="preserve"> </w:t>
      </w:r>
      <w:r w:rsidR="00033D0F">
        <w:t>inconsistent with</w:t>
      </w:r>
      <w:r w:rsidR="00033D0F">
        <w:rPr>
          <w:spacing w:val="-9"/>
        </w:rPr>
        <w:t xml:space="preserve"> </w:t>
      </w:r>
      <w:r w:rsidR="00033D0F">
        <w:t>Articles</w:t>
      </w:r>
      <w:r w:rsidR="00033D0F">
        <w:rPr>
          <w:spacing w:val="-1"/>
        </w:rPr>
        <w:t xml:space="preserve"> </w:t>
      </w:r>
      <w:r w:rsidR="00033D0F">
        <w:t>3.1,</w:t>
      </w:r>
      <w:r w:rsidR="00033D0F">
        <w:rPr>
          <w:spacing w:val="-5"/>
        </w:rPr>
        <w:t xml:space="preserve"> </w:t>
      </w:r>
      <w:r w:rsidR="00033D0F">
        <w:t>3.2</w:t>
      </w:r>
      <w:r w:rsidR="00033D0F">
        <w:rPr>
          <w:spacing w:val="-9"/>
        </w:rPr>
        <w:t xml:space="preserve"> </w:t>
      </w:r>
      <w:r w:rsidR="00033D0F">
        <w:t>or</w:t>
      </w:r>
      <w:r w:rsidR="00033D0F">
        <w:rPr>
          <w:spacing w:val="-5"/>
        </w:rPr>
        <w:t xml:space="preserve"> </w:t>
      </w:r>
      <w:r w:rsidR="00033D0F">
        <w:t>3.4,</w:t>
      </w:r>
      <w:r w:rsidR="00033D0F">
        <w:rPr>
          <w:spacing w:val="-5"/>
        </w:rPr>
        <w:t xml:space="preserve"> </w:t>
      </w:r>
      <w:r w:rsidR="00033D0F">
        <w:t>the</w:t>
      </w:r>
      <w:r w:rsidR="00033D0F">
        <w:rPr>
          <w:spacing w:val="-7"/>
        </w:rPr>
        <w:t xml:space="preserve"> </w:t>
      </w:r>
      <w:r w:rsidR="00033D0F">
        <w:t>consequence</w:t>
      </w:r>
      <w:r w:rsidR="00033D0F">
        <w:rPr>
          <w:spacing w:val="-7"/>
        </w:rPr>
        <w:t xml:space="preserve"> </w:t>
      </w:r>
      <w:r w:rsidR="00033D0F">
        <w:t>is</w:t>
      </w:r>
      <w:r w:rsidR="00033D0F">
        <w:rPr>
          <w:spacing w:val="-6"/>
        </w:rPr>
        <w:t xml:space="preserve"> </w:t>
      </w:r>
      <w:r w:rsidR="00033D0F">
        <w:t>that</w:t>
      </w:r>
      <w:r w:rsidR="00033D0F">
        <w:rPr>
          <w:spacing w:val="-7"/>
        </w:rPr>
        <w:t xml:space="preserve"> </w:t>
      </w:r>
      <w:r w:rsidR="00033D0F">
        <w:t>MOFCOM's</w:t>
      </w:r>
      <w:r w:rsidR="00033D0F">
        <w:rPr>
          <w:spacing w:val="-6"/>
        </w:rPr>
        <w:t xml:space="preserve"> </w:t>
      </w:r>
      <w:r w:rsidR="00033D0F">
        <w:t>determination</w:t>
      </w:r>
      <w:r w:rsidR="00033D0F">
        <w:rPr>
          <w:spacing w:val="-9"/>
        </w:rPr>
        <w:t xml:space="preserve"> </w:t>
      </w:r>
      <w:r w:rsidR="00033D0F">
        <w:t>of</w:t>
      </w:r>
      <w:r w:rsidR="00033D0F">
        <w:rPr>
          <w:spacing w:val="-9"/>
        </w:rPr>
        <w:t xml:space="preserve"> </w:t>
      </w:r>
      <w:r w:rsidR="00033D0F">
        <w:t>causation</w:t>
      </w:r>
      <w:r w:rsidR="00033D0F">
        <w:rPr>
          <w:spacing w:val="-9"/>
        </w:rPr>
        <w:t xml:space="preserve"> </w:t>
      </w:r>
      <w:r w:rsidR="00033D0F">
        <w:t>is also</w:t>
      </w:r>
      <w:r w:rsidR="00033D0F">
        <w:rPr>
          <w:spacing w:val="-14"/>
        </w:rPr>
        <w:t xml:space="preserve"> </w:t>
      </w:r>
      <w:r w:rsidR="00033D0F">
        <w:t>inconsistent</w:t>
      </w:r>
      <w:r w:rsidR="00033D0F">
        <w:rPr>
          <w:spacing w:val="-14"/>
        </w:rPr>
        <w:t xml:space="preserve"> </w:t>
      </w:r>
      <w:r w:rsidR="00033D0F">
        <w:t>with</w:t>
      </w:r>
      <w:r w:rsidR="00033D0F">
        <w:rPr>
          <w:spacing w:val="-13"/>
        </w:rPr>
        <w:t xml:space="preserve"> </w:t>
      </w:r>
      <w:r w:rsidR="00033D0F">
        <w:t>Article</w:t>
      </w:r>
      <w:r w:rsidR="00033D0F">
        <w:rPr>
          <w:spacing w:val="-14"/>
        </w:rPr>
        <w:t xml:space="preserve"> </w:t>
      </w:r>
      <w:r w:rsidR="00033D0F">
        <w:t>3.5.</w:t>
      </w:r>
      <w:r w:rsidR="00033D0F">
        <w:rPr>
          <w:spacing w:val="-13"/>
        </w:rPr>
        <w:t xml:space="preserve"> </w:t>
      </w:r>
      <w:r w:rsidR="00033D0F">
        <w:t>This</w:t>
      </w:r>
      <w:r w:rsidR="00033D0F">
        <w:rPr>
          <w:spacing w:val="-14"/>
        </w:rPr>
        <w:t xml:space="preserve"> </w:t>
      </w:r>
      <w:r w:rsidR="00033D0F">
        <w:t>is</w:t>
      </w:r>
      <w:r w:rsidR="00033D0F">
        <w:rPr>
          <w:spacing w:val="-13"/>
        </w:rPr>
        <w:t xml:space="preserve"> </w:t>
      </w:r>
      <w:r w:rsidR="00033D0F">
        <w:t>because</w:t>
      </w:r>
      <w:r w:rsidR="00033D0F">
        <w:rPr>
          <w:spacing w:val="-14"/>
        </w:rPr>
        <w:t xml:space="preserve"> </w:t>
      </w:r>
      <w:r w:rsidR="00033D0F">
        <w:t>MOFCOM's</w:t>
      </w:r>
      <w:r w:rsidR="00033D0F">
        <w:rPr>
          <w:spacing w:val="-14"/>
        </w:rPr>
        <w:t xml:space="preserve"> </w:t>
      </w:r>
      <w:r w:rsidR="00033D0F">
        <w:t>determination</w:t>
      </w:r>
      <w:r w:rsidR="00033D0F">
        <w:rPr>
          <w:spacing w:val="-13"/>
        </w:rPr>
        <w:t xml:space="preserve"> </w:t>
      </w:r>
      <w:r w:rsidR="00033D0F">
        <w:t>of</w:t>
      </w:r>
      <w:r w:rsidR="00033D0F">
        <w:rPr>
          <w:spacing w:val="-14"/>
        </w:rPr>
        <w:t xml:space="preserve"> </w:t>
      </w:r>
      <w:r w:rsidR="00033D0F">
        <w:t>causation</w:t>
      </w:r>
      <w:r w:rsidR="00033D0F">
        <w:rPr>
          <w:spacing w:val="-13"/>
        </w:rPr>
        <w:t xml:space="preserve"> </w:t>
      </w:r>
      <w:r w:rsidR="00033D0F">
        <w:t>relied on the WTO inconsistent findings resulting from the earlier examinations.</w:t>
      </w:r>
    </w:p>
    <w:p w14:paraId="65005F59" w14:textId="77777777" w:rsidR="00BD462C" w:rsidRDefault="00BD462C">
      <w:pPr>
        <w:pStyle w:val="BodyText"/>
        <w:spacing w:before="8"/>
        <w:rPr>
          <w:sz w:val="8"/>
        </w:rPr>
      </w:pPr>
    </w:p>
    <w:p w14:paraId="5A56C1B5" w14:textId="583E9A81" w:rsidR="00BD462C" w:rsidRDefault="000F5FA7">
      <w:pPr>
        <w:pStyle w:val="BodyText"/>
        <w:spacing w:before="56" w:line="355" w:lineRule="auto"/>
        <w:ind w:left="136"/>
      </w:pPr>
      <w:r>
        <w:rPr>
          <w:noProof/>
        </w:rPr>
        <w:t>560.</w:t>
      </w:r>
      <w:r w:rsidR="00033D0F">
        <w:rPr>
          <w:rFonts w:ascii="Times New Roman"/>
          <w:spacing w:val="80"/>
          <w:w w:val="150"/>
          <w:position w:val="1"/>
          <w:sz w:val="20"/>
        </w:rPr>
        <w:t xml:space="preserve">  </w:t>
      </w:r>
      <w:r w:rsidR="00033D0F">
        <w:rPr>
          <w:position w:val="1"/>
        </w:rPr>
        <w:t xml:space="preserve">At paragraph 1731 of its first written submission, China </w:t>
      </w:r>
      <w:proofErr w:type="spellStart"/>
      <w:r w:rsidR="00033D0F">
        <w:rPr>
          <w:position w:val="1"/>
        </w:rPr>
        <w:t>mischaracterises</w:t>
      </w:r>
      <w:proofErr w:type="spellEnd"/>
      <w:r w:rsidR="00033D0F">
        <w:rPr>
          <w:position w:val="1"/>
        </w:rPr>
        <w:t xml:space="preserve"> Australia's </w:t>
      </w:r>
      <w:r w:rsidR="00033D0F">
        <w:t>arguments.</w:t>
      </w:r>
      <w:hyperlink w:anchor="_bookmark995" w:history="1">
        <w:r w:rsidR="00033D0F">
          <w:rPr>
            <w:vertAlign w:val="superscript"/>
          </w:rPr>
          <w:t>849</w:t>
        </w:r>
      </w:hyperlink>
      <w:r w:rsidR="00033D0F">
        <w:rPr>
          <w:spacing w:val="47"/>
        </w:rPr>
        <w:t xml:space="preserve"> </w:t>
      </w:r>
      <w:r w:rsidR="00033D0F">
        <w:t>In</w:t>
      </w:r>
      <w:r w:rsidR="00033D0F">
        <w:rPr>
          <w:spacing w:val="50"/>
        </w:rPr>
        <w:t xml:space="preserve"> </w:t>
      </w:r>
      <w:r w:rsidR="00033D0F">
        <w:t>the</w:t>
      </w:r>
      <w:r w:rsidR="00033D0F">
        <w:rPr>
          <w:spacing w:val="47"/>
        </w:rPr>
        <w:t xml:space="preserve"> </w:t>
      </w:r>
      <w:r w:rsidR="00033D0F">
        <w:t>interests</w:t>
      </w:r>
      <w:r w:rsidR="00033D0F">
        <w:rPr>
          <w:spacing w:val="49"/>
        </w:rPr>
        <w:t xml:space="preserve"> </w:t>
      </w:r>
      <w:r w:rsidR="00033D0F">
        <w:t>of</w:t>
      </w:r>
      <w:r w:rsidR="00033D0F">
        <w:rPr>
          <w:spacing w:val="49"/>
        </w:rPr>
        <w:t xml:space="preserve"> </w:t>
      </w:r>
      <w:r w:rsidR="00033D0F">
        <w:t>clarity,</w:t>
      </w:r>
      <w:r w:rsidR="00033D0F">
        <w:rPr>
          <w:spacing w:val="49"/>
        </w:rPr>
        <w:t xml:space="preserve"> </w:t>
      </w:r>
      <w:r w:rsidR="00033D0F">
        <w:t>Australia</w:t>
      </w:r>
      <w:r w:rsidR="00033D0F">
        <w:rPr>
          <w:spacing w:val="42"/>
        </w:rPr>
        <w:t xml:space="preserve"> </w:t>
      </w:r>
      <w:r w:rsidR="00033D0F">
        <w:t>notes</w:t>
      </w:r>
      <w:r w:rsidR="00033D0F">
        <w:rPr>
          <w:spacing w:val="49"/>
        </w:rPr>
        <w:t xml:space="preserve"> </w:t>
      </w:r>
      <w:r w:rsidR="00033D0F">
        <w:t>the</w:t>
      </w:r>
      <w:r w:rsidR="00033D0F">
        <w:rPr>
          <w:spacing w:val="51"/>
        </w:rPr>
        <w:t xml:space="preserve"> </w:t>
      </w:r>
      <w:r w:rsidR="00033D0F">
        <w:t>following:</w:t>
      </w:r>
      <w:r w:rsidR="00033D0F">
        <w:rPr>
          <w:spacing w:val="45"/>
        </w:rPr>
        <w:t xml:space="preserve"> </w:t>
      </w:r>
      <w:r w:rsidR="00033D0F">
        <w:t>(i)</w:t>
      </w:r>
      <w:r w:rsidR="00033D0F">
        <w:rPr>
          <w:spacing w:val="46"/>
        </w:rPr>
        <w:t xml:space="preserve"> </w:t>
      </w:r>
      <w:r w:rsidR="00033D0F">
        <w:t>Australia</w:t>
      </w:r>
      <w:r w:rsidR="00033D0F">
        <w:rPr>
          <w:spacing w:val="47"/>
        </w:rPr>
        <w:t xml:space="preserve"> </w:t>
      </w:r>
      <w:r w:rsidR="00033D0F">
        <w:rPr>
          <w:spacing w:val="-4"/>
        </w:rPr>
        <w:t>does</w:t>
      </w:r>
    </w:p>
    <w:p w14:paraId="4D521791" w14:textId="6945B2F2" w:rsidR="00BD462C" w:rsidRDefault="00D70C7D">
      <w:pPr>
        <w:pStyle w:val="BodyText"/>
        <w:spacing w:before="2"/>
        <w:rPr>
          <w:sz w:val="14"/>
        </w:rPr>
      </w:pPr>
      <w:r>
        <w:rPr>
          <w:noProof/>
        </w:rPr>
        <mc:AlternateContent>
          <mc:Choice Requires="wps">
            <w:drawing>
              <wp:anchor distT="0" distB="0" distL="0" distR="0" simplePos="0" relativeHeight="487795712" behindDoc="1" locked="0" layoutInCell="1" allowOverlap="1" wp14:anchorId="0B7ECD70" wp14:editId="573633D4">
                <wp:simplePos x="0" y="0"/>
                <wp:positionH relativeFrom="page">
                  <wp:posOffset>899160</wp:posOffset>
                </wp:positionH>
                <wp:positionV relativeFrom="paragraph">
                  <wp:posOffset>125730</wp:posOffset>
                </wp:positionV>
                <wp:extent cx="1828800" cy="8890"/>
                <wp:effectExtent l="0" t="0" r="0" b="0"/>
                <wp:wrapTopAndBottom/>
                <wp:docPr id="530" name="docshape4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7D6813" id="docshape454" o:spid="_x0000_s1026" alt="&quot;&quot;" style="position:absolute;margin-left:70.8pt;margin-top:9.9pt;width:2in;height:.7pt;z-index:-15520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" fillcolor="black" stroked="f">
                <w10:wrap type="topAndBottom" anchorx="page"/>
              </v:rect>
            </w:pict>
          </mc:Fallback>
        </mc:AlternateContent>
      </w:r>
    </w:p>
    <w:p w14:paraId="615EF535" w14:textId="77777777" w:rsidR="00BD462C" w:rsidRDefault="00033D0F">
      <w:pPr>
        <w:spacing w:before="107"/>
        <w:ind w:left="135" w:right="923"/>
        <w:rPr>
          <w:sz w:val="18"/>
        </w:rPr>
      </w:pPr>
      <w:bookmarkStart w:id="1153" w:name="_bookmark992"/>
      <w:bookmarkEnd w:id="1153"/>
      <w:r>
        <w:rPr>
          <w:position w:val="5"/>
          <w:sz w:val="12"/>
        </w:rPr>
        <w:t>846</w:t>
      </w:r>
      <w:r>
        <w:rPr>
          <w:spacing w:val="35"/>
          <w:position w:val="5"/>
          <w:sz w:val="12"/>
        </w:rPr>
        <w:t xml:space="preserve"> </w:t>
      </w:r>
      <w:r>
        <w:rPr>
          <w:sz w:val="18"/>
        </w:rPr>
        <w:t>Anti-Dumping</w:t>
      </w:r>
      <w:r>
        <w:rPr>
          <w:spacing w:val="20"/>
          <w:sz w:val="18"/>
        </w:rPr>
        <w:t xml:space="preserve"> </w:t>
      </w:r>
      <w:r>
        <w:rPr>
          <w:sz w:val="18"/>
        </w:rPr>
        <w:t>Final</w:t>
      </w:r>
      <w:r>
        <w:rPr>
          <w:spacing w:val="21"/>
          <w:sz w:val="18"/>
        </w:rPr>
        <w:t xml:space="preserve"> </w:t>
      </w:r>
      <w:r>
        <w:rPr>
          <w:sz w:val="18"/>
        </w:rPr>
        <w:t>Determination</w:t>
      </w:r>
      <w:r>
        <w:rPr>
          <w:spacing w:val="20"/>
          <w:sz w:val="18"/>
        </w:rPr>
        <w:t xml:space="preserve"> </w:t>
      </w:r>
      <w:r>
        <w:rPr>
          <w:sz w:val="18"/>
        </w:rPr>
        <w:t>(Exhibit</w:t>
      </w:r>
      <w:r>
        <w:rPr>
          <w:spacing w:val="21"/>
          <w:sz w:val="18"/>
        </w:rPr>
        <w:t xml:space="preserve"> </w:t>
      </w:r>
      <w:r>
        <w:rPr>
          <w:sz w:val="18"/>
        </w:rPr>
        <w:t>AUS-2),</w:t>
      </w:r>
      <w:r>
        <w:rPr>
          <w:spacing w:val="22"/>
          <w:sz w:val="18"/>
        </w:rPr>
        <w:t xml:space="preserve"> </w:t>
      </w:r>
      <w:r>
        <w:rPr>
          <w:sz w:val="18"/>
        </w:rPr>
        <w:t>p. 121; Final Determination (Exhibit</w:t>
      </w:r>
      <w:r>
        <w:rPr>
          <w:spacing w:val="21"/>
          <w:sz w:val="18"/>
        </w:rPr>
        <w:t xml:space="preserve"> </w:t>
      </w:r>
      <w:r>
        <w:rPr>
          <w:sz w:val="18"/>
        </w:rPr>
        <w:t>CHN-1), p.</w:t>
      </w:r>
      <w:r>
        <w:rPr>
          <w:spacing w:val="21"/>
          <w:sz w:val="18"/>
        </w:rPr>
        <w:t xml:space="preserve"> </w:t>
      </w:r>
      <w:r>
        <w:rPr>
          <w:sz w:val="18"/>
        </w:rPr>
        <w:t>59; Australia's</w:t>
      </w:r>
      <w:r>
        <w:rPr>
          <w:spacing w:val="20"/>
          <w:sz w:val="18"/>
        </w:rPr>
        <w:t xml:space="preserve"> </w:t>
      </w:r>
      <w:r>
        <w:rPr>
          <w:sz w:val="18"/>
        </w:rPr>
        <w:t>first written</w:t>
      </w:r>
      <w:r>
        <w:rPr>
          <w:spacing w:val="-7"/>
          <w:sz w:val="18"/>
        </w:rPr>
        <w:t xml:space="preserve"> </w:t>
      </w:r>
      <w:r>
        <w:rPr>
          <w:sz w:val="18"/>
        </w:rPr>
        <w:t>submission,</w:t>
      </w:r>
      <w:r>
        <w:rPr>
          <w:spacing w:val="-4"/>
          <w:sz w:val="18"/>
        </w:rPr>
        <w:t xml:space="preserve"> </w:t>
      </w:r>
      <w:r>
        <w:rPr>
          <w:sz w:val="18"/>
        </w:rPr>
        <w:t>paras.</w:t>
      </w:r>
      <w:r>
        <w:rPr>
          <w:spacing w:val="-1"/>
          <w:sz w:val="18"/>
        </w:rPr>
        <w:t xml:space="preserve"> </w:t>
      </w:r>
      <w:r>
        <w:rPr>
          <w:sz w:val="18"/>
        </w:rPr>
        <w:t>551,</w:t>
      </w:r>
      <w:r>
        <w:rPr>
          <w:spacing w:val="-3"/>
          <w:sz w:val="18"/>
        </w:rPr>
        <w:t xml:space="preserve"> </w:t>
      </w:r>
      <w:r>
        <w:rPr>
          <w:sz w:val="18"/>
        </w:rPr>
        <w:t>600,</w:t>
      </w:r>
      <w:r>
        <w:rPr>
          <w:spacing w:val="-4"/>
          <w:sz w:val="18"/>
        </w:rPr>
        <w:t xml:space="preserve"> </w:t>
      </w:r>
      <w:r>
        <w:rPr>
          <w:sz w:val="18"/>
        </w:rPr>
        <w:t>and</w:t>
      </w:r>
      <w:r>
        <w:rPr>
          <w:spacing w:val="-7"/>
          <w:sz w:val="18"/>
        </w:rPr>
        <w:t xml:space="preserve"> </w:t>
      </w:r>
      <w:r>
        <w:rPr>
          <w:sz w:val="18"/>
        </w:rPr>
        <w:t>602;</w:t>
      </w:r>
      <w:r>
        <w:rPr>
          <w:spacing w:val="-3"/>
          <w:sz w:val="18"/>
        </w:rPr>
        <w:t xml:space="preserve"> </w:t>
      </w:r>
      <w:r>
        <w:rPr>
          <w:sz w:val="18"/>
        </w:rPr>
        <w:t>and</w:t>
      </w:r>
      <w:r>
        <w:rPr>
          <w:spacing w:val="-7"/>
          <w:sz w:val="18"/>
        </w:rPr>
        <w:t xml:space="preserve"> </w:t>
      </w:r>
      <w:r>
        <w:rPr>
          <w:sz w:val="18"/>
        </w:rPr>
        <w:t>China's</w:t>
      </w:r>
      <w:r>
        <w:rPr>
          <w:spacing w:val="-6"/>
          <w:sz w:val="18"/>
        </w:rPr>
        <w:t xml:space="preserve"> </w:t>
      </w:r>
      <w:r>
        <w:rPr>
          <w:sz w:val="18"/>
        </w:rPr>
        <w:t>first</w:t>
      </w:r>
      <w:r>
        <w:rPr>
          <w:spacing w:val="-5"/>
          <w:sz w:val="18"/>
        </w:rPr>
        <w:t xml:space="preserve"> </w:t>
      </w:r>
      <w:r>
        <w:rPr>
          <w:sz w:val="18"/>
        </w:rPr>
        <w:t>written</w:t>
      </w:r>
      <w:r>
        <w:rPr>
          <w:spacing w:val="-5"/>
          <w:sz w:val="18"/>
        </w:rPr>
        <w:t xml:space="preserve"> </w:t>
      </w:r>
      <w:r>
        <w:rPr>
          <w:sz w:val="18"/>
        </w:rPr>
        <w:t>submission,</w:t>
      </w:r>
      <w:r>
        <w:rPr>
          <w:spacing w:val="-4"/>
          <w:sz w:val="18"/>
        </w:rPr>
        <w:t xml:space="preserve"> </w:t>
      </w:r>
      <w:r>
        <w:rPr>
          <w:sz w:val="18"/>
        </w:rPr>
        <w:t>paras.</w:t>
      </w:r>
      <w:r>
        <w:rPr>
          <w:spacing w:val="-1"/>
          <w:sz w:val="18"/>
        </w:rPr>
        <w:t xml:space="preserve"> </w:t>
      </w:r>
      <w:r>
        <w:rPr>
          <w:sz w:val="18"/>
        </w:rPr>
        <w:t>1377,</w:t>
      </w:r>
      <w:r>
        <w:rPr>
          <w:spacing w:val="-4"/>
          <w:sz w:val="18"/>
        </w:rPr>
        <w:t xml:space="preserve"> </w:t>
      </w:r>
      <w:r>
        <w:rPr>
          <w:sz w:val="18"/>
        </w:rPr>
        <w:t>1380,</w:t>
      </w:r>
      <w:r>
        <w:rPr>
          <w:spacing w:val="-4"/>
          <w:sz w:val="18"/>
        </w:rPr>
        <w:t xml:space="preserve"> </w:t>
      </w:r>
      <w:r>
        <w:rPr>
          <w:sz w:val="18"/>
        </w:rPr>
        <w:t>1332,</w:t>
      </w:r>
      <w:r>
        <w:rPr>
          <w:spacing w:val="-4"/>
          <w:sz w:val="18"/>
        </w:rPr>
        <w:t xml:space="preserve"> </w:t>
      </w:r>
      <w:r>
        <w:rPr>
          <w:sz w:val="18"/>
        </w:rPr>
        <w:t>1650,</w:t>
      </w:r>
      <w:r>
        <w:rPr>
          <w:spacing w:val="1"/>
          <w:sz w:val="18"/>
        </w:rPr>
        <w:t xml:space="preserve"> </w:t>
      </w:r>
      <w:r>
        <w:rPr>
          <w:sz w:val="18"/>
        </w:rPr>
        <w:t>and</w:t>
      </w:r>
      <w:r>
        <w:rPr>
          <w:spacing w:val="-2"/>
          <w:sz w:val="18"/>
        </w:rPr>
        <w:t xml:space="preserve"> 1667.</w:t>
      </w:r>
    </w:p>
    <w:p w14:paraId="12F1E2CD" w14:textId="77777777" w:rsidR="00BD462C" w:rsidRDefault="00033D0F">
      <w:pPr>
        <w:spacing w:before="2"/>
        <w:ind w:left="135"/>
        <w:rPr>
          <w:sz w:val="18"/>
        </w:rPr>
      </w:pPr>
      <w:bookmarkStart w:id="1154" w:name="_bookmark993"/>
      <w:bookmarkEnd w:id="1154"/>
      <w:r>
        <w:rPr>
          <w:position w:val="5"/>
          <w:sz w:val="12"/>
        </w:rPr>
        <w:t>847</w:t>
      </w:r>
      <w:r>
        <w:rPr>
          <w:spacing w:val="10"/>
          <w:position w:val="5"/>
          <w:sz w:val="12"/>
        </w:rPr>
        <w:t xml:space="preserve"> </w:t>
      </w:r>
      <w:r>
        <w:rPr>
          <w:sz w:val="18"/>
        </w:rPr>
        <w:t>China's</w:t>
      </w:r>
      <w:r>
        <w:rPr>
          <w:spacing w:val="-7"/>
          <w:sz w:val="18"/>
        </w:rPr>
        <w:t xml:space="preserve"> </w:t>
      </w:r>
      <w:r>
        <w:rPr>
          <w:sz w:val="18"/>
        </w:rPr>
        <w:t>first</w:t>
      </w:r>
      <w:r>
        <w:rPr>
          <w:spacing w:val="-5"/>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paras.</w:t>
      </w:r>
      <w:r>
        <w:rPr>
          <w:spacing w:val="-5"/>
          <w:sz w:val="18"/>
        </w:rPr>
        <w:t xml:space="preserve"> </w:t>
      </w:r>
      <w:r>
        <w:rPr>
          <w:sz w:val="18"/>
        </w:rPr>
        <w:t>1737,</w:t>
      </w:r>
      <w:r>
        <w:rPr>
          <w:spacing w:val="-5"/>
          <w:sz w:val="18"/>
        </w:rPr>
        <w:t xml:space="preserve"> </w:t>
      </w:r>
      <w:r>
        <w:rPr>
          <w:sz w:val="18"/>
        </w:rPr>
        <w:t>1739-1757;</w:t>
      </w:r>
      <w:r>
        <w:rPr>
          <w:spacing w:val="-8"/>
          <w:sz w:val="18"/>
        </w:rPr>
        <w:t xml:space="preserve"> </w:t>
      </w:r>
      <w:r>
        <w:rPr>
          <w:sz w:val="18"/>
        </w:rPr>
        <w:t>Anti-Dumping</w:t>
      </w:r>
      <w:r>
        <w:rPr>
          <w:spacing w:val="-6"/>
          <w:sz w:val="18"/>
        </w:rPr>
        <w:t xml:space="preserve"> </w:t>
      </w:r>
      <w:r>
        <w:rPr>
          <w:sz w:val="18"/>
        </w:rPr>
        <w:t>Final</w:t>
      </w:r>
      <w:r>
        <w:rPr>
          <w:spacing w:val="-2"/>
          <w:sz w:val="18"/>
        </w:rPr>
        <w:t xml:space="preserve"> </w:t>
      </w:r>
      <w:r>
        <w:rPr>
          <w:sz w:val="18"/>
        </w:rPr>
        <w:t>Determination</w:t>
      </w:r>
      <w:r>
        <w:rPr>
          <w:spacing w:val="-7"/>
          <w:sz w:val="18"/>
        </w:rPr>
        <w:t xml:space="preserve"> </w:t>
      </w:r>
      <w:r>
        <w:rPr>
          <w:sz w:val="18"/>
        </w:rPr>
        <w:t>(Exhibit</w:t>
      </w:r>
      <w:r>
        <w:rPr>
          <w:spacing w:val="-6"/>
          <w:sz w:val="18"/>
        </w:rPr>
        <w:t xml:space="preserve"> </w:t>
      </w:r>
      <w:r>
        <w:rPr>
          <w:sz w:val="18"/>
        </w:rPr>
        <w:t>AUS-2),</w:t>
      </w:r>
      <w:r>
        <w:rPr>
          <w:spacing w:val="-5"/>
          <w:sz w:val="18"/>
        </w:rPr>
        <w:t xml:space="preserve"> </w:t>
      </w:r>
      <w:r>
        <w:rPr>
          <w:sz w:val="18"/>
        </w:rPr>
        <w:t>pp.</w:t>
      </w:r>
      <w:r>
        <w:rPr>
          <w:spacing w:val="-5"/>
          <w:sz w:val="18"/>
        </w:rPr>
        <w:t xml:space="preserve"> </w:t>
      </w:r>
      <w:r>
        <w:rPr>
          <w:sz w:val="18"/>
        </w:rPr>
        <w:t>134-</w:t>
      </w:r>
      <w:r>
        <w:rPr>
          <w:spacing w:val="-4"/>
          <w:sz w:val="18"/>
        </w:rPr>
        <w:t>136.</w:t>
      </w:r>
    </w:p>
    <w:p w14:paraId="64967F34" w14:textId="77777777" w:rsidR="00BD462C" w:rsidRDefault="00033D0F">
      <w:pPr>
        <w:spacing w:before="1"/>
        <w:ind w:left="135"/>
        <w:rPr>
          <w:sz w:val="18"/>
        </w:rPr>
      </w:pPr>
      <w:bookmarkStart w:id="1155" w:name="_bookmark994"/>
      <w:bookmarkEnd w:id="1155"/>
      <w:r>
        <w:rPr>
          <w:position w:val="5"/>
          <w:sz w:val="12"/>
        </w:rPr>
        <w:t>848</w:t>
      </w:r>
      <w:r>
        <w:rPr>
          <w:spacing w:val="12"/>
          <w:position w:val="5"/>
          <w:sz w:val="12"/>
        </w:rPr>
        <w:t xml:space="preserve"> </w:t>
      </w:r>
      <w:r>
        <w:rPr>
          <w:sz w:val="18"/>
        </w:rPr>
        <w:t>China's</w:t>
      </w:r>
      <w:r>
        <w:rPr>
          <w:spacing w:val="-6"/>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 paras.</w:t>
      </w:r>
      <w:r>
        <w:rPr>
          <w:spacing w:val="-5"/>
          <w:sz w:val="18"/>
        </w:rPr>
        <w:t xml:space="preserve"> </w:t>
      </w:r>
      <w:r>
        <w:rPr>
          <w:sz w:val="18"/>
        </w:rPr>
        <w:t>1727-</w:t>
      </w:r>
      <w:r>
        <w:rPr>
          <w:spacing w:val="-2"/>
          <w:sz w:val="18"/>
        </w:rPr>
        <w:t>1732.</w:t>
      </w:r>
    </w:p>
    <w:p w14:paraId="7C9AD896" w14:textId="77777777" w:rsidR="00BD462C" w:rsidRDefault="00033D0F">
      <w:pPr>
        <w:spacing w:before="1"/>
        <w:ind w:left="135"/>
        <w:rPr>
          <w:sz w:val="18"/>
        </w:rPr>
      </w:pPr>
      <w:bookmarkStart w:id="1156" w:name="_bookmark995"/>
      <w:bookmarkEnd w:id="1156"/>
      <w:r>
        <w:rPr>
          <w:position w:val="5"/>
          <w:sz w:val="12"/>
        </w:rPr>
        <w:t>849</w:t>
      </w:r>
      <w:r>
        <w:rPr>
          <w:spacing w:val="13"/>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paras.</w:t>
      </w:r>
      <w:r>
        <w:rPr>
          <w:spacing w:val="-4"/>
          <w:sz w:val="18"/>
        </w:rPr>
        <w:t xml:space="preserve"> </w:t>
      </w:r>
      <w:r>
        <w:rPr>
          <w:spacing w:val="-2"/>
          <w:sz w:val="18"/>
        </w:rPr>
        <w:t>1731.</w:t>
      </w:r>
    </w:p>
    <w:p w14:paraId="5B73E581" w14:textId="77777777" w:rsidR="00BD462C" w:rsidRDefault="00BD462C">
      <w:pPr>
        <w:rPr>
          <w:sz w:val="18"/>
        </w:rPr>
        <w:sectPr w:rsidR="00BD462C">
          <w:pgSz w:w="11910" w:h="16840"/>
          <w:pgMar w:top="860" w:right="500" w:bottom="780" w:left="1280" w:header="566" w:footer="590" w:gutter="0"/>
          <w:cols w:space="720"/>
        </w:sectPr>
      </w:pPr>
    </w:p>
    <w:p w14:paraId="08387F2D"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7A7397BE"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3F914F48"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449B4F5A" w14:textId="77777777" w:rsidR="00BD462C" w:rsidRDefault="00033D0F">
      <w:pPr>
        <w:pStyle w:val="BodyText"/>
        <w:spacing w:before="102" w:line="360" w:lineRule="auto"/>
        <w:ind w:left="135" w:right="910"/>
        <w:jc w:val="both"/>
      </w:pPr>
      <w:r>
        <w:t>challenge MOFCOM's flawed market share analysis, specifically because it is incapable of supporting MOFCOM's finding that subject imports suppressed the price of domestic like products or its affirmative causation determination;</w:t>
      </w:r>
      <w:hyperlink w:anchor="_bookmark997" w:history="1">
        <w:r>
          <w:rPr>
            <w:vertAlign w:val="superscript"/>
          </w:rPr>
          <w:t>850</w:t>
        </w:r>
      </w:hyperlink>
      <w:r>
        <w:t xml:space="preserve"> (ii) Australia does challenge MOFCOM's assertion of the competitive relationship between subject imports and domestic like products;</w:t>
      </w:r>
      <w:hyperlink w:anchor="_bookmark998" w:history="1">
        <w:r>
          <w:rPr>
            <w:vertAlign w:val="superscript"/>
          </w:rPr>
          <w:t>851</w:t>
        </w:r>
      </w:hyperlink>
      <w:r>
        <w:t xml:space="preserve"> (iii) Australia does challenge MOFCOM's examination of the impact of the dumped imports on the domestic industry, including MOFCOM's assessment of the explanatory force that subject imports were said to have on the state observed in the domestic industry;</w:t>
      </w:r>
      <w:hyperlink w:anchor="_bookmark999" w:history="1">
        <w:r>
          <w:rPr>
            <w:vertAlign w:val="superscript"/>
          </w:rPr>
          <w:t>852</w:t>
        </w:r>
      </w:hyperlink>
      <w:r>
        <w:t xml:space="preserve"> and (iv) MOFCOM's consideration of price effects was flawed, and China's </w:t>
      </w:r>
      <w:r>
        <w:rPr>
          <w:i/>
        </w:rPr>
        <w:t xml:space="preserve">ex post facto </w:t>
      </w:r>
      <w:r>
        <w:t>description of a "holistic analysis" does not remedy MOFCOM's errors, omissions, and failure to conduct an objective examination.</w:t>
      </w:r>
    </w:p>
    <w:p w14:paraId="15401381" w14:textId="77777777" w:rsidR="00BD462C" w:rsidRDefault="00033D0F">
      <w:pPr>
        <w:pStyle w:val="Heading3"/>
        <w:numPr>
          <w:ilvl w:val="0"/>
          <w:numId w:val="32"/>
        </w:numPr>
        <w:tabs>
          <w:tab w:val="left" w:pos="2689"/>
          <w:tab w:val="left" w:pos="2690"/>
        </w:tabs>
        <w:spacing w:before="156" w:line="362" w:lineRule="auto"/>
        <w:ind w:right="912"/>
      </w:pPr>
      <w:bookmarkStart w:id="1157" w:name="3._MOFCOM_did_not_establish_that_subject"/>
      <w:bookmarkStart w:id="1158" w:name="_bookmark996"/>
      <w:bookmarkEnd w:id="1157"/>
      <w:bookmarkEnd w:id="1158"/>
      <w:r>
        <w:t>MOFCOM did not establish that subject imports caused material injury to the domestic industry</w:t>
      </w:r>
    </w:p>
    <w:p w14:paraId="5638ED3D" w14:textId="77777777" w:rsidR="00BD462C" w:rsidRDefault="00BD462C">
      <w:pPr>
        <w:pStyle w:val="BodyText"/>
        <w:spacing w:before="8"/>
        <w:rPr>
          <w:b/>
          <w:sz w:val="8"/>
        </w:rPr>
      </w:pPr>
    </w:p>
    <w:p w14:paraId="60F231E6" w14:textId="0797002D" w:rsidR="00BD462C" w:rsidRDefault="000F5FA7">
      <w:pPr>
        <w:pStyle w:val="BodyText"/>
        <w:spacing w:before="56" w:line="360" w:lineRule="auto"/>
        <w:ind w:left="135" w:right="912"/>
        <w:jc w:val="both"/>
      </w:pPr>
      <w:r>
        <w:rPr>
          <w:noProof/>
        </w:rPr>
        <w:t>561.</w:t>
      </w:r>
      <w:r w:rsidR="00033D0F">
        <w:rPr>
          <w:rFonts w:ascii="Times New Roman"/>
          <w:spacing w:val="80"/>
          <w:position w:val="1"/>
          <w:sz w:val="20"/>
        </w:rPr>
        <w:t xml:space="preserve">  </w:t>
      </w:r>
      <w:r w:rsidR="00033D0F">
        <w:rPr>
          <w:position w:val="1"/>
        </w:rPr>
        <w:t xml:space="preserve">The parties disagree as to whether MOFCOM established the existence of a genuine </w:t>
      </w:r>
      <w:r w:rsidR="00033D0F">
        <w:t>relationship</w:t>
      </w:r>
      <w:r w:rsidR="00033D0F">
        <w:rPr>
          <w:spacing w:val="-4"/>
        </w:rPr>
        <w:t xml:space="preserve"> </w:t>
      </w:r>
      <w:r w:rsidR="00033D0F">
        <w:t>of</w:t>
      </w:r>
      <w:r w:rsidR="00033D0F">
        <w:rPr>
          <w:spacing w:val="-4"/>
        </w:rPr>
        <w:t xml:space="preserve"> </w:t>
      </w:r>
      <w:r w:rsidR="00033D0F">
        <w:t>cause</w:t>
      </w:r>
      <w:r w:rsidR="00033D0F">
        <w:rPr>
          <w:spacing w:val="-2"/>
        </w:rPr>
        <w:t xml:space="preserve"> </w:t>
      </w:r>
      <w:r w:rsidR="00033D0F">
        <w:t>and effect between</w:t>
      </w:r>
      <w:r w:rsidR="00033D0F">
        <w:rPr>
          <w:spacing w:val="-4"/>
        </w:rPr>
        <w:t xml:space="preserve"> </w:t>
      </w:r>
      <w:r w:rsidR="00033D0F">
        <w:t>subject</w:t>
      </w:r>
      <w:r w:rsidR="00033D0F">
        <w:rPr>
          <w:spacing w:val="-2"/>
        </w:rPr>
        <w:t xml:space="preserve"> </w:t>
      </w:r>
      <w:r w:rsidR="00033D0F">
        <w:t>imports</w:t>
      </w:r>
      <w:r w:rsidR="00033D0F">
        <w:rPr>
          <w:spacing w:val="-1"/>
        </w:rPr>
        <w:t xml:space="preserve"> </w:t>
      </w:r>
      <w:r w:rsidR="00033D0F">
        <w:t>and material injury</w:t>
      </w:r>
      <w:r w:rsidR="00033D0F">
        <w:rPr>
          <w:spacing w:val="-1"/>
        </w:rPr>
        <w:t xml:space="preserve"> </w:t>
      </w:r>
      <w:r w:rsidR="00033D0F">
        <w:t>to the domestic industry. Australia's position is that MOFCOM did not. The parties' first written submissions disclose two key categories of difference. First, the parties disagree as to the legal standard required to establish causation under Article 3.5 and its relationship with the analyses under Articles</w:t>
      </w:r>
      <w:r w:rsidR="00033D0F">
        <w:rPr>
          <w:spacing w:val="-1"/>
        </w:rPr>
        <w:t xml:space="preserve"> </w:t>
      </w:r>
      <w:r w:rsidR="00033D0F">
        <w:t>3.2, 3.4 and the third sentence of Article</w:t>
      </w:r>
      <w:r w:rsidR="00033D0F">
        <w:rPr>
          <w:spacing w:val="-2"/>
        </w:rPr>
        <w:t xml:space="preserve"> </w:t>
      </w:r>
      <w:r w:rsidR="00033D0F">
        <w:t>3.5. Second, the parties disagree as to whether MOFCOM's causation determination in fact complied with the</w:t>
      </w:r>
      <w:r w:rsidR="00033D0F">
        <w:rPr>
          <w:spacing w:val="-3"/>
        </w:rPr>
        <w:t xml:space="preserve"> </w:t>
      </w:r>
      <w:r w:rsidR="00033D0F">
        <w:t>standard required by Articles 3.1 and 3.5.</w:t>
      </w:r>
    </w:p>
    <w:p w14:paraId="46711E3E" w14:textId="77777777" w:rsidR="00BD462C" w:rsidRDefault="00033D0F">
      <w:pPr>
        <w:pStyle w:val="ListParagraph"/>
        <w:numPr>
          <w:ilvl w:val="1"/>
          <w:numId w:val="32"/>
        </w:numPr>
        <w:tabs>
          <w:tab w:val="left" w:pos="3539"/>
          <w:tab w:val="left" w:pos="3540"/>
        </w:tabs>
        <w:spacing w:before="157"/>
        <w:ind w:hanging="851"/>
        <w:jc w:val="both"/>
        <w:rPr>
          <w:sz w:val="24"/>
        </w:rPr>
      </w:pPr>
      <w:bookmarkStart w:id="1159" w:name="(a)_Correct_legal_standard"/>
      <w:bookmarkEnd w:id="1159"/>
      <w:r>
        <w:rPr>
          <w:sz w:val="24"/>
          <w:u w:val="single"/>
        </w:rPr>
        <w:t>Correct</w:t>
      </w:r>
      <w:r>
        <w:rPr>
          <w:spacing w:val="-3"/>
          <w:sz w:val="24"/>
          <w:u w:val="single"/>
        </w:rPr>
        <w:t xml:space="preserve"> </w:t>
      </w:r>
      <w:r>
        <w:rPr>
          <w:sz w:val="24"/>
          <w:u w:val="single"/>
        </w:rPr>
        <w:t>legal</w:t>
      </w:r>
      <w:r>
        <w:rPr>
          <w:spacing w:val="-1"/>
          <w:sz w:val="24"/>
          <w:u w:val="single"/>
        </w:rPr>
        <w:t xml:space="preserve"> </w:t>
      </w:r>
      <w:r>
        <w:rPr>
          <w:spacing w:val="-2"/>
          <w:sz w:val="24"/>
          <w:u w:val="single"/>
        </w:rPr>
        <w:t>standard</w:t>
      </w:r>
    </w:p>
    <w:p w14:paraId="7CA21A9E" w14:textId="77777777" w:rsidR="00BD462C" w:rsidRDefault="00BD462C">
      <w:pPr>
        <w:pStyle w:val="BodyText"/>
        <w:spacing w:before="11"/>
        <w:rPr>
          <w:sz w:val="20"/>
        </w:rPr>
      </w:pPr>
    </w:p>
    <w:p w14:paraId="71E42764" w14:textId="5A5B0D03" w:rsidR="00BD462C" w:rsidRDefault="000F5FA7">
      <w:pPr>
        <w:pStyle w:val="BodyText"/>
        <w:spacing w:before="56" w:line="360" w:lineRule="auto"/>
        <w:ind w:left="135" w:right="912"/>
        <w:jc w:val="both"/>
      </w:pPr>
      <w:r>
        <w:rPr>
          <w:noProof/>
        </w:rPr>
        <w:t>562.</w:t>
      </w:r>
      <w:r w:rsidR="00033D0F">
        <w:rPr>
          <w:rFonts w:ascii="Times New Roman"/>
          <w:spacing w:val="80"/>
          <w:position w:val="1"/>
          <w:sz w:val="20"/>
        </w:rPr>
        <w:t xml:space="preserve">  </w:t>
      </w:r>
      <w:r w:rsidR="00033D0F">
        <w:rPr>
          <w:position w:val="1"/>
        </w:rPr>
        <w:t>In</w:t>
      </w:r>
      <w:r w:rsidR="00033D0F">
        <w:rPr>
          <w:spacing w:val="-9"/>
          <w:position w:val="1"/>
        </w:rPr>
        <w:t xml:space="preserve"> </w:t>
      </w:r>
      <w:r w:rsidR="00033D0F">
        <w:rPr>
          <w:position w:val="1"/>
        </w:rPr>
        <w:t>its</w:t>
      </w:r>
      <w:r w:rsidR="00033D0F">
        <w:rPr>
          <w:spacing w:val="-6"/>
          <w:position w:val="1"/>
        </w:rPr>
        <w:t xml:space="preserve"> </w:t>
      </w:r>
      <w:r w:rsidR="00033D0F">
        <w:rPr>
          <w:position w:val="1"/>
        </w:rPr>
        <w:t>first</w:t>
      </w:r>
      <w:r w:rsidR="00033D0F">
        <w:rPr>
          <w:spacing w:val="-11"/>
          <w:position w:val="1"/>
        </w:rPr>
        <w:t xml:space="preserve"> </w:t>
      </w:r>
      <w:r w:rsidR="00033D0F">
        <w:rPr>
          <w:position w:val="1"/>
        </w:rPr>
        <w:t>written</w:t>
      </w:r>
      <w:r w:rsidR="00033D0F">
        <w:rPr>
          <w:spacing w:val="-14"/>
          <w:position w:val="1"/>
        </w:rPr>
        <w:t xml:space="preserve"> </w:t>
      </w:r>
      <w:r w:rsidR="00033D0F">
        <w:rPr>
          <w:position w:val="1"/>
        </w:rPr>
        <w:t>submission,</w:t>
      </w:r>
      <w:r w:rsidR="00033D0F">
        <w:rPr>
          <w:spacing w:val="-10"/>
          <w:position w:val="1"/>
        </w:rPr>
        <w:t xml:space="preserve"> </w:t>
      </w:r>
      <w:r w:rsidR="00033D0F">
        <w:rPr>
          <w:position w:val="1"/>
        </w:rPr>
        <w:t>China</w:t>
      </w:r>
      <w:r w:rsidR="00033D0F">
        <w:rPr>
          <w:spacing w:val="-8"/>
          <w:position w:val="1"/>
        </w:rPr>
        <w:t xml:space="preserve"> </w:t>
      </w:r>
      <w:r w:rsidR="00033D0F">
        <w:rPr>
          <w:position w:val="1"/>
        </w:rPr>
        <w:t>outlines</w:t>
      </w:r>
      <w:r w:rsidR="00033D0F">
        <w:rPr>
          <w:spacing w:val="-6"/>
          <w:position w:val="1"/>
        </w:rPr>
        <w:t xml:space="preserve"> </w:t>
      </w:r>
      <w:r w:rsidR="00033D0F">
        <w:rPr>
          <w:position w:val="1"/>
        </w:rPr>
        <w:t>four</w:t>
      </w:r>
      <w:r w:rsidR="00033D0F">
        <w:rPr>
          <w:spacing w:val="-10"/>
          <w:position w:val="1"/>
        </w:rPr>
        <w:t xml:space="preserve"> </w:t>
      </w:r>
      <w:r w:rsidR="00033D0F">
        <w:rPr>
          <w:position w:val="1"/>
        </w:rPr>
        <w:t>principles</w:t>
      </w:r>
      <w:r w:rsidR="00033D0F">
        <w:rPr>
          <w:spacing w:val="-10"/>
          <w:position w:val="1"/>
        </w:rPr>
        <w:t xml:space="preserve"> </w:t>
      </w:r>
      <w:r w:rsidR="00033D0F">
        <w:rPr>
          <w:position w:val="1"/>
        </w:rPr>
        <w:t>which</w:t>
      </w:r>
      <w:r w:rsidR="00033D0F">
        <w:rPr>
          <w:spacing w:val="-9"/>
          <w:position w:val="1"/>
        </w:rPr>
        <w:t xml:space="preserve"> </w:t>
      </w:r>
      <w:r w:rsidR="00033D0F">
        <w:rPr>
          <w:position w:val="1"/>
        </w:rPr>
        <w:t>it</w:t>
      </w:r>
      <w:r w:rsidR="00033D0F">
        <w:rPr>
          <w:spacing w:val="-11"/>
          <w:position w:val="1"/>
        </w:rPr>
        <w:t xml:space="preserve"> </w:t>
      </w:r>
      <w:r w:rsidR="00033D0F">
        <w:rPr>
          <w:position w:val="1"/>
        </w:rPr>
        <w:t>argues</w:t>
      </w:r>
      <w:r w:rsidR="00033D0F">
        <w:rPr>
          <w:spacing w:val="-6"/>
          <w:position w:val="1"/>
        </w:rPr>
        <w:t xml:space="preserve"> </w:t>
      </w:r>
      <w:r w:rsidR="00033D0F">
        <w:rPr>
          <w:position w:val="1"/>
        </w:rPr>
        <w:t>are</w:t>
      </w:r>
      <w:r w:rsidR="00033D0F">
        <w:rPr>
          <w:spacing w:val="-7"/>
          <w:position w:val="1"/>
        </w:rPr>
        <w:t xml:space="preserve"> </w:t>
      </w:r>
      <w:r w:rsidR="00033D0F">
        <w:rPr>
          <w:position w:val="1"/>
        </w:rPr>
        <w:t xml:space="preserve">"well- </w:t>
      </w:r>
      <w:r w:rsidR="00033D0F">
        <w:t>established WTO jurisprudence" regarding the causation standard under Article</w:t>
      </w:r>
      <w:r w:rsidR="00033D0F">
        <w:rPr>
          <w:spacing w:val="-1"/>
        </w:rPr>
        <w:t xml:space="preserve"> </w:t>
      </w:r>
      <w:r w:rsidR="00033D0F">
        <w:t>3.5.</w:t>
      </w:r>
      <w:hyperlink w:anchor="_bookmark1000" w:history="1">
        <w:r w:rsidR="00033D0F">
          <w:rPr>
            <w:vertAlign w:val="superscript"/>
          </w:rPr>
          <w:t>853</w:t>
        </w:r>
      </w:hyperlink>
      <w:r w:rsidR="00033D0F">
        <w:t xml:space="preserve"> Australia</w:t>
      </w:r>
      <w:r w:rsidR="00033D0F">
        <w:rPr>
          <w:spacing w:val="-8"/>
        </w:rPr>
        <w:t xml:space="preserve"> </w:t>
      </w:r>
      <w:r w:rsidR="00033D0F">
        <w:t>agrees</w:t>
      </w:r>
      <w:r w:rsidR="00033D0F">
        <w:rPr>
          <w:spacing w:val="-6"/>
        </w:rPr>
        <w:t xml:space="preserve"> </w:t>
      </w:r>
      <w:r w:rsidR="00033D0F">
        <w:t>with</w:t>
      </w:r>
      <w:r w:rsidR="00033D0F">
        <w:rPr>
          <w:spacing w:val="-9"/>
        </w:rPr>
        <w:t xml:space="preserve"> </w:t>
      </w:r>
      <w:r w:rsidR="00033D0F">
        <w:t>the</w:t>
      </w:r>
      <w:r w:rsidR="00033D0F">
        <w:rPr>
          <w:spacing w:val="-7"/>
        </w:rPr>
        <w:t xml:space="preserve"> </w:t>
      </w:r>
      <w:r w:rsidR="00033D0F">
        <w:t>first</w:t>
      </w:r>
      <w:r w:rsidR="00033D0F">
        <w:rPr>
          <w:spacing w:val="-7"/>
        </w:rPr>
        <w:t xml:space="preserve"> </w:t>
      </w:r>
      <w:r w:rsidR="00033D0F">
        <w:t>principle,</w:t>
      </w:r>
      <w:r w:rsidR="00033D0F">
        <w:rPr>
          <w:spacing w:val="-10"/>
        </w:rPr>
        <w:t xml:space="preserve"> </w:t>
      </w:r>
      <w:r w:rsidR="00033D0F">
        <w:t>that</w:t>
      </w:r>
      <w:r w:rsidR="00033D0F">
        <w:rPr>
          <w:spacing w:val="-7"/>
        </w:rPr>
        <w:t xml:space="preserve"> </w:t>
      </w:r>
      <w:r w:rsidR="00033D0F">
        <w:t>a</w:t>
      </w:r>
      <w:r w:rsidR="00033D0F">
        <w:rPr>
          <w:spacing w:val="-8"/>
        </w:rPr>
        <w:t xml:space="preserve"> </w:t>
      </w:r>
      <w:r w:rsidR="00033D0F">
        <w:t>"'causal</w:t>
      </w:r>
      <w:r w:rsidR="00033D0F">
        <w:rPr>
          <w:spacing w:val="-5"/>
        </w:rPr>
        <w:t xml:space="preserve"> </w:t>
      </w:r>
      <w:r w:rsidR="00033D0F">
        <w:t>relationship'</w:t>
      </w:r>
      <w:r w:rsidR="00033D0F">
        <w:rPr>
          <w:spacing w:val="-8"/>
        </w:rPr>
        <w:t xml:space="preserve"> </w:t>
      </w:r>
      <w:r w:rsidR="00033D0F">
        <w:t>between</w:t>
      </w:r>
      <w:r w:rsidR="00033D0F">
        <w:rPr>
          <w:spacing w:val="-9"/>
        </w:rPr>
        <w:t xml:space="preserve"> </w:t>
      </w:r>
      <w:r w:rsidR="00033D0F">
        <w:t>dumped</w:t>
      </w:r>
      <w:r w:rsidR="00033D0F">
        <w:rPr>
          <w:spacing w:val="-9"/>
        </w:rPr>
        <w:t xml:space="preserve"> </w:t>
      </w:r>
      <w:r w:rsidR="00033D0F">
        <w:t>imports and</w:t>
      </w:r>
      <w:r w:rsidR="00033D0F">
        <w:rPr>
          <w:spacing w:val="-14"/>
        </w:rPr>
        <w:t xml:space="preserve"> </w:t>
      </w:r>
      <w:r w:rsidR="00033D0F">
        <w:t>material</w:t>
      </w:r>
      <w:r w:rsidR="00033D0F">
        <w:rPr>
          <w:spacing w:val="-14"/>
        </w:rPr>
        <w:t xml:space="preserve"> </w:t>
      </w:r>
      <w:r w:rsidR="00033D0F">
        <w:t>injury</w:t>
      </w:r>
      <w:r w:rsidR="00033D0F">
        <w:rPr>
          <w:spacing w:val="-11"/>
        </w:rPr>
        <w:t xml:space="preserve"> </w:t>
      </w:r>
      <w:r w:rsidR="00033D0F">
        <w:t>may</w:t>
      </w:r>
      <w:r w:rsidR="00033D0F">
        <w:rPr>
          <w:spacing w:val="-12"/>
        </w:rPr>
        <w:t xml:space="preserve"> </w:t>
      </w:r>
      <w:r w:rsidR="00033D0F">
        <w:t>exist</w:t>
      </w:r>
      <w:r w:rsidR="00033D0F">
        <w:rPr>
          <w:spacing w:val="-12"/>
        </w:rPr>
        <w:t xml:space="preserve"> </w:t>
      </w:r>
      <w:r w:rsidR="00033D0F">
        <w:t>even</w:t>
      </w:r>
      <w:r w:rsidR="00033D0F">
        <w:rPr>
          <w:spacing w:val="-14"/>
        </w:rPr>
        <w:t xml:space="preserve"> </w:t>
      </w:r>
      <w:r w:rsidR="00033D0F">
        <w:t>though</w:t>
      </w:r>
      <w:r w:rsidR="00033D0F">
        <w:rPr>
          <w:spacing w:val="-14"/>
        </w:rPr>
        <w:t xml:space="preserve"> </w:t>
      </w:r>
      <w:r w:rsidR="00033D0F">
        <w:t>other</w:t>
      </w:r>
      <w:r w:rsidR="00033D0F">
        <w:rPr>
          <w:spacing w:val="-13"/>
        </w:rPr>
        <w:t xml:space="preserve"> </w:t>
      </w:r>
      <w:r w:rsidR="00033D0F">
        <w:t>factors</w:t>
      </w:r>
      <w:r w:rsidR="00033D0F">
        <w:rPr>
          <w:spacing w:val="-10"/>
        </w:rPr>
        <w:t xml:space="preserve"> </w:t>
      </w:r>
      <w:r w:rsidR="00033D0F">
        <w:t>are</w:t>
      </w:r>
      <w:r w:rsidR="00033D0F">
        <w:rPr>
          <w:spacing w:val="-13"/>
        </w:rPr>
        <w:t xml:space="preserve"> </w:t>
      </w:r>
      <w:r w:rsidR="00033D0F">
        <w:t>also</w:t>
      </w:r>
      <w:r w:rsidR="00033D0F">
        <w:rPr>
          <w:spacing w:val="-14"/>
        </w:rPr>
        <w:t xml:space="preserve"> </w:t>
      </w:r>
      <w:r w:rsidR="00033D0F">
        <w:t>causing</w:t>
      </w:r>
      <w:r w:rsidR="00033D0F">
        <w:rPr>
          <w:spacing w:val="-10"/>
        </w:rPr>
        <w:t xml:space="preserve"> </w:t>
      </w:r>
      <w:r w:rsidR="00033D0F">
        <w:t>injury</w:t>
      </w:r>
      <w:r w:rsidR="00033D0F">
        <w:rPr>
          <w:spacing w:val="-12"/>
        </w:rPr>
        <w:t xml:space="preserve"> </w:t>
      </w:r>
      <w:r w:rsidR="00033D0F">
        <w:t>to</w:t>
      </w:r>
      <w:r w:rsidR="00033D0F">
        <w:rPr>
          <w:spacing w:val="-14"/>
        </w:rPr>
        <w:t xml:space="preserve"> </w:t>
      </w:r>
      <w:r w:rsidR="00033D0F">
        <w:t>the</w:t>
      </w:r>
      <w:r w:rsidR="00033D0F">
        <w:rPr>
          <w:spacing w:val="-12"/>
        </w:rPr>
        <w:t xml:space="preserve"> </w:t>
      </w:r>
      <w:r w:rsidR="00033D0F">
        <w:t>domestic industry</w:t>
      </w:r>
      <w:r w:rsidR="00033D0F">
        <w:rPr>
          <w:spacing w:val="38"/>
        </w:rPr>
        <w:t xml:space="preserve"> </w:t>
      </w:r>
      <w:r w:rsidR="00033D0F">
        <w:t>at</w:t>
      </w:r>
      <w:r w:rsidR="00033D0F">
        <w:rPr>
          <w:spacing w:val="37"/>
        </w:rPr>
        <w:t xml:space="preserve"> </w:t>
      </w:r>
      <w:r w:rsidR="00033D0F">
        <w:t>the</w:t>
      </w:r>
      <w:r w:rsidR="00033D0F">
        <w:rPr>
          <w:spacing w:val="37"/>
        </w:rPr>
        <w:t xml:space="preserve"> </w:t>
      </w:r>
      <w:r w:rsidR="00033D0F">
        <w:t>same</w:t>
      </w:r>
      <w:r w:rsidR="00033D0F">
        <w:rPr>
          <w:spacing w:val="37"/>
        </w:rPr>
        <w:t xml:space="preserve"> </w:t>
      </w:r>
      <w:r w:rsidR="00033D0F">
        <w:t>time</w:t>
      </w:r>
      <w:r w:rsidR="00033D0F">
        <w:rPr>
          <w:spacing w:val="37"/>
        </w:rPr>
        <w:t xml:space="preserve"> </w:t>
      </w:r>
      <w:r w:rsidR="00033D0F">
        <w:t>as</w:t>
      </w:r>
      <w:r w:rsidR="00033D0F">
        <w:rPr>
          <w:spacing w:val="38"/>
        </w:rPr>
        <w:t xml:space="preserve"> </w:t>
      </w:r>
      <w:r w:rsidR="00033D0F">
        <w:t>the</w:t>
      </w:r>
      <w:r w:rsidR="00033D0F">
        <w:rPr>
          <w:spacing w:val="37"/>
        </w:rPr>
        <w:t xml:space="preserve"> </w:t>
      </w:r>
      <w:r w:rsidR="00033D0F">
        <w:t>dumped</w:t>
      </w:r>
      <w:r w:rsidR="00033D0F">
        <w:rPr>
          <w:spacing w:val="40"/>
        </w:rPr>
        <w:t xml:space="preserve"> </w:t>
      </w:r>
      <w:r w:rsidR="00033D0F">
        <w:t>import",</w:t>
      </w:r>
      <w:hyperlink w:anchor="_bookmark1001" w:history="1">
        <w:r w:rsidR="00033D0F">
          <w:rPr>
            <w:vertAlign w:val="superscript"/>
          </w:rPr>
          <w:t>854</w:t>
        </w:r>
      </w:hyperlink>
      <w:r w:rsidR="00033D0F">
        <w:rPr>
          <w:spacing w:val="38"/>
        </w:rPr>
        <w:t xml:space="preserve"> </w:t>
      </w:r>
      <w:r w:rsidR="00033D0F">
        <w:t>and</w:t>
      </w:r>
      <w:r w:rsidR="00033D0F">
        <w:rPr>
          <w:spacing w:val="40"/>
        </w:rPr>
        <w:t xml:space="preserve"> </w:t>
      </w:r>
      <w:r w:rsidR="00033D0F">
        <w:t>the</w:t>
      </w:r>
      <w:r w:rsidR="00033D0F">
        <w:rPr>
          <w:spacing w:val="37"/>
        </w:rPr>
        <w:t xml:space="preserve"> </w:t>
      </w:r>
      <w:r w:rsidR="00033D0F">
        <w:t>fourth</w:t>
      </w:r>
      <w:r w:rsidR="00033D0F">
        <w:rPr>
          <w:spacing w:val="40"/>
        </w:rPr>
        <w:t xml:space="preserve"> </w:t>
      </w:r>
      <w:r w:rsidR="00033D0F">
        <w:t>principle,</w:t>
      </w:r>
      <w:r w:rsidR="00033D0F">
        <w:rPr>
          <w:spacing w:val="39"/>
        </w:rPr>
        <w:t xml:space="preserve"> </w:t>
      </w:r>
      <w:r w:rsidR="00033D0F">
        <w:t>"that</w:t>
      </w:r>
      <w:r w:rsidR="00033D0F">
        <w:rPr>
          <w:spacing w:val="37"/>
        </w:rPr>
        <w:t xml:space="preserve"> </w:t>
      </w:r>
      <w:r w:rsidR="00033D0F">
        <w:t>the</w:t>
      </w:r>
    </w:p>
    <w:p w14:paraId="58C81B3E" w14:textId="77777777" w:rsidR="00BD462C" w:rsidRDefault="00BD462C">
      <w:pPr>
        <w:pStyle w:val="BodyText"/>
        <w:rPr>
          <w:sz w:val="20"/>
        </w:rPr>
      </w:pPr>
    </w:p>
    <w:p w14:paraId="0FC9F35E" w14:textId="70F10665" w:rsidR="00BD462C" w:rsidRDefault="00D70C7D">
      <w:pPr>
        <w:pStyle w:val="BodyText"/>
        <w:spacing w:before="7"/>
        <w:rPr>
          <w:sz w:val="12"/>
        </w:rPr>
      </w:pPr>
      <w:r>
        <w:rPr>
          <w:noProof/>
        </w:rPr>
        <mc:AlternateContent>
          <mc:Choice Requires="wps">
            <w:drawing>
              <wp:anchor distT="0" distB="0" distL="0" distR="0" simplePos="0" relativeHeight="487796224" behindDoc="1" locked="0" layoutInCell="1" allowOverlap="1" wp14:anchorId="4F7AA885" wp14:editId="62FDF81E">
                <wp:simplePos x="0" y="0"/>
                <wp:positionH relativeFrom="page">
                  <wp:posOffset>899160</wp:posOffset>
                </wp:positionH>
                <wp:positionV relativeFrom="paragraph">
                  <wp:posOffset>113030</wp:posOffset>
                </wp:positionV>
                <wp:extent cx="1828800" cy="8890"/>
                <wp:effectExtent l="0" t="0" r="0" b="0"/>
                <wp:wrapTopAndBottom/>
                <wp:docPr id="528" name="docshape4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6C6278" id="docshape455" o:spid="_x0000_s1026" alt="&quot;&quot;" style="position:absolute;margin-left:70.8pt;margin-top:8.9pt;width:2in;height:.7pt;z-index:-15520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" fillcolor="black" stroked="f">
                <w10:wrap type="topAndBottom" anchorx="page"/>
              </v:rect>
            </w:pict>
          </mc:Fallback>
        </mc:AlternateContent>
      </w:r>
    </w:p>
    <w:p w14:paraId="518A0875" w14:textId="77777777" w:rsidR="00BD462C" w:rsidRDefault="00033D0F">
      <w:pPr>
        <w:spacing w:before="107"/>
        <w:ind w:left="135"/>
        <w:rPr>
          <w:sz w:val="18"/>
        </w:rPr>
      </w:pPr>
      <w:bookmarkStart w:id="1160" w:name="_bookmark997"/>
      <w:bookmarkEnd w:id="1160"/>
      <w:r>
        <w:rPr>
          <w:position w:val="5"/>
          <w:sz w:val="12"/>
        </w:rPr>
        <w:t>850</w:t>
      </w:r>
      <w:r>
        <w:rPr>
          <w:spacing w:val="12"/>
          <w:position w:val="5"/>
          <w:sz w:val="12"/>
        </w:rPr>
        <w:t xml:space="preserve"> </w:t>
      </w:r>
      <w:r>
        <w:rPr>
          <w:sz w:val="18"/>
        </w:rPr>
        <w:t>Australia's</w:t>
      </w:r>
      <w:r>
        <w:rPr>
          <w:spacing w:val="-7"/>
          <w:sz w:val="18"/>
        </w:rPr>
        <w:t xml:space="preserve"> </w:t>
      </w:r>
      <w:r>
        <w:rPr>
          <w:sz w:val="18"/>
        </w:rPr>
        <w:t>first</w:t>
      </w:r>
      <w:r>
        <w:rPr>
          <w:spacing w:val="-5"/>
          <w:sz w:val="18"/>
        </w:rPr>
        <w:t xml:space="preserve"> </w:t>
      </w:r>
      <w:r>
        <w:rPr>
          <w:sz w:val="18"/>
        </w:rPr>
        <w:t>written</w:t>
      </w:r>
      <w:r>
        <w:rPr>
          <w:spacing w:val="-3"/>
          <w:sz w:val="18"/>
        </w:rPr>
        <w:t xml:space="preserve"> </w:t>
      </w:r>
      <w:r>
        <w:rPr>
          <w:sz w:val="18"/>
        </w:rPr>
        <w:t>submission, paras.</w:t>
      </w:r>
      <w:r>
        <w:rPr>
          <w:spacing w:val="-5"/>
          <w:sz w:val="18"/>
        </w:rPr>
        <w:t xml:space="preserve"> </w:t>
      </w:r>
      <w:r>
        <w:rPr>
          <w:sz w:val="18"/>
        </w:rPr>
        <w:t>680-</w:t>
      </w:r>
      <w:r>
        <w:rPr>
          <w:spacing w:val="-4"/>
          <w:sz w:val="18"/>
        </w:rPr>
        <w:t>684.</w:t>
      </w:r>
    </w:p>
    <w:p w14:paraId="377349E5" w14:textId="77777777" w:rsidR="00BD462C" w:rsidRDefault="00033D0F">
      <w:pPr>
        <w:spacing w:before="1"/>
        <w:ind w:left="135"/>
        <w:rPr>
          <w:sz w:val="18"/>
        </w:rPr>
      </w:pPr>
      <w:bookmarkStart w:id="1161" w:name="_bookmark998"/>
      <w:bookmarkEnd w:id="1161"/>
      <w:r>
        <w:rPr>
          <w:position w:val="5"/>
          <w:sz w:val="12"/>
        </w:rPr>
        <w:t>851</w:t>
      </w:r>
      <w:r>
        <w:rPr>
          <w:spacing w:val="12"/>
          <w:position w:val="5"/>
          <w:sz w:val="12"/>
        </w:rPr>
        <w:t xml:space="preserve"> </w:t>
      </w:r>
      <w:r>
        <w:rPr>
          <w:sz w:val="18"/>
        </w:rPr>
        <w:t>Australia's</w:t>
      </w:r>
      <w:r>
        <w:rPr>
          <w:spacing w:val="-7"/>
          <w:sz w:val="18"/>
        </w:rPr>
        <w:t xml:space="preserve"> </w:t>
      </w:r>
      <w:r>
        <w:rPr>
          <w:sz w:val="18"/>
        </w:rPr>
        <w:t>first</w:t>
      </w:r>
      <w:r>
        <w:rPr>
          <w:spacing w:val="-5"/>
          <w:sz w:val="18"/>
        </w:rPr>
        <w:t xml:space="preserve"> </w:t>
      </w:r>
      <w:r>
        <w:rPr>
          <w:sz w:val="18"/>
        </w:rPr>
        <w:t>written</w:t>
      </w:r>
      <w:r>
        <w:rPr>
          <w:spacing w:val="-3"/>
          <w:sz w:val="18"/>
        </w:rPr>
        <w:t xml:space="preserve"> </w:t>
      </w:r>
      <w:r>
        <w:rPr>
          <w:sz w:val="18"/>
        </w:rPr>
        <w:t>submission, paras.</w:t>
      </w:r>
      <w:r>
        <w:rPr>
          <w:spacing w:val="-5"/>
          <w:sz w:val="18"/>
        </w:rPr>
        <w:t xml:space="preserve"> </w:t>
      </w:r>
      <w:r>
        <w:rPr>
          <w:sz w:val="18"/>
        </w:rPr>
        <w:t>674-</w:t>
      </w:r>
      <w:r>
        <w:rPr>
          <w:spacing w:val="-4"/>
          <w:sz w:val="18"/>
        </w:rPr>
        <w:t>679.</w:t>
      </w:r>
    </w:p>
    <w:p w14:paraId="5CE6A46A" w14:textId="77777777" w:rsidR="00BD462C" w:rsidRDefault="00033D0F">
      <w:pPr>
        <w:spacing w:before="1"/>
        <w:ind w:left="135"/>
        <w:rPr>
          <w:sz w:val="18"/>
        </w:rPr>
      </w:pPr>
      <w:bookmarkStart w:id="1162" w:name="_bookmark999"/>
      <w:bookmarkEnd w:id="1162"/>
      <w:r>
        <w:rPr>
          <w:position w:val="5"/>
          <w:sz w:val="12"/>
        </w:rPr>
        <w:t>852</w:t>
      </w:r>
      <w:r>
        <w:rPr>
          <w:spacing w:val="10"/>
          <w:position w:val="5"/>
          <w:sz w:val="12"/>
        </w:rPr>
        <w:t xml:space="preserve"> </w:t>
      </w:r>
      <w:r>
        <w:rPr>
          <w:sz w:val="18"/>
        </w:rPr>
        <w:t>Australia's</w:t>
      </w:r>
      <w:r>
        <w:rPr>
          <w:spacing w:val="-7"/>
          <w:sz w:val="18"/>
        </w:rPr>
        <w:t xml:space="preserve"> </w:t>
      </w:r>
      <w:r>
        <w:rPr>
          <w:sz w:val="18"/>
        </w:rPr>
        <w:t>first</w:t>
      </w:r>
      <w:r>
        <w:rPr>
          <w:spacing w:val="-7"/>
          <w:sz w:val="18"/>
        </w:rPr>
        <w:t xml:space="preserve"> </w:t>
      </w:r>
      <w:r>
        <w:rPr>
          <w:sz w:val="18"/>
        </w:rPr>
        <w:t>written</w:t>
      </w:r>
      <w:r>
        <w:rPr>
          <w:spacing w:val="-4"/>
          <w:sz w:val="18"/>
        </w:rPr>
        <w:t xml:space="preserve"> </w:t>
      </w:r>
      <w:r>
        <w:rPr>
          <w:sz w:val="18"/>
        </w:rPr>
        <w:t>submission,</w:t>
      </w:r>
      <w:r>
        <w:rPr>
          <w:spacing w:val="-1"/>
          <w:sz w:val="18"/>
        </w:rPr>
        <w:t xml:space="preserve"> </w:t>
      </w:r>
      <w:r>
        <w:rPr>
          <w:sz w:val="18"/>
        </w:rPr>
        <w:t>paras.</w:t>
      </w:r>
      <w:r>
        <w:rPr>
          <w:spacing w:val="-7"/>
          <w:sz w:val="18"/>
        </w:rPr>
        <w:t xml:space="preserve"> </w:t>
      </w:r>
      <w:r>
        <w:rPr>
          <w:sz w:val="18"/>
        </w:rPr>
        <w:t>615,</w:t>
      </w:r>
      <w:r>
        <w:rPr>
          <w:spacing w:val="-1"/>
          <w:sz w:val="18"/>
        </w:rPr>
        <w:t xml:space="preserve"> </w:t>
      </w:r>
      <w:r>
        <w:rPr>
          <w:sz w:val="18"/>
        </w:rPr>
        <w:t>624,</w:t>
      </w:r>
      <w:r>
        <w:rPr>
          <w:spacing w:val="-2"/>
          <w:sz w:val="18"/>
        </w:rPr>
        <w:t xml:space="preserve"> </w:t>
      </w:r>
      <w:r>
        <w:rPr>
          <w:sz w:val="18"/>
        </w:rPr>
        <w:t>626-</w:t>
      </w:r>
      <w:r>
        <w:rPr>
          <w:spacing w:val="-4"/>
          <w:sz w:val="18"/>
        </w:rPr>
        <w:t>657.</w:t>
      </w:r>
    </w:p>
    <w:p w14:paraId="173E68A0" w14:textId="77777777" w:rsidR="00BD462C" w:rsidRDefault="00033D0F">
      <w:pPr>
        <w:spacing w:before="1"/>
        <w:ind w:left="135"/>
        <w:rPr>
          <w:sz w:val="18"/>
        </w:rPr>
      </w:pPr>
      <w:bookmarkStart w:id="1163" w:name="_bookmark1000"/>
      <w:bookmarkEnd w:id="1163"/>
      <w:r>
        <w:rPr>
          <w:position w:val="5"/>
          <w:sz w:val="12"/>
        </w:rPr>
        <w:t>853</w:t>
      </w:r>
      <w:r>
        <w:rPr>
          <w:spacing w:val="12"/>
          <w:position w:val="5"/>
          <w:sz w:val="12"/>
        </w:rPr>
        <w:t xml:space="preserve"> </w:t>
      </w:r>
      <w:r>
        <w:rPr>
          <w:sz w:val="18"/>
        </w:rPr>
        <w:t>China's</w:t>
      </w:r>
      <w:r>
        <w:rPr>
          <w:spacing w:val="-6"/>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 paras.</w:t>
      </w:r>
      <w:r>
        <w:rPr>
          <w:spacing w:val="-5"/>
          <w:sz w:val="18"/>
        </w:rPr>
        <w:t xml:space="preserve"> </w:t>
      </w:r>
      <w:r>
        <w:rPr>
          <w:sz w:val="18"/>
        </w:rPr>
        <w:t>1713-</w:t>
      </w:r>
      <w:r>
        <w:rPr>
          <w:spacing w:val="-2"/>
          <w:sz w:val="18"/>
        </w:rPr>
        <w:t>1724.</w:t>
      </w:r>
    </w:p>
    <w:p w14:paraId="50408E1A" w14:textId="77777777" w:rsidR="00BD462C" w:rsidRDefault="00033D0F">
      <w:pPr>
        <w:spacing w:before="1"/>
        <w:ind w:left="135"/>
        <w:rPr>
          <w:sz w:val="18"/>
        </w:rPr>
      </w:pPr>
      <w:bookmarkStart w:id="1164" w:name="_bookmark1001"/>
      <w:bookmarkEnd w:id="1164"/>
      <w:r>
        <w:rPr>
          <w:position w:val="5"/>
          <w:sz w:val="12"/>
        </w:rPr>
        <w:t>854</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 xml:space="preserve">submission, para. </w:t>
      </w:r>
      <w:r>
        <w:rPr>
          <w:spacing w:val="-2"/>
          <w:sz w:val="18"/>
        </w:rPr>
        <w:t>1716.</w:t>
      </w:r>
    </w:p>
    <w:p w14:paraId="57985C54" w14:textId="77777777" w:rsidR="00BD462C" w:rsidRDefault="00BD462C">
      <w:pPr>
        <w:rPr>
          <w:sz w:val="18"/>
        </w:rPr>
        <w:sectPr w:rsidR="00BD462C">
          <w:pgSz w:w="11910" w:h="16840"/>
          <w:pgMar w:top="860" w:right="500" w:bottom="780" w:left="1280" w:header="566" w:footer="590" w:gutter="0"/>
          <w:cols w:space="720"/>
        </w:sectPr>
      </w:pPr>
    </w:p>
    <w:p w14:paraId="0B1AD70A"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1FB849EA"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7BF86115"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02B162FC" w14:textId="77777777" w:rsidR="00BD462C" w:rsidRDefault="00033D0F">
      <w:pPr>
        <w:pStyle w:val="BodyText"/>
        <w:spacing w:before="102" w:line="360" w:lineRule="auto"/>
        <w:ind w:left="136" w:right="916"/>
        <w:jc w:val="both"/>
      </w:pPr>
      <w:r>
        <w:t>principal</w:t>
      </w:r>
      <w:r>
        <w:rPr>
          <w:spacing w:val="-6"/>
        </w:rPr>
        <w:t xml:space="preserve"> </w:t>
      </w:r>
      <w:r>
        <w:t>question</w:t>
      </w:r>
      <w:r>
        <w:rPr>
          <w:spacing w:val="-10"/>
        </w:rPr>
        <w:t xml:space="preserve"> </w:t>
      </w:r>
      <w:r>
        <w:t>before</w:t>
      </w:r>
      <w:r>
        <w:rPr>
          <w:spacing w:val="-8"/>
        </w:rPr>
        <w:t xml:space="preserve"> </w:t>
      </w:r>
      <w:r>
        <w:t>the</w:t>
      </w:r>
      <w:r>
        <w:rPr>
          <w:spacing w:val="-8"/>
        </w:rPr>
        <w:t xml:space="preserve"> </w:t>
      </w:r>
      <w:r>
        <w:t>Panel</w:t>
      </w:r>
      <w:r>
        <w:rPr>
          <w:spacing w:val="-6"/>
        </w:rPr>
        <w:t xml:space="preserve"> </w:t>
      </w:r>
      <w:r>
        <w:t>is</w:t>
      </w:r>
      <w:r>
        <w:rPr>
          <w:spacing w:val="-7"/>
        </w:rPr>
        <w:t xml:space="preserve"> </w:t>
      </w:r>
      <w:r>
        <w:t>whether</w:t>
      </w:r>
      <w:r>
        <w:rPr>
          <w:spacing w:val="-11"/>
        </w:rPr>
        <w:t xml:space="preserve"> </w:t>
      </w:r>
      <w:r>
        <w:t>MOFCOM's</w:t>
      </w:r>
      <w:r>
        <w:rPr>
          <w:spacing w:val="-7"/>
        </w:rPr>
        <w:t xml:space="preserve"> </w:t>
      </w:r>
      <w:r>
        <w:t>causal</w:t>
      </w:r>
      <w:r>
        <w:rPr>
          <w:spacing w:val="-6"/>
        </w:rPr>
        <w:t xml:space="preserve"> </w:t>
      </w:r>
      <w:r>
        <w:t>link</w:t>
      </w:r>
      <w:r>
        <w:rPr>
          <w:spacing w:val="-8"/>
        </w:rPr>
        <w:t xml:space="preserve"> </w:t>
      </w:r>
      <w:r>
        <w:t>analysis</w:t>
      </w:r>
      <w:r>
        <w:rPr>
          <w:spacing w:val="-7"/>
        </w:rPr>
        <w:t xml:space="preserve"> </w:t>
      </w:r>
      <w:r>
        <w:t>'has</w:t>
      </w:r>
      <w:r>
        <w:rPr>
          <w:spacing w:val="-7"/>
        </w:rPr>
        <w:t xml:space="preserve"> </w:t>
      </w:r>
      <w:r>
        <w:t>a</w:t>
      </w:r>
      <w:r>
        <w:rPr>
          <w:spacing w:val="-9"/>
        </w:rPr>
        <w:t xml:space="preserve"> </w:t>
      </w:r>
      <w:r>
        <w:t>sufficient basis of evidence on the record and reflects an objective examination of the evidence, as called for in Articles 3.1 and 3.5 of the Anti-Dumping Agreement.'"</w:t>
      </w:r>
      <w:hyperlink w:anchor="_bookmark1002" w:history="1">
        <w:r>
          <w:rPr>
            <w:vertAlign w:val="superscript"/>
          </w:rPr>
          <w:t>855</w:t>
        </w:r>
      </w:hyperlink>
    </w:p>
    <w:p w14:paraId="6A2F16DD" w14:textId="77777777" w:rsidR="00BD462C" w:rsidRDefault="00BD462C">
      <w:pPr>
        <w:pStyle w:val="BodyText"/>
        <w:spacing w:before="11"/>
        <w:rPr>
          <w:sz w:val="8"/>
        </w:rPr>
      </w:pPr>
    </w:p>
    <w:p w14:paraId="2B8D1AC5" w14:textId="59D19463" w:rsidR="00BD462C" w:rsidRDefault="000F5FA7">
      <w:pPr>
        <w:pStyle w:val="BodyText"/>
        <w:spacing w:before="56" w:line="355" w:lineRule="auto"/>
        <w:ind w:left="136" w:right="923"/>
      </w:pPr>
      <w:r>
        <w:rPr>
          <w:noProof/>
        </w:rPr>
        <w:t>563.</w:t>
      </w:r>
      <w:r w:rsidR="00033D0F">
        <w:rPr>
          <w:rFonts w:ascii="Times New Roman"/>
          <w:spacing w:val="80"/>
          <w:position w:val="1"/>
          <w:sz w:val="20"/>
        </w:rPr>
        <w:t xml:space="preserve">   </w:t>
      </w:r>
      <w:r w:rsidR="00033D0F">
        <w:rPr>
          <w:position w:val="1"/>
        </w:rPr>
        <w:t>However,</w:t>
      </w:r>
      <w:r w:rsidR="00033D0F">
        <w:rPr>
          <w:spacing w:val="75"/>
          <w:position w:val="1"/>
        </w:rPr>
        <w:t xml:space="preserve"> </w:t>
      </w:r>
      <w:r w:rsidR="00033D0F">
        <w:rPr>
          <w:position w:val="1"/>
        </w:rPr>
        <w:t>Australia</w:t>
      </w:r>
      <w:r w:rsidR="00033D0F">
        <w:rPr>
          <w:spacing w:val="73"/>
          <w:position w:val="1"/>
        </w:rPr>
        <w:t xml:space="preserve"> </w:t>
      </w:r>
      <w:r w:rsidR="00033D0F">
        <w:rPr>
          <w:position w:val="1"/>
        </w:rPr>
        <w:t>disagrees</w:t>
      </w:r>
      <w:r w:rsidR="00033D0F">
        <w:rPr>
          <w:spacing w:val="75"/>
          <w:position w:val="1"/>
        </w:rPr>
        <w:t xml:space="preserve"> </w:t>
      </w:r>
      <w:r w:rsidR="00033D0F">
        <w:rPr>
          <w:position w:val="1"/>
        </w:rPr>
        <w:t>with</w:t>
      </w:r>
      <w:r w:rsidR="00033D0F">
        <w:rPr>
          <w:spacing w:val="71"/>
          <w:position w:val="1"/>
        </w:rPr>
        <w:t xml:space="preserve"> </w:t>
      </w:r>
      <w:r w:rsidR="00033D0F">
        <w:rPr>
          <w:position w:val="1"/>
        </w:rPr>
        <w:t>the</w:t>
      </w:r>
      <w:r w:rsidR="00033D0F">
        <w:rPr>
          <w:spacing w:val="73"/>
          <w:position w:val="1"/>
        </w:rPr>
        <w:t xml:space="preserve"> </w:t>
      </w:r>
      <w:r w:rsidR="00033D0F">
        <w:rPr>
          <w:position w:val="1"/>
        </w:rPr>
        <w:t>second</w:t>
      </w:r>
      <w:r w:rsidR="00033D0F">
        <w:rPr>
          <w:spacing w:val="71"/>
          <w:position w:val="1"/>
        </w:rPr>
        <w:t xml:space="preserve"> </w:t>
      </w:r>
      <w:r w:rsidR="00033D0F">
        <w:rPr>
          <w:position w:val="1"/>
        </w:rPr>
        <w:t>and</w:t>
      </w:r>
      <w:r w:rsidR="00033D0F">
        <w:rPr>
          <w:spacing w:val="71"/>
          <w:position w:val="1"/>
        </w:rPr>
        <w:t xml:space="preserve"> </w:t>
      </w:r>
      <w:r w:rsidR="00033D0F">
        <w:rPr>
          <w:position w:val="1"/>
        </w:rPr>
        <w:t>third</w:t>
      </w:r>
      <w:r w:rsidR="00033D0F">
        <w:rPr>
          <w:spacing w:val="76"/>
          <w:position w:val="1"/>
        </w:rPr>
        <w:t xml:space="preserve"> </w:t>
      </w:r>
      <w:r w:rsidR="00033D0F">
        <w:rPr>
          <w:position w:val="1"/>
        </w:rPr>
        <w:t>points</w:t>
      </w:r>
      <w:r w:rsidR="00033D0F">
        <w:rPr>
          <w:spacing w:val="75"/>
          <w:position w:val="1"/>
        </w:rPr>
        <w:t xml:space="preserve"> </w:t>
      </w:r>
      <w:r w:rsidR="00033D0F">
        <w:rPr>
          <w:position w:val="1"/>
        </w:rPr>
        <w:t>articulated</w:t>
      </w:r>
      <w:r w:rsidR="00033D0F">
        <w:rPr>
          <w:spacing w:val="71"/>
          <w:position w:val="1"/>
        </w:rPr>
        <w:t xml:space="preserve"> </w:t>
      </w:r>
      <w:r w:rsidR="00033D0F">
        <w:rPr>
          <w:position w:val="1"/>
        </w:rPr>
        <w:t xml:space="preserve">by </w:t>
      </w:r>
      <w:r w:rsidR="00033D0F">
        <w:t>China.</w:t>
      </w:r>
      <w:hyperlink w:anchor="_bookmark1003" w:history="1">
        <w:r w:rsidR="00033D0F">
          <w:rPr>
            <w:vertAlign w:val="superscript"/>
          </w:rPr>
          <w:t>856</w:t>
        </w:r>
      </w:hyperlink>
      <w:r w:rsidR="00033D0F">
        <w:t xml:space="preserve"> These do not accurately reflect the Article 3.5 standard.</w:t>
      </w:r>
    </w:p>
    <w:p w14:paraId="5F48B30F" w14:textId="562349F6" w:rsidR="00BD462C" w:rsidRDefault="000F5FA7">
      <w:pPr>
        <w:pStyle w:val="BodyText"/>
        <w:spacing w:before="170" w:line="357" w:lineRule="auto"/>
        <w:ind w:left="135" w:right="911"/>
        <w:jc w:val="both"/>
      </w:pPr>
      <w:r>
        <w:rPr>
          <w:noProof/>
        </w:rPr>
        <w:t>564.</w:t>
      </w:r>
      <w:r w:rsidR="00033D0F">
        <w:rPr>
          <w:rFonts w:ascii="Times New Roman" w:hAnsi="Times New Roman"/>
          <w:spacing w:val="80"/>
          <w:position w:val="1"/>
          <w:sz w:val="20"/>
        </w:rPr>
        <w:t xml:space="preserve">  </w:t>
      </w:r>
      <w:r w:rsidR="00033D0F">
        <w:rPr>
          <w:position w:val="1"/>
        </w:rPr>
        <w:t>In relation to China's second point,</w:t>
      </w:r>
      <w:hyperlink w:anchor="_bookmark1004" w:history="1">
        <w:r w:rsidR="00033D0F">
          <w:rPr>
            <w:position w:val="1"/>
            <w:vertAlign w:val="superscript"/>
          </w:rPr>
          <w:t>857</w:t>
        </w:r>
      </w:hyperlink>
      <w:r w:rsidR="00033D0F">
        <w:rPr>
          <w:position w:val="1"/>
        </w:rPr>
        <w:t xml:space="preserve"> Australia agrees that "the inquiries under </w:t>
      </w:r>
      <w:r w:rsidR="00033D0F">
        <w:t>Articles 3.2 and 3.4 … are necessary in order to answer the question [of causation] under Article</w:t>
      </w:r>
      <w:r w:rsidR="00033D0F">
        <w:rPr>
          <w:spacing w:val="-2"/>
        </w:rPr>
        <w:t xml:space="preserve"> </w:t>
      </w:r>
      <w:r w:rsidR="00033D0F">
        <w:t>3.5".</w:t>
      </w:r>
      <w:hyperlink w:anchor="_bookmark1005" w:history="1">
        <w:r w:rsidR="00033D0F">
          <w:rPr>
            <w:vertAlign w:val="superscript"/>
          </w:rPr>
          <w:t>858</w:t>
        </w:r>
      </w:hyperlink>
      <w:r w:rsidR="00033D0F">
        <w:t xml:space="preserve"> However, this does not mean that an investigating authority is entitled to rely on the outcomes of its analyses under Articles 3.2 and 3.4 to simply assume that a causal relationship exists between subject imports and injury to the domestic industry.</w:t>
      </w:r>
      <w:hyperlink w:anchor="_bookmark1006" w:history="1">
        <w:r w:rsidR="00033D0F">
          <w:rPr>
            <w:vertAlign w:val="superscript"/>
          </w:rPr>
          <w:t>859</w:t>
        </w:r>
      </w:hyperlink>
      <w:r w:rsidR="00033D0F">
        <w:t xml:space="preserve"> Rather, Article</w:t>
      </w:r>
      <w:r w:rsidR="00033D0F">
        <w:rPr>
          <w:spacing w:val="-2"/>
        </w:rPr>
        <w:t xml:space="preserve"> </w:t>
      </w:r>
      <w:r w:rsidR="00033D0F">
        <w:t xml:space="preserve">3.5 requires an investigating authority to objectively examine "all relevant evidence" in order to </w:t>
      </w:r>
      <w:r w:rsidR="00033D0F">
        <w:rPr>
          <w:i/>
        </w:rPr>
        <w:t xml:space="preserve">demonstrate </w:t>
      </w:r>
      <w:r w:rsidR="00033D0F">
        <w:t>that a causal relationship exists. That is, MOFCOM was required to examine all relevant evidence, not simply assert (as it did) that a causal relationship existed between subject imports and injury to the domestic industry.</w:t>
      </w:r>
      <w:hyperlink w:anchor="_bookmark1007" w:history="1">
        <w:r w:rsidR="00033D0F">
          <w:rPr>
            <w:vertAlign w:val="superscript"/>
          </w:rPr>
          <w:t>860</w:t>
        </w:r>
      </w:hyperlink>
    </w:p>
    <w:p w14:paraId="030A28D6" w14:textId="77777777" w:rsidR="00BD462C" w:rsidRDefault="00BD462C">
      <w:pPr>
        <w:pStyle w:val="BodyText"/>
        <w:spacing w:before="9"/>
        <w:rPr>
          <w:sz w:val="9"/>
        </w:rPr>
      </w:pPr>
    </w:p>
    <w:p w14:paraId="37CD39D0" w14:textId="60C43B9F" w:rsidR="00BD462C" w:rsidRDefault="000F5FA7">
      <w:pPr>
        <w:pStyle w:val="BodyText"/>
        <w:spacing w:before="56" w:line="360" w:lineRule="auto"/>
        <w:ind w:left="135" w:right="912"/>
        <w:jc w:val="both"/>
      </w:pPr>
      <w:r>
        <w:rPr>
          <w:noProof/>
        </w:rPr>
        <w:t>565.</w:t>
      </w:r>
      <w:r w:rsidR="00033D0F">
        <w:rPr>
          <w:rFonts w:ascii="Times New Roman"/>
          <w:spacing w:val="80"/>
          <w:w w:val="150"/>
          <w:position w:val="1"/>
          <w:sz w:val="20"/>
        </w:rPr>
        <w:t xml:space="preserve"> </w:t>
      </w:r>
      <w:r w:rsidR="00033D0F">
        <w:rPr>
          <w:position w:val="1"/>
        </w:rPr>
        <w:t xml:space="preserve">China's third point seeks to create an artificial distinction between the first two </w:t>
      </w:r>
      <w:r w:rsidR="00033D0F">
        <w:t>sentences of Article</w:t>
      </w:r>
      <w:r w:rsidR="00033D0F">
        <w:rPr>
          <w:spacing w:val="-1"/>
        </w:rPr>
        <w:t xml:space="preserve"> </w:t>
      </w:r>
      <w:r w:rsidR="00033D0F">
        <w:t>3.5 and the non-attribution analysis required by the third sentence.</w:t>
      </w:r>
      <w:hyperlink w:anchor="_bookmark1008" w:history="1">
        <w:r w:rsidR="00033D0F">
          <w:rPr>
            <w:vertAlign w:val="superscript"/>
          </w:rPr>
          <w:t>861</w:t>
        </w:r>
      </w:hyperlink>
      <w:r w:rsidR="00033D0F">
        <w:t xml:space="preserve"> Nothing</w:t>
      </w:r>
      <w:r w:rsidR="00033D0F">
        <w:rPr>
          <w:spacing w:val="-2"/>
        </w:rPr>
        <w:t xml:space="preserve"> </w:t>
      </w:r>
      <w:r w:rsidR="00033D0F">
        <w:t>in</w:t>
      </w:r>
      <w:r w:rsidR="00033D0F">
        <w:rPr>
          <w:spacing w:val="-5"/>
        </w:rPr>
        <w:t xml:space="preserve"> </w:t>
      </w:r>
      <w:r w:rsidR="00033D0F">
        <w:t>the</w:t>
      </w:r>
      <w:r w:rsidR="00033D0F">
        <w:rPr>
          <w:spacing w:val="-4"/>
        </w:rPr>
        <w:t xml:space="preserve"> </w:t>
      </w:r>
      <w:r w:rsidR="00033D0F">
        <w:t>text</w:t>
      </w:r>
      <w:r w:rsidR="00033D0F">
        <w:rPr>
          <w:spacing w:val="-3"/>
        </w:rPr>
        <w:t xml:space="preserve"> </w:t>
      </w:r>
      <w:r w:rsidR="00033D0F">
        <w:t>or</w:t>
      </w:r>
      <w:r w:rsidR="00033D0F">
        <w:rPr>
          <w:spacing w:val="-6"/>
        </w:rPr>
        <w:t xml:space="preserve"> </w:t>
      </w:r>
      <w:r w:rsidR="00033D0F">
        <w:t>context</w:t>
      </w:r>
      <w:r w:rsidR="00033D0F">
        <w:rPr>
          <w:spacing w:val="-3"/>
        </w:rPr>
        <w:t xml:space="preserve"> </w:t>
      </w:r>
      <w:r w:rsidR="00033D0F">
        <w:t>of</w:t>
      </w:r>
      <w:r w:rsidR="00033D0F">
        <w:rPr>
          <w:spacing w:val="-5"/>
        </w:rPr>
        <w:t xml:space="preserve"> </w:t>
      </w:r>
      <w:r w:rsidR="00033D0F">
        <w:t>Article</w:t>
      </w:r>
      <w:r w:rsidR="00033D0F">
        <w:rPr>
          <w:spacing w:val="-3"/>
        </w:rPr>
        <w:t xml:space="preserve"> </w:t>
      </w:r>
      <w:r w:rsidR="00033D0F">
        <w:t>3.5</w:t>
      </w:r>
      <w:r w:rsidR="00033D0F">
        <w:rPr>
          <w:spacing w:val="-6"/>
        </w:rPr>
        <w:t xml:space="preserve"> </w:t>
      </w:r>
      <w:r w:rsidR="00033D0F">
        <w:t>supports</w:t>
      </w:r>
      <w:r w:rsidR="00033D0F">
        <w:rPr>
          <w:spacing w:val="-2"/>
        </w:rPr>
        <w:t xml:space="preserve"> </w:t>
      </w:r>
      <w:r w:rsidR="00033D0F">
        <w:t>the</w:t>
      </w:r>
      <w:r w:rsidR="00033D0F">
        <w:rPr>
          <w:spacing w:val="-4"/>
        </w:rPr>
        <w:t xml:space="preserve"> </w:t>
      </w:r>
      <w:r w:rsidR="00033D0F">
        <w:t>argument</w:t>
      </w:r>
      <w:r w:rsidR="00033D0F">
        <w:rPr>
          <w:spacing w:val="-3"/>
        </w:rPr>
        <w:t xml:space="preserve"> </w:t>
      </w:r>
      <w:r w:rsidR="00033D0F">
        <w:t>that</w:t>
      </w:r>
      <w:r w:rsidR="00033D0F">
        <w:rPr>
          <w:spacing w:val="-3"/>
        </w:rPr>
        <w:t xml:space="preserve"> </w:t>
      </w:r>
      <w:r w:rsidR="00033D0F">
        <w:t>the</w:t>
      </w:r>
      <w:r w:rsidR="00033D0F">
        <w:rPr>
          <w:spacing w:val="-4"/>
        </w:rPr>
        <w:t xml:space="preserve"> </w:t>
      </w:r>
      <w:r w:rsidR="00033D0F">
        <w:t>demonstration</w:t>
      </w:r>
      <w:r w:rsidR="00033D0F">
        <w:rPr>
          <w:spacing w:val="-5"/>
        </w:rPr>
        <w:t xml:space="preserve"> </w:t>
      </w:r>
      <w:r w:rsidR="00033D0F">
        <w:t>of causation and the examination of non-attribution factors are to be severed and conducted entirely independently of one another.</w:t>
      </w:r>
      <w:hyperlink w:anchor="_bookmark1009" w:history="1">
        <w:r w:rsidR="00033D0F">
          <w:rPr>
            <w:vertAlign w:val="superscript"/>
          </w:rPr>
          <w:t>862</w:t>
        </w:r>
      </w:hyperlink>
      <w:r w:rsidR="00033D0F">
        <w:t xml:space="preserve"> Rather, the text of Article</w:t>
      </w:r>
      <w:r w:rsidR="00033D0F">
        <w:rPr>
          <w:spacing w:val="-1"/>
        </w:rPr>
        <w:t xml:space="preserve"> </w:t>
      </w:r>
      <w:r w:rsidR="00033D0F">
        <w:t>3.5 makes clear that the causation determination is to take account of "all relevant evidence". This includes the outcomes of the Article</w:t>
      </w:r>
      <w:r w:rsidR="00033D0F">
        <w:rPr>
          <w:spacing w:val="-3"/>
        </w:rPr>
        <w:t xml:space="preserve"> </w:t>
      </w:r>
      <w:r w:rsidR="00033D0F">
        <w:t>3.2 and 3.4 examinations, any non-attribution factors and, indeed, any other evidence that is relevant to the causation determination.</w:t>
      </w:r>
    </w:p>
    <w:p w14:paraId="572FB083" w14:textId="77777777" w:rsidR="00BD462C" w:rsidRDefault="00BD462C">
      <w:pPr>
        <w:pStyle w:val="BodyText"/>
        <w:rPr>
          <w:sz w:val="20"/>
        </w:rPr>
      </w:pPr>
    </w:p>
    <w:p w14:paraId="5B937B2A" w14:textId="77777777" w:rsidR="00BD462C" w:rsidRDefault="00BD462C">
      <w:pPr>
        <w:pStyle w:val="BodyText"/>
        <w:rPr>
          <w:sz w:val="20"/>
        </w:rPr>
      </w:pPr>
    </w:p>
    <w:p w14:paraId="43E8D179" w14:textId="18BB7C8A" w:rsidR="00BD462C" w:rsidRDefault="00D70C7D">
      <w:pPr>
        <w:pStyle w:val="BodyText"/>
        <w:spacing w:before="9"/>
        <w:rPr>
          <w:sz w:val="23"/>
        </w:rPr>
      </w:pPr>
      <w:r>
        <w:rPr>
          <w:noProof/>
        </w:rPr>
        <mc:AlternateContent>
          <mc:Choice Requires="wps">
            <w:drawing>
              <wp:anchor distT="0" distB="0" distL="0" distR="0" simplePos="0" relativeHeight="487796736" behindDoc="1" locked="0" layoutInCell="1" allowOverlap="1" wp14:anchorId="49949C29" wp14:editId="288140E4">
                <wp:simplePos x="0" y="0"/>
                <wp:positionH relativeFrom="page">
                  <wp:posOffset>899160</wp:posOffset>
                </wp:positionH>
                <wp:positionV relativeFrom="paragraph">
                  <wp:posOffset>200025</wp:posOffset>
                </wp:positionV>
                <wp:extent cx="1828800" cy="8890"/>
                <wp:effectExtent l="0" t="0" r="0" b="0"/>
                <wp:wrapTopAndBottom/>
                <wp:docPr id="526" name="docshape4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30D4B7" id="docshape456" o:spid="_x0000_s1026" alt="&quot;&quot;" style="position:absolute;margin-left:70.8pt;margin-top:15.75pt;width:2in;height:.7pt;z-index:-15519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" fillcolor="black" stroked="f">
                <w10:wrap type="topAndBottom" anchorx="page"/>
              </v:rect>
            </w:pict>
          </mc:Fallback>
        </mc:AlternateContent>
      </w:r>
    </w:p>
    <w:p w14:paraId="55B8F947" w14:textId="77777777" w:rsidR="00BD462C" w:rsidRDefault="00033D0F">
      <w:pPr>
        <w:spacing w:before="112"/>
        <w:ind w:left="135"/>
        <w:rPr>
          <w:sz w:val="18"/>
        </w:rPr>
      </w:pPr>
      <w:bookmarkStart w:id="1165" w:name="_bookmark1002"/>
      <w:bookmarkEnd w:id="1165"/>
      <w:r>
        <w:rPr>
          <w:position w:val="5"/>
          <w:sz w:val="12"/>
        </w:rPr>
        <w:t>855</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 xml:space="preserve">submission, para. </w:t>
      </w:r>
      <w:r>
        <w:rPr>
          <w:spacing w:val="-2"/>
          <w:sz w:val="18"/>
        </w:rPr>
        <w:t>1724.</w:t>
      </w:r>
    </w:p>
    <w:p w14:paraId="34400F55" w14:textId="77777777" w:rsidR="00BD462C" w:rsidRDefault="00033D0F">
      <w:pPr>
        <w:spacing w:before="1"/>
        <w:ind w:left="135"/>
        <w:rPr>
          <w:sz w:val="18"/>
        </w:rPr>
      </w:pPr>
      <w:bookmarkStart w:id="1166" w:name="_bookmark1003"/>
      <w:bookmarkEnd w:id="1166"/>
      <w:r>
        <w:rPr>
          <w:position w:val="5"/>
          <w:sz w:val="12"/>
        </w:rPr>
        <w:t>856</w:t>
      </w:r>
      <w:r>
        <w:rPr>
          <w:spacing w:val="12"/>
          <w:position w:val="5"/>
          <w:sz w:val="12"/>
        </w:rPr>
        <w:t xml:space="preserve"> </w:t>
      </w:r>
      <w:r>
        <w:rPr>
          <w:sz w:val="18"/>
        </w:rPr>
        <w:t>China's</w:t>
      </w:r>
      <w:r>
        <w:rPr>
          <w:spacing w:val="-6"/>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 paras.</w:t>
      </w:r>
      <w:r>
        <w:rPr>
          <w:spacing w:val="-5"/>
          <w:sz w:val="18"/>
        </w:rPr>
        <w:t xml:space="preserve"> </w:t>
      </w:r>
      <w:r>
        <w:rPr>
          <w:sz w:val="18"/>
        </w:rPr>
        <w:t>1717-</w:t>
      </w:r>
      <w:r>
        <w:rPr>
          <w:spacing w:val="-2"/>
          <w:sz w:val="18"/>
        </w:rPr>
        <w:t>1722.</w:t>
      </w:r>
    </w:p>
    <w:p w14:paraId="1898F0FF" w14:textId="77777777" w:rsidR="00BD462C" w:rsidRDefault="00033D0F">
      <w:pPr>
        <w:spacing w:before="1" w:line="218" w:lineRule="exact"/>
        <w:ind w:left="135"/>
        <w:rPr>
          <w:sz w:val="18"/>
        </w:rPr>
      </w:pPr>
      <w:bookmarkStart w:id="1167" w:name="_bookmark1004"/>
      <w:bookmarkEnd w:id="1167"/>
      <w:r>
        <w:rPr>
          <w:position w:val="5"/>
          <w:sz w:val="12"/>
        </w:rPr>
        <w:t>857</w:t>
      </w:r>
      <w:r>
        <w:rPr>
          <w:spacing w:val="12"/>
          <w:position w:val="5"/>
          <w:sz w:val="12"/>
        </w:rPr>
        <w:t xml:space="preserve"> </w:t>
      </w:r>
      <w:r>
        <w:rPr>
          <w:sz w:val="18"/>
        </w:rPr>
        <w:t>China's</w:t>
      </w:r>
      <w:r>
        <w:rPr>
          <w:spacing w:val="-6"/>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 paras.</w:t>
      </w:r>
      <w:r>
        <w:rPr>
          <w:spacing w:val="-5"/>
          <w:sz w:val="18"/>
        </w:rPr>
        <w:t xml:space="preserve"> </w:t>
      </w:r>
      <w:r>
        <w:rPr>
          <w:sz w:val="18"/>
        </w:rPr>
        <w:t>1717-</w:t>
      </w:r>
      <w:r>
        <w:rPr>
          <w:spacing w:val="-2"/>
          <w:sz w:val="18"/>
        </w:rPr>
        <w:t>1720.</w:t>
      </w:r>
    </w:p>
    <w:p w14:paraId="3E621432" w14:textId="77777777" w:rsidR="00BD462C" w:rsidRDefault="00033D0F">
      <w:pPr>
        <w:spacing w:line="218" w:lineRule="exact"/>
        <w:ind w:left="135"/>
        <w:rPr>
          <w:sz w:val="18"/>
        </w:rPr>
      </w:pPr>
      <w:bookmarkStart w:id="1168" w:name="_bookmark1005"/>
      <w:bookmarkEnd w:id="1168"/>
      <w:r>
        <w:rPr>
          <w:position w:val="5"/>
          <w:sz w:val="12"/>
        </w:rPr>
        <w:t>858</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 xml:space="preserve">submission, para. </w:t>
      </w:r>
      <w:r>
        <w:rPr>
          <w:spacing w:val="-2"/>
          <w:sz w:val="18"/>
        </w:rPr>
        <w:t>1718.</w:t>
      </w:r>
    </w:p>
    <w:p w14:paraId="53AD866C" w14:textId="77777777" w:rsidR="00BD462C" w:rsidRDefault="00033D0F">
      <w:pPr>
        <w:spacing w:before="1"/>
        <w:ind w:left="135"/>
        <w:rPr>
          <w:sz w:val="18"/>
        </w:rPr>
      </w:pPr>
      <w:bookmarkStart w:id="1169" w:name="_bookmark1006"/>
      <w:bookmarkEnd w:id="1169"/>
      <w:r>
        <w:rPr>
          <w:position w:val="5"/>
          <w:sz w:val="12"/>
        </w:rPr>
        <w:t>859</w:t>
      </w:r>
      <w:r>
        <w:rPr>
          <w:spacing w:val="13"/>
          <w:position w:val="5"/>
          <w:sz w:val="12"/>
        </w:rPr>
        <w:t xml:space="preserve"> </w:t>
      </w:r>
      <w:r>
        <w:rPr>
          <w:sz w:val="18"/>
        </w:rPr>
        <w:t>Cf</w:t>
      </w:r>
      <w:r>
        <w:rPr>
          <w:spacing w:val="-4"/>
          <w:sz w:val="18"/>
        </w:rPr>
        <w:t xml:space="preserve"> </w:t>
      </w:r>
      <w:r>
        <w:rPr>
          <w:sz w:val="18"/>
        </w:rPr>
        <w:t>China's</w:t>
      </w:r>
      <w:r>
        <w:rPr>
          <w:spacing w:val="-5"/>
          <w:sz w:val="18"/>
        </w:rPr>
        <w:t xml:space="preserve"> </w:t>
      </w:r>
      <w:r>
        <w:rPr>
          <w:sz w:val="18"/>
        </w:rPr>
        <w:t>first</w:t>
      </w:r>
      <w:r>
        <w:rPr>
          <w:spacing w:val="-4"/>
          <w:sz w:val="18"/>
        </w:rPr>
        <w:t xml:space="preserve"> </w:t>
      </w:r>
      <w:r>
        <w:rPr>
          <w:sz w:val="18"/>
        </w:rPr>
        <w:t>written</w:t>
      </w:r>
      <w:r>
        <w:rPr>
          <w:spacing w:val="-6"/>
          <w:sz w:val="18"/>
        </w:rPr>
        <w:t xml:space="preserve"> </w:t>
      </w:r>
      <w:r>
        <w:rPr>
          <w:sz w:val="18"/>
        </w:rPr>
        <w:t>submission,</w:t>
      </w:r>
      <w:r>
        <w:rPr>
          <w:spacing w:val="2"/>
          <w:sz w:val="18"/>
        </w:rPr>
        <w:t xml:space="preserve"> </w:t>
      </w:r>
      <w:r>
        <w:rPr>
          <w:sz w:val="18"/>
        </w:rPr>
        <w:t>paras.</w:t>
      </w:r>
      <w:r>
        <w:rPr>
          <w:spacing w:val="-4"/>
          <w:sz w:val="18"/>
        </w:rPr>
        <w:t xml:space="preserve"> </w:t>
      </w:r>
      <w:r>
        <w:rPr>
          <w:sz w:val="18"/>
        </w:rPr>
        <w:t>1717,</w:t>
      </w:r>
      <w:r>
        <w:rPr>
          <w:spacing w:val="-3"/>
          <w:sz w:val="18"/>
        </w:rPr>
        <w:t xml:space="preserve"> </w:t>
      </w:r>
      <w:r>
        <w:rPr>
          <w:spacing w:val="-2"/>
          <w:sz w:val="18"/>
        </w:rPr>
        <w:t>1720.</w:t>
      </w:r>
    </w:p>
    <w:p w14:paraId="430AC948" w14:textId="77777777" w:rsidR="00BD462C" w:rsidRDefault="00033D0F">
      <w:pPr>
        <w:spacing w:before="1"/>
        <w:ind w:left="135" w:right="911"/>
        <w:jc w:val="both"/>
        <w:rPr>
          <w:sz w:val="18"/>
        </w:rPr>
      </w:pPr>
      <w:bookmarkStart w:id="1170" w:name="_bookmark1007"/>
      <w:bookmarkEnd w:id="1170"/>
      <w:r>
        <w:rPr>
          <w:position w:val="5"/>
          <w:sz w:val="12"/>
        </w:rPr>
        <w:t>860</w:t>
      </w:r>
      <w:r>
        <w:rPr>
          <w:spacing w:val="40"/>
          <w:position w:val="5"/>
          <w:sz w:val="12"/>
        </w:rPr>
        <w:t xml:space="preserve"> </w:t>
      </w:r>
      <w:r>
        <w:rPr>
          <w:sz w:val="18"/>
        </w:rPr>
        <w:t xml:space="preserve">This is consistent with the passage of the Appellate Body in </w:t>
      </w:r>
      <w:r>
        <w:rPr>
          <w:i/>
          <w:sz w:val="18"/>
        </w:rPr>
        <w:t xml:space="preserve">Korea – Pneumatic Valves (Japan) </w:t>
      </w:r>
      <w:r>
        <w:rPr>
          <w:sz w:val="18"/>
        </w:rPr>
        <w:t>cited by China at</w:t>
      </w:r>
      <w:r>
        <w:rPr>
          <w:spacing w:val="40"/>
          <w:sz w:val="18"/>
        </w:rPr>
        <w:t xml:space="preserve"> </w:t>
      </w:r>
      <w:r>
        <w:rPr>
          <w:sz w:val="18"/>
        </w:rPr>
        <w:t>paragraph</w:t>
      </w:r>
      <w:r>
        <w:rPr>
          <w:spacing w:val="-4"/>
          <w:sz w:val="18"/>
        </w:rPr>
        <w:t xml:space="preserve"> </w:t>
      </w:r>
      <w:r>
        <w:rPr>
          <w:sz w:val="18"/>
        </w:rPr>
        <w:t>1719</w:t>
      </w:r>
      <w:r>
        <w:rPr>
          <w:spacing w:val="-5"/>
          <w:sz w:val="18"/>
        </w:rPr>
        <w:t xml:space="preserve"> </w:t>
      </w:r>
      <w:r>
        <w:rPr>
          <w:sz w:val="18"/>
        </w:rPr>
        <w:t>of</w:t>
      </w:r>
      <w:r>
        <w:rPr>
          <w:spacing w:val="-7"/>
          <w:sz w:val="18"/>
        </w:rPr>
        <w:t xml:space="preserve"> </w:t>
      </w:r>
      <w:r>
        <w:rPr>
          <w:sz w:val="18"/>
        </w:rPr>
        <w:t>its</w:t>
      </w:r>
      <w:r>
        <w:rPr>
          <w:spacing w:val="-8"/>
          <w:sz w:val="18"/>
        </w:rPr>
        <w:t xml:space="preserve"> </w:t>
      </w:r>
      <w:r>
        <w:rPr>
          <w:sz w:val="18"/>
        </w:rPr>
        <w:t>first</w:t>
      </w:r>
      <w:r>
        <w:rPr>
          <w:spacing w:val="-2"/>
          <w:sz w:val="18"/>
        </w:rPr>
        <w:t xml:space="preserve"> </w:t>
      </w:r>
      <w:r>
        <w:rPr>
          <w:sz w:val="18"/>
        </w:rPr>
        <w:t>written</w:t>
      </w:r>
      <w:r>
        <w:rPr>
          <w:spacing w:val="-4"/>
          <w:sz w:val="18"/>
        </w:rPr>
        <w:t xml:space="preserve"> </w:t>
      </w:r>
      <w:r>
        <w:rPr>
          <w:sz w:val="18"/>
        </w:rPr>
        <w:t>submission,</w:t>
      </w:r>
      <w:r>
        <w:rPr>
          <w:spacing w:val="-1"/>
          <w:sz w:val="18"/>
        </w:rPr>
        <w:t xml:space="preserve"> </w:t>
      </w:r>
      <w:r>
        <w:rPr>
          <w:sz w:val="18"/>
        </w:rPr>
        <w:t>in</w:t>
      </w:r>
      <w:r>
        <w:rPr>
          <w:spacing w:val="-4"/>
          <w:sz w:val="18"/>
        </w:rPr>
        <w:t xml:space="preserve"> </w:t>
      </w:r>
      <w:r>
        <w:rPr>
          <w:sz w:val="18"/>
        </w:rPr>
        <w:t>that</w:t>
      </w:r>
      <w:r>
        <w:rPr>
          <w:spacing w:val="-7"/>
          <w:sz w:val="18"/>
        </w:rPr>
        <w:t xml:space="preserve"> </w:t>
      </w:r>
      <w:r>
        <w:rPr>
          <w:sz w:val="18"/>
        </w:rPr>
        <w:t>the</w:t>
      </w:r>
      <w:r>
        <w:rPr>
          <w:spacing w:val="-3"/>
          <w:sz w:val="18"/>
        </w:rPr>
        <w:t xml:space="preserve"> </w:t>
      </w:r>
      <w:r>
        <w:rPr>
          <w:sz w:val="18"/>
        </w:rPr>
        <w:t>panel</w:t>
      </w:r>
      <w:r>
        <w:rPr>
          <w:spacing w:val="-7"/>
          <w:sz w:val="18"/>
        </w:rPr>
        <w:t xml:space="preserve"> </w:t>
      </w:r>
      <w:r>
        <w:rPr>
          <w:sz w:val="18"/>
        </w:rPr>
        <w:t>confirmed</w:t>
      </w:r>
      <w:r>
        <w:rPr>
          <w:spacing w:val="-4"/>
          <w:sz w:val="18"/>
        </w:rPr>
        <w:t xml:space="preserve"> </w:t>
      </w:r>
      <w:r>
        <w:rPr>
          <w:sz w:val="18"/>
        </w:rPr>
        <w:t>that</w:t>
      </w:r>
      <w:r>
        <w:rPr>
          <w:spacing w:val="-2"/>
          <w:sz w:val="18"/>
        </w:rPr>
        <w:t xml:space="preserve"> </w:t>
      </w:r>
      <w:r>
        <w:rPr>
          <w:sz w:val="18"/>
        </w:rPr>
        <w:t>Article 3.5 requires</w:t>
      </w:r>
      <w:r>
        <w:rPr>
          <w:spacing w:val="-3"/>
          <w:sz w:val="18"/>
        </w:rPr>
        <w:t xml:space="preserve"> </w:t>
      </w:r>
      <w:r>
        <w:rPr>
          <w:sz w:val="18"/>
        </w:rPr>
        <w:t>an</w:t>
      </w:r>
      <w:r>
        <w:rPr>
          <w:spacing w:val="-4"/>
          <w:sz w:val="18"/>
        </w:rPr>
        <w:t xml:space="preserve"> </w:t>
      </w:r>
      <w:r>
        <w:rPr>
          <w:sz w:val="18"/>
        </w:rPr>
        <w:t>investigating</w:t>
      </w:r>
      <w:r>
        <w:rPr>
          <w:spacing w:val="-3"/>
          <w:sz w:val="18"/>
        </w:rPr>
        <w:t xml:space="preserve"> </w:t>
      </w:r>
      <w:r>
        <w:rPr>
          <w:sz w:val="18"/>
        </w:rPr>
        <w:t>authority base its determination of causation on "a proper linkage among</w:t>
      </w:r>
      <w:r>
        <w:rPr>
          <w:spacing w:val="-3"/>
          <w:sz w:val="18"/>
        </w:rPr>
        <w:t xml:space="preserve"> </w:t>
      </w:r>
      <w:r>
        <w:rPr>
          <w:sz w:val="18"/>
        </w:rPr>
        <w:t>the various components, in</w:t>
      </w:r>
      <w:r>
        <w:rPr>
          <w:spacing w:val="-4"/>
          <w:sz w:val="18"/>
        </w:rPr>
        <w:t xml:space="preserve"> </w:t>
      </w:r>
      <w:r>
        <w:rPr>
          <w:sz w:val="18"/>
        </w:rPr>
        <w:t>light of all evidence and</w:t>
      </w:r>
      <w:r>
        <w:rPr>
          <w:spacing w:val="-4"/>
          <w:sz w:val="18"/>
        </w:rPr>
        <w:t xml:space="preserve"> </w:t>
      </w:r>
      <w:r>
        <w:rPr>
          <w:sz w:val="18"/>
        </w:rPr>
        <w:t>factors set out in [Article 3.5]" (para. 5.194).</w:t>
      </w:r>
    </w:p>
    <w:p w14:paraId="0FD8A627" w14:textId="77777777" w:rsidR="00BD462C" w:rsidRDefault="00033D0F">
      <w:pPr>
        <w:spacing w:line="219" w:lineRule="exact"/>
        <w:ind w:left="135"/>
        <w:jc w:val="both"/>
        <w:rPr>
          <w:sz w:val="18"/>
        </w:rPr>
      </w:pPr>
      <w:bookmarkStart w:id="1171" w:name="_bookmark1008"/>
      <w:bookmarkEnd w:id="1171"/>
      <w:r>
        <w:rPr>
          <w:position w:val="5"/>
          <w:sz w:val="12"/>
        </w:rPr>
        <w:t>861</w:t>
      </w:r>
      <w:r>
        <w:rPr>
          <w:spacing w:val="12"/>
          <w:position w:val="5"/>
          <w:sz w:val="12"/>
        </w:rPr>
        <w:t xml:space="preserve"> </w:t>
      </w:r>
      <w:r>
        <w:rPr>
          <w:sz w:val="18"/>
        </w:rPr>
        <w:t>China's</w:t>
      </w:r>
      <w:r>
        <w:rPr>
          <w:spacing w:val="-6"/>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 paras.</w:t>
      </w:r>
      <w:r>
        <w:rPr>
          <w:spacing w:val="-5"/>
          <w:sz w:val="18"/>
        </w:rPr>
        <w:t xml:space="preserve"> </w:t>
      </w:r>
      <w:r>
        <w:rPr>
          <w:sz w:val="18"/>
        </w:rPr>
        <w:t>1721-</w:t>
      </w:r>
      <w:r>
        <w:rPr>
          <w:spacing w:val="-2"/>
          <w:sz w:val="18"/>
        </w:rPr>
        <w:t>1722.</w:t>
      </w:r>
    </w:p>
    <w:p w14:paraId="056AD53A" w14:textId="77777777" w:rsidR="00BD462C" w:rsidRDefault="00033D0F">
      <w:pPr>
        <w:spacing w:before="1"/>
        <w:ind w:left="135" w:right="911"/>
        <w:jc w:val="both"/>
        <w:rPr>
          <w:sz w:val="18"/>
        </w:rPr>
      </w:pPr>
      <w:bookmarkStart w:id="1172" w:name="_bookmark1009"/>
      <w:bookmarkEnd w:id="1172"/>
      <w:r>
        <w:rPr>
          <w:position w:val="5"/>
          <w:sz w:val="12"/>
        </w:rPr>
        <w:t>862</w:t>
      </w:r>
      <w:r>
        <w:rPr>
          <w:spacing w:val="27"/>
          <w:position w:val="5"/>
          <w:sz w:val="12"/>
        </w:rPr>
        <w:t xml:space="preserve"> </w:t>
      </w:r>
      <w:r>
        <w:rPr>
          <w:sz w:val="18"/>
        </w:rPr>
        <w:t xml:space="preserve">The passage from the panel report in </w:t>
      </w:r>
      <w:r>
        <w:rPr>
          <w:i/>
          <w:sz w:val="18"/>
        </w:rPr>
        <w:t xml:space="preserve">Japan – DRAMs (Korea) </w:t>
      </w:r>
      <w:proofErr w:type="gramStart"/>
      <w:r>
        <w:rPr>
          <w:sz w:val="18"/>
        </w:rPr>
        <w:t>does</w:t>
      </w:r>
      <w:proofErr w:type="gramEnd"/>
      <w:r>
        <w:rPr>
          <w:sz w:val="18"/>
        </w:rPr>
        <w:t xml:space="preserve"> not support this proposition either (see China's first written submission, para. 1721).</w:t>
      </w:r>
    </w:p>
    <w:p w14:paraId="6E82C83E" w14:textId="77777777" w:rsidR="00BD462C" w:rsidRDefault="00BD462C">
      <w:pPr>
        <w:jc w:val="both"/>
        <w:rPr>
          <w:sz w:val="18"/>
        </w:rPr>
        <w:sectPr w:rsidR="00BD462C">
          <w:pgSz w:w="11910" w:h="16840"/>
          <w:pgMar w:top="860" w:right="500" w:bottom="780" w:left="1280" w:header="566" w:footer="590" w:gutter="0"/>
          <w:cols w:space="720"/>
        </w:sectPr>
      </w:pPr>
    </w:p>
    <w:p w14:paraId="2A48D8E1"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47B4E802"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02357E61"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593E070F" w14:textId="77777777" w:rsidR="00BD462C" w:rsidRDefault="00033D0F">
      <w:pPr>
        <w:pStyle w:val="ListParagraph"/>
        <w:numPr>
          <w:ilvl w:val="1"/>
          <w:numId w:val="32"/>
        </w:numPr>
        <w:tabs>
          <w:tab w:val="left" w:pos="3539"/>
          <w:tab w:val="left" w:pos="3540"/>
        </w:tabs>
        <w:spacing w:before="102" w:line="360" w:lineRule="auto"/>
        <w:ind w:right="917"/>
        <w:jc w:val="both"/>
        <w:rPr>
          <w:sz w:val="24"/>
        </w:rPr>
      </w:pPr>
      <w:bookmarkStart w:id="1173" w:name="(b)_MOFCOM's_determination_did_not_demon"/>
      <w:bookmarkEnd w:id="1173"/>
      <w:r>
        <w:rPr>
          <w:sz w:val="24"/>
          <w:u w:val="single"/>
        </w:rPr>
        <w:t>MOFCOM's determination did not demonstrate a causal</w:t>
      </w:r>
      <w:r>
        <w:rPr>
          <w:sz w:val="24"/>
        </w:rPr>
        <w:t xml:space="preserve"> </w:t>
      </w:r>
      <w:r>
        <w:rPr>
          <w:sz w:val="24"/>
          <w:u w:val="single"/>
        </w:rPr>
        <w:t>relationship between subject imports and injury to the</w:t>
      </w:r>
      <w:r>
        <w:rPr>
          <w:sz w:val="24"/>
        </w:rPr>
        <w:t xml:space="preserve"> </w:t>
      </w:r>
      <w:r>
        <w:rPr>
          <w:sz w:val="24"/>
          <w:u w:val="single"/>
        </w:rPr>
        <w:t>domestic industry</w:t>
      </w:r>
    </w:p>
    <w:p w14:paraId="3BA1B0A8" w14:textId="77777777" w:rsidR="00BD462C" w:rsidRDefault="00BD462C">
      <w:pPr>
        <w:pStyle w:val="BodyText"/>
        <w:spacing w:before="11"/>
        <w:rPr>
          <w:sz w:val="8"/>
        </w:rPr>
      </w:pPr>
    </w:p>
    <w:p w14:paraId="4502DE38" w14:textId="194A1D0D" w:rsidR="00BD462C" w:rsidRDefault="000F5FA7">
      <w:pPr>
        <w:pStyle w:val="BodyText"/>
        <w:spacing w:before="56" w:line="357" w:lineRule="auto"/>
        <w:ind w:left="135" w:right="912"/>
        <w:jc w:val="both"/>
      </w:pPr>
      <w:r>
        <w:rPr>
          <w:noProof/>
        </w:rPr>
        <w:t>566.</w:t>
      </w:r>
      <w:r w:rsidR="00033D0F">
        <w:rPr>
          <w:rFonts w:ascii="Times New Roman"/>
          <w:spacing w:val="80"/>
          <w:position w:val="1"/>
          <w:sz w:val="20"/>
        </w:rPr>
        <w:t xml:space="preserve">  </w:t>
      </w:r>
      <w:r w:rsidR="00033D0F">
        <w:rPr>
          <w:position w:val="1"/>
        </w:rPr>
        <w:t>China</w:t>
      </w:r>
      <w:r w:rsidR="00033D0F">
        <w:rPr>
          <w:spacing w:val="-12"/>
          <w:position w:val="1"/>
        </w:rPr>
        <w:t xml:space="preserve"> </w:t>
      </w:r>
      <w:r w:rsidR="00033D0F">
        <w:rPr>
          <w:position w:val="1"/>
        </w:rPr>
        <w:t>has</w:t>
      </w:r>
      <w:r w:rsidR="00033D0F">
        <w:rPr>
          <w:spacing w:val="-10"/>
          <w:position w:val="1"/>
        </w:rPr>
        <w:t xml:space="preserve"> </w:t>
      </w:r>
      <w:r w:rsidR="00033D0F">
        <w:rPr>
          <w:position w:val="1"/>
        </w:rPr>
        <w:t>provided</w:t>
      </w:r>
      <w:r w:rsidR="00033D0F">
        <w:rPr>
          <w:spacing w:val="-14"/>
          <w:position w:val="1"/>
        </w:rPr>
        <w:t xml:space="preserve"> </w:t>
      </w:r>
      <w:r w:rsidR="00033D0F">
        <w:rPr>
          <w:position w:val="1"/>
        </w:rPr>
        <w:t>significant</w:t>
      </w:r>
      <w:r w:rsidR="00033D0F">
        <w:rPr>
          <w:spacing w:val="-10"/>
          <w:position w:val="1"/>
        </w:rPr>
        <w:t xml:space="preserve"> </w:t>
      </w:r>
      <w:r w:rsidR="00033D0F">
        <w:rPr>
          <w:i/>
          <w:position w:val="1"/>
        </w:rPr>
        <w:t>ex</w:t>
      </w:r>
      <w:r w:rsidR="00033D0F">
        <w:rPr>
          <w:i/>
          <w:spacing w:val="-11"/>
          <w:position w:val="1"/>
        </w:rPr>
        <w:t xml:space="preserve"> </w:t>
      </w:r>
      <w:r w:rsidR="00033D0F">
        <w:rPr>
          <w:i/>
          <w:position w:val="1"/>
        </w:rPr>
        <w:t>post</w:t>
      </w:r>
      <w:r w:rsidR="00033D0F">
        <w:rPr>
          <w:i/>
          <w:spacing w:val="-11"/>
          <w:position w:val="1"/>
        </w:rPr>
        <w:t xml:space="preserve"> </w:t>
      </w:r>
      <w:r w:rsidR="00033D0F">
        <w:rPr>
          <w:i/>
          <w:position w:val="1"/>
        </w:rPr>
        <w:t>facto</w:t>
      </w:r>
      <w:r w:rsidR="00033D0F">
        <w:rPr>
          <w:i/>
          <w:spacing w:val="-11"/>
          <w:position w:val="1"/>
        </w:rPr>
        <w:t xml:space="preserve"> </w:t>
      </w:r>
      <w:r w:rsidR="00033D0F">
        <w:rPr>
          <w:position w:val="1"/>
        </w:rPr>
        <w:t>explanations</w:t>
      </w:r>
      <w:r w:rsidR="00033D0F">
        <w:rPr>
          <w:spacing w:val="-10"/>
          <w:position w:val="1"/>
        </w:rPr>
        <w:t xml:space="preserve"> </w:t>
      </w:r>
      <w:r w:rsidR="00033D0F">
        <w:rPr>
          <w:position w:val="1"/>
        </w:rPr>
        <w:t>and</w:t>
      </w:r>
      <w:r w:rsidR="00033D0F">
        <w:rPr>
          <w:spacing w:val="-14"/>
          <w:position w:val="1"/>
        </w:rPr>
        <w:t xml:space="preserve"> </w:t>
      </w:r>
      <w:r w:rsidR="00033D0F">
        <w:rPr>
          <w:position w:val="1"/>
        </w:rPr>
        <w:t>reasoning</w:t>
      </w:r>
      <w:r w:rsidR="00033D0F">
        <w:rPr>
          <w:spacing w:val="-9"/>
          <w:position w:val="1"/>
        </w:rPr>
        <w:t xml:space="preserve"> </w:t>
      </w:r>
      <w:r w:rsidR="00033D0F">
        <w:rPr>
          <w:position w:val="1"/>
        </w:rPr>
        <w:t>that</w:t>
      </w:r>
      <w:r w:rsidR="00033D0F">
        <w:rPr>
          <w:spacing w:val="-7"/>
          <w:position w:val="1"/>
        </w:rPr>
        <w:t xml:space="preserve"> </w:t>
      </w:r>
      <w:r w:rsidR="00033D0F">
        <w:rPr>
          <w:position w:val="1"/>
        </w:rPr>
        <w:t>it</w:t>
      </w:r>
      <w:r w:rsidR="00033D0F">
        <w:rPr>
          <w:spacing w:val="-11"/>
          <w:position w:val="1"/>
        </w:rPr>
        <w:t xml:space="preserve"> </w:t>
      </w:r>
      <w:r w:rsidR="00033D0F">
        <w:rPr>
          <w:position w:val="1"/>
        </w:rPr>
        <w:t xml:space="preserve">alleges </w:t>
      </w:r>
      <w:r w:rsidR="00033D0F">
        <w:t>underpin</w:t>
      </w:r>
      <w:r w:rsidR="00033D0F">
        <w:rPr>
          <w:spacing w:val="-14"/>
        </w:rPr>
        <w:t xml:space="preserve"> </w:t>
      </w:r>
      <w:r w:rsidR="00033D0F">
        <w:t>MOFCOM's</w:t>
      </w:r>
      <w:r w:rsidR="00033D0F">
        <w:rPr>
          <w:spacing w:val="-14"/>
        </w:rPr>
        <w:t xml:space="preserve"> </w:t>
      </w:r>
      <w:r w:rsidR="00033D0F">
        <w:t>determination.</w:t>
      </w:r>
      <w:hyperlink w:anchor="_bookmark1010" w:history="1">
        <w:r w:rsidR="00033D0F">
          <w:rPr>
            <w:vertAlign w:val="superscript"/>
          </w:rPr>
          <w:t>863</w:t>
        </w:r>
      </w:hyperlink>
      <w:r w:rsidR="00033D0F">
        <w:rPr>
          <w:spacing w:val="-13"/>
        </w:rPr>
        <w:t xml:space="preserve"> </w:t>
      </w:r>
      <w:r w:rsidR="00033D0F">
        <w:t>This</w:t>
      </w:r>
      <w:r w:rsidR="00033D0F">
        <w:rPr>
          <w:spacing w:val="-14"/>
        </w:rPr>
        <w:t xml:space="preserve"> </w:t>
      </w:r>
      <w:r w:rsidR="00033D0F">
        <w:t>level</w:t>
      </w:r>
      <w:r w:rsidR="00033D0F">
        <w:rPr>
          <w:spacing w:val="-11"/>
        </w:rPr>
        <w:t xml:space="preserve"> </w:t>
      </w:r>
      <w:r w:rsidR="00033D0F">
        <w:t>of</w:t>
      </w:r>
      <w:r w:rsidR="00033D0F">
        <w:rPr>
          <w:spacing w:val="-14"/>
        </w:rPr>
        <w:t xml:space="preserve"> </w:t>
      </w:r>
      <w:r w:rsidR="00033D0F">
        <w:t>detail,</w:t>
      </w:r>
      <w:r w:rsidR="00033D0F">
        <w:rPr>
          <w:spacing w:val="-11"/>
        </w:rPr>
        <w:t xml:space="preserve"> </w:t>
      </w:r>
      <w:r w:rsidR="00033D0F">
        <w:t>explanation</w:t>
      </w:r>
      <w:r w:rsidR="00033D0F">
        <w:rPr>
          <w:spacing w:val="-14"/>
        </w:rPr>
        <w:t xml:space="preserve"> </w:t>
      </w:r>
      <w:r w:rsidR="00033D0F">
        <w:t>and</w:t>
      </w:r>
      <w:r w:rsidR="00033D0F">
        <w:rPr>
          <w:spacing w:val="-14"/>
        </w:rPr>
        <w:t xml:space="preserve"> </w:t>
      </w:r>
      <w:r w:rsidR="00033D0F">
        <w:t>analysis</w:t>
      </w:r>
      <w:r w:rsidR="00033D0F">
        <w:rPr>
          <w:spacing w:val="-11"/>
        </w:rPr>
        <w:t xml:space="preserve"> </w:t>
      </w:r>
      <w:r w:rsidR="00033D0F">
        <w:t>was</w:t>
      </w:r>
      <w:r w:rsidR="00033D0F">
        <w:rPr>
          <w:spacing w:val="-12"/>
        </w:rPr>
        <w:t xml:space="preserve"> </w:t>
      </w:r>
      <w:r w:rsidR="00033D0F">
        <w:t>never provided by MOFCOM and does not appear in the Final Determination or elsewhere on the investigation record.</w:t>
      </w:r>
      <w:hyperlink w:anchor="_bookmark1011" w:history="1">
        <w:r w:rsidR="00033D0F">
          <w:rPr>
            <w:vertAlign w:val="superscript"/>
          </w:rPr>
          <w:t>864</w:t>
        </w:r>
      </w:hyperlink>
      <w:r w:rsidR="00033D0F">
        <w:t xml:space="preserve"> As such, it should be disregarded.</w:t>
      </w:r>
    </w:p>
    <w:p w14:paraId="1A13E53C" w14:textId="77777777" w:rsidR="00BD462C" w:rsidRDefault="00BD462C">
      <w:pPr>
        <w:pStyle w:val="BodyText"/>
        <w:spacing w:before="3"/>
        <w:rPr>
          <w:sz w:val="9"/>
        </w:rPr>
      </w:pPr>
    </w:p>
    <w:p w14:paraId="084DEEF0" w14:textId="0A181F45" w:rsidR="00BD462C" w:rsidRDefault="000F5FA7">
      <w:pPr>
        <w:pStyle w:val="BodyText"/>
        <w:spacing w:before="56" w:line="357" w:lineRule="auto"/>
        <w:ind w:left="135" w:right="913"/>
        <w:jc w:val="both"/>
      </w:pPr>
      <w:r>
        <w:rPr>
          <w:noProof/>
        </w:rPr>
        <w:t>567.</w:t>
      </w:r>
      <w:r w:rsidR="00033D0F">
        <w:rPr>
          <w:rFonts w:ascii="Times New Roman"/>
          <w:spacing w:val="80"/>
          <w:w w:val="150"/>
          <w:position w:val="1"/>
          <w:sz w:val="20"/>
        </w:rPr>
        <w:t xml:space="preserve">  </w:t>
      </w:r>
      <w:r w:rsidR="00033D0F">
        <w:rPr>
          <w:position w:val="1"/>
        </w:rPr>
        <w:t>In</w:t>
      </w:r>
      <w:r w:rsidR="00033D0F">
        <w:rPr>
          <w:spacing w:val="-1"/>
          <w:position w:val="1"/>
        </w:rPr>
        <w:t xml:space="preserve"> </w:t>
      </w:r>
      <w:r w:rsidR="00033D0F">
        <w:rPr>
          <w:position w:val="1"/>
        </w:rPr>
        <w:t>any event, China now argues that</w:t>
      </w:r>
      <w:r w:rsidR="00033D0F">
        <w:rPr>
          <w:spacing w:val="-3"/>
          <w:position w:val="1"/>
        </w:rPr>
        <w:t xml:space="preserve"> </w:t>
      </w:r>
      <w:r w:rsidR="00033D0F">
        <w:rPr>
          <w:position w:val="1"/>
        </w:rPr>
        <w:t>MOFCOM's causation</w:t>
      </w:r>
      <w:r w:rsidR="00033D0F">
        <w:rPr>
          <w:spacing w:val="-1"/>
          <w:position w:val="1"/>
        </w:rPr>
        <w:t xml:space="preserve"> </w:t>
      </w:r>
      <w:r w:rsidR="00033D0F">
        <w:rPr>
          <w:position w:val="1"/>
        </w:rPr>
        <w:t>determination</w:t>
      </w:r>
      <w:r w:rsidR="00033D0F">
        <w:rPr>
          <w:spacing w:val="-1"/>
          <w:position w:val="1"/>
        </w:rPr>
        <w:t xml:space="preserve"> </w:t>
      </w:r>
      <w:r w:rsidR="00033D0F">
        <w:rPr>
          <w:position w:val="1"/>
        </w:rPr>
        <w:t xml:space="preserve">was based </w:t>
      </w:r>
      <w:r w:rsidR="00033D0F">
        <w:t>on three key and related findings:</w:t>
      </w:r>
    </w:p>
    <w:p w14:paraId="30D4333F" w14:textId="77777777" w:rsidR="00BD462C" w:rsidRDefault="00033D0F">
      <w:pPr>
        <w:pStyle w:val="ListParagraph"/>
        <w:numPr>
          <w:ilvl w:val="0"/>
          <w:numId w:val="45"/>
        </w:numPr>
        <w:tabs>
          <w:tab w:val="left" w:pos="1835"/>
          <w:tab w:val="left" w:pos="1836"/>
        </w:tabs>
        <w:spacing w:before="161" w:line="357" w:lineRule="auto"/>
        <w:ind w:right="916" w:hanging="855"/>
        <w:jc w:val="both"/>
        <w:rPr>
          <w:sz w:val="24"/>
        </w:rPr>
      </w:pPr>
      <w:r>
        <w:rPr>
          <w:sz w:val="24"/>
        </w:rPr>
        <w:t>First, the increasing volume and declining average unit price of subject imports caused all of the sales volume and market share declines experienced by the domestic industry over the Injury POI.</w:t>
      </w:r>
      <w:hyperlink w:anchor="_bookmark1012" w:history="1">
        <w:r>
          <w:rPr>
            <w:sz w:val="24"/>
            <w:vertAlign w:val="superscript"/>
          </w:rPr>
          <w:t>865</w:t>
        </w:r>
      </w:hyperlink>
    </w:p>
    <w:p w14:paraId="57BECB5B" w14:textId="77777777" w:rsidR="00BD462C" w:rsidRDefault="00033D0F">
      <w:pPr>
        <w:pStyle w:val="ListParagraph"/>
        <w:numPr>
          <w:ilvl w:val="0"/>
          <w:numId w:val="45"/>
        </w:numPr>
        <w:tabs>
          <w:tab w:val="left" w:pos="1835"/>
          <w:tab w:val="left" w:pos="1836"/>
        </w:tabs>
        <w:spacing w:before="127" w:line="360" w:lineRule="auto"/>
        <w:ind w:right="913" w:hanging="855"/>
        <w:jc w:val="both"/>
        <w:rPr>
          <w:sz w:val="24"/>
        </w:rPr>
      </w:pPr>
      <w:r>
        <w:rPr>
          <w:sz w:val="24"/>
        </w:rPr>
        <w:t>Second,</w:t>
      </w:r>
      <w:r>
        <w:rPr>
          <w:spacing w:val="-3"/>
          <w:sz w:val="24"/>
        </w:rPr>
        <w:t xml:space="preserve"> </w:t>
      </w:r>
      <w:r>
        <w:rPr>
          <w:sz w:val="24"/>
        </w:rPr>
        <w:t>subject</w:t>
      </w:r>
      <w:r>
        <w:rPr>
          <w:spacing w:val="-4"/>
          <w:sz w:val="24"/>
        </w:rPr>
        <w:t xml:space="preserve"> </w:t>
      </w:r>
      <w:r>
        <w:rPr>
          <w:sz w:val="24"/>
        </w:rPr>
        <w:t>imports</w:t>
      </w:r>
      <w:r>
        <w:rPr>
          <w:spacing w:val="-3"/>
          <w:sz w:val="24"/>
        </w:rPr>
        <w:t xml:space="preserve"> </w:t>
      </w:r>
      <w:r>
        <w:rPr>
          <w:sz w:val="24"/>
        </w:rPr>
        <w:t>caused</w:t>
      </w:r>
      <w:r>
        <w:rPr>
          <w:spacing w:val="-6"/>
          <w:sz w:val="24"/>
        </w:rPr>
        <w:t xml:space="preserve"> </w:t>
      </w:r>
      <w:r>
        <w:rPr>
          <w:sz w:val="24"/>
        </w:rPr>
        <w:t>the</w:t>
      </w:r>
      <w:r>
        <w:rPr>
          <w:spacing w:val="-5"/>
          <w:sz w:val="24"/>
        </w:rPr>
        <w:t xml:space="preserve"> </w:t>
      </w:r>
      <w:r>
        <w:rPr>
          <w:sz w:val="24"/>
        </w:rPr>
        <w:t>market</w:t>
      </w:r>
      <w:r>
        <w:rPr>
          <w:spacing w:val="-4"/>
          <w:sz w:val="24"/>
        </w:rPr>
        <w:t xml:space="preserve"> </w:t>
      </w:r>
      <w:r>
        <w:rPr>
          <w:sz w:val="24"/>
        </w:rPr>
        <w:t>share</w:t>
      </w:r>
      <w:r>
        <w:rPr>
          <w:spacing w:val="-9"/>
          <w:sz w:val="24"/>
        </w:rPr>
        <w:t xml:space="preserve"> </w:t>
      </w:r>
      <w:r>
        <w:rPr>
          <w:sz w:val="24"/>
        </w:rPr>
        <w:t>and</w:t>
      </w:r>
      <w:r>
        <w:rPr>
          <w:spacing w:val="-6"/>
          <w:sz w:val="24"/>
        </w:rPr>
        <w:t xml:space="preserve"> </w:t>
      </w:r>
      <w:r>
        <w:rPr>
          <w:sz w:val="24"/>
        </w:rPr>
        <w:t>sales</w:t>
      </w:r>
      <w:r>
        <w:rPr>
          <w:spacing w:val="-8"/>
          <w:sz w:val="24"/>
        </w:rPr>
        <w:t xml:space="preserve"> </w:t>
      </w:r>
      <w:r>
        <w:rPr>
          <w:sz w:val="24"/>
        </w:rPr>
        <w:t>volume</w:t>
      </w:r>
      <w:r>
        <w:rPr>
          <w:spacing w:val="-4"/>
          <w:sz w:val="24"/>
        </w:rPr>
        <w:t xml:space="preserve"> </w:t>
      </w:r>
      <w:r>
        <w:rPr>
          <w:sz w:val="24"/>
        </w:rPr>
        <w:t>declines in the domestic industry because there was a competitive relationship between subject imports and domestic like products.</w:t>
      </w:r>
      <w:hyperlink w:anchor="_bookmark1013" w:history="1">
        <w:r>
          <w:rPr>
            <w:sz w:val="24"/>
            <w:vertAlign w:val="superscript"/>
          </w:rPr>
          <w:t>866</w:t>
        </w:r>
      </w:hyperlink>
    </w:p>
    <w:p w14:paraId="4D8C493C" w14:textId="77777777" w:rsidR="00BD462C" w:rsidRDefault="00033D0F">
      <w:pPr>
        <w:pStyle w:val="ListParagraph"/>
        <w:numPr>
          <w:ilvl w:val="0"/>
          <w:numId w:val="45"/>
        </w:numPr>
        <w:tabs>
          <w:tab w:val="left" w:pos="1835"/>
          <w:tab w:val="left" w:pos="1836"/>
        </w:tabs>
        <w:spacing w:before="118" w:line="360" w:lineRule="auto"/>
        <w:ind w:right="916" w:hanging="855"/>
        <w:jc w:val="both"/>
        <w:rPr>
          <w:sz w:val="24"/>
        </w:rPr>
      </w:pPr>
      <w:r>
        <w:rPr>
          <w:sz w:val="24"/>
        </w:rPr>
        <w:t>Third,</w:t>
      </w:r>
      <w:r>
        <w:rPr>
          <w:spacing w:val="-14"/>
          <w:sz w:val="24"/>
        </w:rPr>
        <w:t xml:space="preserve"> </w:t>
      </w:r>
      <w:r>
        <w:rPr>
          <w:sz w:val="24"/>
        </w:rPr>
        <w:t>subject</w:t>
      </w:r>
      <w:r>
        <w:rPr>
          <w:spacing w:val="-14"/>
          <w:sz w:val="24"/>
        </w:rPr>
        <w:t xml:space="preserve"> </w:t>
      </w:r>
      <w:r>
        <w:rPr>
          <w:sz w:val="24"/>
        </w:rPr>
        <w:t>imports</w:t>
      </w:r>
      <w:r>
        <w:rPr>
          <w:spacing w:val="-13"/>
          <w:sz w:val="24"/>
        </w:rPr>
        <w:t xml:space="preserve"> </w:t>
      </w:r>
      <w:r>
        <w:rPr>
          <w:sz w:val="24"/>
        </w:rPr>
        <w:t>caused</w:t>
      </w:r>
      <w:r>
        <w:rPr>
          <w:spacing w:val="-14"/>
          <w:sz w:val="24"/>
        </w:rPr>
        <w:t xml:space="preserve"> </w:t>
      </w:r>
      <w:r>
        <w:rPr>
          <w:sz w:val="24"/>
        </w:rPr>
        <w:t>the</w:t>
      </w:r>
      <w:r>
        <w:rPr>
          <w:spacing w:val="-13"/>
          <w:sz w:val="24"/>
        </w:rPr>
        <w:t xml:space="preserve"> </w:t>
      </w:r>
      <w:r>
        <w:rPr>
          <w:sz w:val="24"/>
        </w:rPr>
        <w:t>domestic</w:t>
      </w:r>
      <w:r>
        <w:rPr>
          <w:spacing w:val="-14"/>
          <w:sz w:val="24"/>
        </w:rPr>
        <w:t xml:space="preserve"> </w:t>
      </w:r>
      <w:r>
        <w:rPr>
          <w:sz w:val="24"/>
        </w:rPr>
        <w:t>industry's</w:t>
      </w:r>
      <w:r>
        <w:rPr>
          <w:spacing w:val="-13"/>
          <w:sz w:val="24"/>
        </w:rPr>
        <w:t xml:space="preserve"> </w:t>
      </w:r>
      <w:r>
        <w:rPr>
          <w:sz w:val="24"/>
        </w:rPr>
        <w:t>profitability</w:t>
      </w:r>
      <w:r>
        <w:rPr>
          <w:spacing w:val="-14"/>
          <w:sz w:val="24"/>
        </w:rPr>
        <w:t xml:space="preserve"> </w:t>
      </w:r>
      <w:r>
        <w:rPr>
          <w:sz w:val="24"/>
        </w:rPr>
        <w:t>to</w:t>
      </w:r>
      <w:r>
        <w:rPr>
          <w:spacing w:val="-14"/>
          <w:sz w:val="24"/>
        </w:rPr>
        <w:t xml:space="preserve"> </w:t>
      </w:r>
      <w:r>
        <w:rPr>
          <w:sz w:val="24"/>
        </w:rPr>
        <w:t>decline, through a combination of taking market share and preventing price increases. The profitability decline resulted in further declines in other relevant economic factors.</w:t>
      </w:r>
      <w:hyperlink w:anchor="_bookmark1014" w:history="1">
        <w:r>
          <w:rPr>
            <w:sz w:val="24"/>
            <w:vertAlign w:val="superscript"/>
          </w:rPr>
          <w:t>867</w:t>
        </w:r>
      </w:hyperlink>
    </w:p>
    <w:p w14:paraId="19E26136" w14:textId="798FB250" w:rsidR="00BD462C" w:rsidRDefault="000F5FA7">
      <w:pPr>
        <w:pStyle w:val="BodyText"/>
        <w:spacing w:before="128" w:line="357" w:lineRule="auto"/>
        <w:ind w:left="135" w:right="923"/>
      </w:pPr>
      <w:r>
        <w:rPr>
          <w:noProof/>
        </w:rPr>
        <w:t>568.</w:t>
      </w:r>
      <w:r w:rsidR="00033D0F">
        <w:rPr>
          <w:rFonts w:ascii="Times New Roman"/>
          <w:spacing w:val="80"/>
          <w:position w:val="1"/>
          <w:sz w:val="20"/>
        </w:rPr>
        <w:t xml:space="preserve">   </w:t>
      </w:r>
      <w:r w:rsidR="00033D0F">
        <w:rPr>
          <w:position w:val="1"/>
        </w:rPr>
        <w:t>Australia</w:t>
      </w:r>
      <w:r w:rsidR="00033D0F">
        <w:rPr>
          <w:spacing w:val="20"/>
          <w:position w:val="1"/>
        </w:rPr>
        <w:t xml:space="preserve"> </w:t>
      </w:r>
      <w:r w:rsidR="00033D0F">
        <w:rPr>
          <w:position w:val="1"/>
        </w:rPr>
        <w:t>maintains</w:t>
      </w:r>
      <w:r w:rsidR="00033D0F">
        <w:rPr>
          <w:spacing w:val="22"/>
          <w:position w:val="1"/>
        </w:rPr>
        <w:t xml:space="preserve"> </w:t>
      </w:r>
      <w:r w:rsidR="00033D0F">
        <w:rPr>
          <w:position w:val="1"/>
        </w:rPr>
        <w:t>that</w:t>
      </w:r>
      <w:r w:rsidR="00033D0F">
        <w:rPr>
          <w:spacing w:val="21"/>
          <w:position w:val="1"/>
        </w:rPr>
        <w:t xml:space="preserve"> </w:t>
      </w:r>
      <w:r w:rsidR="00033D0F">
        <w:rPr>
          <w:position w:val="1"/>
        </w:rPr>
        <w:t>there</w:t>
      </w:r>
      <w:r w:rsidR="00033D0F">
        <w:rPr>
          <w:spacing w:val="21"/>
          <w:position w:val="1"/>
        </w:rPr>
        <w:t xml:space="preserve"> </w:t>
      </w:r>
      <w:r w:rsidR="00033D0F">
        <w:rPr>
          <w:position w:val="1"/>
        </w:rPr>
        <w:t>are</w:t>
      </w:r>
      <w:r w:rsidR="00033D0F">
        <w:rPr>
          <w:spacing w:val="25"/>
          <w:position w:val="1"/>
        </w:rPr>
        <w:t xml:space="preserve"> </w:t>
      </w:r>
      <w:r w:rsidR="00033D0F">
        <w:rPr>
          <w:position w:val="1"/>
        </w:rPr>
        <w:t>fundamental</w:t>
      </w:r>
      <w:r w:rsidR="00033D0F">
        <w:rPr>
          <w:spacing w:val="27"/>
          <w:position w:val="1"/>
        </w:rPr>
        <w:t xml:space="preserve"> </w:t>
      </w:r>
      <w:r w:rsidR="00033D0F">
        <w:rPr>
          <w:position w:val="1"/>
        </w:rPr>
        <w:t>errors</w:t>
      </w:r>
      <w:r w:rsidR="00033D0F">
        <w:rPr>
          <w:spacing w:val="22"/>
          <w:position w:val="1"/>
        </w:rPr>
        <w:t xml:space="preserve"> </w:t>
      </w:r>
      <w:r w:rsidR="00033D0F">
        <w:rPr>
          <w:position w:val="1"/>
        </w:rPr>
        <w:t>in</w:t>
      </w:r>
      <w:r w:rsidR="00033D0F">
        <w:rPr>
          <w:spacing w:val="19"/>
          <w:position w:val="1"/>
        </w:rPr>
        <w:t xml:space="preserve"> </w:t>
      </w:r>
      <w:r w:rsidR="00033D0F">
        <w:rPr>
          <w:position w:val="1"/>
        </w:rPr>
        <w:t>relation</w:t>
      </w:r>
      <w:r w:rsidR="00033D0F">
        <w:rPr>
          <w:spacing w:val="19"/>
          <w:position w:val="1"/>
        </w:rPr>
        <w:t xml:space="preserve"> </w:t>
      </w:r>
      <w:r w:rsidR="00033D0F">
        <w:rPr>
          <w:position w:val="1"/>
        </w:rPr>
        <w:t>to</w:t>
      </w:r>
      <w:r w:rsidR="00033D0F">
        <w:rPr>
          <w:spacing w:val="23"/>
          <w:position w:val="1"/>
        </w:rPr>
        <w:t xml:space="preserve"> </w:t>
      </w:r>
      <w:r w:rsidR="00033D0F">
        <w:rPr>
          <w:position w:val="1"/>
        </w:rPr>
        <w:t>each</w:t>
      </w:r>
      <w:r w:rsidR="00033D0F">
        <w:rPr>
          <w:spacing w:val="23"/>
          <w:position w:val="1"/>
        </w:rPr>
        <w:t xml:space="preserve"> </w:t>
      </w:r>
      <w:r w:rsidR="00033D0F">
        <w:rPr>
          <w:position w:val="1"/>
        </w:rPr>
        <w:t>of</w:t>
      </w:r>
      <w:r w:rsidR="00033D0F">
        <w:rPr>
          <w:spacing w:val="24"/>
          <w:position w:val="1"/>
        </w:rPr>
        <w:t xml:space="preserve"> </w:t>
      </w:r>
      <w:r w:rsidR="00033D0F">
        <w:rPr>
          <w:position w:val="1"/>
        </w:rPr>
        <w:t xml:space="preserve">these </w:t>
      </w:r>
      <w:r w:rsidR="00033D0F">
        <w:rPr>
          <w:spacing w:val="-2"/>
        </w:rPr>
        <w:t>findings.</w:t>
      </w:r>
    </w:p>
    <w:p w14:paraId="1CB80300" w14:textId="77777777" w:rsidR="00BD462C" w:rsidRDefault="00BD462C">
      <w:pPr>
        <w:pStyle w:val="BodyText"/>
        <w:rPr>
          <w:sz w:val="20"/>
        </w:rPr>
      </w:pPr>
    </w:p>
    <w:p w14:paraId="5A57DB2F" w14:textId="77777777" w:rsidR="00BD462C" w:rsidRDefault="00BD462C">
      <w:pPr>
        <w:pStyle w:val="BodyText"/>
        <w:rPr>
          <w:sz w:val="20"/>
        </w:rPr>
      </w:pPr>
    </w:p>
    <w:p w14:paraId="77807F26" w14:textId="77777777" w:rsidR="00BD462C" w:rsidRDefault="00BD462C">
      <w:pPr>
        <w:pStyle w:val="BodyText"/>
        <w:rPr>
          <w:sz w:val="20"/>
        </w:rPr>
      </w:pPr>
    </w:p>
    <w:p w14:paraId="179AD649" w14:textId="77777777" w:rsidR="00BD462C" w:rsidRDefault="00BD462C">
      <w:pPr>
        <w:pStyle w:val="BodyText"/>
        <w:rPr>
          <w:sz w:val="20"/>
        </w:rPr>
      </w:pPr>
    </w:p>
    <w:p w14:paraId="2A1B5D34" w14:textId="77777777" w:rsidR="00BD462C" w:rsidRDefault="00BD462C">
      <w:pPr>
        <w:pStyle w:val="BodyText"/>
        <w:rPr>
          <w:sz w:val="20"/>
        </w:rPr>
      </w:pPr>
    </w:p>
    <w:p w14:paraId="76D34D95" w14:textId="77777777" w:rsidR="00BD462C" w:rsidRDefault="00BD462C">
      <w:pPr>
        <w:pStyle w:val="BodyText"/>
        <w:rPr>
          <w:sz w:val="20"/>
        </w:rPr>
      </w:pPr>
    </w:p>
    <w:p w14:paraId="23544817" w14:textId="4BD9056D" w:rsidR="00BD462C" w:rsidRDefault="007E218F">
      <w:pPr>
        <w:pStyle w:val="BodyText"/>
        <w:rPr>
          <w:sz w:val="20"/>
        </w:rPr>
      </w:pPr>
      <w:r>
        <w:rPr>
          <w:noProof/>
        </w:rPr>
        <mc:AlternateContent>
          <mc:Choice Requires="wps">
            <w:drawing>
              <wp:anchor distT="0" distB="0" distL="0" distR="0" simplePos="0" relativeHeight="488212992" behindDoc="1" locked="0" layoutInCell="1" allowOverlap="1" wp14:anchorId="468AABD1" wp14:editId="5FB2132B">
                <wp:simplePos x="0" y="0"/>
                <wp:positionH relativeFrom="page">
                  <wp:posOffset>812800</wp:posOffset>
                </wp:positionH>
                <wp:positionV relativeFrom="paragraph">
                  <wp:posOffset>294005</wp:posOffset>
                </wp:positionV>
                <wp:extent cx="1828800" cy="8890"/>
                <wp:effectExtent l="0" t="0" r="0" b="0"/>
                <wp:wrapTopAndBottom/>
                <wp:docPr id="189" name="docshape6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15E874" id="docshape664" o:spid="_x0000_s1026" alt="&quot;&quot;" style="position:absolute;margin-left:64pt;margin-top:23.15pt;width:2in;height:.7pt;z-index:-15103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" fillcolor="black" stroked="f">
                <w10:wrap type="topAndBottom" anchorx="page"/>
              </v:rect>
            </w:pict>
          </mc:Fallback>
        </mc:AlternateContent>
      </w:r>
    </w:p>
    <w:p w14:paraId="735E50AD" w14:textId="35AD13B0" w:rsidR="00BD462C" w:rsidRDefault="00BD462C">
      <w:pPr>
        <w:pStyle w:val="BodyText"/>
        <w:spacing w:before="7"/>
        <w:rPr>
          <w:sz w:val="17"/>
        </w:rPr>
      </w:pPr>
    </w:p>
    <w:p w14:paraId="0449F124" w14:textId="77777777" w:rsidR="00BD462C" w:rsidRDefault="00033D0F">
      <w:pPr>
        <w:spacing w:before="112"/>
        <w:ind w:left="135"/>
        <w:rPr>
          <w:sz w:val="18"/>
        </w:rPr>
      </w:pPr>
      <w:bookmarkStart w:id="1174" w:name="_bookmark1010"/>
      <w:bookmarkEnd w:id="1174"/>
      <w:r>
        <w:rPr>
          <w:position w:val="5"/>
          <w:sz w:val="12"/>
        </w:rPr>
        <w:t>863</w:t>
      </w:r>
      <w:r>
        <w:rPr>
          <w:spacing w:val="9"/>
          <w:position w:val="5"/>
          <w:sz w:val="12"/>
        </w:rPr>
        <w:t xml:space="preserve"> </w:t>
      </w:r>
      <w:r>
        <w:rPr>
          <w:sz w:val="18"/>
        </w:rPr>
        <w:t>China's</w:t>
      </w:r>
      <w:r>
        <w:rPr>
          <w:spacing w:val="-8"/>
          <w:sz w:val="18"/>
        </w:rPr>
        <w:t xml:space="preserve"> </w:t>
      </w:r>
      <w:r>
        <w:rPr>
          <w:sz w:val="18"/>
        </w:rPr>
        <w:t>first</w:t>
      </w:r>
      <w:r>
        <w:rPr>
          <w:spacing w:val="-7"/>
          <w:sz w:val="18"/>
        </w:rPr>
        <w:t xml:space="preserve"> </w:t>
      </w:r>
      <w:r>
        <w:rPr>
          <w:sz w:val="18"/>
        </w:rPr>
        <w:t>written</w:t>
      </w:r>
      <w:r>
        <w:rPr>
          <w:spacing w:val="-9"/>
          <w:sz w:val="18"/>
        </w:rPr>
        <w:t xml:space="preserve"> </w:t>
      </w:r>
      <w:r>
        <w:rPr>
          <w:sz w:val="18"/>
        </w:rPr>
        <w:t>submission,</w:t>
      </w:r>
      <w:r>
        <w:rPr>
          <w:spacing w:val="-2"/>
          <w:sz w:val="18"/>
        </w:rPr>
        <w:t xml:space="preserve"> </w:t>
      </w:r>
      <w:r>
        <w:rPr>
          <w:sz w:val="18"/>
        </w:rPr>
        <w:t>paras.</w:t>
      </w:r>
      <w:r>
        <w:rPr>
          <w:spacing w:val="-8"/>
          <w:sz w:val="18"/>
        </w:rPr>
        <w:t xml:space="preserve"> </w:t>
      </w:r>
      <w:r>
        <w:rPr>
          <w:sz w:val="18"/>
        </w:rPr>
        <w:t>1737,</w:t>
      </w:r>
      <w:r>
        <w:rPr>
          <w:spacing w:val="-6"/>
          <w:sz w:val="18"/>
        </w:rPr>
        <w:t xml:space="preserve"> </w:t>
      </w:r>
      <w:r>
        <w:rPr>
          <w:sz w:val="18"/>
        </w:rPr>
        <w:t>1739-1742,</w:t>
      </w:r>
      <w:r>
        <w:rPr>
          <w:spacing w:val="-7"/>
          <w:sz w:val="18"/>
        </w:rPr>
        <w:t xml:space="preserve"> </w:t>
      </w:r>
      <w:r>
        <w:rPr>
          <w:sz w:val="18"/>
        </w:rPr>
        <w:t>1744-1749,</w:t>
      </w:r>
      <w:r>
        <w:rPr>
          <w:spacing w:val="-3"/>
          <w:sz w:val="18"/>
        </w:rPr>
        <w:t xml:space="preserve"> </w:t>
      </w:r>
      <w:r>
        <w:rPr>
          <w:sz w:val="18"/>
        </w:rPr>
        <w:t>1751,</w:t>
      </w:r>
      <w:r>
        <w:rPr>
          <w:spacing w:val="-2"/>
          <w:sz w:val="18"/>
        </w:rPr>
        <w:t xml:space="preserve"> </w:t>
      </w:r>
      <w:r>
        <w:rPr>
          <w:sz w:val="18"/>
        </w:rPr>
        <w:t>1754-1755,</w:t>
      </w:r>
      <w:r>
        <w:rPr>
          <w:spacing w:val="-7"/>
          <w:sz w:val="18"/>
        </w:rPr>
        <w:t xml:space="preserve"> </w:t>
      </w:r>
      <w:r>
        <w:rPr>
          <w:sz w:val="18"/>
        </w:rPr>
        <w:t>1757,</w:t>
      </w:r>
      <w:r>
        <w:rPr>
          <w:spacing w:val="-2"/>
          <w:sz w:val="18"/>
        </w:rPr>
        <w:t xml:space="preserve"> </w:t>
      </w:r>
      <w:r>
        <w:rPr>
          <w:sz w:val="18"/>
        </w:rPr>
        <w:t>and</w:t>
      </w:r>
      <w:r>
        <w:rPr>
          <w:spacing w:val="-5"/>
          <w:sz w:val="18"/>
        </w:rPr>
        <w:t xml:space="preserve"> </w:t>
      </w:r>
      <w:r>
        <w:rPr>
          <w:sz w:val="18"/>
        </w:rPr>
        <w:t>1758-</w:t>
      </w:r>
      <w:r>
        <w:rPr>
          <w:spacing w:val="-2"/>
          <w:sz w:val="18"/>
        </w:rPr>
        <w:t>1759.</w:t>
      </w:r>
    </w:p>
    <w:p w14:paraId="23B4A1F6" w14:textId="77777777" w:rsidR="00BD462C" w:rsidRDefault="00033D0F">
      <w:pPr>
        <w:spacing w:before="4" w:line="235" w:lineRule="auto"/>
        <w:ind w:left="135" w:right="912"/>
        <w:rPr>
          <w:sz w:val="18"/>
        </w:rPr>
      </w:pPr>
      <w:bookmarkStart w:id="1175" w:name="_bookmark1011"/>
      <w:bookmarkEnd w:id="1175"/>
      <w:r>
        <w:rPr>
          <w:position w:val="5"/>
          <w:sz w:val="12"/>
        </w:rPr>
        <w:t>864</w:t>
      </w:r>
      <w:r>
        <w:rPr>
          <w:spacing w:val="40"/>
          <w:position w:val="5"/>
          <w:sz w:val="12"/>
        </w:rPr>
        <w:t xml:space="preserve"> </w:t>
      </w:r>
      <w:r>
        <w:rPr>
          <w:sz w:val="18"/>
        </w:rPr>
        <w:t>China</w:t>
      </w:r>
      <w:r>
        <w:rPr>
          <w:spacing w:val="20"/>
          <w:sz w:val="18"/>
        </w:rPr>
        <w:t xml:space="preserve"> </w:t>
      </w:r>
      <w:r>
        <w:rPr>
          <w:sz w:val="18"/>
        </w:rPr>
        <w:t>has</w:t>
      </w:r>
      <w:r>
        <w:rPr>
          <w:spacing w:val="22"/>
          <w:sz w:val="18"/>
        </w:rPr>
        <w:t xml:space="preserve"> </w:t>
      </w:r>
      <w:r>
        <w:rPr>
          <w:sz w:val="18"/>
        </w:rPr>
        <w:t>confirmed</w:t>
      </w:r>
      <w:r>
        <w:rPr>
          <w:spacing w:val="26"/>
          <w:sz w:val="18"/>
        </w:rPr>
        <w:t xml:space="preserve"> </w:t>
      </w:r>
      <w:r>
        <w:rPr>
          <w:sz w:val="18"/>
        </w:rPr>
        <w:t>that</w:t>
      </w:r>
      <w:r>
        <w:rPr>
          <w:spacing w:val="23"/>
          <w:sz w:val="18"/>
        </w:rPr>
        <w:t xml:space="preserve"> </w:t>
      </w:r>
      <w:r>
        <w:rPr>
          <w:sz w:val="18"/>
        </w:rPr>
        <w:t>MOFCOM's</w:t>
      </w:r>
      <w:r>
        <w:rPr>
          <w:spacing w:val="22"/>
          <w:sz w:val="18"/>
        </w:rPr>
        <w:t xml:space="preserve"> </w:t>
      </w:r>
      <w:r>
        <w:rPr>
          <w:sz w:val="18"/>
        </w:rPr>
        <w:t>causation</w:t>
      </w:r>
      <w:r>
        <w:rPr>
          <w:spacing w:val="26"/>
          <w:sz w:val="18"/>
        </w:rPr>
        <w:t xml:space="preserve"> </w:t>
      </w:r>
      <w:r>
        <w:rPr>
          <w:sz w:val="18"/>
        </w:rPr>
        <w:t>analysis</w:t>
      </w:r>
      <w:r>
        <w:rPr>
          <w:spacing w:val="22"/>
          <w:sz w:val="18"/>
        </w:rPr>
        <w:t xml:space="preserve"> </w:t>
      </w:r>
      <w:r>
        <w:rPr>
          <w:sz w:val="18"/>
        </w:rPr>
        <w:t>is</w:t>
      </w:r>
      <w:r>
        <w:rPr>
          <w:spacing w:val="27"/>
          <w:sz w:val="18"/>
        </w:rPr>
        <w:t xml:space="preserve"> </w:t>
      </w:r>
      <w:r>
        <w:rPr>
          <w:sz w:val="18"/>
        </w:rPr>
        <w:t>contained</w:t>
      </w:r>
      <w:r>
        <w:rPr>
          <w:spacing w:val="22"/>
          <w:sz w:val="18"/>
        </w:rPr>
        <w:t xml:space="preserve"> </w:t>
      </w:r>
      <w:r>
        <w:rPr>
          <w:sz w:val="18"/>
        </w:rPr>
        <w:t>in</w:t>
      </w:r>
      <w:r>
        <w:rPr>
          <w:spacing w:val="22"/>
          <w:sz w:val="18"/>
        </w:rPr>
        <w:t xml:space="preserve"> </w:t>
      </w:r>
      <w:r>
        <w:rPr>
          <w:sz w:val="18"/>
        </w:rPr>
        <w:t>section</w:t>
      </w:r>
      <w:r>
        <w:rPr>
          <w:spacing w:val="22"/>
          <w:sz w:val="18"/>
        </w:rPr>
        <w:t xml:space="preserve"> </w:t>
      </w:r>
      <w:r>
        <w:rPr>
          <w:sz w:val="18"/>
        </w:rPr>
        <w:t>VI</w:t>
      </w:r>
      <w:r>
        <w:rPr>
          <w:spacing w:val="23"/>
          <w:sz w:val="18"/>
        </w:rPr>
        <w:t xml:space="preserve"> </w:t>
      </w:r>
      <w:r>
        <w:rPr>
          <w:sz w:val="18"/>
        </w:rPr>
        <w:t>of</w:t>
      </w:r>
      <w:r>
        <w:rPr>
          <w:spacing w:val="23"/>
          <w:sz w:val="18"/>
        </w:rPr>
        <w:t xml:space="preserve"> </w:t>
      </w:r>
      <w:r>
        <w:rPr>
          <w:sz w:val="18"/>
        </w:rPr>
        <w:t>the</w:t>
      </w:r>
      <w:r>
        <w:rPr>
          <w:spacing w:val="27"/>
          <w:sz w:val="18"/>
        </w:rPr>
        <w:t xml:space="preserve"> </w:t>
      </w:r>
      <w:r>
        <w:rPr>
          <w:sz w:val="18"/>
        </w:rPr>
        <w:t>Preliminary</w:t>
      </w:r>
      <w:r>
        <w:rPr>
          <w:spacing w:val="20"/>
          <w:sz w:val="18"/>
        </w:rPr>
        <w:t xml:space="preserve"> </w:t>
      </w:r>
      <w:r>
        <w:rPr>
          <w:sz w:val="18"/>
        </w:rPr>
        <w:t>Determination, Disclosure of Essential Facts and Final Determination: China's first written submission, para. 1738.</w:t>
      </w:r>
    </w:p>
    <w:p w14:paraId="63B61077" w14:textId="77777777" w:rsidR="00BD462C" w:rsidRDefault="00033D0F">
      <w:pPr>
        <w:spacing w:before="3"/>
        <w:ind w:left="136" w:right="923" w:hanging="1"/>
        <w:rPr>
          <w:sz w:val="18"/>
        </w:rPr>
      </w:pPr>
      <w:bookmarkStart w:id="1176" w:name="_bookmark1012"/>
      <w:bookmarkEnd w:id="1176"/>
      <w:r>
        <w:rPr>
          <w:position w:val="5"/>
          <w:sz w:val="12"/>
        </w:rPr>
        <w:t>865</w:t>
      </w:r>
      <w:r>
        <w:rPr>
          <w:spacing w:val="21"/>
          <w:position w:val="5"/>
          <w:sz w:val="12"/>
        </w:rPr>
        <w:t xml:space="preserve"> </w:t>
      </w:r>
      <w:r>
        <w:rPr>
          <w:sz w:val="18"/>
        </w:rPr>
        <w:t>China's first written submission, para. 1741 (" […] all of the domestic industry's loss of market share, and more, was as a result of the increase in dumped imports").</w:t>
      </w:r>
    </w:p>
    <w:p w14:paraId="5AA2849D" w14:textId="77777777" w:rsidR="00BD462C" w:rsidRDefault="00033D0F">
      <w:pPr>
        <w:spacing w:before="2"/>
        <w:ind w:left="135"/>
        <w:rPr>
          <w:sz w:val="18"/>
        </w:rPr>
      </w:pPr>
      <w:bookmarkStart w:id="1177" w:name="_bookmark1013"/>
      <w:bookmarkEnd w:id="1177"/>
      <w:r>
        <w:rPr>
          <w:position w:val="5"/>
          <w:sz w:val="12"/>
        </w:rPr>
        <w:t>866</w:t>
      </w:r>
      <w:r>
        <w:rPr>
          <w:spacing w:val="12"/>
          <w:position w:val="5"/>
          <w:sz w:val="12"/>
        </w:rPr>
        <w:t xml:space="preserve"> </w:t>
      </w:r>
      <w:r>
        <w:rPr>
          <w:sz w:val="18"/>
        </w:rPr>
        <w:t>China's</w:t>
      </w:r>
      <w:r>
        <w:rPr>
          <w:spacing w:val="-6"/>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 paras.</w:t>
      </w:r>
      <w:r>
        <w:rPr>
          <w:spacing w:val="-5"/>
          <w:sz w:val="18"/>
        </w:rPr>
        <w:t xml:space="preserve"> </w:t>
      </w:r>
      <w:r>
        <w:rPr>
          <w:sz w:val="18"/>
        </w:rPr>
        <w:t>1745-</w:t>
      </w:r>
      <w:r>
        <w:rPr>
          <w:spacing w:val="-2"/>
          <w:sz w:val="18"/>
        </w:rPr>
        <w:t>1747.</w:t>
      </w:r>
    </w:p>
    <w:p w14:paraId="27C65DA5" w14:textId="77777777" w:rsidR="00BD462C" w:rsidRDefault="00033D0F">
      <w:pPr>
        <w:spacing w:before="1"/>
        <w:ind w:left="135"/>
        <w:rPr>
          <w:sz w:val="18"/>
        </w:rPr>
      </w:pPr>
      <w:bookmarkStart w:id="1178" w:name="_bookmark1014"/>
      <w:bookmarkEnd w:id="1178"/>
      <w:r>
        <w:rPr>
          <w:position w:val="5"/>
          <w:sz w:val="12"/>
        </w:rPr>
        <w:t>867</w:t>
      </w:r>
      <w:r>
        <w:rPr>
          <w:spacing w:val="11"/>
          <w:position w:val="5"/>
          <w:sz w:val="12"/>
        </w:rPr>
        <w:t xml:space="preserve"> </w:t>
      </w:r>
      <w:r>
        <w:rPr>
          <w:sz w:val="18"/>
        </w:rPr>
        <w:t>China's</w:t>
      </w:r>
      <w:r>
        <w:rPr>
          <w:spacing w:val="-7"/>
          <w:sz w:val="18"/>
        </w:rPr>
        <w:t xml:space="preserve"> </w:t>
      </w:r>
      <w:r>
        <w:rPr>
          <w:sz w:val="18"/>
        </w:rPr>
        <w:t>first</w:t>
      </w:r>
      <w:r>
        <w:rPr>
          <w:spacing w:val="-5"/>
          <w:sz w:val="18"/>
        </w:rPr>
        <w:t xml:space="preserve"> </w:t>
      </w:r>
      <w:r>
        <w:rPr>
          <w:sz w:val="18"/>
        </w:rPr>
        <w:t>written</w:t>
      </w:r>
      <w:r>
        <w:rPr>
          <w:spacing w:val="-8"/>
          <w:sz w:val="18"/>
        </w:rPr>
        <w:t xml:space="preserve"> </w:t>
      </w:r>
      <w:r>
        <w:rPr>
          <w:sz w:val="18"/>
        </w:rPr>
        <w:t>submission,</w:t>
      </w:r>
      <w:r>
        <w:rPr>
          <w:spacing w:val="-1"/>
          <w:sz w:val="18"/>
        </w:rPr>
        <w:t xml:space="preserve"> </w:t>
      </w:r>
      <w:r>
        <w:rPr>
          <w:sz w:val="18"/>
        </w:rPr>
        <w:t>paras.</w:t>
      </w:r>
      <w:r>
        <w:rPr>
          <w:spacing w:val="-5"/>
          <w:sz w:val="18"/>
        </w:rPr>
        <w:t xml:space="preserve"> </w:t>
      </w:r>
      <w:r>
        <w:rPr>
          <w:sz w:val="18"/>
        </w:rPr>
        <w:t>1754-1757.</w:t>
      </w:r>
      <w:r>
        <w:rPr>
          <w:spacing w:val="-2"/>
          <w:sz w:val="18"/>
        </w:rPr>
        <w:t xml:space="preserve"> </w:t>
      </w:r>
      <w:r>
        <w:rPr>
          <w:sz w:val="18"/>
        </w:rPr>
        <w:t>See</w:t>
      </w:r>
      <w:r>
        <w:rPr>
          <w:spacing w:val="-3"/>
          <w:sz w:val="18"/>
        </w:rPr>
        <w:t xml:space="preserve"> </w:t>
      </w:r>
      <w:r>
        <w:rPr>
          <w:sz w:val="18"/>
        </w:rPr>
        <w:t>also</w:t>
      </w:r>
      <w:r>
        <w:rPr>
          <w:spacing w:val="-8"/>
          <w:sz w:val="18"/>
        </w:rPr>
        <w:t xml:space="preserve"> </w:t>
      </w:r>
      <w:r>
        <w:rPr>
          <w:sz w:val="18"/>
        </w:rPr>
        <w:t>China's</w:t>
      </w:r>
      <w:r>
        <w:rPr>
          <w:spacing w:val="-2"/>
          <w:sz w:val="18"/>
        </w:rPr>
        <w:t xml:space="preserve"> </w:t>
      </w:r>
      <w:r>
        <w:rPr>
          <w:sz w:val="18"/>
        </w:rPr>
        <w:t>first</w:t>
      </w:r>
      <w:r>
        <w:rPr>
          <w:spacing w:val="-2"/>
          <w:sz w:val="18"/>
        </w:rPr>
        <w:t xml:space="preserve"> </w:t>
      </w:r>
      <w:r>
        <w:rPr>
          <w:sz w:val="18"/>
        </w:rPr>
        <w:t>written</w:t>
      </w:r>
      <w:r>
        <w:rPr>
          <w:spacing w:val="-8"/>
          <w:sz w:val="18"/>
        </w:rPr>
        <w:t xml:space="preserve"> </w:t>
      </w:r>
      <w:r>
        <w:rPr>
          <w:sz w:val="18"/>
        </w:rPr>
        <w:t>submission,</w:t>
      </w:r>
      <w:r>
        <w:rPr>
          <w:spacing w:val="-5"/>
          <w:sz w:val="18"/>
        </w:rPr>
        <w:t xml:space="preserve"> </w:t>
      </w:r>
      <w:r>
        <w:rPr>
          <w:sz w:val="18"/>
        </w:rPr>
        <w:t>para.</w:t>
      </w:r>
      <w:r>
        <w:rPr>
          <w:spacing w:val="-1"/>
          <w:sz w:val="18"/>
        </w:rPr>
        <w:t xml:space="preserve"> </w:t>
      </w:r>
      <w:r>
        <w:rPr>
          <w:spacing w:val="-2"/>
          <w:sz w:val="18"/>
        </w:rPr>
        <w:t>1380.</w:t>
      </w:r>
    </w:p>
    <w:p w14:paraId="000337EC" w14:textId="77777777" w:rsidR="00BD462C" w:rsidRDefault="00BD462C">
      <w:pPr>
        <w:rPr>
          <w:sz w:val="18"/>
        </w:rPr>
        <w:sectPr w:rsidR="00BD462C">
          <w:pgSz w:w="11910" w:h="16840"/>
          <w:pgMar w:top="860" w:right="500" w:bottom="780" w:left="1280" w:header="566" w:footer="590" w:gutter="0"/>
          <w:cols w:space="720"/>
        </w:sectPr>
      </w:pPr>
    </w:p>
    <w:p w14:paraId="1684F5F6"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05DC8BB4"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78E83591"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7F5BF492" w14:textId="77777777" w:rsidR="00BD462C" w:rsidRDefault="00033D0F">
      <w:pPr>
        <w:pStyle w:val="ListParagraph"/>
        <w:numPr>
          <w:ilvl w:val="0"/>
          <w:numId w:val="44"/>
        </w:numPr>
        <w:tabs>
          <w:tab w:val="left" w:pos="4388"/>
          <w:tab w:val="left" w:pos="4389"/>
        </w:tabs>
        <w:spacing w:before="102"/>
        <w:rPr>
          <w:i/>
          <w:sz w:val="24"/>
        </w:rPr>
      </w:pPr>
      <w:bookmarkStart w:id="1179" w:name="i._Volume_and_market_share"/>
      <w:bookmarkStart w:id="1180" w:name="_bookmark1015"/>
      <w:bookmarkEnd w:id="1179"/>
      <w:bookmarkEnd w:id="1180"/>
      <w:r>
        <w:rPr>
          <w:i/>
          <w:sz w:val="24"/>
        </w:rPr>
        <w:t>Volume</w:t>
      </w:r>
      <w:r>
        <w:rPr>
          <w:i/>
          <w:spacing w:val="-4"/>
          <w:sz w:val="24"/>
        </w:rPr>
        <w:t xml:space="preserve"> </w:t>
      </w:r>
      <w:r>
        <w:rPr>
          <w:i/>
          <w:sz w:val="24"/>
        </w:rPr>
        <w:t>and</w:t>
      </w:r>
      <w:r>
        <w:rPr>
          <w:i/>
          <w:spacing w:val="-1"/>
          <w:sz w:val="24"/>
        </w:rPr>
        <w:t xml:space="preserve"> </w:t>
      </w:r>
      <w:r>
        <w:rPr>
          <w:i/>
          <w:sz w:val="24"/>
        </w:rPr>
        <w:t>market</w:t>
      </w:r>
      <w:r>
        <w:rPr>
          <w:i/>
          <w:spacing w:val="-1"/>
          <w:sz w:val="24"/>
        </w:rPr>
        <w:t xml:space="preserve"> </w:t>
      </w:r>
      <w:r>
        <w:rPr>
          <w:i/>
          <w:spacing w:val="-4"/>
          <w:sz w:val="24"/>
        </w:rPr>
        <w:t>share</w:t>
      </w:r>
    </w:p>
    <w:p w14:paraId="05C27510" w14:textId="77777777" w:rsidR="00BD462C" w:rsidRDefault="00BD462C">
      <w:pPr>
        <w:pStyle w:val="BodyText"/>
        <w:spacing w:before="11"/>
        <w:rPr>
          <w:i/>
          <w:sz w:val="18"/>
        </w:rPr>
      </w:pPr>
    </w:p>
    <w:p w14:paraId="10118935" w14:textId="10735931" w:rsidR="00BD462C" w:rsidRDefault="000F5FA7">
      <w:pPr>
        <w:pStyle w:val="BodyText"/>
        <w:spacing w:before="76" w:line="357" w:lineRule="auto"/>
        <w:ind w:left="135" w:right="914"/>
        <w:jc w:val="both"/>
      </w:pPr>
      <w:r>
        <w:rPr>
          <w:noProof/>
        </w:rPr>
        <w:t>569.</w:t>
      </w:r>
      <w:r w:rsidR="00033D0F">
        <w:rPr>
          <w:rFonts w:ascii="Times New Roman"/>
          <w:spacing w:val="80"/>
          <w:position w:val="1"/>
          <w:sz w:val="20"/>
        </w:rPr>
        <w:t xml:space="preserve">   </w:t>
      </w:r>
      <w:r w:rsidR="00033D0F">
        <w:rPr>
          <w:position w:val="1"/>
        </w:rPr>
        <w:t>At the outset, contrary to China's first written submission,</w:t>
      </w:r>
      <w:hyperlink w:anchor="_bookmark1016" w:history="1">
        <w:r w:rsidR="00033D0F">
          <w:rPr>
            <w:position w:val="1"/>
            <w:vertAlign w:val="superscript"/>
          </w:rPr>
          <w:t>868</w:t>
        </w:r>
      </w:hyperlink>
      <w:r w:rsidR="00033D0F">
        <w:rPr>
          <w:position w:val="1"/>
        </w:rPr>
        <w:t xml:space="preserve"> Australia clarifies that </w:t>
      </w:r>
      <w:r w:rsidR="00033D0F">
        <w:t>its argument is not that MOFCOM needed to establish that subject imports caused injury to Chinese wine producers that were not included in the "domestic industry" as defined by MOFCOM.</w:t>
      </w:r>
      <w:r w:rsidR="00033D0F">
        <w:rPr>
          <w:spacing w:val="-6"/>
        </w:rPr>
        <w:t xml:space="preserve"> </w:t>
      </w:r>
      <w:r w:rsidR="00033D0F">
        <w:t>Rather,</w:t>
      </w:r>
      <w:r w:rsidR="00033D0F">
        <w:rPr>
          <w:spacing w:val="-5"/>
        </w:rPr>
        <w:t xml:space="preserve"> </w:t>
      </w:r>
      <w:r w:rsidR="00033D0F">
        <w:t>Australia's</w:t>
      </w:r>
      <w:r w:rsidR="00033D0F">
        <w:rPr>
          <w:spacing w:val="-6"/>
        </w:rPr>
        <w:t xml:space="preserve"> </w:t>
      </w:r>
      <w:r w:rsidR="00033D0F">
        <w:t>argument</w:t>
      </w:r>
      <w:r w:rsidR="00033D0F">
        <w:rPr>
          <w:spacing w:val="-7"/>
        </w:rPr>
        <w:t xml:space="preserve"> </w:t>
      </w:r>
      <w:r w:rsidR="00033D0F">
        <w:t>is</w:t>
      </w:r>
      <w:r w:rsidR="00033D0F">
        <w:rPr>
          <w:spacing w:val="-6"/>
        </w:rPr>
        <w:t xml:space="preserve"> </w:t>
      </w:r>
      <w:r w:rsidR="00033D0F">
        <w:t>that</w:t>
      </w:r>
      <w:r w:rsidR="00033D0F">
        <w:rPr>
          <w:spacing w:val="-7"/>
        </w:rPr>
        <w:t xml:space="preserve"> </w:t>
      </w:r>
      <w:r w:rsidR="00033D0F">
        <w:t>MOFCOM's</w:t>
      </w:r>
      <w:r w:rsidR="00033D0F">
        <w:rPr>
          <w:spacing w:val="-6"/>
        </w:rPr>
        <w:t xml:space="preserve"> </w:t>
      </w:r>
      <w:r w:rsidR="00033D0F">
        <w:t>comparison</w:t>
      </w:r>
      <w:r w:rsidR="00033D0F">
        <w:rPr>
          <w:spacing w:val="-9"/>
        </w:rPr>
        <w:t xml:space="preserve"> </w:t>
      </w:r>
      <w:r w:rsidR="00033D0F">
        <w:t>of</w:t>
      </w:r>
      <w:r w:rsidR="00033D0F">
        <w:rPr>
          <w:spacing w:val="-9"/>
        </w:rPr>
        <w:t xml:space="preserve"> </w:t>
      </w:r>
      <w:r w:rsidR="00033D0F">
        <w:t>volume</w:t>
      </w:r>
      <w:r w:rsidR="00033D0F">
        <w:rPr>
          <w:spacing w:val="-7"/>
        </w:rPr>
        <w:t xml:space="preserve"> </w:t>
      </w:r>
      <w:r w:rsidR="00033D0F">
        <w:t>and</w:t>
      </w:r>
      <w:r w:rsidR="00033D0F">
        <w:rPr>
          <w:spacing w:val="-9"/>
        </w:rPr>
        <w:t xml:space="preserve"> </w:t>
      </w:r>
      <w:r w:rsidR="00033D0F">
        <w:t>market share did not provide an objective and unbiased basis for concluding that subject imports caused the sales volume and market share declines experienced by the domestic industry or the resulting material injury.</w:t>
      </w:r>
    </w:p>
    <w:p w14:paraId="0BC9780B" w14:textId="77777777" w:rsidR="00BD462C" w:rsidRDefault="00BD462C">
      <w:pPr>
        <w:pStyle w:val="BodyText"/>
        <w:spacing w:before="9"/>
        <w:rPr>
          <w:sz w:val="9"/>
        </w:rPr>
      </w:pPr>
    </w:p>
    <w:p w14:paraId="4B0F03E7" w14:textId="5C3055C2" w:rsidR="00BD462C" w:rsidRDefault="000F5FA7">
      <w:pPr>
        <w:pStyle w:val="BodyText"/>
        <w:spacing w:before="56" w:line="357" w:lineRule="auto"/>
        <w:ind w:left="135" w:right="911"/>
        <w:jc w:val="both"/>
      </w:pPr>
      <w:r>
        <w:rPr>
          <w:noProof/>
        </w:rPr>
        <w:t>570.</w:t>
      </w:r>
      <w:r w:rsidR="00033D0F">
        <w:rPr>
          <w:rFonts w:ascii="Times New Roman"/>
          <w:spacing w:val="80"/>
          <w:position w:val="1"/>
          <w:sz w:val="20"/>
        </w:rPr>
        <w:t xml:space="preserve">  </w:t>
      </w:r>
      <w:r w:rsidR="00033D0F">
        <w:rPr>
          <w:position w:val="1"/>
        </w:rPr>
        <w:t xml:space="preserve">In particular, having regard to the facts and circumstances of this case, MOFCOM's </w:t>
      </w:r>
      <w:r w:rsidR="00033D0F">
        <w:t>causation</w:t>
      </w:r>
      <w:r w:rsidR="00033D0F">
        <w:rPr>
          <w:spacing w:val="-3"/>
        </w:rPr>
        <w:t xml:space="preserve"> </w:t>
      </w:r>
      <w:r w:rsidR="00033D0F">
        <w:t>determination</w:t>
      </w:r>
      <w:r w:rsidR="00033D0F">
        <w:rPr>
          <w:spacing w:val="-3"/>
        </w:rPr>
        <w:t xml:space="preserve"> </w:t>
      </w:r>
      <w:r w:rsidR="00033D0F">
        <w:t>was:</w:t>
      </w:r>
      <w:r w:rsidR="00033D0F">
        <w:rPr>
          <w:spacing w:val="-4"/>
        </w:rPr>
        <w:t xml:space="preserve"> </w:t>
      </w:r>
      <w:r w:rsidR="00033D0F">
        <w:t>(i)</w:t>
      </w:r>
      <w:r w:rsidR="00033D0F">
        <w:rPr>
          <w:spacing w:val="-3"/>
        </w:rPr>
        <w:t xml:space="preserve"> </w:t>
      </w:r>
      <w:r w:rsidR="00033D0F">
        <w:t>not</w:t>
      </w:r>
      <w:r w:rsidR="00033D0F">
        <w:rPr>
          <w:spacing w:val="-1"/>
        </w:rPr>
        <w:t xml:space="preserve"> </w:t>
      </w:r>
      <w:r w:rsidR="00033D0F">
        <w:t>based</w:t>
      </w:r>
      <w:r w:rsidR="00033D0F">
        <w:rPr>
          <w:spacing w:val="-3"/>
        </w:rPr>
        <w:t xml:space="preserve"> </w:t>
      </w:r>
      <w:r w:rsidR="00033D0F">
        <w:t>on positive</w:t>
      </w:r>
      <w:r w:rsidR="00033D0F">
        <w:rPr>
          <w:spacing w:val="-1"/>
        </w:rPr>
        <w:t xml:space="preserve"> </w:t>
      </w:r>
      <w:r w:rsidR="00033D0F">
        <w:t>evidence;</w:t>
      </w:r>
      <w:r w:rsidR="00033D0F">
        <w:rPr>
          <w:spacing w:val="-4"/>
        </w:rPr>
        <w:t xml:space="preserve"> </w:t>
      </w:r>
      <w:r w:rsidR="00033D0F">
        <w:t>(ii)</w:t>
      </w:r>
      <w:r w:rsidR="00033D0F">
        <w:rPr>
          <w:spacing w:val="-3"/>
        </w:rPr>
        <w:t xml:space="preserve"> </w:t>
      </w:r>
      <w:r w:rsidR="00033D0F">
        <w:t>overly simplistic;</w:t>
      </w:r>
      <w:r w:rsidR="00033D0F">
        <w:rPr>
          <w:spacing w:val="-4"/>
        </w:rPr>
        <w:t xml:space="preserve"> </w:t>
      </w:r>
      <w:r w:rsidR="00033D0F">
        <w:t>and</w:t>
      </w:r>
      <w:r w:rsidR="00033D0F">
        <w:rPr>
          <w:spacing w:val="-3"/>
        </w:rPr>
        <w:t xml:space="preserve"> </w:t>
      </w:r>
      <w:r w:rsidR="00033D0F">
        <w:t>(iii) inconsistent with evidence on the record.</w:t>
      </w:r>
    </w:p>
    <w:p w14:paraId="1A15A0D1" w14:textId="77777777" w:rsidR="00BD462C" w:rsidRDefault="00BD462C">
      <w:pPr>
        <w:pStyle w:val="BodyText"/>
        <w:spacing w:before="3"/>
        <w:rPr>
          <w:sz w:val="9"/>
        </w:rPr>
      </w:pPr>
    </w:p>
    <w:p w14:paraId="4AC73AFB" w14:textId="168314A4" w:rsidR="00BD462C" w:rsidRDefault="000F5FA7">
      <w:pPr>
        <w:pStyle w:val="BodyText"/>
        <w:spacing w:before="56" w:line="360" w:lineRule="auto"/>
        <w:ind w:left="135" w:right="914"/>
        <w:jc w:val="both"/>
      </w:pPr>
      <w:r>
        <w:rPr>
          <w:noProof/>
        </w:rPr>
        <w:t>571.</w:t>
      </w:r>
      <w:r w:rsidR="00033D0F">
        <w:rPr>
          <w:rFonts w:ascii="Times New Roman"/>
          <w:spacing w:val="80"/>
          <w:position w:val="1"/>
          <w:sz w:val="20"/>
        </w:rPr>
        <w:t xml:space="preserve"> </w:t>
      </w:r>
      <w:r w:rsidR="00033D0F">
        <w:rPr>
          <w:position w:val="1"/>
        </w:rPr>
        <w:t xml:space="preserve">First, the apparent consumption figure underpinning MOFCOM's market share </w:t>
      </w:r>
      <w:r w:rsidR="00033D0F">
        <w:t>comparisons</w:t>
      </w:r>
      <w:r w:rsidR="00033D0F">
        <w:rPr>
          <w:spacing w:val="-2"/>
        </w:rPr>
        <w:t xml:space="preserve"> </w:t>
      </w:r>
      <w:r w:rsidR="00033D0F">
        <w:t>was</w:t>
      </w:r>
      <w:r w:rsidR="00033D0F">
        <w:rPr>
          <w:spacing w:val="-2"/>
        </w:rPr>
        <w:t xml:space="preserve"> </w:t>
      </w:r>
      <w:r w:rsidR="00033D0F">
        <w:t>not</w:t>
      </w:r>
      <w:r w:rsidR="00033D0F">
        <w:rPr>
          <w:spacing w:val="-3"/>
        </w:rPr>
        <w:t xml:space="preserve"> </w:t>
      </w:r>
      <w:r w:rsidR="00033D0F">
        <w:t>based</w:t>
      </w:r>
      <w:r w:rsidR="00033D0F">
        <w:rPr>
          <w:spacing w:val="-5"/>
        </w:rPr>
        <w:t xml:space="preserve"> </w:t>
      </w:r>
      <w:r w:rsidR="00033D0F">
        <w:t>on positive</w:t>
      </w:r>
      <w:r w:rsidR="00033D0F">
        <w:rPr>
          <w:spacing w:val="-3"/>
        </w:rPr>
        <w:t xml:space="preserve"> </w:t>
      </w:r>
      <w:r w:rsidR="00033D0F">
        <w:t>evidence.</w:t>
      </w:r>
      <w:hyperlink w:anchor="_bookmark1017" w:history="1">
        <w:r w:rsidR="00033D0F">
          <w:rPr>
            <w:vertAlign w:val="superscript"/>
          </w:rPr>
          <w:t>869</w:t>
        </w:r>
      </w:hyperlink>
      <w:r w:rsidR="00033D0F">
        <w:t xml:space="preserve"> China</w:t>
      </w:r>
      <w:r w:rsidR="00033D0F">
        <w:rPr>
          <w:spacing w:val="-4"/>
        </w:rPr>
        <w:t xml:space="preserve"> </w:t>
      </w:r>
      <w:r w:rsidR="00033D0F">
        <w:t>has</w:t>
      </w:r>
      <w:r w:rsidR="00033D0F">
        <w:rPr>
          <w:spacing w:val="-2"/>
        </w:rPr>
        <w:t xml:space="preserve"> </w:t>
      </w:r>
      <w:r w:rsidR="00033D0F">
        <w:t>now</w:t>
      </w:r>
      <w:r w:rsidR="00033D0F">
        <w:rPr>
          <w:spacing w:val="-3"/>
        </w:rPr>
        <w:t xml:space="preserve"> </w:t>
      </w:r>
      <w:r w:rsidR="00033D0F">
        <w:t>confirmed</w:t>
      </w:r>
      <w:r w:rsidR="00033D0F">
        <w:rPr>
          <w:spacing w:val="-5"/>
        </w:rPr>
        <w:t xml:space="preserve"> </w:t>
      </w:r>
      <w:r w:rsidR="00033D0F">
        <w:t>that</w:t>
      </w:r>
      <w:r w:rsidR="00033D0F">
        <w:rPr>
          <w:spacing w:val="-3"/>
        </w:rPr>
        <w:t xml:space="preserve"> </w:t>
      </w:r>
      <w:r w:rsidR="00033D0F">
        <w:t>MOFCOM calculated</w:t>
      </w:r>
      <w:r w:rsidR="00033D0F">
        <w:rPr>
          <w:spacing w:val="-9"/>
        </w:rPr>
        <w:t xml:space="preserve"> </w:t>
      </w:r>
      <w:r w:rsidR="00033D0F">
        <w:t>the</w:t>
      </w:r>
      <w:r w:rsidR="00033D0F">
        <w:rPr>
          <w:spacing w:val="-7"/>
        </w:rPr>
        <w:t xml:space="preserve"> </w:t>
      </w:r>
      <w:r w:rsidR="00033D0F">
        <w:t>apparent</w:t>
      </w:r>
      <w:r w:rsidR="00033D0F">
        <w:rPr>
          <w:spacing w:val="-7"/>
        </w:rPr>
        <w:t xml:space="preserve"> </w:t>
      </w:r>
      <w:r w:rsidR="00033D0F">
        <w:t>consumption</w:t>
      </w:r>
      <w:r w:rsidR="00033D0F">
        <w:rPr>
          <w:spacing w:val="-9"/>
        </w:rPr>
        <w:t xml:space="preserve"> </w:t>
      </w:r>
      <w:r w:rsidR="00033D0F">
        <w:t>figure</w:t>
      </w:r>
      <w:r w:rsidR="00033D0F">
        <w:rPr>
          <w:spacing w:val="-7"/>
        </w:rPr>
        <w:t xml:space="preserve"> </w:t>
      </w:r>
      <w:r w:rsidR="00033D0F">
        <w:t>using</w:t>
      </w:r>
      <w:r w:rsidR="00033D0F">
        <w:rPr>
          <w:spacing w:val="-6"/>
        </w:rPr>
        <w:t xml:space="preserve"> </w:t>
      </w:r>
      <w:r w:rsidR="00033D0F">
        <w:t>the</w:t>
      </w:r>
      <w:r w:rsidR="00033D0F">
        <w:rPr>
          <w:spacing w:val="-7"/>
        </w:rPr>
        <w:t xml:space="preserve"> </w:t>
      </w:r>
      <w:r w:rsidR="00033D0F">
        <w:t>estimate</w:t>
      </w:r>
      <w:r w:rsidR="00033D0F">
        <w:rPr>
          <w:spacing w:val="-7"/>
        </w:rPr>
        <w:t xml:space="preserve"> </w:t>
      </w:r>
      <w:r w:rsidR="00033D0F">
        <w:t>of</w:t>
      </w:r>
      <w:r w:rsidR="00033D0F">
        <w:rPr>
          <w:spacing w:val="-9"/>
        </w:rPr>
        <w:t xml:space="preserve"> </w:t>
      </w:r>
      <w:r w:rsidR="00033D0F">
        <w:t>"total</w:t>
      </w:r>
      <w:r w:rsidR="00033D0F">
        <w:rPr>
          <w:spacing w:val="-5"/>
        </w:rPr>
        <w:t xml:space="preserve"> </w:t>
      </w:r>
      <w:r w:rsidR="00033D0F">
        <w:t>national</w:t>
      </w:r>
      <w:r w:rsidR="00033D0F">
        <w:rPr>
          <w:spacing w:val="-5"/>
        </w:rPr>
        <w:t xml:space="preserve"> </w:t>
      </w:r>
      <w:r w:rsidR="00033D0F">
        <w:t>output"</w:t>
      </w:r>
      <w:r w:rsidR="00033D0F">
        <w:rPr>
          <w:spacing w:val="-8"/>
        </w:rPr>
        <w:t xml:space="preserve"> </w:t>
      </w:r>
      <w:r w:rsidR="00033D0F">
        <w:t>that it calculated using statistics provided to it by the confidential "authoritative domestic organization".</w:t>
      </w:r>
      <w:hyperlink w:anchor="_bookmark1018" w:history="1">
        <w:r w:rsidR="00033D0F">
          <w:rPr>
            <w:vertAlign w:val="superscript"/>
          </w:rPr>
          <w:t>870</w:t>
        </w:r>
      </w:hyperlink>
      <w:r w:rsidR="00033D0F">
        <w:t xml:space="preserve"> In turn, MOFCOM used the apparent consumption figures to calculate the market share percentages for subject imports and the domestic industry. As a result, the market</w:t>
      </w:r>
      <w:r w:rsidR="00033D0F">
        <w:rPr>
          <w:spacing w:val="-6"/>
        </w:rPr>
        <w:t xml:space="preserve"> </w:t>
      </w:r>
      <w:r w:rsidR="00033D0F">
        <w:t>share</w:t>
      </w:r>
      <w:r w:rsidR="00033D0F">
        <w:rPr>
          <w:spacing w:val="-1"/>
        </w:rPr>
        <w:t xml:space="preserve"> </w:t>
      </w:r>
      <w:r w:rsidR="00033D0F">
        <w:t>percentages</w:t>
      </w:r>
      <w:r w:rsidR="00033D0F">
        <w:rPr>
          <w:spacing w:val="-5"/>
        </w:rPr>
        <w:t xml:space="preserve"> </w:t>
      </w:r>
      <w:r w:rsidR="00033D0F">
        <w:t>are</w:t>
      </w:r>
      <w:r w:rsidR="00033D0F">
        <w:rPr>
          <w:spacing w:val="-1"/>
        </w:rPr>
        <w:t xml:space="preserve"> </w:t>
      </w:r>
      <w:r w:rsidR="00033D0F">
        <w:t>tainted</w:t>
      </w:r>
      <w:r w:rsidR="00033D0F">
        <w:rPr>
          <w:spacing w:val="-8"/>
        </w:rPr>
        <w:t xml:space="preserve"> </w:t>
      </w:r>
      <w:r w:rsidR="00033D0F">
        <w:t>by</w:t>
      </w:r>
      <w:r w:rsidR="00033D0F">
        <w:rPr>
          <w:spacing w:val="-5"/>
        </w:rPr>
        <w:t xml:space="preserve"> </w:t>
      </w:r>
      <w:r w:rsidR="00033D0F">
        <w:t>the</w:t>
      </w:r>
      <w:r w:rsidR="00033D0F">
        <w:rPr>
          <w:spacing w:val="-2"/>
        </w:rPr>
        <w:t xml:space="preserve"> </w:t>
      </w:r>
      <w:r w:rsidR="00033D0F">
        <w:t>same</w:t>
      </w:r>
      <w:r w:rsidR="00033D0F">
        <w:rPr>
          <w:spacing w:val="-6"/>
        </w:rPr>
        <w:t xml:space="preserve"> </w:t>
      </w:r>
      <w:r w:rsidR="00033D0F">
        <w:t>issues</w:t>
      </w:r>
      <w:r w:rsidR="00033D0F">
        <w:rPr>
          <w:spacing w:val="-5"/>
        </w:rPr>
        <w:t xml:space="preserve"> </w:t>
      </w:r>
      <w:r w:rsidR="00033D0F">
        <w:t>Australia</w:t>
      </w:r>
      <w:r w:rsidR="00033D0F">
        <w:rPr>
          <w:spacing w:val="-7"/>
        </w:rPr>
        <w:t xml:space="preserve"> </w:t>
      </w:r>
      <w:r w:rsidR="00033D0F">
        <w:t>outlined</w:t>
      </w:r>
      <w:r w:rsidR="00033D0F">
        <w:rPr>
          <w:spacing w:val="-8"/>
        </w:rPr>
        <w:t xml:space="preserve"> </w:t>
      </w:r>
      <w:r w:rsidR="00033D0F">
        <w:t>in</w:t>
      </w:r>
      <w:r w:rsidR="00033D0F">
        <w:rPr>
          <w:spacing w:val="-8"/>
        </w:rPr>
        <w:t xml:space="preserve"> </w:t>
      </w:r>
      <w:r w:rsidR="00033D0F">
        <w:t>section</w:t>
      </w:r>
      <w:r w:rsidR="00033D0F">
        <w:rPr>
          <w:spacing w:val="-2"/>
        </w:rPr>
        <w:t xml:space="preserve"> </w:t>
      </w:r>
      <w:r w:rsidR="00033D0F">
        <w:t>III</w:t>
      </w:r>
      <w:r w:rsidR="00033D0F">
        <w:rPr>
          <w:spacing w:val="-5"/>
        </w:rPr>
        <w:t xml:space="preserve"> </w:t>
      </w:r>
      <w:r w:rsidR="00033D0F">
        <w:t>of</w:t>
      </w:r>
      <w:r w:rsidR="00033D0F">
        <w:rPr>
          <w:spacing w:val="-8"/>
        </w:rPr>
        <w:t xml:space="preserve"> </w:t>
      </w:r>
      <w:r w:rsidR="00033D0F">
        <w:t xml:space="preserve">its first written submission and above in section </w:t>
      </w:r>
      <w:hyperlink w:anchor="_bookmark650" w:history="1">
        <w:r w:rsidR="00033D0F">
          <w:t>IV.A.</w:t>
        </w:r>
      </w:hyperlink>
    </w:p>
    <w:p w14:paraId="582E8CD8" w14:textId="77777777" w:rsidR="00BD462C" w:rsidRDefault="00BD462C">
      <w:pPr>
        <w:pStyle w:val="BodyText"/>
        <w:spacing w:before="2"/>
        <w:rPr>
          <w:sz w:val="8"/>
        </w:rPr>
      </w:pPr>
    </w:p>
    <w:p w14:paraId="0CDE1642" w14:textId="4A39F651" w:rsidR="00BD462C" w:rsidRDefault="000F5FA7">
      <w:pPr>
        <w:pStyle w:val="BodyText"/>
        <w:spacing w:before="56" w:line="360" w:lineRule="auto"/>
        <w:ind w:left="135" w:right="908"/>
        <w:jc w:val="both"/>
      </w:pPr>
      <w:r>
        <w:rPr>
          <w:noProof/>
        </w:rPr>
        <w:t>572.</w:t>
      </w:r>
      <w:r w:rsidR="00033D0F">
        <w:rPr>
          <w:rFonts w:ascii="Times New Roman"/>
          <w:spacing w:val="80"/>
          <w:position w:val="1"/>
          <w:sz w:val="20"/>
        </w:rPr>
        <w:t xml:space="preserve">  </w:t>
      </w:r>
      <w:r w:rsidR="00033D0F">
        <w:rPr>
          <w:position w:val="1"/>
        </w:rPr>
        <w:t>Second, MOFCOM's determination that subject imports caused all of the market</w:t>
      </w:r>
      <w:r w:rsidR="00033D0F">
        <w:rPr>
          <w:spacing w:val="40"/>
          <w:position w:val="1"/>
        </w:rPr>
        <w:t xml:space="preserve"> </w:t>
      </w:r>
      <w:r w:rsidR="00033D0F">
        <w:t>share and sales volume declines experienced</w:t>
      </w:r>
      <w:r w:rsidR="00033D0F">
        <w:rPr>
          <w:spacing w:val="-2"/>
        </w:rPr>
        <w:t xml:space="preserve"> </w:t>
      </w:r>
      <w:r w:rsidR="00033D0F">
        <w:t>by the</w:t>
      </w:r>
      <w:r w:rsidR="00033D0F">
        <w:rPr>
          <w:spacing w:val="-1"/>
        </w:rPr>
        <w:t xml:space="preserve"> </w:t>
      </w:r>
      <w:r w:rsidR="00033D0F">
        <w:t>domestic</w:t>
      </w:r>
      <w:r w:rsidR="00033D0F">
        <w:rPr>
          <w:spacing w:val="-2"/>
        </w:rPr>
        <w:t xml:space="preserve"> </w:t>
      </w:r>
      <w:r w:rsidR="00033D0F">
        <w:t>industry,</w:t>
      </w:r>
      <w:hyperlink w:anchor="_bookmark1019" w:history="1">
        <w:r w:rsidR="00033D0F">
          <w:rPr>
            <w:vertAlign w:val="superscript"/>
          </w:rPr>
          <w:t>871</w:t>
        </w:r>
      </w:hyperlink>
      <w:r w:rsidR="00033D0F">
        <w:t xml:space="preserve"> is overly simplistic. In</w:t>
      </w:r>
      <w:r w:rsidR="00033D0F">
        <w:rPr>
          <w:spacing w:val="-9"/>
        </w:rPr>
        <w:t xml:space="preserve"> </w:t>
      </w:r>
      <w:r w:rsidR="00033D0F">
        <w:t>its</w:t>
      </w:r>
      <w:r w:rsidR="00033D0F">
        <w:rPr>
          <w:spacing w:val="-6"/>
        </w:rPr>
        <w:t xml:space="preserve"> </w:t>
      </w:r>
      <w:r w:rsidR="00033D0F">
        <w:t>first</w:t>
      </w:r>
      <w:r w:rsidR="00033D0F">
        <w:rPr>
          <w:spacing w:val="-7"/>
        </w:rPr>
        <w:t xml:space="preserve"> </w:t>
      </w:r>
      <w:r w:rsidR="00033D0F">
        <w:t>written</w:t>
      </w:r>
      <w:r w:rsidR="00033D0F">
        <w:rPr>
          <w:spacing w:val="-9"/>
        </w:rPr>
        <w:t xml:space="preserve"> </w:t>
      </w:r>
      <w:r w:rsidR="00033D0F">
        <w:t>submission,</w:t>
      </w:r>
      <w:r w:rsidR="00033D0F">
        <w:rPr>
          <w:spacing w:val="-5"/>
        </w:rPr>
        <w:t xml:space="preserve"> </w:t>
      </w:r>
      <w:r w:rsidR="00033D0F">
        <w:t>China</w:t>
      </w:r>
      <w:r w:rsidR="00033D0F">
        <w:rPr>
          <w:spacing w:val="-8"/>
        </w:rPr>
        <w:t xml:space="preserve"> </w:t>
      </w:r>
      <w:r w:rsidR="00033D0F">
        <w:t>now</w:t>
      </w:r>
      <w:r w:rsidR="00033D0F">
        <w:rPr>
          <w:spacing w:val="-7"/>
        </w:rPr>
        <w:t xml:space="preserve"> </w:t>
      </w:r>
      <w:r w:rsidR="00033D0F">
        <w:t>argues</w:t>
      </w:r>
      <w:r w:rsidR="00033D0F">
        <w:rPr>
          <w:spacing w:val="-6"/>
        </w:rPr>
        <w:t xml:space="preserve"> </w:t>
      </w:r>
      <w:r w:rsidR="00033D0F">
        <w:t>that</w:t>
      </w:r>
      <w:r w:rsidR="00033D0F">
        <w:rPr>
          <w:spacing w:val="-7"/>
        </w:rPr>
        <w:t xml:space="preserve"> </w:t>
      </w:r>
      <w:r w:rsidR="00033D0F">
        <w:t>MOFCOM's</w:t>
      </w:r>
      <w:r w:rsidR="00033D0F">
        <w:rPr>
          <w:spacing w:val="-6"/>
        </w:rPr>
        <w:t xml:space="preserve"> </w:t>
      </w:r>
      <w:r w:rsidR="00033D0F">
        <w:t>determination</w:t>
      </w:r>
      <w:r w:rsidR="00033D0F">
        <w:rPr>
          <w:spacing w:val="-9"/>
        </w:rPr>
        <w:t xml:space="preserve"> </w:t>
      </w:r>
      <w:r w:rsidR="00033D0F">
        <w:t>was</w:t>
      </w:r>
      <w:r w:rsidR="00033D0F">
        <w:rPr>
          <w:spacing w:val="-6"/>
        </w:rPr>
        <w:t xml:space="preserve"> </w:t>
      </w:r>
      <w:r w:rsidR="00033D0F">
        <w:t>based</w:t>
      </w:r>
      <w:r w:rsidR="00033D0F">
        <w:rPr>
          <w:spacing w:val="-9"/>
        </w:rPr>
        <w:t xml:space="preserve"> </w:t>
      </w:r>
      <w:r w:rsidR="00033D0F">
        <w:t>on an</w:t>
      </w:r>
      <w:r w:rsidR="00033D0F">
        <w:rPr>
          <w:spacing w:val="-8"/>
        </w:rPr>
        <w:t xml:space="preserve"> </w:t>
      </w:r>
      <w:r w:rsidR="00033D0F">
        <w:t>asserted</w:t>
      </w:r>
      <w:r w:rsidR="00033D0F">
        <w:rPr>
          <w:spacing w:val="-8"/>
        </w:rPr>
        <w:t xml:space="preserve"> </w:t>
      </w:r>
      <w:r w:rsidR="00033D0F">
        <w:t>correlation</w:t>
      </w:r>
      <w:r w:rsidR="00033D0F">
        <w:rPr>
          <w:spacing w:val="-3"/>
        </w:rPr>
        <w:t xml:space="preserve"> </w:t>
      </w:r>
      <w:r w:rsidR="00033D0F">
        <w:t>between</w:t>
      </w:r>
      <w:r w:rsidR="00033D0F">
        <w:rPr>
          <w:spacing w:val="-8"/>
        </w:rPr>
        <w:t xml:space="preserve"> </w:t>
      </w:r>
      <w:r w:rsidR="00033D0F">
        <w:t>the</w:t>
      </w:r>
      <w:r w:rsidR="00033D0F">
        <w:rPr>
          <w:spacing w:val="-2"/>
        </w:rPr>
        <w:t xml:space="preserve"> </w:t>
      </w:r>
      <w:r w:rsidR="00033D0F">
        <w:t>percentage</w:t>
      </w:r>
      <w:r w:rsidR="00033D0F">
        <w:rPr>
          <w:spacing w:val="-6"/>
        </w:rPr>
        <w:t xml:space="preserve"> </w:t>
      </w:r>
      <w:r w:rsidR="00033D0F">
        <w:t>point</w:t>
      </w:r>
      <w:r w:rsidR="00033D0F">
        <w:rPr>
          <w:spacing w:val="-6"/>
        </w:rPr>
        <w:t xml:space="preserve"> </w:t>
      </w:r>
      <w:r w:rsidR="00033D0F">
        <w:t>changes</w:t>
      </w:r>
      <w:r w:rsidR="00033D0F">
        <w:rPr>
          <w:spacing w:val="-5"/>
        </w:rPr>
        <w:t xml:space="preserve"> </w:t>
      </w:r>
      <w:r w:rsidR="00033D0F">
        <w:t>in</w:t>
      </w:r>
      <w:r w:rsidR="00033D0F">
        <w:rPr>
          <w:spacing w:val="-3"/>
        </w:rPr>
        <w:t xml:space="preserve"> </w:t>
      </w:r>
      <w:r w:rsidR="00033D0F">
        <w:t>the</w:t>
      </w:r>
      <w:r w:rsidR="00033D0F">
        <w:rPr>
          <w:spacing w:val="-6"/>
        </w:rPr>
        <w:t xml:space="preserve"> </w:t>
      </w:r>
      <w:r w:rsidR="00033D0F">
        <w:t>market</w:t>
      </w:r>
      <w:r w:rsidR="00033D0F">
        <w:rPr>
          <w:spacing w:val="-6"/>
        </w:rPr>
        <w:t xml:space="preserve"> </w:t>
      </w:r>
      <w:r w:rsidR="00033D0F">
        <w:t>share</w:t>
      </w:r>
      <w:r w:rsidR="00033D0F">
        <w:rPr>
          <w:spacing w:val="-1"/>
        </w:rPr>
        <w:t xml:space="preserve"> </w:t>
      </w:r>
      <w:r w:rsidR="00033D0F">
        <w:t>of</w:t>
      </w:r>
      <w:r w:rsidR="00033D0F">
        <w:rPr>
          <w:spacing w:val="-3"/>
        </w:rPr>
        <w:t xml:space="preserve"> </w:t>
      </w:r>
      <w:r w:rsidR="00033D0F">
        <w:t>subject imports and the domestic industry.</w:t>
      </w:r>
      <w:hyperlink w:anchor="_bookmark1020" w:history="1">
        <w:r w:rsidR="00033D0F">
          <w:rPr>
            <w:vertAlign w:val="superscript"/>
          </w:rPr>
          <w:t>872</w:t>
        </w:r>
      </w:hyperlink>
      <w:r w:rsidR="00033D0F">
        <w:t xml:space="preserve"> China has now confirmed that MOFCOM's analysis did not include an objective examination of market dynamics between the "domestic industry" (as</w:t>
      </w:r>
      <w:r w:rsidR="00033D0F">
        <w:rPr>
          <w:spacing w:val="80"/>
        </w:rPr>
        <w:t xml:space="preserve"> </w:t>
      </w:r>
      <w:r w:rsidR="00033D0F">
        <w:t>MOFCOM</w:t>
      </w:r>
      <w:r w:rsidR="00033D0F">
        <w:rPr>
          <w:spacing w:val="80"/>
        </w:rPr>
        <w:t xml:space="preserve"> </w:t>
      </w:r>
      <w:r w:rsidR="00033D0F">
        <w:t>defined</w:t>
      </w:r>
      <w:r w:rsidR="00033D0F">
        <w:rPr>
          <w:spacing w:val="78"/>
        </w:rPr>
        <w:t xml:space="preserve"> </w:t>
      </w:r>
      <w:r w:rsidR="00033D0F">
        <w:t>it),</w:t>
      </w:r>
      <w:r w:rsidR="00033D0F">
        <w:rPr>
          <w:spacing w:val="80"/>
        </w:rPr>
        <w:t xml:space="preserve"> </w:t>
      </w:r>
      <w:r w:rsidR="00033D0F">
        <w:t>the</w:t>
      </w:r>
      <w:r w:rsidR="00033D0F">
        <w:rPr>
          <w:spacing w:val="80"/>
        </w:rPr>
        <w:t xml:space="preserve"> </w:t>
      </w:r>
      <w:r w:rsidR="00033D0F">
        <w:t>hundreds</w:t>
      </w:r>
      <w:r w:rsidR="00033D0F">
        <w:rPr>
          <w:spacing w:val="80"/>
        </w:rPr>
        <w:t xml:space="preserve"> </w:t>
      </w:r>
      <w:r w:rsidR="00033D0F">
        <w:t>of</w:t>
      </w:r>
      <w:r w:rsidR="00033D0F">
        <w:rPr>
          <w:spacing w:val="78"/>
        </w:rPr>
        <w:t xml:space="preserve"> </w:t>
      </w:r>
      <w:r w:rsidR="00033D0F">
        <w:t>other</w:t>
      </w:r>
      <w:r w:rsidR="00033D0F">
        <w:rPr>
          <w:spacing w:val="77"/>
        </w:rPr>
        <w:t xml:space="preserve"> </w:t>
      </w:r>
      <w:r w:rsidR="00033D0F">
        <w:t>Chinese</w:t>
      </w:r>
      <w:r w:rsidR="00033D0F">
        <w:rPr>
          <w:spacing w:val="80"/>
        </w:rPr>
        <w:t xml:space="preserve"> </w:t>
      </w:r>
      <w:r w:rsidR="00033D0F">
        <w:t>producers</w:t>
      </w:r>
      <w:r w:rsidR="00033D0F">
        <w:rPr>
          <w:spacing w:val="80"/>
        </w:rPr>
        <w:t xml:space="preserve"> </w:t>
      </w:r>
      <w:r w:rsidR="00033D0F">
        <w:t>of</w:t>
      </w:r>
      <w:r w:rsidR="00033D0F">
        <w:rPr>
          <w:spacing w:val="78"/>
        </w:rPr>
        <w:t xml:space="preserve"> </w:t>
      </w:r>
      <w:r w:rsidR="00033D0F">
        <w:t>domestic</w:t>
      </w:r>
      <w:r w:rsidR="00033D0F">
        <w:rPr>
          <w:spacing w:val="79"/>
        </w:rPr>
        <w:t xml:space="preserve"> </w:t>
      </w:r>
      <w:r w:rsidR="00033D0F">
        <w:t>like</w:t>
      </w:r>
    </w:p>
    <w:p w14:paraId="3F08A902" w14:textId="77777777" w:rsidR="00BD462C" w:rsidRDefault="00BD462C">
      <w:pPr>
        <w:pStyle w:val="BodyText"/>
        <w:rPr>
          <w:sz w:val="20"/>
        </w:rPr>
      </w:pPr>
    </w:p>
    <w:p w14:paraId="4A48930F" w14:textId="173CFD7B" w:rsidR="00BD462C" w:rsidRDefault="007E218F">
      <w:pPr>
        <w:pStyle w:val="BodyText"/>
        <w:rPr>
          <w:sz w:val="13"/>
        </w:rPr>
      </w:pPr>
      <w:r>
        <w:rPr>
          <w:noProof/>
        </w:rPr>
        <mc:AlternateContent>
          <mc:Choice Requires="wps">
            <w:drawing>
              <wp:anchor distT="0" distB="0" distL="0" distR="0" simplePos="0" relativeHeight="488215040" behindDoc="1" locked="0" layoutInCell="1" allowOverlap="1" wp14:anchorId="19D5107B" wp14:editId="1DE60C63">
                <wp:simplePos x="0" y="0"/>
                <wp:positionH relativeFrom="page">
                  <wp:posOffset>812800</wp:posOffset>
                </wp:positionH>
                <wp:positionV relativeFrom="paragraph">
                  <wp:posOffset>101600</wp:posOffset>
                </wp:positionV>
                <wp:extent cx="1828800" cy="8890"/>
                <wp:effectExtent l="0" t="0" r="0" b="0"/>
                <wp:wrapTopAndBottom/>
                <wp:docPr id="191" name="docshape6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568EAB" id="docshape664" o:spid="_x0000_s1026" alt="&quot;&quot;" style="position:absolute;margin-left:64pt;margin-top:8pt;width:2in;height:.7pt;z-index:-15101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" fillcolor="black" stroked="f">
                <w10:wrap type="topAndBottom" anchorx="page"/>
              </v:rect>
            </w:pict>
          </mc:Fallback>
        </mc:AlternateContent>
      </w:r>
    </w:p>
    <w:p w14:paraId="5D3E7E6A" w14:textId="77777777" w:rsidR="00BD462C" w:rsidRDefault="00033D0F">
      <w:pPr>
        <w:spacing w:before="107"/>
        <w:ind w:left="135"/>
        <w:rPr>
          <w:sz w:val="18"/>
        </w:rPr>
      </w:pPr>
      <w:bookmarkStart w:id="1181" w:name="_bookmark1016"/>
      <w:bookmarkEnd w:id="1181"/>
      <w:r>
        <w:rPr>
          <w:position w:val="5"/>
          <w:sz w:val="12"/>
        </w:rPr>
        <w:t>868</w:t>
      </w:r>
      <w:r>
        <w:rPr>
          <w:spacing w:val="12"/>
          <w:position w:val="5"/>
          <w:sz w:val="12"/>
        </w:rPr>
        <w:t xml:space="preserve"> </w:t>
      </w:r>
      <w:r>
        <w:rPr>
          <w:sz w:val="18"/>
        </w:rPr>
        <w:t>China'</w:t>
      </w:r>
      <w:r>
        <w:rPr>
          <w:spacing w:val="-4"/>
          <w:sz w:val="18"/>
        </w:rPr>
        <w:t xml:space="preserve"> </w:t>
      </w:r>
      <w:r>
        <w:rPr>
          <w:sz w:val="18"/>
        </w:rPr>
        <w:t>first</w:t>
      </w:r>
      <w:r>
        <w:rPr>
          <w:spacing w:val="-5"/>
          <w:sz w:val="18"/>
        </w:rPr>
        <w:t xml:space="preserve"> </w:t>
      </w:r>
      <w:r>
        <w:rPr>
          <w:sz w:val="18"/>
        </w:rPr>
        <w:t>written</w:t>
      </w:r>
      <w:r>
        <w:rPr>
          <w:spacing w:val="-7"/>
          <w:sz w:val="18"/>
        </w:rPr>
        <w:t xml:space="preserve"> </w:t>
      </w:r>
      <w:r>
        <w:rPr>
          <w:sz w:val="18"/>
        </w:rPr>
        <w:t>submission,</w:t>
      </w:r>
      <w:r>
        <w:rPr>
          <w:spacing w:val="-4"/>
          <w:sz w:val="18"/>
        </w:rPr>
        <w:t xml:space="preserve"> </w:t>
      </w:r>
      <w:r>
        <w:rPr>
          <w:sz w:val="18"/>
        </w:rPr>
        <w:t>paras. 1865-</w:t>
      </w:r>
      <w:r>
        <w:rPr>
          <w:spacing w:val="-2"/>
          <w:sz w:val="18"/>
        </w:rPr>
        <w:t>1871.</w:t>
      </w:r>
    </w:p>
    <w:p w14:paraId="41848BCA" w14:textId="77777777" w:rsidR="00BD462C" w:rsidRDefault="00033D0F">
      <w:pPr>
        <w:spacing w:before="1"/>
        <w:ind w:left="135"/>
        <w:rPr>
          <w:sz w:val="18"/>
        </w:rPr>
      </w:pPr>
      <w:bookmarkStart w:id="1182" w:name="_bookmark1017"/>
      <w:bookmarkEnd w:id="1182"/>
      <w:r>
        <w:rPr>
          <w:position w:val="5"/>
          <w:sz w:val="12"/>
        </w:rPr>
        <w:t>869</w:t>
      </w:r>
      <w:r>
        <w:rPr>
          <w:spacing w:val="12"/>
          <w:position w:val="5"/>
          <w:sz w:val="12"/>
        </w:rPr>
        <w:t xml:space="preserve"> </w:t>
      </w:r>
      <w:r>
        <w:rPr>
          <w:sz w:val="18"/>
        </w:rPr>
        <w:t>Australia's</w:t>
      </w:r>
      <w:r>
        <w:rPr>
          <w:spacing w:val="-6"/>
          <w:sz w:val="18"/>
        </w:rPr>
        <w:t xml:space="preserve"> </w:t>
      </w:r>
      <w:r>
        <w:rPr>
          <w:sz w:val="18"/>
        </w:rPr>
        <w:t>first</w:t>
      </w:r>
      <w:r>
        <w:rPr>
          <w:spacing w:val="-6"/>
          <w:sz w:val="18"/>
        </w:rPr>
        <w:t xml:space="preserve"> </w:t>
      </w:r>
      <w:r>
        <w:rPr>
          <w:sz w:val="18"/>
        </w:rPr>
        <w:t>written</w:t>
      </w:r>
      <w:r>
        <w:rPr>
          <w:spacing w:val="-2"/>
          <w:sz w:val="18"/>
        </w:rPr>
        <w:t xml:space="preserve"> </w:t>
      </w:r>
      <w:r>
        <w:rPr>
          <w:sz w:val="18"/>
        </w:rPr>
        <w:t>submission, para.</w:t>
      </w:r>
      <w:r>
        <w:rPr>
          <w:spacing w:val="-5"/>
          <w:sz w:val="18"/>
        </w:rPr>
        <w:t xml:space="preserve"> </w:t>
      </w:r>
      <w:r>
        <w:rPr>
          <w:spacing w:val="-4"/>
          <w:sz w:val="18"/>
        </w:rPr>
        <w:t>683.</w:t>
      </w:r>
    </w:p>
    <w:p w14:paraId="14F391B6" w14:textId="77777777" w:rsidR="00BD462C" w:rsidRDefault="00033D0F">
      <w:pPr>
        <w:spacing w:before="1"/>
        <w:ind w:left="135"/>
        <w:rPr>
          <w:sz w:val="18"/>
        </w:rPr>
      </w:pPr>
      <w:bookmarkStart w:id="1183" w:name="_bookmark1018"/>
      <w:bookmarkEnd w:id="1183"/>
      <w:r>
        <w:rPr>
          <w:position w:val="5"/>
          <w:sz w:val="12"/>
        </w:rPr>
        <w:t>870</w:t>
      </w:r>
      <w:r>
        <w:rPr>
          <w:spacing w:val="12"/>
          <w:position w:val="5"/>
          <w:sz w:val="12"/>
        </w:rPr>
        <w:t xml:space="preserve"> </w:t>
      </w:r>
      <w:r>
        <w:rPr>
          <w:sz w:val="18"/>
        </w:rPr>
        <w:t>China's</w:t>
      </w:r>
      <w:r>
        <w:rPr>
          <w:spacing w:val="-1"/>
          <w:sz w:val="18"/>
        </w:rPr>
        <w:t xml:space="preserve"> </w:t>
      </w:r>
      <w:r>
        <w:rPr>
          <w:sz w:val="18"/>
        </w:rPr>
        <w:t>First</w:t>
      </w:r>
      <w:r>
        <w:rPr>
          <w:spacing w:val="-5"/>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para.</w:t>
      </w:r>
      <w:r>
        <w:rPr>
          <w:spacing w:val="-5"/>
          <w:sz w:val="18"/>
        </w:rPr>
        <w:t xml:space="preserve"> </w:t>
      </w:r>
      <w:r>
        <w:rPr>
          <w:sz w:val="18"/>
        </w:rPr>
        <w:t>1879;</w:t>
      </w:r>
      <w:r>
        <w:rPr>
          <w:spacing w:val="-3"/>
          <w:sz w:val="18"/>
        </w:rPr>
        <w:t xml:space="preserve"> </w:t>
      </w:r>
      <w:r>
        <w:rPr>
          <w:sz w:val="18"/>
        </w:rPr>
        <w:t>China's</w:t>
      </w:r>
      <w:r>
        <w:rPr>
          <w:spacing w:val="-6"/>
          <w:sz w:val="18"/>
        </w:rPr>
        <w:t xml:space="preserve"> </w:t>
      </w:r>
      <w:r>
        <w:rPr>
          <w:sz w:val="18"/>
        </w:rPr>
        <w:t>response</w:t>
      </w:r>
      <w:r>
        <w:rPr>
          <w:spacing w:val="-5"/>
          <w:sz w:val="18"/>
        </w:rPr>
        <w:t xml:space="preserve"> </w:t>
      </w:r>
      <w:r>
        <w:rPr>
          <w:sz w:val="18"/>
        </w:rPr>
        <w:t>to</w:t>
      </w:r>
      <w:r>
        <w:rPr>
          <w:spacing w:val="-7"/>
          <w:sz w:val="18"/>
        </w:rPr>
        <w:t xml:space="preserve"> </w:t>
      </w:r>
      <w:r>
        <w:rPr>
          <w:sz w:val="18"/>
        </w:rPr>
        <w:t>Panel</w:t>
      </w:r>
      <w:r>
        <w:rPr>
          <w:spacing w:val="-5"/>
          <w:sz w:val="18"/>
        </w:rPr>
        <w:t xml:space="preserve"> </w:t>
      </w:r>
      <w:r>
        <w:rPr>
          <w:sz w:val="18"/>
        </w:rPr>
        <w:t>question</w:t>
      </w:r>
      <w:r>
        <w:rPr>
          <w:spacing w:val="-7"/>
          <w:sz w:val="18"/>
        </w:rPr>
        <w:t xml:space="preserve"> </w:t>
      </w:r>
      <w:r>
        <w:rPr>
          <w:sz w:val="18"/>
        </w:rPr>
        <w:t>No. 47,</w:t>
      </w:r>
      <w:r>
        <w:rPr>
          <w:spacing w:val="-4"/>
          <w:sz w:val="18"/>
        </w:rPr>
        <w:t xml:space="preserve"> </w:t>
      </w:r>
      <w:r>
        <w:rPr>
          <w:sz w:val="18"/>
        </w:rPr>
        <w:t>paras. 268-</w:t>
      </w:r>
      <w:r>
        <w:rPr>
          <w:spacing w:val="-4"/>
          <w:sz w:val="18"/>
        </w:rPr>
        <w:t>269.</w:t>
      </w:r>
    </w:p>
    <w:p w14:paraId="5F29B7FA" w14:textId="77777777" w:rsidR="00BD462C" w:rsidRDefault="00033D0F">
      <w:pPr>
        <w:spacing w:before="1"/>
        <w:ind w:left="135"/>
        <w:rPr>
          <w:sz w:val="18"/>
        </w:rPr>
      </w:pPr>
      <w:bookmarkStart w:id="1184" w:name="_bookmark1019"/>
      <w:bookmarkEnd w:id="1184"/>
      <w:r>
        <w:rPr>
          <w:position w:val="5"/>
          <w:sz w:val="12"/>
        </w:rPr>
        <w:t>871</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 xml:space="preserve">submission, para. </w:t>
      </w:r>
      <w:r>
        <w:rPr>
          <w:spacing w:val="-2"/>
          <w:sz w:val="18"/>
        </w:rPr>
        <w:t>1741.</w:t>
      </w:r>
    </w:p>
    <w:p w14:paraId="5E83C8E3" w14:textId="77777777" w:rsidR="00BD462C" w:rsidRDefault="00033D0F">
      <w:pPr>
        <w:spacing w:before="1"/>
        <w:ind w:left="135"/>
        <w:rPr>
          <w:sz w:val="18"/>
        </w:rPr>
      </w:pPr>
      <w:bookmarkStart w:id="1185" w:name="_bookmark1020"/>
      <w:bookmarkEnd w:id="1185"/>
      <w:r>
        <w:rPr>
          <w:position w:val="5"/>
          <w:sz w:val="12"/>
        </w:rPr>
        <w:t>872</w:t>
      </w:r>
      <w:r>
        <w:rPr>
          <w:spacing w:val="13"/>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paras.</w:t>
      </w:r>
      <w:r>
        <w:rPr>
          <w:spacing w:val="-4"/>
          <w:sz w:val="18"/>
        </w:rPr>
        <w:t xml:space="preserve"> </w:t>
      </w:r>
      <w:r>
        <w:rPr>
          <w:spacing w:val="-2"/>
          <w:sz w:val="18"/>
        </w:rPr>
        <w:t>1741.</w:t>
      </w:r>
    </w:p>
    <w:p w14:paraId="00BE88DB" w14:textId="77777777" w:rsidR="00BD462C" w:rsidRDefault="00BD462C">
      <w:pPr>
        <w:rPr>
          <w:sz w:val="18"/>
        </w:rPr>
        <w:sectPr w:rsidR="00BD462C">
          <w:pgSz w:w="11910" w:h="16840"/>
          <w:pgMar w:top="860" w:right="500" w:bottom="780" w:left="1280" w:header="566" w:footer="590" w:gutter="0"/>
          <w:cols w:space="720"/>
        </w:sectPr>
      </w:pPr>
    </w:p>
    <w:p w14:paraId="2894EB9D"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741FA666"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7D3F7D84"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07BF2D1D" w14:textId="77777777" w:rsidR="00BD462C" w:rsidRDefault="00033D0F">
      <w:pPr>
        <w:pStyle w:val="BodyText"/>
        <w:spacing w:before="102" w:line="360" w:lineRule="auto"/>
        <w:ind w:left="135" w:right="913"/>
        <w:jc w:val="both"/>
      </w:pPr>
      <w:r>
        <w:t>products,</w:t>
      </w:r>
      <w:hyperlink w:anchor="_bookmark1021" w:history="1">
        <w:r>
          <w:rPr>
            <w:vertAlign w:val="superscript"/>
          </w:rPr>
          <w:t>873</w:t>
        </w:r>
      </w:hyperlink>
      <w:r>
        <w:t xml:space="preserve"> or imports from third countries.</w:t>
      </w:r>
      <w:hyperlink w:anchor="_bookmark1022" w:history="1">
        <w:r>
          <w:rPr>
            <w:vertAlign w:val="superscript"/>
          </w:rPr>
          <w:t>874</w:t>
        </w:r>
      </w:hyperlink>
      <w:r>
        <w:t xml:space="preserve"> Australia's position is that the circumstances of</w:t>
      </w:r>
      <w:r>
        <w:rPr>
          <w:spacing w:val="-14"/>
        </w:rPr>
        <w:t xml:space="preserve"> </w:t>
      </w:r>
      <w:r>
        <w:t>this</w:t>
      </w:r>
      <w:r>
        <w:rPr>
          <w:spacing w:val="-14"/>
        </w:rPr>
        <w:t xml:space="preserve"> </w:t>
      </w:r>
      <w:r>
        <w:t>case</w:t>
      </w:r>
      <w:r>
        <w:rPr>
          <w:spacing w:val="-13"/>
        </w:rPr>
        <w:t xml:space="preserve"> </w:t>
      </w:r>
      <w:r>
        <w:t>—</w:t>
      </w:r>
      <w:r>
        <w:rPr>
          <w:spacing w:val="-14"/>
        </w:rPr>
        <w:t xml:space="preserve"> </w:t>
      </w:r>
      <w:r>
        <w:t>including</w:t>
      </w:r>
      <w:r>
        <w:rPr>
          <w:spacing w:val="-13"/>
        </w:rPr>
        <w:t xml:space="preserve"> </w:t>
      </w:r>
      <w:r>
        <w:t>all</w:t>
      </w:r>
      <w:r>
        <w:rPr>
          <w:spacing w:val="-14"/>
        </w:rPr>
        <w:t xml:space="preserve"> </w:t>
      </w:r>
      <w:r>
        <w:t>of</w:t>
      </w:r>
      <w:r>
        <w:rPr>
          <w:spacing w:val="-13"/>
        </w:rPr>
        <w:t xml:space="preserve"> </w:t>
      </w:r>
      <w:r>
        <w:t>the</w:t>
      </w:r>
      <w:r>
        <w:rPr>
          <w:spacing w:val="-14"/>
        </w:rPr>
        <w:t xml:space="preserve"> </w:t>
      </w:r>
      <w:r>
        <w:t>relevant</w:t>
      </w:r>
      <w:r>
        <w:rPr>
          <w:spacing w:val="-14"/>
        </w:rPr>
        <w:t xml:space="preserve"> </w:t>
      </w:r>
      <w:r>
        <w:t>evidence</w:t>
      </w:r>
      <w:r>
        <w:rPr>
          <w:spacing w:val="-13"/>
        </w:rPr>
        <w:t xml:space="preserve"> </w:t>
      </w:r>
      <w:r>
        <w:t>on</w:t>
      </w:r>
      <w:r>
        <w:rPr>
          <w:spacing w:val="-14"/>
        </w:rPr>
        <w:t xml:space="preserve"> </w:t>
      </w:r>
      <w:r>
        <w:t>the</w:t>
      </w:r>
      <w:r>
        <w:rPr>
          <w:spacing w:val="-13"/>
        </w:rPr>
        <w:t xml:space="preserve"> </w:t>
      </w:r>
      <w:r>
        <w:t>record</w:t>
      </w:r>
      <w:r>
        <w:rPr>
          <w:spacing w:val="-14"/>
        </w:rPr>
        <w:t xml:space="preserve"> </w:t>
      </w:r>
      <w:r>
        <w:t>before</w:t>
      </w:r>
      <w:r>
        <w:rPr>
          <w:spacing w:val="-13"/>
        </w:rPr>
        <w:t xml:space="preserve"> </w:t>
      </w:r>
      <w:r>
        <w:t>MOFCOM</w:t>
      </w:r>
      <w:r>
        <w:rPr>
          <w:spacing w:val="-14"/>
        </w:rPr>
        <w:t xml:space="preserve"> </w:t>
      </w:r>
      <w:r>
        <w:t>—</w:t>
      </w:r>
      <w:r>
        <w:rPr>
          <w:spacing w:val="-14"/>
        </w:rPr>
        <w:t xml:space="preserve"> </w:t>
      </w:r>
      <w:r>
        <w:t>required it to do so. This is because: (i) MOFCOM's causation determination was based on its finding that subject imports caused the market share and sales volume declines experienced by the domestic industry; (ii) the evidence established that, throughout the Injury POI, subject imports were significantly more expensive and occupied a significantly smaller market share than either the like domestic products or third country imports;</w:t>
      </w:r>
      <w:hyperlink w:anchor="_bookmark1023" w:history="1">
        <w:r>
          <w:rPr>
            <w:vertAlign w:val="superscript"/>
          </w:rPr>
          <w:t>875</w:t>
        </w:r>
      </w:hyperlink>
      <w:r>
        <w:t xml:space="preserve"> (iii) the Chinese market experienced</w:t>
      </w:r>
      <w:r>
        <w:rPr>
          <w:spacing w:val="-13"/>
        </w:rPr>
        <w:t xml:space="preserve"> </w:t>
      </w:r>
      <w:r>
        <w:t>a</w:t>
      </w:r>
      <w:r>
        <w:rPr>
          <w:spacing w:val="-11"/>
        </w:rPr>
        <w:t xml:space="preserve"> </w:t>
      </w:r>
      <w:r>
        <w:t>significant</w:t>
      </w:r>
      <w:r>
        <w:rPr>
          <w:spacing w:val="-10"/>
        </w:rPr>
        <w:t xml:space="preserve"> </w:t>
      </w:r>
      <w:r>
        <w:t>increase</w:t>
      </w:r>
      <w:r>
        <w:rPr>
          <w:spacing w:val="-11"/>
        </w:rPr>
        <w:t xml:space="preserve"> </w:t>
      </w:r>
      <w:r>
        <w:t>and</w:t>
      </w:r>
      <w:r>
        <w:rPr>
          <w:spacing w:val="-13"/>
        </w:rPr>
        <w:t xml:space="preserve"> </w:t>
      </w:r>
      <w:r>
        <w:t>then</w:t>
      </w:r>
      <w:r>
        <w:rPr>
          <w:spacing w:val="-13"/>
        </w:rPr>
        <w:t xml:space="preserve"> </w:t>
      </w:r>
      <w:r>
        <w:t>a</w:t>
      </w:r>
      <w:r>
        <w:rPr>
          <w:spacing w:val="-11"/>
        </w:rPr>
        <w:t xml:space="preserve"> </w:t>
      </w:r>
      <w:r>
        <w:t>significant</w:t>
      </w:r>
      <w:r>
        <w:rPr>
          <w:spacing w:val="-10"/>
        </w:rPr>
        <w:t xml:space="preserve"> </w:t>
      </w:r>
      <w:r>
        <w:t>contraction</w:t>
      </w:r>
      <w:r>
        <w:rPr>
          <w:spacing w:val="-13"/>
        </w:rPr>
        <w:t xml:space="preserve"> </w:t>
      </w:r>
      <w:r>
        <w:t>in</w:t>
      </w:r>
      <w:r>
        <w:rPr>
          <w:spacing w:val="-13"/>
        </w:rPr>
        <w:t xml:space="preserve"> </w:t>
      </w:r>
      <w:r>
        <w:t>demand</w:t>
      </w:r>
      <w:r>
        <w:rPr>
          <w:spacing w:val="-13"/>
        </w:rPr>
        <w:t xml:space="preserve"> </w:t>
      </w:r>
      <w:r>
        <w:t>over</w:t>
      </w:r>
      <w:r>
        <w:rPr>
          <w:spacing w:val="-9"/>
        </w:rPr>
        <w:t xml:space="preserve"> </w:t>
      </w:r>
      <w:r>
        <w:t>the</w:t>
      </w:r>
      <w:r>
        <w:rPr>
          <w:spacing w:val="-11"/>
        </w:rPr>
        <w:t xml:space="preserve"> </w:t>
      </w:r>
      <w:r>
        <w:t>Injury POI;</w:t>
      </w:r>
      <w:hyperlink w:anchor="_bookmark1024" w:history="1">
        <w:r>
          <w:rPr>
            <w:vertAlign w:val="superscript"/>
          </w:rPr>
          <w:t>876</w:t>
        </w:r>
      </w:hyperlink>
      <w:r>
        <w:t xml:space="preserve"> and (iv) imports from third countries occupied a significant share of the market, at average prices closer to, and generally lower than, average prices of the domestic like </w:t>
      </w:r>
      <w:r>
        <w:rPr>
          <w:spacing w:val="-2"/>
        </w:rPr>
        <w:t>products.</w:t>
      </w:r>
      <w:hyperlink w:anchor="_bookmark1025" w:history="1">
        <w:r>
          <w:rPr>
            <w:spacing w:val="-2"/>
            <w:vertAlign w:val="superscript"/>
          </w:rPr>
          <w:t>877</w:t>
        </w:r>
      </w:hyperlink>
    </w:p>
    <w:p w14:paraId="4C326443" w14:textId="77777777" w:rsidR="00BD462C" w:rsidRDefault="00BD462C">
      <w:pPr>
        <w:pStyle w:val="BodyText"/>
        <w:spacing w:before="9"/>
        <w:rPr>
          <w:sz w:val="8"/>
        </w:rPr>
      </w:pPr>
    </w:p>
    <w:p w14:paraId="443D370E" w14:textId="6252D4C9" w:rsidR="00BD462C" w:rsidRDefault="000F5FA7">
      <w:pPr>
        <w:pStyle w:val="BodyText"/>
        <w:spacing w:before="56" w:line="360" w:lineRule="auto"/>
        <w:ind w:left="135" w:right="913"/>
        <w:jc w:val="both"/>
      </w:pPr>
      <w:r>
        <w:rPr>
          <w:noProof/>
        </w:rPr>
        <w:t>573.</w:t>
      </w:r>
      <w:r w:rsidR="00033D0F">
        <w:rPr>
          <w:rFonts w:ascii="Times New Roman"/>
          <w:spacing w:val="80"/>
          <w:position w:val="1"/>
          <w:sz w:val="20"/>
        </w:rPr>
        <w:t xml:space="preserve">  </w:t>
      </w:r>
      <w:r w:rsidR="00033D0F">
        <w:rPr>
          <w:position w:val="1"/>
        </w:rPr>
        <w:t xml:space="preserve">Further, the </w:t>
      </w:r>
      <w:r w:rsidR="00033D0F">
        <w:rPr>
          <w:i/>
          <w:position w:val="1"/>
        </w:rPr>
        <w:t xml:space="preserve">ex post facto </w:t>
      </w:r>
      <w:proofErr w:type="spellStart"/>
      <w:r w:rsidR="00033D0F">
        <w:rPr>
          <w:position w:val="1"/>
        </w:rPr>
        <w:t>rationalisations</w:t>
      </w:r>
      <w:proofErr w:type="spellEnd"/>
      <w:r w:rsidR="00033D0F">
        <w:rPr>
          <w:position w:val="1"/>
        </w:rPr>
        <w:t xml:space="preserve"> provided by China illustrate the extent to </w:t>
      </w:r>
      <w:r w:rsidR="00033D0F">
        <w:t>which</w:t>
      </w:r>
      <w:r w:rsidR="00033D0F">
        <w:rPr>
          <w:spacing w:val="-8"/>
        </w:rPr>
        <w:t xml:space="preserve"> </w:t>
      </w:r>
      <w:r w:rsidR="00033D0F">
        <w:t>MOFCOM</w:t>
      </w:r>
      <w:r w:rsidR="00033D0F">
        <w:rPr>
          <w:spacing w:val="-6"/>
        </w:rPr>
        <w:t xml:space="preserve"> </w:t>
      </w:r>
      <w:r w:rsidR="00033D0F">
        <w:t>failed</w:t>
      </w:r>
      <w:r w:rsidR="00033D0F">
        <w:rPr>
          <w:spacing w:val="-8"/>
        </w:rPr>
        <w:t xml:space="preserve"> </w:t>
      </w:r>
      <w:r w:rsidR="00033D0F">
        <w:t>to</w:t>
      </w:r>
      <w:r w:rsidR="00033D0F">
        <w:rPr>
          <w:spacing w:val="-9"/>
        </w:rPr>
        <w:t xml:space="preserve"> </w:t>
      </w:r>
      <w:r w:rsidR="00033D0F">
        <w:t>objectively</w:t>
      </w:r>
      <w:r w:rsidR="00033D0F">
        <w:rPr>
          <w:spacing w:val="-5"/>
        </w:rPr>
        <w:t xml:space="preserve"> </w:t>
      </w:r>
      <w:r w:rsidR="00033D0F">
        <w:t>examine</w:t>
      </w:r>
      <w:r w:rsidR="00033D0F">
        <w:rPr>
          <w:spacing w:val="-6"/>
        </w:rPr>
        <w:t xml:space="preserve"> </w:t>
      </w:r>
      <w:r w:rsidR="00033D0F">
        <w:t>the</w:t>
      </w:r>
      <w:r w:rsidR="00033D0F">
        <w:rPr>
          <w:spacing w:val="-6"/>
        </w:rPr>
        <w:t xml:space="preserve"> </w:t>
      </w:r>
      <w:r w:rsidR="00033D0F">
        <w:t>evidence</w:t>
      </w:r>
      <w:r w:rsidR="00033D0F">
        <w:rPr>
          <w:spacing w:val="-6"/>
        </w:rPr>
        <w:t xml:space="preserve"> </w:t>
      </w:r>
      <w:r w:rsidR="00033D0F">
        <w:t>of</w:t>
      </w:r>
      <w:r w:rsidR="00033D0F">
        <w:rPr>
          <w:spacing w:val="-8"/>
        </w:rPr>
        <w:t xml:space="preserve"> </w:t>
      </w:r>
      <w:r w:rsidR="00033D0F">
        <w:t>the</w:t>
      </w:r>
      <w:r w:rsidR="00033D0F">
        <w:rPr>
          <w:spacing w:val="-6"/>
        </w:rPr>
        <w:t xml:space="preserve"> </w:t>
      </w:r>
      <w:r w:rsidR="00033D0F">
        <w:t>complexities</w:t>
      </w:r>
      <w:r w:rsidR="00033D0F">
        <w:rPr>
          <w:spacing w:val="-5"/>
        </w:rPr>
        <w:t xml:space="preserve"> </w:t>
      </w:r>
      <w:r w:rsidR="00033D0F">
        <w:t>in</w:t>
      </w:r>
      <w:r w:rsidR="00033D0F">
        <w:rPr>
          <w:spacing w:val="-8"/>
        </w:rPr>
        <w:t xml:space="preserve"> </w:t>
      </w:r>
      <w:r w:rsidR="00033D0F">
        <w:t>the</w:t>
      </w:r>
      <w:r w:rsidR="00033D0F">
        <w:rPr>
          <w:spacing w:val="-6"/>
        </w:rPr>
        <w:t xml:space="preserve"> </w:t>
      </w:r>
      <w:r w:rsidR="00033D0F">
        <w:t>Chinese market that was before it in this investigation.</w:t>
      </w:r>
      <w:hyperlink w:anchor="_bookmark1026" w:history="1">
        <w:r w:rsidR="00033D0F">
          <w:rPr>
            <w:vertAlign w:val="superscript"/>
          </w:rPr>
          <w:t>878</w:t>
        </w:r>
      </w:hyperlink>
      <w:r w:rsidR="00033D0F">
        <w:t xml:space="preserve"> The table below </w:t>
      </w:r>
      <w:proofErr w:type="spellStart"/>
      <w:r w:rsidR="00033D0F">
        <w:t>summarises</w:t>
      </w:r>
      <w:proofErr w:type="spellEnd"/>
      <w:r w:rsidR="00033D0F">
        <w:t xml:space="preserve"> the evidence on MOFCOM's investigation record regarding yearly volume changes for subject imports, domestic</w:t>
      </w:r>
      <w:r w:rsidR="00033D0F">
        <w:rPr>
          <w:spacing w:val="-8"/>
        </w:rPr>
        <w:t xml:space="preserve"> </w:t>
      </w:r>
      <w:r w:rsidR="00033D0F">
        <w:t>like</w:t>
      </w:r>
      <w:r w:rsidR="00033D0F">
        <w:rPr>
          <w:spacing w:val="-7"/>
        </w:rPr>
        <w:t xml:space="preserve"> </w:t>
      </w:r>
      <w:r w:rsidR="00033D0F">
        <w:t>products</w:t>
      </w:r>
      <w:r w:rsidR="00033D0F">
        <w:rPr>
          <w:spacing w:val="-6"/>
        </w:rPr>
        <w:t xml:space="preserve"> </w:t>
      </w:r>
      <w:r w:rsidR="00033D0F">
        <w:t>produced</w:t>
      </w:r>
      <w:r w:rsidR="00033D0F">
        <w:rPr>
          <w:spacing w:val="-4"/>
        </w:rPr>
        <w:t xml:space="preserve"> </w:t>
      </w:r>
      <w:r w:rsidR="00033D0F">
        <w:t>by</w:t>
      </w:r>
      <w:r w:rsidR="00033D0F">
        <w:rPr>
          <w:spacing w:val="-6"/>
        </w:rPr>
        <w:t xml:space="preserve"> </w:t>
      </w:r>
      <w:r w:rsidR="00033D0F">
        <w:t>both</w:t>
      </w:r>
      <w:r w:rsidR="00033D0F">
        <w:rPr>
          <w:spacing w:val="-8"/>
        </w:rPr>
        <w:t xml:space="preserve"> </w:t>
      </w:r>
      <w:r w:rsidR="00033D0F">
        <w:t>the</w:t>
      </w:r>
      <w:r w:rsidR="00033D0F">
        <w:rPr>
          <w:spacing w:val="-3"/>
        </w:rPr>
        <w:t xml:space="preserve"> </w:t>
      </w:r>
      <w:r w:rsidR="00033D0F">
        <w:t>domestic</w:t>
      </w:r>
      <w:r w:rsidR="00033D0F">
        <w:rPr>
          <w:spacing w:val="-8"/>
        </w:rPr>
        <w:t xml:space="preserve"> </w:t>
      </w:r>
      <w:r w:rsidR="00033D0F">
        <w:t>industry</w:t>
      </w:r>
      <w:r w:rsidR="00033D0F">
        <w:rPr>
          <w:spacing w:val="-6"/>
        </w:rPr>
        <w:t xml:space="preserve"> </w:t>
      </w:r>
      <w:r w:rsidR="00033D0F">
        <w:t>and</w:t>
      </w:r>
      <w:r w:rsidR="00033D0F">
        <w:rPr>
          <w:spacing w:val="-9"/>
        </w:rPr>
        <w:t xml:space="preserve"> </w:t>
      </w:r>
      <w:r w:rsidR="00033D0F">
        <w:t>other</w:t>
      </w:r>
      <w:r w:rsidR="00033D0F">
        <w:rPr>
          <w:spacing w:val="-5"/>
        </w:rPr>
        <w:t xml:space="preserve"> </w:t>
      </w:r>
      <w:r w:rsidR="00033D0F">
        <w:t>Chinese</w:t>
      </w:r>
      <w:r w:rsidR="00033D0F">
        <w:rPr>
          <w:spacing w:val="-7"/>
        </w:rPr>
        <w:t xml:space="preserve"> </w:t>
      </w:r>
      <w:r w:rsidR="00033D0F">
        <w:t xml:space="preserve">producers, and third country imports. This evidence demonstrates that, contrary to the assumption underpinning MOFCOM's determination, the Chinese market was far more complex than subject imports simply taking volume and market share from the domestic industry. For </w:t>
      </w:r>
      <w:r w:rsidR="00033D0F">
        <w:rPr>
          <w:spacing w:val="-2"/>
        </w:rPr>
        <w:t>example:</w:t>
      </w:r>
    </w:p>
    <w:p w14:paraId="7B75F052" w14:textId="77777777" w:rsidR="00BD462C" w:rsidRDefault="00033D0F">
      <w:pPr>
        <w:pStyle w:val="ListParagraph"/>
        <w:numPr>
          <w:ilvl w:val="0"/>
          <w:numId w:val="45"/>
        </w:numPr>
        <w:tabs>
          <w:tab w:val="left" w:pos="1835"/>
          <w:tab w:val="left" w:pos="1836"/>
        </w:tabs>
        <w:spacing w:before="151" w:line="360" w:lineRule="auto"/>
        <w:ind w:left="1839" w:right="907" w:hanging="855"/>
        <w:jc w:val="both"/>
        <w:rPr>
          <w:sz w:val="24"/>
        </w:rPr>
      </w:pPr>
      <w:r>
        <w:rPr>
          <w:sz w:val="24"/>
        </w:rPr>
        <w:t xml:space="preserve">Between 2015 – 2016: The domestic industry's sales of domestic like products declined by -14,300 </w:t>
      </w:r>
      <w:proofErr w:type="spellStart"/>
      <w:r>
        <w:rPr>
          <w:sz w:val="24"/>
        </w:rPr>
        <w:t>kilolitres</w:t>
      </w:r>
      <w:proofErr w:type="spellEnd"/>
      <w:r>
        <w:rPr>
          <w:sz w:val="24"/>
        </w:rPr>
        <w:t>. MOFCOM does not examine or explain</w:t>
      </w:r>
      <w:r>
        <w:rPr>
          <w:spacing w:val="-10"/>
          <w:sz w:val="24"/>
        </w:rPr>
        <w:t xml:space="preserve"> </w:t>
      </w:r>
      <w:r>
        <w:rPr>
          <w:sz w:val="24"/>
        </w:rPr>
        <w:t>why</w:t>
      </w:r>
      <w:r>
        <w:rPr>
          <w:spacing w:val="-7"/>
          <w:sz w:val="24"/>
        </w:rPr>
        <w:t xml:space="preserve"> </w:t>
      </w:r>
      <w:r>
        <w:rPr>
          <w:sz w:val="24"/>
        </w:rPr>
        <w:t>this</w:t>
      </w:r>
      <w:r>
        <w:rPr>
          <w:spacing w:val="-7"/>
          <w:sz w:val="24"/>
        </w:rPr>
        <w:t xml:space="preserve"> </w:t>
      </w:r>
      <w:r>
        <w:rPr>
          <w:sz w:val="24"/>
        </w:rPr>
        <w:t>volume</w:t>
      </w:r>
      <w:r>
        <w:rPr>
          <w:spacing w:val="-8"/>
          <w:sz w:val="24"/>
        </w:rPr>
        <w:t xml:space="preserve"> </w:t>
      </w:r>
      <w:r>
        <w:rPr>
          <w:sz w:val="24"/>
        </w:rPr>
        <w:t>decline</w:t>
      </w:r>
      <w:r>
        <w:rPr>
          <w:spacing w:val="-8"/>
          <w:sz w:val="24"/>
        </w:rPr>
        <w:t xml:space="preserve"> </w:t>
      </w:r>
      <w:r>
        <w:rPr>
          <w:sz w:val="24"/>
        </w:rPr>
        <w:t>was</w:t>
      </w:r>
      <w:r>
        <w:rPr>
          <w:spacing w:val="-7"/>
          <w:sz w:val="24"/>
        </w:rPr>
        <w:t xml:space="preserve"> </w:t>
      </w:r>
      <w:r>
        <w:rPr>
          <w:sz w:val="24"/>
        </w:rPr>
        <w:t>caused</w:t>
      </w:r>
      <w:r>
        <w:rPr>
          <w:spacing w:val="-10"/>
          <w:sz w:val="24"/>
        </w:rPr>
        <w:t xml:space="preserve"> </w:t>
      </w:r>
      <w:r>
        <w:rPr>
          <w:sz w:val="24"/>
        </w:rPr>
        <w:t>by</w:t>
      </w:r>
      <w:r>
        <w:rPr>
          <w:spacing w:val="-7"/>
          <w:sz w:val="24"/>
        </w:rPr>
        <w:t xml:space="preserve"> </w:t>
      </w:r>
      <w:r>
        <w:rPr>
          <w:sz w:val="24"/>
        </w:rPr>
        <w:t>the</w:t>
      </w:r>
      <w:r>
        <w:rPr>
          <w:spacing w:val="-13"/>
          <w:sz w:val="24"/>
        </w:rPr>
        <w:t xml:space="preserve"> </w:t>
      </w:r>
      <w:r>
        <w:rPr>
          <w:sz w:val="24"/>
        </w:rPr>
        <w:t>22,700</w:t>
      </w:r>
      <w:r>
        <w:rPr>
          <w:spacing w:val="-4"/>
          <w:sz w:val="24"/>
        </w:rPr>
        <w:t xml:space="preserve"> </w:t>
      </w:r>
      <w:proofErr w:type="spellStart"/>
      <w:r>
        <w:rPr>
          <w:sz w:val="24"/>
        </w:rPr>
        <w:t>kilolitres</w:t>
      </w:r>
      <w:proofErr w:type="spellEnd"/>
      <w:r>
        <w:rPr>
          <w:spacing w:val="-7"/>
          <w:sz w:val="24"/>
        </w:rPr>
        <w:t xml:space="preserve"> </w:t>
      </w:r>
      <w:r>
        <w:rPr>
          <w:sz w:val="24"/>
        </w:rPr>
        <w:t xml:space="preserve">increase in subject import volumes, as opposed to the 63,000 </w:t>
      </w:r>
      <w:proofErr w:type="spellStart"/>
      <w:r>
        <w:rPr>
          <w:sz w:val="24"/>
        </w:rPr>
        <w:t>kilolitres</w:t>
      </w:r>
      <w:proofErr w:type="spellEnd"/>
      <w:r>
        <w:rPr>
          <w:sz w:val="24"/>
        </w:rPr>
        <w:t xml:space="preserve"> increase in third country imports.</w:t>
      </w:r>
    </w:p>
    <w:p w14:paraId="76916AA1" w14:textId="77777777" w:rsidR="00BD462C" w:rsidRDefault="00BD462C">
      <w:pPr>
        <w:pStyle w:val="BodyText"/>
        <w:rPr>
          <w:sz w:val="20"/>
        </w:rPr>
      </w:pPr>
    </w:p>
    <w:p w14:paraId="43B4919B" w14:textId="77777777" w:rsidR="00BD462C" w:rsidRDefault="00BD462C">
      <w:pPr>
        <w:pStyle w:val="BodyText"/>
        <w:rPr>
          <w:sz w:val="20"/>
        </w:rPr>
      </w:pPr>
    </w:p>
    <w:p w14:paraId="0142CF8A" w14:textId="77777777" w:rsidR="00BD462C" w:rsidRDefault="00BD462C">
      <w:pPr>
        <w:pStyle w:val="BodyText"/>
        <w:rPr>
          <w:sz w:val="20"/>
        </w:rPr>
      </w:pPr>
    </w:p>
    <w:p w14:paraId="7B2087A5" w14:textId="4D711029" w:rsidR="00BD462C" w:rsidRDefault="00D70C7D">
      <w:pPr>
        <w:pStyle w:val="BodyText"/>
        <w:spacing w:before="7"/>
        <w:rPr>
          <w:sz w:val="16"/>
        </w:rPr>
      </w:pPr>
      <w:r>
        <w:rPr>
          <w:noProof/>
        </w:rPr>
        <mc:AlternateContent>
          <mc:Choice Requires="wps">
            <w:drawing>
              <wp:anchor distT="0" distB="0" distL="0" distR="0" simplePos="0" relativeHeight="487798272" behindDoc="1" locked="0" layoutInCell="1" allowOverlap="1" wp14:anchorId="1BDA8FAF" wp14:editId="01A32B6C">
                <wp:simplePos x="0" y="0"/>
                <wp:positionH relativeFrom="page">
                  <wp:posOffset>899160</wp:posOffset>
                </wp:positionH>
                <wp:positionV relativeFrom="paragraph">
                  <wp:posOffset>144145</wp:posOffset>
                </wp:positionV>
                <wp:extent cx="1828800" cy="8890"/>
                <wp:effectExtent l="0" t="0" r="0" b="0"/>
                <wp:wrapTopAndBottom/>
                <wp:docPr id="520" name="docshape4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32A3BB" id="docshape459" o:spid="_x0000_s1026" alt="&quot;&quot;" style="position:absolute;margin-left:70.8pt;margin-top:11.35pt;width:2in;height:.7pt;z-index:-15518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" fillcolor="black" stroked="f">
                <w10:wrap type="topAndBottom" anchorx="page"/>
              </v:rect>
            </w:pict>
          </mc:Fallback>
        </mc:AlternateContent>
      </w:r>
    </w:p>
    <w:p w14:paraId="2A00ACB8" w14:textId="77777777" w:rsidR="00BD462C" w:rsidRDefault="00033D0F">
      <w:pPr>
        <w:spacing w:before="112" w:line="218" w:lineRule="exact"/>
        <w:ind w:left="135"/>
        <w:rPr>
          <w:sz w:val="18"/>
        </w:rPr>
      </w:pPr>
      <w:bookmarkStart w:id="1186" w:name="_bookmark1021"/>
      <w:bookmarkEnd w:id="1186"/>
      <w:r>
        <w:rPr>
          <w:position w:val="5"/>
          <w:sz w:val="12"/>
        </w:rPr>
        <w:t>873</w:t>
      </w:r>
      <w:r>
        <w:rPr>
          <w:spacing w:val="10"/>
          <w:position w:val="5"/>
          <w:sz w:val="12"/>
        </w:rPr>
        <w:t xml:space="preserve"> </w:t>
      </w:r>
      <w:r>
        <w:rPr>
          <w:sz w:val="18"/>
        </w:rPr>
        <w:t>China's</w:t>
      </w:r>
      <w:r>
        <w:rPr>
          <w:spacing w:val="-7"/>
          <w:sz w:val="18"/>
        </w:rPr>
        <w:t xml:space="preserve"> </w:t>
      </w:r>
      <w:r>
        <w:rPr>
          <w:sz w:val="18"/>
        </w:rPr>
        <w:t>first</w:t>
      </w:r>
      <w:r>
        <w:rPr>
          <w:spacing w:val="-7"/>
          <w:sz w:val="18"/>
        </w:rPr>
        <w:t xml:space="preserve"> </w:t>
      </w:r>
      <w:r>
        <w:rPr>
          <w:sz w:val="18"/>
        </w:rPr>
        <w:t>written</w:t>
      </w:r>
      <w:r>
        <w:rPr>
          <w:spacing w:val="-8"/>
          <w:sz w:val="18"/>
        </w:rPr>
        <w:t xml:space="preserve"> </w:t>
      </w:r>
      <w:r>
        <w:rPr>
          <w:sz w:val="18"/>
        </w:rPr>
        <w:t>submission,</w:t>
      </w:r>
      <w:r>
        <w:rPr>
          <w:spacing w:val="-1"/>
          <w:sz w:val="18"/>
        </w:rPr>
        <w:t xml:space="preserve"> </w:t>
      </w:r>
      <w:r>
        <w:rPr>
          <w:sz w:val="18"/>
        </w:rPr>
        <w:t>paras.</w:t>
      </w:r>
      <w:r>
        <w:rPr>
          <w:spacing w:val="-7"/>
          <w:sz w:val="18"/>
        </w:rPr>
        <w:t xml:space="preserve"> </w:t>
      </w:r>
      <w:r>
        <w:rPr>
          <w:sz w:val="18"/>
        </w:rPr>
        <w:t>1739-1761,</w:t>
      </w:r>
      <w:r>
        <w:rPr>
          <w:spacing w:val="-1"/>
          <w:sz w:val="18"/>
        </w:rPr>
        <w:t xml:space="preserve"> </w:t>
      </w:r>
      <w:r>
        <w:rPr>
          <w:sz w:val="18"/>
        </w:rPr>
        <w:t>1762-</w:t>
      </w:r>
      <w:r>
        <w:rPr>
          <w:spacing w:val="-2"/>
          <w:sz w:val="18"/>
        </w:rPr>
        <w:t>1812.</w:t>
      </w:r>
    </w:p>
    <w:p w14:paraId="76EEE3E2" w14:textId="77777777" w:rsidR="00BD462C" w:rsidRDefault="00033D0F">
      <w:pPr>
        <w:spacing w:line="218" w:lineRule="exact"/>
        <w:ind w:left="135"/>
        <w:rPr>
          <w:sz w:val="18"/>
        </w:rPr>
      </w:pPr>
      <w:bookmarkStart w:id="1187" w:name="_bookmark1022"/>
      <w:bookmarkEnd w:id="1187"/>
      <w:r>
        <w:rPr>
          <w:position w:val="5"/>
          <w:sz w:val="12"/>
        </w:rPr>
        <w:t>874</w:t>
      </w:r>
      <w:r>
        <w:rPr>
          <w:spacing w:val="12"/>
          <w:position w:val="5"/>
          <w:sz w:val="12"/>
        </w:rPr>
        <w:t xml:space="preserve"> </w:t>
      </w:r>
      <w:r>
        <w:rPr>
          <w:sz w:val="18"/>
        </w:rPr>
        <w:t>China's</w:t>
      </w:r>
      <w:r>
        <w:rPr>
          <w:spacing w:val="-6"/>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 paras.</w:t>
      </w:r>
      <w:r>
        <w:rPr>
          <w:spacing w:val="-5"/>
          <w:sz w:val="18"/>
        </w:rPr>
        <w:t xml:space="preserve"> </w:t>
      </w:r>
      <w:r>
        <w:rPr>
          <w:sz w:val="18"/>
        </w:rPr>
        <w:t>1778-</w:t>
      </w:r>
      <w:r>
        <w:rPr>
          <w:spacing w:val="-2"/>
          <w:sz w:val="18"/>
        </w:rPr>
        <w:t>1784.</w:t>
      </w:r>
    </w:p>
    <w:p w14:paraId="45A95B86" w14:textId="77777777" w:rsidR="00BD462C" w:rsidRDefault="00033D0F">
      <w:pPr>
        <w:spacing w:before="1"/>
        <w:ind w:left="135"/>
        <w:rPr>
          <w:sz w:val="18"/>
        </w:rPr>
      </w:pPr>
      <w:bookmarkStart w:id="1188" w:name="_bookmark1023"/>
      <w:bookmarkEnd w:id="1188"/>
      <w:r>
        <w:rPr>
          <w:position w:val="5"/>
          <w:sz w:val="12"/>
        </w:rPr>
        <w:t>875</w:t>
      </w:r>
      <w:r>
        <w:rPr>
          <w:spacing w:val="14"/>
          <w:position w:val="5"/>
          <w:sz w:val="12"/>
        </w:rPr>
        <w:t xml:space="preserve"> </w:t>
      </w:r>
      <w:r>
        <w:rPr>
          <w:sz w:val="18"/>
        </w:rPr>
        <w:t>Australian</w:t>
      </w:r>
      <w:r>
        <w:rPr>
          <w:spacing w:val="-4"/>
          <w:sz w:val="18"/>
        </w:rPr>
        <w:t xml:space="preserve"> </w:t>
      </w:r>
      <w:r>
        <w:rPr>
          <w:sz w:val="18"/>
        </w:rPr>
        <w:t>Government,</w:t>
      </w:r>
      <w:r>
        <w:rPr>
          <w:spacing w:val="2"/>
          <w:sz w:val="18"/>
        </w:rPr>
        <w:t xml:space="preserve"> </w:t>
      </w:r>
      <w:r>
        <w:rPr>
          <w:sz w:val="18"/>
        </w:rPr>
        <w:t>Section</w:t>
      </w:r>
      <w:r>
        <w:rPr>
          <w:spacing w:val="-4"/>
          <w:sz w:val="18"/>
        </w:rPr>
        <w:t xml:space="preserve"> </w:t>
      </w:r>
      <w:r>
        <w:rPr>
          <w:sz w:val="18"/>
        </w:rPr>
        <w:t>IV</w:t>
      </w:r>
      <w:r>
        <w:rPr>
          <w:spacing w:val="-7"/>
          <w:sz w:val="18"/>
        </w:rPr>
        <w:t xml:space="preserve"> </w:t>
      </w:r>
      <w:r>
        <w:rPr>
          <w:sz w:val="18"/>
        </w:rPr>
        <w:t>Injury</w:t>
      </w:r>
      <w:r>
        <w:rPr>
          <w:spacing w:val="-6"/>
          <w:sz w:val="18"/>
        </w:rPr>
        <w:t xml:space="preserve"> </w:t>
      </w:r>
      <w:r>
        <w:rPr>
          <w:sz w:val="18"/>
        </w:rPr>
        <w:t>and</w:t>
      </w:r>
      <w:r>
        <w:rPr>
          <w:spacing w:val="-5"/>
          <w:sz w:val="18"/>
        </w:rPr>
        <w:t xml:space="preserve"> </w:t>
      </w:r>
      <w:r>
        <w:rPr>
          <w:sz w:val="18"/>
        </w:rPr>
        <w:t>Causation</w:t>
      </w:r>
      <w:r>
        <w:rPr>
          <w:spacing w:val="-4"/>
          <w:sz w:val="18"/>
        </w:rPr>
        <w:t xml:space="preserve"> </w:t>
      </w:r>
      <w:r>
        <w:rPr>
          <w:sz w:val="18"/>
        </w:rPr>
        <w:t>Tables</w:t>
      </w:r>
      <w:r>
        <w:rPr>
          <w:spacing w:val="-4"/>
          <w:sz w:val="18"/>
        </w:rPr>
        <w:t xml:space="preserve"> </w:t>
      </w:r>
      <w:r>
        <w:rPr>
          <w:sz w:val="18"/>
        </w:rPr>
        <w:t>(Exhibit</w:t>
      </w:r>
      <w:r>
        <w:rPr>
          <w:spacing w:val="-3"/>
          <w:sz w:val="18"/>
        </w:rPr>
        <w:t xml:space="preserve"> </w:t>
      </w:r>
      <w:r>
        <w:rPr>
          <w:sz w:val="18"/>
        </w:rPr>
        <w:t>AUS-65)</w:t>
      </w:r>
      <w:r>
        <w:rPr>
          <w:spacing w:val="-2"/>
          <w:sz w:val="18"/>
        </w:rPr>
        <w:t xml:space="preserve"> </w:t>
      </w:r>
      <w:r>
        <w:rPr>
          <w:sz w:val="18"/>
        </w:rPr>
        <w:t>(BCI),</w:t>
      </w:r>
      <w:r>
        <w:rPr>
          <w:spacing w:val="-2"/>
          <w:sz w:val="18"/>
        </w:rPr>
        <w:t xml:space="preserve"> </w:t>
      </w:r>
      <w:r>
        <w:rPr>
          <w:sz w:val="18"/>
        </w:rPr>
        <w:t>Tables</w:t>
      </w:r>
      <w:r>
        <w:rPr>
          <w:spacing w:val="1"/>
          <w:sz w:val="18"/>
        </w:rPr>
        <w:t xml:space="preserve"> </w:t>
      </w:r>
      <w:r>
        <w:rPr>
          <w:sz w:val="18"/>
        </w:rPr>
        <w:t>1</w:t>
      </w:r>
      <w:r>
        <w:rPr>
          <w:spacing w:val="-6"/>
          <w:sz w:val="18"/>
        </w:rPr>
        <w:t xml:space="preserve"> </w:t>
      </w:r>
      <w:r>
        <w:rPr>
          <w:sz w:val="18"/>
        </w:rPr>
        <w:t>and</w:t>
      </w:r>
      <w:r>
        <w:rPr>
          <w:spacing w:val="-5"/>
          <w:sz w:val="18"/>
        </w:rPr>
        <w:t xml:space="preserve"> </w:t>
      </w:r>
      <w:r>
        <w:rPr>
          <w:sz w:val="18"/>
        </w:rPr>
        <w:t>8,</w:t>
      </w:r>
      <w:r>
        <w:rPr>
          <w:spacing w:val="2"/>
          <w:sz w:val="18"/>
        </w:rPr>
        <w:t xml:space="preserve"> </w:t>
      </w:r>
      <w:r>
        <w:rPr>
          <w:sz w:val="18"/>
        </w:rPr>
        <w:t>pp.</w:t>
      </w:r>
      <w:r>
        <w:rPr>
          <w:spacing w:val="-3"/>
          <w:sz w:val="18"/>
        </w:rPr>
        <w:t xml:space="preserve"> </w:t>
      </w:r>
      <w:r>
        <w:rPr>
          <w:sz w:val="18"/>
        </w:rPr>
        <w:t>2,</w:t>
      </w:r>
      <w:r>
        <w:rPr>
          <w:spacing w:val="-2"/>
          <w:sz w:val="18"/>
        </w:rPr>
        <w:t xml:space="preserve"> </w:t>
      </w:r>
      <w:r>
        <w:rPr>
          <w:spacing w:val="-5"/>
          <w:sz w:val="18"/>
        </w:rPr>
        <w:t>13.</w:t>
      </w:r>
    </w:p>
    <w:p w14:paraId="0D28F86D" w14:textId="77777777" w:rsidR="00BD462C" w:rsidRDefault="00033D0F">
      <w:pPr>
        <w:spacing w:before="1"/>
        <w:ind w:left="135"/>
        <w:rPr>
          <w:sz w:val="18"/>
        </w:rPr>
      </w:pPr>
      <w:bookmarkStart w:id="1189" w:name="_bookmark1024"/>
      <w:bookmarkEnd w:id="1189"/>
      <w:r>
        <w:rPr>
          <w:position w:val="5"/>
          <w:sz w:val="12"/>
        </w:rPr>
        <w:t>876</w:t>
      </w:r>
      <w:r>
        <w:rPr>
          <w:spacing w:val="14"/>
          <w:position w:val="5"/>
          <w:sz w:val="12"/>
        </w:rPr>
        <w:t xml:space="preserve"> </w:t>
      </w:r>
      <w:r>
        <w:rPr>
          <w:sz w:val="18"/>
        </w:rPr>
        <w:t>Australian</w:t>
      </w:r>
      <w:r>
        <w:rPr>
          <w:spacing w:val="-5"/>
          <w:sz w:val="18"/>
        </w:rPr>
        <w:t xml:space="preserve"> </w:t>
      </w:r>
      <w:r>
        <w:rPr>
          <w:sz w:val="18"/>
        </w:rPr>
        <w:t>Government,</w:t>
      </w:r>
      <w:r>
        <w:rPr>
          <w:spacing w:val="2"/>
          <w:sz w:val="18"/>
        </w:rPr>
        <w:t xml:space="preserve"> </w:t>
      </w:r>
      <w:r>
        <w:rPr>
          <w:sz w:val="18"/>
        </w:rPr>
        <w:t>Section</w:t>
      </w:r>
      <w:r>
        <w:rPr>
          <w:spacing w:val="-5"/>
          <w:sz w:val="18"/>
        </w:rPr>
        <w:t xml:space="preserve"> </w:t>
      </w:r>
      <w:r>
        <w:rPr>
          <w:sz w:val="18"/>
        </w:rPr>
        <w:t>IV</w:t>
      </w:r>
      <w:r>
        <w:rPr>
          <w:spacing w:val="-7"/>
          <w:sz w:val="18"/>
        </w:rPr>
        <w:t xml:space="preserve"> </w:t>
      </w:r>
      <w:r>
        <w:rPr>
          <w:sz w:val="18"/>
        </w:rPr>
        <w:t>Injury</w:t>
      </w:r>
      <w:r>
        <w:rPr>
          <w:spacing w:val="-6"/>
          <w:sz w:val="18"/>
        </w:rPr>
        <w:t xml:space="preserve"> </w:t>
      </w:r>
      <w:r>
        <w:rPr>
          <w:sz w:val="18"/>
        </w:rPr>
        <w:t>and</w:t>
      </w:r>
      <w:r>
        <w:rPr>
          <w:spacing w:val="-5"/>
          <w:sz w:val="18"/>
        </w:rPr>
        <w:t xml:space="preserve"> </w:t>
      </w:r>
      <w:r>
        <w:rPr>
          <w:sz w:val="18"/>
        </w:rPr>
        <w:t>Causation</w:t>
      </w:r>
      <w:r>
        <w:rPr>
          <w:spacing w:val="-5"/>
          <w:sz w:val="18"/>
        </w:rPr>
        <w:t xml:space="preserve"> </w:t>
      </w:r>
      <w:r>
        <w:rPr>
          <w:sz w:val="18"/>
        </w:rPr>
        <w:t>Tables</w:t>
      </w:r>
      <w:r>
        <w:rPr>
          <w:spacing w:val="-4"/>
          <w:sz w:val="18"/>
        </w:rPr>
        <w:t xml:space="preserve"> </w:t>
      </w:r>
      <w:r>
        <w:rPr>
          <w:sz w:val="18"/>
        </w:rPr>
        <w:t>(Exhibit</w:t>
      </w:r>
      <w:r>
        <w:rPr>
          <w:spacing w:val="-3"/>
          <w:sz w:val="18"/>
        </w:rPr>
        <w:t xml:space="preserve"> </w:t>
      </w:r>
      <w:r>
        <w:rPr>
          <w:sz w:val="18"/>
        </w:rPr>
        <w:t>AUS-65)</w:t>
      </w:r>
      <w:r>
        <w:rPr>
          <w:spacing w:val="-2"/>
          <w:sz w:val="18"/>
        </w:rPr>
        <w:t xml:space="preserve"> </w:t>
      </w:r>
      <w:r>
        <w:rPr>
          <w:sz w:val="18"/>
        </w:rPr>
        <w:t>(BCI),</w:t>
      </w:r>
      <w:r>
        <w:rPr>
          <w:spacing w:val="-3"/>
          <w:sz w:val="18"/>
        </w:rPr>
        <w:t xml:space="preserve"> </w:t>
      </w:r>
      <w:r>
        <w:rPr>
          <w:sz w:val="18"/>
        </w:rPr>
        <w:t>Table</w:t>
      </w:r>
      <w:r>
        <w:rPr>
          <w:spacing w:val="-4"/>
          <w:sz w:val="18"/>
        </w:rPr>
        <w:t xml:space="preserve"> </w:t>
      </w:r>
      <w:r>
        <w:rPr>
          <w:sz w:val="18"/>
        </w:rPr>
        <w:t>6,</w:t>
      </w:r>
      <w:r>
        <w:rPr>
          <w:spacing w:val="2"/>
          <w:sz w:val="18"/>
        </w:rPr>
        <w:t xml:space="preserve"> </w:t>
      </w:r>
      <w:r>
        <w:rPr>
          <w:sz w:val="18"/>
        </w:rPr>
        <w:t>p.</w:t>
      </w:r>
      <w:r>
        <w:rPr>
          <w:spacing w:val="-3"/>
          <w:sz w:val="18"/>
        </w:rPr>
        <w:t xml:space="preserve"> </w:t>
      </w:r>
      <w:r>
        <w:rPr>
          <w:spacing w:val="-5"/>
          <w:sz w:val="18"/>
        </w:rPr>
        <w:t>11.</w:t>
      </w:r>
    </w:p>
    <w:p w14:paraId="77CF31C8" w14:textId="77777777" w:rsidR="00BD462C" w:rsidRDefault="00033D0F">
      <w:pPr>
        <w:spacing w:before="1"/>
        <w:ind w:left="135"/>
        <w:rPr>
          <w:sz w:val="18"/>
        </w:rPr>
      </w:pPr>
      <w:bookmarkStart w:id="1190" w:name="_bookmark1025"/>
      <w:bookmarkEnd w:id="1190"/>
      <w:r>
        <w:rPr>
          <w:position w:val="5"/>
          <w:sz w:val="12"/>
        </w:rPr>
        <w:t>877</w:t>
      </w:r>
      <w:r>
        <w:rPr>
          <w:spacing w:val="12"/>
          <w:position w:val="5"/>
          <w:sz w:val="12"/>
        </w:rPr>
        <w:t xml:space="preserve"> </w:t>
      </w:r>
      <w:r>
        <w:rPr>
          <w:sz w:val="18"/>
        </w:rPr>
        <w:t>Australia's</w:t>
      </w:r>
      <w:r>
        <w:rPr>
          <w:spacing w:val="-7"/>
          <w:sz w:val="18"/>
        </w:rPr>
        <w:t xml:space="preserve"> </w:t>
      </w:r>
      <w:r>
        <w:rPr>
          <w:sz w:val="18"/>
        </w:rPr>
        <w:t>first</w:t>
      </w:r>
      <w:r>
        <w:rPr>
          <w:spacing w:val="-5"/>
          <w:sz w:val="18"/>
        </w:rPr>
        <w:t xml:space="preserve"> </w:t>
      </w:r>
      <w:r>
        <w:rPr>
          <w:sz w:val="18"/>
        </w:rPr>
        <w:t>written</w:t>
      </w:r>
      <w:r>
        <w:rPr>
          <w:spacing w:val="-3"/>
          <w:sz w:val="18"/>
        </w:rPr>
        <w:t xml:space="preserve"> </w:t>
      </w:r>
      <w:r>
        <w:rPr>
          <w:sz w:val="18"/>
        </w:rPr>
        <w:t>submission, paras.</w:t>
      </w:r>
      <w:r>
        <w:rPr>
          <w:spacing w:val="-5"/>
          <w:sz w:val="18"/>
        </w:rPr>
        <w:t xml:space="preserve"> </w:t>
      </w:r>
      <w:r>
        <w:rPr>
          <w:sz w:val="18"/>
        </w:rPr>
        <w:t>700-</w:t>
      </w:r>
      <w:r>
        <w:rPr>
          <w:spacing w:val="-4"/>
          <w:sz w:val="18"/>
        </w:rPr>
        <w:t>702.</w:t>
      </w:r>
    </w:p>
    <w:p w14:paraId="62B5AABC" w14:textId="77777777" w:rsidR="00BD462C" w:rsidRDefault="00033D0F">
      <w:pPr>
        <w:spacing w:before="1"/>
        <w:ind w:left="135"/>
        <w:rPr>
          <w:sz w:val="18"/>
        </w:rPr>
      </w:pPr>
      <w:bookmarkStart w:id="1191" w:name="_bookmark1026"/>
      <w:bookmarkEnd w:id="1191"/>
      <w:r>
        <w:rPr>
          <w:position w:val="5"/>
          <w:sz w:val="12"/>
        </w:rPr>
        <w:t>878</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paras.</w:t>
      </w:r>
      <w:r>
        <w:rPr>
          <w:spacing w:val="-5"/>
          <w:sz w:val="18"/>
        </w:rPr>
        <w:t xml:space="preserve"> </w:t>
      </w:r>
      <w:r>
        <w:rPr>
          <w:sz w:val="18"/>
        </w:rPr>
        <w:t>1872-1885;</w:t>
      </w:r>
      <w:r>
        <w:rPr>
          <w:spacing w:val="-7"/>
          <w:sz w:val="18"/>
        </w:rPr>
        <w:t xml:space="preserve"> </w:t>
      </w:r>
      <w:r>
        <w:rPr>
          <w:sz w:val="18"/>
        </w:rPr>
        <w:t>China's</w:t>
      </w:r>
      <w:r>
        <w:rPr>
          <w:spacing w:val="-2"/>
          <w:sz w:val="18"/>
        </w:rPr>
        <w:t xml:space="preserve"> </w:t>
      </w:r>
      <w:r>
        <w:rPr>
          <w:sz w:val="18"/>
        </w:rPr>
        <w:t>response</w:t>
      </w:r>
      <w:r>
        <w:rPr>
          <w:spacing w:val="-5"/>
          <w:sz w:val="18"/>
        </w:rPr>
        <w:t xml:space="preserve"> </w:t>
      </w:r>
      <w:r>
        <w:rPr>
          <w:sz w:val="18"/>
        </w:rPr>
        <w:t>to</w:t>
      </w:r>
      <w:r>
        <w:rPr>
          <w:spacing w:val="-7"/>
          <w:sz w:val="18"/>
        </w:rPr>
        <w:t xml:space="preserve"> </w:t>
      </w:r>
      <w:r>
        <w:rPr>
          <w:sz w:val="18"/>
        </w:rPr>
        <w:t>panel</w:t>
      </w:r>
      <w:r>
        <w:rPr>
          <w:spacing w:val="-5"/>
          <w:sz w:val="18"/>
        </w:rPr>
        <w:t xml:space="preserve"> </w:t>
      </w:r>
      <w:r>
        <w:rPr>
          <w:sz w:val="18"/>
        </w:rPr>
        <w:t>question</w:t>
      </w:r>
      <w:r>
        <w:rPr>
          <w:spacing w:val="-6"/>
          <w:sz w:val="18"/>
        </w:rPr>
        <w:t xml:space="preserve"> </w:t>
      </w:r>
      <w:r>
        <w:rPr>
          <w:sz w:val="18"/>
        </w:rPr>
        <w:t>No.</w:t>
      </w:r>
      <w:r>
        <w:rPr>
          <w:spacing w:val="-5"/>
          <w:sz w:val="18"/>
        </w:rPr>
        <w:t xml:space="preserve"> </w:t>
      </w:r>
      <w:r>
        <w:rPr>
          <w:sz w:val="18"/>
        </w:rPr>
        <w:t>47,</w:t>
      </w:r>
      <w:r>
        <w:rPr>
          <w:spacing w:val="-4"/>
          <w:sz w:val="18"/>
        </w:rPr>
        <w:t xml:space="preserve"> </w:t>
      </w:r>
      <w:r>
        <w:rPr>
          <w:sz w:val="18"/>
        </w:rPr>
        <w:t>paras. 263-</w:t>
      </w:r>
      <w:r>
        <w:rPr>
          <w:spacing w:val="-4"/>
          <w:sz w:val="18"/>
        </w:rPr>
        <w:t>273.</w:t>
      </w:r>
    </w:p>
    <w:p w14:paraId="6E63C97B" w14:textId="77777777" w:rsidR="00BD462C" w:rsidRDefault="00BD462C">
      <w:pPr>
        <w:rPr>
          <w:sz w:val="18"/>
        </w:rPr>
        <w:sectPr w:rsidR="00BD462C">
          <w:pgSz w:w="11910" w:h="16840"/>
          <w:pgMar w:top="860" w:right="500" w:bottom="780" w:left="1280" w:header="566" w:footer="590" w:gutter="0"/>
          <w:cols w:space="720"/>
        </w:sectPr>
      </w:pPr>
    </w:p>
    <w:p w14:paraId="05357610"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6EFEF962"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46B21FEF"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3A7FED11" w14:textId="77777777" w:rsidR="00BD462C" w:rsidRDefault="00033D0F">
      <w:pPr>
        <w:pStyle w:val="ListParagraph"/>
        <w:numPr>
          <w:ilvl w:val="0"/>
          <w:numId w:val="45"/>
        </w:numPr>
        <w:tabs>
          <w:tab w:val="left" w:pos="1835"/>
          <w:tab w:val="left" w:pos="1836"/>
        </w:tabs>
        <w:spacing w:before="99" w:line="360" w:lineRule="auto"/>
        <w:ind w:right="907" w:hanging="855"/>
        <w:jc w:val="both"/>
        <w:rPr>
          <w:sz w:val="24"/>
        </w:rPr>
      </w:pPr>
      <w:r>
        <w:rPr>
          <w:sz w:val="24"/>
        </w:rPr>
        <w:t>Between 2016 – 2017: The domestic industry's sales of domestic like products</w:t>
      </w:r>
      <w:r>
        <w:rPr>
          <w:spacing w:val="-14"/>
          <w:sz w:val="24"/>
        </w:rPr>
        <w:t xml:space="preserve"> </w:t>
      </w:r>
      <w:r>
        <w:rPr>
          <w:sz w:val="24"/>
        </w:rPr>
        <w:t>declined</w:t>
      </w:r>
      <w:r>
        <w:rPr>
          <w:spacing w:val="-14"/>
          <w:sz w:val="24"/>
        </w:rPr>
        <w:t xml:space="preserve"> </w:t>
      </w:r>
      <w:r>
        <w:rPr>
          <w:sz w:val="24"/>
        </w:rPr>
        <w:t>by</w:t>
      </w:r>
      <w:r>
        <w:rPr>
          <w:spacing w:val="-13"/>
          <w:sz w:val="24"/>
        </w:rPr>
        <w:t xml:space="preserve"> </w:t>
      </w:r>
      <w:r>
        <w:rPr>
          <w:sz w:val="24"/>
        </w:rPr>
        <w:t>-8,500</w:t>
      </w:r>
      <w:r>
        <w:rPr>
          <w:spacing w:val="-14"/>
          <w:sz w:val="24"/>
        </w:rPr>
        <w:t xml:space="preserve"> </w:t>
      </w:r>
      <w:proofErr w:type="spellStart"/>
      <w:r>
        <w:rPr>
          <w:sz w:val="24"/>
        </w:rPr>
        <w:t>kilolitres</w:t>
      </w:r>
      <w:proofErr w:type="spellEnd"/>
      <w:r>
        <w:rPr>
          <w:sz w:val="24"/>
        </w:rPr>
        <w:t>.</w:t>
      </w:r>
      <w:r>
        <w:rPr>
          <w:spacing w:val="-13"/>
          <w:sz w:val="24"/>
        </w:rPr>
        <w:t xml:space="preserve"> </w:t>
      </w:r>
      <w:r>
        <w:rPr>
          <w:sz w:val="24"/>
        </w:rPr>
        <w:t>MOFCOM</w:t>
      </w:r>
      <w:r>
        <w:rPr>
          <w:spacing w:val="-14"/>
          <w:sz w:val="24"/>
        </w:rPr>
        <w:t xml:space="preserve"> </w:t>
      </w:r>
      <w:r>
        <w:rPr>
          <w:sz w:val="24"/>
        </w:rPr>
        <w:t>does</w:t>
      </w:r>
      <w:r>
        <w:rPr>
          <w:spacing w:val="-13"/>
          <w:sz w:val="24"/>
        </w:rPr>
        <w:t xml:space="preserve"> </w:t>
      </w:r>
      <w:r>
        <w:rPr>
          <w:sz w:val="24"/>
        </w:rPr>
        <w:t>not</w:t>
      </w:r>
      <w:r>
        <w:rPr>
          <w:spacing w:val="-14"/>
          <w:sz w:val="24"/>
        </w:rPr>
        <w:t xml:space="preserve"> </w:t>
      </w:r>
      <w:r>
        <w:rPr>
          <w:sz w:val="24"/>
        </w:rPr>
        <w:t>examine</w:t>
      </w:r>
      <w:r>
        <w:rPr>
          <w:spacing w:val="-14"/>
          <w:sz w:val="24"/>
        </w:rPr>
        <w:t xml:space="preserve"> </w:t>
      </w:r>
      <w:r>
        <w:rPr>
          <w:sz w:val="24"/>
        </w:rPr>
        <w:t>or</w:t>
      </w:r>
      <w:r>
        <w:rPr>
          <w:spacing w:val="-13"/>
          <w:sz w:val="24"/>
        </w:rPr>
        <w:t xml:space="preserve"> </w:t>
      </w:r>
      <w:r>
        <w:rPr>
          <w:sz w:val="24"/>
        </w:rPr>
        <w:t xml:space="preserve">explain why this volume decline was caused by the 26,400 </w:t>
      </w:r>
      <w:proofErr w:type="spellStart"/>
      <w:r>
        <w:rPr>
          <w:sz w:val="24"/>
        </w:rPr>
        <w:t>kilolitres</w:t>
      </w:r>
      <w:proofErr w:type="spellEnd"/>
      <w:r>
        <w:rPr>
          <w:sz w:val="24"/>
        </w:rPr>
        <w:t xml:space="preserve"> increase in subject</w:t>
      </w:r>
      <w:r>
        <w:rPr>
          <w:spacing w:val="-6"/>
          <w:sz w:val="24"/>
        </w:rPr>
        <w:t xml:space="preserve"> </w:t>
      </w:r>
      <w:r>
        <w:rPr>
          <w:sz w:val="24"/>
        </w:rPr>
        <w:t>import</w:t>
      </w:r>
      <w:r>
        <w:rPr>
          <w:spacing w:val="-6"/>
          <w:sz w:val="24"/>
        </w:rPr>
        <w:t xml:space="preserve"> </w:t>
      </w:r>
      <w:r>
        <w:rPr>
          <w:sz w:val="24"/>
        </w:rPr>
        <w:t>volumes,</w:t>
      </w:r>
      <w:r>
        <w:rPr>
          <w:spacing w:val="-4"/>
          <w:sz w:val="24"/>
        </w:rPr>
        <w:t xml:space="preserve"> </w:t>
      </w:r>
      <w:r>
        <w:rPr>
          <w:sz w:val="24"/>
        </w:rPr>
        <w:t>as</w:t>
      </w:r>
      <w:r>
        <w:rPr>
          <w:spacing w:val="-5"/>
          <w:sz w:val="24"/>
        </w:rPr>
        <w:t xml:space="preserve"> </w:t>
      </w:r>
      <w:r>
        <w:rPr>
          <w:sz w:val="24"/>
        </w:rPr>
        <w:t>opposed</w:t>
      </w:r>
      <w:r>
        <w:rPr>
          <w:spacing w:val="-8"/>
          <w:sz w:val="24"/>
        </w:rPr>
        <w:t xml:space="preserve"> </w:t>
      </w:r>
      <w:r>
        <w:rPr>
          <w:sz w:val="24"/>
        </w:rPr>
        <w:t>to</w:t>
      </w:r>
      <w:r>
        <w:rPr>
          <w:spacing w:val="-9"/>
          <w:sz w:val="24"/>
        </w:rPr>
        <w:t xml:space="preserve"> </w:t>
      </w:r>
      <w:r>
        <w:rPr>
          <w:sz w:val="24"/>
        </w:rPr>
        <w:t>the</w:t>
      </w:r>
      <w:r>
        <w:rPr>
          <w:spacing w:val="-1"/>
          <w:sz w:val="24"/>
        </w:rPr>
        <w:t xml:space="preserve"> </w:t>
      </w:r>
      <w:r>
        <w:rPr>
          <w:sz w:val="24"/>
        </w:rPr>
        <w:t>44,100</w:t>
      </w:r>
      <w:r>
        <w:rPr>
          <w:spacing w:val="-3"/>
          <w:sz w:val="24"/>
        </w:rPr>
        <w:t xml:space="preserve"> </w:t>
      </w:r>
      <w:proofErr w:type="spellStart"/>
      <w:r>
        <w:rPr>
          <w:sz w:val="24"/>
        </w:rPr>
        <w:t>kilolitres</w:t>
      </w:r>
      <w:proofErr w:type="spellEnd"/>
      <w:r>
        <w:rPr>
          <w:spacing w:val="-5"/>
          <w:sz w:val="24"/>
        </w:rPr>
        <w:t xml:space="preserve"> </w:t>
      </w:r>
      <w:r>
        <w:rPr>
          <w:sz w:val="24"/>
        </w:rPr>
        <w:t>increase</w:t>
      </w:r>
      <w:r>
        <w:rPr>
          <w:spacing w:val="-6"/>
          <w:sz w:val="24"/>
        </w:rPr>
        <w:t xml:space="preserve"> </w:t>
      </w:r>
      <w:r>
        <w:rPr>
          <w:sz w:val="24"/>
        </w:rPr>
        <w:t>in</w:t>
      </w:r>
      <w:r>
        <w:rPr>
          <w:spacing w:val="-8"/>
          <w:sz w:val="24"/>
        </w:rPr>
        <w:t xml:space="preserve"> </w:t>
      </w:r>
      <w:r>
        <w:rPr>
          <w:sz w:val="24"/>
        </w:rPr>
        <w:t>third country</w:t>
      </w:r>
      <w:r>
        <w:rPr>
          <w:spacing w:val="-2"/>
          <w:sz w:val="24"/>
        </w:rPr>
        <w:t xml:space="preserve"> </w:t>
      </w:r>
      <w:r>
        <w:rPr>
          <w:sz w:val="24"/>
        </w:rPr>
        <w:t>imports</w:t>
      </w:r>
      <w:r>
        <w:rPr>
          <w:spacing w:val="-2"/>
          <w:sz w:val="24"/>
        </w:rPr>
        <w:t xml:space="preserve"> </w:t>
      </w:r>
      <w:r>
        <w:rPr>
          <w:sz w:val="24"/>
        </w:rPr>
        <w:t>or</w:t>
      </w:r>
      <w:r>
        <w:rPr>
          <w:spacing w:val="-6"/>
          <w:sz w:val="24"/>
        </w:rPr>
        <w:t xml:space="preserve"> </w:t>
      </w:r>
      <w:r>
        <w:rPr>
          <w:sz w:val="24"/>
        </w:rPr>
        <w:t>the</w:t>
      </w:r>
      <w:r>
        <w:rPr>
          <w:spacing w:val="-4"/>
          <w:sz w:val="24"/>
        </w:rPr>
        <w:t xml:space="preserve"> </w:t>
      </w:r>
      <w:r>
        <w:rPr>
          <w:sz w:val="24"/>
        </w:rPr>
        <w:t>apparent</w:t>
      </w:r>
      <w:r>
        <w:rPr>
          <w:spacing w:val="-3"/>
          <w:sz w:val="24"/>
        </w:rPr>
        <w:t xml:space="preserve"> </w:t>
      </w:r>
      <w:r>
        <w:rPr>
          <w:sz w:val="24"/>
        </w:rPr>
        <w:t>37,500</w:t>
      </w:r>
      <w:r>
        <w:rPr>
          <w:spacing w:val="-5"/>
          <w:sz w:val="24"/>
        </w:rPr>
        <w:t xml:space="preserve"> </w:t>
      </w:r>
      <w:proofErr w:type="spellStart"/>
      <w:r>
        <w:rPr>
          <w:sz w:val="24"/>
        </w:rPr>
        <w:t>kilolitres</w:t>
      </w:r>
      <w:proofErr w:type="spellEnd"/>
      <w:r>
        <w:rPr>
          <w:spacing w:val="-7"/>
          <w:sz w:val="24"/>
        </w:rPr>
        <w:t xml:space="preserve"> </w:t>
      </w:r>
      <w:r>
        <w:rPr>
          <w:sz w:val="24"/>
        </w:rPr>
        <w:t>increase</w:t>
      </w:r>
      <w:r>
        <w:rPr>
          <w:spacing w:val="-3"/>
          <w:sz w:val="24"/>
        </w:rPr>
        <w:t xml:space="preserve"> </w:t>
      </w:r>
      <w:r>
        <w:rPr>
          <w:sz w:val="24"/>
        </w:rPr>
        <w:t>in</w:t>
      </w:r>
      <w:r>
        <w:rPr>
          <w:spacing w:val="-5"/>
          <w:sz w:val="24"/>
        </w:rPr>
        <w:t xml:space="preserve"> </w:t>
      </w:r>
      <w:r>
        <w:rPr>
          <w:sz w:val="24"/>
        </w:rPr>
        <w:t>the</w:t>
      </w:r>
      <w:r>
        <w:rPr>
          <w:spacing w:val="-4"/>
          <w:sz w:val="24"/>
        </w:rPr>
        <w:t xml:space="preserve"> </w:t>
      </w:r>
      <w:r>
        <w:rPr>
          <w:sz w:val="24"/>
        </w:rPr>
        <w:t>production of</w:t>
      </w:r>
      <w:r>
        <w:rPr>
          <w:spacing w:val="-6"/>
          <w:sz w:val="24"/>
        </w:rPr>
        <w:t xml:space="preserve"> </w:t>
      </w:r>
      <w:r>
        <w:rPr>
          <w:sz w:val="24"/>
        </w:rPr>
        <w:t>domestic</w:t>
      </w:r>
      <w:r>
        <w:rPr>
          <w:spacing w:val="-6"/>
          <w:sz w:val="24"/>
        </w:rPr>
        <w:t xml:space="preserve"> </w:t>
      </w:r>
      <w:r>
        <w:rPr>
          <w:sz w:val="24"/>
        </w:rPr>
        <w:t>like</w:t>
      </w:r>
      <w:r>
        <w:rPr>
          <w:spacing w:val="-4"/>
          <w:sz w:val="24"/>
        </w:rPr>
        <w:t xml:space="preserve"> </w:t>
      </w:r>
      <w:r>
        <w:rPr>
          <w:sz w:val="24"/>
        </w:rPr>
        <w:t>products</w:t>
      </w:r>
      <w:r>
        <w:rPr>
          <w:spacing w:val="-2"/>
          <w:sz w:val="24"/>
        </w:rPr>
        <w:t xml:space="preserve"> </w:t>
      </w:r>
      <w:r>
        <w:rPr>
          <w:sz w:val="24"/>
        </w:rPr>
        <w:t>by</w:t>
      </w:r>
      <w:r>
        <w:rPr>
          <w:spacing w:val="-3"/>
          <w:sz w:val="24"/>
        </w:rPr>
        <w:t xml:space="preserve"> </w:t>
      </w:r>
      <w:r>
        <w:rPr>
          <w:sz w:val="24"/>
        </w:rPr>
        <w:t>other</w:t>
      </w:r>
      <w:r>
        <w:rPr>
          <w:spacing w:val="-7"/>
          <w:sz w:val="24"/>
        </w:rPr>
        <w:t xml:space="preserve"> </w:t>
      </w:r>
      <w:r>
        <w:rPr>
          <w:sz w:val="24"/>
        </w:rPr>
        <w:t>Chinese</w:t>
      </w:r>
      <w:r>
        <w:rPr>
          <w:spacing w:val="-4"/>
          <w:sz w:val="24"/>
        </w:rPr>
        <w:t xml:space="preserve"> </w:t>
      </w:r>
      <w:r>
        <w:rPr>
          <w:sz w:val="24"/>
        </w:rPr>
        <w:t>producers</w:t>
      </w:r>
      <w:r>
        <w:rPr>
          <w:spacing w:val="-3"/>
          <w:sz w:val="24"/>
        </w:rPr>
        <w:t xml:space="preserve"> </w:t>
      </w:r>
      <w:r>
        <w:rPr>
          <w:sz w:val="24"/>
        </w:rPr>
        <w:t>(based</w:t>
      </w:r>
      <w:r>
        <w:rPr>
          <w:spacing w:val="-6"/>
          <w:sz w:val="24"/>
        </w:rPr>
        <w:t xml:space="preserve"> </w:t>
      </w:r>
      <w:r>
        <w:rPr>
          <w:sz w:val="24"/>
        </w:rPr>
        <w:t>on</w:t>
      </w:r>
      <w:r>
        <w:rPr>
          <w:spacing w:val="-6"/>
          <w:sz w:val="24"/>
        </w:rPr>
        <w:t xml:space="preserve"> </w:t>
      </w:r>
      <w:r>
        <w:rPr>
          <w:sz w:val="24"/>
        </w:rPr>
        <w:t>MOFCOM's own estimate of total domestic output).</w:t>
      </w:r>
      <w:hyperlink w:anchor="_bookmark1027" w:history="1">
        <w:r>
          <w:rPr>
            <w:sz w:val="24"/>
            <w:vertAlign w:val="superscript"/>
          </w:rPr>
          <w:t>879</w:t>
        </w:r>
      </w:hyperlink>
    </w:p>
    <w:p w14:paraId="58B66577" w14:textId="77777777" w:rsidR="00BD462C" w:rsidRDefault="00033D0F">
      <w:pPr>
        <w:pStyle w:val="ListParagraph"/>
        <w:numPr>
          <w:ilvl w:val="0"/>
          <w:numId w:val="45"/>
        </w:numPr>
        <w:tabs>
          <w:tab w:val="left" w:pos="1835"/>
          <w:tab w:val="left" w:pos="1836"/>
        </w:tabs>
        <w:spacing w:before="117" w:line="360" w:lineRule="auto"/>
        <w:ind w:left="1839" w:right="910" w:hanging="855"/>
        <w:jc w:val="both"/>
        <w:rPr>
          <w:sz w:val="24"/>
        </w:rPr>
      </w:pPr>
      <w:r>
        <w:rPr>
          <w:sz w:val="24"/>
        </w:rPr>
        <w:t>Between</w:t>
      </w:r>
      <w:r>
        <w:rPr>
          <w:spacing w:val="40"/>
          <w:sz w:val="24"/>
        </w:rPr>
        <w:t xml:space="preserve"> </w:t>
      </w:r>
      <w:r>
        <w:rPr>
          <w:sz w:val="24"/>
        </w:rPr>
        <w:t>2017</w:t>
      </w:r>
      <w:r>
        <w:rPr>
          <w:spacing w:val="40"/>
          <w:sz w:val="24"/>
        </w:rPr>
        <w:t xml:space="preserve"> </w:t>
      </w:r>
      <w:r>
        <w:rPr>
          <w:sz w:val="24"/>
        </w:rPr>
        <w:t>-</w:t>
      </w:r>
      <w:r>
        <w:rPr>
          <w:spacing w:val="40"/>
          <w:sz w:val="24"/>
        </w:rPr>
        <w:t xml:space="preserve"> </w:t>
      </w:r>
      <w:r>
        <w:rPr>
          <w:sz w:val="24"/>
        </w:rPr>
        <w:t>2018:</w:t>
      </w:r>
      <w:r>
        <w:rPr>
          <w:spacing w:val="40"/>
          <w:sz w:val="24"/>
        </w:rPr>
        <w:t xml:space="preserve"> </w:t>
      </w:r>
      <w:r>
        <w:rPr>
          <w:sz w:val="24"/>
        </w:rPr>
        <w:t>The</w:t>
      </w:r>
      <w:r>
        <w:rPr>
          <w:spacing w:val="40"/>
          <w:sz w:val="24"/>
        </w:rPr>
        <w:t xml:space="preserve"> </w:t>
      </w:r>
      <w:r>
        <w:rPr>
          <w:sz w:val="24"/>
        </w:rPr>
        <w:t>domestic</w:t>
      </w:r>
      <w:r>
        <w:rPr>
          <w:spacing w:val="40"/>
          <w:sz w:val="24"/>
        </w:rPr>
        <w:t xml:space="preserve"> </w:t>
      </w:r>
      <w:r>
        <w:rPr>
          <w:sz w:val="24"/>
        </w:rPr>
        <w:t>industry's</w:t>
      </w:r>
      <w:r>
        <w:rPr>
          <w:spacing w:val="40"/>
          <w:sz w:val="24"/>
        </w:rPr>
        <w:t xml:space="preserve"> </w:t>
      </w:r>
      <w:r>
        <w:rPr>
          <w:sz w:val="24"/>
        </w:rPr>
        <w:t>sales</w:t>
      </w:r>
      <w:r>
        <w:rPr>
          <w:spacing w:val="40"/>
          <w:sz w:val="24"/>
        </w:rPr>
        <w:t xml:space="preserve"> </w:t>
      </w:r>
      <w:r>
        <w:rPr>
          <w:sz w:val="24"/>
        </w:rPr>
        <w:t>volumes</w:t>
      </w:r>
      <w:r>
        <w:rPr>
          <w:spacing w:val="40"/>
          <w:sz w:val="24"/>
        </w:rPr>
        <w:t xml:space="preserve"> </w:t>
      </w:r>
      <w:r>
        <w:rPr>
          <w:sz w:val="24"/>
        </w:rPr>
        <w:t>declined by -2,200</w:t>
      </w:r>
      <w:r>
        <w:rPr>
          <w:spacing w:val="-2"/>
          <w:sz w:val="24"/>
        </w:rPr>
        <w:t xml:space="preserve"> </w:t>
      </w:r>
      <w:proofErr w:type="spellStart"/>
      <w:r>
        <w:rPr>
          <w:sz w:val="24"/>
        </w:rPr>
        <w:t>kilolitres</w:t>
      </w:r>
      <w:proofErr w:type="spellEnd"/>
      <w:r>
        <w:rPr>
          <w:sz w:val="24"/>
        </w:rPr>
        <w:t>.</w:t>
      </w:r>
      <w:r>
        <w:rPr>
          <w:spacing w:val="-3"/>
          <w:sz w:val="24"/>
        </w:rPr>
        <w:t xml:space="preserve"> </w:t>
      </w:r>
      <w:r>
        <w:rPr>
          <w:sz w:val="24"/>
        </w:rPr>
        <w:t>MOFCOM does not examine or</w:t>
      </w:r>
      <w:r>
        <w:rPr>
          <w:spacing w:val="-2"/>
          <w:sz w:val="24"/>
        </w:rPr>
        <w:t xml:space="preserve"> </w:t>
      </w:r>
      <w:r>
        <w:rPr>
          <w:sz w:val="24"/>
        </w:rPr>
        <w:t>explain</w:t>
      </w:r>
      <w:r>
        <w:rPr>
          <w:spacing w:val="-2"/>
          <w:sz w:val="24"/>
        </w:rPr>
        <w:t xml:space="preserve"> </w:t>
      </w:r>
      <w:r>
        <w:rPr>
          <w:sz w:val="24"/>
        </w:rPr>
        <w:t>why</w:t>
      </w:r>
      <w:r>
        <w:rPr>
          <w:spacing w:val="-3"/>
          <w:sz w:val="24"/>
        </w:rPr>
        <w:t xml:space="preserve"> </w:t>
      </w:r>
      <w:r>
        <w:rPr>
          <w:sz w:val="24"/>
        </w:rPr>
        <w:t xml:space="preserve">this volume decline was caused by the 12,000 </w:t>
      </w:r>
      <w:proofErr w:type="spellStart"/>
      <w:r>
        <w:rPr>
          <w:sz w:val="24"/>
        </w:rPr>
        <w:t>kilolitres</w:t>
      </w:r>
      <w:proofErr w:type="spellEnd"/>
      <w:r>
        <w:rPr>
          <w:sz w:val="24"/>
        </w:rPr>
        <w:t xml:space="preserve"> increase in subject import </w:t>
      </w:r>
      <w:proofErr w:type="gramStart"/>
      <w:r>
        <w:rPr>
          <w:sz w:val="24"/>
        </w:rPr>
        <w:t>volumes,</w:t>
      </w:r>
      <w:r>
        <w:rPr>
          <w:spacing w:val="80"/>
          <w:w w:val="150"/>
          <w:sz w:val="24"/>
        </w:rPr>
        <w:t xml:space="preserve">  </w:t>
      </w:r>
      <w:r>
        <w:rPr>
          <w:sz w:val="24"/>
        </w:rPr>
        <w:t>considering</w:t>
      </w:r>
      <w:proofErr w:type="gramEnd"/>
      <w:r>
        <w:rPr>
          <w:spacing w:val="80"/>
          <w:w w:val="150"/>
          <w:sz w:val="24"/>
        </w:rPr>
        <w:t xml:space="preserve">  </w:t>
      </w:r>
      <w:r>
        <w:rPr>
          <w:sz w:val="24"/>
        </w:rPr>
        <w:t>that</w:t>
      </w:r>
      <w:r>
        <w:rPr>
          <w:spacing w:val="80"/>
          <w:w w:val="150"/>
          <w:sz w:val="24"/>
        </w:rPr>
        <w:t xml:space="preserve">  </w:t>
      </w:r>
      <w:r>
        <w:rPr>
          <w:sz w:val="24"/>
        </w:rPr>
        <w:t>apparent</w:t>
      </w:r>
      <w:r>
        <w:rPr>
          <w:spacing w:val="80"/>
          <w:w w:val="150"/>
          <w:sz w:val="24"/>
        </w:rPr>
        <w:t xml:space="preserve">  </w:t>
      </w:r>
      <w:r>
        <w:rPr>
          <w:sz w:val="24"/>
        </w:rPr>
        <w:t>consumption</w:t>
      </w:r>
      <w:r>
        <w:rPr>
          <w:spacing w:val="80"/>
          <w:w w:val="150"/>
          <w:sz w:val="24"/>
        </w:rPr>
        <w:t xml:space="preserve">  </w:t>
      </w:r>
      <w:r>
        <w:rPr>
          <w:sz w:val="24"/>
        </w:rPr>
        <w:t>contracted by -64,100</w:t>
      </w:r>
      <w:r>
        <w:rPr>
          <w:spacing w:val="-2"/>
          <w:sz w:val="24"/>
        </w:rPr>
        <w:t xml:space="preserve"> </w:t>
      </w:r>
      <w:r>
        <w:rPr>
          <w:sz w:val="24"/>
        </w:rPr>
        <w:t>kilolitres,</w:t>
      </w:r>
      <w:hyperlink w:anchor="_bookmark1028" w:history="1">
        <w:r>
          <w:rPr>
            <w:sz w:val="24"/>
            <w:vertAlign w:val="superscript"/>
          </w:rPr>
          <w:t>880</w:t>
        </w:r>
      </w:hyperlink>
      <w:r>
        <w:rPr>
          <w:sz w:val="24"/>
        </w:rPr>
        <w:t xml:space="preserve"> third country imports declined by -55,600 </w:t>
      </w:r>
      <w:proofErr w:type="spellStart"/>
      <w:r>
        <w:rPr>
          <w:sz w:val="24"/>
        </w:rPr>
        <w:t>kilolitres</w:t>
      </w:r>
      <w:proofErr w:type="spellEnd"/>
      <w:r>
        <w:rPr>
          <w:sz w:val="24"/>
        </w:rPr>
        <w:t xml:space="preserve"> and</w:t>
      </w:r>
      <w:r>
        <w:rPr>
          <w:spacing w:val="80"/>
          <w:sz w:val="24"/>
        </w:rPr>
        <w:t xml:space="preserve">  </w:t>
      </w:r>
      <w:r>
        <w:rPr>
          <w:sz w:val="24"/>
        </w:rPr>
        <w:t>the</w:t>
      </w:r>
      <w:r>
        <w:rPr>
          <w:spacing w:val="80"/>
          <w:sz w:val="24"/>
        </w:rPr>
        <w:t xml:space="preserve">  </w:t>
      </w:r>
      <w:r>
        <w:rPr>
          <w:sz w:val="24"/>
        </w:rPr>
        <w:t>output</w:t>
      </w:r>
      <w:r>
        <w:rPr>
          <w:spacing w:val="80"/>
          <w:sz w:val="24"/>
        </w:rPr>
        <w:t xml:space="preserve">  </w:t>
      </w:r>
      <w:r>
        <w:rPr>
          <w:sz w:val="24"/>
        </w:rPr>
        <w:t>volume</w:t>
      </w:r>
      <w:r>
        <w:rPr>
          <w:spacing w:val="80"/>
          <w:sz w:val="24"/>
        </w:rPr>
        <w:t xml:space="preserve">  </w:t>
      </w:r>
      <w:r>
        <w:rPr>
          <w:sz w:val="24"/>
        </w:rPr>
        <w:t>other</w:t>
      </w:r>
      <w:r>
        <w:rPr>
          <w:spacing w:val="80"/>
          <w:sz w:val="24"/>
        </w:rPr>
        <w:t xml:space="preserve">  </w:t>
      </w:r>
      <w:r>
        <w:rPr>
          <w:sz w:val="24"/>
        </w:rPr>
        <w:t>Chinese</w:t>
      </w:r>
      <w:r>
        <w:rPr>
          <w:spacing w:val="80"/>
          <w:sz w:val="24"/>
        </w:rPr>
        <w:t xml:space="preserve">  </w:t>
      </w:r>
      <w:r>
        <w:rPr>
          <w:sz w:val="24"/>
        </w:rPr>
        <w:t>producers</w:t>
      </w:r>
      <w:r>
        <w:rPr>
          <w:spacing w:val="80"/>
          <w:sz w:val="24"/>
        </w:rPr>
        <w:t xml:space="preserve">  </w:t>
      </w:r>
      <w:r>
        <w:rPr>
          <w:sz w:val="24"/>
        </w:rPr>
        <w:t>declined</w:t>
      </w:r>
      <w:r>
        <w:rPr>
          <w:spacing w:val="80"/>
          <w:sz w:val="24"/>
        </w:rPr>
        <w:t xml:space="preserve"> </w:t>
      </w:r>
      <w:r>
        <w:rPr>
          <w:sz w:val="24"/>
        </w:rPr>
        <w:t xml:space="preserve">by -13,300 </w:t>
      </w:r>
      <w:proofErr w:type="spellStart"/>
      <w:r>
        <w:rPr>
          <w:sz w:val="24"/>
        </w:rPr>
        <w:t>kilolitres</w:t>
      </w:r>
      <w:proofErr w:type="spellEnd"/>
      <w:r>
        <w:rPr>
          <w:sz w:val="24"/>
        </w:rPr>
        <w:t>.</w:t>
      </w:r>
    </w:p>
    <w:p w14:paraId="685F5A39" w14:textId="77777777" w:rsidR="00BD462C" w:rsidRDefault="00033D0F">
      <w:pPr>
        <w:pStyle w:val="ListParagraph"/>
        <w:numPr>
          <w:ilvl w:val="0"/>
          <w:numId w:val="45"/>
        </w:numPr>
        <w:tabs>
          <w:tab w:val="left" w:pos="1835"/>
          <w:tab w:val="left" w:pos="1836"/>
        </w:tabs>
        <w:spacing w:before="122" w:line="360" w:lineRule="auto"/>
        <w:ind w:right="911" w:hanging="855"/>
        <w:jc w:val="both"/>
        <w:rPr>
          <w:sz w:val="24"/>
        </w:rPr>
      </w:pPr>
      <w:r>
        <w:rPr>
          <w:sz w:val="24"/>
        </w:rPr>
        <w:t>Between</w:t>
      </w:r>
      <w:r>
        <w:rPr>
          <w:spacing w:val="80"/>
          <w:w w:val="150"/>
          <w:sz w:val="24"/>
        </w:rPr>
        <w:t xml:space="preserve"> </w:t>
      </w:r>
      <w:r>
        <w:rPr>
          <w:sz w:val="24"/>
        </w:rPr>
        <w:t>2018</w:t>
      </w:r>
      <w:r>
        <w:rPr>
          <w:spacing w:val="80"/>
          <w:w w:val="150"/>
          <w:sz w:val="24"/>
        </w:rPr>
        <w:t xml:space="preserve"> </w:t>
      </w:r>
      <w:proofErr w:type="gramStart"/>
      <w:r>
        <w:rPr>
          <w:sz w:val="24"/>
        </w:rPr>
        <w:t>–</w:t>
      </w:r>
      <w:r>
        <w:rPr>
          <w:spacing w:val="40"/>
          <w:sz w:val="24"/>
        </w:rPr>
        <w:t xml:space="preserve">  </w:t>
      </w:r>
      <w:r>
        <w:rPr>
          <w:sz w:val="24"/>
        </w:rPr>
        <w:t>2019</w:t>
      </w:r>
      <w:proofErr w:type="gramEnd"/>
      <w:r>
        <w:rPr>
          <w:sz w:val="24"/>
        </w:rPr>
        <w:t>:</w:t>
      </w:r>
      <w:r>
        <w:rPr>
          <w:spacing w:val="40"/>
          <w:sz w:val="24"/>
        </w:rPr>
        <w:t xml:space="preserve">  </w:t>
      </w:r>
      <w:r>
        <w:rPr>
          <w:sz w:val="24"/>
        </w:rPr>
        <w:t>The</w:t>
      </w:r>
      <w:r>
        <w:rPr>
          <w:spacing w:val="40"/>
          <w:sz w:val="24"/>
        </w:rPr>
        <w:t xml:space="preserve">  </w:t>
      </w:r>
      <w:r>
        <w:rPr>
          <w:sz w:val="24"/>
        </w:rPr>
        <w:t>domestic</w:t>
      </w:r>
      <w:r>
        <w:rPr>
          <w:spacing w:val="80"/>
          <w:w w:val="150"/>
          <w:sz w:val="24"/>
        </w:rPr>
        <w:t xml:space="preserve"> </w:t>
      </w:r>
      <w:r>
        <w:rPr>
          <w:sz w:val="24"/>
        </w:rPr>
        <w:t>industry</w:t>
      </w:r>
      <w:r>
        <w:rPr>
          <w:spacing w:val="40"/>
          <w:sz w:val="24"/>
        </w:rPr>
        <w:t xml:space="preserve">  </w:t>
      </w:r>
      <w:r>
        <w:rPr>
          <w:sz w:val="24"/>
        </w:rPr>
        <w:t>volumes</w:t>
      </w:r>
      <w:r>
        <w:rPr>
          <w:spacing w:val="40"/>
          <w:sz w:val="24"/>
        </w:rPr>
        <w:t xml:space="preserve">  </w:t>
      </w:r>
      <w:r>
        <w:rPr>
          <w:sz w:val="24"/>
        </w:rPr>
        <w:t>declined by</w:t>
      </w:r>
      <w:r>
        <w:rPr>
          <w:spacing w:val="80"/>
          <w:sz w:val="24"/>
        </w:rPr>
        <w:t xml:space="preserve"> </w:t>
      </w:r>
      <w:r>
        <w:rPr>
          <w:sz w:val="24"/>
        </w:rPr>
        <w:t>-34,700</w:t>
      </w:r>
      <w:r>
        <w:rPr>
          <w:spacing w:val="-1"/>
          <w:sz w:val="24"/>
        </w:rPr>
        <w:t xml:space="preserve"> </w:t>
      </w:r>
      <w:proofErr w:type="spellStart"/>
      <w:r>
        <w:rPr>
          <w:sz w:val="24"/>
        </w:rPr>
        <w:t>kilolitres</w:t>
      </w:r>
      <w:proofErr w:type="spellEnd"/>
      <w:r>
        <w:rPr>
          <w:spacing w:val="80"/>
          <w:sz w:val="24"/>
        </w:rPr>
        <w:t xml:space="preserve"> </w:t>
      </w:r>
      <w:r>
        <w:rPr>
          <w:sz w:val="24"/>
        </w:rPr>
        <w:t>and</w:t>
      </w:r>
      <w:r>
        <w:rPr>
          <w:spacing w:val="80"/>
          <w:sz w:val="24"/>
        </w:rPr>
        <w:t xml:space="preserve"> </w:t>
      </w:r>
      <w:r>
        <w:rPr>
          <w:sz w:val="24"/>
        </w:rPr>
        <w:t>subject</w:t>
      </w:r>
      <w:r>
        <w:rPr>
          <w:spacing w:val="80"/>
          <w:sz w:val="24"/>
        </w:rPr>
        <w:t xml:space="preserve"> </w:t>
      </w:r>
      <w:r>
        <w:rPr>
          <w:sz w:val="24"/>
        </w:rPr>
        <w:t>import</w:t>
      </w:r>
      <w:r>
        <w:rPr>
          <w:spacing w:val="80"/>
          <w:sz w:val="24"/>
        </w:rPr>
        <w:t xml:space="preserve"> </w:t>
      </w:r>
      <w:r>
        <w:rPr>
          <w:sz w:val="24"/>
        </w:rPr>
        <w:t>volumes</w:t>
      </w:r>
      <w:r>
        <w:rPr>
          <w:spacing w:val="80"/>
          <w:sz w:val="24"/>
        </w:rPr>
        <w:t xml:space="preserve"> </w:t>
      </w:r>
      <w:r>
        <w:rPr>
          <w:sz w:val="24"/>
        </w:rPr>
        <w:t>increased</w:t>
      </w:r>
      <w:r>
        <w:rPr>
          <w:spacing w:val="80"/>
          <w:sz w:val="24"/>
        </w:rPr>
        <w:t xml:space="preserve"> </w:t>
      </w:r>
      <w:r>
        <w:rPr>
          <w:sz w:val="24"/>
        </w:rPr>
        <w:t>by</w:t>
      </w:r>
      <w:r>
        <w:rPr>
          <w:spacing w:val="80"/>
          <w:sz w:val="24"/>
        </w:rPr>
        <w:t xml:space="preserve"> </w:t>
      </w:r>
      <w:r>
        <w:rPr>
          <w:sz w:val="24"/>
        </w:rPr>
        <w:t>just 3,000</w:t>
      </w:r>
      <w:r>
        <w:rPr>
          <w:spacing w:val="-5"/>
          <w:sz w:val="24"/>
        </w:rPr>
        <w:t xml:space="preserve"> </w:t>
      </w:r>
      <w:proofErr w:type="spellStart"/>
      <w:r>
        <w:rPr>
          <w:sz w:val="24"/>
        </w:rPr>
        <w:t>kilolitres</w:t>
      </w:r>
      <w:proofErr w:type="spellEnd"/>
      <w:r>
        <w:rPr>
          <w:sz w:val="24"/>
        </w:rPr>
        <w:t xml:space="preserve">. MOFCOM's analysis does not include any consideration of what caused the additional 31,700 </w:t>
      </w:r>
      <w:proofErr w:type="spellStart"/>
      <w:r>
        <w:rPr>
          <w:sz w:val="24"/>
        </w:rPr>
        <w:t>kilolitre</w:t>
      </w:r>
      <w:proofErr w:type="spellEnd"/>
      <w:r>
        <w:rPr>
          <w:sz w:val="24"/>
        </w:rPr>
        <w:t xml:space="preserve"> decline in domestic industry </w:t>
      </w:r>
      <w:r>
        <w:rPr>
          <w:spacing w:val="-2"/>
          <w:sz w:val="24"/>
        </w:rPr>
        <w:t>volumes.</w:t>
      </w:r>
    </w:p>
    <w:p w14:paraId="2D152E4D" w14:textId="77777777" w:rsidR="00BD462C" w:rsidRDefault="00BD462C">
      <w:pPr>
        <w:pStyle w:val="BodyText"/>
        <w:rPr>
          <w:sz w:val="20"/>
        </w:rPr>
      </w:pPr>
    </w:p>
    <w:p w14:paraId="209E018A" w14:textId="77777777" w:rsidR="00BD462C" w:rsidRDefault="00BD462C">
      <w:pPr>
        <w:pStyle w:val="BodyText"/>
        <w:rPr>
          <w:sz w:val="20"/>
        </w:rPr>
      </w:pPr>
    </w:p>
    <w:p w14:paraId="68ADBC22" w14:textId="77777777" w:rsidR="00BD462C" w:rsidRDefault="00BD462C">
      <w:pPr>
        <w:pStyle w:val="BodyText"/>
        <w:rPr>
          <w:sz w:val="20"/>
        </w:rPr>
      </w:pPr>
    </w:p>
    <w:p w14:paraId="6C175C9C" w14:textId="77777777" w:rsidR="00BD462C" w:rsidRDefault="00BD462C">
      <w:pPr>
        <w:pStyle w:val="BodyText"/>
        <w:rPr>
          <w:sz w:val="20"/>
        </w:rPr>
      </w:pPr>
    </w:p>
    <w:p w14:paraId="5748BAF7" w14:textId="77777777" w:rsidR="00BD462C" w:rsidRDefault="00BD462C">
      <w:pPr>
        <w:pStyle w:val="BodyText"/>
        <w:rPr>
          <w:sz w:val="20"/>
        </w:rPr>
      </w:pPr>
    </w:p>
    <w:p w14:paraId="1C397DF5" w14:textId="77777777" w:rsidR="00BD462C" w:rsidRDefault="00BD462C">
      <w:pPr>
        <w:pStyle w:val="BodyText"/>
        <w:rPr>
          <w:sz w:val="20"/>
        </w:rPr>
      </w:pPr>
    </w:p>
    <w:p w14:paraId="64A1ECE1" w14:textId="77777777" w:rsidR="00BD462C" w:rsidRDefault="00BD462C">
      <w:pPr>
        <w:pStyle w:val="BodyText"/>
        <w:rPr>
          <w:sz w:val="20"/>
        </w:rPr>
      </w:pPr>
    </w:p>
    <w:p w14:paraId="33095B84" w14:textId="77777777" w:rsidR="00BD462C" w:rsidRDefault="00BD462C">
      <w:pPr>
        <w:pStyle w:val="BodyText"/>
        <w:rPr>
          <w:sz w:val="20"/>
        </w:rPr>
      </w:pPr>
    </w:p>
    <w:p w14:paraId="0908A063" w14:textId="77777777" w:rsidR="00BD462C" w:rsidRDefault="00BD462C">
      <w:pPr>
        <w:pStyle w:val="BodyText"/>
        <w:rPr>
          <w:sz w:val="20"/>
        </w:rPr>
      </w:pPr>
    </w:p>
    <w:p w14:paraId="2AFDA9BE" w14:textId="77777777" w:rsidR="00BD462C" w:rsidRDefault="00BD462C">
      <w:pPr>
        <w:pStyle w:val="BodyText"/>
        <w:rPr>
          <w:sz w:val="20"/>
        </w:rPr>
      </w:pPr>
    </w:p>
    <w:p w14:paraId="6065A534" w14:textId="77777777" w:rsidR="00BD462C" w:rsidRDefault="00BD462C">
      <w:pPr>
        <w:pStyle w:val="BodyText"/>
        <w:rPr>
          <w:sz w:val="20"/>
        </w:rPr>
      </w:pPr>
    </w:p>
    <w:p w14:paraId="367FAB29" w14:textId="77777777" w:rsidR="00BD462C" w:rsidRDefault="00BD462C">
      <w:pPr>
        <w:pStyle w:val="BodyText"/>
        <w:rPr>
          <w:sz w:val="20"/>
        </w:rPr>
      </w:pPr>
    </w:p>
    <w:p w14:paraId="5AD6139E" w14:textId="2EFE45F5" w:rsidR="00BD462C" w:rsidRDefault="00752F01">
      <w:pPr>
        <w:pStyle w:val="BodyText"/>
        <w:rPr>
          <w:sz w:val="20"/>
        </w:rPr>
      </w:pPr>
      <w:r>
        <w:rPr>
          <w:noProof/>
        </w:rPr>
        <mc:AlternateContent>
          <mc:Choice Requires="wps">
            <w:drawing>
              <wp:anchor distT="0" distB="0" distL="0" distR="0" simplePos="0" relativeHeight="488225280" behindDoc="1" locked="0" layoutInCell="1" allowOverlap="1" wp14:anchorId="03A77A15" wp14:editId="6BCE8BF6">
                <wp:simplePos x="0" y="0"/>
                <wp:positionH relativeFrom="page">
                  <wp:posOffset>812800</wp:posOffset>
                </wp:positionH>
                <wp:positionV relativeFrom="paragraph">
                  <wp:posOffset>302260</wp:posOffset>
                </wp:positionV>
                <wp:extent cx="1828800" cy="8890"/>
                <wp:effectExtent l="0" t="0" r="0" b="0"/>
                <wp:wrapTopAndBottom/>
                <wp:docPr id="201" name="docshape6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B75400" id="docshape664" o:spid="_x0000_s1026" alt="&quot;&quot;" style="position:absolute;margin-left:64pt;margin-top:23.8pt;width:2in;height:.7pt;z-index:-15091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" fillcolor="black" stroked="f">
                <w10:wrap type="topAndBottom" anchorx="page"/>
              </v:rect>
            </w:pict>
          </mc:Fallback>
        </mc:AlternateContent>
      </w:r>
    </w:p>
    <w:p w14:paraId="61BB786D" w14:textId="7A9B32F1" w:rsidR="00BD462C" w:rsidRDefault="00BD462C">
      <w:pPr>
        <w:pStyle w:val="BodyText"/>
        <w:spacing w:before="8"/>
        <w:rPr>
          <w:sz w:val="18"/>
        </w:rPr>
      </w:pPr>
    </w:p>
    <w:p w14:paraId="7007DA3E" w14:textId="77777777" w:rsidR="00BD462C" w:rsidRDefault="00033D0F">
      <w:pPr>
        <w:spacing w:before="112"/>
        <w:ind w:left="136" w:right="907" w:hanging="1"/>
        <w:jc w:val="both"/>
        <w:rPr>
          <w:sz w:val="18"/>
        </w:rPr>
      </w:pPr>
      <w:bookmarkStart w:id="1192" w:name="_bookmark1027"/>
      <w:bookmarkEnd w:id="1192"/>
      <w:r>
        <w:rPr>
          <w:position w:val="5"/>
          <w:sz w:val="12"/>
        </w:rPr>
        <w:t>879</w:t>
      </w:r>
      <w:r>
        <w:rPr>
          <w:spacing w:val="21"/>
          <w:position w:val="5"/>
          <w:sz w:val="12"/>
        </w:rPr>
        <w:t xml:space="preserve"> </w:t>
      </w:r>
      <w:r>
        <w:rPr>
          <w:sz w:val="18"/>
        </w:rPr>
        <w:t xml:space="preserve">Australia does not have access to sales volume data for the other Chinese domestic producers. As a result, Australia has calculated the output volumes of the other Chinese domestic producers, using MOFCOM's "total national output" estimate and export figures. For a description of the calculation and data relied on, see footnote </w:t>
      </w:r>
      <w:hyperlink w:anchor="_bookmark1030" w:history="1">
        <w:r>
          <w:rPr>
            <w:sz w:val="18"/>
          </w:rPr>
          <w:t>883.</w:t>
        </w:r>
      </w:hyperlink>
      <w:r>
        <w:rPr>
          <w:sz w:val="18"/>
        </w:rPr>
        <w:t xml:space="preserve"> As set out elsewhere in this submission, Australia</w:t>
      </w:r>
      <w:r>
        <w:rPr>
          <w:spacing w:val="-5"/>
          <w:sz w:val="18"/>
        </w:rPr>
        <w:t xml:space="preserve"> </w:t>
      </w:r>
      <w:r>
        <w:rPr>
          <w:sz w:val="18"/>
        </w:rPr>
        <w:t>does not accept</w:t>
      </w:r>
      <w:r>
        <w:rPr>
          <w:spacing w:val="-3"/>
          <w:sz w:val="18"/>
        </w:rPr>
        <w:t xml:space="preserve"> </w:t>
      </w:r>
      <w:r>
        <w:rPr>
          <w:sz w:val="18"/>
        </w:rPr>
        <w:t>the accuracy of</w:t>
      </w:r>
      <w:r>
        <w:rPr>
          <w:spacing w:val="-2"/>
          <w:sz w:val="18"/>
        </w:rPr>
        <w:t xml:space="preserve"> </w:t>
      </w:r>
      <w:r>
        <w:rPr>
          <w:sz w:val="18"/>
        </w:rPr>
        <w:t>MOFCOM's</w:t>
      </w:r>
      <w:r>
        <w:rPr>
          <w:spacing w:val="-8"/>
          <w:sz w:val="18"/>
        </w:rPr>
        <w:t xml:space="preserve"> </w:t>
      </w:r>
      <w:r>
        <w:rPr>
          <w:sz w:val="18"/>
        </w:rPr>
        <w:t>estimate</w:t>
      </w:r>
      <w:r>
        <w:rPr>
          <w:spacing w:val="-3"/>
          <w:sz w:val="18"/>
        </w:rPr>
        <w:t xml:space="preserve"> </w:t>
      </w:r>
      <w:r>
        <w:rPr>
          <w:sz w:val="18"/>
        </w:rPr>
        <w:t>of</w:t>
      </w:r>
      <w:r>
        <w:rPr>
          <w:spacing w:val="-2"/>
          <w:sz w:val="18"/>
        </w:rPr>
        <w:t xml:space="preserve"> </w:t>
      </w:r>
      <w:r>
        <w:rPr>
          <w:sz w:val="18"/>
        </w:rPr>
        <w:t>total</w:t>
      </w:r>
      <w:r>
        <w:rPr>
          <w:spacing w:val="-2"/>
          <w:sz w:val="18"/>
        </w:rPr>
        <w:t xml:space="preserve"> </w:t>
      </w:r>
      <w:r>
        <w:rPr>
          <w:sz w:val="18"/>
        </w:rPr>
        <w:t>national output.</w:t>
      </w:r>
      <w:r>
        <w:rPr>
          <w:spacing w:val="-2"/>
          <w:sz w:val="18"/>
        </w:rPr>
        <w:t xml:space="preserve"> </w:t>
      </w:r>
      <w:r>
        <w:rPr>
          <w:sz w:val="18"/>
        </w:rPr>
        <w:t>However,</w:t>
      </w:r>
      <w:r>
        <w:rPr>
          <w:spacing w:val="-1"/>
          <w:sz w:val="18"/>
        </w:rPr>
        <w:t xml:space="preserve"> </w:t>
      </w:r>
      <w:r>
        <w:rPr>
          <w:sz w:val="18"/>
        </w:rPr>
        <w:t>evidence that was</w:t>
      </w:r>
      <w:r>
        <w:rPr>
          <w:spacing w:val="-11"/>
          <w:sz w:val="18"/>
        </w:rPr>
        <w:t xml:space="preserve"> </w:t>
      </w:r>
      <w:r>
        <w:rPr>
          <w:sz w:val="18"/>
        </w:rPr>
        <w:t>before</w:t>
      </w:r>
      <w:r>
        <w:rPr>
          <w:spacing w:val="-10"/>
          <w:sz w:val="18"/>
        </w:rPr>
        <w:t xml:space="preserve"> </w:t>
      </w:r>
      <w:r>
        <w:rPr>
          <w:sz w:val="18"/>
        </w:rPr>
        <w:t>MOFCOM</w:t>
      </w:r>
      <w:r>
        <w:rPr>
          <w:spacing w:val="-10"/>
          <w:sz w:val="18"/>
        </w:rPr>
        <w:t xml:space="preserve"> </w:t>
      </w:r>
      <w:r>
        <w:rPr>
          <w:sz w:val="18"/>
        </w:rPr>
        <w:t>that</w:t>
      </w:r>
      <w:r>
        <w:rPr>
          <w:spacing w:val="-10"/>
          <w:sz w:val="18"/>
        </w:rPr>
        <w:t xml:space="preserve"> </w:t>
      </w:r>
      <w:r>
        <w:rPr>
          <w:sz w:val="18"/>
        </w:rPr>
        <w:t>shows</w:t>
      </w:r>
      <w:r>
        <w:rPr>
          <w:spacing w:val="-10"/>
          <w:sz w:val="18"/>
        </w:rPr>
        <w:t xml:space="preserve"> </w:t>
      </w:r>
      <w:r>
        <w:rPr>
          <w:sz w:val="18"/>
        </w:rPr>
        <w:t>that</w:t>
      </w:r>
      <w:r>
        <w:rPr>
          <w:spacing w:val="-11"/>
          <w:sz w:val="18"/>
        </w:rPr>
        <w:t xml:space="preserve"> </w:t>
      </w:r>
      <w:r>
        <w:rPr>
          <w:sz w:val="18"/>
        </w:rPr>
        <w:t>yearly</w:t>
      </w:r>
      <w:r>
        <w:rPr>
          <w:spacing w:val="-10"/>
          <w:sz w:val="18"/>
        </w:rPr>
        <w:t xml:space="preserve"> </w:t>
      </w:r>
      <w:r>
        <w:rPr>
          <w:sz w:val="18"/>
        </w:rPr>
        <w:t>output</w:t>
      </w:r>
      <w:r>
        <w:rPr>
          <w:spacing w:val="-10"/>
          <w:sz w:val="18"/>
        </w:rPr>
        <w:t xml:space="preserve"> </w:t>
      </w:r>
      <w:r>
        <w:rPr>
          <w:sz w:val="18"/>
        </w:rPr>
        <w:t>volumes</w:t>
      </w:r>
      <w:r>
        <w:rPr>
          <w:spacing w:val="-10"/>
          <w:sz w:val="18"/>
        </w:rPr>
        <w:t xml:space="preserve"> </w:t>
      </w:r>
      <w:r>
        <w:rPr>
          <w:sz w:val="18"/>
        </w:rPr>
        <w:t>of</w:t>
      </w:r>
      <w:r>
        <w:rPr>
          <w:spacing w:val="-10"/>
          <w:sz w:val="18"/>
        </w:rPr>
        <w:t xml:space="preserve"> </w:t>
      </w:r>
      <w:r>
        <w:rPr>
          <w:sz w:val="18"/>
        </w:rPr>
        <w:t>the</w:t>
      </w:r>
      <w:r>
        <w:rPr>
          <w:spacing w:val="-10"/>
          <w:sz w:val="18"/>
        </w:rPr>
        <w:t xml:space="preserve"> </w:t>
      </w:r>
      <w:r>
        <w:rPr>
          <w:sz w:val="18"/>
        </w:rPr>
        <w:t>other</w:t>
      </w:r>
      <w:r>
        <w:rPr>
          <w:spacing w:val="-11"/>
          <w:sz w:val="18"/>
        </w:rPr>
        <w:t xml:space="preserve"> </w:t>
      </w:r>
      <w:r>
        <w:rPr>
          <w:sz w:val="18"/>
        </w:rPr>
        <w:t>Chinese</w:t>
      </w:r>
      <w:r>
        <w:rPr>
          <w:spacing w:val="-10"/>
          <w:sz w:val="18"/>
        </w:rPr>
        <w:t xml:space="preserve"> </w:t>
      </w:r>
      <w:r>
        <w:rPr>
          <w:sz w:val="18"/>
        </w:rPr>
        <w:t>producers</w:t>
      </w:r>
      <w:r>
        <w:rPr>
          <w:spacing w:val="-10"/>
          <w:sz w:val="18"/>
        </w:rPr>
        <w:t xml:space="preserve"> </w:t>
      </w:r>
      <w:r>
        <w:rPr>
          <w:sz w:val="18"/>
        </w:rPr>
        <w:t>exhibited</w:t>
      </w:r>
      <w:r>
        <w:rPr>
          <w:spacing w:val="-10"/>
          <w:sz w:val="18"/>
        </w:rPr>
        <w:t xml:space="preserve"> </w:t>
      </w:r>
      <w:r>
        <w:rPr>
          <w:sz w:val="18"/>
        </w:rPr>
        <w:t>a</w:t>
      </w:r>
      <w:r>
        <w:rPr>
          <w:spacing w:val="-10"/>
          <w:sz w:val="18"/>
        </w:rPr>
        <w:t xml:space="preserve"> </w:t>
      </w:r>
      <w:r>
        <w:rPr>
          <w:sz w:val="18"/>
        </w:rPr>
        <w:t>dramatically</w:t>
      </w:r>
      <w:r>
        <w:rPr>
          <w:spacing w:val="-10"/>
          <w:sz w:val="18"/>
        </w:rPr>
        <w:t xml:space="preserve"> </w:t>
      </w:r>
      <w:r>
        <w:rPr>
          <w:sz w:val="18"/>
        </w:rPr>
        <w:t>different trend to that shown in the sales volumes of the Chinese domestic industry. MOFCOM did not consider this evidence.</w:t>
      </w:r>
    </w:p>
    <w:p w14:paraId="784C64E5" w14:textId="77777777" w:rsidR="00BD462C" w:rsidRDefault="00033D0F">
      <w:pPr>
        <w:spacing w:before="1"/>
        <w:ind w:left="135"/>
        <w:jc w:val="both"/>
        <w:rPr>
          <w:sz w:val="18"/>
        </w:rPr>
      </w:pPr>
      <w:bookmarkStart w:id="1193" w:name="_bookmark1028"/>
      <w:bookmarkEnd w:id="1193"/>
      <w:r>
        <w:rPr>
          <w:position w:val="5"/>
          <w:sz w:val="12"/>
        </w:rPr>
        <w:t>880</w:t>
      </w:r>
      <w:r>
        <w:rPr>
          <w:spacing w:val="12"/>
          <w:position w:val="5"/>
          <w:sz w:val="12"/>
        </w:rPr>
        <w:t xml:space="preserve"> </w:t>
      </w:r>
      <w:r>
        <w:rPr>
          <w:sz w:val="18"/>
        </w:rPr>
        <w:t>Anti-Dumping</w:t>
      </w:r>
      <w:r>
        <w:rPr>
          <w:spacing w:val="-7"/>
          <w:sz w:val="18"/>
        </w:rPr>
        <w:t xml:space="preserve"> </w:t>
      </w:r>
      <w:r>
        <w:rPr>
          <w:sz w:val="18"/>
        </w:rPr>
        <w:t>Final</w:t>
      </w:r>
      <w:r>
        <w:rPr>
          <w:spacing w:val="-2"/>
          <w:sz w:val="18"/>
        </w:rPr>
        <w:t xml:space="preserve"> </w:t>
      </w:r>
      <w:r>
        <w:rPr>
          <w:sz w:val="18"/>
        </w:rPr>
        <w:t>Determination</w:t>
      </w:r>
      <w:r>
        <w:rPr>
          <w:spacing w:val="-6"/>
          <w:sz w:val="18"/>
        </w:rPr>
        <w:t xml:space="preserve"> </w:t>
      </w:r>
      <w:r>
        <w:rPr>
          <w:sz w:val="18"/>
        </w:rPr>
        <w:t>(Exhibit</w:t>
      </w:r>
      <w:r>
        <w:rPr>
          <w:spacing w:val="-2"/>
          <w:sz w:val="18"/>
        </w:rPr>
        <w:t xml:space="preserve"> </w:t>
      </w:r>
      <w:r>
        <w:rPr>
          <w:sz w:val="18"/>
        </w:rPr>
        <w:t>AUS-2),</w:t>
      </w:r>
      <w:r>
        <w:rPr>
          <w:spacing w:val="-5"/>
          <w:sz w:val="18"/>
        </w:rPr>
        <w:t xml:space="preserve"> </w:t>
      </w:r>
      <w:r>
        <w:rPr>
          <w:sz w:val="18"/>
        </w:rPr>
        <w:t>pp.</w:t>
      </w:r>
      <w:r>
        <w:rPr>
          <w:spacing w:val="-1"/>
          <w:sz w:val="18"/>
        </w:rPr>
        <w:t xml:space="preserve"> </w:t>
      </w:r>
      <w:r>
        <w:rPr>
          <w:spacing w:val="-4"/>
          <w:sz w:val="18"/>
        </w:rPr>
        <w:t>123,</w:t>
      </w:r>
    </w:p>
    <w:p w14:paraId="25C7A672" w14:textId="77777777" w:rsidR="00BD462C" w:rsidRDefault="00BD462C">
      <w:pPr>
        <w:jc w:val="both"/>
        <w:rPr>
          <w:sz w:val="18"/>
        </w:rPr>
        <w:sectPr w:rsidR="00BD462C">
          <w:pgSz w:w="11910" w:h="16840"/>
          <w:pgMar w:top="860" w:right="500" w:bottom="780" w:left="1280" w:header="566" w:footer="590" w:gutter="0"/>
          <w:cols w:space="720"/>
        </w:sectPr>
      </w:pPr>
    </w:p>
    <w:p w14:paraId="774923A0"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4BE8A484"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36FC2B4E"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03161087" w14:textId="4CDE98A5" w:rsidR="00BD462C" w:rsidRDefault="00033D0F">
      <w:pPr>
        <w:pStyle w:val="Heading3"/>
        <w:tabs>
          <w:tab w:val="left" w:pos="3553"/>
        </w:tabs>
        <w:ind w:left="2420" w:firstLine="0"/>
        <w:jc w:val="left"/>
        <w:rPr>
          <w:spacing w:val="-5"/>
        </w:rPr>
      </w:pPr>
      <w:bookmarkStart w:id="1194" w:name="Table_3_Market_volumes_during_Injury_POI"/>
      <w:bookmarkStart w:id="1195" w:name="_bookmark1029"/>
      <w:bookmarkEnd w:id="1194"/>
      <w:bookmarkEnd w:id="1195"/>
      <w:r>
        <w:t>Table</w:t>
      </w:r>
      <w:r>
        <w:rPr>
          <w:spacing w:val="-3"/>
        </w:rPr>
        <w:t xml:space="preserve"> </w:t>
      </w:r>
      <w:r>
        <w:rPr>
          <w:spacing w:val="-10"/>
        </w:rPr>
        <w:t>3</w:t>
      </w:r>
      <w:r>
        <w:tab/>
        <w:t>Market</w:t>
      </w:r>
      <w:r>
        <w:rPr>
          <w:spacing w:val="-6"/>
        </w:rPr>
        <w:t xml:space="preserve"> </w:t>
      </w:r>
      <w:r>
        <w:t>volumes</w:t>
      </w:r>
      <w:r>
        <w:rPr>
          <w:spacing w:val="-3"/>
        </w:rPr>
        <w:t xml:space="preserve"> </w:t>
      </w:r>
      <w:r>
        <w:t>during</w:t>
      </w:r>
      <w:r>
        <w:rPr>
          <w:spacing w:val="-1"/>
        </w:rPr>
        <w:t xml:space="preserve"> </w:t>
      </w:r>
      <w:r>
        <w:t>Injury</w:t>
      </w:r>
      <w:r>
        <w:rPr>
          <w:spacing w:val="-1"/>
        </w:rPr>
        <w:t xml:space="preserve"> </w:t>
      </w:r>
      <w:r>
        <w:rPr>
          <w:spacing w:val="-5"/>
        </w:rPr>
        <w:t>POI</w:t>
      </w:r>
    </w:p>
    <w:tbl>
      <w:tblPr>
        <w:tblStyle w:val="TableGrid"/>
        <w:tblW w:w="10348" w:type="dxa"/>
        <w:tblLayout w:type="fixed"/>
        <w:tblLook w:val="04A0" w:firstRow="1" w:lastRow="0" w:firstColumn="1" w:lastColumn="0" w:noHBand="0" w:noVBand="1"/>
      </w:tblPr>
      <w:tblGrid>
        <w:gridCol w:w="1526"/>
        <w:gridCol w:w="2693"/>
        <w:gridCol w:w="1418"/>
        <w:gridCol w:w="1275"/>
        <w:gridCol w:w="993"/>
        <w:gridCol w:w="1275"/>
        <w:gridCol w:w="1168"/>
      </w:tblGrid>
      <w:tr w:rsidR="00D70C7D" w14:paraId="58981D69" w14:textId="77777777" w:rsidTr="00D70C7D">
        <w:tc>
          <w:tcPr>
            <w:tcW w:w="1526" w:type="dxa"/>
          </w:tcPr>
          <w:p w14:paraId="30372D5C" w14:textId="77777777" w:rsidR="00D70C7D" w:rsidRDefault="00D70C7D" w:rsidP="00D70C7D">
            <w:pPr>
              <w:pStyle w:val="Heading3"/>
              <w:tabs>
                <w:tab w:val="left" w:pos="3553"/>
              </w:tabs>
              <w:ind w:left="0" w:firstLine="0"/>
              <w:rPr>
                <w:spacing w:val="-5"/>
              </w:rPr>
            </w:pPr>
          </w:p>
        </w:tc>
        <w:tc>
          <w:tcPr>
            <w:tcW w:w="2693" w:type="dxa"/>
          </w:tcPr>
          <w:p w14:paraId="4FD3FD76" w14:textId="77777777" w:rsidR="00D70C7D" w:rsidRDefault="00D70C7D" w:rsidP="00D70C7D">
            <w:pPr>
              <w:pStyle w:val="Heading3"/>
              <w:tabs>
                <w:tab w:val="left" w:pos="3553"/>
              </w:tabs>
              <w:ind w:left="0" w:firstLine="0"/>
              <w:jc w:val="left"/>
              <w:rPr>
                <w:spacing w:val="-5"/>
              </w:rPr>
            </w:pPr>
          </w:p>
        </w:tc>
        <w:tc>
          <w:tcPr>
            <w:tcW w:w="1418" w:type="dxa"/>
          </w:tcPr>
          <w:p w14:paraId="12AF65F2" w14:textId="3AF2B078" w:rsidR="00D70C7D" w:rsidRDefault="00D70C7D" w:rsidP="00D70C7D">
            <w:pPr>
              <w:pStyle w:val="Heading3"/>
              <w:tabs>
                <w:tab w:val="left" w:pos="3553"/>
              </w:tabs>
              <w:ind w:left="0" w:firstLine="0"/>
              <w:jc w:val="left"/>
              <w:rPr>
                <w:spacing w:val="-5"/>
              </w:rPr>
            </w:pPr>
            <w:r>
              <w:rPr>
                <w:spacing w:val="-4"/>
              </w:rPr>
              <w:t>2015</w:t>
            </w:r>
          </w:p>
        </w:tc>
        <w:tc>
          <w:tcPr>
            <w:tcW w:w="1275" w:type="dxa"/>
          </w:tcPr>
          <w:p w14:paraId="6DE6B2BA" w14:textId="0B68ACA3" w:rsidR="00D70C7D" w:rsidRDefault="00D70C7D" w:rsidP="00D70C7D">
            <w:pPr>
              <w:pStyle w:val="Heading3"/>
              <w:tabs>
                <w:tab w:val="left" w:pos="3553"/>
              </w:tabs>
              <w:ind w:left="0" w:firstLine="0"/>
              <w:jc w:val="left"/>
              <w:rPr>
                <w:spacing w:val="-5"/>
              </w:rPr>
            </w:pPr>
            <w:r>
              <w:rPr>
                <w:spacing w:val="-4"/>
              </w:rPr>
              <w:t>2016</w:t>
            </w:r>
          </w:p>
        </w:tc>
        <w:tc>
          <w:tcPr>
            <w:tcW w:w="993" w:type="dxa"/>
          </w:tcPr>
          <w:p w14:paraId="46638427" w14:textId="49B38FCD" w:rsidR="00D70C7D" w:rsidRDefault="00D70C7D" w:rsidP="00D70C7D">
            <w:pPr>
              <w:pStyle w:val="Heading3"/>
              <w:tabs>
                <w:tab w:val="left" w:pos="3553"/>
              </w:tabs>
              <w:ind w:left="0" w:firstLine="0"/>
              <w:jc w:val="left"/>
              <w:rPr>
                <w:spacing w:val="-5"/>
              </w:rPr>
            </w:pPr>
            <w:r>
              <w:rPr>
                <w:spacing w:val="-4"/>
              </w:rPr>
              <w:t>2017</w:t>
            </w:r>
          </w:p>
        </w:tc>
        <w:tc>
          <w:tcPr>
            <w:tcW w:w="1275" w:type="dxa"/>
          </w:tcPr>
          <w:p w14:paraId="72D1AC4C" w14:textId="08A09A38" w:rsidR="00D70C7D" w:rsidRDefault="00D70C7D" w:rsidP="00D70C7D">
            <w:pPr>
              <w:pStyle w:val="Heading3"/>
              <w:tabs>
                <w:tab w:val="left" w:pos="3553"/>
              </w:tabs>
              <w:ind w:left="0" w:firstLine="0"/>
              <w:jc w:val="left"/>
              <w:rPr>
                <w:spacing w:val="-5"/>
              </w:rPr>
            </w:pPr>
            <w:r>
              <w:rPr>
                <w:spacing w:val="-4"/>
              </w:rPr>
              <w:t>2018</w:t>
            </w:r>
          </w:p>
        </w:tc>
        <w:tc>
          <w:tcPr>
            <w:tcW w:w="1168" w:type="dxa"/>
          </w:tcPr>
          <w:p w14:paraId="70CBE188" w14:textId="14491BA8" w:rsidR="00D70C7D" w:rsidRDefault="00D70C7D" w:rsidP="00D70C7D">
            <w:pPr>
              <w:pStyle w:val="Heading3"/>
              <w:tabs>
                <w:tab w:val="left" w:pos="3553"/>
              </w:tabs>
              <w:ind w:left="0" w:firstLine="0"/>
              <w:jc w:val="left"/>
              <w:rPr>
                <w:spacing w:val="-5"/>
              </w:rPr>
            </w:pPr>
            <w:r>
              <w:rPr>
                <w:spacing w:val="-4"/>
              </w:rPr>
              <w:t>2019</w:t>
            </w:r>
          </w:p>
        </w:tc>
      </w:tr>
      <w:tr w:rsidR="00D70C7D" w14:paraId="4D070BB2" w14:textId="77777777" w:rsidTr="00D70C7D">
        <w:tc>
          <w:tcPr>
            <w:tcW w:w="1526" w:type="dxa"/>
          </w:tcPr>
          <w:p w14:paraId="53B6B02E" w14:textId="77777777" w:rsidR="00D70C7D" w:rsidRDefault="00D70C7D" w:rsidP="00D70C7D">
            <w:pPr>
              <w:pStyle w:val="TableParagraph"/>
              <w:ind w:left="0"/>
              <w:jc w:val="both"/>
              <w:rPr>
                <w:b/>
              </w:rPr>
            </w:pPr>
          </w:p>
          <w:p w14:paraId="2291BEBD" w14:textId="77777777" w:rsidR="00D70C7D" w:rsidRDefault="00D70C7D" w:rsidP="00D70C7D">
            <w:pPr>
              <w:pStyle w:val="TableParagraph"/>
              <w:spacing w:before="2"/>
              <w:ind w:left="0"/>
              <w:jc w:val="both"/>
              <w:rPr>
                <w:b/>
                <w:sz w:val="20"/>
              </w:rPr>
            </w:pPr>
          </w:p>
          <w:p w14:paraId="5EAD1A7C" w14:textId="4C4F0CF6" w:rsidR="00D70C7D" w:rsidRDefault="00D70C7D" w:rsidP="00D70C7D">
            <w:pPr>
              <w:pStyle w:val="Heading3"/>
              <w:tabs>
                <w:tab w:val="left" w:pos="3553"/>
              </w:tabs>
              <w:ind w:left="0" w:firstLine="0"/>
              <w:rPr>
                <w:spacing w:val="-5"/>
              </w:rPr>
            </w:pPr>
            <w:r>
              <w:rPr>
                <w:spacing w:val="-2"/>
              </w:rPr>
              <w:t>Domestic industry</w:t>
            </w:r>
          </w:p>
        </w:tc>
        <w:tc>
          <w:tcPr>
            <w:tcW w:w="2693" w:type="dxa"/>
          </w:tcPr>
          <w:p w14:paraId="31DE02FB" w14:textId="0FB10AF8" w:rsidR="00D70C7D" w:rsidRDefault="00D70C7D" w:rsidP="00D70C7D">
            <w:pPr>
              <w:pStyle w:val="Heading3"/>
              <w:tabs>
                <w:tab w:val="left" w:pos="3553"/>
              </w:tabs>
              <w:ind w:left="0" w:firstLine="0"/>
              <w:jc w:val="left"/>
              <w:rPr>
                <w:spacing w:val="-5"/>
              </w:rPr>
            </w:pPr>
            <w:r>
              <w:t>Yearly</w:t>
            </w:r>
            <w:r>
              <w:rPr>
                <w:spacing w:val="-13"/>
              </w:rPr>
              <w:t xml:space="preserve"> </w:t>
            </w:r>
            <w:r>
              <w:t>change</w:t>
            </w:r>
            <w:r>
              <w:rPr>
                <w:spacing w:val="-12"/>
              </w:rPr>
              <w:t xml:space="preserve"> </w:t>
            </w:r>
            <w:r>
              <w:t xml:space="preserve">in sale volume </w:t>
            </w:r>
            <w:r>
              <w:rPr>
                <w:spacing w:val="-2"/>
              </w:rPr>
              <w:t>(</w:t>
            </w:r>
            <w:proofErr w:type="spellStart"/>
            <w:r>
              <w:rPr>
                <w:spacing w:val="-2"/>
              </w:rPr>
              <w:t>kilolitre</w:t>
            </w:r>
            <w:proofErr w:type="spellEnd"/>
            <w:r>
              <w:rPr>
                <w:spacing w:val="-2"/>
              </w:rPr>
              <w:t>)</w:t>
            </w:r>
            <w:hyperlink w:anchor="_bookmark1032" w:history="1">
              <w:r>
                <w:rPr>
                  <w:spacing w:val="-2"/>
                  <w:vertAlign w:val="superscript"/>
                </w:rPr>
                <w:t>881</w:t>
              </w:r>
            </w:hyperlink>
          </w:p>
        </w:tc>
        <w:tc>
          <w:tcPr>
            <w:tcW w:w="1418" w:type="dxa"/>
          </w:tcPr>
          <w:p w14:paraId="15FE7828" w14:textId="77777777" w:rsidR="00D70C7D" w:rsidRDefault="00D70C7D" w:rsidP="00D70C7D">
            <w:pPr>
              <w:pStyle w:val="TableParagraph"/>
              <w:ind w:left="0"/>
              <w:rPr>
                <w:b/>
              </w:rPr>
            </w:pPr>
          </w:p>
          <w:p w14:paraId="5E544283" w14:textId="77777777" w:rsidR="00D70C7D" w:rsidRDefault="00D70C7D" w:rsidP="00D70C7D">
            <w:pPr>
              <w:pStyle w:val="TableParagraph"/>
              <w:ind w:left="0"/>
              <w:rPr>
                <w:b/>
              </w:rPr>
            </w:pPr>
          </w:p>
          <w:p w14:paraId="61888D54" w14:textId="77777777" w:rsidR="00D70C7D" w:rsidRDefault="00D70C7D" w:rsidP="00D70C7D">
            <w:pPr>
              <w:pStyle w:val="TableParagraph"/>
              <w:spacing w:before="8"/>
              <w:ind w:left="0"/>
              <w:rPr>
                <w:b/>
                <w:sz w:val="25"/>
              </w:rPr>
            </w:pPr>
          </w:p>
          <w:p w14:paraId="2D251B4B" w14:textId="4EA2C561" w:rsidR="00D70C7D" w:rsidRDefault="00D70C7D" w:rsidP="00D70C7D">
            <w:pPr>
              <w:pStyle w:val="Heading3"/>
              <w:tabs>
                <w:tab w:val="left" w:pos="3553"/>
              </w:tabs>
              <w:ind w:left="0" w:firstLine="0"/>
              <w:jc w:val="left"/>
              <w:rPr>
                <w:spacing w:val="-5"/>
              </w:rPr>
            </w:pPr>
            <w:r>
              <w:rPr>
                <w:spacing w:val="-5"/>
              </w:rPr>
              <w:t>NA</w:t>
            </w:r>
          </w:p>
        </w:tc>
        <w:tc>
          <w:tcPr>
            <w:tcW w:w="1275" w:type="dxa"/>
          </w:tcPr>
          <w:p w14:paraId="557AE95D" w14:textId="77777777" w:rsidR="00D70C7D" w:rsidRDefault="00D70C7D" w:rsidP="00D70C7D">
            <w:pPr>
              <w:pStyle w:val="TableParagraph"/>
              <w:ind w:left="0"/>
              <w:rPr>
                <w:b/>
              </w:rPr>
            </w:pPr>
          </w:p>
          <w:p w14:paraId="6757676E" w14:textId="77777777" w:rsidR="00D70C7D" w:rsidRDefault="00D70C7D" w:rsidP="00D70C7D">
            <w:pPr>
              <w:pStyle w:val="TableParagraph"/>
              <w:ind w:left="0"/>
              <w:rPr>
                <w:b/>
              </w:rPr>
            </w:pPr>
          </w:p>
          <w:p w14:paraId="1F27CE37" w14:textId="77777777" w:rsidR="00D70C7D" w:rsidRDefault="00D70C7D" w:rsidP="00D70C7D">
            <w:pPr>
              <w:pStyle w:val="TableParagraph"/>
              <w:spacing w:before="8"/>
              <w:ind w:left="0"/>
              <w:rPr>
                <w:b/>
                <w:sz w:val="25"/>
              </w:rPr>
            </w:pPr>
          </w:p>
          <w:p w14:paraId="0394EA5C" w14:textId="551ED2FF" w:rsidR="00D70C7D" w:rsidRDefault="00D70C7D" w:rsidP="00D70C7D">
            <w:pPr>
              <w:pStyle w:val="Heading3"/>
              <w:tabs>
                <w:tab w:val="left" w:pos="3553"/>
              </w:tabs>
              <w:ind w:left="0" w:firstLine="0"/>
              <w:jc w:val="left"/>
              <w:rPr>
                <w:spacing w:val="-5"/>
              </w:rPr>
            </w:pPr>
            <w:r>
              <w:rPr>
                <w:spacing w:val="-2"/>
              </w:rPr>
              <w:t>-14,300</w:t>
            </w:r>
          </w:p>
        </w:tc>
        <w:tc>
          <w:tcPr>
            <w:tcW w:w="993" w:type="dxa"/>
          </w:tcPr>
          <w:p w14:paraId="1A915143" w14:textId="77777777" w:rsidR="00D70C7D" w:rsidRDefault="00D70C7D" w:rsidP="00D70C7D">
            <w:pPr>
              <w:pStyle w:val="TableParagraph"/>
              <w:ind w:left="0"/>
              <w:rPr>
                <w:b/>
              </w:rPr>
            </w:pPr>
          </w:p>
          <w:p w14:paraId="53E73BE6" w14:textId="77777777" w:rsidR="00D70C7D" w:rsidRDefault="00D70C7D" w:rsidP="00D70C7D">
            <w:pPr>
              <w:pStyle w:val="TableParagraph"/>
              <w:ind w:left="0"/>
              <w:rPr>
                <w:b/>
              </w:rPr>
            </w:pPr>
          </w:p>
          <w:p w14:paraId="68F1C81C" w14:textId="77777777" w:rsidR="00D70C7D" w:rsidRDefault="00D70C7D" w:rsidP="00D70C7D">
            <w:pPr>
              <w:pStyle w:val="TableParagraph"/>
              <w:spacing w:before="8"/>
              <w:ind w:left="0"/>
              <w:rPr>
                <w:b/>
                <w:sz w:val="25"/>
              </w:rPr>
            </w:pPr>
          </w:p>
          <w:p w14:paraId="02EF844C" w14:textId="1E96C70C" w:rsidR="00D70C7D" w:rsidRDefault="00D70C7D" w:rsidP="00D70C7D">
            <w:pPr>
              <w:pStyle w:val="Heading3"/>
              <w:tabs>
                <w:tab w:val="left" w:pos="3553"/>
              </w:tabs>
              <w:ind w:left="0" w:firstLine="0"/>
              <w:jc w:val="left"/>
              <w:rPr>
                <w:spacing w:val="-5"/>
              </w:rPr>
            </w:pPr>
            <w:r>
              <w:rPr>
                <w:spacing w:val="-2"/>
              </w:rPr>
              <w:t>-</w:t>
            </w:r>
            <w:r>
              <w:rPr>
                <w:spacing w:val="-4"/>
              </w:rPr>
              <w:t>8,500</w:t>
            </w:r>
          </w:p>
        </w:tc>
        <w:tc>
          <w:tcPr>
            <w:tcW w:w="1275" w:type="dxa"/>
          </w:tcPr>
          <w:p w14:paraId="195EC7EA" w14:textId="77777777" w:rsidR="00D70C7D" w:rsidRDefault="00D70C7D" w:rsidP="00D70C7D">
            <w:pPr>
              <w:pStyle w:val="TableParagraph"/>
              <w:ind w:left="0"/>
              <w:rPr>
                <w:b/>
              </w:rPr>
            </w:pPr>
          </w:p>
          <w:p w14:paraId="64282A75" w14:textId="77777777" w:rsidR="00D70C7D" w:rsidRDefault="00D70C7D" w:rsidP="00D70C7D">
            <w:pPr>
              <w:pStyle w:val="TableParagraph"/>
              <w:ind w:left="0"/>
              <w:rPr>
                <w:b/>
              </w:rPr>
            </w:pPr>
          </w:p>
          <w:p w14:paraId="73F1AB29" w14:textId="77777777" w:rsidR="00D70C7D" w:rsidRDefault="00D70C7D" w:rsidP="00D70C7D">
            <w:pPr>
              <w:pStyle w:val="TableParagraph"/>
              <w:spacing w:before="8"/>
              <w:ind w:left="0"/>
              <w:rPr>
                <w:b/>
                <w:sz w:val="25"/>
              </w:rPr>
            </w:pPr>
          </w:p>
          <w:p w14:paraId="39B305EA" w14:textId="194029E0" w:rsidR="00D70C7D" w:rsidRDefault="00D70C7D" w:rsidP="00D70C7D">
            <w:pPr>
              <w:pStyle w:val="Heading3"/>
              <w:tabs>
                <w:tab w:val="left" w:pos="3553"/>
              </w:tabs>
              <w:ind w:left="0" w:firstLine="0"/>
              <w:jc w:val="left"/>
              <w:rPr>
                <w:spacing w:val="-5"/>
              </w:rPr>
            </w:pPr>
            <w:r>
              <w:rPr>
                <w:spacing w:val="-2"/>
              </w:rPr>
              <w:t>-</w:t>
            </w:r>
            <w:r>
              <w:rPr>
                <w:spacing w:val="-4"/>
              </w:rPr>
              <w:t>2,200</w:t>
            </w:r>
          </w:p>
        </w:tc>
        <w:tc>
          <w:tcPr>
            <w:tcW w:w="1168" w:type="dxa"/>
          </w:tcPr>
          <w:p w14:paraId="4D933218" w14:textId="77777777" w:rsidR="00D70C7D" w:rsidRDefault="00D70C7D" w:rsidP="00D70C7D">
            <w:pPr>
              <w:pStyle w:val="TableParagraph"/>
              <w:ind w:left="0"/>
              <w:rPr>
                <w:b/>
              </w:rPr>
            </w:pPr>
          </w:p>
          <w:p w14:paraId="22F593A5" w14:textId="77777777" w:rsidR="00D70C7D" w:rsidRDefault="00D70C7D" w:rsidP="00D70C7D">
            <w:pPr>
              <w:pStyle w:val="TableParagraph"/>
              <w:ind w:left="0"/>
              <w:rPr>
                <w:b/>
              </w:rPr>
            </w:pPr>
          </w:p>
          <w:p w14:paraId="422DDB03" w14:textId="77777777" w:rsidR="00D70C7D" w:rsidRDefault="00D70C7D" w:rsidP="00D70C7D">
            <w:pPr>
              <w:pStyle w:val="TableParagraph"/>
              <w:spacing w:before="8"/>
              <w:ind w:left="0"/>
              <w:rPr>
                <w:b/>
                <w:sz w:val="25"/>
              </w:rPr>
            </w:pPr>
          </w:p>
          <w:p w14:paraId="23F6C598" w14:textId="7437D329" w:rsidR="00D70C7D" w:rsidRDefault="00D70C7D" w:rsidP="00D70C7D">
            <w:pPr>
              <w:pStyle w:val="Heading3"/>
              <w:tabs>
                <w:tab w:val="left" w:pos="3553"/>
              </w:tabs>
              <w:ind w:left="0" w:firstLine="0"/>
              <w:jc w:val="left"/>
              <w:rPr>
                <w:spacing w:val="-5"/>
              </w:rPr>
            </w:pPr>
            <w:r>
              <w:rPr>
                <w:spacing w:val="-2"/>
              </w:rPr>
              <w:t>-34,700</w:t>
            </w:r>
          </w:p>
        </w:tc>
      </w:tr>
      <w:tr w:rsidR="00D70C7D" w14:paraId="703C2F3D" w14:textId="77777777" w:rsidTr="00D70C7D">
        <w:tc>
          <w:tcPr>
            <w:tcW w:w="1526" w:type="dxa"/>
          </w:tcPr>
          <w:p w14:paraId="22587D57" w14:textId="3B8EB28D" w:rsidR="00D70C7D" w:rsidRDefault="00D70C7D" w:rsidP="00D70C7D">
            <w:pPr>
              <w:pStyle w:val="Heading3"/>
              <w:tabs>
                <w:tab w:val="left" w:pos="3553"/>
              </w:tabs>
              <w:ind w:left="0" w:firstLine="0"/>
              <w:rPr>
                <w:spacing w:val="-5"/>
              </w:rPr>
            </w:pPr>
            <w:r>
              <w:rPr>
                <w:spacing w:val="-2"/>
              </w:rPr>
              <w:t>Domestic industry</w:t>
            </w:r>
          </w:p>
        </w:tc>
        <w:tc>
          <w:tcPr>
            <w:tcW w:w="2693" w:type="dxa"/>
          </w:tcPr>
          <w:p w14:paraId="37CD25A2" w14:textId="44C2265D" w:rsidR="00D70C7D" w:rsidRDefault="00D70C7D" w:rsidP="00D70C7D">
            <w:pPr>
              <w:pStyle w:val="Heading3"/>
              <w:tabs>
                <w:tab w:val="left" w:pos="3553"/>
              </w:tabs>
              <w:ind w:left="0" w:firstLine="0"/>
              <w:jc w:val="left"/>
              <w:rPr>
                <w:spacing w:val="-5"/>
              </w:rPr>
            </w:pPr>
            <w:r>
              <w:t>Market</w:t>
            </w:r>
            <w:r>
              <w:rPr>
                <w:spacing w:val="-10"/>
              </w:rPr>
              <w:t xml:space="preserve"> </w:t>
            </w:r>
            <w:r>
              <w:rPr>
                <w:spacing w:val="-2"/>
              </w:rPr>
              <w:t>share</w:t>
            </w:r>
            <w:r>
              <w:rPr>
                <w:spacing w:val="-2"/>
                <w:vertAlign w:val="superscript"/>
              </w:rPr>
              <w:t>882</w:t>
            </w:r>
          </w:p>
        </w:tc>
        <w:tc>
          <w:tcPr>
            <w:tcW w:w="1418" w:type="dxa"/>
          </w:tcPr>
          <w:p w14:paraId="54298613" w14:textId="29728B9C" w:rsidR="00D70C7D" w:rsidRDefault="00D70C7D" w:rsidP="00D70C7D">
            <w:pPr>
              <w:pStyle w:val="Heading3"/>
              <w:tabs>
                <w:tab w:val="left" w:pos="3553"/>
              </w:tabs>
              <w:ind w:left="0" w:firstLine="0"/>
              <w:jc w:val="left"/>
              <w:rPr>
                <w:spacing w:val="-5"/>
              </w:rPr>
            </w:pPr>
            <w:r>
              <w:rPr>
                <w:spacing w:val="-2"/>
              </w:rPr>
              <w:t>31.62%</w:t>
            </w:r>
          </w:p>
        </w:tc>
        <w:tc>
          <w:tcPr>
            <w:tcW w:w="1275" w:type="dxa"/>
          </w:tcPr>
          <w:p w14:paraId="58097904" w14:textId="2A62AF66" w:rsidR="00D70C7D" w:rsidRDefault="00D70C7D" w:rsidP="00D70C7D">
            <w:pPr>
              <w:pStyle w:val="Heading3"/>
              <w:tabs>
                <w:tab w:val="left" w:pos="3553"/>
              </w:tabs>
              <w:ind w:left="0" w:firstLine="0"/>
              <w:jc w:val="left"/>
              <w:rPr>
                <w:spacing w:val="-5"/>
              </w:rPr>
            </w:pPr>
            <w:r>
              <w:rPr>
                <w:spacing w:val="-2"/>
              </w:rPr>
              <w:t>27.80%</w:t>
            </w:r>
          </w:p>
        </w:tc>
        <w:tc>
          <w:tcPr>
            <w:tcW w:w="993" w:type="dxa"/>
          </w:tcPr>
          <w:p w14:paraId="7E7480CA" w14:textId="26EF99B9" w:rsidR="00D70C7D" w:rsidRDefault="00D70C7D" w:rsidP="00D70C7D">
            <w:pPr>
              <w:pStyle w:val="Heading3"/>
              <w:tabs>
                <w:tab w:val="left" w:pos="3553"/>
              </w:tabs>
              <w:ind w:left="0" w:firstLine="0"/>
              <w:jc w:val="left"/>
              <w:rPr>
                <w:spacing w:val="-5"/>
              </w:rPr>
            </w:pPr>
            <w:r>
              <w:rPr>
                <w:spacing w:val="-2"/>
              </w:rPr>
              <w:t>23.90%</w:t>
            </w:r>
          </w:p>
        </w:tc>
        <w:tc>
          <w:tcPr>
            <w:tcW w:w="1275" w:type="dxa"/>
          </w:tcPr>
          <w:p w14:paraId="567DCCA1" w14:textId="50E9147D" w:rsidR="00D70C7D" w:rsidRDefault="00D70C7D" w:rsidP="00D70C7D">
            <w:pPr>
              <w:pStyle w:val="Heading3"/>
              <w:tabs>
                <w:tab w:val="left" w:pos="3553"/>
              </w:tabs>
              <w:ind w:left="0" w:firstLine="0"/>
              <w:jc w:val="left"/>
              <w:rPr>
                <w:spacing w:val="-5"/>
              </w:rPr>
            </w:pPr>
            <w:r>
              <w:rPr>
                <w:spacing w:val="-2"/>
              </w:rPr>
              <w:t>25.43%</w:t>
            </w:r>
          </w:p>
        </w:tc>
        <w:tc>
          <w:tcPr>
            <w:tcW w:w="1168" w:type="dxa"/>
          </w:tcPr>
          <w:p w14:paraId="33201115" w14:textId="18C3E7CA" w:rsidR="00D70C7D" w:rsidRDefault="00D70C7D" w:rsidP="00D70C7D">
            <w:pPr>
              <w:pStyle w:val="Heading3"/>
              <w:tabs>
                <w:tab w:val="left" w:pos="3553"/>
              </w:tabs>
              <w:ind w:left="0" w:firstLine="0"/>
              <w:jc w:val="left"/>
              <w:rPr>
                <w:spacing w:val="-5"/>
              </w:rPr>
            </w:pPr>
            <w:r>
              <w:rPr>
                <w:spacing w:val="-2"/>
              </w:rPr>
              <w:t>24.61%</w:t>
            </w:r>
          </w:p>
        </w:tc>
      </w:tr>
      <w:tr w:rsidR="00D70C7D" w14:paraId="47A1F291" w14:textId="77777777" w:rsidTr="00D70C7D">
        <w:tc>
          <w:tcPr>
            <w:tcW w:w="1526" w:type="dxa"/>
          </w:tcPr>
          <w:p w14:paraId="2E9FE4D6" w14:textId="77777777" w:rsidR="00D70C7D" w:rsidRDefault="00D70C7D" w:rsidP="00D70C7D">
            <w:pPr>
              <w:pStyle w:val="TableParagraph"/>
              <w:ind w:left="0"/>
              <w:jc w:val="both"/>
              <w:rPr>
                <w:b/>
              </w:rPr>
            </w:pPr>
          </w:p>
          <w:p w14:paraId="471A9EEA" w14:textId="77777777" w:rsidR="00D70C7D" w:rsidRDefault="00D70C7D" w:rsidP="00D70C7D">
            <w:pPr>
              <w:pStyle w:val="TableParagraph"/>
              <w:ind w:left="0"/>
              <w:jc w:val="both"/>
              <w:rPr>
                <w:b/>
              </w:rPr>
            </w:pPr>
          </w:p>
          <w:p w14:paraId="634F412F" w14:textId="77777777" w:rsidR="00D70C7D" w:rsidRDefault="00D70C7D" w:rsidP="00D70C7D">
            <w:pPr>
              <w:pStyle w:val="TableParagraph"/>
              <w:spacing w:before="10"/>
              <w:ind w:left="0"/>
              <w:jc w:val="both"/>
              <w:rPr>
                <w:b/>
                <w:sz w:val="28"/>
              </w:rPr>
            </w:pPr>
          </w:p>
          <w:p w14:paraId="4FED247B" w14:textId="7284A188" w:rsidR="00D70C7D" w:rsidRDefault="00D70C7D" w:rsidP="00D70C7D">
            <w:pPr>
              <w:pStyle w:val="Heading3"/>
              <w:tabs>
                <w:tab w:val="left" w:pos="3553"/>
              </w:tabs>
              <w:ind w:left="0" w:firstLine="0"/>
              <w:rPr>
                <w:spacing w:val="-5"/>
              </w:rPr>
            </w:pPr>
            <w:r>
              <w:rPr>
                <w:spacing w:val="-2"/>
              </w:rPr>
              <w:t>Other</w:t>
            </w:r>
            <w:r>
              <w:tab/>
            </w:r>
            <w:r>
              <w:rPr>
                <w:spacing w:val="-2"/>
              </w:rPr>
              <w:t>Chinese producers</w:t>
            </w:r>
          </w:p>
        </w:tc>
        <w:tc>
          <w:tcPr>
            <w:tcW w:w="2693" w:type="dxa"/>
          </w:tcPr>
          <w:p w14:paraId="579D5D1F" w14:textId="6535C91A" w:rsidR="00D70C7D" w:rsidRDefault="00D70C7D" w:rsidP="00D70C7D">
            <w:pPr>
              <w:pStyle w:val="Heading3"/>
              <w:tabs>
                <w:tab w:val="left" w:pos="3553"/>
              </w:tabs>
              <w:ind w:left="0" w:firstLine="0"/>
              <w:jc w:val="left"/>
              <w:rPr>
                <w:spacing w:val="-5"/>
              </w:rPr>
            </w:pPr>
            <w:r>
              <w:t>Yearly</w:t>
            </w:r>
            <w:r>
              <w:rPr>
                <w:spacing w:val="-13"/>
              </w:rPr>
              <w:t xml:space="preserve"> </w:t>
            </w:r>
            <w:r>
              <w:t>change</w:t>
            </w:r>
            <w:r>
              <w:rPr>
                <w:spacing w:val="-12"/>
              </w:rPr>
              <w:t xml:space="preserve"> </w:t>
            </w:r>
            <w:r>
              <w:t xml:space="preserve">in output volume </w:t>
            </w:r>
            <w:r>
              <w:rPr>
                <w:spacing w:val="-2"/>
              </w:rPr>
              <w:t>(</w:t>
            </w:r>
            <w:proofErr w:type="spellStart"/>
            <w:r>
              <w:rPr>
                <w:spacing w:val="-2"/>
              </w:rPr>
              <w:t>kilolitre</w:t>
            </w:r>
            <w:bookmarkStart w:id="1196" w:name="_bookmark1030"/>
            <w:bookmarkEnd w:id="1196"/>
            <w:proofErr w:type="spellEnd"/>
            <w:r>
              <w:rPr>
                <w:spacing w:val="-2"/>
              </w:rPr>
              <w:t>)</w:t>
            </w:r>
            <w:hyperlink w:anchor="_bookmark1034" w:history="1">
              <w:r>
                <w:rPr>
                  <w:spacing w:val="-2"/>
                  <w:vertAlign w:val="superscript"/>
                </w:rPr>
                <w:t>883</w:t>
              </w:r>
            </w:hyperlink>
          </w:p>
        </w:tc>
        <w:tc>
          <w:tcPr>
            <w:tcW w:w="1418" w:type="dxa"/>
          </w:tcPr>
          <w:p w14:paraId="5B70DD75" w14:textId="77777777" w:rsidR="00D70C7D" w:rsidRDefault="00D70C7D" w:rsidP="00D70C7D">
            <w:pPr>
              <w:pStyle w:val="TableParagraph"/>
              <w:ind w:left="0"/>
              <w:rPr>
                <w:b/>
              </w:rPr>
            </w:pPr>
          </w:p>
          <w:p w14:paraId="13ECCABE" w14:textId="77777777" w:rsidR="00D70C7D" w:rsidRDefault="00D70C7D" w:rsidP="00D70C7D">
            <w:pPr>
              <w:pStyle w:val="TableParagraph"/>
              <w:ind w:left="0"/>
              <w:rPr>
                <w:b/>
              </w:rPr>
            </w:pPr>
          </w:p>
          <w:p w14:paraId="7E2A8A73" w14:textId="77777777" w:rsidR="00D70C7D" w:rsidRDefault="00D70C7D" w:rsidP="00D70C7D">
            <w:pPr>
              <w:pStyle w:val="TableParagraph"/>
              <w:spacing w:before="8"/>
              <w:ind w:left="0"/>
              <w:rPr>
                <w:b/>
                <w:sz w:val="25"/>
              </w:rPr>
            </w:pPr>
          </w:p>
          <w:p w14:paraId="4B0A5151" w14:textId="410E5D28" w:rsidR="00D70C7D" w:rsidRDefault="00D70C7D" w:rsidP="00D70C7D">
            <w:pPr>
              <w:pStyle w:val="Heading3"/>
              <w:tabs>
                <w:tab w:val="left" w:pos="3553"/>
              </w:tabs>
              <w:ind w:left="0" w:firstLine="0"/>
              <w:jc w:val="left"/>
              <w:rPr>
                <w:spacing w:val="-5"/>
              </w:rPr>
            </w:pPr>
            <w:r>
              <w:rPr>
                <w:spacing w:val="-5"/>
              </w:rPr>
              <w:t>NA</w:t>
            </w:r>
          </w:p>
        </w:tc>
        <w:tc>
          <w:tcPr>
            <w:tcW w:w="1275" w:type="dxa"/>
          </w:tcPr>
          <w:p w14:paraId="5F189947" w14:textId="77777777" w:rsidR="00D70C7D" w:rsidRDefault="00D70C7D" w:rsidP="00D70C7D">
            <w:pPr>
              <w:pStyle w:val="TableParagraph"/>
              <w:ind w:left="0"/>
              <w:rPr>
                <w:b/>
              </w:rPr>
            </w:pPr>
          </w:p>
          <w:p w14:paraId="4DBD1926" w14:textId="77777777" w:rsidR="00D70C7D" w:rsidRDefault="00D70C7D" w:rsidP="00D70C7D">
            <w:pPr>
              <w:pStyle w:val="TableParagraph"/>
              <w:ind w:left="0"/>
              <w:rPr>
                <w:b/>
              </w:rPr>
            </w:pPr>
          </w:p>
          <w:p w14:paraId="6A7AB745" w14:textId="77777777" w:rsidR="00D70C7D" w:rsidRDefault="00D70C7D" w:rsidP="00D70C7D">
            <w:pPr>
              <w:pStyle w:val="TableParagraph"/>
              <w:spacing w:before="8"/>
              <w:ind w:left="0"/>
              <w:rPr>
                <w:b/>
                <w:sz w:val="25"/>
              </w:rPr>
            </w:pPr>
          </w:p>
          <w:p w14:paraId="65DE6F35" w14:textId="00D5C490" w:rsidR="00D70C7D" w:rsidRDefault="00D70C7D" w:rsidP="00D70C7D">
            <w:pPr>
              <w:pStyle w:val="Heading3"/>
              <w:tabs>
                <w:tab w:val="left" w:pos="3553"/>
              </w:tabs>
              <w:ind w:left="0" w:firstLine="0"/>
              <w:jc w:val="left"/>
              <w:rPr>
                <w:spacing w:val="-5"/>
              </w:rPr>
            </w:pPr>
            <w:r>
              <w:rPr>
                <w:spacing w:val="-2"/>
              </w:rPr>
              <w:t>-16,500</w:t>
            </w:r>
          </w:p>
        </w:tc>
        <w:tc>
          <w:tcPr>
            <w:tcW w:w="993" w:type="dxa"/>
          </w:tcPr>
          <w:p w14:paraId="23E26A68" w14:textId="77777777" w:rsidR="00D70C7D" w:rsidRDefault="00D70C7D" w:rsidP="00D70C7D">
            <w:pPr>
              <w:pStyle w:val="TableParagraph"/>
              <w:ind w:left="0"/>
              <w:rPr>
                <w:b/>
              </w:rPr>
            </w:pPr>
          </w:p>
          <w:p w14:paraId="4018E40F" w14:textId="77777777" w:rsidR="00D70C7D" w:rsidRDefault="00D70C7D" w:rsidP="00D70C7D">
            <w:pPr>
              <w:pStyle w:val="TableParagraph"/>
              <w:ind w:left="0"/>
              <w:rPr>
                <w:b/>
              </w:rPr>
            </w:pPr>
          </w:p>
          <w:p w14:paraId="15F1F559" w14:textId="77777777" w:rsidR="00D70C7D" w:rsidRDefault="00D70C7D" w:rsidP="00D70C7D">
            <w:pPr>
              <w:pStyle w:val="TableParagraph"/>
              <w:spacing w:before="8"/>
              <w:ind w:left="0"/>
              <w:rPr>
                <w:b/>
                <w:sz w:val="25"/>
              </w:rPr>
            </w:pPr>
          </w:p>
          <w:p w14:paraId="215D3BD7" w14:textId="7E5E03B0" w:rsidR="00D70C7D" w:rsidRDefault="00D70C7D" w:rsidP="00D70C7D">
            <w:pPr>
              <w:pStyle w:val="Heading3"/>
              <w:tabs>
                <w:tab w:val="left" w:pos="3553"/>
              </w:tabs>
              <w:ind w:left="0" w:firstLine="0"/>
              <w:jc w:val="left"/>
              <w:rPr>
                <w:spacing w:val="-5"/>
              </w:rPr>
            </w:pPr>
            <w:r>
              <w:rPr>
                <w:spacing w:val="-2"/>
              </w:rPr>
              <w:t>37,500</w:t>
            </w:r>
          </w:p>
        </w:tc>
        <w:tc>
          <w:tcPr>
            <w:tcW w:w="1275" w:type="dxa"/>
          </w:tcPr>
          <w:p w14:paraId="77C06527" w14:textId="77777777" w:rsidR="00D70C7D" w:rsidRDefault="00D70C7D" w:rsidP="00D70C7D">
            <w:pPr>
              <w:pStyle w:val="TableParagraph"/>
              <w:ind w:left="0"/>
              <w:rPr>
                <w:b/>
              </w:rPr>
            </w:pPr>
          </w:p>
          <w:p w14:paraId="2AF590DD" w14:textId="77777777" w:rsidR="00D70C7D" w:rsidRDefault="00D70C7D" w:rsidP="00D70C7D">
            <w:pPr>
              <w:pStyle w:val="TableParagraph"/>
              <w:ind w:left="0"/>
              <w:rPr>
                <w:b/>
              </w:rPr>
            </w:pPr>
          </w:p>
          <w:p w14:paraId="29C34654" w14:textId="77777777" w:rsidR="00D70C7D" w:rsidRDefault="00D70C7D" w:rsidP="00D70C7D">
            <w:pPr>
              <w:pStyle w:val="TableParagraph"/>
              <w:spacing w:before="8"/>
              <w:ind w:left="0"/>
              <w:rPr>
                <w:b/>
                <w:sz w:val="25"/>
              </w:rPr>
            </w:pPr>
          </w:p>
          <w:p w14:paraId="10CD7D0D" w14:textId="436DC867" w:rsidR="00D70C7D" w:rsidRDefault="00D70C7D" w:rsidP="00D70C7D">
            <w:pPr>
              <w:pStyle w:val="Heading3"/>
              <w:tabs>
                <w:tab w:val="left" w:pos="3553"/>
              </w:tabs>
              <w:ind w:left="0" w:firstLine="0"/>
              <w:jc w:val="left"/>
              <w:rPr>
                <w:spacing w:val="-5"/>
              </w:rPr>
            </w:pPr>
            <w:r>
              <w:rPr>
                <w:spacing w:val="-2"/>
              </w:rPr>
              <w:t>-13,300</w:t>
            </w:r>
          </w:p>
        </w:tc>
        <w:tc>
          <w:tcPr>
            <w:tcW w:w="1168" w:type="dxa"/>
          </w:tcPr>
          <w:p w14:paraId="65ADE09F" w14:textId="77777777" w:rsidR="00D70C7D" w:rsidRDefault="00D70C7D" w:rsidP="00D70C7D">
            <w:pPr>
              <w:pStyle w:val="TableParagraph"/>
              <w:ind w:left="0"/>
              <w:rPr>
                <w:b/>
              </w:rPr>
            </w:pPr>
          </w:p>
          <w:p w14:paraId="5A8F1F5C" w14:textId="77777777" w:rsidR="00D70C7D" w:rsidRDefault="00D70C7D" w:rsidP="00D70C7D">
            <w:pPr>
              <w:pStyle w:val="TableParagraph"/>
              <w:ind w:left="0"/>
              <w:rPr>
                <w:b/>
              </w:rPr>
            </w:pPr>
          </w:p>
          <w:p w14:paraId="3FB2DFF8" w14:textId="77777777" w:rsidR="00D70C7D" w:rsidRDefault="00D70C7D" w:rsidP="00D70C7D">
            <w:pPr>
              <w:pStyle w:val="TableParagraph"/>
              <w:spacing w:before="8"/>
              <w:ind w:left="0"/>
              <w:rPr>
                <w:b/>
                <w:sz w:val="25"/>
              </w:rPr>
            </w:pPr>
          </w:p>
          <w:p w14:paraId="36431C50" w14:textId="4C46F4E0" w:rsidR="00D70C7D" w:rsidRDefault="00D70C7D" w:rsidP="00D70C7D">
            <w:pPr>
              <w:pStyle w:val="Heading3"/>
              <w:tabs>
                <w:tab w:val="left" w:pos="3553"/>
              </w:tabs>
              <w:ind w:left="0" w:firstLine="0"/>
              <w:jc w:val="left"/>
              <w:rPr>
                <w:spacing w:val="-5"/>
              </w:rPr>
            </w:pPr>
            <w:r>
              <w:rPr>
                <w:spacing w:val="-2"/>
              </w:rPr>
              <w:t>-14,500</w:t>
            </w:r>
          </w:p>
        </w:tc>
      </w:tr>
      <w:tr w:rsidR="00D70C7D" w14:paraId="76D67E83" w14:textId="77777777" w:rsidTr="00D70C7D">
        <w:tc>
          <w:tcPr>
            <w:tcW w:w="1526" w:type="dxa"/>
          </w:tcPr>
          <w:p w14:paraId="2AE385C9" w14:textId="688F7D87" w:rsidR="00D70C7D" w:rsidRDefault="00D70C7D" w:rsidP="00D70C7D">
            <w:pPr>
              <w:pStyle w:val="Heading3"/>
              <w:tabs>
                <w:tab w:val="left" w:pos="3553"/>
              </w:tabs>
              <w:ind w:left="0" w:firstLine="0"/>
              <w:rPr>
                <w:spacing w:val="-5"/>
              </w:rPr>
            </w:pPr>
            <w:r>
              <w:rPr>
                <w:spacing w:val="-2"/>
              </w:rPr>
              <w:t>Other</w:t>
            </w:r>
          </w:p>
        </w:tc>
        <w:tc>
          <w:tcPr>
            <w:tcW w:w="2693" w:type="dxa"/>
          </w:tcPr>
          <w:p w14:paraId="75903314" w14:textId="1A61A4BB" w:rsidR="00D70C7D" w:rsidRDefault="00D70C7D" w:rsidP="00D70C7D">
            <w:pPr>
              <w:pStyle w:val="Heading3"/>
              <w:tabs>
                <w:tab w:val="left" w:pos="3553"/>
              </w:tabs>
              <w:ind w:left="0" w:firstLine="0"/>
              <w:jc w:val="left"/>
              <w:rPr>
                <w:spacing w:val="-5"/>
              </w:rPr>
            </w:pPr>
            <w:r>
              <w:t xml:space="preserve">Output as a percentage of </w:t>
            </w:r>
            <w:r>
              <w:rPr>
                <w:spacing w:val="-2"/>
              </w:rPr>
              <w:t>consumption</w:t>
            </w:r>
            <w:r>
              <w:rPr>
                <w:spacing w:val="-2"/>
                <w:vertAlign w:val="superscript"/>
              </w:rPr>
              <w:t>884</w:t>
            </w:r>
          </w:p>
        </w:tc>
        <w:tc>
          <w:tcPr>
            <w:tcW w:w="1418" w:type="dxa"/>
          </w:tcPr>
          <w:p w14:paraId="30BEC1E1" w14:textId="77777777" w:rsidR="00D70C7D" w:rsidRDefault="00D70C7D" w:rsidP="00D70C7D">
            <w:pPr>
              <w:pStyle w:val="TableParagraph"/>
              <w:ind w:left="0"/>
              <w:rPr>
                <w:b/>
              </w:rPr>
            </w:pPr>
          </w:p>
          <w:p w14:paraId="21209567" w14:textId="77777777" w:rsidR="00D70C7D" w:rsidRDefault="00D70C7D" w:rsidP="00D70C7D">
            <w:pPr>
              <w:pStyle w:val="TableParagraph"/>
              <w:ind w:left="0"/>
              <w:rPr>
                <w:b/>
              </w:rPr>
            </w:pPr>
          </w:p>
          <w:p w14:paraId="7A1060E3" w14:textId="77777777" w:rsidR="00D70C7D" w:rsidRDefault="00D70C7D" w:rsidP="00D70C7D">
            <w:pPr>
              <w:pStyle w:val="TableParagraph"/>
              <w:spacing w:before="8"/>
              <w:ind w:left="0"/>
              <w:rPr>
                <w:b/>
                <w:sz w:val="25"/>
              </w:rPr>
            </w:pPr>
          </w:p>
          <w:p w14:paraId="380475E9" w14:textId="6161E7D0" w:rsidR="00D70C7D" w:rsidRDefault="00D70C7D" w:rsidP="00D70C7D">
            <w:pPr>
              <w:pStyle w:val="Heading3"/>
              <w:tabs>
                <w:tab w:val="left" w:pos="3553"/>
              </w:tabs>
              <w:ind w:left="0" w:firstLine="0"/>
              <w:jc w:val="left"/>
              <w:rPr>
                <w:spacing w:val="-5"/>
              </w:rPr>
            </w:pPr>
            <w:r>
              <w:rPr>
                <w:spacing w:val="-2"/>
              </w:rPr>
              <w:t>15.27%</w:t>
            </w:r>
          </w:p>
        </w:tc>
        <w:tc>
          <w:tcPr>
            <w:tcW w:w="1275" w:type="dxa"/>
          </w:tcPr>
          <w:p w14:paraId="04070071" w14:textId="77777777" w:rsidR="00D70C7D" w:rsidRDefault="00D70C7D" w:rsidP="00D70C7D">
            <w:pPr>
              <w:pStyle w:val="TableParagraph"/>
              <w:ind w:left="0"/>
              <w:rPr>
                <w:b/>
              </w:rPr>
            </w:pPr>
          </w:p>
          <w:p w14:paraId="1BA8956B" w14:textId="77777777" w:rsidR="00D70C7D" w:rsidRDefault="00D70C7D" w:rsidP="00D70C7D">
            <w:pPr>
              <w:pStyle w:val="TableParagraph"/>
              <w:ind w:left="0"/>
              <w:rPr>
                <w:b/>
              </w:rPr>
            </w:pPr>
          </w:p>
          <w:p w14:paraId="2D78DD59" w14:textId="77777777" w:rsidR="00D70C7D" w:rsidRDefault="00D70C7D" w:rsidP="00D70C7D">
            <w:pPr>
              <w:pStyle w:val="TableParagraph"/>
              <w:spacing w:before="8"/>
              <w:ind w:left="0"/>
              <w:rPr>
                <w:b/>
                <w:sz w:val="25"/>
              </w:rPr>
            </w:pPr>
          </w:p>
          <w:p w14:paraId="1E2C3800" w14:textId="10D07102" w:rsidR="00D70C7D" w:rsidRDefault="00D70C7D" w:rsidP="00D70C7D">
            <w:pPr>
              <w:pStyle w:val="Heading3"/>
              <w:tabs>
                <w:tab w:val="left" w:pos="3553"/>
              </w:tabs>
              <w:ind w:left="0" w:firstLine="0"/>
              <w:jc w:val="left"/>
              <w:rPr>
                <w:spacing w:val="-5"/>
              </w:rPr>
            </w:pPr>
            <w:r>
              <w:rPr>
                <w:spacing w:val="-2"/>
              </w:rPr>
              <w:t>12.26%</w:t>
            </w:r>
          </w:p>
        </w:tc>
        <w:tc>
          <w:tcPr>
            <w:tcW w:w="993" w:type="dxa"/>
          </w:tcPr>
          <w:p w14:paraId="278C0CC1" w14:textId="77777777" w:rsidR="00D70C7D" w:rsidRDefault="00D70C7D" w:rsidP="00D70C7D">
            <w:pPr>
              <w:pStyle w:val="TableParagraph"/>
              <w:ind w:left="0"/>
              <w:rPr>
                <w:b/>
              </w:rPr>
            </w:pPr>
          </w:p>
          <w:p w14:paraId="42D21657" w14:textId="77777777" w:rsidR="00D70C7D" w:rsidRDefault="00D70C7D" w:rsidP="00D70C7D">
            <w:pPr>
              <w:pStyle w:val="TableParagraph"/>
              <w:ind w:left="0"/>
              <w:rPr>
                <w:b/>
              </w:rPr>
            </w:pPr>
          </w:p>
          <w:p w14:paraId="10AFD35C" w14:textId="77777777" w:rsidR="00D70C7D" w:rsidRDefault="00D70C7D" w:rsidP="00D70C7D">
            <w:pPr>
              <w:pStyle w:val="TableParagraph"/>
              <w:spacing w:before="8"/>
              <w:ind w:left="0"/>
              <w:rPr>
                <w:b/>
                <w:sz w:val="25"/>
              </w:rPr>
            </w:pPr>
          </w:p>
          <w:p w14:paraId="216D0F00" w14:textId="444C3C66" w:rsidR="00D70C7D" w:rsidRDefault="00D70C7D" w:rsidP="00D70C7D">
            <w:pPr>
              <w:pStyle w:val="Heading3"/>
              <w:tabs>
                <w:tab w:val="left" w:pos="3553"/>
              </w:tabs>
              <w:ind w:left="0" w:firstLine="0"/>
              <w:jc w:val="left"/>
              <w:rPr>
                <w:spacing w:val="-5"/>
              </w:rPr>
            </w:pPr>
            <w:r>
              <w:rPr>
                <w:spacing w:val="-2"/>
              </w:rPr>
              <w:t>15.03%</w:t>
            </w:r>
          </w:p>
        </w:tc>
        <w:tc>
          <w:tcPr>
            <w:tcW w:w="1275" w:type="dxa"/>
          </w:tcPr>
          <w:p w14:paraId="3BB5F5F0" w14:textId="77777777" w:rsidR="00D70C7D" w:rsidRDefault="00D70C7D" w:rsidP="00D70C7D">
            <w:pPr>
              <w:pStyle w:val="TableParagraph"/>
              <w:ind w:left="0"/>
              <w:rPr>
                <w:b/>
              </w:rPr>
            </w:pPr>
          </w:p>
          <w:p w14:paraId="4EA8CCB5" w14:textId="77777777" w:rsidR="00D70C7D" w:rsidRDefault="00D70C7D" w:rsidP="00D70C7D">
            <w:pPr>
              <w:pStyle w:val="TableParagraph"/>
              <w:ind w:left="0"/>
              <w:rPr>
                <w:b/>
              </w:rPr>
            </w:pPr>
          </w:p>
          <w:p w14:paraId="3CC21166" w14:textId="77777777" w:rsidR="00D70C7D" w:rsidRDefault="00D70C7D" w:rsidP="00D70C7D">
            <w:pPr>
              <w:pStyle w:val="TableParagraph"/>
              <w:spacing w:before="8"/>
              <w:ind w:left="0"/>
              <w:rPr>
                <w:b/>
                <w:sz w:val="25"/>
              </w:rPr>
            </w:pPr>
          </w:p>
          <w:p w14:paraId="6FE532E9" w14:textId="7C224121" w:rsidR="00D70C7D" w:rsidRDefault="00D70C7D" w:rsidP="00D70C7D">
            <w:pPr>
              <w:pStyle w:val="Heading3"/>
              <w:tabs>
                <w:tab w:val="left" w:pos="3553"/>
              </w:tabs>
              <w:ind w:left="0" w:firstLine="0"/>
              <w:jc w:val="left"/>
              <w:rPr>
                <w:spacing w:val="-5"/>
              </w:rPr>
            </w:pPr>
            <w:r>
              <w:rPr>
                <w:spacing w:val="-2"/>
              </w:rPr>
              <w:t>14.60%</w:t>
            </w:r>
          </w:p>
        </w:tc>
        <w:tc>
          <w:tcPr>
            <w:tcW w:w="1168" w:type="dxa"/>
          </w:tcPr>
          <w:p w14:paraId="49298F57" w14:textId="77777777" w:rsidR="00D70C7D" w:rsidRDefault="00D70C7D" w:rsidP="00D70C7D">
            <w:pPr>
              <w:pStyle w:val="TableParagraph"/>
              <w:ind w:left="0"/>
              <w:rPr>
                <w:b/>
              </w:rPr>
            </w:pPr>
          </w:p>
          <w:p w14:paraId="5A6CDC4A" w14:textId="77777777" w:rsidR="00D70C7D" w:rsidRDefault="00D70C7D" w:rsidP="00D70C7D">
            <w:pPr>
              <w:pStyle w:val="TableParagraph"/>
              <w:ind w:left="0"/>
              <w:rPr>
                <w:b/>
              </w:rPr>
            </w:pPr>
          </w:p>
          <w:p w14:paraId="1D4BDB00" w14:textId="77777777" w:rsidR="00D70C7D" w:rsidRDefault="00D70C7D" w:rsidP="00D70C7D">
            <w:pPr>
              <w:pStyle w:val="TableParagraph"/>
              <w:spacing w:before="8"/>
              <w:ind w:left="0"/>
              <w:rPr>
                <w:b/>
                <w:sz w:val="25"/>
              </w:rPr>
            </w:pPr>
          </w:p>
          <w:p w14:paraId="46DF1286" w14:textId="021D59DC" w:rsidR="00D70C7D" w:rsidRDefault="00D70C7D" w:rsidP="00D70C7D">
            <w:pPr>
              <w:pStyle w:val="Heading3"/>
              <w:tabs>
                <w:tab w:val="left" w:pos="3553"/>
              </w:tabs>
              <w:ind w:left="0" w:firstLine="0"/>
              <w:jc w:val="left"/>
              <w:rPr>
                <w:spacing w:val="-5"/>
              </w:rPr>
            </w:pPr>
            <w:r>
              <w:rPr>
                <w:spacing w:val="-2"/>
              </w:rPr>
              <w:t>14.86%</w:t>
            </w:r>
          </w:p>
        </w:tc>
      </w:tr>
      <w:tr w:rsidR="00D70C7D" w14:paraId="424CC6F2" w14:textId="77777777" w:rsidTr="00D70C7D">
        <w:tc>
          <w:tcPr>
            <w:tcW w:w="1526" w:type="dxa"/>
          </w:tcPr>
          <w:p w14:paraId="3B0CEBA5" w14:textId="77777777" w:rsidR="00D70C7D" w:rsidRDefault="00D70C7D" w:rsidP="00D70C7D">
            <w:pPr>
              <w:pStyle w:val="TableParagraph"/>
              <w:ind w:left="0"/>
              <w:jc w:val="both"/>
              <w:rPr>
                <w:b/>
              </w:rPr>
            </w:pPr>
          </w:p>
          <w:p w14:paraId="79B8DE8D" w14:textId="77777777" w:rsidR="00D70C7D" w:rsidRDefault="00D70C7D" w:rsidP="00D70C7D">
            <w:pPr>
              <w:pStyle w:val="TableParagraph"/>
              <w:ind w:left="0"/>
              <w:jc w:val="both"/>
              <w:rPr>
                <w:b/>
              </w:rPr>
            </w:pPr>
          </w:p>
          <w:p w14:paraId="1DC04DA5" w14:textId="443EAE40" w:rsidR="00D70C7D" w:rsidRDefault="00D70C7D" w:rsidP="00D70C7D">
            <w:pPr>
              <w:pStyle w:val="Heading3"/>
              <w:tabs>
                <w:tab w:val="left" w:pos="3553"/>
              </w:tabs>
              <w:ind w:left="0" w:firstLine="0"/>
              <w:rPr>
                <w:spacing w:val="-5"/>
              </w:rPr>
            </w:pPr>
            <w:r>
              <w:t>Subject</w:t>
            </w:r>
            <w:r>
              <w:rPr>
                <w:spacing w:val="-1"/>
              </w:rPr>
              <w:t xml:space="preserve"> </w:t>
            </w:r>
            <w:r>
              <w:rPr>
                <w:spacing w:val="-2"/>
              </w:rPr>
              <w:t>imports</w:t>
            </w:r>
          </w:p>
        </w:tc>
        <w:tc>
          <w:tcPr>
            <w:tcW w:w="2693" w:type="dxa"/>
          </w:tcPr>
          <w:p w14:paraId="756F75B3" w14:textId="2EA834F9" w:rsidR="00D70C7D" w:rsidRDefault="00D70C7D" w:rsidP="00D70C7D">
            <w:pPr>
              <w:pStyle w:val="Heading3"/>
              <w:tabs>
                <w:tab w:val="left" w:pos="3553"/>
              </w:tabs>
              <w:ind w:left="0" w:firstLine="0"/>
              <w:jc w:val="left"/>
              <w:rPr>
                <w:spacing w:val="-5"/>
              </w:rPr>
            </w:pPr>
            <w:r>
              <w:t>Yearly</w:t>
            </w:r>
            <w:r>
              <w:rPr>
                <w:spacing w:val="-13"/>
              </w:rPr>
              <w:t xml:space="preserve"> </w:t>
            </w:r>
            <w:r>
              <w:t>change</w:t>
            </w:r>
            <w:r>
              <w:rPr>
                <w:spacing w:val="-12"/>
              </w:rPr>
              <w:t xml:space="preserve"> </w:t>
            </w:r>
            <w:r>
              <w:t xml:space="preserve">in import volume </w:t>
            </w:r>
            <w:r>
              <w:rPr>
                <w:spacing w:val="-2"/>
              </w:rPr>
              <w:t>(</w:t>
            </w:r>
            <w:proofErr w:type="spellStart"/>
            <w:r>
              <w:rPr>
                <w:spacing w:val="-2"/>
              </w:rPr>
              <w:t>kilolitre</w:t>
            </w:r>
            <w:proofErr w:type="spellEnd"/>
            <w:r>
              <w:rPr>
                <w:spacing w:val="-2"/>
              </w:rPr>
              <w:t>)</w:t>
            </w:r>
            <w:r>
              <w:rPr>
                <w:spacing w:val="-2"/>
                <w:vertAlign w:val="superscript"/>
              </w:rPr>
              <w:t>885</w:t>
            </w:r>
          </w:p>
        </w:tc>
        <w:tc>
          <w:tcPr>
            <w:tcW w:w="1418" w:type="dxa"/>
          </w:tcPr>
          <w:p w14:paraId="73457F10" w14:textId="77777777" w:rsidR="00D70C7D" w:rsidRDefault="00D70C7D" w:rsidP="00D70C7D">
            <w:pPr>
              <w:pStyle w:val="TableParagraph"/>
              <w:ind w:left="0"/>
              <w:rPr>
                <w:b/>
              </w:rPr>
            </w:pPr>
          </w:p>
          <w:p w14:paraId="4C286E7D" w14:textId="77777777" w:rsidR="00D70C7D" w:rsidRDefault="00D70C7D" w:rsidP="00D70C7D">
            <w:pPr>
              <w:pStyle w:val="TableParagraph"/>
              <w:ind w:left="0"/>
              <w:rPr>
                <w:b/>
              </w:rPr>
            </w:pPr>
          </w:p>
          <w:p w14:paraId="46239DFB" w14:textId="77777777" w:rsidR="00D70C7D" w:rsidRDefault="00D70C7D" w:rsidP="00D70C7D">
            <w:pPr>
              <w:pStyle w:val="TableParagraph"/>
              <w:spacing w:before="8"/>
              <w:ind w:left="0"/>
              <w:rPr>
                <w:b/>
                <w:sz w:val="25"/>
              </w:rPr>
            </w:pPr>
          </w:p>
          <w:p w14:paraId="50034E29" w14:textId="5F708797" w:rsidR="00D70C7D" w:rsidRDefault="00D70C7D" w:rsidP="00D70C7D">
            <w:pPr>
              <w:pStyle w:val="Heading3"/>
              <w:tabs>
                <w:tab w:val="left" w:pos="3553"/>
              </w:tabs>
              <w:ind w:left="0" w:firstLine="0"/>
              <w:jc w:val="left"/>
              <w:rPr>
                <w:spacing w:val="-5"/>
              </w:rPr>
            </w:pPr>
            <w:r>
              <w:rPr>
                <w:spacing w:val="-5"/>
              </w:rPr>
              <w:t>NA</w:t>
            </w:r>
          </w:p>
        </w:tc>
        <w:tc>
          <w:tcPr>
            <w:tcW w:w="1275" w:type="dxa"/>
          </w:tcPr>
          <w:p w14:paraId="7B0E8AC9" w14:textId="77777777" w:rsidR="00D70C7D" w:rsidRDefault="00D70C7D" w:rsidP="00D70C7D">
            <w:pPr>
              <w:pStyle w:val="TableParagraph"/>
              <w:ind w:left="0"/>
              <w:rPr>
                <w:b/>
              </w:rPr>
            </w:pPr>
          </w:p>
          <w:p w14:paraId="77EF468A" w14:textId="77777777" w:rsidR="00D70C7D" w:rsidRDefault="00D70C7D" w:rsidP="00D70C7D">
            <w:pPr>
              <w:pStyle w:val="TableParagraph"/>
              <w:ind w:left="0"/>
              <w:rPr>
                <w:b/>
              </w:rPr>
            </w:pPr>
          </w:p>
          <w:p w14:paraId="31721059" w14:textId="77777777" w:rsidR="00D70C7D" w:rsidRDefault="00D70C7D" w:rsidP="00D70C7D">
            <w:pPr>
              <w:pStyle w:val="TableParagraph"/>
              <w:spacing w:before="8"/>
              <w:ind w:left="0"/>
              <w:rPr>
                <w:b/>
                <w:sz w:val="25"/>
              </w:rPr>
            </w:pPr>
          </w:p>
          <w:p w14:paraId="29DA57BB" w14:textId="7FE9F5AD" w:rsidR="00D70C7D" w:rsidRDefault="00D70C7D" w:rsidP="00D70C7D">
            <w:pPr>
              <w:pStyle w:val="Heading3"/>
              <w:tabs>
                <w:tab w:val="left" w:pos="3553"/>
              </w:tabs>
              <w:ind w:left="0" w:firstLine="0"/>
              <w:jc w:val="left"/>
              <w:rPr>
                <w:spacing w:val="-5"/>
              </w:rPr>
            </w:pPr>
            <w:r>
              <w:rPr>
                <w:spacing w:val="-2"/>
              </w:rPr>
              <w:t>22,700</w:t>
            </w:r>
          </w:p>
        </w:tc>
        <w:tc>
          <w:tcPr>
            <w:tcW w:w="993" w:type="dxa"/>
          </w:tcPr>
          <w:p w14:paraId="4D82FBC3" w14:textId="77777777" w:rsidR="00D70C7D" w:rsidRDefault="00D70C7D" w:rsidP="00D70C7D">
            <w:pPr>
              <w:pStyle w:val="TableParagraph"/>
              <w:ind w:left="0"/>
              <w:rPr>
                <w:b/>
              </w:rPr>
            </w:pPr>
          </w:p>
          <w:p w14:paraId="350142E1" w14:textId="77777777" w:rsidR="00D70C7D" w:rsidRDefault="00D70C7D" w:rsidP="00D70C7D">
            <w:pPr>
              <w:pStyle w:val="TableParagraph"/>
              <w:ind w:left="0"/>
              <w:rPr>
                <w:b/>
              </w:rPr>
            </w:pPr>
          </w:p>
          <w:p w14:paraId="0C6F7FD1" w14:textId="77777777" w:rsidR="00D70C7D" w:rsidRDefault="00D70C7D" w:rsidP="00D70C7D">
            <w:pPr>
              <w:pStyle w:val="TableParagraph"/>
              <w:spacing w:before="8"/>
              <w:ind w:left="0"/>
              <w:rPr>
                <w:b/>
                <w:sz w:val="25"/>
              </w:rPr>
            </w:pPr>
          </w:p>
          <w:p w14:paraId="38647CCC" w14:textId="2C8732BE" w:rsidR="00D70C7D" w:rsidRDefault="00D70C7D" w:rsidP="00D70C7D">
            <w:pPr>
              <w:pStyle w:val="Heading3"/>
              <w:tabs>
                <w:tab w:val="left" w:pos="3553"/>
              </w:tabs>
              <w:ind w:left="0" w:firstLine="0"/>
              <w:jc w:val="left"/>
              <w:rPr>
                <w:spacing w:val="-5"/>
              </w:rPr>
            </w:pPr>
            <w:r>
              <w:rPr>
                <w:spacing w:val="-2"/>
              </w:rPr>
              <w:t>26,400</w:t>
            </w:r>
          </w:p>
        </w:tc>
        <w:tc>
          <w:tcPr>
            <w:tcW w:w="1275" w:type="dxa"/>
          </w:tcPr>
          <w:p w14:paraId="59B2773E" w14:textId="77777777" w:rsidR="00D70C7D" w:rsidRDefault="00D70C7D" w:rsidP="00D70C7D">
            <w:pPr>
              <w:pStyle w:val="TableParagraph"/>
              <w:ind w:left="0"/>
              <w:rPr>
                <w:b/>
              </w:rPr>
            </w:pPr>
          </w:p>
          <w:p w14:paraId="2E9565A8" w14:textId="77777777" w:rsidR="00D70C7D" w:rsidRDefault="00D70C7D" w:rsidP="00D70C7D">
            <w:pPr>
              <w:pStyle w:val="TableParagraph"/>
              <w:ind w:left="0"/>
              <w:rPr>
                <w:b/>
              </w:rPr>
            </w:pPr>
          </w:p>
          <w:p w14:paraId="3469B998" w14:textId="77777777" w:rsidR="00D70C7D" w:rsidRDefault="00D70C7D" w:rsidP="00D70C7D">
            <w:pPr>
              <w:pStyle w:val="TableParagraph"/>
              <w:spacing w:before="8"/>
              <w:ind w:left="0"/>
              <w:rPr>
                <w:b/>
                <w:sz w:val="25"/>
              </w:rPr>
            </w:pPr>
          </w:p>
          <w:p w14:paraId="02146C1D" w14:textId="5701D4B5" w:rsidR="00D70C7D" w:rsidRDefault="00D70C7D" w:rsidP="00D70C7D">
            <w:pPr>
              <w:pStyle w:val="Heading3"/>
              <w:tabs>
                <w:tab w:val="left" w:pos="3553"/>
              </w:tabs>
              <w:ind w:left="0" w:firstLine="0"/>
              <w:jc w:val="left"/>
              <w:rPr>
                <w:spacing w:val="-5"/>
              </w:rPr>
            </w:pPr>
            <w:r>
              <w:rPr>
                <w:spacing w:val="-2"/>
              </w:rPr>
              <w:t>12,000</w:t>
            </w:r>
          </w:p>
        </w:tc>
        <w:tc>
          <w:tcPr>
            <w:tcW w:w="1168" w:type="dxa"/>
          </w:tcPr>
          <w:p w14:paraId="7C4A1172" w14:textId="77777777" w:rsidR="00D70C7D" w:rsidRDefault="00D70C7D" w:rsidP="00D70C7D">
            <w:pPr>
              <w:pStyle w:val="TableParagraph"/>
              <w:ind w:left="0"/>
              <w:rPr>
                <w:b/>
              </w:rPr>
            </w:pPr>
          </w:p>
          <w:p w14:paraId="408C3F9F" w14:textId="77777777" w:rsidR="00D70C7D" w:rsidRDefault="00D70C7D" w:rsidP="00D70C7D">
            <w:pPr>
              <w:pStyle w:val="TableParagraph"/>
              <w:ind w:left="0"/>
              <w:rPr>
                <w:b/>
              </w:rPr>
            </w:pPr>
          </w:p>
          <w:p w14:paraId="5F717E51" w14:textId="77777777" w:rsidR="00D70C7D" w:rsidRDefault="00D70C7D" w:rsidP="00D70C7D">
            <w:pPr>
              <w:pStyle w:val="TableParagraph"/>
              <w:spacing w:before="8"/>
              <w:ind w:left="0"/>
              <w:rPr>
                <w:b/>
                <w:sz w:val="25"/>
              </w:rPr>
            </w:pPr>
          </w:p>
          <w:p w14:paraId="64844B61" w14:textId="2007D52D" w:rsidR="00D70C7D" w:rsidRDefault="00D70C7D" w:rsidP="00D70C7D">
            <w:pPr>
              <w:pStyle w:val="Heading3"/>
              <w:tabs>
                <w:tab w:val="left" w:pos="3553"/>
              </w:tabs>
              <w:ind w:left="0" w:firstLine="0"/>
              <w:jc w:val="left"/>
              <w:rPr>
                <w:spacing w:val="-5"/>
              </w:rPr>
            </w:pPr>
            <w:r>
              <w:rPr>
                <w:spacing w:val="-4"/>
              </w:rPr>
              <w:t>3,000</w:t>
            </w:r>
          </w:p>
        </w:tc>
      </w:tr>
      <w:tr w:rsidR="00D70C7D" w14:paraId="528E00D1" w14:textId="77777777" w:rsidTr="00D70C7D">
        <w:tc>
          <w:tcPr>
            <w:tcW w:w="1526" w:type="dxa"/>
          </w:tcPr>
          <w:p w14:paraId="16790251" w14:textId="73D05484" w:rsidR="00D70C7D" w:rsidRDefault="00D70C7D" w:rsidP="00D70C7D">
            <w:pPr>
              <w:pStyle w:val="Heading3"/>
              <w:tabs>
                <w:tab w:val="left" w:pos="3553"/>
              </w:tabs>
              <w:ind w:left="0" w:firstLine="0"/>
              <w:rPr>
                <w:spacing w:val="-5"/>
              </w:rPr>
            </w:pPr>
            <w:r>
              <w:t>Subject</w:t>
            </w:r>
            <w:r>
              <w:rPr>
                <w:spacing w:val="-1"/>
              </w:rPr>
              <w:t xml:space="preserve"> </w:t>
            </w:r>
            <w:r>
              <w:rPr>
                <w:spacing w:val="-2"/>
              </w:rPr>
              <w:t>imports</w:t>
            </w:r>
          </w:p>
        </w:tc>
        <w:tc>
          <w:tcPr>
            <w:tcW w:w="2693" w:type="dxa"/>
          </w:tcPr>
          <w:p w14:paraId="3B5A8D15" w14:textId="063402A3" w:rsidR="00D70C7D" w:rsidRDefault="00D70C7D" w:rsidP="00D70C7D">
            <w:pPr>
              <w:pStyle w:val="Heading3"/>
              <w:tabs>
                <w:tab w:val="left" w:pos="3553"/>
              </w:tabs>
              <w:ind w:left="0" w:firstLine="0"/>
              <w:jc w:val="left"/>
              <w:rPr>
                <w:spacing w:val="-5"/>
              </w:rPr>
            </w:pPr>
            <w:r>
              <w:t>Market</w:t>
            </w:r>
            <w:r>
              <w:rPr>
                <w:spacing w:val="-10"/>
              </w:rPr>
              <w:t xml:space="preserve"> </w:t>
            </w:r>
            <w:r>
              <w:rPr>
                <w:spacing w:val="-2"/>
              </w:rPr>
              <w:t>share</w:t>
            </w:r>
            <w:r>
              <w:rPr>
                <w:spacing w:val="-2"/>
                <w:vertAlign w:val="superscript"/>
              </w:rPr>
              <w:t>886</w:t>
            </w:r>
          </w:p>
        </w:tc>
        <w:tc>
          <w:tcPr>
            <w:tcW w:w="1418" w:type="dxa"/>
          </w:tcPr>
          <w:p w14:paraId="1BE32630" w14:textId="2E8EED22" w:rsidR="00D70C7D" w:rsidRDefault="00D70C7D" w:rsidP="00D70C7D">
            <w:pPr>
              <w:pStyle w:val="Heading3"/>
              <w:tabs>
                <w:tab w:val="left" w:pos="3553"/>
              </w:tabs>
              <w:ind w:left="0" w:firstLine="0"/>
              <w:jc w:val="left"/>
              <w:rPr>
                <w:spacing w:val="-5"/>
              </w:rPr>
            </w:pPr>
            <w:r>
              <w:rPr>
                <w:spacing w:val="-4"/>
              </w:rPr>
              <w:t>7.40%</w:t>
            </w:r>
          </w:p>
        </w:tc>
        <w:tc>
          <w:tcPr>
            <w:tcW w:w="1275" w:type="dxa"/>
          </w:tcPr>
          <w:p w14:paraId="743CC4D1" w14:textId="3C2C0C64" w:rsidR="00D70C7D" w:rsidRDefault="00D70C7D" w:rsidP="00D70C7D">
            <w:pPr>
              <w:pStyle w:val="Heading3"/>
              <w:tabs>
                <w:tab w:val="left" w:pos="3553"/>
              </w:tabs>
              <w:ind w:left="0" w:firstLine="0"/>
              <w:jc w:val="left"/>
              <w:rPr>
                <w:spacing w:val="-5"/>
              </w:rPr>
            </w:pPr>
            <w:r>
              <w:rPr>
                <w:spacing w:val="-4"/>
              </w:rPr>
              <w:t>9.69%</w:t>
            </w:r>
          </w:p>
        </w:tc>
        <w:tc>
          <w:tcPr>
            <w:tcW w:w="993" w:type="dxa"/>
          </w:tcPr>
          <w:p w14:paraId="5A578DC5" w14:textId="00E42668" w:rsidR="00D70C7D" w:rsidRDefault="00D70C7D" w:rsidP="00D70C7D">
            <w:pPr>
              <w:pStyle w:val="Heading3"/>
              <w:tabs>
                <w:tab w:val="left" w:pos="3553"/>
              </w:tabs>
              <w:ind w:left="0" w:firstLine="0"/>
              <w:jc w:val="left"/>
              <w:rPr>
                <w:spacing w:val="-5"/>
              </w:rPr>
            </w:pPr>
            <w:r>
              <w:rPr>
                <w:spacing w:val="-2"/>
              </w:rPr>
              <w:t>11.53%</w:t>
            </w:r>
          </w:p>
        </w:tc>
        <w:tc>
          <w:tcPr>
            <w:tcW w:w="1275" w:type="dxa"/>
          </w:tcPr>
          <w:p w14:paraId="6BE6A48B" w14:textId="4BA22199" w:rsidR="00D70C7D" w:rsidRDefault="00D70C7D" w:rsidP="00D70C7D">
            <w:pPr>
              <w:pStyle w:val="Heading3"/>
              <w:tabs>
                <w:tab w:val="left" w:pos="3553"/>
              </w:tabs>
              <w:ind w:left="0" w:firstLine="0"/>
              <w:jc w:val="left"/>
              <w:rPr>
                <w:spacing w:val="-5"/>
              </w:rPr>
            </w:pPr>
            <w:r>
              <w:rPr>
                <w:spacing w:val="-2"/>
              </w:rPr>
              <w:t>13.80%</w:t>
            </w:r>
          </w:p>
        </w:tc>
        <w:tc>
          <w:tcPr>
            <w:tcW w:w="1168" w:type="dxa"/>
          </w:tcPr>
          <w:p w14:paraId="0A434A82" w14:textId="25EFBECE" w:rsidR="00D70C7D" w:rsidRDefault="00D70C7D" w:rsidP="00D70C7D">
            <w:pPr>
              <w:pStyle w:val="Heading3"/>
              <w:tabs>
                <w:tab w:val="left" w:pos="3553"/>
              </w:tabs>
              <w:ind w:left="0" w:firstLine="0"/>
              <w:jc w:val="left"/>
              <w:rPr>
                <w:spacing w:val="-5"/>
              </w:rPr>
            </w:pPr>
            <w:r>
              <w:rPr>
                <w:spacing w:val="-2"/>
              </w:rPr>
              <w:t>16.30%</w:t>
            </w:r>
          </w:p>
        </w:tc>
      </w:tr>
      <w:tr w:rsidR="00D70C7D" w14:paraId="289350C9" w14:textId="77777777" w:rsidTr="00D70C7D">
        <w:trPr>
          <w:trHeight w:val="366"/>
        </w:trPr>
        <w:tc>
          <w:tcPr>
            <w:tcW w:w="1526" w:type="dxa"/>
          </w:tcPr>
          <w:p w14:paraId="7977AA11" w14:textId="77777777" w:rsidR="00D70C7D" w:rsidRDefault="00D70C7D" w:rsidP="00D70C7D">
            <w:pPr>
              <w:pStyle w:val="TableParagraph"/>
              <w:ind w:left="0"/>
              <w:jc w:val="both"/>
              <w:rPr>
                <w:b/>
              </w:rPr>
            </w:pPr>
          </w:p>
          <w:p w14:paraId="7EC44815" w14:textId="77777777" w:rsidR="00D70C7D" w:rsidRDefault="00D70C7D" w:rsidP="00D70C7D">
            <w:pPr>
              <w:pStyle w:val="TableParagraph"/>
              <w:spacing w:before="7"/>
              <w:ind w:left="0"/>
              <w:jc w:val="both"/>
              <w:rPr>
                <w:b/>
                <w:sz w:val="18"/>
              </w:rPr>
            </w:pPr>
          </w:p>
          <w:p w14:paraId="2CC2367B" w14:textId="4B0E3BD9" w:rsidR="00D70C7D" w:rsidRDefault="00D70C7D" w:rsidP="00D70C7D">
            <w:pPr>
              <w:pStyle w:val="Heading3"/>
              <w:tabs>
                <w:tab w:val="left" w:pos="3553"/>
              </w:tabs>
              <w:ind w:left="0" w:firstLine="0"/>
              <w:rPr>
                <w:spacing w:val="-5"/>
              </w:rPr>
            </w:pPr>
            <w:r>
              <w:rPr>
                <w:spacing w:val="-2"/>
              </w:rPr>
              <w:t>Third</w:t>
            </w:r>
            <w:r>
              <w:tab/>
            </w:r>
            <w:r>
              <w:rPr>
                <w:spacing w:val="-2"/>
              </w:rPr>
              <w:t>country imports</w:t>
            </w:r>
          </w:p>
        </w:tc>
        <w:tc>
          <w:tcPr>
            <w:tcW w:w="2693" w:type="dxa"/>
          </w:tcPr>
          <w:p w14:paraId="31B0DD62" w14:textId="3C7FCC4D" w:rsidR="00D70C7D" w:rsidRDefault="00D70C7D" w:rsidP="00D70C7D">
            <w:pPr>
              <w:pStyle w:val="Heading3"/>
              <w:tabs>
                <w:tab w:val="left" w:pos="3553"/>
              </w:tabs>
              <w:ind w:left="0" w:firstLine="0"/>
              <w:jc w:val="left"/>
              <w:rPr>
                <w:spacing w:val="-5"/>
              </w:rPr>
            </w:pPr>
            <w:r>
              <w:t>Yearly</w:t>
            </w:r>
            <w:r>
              <w:rPr>
                <w:spacing w:val="-13"/>
              </w:rPr>
              <w:t xml:space="preserve"> </w:t>
            </w:r>
            <w:r>
              <w:t>change</w:t>
            </w:r>
            <w:r>
              <w:rPr>
                <w:spacing w:val="-12"/>
              </w:rPr>
              <w:t xml:space="preserve"> </w:t>
            </w:r>
            <w:r>
              <w:t xml:space="preserve">in import volume </w:t>
            </w:r>
            <w:r>
              <w:rPr>
                <w:spacing w:val="-2"/>
              </w:rPr>
              <w:t>(</w:t>
            </w:r>
            <w:proofErr w:type="spellStart"/>
            <w:r>
              <w:rPr>
                <w:spacing w:val="-2"/>
              </w:rPr>
              <w:t>kilolitre</w:t>
            </w:r>
            <w:proofErr w:type="spellEnd"/>
            <w:r>
              <w:rPr>
                <w:spacing w:val="-2"/>
              </w:rPr>
              <w:t>)</w:t>
            </w:r>
            <w:r>
              <w:rPr>
                <w:spacing w:val="-2"/>
                <w:vertAlign w:val="superscript"/>
              </w:rPr>
              <w:t>887</w:t>
            </w:r>
          </w:p>
        </w:tc>
        <w:tc>
          <w:tcPr>
            <w:tcW w:w="1418" w:type="dxa"/>
          </w:tcPr>
          <w:p w14:paraId="2C70843A" w14:textId="77777777" w:rsidR="00D70C7D" w:rsidRDefault="00D70C7D" w:rsidP="00D70C7D">
            <w:pPr>
              <w:pStyle w:val="TableParagraph"/>
              <w:ind w:left="0"/>
              <w:rPr>
                <w:b/>
              </w:rPr>
            </w:pPr>
          </w:p>
          <w:p w14:paraId="738D6222" w14:textId="77777777" w:rsidR="00D70C7D" w:rsidRDefault="00D70C7D" w:rsidP="00D70C7D">
            <w:pPr>
              <w:pStyle w:val="TableParagraph"/>
              <w:ind w:left="0"/>
              <w:rPr>
                <w:b/>
              </w:rPr>
            </w:pPr>
          </w:p>
          <w:p w14:paraId="11FAB3FB" w14:textId="77777777" w:rsidR="00D70C7D" w:rsidRDefault="00D70C7D" w:rsidP="00D70C7D">
            <w:pPr>
              <w:pStyle w:val="TableParagraph"/>
              <w:spacing w:before="8"/>
              <w:ind w:left="0"/>
              <w:rPr>
                <w:b/>
                <w:sz w:val="25"/>
              </w:rPr>
            </w:pPr>
          </w:p>
          <w:p w14:paraId="6929C421" w14:textId="59D760F3" w:rsidR="00D70C7D" w:rsidRDefault="00D70C7D" w:rsidP="00D70C7D">
            <w:pPr>
              <w:pStyle w:val="Heading3"/>
              <w:tabs>
                <w:tab w:val="left" w:pos="3553"/>
              </w:tabs>
              <w:ind w:left="0" w:firstLine="0"/>
              <w:jc w:val="left"/>
              <w:rPr>
                <w:spacing w:val="-5"/>
              </w:rPr>
            </w:pPr>
            <w:r>
              <w:rPr>
                <w:spacing w:val="-5"/>
              </w:rPr>
              <w:t>NA</w:t>
            </w:r>
          </w:p>
        </w:tc>
        <w:tc>
          <w:tcPr>
            <w:tcW w:w="1275" w:type="dxa"/>
          </w:tcPr>
          <w:p w14:paraId="36AF3008" w14:textId="77777777" w:rsidR="00D70C7D" w:rsidRDefault="00D70C7D" w:rsidP="00D70C7D">
            <w:pPr>
              <w:pStyle w:val="TableParagraph"/>
              <w:ind w:left="0"/>
              <w:rPr>
                <w:b/>
              </w:rPr>
            </w:pPr>
          </w:p>
          <w:p w14:paraId="79D27001" w14:textId="77777777" w:rsidR="00D70C7D" w:rsidRDefault="00D70C7D" w:rsidP="00D70C7D">
            <w:pPr>
              <w:pStyle w:val="TableParagraph"/>
              <w:ind w:left="0"/>
              <w:rPr>
                <w:b/>
              </w:rPr>
            </w:pPr>
          </w:p>
          <w:p w14:paraId="191FD30C" w14:textId="77777777" w:rsidR="00D70C7D" w:rsidRDefault="00D70C7D" w:rsidP="00D70C7D">
            <w:pPr>
              <w:pStyle w:val="TableParagraph"/>
              <w:spacing w:before="8"/>
              <w:ind w:left="0"/>
              <w:rPr>
                <w:b/>
                <w:sz w:val="25"/>
              </w:rPr>
            </w:pPr>
          </w:p>
          <w:p w14:paraId="0256036E" w14:textId="74F0306C" w:rsidR="00D70C7D" w:rsidRDefault="00D70C7D" w:rsidP="00D70C7D">
            <w:pPr>
              <w:pStyle w:val="Heading3"/>
              <w:tabs>
                <w:tab w:val="left" w:pos="3553"/>
              </w:tabs>
              <w:ind w:left="0" w:firstLine="0"/>
              <w:jc w:val="left"/>
              <w:rPr>
                <w:spacing w:val="-5"/>
              </w:rPr>
            </w:pPr>
            <w:r>
              <w:rPr>
                <w:spacing w:val="-2"/>
              </w:rPr>
              <w:t>63,000</w:t>
            </w:r>
          </w:p>
        </w:tc>
        <w:tc>
          <w:tcPr>
            <w:tcW w:w="993" w:type="dxa"/>
          </w:tcPr>
          <w:p w14:paraId="3D7EA0DC" w14:textId="77777777" w:rsidR="00D70C7D" w:rsidRDefault="00D70C7D" w:rsidP="00D70C7D">
            <w:pPr>
              <w:pStyle w:val="TableParagraph"/>
              <w:ind w:left="0"/>
              <w:rPr>
                <w:b/>
              </w:rPr>
            </w:pPr>
          </w:p>
          <w:p w14:paraId="3DEDFB0D" w14:textId="77777777" w:rsidR="00D70C7D" w:rsidRDefault="00D70C7D" w:rsidP="00D70C7D">
            <w:pPr>
              <w:pStyle w:val="TableParagraph"/>
              <w:ind w:left="0"/>
              <w:rPr>
                <w:b/>
              </w:rPr>
            </w:pPr>
          </w:p>
          <w:p w14:paraId="6DC50779" w14:textId="77777777" w:rsidR="00D70C7D" w:rsidRDefault="00D70C7D" w:rsidP="00D70C7D">
            <w:pPr>
              <w:pStyle w:val="TableParagraph"/>
              <w:spacing w:before="8"/>
              <w:ind w:left="0"/>
              <w:rPr>
                <w:b/>
                <w:sz w:val="25"/>
              </w:rPr>
            </w:pPr>
          </w:p>
          <w:p w14:paraId="38CE337B" w14:textId="3ABCA06C" w:rsidR="00D70C7D" w:rsidRDefault="00D70C7D" w:rsidP="00D70C7D">
            <w:pPr>
              <w:pStyle w:val="Heading3"/>
              <w:tabs>
                <w:tab w:val="left" w:pos="3553"/>
              </w:tabs>
              <w:ind w:left="0" w:firstLine="0"/>
              <w:jc w:val="left"/>
              <w:rPr>
                <w:spacing w:val="-5"/>
              </w:rPr>
            </w:pPr>
            <w:r>
              <w:rPr>
                <w:spacing w:val="-2"/>
              </w:rPr>
              <w:t>44,100</w:t>
            </w:r>
          </w:p>
        </w:tc>
        <w:tc>
          <w:tcPr>
            <w:tcW w:w="1275" w:type="dxa"/>
          </w:tcPr>
          <w:p w14:paraId="716325A0" w14:textId="77777777" w:rsidR="00D70C7D" w:rsidRDefault="00D70C7D" w:rsidP="00D70C7D">
            <w:pPr>
              <w:pStyle w:val="TableParagraph"/>
              <w:ind w:left="0"/>
              <w:rPr>
                <w:b/>
              </w:rPr>
            </w:pPr>
          </w:p>
          <w:p w14:paraId="03A75587" w14:textId="77777777" w:rsidR="00D70C7D" w:rsidRDefault="00D70C7D" w:rsidP="00D70C7D">
            <w:pPr>
              <w:pStyle w:val="TableParagraph"/>
              <w:ind w:left="0"/>
              <w:rPr>
                <w:b/>
              </w:rPr>
            </w:pPr>
          </w:p>
          <w:p w14:paraId="4588CCD2" w14:textId="77777777" w:rsidR="00D70C7D" w:rsidRDefault="00D70C7D" w:rsidP="00D70C7D">
            <w:pPr>
              <w:pStyle w:val="TableParagraph"/>
              <w:spacing w:before="8"/>
              <w:ind w:left="0"/>
              <w:rPr>
                <w:b/>
                <w:sz w:val="25"/>
              </w:rPr>
            </w:pPr>
          </w:p>
          <w:p w14:paraId="5999C914" w14:textId="2C2677A5" w:rsidR="00D70C7D" w:rsidRDefault="00D70C7D" w:rsidP="00D70C7D">
            <w:pPr>
              <w:pStyle w:val="Heading3"/>
              <w:tabs>
                <w:tab w:val="left" w:pos="3553"/>
              </w:tabs>
              <w:ind w:left="0" w:firstLine="0"/>
              <w:jc w:val="left"/>
              <w:rPr>
                <w:spacing w:val="-5"/>
              </w:rPr>
            </w:pPr>
            <w:r>
              <w:rPr>
                <w:spacing w:val="-2"/>
              </w:rPr>
              <w:t>-55,600</w:t>
            </w:r>
          </w:p>
        </w:tc>
        <w:tc>
          <w:tcPr>
            <w:tcW w:w="1168" w:type="dxa"/>
          </w:tcPr>
          <w:p w14:paraId="5AC8C93C" w14:textId="77777777" w:rsidR="00D70C7D" w:rsidRDefault="00D70C7D" w:rsidP="00D70C7D">
            <w:pPr>
              <w:pStyle w:val="TableParagraph"/>
              <w:ind w:left="0"/>
              <w:rPr>
                <w:b/>
              </w:rPr>
            </w:pPr>
          </w:p>
          <w:p w14:paraId="63DCE9E5" w14:textId="77777777" w:rsidR="00D70C7D" w:rsidRDefault="00D70C7D" w:rsidP="00D70C7D">
            <w:pPr>
              <w:pStyle w:val="TableParagraph"/>
              <w:ind w:left="0"/>
              <w:rPr>
                <w:b/>
              </w:rPr>
            </w:pPr>
          </w:p>
          <w:p w14:paraId="2D05F3FF" w14:textId="77777777" w:rsidR="00D70C7D" w:rsidRDefault="00D70C7D" w:rsidP="00D70C7D">
            <w:pPr>
              <w:pStyle w:val="TableParagraph"/>
              <w:spacing w:before="8"/>
              <w:ind w:left="0"/>
              <w:rPr>
                <w:b/>
                <w:sz w:val="25"/>
              </w:rPr>
            </w:pPr>
          </w:p>
          <w:p w14:paraId="7BC3FB79" w14:textId="586E5680" w:rsidR="00D70C7D" w:rsidRDefault="00D70C7D" w:rsidP="00D70C7D">
            <w:pPr>
              <w:pStyle w:val="Heading3"/>
              <w:tabs>
                <w:tab w:val="left" w:pos="3553"/>
              </w:tabs>
              <w:ind w:left="0" w:firstLine="0"/>
              <w:jc w:val="left"/>
              <w:rPr>
                <w:spacing w:val="-5"/>
              </w:rPr>
            </w:pPr>
            <w:r>
              <w:rPr>
                <w:spacing w:val="-2"/>
              </w:rPr>
              <w:t>-55,700</w:t>
            </w:r>
          </w:p>
        </w:tc>
      </w:tr>
      <w:tr w:rsidR="00D70C7D" w14:paraId="5033290C" w14:textId="77777777" w:rsidTr="00D70C7D">
        <w:tc>
          <w:tcPr>
            <w:tcW w:w="1526" w:type="dxa"/>
          </w:tcPr>
          <w:p w14:paraId="0CD01714" w14:textId="353D048B" w:rsidR="00D70C7D" w:rsidRDefault="00D70C7D" w:rsidP="00D70C7D">
            <w:pPr>
              <w:pStyle w:val="TableParagraph"/>
              <w:ind w:left="0"/>
              <w:jc w:val="both"/>
              <w:rPr>
                <w:b/>
              </w:rPr>
            </w:pPr>
            <w:r>
              <w:rPr>
                <w:b/>
              </w:rPr>
              <w:t>Third</w:t>
            </w:r>
          </w:p>
        </w:tc>
        <w:tc>
          <w:tcPr>
            <w:tcW w:w="2693" w:type="dxa"/>
          </w:tcPr>
          <w:p w14:paraId="26121815" w14:textId="1F3A2569" w:rsidR="00D70C7D" w:rsidRDefault="00D70C7D" w:rsidP="00D70C7D">
            <w:pPr>
              <w:pStyle w:val="Heading3"/>
              <w:tabs>
                <w:tab w:val="left" w:pos="3553"/>
              </w:tabs>
              <w:ind w:left="0" w:firstLine="0"/>
              <w:jc w:val="left"/>
            </w:pPr>
            <w:r>
              <w:t>Market</w:t>
            </w:r>
            <w:r>
              <w:rPr>
                <w:spacing w:val="-10"/>
              </w:rPr>
              <w:t xml:space="preserve"> </w:t>
            </w:r>
            <w:r>
              <w:rPr>
                <w:spacing w:val="-2"/>
              </w:rPr>
              <w:t>share</w:t>
            </w:r>
            <w:r>
              <w:rPr>
                <w:spacing w:val="-2"/>
                <w:vertAlign w:val="superscript"/>
              </w:rPr>
              <w:t>888</w:t>
            </w:r>
          </w:p>
        </w:tc>
        <w:tc>
          <w:tcPr>
            <w:tcW w:w="1418" w:type="dxa"/>
          </w:tcPr>
          <w:p w14:paraId="1F32B1DA" w14:textId="6FF0FB67" w:rsidR="00D70C7D" w:rsidRDefault="00D70C7D" w:rsidP="00D70C7D">
            <w:pPr>
              <w:pStyle w:val="TableParagraph"/>
              <w:ind w:left="0"/>
              <w:rPr>
                <w:b/>
              </w:rPr>
            </w:pPr>
            <w:r>
              <w:rPr>
                <w:spacing w:val="-2"/>
              </w:rPr>
              <w:t>44.31%</w:t>
            </w:r>
          </w:p>
        </w:tc>
        <w:tc>
          <w:tcPr>
            <w:tcW w:w="1275" w:type="dxa"/>
          </w:tcPr>
          <w:p w14:paraId="76DDB1F6" w14:textId="0AE9A42B" w:rsidR="00D70C7D" w:rsidRDefault="00D70C7D" w:rsidP="00D70C7D">
            <w:pPr>
              <w:pStyle w:val="TableParagraph"/>
              <w:ind w:left="0"/>
              <w:rPr>
                <w:b/>
              </w:rPr>
            </w:pPr>
            <w:r>
              <w:rPr>
                <w:spacing w:val="-2"/>
              </w:rPr>
              <w:t>49.09%</w:t>
            </w:r>
          </w:p>
        </w:tc>
        <w:tc>
          <w:tcPr>
            <w:tcW w:w="993" w:type="dxa"/>
          </w:tcPr>
          <w:p w14:paraId="32012C4B" w14:textId="404BC1F0" w:rsidR="00D70C7D" w:rsidRDefault="00D70C7D" w:rsidP="00D70C7D">
            <w:pPr>
              <w:pStyle w:val="TableParagraph"/>
              <w:ind w:left="0"/>
              <w:rPr>
                <w:b/>
              </w:rPr>
            </w:pPr>
            <w:r>
              <w:rPr>
                <w:spacing w:val="-2"/>
              </w:rPr>
              <w:t>48.63%</w:t>
            </w:r>
          </w:p>
        </w:tc>
        <w:tc>
          <w:tcPr>
            <w:tcW w:w="1275" w:type="dxa"/>
          </w:tcPr>
          <w:p w14:paraId="720D11E2" w14:textId="355BF67F" w:rsidR="00D70C7D" w:rsidRDefault="00D70C7D" w:rsidP="00D70C7D">
            <w:pPr>
              <w:pStyle w:val="TableParagraph"/>
              <w:ind w:left="0"/>
              <w:rPr>
                <w:b/>
              </w:rPr>
            </w:pPr>
            <w:r>
              <w:rPr>
                <w:spacing w:val="-2"/>
              </w:rPr>
              <w:t>45.77%</w:t>
            </w:r>
          </w:p>
        </w:tc>
        <w:tc>
          <w:tcPr>
            <w:tcW w:w="1168" w:type="dxa"/>
          </w:tcPr>
          <w:p w14:paraId="7A7406BB" w14:textId="240C259A" w:rsidR="00D70C7D" w:rsidRDefault="00D70C7D" w:rsidP="00D70C7D">
            <w:pPr>
              <w:pStyle w:val="TableParagraph"/>
              <w:ind w:left="0"/>
              <w:rPr>
                <w:b/>
              </w:rPr>
            </w:pPr>
            <w:r>
              <w:rPr>
                <w:spacing w:val="-2"/>
              </w:rPr>
              <w:t>45.22%</w:t>
            </w:r>
          </w:p>
        </w:tc>
      </w:tr>
    </w:tbl>
    <w:p w14:paraId="0714282D" w14:textId="4D7A1A22" w:rsidR="00BD462C" w:rsidRDefault="007E218F">
      <w:pPr>
        <w:pStyle w:val="BodyText"/>
        <w:spacing w:before="5"/>
        <w:rPr>
          <w:b/>
          <w:sz w:val="18"/>
        </w:rPr>
      </w:pPr>
      <w:r>
        <w:rPr>
          <w:noProof/>
        </w:rPr>
        <mc:AlternateContent>
          <mc:Choice Requires="wps">
            <w:drawing>
              <wp:anchor distT="0" distB="0" distL="0" distR="0" simplePos="0" relativeHeight="488221184" behindDoc="1" locked="0" layoutInCell="1" allowOverlap="1" wp14:anchorId="60495B7F" wp14:editId="79480C79">
                <wp:simplePos x="0" y="0"/>
                <wp:positionH relativeFrom="page">
                  <wp:posOffset>812800</wp:posOffset>
                </wp:positionH>
                <wp:positionV relativeFrom="paragraph">
                  <wp:posOffset>143510</wp:posOffset>
                </wp:positionV>
                <wp:extent cx="1828800" cy="8890"/>
                <wp:effectExtent l="0" t="0" r="0" b="0"/>
                <wp:wrapTopAndBottom/>
                <wp:docPr id="197" name="docshape6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2209FC" id="docshape664" o:spid="_x0000_s1026" alt="&quot;&quot;" style="position:absolute;margin-left:64pt;margin-top:11.3pt;width:2in;height:.7pt;z-index:-15095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" fillcolor="black" stroked="f">
                <w10:wrap type="topAndBottom" anchorx="page"/>
              </v:rect>
            </w:pict>
          </mc:Fallback>
        </mc:AlternateContent>
      </w:r>
    </w:p>
    <w:p w14:paraId="2B55F39B" w14:textId="77777777" w:rsidR="00BD462C" w:rsidRDefault="00033D0F">
      <w:pPr>
        <w:spacing w:before="112"/>
        <w:ind w:left="136" w:right="904" w:hanging="1"/>
        <w:jc w:val="both"/>
        <w:rPr>
          <w:sz w:val="18"/>
        </w:rPr>
      </w:pPr>
      <w:r>
        <w:rPr>
          <w:position w:val="5"/>
          <w:sz w:val="12"/>
        </w:rPr>
        <w:t>881</w:t>
      </w:r>
      <w:r>
        <w:rPr>
          <w:spacing w:val="26"/>
          <w:position w:val="5"/>
          <w:sz w:val="12"/>
        </w:rPr>
        <w:t xml:space="preserve"> </w:t>
      </w:r>
      <w:r>
        <w:rPr>
          <w:sz w:val="18"/>
        </w:rPr>
        <w:t xml:space="preserve">Anti-Dumping Final Determination (Exhibit AUS-2), p. 148. Australia has calculated the yearly change by subtracting the </w:t>
      </w:r>
      <w:bookmarkStart w:id="1197" w:name="_bookmark1031"/>
      <w:bookmarkEnd w:id="1197"/>
      <w:r>
        <w:rPr>
          <w:sz w:val="18"/>
        </w:rPr>
        <w:t>"Domestic sales volume" for each year, from the value provided for the preceding year.</w:t>
      </w:r>
    </w:p>
    <w:p w14:paraId="1B6F5010" w14:textId="77777777" w:rsidR="00BD462C" w:rsidRDefault="00033D0F">
      <w:pPr>
        <w:spacing w:line="217" w:lineRule="exact"/>
        <w:ind w:left="135"/>
        <w:jc w:val="both"/>
        <w:rPr>
          <w:sz w:val="18"/>
        </w:rPr>
      </w:pPr>
      <w:r>
        <w:rPr>
          <w:position w:val="5"/>
          <w:sz w:val="12"/>
        </w:rPr>
        <w:t>882</w:t>
      </w:r>
      <w:r>
        <w:rPr>
          <w:spacing w:val="12"/>
          <w:position w:val="5"/>
          <w:sz w:val="12"/>
        </w:rPr>
        <w:t xml:space="preserve"> </w:t>
      </w:r>
      <w:r>
        <w:rPr>
          <w:sz w:val="18"/>
        </w:rPr>
        <w:t>Anti-Dumping</w:t>
      </w:r>
      <w:r>
        <w:rPr>
          <w:spacing w:val="-6"/>
          <w:sz w:val="18"/>
        </w:rPr>
        <w:t xml:space="preserve"> </w:t>
      </w:r>
      <w:r>
        <w:rPr>
          <w:sz w:val="18"/>
        </w:rPr>
        <w:t>Final</w:t>
      </w:r>
      <w:r>
        <w:rPr>
          <w:spacing w:val="-1"/>
          <w:sz w:val="18"/>
        </w:rPr>
        <w:t xml:space="preserve"> </w:t>
      </w:r>
      <w:r>
        <w:rPr>
          <w:sz w:val="18"/>
        </w:rPr>
        <w:t>Determination</w:t>
      </w:r>
      <w:r>
        <w:rPr>
          <w:spacing w:val="-7"/>
          <w:sz w:val="18"/>
        </w:rPr>
        <w:t xml:space="preserve"> </w:t>
      </w:r>
      <w:r>
        <w:rPr>
          <w:sz w:val="18"/>
        </w:rPr>
        <w:t>(Exhibit</w:t>
      </w:r>
      <w:r>
        <w:rPr>
          <w:spacing w:val="-2"/>
          <w:sz w:val="18"/>
        </w:rPr>
        <w:t xml:space="preserve"> </w:t>
      </w:r>
      <w:r>
        <w:rPr>
          <w:sz w:val="18"/>
        </w:rPr>
        <w:t>AUS-2),</w:t>
      </w:r>
      <w:r>
        <w:rPr>
          <w:spacing w:val="-4"/>
          <w:sz w:val="18"/>
        </w:rPr>
        <w:t xml:space="preserve"> </w:t>
      </w:r>
      <w:r>
        <w:rPr>
          <w:sz w:val="18"/>
        </w:rPr>
        <w:t>p.</w:t>
      </w:r>
      <w:r>
        <w:rPr>
          <w:spacing w:val="-5"/>
          <w:sz w:val="18"/>
        </w:rPr>
        <w:t xml:space="preserve"> </w:t>
      </w:r>
      <w:r>
        <w:rPr>
          <w:spacing w:val="-4"/>
          <w:sz w:val="18"/>
        </w:rPr>
        <w:t>148.</w:t>
      </w:r>
    </w:p>
    <w:p w14:paraId="185F259F" w14:textId="77777777" w:rsidR="00BD462C" w:rsidRDefault="00033D0F">
      <w:pPr>
        <w:spacing w:before="1"/>
        <w:ind w:left="136" w:right="909" w:hanging="1"/>
        <w:jc w:val="both"/>
        <w:rPr>
          <w:sz w:val="18"/>
        </w:rPr>
      </w:pPr>
      <w:bookmarkStart w:id="1198" w:name="_bookmark1032"/>
      <w:bookmarkEnd w:id="1198"/>
      <w:r>
        <w:rPr>
          <w:position w:val="5"/>
          <w:sz w:val="12"/>
        </w:rPr>
        <w:t>883</w:t>
      </w:r>
      <w:r>
        <w:rPr>
          <w:spacing w:val="30"/>
          <w:position w:val="5"/>
          <w:sz w:val="12"/>
        </w:rPr>
        <w:t xml:space="preserve"> </w:t>
      </w:r>
      <w:r>
        <w:rPr>
          <w:sz w:val="18"/>
        </w:rPr>
        <w:t xml:space="preserve">Australia has calculated the output volumes for the other Chinese producers into the Chinese market using the "total </w:t>
      </w:r>
      <w:bookmarkStart w:id="1199" w:name="_bookmark1035"/>
      <w:bookmarkEnd w:id="1199"/>
      <w:r>
        <w:rPr>
          <w:sz w:val="18"/>
        </w:rPr>
        <w:t>national</w:t>
      </w:r>
      <w:r>
        <w:rPr>
          <w:spacing w:val="-7"/>
          <w:sz w:val="18"/>
        </w:rPr>
        <w:t xml:space="preserve"> </w:t>
      </w:r>
      <w:r>
        <w:rPr>
          <w:sz w:val="18"/>
        </w:rPr>
        <w:t>output"</w:t>
      </w:r>
      <w:r>
        <w:rPr>
          <w:spacing w:val="-5"/>
          <w:sz w:val="18"/>
        </w:rPr>
        <w:t xml:space="preserve"> </w:t>
      </w:r>
      <w:r>
        <w:rPr>
          <w:sz w:val="18"/>
        </w:rPr>
        <w:t>and</w:t>
      </w:r>
      <w:r>
        <w:rPr>
          <w:spacing w:val="-4"/>
          <w:sz w:val="18"/>
        </w:rPr>
        <w:t xml:space="preserve"> </w:t>
      </w:r>
      <w:r>
        <w:rPr>
          <w:sz w:val="18"/>
        </w:rPr>
        <w:t>"output</w:t>
      </w:r>
      <w:r>
        <w:rPr>
          <w:spacing w:val="-7"/>
          <w:sz w:val="18"/>
        </w:rPr>
        <w:t xml:space="preserve"> </w:t>
      </w:r>
      <w:r>
        <w:rPr>
          <w:sz w:val="18"/>
        </w:rPr>
        <w:t>of</w:t>
      </w:r>
      <w:r>
        <w:rPr>
          <w:spacing w:val="-7"/>
          <w:sz w:val="18"/>
        </w:rPr>
        <w:t xml:space="preserve"> </w:t>
      </w:r>
      <w:r>
        <w:rPr>
          <w:sz w:val="18"/>
        </w:rPr>
        <w:t>domestic</w:t>
      </w:r>
      <w:r>
        <w:rPr>
          <w:spacing w:val="-9"/>
          <w:sz w:val="18"/>
        </w:rPr>
        <w:t xml:space="preserve"> </w:t>
      </w:r>
      <w:r>
        <w:rPr>
          <w:sz w:val="18"/>
        </w:rPr>
        <w:t>like</w:t>
      </w:r>
      <w:r>
        <w:rPr>
          <w:spacing w:val="-3"/>
          <w:sz w:val="18"/>
        </w:rPr>
        <w:t xml:space="preserve"> </w:t>
      </w:r>
      <w:r>
        <w:rPr>
          <w:sz w:val="18"/>
        </w:rPr>
        <w:t>product"</w:t>
      </w:r>
      <w:r>
        <w:rPr>
          <w:spacing w:val="-10"/>
          <w:sz w:val="18"/>
        </w:rPr>
        <w:t xml:space="preserve"> </w:t>
      </w:r>
      <w:r>
        <w:rPr>
          <w:sz w:val="18"/>
        </w:rPr>
        <w:t>(Anti-Dumping</w:t>
      </w:r>
      <w:r>
        <w:rPr>
          <w:spacing w:val="-3"/>
          <w:sz w:val="18"/>
        </w:rPr>
        <w:t xml:space="preserve"> </w:t>
      </w:r>
      <w:r>
        <w:rPr>
          <w:sz w:val="18"/>
        </w:rPr>
        <w:t>Final</w:t>
      </w:r>
      <w:r>
        <w:rPr>
          <w:spacing w:val="-7"/>
          <w:sz w:val="18"/>
        </w:rPr>
        <w:t xml:space="preserve"> </w:t>
      </w:r>
      <w:r>
        <w:rPr>
          <w:sz w:val="18"/>
        </w:rPr>
        <w:t>Determination</w:t>
      </w:r>
      <w:r>
        <w:rPr>
          <w:spacing w:val="-9"/>
          <w:sz w:val="18"/>
        </w:rPr>
        <w:t xml:space="preserve"> </w:t>
      </w:r>
      <w:r>
        <w:rPr>
          <w:sz w:val="18"/>
        </w:rPr>
        <w:t>(Exhibit</w:t>
      </w:r>
      <w:r>
        <w:rPr>
          <w:spacing w:val="-7"/>
          <w:sz w:val="18"/>
        </w:rPr>
        <w:t xml:space="preserve"> </w:t>
      </w:r>
      <w:r>
        <w:rPr>
          <w:sz w:val="18"/>
        </w:rPr>
        <w:t>AUS-2),</w:t>
      </w:r>
      <w:r>
        <w:rPr>
          <w:spacing w:val="-2"/>
          <w:sz w:val="18"/>
        </w:rPr>
        <w:t xml:space="preserve"> </w:t>
      </w:r>
      <w:r>
        <w:rPr>
          <w:sz w:val="18"/>
        </w:rPr>
        <w:t>pp.</w:t>
      </w:r>
      <w:r>
        <w:rPr>
          <w:spacing w:val="-7"/>
          <w:sz w:val="18"/>
        </w:rPr>
        <w:t xml:space="preserve"> </w:t>
      </w:r>
      <w:r>
        <w:rPr>
          <w:sz w:val="18"/>
        </w:rPr>
        <w:t>124,</w:t>
      </w:r>
      <w:r>
        <w:rPr>
          <w:spacing w:val="-6"/>
          <w:sz w:val="18"/>
        </w:rPr>
        <w:t xml:space="preserve"> </w:t>
      </w:r>
      <w:r>
        <w:rPr>
          <w:sz w:val="18"/>
        </w:rPr>
        <w:t>148)</w:t>
      </w:r>
      <w:r>
        <w:rPr>
          <w:spacing w:val="-6"/>
          <w:sz w:val="18"/>
        </w:rPr>
        <w:t xml:space="preserve"> </w:t>
      </w:r>
      <w:r>
        <w:rPr>
          <w:sz w:val="18"/>
        </w:rPr>
        <w:t xml:space="preserve">and </w:t>
      </w:r>
      <w:bookmarkStart w:id="1200" w:name="_bookmark1033"/>
      <w:bookmarkEnd w:id="1200"/>
      <w:r>
        <w:rPr>
          <w:sz w:val="18"/>
        </w:rPr>
        <w:t xml:space="preserve">the total Chinese export figures (China's first written submission, paras. 1879). The formula used is: Total national output – </w:t>
      </w:r>
      <w:bookmarkStart w:id="1201" w:name="_bookmark1034"/>
      <w:bookmarkEnd w:id="1201"/>
      <w:r>
        <w:rPr>
          <w:sz w:val="18"/>
        </w:rPr>
        <w:t>(Domestic</w:t>
      </w:r>
      <w:r>
        <w:rPr>
          <w:spacing w:val="-11"/>
          <w:sz w:val="18"/>
        </w:rPr>
        <w:t xml:space="preserve"> </w:t>
      </w:r>
      <w:r>
        <w:rPr>
          <w:sz w:val="18"/>
        </w:rPr>
        <w:t>industry</w:t>
      </w:r>
      <w:r>
        <w:rPr>
          <w:spacing w:val="-10"/>
          <w:sz w:val="18"/>
        </w:rPr>
        <w:t xml:space="preserve"> </w:t>
      </w:r>
      <w:r>
        <w:rPr>
          <w:sz w:val="18"/>
        </w:rPr>
        <w:t>output</w:t>
      </w:r>
      <w:r>
        <w:rPr>
          <w:spacing w:val="-6"/>
          <w:sz w:val="18"/>
        </w:rPr>
        <w:t xml:space="preserve"> </w:t>
      </w:r>
      <w:r>
        <w:rPr>
          <w:sz w:val="18"/>
        </w:rPr>
        <w:t>+</w:t>
      </w:r>
      <w:r>
        <w:rPr>
          <w:spacing w:val="-7"/>
          <w:sz w:val="18"/>
        </w:rPr>
        <w:t xml:space="preserve"> </w:t>
      </w:r>
      <w:r>
        <w:rPr>
          <w:sz w:val="18"/>
        </w:rPr>
        <w:t>Chinese</w:t>
      </w:r>
      <w:r>
        <w:rPr>
          <w:spacing w:val="-11"/>
          <w:sz w:val="18"/>
        </w:rPr>
        <w:t xml:space="preserve"> </w:t>
      </w:r>
      <w:r>
        <w:rPr>
          <w:sz w:val="18"/>
        </w:rPr>
        <w:t>exports).</w:t>
      </w:r>
      <w:r>
        <w:rPr>
          <w:spacing w:val="-5"/>
          <w:sz w:val="18"/>
        </w:rPr>
        <w:t xml:space="preserve"> </w:t>
      </w:r>
      <w:r>
        <w:rPr>
          <w:sz w:val="18"/>
        </w:rPr>
        <w:t>Australia</w:t>
      </w:r>
      <w:r>
        <w:rPr>
          <w:spacing w:val="-9"/>
          <w:sz w:val="18"/>
        </w:rPr>
        <w:t xml:space="preserve"> </w:t>
      </w:r>
      <w:r>
        <w:rPr>
          <w:sz w:val="18"/>
        </w:rPr>
        <w:t>has</w:t>
      </w:r>
      <w:r>
        <w:rPr>
          <w:spacing w:val="-11"/>
          <w:sz w:val="18"/>
        </w:rPr>
        <w:t xml:space="preserve"> </w:t>
      </w:r>
      <w:r>
        <w:rPr>
          <w:sz w:val="18"/>
        </w:rPr>
        <w:t>then</w:t>
      </w:r>
      <w:r>
        <w:rPr>
          <w:spacing w:val="-7"/>
          <w:sz w:val="18"/>
        </w:rPr>
        <w:t xml:space="preserve"> </w:t>
      </w:r>
      <w:r>
        <w:rPr>
          <w:sz w:val="18"/>
        </w:rPr>
        <w:t>calculated</w:t>
      </w:r>
      <w:r>
        <w:rPr>
          <w:spacing w:val="-7"/>
          <w:sz w:val="18"/>
        </w:rPr>
        <w:t xml:space="preserve"> </w:t>
      </w:r>
      <w:r>
        <w:rPr>
          <w:sz w:val="18"/>
        </w:rPr>
        <w:t>the</w:t>
      </w:r>
      <w:r>
        <w:rPr>
          <w:spacing w:val="-7"/>
          <w:sz w:val="18"/>
        </w:rPr>
        <w:t xml:space="preserve"> </w:t>
      </w:r>
      <w:r>
        <w:rPr>
          <w:sz w:val="18"/>
        </w:rPr>
        <w:t>yearly</w:t>
      </w:r>
      <w:r>
        <w:rPr>
          <w:spacing w:val="-9"/>
          <w:sz w:val="18"/>
        </w:rPr>
        <w:t xml:space="preserve"> </w:t>
      </w:r>
      <w:r>
        <w:rPr>
          <w:sz w:val="18"/>
        </w:rPr>
        <w:t>change</w:t>
      </w:r>
      <w:r>
        <w:rPr>
          <w:spacing w:val="-7"/>
          <w:sz w:val="18"/>
        </w:rPr>
        <w:t xml:space="preserve"> </w:t>
      </w:r>
      <w:r>
        <w:rPr>
          <w:sz w:val="18"/>
        </w:rPr>
        <w:t>by</w:t>
      </w:r>
      <w:r>
        <w:rPr>
          <w:spacing w:val="-9"/>
          <w:sz w:val="18"/>
        </w:rPr>
        <w:t xml:space="preserve"> </w:t>
      </w:r>
      <w:r>
        <w:rPr>
          <w:sz w:val="18"/>
        </w:rPr>
        <w:t>subtracting</w:t>
      </w:r>
      <w:r>
        <w:rPr>
          <w:spacing w:val="-7"/>
          <w:sz w:val="18"/>
        </w:rPr>
        <w:t xml:space="preserve"> </w:t>
      </w:r>
      <w:r>
        <w:rPr>
          <w:sz w:val="18"/>
        </w:rPr>
        <w:t>each</w:t>
      </w:r>
      <w:r>
        <w:rPr>
          <w:spacing w:val="-7"/>
          <w:sz w:val="18"/>
        </w:rPr>
        <w:t xml:space="preserve"> </w:t>
      </w:r>
      <w:r>
        <w:rPr>
          <w:sz w:val="18"/>
        </w:rPr>
        <w:t>yearly</w:t>
      </w:r>
      <w:r>
        <w:rPr>
          <w:spacing w:val="-11"/>
          <w:sz w:val="18"/>
        </w:rPr>
        <w:t xml:space="preserve"> </w:t>
      </w:r>
      <w:r>
        <w:rPr>
          <w:sz w:val="18"/>
        </w:rPr>
        <w:t>total from the preceding year. The output volumes calculated for each year are: 117,000kl (2015), 100,500kl (2016), 138,000kl (2017), 124,700kl (2018), 110,200kl (2019).</w:t>
      </w:r>
    </w:p>
    <w:p w14:paraId="1532F3E5" w14:textId="77777777" w:rsidR="00BD462C" w:rsidRDefault="00033D0F">
      <w:pPr>
        <w:spacing w:before="1"/>
        <w:ind w:left="135"/>
        <w:jc w:val="both"/>
        <w:rPr>
          <w:sz w:val="18"/>
        </w:rPr>
      </w:pPr>
      <w:r>
        <w:rPr>
          <w:position w:val="5"/>
          <w:sz w:val="12"/>
        </w:rPr>
        <w:t>884</w:t>
      </w:r>
      <w:r>
        <w:rPr>
          <w:spacing w:val="14"/>
          <w:position w:val="5"/>
          <w:sz w:val="12"/>
        </w:rPr>
        <w:t xml:space="preserve"> </w:t>
      </w:r>
      <w:r>
        <w:rPr>
          <w:sz w:val="18"/>
        </w:rPr>
        <w:t>Australia</w:t>
      </w:r>
      <w:r>
        <w:rPr>
          <w:spacing w:val="-6"/>
          <w:sz w:val="18"/>
        </w:rPr>
        <w:t xml:space="preserve"> </w:t>
      </w:r>
      <w:r>
        <w:rPr>
          <w:sz w:val="18"/>
        </w:rPr>
        <w:t>has</w:t>
      </w:r>
      <w:r>
        <w:rPr>
          <w:spacing w:val="-5"/>
          <w:sz w:val="18"/>
        </w:rPr>
        <w:t xml:space="preserve"> </w:t>
      </w:r>
      <w:r>
        <w:rPr>
          <w:sz w:val="18"/>
        </w:rPr>
        <w:t>calculated</w:t>
      </w:r>
      <w:r>
        <w:rPr>
          <w:spacing w:val="-5"/>
          <w:sz w:val="18"/>
        </w:rPr>
        <w:t xml:space="preserve"> </w:t>
      </w:r>
      <w:r>
        <w:rPr>
          <w:sz w:val="18"/>
        </w:rPr>
        <w:t>the</w:t>
      </w:r>
      <w:r>
        <w:rPr>
          <w:spacing w:val="-1"/>
          <w:sz w:val="18"/>
        </w:rPr>
        <w:t xml:space="preserve"> </w:t>
      </w:r>
      <w:r>
        <w:rPr>
          <w:sz w:val="18"/>
        </w:rPr>
        <w:t>percentage using</w:t>
      </w:r>
      <w:r>
        <w:rPr>
          <w:spacing w:val="-5"/>
          <w:sz w:val="18"/>
        </w:rPr>
        <w:t xml:space="preserve"> </w:t>
      </w:r>
      <w:r>
        <w:rPr>
          <w:sz w:val="18"/>
        </w:rPr>
        <w:t>the</w:t>
      </w:r>
      <w:r>
        <w:rPr>
          <w:spacing w:val="-9"/>
          <w:sz w:val="18"/>
        </w:rPr>
        <w:t xml:space="preserve"> </w:t>
      </w:r>
      <w:r>
        <w:rPr>
          <w:sz w:val="18"/>
        </w:rPr>
        <w:t>following</w:t>
      </w:r>
      <w:r>
        <w:rPr>
          <w:spacing w:val="-4"/>
          <w:sz w:val="18"/>
        </w:rPr>
        <w:t xml:space="preserve"> </w:t>
      </w:r>
      <w:r>
        <w:rPr>
          <w:sz w:val="18"/>
        </w:rPr>
        <w:t>formula:</w:t>
      </w:r>
      <w:r>
        <w:rPr>
          <w:spacing w:val="-2"/>
          <w:sz w:val="18"/>
        </w:rPr>
        <w:t xml:space="preserve"> </w:t>
      </w:r>
      <w:r>
        <w:rPr>
          <w:sz w:val="18"/>
        </w:rPr>
        <w:t>(Output</w:t>
      </w:r>
      <w:r>
        <w:rPr>
          <w:spacing w:val="-4"/>
          <w:sz w:val="18"/>
        </w:rPr>
        <w:t xml:space="preserve"> </w:t>
      </w:r>
      <w:r>
        <w:rPr>
          <w:sz w:val="18"/>
        </w:rPr>
        <w:t>volume</w:t>
      </w:r>
      <w:r>
        <w:rPr>
          <w:spacing w:val="-5"/>
          <w:sz w:val="18"/>
        </w:rPr>
        <w:t xml:space="preserve"> </w:t>
      </w:r>
      <w:r>
        <w:rPr>
          <w:sz w:val="18"/>
        </w:rPr>
        <w:t>/</w:t>
      </w:r>
      <w:r>
        <w:rPr>
          <w:spacing w:val="-3"/>
          <w:sz w:val="18"/>
        </w:rPr>
        <w:t xml:space="preserve"> </w:t>
      </w:r>
      <w:r>
        <w:rPr>
          <w:sz w:val="18"/>
        </w:rPr>
        <w:t>apparent</w:t>
      </w:r>
      <w:r>
        <w:rPr>
          <w:spacing w:val="-4"/>
          <w:sz w:val="18"/>
        </w:rPr>
        <w:t xml:space="preserve"> </w:t>
      </w:r>
      <w:proofErr w:type="gramStart"/>
      <w:r>
        <w:rPr>
          <w:spacing w:val="-2"/>
          <w:sz w:val="18"/>
        </w:rPr>
        <w:t>consumption)*</w:t>
      </w:r>
      <w:proofErr w:type="gramEnd"/>
      <w:r>
        <w:rPr>
          <w:spacing w:val="-2"/>
          <w:sz w:val="18"/>
        </w:rPr>
        <w:t>100.</w:t>
      </w:r>
    </w:p>
    <w:p w14:paraId="5EC35555" w14:textId="77777777" w:rsidR="00BD462C" w:rsidRDefault="00033D0F">
      <w:pPr>
        <w:spacing w:before="5" w:line="235" w:lineRule="auto"/>
        <w:ind w:left="136" w:right="904" w:hanging="1"/>
        <w:jc w:val="both"/>
        <w:rPr>
          <w:sz w:val="18"/>
        </w:rPr>
      </w:pPr>
      <w:r>
        <w:rPr>
          <w:position w:val="5"/>
          <w:sz w:val="12"/>
        </w:rPr>
        <w:t>885</w:t>
      </w:r>
      <w:r>
        <w:rPr>
          <w:spacing w:val="26"/>
          <w:position w:val="5"/>
          <w:sz w:val="12"/>
        </w:rPr>
        <w:t xml:space="preserve"> </w:t>
      </w:r>
      <w:r>
        <w:rPr>
          <w:sz w:val="18"/>
        </w:rPr>
        <w:t>Anti-Dumping Final Determination (Exhibit AUS-2), p. 148. Australia has calculated the yearly change by subtracting the "Import volume of the product under investigation" for each year, from the value provided for the preceding year.</w:t>
      </w:r>
    </w:p>
    <w:p w14:paraId="06AD801D" w14:textId="77777777" w:rsidR="00BD462C" w:rsidRDefault="00033D0F">
      <w:pPr>
        <w:spacing w:before="2"/>
        <w:ind w:left="135"/>
        <w:jc w:val="both"/>
        <w:rPr>
          <w:sz w:val="18"/>
        </w:rPr>
      </w:pPr>
      <w:bookmarkStart w:id="1202" w:name="_bookmark1036"/>
      <w:bookmarkEnd w:id="1202"/>
      <w:r>
        <w:rPr>
          <w:position w:val="5"/>
          <w:sz w:val="12"/>
        </w:rPr>
        <w:t>886</w:t>
      </w:r>
      <w:r>
        <w:rPr>
          <w:spacing w:val="12"/>
          <w:position w:val="5"/>
          <w:sz w:val="12"/>
        </w:rPr>
        <w:t xml:space="preserve"> </w:t>
      </w:r>
      <w:r>
        <w:rPr>
          <w:sz w:val="18"/>
        </w:rPr>
        <w:t>Anti-Dumping</w:t>
      </w:r>
      <w:r>
        <w:rPr>
          <w:spacing w:val="-6"/>
          <w:sz w:val="18"/>
        </w:rPr>
        <w:t xml:space="preserve"> </w:t>
      </w:r>
      <w:r>
        <w:rPr>
          <w:sz w:val="18"/>
        </w:rPr>
        <w:t>Final</w:t>
      </w:r>
      <w:r>
        <w:rPr>
          <w:spacing w:val="-1"/>
          <w:sz w:val="18"/>
        </w:rPr>
        <w:t xml:space="preserve"> </w:t>
      </w:r>
      <w:r>
        <w:rPr>
          <w:sz w:val="18"/>
        </w:rPr>
        <w:t>Determination</w:t>
      </w:r>
      <w:r>
        <w:rPr>
          <w:spacing w:val="-7"/>
          <w:sz w:val="18"/>
        </w:rPr>
        <w:t xml:space="preserve"> </w:t>
      </w:r>
      <w:r>
        <w:rPr>
          <w:sz w:val="18"/>
        </w:rPr>
        <w:t>(Exhibit</w:t>
      </w:r>
      <w:r>
        <w:rPr>
          <w:spacing w:val="-1"/>
          <w:sz w:val="18"/>
        </w:rPr>
        <w:t xml:space="preserve"> </w:t>
      </w:r>
      <w:r>
        <w:rPr>
          <w:sz w:val="18"/>
        </w:rPr>
        <w:t>AUS-2),</w:t>
      </w:r>
      <w:r>
        <w:rPr>
          <w:spacing w:val="-4"/>
          <w:sz w:val="18"/>
        </w:rPr>
        <w:t xml:space="preserve"> </w:t>
      </w:r>
      <w:r>
        <w:rPr>
          <w:sz w:val="18"/>
        </w:rPr>
        <w:t>p.</w:t>
      </w:r>
      <w:r>
        <w:rPr>
          <w:spacing w:val="-5"/>
          <w:sz w:val="18"/>
        </w:rPr>
        <w:t xml:space="preserve"> </w:t>
      </w:r>
      <w:r>
        <w:rPr>
          <w:spacing w:val="-4"/>
          <w:sz w:val="18"/>
        </w:rPr>
        <w:t>148.</w:t>
      </w:r>
    </w:p>
    <w:p w14:paraId="49189108" w14:textId="77777777" w:rsidR="00BD462C" w:rsidRDefault="00033D0F">
      <w:pPr>
        <w:spacing w:before="3" w:line="237" w:lineRule="auto"/>
        <w:ind w:left="136" w:right="904" w:hanging="1"/>
        <w:jc w:val="both"/>
        <w:rPr>
          <w:sz w:val="18"/>
        </w:rPr>
      </w:pPr>
      <w:bookmarkStart w:id="1203" w:name="_bookmark1037"/>
      <w:bookmarkEnd w:id="1203"/>
      <w:r>
        <w:rPr>
          <w:position w:val="5"/>
          <w:sz w:val="12"/>
        </w:rPr>
        <w:t>887</w:t>
      </w:r>
      <w:r>
        <w:rPr>
          <w:spacing w:val="30"/>
          <w:position w:val="5"/>
          <w:sz w:val="12"/>
        </w:rPr>
        <w:t xml:space="preserve"> </w:t>
      </w:r>
      <w:r>
        <w:rPr>
          <w:sz w:val="18"/>
        </w:rPr>
        <w:t xml:space="preserve">Anti-Dumping Final Determination (Exhibit AUS-2), p. 148. Australia has calculated the yearly import volumes for third countries using this formula: "Total national imports" – "Import volume of the product under investigation". Australia has </w:t>
      </w:r>
      <w:bookmarkStart w:id="1204" w:name="_bookmark1038"/>
      <w:bookmarkEnd w:id="1204"/>
      <w:r>
        <w:rPr>
          <w:sz w:val="18"/>
        </w:rPr>
        <w:t>then</w:t>
      </w:r>
      <w:r>
        <w:rPr>
          <w:spacing w:val="-3"/>
          <w:sz w:val="18"/>
        </w:rPr>
        <w:t xml:space="preserve"> </w:t>
      </w:r>
      <w:r>
        <w:rPr>
          <w:sz w:val="18"/>
        </w:rPr>
        <w:t>calculated</w:t>
      </w:r>
      <w:r>
        <w:rPr>
          <w:spacing w:val="-3"/>
          <w:sz w:val="18"/>
        </w:rPr>
        <w:t xml:space="preserve"> </w:t>
      </w:r>
      <w:r>
        <w:rPr>
          <w:sz w:val="18"/>
        </w:rPr>
        <w:t>the</w:t>
      </w:r>
      <w:r>
        <w:rPr>
          <w:spacing w:val="-2"/>
          <w:sz w:val="18"/>
        </w:rPr>
        <w:t xml:space="preserve"> </w:t>
      </w:r>
      <w:r>
        <w:rPr>
          <w:sz w:val="18"/>
        </w:rPr>
        <w:t>yearly</w:t>
      </w:r>
      <w:r>
        <w:rPr>
          <w:spacing w:val="-4"/>
          <w:sz w:val="18"/>
        </w:rPr>
        <w:t xml:space="preserve"> </w:t>
      </w:r>
      <w:r>
        <w:rPr>
          <w:sz w:val="18"/>
        </w:rPr>
        <w:t>change</w:t>
      </w:r>
      <w:r>
        <w:rPr>
          <w:spacing w:val="-2"/>
          <w:sz w:val="18"/>
        </w:rPr>
        <w:t xml:space="preserve"> </w:t>
      </w:r>
      <w:r>
        <w:rPr>
          <w:sz w:val="18"/>
        </w:rPr>
        <w:t>volume</w:t>
      </w:r>
      <w:r>
        <w:rPr>
          <w:spacing w:val="-7"/>
          <w:sz w:val="18"/>
        </w:rPr>
        <w:t xml:space="preserve"> </w:t>
      </w:r>
      <w:r>
        <w:rPr>
          <w:sz w:val="18"/>
        </w:rPr>
        <w:t>for</w:t>
      </w:r>
      <w:r>
        <w:rPr>
          <w:spacing w:val="-4"/>
          <w:sz w:val="18"/>
        </w:rPr>
        <w:t xml:space="preserve"> </w:t>
      </w:r>
      <w:r>
        <w:rPr>
          <w:sz w:val="18"/>
        </w:rPr>
        <w:t>third</w:t>
      </w:r>
      <w:r>
        <w:rPr>
          <w:spacing w:val="-3"/>
          <w:sz w:val="18"/>
        </w:rPr>
        <w:t xml:space="preserve"> </w:t>
      </w:r>
      <w:r>
        <w:rPr>
          <w:sz w:val="18"/>
        </w:rPr>
        <w:t>country</w:t>
      </w:r>
      <w:r>
        <w:rPr>
          <w:spacing w:val="-9"/>
          <w:sz w:val="18"/>
        </w:rPr>
        <w:t xml:space="preserve"> </w:t>
      </w:r>
      <w:r>
        <w:rPr>
          <w:sz w:val="18"/>
        </w:rPr>
        <w:t>imports</w:t>
      </w:r>
      <w:r>
        <w:rPr>
          <w:spacing w:val="-2"/>
          <w:sz w:val="18"/>
        </w:rPr>
        <w:t xml:space="preserve"> </w:t>
      </w:r>
      <w:r>
        <w:rPr>
          <w:sz w:val="18"/>
        </w:rPr>
        <w:t>by</w:t>
      </w:r>
      <w:r>
        <w:rPr>
          <w:spacing w:val="-4"/>
          <w:sz w:val="18"/>
        </w:rPr>
        <w:t xml:space="preserve"> </w:t>
      </w:r>
      <w:r>
        <w:rPr>
          <w:sz w:val="18"/>
        </w:rPr>
        <w:t>subtracting</w:t>
      </w:r>
      <w:r>
        <w:rPr>
          <w:spacing w:val="-2"/>
          <w:sz w:val="18"/>
        </w:rPr>
        <w:t xml:space="preserve"> </w:t>
      </w:r>
      <w:r>
        <w:rPr>
          <w:sz w:val="18"/>
        </w:rPr>
        <w:t>each</w:t>
      </w:r>
      <w:r>
        <w:rPr>
          <w:spacing w:val="-3"/>
          <w:sz w:val="18"/>
        </w:rPr>
        <w:t xml:space="preserve"> </w:t>
      </w:r>
      <w:r>
        <w:rPr>
          <w:sz w:val="18"/>
        </w:rPr>
        <w:t>yearly</w:t>
      </w:r>
      <w:r>
        <w:rPr>
          <w:spacing w:val="-4"/>
          <w:sz w:val="18"/>
        </w:rPr>
        <w:t xml:space="preserve"> </w:t>
      </w:r>
      <w:r>
        <w:rPr>
          <w:sz w:val="18"/>
        </w:rPr>
        <w:t>total</w:t>
      </w:r>
      <w:r>
        <w:rPr>
          <w:spacing w:val="-1"/>
          <w:sz w:val="18"/>
        </w:rPr>
        <w:t xml:space="preserve"> </w:t>
      </w:r>
      <w:r>
        <w:rPr>
          <w:sz w:val="18"/>
        </w:rPr>
        <w:t>from</w:t>
      </w:r>
      <w:r>
        <w:rPr>
          <w:spacing w:val="-4"/>
          <w:sz w:val="18"/>
        </w:rPr>
        <w:t xml:space="preserve"> </w:t>
      </w:r>
      <w:r>
        <w:rPr>
          <w:sz w:val="18"/>
        </w:rPr>
        <w:t>the</w:t>
      </w:r>
      <w:r>
        <w:rPr>
          <w:spacing w:val="-2"/>
          <w:sz w:val="18"/>
        </w:rPr>
        <w:t xml:space="preserve"> </w:t>
      </w:r>
      <w:r>
        <w:rPr>
          <w:sz w:val="18"/>
        </w:rPr>
        <w:t>preceding</w:t>
      </w:r>
      <w:r>
        <w:rPr>
          <w:spacing w:val="-2"/>
          <w:sz w:val="18"/>
        </w:rPr>
        <w:t xml:space="preserve"> </w:t>
      </w:r>
      <w:r>
        <w:rPr>
          <w:sz w:val="18"/>
        </w:rPr>
        <w:t>year.</w:t>
      </w:r>
    </w:p>
    <w:p w14:paraId="4E80B819" w14:textId="77777777" w:rsidR="00BD462C" w:rsidRDefault="00BD462C">
      <w:pPr>
        <w:spacing w:line="237" w:lineRule="auto"/>
        <w:jc w:val="both"/>
        <w:rPr>
          <w:sz w:val="18"/>
        </w:rPr>
        <w:sectPr w:rsidR="00BD462C">
          <w:pgSz w:w="11910" w:h="16840"/>
          <w:pgMar w:top="860" w:right="500" w:bottom="780" w:left="1280" w:header="566" w:footer="590" w:gutter="0"/>
          <w:cols w:space="720"/>
        </w:sectPr>
      </w:pPr>
    </w:p>
    <w:p w14:paraId="3B2368E8"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587C4D3E"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33AC2FDF"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6FB54A83" w14:textId="218B4807" w:rsidR="00BD462C" w:rsidRDefault="000F5FA7">
      <w:pPr>
        <w:pStyle w:val="BodyText"/>
        <w:spacing w:before="107" w:line="360" w:lineRule="auto"/>
        <w:ind w:left="135" w:right="913"/>
        <w:jc w:val="both"/>
      </w:pPr>
      <w:r>
        <w:rPr>
          <w:noProof/>
        </w:rPr>
        <w:t>574.</w:t>
      </w:r>
      <w:r w:rsidR="00033D0F">
        <w:rPr>
          <w:rFonts w:ascii="Times New Roman"/>
          <w:spacing w:val="40"/>
          <w:position w:val="1"/>
          <w:sz w:val="20"/>
        </w:rPr>
        <w:t xml:space="preserve">  </w:t>
      </w:r>
      <w:r w:rsidR="00033D0F">
        <w:rPr>
          <w:position w:val="1"/>
        </w:rPr>
        <w:t xml:space="preserve">Finally, the above clearly demonstrates that MOFCOM's determination that subject </w:t>
      </w:r>
      <w:r w:rsidR="00033D0F">
        <w:t>imports caused the sales volume and market share declines experienced by the domestic industry was</w:t>
      </w:r>
      <w:r w:rsidR="00033D0F">
        <w:rPr>
          <w:spacing w:val="-2"/>
        </w:rPr>
        <w:t xml:space="preserve"> </w:t>
      </w:r>
      <w:r w:rsidR="00033D0F">
        <w:t>inconsistent with</w:t>
      </w:r>
      <w:r w:rsidR="00033D0F">
        <w:rPr>
          <w:spacing w:val="-1"/>
        </w:rPr>
        <w:t xml:space="preserve"> </w:t>
      </w:r>
      <w:r w:rsidR="00033D0F">
        <w:t>evidence on</w:t>
      </w:r>
      <w:r w:rsidR="00033D0F">
        <w:rPr>
          <w:spacing w:val="-1"/>
        </w:rPr>
        <w:t xml:space="preserve"> </w:t>
      </w:r>
      <w:r w:rsidR="00033D0F">
        <w:t>the record.</w:t>
      </w:r>
      <w:hyperlink w:anchor="_bookmark1039" w:history="1">
        <w:r w:rsidR="00033D0F">
          <w:rPr>
            <w:vertAlign w:val="superscript"/>
          </w:rPr>
          <w:t>889</w:t>
        </w:r>
      </w:hyperlink>
      <w:r w:rsidR="00033D0F">
        <w:t xml:space="preserve"> Having regard to</w:t>
      </w:r>
      <w:r w:rsidR="00033D0F">
        <w:rPr>
          <w:spacing w:val="-1"/>
        </w:rPr>
        <w:t xml:space="preserve"> </w:t>
      </w:r>
      <w:r w:rsidR="00033D0F">
        <w:t>the totality</w:t>
      </w:r>
      <w:r w:rsidR="00033D0F">
        <w:rPr>
          <w:spacing w:val="-2"/>
        </w:rPr>
        <w:t xml:space="preserve"> </w:t>
      </w:r>
      <w:r w:rsidR="00033D0F">
        <w:t>of the evidence</w:t>
      </w:r>
      <w:r w:rsidR="00033D0F">
        <w:rPr>
          <w:spacing w:val="-4"/>
        </w:rPr>
        <w:t xml:space="preserve"> </w:t>
      </w:r>
      <w:r w:rsidR="00033D0F">
        <w:t>before</w:t>
      </w:r>
      <w:r w:rsidR="00033D0F">
        <w:rPr>
          <w:spacing w:val="-4"/>
        </w:rPr>
        <w:t xml:space="preserve"> </w:t>
      </w:r>
      <w:r w:rsidR="00033D0F">
        <w:t>MOFCOM,</w:t>
      </w:r>
      <w:r w:rsidR="00033D0F">
        <w:rPr>
          <w:spacing w:val="-2"/>
        </w:rPr>
        <w:t xml:space="preserve"> </w:t>
      </w:r>
      <w:r w:rsidR="00033D0F">
        <w:t>the</w:t>
      </w:r>
      <w:r w:rsidR="00033D0F">
        <w:rPr>
          <w:spacing w:val="-4"/>
        </w:rPr>
        <w:t xml:space="preserve"> </w:t>
      </w:r>
      <w:r w:rsidR="00033D0F">
        <w:t>asserted</w:t>
      </w:r>
      <w:r w:rsidR="00033D0F">
        <w:rPr>
          <w:spacing w:val="-6"/>
        </w:rPr>
        <w:t xml:space="preserve"> </w:t>
      </w:r>
      <w:r w:rsidR="00033D0F">
        <w:t>correlation</w:t>
      </w:r>
      <w:r w:rsidR="00033D0F">
        <w:rPr>
          <w:spacing w:val="-6"/>
        </w:rPr>
        <w:t xml:space="preserve"> </w:t>
      </w:r>
      <w:r w:rsidR="00033D0F">
        <w:t>between</w:t>
      </w:r>
      <w:r w:rsidR="00033D0F">
        <w:rPr>
          <w:spacing w:val="-6"/>
        </w:rPr>
        <w:t xml:space="preserve"> </w:t>
      </w:r>
      <w:r w:rsidR="00033D0F">
        <w:t>end-to-end</w:t>
      </w:r>
      <w:r w:rsidR="00033D0F">
        <w:rPr>
          <w:spacing w:val="-6"/>
        </w:rPr>
        <w:t xml:space="preserve"> </w:t>
      </w:r>
      <w:r w:rsidR="00033D0F">
        <w:t>volume</w:t>
      </w:r>
      <w:r w:rsidR="00033D0F">
        <w:rPr>
          <w:spacing w:val="-4"/>
        </w:rPr>
        <w:t xml:space="preserve"> </w:t>
      </w:r>
      <w:r w:rsidR="00033D0F">
        <w:t>and</w:t>
      </w:r>
      <w:r w:rsidR="00033D0F">
        <w:rPr>
          <w:spacing w:val="-1"/>
        </w:rPr>
        <w:t xml:space="preserve"> </w:t>
      </w:r>
      <w:r w:rsidR="00033D0F">
        <w:t>market share trends was insufficient to establish a relationship of cause and effect between subject imports and the volume and market share declines experienced by the domestic industry.</w:t>
      </w:r>
      <w:hyperlink w:anchor="_bookmark1040" w:history="1">
        <w:r w:rsidR="00033D0F">
          <w:rPr>
            <w:vertAlign w:val="superscript"/>
          </w:rPr>
          <w:t>890</w:t>
        </w:r>
      </w:hyperlink>
      <w:r w:rsidR="00033D0F">
        <w:t xml:space="preserve"> China's first written submission does not address or rebut the issues raised by Australia. Rather, it simply confirms the</w:t>
      </w:r>
      <w:r w:rsidR="00033D0F">
        <w:rPr>
          <w:spacing w:val="-1"/>
        </w:rPr>
        <w:t xml:space="preserve"> </w:t>
      </w:r>
      <w:r w:rsidR="00033D0F">
        <w:t>improper</w:t>
      </w:r>
      <w:r w:rsidR="00033D0F">
        <w:rPr>
          <w:spacing w:val="-2"/>
        </w:rPr>
        <w:t xml:space="preserve"> </w:t>
      </w:r>
      <w:r w:rsidR="00033D0F">
        <w:t>basis of</w:t>
      </w:r>
      <w:r w:rsidR="00033D0F">
        <w:rPr>
          <w:spacing w:val="-1"/>
        </w:rPr>
        <w:t xml:space="preserve"> </w:t>
      </w:r>
      <w:r w:rsidR="00033D0F">
        <w:t>MOFCOM's causation</w:t>
      </w:r>
      <w:r w:rsidR="00033D0F">
        <w:rPr>
          <w:spacing w:val="-2"/>
        </w:rPr>
        <w:t xml:space="preserve"> </w:t>
      </w:r>
      <w:r w:rsidR="00033D0F">
        <w:t>determination, that is, the alleged correlation between the market share percentage point changes in subject imports and the domestic industry.</w:t>
      </w:r>
      <w:hyperlink w:anchor="_bookmark1041" w:history="1">
        <w:r w:rsidR="00033D0F">
          <w:rPr>
            <w:vertAlign w:val="superscript"/>
          </w:rPr>
          <w:t>891</w:t>
        </w:r>
      </w:hyperlink>
    </w:p>
    <w:p w14:paraId="18F86EE4" w14:textId="77777777" w:rsidR="00BD462C" w:rsidRDefault="00033D0F">
      <w:pPr>
        <w:pStyle w:val="ListParagraph"/>
        <w:numPr>
          <w:ilvl w:val="0"/>
          <w:numId w:val="44"/>
        </w:numPr>
        <w:tabs>
          <w:tab w:val="left" w:pos="4388"/>
          <w:tab w:val="left" w:pos="4389"/>
        </w:tabs>
        <w:spacing w:before="151" w:line="362" w:lineRule="auto"/>
        <w:ind w:right="914"/>
        <w:jc w:val="both"/>
        <w:rPr>
          <w:i/>
          <w:sz w:val="24"/>
        </w:rPr>
      </w:pPr>
      <w:bookmarkStart w:id="1205" w:name="ii._Competition_between_subject_imports_"/>
      <w:bookmarkEnd w:id="1205"/>
      <w:r>
        <w:rPr>
          <w:i/>
          <w:sz w:val="24"/>
        </w:rPr>
        <w:t>Competition between subject imports and domestic like products</w:t>
      </w:r>
    </w:p>
    <w:p w14:paraId="0DC2D881" w14:textId="77777777" w:rsidR="00BD462C" w:rsidRDefault="00BD462C">
      <w:pPr>
        <w:pStyle w:val="BodyText"/>
        <w:spacing w:before="8"/>
        <w:rPr>
          <w:i/>
          <w:sz w:val="8"/>
        </w:rPr>
      </w:pPr>
    </w:p>
    <w:p w14:paraId="06F87EC5" w14:textId="074796CA" w:rsidR="00BD462C" w:rsidRDefault="000F5FA7">
      <w:pPr>
        <w:pStyle w:val="BodyText"/>
        <w:spacing w:before="56" w:line="355" w:lineRule="auto"/>
        <w:ind w:left="135"/>
      </w:pPr>
      <w:r>
        <w:rPr>
          <w:noProof/>
        </w:rPr>
        <w:t>575.</w:t>
      </w:r>
      <w:r w:rsidR="00033D0F">
        <w:rPr>
          <w:rFonts w:ascii="Times New Roman"/>
          <w:spacing w:val="80"/>
          <w:position w:val="1"/>
          <w:sz w:val="20"/>
        </w:rPr>
        <w:t xml:space="preserve">   </w:t>
      </w:r>
      <w:r w:rsidR="00033D0F">
        <w:rPr>
          <w:position w:val="1"/>
        </w:rPr>
        <w:t>The</w:t>
      </w:r>
      <w:r w:rsidR="00033D0F">
        <w:rPr>
          <w:spacing w:val="21"/>
          <w:position w:val="1"/>
        </w:rPr>
        <w:t xml:space="preserve"> </w:t>
      </w:r>
      <w:r w:rsidR="00033D0F">
        <w:rPr>
          <w:position w:val="1"/>
        </w:rPr>
        <w:t>parties</w:t>
      </w:r>
      <w:r w:rsidR="00033D0F">
        <w:rPr>
          <w:spacing w:val="23"/>
          <w:position w:val="1"/>
        </w:rPr>
        <w:t xml:space="preserve"> </w:t>
      </w:r>
      <w:r w:rsidR="00033D0F">
        <w:rPr>
          <w:position w:val="1"/>
        </w:rPr>
        <w:t>disagree</w:t>
      </w:r>
      <w:r w:rsidR="00033D0F">
        <w:rPr>
          <w:spacing w:val="22"/>
          <w:position w:val="1"/>
        </w:rPr>
        <w:t xml:space="preserve"> </w:t>
      </w:r>
      <w:r w:rsidR="00033D0F">
        <w:rPr>
          <w:position w:val="1"/>
        </w:rPr>
        <w:t>on</w:t>
      </w:r>
      <w:r w:rsidR="00033D0F">
        <w:rPr>
          <w:spacing w:val="20"/>
          <w:position w:val="1"/>
        </w:rPr>
        <w:t xml:space="preserve"> </w:t>
      </w:r>
      <w:r w:rsidR="00033D0F">
        <w:rPr>
          <w:position w:val="1"/>
        </w:rPr>
        <w:t>two</w:t>
      </w:r>
      <w:r w:rsidR="00033D0F">
        <w:rPr>
          <w:spacing w:val="19"/>
          <w:position w:val="1"/>
        </w:rPr>
        <w:t xml:space="preserve"> </w:t>
      </w:r>
      <w:r w:rsidR="00033D0F">
        <w:rPr>
          <w:position w:val="1"/>
        </w:rPr>
        <w:t>key</w:t>
      </w:r>
      <w:r w:rsidR="00033D0F">
        <w:rPr>
          <w:spacing w:val="23"/>
          <w:position w:val="1"/>
        </w:rPr>
        <w:t xml:space="preserve"> </w:t>
      </w:r>
      <w:r w:rsidR="00033D0F">
        <w:rPr>
          <w:position w:val="1"/>
        </w:rPr>
        <w:t>points</w:t>
      </w:r>
      <w:r w:rsidR="00033D0F">
        <w:rPr>
          <w:spacing w:val="23"/>
          <w:position w:val="1"/>
        </w:rPr>
        <w:t xml:space="preserve"> </w:t>
      </w:r>
      <w:r w:rsidR="00033D0F">
        <w:rPr>
          <w:position w:val="1"/>
        </w:rPr>
        <w:t>regarding</w:t>
      </w:r>
      <w:r w:rsidR="00033D0F">
        <w:rPr>
          <w:spacing w:val="23"/>
          <w:position w:val="1"/>
        </w:rPr>
        <w:t xml:space="preserve"> </w:t>
      </w:r>
      <w:r w:rsidR="00033D0F">
        <w:rPr>
          <w:position w:val="1"/>
        </w:rPr>
        <w:t>MOFCOM's</w:t>
      </w:r>
      <w:r w:rsidR="00033D0F">
        <w:rPr>
          <w:spacing w:val="23"/>
          <w:position w:val="1"/>
        </w:rPr>
        <w:t xml:space="preserve"> </w:t>
      </w:r>
      <w:r w:rsidR="00033D0F">
        <w:rPr>
          <w:position w:val="1"/>
        </w:rPr>
        <w:t>consideration</w:t>
      </w:r>
      <w:r w:rsidR="00033D0F">
        <w:rPr>
          <w:spacing w:val="20"/>
          <w:position w:val="1"/>
        </w:rPr>
        <w:t xml:space="preserve"> </w:t>
      </w:r>
      <w:r w:rsidR="00033D0F">
        <w:rPr>
          <w:position w:val="1"/>
        </w:rPr>
        <w:t>of</w:t>
      </w:r>
      <w:r w:rsidR="00033D0F">
        <w:rPr>
          <w:spacing w:val="20"/>
          <w:position w:val="1"/>
        </w:rPr>
        <w:t xml:space="preserve"> </w:t>
      </w:r>
      <w:r w:rsidR="00033D0F">
        <w:rPr>
          <w:position w:val="1"/>
        </w:rPr>
        <w:t xml:space="preserve">the </w:t>
      </w:r>
      <w:r w:rsidR="00033D0F">
        <w:t>competitive relationship between subject imports and domestic like products.</w:t>
      </w:r>
    </w:p>
    <w:p w14:paraId="0623FDFF" w14:textId="77777777" w:rsidR="00BD462C" w:rsidRDefault="00BD462C">
      <w:pPr>
        <w:pStyle w:val="BodyText"/>
        <w:spacing w:before="3"/>
        <w:rPr>
          <w:sz w:val="9"/>
        </w:rPr>
      </w:pPr>
    </w:p>
    <w:p w14:paraId="2DD3DC7B" w14:textId="6C58BDB3" w:rsidR="00BD462C" w:rsidRDefault="00BB6E3A">
      <w:pPr>
        <w:pStyle w:val="BodyText"/>
        <w:spacing w:before="57" w:line="360" w:lineRule="auto"/>
        <w:ind w:left="135" w:right="911"/>
        <w:jc w:val="both"/>
      </w:pPr>
      <w:r>
        <w:rPr>
          <w:noProof/>
        </w:rPr>
        <w:t>576.</w:t>
      </w:r>
      <w:r w:rsidR="00033D0F">
        <w:rPr>
          <w:rFonts w:ascii="Times New Roman"/>
          <w:spacing w:val="80"/>
          <w:position w:val="1"/>
          <w:sz w:val="20"/>
        </w:rPr>
        <w:t xml:space="preserve">  </w:t>
      </w:r>
      <w:r w:rsidR="00033D0F">
        <w:rPr>
          <w:position w:val="1"/>
        </w:rPr>
        <w:t xml:space="preserve">First, the parties disagree as to whether MOFCOM properly established that subject </w:t>
      </w:r>
      <w:r w:rsidR="00033D0F">
        <w:t>imports were in direct competition or were substitutable with domestic like products. This disagreement</w:t>
      </w:r>
      <w:r w:rsidR="00033D0F">
        <w:rPr>
          <w:spacing w:val="-6"/>
        </w:rPr>
        <w:t xml:space="preserve"> </w:t>
      </w:r>
      <w:r w:rsidR="00033D0F">
        <w:t>is</w:t>
      </w:r>
      <w:r w:rsidR="00033D0F">
        <w:rPr>
          <w:spacing w:val="-5"/>
        </w:rPr>
        <w:t xml:space="preserve"> </w:t>
      </w:r>
      <w:r w:rsidR="00033D0F">
        <w:t>largely</w:t>
      </w:r>
      <w:r w:rsidR="00033D0F">
        <w:rPr>
          <w:spacing w:val="-5"/>
        </w:rPr>
        <w:t xml:space="preserve"> </w:t>
      </w:r>
      <w:r w:rsidR="00033D0F">
        <w:t>factual</w:t>
      </w:r>
      <w:r w:rsidR="00033D0F">
        <w:rPr>
          <w:spacing w:val="-4"/>
        </w:rPr>
        <w:t xml:space="preserve"> </w:t>
      </w:r>
      <w:r w:rsidR="00033D0F">
        <w:t>in</w:t>
      </w:r>
      <w:r w:rsidR="00033D0F">
        <w:rPr>
          <w:spacing w:val="-8"/>
        </w:rPr>
        <w:t xml:space="preserve"> </w:t>
      </w:r>
      <w:r w:rsidR="00033D0F">
        <w:t>nature.</w:t>
      </w:r>
      <w:hyperlink w:anchor="_bookmark1042" w:history="1">
        <w:r w:rsidR="00033D0F">
          <w:rPr>
            <w:vertAlign w:val="superscript"/>
          </w:rPr>
          <w:t>892</w:t>
        </w:r>
      </w:hyperlink>
      <w:r w:rsidR="00033D0F">
        <w:rPr>
          <w:spacing w:val="-5"/>
        </w:rPr>
        <w:t xml:space="preserve"> </w:t>
      </w:r>
      <w:r w:rsidR="00033D0F">
        <w:t>China's</w:t>
      </w:r>
      <w:r w:rsidR="00033D0F">
        <w:rPr>
          <w:spacing w:val="-5"/>
        </w:rPr>
        <w:t xml:space="preserve"> </w:t>
      </w:r>
      <w:r w:rsidR="00033D0F">
        <w:t>position</w:t>
      </w:r>
      <w:r w:rsidR="00033D0F">
        <w:rPr>
          <w:spacing w:val="-8"/>
        </w:rPr>
        <w:t xml:space="preserve"> </w:t>
      </w:r>
      <w:r w:rsidR="00033D0F">
        <w:t>is</w:t>
      </w:r>
      <w:r w:rsidR="00033D0F">
        <w:rPr>
          <w:spacing w:val="-5"/>
        </w:rPr>
        <w:t xml:space="preserve"> </w:t>
      </w:r>
      <w:r w:rsidR="00033D0F">
        <w:t>that</w:t>
      </w:r>
      <w:r w:rsidR="00033D0F">
        <w:rPr>
          <w:spacing w:val="-6"/>
        </w:rPr>
        <w:t xml:space="preserve"> </w:t>
      </w:r>
      <w:r w:rsidR="00033D0F">
        <w:t>MOFCOM's</w:t>
      </w:r>
      <w:r w:rsidR="00033D0F">
        <w:rPr>
          <w:spacing w:val="-5"/>
        </w:rPr>
        <w:t xml:space="preserve"> </w:t>
      </w:r>
      <w:r w:rsidR="00033D0F">
        <w:t>determination was</w:t>
      </w:r>
      <w:r w:rsidR="00033D0F">
        <w:rPr>
          <w:spacing w:val="-1"/>
        </w:rPr>
        <w:t xml:space="preserve"> </w:t>
      </w:r>
      <w:r w:rsidR="00033D0F">
        <w:t>justified</w:t>
      </w:r>
      <w:r w:rsidR="00033D0F">
        <w:rPr>
          <w:spacing w:val="-4"/>
        </w:rPr>
        <w:t xml:space="preserve"> </w:t>
      </w:r>
      <w:r w:rsidR="00033D0F">
        <w:t>based</w:t>
      </w:r>
      <w:r w:rsidR="00033D0F">
        <w:rPr>
          <w:spacing w:val="-4"/>
        </w:rPr>
        <w:t xml:space="preserve"> </w:t>
      </w:r>
      <w:r w:rsidR="00033D0F">
        <w:t>on</w:t>
      </w:r>
      <w:r w:rsidR="00033D0F">
        <w:rPr>
          <w:spacing w:val="-4"/>
        </w:rPr>
        <w:t xml:space="preserve"> </w:t>
      </w:r>
      <w:r w:rsidR="00033D0F">
        <w:t>its</w:t>
      </w:r>
      <w:r w:rsidR="00033D0F">
        <w:rPr>
          <w:spacing w:val="-1"/>
        </w:rPr>
        <w:t xml:space="preserve"> </w:t>
      </w:r>
      <w:r w:rsidR="00033D0F">
        <w:t>finding</w:t>
      </w:r>
      <w:r w:rsidR="00033D0F">
        <w:rPr>
          <w:spacing w:val="-1"/>
        </w:rPr>
        <w:t xml:space="preserve"> </w:t>
      </w:r>
      <w:r w:rsidR="00033D0F">
        <w:t>that</w:t>
      </w:r>
      <w:r w:rsidR="00033D0F">
        <w:rPr>
          <w:spacing w:val="-2"/>
        </w:rPr>
        <w:t xml:space="preserve"> </w:t>
      </w:r>
      <w:r w:rsidR="00033D0F">
        <w:t>the</w:t>
      </w:r>
      <w:r w:rsidR="00033D0F">
        <w:rPr>
          <w:spacing w:val="-3"/>
        </w:rPr>
        <w:t xml:space="preserve"> </w:t>
      </w:r>
      <w:r w:rsidR="00033D0F">
        <w:t>products</w:t>
      </w:r>
      <w:r w:rsidR="00033D0F">
        <w:rPr>
          <w:spacing w:val="-1"/>
        </w:rPr>
        <w:t xml:space="preserve"> </w:t>
      </w:r>
      <w:r w:rsidR="00033D0F">
        <w:t>were</w:t>
      </w:r>
      <w:r w:rsidR="00033D0F">
        <w:rPr>
          <w:spacing w:val="-2"/>
        </w:rPr>
        <w:t xml:space="preserve"> </w:t>
      </w:r>
      <w:r w:rsidR="00033D0F">
        <w:t>sufficiently</w:t>
      </w:r>
      <w:r w:rsidR="00033D0F">
        <w:rPr>
          <w:spacing w:val="-1"/>
        </w:rPr>
        <w:t xml:space="preserve"> </w:t>
      </w:r>
      <w:r w:rsidR="00033D0F">
        <w:t>similar</w:t>
      </w:r>
      <w:r w:rsidR="00033D0F">
        <w:rPr>
          <w:spacing w:val="-5"/>
        </w:rPr>
        <w:t xml:space="preserve"> </w:t>
      </w:r>
      <w:r w:rsidR="00033D0F">
        <w:t>because</w:t>
      </w:r>
      <w:r w:rsidR="00033D0F">
        <w:rPr>
          <w:spacing w:val="-2"/>
        </w:rPr>
        <w:t xml:space="preserve"> </w:t>
      </w:r>
      <w:r w:rsidR="00033D0F">
        <w:t>they</w:t>
      </w:r>
      <w:r w:rsidR="00033D0F">
        <w:rPr>
          <w:spacing w:val="-1"/>
        </w:rPr>
        <w:t xml:space="preserve"> </w:t>
      </w:r>
      <w:r w:rsidR="00033D0F">
        <w:t>had the same end use, physical characteristics and sales channels.</w:t>
      </w:r>
      <w:hyperlink w:anchor="_bookmark1043" w:history="1">
        <w:r w:rsidR="00033D0F">
          <w:rPr>
            <w:vertAlign w:val="superscript"/>
          </w:rPr>
          <w:t>893</w:t>
        </w:r>
      </w:hyperlink>
      <w:r w:rsidR="00033D0F">
        <w:t xml:space="preserve"> In contrast, Australia's position is that MOFCOM's determination was insufficient because its examination failed to account for:</w:t>
      </w:r>
      <w:r w:rsidR="00033D0F">
        <w:rPr>
          <w:spacing w:val="-5"/>
        </w:rPr>
        <w:t xml:space="preserve"> </w:t>
      </w:r>
      <w:r w:rsidR="00033D0F">
        <w:t>(i) differences</w:t>
      </w:r>
      <w:r w:rsidR="00033D0F">
        <w:rPr>
          <w:spacing w:val="-1"/>
        </w:rPr>
        <w:t xml:space="preserve"> </w:t>
      </w:r>
      <w:r w:rsidR="00033D0F">
        <w:t>in product mix</w:t>
      </w:r>
      <w:r w:rsidR="00033D0F">
        <w:rPr>
          <w:spacing w:val="-1"/>
        </w:rPr>
        <w:t xml:space="preserve"> </w:t>
      </w:r>
      <w:r w:rsidR="00033D0F">
        <w:t>and</w:t>
      </w:r>
      <w:r w:rsidR="00033D0F">
        <w:rPr>
          <w:spacing w:val="-4"/>
        </w:rPr>
        <w:t xml:space="preserve"> </w:t>
      </w:r>
      <w:r w:rsidR="00033D0F">
        <w:t>the segmentation</w:t>
      </w:r>
      <w:r w:rsidR="00033D0F">
        <w:rPr>
          <w:spacing w:val="-4"/>
        </w:rPr>
        <w:t xml:space="preserve"> </w:t>
      </w:r>
      <w:r w:rsidR="00033D0F">
        <w:t>of</w:t>
      </w:r>
      <w:r w:rsidR="00033D0F">
        <w:rPr>
          <w:spacing w:val="-4"/>
        </w:rPr>
        <w:t xml:space="preserve"> </w:t>
      </w:r>
      <w:r w:rsidR="00033D0F">
        <w:t>China's</w:t>
      </w:r>
      <w:r w:rsidR="00033D0F">
        <w:rPr>
          <w:spacing w:val="-1"/>
        </w:rPr>
        <w:t xml:space="preserve"> </w:t>
      </w:r>
      <w:r w:rsidR="00033D0F">
        <w:t>market;</w:t>
      </w:r>
      <w:hyperlink w:anchor="_bookmark1044" w:history="1">
        <w:r w:rsidR="00033D0F">
          <w:rPr>
            <w:vertAlign w:val="superscript"/>
          </w:rPr>
          <w:t>894</w:t>
        </w:r>
      </w:hyperlink>
      <w:r w:rsidR="00033D0F">
        <w:rPr>
          <w:spacing w:val="-2"/>
        </w:rPr>
        <w:t xml:space="preserve"> </w:t>
      </w:r>
      <w:r w:rsidR="00033D0F">
        <w:t>and (ii) that consumer preferences and perceptions resulted in subject imports being considered to</w:t>
      </w:r>
    </w:p>
    <w:p w14:paraId="33BE210B" w14:textId="15A94C80" w:rsidR="00BD462C" w:rsidRDefault="00752F01">
      <w:pPr>
        <w:pStyle w:val="BodyText"/>
        <w:rPr>
          <w:sz w:val="20"/>
        </w:rPr>
      </w:pPr>
      <w:r>
        <w:rPr>
          <w:noProof/>
        </w:rPr>
        <mc:AlternateContent>
          <mc:Choice Requires="wps">
            <w:drawing>
              <wp:anchor distT="0" distB="0" distL="0" distR="0" simplePos="0" relativeHeight="488227328" behindDoc="1" locked="0" layoutInCell="1" allowOverlap="1" wp14:anchorId="21A9696E" wp14:editId="1AE888EB">
                <wp:simplePos x="0" y="0"/>
                <wp:positionH relativeFrom="page">
                  <wp:posOffset>812800</wp:posOffset>
                </wp:positionH>
                <wp:positionV relativeFrom="paragraph">
                  <wp:posOffset>356870</wp:posOffset>
                </wp:positionV>
                <wp:extent cx="1828800" cy="8890"/>
                <wp:effectExtent l="0" t="0" r="0" b="0"/>
                <wp:wrapTopAndBottom/>
                <wp:docPr id="203" name="docshape6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CD201A" id="docshape664" o:spid="_x0000_s1026" alt="&quot;&quot;" style="position:absolute;margin-left:64pt;margin-top:28.1pt;width:2in;height:.7pt;z-index:-15089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" fillcolor="black" stroked="f">
                <w10:wrap type="topAndBottom" anchorx="page"/>
              </v:rect>
            </w:pict>
          </mc:Fallback>
        </mc:AlternateContent>
      </w:r>
    </w:p>
    <w:p w14:paraId="20066BFB" w14:textId="2B23C0D4" w:rsidR="00BD462C" w:rsidRDefault="00BD462C">
      <w:pPr>
        <w:pStyle w:val="BodyText"/>
        <w:spacing w:before="8"/>
        <w:rPr>
          <w:sz w:val="25"/>
        </w:rPr>
      </w:pPr>
    </w:p>
    <w:p w14:paraId="31692C83" w14:textId="77777777" w:rsidR="00BD462C" w:rsidRDefault="00033D0F">
      <w:pPr>
        <w:spacing w:before="112"/>
        <w:ind w:left="136" w:right="910" w:hanging="1"/>
        <w:jc w:val="both"/>
        <w:rPr>
          <w:sz w:val="18"/>
        </w:rPr>
      </w:pPr>
      <w:r>
        <w:rPr>
          <w:position w:val="5"/>
          <w:sz w:val="12"/>
        </w:rPr>
        <w:t>888</w:t>
      </w:r>
      <w:r>
        <w:rPr>
          <w:spacing w:val="35"/>
          <w:position w:val="5"/>
          <w:sz w:val="12"/>
        </w:rPr>
        <w:t xml:space="preserve"> </w:t>
      </w:r>
      <w:r>
        <w:rPr>
          <w:sz w:val="18"/>
        </w:rPr>
        <w:t xml:space="preserve">Australia has calculated the market share of third country imports using the following formula: (Third country import volume / apparent </w:t>
      </w:r>
      <w:proofErr w:type="gramStart"/>
      <w:r>
        <w:rPr>
          <w:sz w:val="18"/>
        </w:rPr>
        <w:t>consumption)*</w:t>
      </w:r>
      <w:proofErr w:type="gramEnd"/>
      <w:r>
        <w:rPr>
          <w:sz w:val="18"/>
        </w:rPr>
        <w:t>100.</w:t>
      </w:r>
    </w:p>
    <w:p w14:paraId="2ADD7D80" w14:textId="77777777" w:rsidR="00BD462C" w:rsidRDefault="00033D0F">
      <w:pPr>
        <w:spacing w:before="2"/>
        <w:ind w:left="135"/>
        <w:jc w:val="both"/>
        <w:rPr>
          <w:sz w:val="18"/>
        </w:rPr>
      </w:pPr>
      <w:bookmarkStart w:id="1206" w:name="_bookmark1039"/>
      <w:bookmarkEnd w:id="1206"/>
      <w:r>
        <w:rPr>
          <w:position w:val="5"/>
          <w:sz w:val="12"/>
        </w:rPr>
        <w:t>889</w:t>
      </w:r>
      <w:r>
        <w:rPr>
          <w:spacing w:val="13"/>
          <w:position w:val="5"/>
          <w:sz w:val="12"/>
        </w:rPr>
        <w:t xml:space="preserve"> </w:t>
      </w:r>
      <w:r>
        <w:rPr>
          <w:sz w:val="18"/>
        </w:rPr>
        <w:t>See</w:t>
      </w:r>
      <w:r>
        <w:rPr>
          <w:spacing w:val="-6"/>
          <w:sz w:val="18"/>
        </w:rPr>
        <w:t xml:space="preserve"> </w:t>
      </w:r>
      <w:r>
        <w:rPr>
          <w:sz w:val="18"/>
        </w:rPr>
        <w:t>also</w:t>
      </w:r>
      <w:r>
        <w:rPr>
          <w:spacing w:val="-1"/>
          <w:sz w:val="18"/>
        </w:rPr>
        <w:t xml:space="preserve"> </w:t>
      </w:r>
      <w:r>
        <w:rPr>
          <w:sz w:val="18"/>
        </w:rPr>
        <w:t>Australia</w:t>
      </w:r>
      <w:r>
        <w:rPr>
          <w:spacing w:val="-8"/>
          <w:sz w:val="18"/>
        </w:rPr>
        <w:t xml:space="preserve"> </w:t>
      </w:r>
      <w:r>
        <w:rPr>
          <w:sz w:val="18"/>
        </w:rPr>
        <w:t>first</w:t>
      </w:r>
      <w:r>
        <w:rPr>
          <w:spacing w:val="-4"/>
          <w:sz w:val="18"/>
        </w:rPr>
        <w:t xml:space="preserve"> </w:t>
      </w:r>
      <w:r>
        <w:rPr>
          <w:sz w:val="18"/>
        </w:rPr>
        <w:t>written</w:t>
      </w:r>
      <w:r>
        <w:rPr>
          <w:spacing w:val="-6"/>
          <w:sz w:val="18"/>
        </w:rPr>
        <w:t xml:space="preserve"> </w:t>
      </w:r>
      <w:r>
        <w:rPr>
          <w:sz w:val="18"/>
        </w:rPr>
        <w:t>submission,</w:t>
      </w:r>
      <w:r>
        <w:rPr>
          <w:spacing w:val="-4"/>
          <w:sz w:val="18"/>
        </w:rPr>
        <w:t xml:space="preserve"> </w:t>
      </w:r>
      <w:r>
        <w:rPr>
          <w:sz w:val="18"/>
        </w:rPr>
        <w:t>paras. 670-</w:t>
      </w:r>
      <w:r>
        <w:rPr>
          <w:spacing w:val="-4"/>
          <w:sz w:val="18"/>
        </w:rPr>
        <w:t>682.</w:t>
      </w:r>
    </w:p>
    <w:p w14:paraId="0E245E29" w14:textId="77777777" w:rsidR="00BD462C" w:rsidRDefault="00033D0F">
      <w:pPr>
        <w:spacing w:before="1" w:line="218" w:lineRule="exact"/>
        <w:ind w:left="135"/>
        <w:jc w:val="both"/>
        <w:rPr>
          <w:sz w:val="18"/>
        </w:rPr>
      </w:pPr>
      <w:bookmarkStart w:id="1207" w:name="_bookmark1040"/>
      <w:bookmarkEnd w:id="1207"/>
      <w:r>
        <w:rPr>
          <w:position w:val="5"/>
          <w:sz w:val="12"/>
        </w:rPr>
        <w:t>890</w:t>
      </w:r>
      <w:r>
        <w:rPr>
          <w:spacing w:val="12"/>
          <w:position w:val="5"/>
          <w:sz w:val="12"/>
        </w:rPr>
        <w:t xml:space="preserve"> </w:t>
      </w:r>
      <w:r>
        <w:rPr>
          <w:sz w:val="18"/>
        </w:rPr>
        <w:t>Australia's</w:t>
      </w:r>
      <w:r>
        <w:rPr>
          <w:spacing w:val="-7"/>
          <w:sz w:val="18"/>
        </w:rPr>
        <w:t xml:space="preserve"> </w:t>
      </w:r>
      <w:r>
        <w:rPr>
          <w:sz w:val="18"/>
        </w:rPr>
        <w:t>first</w:t>
      </w:r>
      <w:r>
        <w:rPr>
          <w:spacing w:val="-5"/>
          <w:sz w:val="18"/>
        </w:rPr>
        <w:t xml:space="preserve"> </w:t>
      </w:r>
      <w:r>
        <w:rPr>
          <w:sz w:val="18"/>
        </w:rPr>
        <w:t>written</w:t>
      </w:r>
      <w:r>
        <w:rPr>
          <w:spacing w:val="-3"/>
          <w:sz w:val="18"/>
        </w:rPr>
        <w:t xml:space="preserve"> </w:t>
      </w:r>
      <w:r>
        <w:rPr>
          <w:sz w:val="18"/>
        </w:rPr>
        <w:t>submission, paras.</w:t>
      </w:r>
      <w:r>
        <w:rPr>
          <w:spacing w:val="-5"/>
          <w:sz w:val="18"/>
        </w:rPr>
        <w:t xml:space="preserve"> </w:t>
      </w:r>
      <w:r>
        <w:rPr>
          <w:sz w:val="18"/>
        </w:rPr>
        <w:t>670-</w:t>
      </w:r>
      <w:r>
        <w:rPr>
          <w:spacing w:val="-4"/>
          <w:sz w:val="18"/>
        </w:rPr>
        <w:t>673.</w:t>
      </w:r>
    </w:p>
    <w:p w14:paraId="243D0963" w14:textId="77777777" w:rsidR="00BD462C" w:rsidRDefault="00033D0F">
      <w:pPr>
        <w:spacing w:line="218" w:lineRule="exact"/>
        <w:ind w:left="135"/>
        <w:jc w:val="both"/>
        <w:rPr>
          <w:sz w:val="18"/>
        </w:rPr>
      </w:pPr>
      <w:bookmarkStart w:id="1208" w:name="_bookmark1041"/>
      <w:bookmarkEnd w:id="1208"/>
      <w:r>
        <w:rPr>
          <w:position w:val="5"/>
          <w:sz w:val="12"/>
        </w:rPr>
        <w:t>891</w:t>
      </w:r>
      <w:r>
        <w:rPr>
          <w:spacing w:val="13"/>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paras.</w:t>
      </w:r>
      <w:r>
        <w:rPr>
          <w:spacing w:val="-4"/>
          <w:sz w:val="18"/>
        </w:rPr>
        <w:t xml:space="preserve"> </w:t>
      </w:r>
      <w:r>
        <w:rPr>
          <w:spacing w:val="-2"/>
          <w:sz w:val="18"/>
        </w:rPr>
        <w:t>1741.</w:t>
      </w:r>
    </w:p>
    <w:p w14:paraId="549DE12C" w14:textId="77777777" w:rsidR="00BD462C" w:rsidRDefault="00033D0F">
      <w:pPr>
        <w:spacing w:before="1"/>
        <w:ind w:left="136" w:right="909" w:hanging="1"/>
        <w:jc w:val="both"/>
        <w:rPr>
          <w:sz w:val="18"/>
        </w:rPr>
      </w:pPr>
      <w:bookmarkStart w:id="1209" w:name="_bookmark1042"/>
      <w:bookmarkEnd w:id="1209"/>
      <w:r>
        <w:rPr>
          <w:position w:val="5"/>
          <w:sz w:val="12"/>
        </w:rPr>
        <w:t>892</w:t>
      </w:r>
      <w:r>
        <w:rPr>
          <w:spacing w:val="40"/>
          <w:position w:val="5"/>
          <w:sz w:val="12"/>
        </w:rPr>
        <w:t xml:space="preserve"> </w:t>
      </w:r>
      <w:r>
        <w:rPr>
          <w:sz w:val="18"/>
        </w:rPr>
        <w:t xml:space="preserve">Australia's argument is consistent with the principle established by the Appellate Body in </w:t>
      </w:r>
      <w:r>
        <w:rPr>
          <w:i/>
          <w:sz w:val="18"/>
        </w:rPr>
        <w:t xml:space="preserve">China – HP-SSST </w:t>
      </w:r>
      <w:r>
        <w:rPr>
          <w:sz w:val="18"/>
        </w:rPr>
        <w:t>that and affirmative determination of causation under Article 3.5 cannot be made if the products under consideration are not substitutable</w:t>
      </w:r>
      <w:r>
        <w:rPr>
          <w:spacing w:val="-11"/>
          <w:sz w:val="18"/>
        </w:rPr>
        <w:t xml:space="preserve"> </w:t>
      </w:r>
      <w:r>
        <w:rPr>
          <w:sz w:val="18"/>
        </w:rPr>
        <w:t>(para.</w:t>
      </w:r>
      <w:r>
        <w:rPr>
          <w:spacing w:val="-6"/>
          <w:sz w:val="18"/>
        </w:rPr>
        <w:t xml:space="preserve"> </w:t>
      </w:r>
      <w:r>
        <w:rPr>
          <w:sz w:val="18"/>
        </w:rPr>
        <w:t>5.262).</w:t>
      </w:r>
      <w:r>
        <w:rPr>
          <w:spacing w:val="-6"/>
          <w:sz w:val="18"/>
        </w:rPr>
        <w:t xml:space="preserve"> </w:t>
      </w:r>
      <w:r>
        <w:rPr>
          <w:sz w:val="18"/>
        </w:rPr>
        <w:t>The</w:t>
      </w:r>
      <w:r>
        <w:rPr>
          <w:spacing w:val="-7"/>
          <w:sz w:val="18"/>
        </w:rPr>
        <w:t xml:space="preserve"> </w:t>
      </w:r>
      <w:r>
        <w:rPr>
          <w:sz w:val="18"/>
        </w:rPr>
        <w:t>factual</w:t>
      </w:r>
      <w:r>
        <w:rPr>
          <w:spacing w:val="-6"/>
          <w:sz w:val="18"/>
        </w:rPr>
        <w:t xml:space="preserve"> </w:t>
      </w:r>
      <w:r>
        <w:rPr>
          <w:sz w:val="18"/>
        </w:rPr>
        <w:t>differences</w:t>
      </w:r>
      <w:r>
        <w:rPr>
          <w:spacing w:val="-7"/>
          <w:sz w:val="18"/>
        </w:rPr>
        <w:t xml:space="preserve"> </w:t>
      </w:r>
      <w:r>
        <w:rPr>
          <w:sz w:val="18"/>
        </w:rPr>
        <w:t>do</w:t>
      </w:r>
      <w:r>
        <w:rPr>
          <w:spacing w:val="-8"/>
          <w:sz w:val="18"/>
        </w:rPr>
        <w:t xml:space="preserve"> </w:t>
      </w:r>
      <w:r>
        <w:rPr>
          <w:sz w:val="18"/>
        </w:rPr>
        <w:t>not</w:t>
      </w:r>
      <w:r>
        <w:rPr>
          <w:spacing w:val="-6"/>
          <w:sz w:val="18"/>
        </w:rPr>
        <w:t xml:space="preserve"> </w:t>
      </w:r>
      <w:r>
        <w:rPr>
          <w:sz w:val="18"/>
        </w:rPr>
        <w:t>undermine</w:t>
      </w:r>
      <w:r>
        <w:rPr>
          <w:spacing w:val="-7"/>
          <w:sz w:val="18"/>
        </w:rPr>
        <w:t xml:space="preserve"> </w:t>
      </w:r>
      <w:r>
        <w:rPr>
          <w:sz w:val="18"/>
        </w:rPr>
        <w:t>the</w:t>
      </w:r>
      <w:r>
        <w:rPr>
          <w:spacing w:val="-7"/>
          <w:sz w:val="18"/>
        </w:rPr>
        <w:t xml:space="preserve"> </w:t>
      </w:r>
      <w:r>
        <w:rPr>
          <w:sz w:val="18"/>
        </w:rPr>
        <w:t>applicability</w:t>
      </w:r>
      <w:r>
        <w:rPr>
          <w:spacing w:val="-9"/>
          <w:sz w:val="18"/>
        </w:rPr>
        <w:t xml:space="preserve"> </w:t>
      </w:r>
      <w:r>
        <w:rPr>
          <w:sz w:val="18"/>
        </w:rPr>
        <w:t>of</w:t>
      </w:r>
      <w:r>
        <w:rPr>
          <w:spacing w:val="-6"/>
          <w:sz w:val="18"/>
        </w:rPr>
        <w:t xml:space="preserve"> </w:t>
      </w:r>
      <w:r>
        <w:rPr>
          <w:sz w:val="18"/>
        </w:rPr>
        <w:t>this</w:t>
      </w:r>
      <w:r>
        <w:rPr>
          <w:spacing w:val="-7"/>
          <w:sz w:val="18"/>
        </w:rPr>
        <w:t xml:space="preserve"> </w:t>
      </w:r>
      <w:r>
        <w:rPr>
          <w:sz w:val="18"/>
        </w:rPr>
        <w:t>principle</w:t>
      </w:r>
      <w:r>
        <w:rPr>
          <w:spacing w:val="-7"/>
          <w:sz w:val="18"/>
        </w:rPr>
        <w:t xml:space="preserve"> </w:t>
      </w:r>
      <w:r>
        <w:rPr>
          <w:sz w:val="18"/>
        </w:rPr>
        <w:t>to</w:t>
      </w:r>
      <w:r>
        <w:rPr>
          <w:spacing w:val="-8"/>
          <w:sz w:val="18"/>
        </w:rPr>
        <w:t xml:space="preserve"> </w:t>
      </w:r>
      <w:r>
        <w:rPr>
          <w:sz w:val="18"/>
        </w:rPr>
        <w:t>this</w:t>
      </w:r>
      <w:r>
        <w:rPr>
          <w:spacing w:val="-7"/>
          <w:sz w:val="18"/>
        </w:rPr>
        <w:t xml:space="preserve"> </w:t>
      </w:r>
      <w:r>
        <w:rPr>
          <w:sz w:val="18"/>
        </w:rPr>
        <w:t>case</w:t>
      </w:r>
      <w:r>
        <w:rPr>
          <w:spacing w:val="-7"/>
          <w:sz w:val="18"/>
        </w:rPr>
        <w:t xml:space="preserve"> </w:t>
      </w:r>
      <w:r>
        <w:rPr>
          <w:sz w:val="18"/>
        </w:rPr>
        <w:t>(Cf.</w:t>
      </w:r>
      <w:r>
        <w:rPr>
          <w:spacing w:val="-6"/>
          <w:sz w:val="18"/>
        </w:rPr>
        <w:t xml:space="preserve"> </w:t>
      </w:r>
      <w:r>
        <w:rPr>
          <w:sz w:val="18"/>
        </w:rPr>
        <w:t>China's first written submission, paras. 1817-1821.)</w:t>
      </w:r>
    </w:p>
    <w:p w14:paraId="47D43664" w14:textId="77777777" w:rsidR="00BD462C" w:rsidRDefault="00033D0F">
      <w:pPr>
        <w:spacing w:line="219" w:lineRule="exact"/>
        <w:ind w:left="135"/>
        <w:jc w:val="both"/>
        <w:rPr>
          <w:sz w:val="18"/>
        </w:rPr>
      </w:pPr>
      <w:bookmarkStart w:id="1210" w:name="_bookmark1043"/>
      <w:bookmarkEnd w:id="1210"/>
      <w:r>
        <w:rPr>
          <w:position w:val="5"/>
          <w:sz w:val="12"/>
        </w:rPr>
        <w:t>893</w:t>
      </w:r>
      <w:r>
        <w:rPr>
          <w:spacing w:val="12"/>
          <w:position w:val="5"/>
          <w:sz w:val="12"/>
        </w:rPr>
        <w:t xml:space="preserve"> </w:t>
      </w:r>
      <w:r>
        <w:rPr>
          <w:sz w:val="18"/>
        </w:rPr>
        <w:t>China's</w:t>
      </w:r>
      <w:r>
        <w:rPr>
          <w:spacing w:val="-6"/>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 paras.</w:t>
      </w:r>
      <w:r>
        <w:rPr>
          <w:spacing w:val="-5"/>
          <w:sz w:val="18"/>
        </w:rPr>
        <w:t xml:space="preserve"> </w:t>
      </w:r>
      <w:r>
        <w:rPr>
          <w:sz w:val="18"/>
        </w:rPr>
        <w:t>1822-</w:t>
      </w:r>
      <w:r>
        <w:rPr>
          <w:spacing w:val="-2"/>
          <w:sz w:val="18"/>
        </w:rPr>
        <w:t>1831.</w:t>
      </w:r>
    </w:p>
    <w:p w14:paraId="33377943" w14:textId="77777777" w:rsidR="00BD462C" w:rsidRDefault="00033D0F">
      <w:pPr>
        <w:spacing w:before="1"/>
        <w:ind w:left="135" w:right="912"/>
        <w:jc w:val="both"/>
        <w:rPr>
          <w:sz w:val="18"/>
        </w:rPr>
      </w:pPr>
      <w:bookmarkStart w:id="1211" w:name="_bookmark1044"/>
      <w:bookmarkEnd w:id="1211"/>
      <w:r>
        <w:rPr>
          <w:position w:val="5"/>
          <w:sz w:val="12"/>
        </w:rPr>
        <w:t>894</w:t>
      </w:r>
      <w:r>
        <w:rPr>
          <w:spacing w:val="27"/>
          <w:position w:val="5"/>
          <w:sz w:val="12"/>
        </w:rPr>
        <w:t xml:space="preserve"> </w:t>
      </w:r>
      <w:r>
        <w:rPr>
          <w:sz w:val="18"/>
        </w:rPr>
        <w:t xml:space="preserve">China now accepts that the evidence established that the product market could at least be classified in to high, middle and </w:t>
      </w:r>
      <w:proofErr w:type="gramStart"/>
      <w:r>
        <w:rPr>
          <w:sz w:val="18"/>
        </w:rPr>
        <w:t>low end</w:t>
      </w:r>
      <w:proofErr w:type="gramEnd"/>
      <w:r>
        <w:rPr>
          <w:sz w:val="18"/>
        </w:rPr>
        <w:t xml:space="preserve"> products (China's first written submission, paras. 1830-1833). This is not reflected in MOFCOM's price effects analysis or during its evaluation of substitutability during causation.</w:t>
      </w:r>
    </w:p>
    <w:p w14:paraId="7233DE7F" w14:textId="77777777" w:rsidR="00BD462C" w:rsidRDefault="00BD462C">
      <w:pPr>
        <w:jc w:val="both"/>
        <w:rPr>
          <w:sz w:val="18"/>
        </w:rPr>
        <w:sectPr w:rsidR="00BD462C">
          <w:pgSz w:w="11910" w:h="16840"/>
          <w:pgMar w:top="860" w:right="500" w:bottom="780" w:left="1280" w:header="566" w:footer="590" w:gutter="0"/>
          <w:cols w:space="720"/>
        </w:sectPr>
      </w:pPr>
    </w:p>
    <w:p w14:paraId="4AEBA233"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4CBA664D"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25F387C5"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0AAC4458" w14:textId="77777777" w:rsidR="00BD462C" w:rsidRDefault="00033D0F">
      <w:pPr>
        <w:pStyle w:val="BodyText"/>
        <w:spacing w:before="102" w:line="360" w:lineRule="auto"/>
        <w:ind w:left="135" w:right="911"/>
        <w:jc w:val="both"/>
      </w:pPr>
      <w:r>
        <w:t>be in a higher quality category than domestic like products.</w:t>
      </w:r>
      <w:hyperlink w:anchor="_bookmark1045" w:history="1">
        <w:r>
          <w:rPr>
            <w:vertAlign w:val="superscript"/>
          </w:rPr>
          <w:t>895</w:t>
        </w:r>
      </w:hyperlink>
      <w:r>
        <w:t xml:space="preserve"> Australia has set out its arguments in detail above and in its prior submissions,</w:t>
      </w:r>
      <w:hyperlink w:anchor="_bookmark1046" w:history="1">
        <w:r>
          <w:rPr>
            <w:vertAlign w:val="superscript"/>
          </w:rPr>
          <w:t>896</w:t>
        </w:r>
      </w:hyperlink>
      <w:r>
        <w:t xml:space="preserve"> which, if the Panel accepts, also render MOFCOM's causation determination inconsistent with Articles 3.1 and 3.5.</w:t>
      </w:r>
    </w:p>
    <w:p w14:paraId="0DC6AB27" w14:textId="77777777" w:rsidR="00BD462C" w:rsidRDefault="00BD462C">
      <w:pPr>
        <w:pStyle w:val="BodyText"/>
        <w:spacing w:before="11"/>
        <w:rPr>
          <w:sz w:val="8"/>
        </w:rPr>
      </w:pPr>
    </w:p>
    <w:p w14:paraId="19A0C013" w14:textId="617A8E24" w:rsidR="00BD462C" w:rsidRDefault="00BB6E3A">
      <w:pPr>
        <w:pStyle w:val="BodyText"/>
        <w:spacing w:before="56" w:line="360" w:lineRule="auto"/>
        <w:ind w:left="135" w:right="912"/>
        <w:jc w:val="both"/>
      </w:pPr>
      <w:r>
        <w:rPr>
          <w:noProof/>
        </w:rPr>
        <w:t>577.</w:t>
      </w:r>
      <w:r w:rsidR="00033D0F">
        <w:rPr>
          <w:rFonts w:ascii="Times New Roman"/>
          <w:spacing w:val="80"/>
          <w:position w:val="1"/>
          <w:sz w:val="20"/>
        </w:rPr>
        <w:t xml:space="preserve">  </w:t>
      </w:r>
      <w:r w:rsidR="00033D0F">
        <w:rPr>
          <w:position w:val="1"/>
        </w:rPr>
        <w:t>Second,</w:t>
      </w:r>
      <w:r w:rsidR="00033D0F">
        <w:rPr>
          <w:spacing w:val="-11"/>
          <w:position w:val="1"/>
        </w:rPr>
        <w:t xml:space="preserve"> </w:t>
      </w:r>
      <w:r w:rsidR="00033D0F">
        <w:rPr>
          <w:position w:val="1"/>
        </w:rPr>
        <w:t>even</w:t>
      </w:r>
      <w:r w:rsidR="00033D0F">
        <w:rPr>
          <w:spacing w:val="-14"/>
          <w:position w:val="1"/>
        </w:rPr>
        <w:t xml:space="preserve"> </w:t>
      </w:r>
      <w:r w:rsidR="00033D0F">
        <w:rPr>
          <w:position w:val="1"/>
        </w:rPr>
        <w:t>if</w:t>
      </w:r>
      <w:r w:rsidR="00033D0F">
        <w:rPr>
          <w:spacing w:val="-14"/>
          <w:position w:val="1"/>
        </w:rPr>
        <w:t xml:space="preserve"> </w:t>
      </w:r>
      <w:r w:rsidR="00033D0F">
        <w:rPr>
          <w:position w:val="1"/>
        </w:rPr>
        <w:t>MOFCOM</w:t>
      </w:r>
      <w:r w:rsidR="00033D0F">
        <w:rPr>
          <w:spacing w:val="-11"/>
          <w:position w:val="1"/>
        </w:rPr>
        <w:t xml:space="preserve"> </w:t>
      </w:r>
      <w:r w:rsidR="00033D0F">
        <w:rPr>
          <w:position w:val="1"/>
        </w:rPr>
        <w:t>properly</w:t>
      </w:r>
      <w:r w:rsidR="00033D0F">
        <w:rPr>
          <w:spacing w:val="-12"/>
          <w:position w:val="1"/>
        </w:rPr>
        <w:t xml:space="preserve"> </w:t>
      </w:r>
      <w:r w:rsidR="00033D0F">
        <w:rPr>
          <w:position w:val="1"/>
        </w:rPr>
        <w:t>established</w:t>
      </w:r>
      <w:r w:rsidR="00033D0F">
        <w:rPr>
          <w:spacing w:val="-14"/>
          <w:position w:val="1"/>
        </w:rPr>
        <w:t xml:space="preserve"> </w:t>
      </w:r>
      <w:r w:rsidR="00033D0F">
        <w:rPr>
          <w:position w:val="1"/>
        </w:rPr>
        <w:t>that</w:t>
      </w:r>
      <w:r w:rsidR="00033D0F">
        <w:rPr>
          <w:spacing w:val="-11"/>
          <w:position w:val="1"/>
        </w:rPr>
        <w:t xml:space="preserve"> </w:t>
      </w:r>
      <w:r w:rsidR="00033D0F">
        <w:rPr>
          <w:position w:val="1"/>
        </w:rPr>
        <w:t>subject</w:t>
      </w:r>
      <w:r w:rsidR="00033D0F">
        <w:rPr>
          <w:spacing w:val="-12"/>
          <w:position w:val="1"/>
        </w:rPr>
        <w:t xml:space="preserve"> </w:t>
      </w:r>
      <w:r w:rsidR="00033D0F">
        <w:rPr>
          <w:position w:val="1"/>
        </w:rPr>
        <w:t>imports</w:t>
      </w:r>
      <w:r w:rsidR="00033D0F">
        <w:rPr>
          <w:spacing w:val="-11"/>
          <w:position w:val="1"/>
        </w:rPr>
        <w:t xml:space="preserve"> </w:t>
      </w:r>
      <w:r w:rsidR="00033D0F">
        <w:rPr>
          <w:position w:val="1"/>
        </w:rPr>
        <w:t>and</w:t>
      </w:r>
      <w:r w:rsidR="00033D0F">
        <w:rPr>
          <w:spacing w:val="-14"/>
          <w:position w:val="1"/>
        </w:rPr>
        <w:t xml:space="preserve"> </w:t>
      </w:r>
      <w:r w:rsidR="00033D0F">
        <w:rPr>
          <w:position w:val="1"/>
        </w:rPr>
        <w:t>domestic</w:t>
      </w:r>
      <w:r w:rsidR="00033D0F">
        <w:rPr>
          <w:spacing w:val="-13"/>
          <w:position w:val="1"/>
        </w:rPr>
        <w:t xml:space="preserve"> </w:t>
      </w:r>
      <w:r w:rsidR="00033D0F">
        <w:rPr>
          <w:position w:val="1"/>
        </w:rPr>
        <w:t xml:space="preserve">like </w:t>
      </w:r>
      <w:r w:rsidR="00033D0F">
        <w:t>products were substitutable and in direct competition, Australia's position is that this would further</w:t>
      </w:r>
      <w:r w:rsidR="00033D0F">
        <w:rPr>
          <w:spacing w:val="-14"/>
        </w:rPr>
        <w:t xml:space="preserve"> </w:t>
      </w:r>
      <w:r w:rsidR="00033D0F">
        <w:t>undermine</w:t>
      </w:r>
      <w:r w:rsidR="00033D0F">
        <w:rPr>
          <w:spacing w:val="-14"/>
        </w:rPr>
        <w:t xml:space="preserve"> </w:t>
      </w:r>
      <w:r w:rsidR="00033D0F">
        <w:t>MOFCOM's</w:t>
      </w:r>
      <w:r w:rsidR="00033D0F">
        <w:rPr>
          <w:spacing w:val="-13"/>
        </w:rPr>
        <w:t xml:space="preserve"> </w:t>
      </w:r>
      <w:r w:rsidR="00033D0F">
        <w:t>determination</w:t>
      </w:r>
      <w:r w:rsidR="00033D0F">
        <w:rPr>
          <w:spacing w:val="-14"/>
        </w:rPr>
        <w:t xml:space="preserve"> </w:t>
      </w:r>
      <w:r w:rsidR="00033D0F">
        <w:t>that</w:t>
      </w:r>
      <w:r w:rsidR="00033D0F">
        <w:rPr>
          <w:spacing w:val="-13"/>
        </w:rPr>
        <w:t xml:space="preserve"> </w:t>
      </w:r>
      <w:r w:rsidR="00033D0F">
        <w:t>Australian</w:t>
      </w:r>
      <w:r w:rsidR="00033D0F">
        <w:rPr>
          <w:spacing w:val="-14"/>
        </w:rPr>
        <w:t xml:space="preserve"> </w:t>
      </w:r>
      <w:r w:rsidR="00033D0F">
        <w:t>imports</w:t>
      </w:r>
      <w:r w:rsidR="00033D0F">
        <w:rPr>
          <w:spacing w:val="-13"/>
        </w:rPr>
        <w:t xml:space="preserve"> </w:t>
      </w:r>
      <w:r w:rsidR="00033D0F">
        <w:t>were</w:t>
      </w:r>
      <w:r w:rsidR="00033D0F">
        <w:rPr>
          <w:spacing w:val="-14"/>
        </w:rPr>
        <w:t xml:space="preserve"> </w:t>
      </w:r>
      <w:r w:rsidR="00033D0F">
        <w:t>responsible</w:t>
      </w:r>
      <w:r w:rsidR="00033D0F">
        <w:rPr>
          <w:spacing w:val="-14"/>
        </w:rPr>
        <w:t xml:space="preserve"> </w:t>
      </w:r>
      <w:r w:rsidR="00033D0F">
        <w:t>for</w:t>
      </w:r>
      <w:r w:rsidR="00033D0F">
        <w:rPr>
          <w:spacing w:val="-13"/>
        </w:rPr>
        <w:t xml:space="preserve"> </w:t>
      </w:r>
      <w:r w:rsidR="00033D0F">
        <w:t>the sales volume and</w:t>
      </w:r>
      <w:r w:rsidR="00033D0F">
        <w:rPr>
          <w:spacing w:val="-1"/>
        </w:rPr>
        <w:t xml:space="preserve"> </w:t>
      </w:r>
      <w:r w:rsidR="00033D0F">
        <w:t>market share losses experienced</w:t>
      </w:r>
      <w:r w:rsidR="00033D0F">
        <w:rPr>
          <w:spacing w:val="-1"/>
        </w:rPr>
        <w:t xml:space="preserve"> </w:t>
      </w:r>
      <w:r w:rsidR="00033D0F">
        <w:t>by the domestic industry. This is because, if all subject imports and all domestic like products are substitutable and compete directly with each other in China's market on the basis that they have the same end use, physical characteristics and sales channels, then the same must equally be true of the domestic like products produced by the hundreds of other domestic producers (i.e. other than the 21 producers that MOFCOM defined as the "domestic industry") and like imports from third countries.</w:t>
      </w:r>
      <w:hyperlink w:anchor="_bookmark1047" w:history="1">
        <w:r w:rsidR="00033D0F">
          <w:rPr>
            <w:vertAlign w:val="superscript"/>
          </w:rPr>
          <w:t>897</w:t>
        </w:r>
      </w:hyperlink>
      <w:r w:rsidR="00033D0F">
        <w:rPr>
          <w:spacing w:val="-14"/>
        </w:rPr>
        <w:t xml:space="preserve"> </w:t>
      </w:r>
      <w:r w:rsidR="00033D0F">
        <w:t>This</w:t>
      </w:r>
      <w:r w:rsidR="00033D0F">
        <w:rPr>
          <w:spacing w:val="-14"/>
        </w:rPr>
        <w:t xml:space="preserve"> </w:t>
      </w:r>
      <w:r w:rsidR="00033D0F">
        <w:t>further</w:t>
      </w:r>
      <w:r w:rsidR="00033D0F">
        <w:rPr>
          <w:spacing w:val="-13"/>
        </w:rPr>
        <w:t xml:space="preserve"> </w:t>
      </w:r>
      <w:r w:rsidR="00033D0F">
        <w:t>highlights</w:t>
      </w:r>
      <w:r w:rsidR="00033D0F">
        <w:rPr>
          <w:spacing w:val="-14"/>
        </w:rPr>
        <w:t xml:space="preserve"> </w:t>
      </w:r>
      <w:r w:rsidR="00033D0F">
        <w:t>why</w:t>
      </w:r>
      <w:r w:rsidR="00033D0F">
        <w:rPr>
          <w:spacing w:val="-13"/>
        </w:rPr>
        <w:t xml:space="preserve"> </w:t>
      </w:r>
      <w:r w:rsidR="00033D0F">
        <w:t>MOFCOM</w:t>
      </w:r>
      <w:r w:rsidR="00033D0F">
        <w:rPr>
          <w:spacing w:val="-14"/>
        </w:rPr>
        <w:t xml:space="preserve"> </w:t>
      </w:r>
      <w:r w:rsidR="00033D0F">
        <w:t>was</w:t>
      </w:r>
      <w:r w:rsidR="00033D0F">
        <w:rPr>
          <w:spacing w:val="-12"/>
        </w:rPr>
        <w:t xml:space="preserve"> </w:t>
      </w:r>
      <w:r w:rsidR="00033D0F">
        <w:t>obligated</w:t>
      </w:r>
      <w:r w:rsidR="00033D0F">
        <w:rPr>
          <w:spacing w:val="-13"/>
        </w:rPr>
        <w:t xml:space="preserve"> </w:t>
      </w:r>
      <w:r w:rsidR="00033D0F">
        <w:t>to</w:t>
      </w:r>
      <w:r w:rsidR="00033D0F">
        <w:rPr>
          <w:spacing w:val="-14"/>
        </w:rPr>
        <w:t xml:space="preserve"> </w:t>
      </w:r>
      <w:r w:rsidR="00033D0F">
        <w:t>examine</w:t>
      </w:r>
      <w:r w:rsidR="00033D0F">
        <w:rPr>
          <w:spacing w:val="-13"/>
        </w:rPr>
        <w:t xml:space="preserve"> </w:t>
      </w:r>
      <w:r w:rsidR="00033D0F">
        <w:t>all</w:t>
      </w:r>
      <w:r w:rsidR="00033D0F">
        <w:rPr>
          <w:spacing w:val="-13"/>
        </w:rPr>
        <w:t xml:space="preserve"> </w:t>
      </w:r>
      <w:r w:rsidR="00033D0F">
        <w:t>of</w:t>
      </w:r>
      <w:r w:rsidR="00033D0F">
        <w:rPr>
          <w:spacing w:val="-14"/>
        </w:rPr>
        <w:t xml:space="preserve"> </w:t>
      </w:r>
      <w:r w:rsidR="00033D0F">
        <w:t>the</w:t>
      </w:r>
      <w:r w:rsidR="00033D0F">
        <w:rPr>
          <w:spacing w:val="-13"/>
        </w:rPr>
        <w:t xml:space="preserve"> </w:t>
      </w:r>
      <w:r w:rsidR="00033D0F">
        <w:t>relevant evidence on market dynamics, including with respect to third country imports and the like products of other domestic producers. MOFCOM's failure to do so means that it could not have established the existence of a genuine causal relationship between the subject imports and</w:t>
      </w:r>
      <w:r w:rsidR="00033D0F">
        <w:rPr>
          <w:spacing w:val="-13"/>
        </w:rPr>
        <w:t xml:space="preserve"> </w:t>
      </w:r>
      <w:r w:rsidR="00033D0F">
        <w:t>the</w:t>
      </w:r>
      <w:r w:rsidR="00033D0F">
        <w:rPr>
          <w:spacing w:val="-11"/>
        </w:rPr>
        <w:t xml:space="preserve"> </w:t>
      </w:r>
      <w:r w:rsidR="00033D0F">
        <w:t>alleged</w:t>
      </w:r>
      <w:r w:rsidR="00033D0F">
        <w:rPr>
          <w:spacing w:val="-13"/>
        </w:rPr>
        <w:t xml:space="preserve"> </w:t>
      </w:r>
      <w:r w:rsidR="00033D0F">
        <w:t>price</w:t>
      </w:r>
      <w:r w:rsidR="00033D0F">
        <w:rPr>
          <w:spacing w:val="-11"/>
        </w:rPr>
        <w:t xml:space="preserve"> </w:t>
      </w:r>
      <w:r w:rsidR="00033D0F">
        <w:t>suppression,</w:t>
      </w:r>
      <w:r w:rsidR="00033D0F">
        <w:rPr>
          <w:spacing w:val="-9"/>
        </w:rPr>
        <w:t xml:space="preserve"> </w:t>
      </w:r>
      <w:r w:rsidR="00033D0F">
        <w:t>volume</w:t>
      </w:r>
      <w:r w:rsidR="00033D0F">
        <w:rPr>
          <w:spacing w:val="-11"/>
        </w:rPr>
        <w:t xml:space="preserve"> </w:t>
      </w:r>
      <w:r w:rsidR="00033D0F">
        <w:t>decrease,</w:t>
      </w:r>
      <w:r w:rsidR="00033D0F">
        <w:rPr>
          <w:spacing w:val="-9"/>
        </w:rPr>
        <w:t xml:space="preserve"> </w:t>
      </w:r>
      <w:r w:rsidR="00033D0F">
        <w:t>and</w:t>
      </w:r>
      <w:r w:rsidR="00033D0F">
        <w:rPr>
          <w:spacing w:val="-13"/>
        </w:rPr>
        <w:t xml:space="preserve"> </w:t>
      </w:r>
      <w:r w:rsidR="00033D0F">
        <w:t>market</w:t>
      </w:r>
      <w:r w:rsidR="00033D0F">
        <w:rPr>
          <w:spacing w:val="-10"/>
        </w:rPr>
        <w:t xml:space="preserve"> </w:t>
      </w:r>
      <w:r w:rsidR="00033D0F">
        <w:t>share</w:t>
      </w:r>
      <w:r w:rsidR="00033D0F">
        <w:rPr>
          <w:spacing w:val="-6"/>
        </w:rPr>
        <w:t xml:space="preserve"> </w:t>
      </w:r>
      <w:r w:rsidR="00033D0F">
        <w:t>decline</w:t>
      </w:r>
      <w:r w:rsidR="00033D0F">
        <w:rPr>
          <w:spacing w:val="-11"/>
        </w:rPr>
        <w:t xml:space="preserve"> </w:t>
      </w:r>
      <w:r w:rsidR="00033D0F">
        <w:t>experienced</w:t>
      </w:r>
      <w:r w:rsidR="00033D0F">
        <w:rPr>
          <w:spacing w:val="-13"/>
        </w:rPr>
        <w:t xml:space="preserve"> </w:t>
      </w:r>
      <w:r w:rsidR="00033D0F">
        <w:t>by the domestic industry.</w:t>
      </w:r>
    </w:p>
    <w:p w14:paraId="46F568A0" w14:textId="77777777" w:rsidR="00BD462C" w:rsidRDefault="00033D0F">
      <w:pPr>
        <w:pStyle w:val="ListParagraph"/>
        <w:numPr>
          <w:ilvl w:val="0"/>
          <w:numId w:val="44"/>
        </w:numPr>
        <w:tabs>
          <w:tab w:val="left" w:pos="4388"/>
          <w:tab w:val="left" w:pos="4389"/>
        </w:tabs>
        <w:spacing w:before="153" w:line="362" w:lineRule="auto"/>
        <w:ind w:right="914"/>
        <w:jc w:val="both"/>
        <w:rPr>
          <w:i/>
          <w:sz w:val="24"/>
        </w:rPr>
      </w:pPr>
      <w:bookmarkStart w:id="1212" w:name="iii._Deterioration_in_profitability_and_"/>
      <w:bookmarkEnd w:id="1212"/>
      <w:r>
        <w:rPr>
          <w:i/>
          <w:sz w:val="24"/>
        </w:rPr>
        <w:t>Deterioration in profitability and other relevant economic factors</w:t>
      </w:r>
    </w:p>
    <w:p w14:paraId="4FBBA627" w14:textId="77777777" w:rsidR="00BD462C" w:rsidRDefault="00BD462C">
      <w:pPr>
        <w:pStyle w:val="BodyText"/>
        <w:spacing w:before="7"/>
        <w:rPr>
          <w:i/>
          <w:sz w:val="8"/>
        </w:rPr>
      </w:pPr>
    </w:p>
    <w:p w14:paraId="6CE212D0" w14:textId="394EE223" w:rsidR="00BD462C" w:rsidRDefault="00BB6E3A">
      <w:pPr>
        <w:pStyle w:val="BodyText"/>
        <w:spacing w:before="56" w:line="360" w:lineRule="auto"/>
        <w:ind w:left="135" w:right="917"/>
        <w:jc w:val="both"/>
      </w:pPr>
      <w:r>
        <w:rPr>
          <w:noProof/>
        </w:rPr>
        <w:t>578.</w:t>
      </w:r>
      <w:r w:rsidR="00033D0F">
        <w:rPr>
          <w:rFonts w:ascii="Times New Roman"/>
          <w:spacing w:val="80"/>
          <w:position w:val="1"/>
          <w:sz w:val="20"/>
        </w:rPr>
        <w:t xml:space="preserve">  </w:t>
      </w:r>
      <w:r w:rsidR="00033D0F">
        <w:rPr>
          <w:position w:val="1"/>
        </w:rPr>
        <w:t>The</w:t>
      </w:r>
      <w:r w:rsidR="00033D0F">
        <w:rPr>
          <w:spacing w:val="-2"/>
          <w:position w:val="1"/>
        </w:rPr>
        <w:t xml:space="preserve"> </w:t>
      </w:r>
      <w:r w:rsidR="00033D0F">
        <w:rPr>
          <w:position w:val="1"/>
        </w:rPr>
        <w:t>parties</w:t>
      </w:r>
      <w:r w:rsidR="00033D0F">
        <w:rPr>
          <w:spacing w:val="-1"/>
          <w:position w:val="1"/>
        </w:rPr>
        <w:t xml:space="preserve"> </w:t>
      </w:r>
      <w:r w:rsidR="00033D0F">
        <w:rPr>
          <w:position w:val="1"/>
        </w:rPr>
        <w:t>disagree</w:t>
      </w:r>
      <w:r w:rsidR="00033D0F">
        <w:rPr>
          <w:spacing w:val="-2"/>
          <w:position w:val="1"/>
        </w:rPr>
        <w:t xml:space="preserve"> </w:t>
      </w:r>
      <w:r w:rsidR="00033D0F">
        <w:rPr>
          <w:position w:val="1"/>
        </w:rPr>
        <w:t>as</w:t>
      </w:r>
      <w:r w:rsidR="00033D0F">
        <w:rPr>
          <w:spacing w:val="-1"/>
          <w:position w:val="1"/>
        </w:rPr>
        <w:t xml:space="preserve"> </w:t>
      </w:r>
      <w:r w:rsidR="00033D0F">
        <w:rPr>
          <w:position w:val="1"/>
        </w:rPr>
        <w:t>to</w:t>
      </w:r>
      <w:r w:rsidR="00033D0F">
        <w:rPr>
          <w:spacing w:val="-5"/>
          <w:position w:val="1"/>
        </w:rPr>
        <w:t xml:space="preserve"> </w:t>
      </w:r>
      <w:r w:rsidR="00033D0F">
        <w:rPr>
          <w:position w:val="1"/>
        </w:rPr>
        <w:t>whether</w:t>
      </w:r>
      <w:r w:rsidR="00033D0F">
        <w:rPr>
          <w:spacing w:val="-5"/>
          <w:position w:val="1"/>
        </w:rPr>
        <w:t xml:space="preserve"> </w:t>
      </w:r>
      <w:r w:rsidR="00033D0F">
        <w:rPr>
          <w:position w:val="1"/>
        </w:rPr>
        <w:t>MOFCOM</w:t>
      </w:r>
      <w:r w:rsidR="00033D0F">
        <w:rPr>
          <w:spacing w:val="-2"/>
          <w:position w:val="1"/>
        </w:rPr>
        <w:t xml:space="preserve"> </w:t>
      </w:r>
      <w:r w:rsidR="00033D0F">
        <w:rPr>
          <w:position w:val="1"/>
        </w:rPr>
        <w:t>properly</w:t>
      </w:r>
      <w:r w:rsidR="00033D0F">
        <w:rPr>
          <w:spacing w:val="-1"/>
          <w:position w:val="1"/>
        </w:rPr>
        <w:t xml:space="preserve"> </w:t>
      </w:r>
      <w:r w:rsidR="00033D0F">
        <w:rPr>
          <w:position w:val="1"/>
        </w:rPr>
        <w:t>established</w:t>
      </w:r>
      <w:r w:rsidR="00033D0F">
        <w:rPr>
          <w:spacing w:val="-4"/>
          <w:position w:val="1"/>
        </w:rPr>
        <w:t xml:space="preserve"> </w:t>
      </w:r>
      <w:r w:rsidR="00033D0F">
        <w:rPr>
          <w:position w:val="1"/>
        </w:rPr>
        <w:t>the</w:t>
      </w:r>
      <w:r w:rsidR="00033D0F">
        <w:rPr>
          <w:spacing w:val="-2"/>
          <w:position w:val="1"/>
        </w:rPr>
        <w:t xml:space="preserve"> </w:t>
      </w:r>
      <w:r w:rsidR="00033D0F">
        <w:rPr>
          <w:position w:val="1"/>
        </w:rPr>
        <w:t>existence</w:t>
      </w:r>
      <w:r w:rsidR="00033D0F">
        <w:rPr>
          <w:spacing w:val="-2"/>
          <w:position w:val="1"/>
        </w:rPr>
        <w:t xml:space="preserve"> </w:t>
      </w:r>
      <w:r w:rsidR="00033D0F">
        <w:rPr>
          <w:position w:val="1"/>
        </w:rPr>
        <w:t>of</w:t>
      </w:r>
      <w:r w:rsidR="00033D0F">
        <w:rPr>
          <w:spacing w:val="-4"/>
          <w:position w:val="1"/>
        </w:rPr>
        <w:t xml:space="preserve"> </w:t>
      </w:r>
      <w:r w:rsidR="00033D0F">
        <w:rPr>
          <w:position w:val="1"/>
        </w:rPr>
        <w:t xml:space="preserve">a </w:t>
      </w:r>
      <w:r w:rsidR="00033D0F">
        <w:t>genuine causal relationship between the subject imports and the "continuous deterioration of</w:t>
      </w:r>
      <w:r w:rsidR="00033D0F">
        <w:rPr>
          <w:spacing w:val="-14"/>
        </w:rPr>
        <w:t xml:space="preserve"> </w:t>
      </w:r>
      <w:r w:rsidR="00033D0F">
        <w:t>the</w:t>
      </w:r>
      <w:r w:rsidR="00033D0F">
        <w:rPr>
          <w:spacing w:val="-7"/>
        </w:rPr>
        <w:t xml:space="preserve"> </w:t>
      </w:r>
      <w:r w:rsidR="00033D0F">
        <w:t>production</w:t>
      </w:r>
      <w:r w:rsidR="00033D0F">
        <w:rPr>
          <w:spacing w:val="-9"/>
        </w:rPr>
        <w:t xml:space="preserve"> </w:t>
      </w:r>
      <w:r w:rsidR="00033D0F">
        <w:t>and</w:t>
      </w:r>
      <w:r w:rsidR="00033D0F">
        <w:rPr>
          <w:spacing w:val="-9"/>
        </w:rPr>
        <w:t xml:space="preserve"> </w:t>
      </w:r>
      <w:r w:rsidR="00033D0F">
        <w:t>operation"</w:t>
      </w:r>
      <w:r w:rsidR="00033D0F">
        <w:rPr>
          <w:spacing w:val="-13"/>
        </w:rPr>
        <w:t xml:space="preserve"> </w:t>
      </w:r>
      <w:r w:rsidR="00033D0F">
        <w:t>of</w:t>
      </w:r>
      <w:r w:rsidR="00033D0F">
        <w:rPr>
          <w:spacing w:val="-14"/>
        </w:rPr>
        <w:t xml:space="preserve"> </w:t>
      </w:r>
      <w:r w:rsidR="00033D0F">
        <w:t>the</w:t>
      </w:r>
      <w:r w:rsidR="00033D0F">
        <w:rPr>
          <w:spacing w:val="-7"/>
        </w:rPr>
        <w:t xml:space="preserve"> </w:t>
      </w:r>
      <w:r w:rsidR="00033D0F">
        <w:t>domestic</w:t>
      </w:r>
      <w:r w:rsidR="00033D0F">
        <w:rPr>
          <w:spacing w:val="-13"/>
        </w:rPr>
        <w:t xml:space="preserve"> </w:t>
      </w:r>
      <w:r w:rsidR="00033D0F">
        <w:t>like</w:t>
      </w:r>
      <w:r w:rsidR="00033D0F">
        <w:rPr>
          <w:spacing w:val="-12"/>
        </w:rPr>
        <w:t xml:space="preserve"> </w:t>
      </w:r>
      <w:r w:rsidR="00033D0F">
        <w:t>products</w:t>
      </w:r>
      <w:r w:rsidR="00033D0F">
        <w:rPr>
          <w:spacing w:val="-10"/>
        </w:rPr>
        <w:t xml:space="preserve"> </w:t>
      </w:r>
      <w:r w:rsidR="00033D0F">
        <w:t>that</w:t>
      </w:r>
      <w:r w:rsidR="00033D0F">
        <w:rPr>
          <w:spacing w:val="-11"/>
        </w:rPr>
        <w:t xml:space="preserve"> </w:t>
      </w:r>
      <w:r w:rsidR="00033D0F">
        <w:t>MOFCOM</w:t>
      </w:r>
      <w:r w:rsidR="00033D0F">
        <w:rPr>
          <w:spacing w:val="-7"/>
        </w:rPr>
        <w:t xml:space="preserve"> </w:t>
      </w:r>
      <w:r w:rsidR="00033D0F">
        <w:t>observed</w:t>
      </w:r>
      <w:r w:rsidR="00033D0F">
        <w:rPr>
          <w:spacing w:val="-14"/>
        </w:rPr>
        <w:t xml:space="preserve"> </w:t>
      </w:r>
      <w:r w:rsidR="00033D0F">
        <w:t>in</w:t>
      </w:r>
      <w:r w:rsidR="00033D0F">
        <w:rPr>
          <w:spacing w:val="-14"/>
        </w:rPr>
        <w:t xml:space="preserve"> </w:t>
      </w:r>
      <w:r w:rsidR="00033D0F">
        <w:t>the domestic industry. Australia's position is that MOFCOM did not demonstrate that subject imports caused this decline.</w:t>
      </w:r>
    </w:p>
    <w:p w14:paraId="37F89DF0" w14:textId="77777777" w:rsidR="00BD462C" w:rsidRDefault="00BD462C">
      <w:pPr>
        <w:pStyle w:val="BodyText"/>
        <w:rPr>
          <w:sz w:val="20"/>
        </w:rPr>
      </w:pPr>
    </w:p>
    <w:p w14:paraId="57CFDB13" w14:textId="27B30DCF" w:rsidR="00BD462C" w:rsidRDefault="00752F01">
      <w:pPr>
        <w:pStyle w:val="BodyText"/>
        <w:rPr>
          <w:sz w:val="20"/>
        </w:rPr>
      </w:pPr>
      <w:r>
        <w:rPr>
          <w:noProof/>
        </w:rPr>
        <mc:AlternateContent>
          <mc:Choice Requires="wps">
            <w:drawing>
              <wp:anchor distT="0" distB="0" distL="0" distR="0" simplePos="0" relativeHeight="488229376" behindDoc="1" locked="0" layoutInCell="1" allowOverlap="1" wp14:anchorId="6DB6BF16" wp14:editId="1B2587DB">
                <wp:simplePos x="0" y="0"/>
                <wp:positionH relativeFrom="page">
                  <wp:posOffset>812800</wp:posOffset>
                </wp:positionH>
                <wp:positionV relativeFrom="paragraph">
                  <wp:posOffset>340995</wp:posOffset>
                </wp:positionV>
                <wp:extent cx="1828800" cy="8890"/>
                <wp:effectExtent l="0" t="0" r="0" b="0"/>
                <wp:wrapTopAndBottom/>
                <wp:docPr id="205" name="docshape6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63FBEA" id="docshape664" o:spid="_x0000_s1026" alt="&quot;&quot;" style="position:absolute;margin-left:64pt;margin-top:26.85pt;width:2in;height:.7pt;z-index:-1508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" fillcolor="black" stroked="f">
                <w10:wrap type="topAndBottom" anchorx="page"/>
              </v:rect>
            </w:pict>
          </mc:Fallback>
        </mc:AlternateContent>
      </w:r>
    </w:p>
    <w:p w14:paraId="5C144E67" w14:textId="785D2075" w:rsidR="00BD462C" w:rsidRDefault="00BD462C">
      <w:pPr>
        <w:pStyle w:val="BodyText"/>
        <w:spacing w:before="8"/>
        <w:rPr>
          <w:sz w:val="23"/>
        </w:rPr>
      </w:pPr>
    </w:p>
    <w:p w14:paraId="1210B1D8" w14:textId="77777777" w:rsidR="00BD462C" w:rsidRDefault="00033D0F">
      <w:pPr>
        <w:spacing w:before="115" w:line="235" w:lineRule="auto"/>
        <w:ind w:left="136" w:right="910" w:hanging="1"/>
        <w:jc w:val="both"/>
        <w:rPr>
          <w:sz w:val="18"/>
        </w:rPr>
      </w:pPr>
      <w:bookmarkStart w:id="1213" w:name="_bookmark1045"/>
      <w:bookmarkEnd w:id="1213"/>
      <w:r>
        <w:rPr>
          <w:position w:val="5"/>
          <w:sz w:val="12"/>
        </w:rPr>
        <w:t>895</w:t>
      </w:r>
      <w:r>
        <w:rPr>
          <w:spacing w:val="26"/>
          <w:position w:val="5"/>
          <w:sz w:val="12"/>
        </w:rPr>
        <w:t xml:space="preserve"> </w:t>
      </w:r>
      <w:r>
        <w:rPr>
          <w:sz w:val="18"/>
        </w:rPr>
        <w:t xml:space="preserve">Australia's first written submission, para. 678. China's submissions addressing this point are entirely </w:t>
      </w:r>
      <w:r>
        <w:rPr>
          <w:i/>
          <w:sz w:val="18"/>
        </w:rPr>
        <w:t xml:space="preserve">ex-post </w:t>
      </w:r>
      <w:r>
        <w:rPr>
          <w:sz w:val="18"/>
        </w:rPr>
        <w:t>and do not establish that MOFCOM actually considered this issue (China's first written submission, paras. 1838-1859).</w:t>
      </w:r>
    </w:p>
    <w:p w14:paraId="25835894" w14:textId="77777777" w:rsidR="00BD462C" w:rsidRDefault="00033D0F">
      <w:pPr>
        <w:spacing w:before="3"/>
        <w:ind w:left="135"/>
        <w:jc w:val="both"/>
        <w:rPr>
          <w:sz w:val="18"/>
        </w:rPr>
      </w:pPr>
      <w:bookmarkStart w:id="1214" w:name="_bookmark1046"/>
      <w:bookmarkEnd w:id="1214"/>
      <w:r>
        <w:rPr>
          <w:position w:val="5"/>
          <w:sz w:val="12"/>
        </w:rPr>
        <w:t>896</w:t>
      </w:r>
      <w:r>
        <w:rPr>
          <w:spacing w:val="11"/>
          <w:position w:val="5"/>
          <w:sz w:val="12"/>
        </w:rPr>
        <w:t xml:space="preserve"> </w:t>
      </w:r>
      <w:r>
        <w:rPr>
          <w:sz w:val="18"/>
        </w:rPr>
        <w:t>See</w:t>
      </w:r>
      <w:r>
        <w:rPr>
          <w:spacing w:val="-6"/>
          <w:sz w:val="18"/>
        </w:rPr>
        <w:t xml:space="preserve"> </w:t>
      </w:r>
      <w:r>
        <w:rPr>
          <w:sz w:val="18"/>
        </w:rPr>
        <w:t>above,</w:t>
      </w:r>
      <w:r>
        <w:rPr>
          <w:spacing w:val="-5"/>
          <w:sz w:val="18"/>
        </w:rPr>
        <w:t xml:space="preserve"> </w:t>
      </w:r>
      <w:r>
        <w:rPr>
          <w:sz w:val="18"/>
        </w:rPr>
        <w:t>section</w:t>
      </w:r>
      <w:r>
        <w:rPr>
          <w:spacing w:val="-2"/>
          <w:sz w:val="18"/>
        </w:rPr>
        <w:t xml:space="preserve"> </w:t>
      </w:r>
      <w:hyperlink w:anchor="_bookmark754" w:history="1">
        <w:r>
          <w:rPr>
            <w:sz w:val="18"/>
          </w:rPr>
          <w:t>155</w:t>
        </w:r>
      </w:hyperlink>
      <w:hyperlink w:anchor="_bookmark754" w:history="1">
        <w:r>
          <w:rPr>
            <w:sz w:val="18"/>
          </w:rPr>
          <w:t>V.B.2(d).</w:t>
        </w:r>
      </w:hyperlink>
      <w:r>
        <w:rPr>
          <w:spacing w:val="-6"/>
          <w:sz w:val="18"/>
        </w:rPr>
        <w:t xml:space="preserve"> </w:t>
      </w:r>
      <w:r>
        <w:rPr>
          <w:sz w:val="18"/>
        </w:rPr>
        <w:t>Australia's</w:t>
      </w:r>
      <w:r>
        <w:rPr>
          <w:spacing w:val="-6"/>
          <w:sz w:val="18"/>
        </w:rPr>
        <w:t xml:space="preserve"> </w:t>
      </w:r>
      <w:r>
        <w:rPr>
          <w:sz w:val="18"/>
        </w:rPr>
        <w:t>first</w:t>
      </w:r>
      <w:r>
        <w:rPr>
          <w:spacing w:val="-6"/>
          <w:sz w:val="18"/>
        </w:rPr>
        <w:t xml:space="preserve"> </w:t>
      </w:r>
      <w:r>
        <w:rPr>
          <w:sz w:val="18"/>
        </w:rPr>
        <w:t>written</w:t>
      </w:r>
      <w:r>
        <w:rPr>
          <w:spacing w:val="-7"/>
          <w:sz w:val="18"/>
        </w:rPr>
        <w:t xml:space="preserve"> </w:t>
      </w:r>
      <w:r>
        <w:rPr>
          <w:sz w:val="18"/>
        </w:rPr>
        <w:t>submission, paras.</w:t>
      </w:r>
      <w:r>
        <w:rPr>
          <w:spacing w:val="-6"/>
          <w:sz w:val="18"/>
        </w:rPr>
        <w:t xml:space="preserve"> </w:t>
      </w:r>
      <w:r>
        <w:rPr>
          <w:sz w:val="18"/>
        </w:rPr>
        <w:t>563-586;</w:t>
      </w:r>
      <w:r>
        <w:rPr>
          <w:spacing w:val="-8"/>
          <w:sz w:val="18"/>
        </w:rPr>
        <w:t xml:space="preserve"> </w:t>
      </w:r>
      <w:r>
        <w:rPr>
          <w:sz w:val="18"/>
        </w:rPr>
        <w:t>674-679;</w:t>
      </w:r>
      <w:r>
        <w:rPr>
          <w:spacing w:val="-8"/>
          <w:sz w:val="18"/>
        </w:rPr>
        <w:t xml:space="preserve"> </w:t>
      </w:r>
      <w:r>
        <w:rPr>
          <w:sz w:val="18"/>
        </w:rPr>
        <w:t>and</w:t>
      </w:r>
      <w:r>
        <w:rPr>
          <w:spacing w:val="-8"/>
          <w:sz w:val="18"/>
        </w:rPr>
        <w:t xml:space="preserve"> </w:t>
      </w:r>
      <w:r>
        <w:rPr>
          <w:sz w:val="18"/>
        </w:rPr>
        <w:t>708-</w:t>
      </w:r>
      <w:r>
        <w:rPr>
          <w:spacing w:val="-4"/>
          <w:sz w:val="18"/>
        </w:rPr>
        <w:t>710.</w:t>
      </w:r>
    </w:p>
    <w:p w14:paraId="3AE9E694" w14:textId="77777777" w:rsidR="00BD462C" w:rsidRDefault="00033D0F">
      <w:pPr>
        <w:spacing w:before="1"/>
        <w:ind w:left="135" w:right="909"/>
        <w:jc w:val="both"/>
        <w:rPr>
          <w:sz w:val="18"/>
        </w:rPr>
      </w:pPr>
      <w:bookmarkStart w:id="1215" w:name="_bookmark1047"/>
      <w:bookmarkEnd w:id="1215"/>
      <w:r>
        <w:rPr>
          <w:position w:val="5"/>
          <w:sz w:val="12"/>
        </w:rPr>
        <w:t>897</w:t>
      </w:r>
      <w:r>
        <w:rPr>
          <w:spacing w:val="20"/>
          <w:position w:val="5"/>
          <w:sz w:val="12"/>
        </w:rPr>
        <w:t xml:space="preserve"> </w:t>
      </w:r>
      <w:r>
        <w:rPr>
          <w:sz w:val="18"/>
        </w:rPr>
        <w:t>Or, at the very least, some explanation or evaluation of why this is not the case is required. As set out above, there is no evidence</w:t>
      </w:r>
      <w:r>
        <w:rPr>
          <w:spacing w:val="-11"/>
          <w:sz w:val="18"/>
        </w:rPr>
        <w:t xml:space="preserve"> </w:t>
      </w:r>
      <w:r>
        <w:rPr>
          <w:sz w:val="18"/>
        </w:rPr>
        <w:t>to</w:t>
      </w:r>
      <w:r>
        <w:rPr>
          <w:spacing w:val="-10"/>
          <w:sz w:val="18"/>
        </w:rPr>
        <w:t xml:space="preserve"> </w:t>
      </w:r>
      <w:r>
        <w:rPr>
          <w:sz w:val="18"/>
        </w:rPr>
        <w:t>suggest</w:t>
      </w:r>
      <w:r>
        <w:rPr>
          <w:spacing w:val="-10"/>
          <w:sz w:val="18"/>
        </w:rPr>
        <w:t xml:space="preserve"> </w:t>
      </w:r>
      <w:r>
        <w:rPr>
          <w:sz w:val="18"/>
        </w:rPr>
        <w:t>that</w:t>
      </w:r>
      <w:r>
        <w:rPr>
          <w:spacing w:val="-10"/>
          <w:sz w:val="18"/>
        </w:rPr>
        <w:t xml:space="preserve"> </w:t>
      </w:r>
      <w:r>
        <w:rPr>
          <w:sz w:val="18"/>
        </w:rPr>
        <w:t>MOFCOM</w:t>
      </w:r>
      <w:r>
        <w:rPr>
          <w:spacing w:val="-8"/>
          <w:sz w:val="18"/>
        </w:rPr>
        <w:t xml:space="preserve"> </w:t>
      </w:r>
      <w:r>
        <w:rPr>
          <w:sz w:val="18"/>
        </w:rPr>
        <w:t>considered</w:t>
      </w:r>
      <w:r>
        <w:rPr>
          <w:spacing w:val="-7"/>
          <w:sz w:val="18"/>
        </w:rPr>
        <w:t xml:space="preserve"> </w:t>
      </w:r>
      <w:r>
        <w:rPr>
          <w:sz w:val="18"/>
        </w:rPr>
        <w:t>the</w:t>
      </w:r>
      <w:r>
        <w:rPr>
          <w:spacing w:val="-7"/>
          <w:sz w:val="18"/>
        </w:rPr>
        <w:t xml:space="preserve"> </w:t>
      </w:r>
      <w:r>
        <w:rPr>
          <w:sz w:val="18"/>
        </w:rPr>
        <w:t>impact</w:t>
      </w:r>
      <w:r>
        <w:rPr>
          <w:spacing w:val="-6"/>
          <w:sz w:val="18"/>
        </w:rPr>
        <w:t xml:space="preserve"> </w:t>
      </w:r>
      <w:r>
        <w:rPr>
          <w:sz w:val="18"/>
        </w:rPr>
        <w:t>of</w:t>
      </w:r>
      <w:r>
        <w:rPr>
          <w:spacing w:val="-6"/>
          <w:sz w:val="18"/>
        </w:rPr>
        <w:t xml:space="preserve"> </w:t>
      </w:r>
      <w:r>
        <w:rPr>
          <w:sz w:val="18"/>
        </w:rPr>
        <w:t>third</w:t>
      </w:r>
      <w:r>
        <w:rPr>
          <w:spacing w:val="-7"/>
          <w:sz w:val="18"/>
        </w:rPr>
        <w:t xml:space="preserve"> </w:t>
      </w:r>
      <w:r>
        <w:rPr>
          <w:sz w:val="18"/>
        </w:rPr>
        <w:t>country</w:t>
      </w:r>
      <w:r>
        <w:rPr>
          <w:spacing w:val="-11"/>
          <w:sz w:val="18"/>
        </w:rPr>
        <w:t xml:space="preserve"> </w:t>
      </w:r>
      <w:r>
        <w:rPr>
          <w:sz w:val="18"/>
        </w:rPr>
        <w:t>imports</w:t>
      </w:r>
      <w:r>
        <w:rPr>
          <w:spacing w:val="-6"/>
          <w:sz w:val="18"/>
        </w:rPr>
        <w:t xml:space="preserve"> </w:t>
      </w:r>
      <w:r>
        <w:rPr>
          <w:sz w:val="18"/>
        </w:rPr>
        <w:t>and</w:t>
      </w:r>
      <w:r>
        <w:rPr>
          <w:spacing w:val="-11"/>
          <w:sz w:val="18"/>
        </w:rPr>
        <w:t xml:space="preserve"> </w:t>
      </w:r>
      <w:r>
        <w:rPr>
          <w:sz w:val="18"/>
        </w:rPr>
        <w:t>the</w:t>
      </w:r>
      <w:r>
        <w:rPr>
          <w:spacing w:val="-10"/>
          <w:sz w:val="18"/>
        </w:rPr>
        <w:t xml:space="preserve"> </w:t>
      </w:r>
      <w:r>
        <w:rPr>
          <w:sz w:val="18"/>
        </w:rPr>
        <w:t>other</w:t>
      </w:r>
      <w:r>
        <w:rPr>
          <w:spacing w:val="-8"/>
          <w:sz w:val="18"/>
        </w:rPr>
        <w:t xml:space="preserve"> </w:t>
      </w:r>
      <w:r>
        <w:rPr>
          <w:sz w:val="18"/>
        </w:rPr>
        <w:t>Chinese</w:t>
      </w:r>
      <w:r>
        <w:rPr>
          <w:spacing w:val="-7"/>
          <w:sz w:val="18"/>
        </w:rPr>
        <w:t xml:space="preserve"> </w:t>
      </w:r>
      <w:r>
        <w:rPr>
          <w:sz w:val="18"/>
        </w:rPr>
        <w:t>domestic</w:t>
      </w:r>
      <w:r>
        <w:rPr>
          <w:spacing w:val="-8"/>
          <w:sz w:val="18"/>
        </w:rPr>
        <w:t xml:space="preserve"> </w:t>
      </w:r>
      <w:r>
        <w:rPr>
          <w:sz w:val="18"/>
        </w:rPr>
        <w:t>producers during its volume and market share analysis.</w:t>
      </w:r>
    </w:p>
    <w:p w14:paraId="3A3F9A2D" w14:textId="77777777" w:rsidR="00BD462C" w:rsidRDefault="00BD462C">
      <w:pPr>
        <w:jc w:val="both"/>
        <w:rPr>
          <w:sz w:val="18"/>
        </w:rPr>
        <w:sectPr w:rsidR="00BD462C">
          <w:pgSz w:w="11910" w:h="16840"/>
          <w:pgMar w:top="860" w:right="500" w:bottom="780" w:left="1280" w:header="566" w:footer="590" w:gutter="0"/>
          <w:cols w:space="720"/>
        </w:sectPr>
      </w:pPr>
    </w:p>
    <w:p w14:paraId="350A8518"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6FA0ADE7"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023C5C00"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60A220D3" w14:textId="350B1C5C" w:rsidR="00BD462C" w:rsidRDefault="00BB6E3A">
      <w:pPr>
        <w:pStyle w:val="BodyText"/>
        <w:spacing w:before="107" w:line="360" w:lineRule="auto"/>
        <w:ind w:left="135" w:right="913"/>
        <w:jc w:val="both"/>
      </w:pPr>
      <w:r>
        <w:rPr>
          <w:noProof/>
        </w:rPr>
        <w:t>579.</w:t>
      </w:r>
      <w:r w:rsidR="00033D0F">
        <w:rPr>
          <w:rFonts w:ascii="Times New Roman"/>
          <w:spacing w:val="80"/>
          <w:w w:val="150"/>
          <w:position w:val="1"/>
          <w:sz w:val="20"/>
        </w:rPr>
        <w:t xml:space="preserve"> </w:t>
      </w:r>
      <w:r w:rsidR="00033D0F">
        <w:rPr>
          <w:position w:val="1"/>
        </w:rPr>
        <w:t xml:space="preserve">Australia's position is that MOFCOM's determination was based, at most, on its </w:t>
      </w:r>
      <w:r w:rsidR="00033D0F">
        <w:t>assumption</w:t>
      </w:r>
      <w:r w:rsidR="00033D0F">
        <w:rPr>
          <w:spacing w:val="-1"/>
        </w:rPr>
        <w:t xml:space="preserve"> </w:t>
      </w:r>
      <w:r w:rsidR="00033D0F">
        <w:t>of a causal relationship</w:t>
      </w:r>
      <w:r w:rsidR="00033D0F">
        <w:rPr>
          <w:spacing w:val="-1"/>
        </w:rPr>
        <w:t xml:space="preserve"> </w:t>
      </w:r>
      <w:r w:rsidR="00033D0F">
        <w:t>rather</w:t>
      </w:r>
      <w:r w:rsidR="00033D0F">
        <w:rPr>
          <w:spacing w:val="-1"/>
        </w:rPr>
        <w:t xml:space="preserve"> </w:t>
      </w:r>
      <w:r w:rsidR="00033D0F">
        <w:t>than</w:t>
      </w:r>
      <w:r w:rsidR="00033D0F">
        <w:rPr>
          <w:spacing w:val="-1"/>
        </w:rPr>
        <w:t xml:space="preserve"> </w:t>
      </w:r>
      <w:r w:rsidR="00033D0F">
        <w:t>a</w:t>
      </w:r>
      <w:r w:rsidR="00033D0F">
        <w:rPr>
          <w:spacing w:val="-3"/>
        </w:rPr>
        <w:t xml:space="preserve"> </w:t>
      </w:r>
      <w:r w:rsidR="00033D0F">
        <w:rPr>
          <w:i/>
        </w:rPr>
        <w:t xml:space="preserve">demonstration </w:t>
      </w:r>
      <w:r w:rsidR="00033D0F">
        <w:t>of such</w:t>
      </w:r>
      <w:r w:rsidR="00033D0F">
        <w:rPr>
          <w:spacing w:val="-1"/>
        </w:rPr>
        <w:t xml:space="preserve"> </w:t>
      </w:r>
      <w:r w:rsidR="00033D0F">
        <w:t>a relationship</w:t>
      </w:r>
      <w:r w:rsidR="00033D0F">
        <w:rPr>
          <w:spacing w:val="-1"/>
        </w:rPr>
        <w:t xml:space="preserve"> </w:t>
      </w:r>
      <w:r w:rsidR="00033D0F">
        <w:t xml:space="preserve">based on an objective </w:t>
      </w:r>
      <w:r w:rsidR="00033D0F">
        <w:rPr>
          <w:i/>
        </w:rPr>
        <w:t xml:space="preserve">examination </w:t>
      </w:r>
      <w:r w:rsidR="00033D0F">
        <w:t>of all relevant evidence on the record.</w:t>
      </w:r>
      <w:hyperlink w:anchor="_bookmark1049" w:history="1">
        <w:r w:rsidR="00033D0F">
          <w:rPr>
            <w:vertAlign w:val="superscript"/>
          </w:rPr>
          <w:t>898</w:t>
        </w:r>
      </w:hyperlink>
      <w:r w:rsidR="00033D0F">
        <w:t xml:space="preserve"> In particular, Australia recalls that MOFCOM's factual findings established that: (i) there was a significant price gap between the average unit values of subject imports and domestic like products, such that subject imports were significantly more expensive;</w:t>
      </w:r>
      <w:hyperlink w:anchor="_bookmark1050" w:history="1">
        <w:r w:rsidR="00033D0F">
          <w:rPr>
            <w:vertAlign w:val="superscript"/>
          </w:rPr>
          <w:t>899</w:t>
        </w:r>
      </w:hyperlink>
      <w:r w:rsidR="00033D0F">
        <w:t xml:space="preserve"> and (ii) based on MOFCOM's evidence, the margin of price suppression experienced by the domestic industry was just 658RMB/</w:t>
      </w:r>
      <w:proofErr w:type="spellStart"/>
      <w:r w:rsidR="00033D0F">
        <w:t>kilolitre</w:t>
      </w:r>
      <w:proofErr w:type="spellEnd"/>
      <w:r w:rsidR="00033D0F">
        <w:rPr>
          <w:spacing w:val="-2"/>
        </w:rPr>
        <w:t xml:space="preserve"> </w:t>
      </w:r>
      <w:r w:rsidR="00033D0F">
        <w:t>over</w:t>
      </w:r>
      <w:r w:rsidR="00033D0F">
        <w:rPr>
          <w:spacing w:val="-5"/>
        </w:rPr>
        <w:t xml:space="preserve"> </w:t>
      </w:r>
      <w:r w:rsidR="00033D0F">
        <w:t>the</w:t>
      </w:r>
      <w:r w:rsidR="00033D0F">
        <w:rPr>
          <w:spacing w:val="-2"/>
        </w:rPr>
        <w:t xml:space="preserve"> </w:t>
      </w:r>
      <w:r w:rsidR="00033D0F">
        <w:t>Injury</w:t>
      </w:r>
      <w:r w:rsidR="00033D0F">
        <w:rPr>
          <w:spacing w:val="-1"/>
        </w:rPr>
        <w:t xml:space="preserve"> </w:t>
      </w:r>
      <w:r w:rsidR="00033D0F">
        <w:t>POI</w:t>
      </w:r>
      <w:r w:rsidR="00033D0F">
        <w:rPr>
          <w:spacing w:val="-1"/>
        </w:rPr>
        <w:t xml:space="preserve"> </w:t>
      </w:r>
      <w:r w:rsidR="00033D0F">
        <w:t>(i.e.</w:t>
      </w:r>
      <w:r w:rsidR="00033D0F">
        <w:rPr>
          <w:spacing w:val="-1"/>
        </w:rPr>
        <w:t xml:space="preserve"> </w:t>
      </w:r>
      <w:r w:rsidR="00033D0F">
        <w:t>2%</w:t>
      </w:r>
      <w:r w:rsidR="00033D0F">
        <w:rPr>
          <w:spacing w:val="-2"/>
        </w:rPr>
        <w:t xml:space="preserve"> </w:t>
      </w:r>
      <w:r w:rsidR="00033D0F">
        <w:t>of</w:t>
      </w:r>
      <w:r w:rsidR="00033D0F">
        <w:rPr>
          <w:spacing w:val="-4"/>
        </w:rPr>
        <w:t xml:space="preserve"> </w:t>
      </w:r>
      <w:r w:rsidR="00033D0F">
        <w:t>the</w:t>
      </w:r>
      <w:r w:rsidR="00033D0F">
        <w:rPr>
          <w:spacing w:val="-2"/>
        </w:rPr>
        <w:t xml:space="preserve"> </w:t>
      </w:r>
      <w:r w:rsidR="00033D0F">
        <w:t>average</w:t>
      </w:r>
      <w:r w:rsidR="00033D0F">
        <w:rPr>
          <w:spacing w:val="-2"/>
        </w:rPr>
        <w:t xml:space="preserve"> </w:t>
      </w:r>
      <w:r w:rsidR="00033D0F">
        <w:t>price</w:t>
      </w:r>
      <w:r w:rsidR="00033D0F">
        <w:rPr>
          <w:spacing w:val="-2"/>
        </w:rPr>
        <w:t xml:space="preserve"> </w:t>
      </w:r>
      <w:r w:rsidR="00033D0F">
        <w:t>of</w:t>
      </w:r>
      <w:r w:rsidR="00033D0F">
        <w:rPr>
          <w:spacing w:val="-4"/>
        </w:rPr>
        <w:t xml:space="preserve"> </w:t>
      </w:r>
      <w:r w:rsidR="00033D0F">
        <w:t>domestic</w:t>
      </w:r>
      <w:r w:rsidR="00033D0F">
        <w:rPr>
          <w:spacing w:val="-4"/>
        </w:rPr>
        <w:t xml:space="preserve"> </w:t>
      </w:r>
      <w:r w:rsidR="00033D0F">
        <w:t>like</w:t>
      </w:r>
      <w:r w:rsidR="00033D0F">
        <w:rPr>
          <w:spacing w:val="-2"/>
        </w:rPr>
        <w:t xml:space="preserve"> </w:t>
      </w:r>
      <w:r w:rsidR="00033D0F">
        <w:t>products</w:t>
      </w:r>
      <w:r w:rsidR="00033D0F">
        <w:rPr>
          <w:spacing w:val="-1"/>
        </w:rPr>
        <w:t xml:space="preserve"> </w:t>
      </w:r>
      <w:r w:rsidR="00033D0F">
        <w:t>in the</w:t>
      </w:r>
      <w:r w:rsidR="00033D0F">
        <w:rPr>
          <w:spacing w:val="-6"/>
        </w:rPr>
        <w:t xml:space="preserve"> </w:t>
      </w:r>
      <w:r w:rsidR="00033D0F">
        <w:t>"base</w:t>
      </w:r>
      <w:r w:rsidR="00033D0F">
        <w:rPr>
          <w:spacing w:val="-6"/>
        </w:rPr>
        <w:t xml:space="preserve"> </w:t>
      </w:r>
      <w:r w:rsidR="00033D0F">
        <w:t>year",</w:t>
      </w:r>
      <w:r w:rsidR="00033D0F">
        <w:rPr>
          <w:spacing w:val="-4"/>
        </w:rPr>
        <w:t xml:space="preserve"> </w:t>
      </w:r>
      <w:r w:rsidR="00033D0F">
        <w:t>2015).</w:t>
      </w:r>
      <w:hyperlink w:anchor="_bookmark1051" w:history="1">
        <w:r w:rsidR="00033D0F">
          <w:rPr>
            <w:vertAlign w:val="superscript"/>
          </w:rPr>
          <w:t>900</w:t>
        </w:r>
      </w:hyperlink>
      <w:r w:rsidR="00033D0F">
        <w:rPr>
          <w:spacing w:val="-5"/>
        </w:rPr>
        <w:t xml:space="preserve"> </w:t>
      </w:r>
      <w:r w:rsidR="00033D0F">
        <w:t>MOFCOM</w:t>
      </w:r>
      <w:r w:rsidR="00033D0F">
        <w:rPr>
          <w:spacing w:val="-6"/>
        </w:rPr>
        <w:t xml:space="preserve"> </w:t>
      </w:r>
      <w:r w:rsidR="00033D0F">
        <w:t>failed</w:t>
      </w:r>
      <w:r w:rsidR="00033D0F">
        <w:rPr>
          <w:spacing w:val="-8"/>
        </w:rPr>
        <w:t xml:space="preserve"> </w:t>
      </w:r>
      <w:r w:rsidR="00033D0F">
        <w:t>to</w:t>
      </w:r>
      <w:r w:rsidR="00033D0F">
        <w:rPr>
          <w:spacing w:val="-9"/>
        </w:rPr>
        <w:t xml:space="preserve"> </w:t>
      </w:r>
      <w:r w:rsidR="00033D0F">
        <w:t>explain</w:t>
      </w:r>
      <w:r w:rsidR="00033D0F">
        <w:rPr>
          <w:spacing w:val="-13"/>
        </w:rPr>
        <w:t xml:space="preserve"> </w:t>
      </w:r>
      <w:r w:rsidR="00033D0F">
        <w:t>how</w:t>
      </w:r>
      <w:r w:rsidR="00033D0F">
        <w:rPr>
          <w:spacing w:val="-6"/>
        </w:rPr>
        <w:t xml:space="preserve"> </w:t>
      </w:r>
      <w:r w:rsidR="00033D0F">
        <w:t>it</w:t>
      </w:r>
      <w:r w:rsidR="00033D0F">
        <w:rPr>
          <w:spacing w:val="-6"/>
        </w:rPr>
        <w:t xml:space="preserve"> </w:t>
      </w:r>
      <w:r w:rsidR="00033D0F">
        <w:t>took</w:t>
      </w:r>
      <w:r w:rsidR="00033D0F">
        <w:rPr>
          <w:spacing w:val="-5"/>
        </w:rPr>
        <w:t xml:space="preserve"> </w:t>
      </w:r>
      <w:r w:rsidR="00033D0F">
        <w:t>this</w:t>
      </w:r>
      <w:r w:rsidR="00033D0F">
        <w:rPr>
          <w:spacing w:val="-5"/>
        </w:rPr>
        <w:t xml:space="preserve"> </w:t>
      </w:r>
      <w:r w:rsidR="00033D0F">
        <w:t>evidence</w:t>
      </w:r>
      <w:r w:rsidR="00033D0F">
        <w:rPr>
          <w:spacing w:val="-6"/>
        </w:rPr>
        <w:t xml:space="preserve"> </w:t>
      </w:r>
      <w:r w:rsidR="00033D0F">
        <w:t>into</w:t>
      </w:r>
      <w:r w:rsidR="00033D0F">
        <w:rPr>
          <w:spacing w:val="-9"/>
        </w:rPr>
        <w:t xml:space="preserve"> </w:t>
      </w:r>
      <w:r w:rsidR="00033D0F">
        <w:t>account</w:t>
      </w:r>
      <w:r w:rsidR="00033D0F">
        <w:rPr>
          <w:spacing w:val="-6"/>
        </w:rPr>
        <w:t xml:space="preserve"> </w:t>
      </w:r>
      <w:r w:rsidR="00033D0F">
        <w:t>in reaching its conclusions. The Final Determination does not contain any examination or demonstration as to how the subject imports caused the deterioration that MOFCOM observed</w:t>
      </w:r>
      <w:r w:rsidR="00033D0F">
        <w:rPr>
          <w:spacing w:val="-14"/>
        </w:rPr>
        <w:t xml:space="preserve"> </w:t>
      </w:r>
      <w:r w:rsidR="00033D0F">
        <w:t>in</w:t>
      </w:r>
      <w:r w:rsidR="00033D0F">
        <w:rPr>
          <w:spacing w:val="-13"/>
        </w:rPr>
        <w:t xml:space="preserve"> </w:t>
      </w:r>
      <w:r w:rsidR="00033D0F">
        <w:t>the</w:t>
      </w:r>
      <w:r w:rsidR="00033D0F">
        <w:rPr>
          <w:spacing w:val="-6"/>
        </w:rPr>
        <w:t xml:space="preserve"> </w:t>
      </w:r>
      <w:r w:rsidR="00033D0F">
        <w:t>domestic</w:t>
      </w:r>
      <w:r w:rsidR="00033D0F">
        <w:rPr>
          <w:spacing w:val="-12"/>
        </w:rPr>
        <w:t xml:space="preserve"> </w:t>
      </w:r>
      <w:r w:rsidR="00033D0F">
        <w:t>industry.</w:t>
      </w:r>
      <w:r w:rsidR="00033D0F">
        <w:rPr>
          <w:spacing w:val="-10"/>
        </w:rPr>
        <w:t xml:space="preserve"> </w:t>
      </w:r>
      <w:r w:rsidR="00033D0F">
        <w:t>Rather</w:t>
      </w:r>
      <w:r w:rsidR="00033D0F">
        <w:rPr>
          <w:spacing w:val="-14"/>
        </w:rPr>
        <w:t xml:space="preserve"> </w:t>
      </w:r>
      <w:r w:rsidR="00033D0F">
        <w:t>than</w:t>
      </w:r>
      <w:r w:rsidR="00033D0F">
        <w:rPr>
          <w:spacing w:val="-8"/>
        </w:rPr>
        <w:t xml:space="preserve"> </w:t>
      </w:r>
      <w:r w:rsidR="00033D0F">
        <w:t>demonstrating</w:t>
      </w:r>
      <w:r w:rsidR="00033D0F">
        <w:rPr>
          <w:spacing w:val="-9"/>
        </w:rPr>
        <w:t xml:space="preserve"> </w:t>
      </w:r>
      <w:r w:rsidR="00033D0F">
        <w:t>a</w:t>
      </w:r>
      <w:r w:rsidR="00033D0F">
        <w:rPr>
          <w:spacing w:val="-11"/>
        </w:rPr>
        <w:t xml:space="preserve"> </w:t>
      </w:r>
      <w:r w:rsidR="00033D0F">
        <w:t>genuine</w:t>
      </w:r>
      <w:r w:rsidR="00033D0F">
        <w:rPr>
          <w:spacing w:val="-11"/>
        </w:rPr>
        <w:t xml:space="preserve"> </w:t>
      </w:r>
      <w:r w:rsidR="00033D0F">
        <w:t>relationship</w:t>
      </w:r>
      <w:r w:rsidR="00033D0F">
        <w:rPr>
          <w:spacing w:val="-13"/>
        </w:rPr>
        <w:t xml:space="preserve"> </w:t>
      </w:r>
      <w:r w:rsidR="00033D0F">
        <w:t>of</w:t>
      </w:r>
      <w:r w:rsidR="00033D0F">
        <w:rPr>
          <w:spacing w:val="-13"/>
        </w:rPr>
        <w:t xml:space="preserve"> </w:t>
      </w:r>
      <w:r w:rsidR="00033D0F">
        <w:t>cause and effect, MOFCOM simply assumed that all of the negative trends and adverse conditions experienced by the domestic industry had been caused by the subject imports.</w:t>
      </w:r>
      <w:hyperlink w:anchor="_bookmark1052" w:history="1">
        <w:r w:rsidR="00033D0F">
          <w:rPr>
            <w:vertAlign w:val="superscript"/>
          </w:rPr>
          <w:t>901</w:t>
        </w:r>
      </w:hyperlink>
      <w:r w:rsidR="00033D0F">
        <w:t xml:space="preserve"> MOFCOM ignored a much larger and more complex domestic market, and dismissed all of the other factors and evidence that were before it on the investigation record and brought to its attention by the interested parties.</w:t>
      </w:r>
    </w:p>
    <w:p w14:paraId="46D21AAB" w14:textId="609427A4" w:rsidR="00BD462C" w:rsidRDefault="00BB6E3A">
      <w:pPr>
        <w:pStyle w:val="BodyText"/>
        <w:spacing w:before="156" w:line="352" w:lineRule="auto"/>
        <w:ind w:left="136" w:right="913"/>
        <w:jc w:val="both"/>
      </w:pPr>
      <w:r>
        <w:rPr>
          <w:noProof/>
        </w:rPr>
        <w:t>580.</w:t>
      </w:r>
      <w:r w:rsidR="00033D0F">
        <w:rPr>
          <w:rFonts w:ascii="Times New Roman"/>
          <w:spacing w:val="80"/>
          <w:w w:val="150"/>
          <w:position w:val="1"/>
          <w:sz w:val="20"/>
        </w:rPr>
        <w:t xml:space="preserve">  </w:t>
      </w:r>
      <w:r w:rsidR="00033D0F">
        <w:rPr>
          <w:position w:val="1"/>
        </w:rPr>
        <w:t>China's</w:t>
      </w:r>
      <w:r w:rsidR="00033D0F">
        <w:rPr>
          <w:spacing w:val="-14"/>
          <w:position w:val="1"/>
        </w:rPr>
        <w:t xml:space="preserve"> </w:t>
      </w:r>
      <w:r w:rsidR="00033D0F">
        <w:rPr>
          <w:position w:val="1"/>
        </w:rPr>
        <w:t>first</w:t>
      </w:r>
      <w:r w:rsidR="00033D0F">
        <w:rPr>
          <w:spacing w:val="-14"/>
          <w:position w:val="1"/>
        </w:rPr>
        <w:t xml:space="preserve"> </w:t>
      </w:r>
      <w:r w:rsidR="00033D0F">
        <w:rPr>
          <w:position w:val="1"/>
        </w:rPr>
        <w:t>written</w:t>
      </w:r>
      <w:r w:rsidR="00033D0F">
        <w:rPr>
          <w:spacing w:val="-13"/>
          <w:position w:val="1"/>
        </w:rPr>
        <w:t xml:space="preserve"> </w:t>
      </w:r>
      <w:r w:rsidR="00033D0F">
        <w:rPr>
          <w:position w:val="1"/>
        </w:rPr>
        <w:t>submission</w:t>
      </w:r>
      <w:r w:rsidR="00033D0F">
        <w:rPr>
          <w:spacing w:val="-14"/>
          <w:position w:val="1"/>
        </w:rPr>
        <w:t xml:space="preserve"> </w:t>
      </w:r>
      <w:r w:rsidR="00033D0F">
        <w:rPr>
          <w:position w:val="1"/>
        </w:rPr>
        <w:t>simply</w:t>
      </w:r>
      <w:r w:rsidR="00033D0F">
        <w:rPr>
          <w:spacing w:val="-13"/>
          <w:position w:val="1"/>
        </w:rPr>
        <w:t xml:space="preserve"> </w:t>
      </w:r>
      <w:r w:rsidR="00033D0F">
        <w:rPr>
          <w:position w:val="1"/>
        </w:rPr>
        <w:t>reiterates</w:t>
      </w:r>
      <w:r w:rsidR="00033D0F">
        <w:rPr>
          <w:spacing w:val="-14"/>
          <w:position w:val="1"/>
        </w:rPr>
        <w:t xml:space="preserve"> </w:t>
      </w:r>
      <w:r w:rsidR="00033D0F">
        <w:rPr>
          <w:position w:val="1"/>
        </w:rPr>
        <w:t>these</w:t>
      </w:r>
      <w:r w:rsidR="00033D0F">
        <w:rPr>
          <w:spacing w:val="-13"/>
          <w:position w:val="1"/>
        </w:rPr>
        <w:t xml:space="preserve"> </w:t>
      </w:r>
      <w:r w:rsidR="00033D0F">
        <w:rPr>
          <w:position w:val="1"/>
        </w:rPr>
        <w:t>assertions.</w:t>
      </w:r>
      <w:hyperlink w:anchor="_bookmark1053" w:history="1">
        <w:r w:rsidR="00033D0F">
          <w:rPr>
            <w:position w:val="1"/>
            <w:vertAlign w:val="superscript"/>
          </w:rPr>
          <w:t>902</w:t>
        </w:r>
      </w:hyperlink>
      <w:r w:rsidR="00033D0F">
        <w:rPr>
          <w:spacing w:val="-14"/>
          <w:position w:val="1"/>
        </w:rPr>
        <w:t xml:space="preserve"> </w:t>
      </w:r>
      <w:r w:rsidR="00033D0F">
        <w:rPr>
          <w:position w:val="1"/>
        </w:rPr>
        <w:t>It</w:t>
      </w:r>
      <w:r w:rsidR="00033D0F">
        <w:rPr>
          <w:spacing w:val="-14"/>
          <w:position w:val="1"/>
        </w:rPr>
        <w:t xml:space="preserve"> </w:t>
      </w:r>
      <w:r w:rsidR="00033D0F">
        <w:rPr>
          <w:position w:val="1"/>
        </w:rPr>
        <w:t>does</w:t>
      </w:r>
      <w:r w:rsidR="00033D0F">
        <w:rPr>
          <w:spacing w:val="-13"/>
          <w:position w:val="1"/>
        </w:rPr>
        <w:t xml:space="preserve"> </w:t>
      </w:r>
      <w:r w:rsidR="00033D0F">
        <w:rPr>
          <w:position w:val="1"/>
        </w:rPr>
        <w:t>not</w:t>
      </w:r>
      <w:r w:rsidR="00033D0F">
        <w:rPr>
          <w:spacing w:val="-14"/>
          <w:position w:val="1"/>
        </w:rPr>
        <w:t xml:space="preserve"> </w:t>
      </w:r>
      <w:r w:rsidR="00033D0F">
        <w:rPr>
          <w:position w:val="1"/>
        </w:rPr>
        <w:t xml:space="preserve">point </w:t>
      </w:r>
      <w:r w:rsidR="00033D0F">
        <w:t>to any examination undertaken by MOFCOM or demonstration of a causal relationship between the subject imports and the material injury to the domestic industry.</w:t>
      </w:r>
    </w:p>
    <w:p w14:paraId="0555DEB4" w14:textId="77777777" w:rsidR="00BD462C" w:rsidRDefault="00033D0F">
      <w:pPr>
        <w:pStyle w:val="Heading3"/>
        <w:numPr>
          <w:ilvl w:val="0"/>
          <w:numId w:val="32"/>
        </w:numPr>
        <w:tabs>
          <w:tab w:val="left" w:pos="2689"/>
          <w:tab w:val="left" w:pos="2690"/>
        </w:tabs>
        <w:spacing w:before="172" w:line="362" w:lineRule="auto"/>
        <w:ind w:right="919"/>
      </w:pPr>
      <w:bookmarkStart w:id="1216" w:name="4._MOFCOM_did_not_conduct_a_non-attribut"/>
      <w:bookmarkStart w:id="1217" w:name="_bookmark1048"/>
      <w:bookmarkEnd w:id="1216"/>
      <w:bookmarkEnd w:id="1217"/>
      <w:r>
        <w:t>MOFCOM</w:t>
      </w:r>
      <w:r>
        <w:rPr>
          <w:spacing w:val="-8"/>
        </w:rPr>
        <w:t xml:space="preserve"> </w:t>
      </w:r>
      <w:r>
        <w:t>did</w:t>
      </w:r>
      <w:r>
        <w:rPr>
          <w:spacing w:val="-9"/>
        </w:rPr>
        <w:t xml:space="preserve"> </w:t>
      </w:r>
      <w:r>
        <w:t>not</w:t>
      </w:r>
      <w:r>
        <w:rPr>
          <w:spacing w:val="-11"/>
        </w:rPr>
        <w:t xml:space="preserve"> </w:t>
      </w:r>
      <w:r>
        <w:t>conduct</w:t>
      </w:r>
      <w:r>
        <w:rPr>
          <w:spacing w:val="-11"/>
        </w:rPr>
        <w:t xml:space="preserve"> </w:t>
      </w:r>
      <w:r>
        <w:t>a</w:t>
      </w:r>
      <w:r>
        <w:rPr>
          <w:spacing w:val="-8"/>
        </w:rPr>
        <w:t xml:space="preserve"> </w:t>
      </w:r>
      <w:r>
        <w:t>non-attribution</w:t>
      </w:r>
      <w:r>
        <w:rPr>
          <w:spacing w:val="-9"/>
        </w:rPr>
        <w:t xml:space="preserve"> </w:t>
      </w:r>
      <w:r>
        <w:t>analysis</w:t>
      </w:r>
      <w:r>
        <w:rPr>
          <w:spacing w:val="-9"/>
        </w:rPr>
        <w:t xml:space="preserve"> </w:t>
      </w:r>
      <w:r>
        <w:t>in</w:t>
      </w:r>
      <w:r>
        <w:rPr>
          <w:spacing w:val="-9"/>
        </w:rPr>
        <w:t xml:space="preserve"> </w:t>
      </w:r>
      <w:r>
        <w:t>relation</w:t>
      </w:r>
      <w:r>
        <w:rPr>
          <w:spacing w:val="-9"/>
        </w:rPr>
        <w:t xml:space="preserve"> </w:t>
      </w:r>
      <w:r>
        <w:t>to known factors</w:t>
      </w:r>
    </w:p>
    <w:p w14:paraId="4A4D44EE" w14:textId="77777777" w:rsidR="00BD462C" w:rsidRDefault="00BD462C">
      <w:pPr>
        <w:pStyle w:val="BodyText"/>
        <w:spacing w:before="8"/>
        <w:rPr>
          <w:b/>
          <w:sz w:val="8"/>
        </w:rPr>
      </w:pPr>
    </w:p>
    <w:p w14:paraId="115A3861" w14:textId="2ADC4571" w:rsidR="00BD462C" w:rsidRDefault="00BB6E3A">
      <w:pPr>
        <w:pStyle w:val="BodyText"/>
        <w:spacing w:before="56" w:line="355" w:lineRule="auto"/>
        <w:ind w:left="135" w:right="923"/>
      </w:pPr>
      <w:r>
        <w:rPr>
          <w:noProof/>
        </w:rPr>
        <w:t>581.</w:t>
      </w:r>
      <w:r w:rsidR="00033D0F">
        <w:rPr>
          <w:rFonts w:ascii="Times New Roman"/>
          <w:spacing w:val="80"/>
          <w:w w:val="150"/>
          <w:position w:val="1"/>
          <w:sz w:val="20"/>
        </w:rPr>
        <w:t xml:space="preserve">  </w:t>
      </w:r>
      <w:r w:rsidR="00033D0F">
        <w:rPr>
          <w:position w:val="1"/>
        </w:rPr>
        <w:t xml:space="preserve">The parties disagree as to whether MOFCOM's examination of other known factors </w:t>
      </w:r>
      <w:r w:rsidR="00033D0F">
        <w:t>was</w:t>
      </w:r>
      <w:r w:rsidR="00033D0F">
        <w:rPr>
          <w:spacing w:val="44"/>
        </w:rPr>
        <w:t xml:space="preserve"> </w:t>
      </w:r>
      <w:r w:rsidR="00033D0F">
        <w:t>consistent</w:t>
      </w:r>
      <w:r w:rsidR="00033D0F">
        <w:rPr>
          <w:spacing w:val="46"/>
        </w:rPr>
        <w:t xml:space="preserve"> </w:t>
      </w:r>
      <w:r w:rsidR="00033D0F">
        <w:t>with</w:t>
      </w:r>
      <w:r w:rsidR="00033D0F">
        <w:rPr>
          <w:spacing w:val="42"/>
        </w:rPr>
        <w:t xml:space="preserve"> </w:t>
      </w:r>
      <w:r w:rsidR="00033D0F">
        <w:t>China's</w:t>
      </w:r>
      <w:r w:rsidR="00033D0F">
        <w:rPr>
          <w:spacing w:val="47"/>
        </w:rPr>
        <w:t xml:space="preserve"> </w:t>
      </w:r>
      <w:r w:rsidR="00033D0F">
        <w:t>obligations</w:t>
      </w:r>
      <w:r w:rsidR="00033D0F">
        <w:rPr>
          <w:spacing w:val="46"/>
        </w:rPr>
        <w:t xml:space="preserve"> </w:t>
      </w:r>
      <w:r w:rsidR="00033D0F">
        <w:t>under</w:t>
      </w:r>
      <w:r w:rsidR="00033D0F">
        <w:rPr>
          <w:spacing w:val="48"/>
        </w:rPr>
        <w:t xml:space="preserve"> </w:t>
      </w:r>
      <w:r w:rsidR="00033D0F">
        <w:t>Article</w:t>
      </w:r>
      <w:r w:rsidR="00033D0F">
        <w:rPr>
          <w:spacing w:val="-2"/>
        </w:rPr>
        <w:t xml:space="preserve"> </w:t>
      </w:r>
      <w:r w:rsidR="00033D0F">
        <w:t>3.5.</w:t>
      </w:r>
      <w:r w:rsidR="00033D0F">
        <w:rPr>
          <w:spacing w:val="45"/>
        </w:rPr>
        <w:t xml:space="preserve"> </w:t>
      </w:r>
      <w:r w:rsidR="00033D0F">
        <w:t>The</w:t>
      </w:r>
      <w:r w:rsidR="00033D0F">
        <w:rPr>
          <w:spacing w:val="45"/>
        </w:rPr>
        <w:t xml:space="preserve"> </w:t>
      </w:r>
      <w:r w:rsidR="00033D0F">
        <w:t>correct</w:t>
      </w:r>
      <w:r w:rsidR="00033D0F">
        <w:rPr>
          <w:spacing w:val="45"/>
        </w:rPr>
        <w:t xml:space="preserve"> </w:t>
      </w:r>
      <w:r w:rsidR="00033D0F">
        <w:t>and</w:t>
      </w:r>
      <w:r w:rsidR="00033D0F">
        <w:rPr>
          <w:spacing w:val="44"/>
        </w:rPr>
        <w:t xml:space="preserve"> </w:t>
      </w:r>
      <w:r w:rsidR="00033D0F">
        <w:t>well</w:t>
      </w:r>
      <w:r w:rsidR="00033D0F">
        <w:rPr>
          <w:spacing w:val="47"/>
        </w:rPr>
        <w:t xml:space="preserve"> </w:t>
      </w:r>
      <w:r w:rsidR="00033D0F">
        <w:rPr>
          <w:spacing w:val="-2"/>
        </w:rPr>
        <w:t>accepted</w:t>
      </w:r>
    </w:p>
    <w:p w14:paraId="4D319384" w14:textId="77777777" w:rsidR="00BD462C" w:rsidRDefault="00BD462C">
      <w:pPr>
        <w:pStyle w:val="BodyText"/>
        <w:rPr>
          <w:sz w:val="20"/>
        </w:rPr>
      </w:pPr>
    </w:p>
    <w:p w14:paraId="01F5043A" w14:textId="77777777" w:rsidR="00BD462C" w:rsidRDefault="00BD462C">
      <w:pPr>
        <w:pStyle w:val="BodyText"/>
        <w:rPr>
          <w:sz w:val="20"/>
        </w:rPr>
      </w:pPr>
    </w:p>
    <w:p w14:paraId="2FAFCD4F" w14:textId="6E20E3E9" w:rsidR="00BD462C" w:rsidRDefault="00752F01">
      <w:pPr>
        <w:pStyle w:val="BodyText"/>
        <w:spacing w:before="6"/>
      </w:pPr>
      <w:r>
        <w:rPr>
          <w:noProof/>
        </w:rPr>
        <mc:AlternateContent>
          <mc:Choice Requires="wps">
            <w:drawing>
              <wp:anchor distT="0" distB="0" distL="0" distR="0" simplePos="0" relativeHeight="488223232" behindDoc="1" locked="0" layoutInCell="1" allowOverlap="1" wp14:anchorId="7ED44AFD" wp14:editId="314DDB19">
                <wp:simplePos x="0" y="0"/>
                <wp:positionH relativeFrom="page">
                  <wp:posOffset>812800</wp:posOffset>
                </wp:positionH>
                <wp:positionV relativeFrom="paragraph">
                  <wp:posOffset>189865</wp:posOffset>
                </wp:positionV>
                <wp:extent cx="1828800" cy="8890"/>
                <wp:effectExtent l="0" t="0" r="0" b="0"/>
                <wp:wrapTopAndBottom/>
                <wp:docPr id="199" name="docshape6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70001C" id="docshape664" o:spid="_x0000_s1026" alt="&quot;&quot;" style="position:absolute;margin-left:64pt;margin-top:14.95pt;width:2in;height:.7pt;z-index:-1509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" fillcolor="black" stroked="f">
                <w10:wrap type="topAndBottom" anchorx="page"/>
              </v:rect>
            </w:pict>
          </mc:Fallback>
        </mc:AlternateContent>
      </w:r>
    </w:p>
    <w:p w14:paraId="066417F0" w14:textId="77777777" w:rsidR="00BD462C" w:rsidRDefault="00033D0F">
      <w:pPr>
        <w:spacing w:before="112"/>
        <w:ind w:left="135"/>
        <w:rPr>
          <w:sz w:val="18"/>
        </w:rPr>
      </w:pPr>
      <w:bookmarkStart w:id="1218" w:name="_bookmark1049"/>
      <w:bookmarkEnd w:id="1218"/>
      <w:r>
        <w:rPr>
          <w:position w:val="5"/>
          <w:sz w:val="12"/>
        </w:rPr>
        <w:t>898</w:t>
      </w:r>
      <w:r>
        <w:rPr>
          <w:spacing w:val="12"/>
          <w:position w:val="5"/>
          <w:sz w:val="12"/>
        </w:rPr>
        <w:t xml:space="preserve"> </w:t>
      </w:r>
      <w:r>
        <w:rPr>
          <w:sz w:val="18"/>
        </w:rPr>
        <w:t>Australia's</w:t>
      </w:r>
      <w:r>
        <w:rPr>
          <w:spacing w:val="-6"/>
          <w:sz w:val="18"/>
        </w:rPr>
        <w:t xml:space="preserve"> </w:t>
      </w:r>
      <w:r>
        <w:rPr>
          <w:sz w:val="18"/>
        </w:rPr>
        <w:t>first</w:t>
      </w:r>
      <w:r>
        <w:rPr>
          <w:spacing w:val="-6"/>
          <w:sz w:val="18"/>
        </w:rPr>
        <w:t xml:space="preserve"> </w:t>
      </w:r>
      <w:r>
        <w:rPr>
          <w:sz w:val="18"/>
        </w:rPr>
        <w:t>written</w:t>
      </w:r>
      <w:r>
        <w:rPr>
          <w:spacing w:val="-2"/>
          <w:sz w:val="18"/>
        </w:rPr>
        <w:t xml:space="preserve"> </w:t>
      </w:r>
      <w:r>
        <w:rPr>
          <w:sz w:val="18"/>
        </w:rPr>
        <w:t>submission, paras.</w:t>
      </w:r>
      <w:r>
        <w:rPr>
          <w:spacing w:val="-6"/>
          <w:sz w:val="18"/>
        </w:rPr>
        <w:t xml:space="preserve"> </w:t>
      </w:r>
      <w:r>
        <w:rPr>
          <w:sz w:val="18"/>
        </w:rPr>
        <w:t>668-669,</w:t>
      </w:r>
      <w:r>
        <w:rPr>
          <w:spacing w:val="-4"/>
          <w:sz w:val="18"/>
        </w:rPr>
        <w:t xml:space="preserve"> </w:t>
      </w:r>
      <w:r>
        <w:rPr>
          <w:sz w:val="18"/>
        </w:rPr>
        <w:t>and</w:t>
      </w:r>
      <w:r>
        <w:rPr>
          <w:spacing w:val="-7"/>
          <w:sz w:val="18"/>
        </w:rPr>
        <w:t xml:space="preserve"> </w:t>
      </w:r>
      <w:r>
        <w:rPr>
          <w:sz w:val="18"/>
        </w:rPr>
        <w:t>670-</w:t>
      </w:r>
      <w:r>
        <w:rPr>
          <w:spacing w:val="-4"/>
          <w:sz w:val="18"/>
        </w:rPr>
        <w:t>684.</w:t>
      </w:r>
    </w:p>
    <w:p w14:paraId="48F6FA33" w14:textId="77777777" w:rsidR="00BD462C" w:rsidRDefault="00033D0F">
      <w:pPr>
        <w:spacing w:before="1"/>
        <w:ind w:left="135"/>
        <w:rPr>
          <w:sz w:val="18"/>
        </w:rPr>
      </w:pPr>
      <w:bookmarkStart w:id="1219" w:name="_bookmark1050"/>
      <w:bookmarkEnd w:id="1219"/>
      <w:r>
        <w:rPr>
          <w:position w:val="5"/>
          <w:sz w:val="12"/>
        </w:rPr>
        <w:t>899</w:t>
      </w:r>
      <w:r>
        <w:rPr>
          <w:spacing w:val="14"/>
          <w:position w:val="5"/>
          <w:sz w:val="12"/>
        </w:rPr>
        <w:t xml:space="preserve"> </w:t>
      </w:r>
      <w:r>
        <w:rPr>
          <w:sz w:val="18"/>
        </w:rPr>
        <w:t>Australian</w:t>
      </w:r>
      <w:r>
        <w:rPr>
          <w:spacing w:val="-5"/>
          <w:sz w:val="18"/>
        </w:rPr>
        <w:t xml:space="preserve"> </w:t>
      </w:r>
      <w:r>
        <w:rPr>
          <w:sz w:val="18"/>
        </w:rPr>
        <w:t>Government,</w:t>
      </w:r>
      <w:r>
        <w:rPr>
          <w:spacing w:val="2"/>
          <w:sz w:val="18"/>
        </w:rPr>
        <w:t xml:space="preserve"> </w:t>
      </w:r>
      <w:r>
        <w:rPr>
          <w:sz w:val="18"/>
        </w:rPr>
        <w:t>Section</w:t>
      </w:r>
      <w:r>
        <w:rPr>
          <w:spacing w:val="-5"/>
          <w:sz w:val="18"/>
        </w:rPr>
        <w:t xml:space="preserve"> </w:t>
      </w:r>
      <w:r>
        <w:rPr>
          <w:sz w:val="18"/>
        </w:rPr>
        <w:t>IV</w:t>
      </w:r>
      <w:r>
        <w:rPr>
          <w:spacing w:val="-7"/>
          <w:sz w:val="18"/>
        </w:rPr>
        <w:t xml:space="preserve"> </w:t>
      </w:r>
      <w:r>
        <w:rPr>
          <w:sz w:val="18"/>
        </w:rPr>
        <w:t>Injury</w:t>
      </w:r>
      <w:r>
        <w:rPr>
          <w:spacing w:val="-6"/>
          <w:sz w:val="18"/>
        </w:rPr>
        <w:t xml:space="preserve"> </w:t>
      </w:r>
      <w:r>
        <w:rPr>
          <w:sz w:val="18"/>
        </w:rPr>
        <w:t>and</w:t>
      </w:r>
      <w:r>
        <w:rPr>
          <w:spacing w:val="-5"/>
          <w:sz w:val="18"/>
        </w:rPr>
        <w:t xml:space="preserve"> </w:t>
      </w:r>
      <w:r>
        <w:rPr>
          <w:sz w:val="18"/>
        </w:rPr>
        <w:t>Causation</w:t>
      </w:r>
      <w:r>
        <w:rPr>
          <w:spacing w:val="-5"/>
          <w:sz w:val="18"/>
        </w:rPr>
        <w:t xml:space="preserve"> </w:t>
      </w:r>
      <w:r>
        <w:rPr>
          <w:sz w:val="18"/>
        </w:rPr>
        <w:t>Tables</w:t>
      </w:r>
      <w:r>
        <w:rPr>
          <w:spacing w:val="-4"/>
          <w:sz w:val="18"/>
        </w:rPr>
        <w:t xml:space="preserve"> </w:t>
      </w:r>
      <w:r>
        <w:rPr>
          <w:sz w:val="18"/>
        </w:rPr>
        <w:t>(Exhibit</w:t>
      </w:r>
      <w:r>
        <w:rPr>
          <w:spacing w:val="-3"/>
          <w:sz w:val="18"/>
        </w:rPr>
        <w:t xml:space="preserve"> </w:t>
      </w:r>
      <w:r>
        <w:rPr>
          <w:sz w:val="18"/>
        </w:rPr>
        <w:t>AUS-65)</w:t>
      </w:r>
      <w:r>
        <w:rPr>
          <w:spacing w:val="-2"/>
          <w:sz w:val="18"/>
        </w:rPr>
        <w:t xml:space="preserve"> </w:t>
      </w:r>
      <w:r>
        <w:rPr>
          <w:sz w:val="18"/>
        </w:rPr>
        <w:t>(BCI),</w:t>
      </w:r>
      <w:r>
        <w:rPr>
          <w:spacing w:val="-3"/>
          <w:sz w:val="18"/>
        </w:rPr>
        <w:t xml:space="preserve"> </w:t>
      </w:r>
      <w:r>
        <w:rPr>
          <w:sz w:val="18"/>
        </w:rPr>
        <w:t>Table</w:t>
      </w:r>
      <w:r>
        <w:rPr>
          <w:spacing w:val="-4"/>
          <w:sz w:val="18"/>
        </w:rPr>
        <w:t xml:space="preserve"> </w:t>
      </w:r>
      <w:r>
        <w:rPr>
          <w:sz w:val="18"/>
        </w:rPr>
        <w:t>1,</w:t>
      </w:r>
      <w:r>
        <w:rPr>
          <w:spacing w:val="2"/>
          <w:sz w:val="18"/>
        </w:rPr>
        <w:t xml:space="preserve"> </w:t>
      </w:r>
      <w:r>
        <w:rPr>
          <w:sz w:val="18"/>
        </w:rPr>
        <w:t>p.</w:t>
      </w:r>
      <w:r>
        <w:rPr>
          <w:spacing w:val="-3"/>
          <w:sz w:val="18"/>
        </w:rPr>
        <w:t xml:space="preserve"> </w:t>
      </w:r>
      <w:r>
        <w:rPr>
          <w:spacing w:val="-5"/>
          <w:sz w:val="18"/>
        </w:rPr>
        <w:t>2.</w:t>
      </w:r>
    </w:p>
    <w:p w14:paraId="45E95037" w14:textId="77777777" w:rsidR="00BD462C" w:rsidRDefault="00033D0F">
      <w:pPr>
        <w:spacing w:before="4" w:line="235" w:lineRule="auto"/>
        <w:ind w:left="136" w:right="923" w:hanging="1"/>
        <w:rPr>
          <w:sz w:val="18"/>
        </w:rPr>
      </w:pPr>
      <w:bookmarkStart w:id="1220" w:name="_bookmark1051"/>
      <w:bookmarkEnd w:id="1220"/>
      <w:r>
        <w:rPr>
          <w:position w:val="5"/>
          <w:sz w:val="12"/>
        </w:rPr>
        <w:t>900</w:t>
      </w:r>
      <w:r>
        <w:rPr>
          <w:spacing w:val="35"/>
          <w:position w:val="5"/>
          <w:sz w:val="12"/>
        </w:rPr>
        <w:t xml:space="preserve"> </w:t>
      </w:r>
      <w:r>
        <w:rPr>
          <w:sz w:val="18"/>
        </w:rPr>
        <w:t>Anti-Dumping</w:t>
      </w:r>
      <w:r>
        <w:rPr>
          <w:spacing w:val="20"/>
          <w:sz w:val="18"/>
        </w:rPr>
        <w:t xml:space="preserve"> </w:t>
      </w:r>
      <w:r>
        <w:rPr>
          <w:sz w:val="18"/>
        </w:rPr>
        <w:t>Final</w:t>
      </w:r>
      <w:r>
        <w:rPr>
          <w:spacing w:val="21"/>
          <w:sz w:val="18"/>
        </w:rPr>
        <w:t xml:space="preserve"> </w:t>
      </w:r>
      <w:r>
        <w:rPr>
          <w:sz w:val="18"/>
        </w:rPr>
        <w:t>Determination</w:t>
      </w:r>
      <w:r>
        <w:rPr>
          <w:spacing w:val="20"/>
          <w:sz w:val="18"/>
        </w:rPr>
        <w:t xml:space="preserve"> </w:t>
      </w:r>
      <w:r>
        <w:rPr>
          <w:sz w:val="18"/>
        </w:rPr>
        <w:t>(Exhibit</w:t>
      </w:r>
      <w:r>
        <w:rPr>
          <w:spacing w:val="21"/>
          <w:sz w:val="18"/>
        </w:rPr>
        <w:t xml:space="preserve"> </w:t>
      </w:r>
      <w:r>
        <w:rPr>
          <w:sz w:val="18"/>
        </w:rPr>
        <w:t>AUS-2),</w:t>
      </w:r>
      <w:r>
        <w:rPr>
          <w:spacing w:val="22"/>
          <w:sz w:val="18"/>
        </w:rPr>
        <w:t xml:space="preserve"> </w:t>
      </w:r>
      <w:r>
        <w:rPr>
          <w:sz w:val="18"/>
        </w:rPr>
        <w:t>p. 121; Final Determination (Exhibit</w:t>
      </w:r>
      <w:r>
        <w:rPr>
          <w:spacing w:val="21"/>
          <w:sz w:val="18"/>
        </w:rPr>
        <w:t xml:space="preserve"> </w:t>
      </w:r>
      <w:r>
        <w:rPr>
          <w:sz w:val="18"/>
        </w:rPr>
        <w:t>CHN-1), p.</w:t>
      </w:r>
      <w:r>
        <w:rPr>
          <w:spacing w:val="21"/>
          <w:sz w:val="18"/>
        </w:rPr>
        <w:t xml:space="preserve"> </w:t>
      </w:r>
      <w:r>
        <w:rPr>
          <w:sz w:val="18"/>
        </w:rPr>
        <w:t>59; Australia's</w:t>
      </w:r>
      <w:r>
        <w:rPr>
          <w:spacing w:val="20"/>
          <w:sz w:val="18"/>
        </w:rPr>
        <w:t xml:space="preserve"> </w:t>
      </w:r>
      <w:r>
        <w:rPr>
          <w:sz w:val="18"/>
        </w:rPr>
        <w:t>first written submission, paras. 551, 600, 602; and China's</w:t>
      </w:r>
      <w:r>
        <w:rPr>
          <w:spacing w:val="-2"/>
          <w:sz w:val="18"/>
        </w:rPr>
        <w:t xml:space="preserve"> </w:t>
      </w:r>
      <w:r>
        <w:rPr>
          <w:sz w:val="18"/>
        </w:rPr>
        <w:t>first written submission, paras. 1377, 1380, 1332, 1650, and 1667.</w:t>
      </w:r>
    </w:p>
    <w:p w14:paraId="22B73815" w14:textId="77777777" w:rsidR="00BD462C" w:rsidRDefault="00033D0F">
      <w:pPr>
        <w:spacing w:before="3"/>
        <w:ind w:left="136" w:right="907" w:hanging="1"/>
        <w:jc w:val="both"/>
        <w:rPr>
          <w:sz w:val="18"/>
        </w:rPr>
      </w:pPr>
      <w:bookmarkStart w:id="1221" w:name="_bookmark1052"/>
      <w:bookmarkEnd w:id="1221"/>
      <w:r>
        <w:rPr>
          <w:position w:val="5"/>
          <w:sz w:val="12"/>
        </w:rPr>
        <w:t>901</w:t>
      </w:r>
      <w:r>
        <w:rPr>
          <w:spacing w:val="40"/>
          <w:position w:val="5"/>
          <w:sz w:val="12"/>
        </w:rPr>
        <w:t xml:space="preserve"> </w:t>
      </w:r>
      <w:r>
        <w:rPr>
          <w:sz w:val="18"/>
        </w:rPr>
        <w:t>China's first written submission, para. 1380 ("658 RMB/</w:t>
      </w:r>
      <w:proofErr w:type="spellStart"/>
      <w:r>
        <w:rPr>
          <w:sz w:val="18"/>
        </w:rPr>
        <w:t>kilolitre</w:t>
      </w:r>
      <w:proofErr w:type="spellEnd"/>
      <w:r>
        <w:rPr>
          <w:sz w:val="18"/>
        </w:rPr>
        <w:t xml:space="preserve"> was a significant amount as it led to a sharp drop in profitability and affected all the financial indicators of the domestic industry as well as their continued operations including </w:t>
      </w:r>
      <w:r>
        <w:rPr>
          <w:spacing w:val="-2"/>
          <w:sz w:val="18"/>
        </w:rPr>
        <w:t>production").</w:t>
      </w:r>
    </w:p>
    <w:p w14:paraId="69EF38E5" w14:textId="77777777" w:rsidR="00BD462C" w:rsidRDefault="00033D0F">
      <w:pPr>
        <w:spacing w:before="3"/>
        <w:ind w:left="135"/>
        <w:jc w:val="both"/>
        <w:rPr>
          <w:sz w:val="18"/>
        </w:rPr>
      </w:pPr>
      <w:bookmarkStart w:id="1222" w:name="_bookmark1053"/>
      <w:bookmarkEnd w:id="1222"/>
      <w:r>
        <w:rPr>
          <w:position w:val="5"/>
          <w:sz w:val="12"/>
        </w:rPr>
        <w:t>902</w:t>
      </w:r>
      <w:r>
        <w:rPr>
          <w:spacing w:val="12"/>
          <w:position w:val="5"/>
          <w:sz w:val="12"/>
        </w:rPr>
        <w:t xml:space="preserve"> </w:t>
      </w:r>
      <w:r>
        <w:rPr>
          <w:sz w:val="18"/>
        </w:rPr>
        <w:t>China's</w:t>
      </w:r>
      <w:r>
        <w:rPr>
          <w:spacing w:val="-6"/>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 paras.</w:t>
      </w:r>
      <w:r>
        <w:rPr>
          <w:spacing w:val="-5"/>
          <w:sz w:val="18"/>
        </w:rPr>
        <w:t xml:space="preserve"> </w:t>
      </w:r>
      <w:r>
        <w:rPr>
          <w:sz w:val="18"/>
        </w:rPr>
        <w:t>1751-</w:t>
      </w:r>
      <w:r>
        <w:rPr>
          <w:spacing w:val="-2"/>
          <w:sz w:val="18"/>
        </w:rPr>
        <w:t>1761.</w:t>
      </w:r>
    </w:p>
    <w:p w14:paraId="19669D09" w14:textId="77777777" w:rsidR="00BD462C" w:rsidRDefault="00BD462C">
      <w:pPr>
        <w:jc w:val="both"/>
        <w:rPr>
          <w:sz w:val="18"/>
        </w:rPr>
        <w:sectPr w:rsidR="00BD462C">
          <w:pgSz w:w="11910" w:h="16840"/>
          <w:pgMar w:top="860" w:right="500" w:bottom="780" w:left="1280" w:header="566" w:footer="590" w:gutter="0"/>
          <w:cols w:space="720"/>
        </w:sectPr>
      </w:pPr>
    </w:p>
    <w:p w14:paraId="10A30EB5"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5A77DE37"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4394C11E"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3CC16D45" w14:textId="77777777" w:rsidR="00BD462C" w:rsidRDefault="00033D0F">
      <w:pPr>
        <w:pStyle w:val="BodyText"/>
        <w:spacing w:before="102" w:line="360" w:lineRule="auto"/>
        <w:ind w:left="136" w:right="912"/>
        <w:jc w:val="both"/>
      </w:pPr>
      <w:r>
        <w:t>standard, including by China in this dispute,</w:t>
      </w:r>
      <w:hyperlink w:anchor="_bookmark1054" w:history="1">
        <w:r>
          <w:rPr>
            <w:vertAlign w:val="superscript"/>
          </w:rPr>
          <w:t>903</w:t>
        </w:r>
      </w:hyperlink>
      <w:r>
        <w:t xml:space="preserve"> is that that the non-attribution analysis in Article</w:t>
      </w:r>
      <w:r>
        <w:rPr>
          <w:spacing w:val="-2"/>
        </w:rPr>
        <w:t xml:space="preserve"> </w:t>
      </w:r>
      <w:r>
        <w:t>3.5</w:t>
      </w:r>
      <w:r>
        <w:rPr>
          <w:spacing w:val="-14"/>
        </w:rPr>
        <w:t xml:space="preserve"> </w:t>
      </w:r>
      <w:r>
        <w:t>requires</w:t>
      </w:r>
      <w:r>
        <w:rPr>
          <w:spacing w:val="-9"/>
        </w:rPr>
        <w:t xml:space="preserve"> </w:t>
      </w:r>
      <w:r>
        <w:t>an</w:t>
      </w:r>
      <w:r>
        <w:rPr>
          <w:spacing w:val="-14"/>
        </w:rPr>
        <w:t xml:space="preserve"> </w:t>
      </w:r>
      <w:r>
        <w:t>investigating</w:t>
      </w:r>
      <w:r>
        <w:rPr>
          <w:spacing w:val="-9"/>
        </w:rPr>
        <w:t xml:space="preserve"> </w:t>
      </w:r>
      <w:r>
        <w:t>authority</w:t>
      </w:r>
      <w:r>
        <w:rPr>
          <w:spacing w:val="-11"/>
        </w:rPr>
        <w:t xml:space="preserve"> </w:t>
      </w:r>
      <w:r>
        <w:t>to</w:t>
      </w:r>
      <w:r>
        <w:rPr>
          <w:spacing w:val="-14"/>
        </w:rPr>
        <w:t xml:space="preserve"> </w:t>
      </w:r>
      <w:r>
        <w:t>assess,</w:t>
      </w:r>
      <w:r>
        <w:rPr>
          <w:spacing w:val="-9"/>
        </w:rPr>
        <w:t xml:space="preserve"> </w:t>
      </w:r>
      <w:r>
        <w:t>separate</w:t>
      </w:r>
      <w:r>
        <w:rPr>
          <w:spacing w:val="-12"/>
        </w:rPr>
        <w:t xml:space="preserve"> </w:t>
      </w:r>
      <w:r>
        <w:t>and</w:t>
      </w:r>
      <w:r>
        <w:rPr>
          <w:spacing w:val="-14"/>
        </w:rPr>
        <w:t xml:space="preserve"> </w:t>
      </w:r>
      <w:r>
        <w:t>distinguish</w:t>
      </w:r>
      <w:r>
        <w:rPr>
          <w:spacing w:val="-13"/>
        </w:rPr>
        <w:t xml:space="preserve"> </w:t>
      </w:r>
      <w:r>
        <w:t>injury</w:t>
      </w:r>
      <w:r>
        <w:rPr>
          <w:spacing w:val="-11"/>
        </w:rPr>
        <w:t xml:space="preserve"> </w:t>
      </w:r>
      <w:r>
        <w:t>caused by</w:t>
      </w:r>
      <w:r>
        <w:rPr>
          <w:spacing w:val="-7"/>
        </w:rPr>
        <w:t xml:space="preserve"> </w:t>
      </w:r>
      <w:r>
        <w:t>other</w:t>
      </w:r>
      <w:r>
        <w:rPr>
          <w:spacing w:val="-11"/>
        </w:rPr>
        <w:t xml:space="preserve"> </w:t>
      </w:r>
      <w:r>
        <w:t>factors</w:t>
      </w:r>
      <w:r>
        <w:rPr>
          <w:spacing w:val="-7"/>
        </w:rPr>
        <w:t xml:space="preserve"> </w:t>
      </w:r>
      <w:r>
        <w:t>from</w:t>
      </w:r>
      <w:r>
        <w:rPr>
          <w:spacing w:val="-4"/>
        </w:rPr>
        <w:t xml:space="preserve"> </w:t>
      </w:r>
      <w:r>
        <w:t>injury</w:t>
      </w:r>
      <w:r>
        <w:rPr>
          <w:spacing w:val="-7"/>
        </w:rPr>
        <w:t xml:space="preserve"> </w:t>
      </w:r>
      <w:r>
        <w:t>caused</w:t>
      </w:r>
      <w:r>
        <w:rPr>
          <w:spacing w:val="-10"/>
        </w:rPr>
        <w:t xml:space="preserve"> </w:t>
      </w:r>
      <w:r>
        <w:t>by</w:t>
      </w:r>
      <w:r>
        <w:rPr>
          <w:spacing w:val="-7"/>
        </w:rPr>
        <w:t xml:space="preserve"> </w:t>
      </w:r>
      <w:r>
        <w:t>the</w:t>
      </w:r>
      <w:r>
        <w:rPr>
          <w:spacing w:val="-8"/>
        </w:rPr>
        <w:t xml:space="preserve"> </w:t>
      </w:r>
      <w:r>
        <w:t>subject</w:t>
      </w:r>
      <w:r>
        <w:rPr>
          <w:spacing w:val="-3"/>
        </w:rPr>
        <w:t xml:space="preserve"> </w:t>
      </w:r>
      <w:r>
        <w:t>imports,</w:t>
      </w:r>
      <w:r>
        <w:rPr>
          <w:spacing w:val="-6"/>
        </w:rPr>
        <w:t xml:space="preserve"> </w:t>
      </w:r>
      <w:r>
        <w:t>through</w:t>
      </w:r>
      <w:r>
        <w:rPr>
          <w:spacing w:val="-10"/>
        </w:rPr>
        <w:t xml:space="preserve"> </w:t>
      </w:r>
      <w:r>
        <w:t>the</w:t>
      </w:r>
      <w:r>
        <w:rPr>
          <w:spacing w:val="-8"/>
        </w:rPr>
        <w:t xml:space="preserve"> </w:t>
      </w:r>
      <w:r>
        <w:t>effects</w:t>
      </w:r>
      <w:r>
        <w:rPr>
          <w:spacing w:val="-7"/>
        </w:rPr>
        <w:t xml:space="preserve"> </w:t>
      </w:r>
      <w:r>
        <w:t>of</w:t>
      </w:r>
      <w:r>
        <w:rPr>
          <w:spacing w:val="-10"/>
        </w:rPr>
        <w:t xml:space="preserve"> </w:t>
      </w:r>
      <w:r>
        <w:t>dumping.</w:t>
      </w:r>
      <w:hyperlink w:anchor="_bookmark1055" w:history="1">
        <w:r>
          <w:rPr>
            <w:vertAlign w:val="superscript"/>
          </w:rPr>
          <w:t>904</w:t>
        </w:r>
      </w:hyperlink>
    </w:p>
    <w:p w14:paraId="6389D3F2" w14:textId="77777777" w:rsidR="00BD462C" w:rsidRDefault="00BD462C">
      <w:pPr>
        <w:pStyle w:val="BodyText"/>
        <w:spacing w:before="11"/>
        <w:rPr>
          <w:sz w:val="8"/>
        </w:rPr>
      </w:pPr>
    </w:p>
    <w:p w14:paraId="3994C9A0" w14:textId="5F998765" w:rsidR="00BD462C" w:rsidRDefault="00BB6E3A">
      <w:pPr>
        <w:pStyle w:val="BodyText"/>
        <w:spacing w:before="56" w:line="360" w:lineRule="auto"/>
        <w:ind w:left="135" w:right="910"/>
        <w:jc w:val="both"/>
      </w:pPr>
      <w:r>
        <w:rPr>
          <w:noProof/>
        </w:rPr>
        <w:t>582.</w:t>
      </w:r>
      <w:r w:rsidR="00033D0F">
        <w:rPr>
          <w:rFonts w:ascii="Times New Roman"/>
          <w:spacing w:val="40"/>
          <w:position w:val="1"/>
          <w:sz w:val="20"/>
        </w:rPr>
        <w:t xml:space="preserve">  </w:t>
      </w:r>
      <w:r w:rsidR="00033D0F">
        <w:rPr>
          <w:position w:val="1"/>
        </w:rPr>
        <w:t xml:space="preserve">MOFCOM's examination of the evidence relating to the four known factors in the </w:t>
      </w:r>
      <w:r w:rsidR="00033D0F">
        <w:t>context of its causation assessment was unobjective and wholly deficient. As a result, its dismissal</w:t>
      </w:r>
      <w:r w:rsidR="00033D0F">
        <w:rPr>
          <w:spacing w:val="-11"/>
        </w:rPr>
        <w:t xml:space="preserve"> </w:t>
      </w:r>
      <w:r w:rsidR="00033D0F">
        <w:t>of</w:t>
      </w:r>
      <w:r w:rsidR="00033D0F">
        <w:rPr>
          <w:spacing w:val="-14"/>
        </w:rPr>
        <w:t xml:space="preserve"> </w:t>
      </w:r>
      <w:r w:rsidR="00033D0F">
        <w:t>these</w:t>
      </w:r>
      <w:r w:rsidR="00033D0F">
        <w:rPr>
          <w:spacing w:val="-12"/>
        </w:rPr>
        <w:t xml:space="preserve"> </w:t>
      </w:r>
      <w:r w:rsidR="00033D0F">
        <w:t>factors</w:t>
      </w:r>
      <w:r w:rsidR="00033D0F">
        <w:rPr>
          <w:spacing w:val="-10"/>
        </w:rPr>
        <w:t xml:space="preserve"> </w:t>
      </w:r>
      <w:r w:rsidR="00033D0F">
        <w:t>and</w:t>
      </w:r>
      <w:r w:rsidR="00033D0F">
        <w:rPr>
          <w:spacing w:val="-9"/>
        </w:rPr>
        <w:t xml:space="preserve"> </w:t>
      </w:r>
      <w:r w:rsidR="00033D0F">
        <w:t>failure</w:t>
      </w:r>
      <w:r w:rsidR="00033D0F">
        <w:rPr>
          <w:spacing w:val="-12"/>
        </w:rPr>
        <w:t xml:space="preserve"> </w:t>
      </w:r>
      <w:r w:rsidR="00033D0F">
        <w:t>to</w:t>
      </w:r>
      <w:r w:rsidR="00033D0F">
        <w:rPr>
          <w:spacing w:val="-14"/>
        </w:rPr>
        <w:t xml:space="preserve"> </w:t>
      </w:r>
      <w:r w:rsidR="00033D0F">
        <w:t>assess,</w:t>
      </w:r>
      <w:r w:rsidR="00033D0F">
        <w:rPr>
          <w:spacing w:val="-10"/>
        </w:rPr>
        <w:t xml:space="preserve"> </w:t>
      </w:r>
      <w:r w:rsidR="00033D0F">
        <w:t>separate</w:t>
      </w:r>
      <w:r w:rsidR="00033D0F">
        <w:rPr>
          <w:spacing w:val="-12"/>
        </w:rPr>
        <w:t xml:space="preserve"> </w:t>
      </w:r>
      <w:r w:rsidR="00033D0F">
        <w:t>and</w:t>
      </w:r>
      <w:r w:rsidR="00033D0F">
        <w:rPr>
          <w:spacing w:val="-14"/>
        </w:rPr>
        <w:t xml:space="preserve"> </w:t>
      </w:r>
      <w:r w:rsidR="00033D0F">
        <w:t>distinguish</w:t>
      </w:r>
      <w:r w:rsidR="00033D0F">
        <w:rPr>
          <w:spacing w:val="-14"/>
        </w:rPr>
        <w:t xml:space="preserve"> </w:t>
      </w:r>
      <w:r w:rsidR="00033D0F">
        <w:t>injury</w:t>
      </w:r>
      <w:r w:rsidR="00033D0F">
        <w:rPr>
          <w:spacing w:val="-10"/>
        </w:rPr>
        <w:t xml:space="preserve"> </w:t>
      </w:r>
      <w:r w:rsidR="00033D0F">
        <w:t>caused</w:t>
      </w:r>
      <w:r w:rsidR="00033D0F">
        <w:rPr>
          <w:spacing w:val="-14"/>
        </w:rPr>
        <w:t xml:space="preserve"> </w:t>
      </w:r>
      <w:r w:rsidR="00033D0F">
        <w:t>by</w:t>
      </w:r>
      <w:r w:rsidR="00033D0F">
        <w:rPr>
          <w:spacing w:val="-11"/>
        </w:rPr>
        <w:t xml:space="preserve"> </w:t>
      </w:r>
      <w:r w:rsidR="00033D0F">
        <w:t>these factors:</w:t>
      </w:r>
      <w:r w:rsidR="00033D0F">
        <w:rPr>
          <w:spacing w:val="-5"/>
        </w:rPr>
        <w:t xml:space="preserve"> </w:t>
      </w:r>
      <w:r w:rsidR="00033D0F">
        <w:t>(i)</w:t>
      </w:r>
      <w:r w:rsidR="00033D0F">
        <w:rPr>
          <w:spacing w:val="-4"/>
        </w:rPr>
        <w:t xml:space="preserve"> </w:t>
      </w:r>
      <w:r w:rsidR="00033D0F">
        <w:t>was</w:t>
      </w:r>
      <w:r w:rsidR="00033D0F">
        <w:rPr>
          <w:spacing w:val="-1"/>
        </w:rPr>
        <w:t xml:space="preserve"> </w:t>
      </w:r>
      <w:r w:rsidR="00033D0F">
        <w:t>not</w:t>
      </w:r>
      <w:r w:rsidR="00033D0F">
        <w:rPr>
          <w:spacing w:val="-2"/>
        </w:rPr>
        <w:t xml:space="preserve"> </w:t>
      </w:r>
      <w:r w:rsidR="00033D0F">
        <w:t>based</w:t>
      </w:r>
      <w:r w:rsidR="00033D0F">
        <w:rPr>
          <w:spacing w:val="-4"/>
        </w:rPr>
        <w:t xml:space="preserve"> </w:t>
      </w:r>
      <w:r w:rsidR="00033D0F">
        <w:t>on an</w:t>
      </w:r>
      <w:r w:rsidR="00033D0F">
        <w:rPr>
          <w:spacing w:val="-4"/>
        </w:rPr>
        <w:t xml:space="preserve"> </w:t>
      </w:r>
      <w:r w:rsidR="00033D0F">
        <w:t>objective</w:t>
      </w:r>
      <w:r w:rsidR="00033D0F">
        <w:rPr>
          <w:spacing w:val="-2"/>
        </w:rPr>
        <w:t xml:space="preserve"> </w:t>
      </w:r>
      <w:r w:rsidR="00033D0F">
        <w:t>examination</w:t>
      </w:r>
      <w:r w:rsidR="00033D0F">
        <w:rPr>
          <w:spacing w:val="-4"/>
        </w:rPr>
        <w:t xml:space="preserve"> </w:t>
      </w:r>
      <w:r w:rsidR="00033D0F">
        <w:t>of</w:t>
      </w:r>
      <w:r w:rsidR="00033D0F">
        <w:rPr>
          <w:spacing w:val="-4"/>
        </w:rPr>
        <w:t xml:space="preserve"> </w:t>
      </w:r>
      <w:r w:rsidR="00033D0F">
        <w:t>positive</w:t>
      </w:r>
      <w:r w:rsidR="00033D0F">
        <w:rPr>
          <w:spacing w:val="-2"/>
        </w:rPr>
        <w:t xml:space="preserve"> </w:t>
      </w:r>
      <w:r w:rsidR="00033D0F">
        <w:t>evidence;</w:t>
      </w:r>
      <w:r w:rsidR="00033D0F">
        <w:rPr>
          <w:spacing w:val="-5"/>
        </w:rPr>
        <w:t xml:space="preserve"> </w:t>
      </w:r>
      <w:r w:rsidR="00033D0F">
        <w:t>(ii)</w:t>
      </w:r>
      <w:r w:rsidR="00033D0F">
        <w:rPr>
          <w:spacing w:val="-4"/>
        </w:rPr>
        <w:t xml:space="preserve"> </w:t>
      </w:r>
      <w:r w:rsidR="00033D0F">
        <w:t>did</w:t>
      </w:r>
      <w:r w:rsidR="00033D0F">
        <w:rPr>
          <w:spacing w:val="-4"/>
        </w:rPr>
        <w:t xml:space="preserve"> </w:t>
      </w:r>
      <w:r w:rsidR="00033D0F">
        <w:t>not</w:t>
      </w:r>
      <w:r w:rsidR="00033D0F">
        <w:rPr>
          <w:spacing w:val="-2"/>
        </w:rPr>
        <w:t xml:space="preserve"> </w:t>
      </w:r>
      <w:r w:rsidR="00033D0F">
        <w:t>reflect an examination by an objective and unbiased investigating authority; and (iii) ultimately means that MOFCOM's determination that subject imports caused material injury to the domestic industry did not have a proper basis.</w:t>
      </w:r>
    </w:p>
    <w:p w14:paraId="1C07C962" w14:textId="77777777" w:rsidR="00BD462C" w:rsidRDefault="00033D0F">
      <w:pPr>
        <w:pStyle w:val="ListParagraph"/>
        <w:numPr>
          <w:ilvl w:val="1"/>
          <w:numId w:val="32"/>
        </w:numPr>
        <w:tabs>
          <w:tab w:val="left" w:pos="3539"/>
          <w:tab w:val="left" w:pos="3540"/>
        </w:tabs>
        <w:spacing w:before="155"/>
        <w:ind w:hanging="851"/>
        <w:jc w:val="both"/>
        <w:rPr>
          <w:sz w:val="24"/>
        </w:rPr>
      </w:pPr>
      <w:bookmarkStart w:id="1223" w:name="(a)_Tariff_reductions_under_ChAFTA"/>
      <w:bookmarkEnd w:id="1223"/>
      <w:r>
        <w:rPr>
          <w:sz w:val="24"/>
          <w:u w:val="single"/>
        </w:rPr>
        <w:t>Tariff</w:t>
      </w:r>
      <w:r>
        <w:rPr>
          <w:spacing w:val="-7"/>
          <w:sz w:val="24"/>
          <w:u w:val="single"/>
        </w:rPr>
        <w:t xml:space="preserve"> </w:t>
      </w:r>
      <w:r>
        <w:rPr>
          <w:sz w:val="24"/>
          <w:u w:val="single"/>
        </w:rPr>
        <w:t>reductions</w:t>
      </w:r>
      <w:r>
        <w:rPr>
          <w:spacing w:val="-3"/>
          <w:sz w:val="24"/>
          <w:u w:val="single"/>
        </w:rPr>
        <w:t xml:space="preserve"> </w:t>
      </w:r>
      <w:r>
        <w:rPr>
          <w:sz w:val="24"/>
          <w:u w:val="single"/>
        </w:rPr>
        <w:t>under</w:t>
      </w:r>
      <w:r>
        <w:rPr>
          <w:spacing w:val="-7"/>
          <w:sz w:val="24"/>
          <w:u w:val="single"/>
        </w:rPr>
        <w:t xml:space="preserve"> </w:t>
      </w:r>
      <w:r>
        <w:rPr>
          <w:spacing w:val="-2"/>
          <w:sz w:val="24"/>
          <w:u w:val="single"/>
        </w:rPr>
        <w:t>ChAFTA</w:t>
      </w:r>
    </w:p>
    <w:p w14:paraId="71C5684D" w14:textId="77777777" w:rsidR="00BD462C" w:rsidRDefault="00BD462C">
      <w:pPr>
        <w:pStyle w:val="BodyText"/>
        <w:spacing w:before="11"/>
        <w:rPr>
          <w:sz w:val="20"/>
        </w:rPr>
      </w:pPr>
    </w:p>
    <w:p w14:paraId="3D3F388D" w14:textId="4467F95D" w:rsidR="00BD462C" w:rsidRDefault="00BB6E3A">
      <w:pPr>
        <w:pStyle w:val="BodyText"/>
        <w:spacing w:before="56" w:line="360" w:lineRule="auto"/>
        <w:ind w:left="135" w:right="910"/>
        <w:jc w:val="both"/>
      </w:pPr>
      <w:r>
        <w:rPr>
          <w:noProof/>
        </w:rPr>
        <w:t>583.</w:t>
      </w:r>
      <w:r w:rsidR="00033D0F">
        <w:rPr>
          <w:rFonts w:ascii="Times New Roman" w:hAnsi="Times New Roman"/>
          <w:spacing w:val="80"/>
          <w:position w:val="1"/>
          <w:sz w:val="20"/>
        </w:rPr>
        <w:t xml:space="preserve">  </w:t>
      </w:r>
      <w:r w:rsidR="00033D0F">
        <w:rPr>
          <w:position w:val="1"/>
        </w:rPr>
        <w:t>Australia's argument in relation to MOFCOM's flawed non-attribution analysis of</w:t>
      </w:r>
      <w:r w:rsidR="00033D0F">
        <w:rPr>
          <w:spacing w:val="80"/>
          <w:position w:val="1"/>
        </w:rPr>
        <w:t xml:space="preserve"> </w:t>
      </w:r>
      <w:r w:rsidR="00033D0F">
        <w:t>tariff</w:t>
      </w:r>
      <w:r w:rsidR="00033D0F">
        <w:rPr>
          <w:spacing w:val="-14"/>
        </w:rPr>
        <w:t xml:space="preserve"> </w:t>
      </w:r>
      <w:r w:rsidR="00033D0F">
        <w:t>reductions</w:t>
      </w:r>
      <w:r w:rsidR="00033D0F">
        <w:rPr>
          <w:spacing w:val="-14"/>
        </w:rPr>
        <w:t xml:space="preserve"> </w:t>
      </w:r>
      <w:r w:rsidR="00033D0F">
        <w:t>under</w:t>
      </w:r>
      <w:r w:rsidR="00033D0F">
        <w:rPr>
          <w:spacing w:val="-13"/>
        </w:rPr>
        <w:t xml:space="preserve"> </w:t>
      </w:r>
      <w:r w:rsidR="00033D0F">
        <w:t>ChAFTA</w:t>
      </w:r>
      <w:r w:rsidR="00033D0F">
        <w:rPr>
          <w:spacing w:val="-9"/>
        </w:rPr>
        <w:t xml:space="preserve"> </w:t>
      </w:r>
      <w:r w:rsidR="00033D0F">
        <w:t>is</w:t>
      </w:r>
      <w:r w:rsidR="00033D0F">
        <w:rPr>
          <w:spacing w:val="-11"/>
        </w:rPr>
        <w:t xml:space="preserve"> </w:t>
      </w:r>
      <w:r w:rsidR="00033D0F">
        <w:t>a</w:t>
      </w:r>
      <w:r w:rsidR="00033D0F">
        <w:rPr>
          <w:spacing w:val="-13"/>
        </w:rPr>
        <w:t xml:space="preserve"> </w:t>
      </w:r>
      <w:r w:rsidR="00033D0F">
        <w:t>simple</w:t>
      </w:r>
      <w:r w:rsidR="00033D0F">
        <w:rPr>
          <w:spacing w:val="-13"/>
        </w:rPr>
        <w:t xml:space="preserve"> </w:t>
      </w:r>
      <w:r w:rsidR="00033D0F">
        <w:t>one,</w:t>
      </w:r>
      <w:r w:rsidR="00033D0F">
        <w:rPr>
          <w:spacing w:val="-11"/>
        </w:rPr>
        <w:t xml:space="preserve"> </w:t>
      </w:r>
      <w:r w:rsidR="00033D0F">
        <w:t>grounded</w:t>
      </w:r>
      <w:r w:rsidR="00033D0F">
        <w:rPr>
          <w:spacing w:val="-14"/>
        </w:rPr>
        <w:t xml:space="preserve"> </w:t>
      </w:r>
      <w:r w:rsidR="00033D0F">
        <w:t>in</w:t>
      </w:r>
      <w:r w:rsidR="00033D0F">
        <w:rPr>
          <w:spacing w:val="-14"/>
        </w:rPr>
        <w:t xml:space="preserve"> </w:t>
      </w:r>
      <w:r w:rsidR="00033D0F">
        <w:t>the</w:t>
      </w:r>
      <w:r w:rsidR="00033D0F">
        <w:rPr>
          <w:spacing w:val="-7"/>
        </w:rPr>
        <w:t xml:space="preserve"> </w:t>
      </w:r>
      <w:r w:rsidR="00033D0F">
        <w:t>price</w:t>
      </w:r>
      <w:r w:rsidR="00033D0F">
        <w:rPr>
          <w:spacing w:val="-13"/>
        </w:rPr>
        <w:t xml:space="preserve"> </w:t>
      </w:r>
      <w:r w:rsidR="00033D0F">
        <w:t>calculation</w:t>
      </w:r>
      <w:r w:rsidR="00033D0F">
        <w:rPr>
          <w:spacing w:val="-14"/>
        </w:rPr>
        <w:t xml:space="preserve"> </w:t>
      </w:r>
      <w:r w:rsidR="00033D0F">
        <w:t>methodology that MOFCOM adopted and the causation determination that it made. That is, MOFCOM applied an adjustment to the CIF price (RMB/</w:t>
      </w:r>
      <w:proofErr w:type="spellStart"/>
      <w:r w:rsidR="00033D0F">
        <w:t>kilolitre</w:t>
      </w:r>
      <w:proofErr w:type="spellEnd"/>
      <w:r w:rsidR="00033D0F">
        <w:t>) of subject imports to reflect the applicable import tariff.</w:t>
      </w:r>
      <w:hyperlink w:anchor="_bookmark1056" w:history="1">
        <w:r w:rsidR="00033D0F">
          <w:rPr>
            <w:vertAlign w:val="superscript"/>
          </w:rPr>
          <w:t>905</w:t>
        </w:r>
      </w:hyperlink>
      <w:r w:rsidR="00033D0F">
        <w:t xml:space="preserve"> The value of that adjustment declined from 14% to 0% over the course of the Injury POI.</w:t>
      </w:r>
      <w:hyperlink w:anchor="_bookmark1057" w:history="1">
        <w:r w:rsidR="00033D0F">
          <w:rPr>
            <w:vertAlign w:val="superscript"/>
          </w:rPr>
          <w:t>906</w:t>
        </w:r>
      </w:hyperlink>
      <w:r w:rsidR="00033D0F">
        <w:t xml:space="preserve"> As a result, the import price that MOFCOM calculated for subject imports</w:t>
      </w:r>
      <w:r w:rsidR="00033D0F">
        <w:rPr>
          <w:spacing w:val="-1"/>
        </w:rPr>
        <w:t xml:space="preserve"> </w:t>
      </w:r>
      <w:r w:rsidR="00033D0F">
        <w:t>reflected</w:t>
      </w:r>
      <w:r w:rsidR="00033D0F">
        <w:rPr>
          <w:spacing w:val="-4"/>
        </w:rPr>
        <w:t xml:space="preserve"> </w:t>
      </w:r>
      <w:r w:rsidR="00033D0F">
        <w:t>this</w:t>
      </w:r>
      <w:r w:rsidR="00033D0F">
        <w:rPr>
          <w:spacing w:val="-1"/>
        </w:rPr>
        <w:t xml:space="preserve"> </w:t>
      </w:r>
      <w:r w:rsidR="00033D0F">
        <w:t>14%</w:t>
      </w:r>
      <w:r w:rsidR="00033D0F">
        <w:rPr>
          <w:spacing w:val="-2"/>
        </w:rPr>
        <w:t xml:space="preserve"> </w:t>
      </w:r>
      <w:r w:rsidR="00033D0F">
        <w:t>reduction.</w:t>
      </w:r>
      <w:hyperlink w:anchor="_bookmark1058" w:history="1">
        <w:r w:rsidR="00033D0F">
          <w:rPr>
            <w:vertAlign w:val="superscript"/>
          </w:rPr>
          <w:t>907</w:t>
        </w:r>
      </w:hyperlink>
      <w:r w:rsidR="00033D0F">
        <w:rPr>
          <w:spacing w:val="-2"/>
        </w:rPr>
        <w:t xml:space="preserve"> </w:t>
      </w:r>
      <w:r w:rsidR="00033D0F">
        <w:t>MOFCOM's</w:t>
      </w:r>
      <w:r w:rsidR="00033D0F">
        <w:rPr>
          <w:spacing w:val="-1"/>
        </w:rPr>
        <w:t xml:space="preserve"> </w:t>
      </w:r>
      <w:r w:rsidR="00033D0F">
        <w:t>determination</w:t>
      </w:r>
      <w:r w:rsidR="00033D0F">
        <w:rPr>
          <w:spacing w:val="-4"/>
        </w:rPr>
        <w:t xml:space="preserve"> </w:t>
      </w:r>
      <w:r w:rsidR="00033D0F">
        <w:t>was</w:t>
      </w:r>
      <w:r w:rsidR="00033D0F">
        <w:rPr>
          <w:spacing w:val="-1"/>
        </w:rPr>
        <w:t xml:space="preserve"> </w:t>
      </w:r>
      <w:r w:rsidR="00033D0F">
        <w:t>that</w:t>
      </w:r>
      <w:r w:rsidR="00033D0F">
        <w:rPr>
          <w:spacing w:val="-2"/>
        </w:rPr>
        <w:t xml:space="preserve"> </w:t>
      </w:r>
      <w:r w:rsidR="00033D0F">
        <w:t>the</w:t>
      </w:r>
      <w:r w:rsidR="00033D0F">
        <w:rPr>
          <w:spacing w:val="-3"/>
        </w:rPr>
        <w:t xml:space="preserve"> </w:t>
      </w:r>
      <w:r w:rsidR="00033D0F">
        <w:t>price</w:t>
      </w:r>
      <w:r w:rsidR="00033D0F">
        <w:rPr>
          <w:spacing w:val="-2"/>
        </w:rPr>
        <w:t xml:space="preserve"> </w:t>
      </w:r>
      <w:r w:rsidR="00033D0F">
        <w:t>decline and</w:t>
      </w:r>
      <w:r w:rsidR="00033D0F">
        <w:rPr>
          <w:spacing w:val="-13"/>
        </w:rPr>
        <w:t xml:space="preserve"> </w:t>
      </w:r>
      <w:r w:rsidR="00033D0F">
        <w:t>volume</w:t>
      </w:r>
      <w:r w:rsidR="00033D0F">
        <w:rPr>
          <w:spacing w:val="-11"/>
        </w:rPr>
        <w:t xml:space="preserve"> </w:t>
      </w:r>
      <w:r w:rsidR="00033D0F">
        <w:t>increase</w:t>
      </w:r>
      <w:r w:rsidR="00033D0F">
        <w:rPr>
          <w:spacing w:val="-11"/>
        </w:rPr>
        <w:t xml:space="preserve"> </w:t>
      </w:r>
      <w:r w:rsidR="00033D0F">
        <w:t>in</w:t>
      </w:r>
      <w:r w:rsidR="00033D0F">
        <w:rPr>
          <w:spacing w:val="-8"/>
        </w:rPr>
        <w:t xml:space="preserve"> </w:t>
      </w:r>
      <w:r w:rsidR="00033D0F">
        <w:t>subject</w:t>
      </w:r>
      <w:r w:rsidR="00033D0F">
        <w:rPr>
          <w:spacing w:val="-10"/>
        </w:rPr>
        <w:t xml:space="preserve"> </w:t>
      </w:r>
      <w:r w:rsidR="00033D0F">
        <w:t>imports</w:t>
      </w:r>
      <w:r w:rsidR="00033D0F">
        <w:rPr>
          <w:spacing w:val="-9"/>
        </w:rPr>
        <w:t xml:space="preserve"> </w:t>
      </w:r>
      <w:r w:rsidR="00033D0F">
        <w:t>caused</w:t>
      </w:r>
      <w:r w:rsidR="00033D0F">
        <w:rPr>
          <w:spacing w:val="-13"/>
        </w:rPr>
        <w:t xml:space="preserve"> </w:t>
      </w:r>
      <w:r w:rsidR="00033D0F">
        <w:t>the</w:t>
      </w:r>
      <w:r w:rsidR="00033D0F">
        <w:rPr>
          <w:spacing w:val="-6"/>
        </w:rPr>
        <w:t xml:space="preserve"> </w:t>
      </w:r>
      <w:r w:rsidR="00033D0F">
        <w:t>material</w:t>
      </w:r>
      <w:r w:rsidR="00033D0F">
        <w:rPr>
          <w:spacing w:val="-9"/>
        </w:rPr>
        <w:t xml:space="preserve"> </w:t>
      </w:r>
      <w:r w:rsidR="00033D0F">
        <w:t>injury</w:t>
      </w:r>
      <w:r w:rsidR="00033D0F">
        <w:rPr>
          <w:spacing w:val="-10"/>
        </w:rPr>
        <w:t xml:space="preserve"> </w:t>
      </w:r>
      <w:r w:rsidR="00033D0F">
        <w:t>to</w:t>
      </w:r>
      <w:r w:rsidR="00033D0F">
        <w:rPr>
          <w:spacing w:val="-13"/>
        </w:rPr>
        <w:t xml:space="preserve"> </w:t>
      </w:r>
      <w:r w:rsidR="00033D0F">
        <w:t>the</w:t>
      </w:r>
      <w:r w:rsidR="00033D0F">
        <w:rPr>
          <w:spacing w:val="-6"/>
        </w:rPr>
        <w:t xml:space="preserve"> </w:t>
      </w:r>
      <w:r w:rsidR="00033D0F">
        <w:t>domestic</w:t>
      </w:r>
      <w:r w:rsidR="00033D0F">
        <w:rPr>
          <w:spacing w:val="-12"/>
        </w:rPr>
        <w:t xml:space="preserve"> </w:t>
      </w:r>
      <w:r w:rsidR="00033D0F">
        <w:t>industry.</w:t>
      </w:r>
      <w:hyperlink w:anchor="_bookmark1059" w:history="1">
        <w:r w:rsidR="00033D0F">
          <w:rPr>
            <w:vertAlign w:val="superscript"/>
          </w:rPr>
          <w:t>908</w:t>
        </w:r>
      </w:hyperlink>
      <w:r w:rsidR="00033D0F">
        <w:t xml:space="preserve"> At least 14% of the price decline observed in the import price that MOFCOM calculated for subject imports was attributable to a factor other than dumping – that is, the progressive elimination of the applicable import tariff pursuant to China's commitments under the ChAFTA. As a result, MOFCOM needed to identify, </w:t>
      </w:r>
      <w:proofErr w:type="gramStart"/>
      <w:r w:rsidR="00033D0F">
        <w:t>separate</w:t>
      </w:r>
      <w:proofErr w:type="gramEnd"/>
      <w:r w:rsidR="00033D0F">
        <w:t xml:space="preserve"> and distinguish any injury being</w:t>
      </w:r>
    </w:p>
    <w:p w14:paraId="3D694653" w14:textId="7DA4F657" w:rsidR="00BD462C" w:rsidRDefault="00752F01">
      <w:pPr>
        <w:pStyle w:val="BodyText"/>
        <w:spacing w:before="7"/>
        <w:rPr>
          <w:sz w:val="27"/>
        </w:rPr>
      </w:pPr>
      <w:r>
        <w:rPr>
          <w:noProof/>
        </w:rPr>
        <mc:AlternateContent>
          <mc:Choice Requires="wps">
            <w:drawing>
              <wp:anchor distT="0" distB="0" distL="0" distR="0" simplePos="0" relativeHeight="488231424" behindDoc="1" locked="0" layoutInCell="1" allowOverlap="1" wp14:anchorId="3C8B5800" wp14:editId="48BBBD29">
                <wp:simplePos x="0" y="0"/>
                <wp:positionH relativeFrom="page">
                  <wp:posOffset>812800</wp:posOffset>
                </wp:positionH>
                <wp:positionV relativeFrom="paragraph">
                  <wp:posOffset>215900</wp:posOffset>
                </wp:positionV>
                <wp:extent cx="1828800" cy="8890"/>
                <wp:effectExtent l="0" t="0" r="0" b="0"/>
                <wp:wrapTopAndBottom/>
                <wp:docPr id="207" name="docshape6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F38318" id="docshape664" o:spid="_x0000_s1026" alt="&quot;&quot;" style="position:absolute;margin-left:64pt;margin-top:17pt;width:2in;height:.7pt;z-index:-1508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" fillcolor="black" stroked="f">
                <w10:wrap type="topAndBottom" anchorx="page"/>
              </v:rect>
            </w:pict>
          </mc:Fallback>
        </mc:AlternateContent>
      </w:r>
    </w:p>
    <w:p w14:paraId="0ABBB479" w14:textId="77777777" w:rsidR="00BD462C" w:rsidRDefault="00033D0F">
      <w:pPr>
        <w:spacing w:before="112"/>
        <w:ind w:left="135"/>
        <w:jc w:val="both"/>
        <w:rPr>
          <w:sz w:val="18"/>
        </w:rPr>
      </w:pPr>
      <w:bookmarkStart w:id="1224" w:name="_bookmark1054"/>
      <w:bookmarkEnd w:id="1224"/>
      <w:r>
        <w:rPr>
          <w:position w:val="5"/>
          <w:sz w:val="12"/>
        </w:rPr>
        <w:t>903</w:t>
      </w:r>
      <w:r>
        <w:rPr>
          <w:spacing w:val="12"/>
          <w:position w:val="5"/>
          <w:sz w:val="12"/>
        </w:rPr>
        <w:t xml:space="preserve"> </w:t>
      </w:r>
      <w:r>
        <w:rPr>
          <w:sz w:val="18"/>
        </w:rPr>
        <w:t>China's</w:t>
      </w:r>
      <w:r>
        <w:rPr>
          <w:spacing w:val="-6"/>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 paras.</w:t>
      </w:r>
      <w:r>
        <w:rPr>
          <w:spacing w:val="-5"/>
          <w:sz w:val="18"/>
        </w:rPr>
        <w:t xml:space="preserve"> </w:t>
      </w:r>
      <w:r>
        <w:rPr>
          <w:sz w:val="18"/>
        </w:rPr>
        <w:t>1891-</w:t>
      </w:r>
      <w:r>
        <w:rPr>
          <w:spacing w:val="-2"/>
          <w:sz w:val="18"/>
        </w:rPr>
        <w:t>1892.</w:t>
      </w:r>
    </w:p>
    <w:p w14:paraId="5E074306" w14:textId="77777777" w:rsidR="00BD462C" w:rsidRDefault="00033D0F">
      <w:pPr>
        <w:spacing w:before="1"/>
        <w:ind w:left="136" w:right="911" w:hanging="1"/>
        <w:jc w:val="both"/>
        <w:rPr>
          <w:sz w:val="18"/>
        </w:rPr>
      </w:pPr>
      <w:bookmarkStart w:id="1225" w:name="_bookmark1055"/>
      <w:bookmarkEnd w:id="1225"/>
      <w:r>
        <w:rPr>
          <w:position w:val="5"/>
          <w:sz w:val="12"/>
        </w:rPr>
        <w:t>904</w:t>
      </w:r>
      <w:r>
        <w:rPr>
          <w:spacing w:val="22"/>
          <w:position w:val="5"/>
          <w:sz w:val="12"/>
        </w:rPr>
        <w:t xml:space="preserve"> </w:t>
      </w:r>
      <w:r>
        <w:rPr>
          <w:sz w:val="18"/>
        </w:rPr>
        <w:t xml:space="preserve">Appellate Body Reports, </w:t>
      </w:r>
      <w:r>
        <w:rPr>
          <w:i/>
          <w:sz w:val="18"/>
        </w:rPr>
        <w:t>US – Hot-Rolled Steel</w:t>
      </w:r>
      <w:r>
        <w:rPr>
          <w:sz w:val="18"/>
        </w:rPr>
        <w:t xml:space="preserve">, para. 223; </w:t>
      </w:r>
      <w:r>
        <w:rPr>
          <w:i/>
          <w:sz w:val="18"/>
        </w:rPr>
        <w:t xml:space="preserve">China – GOES </w:t>
      </w:r>
      <w:r>
        <w:rPr>
          <w:sz w:val="18"/>
        </w:rPr>
        <w:t xml:space="preserve">para. 151, </w:t>
      </w:r>
      <w:r>
        <w:rPr>
          <w:i/>
          <w:sz w:val="18"/>
        </w:rPr>
        <w:t>China – HPSSST (EU)/ China – HPSSST (Japan)</w:t>
      </w:r>
      <w:r>
        <w:rPr>
          <w:sz w:val="18"/>
        </w:rPr>
        <w:t xml:space="preserve">, para. 5.283; </w:t>
      </w:r>
      <w:r>
        <w:rPr>
          <w:i/>
          <w:sz w:val="18"/>
        </w:rPr>
        <w:t>EU – PET (Pakistan)</w:t>
      </w:r>
      <w:r>
        <w:rPr>
          <w:sz w:val="18"/>
        </w:rPr>
        <w:t>, paras. 5.171.</w:t>
      </w:r>
    </w:p>
    <w:p w14:paraId="57A31871" w14:textId="77777777" w:rsidR="00BD462C" w:rsidRDefault="00033D0F">
      <w:pPr>
        <w:spacing w:line="217" w:lineRule="exact"/>
        <w:ind w:left="135"/>
        <w:jc w:val="both"/>
        <w:rPr>
          <w:sz w:val="18"/>
        </w:rPr>
      </w:pPr>
      <w:bookmarkStart w:id="1226" w:name="_bookmark1056"/>
      <w:bookmarkEnd w:id="1226"/>
      <w:r>
        <w:rPr>
          <w:position w:val="5"/>
          <w:sz w:val="12"/>
        </w:rPr>
        <w:t>905</w:t>
      </w:r>
      <w:r>
        <w:rPr>
          <w:spacing w:val="13"/>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paras.</w:t>
      </w:r>
      <w:r>
        <w:rPr>
          <w:spacing w:val="-4"/>
          <w:sz w:val="18"/>
        </w:rPr>
        <w:t xml:space="preserve"> </w:t>
      </w:r>
      <w:r>
        <w:rPr>
          <w:sz w:val="18"/>
        </w:rPr>
        <w:t>1044,</w:t>
      </w:r>
      <w:r>
        <w:rPr>
          <w:spacing w:val="-4"/>
          <w:sz w:val="18"/>
        </w:rPr>
        <w:t xml:space="preserve"> </w:t>
      </w:r>
      <w:r>
        <w:rPr>
          <w:spacing w:val="-2"/>
          <w:sz w:val="18"/>
        </w:rPr>
        <w:t>1052.</w:t>
      </w:r>
    </w:p>
    <w:p w14:paraId="26ED8A08" w14:textId="77777777" w:rsidR="00BD462C" w:rsidRDefault="00033D0F">
      <w:pPr>
        <w:spacing w:before="1"/>
        <w:ind w:left="135"/>
        <w:jc w:val="both"/>
        <w:rPr>
          <w:sz w:val="18"/>
        </w:rPr>
      </w:pPr>
      <w:bookmarkStart w:id="1227" w:name="_bookmark1057"/>
      <w:bookmarkEnd w:id="1227"/>
      <w:r>
        <w:rPr>
          <w:position w:val="5"/>
          <w:sz w:val="12"/>
        </w:rPr>
        <w:t>906</w:t>
      </w:r>
      <w:r>
        <w:rPr>
          <w:spacing w:val="11"/>
          <w:position w:val="5"/>
          <w:sz w:val="12"/>
        </w:rPr>
        <w:t xml:space="preserve"> </w:t>
      </w:r>
      <w:r>
        <w:rPr>
          <w:sz w:val="18"/>
        </w:rPr>
        <w:t>Australia's</w:t>
      </w:r>
      <w:r>
        <w:rPr>
          <w:spacing w:val="-7"/>
          <w:sz w:val="18"/>
        </w:rPr>
        <w:t xml:space="preserve"> </w:t>
      </w:r>
      <w:r>
        <w:rPr>
          <w:sz w:val="18"/>
        </w:rPr>
        <w:t>first</w:t>
      </w:r>
      <w:r>
        <w:rPr>
          <w:spacing w:val="-6"/>
          <w:sz w:val="18"/>
        </w:rPr>
        <w:t xml:space="preserve"> </w:t>
      </w:r>
      <w:r>
        <w:rPr>
          <w:sz w:val="18"/>
        </w:rPr>
        <w:t>written</w:t>
      </w:r>
      <w:r>
        <w:rPr>
          <w:spacing w:val="-3"/>
          <w:sz w:val="18"/>
        </w:rPr>
        <w:t xml:space="preserve"> </w:t>
      </w:r>
      <w:r>
        <w:rPr>
          <w:sz w:val="18"/>
        </w:rPr>
        <w:t>submission, paras.</w:t>
      </w:r>
      <w:r>
        <w:rPr>
          <w:spacing w:val="-6"/>
          <w:sz w:val="18"/>
        </w:rPr>
        <w:t xml:space="preserve"> </w:t>
      </w:r>
      <w:r>
        <w:rPr>
          <w:sz w:val="18"/>
        </w:rPr>
        <w:t>690;</w:t>
      </w:r>
      <w:r>
        <w:rPr>
          <w:spacing w:val="-4"/>
          <w:sz w:val="18"/>
        </w:rPr>
        <w:t xml:space="preserve"> </w:t>
      </w:r>
      <w:r>
        <w:rPr>
          <w:sz w:val="18"/>
        </w:rPr>
        <w:t>China's</w:t>
      </w:r>
      <w:r>
        <w:rPr>
          <w:spacing w:val="-10"/>
          <w:sz w:val="18"/>
        </w:rPr>
        <w:t xml:space="preserve"> </w:t>
      </w:r>
      <w:r>
        <w:rPr>
          <w:sz w:val="18"/>
        </w:rPr>
        <w:t>first</w:t>
      </w:r>
      <w:r>
        <w:rPr>
          <w:spacing w:val="-2"/>
          <w:sz w:val="18"/>
        </w:rPr>
        <w:t xml:space="preserve"> </w:t>
      </w:r>
      <w:r>
        <w:rPr>
          <w:sz w:val="18"/>
        </w:rPr>
        <w:t>written</w:t>
      </w:r>
      <w:r>
        <w:rPr>
          <w:spacing w:val="-3"/>
          <w:sz w:val="18"/>
        </w:rPr>
        <w:t xml:space="preserve"> </w:t>
      </w:r>
      <w:r>
        <w:rPr>
          <w:sz w:val="18"/>
        </w:rPr>
        <w:t>submission,</w:t>
      </w:r>
      <w:r>
        <w:rPr>
          <w:spacing w:val="-5"/>
          <w:sz w:val="18"/>
        </w:rPr>
        <w:t xml:space="preserve"> </w:t>
      </w:r>
      <w:r>
        <w:rPr>
          <w:sz w:val="18"/>
        </w:rPr>
        <w:t>paras.</w:t>
      </w:r>
      <w:r>
        <w:rPr>
          <w:spacing w:val="-6"/>
          <w:sz w:val="18"/>
        </w:rPr>
        <w:t xml:space="preserve"> </w:t>
      </w:r>
      <w:r>
        <w:rPr>
          <w:sz w:val="18"/>
        </w:rPr>
        <w:t>1052-</w:t>
      </w:r>
      <w:r>
        <w:rPr>
          <w:spacing w:val="-2"/>
          <w:sz w:val="18"/>
        </w:rPr>
        <w:t>1057.</w:t>
      </w:r>
    </w:p>
    <w:p w14:paraId="01D52CBA" w14:textId="77777777" w:rsidR="00BD462C" w:rsidRDefault="00033D0F">
      <w:pPr>
        <w:spacing w:before="1"/>
        <w:ind w:left="135"/>
        <w:jc w:val="both"/>
        <w:rPr>
          <w:sz w:val="18"/>
        </w:rPr>
      </w:pPr>
      <w:bookmarkStart w:id="1228" w:name="_bookmark1058"/>
      <w:bookmarkEnd w:id="1228"/>
      <w:r>
        <w:rPr>
          <w:position w:val="5"/>
          <w:sz w:val="12"/>
        </w:rPr>
        <w:t>907</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 xml:space="preserve">submission, para. </w:t>
      </w:r>
      <w:r>
        <w:rPr>
          <w:spacing w:val="-2"/>
          <w:sz w:val="18"/>
        </w:rPr>
        <w:t>1057.</w:t>
      </w:r>
    </w:p>
    <w:p w14:paraId="6A218A8C" w14:textId="77777777" w:rsidR="00BD462C" w:rsidRDefault="00033D0F">
      <w:pPr>
        <w:spacing w:before="1"/>
        <w:ind w:left="135" w:right="909"/>
        <w:jc w:val="both"/>
        <w:rPr>
          <w:sz w:val="18"/>
        </w:rPr>
      </w:pPr>
      <w:bookmarkStart w:id="1229" w:name="_bookmark1059"/>
      <w:bookmarkEnd w:id="1229"/>
      <w:r>
        <w:rPr>
          <w:position w:val="5"/>
          <w:sz w:val="12"/>
        </w:rPr>
        <w:t>908</w:t>
      </w:r>
      <w:r>
        <w:rPr>
          <w:spacing w:val="25"/>
          <w:position w:val="5"/>
          <w:sz w:val="12"/>
        </w:rPr>
        <w:t xml:space="preserve"> </w:t>
      </w:r>
      <w:r>
        <w:rPr>
          <w:sz w:val="18"/>
        </w:rPr>
        <w:t>Anti-Dumping Final Determination (Exhibit AUS-2), pp. 135 ("the market share of domestic like products was obviously squeezed</w:t>
      </w:r>
      <w:r>
        <w:rPr>
          <w:spacing w:val="-11"/>
          <w:sz w:val="18"/>
        </w:rPr>
        <w:t xml:space="preserve"> </w:t>
      </w:r>
      <w:r>
        <w:rPr>
          <w:sz w:val="18"/>
        </w:rPr>
        <w:t>by</w:t>
      </w:r>
      <w:r>
        <w:rPr>
          <w:spacing w:val="-10"/>
          <w:sz w:val="18"/>
        </w:rPr>
        <w:t xml:space="preserve"> </w:t>
      </w:r>
      <w:r>
        <w:rPr>
          <w:sz w:val="18"/>
        </w:rPr>
        <w:t>the</w:t>
      </w:r>
      <w:r>
        <w:rPr>
          <w:spacing w:val="-10"/>
          <w:sz w:val="18"/>
        </w:rPr>
        <w:t xml:space="preserve"> </w:t>
      </w:r>
      <w:r>
        <w:rPr>
          <w:sz w:val="18"/>
        </w:rPr>
        <w:t>dumped</w:t>
      </w:r>
      <w:r>
        <w:rPr>
          <w:spacing w:val="-10"/>
          <w:sz w:val="18"/>
        </w:rPr>
        <w:t xml:space="preserve"> </w:t>
      </w:r>
      <w:r>
        <w:rPr>
          <w:sz w:val="18"/>
        </w:rPr>
        <w:t>imported</w:t>
      </w:r>
      <w:r>
        <w:rPr>
          <w:spacing w:val="-10"/>
          <w:sz w:val="18"/>
        </w:rPr>
        <w:t xml:space="preserve"> </w:t>
      </w:r>
      <w:r>
        <w:rPr>
          <w:sz w:val="18"/>
        </w:rPr>
        <w:t>product."),</w:t>
      </w:r>
      <w:r>
        <w:rPr>
          <w:spacing w:val="-11"/>
          <w:sz w:val="18"/>
        </w:rPr>
        <w:t xml:space="preserve"> </w:t>
      </w:r>
      <w:r>
        <w:rPr>
          <w:sz w:val="18"/>
        </w:rPr>
        <w:t>136</w:t>
      </w:r>
      <w:r>
        <w:rPr>
          <w:spacing w:val="-10"/>
          <w:sz w:val="18"/>
        </w:rPr>
        <w:t xml:space="preserve"> </w:t>
      </w:r>
      <w:r>
        <w:rPr>
          <w:sz w:val="18"/>
        </w:rPr>
        <w:t>("During</w:t>
      </w:r>
      <w:r>
        <w:rPr>
          <w:spacing w:val="-10"/>
          <w:sz w:val="18"/>
        </w:rPr>
        <w:t xml:space="preserve"> </w:t>
      </w:r>
      <w:r>
        <w:rPr>
          <w:sz w:val="18"/>
        </w:rPr>
        <w:t>the</w:t>
      </w:r>
      <w:r>
        <w:rPr>
          <w:spacing w:val="-10"/>
          <w:sz w:val="18"/>
        </w:rPr>
        <w:t xml:space="preserve"> </w:t>
      </w:r>
      <w:r>
        <w:rPr>
          <w:sz w:val="18"/>
        </w:rPr>
        <w:t>injury</w:t>
      </w:r>
      <w:r>
        <w:rPr>
          <w:spacing w:val="-10"/>
          <w:sz w:val="18"/>
        </w:rPr>
        <w:t xml:space="preserve"> </w:t>
      </w:r>
      <w:r>
        <w:rPr>
          <w:sz w:val="18"/>
        </w:rPr>
        <w:t>investigation</w:t>
      </w:r>
      <w:r>
        <w:rPr>
          <w:spacing w:val="-10"/>
          <w:sz w:val="18"/>
        </w:rPr>
        <w:t xml:space="preserve"> </w:t>
      </w:r>
      <w:r>
        <w:rPr>
          <w:sz w:val="18"/>
        </w:rPr>
        <w:t>period,</w:t>
      </w:r>
      <w:r>
        <w:rPr>
          <w:spacing w:val="-7"/>
          <w:sz w:val="18"/>
        </w:rPr>
        <w:t xml:space="preserve"> </w:t>
      </w:r>
      <w:r>
        <w:rPr>
          <w:sz w:val="18"/>
        </w:rPr>
        <w:t>the</w:t>
      </w:r>
      <w:r>
        <w:rPr>
          <w:spacing w:val="-6"/>
          <w:sz w:val="18"/>
        </w:rPr>
        <w:t xml:space="preserve"> </w:t>
      </w:r>
      <w:r>
        <w:rPr>
          <w:sz w:val="18"/>
        </w:rPr>
        <w:t>price</w:t>
      </w:r>
      <w:r>
        <w:rPr>
          <w:spacing w:val="-6"/>
          <w:sz w:val="18"/>
        </w:rPr>
        <w:t xml:space="preserve"> </w:t>
      </w:r>
      <w:r>
        <w:rPr>
          <w:sz w:val="18"/>
        </w:rPr>
        <w:t>of</w:t>
      </w:r>
      <w:r>
        <w:rPr>
          <w:spacing w:val="-9"/>
          <w:sz w:val="18"/>
        </w:rPr>
        <w:t xml:space="preserve"> </w:t>
      </w:r>
      <w:r>
        <w:rPr>
          <w:sz w:val="18"/>
        </w:rPr>
        <w:t>the</w:t>
      </w:r>
      <w:r>
        <w:rPr>
          <w:spacing w:val="-11"/>
          <w:sz w:val="18"/>
        </w:rPr>
        <w:t xml:space="preserve"> </w:t>
      </w:r>
      <w:r>
        <w:rPr>
          <w:sz w:val="18"/>
        </w:rPr>
        <w:t>dumped</w:t>
      </w:r>
      <w:r>
        <w:rPr>
          <w:spacing w:val="-10"/>
          <w:sz w:val="18"/>
        </w:rPr>
        <w:t xml:space="preserve"> </w:t>
      </w:r>
      <w:r>
        <w:rPr>
          <w:sz w:val="18"/>
        </w:rPr>
        <w:t>imported product declined continuously […] Because of the suppressed price, the pre-tax profit of domestic like products dropped, their output, sales volume, PBT, return on investment</w:t>
      </w:r>
      <w:r>
        <w:rPr>
          <w:spacing w:val="-2"/>
          <w:sz w:val="18"/>
        </w:rPr>
        <w:t xml:space="preserve"> </w:t>
      </w:r>
      <w:r>
        <w:rPr>
          <w:sz w:val="18"/>
        </w:rPr>
        <w:t xml:space="preserve">(ROI), operating rate and employment volume declined year by year, and their market share, sales revenue, </w:t>
      </w:r>
      <w:proofErr w:type="spellStart"/>
      <w:r>
        <w:rPr>
          <w:sz w:val="18"/>
        </w:rPr>
        <w:t>labour</w:t>
      </w:r>
      <w:proofErr w:type="spellEnd"/>
      <w:r>
        <w:rPr>
          <w:spacing w:val="-4"/>
          <w:sz w:val="18"/>
        </w:rPr>
        <w:t xml:space="preserve"> </w:t>
      </w:r>
      <w:r>
        <w:rPr>
          <w:sz w:val="18"/>
        </w:rPr>
        <w:t>productivity and net</w:t>
      </w:r>
      <w:r>
        <w:rPr>
          <w:spacing w:val="-1"/>
          <w:sz w:val="18"/>
        </w:rPr>
        <w:t xml:space="preserve"> </w:t>
      </w:r>
      <w:r>
        <w:rPr>
          <w:sz w:val="18"/>
        </w:rPr>
        <w:t>cash flow</w:t>
      </w:r>
      <w:r>
        <w:rPr>
          <w:spacing w:val="-4"/>
          <w:sz w:val="18"/>
        </w:rPr>
        <w:t xml:space="preserve"> </w:t>
      </w:r>
      <w:r>
        <w:rPr>
          <w:sz w:val="18"/>
        </w:rPr>
        <w:t>from operating activities were in a downtrend. To sum up, the dumped imported product caused severe injury to domestic industrial production and operation.")</w:t>
      </w:r>
    </w:p>
    <w:p w14:paraId="23CD18CC" w14:textId="77777777" w:rsidR="00BD462C" w:rsidRDefault="00BD462C">
      <w:pPr>
        <w:jc w:val="both"/>
        <w:rPr>
          <w:sz w:val="18"/>
        </w:rPr>
        <w:sectPr w:rsidR="00BD462C">
          <w:pgSz w:w="11910" w:h="16840"/>
          <w:pgMar w:top="860" w:right="500" w:bottom="780" w:left="1280" w:header="566" w:footer="590" w:gutter="0"/>
          <w:cols w:space="720"/>
        </w:sectPr>
      </w:pPr>
    </w:p>
    <w:p w14:paraId="0E3CFEDD"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550A12F7"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7E866DC9"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062EB2FB" w14:textId="77777777" w:rsidR="00BD462C" w:rsidRDefault="00033D0F">
      <w:pPr>
        <w:pStyle w:val="BodyText"/>
        <w:spacing w:before="102" w:line="357" w:lineRule="auto"/>
        <w:ind w:left="135" w:right="923"/>
      </w:pPr>
      <w:r>
        <w:t>caused</w:t>
      </w:r>
      <w:r>
        <w:rPr>
          <w:spacing w:val="24"/>
        </w:rPr>
        <w:t xml:space="preserve"> </w:t>
      </w:r>
      <w:r>
        <w:t>to</w:t>
      </w:r>
      <w:r>
        <w:rPr>
          <w:spacing w:val="29"/>
        </w:rPr>
        <w:t xml:space="preserve"> </w:t>
      </w:r>
      <w:r>
        <w:t>the</w:t>
      </w:r>
      <w:r>
        <w:rPr>
          <w:spacing w:val="31"/>
        </w:rPr>
        <w:t xml:space="preserve"> </w:t>
      </w:r>
      <w:r>
        <w:t>domestic</w:t>
      </w:r>
      <w:r>
        <w:rPr>
          <w:spacing w:val="25"/>
        </w:rPr>
        <w:t xml:space="preserve"> </w:t>
      </w:r>
      <w:r>
        <w:t>industry</w:t>
      </w:r>
      <w:r>
        <w:rPr>
          <w:spacing w:val="27"/>
        </w:rPr>
        <w:t xml:space="preserve"> </w:t>
      </w:r>
      <w:r>
        <w:t>by</w:t>
      </w:r>
      <w:r>
        <w:rPr>
          <w:spacing w:val="32"/>
        </w:rPr>
        <w:t xml:space="preserve"> </w:t>
      </w:r>
      <w:r>
        <w:t>the</w:t>
      </w:r>
      <w:r>
        <w:rPr>
          <w:spacing w:val="26"/>
        </w:rPr>
        <w:t xml:space="preserve"> </w:t>
      </w:r>
      <w:r>
        <w:t>impact</w:t>
      </w:r>
      <w:r>
        <w:rPr>
          <w:spacing w:val="32"/>
        </w:rPr>
        <w:t xml:space="preserve"> </w:t>
      </w:r>
      <w:r>
        <w:t>of</w:t>
      </w:r>
      <w:r>
        <w:rPr>
          <w:spacing w:val="25"/>
        </w:rPr>
        <w:t xml:space="preserve"> </w:t>
      </w:r>
      <w:r>
        <w:t>the</w:t>
      </w:r>
      <w:r>
        <w:rPr>
          <w:spacing w:val="31"/>
        </w:rPr>
        <w:t xml:space="preserve"> </w:t>
      </w:r>
      <w:r>
        <w:t>decreasing</w:t>
      </w:r>
      <w:r>
        <w:rPr>
          <w:spacing w:val="28"/>
        </w:rPr>
        <w:t xml:space="preserve"> </w:t>
      </w:r>
      <w:r>
        <w:t>import</w:t>
      </w:r>
      <w:r>
        <w:rPr>
          <w:spacing w:val="27"/>
        </w:rPr>
        <w:t xml:space="preserve"> </w:t>
      </w:r>
      <w:r>
        <w:t>tariff</w:t>
      </w:r>
      <w:r>
        <w:rPr>
          <w:spacing w:val="29"/>
        </w:rPr>
        <w:t xml:space="preserve"> </w:t>
      </w:r>
      <w:r>
        <w:t>in</w:t>
      </w:r>
      <w:r>
        <w:rPr>
          <w:spacing w:val="29"/>
        </w:rPr>
        <w:t xml:space="preserve"> </w:t>
      </w:r>
      <w:r>
        <w:t>order</w:t>
      </w:r>
      <w:r>
        <w:rPr>
          <w:spacing w:val="28"/>
        </w:rPr>
        <w:t xml:space="preserve"> </w:t>
      </w:r>
      <w:r>
        <w:t>to ensure</w:t>
      </w:r>
      <w:r>
        <w:rPr>
          <w:spacing w:val="-5"/>
        </w:rPr>
        <w:t xml:space="preserve"> </w:t>
      </w:r>
      <w:r>
        <w:t>that</w:t>
      </w:r>
      <w:r>
        <w:rPr>
          <w:spacing w:val="-3"/>
        </w:rPr>
        <w:t xml:space="preserve"> </w:t>
      </w:r>
      <w:r>
        <w:t>such</w:t>
      </w:r>
      <w:r>
        <w:rPr>
          <w:spacing w:val="-5"/>
        </w:rPr>
        <w:t xml:space="preserve"> </w:t>
      </w:r>
      <w:r>
        <w:t>injury</w:t>
      </w:r>
      <w:r>
        <w:rPr>
          <w:spacing w:val="-2"/>
        </w:rPr>
        <w:t xml:space="preserve"> </w:t>
      </w:r>
      <w:r>
        <w:t>would</w:t>
      </w:r>
      <w:r>
        <w:rPr>
          <w:spacing w:val="-5"/>
        </w:rPr>
        <w:t xml:space="preserve"> </w:t>
      </w:r>
      <w:r>
        <w:t>not</w:t>
      </w:r>
      <w:r>
        <w:rPr>
          <w:spacing w:val="2"/>
        </w:rPr>
        <w:t xml:space="preserve"> </w:t>
      </w:r>
      <w:r>
        <w:t>be</w:t>
      </w:r>
      <w:r>
        <w:rPr>
          <w:spacing w:val="-4"/>
        </w:rPr>
        <w:t xml:space="preserve"> </w:t>
      </w:r>
      <w:r>
        <w:t>improperly</w:t>
      </w:r>
      <w:r>
        <w:rPr>
          <w:spacing w:val="-1"/>
        </w:rPr>
        <w:t xml:space="preserve"> </w:t>
      </w:r>
      <w:r>
        <w:t>attributed</w:t>
      </w:r>
      <w:r>
        <w:rPr>
          <w:spacing w:val="-5"/>
        </w:rPr>
        <w:t xml:space="preserve"> </w:t>
      </w:r>
      <w:r>
        <w:t>to</w:t>
      </w:r>
      <w:r>
        <w:rPr>
          <w:spacing w:val="-6"/>
        </w:rPr>
        <w:t xml:space="preserve"> </w:t>
      </w:r>
      <w:r>
        <w:t>the</w:t>
      </w:r>
      <w:r>
        <w:rPr>
          <w:spacing w:val="-4"/>
        </w:rPr>
        <w:t xml:space="preserve"> </w:t>
      </w:r>
      <w:r>
        <w:t>allegedly</w:t>
      </w:r>
      <w:r>
        <w:rPr>
          <w:spacing w:val="-2"/>
        </w:rPr>
        <w:t xml:space="preserve"> </w:t>
      </w:r>
      <w:r>
        <w:t>dumped</w:t>
      </w:r>
      <w:r>
        <w:rPr>
          <w:spacing w:val="-4"/>
        </w:rPr>
        <w:t xml:space="preserve"> </w:t>
      </w:r>
      <w:r>
        <w:rPr>
          <w:spacing w:val="-2"/>
        </w:rPr>
        <w:t>imports.</w:t>
      </w:r>
    </w:p>
    <w:p w14:paraId="4894FD82" w14:textId="77777777" w:rsidR="00BD462C" w:rsidRDefault="00BD462C">
      <w:pPr>
        <w:pStyle w:val="BodyText"/>
        <w:spacing w:before="3"/>
        <w:rPr>
          <w:sz w:val="9"/>
        </w:rPr>
      </w:pPr>
    </w:p>
    <w:p w14:paraId="16CE3228" w14:textId="68EFAF68" w:rsidR="00BD462C" w:rsidRDefault="00BB6E3A">
      <w:pPr>
        <w:pStyle w:val="BodyText"/>
        <w:spacing w:before="56" w:line="360" w:lineRule="auto"/>
        <w:ind w:left="135" w:right="915"/>
        <w:jc w:val="both"/>
      </w:pPr>
      <w:r>
        <w:rPr>
          <w:noProof/>
        </w:rPr>
        <w:t>584.</w:t>
      </w:r>
      <w:r w:rsidR="00033D0F">
        <w:rPr>
          <w:rFonts w:ascii="Times New Roman"/>
          <w:spacing w:val="80"/>
          <w:position w:val="1"/>
          <w:sz w:val="20"/>
        </w:rPr>
        <w:t xml:space="preserve">  </w:t>
      </w:r>
      <w:r w:rsidR="00033D0F">
        <w:rPr>
          <w:position w:val="1"/>
        </w:rPr>
        <w:t xml:space="preserve">As Australia understands it, China's position appears to be either that: (i) MOFCOM </w:t>
      </w:r>
      <w:r w:rsidR="00033D0F">
        <w:t>dismissed the impact of tariff reductions on the basis that it did not "sever the causal link" between</w:t>
      </w:r>
      <w:r w:rsidR="00033D0F">
        <w:rPr>
          <w:spacing w:val="-14"/>
        </w:rPr>
        <w:t xml:space="preserve"> </w:t>
      </w:r>
      <w:r w:rsidR="00033D0F">
        <w:t>the</w:t>
      </w:r>
      <w:r w:rsidR="00033D0F">
        <w:rPr>
          <w:spacing w:val="-11"/>
        </w:rPr>
        <w:t xml:space="preserve"> </w:t>
      </w:r>
      <w:r w:rsidR="00033D0F">
        <w:t>dumped</w:t>
      </w:r>
      <w:r w:rsidR="00033D0F">
        <w:rPr>
          <w:spacing w:val="-9"/>
        </w:rPr>
        <w:t xml:space="preserve"> </w:t>
      </w:r>
      <w:r w:rsidR="00033D0F">
        <w:t>imports</w:t>
      </w:r>
      <w:r w:rsidR="00033D0F">
        <w:rPr>
          <w:spacing w:val="-10"/>
        </w:rPr>
        <w:t xml:space="preserve"> </w:t>
      </w:r>
      <w:r w:rsidR="00033D0F">
        <w:t>and</w:t>
      </w:r>
      <w:r w:rsidR="00033D0F">
        <w:rPr>
          <w:spacing w:val="-14"/>
        </w:rPr>
        <w:t xml:space="preserve"> </w:t>
      </w:r>
      <w:r w:rsidR="00033D0F">
        <w:t>injury</w:t>
      </w:r>
      <w:r w:rsidR="00033D0F">
        <w:rPr>
          <w:spacing w:val="-10"/>
        </w:rPr>
        <w:t xml:space="preserve"> </w:t>
      </w:r>
      <w:r w:rsidR="00033D0F">
        <w:t>to</w:t>
      </w:r>
      <w:r w:rsidR="00033D0F">
        <w:rPr>
          <w:spacing w:val="-14"/>
        </w:rPr>
        <w:t xml:space="preserve"> </w:t>
      </w:r>
      <w:r w:rsidR="00033D0F">
        <w:t>the</w:t>
      </w:r>
      <w:r w:rsidR="00033D0F">
        <w:rPr>
          <w:spacing w:val="-6"/>
        </w:rPr>
        <w:t xml:space="preserve"> </w:t>
      </w:r>
      <w:r w:rsidR="00033D0F">
        <w:t>domestic</w:t>
      </w:r>
      <w:r w:rsidR="00033D0F">
        <w:rPr>
          <w:spacing w:val="-13"/>
        </w:rPr>
        <w:t xml:space="preserve"> </w:t>
      </w:r>
      <w:r w:rsidR="00033D0F">
        <w:t>industry;</w:t>
      </w:r>
      <w:r w:rsidR="00033D0F">
        <w:rPr>
          <w:spacing w:val="-14"/>
        </w:rPr>
        <w:t xml:space="preserve"> </w:t>
      </w:r>
      <w:r w:rsidR="00033D0F">
        <w:t>and/or</w:t>
      </w:r>
      <w:r w:rsidR="00033D0F">
        <w:rPr>
          <w:spacing w:val="-9"/>
        </w:rPr>
        <w:t xml:space="preserve"> </w:t>
      </w:r>
      <w:r w:rsidR="00033D0F">
        <w:t>(ii)</w:t>
      </w:r>
      <w:r w:rsidR="00033D0F">
        <w:rPr>
          <w:spacing w:val="-13"/>
        </w:rPr>
        <w:t xml:space="preserve"> </w:t>
      </w:r>
      <w:r w:rsidR="00033D0F">
        <w:t>Australia</w:t>
      </w:r>
      <w:r w:rsidR="00033D0F">
        <w:rPr>
          <w:spacing w:val="-12"/>
        </w:rPr>
        <w:t xml:space="preserve"> </w:t>
      </w:r>
      <w:r w:rsidR="00033D0F">
        <w:t>has</w:t>
      </w:r>
      <w:r w:rsidR="00033D0F">
        <w:rPr>
          <w:spacing w:val="-10"/>
        </w:rPr>
        <w:t xml:space="preserve"> </w:t>
      </w:r>
      <w:r w:rsidR="00033D0F">
        <w:t>not established</w:t>
      </w:r>
      <w:r w:rsidR="00033D0F">
        <w:rPr>
          <w:spacing w:val="-3"/>
        </w:rPr>
        <w:t xml:space="preserve"> </w:t>
      </w:r>
      <w:r w:rsidR="00033D0F">
        <w:t>that</w:t>
      </w:r>
      <w:r w:rsidR="00033D0F">
        <w:rPr>
          <w:spacing w:val="-1"/>
        </w:rPr>
        <w:t xml:space="preserve"> </w:t>
      </w:r>
      <w:r w:rsidR="00033D0F">
        <w:t>the</w:t>
      </w:r>
      <w:r w:rsidR="00033D0F">
        <w:rPr>
          <w:spacing w:val="-2"/>
        </w:rPr>
        <w:t xml:space="preserve"> </w:t>
      </w:r>
      <w:r w:rsidR="00033D0F">
        <w:t>progressive</w:t>
      </w:r>
      <w:r w:rsidR="00033D0F">
        <w:rPr>
          <w:spacing w:val="-1"/>
        </w:rPr>
        <w:t xml:space="preserve"> </w:t>
      </w:r>
      <w:r w:rsidR="00033D0F">
        <w:t>elimination</w:t>
      </w:r>
      <w:r w:rsidR="00033D0F">
        <w:rPr>
          <w:spacing w:val="-3"/>
        </w:rPr>
        <w:t xml:space="preserve"> </w:t>
      </w:r>
      <w:r w:rsidR="00033D0F">
        <w:t>of the</w:t>
      </w:r>
      <w:r w:rsidR="00033D0F">
        <w:rPr>
          <w:spacing w:val="-1"/>
        </w:rPr>
        <w:t xml:space="preserve"> </w:t>
      </w:r>
      <w:r w:rsidR="00033D0F">
        <w:t>import</w:t>
      </w:r>
      <w:r w:rsidR="00033D0F">
        <w:rPr>
          <w:spacing w:val="-1"/>
        </w:rPr>
        <w:t xml:space="preserve"> </w:t>
      </w:r>
      <w:r w:rsidR="00033D0F">
        <w:t>tariff</w:t>
      </w:r>
      <w:r w:rsidR="00033D0F">
        <w:rPr>
          <w:spacing w:val="-3"/>
        </w:rPr>
        <w:t xml:space="preserve"> </w:t>
      </w:r>
      <w:r w:rsidR="00033D0F">
        <w:t>in fact</w:t>
      </w:r>
      <w:r w:rsidR="00033D0F">
        <w:rPr>
          <w:spacing w:val="-1"/>
        </w:rPr>
        <w:t xml:space="preserve"> </w:t>
      </w:r>
      <w:r w:rsidR="00033D0F">
        <w:t>caused</w:t>
      </w:r>
      <w:r w:rsidR="00033D0F">
        <w:rPr>
          <w:spacing w:val="-3"/>
        </w:rPr>
        <w:t xml:space="preserve"> </w:t>
      </w:r>
      <w:r w:rsidR="00033D0F">
        <w:t>material injury to the domestic industry. For the following reasons, China's arguments are without merit.</w:t>
      </w:r>
    </w:p>
    <w:p w14:paraId="7F66D868" w14:textId="77777777" w:rsidR="00BD462C" w:rsidRDefault="00BD462C">
      <w:pPr>
        <w:pStyle w:val="BodyText"/>
        <w:spacing w:before="5"/>
        <w:rPr>
          <w:sz w:val="8"/>
        </w:rPr>
      </w:pPr>
    </w:p>
    <w:p w14:paraId="2789109C" w14:textId="364B5110" w:rsidR="00BD462C" w:rsidRDefault="00BB6E3A">
      <w:pPr>
        <w:pStyle w:val="BodyText"/>
        <w:spacing w:before="57" w:line="360" w:lineRule="auto"/>
        <w:ind w:left="135" w:right="911"/>
        <w:jc w:val="both"/>
      </w:pPr>
      <w:r>
        <w:rPr>
          <w:noProof/>
        </w:rPr>
        <w:t>585.</w:t>
      </w:r>
      <w:r w:rsidR="00033D0F">
        <w:rPr>
          <w:rFonts w:ascii="Times New Roman" w:hAnsi="Times New Roman"/>
          <w:spacing w:val="80"/>
          <w:position w:val="1"/>
          <w:sz w:val="20"/>
        </w:rPr>
        <w:t xml:space="preserve">  </w:t>
      </w:r>
      <w:r w:rsidR="00033D0F">
        <w:rPr>
          <w:position w:val="1"/>
        </w:rPr>
        <w:t xml:space="preserve">First, to the extent that China's argument is that MOFCOM did not need to consider </w:t>
      </w:r>
      <w:r w:rsidR="00033D0F">
        <w:t>tariff reductions as a non-attribution factor because it is not an "other factor" causing injury, Australia</w:t>
      </w:r>
      <w:r w:rsidR="00033D0F">
        <w:rPr>
          <w:spacing w:val="-12"/>
        </w:rPr>
        <w:t xml:space="preserve"> </w:t>
      </w:r>
      <w:r w:rsidR="00033D0F">
        <w:t>strongly</w:t>
      </w:r>
      <w:r w:rsidR="00033D0F">
        <w:rPr>
          <w:spacing w:val="-11"/>
        </w:rPr>
        <w:t xml:space="preserve"> </w:t>
      </w:r>
      <w:r w:rsidR="00033D0F">
        <w:t>disagrees.</w:t>
      </w:r>
      <w:hyperlink w:anchor="_bookmark1060" w:history="1">
        <w:r w:rsidR="00033D0F">
          <w:rPr>
            <w:vertAlign w:val="superscript"/>
          </w:rPr>
          <w:t>909</w:t>
        </w:r>
      </w:hyperlink>
      <w:r w:rsidR="00033D0F">
        <w:rPr>
          <w:spacing w:val="-11"/>
        </w:rPr>
        <w:t xml:space="preserve"> </w:t>
      </w:r>
      <w:r w:rsidR="00033D0F">
        <w:t>Tariff</w:t>
      </w:r>
      <w:r w:rsidR="00033D0F">
        <w:rPr>
          <w:spacing w:val="-9"/>
        </w:rPr>
        <w:t xml:space="preserve"> </w:t>
      </w:r>
      <w:r w:rsidR="00033D0F">
        <w:t>reductions</w:t>
      </w:r>
      <w:r w:rsidR="00033D0F">
        <w:rPr>
          <w:spacing w:val="-10"/>
        </w:rPr>
        <w:t xml:space="preserve"> </w:t>
      </w:r>
      <w:r w:rsidR="00033D0F">
        <w:t>were</w:t>
      </w:r>
      <w:r w:rsidR="00033D0F">
        <w:rPr>
          <w:spacing w:val="-12"/>
        </w:rPr>
        <w:t xml:space="preserve"> </w:t>
      </w:r>
      <w:r w:rsidR="00033D0F">
        <w:t>clearly</w:t>
      </w:r>
      <w:r w:rsidR="00033D0F">
        <w:rPr>
          <w:spacing w:val="-11"/>
        </w:rPr>
        <w:t xml:space="preserve"> </w:t>
      </w:r>
      <w:r w:rsidR="00033D0F">
        <w:t>an</w:t>
      </w:r>
      <w:r w:rsidR="00033D0F">
        <w:rPr>
          <w:spacing w:val="-14"/>
        </w:rPr>
        <w:t xml:space="preserve"> </w:t>
      </w:r>
      <w:r w:rsidR="00033D0F">
        <w:t>"other</w:t>
      </w:r>
      <w:r w:rsidR="00033D0F">
        <w:rPr>
          <w:spacing w:val="-10"/>
        </w:rPr>
        <w:t xml:space="preserve"> </w:t>
      </w:r>
      <w:r w:rsidR="00033D0F">
        <w:t>factor"</w:t>
      </w:r>
      <w:r w:rsidR="00033D0F">
        <w:rPr>
          <w:spacing w:val="-8"/>
        </w:rPr>
        <w:t xml:space="preserve"> </w:t>
      </w:r>
      <w:r w:rsidR="00033D0F">
        <w:t>that</w:t>
      </w:r>
      <w:r w:rsidR="00033D0F">
        <w:rPr>
          <w:spacing w:val="-11"/>
        </w:rPr>
        <w:t xml:space="preserve"> </w:t>
      </w:r>
      <w:r w:rsidR="00033D0F">
        <w:t>is</w:t>
      </w:r>
      <w:r w:rsidR="00033D0F">
        <w:rPr>
          <w:spacing w:val="-10"/>
        </w:rPr>
        <w:t xml:space="preserve"> </w:t>
      </w:r>
      <w:r w:rsidR="00033D0F">
        <w:t>separate from</w:t>
      </w:r>
      <w:r w:rsidR="00033D0F">
        <w:rPr>
          <w:spacing w:val="-2"/>
        </w:rPr>
        <w:t xml:space="preserve"> </w:t>
      </w:r>
      <w:r w:rsidR="00033D0F">
        <w:t>the</w:t>
      </w:r>
      <w:r w:rsidR="00033D0F">
        <w:rPr>
          <w:spacing w:val="-2"/>
        </w:rPr>
        <w:t xml:space="preserve"> </w:t>
      </w:r>
      <w:r w:rsidR="00033D0F">
        <w:t>dumped</w:t>
      </w:r>
      <w:r w:rsidR="00033D0F">
        <w:rPr>
          <w:spacing w:val="-3"/>
        </w:rPr>
        <w:t xml:space="preserve"> </w:t>
      </w:r>
      <w:r w:rsidR="00033D0F">
        <w:t>imports.</w:t>
      </w:r>
      <w:r w:rsidR="00033D0F">
        <w:rPr>
          <w:spacing w:val="-5"/>
        </w:rPr>
        <w:t xml:space="preserve"> </w:t>
      </w:r>
      <w:r w:rsidR="00033D0F">
        <w:t>This</w:t>
      </w:r>
      <w:r w:rsidR="00033D0F">
        <w:rPr>
          <w:spacing w:val="-5"/>
        </w:rPr>
        <w:t xml:space="preserve"> </w:t>
      </w:r>
      <w:r w:rsidR="00033D0F">
        <w:t>is</w:t>
      </w:r>
      <w:r w:rsidR="00033D0F">
        <w:rPr>
          <w:spacing w:val="-5"/>
        </w:rPr>
        <w:t xml:space="preserve"> </w:t>
      </w:r>
      <w:r w:rsidR="00033D0F">
        <w:t>because</w:t>
      </w:r>
      <w:r w:rsidR="00033D0F">
        <w:rPr>
          <w:spacing w:val="-6"/>
        </w:rPr>
        <w:t xml:space="preserve"> </w:t>
      </w:r>
      <w:r w:rsidR="00033D0F">
        <w:t>the</w:t>
      </w:r>
      <w:r w:rsidR="00033D0F">
        <w:rPr>
          <w:spacing w:val="-6"/>
        </w:rPr>
        <w:t xml:space="preserve"> </w:t>
      </w:r>
      <w:r w:rsidR="00033D0F">
        <w:t>tariff</w:t>
      </w:r>
      <w:r w:rsidR="00033D0F">
        <w:rPr>
          <w:spacing w:val="-3"/>
        </w:rPr>
        <w:t xml:space="preserve"> </w:t>
      </w:r>
      <w:r w:rsidR="00033D0F">
        <w:t>reductions have</w:t>
      </w:r>
      <w:r w:rsidR="00033D0F">
        <w:rPr>
          <w:spacing w:val="-6"/>
        </w:rPr>
        <w:t xml:space="preserve"> </w:t>
      </w:r>
      <w:r w:rsidR="00033D0F">
        <w:t>the</w:t>
      </w:r>
      <w:r w:rsidR="00033D0F">
        <w:rPr>
          <w:spacing w:val="-6"/>
        </w:rPr>
        <w:t xml:space="preserve"> </w:t>
      </w:r>
      <w:r w:rsidR="00033D0F">
        <w:t>ability</w:t>
      </w:r>
      <w:r w:rsidR="00033D0F">
        <w:rPr>
          <w:spacing w:val="-5"/>
        </w:rPr>
        <w:t xml:space="preserve"> </w:t>
      </w:r>
      <w:r w:rsidR="00033D0F">
        <w:t>to</w:t>
      </w:r>
      <w:r w:rsidR="00033D0F">
        <w:rPr>
          <w:spacing w:val="-9"/>
        </w:rPr>
        <w:t xml:space="preserve"> </w:t>
      </w:r>
      <w:r w:rsidR="00033D0F">
        <w:t>bring</w:t>
      </w:r>
      <w:r w:rsidR="00033D0F">
        <w:rPr>
          <w:spacing w:val="-5"/>
        </w:rPr>
        <w:t xml:space="preserve"> </w:t>
      </w:r>
      <w:r w:rsidR="00033D0F">
        <w:t>about price and volume changes in subject imports that are entirely separate to the alleged effects of</w:t>
      </w:r>
      <w:r w:rsidR="00033D0F">
        <w:rPr>
          <w:spacing w:val="-1"/>
        </w:rPr>
        <w:t xml:space="preserve"> </w:t>
      </w:r>
      <w:r w:rsidR="00033D0F">
        <w:t>dumping. China's reliance on</w:t>
      </w:r>
      <w:r w:rsidR="00033D0F">
        <w:rPr>
          <w:spacing w:val="-2"/>
        </w:rPr>
        <w:t xml:space="preserve"> </w:t>
      </w:r>
      <w:r w:rsidR="00033D0F">
        <w:t>the panel's reasoning in</w:t>
      </w:r>
      <w:r w:rsidR="00033D0F">
        <w:rPr>
          <w:spacing w:val="-2"/>
        </w:rPr>
        <w:t xml:space="preserve"> </w:t>
      </w:r>
      <w:r w:rsidR="00033D0F">
        <w:rPr>
          <w:i/>
        </w:rPr>
        <w:t>EU – Footwear</w:t>
      </w:r>
      <w:r w:rsidR="00033D0F">
        <w:rPr>
          <w:i/>
          <w:spacing w:val="-1"/>
        </w:rPr>
        <w:t xml:space="preserve"> </w:t>
      </w:r>
      <w:r w:rsidR="00033D0F">
        <w:rPr>
          <w:i/>
        </w:rPr>
        <w:t>(China)</w:t>
      </w:r>
      <w:r w:rsidR="00033D0F">
        <w:rPr>
          <w:i/>
          <w:spacing w:val="-1"/>
        </w:rPr>
        <w:t xml:space="preserve"> </w:t>
      </w:r>
      <w:r w:rsidR="00033D0F">
        <w:t>to</w:t>
      </w:r>
      <w:r w:rsidR="00033D0F">
        <w:rPr>
          <w:spacing w:val="-2"/>
        </w:rPr>
        <w:t xml:space="preserve"> </w:t>
      </w:r>
      <w:r w:rsidR="00033D0F">
        <w:t>support its position is to no avail.</w:t>
      </w:r>
      <w:hyperlink w:anchor="_bookmark1061" w:history="1">
        <w:r w:rsidR="00033D0F">
          <w:rPr>
            <w:vertAlign w:val="superscript"/>
          </w:rPr>
          <w:t>910</w:t>
        </w:r>
      </w:hyperlink>
      <w:r w:rsidR="00033D0F">
        <w:t xml:space="preserve"> China seeks to draw equivalence between two completely different factual scenarios.</w:t>
      </w:r>
      <w:hyperlink w:anchor="_bookmark1062" w:history="1">
        <w:r w:rsidR="00033D0F">
          <w:rPr>
            <w:vertAlign w:val="superscript"/>
          </w:rPr>
          <w:t>911</w:t>
        </w:r>
      </w:hyperlink>
      <w:r w:rsidR="00033D0F">
        <w:t xml:space="preserve"> The lifting of a quota which removes restrictions on volume, as was the case</w:t>
      </w:r>
      <w:r w:rsidR="00033D0F">
        <w:rPr>
          <w:spacing w:val="-14"/>
        </w:rPr>
        <w:t xml:space="preserve"> </w:t>
      </w:r>
      <w:r w:rsidR="00033D0F">
        <w:t>in</w:t>
      </w:r>
      <w:r w:rsidR="00033D0F">
        <w:rPr>
          <w:spacing w:val="-14"/>
        </w:rPr>
        <w:t xml:space="preserve"> </w:t>
      </w:r>
      <w:r w:rsidR="00033D0F">
        <w:rPr>
          <w:i/>
        </w:rPr>
        <w:t>EU</w:t>
      </w:r>
      <w:r w:rsidR="00033D0F">
        <w:rPr>
          <w:i/>
          <w:spacing w:val="-13"/>
        </w:rPr>
        <w:t xml:space="preserve"> </w:t>
      </w:r>
      <w:r w:rsidR="00033D0F">
        <w:rPr>
          <w:i/>
        </w:rPr>
        <w:t>–</w:t>
      </w:r>
      <w:r w:rsidR="00033D0F">
        <w:rPr>
          <w:i/>
          <w:spacing w:val="-12"/>
        </w:rPr>
        <w:t xml:space="preserve"> </w:t>
      </w:r>
      <w:r w:rsidR="00033D0F">
        <w:rPr>
          <w:i/>
        </w:rPr>
        <w:t>Footwear</w:t>
      </w:r>
      <w:r w:rsidR="00033D0F">
        <w:rPr>
          <w:i/>
          <w:spacing w:val="-13"/>
        </w:rPr>
        <w:t xml:space="preserve"> </w:t>
      </w:r>
      <w:r w:rsidR="00033D0F">
        <w:rPr>
          <w:i/>
        </w:rPr>
        <w:t>(China)</w:t>
      </w:r>
      <w:r w:rsidR="00033D0F">
        <w:t>,</w:t>
      </w:r>
      <w:r w:rsidR="00033D0F">
        <w:rPr>
          <w:spacing w:val="-11"/>
        </w:rPr>
        <w:t xml:space="preserve"> </w:t>
      </w:r>
      <w:r w:rsidR="00033D0F">
        <w:t>differs</w:t>
      </w:r>
      <w:r w:rsidR="00033D0F">
        <w:rPr>
          <w:spacing w:val="-11"/>
        </w:rPr>
        <w:t xml:space="preserve"> </w:t>
      </w:r>
      <w:r w:rsidR="00033D0F">
        <w:t>from</w:t>
      </w:r>
      <w:r w:rsidR="00033D0F">
        <w:rPr>
          <w:spacing w:val="-13"/>
        </w:rPr>
        <w:t xml:space="preserve"> </w:t>
      </w:r>
      <w:r w:rsidR="00033D0F">
        <w:t>the</w:t>
      </w:r>
      <w:r w:rsidR="00033D0F">
        <w:rPr>
          <w:spacing w:val="-13"/>
        </w:rPr>
        <w:t xml:space="preserve"> </w:t>
      </w:r>
      <w:r w:rsidR="00033D0F">
        <w:t>elimination</w:t>
      </w:r>
      <w:r w:rsidR="00033D0F">
        <w:rPr>
          <w:spacing w:val="-14"/>
        </w:rPr>
        <w:t xml:space="preserve"> </w:t>
      </w:r>
      <w:r w:rsidR="00033D0F">
        <w:t>of</w:t>
      </w:r>
      <w:r w:rsidR="00033D0F">
        <w:rPr>
          <w:spacing w:val="-14"/>
        </w:rPr>
        <w:t xml:space="preserve"> </w:t>
      </w:r>
      <w:r w:rsidR="00033D0F">
        <w:t>an</w:t>
      </w:r>
      <w:r w:rsidR="00033D0F">
        <w:rPr>
          <w:spacing w:val="-13"/>
        </w:rPr>
        <w:t xml:space="preserve"> </w:t>
      </w:r>
      <w:r w:rsidR="00033D0F">
        <w:t>import</w:t>
      </w:r>
      <w:r w:rsidR="00033D0F">
        <w:rPr>
          <w:spacing w:val="-11"/>
        </w:rPr>
        <w:t xml:space="preserve"> </w:t>
      </w:r>
      <w:r w:rsidR="00033D0F">
        <w:t>tariff,</w:t>
      </w:r>
      <w:r w:rsidR="00033D0F">
        <w:rPr>
          <w:spacing w:val="-11"/>
        </w:rPr>
        <w:t xml:space="preserve"> </w:t>
      </w:r>
      <w:r w:rsidR="00033D0F">
        <w:t>which</w:t>
      </w:r>
      <w:r w:rsidR="00033D0F">
        <w:rPr>
          <w:spacing w:val="-14"/>
        </w:rPr>
        <w:t xml:space="preserve"> </w:t>
      </w:r>
      <w:r w:rsidR="00033D0F">
        <w:t>decreases the</w:t>
      </w:r>
      <w:r w:rsidR="00033D0F">
        <w:rPr>
          <w:spacing w:val="-4"/>
        </w:rPr>
        <w:t xml:space="preserve"> </w:t>
      </w:r>
      <w:r w:rsidR="00033D0F">
        <w:t>overall</w:t>
      </w:r>
      <w:r w:rsidR="00033D0F">
        <w:rPr>
          <w:spacing w:val="-1"/>
        </w:rPr>
        <w:t xml:space="preserve"> </w:t>
      </w:r>
      <w:r w:rsidR="00033D0F">
        <w:t>costs</w:t>
      </w:r>
      <w:r w:rsidR="00033D0F">
        <w:rPr>
          <w:spacing w:val="-2"/>
        </w:rPr>
        <w:t xml:space="preserve"> </w:t>
      </w:r>
      <w:r w:rsidR="00033D0F">
        <w:t>that</w:t>
      </w:r>
      <w:r w:rsidR="00033D0F">
        <w:rPr>
          <w:spacing w:val="-3"/>
        </w:rPr>
        <w:t xml:space="preserve"> </w:t>
      </w:r>
      <w:r w:rsidR="00033D0F">
        <w:t>an</w:t>
      </w:r>
      <w:r w:rsidR="00033D0F">
        <w:rPr>
          <w:spacing w:val="-5"/>
        </w:rPr>
        <w:t xml:space="preserve"> </w:t>
      </w:r>
      <w:r w:rsidR="00033D0F">
        <w:t>importer</w:t>
      </w:r>
      <w:r w:rsidR="00033D0F">
        <w:rPr>
          <w:spacing w:val="-6"/>
        </w:rPr>
        <w:t xml:space="preserve"> </w:t>
      </w:r>
      <w:r w:rsidR="00033D0F">
        <w:t>must</w:t>
      </w:r>
      <w:r w:rsidR="00033D0F">
        <w:rPr>
          <w:spacing w:val="-3"/>
        </w:rPr>
        <w:t xml:space="preserve"> </w:t>
      </w:r>
      <w:r w:rsidR="00033D0F">
        <w:t>pay</w:t>
      </w:r>
      <w:r w:rsidR="00033D0F">
        <w:rPr>
          <w:spacing w:val="-2"/>
        </w:rPr>
        <w:t xml:space="preserve"> </w:t>
      </w:r>
      <w:r w:rsidR="00033D0F">
        <w:t>to</w:t>
      </w:r>
      <w:r w:rsidR="00033D0F">
        <w:rPr>
          <w:spacing w:val="-6"/>
        </w:rPr>
        <w:t xml:space="preserve"> </w:t>
      </w:r>
      <w:r w:rsidR="00033D0F">
        <w:t>import</w:t>
      </w:r>
      <w:r w:rsidR="00033D0F">
        <w:rPr>
          <w:spacing w:val="-3"/>
        </w:rPr>
        <w:t xml:space="preserve"> </w:t>
      </w:r>
      <w:r w:rsidR="00033D0F">
        <w:t>a</w:t>
      </w:r>
      <w:r w:rsidR="00033D0F">
        <w:rPr>
          <w:spacing w:val="-4"/>
        </w:rPr>
        <w:t xml:space="preserve"> </w:t>
      </w:r>
      <w:r w:rsidR="00033D0F">
        <w:t>product.</w:t>
      </w:r>
      <w:r w:rsidR="00033D0F">
        <w:rPr>
          <w:spacing w:val="-2"/>
        </w:rPr>
        <w:t xml:space="preserve"> </w:t>
      </w:r>
      <w:r w:rsidR="00033D0F">
        <w:t>In</w:t>
      </w:r>
      <w:r w:rsidR="00033D0F">
        <w:rPr>
          <w:spacing w:val="-5"/>
        </w:rPr>
        <w:t xml:space="preserve"> </w:t>
      </w:r>
      <w:r w:rsidR="00033D0F">
        <w:t>contrast</w:t>
      </w:r>
      <w:r w:rsidR="00033D0F">
        <w:rPr>
          <w:spacing w:val="-3"/>
        </w:rPr>
        <w:t xml:space="preserve"> </w:t>
      </w:r>
      <w:r w:rsidR="00033D0F">
        <w:t>to</w:t>
      </w:r>
      <w:r w:rsidR="00033D0F">
        <w:rPr>
          <w:spacing w:val="-6"/>
        </w:rPr>
        <w:t xml:space="preserve"> </w:t>
      </w:r>
      <w:r w:rsidR="00033D0F">
        <w:rPr>
          <w:i/>
        </w:rPr>
        <w:t>EU</w:t>
      </w:r>
      <w:r w:rsidR="00033D0F">
        <w:rPr>
          <w:i/>
          <w:spacing w:val="-3"/>
        </w:rPr>
        <w:t xml:space="preserve"> </w:t>
      </w:r>
      <w:r w:rsidR="00033D0F">
        <w:rPr>
          <w:i/>
        </w:rPr>
        <w:t>–</w:t>
      </w:r>
      <w:r w:rsidR="00033D0F">
        <w:rPr>
          <w:i/>
          <w:spacing w:val="-3"/>
        </w:rPr>
        <w:t xml:space="preserve"> </w:t>
      </w:r>
      <w:r w:rsidR="00033D0F">
        <w:rPr>
          <w:i/>
        </w:rPr>
        <w:t>Footwear (China)</w:t>
      </w:r>
      <w:r w:rsidR="00033D0F">
        <w:t>, Australia's argument is not that the tariff reductions allowed the importation of additional imports that otherwise would not have occurred. Rather, Australia's argument is that the tariff reductions over the course of the Injury POI (14%) accounted for most of the 15.91% decrease in the average unit price of subject imports that MOFCOM observed over the same period. This price decrease formed the basis for MOFCOM's finding of price suppression and, in turn, its determinations of injury and causation.</w:t>
      </w:r>
    </w:p>
    <w:p w14:paraId="504EE9D7" w14:textId="77777777" w:rsidR="00BD462C" w:rsidRDefault="00BD462C">
      <w:pPr>
        <w:pStyle w:val="BodyText"/>
        <w:spacing w:before="5"/>
        <w:rPr>
          <w:sz w:val="8"/>
        </w:rPr>
      </w:pPr>
    </w:p>
    <w:p w14:paraId="7E6DCDA5" w14:textId="43F7A38B" w:rsidR="00BD462C" w:rsidRDefault="00BB6E3A">
      <w:pPr>
        <w:pStyle w:val="BodyText"/>
        <w:spacing w:before="56"/>
        <w:ind w:left="135"/>
      </w:pPr>
      <w:r>
        <w:rPr>
          <w:noProof/>
        </w:rPr>
        <w:t>586.</w:t>
      </w:r>
      <w:r w:rsidR="00033D0F">
        <w:rPr>
          <w:rFonts w:ascii="Times New Roman"/>
          <w:spacing w:val="80"/>
          <w:position w:val="1"/>
          <w:sz w:val="20"/>
        </w:rPr>
        <w:t xml:space="preserve">   </w:t>
      </w:r>
      <w:r w:rsidR="00033D0F">
        <w:rPr>
          <w:position w:val="1"/>
        </w:rPr>
        <w:t>Second,</w:t>
      </w:r>
      <w:r w:rsidR="00033D0F">
        <w:rPr>
          <w:spacing w:val="27"/>
          <w:position w:val="1"/>
        </w:rPr>
        <w:t xml:space="preserve"> </w:t>
      </w:r>
      <w:r w:rsidR="00033D0F">
        <w:rPr>
          <w:position w:val="1"/>
        </w:rPr>
        <w:t>China</w:t>
      </w:r>
      <w:r w:rsidR="00033D0F">
        <w:rPr>
          <w:spacing w:val="24"/>
          <w:position w:val="1"/>
        </w:rPr>
        <w:t xml:space="preserve"> </w:t>
      </w:r>
      <w:r w:rsidR="00033D0F">
        <w:rPr>
          <w:position w:val="1"/>
        </w:rPr>
        <w:t>argues</w:t>
      </w:r>
      <w:r w:rsidR="00033D0F">
        <w:rPr>
          <w:spacing w:val="26"/>
          <w:position w:val="1"/>
        </w:rPr>
        <w:t xml:space="preserve"> </w:t>
      </w:r>
      <w:r w:rsidR="00033D0F">
        <w:rPr>
          <w:position w:val="1"/>
        </w:rPr>
        <w:t>that</w:t>
      </w:r>
      <w:r w:rsidR="00033D0F">
        <w:rPr>
          <w:spacing w:val="25"/>
          <w:position w:val="1"/>
        </w:rPr>
        <w:t xml:space="preserve"> </w:t>
      </w:r>
      <w:r w:rsidR="00033D0F">
        <w:rPr>
          <w:position w:val="1"/>
        </w:rPr>
        <w:t>the</w:t>
      </w:r>
      <w:r w:rsidR="00033D0F">
        <w:rPr>
          <w:spacing w:val="29"/>
          <w:position w:val="1"/>
        </w:rPr>
        <w:t xml:space="preserve"> </w:t>
      </w:r>
      <w:r w:rsidR="00033D0F">
        <w:rPr>
          <w:position w:val="1"/>
        </w:rPr>
        <w:t>facts</w:t>
      </w:r>
      <w:r w:rsidR="00033D0F">
        <w:rPr>
          <w:spacing w:val="26"/>
          <w:position w:val="1"/>
        </w:rPr>
        <w:t xml:space="preserve"> </w:t>
      </w:r>
      <w:r w:rsidR="00033D0F">
        <w:rPr>
          <w:position w:val="1"/>
        </w:rPr>
        <w:t>do</w:t>
      </w:r>
      <w:r w:rsidR="00033D0F">
        <w:rPr>
          <w:spacing w:val="27"/>
          <w:position w:val="1"/>
        </w:rPr>
        <w:t xml:space="preserve"> </w:t>
      </w:r>
      <w:r w:rsidR="00033D0F">
        <w:rPr>
          <w:position w:val="1"/>
        </w:rPr>
        <w:t>not</w:t>
      </w:r>
      <w:r w:rsidR="00033D0F">
        <w:rPr>
          <w:spacing w:val="30"/>
          <w:position w:val="1"/>
        </w:rPr>
        <w:t xml:space="preserve"> </w:t>
      </w:r>
      <w:r w:rsidR="00033D0F">
        <w:rPr>
          <w:position w:val="1"/>
        </w:rPr>
        <w:t>support</w:t>
      </w:r>
      <w:r w:rsidR="00033D0F">
        <w:rPr>
          <w:spacing w:val="25"/>
          <w:position w:val="1"/>
        </w:rPr>
        <w:t xml:space="preserve"> </w:t>
      </w:r>
      <w:r w:rsidR="00033D0F">
        <w:rPr>
          <w:position w:val="1"/>
        </w:rPr>
        <w:t>Australia's</w:t>
      </w:r>
      <w:r w:rsidR="00033D0F">
        <w:rPr>
          <w:spacing w:val="26"/>
          <w:position w:val="1"/>
        </w:rPr>
        <w:t xml:space="preserve"> </w:t>
      </w:r>
      <w:r w:rsidR="00033D0F">
        <w:rPr>
          <w:position w:val="1"/>
        </w:rPr>
        <w:t>argument,</w:t>
      </w:r>
      <w:r w:rsidR="00033D0F">
        <w:rPr>
          <w:spacing w:val="27"/>
          <w:position w:val="1"/>
        </w:rPr>
        <w:t xml:space="preserve"> </w:t>
      </w:r>
      <w:r w:rsidR="00033D0F">
        <w:rPr>
          <w:position w:val="1"/>
        </w:rPr>
        <w:t>because:</w:t>
      </w:r>
    </w:p>
    <w:p w14:paraId="55772C66" w14:textId="77777777" w:rsidR="00BD462C" w:rsidRDefault="00033D0F">
      <w:pPr>
        <w:pStyle w:val="BodyText"/>
        <w:spacing w:before="144" w:line="357" w:lineRule="auto"/>
        <w:ind w:left="135" w:right="923"/>
      </w:pPr>
      <w:r>
        <w:t>(i)</w:t>
      </w:r>
      <w:r>
        <w:rPr>
          <w:spacing w:val="-4"/>
        </w:rPr>
        <w:t xml:space="preserve"> </w:t>
      </w:r>
      <w:r>
        <w:t>there is no year-to-year correlation between the tariff reductions and the decline in the</w:t>
      </w:r>
      <w:r>
        <w:rPr>
          <w:spacing w:val="40"/>
        </w:rPr>
        <w:t xml:space="preserve"> </w:t>
      </w:r>
      <w:r>
        <w:t>subject</w:t>
      </w:r>
      <w:r>
        <w:rPr>
          <w:spacing w:val="36"/>
        </w:rPr>
        <w:t xml:space="preserve"> </w:t>
      </w:r>
      <w:r>
        <w:t>import</w:t>
      </w:r>
      <w:r>
        <w:rPr>
          <w:spacing w:val="36"/>
        </w:rPr>
        <w:t xml:space="preserve"> </w:t>
      </w:r>
      <w:r>
        <w:t>price;</w:t>
      </w:r>
      <w:hyperlink w:anchor="_bookmark1063" w:history="1">
        <w:r>
          <w:rPr>
            <w:vertAlign w:val="superscript"/>
          </w:rPr>
          <w:t>912</w:t>
        </w:r>
      </w:hyperlink>
      <w:r>
        <w:rPr>
          <w:spacing w:val="37"/>
        </w:rPr>
        <w:t xml:space="preserve"> </w:t>
      </w:r>
      <w:r>
        <w:t>and</w:t>
      </w:r>
      <w:r>
        <w:rPr>
          <w:spacing w:val="34"/>
        </w:rPr>
        <w:t xml:space="preserve"> </w:t>
      </w:r>
      <w:r>
        <w:t>(ii)</w:t>
      </w:r>
      <w:r>
        <w:rPr>
          <w:spacing w:val="35"/>
        </w:rPr>
        <w:t xml:space="preserve"> </w:t>
      </w:r>
      <w:r>
        <w:t>the</w:t>
      </w:r>
      <w:r>
        <w:rPr>
          <w:spacing w:val="36"/>
        </w:rPr>
        <w:t xml:space="preserve"> </w:t>
      </w:r>
      <w:r>
        <w:t>unadjusted</w:t>
      </w:r>
      <w:r>
        <w:rPr>
          <w:spacing w:val="34"/>
        </w:rPr>
        <w:t xml:space="preserve"> </w:t>
      </w:r>
      <w:r>
        <w:t>CIF</w:t>
      </w:r>
      <w:r>
        <w:rPr>
          <w:spacing w:val="35"/>
        </w:rPr>
        <w:t xml:space="preserve"> </w:t>
      </w:r>
      <w:r>
        <w:t>price</w:t>
      </w:r>
      <w:r>
        <w:rPr>
          <w:spacing w:val="37"/>
        </w:rPr>
        <w:t xml:space="preserve"> </w:t>
      </w:r>
      <w:r>
        <w:t>(USD/kl)</w:t>
      </w:r>
      <w:r>
        <w:rPr>
          <w:spacing w:val="35"/>
        </w:rPr>
        <w:t xml:space="preserve"> </w:t>
      </w:r>
      <w:r>
        <w:t>of</w:t>
      </w:r>
      <w:r>
        <w:rPr>
          <w:spacing w:val="34"/>
        </w:rPr>
        <w:t xml:space="preserve"> </w:t>
      </w:r>
      <w:r>
        <w:t>subject</w:t>
      </w:r>
      <w:r>
        <w:rPr>
          <w:spacing w:val="36"/>
        </w:rPr>
        <w:t xml:space="preserve"> </w:t>
      </w:r>
      <w:r>
        <w:t>imports</w:t>
      </w:r>
      <w:r>
        <w:rPr>
          <w:spacing w:val="38"/>
        </w:rPr>
        <w:t xml:space="preserve"> </w:t>
      </w:r>
      <w:r>
        <w:rPr>
          <w:spacing w:val="-4"/>
        </w:rPr>
        <w:t>also</w:t>
      </w:r>
    </w:p>
    <w:p w14:paraId="57EF2FD4" w14:textId="77777777" w:rsidR="00BD462C" w:rsidRDefault="00BD462C">
      <w:pPr>
        <w:pStyle w:val="BodyText"/>
        <w:rPr>
          <w:sz w:val="20"/>
        </w:rPr>
      </w:pPr>
    </w:p>
    <w:p w14:paraId="0E0AABA4" w14:textId="77777777" w:rsidR="00BD462C" w:rsidRDefault="00BD462C">
      <w:pPr>
        <w:pStyle w:val="BodyText"/>
        <w:rPr>
          <w:sz w:val="20"/>
        </w:rPr>
      </w:pPr>
    </w:p>
    <w:p w14:paraId="4A675AF7" w14:textId="03B78C74" w:rsidR="00BD462C" w:rsidRDefault="00752F01">
      <w:pPr>
        <w:pStyle w:val="BodyText"/>
        <w:spacing w:before="5"/>
      </w:pPr>
      <w:r>
        <w:rPr>
          <w:noProof/>
        </w:rPr>
        <mc:AlternateContent>
          <mc:Choice Requires="wps">
            <w:drawing>
              <wp:anchor distT="0" distB="0" distL="0" distR="0" simplePos="0" relativeHeight="488233472" behindDoc="1" locked="0" layoutInCell="1" allowOverlap="1" wp14:anchorId="3393EFE5" wp14:editId="4D66EF0B">
                <wp:simplePos x="0" y="0"/>
                <wp:positionH relativeFrom="page">
                  <wp:posOffset>812800</wp:posOffset>
                </wp:positionH>
                <wp:positionV relativeFrom="paragraph">
                  <wp:posOffset>189865</wp:posOffset>
                </wp:positionV>
                <wp:extent cx="1828800" cy="8890"/>
                <wp:effectExtent l="0" t="0" r="0" b="0"/>
                <wp:wrapTopAndBottom/>
                <wp:docPr id="211" name="docshape6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ECF690" id="docshape664" o:spid="_x0000_s1026" alt="&quot;&quot;" style="position:absolute;margin-left:64pt;margin-top:14.95pt;width:2in;height:.7pt;z-index:-1508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" fillcolor="black" stroked="f">
                <w10:wrap type="topAndBottom" anchorx="page"/>
              </v:rect>
            </w:pict>
          </mc:Fallback>
        </mc:AlternateContent>
      </w:r>
    </w:p>
    <w:p w14:paraId="7A198BE5" w14:textId="77777777" w:rsidR="00BD462C" w:rsidRDefault="00033D0F">
      <w:pPr>
        <w:spacing w:before="112"/>
        <w:ind w:left="135"/>
        <w:rPr>
          <w:sz w:val="18"/>
        </w:rPr>
      </w:pPr>
      <w:bookmarkStart w:id="1230" w:name="_bookmark1060"/>
      <w:bookmarkEnd w:id="1230"/>
      <w:r>
        <w:rPr>
          <w:position w:val="5"/>
          <w:sz w:val="12"/>
        </w:rPr>
        <w:t>909</w:t>
      </w:r>
      <w:r>
        <w:rPr>
          <w:spacing w:val="12"/>
          <w:position w:val="5"/>
          <w:sz w:val="12"/>
        </w:rPr>
        <w:t xml:space="preserve"> </w:t>
      </w:r>
      <w:r>
        <w:rPr>
          <w:sz w:val="18"/>
        </w:rPr>
        <w:t>China's</w:t>
      </w:r>
      <w:r>
        <w:rPr>
          <w:spacing w:val="-6"/>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 paras.</w:t>
      </w:r>
      <w:r>
        <w:rPr>
          <w:spacing w:val="-5"/>
          <w:sz w:val="18"/>
        </w:rPr>
        <w:t xml:space="preserve"> </w:t>
      </w:r>
      <w:r>
        <w:rPr>
          <w:sz w:val="18"/>
        </w:rPr>
        <w:t>1925-</w:t>
      </w:r>
      <w:r>
        <w:rPr>
          <w:spacing w:val="-2"/>
          <w:sz w:val="18"/>
        </w:rPr>
        <w:t>1926.</w:t>
      </w:r>
    </w:p>
    <w:p w14:paraId="4118CC0C" w14:textId="77777777" w:rsidR="00BD462C" w:rsidRDefault="00033D0F">
      <w:pPr>
        <w:spacing w:before="1"/>
        <w:ind w:left="135"/>
        <w:rPr>
          <w:sz w:val="18"/>
        </w:rPr>
      </w:pPr>
      <w:bookmarkStart w:id="1231" w:name="_bookmark1061"/>
      <w:bookmarkEnd w:id="1231"/>
      <w:r>
        <w:rPr>
          <w:position w:val="5"/>
          <w:sz w:val="12"/>
        </w:rPr>
        <w:t>910</w:t>
      </w:r>
      <w:r>
        <w:rPr>
          <w:spacing w:val="13"/>
          <w:position w:val="5"/>
          <w:sz w:val="12"/>
        </w:rPr>
        <w:t xml:space="preserve"> </w:t>
      </w:r>
      <w:r>
        <w:rPr>
          <w:sz w:val="18"/>
        </w:rPr>
        <w:t>C.f.</w:t>
      </w:r>
      <w:r>
        <w:rPr>
          <w:spacing w:val="-5"/>
          <w:sz w:val="18"/>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1"/>
          <w:sz w:val="18"/>
        </w:rPr>
        <w:t xml:space="preserve"> </w:t>
      </w:r>
      <w:r>
        <w:rPr>
          <w:sz w:val="18"/>
        </w:rPr>
        <w:t>submission,</w:t>
      </w:r>
      <w:r>
        <w:rPr>
          <w:spacing w:val="-4"/>
          <w:sz w:val="18"/>
        </w:rPr>
        <w:t xml:space="preserve"> </w:t>
      </w:r>
      <w:r>
        <w:rPr>
          <w:sz w:val="18"/>
        </w:rPr>
        <w:t>paras.</w:t>
      </w:r>
      <w:r>
        <w:rPr>
          <w:spacing w:val="-4"/>
          <w:sz w:val="18"/>
        </w:rPr>
        <w:t xml:space="preserve"> </w:t>
      </w:r>
      <w:r>
        <w:rPr>
          <w:sz w:val="18"/>
        </w:rPr>
        <w:t>1925-</w:t>
      </w:r>
      <w:r>
        <w:rPr>
          <w:spacing w:val="-2"/>
          <w:sz w:val="18"/>
        </w:rPr>
        <w:t>1926.</w:t>
      </w:r>
    </w:p>
    <w:p w14:paraId="6F58CBF0" w14:textId="77777777" w:rsidR="00BD462C" w:rsidRDefault="00033D0F">
      <w:pPr>
        <w:spacing w:before="1"/>
        <w:ind w:left="135"/>
        <w:rPr>
          <w:sz w:val="18"/>
        </w:rPr>
      </w:pPr>
      <w:bookmarkStart w:id="1232" w:name="_bookmark1062"/>
      <w:bookmarkEnd w:id="1232"/>
      <w:r>
        <w:rPr>
          <w:position w:val="5"/>
          <w:sz w:val="12"/>
        </w:rPr>
        <w:t>911</w:t>
      </w:r>
      <w:r>
        <w:rPr>
          <w:spacing w:val="14"/>
          <w:position w:val="5"/>
          <w:sz w:val="12"/>
        </w:rPr>
        <w:t xml:space="preserve"> </w:t>
      </w:r>
      <w:r>
        <w:rPr>
          <w:sz w:val="18"/>
        </w:rPr>
        <w:t>See</w:t>
      </w:r>
      <w:r>
        <w:rPr>
          <w:spacing w:val="-4"/>
          <w:sz w:val="18"/>
        </w:rPr>
        <w:t xml:space="preserve"> </w:t>
      </w:r>
      <w:r>
        <w:rPr>
          <w:sz w:val="18"/>
        </w:rPr>
        <w:t>Panel</w:t>
      </w:r>
      <w:r>
        <w:rPr>
          <w:spacing w:val="-3"/>
          <w:sz w:val="18"/>
        </w:rPr>
        <w:t xml:space="preserve"> </w:t>
      </w:r>
      <w:r>
        <w:rPr>
          <w:sz w:val="18"/>
        </w:rPr>
        <w:t>Report,</w:t>
      </w:r>
      <w:r>
        <w:rPr>
          <w:spacing w:val="-2"/>
          <w:sz w:val="18"/>
        </w:rPr>
        <w:t xml:space="preserve"> </w:t>
      </w:r>
      <w:r>
        <w:rPr>
          <w:i/>
          <w:sz w:val="18"/>
        </w:rPr>
        <w:t>EU</w:t>
      </w:r>
      <w:r>
        <w:rPr>
          <w:i/>
          <w:spacing w:val="-7"/>
          <w:sz w:val="18"/>
        </w:rPr>
        <w:t xml:space="preserve"> </w:t>
      </w:r>
      <w:r>
        <w:rPr>
          <w:i/>
          <w:sz w:val="18"/>
        </w:rPr>
        <w:t>–</w:t>
      </w:r>
      <w:r>
        <w:rPr>
          <w:i/>
          <w:spacing w:val="-4"/>
          <w:sz w:val="18"/>
        </w:rPr>
        <w:t xml:space="preserve"> </w:t>
      </w:r>
      <w:r>
        <w:rPr>
          <w:i/>
          <w:sz w:val="18"/>
        </w:rPr>
        <w:t>Footwear</w:t>
      </w:r>
      <w:r>
        <w:rPr>
          <w:i/>
          <w:spacing w:val="-5"/>
          <w:sz w:val="18"/>
        </w:rPr>
        <w:t xml:space="preserve"> </w:t>
      </w:r>
      <w:r>
        <w:rPr>
          <w:i/>
          <w:sz w:val="18"/>
        </w:rPr>
        <w:t>(China)</w:t>
      </w:r>
      <w:r>
        <w:rPr>
          <w:sz w:val="18"/>
        </w:rPr>
        <w:t>,</w:t>
      </w:r>
      <w:r>
        <w:rPr>
          <w:spacing w:val="-2"/>
          <w:sz w:val="18"/>
        </w:rPr>
        <w:t xml:space="preserve"> </w:t>
      </w:r>
      <w:r>
        <w:rPr>
          <w:sz w:val="18"/>
        </w:rPr>
        <w:t>paras.</w:t>
      </w:r>
      <w:r>
        <w:rPr>
          <w:spacing w:val="1"/>
          <w:sz w:val="18"/>
        </w:rPr>
        <w:t xml:space="preserve"> </w:t>
      </w:r>
      <w:r>
        <w:rPr>
          <w:sz w:val="18"/>
        </w:rPr>
        <w:t>7.524-</w:t>
      </w:r>
      <w:r>
        <w:rPr>
          <w:spacing w:val="-2"/>
          <w:sz w:val="18"/>
        </w:rPr>
        <w:t>7.527.</w:t>
      </w:r>
    </w:p>
    <w:p w14:paraId="3C949F63" w14:textId="77777777" w:rsidR="00BD462C" w:rsidRDefault="00033D0F">
      <w:pPr>
        <w:spacing w:before="1"/>
        <w:ind w:left="135"/>
        <w:rPr>
          <w:sz w:val="18"/>
        </w:rPr>
      </w:pPr>
      <w:bookmarkStart w:id="1233" w:name="_bookmark1063"/>
      <w:bookmarkEnd w:id="1233"/>
      <w:r>
        <w:rPr>
          <w:position w:val="5"/>
          <w:sz w:val="12"/>
        </w:rPr>
        <w:t>912</w:t>
      </w:r>
      <w:r>
        <w:rPr>
          <w:spacing w:val="12"/>
          <w:position w:val="5"/>
          <w:sz w:val="12"/>
        </w:rPr>
        <w:t xml:space="preserve"> </w:t>
      </w:r>
      <w:r>
        <w:rPr>
          <w:sz w:val="18"/>
        </w:rPr>
        <w:t>China's</w:t>
      </w:r>
      <w:r>
        <w:rPr>
          <w:spacing w:val="-6"/>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 paras.</w:t>
      </w:r>
      <w:r>
        <w:rPr>
          <w:spacing w:val="-5"/>
          <w:sz w:val="18"/>
        </w:rPr>
        <w:t xml:space="preserve"> </w:t>
      </w:r>
      <w:r>
        <w:rPr>
          <w:sz w:val="18"/>
        </w:rPr>
        <w:t>1927-</w:t>
      </w:r>
      <w:r>
        <w:rPr>
          <w:spacing w:val="-2"/>
          <w:sz w:val="18"/>
        </w:rPr>
        <w:t>1929.</w:t>
      </w:r>
    </w:p>
    <w:p w14:paraId="2CB373B4" w14:textId="77777777" w:rsidR="00BD462C" w:rsidRDefault="00BD462C">
      <w:pPr>
        <w:rPr>
          <w:sz w:val="18"/>
        </w:rPr>
        <w:sectPr w:rsidR="00BD462C">
          <w:pgSz w:w="11910" w:h="16840"/>
          <w:pgMar w:top="860" w:right="500" w:bottom="780" w:left="1280" w:header="566" w:footer="590" w:gutter="0"/>
          <w:cols w:space="720"/>
        </w:sectPr>
      </w:pPr>
    </w:p>
    <w:p w14:paraId="7B6A98F4"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437ABD4E"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56BD2C21"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3252E32D" w14:textId="77777777" w:rsidR="00BD462C" w:rsidRDefault="00033D0F">
      <w:pPr>
        <w:pStyle w:val="BodyText"/>
        <w:spacing w:before="102" w:line="360" w:lineRule="auto"/>
        <w:ind w:left="136" w:right="912"/>
        <w:jc w:val="both"/>
      </w:pPr>
      <w:r>
        <w:t>exhibited a decline.</w:t>
      </w:r>
      <w:hyperlink w:anchor="_bookmark1065" w:history="1">
        <w:r>
          <w:rPr>
            <w:vertAlign w:val="superscript"/>
          </w:rPr>
          <w:t>913</w:t>
        </w:r>
      </w:hyperlink>
      <w:r>
        <w:t xml:space="preserve"> These submissions are not an answer to Australia's argument. This is because they do</w:t>
      </w:r>
      <w:r>
        <w:rPr>
          <w:spacing w:val="-1"/>
        </w:rPr>
        <w:t xml:space="preserve"> </w:t>
      </w:r>
      <w:r>
        <w:t>not address the simple fact that implicit</w:t>
      </w:r>
      <w:r>
        <w:rPr>
          <w:spacing w:val="-3"/>
        </w:rPr>
        <w:t xml:space="preserve"> </w:t>
      </w:r>
      <w:r>
        <w:t>in</w:t>
      </w:r>
      <w:r>
        <w:rPr>
          <w:spacing w:val="-1"/>
        </w:rPr>
        <w:t xml:space="preserve"> </w:t>
      </w:r>
      <w:r>
        <w:t>MOFCOM's price calculation</w:t>
      </w:r>
      <w:r>
        <w:rPr>
          <w:spacing w:val="-1"/>
        </w:rPr>
        <w:t xml:space="preserve"> </w:t>
      </w:r>
      <w:r>
        <w:t>was a</w:t>
      </w:r>
      <w:r>
        <w:rPr>
          <w:spacing w:val="-13"/>
        </w:rPr>
        <w:t xml:space="preserve"> </w:t>
      </w:r>
      <w:r>
        <w:t>14%</w:t>
      </w:r>
      <w:r>
        <w:rPr>
          <w:spacing w:val="-7"/>
        </w:rPr>
        <w:t xml:space="preserve"> </w:t>
      </w:r>
      <w:r>
        <w:t>reduction</w:t>
      </w:r>
      <w:r>
        <w:rPr>
          <w:spacing w:val="-14"/>
        </w:rPr>
        <w:t xml:space="preserve"> </w:t>
      </w:r>
      <w:r>
        <w:t>in</w:t>
      </w:r>
      <w:r>
        <w:rPr>
          <w:spacing w:val="-8"/>
        </w:rPr>
        <w:t xml:space="preserve"> </w:t>
      </w:r>
      <w:r>
        <w:t>the</w:t>
      </w:r>
      <w:r>
        <w:rPr>
          <w:spacing w:val="-7"/>
        </w:rPr>
        <w:t xml:space="preserve"> </w:t>
      </w:r>
      <w:r>
        <w:t>price</w:t>
      </w:r>
      <w:r>
        <w:rPr>
          <w:spacing w:val="-7"/>
        </w:rPr>
        <w:t xml:space="preserve"> </w:t>
      </w:r>
      <w:r>
        <w:t>of</w:t>
      </w:r>
      <w:r>
        <w:rPr>
          <w:spacing w:val="-9"/>
        </w:rPr>
        <w:t xml:space="preserve"> </w:t>
      </w:r>
      <w:r>
        <w:t>subject</w:t>
      </w:r>
      <w:r>
        <w:rPr>
          <w:spacing w:val="-11"/>
        </w:rPr>
        <w:t xml:space="preserve"> </w:t>
      </w:r>
      <w:r>
        <w:t>imports</w:t>
      </w:r>
      <w:r>
        <w:rPr>
          <w:spacing w:val="-10"/>
        </w:rPr>
        <w:t xml:space="preserve"> </w:t>
      </w:r>
      <w:r>
        <w:t>over</w:t>
      </w:r>
      <w:r>
        <w:rPr>
          <w:spacing w:val="-14"/>
        </w:rPr>
        <w:t xml:space="preserve"> </w:t>
      </w:r>
      <w:r>
        <w:t>the</w:t>
      </w:r>
      <w:r>
        <w:rPr>
          <w:spacing w:val="-7"/>
        </w:rPr>
        <w:t xml:space="preserve"> </w:t>
      </w:r>
      <w:r>
        <w:t>Injury</w:t>
      </w:r>
      <w:r>
        <w:rPr>
          <w:spacing w:val="-6"/>
        </w:rPr>
        <w:t xml:space="preserve"> </w:t>
      </w:r>
      <w:r>
        <w:t>POI</w:t>
      </w:r>
      <w:r>
        <w:rPr>
          <w:spacing w:val="-11"/>
        </w:rPr>
        <w:t xml:space="preserve"> </w:t>
      </w:r>
      <w:r>
        <w:t>that</w:t>
      </w:r>
      <w:r>
        <w:rPr>
          <w:spacing w:val="-11"/>
        </w:rPr>
        <w:t xml:space="preserve"> </w:t>
      </w:r>
      <w:r>
        <w:t>was</w:t>
      </w:r>
      <w:r>
        <w:rPr>
          <w:spacing w:val="-10"/>
        </w:rPr>
        <w:t xml:space="preserve"> </w:t>
      </w:r>
      <w:r>
        <w:t>attributable</w:t>
      </w:r>
      <w:r>
        <w:rPr>
          <w:spacing w:val="-12"/>
        </w:rPr>
        <w:t xml:space="preserve"> </w:t>
      </w:r>
      <w:r>
        <w:t>to</w:t>
      </w:r>
      <w:r>
        <w:rPr>
          <w:spacing w:val="-9"/>
        </w:rPr>
        <w:t xml:space="preserve"> </w:t>
      </w:r>
      <w:r>
        <w:t>the progressive</w:t>
      </w:r>
      <w:r>
        <w:rPr>
          <w:spacing w:val="-2"/>
        </w:rPr>
        <w:t xml:space="preserve"> </w:t>
      </w:r>
      <w:r>
        <w:t>elimination</w:t>
      </w:r>
      <w:r>
        <w:rPr>
          <w:spacing w:val="-4"/>
        </w:rPr>
        <w:t xml:space="preserve"> </w:t>
      </w:r>
      <w:r>
        <w:t>of</w:t>
      </w:r>
      <w:r>
        <w:rPr>
          <w:spacing w:val="-4"/>
        </w:rPr>
        <w:t xml:space="preserve"> </w:t>
      </w:r>
      <w:r>
        <w:t>the</w:t>
      </w:r>
      <w:r>
        <w:rPr>
          <w:spacing w:val="-3"/>
        </w:rPr>
        <w:t xml:space="preserve"> </w:t>
      </w:r>
      <w:r>
        <w:t>import</w:t>
      </w:r>
      <w:r>
        <w:rPr>
          <w:spacing w:val="-2"/>
        </w:rPr>
        <w:t xml:space="preserve"> </w:t>
      </w:r>
      <w:r>
        <w:t>tariff.</w:t>
      </w:r>
      <w:hyperlink w:anchor="_bookmark1066" w:history="1">
        <w:r>
          <w:rPr>
            <w:vertAlign w:val="superscript"/>
          </w:rPr>
          <w:t>914</w:t>
        </w:r>
      </w:hyperlink>
      <w:r>
        <w:rPr>
          <w:spacing w:val="-2"/>
        </w:rPr>
        <w:t xml:space="preserve"> </w:t>
      </w:r>
      <w:r>
        <w:t>This</w:t>
      </w:r>
      <w:r>
        <w:rPr>
          <w:spacing w:val="-1"/>
        </w:rPr>
        <w:t xml:space="preserve"> </w:t>
      </w:r>
      <w:r>
        <w:t>is</w:t>
      </w:r>
      <w:r>
        <w:rPr>
          <w:spacing w:val="-6"/>
        </w:rPr>
        <w:t xml:space="preserve"> </w:t>
      </w:r>
      <w:r>
        <w:t>demonstrated</w:t>
      </w:r>
      <w:r>
        <w:rPr>
          <w:spacing w:val="-4"/>
        </w:rPr>
        <w:t xml:space="preserve"> </w:t>
      </w:r>
      <w:r>
        <w:t>when</w:t>
      </w:r>
      <w:r>
        <w:rPr>
          <w:spacing w:val="-4"/>
        </w:rPr>
        <w:t xml:space="preserve"> </w:t>
      </w:r>
      <w:r>
        <w:t>the</w:t>
      </w:r>
      <w:r>
        <w:rPr>
          <w:spacing w:val="-3"/>
        </w:rPr>
        <w:t xml:space="preserve"> </w:t>
      </w:r>
      <w:r>
        <w:t>price</w:t>
      </w:r>
      <w:r>
        <w:rPr>
          <w:spacing w:val="-2"/>
        </w:rPr>
        <w:t xml:space="preserve"> </w:t>
      </w:r>
      <w:r>
        <w:t>decline</w:t>
      </w:r>
      <w:r>
        <w:rPr>
          <w:spacing w:val="-3"/>
        </w:rPr>
        <w:t xml:space="preserve"> </w:t>
      </w:r>
      <w:r>
        <w:t>in the</w:t>
      </w:r>
      <w:r>
        <w:rPr>
          <w:spacing w:val="-7"/>
        </w:rPr>
        <w:t xml:space="preserve"> </w:t>
      </w:r>
      <w:r>
        <w:t>unadjusted</w:t>
      </w:r>
      <w:r>
        <w:rPr>
          <w:spacing w:val="-9"/>
        </w:rPr>
        <w:t xml:space="preserve"> </w:t>
      </w:r>
      <w:r>
        <w:t>CIF</w:t>
      </w:r>
      <w:r>
        <w:rPr>
          <w:spacing w:val="-8"/>
        </w:rPr>
        <w:t xml:space="preserve"> </w:t>
      </w:r>
      <w:r>
        <w:t>price</w:t>
      </w:r>
      <w:r>
        <w:rPr>
          <w:spacing w:val="-7"/>
        </w:rPr>
        <w:t xml:space="preserve"> </w:t>
      </w:r>
      <w:r>
        <w:t>(RMB/</w:t>
      </w:r>
      <w:proofErr w:type="spellStart"/>
      <w:r>
        <w:t>kilolitre</w:t>
      </w:r>
      <w:proofErr w:type="spellEnd"/>
      <w:r>
        <w:t>)</w:t>
      </w:r>
      <w:r>
        <w:rPr>
          <w:spacing w:val="-9"/>
        </w:rPr>
        <w:t xml:space="preserve"> </w:t>
      </w:r>
      <w:r>
        <w:t>is</w:t>
      </w:r>
      <w:r>
        <w:rPr>
          <w:spacing w:val="-6"/>
        </w:rPr>
        <w:t xml:space="preserve"> </w:t>
      </w:r>
      <w:r>
        <w:t>compared</w:t>
      </w:r>
      <w:r>
        <w:rPr>
          <w:spacing w:val="-9"/>
        </w:rPr>
        <w:t xml:space="preserve"> </w:t>
      </w:r>
      <w:r>
        <w:t>to</w:t>
      </w:r>
      <w:r>
        <w:rPr>
          <w:spacing w:val="-10"/>
        </w:rPr>
        <w:t xml:space="preserve"> </w:t>
      </w:r>
      <w:r>
        <w:t>the</w:t>
      </w:r>
      <w:r>
        <w:rPr>
          <w:spacing w:val="-7"/>
        </w:rPr>
        <w:t xml:space="preserve"> </w:t>
      </w:r>
      <w:r>
        <w:t>price</w:t>
      </w:r>
      <w:r>
        <w:rPr>
          <w:spacing w:val="-7"/>
        </w:rPr>
        <w:t xml:space="preserve"> </w:t>
      </w:r>
      <w:r>
        <w:t>decline</w:t>
      </w:r>
      <w:r>
        <w:rPr>
          <w:spacing w:val="-7"/>
        </w:rPr>
        <w:t xml:space="preserve"> </w:t>
      </w:r>
      <w:r>
        <w:t>exhibited</w:t>
      </w:r>
      <w:r>
        <w:rPr>
          <w:spacing w:val="-9"/>
        </w:rPr>
        <w:t xml:space="preserve"> </w:t>
      </w:r>
      <w:r>
        <w:t>in</w:t>
      </w:r>
      <w:r>
        <w:rPr>
          <w:spacing w:val="-9"/>
        </w:rPr>
        <w:t xml:space="preserve"> </w:t>
      </w:r>
      <w:r>
        <w:t>CIF</w:t>
      </w:r>
      <w:r>
        <w:rPr>
          <w:spacing w:val="-8"/>
        </w:rPr>
        <w:t xml:space="preserve"> </w:t>
      </w:r>
      <w:r>
        <w:t>price (RMB/</w:t>
      </w:r>
      <w:proofErr w:type="spellStart"/>
      <w:r>
        <w:t>kilolitre</w:t>
      </w:r>
      <w:proofErr w:type="spellEnd"/>
      <w:r>
        <w:t>) with the tariff adjustment applied.</w:t>
      </w:r>
      <w:hyperlink w:anchor="_bookmark1067" w:history="1">
        <w:r>
          <w:rPr>
            <w:vertAlign w:val="superscript"/>
          </w:rPr>
          <w:t>915</w:t>
        </w:r>
      </w:hyperlink>
      <w:r>
        <w:t xml:space="preserve"> That is, the un-adjusted CIF price declined</w:t>
      </w:r>
      <w:r>
        <w:rPr>
          <w:spacing w:val="-18"/>
        </w:rPr>
        <w:t xml:space="preserve"> </w:t>
      </w:r>
      <w:r>
        <w:t>by</w:t>
      </w:r>
      <w:r>
        <w:rPr>
          <w:spacing w:val="-15"/>
        </w:rPr>
        <w:t xml:space="preserve"> </w:t>
      </w:r>
      <w:r>
        <w:t>just</w:t>
      </w:r>
      <w:r>
        <w:rPr>
          <w:spacing w:val="-15"/>
        </w:rPr>
        <w:t xml:space="preserve"> </w:t>
      </w:r>
      <w:r>
        <w:t>4.04%</w:t>
      </w:r>
      <w:r>
        <w:rPr>
          <w:spacing w:val="-14"/>
        </w:rPr>
        <w:t xml:space="preserve"> </w:t>
      </w:r>
      <w:r>
        <w:t>over</w:t>
      </w:r>
      <w:r>
        <w:rPr>
          <w:spacing w:val="-14"/>
        </w:rPr>
        <w:t xml:space="preserve"> </w:t>
      </w:r>
      <w:r>
        <w:t>the</w:t>
      </w:r>
      <w:r>
        <w:rPr>
          <w:spacing w:val="-16"/>
        </w:rPr>
        <w:t xml:space="preserve"> </w:t>
      </w:r>
      <w:r>
        <w:t>Injury</w:t>
      </w:r>
      <w:r>
        <w:rPr>
          <w:spacing w:val="-10"/>
        </w:rPr>
        <w:t xml:space="preserve"> </w:t>
      </w:r>
      <w:r>
        <w:t>POI,</w:t>
      </w:r>
      <w:r>
        <w:rPr>
          <w:spacing w:val="-14"/>
        </w:rPr>
        <w:t xml:space="preserve"> </w:t>
      </w:r>
      <w:r>
        <w:t>whereas</w:t>
      </w:r>
      <w:r>
        <w:rPr>
          <w:spacing w:val="-14"/>
        </w:rPr>
        <w:t xml:space="preserve"> </w:t>
      </w:r>
      <w:r>
        <w:t>the</w:t>
      </w:r>
      <w:r>
        <w:rPr>
          <w:spacing w:val="-16"/>
        </w:rPr>
        <w:t xml:space="preserve"> </w:t>
      </w:r>
      <w:r>
        <w:t>CIF</w:t>
      </w:r>
      <w:r>
        <w:rPr>
          <w:spacing w:val="-16"/>
        </w:rPr>
        <w:t xml:space="preserve"> </w:t>
      </w:r>
      <w:r>
        <w:t>price</w:t>
      </w:r>
      <w:r>
        <w:rPr>
          <w:spacing w:val="-16"/>
        </w:rPr>
        <w:t xml:space="preserve"> </w:t>
      </w:r>
      <w:r>
        <w:t>plus</w:t>
      </w:r>
      <w:r>
        <w:rPr>
          <w:spacing w:val="-14"/>
        </w:rPr>
        <w:t xml:space="preserve"> </w:t>
      </w:r>
      <w:r>
        <w:t>tariff</w:t>
      </w:r>
      <w:r>
        <w:rPr>
          <w:spacing w:val="-14"/>
        </w:rPr>
        <w:t xml:space="preserve"> </w:t>
      </w:r>
      <w:r>
        <w:t>declined</w:t>
      </w:r>
      <w:r>
        <w:rPr>
          <w:spacing w:val="-18"/>
        </w:rPr>
        <w:t xml:space="preserve"> </w:t>
      </w:r>
      <w:r>
        <w:t>by</w:t>
      </w:r>
      <w:r>
        <w:rPr>
          <w:spacing w:val="-15"/>
        </w:rPr>
        <w:t xml:space="preserve"> </w:t>
      </w:r>
      <w:r>
        <w:t>15.82%.</w:t>
      </w:r>
    </w:p>
    <w:p w14:paraId="30E2127C" w14:textId="77777777" w:rsidR="00BD462C" w:rsidRDefault="00BD462C">
      <w:pPr>
        <w:pStyle w:val="BodyText"/>
        <w:spacing w:before="9"/>
        <w:rPr>
          <w:sz w:val="19"/>
        </w:rPr>
      </w:pPr>
    </w:p>
    <w:p w14:paraId="3BADA11B" w14:textId="1A033846" w:rsidR="00D70C7D" w:rsidRDefault="00033D0F" w:rsidP="00D70C7D">
      <w:pPr>
        <w:pStyle w:val="Heading3"/>
        <w:tabs>
          <w:tab w:val="left" w:pos="2055"/>
        </w:tabs>
        <w:spacing w:before="0"/>
        <w:ind w:left="923" w:firstLine="0"/>
        <w:jc w:val="left"/>
        <w:rPr>
          <w:spacing w:val="-5"/>
        </w:rPr>
      </w:pPr>
      <w:bookmarkStart w:id="1234" w:name="Table_4_Comparison_of_average_CIF_and_CI"/>
      <w:bookmarkStart w:id="1235" w:name="_bookmark1064"/>
      <w:bookmarkEnd w:id="1234"/>
      <w:bookmarkEnd w:id="1235"/>
      <w:r>
        <w:t>Table</w:t>
      </w:r>
      <w:r>
        <w:rPr>
          <w:spacing w:val="-3"/>
        </w:rPr>
        <w:t xml:space="preserve"> </w:t>
      </w:r>
      <w:r>
        <w:rPr>
          <w:spacing w:val="-10"/>
        </w:rPr>
        <w:t>4</w:t>
      </w:r>
      <w:r>
        <w:tab/>
        <w:t>Comparison</w:t>
      </w:r>
      <w:r>
        <w:rPr>
          <w:spacing w:val="-4"/>
        </w:rPr>
        <w:t xml:space="preserve"> </w:t>
      </w:r>
      <w:r>
        <w:t>of</w:t>
      </w:r>
      <w:r>
        <w:rPr>
          <w:spacing w:val="-2"/>
        </w:rPr>
        <w:t xml:space="preserve"> </w:t>
      </w:r>
      <w:r>
        <w:t>average</w:t>
      </w:r>
      <w:r>
        <w:rPr>
          <w:spacing w:val="-3"/>
        </w:rPr>
        <w:t xml:space="preserve"> </w:t>
      </w:r>
      <w:r>
        <w:t>CIF</w:t>
      </w:r>
      <w:r>
        <w:rPr>
          <w:spacing w:val="-3"/>
        </w:rPr>
        <w:t xml:space="preserve"> </w:t>
      </w:r>
      <w:r>
        <w:t>and</w:t>
      </w:r>
      <w:r>
        <w:rPr>
          <w:spacing w:val="-1"/>
        </w:rPr>
        <w:t xml:space="preserve"> </w:t>
      </w:r>
      <w:r>
        <w:t>CIF</w:t>
      </w:r>
      <w:r>
        <w:rPr>
          <w:spacing w:val="-3"/>
        </w:rPr>
        <w:t xml:space="preserve"> </w:t>
      </w:r>
      <w:r>
        <w:t>+</w:t>
      </w:r>
      <w:r>
        <w:rPr>
          <w:spacing w:val="-1"/>
        </w:rPr>
        <w:t xml:space="preserve"> </w:t>
      </w:r>
      <w:r>
        <w:t>tariff</w:t>
      </w:r>
      <w:r>
        <w:rPr>
          <w:spacing w:val="-2"/>
        </w:rPr>
        <w:t xml:space="preserve"> </w:t>
      </w:r>
      <w:r>
        <w:t>prices</w:t>
      </w:r>
      <w:r>
        <w:rPr>
          <w:spacing w:val="-2"/>
        </w:rPr>
        <w:t xml:space="preserve"> </w:t>
      </w:r>
      <w:r>
        <w:t>over</w:t>
      </w:r>
      <w:r>
        <w:rPr>
          <w:spacing w:val="-2"/>
        </w:rPr>
        <w:t xml:space="preserve"> </w:t>
      </w:r>
      <w:r>
        <w:t xml:space="preserve">Injury </w:t>
      </w:r>
      <w:r>
        <w:rPr>
          <w:spacing w:val="-5"/>
        </w:rPr>
        <w:t>POI</w:t>
      </w:r>
    </w:p>
    <w:tbl>
      <w:tblPr>
        <w:tblStyle w:val="TableGrid"/>
        <w:tblW w:w="10346" w:type="dxa"/>
        <w:tblLook w:val="04A0" w:firstRow="1" w:lastRow="0" w:firstColumn="1" w:lastColumn="0" w:noHBand="0" w:noVBand="1"/>
      </w:tblPr>
      <w:tblGrid>
        <w:gridCol w:w="1478"/>
        <w:gridCol w:w="1478"/>
        <w:gridCol w:w="1478"/>
        <w:gridCol w:w="1478"/>
        <w:gridCol w:w="1478"/>
        <w:gridCol w:w="1478"/>
        <w:gridCol w:w="1478"/>
      </w:tblGrid>
      <w:tr w:rsidR="00D70C7D" w14:paraId="24D8F93D" w14:textId="77777777" w:rsidTr="00D70C7D">
        <w:tc>
          <w:tcPr>
            <w:tcW w:w="1478" w:type="dxa"/>
          </w:tcPr>
          <w:p w14:paraId="07F54F64" w14:textId="77777777" w:rsidR="00D70C7D" w:rsidRDefault="00D70C7D" w:rsidP="00D70C7D">
            <w:pPr>
              <w:pStyle w:val="Heading3"/>
              <w:tabs>
                <w:tab w:val="left" w:pos="2055"/>
              </w:tabs>
              <w:spacing w:before="0"/>
              <w:ind w:left="0" w:firstLine="0"/>
              <w:jc w:val="left"/>
              <w:rPr>
                <w:spacing w:val="-5"/>
              </w:rPr>
            </w:pPr>
          </w:p>
        </w:tc>
        <w:tc>
          <w:tcPr>
            <w:tcW w:w="1478" w:type="dxa"/>
          </w:tcPr>
          <w:p w14:paraId="6941D0BD" w14:textId="77777777" w:rsidR="00D70C7D" w:rsidRDefault="00D70C7D" w:rsidP="00D70C7D">
            <w:pPr>
              <w:pStyle w:val="TableParagraph"/>
              <w:spacing w:before="1"/>
              <w:ind w:left="0"/>
              <w:rPr>
                <w:b/>
              </w:rPr>
            </w:pPr>
          </w:p>
          <w:p w14:paraId="68F369FF" w14:textId="1CF1D155" w:rsidR="00D70C7D" w:rsidRDefault="00D70C7D" w:rsidP="00D70C7D">
            <w:pPr>
              <w:pStyle w:val="Heading3"/>
              <w:tabs>
                <w:tab w:val="left" w:pos="2055"/>
              </w:tabs>
              <w:spacing w:before="0"/>
              <w:ind w:left="0" w:firstLine="0"/>
              <w:jc w:val="left"/>
              <w:rPr>
                <w:spacing w:val="-5"/>
              </w:rPr>
            </w:pPr>
            <w:r>
              <w:rPr>
                <w:spacing w:val="-4"/>
              </w:rPr>
              <w:t>2015</w:t>
            </w:r>
          </w:p>
        </w:tc>
        <w:tc>
          <w:tcPr>
            <w:tcW w:w="1478" w:type="dxa"/>
          </w:tcPr>
          <w:p w14:paraId="03F86839" w14:textId="77777777" w:rsidR="00D70C7D" w:rsidRDefault="00D70C7D" w:rsidP="00D70C7D">
            <w:pPr>
              <w:pStyle w:val="TableParagraph"/>
              <w:spacing w:before="1"/>
              <w:ind w:left="0"/>
              <w:rPr>
                <w:b/>
              </w:rPr>
            </w:pPr>
          </w:p>
          <w:p w14:paraId="5D363E17" w14:textId="6BC30AFA" w:rsidR="00D70C7D" w:rsidRDefault="00D70C7D" w:rsidP="00D70C7D">
            <w:pPr>
              <w:pStyle w:val="Heading3"/>
              <w:tabs>
                <w:tab w:val="left" w:pos="2055"/>
              </w:tabs>
              <w:spacing w:before="0"/>
              <w:ind w:left="0" w:firstLine="0"/>
              <w:jc w:val="left"/>
              <w:rPr>
                <w:spacing w:val="-5"/>
              </w:rPr>
            </w:pPr>
            <w:r>
              <w:rPr>
                <w:spacing w:val="-4"/>
              </w:rPr>
              <w:t>2016</w:t>
            </w:r>
          </w:p>
        </w:tc>
        <w:tc>
          <w:tcPr>
            <w:tcW w:w="1478" w:type="dxa"/>
          </w:tcPr>
          <w:p w14:paraId="34890278" w14:textId="77777777" w:rsidR="00D70C7D" w:rsidRDefault="00D70C7D" w:rsidP="00D70C7D">
            <w:pPr>
              <w:pStyle w:val="TableParagraph"/>
              <w:spacing w:before="1"/>
              <w:ind w:left="0"/>
              <w:rPr>
                <w:b/>
              </w:rPr>
            </w:pPr>
          </w:p>
          <w:p w14:paraId="04F8EC20" w14:textId="073093EF" w:rsidR="00D70C7D" w:rsidRDefault="00D70C7D" w:rsidP="00D70C7D">
            <w:pPr>
              <w:pStyle w:val="Heading3"/>
              <w:tabs>
                <w:tab w:val="left" w:pos="2055"/>
              </w:tabs>
              <w:spacing w:before="0"/>
              <w:ind w:left="0" w:firstLine="0"/>
              <w:jc w:val="left"/>
              <w:rPr>
                <w:spacing w:val="-5"/>
              </w:rPr>
            </w:pPr>
            <w:r>
              <w:rPr>
                <w:spacing w:val="-4"/>
              </w:rPr>
              <w:t>2017</w:t>
            </w:r>
          </w:p>
        </w:tc>
        <w:tc>
          <w:tcPr>
            <w:tcW w:w="1478" w:type="dxa"/>
          </w:tcPr>
          <w:p w14:paraId="6DA7DF3C" w14:textId="77777777" w:rsidR="00D70C7D" w:rsidRDefault="00D70C7D" w:rsidP="00D70C7D">
            <w:pPr>
              <w:pStyle w:val="TableParagraph"/>
              <w:spacing w:before="1"/>
              <w:ind w:left="0"/>
              <w:rPr>
                <w:b/>
              </w:rPr>
            </w:pPr>
          </w:p>
          <w:p w14:paraId="5C872D16" w14:textId="5C2BEF77" w:rsidR="00D70C7D" w:rsidRDefault="00D70C7D" w:rsidP="00D70C7D">
            <w:pPr>
              <w:pStyle w:val="Heading3"/>
              <w:tabs>
                <w:tab w:val="left" w:pos="2055"/>
              </w:tabs>
              <w:spacing w:before="0"/>
              <w:ind w:left="0" w:firstLine="0"/>
              <w:jc w:val="left"/>
              <w:rPr>
                <w:spacing w:val="-5"/>
              </w:rPr>
            </w:pPr>
            <w:r>
              <w:rPr>
                <w:spacing w:val="-4"/>
              </w:rPr>
              <w:t>2018</w:t>
            </w:r>
          </w:p>
        </w:tc>
        <w:tc>
          <w:tcPr>
            <w:tcW w:w="1478" w:type="dxa"/>
          </w:tcPr>
          <w:p w14:paraId="1C8E8D03" w14:textId="77777777" w:rsidR="00D70C7D" w:rsidRDefault="00D70C7D" w:rsidP="00D70C7D">
            <w:pPr>
              <w:pStyle w:val="TableParagraph"/>
              <w:spacing w:before="1"/>
              <w:ind w:left="0"/>
              <w:rPr>
                <w:b/>
              </w:rPr>
            </w:pPr>
          </w:p>
          <w:p w14:paraId="48D99E4D" w14:textId="23C46B55" w:rsidR="00D70C7D" w:rsidRDefault="00D70C7D" w:rsidP="00D70C7D">
            <w:pPr>
              <w:pStyle w:val="Heading3"/>
              <w:tabs>
                <w:tab w:val="left" w:pos="2055"/>
              </w:tabs>
              <w:spacing w:before="0"/>
              <w:ind w:left="0" w:firstLine="0"/>
              <w:jc w:val="left"/>
              <w:rPr>
                <w:spacing w:val="-5"/>
              </w:rPr>
            </w:pPr>
            <w:r>
              <w:rPr>
                <w:spacing w:val="-4"/>
              </w:rPr>
              <w:t>2019</w:t>
            </w:r>
          </w:p>
        </w:tc>
        <w:tc>
          <w:tcPr>
            <w:tcW w:w="1478" w:type="dxa"/>
          </w:tcPr>
          <w:p w14:paraId="5F9ACCBB" w14:textId="41565B0B" w:rsidR="00D70C7D" w:rsidRDefault="00D70C7D" w:rsidP="00D70C7D">
            <w:pPr>
              <w:pStyle w:val="Heading3"/>
              <w:tabs>
                <w:tab w:val="left" w:pos="2055"/>
              </w:tabs>
              <w:spacing w:before="0"/>
              <w:ind w:left="0" w:firstLine="0"/>
              <w:jc w:val="left"/>
              <w:rPr>
                <w:spacing w:val="-5"/>
              </w:rPr>
            </w:pPr>
            <w:r>
              <w:rPr>
                <w:i/>
              </w:rPr>
              <w:t>End</w:t>
            </w:r>
            <w:r>
              <w:rPr>
                <w:i/>
                <w:spacing w:val="-13"/>
              </w:rPr>
              <w:t xml:space="preserve"> </w:t>
            </w:r>
            <w:r>
              <w:rPr>
                <w:i/>
              </w:rPr>
              <w:t>to</w:t>
            </w:r>
            <w:r>
              <w:rPr>
                <w:i/>
                <w:spacing w:val="-12"/>
              </w:rPr>
              <w:t xml:space="preserve"> </w:t>
            </w:r>
            <w:r>
              <w:rPr>
                <w:i/>
              </w:rPr>
              <w:t xml:space="preserve">end </w:t>
            </w:r>
            <w:r>
              <w:rPr>
                <w:i/>
                <w:spacing w:val="-2"/>
              </w:rPr>
              <w:t>change</w:t>
            </w:r>
          </w:p>
        </w:tc>
      </w:tr>
      <w:tr w:rsidR="00D70C7D" w14:paraId="06BB7F7A" w14:textId="77777777" w:rsidTr="00D70C7D">
        <w:tc>
          <w:tcPr>
            <w:tcW w:w="1478" w:type="dxa"/>
          </w:tcPr>
          <w:p w14:paraId="28EF938F" w14:textId="77777777" w:rsidR="00D70C7D" w:rsidRDefault="00D70C7D" w:rsidP="00D70C7D">
            <w:pPr>
              <w:pStyle w:val="TableParagraph"/>
              <w:spacing w:line="267" w:lineRule="exact"/>
              <w:rPr>
                <w:b/>
              </w:rPr>
            </w:pPr>
            <w:r>
              <w:rPr>
                <w:b/>
              </w:rPr>
              <w:t>CIF</w:t>
            </w:r>
            <w:r>
              <w:rPr>
                <w:b/>
                <w:spacing w:val="-9"/>
              </w:rPr>
              <w:t xml:space="preserve"> </w:t>
            </w:r>
            <w:r>
              <w:rPr>
                <w:b/>
                <w:spacing w:val="-2"/>
              </w:rPr>
              <w:t>Price</w:t>
            </w:r>
          </w:p>
          <w:p w14:paraId="1C45B2ED" w14:textId="09FC9145" w:rsidR="00D70C7D" w:rsidRDefault="00D70C7D" w:rsidP="00D70C7D">
            <w:pPr>
              <w:pStyle w:val="Heading3"/>
              <w:tabs>
                <w:tab w:val="left" w:pos="2055"/>
              </w:tabs>
              <w:spacing w:before="0"/>
              <w:ind w:left="0" w:firstLine="0"/>
              <w:jc w:val="left"/>
              <w:rPr>
                <w:spacing w:val="-5"/>
              </w:rPr>
            </w:pPr>
            <w:r>
              <w:rPr>
                <w:spacing w:val="-2"/>
              </w:rPr>
              <w:t>(RMB/kl)</w:t>
            </w:r>
            <w:hyperlink w:anchor="_bookmark1068" w:history="1">
              <w:r>
                <w:rPr>
                  <w:spacing w:val="-2"/>
                  <w:vertAlign w:val="superscript"/>
                </w:rPr>
                <w:t>916</w:t>
              </w:r>
            </w:hyperlink>
          </w:p>
        </w:tc>
        <w:tc>
          <w:tcPr>
            <w:tcW w:w="1478" w:type="dxa"/>
          </w:tcPr>
          <w:p w14:paraId="395DC003" w14:textId="77777777" w:rsidR="00D70C7D" w:rsidRDefault="00D70C7D" w:rsidP="00D70C7D">
            <w:pPr>
              <w:pStyle w:val="TableParagraph"/>
              <w:spacing w:before="11"/>
              <w:ind w:left="0"/>
              <w:rPr>
                <w:b/>
                <w:sz w:val="21"/>
              </w:rPr>
            </w:pPr>
          </w:p>
          <w:p w14:paraId="38EDE492" w14:textId="5C9BF28D" w:rsidR="00D70C7D" w:rsidRDefault="00D70C7D" w:rsidP="00D70C7D">
            <w:pPr>
              <w:pStyle w:val="Heading3"/>
              <w:tabs>
                <w:tab w:val="left" w:pos="2055"/>
              </w:tabs>
              <w:spacing w:before="0"/>
              <w:ind w:left="0" w:firstLine="0"/>
              <w:jc w:val="left"/>
              <w:rPr>
                <w:spacing w:val="-5"/>
              </w:rPr>
            </w:pPr>
            <w:r>
              <w:rPr>
                <w:spacing w:val="-2"/>
              </w:rPr>
              <w:t>48,317</w:t>
            </w:r>
          </w:p>
        </w:tc>
        <w:tc>
          <w:tcPr>
            <w:tcW w:w="1478" w:type="dxa"/>
          </w:tcPr>
          <w:p w14:paraId="65B505A7" w14:textId="77777777" w:rsidR="00D70C7D" w:rsidRDefault="00D70C7D" w:rsidP="00D70C7D">
            <w:pPr>
              <w:pStyle w:val="TableParagraph"/>
              <w:spacing w:before="11"/>
              <w:ind w:left="0"/>
              <w:rPr>
                <w:b/>
                <w:sz w:val="21"/>
              </w:rPr>
            </w:pPr>
          </w:p>
          <w:p w14:paraId="196690E7" w14:textId="6CA6D03A" w:rsidR="00D70C7D" w:rsidRDefault="00D70C7D" w:rsidP="00D70C7D">
            <w:pPr>
              <w:pStyle w:val="Heading3"/>
              <w:tabs>
                <w:tab w:val="left" w:pos="2055"/>
              </w:tabs>
              <w:spacing w:before="0"/>
              <w:ind w:left="0" w:firstLine="0"/>
              <w:jc w:val="left"/>
              <w:rPr>
                <w:spacing w:val="-5"/>
              </w:rPr>
            </w:pPr>
            <w:r>
              <w:rPr>
                <w:spacing w:val="-2"/>
              </w:rPr>
              <w:t>45,378</w:t>
            </w:r>
          </w:p>
        </w:tc>
        <w:tc>
          <w:tcPr>
            <w:tcW w:w="1478" w:type="dxa"/>
          </w:tcPr>
          <w:p w14:paraId="568F24E0" w14:textId="77777777" w:rsidR="00D70C7D" w:rsidRDefault="00D70C7D" w:rsidP="00D70C7D">
            <w:pPr>
              <w:pStyle w:val="TableParagraph"/>
              <w:spacing w:before="11"/>
              <w:ind w:left="0"/>
              <w:rPr>
                <w:b/>
                <w:sz w:val="21"/>
              </w:rPr>
            </w:pPr>
          </w:p>
          <w:p w14:paraId="0ED1BBEC" w14:textId="4C867D1E" w:rsidR="00D70C7D" w:rsidRDefault="00D70C7D" w:rsidP="00D70C7D">
            <w:pPr>
              <w:pStyle w:val="Heading3"/>
              <w:tabs>
                <w:tab w:val="left" w:pos="2055"/>
              </w:tabs>
              <w:spacing w:before="0"/>
              <w:ind w:left="0" w:firstLine="0"/>
              <w:jc w:val="left"/>
              <w:rPr>
                <w:spacing w:val="-5"/>
              </w:rPr>
            </w:pPr>
            <w:r>
              <w:rPr>
                <w:spacing w:val="-2"/>
              </w:rPr>
              <w:t>43,493</w:t>
            </w:r>
          </w:p>
        </w:tc>
        <w:tc>
          <w:tcPr>
            <w:tcW w:w="1478" w:type="dxa"/>
          </w:tcPr>
          <w:p w14:paraId="5E7AB646" w14:textId="77777777" w:rsidR="00D70C7D" w:rsidRDefault="00D70C7D" w:rsidP="00D70C7D">
            <w:pPr>
              <w:pStyle w:val="TableParagraph"/>
              <w:spacing w:before="11"/>
              <w:ind w:left="0"/>
              <w:rPr>
                <w:b/>
                <w:sz w:val="21"/>
              </w:rPr>
            </w:pPr>
          </w:p>
          <w:p w14:paraId="1F230396" w14:textId="24AF751F" w:rsidR="00D70C7D" w:rsidRDefault="00D70C7D" w:rsidP="00D70C7D">
            <w:pPr>
              <w:pStyle w:val="Heading3"/>
              <w:tabs>
                <w:tab w:val="left" w:pos="2055"/>
              </w:tabs>
              <w:spacing w:before="0"/>
              <w:ind w:left="0" w:firstLine="0"/>
              <w:jc w:val="left"/>
              <w:rPr>
                <w:spacing w:val="-5"/>
              </w:rPr>
            </w:pPr>
            <w:r>
              <w:rPr>
                <w:spacing w:val="-2"/>
              </w:rPr>
              <w:t>40,266</w:t>
            </w:r>
          </w:p>
        </w:tc>
        <w:tc>
          <w:tcPr>
            <w:tcW w:w="1478" w:type="dxa"/>
          </w:tcPr>
          <w:p w14:paraId="7A2CE9FE" w14:textId="77777777" w:rsidR="00D70C7D" w:rsidRDefault="00D70C7D" w:rsidP="00D70C7D">
            <w:pPr>
              <w:pStyle w:val="TableParagraph"/>
              <w:spacing w:before="11"/>
              <w:ind w:left="0"/>
              <w:rPr>
                <w:b/>
                <w:sz w:val="21"/>
              </w:rPr>
            </w:pPr>
          </w:p>
          <w:p w14:paraId="1D4D4379" w14:textId="2819BD45" w:rsidR="00D70C7D" w:rsidRDefault="00D70C7D" w:rsidP="00D70C7D">
            <w:pPr>
              <w:pStyle w:val="Heading3"/>
              <w:tabs>
                <w:tab w:val="left" w:pos="2055"/>
              </w:tabs>
              <w:spacing w:before="0"/>
              <w:ind w:left="0" w:firstLine="0"/>
              <w:jc w:val="left"/>
              <w:rPr>
                <w:spacing w:val="-5"/>
              </w:rPr>
            </w:pPr>
            <w:r>
              <w:rPr>
                <w:spacing w:val="-2"/>
              </w:rPr>
              <w:t>46,367</w:t>
            </w:r>
          </w:p>
        </w:tc>
        <w:tc>
          <w:tcPr>
            <w:tcW w:w="1478" w:type="dxa"/>
          </w:tcPr>
          <w:p w14:paraId="7E7ECD9D" w14:textId="77777777" w:rsidR="00D70C7D" w:rsidRDefault="00D70C7D" w:rsidP="00D70C7D">
            <w:pPr>
              <w:pStyle w:val="TableParagraph"/>
              <w:spacing w:before="11"/>
              <w:ind w:left="0"/>
              <w:rPr>
                <w:b/>
                <w:sz w:val="21"/>
              </w:rPr>
            </w:pPr>
          </w:p>
          <w:p w14:paraId="3822325A" w14:textId="61A30029" w:rsidR="00D70C7D" w:rsidRDefault="00D70C7D" w:rsidP="00D70C7D">
            <w:pPr>
              <w:pStyle w:val="Heading3"/>
              <w:tabs>
                <w:tab w:val="left" w:pos="2055"/>
              </w:tabs>
              <w:spacing w:before="0"/>
              <w:ind w:left="0" w:firstLine="0"/>
              <w:jc w:val="left"/>
              <w:rPr>
                <w:spacing w:val="-5"/>
              </w:rPr>
            </w:pPr>
            <w:r>
              <w:rPr>
                <w:i/>
                <w:spacing w:val="-2"/>
              </w:rPr>
              <w:t>-</w:t>
            </w:r>
            <w:r>
              <w:rPr>
                <w:i/>
                <w:spacing w:val="-4"/>
              </w:rPr>
              <w:t>4.04%</w:t>
            </w:r>
          </w:p>
        </w:tc>
      </w:tr>
      <w:tr w:rsidR="00D70C7D" w14:paraId="345BB786" w14:textId="77777777" w:rsidTr="00D70C7D">
        <w:tc>
          <w:tcPr>
            <w:tcW w:w="1478" w:type="dxa"/>
          </w:tcPr>
          <w:p w14:paraId="7D031063" w14:textId="454A161C" w:rsidR="00D70C7D" w:rsidRDefault="00D70C7D" w:rsidP="00D70C7D">
            <w:pPr>
              <w:pStyle w:val="Heading3"/>
              <w:tabs>
                <w:tab w:val="left" w:pos="2055"/>
              </w:tabs>
              <w:spacing w:before="0"/>
              <w:ind w:left="0" w:firstLine="0"/>
              <w:jc w:val="left"/>
              <w:rPr>
                <w:spacing w:val="-5"/>
              </w:rPr>
            </w:pPr>
            <w:r>
              <w:t xml:space="preserve">CIF price + </w:t>
            </w:r>
            <w:r>
              <w:rPr>
                <w:spacing w:val="-2"/>
              </w:rPr>
              <w:t>tariff adjustment (RMB/kl)</w:t>
            </w:r>
          </w:p>
        </w:tc>
        <w:tc>
          <w:tcPr>
            <w:tcW w:w="1478" w:type="dxa"/>
          </w:tcPr>
          <w:p w14:paraId="463F1B9E" w14:textId="77777777" w:rsidR="00D70C7D" w:rsidRDefault="00D70C7D" w:rsidP="00D70C7D">
            <w:pPr>
              <w:pStyle w:val="TableParagraph"/>
              <w:ind w:left="0"/>
              <w:rPr>
                <w:b/>
              </w:rPr>
            </w:pPr>
          </w:p>
          <w:p w14:paraId="7E13685E" w14:textId="77777777" w:rsidR="00D70C7D" w:rsidRDefault="00D70C7D" w:rsidP="00D70C7D">
            <w:pPr>
              <w:pStyle w:val="TableParagraph"/>
              <w:ind w:left="0"/>
              <w:rPr>
                <w:b/>
              </w:rPr>
            </w:pPr>
          </w:p>
          <w:p w14:paraId="4997D489" w14:textId="77777777" w:rsidR="00D70C7D" w:rsidRDefault="00D70C7D" w:rsidP="00D70C7D">
            <w:pPr>
              <w:pStyle w:val="TableParagraph"/>
              <w:spacing w:before="2"/>
              <w:ind w:left="0"/>
              <w:rPr>
                <w:b/>
              </w:rPr>
            </w:pPr>
          </w:p>
          <w:p w14:paraId="799891C9" w14:textId="60C1654F" w:rsidR="00D70C7D" w:rsidRDefault="00D70C7D" w:rsidP="00D70C7D">
            <w:pPr>
              <w:pStyle w:val="Heading3"/>
              <w:tabs>
                <w:tab w:val="left" w:pos="2055"/>
              </w:tabs>
              <w:spacing w:before="0"/>
              <w:ind w:left="0" w:firstLine="0"/>
              <w:jc w:val="left"/>
              <w:rPr>
                <w:spacing w:val="-5"/>
              </w:rPr>
            </w:pPr>
            <w:r>
              <w:rPr>
                <w:spacing w:val="-2"/>
              </w:rPr>
              <w:t>55,081</w:t>
            </w:r>
          </w:p>
        </w:tc>
        <w:tc>
          <w:tcPr>
            <w:tcW w:w="1478" w:type="dxa"/>
          </w:tcPr>
          <w:p w14:paraId="765863DC" w14:textId="77777777" w:rsidR="00D70C7D" w:rsidRDefault="00D70C7D" w:rsidP="00D70C7D">
            <w:pPr>
              <w:pStyle w:val="TableParagraph"/>
              <w:ind w:left="0"/>
              <w:rPr>
                <w:b/>
              </w:rPr>
            </w:pPr>
          </w:p>
          <w:p w14:paraId="37FBD8CC" w14:textId="77777777" w:rsidR="00D70C7D" w:rsidRDefault="00D70C7D" w:rsidP="00D70C7D">
            <w:pPr>
              <w:pStyle w:val="TableParagraph"/>
              <w:ind w:left="0"/>
              <w:rPr>
                <w:b/>
              </w:rPr>
            </w:pPr>
          </w:p>
          <w:p w14:paraId="53B8D6E9" w14:textId="77777777" w:rsidR="00D70C7D" w:rsidRDefault="00D70C7D" w:rsidP="00D70C7D">
            <w:pPr>
              <w:pStyle w:val="TableParagraph"/>
              <w:spacing w:before="2"/>
              <w:ind w:left="0"/>
              <w:rPr>
                <w:b/>
              </w:rPr>
            </w:pPr>
          </w:p>
          <w:p w14:paraId="6D1DB48B" w14:textId="75198973" w:rsidR="00D70C7D" w:rsidRDefault="00D70C7D" w:rsidP="00D70C7D">
            <w:pPr>
              <w:pStyle w:val="Heading3"/>
              <w:tabs>
                <w:tab w:val="left" w:pos="2055"/>
              </w:tabs>
              <w:spacing w:before="0"/>
              <w:ind w:left="0" w:firstLine="0"/>
              <w:jc w:val="left"/>
              <w:rPr>
                <w:spacing w:val="-5"/>
              </w:rPr>
            </w:pPr>
            <w:r>
              <w:rPr>
                <w:spacing w:val="-2"/>
              </w:rPr>
              <w:t>49,190</w:t>
            </w:r>
          </w:p>
        </w:tc>
        <w:tc>
          <w:tcPr>
            <w:tcW w:w="1478" w:type="dxa"/>
          </w:tcPr>
          <w:p w14:paraId="6FBAF4B0" w14:textId="77777777" w:rsidR="00D70C7D" w:rsidRDefault="00D70C7D" w:rsidP="00D70C7D">
            <w:pPr>
              <w:pStyle w:val="TableParagraph"/>
              <w:ind w:left="0"/>
              <w:rPr>
                <w:b/>
              </w:rPr>
            </w:pPr>
          </w:p>
          <w:p w14:paraId="724A0423" w14:textId="77777777" w:rsidR="00D70C7D" w:rsidRDefault="00D70C7D" w:rsidP="00D70C7D">
            <w:pPr>
              <w:pStyle w:val="TableParagraph"/>
              <w:ind w:left="0"/>
              <w:rPr>
                <w:b/>
              </w:rPr>
            </w:pPr>
          </w:p>
          <w:p w14:paraId="1C8DAAD4" w14:textId="77777777" w:rsidR="00D70C7D" w:rsidRDefault="00D70C7D" w:rsidP="00D70C7D">
            <w:pPr>
              <w:pStyle w:val="TableParagraph"/>
              <w:spacing w:before="2"/>
              <w:ind w:left="0"/>
              <w:rPr>
                <w:b/>
              </w:rPr>
            </w:pPr>
          </w:p>
          <w:p w14:paraId="27A42153" w14:textId="01DF4117" w:rsidR="00D70C7D" w:rsidRDefault="00D70C7D" w:rsidP="00D70C7D">
            <w:pPr>
              <w:pStyle w:val="Heading3"/>
              <w:tabs>
                <w:tab w:val="left" w:pos="2055"/>
              </w:tabs>
              <w:spacing w:before="0"/>
              <w:ind w:left="0" w:firstLine="0"/>
              <w:jc w:val="left"/>
              <w:rPr>
                <w:spacing w:val="-5"/>
              </w:rPr>
            </w:pPr>
            <w:r>
              <w:rPr>
                <w:spacing w:val="-2"/>
              </w:rPr>
              <w:t>45,929</w:t>
            </w:r>
          </w:p>
        </w:tc>
        <w:tc>
          <w:tcPr>
            <w:tcW w:w="1478" w:type="dxa"/>
          </w:tcPr>
          <w:p w14:paraId="6CD0BA10" w14:textId="77777777" w:rsidR="00D70C7D" w:rsidRDefault="00D70C7D" w:rsidP="00D70C7D">
            <w:pPr>
              <w:pStyle w:val="TableParagraph"/>
              <w:ind w:left="0"/>
              <w:rPr>
                <w:b/>
              </w:rPr>
            </w:pPr>
          </w:p>
          <w:p w14:paraId="1E7EE630" w14:textId="77777777" w:rsidR="00D70C7D" w:rsidRDefault="00D70C7D" w:rsidP="00D70C7D">
            <w:pPr>
              <w:pStyle w:val="TableParagraph"/>
              <w:ind w:left="0"/>
              <w:rPr>
                <w:b/>
              </w:rPr>
            </w:pPr>
          </w:p>
          <w:p w14:paraId="055178E9" w14:textId="77777777" w:rsidR="00D70C7D" w:rsidRDefault="00D70C7D" w:rsidP="00D70C7D">
            <w:pPr>
              <w:pStyle w:val="TableParagraph"/>
              <w:spacing w:before="2"/>
              <w:ind w:left="0"/>
              <w:rPr>
                <w:b/>
              </w:rPr>
            </w:pPr>
          </w:p>
          <w:p w14:paraId="5E9F251F" w14:textId="21984256" w:rsidR="00D70C7D" w:rsidRDefault="00D70C7D" w:rsidP="00D70C7D">
            <w:pPr>
              <w:pStyle w:val="Heading3"/>
              <w:tabs>
                <w:tab w:val="left" w:pos="2055"/>
              </w:tabs>
              <w:spacing w:before="0"/>
              <w:ind w:left="0" w:firstLine="0"/>
              <w:jc w:val="left"/>
              <w:rPr>
                <w:spacing w:val="-5"/>
              </w:rPr>
            </w:pPr>
            <w:r>
              <w:rPr>
                <w:spacing w:val="-2"/>
              </w:rPr>
              <w:t>41,393</w:t>
            </w:r>
          </w:p>
        </w:tc>
        <w:tc>
          <w:tcPr>
            <w:tcW w:w="1478" w:type="dxa"/>
          </w:tcPr>
          <w:p w14:paraId="69359FDA" w14:textId="77777777" w:rsidR="00D70C7D" w:rsidRDefault="00D70C7D" w:rsidP="00D70C7D">
            <w:pPr>
              <w:pStyle w:val="TableParagraph"/>
              <w:ind w:left="0"/>
              <w:rPr>
                <w:b/>
              </w:rPr>
            </w:pPr>
          </w:p>
          <w:p w14:paraId="49425A64" w14:textId="77777777" w:rsidR="00D70C7D" w:rsidRDefault="00D70C7D" w:rsidP="00D70C7D">
            <w:pPr>
              <w:pStyle w:val="TableParagraph"/>
              <w:ind w:left="0"/>
              <w:rPr>
                <w:b/>
              </w:rPr>
            </w:pPr>
          </w:p>
          <w:p w14:paraId="11929342" w14:textId="77777777" w:rsidR="00D70C7D" w:rsidRDefault="00D70C7D" w:rsidP="00D70C7D">
            <w:pPr>
              <w:pStyle w:val="TableParagraph"/>
              <w:spacing w:before="2"/>
              <w:ind w:left="0"/>
              <w:rPr>
                <w:b/>
              </w:rPr>
            </w:pPr>
          </w:p>
          <w:p w14:paraId="1A600A67" w14:textId="3F281827" w:rsidR="00D70C7D" w:rsidRDefault="00D70C7D" w:rsidP="00D70C7D">
            <w:pPr>
              <w:pStyle w:val="Heading3"/>
              <w:tabs>
                <w:tab w:val="left" w:pos="2055"/>
              </w:tabs>
              <w:spacing w:before="0"/>
              <w:ind w:left="0" w:firstLine="0"/>
              <w:jc w:val="left"/>
              <w:rPr>
                <w:spacing w:val="-5"/>
              </w:rPr>
            </w:pPr>
            <w:r>
              <w:rPr>
                <w:spacing w:val="-2"/>
              </w:rPr>
              <w:t>46,367</w:t>
            </w:r>
          </w:p>
        </w:tc>
        <w:tc>
          <w:tcPr>
            <w:tcW w:w="1478" w:type="dxa"/>
          </w:tcPr>
          <w:p w14:paraId="00336D75" w14:textId="77777777" w:rsidR="00D70C7D" w:rsidRDefault="00D70C7D" w:rsidP="00D70C7D">
            <w:pPr>
              <w:pStyle w:val="TableParagraph"/>
              <w:ind w:left="0"/>
              <w:rPr>
                <w:b/>
              </w:rPr>
            </w:pPr>
          </w:p>
          <w:p w14:paraId="4FFADA73" w14:textId="77777777" w:rsidR="00D70C7D" w:rsidRDefault="00D70C7D" w:rsidP="00D70C7D">
            <w:pPr>
              <w:pStyle w:val="TableParagraph"/>
              <w:ind w:left="0"/>
              <w:rPr>
                <w:b/>
              </w:rPr>
            </w:pPr>
          </w:p>
          <w:p w14:paraId="659B496A" w14:textId="77777777" w:rsidR="00D70C7D" w:rsidRDefault="00D70C7D" w:rsidP="00D70C7D">
            <w:pPr>
              <w:pStyle w:val="TableParagraph"/>
              <w:spacing w:before="2"/>
              <w:ind w:left="0"/>
              <w:rPr>
                <w:b/>
              </w:rPr>
            </w:pPr>
          </w:p>
          <w:p w14:paraId="717BD9B9" w14:textId="115C555B" w:rsidR="00D70C7D" w:rsidRDefault="00D70C7D" w:rsidP="00D70C7D">
            <w:pPr>
              <w:pStyle w:val="Heading3"/>
              <w:tabs>
                <w:tab w:val="left" w:pos="2055"/>
              </w:tabs>
              <w:spacing w:before="0"/>
              <w:ind w:left="0" w:firstLine="0"/>
              <w:jc w:val="left"/>
              <w:rPr>
                <w:spacing w:val="-5"/>
              </w:rPr>
            </w:pPr>
            <w:r>
              <w:rPr>
                <w:i/>
                <w:spacing w:val="-2"/>
              </w:rPr>
              <w:t>-15.82%</w:t>
            </w:r>
          </w:p>
        </w:tc>
      </w:tr>
    </w:tbl>
    <w:p w14:paraId="00FAEF9C" w14:textId="77777777" w:rsidR="00BD462C" w:rsidRDefault="00BD462C">
      <w:pPr>
        <w:pStyle w:val="BodyText"/>
        <w:rPr>
          <w:b/>
        </w:rPr>
      </w:pPr>
    </w:p>
    <w:p w14:paraId="35C6D7DD" w14:textId="77777777" w:rsidR="00BD462C" w:rsidRDefault="00BD462C">
      <w:pPr>
        <w:pStyle w:val="BodyText"/>
        <w:spacing w:before="8"/>
        <w:rPr>
          <w:b/>
          <w:sz w:val="25"/>
        </w:rPr>
      </w:pPr>
    </w:p>
    <w:p w14:paraId="285408DD" w14:textId="2AB81C6D" w:rsidR="00BD462C" w:rsidRDefault="00BB6E3A">
      <w:pPr>
        <w:pStyle w:val="BodyText"/>
        <w:spacing w:before="1" w:line="360" w:lineRule="auto"/>
        <w:ind w:left="135" w:right="915"/>
        <w:jc w:val="both"/>
      </w:pPr>
      <w:r>
        <w:rPr>
          <w:noProof/>
        </w:rPr>
        <w:t>587.</w:t>
      </w:r>
      <w:r w:rsidR="00033D0F">
        <w:rPr>
          <w:rFonts w:ascii="Times New Roman"/>
          <w:spacing w:val="80"/>
          <w:position w:val="1"/>
          <w:sz w:val="20"/>
        </w:rPr>
        <w:t xml:space="preserve">  </w:t>
      </w:r>
      <w:r w:rsidR="00033D0F">
        <w:rPr>
          <w:position w:val="1"/>
        </w:rPr>
        <w:t xml:space="preserve">Third, China argues that Australia "did not provide any proper evidence to prove its </w:t>
      </w:r>
      <w:r w:rsidR="00033D0F">
        <w:t xml:space="preserve">assertion that the progressive tariff elimination under the ChAFTA </w:t>
      </w:r>
      <w:r w:rsidR="00033D0F">
        <w:rPr>
          <w:i/>
        </w:rPr>
        <w:t xml:space="preserve">caused material injury </w:t>
      </w:r>
      <w:r w:rsidR="00033D0F">
        <w:t>to the domestic industry".</w:t>
      </w:r>
      <w:hyperlink w:anchor="_bookmark1069" w:history="1">
        <w:r w:rsidR="00033D0F">
          <w:rPr>
            <w:vertAlign w:val="superscript"/>
          </w:rPr>
          <w:t>917</w:t>
        </w:r>
      </w:hyperlink>
      <w:r w:rsidR="00033D0F">
        <w:t xml:space="preserve"> It was MOFCOM that determined that the price decline in subject imports</w:t>
      </w:r>
      <w:r w:rsidR="00033D0F">
        <w:rPr>
          <w:spacing w:val="-14"/>
        </w:rPr>
        <w:t xml:space="preserve"> </w:t>
      </w:r>
      <w:r w:rsidR="00033D0F">
        <w:t>caused</w:t>
      </w:r>
      <w:r w:rsidR="00033D0F">
        <w:rPr>
          <w:spacing w:val="-14"/>
        </w:rPr>
        <w:t xml:space="preserve"> </w:t>
      </w:r>
      <w:r w:rsidR="00033D0F">
        <w:t>material</w:t>
      </w:r>
      <w:r w:rsidR="00033D0F">
        <w:rPr>
          <w:spacing w:val="-13"/>
        </w:rPr>
        <w:t xml:space="preserve"> </w:t>
      </w:r>
      <w:r w:rsidR="00033D0F">
        <w:t>injury</w:t>
      </w:r>
      <w:r w:rsidR="00033D0F">
        <w:rPr>
          <w:spacing w:val="-14"/>
        </w:rPr>
        <w:t xml:space="preserve"> </w:t>
      </w:r>
      <w:r w:rsidR="00033D0F">
        <w:t>to</w:t>
      </w:r>
      <w:r w:rsidR="00033D0F">
        <w:rPr>
          <w:spacing w:val="-13"/>
        </w:rPr>
        <w:t xml:space="preserve"> </w:t>
      </w:r>
      <w:r w:rsidR="00033D0F">
        <w:t>the</w:t>
      </w:r>
      <w:r w:rsidR="00033D0F">
        <w:rPr>
          <w:spacing w:val="-14"/>
        </w:rPr>
        <w:t xml:space="preserve"> </w:t>
      </w:r>
      <w:r w:rsidR="00033D0F">
        <w:t>domestic</w:t>
      </w:r>
      <w:r w:rsidR="00033D0F">
        <w:rPr>
          <w:spacing w:val="-13"/>
        </w:rPr>
        <w:t xml:space="preserve"> </w:t>
      </w:r>
      <w:r w:rsidR="00033D0F">
        <w:t>industry.</w:t>
      </w:r>
      <w:hyperlink w:anchor="_bookmark1070" w:history="1">
        <w:r w:rsidR="00033D0F">
          <w:rPr>
            <w:vertAlign w:val="superscript"/>
          </w:rPr>
          <w:t>918</w:t>
        </w:r>
      </w:hyperlink>
      <w:r w:rsidR="00033D0F">
        <w:rPr>
          <w:spacing w:val="-14"/>
        </w:rPr>
        <w:t xml:space="preserve"> </w:t>
      </w:r>
      <w:r w:rsidR="00033D0F">
        <w:t>Australia's</w:t>
      </w:r>
      <w:r w:rsidR="00033D0F">
        <w:rPr>
          <w:spacing w:val="-14"/>
        </w:rPr>
        <w:t xml:space="preserve"> </w:t>
      </w:r>
      <w:r w:rsidR="00033D0F">
        <w:t>argument</w:t>
      </w:r>
      <w:r w:rsidR="00033D0F">
        <w:rPr>
          <w:spacing w:val="-13"/>
        </w:rPr>
        <w:t xml:space="preserve"> </w:t>
      </w:r>
      <w:r w:rsidR="00033D0F">
        <w:t>is</w:t>
      </w:r>
      <w:r w:rsidR="00033D0F">
        <w:rPr>
          <w:spacing w:val="-14"/>
        </w:rPr>
        <w:t xml:space="preserve"> </w:t>
      </w:r>
      <w:r w:rsidR="00033D0F">
        <w:t>that</w:t>
      </w:r>
      <w:r w:rsidR="00033D0F">
        <w:rPr>
          <w:spacing w:val="-13"/>
        </w:rPr>
        <w:t xml:space="preserve"> </w:t>
      </w:r>
      <w:r w:rsidR="00033D0F">
        <w:t>at</w:t>
      </w:r>
      <w:r w:rsidR="00033D0F">
        <w:rPr>
          <w:spacing w:val="-14"/>
        </w:rPr>
        <w:t xml:space="preserve"> </w:t>
      </w:r>
      <w:r w:rsidR="00033D0F">
        <w:t>least 14%</w:t>
      </w:r>
      <w:r w:rsidR="00033D0F">
        <w:rPr>
          <w:spacing w:val="-4"/>
        </w:rPr>
        <w:t xml:space="preserve"> </w:t>
      </w:r>
      <w:r w:rsidR="00033D0F">
        <w:t>of</w:t>
      </w:r>
      <w:r w:rsidR="00033D0F">
        <w:rPr>
          <w:spacing w:val="-6"/>
        </w:rPr>
        <w:t xml:space="preserve"> </w:t>
      </w:r>
      <w:r w:rsidR="00033D0F">
        <w:t>the</w:t>
      </w:r>
      <w:r w:rsidR="00033D0F">
        <w:rPr>
          <w:spacing w:val="-5"/>
        </w:rPr>
        <w:t xml:space="preserve"> </w:t>
      </w:r>
      <w:r w:rsidR="00033D0F">
        <w:t>price</w:t>
      </w:r>
      <w:r w:rsidR="00033D0F">
        <w:rPr>
          <w:spacing w:val="-4"/>
        </w:rPr>
        <w:t xml:space="preserve"> </w:t>
      </w:r>
      <w:r w:rsidR="00033D0F">
        <w:t>decline</w:t>
      </w:r>
      <w:r w:rsidR="00033D0F">
        <w:rPr>
          <w:spacing w:val="-5"/>
        </w:rPr>
        <w:t xml:space="preserve"> </w:t>
      </w:r>
      <w:r w:rsidR="00033D0F">
        <w:t>that</w:t>
      </w:r>
      <w:r w:rsidR="00033D0F">
        <w:rPr>
          <w:spacing w:val="-4"/>
        </w:rPr>
        <w:t xml:space="preserve"> </w:t>
      </w:r>
      <w:r w:rsidR="00033D0F">
        <w:t>MOFCOM</w:t>
      </w:r>
      <w:r w:rsidR="00033D0F">
        <w:rPr>
          <w:spacing w:val="-4"/>
        </w:rPr>
        <w:t xml:space="preserve"> </w:t>
      </w:r>
      <w:r w:rsidR="00033D0F">
        <w:t>described</w:t>
      </w:r>
      <w:r w:rsidR="00033D0F">
        <w:rPr>
          <w:spacing w:val="-10"/>
        </w:rPr>
        <w:t xml:space="preserve"> </w:t>
      </w:r>
      <w:r w:rsidR="00033D0F">
        <w:t>was</w:t>
      </w:r>
      <w:r w:rsidR="00033D0F">
        <w:rPr>
          <w:spacing w:val="-3"/>
        </w:rPr>
        <w:t xml:space="preserve"> </w:t>
      </w:r>
      <w:r w:rsidR="00033D0F">
        <w:t>directly</w:t>
      </w:r>
      <w:r w:rsidR="00033D0F">
        <w:rPr>
          <w:spacing w:val="-3"/>
        </w:rPr>
        <w:t xml:space="preserve"> </w:t>
      </w:r>
      <w:r w:rsidR="00033D0F">
        <w:t>and</w:t>
      </w:r>
      <w:r w:rsidR="00033D0F">
        <w:rPr>
          <w:spacing w:val="-6"/>
        </w:rPr>
        <w:t xml:space="preserve"> </w:t>
      </w:r>
      <w:r w:rsidR="00033D0F">
        <w:t>unequivocally</w:t>
      </w:r>
      <w:r w:rsidR="00033D0F">
        <w:rPr>
          <w:spacing w:val="-3"/>
        </w:rPr>
        <w:t xml:space="preserve"> </w:t>
      </w:r>
      <w:r w:rsidR="00033D0F">
        <w:t>attributable</w:t>
      </w:r>
    </w:p>
    <w:p w14:paraId="3AE4C17B" w14:textId="782A810C" w:rsidR="00BD462C" w:rsidRDefault="00752F01">
      <w:pPr>
        <w:pStyle w:val="BodyText"/>
        <w:spacing w:before="10"/>
        <w:rPr>
          <w:sz w:val="16"/>
        </w:rPr>
      </w:pPr>
      <w:r>
        <w:rPr>
          <w:noProof/>
        </w:rPr>
        <mc:AlternateContent>
          <mc:Choice Requires="wps">
            <w:drawing>
              <wp:anchor distT="0" distB="0" distL="0" distR="0" simplePos="0" relativeHeight="488235520" behindDoc="1" locked="0" layoutInCell="1" allowOverlap="1" wp14:anchorId="11A5A24C" wp14:editId="1A4FF7AE">
                <wp:simplePos x="0" y="0"/>
                <wp:positionH relativeFrom="page">
                  <wp:posOffset>812800</wp:posOffset>
                </wp:positionH>
                <wp:positionV relativeFrom="paragraph">
                  <wp:posOffset>131445</wp:posOffset>
                </wp:positionV>
                <wp:extent cx="1828800" cy="8890"/>
                <wp:effectExtent l="0" t="0" r="0" b="0"/>
                <wp:wrapTopAndBottom/>
                <wp:docPr id="213" name="docshape6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812FF9" id="docshape664" o:spid="_x0000_s1026" alt="&quot;&quot;" style="position:absolute;margin-left:64pt;margin-top:10.35pt;width:2in;height:.7pt;z-index:-1508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" fillcolor="black" stroked="f">
                <w10:wrap type="topAndBottom" anchorx="page"/>
              </v:rect>
            </w:pict>
          </mc:Fallback>
        </mc:AlternateContent>
      </w:r>
    </w:p>
    <w:p w14:paraId="74DF5230" w14:textId="77777777" w:rsidR="00BD462C" w:rsidRDefault="00033D0F">
      <w:pPr>
        <w:spacing w:before="112"/>
        <w:ind w:left="135"/>
        <w:jc w:val="both"/>
        <w:rPr>
          <w:sz w:val="18"/>
        </w:rPr>
      </w:pPr>
      <w:bookmarkStart w:id="1236" w:name="_bookmark1065"/>
      <w:bookmarkEnd w:id="1236"/>
      <w:r>
        <w:rPr>
          <w:position w:val="5"/>
          <w:sz w:val="12"/>
        </w:rPr>
        <w:t>913</w:t>
      </w:r>
      <w:r>
        <w:rPr>
          <w:spacing w:val="13"/>
          <w:position w:val="5"/>
          <w:sz w:val="12"/>
        </w:rPr>
        <w:t xml:space="preserve"> </w:t>
      </w:r>
      <w:r>
        <w:rPr>
          <w:sz w:val="18"/>
        </w:rPr>
        <w:t>China's response</w:t>
      </w:r>
      <w:r>
        <w:rPr>
          <w:spacing w:val="-5"/>
          <w:sz w:val="18"/>
        </w:rPr>
        <w:t xml:space="preserve"> </w:t>
      </w:r>
      <w:r>
        <w:rPr>
          <w:sz w:val="18"/>
        </w:rPr>
        <w:t>to</w:t>
      </w:r>
      <w:r>
        <w:rPr>
          <w:spacing w:val="-10"/>
          <w:sz w:val="18"/>
        </w:rPr>
        <w:t xml:space="preserve"> </w:t>
      </w:r>
      <w:r>
        <w:rPr>
          <w:sz w:val="18"/>
        </w:rPr>
        <w:t>Panel</w:t>
      </w:r>
      <w:r>
        <w:rPr>
          <w:spacing w:val="-4"/>
          <w:sz w:val="18"/>
        </w:rPr>
        <w:t xml:space="preserve"> </w:t>
      </w:r>
      <w:r>
        <w:rPr>
          <w:sz w:val="18"/>
        </w:rPr>
        <w:t>question</w:t>
      </w:r>
      <w:r>
        <w:rPr>
          <w:spacing w:val="-6"/>
          <w:sz w:val="18"/>
        </w:rPr>
        <w:t xml:space="preserve"> </w:t>
      </w:r>
      <w:r>
        <w:rPr>
          <w:sz w:val="18"/>
        </w:rPr>
        <w:t>No. 48,</w:t>
      </w:r>
      <w:r>
        <w:rPr>
          <w:spacing w:val="-3"/>
          <w:sz w:val="18"/>
        </w:rPr>
        <w:t xml:space="preserve"> </w:t>
      </w:r>
      <w:r>
        <w:rPr>
          <w:sz w:val="18"/>
        </w:rPr>
        <w:t>paras.</w:t>
      </w:r>
      <w:r>
        <w:rPr>
          <w:spacing w:val="1"/>
          <w:sz w:val="18"/>
        </w:rPr>
        <w:t xml:space="preserve"> </w:t>
      </w:r>
      <w:r>
        <w:rPr>
          <w:sz w:val="18"/>
        </w:rPr>
        <w:t>278-</w:t>
      </w:r>
      <w:r>
        <w:rPr>
          <w:spacing w:val="-4"/>
          <w:sz w:val="18"/>
        </w:rPr>
        <w:t>280.</w:t>
      </w:r>
    </w:p>
    <w:p w14:paraId="3660F8B8" w14:textId="77777777" w:rsidR="00BD462C" w:rsidRDefault="00033D0F">
      <w:pPr>
        <w:spacing w:before="1"/>
        <w:ind w:left="136" w:right="909" w:hanging="1"/>
        <w:jc w:val="both"/>
        <w:rPr>
          <w:sz w:val="18"/>
        </w:rPr>
      </w:pPr>
      <w:bookmarkStart w:id="1237" w:name="_bookmark1066"/>
      <w:bookmarkEnd w:id="1237"/>
      <w:r>
        <w:rPr>
          <w:position w:val="5"/>
          <w:sz w:val="12"/>
        </w:rPr>
        <w:t>914</w:t>
      </w:r>
      <w:r>
        <w:rPr>
          <w:spacing w:val="21"/>
          <w:position w:val="5"/>
          <w:sz w:val="12"/>
        </w:rPr>
        <w:t xml:space="preserve"> </w:t>
      </w:r>
      <w:r>
        <w:rPr>
          <w:sz w:val="18"/>
        </w:rPr>
        <w:t>There are myriad reasons why there could be year-to-year differences between the tariff reduction percentage and the percentage price decline.</w:t>
      </w:r>
      <w:r>
        <w:rPr>
          <w:spacing w:val="-2"/>
          <w:sz w:val="18"/>
        </w:rPr>
        <w:t xml:space="preserve"> </w:t>
      </w:r>
      <w:r>
        <w:rPr>
          <w:sz w:val="18"/>
        </w:rPr>
        <w:t>Notably changes</w:t>
      </w:r>
      <w:r>
        <w:rPr>
          <w:spacing w:val="-3"/>
          <w:sz w:val="18"/>
        </w:rPr>
        <w:t xml:space="preserve"> </w:t>
      </w:r>
      <w:r>
        <w:rPr>
          <w:sz w:val="18"/>
        </w:rPr>
        <w:t>in product mix,</w:t>
      </w:r>
      <w:r>
        <w:rPr>
          <w:spacing w:val="-1"/>
          <w:sz w:val="18"/>
        </w:rPr>
        <w:t xml:space="preserve"> </w:t>
      </w:r>
      <w:r>
        <w:rPr>
          <w:sz w:val="18"/>
        </w:rPr>
        <w:t>level of</w:t>
      </w:r>
      <w:r>
        <w:rPr>
          <w:spacing w:val="-2"/>
          <w:sz w:val="18"/>
        </w:rPr>
        <w:t xml:space="preserve"> </w:t>
      </w:r>
      <w:r>
        <w:rPr>
          <w:sz w:val="18"/>
        </w:rPr>
        <w:t>trade, conditions of</w:t>
      </w:r>
      <w:r>
        <w:rPr>
          <w:spacing w:val="-2"/>
          <w:sz w:val="18"/>
        </w:rPr>
        <w:t xml:space="preserve"> </w:t>
      </w:r>
      <w:r>
        <w:rPr>
          <w:sz w:val="18"/>
        </w:rPr>
        <w:t>sale, market supply and demand and consumer</w:t>
      </w:r>
      <w:r>
        <w:rPr>
          <w:spacing w:val="-11"/>
          <w:sz w:val="18"/>
        </w:rPr>
        <w:t xml:space="preserve"> </w:t>
      </w:r>
      <w:r>
        <w:rPr>
          <w:sz w:val="18"/>
        </w:rPr>
        <w:t>perceptions,</w:t>
      </w:r>
      <w:r>
        <w:rPr>
          <w:spacing w:val="-10"/>
          <w:sz w:val="18"/>
        </w:rPr>
        <w:t xml:space="preserve"> </w:t>
      </w:r>
      <w:r>
        <w:rPr>
          <w:sz w:val="18"/>
        </w:rPr>
        <w:t>all</w:t>
      </w:r>
      <w:r>
        <w:rPr>
          <w:spacing w:val="-10"/>
          <w:sz w:val="18"/>
        </w:rPr>
        <w:t xml:space="preserve"> </w:t>
      </w:r>
      <w:r>
        <w:rPr>
          <w:sz w:val="18"/>
        </w:rPr>
        <w:t>of</w:t>
      </w:r>
      <w:r>
        <w:rPr>
          <w:spacing w:val="-10"/>
          <w:sz w:val="18"/>
        </w:rPr>
        <w:t xml:space="preserve"> </w:t>
      </w:r>
      <w:r>
        <w:rPr>
          <w:sz w:val="18"/>
        </w:rPr>
        <w:t>which</w:t>
      </w:r>
      <w:r>
        <w:rPr>
          <w:spacing w:val="-10"/>
          <w:sz w:val="18"/>
        </w:rPr>
        <w:t xml:space="preserve"> </w:t>
      </w:r>
      <w:r>
        <w:rPr>
          <w:sz w:val="18"/>
        </w:rPr>
        <w:t>are</w:t>
      </w:r>
      <w:r>
        <w:rPr>
          <w:spacing w:val="-11"/>
          <w:sz w:val="18"/>
        </w:rPr>
        <w:t xml:space="preserve"> </w:t>
      </w:r>
      <w:r>
        <w:rPr>
          <w:sz w:val="18"/>
        </w:rPr>
        <w:t>addressed</w:t>
      </w:r>
      <w:r>
        <w:rPr>
          <w:spacing w:val="-10"/>
          <w:sz w:val="18"/>
        </w:rPr>
        <w:t xml:space="preserve"> </w:t>
      </w:r>
      <w:r>
        <w:rPr>
          <w:sz w:val="18"/>
        </w:rPr>
        <w:t>in</w:t>
      </w:r>
      <w:r>
        <w:rPr>
          <w:spacing w:val="-10"/>
          <w:sz w:val="18"/>
        </w:rPr>
        <w:t xml:space="preserve"> </w:t>
      </w:r>
      <w:r>
        <w:rPr>
          <w:sz w:val="18"/>
        </w:rPr>
        <w:t>Australia's</w:t>
      </w:r>
      <w:r>
        <w:rPr>
          <w:spacing w:val="-10"/>
          <w:sz w:val="18"/>
        </w:rPr>
        <w:t xml:space="preserve"> </w:t>
      </w:r>
      <w:r>
        <w:rPr>
          <w:sz w:val="18"/>
        </w:rPr>
        <w:t>first</w:t>
      </w:r>
      <w:r>
        <w:rPr>
          <w:spacing w:val="-10"/>
          <w:sz w:val="18"/>
        </w:rPr>
        <w:t xml:space="preserve"> </w:t>
      </w:r>
      <w:r>
        <w:rPr>
          <w:sz w:val="18"/>
        </w:rPr>
        <w:t>written</w:t>
      </w:r>
      <w:r>
        <w:rPr>
          <w:spacing w:val="-10"/>
          <w:sz w:val="18"/>
        </w:rPr>
        <w:t xml:space="preserve"> </w:t>
      </w:r>
      <w:r>
        <w:rPr>
          <w:sz w:val="18"/>
        </w:rPr>
        <w:t>submission</w:t>
      </w:r>
      <w:r>
        <w:rPr>
          <w:spacing w:val="-11"/>
          <w:sz w:val="18"/>
        </w:rPr>
        <w:t xml:space="preserve"> </w:t>
      </w:r>
      <w:r>
        <w:rPr>
          <w:sz w:val="18"/>
        </w:rPr>
        <w:t>(see</w:t>
      </w:r>
      <w:r>
        <w:rPr>
          <w:spacing w:val="-10"/>
          <w:sz w:val="18"/>
        </w:rPr>
        <w:t xml:space="preserve"> </w:t>
      </w:r>
      <w:r>
        <w:rPr>
          <w:sz w:val="18"/>
        </w:rPr>
        <w:t>Australia</w:t>
      </w:r>
      <w:r>
        <w:rPr>
          <w:spacing w:val="-10"/>
          <w:sz w:val="18"/>
        </w:rPr>
        <w:t xml:space="preserve"> </w:t>
      </w:r>
      <w:r>
        <w:rPr>
          <w:sz w:val="18"/>
        </w:rPr>
        <w:t>first</w:t>
      </w:r>
      <w:r>
        <w:rPr>
          <w:spacing w:val="-10"/>
          <w:sz w:val="18"/>
        </w:rPr>
        <w:t xml:space="preserve"> </w:t>
      </w:r>
      <w:r>
        <w:rPr>
          <w:sz w:val="18"/>
        </w:rPr>
        <w:t>written</w:t>
      </w:r>
      <w:r>
        <w:rPr>
          <w:spacing w:val="-10"/>
          <w:sz w:val="18"/>
        </w:rPr>
        <w:t xml:space="preserve"> </w:t>
      </w:r>
      <w:r>
        <w:rPr>
          <w:sz w:val="18"/>
        </w:rPr>
        <w:t>submission, paras. 563-599, 610-612, 639-642, 647-648, 678) and above in this submission.</w:t>
      </w:r>
    </w:p>
    <w:p w14:paraId="4132794B" w14:textId="77777777" w:rsidR="00BD462C" w:rsidRDefault="00033D0F">
      <w:pPr>
        <w:spacing w:before="1" w:line="237" w:lineRule="auto"/>
        <w:ind w:left="136" w:right="906" w:hanging="1"/>
        <w:jc w:val="both"/>
        <w:rPr>
          <w:sz w:val="18"/>
        </w:rPr>
      </w:pPr>
      <w:bookmarkStart w:id="1238" w:name="_bookmark1067"/>
      <w:bookmarkEnd w:id="1238"/>
      <w:r>
        <w:rPr>
          <w:position w:val="5"/>
          <w:sz w:val="12"/>
        </w:rPr>
        <w:t>915</w:t>
      </w:r>
      <w:r>
        <w:rPr>
          <w:spacing w:val="40"/>
          <w:position w:val="5"/>
          <w:sz w:val="12"/>
        </w:rPr>
        <w:t xml:space="preserve"> </w:t>
      </w:r>
      <w:r>
        <w:rPr>
          <w:sz w:val="18"/>
        </w:rPr>
        <w:t>Australia notes that China's response to Panel question No. 48 provides the unadjusted CIF price in USD/</w:t>
      </w:r>
      <w:proofErr w:type="spellStart"/>
      <w:r>
        <w:rPr>
          <w:sz w:val="18"/>
        </w:rPr>
        <w:t>kilolitre</w:t>
      </w:r>
      <w:proofErr w:type="spellEnd"/>
      <w:r>
        <w:rPr>
          <w:sz w:val="18"/>
        </w:rPr>
        <w:t>. Australia's position is that the price must be considered in RMB/</w:t>
      </w:r>
      <w:proofErr w:type="spellStart"/>
      <w:r>
        <w:rPr>
          <w:sz w:val="18"/>
        </w:rPr>
        <w:t>kilolitre</w:t>
      </w:r>
      <w:proofErr w:type="spellEnd"/>
      <w:r>
        <w:rPr>
          <w:sz w:val="18"/>
        </w:rPr>
        <w:t xml:space="preserve"> as that the price and currency to which MOFCOM applied the tariff adjustment and based its injury determination (see China's first written submission, paras. 1044; 1052).</w:t>
      </w:r>
    </w:p>
    <w:p w14:paraId="486412E7" w14:textId="77777777" w:rsidR="00BD462C" w:rsidRDefault="00033D0F">
      <w:pPr>
        <w:spacing w:before="3"/>
        <w:ind w:left="136" w:right="910" w:hanging="1"/>
        <w:jc w:val="both"/>
        <w:rPr>
          <w:sz w:val="18"/>
        </w:rPr>
      </w:pPr>
      <w:bookmarkStart w:id="1239" w:name="_bookmark1068"/>
      <w:bookmarkEnd w:id="1239"/>
      <w:r>
        <w:rPr>
          <w:position w:val="5"/>
          <w:sz w:val="12"/>
        </w:rPr>
        <w:t>916</w:t>
      </w:r>
      <w:r>
        <w:rPr>
          <w:spacing w:val="30"/>
          <w:position w:val="5"/>
          <w:sz w:val="12"/>
        </w:rPr>
        <w:t xml:space="preserve"> </w:t>
      </w:r>
      <w:r>
        <w:rPr>
          <w:sz w:val="18"/>
        </w:rPr>
        <w:t>China's response to Panel question 48, table at para 278. Australia has converted the unadjusted CIF price (USD/kl) to RMB/kl</w:t>
      </w:r>
      <w:r>
        <w:rPr>
          <w:spacing w:val="-3"/>
          <w:sz w:val="18"/>
        </w:rPr>
        <w:t xml:space="preserve"> </w:t>
      </w:r>
      <w:r>
        <w:rPr>
          <w:sz w:val="18"/>
        </w:rPr>
        <w:t>using</w:t>
      </w:r>
      <w:r>
        <w:rPr>
          <w:spacing w:val="-4"/>
          <w:sz w:val="18"/>
        </w:rPr>
        <w:t xml:space="preserve"> </w:t>
      </w:r>
      <w:r>
        <w:rPr>
          <w:sz w:val="18"/>
        </w:rPr>
        <w:t>the</w:t>
      </w:r>
      <w:r>
        <w:rPr>
          <w:spacing w:val="-4"/>
          <w:sz w:val="18"/>
        </w:rPr>
        <w:t xml:space="preserve"> </w:t>
      </w:r>
      <w:r>
        <w:rPr>
          <w:sz w:val="18"/>
        </w:rPr>
        <w:t>yearly</w:t>
      </w:r>
      <w:r>
        <w:rPr>
          <w:spacing w:val="-6"/>
          <w:sz w:val="18"/>
        </w:rPr>
        <w:t xml:space="preserve"> </w:t>
      </w:r>
      <w:r>
        <w:rPr>
          <w:sz w:val="18"/>
        </w:rPr>
        <w:t>average</w:t>
      </w:r>
      <w:r>
        <w:rPr>
          <w:spacing w:val="-4"/>
          <w:sz w:val="18"/>
        </w:rPr>
        <w:t xml:space="preserve"> </w:t>
      </w:r>
      <w:r>
        <w:rPr>
          <w:sz w:val="18"/>
        </w:rPr>
        <w:t>exchange</w:t>
      </w:r>
      <w:r>
        <w:rPr>
          <w:spacing w:val="-4"/>
          <w:sz w:val="18"/>
        </w:rPr>
        <w:t xml:space="preserve"> </w:t>
      </w:r>
      <w:r>
        <w:rPr>
          <w:sz w:val="18"/>
        </w:rPr>
        <w:t>rates</w:t>
      </w:r>
      <w:r>
        <w:rPr>
          <w:spacing w:val="-4"/>
          <w:sz w:val="18"/>
        </w:rPr>
        <w:t xml:space="preserve"> </w:t>
      </w:r>
      <w:r>
        <w:rPr>
          <w:sz w:val="18"/>
        </w:rPr>
        <w:t>included</w:t>
      </w:r>
      <w:r>
        <w:rPr>
          <w:spacing w:val="-5"/>
          <w:sz w:val="18"/>
        </w:rPr>
        <w:t xml:space="preserve"> </w:t>
      </w:r>
      <w:r>
        <w:rPr>
          <w:sz w:val="18"/>
        </w:rPr>
        <w:t>at</w:t>
      </w:r>
      <w:r>
        <w:rPr>
          <w:spacing w:val="-3"/>
          <w:sz w:val="18"/>
        </w:rPr>
        <w:t xml:space="preserve"> </w:t>
      </w:r>
      <w:r>
        <w:rPr>
          <w:sz w:val="18"/>
        </w:rPr>
        <w:t>China's</w:t>
      </w:r>
      <w:r>
        <w:rPr>
          <w:spacing w:val="-9"/>
          <w:sz w:val="18"/>
        </w:rPr>
        <w:t xml:space="preserve"> </w:t>
      </w:r>
      <w:r>
        <w:rPr>
          <w:sz w:val="18"/>
        </w:rPr>
        <w:t>first</w:t>
      </w:r>
      <w:r>
        <w:rPr>
          <w:spacing w:val="-3"/>
          <w:sz w:val="18"/>
        </w:rPr>
        <w:t xml:space="preserve"> </w:t>
      </w:r>
      <w:r>
        <w:rPr>
          <w:sz w:val="18"/>
        </w:rPr>
        <w:t>written</w:t>
      </w:r>
      <w:r>
        <w:rPr>
          <w:spacing w:val="-5"/>
          <w:sz w:val="18"/>
        </w:rPr>
        <w:t xml:space="preserve"> </w:t>
      </w:r>
      <w:r>
        <w:rPr>
          <w:sz w:val="18"/>
        </w:rPr>
        <w:t>submissions,</w:t>
      </w:r>
      <w:r>
        <w:rPr>
          <w:spacing w:val="-2"/>
          <w:sz w:val="18"/>
        </w:rPr>
        <w:t xml:space="preserve"> </w:t>
      </w:r>
      <w:r>
        <w:rPr>
          <w:sz w:val="18"/>
        </w:rPr>
        <w:t>paras.</w:t>
      </w:r>
      <w:r>
        <w:rPr>
          <w:spacing w:val="-3"/>
          <w:sz w:val="18"/>
        </w:rPr>
        <w:t xml:space="preserve"> </w:t>
      </w:r>
      <w:r>
        <w:rPr>
          <w:sz w:val="18"/>
        </w:rPr>
        <w:t>1051;</w:t>
      </w:r>
      <w:r>
        <w:rPr>
          <w:spacing w:val="-6"/>
          <w:sz w:val="18"/>
        </w:rPr>
        <w:t xml:space="preserve"> </w:t>
      </w:r>
      <w:r>
        <w:rPr>
          <w:sz w:val="18"/>
        </w:rPr>
        <w:t>CADA</w:t>
      </w:r>
      <w:r>
        <w:rPr>
          <w:spacing w:val="-5"/>
          <w:sz w:val="18"/>
        </w:rPr>
        <w:t xml:space="preserve"> </w:t>
      </w:r>
      <w:r>
        <w:rPr>
          <w:sz w:val="18"/>
        </w:rPr>
        <w:t>Application, Appendix</w:t>
      </w:r>
      <w:r>
        <w:rPr>
          <w:spacing w:val="-10"/>
          <w:sz w:val="18"/>
        </w:rPr>
        <w:t xml:space="preserve"> </w:t>
      </w:r>
      <w:r>
        <w:rPr>
          <w:sz w:val="18"/>
        </w:rPr>
        <w:t>14.</w:t>
      </w:r>
    </w:p>
    <w:p w14:paraId="42360DE5" w14:textId="77777777" w:rsidR="00BD462C" w:rsidRDefault="00033D0F">
      <w:pPr>
        <w:spacing w:before="3" w:line="218" w:lineRule="exact"/>
        <w:ind w:left="135"/>
        <w:jc w:val="both"/>
        <w:rPr>
          <w:sz w:val="18"/>
        </w:rPr>
      </w:pPr>
      <w:bookmarkStart w:id="1240" w:name="_bookmark1069"/>
      <w:bookmarkEnd w:id="1240"/>
      <w:r>
        <w:rPr>
          <w:position w:val="5"/>
          <w:sz w:val="12"/>
        </w:rPr>
        <w:t>917</w:t>
      </w:r>
      <w:r>
        <w:rPr>
          <w:spacing w:val="13"/>
          <w:position w:val="5"/>
          <w:sz w:val="12"/>
        </w:rPr>
        <w:t xml:space="preserve"> </w:t>
      </w:r>
      <w:r>
        <w:rPr>
          <w:sz w:val="18"/>
        </w:rPr>
        <w:t>China's response</w:t>
      </w:r>
      <w:r>
        <w:rPr>
          <w:spacing w:val="-5"/>
          <w:sz w:val="18"/>
        </w:rPr>
        <w:t xml:space="preserve"> </w:t>
      </w:r>
      <w:r>
        <w:rPr>
          <w:sz w:val="18"/>
        </w:rPr>
        <w:t>to</w:t>
      </w:r>
      <w:r>
        <w:rPr>
          <w:spacing w:val="-10"/>
          <w:sz w:val="18"/>
        </w:rPr>
        <w:t xml:space="preserve"> </w:t>
      </w:r>
      <w:r>
        <w:rPr>
          <w:sz w:val="18"/>
        </w:rPr>
        <w:t>Panel</w:t>
      </w:r>
      <w:r>
        <w:rPr>
          <w:spacing w:val="-4"/>
          <w:sz w:val="18"/>
        </w:rPr>
        <w:t xml:space="preserve"> </w:t>
      </w:r>
      <w:r>
        <w:rPr>
          <w:sz w:val="18"/>
        </w:rPr>
        <w:t>question</w:t>
      </w:r>
      <w:r>
        <w:rPr>
          <w:spacing w:val="-6"/>
          <w:sz w:val="18"/>
        </w:rPr>
        <w:t xml:space="preserve"> </w:t>
      </w:r>
      <w:r>
        <w:rPr>
          <w:sz w:val="18"/>
        </w:rPr>
        <w:t>No. 48,</w:t>
      </w:r>
      <w:r>
        <w:rPr>
          <w:spacing w:val="-3"/>
          <w:sz w:val="18"/>
        </w:rPr>
        <w:t xml:space="preserve"> </w:t>
      </w:r>
      <w:r>
        <w:rPr>
          <w:sz w:val="18"/>
        </w:rPr>
        <w:t>paras.</w:t>
      </w:r>
      <w:r>
        <w:rPr>
          <w:spacing w:val="1"/>
          <w:sz w:val="18"/>
        </w:rPr>
        <w:t xml:space="preserve"> </w:t>
      </w:r>
      <w:r>
        <w:rPr>
          <w:sz w:val="18"/>
        </w:rPr>
        <w:t>283-</w:t>
      </w:r>
      <w:r>
        <w:rPr>
          <w:spacing w:val="-4"/>
          <w:sz w:val="18"/>
        </w:rPr>
        <w:t>285.</w:t>
      </w:r>
    </w:p>
    <w:p w14:paraId="2EBFEC33" w14:textId="77777777" w:rsidR="00BD462C" w:rsidRDefault="00033D0F">
      <w:pPr>
        <w:ind w:left="135" w:right="911"/>
        <w:jc w:val="both"/>
        <w:rPr>
          <w:sz w:val="18"/>
        </w:rPr>
      </w:pPr>
      <w:bookmarkStart w:id="1241" w:name="_bookmark1070"/>
      <w:bookmarkEnd w:id="1241"/>
      <w:r>
        <w:rPr>
          <w:position w:val="5"/>
          <w:sz w:val="12"/>
        </w:rPr>
        <w:t>918</w:t>
      </w:r>
      <w:r>
        <w:rPr>
          <w:spacing w:val="40"/>
          <w:position w:val="5"/>
          <w:sz w:val="12"/>
        </w:rPr>
        <w:t xml:space="preserve"> </w:t>
      </w:r>
      <w:r>
        <w:rPr>
          <w:sz w:val="18"/>
        </w:rPr>
        <w:t>Anti-Dumping Final Determination (Exhibit AUS-2), pp. 122 ("Therefore, the volume increase and price declination of dumped</w:t>
      </w:r>
      <w:r>
        <w:rPr>
          <w:spacing w:val="-8"/>
          <w:sz w:val="18"/>
        </w:rPr>
        <w:t xml:space="preserve"> </w:t>
      </w:r>
      <w:r>
        <w:rPr>
          <w:sz w:val="18"/>
        </w:rPr>
        <w:t>imported</w:t>
      </w:r>
      <w:r>
        <w:rPr>
          <w:spacing w:val="-8"/>
          <w:sz w:val="18"/>
        </w:rPr>
        <w:t xml:space="preserve"> </w:t>
      </w:r>
      <w:r>
        <w:rPr>
          <w:sz w:val="18"/>
        </w:rPr>
        <w:t>product</w:t>
      </w:r>
      <w:r>
        <w:rPr>
          <w:spacing w:val="-6"/>
          <w:sz w:val="18"/>
        </w:rPr>
        <w:t xml:space="preserve"> </w:t>
      </w:r>
      <w:r>
        <w:rPr>
          <w:sz w:val="18"/>
        </w:rPr>
        <w:t>sufficed</w:t>
      </w:r>
      <w:r>
        <w:rPr>
          <w:spacing w:val="-8"/>
          <w:sz w:val="18"/>
        </w:rPr>
        <w:t xml:space="preserve"> </w:t>
      </w:r>
      <w:r>
        <w:rPr>
          <w:sz w:val="18"/>
        </w:rPr>
        <w:t>to</w:t>
      </w:r>
      <w:r>
        <w:rPr>
          <w:spacing w:val="-8"/>
          <w:sz w:val="18"/>
        </w:rPr>
        <w:t xml:space="preserve"> </w:t>
      </w:r>
      <w:r>
        <w:rPr>
          <w:sz w:val="18"/>
        </w:rPr>
        <w:t>cause</w:t>
      </w:r>
      <w:r>
        <w:rPr>
          <w:spacing w:val="-2"/>
          <w:sz w:val="18"/>
        </w:rPr>
        <w:t xml:space="preserve"> </w:t>
      </w:r>
      <w:r>
        <w:rPr>
          <w:sz w:val="18"/>
        </w:rPr>
        <w:t>a</w:t>
      </w:r>
      <w:r>
        <w:rPr>
          <w:spacing w:val="-9"/>
          <w:sz w:val="18"/>
        </w:rPr>
        <w:t xml:space="preserve"> </w:t>
      </w:r>
      <w:r>
        <w:rPr>
          <w:sz w:val="18"/>
        </w:rPr>
        <w:t>material</w:t>
      </w:r>
      <w:r>
        <w:rPr>
          <w:spacing w:val="-6"/>
          <w:sz w:val="18"/>
        </w:rPr>
        <w:t xml:space="preserve"> </w:t>
      </w:r>
      <w:r>
        <w:rPr>
          <w:sz w:val="18"/>
        </w:rPr>
        <w:t>adverse</w:t>
      </w:r>
      <w:r>
        <w:rPr>
          <w:spacing w:val="-7"/>
          <w:sz w:val="18"/>
        </w:rPr>
        <w:t xml:space="preserve"> </w:t>
      </w:r>
      <w:r>
        <w:rPr>
          <w:sz w:val="18"/>
        </w:rPr>
        <w:t>impact</w:t>
      </w:r>
      <w:r>
        <w:rPr>
          <w:spacing w:val="-2"/>
          <w:sz w:val="18"/>
        </w:rPr>
        <w:t xml:space="preserve"> </w:t>
      </w:r>
      <w:r>
        <w:rPr>
          <w:sz w:val="18"/>
        </w:rPr>
        <w:t>on</w:t>
      </w:r>
      <w:r>
        <w:rPr>
          <w:spacing w:val="-8"/>
          <w:sz w:val="18"/>
        </w:rPr>
        <w:t xml:space="preserve"> </w:t>
      </w:r>
      <w:r>
        <w:rPr>
          <w:sz w:val="18"/>
        </w:rPr>
        <w:t>the</w:t>
      </w:r>
      <w:r>
        <w:rPr>
          <w:spacing w:val="-7"/>
          <w:sz w:val="18"/>
        </w:rPr>
        <w:t xml:space="preserve"> </w:t>
      </w:r>
      <w:r>
        <w:rPr>
          <w:sz w:val="18"/>
        </w:rPr>
        <w:t>price</w:t>
      </w:r>
      <w:r>
        <w:rPr>
          <w:spacing w:val="-7"/>
          <w:sz w:val="18"/>
        </w:rPr>
        <w:t xml:space="preserve"> </w:t>
      </w:r>
      <w:r>
        <w:rPr>
          <w:sz w:val="18"/>
        </w:rPr>
        <w:t>of</w:t>
      </w:r>
      <w:r>
        <w:rPr>
          <w:spacing w:val="-6"/>
          <w:sz w:val="18"/>
        </w:rPr>
        <w:t xml:space="preserve"> </w:t>
      </w:r>
      <w:r>
        <w:rPr>
          <w:sz w:val="18"/>
        </w:rPr>
        <w:t>domestic</w:t>
      </w:r>
      <w:r>
        <w:rPr>
          <w:spacing w:val="-8"/>
          <w:sz w:val="18"/>
        </w:rPr>
        <w:t xml:space="preserve"> </w:t>
      </w:r>
      <w:r>
        <w:rPr>
          <w:sz w:val="18"/>
        </w:rPr>
        <w:t>like</w:t>
      </w:r>
      <w:r>
        <w:rPr>
          <w:spacing w:val="-2"/>
          <w:sz w:val="18"/>
        </w:rPr>
        <w:t xml:space="preserve"> </w:t>
      </w:r>
      <w:r>
        <w:rPr>
          <w:sz w:val="18"/>
        </w:rPr>
        <w:t>products.");</w:t>
      </w:r>
      <w:r>
        <w:rPr>
          <w:spacing w:val="-8"/>
          <w:sz w:val="18"/>
        </w:rPr>
        <w:t xml:space="preserve"> </w:t>
      </w:r>
      <w:r>
        <w:rPr>
          <w:sz w:val="18"/>
        </w:rPr>
        <w:t>136</w:t>
      </w:r>
      <w:r>
        <w:rPr>
          <w:spacing w:val="-9"/>
          <w:sz w:val="18"/>
        </w:rPr>
        <w:t xml:space="preserve"> </w:t>
      </w:r>
      <w:r>
        <w:rPr>
          <w:sz w:val="18"/>
        </w:rPr>
        <w:t>("During the injury investigation period, the price of the dumped imported product declined continuously […] Because of the suppressed</w:t>
      </w:r>
      <w:r>
        <w:rPr>
          <w:spacing w:val="-9"/>
          <w:sz w:val="18"/>
        </w:rPr>
        <w:t xml:space="preserve"> </w:t>
      </w:r>
      <w:r>
        <w:rPr>
          <w:sz w:val="18"/>
        </w:rPr>
        <w:t>price,</w:t>
      </w:r>
      <w:r>
        <w:rPr>
          <w:spacing w:val="-6"/>
          <w:sz w:val="18"/>
        </w:rPr>
        <w:t xml:space="preserve"> </w:t>
      </w:r>
      <w:r>
        <w:rPr>
          <w:sz w:val="18"/>
        </w:rPr>
        <w:t>the</w:t>
      </w:r>
      <w:r>
        <w:rPr>
          <w:spacing w:val="-3"/>
          <w:sz w:val="18"/>
        </w:rPr>
        <w:t xml:space="preserve"> </w:t>
      </w:r>
      <w:r>
        <w:rPr>
          <w:sz w:val="18"/>
        </w:rPr>
        <w:t>pre-tax</w:t>
      </w:r>
      <w:r>
        <w:rPr>
          <w:spacing w:val="-6"/>
          <w:sz w:val="18"/>
        </w:rPr>
        <w:t xml:space="preserve"> </w:t>
      </w:r>
      <w:r>
        <w:rPr>
          <w:sz w:val="18"/>
        </w:rPr>
        <w:t>profit</w:t>
      </w:r>
      <w:r>
        <w:rPr>
          <w:spacing w:val="-7"/>
          <w:sz w:val="18"/>
        </w:rPr>
        <w:t xml:space="preserve"> </w:t>
      </w:r>
      <w:r>
        <w:rPr>
          <w:sz w:val="18"/>
        </w:rPr>
        <w:t>of</w:t>
      </w:r>
      <w:r>
        <w:rPr>
          <w:spacing w:val="-7"/>
          <w:sz w:val="18"/>
        </w:rPr>
        <w:t xml:space="preserve"> </w:t>
      </w:r>
      <w:r>
        <w:rPr>
          <w:sz w:val="18"/>
        </w:rPr>
        <w:t>domestic</w:t>
      </w:r>
      <w:r>
        <w:rPr>
          <w:spacing w:val="-9"/>
          <w:sz w:val="18"/>
        </w:rPr>
        <w:t xml:space="preserve"> </w:t>
      </w:r>
      <w:r>
        <w:rPr>
          <w:sz w:val="18"/>
        </w:rPr>
        <w:t>like</w:t>
      </w:r>
      <w:r>
        <w:rPr>
          <w:spacing w:val="-8"/>
          <w:sz w:val="18"/>
        </w:rPr>
        <w:t xml:space="preserve"> </w:t>
      </w:r>
      <w:r>
        <w:rPr>
          <w:sz w:val="18"/>
        </w:rPr>
        <w:t>products</w:t>
      </w:r>
      <w:r>
        <w:rPr>
          <w:spacing w:val="-8"/>
          <w:sz w:val="18"/>
        </w:rPr>
        <w:t xml:space="preserve"> </w:t>
      </w:r>
      <w:r>
        <w:rPr>
          <w:sz w:val="18"/>
        </w:rPr>
        <w:t>dropped,</w:t>
      </w:r>
      <w:r>
        <w:rPr>
          <w:spacing w:val="-6"/>
          <w:sz w:val="18"/>
        </w:rPr>
        <w:t xml:space="preserve"> </w:t>
      </w:r>
      <w:r>
        <w:rPr>
          <w:sz w:val="18"/>
        </w:rPr>
        <w:t>their</w:t>
      </w:r>
      <w:r>
        <w:rPr>
          <w:spacing w:val="-10"/>
          <w:sz w:val="18"/>
        </w:rPr>
        <w:t xml:space="preserve"> </w:t>
      </w:r>
      <w:r>
        <w:rPr>
          <w:sz w:val="18"/>
        </w:rPr>
        <w:t>output,</w:t>
      </w:r>
      <w:r>
        <w:rPr>
          <w:spacing w:val="-6"/>
          <w:sz w:val="18"/>
        </w:rPr>
        <w:t xml:space="preserve"> </w:t>
      </w:r>
      <w:r>
        <w:rPr>
          <w:sz w:val="18"/>
        </w:rPr>
        <w:t>sales</w:t>
      </w:r>
      <w:r>
        <w:rPr>
          <w:spacing w:val="-8"/>
          <w:sz w:val="18"/>
        </w:rPr>
        <w:t xml:space="preserve"> </w:t>
      </w:r>
      <w:r>
        <w:rPr>
          <w:sz w:val="18"/>
        </w:rPr>
        <w:t>volume,</w:t>
      </w:r>
      <w:r>
        <w:rPr>
          <w:spacing w:val="-6"/>
          <w:sz w:val="18"/>
        </w:rPr>
        <w:t xml:space="preserve"> </w:t>
      </w:r>
      <w:r>
        <w:rPr>
          <w:sz w:val="18"/>
        </w:rPr>
        <w:t>PBT,</w:t>
      </w:r>
      <w:r>
        <w:rPr>
          <w:spacing w:val="-1"/>
          <w:sz w:val="18"/>
        </w:rPr>
        <w:t xml:space="preserve"> </w:t>
      </w:r>
      <w:r>
        <w:rPr>
          <w:sz w:val="18"/>
        </w:rPr>
        <w:t>return</w:t>
      </w:r>
      <w:r>
        <w:rPr>
          <w:spacing w:val="-4"/>
          <w:sz w:val="18"/>
        </w:rPr>
        <w:t xml:space="preserve"> </w:t>
      </w:r>
      <w:r>
        <w:rPr>
          <w:sz w:val="18"/>
        </w:rPr>
        <w:t>on</w:t>
      </w:r>
      <w:r>
        <w:rPr>
          <w:spacing w:val="-9"/>
          <w:sz w:val="18"/>
        </w:rPr>
        <w:t xml:space="preserve"> </w:t>
      </w:r>
      <w:r>
        <w:rPr>
          <w:sz w:val="18"/>
        </w:rPr>
        <w:t xml:space="preserve">investment (ROI), operating rate and employment volume declined year by year, and their market share, sales revenue, </w:t>
      </w:r>
      <w:proofErr w:type="spellStart"/>
      <w:r>
        <w:rPr>
          <w:sz w:val="18"/>
        </w:rPr>
        <w:t>labour</w:t>
      </w:r>
      <w:proofErr w:type="spellEnd"/>
      <w:r>
        <w:rPr>
          <w:sz w:val="18"/>
        </w:rPr>
        <w:t xml:space="preserve"> productivity and net cash flow from operating activities were in a downtrend. To sum up, the dumped imported product caused</w:t>
      </w:r>
      <w:r>
        <w:rPr>
          <w:spacing w:val="-7"/>
          <w:sz w:val="18"/>
        </w:rPr>
        <w:t xml:space="preserve"> </w:t>
      </w:r>
      <w:r>
        <w:rPr>
          <w:sz w:val="18"/>
        </w:rPr>
        <w:t>severe</w:t>
      </w:r>
      <w:r>
        <w:rPr>
          <w:spacing w:val="-7"/>
          <w:sz w:val="18"/>
        </w:rPr>
        <w:t xml:space="preserve"> </w:t>
      </w:r>
      <w:r>
        <w:rPr>
          <w:sz w:val="18"/>
        </w:rPr>
        <w:t>injury</w:t>
      </w:r>
      <w:r>
        <w:rPr>
          <w:spacing w:val="-9"/>
          <w:sz w:val="18"/>
        </w:rPr>
        <w:t xml:space="preserve"> </w:t>
      </w:r>
      <w:r>
        <w:rPr>
          <w:sz w:val="18"/>
        </w:rPr>
        <w:t>to</w:t>
      </w:r>
      <w:r>
        <w:rPr>
          <w:spacing w:val="-8"/>
          <w:sz w:val="18"/>
        </w:rPr>
        <w:t xml:space="preserve"> </w:t>
      </w:r>
      <w:r>
        <w:rPr>
          <w:sz w:val="18"/>
        </w:rPr>
        <w:t>domestic</w:t>
      </w:r>
      <w:r>
        <w:rPr>
          <w:spacing w:val="-3"/>
          <w:sz w:val="18"/>
        </w:rPr>
        <w:t xml:space="preserve"> </w:t>
      </w:r>
      <w:r>
        <w:rPr>
          <w:sz w:val="18"/>
        </w:rPr>
        <w:t>industrial</w:t>
      </w:r>
      <w:r>
        <w:rPr>
          <w:spacing w:val="-1"/>
          <w:sz w:val="18"/>
        </w:rPr>
        <w:t xml:space="preserve"> </w:t>
      </w:r>
      <w:r>
        <w:rPr>
          <w:sz w:val="18"/>
        </w:rPr>
        <w:t>production</w:t>
      </w:r>
      <w:r>
        <w:rPr>
          <w:spacing w:val="-3"/>
          <w:sz w:val="18"/>
        </w:rPr>
        <w:t xml:space="preserve"> </w:t>
      </w:r>
      <w:r>
        <w:rPr>
          <w:sz w:val="18"/>
        </w:rPr>
        <w:t>and</w:t>
      </w:r>
      <w:r>
        <w:rPr>
          <w:spacing w:val="-3"/>
          <w:sz w:val="18"/>
        </w:rPr>
        <w:t xml:space="preserve"> </w:t>
      </w:r>
      <w:r>
        <w:rPr>
          <w:sz w:val="18"/>
        </w:rPr>
        <w:t>operation.</w:t>
      </w:r>
      <w:r>
        <w:rPr>
          <w:spacing w:val="-6"/>
          <w:sz w:val="18"/>
        </w:rPr>
        <w:t xml:space="preserve"> </w:t>
      </w:r>
      <w:r>
        <w:rPr>
          <w:sz w:val="18"/>
        </w:rPr>
        <w:t>In</w:t>
      </w:r>
      <w:r>
        <w:rPr>
          <w:spacing w:val="-8"/>
          <w:sz w:val="18"/>
        </w:rPr>
        <w:t xml:space="preserve"> </w:t>
      </w:r>
      <w:r>
        <w:rPr>
          <w:sz w:val="18"/>
        </w:rPr>
        <w:t>summary, the</w:t>
      </w:r>
      <w:r>
        <w:rPr>
          <w:spacing w:val="-7"/>
          <w:sz w:val="18"/>
        </w:rPr>
        <w:t xml:space="preserve"> </w:t>
      </w:r>
      <w:r>
        <w:rPr>
          <w:sz w:val="18"/>
        </w:rPr>
        <w:t>Investigating</w:t>
      </w:r>
      <w:r>
        <w:rPr>
          <w:spacing w:val="-2"/>
          <w:sz w:val="18"/>
        </w:rPr>
        <w:t xml:space="preserve"> </w:t>
      </w:r>
      <w:r>
        <w:rPr>
          <w:sz w:val="18"/>
        </w:rPr>
        <w:t>Authority</w:t>
      </w:r>
      <w:r>
        <w:rPr>
          <w:spacing w:val="-9"/>
          <w:sz w:val="18"/>
        </w:rPr>
        <w:t xml:space="preserve"> </w:t>
      </w:r>
      <w:r>
        <w:rPr>
          <w:sz w:val="18"/>
        </w:rPr>
        <w:t>determined</w:t>
      </w:r>
      <w:r>
        <w:rPr>
          <w:spacing w:val="-8"/>
          <w:sz w:val="18"/>
        </w:rPr>
        <w:t xml:space="preserve"> </w:t>
      </w:r>
      <w:r>
        <w:rPr>
          <w:sz w:val="18"/>
        </w:rPr>
        <w:t>in the</w:t>
      </w:r>
      <w:r>
        <w:rPr>
          <w:spacing w:val="-2"/>
          <w:sz w:val="18"/>
        </w:rPr>
        <w:t xml:space="preserve"> </w:t>
      </w:r>
      <w:r>
        <w:rPr>
          <w:sz w:val="18"/>
        </w:rPr>
        <w:t>Preliminary Ruling that there</w:t>
      </w:r>
      <w:r>
        <w:rPr>
          <w:spacing w:val="-2"/>
          <w:sz w:val="18"/>
        </w:rPr>
        <w:t xml:space="preserve"> </w:t>
      </w:r>
      <w:r>
        <w:rPr>
          <w:sz w:val="18"/>
        </w:rPr>
        <w:t>is a causal</w:t>
      </w:r>
      <w:r>
        <w:rPr>
          <w:spacing w:val="-1"/>
          <w:sz w:val="18"/>
        </w:rPr>
        <w:t xml:space="preserve"> </w:t>
      </w:r>
      <w:r>
        <w:rPr>
          <w:sz w:val="18"/>
        </w:rPr>
        <w:t>link between</w:t>
      </w:r>
      <w:r>
        <w:rPr>
          <w:spacing w:val="-3"/>
          <w:sz w:val="18"/>
        </w:rPr>
        <w:t xml:space="preserve"> </w:t>
      </w:r>
      <w:r>
        <w:rPr>
          <w:sz w:val="18"/>
        </w:rPr>
        <w:t>the dumped imported product and the material injury suffered</w:t>
      </w:r>
      <w:r>
        <w:rPr>
          <w:spacing w:val="-3"/>
          <w:sz w:val="18"/>
        </w:rPr>
        <w:t xml:space="preserve"> </w:t>
      </w:r>
      <w:r>
        <w:rPr>
          <w:sz w:val="18"/>
        </w:rPr>
        <w:t>by the domestic relevant wine industry.").</w:t>
      </w:r>
    </w:p>
    <w:p w14:paraId="13D52A7C" w14:textId="77777777" w:rsidR="00BD462C" w:rsidRDefault="00BD462C">
      <w:pPr>
        <w:jc w:val="both"/>
        <w:rPr>
          <w:sz w:val="18"/>
        </w:rPr>
        <w:sectPr w:rsidR="00BD462C">
          <w:pgSz w:w="11910" w:h="16840"/>
          <w:pgMar w:top="860" w:right="500" w:bottom="780" w:left="1280" w:header="566" w:footer="590" w:gutter="0"/>
          <w:cols w:space="720"/>
        </w:sectPr>
      </w:pPr>
    </w:p>
    <w:p w14:paraId="73CB953C" w14:textId="77777777" w:rsidR="00BD462C" w:rsidRDefault="00033D0F">
      <w:pPr>
        <w:tabs>
          <w:tab w:val="left" w:pos="6087"/>
        </w:tabs>
        <w:spacing w:before="1"/>
        <w:ind w:left="135"/>
        <w:jc w:val="both"/>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642915DB" w14:textId="77777777" w:rsidR="00BD462C" w:rsidRDefault="00033D0F">
      <w:pPr>
        <w:spacing w:before="1"/>
        <w:ind w:left="135"/>
        <w:jc w:val="both"/>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17386487" w14:textId="77777777" w:rsidR="00BD462C" w:rsidRDefault="00033D0F">
      <w:pPr>
        <w:tabs>
          <w:tab w:val="left" w:pos="7652"/>
        </w:tabs>
        <w:ind w:left="135"/>
        <w:jc w:val="both"/>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69754D15" w14:textId="77777777" w:rsidR="00BD462C" w:rsidRDefault="00033D0F">
      <w:pPr>
        <w:pStyle w:val="BodyText"/>
        <w:spacing w:before="102" w:line="360" w:lineRule="auto"/>
        <w:ind w:left="136" w:right="912"/>
        <w:jc w:val="both"/>
      </w:pPr>
      <w:r>
        <w:t>to</w:t>
      </w:r>
      <w:r>
        <w:rPr>
          <w:spacing w:val="-10"/>
        </w:rPr>
        <w:t xml:space="preserve"> </w:t>
      </w:r>
      <w:r>
        <w:t>a</w:t>
      </w:r>
      <w:r>
        <w:rPr>
          <w:spacing w:val="-8"/>
        </w:rPr>
        <w:t xml:space="preserve"> </w:t>
      </w:r>
      <w:r>
        <w:t>known</w:t>
      </w:r>
      <w:r>
        <w:rPr>
          <w:spacing w:val="-9"/>
        </w:rPr>
        <w:t xml:space="preserve"> </w:t>
      </w:r>
      <w:r>
        <w:t>factor</w:t>
      </w:r>
      <w:r>
        <w:rPr>
          <w:spacing w:val="-10"/>
        </w:rPr>
        <w:t xml:space="preserve"> </w:t>
      </w:r>
      <w:r>
        <w:t>other</w:t>
      </w:r>
      <w:r>
        <w:rPr>
          <w:spacing w:val="-10"/>
        </w:rPr>
        <w:t xml:space="preserve"> </w:t>
      </w:r>
      <w:r>
        <w:t>than</w:t>
      </w:r>
      <w:r>
        <w:rPr>
          <w:spacing w:val="-9"/>
        </w:rPr>
        <w:t xml:space="preserve"> </w:t>
      </w:r>
      <w:r>
        <w:t>dumped</w:t>
      </w:r>
      <w:r>
        <w:rPr>
          <w:spacing w:val="-9"/>
        </w:rPr>
        <w:t xml:space="preserve"> </w:t>
      </w:r>
      <w:r>
        <w:t>imports.</w:t>
      </w:r>
      <w:r>
        <w:rPr>
          <w:spacing w:val="-6"/>
        </w:rPr>
        <w:t xml:space="preserve"> </w:t>
      </w:r>
      <w:r>
        <w:t>As</w:t>
      </w:r>
      <w:r>
        <w:rPr>
          <w:spacing w:val="-10"/>
        </w:rPr>
        <w:t xml:space="preserve"> </w:t>
      </w:r>
      <w:r>
        <w:t>a</w:t>
      </w:r>
      <w:r>
        <w:rPr>
          <w:spacing w:val="-8"/>
        </w:rPr>
        <w:t xml:space="preserve"> </w:t>
      </w:r>
      <w:r>
        <w:t>result,</w:t>
      </w:r>
      <w:r>
        <w:rPr>
          <w:spacing w:val="-10"/>
        </w:rPr>
        <w:t xml:space="preserve"> </w:t>
      </w:r>
      <w:r>
        <w:t>MOFCOM</w:t>
      </w:r>
      <w:r>
        <w:rPr>
          <w:spacing w:val="-11"/>
        </w:rPr>
        <w:t xml:space="preserve"> </w:t>
      </w:r>
      <w:r>
        <w:t>was</w:t>
      </w:r>
      <w:r>
        <w:rPr>
          <w:spacing w:val="-6"/>
        </w:rPr>
        <w:t xml:space="preserve"> </w:t>
      </w:r>
      <w:r>
        <w:t>obligated</w:t>
      </w:r>
      <w:r>
        <w:rPr>
          <w:spacing w:val="-9"/>
        </w:rPr>
        <w:t xml:space="preserve"> </w:t>
      </w:r>
      <w:r>
        <w:t>to</w:t>
      </w:r>
      <w:r>
        <w:rPr>
          <w:spacing w:val="-10"/>
        </w:rPr>
        <w:t xml:space="preserve"> </w:t>
      </w:r>
      <w:r>
        <w:t>identify and</w:t>
      </w:r>
      <w:r>
        <w:rPr>
          <w:spacing w:val="-4"/>
        </w:rPr>
        <w:t xml:space="preserve"> </w:t>
      </w:r>
      <w:r>
        <w:t>separate</w:t>
      </w:r>
      <w:r>
        <w:rPr>
          <w:spacing w:val="-2"/>
        </w:rPr>
        <w:t xml:space="preserve"> </w:t>
      </w:r>
      <w:r>
        <w:t>the</w:t>
      </w:r>
      <w:r>
        <w:rPr>
          <w:spacing w:val="-3"/>
        </w:rPr>
        <w:t xml:space="preserve"> </w:t>
      </w:r>
      <w:r>
        <w:t>injury</w:t>
      </w:r>
      <w:r>
        <w:rPr>
          <w:spacing w:val="-1"/>
        </w:rPr>
        <w:t xml:space="preserve"> </w:t>
      </w:r>
      <w:r>
        <w:t>caused by</w:t>
      </w:r>
      <w:r>
        <w:rPr>
          <w:spacing w:val="-1"/>
        </w:rPr>
        <w:t xml:space="preserve"> </w:t>
      </w:r>
      <w:r>
        <w:t>the</w:t>
      </w:r>
      <w:r>
        <w:rPr>
          <w:spacing w:val="-3"/>
        </w:rPr>
        <w:t xml:space="preserve"> </w:t>
      </w:r>
      <w:r>
        <w:t>price</w:t>
      </w:r>
      <w:r>
        <w:rPr>
          <w:spacing w:val="-2"/>
        </w:rPr>
        <w:t xml:space="preserve"> </w:t>
      </w:r>
      <w:r>
        <w:t>decline</w:t>
      </w:r>
      <w:r>
        <w:rPr>
          <w:spacing w:val="-3"/>
        </w:rPr>
        <w:t xml:space="preserve"> </w:t>
      </w:r>
      <w:r>
        <w:t>associated</w:t>
      </w:r>
      <w:r>
        <w:rPr>
          <w:spacing w:val="-4"/>
        </w:rPr>
        <w:t xml:space="preserve"> </w:t>
      </w:r>
      <w:r>
        <w:t>with</w:t>
      </w:r>
      <w:r>
        <w:rPr>
          <w:spacing w:val="-4"/>
        </w:rPr>
        <w:t xml:space="preserve"> </w:t>
      </w:r>
      <w:r>
        <w:t>the</w:t>
      </w:r>
      <w:r>
        <w:rPr>
          <w:spacing w:val="-3"/>
        </w:rPr>
        <w:t xml:space="preserve"> </w:t>
      </w:r>
      <w:r>
        <w:t>tariff</w:t>
      </w:r>
      <w:r>
        <w:rPr>
          <w:spacing w:val="-4"/>
        </w:rPr>
        <w:t xml:space="preserve"> </w:t>
      </w:r>
      <w:r>
        <w:t>reductions</w:t>
      </w:r>
      <w:r>
        <w:rPr>
          <w:spacing w:val="-1"/>
        </w:rPr>
        <w:t xml:space="preserve"> </w:t>
      </w:r>
      <w:r>
        <w:t>from the injury it determined was caused by the price decline alleged to have resulted from the effects of dumping. Under the circumstances, an objective and unbiased investigating authority could not have summarily dismissed this factor without conducting an objective non-attribution analysis to identify, separate, and distinguish the impact it was having.</w:t>
      </w:r>
    </w:p>
    <w:p w14:paraId="541B07C1" w14:textId="77777777" w:rsidR="00BD462C" w:rsidRDefault="00BD462C">
      <w:pPr>
        <w:pStyle w:val="BodyText"/>
        <w:spacing w:before="8"/>
        <w:rPr>
          <w:sz w:val="8"/>
        </w:rPr>
      </w:pPr>
    </w:p>
    <w:p w14:paraId="2C054AE2" w14:textId="5CE58B82" w:rsidR="00BD462C" w:rsidRDefault="00BB6E3A">
      <w:pPr>
        <w:pStyle w:val="BodyText"/>
        <w:spacing w:before="56" w:line="360" w:lineRule="auto"/>
        <w:ind w:left="135" w:right="911"/>
        <w:jc w:val="both"/>
      </w:pPr>
      <w:r>
        <w:rPr>
          <w:noProof/>
        </w:rPr>
        <w:t>588.</w:t>
      </w:r>
      <w:r w:rsidR="00033D0F">
        <w:rPr>
          <w:rFonts w:ascii="Times New Roman" w:hAnsi="Times New Roman"/>
          <w:spacing w:val="80"/>
          <w:w w:val="150"/>
          <w:position w:val="1"/>
          <w:sz w:val="20"/>
        </w:rPr>
        <w:t xml:space="preserve"> </w:t>
      </w:r>
      <w:r w:rsidR="00033D0F">
        <w:rPr>
          <w:position w:val="1"/>
        </w:rPr>
        <w:t xml:space="preserve">The balance of China's submissions appears to fundamentally misunderstand </w:t>
      </w:r>
      <w:r w:rsidR="00033D0F">
        <w:t>Australia's argument on this</w:t>
      </w:r>
      <w:r w:rsidR="00033D0F">
        <w:rPr>
          <w:spacing w:val="-1"/>
        </w:rPr>
        <w:t xml:space="preserve"> </w:t>
      </w:r>
      <w:r w:rsidR="00033D0F">
        <w:t>issue.</w:t>
      </w:r>
      <w:r w:rsidR="00033D0F">
        <w:rPr>
          <w:spacing w:val="-1"/>
        </w:rPr>
        <w:t xml:space="preserve"> </w:t>
      </w:r>
      <w:r w:rsidR="00033D0F">
        <w:t>China's</w:t>
      </w:r>
      <w:r w:rsidR="00033D0F">
        <w:rPr>
          <w:spacing w:val="-1"/>
        </w:rPr>
        <w:t xml:space="preserve"> </w:t>
      </w:r>
      <w:r w:rsidR="00033D0F">
        <w:t>submissions on FTAs generally</w:t>
      </w:r>
      <w:hyperlink w:anchor="_bookmark1071" w:history="1">
        <w:r w:rsidR="00033D0F">
          <w:rPr>
            <w:vertAlign w:val="superscript"/>
          </w:rPr>
          <w:t>919</w:t>
        </w:r>
      </w:hyperlink>
      <w:r w:rsidR="00033D0F">
        <w:t xml:space="preserve"> or the </w:t>
      </w:r>
      <w:proofErr w:type="spellStart"/>
      <w:r w:rsidR="00033D0F">
        <w:t>behaviour</w:t>
      </w:r>
      <w:proofErr w:type="spellEnd"/>
      <w:r w:rsidR="00033D0F">
        <w:t xml:space="preserve"> of exporters and importers and their price dynamics, as interpreted by researchers in a completely different</w:t>
      </w:r>
      <w:r w:rsidR="00033D0F">
        <w:rPr>
          <w:spacing w:val="-1"/>
        </w:rPr>
        <w:t xml:space="preserve"> </w:t>
      </w:r>
      <w:r w:rsidR="00033D0F">
        <w:t>context,</w:t>
      </w:r>
      <w:hyperlink w:anchor="_bookmark1072" w:history="1">
        <w:r w:rsidR="00033D0F">
          <w:rPr>
            <w:vertAlign w:val="superscript"/>
          </w:rPr>
          <w:t>920</w:t>
        </w:r>
      </w:hyperlink>
      <w:r w:rsidR="00033D0F">
        <w:rPr>
          <w:spacing w:val="-1"/>
        </w:rPr>
        <w:t xml:space="preserve"> </w:t>
      </w:r>
      <w:r w:rsidR="00033D0F">
        <w:t>are</w:t>
      </w:r>
      <w:r w:rsidR="00033D0F">
        <w:rPr>
          <w:spacing w:val="-1"/>
        </w:rPr>
        <w:t xml:space="preserve"> </w:t>
      </w:r>
      <w:r w:rsidR="00033D0F">
        <w:t>irrelevant</w:t>
      </w:r>
      <w:r w:rsidR="00033D0F">
        <w:rPr>
          <w:spacing w:val="-1"/>
        </w:rPr>
        <w:t xml:space="preserve"> </w:t>
      </w:r>
      <w:r w:rsidR="00033D0F">
        <w:t>to</w:t>
      </w:r>
      <w:r w:rsidR="00033D0F">
        <w:rPr>
          <w:spacing w:val="-4"/>
        </w:rPr>
        <w:t xml:space="preserve"> </w:t>
      </w:r>
      <w:r w:rsidR="00033D0F">
        <w:t>the</w:t>
      </w:r>
      <w:r w:rsidR="00033D0F">
        <w:rPr>
          <w:spacing w:val="-1"/>
        </w:rPr>
        <w:t xml:space="preserve"> </w:t>
      </w:r>
      <w:r w:rsidR="00033D0F">
        <w:t>facts and</w:t>
      </w:r>
      <w:r w:rsidR="00033D0F">
        <w:rPr>
          <w:spacing w:val="-3"/>
        </w:rPr>
        <w:t xml:space="preserve"> </w:t>
      </w:r>
      <w:r w:rsidR="00033D0F">
        <w:t>circumstances in</w:t>
      </w:r>
      <w:r w:rsidR="00033D0F">
        <w:rPr>
          <w:spacing w:val="-3"/>
        </w:rPr>
        <w:t xml:space="preserve"> </w:t>
      </w:r>
      <w:r w:rsidR="00033D0F">
        <w:t>this case, the evidence that was on the investigation record before MOFCOM, and the resolution of this dispute. Finally, Australia clarifies that the phrase "other negotiated outcomes" is not intended to denote a separate or distinct non-attribution factor. The phrase is used in a general sense to refer to the broader implications of an FTA agreement – namely facilitating open and preferential cross-border trade.</w:t>
      </w:r>
      <w:hyperlink w:anchor="_bookmark1073" w:history="1">
        <w:r w:rsidR="00033D0F">
          <w:rPr>
            <w:vertAlign w:val="superscript"/>
          </w:rPr>
          <w:t>921</w:t>
        </w:r>
      </w:hyperlink>
    </w:p>
    <w:p w14:paraId="62169CC9" w14:textId="77777777" w:rsidR="00BD462C" w:rsidRDefault="00033D0F">
      <w:pPr>
        <w:pStyle w:val="ListParagraph"/>
        <w:numPr>
          <w:ilvl w:val="1"/>
          <w:numId w:val="32"/>
        </w:numPr>
        <w:tabs>
          <w:tab w:val="left" w:pos="3539"/>
          <w:tab w:val="left" w:pos="3540"/>
        </w:tabs>
        <w:spacing w:before="159"/>
        <w:ind w:hanging="851"/>
        <w:jc w:val="both"/>
        <w:rPr>
          <w:sz w:val="24"/>
        </w:rPr>
      </w:pPr>
      <w:bookmarkStart w:id="1242" w:name="(b)_Third_country_imports"/>
      <w:bookmarkEnd w:id="1242"/>
      <w:r>
        <w:rPr>
          <w:sz w:val="24"/>
          <w:u w:val="single"/>
        </w:rPr>
        <w:t>Third</w:t>
      </w:r>
      <w:r>
        <w:rPr>
          <w:spacing w:val="-8"/>
          <w:sz w:val="24"/>
          <w:u w:val="single"/>
        </w:rPr>
        <w:t xml:space="preserve"> </w:t>
      </w:r>
      <w:r>
        <w:rPr>
          <w:sz w:val="24"/>
          <w:u w:val="single"/>
        </w:rPr>
        <w:t>country</w:t>
      </w:r>
      <w:r>
        <w:rPr>
          <w:spacing w:val="-4"/>
          <w:sz w:val="24"/>
          <w:u w:val="single"/>
        </w:rPr>
        <w:t xml:space="preserve"> </w:t>
      </w:r>
      <w:r>
        <w:rPr>
          <w:spacing w:val="-2"/>
          <w:sz w:val="24"/>
          <w:u w:val="single"/>
        </w:rPr>
        <w:t>imports</w:t>
      </w:r>
    </w:p>
    <w:p w14:paraId="1889BF50" w14:textId="77777777" w:rsidR="00BD462C" w:rsidRDefault="00BD462C">
      <w:pPr>
        <w:pStyle w:val="BodyText"/>
        <w:spacing w:before="6"/>
        <w:rPr>
          <w:sz w:val="20"/>
        </w:rPr>
      </w:pPr>
    </w:p>
    <w:p w14:paraId="777D0FF0" w14:textId="5971B144" w:rsidR="00BD462C" w:rsidRDefault="00752F01">
      <w:pPr>
        <w:pStyle w:val="BodyText"/>
        <w:spacing w:before="56" w:line="360" w:lineRule="auto"/>
        <w:ind w:left="135" w:right="911"/>
        <w:jc w:val="both"/>
      </w:pPr>
      <w:r>
        <w:rPr>
          <w:noProof/>
        </w:rPr>
        <mc:AlternateContent>
          <mc:Choice Requires="wps">
            <w:drawing>
              <wp:anchor distT="0" distB="0" distL="0" distR="0" simplePos="0" relativeHeight="488237568" behindDoc="1" locked="0" layoutInCell="1" allowOverlap="1" wp14:anchorId="7AEA40F9" wp14:editId="7D22F363">
                <wp:simplePos x="0" y="0"/>
                <wp:positionH relativeFrom="page">
                  <wp:posOffset>812800</wp:posOffset>
                </wp:positionH>
                <wp:positionV relativeFrom="paragraph">
                  <wp:posOffset>1656715</wp:posOffset>
                </wp:positionV>
                <wp:extent cx="1828800" cy="8890"/>
                <wp:effectExtent l="0" t="0" r="0" b="0"/>
                <wp:wrapTopAndBottom/>
                <wp:docPr id="217" name="docshape6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2B0090" id="docshape664" o:spid="_x0000_s1026" alt="&quot;&quot;" style="position:absolute;margin-left:64pt;margin-top:130.45pt;width:2in;height:.7pt;z-index:-1507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" fillcolor="black" stroked="f">
                <w10:wrap type="topAndBottom" anchorx="page"/>
              </v:rect>
            </w:pict>
          </mc:Fallback>
        </mc:AlternateContent>
      </w:r>
      <w:r w:rsidR="00BB6E3A">
        <w:rPr>
          <w:noProof/>
        </w:rPr>
        <w:t>589.</w:t>
      </w:r>
      <w:r w:rsidR="00033D0F">
        <w:rPr>
          <w:rFonts w:ascii="Times New Roman"/>
          <w:spacing w:val="80"/>
          <w:position w:val="1"/>
          <w:sz w:val="20"/>
        </w:rPr>
        <w:t xml:space="preserve"> </w:t>
      </w:r>
      <w:r w:rsidR="00033D0F">
        <w:rPr>
          <w:position w:val="1"/>
        </w:rPr>
        <w:t xml:space="preserve">The evidence before MOFCOM established that third country imports played a </w:t>
      </w:r>
      <w:r w:rsidR="00033D0F">
        <w:t>significant role in the Chinese wine market over the course of the Injury POI.</w:t>
      </w:r>
      <w:hyperlink w:anchor="_bookmark1074" w:history="1">
        <w:r w:rsidR="00033D0F">
          <w:rPr>
            <w:vertAlign w:val="superscript"/>
          </w:rPr>
          <w:t>922</w:t>
        </w:r>
      </w:hyperlink>
      <w:r w:rsidR="00033D0F">
        <w:t xml:space="preserve"> Australia's position</w:t>
      </w:r>
      <w:r w:rsidR="00033D0F">
        <w:rPr>
          <w:spacing w:val="-9"/>
        </w:rPr>
        <w:t xml:space="preserve"> </w:t>
      </w:r>
      <w:r w:rsidR="00033D0F">
        <w:t>is</w:t>
      </w:r>
      <w:r w:rsidR="00033D0F">
        <w:rPr>
          <w:spacing w:val="-6"/>
        </w:rPr>
        <w:t xml:space="preserve"> </w:t>
      </w:r>
      <w:r w:rsidR="00033D0F">
        <w:t>that,</w:t>
      </w:r>
      <w:r w:rsidR="00033D0F">
        <w:rPr>
          <w:spacing w:val="-5"/>
        </w:rPr>
        <w:t xml:space="preserve"> </w:t>
      </w:r>
      <w:r w:rsidR="00033D0F">
        <w:t>having</w:t>
      </w:r>
      <w:r w:rsidR="00033D0F">
        <w:rPr>
          <w:spacing w:val="-6"/>
        </w:rPr>
        <w:t xml:space="preserve"> </w:t>
      </w:r>
      <w:r w:rsidR="00033D0F">
        <w:t>regard</w:t>
      </w:r>
      <w:r w:rsidR="00033D0F">
        <w:rPr>
          <w:spacing w:val="-9"/>
        </w:rPr>
        <w:t xml:space="preserve"> </w:t>
      </w:r>
      <w:r w:rsidR="00033D0F">
        <w:t>to</w:t>
      </w:r>
      <w:r w:rsidR="00033D0F">
        <w:rPr>
          <w:spacing w:val="-10"/>
        </w:rPr>
        <w:t xml:space="preserve"> </w:t>
      </w:r>
      <w:r w:rsidR="00033D0F">
        <w:t>the</w:t>
      </w:r>
      <w:r w:rsidR="00033D0F">
        <w:rPr>
          <w:spacing w:val="-7"/>
        </w:rPr>
        <w:t xml:space="preserve"> </w:t>
      </w:r>
      <w:r w:rsidR="00033D0F">
        <w:t>facts</w:t>
      </w:r>
      <w:r w:rsidR="00033D0F">
        <w:rPr>
          <w:spacing w:val="-6"/>
        </w:rPr>
        <w:t xml:space="preserve"> </w:t>
      </w:r>
      <w:r w:rsidR="00033D0F">
        <w:t>and</w:t>
      </w:r>
      <w:r w:rsidR="00033D0F">
        <w:rPr>
          <w:spacing w:val="-9"/>
        </w:rPr>
        <w:t xml:space="preserve"> </w:t>
      </w:r>
      <w:r w:rsidR="00033D0F">
        <w:t>circumstances</w:t>
      </w:r>
      <w:r w:rsidR="00033D0F">
        <w:rPr>
          <w:spacing w:val="-6"/>
        </w:rPr>
        <w:t xml:space="preserve"> </w:t>
      </w:r>
      <w:r w:rsidR="00033D0F">
        <w:t>of</w:t>
      </w:r>
      <w:r w:rsidR="00033D0F">
        <w:rPr>
          <w:spacing w:val="-9"/>
        </w:rPr>
        <w:t xml:space="preserve"> </w:t>
      </w:r>
      <w:r w:rsidR="00033D0F">
        <w:t>this</w:t>
      </w:r>
      <w:r w:rsidR="00033D0F">
        <w:rPr>
          <w:spacing w:val="-6"/>
        </w:rPr>
        <w:t xml:space="preserve"> </w:t>
      </w:r>
      <w:r w:rsidR="00033D0F">
        <w:t>investigation,</w:t>
      </w:r>
      <w:r w:rsidR="00033D0F">
        <w:rPr>
          <w:spacing w:val="-5"/>
        </w:rPr>
        <w:t xml:space="preserve"> </w:t>
      </w:r>
      <w:r w:rsidR="00033D0F">
        <w:t>MOFCOM's cursory dismissal of the impact of third country imports was wholly insufficient. MOFCOM needed</w:t>
      </w:r>
      <w:r w:rsidR="00033D0F">
        <w:rPr>
          <w:spacing w:val="21"/>
        </w:rPr>
        <w:t xml:space="preserve"> </w:t>
      </w:r>
      <w:r w:rsidR="00033D0F">
        <w:t>to</w:t>
      </w:r>
      <w:r w:rsidR="00033D0F">
        <w:rPr>
          <w:spacing w:val="20"/>
        </w:rPr>
        <w:t xml:space="preserve"> </w:t>
      </w:r>
      <w:r w:rsidR="00033D0F">
        <w:t>identify,</w:t>
      </w:r>
      <w:r w:rsidR="00033D0F">
        <w:rPr>
          <w:spacing w:val="25"/>
        </w:rPr>
        <w:t xml:space="preserve"> </w:t>
      </w:r>
      <w:proofErr w:type="gramStart"/>
      <w:r w:rsidR="00033D0F">
        <w:t>separate</w:t>
      </w:r>
      <w:proofErr w:type="gramEnd"/>
      <w:r w:rsidR="00033D0F">
        <w:rPr>
          <w:spacing w:val="23"/>
        </w:rPr>
        <w:t xml:space="preserve"> </w:t>
      </w:r>
      <w:r w:rsidR="00033D0F">
        <w:t>and</w:t>
      </w:r>
      <w:r w:rsidR="00033D0F">
        <w:rPr>
          <w:spacing w:val="21"/>
        </w:rPr>
        <w:t xml:space="preserve"> </w:t>
      </w:r>
      <w:r w:rsidR="00033D0F">
        <w:t>distinguish</w:t>
      </w:r>
      <w:r w:rsidR="00033D0F">
        <w:rPr>
          <w:spacing w:val="21"/>
        </w:rPr>
        <w:t xml:space="preserve"> </w:t>
      </w:r>
      <w:r w:rsidR="00033D0F">
        <w:t>the</w:t>
      </w:r>
      <w:r w:rsidR="00033D0F">
        <w:rPr>
          <w:spacing w:val="22"/>
        </w:rPr>
        <w:t xml:space="preserve"> </w:t>
      </w:r>
      <w:r w:rsidR="00033D0F">
        <w:t>injury</w:t>
      </w:r>
      <w:r w:rsidR="00033D0F">
        <w:rPr>
          <w:spacing w:val="24"/>
        </w:rPr>
        <w:t xml:space="preserve"> </w:t>
      </w:r>
      <w:r w:rsidR="00033D0F">
        <w:t>caused</w:t>
      </w:r>
      <w:r w:rsidR="00033D0F">
        <w:rPr>
          <w:spacing w:val="21"/>
        </w:rPr>
        <w:t xml:space="preserve"> </w:t>
      </w:r>
      <w:r w:rsidR="00033D0F">
        <w:t>to</w:t>
      </w:r>
      <w:r w:rsidR="00033D0F">
        <w:rPr>
          <w:spacing w:val="20"/>
        </w:rPr>
        <w:t xml:space="preserve"> </w:t>
      </w:r>
      <w:r w:rsidR="00033D0F">
        <w:t>the</w:t>
      </w:r>
      <w:r w:rsidR="00033D0F">
        <w:rPr>
          <w:spacing w:val="27"/>
        </w:rPr>
        <w:t xml:space="preserve"> </w:t>
      </w:r>
      <w:r w:rsidR="00033D0F">
        <w:t>domestic</w:t>
      </w:r>
      <w:r w:rsidR="00033D0F">
        <w:rPr>
          <w:spacing w:val="21"/>
        </w:rPr>
        <w:t xml:space="preserve"> </w:t>
      </w:r>
      <w:r w:rsidR="00033D0F">
        <w:t>industry</w:t>
      </w:r>
      <w:r w:rsidR="00033D0F">
        <w:rPr>
          <w:spacing w:val="24"/>
        </w:rPr>
        <w:t xml:space="preserve"> </w:t>
      </w:r>
      <w:r w:rsidR="00033D0F">
        <w:t>by</w:t>
      </w:r>
    </w:p>
    <w:p w14:paraId="13D96D04" w14:textId="3B781D8C" w:rsidR="00BD462C" w:rsidRDefault="00BD462C">
      <w:pPr>
        <w:pStyle w:val="BodyText"/>
        <w:spacing w:before="11"/>
        <w:rPr>
          <w:sz w:val="27"/>
        </w:rPr>
      </w:pPr>
    </w:p>
    <w:p w14:paraId="1737EBA0" w14:textId="77777777" w:rsidR="00BD462C" w:rsidRDefault="00033D0F">
      <w:pPr>
        <w:spacing w:before="112"/>
        <w:ind w:left="135" w:right="908"/>
        <w:jc w:val="both"/>
        <w:rPr>
          <w:sz w:val="18"/>
        </w:rPr>
      </w:pPr>
      <w:bookmarkStart w:id="1243" w:name="_bookmark1071"/>
      <w:bookmarkEnd w:id="1243"/>
      <w:r>
        <w:rPr>
          <w:position w:val="5"/>
          <w:sz w:val="12"/>
        </w:rPr>
        <w:t>919</w:t>
      </w:r>
      <w:r>
        <w:rPr>
          <w:spacing w:val="25"/>
          <w:position w:val="5"/>
          <w:sz w:val="12"/>
        </w:rPr>
        <w:t xml:space="preserve"> </w:t>
      </w:r>
      <w:r>
        <w:rPr>
          <w:sz w:val="18"/>
        </w:rPr>
        <w:t>China's first written submission, paras. 1923-1924; China's response to Panel question No. 48, paras. 281-282. Australia does</w:t>
      </w:r>
      <w:r>
        <w:rPr>
          <w:spacing w:val="-3"/>
          <w:sz w:val="18"/>
        </w:rPr>
        <w:t xml:space="preserve"> </w:t>
      </w:r>
      <w:r>
        <w:rPr>
          <w:sz w:val="18"/>
        </w:rPr>
        <w:t>not accept China's argument</w:t>
      </w:r>
      <w:r>
        <w:rPr>
          <w:spacing w:val="-2"/>
          <w:sz w:val="18"/>
        </w:rPr>
        <w:t xml:space="preserve"> </w:t>
      </w:r>
      <w:r>
        <w:rPr>
          <w:sz w:val="18"/>
        </w:rPr>
        <w:t>that</w:t>
      </w:r>
      <w:r>
        <w:rPr>
          <w:spacing w:val="-2"/>
          <w:sz w:val="18"/>
        </w:rPr>
        <w:t xml:space="preserve"> </w:t>
      </w:r>
      <w:r>
        <w:rPr>
          <w:sz w:val="18"/>
        </w:rPr>
        <w:t>tariff</w:t>
      </w:r>
      <w:r>
        <w:rPr>
          <w:spacing w:val="-2"/>
          <w:sz w:val="18"/>
        </w:rPr>
        <w:t xml:space="preserve"> </w:t>
      </w:r>
      <w:r>
        <w:rPr>
          <w:sz w:val="18"/>
        </w:rPr>
        <w:t>reductions result</w:t>
      </w:r>
      <w:r>
        <w:rPr>
          <w:spacing w:val="-2"/>
          <w:sz w:val="18"/>
        </w:rPr>
        <w:t xml:space="preserve"> </w:t>
      </w:r>
      <w:r>
        <w:rPr>
          <w:sz w:val="18"/>
        </w:rPr>
        <w:t>in import prices increasing and notes that</w:t>
      </w:r>
      <w:r>
        <w:rPr>
          <w:spacing w:val="-2"/>
          <w:sz w:val="18"/>
        </w:rPr>
        <w:t xml:space="preserve"> </w:t>
      </w:r>
      <w:r>
        <w:rPr>
          <w:sz w:val="18"/>
        </w:rPr>
        <w:t>it</w:t>
      </w:r>
      <w:r>
        <w:rPr>
          <w:spacing w:val="-2"/>
          <w:sz w:val="18"/>
        </w:rPr>
        <w:t xml:space="preserve"> </w:t>
      </w:r>
      <w:r>
        <w:rPr>
          <w:sz w:val="18"/>
        </w:rPr>
        <w:t>not</w:t>
      </w:r>
      <w:r>
        <w:rPr>
          <w:spacing w:val="-2"/>
          <w:sz w:val="18"/>
        </w:rPr>
        <w:t xml:space="preserve"> </w:t>
      </w:r>
      <w:r>
        <w:rPr>
          <w:sz w:val="18"/>
        </w:rPr>
        <w:t>supported by any</w:t>
      </w:r>
      <w:r>
        <w:rPr>
          <w:spacing w:val="-4"/>
          <w:sz w:val="18"/>
        </w:rPr>
        <w:t xml:space="preserve"> </w:t>
      </w:r>
      <w:r>
        <w:rPr>
          <w:sz w:val="18"/>
        </w:rPr>
        <w:t>evidence</w:t>
      </w:r>
      <w:r>
        <w:rPr>
          <w:spacing w:val="-2"/>
          <w:sz w:val="18"/>
        </w:rPr>
        <w:t xml:space="preserve"> </w:t>
      </w:r>
      <w:r>
        <w:rPr>
          <w:sz w:val="18"/>
        </w:rPr>
        <w:t>on</w:t>
      </w:r>
      <w:r>
        <w:rPr>
          <w:spacing w:val="-3"/>
          <w:sz w:val="18"/>
        </w:rPr>
        <w:t xml:space="preserve"> </w:t>
      </w:r>
      <w:r>
        <w:rPr>
          <w:sz w:val="18"/>
        </w:rPr>
        <w:t>the</w:t>
      </w:r>
      <w:r>
        <w:rPr>
          <w:spacing w:val="-2"/>
          <w:sz w:val="18"/>
        </w:rPr>
        <w:t xml:space="preserve"> </w:t>
      </w:r>
      <w:r>
        <w:rPr>
          <w:sz w:val="18"/>
        </w:rPr>
        <w:t>record</w:t>
      </w:r>
      <w:r>
        <w:rPr>
          <w:spacing w:val="-7"/>
          <w:sz w:val="18"/>
        </w:rPr>
        <w:t xml:space="preserve"> </w:t>
      </w:r>
      <w:r>
        <w:rPr>
          <w:sz w:val="18"/>
        </w:rPr>
        <w:t>or</w:t>
      </w:r>
      <w:r>
        <w:rPr>
          <w:spacing w:val="-4"/>
          <w:sz w:val="18"/>
        </w:rPr>
        <w:t xml:space="preserve"> </w:t>
      </w:r>
      <w:r>
        <w:rPr>
          <w:sz w:val="18"/>
        </w:rPr>
        <w:t>indeed</w:t>
      </w:r>
      <w:r>
        <w:rPr>
          <w:spacing w:val="-8"/>
          <w:sz w:val="18"/>
        </w:rPr>
        <w:t xml:space="preserve"> </w:t>
      </w:r>
      <w:r>
        <w:rPr>
          <w:sz w:val="18"/>
        </w:rPr>
        <w:t>Exhibit</w:t>
      </w:r>
      <w:r>
        <w:rPr>
          <w:spacing w:val="-6"/>
          <w:sz w:val="18"/>
        </w:rPr>
        <w:t xml:space="preserve"> </w:t>
      </w:r>
      <w:r>
        <w:rPr>
          <w:sz w:val="18"/>
        </w:rPr>
        <w:t>CHN-24.</w:t>
      </w:r>
      <w:r>
        <w:rPr>
          <w:spacing w:val="-6"/>
          <w:sz w:val="18"/>
        </w:rPr>
        <w:t xml:space="preserve"> </w:t>
      </w:r>
      <w:r>
        <w:rPr>
          <w:sz w:val="18"/>
        </w:rPr>
        <w:t>However,</w:t>
      </w:r>
      <w:r>
        <w:rPr>
          <w:spacing w:val="-5"/>
          <w:sz w:val="18"/>
        </w:rPr>
        <w:t xml:space="preserve"> </w:t>
      </w:r>
      <w:r>
        <w:rPr>
          <w:sz w:val="18"/>
        </w:rPr>
        <w:t>ultimately</w:t>
      </w:r>
      <w:r>
        <w:rPr>
          <w:spacing w:val="-9"/>
          <w:sz w:val="18"/>
        </w:rPr>
        <w:t xml:space="preserve"> </w:t>
      </w:r>
      <w:r>
        <w:rPr>
          <w:sz w:val="18"/>
        </w:rPr>
        <w:t>this</w:t>
      </w:r>
      <w:r>
        <w:rPr>
          <w:spacing w:val="-7"/>
          <w:sz w:val="18"/>
        </w:rPr>
        <w:t xml:space="preserve"> </w:t>
      </w:r>
      <w:r>
        <w:rPr>
          <w:sz w:val="18"/>
        </w:rPr>
        <w:t>issue</w:t>
      </w:r>
      <w:r>
        <w:rPr>
          <w:spacing w:val="-7"/>
          <w:sz w:val="18"/>
        </w:rPr>
        <w:t xml:space="preserve"> </w:t>
      </w:r>
      <w:r>
        <w:rPr>
          <w:sz w:val="18"/>
        </w:rPr>
        <w:t>is</w:t>
      </w:r>
      <w:r>
        <w:rPr>
          <w:spacing w:val="-7"/>
          <w:sz w:val="18"/>
        </w:rPr>
        <w:t xml:space="preserve"> </w:t>
      </w:r>
      <w:r>
        <w:rPr>
          <w:sz w:val="18"/>
        </w:rPr>
        <w:t>irrelevant</w:t>
      </w:r>
      <w:r>
        <w:rPr>
          <w:spacing w:val="-1"/>
          <w:sz w:val="18"/>
        </w:rPr>
        <w:t xml:space="preserve"> </w:t>
      </w:r>
      <w:r>
        <w:rPr>
          <w:sz w:val="18"/>
        </w:rPr>
        <w:t>to</w:t>
      </w:r>
      <w:r>
        <w:rPr>
          <w:spacing w:val="-8"/>
          <w:sz w:val="18"/>
        </w:rPr>
        <w:t xml:space="preserve"> </w:t>
      </w:r>
      <w:r>
        <w:rPr>
          <w:sz w:val="18"/>
        </w:rPr>
        <w:t>Australia's</w:t>
      </w:r>
      <w:r>
        <w:rPr>
          <w:spacing w:val="-2"/>
          <w:sz w:val="18"/>
        </w:rPr>
        <w:t xml:space="preserve"> </w:t>
      </w:r>
      <w:r>
        <w:rPr>
          <w:sz w:val="18"/>
        </w:rPr>
        <w:t>argument</w:t>
      </w:r>
      <w:r>
        <w:rPr>
          <w:spacing w:val="-1"/>
          <w:sz w:val="18"/>
        </w:rPr>
        <w:t xml:space="preserve"> </w:t>
      </w:r>
      <w:r>
        <w:rPr>
          <w:sz w:val="18"/>
        </w:rPr>
        <w:t>and the</w:t>
      </w:r>
      <w:r>
        <w:rPr>
          <w:spacing w:val="-3"/>
          <w:sz w:val="18"/>
        </w:rPr>
        <w:t xml:space="preserve"> </w:t>
      </w:r>
      <w:r>
        <w:rPr>
          <w:sz w:val="18"/>
        </w:rPr>
        <w:t>dispute</w:t>
      </w:r>
      <w:r>
        <w:rPr>
          <w:spacing w:val="-3"/>
          <w:sz w:val="18"/>
        </w:rPr>
        <w:t xml:space="preserve"> </w:t>
      </w:r>
      <w:r>
        <w:rPr>
          <w:sz w:val="18"/>
        </w:rPr>
        <w:t>between</w:t>
      </w:r>
      <w:r>
        <w:rPr>
          <w:spacing w:val="-4"/>
          <w:sz w:val="18"/>
        </w:rPr>
        <w:t xml:space="preserve"> </w:t>
      </w:r>
      <w:r>
        <w:rPr>
          <w:sz w:val="18"/>
        </w:rPr>
        <w:t>the</w:t>
      </w:r>
      <w:r>
        <w:rPr>
          <w:spacing w:val="-3"/>
          <w:sz w:val="18"/>
        </w:rPr>
        <w:t xml:space="preserve"> </w:t>
      </w:r>
      <w:r>
        <w:rPr>
          <w:sz w:val="18"/>
        </w:rPr>
        <w:t>parties.</w:t>
      </w:r>
      <w:r>
        <w:rPr>
          <w:spacing w:val="-7"/>
          <w:sz w:val="18"/>
        </w:rPr>
        <w:t xml:space="preserve"> </w:t>
      </w:r>
      <w:r>
        <w:rPr>
          <w:sz w:val="18"/>
        </w:rPr>
        <w:t>This</w:t>
      </w:r>
      <w:r>
        <w:rPr>
          <w:spacing w:val="-3"/>
          <w:sz w:val="18"/>
        </w:rPr>
        <w:t xml:space="preserve"> </w:t>
      </w:r>
      <w:r>
        <w:rPr>
          <w:sz w:val="18"/>
        </w:rPr>
        <w:t>is</w:t>
      </w:r>
      <w:r>
        <w:rPr>
          <w:spacing w:val="-3"/>
          <w:sz w:val="18"/>
        </w:rPr>
        <w:t xml:space="preserve"> </w:t>
      </w:r>
      <w:r>
        <w:rPr>
          <w:sz w:val="18"/>
        </w:rPr>
        <w:t>because</w:t>
      </w:r>
      <w:r>
        <w:rPr>
          <w:spacing w:val="-3"/>
          <w:sz w:val="18"/>
        </w:rPr>
        <w:t xml:space="preserve"> </w:t>
      </w:r>
      <w:r>
        <w:rPr>
          <w:sz w:val="18"/>
        </w:rPr>
        <w:t>Australia's</w:t>
      </w:r>
      <w:r>
        <w:rPr>
          <w:spacing w:val="-3"/>
          <w:sz w:val="18"/>
        </w:rPr>
        <w:t xml:space="preserve"> </w:t>
      </w:r>
      <w:r>
        <w:rPr>
          <w:sz w:val="18"/>
        </w:rPr>
        <w:t>argument</w:t>
      </w:r>
      <w:r>
        <w:rPr>
          <w:spacing w:val="-2"/>
          <w:sz w:val="18"/>
        </w:rPr>
        <w:t xml:space="preserve"> </w:t>
      </w:r>
      <w:r>
        <w:rPr>
          <w:sz w:val="18"/>
        </w:rPr>
        <w:t>is</w:t>
      </w:r>
      <w:r>
        <w:rPr>
          <w:spacing w:val="-8"/>
          <w:sz w:val="18"/>
        </w:rPr>
        <w:t xml:space="preserve"> </w:t>
      </w:r>
      <w:r>
        <w:rPr>
          <w:sz w:val="18"/>
        </w:rPr>
        <w:t>not</w:t>
      </w:r>
      <w:r>
        <w:rPr>
          <w:spacing w:val="-7"/>
          <w:sz w:val="18"/>
        </w:rPr>
        <w:t xml:space="preserve"> </w:t>
      </w:r>
      <w:r>
        <w:rPr>
          <w:sz w:val="18"/>
        </w:rPr>
        <w:t>directed</w:t>
      </w:r>
      <w:r>
        <w:rPr>
          <w:spacing w:val="-4"/>
          <w:sz w:val="18"/>
        </w:rPr>
        <w:t xml:space="preserve"> </w:t>
      </w:r>
      <w:r>
        <w:rPr>
          <w:sz w:val="18"/>
        </w:rPr>
        <w:t>to</w:t>
      </w:r>
      <w:r>
        <w:rPr>
          <w:spacing w:val="-4"/>
          <w:sz w:val="18"/>
        </w:rPr>
        <w:t xml:space="preserve"> </w:t>
      </w:r>
      <w:r>
        <w:rPr>
          <w:sz w:val="18"/>
        </w:rPr>
        <w:t>any</w:t>
      </w:r>
      <w:r>
        <w:rPr>
          <w:spacing w:val="-5"/>
          <w:sz w:val="18"/>
        </w:rPr>
        <w:t xml:space="preserve"> </w:t>
      </w:r>
      <w:r>
        <w:rPr>
          <w:sz w:val="18"/>
        </w:rPr>
        <w:t>alleged</w:t>
      </w:r>
      <w:r>
        <w:rPr>
          <w:spacing w:val="-4"/>
          <w:sz w:val="18"/>
        </w:rPr>
        <w:t xml:space="preserve"> </w:t>
      </w:r>
      <w:r>
        <w:rPr>
          <w:sz w:val="18"/>
        </w:rPr>
        <w:t>impact</w:t>
      </w:r>
      <w:r>
        <w:rPr>
          <w:spacing w:val="-7"/>
          <w:sz w:val="18"/>
        </w:rPr>
        <w:t xml:space="preserve"> </w:t>
      </w:r>
      <w:r>
        <w:rPr>
          <w:sz w:val="18"/>
        </w:rPr>
        <w:t>of</w:t>
      </w:r>
      <w:r>
        <w:rPr>
          <w:spacing w:val="-2"/>
          <w:sz w:val="18"/>
        </w:rPr>
        <w:t xml:space="preserve"> </w:t>
      </w:r>
      <w:r>
        <w:rPr>
          <w:sz w:val="18"/>
        </w:rPr>
        <w:t>FTAs</w:t>
      </w:r>
      <w:r>
        <w:rPr>
          <w:spacing w:val="-8"/>
          <w:sz w:val="18"/>
        </w:rPr>
        <w:t xml:space="preserve"> </w:t>
      </w:r>
      <w:r>
        <w:rPr>
          <w:sz w:val="18"/>
        </w:rPr>
        <w:t>generally. Rather, it is grounded in the specific circumstances of this case –</w:t>
      </w:r>
      <w:r>
        <w:rPr>
          <w:spacing w:val="-3"/>
          <w:sz w:val="18"/>
        </w:rPr>
        <w:t xml:space="preserve"> </w:t>
      </w:r>
      <w:r>
        <w:rPr>
          <w:sz w:val="18"/>
        </w:rPr>
        <w:t>which is that</w:t>
      </w:r>
      <w:r>
        <w:rPr>
          <w:spacing w:val="-1"/>
          <w:sz w:val="18"/>
        </w:rPr>
        <w:t xml:space="preserve"> </w:t>
      </w:r>
      <w:r>
        <w:rPr>
          <w:sz w:val="18"/>
        </w:rPr>
        <w:t>MOFCOM's price calculation reflected a 14% tariff reduction.</w:t>
      </w:r>
    </w:p>
    <w:p w14:paraId="5757234E" w14:textId="77777777" w:rsidR="00BD462C" w:rsidRDefault="00033D0F">
      <w:pPr>
        <w:spacing w:before="1"/>
        <w:ind w:left="135" w:right="910"/>
        <w:jc w:val="both"/>
        <w:rPr>
          <w:sz w:val="18"/>
        </w:rPr>
      </w:pPr>
      <w:bookmarkStart w:id="1244" w:name="_bookmark1072"/>
      <w:bookmarkEnd w:id="1244"/>
      <w:r>
        <w:rPr>
          <w:position w:val="5"/>
          <w:sz w:val="12"/>
        </w:rPr>
        <w:t>920</w:t>
      </w:r>
      <w:r>
        <w:rPr>
          <w:spacing w:val="15"/>
          <w:position w:val="5"/>
          <w:sz w:val="12"/>
        </w:rPr>
        <w:t xml:space="preserve"> </w:t>
      </w:r>
      <w:r>
        <w:rPr>
          <w:sz w:val="18"/>
        </w:rPr>
        <w:t>China's</w:t>
      </w:r>
      <w:r>
        <w:rPr>
          <w:spacing w:val="-4"/>
          <w:sz w:val="18"/>
        </w:rPr>
        <w:t xml:space="preserve"> </w:t>
      </w:r>
      <w:r>
        <w:rPr>
          <w:sz w:val="18"/>
        </w:rPr>
        <w:t>response</w:t>
      </w:r>
      <w:r>
        <w:rPr>
          <w:spacing w:val="-4"/>
          <w:sz w:val="18"/>
        </w:rPr>
        <w:t xml:space="preserve"> </w:t>
      </w:r>
      <w:r>
        <w:rPr>
          <w:sz w:val="18"/>
        </w:rPr>
        <w:t>to</w:t>
      </w:r>
      <w:r>
        <w:rPr>
          <w:spacing w:val="-9"/>
          <w:sz w:val="18"/>
        </w:rPr>
        <w:t xml:space="preserve"> </w:t>
      </w:r>
      <w:r>
        <w:rPr>
          <w:sz w:val="18"/>
        </w:rPr>
        <w:t>Panel</w:t>
      </w:r>
      <w:r>
        <w:rPr>
          <w:spacing w:val="-3"/>
          <w:sz w:val="18"/>
        </w:rPr>
        <w:t xml:space="preserve"> </w:t>
      </w:r>
      <w:r>
        <w:rPr>
          <w:sz w:val="18"/>
        </w:rPr>
        <w:t>question</w:t>
      </w:r>
      <w:r>
        <w:rPr>
          <w:spacing w:val="-8"/>
          <w:sz w:val="18"/>
        </w:rPr>
        <w:t xml:space="preserve"> </w:t>
      </w:r>
      <w:r>
        <w:rPr>
          <w:sz w:val="18"/>
        </w:rPr>
        <w:t>No.</w:t>
      </w:r>
      <w:r>
        <w:rPr>
          <w:spacing w:val="-3"/>
          <w:sz w:val="18"/>
        </w:rPr>
        <w:t xml:space="preserve"> </w:t>
      </w:r>
      <w:r>
        <w:rPr>
          <w:sz w:val="18"/>
        </w:rPr>
        <w:t>48,</w:t>
      </w:r>
      <w:r>
        <w:rPr>
          <w:spacing w:val="-2"/>
          <w:sz w:val="18"/>
        </w:rPr>
        <w:t xml:space="preserve"> </w:t>
      </w:r>
      <w:r>
        <w:rPr>
          <w:sz w:val="18"/>
        </w:rPr>
        <w:t>para.</w:t>
      </w:r>
      <w:r>
        <w:rPr>
          <w:spacing w:val="-3"/>
          <w:sz w:val="18"/>
        </w:rPr>
        <w:t xml:space="preserve"> </w:t>
      </w:r>
      <w:r>
        <w:rPr>
          <w:sz w:val="18"/>
        </w:rPr>
        <w:t>282.</w:t>
      </w:r>
      <w:r>
        <w:rPr>
          <w:spacing w:val="-3"/>
          <w:sz w:val="18"/>
        </w:rPr>
        <w:t xml:space="preserve"> </w:t>
      </w:r>
      <w:r>
        <w:rPr>
          <w:sz w:val="18"/>
        </w:rPr>
        <w:t>Australia</w:t>
      </w:r>
      <w:r>
        <w:rPr>
          <w:spacing w:val="-6"/>
          <w:sz w:val="18"/>
        </w:rPr>
        <w:t xml:space="preserve"> </w:t>
      </w:r>
      <w:r>
        <w:rPr>
          <w:sz w:val="18"/>
        </w:rPr>
        <w:t>does</w:t>
      </w:r>
      <w:r>
        <w:rPr>
          <w:spacing w:val="-4"/>
          <w:sz w:val="18"/>
        </w:rPr>
        <w:t xml:space="preserve"> </w:t>
      </w:r>
      <w:r>
        <w:rPr>
          <w:sz w:val="18"/>
        </w:rPr>
        <w:t>not</w:t>
      </w:r>
      <w:r>
        <w:rPr>
          <w:spacing w:val="-3"/>
          <w:sz w:val="18"/>
        </w:rPr>
        <w:t xml:space="preserve"> </w:t>
      </w:r>
      <w:r>
        <w:rPr>
          <w:sz w:val="18"/>
        </w:rPr>
        <w:t>accept</w:t>
      </w:r>
      <w:r>
        <w:rPr>
          <w:spacing w:val="-3"/>
          <w:sz w:val="18"/>
        </w:rPr>
        <w:t xml:space="preserve"> </w:t>
      </w:r>
      <w:r>
        <w:rPr>
          <w:sz w:val="18"/>
        </w:rPr>
        <w:t>China's argument</w:t>
      </w:r>
      <w:r>
        <w:rPr>
          <w:spacing w:val="-4"/>
          <w:sz w:val="18"/>
        </w:rPr>
        <w:t xml:space="preserve"> </w:t>
      </w:r>
      <w:r>
        <w:rPr>
          <w:sz w:val="18"/>
        </w:rPr>
        <w:t>that</w:t>
      </w:r>
      <w:r>
        <w:rPr>
          <w:spacing w:val="-3"/>
          <w:sz w:val="18"/>
        </w:rPr>
        <w:t xml:space="preserve"> </w:t>
      </w:r>
      <w:r>
        <w:rPr>
          <w:sz w:val="18"/>
        </w:rPr>
        <w:t>"foreign</w:t>
      </w:r>
      <w:r>
        <w:rPr>
          <w:spacing w:val="-5"/>
          <w:sz w:val="18"/>
        </w:rPr>
        <w:t xml:space="preserve"> </w:t>
      </w:r>
      <w:r>
        <w:rPr>
          <w:sz w:val="18"/>
        </w:rPr>
        <w:t>exporters, seeking</w:t>
      </w:r>
      <w:r>
        <w:rPr>
          <w:spacing w:val="-7"/>
          <w:sz w:val="18"/>
        </w:rPr>
        <w:t xml:space="preserve"> </w:t>
      </w:r>
      <w:r>
        <w:rPr>
          <w:sz w:val="18"/>
        </w:rPr>
        <w:t>to</w:t>
      </w:r>
      <w:r>
        <w:rPr>
          <w:spacing w:val="-3"/>
          <w:sz w:val="18"/>
        </w:rPr>
        <w:t xml:space="preserve"> </w:t>
      </w:r>
      <w:r>
        <w:rPr>
          <w:sz w:val="18"/>
        </w:rPr>
        <w:t>maximize</w:t>
      </w:r>
      <w:r>
        <w:rPr>
          <w:spacing w:val="-7"/>
          <w:sz w:val="18"/>
        </w:rPr>
        <w:t xml:space="preserve"> </w:t>
      </w:r>
      <w:r>
        <w:rPr>
          <w:sz w:val="18"/>
        </w:rPr>
        <w:t>the</w:t>
      </w:r>
      <w:r>
        <w:rPr>
          <w:spacing w:val="-7"/>
          <w:sz w:val="18"/>
        </w:rPr>
        <w:t xml:space="preserve"> </w:t>
      </w:r>
      <w:r>
        <w:rPr>
          <w:sz w:val="18"/>
        </w:rPr>
        <w:t>profit, would</w:t>
      </w:r>
      <w:r>
        <w:rPr>
          <w:spacing w:val="-7"/>
          <w:sz w:val="18"/>
        </w:rPr>
        <w:t xml:space="preserve"> </w:t>
      </w:r>
      <w:r>
        <w:rPr>
          <w:sz w:val="18"/>
        </w:rPr>
        <w:t>logically</w:t>
      </w:r>
      <w:r>
        <w:rPr>
          <w:spacing w:val="-4"/>
          <w:sz w:val="18"/>
        </w:rPr>
        <w:t xml:space="preserve"> </w:t>
      </w:r>
      <w:r>
        <w:rPr>
          <w:sz w:val="18"/>
        </w:rPr>
        <w:t>increase</w:t>
      </w:r>
      <w:r>
        <w:rPr>
          <w:spacing w:val="-2"/>
          <w:sz w:val="18"/>
        </w:rPr>
        <w:t xml:space="preserve"> </w:t>
      </w:r>
      <w:r>
        <w:rPr>
          <w:sz w:val="18"/>
        </w:rPr>
        <w:t>their</w:t>
      </w:r>
      <w:r>
        <w:rPr>
          <w:spacing w:val="-4"/>
          <w:sz w:val="18"/>
        </w:rPr>
        <w:t xml:space="preserve"> </w:t>
      </w:r>
      <w:r>
        <w:rPr>
          <w:sz w:val="18"/>
        </w:rPr>
        <w:t>prices</w:t>
      </w:r>
      <w:r>
        <w:rPr>
          <w:spacing w:val="-7"/>
          <w:sz w:val="18"/>
        </w:rPr>
        <w:t xml:space="preserve"> </w:t>
      </w:r>
      <w:r>
        <w:rPr>
          <w:sz w:val="18"/>
        </w:rPr>
        <w:t>and</w:t>
      </w:r>
      <w:r>
        <w:rPr>
          <w:spacing w:val="-3"/>
          <w:sz w:val="18"/>
        </w:rPr>
        <w:t xml:space="preserve"> </w:t>
      </w:r>
      <w:r>
        <w:rPr>
          <w:sz w:val="18"/>
        </w:rPr>
        <w:t>profits</w:t>
      </w:r>
      <w:r>
        <w:rPr>
          <w:spacing w:val="-2"/>
          <w:sz w:val="18"/>
        </w:rPr>
        <w:t xml:space="preserve"> </w:t>
      </w:r>
      <w:r>
        <w:rPr>
          <w:sz w:val="18"/>
        </w:rPr>
        <w:t>to</w:t>
      </w:r>
      <w:r>
        <w:rPr>
          <w:spacing w:val="-3"/>
          <w:sz w:val="18"/>
        </w:rPr>
        <w:t xml:space="preserve"> </w:t>
      </w:r>
      <w:r>
        <w:rPr>
          <w:sz w:val="18"/>
        </w:rPr>
        <w:t>offset</w:t>
      </w:r>
      <w:r>
        <w:rPr>
          <w:spacing w:val="-6"/>
          <w:sz w:val="18"/>
        </w:rPr>
        <w:t xml:space="preserve"> </w:t>
      </w:r>
      <w:r>
        <w:rPr>
          <w:sz w:val="18"/>
        </w:rPr>
        <w:t>the</w:t>
      </w:r>
      <w:r>
        <w:rPr>
          <w:spacing w:val="-7"/>
          <w:sz w:val="18"/>
        </w:rPr>
        <w:t xml:space="preserve"> </w:t>
      </w:r>
      <w:r>
        <w:rPr>
          <w:sz w:val="18"/>
        </w:rPr>
        <w:t>tariff</w:t>
      </w:r>
      <w:r>
        <w:rPr>
          <w:spacing w:val="-1"/>
          <w:sz w:val="18"/>
        </w:rPr>
        <w:t xml:space="preserve"> </w:t>
      </w:r>
      <w:r>
        <w:rPr>
          <w:sz w:val="18"/>
        </w:rPr>
        <w:t>reductions".</w:t>
      </w:r>
      <w:r>
        <w:rPr>
          <w:spacing w:val="-1"/>
          <w:sz w:val="18"/>
        </w:rPr>
        <w:t xml:space="preserve"> </w:t>
      </w:r>
      <w:r>
        <w:rPr>
          <w:sz w:val="18"/>
        </w:rPr>
        <w:t>This</w:t>
      </w:r>
      <w:r>
        <w:rPr>
          <w:spacing w:val="-2"/>
          <w:sz w:val="18"/>
        </w:rPr>
        <w:t xml:space="preserve"> </w:t>
      </w:r>
      <w:r>
        <w:rPr>
          <w:sz w:val="18"/>
        </w:rPr>
        <w:t>argument is not supported by any evidence on the record. However, ultimately this issue is irrelevant to Australia's argument and the dispute between the parties. This is because Australia's argument is directed to the price calculation methodology that MOFCOM adopted, which was to apply an adjustment to reflect the applicable tariff to annual average CIF prices in RMB/</w:t>
      </w:r>
      <w:proofErr w:type="spellStart"/>
      <w:r>
        <w:rPr>
          <w:sz w:val="18"/>
        </w:rPr>
        <w:t>kilolitre</w:t>
      </w:r>
      <w:proofErr w:type="spellEnd"/>
      <w:r>
        <w:rPr>
          <w:sz w:val="18"/>
        </w:rPr>
        <w:t>.</w:t>
      </w:r>
      <w:r>
        <w:rPr>
          <w:spacing w:val="-1"/>
          <w:sz w:val="18"/>
        </w:rPr>
        <w:t xml:space="preserve"> </w:t>
      </w:r>
      <w:r>
        <w:rPr>
          <w:sz w:val="18"/>
        </w:rPr>
        <w:t>As</w:t>
      </w:r>
      <w:r>
        <w:rPr>
          <w:spacing w:val="-2"/>
          <w:sz w:val="18"/>
        </w:rPr>
        <w:t xml:space="preserve"> </w:t>
      </w:r>
      <w:r>
        <w:rPr>
          <w:sz w:val="18"/>
        </w:rPr>
        <w:t>a</w:t>
      </w:r>
      <w:r>
        <w:rPr>
          <w:spacing w:val="-4"/>
          <w:sz w:val="18"/>
        </w:rPr>
        <w:t xml:space="preserve"> </w:t>
      </w:r>
      <w:r>
        <w:rPr>
          <w:sz w:val="18"/>
        </w:rPr>
        <w:t>result, even</w:t>
      </w:r>
      <w:r>
        <w:rPr>
          <w:spacing w:val="-3"/>
          <w:sz w:val="18"/>
        </w:rPr>
        <w:t xml:space="preserve"> </w:t>
      </w:r>
      <w:r>
        <w:rPr>
          <w:sz w:val="18"/>
        </w:rPr>
        <w:t>if</w:t>
      </w:r>
      <w:r>
        <w:rPr>
          <w:spacing w:val="-1"/>
          <w:sz w:val="18"/>
        </w:rPr>
        <w:t xml:space="preserve"> </w:t>
      </w:r>
      <w:r>
        <w:rPr>
          <w:sz w:val="18"/>
        </w:rPr>
        <w:t>China's assertion</w:t>
      </w:r>
      <w:r>
        <w:rPr>
          <w:spacing w:val="-3"/>
          <w:sz w:val="18"/>
        </w:rPr>
        <w:t xml:space="preserve"> </w:t>
      </w:r>
      <w:r>
        <w:rPr>
          <w:sz w:val="18"/>
        </w:rPr>
        <w:t>that</w:t>
      </w:r>
      <w:r>
        <w:rPr>
          <w:spacing w:val="-1"/>
          <w:sz w:val="18"/>
        </w:rPr>
        <w:t xml:space="preserve"> </w:t>
      </w:r>
      <w:r>
        <w:rPr>
          <w:sz w:val="18"/>
        </w:rPr>
        <w:t>exporters</w:t>
      </w:r>
      <w:r>
        <w:rPr>
          <w:spacing w:val="-7"/>
          <w:sz w:val="18"/>
        </w:rPr>
        <w:t xml:space="preserve"> </w:t>
      </w:r>
      <w:r>
        <w:rPr>
          <w:sz w:val="18"/>
        </w:rPr>
        <w:t>would</w:t>
      </w:r>
      <w:r>
        <w:rPr>
          <w:spacing w:val="-7"/>
          <w:sz w:val="18"/>
        </w:rPr>
        <w:t xml:space="preserve"> </w:t>
      </w:r>
      <w:r>
        <w:rPr>
          <w:sz w:val="18"/>
        </w:rPr>
        <w:t>increase</w:t>
      </w:r>
      <w:r>
        <w:rPr>
          <w:spacing w:val="-2"/>
          <w:sz w:val="18"/>
        </w:rPr>
        <w:t xml:space="preserve"> </w:t>
      </w:r>
      <w:r>
        <w:rPr>
          <w:sz w:val="18"/>
        </w:rPr>
        <w:t>their</w:t>
      </w:r>
      <w:r>
        <w:rPr>
          <w:spacing w:val="-4"/>
          <w:sz w:val="18"/>
        </w:rPr>
        <w:t xml:space="preserve"> </w:t>
      </w:r>
      <w:r>
        <w:rPr>
          <w:sz w:val="18"/>
        </w:rPr>
        <w:t>prices</w:t>
      </w:r>
      <w:r>
        <w:rPr>
          <w:spacing w:val="-7"/>
          <w:sz w:val="18"/>
        </w:rPr>
        <w:t xml:space="preserve"> </w:t>
      </w:r>
      <w:r>
        <w:rPr>
          <w:sz w:val="18"/>
        </w:rPr>
        <w:t>is</w:t>
      </w:r>
      <w:r>
        <w:rPr>
          <w:spacing w:val="-2"/>
          <w:sz w:val="18"/>
        </w:rPr>
        <w:t xml:space="preserve"> </w:t>
      </w:r>
      <w:r>
        <w:rPr>
          <w:sz w:val="18"/>
        </w:rPr>
        <w:t>correct</w:t>
      </w:r>
      <w:r>
        <w:rPr>
          <w:spacing w:val="-1"/>
          <w:sz w:val="18"/>
        </w:rPr>
        <w:t xml:space="preserve"> </w:t>
      </w:r>
      <w:r>
        <w:rPr>
          <w:sz w:val="18"/>
        </w:rPr>
        <w:t>(which</w:t>
      </w:r>
      <w:r>
        <w:rPr>
          <w:spacing w:val="-3"/>
          <w:sz w:val="18"/>
        </w:rPr>
        <w:t xml:space="preserve"> </w:t>
      </w:r>
      <w:r>
        <w:rPr>
          <w:sz w:val="18"/>
        </w:rPr>
        <w:t>Australia</w:t>
      </w:r>
      <w:r>
        <w:rPr>
          <w:spacing w:val="-4"/>
          <w:sz w:val="18"/>
        </w:rPr>
        <w:t xml:space="preserve"> </w:t>
      </w:r>
      <w:r>
        <w:rPr>
          <w:sz w:val="18"/>
        </w:rPr>
        <w:t>does not accept) MOFCOM's price calculation methodology would still reflect that 14% decline, because the tariff adjustment reduced by 14%.</w:t>
      </w:r>
    </w:p>
    <w:p w14:paraId="44F23A6E" w14:textId="77777777" w:rsidR="00BD462C" w:rsidRDefault="00033D0F">
      <w:pPr>
        <w:spacing w:line="219" w:lineRule="exact"/>
        <w:ind w:left="135"/>
        <w:jc w:val="both"/>
        <w:rPr>
          <w:sz w:val="18"/>
        </w:rPr>
      </w:pPr>
      <w:bookmarkStart w:id="1245" w:name="_bookmark1073"/>
      <w:bookmarkEnd w:id="1245"/>
      <w:r>
        <w:rPr>
          <w:position w:val="5"/>
          <w:sz w:val="12"/>
        </w:rPr>
        <w:t>921</w:t>
      </w:r>
      <w:r>
        <w:rPr>
          <w:spacing w:val="13"/>
          <w:position w:val="5"/>
          <w:sz w:val="12"/>
        </w:rPr>
        <w:t xml:space="preserve"> </w:t>
      </w:r>
      <w:r>
        <w:rPr>
          <w:sz w:val="18"/>
        </w:rPr>
        <w:t>Contra.</w:t>
      </w:r>
      <w:r>
        <w:rPr>
          <w:spacing w:val="-5"/>
          <w:sz w:val="18"/>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paras.</w:t>
      </w:r>
      <w:r>
        <w:rPr>
          <w:spacing w:val="-5"/>
          <w:sz w:val="18"/>
        </w:rPr>
        <w:t xml:space="preserve"> </w:t>
      </w:r>
      <w:r>
        <w:rPr>
          <w:spacing w:val="-2"/>
          <w:sz w:val="18"/>
        </w:rPr>
        <w:t>1930.</w:t>
      </w:r>
    </w:p>
    <w:p w14:paraId="1BB878A9" w14:textId="77777777" w:rsidR="00BD462C" w:rsidRDefault="00033D0F">
      <w:pPr>
        <w:spacing w:before="1"/>
        <w:ind w:left="135"/>
        <w:jc w:val="both"/>
        <w:rPr>
          <w:sz w:val="18"/>
        </w:rPr>
      </w:pPr>
      <w:bookmarkStart w:id="1246" w:name="_bookmark1074"/>
      <w:bookmarkEnd w:id="1246"/>
      <w:r>
        <w:rPr>
          <w:position w:val="5"/>
          <w:sz w:val="12"/>
        </w:rPr>
        <w:t>922</w:t>
      </w:r>
      <w:r>
        <w:rPr>
          <w:spacing w:val="12"/>
          <w:position w:val="5"/>
          <w:sz w:val="12"/>
        </w:rPr>
        <w:t xml:space="preserve"> </w:t>
      </w:r>
      <w:r>
        <w:rPr>
          <w:sz w:val="18"/>
        </w:rPr>
        <w:t>Australia's</w:t>
      </w:r>
      <w:r>
        <w:rPr>
          <w:spacing w:val="-7"/>
          <w:sz w:val="18"/>
        </w:rPr>
        <w:t xml:space="preserve"> </w:t>
      </w:r>
      <w:r>
        <w:rPr>
          <w:sz w:val="18"/>
        </w:rPr>
        <w:t>first</w:t>
      </w:r>
      <w:r>
        <w:rPr>
          <w:spacing w:val="-5"/>
          <w:sz w:val="18"/>
        </w:rPr>
        <w:t xml:space="preserve"> </w:t>
      </w:r>
      <w:r>
        <w:rPr>
          <w:sz w:val="18"/>
        </w:rPr>
        <w:t>written</w:t>
      </w:r>
      <w:r>
        <w:rPr>
          <w:spacing w:val="-3"/>
          <w:sz w:val="18"/>
        </w:rPr>
        <w:t xml:space="preserve"> </w:t>
      </w:r>
      <w:r>
        <w:rPr>
          <w:sz w:val="18"/>
        </w:rPr>
        <w:t>submission, paras.</w:t>
      </w:r>
      <w:r>
        <w:rPr>
          <w:spacing w:val="-5"/>
          <w:sz w:val="18"/>
        </w:rPr>
        <w:t xml:space="preserve"> </w:t>
      </w:r>
      <w:r>
        <w:rPr>
          <w:sz w:val="18"/>
        </w:rPr>
        <w:t>696-</w:t>
      </w:r>
      <w:r>
        <w:rPr>
          <w:spacing w:val="-4"/>
          <w:sz w:val="18"/>
        </w:rPr>
        <w:t>704.</w:t>
      </w:r>
    </w:p>
    <w:p w14:paraId="0EF9B80D" w14:textId="77777777" w:rsidR="00BD462C" w:rsidRDefault="00BD462C">
      <w:pPr>
        <w:jc w:val="both"/>
        <w:rPr>
          <w:sz w:val="18"/>
        </w:rPr>
        <w:sectPr w:rsidR="00BD462C">
          <w:pgSz w:w="11910" w:h="16840"/>
          <w:pgMar w:top="860" w:right="500" w:bottom="780" w:left="1280" w:header="566" w:footer="590" w:gutter="0"/>
          <w:cols w:space="720"/>
        </w:sectPr>
      </w:pPr>
    </w:p>
    <w:p w14:paraId="1D16773C"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01E8E83B"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5F21D215"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2F8567BE" w14:textId="77777777" w:rsidR="00BD462C" w:rsidRDefault="00033D0F">
      <w:pPr>
        <w:pStyle w:val="BodyText"/>
        <w:spacing w:before="102" w:line="360" w:lineRule="auto"/>
        <w:ind w:left="135" w:right="913"/>
        <w:jc w:val="both"/>
      </w:pPr>
      <w:r>
        <w:t>third country imports. It did not do so. As a result, MOFCOM's determination that third country imports did not sever the causal link between subject imports and material injury to the domestic industry, in part because there was no evidence they were dumped: (i) applied the</w:t>
      </w:r>
      <w:r>
        <w:rPr>
          <w:spacing w:val="-11"/>
        </w:rPr>
        <w:t xml:space="preserve"> </w:t>
      </w:r>
      <w:r>
        <w:t>incorrect</w:t>
      </w:r>
      <w:r>
        <w:rPr>
          <w:spacing w:val="-10"/>
        </w:rPr>
        <w:t xml:space="preserve"> </w:t>
      </w:r>
      <w:r>
        <w:t>standard;</w:t>
      </w:r>
      <w:r>
        <w:rPr>
          <w:spacing w:val="-13"/>
        </w:rPr>
        <w:t xml:space="preserve"> </w:t>
      </w:r>
      <w:r>
        <w:t>and</w:t>
      </w:r>
      <w:r>
        <w:rPr>
          <w:spacing w:val="-8"/>
        </w:rPr>
        <w:t xml:space="preserve"> </w:t>
      </w:r>
      <w:r>
        <w:t>(ii)</w:t>
      </w:r>
      <w:r>
        <w:rPr>
          <w:spacing w:val="-12"/>
        </w:rPr>
        <w:t xml:space="preserve"> </w:t>
      </w:r>
      <w:r>
        <w:t>was</w:t>
      </w:r>
      <w:r>
        <w:rPr>
          <w:spacing w:val="-9"/>
        </w:rPr>
        <w:t xml:space="preserve"> </w:t>
      </w:r>
      <w:r>
        <w:t>not</w:t>
      </w:r>
      <w:r>
        <w:rPr>
          <w:spacing w:val="-10"/>
        </w:rPr>
        <w:t xml:space="preserve"> </w:t>
      </w:r>
      <w:r>
        <w:t>a</w:t>
      </w:r>
      <w:r>
        <w:rPr>
          <w:spacing w:val="-7"/>
        </w:rPr>
        <w:t xml:space="preserve"> </w:t>
      </w:r>
      <w:r>
        <w:t>decision</w:t>
      </w:r>
      <w:r>
        <w:rPr>
          <w:spacing w:val="-13"/>
        </w:rPr>
        <w:t xml:space="preserve"> </w:t>
      </w:r>
      <w:r>
        <w:t>that</w:t>
      </w:r>
      <w:r>
        <w:rPr>
          <w:spacing w:val="-10"/>
        </w:rPr>
        <w:t xml:space="preserve"> </w:t>
      </w:r>
      <w:r>
        <w:t>an</w:t>
      </w:r>
      <w:r>
        <w:rPr>
          <w:spacing w:val="-8"/>
        </w:rPr>
        <w:t xml:space="preserve"> </w:t>
      </w:r>
      <w:r>
        <w:t>objective</w:t>
      </w:r>
      <w:r>
        <w:rPr>
          <w:spacing w:val="-11"/>
        </w:rPr>
        <w:t xml:space="preserve"> </w:t>
      </w:r>
      <w:r>
        <w:t>and</w:t>
      </w:r>
      <w:r>
        <w:rPr>
          <w:spacing w:val="-8"/>
        </w:rPr>
        <w:t xml:space="preserve"> </w:t>
      </w:r>
      <w:r>
        <w:t>unbiased</w:t>
      </w:r>
      <w:r>
        <w:rPr>
          <w:spacing w:val="-13"/>
        </w:rPr>
        <w:t xml:space="preserve"> </w:t>
      </w:r>
      <w:r>
        <w:t>investigating authority would make.</w:t>
      </w:r>
      <w:hyperlink w:anchor="_bookmark1075" w:history="1">
        <w:r>
          <w:rPr>
            <w:vertAlign w:val="superscript"/>
          </w:rPr>
          <w:t>923</w:t>
        </w:r>
      </w:hyperlink>
    </w:p>
    <w:p w14:paraId="2BE9B506" w14:textId="77777777" w:rsidR="00BD462C" w:rsidRDefault="00BD462C">
      <w:pPr>
        <w:pStyle w:val="BodyText"/>
        <w:spacing w:before="11"/>
        <w:rPr>
          <w:sz w:val="8"/>
        </w:rPr>
      </w:pPr>
    </w:p>
    <w:p w14:paraId="3FD26838" w14:textId="36D85F9F" w:rsidR="00BD462C" w:rsidRDefault="00BB6E3A">
      <w:pPr>
        <w:pStyle w:val="BodyText"/>
        <w:spacing w:before="56" w:line="357" w:lineRule="auto"/>
        <w:ind w:left="135" w:right="916"/>
        <w:jc w:val="both"/>
      </w:pPr>
      <w:r>
        <w:rPr>
          <w:noProof/>
        </w:rPr>
        <w:t>590.</w:t>
      </w:r>
      <w:r w:rsidR="00033D0F">
        <w:rPr>
          <w:rFonts w:ascii="Times New Roman"/>
          <w:spacing w:val="80"/>
          <w:position w:val="1"/>
          <w:sz w:val="20"/>
        </w:rPr>
        <w:t xml:space="preserve">  </w:t>
      </w:r>
      <w:r w:rsidR="00033D0F">
        <w:rPr>
          <w:position w:val="1"/>
        </w:rPr>
        <w:t xml:space="preserve">First, MOFCOM dismissed third country imports and declined to undertake a proper </w:t>
      </w:r>
      <w:r w:rsidR="00033D0F">
        <w:t>non-attribution</w:t>
      </w:r>
      <w:r w:rsidR="00033D0F">
        <w:rPr>
          <w:spacing w:val="-1"/>
        </w:rPr>
        <w:t xml:space="preserve"> </w:t>
      </w:r>
      <w:r w:rsidR="00033D0F">
        <w:t>examination</w:t>
      </w:r>
      <w:r w:rsidR="00033D0F">
        <w:rPr>
          <w:spacing w:val="-1"/>
        </w:rPr>
        <w:t xml:space="preserve"> </w:t>
      </w:r>
      <w:r w:rsidR="00033D0F">
        <w:t>of their</w:t>
      </w:r>
      <w:r w:rsidR="00033D0F">
        <w:rPr>
          <w:spacing w:val="-1"/>
        </w:rPr>
        <w:t xml:space="preserve"> </w:t>
      </w:r>
      <w:r w:rsidR="00033D0F">
        <w:t>impact on</w:t>
      </w:r>
      <w:r w:rsidR="00033D0F">
        <w:rPr>
          <w:spacing w:val="-1"/>
        </w:rPr>
        <w:t xml:space="preserve"> </w:t>
      </w:r>
      <w:r w:rsidR="00033D0F">
        <w:t>the domestic industry on</w:t>
      </w:r>
      <w:r w:rsidR="00033D0F">
        <w:rPr>
          <w:spacing w:val="-1"/>
        </w:rPr>
        <w:t xml:space="preserve"> </w:t>
      </w:r>
      <w:r w:rsidR="00033D0F">
        <w:t>the basis that there was no evidence they were dumped.</w:t>
      </w:r>
      <w:hyperlink w:anchor="_bookmark1076" w:history="1">
        <w:r w:rsidR="00033D0F">
          <w:rPr>
            <w:vertAlign w:val="superscript"/>
          </w:rPr>
          <w:t>924</w:t>
        </w:r>
      </w:hyperlink>
      <w:r w:rsidR="00033D0F">
        <w:t xml:space="preserve"> As set out in Australia's first written submission, this is a clear legal error that is </w:t>
      </w:r>
      <w:r w:rsidR="00033D0F">
        <w:rPr>
          <w:i/>
        </w:rPr>
        <w:t xml:space="preserve">prima facie </w:t>
      </w:r>
      <w:r w:rsidR="00033D0F">
        <w:t>inconsistent with Article 3.5.</w:t>
      </w:r>
      <w:hyperlink w:anchor="_bookmark1077" w:history="1">
        <w:r w:rsidR="00033D0F">
          <w:rPr>
            <w:vertAlign w:val="superscript"/>
          </w:rPr>
          <w:t>925</w:t>
        </w:r>
      </w:hyperlink>
    </w:p>
    <w:p w14:paraId="05F4F94D" w14:textId="77777777" w:rsidR="00BD462C" w:rsidRDefault="00BD462C">
      <w:pPr>
        <w:pStyle w:val="BodyText"/>
        <w:spacing w:before="3"/>
        <w:rPr>
          <w:sz w:val="9"/>
        </w:rPr>
      </w:pPr>
    </w:p>
    <w:p w14:paraId="220CA0FE" w14:textId="2B34AC62" w:rsidR="00BD462C" w:rsidRDefault="00BB6E3A">
      <w:pPr>
        <w:pStyle w:val="BodyText"/>
        <w:spacing w:before="56" w:line="360" w:lineRule="auto"/>
        <w:ind w:left="135" w:right="912"/>
        <w:jc w:val="both"/>
      </w:pPr>
      <w:r>
        <w:rPr>
          <w:noProof/>
        </w:rPr>
        <w:t>591.</w:t>
      </w:r>
      <w:r w:rsidR="00033D0F">
        <w:rPr>
          <w:rFonts w:ascii="Times New Roman"/>
          <w:spacing w:val="80"/>
          <w:position w:val="1"/>
          <w:sz w:val="20"/>
        </w:rPr>
        <w:t xml:space="preserve">  </w:t>
      </w:r>
      <w:r w:rsidR="00033D0F">
        <w:rPr>
          <w:position w:val="1"/>
        </w:rPr>
        <w:t>Second,</w:t>
      </w:r>
      <w:r w:rsidR="00033D0F">
        <w:rPr>
          <w:spacing w:val="-2"/>
          <w:position w:val="1"/>
        </w:rPr>
        <w:t xml:space="preserve"> </w:t>
      </w:r>
      <w:r w:rsidR="00033D0F">
        <w:rPr>
          <w:position w:val="1"/>
        </w:rPr>
        <w:t>MOFCOM</w:t>
      </w:r>
      <w:r w:rsidR="00033D0F">
        <w:rPr>
          <w:spacing w:val="-3"/>
          <w:position w:val="1"/>
        </w:rPr>
        <w:t xml:space="preserve"> </w:t>
      </w:r>
      <w:r w:rsidR="00033D0F">
        <w:rPr>
          <w:position w:val="1"/>
        </w:rPr>
        <w:t>did</w:t>
      </w:r>
      <w:r w:rsidR="00033D0F">
        <w:rPr>
          <w:spacing w:val="-5"/>
          <w:position w:val="1"/>
        </w:rPr>
        <w:t xml:space="preserve"> </w:t>
      </w:r>
      <w:r w:rsidR="00033D0F">
        <w:rPr>
          <w:position w:val="1"/>
        </w:rPr>
        <w:t>not</w:t>
      </w:r>
      <w:r w:rsidR="00033D0F">
        <w:rPr>
          <w:spacing w:val="-3"/>
          <w:position w:val="1"/>
        </w:rPr>
        <w:t xml:space="preserve"> </w:t>
      </w:r>
      <w:r w:rsidR="00033D0F">
        <w:rPr>
          <w:position w:val="1"/>
        </w:rPr>
        <w:t>objectively</w:t>
      </w:r>
      <w:r w:rsidR="00033D0F">
        <w:rPr>
          <w:spacing w:val="-2"/>
          <w:position w:val="1"/>
        </w:rPr>
        <w:t xml:space="preserve"> </w:t>
      </w:r>
      <w:r w:rsidR="00033D0F">
        <w:rPr>
          <w:position w:val="1"/>
        </w:rPr>
        <w:t>consider</w:t>
      </w:r>
      <w:r w:rsidR="00033D0F">
        <w:rPr>
          <w:spacing w:val="-6"/>
          <w:position w:val="1"/>
        </w:rPr>
        <w:t xml:space="preserve"> </w:t>
      </w:r>
      <w:r w:rsidR="00033D0F">
        <w:rPr>
          <w:position w:val="1"/>
        </w:rPr>
        <w:t>the</w:t>
      </w:r>
      <w:r w:rsidR="00033D0F">
        <w:rPr>
          <w:spacing w:val="-4"/>
          <w:position w:val="1"/>
        </w:rPr>
        <w:t xml:space="preserve"> </w:t>
      </w:r>
      <w:r w:rsidR="00033D0F">
        <w:rPr>
          <w:position w:val="1"/>
        </w:rPr>
        <w:t>evidence</w:t>
      </w:r>
      <w:r w:rsidR="00033D0F">
        <w:rPr>
          <w:spacing w:val="-3"/>
          <w:position w:val="1"/>
        </w:rPr>
        <w:t xml:space="preserve"> </w:t>
      </w:r>
      <w:r w:rsidR="00033D0F">
        <w:rPr>
          <w:position w:val="1"/>
        </w:rPr>
        <w:t>relating</w:t>
      </w:r>
      <w:r w:rsidR="00033D0F">
        <w:rPr>
          <w:spacing w:val="-7"/>
          <w:position w:val="1"/>
        </w:rPr>
        <w:t xml:space="preserve"> </w:t>
      </w:r>
      <w:r w:rsidR="00033D0F">
        <w:rPr>
          <w:position w:val="1"/>
        </w:rPr>
        <w:t>to</w:t>
      </w:r>
      <w:r w:rsidR="00033D0F">
        <w:rPr>
          <w:spacing w:val="-6"/>
          <w:position w:val="1"/>
        </w:rPr>
        <w:t xml:space="preserve"> </w:t>
      </w:r>
      <w:r w:rsidR="00033D0F">
        <w:rPr>
          <w:position w:val="1"/>
        </w:rPr>
        <w:t>third</w:t>
      </w:r>
      <w:r w:rsidR="00033D0F">
        <w:rPr>
          <w:spacing w:val="-5"/>
          <w:position w:val="1"/>
        </w:rPr>
        <w:t xml:space="preserve"> </w:t>
      </w:r>
      <w:r w:rsidR="00033D0F">
        <w:rPr>
          <w:position w:val="1"/>
        </w:rPr>
        <w:t xml:space="preserve">country </w:t>
      </w:r>
      <w:r w:rsidR="00033D0F">
        <w:t>imports, either during its examination of price effects or elsewhere during its injury evaluation.</w:t>
      </w:r>
      <w:hyperlink w:anchor="_bookmark1078" w:history="1">
        <w:r w:rsidR="00033D0F">
          <w:rPr>
            <w:vertAlign w:val="superscript"/>
          </w:rPr>
          <w:t>926</w:t>
        </w:r>
      </w:hyperlink>
      <w:r w:rsidR="00033D0F">
        <w:t xml:space="preserve"> Rather, MOFCOM's consideration as described in its Final Determination was cursory and unobjective. MOFCOM only considered third country imports as a homogenous block, for two of the five years in the Injury POI, and focused purely on isolated end-to-end trends.</w:t>
      </w:r>
      <w:hyperlink w:anchor="_bookmark1079" w:history="1">
        <w:r w:rsidR="00033D0F">
          <w:rPr>
            <w:vertAlign w:val="superscript"/>
          </w:rPr>
          <w:t>927</w:t>
        </w:r>
      </w:hyperlink>
      <w:r w:rsidR="00033D0F">
        <w:t xml:space="preserve"> The careful consideration that China asserts MOFCOM undertook does not appear anywhere</w:t>
      </w:r>
      <w:r w:rsidR="00033D0F">
        <w:rPr>
          <w:spacing w:val="-6"/>
        </w:rPr>
        <w:t xml:space="preserve"> </w:t>
      </w:r>
      <w:r w:rsidR="00033D0F">
        <w:t>on</w:t>
      </w:r>
      <w:r w:rsidR="00033D0F">
        <w:rPr>
          <w:spacing w:val="-3"/>
        </w:rPr>
        <w:t xml:space="preserve"> </w:t>
      </w:r>
      <w:r w:rsidR="00033D0F">
        <w:t>the</w:t>
      </w:r>
      <w:r w:rsidR="00033D0F">
        <w:rPr>
          <w:spacing w:val="-6"/>
        </w:rPr>
        <w:t xml:space="preserve"> </w:t>
      </w:r>
      <w:r w:rsidR="00033D0F">
        <w:t>investigation</w:t>
      </w:r>
      <w:r w:rsidR="00033D0F">
        <w:rPr>
          <w:spacing w:val="-8"/>
        </w:rPr>
        <w:t xml:space="preserve"> </w:t>
      </w:r>
      <w:r w:rsidR="00033D0F">
        <w:t>record.</w:t>
      </w:r>
      <w:hyperlink w:anchor="_bookmark1080" w:history="1">
        <w:r w:rsidR="00033D0F">
          <w:rPr>
            <w:vertAlign w:val="superscript"/>
          </w:rPr>
          <w:t>928</w:t>
        </w:r>
      </w:hyperlink>
      <w:r w:rsidR="00033D0F">
        <w:rPr>
          <w:spacing w:val="-5"/>
        </w:rPr>
        <w:t xml:space="preserve"> </w:t>
      </w:r>
      <w:r w:rsidR="00033D0F">
        <w:t>Rather,</w:t>
      </w:r>
      <w:r w:rsidR="00033D0F">
        <w:rPr>
          <w:spacing w:val="-4"/>
        </w:rPr>
        <w:t xml:space="preserve"> </w:t>
      </w:r>
      <w:r w:rsidR="00033D0F">
        <w:t>it</w:t>
      </w:r>
      <w:r w:rsidR="00033D0F">
        <w:rPr>
          <w:spacing w:val="-6"/>
        </w:rPr>
        <w:t xml:space="preserve"> </w:t>
      </w:r>
      <w:r w:rsidR="00033D0F">
        <w:t>is</w:t>
      </w:r>
      <w:r w:rsidR="00033D0F">
        <w:rPr>
          <w:spacing w:val="-5"/>
        </w:rPr>
        <w:t xml:space="preserve"> </w:t>
      </w:r>
      <w:r w:rsidR="00033D0F">
        <w:t>an</w:t>
      </w:r>
      <w:r w:rsidR="00033D0F">
        <w:rPr>
          <w:spacing w:val="-8"/>
        </w:rPr>
        <w:t xml:space="preserve"> </w:t>
      </w:r>
      <w:r w:rsidR="00033D0F">
        <w:rPr>
          <w:i/>
        </w:rPr>
        <w:t>ex</w:t>
      </w:r>
      <w:r w:rsidR="00033D0F">
        <w:rPr>
          <w:i/>
          <w:spacing w:val="-5"/>
        </w:rPr>
        <w:t xml:space="preserve"> </w:t>
      </w:r>
      <w:r w:rsidR="00033D0F">
        <w:rPr>
          <w:i/>
        </w:rPr>
        <w:t>post</w:t>
      </w:r>
      <w:r w:rsidR="00033D0F">
        <w:rPr>
          <w:i/>
          <w:spacing w:val="-1"/>
        </w:rPr>
        <w:t xml:space="preserve"> </w:t>
      </w:r>
      <w:r w:rsidR="00033D0F">
        <w:rPr>
          <w:i/>
        </w:rPr>
        <w:t>facto</w:t>
      </w:r>
      <w:r w:rsidR="00033D0F">
        <w:rPr>
          <w:i/>
          <w:spacing w:val="-5"/>
        </w:rPr>
        <w:t xml:space="preserve"> </w:t>
      </w:r>
      <w:r w:rsidR="00033D0F">
        <w:t>justification</w:t>
      </w:r>
      <w:r w:rsidR="00033D0F">
        <w:rPr>
          <w:spacing w:val="-8"/>
        </w:rPr>
        <w:t xml:space="preserve"> </w:t>
      </w:r>
      <w:r w:rsidR="00033D0F">
        <w:t>that</w:t>
      </w:r>
      <w:r w:rsidR="00033D0F">
        <w:rPr>
          <w:spacing w:val="-6"/>
        </w:rPr>
        <w:t xml:space="preserve"> </w:t>
      </w:r>
      <w:r w:rsidR="00033D0F">
        <w:t>cannot be relied upon, and which, in any event, does not address MOFCOM's failure to objectively consider third country imports as a non-attribution factor.</w:t>
      </w:r>
    </w:p>
    <w:p w14:paraId="5988F595" w14:textId="77777777" w:rsidR="00BD462C" w:rsidRDefault="00BD462C">
      <w:pPr>
        <w:pStyle w:val="BodyText"/>
        <w:spacing w:before="9"/>
        <w:rPr>
          <w:sz w:val="8"/>
        </w:rPr>
      </w:pPr>
    </w:p>
    <w:p w14:paraId="76422FA4" w14:textId="2860B12C" w:rsidR="00BD462C" w:rsidRDefault="002670B3">
      <w:pPr>
        <w:pStyle w:val="BodyText"/>
        <w:spacing w:before="57" w:line="357" w:lineRule="auto"/>
        <w:ind w:left="135" w:right="913"/>
        <w:jc w:val="both"/>
      </w:pPr>
      <w:r>
        <w:rPr>
          <w:noProof/>
        </w:rPr>
        <w:t>592.</w:t>
      </w:r>
      <w:r w:rsidR="00033D0F">
        <w:rPr>
          <w:rFonts w:ascii="Times New Roman"/>
          <w:spacing w:val="80"/>
          <w:position w:val="1"/>
          <w:sz w:val="20"/>
        </w:rPr>
        <w:t xml:space="preserve">  </w:t>
      </w:r>
      <w:r w:rsidR="00033D0F">
        <w:rPr>
          <w:position w:val="1"/>
        </w:rPr>
        <w:t>Third,</w:t>
      </w:r>
      <w:r w:rsidR="00033D0F">
        <w:rPr>
          <w:spacing w:val="-1"/>
          <w:position w:val="1"/>
        </w:rPr>
        <w:t xml:space="preserve"> </w:t>
      </w:r>
      <w:r w:rsidR="00033D0F">
        <w:rPr>
          <w:position w:val="1"/>
        </w:rPr>
        <w:t>the</w:t>
      </w:r>
      <w:r w:rsidR="00033D0F">
        <w:rPr>
          <w:spacing w:val="-3"/>
          <w:position w:val="1"/>
        </w:rPr>
        <w:t xml:space="preserve"> </w:t>
      </w:r>
      <w:r w:rsidR="00033D0F">
        <w:rPr>
          <w:position w:val="1"/>
        </w:rPr>
        <w:t>substance of China's</w:t>
      </w:r>
      <w:r w:rsidR="00033D0F">
        <w:rPr>
          <w:spacing w:val="-1"/>
          <w:position w:val="1"/>
        </w:rPr>
        <w:t xml:space="preserve"> </w:t>
      </w:r>
      <w:r w:rsidR="00033D0F">
        <w:rPr>
          <w:position w:val="1"/>
        </w:rPr>
        <w:t>argument</w:t>
      </w:r>
      <w:r w:rsidR="00033D0F">
        <w:rPr>
          <w:spacing w:val="-2"/>
          <w:position w:val="1"/>
        </w:rPr>
        <w:t xml:space="preserve"> </w:t>
      </w:r>
      <w:r w:rsidR="00033D0F">
        <w:rPr>
          <w:position w:val="1"/>
        </w:rPr>
        <w:t>appears to</w:t>
      </w:r>
      <w:r w:rsidR="00033D0F">
        <w:rPr>
          <w:spacing w:val="-5"/>
          <w:position w:val="1"/>
        </w:rPr>
        <w:t xml:space="preserve"> </w:t>
      </w:r>
      <w:r w:rsidR="00033D0F">
        <w:rPr>
          <w:position w:val="1"/>
        </w:rPr>
        <w:t>be</w:t>
      </w:r>
      <w:r w:rsidR="00033D0F">
        <w:rPr>
          <w:spacing w:val="-3"/>
          <w:position w:val="1"/>
        </w:rPr>
        <w:t xml:space="preserve"> </w:t>
      </w:r>
      <w:r w:rsidR="00033D0F">
        <w:rPr>
          <w:position w:val="1"/>
        </w:rPr>
        <w:t>that MOFCOM's</w:t>
      </w:r>
      <w:r w:rsidR="00033D0F">
        <w:rPr>
          <w:spacing w:val="-1"/>
          <w:position w:val="1"/>
        </w:rPr>
        <w:t xml:space="preserve"> </w:t>
      </w:r>
      <w:r w:rsidR="00033D0F">
        <w:rPr>
          <w:position w:val="1"/>
        </w:rPr>
        <w:t xml:space="preserve">dismissal of </w:t>
      </w:r>
      <w:r w:rsidR="00033D0F">
        <w:t>third</w:t>
      </w:r>
      <w:r w:rsidR="00033D0F">
        <w:rPr>
          <w:spacing w:val="-5"/>
        </w:rPr>
        <w:t xml:space="preserve"> </w:t>
      </w:r>
      <w:r w:rsidR="00033D0F">
        <w:t>country</w:t>
      </w:r>
      <w:r w:rsidR="00033D0F">
        <w:rPr>
          <w:spacing w:val="-2"/>
        </w:rPr>
        <w:t xml:space="preserve"> </w:t>
      </w:r>
      <w:r w:rsidR="00033D0F">
        <w:t>imports</w:t>
      </w:r>
      <w:r w:rsidR="00033D0F">
        <w:rPr>
          <w:spacing w:val="-2"/>
        </w:rPr>
        <w:t xml:space="preserve"> </w:t>
      </w:r>
      <w:r w:rsidR="00033D0F">
        <w:t>is</w:t>
      </w:r>
      <w:r w:rsidR="00033D0F">
        <w:rPr>
          <w:spacing w:val="-2"/>
        </w:rPr>
        <w:t xml:space="preserve"> </w:t>
      </w:r>
      <w:r w:rsidR="00033D0F">
        <w:t>justified</w:t>
      </w:r>
      <w:r w:rsidR="00033D0F">
        <w:rPr>
          <w:spacing w:val="-5"/>
        </w:rPr>
        <w:t xml:space="preserve"> </w:t>
      </w:r>
      <w:r w:rsidR="00033D0F">
        <w:t>on</w:t>
      </w:r>
      <w:r w:rsidR="00033D0F">
        <w:rPr>
          <w:spacing w:val="-5"/>
        </w:rPr>
        <w:t xml:space="preserve"> </w:t>
      </w:r>
      <w:r w:rsidR="00033D0F">
        <w:t>the</w:t>
      </w:r>
      <w:r w:rsidR="00033D0F">
        <w:rPr>
          <w:spacing w:val="-4"/>
        </w:rPr>
        <w:t xml:space="preserve"> </w:t>
      </w:r>
      <w:r w:rsidR="00033D0F">
        <w:t>basis</w:t>
      </w:r>
      <w:r w:rsidR="00033D0F">
        <w:rPr>
          <w:spacing w:val="-2"/>
        </w:rPr>
        <w:t xml:space="preserve"> </w:t>
      </w:r>
      <w:r w:rsidR="00033D0F">
        <w:t>that</w:t>
      </w:r>
      <w:r w:rsidR="00033D0F">
        <w:rPr>
          <w:spacing w:val="-8"/>
        </w:rPr>
        <w:t xml:space="preserve"> </w:t>
      </w:r>
      <w:r w:rsidR="00033D0F">
        <w:t>third</w:t>
      </w:r>
      <w:r w:rsidR="00033D0F">
        <w:rPr>
          <w:spacing w:val="-5"/>
        </w:rPr>
        <w:t xml:space="preserve"> </w:t>
      </w:r>
      <w:r w:rsidR="00033D0F">
        <w:t>country</w:t>
      </w:r>
      <w:r w:rsidR="00033D0F">
        <w:rPr>
          <w:spacing w:val="-2"/>
        </w:rPr>
        <w:t xml:space="preserve"> </w:t>
      </w:r>
      <w:r w:rsidR="00033D0F">
        <w:t>imports</w:t>
      </w:r>
      <w:r w:rsidR="00033D0F">
        <w:rPr>
          <w:spacing w:val="-2"/>
        </w:rPr>
        <w:t xml:space="preserve"> </w:t>
      </w:r>
      <w:r w:rsidR="00033D0F">
        <w:t>exhibited</w:t>
      </w:r>
      <w:r w:rsidR="00033D0F">
        <w:rPr>
          <w:spacing w:val="-5"/>
        </w:rPr>
        <w:t xml:space="preserve"> </w:t>
      </w:r>
      <w:r w:rsidR="00033D0F">
        <w:t>a</w:t>
      </w:r>
      <w:r w:rsidR="00033D0F">
        <w:rPr>
          <w:spacing w:val="-4"/>
        </w:rPr>
        <w:t xml:space="preserve"> </w:t>
      </w:r>
      <w:r w:rsidR="00033D0F">
        <w:t>decline</w:t>
      </w:r>
      <w:r w:rsidR="00033D0F">
        <w:rPr>
          <w:spacing w:val="-4"/>
        </w:rPr>
        <w:t xml:space="preserve"> </w:t>
      </w:r>
      <w:r w:rsidR="00033D0F">
        <w:t>in import</w:t>
      </w:r>
      <w:r w:rsidR="00033D0F">
        <w:rPr>
          <w:spacing w:val="-5"/>
        </w:rPr>
        <w:t xml:space="preserve"> </w:t>
      </w:r>
      <w:r w:rsidR="00033D0F">
        <w:t>volume</w:t>
      </w:r>
      <w:r w:rsidR="00033D0F">
        <w:rPr>
          <w:spacing w:val="-5"/>
        </w:rPr>
        <w:t xml:space="preserve"> </w:t>
      </w:r>
      <w:r w:rsidR="00033D0F">
        <w:t>and</w:t>
      </w:r>
      <w:r w:rsidR="00033D0F">
        <w:rPr>
          <w:spacing w:val="-7"/>
        </w:rPr>
        <w:t xml:space="preserve"> </w:t>
      </w:r>
      <w:r w:rsidR="00033D0F">
        <w:t>average unit</w:t>
      </w:r>
      <w:r w:rsidR="00033D0F">
        <w:rPr>
          <w:spacing w:val="-5"/>
        </w:rPr>
        <w:t xml:space="preserve"> </w:t>
      </w:r>
      <w:r w:rsidR="00033D0F">
        <w:t>value</w:t>
      </w:r>
      <w:r w:rsidR="00033D0F">
        <w:rPr>
          <w:spacing w:val="-5"/>
        </w:rPr>
        <w:t xml:space="preserve"> </w:t>
      </w:r>
      <w:r w:rsidR="00033D0F">
        <w:t>(USD/kl)</w:t>
      </w:r>
      <w:r w:rsidR="00033D0F">
        <w:rPr>
          <w:spacing w:val="-7"/>
        </w:rPr>
        <w:t xml:space="preserve"> </w:t>
      </w:r>
      <w:r w:rsidR="00033D0F">
        <w:t>when</w:t>
      </w:r>
      <w:r w:rsidR="00033D0F">
        <w:rPr>
          <w:spacing w:val="-7"/>
        </w:rPr>
        <w:t xml:space="preserve"> </w:t>
      </w:r>
      <w:r w:rsidR="00033D0F">
        <w:t>2015</w:t>
      </w:r>
      <w:r w:rsidR="00033D0F">
        <w:rPr>
          <w:spacing w:val="-3"/>
        </w:rPr>
        <w:t xml:space="preserve"> </w:t>
      </w:r>
      <w:r w:rsidR="00033D0F">
        <w:t>is</w:t>
      </w:r>
      <w:r w:rsidR="00033D0F">
        <w:rPr>
          <w:spacing w:val="-4"/>
        </w:rPr>
        <w:t xml:space="preserve"> </w:t>
      </w:r>
      <w:r w:rsidR="00033D0F">
        <w:t>compared</w:t>
      </w:r>
      <w:r w:rsidR="00033D0F">
        <w:rPr>
          <w:spacing w:val="-2"/>
        </w:rPr>
        <w:t xml:space="preserve"> </w:t>
      </w:r>
      <w:r w:rsidR="00033D0F">
        <w:t>to</w:t>
      </w:r>
      <w:r w:rsidR="00033D0F">
        <w:rPr>
          <w:spacing w:val="-3"/>
        </w:rPr>
        <w:t xml:space="preserve"> </w:t>
      </w:r>
      <w:r w:rsidR="00033D0F">
        <w:t>2019.</w:t>
      </w:r>
      <w:hyperlink w:anchor="_bookmark1081" w:history="1">
        <w:r w:rsidR="00033D0F">
          <w:rPr>
            <w:vertAlign w:val="superscript"/>
          </w:rPr>
          <w:t>929</w:t>
        </w:r>
      </w:hyperlink>
      <w:r w:rsidR="00033D0F">
        <w:rPr>
          <w:spacing w:val="-4"/>
        </w:rPr>
        <w:t xml:space="preserve"> </w:t>
      </w:r>
      <w:r w:rsidR="00033D0F">
        <w:t>MOFCOM apparently concluded</w:t>
      </w:r>
      <w:r w:rsidR="00033D0F">
        <w:rPr>
          <w:spacing w:val="-1"/>
        </w:rPr>
        <w:t xml:space="preserve"> </w:t>
      </w:r>
      <w:r w:rsidR="00033D0F">
        <w:t>that because the volume trend</w:t>
      </w:r>
      <w:r w:rsidR="00033D0F">
        <w:rPr>
          <w:spacing w:val="-1"/>
        </w:rPr>
        <w:t xml:space="preserve"> </w:t>
      </w:r>
      <w:r w:rsidR="00033D0F">
        <w:t>exhibited</w:t>
      </w:r>
      <w:r w:rsidR="00033D0F">
        <w:rPr>
          <w:spacing w:val="-1"/>
        </w:rPr>
        <w:t xml:space="preserve"> </w:t>
      </w:r>
      <w:r w:rsidR="00033D0F">
        <w:t>by third</w:t>
      </w:r>
      <w:r w:rsidR="00033D0F">
        <w:rPr>
          <w:spacing w:val="-1"/>
        </w:rPr>
        <w:t xml:space="preserve"> </w:t>
      </w:r>
      <w:r w:rsidR="00033D0F">
        <w:t>country imports was different</w:t>
      </w:r>
      <w:r w:rsidR="00033D0F">
        <w:rPr>
          <w:spacing w:val="-11"/>
        </w:rPr>
        <w:t xml:space="preserve"> </w:t>
      </w:r>
      <w:r w:rsidR="00033D0F">
        <w:t>to</w:t>
      </w:r>
      <w:r w:rsidR="00033D0F">
        <w:rPr>
          <w:spacing w:val="-9"/>
        </w:rPr>
        <w:t xml:space="preserve"> </w:t>
      </w:r>
      <w:r w:rsidR="00033D0F">
        <w:t>Australian</w:t>
      </w:r>
      <w:r w:rsidR="00033D0F">
        <w:rPr>
          <w:spacing w:val="-14"/>
        </w:rPr>
        <w:t xml:space="preserve"> </w:t>
      </w:r>
      <w:r w:rsidR="00033D0F">
        <w:t>wines</w:t>
      </w:r>
      <w:r w:rsidR="00033D0F">
        <w:rPr>
          <w:spacing w:val="-10"/>
        </w:rPr>
        <w:t xml:space="preserve"> </w:t>
      </w:r>
      <w:r w:rsidR="00033D0F">
        <w:t>and</w:t>
      </w:r>
      <w:r w:rsidR="00033D0F">
        <w:rPr>
          <w:spacing w:val="-14"/>
        </w:rPr>
        <w:t xml:space="preserve"> </w:t>
      </w:r>
      <w:r w:rsidR="00033D0F">
        <w:t>the</w:t>
      </w:r>
      <w:r w:rsidR="00033D0F">
        <w:rPr>
          <w:spacing w:val="-12"/>
        </w:rPr>
        <w:t xml:space="preserve"> </w:t>
      </w:r>
      <w:r w:rsidR="00033D0F">
        <w:t>overall</w:t>
      </w:r>
      <w:r w:rsidR="00033D0F">
        <w:rPr>
          <w:spacing w:val="-10"/>
        </w:rPr>
        <w:t xml:space="preserve"> </w:t>
      </w:r>
      <w:r w:rsidR="00033D0F">
        <w:t>price</w:t>
      </w:r>
      <w:r w:rsidR="00033D0F">
        <w:rPr>
          <w:spacing w:val="-7"/>
        </w:rPr>
        <w:t xml:space="preserve"> </w:t>
      </w:r>
      <w:r w:rsidR="00033D0F">
        <w:t>decrease</w:t>
      </w:r>
      <w:r w:rsidR="00033D0F">
        <w:rPr>
          <w:spacing w:val="-12"/>
        </w:rPr>
        <w:t xml:space="preserve"> </w:t>
      </w:r>
      <w:r w:rsidR="00033D0F">
        <w:t>was</w:t>
      </w:r>
      <w:r w:rsidR="00033D0F">
        <w:rPr>
          <w:spacing w:val="-10"/>
        </w:rPr>
        <w:t xml:space="preserve"> </w:t>
      </w:r>
      <w:r w:rsidR="00033D0F">
        <w:t>smaller,</w:t>
      </w:r>
      <w:r w:rsidR="00033D0F">
        <w:rPr>
          <w:spacing w:val="-10"/>
        </w:rPr>
        <w:t xml:space="preserve"> </w:t>
      </w:r>
      <w:r w:rsidR="00033D0F">
        <w:t>third</w:t>
      </w:r>
      <w:r w:rsidR="00033D0F">
        <w:rPr>
          <w:spacing w:val="-14"/>
        </w:rPr>
        <w:t xml:space="preserve"> </w:t>
      </w:r>
      <w:r w:rsidR="00033D0F">
        <w:t>country</w:t>
      </w:r>
      <w:r w:rsidR="00033D0F">
        <w:rPr>
          <w:spacing w:val="-11"/>
        </w:rPr>
        <w:t xml:space="preserve"> </w:t>
      </w:r>
      <w:r w:rsidR="00033D0F">
        <w:t>imports did</w:t>
      </w:r>
      <w:r w:rsidR="00033D0F">
        <w:rPr>
          <w:spacing w:val="-5"/>
        </w:rPr>
        <w:t xml:space="preserve"> </w:t>
      </w:r>
      <w:r w:rsidR="00033D0F">
        <w:t>not</w:t>
      </w:r>
      <w:r w:rsidR="00033D0F">
        <w:rPr>
          <w:spacing w:val="-4"/>
        </w:rPr>
        <w:t xml:space="preserve"> </w:t>
      </w:r>
      <w:r w:rsidR="00033D0F">
        <w:t>break</w:t>
      </w:r>
      <w:r w:rsidR="00033D0F">
        <w:rPr>
          <w:spacing w:val="-4"/>
        </w:rPr>
        <w:t xml:space="preserve"> </w:t>
      </w:r>
      <w:r w:rsidR="00033D0F">
        <w:t>the</w:t>
      </w:r>
      <w:r w:rsidR="00033D0F">
        <w:rPr>
          <w:spacing w:val="-4"/>
        </w:rPr>
        <w:t xml:space="preserve"> </w:t>
      </w:r>
      <w:r w:rsidR="00033D0F">
        <w:t>causal</w:t>
      </w:r>
      <w:r w:rsidR="00033D0F">
        <w:rPr>
          <w:spacing w:val="-2"/>
        </w:rPr>
        <w:t xml:space="preserve"> </w:t>
      </w:r>
      <w:r w:rsidR="00033D0F">
        <w:t>link</w:t>
      </w:r>
      <w:r w:rsidR="00033D0F">
        <w:rPr>
          <w:spacing w:val="-4"/>
        </w:rPr>
        <w:t xml:space="preserve"> </w:t>
      </w:r>
      <w:r w:rsidR="00033D0F">
        <w:t>between</w:t>
      </w:r>
      <w:r w:rsidR="00033D0F">
        <w:rPr>
          <w:spacing w:val="-5"/>
        </w:rPr>
        <w:t xml:space="preserve"> </w:t>
      </w:r>
      <w:r w:rsidR="00033D0F">
        <w:t>subject</w:t>
      </w:r>
      <w:r w:rsidR="00033D0F">
        <w:rPr>
          <w:spacing w:val="-8"/>
        </w:rPr>
        <w:t xml:space="preserve"> </w:t>
      </w:r>
      <w:r w:rsidR="00033D0F">
        <w:t>imports</w:t>
      </w:r>
      <w:r w:rsidR="00033D0F">
        <w:rPr>
          <w:spacing w:val="-3"/>
        </w:rPr>
        <w:t xml:space="preserve"> </w:t>
      </w:r>
      <w:r w:rsidR="00033D0F">
        <w:t>and</w:t>
      </w:r>
      <w:r w:rsidR="00033D0F">
        <w:rPr>
          <w:spacing w:val="-5"/>
        </w:rPr>
        <w:t xml:space="preserve"> </w:t>
      </w:r>
      <w:r w:rsidR="00033D0F">
        <w:t>the</w:t>
      </w:r>
      <w:r w:rsidR="00033D0F">
        <w:rPr>
          <w:spacing w:val="-4"/>
        </w:rPr>
        <w:t xml:space="preserve"> </w:t>
      </w:r>
      <w:r w:rsidR="00033D0F">
        <w:t>material</w:t>
      </w:r>
      <w:r w:rsidR="00033D0F">
        <w:rPr>
          <w:spacing w:val="-6"/>
        </w:rPr>
        <w:t xml:space="preserve"> </w:t>
      </w:r>
      <w:r w:rsidR="00033D0F">
        <w:t>injury</w:t>
      </w:r>
      <w:r w:rsidR="00033D0F">
        <w:rPr>
          <w:spacing w:val="-3"/>
        </w:rPr>
        <w:t xml:space="preserve"> </w:t>
      </w:r>
      <w:r w:rsidR="00033D0F">
        <w:t>to</w:t>
      </w:r>
      <w:r w:rsidR="00033D0F">
        <w:rPr>
          <w:spacing w:val="-6"/>
        </w:rPr>
        <w:t xml:space="preserve"> </w:t>
      </w:r>
      <w:r w:rsidR="00033D0F">
        <w:t>the</w:t>
      </w:r>
      <w:r w:rsidR="00033D0F">
        <w:rPr>
          <w:spacing w:val="-4"/>
        </w:rPr>
        <w:t xml:space="preserve"> </w:t>
      </w:r>
      <w:r w:rsidR="00033D0F">
        <w:t>domestic</w:t>
      </w:r>
    </w:p>
    <w:p w14:paraId="642A909A" w14:textId="77777777" w:rsidR="00BD462C" w:rsidRDefault="00BD462C">
      <w:pPr>
        <w:pStyle w:val="BodyText"/>
        <w:rPr>
          <w:sz w:val="20"/>
        </w:rPr>
      </w:pPr>
    </w:p>
    <w:p w14:paraId="4FFA3EAF" w14:textId="14AA740C" w:rsidR="00BD462C" w:rsidRDefault="00752F01">
      <w:pPr>
        <w:pStyle w:val="BodyText"/>
        <w:rPr>
          <w:sz w:val="20"/>
        </w:rPr>
      </w:pPr>
      <w:r>
        <w:rPr>
          <w:noProof/>
        </w:rPr>
        <mc:AlternateContent>
          <mc:Choice Requires="wps">
            <w:drawing>
              <wp:anchor distT="0" distB="0" distL="0" distR="0" simplePos="0" relativeHeight="488239616" behindDoc="1" locked="0" layoutInCell="1" allowOverlap="1" wp14:anchorId="7143AE77" wp14:editId="6A32BB96">
                <wp:simplePos x="0" y="0"/>
                <wp:positionH relativeFrom="page">
                  <wp:posOffset>812800</wp:posOffset>
                </wp:positionH>
                <wp:positionV relativeFrom="paragraph">
                  <wp:posOffset>349250</wp:posOffset>
                </wp:positionV>
                <wp:extent cx="1828800" cy="8890"/>
                <wp:effectExtent l="0" t="0" r="0" b="0"/>
                <wp:wrapTopAndBottom/>
                <wp:docPr id="219" name="docshape6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8F8C6F" id="docshape664" o:spid="_x0000_s1026" alt="&quot;&quot;" style="position:absolute;margin-left:64pt;margin-top:27.5pt;width:2in;height:.7pt;z-index:-1507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" fillcolor="black" stroked="f">
                <w10:wrap type="topAndBottom" anchorx="page"/>
              </v:rect>
            </w:pict>
          </mc:Fallback>
        </mc:AlternateContent>
      </w:r>
    </w:p>
    <w:p w14:paraId="4E439824" w14:textId="59726571" w:rsidR="00BD462C" w:rsidRDefault="00BD462C">
      <w:pPr>
        <w:pStyle w:val="BodyText"/>
        <w:spacing w:before="10"/>
      </w:pPr>
    </w:p>
    <w:p w14:paraId="12306B62" w14:textId="77777777" w:rsidR="00BD462C" w:rsidRDefault="00033D0F">
      <w:pPr>
        <w:spacing w:before="112"/>
        <w:ind w:left="135"/>
        <w:rPr>
          <w:sz w:val="18"/>
        </w:rPr>
      </w:pPr>
      <w:bookmarkStart w:id="1247" w:name="_bookmark1075"/>
      <w:bookmarkEnd w:id="1247"/>
      <w:r>
        <w:rPr>
          <w:position w:val="5"/>
          <w:sz w:val="12"/>
        </w:rPr>
        <w:t>923</w:t>
      </w:r>
      <w:r>
        <w:rPr>
          <w:spacing w:val="12"/>
          <w:position w:val="5"/>
          <w:sz w:val="12"/>
        </w:rPr>
        <w:t xml:space="preserve"> </w:t>
      </w:r>
      <w:r>
        <w:rPr>
          <w:sz w:val="18"/>
        </w:rPr>
        <w:t>Australia's</w:t>
      </w:r>
      <w:r>
        <w:rPr>
          <w:spacing w:val="-7"/>
          <w:sz w:val="18"/>
        </w:rPr>
        <w:t xml:space="preserve"> </w:t>
      </w:r>
      <w:r>
        <w:rPr>
          <w:sz w:val="18"/>
        </w:rPr>
        <w:t>first</w:t>
      </w:r>
      <w:r>
        <w:rPr>
          <w:spacing w:val="-5"/>
          <w:sz w:val="18"/>
        </w:rPr>
        <w:t xml:space="preserve"> </w:t>
      </w:r>
      <w:r>
        <w:rPr>
          <w:sz w:val="18"/>
        </w:rPr>
        <w:t>written</w:t>
      </w:r>
      <w:r>
        <w:rPr>
          <w:spacing w:val="-3"/>
          <w:sz w:val="18"/>
        </w:rPr>
        <w:t xml:space="preserve"> </w:t>
      </w:r>
      <w:r>
        <w:rPr>
          <w:sz w:val="18"/>
        </w:rPr>
        <w:t>submission, paras.</w:t>
      </w:r>
      <w:r>
        <w:rPr>
          <w:spacing w:val="-5"/>
          <w:sz w:val="18"/>
        </w:rPr>
        <w:t xml:space="preserve"> </w:t>
      </w:r>
      <w:r>
        <w:rPr>
          <w:sz w:val="18"/>
        </w:rPr>
        <w:t>696-</w:t>
      </w:r>
      <w:r>
        <w:rPr>
          <w:spacing w:val="-4"/>
          <w:sz w:val="18"/>
        </w:rPr>
        <w:t>704.</w:t>
      </w:r>
    </w:p>
    <w:p w14:paraId="66943AF5" w14:textId="77777777" w:rsidR="00BD462C" w:rsidRDefault="00033D0F">
      <w:pPr>
        <w:spacing w:before="1"/>
        <w:ind w:left="135"/>
        <w:rPr>
          <w:sz w:val="18"/>
        </w:rPr>
      </w:pPr>
      <w:bookmarkStart w:id="1248" w:name="_bookmark1076"/>
      <w:bookmarkEnd w:id="1248"/>
      <w:r>
        <w:rPr>
          <w:position w:val="5"/>
          <w:sz w:val="12"/>
        </w:rPr>
        <w:t>924</w:t>
      </w:r>
      <w:r>
        <w:rPr>
          <w:spacing w:val="12"/>
          <w:position w:val="5"/>
          <w:sz w:val="12"/>
        </w:rPr>
        <w:t xml:space="preserve"> </w:t>
      </w:r>
      <w:r>
        <w:rPr>
          <w:sz w:val="18"/>
        </w:rPr>
        <w:t>Cf. China's</w:t>
      </w:r>
      <w:r>
        <w:rPr>
          <w:spacing w:val="-6"/>
          <w:sz w:val="18"/>
        </w:rPr>
        <w:t xml:space="preserve"> </w:t>
      </w:r>
      <w:r>
        <w:rPr>
          <w:sz w:val="18"/>
        </w:rPr>
        <w:t>first</w:t>
      </w:r>
      <w:r>
        <w:rPr>
          <w:spacing w:val="-5"/>
          <w:sz w:val="18"/>
        </w:rPr>
        <w:t xml:space="preserve"> </w:t>
      </w:r>
      <w:r>
        <w:rPr>
          <w:sz w:val="18"/>
        </w:rPr>
        <w:t>written</w:t>
      </w:r>
      <w:r>
        <w:rPr>
          <w:spacing w:val="-7"/>
          <w:sz w:val="18"/>
        </w:rPr>
        <w:t xml:space="preserve"> </w:t>
      </w:r>
      <w:r>
        <w:rPr>
          <w:sz w:val="18"/>
        </w:rPr>
        <w:t>submission,</w:t>
      </w:r>
      <w:r>
        <w:rPr>
          <w:spacing w:val="-4"/>
          <w:sz w:val="18"/>
        </w:rPr>
        <w:t xml:space="preserve"> </w:t>
      </w:r>
      <w:r>
        <w:rPr>
          <w:sz w:val="18"/>
        </w:rPr>
        <w:t>paras.</w:t>
      </w:r>
      <w:r>
        <w:rPr>
          <w:spacing w:val="-1"/>
          <w:sz w:val="18"/>
        </w:rPr>
        <w:t xml:space="preserve"> </w:t>
      </w:r>
      <w:r>
        <w:rPr>
          <w:sz w:val="18"/>
        </w:rPr>
        <w:t>1963-</w:t>
      </w:r>
      <w:r>
        <w:rPr>
          <w:spacing w:val="-2"/>
          <w:sz w:val="18"/>
        </w:rPr>
        <w:t>1964.</w:t>
      </w:r>
    </w:p>
    <w:p w14:paraId="5FA6B739" w14:textId="77777777" w:rsidR="00BD462C" w:rsidRDefault="00033D0F">
      <w:pPr>
        <w:spacing w:before="1" w:line="218" w:lineRule="exact"/>
        <w:ind w:left="135"/>
        <w:rPr>
          <w:sz w:val="18"/>
        </w:rPr>
      </w:pPr>
      <w:bookmarkStart w:id="1249" w:name="_bookmark1077"/>
      <w:bookmarkEnd w:id="1249"/>
      <w:r>
        <w:rPr>
          <w:position w:val="5"/>
          <w:sz w:val="12"/>
        </w:rPr>
        <w:t>925</w:t>
      </w:r>
      <w:r>
        <w:rPr>
          <w:spacing w:val="12"/>
          <w:position w:val="5"/>
          <w:sz w:val="12"/>
        </w:rPr>
        <w:t xml:space="preserve"> </w:t>
      </w:r>
      <w:r>
        <w:rPr>
          <w:sz w:val="18"/>
        </w:rPr>
        <w:t>Australia's</w:t>
      </w:r>
      <w:r>
        <w:rPr>
          <w:spacing w:val="-6"/>
          <w:sz w:val="18"/>
        </w:rPr>
        <w:t xml:space="preserve"> </w:t>
      </w:r>
      <w:r>
        <w:rPr>
          <w:sz w:val="18"/>
        </w:rPr>
        <w:t>first</w:t>
      </w:r>
      <w:r>
        <w:rPr>
          <w:spacing w:val="-6"/>
          <w:sz w:val="18"/>
        </w:rPr>
        <w:t xml:space="preserve"> </w:t>
      </w:r>
      <w:r>
        <w:rPr>
          <w:sz w:val="18"/>
        </w:rPr>
        <w:t>written</w:t>
      </w:r>
      <w:r>
        <w:rPr>
          <w:spacing w:val="-2"/>
          <w:sz w:val="18"/>
        </w:rPr>
        <w:t xml:space="preserve"> </w:t>
      </w:r>
      <w:r>
        <w:rPr>
          <w:sz w:val="18"/>
        </w:rPr>
        <w:t>submission, para.</w:t>
      </w:r>
      <w:r>
        <w:rPr>
          <w:spacing w:val="-5"/>
          <w:sz w:val="18"/>
        </w:rPr>
        <w:t xml:space="preserve"> </w:t>
      </w:r>
      <w:r>
        <w:rPr>
          <w:spacing w:val="-4"/>
          <w:sz w:val="18"/>
        </w:rPr>
        <w:t>704.</w:t>
      </w:r>
    </w:p>
    <w:p w14:paraId="19CFE6F7" w14:textId="77777777" w:rsidR="00BD462C" w:rsidRDefault="00033D0F">
      <w:pPr>
        <w:spacing w:line="218" w:lineRule="exact"/>
        <w:ind w:left="135"/>
        <w:rPr>
          <w:sz w:val="18"/>
        </w:rPr>
      </w:pPr>
      <w:bookmarkStart w:id="1250" w:name="_bookmark1078"/>
      <w:bookmarkEnd w:id="1250"/>
      <w:r>
        <w:rPr>
          <w:position w:val="5"/>
          <w:sz w:val="12"/>
        </w:rPr>
        <w:t>926</w:t>
      </w:r>
      <w:r>
        <w:rPr>
          <w:spacing w:val="13"/>
          <w:position w:val="5"/>
          <w:sz w:val="12"/>
        </w:rPr>
        <w:t xml:space="preserve"> </w:t>
      </w:r>
      <w:r>
        <w:rPr>
          <w:sz w:val="18"/>
        </w:rPr>
        <w:t>Cf.</w:t>
      </w:r>
      <w:r>
        <w:rPr>
          <w:spacing w:val="1"/>
          <w:sz w:val="18"/>
        </w:rPr>
        <w:t xml:space="preserve"> </w:t>
      </w:r>
      <w:r>
        <w:rPr>
          <w:sz w:val="18"/>
        </w:rPr>
        <w:t>China's</w:t>
      </w:r>
      <w:r>
        <w:rPr>
          <w:spacing w:val="-5"/>
          <w:sz w:val="18"/>
        </w:rPr>
        <w:t xml:space="preserve"> </w:t>
      </w:r>
      <w:r>
        <w:rPr>
          <w:sz w:val="18"/>
        </w:rPr>
        <w:t>first</w:t>
      </w:r>
      <w:r>
        <w:rPr>
          <w:spacing w:val="-4"/>
          <w:sz w:val="18"/>
        </w:rPr>
        <w:t xml:space="preserve"> </w:t>
      </w:r>
      <w:r>
        <w:rPr>
          <w:sz w:val="18"/>
        </w:rPr>
        <w:t>written</w:t>
      </w:r>
      <w:r>
        <w:rPr>
          <w:spacing w:val="-6"/>
          <w:sz w:val="18"/>
        </w:rPr>
        <w:t xml:space="preserve"> </w:t>
      </w:r>
      <w:r>
        <w:rPr>
          <w:sz w:val="18"/>
        </w:rPr>
        <w:t>submission,</w:t>
      </w:r>
      <w:r>
        <w:rPr>
          <w:spacing w:val="-3"/>
          <w:sz w:val="18"/>
        </w:rPr>
        <w:t xml:space="preserve"> </w:t>
      </w:r>
      <w:r>
        <w:rPr>
          <w:sz w:val="18"/>
        </w:rPr>
        <w:t xml:space="preserve">para. </w:t>
      </w:r>
      <w:r>
        <w:rPr>
          <w:spacing w:val="-2"/>
          <w:sz w:val="18"/>
        </w:rPr>
        <w:t>1941.</w:t>
      </w:r>
    </w:p>
    <w:p w14:paraId="57DC62BA" w14:textId="77777777" w:rsidR="00BD462C" w:rsidRDefault="00033D0F">
      <w:pPr>
        <w:spacing w:before="1"/>
        <w:ind w:left="136" w:right="912" w:hanging="1"/>
        <w:rPr>
          <w:sz w:val="18"/>
        </w:rPr>
      </w:pPr>
      <w:bookmarkStart w:id="1251" w:name="_bookmark1079"/>
      <w:bookmarkEnd w:id="1251"/>
      <w:r>
        <w:rPr>
          <w:position w:val="5"/>
          <w:sz w:val="12"/>
        </w:rPr>
        <w:t>927</w:t>
      </w:r>
      <w:r>
        <w:rPr>
          <w:spacing w:val="15"/>
          <w:position w:val="5"/>
          <w:sz w:val="12"/>
        </w:rPr>
        <w:t xml:space="preserve"> </w:t>
      </w:r>
      <w:r>
        <w:rPr>
          <w:sz w:val="18"/>
        </w:rPr>
        <w:t>Australia's</w:t>
      </w:r>
      <w:r>
        <w:rPr>
          <w:spacing w:val="-4"/>
          <w:sz w:val="18"/>
        </w:rPr>
        <w:t xml:space="preserve"> </w:t>
      </w:r>
      <w:r>
        <w:rPr>
          <w:sz w:val="18"/>
        </w:rPr>
        <w:t>first</w:t>
      </w:r>
      <w:r>
        <w:rPr>
          <w:spacing w:val="-3"/>
          <w:sz w:val="18"/>
        </w:rPr>
        <w:t xml:space="preserve"> </w:t>
      </w:r>
      <w:r>
        <w:rPr>
          <w:sz w:val="18"/>
        </w:rPr>
        <w:t>written submission, paras.</w:t>
      </w:r>
      <w:r>
        <w:rPr>
          <w:spacing w:val="-3"/>
          <w:sz w:val="18"/>
        </w:rPr>
        <w:t xml:space="preserve"> </w:t>
      </w:r>
      <w:r>
        <w:rPr>
          <w:sz w:val="18"/>
        </w:rPr>
        <w:t>696-704;</w:t>
      </w:r>
      <w:r>
        <w:rPr>
          <w:spacing w:val="-6"/>
          <w:sz w:val="18"/>
        </w:rPr>
        <w:t xml:space="preserve"> </w:t>
      </w:r>
      <w:r>
        <w:rPr>
          <w:sz w:val="18"/>
        </w:rPr>
        <w:t>China's</w:t>
      </w:r>
      <w:r>
        <w:rPr>
          <w:spacing w:val="-4"/>
          <w:sz w:val="18"/>
        </w:rPr>
        <w:t xml:space="preserve"> </w:t>
      </w:r>
      <w:r>
        <w:rPr>
          <w:sz w:val="18"/>
        </w:rPr>
        <w:t>first</w:t>
      </w:r>
      <w:r>
        <w:rPr>
          <w:spacing w:val="-3"/>
          <w:sz w:val="18"/>
        </w:rPr>
        <w:t xml:space="preserve"> </w:t>
      </w:r>
      <w:r>
        <w:rPr>
          <w:sz w:val="18"/>
        </w:rPr>
        <w:t>written</w:t>
      </w:r>
      <w:r>
        <w:rPr>
          <w:spacing w:val="-5"/>
          <w:sz w:val="18"/>
        </w:rPr>
        <w:t xml:space="preserve"> </w:t>
      </w:r>
      <w:r>
        <w:rPr>
          <w:sz w:val="18"/>
        </w:rPr>
        <w:t>submissions,</w:t>
      </w:r>
      <w:r>
        <w:rPr>
          <w:spacing w:val="-2"/>
          <w:sz w:val="18"/>
        </w:rPr>
        <w:t xml:space="preserve"> </w:t>
      </w:r>
      <w:r>
        <w:rPr>
          <w:sz w:val="18"/>
        </w:rPr>
        <w:t>paras.</w:t>
      </w:r>
      <w:r>
        <w:rPr>
          <w:spacing w:val="-3"/>
          <w:sz w:val="18"/>
        </w:rPr>
        <w:t xml:space="preserve"> </w:t>
      </w:r>
      <w:r>
        <w:rPr>
          <w:sz w:val="18"/>
        </w:rPr>
        <w:t>1941-1943, 1951, 1959;</w:t>
      </w:r>
      <w:r>
        <w:rPr>
          <w:spacing w:val="-6"/>
          <w:sz w:val="18"/>
        </w:rPr>
        <w:t xml:space="preserve"> </w:t>
      </w:r>
      <w:r>
        <w:rPr>
          <w:sz w:val="18"/>
        </w:rPr>
        <w:t>Anti- Dumping Final Determination (Exhibit AUS-2), pp. 137-138, 140-145.</w:t>
      </w:r>
    </w:p>
    <w:p w14:paraId="3CC460F9" w14:textId="77777777" w:rsidR="00BD462C" w:rsidRDefault="00033D0F">
      <w:pPr>
        <w:spacing w:before="2"/>
        <w:ind w:left="135"/>
        <w:rPr>
          <w:sz w:val="18"/>
        </w:rPr>
      </w:pPr>
      <w:bookmarkStart w:id="1252" w:name="_bookmark1080"/>
      <w:bookmarkEnd w:id="1252"/>
      <w:r>
        <w:rPr>
          <w:position w:val="5"/>
          <w:sz w:val="12"/>
        </w:rPr>
        <w:t>928</w:t>
      </w:r>
      <w:r>
        <w:rPr>
          <w:spacing w:val="10"/>
          <w:position w:val="5"/>
          <w:sz w:val="12"/>
        </w:rPr>
        <w:t xml:space="preserve"> </w:t>
      </w:r>
      <w:r>
        <w:rPr>
          <w:sz w:val="18"/>
        </w:rPr>
        <w:t>China's</w:t>
      </w:r>
      <w:r>
        <w:rPr>
          <w:spacing w:val="-8"/>
          <w:sz w:val="18"/>
        </w:rPr>
        <w:t xml:space="preserve"> </w:t>
      </w:r>
      <w:r>
        <w:rPr>
          <w:sz w:val="18"/>
        </w:rPr>
        <w:t>first</w:t>
      </w:r>
      <w:r>
        <w:rPr>
          <w:spacing w:val="-7"/>
          <w:sz w:val="18"/>
        </w:rPr>
        <w:t xml:space="preserve"> </w:t>
      </w:r>
      <w:r>
        <w:rPr>
          <w:sz w:val="18"/>
        </w:rPr>
        <w:t>written</w:t>
      </w:r>
      <w:r>
        <w:rPr>
          <w:spacing w:val="-8"/>
          <w:sz w:val="18"/>
        </w:rPr>
        <w:t xml:space="preserve"> </w:t>
      </w:r>
      <w:r>
        <w:rPr>
          <w:sz w:val="18"/>
        </w:rPr>
        <w:t>submission,</w:t>
      </w:r>
      <w:r>
        <w:rPr>
          <w:spacing w:val="-2"/>
          <w:sz w:val="18"/>
        </w:rPr>
        <w:t xml:space="preserve"> </w:t>
      </w:r>
      <w:r>
        <w:rPr>
          <w:sz w:val="18"/>
        </w:rPr>
        <w:t>paras.</w:t>
      </w:r>
      <w:r>
        <w:rPr>
          <w:spacing w:val="-7"/>
          <w:sz w:val="18"/>
        </w:rPr>
        <w:t xml:space="preserve"> </w:t>
      </w:r>
      <w:r>
        <w:rPr>
          <w:sz w:val="18"/>
        </w:rPr>
        <w:t>1330,</w:t>
      </w:r>
      <w:r>
        <w:rPr>
          <w:spacing w:val="-6"/>
          <w:sz w:val="18"/>
        </w:rPr>
        <w:t xml:space="preserve"> </w:t>
      </w:r>
      <w:r>
        <w:rPr>
          <w:sz w:val="18"/>
        </w:rPr>
        <w:t>1337-1340,</w:t>
      </w:r>
      <w:r>
        <w:rPr>
          <w:spacing w:val="-6"/>
          <w:sz w:val="18"/>
        </w:rPr>
        <w:t xml:space="preserve"> </w:t>
      </w:r>
      <w:r>
        <w:rPr>
          <w:sz w:val="18"/>
        </w:rPr>
        <w:t>1436-1439,</w:t>
      </w:r>
      <w:r>
        <w:rPr>
          <w:spacing w:val="-3"/>
          <w:sz w:val="18"/>
        </w:rPr>
        <w:t xml:space="preserve"> </w:t>
      </w:r>
      <w:r>
        <w:rPr>
          <w:sz w:val="18"/>
        </w:rPr>
        <w:t>1938-</w:t>
      </w:r>
      <w:r>
        <w:rPr>
          <w:spacing w:val="-2"/>
          <w:sz w:val="18"/>
        </w:rPr>
        <w:t>1966.</w:t>
      </w:r>
    </w:p>
    <w:p w14:paraId="54C8FD68" w14:textId="77777777" w:rsidR="00BD462C" w:rsidRDefault="00033D0F">
      <w:pPr>
        <w:spacing w:before="1"/>
        <w:ind w:left="135"/>
        <w:rPr>
          <w:sz w:val="18"/>
        </w:rPr>
      </w:pPr>
      <w:bookmarkStart w:id="1253" w:name="_bookmark1081"/>
      <w:bookmarkEnd w:id="1253"/>
      <w:r>
        <w:rPr>
          <w:position w:val="5"/>
          <w:sz w:val="12"/>
        </w:rPr>
        <w:t>929</w:t>
      </w:r>
      <w:r>
        <w:rPr>
          <w:spacing w:val="10"/>
          <w:position w:val="5"/>
          <w:sz w:val="12"/>
        </w:rPr>
        <w:t xml:space="preserve"> </w:t>
      </w:r>
      <w:r>
        <w:rPr>
          <w:sz w:val="18"/>
        </w:rPr>
        <w:t>China's</w:t>
      </w:r>
      <w:r>
        <w:rPr>
          <w:spacing w:val="-7"/>
          <w:sz w:val="18"/>
        </w:rPr>
        <w:t xml:space="preserve"> </w:t>
      </w:r>
      <w:r>
        <w:rPr>
          <w:sz w:val="18"/>
        </w:rPr>
        <w:t>first</w:t>
      </w:r>
      <w:r>
        <w:rPr>
          <w:spacing w:val="-7"/>
          <w:sz w:val="18"/>
        </w:rPr>
        <w:t xml:space="preserve"> </w:t>
      </w:r>
      <w:r>
        <w:rPr>
          <w:sz w:val="18"/>
        </w:rPr>
        <w:t>written</w:t>
      </w:r>
      <w:r>
        <w:rPr>
          <w:spacing w:val="-8"/>
          <w:sz w:val="18"/>
        </w:rPr>
        <w:t xml:space="preserve"> </w:t>
      </w:r>
      <w:r>
        <w:rPr>
          <w:sz w:val="18"/>
        </w:rPr>
        <w:t>submission,</w:t>
      </w:r>
      <w:r>
        <w:rPr>
          <w:spacing w:val="-1"/>
          <w:sz w:val="18"/>
        </w:rPr>
        <w:t xml:space="preserve"> </w:t>
      </w:r>
      <w:r>
        <w:rPr>
          <w:sz w:val="18"/>
        </w:rPr>
        <w:t>paras.</w:t>
      </w:r>
      <w:r>
        <w:rPr>
          <w:spacing w:val="-7"/>
          <w:sz w:val="18"/>
        </w:rPr>
        <w:t xml:space="preserve"> </w:t>
      </w:r>
      <w:r>
        <w:rPr>
          <w:sz w:val="18"/>
        </w:rPr>
        <w:t>1952,</w:t>
      </w:r>
      <w:r>
        <w:rPr>
          <w:spacing w:val="-5"/>
          <w:sz w:val="18"/>
        </w:rPr>
        <w:t xml:space="preserve"> </w:t>
      </w:r>
      <w:r>
        <w:rPr>
          <w:sz w:val="18"/>
        </w:rPr>
        <w:t>1953,</w:t>
      </w:r>
      <w:r>
        <w:rPr>
          <w:spacing w:val="-2"/>
          <w:sz w:val="18"/>
        </w:rPr>
        <w:t xml:space="preserve"> </w:t>
      </w:r>
      <w:r>
        <w:rPr>
          <w:sz w:val="18"/>
        </w:rPr>
        <w:t>1957,</w:t>
      </w:r>
      <w:r>
        <w:rPr>
          <w:spacing w:val="-1"/>
          <w:sz w:val="18"/>
        </w:rPr>
        <w:t xml:space="preserve"> </w:t>
      </w:r>
      <w:r>
        <w:rPr>
          <w:sz w:val="18"/>
        </w:rPr>
        <w:t>1959,</w:t>
      </w:r>
      <w:r>
        <w:rPr>
          <w:spacing w:val="-1"/>
          <w:sz w:val="18"/>
        </w:rPr>
        <w:t xml:space="preserve"> </w:t>
      </w:r>
      <w:r>
        <w:rPr>
          <w:sz w:val="18"/>
        </w:rPr>
        <w:t>1961-</w:t>
      </w:r>
      <w:r>
        <w:rPr>
          <w:spacing w:val="-2"/>
          <w:sz w:val="18"/>
        </w:rPr>
        <w:t>1962.</w:t>
      </w:r>
    </w:p>
    <w:p w14:paraId="3DAE6D87" w14:textId="77777777" w:rsidR="00BD462C" w:rsidRDefault="00BD462C">
      <w:pPr>
        <w:rPr>
          <w:sz w:val="18"/>
        </w:rPr>
        <w:sectPr w:rsidR="00BD462C">
          <w:pgSz w:w="11910" w:h="16840"/>
          <w:pgMar w:top="860" w:right="500" w:bottom="780" w:left="1280" w:header="566" w:footer="590" w:gutter="0"/>
          <w:cols w:space="720"/>
        </w:sectPr>
      </w:pPr>
    </w:p>
    <w:p w14:paraId="67AC9959"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6383EC35"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57099747"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25FD5975" w14:textId="77777777" w:rsidR="00BD462C" w:rsidRDefault="00033D0F">
      <w:pPr>
        <w:pStyle w:val="BodyText"/>
        <w:spacing w:before="102" w:line="360" w:lineRule="auto"/>
        <w:ind w:left="135" w:right="913"/>
        <w:jc w:val="both"/>
      </w:pPr>
      <w:r>
        <w:t>industry.</w:t>
      </w:r>
      <w:hyperlink w:anchor="_bookmark1082" w:history="1">
        <w:r>
          <w:rPr>
            <w:vertAlign w:val="superscript"/>
          </w:rPr>
          <w:t>930</w:t>
        </w:r>
      </w:hyperlink>
      <w:r>
        <w:rPr>
          <w:spacing w:val="-2"/>
        </w:rPr>
        <w:t xml:space="preserve"> </w:t>
      </w:r>
      <w:r>
        <w:t>This</w:t>
      </w:r>
      <w:r>
        <w:rPr>
          <w:spacing w:val="-1"/>
        </w:rPr>
        <w:t xml:space="preserve"> </w:t>
      </w:r>
      <w:r>
        <w:t>analysis</w:t>
      </w:r>
      <w:r>
        <w:rPr>
          <w:spacing w:val="-6"/>
        </w:rPr>
        <w:t xml:space="preserve"> </w:t>
      </w:r>
      <w:r>
        <w:t>is</w:t>
      </w:r>
      <w:r>
        <w:rPr>
          <w:spacing w:val="-1"/>
        </w:rPr>
        <w:t xml:space="preserve"> </w:t>
      </w:r>
      <w:r>
        <w:t>overly</w:t>
      </w:r>
      <w:r>
        <w:rPr>
          <w:spacing w:val="-6"/>
        </w:rPr>
        <w:t xml:space="preserve"> </w:t>
      </w:r>
      <w:r>
        <w:t>simplistic</w:t>
      </w:r>
      <w:r>
        <w:rPr>
          <w:spacing w:val="-4"/>
        </w:rPr>
        <w:t xml:space="preserve"> </w:t>
      </w:r>
      <w:r>
        <w:t>and</w:t>
      </w:r>
      <w:r>
        <w:rPr>
          <w:spacing w:val="-4"/>
        </w:rPr>
        <w:t xml:space="preserve"> </w:t>
      </w:r>
      <w:r>
        <w:t>does</w:t>
      </w:r>
      <w:r>
        <w:rPr>
          <w:spacing w:val="-6"/>
        </w:rPr>
        <w:t xml:space="preserve"> </w:t>
      </w:r>
      <w:r>
        <w:t>not</w:t>
      </w:r>
      <w:r>
        <w:rPr>
          <w:spacing w:val="-2"/>
        </w:rPr>
        <w:t xml:space="preserve"> </w:t>
      </w:r>
      <w:r>
        <w:t>provide</w:t>
      </w:r>
      <w:r>
        <w:rPr>
          <w:spacing w:val="-3"/>
        </w:rPr>
        <w:t xml:space="preserve"> </w:t>
      </w:r>
      <w:r>
        <w:t>an</w:t>
      </w:r>
      <w:r>
        <w:rPr>
          <w:spacing w:val="-4"/>
        </w:rPr>
        <w:t xml:space="preserve"> </w:t>
      </w:r>
      <w:r>
        <w:t>objective</w:t>
      </w:r>
      <w:r>
        <w:rPr>
          <w:spacing w:val="-2"/>
        </w:rPr>
        <w:t xml:space="preserve"> </w:t>
      </w:r>
      <w:r>
        <w:t>examination</w:t>
      </w:r>
      <w:r>
        <w:rPr>
          <w:spacing w:val="-4"/>
        </w:rPr>
        <w:t xml:space="preserve"> </w:t>
      </w:r>
      <w:r>
        <w:t>of the relevant evidence. As set out in Australia's first written submission, the evidence on the record</w:t>
      </w:r>
      <w:r>
        <w:rPr>
          <w:spacing w:val="-5"/>
        </w:rPr>
        <w:t xml:space="preserve"> </w:t>
      </w:r>
      <w:r>
        <w:t>before</w:t>
      </w:r>
      <w:r>
        <w:rPr>
          <w:spacing w:val="-8"/>
        </w:rPr>
        <w:t xml:space="preserve"> </w:t>
      </w:r>
      <w:r>
        <w:t>MOFCOM</w:t>
      </w:r>
      <w:r>
        <w:rPr>
          <w:spacing w:val="-8"/>
        </w:rPr>
        <w:t xml:space="preserve"> </w:t>
      </w:r>
      <w:r>
        <w:t>established</w:t>
      </w:r>
      <w:r>
        <w:rPr>
          <w:spacing w:val="-10"/>
        </w:rPr>
        <w:t xml:space="preserve"> </w:t>
      </w:r>
      <w:r>
        <w:t>that</w:t>
      </w:r>
      <w:r>
        <w:rPr>
          <w:spacing w:val="-8"/>
        </w:rPr>
        <w:t xml:space="preserve"> </w:t>
      </w:r>
      <w:r>
        <w:t>the</w:t>
      </w:r>
      <w:r>
        <w:rPr>
          <w:spacing w:val="-8"/>
        </w:rPr>
        <w:t xml:space="preserve"> </w:t>
      </w:r>
      <w:r>
        <w:t>Chinese</w:t>
      </w:r>
      <w:r>
        <w:rPr>
          <w:spacing w:val="-8"/>
        </w:rPr>
        <w:t xml:space="preserve"> </w:t>
      </w:r>
      <w:r>
        <w:t>wine</w:t>
      </w:r>
      <w:r>
        <w:rPr>
          <w:spacing w:val="-8"/>
        </w:rPr>
        <w:t xml:space="preserve"> </w:t>
      </w:r>
      <w:r>
        <w:t>market</w:t>
      </w:r>
      <w:r>
        <w:rPr>
          <w:spacing w:val="-8"/>
        </w:rPr>
        <w:t xml:space="preserve"> </w:t>
      </w:r>
      <w:r>
        <w:t>was</w:t>
      </w:r>
      <w:r>
        <w:rPr>
          <w:spacing w:val="-7"/>
        </w:rPr>
        <w:t xml:space="preserve"> </w:t>
      </w:r>
      <w:r>
        <w:t>far</w:t>
      </w:r>
      <w:r>
        <w:rPr>
          <w:spacing w:val="-11"/>
        </w:rPr>
        <w:t xml:space="preserve"> </w:t>
      </w:r>
      <w:r>
        <w:t>more</w:t>
      </w:r>
      <w:r>
        <w:rPr>
          <w:spacing w:val="-8"/>
        </w:rPr>
        <w:t xml:space="preserve"> </w:t>
      </w:r>
      <w:r>
        <w:t>complex</w:t>
      </w:r>
      <w:r>
        <w:rPr>
          <w:spacing w:val="-7"/>
        </w:rPr>
        <w:t xml:space="preserve"> </w:t>
      </w:r>
      <w:r>
        <w:t>that MOFCOM's simple</w:t>
      </w:r>
      <w:r>
        <w:rPr>
          <w:spacing w:val="-1"/>
        </w:rPr>
        <w:t xml:space="preserve"> </w:t>
      </w:r>
      <w:r>
        <w:t>assertions reveal.</w:t>
      </w:r>
      <w:hyperlink w:anchor="_bookmark1083" w:history="1">
        <w:r>
          <w:rPr>
            <w:vertAlign w:val="superscript"/>
          </w:rPr>
          <w:t>931</w:t>
        </w:r>
      </w:hyperlink>
      <w:r>
        <w:rPr>
          <w:spacing w:val="-1"/>
        </w:rPr>
        <w:t xml:space="preserve"> </w:t>
      </w:r>
      <w:r>
        <w:t>As a result, MOFCOM's analysis does not</w:t>
      </w:r>
      <w:r>
        <w:rPr>
          <w:spacing w:val="-1"/>
        </w:rPr>
        <w:t xml:space="preserve"> </w:t>
      </w:r>
      <w:r>
        <w:t>provide</w:t>
      </w:r>
      <w:r>
        <w:rPr>
          <w:spacing w:val="-2"/>
        </w:rPr>
        <w:t xml:space="preserve"> </w:t>
      </w:r>
      <w:r>
        <w:t>any examination</w:t>
      </w:r>
      <w:r>
        <w:rPr>
          <w:spacing w:val="-14"/>
        </w:rPr>
        <w:t xml:space="preserve"> </w:t>
      </w:r>
      <w:r>
        <w:t>of</w:t>
      </w:r>
      <w:r>
        <w:rPr>
          <w:spacing w:val="-14"/>
        </w:rPr>
        <w:t xml:space="preserve"> </w:t>
      </w:r>
      <w:r>
        <w:t>the</w:t>
      </w:r>
      <w:r>
        <w:rPr>
          <w:spacing w:val="-8"/>
        </w:rPr>
        <w:t xml:space="preserve"> </w:t>
      </w:r>
      <w:r>
        <w:t>relationship</w:t>
      </w:r>
      <w:r>
        <w:rPr>
          <w:spacing w:val="-14"/>
        </w:rPr>
        <w:t xml:space="preserve"> </w:t>
      </w:r>
      <w:r>
        <w:t>between</w:t>
      </w:r>
      <w:r>
        <w:rPr>
          <w:spacing w:val="-14"/>
        </w:rPr>
        <w:t xml:space="preserve"> </w:t>
      </w:r>
      <w:r>
        <w:t>third</w:t>
      </w:r>
      <w:r>
        <w:rPr>
          <w:spacing w:val="-13"/>
        </w:rPr>
        <w:t xml:space="preserve"> </w:t>
      </w:r>
      <w:r>
        <w:t>country</w:t>
      </w:r>
      <w:r>
        <w:rPr>
          <w:spacing w:val="-11"/>
        </w:rPr>
        <w:t xml:space="preserve"> </w:t>
      </w:r>
      <w:r>
        <w:t>imports</w:t>
      </w:r>
      <w:r>
        <w:rPr>
          <w:spacing w:val="-10"/>
        </w:rPr>
        <w:t xml:space="preserve"> </w:t>
      </w:r>
      <w:r>
        <w:t>and</w:t>
      </w:r>
      <w:r>
        <w:rPr>
          <w:spacing w:val="-14"/>
        </w:rPr>
        <w:t xml:space="preserve"> </w:t>
      </w:r>
      <w:r>
        <w:t>the</w:t>
      </w:r>
      <w:r>
        <w:rPr>
          <w:spacing w:val="-7"/>
        </w:rPr>
        <w:t xml:space="preserve"> </w:t>
      </w:r>
      <w:r>
        <w:t>domestic</w:t>
      </w:r>
      <w:r>
        <w:rPr>
          <w:spacing w:val="-13"/>
        </w:rPr>
        <w:t xml:space="preserve"> </w:t>
      </w:r>
      <w:r>
        <w:t>industry,</w:t>
      </w:r>
      <w:r>
        <w:rPr>
          <w:spacing w:val="-10"/>
        </w:rPr>
        <w:t xml:space="preserve"> </w:t>
      </w:r>
      <w:r>
        <w:t>nor does</w:t>
      </w:r>
      <w:r>
        <w:rPr>
          <w:spacing w:val="-2"/>
        </w:rPr>
        <w:t xml:space="preserve"> </w:t>
      </w:r>
      <w:r>
        <w:t>it</w:t>
      </w:r>
      <w:r>
        <w:rPr>
          <w:spacing w:val="-3"/>
        </w:rPr>
        <w:t xml:space="preserve"> </w:t>
      </w:r>
      <w:r>
        <w:t>assess,</w:t>
      </w:r>
      <w:r>
        <w:rPr>
          <w:spacing w:val="-6"/>
        </w:rPr>
        <w:t xml:space="preserve"> </w:t>
      </w:r>
      <w:r>
        <w:t>separate</w:t>
      </w:r>
      <w:r>
        <w:rPr>
          <w:spacing w:val="-3"/>
        </w:rPr>
        <w:t xml:space="preserve"> </w:t>
      </w:r>
      <w:r>
        <w:t>and</w:t>
      </w:r>
      <w:r>
        <w:rPr>
          <w:spacing w:val="-5"/>
        </w:rPr>
        <w:t xml:space="preserve"> </w:t>
      </w:r>
      <w:r>
        <w:t>distinguish</w:t>
      </w:r>
      <w:r>
        <w:rPr>
          <w:spacing w:val="-5"/>
        </w:rPr>
        <w:t xml:space="preserve"> </w:t>
      </w:r>
      <w:r>
        <w:t>injury</w:t>
      </w:r>
      <w:r>
        <w:rPr>
          <w:spacing w:val="-2"/>
        </w:rPr>
        <w:t xml:space="preserve"> </w:t>
      </w:r>
      <w:r>
        <w:t>caused</w:t>
      </w:r>
      <w:r>
        <w:rPr>
          <w:spacing w:val="-5"/>
        </w:rPr>
        <w:t xml:space="preserve"> </w:t>
      </w:r>
      <w:r>
        <w:t>to</w:t>
      </w:r>
      <w:r>
        <w:rPr>
          <w:spacing w:val="-6"/>
        </w:rPr>
        <w:t xml:space="preserve"> </w:t>
      </w:r>
      <w:r>
        <w:t>the</w:t>
      </w:r>
      <w:r>
        <w:rPr>
          <w:spacing w:val="-4"/>
        </w:rPr>
        <w:t xml:space="preserve"> </w:t>
      </w:r>
      <w:r>
        <w:t>domestic</w:t>
      </w:r>
      <w:r>
        <w:rPr>
          <w:spacing w:val="-5"/>
        </w:rPr>
        <w:t xml:space="preserve"> </w:t>
      </w:r>
      <w:r>
        <w:t>industry,</w:t>
      </w:r>
      <w:r>
        <w:rPr>
          <w:spacing w:val="-2"/>
        </w:rPr>
        <w:t xml:space="preserve"> </w:t>
      </w:r>
      <w:r>
        <w:t>from</w:t>
      </w:r>
      <w:r>
        <w:rPr>
          <w:spacing w:val="-4"/>
        </w:rPr>
        <w:t xml:space="preserve"> </w:t>
      </w:r>
      <w:r>
        <w:t>that</w:t>
      </w:r>
      <w:r>
        <w:rPr>
          <w:spacing w:val="-3"/>
        </w:rPr>
        <w:t xml:space="preserve"> </w:t>
      </w:r>
      <w:r>
        <w:t>said to have been caused by subject imports.</w:t>
      </w:r>
    </w:p>
    <w:p w14:paraId="035DAF1B" w14:textId="77777777" w:rsidR="00BD462C" w:rsidRDefault="00BD462C">
      <w:pPr>
        <w:pStyle w:val="BodyText"/>
        <w:spacing w:before="10"/>
        <w:rPr>
          <w:sz w:val="8"/>
        </w:rPr>
      </w:pPr>
    </w:p>
    <w:p w14:paraId="3C134ADE" w14:textId="6A3F1077" w:rsidR="00BD462C" w:rsidRDefault="002670B3">
      <w:pPr>
        <w:pStyle w:val="BodyText"/>
        <w:spacing w:before="56" w:line="357" w:lineRule="auto"/>
        <w:ind w:left="136" w:right="915"/>
        <w:jc w:val="both"/>
      </w:pPr>
      <w:r>
        <w:rPr>
          <w:noProof/>
        </w:rPr>
        <w:t>593.</w:t>
      </w:r>
      <w:r w:rsidR="00033D0F">
        <w:rPr>
          <w:rFonts w:ascii="Times New Roman"/>
          <w:spacing w:val="80"/>
          <w:position w:val="1"/>
          <w:sz w:val="20"/>
        </w:rPr>
        <w:t xml:space="preserve">  </w:t>
      </w:r>
      <w:r w:rsidR="00033D0F">
        <w:rPr>
          <w:position w:val="1"/>
        </w:rPr>
        <w:t>In the circumstances of this case, MOFCOM's cursory examination of end-to-end</w:t>
      </w:r>
      <w:r w:rsidR="00033D0F">
        <w:rPr>
          <w:spacing w:val="80"/>
          <w:position w:val="1"/>
        </w:rPr>
        <w:t xml:space="preserve"> </w:t>
      </w:r>
      <w:r w:rsidR="00033D0F">
        <w:t>rates of change and assertions that third country imports "did not sever the causal link" between subject imports and injury, was wholly insufficient. This is because:</w:t>
      </w:r>
    </w:p>
    <w:p w14:paraId="4B2BF8FF" w14:textId="77777777" w:rsidR="00BD462C" w:rsidRDefault="00033D0F">
      <w:pPr>
        <w:pStyle w:val="ListParagraph"/>
        <w:numPr>
          <w:ilvl w:val="0"/>
          <w:numId w:val="43"/>
        </w:numPr>
        <w:tabs>
          <w:tab w:val="left" w:pos="1835"/>
          <w:tab w:val="left" w:pos="1836"/>
        </w:tabs>
        <w:spacing w:before="161" w:line="360" w:lineRule="auto"/>
        <w:ind w:right="916" w:hanging="855"/>
        <w:jc w:val="both"/>
        <w:rPr>
          <w:sz w:val="24"/>
        </w:rPr>
      </w:pPr>
      <w:r>
        <w:rPr>
          <w:sz w:val="24"/>
        </w:rPr>
        <w:t>MOFCOM determined that subject imports and domestic like products competed in all product grades and segments on price.</w:t>
      </w:r>
      <w:hyperlink w:anchor="_bookmark1084" w:history="1">
        <w:r>
          <w:rPr>
            <w:sz w:val="24"/>
            <w:vertAlign w:val="superscript"/>
          </w:rPr>
          <w:t>932</w:t>
        </w:r>
      </w:hyperlink>
      <w:r>
        <w:rPr>
          <w:sz w:val="24"/>
        </w:rPr>
        <w:t xml:space="preserve"> China's submissions also make clear that MOFCOM accepted that third country imports competed with subject imports and domestic like products on price;</w:t>
      </w:r>
      <w:hyperlink w:anchor="_bookmark1085" w:history="1">
        <w:r>
          <w:rPr>
            <w:sz w:val="24"/>
            <w:vertAlign w:val="superscript"/>
          </w:rPr>
          <w:t>933</w:t>
        </w:r>
      </w:hyperlink>
      <w:r>
        <w:rPr>
          <w:sz w:val="24"/>
        </w:rPr>
        <w:t xml:space="preserve"> and</w:t>
      </w:r>
    </w:p>
    <w:p w14:paraId="70FC1A03" w14:textId="77777777" w:rsidR="00BD462C" w:rsidRDefault="00033D0F">
      <w:pPr>
        <w:pStyle w:val="ListParagraph"/>
        <w:numPr>
          <w:ilvl w:val="0"/>
          <w:numId w:val="43"/>
        </w:numPr>
        <w:tabs>
          <w:tab w:val="left" w:pos="1835"/>
          <w:tab w:val="left" w:pos="1836"/>
        </w:tabs>
        <w:spacing w:before="118" w:line="360" w:lineRule="auto"/>
        <w:ind w:right="908" w:hanging="855"/>
        <w:jc w:val="both"/>
        <w:rPr>
          <w:sz w:val="24"/>
        </w:rPr>
      </w:pPr>
      <w:r>
        <w:rPr>
          <w:sz w:val="24"/>
        </w:rPr>
        <w:t>the evidence established that in all years of the Injury POI: (i) third country imports accounted for significantly greater import volumes than Australian wine; and (ii) were lower and, in some cases, much lower than the average unit prices of domestic like products.</w:t>
      </w:r>
      <w:hyperlink w:anchor="_bookmark1086" w:history="1">
        <w:r>
          <w:rPr>
            <w:sz w:val="24"/>
            <w:vertAlign w:val="superscript"/>
          </w:rPr>
          <w:t>934</w:t>
        </w:r>
      </w:hyperlink>
    </w:p>
    <w:p w14:paraId="127EDAF5" w14:textId="20B7FAFF" w:rsidR="00BD462C" w:rsidRDefault="002670B3">
      <w:pPr>
        <w:pStyle w:val="BodyText"/>
        <w:spacing w:before="127" w:line="360" w:lineRule="auto"/>
        <w:ind w:left="135" w:right="914"/>
        <w:jc w:val="both"/>
      </w:pPr>
      <w:r>
        <w:rPr>
          <w:noProof/>
        </w:rPr>
        <w:t>594.</w:t>
      </w:r>
      <w:r w:rsidR="00033D0F">
        <w:rPr>
          <w:rFonts w:ascii="Times New Roman"/>
          <w:spacing w:val="80"/>
          <w:position w:val="1"/>
          <w:sz w:val="20"/>
        </w:rPr>
        <w:t xml:space="preserve">  </w:t>
      </w:r>
      <w:r w:rsidR="00033D0F">
        <w:rPr>
          <w:position w:val="1"/>
        </w:rPr>
        <w:t>The</w:t>
      </w:r>
      <w:r w:rsidR="00033D0F">
        <w:rPr>
          <w:spacing w:val="-3"/>
          <w:position w:val="1"/>
        </w:rPr>
        <w:t xml:space="preserve"> </w:t>
      </w:r>
      <w:r w:rsidR="00033D0F">
        <w:rPr>
          <w:position w:val="1"/>
        </w:rPr>
        <w:t>fact</w:t>
      </w:r>
      <w:r w:rsidR="00033D0F">
        <w:rPr>
          <w:spacing w:val="-7"/>
          <w:position w:val="1"/>
        </w:rPr>
        <w:t xml:space="preserve"> </w:t>
      </w:r>
      <w:r w:rsidR="00033D0F">
        <w:rPr>
          <w:position w:val="1"/>
        </w:rPr>
        <w:t>that</w:t>
      </w:r>
      <w:r w:rsidR="00033D0F">
        <w:rPr>
          <w:spacing w:val="-2"/>
          <w:position w:val="1"/>
        </w:rPr>
        <w:t xml:space="preserve"> </w:t>
      </w:r>
      <w:r w:rsidR="00033D0F">
        <w:rPr>
          <w:position w:val="1"/>
        </w:rPr>
        <w:t>the</w:t>
      </w:r>
      <w:r w:rsidR="00033D0F">
        <w:rPr>
          <w:spacing w:val="-3"/>
          <w:position w:val="1"/>
        </w:rPr>
        <w:t xml:space="preserve"> </w:t>
      </w:r>
      <w:r w:rsidR="00033D0F">
        <w:rPr>
          <w:position w:val="1"/>
        </w:rPr>
        <w:t>rates</w:t>
      </w:r>
      <w:r w:rsidR="00033D0F">
        <w:rPr>
          <w:spacing w:val="-6"/>
          <w:position w:val="1"/>
        </w:rPr>
        <w:t xml:space="preserve"> </w:t>
      </w:r>
      <w:r w:rsidR="00033D0F">
        <w:rPr>
          <w:position w:val="1"/>
        </w:rPr>
        <w:t>of</w:t>
      </w:r>
      <w:r w:rsidR="00033D0F">
        <w:rPr>
          <w:spacing w:val="-4"/>
          <w:position w:val="1"/>
        </w:rPr>
        <w:t xml:space="preserve"> </w:t>
      </w:r>
      <w:r w:rsidR="00033D0F">
        <w:rPr>
          <w:position w:val="1"/>
        </w:rPr>
        <w:t>change</w:t>
      </w:r>
      <w:r w:rsidR="00033D0F">
        <w:rPr>
          <w:spacing w:val="-2"/>
          <w:position w:val="1"/>
        </w:rPr>
        <w:t xml:space="preserve"> </w:t>
      </w:r>
      <w:r w:rsidR="00033D0F">
        <w:rPr>
          <w:position w:val="1"/>
        </w:rPr>
        <w:t>between</w:t>
      </w:r>
      <w:r w:rsidR="00033D0F">
        <w:rPr>
          <w:spacing w:val="-9"/>
          <w:position w:val="1"/>
        </w:rPr>
        <w:t xml:space="preserve"> </w:t>
      </w:r>
      <w:r w:rsidR="00033D0F">
        <w:rPr>
          <w:position w:val="1"/>
        </w:rPr>
        <w:t>Australian</w:t>
      </w:r>
      <w:r w:rsidR="00033D0F">
        <w:rPr>
          <w:spacing w:val="-9"/>
          <w:position w:val="1"/>
        </w:rPr>
        <w:t xml:space="preserve"> </w:t>
      </w:r>
      <w:r w:rsidR="00033D0F">
        <w:rPr>
          <w:position w:val="1"/>
        </w:rPr>
        <w:t>and</w:t>
      </w:r>
      <w:r w:rsidR="00033D0F">
        <w:rPr>
          <w:spacing w:val="-4"/>
          <w:position w:val="1"/>
        </w:rPr>
        <w:t xml:space="preserve"> </w:t>
      </w:r>
      <w:r w:rsidR="00033D0F">
        <w:rPr>
          <w:position w:val="1"/>
        </w:rPr>
        <w:t>third</w:t>
      </w:r>
      <w:r w:rsidR="00033D0F">
        <w:rPr>
          <w:spacing w:val="-4"/>
          <w:position w:val="1"/>
        </w:rPr>
        <w:t xml:space="preserve"> </w:t>
      </w:r>
      <w:r w:rsidR="00033D0F">
        <w:rPr>
          <w:position w:val="1"/>
        </w:rPr>
        <w:t>country</w:t>
      </w:r>
      <w:r w:rsidR="00033D0F">
        <w:rPr>
          <w:spacing w:val="-1"/>
          <w:position w:val="1"/>
        </w:rPr>
        <w:t xml:space="preserve"> </w:t>
      </w:r>
      <w:r w:rsidR="00033D0F">
        <w:rPr>
          <w:position w:val="1"/>
        </w:rPr>
        <w:t>imports</w:t>
      </w:r>
      <w:r w:rsidR="00033D0F">
        <w:rPr>
          <w:spacing w:val="-6"/>
          <w:position w:val="1"/>
        </w:rPr>
        <w:t xml:space="preserve"> </w:t>
      </w:r>
      <w:r w:rsidR="00033D0F">
        <w:rPr>
          <w:position w:val="1"/>
        </w:rPr>
        <w:t xml:space="preserve">were </w:t>
      </w:r>
      <w:r w:rsidR="00033D0F">
        <w:t>different does not provide an objective basis for concluding that volume and price changes exhibited</w:t>
      </w:r>
      <w:r w:rsidR="00033D0F">
        <w:rPr>
          <w:spacing w:val="-4"/>
        </w:rPr>
        <w:t xml:space="preserve"> </w:t>
      </w:r>
      <w:r w:rsidR="00033D0F">
        <w:t>by</w:t>
      </w:r>
      <w:r w:rsidR="00033D0F">
        <w:rPr>
          <w:spacing w:val="-1"/>
        </w:rPr>
        <w:t xml:space="preserve"> </w:t>
      </w:r>
      <w:r w:rsidR="00033D0F">
        <w:t>a</w:t>
      </w:r>
      <w:r w:rsidR="00033D0F">
        <w:rPr>
          <w:spacing w:val="-3"/>
        </w:rPr>
        <w:t xml:space="preserve"> </w:t>
      </w:r>
      <w:r w:rsidR="00033D0F">
        <w:t>more</w:t>
      </w:r>
      <w:r w:rsidR="00033D0F">
        <w:rPr>
          <w:spacing w:val="-2"/>
        </w:rPr>
        <w:t xml:space="preserve"> </w:t>
      </w:r>
      <w:r w:rsidR="00033D0F">
        <w:t>significant</w:t>
      </w:r>
      <w:r w:rsidR="00033D0F">
        <w:rPr>
          <w:spacing w:val="-2"/>
        </w:rPr>
        <w:t xml:space="preserve"> </w:t>
      </w:r>
      <w:r w:rsidR="00033D0F">
        <w:t>market</w:t>
      </w:r>
      <w:r w:rsidR="00033D0F">
        <w:rPr>
          <w:spacing w:val="-2"/>
        </w:rPr>
        <w:t xml:space="preserve"> </w:t>
      </w:r>
      <w:r w:rsidR="00033D0F">
        <w:t>participant, in</w:t>
      </w:r>
      <w:r w:rsidR="00033D0F">
        <w:rPr>
          <w:spacing w:val="-4"/>
        </w:rPr>
        <w:t xml:space="preserve"> </w:t>
      </w:r>
      <w:r w:rsidR="00033D0F">
        <w:t>a</w:t>
      </w:r>
      <w:r w:rsidR="00033D0F">
        <w:rPr>
          <w:spacing w:val="-3"/>
        </w:rPr>
        <w:t xml:space="preserve"> </w:t>
      </w:r>
      <w:r w:rsidR="00033D0F">
        <w:t>market</w:t>
      </w:r>
      <w:r w:rsidR="00033D0F">
        <w:rPr>
          <w:spacing w:val="-2"/>
        </w:rPr>
        <w:t xml:space="preserve"> </w:t>
      </w:r>
      <w:r w:rsidR="00033D0F">
        <w:t>that</w:t>
      </w:r>
      <w:r w:rsidR="00033D0F">
        <w:rPr>
          <w:spacing w:val="-2"/>
        </w:rPr>
        <w:t xml:space="preserve"> </w:t>
      </w:r>
      <w:r w:rsidR="00033D0F">
        <w:t>competes</w:t>
      </w:r>
      <w:r w:rsidR="00033D0F">
        <w:rPr>
          <w:spacing w:val="-1"/>
        </w:rPr>
        <w:t xml:space="preserve"> </w:t>
      </w:r>
      <w:r w:rsidR="00033D0F">
        <w:t>on</w:t>
      </w:r>
      <w:r w:rsidR="00033D0F">
        <w:rPr>
          <w:spacing w:val="-4"/>
        </w:rPr>
        <w:t xml:space="preserve"> </w:t>
      </w:r>
      <w:r w:rsidR="00033D0F">
        <w:t>price,</w:t>
      </w:r>
      <w:hyperlink w:anchor="_bookmark1087" w:history="1">
        <w:r w:rsidR="00033D0F">
          <w:rPr>
            <w:vertAlign w:val="superscript"/>
          </w:rPr>
          <w:t>935</w:t>
        </w:r>
      </w:hyperlink>
      <w:r w:rsidR="00033D0F">
        <w:rPr>
          <w:spacing w:val="-2"/>
        </w:rPr>
        <w:t xml:space="preserve"> </w:t>
      </w:r>
      <w:r w:rsidR="00033D0F">
        <w:t>did not "break the causal link" between subject imports and material injury to the domestic industry.</w:t>
      </w:r>
      <w:hyperlink w:anchor="_bookmark1088" w:history="1">
        <w:r w:rsidR="00033D0F">
          <w:rPr>
            <w:vertAlign w:val="superscript"/>
          </w:rPr>
          <w:t>936</w:t>
        </w:r>
      </w:hyperlink>
      <w:r w:rsidR="00033D0F">
        <w:rPr>
          <w:spacing w:val="63"/>
        </w:rPr>
        <w:t xml:space="preserve"> </w:t>
      </w:r>
      <w:r w:rsidR="00033D0F">
        <w:t>Rather,</w:t>
      </w:r>
      <w:r w:rsidR="00033D0F">
        <w:rPr>
          <w:spacing w:val="65"/>
        </w:rPr>
        <w:t xml:space="preserve"> </w:t>
      </w:r>
      <w:r w:rsidR="00033D0F">
        <w:t>it</w:t>
      </w:r>
      <w:r w:rsidR="00033D0F">
        <w:rPr>
          <w:spacing w:val="63"/>
        </w:rPr>
        <w:t xml:space="preserve"> </w:t>
      </w:r>
      <w:r w:rsidR="00033D0F">
        <w:t>necessitated</w:t>
      </w:r>
      <w:r w:rsidR="00033D0F">
        <w:rPr>
          <w:spacing w:val="61"/>
        </w:rPr>
        <w:t xml:space="preserve"> </w:t>
      </w:r>
      <w:r w:rsidR="00033D0F">
        <w:t>careful</w:t>
      </w:r>
      <w:r w:rsidR="00033D0F">
        <w:rPr>
          <w:spacing w:val="65"/>
        </w:rPr>
        <w:t xml:space="preserve"> </w:t>
      </w:r>
      <w:r w:rsidR="00033D0F">
        <w:t>consideration</w:t>
      </w:r>
      <w:r w:rsidR="00033D0F">
        <w:rPr>
          <w:spacing w:val="61"/>
        </w:rPr>
        <w:t xml:space="preserve"> </w:t>
      </w:r>
      <w:r w:rsidR="00033D0F">
        <w:t>of</w:t>
      </w:r>
      <w:r w:rsidR="00033D0F">
        <w:rPr>
          <w:spacing w:val="61"/>
        </w:rPr>
        <w:t xml:space="preserve"> </w:t>
      </w:r>
      <w:r w:rsidR="00033D0F">
        <w:t>the</w:t>
      </w:r>
      <w:r w:rsidR="00033D0F">
        <w:rPr>
          <w:spacing w:val="62"/>
        </w:rPr>
        <w:t xml:space="preserve"> </w:t>
      </w:r>
      <w:r w:rsidR="00033D0F">
        <w:t>price</w:t>
      </w:r>
      <w:r w:rsidR="00033D0F">
        <w:rPr>
          <w:spacing w:val="63"/>
        </w:rPr>
        <w:t xml:space="preserve"> </w:t>
      </w:r>
      <w:r w:rsidR="00033D0F">
        <w:t>pressures</w:t>
      </w:r>
      <w:r w:rsidR="00033D0F">
        <w:rPr>
          <w:spacing w:val="64"/>
        </w:rPr>
        <w:t xml:space="preserve"> </w:t>
      </w:r>
      <w:r w:rsidR="00033D0F">
        <w:t>by</w:t>
      </w:r>
      <w:r w:rsidR="00033D0F">
        <w:rPr>
          <w:spacing w:val="64"/>
        </w:rPr>
        <w:t xml:space="preserve"> </w:t>
      </w:r>
      <w:r w:rsidR="00033D0F">
        <w:t>and</w:t>
      </w:r>
    </w:p>
    <w:p w14:paraId="27A291D7" w14:textId="4AD77511" w:rsidR="00BD462C" w:rsidRDefault="00752F01">
      <w:pPr>
        <w:pStyle w:val="BodyText"/>
        <w:rPr>
          <w:sz w:val="20"/>
        </w:rPr>
      </w:pPr>
      <w:r>
        <w:rPr>
          <w:noProof/>
        </w:rPr>
        <mc:AlternateContent>
          <mc:Choice Requires="wps">
            <w:drawing>
              <wp:anchor distT="0" distB="0" distL="0" distR="0" simplePos="0" relativeHeight="488241664" behindDoc="1" locked="0" layoutInCell="1" allowOverlap="1" wp14:anchorId="200AEF0F" wp14:editId="46B2D914">
                <wp:simplePos x="0" y="0"/>
                <wp:positionH relativeFrom="page">
                  <wp:posOffset>812800</wp:posOffset>
                </wp:positionH>
                <wp:positionV relativeFrom="paragraph">
                  <wp:posOffset>289560</wp:posOffset>
                </wp:positionV>
                <wp:extent cx="1828800" cy="8890"/>
                <wp:effectExtent l="0" t="0" r="0" b="0"/>
                <wp:wrapTopAndBottom/>
                <wp:docPr id="221" name="docshape6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6756E" id="docshape664" o:spid="_x0000_s1026" alt="&quot;&quot;" style="position:absolute;margin-left:64pt;margin-top:22.8pt;width:2in;height:.7pt;z-index:-1507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" fillcolor="black" stroked="f">
                <w10:wrap type="topAndBottom" anchorx="page"/>
              </v:rect>
            </w:pict>
          </mc:Fallback>
        </mc:AlternateContent>
      </w:r>
    </w:p>
    <w:p w14:paraId="22C1BEB9" w14:textId="4D4428A1" w:rsidR="00BD462C" w:rsidRDefault="00BD462C">
      <w:pPr>
        <w:pStyle w:val="BodyText"/>
        <w:spacing w:before="12"/>
        <w:rPr>
          <w:sz w:val="16"/>
        </w:rPr>
      </w:pPr>
    </w:p>
    <w:p w14:paraId="7DBE7BF8" w14:textId="77777777" w:rsidR="00BD462C" w:rsidRDefault="00033D0F">
      <w:pPr>
        <w:spacing w:before="112"/>
        <w:ind w:left="135"/>
        <w:rPr>
          <w:sz w:val="18"/>
        </w:rPr>
      </w:pPr>
      <w:bookmarkStart w:id="1254" w:name="_bookmark1082"/>
      <w:bookmarkEnd w:id="1254"/>
      <w:r>
        <w:rPr>
          <w:position w:val="5"/>
          <w:sz w:val="12"/>
        </w:rPr>
        <w:t>930</w:t>
      </w:r>
      <w:r>
        <w:rPr>
          <w:spacing w:val="10"/>
          <w:position w:val="5"/>
          <w:sz w:val="12"/>
        </w:rPr>
        <w:t xml:space="preserve"> </w:t>
      </w:r>
      <w:r>
        <w:rPr>
          <w:sz w:val="18"/>
        </w:rPr>
        <w:t>China's</w:t>
      </w:r>
      <w:r>
        <w:rPr>
          <w:spacing w:val="-7"/>
          <w:sz w:val="18"/>
        </w:rPr>
        <w:t xml:space="preserve"> </w:t>
      </w:r>
      <w:r>
        <w:rPr>
          <w:sz w:val="18"/>
        </w:rPr>
        <w:t>first</w:t>
      </w:r>
      <w:r>
        <w:rPr>
          <w:spacing w:val="-7"/>
          <w:sz w:val="18"/>
        </w:rPr>
        <w:t xml:space="preserve"> </w:t>
      </w:r>
      <w:r>
        <w:rPr>
          <w:sz w:val="18"/>
        </w:rPr>
        <w:t>written</w:t>
      </w:r>
      <w:r>
        <w:rPr>
          <w:spacing w:val="-8"/>
          <w:sz w:val="18"/>
        </w:rPr>
        <w:t xml:space="preserve"> </w:t>
      </w:r>
      <w:r>
        <w:rPr>
          <w:sz w:val="18"/>
        </w:rPr>
        <w:t>submission,</w:t>
      </w:r>
      <w:r>
        <w:rPr>
          <w:spacing w:val="-1"/>
          <w:sz w:val="18"/>
        </w:rPr>
        <w:t xml:space="preserve"> </w:t>
      </w:r>
      <w:r>
        <w:rPr>
          <w:sz w:val="18"/>
        </w:rPr>
        <w:t>paras.</w:t>
      </w:r>
      <w:r>
        <w:rPr>
          <w:spacing w:val="-7"/>
          <w:sz w:val="18"/>
        </w:rPr>
        <w:t xml:space="preserve"> </w:t>
      </w:r>
      <w:r>
        <w:rPr>
          <w:sz w:val="18"/>
        </w:rPr>
        <w:t>1952,</w:t>
      </w:r>
      <w:r>
        <w:rPr>
          <w:spacing w:val="-5"/>
          <w:sz w:val="18"/>
        </w:rPr>
        <w:t xml:space="preserve"> </w:t>
      </w:r>
      <w:r>
        <w:rPr>
          <w:sz w:val="18"/>
        </w:rPr>
        <w:t>1953,</w:t>
      </w:r>
      <w:r>
        <w:rPr>
          <w:spacing w:val="-2"/>
          <w:sz w:val="18"/>
        </w:rPr>
        <w:t xml:space="preserve"> </w:t>
      </w:r>
      <w:r>
        <w:rPr>
          <w:sz w:val="18"/>
        </w:rPr>
        <w:t>1957,</w:t>
      </w:r>
      <w:r>
        <w:rPr>
          <w:spacing w:val="-1"/>
          <w:sz w:val="18"/>
        </w:rPr>
        <w:t xml:space="preserve"> </w:t>
      </w:r>
      <w:r>
        <w:rPr>
          <w:sz w:val="18"/>
        </w:rPr>
        <w:t>1959,</w:t>
      </w:r>
      <w:r>
        <w:rPr>
          <w:spacing w:val="-1"/>
          <w:sz w:val="18"/>
        </w:rPr>
        <w:t xml:space="preserve"> </w:t>
      </w:r>
      <w:r>
        <w:rPr>
          <w:sz w:val="18"/>
        </w:rPr>
        <w:t>1961-</w:t>
      </w:r>
      <w:r>
        <w:rPr>
          <w:spacing w:val="-2"/>
          <w:sz w:val="18"/>
        </w:rPr>
        <w:t>1962.</w:t>
      </w:r>
    </w:p>
    <w:p w14:paraId="0FA6E537" w14:textId="77777777" w:rsidR="00BD462C" w:rsidRDefault="00033D0F">
      <w:pPr>
        <w:spacing w:before="1"/>
        <w:ind w:left="135"/>
        <w:rPr>
          <w:sz w:val="18"/>
        </w:rPr>
      </w:pPr>
      <w:bookmarkStart w:id="1255" w:name="_bookmark1083"/>
      <w:bookmarkEnd w:id="1255"/>
      <w:r>
        <w:rPr>
          <w:position w:val="5"/>
          <w:sz w:val="12"/>
        </w:rPr>
        <w:t>931</w:t>
      </w:r>
      <w:r>
        <w:rPr>
          <w:spacing w:val="11"/>
          <w:position w:val="5"/>
          <w:sz w:val="12"/>
        </w:rPr>
        <w:t xml:space="preserve"> </w:t>
      </w:r>
      <w:r>
        <w:rPr>
          <w:sz w:val="18"/>
        </w:rPr>
        <w:t>Australia's</w:t>
      </w:r>
      <w:r>
        <w:rPr>
          <w:spacing w:val="-6"/>
          <w:sz w:val="18"/>
        </w:rPr>
        <w:t xml:space="preserve"> </w:t>
      </w:r>
      <w:r>
        <w:rPr>
          <w:sz w:val="18"/>
        </w:rPr>
        <w:t>first</w:t>
      </w:r>
      <w:r>
        <w:rPr>
          <w:spacing w:val="-6"/>
          <w:sz w:val="18"/>
        </w:rPr>
        <w:t xml:space="preserve"> </w:t>
      </w:r>
      <w:r>
        <w:rPr>
          <w:sz w:val="18"/>
        </w:rPr>
        <w:t>written</w:t>
      </w:r>
      <w:r>
        <w:rPr>
          <w:spacing w:val="-3"/>
          <w:sz w:val="18"/>
        </w:rPr>
        <w:t xml:space="preserve"> </w:t>
      </w:r>
      <w:r>
        <w:rPr>
          <w:sz w:val="18"/>
        </w:rPr>
        <w:t>submission,</w:t>
      </w:r>
      <w:r>
        <w:rPr>
          <w:spacing w:val="-1"/>
          <w:sz w:val="18"/>
        </w:rPr>
        <w:t xml:space="preserve"> </w:t>
      </w:r>
      <w:r>
        <w:rPr>
          <w:sz w:val="18"/>
        </w:rPr>
        <w:t>paras.</w:t>
      </w:r>
      <w:r>
        <w:rPr>
          <w:spacing w:val="-5"/>
          <w:sz w:val="18"/>
        </w:rPr>
        <w:t xml:space="preserve"> </w:t>
      </w:r>
      <w:r>
        <w:rPr>
          <w:sz w:val="18"/>
        </w:rPr>
        <w:t>696-</w:t>
      </w:r>
      <w:r>
        <w:rPr>
          <w:spacing w:val="-4"/>
          <w:sz w:val="18"/>
        </w:rPr>
        <w:t>704.</w:t>
      </w:r>
    </w:p>
    <w:p w14:paraId="10B415DF" w14:textId="77777777" w:rsidR="00BD462C" w:rsidRDefault="00033D0F">
      <w:pPr>
        <w:spacing w:before="1"/>
        <w:ind w:left="135"/>
        <w:rPr>
          <w:sz w:val="18"/>
        </w:rPr>
      </w:pPr>
      <w:bookmarkStart w:id="1256" w:name="_bookmark1084"/>
      <w:bookmarkEnd w:id="1256"/>
      <w:r>
        <w:rPr>
          <w:position w:val="5"/>
          <w:sz w:val="12"/>
        </w:rPr>
        <w:t>932</w:t>
      </w:r>
      <w:r>
        <w:rPr>
          <w:spacing w:val="26"/>
          <w:position w:val="5"/>
          <w:sz w:val="12"/>
        </w:rPr>
        <w:t xml:space="preserve"> </w:t>
      </w:r>
      <w:r>
        <w:rPr>
          <w:sz w:val="18"/>
        </w:rPr>
        <w:t>China's</w:t>
      </w:r>
      <w:r>
        <w:rPr>
          <w:spacing w:val="7"/>
          <w:sz w:val="18"/>
        </w:rPr>
        <w:t xml:space="preserve"> </w:t>
      </w:r>
      <w:r>
        <w:rPr>
          <w:sz w:val="18"/>
        </w:rPr>
        <w:t>first</w:t>
      </w:r>
      <w:r>
        <w:rPr>
          <w:spacing w:val="9"/>
          <w:sz w:val="18"/>
        </w:rPr>
        <w:t xml:space="preserve"> </w:t>
      </w:r>
      <w:r>
        <w:rPr>
          <w:sz w:val="18"/>
        </w:rPr>
        <w:t>written</w:t>
      </w:r>
      <w:r>
        <w:rPr>
          <w:spacing w:val="8"/>
          <w:sz w:val="18"/>
        </w:rPr>
        <w:t xml:space="preserve"> </w:t>
      </w:r>
      <w:r>
        <w:rPr>
          <w:sz w:val="18"/>
        </w:rPr>
        <w:t>submission,</w:t>
      </w:r>
      <w:r>
        <w:rPr>
          <w:spacing w:val="9"/>
          <w:sz w:val="18"/>
        </w:rPr>
        <w:t xml:space="preserve"> </w:t>
      </w:r>
      <w:r>
        <w:rPr>
          <w:sz w:val="18"/>
        </w:rPr>
        <w:t>para.</w:t>
      </w:r>
      <w:r>
        <w:rPr>
          <w:spacing w:val="13"/>
          <w:sz w:val="18"/>
        </w:rPr>
        <w:t xml:space="preserve"> </w:t>
      </w:r>
      <w:r>
        <w:rPr>
          <w:sz w:val="18"/>
        </w:rPr>
        <w:t>1330,</w:t>
      </w:r>
      <w:r>
        <w:rPr>
          <w:spacing w:val="14"/>
          <w:sz w:val="18"/>
        </w:rPr>
        <w:t xml:space="preserve"> </w:t>
      </w:r>
      <w:r>
        <w:rPr>
          <w:sz w:val="18"/>
        </w:rPr>
        <w:t>1343,</w:t>
      </w:r>
      <w:r>
        <w:rPr>
          <w:spacing w:val="14"/>
          <w:sz w:val="18"/>
        </w:rPr>
        <w:t xml:space="preserve"> </w:t>
      </w:r>
      <w:r>
        <w:rPr>
          <w:sz w:val="18"/>
        </w:rPr>
        <w:t>1419,</w:t>
      </w:r>
      <w:r>
        <w:rPr>
          <w:spacing w:val="14"/>
          <w:sz w:val="18"/>
        </w:rPr>
        <w:t xml:space="preserve"> </w:t>
      </w:r>
      <w:r>
        <w:rPr>
          <w:sz w:val="18"/>
        </w:rPr>
        <w:t>1747,</w:t>
      </w:r>
      <w:r>
        <w:rPr>
          <w:spacing w:val="10"/>
          <w:sz w:val="18"/>
        </w:rPr>
        <w:t xml:space="preserve"> </w:t>
      </w:r>
      <w:r>
        <w:rPr>
          <w:sz w:val="18"/>
        </w:rPr>
        <w:t>1833,</w:t>
      </w:r>
      <w:r>
        <w:rPr>
          <w:spacing w:val="14"/>
          <w:sz w:val="18"/>
        </w:rPr>
        <w:t xml:space="preserve"> </w:t>
      </w:r>
      <w:r>
        <w:rPr>
          <w:sz w:val="18"/>
        </w:rPr>
        <w:t>1856;</w:t>
      </w:r>
      <w:r>
        <w:rPr>
          <w:spacing w:val="11"/>
          <w:sz w:val="18"/>
        </w:rPr>
        <w:t xml:space="preserve"> </w:t>
      </w:r>
      <w:r>
        <w:rPr>
          <w:sz w:val="18"/>
        </w:rPr>
        <w:t>Anti-Dumping</w:t>
      </w:r>
      <w:r>
        <w:rPr>
          <w:spacing w:val="13"/>
          <w:sz w:val="18"/>
        </w:rPr>
        <w:t xml:space="preserve"> </w:t>
      </w:r>
      <w:r>
        <w:rPr>
          <w:sz w:val="18"/>
        </w:rPr>
        <w:t>Final</w:t>
      </w:r>
      <w:r>
        <w:rPr>
          <w:spacing w:val="13"/>
          <w:sz w:val="18"/>
        </w:rPr>
        <w:t xml:space="preserve"> </w:t>
      </w:r>
      <w:r>
        <w:rPr>
          <w:sz w:val="18"/>
        </w:rPr>
        <w:t>Determination</w:t>
      </w:r>
      <w:r>
        <w:rPr>
          <w:spacing w:val="7"/>
          <w:sz w:val="18"/>
        </w:rPr>
        <w:t xml:space="preserve"> </w:t>
      </w:r>
      <w:r>
        <w:rPr>
          <w:spacing w:val="-2"/>
          <w:sz w:val="18"/>
        </w:rPr>
        <w:t>(Exhibit</w:t>
      </w:r>
    </w:p>
    <w:p w14:paraId="67B7C9E7" w14:textId="77777777" w:rsidR="00BD462C" w:rsidRDefault="00033D0F">
      <w:pPr>
        <w:spacing w:before="1" w:line="218" w:lineRule="exact"/>
        <w:ind w:left="136"/>
        <w:rPr>
          <w:sz w:val="18"/>
        </w:rPr>
      </w:pPr>
      <w:r>
        <w:rPr>
          <w:sz w:val="18"/>
        </w:rPr>
        <w:t>AUS-2),</w:t>
      </w:r>
      <w:r>
        <w:rPr>
          <w:spacing w:val="-2"/>
          <w:sz w:val="18"/>
        </w:rPr>
        <w:t xml:space="preserve"> </w:t>
      </w:r>
      <w:r>
        <w:rPr>
          <w:sz w:val="18"/>
        </w:rPr>
        <w:t>p.</w:t>
      </w:r>
      <w:r>
        <w:rPr>
          <w:spacing w:val="-3"/>
          <w:sz w:val="18"/>
        </w:rPr>
        <w:t xml:space="preserve"> </w:t>
      </w:r>
      <w:r>
        <w:rPr>
          <w:sz w:val="18"/>
        </w:rPr>
        <w:t>106,</w:t>
      </w:r>
      <w:r>
        <w:rPr>
          <w:spacing w:val="-2"/>
          <w:sz w:val="18"/>
        </w:rPr>
        <w:t xml:space="preserve"> </w:t>
      </w:r>
      <w:r>
        <w:rPr>
          <w:sz w:val="18"/>
        </w:rPr>
        <w:t>118,</w:t>
      </w:r>
      <w:r>
        <w:rPr>
          <w:spacing w:val="-2"/>
          <w:sz w:val="18"/>
        </w:rPr>
        <w:t xml:space="preserve"> </w:t>
      </w:r>
      <w:r>
        <w:rPr>
          <w:spacing w:val="-4"/>
          <w:sz w:val="18"/>
        </w:rPr>
        <w:t>120.</w:t>
      </w:r>
    </w:p>
    <w:p w14:paraId="10C97E1C" w14:textId="77777777" w:rsidR="00BD462C" w:rsidRDefault="00033D0F">
      <w:pPr>
        <w:spacing w:line="218" w:lineRule="exact"/>
        <w:ind w:left="135"/>
        <w:rPr>
          <w:sz w:val="18"/>
        </w:rPr>
      </w:pPr>
      <w:bookmarkStart w:id="1257" w:name="_bookmark1085"/>
      <w:bookmarkEnd w:id="1257"/>
      <w:r>
        <w:rPr>
          <w:position w:val="5"/>
          <w:sz w:val="12"/>
        </w:rPr>
        <w:t>933</w:t>
      </w:r>
      <w:r>
        <w:rPr>
          <w:spacing w:val="10"/>
          <w:position w:val="5"/>
          <w:sz w:val="12"/>
        </w:rPr>
        <w:t xml:space="preserve"> </w:t>
      </w:r>
      <w:r>
        <w:rPr>
          <w:sz w:val="18"/>
        </w:rPr>
        <w:t>China's</w:t>
      </w:r>
      <w:r>
        <w:rPr>
          <w:spacing w:val="-8"/>
          <w:sz w:val="18"/>
        </w:rPr>
        <w:t xml:space="preserve"> </w:t>
      </w:r>
      <w:r>
        <w:rPr>
          <w:sz w:val="18"/>
        </w:rPr>
        <w:t>first</w:t>
      </w:r>
      <w:r>
        <w:rPr>
          <w:spacing w:val="-7"/>
          <w:sz w:val="18"/>
        </w:rPr>
        <w:t xml:space="preserve"> </w:t>
      </w:r>
      <w:r>
        <w:rPr>
          <w:sz w:val="18"/>
        </w:rPr>
        <w:t>written</w:t>
      </w:r>
      <w:r>
        <w:rPr>
          <w:spacing w:val="-8"/>
          <w:sz w:val="18"/>
        </w:rPr>
        <w:t xml:space="preserve"> </w:t>
      </w:r>
      <w:r>
        <w:rPr>
          <w:sz w:val="18"/>
        </w:rPr>
        <w:t>submission,</w:t>
      </w:r>
      <w:r>
        <w:rPr>
          <w:spacing w:val="-2"/>
          <w:sz w:val="18"/>
        </w:rPr>
        <w:t xml:space="preserve"> </w:t>
      </w:r>
      <w:r>
        <w:rPr>
          <w:sz w:val="18"/>
        </w:rPr>
        <w:t>paras.</w:t>
      </w:r>
      <w:r>
        <w:rPr>
          <w:spacing w:val="-7"/>
          <w:sz w:val="18"/>
        </w:rPr>
        <w:t xml:space="preserve"> </w:t>
      </w:r>
      <w:r>
        <w:rPr>
          <w:sz w:val="18"/>
        </w:rPr>
        <w:t>1330,</w:t>
      </w:r>
      <w:r>
        <w:rPr>
          <w:spacing w:val="-6"/>
          <w:sz w:val="18"/>
        </w:rPr>
        <w:t xml:space="preserve"> </w:t>
      </w:r>
      <w:r>
        <w:rPr>
          <w:sz w:val="18"/>
        </w:rPr>
        <w:t>1337-1340,</w:t>
      </w:r>
      <w:r>
        <w:rPr>
          <w:spacing w:val="-6"/>
          <w:sz w:val="18"/>
        </w:rPr>
        <w:t xml:space="preserve"> </w:t>
      </w:r>
      <w:r>
        <w:rPr>
          <w:sz w:val="18"/>
        </w:rPr>
        <w:t>1436-1439,</w:t>
      </w:r>
      <w:r>
        <w:rPr>
          <w:spacing w:val="-3"/>
          <w:sz w:val="18"/>
        </w:rPr>
        <w:t xml:space="preserve"> </w:t>
      </w:r>
      <w:r>
        <w:rPr>
          <w:sz w:val="18"/>
        </w:rPr>
        <w:t>1938-</w:t>
      </w:r>
      <w:r>
        <w:rPr>
          <w:spacing w:val="-2"/>
          <w:sz w:val="18"/>
        </w:rPr>
        <w:t>1966.</w:t>
      </w:r>
    </w:p>
    <w:p w14:paraId="1CF7ADD3" w14:textId="77777777" w:rsidR="00BD462C" w:rsidRDefault="00033D0F">
      <w:pPr>
        <w:spacing w:before="1"/>
        <w:ind w:left="135"/>
        <w:rPr>
          <w:sz w:val="18"/>
        </w:rPr>
      </w:pPr>
      <w:bookmarkStart w:id="1258" w:name="_bookmark1086"/>
      <w:bookmarkEnd w:id="1258"/>
      <w:r>
        <w:rPr>
          <w:position w:val="5"/>
          <w:sz w:val="12"/>
        </w:rPr>
        <w:t>934</w:t>
      </w:r>
      <w:r>
        <w:rPr>
          <w:spacing w:val="11"/>
          <w:position w:val="5"/>
          <w:sz w:val="12"/>
        </w:rPr>
        <w:t xml:space="preserve"> </w:t>
      </w:r>
      <w:r>
        <w:rPr>
          <w:sz w:val="18"/>
        </w:rPr>
        <w:t>Australia's</w:t>
      </w:r>
      <w:r>
        <w:rPr>
          <w:spacing w:val="-6"/>
          <w:sz w:val="18"/>
        </w:rPr>
        <w:t xml:space="preserve"> </w:t>
      </w:r>
      <w:r>
        <w:rPr>
          <w:sz w:val="18"/>
        </w:rPr>
        <w:t>first</w:t>
      </w:r>
      <w:r>
        <w:rPr>
          <w:spacing w:val="-5"/>
          <w:sz w:val="18"/>
        </w:rPr>
        <w:t xml:space="preserve"> </w:t>
      </w:r>
      <w:r>
        <w:rPr>
          <w:sz w:val="18"/>
        </w:rPr>
        <w:t>written</w:t>
      </w:r>
      <w:r>
        <w:rPr>
          <w:spacing w:val="-3"/>
          <w:sz w:val="18"/>
        </w:rPr>
        <w:t xml:space="preserve"> </w:t>
      </w:r>
      <w:r>
        <w:rPr>
          <w:sz w:val="18"/>
        </w:rPr>
        <w:t>submission, para.</w:t>
      </w:r>
      <w:r>
        <w:rPr>
          <w:spacing w:val="-6"/>
          <w:sz w:val="18"/>
        </w:rPr>
        <w:t xml:space="preserve"> </w:t>
      </w:r>
      <w:r>
        <w:rPr>
          <w:sz w:val="18"/>
        </w:rPr>
        <w:t>696-</w:t>
      </w:r>
      <w:r>
        <w:rPr>
          <w:spacing w:val="-4"/>
          <w:sz w:val="18"/>
        </w:rPr>
        <w:t>704.</w:t>
      </w:r>
    </w:p>
    <w:p w14:paraId="64D42D39" w14:textId="77777777" w:rsidR="00BD462C" w:rsidRDefault="00033D0F">
      <w:pPr>
        <w:spacing w:before="1"/>
        <w:ind w:left="135"/>
        <w:rPr>
          <w:sz w:val="18"/>
        </w:rPr>
      </w:pPr>
      <w:bookmarkStart w:id="1259" w:name="_bookmark1087"/>
      <w:bookmarkEnd w:id="1259"/>
      <w:r>
        <w:rPr>
          <w:position w:val="5"/>
          <w:sz w:val="12"/>
        </w:rPr>
        <w:t>935</w:t>
      </w:r>
      <w:r>
        <w:rPr>
          <w:spacing w:val="-1"/>
          <w:position w:val="5"/>
          <w:sz w:val="12"/>
        </w:rPr>
        <w:t xml:space="preserve"> </w:t>
      </w:r>
      <w:r>
        <w:rPr>
          <w:sz w:val="18"/>
        </w:rPr>
        <w:t>China's</w:t>
      </w:r>
      <w:r>
        <w:rPr>
          <w:spacing w:val="-10"/>
          <w:sz w:val="18"/>
        </w:rPr>
        <w:t xml:space="preserve"> </w:t>
      </w:r>
      <w:r>
        <w:rPr>
          <w:sz w:val="18"/>
        </w:rPr>
        <w:t>first</w:t>
      </w:r>
      <w:r>
        <w:rPr>
          <w:spacing w:val="-10"/>
          <w:sz w:val="18"/>
        </w:rPr>
        <w:t xml:space="preserve"> </w:t>
      </w:r>
      <w:r>
        <w:rPr>
          <w:sz w:val="18"/>
        </w:rPr>
        <w:t>written</w:t>
      </w:r>
      <w:r>
        <w:rPr>
          <w:spacing w:val="-10"/>
          <w:sz w:val="18"/>
        </w:rPr>
        <w:t xml:space="preserve"> </w:t>
      </w:r>
      <w:r>
        <w:rPr>
          <w:sz w:val="18"/>
        </w:rPr>
        <w:t>submission,</w:t>
      </w:r>
      <w:r>
        <w:rPr>
          <w:spacing w:val="-9"/>
          <w:sz w:val="18"/>
        </w:rPr>
        <w:t xml:space="preserve"> </w:t>
      </w:r>
      <w:r>
        <w:rPr>
          <w:sz w:val="18"/>
        </w:rPr>
        <w:t>para.</w:t>
      </w:r>
      <w:r>
        <w:rPr>
          <w:spacing w:val="-10"/>
          <w:sz w:val="18"/>
        </w:rPr>
        <w:t xml:space="preserve"> </w:t>
      </w:r>
      <w:r>
        <w:rPr>
          <w:sz w:val="18"/>
        </w:rPr>
        <w:t>1330;</w:t>
      </w:r>
      <w:r>
        <w:rPr>
          <w:spacing w:val="-8"/>
          <w:sz w:val="18"/>
        </w:rPr>
        <w:t xml:space="preserve"> </w:t>
      </w:r>
      <w:r>
        <w:rPr>
          <w:sz w:val="18"/>
        </w:rPr>
        <w:t>1343;</w:t>
      </w:r>
      <w:r>
        <w:rPr>
          <w:spacing w:val="-11"/>
          <w:sz w:val="18"/>
        </w:rPr>
        <w:t xml:space="preserve"> </w:t>
      </w:r>
      <w:r>
        <w:rPr>
          <w:sz w:val="18"/>
        </w:rPr>
        <w:t>1419;</w:t>
      </w:r>
      <w:r>
        <w:rPr>
          <w:spacing w:val="-10"/>
          <w:sz w:val="18"/>
        </w:rPr>
        <w:t xml:space="preserve"> </w:t>
      </w:r>
      <w:r>
        <w:rPr>
          <w:sz w:val="18"/>
        </w:rPr>
        <w:t>1747;</w:t>
      </w:r>
      <w:r>
        <w:rPr>
          <w:spacing w:val="-8"/>
          <w:sz w:val="18"/>
        </w:rPr>
        <w:t xml:space="preserve"> </w:t>
      </w:r>
      <w:r>
        <w:rPr>
          <w:sz w:val="18"/>
        </w:rPr>
        <w:t>1833;</w:t>
      </w:r>
      <w:r>
        <w:rPr>
          <w:spacing w:val="-8"/>
          <w:sz w:val="18"/>
        </w:rPr>
        <w:t xml:space="preserve"> </w:t>
      </w:r>
      <w:r>
        <w:rPr>
          <w:sz w:val="18"/>
        </w:rPr>
        <w:t>and</w:t>
      </w:r>
      <w:r>
        <w:rPr>
          <w:spacing w:val="-10"/>
          <w:sz w:val="18"/>
        </w:rPr>
        <w:t xml:space="preserve"> </w:t>
      </w:r>
      <w:r>
        <w:rPr>
          <w:sz w:val="18"/>
        </w:rPr>
        <w:t>1856;</w:t>
      </w:r>
      <w:r>
        <w:rPr>
          <w:spacing w:val="-10"/>
          <w:sz w:val="18"/>
        </w:rPr>
        <w:t xml:space="preserve"> </w:t>
      </w:r>
      <w:r>
        <w:rPr>
          <w:sz w:val="18"/>
        </w:rPr>
        <w:t>Anti-Dumping</w:t>
      </w:r>
      <w:r>
        <w:rPr>
          <w:spacing w:val="-11"/>
          <w:sz w:val="18"/>
        </w:rPr>
        <w:t xml:space="preserve"> </w:t>
      </w:r>
      <w:r>
        <w:rPr>
          <w:sz w:val="18"/>
        </w:rPr>
        <w:t>Final</w:t>
      </w:r>
      <w:r>
        <w:rPr>
          <w:spacing w:val="-10"/>
          <w:sz w:val="18"/>
        </w:rPr>
        <w:t xml:space="preserve"> </w:t>
      </w:r>
      <w:r>
        <w:rPr>
          <w:sz w:val="18"/>
        </w:rPr>
        <w:t>Determination</w:t>
      </w:r>
      <w:r>
        <w:rPr>
          <w:spacing w:val="-10"/>
          <w:sz w:val="18"/>
        </w:rPr>
        <w:t xml:space="preserve"> </w:t>
      </w:r>
      <w:r>
        <w:rPr>
          <w:spacing w:val="-2"/>
          <w:sz w:val="18"/>
        </w:rPr>
        <w:t>(Exhibit</w:t>
      </w:r>
    </w:p>
    <w:p w14:paraId="3AD7DF0A" w14:textId="77777777" w:rsidR="00BD462C" w:rsidRDefault="00033D0F">
      <w:pPr>
        <w:spacing w:before="1"/>
        <w:ind w:left="136"/>
        <w:rPr>
          <w:sz w:val="18"/>
        </w:rPr>
      </w:pPr>
      <w:r>
        <w:rPr>
          <w:sz w:val="18"/>
        </w:rPr>
        <w:t>AUS-2),</w:t>
      </w:r>
      <w:r>
        <w:rPr>
          <w:spacing w:val="-2"/>
          <w:sz w:val="18"/>
        </w:rPr>
        <w:t xml:space="preserve"> </w:t>
      </w:r>
      <w:r>
        <w:rPr>
          <w:sz w:val="18"/>
        </w:rPr>
        <w:t>p.</w:t>
      </w:r>
      <w:r>
        <w:rPr>
          <w:spacing w:val="-2"/>
          <w:sz w:val="18"/>
        </w:rPr>
        <w:t xml:space="preserve"> </w:t>
      </w:r>
      <w:r>
        <w:rPr>
          <w:sz w:val="18"/>
        </w:rPr>
        <w:t>106; 118;</w:t>
      </w:r>
      <w:r>
        <w:rPr>
          <w:spacing w:val="-5"/>
          <w:sz w:val="18"/>
        </w:rPr>
        <w:t xml:space="preserve"> </w:t>
      </w:r>
      <w:r>
        <w:rPr>
          <w:sz w:val="18"/>
        </w:rPr>
        <w:t>and</w:t>
      </w:r>
      <w:r>
        <w:rPr>
          <w:spacing w:val="-4"/>
          <w:sz w:val="18"/>
        </w:rPr>
        <w:t xml:space="preserve"> 120.</w:t>
      </w:r>
    </w:p>
    <w:p w14:paraId="06945BBA" w14:textId="77777777" w:rsidR="00BD462C" w:rsidRDefault="00033D0F">
      <w:pPr>
        <w:spacing w:before="1"/>
        <w:ind w:left="135"/>
        <w:rPr>
          <w:sz w:val="18"/>
        </w:rPr>
      </w:pPr>
      <w:bookmarkStart w:id="1260" w:name="_bookmark1088"/>
      <w:bookmarkEnd w:id="1260"/>
      <w:r>
        <w:rPr>
          <w:position w:val="5"/>
          <w:sz w:val="12"/>
        </w:rPr>
        <w:t>936</w:t>
      </w:r>
      <w:r>
        <w:rPr>
          <w:spacing w:val="13"/>
          <w:position w:val="5"/>
          <w:sz w:val="12"/>
        </w:rPr>
        <w:t xml:space="preserve"> </w:t>
      </w:r>
      <w:r>
        <w:rPr>
          <w:sz w:val="18"/>
        </w:rPr>
        <w:t>Cf.</w:t>
      </w:r>
      <w:r>
        <w:rPr>
          <w:spacing w:val="1"/>
          <w:sz w:val="18"/>
        </w:rPr>
        <w:t xml:space="preserve"> </w:t>
      </w:r>
      <w:r>
        <w:rPr>
          <w:sz w:val="18"/>
        </w:rPr>
        <w:t>China's</w:t>
      </w:r>
      <w:r>
        <w:rPr>
          <w:spacing w:val="-5"/>
          <w:sz w:val="18"/>
        </w:rPr>
        <w:t xml:space="preserve"> </w:t>
      </w:r>
      <w:r>
        <w:rPr>
          <w:sz w:val="18"/>
        </w:rPr>
        <w:t>first</w:t>
      </w:r>
      <w:r>
        <w:rPr>
          <w:spacing w:val="-4"/>
          <w:sz w:val="18"/>
        </w:rPr>
        <w:t xml:space="preserve"> </w:t>
      </w:r>
      <w:r>
        <w:rPr>
          <w:sz w:val="18"/>
        </w:rPr>
        <w:t>written</w:t>
      </w:r>
      <w:r>
        <w:rPr>
          <w:spacing w:val="-6"/>
          <w:sz w:val="18"/>
        </w:rPr>
        <w:t xml:space="preserve"> </w:t>
      </w:r>
      <w:r>
        <w:rPr>
          <w:sz w:val="18"/>
        </w:rPr>
        <w:t>submission,</w:t>
      </w:r>
      <w:r>
        <w:rPr>
          <w:spacing w:val="-3"/>
          <w:sz w:val="18"/>
        </w:rPr>
        <w:t xml:space="preserve"> </w:t>
      </w:r>
      <w:r>
        <w:rPr>
          <w:sz w:val="18"/>
        </w:rPr>
        <w:t xml:space="preserve">para. </w:t>
      </w:r>
      <w:r>
        <w:rPr>
          <w:spacing w:val="-2"/>
          <w:sz w:val="18"/>
        </w:rPr>
        <w:t>1962.</w:t>
      </w:r>
    </w:p>
    <w:p w14:paraId="048FA0ED" w14:textId="77777777" w:rsidR="00BD462C" w:rsidRDefault="00BD462C">
      <w:pPr>
        <w:rPr>
          <w:sz w:val="18"/>
        </w:rPr>
        <w:sectPr w:rsidR="00BD462C">
          <w:pgSz w:w="11910" w:h="16840"/>
          <w:pgMar w:top="860" w:right="500" w:bottom="780" w:left="1280" w:header="566" w:footer="590" w:gutter="0"/>
          <w:cols w:space="720"/>
        </w:sectPr>
      </w:pPr>
    </w:p>
    <w:p w14:paraId="151D59F9"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22116FF0"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120012CC"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27DDCFF6" w14:textId="77777777" w:rsidR="00BD462C" w:rsidRDefault="00033D0F">
      <w:pPr>
        <w:pStyle w:val="BodyText"/>
        <w:spacing w:before="102" w:line="360" w:lineRule="auto"/>
        <w:ind w:left="135" w:right="915"/>
        <w:jc w:val="both"/>
      </w:pPr>
      <w:r>
        <w:t>between all of the major market participants in order to assess and separate price pressure and associated injury that was caused by third country imports, from the price pressure and injury said to have been caused by subject imports. MOFCOM's cursory and unobjective examination of the evidence, as recorded in the Final Determination, does not engage with this at all.</w:t>
      </w:r>
      <w:hyperlink w:anchor="_bookmark1089" w:history="1">
        <w:r>
          <w:rPr>
            <w:vertAlign w:val="superscript"/>
          </w:rPr>
          <w:t>937</w:t>
        </w:r>
      </w:hyperlink>
      <w:r>
        <w:t xml:space="preserve"> Nor do</w:t>
      </w:r>
      <w:r>
        <w:rPr>
          <w:spacing w:val="-1"/>
        </w:rPr>
        <w:t xml:space="preserve"> </w:t>
      </w:r>
      <w:r>
        <w:t xml:space="preserve">China's extensive </w:t>
      </w:r>
      <w:r>
        <w:rPr>
          <w:i/>
        </w:rPr>
        <w:t xml:space="preserve">ex post facto </w:t>
      </w:r>
      <w:r>
        <w:t>submissions. Rather, China's submissions simply repeat MOFCOM's fundamental error in asserting that third country imports did not break the causal link on the basis of so called "disparate trends".</w:t>
      </w:r>
      <w:hyperlink w:anchor="_bookmark1090" w:history="1">
        <w:r>
          <w:rPr>
            <w:vertAlign w:val="superscript"/>
          </w:rPr>
          <w:t>938</w:t>
        </w:r>
      </w:hyperlink>
      <w:r>
        <w:t xml:space="preserve"> There is no attempt to assess, separate and distinguish injury caused by third country imports.</w:t>
      </w:r>
    </w:p>
    <w:p w14:paraId="037FDE85" w14:textId="77777777" w:rsidR="00BD462C" w:rsidRDefault="00BD462C">
      <w:pPr>
        <w:pStyle w:val="BodyText"/>
        <w:spacing w:before="7"/>
        <w:rPr>
          <w:sz w:val="8"/>
        </w:rPr>
      </w:pPr>
    </w:p>
    <w:p w14:paraId="5B885919" w14:textId="37DBC9BC" w:rsidR="00BD462C" w:rsidRDefault="002670B3">
      <w:pPr>
        <w:pStyle w:val="BodyText"/>
        <w:spacing w:before="56" w:line="360" w:lineRule="auto"/>
        <w:ind w:left="136" w:right="914"/>
        <w:jc w:val="both"/>
      </w:pPr>
      <w:r>
        <w:rPr>
          <w:noProof/>
        </w:rPr>
        <w:t>595.</w:t>
      </w:r>
      <w:r w:rsidR="00033D0F">
        <w:rPr>
          <w:rFonts w:ascii="Times New Roman"/>
          <w:spacing w:val="80"/>
          <w:position w:val="1"/>
          <w:sz w:val="20"/>
        </w:rPr>
        <w:t xml:space="preserve">  </w:t>
      </w:r>
      <w:r w:rsidR="00033D0F">
        <w:rPr>
          <w:position w:val="1"/>
        </w:rPr>
        <w:t>The example that China highlights at paragraph</w:t>
      </w:r>
      <w:r w:rsidR="00033D0F">
        <w:rPr>
          <w:spacing w:val="-4"/>
          <w:position w:val="1"/>
        </w:rPr>
        <w:t xml:space="preserve"> </w:t>
      </w:r>
      <w:r w:rsidR="00033D0F">
        <w:rPr>
          <w:position w:val="1"/>
        </w:rPr>
        <w:t xml:space="preserve">1962 of its first written submission </w:t>
      </w:r>
      <w:r w:rsidR="00033D0F">
        <w:t>demonstrates MOFCOM's failure in this regard. The 482USD/kl end-to-end decline in French prices, changed French imports from overselling domestic products by 46USD/kl in 2015 to underselling them by 891USD/kl in 2019. The 1,036USD/kl end-to-end decline in Australian prices, simply narrowed the overselling margin between Australian wine and domestic like products from 2,618USD/kl in 2015 to 1,127USD/kl in 2019. This is cogent and persuasive evidence that</w:t>
      </w:r>
      <w:r w:rsidR="00033D0F">
        <w:rPr>
          <w:spacing w:val="-4"/>
        </w:rPr>
        <w:t xml:space="preserve"> </w:t>
      </w:r>
      <w:r w:rsidR="00033D0F">
        <w:t>imports from third</w:t>
      </w:r>
      <w:r w:rsidR="00033D0F">
        <w:rPr>
          <w:spacing w:val="-2"/>
        </w:rPr>
        <w:t xml:space="preserve"> </w:t>
      </w:r>
      <w:r w:rsidR="00033D0F">
        <w:t>countries exerted</w:t>
      </w:r>
      <w:r w:rsidR="00033D0F">
        <w:rPr>
          <w:spacing w:val="-2"/>
        </w:rPr>
        <w:t xml:space="preserve"> </w:t>
      </w:r>
      <w:r w:rsidR="00033D0F">
        <w:t>price pressure on</w:t>
      </w:r>
      <w:r w:rsidR="00033D0F">
        <w:rPr>
          <w:spacing w:val="-2"/>
        </w:rPr>
        <w:t xml:space="preserve"> </w:t>
      </w:r>
      <w:r w:rsidR="00033D0F">
        <w:t>domestic</w:t>
      </w:r>
      <w:r w:rsidR="00033D0F">
        <w:rPr>
          <w:spacing w:val="-1"/>
        </w:rPr>
        <w:t xml:space="preserve"> </w:t>
      </w:r>
      <w:r w:rsidR="00033D0F">
        <w:t>like products. China's</w:t>
      </w:r>
      <w:r w:rsidR="00033D0F">
        <w:rPr>
          <w:spacing w:val="-14"/>
        </w:rPr>
        <w:t xml:space="preserve"> </w:t>
      </w:r>
      <w:r w:rsidR="00033D0F">
        <w:t>assertion</w:t>
      </w:r>
      <w:r w:rsidR="00033D0F">
        <w:rPr>
          <w:spacing w:val="-14"/>
        </w:rPr>
        <w:t xml:space="preserve"> </w:t>
      </w:r>
      <w:r w:rsidR="00033D0F">
        <w:t>that</w:t>
      </w:r>
      <w:r w:rsidR="00033D0F">
        <w:rPr>
          <w:spacing w:val="-13"/>
        </w:rPr>
        <w:t xml:space="preserve"> </w:t>
      </w:r>
      <w:r w:rsidR="00033D0F">
        <w:t>the</w:t>
      </w:r>
      <w:r w:rsidR="00033D0F">
        <w:rPr>
          <w:spacing w:val="-14"/>
        </w:rPr>
        <w:t xml:space="preserve"> </w:t>
      </w:r>
      <w:r w:rsidR="00033D0F">
        <w:t>"disparate</w:t>
      </w:r>
      <w:r w:rsidR="00033D0F">
        <w:rPr>
          <w:spacing w:val="-13"/>
        </w:rPr>
        <w:t xml:space="preserve"> </w:t>
      </w:r>
      <w:r w:rsidR="00033D0F">
        <w:t>trends"</w:t>
      </w:r>
      <w:r w:rsidR="00033D0F">
        <w:rPr>
          <w:spacing w:val="-14"/>
        </w:rPr>
        <w:t xml:space="preserve"> </w:t>
      </w:r>
      <w:r w:rsidR="00033D0F">
        <w:t>support</w:t>
      </w:r>
      <w:r w:rsidR="00033D0F">
        <w:rPr>
          <w:spacing w:val="-13"/>
        </w:rPr>
        <w:t xml:space="preserve"> </w:t>
      </w:r>
      <w:r w:rsidR="00033D0F">
        <w:t>the</w:t>
      </w:r>
      <w:r w:rsidR="00033D0F">
        <w:rPr>
          <w:spacing w:val="-14"/>
        </w:rPr>
        <w:t xml:space="preserve"> </w:t>
      </w:r>
      <w:r w:rsidR="00033D0F">
        <w:t>conclusion</w:t>
      </w:r>
      <w:r w:rsidR="00033D0F">
        <w:rPr>
          <w:spacing w:val="-14"/>
        </w:rPr>
        <w:t xml:space="preserve"> </w:t>
      </w:r>
      <w:r w:rsidR="00033D0F">
        <w:t>that</w:t>
      </w:r>
      <w:r w:rsidR="00033D0F">
        <w:rPr>
          <w:spacing w:val="-13"/>
        </w:rPr>
        <w:t xml:space="preserve"> </w:t>
      </w:r>
      <w:r w:rsidR="00033D0F">
        <w:t>third</w:t>
      </w:r>
      <w:r w:rsidR="00033D0F">
        <w:rPr>
          <w:spacing w:val="-14"/>
        </w:rPr>
        <w:t xml:space="preserve"> </w:t>
      </w:r>
      <w:r w:rsidR="00033D0F">
        <w:t>country</w:t>
      </w:r>
      <w:r w:rsidR="00033D0F">
        <w:rPr>
          <w:spacing w:val="-13"/>
        </w:rPr>
        <w:t xml:space="preserve"> </w:t>
      </w:r>
      <w:r w:rsidR="00033D0F">
        <w:t>imports did</w:t>
      </w:r>
      <w:r w:rsidR="00033D0F">
        <w:rPr>
          <w:spacing w:val="-14"/>
        </w:rPr>
        <w:t xml:space="preserve"> </w:t>
      </w:r>
      <w:r w:rsidR="00033D0F">
        <w:t>not</w:t>
      </w:r>
      <w:r w:rsidR="00033D0F">
        <w:rPr>
          <w:spacing w:val="-6"/>
        </w:rPr>
        <w:t xml:space="preserve"> </w:t>
      </w:r>
      <w:r w:rsidR="00033D0F">
        <w:t>break</w:t>
      </w:r>
      <w:r w:rsidR="00033D0F">
        <w:rPr>
          <w:spacing w:val="-6"/>
        </w:rPr>
        <w:t xml:space="preserve"> </w:t>
      </w:r>
      <w:r w:rsidR="00033D0F">
        <w:t>the</w:t>
      </w:r>
      <w:r w:rsidR="00033D0F">
        <w:rPr>
          <w:spacing w:val="-12"/>
        </w:rPr>
        <w:t xml:space="preserve"> </w:t>
      </w:r>
      <w:r w:rsidR="00033D0F">
        <w:t>causal</w:t>
      </w:r>
      <w:r w:rsidR="00033D0F">
        <w:rPr>
          <w:spacing w:val="-10"/>
        </w:rPr>
        <w:t xml:space="preserve"> </w:t>
      </w:r>
      <w:r w:rsidR="00033D0F">
        <w:t>link</w:t>
      </w:r>
      <w:r w:rsidR="00033D0F">
        <w:rPr>
          <w:spacing w:val="-11"/>
        </w:rPr>
        <w:t xml:space="preserve"> </w:t>
      </w:r>
      <w:r w:rsidR="00033D0F">
        <w:t>was</w:t>
      </w:r>
      <w:r w:rsidR="00033D0F">
        <w:rPr>
          <w:spacing w:val="-10"/>
        </w:rPr>
        <w:t xml:space="preserve"> </w:t>
      </w:r>
      <w:r w:rsidR="00033D0F">
        <w:t>not</w:t>
      </w:r>
      <w:r w:rsidR="00033D0F">
        <w:rPr>
          <w:spacing w:val="-11"/>
        </w:rPr>
        <w:t xml:space="preserve"> </w:t>
      </w:r>
      <w:r w:rsidR="00033D0F">
        <w:t>a</w:t>
      </w:r>
      <w:r w:rsidR="00033D0F">
        <w:rPr>
          <w:spacing w:val="-8"/>
        </w:rPr>
        <w:t xml:space="preserve"> </w:t>
      </w:r>
      <w:r w:rsidR="00033D0F">
        <w:t>conclusion</w:t>
      </w:r>
      <w:r w:rsidR="00033D0F">
        <w:rPr>
          <w:spacing w:val="-14"/>
        </w:rPr>
        <w:t xml:space="preserve"> </w:t>
      </w:r>
      <w:r w:rsidR="00033D0F">
        <w:t>that</w:t>
      </w:r>
      <w:r w:rsidR="00033D0F">
        <w:rPr>
          <w:spacing w:val="-10"/>
        </w:rPr>
        <w:t xml:space="preserve"> </w:t>
      </w:r>
      <w:r w:rsidR="00033D0F">
        <w:t>an</w:t>
      </w:r>
      <w:r w:rsidR="00033D0F">
        <w:rPr>
          <w:spacing w:val="-9"/>
        </w:rPr>
        <w:t xml:space="preserve"> </w:t>
      </w:r>
      <w:r w:rsidR="00033D0F">
        <w:t>objective</w:t>
      </w:r>
      <w:r w:rsidR="00033D0F">
        <w:rPr>
          <w:spacing w:val="-12"/>
        </w:rPr>
        <w:t xml:space="preserve"> </w:t>
      </w:r>
      <w:r w:rsidR="00033D0F">
        <w:t>and</w:t>
      </w:r>
      <w:r w:rsidR="00033D0F">
        <w:rPr>
          <w:spacing w:val="-9"/>
        </w:rPr>
        <w:t xml:space="preserve"> </w:t>
      </w:r>
      <w:r w:rsidR="00033D0F">
        <w:t>unbiased</w:t>
      </w:r>
      <w:r w:rsidR="00033D0F">
        <w:rPr>
          <w:spacing w:val="-14"/>
        </w:rPr>
        <w:t xml:space="preserve"> </w:t>
      </w:r>
      <w:r w:rsidR="00033D0F">
        <w:t>investigating authority would draw based on the available evidence.</w:t>
      </w:r>
    </w:p>
    <w:p w14:paraId="18CF0A8C" w14:textId="77777777" w:rsidR="00BD462C" w:rsidRDefault="00BD462C">
      <w:pPr>
        <w:pStyle w:val="BodyText"/>
        <w:spacing w:before="7"/>
        <w:rPr>
          <w:sz w:val="8"/>
        </w:rPr>
      </w:pPr>
    </w:p>
    <w:p w14:paraId="59D45701" w14:textId="2DAE0653" w:rsidR="00BD462C" w:rsidRDefault="002670B3">
      <w:pPr>
        <w:pStyle w:val="BodyText"/>
        <w:spacing w:before="56" w:line="360" w:lineRule="auto"/>
        <w:ind w:left="135" w:right="911"/>
        <w:jc w:val="both"/>
      </w:pPr>
      <w:r>
        <w:rPr>
          <w:noProof/>
        </w:rPr>
        <w:t>596.</w:t>
      </w:r>
      <w:r w:rsidR="00033D0F">
        <w:rPr>
          <w:rFonts w:ascii="Times New Roman"/>
          <w:spacing w:val="80"/>
          <w:w w:val="150"/>
          <w:position w:val="1"/>
          <w:sz w:val="20"/>
        </w:rPr>
        <w:t xml:space="preserve"> </w:t>
      </w:r>
      <w:r w:rsidR="00033D0F">
        <w:rPr>
          <w:position w:val="1"/>
        </w:rPr>
        <w:t>Finally,</w:t>
      </w:r>
      <w:r w:rsidR="00033D0F">
        <w:rPr>
          <w:spacing w:val="40"/>
          <w:position w:val="1"/>
        </w:rPr>
        <w:t xml:space="preserve"> </w:t>
      </w:r>
      <w:r w:rsidR="00033D0F">
        <w:rPr>
          <w:position w:val="1"/>
        </w:rPr>
        <w:t>China's</w:t>
      </w:r>
      <w:r w:rsidR="00033D0F">
        <w:rPr>
          <w:spacing w:val="40"/>
          <w:position w:val="1"/>
        </w:rPr>
        <w:t xml:space="preserve"> </w:t>
      </w:r>
      <w:r w:rsidR="00033D0F">
        <w:rPr>
          <w:position w:val="1"/>
        </w:rPr>
        <w:t>attempt</w:t>
      </w:r>
      <w:r w:rsidR="00033D0F">
        <w:rPr>
          <w:spacing w:val="40"/>
          <w:position w:val="1"/>
        </w:rPr>
        <w:t xml:space="preserve"> </w:t>
      </w:r>
      <w:r w:rsidR="00033D0F">
        <w:rPr>
          <w:position w:val="1"/>
        </w:rPr>
        <w:t>to</w:t>
      </w:r>
      <w:r w:rsidR="00033D0F">
        <w:rPr>
          <w:spacing w:val="40"/>
          <w:position w:val="1"/>
        </w:rPr>
        <w:t xml:space="preserve"> </w:t>
      </w:r>
      <w:proofErr w:type="spellStart"/>
      <w:r w:rsidR="00033D0F">
        <w:rPr>
          <w:position w:val="1"/>
        </w:rPr>
        <w:t>characterise</w:t>
      </w:r>
      <w:proofErr w:type="spellEnd"/>
      <w:r w:rsidR="00033D0F">
        <w:rPr>
          <w:spacing w:val="40"/>
          <w:position w:val="1"/>
        </w:rPr>
        <w:t xml:space="preserve"> </w:t>
      </w:r>
      <w:r w:rsidR="00033D0F">
        <w:rPr>
          <w:position w:val="1"/>
        </w:rPr>
        <w:t>Australia's</w:t>
      </w:r>
      <w:r w:rsidR="00033D0F">
        <w:rPr>
          <w:spacing w:val="40"/>
          <w:position w:val="1"/>
        </w:rPr>
        <w:t xml:space="preserve"> </w:t>
      </w:r>
      <w:r w:rsidR="00033D0F">
        <w:rPr>
          <w:position w:val="1"/>
        </w:rPr>
        <w:t>argument</w:t>
      </w:r>
      <w:r w:rsidR="00033D0F">
        <w:rPr>
          <w:spacing w:val="40"/>
          <w:position w:val="1"/>
        </w:rPr>
        <w:t xml:space="preserve"> </w:t>
      </w:r>
      <w:r w:rsidR="00033D0F">
        <w:rPr>
          <w:position w:val="1"/>
        </w:rPr>
        <w:t>as</w:t>
      </w:r>
      <w:r w:rsidR="00033D0F">
        <w:rPr>
          <w:spacing w:val="40"/>
          <w:position w:val="1"/>
        </w:rPr>
        <w:t xml:space="preserve"> </w:t>
      </w:r>
      <w:r w:rsidR="00033D0F">
        <w:rPr>
          <w:position w:val="1"/>
        </w:rPr>
        <w:t>relying</w:t>
      </w:r>
      <w:r w:rsidR="00033D0F">
        <w:rPr>
          <w:spacing w:val="40"/>
          <w:position w:val="1"/>
        </w:rPr>
        <w:t xml:space="preserve"> </w:t>
      </w:r>
      <w:r w:rsidR="00033D0F">
        <w:rPr>
          <w:position w:val="1"/>
        </w:rPr>
        <w:t xml:space="preserve">on </w:t>
      </w:r>
      <w:r w:rsidR="00033D0F">
        <w:t>"piecemeal"</w:t>
      </w:r>
      <w:r w:rsidR="00033D0F">
        <w:rPr>
          <w:spacing w:val="-10"/>
        </w:rPr>
        <w:t xml:space="preserve"> </w:t>
      </w:r>
      <w:r w:rsidR="00033D0F">
        <w:t>data</w:t>
      </w:r>
      <w:r w:rsidR="00033D0F">
        <w:rPr>
          <w:spacing w:val="-10"/>
        </w:rPr>
        <w:t xml:space="preserve"> </w:t>
      </w:r>
      <w:r w:rsidR="00033D0F">
        <w:t>or</w:t>
      </w:r>
      <w:r w:rsidR="00033D0F">
        <w:rPr>
          <w:spacing w:val="-11"/>
        </w:rPr>
        <w:t xml:space="preserve"> </w:t>
      </w:r>
      <w:r w:rsidR="00033D0F">
        <w:t>suggesting</w:t>
      </w:r>
      <w:r w:rsidR="00033D0F">
        <w:rPr>
          <w:spacing w:val="-8"/>
        </w:rPr>
        <w:t xml:space="preserve"> </w:t>
      </w:r>
      <w:r w:rsidR="00033D0F">
        <w:t>that</w:t>
      </w:r>
      <w:r w:rsidR="00033D0F">
        <w:rPr>
          <w:spacing w:val="-9"/>
        </w:rPr>
        <w:t xml:space="preserve"> </w:t>
      </w:r>
      <w:r w:rsidR="00033D0F">
        <w:t>MOFCOM</w:t>
      </w:r>
      <w:r w:rsidR="00033D0F">
        <w:rPr>
          <w:spacing w:val="-9"/>
        </w:rPr>
        <w:t xml:space="preserve"> </w:t>
      </w:r>
      <w:r w:rsidR="00033D0F">
        <w:t>should</w:t>
      </w:r>
      <w:r w:rsidR="00033D0F">
        <w:rPr>
          <w:spacing w:val="-11"/>
        </w:rPr>
        <w:t xml:space="preserve"> </w:t>
      </w:r>
      <w:r w:rsidR="00033D0F">
        <w:t>have</w:t>
      </w:r>
      <w:r w:rsidR="00033D0F">
        <w:rPr>
          <w:spacing w:val="-9"/>
        </w:rPr>
        <w:t xml:space="preserve"> </w:t>
      </w:r>
      <w:r w:rsidR="00033D0F">
        <w:t>ignored</w:t>
      </w:r>
      <w:r w:rsidR="00033D0F">
        <w:rPr>
          <w:spacing w:val="-11"/>
        </w:rPr>
        <w:t xml:space="preserve"> </w:t>
      </w:r>
      <w:r w:rsidR="00033D0F">
        <w:t>data</w:t>
      </w:r>
      <w:r w:rsidR="00033D0F">
        <w:rPr>
          <w:spacing w:val="-10"/>
        </w:rPr>
        <w:t xml:space="preserve"> </w:t>
      </w:r>
      <w:r w:rsidR="00033D0F">
        <w:t>pertaining</w:t>
      </w:r>
      <w:r w:rsidR="00033D0F">
        <w:rPr>
          <w:spacing w:val="-8"/>
        </w:rPr>
        <w:t xml:space="preserve"> </w:t>
      </w:r>
      <w:r w:rsidR="00033D0F">
        <w:t>to</w:t>
      </w:r>
      <w:r w:rsidR="00033D0F">
        <w:rPr>
          <w:spacing w:val="-11"/>
        </w:rPr>
        <w:t xml:space="preserve"> </w:t>
      </w:r>
      <w:r w:rsidR="00033D0F">
        <w:t>2018</w:t>
      </w:r>
      <w:r w:rsidR="00033D0F">
        <w:rPr>
          <w:spacing w:val="-11"/>
        </w:rPr>
        <w:t xml:space="preserve"> </w:t>
      </w:r>
      <w:r w:rsidR="00033D0F">
        <w:t>or imports from countries outside of the top five is entirely without merit.</w:t>
      </w:r>
      <w:hyperlink w:anchor="_bookmark1091" w:history="1">
        <w:r w:rsidR="00033D0F">
          <w:rPr>
            <w:vertAlign w:val="superscript"/>
          </w:rPr>
          <w:t>939</w:t>
        </w:r>
      </w:hyperlink>
      <w:r w:rsidR="00033D0F">
        <w:t xml:space="preserve"> Australia's argument reflects: (i) that the evidence on the record, as provided by CADA, omits the 2018 data;</w:t>
      </w:r>
      <w:hyperlink w:anchor="_bookmark1092" w:history="1">
        <w:r w:rsidR="00033D0F">
          <w:rPr>
            <w:vertAlign w:val="superscript"/>
          </w:rPr>
          <w:t>940</w:t>
        </w:r>
      </w:hyperlink>
      <w:r w:rsidR="00033D0F">
        <w:rPr>
          <w:spacing w:val="-5"/>
        </w:rPr>
        <w:t xml:space="preserve"> </w:t>
      </w:r>
      <w:r w:rsidR="00033D0F">
        <w:t>and</w:t>
      </w:r>
      <w:r w:rsidR="00033D0F">
        <w:rPr>
          <w:spacing w:val="-3"/>
        </w:rPr>
        <w:t xml:space="preserve"> </w:t>
      </w:r>
      <w:r w:rsidR="00033D0F">
        <w:t>(ii)</w:t>
      </w:r>
      <w:r w:rsidR="00033D0F">
        <w:rPr>
          <w:spacing w:val="-8"/>
        </w:rPr>
        <w:t xml:space="preserve"> </w:t>
      </w:r>
      <w:r w:rsidR="00033D0F">
        <w:t>that</w:t>
      </w:r>
      <w:r w:rsidR="00033D0F">
        <w:rPr>
          <w:spacing w:val="-6"/>
        </w:rPr>
        <w:t xml:space="preserve"> </w:t>
      </w:r>
      <w:r w:rsidR="00033D0F">
        <w:t>the</w:t>
      </w:r>
      <w:r w:rsidR="00033D0F">
        <w:rPr>
          <w:spacing w:val="-2"/>
        </w:rPr>
        <w:t xml:space="preserve"> </w:t>
      </w:r>
      <w:r w:rsidR="00033D0F">
        <w:t>proportion</w:t>
      </w:r>
      <w:r w:rsidR="00033D0F">
        <w:rPr>
          <w:spacing w:val="-3"/>
        </w:rPr>
        <w:t xml:space="preserve"> </w:t>
      </w:r>
      <w:r w:rsidR="00033D0F">
        <w:t>of</w:t>
      </w:r>
      <w:r w:rsidR="00033D0F">
        <w:rPr>
          <w:spacing w:val="-3"/>
        </w:rPr>
        <w:t xml:space="preserve"> </w:t>
      </w:r>
      <w:r w:rsidR="00033D0F">
        <w:t>import</w:t>
      </w:r>
      <w:r w:rsidR="00033D0F">
        <w:rPr>
          <w:spacing w:val="-6"/>
        </w:rPr>
        <w:t xml:space="preserve"> </w:t>
      </w:r>
      <w:r w:rsidR="00033D0F">
        <w:t>volumes</w:t>
      </w:r>
      <w:r w:rsidR="00033D0F">
        <w:rPr>
          <w:spacing w:val="-5"/>
        </w:rPr>
        <w:t xml:space="preserve"> </w:t>
      </w:r>
      <w:r w:rsidR="00033D0F">
        <w:t>accounted</w:t>
      </w:r>
      <w:r w:rsidR="00033D0F">
        <w:rPr>
          <w:spacing w:val="-3"/>
        </w:rPr>
        <w:t xml:space="preserve"> </w:t>
      </w:r>
      <w:r w:rsidR="00033D0F">
        <w:t>for</w:t>
      </w:r>
      <w:r w:rsidR="00033D0F">
        <w:rPr>
          <w:spacing w:val="-4"/>
        </w:rPr>
        <w:t xml:space="preserve"> </w:t>
      </w:r>
      <w:r w:rsidR="00033D0F">
        <w:t>by</w:t>
      </w:r>
      <w:r w:rsidR="00033D0F">
        <w:rPr>
          <w:spacing w:val="-5"/>
        </w:rPr>
        <w:t xml:space="preserve"> </w:t>
      </w:r>
      <w:r w:rsidR="00033D0F">
        <w:t>countries</w:t>
      </w:r>
      <w:r w:rsidR="00033D0F">
        <w:rPr>
          <w:spacing w:val="-5"/>
        </w:rPr>
        <w:t xml:space="preserve"> </w:t>
      </w:r>
      <w:r w:rsidR="00033D0F">
        <w:t>outside</w:t>
      </w:r>
      <w:r w:rsidR="00033D0F">
        <w:rPr>
          <w:spacing w:val="-6"/>
        </w:rPr>
        <w:t xml:space="preserve"> </w:t>
      </w:r>
      <w:r w:rsidR="00033D0F">
        <w:t>the top five was very low.</w:t>
      </w:r>
      <w:hyperlink w:anchor="_bookmark1093" w:history="1">
        <w:r w:rsidR="00033D0F">
          <w:rPr>
            <w:vertAlign w:val="superscript"/>
          </w:rPr>
          <w:t>941</w:t>
        </w:r>
      </w:hyperlink>
    </w:p>
    <w:p w14:paraId="421A9967" w14:textId="3E69DB8B" w:rsidR="00BD462C" w:rsidRDefault="00752F01">
      <w:pPr>
        <w:pStyle w:val="BodyText"/>
        <w:rPr>
          <w:sz w:val="20"/>
        </w:rPr>
      </w:pPr>
      <w:r>
        <w:rPr>
          <w:noProof/>
        </w:rPr>
        <mc:AlternateContent>
          <mc:Choice Requires="wps">
            <w:drawing>
              <wp:anchor distT="0" distB="0" distL="0" distR="0" simplePos="0" relativeHeight="488243712" behindDoc="1" locked="0" layoutInCell="1" allowOverlap="1" wp14:anchorId="2F0098F7" wp14:editId="7E18444D">
                <wp:simplePos x="0" y="0"/>
                <wp:positionH relativeFrom="page">
                  <wp:posOffset>812800</wp:posOffset>
                </wp:positionH>
                <wp:positionV relativeFrom="paragraph">
                  <wp:posOffset>319405</wp:posOffset>
                </wp:positionV>
                <wp:extent cx="1828800" cy="8890"/>
                <wp:effectExtent l="0" t="0" r="0" b="0"/>
                <wp:wrapTopAndBottom/>
                <wp:docPr id="223" name="docshape6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9895C" id="docshape664" o:spid="_x0000_s1026" alt="&quot;&quot;" style="position:absolute;margin-left:64pt;margin-top:25.15pt;width:2in;height:.7pt;z-index:-1507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" fillcolor="black" stroked="f">
                <w10:wrap type="topAndBottom" anchorx="page"/>
              </v:rect>
            </w:pict>
          </mc:Fallback>
        </mc:AlternateContent>
      </w:r>
    </w:p>
    <w:p w14:paraId="117BEEAB" w14:textId="3CC721D6" w:rsidR="00BD462C" w:rsidRDefault="00BD462C">
      <w:pPr>
        <w:pStyle w:val="BodyText"/>
        <w:spacing w:before="1"/>
        <w:rPr>
          <w:sz w:val="21"/>
        </w:rPr>
      </w:pPr>
    </w:p>
    <w:p w14:paraId="5A7FDF53" w14:textId="77777777" w:rsidR="00BD462C" w:rsidRDefault="00033D0F">
      <w:pPr>
        <w:spacing w:before="112" w:line="218" w:lineRule="exact"/>
        <w:ind w:left="135"/>
        <w:rPr>
          <w:sz w:val="18"/>
        </w:rPr>
      </w:pPr>
      <w:bookmarkStart w:id="1261" w:name="_bookmark1089"/>
      <w:bookmarkEnd w:id="1261"/>
      <w:r>
        <w:rPr>
          <w:position w:val="5"/>
          <w:sz w:val="12"/>
        </w:rPr>
        <w:t>937</w:t>
      </w:r>
      <w:r>
        <w:rPr>
          <w:spacing w:val="10"/>
          <w:position w:val="5"/>
          <w:sz w:val="12"/>
        </w:rPr>
        <w:t xml:space="preserve"> </w:t>
      </w:r>
      <w:r>
        <w:rPr>
          <w:sz w:val="18"/>
        </w:rPr>
        <w:t>Anti-Dumping</w:t>
      </w:r>
      <w:r>
        <w:rPr>
          <w:spacing w:val="-8"/>
          <w:sz w:val="18"/>
        </w:rPr>
        <w:t xml:space="preserve"> </w:t>
      </w:r>
      <w:r>
        <w:rPr>
          <w:sz w:val="18"/>
        </w:rPr>
        <w:t>Final</w:t>
      </w:r>
      <w:r>
        <w:rPr>
          <w:spacing w:val="-3"/>
          <w:sz w:val="18"/>
        </w:rPr>
        <w:t xml:space="preserve"> </w:t>
      </w:r>
      <w:r>
        <w:rPr>
          <w:sz w:val="18"/>
        </w:rPr>
        <w:t>Determination</w:t>
      </w:r>
      <w:r>
        <w:rPr>
          <w:spacing w:val="-9"/>
          <w:sz w:val="18"/>
        </w:rPr>
        <w:t xml:space="preserve"> </w:t>
      </w:r>
      <w:r>
        <w:rPr>
          <w:sz w:val="18"/>
        </w:rPr>
        <w:t>(Exhibit</w:t>
      </w:r>
      <w:r>
        <w:rPr>
          <w:spacing w:val="-3"/>
          <w:sz w:val="18"/>
        </w:rPr>
        <w:t xml:space="preserve"> </w:t>
      </w:r>
      <w:r>
        <w:rPr>
          <w:sz w:val="18"/>
        </w:rPr>
        <w:t>AUS-2),</w:t>
      </w:r>
      <w:r>
        <w:rPr>
          <w:spacing w:val="-6"/>
          <w:sz w:val="18"/>
        </w:rPr>
        <w:t xml:space="preserve"> </w:t>
      </w:r>
      <w:r>
        <w:rPr>
          <w:sz w:val="18"/>
        </w:rPr>
        <w:t>pp.</w:t>
      </w:r>
      <w:r>
        <w:rPr>
          <w:spacing w:val="-3"/>
          <w:sz w:val="18"/>
        </w:rPr>
        <w:t xml:space="preserve"> </w:t>
      </w:r>
      <w:r>
        <w:rPr>
          <w:sz w:val="18"/>
        </w:rPr>
        <w:t>137-138,</w:t>
      </w:r>
      <w:r>
        <w:rPr>
          <w:spacing w:val="-6"/>
          <w:sz w:val="18"/>
        </w:rPr>
        <w:t xml:space="preserve"> </w:t>
      </w:r>
      <w:r>
        <w:rPr>
          <w:sz w:val="18"/>
        </w:rPr>
        <w:t>140-</w:t>
      </w:r>
      <w:r>
        <w:rPr>
          <w:spacing w:val="-4"/>
          <w:sz w:val="18"/>
        </w:rPr>
        <w:t>145.</w:t>
      </w:r>
    </w:p>
    <w:p w14:paraId="76A75EBF" w14:textId="77777777" w:rsidR="00BD462C" w:rsidRDefault="00033D0F">
      <w:pPr>
        <w:spacing w:line="218" w:lineRule="exact"/>
        <w:ind w:left="135"/>
        <w:rPr>
          <w:sz w:val="18"/>
        </w:rPr>
      </w:pPr>
      <w:bookmarkStart w:id="1262" w:name="_bookmark1090"/>
      <w:bookmarkEnd w:id="1262"/>
      <w:r>
        <w:rPr>
          <w:position w:val="5"/>
          <w:sz w:val="12"/>
        </w:rPr>
        <w:t>938</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 xml:space="preserve">submission, para. </w:t>
      </w:r>
      <w:r>
        <w:rPr>
          <w:spacing w:val="-2"/>
          <w:sz w:val="18"/>
        </w:rPr>
        <w:t>1962.</w:t>
      </w:r>
    </w:p>
    <w:p w14:paraId="0DEABF4C" w14:textId="77777777" w:rsidR="00BD462C" w:rsidRDefault="00033D0F">
      <w:pPr>
        <w:spacing w:before="1"/>
        <w:ind w:left="136" w:right="923" w:hanging="1"/>
        <w:rPr>
          <w:sz w:val="18"/>
        </w:rPr>
      </w:pPr>
      <w:bookmarkStart w:id="1263" w:name="_bookmark1091"/>
      <w:bookmarkEnd w:id="1263"/>
      <w:r>
        <w:rPr>
          <w:position w:val="5"/>
          <w:sz w:val="12"/>
        </w:rPr>
        <w:t>939</w:t>
      </w:r>
      <w:r>
        <w:rPr>
          <w:spacing w:val="29"/>
          <w:position w:val="5"/>
          <w:sz w:val="12"/>
        </w:rPr>
        <w:t xml:space="preserve"> </w:t>
      </w:r>
      <w:r>
        <w:rPr>
          <w:sz w:val="18"/>
        </w:rPr>
        <w:t xml:space="preserve">China's first written submission, paras. 1948-1950, 1958, 1962. The passage of </w:t>
      </w:r>
      <w:r>
        <w:rPr>
          <w:i/>
          <w:sz w:val="18"/>
        </w:rPr>
        <w:t xml:space="preserve">China – Cellulose Pulp </w:t>
      </w:r>
      <w:r>
        <w:rPr>
          <w:sz w:val="18"/>
        </w:rPr>
        <w:t>cited by China at paragraph 1950 is not relevant to the issues in dispute in this proceeding.</w:t>
      </w:r>
    </w:p>
    <w:p w14:paraId="01B98E78" w14:textId="77777777" w:rsidR="00BD462C" w:rsidRDefault="00033D0F">
      <w:pPr>
        <w:spacing w:before="2"/>
        <w:ind w:left="136" w:right="911" w:hanging="1"/>
        <w:jc w:val="both"/>
        <w:rPr>
          <w:sz w:val="18"/>
        </w:rPr>
      </w:pPr>
      <w:bookmarkStart w:id="1264" w:name="_bookmark1092"/>
      <w:bookmarkEnd w:id="1264"/>
      <w:r>
        <w:rPr>
          <w:position w:val="5"/>
          <w:sz w:val="12"/>
        </w:rPr>
        <w:t>940</w:t>
      </w:r>
      <w:r>
        <w:rPr>
          <w:spacing w:val="30"/>
          <w:position w:val="5"/>
          <w:sz w:val="12"/>
        </w:rPr>
        <w:t xml:space="preserve"> </w:t>
      </w:r>
      <w:r>
        <w:rPr>
          <w:sz w:val="18"/>
        </w:rPr>
        <w:t>Australia's first written submission, para. 699. CADA Application for Anti-Dumping Investigation, Annexes 1-12 (Part 2) (Exhibit AUS-66); Annex 8; pp. 45 (2015); 46 (2016); 47 (2017); and 48 (2019). Australia notes that MOFCOM could have obtained</w:t>
      </w:r>
      <w:r>
        <w:rPr>
          <w:spacing w:val="-3"/>
          <w:sz w:val="18"/>
        </w:rPr>
        <w:t xml:space="preserve"> </w:t>
      </w:r>
      <w:r>
        <w:rPr>
          <w:sz w:val="18"/>
        </w:rPr>
        <w:t>this</w:t>
      </w:r>
      <w:r>
        <w:rPr>
          <w:spacing w:val="-2"/>
          <w:sz w:val="18"/>
        </w:rPr>
        <w:t xml:space="preserve"> </w:t>
      </w:r>
      <w:r>
        <w:rPr>
          <w:sz w:val="18"/>
        </w:rPr>
        <w:t>information</w:t>
      </w:r>
      <w:r>
        <w:rPr>
          <w:spacing w:val="-3"/>
          <w:sz w:val="18"/>
        </w:rPr>
        <w:t xml:space="preserve"> </w:t>
      </w:r>
      <w:r>
        <w:rPr>
          <w:sz w:val="18"/>
        </w:rPr>
        <w:t>from</w:t>
      </w:r>
      <w:r>
        <w:rPr>
          <w:spacing w:val="-4"/>
          <w:sz w:val="18"/>
        </w:rPr>
        <w:t xml:space="preserve"> </w:t>
      </w:r>
      <w:r>
        <w:rPr>
          <w:sz w:val="18"/>
        </w:rPr>
        <w:t>the Chinese Customs Authority.</w:t>
      </w:r>
      <w:r>
        <w:rPr>
          <w:spacing w:val="-1"/>
          <w:sz w:val="18"/>
        </w:rPr>
        <w:t xml:space="preserve"> </w:t>
      </w:r>
      <w:r>
        <w:rPr>
          <w:sz w:val="18"/>
        </w:rPr>
        <w:t>It</w:t>
      </w:r>
      <w:r>
        <w:rPr>
          <w:spacing w:val="-1"/>
          <w:sz w:val="18"/>
        </w:rPr>
        <w:t xml:space="preserve"> </w:t>
      </w:r>
      <w:r>
        <w:rPr>
          <w:sz w:val="18"/>
        </w:rPr>
        <w:t>certainly did</w:t>
      </w:r>
      <w:r>
        <w:rPr>
          <w:spacing w:val="-3"/>
          <w:sz w:val="18"/>
        </w:rPr>
        <w:t xml:space="preserve"> </w:t>
      </w:r>
      <w:r>
        <w:rPr>
          <w:sz w:val="18"/>
        </w:rPr>
        <w:t>so at least</w:t>
      </w:r>
      <w:r>
        <w:rPr>
          <w:spacing w:val="-1"/>
          <w:sz w:val="18"/>
        </w:rPr>
        <w:t xml:space="preserve"> </w:t>
      </w:r>
      <w:r>
        <w:rPr>
          <w:sz w:val="18"/>
        </w:rPr>
        <w:t>in</w:t>
      </w:r>
      <w:r>
        <w:rPr>
          <w:spacing w:val="-3"/>
          <w:sz w:val="18"/>
        </w:rPr>
        <w:t xml:space="preserve"> </w:t>
      </w:r>
      <w:r>
        <w:rPr>
          <w:sz w:val="18"/>
        </w:rPr>
        <w:t>relation to subject imports, as</w:t>
      </w:r>
      <w:r>
        <w:rPr>
          <w:spacing w:val="-2"/>
          <w:sz w:val="18"/>
        </w:rPr>
        <w:t xml:space="preserve"> </w:t>
      </w:r>
      <w:r>
        <w:rPr>
          <w:sz w:val="18"/>
        </w:rPr>
        <w:t>it relied</w:t>
      </w:r>
      <w:r>
        <w:rPr>
          <w:spacing w:val="-8"/>
          <w:sz w:val="18"/>
        </w:rPr>
        <w:t xml:space="preserve"> </w:t>
      </w:r>
      <w:r>
        <w:rPr>
          <w:sz w:val="18"/>
        </w:rPr>
        <w:t>on</w:t>
      </w:r>
      <w:r>
        <w:rPr>
          <w:spacing w:val="-8"/>
          <w:sz w:val="18"/>
        </w:rPr>
        <w:t xml:space="preserve"> </w:t>
      </w:r>
      <w:r>
        <w:rPr>
          <w:sz w:val="18"/>
        </w:rPr>
        <w:t>that</w:t>
      </w:r>
      <w:r>
        <w:rPr>
          <w:spacing w:val="-7"/>
          <w:sz w:val="18"/>
        </w:rPr>
        <w:t xml:space="preserve"> </w:t>
      </w:r>
      <w:r>
        <w:rPr>
          <w:sz w:val="18"/>
        </w:rPr>
        <w:t>data</w:t>
      </w:r>
      <w:r>
        <w:rPr>
          <w:spacing w:val="-10"/>
          <w:sz w:val="18"/>
        </w:rPr>
        <w:t xml:space="preserve"> </w:t>
      </w:r>
      <w:r>
        <w:rPr>
          <w:sz w:val="18"/>
        </w:rPr>
        <w:t>for</w:t>
      </w:r>
      <w:r>
        <w:rPr>
          <w:spacing w:val="-10"/>
          <w:sz w:val="18"/>
        </w:rPr>
        <w:t xml:space="preserve"> </w:t>
      </w:r>
      <w:r>
        <w:rPr>
          <w:sz w:val="18"/>
        </w:rPr>
        <w:t>the</w:t>
      </w:r>
      <w:r>
        <w:rPr>
          <w:spacing w:val="-8"/>
          <w:sz w:val="18"/>
        </w:rPr>
        <w:t xml:space="preserve"> </w:t>
      </w:r>
      <w:r>
        <w:rPr>
          <w:sz w:val="18"/>
        </w:rPr>
        <w:t>basis</w:t>
      </w:r>
      <w:r>
        <w:rPr>
          <w:spacing w:val="-8"/>
          <w:sz w:val="18"/>
        </w:rPr>
        <w:t xml:space="preserve"> </w:t>
      </w:r>
      <w:r>
        <w:rPr>
          <w:sz w:val="18"/>
        </w:rPr>
        <w:t>of</w:t>
      </w:r>
      <w:r>
        <w:rPr>
          <w:spacing w:val="-7"/>
          <w:sz w:val="18"/>
        </w:rPr>
        <w:t xml:space="preserve"> </w:t>
      </w:r>
      <w:r>
        <w:rPr>
          <w:sz w:val="18"/>
        </w:rPr>
        <w:t>its</w:t>
      </w:r>
      <w:r>
        <w:rPr>
          <w:spacing w:val="-3"/>
          <w:sz w:val="18"/>
        </w:rPr>
        <w:t xml:space="preserve"> </w:t>
      </w:r>
      <w:r>
        <w:rPr>
          <w:sz w:val="18"/>
        </w:rPr>
        <w:t>volume</w:t>
      </w:r>
      <w:r>
        <w:rPr>
          <w:spacing w:val="-3"/>
          <w:sz w:val="18"/>
        </w:rPr>
        <w:t xml:space="preserve"> </w:t>
      </w:r>
      <w:r>
        <w:rPr>
          <w:sz w:val="18"/>
        </w:rPr>
        <w:t>and</w:t>
      </w:r>
      <w:r>
        <w:rPr>
          <w:spacing w:val="-8"/>
          <w:sz w:val="18"/>
        </w:rPr>
        <w:t xml:space="preserve"> </w:t>
      </w:r>
      <w:r>
        <w:rPr>
          <w:sz w:val="18"/>
        </w:rPr>
        <w:t>price</w:t>
      </w:r>
      <w:r>
        <w:rPr>
          <w:spacing w:val="-8"/>
          <w:sz w:val="18"/>
        </w:rPr>
        <w:t xml:space="preserve"> </w:t>
      </w:r>
      <w:r>
        <w:rPr>
          <w:sz w:val="18"/>
        </w:rPr>
        <w:t>analysis</w:t>
      </w:r>
      <w:r>
        <w:rPr>
          <w:spacing w:val="-8"/>
          <w:sz w:val="18"/>
        </w:rPr>
        <w:t xml:space="preserve"> </w:t>
      </w:r>
      <w:r>
        <w:rPr>
          <w:sz w:val="18"/>
        </w:rPr>
        <w:t>under</w:t>
      </w:r>
      <w:r>
        <w:rPr>
          <w:spacing w:val="-5"/>
          <w:sz w:val="18"/>
        </w:rPr>
        <w:t xml:space="preserve"> </w:t>
      </w:r>
      <w:r>
        <w:rPr>
          <w:sz w:val="18"/>
        </w:rPr>
        <w:t>Article 3.2.</w:t>
      </w:r>
      <w:r>
        <w:rPr>
          <w:spacing w:val="-7"/>
          <w:sz w:val="18"/>
        </w:rPr>
        <w:t xml:space="preserve"> </w:t>
      </w:r>
      <w:r>
        <w:rPr>
          <w:sz w:val="18"/>
        </w:rPr>
        <w:t>Australia's</w:t>
      </w:r>
      <w:r>
        <w:rPr>
          <w:spacing w:val="-8"/>
          <w:sz w:val="18"/>
        </w:rPr>
        <w:t xml:space="preserve"> </w:t>
      </w:r>
      <w:r>
        <w:rPr>
          <w:sz w:val="18"/>
        </w:rPr>
        <w:t>omission</w:t>
      </w:r>
      <w:r>
        <w:rPr>
          <w:spacing w:val="-8"/>
          <w:sz w:val="18"/>
        </w:rPr>
        <w:t xml:space="preserve"> </w:t>
      </w:r>
      <w:r>
        <w:rPr>
          <w:sz w:val="18"/>
        </w:rPr>
        <w:t>of</w:t>
      </w:r>
      <w:r>
        <w:rPr>
          <w:spacing w:val="-7"/>
          <w:sz w:val="18"/>
        </w:rPr>
        <w:t xml:space="preserve"> </w:t>
      </w:r>
      <w:r>
        <w:rPr>
          <w:sz w:val="18"/>
        </w:rPr>
        <w:t>the</w:t>
      </w:r>
      <w:r>
        <w:rPr>
          <w:spacing w:val="-8"/>
          <w:sz w:val="18"/>
        </w:rPr>
        <w:t xml:space="preserve"> </w:t>
      </w:r>
      <w:r>
        <w:rPr>
          <w:sz w:val="18"/>
        </w:rPr>
        <w:t>2018</w:t>
      </w:r>
      <w:r>
        <w:rPr>
          <w:spacing w:val="-10"/>
          <w:sz w:val="18"/>
        </w:rPr>
        <w:t xml:space="preserve"> </w:t>
      </w:r>
      <w:r>
        <w:rPr>
          <w:sz w:val="18"/>
        </w:rPr>
        <w:t>data</w:t>
      </w:r>
      <w:r>
        <w:rPr>
          <w:spacing w:val="-10"/>
          <w:sz w:val="18"/>
        </w:rPr>
        <w:t xml:space="preserve"> </w:t>
      </w:r>
      <w:r>
        <w:rPr>
          <w:sz w:val="18"/>
        </w:rPr>
        <w:t>simply reflects that it is not available anywhere on the public record of the investigation.</w:t>
      </w:r>
    </w:p>
    <w:p w14:paraId="469B4C7D" w14:textId="77777777" w:rsidR="00BD462C" w:rsidRDefault="00033D0F">
      <w:pPr>
        <w:ind w:left="135"/>
        <w:jc w:val="both"/>
        <w:rPr>
          <w:sz w:val="18"/>
        </w:rPr>
      </w:pPr>
      <w:bookmarkStart w:id="1265" w:name="_bookmark1093"/>
      <w:bookmarkEnd w:id="1265"/>
      <w:r>
        <w:rPr>
          <w:position w:val="5"/>
          <w:sz w:val="12"/>
        </w:rPr>
        <w:t>941</w:t>
      </w:r>
      <w:r>
        <w:rPr>
          <w:spacing w:val="12"/>
          <w:position w:val="5"/>
          <w:sz w:val="12"/>
        </w:rPr>
        <w:t xml:space="preserve"> </w:t>
      </w:r>
      <w:r>
        <w:rPr>
          <w:sz w:val="18"/>
        </w:rPr>
        <w:t>Australia's</w:t>
      </w:r>
      <w:r>
        <w:rPr>
          <w:spacing w:val="-5"/>
          <w:sz w:val="18"/>
        </w:rPr>
        <w:t xml:space="preserve"> </w:t>
      </w:r>
      <w:r>
        <w:rPr>
          <w:sz w:val="18"/>
        </w:rPr>
        <w:t>first</w:t>
      </w:r>
      <w:r>
        <w:rPr>
          <w:spacing w:val="-5"/>
          <w:sz w:val="18"/>
        </w:rPr>
        <w:t xml:space="preserve"> </w:t>
      </w:r>
      <w:r>
        <w:rPr>
          <w:sz w:val="18"/>
        </w:rPr>
        <w:t>written</w:t>
      </w:r>
      <w:r>
        <w:rPr>
          <w:spacing w:val="-2"/>
          <w:sz w:val="18"/>
        </w:rPr>
        <w:t xml:space="preserve"> </w:t>
      </w:r>
      <w:r>
        <w:rPr>
          <w:sz w:val="18"/>
        </w:rPr>
        <w:t>submission,</w:t>
      </w:r>
      <w:r>
        <w:rPr>
          <w:spacing w:val="1"/>
          <w:sz w:val="18"/>
        </w:rPr>
        <w:t xml:space="preserve"> </w:t>
      </w:r>
      <w:r>
        <w:rPr>
          <w:sz w:val="18"/>
        </w:rPr>
        <w:t>para.</w:t>
      </w:r>
      <w:r>
        <w:rPr>
          <w:spacing w:val="-5"/>
          <w:sz w:val="18"/>
        </w:rPr>
        <w:t xml:space="preserve"> </w:t>
      </w:r>
      <w:r>
        <w:rPr>
          <w:sz w:val="18"/>
        </w:rPr>
        <w:t>700,</w:t>
      </w:r>
      <w:r>
        <w:rPr>
          <w:spacing w:val="-4"/>
          <w:sz w:val="18"/>
        </w:rPr>
        <w:t xml:space="preserve"> </w:t>
      </w:r>
      <w:proofErr w:type="spellStart"/>
      <w:r>
        <w:rPr>
          <w:sz w:val="18"/>
        </w:rPr>
        <w:t>fn</w:t>
      </w:r>
      <w:proofErr w:type="spellEnd"/>
      <w:r>
        <w:rPr>
          <w:spacing w:val="-2"/>
          <w:sz w:val="18"/>
        </w:rPr>
        <w:t xml:space="preserve"> </w:t>
      </w:r>
      <w:r>
        <w:rPr>
          <w:spacing w:val="-4"/>
          <w:sz w:val="18"/>
        </w:rPr>
        <w:t>845.</w:t>
      </w:r>
    </w:p>
    <w:p w14:paraId="4ED22869" w14:textId="77777777" w:rsidR="00BD462C" w:rsidRDefault="00BD462C">
      <w:pPr>
        <w:jc w:val="both"/>
        <w:rPr>
          <w:sz w:val="18"/>
        </w:rPr>
        <w:sectPr w:rsidR="00BD462C">
          <w:pgSz w:w="11910" w:h="16840"/>
          <w:pgMar w:top="860" w:right="500" w:bottom="780" w:left="1280" w:header="566" w:footer="590" w:gutter="0"/>
          <w:cols w:space="720"/>
        </w:sectPr>
      </w:pPr>
    </w:p>
    <w:p w14:paraId="6F651C2F"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14F72153"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67C63681"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3A25EC66" w14:textId="77777777" w:rsidR="00BD462C" w:rsidRDefault="00033D0F">
      <w:pPr>
        <w:pStyle w:val="ListParagraph"/>
        <w:numPr>
          <w:ilvl w:val="1"/>
          <w:numId w:val="32"/>
        </w:numPr>
        <w:tabs>
          <w:tab w:val="left" w:pos="3539"/>
          <w:tab w:val="left" w:pos="3540"/>
        </w:tabs>
        <w:spacing w:before="102"/>
        <w:ind w:hanging="851"/>
        <w:rPr>
          <w:sz w:val="24"/>
        </w:rPr>
      </w:pPr>
      <w:bookmarkStart w:id="1266" w:name="(c)_Exchange_rates"/>
      <w:bookmarkEnd w:id="1266"/>
      <w:r>
        <w:rPr>
          <w:sz w:val="24"/>
          <w:u w:val="single"/>
        </w:rPr>
        <w:t>Exchange</w:t>
      </w:r>
      <w:r>
        <w:rPr>
          <w:spacing w:val="-5"/>
          <w:sz w:val="24"/>
          <w:u w:val="single"/>
        </w:rPr>
        <w:t xml:space="preserve"> </w:t>
      </w:r>
      <w:r>
        <w:rPr>
          <w:spacing w:val="-2"/>
          <w:sz w:val="24"/>
          <w:u w:val="single"/>
        </w:rPr>
        <w:t>rates</w:t>
      </w:r>
    </w:p>
    <w:p w14:paraId="5BEAD05B" w14:textId="77777777" w:rsidR="00BD462C" w:rsidRDefault="00BD462C">
      <w:pPr>
        <w:pStyle w:val="BodyText"/>
        <w:spacing w:before="7"/>
        <w:rPr>
          <w:sz w:val="20"/>
        </w:rPr>
      </w:pPr>
    </w:p>
    <w:p w14:paraId="5A4821F4" w14:textId="1F811B18" w:rsidR="00BD462C" w:rsidRDefault="003B71EA">
      <w:pPr>
        <w:pStyle w:val="BodyText"/>
        <w:spacing w:before="56" w:line="360" w:lineRule="auto"/>
        <w:ind w:left="135" w:right="912"/>
        <w:jc w:val="both"/>
      </w:pPr>
      <w:r>
        <w:rPr>
          <w:noProof/>
        </w:rPr>
        <w:t>597.</w:t>
      </w:r>
      <w:r w:rsidR="00033D0F">
        <w:rPr>
          <w:rFonts w:ascii="Times New Roman"/>
          <w:spacing w:val="80"/>
          <w:position w:val="1"/>
          <w:sz w:val="20"/>
        </w:rPr>
        <w:t xml:space="preserve">  </w:t>
      </w:r>
      <w:r w:rsidR="00033D0F">
        <w:rPr>
          <w:position w:val="1"/>
        </w:rPr>
        <w:t xml:space="preserve">Australia's position is that exchange rates were a "known factor" that had the </w:t>
      </w:r>
      <w:r w:rsidR="00033D0F">
        <w:t xml:space="preserve">potential to cause injury to the domestic industry. As a result, MOFCOM needed to assess, </w:t>
      </w:r>
      <w:proofErr w:type="gramStart"/>
      <w:r w:rsidR="00033D0F">
        <w:t>separate</w:t>
      </w:r>
      <w:proofErr w:type="gramEnd"/>
      <w:r w:rsidR="00033D0F">
        <w:t xml:space="preserve"> and distinguish any injury being caused to the domestic industry by exchange rate fluctuations</w:t>
      </w:r>
      <w:r w:rsidR="00033D0F">
        <w:rPr>
          <w:spacing w:val="-1"/>
        </w:rPr>
        <w:t xml:space="preserve"> </w:t>
      </w:r>
      <w:r w:rsidR="00033D0F">
        <w:t>and</w:t>
      </w:r>
      <w:r w:rsidR="00033D0F">
        <w:rPr>
          <w:spacing w:val="-4"/>
        </w:rPr>
        <w:t xml:space="preserve"> </w:t>
      </w:r>
      <w:r w:rsidR="00033D0F">
        <w:t>separate</w:t>
      </w:r>
      <w:r w:rsidR="00033D0F">
        <w:rPr>
          <w:spacing w:val="-2"/>
        </w:rPr>
        <w:t xml:space="preserve"> </w:t>
      </w:r>
      <w:r w:rsidR="00033D0F">
        <w:t>such injury</w:t>
      </w:r>
      <w:r w:rsidR="00033D0F">
        <w:rPr>
          <w:spacing w:val="-1"/>
        </w:rPr>
        <w:t xml:space="preserve"> </w:t>
      </w:r>
      <w:r w:rsidR="00033D0F">
        <w:t>from</w:t>
      </w:r>
      <w:r w:rsidR="00033D0F">
        <w:rPr>
          <w:spacing w:val="-3"/>
        </w:rPr>
        <w:t xml:space="preserve"> </w:t>
      </w:r>
      <w:r w:rsidR="00033D0F">
        <w:t>the injury</w:t>
      </w:r>
      <w:r w:rsidR="00033D0F">
        <w:rPr>
          <w:spacing w:val="-1"/>
        </w:rPr>
        <w:t xml:space="preserve"> </w:t>
      </w:r>
      <w:r w:rsidR="00033D0F">
        <w:t>said</w:t>
      </w:r>
      <w:r w:rsidR="00033D0F">
        <w:rPr>
          <w:spacing w:val="-4"/>
        </w:rPr>
        <w:t xml:space="preserve"> </w:t>
      </w:r>
      <w:r w:rsidR="00033D0F">
        <w:t>to</w:t>
      </w:r>
      <w:r w:rsidR="00033D0F">
        <w:rPr>
          <w:spacing w:val="-5"/>
        </w:rPr>
        <w:t xml:space="preserve"> </w:t>
      </w:r>
      <w:r w:rsidR="00033D0F">
        <w:t>have</w:t>
      </w:r>
      <w:r w:rsidR="00033D0F">
        <w:rPr>
          <w:spacing w:val="-2"/>
        </w:rPr>
        <w:t xml:space="preserve"> </w:t>
      </w:r>
      <w:r w:rsidR="00033D0F">
        <w:t>been caused by</w:t>
      </w:r>
      <w:r w:rsidR="00033D0F">
        <w:rPr>
          <w:spacing w:val="-1"/>
        </w:rPr>
        <w:t xml:space="preserve"> </w:t>
      </w:r>
      <w:r w:rsidR="00033D0F">
        <w:t>the</w:t>
      </w:r>
      <w:r w:rsidR="00033D0F">
        <w:rPr>
          <w:spacing w:val="-3"/>
        </w:rPr>
        <w:t xml:space="preserve"> </w:t>
      </w:r>
      <w:r w:rsidR="00033D0F">
        <w:t>subject imports through the effects of dumping. China's position appears to be that: (i) Australia's argument should fail because it is speculative and does not establish that exchange rates in fact caused injury;</w:t>
      </w:r>
      <w:hyperlink w:anchor="_bookmark1094" w:history="1">
        <w:r w:rsidR="00033D0F">
          <w:rPr>
            <w:vertAlign w:val="superscript"/>
          </w:rPr>
          <w:t>942</w:t>
        </w:r>
      </w:hyperlink>
      <w:r w:rsidR="00033D0F">
        <w:t xml:space="preserve"> (ii) MOFCOM was not required to consider exchange rates as an "other factor";</w:t>
      </w:r>
      <w:hyperlink w:anchor="_bookmark1095" w:history="1">
        <w:r w:rsidR="00033D0F">
          <w:rPr>
            <w:vertAlign w:val="superscript"/>
          </w:rPr>
          <w:t>943</w:t>
        </w:r>
      </w:hyperlink>
      <w:r w:rsidR="00033D0F">
        <w:rPr>
          <w:spacing w:val="-3"/>
        </w:rPr>
        <w:t xml:space="preserve"> </w:t>
      </w:r>
      <w:r w:rsidR="00033D0F">
        <w:t>and</w:t>
      </w:r>
      <w:r w:rsidR="00033D0F">
        <w:rPr>
          <w:spacing w:val="-5"/>
        </w:rPr>
        <w:t xml:space="preserve"> </w:t>
      </w:r>
      <w:r w:rsidR="00033D0F">
        <w:t>(iii)</w:t>
      </w:r>
      <w:r w:rsidR="00033D0F">
        <w:rPr>
          <w:spacing w:val="-5"/>
        </w:rPr>
        <w:t xml:space="preserve"> </w:t>
      </w:r>
      <w:r w:rsidR="00033D0F">
        <w:t>in</w:t>
      </w:r>
      <w:r w:rsidR="00033D0F">
        <w:rPr>
          <w:spacing w:val="-5"/>
        </w:rPr>
        <w:t xml:space="preserve"> </w:t>
      </w:r>
      <w:r w:rsidR="00033D0F">
        <w:t>any</w:t>
      </w:r>
      <w:r w:rsidR="00033D0F">
        <w:rPr>
          <w:spacing w:val="-2"/>
        </w:rPr>
        <w:t xml:space="preserve"> </w:t>
      </w:r>
      <w:r w:rsidR="00033D0F">
        <w:t>event,</w:t>
      </w:r>
      <w:r w:rsidR="00033D0F">
        <w:rPr>
          <w:spacing w:val="-1"/>
        </w:rPr>
        <w:t xml:space="preserve"> </w:t>
      </w:r>
      <w:r w:rsidR="00033D0F">
        <w:t>MOFCOM</w:t>
      </w:r>
      <w:r w:rsidR="00033D0F">
        <w:rPr>
          <w:spacing w:val="-3"/>
        </w:rPr>
        <w:t xml:space="preserve"> </w:t>
      </w:r>
      <w:r w:rsidR="00033D0F">
        <w:t>did</w:t>
      </w:r>
      <w:r w:rsidR="00033D0F">
        <w:rPr>
          <w:spacing w:val="-5"/>
        </w:rPr>
        <w:t xml:space="preserve"> </w:t>
      </w:r>
      <w:r w:rsidR="00033D0F">
        <w:t>examine</w:t>
      </w:r>
      <w:r w:rsidR="00033D0F">
        <w:rPr>
          <w:spacing w:val="-4"/>
        </w:rPr>
        <w:t xml:space="preserve"> </w:t>
      </w:r>
      <w:r w:rsidR="00033D0F">
        <w:t>the</w:t>
      </w:r>
      <w:r w:rsidR="00033D0F">
        <w:rPr>
          <w:spacing w:val="-4"/>
        </w:rPr>
        <w:t xml:space="preserve"> </w:t>
      </w:r>
      <w:r w:rsidR="00033D0F">
        <w:t>impact</w:t>
      </w:r>
      <w:r w:rsidR="00033D0F">
        <w:rPr>
          <w:spacing w:val="-3"/>
        </w:rPr>
        <w:t xml:space="preserve"> </w:t>
      </w:r>
      <w:r w:rsidR="00033D0F">
        <w:t>of</w:t>
      </w:r>
      <w:r w:rsidR="00033D0F">
        <w:rPr>
          <w:spacing w:val="-5"/>
        </w:rPr>
        <w:t xml:space="preserve"> </w:t>
      </w:r>
      <w:r w:rsidR="00033D0F">
        <w:t>exchange</w:t>
      </w:r>
      <w:r w:rsidR="00033D0F">
        <w:rPr>
          <w:spacing w:val="-3"/>
        </w:rPr>
        <w:t xml:space="preserve"> </w:t>
      </w:r>
      <w:r w:rsidR="00033D0F">
        <w:t>rates</w:t>
      </w:r>
      <w:r w:rsidR="00033D0F">
        <w:rPr>
          <w:spacing w:val="-2"/>
        </w:rPr>
        <w:t xml:space="preserve"> </w:t>
      </w:r>
      <w:r w:rsidR="00033D0F">
        <w:t>and</w:t>
      </w:r>
      <w:r w:rsidR="00033D0F">
        <w:rPr>
          <w:spacing w:val="-5"/>
        </w:rPr>
        <w:t xml:space="preserve"> </w:t>
      </w:r>
      <w:r w:rsidR="00033D0F">
        <w:t>was justified in dismissing them on the basis that they did not "negate the causal link" between subject imports and injury.</w:t>
      </w:r>
      <w:hyperlink w:anchor="_bookmark1096" w:history="1">
        <w:r w:rsidR="00033D0F">
          <w:rPr>
            <w:vertAlign w:val="superscript"/>
          </w:rPr>
          <w:t>944</w:t>
        </w:r>
      </w:hyperlink>
      <w:r w:rsidR="00033D0F">
        <w:t xml:space="preserve"> This creates two key differences between the parties.</w:t>
      </w:r>
    </w:p>
    <w:p w14:paraId="1C4B60E3" w14:textId="77777777" w:rsidR="00BD462C" w:rsidRDefault="00BD462C">
      <w:pPr>
        <w:pStyle w:val="BodyText"/>
        <w:spacing w:before="7"/>
        <w:rPr>
          <w:sz w:val="8"/>
        </w:rPr>
      </w:pPr>
    </w:p>
    <w:p w14:paraId="12D0B6BD" w14:textId="22DCF644" w:rsidR="00BD462C" w:rsidRDefault="003B71EA">
      <w:pPr>
        <w:pStyle w:val="BodyText"/>
        <w:spacing w:before="56" w:line="360" w:lineRule="auto"/>
        <w:ind w:left="135" w:right="913"/>
        <w:jc w:val="both"/>
      </w:pPr>
      <w:r>
        <w:rPr>
          <w:noProof/>
        </w:rPr>
        <w:t>598.</w:t>
      </w:r>
      <w:r w:rsidR="00033D0F">
        <w:rPr>
          <w:rFonts w:ascii="Times New Roman" w:hAnsi="Times New Roman"/>
          <w:spacing w:val="80"/>
          <w:position w:val="1"/>
          <w:sz w:val="20"/>
        </w:rPr>
        <w:t xml:space="preserve">   </w:t>
      </w:r>
      <w:r w:rsidR="00033D0F">
        <w:rPr>
          <w:position w:val="1"/>
        </w:rPr>
        <w:t>First,</w:t>
      </w:r>
      <w:r w:rsidR="00033D0F">
        <w:rPr>
          <w:spacing w:val="-5"/>
          <w:position w:val="1"/>
        </w:rPr>
        <w:t xml:space="preserve"> </w:t>
      </w:r>
      <w:r w:rsidR="00033D0F">
        <w:rPr>
          <w:position w:val="1"/>
        </w:rPr>
        <w:t>China</w:t>
      </w:r>
      <w:r w:rsidR="00033D0F">
        <w:rPr>
          <w:spacing w:val="-3"/>
          <w:position w:val="1"/>
        </w:rPr>
        <w:t xml:space="preserve"> </w:t>
      </w:r>
      <w:r w:rsidR="00033D0F">
        <w:rPr>
          <w:position w:val="1"/>
        </w:rPr>
        <w:t>appears</w:t>
      </w:r>
      <w:r w:rsidR="00033D0F">
        <w:rPr>
          <w:spacing w:val="-1"/>
          <w:position w:val="1"/>
        </w:rPr>
        <w:t xml:space="preserve"> </w:t>
      </w:r>
      <w:r w:rsidR="00033D0F">
        <w:rPr>
          <w:position w:val="1"/>
        </w:rPr>
        <w:t>to</w:t>
      </w:r>
      <w:r w:rsidR="00033D0F">
        <w:rPr>
          <w:spacing w:val="-5"/>
          <w:position w:val="1"/>
        </w:rPr>
        <w:t xml:space="preserve"> </w:t>
      </w:r>
      <w:r w:rsidR="00033D0F">
        <w:rPr>
          <w:position w:val="1"/>
        </w:rPr>
        <w:t>argue</w:t>
      </w:r>
      <w:r w:rsidR="00033D0F">
        <w:rPr>
          <w:spacing w:val="-3"/>
          <w:position w:val="1"/>
        </w:rPr>
        <w:t xml:space="preserve"> </w:t>
      </w:r>
      <w:r w:rsidR="00033D0F">
        <w:rPr>
          <w:position w:val="1"/>
        </w:rPr>
        <w:t>that</w:t>
      </w:r>
      <w:r w:rsidR="00033D0F">
        <w:rPr>
          <w:spacing w:val="-2"/>
          <w:position w:val="1"/>
        </w:rPr>
        <w:t xml:space="preserve"> </w:t>
      </w:r>
      <w:r w:rsidR="00033D0F">
        <w:rPr>
          <w:position w:val="1"/>
        </w:rPr>
        <w:t>MOFCOM</w:t>
      </w:r>
      <w:r w:rsidR="00033D0F">
        <w:rPr>
          <w:spacing w:val="-2"/>
          <w:position w:val="1"/>
        </w:rPr>
        <w:t xml:space="preserve"> </w:t>
      </w:r>
      <w:r w:rsidR="00033D0F">
        <w:rPr>
          <w:position w:val="1"/>
        </w:rPr>
        <w:t>did</w:t>
      </w:r>
      <w:r w:rsidR="00033D0F">
        <w:rPr>
          <w:spacing w:val="-4"/>
          <w:position w:val="1"/>
        </w:rPr>
        <w:t xml:space="preserve"> </w:t>
      </w:r>
      <w:r w:rsidR="00033D0F">
        <w:rPr>
          <w:position w:val="1"/>
        </w:rPr>
        <w:t>not</w:t>
      </w:r>
      <w:r w:rsidR="00033D0F">
        <w:rPr>
          <w:spacing w:val="-2"/>
          <w:position w:val="1"/>
        </w:rPr>
        <w:t xml:space="preserve"> </w:t>
      </w:r>
      <w:r w:rsidR="00033D0F">
        <w:rPr>
          <w:position w:val="1"/>
        </w:rPr>
        <w:t>need</w:t>
      </w:r>
      <w:r w:rsidR="00033D0F">
        <w:rPr>
          <w:spacing w:val="-4"/>
          <w:position w:val="1"/>
        </w:rPr>
        <w:t xml:space="preserve"> </w:t>
      </w:r>
      <w:r w:rsidR="00033D0F">
        <w:rPr>
          <w:position w:val="1"/>
        </w:rPr>
        <w:t>to</w:t>
      </w:r>
      <w:r w:rsidR="00033D0F">
        <w:rPr>
          <w:spacing w:val="-5"/>
          <w:position w:val="1"/>
        </w:rPr>
        <w:t xml:space="preserve"> </w:t>
      </w:r>
      <w:r w:rsidR="00033D0F">
        <w:rPr>
          <w:position w:val="1"/>
        </w:rPr>
        <w:t>consider</w:t>
      </w:r>
      <w:r w:rsidR="00033D0F">
        <w:rPr>
          <w:spacing w:val="-5"/>
          <w:position w:val="1"/>
        </w:rPr>
        <w:t xml:space="preserve"> </w:t>
      </w:r>
      <w:r w:rsidR="00033D0F">
        <w:rPr>
          <w:position w:val="1"/>
        </w:rPr>
        <w:t>exchange</w:t>
      </w:r>
      <w:r w:rsidR="00033D0F">
        <w:rPr>
          <w:spacing w:val="-2"/>
          <w:position w:val="1"/>
        </w:rPr>
        <w:t xml:space="preserve"> </w:t>
      </w:r>
      <w:r w:rsidR="00033D0F">
        <w:rPr>
          <w:position w:val="1"/>
        </w:rPr>
        <w:t xml:space="preserve">rates </w:t>
      </w:r>
      <w:r w:rsidR="00033D0F">
        <w:t>as a non-attribution factor because it is not an "other factor" causing injury. Australia rejects this argument. Exchange rates are clearly capable of being an "other factor" that is separate from</w:t>
      </w:r>
      <w:r w:rsidR="00033D0F">
        <w:rPr>
          <w:spacing w:val="-3"/>
        </w:rPr>
        <w:t xml:space="preserve"> </w:t>
      </w:r>
      <w:r w:rsidR="00033D0F">
        <w:t>the subject</w:t>
      </w:r>
      <w:r w:rsidR="00033D0F">
        <w:rPr>
          <w:spacing w:val="-2"/>
        </w:rPr>
        <w:t xml:space="preserve"> </w:t>
      </w:r>
      <w:r w:rsidR="00033D0F">
        <w:t>imports.</w:t>
      </w:r>
      <w:r w:rsidR="00033D0F">
        <w:rPr>
          <w:spacing w:val="-1"/>
        </w:rPr>
        <w:t xml:space="preserve"> </w:t>
      </w:r>
      <w:r w:rsidR="00033D0F">
        <w:t>This</w:t>
      </w:r>
      <w:r w:rsidR="00033D0F">
        <w:rPr>
          <w:spacing w:val="-1"/>
        </w:rPr>
        <w:t xml:space="preserve"> </w:t>
      </w:r>
      <w:r w:rsidR="00033D0F">
        <w:t>is</w:t>
      </w:r>
      <w:r w:rsidR="00033D0F">
        <w:rPr>
          <w:spacing w:val="-1"/>
        </w:rPr>
        <w:t xml:space="preserve"> </w:t>
      </w:r>
      <w:r w:rsidR="00033D0F">
        <w:t>because</w:t>
      </w:r>
      <w:r w:rsidR="00033D0F">
        <w:rPr>
          <w:spacing w:val="-2"/>
        </w:rPr>
        <w:t xml:space="preserve"> </w:t>
      </w:r>
      <w:r w:rsidR="00033D0F">
        <w:t>fluctuations</w:t>
      </w:r>
      <w:r w:rsidR="00033D0F">
        <w:rPr>
          <w:spacing w:val="-1"/>
        </w:rPr>
        <w:t xml:space="preserve"> </w:t>
      </w:r>
      <w:r w:rsidR="00033D0F">
        <w:t>in</w:t>
      </w:r>
      <w:r w:rsidR="00033D0F">
        <w:rPr>
          <w:spacing w:val="-4"/>
        </w:rPr>
        <w:t xml:space="preserve"> </w:t>
      </w:r>
      <w:r w:rsidR="00033D0F">
        <w:t>the</w:t>
      </w:r>
      <w:r w:rsidR="00033D0F">
        <w:rPr>
          <w:spacing w:val="-3"/>
        </w:rPr>
        <w:t xml:space="preserve"> </w:t>
      </w:r>
      <w:r w:rsidR="00033D0F">
        <w:t>exchange</w:t>
      </w:r>
      <w:r w:rsidR="00033D0F">
        <w:rPr>
          <w:spacing w:val="-2"/>
        </w:rPr>
        <w:t xml:space="preserve"> </w:t>
      </w:r>
      <w:r w:rsidR="00033D0F">
        <w:t>rate</w:t>
      </w:r>
      <w:r w:rsidR="00033D0F">
        <w:rPr>
          <w:spacing w:val="-2"/>
        </w:rPr>
        <w:t xml:space="preserve"> </w:t>
      </w:r>
      <w:r w:rsidR="00033D0F">
        <w:t>have</w:t>
      </w:r>
      <w:r w:rsidR="00033D0F">
        <w:rPr>
          <w:spacing w:val="-2"/>
        </w:rPr>
        <w:t xml:space="preserve"> </w:t>
      </w:r>
      <w:r w:rsidR="00033D0F">
        <w:t>the</w:t>
      </w:r>
      <w:r w:rsidR="00033D0F">
        <w:rPr>
          <w:spacing w:val="-3"/>
        </w:rPr>
        <w:t xml:space="preserve"> </w:t>
      </w:r>
      <w:r w:rsidR="00033D0F">
        <w:t>ability</w:t>
      </w:r>
      <w:r w:rsidR="00033D0F">
        <w:rPr>
          <w:spacing w:val="-1"/>
        </w:rPr>
        <w:t xml:space="preserve"> </w:t>
      </w:r>
      <w:r w:rsidR="00033D0F">
        <w:t xml:space="preserve">to bring about price changes in subject imports that are entirely separate to the alleged effects of dumping. Contrary to China's assertions, </w:t>
      </w:r>
      <w:r w:rsidR="00033D0F">
        <w:rPr>
          <w:i/>
        </w:rPr>
        <w:t xml:space="preserve">EU – Footwear (China) </w:t>
      </w:r>
      <w:r w:rsidR="00033D0F">
        <w:t>is not authority for the proposition</w:t>
      </w:r>
      <w:r w:rsidR="00033D0F">
        <w:rPr>
          <w:spacing w:val="-13"/>
        </w:rPr>
        <w:t xml:space="preserve"> </w:t>
      </w:r>
      <w:r w:rsidR="00033D0F">
        <w:t>that</w:t>
      </w:r>
      <w:r w:rsidR="00033D0F">
        <w:rPr>
          <w:spacing w:val="-10"/>
        </w:rPr>
        <w:t xml:space="preserve"> </w:t>
      </w:r>
      <w:r w:rsidR="00033D0F">
        <w:t>exchange</w:t>
      </w:r>
      <w:r w:rsidR="00033D0F">
        <w:rPr>
          <w:spacing w:val="-11"/>
        </w:rPr>
        <w:t xml:space="preserve"> </w:t>
      </w:r>
      <w:r w:rsidR="00033D0F">
        <w:t>rates</w:t>
      </w:r>
      <w:r w:rsidR="00033D0F">
        <w:rPr>
          <w:spacing w:val="-9"/>
        </w:rPr>
        <w:t xml:space="preserve"> </w:t>
      </w:r>
      <w:r w:rsidR="00033D0F">
        <w:t>can</w:t>
      </w:r>
      <w:r w:rsidR="00033D0F">
        <w:rPr>
          <w:spacing w:val="-8"/>
        </w:rPr>
        <w:t xml:space="preserve"> </w:t>
      </w:r>
      <w:r w:rsidR="00033D0F">
        <w:t>never</w:t>
      </w:r>
      <w:r w:rsidR="00033D0F">
        <w:rPr>
          <w:spacing w:val="-9"/>
        </w:rPr>
        <w:t xml:space="preserve"> </w:t>
      </w:r>
      <w:r w:rsidR="00033D0F">
        <w:t>be</w:t>
      </w:r>
      <w:r w:rsidR="00033D0F">
        <w:rPr>
          <w:spacing w:val="-11"/>
        </w:rPr>
        <w:t xml:space="preserve"> </w:t>
      </w:r>
      <w:r w:rsidR="00033D0F">
        <w:t>a</w:t>
      </w:r>
      <w:r w:rsidR="00033D0F">
        <w:rPr>
          <w:spacing w:val="-7"/>
        </w:rPr>
        <w:t xml:space="preserve"> </w:t>
      </w:r>
      <w:r w:rsidR="00033D0F">
        <w:t>factor</w:t>
      </w:r>
      <w:r w:rsidR="00033D0F">
        <w:rPr>
          <w:spacing w:val="-14"/>
        </w:rPr>
        <w:t xml:space="preserve"> </w:t>
      </w:r>
      <w:r w:rsidR="00033D0F">
        <w:t>causing</w:t>
      </w:r>
      <w:r w:rsidR="00033D0F">
        <w:rPr>
          <w:spacing w:val="-9"/>
        </w:rPr>
        <w:t xml:space="preserve"> </w:t>
      </w:r>
      <w:r w:rsidR="00033D0F">
        <w:t>injury.</w:t>
      </w:r>
      <w:hyperlink w:anchor="_bookmark1097" w:history="1">
        <w:r w:rsidR="00033D0F">
          <w:rPr>
            <w:vertAlign w:val="superscript"/>
          </w:rPr>
          <w:t>945</w:t>
        </w:r>
      </w:hyperlink>
      <w:r w:rsidR="00033D0F">
        <w:rPr>
          <w:spacing w:val="-10"/>
        </w:rPr>
        <w:t xml:space="preserve"> </w:t>
      </w:r>
      <w:r w:rsidR="00033D0F">
        <w:t>Rather,</w:t>
      </w:r>
      <w:r w:rsidR="00033D0F">
        <w:rPr>
          <w:spacing w:val="-9"/>
        </w:rPr>
        <w:t xml:space="preserve"> </w:t>
      </w:r>
      <w:r w:rsidR="00033D0F">
        <w:rPr>
          <w:i/>
        </w:rPr>
        <w:t>EU</w:t>
      </w:r>
      <w:r w:rsidR="00033D0F">
        <w:rPr>
          <w:i/>
          <w:spacing w:val="-7"/>
        </w:rPr>
        <w:t xml:space="preserve"> </w:t>
      </w:r>
      <w:r w:rsidR="00033D0F">
        <w:rPr>
          <w:i/>
        </w:rPr>
        <w:t>–</w:t>
      </w:r>
      <w:r w:rsidR="00033D0F">
        <w:rPr>
          <w:i/>
          <w:spacing w:val="-6"/>
        </w:rPr>
        <w:t xml:space="preserve"> </w:t>
      </w:r>
      <w:r w:rsidR="00033D0F">
        <w:rPr>
          <w:i/>
        </w:rPr>
        <w:t xml:space="preserve">Footwear (China) </w:t>
      </w:r>
      <w:r w:rsidR="00033D0F">
        <w:t>concerned a circumstance, where exchange rates were raised, the investigating authority properly assessed them and determined on the basis of available evidence in that case, that they were not a factor that was causing injury to the domestic industry.</w:t>
      </w:r>
      <w:hyperlink w:anchor="_bookmark1098" w:history="1">
        <w:r w:rsidR="00033D0F">
          <w:rPr>
            <w:vertAlign w:val="superscript"/>
          </w:rPr>
          <w:t>946</w:t>
        </w:r>
      </w:hyperlink>
      <w:r w:rsidR="00033D0F">
        <w:t xml:space="preserve"> This is fundamentally different to this case, where there is nothing to suggest MOFCOM actually considered the impact of exchange rates at all.</w:t>
      </w:r>
    </w:p>
    <w:p w14:paraId="6BFF3511" w14:textId="77777777" w:rsidR="00BD462C" w:rsidRDefault="00BD462C">
      <w:pPr>
        <w:pStyle w:val="BodyText"/>
        <w:spacing w:before="6"/>
        <w:rPr>
          <w:sz w:val="8"/>
        </w:rPr>
      </w:pPr>
    </w:p>
    <w:p w14:paraId="38A3C729" w14:textId="55B32A02" w:rsidR="00BD462C" w:rsidRDefault="003B71EA">
      <w:pPr>
        <w:pStyle w:val="BodyText"/>
        <w:spacing w:before="56" w:line="357" w:lineRule="auto"/>
        <w:ind w:left="136" w:right="919"/>
        <w:jc w:val="both"/>
      </w:pPr>
      <w:r>
        <w:rPr>
          <w:noProof/>
        </w:rPr>
        <w:t>599.</w:t>
      </w:r>
      <w:r w:rsidR="00033D0F">
        <w:rPr>
          <w:rFonts w:ascii="Times New Roman"/>
          <w:spacing w:val="40"/>
          <w:position w:val="1"/>
          <w:sz w:val="20"/>
        </w:rPr>
        <w:t xml:space="preserve">  </w:t>
      </w:r>
      <w:r w:rsidR="00033D0F">
        <w:rPr>
          <w:position w:val="1"/>
        </w:rPr>
        <w:t xml:space="preserve">Second, contrary to China's allegation, Australia has established a </w:t>
      </w:r>
      <w:r w:rsidR="00033D0F">
        <w:rPr>
          <w:i/>
          <w:position w:val="1"/>
        </w:rPr>
        <w:t xml:space="preserve">prima facie </w:t>
      </w:r>
      <w:r w:rsidR="00033D0F">
        <w:rPr>
          <w:position w:val="1"/>
        </w:rPr>
        <w:t xml:space="preserve">case. </w:t>
      </w:r>
      <w:r w:rsidR="00033D0F">
        <w:t>Australia</w:t>
      </w:r>
      <w:r w:rsidR="00033D0F">
        <w:rPr>
          <w:spacing w:val="-12"/>
        </w:rPr>
        <w:t xml:space="preserve"> </w:t>
      </w:r>
      <w:r w:rsidR="00033D0F">
        <w:t>has</w:t>
      </w:r>
      <w:r w:rsidR="00033D0F">
        <w:rPr>
          <w:spacing w:val="-10"/>
        </w:rPr>
        <w:t xml:space="preserve"> </w:t>
      </w:r>
      <w:r w:rsidR="00033D0F">
        <w:t>shown</w:t>
      </w:r>
      <w:r w:rsidR="00033D0F">
        <w:rPr>
          <w:spacing w:val="-14"/>
        </w:rPr>
        <w:t xml:space="preserve"> </w:t>
      </w:r>
      <w:r w:rsidR="00033D0F">
        <w:t>that</w:t>
      </w:r>
      <w:r w:rsidR="00033D0F">
        <w:rPr>
          <w:spacing w:val="-10"/>
        </w:rPr>
        <w:t xml:space="preserve"> </w:t>
      </w:r>
      <w:r w:rsidR="00033D0F">
        <w:t>exchange</w:t>
      </w:r>
      <w:r w:rsidR="00033D0F">
        <w:rPr>
          <w:spacing w:val="-12"/>
        </w:rPr>
        <w:t xml:space="preserve"> </w:t>
      </w:r>
      <w:r w:rsidR="00033D0F">
        <w:t>rates</w:t>
      </w:r>
      <w:r w:rsidR="00033D0F">
        <w:rPr>
          <w:spacing w:val="-10"/>
        </w:rPr>
        <w:t xml:space="preserve"> </w:t>
      </w:r>
      <w:r w:rsidR="00033D0F">
        <w:t>were</w:t>
      </w:r>
      <w:r w:rsidR="00033D0F">
        <w:rPr>
          <w:spacing w:val="-7"/>
        </w:rPr>
        <w:t xml:space="preserve"> </w:t>
      </w:r>
      <w:r w:rsidR="00033D0F">
        <w:t>raised</w:t>
      </w:r>
      <w:r w:rsidR="00033D0F">
        <w:rPr>
          <w:spacing w:val="-14"/>
        </w:rPr>
        <w:t xml:space="preserve"> </w:t>
      </w:r>
      <w:r w:rsidR="00033D0F">
        <w:t>as</w:t>
      </w:r>
      <w:r w:rsidR="00033D0F">
        <w:rPr>
          <w:spacing w:val="-9"/>
        </w:rPr>
        <w:t xml:space="preserve"> </w:t>
      </w:r>
      <w:r w:rsidR="00033D0F">
        <w:t>a</w:t>
      </w:r>
      <w:r w:rsidR="00033D0F">
        <w:rPr>
          <w:spacing w:val="-8"/>
        </w:rPr>
        <w:t xml:space="preserve"> </w:t>
      </w:r>
      <w:r w:rsidR="00033D0F">
        <w:t>factor</w:t>
      </w:r>
      <w:r w:rsidR="00033D0F">
        <w:rPr>
          <w:spacing w:val="-10"/>
        </w:rPr>
        <w:t xml:space="preserve"> </w:t>
      </w:r>
      <w:r w:rsidR="00033D0F">
        <w:t>causing</w:t>
      </w:r>
      <w:r w:rsidR="00033D0F">
        <w:rPr>
          <w:spacing w:val="-11"/>
        </w:rPr>
        <w:t xml:space="preserve"> </w:t>
      </w:r>
      <w:r w:rsidR="00033D0F">
        <w:t>injury</w:t>
      </w:r>
      <w:r w:rsidR="00033D0F">
        <w:rPr>
          <w:spacing w:val="-11"/>
        </w:rPr>
        <w:t xml:space="preserve"> </w:t>
      </w:r>
      <w:r w:rsidR="00033D0F">
        <w:t>to</w:t>
      </w:r>
      <w:r w:rsidR="00033D0F">
        <w:rPr>
          <w:spacing w:val="-10"/>
        </w:rPr>
        <w:t xml:space="preserve"> </w:t>
      </w:r>
      <w:r w:rsidR="00033D0F">
        <w:t>the</w:t>
      </w:r>
      <w:r w:rsidR="00033D0F">
        <w:rPr>
          <w:spacing w:val="-7"/>
        </w:rPr>
        <w:t xml:space="preserve"> </w:t>
      </w:r>
      <w:r w:rsidR="00033D0F">
        <w:t>domestic industry</w:t>
      </w:r>
      <w:r w:rsidR="00033D0F">
        <w:rPr>
          <w:spacing w:val="17"/>
        </w:rPr>
        <w:t xml:space="preserve"> </w:t>
      </w:r>
      <w:r w:rsidR="00033D0F">
        <w:t>during</w:t>
      </w:r>
      <w:r w:rsidR="00033D0F">
        <w:rPr>
          <w:spacing w:val="17"/>
        </w:rPr>
        <w:t xml:space="preserve"> </w:t>
      </w:r>
      <w:r w:rsidR="00033D0F">
        <w:t>the</w:t>
      </w:r>
      <w:r w:rsidR="00033D0F">
        <w:rPr>
          <w:spacing w:val="16"/>
        </w:rPr>
        <w:t xml:space="preserve"> </w:t>
      </w:r>
      <w:r w:rsidR="00033D0F">
        <w:t>investigation.</w:t>
      </w:r>
      <w:r w:rsidR="00033D0F">
        <w:rPr>
          <w:spacing w:val="17"/>
        </w:rPr>
        <w:t xml:space="preserve"> </w:t>
      </w:r>
      <w:r w:rsidR="00033D0F">
        <w:t>There</w:t>
      </w:r>
      <w:r w:rsidR="00033D0F">
        <w:rPr>
          <w:spacing w:val="16"/>
        </w:rPr>
        <w:t xml:space="preserve"> </w:t>
      </w:r>
      <w:r w:rsidR="00033D0F">
        <w:t>is</w:t>
      </w:r>
      <w:r w:rsidR="00033D0F">
        <w:rPr>
          <w:spacing w:val="17"/>
        </w:rPr>
        <w:t xml:space="preserve"> </w:t>
      </w:r>
      <w:r w:rsidR="00033D0F">
        <w:t>nothing</w:t>
      </w:r>
      <w:r w:rsidR="00033D0F">
        <w:rPr>
          <w:spacing w:val="17"/>
        </w:rPr>
        <w:t xml:space="preserve"> </w:t>
      </w:r>
      <w:r w:rsidR="00033D0F">
        <w:t>on the</w:t>
      </w:r>
      <w:r w:rsidR="00033D0F">
        <w:rPr>
          <w:spacing w:val="20"/>
        </w:rPr>
        <w:t xml:space="preserve"> </w:t>
      </w:r>
      <w:r w:rsidR="00033D0F">
        <w:t>investigation record</w:t>
      </w:r>
      <w:r w:rsidR="00033D0F">
        <w:rPr>
          <w:spacing w:val="19"/>
        </w:rPr>
        <w:t xml:space="preserve"> </w:t>
      </w:r>
      <w:r w:rsidR="00033D0F">
        <w:t>or</w:t>
      </w:r>
      <w:r w:rsidR="00033D0F">
        <w:rPr>
          <w:spacing w:val="18"/>
        </w:rPr>
        <w:t xml:space="preserve"> </w:t>
      </w:r>
      <w:r w:rsidR="00033D0F">
        <w:t>in China's</w:t>
      </w:r>
    </w:p>
    <w:p w14:paraId="7E1C3EA4" w14:textId="77777777" w:rsidR="00BD462C" w:rsidRDefault="00BD462C">
      <w:pPr>
        <w:pStyle w:val="BodyText"/>
        <w:rPr>
          <w:sz w:val="20"/>
        </w:rPr>
      </w:pPr>
    </w:p>
    <w:p w14:paraId="1C9C161D" w14:textId="3CE3AB4E" w:rsidR="00BD462C" w:rsidRDefault="00752F01">
      <w:pPr>
        <w:pStyle w:val="BodyText"/>
        <w:spacing w:before="9"/>
        <w:rPr>
          <w:sz w:val="26"/>
        </w:rPr>
      </w:pPr>
      <w:r>
        <w:rPr>
          <w:noProof/>
        </w:rPr>
        <mc:AlternateContent>
          <mc:Choice Requires="wps">
            <w:drawing>
              <wp:anchor distT="0" distB="0" distL="0" distR="0" simplePos="0" relativeHeight="488245760" behindDoc="1" locked="0" layoutInCell="1" allowOverlap="1" wp14:anchorId="052FA103" wp14:editId="0F40A31F">
                <wp:simplePos x="0" y="0"/>
                <wp:positionH relativeFrom="page">
                  <wp:posOffset>812800</wp:posOffset>
                </wp:positionH>
                <wp:positionV relativeFrom="paragraph">
                  <wp:posOffset>207645</wp:posOffset>
                </wp:positionV>
                <wp:extent cx="1828800" cy="8890"/>
                <wp:effectExtent l="0" t="0" r="0" b="0"/>
                <wp:wrapTopAndBottom/>
                <wp:docPr id="225" name="docshape6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63A689" id="docshape664" o:spid="_x0000_s1026" alt="&quot;&quot;" style="position:absolute;margin-left:64pt;margin-top:16.35pt;width:2in;height:.7pt;z-index:-1507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" fillcolor="black" stroked="f">
                <w10:wrap type="topAndBottom" anchorx="page"/>
              </v:rect>
            </w:pict>
          </mc:Fallback>
        </mc:AlternateContent>
      </w:r>
    </w:p>
    <w:p w14:paraId="2B0905D1" w14:textId="77777777" w:rsidR="00BD462C" w:rsidRDefault="00033D0F">
      <w:pPr>
        <w:spacing w:before="107"/>
        <w:ind w:left="135"/>
        <w:rPr>
          <w:sz w:val="18"/>
        </w:rPr>
      </w:pPr>
      <w:bookmarkStart w:id="1267" w:name="_bookmark1094"/>
      <w:bookmarkEnd w:id="1267"/>
      <w:r>
        <w:rPr>
          <w:position w:val="5"/>
          <w:sz w:val="12"/>
        </w:rPr>
        <w:t>942</w:t>
      </w:r>
      <w:r>
        <w:rPr>
          <w:spacing w:val="12"/>
          <w:position w:val="5"/>
          <w:sz w:val="12"/>
        </w:rPr>
        <w:t xml:space="preserve"> </w:t>
      </w:r>
      <w:r>
        <w:rPr>
          <w:sz w:val="18"/>
        </w:rPr>
        <w:t>China's</w:t>
      </w:r>
      <w:r>
        <w:rPr>
          <w:spacing w:val="-6"/>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 paras.</w:t>
      </w:r>
      <w:r>
        <w:rPr>
          <w:spacing w:val="-5"/>
          <w:sz w:val="18"/>
        </w:rPr>
        <w:t xml:space="preserve"> </w:t>
      </w:r>
      <w:r>
        <w:rPr>
          <w:sz w:val="18"/>
        </w:rPr>
        <w:t>1970-</w:t>
      </w:r>
      <w:r>
        <w:rPr>
          <w:spacing w:val="-2"/>
          <w:sz w:val="18"/>
        </w:rPr>
        <w:t>1975.</w:t>
      </w:r>
    </w:p>
    <w:p w14:paraId="1430EE02" w14:textId="77777777" w:rsidR="00BD462C" w:rsidRDefault="00033D0F">
      <w:pPr>
        <w:spacing w:before="1"/>
        <w:ind w:left="135"/>
        <w:rPr>
          <w:sz w:val="18"/>
        </w:rPr>
      </w:pPr>
      <w:bookmarkStart w:id="1268" w:name="_bookmark1095"/>
      <w:bookmarkEnd w:id="1268"/>
      <w:r>
        <w:rPr>
          <w:position w:val="5"/>
          <w:sz w:val="12"/>
        </w:rPr>
        <w:t>943</w:t>
      </w:r>
      <w:r>
        <w:rPr>
          <w:spacing w:val="12"/>
          <w:position w:val="5"/>
          <w:sz w:val="12"/>
        </w:rPr>
        <w:t xml:space="preserve"> </w:t>
      </w:r>
      <w:r>
        <w:rPr>
          <w:sz w:val="18"/>
        </w:rPr>
        <w:t>China's</w:t>
      </w:r>
      <w:r>
        <w:rPr>
          <w:spacing w:val="-6"/>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 paras.</w:t>
      </w:r>
      <w:r>
        <w:rPr>
          <w:spacing w:val="-5"/>
          <w:sz w:val="18"/>
        </w:rPr>
        <w:t xml:space="preserve"> </w:t>
      </w:r>
      <w:r>
        <w:rPr>
          <w:sz w:val="18"/>
        </w:rPr>
        <w:t>1979-</w:t>
      </w:r>
      <w:r>
        <w:rPr>
          <w:spacing w:val="-2"/>
          <w:sz w:val="18"/>
        </w:rPr>
        <w:t>1980.</w:t>
      </w:r>
    </w:p>
    <w:p w14:paraId="3427765A" w14:textId="77777777" w:rsidR="00BD462C" w:rsidRDefault="00033D0F">
      <w:pPr>
        <w:spacing w:before="1"/>
        <w:ind w:left="135"/>
        <w:rPr>
          <w:sz w:val="18"/>
        </w:rPr>
      </w:pPr>
      <w:bookmarkStart w:id="1269" w:name="_bookmark1096"/>
      <w:bookmarkEnd w:id="1269"/>
      <w:r>
        <w:rPr>
          <w:position w:val="5"/>
          <w:sz w:val="12"/>
        </w:rPr>
        <w:t>944</w:t>
      </w:r>
      <w:r>
        <w:rPr>
          <w:spacing w:val="12"/>
          <w:position w:val="5"/>
          <w:sz w:val="12"/>
        </w:rPr>
        <w:t xml:space="preserve"> </w:t>
      </w:r>
      <w:r>
        <w:rPr>
          <w:sz w:val="18"/>
        </w:rPr>
        <w:t>China's</w:t>
      </w:r>
      <w:r>
        <w:rPr>
          <w:spacing w:val="-6"/>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 paras.</w:t>
      </w:r>
      <w:r>
        <w:rPr>
          <w:spacing w:val="-5"/>
          <w:sz w:val="18"/>
        </w:rPr>
        <w:t xml:space="preserve"> </w:t>
      </w:r>
      <w:r>
        <w:rPr>
          <w:sz w:val="18"/>
        </w:rPr>
        <w:t>1976-</w:t>
      </w:r>
      <w:r>
        <w:rPr>
          <w:spacing w:val="-2"/>
          <w:sz w:val="18"/>
        </w:rPr>
        <w:t>1978.</w:t>
      </w:r>
    </w:p>
    <w:p w14:paraId="68F43A4D" w14:textId="77777777" w:rsidR="00BD462C" w:rsidRDefault="00033D0F">
      <w:pPr>
        <w:spacing w:before="1"/>
        <w:ind w:left="135"/>
        <w:rPr>
          <w:sz w:val="18"/>
        </w:rPr>
      </w:pPr>
      <w:bookmarkStart w:id="1270" w:name="_bookmark1097"/>
      <w:bookmarkEnd w:id="1270"/>
      <w:r>
        <w:rPr>
          <w:position w:val="5"/>
          <w:sz w:val="12"/>
        </w:rPr>
        <w:t>945</w:t>
      </w:r>
      <w:r>
        <w:rPr>
          <w:spacing w:val="12"/>
          <w:position w:val="5"/>
          <w:sz w:val="12"/>
        </w:rPr>
        <w:t xml:space="preserve"> </w:t>
      </w:r>
      <w:r>
        <w:rPr>
          <w:sz w:val="18"/>
        </w:rPr>
        <w:t>Cf. China's</w:t>
      </w:r>
      <w:r>
        <w:rPr>
          <w:spacing w:val="-6"/>
          <w:sz w:val="18"/>
        </w:rPr>
        <w:t xml:space="preserve"> </w:t>
      </w:r>
      <w:r>
        <w:rPr>
          <w:sz w:val="18"/>
        </w:rPr>
        <w:t>first</w:t>
      </w:r>
      <w:r>
        <w:rPr>
          <w:spacing w:val="-5"/>
          <w:sz w:val="18"/>
        </w:rPr>
        <w:t xml:space="preserve"> </w:t>
      </w:r>
      <w:r>
        <w:rPr>
          <w:sz w:val="18"/>
        </w:rPr>
        <w:t>written</w:t>
      </w:r>
      <w:r>
        <w:rPr>
          <w:spacing w:val="-7"/>
          <w:sz w:val="18"/>
        </w:rPr>
        <w:t xml:space="preserve"> </w:t>
      </w:r>
      <w:r>
        <w:rPr>
          <w:sz w:val="18"/>
        </w:rPr>
        <w:t>submission,</w:t>
      </w:r>
      <w:r>
        <w:rPr>
          <w:spacing w:val="-4"/>
          <w:sz w:val="18"/>
        </w:rPr>
        <w:t xml:space="preserve"> </w:t>
      </w:r>
      <w:r>
        <w:rPr>
          <w:sz w:val="18"/>
        </w:rPr>
        <w:t>paras.</w:t>
      </w:r>
      <w:r>
        <w:rPr>
          <w:spacing w:val="-1"/>
          <w:sz w:val="18"/>
        </w:rPr>
        <w:t xml:space="preserve"> </w:t>
      </w:r>
      <w:r>
        <w:rPr>
          <w:sz w:val="18"/>
        </w:rPr>
        <w:t>1979-</w:t>
      </w:r>
      <w:r>
        <w:rPr>
          <w:spacing w:val="-2"/>
          <w:sz w:val="18"/>
        </w:rPr>
        <w:t>1980.</w:t>
      </w:r>
    </w:p>
    <w:p w14:paraId="7C6D937B" w14:textId="77777777" w:rsidR="00BD462C" w:rsidRDefault="00033D0F">
      <w:pPr>
        <w:spacing w:before="1"/>
        <w:ind w:left="135"/>
        <w:rPr>
          <w:sz w:val="18"/>
        </w:rPr>
      </w:pPr>
      <w:bookmarkStart w:id="1271" w:name="_bookmark1098"/>
      <w:bookmarkEnd w:id="1271"/>
      <w:r>
        <w:rPr>
          <w:position w:val="5"/>
          <w:sz w:val="12"/>
        </w:rPr>
        <w:t>946</w:t>
      </w:r>
      <w:r>
        <w:rPr>
          <w:spacing w:val="15"/>
          <w:position w:val="5"/>
          <w:sz w:val="12"/>
        </w:rPr>
        <w:t xml:space="preserve"> </w:t>
      </w:r>
      <w:r>
        <w:rPr>
          <w:sz w:val="18"/>
        </w:rPr>
        <w:t>Panel</w:t>
      </w:r>
      <w:r>
        <w:rPr>
          <w:spacing w:val="-2"/>
          <w:sz w:val="18"/>
        </w:rPr>
        <w:t xml:space="preserve"> </w:t>
      </w:r>
      <w:r>
        <w:rPr>
          <w:sz w:val="18"/>
        </w:rPr>
        <w:t>Report,</w:t>
      </w:r>
      <w:r>
        <w:rPr>
          <w:spacing w:val="-6"/>
          <w:sz w:val="18"/>
        </w:rPr>
        <w:t xml:space="preserve"> </w:t>
      </w:r>
      <w:r>
        <w:rPr>
          <w:i/>
          <w:sz w:val="18"/>
        </w:rPr>
        <w:t>EU</w:t>
      </w:r>
      <w:r>
        <w:rPr>
          <w:i/>
          <w:spacing w:val="-1"/>
          <w:sz w:val="18"/>
        </w:rPr>
        <w:t xml:space="preserve"> </w:t>
      </w:r>
      <w:r>
        <w:rPr>
          <w:i/>
          <w:sz w:val="18"/>
        </w:rPr>
        <w:t>–</w:t>
      </w:r>
      <w:r>
        <w:rPr>
          <w:i/>
          <w:spacing w:val="-3"/>
          <w:sz w:val="18"/>
        </w:rPr>
        <w:t xml:space="preserve"> </w:t>
      </w:r>
      <w:r>
        <w:rPr>
          <w:i/>
          <w:sz w:val="18"/>
        </w:rPr>
        <w:t>Footwear</w:t>
      </w:r>
      <w:r>
        <w:rPr>
          <w:i/>
          <w:spacing w:val="-4"/>
          <w:sz w:val="18"/>
        </w:rPr>
        <w:t xml:space="preserve"> </w:t>
      </w:r>
      <w:r>
        <w:rPr>
          <w:i/>
          <w:sz w:val="18"/>
        </w:rPr>
        <w:t>(China)</w:t>
      </w:r>
      <w:r>
        <w:rPr>
          <w:sz w:val="18"/>
        </w:rPr>
        <w:t>,</w:t>
      </w:r>
      <w:r>
        <w:rPr>
          <w:spacing w:val="-1"/>
          <w:sz w:val="18"/>
        </w:rPr>
        <w:t xml:space="preserve"> </w:t>
      </w:r>
      <w:r>
        <w:rPr>
          <w:sz w:val="18"/>
        </w:rPr>
        <w:t>para.</w:t>
      </w:r>
      <w:r>
        <w:rPr>
          <w:spacing w:val="-2"/>
          <w:sz w:val="18"/>
        </w:rPr>
        <w:t xml:space="preserve"> 7.516.</w:t>
      </w:r>
    </w:p>
    <w:p w14:paraId="12BFCB06" w14:textId="77777777" w:rsidR="00BD462C" w:rsidRDefault="00BD462C">
      <w:pPr>
        <w:rPr>
          <w:sz w:val="18"/>
        </w:rPr>
        <w:sectPr w:rsidR="00BD462C">
          <w:pgSz w:w="11910" w:h="16840"/>
          <w:pgMar w:top="860" w:right="500" w:bottom="780" w:left="1280" w:header="566" w:footer="590" w:gutter="0"/>
          <w:cols w:space="720"/>
        </w:sectPr>
      </w:pPr>
    </w:p>
    <w:p w14:paraId="62DC6A09"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3CDCD8B3"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7F722769"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595EE5EC" w14:textId="77777777" w:rsidR="00BD462C" w:rsidRDefault="00033D0F">
      <w:pPr>
        <w:pStyle w:val="BodyText"/>
        <w:spacing w:before="102" w:line="360" w:lineRule="auto"/>
        <w:ind w:left="135" w:right="913"/>
        <w:jc w:val="both"/>
      </w:pPr>
      <w:r>
        <w:t>first</w:t>
      </w:r>
      <w:r>
        <w:rPr>
          <w:spacing w:val="-8"/>
        </w:rPr>
        <w:t xml:space="preserve"> </w:t>
      </w:r>
      <w:r>
        <w:t>written</w:t>
      </w:r>
      <w:r>
        <w:rPr>
          <w:spacing w:val="-10"/>
        </w:rPr>
        <w:t xml:space="preserve"> </w:t>
      </w:r>
      <w:r>
        <w:t>submission</w:t>
      </w:r>
      <w:r>
        <w:rPr>
          <w:spacing w:val="-10"/>
        </w:rPr>
        <w:t xml:space="preserve"> </w:t>
      </w:r>
      <w:r>
        <w:t>to</w:t>
      </w:r>
      <w:r>
        <w:rPr>
          <w:spacing w:val="-11"/>
        </w:rPr>
        <w:t xml:space="preserve"> </w:t>
      </w:r>
      <w:r>
        <w:t>show</w:t>
      </w:r>
      <w:r>
        <w:rPr>
          <w:spacing w:val="-8"/>
        </w:rPr>
        <w:t xml:space="preserve"> </w:t>
      </w:r>
      <w:r>
        <w:t>that,</w:t>
      </w:r>
      <w:r>
        <w:rPr>
          <w:spacing w:val="-6"/>
        </w:rPr>
        <w:t xml:space="preserve"> </w:t>
      </w:r>
      <w:r>
        <w:t>upon</w:t>
      </w:r>
      <w:r>
        <w:rPr>
          <w:spacing w:val="-10"/>
        </w:rPr>
        <w:t xml:space="preserve"> </w:t>
      </w:r>
      <w:r>
        <w:t>becoming</w:t>
      </w:r>
      <w:r>
        <w:rPr>
          <w:spacing w:val="-7"/>
        </w:rPr>
        <w:t xml:space="preserve"> </w:t>
      </w:r>
      <w:r>
        <w:t>known,</w:t>
      </w:r>
      <w:r>
        <w:rPr>
          <w:spacing w:val="-6"/>
        </w:rPr>
        <w:t xml:space="preserve"> </w:t>
      </w:r>
      <w:r>
        <w:t>MOFCOM</w:t>
      </w:r>
      <w:r>
        <w:rPr>
          <w:spacing w:val="-8"/>
        </w:rPr>
        <w:t xml:space="preserve"> </w:t>
      </w:r>
      <w:r>
        <w:t>took</w:t>
      </w:r>
      <w:r>
        <w:rPr>
          <w:spacing w:val="-7"/>
        </w:rPr>
        <w:t xml:space="preserve"> </w:t>
      </w:r>
      <w:r>
        <w:t>steps</w:t>
      </w:r>
      <w:r>
        <w:rPr>
          <w:spacing w:val="-7"/>
        </w:rPr>
        <w:t xml:space="preserve"> </w:t>
      </w:r>
      <w:r>
        <w:t>to</w:t>
      </w:r>
      <w:r>
        <w:rPr>
          <w:spacing w:val="-11"/>
        </w:rPr>
        <w:t xml:space="preserve"> </w:t>
      </w:r>
      <w:r>
        <w:t>identify if exchange rates were causing injury before it dismissed them. Australia's argument is not speculative, it simply reflects the absence of consideration by MOFCOM.</w:t>
      </w:r>
      <w:hyperlink w:anchor="_bookmark1099" w:history="1">
        <w:r>
          <w:rPr>
            <w:vertAlign w:val="superscript"/>
          </w:rPr>
          <w:t>947</w:t>
        </w:r>
      </w:hyperlink>
    </w:p>
    <w:p w14:paraId="28A77576" w14:textId="77777777" w:rsidR="00BD462C" w:rsidRDefault="00033D0F">
      <w:pPr>
        <w:pStyle w:val="ListParagraph"/>
        <w:numPr>
          <w:ilvl w:val="1"/>
          <w:numId w:val="32"/>
        </w:numPr>
        <w:tabs>
          <w:tab w:val="left" w:pos="3539"/>
          <w:tab w:val="left" w:pos="3540"/>
        </w:tabs>
        <w:spacing w:before="160"/>
        <w:ind w:hanging="851"/>
        <w:jc w:val="both"/>
        <w:rPr>
          <w:sz w:val="24"/>
        </w:rPr>
      </w:pPr>
      <w:bookmarkStart w:id="1272" w:name="(d)_Consumer_perceptions"/>
      <w:bookmarkEnd w:id="1272"/>
      <w:r>
        <w:rPr>
          <w:sz w:val="24"/>
          <w:u w:val="single"/>
        </w:rPr>
        <w:t>Consumer</w:t>
      </w:r>
      <w:r>
        <w:rPr>
          <w:spacing w:val="-7"/>
          <w:sz w:val="24"/>
          <w:u w:val="single"/>
        </w:rPr>
        <w:t xml:space="preserve"> </w:t>
      </w:r>
      <w:r>
        <w:rPr>
          <w:spacing w:val="-2"/>
          <w:sz w:val="24"/>
          <w:u w:val="single"/>
        </w:rPr>
        <w:t>perceptions</w:t>
      </w:r>
    </w:p>
    <w:p w14:paraId="3B520AD5" w14:textId="77777777" w:rsidR="00BD462C" w:rsidRDefault="00BD462C">
      <w:pPr>
        <w:pStyle w:val="BodyText"/>
        <w:spacing w:before="7"/>
        <w:rPr>
          <w:sz w:val="20"/>
        </w:rPr>
      </w:pPr>
    </w:p>
    <w:p w14:paraId="5576547C" w14:textId="26DB0017" w:rsidR="00BD462C" w:rsidRDefault="003B71EA">
      <w:pPr>
        <w:pStyle w:val="BodyText"/>
        <w:spacing w:before="56" w:line="360" w:lineRule="auto"/>
        <w:ind w:left="135" w:right="914"/>
        <w:jc w:val="both"/>
      </w:pPr>
      <w:r>
        <w:rPr>
          <w:noProof/>
        </w:rPr>
        <w:t>600.</w:t>
      </w:r>
      <w:r w:rsidR="00033D0F">
        <w:rPr>
          <w:rFonts w:ascii="Times New Roman"/>
          <w:spacing w:val="80"/>
          <w:position w:val="1"/>
          <w:sz w:val="20"/>
        </w:rPr>
        <w:t xml:space="preserve">  </w:t>
      </w:r>
      <w:r w:rsidR="00033D0F">
        <w:rPr>
          <w:position w:val="1"/>
        </w:rPr>
        <w:t>Australia's</w:t>
      </w:r>
      <w:r w:rsidR="00033D0F">
        <w:rPr>
          <w:spacing w:val="-2"/>
          <w:position w:val="1"/>
        </w:rPr>
        <w:t xml:space="preserve"> </w:t>
      </w:r>
      <w:r w:rsidR="00033D0F">
        <w:rPr>
          <w:position w:val="1"/>
        </w:rPr>
        <w:t>position</w:t>
      </w:r>
      <w:r w:rsidR="00033D0F">
        <w:rPr>
          <w:spacing w:val="-5"/>
          <w:position w:val="1"/>
        </w:rPr>
        <w:t xml:space="preserve"> </w:t>
      </w:r>
      <w:r w:rsidR="00033D0F">
        <w:rPr>
          <w:position w:val="1"/>
        </w:rPr>
        <w:t>is</w:t>
      </w:r>
      <w:r w:rsidR="00033D0F">
        <w:rPr>
          <w:spacing w:val="-7"/>
          <w:position w:val="1"/>
        </w:rPr>
        <w:t xml:space="preserve"> </w:t>
      </w:r>
      <w:r w:rsidR="00033D0F">
        <w:rPr>
          <w:position w:val="1"/>
        </w:rPr>
        <w:t>that</w:t>
      </w:r>
      <w:r w:rsidR="00033D0F">
        <w:rPr>
          <w:spacing w:val="-3"/>
          <w:position w:val="1"/>
        </w:rPr>
        <w:t xml:space="preserve"> </w:t>
      </w:r>
      <w:r w:rsidR="00033D0F">
        <w:rPr>
          <w:position w:val="1"/>
        </w:rPr>
        <w:t>the</w:t>
      </w:r>
      <w:r w:rsidR="00033D0F">
        <w:rPr>
          <w:spacing w:val="-4"/>
          <w:position w:val="1"/>
        </w:rPr>
        <w:t xml:space="preserve"> </w:t>
      </w:r>
      <w:r w:rsidR="00033D0F">
        <w:rPr>
          <w:position w:val="1"/>
        </w:rPr>
        <w:t>evidence</w:t>
      </w:r>
      <w:r w:rsidR="00033D0F">
        <w:rPr>
          <w:spacing w:val="-3"/>
          <w:position w:val="1"/>
        </w:rPr>
        <w:t xml:space="preserve"> </w:t>
      </w:r>
      <w:r w:rsidR="00033D0F">
        <w:rPr>
          <w:position w:val="1"/>
        </w:rPr>
        <w:t>on</w:t>
      </w:r>
      <w:r w:rsidR="00033D0F">
        <w:rPr>
          <w:spacing w:val="-5"/>
          <w:position w:val="1"/>
        </w:rPr>
        <w:t xml:space="preserve"> </w:t>
      </w:r>
      <w:r w:rsidR="00033D0F">
        <w:rPr>
          <w:position w:val="1"/>
        </w:rPr>
        <w:t>the</w:t>
      </w:r>
      <w:r w:rsidR="00033D0F">
        <w:rPr>
          <w:spacing w:val="-4"/>
          <w:position w:val="1"/>
        </w:rPr>
        <w:t xml:space="preserve"> </w:t>
      </w:r>
      <w:r w:rsidR="00033D0F">
        <w:rPr>
          <w:position w:val="1"/>
        </w:rPr>
        <w:t>investigation</w:t>
      </w:r>
      <w:r w:rsidR="00033D0F">
        <w:rPr>
          <w:spacing w:val="-5"/>
          <w:position w:val="1"/>
        </w:rPr>
        <w:t xml:space="preserve"> </w:t>
      </w:r>
      <w:r w:rsidR="00033D0F">
        <w:rPr>
          <w:position w:val="1"/>
        </w:rPr>
        <w:t>record</w:t>
      </w:r>
      <w:r w:rsidR="00033D0F">
        <w:rPr>
          <w:spacing w:val="-1"/>
          <w:position w:val="1"/>
        </w:rPr>
        <w:t xml:space="preserve"> </w:t>
      </w:r>
      <w:r w:rsidR="00033D0F">
        <w:rPr>
          <w:position w:val="1"/>
        </w:rPr>
        <w:t>before</w:t>
      </w:r>
      <w:r w:rsidR="00033D0F">
        <w:rPr>
          <w:spacing w:val="-3"/>
          <w:position w:val="1"/>
        </w:rPr>
        <w:t xml:space="preserve"> </w:t>
      </w:r>
      <w:r w:rsidR="00033D0F">
        <w:rPr>
          <w:position w:val="1"/>
        </w:rPr>
        <w:t xml:space="preserve">MOFCOM </w:t>
      </w:r>
      <w:r w:rsidR="00033D0F">
        <w:t>established that: (i) consumer preferences and perceptions regarding wine products played an</w:t>
      </w:r>
      <w:r w:rsidR="00033D0F">
        <w:rPr>
          <w:spacing w:val="-8"/>
        </w:rPr>
        <w:t xml:space="preserve"> </w:t>
      </w:r>
      <w:r w:rsidR="00033D0F">
        <w:t>important</w:t>
      </w:r>
      <w:r w:rsidR="00033D0F">
        <w:rPr>
          <w:spacing w:val="-1"/>
        </w:rPr>
        <w:t xml:space="preserve"> </w:t>
      </w:r>
      <w:r w:rsidR="00033D0F">
        <w:t>role</w:t>
      </w:r>
      <w:r w:rsidR="00033D0F">
        <w:rPr>
          <w:spacing w:val="-6"/>
        </w:rPr>
        <w:t xml:space="preserve"> </w:t>
      </w:r>
      <w:r w:rsidR="00033D0F">
        <w:t>in</w:t>
      </w:r>
      <w:r w:rsidR="00033D0F">
        <w:rPr>
          <w:spacing w:val="-8"/>
        </w:rPr>
        <w:t xml:space="preserve"> </w:t>
      </w:r>
      <w:r w:rsidR="00033D0F">
        <w:t>the</w:t>
      </w:r>
      <w:r w:rsidR="00033D0F">
        <w:rPr>
          <w:spacing w:val="-2"/>
        </w:rPr>
        <w:t xml:space="preserve"> </w:t>
      </w:r>
      <w:r w:rsidR="00033D0F">
        <w:t>overall</w:t>
      </w:r>
      <w:r w:rsidR="00033D0F">
        <w:rPr>
          <w:spacing w:val="-4"/>
        </w:rPr>
        <w:t xml:space="preserve"> </w:t>
      </w:r>
      <w:r w:rsidR="00033D0F">
        <w:t>dynamics</w:t>
      </w:r>
      <w:r w:rsidR="00033D0F">
        <w:rPr>
          <w:spacing w:val="-5"/>
        </w:rPr>
        <w:t xml:space="preserve"> </w:t>
      </w:r>
      <w:r w:rsidR="00033D0F">
        <w:t>of</w:t>
      </w:r>
      <w:r w:rsidR="00033D0F">
        <w:rPr>
          <w:spacing w:val="-8"/>
        </w:rPr>
        <w:t xml:space="preserve"> </w:t>
      </w:r>
      <w:r w:rsidR="00033D0F">
        <w:t>the</w:t>
      </w:r>
      <w:r w:rsidR="00033D0F">
        <w:rPr>
          <w:spacing w:val="-2"/>
        </w:rPr>
        <w:t xml:space="preserve"> </w:t>
      </w:r>
      <w:r w:rsidR="00033D0F">
        <w:t>Chinese</w:t>
      </w:r>
      <w:r w:rsidR="00033D0F">
        <w:rPr>
          <w:spacing w:val="-6"/>
        </w:rPr>
        <w:t xml:space="preserve"> </w:t>
      </w:r>
      <w:r w:rsidR="00033D0F">
        <w:t>wine</w:t>
      </w:r>
      <w:r w:rsidR="00033D0F">
        <w:rPr>
          <w:spacing w:val="-6"/>
        </w:rPr>
        <w:t xml:space="preserve"> </w:t>
      </w:r>
      <w:r w:rsidR="00033D0F">
        <w:t>market;</w:t>
      </w:r>
      <w:r w:rsidR="00033D0F">
        <w:rPr>
          <w:spacing w:val="-9"/>
        </w:rPr>
        <w:t xml:space="preserve"> </w:t>
      </w:r>
      <w:r w:rsidR="00033D0F">
        <w:t>and</w:t>
      </w:r>
      <w:r w:rsidR="00033D0F">
        <w:rPr>
          <w:spacing w:val="-8"/>
        </w:rPr>
        <w:t xml:space="preserve"> </w:t>
      </w:r>
      <w:r w:rsidR="00033D0F">
        <w:t>(ii)</w:t>
      </w:r>
      <w:r w:rsidR="00033D0F">
        <w:rPr>
          <w:spacing w:val="-8"/>
        </w:rPr>
        <w:t xml:space="preserve"> </w:t>
      </w:r>
      <w:r w:rsidR="00033D0F">
        <w:t>Australian</w:t>
      </w:r>
      <w:r w:rsidR="00033D0F">
        <w:rPr>
          <w:spacing w:val="-8"/>
        </w:rPr>
        <w:t xml:space="preserve"> </w:t>
      </w:r>
      <w:r w:rsidR="00033D0F">
        <w:t>wine products benefited from comparatively better consumer perceptions and preferences than Chinese domestic like products.</w:t>
      </w:r>
      <w:hyperlink w:anchor="_bookmark1100" w:history="1">
        <w:r w:rsidR="00033D0F">
          <w:rPr>
            <w:vertAlign w:val="superscript"/>
          </w:rPr>
          <w:t>948</w:t>
        </w:r>
      </w:hyperlink>
    </w:p>
    <w:p w14:paraId="37940159" w14:textId="77777777" w:rsidR="00BD462C" w:rsidRDefault="00BD462C">
      <w:pPr>
        <w:pStyle w:val="BodyText"/>
        <w:spacing w:before="10"/>
        <w:rPr>
          <w:sz w:val="8"/>
        </w:rPr>
      </w:pPr>
    </w:p>
    <w:p w14:paraId="4404872D" w14:textId="53C26C56" w:rsidR="00BD462C" w:rsidRDefault="003B71EA">
      <w:pPr>
        <w:pStyle w:val="BodyText"/>
        <w:spacing w:before="57" w:line="357" w:lineRule="auto"/>
        <w:ind w:left="135" w:right="913"/>
        <w:jc w:val="both"/>
      </w:pPr>
      <w:r>
        <w:rPr>
          <w:noProof/>
        </w:rPr>
        <w:t>601.</w:t>
      </w:r>
      <w:r w:rsidR="00033D0F">
        <w:rPr>
          <w:rFonts w:ascii="Times New Roman"/>
          <w:spacing w:val="40"/>
          <w:position w:val="1"/>
          <w:sz w:val="20"/>
        </w:rPr>
        <w:t xml:space="preserve">  </w:t>
      </w:r>
      <w:r w:rsidR="00033D0F">
        <w:rPr>
          <w:position w:val="1"/>
        </w:rPr>
        <w:t xml:space="preserve">As Australia set out in prior submissions, consumer perceptions and preference for </w:t>
      </w:r>
      <w:r w:rsidR="00033D0F">
        <w:t>Australian products was a factor, separate from the effects of the alleged dumping, that was having</w:t>
      </w:r>
      <w:r w:rsidR="00033D0F">
        <w:rPr>
          <w:spacing w:val="-5"/>
        </w:rPr>
        <w:t xml:space="preserve"> </w:t>
      </w:r>
      <w:r w:rsidR="00033D0F">
        <w:t>an</w:t>
      </w:r>
      <w:r w:rsidR="00033D0F">
        <w:rPr>
          <w:spacing w:val="-8"/>
        </w:rPr>
        <w:t xml:space="preserve"> </w:t>
      </w:r>
      <w:r w:rsidR="00033D0F">
        <w:t>injurious</w:t>
      </w:r>
      <w:r w:rsidR="00033D0F">
        <w:rPr>
          <w:spacing w:val="-5"/>
        </w:rPr>
        <w:t xml:space="preserve"> </w:t>
      </w:r>
      <w:r w:rsidR="00033D0F">
        <w:t>impact</w:t>
      </w:r>
      <w:r w:rsidR="00033D0F">
        <w:rPr>
          <w:spacing w:val="-1"/>
        </w:rPr>
        <w:t xml:space="preserve"> </w:t>
      </w:r>
      <w:r w:rsidR="00033D0F">
        <w:t>on</w:t>
      </w:r>
      <w:r w:rsidR="00033D0F">
        <w:rPr>
          <w:spacing w:val="-3"/>
        </w:rPr>
        <w:t xml:space="preserve"> </w:t>
      </w:r>
      <w:r w:rsidR="00033D0F">
        <w:t>the</w:t>
      </w:r>
      <w:r w:rsidR="00033D0F">
        <w:rPr>
          <w:spacing w:val="-2"/>
        </w:rPr>
        <w:t xml:space="preserve"> </w:t>
      </w:r>
      <w:r w:rsidR="00033D0F">
        <w:t>domestic</w:t>
      </w:r>
      <w:r w:rsidR="00033D0F">
        <w:rPr>
          <w:spacing w:val="-7"/>
        </w:rPr>
        <w:t xml:space="preserve"> </w:t>
      </w:r>
      <w:r w:rsidR="00033D0F">
        <w:t>industry.</w:t>
      </w:r>
      <w:hyperlink w:anchor="_bookmark1101" w:history="1">
        <w:r w:rsidR="00033D0F">
          <w:rPr>
            <w:vertAlign w:val="superscript"/>
          </w:rPr>
          <w:t>949</w:t>
        </w:r>
      </w:hyperlink>
      <w:r w:rsidR="00033D0F">
        <w:rPr>
          <w:spacing w:val="-5"/>
        </w:rPr>
        <w:t xml:space="preserve"> </w:t>
      </w:r>
      <w:r w:rsidR="00033D0F">
        <w:t>As</w:t>
      </w:r>
      <w:r w:rsidR="00033D0F">
        <w:rPr>
          <w:spacing w:val="-5"/>
        </w:rPr>
        <w:t xml:space="preserve"> </w:t>
      </w:r>
      <w:r w:rsidR="00033D0F">
        <w:t>a</w:t>
      </w:r>
      <w:r w:rsidR="00033D0F">
        <w:rPr>
          <w:spacing w:val="-2"/>
        </w:rPr>
        <w:t xml:space="preserve"> </w:t>
      </w:r>
      <w:r w:rsidR="00033D0F">
        <w:t>result,</w:t>
      </w:r>
      <w:r w:rsidR="00033D0F">
        <w:rPr>
          <w:spacing w:val="-4"/>
        </w:rPr>
        <w:t xml:space="preserve"> </w:t>
      </w:r>
      <w:r w:rsidR="00033D0F">
        <w:t>MOFCOM</w:t>
      </w:r>
      <w:r w:rsidR="00033D0F">
        <w:rPr>
          <w:spacing w:val="-6"/>
        </w:rPr>
        <w:t xml:space="preserve"> </w:t>
      </w:r>
      <w:r w:rsidR="00033D0F">
        <w:t>was</w:t>
      </w:r>
      <w:r w:rsidR="00033D0F">
        <w:rPr>
          <w:spacing w:val="-5"/>
        </w:rPr>
        <w:t xml:space="preserve"> </w:t>
      </w:r>
      <w:r w:rsidR="00033D0F">
        <w:t>required</w:t>
      </w:r>
      <w:r w:rsidR="00033D0F">
        <w:rPr>
          <w:spacing w:val="-8"/>
        </w:rPr>
        <w:t xml:space="preserve"> </w:t>
      </w:r>
      <w:r w:rsidR="00033D0F">
        <w:t>to consider this factor in order to identify any injury being caused to the domestic industry by consumer preferences and separate such injury from the injury said to have been caused by the subject imports through the effects of dumping. It did not do so.</w:t>
      </w:r>
    </w:p>
    <w:p w14:paraId="7CC2AD00" w14:textId="77777777" w:rsidR="00BD462C" w:rsidRDefault="00BD462C">
      <w:pPr>
        <w:pStyle w:val="BodyText"/>
        <w:spacing w:before="8"/>
        <w:rPr>
          <w:sz w:val="9"/>
        </w:rPr>
      </w:pPr>
    </w:p>
    <w:p w14:paraId="5373C92B" w14:textId="0A2ACE93" w:rsidR="00BD462C" w:rsidRDefault="003B71EA">
      <w:pPr>
        <w:pStyle w:val="BodyText"/>
        <w:spacing w:before="56" w:line="360" w:lineRule="auto"/>
        <w:ind w:left="135" w:right="914"/>
        <w:jc w:val="both"/>
      </w:pPr>
      <w:r>
        <w:rPr>
          <w:noProof/>
        </w:rPr>
        <w:t>602.</w:t>
      </w:r>
      <w:r w:rsidR="00033D0F">
        <w:rPr>
          <w:rFonts w:ascii="Times New Roman"/>
          <w:spacing w:val="80"/>
          <w:position w:val="1"/>
          <w:sz w:val="20"/>
        </w:rPr>
        <w:t xml:space="preserve">  </w:t>
      </w:r>
      <w:r w:rsidR="00033D0F">
        <w:rPr>
          <w:position w:val="1"/>
        </w:rPr>
        <w:t>In</w:t>
      </w:r>
      <w:r w:rsidR="00033D0F">
        <w:rPr>
          <w:spacing w:val="-4"/>
          <w:position w:val="1"/>
        </w:rPr>
        <w:t xml:space="preserve"> </w:t>
      </w:r>
      <w:r w:rsidR="00033D0F">
        <w:rPr>
          <w:position w:val="1"/>
        </w:rPr>
        <w:t>response, China</w:t>
      </w:r>
      <w:r w:rsidR="00033D0F">
        <w:rPr>
          <w:spacing w:val="-3"/>
          <w:position w:val="1"/>
        </w:rPr>
        <w:t xml:space="preserve"> </w:t>
      </w:r>
      <w:r w:rsidR="00033D0F">
        <w:rPr>
          <w:position w:val="1"/>
        </w:rPr>
        <w:t>has argued</w:t>
      </w:r>
      <w:r w:rsidR="00033D0F">
        <w:rPr>
          <w:spacing w:val="-4"/>
          <w:position w:val="1"/>
        </w:rPr>
        <w:t xml:space="preserve"> </w:t>
      </w:r>
      <w:r w:rsidR="00033D0F">
        <w:rPr>
          <w:position w:val="1"/>
        </w:rPr>
        <w:t>that MOFCOM:</w:t>
      </w:r>
      <w:r w:rsidR="00033D0F">
        <w:rPr>
          <w:spacing w:val="-5"/>
          <w:position w:val="1"/>
        </w:rPr>
        <w:t xml:space="preserve"> </w:t>
      </w:r>
      <w:r w:rsidR="00033D0F">
        <w:rPr>
          <w:position w:val="1"/>
        </w:rPr>
        <w:t>(i) did</w:t>
      </w:r>
      <w:r w:rsidR="00033D0F">
        <w:rPr>
          <w:spacing w:val="-4"/>
          <w:position w:val="1"/>
        </w:rPr>
        <w:t xml:space="preserve"> </w:t>
      </w:r>
      <w:r w:rsidR="00033D0F">
        <w:rPr>
          <w:position w:val="1"/>
        </w:rPr>
        <w:t xml:space="preserve">consider consumer perceptions </w:t>
      </w:r>
      <w:r w:rsidR="00033D0F">
        <w:t>and preferences as a non-attribution factor; (ii)</w:t>
      </w:r>
      <w:r w:rsidR="00033D0F">
        <w:rPr>
          <w:spacing w:val="-3"/>
        </w:rPr>
        <w:t xml:space="preserve"> </w:t>
      </w:r>
      <w:r w:rsidR="00033D0F">
        <w:t>the</w:t>
      </w:r>
      <w:r w:rsidR="00033D0F">
        <w:rPr>
          <w:spacing w:val="-1"/>
        </w:rPr>
        <w:t xml:space="preserve"> </w:t>
      </w:r>
      <w:r w:rsidR="00033D0F">
        <w:t>evidence</w:t>
      </w:r>
      <w:r w:rsidR="00033D0F">
        <w:rPr>
          <w:spacing w:val="-1"/>
        </w:rPr>
        <w:t xml:space="preserve"> </w:t>
      </w:r>
      <w:r w:rsidR="00033D0F">
        <w:t>did not establish</w:t>
      </w:r>
      <w:r w:rsidR="00033D0F">
        <w:rPr>
          <w:spacing w:val="-3"/>
        </w:rPr>
        <w:t xml:space="preserve"> </w:t>
      </w:r>
      <w:r w:rsidR="00033D0F">
        <w:t>that</w:t>
      </w:r>
      <w:r w:rsidR="00033D0F">
        <w:rPr>
          <w:spacing w:val="-1"/>
        </w:rPr>
        <w:t xml:space="preserve"> </w:t>
      </w:r>
      <w:r w:rsidR="00033D0F">
        <w:t>this was a relevant</w:t>
      </w:r>
      <w:r w:rsidR="00033D0F">
        <w:rPr>
          <w:spacing w:val="-14"/>
        </w:rPr>
        <w:t xml:space="preserve"> </w:t>
      </w:r>
      <w:r w:rsidR="00033D0F">
        <w:t>factor;</w:t>
      </w:r>
      <w:r w:rsidR="00033D0F">
        <w:rPr>
          <w:spacing w:val="-14"/>
        </w:rPr>
        <w:t xml:space="preserve"> </w:t>
      </w:r>
      <w:r w:rsidR="00033D0F">
        <w:t>and</w:t>
      </w:r>
      <w:r w:rsidR="00033D0F">
        <w:rPr>
          <w:spacing w:val="-13"/>
        </w:rPr>
        <w:t xml:space="preserve"> </w:t>
      </w:r>
      <w:r w:rsidR="00033D0F">
        <w:t>(iii)</w:t>
      </w:r>
      <w:r w:rsidR="00033D0F">
        <w:rPr>
          <w:spacing w:val="-14"/>
        </w:rPr>
        <w:t xml:space="preserve"> </w:t>
      </w:r>
      <w:r w:rsidR="00033D0F">
        <w:t>as</w:t>
      </w:r>
      <w:r w:rsidR="00033D0F">
        <w:rPr>
          <w:spacing w:val="-13"/>
        </w:rPr>
        <w:t xml:space="preserve"> </w:t>
      </w:r>
      <w:r w:rsidR="00033D0F">
        <w:t>a</w:t>
      </w:r>
      <w:r w:rsidR="00033D0F">
        <w:rPr>
          <w:spacing w:val="-14"/>
        </w:rPr>
        <w:t xml:space="preserve"> </w:t>
      </w:r>
      <w:r w:rsidR="00033D0F">
        <w:t>result,</w:t>
      </w:r>
      <w:r w:rsidR="00033D0F">
        <w:rPr>
          <w:spacing w:val="-13"/>
        </w:rPr>
        <w:t xml:space="preserve"> </w:t>
      </w:r>
      <w:r w:rsidR="00033D0F">
        <w:t>MOFCOM</w:t>
      </w:r>
      <w:r w:rsidR="00033D0F">
        <w:rPr>
          <w:spacing w:val="-14"/>
        </w:rPr>
        <w:t xml:space="preserve"> </w:t>
      </w:r>
      <w:r w:rsidR="00033D0F">
        <w:t>was</w:t>
      </w:r>
      <w:r w:rsidR="00033D0F">
        <w:rPr>
          <w:spacing w:val="-14"/>
        </w:rPr>
        <w:t xml:space="preserve"> </w:t>
      </w:r>
      <w:r w:rsidR="00033D0F">
        <w:t>justified</w:t>
      </w:r>
      <w:r w:rsidR="00033D0F">
        <w:rPr>
          <w:spacing w:val="-13"/>
        </w:rPr>
        <w:t xml:space="preserve"> </w:t>
      </w:r>
      <w:r w:rsidR="00033D0F">
        <w:t>in</w:t>
      </w:r>
      <w:r w:rsidR="00033D0F">
        <w:rPr>
          <w:spacing w:val="-14"/>
        </w:rPr>
        <w:t xml:space="preserve"> </w:t>
      </w:r>
      <w:r w:rsidR="00033D0F">
        <w:t>dismissing</w:t>
      </w:r>
      <w:r w:rsidR="00033D0F">
        <w:rPr>
          <w:spacing w:val="-13"/>
        </w:rPr>
        <w:t xml:space="preserve"> </w:t>
      </w:r>
      <w:r w:rsidR="00033D0F">
        <w:t>consumer</w:t>
      </w:r>
      <w:r w:rsidR="00033D0F">
        <w:rPr>
          <w:spacing w:val="-14"/>
        </w:rPr>
        <w:t xml:space="preserve"> </w:t>
      </w:r>
      <w:r w:rsidR="00033D0F">
        <w:t>perceptions and preferences on the basis that they did "not negate the causal link" between subject imports and material injury.</w:t>
      </w:r>
      <w:hyperlink w:anchor="_bookmark1102" w:history="1">
        <w:r w:rsidR="00033D0F">
          <w:rPr>
            <w:vertAlign w:val="superscript"/>
          </w:rPr>
          <w:t>950</w:t>
        </w:r>
      </w:hyperlink>
      <w:r w:rsidR="00033D0F">
        <w:t xml:space="preserve"> This creates three key differences between the parties.</w:t>
      </w:r>
    </w:p>
    <w:p w14:paraId="1BF94D51" w14:textId="77777777" w:rsidR="00BD462C" w:rsidRDefault="00BD462C">
      <w:pPr>
        <w:pStyle w:val="BodyText"/>
        <w:spacing w:before="6"/>
        <w:rPr>
          <w:sz w:val="8"/>
        </w:rPr>
      </w:pPr>
    </w:p>
    <w:p w14:paraId="4617D5F8" w14:textId="7444D7D8" w:rsidR="00BD462C" w:rsidRDefault="003B71EA">
      <w:pPr>
        <w:pStyle w:val="BodyText"/>
        <w:spacing w:before="56" w:line="357" w:lineRule="auto"/>
        <w:ind w:left="135" w:right="919"/>
        <w:jc w:val="both"/>
      </w:pPr>
      <w:r>
        <w:rPr>
          <w:noProof/>
        </w:rPr>
        <w:t>603.</w:t>
      </w:r>
      <w:r w:rsidR="00033D0F">
        <w:rPr>
          <w:rFonts w:ascii="Times New Roman"/>
          <w:spacing w:val="40"/>
          <w:position w:val="1"/>
          <w:sz w:val="20"/>
        </w:rPr>
        <w:t xml:space="preserve">  </w:t>
      </w:r>
      <w:r w:rsidR="00033D0F">
        <w:rPr>
          <w:position w:val="1"/>
        </w:rPr>
        <w:t xml:space="preserve">First, MOFCOM did not consider consumer perceptions and preferences as a non- </w:t>
      </w:r>
      <w:r w:rsidR="00033D0F">
        <w:t>attribution</w:t>
      </w:r>
      <w:r w:rsidR="00033D0F">
        <w:rPr>
          <w:spacing w:val="-9"/>
        </w:rPr>
        <w:t xml:space="preserve"> </w:t>
      </w:r>
      <w:r w:rsidR="00033D0F">
        <w:t>factor.</w:t>
      </w:r>
      <w:r w:rsidR="00033D0F">
        <w:rPr>
          <w:spacing w:val="-2"/>
        </w:rPr>
        <w:t xml:space="preserve"> </w:t>
      </w:r>
      <w:r w:rsidR="00033D0F">
        <w:t>The</w:t>
      </w:r>
      <w:r w:rsidR="00033D0F">
        <w:rPr>
          <w:spacing w:val="-4"/>
        </w:rPr>
        <w:t xml:space="preserve"> </w:t>
      </w:r>
      <w:r w:rsidR="00033D0F">
        <w:t>portions</w:t>
      </w:r>
      <w:r w:rsidR="00033D0F">
        <w:rPr>
          <w:spacing w:val="-7"/>
        </w:rPr>
        <w:t xml:space="preserve"> </w:t>
      </w:r>
      <w:r w:rsidR="00033D0F">
        <w:t>of</w:t>
      </w:r>
      <w:r w:rsidR="00033D0F">
        <w:rPr>
          <w:spacing w:val="-5"/>
        </w:rPr>
        <w:t xml:space="preserve"> </w:t>
      </w:r>
      <w:r w:rsidR="00033D0F">
        <w:t>the</w:t>
      </w:r>
      <w:r w:rsidR="00033D0F">
        <w:rPr>
          <w:spacing w:val="-4"/>
        </w:rPr>
        <w:t xml:space="preserve"> </w:t>
      </w:r>
      <w:r w:rsidR="00033D0F">
        <w:t>investigation</w:t>
      </w:r>
      <w:r w:rsidR="00033D0F">
        <w:rPr>
          <w:spacing w:val="-9"/>
        </w:rPr>
        <w:t xml:space="preserve"> </w:t>
      </w:r>
      <w:r w:rsidR="00033D0F">
        <w:t>record</w:t>
      </w:r>
      <w:r w:rsidR="00033D0F">
        <w:rPr>
          <w:spacing w:val="-5"/>
        </w:rPr>
        <w:t xml:space="preserve"> </w:t>
      </w:r>
      <w:r w:rsidR="00033D0F">
        <w:t>relied</w:t>
      </w:r>
      <w:r w:rsidR="00033D0F">
        <w:rPr>
          <w:spacing w:val="-9"/>
        </w:rPr>
        <w:t xml:space="preserve"> </w:t>
      </w:r>
      <w:r w:rsidR="00033D0F">
        <w:t>on</w:t>
      </w:r>
      <w:r w:rsidR="00033D0F">
        <w:rPr>
          <w:spacing w:val="-5"/>
        </w:rPr>
        <w:t xml:space="preserve"> </w:t>
      </w:r>
      <w:r w:rsidR="00033D0F">
        <w:t>by</w:t>
      </w:r>
      <w:r w:rsidR="00033D0F">
        <w:rPr>
          <w:spacing w:val="-7"/>
        </w:rPr>
        <w:t xml:space="preserve"> </w:t>
      </w:r>
      <w:r w:rsidR="00033D0F">
        <w:t>China</w:t>
      </w:r>
      <w:r w:rsidR="00033D0F">
        <w:rPr>
          <w:spacing w:val="-8"/>
        </w:rPr>
        <w:t xml:space="preserve"> </w:t>
      </w:r>
      <w:r w:rsidR="00033D0F">
        <w:t>do</w:t>
      </w:r>
      <w:r w:rsidR="00033D0F">
        <w:rPr>
          <w:spacing w:val="-6"/>
        </w:rPr>
        <w:t xml:space="preserve"> </w:t>
      </w:r>
      <w:r w:rsidR="00033D0F">
        <w:t>not</w:t>
      </w:r>
      <w:r w:rsidR="00033D0F">
        <w:rPr>
          <w:spacing w:val="-8"/>
        </w:rPr>
        <w:t xml:space="preserve"> </w:t>
      </w:r>
      <w:r w:rsidR="00033D0F">
        <w:t>evidence any</w:t>
      </w:r>
      <w:r w:rsidR="00033D0F">
        <w:rPr>
          <w:spacing w:val="55"/>
          <w:w w:val="150"/>
        </w:rPr>
        <w:t xml:space="preserve"> </w:t>
      </w:r>
      <w:r w:rsidR="00033D0F">
        <w:t>consideration</w:t>
      </w:r>
      <w:r w:rsidR="00033D0F">
        <w:rPr>
          <w:spacing w:val="79"/>
        </w:rPr>
        <w:t xml:space="preserve"> </w:t>
      </w:r>
      <w:r w:rsidR="00033D0F">
        <w:t>by</w:t>
      </w:r>
      <w:r w:rsidR="00033D0F">
        <w:rPr>
          <w:spacing w:val="56"/>
          <w:w w:val="150"/>
        </w:rPr>
        <w:t xml:space="preserve"> </w:t>
      </w:r>
      <w:r w:rsidR="00033D0F">
        <w:t>MOFCOM</w:t>
      </w:r>
      <w:r w:rsidR="00033D0F">
        <w:rPr>
          <w:spacing w:val="54"/>
          <w:w w:val="150"/>
        </w:rPr>
        <w:t xml:space="preserve"> </w:t>
      </w:r>
      <w:r w:rsidR="00033D0F">
        <w:t>of</w:t>
      </w:r>
      <w:r w:rsidR="00033D0F">
        <w:rPr>
          <w:spacing w:val="52"/>
          <w:w w:val="150"/>
        </w:rPr>
        <w:t xml:space="preserve"> </w:t>
      </w:r>
      <w:r w:rsidR="00033D0F">
        <w:t>whether</w:t>
      </w:r>
      <w:r w:rsidR="00033D0F">
        <w:rPr>
          <w:spacing w:val="79"/>
        </w:rPr>
        <w:t xml:space="preserve"> </w:t>
      </w:r>
      <w:r w:rsidR="00033D0F">
        <w:t>differences</w:t>
      </w:r>
      <w:r w:rsidR="00033D0F">
        <w:rPr>
          <w:spacing w:val="55"/>
          <w:w w:val="150"/>
        </w:rPr>
        <w:t xml:space="preserve"> </w:t>
      </w:r>
      <w:r w:rsidR="00033D0F">
        <w:t>in</w:t>
      </w:r>
      <w:r w:rsidR="00033D0F">
        <w:rPr>
          <w:spacing w:val="53"/>
          <w:w w:val="150"/>
        </w:rPr>
        <w:t xml:space="preserve"> </w:t>
      </w:r>
      <w:r w:rsidR="00033D0F">
        <w:t>consumer</w:t>
      </w:r>
      <w:r w:rsidR="00033D0F">
        <w:rPr>
          <w:spacing w:val="78"/>
        </w:rPr>
        <w:t xml:space="preserve"> </w:t>
      </w:r>
      <w:r w:rsidR="00033D0F">
        <w:t>perceptions</w:t>
      </w:r>
      <w:r w:rsidR="00033D0F">
        <w:rPr>
          <w:spacing w:val="56"/>
          <w:w w:val="150"/>
        </w:rPr>
        <w:t xml:space="preserve"> </w:t>
      </w:r>
      <w:r w:rsidR="00033D0F">
        <w:rPr>
          <w:spacing w:val="-5"/>
        </w:rPr>
        <w:t>and</w:t>
      </w:r>
    </w:p>
    <w:p w14:paraId="1B78781E" w14:textId="2CCB81F4" w:rsidR="00BD462C" w:rsidRDefault="00D70C7D">
      <w:pPr>
        <w:pStyle w:val="BodyText"/>
        <w:spacing w:before="5"/>
        <w:rPr>
          <w:sz w:val="20"/>
        </w:rPr>
      </w:pPr>
      <w:r>
        <w:rPr>
          <w:noProof/>
        </w:rPr>
        <mc:AlternateContent>
          <mc:Choice Requires="wps">
            <w:drawing>
              <wp:anchor distT="0" distB="0" distL="0" distR="0" simplePos="0" relativeHeight="487805440" behindDoc="1" locked="0" layoutInCell="1" allowOverlap="1" wp14:anchorId="3E9C8852" wp14:editId="6BC57160">
                <wp:simplePos x="0" y="0"/>
                <wp:positionH relativeFrom="page">
                  <wp:posOffset>899160</wp:posOffset>
                </wp:positionH>
                <wp:positionV relativeFrom="paragraph">
                  <wp:posOffset>173355</wp:posOffset>
                </wp:positionV>
                <wp:extent cx="1828800" cy="8890"/>
                <wp:effectExtent l="0" t="0" r="0" b="0"/>
                <wp:wrapTopAndBottom/>
                <wp:docPr id="492" name="docshape4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BFD48F" id="docshape473" o:spid="_x0000_s1026" alt="&quot;&quot;" style="position:absolute;margin-left:70.8pt;margin-top:13.65pt;width:2in;height:.7pt;z-index:-15511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" fillcolor="black" stroked="f">
                <w10:wrap type="topAndBottom" anchorx="page"/>
              </v:rect>
            </w:pict>
          </mc:Fallback>
        </mc:AlternateContent>
      </w:r>
    </w:p>
    <w:p w14:paraId="77A4D563" w14:textId="77777777" w:rsidR="00BD462C" w:rsidRDefault="00033D0F">
      <w:pPr>
        <w:spacing w:before="112"/>
        <w:ind w:left="136" w:right="904" w:hanging="1"/>
        <w:jc w:val="both"/>
        <w:rPr>
          <w:sz w:val="18"/>
        </w:rPr>
      </w:pPr>
      <w:bookmarkStart w:id="1273" w:name="_bookmark1099"/>
      <w:bookmarkEnd w:id="1273"/>
      <w:r>
        <w:rPr>
          <w:position w:val="5"/>
          <w:sz w:val="12"/>
        </w:rPr>
        <w:t>947</w:t>
      </w:r>
      <w:r>
        <w:rPr>
          <w:spacing w:val="40"/>
          <w:position w:val="5"/>
          <w:sz w:val="12"/>
        </w:rPr>
        <w:t xml:space="preserve"> </w:t>
      </w:r>
      <w:r>
        <w:rPr>
          <w:sz w:val="18"/>
        </w:rPr>
        <w:t>The matters raised by China at paragraphs 1976-1978 of its First Written Submission are not directed to Australia's argument and do assist China in showing that MOFCOM's treatment of exchange rates complied with Article</w:t>
      </w:r>
      <w:r>
        <w:rPr>
          <w:spacing w:val="-1"/>
          <w:sz w:val="18"/>
        </w:rPr>
        <w:t xml:space="preserve"> </w:t>
      </w:r>
      <w:r>
        <w:rPr>
          <w:sz w:val="18"/>
        </w:rPr>
        <w:t>3.5. The rationale provided by China confirms that the price calculation methodology for subject imports involved at least one currency</w:t>
      </w:r>
      <w:r>
        <w:rPr>
          <w:spacing w:val="-5"/>
          <w:sz w:val="18"/>
        </w:rPr>
        <w:t xml:space="preserve"> </w:t>
      </w:r>
      <w:r>
        <w:rPr>
          <w:sz w:val="18"/>
        </w:rPr>
        <w:t>conversion</w:t>
      </w:r>
      <w:r>
        <w:rPr>
          <w:spacing w:val="-8"/>
          <w:sz w:val="18"/>
        </w:rPr>
        <w:t xml:space="preserve"> </w:t>
      </w:r>
      <w:r>
        <w:rPr>
          <w:sz w:val="18"/>
        </w:rPr>
        <w:t>-</w:t>
      </w:r>
      <w:r>
        <w:rPr>
          <w:spacing w:val="-2"/>
          <w:sz w:val="18"/>
        </w:rPr>
        <w:t xml:space="preserve"> </w:t>
      </w:r>
      <w:r>
        <w:rPr>
          <w:sz w:val="18"/>
        </w:rPr>
        <w:t>thus</w:t>
      </w:r>
      <w:r>
        <w:rPr>
          <w:spacing w:val="-3"/>
          <w:sz w:val="18"/>
        </w:rPr>
        <w:t xml:space="preserve"> </w:t>
      </w:r>
      <w:r>
        <w:rPr>
          <w:sz w:val="18"/>
        </w:rPr>
        <w:t>confirming</w:t>
      </w:r>
      <w:r>
        <w:rPr>
          <w:spacing w:val="-3"/>
          <w:sz w:val="18"/>
        </w:rPr>
        <w:t xml:space="preserve"> </w:t>
      </w:r>
      <w:r>
        <w:rPr>
          <w:sz w:val="18"/>
        </w:rPr>
        <w:t>that</w:t>
      </w:r>
      <w:r>
        <w:rPr>
          <w:spacing w:val="-2"/>
          <w:sz w:val="18"/>
        </w:rPr>
        <w:t xml:space="preserve"> </w:t>
      </w:r>
      <w:r>
        <w:rPr>
          <w:sz w:val="18"/>
        </w:rPr>
        <w:t>any</w:t>
      </w:r>
      <w:r>
        <w:rPr>
          <w:spacing w:val="-5"/>
          <w:sz w:val="18"/>
        </w:rPr>
        <w:t xml:space="preserve"> </w:t>
      </w:r>
      <w:r>
        <w:rPr>
          <w:sz w:val="18"/>
        </w:rPr>
        <w:t>changes</w:t>
      </w:r>
      <w:r>
        <w:rPr>
          <w:spacing w:val="-3"/>
          <w:sz w:val="18"/>
        </w:rPr>
        <w:t xml:space="preserve"> </w:t>
      </w:r>
      <w:r>
        <w:rPr>
          <w:sz w:val="18"/>
        </w:rPr>
        <w:t>in</w:t>
      </w:r>
      <w:r>
        <w:rPr>
          <w:spacing w:val="-4"/>
          <w:sz w:val="18"/>
        </w:rPr>
        <w:t xml:space="preserve"> </w:t>
      </w:r>
      <w:r>
        <w:rPr>
          <w:sz w:val="18"/>
        </w:rPr>
        <w:t>exchange rates</w:t>
      </w:r>
      <w:r>
        <w:rPr>
          <w:spacing w:val="-3"/>
          <w:sz w:val="18"/>
        </w:rPr>
        <w:t xml:space="preserve"> </w:t>
      </w:r>
      <w:r>
        <w:rPr>
          <w:sz w:val="18"/>
        </w:rPr>
        <w:t>are</w:t>
      </w:r>
      <w:r>
        <w:rPr>
          <w:spacing w:val="-3"/>
          <w:sz w:val="18"/>
        </w:rPr>
        <w:t xml:space="preserve"> </w:t>
      </w:r>
      <w:r>
        <w:rPr>
          <w:sz w:val="18"/>
        </w:rPr>
        <w:t>reflected</w:t>
      </w:r>
      <w:r>
        <w:rPr>
          <w:spacing w:val="-8"/>
          <w:sz w:val="18"/>
        </w:rPr>
        <w:t xml:space="preserve"> </w:t>
      </w:r>
      <w:r>
        <w:rPr>
          <w:sz w:val="18"/>
        </w:rPr>
        <w:t>in</w:t>
      </w:r>
      <w:r>
        <w:rPr>
          <w:spacing w:val="-4"/>
          <w:sz w:val="18"/>
        </w:rPr>
        <w:t xml:space="preserve"> </w:t>
      </w:r>
      <w:r>
        <w:rPr>
          <w:sz w:val="18"/>
        </w:rPr>
        <w:t>the</w:t>
      </w:r>
      <w:r>
        <w:rPr>
          <w:spacing w:val="-3"/>
          <w:sz w:val="18"/>
        </w:rPr>
        <w:t xml:space="preserve"> </w:t>
      </w:r>
      <w:r>
        <w:rPr>
          <w:sz w:val="18"/>
        </w:rPr>
        <w:t>price</w:t>
      </w:r>
      <w:r>
        <w:rPr>
          <w:spacing w:val="-8"/>
          <w:sz w:val="18"/>
        </w:rPr>
        <w:t xml:space="preserve"> </w:t>
      </w:r>
      <w:r>
        <w:rPr>
          <w:sz w:val="18"/>
        </w:rPr>
        <w:t>that</w:t>
      </w:r>
      <w:r>
        <w:rPr>
          <w:spacing w:val="-7"/>
          <w:sz w:val="18"/>
        </w:rPr>
        <w:t xml:space="preserve"> </w:t>
      </w:r>
      <w:r>
        <w:rPr>
          <w:sz w:val="18"/>
        </w:rPr>
        <w:t>MOFCOM</w:t>
      </w:r>
      <w:r>
        <w:rPr>
          <w:spacing w:val="-1"/>
          <w:sz w:val="18"/>
        </w:rPr>
        <w:t xml:space="preserve"> </w:t>
      </w:r>
      <w:r>
        <w:rPr>
          <w:sz w:val="18"/>
        </w:rPr>
        <w:t>calculated for subject imports.</w:t>
      </w:r>
    </w:p>
    <w:p w14:paraId="099B238A" w14:textId="77777777" w:rsidR="00BD462C" w:rsidRDefault="00033D0F">
      <w:pPr>
        <w:spacing w:line="218" w:lineRule="exact"/>
        <w:ind w:left="135"/>
        <w:jc w:val="both"/>
        <w:rPr>
          <w:sz w:val="18"/>
        </w:rPr>
      </w:pPr>
      <w:bookmarkStart w:id="1274" w:name="_bookmark1100"/>
      <w:bookmarkEnd w:id="1274"/>
      <w:r>
        <w:rPr>
          <w:position w:val="5"/>
          <w:sz w:val="12"/>
        </w:rPr>
        <w:t>948</w:t>
      </w:r>
      <w:r>
        <w:rPr>
          <w:spacing w:val="12"/>
          <w:position w:val="5"/>
          <w:sz w:val="12"/>
        </w:rPr>
        <w:t xml:space="preserve"> </w:t>
      </w:r>
      <w:r>
        <w:rPr>
          <w:sz w:val="18"/>
        </w:rPr>
        <w:t>Australia's</w:t>
      </w:r>
      <w:r>
        <w:rPr>
          <w:spacing w:val="-6"/>
          <w:sz w:val="18"/>
        </w:rPr>
        <w:t xml:space="preserve"> </w:t>
      </w:r>
      <w:r>
        <w:rPr>
          <w:sz w:val="18"/>
        </w:rPr>
        <w:t>first</w:t>
      </w:r>
      <w:r>
        <w:rPr>
          <w:spacing w:val="-6"/>
          <w:sz w:val="18"/>
        </w:rPr>
        <w:t xml:space="preserve"> </w:t>
      </w:r>
      <w:r>
        <w:rPr>
          <w:sz w:val="18"/>
        </w:rPr>
        <w:t>written</w:t>
      </w:r>
      <w:r>
        <w:rPr>
          <w:spacing w:val="-2"/>
          <w:sz w:val="18"/>
        </w:rPr>
        <w:t xml:space="preserve"> </w:t>
      </w:r>
      <w:r>
        <w:rPr>
          <w:sz w:val="18"/>
        </w:rPr>
        <w:t>submission, paras.</w:t>
      </w:r>
      <w:r>
        <w:rPr>
          <w:spacing w:val="-5"/>
          <w:sz w:val="18"/>
        </w:rPr>
        <w:t xml:space="preserve"> </w:t>
      </w:r>
      <w:r>
        <w:rPr>
          <w:sz w:val="18"/>
        </w:rPr>
        <w:t>708-</w:t>
      </w:r>
      <w:r>
        <w:rPr>
          <w:spacing w:val="-4"/>
          <w:sz w:val="18"/>
        </w:rPr>
        <w:t>710.</w:t>
      </w:r>
    </w:p>
    <w:p w14:paraId="1FAF2041" w14:textId="77777777" w:rsidR="00BD462C" w:rsidRDefault="00033D0F">
      <w:pPr>
        <w:ind w:left="136" w:right="910" w:hanging="1"/>
        <w:jc w:val="both"/>
        <w:rPr>
          <w:sz w:val="18"/>
        </w:rPr>
      </w:pPr>
      <w:bookmarkStart w:id="1275" w:name="_bookmark1101"/>
      <w:bookmarkEnd w:id="1275"/>
      <w:r>
        <w:rPr>
          <w:position w:val="5"/>
          <w:sz w:val="12"/>
        </w:rPr>
        <w:t>949</w:t>
      </w:r>
      <w:r>
        <w:rPr>
          <w:spacing w:val="15"/>
          <w:position w:val="5"/>
          <w:sz w:val="12"/>
        </w:rPr>
        <w:t xml:space="preserve"> </w:t>
      </w:r>
      <w:r>
        <w:rPr>
          <w:sz w:val="18"/>
        </w:rPr>
        <w:t>Australia</w:t>
      </w:r>
      <w:r>
        <w:rPr>
          <w:spacing w:val="-6"/>
          <w:sz w:val="18"/>
        </w:rPr>
        <w:t xml:space="preserve"> </w:t>
      </w:r>
      <w:r>
        <w:rPr>
          <w:sz w:val="18"/>
        </w:rPr>
        <w:t>does</w:t>
      </w:r>
      <w:r>
        <w:rPr>
          <w:spacing w:val="-4"/>
          <w:sz w:val="18"/>
        </w:rPr>
        <w:t xml:space="preserve"> </w:t>
      </w:r>
      <w:r>
        <w:rPr>
          <w:sz w:val="18"/>
        </w:rPr>
        <w:t>not</w:t>
      </w:r>
      <w:r>
        <w:rPr>
          <w:spacing w:val="-3"/>
          <w:sz w:val="18"/>
        </w:rPr>
        <w:t xml:space="preserve"> </w:t>
      </w:r>
      <w:r>
        <w:rPr>
          <w:sz w:val="18"/>
        </w:rPr>
        <w:t>accept</w:t>
      </w:r>
      <w:r>
        <w:rPr>
          <w:spacing w:val="-3"/>
          <w:sz w:val="18"/>
        </w:rPr>
        <w:t xml:space="preserve"> </w:t>
      </w:r>
      <w:r>
        <w:rPr>
          <w:sz w:val="18"/>
        </w:rPr>
        <w:t>that</w:t>
      </w:r>
      <w:r>
        <w:rPr>
          <w:spacing w:val="-3"/>
          <w:sz w:val="18"/>
        </w:rPr>
        <w:t xml:space="preserve"> </w:t>
      </w:r>
      <w:r>
        <w:rPr>
          <w:sz w:val="18"/>
        </w:rPr>
        <w:t>all Australian wine</w:t>
      </w:r>
      <w:r>
        <w:rPr>
          <w:spacing w:val="-4"/>
          <w:sz w:val="18"/>
        </w:rPr>
        <w:t xml:space="preserve"> </w:t>
      </w:r>
      <w:r>
        <w:rPr>
          <w:sz w:val="18"/>
        </w:rPr>
        <w:t>products</w:t>
      </w:r>
      <w:r>
        <w:rPr>
          <w:spacing w:val="-4"/>
          <w:sz w:val="18"/>
        </w:rPr>
        <w:t xml:space="preserve"> </w:t>
      </w:r>
      <w:r>
        <w:rPr>
          <w:sz w:val="18"/>
        </w:rPr>
        <w:t>compete directly</w:t>
      </w:r>
      <w:r>
        <w:rPr>
          <w:spacing w:val="-6"/>
          <w:sz w:val="18"/>
        </w:rPr>
        <w:t xml:space="preserve"> </w:t>
      </w:r>
      <w:r>
        <w:rPr>
          <w:sz w:val="18"/>
        </w:rPr>
        <w:t>or</w:t>
      </w:r>
      <w:r>
        <w:rPr>
          <w:spacing w:val="-1"/>
          <w:sz w:val="18"/>
        </w:rPr>
        <w:t xml:space="preserve"> </w:t>
      </w:r>
      <w:r>
        <w:rPr>
          <w:sz w:val="18"/>
        </w:rPr>
        <w:t>are</w:t>
      </w:r>
      <w:r>
        <w:rPr>
          <w:spacing w:val="-4"/>
          <w:sz w:val="18"/>
        </w:rPr>
        <w:t xml:space="preserve"> </w:t>
      </w:r>
      <w:r>
        <w:rPr>
          <w:sz w:val="18"/>
        </w:rPr>
        <w:t>interchangeable/substitutable</w:t>
      </w:r>
      <w:r>
        <w:rPr>
          <w:spacing w:val="-4"/>
          <w:sz w:val="18"/>
        </w:rPr>
        <w:t xml:space="preserve"> </w:t>
      </w:r>
      <w:r>
        <w:rPr>
          <w:sz w:val="18"/>
        </w:rPr>
        <w:t>with</w:t>
      </w:r>
      <w:r>
        <w:rPr>
          <w:spacing w:val="-5"/>
          <w:sz w:val="18"/>
        </w:rPr>
        <w:t xml:space="preserve"> </w:t>
      </w:r>
      <w:r>
        <w:rPr>
          <w:sz w:val="18"/>
        </w:rPr>
        <w:t>all domestic</w:t>
      </w:r>
      <w:r>
        <w:rPr>
          <w:spacing w:val="-11"/>
          <w:sz w:val="18"/>
        </w:rPr>
        <w:t xml:space="preserve"> </w:t>
      </w:r>
      <w:r>
        <w:rPr>
          <w:sz w:val="18"/>
        </w:rPr>
        <w:t>like</w:t>
      </w:r>
      <w:r>
        <w:rPr>
          <w:spacing w:val="-10"/>
          <w:sz w:val="18"/>
        </w:rPr>
        <w:t xml:space="preserve"> </w:t>
      </w:r>
      <w:r>
        <w:rPr>
          <w:sz w:val="18"/>
        </w:rPr>
        <w:t>products</w:t>
      </w:r>
      <w:r>
        <w:rPr>
          <w:spacing w:val="-10"/>
          <w:sz w:val="18"/>
        </w:rPr>
        <w:t xml:space="preserve"> </w:t>
      </w:r>
      <w:r>
        <w:rPr>
          <w:sz w:val="18"/>
        </w:rPr>
        <w:t>(as</w:t>
      </w:r>
      <w:r>
        <w:rPr>
          <w:spacing w:val="-10"/>
          <w:sz w:val="18"/>
        </w:rPr>
        <w:t xml:space="preserve"> </w:t>
      </w:r>
      <w:r>
        <w:rPr>
          <w:sz w:val="18"/>
        </w:rPr>
        <w:t>MOFCOM</w:t>
      </w:r>
      <w:r>
        <w:rPr>
          <w:spacing w:val="-10"/>
          <w:sz w:val="18"/>
        </w:rPr>
        <w:t xml:space="preserve"> </w:t>
      </w:r>
      <w:r>
        <w:rPr>
          <w:sz w:val="18"/>
        </w:rPr>
        <w:t>determined);</w:t>
      </w:r>
      <w:r>
        <w:rPr>
          <w:spacing w:val="-11"/>
          <w:sz w:val="18"/>
        </w:rPr>
        <w:t xml:space="preserve"> </w:t>
      </w:r>
      <w:r>
        <w:rPr>
          <w:sz w:val="18"/>
        </w:rPr>
        <w:t>but</w:t>
      </w:r>
      <w:r>
        <w:rPr>
          <w:spacing w:val="-10"/>
          <w:sz w:val="18"/>
        </w:rPr>
        <w:t xml:space="preserve"> </w:t>
      </w:r>
      <w:r>
        <w:rPr>
          <w:sz w:val="18"/>
        </w:rPr>
        <w:t>to</w:t>
      </w:r>
      <w:r>
        <w:rPr>
          <w:spacing w:val="-10"/>
          <w:sz w:val="18"/>
        </w:rPr>
        <w:t xml:space="preserve"> </w:t>
      </w:r>
      <w:r>
        <w:rPr>
          <w:sz w:val="18"/>
        </w:rPr>
        <w:t>the</w:t>
      </w:r>
      <w:r>
        <w:rPr>
          <w:spacing w:val="-10"/>
          <w:sz w:val="18"/>
        </w:rPr>
        <w:t xml:space="preserve"> </w:t>
      </w:r>
      <w:r>
        <w:rPr>
          <w:sz w:val="18"/>
        </w:rPr>
        <w:t>extent</w:t>
      </w:r>
      <w:r>
        <w:rPr>
          <w:spacing w:val="-10"/>
          <w:sz w:val="18"/>
        </w:rPr>
        <w:t xml:space="preserve"> </w:t>
      </w:r>
      <w:r>
        <w:rPr>
          <w:sz w:val="18"/>
        </w:rPr>
        <w:t>that</w:t>
      </w:r>
      <w:r>
        <w:rPr>
          <w:spacing w:val="-10"/>
          <w:sz w:val="18"/>
        </w:rPr>
        <w:t xml:space="preserve"> </w:t>
      </w:r>
      <w:r>
        <w:rPr>
          <w:sz w:val="18"/>
        </w:rPr>
        <w:t>there</w:t>
      </w:r>
      <w:r>
        <w:rPr>
          <w:spacing w:val="-6"/>
          <w:sz w:val="18"/>
        </w:rPr>
        <w:t xml:space="preserve"> </w:t>
      </w:r>
      <w:r>
        <w:rPr>
          <w:sz w:val="18"/>
        </w:rPr>
        <w:t>is</w:t>
      </w:r>
      <w:r>
        <w:rPr>
          <w:spacing w:val="-7"/>
          <w:sz w:val="18"/>
        </w:rPr>
        <w:t xml:space="preserve"> </w:t>
      </w:r>
      <w:r>
        <w:rPr>
          <w:sz w:val="18"/>
        </w:rPr>
        <w:t>competitive</w:t>
      </w:r>
      <w:r>
        <w:rPr>
          <w:spacing w:val="-7"/>
          <w:sz w:val="18"/>
        </w:rPr>
        <w:t xml:space="preserve"> </w:t>
      </w:r>
      <w:r>
        <w:rPr>
          <w:sz w:val="18"/>
        </w:rPr>
        <w:t>overlap</w:t>
      </w:r>
      <w:r>
        <w:rPr>
          <w:spacing w:val="-11"/>
          <w:sz w:val="18"/>
        </w:rPr>
        <w:t xml:space="preserve"> </w:t>
      </w:r>
      <w:r>
        <w:rPr>
          <w:sz w:val="18"/>
        </w:rPr>
        <w:t>in</w:t>
      </w:r>
      <w:r>
        <w:rPr>
          <w:spacing w:val="-7"/>
          <w:sz w:val="18"/>
        </w:rPr>
        <w:t xml:space="preserve"> </w:t>
      </w:r>
      <w:r>
        <w:rPr>
          <w:sz w:val="18"/>
        </w:rPr>
        <w:t>the</w:t>
      </w:r>
      <w:r>
        <w:rPr>
          <w:spacing w:val="-11"/>
          <w:sz w:val="18"/>
        </w:rPr>
        <w:t xml:space="preserve"> </w:t>
      </w:r>
      <w:r>
        <w:rPr>
          <w:sz w:val="18"/>
        </w:rPr>
        <w:t>baskets</w:t>
      </w:r>
      <w:r>
        <w:rPr>
          <w:spacing w:val="-6"/>
          <w:sz w:val="18"/>
        </w:rPr>
        <w:t xml:space="preserve"> </w:t>
      </w:r>
      <w:r>
        <w:rPr>
          <w:sz w:val="18"/>
        </w:rPr>
        <w:t>of</w:t>
      </w:r>
      <w:r>
        <w:rPr>
          <w:spacing w:val="-6"/>
          <w:sz w:val="18"/>
        </w:rPr>
        <w:t xml:space="preserve"> </w:t>
      </w:r>
      <w:r>
        <w:rPr>
          <w:sz w:val="18"/>
        </w:rPr>
        <w:t>subject imports and domestic like products, consumer preferences and perceptions of Australian wine provided a competitive advantage that was separate, distinct, unrelated to any effects of the alleged dumping.</w:t>
      </w:r>
    </w:p>
    <w:p w14:paraId="1C751D28" w14:textId="77777777" w:rsidR="00BD462C" w:rsidRDefault="00033D0F">
      <w:pPr>
        <w:spacing w:before="3"/>
        <w:ind w:left="135"/>
        <w:jc w:val="both"/>
        <w:rPr>
          <w:sz w:val="18"/>
        </w:rPr>
      </w:pPr>
      <w:bookmarkStart w:id="1276" w:name="_bookmark1102"/>
      <w:bookmarkEnd w:id="1276"/>
      <w:r>
        <w:rPr>
          <w:position w:val="5"/>
          <w:sz w:val="12"/>
        </w:rPr>
        <w:t>950</w:t>
      </w:r>
      <w:r>
        <w:rPr>
          <w:spacing w:val="12"/>
          <w:position w:val="5"/>
          <w:sz w:val="12"/>
        </w:rPr>
        <w:t xml:space="preserve"> </w:t>
      </w:r>
      <w:r>
        <w:rPr>
          <w:sz w:val="18"/>
        </w:rPr>
        <w:t>China's</w:t>
      </w:r>
      <w:r>
        <w:rPr>
          <w:spacing w:val="-6"/>
          <w:sz w:val="18"/>
        </w:rPr>
        <w:t xml:space="preserve"> </w:t>
      </w:r>
      <w:r>
        <w:rPr>
          <w:sz w:val="18"/>
        </w:rPr>
        <w:t>first</w:t>
      </w:r>
      <w:r>
        <w:rPr>
          <w:spacing w:val="-5"/>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paras.</w:t>
      </w:r>
      <w:r>
        <w:rPr>
          <w:spacing w:val="-5"/>
          <w:sz w:val="18"/>
        </w:rPr>
        <w:t xml:space="preserve"> </w:t>
      </w:r>
      <w:r>
        <w:rPr>
          <w:sz w:val="18"/>
        </w:rPr>
        <w:t>1998,</w:t>
      </w:r>
      <w:r>
        <w:rPr>
          <w:spacing w:val="-4"/>
          <w:sz w:val="18"/>
        </w:rPr>
        <w:t xml:space="preserve"> </w:t>
      </w:r>
      <w:r>
        <w:rPr>
          <w:sz w:val="18"/>
        </w:rPr>
        <w:t xml:space="preserve">2001, </w:t>
      </w:r>
      <w:r>
        <w:rPr>
          <w:spacing w:val="-2"/>
          <w:sz w:val="18"/>
        </w:rPr>
        <w:t>2003.</w:t>
      </w:r>
    </w:p>
    <w:p w14:paraId="53EC3C34" w14:textId="77777777" w:rsidR="00BD462C" w:rsidRDefault="00BD462C">
      <w:pPr>
        <w:jc w:val="both"/>
        <w:rPr>
          <w:sz w:val="18"/>
        </w:rPr>
        <w:sectPr w:rsidR="00BD462C">
          <w:pgSz w:w="11910" w:h="16840"/>
          <w:pgMar w:top="860" w:right="500" w:bottom="780" w:left="1280" w:header="566" w:footer="590" w:gutter="0"/>
          <w:cols w:space="720"/>
        </w:sectPr>
      </w:pPr>
    </w:p>
    <w:p w14:paraId="28CE8B55"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16C3F9B3"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774EF5E1"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2B3BBF3C" w14:textId="77777777" w:rsidR="00BD462C" w:rsidRDefault="00033D0F">
      <w:pPr>
        <w:pStyle w:val="BodyText"/>
        <w:spacing w:before="102" w:line="360" w:lineRule="auto"/>
        <w:ind w:left="135" w:right="915"/>
        <w:jc w:val="both"/>
      </w:pPr>
      <w:r>
        <w:t>preferences between Australian and Chinese wine products caused injury to the domestic industry.</w:t>
      </w:r>
      <w:hyperlink w:anchor="_bookmark1103" w:history="1">
        <w:r>
          <w:rPr>
            <w:vertAlign w:val="superscript"/>
          </w:rPr>
          <w:t>951</w:t>
        </w:r>
      </w:hyperlink>
      <w:r>
        <w:t xml:space="preserve"> The balance of China's first written submission on this issue are entirely </w:t>
      </w:r>
      <w:r>
        <w:rPr>
          <w:i/>
        </w:rPr>
        <w:t xml:space="preserve">ex post facto </w:t>
      </w:r>
      <w:r>
        <w:t>and should be disregarded.</w:t>
      </w:r>
      <w:hyperlink w:anchor="_bookmark1104" w:history="1">
        <w:r>
          <w:rPr>
            <w:vertAlign w:val="superscript"/>
          </w:rPr>
          <w:t>952</w:t>
        </w:r>
      </w:hyperlink>
    </w:p>
    <w:p w14:paraId="2E243C70" w14:textId="77777777" w:rsidR="00BD462C" w:rsidRDefault="00BD462C">
      <w:pPr>
        <w:pStyle w:val="BodyText"/>
        <w:spacing w:before="11"/>
        <w:rPr>
          <w:sz w:val="8"/>
        </w:rPr>
      </w:pPr>
    </w:p>
    <w:p w14:paraId="3F2F4DC9" w14:textId="6C3C6A70" w:rsidR="00BD462C" w:rsidRDefault="003B71EA">
      <w:pPr>
        <w:pStyle w:val="BodyText"/>
        <w:spacing w:before="56" w:line="360" w:lineRule="auto"/>
        <w:ind w:left="135" w:right="912"/>
        <w:jc w:val="both"/>
      </w:pPr>
      <w:r>
        <w:rPr>
          <w:noProof/>
        </w:rPr>
        <w:t>604.</w:t>
      </w:r>
      <w:r w:rsidR="00033D0F">
        <w:rPr>
          <w:rFonts w:ascii="Times New Roman"/>
          <w:spacing w:val="80"/>
          <w:position w:val="1"/>
          <w:sz w:val="20"/>
        </w:rPr>
        <w:t xml:space="preserve">  </w:t>
      </w:r>
      <w:r w:rsidR="00033D0F">
        <w:rPr>
          <w:position w:val="1"/>
        </w:rPr>
        <w:t xml:space="preserve">Second, the parties disagree as to whether the evidence on the record established </w:t>
      </w:r>
      <w:r w:rsidR="00033D0F">
        <w:t>that: (i) consumer preference and perceptions were a material factor; or (ii) that Australian products were perceived as being higher quality and preferred by Chinese consumers compared</w:t>
      </w:r>
      <w:r w:rsidR="00033D0F">
        <w:rPr>
          <w:spacing w:val="-9"/>
        </w:rPr>
        <w:t xml:space="preserve"> </w:t>
      </w:r>
      <w:r w:rsidR="00033D0F">
        <w:t>to</w:t>
      </w:r>
      <w:r w:rsidR="00033D0F">
        <w:rPr>
          <w:spacing w:val="-5"/>
        </w:rPr>
        <w:t xml:space="preserve"> </w:t>
      </w:r>
      <w:r w:rsidR="00033D0F">
        <w:t>domestic</w:t>
      </w:r>
      <w:r w:rsidR="00033D0F">
        <w:rPr>
          <w:spacing w:val="-8"/>
        </w:rPr>
        <w:t xml:space="preserve"> </w:t>
      </w:r>
      <w:r w:rsidR="00033D0F">
        <w:t>like</w:t>
      </w:r>
      <w:r w:rsidR="00033D0F">
        <w:rPr>
          <w:spacing w:val="-7"/>
        </w:rPr>
        <w:t xml:space="preserve"> </w:t>
      </w:r>
      <w:r w:rsidR="00033D0F">
        <w:t>products.</w:t>
      </w:r>
      <w:hyperlink w:anchor="_bookmark1105" w:history="1">
        <w:r w:rsidR="00033D0F">
          <w:rPr>
            <w:vertAlign w:val="superscript"/>
          </w:rPr>
          <w:t>953</w:t>
        </w:r>
      </w:hyperlink>
      <w:r w:rsidR="00033D0F">
        <w:rPr>
          <w:spacing w:val="-6"/>
        </w:rPr>
        <w:t xml:space="preserve"> </w:t>
      </w:r>
      <w:r w:rsidR="00033D0F">
        <w:t>Australia's</w:t>
      </w:r>
      <w:r w:rsidR="00033D0F">
        <w:rPr>
          <w:spacing w:val="-6"/>
        </w:rPr>
        <w:t xml:space="preserve"> </w:t>
      </w:r>
      <w:r w:rsidR="00033D0F">
        <w:t>position</w:t>
      </w:r>
      <w:r w:rsidR="00033D0F">
        <w:rPr>
          <w:spacing w:val="-9"/>
        </w:rPr>
        <w:t xml:space="preserve"> </w:t>
      </w:r>
      <w:r w:rsidR="00033D0F">
        <w:t>is</w:t>
      </w:r>
      <w:r w:rsidR="00033D0F">
        <w:rPr>
          <w:spacing w:val="-6"/>
        </w:rPr>
        <w:t xml:space="preserve"> </w:t>
      </w:r>
      <w:r w:rsidR="00033D0F">
        <w:t>that,</w:t>
      </w:r>
      <w:r w:rsidR="00033D0F">
        <w:rPr>
          <w:spacing w:val="-10"/>
        </w:rPr>
        <w:t xml:space="preserve"> </w:t>
      </w:r>
      <w:r w:rsidR="00033D0F">
        <w:t>to</w:t>
      </w:r>
      <w:r w:rsidR="00033D0F">
        <w:rPr>
          <w:spacing w:val="-10"/>
        </w:rPr>
        <w:t xml:space="preserve"> </w:t>
      </w:r>
      <w:r w:rsidR="00033D0F">
        <w:t>the</w:t>
      </w:r>
      <w:r w:rsidR="00033D0F">
        <w:rPr>
          <w:spacing w:val="-7"/>
        </w:rPr>
        <w:t xml:space="preserve"> </w:t>
      </w:r>
      <w:r w:rsidR="00033D0F">
        <w:t>extent</w:t>
      </w:r>
      <w:r w:rsidR="00033D0F">
        <w:rPr>
          <w:spacing w:val="-7"/>
        </w:rPr>
        <w:t xml:space="preserve"> </w:t>
      </w:r>
      <w:r w:rsidR="00033D0F">
        <w:t>there</w:t>
      </w:r>
      <w:r w:rsidR="00033D0F">
        <w:rPr>
          <w:spacing w:val="-7"/>
        </w:rPr>
        <w:t xml:space="preserve"> </w:t>
      </w:r>
      <w:r w:rsidR="00033D0F">
        <w:t>is</w:t>
      </w:r>
      <w:r w:rsidR="00033D0F">
        <w:rPr>
          <w:spacing w:val="-10"/>
        </w:rPr>
        <w:t xml:space="preserve"> </w:t>
      </w:r>
      <w:r w:rsidR="00033D0F">
        <w:t>some competitive</w:t>
      </w:r>
      <w:r w:rsidR="00033D0F">
        <w:rPr>
          <w:spacing w:val="-14"/>
        </w:rPr>
        <w:t xml:space="preserve"> </w:t>
      </w:r>
      <w:r w:rsidR="00033D0F">
        <w:t>overlap</w:t>
      </w:r>
      <w:r w:rsidR="00033D0F">
        <w:rPr>
          <w:spacing w:val="-14"/>
        </w:rPr>
        <w:t xml:space="preserve"> </w:t>
      </w:r>
      <w:r w:rsidR="00033D0F">
        <w:t>in</w:t>
      </w:r>
      <w:r w:rsidR="00033D0F">
        <w:rPr>
          <w:spacing w:val="-13"/>
        </w:rPr>
        <w:t xml:space="preserve"> </w:t>
      </w:r>
      <w:r w:rsidR="00033D0F">
        <w:t>the</w:t>
      </w:r>
      <w:r w:rsidR="00033D0F">
        <w:rPr>
          <w:spacing w:val="-14"/>
        </w:rPr>
        <w:t xml:space="preserve"> </w:t>
      </w:r>
      <w:r w:rsidR="00033D0F">
        <w:t>baskets</w:t>
      </w:r>
      <w:r w:rsidR="00033D0F">
        <w:rPr>
          <w:spacing w:val="-13"/>
        </w:rPr>
        <w:t xml:space="preserve"> </w:t>
      </w:r>
      <w:r w:rsidR="00033D0F">
        <w:t>of</w:t>
      </w:r>
      <w:r w:rsidR="00033D0F">
        <w:rPr>
          <w:spacing w:val="-14"/>
        </w:rPr>
        <w:t xml:space="preserve"> </w:t>
      </w:r>
      <w:r w:rsidR="00033D0F">
        <w:t>subject</w:t>
      </w:r>
      <w:r w:rsidR="00033D0F">
        <w:rPr>
          <w:spacing w:val="-13"/>
        </w:rPr>
        <w:t xml:space="preserve"> </w:t>
      </w:r>
      <w:r w:rsidR="00033D0F">
        <w:t>imports</w:t>
      </w:r>
      <w:r w:rsidR="00033D0F">
        <w:rPr>
          <w:spacing w:val="-14"/>
        </w:rPr>
        <w:t xml:space="preserve"> </w:t>
      </w:r>
      <w:r w:rsidR="00033D0F">
        <w:t>and</w:t>
      </w:r>
      <w:r w:rsidR="00033D0F">
        <w:rPr>
          <w:spacing w:val="-14"/>
        </w:rPr>
        <w:t xml:space="preserve"> </w:t>
      </w:r>
      <w:r w:rsidR="00033D0F">
        <w:t>domestic</w:t>
      </w:r>
      <w:r w:rsidR="00033D0F">
        <w:rPr>
          <w:spacing w:val="-13"/>
        </w:rPr>
        <w:t xml:space="preserve"> </w:t>
      </w:r>
      <w:r w:rsidR="00033D0F">
        <w:t>like</w:t>
      </w:r>
      <w:r w:rsidR="00033D0F">
        <w:rPr>
          <w:spacing w:val="-14"/>
        </w:rPr>
        <w:t xml:space="preserve"> </w:t>
      </w:r>
      <w:r w:rsidR="00033D0F">
        <w:t>products,</w:t>
      </w:r>
      <w:r w:rsidR="00033D0F">
        <w:rPr>
          <w:spacing w:val="-13"/>
        </w:rPr>
        <w:t xml:space="preserve"> </w:t>
      </w:r>
      <w:r w:rsidR="00033D0F">
        <w:t>the</w:t>
      </w:r>
      <w:r w:rsidR="00033D0F">
        <w:rPr>
          <w:spacing w:val="-14"/>
        </w:rPr>
        <w:t xml:space="preserve"> </w:t>
      </w:r>
      <w:r w:rsidR="00033D0F">
        <w:t>evidence of consumer preferences and perceptions of Australian wine indicated a competitive advantage</w:t>
      </w:r>
      <w:r w:rsidR="00033D0F">
        <w:rPr>
          <w:spacing w:val="-6"/>
        </w:rPr>
        <w:t xml:space="preserve"> </w:t>
      </w:r>
      <w:r w:rsidR="00033D0F">
        <w:t>unrelated</w:t>
      </w:r>
      <w:r w:rsidR="00033D0F">
        <w:rPr>
          <w:spacing w:val="-8"/>
        </w:rPr>
        <w:t xml:space="preserve"> </w:t>
      </w:r>
      <w:r w:rsidR="00033D0F">
        <w:t>to</w:t>
      </w:r>
      <w:r w:rsidR="00033D0F">
        <w:rPr>
          <w:spacing w:val="-9"/>
        </w:rPr>
        <w:t xml:space="preserve"> </w:t>
      </w:r>
      <w:r w:rsidR="00033D0F">
        <w:t>any</w:t>
      </w:r>
      <w:r w:rsidR="00033D0F">
        <w:rPr>
          <w:spacing w:val="-5"/>
        </w:rPr>
        <w:t xml:space="preserve"> </w:t>
      </w:r>
      <w:r w:rsidR="00033D0F">
        <w:t>effects</w:t>
      </w:r>
      <w:r w:rsidR="00033D0F">
        <w:rPr>
          <w:spacing w:val="-5"/>
        </w:rPr>
        <w:t xml:space="preserve"> </w:t>
      </w:r>
      <w:r w:rsidR="00033D0F">
        <w:t>of</w:t>
      </w:r>
      <w:r w:rsidR="00033D0F">
        <w:rPr>
          <w:spacing w:val="-8"/>
        </w:rPr>
        <w:t xml:space="preserve"> </w:t>
      </w:r>
      <w:r w:rsidR="00033D0F">
        <w:t>the</w:t>
      </w:r>
      <w:r w:rsidR="00033D0F">
        <w:rPr>
          <w:spacing w:val="-6"/>
        </w:rPr>
        <w:t xml:space="preserve"> </w:t>
      </w:r>
      <w:r w:rsidR="00033D0F">
        <w:t>alleged</w:t>
      </w:r>
      <w:r w:rsidR="00033D0F">
        <w:rPr>
          <w:spacing w:val="-13"/>
        </w:rPr>
        <w:t xml:space="preserve"> </w:t>
      </w:r>
      <w:r w:rsidR="00033D0F">
        <w:t>dumping.</w:t>
      </w:r>
      <w:hyperlink w:anchor="_bookmark1106" w:history="1">
        <w:r w:rsidR="00033D0F">
          <w:rPr>
            <w:vertAlign w:val="superscript"/>
          </w:rPr>
          <w:t>954</w:t>
        </w:r>
      </w:hyperlink>
      <w:r w:rsidR="00033D0F">
        <w:rPr>
          <w:spacing w:val="-5"/>
        </w:rPr>
        <w:t xml:space="preserve"> </w:t>
      </w:r>
      <w:r w:rsidR="00033D0F">
        <w:t>China's</w:t>
      </w:r>
      <w:r w:rsidR="00033D0F">
        <w:rPr>
          <w:spacing w:val="-5"/>
        </w:rPr>
        <w:t xml:space="preserve"> </w:t>
      </w:r>
      <w:r w:rsidR="00033D0F">
        <w:t>first</w:t>
      </w:r>
      <w:r w:rsidR="00033D0F">
        <w:rPr>
          <w:spacing w:val="-6"/>
        </w:rPr>
        <w:t xml:space="preserve"> </w:t>
      </w:r>
      <w:r w:rsidR="00033D0F">
        <w:t>written</w:t>
      </w:r>
      <w:r w:rsidR="00033D0F">
        <w:rPr>
          <w:spacing w:val="-8"/>
        </w:rPr>
        <w:t xml:space="preserve"> </w:t>
      </w:r>
      <w:r w:rsidR="00033D0F">
        <w:t xml:space="preserve">submission </w:t>
      </w:r>
      <w:proofErr w:type="spellStart"/>
      <w:r w:rsidR="00033D0F">
        <w:t>criticises</w:t>
      </w:r>
      <w:proofErr w:type="spellEnd"/>
      <w:r w:rsidR="00033D0F">
        <w:t xml:space="preserve"> the evidence placed on the record by interested parties.</w:t>
      </w:r>
      <w:hyperlink w:anchor="_bookmark1107" w:history="1">
        <w:r w:rsidR="00033D0F">
          <w:rPr>
            <w:vertAlign w:val="superscript"/>
          </w:rPr>
          <w:t>955</w:t>
        </w:r>
      </w:hyperlink>
      <w:r w:rsidR="00033D0F">
        <w:t xml:space="preserve"> These criticisms cannot remedy the deficiencies and gaps in MOFCOM's analysis.</w:t>
      </w:r>
    </w:p>
    <w:p w14:paraId="14C7DB3C" w14:textId="77777777" w:rsidR="00BD462C" w:rsidRDefault="00BD462C">
      <w:pPr>
        <w:pStyle w:val="BodyText"/>
        <w:spacing w:before="5"/>
        <w:rPr>
          <w:sz w:val="8"/>
        </w:rPr>
      </w:pPr>
    </w:p>
    <w:p w14:paraId="52323DA6" w14:textId="38375E24" w:rsidR="00BD462C" w:rsidRDefault="003B71EA">
      <w:pPr>
        <w:pStyle w:val="BodyText"/>
        <w:spacing w:before="56" w:line="360" w:lineRule="auto"/>
        <w:ind w:left="135" w:right="911"/>
        <w:jc w:val="both"/>
      </w:pPr>
      <w:r>
        <w:rPr>
          <w:noProof/>
        </w:rPr>
        <w:t>605.</w:t>
      </w:r>
      <w:r w:rsidR="00033D0F">
        <w:rPr>
          <w:rFonts w:ascii="Times New Roman" w:hAnsi="Times New Roman"/>
          <w:spacing w:val="80"/>
          <w:w w:val="150"/>
          <w:position w:val="1"/>
          <w:sz w:val="20"/>
        </w:rPr>
        <w:t xml:space="preserve">  </w:t>
      </w:r>
      <w:r w:rsidR="00033D0F">
        <w:rPr>
          <w:position w:val="1"/>
        </w:rPr>
        <w:t>Third, China's first written</w:t>
      </w:r>
      <w:r w:rsidR="00033D0F">
        <w:rPr>
          <w:spacing w:val="-1"/>
          <w:position w:val="1"/>
        </w:rPr>
        <w:t xml:space="preserve"> </w:t>
      </w:r>
      <w:r w:rsidR="00033D0F">
        <w:rPr>
          <w:position w:val="1"/>
        </w:rPr>
        <w:t>submission</w:t>
      </w:r>
      <w:r w:rsidR="00033D0F">
        <w:rPr>
          <w:spacing w:val="-1"/>
          <w:position w:val="1"/>
        </w:rPr>
        <w:t xml:space="preserve"> </w:t>
      </w:r>
      <w:r w:rsidR="00033D0F">
        <w:rPr>
          <w:position w:val="1"/>
        </w:rPr>
        <w:t xml:space="preserve">incorrectly </w:t>
      </w:r>
      <w:proofErr w:type="spellStart"/>
      <w:r w:rsidR="00033D0F">
        <w:rPr>
          <w:position w:val="1"/>
        </w:rPr>
        <w:t>characterises</w:t>
      </w:r>
      <w:proofErr w:type="spellEnd"/>
      <w:r w:rsidR="00033D0F">
        <w:rPr>
          <w:position w:val="1"/>
        </w:rPr>
        <w:t xml:space="preserve"> Australia's argument </w:t>
      </w:r>
      <w:r w:rsidR="00033D0F">
        <w:t>as speculative and attempts to conflate the argument with changes in apparent consumption.</w:t>
      </w:r>
      <w:hyperlink w:anchor="_bookmark1108" w:history="1">
        <w:r w:rsidR="00033D0F">
          <w:rPr>
            <w:vertAlign w:val="superscript"/>
          </w:rPr>
          <w:t>956</w:t>
        </w:r>
      </w:hyperlink>
      <w:r w:rsidR="00033D0F">
        <w:t xml:space="preserve"> Australia's argument is grounded</w:t>
      </w:r>
      <w:r w:rsidR="00033D0F">
        <w:rPr>
          <w:spacing w:val="-1"/>
        </w:rPr>
        <w:t xml:space="preserve"> </w:t>
      </w:r>
      <w:r w:rsidR="00033D0F">
        <w:t>in</w:t>
      </w:r>
      <w:r w:rsidR="00033D0F">
        <w:rPr>
          <w:spacing w:val="-1"/>
        </w:rPr>
        <w:t xml:space="preserve"> </w:t>
      </w:r>
      <w:r w:rsidR="00033D0F">
        <w:t>MOFCOM's finding that subject imports occupied a strong position in the Chinese market and evidence establishing that Chinese consumers preferred Australian wine products.</w:t>
      </w:r>
      <w:hyperlink w:anchor="_bookmark1109" w:history="1">
        <w:r w:rsidR="00033D0F">
          <w:rPr>
            <w:vertAlign w:val="superscript"/>
          </w:rPr>
          <w:t>957</w:t>
        </w:r>
      </w:hyperlink>
      <w:r w:rsidR="00033D0F">
        <w:t xml:space="preserve"> It is not speculative, nor is Australia's argument directed</w:t>
      </w:r>
      <w:r w:rsidR="00033D0F">
        <w:rPr>
          <w:spacing w:val="-1"/>
        </w:rPr>
        <w:t xml:space="preserve"> </w:t>
      </w:r>
      <w:r w:rsidR="00033D0F">
        <w:t>to</w:t>
      </w:r>
      <w:r w:rsidR="00033D0F">
        <w:rPr>
          <w:spacing w:val="-1"/>
        </w:rPr>
        <w:t xml:space="preserve"> </w:t>
      </w:r>
      <w:r w:rsidR="00033D0F">
        <w:t>material</w:t>
      </w:r>
      <w:r w:rsidR="00033D0F">
        <w:rPr>
          <w:spacing w:val="-1"/>
        </w:rPr>
        <w:t xml:space="preserve"> </w:t>
      </w:r>
      <w:r w:rsidR="00033D0F">
        <w:t>injury caused</w:t>
      </w:r>
      <w:r w:rsidR="00033D0F">
        <w:rPr>
          <w:spacing w:val="-1"/>
        </w:rPr>
        <w:t xml:space="preserve"> </w:t>
      </w:r>
      <w:r w:rsidR="00033D0F">
        <w:t>by changes in</w:t>
      </w:r>
      <w:r w:rsidR="00033D0F">
        <w:rPr>
          <w:spacing w:val="-1"/>
        </w:rPr>
        <w:t xml:space="preserve"> </w:t>
      </w:r>
      <w:r w:rsidR="00033D0F">
        <w:t>apparent consumption.</w:t>
      </w:r>
      <w:hyperlink w:anchor="_bookmark1110" w:history="1">
        <w:r w:rsidR="00033D0F">
          <w:rPr>
            <w:vertAlign w:val="superscript"/>
          </w:rPr>
          <w:t>958</w:t>
        </w:r>
      </w:hyperlink>
      <w:r w:rsidR="00033D0F">
        <w:t xml:space="preserve"> Rather, Australia's</w:t>
      </w:r>
      <w:r w:rsidR="00033D0F">
        <w:rPr>
          <w:spacing w:val="-10"/>
        </w:rPr>
        <w:t xml:space="preserve"> </w:t>
      </w:r>
      <w:r w:rsidR="00033D0F">
        <w:t>argument</w:t>
      </w:r>
      <w:r w:rsidR="00033D0F">
        <w:rPr>
          <w:spacing w:val="-11"/>
        </w:rPr>
        <w:t xml:space="preserve"> </w:t>
      </w:r>
      <w:r w:rsidR="00033D0F">
        <w:t>is</w:t>
      </w:r>
      <w:r w:rsidR="00033D0F">
        <w:rPr>
          <w:spacing w:val="-10"/>
        </w:rPr>
        <w:t xml:space="preserve"> </w:t>
      </w:r>
      <w:r w:rsidR="00033D0F">
        <w:t>that</w:t>
      </w:r>
      <w:r w:rsidR="00033D0F">
        <w:rPr>
          <w:spacing w:val="-11"/>
        </w:rPr>
        <w:t xml:space="preserve"> </w:t>
      </w:r>
      <w:r w:rsidR="00033D0F">
        <w:t>the</w:t>
      </w:r>
      <w:r w:rsidR="00033D0F">
        <w:rPr>
          <w:spacing w:val="-12"/>
        </w:rPr>
        <w:t xml:space="preserve"> </w:t>
      </w:r>
      <w:r w:rsidR="00033D0F">
        <w:t>evidence</w:t>
      </w:r>
      <w:r w:rsidR="00033D0F">
        <w:rPr>
          <w:spacing w:val="-12"/>
        </w:rPr>
        <w:t xml:space="preserve"> </w:t>
      </w:r>
      <w:r w:rsidR="00033D0F">
        <w:t>showed</w:t>
      </w:r>
      <w:r w:rsidR="00033D0F">
        <w:rPr>
          <w:spacing w:val="-14"/>
        </w:rPr>
        <w:t xml:space="preserve"> </w:t>
      </w:r>
      <w:r w:rsidR="00033D0F">
        <w:t>that</w:t>
      </w:r>
      <w:r w:rsidR="00033D0F">
        <w:rPr>
          <w:spacing w:val="-11"/>
        </w:rPr>
        <w:t xml:space="preserve"> </w:t>
      </w:r>
      <w:r w:rsidR="00033D0F">
        <w:t>despite</w:t>
      </w:r>
      <w:r w:rsidR="00033D0F">
        <w:rPr>
          <w:spacing w:val="-12"/>
        </w:rPr>
        <w:t xml:space="preserve"> </w:t>
      </w:r>
      <w:r w:rsidR="00033D0F">
        <w:t>consuming</w:t>
      </w:r>
      <w:r w:rsidR="00033D0F">
        <w:rPr>
          <w:spacing w:val="-10"/>
        </w:rPr>
        <w:t xml:space="preserve"> </w:t>
      </w:r>
      <w:r w:rsidR="00033D0F">
        <w:t>more</w:t>
      </w:r>
      <w:r w:rsidR="00033D0F">
        <w:rPr>
          <w:spacing w:val="-7"/>
        </w:rPr>
        <w:t xml:space="preserve"> </w:t>
      </w:r>
      <w:r w:rsidR="00033D0F">
        <w:t>wine</w:t>
      </w:r>
      <w:r w:rsidR="00033D0F">
        <w:rPr>
          <w:spacing w:val="-12"/>
        </w:rPr>
        <w:t xml:space="preserve"> </w:t>
      </w:r>
      <w:r w:rsidR="00033D0F">
        <w:t xml:space="preserve">between 2015 – 2017, Chinese consumers chose not to consume more </w:t>
      </w:r>
      <w:r w:rsidR="00033D0F">
        <w:rPr>
          <w:i/>
        </w:rPr>
        <w:t xml:space="preserve">Chinese </w:t>
      </w:r>
      <w:r w:rsidR="00033D0F">
        <w:t>wine. This is evidence in</w:t>
      </w:r>
      <w:r w:rsidR="00033D0F">
        <w:rPr>
          <w:spacing w:val="-10"/>
        </w:rPr>
        <w:t xml:space="preserve"> </w:t>
      </w:r>
      <w:r w:rsidR="00033D0F">
        <w:t>support</w:t>
      </w:r>
      <w:r w:rsidR="00033D0F">
        <w:rPr>
          <w:spacing w:val="-3"/>
        </w:rPr>
        <w:t xml:space="preserve"> </w:t>
      </w:r>
      <w:r w:rsidR="00033D0F">
        <w:t>of</w:t>
      </w:r>
      <w:r w:rsidR="00033D0F">
        <w:rPr>
          <w:spacing w:val="-5"/>
        </w:rPr>
        <w:t xml:space="preserve"> </w:t>
      </w:r>
      <w:r w:rsidR="00033D0F">
        <w:t>Australia's</w:t>
      </w:r>
      <w:r w:rsidR="00033D0F">
        <w:rPr>
          <w:spacing w:val="-7"/>
        </w:rPr>
        <w:t xml:space="preserve"> </w:t>
      </w:r>
      <w:r w:rsidR="00033D0F">
        <w:t>argument</w:t>
      </w:r>
      <w:r w:rsidR="00033D0F">
        <w:rPr>
          <w:spacing w:val="-8"/>
        </w:rPr>
        <w:t xml:space="preserve"> </w:t>
      </w:r>
      <w:r w:rsidR="00033D0F">
        <w:t>that</w:t>
      </w:r>
      <w:r w:rsidR="00033D0F">
        <w:rPr>
          <w:spacing w:val="-8"/>
        </w:rPr>
        <w:t xml:space="preserve"> </w:t>
      </w:r>
      <w:r w:rsidR="00033D0F">
        <w:t>consumer</w:t>
      </w:r>
      <w:r w:rsidR="00033D0F">
        <w:rPr>
          <w:spacing w:val="-6"/>
        </w:rPr>
        <w:t xml:space="preserve"> </w:t>
      </w:r>
      <w:r w:rsidR="00033D0F">
        <w:t>perceptions</w:t>
      </w:r>
      <w:r w:rsidR="00033D0F">
        <w:rPr>
          <w:spacing w:val="-7"/>
        </w:rPr>
        <w:t xml:space="preserve"> </w:t>
      </w:r>
      <w:r w:rsidR="00033D0F">
        <w:t>and</w:t>
      </w:r>
      <w:r w:rsidR="00033D0F">
        <w:rPr>
          <w:spacing w:val="-5"/>
        </w:rPr>
        <w:t xml:space="preserve"> </w:t>
      </w:r>
      <w:r w:rsidR="00033D0F">
        <w:t>preferences</w:t>
      </w:r>
      <w:r w:rsidR="00033D0F">
        <w:rPr>
          <w:spacing w:val="-7"/>
        </w:rPr>
        <w:t xml:space="preserve"> </w:t>
      </w:r>
      <w:r w:rsidR="00033D0F">
        <w:t>had</w:t>
      </w:r>
      <w:r w:rsidR="00033D0F">
        <w:rPr>
          <w:spacing w:val="-5"/>
        </w:rPr>
        <w:t xml:space="preserve"> </w:t>
      </w:r>
      <w:r w:rsidR="00033D0F">
        <w:t>a</w:t>
      </w:r>
      <w:r w:rsidR="00033D0F">
        <w:rPr>
          <w:spacing w:val="-9"/>
        </w:rPr>
        <w:t xml:space="preserve"> </w:t>
      </w:r>
      <w:r w:rsidR="00033D0F">
        <w:t>material</w:t>
      </w:r>
    </w:p>
    <w:p w14:paraId="6C73F3A0" w14:textId="77777777" w:rsidR="00BD462C" w:rsidRDefault="00BD462C">
      <w:pPr>
        <w:pStyle w:val="BodyText"/>
        <w:rPr>
          <w:sz w:val="20"/>
        </w:rPr>
      </w:pPr>
    </w:p>
    <w:p w14:paraId="375637AA" w14:textId="383F8400" w:rsidR="00BD462C" w:rsidRDefault="00D70C7D">
      <w:pPr>
        <w:pStyle w:val="BodyText"/>
        <w:spacing w:before="9"/>
        <w:rPr>
          <w:sz w:val="20"/>
        </w:rPr>
      </w:pPr>
      <w:r>
        <w:rPr>
          <w:noProof/>
        </w:rPr>
        <mc:AlternateContent>
          <mc:Choice Requires="wps">
            <w:drawing>
              <wp:anchor distT="0" distB="0" distL="0" distR="0" simplePos="0" relativeHeight="487805952" behindDoc="1" locked="0" layoutInCell="1" allowOverlap="1" wp14:anchorId="3920AF2E" wp14:editId="109B50FD">
                <wp:simplePos x="0" y="0"/>
                <wp:positionH relativeFrom="page">
                  <wp:posOffset>899160</wp:posOffset>
                </wp:positionH>
                <wp:positionV relativeFrom="paragraph">
                  <wp:posOffset>176530</wp:posOffset>
                </wp:positionV>
                <wp:extent cx="1828800" cy="8890"/>
                <wp:effectExtent l="0" t="0" r="0" b="0"/>
                <wp:wrapTopAndBottom/>
                <wp:docPr id="490" name="docshape4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49956A" id="docshape474" o:spid="_x0000_s1026" alt="&quot;&quot;" style="position:absolute;margin-left:70.8pt;margin-top:13.9pt;width:2in;height:.7pt;z-index:-1551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" fillcolor="black" stroked="f">
                <w10:wrap type="topAndBottom" anchorx="page"/>
              </v:rect>
            </w:pict>
          </mc:Fallback>
        </mc:AlternateContent>
      </w:r>
    </w:p>
    <w:p w14:paraId="01A23606" w14:textId="77777777" w:rsidR="00BD462C" w:rsidRDefault="00033D0F">
      <w:pPr>
        <w:spacing w:before="112"/>
        <w:ind w:left="136" w:right="908" w:hanging="1"/>
        <w:jc w:val="both"/>
        <w:rPr>
          <w:sz w:val="18"/>
        </w:rPr>
      </w:pPr>
      <w:bookmarkStart w:id="1277" w:name="_bookmark1103"/>
      <w:bookmarkEnd w:id="1277"/>
      <w:r>
        <w:rPr>
          <w:position w:val="5"/>
          <w:sz w:val="12"/>
        </w:rPr>
        <w:t>951</w:t>
      </w:r>
      <w:r>
        <w:rPr>
          <w:spacing w:val="40"/>
          <w:position w:val="5"/>
          <w:sz w:val="12"/>
        </w:rPr>
        <w:t xml:space="preserve"> </w:t>
      </w:r>
      <w:r>
        <w:rPr>
          <w:sz w:val="18"/>
        </w:rPr>
        <w:t>China's first written submission, paras. 1996, 2000-2002, 2003-2004, 2010, 2025, 2029. These extracts relate to MOFCOM's: (i) dismissal of broader structural issues with the domestic industry as a non-attribution factor; (ii) like product determination; (iii) determination that subject imports compete with domestic like products; (iv) dismissal of Chinese domestic consumption policies as a non-attribution factor. At paragraph 2012 of its first written submission, China asserts that</w:t>
      </w:r>
      <w:r>
        <w:rPr>
          <w:spacing w:val="-2"/>
          <w:sz w:val="18"/>
        </w:rPr>
        <w:t xml:space="preserve"> </w:t>
      </w:r>
      <w:r>
        <w:rPr>
          <w:sz w:val="18"/>
        </w:rPr>
        <w:t>consumer perceptions</w:t>
      </w:r>
      <w:r>
        <w:rPr>
          <w:spacing w:val="-3"/>
          <w:sz w:val="18"/>
        </w:rPr>
        <w:t xml:space="preserve"> </w:t>
      </w:r>
      <w:r>
        <w:rPr>
          <w:sz w:val="18"/>
        </w:rPr>
        <w:t>were also</w:t>
      </w:r>
      <w:r>
        <w:rPr>
          <w:spacing w:val="-4"/>
          <w:sz w:val="18"/>
        </w:rPr>
        <w:t xml:space="preserve"> </w:t>
      </w:r>
      <w:r>
        <w:rPr>
          <w:sz w:val="18"/>
        </w:rPr>
        <w:t>considered by</w:t>
      </w:r>
      <w:r>
        <w:rPr>
          <w:spacing w:val="-5"/>
          <w:sz w:val="18"/>
        </w:rPr>
        <w:t xml:space="preserve"> </w:t>
      </w:r>
      <w:r>
        <w:rPr>
          <w:sz w:val="18"/>
        </w:rPr>
        <w:t>MOFCOM</w:t>
      </w:r>
      <w:r>
        <w:rPr>
          <w:spacing w:val="-1"/>
          <w:sz w:val="18"/>
        </w:rPr>
        <w:t xml:space="preserve"> </w:t>
      </w:r>
      <w:r>
        <w:rPr>
          <w:sz w:val="18"/>
        </w:rPr>
        <w:t>during</w:t>
      </w:r>
      <w:r>
        <w:rPr>
          <w:spacing w:val="-3"/>
          <w:sz w:val="18"/>
        </w:rPr>
        <w:t xml:space="preserve"> </w:t>
      </w:r>
      <w:r>
        <w:rPr>
          <w:sz w:val="18"/>
        </w:rPr>
        <w:t>its</w:t>
      </w:r>
      <w:r>
        <w:rPr>
          <w:spacing w:val="-3"/>
          <w:sz w:val="18"/>
        </w:rPr>
        <w:t xml:space="preserve"> </w:t>
      </w:r>
      <w:r>
        <w:rPr>
          <w:sz w:val="18"/>
        </w:rPr>
        <w:t>causation</w:t>
      </w:r>
      <w:r>
        <w:rPr>
          <w:spacing w:val="-4"/>
          <w:sz w:val="18"/>
        </w:rPr>
        <w:t xml:space="preserve"> </w:t>
      </w:r>
      <w:r>
        <w:rPr>
          <w:sz w:val="18"/>
        </w:rPr>
        <w:t>analysis</w:t>
      </w:r>
      <w:r>
        <w:rPr>
          <w:spacing w:val="-3"/>
          <w:sz w:val="18"/>
        </w:rPr>
        <w:t xml:space="preserve"> </w:t>
      </w:r>
      <w:r>
        <w:rPr>
          <w:sz w:val="18"/>
        </w:rPr>
        <w:t>as</w:t>
      </w:r>
      <w:r>
        <w:rPr>
          <w:spacing w:val="-3"/>
          <w:sz w:val="18"/>
        </w:rPr>
        <w:t xml:space="preserve"> </w:t>
      </w:r>
      <w:r>
        <w:rPr>
          <w:sz w:val="18"/>
        </w:rPr>
        <w:t>addressed</w:t>
      </w:r>
      <w:r>
        <w:rPr>
          <w:spacing w:val="-4"/>
          <w:sz w:val="18"/>
        </w:rPr>
        <w:t xml:space="preserve"> </w:t>
      </w:r>
      <w:r>
        <w:rPr>
          <w:sz w:val="18"/>
        </w:rPr>
        <w:t>in</w:t>
      </w:r>
      <w:r>
        <w:rPr>
          <w:spacing w:val="-4"/>
          <w:sz w:val="18"/>
        </w:rPr>
        <w:t xml:space="preserve"> </w:t>
      </w:r>
      <w:r>
        <w:rPr>
          <w:sz w:val="18"/>
        </w:rPr>
        <w:t>Section</w:t>
      </w:r>
      <w:r>
        <w:rPr>
          <w:spacing w:val="-8"/>
          <w:sz w:val="18"/>
        </w:rPr>
        <w:t xml:space="preserve"> </w:t>
      </w:r>
      <w:r>
        <w:rPr>
          <w:sz w:val="18"/>
        </w:rPr>
        <w:t>VII.E.5 of China's</w:t>
      </w:r>
      <w:r>
        <w:rPr>
          <w:spacing w:val="-3"/>
          <w:sz w:val="18"/>
        </w:rPr>
        <w:t xml:space="preserve"> </w:t>
      </w:r>
      <w:r>
        <w:rPr>
          <w:sz w:val="18"/>
        </w:rPr>
        <w:t>first written</w:t>
      </w:r>
      <w:r>
        <w:rPr>
          <w:spacing w:val="-4"/>
          <w:sz w:val="18"/>
        </w:rPr>
        <w:t xml:space="preserve"> </w:t>
      </w:r>
      <w:r>
        <w:rPr>
          <w:sz w:val="18"/>
        </w:rPr>
        <w:t>submission.</w:t>
      </w:r>
      <w:r>
        <w:rPr>
          <w:spacing w:val="-2"/>
          <w:sz w:val="18"/>
        </w:rPr>
        <w:t xml:space="preserve"> </w:t>
      </w:r>
      <w:r>
        <w:rPr>
          <w:sz w:val="18"/>
        </w:rPr>
        <w:t>This section</w:t>
      </w:r>
      <w:r>
        <w:rPr>
          <w:spacing w:val="-4"/>
          <w:sz w:val="18"/>
        </w:rPr>
        <w:t xml:space="preserve"> </w:t>
      </w:r>
      <w:r>
        <w:rPr>
          <w:sz w:val="18"/>
        </w:rPr>
        <w:t>does not detail any</w:t>
      </w:r>
      <w:r>
        <w:rPr>
          <w:spacing w:val="-5"/>
          <w:sz w:val="18"/>
        </w:rPr>
        <w:t xml:space="preserve"> </w:t>
      </w:r>
      <w:r>
        <w:rPr>
          <w:sz w:val="18"/>
        </w:rPr>
        <w:t>consideration of consumer perceptions</w:t>
      </w:r>
      <w:r>
        <w:rPr>
          <w:spacing w:val="-3"/>
          <w:sz w:val="18"/>
        </w:rPr>
        <w:t xml:space="preserve"> </w:t>
      </w:r>
      <w:r>
        <w:rPr>
          <w:sz w:val="18"/>
        </w:rPr>
        <w:t>by</w:t>
      </w:r>
      <w:r>
        <w:rPr>
          <w:spacing w:val="-5"/>
          <w:sz w:val="18"/>
        </w:rPr>
        <w:t xml:space="preserve"> </w:t>
      </w:r>
      <w:r>
        <w:rPr>
          <w:sz w:val="18"/>
        </w:rPr>
        <w:t xml:space="preserve">MOFCOM either during the investigation or by way of </w:t>
      </w:r>
      <w:r>
        <w:rPr>
          <w:i/>
          <w:sz w:val="18"/>
        </w:rPr>
        <w:t xml:space="preserve">ex post </w:t>
      </w:r>
      <w:r>
        <w:rPr>
          <w:sz w:val="18"/>
        </w:rPr>
        <w:t>justification.</w:t>
      </w:r>
    </w:p>
    <w:p w14:paraId="46FF3FAC" w14:textId="77777777" w:rsidR="00BD462C" w:rsidRDefault="00033D0F">
      <w:pPr>
        <w:spacing w:line="218" w:lineRule="exact"/>
        <w:ind w:left="135"/>
        <w:jc w:val="both"/>
        <w:rPr>
          <w:sz w:val="18"/>
        </w:rPr>
      </w:pPr>
      <w:bookmarkStart w:id="1278" w:name="_bookmark1104"/>
      <w:bookmarkEnd w:id="1278"/>
      <w:r>
        <w:rPr>
          <w:position w:val="5"/>
          <w:sz w:val="12"/>
        </w:rPr>
        <w:t>952</w:t>
      </w:r>
      <w:r>
        <w:rPr>
          <w:spacing w:val="9"/>
          <w:position w:val="5"/>
          <w:sz w:val="12"/>
        </w:rPr>
        <w:t xml:space="preserve"> </w:t>
      </w:r>
      <w:r>
        <w:rPr>
          <w:sz w:val="18"/>
        </w:rPr>
        <w:t>China's</w:t>
      </w:r>
      <w:r>
        <w:rPr>
          <w:spacing w:val="-9"/>
          <w:sz w:val="18"/>
        </w:rPr>
        <w:t xml:space="preserve"> </w:t>
      </w:r>
      <w:r>
        <w:rPr>
          <w:sz w:val="18"/>
        </w:rPr>
        <w:t>first</w:t>
      </w:r>
      <w:r>
        <w:rPr>
          <w:spacing w:val="-7"/>
          <w:sz w:val="18"/>
        </w:rPr>
        <w:t xml:space="preserve"> </w:t>
      </w:r>
      <w:r>
        <w:rPr>
          <w:sz w:val="18"/>
        </w:rPr>
        <w:t>written</w:t>
      </w:r>
      <w:r>
        <w:rPr>
          <w:spacing w:val="-10"/>
          <w:sz w:val="18"/>
        </w:rPr>
        <w:t xml:space="preserve"> </w:t>
      </w:r>
      <w:r>
        <w:rPr>
          <w:sz w:val="18"/>
        </w:rPr>
        <w:t>submission,</w:t>
      </w:r>
      <w:r>
        <w:rPr>
          <w:spacing w:val="-3"/>
          <w:sz w:val="18"/>
        </w:rPr>
        <w:t xml:space="preserve"> </w:t>
      </w:r>
      <w:r>
        <w:rPr>
          <w:sz w:val="18"/>
        </w:rPr>
        <w:t>paras.</w:t>
      </w:r>
      <w:r>
        <w:rPr>
          <w:spacing w:val="-7"/>
          <w:sz w:val="18"/>
        </w:rPr>
        <w:t xml:space="preserve"> </w:t>
      </w:r>
      <w:r>
        <w:rPr>
          <w:sz w:val="18"/>
        </w:rPr>
        <w:t>1989-1995,</w:t>
      </w:r>
      <w:r>
        <w:rPr>
          <w:spacing w:val="-3"/>
          <w:sz w:val="18"/>
        </w:rPr>
        <w:t xml:space="preserve"> </w:t>
      </w:r>
      <w:r>
        <w:rPr>
          <w:sz w:val="18"/>
        </w:rPr>
        <w:t>1998-1999,</w:t>
      </w:r>
      <w:r>
        <w:rPr>
          <w:spacing w:val="-3"/>
          <w:sz w:val="18"/>
        </w:rPr>
        <w:t xml:space="preserve"> </w:t>
      </w:r>
      <w:r>
        <w:rPr>
          <w:sz w:val="18"/>
        </w:rPr>
        <w:t>2007-</w:t>
      </w:r>
      <w:r>
        <w:rPr>
          <w:spacing w:val="-2"/>
          <w:sz w:val="18"/>
        </w:rPr>
        <w:t>2009.</w:t>
      </w:r>
    </w:p>
    <w:p w14:paraId="493A8BDE" w14:textId="77777777" w:rsidR="00BD462C" w:rsidRDefault="00033D0F">
      <w:pPr>
        <w:spacing w:before="1"/>
        <w:ind w:left="135"/>
        <w:jc w:val="both"/>
        <w:rPr>
          <w:sz w:val="18"/>
        </w:rPr>
      </w:pPr>
      <w:bookmarkStart w:id="1279" w:name="_bookmark1105"/>
      <w:bookmarkEnd w:id="1279"/>
      <w:r>
        <w:rPr>
          <w:position w:val="5"/>
          <w:sz w:val="12"/>
        </w:rPr>
        <w:t>953</w:t>
      </w:r>
      <w:r>
        <w:rPr>
          <w:spacing w:val="11"/>
          <w:position w:val="5"/>
          <w:sz w:val="12"/>
        </w:rPr>
        <w:t xml:space="preserve"> </w:t>
      </w:r>
      <w:r>
        <w:rPr>
          <w:sz w:val="18"/>
        </w:rPr>
        <w:t>Australia's</w:t>
      </w:r>
      <w:r>
        <w:rPr>
          <w:spacing w:val="-6"/>
          <w:sz w:val="18"/>
        </w:rPr>
        <w:t xml:space="preserve"> </w:t>
      </w:r>
      <w:r>
        <w:rPr>
          <w:sz w:val="18"/>
        </w:rPr>
        <w:t>first</w:t>
      </w:r>
      <w:r>
        <w:rPr>
          <w:spacing w:val="-6"/>
          <w:sz w:val="18"/>
        </w:rPr>
        <w:t xml:space="preserve"> </w:t>
      </w:r>
      <w:r>
        <w:rPr>
          <w:sz w:val="18"/>
        </w:rPr>
        <w:t>written</w:t>
      </w:r>
      <w:r>
        <w:rPr>
          <w:spacing w:val="-3"/>
          <w:sz w:val="18"/>
        </w:rPr>
        <w:t xml:space="preserve"> </w:t>
      </w:r>
      <w:r>
        <w:rPr>
          <w:sz w:val="18"/>
        </w:rPr>
        <w:t>submission, para.</w:t>
      </w:r>
      <w:r>
        <w:rPr>
          <w:spacing w:val="-6"/>
          <w:sz w:val="18"/>
        </w:rPr>
        <w:t xml:space="preserve"> </w:t>
      </w:r>
      <w:r>
        <w:rPr>
          <w:sz w:val="18"/>
        </w:rPr>
        <w:t>709;</w:t>
      </w:r>
      <w:r>
        <w:rPr>
          <w:spacing w:val="-4"/>
          <w:sz w:val="18"/>
        </w:rPr>
        <w:t xml:space="preserve"> </w:t>
      </w:r>
      <w:r>
        <w:rPr>
          <w:sz w:val="18"/>
        </w:rPr>
        <w:t>China's</w:t>
      </w:r>
      <w:r>
        <w:rPr>
          <w:spacing w:val="-6"/>
          <w:sz w:val="18"/>
        </w:rPr>
        <w:t xml:space="preserve"> </w:t>
      </w:r>
      <w:r>
        <w:rPr>
          <w:sz w:val="18"/>
        </w:rPr>
        <w:t>first</w:t>
      </w:r>
      <w:r>
        <w:rPr>
          <w:spacing w:val="-6"/>
          <w:sz w:val="18"/>
        </w:rPr>
        <w:t xml:space="preserve"> </w:t>
      </w:r>
      <w:r>
        <w:rPr>
          <w:sz w:val="18"/>
        </w:rPr>
        <w:t>written</w:t>
      </w:r>
      <w:r>
        <w:rPr>
          <w:spacing w:val="-8"/>
          <w:sz w:val="18"/>
        </w:rPr>
        <w:t xml:space="preserve"> </w:t>
      </w:r>
      <w:r>
        <w:rPr>
          <w:sz w:val="18"/>
        </w:rPr>
        <w:t>submissions,</w:t>
      </w:r>
      <w:r>
        <w:rPr>
          <w:spacing w:val="-4"/>
          <w:sz w:val="18"/>
        </w:rPr>
        <w:t xml:space="preserve"> </w:t>
      </w:r>
      <w:r>
        <w:rPr>
          <w:sz w:val="18"/>
        </w:rPr>
        <w:t>paras.</w:t>
      </w:r>
      <w:r>
        <w:rPr>
          <w:spacing w:val="-2"/>
          <w:sz w:val="18"/>
        </w:rPr>
        <w:t xml:space="preserve"> </w:t>
      </w:r>
      <w:r>
        <w:rPr>
          <w:sz w:val="18"/>
        </w:rPr>
        <w:t>1989-</w:t>
      </w:r>
      <w:r>
        <w:rPr>
          <w:spacing w:val="-2"/>
          <w:sz w:val="18"/>
        </w:rPr>
        <w:t>2032.</w:t>
      </w:r>
    </w:p>
    <w:p w14:paraId="6614958B" w14:textId="77777777" w:rsidR="00BD462C" w:rsidRDefault="00033D0F">
      <w:pPr>
        <w:spacing w:before="1"/>
        <w:ind w:left="135"/>
        <w:jc w:val="both"/>
        <w:rPr>
          <w:sz w:val="18"/>
        </w:rPr>
      </w:pPr>
      <w:bookmarkStart w:id="1280" w:name="_bookmark1106"/>
      <w:bookmarkEnd w:id="1280"/>
      <w:r>
        <w:rPr>
          <w:position w:val="5"/>
          <w:sz w:val="12"/>
        </w:rPr>
        <w:t>954</w:t>
      </w:r>
      <w:r>
        <w:rPr>
          <w:spacing w:val="13"/>
          <w:position w:val="5"/>
          <w:sz w:val="12"/>
        </w:rPr>
        <w:t xml:space="preserve"> </w:t>
      </w:r>
      <w:r>
        <w:rPr>
          <w:sz w:val="18"/>
        </w:rPr>
        <w:t>Cf.</w:t>
      </w:r>
      <w:r>
        <w:rPr>
          <w:spacing w:val="1"/>
          <w:sz w:val="18"/>
        </w:rPr>
        <w:t xml:space="preserve"> </w:t>
      </w:r>
      <w:r>
        <w:rPr>
          <w:sz w:val="18"/>
        </w:rPr>
        <w:t>China's</w:t>
      </w:r>
      <w:r>
        <w:rPr>
          <w:spacing w:val="-5"/>
          <w:sz w:val="18"/>
        </w:rPr>
        <w:t xml:space="preserve"> </w:t>
      </w:r>
      <w:r>
        <w:rPr>
          <w:sz w:val="18"/>
        </w:rPr>
        <w:t>first</w:t>
      </w:r>
      <w:r>
        <w:rPr>
          <w:spacing w:val="-4"/>
          <w:sz w:val="18"/>
        </w:rPr>
        <w:t xml:space="preserve"> </w:t>
      </w:r>
      <w:r>
        <w:rPr>
          <w:sz w:val="18"/>
        </w:rPr>
        <w:t>written</w:t>
      </w:r>
      <w:r>
        <w:rPr>
          <w:spacing w:val="-6"/>
          <w:sz w:val="18"/>
        </w:rPr>
        <w:t xml:space="preserve"> </w:t>
      </w:r>
      <w:r>
        <w:rPr>
          <w:sz w:val="18"/>
        </w:rPr>
        <w:t>submission,</w:t>
      </w:r>
      <w:r>
        <w:rPr>
          <w:spacing w:val="-3"/>
          <w:sz w:val="18"/>
        </w:rPr>
        <w:t xml:space="preserve"> </w:t>
      </w:r>
      <w:r>
        <w:rPr>
          <w:sz w:val="18"/>
        </w:rPr>
        <w:t xml:space="preserve">para. </w:t>
      </w:r>
      <w:r>
        <w:rPr>
          <w:spacing w:val="-2"/>
          <w:sz w:val="18"/>
        </w:rPr>
        <w:t>1994.</w:t>
      </w:r>
    </w:p>
    <w:p w14:paraId="3EB9E3CA" w14:textId="77777777" w:rsidR="00BD462C" w:rsidRDefault="00033D0F">
      <w:pPr>
        <w:spacing w:before="1" w:line="218" w:lineRule="exact"/>
        <w:ind w:left="135"/>
        <w:jc w:val="both"/>
        <w:rPr>
          <w:sz w:val="18"/>
        </w:rPr>
      </w:pPr>
      <w:bookmarkStart w:id="1281" w:name="_bookmark1107"/>
      <w:bookmarkEnd w:id="1281"/>
      <w:r>
        <w:rPr>
          <w:position w:val="5"/>
          <w:sz w:val="12"/>
        </w:rPr>
        <w:t>955</w:t>
      </w:r>
      <w:r>
        <w:rPr>
          <w:spacing w:val="12"/>
          <w:position w:val="5"/>
          <w:sz w:val="12"/>
        </w:rPr>
        <w:t xml:space="preserve"> </w:t>
      </w:r>
      <w:r>
        <w:rPr>
          <w:sz w:val="18"/>
        </w:rPr>
        <w:t>China's</w:t>
      </w:r>
      <w:r>
        <w:rPr>
          <w:spacing w:val="-6"/>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 paras.</w:t>
      </w:r>
      <w:r>
        <w:rPr>
          <w:spacing w:val="-5"/>
          <w:sz w:val="18"/>
        </w:rPr>
        <w:t xml:space="preserve"> </w:t>
      </w:r>
      <w:r>
        <w:rPr>
          <w:sz w:val="18"/>
        </w:rPr>
        <w:t>1992-</w:t>
      </w:r>
      <w:r>
        <w:rPr>
          <w:spacing w:val="-2"/>
          <w:sz w:val="18"/>
        </w:rPr>
        <w:t>1993.</w:t>
      </w:r>
    </w:p>
    <w:p w14:paraId="7C64A49B" w14:textId="77777777" w:rsidR="00BD462C" w:rsidRDefault="00033D0F">
      <w:pPr>
        <w:spacing w:line="218" w:lineRule="exact"/>
        <w:ind w:left="135"/>
        <w:jc w:val="both"/>
        <w:rPr>
          <w:sz w:val="18"/>
        </w:rPr>
      </w:pPr>
      <w:bookmarkStart w:id="1282" w:name="_bookmark1108"/>
      <w:bookmarkEnd w:id="1282"/>
      <w:r>
        <w:rPr>
          <w:position w:val="5"/>
          <w:sz w:val="12"/>
        </w:rPr>
        <w:t>956</w:t>
      </w:r>
      <w:r>
        <w:rPr>
          <w:spacing w:val="10"/>
          <w:position w:val="5"/>
          <w:sz w:val="12"/>
        </w:rPr>
        <w:t xml:space="preserve"> </w:t>
      </w:r>
      <w:r>
        <w:rPr>
          <w:sz w:val="18"/>
        </w:rPr>
        <w:t>China's</w:t>
      </w:r>
      <w:r>
        <w:rPr>
          <w:spacing w:val="-7"/>
          <w:sz w:val="18"/>
        </w:rPr>
        <w:t xml:space="preserve"> </w:t>
      </w:r>
      <w:r>
        <w:rPr>
          <w:sz w:val="18"/>
        </w:rPr>
        <w:t>first</w:t>
      </w:r>
      <w:r>
        <w:rPr>
          <w:spacing w:val="-7"/>
          <w:sz w:val="18"/>
        </w:rPr>
        <w:t xml:space="preserve"> </w:t>
      </w:r>
      <w:r>
        <w:rPr>
          <w:sz w:val="18"/>
        </w:rPr>
        <w:t>written</w:t>
      </w:r>
      <w:r>
        <w:rPr>
          <w:spacing w:val="-8"/>
          <w:sz w:val="18"/>
        </w:rPr>
        <w:t xml:space="preserve"> </w:t>
      </w:r>
      <w:r>
        <w:rPr>
          <w:sz w:val="18"/>
        </w:rPr>
        <w:t>submission,</w:t>
      </w:r>
      <w:r>
        <w:rPr>
          <w:spacing w:val="-1"/>
          <w:sz w:val="18"/>
        </w:rPr>
        <w:t xml:space="preserve"> </w:t>
      </w:r>
      <w:r>
        <w:rPr>
          <w:sz w:val="18"/>
        </w:rPr>
        <w:t>paras.</w:t>
      </w:r>
      <w:r>
        <w:rPr>
          <w:spacing w:val="-7"/>
          <w:sz w:val="18"/>
        </w:rPr>
        <w:t xml:space="preserve"> </w:t>
      </w:r>
      <w:r>
        <w:rPr>
          <w:sz w:val="18"/>
        </w:rPr>
        <w:t>2013-2018,</w:t>
      </w:r>
      <w:r>
        <w:rPr>
          <w:spacing w:val="-1"/>
          <w:sz w:val="18"/>
        </w:rPr>
        <w:t xml:space="preserve"> </w:t>
      </w:r>
      <w:r>
        <w:rPr>
          <w:sz w:val="18"/>
        </w:rPr>
        <w:t>2019-</w:t>
      </w:r>
      <w:r>
        <w:rPr>
          <w:spacing w:val="-2"/>
          <w:sz w:val="18"/>
        </w:rPr>
        <w:t>2031.</w:t>
      </w:r>
    </w:p>
    <w:p w14:paraId="3C0BC18D" w14:textId="77777777" w:rsidR="00BD462C" w:rsidRDefault="00033D0F">
      <w:pPr>
        <w:spacing w:before="1"/>
        <w:ind w:left="136" w:right="910" w:hanging="1"/>
        <w:jc w:val="both"/>
        <w:rPr>
          <w:sz w:val="18"/>
        </w:rPr>
      </w:pPr>
      <w:bookmarkStart w:id="1283" w:name="_bookmark1109"/>
      <w:bookmarkEnd w:id="1283"/>
      <w:r>
        <w:rPr>
          <w:position w:val="5"/>
          <w:sz w:val="12"/>
        </w:rPr>
        <w:t>957</w:t>
      </w:r>
      <w:r>
        <w:rPr>
          <w:spacing w:val="34"/>
          <w:position w:val="5"/>
          <w:sz w:val="12"/>
        </w:rPr>
        <w:t xml:space="preserve"> </w:t>
      </w:r>
      <w:r>
        <w:rPr>
          <w:sz w:val="18"/>
        </w:rPr>
        <w:t>Australia's first written submission, para. 709; China's first written submission, paras. 1330, 2014; Anti-Dumping Final Determination</w:t>
      </w:r>
      <w:r>
        <w:rPr>
          <w:spacing w:val="-8"/>
          <w:sz w:val="18"/>
        </w:rPr>
        <w:t xml:space="preserve"> </w:t>
      </w:r>
      <w:r>
        <w:rPr>
          <w:sz w:val="18"/>
        </w:rPr>
        <w:t>(AUS-2),</w:t>
      </w:r>
      <w:r>
        <w:rPr>
          <w:spacing w:val="-1"/>
          <w:sz w:val="18"/>
        </w:rPr>
        <w:t xml:space="preserve"> </w:t>
      </w:r>
      <w:r>
        <w:rPr>
          <w:sz w:val="18"/>
        </w:rPr>
        <w:t>p.</w:t>
      </w:r>
      <w:r>
        <w:rPr>
          <w:spacing w:val="-2"/>
          <w:sz w:val="18"/>
        </w:rPr>
        <w:t xml:space="preserve"> </w:t>
      </w:r>
      <w:r>
        <w:rPr>
          <w:sz w:val="18"/>
        </w:rPr>
        <w:t>120.The</w:t>
      </w:r>
      <w:r>
        <w:rPr>
          <w:spacing w:val="-3"/>
          <w:sz w:val="18"/>
        </w:rPr>
        <w:t xml:space="preserve"> </w:t>
      </w:r>
      <w:r>
        <w:rPr>
          <w:sz w:val="18"/>
        </w:rPr>
        <w:t>translation</w:t>
      </w:r>
      <w:r>
        <w:rPr>
          <w:spacing w:val="-4"/>
          <w:sz w:val="18"/>
        </w:rPr>
        <w:t xml:space="preserve"> </w:t>
      </w:r>
      <w:r>
        <w:rPr>
          <w:sz w:val="18"/>
        </w:rPr>
        <w:t>issue</w:t>
      </w:r>
      <w:r>
        <w:rPr>
          <w:spacing w:val="-3"/>
          <w:sz w:val="18"/>
        </w:rPr>
        <w:t xml:space="preserve"> </w:t>
      </w:r>
      <w:r>
        <w:rPr>
          <w:sz w:val="18"/>
        </w:rPr>
        <w:t>raised</w:t>
      </w:r>
      <w:r>
        <w:rPr>
          <w:spacing w:val="-4"/>
          <w:sz w:val="18"/>
        </w:rPr>
        <w:t xml:space="preserve"> </w:t>
      </w:r>
      <w:r>
        <w:rPr>
          <w:sz w:val="18"/>
        </w:rPr>
        <w:t>by</w:t>
      </w:r>
      <w:r>
        <w:rPr>
          <w:spacing w:val="-10"/>
          <w:sz w:val="18"/>
        </w:rPr>
        <w:t xml:space="preserve"> </w:t>
      </w:r>
      <w:r>
        <w:rPr>
          <w:sz w:val="18"/>
        </w:rPr>
        <w:t>China</w:t>
      </w:r>
      <w:r>
        <w:rPr>
          <w:spacing w:val="-10"/>
          <w:sz w:val="18"/>
        </w:rPr>
        <w:t xml:space="preserve"> </w:t>
      </w:r>
      <w:r>
        <w:rPr>
          <w:sz w:val="18"/>
        </w:rPr>
        <w:t>at</w:t>
      </w:r>
      <w:r>
        <w:rPr>
          <w:spacing w:val="-2"/>
          <w:sz w:val="18"/>
        </w:rPr>
        <w:t xml:space="preserve"> </w:t>
      </w:r>
      <w:r>
        <w:rPr>
          <w:sz w:val="18"/>
        </w:rPr>
        <w:t>paragraphs</w:t>
      </w:r>
      <w:r>
        <w:rPr>
          <w:spacing w:val="-3"/>
          <w:sz w:val="18"/>
        </w:rPr>
        <w:t xml:space="preserve"> </w:t>
      </w:r>
      <w:r>
        <w:rPr>
          <w:sz w:val="18"/>
        </w:rPr>
        <w:t>2017-2018</w:t>
      </w:r>
      <w:r>
        <w:rPr>
          <w:spacing w:val="-5"/>
          <w:sz w:val="18"/>
        </w:rPr>
        <w:t xml:space="preserve"> </w:t>
      </w:r>
      <w:r>
        <w:rPr>
          <w:sz w:val="18"/>
        </w:rPr>
        <w:t>of</w:t>
      </w:r>
      <w:r>
        <w:rPr>
          <w:spacing w:val="-2"/>
          <w:sz w:val="18"/>
        </w:rPr>
        <w:t xml:space="preserve"> </w:t>
      </w:r>
      <w:r>
        <w:rPr>
          <w:sz w:val="18"/>
        </w:rPr>
        <w:t>its</w:t>
      </w:r>
      <w:r>
        <w:rPr>
          <w:spacing w:val="-8"/>
          <w:sz w:val="18"/>
        </w:rPr>
        <w:t xml:space="preserve"> </w:t>
      </w:r>
      <w:r>
        <w:rPr>
          <w:sz w:val="18"/>
        </w:rPr>
        <w:t>first</w:t>
      </w:r>
      <w:r>
        <w:rPr>
          <w:spacing w:val="-2"/>
          <w:sz w:val="18"/>
        </w:rPr>
        <w:t xml:space="preserve"> </w:t>
      </w:r>
      <w:r>
        <w:rPr>
          <w:sz w:val="18"/>
        </w:rPr>
        <w:t>written</w:t>
      </w:r>
      <w:r>
        <w:rPr>
          <w:spacing w:val="-8"/>
          <w:sz w:val="18"/>
        </w:rPr>
        <w:t xml:space="preserve"> </w:t>
      </w:r>
      <w:r>
        <w:rPr>
          <w:sz w:val="18"/>
        </w:rPr>
        <w:t>submission</w:t>
      </w:r>
      <w:r>
        <w:rPr>
          <w:spacing w:val="-8"/>
          <w:sz w:val="18"/>
        </w:rPr>
        <w:t xml:space="preserve"> </w:t>
      </w:r>
      <w:r>
        <w:rPr>
          <w:sz w:val="18"/>
        </w:rPr>
        <w:t>is not relevant to the issues in dispute.</w:t>
      </w:r>
    </w:p>
    <w:p w14:paraId="2A0CFFC9" w14:textId="77777777" w:rsidR="00BD462C" w:rsidRDefault="00033D0F">
      <w:pPr>
        <w:spacing w:before="3"/>
        <w:ind w:left="135"/>
        <w:jc w:val="both"/>
        <w:rPr>
          <w:sz w:val="18"/>
        </w:rPr>
      </w:pPr>
      <w:bookmarkStart w:id="1284" w:name="_bookmark1110"/>
      <w:bookmarkEnd w:id="1284"/>
      <w:r>
        <w:rPr>
          <w:position w:val="5"/>
          <w:sz w:val="12"/>
        </w:rPr>
        <w:t>958</w:t>
      </w:r>
      <w:r>
        <w:rPr>
          <w:spacing w:val="12"/>
          <w:position w:val="5"/>
          <w:sz w:val="12"/>
        </w:rPr>
        <w:t xml:space="preserve"> </w:t>
      </w:r>
      <w:r>
        <w:rPr>
          <w:sz w:val="18"/>
        </w:rPr>
        <w:t>Cf. China's</w:t>
      </w:r>
      <w:r>
        <w:rPr>
          <w:spacing w:val="-6"/>
          <w:sz w:val="18"/>
        </w:rPr>
        <w:t xml:space="preserve"> </w:t>
      </w:r>
      <w:r>
        <w:rPr>
          <w:sz w:val="18"/>
        </w:rPr>
        <w:t>first</w:t>
      </w:r>
      <w:r>
        <w:rPr>
          <w:spacing w:val="-5"/>
          <w:sz w:val="18"/>
        </w:rPr>
        <w:t xml:space="preserve"> </w:t>
      </w:r>
      <w:r>
        <w:rPr>
          <w:sz w:val="18"/>
        </w:rPr>
        <w:t>written</w:t>
      </w:r>
      <w:r>
        <w:rPr>
          <w:spacing w:val="-7"/>
          <w:sz w:val="18"/>
        </w:rPr>
        <w:t xml:space="preserve"> </w:t>
      </w:r>
      <w:r>
        <w:rPr>
          <w:sz w:val="18"/>
        </w:rPr>
        <w:t>submission,</w:t>
      </w:r>
      <w:r>
        <w:rPr>
          <w:spacing w:val="-4"/>
          <w:sz w:val="18"/>
        </w:rPr>
        <w:t xml:space="preserve"> </w:t>
      </w:r>
      <w:r>
        <w:rPr>
          <w:sz w:val="18"/>
        </w:rPr>
        <w:t>paras.</w:t>
      </w:r>
      <w:r>
        <w:rPr>
          <w:spacing w:val="-1"/>
          <w:sz w:val="18"/>
        </w:rPr>
        <w:t xml:space="preserve"> </w:t>
      </w:r>
      <w:r>
        <w:rPr>
          <w:sz w:val="18"/>
        </w:rPr>
        <w:t>2019-</w:t>
      </w:r>
      <w:r>
        <w:rPr>
          <w:spacing w:val="-2"/>
          <w:sz w:val="18"/>
        </w:rPr>
        <w:t>2031.</w:t>
      </w:r>
    </w:p>
    <w:p w14:paraId="4FBD9963" w14:textId="77777777" w:rsidR="00BD462C" w:rsidRDefault="00BD462C">
      <w:pPr>
        <w:jc w:val="both"/>
        <w:rPr>
          <w:sz w:val="18"/>
        </w:rPr>
        <w:sectPr w:rsidR="00BD462C">
          <w:pgSz w:w="11910" w:h="16840"/>
          <w:pgMar w:top="860" w:right="500" w:bottom="780" w:left="1280" w:header="566" w:footer="590" w:gutter="0"/>
          <w:cols w:space="720"/>
        </w:sectPr>
      </w:pPr>
    </w:p>
    <w:p w14:paraId="37B23CDD"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4BD5B237"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6022D034"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329A4E22" w14:textId="77777777" w:rsidR="00BD462C" w:rsidRDefault="00033D0F">
      <w:pPr>
        <w:pStyle w:val="BodyText"/>
        <w:spacing w:before="102" w:line="360" w:lineRule="auto"/>
        <w:ind w:left="135" w:right="917"/>
        <w:jc w:val="both"/>
      </w:pPr>
      <w:r>
        <w:t>impact on the dynamics of the Chinese wine market and could have caused material injury. An unbiased and objective investigating authority would have conducted a proper non- attribution analysis in respect of this factor. MOFCOM did not do so.</w:t>
      </w:r>
    </w:p>
    <w:p w14:paraId="64B42FC3" w14:textId="77777777" w:rsidR="00BD462C" w:rsidRDefault="00033D0F">
      <w:pPr>
        <w:pStyle w:val="Heading3"/>
        <w:numPr>
          <w:ilvl w:val="0"/>
          <w:numId w:val="32"/>
        </w:numPr>
        <w:tabs>
          <w:tab w:val="left" w:pos="2689"/>
          <w:tab w:val="left" w:pos="2690"/>
        </w:tabs>
        <w:spacing w:before="160"/>
      </w:pPr>
      <w:bookmarkStart w:id="1285" w:name="5._Conclusion"/>
      <w:bookmarkStart w:id="1286" w:name="_bookmark1111"/>
      <w:bookmarkEnd w:id="1285"/>
      <w:bookmarkEnd w:id="1286"/>
      <w:r>
        <w:rPr>
          <w:spacing w:val="-2"/>
        </w:rPr>
        <w:t>Conclusion</w:t>
      </w:r>
    </w:p>
    <w:p w14:paraId="6F993BA1" w14:textId="77777777" w:rsidR="00BD462C" w:rsidRDefault="00BD462C">
      <w:pPr>
        <w:pStyle w:val="BodyText"/>
        <w:spacing w:before="7"/>
        <w:rPr>
          <w:b/>
          <w:sz w:val="20"/>
        </w:rPr>
      </w:pPr>
    </w:p>
    <w:p w14:paraId="64918FFD" w14:textId="6FA34C42" w:rsidR="00BD462C" w:rsidRDefault="003B71EA">
      <w:pPr>
        <w:pStyle w:val="BodyText"/>
        <w:spacing w:before="56" w:line="360" w:lineRule="auto"/>
        <w:ind w:left="135" w:right="918"/>
        <w:jc w:val="both"/>
      </w:pPr>
      <w:r>
        <w:rPr>
          <w:noProof/>
        </w:rPr>
        <w:t>606.</w:t>
      </w:r>
      <w:r w:rsidR="00033D0F">
        <w:rPr>
          <w:rFonts w:ascii="Times New Roman"/>
          <w:spacing w:val="80"/>
          <w:w w:val="150"/>
          <w:position w:val="1"/>
          <w:sz w:val="20"/>
        </w:rPr>
        <w:t xml:space="preserve">  </w:t>
      </w:r>
      <w:r w:rsidR="00033D0F">
        <w:rPr>
          <w:position w:val="1"/>
        </w:rPr>
        <w:t xml:space="preserve">China has failed to rebut Australia's </w:t>
      </w:r>
      <w:r w:rsidR="00033D0F">
        <w:rPr>
          <w:i/>
          <w:position w:val="1"/>
        </w:rPr>
        <w:t xml:space="preserve">prima facie </w:t>
      </w:r>
      <w:r w:rsidR="00033D0F">
        <w:rPr>
          <w:position w:val="1"/>
        </w:rPr>
        <w:t xml:space="preserve">case. For the reasons set out above </w:t>
      </w:r>
      <w:r w:rsidR="00033D0F">
        <w:t>and</w:t>
      </w:r>
      <w:r w:rsidR="00033D0F">
        <w:rPr>
          <w:spacing w:val="-6"/>
        </w:rPr>
        <w:t xml:space="preserve"> </w:t>
      </w:r>
      <w:r w:rsidR="00033D0F">
        <w:t>in</w:t>
      </w:r>
      <w:r w:rsidR="00033D0F">
        <w:rPr>
          <w:spacing w:val="-6"/>
        </w:rPr>
        <w:t xml:space="preserve"> </w:t>
      </w:r>
      <w:r w:rsidR="00033D0F">
        <w:t>Australia's</w:t>
      </w:r>
      <w:r w:rsidR="00033D0F">
        <w:rPr>
          <w:spacing w:val="-3"/>
        </w:rPr>
        <w:t xml:space="preserve"> </w:t>
      </w:r>
      <w:r w:rsidR="00033D0F">
        <w:t>first</w:t>
      </w:r>
      <w:r w:rsidR="00033D0F">
        <w:rPr>
          <w:spacing w:val="-4"/>
        </w:rPr>
        <w:t xml:space="preserve"> </w:t>
      </w:r>
      <w:r w:rsidR="00033D0F">
        <w:t>written</w:t>
      </w:r>
      <w:r w:rsidR="00033D0F">
        <w:rPr>
          <w:spacing w:val="-6"/>
        </w:rPr>
        <w:t xml:space="preserve"> </w:t>
      </w:r>
      <w:r w:rsidR="00033D0F">
        <w:t>submission,</w:t>
      </w:r>
      <w:r w:rsidR="00033D0F">
        <w:rPr>
          <w:spacing w:val="-3"/>
        </w:rPr>
        <w:t xml:space="preserve"> </w:t>
      </w:r>
      <w:r w:rsidR="00033D0F">
        <w:t>China</w:t>
      </w:r>
      <w:r w:rsidR="00033D0F">
        <w:rPr>
          <w:spacing w:val="-5"/>
        </w:rPr>
        <w:t xml:space="preserve"> </w:t>
      </w:r>
      <w:r w:rsidR="00033D0F">
        <w:t>acted</w:t>
      </w:r>
      <w:r w:rsidR="00033D0F">
        <w:rPr>
          <w:spacing w:val="-6"/>
        </w:rPr>
        <w:t xml:space="preserve"> </w:t>
      </w:r>
      <w:r w:rsidR="00033D0F">
        <w:t>inconsistently</w:t>
      </w:r>
      <w:r w:rsidR="00033D0F">
        <w:rPr>
          <w:spacing w:val="-3"/>
        </w:rPr>
        <w:t xml:space="preserve"> </w:t>
      </w:r>
      <w:r w:rsidR="00033D0F">
        <w:t>with</w:t>
      </w:r>
      <w:r w:rsidR="00033D0F">
        <w:rPr>
          <w:spacing w:val="-6"/>
        </w:rPr>
        <w:t xml:space="preserve"> </w:t>
      </w:r>
      <w:r w:rsidR="00033D0F">
        <w:t>Articles</w:t>
      </w:r>
      <w:r w:rsidR="00033D0F">
        <w:rPr>
          <w:spacing w:val="-3"/>
        </w:rPr>
        <w:t xml:space="preserve"> </w:t>
      </w:r>
      <w:r w:rsidR="00033D0F">
        <w:t>3.1</w:t>
      </w:r>
      <w:r w:rsidR="00033D0F">
        <w:rPr>
          <w:spacing w:val="-7"/>
        </w:rPr>
        <w:t xml:space="preserve"> </w:t>
      </w:r>
      <w:r w:rsidR="00033D0F">
        <w:t>and</w:t>
      </w:r>
      <w:r w:rsidR="00033D0F">
        <w:rPr>
          <w:spacing w:val="-6"/>
        </w:rPr>
        <w:t xml:space="preserve"> </w:t>
      </w:r>
      <w:r w:rsidR="00033D0F">
        <w:t>3.5 of the Anti-Dumping Agreement.</w:t>
      </w:r>
    </w:p>
    <w:p w14:paraId="3F4DCA88" w14:textId="77777777" w:rsidR="00BD462C" w:rsidRDefault="00033D0F" w:rsidP="00DA02D9">
      <w:pPr>
        <w:pStyle w:val="Heading1"/>
        <w:numPr>
          <w:ilvl w:val="0"/>
          <w:numId w:val="72"/>
        </w:numPr>
        <w:tabs>
          <w:tab w:val="left" w:pos="985"/>
          <w:tab w:val="left" w:pos="986"/>
          <w:tab w:val="left" w:pos="2775"/>
          <w:tab w:val="left" w:pos="3946"/>
          <w:tab w:val="left" w:pos="5823"/>
          <w:tab w:val="left" w:pos="6557"/>
          <w:tab w:val="left" w:pos="8145"/>
          <w:tab w:val="left" w:pos="8745"/>
        </w:tabs>
        <w:spacing w:before="156" w:line="360" w:lineRule="auto"/>
        <w:ind w:right="918"/>
      </w:pPr>
      <w:bookmarkStart w:id="1287" w:name="VI._Australia's_claims_concerning_the_in"/>
      <w:bookmarkStart w:id="1288" w:name="_bookmark1112"/>
      <w:bookmarkEnd w:id="1287"/>
      <w:bookmarkEnd w:id="1288"/>
      <w:r>
        <w:rPr>
          <w:spacing w:val="-2"/>
        </w:rPr>
        <w:t>AUSTRALIA'S</w:t>
      </w:r>
      <w:r>
        <w:tab/>
      </w:r>
      <w:r>
        <w:rPr>
          <w:spacing w:val="-2"/>
        </w:rPr>
        <w:t>CLAIMS</w:t>
      </w:r>
      <w:r>
        <w:tab/>
      </w:r>
      <w:r>
        <w:rPr>
          <w:spacing w:val="-2"/>
        </w:rPr>
        <w:t>CONCERNING</w:t>
      </w:r>
      <w:r>
        <w:tab/>
      </w:r>
      <w:r>
        <w:rPr>
          <w:spacing w:val="-4"/>
        </w:rPr>
        <w:t>THE</w:t>
      </w:r>
      <w:r>
        <w:tab/>
      </w:r>
      <w:r>
        <w:rPr>
          <w:spacing w:val="-2"/>
        </w:rPr>
        <w:t>INITIATION</w:t>
      </w:r>
      <w:r>
        <w:tab/>
      </w:r>
      <w:r>
        <w:rPr>
          <w:spacing w:val="-6"/>
        </w:rPr>
        <w:t>OF</w:t>
      </w:r>
      <w:r>
        <w:tab/>
      </w:r>
      <w:r>
        <w:rPr>
          <w:spacing w:val="-4"/>
        </w:rPr>
        <w:t xml:space="preserve">THE </w:t>
      </w:r>
      <w:r>
        <w:rPr>
          <w:spacing w:val="-2"/>
        </w:rPr>
        <w:t>INVESTIGATION</w:t>
      </w:r>
    </w:p>
    <w:p w14:paraId="265F9348" w14:textId="77777777" w:rsidR="00BD462C" w:rsidRDefault="00033D0F" w:rsidP="00DA02D9">
      <w:pPr>
        <w:pStyle w:val="ListParagraph"/>
        <w:numPr>
          <w:ilvl w:val="1"/>
          <w:numId w:val="72"/>
        </w:numPr>
        <w:tabs>
          <w:tab w:val="left" w:pos="1839"/>
          <w:tab w:val="left" w:pos="1841"/>
        </w:tabs>
        <w:spacing w:before="160"/>
        <w:ind w:left="1840" w:hanging="856"/>
        <w:rPr>
          <w:b/>
        </w:rPr>
      </w:pPr>
      <w:bookmarkStart w:id="1289" w:name="_bookmark1113"/>
      <w:bookmarkEnd w:id="1289"/>
      <w:r>
        <w:rPr>
          <w:b/>
          <w:spacing w:val="-2"/>
          <w:sz w:val="28"/>
        </w:rPr>
        <w:t>I</w:t>
      </w:r>
      <w:r>
        <w:rPr>
          <w:b/>
          <w:spacing w:val="-2"/>
        </w:rPr>
        <w:t>NTRODUCTION</w:t>
      </w:r>
    </w:p>
    <w:p w14:paraId="3BA1FCC2" w14:textId="77777777" w:rsidR="00BD462C" w:rsidRDefault="00BD462C">
      <w:pPr>
        <w:pStyle w:val="BodyText"/>
        <w:spacing w:before="2"/>
        <w:rPr>
          <w:b/>
          <w:sz w:val="23"/>
        </w:rPr>
      </w:pPr>
    </w:p>
    <w:p w14:paraId="506A82E1" w14:textId="63993294" w:rsidR="00BD462C" w:rsidRDefault="003B71EA">
      <w:pPr>
        <w:pStyle w:val="BodyText"/>
        <w:spacing w:before="56" w:line="355" w:lineRule="auto"/>
        <w:ind w:left="136"/>
      </w:pPr>
      <w:r>
        <w:rPr>
          <w:noProof/>
        </w:rPr>
        <w:t>607.</w:t>
      </w:r>
      <w:r w:rsidR="00033D0F">
        <w:rPr>
          <w:rFonts w:ascii="Times New Roman"/>
          <w:spacing w:val="80"/>
          <w:position w:val="1"/>
          <w:sz w:val="20"/>
        </w:rPr>
        <w:t xml:space="preserve">   </w:t>
      </w:r>
      <w:r w:rsidR="00033D0F">
        <w:rPr>
          <w:position w:val="1"/>
        </w:rPr>
        <w:t>Australia</w:t>
      </w:r>
      <w:r w:rsidR="00033D0F">
        <w:rPr>
          <w:spacing w:val="70"/>
          <w:position w:val="1"/>
        </w:rPr>
        <w:t xml:space="preserve"> </w:t>
      </w:r>
      <w:r w:rsidR="00033D0F">
        <w:rPr>
          <w:position w:val="1"/>
        </w:rPr>
        <w:t>has</w:t>
      </w:r>
      <w:r w:rsidR="00033D0F">
        <w:rPr>
          <w:spacing w:val="72"/>
          <w:position w:val="1"/>
        </w:rPr>
        <w:t xml:space="preserve"> </w:t>
      </w:r>
      <w:r w:rsidR="00033D0F">
        <w:rPr>
          <w:position w:val="1"/>
        </w:rPr>
        <w:t>established</w:t>
      </w:r>
      <w:r w:rsidR="00033D0F">
        <w:rPr>
          <w:spacing w:val="69"/>
          <w:position w:val="1"/>
        </w:rPr>
        <w:t xml:space="preserve"> </w:t>
      </w:r>
      <w:r w:rsidR="00033D0F">
        <w:rPr>
          <w:position w:val="1"/>
        </w:rPr>
        <w:t>a</w:t>
      </w:r>
      <w:r w:rsidR="00033D0F">
        <w:rPr>
          <w:spacing w:val="70"/>
          <w:position w:val="1"/>
        </w:rPr>
        <w:t xml:space="preserve"> </w:t>
      </w:r>
      <w:r w:rsidR="00033D0F">
        <w:rPr>
          <w:i/>
          <w:position w:val="1"/>
        </w:rPr>
        <w:t>prima</w:t>
      </w:r>
      <w:r w:rsidR="00033D0F">
        <w:rPr>
          <w:i/>
          <w:spacing w:val="71"/>
          <w:position w:val="1"/>
        </w:rPr>
        <w:t xml:space="preserve"> </w:t>
      </w:r>
      <w:r w:rsidR="00033D0F">
        <w:rPr>
          <w:i/>
          <w:position w:val="1"/>
        </w:rPr>
        <w:t>facie</w:t>
      </w:r>
      <w:r w:rsidR="00033D0F">
        <w:rPr>
          <w:i/>
          <w:spacing w:val="70"/>
          <w:position w:val="1"/>
        </w:rPr>
        <w:t xml:space="preserve"> </w:t>
      </w:r>
      <w:r w:rsidR="00033D0F">
        <w:rPr>
          <w:position w:val="1"/>
        </w:rPr>
        <w:t>case</w:t>
      </w:r>
      <w:r w:rsidR="00033D0F">
        <w:rPr>
          <w:spacing w:val="70"/>
          <w:position w:val="1"/>
        </w:rPr>
        <w:t xml:space="preserve"> </w:t>
      </w:r>
      <w:r w:rsidR="00033D0F">
        <w:rPr>
          <w:position w:val="1"/>
        </w:rPr>
        <w:t>that</w:t>
      </w:r>
      <w:r w:rsidR="00033D0F">
        <w:rPr>
          <w:spacing w:val="71"/>
          <w:position w:val="1"/>
        </w:rPr>
        <w:t xml:space="preserve"> </w:t>
      </w:r>
      <w:r w:rsidR="00033D0F">
        <w:rPr>
          <w:position w:val="1"/>
        </w:rPr>
        <w:t>MOFCOM's</w:t>
      </w:r>
      <w:r w:rsidR="00033D0F">
        <w:rPr>
          <w:spacing w:val="72"/>
          <w:position w:val="1"/>
        </w:rPr>
        <w:t xml:space="preserve"> </w:t>
      </w:r>
      <w:r w:rsidR="00033D0F">
        <w:rPr>
          <w:position w:val="1"/>
        </w:rPr>
        <w:t>initiation</w:t>
      </w:r>
      <w:r w:rsidR="00033D0F">
        <w:rPr>
          <w:spacing w:val="68"/>
          <w:position w:val="1"/>
        </w:rPr>
        <w:t xml:space="preserve"> </w:t>
      </w:r>
      <w:r w:rsidR="00033D0F">
        <w:rPr>
          <w:position w:val="1"/>
        </w:rPr>
        <w:t>of</w:t>
      </w:r>
      <w:r w:rsidR="00033D0F">
        <w:rPr>
          <w:spacing w:val="73"/>
          <w:position w:val="1"/>
        </w:rPr>
        <w:t xml:space="preserve"> </w:t>
      </w:r>
      <w:r w:rsidR="00033D0F">
        <w:rPr>
          <w:position w:val="1"/>
        </w:rPr>
        <w:t xml:space="preserve">the </w:t>
      </w:r>
      <w:r w:rsidR="00033D0F">
        <w:t>investigation</w:t>
      </w:r>
      <w:r w:rsidR="00033D0F">
        <w:rPr>
          <w:spacing w:val="9"/>
        </w:rPr>
        <w:t xml:space="preserve"> </w:t>
      </w:r>
      <w:r w:rsidR="00033D0F">
        <w:t>was</w:t>
      </w:r>
      <w:r w:rsidR="00033D0F">
        <w:rPr>
          <w:spacing w:val="14"/>
        </w:rPr>
        <w:t xml:space="preserve"> </w:t>
      </w:r>
      <w:r w:rsidR="00033D0F">
        <w:t>inconsistent</w:t>
      </w:r>
      <w:r w:rsidR="00033D0F">
        <w:rPr>
          <w:spacing w:val="13"/>
        </w:rPr>
        <w:t xml:space="preserve"> </w:t>
      </w:r>
      <w:r w:rsidR="00033D0F">
        <w:t>with</w:t>
      </w:r>
      <w:r w:rsidR="00033D0F">
        <w:rPr>
          <w:spacing w:val="10"/>
        </w:rPr>
        <w:t xml:space="preserve"> </w:t>
      </w:r>
      <w:r w:rsidR="00033D0F">
        <w:t>the</w:t>
      </w:r>
      <w:r w:rsidR="00033D0F">
        <w:rPr>
          <w:spacing w:val="13"/>
        </w:rPr>
        <w:t xml:space="preserve"> </w:t>
      </w:r>
      <w:r w:rsidR="00033D0F">
        <w:t>requirements</w:t>
      </w:r>
      <w:r w:rsidR="00033D0F">
        <w:rPr>
          <w:spacing w:val="14"/>
        </w:rPr>
        <w:t xml:space="preserve"> </w:t>
      </w:r>
      <w:r w:rsidR="00033D0F">
        <w:t>of</w:t>
      </w:r>
      <w:r w:rsidR="00033D0F">
        <w:rPr>
          <w:spacing w:val="10"/>
        </w:rPr>
        <w:t xml:space="preserve"> </w:t>
      </w:r>
      <w:r w:rsidR="00033D0F">
        <w:t>Articles</w:t>
      </w:r>
      <w:r w:rsidR="00033D0F">
        <w:rPr>
          <w:spacing w:val="13"/>
        </w:rPr>
        <w:t xml:space="preserve"> </w:t>
      </w:r>
      <w:r w:rsidR="00033D0F">
        <w:t>5.1,</w:t>
      </w:r>
      <w:r w:rsidR="00033D0F">
        <w:rPr>
          <w:spacing w:val="14"/>
        </w:rPr>
        <w:t xml:space="preserve"> </w:t>
      </w:r>
      <w:r w:rsidR="00033D0F">
        <w:t>5.2,</w:t>
      </w:r>
      <w:r w:rsidR="00033D0F">
        <w:rPr>
          <w:spacing w:val="14"/>
        </w:rPr>
        <w:t xml:space="preserve"> </w:t>
      </w:r>
      <w:r w:rsidR="00033D0F">
        <w:t>5.2(i),</w:t>
      </w:r>
      <w:r w:rsidR="00033D0F">
        <w:rPr>
          <w:spacing w:val="14"/>
        </w:rPr>
        <w:t xml:space="preserve"> </w:t>
      </w:r>
      <w:r w:rsidR="00033D0F">
        <w:t>5.3,</w:t>
      </w:r>
      <w:r w:rsidR="00033D0F">
        <w:rPr>
          <w:spacing w:val="14"/>
        </w:rPr>
        <w:t xml:space="preserve"> </w:t>
      </w:r>
      <w:r w:rsidR="00033D0F">
        <w:t>5.4</w:t>
      </w:r>
      <w:r w:rsidR="00033D0F">
        <w:rPr>
          <w:spacing w:val="15"/>
        </w:rPr>
        <w:t xml:space="preserve"> </w:t>
      </w:r>
      <w:r w:rsidR="00033D0F">
        <w:rPr>
          <w:spacing w:val="-5"/>
        </w:rPr>
        <w:t>and</w:t>
      </w:r>
    </w:p>
    <w:p w14:paraId="212BDADD" w14:textId="77777777" w:rsidR="00BD462C" w:rsidRDefault="00033D0F">
      <w:pPr>
        <w:pStyle w:val="BodyText"/>
        <w:spacing w:before="7"/>
        <w:ind w:left="136"/>
      </w:pPr>
      <w:r>
        <w:t>5.8</w:t>
      </w:r>
      <w:r>
        <w:rPr>
          <w:spacing w:val="-7"/>
        </w:rPr>
        <w:t xml:space="preserve"> </w:t>
      </w:r>
      <w:r>
        <w:t>of the</w:t>
      </w:r>
      <w:r>
        <w:rPr>
          <w:spacing w:val="-3"/>
        </w:rPr>
        <w:t xml:space="preserve"> </w:t>
      </w:r>
      <w:r>
        <w:t>Anti-Dumping</w:t>
      </w:r>
      <w:r>
        <w:rPr>
          <w:spacing w:val="-2"/>
        </w:rPr>
        <w:t xml:space="preserve"> </w:t>
      </w:r>
      <w:r>
        <w:t>Agreement,</w:t>
      </w:r>
      <w:r>
        <w:rPr>
          <w:spacing w:val="7"/>
        </w:rPr>
        <w:t xml:space="preserve"> </w:t>
      </w:r>
      <w:hyperlink w:anchor="_bookmark1114" w:history="1">
        <w:r>
          <w:rPr>
            <w:vertAlign w:val="superscript"/>
          </w:rPr>
          <w:t>959</w:t>
        </w:r>
      </w:hyperlink>
      <w:r>
        <w:rPr>
          <w:spacing w:val="-3"/>
        </w:rPr>
        <w:t xml:space="preserve"> </w:t>
      </w:r>
      <w:r>
        <w:t>including</w:t>
      </w:r>
      <w:r>
        <w:rPr>
          <w:spacing w:val="-2"/>
        </w:rPr>
        <w:t xml:space="preserve"> because:</w:t>
      </w:r>
    </w:p>
    <w:p w14:paraId="2A78240E" w14:textId="77777777" w:rsidR="00BD462C" w:rsidRDefault="00BD462C">
      <w:pPr>
        <w:pStyle w:val="BodyText"/>
        <w:spacing w:before="11"/>
      </w:pPr>
    </w:p>
    <w:p w14:paraId="5E0C09C5" w14:textId="77777777" w:rsidR="00BD462C" w:rsidRDefault="00033D0F">
      <w:pPr>
        <w:pStyle w:val="ListParagraph"/>
        <w:numPr>
          <w:ilvl w:val="0"/>
          <w:numId w:val="1"/>
        </w:numPr>
        <w:tabs>
          <w:tab w:val="left" w:pos="1839"/>
          <w:tab w:val="left" w:pos="1840"/>
        </w:tabs>
        <w:spacing w:before="0" w:line="357" w:lineRule="auto"/>
        <w:ind w:right="907" w:hanging="850"/>
        <w:jc w:val="both"/>
        <w:rPr>
          <w:sz w:val="24"/>
        </w:rPr>
      </w:pPr>
      <w:r>
        <w:rPr>
          <w:sz w:val="24"/>
        </w:rPr>
        <w:t xml:space="preserve">MOFCOM failed to determine standing in accordance with Articles 5.1 and </w:t>
      </w:r>
      <w:r>
        <w:rPr>
          <w:spacing w:val="-2"/>
          <w:sz w:val="24"/>
        </w:rPr>
        <w:t>5.4;</w:t>
      </w:r>
      <w:hyperlink w:anchor="_bookmark1115" w:history="1">
        <w:r>
          <w:rPr>
            <w:spacing w:val="-2"/>
            <w:sz w:val="24"/>
            <w:vertAlign w:val="superscript"/>
          </w:rPr>
          <w:t>960</w:t>
        </w:r>
      </w:hyperlink>
    </w:p>
    <w:p w14:paraId="0EDFBEDC" w14:textId="77777777" w:rsidR="00BD462C" w:rsidRDefault="00033D0F">
      <w:pPr>
        <w:pStyle w:val="ListParagraph"/>
        <w:numPr>
          <w:ilvl w:val="0"/>
          <w:numId w:val="1"/>
        </w:numPr>
        <w:tabs>
          <w:tab w:val="left" w:pos="1835"/>
          <w:tab w:val="left" w:pos="1836"/>
        </w:tabs>
        <w:spacing w:before="122" w:line="360" w:lineRule="auto"/>
        <w:ind w:right="918" w:hanging="850"/>
        <w:jc w:val="both"/>
        <w:rPr>
          <w:sz w:val="24"/>
        </w:rPr>
      </w:pPr>
      <w:r>
        <w:rPr>
          <w:sz w:val="24"/>
        </w:rPr>
        <w:t>MOFCOM failed to require CADA to provide a list of all known domestic producers, contrary to Articles 5.1 and 5.2(i);</w:t>
      </w:r>
      <w:hyperlink w:anchor="_bookmark1116" w:history="1">
        <w:r>
          <w:rPr>
            <w:sz w:val="24"/>
            <w:vertAlign w:val="superscript"/>
          </w:rPr>
          <w:t>961</w:t>
        </w:r>
      </w:hyperlink>
    </w:p>
    <w:p w14:paraId="38A9ADCD" w14:textId="77777777" w:rsidR="00BD462C" w:rsidRDefault="00033D0F">
      <w:pPr>
        <w:pStyle w:val="ListParagraph"/>
        <w:numPr>
          <w:ilvl w:val="0"/>
          <w:numId w:val="1"/>
        </w:numPr>
        <w:tabs>
          <w:tab w:val="left" w:pos="1835"/>
          <w:tab w:val="left" w:pos="1836"/>
        </w:tabs>
        <w:spacing w:line="360" w:lineRule="auto"/>
        <w:ind w:right="914" w:hanging="850"/>
        <w:jc w:val="both"/>
        <w:rPr>
          <w:sz w:val="24"/>
        </w:rPr>
      </w:pPr>
      <w:r>
        <w:rPr>
          <w:sz w:val="24"/>
        </w:rPr>
        <w:t>MOFCOM</w:t>
      </w:r>
      <w:r>
        <w:rPr>
          <w:spacing w:val="-8"/>
          <w:sz w:val="24"/>
        </w:rPr>
        <w:t xml:space="preserve"> </w:t>
      </w:r>
      <w:r>
        <w:rPr>
          <w:sz w:val="24"/>
        </w:rPr>
        <w:t>failed</w:t>
      </w:r>
      <w:r>
        <w:rPr>
          <w:spacing w:val="-10"/>
          <w:sz w:val="24"/>
        </w:rPr>
        <w:t xml:space="preserve"> </w:t>
      </w:r>
      <w:r>
        <w:rPr>
          <w:sz w:val="24"/>
        </w:rPr>
        <w:t>to</w:t>
      </w:r>
      <w:r>
        <w:rPr>
          <w:spacing w:val="-11"/>
          <w:sz w:val="24"/>
        </w:rPr>
        <w:t xml:space="preserve"> </w:t>
      </w:r>
      <w:r>
        <w:rPr>
          <w:sz w:val="24"/>
        </w:rPr>
        <w:t>examine</w:t>
      </w:r>
      <w:r>
        <w:rPr>
          <w:spacing w:val="-8"/>
          <w:sz w:val="24"/>
        </w:rPr>
        <w:t xml:space="preserve"> </w:t>
      </w:r>
      <w:r>
        <w:rPr>
          <w:sz w:val="24"/>
        </w:rPr>
        <w:t>the</w:t>
      </w:r>
      <w:r>
        <w:rPr>
          <w:spacing w:val="-8"/>
          <w:sz w:val="24"/>
        </w:rPr>
        <w:t xml:space="preserve"> </w:t>
      </w:r>
      <w:r>
        <w:rPr>
          <w:sz w:val="24"/>
        </w:rPr>
        <w:t>accuracy</w:t>
      </w:r>
      <w:r>
        <w:rPr>
          <w:spacing w:val="-7"/>
          <w:sz w:val="24"/>
        </w:rPr>
        <w:t xml:space="preserve"> </w:t>
      </w:r>
      <w:r>
        <w:rPr>
          <w:sz w:val="24"/>
        </w:rPr>
        <w:t>and</w:t>
      </w:r>
      <w:r>
        <w:rPr>
          <w:spacing w:val="-10"/>
          <w:sz w:val="24"/>
        </w:rPr>
        <w:t xml:space="preserve"> </w:t>
      </w:r>
      <w:r>
        <w:rPr>
          <w:sz w:val="24"/>
        </w:rPr>
        <w:t>adequacy</w:t>
      </w:r>
      <w:r>
        <w:rPr>
          <w:spacing w:val="-7"/>
          <w:sz w:val="24"/>
        </w:rPr>
        <w:t xml:space="preserve"> </w:t>
      </w:r>
      <w:r>
        <w:rPr>
          <w:sz w:val="24"/>
        </w:rPr>
        <w:t>of</w:t>
      </w:r>
      <w:r>
        <w:rPr>
          <w:spacing w:val="-10"/>
          <w:sz w:val="24"/>
        </w:rPr>
        <w:t xml:space="preserve"> </w:t>
      </w:r>
      <w:r>
        <w:rPr>
          <w:sz w:val="24"/>
        </w:rPr>
        <w:t>the</w:t>
      </w:r>
      <w:r>
        <w:rPr>
          <w:spacing w:val="-8"/>
          <w:sz w:val="24"/>
        </w:rPr>
        <w:t xml:space="preserve"> </w:t>
      </w:r>
      <w:r>
        <w:rPr>
          <w:sz w:val="24"/>
        </w:rPr>
        <w:t>evidence</w:t>
      </w:r>
      <w:r>
        <w:rPr>
          <w:spacing w:val="-8"/>
          <w:sz w:val="24"/>
        </w:rPr>
        <w:t xml:space="preserve"> </w:t>
      </w:r>
      <w:r>
        <w:rPr>
          <w:sz w:val="24"/>
        </w:rPr>
        <w:t>that CADA</w:t>
      </w:r>
      <w:r>
        <w:rPr>
          <w:spacing w:val="-3"/>
          <w:sz w:val="24"/>
        </w:rPr>
        <w:t xml:space="preserve"> </w:t>
      </w:r>
      <w:r>
        <w:rPr>
          <w:sz w:val="24"/>
        </w:rPr>
        <w:t>provided</w:t>
      </w:r>
      <w:r>
        <w:rPr>
          <w:spacing w:val="-4"/>
          <w:sz w:val="24"/>
        </w:rPr>
        <w:t xml:space="preserve"> </w:t>
      </w:r>
      <w:r>
        <w:rPr>
          <w:sz w:val="24"/>
        </w:rPr>
        <w:t>in</w:t>
      </w:r>
      <w:r>
        <w:rPr>
          <w:spacing w:val="-4"/>
          <w:sz w:val="24"/>
        </w:rPr>
        <w:t xml:space="preserve"> </w:t>
      </w:r>
      <w:r>
        <w:rPr>
          <w:sz w:val="24"/>
        </w:rPr>
        <w:t>the</w:t>
      </w:r>
      <w:r>
        <w:rPr>
          <w:spacing w:val="-3"/>
          <w:sz w:val="24"/>
        </w:rPr>
        <w:t xml:space="preserve"> </w:t>
      </w:r>
      <w:r>
        <w:rPr>
          <w:sz w:val="24"/>
        </w:rPr>
        <w:t>written</w:t>
      </w:r>
      <w:r>
        <w:rPr>
          <w:spacing w:val="-4"/>
          <w:sz w:val="24"/>
        </w:rPr>
        <w:t xml:space="preserve"> </w:t>
      </w:r>
      <w:r>
        <w:rPr>
          <w:sz w:val="24"/>
        </w:rPr>
        <w:t>application</w:t>
      </w:r>
      <w:r>
        <w:rPr>
          <w:spacing w:val="-4"/>
          <w:sz w:val="24"/>
        </w:rPr>
        <w:t xml:space="preserve"> </w:t>
      </w:r>
      <w:r>
        <w:rPr>
          <w:sz w:val="24"/>
        </w:rPr>
        <w:t>contrary to</w:t>
      </w:r>
      <w:r>
        <w:rPr>
          <w:spacing w:val="-5"/>
          <w:sz w:val="24"/>
        </w:rPr>
        <w:t xml:space="preserve"> </w:t>
      </w:r>
      <w:r>
        <w:rPr>
          <w:sz w:val="24"/>
        </w:rPr>
        <w:t>Articles</w:t>
      </w:r>
      <w:r>
        <w:rPr>
          <w:spacing w:val="-1"/>
          <w:sz w:val="24"/>
        </w:rPr>
        <w:t xml:space="preserve"> </w:t>
      </w:r>
      <w:r>
        <w:rPr>
          <w:sz w:val="24"/>
        </w:rPr>
        <w:t>5.2</w:t>
      </w:r>
      <w:r>
        <w:rPr>
          <w:spacing w:val="-5"/>
          <w:sz w:val="24"/>
        </w:rPr>
        <w:t xml:space="preserve"> </w:t>
      </w:r>
      <w:r>
        <w:rPr>
          <w:sz w:val="24"/>
        </w:rPr>
        <w:t>and</w:t>
      </w:r>
      <w:r>
        <w:rPr>
          <w:spacing w:val="-4"/>
          <w:sz w:val="24"/>
        </w:rPr>
        <w:t xml:space="preserve"> </w:t>
      </w:r>
      <w:r>
        <w:rPr>
          <w:sz w:val="24"/>
        </w:rPr>
        <w:t>5.3;</w:t>
      </w:r>
      <w:hyperlink w:anchor="_bookmark1117" w:history="1">
        <w:r>
          <w:rPr>
            <w:sz w:val="24"/>
            <w:vertAlign w:val="superscript"/>
          </w:rPr>
          <w:t>962</w:t>
        </w:r>
      </w:hyperlink>
      <w:r>
        <w:rPr>
          <w:sz w:val="24"/>
        </w:rPr>
        <w:t xml:space="preserve"> </w:t>
      </w:r>
      <w:r>
        <w:rPr>
          <w:spacing w:val="-4"/>
          <w:sz w:val="24"/>
        </w:rPr>
        <w:t>and</w:t>
      </w:r>
    </w:p>
    <w:p w14:paraId="607D6DEF" w14:textId="77777777" w:rsidR="00BD462C" w:rsidRDefault="00033D0F">
      <w:pPr>
        <w:pStyle w:val="ListParagraph"/>
        <w:numPr>
          <w:ilvl w:val="0"/>
          <w:numId w:val="1"/>
        </w:numPr>
        <w:tabs>
          <w:tab w:val="left" w:pos="1835"/>
          <w:tab w:val="left" w:pos="1836"/>
        </w:tabs>
        <w:spacing w:before="118" w:line="360" w:lineRule="auto"/>
        <w:ind w:right="917" w:hanging="850"/>
        <w:jc w:val="both"/>
        <w:rPr>
          <w:sz w:val="24"/>
        </w:rPr>
      </w:pPr>
      <w:r>
        <w:rPr>
          <w:sz w:val="24"/>
        </w:rPr>
        <w:t>consequently, MOFCOM failed to reject the application and promptly terminate</w:t>
      </w:r>
      <w:r>
        <w:rPr>
          <w:spacing w:val="-8"/>
          <w:sz w:val="24"/>
        </w:rPr>
        <w:t xml:space="preserve"> </w:t>
      </w:r>
      <w:r>
        <w:rPr>
          <w:sz w:val="24"/>
        </w:rPr>
        <w:t>the</w:t>
      </w:r>
      <w:r>
        <w:rPr>
          <w:spacing w:val="-8"/>
          <w:sz w:val="24"/>
        </w:rPr>
        <w:t xml:space="preserve"> </w:t>
      </w:r>
      <w:r>
        <w:rPr>
          <w:sz w:val="24"/>
        </w:rPr>
        <w:t>anti-dumping</w:t>
      </w:r>
      <w:r>
        <w:rPr>
          <w:spacing w:val="-7"/>
          <w:sz w:val="24"/>
        </w:rPr>
        <w:t xml:space="preserve"> </w:t>
      </w:r>
      <w:r>
        <w:rPr>
          <w:sz w:val="24"/>
        </w:rPr>
        <w:t>investigation</w:t>
      </w:r>
      <w:r>
        <w:rPr>
          <w:spacing w:val="-10"/>
          <w:sz w:val="24"/>
        </w:rPr>
        <w:t xml:space="preserve"> </w:t>
      </w:r>
      <w:r>
        <w:rPr>
          <w:sz w:val="24"/>
        </w:rPr>
        <w:t>as</w:t>
      </w:r>
      <w:r>
        <w:rPr>
          <w:spacing w:val="-7"/>
          <w:sz w:val="24"/>
        </w:rPr>
        <w:t xml:space="preserve"> </w:t>
      </w:r>
      <w:r>
        <w:rPr>
          <w:sz w:val="24"/>
        </w:rPr>
        <w:t>soon</w:t>
      </w:r>
      <w:r>
        <w:rPr>
          <w:spacing w:val="-6"/>
          <w:sz w:val="24"/>
        </w:rPr>
        <w:t xml:space="preserve"> </w:t>
      </w:r>
      <w:r>
        <w:rPr>
          <w:sz w:val="24"/>
        </w:rPr>
        <w:t>as</w:t>
      </w:r>
      <w:r>
        <w:rPr>
          <w:spacing w:val="-7"/>
          <w:sz w:val="24"/>
        </w:rPr>
        <w:t xml:space="preserve"> </w:t>
      </w:r>
      <w:r>
        <w:rPr>
          <w:sz w:val="24"/>
        </w:rPr>
        <w:t>MOFCOM</w:t>
      </w:r>
      <w:r>
        <w:rPr>
          <w:spacing w:val="-8"/>
          <w:sz w:val="24"/>
        </w:rPr>
        <w:t xml:space="preserve"> </w:t>
      </w:r>
      <w:r>
        <w:rPr>
          <w:sz w:val="24"/>
        </w:rPr>
        <w:t>was</w:t>
      </w:r>
      <w:r>
        <w:rPr>
          <w:spacing w:val="-7"/>
          <w:sz w:val="24"/>
        </w:rPr>
        <w:t xml:space="preserve"> </w:t>
      </w:r>
      <w:r>
        <w:rPr>
          <w:sz w:val="24"/>
        </w:rPr>
        <w:t>satisfied that there was insufficient evidence, contrary to Article 5.8.</w:t>
      </w:r>
      <w:hyperlink w:anchor="_bookmark1118" w:history="1">
        <w:r>
          <w:rPr>
            <w:sz w:val="24"/>
            <w:vertAlign w:val="superscript"/>
          </w:rPr>
          <w:t>963</w:t>
        </w:r>
      </w:hyperlink>
    </w:p>
    <w:p w14:paraId="46EF4935" w14:textId="77777777" w:rsidR="00BD462C" w:rsidRDefault="00BD462C">
      <w:pPr>
        <w:pStyle w:val="BodyText"/>
        <w:rPr>
          <w:sz w:val="20"/>
        </w:rPr>
      </w:pPr>
    </w:p>
    <w:p w14:paraId="64D858DC" w14:textId="06ABFAA1" w:rsidR="00BD462C" w:rsidRDefault="00D70C7D">
      <w:pPr>
        <w:pStyle w:val="BodyText"/>
        <w:spacing w:before="7"/>
        <w:rPr>
          <w:sz w:val="25"/>
        </w:rPr>
      </w:pPr>
      <w:r>
        <w:rPr>
          <w:noProof/>
        </w:rPr>
        <mc:AlternateContent>
          <mc:Choice Requires="wps">
            <w:drawing>
              <wp:anchor distT="0" distB="0" distL="0" distR="0" simplePos="0" relativeHeight="487806464" behindDoc="1" locked="0" layoutInCell="1" allowOverlap="1" wp14:anchorId="5CE2E65A" wp14:editId="621F5409">
                <wp:simplePos x="0" y="0"/>
                <wp:positionH relativeFrom="page">
                  <wp:posOffset>899160</wp:posOffset>
                </wp:positionH>
                <wp:positionV relativeFrom="paragraph">
                  <wp:posOffset>213360</wp:posOffset>
                </wp:positionV>
                <wp:extent cx="1828800" cy="8890"/>
                <wp:effectExtent l="0" t="0" r="0" b="0"/>
                <wp:wrapTopAndBottom/>
                <wp:docPr id="488" name="docshape4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83367D" id="docshape475" o:spid="_x0000_s1026" alt="&quot;&quot;" style="position:absolute;margin-left:70.8pt;margin-top:16.8pt;width:2in;height:.7pt;z-index:-15510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" fillcolor="black" stroked="f">
                <w10:wrap type="topAndBottom" anchorx="page"/>
              </v:rect>
            </w:pict>
          </mc:Fallback>
        </mc:AlternateContent>
      </w:r>
    </w:p>
    <w:p w14:paraId="5AD5CB42" w14:textId="77777777" w:rsidR="00BD462C" w:rsidRDefault="00033D0F">
      <w:pPr>
        <w:spacing w:before="115" w:line="235" w:lineRule="auto"/>
        <w:ind w:left="136" w:right="910" w:hanging="1"/>
        <w:rPr>
          <w:sz w:val="18"/>
        </w:rPr>
      </w:pPr>
      <w:bookmarkStart w:id="1290" w:name="_bookmark1114"/>
      <w:bookmarkEnd w:id="1290"/>
      <w:r>
        <w:rPr>
          <w:position w:val="5"/>
          <w:sz w:val="12"/>
        </w:rPr>
        <w:t>959</w:t>
      </w:r>
      <w:r>
        <w:rPr>
          <w:spacing w:val="16"/>
          <w:position w:val="5"/>
          <w:sz w:val="12"/>
        </w:rPr>
        <w:t xml:space="preserve"> </w:t>
      </w:r>
      <w:r>
        <w:rPr>
          <w:sz w:val="18"/>
        </w:rPr>
        <w:t>Australia's</w:t>
      </w:r>
      <w:r>
        <w:rPr>
          <w:spacing w:val="-3"/>
          <w:sz w:val="18"/>
        </w:rPr>
        <w:t xml:space="preserve"> </w:t>
      </w:r>
      <w:r>
        <w:rPr>
          <w:sz w:val="18"/>
        </w:rPr>
        <w:t>first</w:t>
      </w:r>
      <w:r>
        <w:rPr>
          <w:spacing w:val="-2"/>
          <w:sz w:val="18"/>
        </w:rPr>
        <w:t xml:space="preserve"> </w:t>
      </w:r>
      <w:r>
        <w:rPr>
          <w:sz w:val="18"/>
        </w:rPr>
        <w:t>written</w:t>
      </w:r>
      <w:r>
        <w:rPr>
          <w:spacing w:val="-8"/>
          <w:sz w:val="18"/>
        </w:rPr>
        <w:t xml:space="preserve"> </w:t>
      </w:r>
      <w:r>
        <w:rPr>
          <w:sz w:val="18"/>
        </w:rPr>
        <w:t>submission,</w:t>
      </w:r>
      <w:r>
        <w:rPr>
          <w:spacing w:val="-1"/>
          <w:sz w:val="18"/>
        </w:rPr>
        <w:t xml:space="preserve"> </w:t>
      </w:r>
      <w:r>
        <w:rPr>
          <w:sz w:val="18"/>
        </w:rPr>
        <w:t>paras.</w:t>
      </w:r>
      <w:r>
        <w:rPr>
          <w:spacing w:val="-2"/>
          <w:sz w:val="18"/>
        </w:rPr>
        <w:t xml:space="preserve"> </w:t>
      </w:r>
      <w:r>
        <w:rPr>
          <w:sz w:val="18"/>
        </w:rPr>
        <w:t>742-826;</w:t>
      </w:r>
      <w:r>
        <w:rPr>
          <w:spacing w:val="-5"/>
          <w:sz w:val="18"/>
        </w:rPr>
        <w:t xml:space="preserve"> </w:t>
      </w:r>
      <w:r>
        <w:rPr>
          <w:sz w:val="18"/>
        </w:rPr>
        <w:t>Australia's</w:t>
      </w:r>
      <w:r>
        <w:rPr>
          <w:spacing w:val="-3"/>
          <w:sz w:val="18"/>
        </w:rPr>
        <w:t xml:space="preserve"> </w:t>
      </w:r>
      <w:r>
        <w:rPr>
          <w:sz w:val="18"/>
        </w:rPr>
        <w:t>opening</w:t>
      </w:r>
      <w:r>
        <w:rPr>
          <w:spacing w:val="-8"/>
          <w:sz w:val="18"/>
        </w:rPr>
        <w:t xml:space="preserve"> </w:t>
      </w:r>
      <w:r>
        <w:rPr>
          <w:sz w:val="18"/>
        </w:rPr>
        <w:t>statement</w:t>
      </w:r>
      <w:r>
        <w:rPr>
          <w:spacing w:val="-2"/>
          <w:sz w:val="18"/>
        </w:rPr>
        <w:t xml:space="preserve"> </w:t>
      </w:r>
      <w:r>
        <w:rPr>
          <w:sz w:val="18"/>
        </w:rPr>
        <w:t>at</w:t>
      </w:r>
      <w:r>
        <w:rPr>
          <w:spacing w:val="-7"/>
          <w:sz w:val="18"/>
        </w:rPr>
        <w:t xml:space="preserve"> </w:t>
      </w:r>
      <w:r>
        <w:rPr>
          <w:sz w:val="18"/>
        </w:rPr>
        <w:t>the</w:t>
      </w:r>
      <w:r>
        <w:rPr>
          <w:spacing w:val="-8"/>
          <w:sz w:val="18"/>
        </w:rPr>
        <w:t xml:space="preserve"> </w:t>
      </w:r>
      <w:r>
        <w:rPr>
          <w:sz w:val="18"/>
        </w:rPr>
        <w:t>first</w:t>
      </w:r>
      <w:r>
        <w:rPr>
          <w:spacing w:val="-2"/>
          <w:sz w:val="18"/>
        </w:rPr>
        <w:t xml:space="preserve"> </w:t>
      </w:r>
      <w:r>
        <w:rPr>
          <w:sz w:val="18"/>
        </w:rPr>
        <w:t>meeting</w:t>
      </w:r>
      <w:r>
        <w:rPr>
          <w:spacing w:val="-3"/>
          <w:sz w:val="18"/>
        </w:rPr>
        <w:t xml:space="preserve"> </w:t>
      </w:r>
      <w:r>
        <w:rPr>
          <w:sz w:val="18"/>
        </w:rPr>
        <w:t>of</w:t>
      </w:r>
      <w:r>
        <w:rPr>
          <w:spacing w:val="-7"/>
          <w:sz w:val="18"/>
        </w:rPr>
        <w:t xml:space="preserve"> </w:t>
      </w:r>
      <w:r>
        <w:rPr>
          <w:sz w:val="18"/>
        </w:rPr>
        <w:t>the</w:t>
      </w:r>
      <w:r>
        <w:rPr>
          <w:spacing w:val="-8"/>
          <w:sz w:val="18"/>
        </w:rPr>
        <w:t xml:space="preserve"> </w:t>
      </w:r>
      <w:r>
        <w:rPr>
          <w:sz w:val="18"/>
        </w:rPr>
        <w:t>Panel,</w:t>
      </w:r>
      <w:r>
        <w:rPr>
          <w:spacing w:val="-1"/>
          <w:sz w:val="18"/>
        </w:rPr>
        <w:t xml:space="preserve"> </w:t>
      </w:r>
      <w:r>
        <w:rPr>
          <w:sz w:val="18"/>
        </w:rPr>
        <w:t xml:space="preserve">paras. </w:t>
      </w:r>
      <w:r>
        <w:rPr>
          <w:spacing w:val="-2"/>
          <w:sz w:val="18"/>
        </w:rPr>
        <w:t>20-23.</w:t>
      </w:r>
    </w:p>
    <w:p w14:paraId="56E38CED" w14:textId="77777777" w:rsidR="00BD462C" w:rsidRDefault="00033D0F">
      <w:pPr>
        <w:spacing w:before="3"/>
        <w:ind w:left="135"/>
        <w:rPr>
          <w:sz w:val="18"/>
        </w:rPr>
      </w:pPr>
      <w:bookmarkStart w:id="1291" w:name="_bookmark1115"/>
      <w:bookmarkEnd w:id="1291"/>
      <w:r>
        <w:rPr>
          <w:position w:val="5"/>
          <w:sz w:val="12"/>
        </w:rPr>
        <w:t>960</w:t>
      </w:r>
      <w:r>
        <w:rPr>
          <w:spacing w:val="12"/>
          <w:position w:val="5"/>
          <w:sz w:val="12"/>
        </w:rPr>
        <w:t xml:space="preserve"> </w:t>
      </w:r>
      <w:r>
        <w:rPr>
          <w:sz w:val="18"/>
        </w:rPr>
        <w:t>Australia's</w:t>
      </w:r>
      <w:r>
        <w:rPr>
          <w:spacing w:val="-7"/>
          <w:sz w:val="18"/>
        </w:rPr>
        <w:t xml:space="preserve"> </w:t>
      </w:r>
      <w:r>
        <w:rPr>
          <w:sz w:val="18"/>
        </w:rPr>
        <w:t>first</w:t>
      </w:r>
      <w:r>
        <w:rPr>
          <w:spacing w:val="-5"/>
          <w:sz w:val="18"/>
        </w:rPr>
        <w:t xml:space="preserve"> </w:t>
      </w:r>
      <w:r>
        <w:rPr>
          <w:sz w:val="18"/>
        </w:rPr>
        <w:t>written</w:t>
      </w:r>
      <w:r>
        <w:rPr>
          <w:spacing w:val="-3"/>
          <w:sz w:val="18"/>
        </w:rPr>
        <w:t xml:space="preserve"> </w:t>
      </w:r>
      <w:r>
        <w:rPr>
          <w:sz w:val="18"/>
        </w:rPr>
        <w:t>submission, paras.</w:t>
      </w:r>
      <w:r>
        <w:rPr>
          <w:spacing w:val="-5"/>
          <w:sz w:val="18"/>
        </w:rPr>
        <w:t xml:space="preserve"> </w:t>
      </w:r>
      <w:r>
        <w:rPr>
          <w:sz w:val="18"/>
        </w:rPr>
        <w:t>743-</w:t>
      </w:r>
      <w:r>
        <w:rPr>
          <w:spacing w:val="-4"/>
          <w:sz w:val="18"/>
        </w:rPr>
        <w:t>764.</w:t>
      </w:r>
    </w:p>
    <w:p w14:paraId="72A233CA" w14:textId="77777777" w:rsidR="00BD462C" w:rsidRDefault="00033D0F">
      <w:pPr>
        <w:spacing w:before="1"/>
        <w:ind w:left="135"/>
        <w:rPr>
          <w:sz w:val="18"/>
        </w:rPr>
      </w:pPr>
      <w:bookmarkStart w:id="1292" w:name="_bookmark1116"/>
      <w:bookmarkEnd w:id="1292"/>
      <w:r>
        <w:rPr>
          <w:position w:val="5"/>
          <w:sz w:val="12"/>
        </w:rPr>
        <w:t>961</w:t>
      </w:r>
      <w:r>
        <w:rPr>
          <w:spacing w:val="12"/>
          <w:position w:val="5"/>
          <w:sz w:val="12"/>
        </w:rPr>
        <w:t xml:space="preserve"> </w:t>
      </w:r>
      <w:r>
        <w:rPr>
          <w:sz w:val="18"/>
        </w:rPr>
        <w:t>Australia's</w:t>
      </w:r>
      <w:r>
        <w:rPr>
          <w:spacing w:val="-7"/>
          <w:sz w:val="18"/>
        </w:rPr>
        <w:t xml:space="preserve"> </w:t>
      </w:r>
      <w:r>
        <w:rPr>
          <w:sz w:val="18"/>
        </w:rPr>
        <w:t>first</w:t>
      </w:r>
      <w:r>
        <w:rPr>
          <w:spacing w:val="-5"/>
          <w:sz w:val="18"/>
        </w:rPr>
        <w:t xml:space="preserve"> </w:t>
      </w:r>
      <w:r>
        <w:rPr>
          <w:sz w:val="18"/>
        </w:rPr>
        <w:t>written</w:t>
      </w:r>
      <w:r>
        <w:rPr>
          <w:spacing w:val="-3"/>
          <w:sz w:val="18"/>
        </w:rPr>
        <w:t xml:space="preserve"> </w:t>
      </w:r>
      <w:r>
        <w:rPr>
          <w:sz w:val="18"/>
        </w:rPr>
        <w:t>submission, paras.</w:t>
      </w:r>
      <w:r>
        <w:rPr>
          <w:spacing w:val="-5"/>
          <w:sz w:val="18"/>
        </w:rPr>
        <w:t xml:space="preserve"> </w:t>
      </w:r>
      <w:r>
        <w:rPr>
          <w:sz w:val="18"/>
        </w:rPr>
        <w:t>765-</w:t>
      </w:r>
      <w:r>
        <w:rPr>
          <w:spacing w:val="-4"/>
          <w:sz w:val="18"/>
        </w:rPr>
        <w:t>768.</w:t>
      </w:r>
    </w:p>
    <w:p w14:paraId="53A9C877" w14:textId="77777777" w:rsidR="00BD462C" w:rsidRDefault="00033D0F">
      <w:pPr>
        <w:spacing w:before="1"/>
        <w:ind w:left="135"/>
        <w:rPr>
          <w:sz w:val="18"/>
        </w:rPr>
      </w:pPr>
      <w:bookmarkStart w:id="1293" w:name="_bookmark1117"/>
      <w:bookmarkEnd w:id="1293"/>
      <w:r>
        <w:rPr>
          <w:position w:val="5"/>
          <w:sz w:val="12"/>
        </w:rPr>
        <w:t>962</w:t>
      </w:r>
      <w:r>
        <w:rPr>
          <w:spacing w:val="12"/>
          <w:position w:val="5"/>
          <w:sz w:val="12"/>
        </w:rPr>
        <w:t xml:space="preserve"> </w:t>
      </w:r>
      <w:r>
        <w:rPr>
          <w:sz w:val="18"/>
        </w:rPr>
        <w:t>Australia's</w:t>
      </w:r>
      <w:r>
        <w:rPr>
          <w:spacing w:val="-7"/>
          <w:sz w:val="18"/>
        </w:rPr>
        <w:t xml:space="preserve"> </w:t>
      </w:r>
      <w:r>
        <w:rPr>
          <w:sz w:val="18"/>
        </w:rPr>
        <w:t>first</w:t>
      </w:r>
      <w:r>
        <w:rPr>
          <w:spacing w:val="-5"/>
          <w:sz w:val="18"/>
        </w:rPr>
        <w:t xml:space="preserve"> </w:t>
      </w:r>
      <w:r>
        <w:rPr>
          <w:sz w:val="18"/>
        </w:rPr>
        <w:t>written</w:t>
      </w:r>
      <w:r>
        <w:rPr>
          <w:spacing w:val="-3"/>
          <w:sz w:val="18"/>
        </w:rPr>
        <w:t xml:space="preserve"> </w:t>
      </w:r>
      <w:r>
        <w:rPr>
          <w:sz w:val="18"/>
        </w:rPr>
        <w:t>submission, paras.</w:t>
      </w:r>
      <w:r>
        <w:rPr>
          <w:spacing w:val="-5"/>
          <w:sz w:val="18"/>
        </w:rPr>
        <w:t xml:space="preserve"> </w:t>
      </w:r>
      <w:r>
        <w:rPr>
          <w:sz w:val="18"/>
        </w:rPr>
        <w:t>775-</w:t>
      </w:r>
      <w:r>
        <w:rPr>
          <w:spacing w:val="-4"/>
          <w:sz w:val="18"/>
        </w:rPr>
        <w:t>823.</w:t>
      </w:r>
    </w:p>
    <w:p w14:paraId="337C4F47" w14:textId="77777777" w:rsidR="00BD462C" w:rsidRDefault="00033D0F">
      <w:pPr>
        <w:spacing w:before="1"/>
        <w:ind w:left="135"/>
        <w:rPr>
          <w:sz w:val="18"/>
        </w:rPr>
      </w:pPr>
      <w:bookmarkStart w:id="1294" w:name="_bookmark1118"/>
      <w:bookmarkEnd w:id="1294"/>
      <w:r>
        <w:rPr>
          <w:position w:val="5"/>
          <w:sz w:val="12"/>
        </w:rPr>
        <w:t>963</w:t>
      </w:r>
      <w:r>
        <w:rPr>
          <w:spacing w:val="12"/>
          <w:position w:val="5"/>
          <w:sz w:val="12"/>
        </w:rPr>
        <w:t xml:space="preserve"> </w:t>
      </w:r>
      <w:r>
        <w:rPr>
          <w:sz w:val="18"/>
        </w:rPr>
        <w:t>Australia's</w:t>
      </w:r>
      <w:r>
        <w:rPr>
          <w:spacing w:val="-7"/>
          <w:sz w:val="18"/>
        </w:rPr>
        <w:t xml:space="preserve"> </w:t>
      </w:r>
      <w:r>
        <w:rPr>
          <w:sz w:val="18"/>
        </w:rPr>
        <w:t>first</w:t>
      </w:r>
      <w:r>
        <w:rPr>
          <w:spacing w:val="-5"/>
          <w:sz w:val="18"/>
        </w:rPr>
        <w:t xml:space="preserve"> </w:t>
      </w:r>
      <w:r>
        <w:rPr>
          <w:sz w:val="18"/>
        </w:rPr>
        <w:t>written</w:t>
      </w:r>
      <w:r>
        <w:rPr>
          <w:spacing w:val="-3"/>
          <w:sz w:val="18"/>
        </w:rPr>
        <w:t xml:space="preserve"> </w:t>
      </w:r>
      <w:r>
        <w:rPr>
          <w:sz w:val="18"/>
        </w:rPr>
        <w:t>submission, paras.</w:t>
      </w:r>
      <w:r>
        <w:rPr>
          <w:spacing w:val="-5"/>
          <w:sz w:val="18"/>
        </w:rPr>
        <w:t xml:space="preserve"> </w:t>
      </w:r>
      <w:r>
        <w:rPr>
          <w:sz w:val="18"/>
        </w:rPr>
        <w:t>824-</w:t>
      </w:r>
      <w:r>
        <w:rPr>
          <w:spacing w:val="-4"/>
          <w:sz w:val="18"/>
        </w:rPr>
        <w:t>826.</w:t>
      </w:r>
    </w:p>
    <w:p w14:paraId="42FA2CA9" w14:textId="77777777" w:rsidR="00BD462C" w:rsidRDefault="00BD462C">
      <w:pPr>
        <w:rPr>
          <w:sz w:val="18"/>
        </w:rPr>
        <w:sectPr w:rsidR="00BD462C">
          <w:pgSz w:w="11910" w:h="16840"/>
          <w:pgMar w:top="860" w:right="500" w:bottom="780" w:left="1280" w:header="566" w:footer="590" w:gutter="0"/>
          <w:cols w:space="720"/>
        </w:sectPr>
      </w:pPr>
    </w:p>
    <w:p w14:paraId="12902F61"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407669DD"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19C82405"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2E1A9A66" w14:textId="28E7CB81" w:rsidR="00BD462C" w:rsidRDefault="003B71EA">
      <w:pPr>
        <w:pStyle w:val="BodyText"/>
        <w:spacing w:before="107" w:line="357" w:lineRule="auto"/>
        <w:ind w:left="136" w:right="916"/>
        <w:jc w:val="both"/>
      </w:pPr>
      <w:r>
        <w:rPr>
          <w:noProof/>
        </w:rPr>
        <w:t>608.</w:t>
      </w:r>
      <w:r w:rsidR="00033D0F">
        <w:rPr>
          <w:rFonts w:ascii="Times New Roman"/>
          <w:spacing w:val="80"/>
          <w:position w:val="1"/>
          <w:sz w:val="20"/>
        </w:rPr>
        <w:t xml:space="preserve">  </w:t>
      </w:r>
      <w:r w:rsidR="00033D0F">
        <w:rPr>
          <w:position w:val="1"/>
        </w:rPr>
        <w:t>China</w:t>
      </w:r>
      <w:r w:rsidR="00033D0F">
        <w:rPr>
          <w:spacing w:val="-9"/>
          <w:position w:val="1"/>
        </w:rPr>
        <w:t xml:space="preserve"> </w:t>
      </w:r>
      <w:r w:rsidR="00033D0F">
        <w:rPr>
          <w:position w:val="1"/>
        </w:rPr>
        <w:t>adduces</w:t>
      </w:r>
      <w:r w:rsidR="00033D0F">
        <w:rPr>
          <w:spacing w:val="-7"/>
          <w:position w:val="1"/>
        </w:rPr>
        <w:t xml:space="preserve"> </w:t>
      </w:r>
      <w:r w:rsidR="00033D0F">
        <w:rPr>
          <w:position w:val="1"/>
        </w:rPr>
        <w:t>several</w:t>
      </w:r>
      <w:r w:rsidR="00033D0F">
        <w:rPr>
          <w:spacing w:val="-6"/>
          <w:position w:val="1"/>
        </w:rPr>
        <w:t xml:space="preserve"> </w:t>
      </w:r>
      <w:r w:rsidR="00033D0F">
        <w:rPr>
          <w:position w:val="1"/>
        </w:rPr>
        <w:t>jurisdictional</w:t>
      </w:r>
      <w:r w:rsidR="00033D0F">
        <w:rPr>
          <w:spacing w:val="-6"/>
          <w:position w:val="1"/>
        </w:rPr>
        <w:t xml:space="preserve"> </w:t>
      </w:r>
      <w:r w:rsidR="00033D0F">
        <w:rPr>
          <w:position w:val="1"/>
        </w:rPr>
        <w:t>or</w:t>
      </w:r>
      <w:r w:rsidR="00033D0F">
        <w:rPr>
          <w:spacing w:val="-6"/>
          <w:position w:val="1"/>
        </w:rPr>
        <w:t xml:space="preserve"> </w:t>
      </w:r>
      <w:r w:rsidR="00033D0F">
        <w:rPr>
          <w:position w:val="1"/>
        </w:rPr>
        <w:t>"threshold"</w:t>
      </w:r>
      <w:r w:rsidR="00033D0F">
        <w:rPr>
          <w:spacing w:val="-4"/>
          <w:position w:val="1"/>
        </w:rPr>
        <w:t xml:space="preserve"> </w:t>
      </w:r>
      <w:r w:rsidR="00033D0F">
        <w:rPr>
          <w:position w:val="1"/>
        </w:rPr>
        <w:t>complaints</w:t>
      </w:r>
      <w:r w:rsidR="00033D0F">
        <w:rPr>
          <w:spacing w:val="-7"/>
          <w:position w:val="1"/>
        </w:rPr>
        <w:t xml:space="preserve"> </w:t>
      </w:r>
      <w:r w:rsidR="00033D0F">
        <w:rPr>
          <w:position w:val="1"/>
        </w:rPr>
        <w:t>concerning</w:t>
      </w:r>
      <w:r w:rsidR="00033D0F">
        <w:rPr>
          <w:spacing w:val="-7"/>
          <w:position w:val="1"/>
        </w:rPr>
        <w:t xml:space="preserve"> </w:t>
      </w:r>
      <w:r w:rsidR="00033D0F">
        <w:rPr>
          <w:position w:val="1"/>
        </w:rPr>
        <w:t xml:space="preserve">Australia's </w:t>
      </w:r>
      <w:r w:rsidR="00033D0F">
        <w:t xml:space="preserve">claims with respect to Article 5. These complaints are entirely without merit, and are addressed in </w:t>
      </w:r>
      <w:hyperlink w:anchor="_bookmark1704" w:history="1">
        <w:r w:rsidR="00033D0F">
          <w:t>ANNEX A</w:t>
        </w:r>
      </w:hyperlink>
      <w:r w:rsidR="00033D0F">
        <w:t xml:space="preserve"> and section </w:t>
      </w:r>
      <w:hyperlink w:anchor="_bookmark6" w:history="1">
        <w:r w:rsidR="00033D0F">
          <w:t>II.A</w:t>
        </w:r>
      </w:hyperlink>
      <w:r w:rsidR="00033D0F">
        <w:t xml:space="preserve"> of this submission.</w:t>
      </w:r>
      <w:hyperlink w:anchor="_bookmark1121" w:history="1">
        <w:r w:rsidR="00033D0F">
          <w:rPr>
            <w:vertAlign w:val="superscript"/>
          </w:rPr>
          <w:t>964</w:t>
        </w:r>
      </w:hyperlink>
    </w:p>
    <w:p w14:paraId="4DA218F0" w14:textId="77777777" w:rsidR="00BD462C" w:rsidRDefault="00BD462C">
      <w:pPr>
        <w:pStyle w:val="BodyText"/>
        <w:spacing w:before="3"/>
        <w:rPr>
          <w:sz w:val="9"/>
        </w:rPr>
      </w:pPr>
    </w:p>
    <w:p w14:paraId="5EA39FE1" w14:textId="1975CE39" w:rsidR="00BD462C" w:rsidRDefault="003B71EA">
      <w:pPr>
        <w:pStyle w:val="BodyText"/>
        <w:spacing w:before="56"/>
        <w:ind w:left="135"/>
      </w:pPr>
      <w:r>
        <w:rPr>
          <w:noProof/>
        </w:rPr>
        <w:t>609.</w:t>
      </w:r>
      <w:r w:rsidR="00033D0F">
        <w:rPr>
          <w:rFonts w:ascii="Times New Roman"/>
          <w:spacing w:val="80"/>
          <w:position w:val="1"/>
          <w:sz w:val="20"/>
        </w:rPr>
        <w:t xml:space="preserve">   </w:t>
      </w:r>
      <w:r w:rsidR="00033D0F">
        <w:rPr>
          <w:position w:val="1"/>
        </w:rPr>
        <w:t xml:space="preserve">For the reasons set out below, China has failed to rebut Australia's </w:t>
      </w:r>
      <w:r w:rsidR="00033D0F">
        <w:rPr>
          <w:i/>
          <w:position w:val="1"/>
        </w:rPr>
        <w:t xml:space="preserve">prima facie </w:t>
      </w:r>
      <w:r w:rsidR="00033D0F">
        <w:rPr>
          <w:position w:val="1"/>
        </w:rPr>
        <w:t>case.</w:t>
      </w:r>
    </w:p>
    <w:p w14:paraId="46395BC5" w14:textId="77777777" w:rsidR="00BD462C" w:rsidRDefault="00BD462C">
      <w:pPr>
        <w:pStyle w:val="BodyText"/>
        <w:spacing w:before="5"/>
      </w:pPr>
    </w:p>
    <w:p w14:paraId="21827706" w14:textId="77777777" w:rsidR="00BD462C" w:rsidRDefault="00033D0F" w:rsidP="00DA02D9">
      <w:pPr>
        <w:pStyle w:val="ListParagraph"/>
        <w:numPr>
          <w:ilvl w:val="1"/>
          <w:numId w:val="72"/>
        </w:numPr>
        <w:tabs>
          <w:tab w:val="left" w:pos="1839"/>
          <w:tab w:val="left" w:pos="1840"/>
        </w:tabs>
        <w:spacing w:before="0" w:line="400" w:lineRule="auto"/>
        <w:ind w:left="1840" w:right="917"/>
        <w:rPr>
          <w:b/>
        </w:rPr>
      </w:pPr>
      <w:bookmarkStart w:id="1295" w:name="B._The_Application_was_not_made_by_or_on"/>
      <w:bookmarkStart w:id="1296" w:name="_bookmark1119"/>
      <w:bookmarkEnd w:id="1295"/>
      <w:bookmarkEnd w:id="1296"/>
      <w:r>
        <w:rPr>
          <w:b/>
          <w:sz w:val="28"/>
        </w:rPr>
        <w:t>T</w:t>
      </w:r>
      <w:r>
        <w:rPr>
          <w:b/>
        </w:rPr>
        <w:t>HE</w:t>
      </w:r>
      <w:r>
        <w:rPr>
          <w:b/>
          <w:spacing w:val="40"/>
        </w:rPr>
        <w:t xml:space="preserve"> </w:t>
      </w:r>
      <w:r>
        <w:rPr>
          <w:b/>
          <w:sz w:val="28"/>
        </w:rPr>
        <w:t>A</w:t>
      </w:r>
      <w:r>
        <w:rPr>
          <w:b/>
        </w:rPr>
        <w:t>PPLICATION</w:t>
      </w:r>
      <w:r>
        <w:rPr>
          <w:b/>
          <w:spacing w:val="40"/>
        </w:rPr>
        <w:t xml:space="preserve"> </w:t>
      </w:r>
      <w:r>
        <w:rPr>
          <w:b/>
        </w:rPr>
        <w:t>WAS</w:t>
      </w:r>
      <w:r>
        <w:rPr>
          <w:b/>
          <w:spacing w:val="40"/>
        </w:rPr>
        <w:t xml:space="preserve"> </w:t>
      </w:r>
      <w:r>
        <w:rPr>
          <w:b/>
        </w:rPr>
        <w:t>NOT</w:t>
      </w:r>
      <w:r>
        <w:rPr>
          <w:b/>
          <w:spacing w:val="40"/>
        </w:rPr>
        <w:t xml:space="preserve"> </w:t>
      </w:r>
      <w:r>
        <w:rPr>
          <w:b/>
        </w:rPr>
        <w:t>MADE</w:t>
      </w:r>
      <w:r>
        <w:rPr>
          <w:b/>
          <w:spacing w:val="40"/>
        </w:rPr>
        <w:t xml:space="preserve"> </w:t>
      </w:r>
      <w:r>
        <w:rPr>
          <w:b/>
        </w:rPr>
        <w:t>BY</w:t>
      </w:r>
      <w:r>
        <w:rPr>
          <w:b/>
          <w:spacing w:val="40"/>
        </w:rPr>
        <w:t xml:space="preserve"> </w:t>
      </w:r>
      <w:r>
        <w:rPr>
          <w:b/>
        </w:rPr>
        <w:t>OR</w:t>
      </w:r>
      <w:r>
        <w:rPr>
          <w:b/>
          <w:spacing w:val="40"/>
        </w:rPr>
        <w:t xml:space="preserve"> </w:t>
      </w:r>
      <w:r>
        <w:rPr>
          <w:b/>
        </w:rPr>
        <w:t>ON</w:t>
      </w:r>
      <w:r>
        <w:rPr>
          <w:b/>
          <w:spacing w:val="40"/>
        </w:rPr>
        <w:t xml:space="preserve"> </w:t>
      </w:r>
      <w:r>
        <w:rPr>
          <w:b/>
        </w:rPr>
        <w:t>BEHALF</w:t>
      </w:r>
      <w:r>
        <w:rPr>
          <w:b/>
          <w:spacing w:val="40"/>
        </w:rPr>
        <w:t xml:space="preserve"> </w:t>
      </w:r>
      <w:r>
        <w:rPr>
          <w:b/>
        </w:rPr>
        <w:t>OF</w:t>
      </w:r>
      <w:r>
        <w:rPr>
          <w:b/>
          <w:spacing w:val="40"/>
        </w:rPr>
        <w:t xml:space="preserve"> </w:t>
      </w:r>
      <w:r>
        <w:rPr>
          <w:b/>
        </w:rPr>
        <w:t>THE</w:t>
      </w:r>
      <w:r>
        <w:rPr>
          <w:b/>
          <w:spacing w:val="40"/>
        </w:rPr>
        <w:t xml:space="preserve"> </w:t>
      </w:r>
      <w:r>
        <w:rPr>
          <w:b/>
        </w:rPr>
        <w:t>DOMESTIC</w:t>
      </w:r>
      <w:r>
        <w:rPr>
          <w:b/>
          <w:spacing w:val="40"/>
        </w:rPr>
        <w:t xml:space="preserve"> </w:t>
      </w:r>
      <w:r>
        <w:rPr>
          <w:b/>
        </w:rPr>
        <w:t>INDUSTRY AND THE APPLICANT DID NOT HAVE STANDING</w:t>
      </w:r>
    </w:p>
    <w:p w14:paraId="251CEE95" w14:textId="77777777" w:rsidR="00BD462C" w:rsidRDefault="00033D0F">
      <w:pPr>
        <w:pStyle w:val="Heading3"/>
        <w:numPr>
          <w:ilvl w:val="0"/>
          <w:numId w:val="41"/>
        </w:numPr>
        <w:tabs>
          <w:tab w:val="left" w:pos="2689"/>
          <w:tab w:val="left" w:pos="2690"/>
        </w:tabs>
        <w:spacing w:before="166" w:line="362" w:lineRule="auto"/>
        <w:ind w:right="916"/>
      </w:pPr>
      <w:bookmarkStart w:id="1297" w:name="1._MOFCOM's_examination_of_the_degree_of"/>
      <w:bookmarkStart w:id="1298" w:name="_bookmark1120"/>
      <w:bookmarkEnd w:id="1297"/>
      <w:bookmarkEnd w:id="1298"/>
      <w:r>
        <w:t>MOFCOM's</w:t>
      </w:r>
      <w:r>
        <w:rPr>
          <w:spacing w:val="80"/>
        </w:rPr>
        <w:t xml:space="preserve"> </w:t>
      </w:r>
      <w:r>
        <w:t>examination</w:t>
      </w:r>
      <w:r>
        <w:rPr>
          <w:spacing w:val="80"/>
        </w:rPr>
        <w:t xml:space="preserve"> </w:t>
      </w:r>
      <w:r>
        <w:t>of</w:t>
      </w:r>
      <w:r>
        <w:rPr>
          <w:spacing w:val="80"/>
        </w:rPr>
        <w:t xml:space="preserve"> </w:t>
      </w:r>
      <w:r>
        <w:t>the</w:t>
      </w:r>
      <w:r>
        <w:rPr>
          <w:spacing w:val="80"/>
        </w:rPr>
        <w:t xml:space="preserve"> </w:t>
      </w:r>
      <w:r>
        <w:t>degree</w:t>
      </w:r>
      <w:r>
        <w:rPr>
          <w:spacing w:val="80"/>
        </w:rPr>
        <w:t xml:space="preserve"> </w:t>
      </w:r>
      <w:r>
        <w:t>of</w:t>
      </w:r>
      <w:r>
        <w:rPr>
          <w:spacing w:val="80"/>
        </w:rPr>
        <w:t xml:space="preserve"> </w:t>
      </w:r>
      <w:r>
        <w:t>support</w:t>
      </w:r>
      <w:r>
        <w:rPr>
          <w:spacing w:val="80"/>
        </w:rPr>
        <w:t xml:space="preserve"> </w:t>
      </w:r>
      <w:r>
        <w:t>for</w:t>
      </w:r>
      <w:r>
        <w:rPr>
          <w:spacing w:val="80"/>
        </w:rPr>
        <w:t xml:space="preserve"> </w:t>
      </w:r>
      <w:r>
        <w:t>the application was flawed</w:t>
      </w:r>
    </w:p>
    <w:p w14:paraId="61F995F4" w14:textId="77777777" w:rsidR="00BD462C" w:rsidRDefault="00BD462C">
      <w:pPr>
        <w:pStyle w:val="BodyText"/>
        <w:spacing w:before="7"/>
        <w:rPr>
          <w:b/>
          <w:sz w:val="8"/>
        </w:rPr>
      </w:pPr>
    </w:p>
    <w:p w14:paraId="3EFAAAF3" w14:textId="72F6B789" w:rsidR="00BD462C" w:rsidRDefault="003B71EA">
      <w:pPr>
        <w:pStyle w:val="BodyText"/>
        <w:spacing w:before="56" w:line="360" w:lineRule="auto"/>
        <w:ind w:left="135" w:right="915"/>
        <w:jc w:val="both"/>
      </w:pPr>
      <w:r>
        <w:rPr>
          <w:noProof/>
        </w:rPr>
        <w:t>610.</w:t>
      </w:r>
      <w:r w:rsidR="00033D0F">
        <w:rPr>
          <w:rFonts w:ascii="Times New Roman"/>
          <w:spacing w:val="80"/>
          <w:w w:val="150"/>
          <w:position w:val="1"/>
          <w:sz w:val="20"/>
        </w:rPr>
        <w:t xml:space="preserve">  </w:t>
      </w:r>
      <w:r w:rsidR="00033D0F">
        <w:rPr>
          <w:position w:val="1"/>
        </w:rPr>
        <w:t>MOFCOM's</w:t>
      </w:r>
      <w:r w:rsidR="00033D0F">
        <w:rPr>
          <w:spacing w:val="-10"/>
          <w:position w:val="1"/>
        </w:rPr>
        <w:t xml:space="preserve"> </w:t>
      </w:r>
      <w:r w:rsidR="00033D0F">
        <w:rPr>
          <w:position w:val="1"/>
        </w:rPr>
        <w:t>assessment</w:t>
      </w:r>
      <w:r w:rsidR="00033D0F">
        <w:rPr>
          <w:spacing w:val="-11"/>
          <w:position w:val="1"/>
        </w:rPr>
        <w:t xml:space="preserve"> </w:t>
      </w:r>
      <w:r w:rsidR="00033D0F">
        <w:rPr>
          <w:position w:val="1"/>
        </w:rPr>
        <w:t>of</w:t>
      </w:r>
      <w:r w:rsidR="00033D0F">
        <w:rPr>
          <w:spacing w:val="-14"/>
          <w:position w:val="1"/>
        </w:rPr>
        <w:t xml:space="preserve"> </w:t>
      </w:r>
      <w:r w:rsidR="00033D0F">
        <w:rPr>
          <w:position w:val="1"/>
        </w:rPr>
        <w:t>the</w:t>
      </w:r>
      <w:r w:rsidR="00033D0F">
        <w:rPr>
          <w:spacing w:val="-6"/>
          <w:position w:val="1"/>
        </w:rPr>
        <w:t xml:space="preserve"> </w:t>
      </w:r>
      <w:r w:rsidR="00033D0F">
        <w:rPr>
          <w:position w:val="1"/>
        </w:rPr>
        <w:t>degree</w:t>
      </w:r>
      <w:r w:rsidR="00033D0F">
        <w:rPr>
          <w:spacing w:val="-12"/>
          <w:position w:val="1"/>
        </w:rPr>
        <w:t xml:space="preserve"> </w:t>
      </w:r>
      <w:r w:rsidR="00033D0F">
        <w:rPr>
          <w:position w:val="1"/>
        </w:rPr>
        <w:t>of</w:t>
      </w:r>
      <w:r w:rsidR="00033D0F">
        <w:rPr>
          <w:spacing w:val="-14"/>
          <w:position w:val="1"/>
        </w:rPr>
        <w:t xml:space="preserve"> </w:t>
      </w:r>
      <w:r w:rsidR="00033D0F">
        <w:rPr>
          <w:position w:val="1"/>
        </w:rPr>
        <w:t>support</w:t>
      </w:r>
      <w:r w:rsidR="00033D0F">
        <w:rPr>
          <w:spacing w:val="-6"/>
          <w:position w:val="1"/>
        </w:rPr>
        <w:t xml:space="preserve"> </w:t>
      </w:r>
      <w:r w:rsidR="00033D0F">
        <w:rPr>
          <w:position w:val="1"/>
        </w:rPr>
        <w:t>for</w:t>
      </w:r>
      <w:r w:rsidR="00033D0F">
        <w:rPr>
          <w:spacing w:val="-14"/>
          <w:position w:val="1"/>
        </w:rPr>
        <w:t xml:space="preserve"> </w:t>
      </w:r>
      <w:r w:rsidR="00033D0F">
        <w:rPr>
          <w:position w:val="1"/>
        </w:rPr>
        <w:t>CADA's</w:t>
      </w:r>
      <w:r w:rsidR="00033D0F">
        <w:rPr>
          <w:spacing w:val="-9"/>
          <w:position w:val="1"/>
        </w:rPr>
        <w:t xml:space="preserve"> </w:t>
      </w:r>
      <w:r w:rsidR="00033D0F">
        <w:rPr>
          <w:position w:val="1"/>
        </w:rPr>
        <w:t>application</w:t>
      </w:r>
      <w:r w:rsidR="00033D0F">
        <w:rPr>
          <w:spacing w:val="-14"/>
          <w:position w:val="1"/>
        </w:rPr>
        <w:t xml:space="preserve"> </w:t>
      </w:r>
      <w:r w:rsidR="00033D0F">
        <w:rPr>
          <w:position w:val="1"/>
        </w:rPr>
        <w:t>was</w:t>
      </w:r>
      <w:r w:rsidR="00033D0F">
        <w:rPr>
          <w:spacing w:val="-9"/>
          <w:position w:val="1"/>
        </w:rPr>
        <w:t xml:space="preserve"> </w:t>
      </w:r>
      <w:r w:rsidR="00033D0F">
        <w:rPr>
          <w:position w:val="1"/>
        </w:rPr>
        <w:t xml:space="preserve">deficient </w:t>
      </w:r>
      <w:r w:rsidR="00033D0F">
        <w:t>for</w:t>
      </w:r>
      <w:r w:rsidR="00033D0F">
        <w:rPr>
          <w:spacing w:val="-1"/>
        </w:rPr>
        <w:t xml:space="preserve"> </w:t>
      </w:r>
      <w:r w:rsidR="00033D0F">
        <w:t>two</w:t>
      </w:r>
      <w:r w:rsidR="00033D0F">
        <w:rPr>
          <w:spacing w:val="-1"/>
        </w:rPr>
        <w:t xml:space="preserve"> </w:t>
      </w:r>
      <w:r w:rsidR="00033D0F">
        <w:t>reasons. First, MOFCOM failed to</w:t>
      </w:r>
      <w:r w:rsidR="00033D0F">
        <w:rPr>
          <w:spacing w:val="-1"/>
        </w:rPr>
        <w:t xml:space="preserve"> </w:t>
      </w:r>
      <w:r w:rsidR="00033D0F">
        <w:t>conduct an</w:t>
      </w:r>
      <w:r w:rsidR="00033D0F">
        <w:rPr>
          <w:spacing w:val="-1"/>
        </w:rPr>
        <w:t xml:space="preserve"> </w:t>
      </w:r>
      <w:r w:rsidR="00033D0F">
        <w:t>adequate examination</w:t>
      </w:r>
      <w:r w:rsidR="00033D0F">
        <w:rPr>
          <w:spacing w:val="-1"/>
        </w:rPr>
        <w:t xml:space="preserve"> </w:t>
      </w:r>
      <w:r w:rsidR="00033D0F">
        <w:t xml:space="preserve">of the degree of support for, or opposition to, the application within CADA's membership. Second, MOFCOM failed to conduct </w:t>
      </w:r>
      <w:r w:rsidR="00033D0F">
        <w:rPr>
          <w:i/>
        </w:rPr>
        <w:t xml:space="preserve">any </w:t>
      </w:r>
      <w:r w:rsidR="00033D0F">
        <w:t>examination of the degree of support for, or opposition to, the application among non-CADA domestic producers.</w:t>
      </w:r>
    </w:p>
    <w:p w14:paraId="317D090A" w14:textId="77777777" w:rsidR="00BD462C" w:rsidRDefault="00033D0F">
      <w:pPr>
        <w:pStyle w:val="ListParagraph"/>
        <w:numPr>
          <w:ilvl w:val="1"/>
          <w:numId w:val="41"/>
        </w:numPr>
        <w:tabs>
          <w:tab w:val="left" w:pos="3539"/>
          <w:tab w:val="left" w:pos="3540"/>
        </w:tabs>
        <w:spacing w:before="156" w:line="362" w:lineRule="auto"/>
        <w:ind w:right="917"/>
        <w:jc w:val="both"/>
        <w:rPr>
          <w:sz w:val="24"/>
        </w:rPr>
      </w:pPr>
      <w:bookmarkStart w:id="1299" w:name="(a)_MOFCOM_did_not_examine_the_degree_of"/>
      <w:bookmarkEnd w:id="1299"/>
      <w:r>
        <w:rPr>
          <w:sz w:val="24"/>
          <w:u w:val="single"/>
        </w:rPr>
        <w:t>MOFCOM did not examine the degree of support or</w:t>
      </w:r>
      <w:r>
        <w:rPr>
          <w:sz w:val="24"/>
        </w:rPr>
        <w:t xml:space="preserve"> </w:t>
      </w:r>
      <w:r>
        <w:rPr>
          <w:sz w:val="24"/>
          <w:u w:val="single"/>
        </w:rPr>
        <w:t>opposition expressed by individual CADA members</w:t>
      </w:r>
    </w:p>
    <w:p w14:paraId="24D09987" w14:textId="77777777" w:rsidR="00BD462C" w:rsidRDefault="00BD462C">
      <w:pPr>
        <w:pStyle w:val="BodyText"/>
        <w:spacing w:before="2"/>
        <w:rPr>
          <w:sz w:val="8"/>
        </w:rPr>
      </w:pPr>
    </w:p>
    <w:p w14:paraId="719EA229" w14:textId="269A3F21" w:rsidR="00BD462C" w:rsidRDefault="003B71EA">
      <w:pPr>
        <w:pStyle w:val="BodyText"/>
        <w:spacing w:before="56" w:line="360" w:lineRule="auto"/>
        <w:ind w:left="135" w:right="916"/>
        <w:jc w:val="both"/>
      </w:pPr>
      <w:r>
        <w:rPr>
          <w:noProof/>
        </w:rPr>
        <w:t>611.</w:t>
      </w:r>
      <w:r w:rsidR="00033D0F">
        <w:rPr>
          <w:rFonts w:ascii="Times New Roman"/>
          <w:spacing w:val="80"/>
          <w:w w:val="150"/>
          <w:position w:val="1"/>
          <w:sz w:val="20"/>
        </w:rPr>
        <w:t xml:space="preserve">  </w:t>
      </w:r>
      <w:r w:rsidR="00033D0F">
        <w:rPr>
          <w:position w:val="1"/>
        </w:rPr>
        <w:t>MOFCOM failed to base</w:t>
      </w:r>
      <w:r w:rsidR="00033D0F">
        <w:rPr>
          <w:spacing w:val="-2"/>
          <w:position w:val="1"/>
        </w:rPr>
        <w:t xml:space="preserve"> </w:t>
      </w:r>
      <w:r w:rsidR="00033D0F">
        <w:rPr>
          <w:position w:val="1"/>
        </w:rPr>
        <w:t xml:space="preserve">its examination of the degree of support for the application </w:t>
      </w:r>
      <w:r w:rsidR="00033D0F">
        <w:t>on the production volumes of the domestic producers who expressed support for, or opposition to, the application, as required under Articles 5.1 and 5.4 of the Anti-Dumping Agreement. On China's own submissions, it is clear that MOFCOM misunderstood the task that it was required to undertake.</w:t>
      </w:r>
      <w:hyperlink w:anchor="_bookmark1122" w:history="1">
        <w:r w:rsidR="00033D0F">
          <w:rPr>
            <w:vertAlign w:val="superscript"/>
          </w:rPr>
          <w:t>965</w:t>
        </w:r>
      </w:hyperlink>
    </w:p>
    <w:p w14:paraId="6DC00217" w14:textId="77777777" w:rsidR="00BD462C" w:rsidRDefault="00BD462C">
      <w:pPr>
        <w:pStyle w:val="BodyText"/>
        <w:spacing w:before="6"/>
        <w:rPr>
          <w:sz w:val="8"/>
        </w:rPr>
      </w:pPr>
    </w:p>
    <w:p w14:paraId="7A1D2EA7" w14:textId="1901B73E" w:rsidR="00BD462C" w:rsidRDefault="003B71EA">
      <w:pPr>
        <w:pStyle w:val="BodyText"/>
        <w:spacing w:before="56" w:line="360" w:lineRule="auto"/>
        <w:ind w:left="135" w:right="914"/>
        <w:jc w:val="both"/>
      </w:pPr>
      <w:r>
        <w:rPr>
          <w:noProof/>
        </w:rPr>
        <w:t>612.</w:t>
      </w:r>
      <w:r w:rsidR="00033D0F">
        <w:rPr>
          <w:rFonts w:ascii="Times New Roman"/>
          <w:spacing w:val="80"/>
          <w:position w:val="1"/>
          <w:sz w:val="20"/>
        </w:rPr>
        <w:t xml:space="preserve">  </w:t>
      </w:r>
      <w:r w:rsidR="00033D0F">
        <w:rPr>
          <w:position w:val="1"/>
        </w:rPr>
        <w:t>China</w:t>
      </w:r>
      <w:r w:rsidR="00033D0F">
        <w:rPr>
          <w:spacing w:val="-3"/>
          <w:position w:val="1"/>
        </w:rPr>
        <w:t xml:space="preserve"> </w:t>
      </w:r>
      <w:r w:rsidR="00033D0F">
        <w:rPr>
          <w:position w:val="1"/>
        </w:rPr>
        <w:t>submits</w:t>
      </w:r>
      <w:r w:rsidR="00033D0F">
        <w:rPr>
          <w:spacing w:val="-1"/>
          <w:position w:val="1"/>
        </w:rPr>
        <w:t xml:space="preserve"> </w:t>
      </w:r>
      <w:r w:rsidR="00033D0F">
        <w:rPr>
          <w:position w:val="1"/>
        </w:rPr>
        <w:t>that</w:t>
      </w:r>
      <w:r w:rsidR="00033D0F">
        <w:rPr>
          <w:spacing w:val="-2"/>
          <w:position w:val="1"/>
        </w:rPr>
        <w:t xml:space="preserve"> </w:t>
      </w:r>
      <w:r w:rsidR="00033D0F">
        <w:rPr>
          <w:position w:val="1"/>
        </w:rPr>
        <w:t>MOFCOM</w:t>
      </w:r>
      <w:r w:rsidR="00033D0F">
        <w:rPr>
          <w:spacing w:val="-2"/>
          <w:position w:val="1"/>
        </w:rPr>
        <w:t xml:space="preserve"> </w:t>
      </w:r>
      <w:r w:rsidR="00033D0F">
        <w:rPr>
          <w:position w:val="1"/>
        </w:rPr>
        <w:t>was</w:t>
      </w:r>
      <w:r w:rsidR="00033D0F">
        <w:rPr>
          <w:spacing w:val="-1"/>
          <w:position w:val="1"/>
        </w:rPr>
        <w:t xml:space="preserve"> </w:t>
      </w:r>
      <w:r w:rsidR="00033D0F">
        <w:rPr>
          <w:position w:val="1"/>
        </w:rPr>
        <w:t>not</w:t>
      </w:r>
      <w:r w:rsidR="00033D0F">
        <w:rPr>
          <w:spacing w:val="-2"/>
          <w:position w:val="1"/>
        </w:rPr>
        <w:t xml:space="preserve"> </w:t>
      </w:r>
      <w:r w:rsidR="00033D0F">
        <w:rPr>
          <w:position w:val="1"/>
        </w:rPr>
        <w:t>required</w:t>
      </w:r>
      <w:r w:rsidR="00033D0F">
        <w:rPr>
          <w:spacing w:val="-4"/>
          <w:position w:val="1"/>
        </w:rPr>
        <w:t xml:space="preserve"> </w:t>
      </w:r>
      <w:r w:rsidR="00033D0F">
        <w:rPr>
          <w:position w:val="1"/>
        </w:rPr>
        <w:t>to consider</w:t>
      </w:r>
      <w:r w:rsidR="00033D0F">
        <w:rPr>
          <w:spacing w:val="-5"/>
          <w:position w:val="1"/>
        </w:rPr>
        <w:t xml:space="preserve"> </w:t>
      </w:r>
      <w:r w:rsidR="00033D0F">
        <w:rPr>
          <w:position w:val="1"/>
        </w:rPr>
        <w:t xml:space="preserve">whether individual CADA </w:t>
      </w:r>
      <w:r w:rsidR="00033D0F">
        <w:t>members supported, were neutral to, or opposed the application, or the level of production represented</w:t>
      </w:r>
      <w:r w:rsidR="00033D0F">
        <w:rPr>
          <w:spacing w:val="-9"/>
        </w:rPr>
        <w:t xml:space="preserve"> </w:t>
      </w:r>
      <w:r w:rsidR="00033D0F">
        <w:t>by</w:t>
      </w:r>
      <w:r w:rsidR="00033D0F">
        <w:rPr>
          <w:spacing w:val="-7"/>
        </w:rPr>
        <w:t xml:space="preserve"> </w:t>
      </w:r>
      <w:r w:rsidR="00033D0F">
        <w:t>the</w:t>
      </w:r>
      <w:r w:rsidR="00033D0F">
        <w:rPr>
          <w:spacing w:val="-8"/>
        </w:rPr>
        <w:t xml:space="preserve"> </w:t>
      </w:r>
      <w:r w:rsidR="00033D0F">
        <w:t>individual</w:t>
      </w:r>
      <w:r w:rsidR="00033D0F">
        <w:rPr>
          <w:spacing w:val="-6"/>
        </w:rPr>
        <w:t xml:space="preserve"> </w:t>
      </w:r>
      <w:r w:rsidR="00033D0F">
        <w:t>members</w:t>
      </w:r>
      <w:r w:rsidR="00033D0F">
        <w:rPr>
          <w:spacing w:val="-7"/>
        </w:rPr>
        <w:t xml:space="preserve"> </w:t>
      </w:r>
      <w:r w:rsidR="00033D0F">
        <w:t>who</w:t>
      </w:r>
      <w:r w:rsidR="00033D0F">
        <w:rPr>
          <w:spacing w:val="-10"/>
        </w:rPr>
        <w:t xml:space="preserve"> </w:t>
      </w:r>
      <w:r w:rsidR="00033D0F">
        <w:t>were</w:t>
      </w:r>
      <w:r w:rsidR="00033D0F">
        <w:rPr>
          <w:spacing w:val="-8"/>
        </w:rPr>
        <w:t xml:space="preserve"> </w:t>
      </w:r>
      <w:r w:rsidR="00033D0F">
        <w:t>neutral</w:t>
      </w:r>
      <w:r w:rsidR="00033D0F">
        <w:rPr>
          <w:spacing w:val="-6"/>
        </w:rPr>
        <w:t xml:space="preserve"> </w:t>
      </w:r>
      <w:r w:rsidR="00033D0F">
        <w:t>to</w:t>
      </w:r>
      <w:r w:rsidR="00033D0F">
        <w:rPr>
          <w:spacing w:val="-10"/>
        </w:rPr>
        <w:t xml:space="preserve"> </w:t>
      </w:r>
      <w:r w:rsidR="00033D0F">
        <w:t>or</w:t>
      </w:r>
      <w:r w:rsidR="00033D0F">
        <w:rPr>
          <w:spacing w:val="-10"/>
        </w:rPr>
        <w:t xml:space="preserve"> </w:t>
      </w:r>
      <w:r w:rsidR="00033D0F">
        <w:t>opposed</w:t>
      </w:r>
      <w:r w:rsidR="00033D0F">
        <w:rPr>
          <w:spacing w:val="-9"/>
        </w:rPr>
        <w:t xml:space="preserve"> </w:t>
      </w:r>
      <w:r w:rsidR="00033D0F">
        <w:t>to</w:t>
      </w:r>
      <w:r w:rsidR="00033D0F">
        <w:rPr>
          <w:spacing w:val="-10"/>
        </w:rPr>
        <w:t xml:space="preserve"> </w:t>
      </w:r>
      <w:r w:rsidR="00033D0F">
        <w:t>the</w:t>
      </w:r>
      <w:r w:rsidR="00033D0F">
        <w:rPr>
          <w:spacing w:val="-8"/>
        </w:rPr>
        <w:t xml:space="preserve"> </w:t>
      </w:r>
      <w:r w:rsidR="00033D0F">
        <w:t>application.</w:t>
      </w:r>
      <w:hyperlink w:anchor="_bookmark1123" w:history="1">
        <w:r w:rsidR="00033D0F">
          <w:rPr>
            <w:vertAlign w:val="superscript"/>
          </w:rPr>
          <w:t>966</w:t>
        </w:r>
      </w:hyperlink>
      <w:r w:rsidR="00033D0F">
        <w:t xml:space="preserve"> China's contention is that no such assessment was required because, as a matter of CADA's internal</w:t>
      </w:r>
      <w:r w:rsidR="00033D0F">
        <w:rPr>
          <w:spacing w:val="-3"/>
        </w:rPr>
        <w:t xml:space="preserve"> </w:t>
      </w:r>
      <w:r w:rsidR="00033D0F">
        <w:t>governance</w:t>
      </w:r>
      <w:r w:rsidR="00033D0F">
        <w:rPr>
          <w:spacing w:val="-5"/>
        </w:rPr>
        <w:t xml:space="preserve"> </w:t>
      </w:r>
      <w:r w:rsidR="00033D0F">
        <w:t>arrangements,</w:t>
      </w:r>
      <w:r w:rsidR="00033D0F">
        <w:rPr>
          <w:spacing w:val="-3"/>
        </w:rPr>
        <w:t xml:space="preserve"> </w:t>
      </w:r>
      <w:r w:rsidR="00033D0F">
        <w:t>CADA's</w:t>
      </w:r>
      <w:r w:rsidR="00033D0F">
        <w:rPr>
          <w:spacing w:val="-4"/>
        </w:rPr>
        <w:t xml:space="preserve"> </w:t>
      </w:r>
      <w:r w:rsidR="00033D0F">
        <w:t>decision</w:t>
      </w:r>
      <w:r w:rsidR="00033D0F">
        <w:rPr>
          <w:spacing w:val="-7"/>
        </w:rPr>
        <w:t xml:space="preserve"> </w:t>
      </w:r>
      <w:r w:rsidR="00033D0F">
        <w:t>to</w:t>
      </w:r>
      <w:r w:rsidR="00033D0F">
        <w:rPr>
          <w:spacing w:val="-8"/>
        </w:rPr>
        <w:t xml:space="preserve"> </w:t>
      </w:r>
      <w:r w:rsidR="00033D0F">
        <w:t>request</w:t>
      </w:r>
      <w:r w:rsidR="00033D0F">
        <w:rPr>
          <w:spacing w:val="-5"/>
        </w:rPr>
        <w:t xml:space="preserve"> </w:t>
      </w:r>
      <w:r w:rsidR="00033D0F">
        <w:t>an</w:t>
      </w:r>
      <w:r w:rsidR="00033D0F">
        <w:rPr>
          <w:spacing w:val="-7"/>
        </w:rPr>
        <w:t xml:space="preserve"> </w:t>
      </w:r>
      <w:r w:rsidR="00033D0F">
        <w:t>anti-dumping</w:t>
      </w:r>
      <w:r w:rsidR="00033D0F">
        <w:rPr>
          <w:spacing w:val="-4"/>
        </w:rPr>
        <w:t xml:space="preserve"> </w:t>
      </w:r>
      <w:r w:rsidR="00033D0F">
        <w:t>investigation was</w:t>
      </w:r>
      <w:r w:rsidR="00033D0F">
        <w:rPr>
          <w:spacing w:val="40"/>
        </w:rPr>
        <w:t xml:space="preserve"> </w:t>
      </w:r>
      <w:r w:rsidR="00033D0F">
        <w:t>binding</w:t>
      </w:r>
      <w:r w:rsidR="00033D0F">
        <w:rPr>
          <w:spacing w:val="40"/>
        </w:rPr>
        <w:t xml:space="preserve"> </w:t>
      </w:r>
      <w:r w:rsidR="00033D0F">
        <w:t>upon</w:t>
      </w:r>
      <w:r w:rsidR="00033D0F">
        <w:rPr>
          <w:spacing w:val="40"/>
        </w:rPr>
        <w:t xml:space="preserve"> </w:t>
      </w:r>
      <w:r w:rsidR="00033D0F">
        <w:t>all</w:t>
      </w:r>
      <w:r w:rsidR="00033D0F">
        <w:rPr>
          <w:spacing w:val="40"/>
        </w:rPr>
        <w:t xml:space="preserve"> </w:t>
      </w:r>
      <w:r w:rsidR="00033D0F">
        <w:t>members</w:t>
      </w:r>
      <w:r w:rsidR="00033D0F">
        <w:rPr>
          <w:spacing w:val="40"/>
        </w:rPr>
        <w:t xml:space="preserve"> </w:t>
      </w:r>
      <w:r w:rsidR="00033D0F">
        <w:t>of</w:t>
      </w:r>
      <w:r w:rsidR="00033D0F">
        <w:rPr>
          <w:spacing w:val="40"/>
        </w:rPr>
        <w:t xml:space="preserve"> </w:t>
      </w:r>
      <w:r w:rsidR="00033D0F">
        <w:t>their</w:t>
      </w:r>
      <w:r w:rsidR="00033D0F">
        <w:rPr>
          <w:spacing w:val="40"/>
        </w:rPr>
        <w:t xml:space="preserve"> </w:t>
      </w:r>
      <w:proofErr w:type="spellStart"/>
      <w:r w:rsidR="00033D0F">
        <w:t>organisation</w:t>
      </w:r>
      <w:proofErr w:type="spellEnd"/>
      <w:r w:rsidR="00033D0F">
        <w:rPr>
          <w:spacing w:val="39"/>
        </w:rPr>
        <w:t xml:space="preserve"> </w:t>
      </w:r>
      <w:r w:rsidR="00033D0F">
        <w:t>since</w:t>
      </w:r>
      <w:r w:rsidR="00033D0F">
        <w:rPr>
          <w:spacing w:val="40"/>
        </w:rPr>
        <w:t xml:space="preserve"> </w:t>
      </w:r>
      <w:r w:rsidR="00033D0F">
        <w:t>"quorum"</w:t>
      </w:r>
      <w:r w:rsidR="00033D0F">
        <w:rPr>
          <w:spacing w:val="40"/>
        </w:rPr>
        <w:t xml:space="preserve"> </w:t>
      </w:r>
      <w:r w:rsidR="00033D0F">
        <w:t>was</w:t>
      </w:r>
      <w:r w:rsidR="00033D0F">
        <w:rPr>
          <w:spacing w:val="40"/>
        </w:rPr>
        <w:t xml:space="preserve"> </w:t>
      </w:r>
      <w:r w:rsidR="00033D0F">
        <w:t>met</w:t>
      </w:r>
      <w:r w:rsidR="00033D0F">
        <w:rPr>
          <w:spacing w:val="40"/>
        </w:rPr>
        <w:t xml:space="preserve"> </w:t>
      </w:r>
      <w:r w:rsidR="00033D0F">
        <w:t>when</w:t>
      </w:r>
      <w:r w:rsidR="00033D0F">
        <w:rPr>
          <w:spacing w:val="39"/>
        </w:rPr>
        <w:t xml:space="preserve"> </w:t>
      </w:r>
      <w:r w:rsidR="00033D0F">
        <w:t>this</w:t>
      </w:r>
    </w:p>
    <w:p w14:paraId="4C93B813" w14:textId="02ECC05A" w:rsidR="00BD462C" w:rsidRDefault="00D70C7D">
      <w:pPr>
        <w:pStyle w:val="BodyText"/>
        <w:spacing w:before="6"/>
        <w:rPr>
          <w:sz w:val="17"/>
        </w:rPr>
      </w:pPr>
      <w:r>
        <w:rPr>
          <w:noProof/>
        </w:rPr>
        <mc:AlternateContent>
          <mc:Choice Requires="wps">
            <w:drawing>
              <wp:anchor distT="0" distB="0" distL="0" distR="0" simplePos="0" relativeHeight="487806976" behindDoc="1" locked="0" layoutInCell="1" allowOverlap="1" wp14:anchorId="22A2DC77" wp14:editId="317EA226">
                <wp:simplePos x="0" y="0"/>
                <wp:positionH relativeFrom="page">
                  <wp:posOffset>899160</wp:posOffset>
                </wp:positionH>
                <wp:positionV relativeFrom="paragraph">
                  <wp:posOffset>151130</wp:posOffset>
                </wp:positionV>
                <wp:extent cx="1828800" cy="8890"/>
                <wp:effectExtent l="0" t="0" r="0" b="0"/>
                <wp:wrapTopAndBottom/>
                <wp:docPr id="486" name="docshape4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14C3B5" id="docshape476" o:spid="_x0000_s1026" alt="&quot;&quot;" style="position:absolute;margin-left:70.8pt;margin-top:11.9pt;width:2in;height:.7pt;z-index:-1550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" fillcolor="black" stroked="f">
                <w10:wrap type="topAndBottom" anchorx="page"/>
              </v:rect>
            </w:pict>
          </mc:Fallback>
        </mc:AlternateContent>
      </w:r>
    </w:p>
    <w:p w14:paraId="5A099109" w14:textId="77777777" w:rsidR="00BD462C" w:rsidRDefault="00033D0F">
      <w:pPr>
        <w:spacing w:before="112"/>
        <w:ind w:left="135"/>
        <w:rPr>
          <w:sz w:val="18"/>
        </w:rPr>
      </w:pPr>
      <w:bookmarkStart w:id="1300" w:name="_bookmark1121"/>
      <w:bookmarkEnd w:id="1300"/>
      <w:r>
        <w:rPr>
          <w:position w:val="5"/>
          <w:sz w:val="12"/>
        </w:rPr>
        <w:t>964</w:t>
      </w:r>
      <w:r>
        <w:rPr>
          <w:spacing w:val="16"/>
          <w:position w:val="5"/>
          <w:sz w:val="12"/>
        </w:rPr>
        <w:t xml:space="preserve"> </w:t>
      </w:r>
      <w:r>
        <w:rPr>
          <w:sz w:val="18"/>
        </w:rPr>
        <w:t>See</w:t>
      </w:r>
      <w:r>
        <w:rPr>
          <w:spacing w:val="-3"/>
          <w:sz w:val="18"/>
        </w:rPr>
        <w:t xml:space="preserve"> </w:t>
      </w:r>
      <w:r>
        <w:rPr>
          <w:sz w:val="18"/>
        </w:rPr>
        <w:t>above</w:t>
      </w:r>
      <w:r>
        <w:rPr>
          <w:spacing w:val="-3"/>
          <w:sz w:val="18"/>
        </w:rPr>
        <w:t xml:space="preserve"> </w:t>
      </w:r>
      <w:r>
        <w:rPr>
          <w:sz w:val="18"/>
        </w:rPr>
        <w:t>sections</w:t>
      </w:r>
      <w:r>
        <w:rPr>
          <w:spacing w:val="-3"/>
          <w:sz w:val="18"/>
        </w:rPr>
        <w:t xml:space="preserve"> </w:t>
      </w:r>
      <w:hyperlink w:anchor="_bookmark6" w:history="1">
        <w:r>
          <w:rPr>
            <w:sz w:val="18"/>
          </w:rPr>
          <w:t>II.A</w:t>
        </w:r>
      </w:hyperlink>
      <w:r>
        <w:rPr>
          <w:spacing w:val="-4"/>
          <w:sz w:val="18"/>
        </w:rPr>
        <w:t xml:space="preserve"> </w:t>
      </w:r>
      <w:r>
        <w:rPr>
          <w:sz w:val="18"/>
        </w:rPr>
        <w:t>-</w:t>
      </w:r>
      <w:r>
        <w:rPr>
          <w:spacing w:val="-2"/>
          <w:sz w:val="18"/>
        </w:rPr>
        <w:t xml:space="preserve"> </w:t>
      </w:r>
      <w:hyperlink w:anchor="_bookmark91" w:history="1">
        <w:r>
          <w:rPr>
            <w:sz w:val="18"/>
          </w:rPr>
          <w:t>II.B</w:t>
        </w:r>
      </w:hyperlink>
      <w:r>
        <w:rPr>
          <w:spacing w:val="3"/>
          <w:sz w:val="18"/>
        </w:rPr>
        <w:t xml:space="preserve"> </w:t>
      </w:r>
      <w:r>
        <w:rPr>
          <w:sz w:val="18"/>
        </w:rPr>
        <w:t>and</w:t>
      </w:r>
      <w:r>
        <w:rPr>
          <w:spacing w:val="-4"/>
          <w:sz w:val="18"/>
        </w:rPr>
        <w:t xml:space="preserve"> </w:t>
      </w:r>
      <w:r>
        <w:rPr>
          <w:sz w:val="18"/>
        </w:rPr>
        <w:t>below</w:t>
      </w:r>
      <w:r>
        <w:rPr>
          <w:spacing w:val="-4"/>
          <w:sz w:val="18"/>
        </w:rPr>
        <w:t xml:space="preserve"> </w:t>
      </w:r>
      <w:r>
        <w:rPr>
          <w:sz w:val="18"/>
        </w:rPr>
        <w:t>Annex</w:t>
      </w:r>
      <w:r>
        <w:rPr>
          <w:spacing w:val="-1"/>
          <w:sz w:val="18"/>
        </w:rPr>
        <w:t xml:space="preserve"> </w:t>
      </w:r>
      <w:hyperlink w:anchor="_bookmark1765" w:history="1">
        <w:r>
          <w:rPr>
            <w:spacing w:val="-2"/>
            <w:sz w:val="18"/>
          </w:rPr>
          <w:t>A.4.1.</w:t>
        </w:r>
      </w:hyperlink>
    </w:p>
    <w:p w14:paraId="3C0DE1D5" w14:textId="77777777" w:rsidR="00BD462C" w:rsidRDefault="00033D0F">
      <w:pPr>
        <w:spacing w:before="1"/>
        <w:ind w:left="135"/>
        <w:rPr>
          <w:sz w:val="18"/>
        </w:rPr>
      </w:pPr>
      <w:bookmarkStart w:id="1301" w:name="_bookmark1122"/>
      <w:bookmarkEnd w:id="1301"/>
      <w:r>
        <w:rPr>
          <w:position w:val="5"/>
          <w:sz w:val="12"/>
        </w:rPr>
        <w:t>965</w:t>
      </w:r>
      <w:r>
        <w:rPr>
          <w:spacing w:val="13"/>
          <w:position w:val="5"/>
          <w:sz w:val="12"/>
        </w:rPr>
        <w:t xml:space="preserve"> </w:t>
      </w:r>
      <w:r>
        <w:rPr>
          <w:sz w:val="18"/>
        </w:rPr>
        <w:t>China's</w:t>
      </w:r>
      <w:r>
        <w:rPr>
          <w:spacing w:val="-4"/>
          <w:sz w:val="18"/>
        </w:rPr>
        <w:t xml:space="preserve"> </w:t>
      </w:r>
      <w:r>
        <w:rPr>
          <w:sz w:val="18"/>
        </w:rPr>
        <w:t>first</w:t>
      </w:r>
      <w:r>
        <w:rPr>
          <w:spacing w:val="-4"/>
          <w:sz w:val="18"/>
        </w:rPr>
        <w:t xml:space="preserve"> </w:t>
      </w:r>
      <w:r>
        <w:rPr>
          <w:sz w:val="18"/>
        </w:rPr>
        <w:t>written</w:t>
      </w:r>
      <w:r>
        <w:rPr>
          <w:spacing w:val="-6"/>
          <w:sz w:val="18"/>
        </w:rPr>
        <w:t xml:space="preserve"> </w:t>
      </w:r>
      <w:r>
        <w:rPr>
          <w:sz w:val="18"/>
        </w:rPr>
        <w:t>submission,</w:t>
      </w:r>
      <w:r>
        <w:rPr>
          <w:spacing w:val="2"/>
          <w:sz w:val="18"/>
        </w:rPr>
        <w:t xml:space="preserve"> </w:t>
      </w:r>
      <w:r>
        <w:rPr>
          <w:sz w:val="18"/>
        </w:rPr>
        <w:t>paras.</w:t>
      </w:r>
      <w:r>
        <w:rPr>
          <w:spacing w:val="-4"/>
          <w:sz w:val="18"/>
        </w:rPr>
        <w:t xml:space="preserve"> </w:t>
      </w:r>
      <w:r>
        <w:rPr>
          <w:sz w:val="18"/>
        </w:rPr>
        <w:t>2055-2056;</w:t>
      </w:r>
      <w:r>
        <w:rPr>
          <w:spacing w:val="-7"/>
          <w:sz w:val="18"/>
        </w:rPr>
        <w:t xml:space="preserve"> </w:t>
      </w:r>
      <w:r>
        <w:rPr>
          <w:sz w:val="18"/>
        </w:rPr>
        <w:t>response</w:t>
      </w:r>
      <w:r>
        <w:rPr>
          <w:spacing w:val="-5"/>
          <w:sz w:val="18"/>
        </w:rPr>
        <w:t xml:space="preserve"> </w:t>
      </w:r>
      <w:r>
        <w:rPr>
          <w:sz w:val="18"/>
        </w:rPr>
        <w:t>to</w:t>
      </w:r>
      <w:r>
        <w:rPr>
          <w:spacing w:val="-5"/>
          <w:sz w:val="18"/>
        </w:rPr>
        <w:t xml:space="preserve"> </w:t>
      </w:r>
      <w:r>
        <w:rPr>
          <w:sz w:val="18"/>
        </w:rPr>
        <w:t>Panel</w:t>
      </w:r>
      <w:r>
        <w:rPr>
          <w:spacing w:val="-4"/>
          <w:sz w:val="18"/>
        </w:rPr>
        <w:t xml:space="preserve"> </w:t>
      </w:r>
      <w:r>
        <w:rPr>
          <w:sz w:val="18"/>
        </w:rPr>
        <w:t>question</w:t>
      </w:r>
      <w:r>
        <w:rPr>
          <w:spacing w:val="-10"/>
          <w:sz w:val="18"/>
        </w:rPr>
        <w:t xml:space="preserve"> </w:t>
      </w:r>
      <w:r>
        <w:rPr>
          <w:sz w:val="18"/>
        </w:rPr>
        <w:t>No.</w:t>
      </w:r>
      <w:r>
        <w:rPr>
          <w:spacing w:val="-4"/>
          <w:sz w:val="18"/>
        </w:rPr>
        <w:t xml:space="preserve"> </w:t>
      </w:r>
      <w:r>
        <w:rPr>
          <w:sz w:val="18"/>
        </w:rPr>
        <w:t>49,</w:t>
      </w:r>
      <w:r>
        <w:rPr>
          <w:spacing w:val="-2"/>
          <w:sz w:val="18"/>
        </w:rPr>
        <w:t xml:space="preserve"> </w:t>
      </w:r>
      <w:r>
        <w:rPr>
          <w:sz w:val="18"/>
        </w:rPr>
        <w:t>paras.</w:t>
      </w:r>
      <w:r>
        <w:rPr>
          <w:spacing w:val="-4"/>
          <w:sz w:val="18"/>
        </w:rPr>
        <w:t xml:space="preserve"> </w:t>
      </w:r>
      <w:r>
        <w:rPr>
          <w:sz w:val="18"/>
        </w:rPr>
        <w:t>287-</w:t>
      </w:r>
      <w:r>
        <w:rPr>
          <w:spacing w:val="-4"/>
          <w:sz w:val="18"/>
        </w:rPr>
        <w:t>288.</w:t>
      </w:r>
    </w:p>
    <w:p w14:paraId="7B9D80DE" w14:textId="77777777" w:rsidR="00BD462C" w:rsidRDefault="00033D0F">
      <w:pPr>
        <w:spacing w:before="1"/>
        <w:ind w:left="135"/>
        <w:rPr>
          <w:sz w:val="18"/>
        </w:rPr>
      </w:pPr>
      <w:bookmarkStart w:id="1302" w:name="_bookmark1123"/>
      <w:bookmarkEnd w:id="1302"/>
      <w:r>
        <w:rPr>
          <w:position w:val="5"/>
          <w:sz w:val="12"/>
        </w:rPr>
        <w:t>966</w:t>
      </w:r>
      <w:r>
        <w:rPr>
          <w:spacing w:val="14"/>
          <w:position w:val="5"/>
          <w:sz w:val="12"/>
        </w:rPr>
        <w:t xml:space="preserve"> </w:t>
      </w:r>
      <w:r>
        <w:rPr>
          <w:sz w:val="18"/>
        </w:rPr>
        <w:t>China's</w:t>
      </w:r>
      <w:r>
        <w:rPr>
          <w:spacing w:val="1"/>
          <w:sz w:val="18"/>
        </w:rPr>
        <w:t xml:space="preserve"> </w:t>
      </w:r>
      <w:r>
        <w:rPr>
          <w:sz w:val="18"/>
        </w:rPr>
        <w:t>response</w:t>
      </w:r>
      <w:r>
        <w:rPr>
          <w:spacing w:val="-4"/>
          <w:sz w:val="18"/>
        </w:rPr>
        <w:t xml:space="preserve"> </w:t>
      </w:r>
      <w:r>
        <w:rPr>
          <w:sz w:val="18"/>
        </w:rPr>
        <w:t>to</w:t>
      </w:r>
      <w:r>
        <w:rPr>
          <w:spacing w:val="-9"/>
          <w:sz w:val="18"/>
        </w:rPr>
        <w:t xml:space="preserve"> </w:t>
      </w:r>
      <w:r>
        <w:rPr>
          <w:sz w:val="18"/>
        </w:rPr>
        <w:t>Panel</w:t>
      </w:r>
      <w:r>
        <w:rPr>
          <w:spacing w:val="-3"/>
          <w:sz w:val="18"/>
        </w:rPr>
        <w:t xml:space="preserve"> </w:t>
      </w:r>
      <w:r>
        <w:rPr>
          <w:sz w:val="18"/>
        </w:rPr>
        <w:t>question</w:t>
      </w:r>
      <w:r>
        <w:rPr>
          <w:spacing w:val="-5"/>
          <w:sz w:val="18"/>
        </w:rPr>
        <w:t xml:space="preserve"> </w:t>
      </w:r>
      <w:r>
        <w:rPr>
          <w:sz w:val="18"/>
        </w:rPr>
        <w:t>No.</w:t>
      </w:r>
      <w:r>
        <w:rPr>
          <w:spacing w:val="2"/>
          <w:sz w:val="18"/>
        </w:rPr>
        <w:t xml:space="preserve"> </w:t>
      </w:r>
      <w:r>
        <w:rPr>
          <w:sz w:val="18"/>
        </w:rPr>
        <w:t>49,</w:t>
      </w:r>
      <w:r>
        <w:rPr>
          <w:spacing w:val="-2"/>
          <w:sz w:val="18"/>
        </w:rPr>
        <w:t xml:space="preserve"> </w:t>
      </w:r>
      <w:r>
        <w:rPr>
          <w:sz w:val="18"/>
        </w:rPr>
        <w:t>para.</w:t>
      </w:r>
      <w:r>
        <w:rPr>
          <w:spacing w:val="-3"/>
          <w:sz w:val="18"/>
        </w:rPr>
        <w:t xml:space="preserve"> </w:t>
      </w:r>
      <w:r>
        <w:rPr>
          <w:spacing w:val="-4"/>
          <w:sz w:val="18"/>
        </w:rPr>
        <w:t>287.</w:t>
      </w:r>
    </w:p>
    <w:p w14:paraId="6465B257" w14:textId="77777777" w:rsidR="00BD462C" w:rsidRDefault="00BD462C">
      <w:pPr>
        <w:rPr>
          <w:sz w:val="18"/>
        </w:rPr>
        <w:sectPr w:rsidR="00BD462C">
          <w:pgSz w:w="11910" w:h="16840"/>
          <w:pgMar w:top="860" w:right="500" w:bottom="780" w:left="1280" w:header="566" w:footer="590" w:gutter="0"/>
          <w:cols w:space="720"/>
        </w:sectPr>
      </w:pPr>
    </w:p>
    <w:p w14:paraId="2C77B0D0"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06C6E30C"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170101C7"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1CADEE89" w14:textId="77777777" w:rsidR="00BD462C" w:rsidRDefault="00033D0F">
      <w:pPr>
        <w:pStyle w:val="BodyText"/>
        <w:spacing w:before="102" w:line="360" w:lineRule="auto"/>
        <w:ind w:left="135" w:right="910"/>
        <w:jc w:val="both"/>
      </w:pPr>
      <w:r>
        <w:t>decision</w:t>
      </w:r>
      <w:r>
        <w:rPr>
          <w:spacing w:val="-4"/>
        </w:rPr>
        <w:t xml:space="preserve"> </w:t>
      </w:r>
      <w:r>
        <w:t>was</w:t>
      </w:r>
      <w:r>
        <w:rPr>
          <w:spacing w:val="-1"/>
        </w:rPr>
        <w:t xml:space="preserve"> </w:t>
      </w:r>
      <w:r>
        <w:t>made</w:t>
      </w:r>
      <w:r>
        <w:rPr>
          <w:spacing w:val="-2"/>
        </w:rPr>
        <w:t xml:space="preserve"> </w:t>
      </w:r>
      <w:r>
        <w:t>at</w:t>
      </w:r>
      <w:r>
        <w:rPr>
          <w:spacing w:val="-2"/>
        </w:rPr>
        <w:t xml:space="preserve"> </w:t>
      </w:r>
      <w:r>
        <w:t>a</w:t>
      </w:r>
      <w:r>
        <w:rPr>
          <w:spacing w:val="-3"/>
        </w:rPr>
        <w:t xml:space="preserve"> </w:t>
      </w:r>
      <w:r>
        <w:t>CADA</w:t>
      </w:r>
      <w:r>
        <w:rPr>
          <w:spacing w:val="-3"/>
        </w:rPr>
        <w:t xml:space="preserve"> </w:t>
      </w:r>
      <w:r>
        <w:t>meeting.</w:t>
      </w:r>
      <w:hyperlink w:anchor="_bookmark1124" w:history="1">
        <w:r>
          <w:rPr>
            <w:vertAlign w:val="superscript"/>
          </w:rPr>
          <w:t>967</w:t>
        </w:r>
      </w:hyperlink>
      <w:r>
        <w:rPr>
          <w:spacing w:val="-2"/>
        </w:rPr>
        <w:t xml:space="preserve"> </w:t>
      </w:r>
      <w:r>
        <w:t>China</w:t>
      </w:r>
      <w:r>
        <w:rPr>
          <w:spacing w:val="-3"/>
        </w:rPr>
        <w:t xml:space="preserve"> </w:t>
      </w:r>
      <w:r>
        <w:t>argues</w:t>
      </w:r>
      <w:r>
        <w:rPr>
          <w:spacing w:val="-1"/>
        </w:rPr>
        <w:t xml:space="preserve"> </w:t>
      </w:r>
      <w:r>
        <w:t>that</w:t>
      </w:r>
      <w:r>
        <w:rPr>
          <w:spacing w:val="-2"/>
        </w:rPr>
        <w:t xml:space="preserve"> </w:t>
      </w:r>
      <w:r>
        <w:t>MOFCOM</w:t>
      </w:r>
      <w:r>
        <w:rPr>
          <w:spacing w:val="-2"/>
        </w:rPr>
        <w:t xml:space="preserve"> </w:t>
      </w:r>
      <w:r>
        <w:t>should</w:t>
      </w:r>
      <w:r>
        <w:rPr>
          <w:spacing w:val="-4"/>
        </w:rPr>
        <w:t xml:space="preserve"> </w:t>
      </w:r>
      <w:r>
        <w:t>have</w:t>
      </w:r>
      <w:r>
        <w:rPr>
          <w:spacing w:val="-2"/>
        </w:rPr>
        <w:t xml:space="preserve"> </w:t>
      </w:r>
      <w:r>
        <w:t>been</w:t>
      </w:r>
      <w:r>
        <w:rPr>
          <w:spacing w:val="-4"/>
        </w:rPr>
        <w:t xml:space="preserve"> </w:t>
      </w:r>
      <w:r>
        <w:t>able to "accept at face value a decision taken by an association".</w:t>
      </w:r>
      <w:hyperlink w:anchor="_bookmark1125" w:history="1">
        <w:r>
          <w:rPr>
            <w:vertAlign w:val="superscript"/>
          </w:rPr>
          <w:t>968</w:t>
        </w:r>
      </w:hyperlink>
      <w:r>
        <w:t xml:space="preserve"> China reiterated this in its written</w:t>
      </w:r>
      <w:r>
        <w:rPr>
          <w:spacing w:val="-13"/>
        </w:rPr>
        <w:t xml:space="preserve"> </w:t>
      </w:r>
      <w:r>
        <w:t>response</w:t>
      </w:r>
      <w:r>
        <w:rPr>
          <w:spacing w:val="-11"/>
        </w:rPr>
        <w:t xml:space="preserve"> </w:t>
      </w:r>
      <w:r>
        <w:t>to</w:t>
      </w:r>
      <w:r>
        <w:rPr>
          <w:spacing w:val="-9"/>
        </w:rPr>
        <w:t xml:space="preserve"> </w:t>
      </w:r>
      <w:r>
        <w:t>Panel</w:t>
      </w:r>
      <w:r>
        <w:rPr>
          <w:spacing w:val="-9"/>
        </w:rPr>
        <w:t xml:space="preserve"> </w:t>
      </w:r>
      <w:r>
        <w:t>question</w:t>
      </w:r>
      <w:r>
        <w:rPr>
          <w:spacing w:val="-13"/>
        </w:rPr>
        <w:t xml:space="preserve"> </w:t>
      </w:r>
      <w:r>
        <w:t>No.</w:t>
      </w:r>
      <w:r>
        <w:rPr>
          <w:spacing w:val="-5"/>
        </w:rPr>
        <w:t xml:space="preserve"> </w:t>
      </w:r>
      <w:r>
        <w:t>49</w:t>
      </w:r>
      <w:r>
        <w:rPr>
          <w:spacing w:val="-8"/>
        </w:rPr>
        <w:t xml:space="preserve"> </w:t>
      </w:r>
      <w:r>
        <w:t>following</w:t>
      </w:r>
      <w:r>
        <w:rPr>
          <w:spacing w:val="-9"/>
        </w:rPr>
        <w:t xml:space="preserve"> </w:t>
      </w:r>
      <w:r>
        <w:t>the</w:t>
      </w:r>
      <w:r>
        <w:rPr>
          <w:spacing w:val="-11"/>
        </w:rPr>
        <w:t xml:space="preserve"> </w:t>
      </w:r>
      <w:r>
        <w:t>first</w:t>
      </w:r>
      <w:r>
        <w:rPr>
          <w:spacing w:val="-10"/>
        </w:rPr>
        <w:t xml:space="preserve"> </w:t>
      </w:r>
      <w:r>
        <w:t>substantive</w:t>
      </w:r>
      <w:r>
        <w:rPr>
          <w:spacing w:val="-11"/>
        </w:rPr>
        <w:t xml:space="preserve"> </w:t>
      </w:r>
      <w:r>
        <w:t>meeting,</w:t>
      </w:r>
      <w:r>
        <w:rPr>
          <w:spacing w:val="-9"/>
        </w:rPr>
        <w:t xml:space="preserve"> </w:t>
      </w:r>
      <w:r>
        <w:t>stating</w:t>
      </w:r>
      <w:r>
        <w:rPr>
          <w:spacing w:val="-9"/>
        </w:rPr>
        <w:t xml:space="preserve"> </w:t>
      </w:r>
      <w:r>
        <w:t>that such</w:t>
      </w:r>
      <w:r>
        <w:rPr>
          <w:spacing w:val="-8"/>
        </w:rPr>
        <w:t xml:space="preserve"> </w:t>
      </w:r>
      <w:r>
        <w:t>decisions</w:t>
      </w:r>
      <w:r>
        <w:rPr>
          <w:spacing w:val="-5"/>
        </w:rPr>
        <w:t xml:space="preserve"> </w:t>
      </w:r>
      <w:r>
        <w:t>are</w:t>
      </w:r>
      <w:r>
        <w:rPr>
          <w:spacing w:val="-6"/>
        </w:rPr>
        <w:t xml:space="preserve"> </w:t>
      </w:r>
      <w:r>
        <w:t>"binding</w:t>
      </w:r>
      <w:r>
        <w:rPr>
          <w:spacing w:val="-5"/>
        </w:rPr>
        <w:t xml:space="preserve"> </w:t>
      </w:r>
      <w:r>
        <w:t>on</w:t>
      </w:r>
      <w:r>
        <w:rPr>
          <w:spacing w:val="-8"/>
        </w:rPr>
        <w:t xml:space="preserve"> </w:t>
      </w:r>
      <w:r>
        <w:t>all</w:t>
      </w:r>
      <w:r>
        <w:rPr>
          <w:spacing w:val="-4"/>
        </w:rPr>
        <w:t xml:space="preserve"> </w:t>
      </w:r>
      <w:r>
        <w:t>members,</w:t>
      </w:r>
      <w:r>
        <w:rPr>
          <w:spacing w:val="-4"/>
        </w:rPr>
        <w:t xml:space="preserve"> </w:t>
      </w:r>
      <w:r>
        <w:t>regardless</w:t>
      </w:r>
      <w:r>
        <w:rPr>
          <w:spacing w:val="-5"/>
        </w:rPr>
        <w:t xml:space="preserve"> </w:t>
      </w:r>
      <w:r>
        <w:t>of</w:t>
      </w:r>
      <w:r>
        <w:rPr>
          <w:spacing w:val="-8"/>
        </w:rPr>
        <w:t xml:space="preserve"> </w:t>
      </w:r>
      <w:r>
        <w:t>whether</w:t>
      </w:r>
      <w:r>
        <w:rPr>
          <w:spacing w:val="-9"/>
        </w:rPr>
        <w:t xml:space="preserve"> </w:t>
      </w:r>
      <w:r>
        <w:t>they</w:t>
      </w:r>
      <w:r>
        <w:rPr>
          <w:spacing w:val="-5"/>
        </w:rPr>
        <w:t xml:space="preserve"> </w:t>
      </w:r>
      <w:r>
        <w:t>voted</w:t>
      </w:r>
      <w:r>
        <w:rPr>
          <w:spacing w:val="-8"/>
        </w:rPr>
        <w:t xml:space="preserve"> </w:t>
      </w:r>
      <w:r>
        <w:t>in</w:t>
      </w:r>
      <w:r>
        <w:rPr>
          <w:spacing w:val="-3"/>
        </w:rPr>
        <w:t xml:space="preserve"> </w:t>
      </w:r>
      <w:proofErr w:type="spellStart"/>
      <w:r>
        <w:t>favour</w:t>
      </w:r>
      <w:proofErr w:type="spellEnd"/>
      <w:r>
        <w:rPr>
          <w:spacing w:val="-4"/>
        </w:rPr>
        <w:t xml:space="preserve"> </w:t>
      </w:r>
      <w:r>
        <w:t>of</w:t>
      </w:r>
      <w:r>
        <w:rPr>
          <w:spacing w:val="-3"/>
        </w:rPr>
        <w:t xml:space="preserve"> </w:t>
      </w:r>
      <w:r>
        <w:t>the motion, or whether they were present."</w:t>
      </w:r>
      <w:hyperlink w:anchor="_bookmark1126" w:history="1">
        <w:r>
          <w:rPr>
            <w:vertAlign w:val="superscript"/>
          </w:rPr>
          <w:t>969</w:t>
        </w:r>
      </w:hyperlink>
      <w:r>
        <w:t xml:space="preserve"> As Australia explained in the first substantive meeting,</w:t>
      </w:r>
      <w:hyperlink w:anchor="_bookmark1127" w:history="1">
        <w:r>
          <w:rPr>
            <w:vertAlign w:val="superscript"/>
          </w:rPr>
          <w:t>970</w:t>
        </w:r>
      </w:hyperlink>
      <w:r>
        <w:t xml:space="preserve"> this approach, which China says MOFCOM took, is inconsistent with the requirements of Articles 5.1 and 5.4 of the Anti-Dumping Agreement.</w:t>
      </w:r>
    </w:p>
    <w:p w14:paraId="57A4BCEF" w14:textId="77777777" w:rsidR="00BD462C" w:rsidRDefault="00BD462C">
      <w:pPr>
        <w:pStyle w:val="BodyText"/>
        <w:spacing w:before="10"/>
        <w:rPr>
          <w:sz w:val="8"/>
        </w:rPr>
      </w:pPr>
    </w:p>
    <w:p w14:paraId="65F0FB62" w14:textId="35AD6AD8" w:rsidR="00BD462C" w:rsidRDefault="003B71EA">
      <w:pPr>
        <w:pStyle w:val="BodyText"/>
        <w:spacing w:before="56" w:line="360" w:lineRule="auto"/>
        <w:ind w:left="135" w:right="914"/>
        <w:jc w:val="both"/>
      </w:pPr>
      <w:r>
        <w:rPr>
          <w:noProof/>
        </w:rPr>
        <w:t>613.</w:t>
      </w:r>
      <w:r w:rsidR="00033D0F">
        <w:rPr>
          <w:rFonts w:ascii="Times New Roman"/>
          <w:spacing w:val="80"/>
          <w:w w:val="150"/>
          <w:position w:val="1"/>
          <w:sz w:val="20"/>
        </w:rPr>
        <w:t xml:space="preserve">  </w:t>
      </w:r>
      <w:r w:rsidR="00033D0F">
        <w:rPr>
          <w:position w:val="1"/>
        </w:rPr>
        <w:t xml:space="preserve">In effect, China's contention is that an investigating authority is permitted to count </w:t>
      </w:r>
      <w:r w:rsidR="00033D0F">
        <w:t>the</w:t>
      </w:r>
      <w:r w:rsidR="00033D0F">
        <w:rPr>
          <w:spacing w:val="-2"/>
        </w:rPr>
        <w:t xml:space="preserve"> </w:t>
      </w:r>
      <w:r w:rsidR="00033D0F">
        <w:t>production</w:t>
      </w:r>
      <w:r w:rsidR="00033D0F">
        <w:rPr>
          <w:spacing w:val="-3"/>
        </w:rPr>
        <w:t xml:space="preserve"> </w:t>
      </w:r>
      <w:r w:rsidR="00033D0F">
        <w:t>volume of</w:t>
      </w:r>
      <w:r w:rsidR="00033D0F">
        <w:rPr>
          <w:spacing w:val="-3"/>
        </w:rPr>
        <w:t xml:space="preserve"> </w:t>
      </w:r>
      <w:r w:rsidR="00033D0F">
        <w:t>any domestic</w:t>
      </w:r>
      <w:r w:rsidR="00033D0F">
        <w:rPr>
          <w:spacing w:val="-3"/>
        </w:rPr>
        <w:t xml:space="preserve"> </w:t>
      </w:r>
      <w:r w:rsidR="00033D0F">
        <w:rPr>
          <w:i/>
        </w:rPr>
        <w:t>producers</w:t>
      </w:r>
      <w:r w:rsidR="00033D0F">
        <w:rPr>
          <w:i/>
          <w:spacing w:val="-3"/>
        </w:rPr>
        <w:t xml:space="preserve"> </w:t>
      </w:r>
      <w:r w:rsidR="00033D0F">
        <w:t>within</w:t>
      </w:r>
      <w:r w:rsidR="00033D0F">
        <w:rPr>
          <w:spacing w:val="-3"/>
        </w:rPr>
        <w:t xml:space="preserve"> </w:t>
      </w:r>
      <w:r w:rsidR="00033D0F">
        <w:t>an</w:t>
      </w:r>
      <w:r w:rsidR="00033D0F">
        <w:rPr>
          <w:spacing w:val="-3"/>
        </w:rPr>
        <w:t xml:space="preserve"> </w:t>
      </w:r>
      <w:r w:rsidR="00033D0F">
        <w:t>industry association</w:t>
      </w:r>
      <w:r w:rsidR="00033D0F">
        <w:rPr>
          <w:spacing w:val="-3"/>
        </w:rPr>
        <w:t xml:space="preserve"> </w:t>
      </w:r>
      <w:r w:rsidR="00033D0F">
        <w:t>who</w:t>
      </w:r>
      <w:r w:rsidR="00033D0F">
        <w:rPr>
          <w:spacing w:val="-4"/>
        </w:rPr>
        <w:t xml:space="preserve"> </w:t>
      </w:r>
      <w:r w:rsidR="00033D0F">
        <w:rPr>
          <w:i/>
        </w:rPr>
        <w:t xml:space="preserve">oppose </w:t>
      </w:r>
      <w:r w:rsidR="00033D0F">
        <w:t>the</w:t>
      </w:r>
      <w:r w:rsidR="00033D0F">
        <w:rPr>
          <w:spacing w:val="-2"/>
        </w:rPr>
        <w:t xml:space="preserve"> </w:t>
      </w:r>
      <w:r w:rsidR="00033D0F">
        <w:t>application</w:t>
      </w:r>
      <w:r w:rsidR="00033D0F">
        <w:rPr>
          <w:spacing w:val="-3"/>
        </w:rPr>
        <w:t xml:space="preserve"> </w:t>
      </w:r>
      <w:r w:rsidR="00033D0F">
        <w:t>as if</w:t>
      </w:r>
      <w:r w:rsidR="00033D0F">
        <w:rPr>
          <w:spacing w:val="-3"/>
        </w:rPr>
        <w:t xml:space="preserve"> </w:t>
      </w:r>
      <w:r w:rsidR="00033D0F">
        <w:t>it</w:t>
      </w:r>
      <w:r w:rsidR="00033D0F">
        <w:rPr>
          <w:spacing w:val="-1"/>
        </w:rPr>
        <w:t xml:space="preserve"> </w:t>
      </w:r>
      <w:r w:rsidR="00033D0F">
        <w:t>were</w:t>
      </w:r>
      <w:r w:rsidR="00033D0F">
        <w:rPr>
          <w:spacing w:val="-1"/>
        </w:rPr>
        <w:t xml:space="preserve"> </w:t>
      </w:r>
      <w:r w:rsidR="00033D0F">
        <w:t>support. This is contrary to</w:t>
      </w:r>
      <w:r w:rsidR="00033D0F">
        <w:rPr>
          <w:spacing w:val="-4"/>
        </w:rPr>
        <w:t xml:space="preserve"> </w:t>
      </w:r>
      <w:r w:rsidR="00033D0F">
        <w:t>the plain</w:t>
      </w:r>
      <w:r w:rsidR="00033D0F">
        <w:rPr>
          <w:spacing w:val="-3"/>
        </w:rPr>
        <w:t xml:space="preserve"> </w:t>
      </w:r>
      <w:r w:rsidR="00033D0F">
        <w:t>meaning of</w:t>
      </w:r>
      <w:r w:rsidR="00033D0F">
        <w:rPr>
          <w:spacing w:val="-3"/>
        </w:rPr>
        <w:t xml:space="preserve"> </w:t>
      </w:r>
      <w:r w:rsidR="00033D0F">
        <w:t>Article</w:t>
      </w:r>
      <w:r w:rsidR="00033D0F">
        <w:rPr>
          <w:spacing w:val="-1"/>
        </w:rPr>
        <w:t xml:space="preserve"> </w:t>
      </w:r>
      <w:r w:rsidR="00033D0F">
        <w:t>5.4</w:t>
      </w:r>
      <w:r w:rsidR="00033D0F">
        <w:rPr>
          <w:spacing w:val="-4"/>
        </w:rPr>
        <w:t xml:space="preserve"> </w:t>
      </w:r>
      <w:r w:rsidR="00033D0F">
        <w:t>of</w:t>
      </w:r>
      <w:r w:rsidR="00033D0F">
        <w:rPr>
          <w:spacing w:val="-3"/>
        </w:rPr>
        <w:t xml:space="preserve"> </w:t>
      </w:r>
      <w:r w:rsidR="00033D0F">
        <w:t xml:space="preserve">the Anti-Dumping Agreement. The production volume of members who oppose the application, even if they are the minority within their association, cannot be counted toward the degree of support of the domestic industry. This volume must instead be directed towards determining the degree of </w:t>
      </w:r>
      <w:r w:rsidR="00033D0F">
        <w:rPr>
          <w:i/>
        </w:rPr>
        <w:t xml:space="preserve">opposition </w:t>
      </w:r>
      <w:r w:rsidR="00033D0F">
        <w:t>in the domestic industry. The task imposed on an investigating</w:t>
      </w:r>
      <w:r w:rsidR="00033D0F">
        <w:rPr>
          <w:spacing w:val="-1"/>
        </w:rPr>
        <w:t xml:space="preserve"> </w:t>
      </w:r>
      <w:r w:rsidR="00033D0F">
        <w:t>authority</w:t>
      </w:r>
      <w:r w:rsidR="00033D0F">
        <w:rPr>
          <w:spacing w:val="-1"/>
        </w:rPr>
        <w:t xml:space="preserve"> </w:t>
      </w:r>
      <w:r w:rsidR="00033D0F">
        <w:t>by</w:t>
      </w:r>
      <w:r w:rsidR="00033D0F">
        <w:rPr>
          <w:spacing w:val="-1"/>
        </w:rPr>
        <w:t xml:space="preserve"> </w:t>
      </w:r>
      <w:r w:rsidR="00033D0F">
        <w:t>the Anti-Dumping</w:t>
      </w:r>
      <w:r w:rsidR="00033D0F">
        <w:rPr>
          <w:spacing w:val="-1"/>
        </w:rPr>
        <w:t xml:space="preserve"> </w:t>
      </w:r>
      <w:r w:rsidR="00033D0F">
        <w:t>Agreement</w:t>
      </w:r>
      <w:r w:rsidR="00033D0F">
        <w:rPr>
          <w:spacing w:val="-2"/>
        </w:rPr>
        <w:t xml:space="preserve"> </w:t>
      </w:r>
      <w:r w:rsidR="00033D0F">
        <w:t>to</w:t>
      </w:r>
      <w:r w:rsidR="00033D0F">
        <w:rPr>
          <w:spacing w:val="-4"/>
        </w:rPr>
        <w:t xml:space="preserve"> </w:t>
      </w:r>
      <w:r w:rsidR="00033D0F">
        <w:t>assess</w:t>
      </w:r>
      <w:r w:rsidR="00033D0F">
        <w:rPr>
          <w:spacing w:val="-1"/>
        </w:rPr>
        <w:t xml:space="preserve"> </w:t>
      </w:r>
      <w:r w:rsidR="00033D0F">
        <w:t>the</w:t>
      </w:r>
      <w:r w:rsidR="00033D0F">
        <w:rPr>
          <w:spacing w:val="-3"/>
        </w:rPr>
        <w:t xml:space="preserve"> </w:t>
      </w:r>
      <w:r w:rsidR="00033D0F">
        <w:t>level of</w:t>
      </w:r>
      <w:r w:rsidR="00033D0F">
        <w:rPr>
          <w:spacing w:val="-4"/>
        </w:rPr>
        <w:t xml:space="preserve"> </w:t>
      </w:r>
      <w:r w:rsidR="00033D0F">
        <w:t>support cannot be deprived of effect by the internal governance arrangements of an industry association.</w:t>
      </w:r>
    </w:p>
    <w:p w14:paraId="68E8C148" w14:textId="77777777" w:rsidR="00BD462C" w:rsidRDefault="00BD462C">
      <w:pPr>
        <w:pStyle w:val="BodyText"/>
        <w:spacing w:before="5"/>
        <w:rPr>
          <w:sz w:val="8"/>
        </w:rPr>
      </w:pPr>
    </w:p>
    <w:p w14:paraId="444BC976" w14:textId="657FD401" w:rsidR="00BD462C" w:rsidRDefault="003B71EA">
      <w:pPr>
        <w:pStyle w:val="BodyText"/>
        <w:spacing w:before="56" w:line="360" w:lineRule="auto"/>
        <w:ind w:left="135" w:right="912"/>
        <w:jc w:val="both"/>
      </w:pPr>
      <w:r>
        <w:rPr>
          <w:noProof/>
        </w:rPr>
        <w:t>614.</w:t>
      </w:r>
      <w:r w:rsidR="00033D0F">
        <w:rPr>
          <w:rFonts w:ascii="Times New Roman"/>
          <w:spacing w:val="80"/>
          <w:position w:val="1"/>
          <w:sz w:val="20"/>
        </w:rPr>
        <w:t xml:space="preserve"> </w:t>
      </w:r>
      <w:r w:rsidR="00033D0F">
        <w:rPr>
          <w:position w:val="1"/>
        </w:rPr>
        <w:t>Rather</w:t>
      </w:r>
      <w:r w:rsidR="00033D0F">
        <w:rPr>
          <w:spacing w:val="40"/>
          <w:position w:val="1"/>
        </w:rPr>
        <w:t xml:space="preserve"> </w:t>
      </w:r>
      <w:r w:rsidR="00033D0F">
        <w:rPr>
          <w:position w:val="1"/>
        </w:rPr>
        <w:t>than</w:t>
      </w:r>
      <w:r w:rsidR="00033D0F">
        <w:rPr>
          <w:spacing w:val="40"/>
          <w:position w:val="1"/>
        </w:rPr>
        <w:t xml:space="preserve"> </w:t>
      </w:r>
      <w:r w:rsidR="00033D0F">
        <w:rPr>
          <w:position w:val="1"/>
        </w:rPr>
        <w:t>engaging</w:t>
      </w:r>
      <w:r w:rsidR="00033D0F">
        <w:rPr>
          <w:spacing w:val="40"/>
          <w:position w:val="1"/>
        </w:rPr>
        <w:t xml:space="preserve"> </w:t>
      </w:r>
      <w:r w:rsidR="00033D0F">
        <w:rPr>
          <w:position w:val="1"/>
        </w:rPr>
        <w:t>with</w:t>
      </w:r>
      <w:r w:rsidR="00033D0F">
        <w:rPr>
          <w:spacing w:val="40"/>
          <w:position w:val="1"/>
        </w:rPr>
        <w:t xml:space="preserve"> </w:t>
      </w:r>
      <w:r w:rsidR="00033D0F">
        <w:rPr>
          <w:position w:val="1"/>
        </w:rPr>
        <w:t>Australia's</w:t>
      </w:r>
      <w:r w:rsidR="00033D0F">
        <w:rPr>
          <w:spacing w:val="40"/>
          <w:position w:val="1"/>
        </w:rPr>
        <w:t xml:space="preserve"> </w:t>
      </w:r>
      <w:r w:rsidR="00033D0F">
        <w:rPr>
          <w:position w:val="1"/>
        </w:rPr>
        <w:t>arguments</w:t>
      </w:r>
      <w:r w:rsidR="00033D0F">
        <w:rPr>
          <w:spacing w:val="40"/>
          <w:position w:val="1"/>
        </w:rPr>
        <w:t xml:space="preserve"> </w:t>
      </w:r>
      <w:r w:rsidR="00033D0F">
        <w:rPr>
          <w:position w:val="1"/>
        </w:rPr>
        <w:t>in</w:t>
      </w:r>
      <w:r w:rsidR="00033D0F">
        <w:rPr>
          <w:spacing w:val="40"/>
          <w:position w:val="1"/>
        </w:rPr>
        <w:t xml:space="preserve"> </w:t>
      </w:r>
      <w:r w:rsidR="00033D0F">
        <w:rPr>
          <w:position w:val="1"/>
        </w:rPr>
        <w:t>this</w:t>
      </w:r>
      <w:r w:rsidR="00033D0F">
        <w:rPr>
          <w:spacing w:val="40"/>
          <w:position w:val="1"/>
        </w:rPr>
        <w:t xml:space="preserve"> </w:t>
      </w:r>
      <w:r w:rsidR="00033D0F">
        <w:rPr>
          <w:position w:val="1"/>
        </w:rPr>
        <w:t>regard,</w:t>
      </w:r>
      <w:r w:rsidR="00033D0F">
        <w:rPr>
          <w:spacing w:val="40"/>
          <w:position w:val="1"/>
        </w:rPr>
        <w:t xml:space="preserve"> </w:t>
      </w:r>
      <w:r w:rsidR="00033D0F">
        <w:rPr>
          <w:position w:val="1"/>
        </w:rPr>
        <w:t xml:space="preserve">China </w:t>
      </w:r>
      <w:proofErr w:type="spellStart"/>
      <w:r w:rsidR="00033D0F">
        <w:t>mischaracterises</w:t>
      </w:r>
      <w:proofErr w:type="spellEnd"/>
      <w:r w:rsidR="00033D0F">
        <w:rPr>
          <w:spacing w:val="-6"/>
        </w:rPr>
        <w:t xml:space="preserve"> </w:t>
      </w:r>
      <w:r w:rsidR="00033D0F">
        <w:t>Australia's</w:t>
      </w:r>
      <w:r w:rsidR="00033D0F">
        <w:rPr>
          <w:spacing w:val="-6"/>
        </w:rPr>
        <w:t xml:space="preserve"> </w:t>
      </w:r>
      <w:r w:rsidR="00033D0F">
        <w:t>position</w:t>
      </w:r>
      <w:r w:rsidR="00033D0F">
        <w:rPr>
          <w:spacing w:val="-9"/>
        </w:rPr>
        <w:t xml:space="preserve"> </w:t>
      </w:r>
      <w:r w:rsidR="00033D0F">
        <w:t>to</w:t>
      </w:r>
      <w:r w:rsidR="00033D0F">
        <w:rPr>
          <w:spacing w:val="-10"/>
        </w:rPr>
        <w:t xml:space="preserve"> </w:t>
      </w:r>
      <w:r w:rsidR="00033D0F">
        <w:t>be</w:t>
      </w:r>
      <w:r w:rsidR="00033D0F">
        <w:rPr>
          <w:spacing w:val="-2"/>
        </w:rPr>
        <w:t xml:space="preserve"> </w:t>
      </w:r>
      <w:r w:rsidR="00033D0F">
        <w:t>that</w:t>
      </w:r>
      <w:r w:rsidR="00033D0F">
        <w:rPr>
          <w:spacing w:val="-7"/>
        </w:rPr>
        <w:t xml:space="preserve"> </w:t>
      </w:r>
      <w:r w:rsidR="00033D0F">
        <w:t>"</w:t>
      </w:r>
      <w:r w:rsidR="00033D0F">
        <w:rPr>
          <w:i/>
        </w:rPr>
        <w:t>all</w:t>
      </w:r>
      <w:r w:rsidR="00033D0F">
        <w:rPr>
          <w:i/>
          <w:spacing w:val="-5"/>
        </w:rPr>
        <w:t xml:space="preserve"> </w:t>
      </w:r>
      <w:r w:rsidR="00033D0F">
        <w:t>CADA</w:t>
      </w:r>
      <w:r w:rsidR="00033D0F">
        <w:rPr>
          <w:spacing w:val="-8"/>
        </w:rPr>
        <w:t xml:space="preserve"> </w:t>
      </w:r>
      <w:r w:rsidR="00033D0F">
        <w:t>members</w:t>
      </w:r>
      <w:r w:rsidR="00033D0F">
        <w:rPr>
          <w:spacing w:val="-6"/>
        </w:rPr>
        <w:t xml:space="preserve"> </w:t>
      </w:r>
      <w:r w:rsidR="00033D0F">
        <w:t>should</w:t>
      </w:r>
      <w:r w:rsidR="00033D0F">
        <w:rPr>
          <w:spacing w:val="-4"/>
        </w:rPr>
        <w:t xml:space="preserve"> </w:t>
      </w:r>
      <w:r w:rsidR="00033D0F">
        <w:t>have</w:t>
      </w:r>
      <w:r w:rsidR="00033D0F">
        <w:rPr>
          <w:spacing w:val="-7"/>
        </w:rPr>
        <w:t xml:space="preserve"> </w:t>
      </w:r>
      <w:r w:rsidR="00033D0F">
        <w:t>been</w:t>
      </w:r>
      <w:r w:rsidR="00033D0F">
        <w:rPr>
          <w:spacing w:val="-4"/>
        </w:rPr>
        <w:t xml:space="preserve"> </w:t>
      </w:r>
      <w:r w:rsidR="00033D0F">
        <w:t>present at</w:t>
      </w:r>
      <w:r w:rsidR="00033D0F">
        <w:rPr>
          <w:spacing w:val="-10"/>
        </w:rPr>
        <w:t xml:space="preserve"> </w:t>
      </w:r>
      <w:r w:rsidR="00033D0F">
        <w:t>the</w:t>
      </w:r>
      <w:r w:rsidR="00033D0F">
        <w:rPr>
          <w:spacing w:val="-11"/>
        </w:rPr>
        <w:t xml:space="preserve"> </w:t>
      </w:r>
      <w:r w:rsidR="00033D0F">
        <w:t>meeting."</w:t>
      </w:r>
      <w:hyperlink w:anchor="_bookmark1128" w:history="1">
        <w:r w:rsidR="00033D0F">
          <w:rPr>
            <w:vertAlign w:val="superscript"/>
          </w:rPr>
          <w:t>971</w:t>
        </w:r>
      </w:hyperlink>
      <w:r w:rsidR="00033D0F">
        <w:rPr>
          <w:spacing w:val="-10"/>
        </w:rPr>
        <w:t xml:space="preserve"> </w:t>
      </w:r>
      <w:r w:rsidR="00033D0F">
        <w:t>That</w:t>
      </w:r>
      <w:r w:rsidR="00033D0F">
        <w:rPr>
          <w:spacing w:val="-10"/>
        </w:rPr>
        <w:t xml:space="preserve"> </w:t>
      </w:r>
      <w:r w:rsidR="00033D0F">
        <w:t>is</w:t>
      </w:r>
      <w:r w:rsidR="00033D0F">
        <w:rPr>
          <w:spacing w:val="-9"/>
        </w:rPr>
        <w:t xml:space="preserve"> </w:t>
      </w:r>
      <w:r w:rsidR="00033D0F">
        <w:t>not</w:t>
      </w:r>
      <w:r w:rsidR="00033D0F">
        <w:rPr>
          <w:spacing w:val="-6"/>
        </w:rPr>
        <w:t xml:space="preserve"> </w:t>
      </w:r>
      <w:r w:rsidR="00033D0F">
        <w:t>Australia's</w:t>
      </w:r>
      <w:r w:rsidR="00033D0F">
        <w:rPr>
          <w:spacing w:val="-9"/>
        </w:rPr>
        <w:t xml:space="preserve"> </w:t>
      </w:r>
      <w:r w:rsidR="00033D0F">
        <w:t>argument.</w:t>
      </w:r>
      <w:r w:rsidR="00033D0F">
        <w:rPr>
          <w:spacing w:val="-10"/>
        </w:rPr>
        <w:t xml:space="preserve"> </w:t>
      </w:r>
      <w:r w:rsidR="00033D0F">
        <w:t>Rather,</w:t>
      </w:r>
      <w:r w:rsidR="00033D0F">
        <w:rPr>
          <w:spacing w:val="-9"/>
        </w:rPr>
        <w:t xml:space="preserve"> </w:t>
      </w:r>
      <w:r w:rsidR="00033D0F">
        <w:t>Australia's</w:t>
      </w:r>
      <w:r w:rsidR="00033D0F">
        <w:rPr>
          <w:spacing w:val="-9"/>
        </w:rPr>
        <w:t xml:space="preserve"> </w:t>
      </w:r>
      <w:r w:rsidR="00033D0F">
        <w:t>argument</w:t>
      </w:r>
      <w:r w:rsidR="00033D0F">
        <w:rPr>
          <w:spacing w:val="-10"/>
        </w:rPr>
        <w:t xml:space="preserve"> </w:t>
      </w:r>
      <w:r w:rsidR="00033D0F">
        <w:t>is</w:t>
      </w:r>
      <w:r w:rsidR="00033D0F">
        <w:rPr>
          <w:spacing w:val="-9"/>
        </w:rPr>
        <w:t xml:space="preserve"> </w:t>
      </w:r>
      <w:r w:rsidR="00033D0F">
        <w:t>that</w:t>
      </w:r>
      <w:r w:rsidR="00033D0F">
        <w:rPr>
          <w:spacing w:val="-10"/>
        </w:rPr>
        <w:t xml:space="preserve"> </w:t>
      </w:r>
      <w:r w:rsidR="00033D0F">
        <w:t xml:space="preserve">CADA failed to indicate whether those domestic producers who supported the written application represented more than 50% of the total </w:t>
      </w:r>
      <w:r w:rsidR="00033D0F">
        <w:rPr>
          <w:i/>
        </w:rPr>
        <w:t xml:space="preserve">production </w:t>
      </w:r>
      <w:r w:rsidR="00033D0F">
        <w:t>of the like product produced by the portion</w:t>
      </w:r>
      <w:r w:rsidR="00033D0F">
        <w:rPr>
          <w:spacing w:val="-14"/>
        </w:rPr>
        <w:t xml:space="preserve"> </w:t>
      </w:r>
      <w:r w:rsidR="00033D0F">
        <w:t>of</w:t>
      </w:r>
      <w:r w:rsidR="00033D0F">
        <w:rPr>
          <w:spacing w:val="-14"/>
        </w:rPr>
        <w:t xml:space="preserve"> </w:t>
      </w:r>
      <w:r w:rsidR="00033D0F">
        <w:t>those</w:t>
      </w:r>
      <w:r w:rsidR="00033D0F">
        <w:rPr>
          <w:spacing w:val="-13"/>
        </w:rPr>
        <w:t xml:space="preserve"> </w:t>
      </w:r>
      <w:r w:rsidR="00033D0F">
        <w:t>domestic</w:t>
      </w:r>
      <w:r w:rsidR="00033D0F">
        <w:rPr>
          <w:spacing w:val="-14"/>
        </w:rPr>
        <w:t xml:space="preserve"> </w:t>
      </w:r>
      <w:r w:rsidR="00033D0F">
        <w:t>producers</w:t>
      </w:r>
      <w:r w:rsidR="00033D0F">
        <w:rPr>
          <w:spacing w:val="-11"/>
        </w:rPr>
        <w:t xml:space="preserve"> </w:t>
      </w:r>
      <w:r w:rsidR="00033D0F">
        <w:t>expressing</w:t>
      </w:r>
      <w:r w:rsidR="00033D0F">
        <w:rPr>
          <w:spacing w:val="-10"/>
        </w:rPr>
        <w:t xml:space="preserve"> </w:t>
      </w:r>
      <w:r w:rsidR="00033D0F">
        <w:t>either</w:t>
      </w:r>
      <w:r w:rsidR="00033D0F">
        <w:rPr>
          <w:spacing w:val="-14"/>
        </w:rPr>
        <w:t xml:space="preserve"> </w:t>
      </w:r>
      <w:r w:rsidR="00033D0F">
        <w:t>support</w:t>
      </w:r>
      <w:r w:rsidR="00033D0F">
        <w:rPr>
          <w:spacing w:val="-11"/>
        </w:rPr>
        <w:t xml:space="preserve"> </w:t>
      </w:r>
      <w:r w:rsidR="00033D0F">
        <w:t>for</w:t>
      </w:r>
      <w:r w:rsidR="00033D0F">
        <w:rPr>
          <w:spacing w:val="-14"/>
        </w:rPr>
        <w:t xml:space="preserve"> </w:t>
      </w:r>
      <w:r w:rsidR="00033D0F">
        <w:t>or</w:t>
      </w:r>
      <w:r w:rsidR="00033D0F">
        <w:rPr>
          <w:spacing w:val="-14"/>
        </w:rPr>
        <w:t xml:space="preserve"> </w:t>
      </w:r>
      <w:r w:rsidR="00033D0F">
        <w:rPr>
          <w:i/>
        </w:rPr>
        <w:t>opposition</w:t>
      </w:r>
      <w:r w:rsidR="00033D0F">
        <w:rPr>
          <w:i/>
          <w:spacing w:val="-9"/>
        </w:rPr>
        <w:t xml:space="preserve"> </w:t>
      </w:r>
      <w:r w:rsidR="00033D0F">
        <w:rPr>
          <w:i/>
        </w:rPr>
        <w:t>to</w:t>
      </w:r>
      <w:r w:rsidR="00033D0F">
        <w:rPr>
          <w:i/>
          <w:spacing w:val="-11"/>
        </w:rPr>
        <w:t xml:space="preserve"> </w:t>
      </w:r>
      <w:r w:rsidR="00033D0F">
        <w:t>the</w:t>
      </w:r>
      <w:r w:rsidR="00033D0F">
        <w:rPr>
          <w:spacing w:val="-12"/>
        </w:rPr>
        <w:t xml:space="preserve"> </w:t>
      </w:r>
      <w:r w:rsidR="00033D0F">
        <w:t xml:space="preserve">written </w:t>
      </w:r>
      <w:r w:rsidR="00033D0F">
        <w:rPr>
          <w:spacing w:val="-2"/>
        </w:rPr>
        <w:t>application.</w:t>
      </w:r>
    </w:p>
    <w:p w14:paraId="2A7C99B2" w14:textId="77777777" w:rsidR="00BD462C" w:rsidRDefault="00BD462C">
      <w:pPr>
        <w:pStyle w:val="BodyText"/>
        <w:rPr>
          <w:sz w:val="20"/>
        </w:rPr>
      </w:pPr>
    </w:p>
    <w:p w14:paraId="092115BD" w14:textId="77777777" w:rsidR="00BD462C" w:rsidRDefault="00BD462C">
      <w:pPr>
        <w:pStyle w:val="BodyText"/>
        <w:rPr>
          <w:sz w:val="20"/>
        </w:rPr>
      </w:pPr>
    </w:p>
    <w:p w14:paraId="554B9F7E" w14:textId="77777777" w:rsidR="00BD462C" w:rsidRDefault="00BD462C">
      <w:pPr>
        <w:pStyle w:val="BodyText"/>
        <w:rPr>
          <w:sz w:val="20"/>
        </w:rPr>
      </w:pPr>
    </w:p>
    <w:p w14:paraId="51328894" w14:textId="77777777" w:rsidR="00BD462C" w:rsidRDefault="00BD462C">
      <w:pPr>
        <w:pStyle w:val="BodyText"/>
        <w:rPr>
          <w:sz w:val="20"/>
        </w:rPr>
      </w:pPr>
    </w:p>
    <w:p w14:paraId="1AAE6D82" w14:textId="77777777" w:rsidR="00BD462C" w:rsidRDefault="00BD462C">
      <w:pPr>
        <w:pStyle w:val="BodyText"/>
        <w:rPr>
          <w:sz w:val="20"/>
        </w:rPr>
      </w:pPr>
    </w:p>
    <w:p w14:paraId="30ABE29A" w14:textId="77777777" w:rsidR="00BD462C" w:rsidRDefault="00BD462C">
      <w:pPr>
        <w:pStyle w:val="BodyText"/>
        <w:rPr>
          <w:sz w:val="20"/>
        </w:rPr>
      </w:pPr>
    </w:p>
    <w:p w14:paraId="4D2107A2" w14:textId="77777777" w:rsidR="00BD462C" w:rsidRDefault="00BD462C">
      <w:pPr>
        <w:pStyle w:val="BodyText"/>
        <w:rPr>
          <w:sz w:val="20"/>
        </w:rPr>
      </w:pPr>
    </w:p>
    <w:p w14:paraId="072EBBF4" w14:textId="2473F788" w:rsidR="00BD462C" w:rsidRDefault="00D70C7D">
      <w:pPr>
        <w:pStyle w:val="BodyText"/>
        <w:rPr>
          <w:sz w:val="27"/>
        </w:rPr>
      </w:pPr>
      <w:r>
        <w:rPr>
          <w:noProof/>
        </w:rPr>
        <mc:AlternateContent>
          <mc:Choice Requires="wps">
            <w:drawing>
              <wp:anchor distT="0" distB="0" distL="0" distR="0" simplePos="0" relativeHeight="487807488" behindDoc="1" locked="0" layoutInCell="1" allowOverlap="1" wp14:anchorId="4A009355" wp14:editId="66E7BB01">
                <wp:simplePos x="0" y="0"/>
                <wp:positionH relativeFrom="page">
                  <wp:posOffset>899160</wp:posOffset>
                </wp:positionH>
                <wp:positionV relativeFrom="paragraph">
                  <wp:posOffset>224790</wp:posOffset>
                </wp:positionV>
                <wp:extent cx="1828800" cy="8890"/>
                <wp:effectExtent l="0" t="0" r="0" b="0"/>
                <wp:wrapTopAndBottom/>
                <wp:docPr id="484" name="docshape4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4F7F47" id="docshape477" o:spid="_x0000_s1026" alt="&quot;&quot;" style="position:absolute;margin-left:70.8pt;margin-top:17.7pt;width:2in;height:.7pt;z-index:-15508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" fillcolor="black" stroked="f">
                <w10:wrap type="topAndBottom" anchorx="page"/>
              </v:rect>
            </w:pict>
          </mc:Fallback>
        </mc:AlternateContent>
      </w:r>
    </w:p>
    <w:p w14:paraId="26ED3AE9" w14:textId="77777777" w:rsidR="00BD462C" w:rsidRDefault="00033D0F">
      <w:pPr>
        <w:spacing w:before="107"/>
        <w:ind w:left="135"/>
        <w:rPr>
          <w:sz w:val="18"/>
        </w:rPr>
      </w:pPr>
      <w:bookmarkStart w:id="1303" w:name="_bookmark1124"/>
      <w:bookmarkEnd w:id="1303"/>
      <w:r>
        <w:rPr>
          <w:position w:val="5"/>
          <w:sz w:val="12"/>
        </w:rPr>
        <w:t>967</w:t>
      </w:r>
      <w:r>
        <w:rPr>
          <w:spacing w:val="13"/>
          <w:position w:val="5"/>
          <w:sz w:val="12"/>
        </w:rPr>
        <w:t xml:space="preserve"> </w:t>
      </w:r>
      <w:r>
        <w:rPr>
          <w:sz w:val="18"/>
        </w:rPr>
        <w:t>China's</w:t>
      </w:r>
      <w:r>
        <w:rPr>
          <w:spacing w:val="-5"/>
          <w:sz w:val="18"/>
        </w:rPr>
        <w:t xml:space="preserve"> </w:t>
      </w:r>
      <w:r>
        <w:rPr>
          <w:sz w:val="18"/>
        </w:rPr>
        <w:t>first</w:t>
      </w:r>
      <w:r>
        <w:rPr>
          <w:spacing w:val="-4"/>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paras.</w:t>
      </w:r>
      <w:r>
        <w:rPr>
          <w:spacing w:val="-4"/>
          <w:sz w:val="18"/>
        </w:rPr>
        <w:t xml:space="preserve"> </w:t>
      </w:r>
      <w:r>
        <w:rPr>
          <w:sz w:val="18"/>
        </w:rPr>
        <w:t>2053</w:t>
      </w:r>
      <w:r>
        <w:rPr>
          <w:spacing w:val="-2"/>
          <w:sz w:val="18"/>
        </w:rPr>
        <w:t xml:space="preserve"> </w:t>
      </w:r>
      <w:r>
        <w:rPr>
          <w:sz w:val="18"/>
        </w:rPr>
        <w:t>and</w:t>
      </w:r>
      <w:r>
        <w:rPr>
          <w:spacing w:val="-2"/>
          <w:sz w:val="18"/>
        </w:rPr>
        <w:t xml:space="preserve"> 2056.</w:t>
      </w:r>
    </w:p>
    <w:p w14:paraId="75F9CA1E" w14:textId="77777777" w:rsidR="00BD462C" w:rsidRDefault="00033D0F">
      <w:pPr>
        <w:spacing w:before="1"/>
        <w:ind w:left="135"/>
        <w:rPr>
          <w:sz w:val="18"/>
        </w:rPr>
      </w:pPr>
      <w:bookmarkStart w:id="1304" w:name="_bookmark1125"/>
      <w:bookmarkEnd w:id="1304"/>
      <w:r>
        <w:rPr>
          <w:position w:val="5"/>
          <w:sz w:val="12"/>
        </w:rPr>
        <w:t>968</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 xml:space="preserve">submission, para. </w:t>
      </w:r>
      <w:r>
        <w:rPr>
          <w:spacing w:val="-2"/>
          <w:sz w:val="18"/>
        </w:rPr>
        <w:t>2055.</w:t>
      </w:r>
    </w:p>
    <w:p w14:paraId="0ACBDA10" w14:textId="77777777" w:rsidR="00BD462C" w:rsidRDefault="00033D0F">
      <w:pPr>
        <w:spacing w:before="1"/>
        <w:ind w:left="135"/>
        <w:rPr>
          <w:sz w:val="18"/>
        </w:rPr>
      </w:pPr>
      <w:bookmarkStart w:id="1305" w:name="_bookmark1126"/>
      <w:bookmarkEnd w:id="1305"/>
      <w:r>
        <w:rPr>
          <w:position w:val="5"/>
          <w:sz w:val="12"/>
        </w:rPr>
        <w:t>969</w:t>
      </w:r>
      <w:r>
        <w:rPr>
          <w:spacing w:val="14"/>
          <w:position w:val="5"/>
          <w:sz w:val="12"/>
        </w:rPr>
        <w:t xml:space="preserve"> </w:t>
      </w:r>
      <w:r>
        <w:rPr>
          <w:sz w:val="18"/>
        </w:rPr>
        <w:t>China's</w:t>
      </w:r>
      <w:r>
        <w:rPr>
          <w:spacing w:val="1"/>
          <w:sz w:val="18"/>
        </w:rPr>
        <w:t xml:space="preserve"> </w:t>
      </w:r>
      <w:r>
        <w:rPr>
          <w:sz w:val="18"/>
        </w:rPr>
        <w:t>response</w:t>
      </w:r>
      <w:r>
        <w:rPr>
          <w:spacing w:val="-4"/>
          <w:sz w:val="18"/>
        </w:rPr>
        <w:t xml:space="preserve"> </w:t>
      </w:r>
      <w:r>
        <w:rPr>
          <w:sz w:val="18"/>
        </w:rPr>
        <w:t>to</w:t>
      </w:r>
      <w:r>
        <w:rPr>
          <w:spacing w:val="-9"/>
          <w:sz w:val="18"/>
        </w:rPr>
        <w:t xml:space="preserve"> </w:t>
      </w:r>
      <w:r>
        <w:rPr>
          <w:sz w:val="18"/>
        </w:rPr>
        <w:t>Panel</w:t>
      </w:r>
      <w:r>
        <w:rPr>
          <w:spacing w:val="-3"/>
          <w:sz w:val="18"/>
        </w:rPr>
        <w:t xml:space="preserve"> </w:t>
      </w:r>
      <w:r>
        <w:rPr>
          <w:sz w:val="18"/>
        </w:rPr>
        <w:t>question</w:t>
      </w:r>
      <w:r>
        <w:rPr>
          <w:spacing w:val="-5"/>
          <w:sz w:val="18"/>
        </w:rPr>
        <w:t xml:space="preserve"> </w:t>
      </w:r>
      <w:r>
        <w:rPr>
          <w:sz w:val="18"/>
        </w:rPr>
        <w:t>No.</w:t>
      </w:r>
      <w:r>
        <w:rPr>
          <w:spacing w:val="2"/>
          <w:sz w:val="18"/>
        </w:rPr>
        <w:t xml:space="preserve"> </w:t>
      </w:r>
      <w:r>
        <w:rPr>
          <w:sz w:val="18"/>
        </w:rPr>
        <w:t>49,</w:t>
      </w:r>
      <w:r>
        <w:rPr>
          <w:spacing w:val="-2"/>
          <w:sz w:val="18"/>
        </w:rPr>
        <w:t xml:space="preserve"> </w:t>
      </w:r>
      <w:r>
        <w:rPr>
          <w:sz w:val="18"/>
        </w:rPr>
        <w:t>para.</w:t>
      </w:r>
      <w:r>
        <w:rPr>
          <w:spacing w:val="-3"/>
          <w:sz w:val="18"/>
        </w:rPr>
        <w:t xml:space="preserve"> </w:t>
      </w:r>
      <w:r>
        <w:rPr>
          <w:spacing w:val="-4"/>
          <w:sz w:val="18"/>
        </w:rPr>
        <w:t>287.</w:t>
      </w:r>
    </w:p>
    <w:p w14:paraId="49794059" w14:textId="77777777" w:rsidR="00BD462C" w:rsidRDefault="00033D0F">
      <w:pPr>
        <w:spacing w:before="1"/>
        <w:ind w:left="135"/>
        <w:rPr>
          <w:sz w:val="18"/>
        </w:rPr>
      </w:pPr>
      <w:bookmarkStart w:id="1306" w:name="_bookmark1127"/>
      <w:bookmarkEnd w:id="1306"/>
      <w:r>
        <w:rPr>
          <w:position w:val="5"/>
          <w:sz w:val="12"/>
        </w:rPr>
        <w:t>970</w:t>
      </w:r>
      <w:r>
        <w:rPr>
          <w:spacing w:val="13"/>
          <w:position w:val="5"/>
          <w:sz w:val="12"/>
        </w:rPr>
        <w:t xml:space="preserve"> </w:t>
      </w:r>
      <w:r>
        <w:rPr>
          <w:sz w:val="18"/>
        </w:rPr>
        <w:t>Australia's comments</w:t>
      </w:r>
      <w:r>
        <w:rPr>
          <w:spacing w:val="-4"/>
          <w:sz w:val="18"/>
        </w:rPr>
        <w:t xml:space="preserve"> </w:t>
      </w:r>
      <w:r>
        <w:rPr>
          <w:sz w:val="18"/>
        </w:rPr>
        <w:t>on</w:t>
      </w:r>
      <w:r>
        <w:rPr>
          <w:spacing w:val="-6"/>
          <w:sz w:val="18"/>
        </w:rPr>
        <w:t xml:space="preserve"> </w:t>
      </w:r>
      <w:r>
        <w:rPr>
          <w:sz w:val="18"/>
        </w:rPr>
        <w:t>China's response</w:t>
      </w:r>
      <w:r>
        <w:rPr>
          <w:spacing w:val="-1"/>
          <w:sz w:val="18"/>
        </w:rPr>
        <w:t xml:space="preserve"> </w:t>
      </w:r>
      <w:r>
        <w:rPr>
          <w:sz w:val="18"/>
        </w:rPr>
        <w:t>to</w:t>
      </w:r>
      <w:r>
        <w:rPr>
          <w:spacing w:val="-6"/>
          <w:sz w:val="18"/>
        </w:rPr>
        <w:t xml:space="preserve"> </w:t>
      </w:r>
      <w:r>
        <w:rPr>
          <w:sz w:val="18"/>
        </w:rPr>
        <w:t>Panel</w:t>
      </w:r>
      <w:r>
        <w:rPr>
          <w:spacing w:val="-4"/>
          <w:sz w:val="18"/>
        </w:rPr>
        <w:t xml:space="preserve"> </w:t>
      </w:r>
      <w:r>
        <w:rPr>
          <w:sz w:val="18"/>
        </w:rPr>
        <w:t>question</w:t>
      </w:r>
      <w:r>
        <w:rPr>
          <w:spacing w:val="-5"/>
          <w:sz w:val="18"/>
        </w:rPr>
        <w:t xml:space="preserve"> </w:t>
      </w:r>
      <w:r>
        <w:rPr>
          <w:sz w:val="18"/>
        </w:rPr>
        <w:t>No.</w:t>
      </w:r>
      <w:r>
        <w:rPr>
          <w:spacing w:val="-4"/>
          <w:sz w:val="18"/>
        </w:rPr>
        <w:t xml:space="preserve"> </w:t>
      </w:r>
      <w:r>
        <w:rPr>
          <w:sz w:val="18"/>
        </w:rPr>
        <w:t>49</w:t>
      </w:r>
      <w:r>
        <w:rPr>
          <w:spacing w:val="-2"/>
          <w:sz w:val="18"/>
        </w:rPr>
        <w:t xml:space="preserve"> </w:t>
      </w:r>
      <w:r>
        <w:rPr>
          <w:sz w:val="18"/>
        </w:rPr>
        <w:t>at</w:t>
      </w:r>
      <w:r>
        <w:rPr>
          <w:spacing w:val="-4"/>
          <w:sz w:val="18"/>
        </w:rPr>
        <w:t xml:space="preserve"> </w:t>
      </w:r>
      <w:r>
        <w:rPr>
          <w:sz w:val="18"/>
        </w:rPr>
        <w:t>the</w:t>
      </w:r>
      <w:r>
        <w:rPr>
          <w:spacing w:val="-5"/>
          <w:sz w:val="18"/>
        </w:rPr>
        <w:t xml:space="preserve"> </w:t>
      </w:r>
      <w:r>
        <w:rPr>
          <w:sz w:val="18"/>
        </w:rPr>
        <w:t>first meeting of</w:t>
      </w:r>
      <w:r>
        <w:rPr>
          <w:spacing w:val="-4"/>
          <w:sz w:val="18"/>
        </w:rPr>
        <w:t xml:space="preserve"> </w:t>
      </w:r>
      <w:r>
        <w:rPr>
          <w:sz w:val="18"/>
        </w:rPr>
        <w:t>the</w:t>
      </w:r>
      <w:r>
        <w:rPr>
          <w:spacing w:val="-9"/>
          <w:sz w:val="18"/>
        </w:rPr>
        <w:t xml:space="preserve"> </w:t>
      </w:r>
      <w:r>
        <w:rPr>
          <w:spacing w:val="-2"/>
          <w:sz w:val="18"/>
        </w:rPr>
        <w:t>Panel.</w:t>
      </w:r>
    </w:p>
    <w:p w14:paraId="4BA67A70" w14:textId="77777777" w:rsidR="00BD462C" w:rsidRDefault="00033D0F">
      <w:pPr>
        <w:spacing w:before="1"/>
        <w:ind w:left="135"/>
        <w:rPr>
          <w:sz w:val="18"/>
        </w:rPr>
      </w:pPr>
      <w:bookmarkStart w:id="1307" w:name="_bookmark1128"/>
      <w:bookmarkEnd w:id="1307"/>
      <w:r>
        <w:rPr>
          <w:position w:val="5"/>
          <w:sz w:val="12"/>
        </w:rPr>
        <w:t>971</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 xml:space="preserve">submission, para. </w:t>
      </w:r>
      <w:r>
        <w:rPr>
          <w:spacing w:val="-2"/>
          <w:sz w:val="18"/>
        </w:rPr>
        <w:t>2054.</w:t>
      </w:r>
    </w:p>
    <w:p w14:paraId="4CB3E7F0" w14:textId="77777777" w:rsidR="00BD462C" w:rsidRDefault="00BD462C">
      <w:pPr>
        <w:rPr>
          <w:sz w:val="18"/>
        </w:rPr>
        <w:sectPr w:rsidR="00BD462C">
          <w:pgSz w:w="11910" w:h="16840"/>
          <w:pgMar w:top="860" w:right="500" w:bottom="780" w:left="1280" w:header="566" w:footer="590" w:gutter="0"/>
          <w:cols w:space="720"/>
        </w:sectPr>
      </w:pPr>
    </w:p>
    <w:p w14:paraId="2CD5C671"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202AB83E"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21EAD82D"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4973EBEC" w14:textId="77777777" w:rsidR="00BD462C" w:rsidRDefault="00033D0F">
      <w:pPr>
        <w:pStyle w:val="ListParagraph"/>
        <w:numPr>
          <w:ilvl w:val="1"/>
          <w:numId w:val="41"/>
        </w:numPr>
        <w:tabs>
          <w:tab w:val="left" w:pos="3539"/>
          <w:tab w:val="left" w:pos="3540"/>
        </w:tabs>
        <w:spacing w:before="102" w:line="360" w:lineRule="auto"/>
        <w:ind w:right="915"/>
        <w:jc w:val="both"/>
        <w:rPr>
          <w:sz w:val="24"/>
        </w:rPr>
      </w:pPr>
      <w:bookmarkStart w:id="1308" w:name="(b)_MOFCOM_failed_to_examine_the_degree_"/>
      <w:bookmarkEnd w:id="1308"/>
      <w:r>
        <w:rPr>
          <w:sz w:val="24"/>
          <w:u w:val="single"/>
        </w:rPr>
        <w:t>MOFCOM failed to examine the degree of support for or</w:t>
      </w:r>
      <w:r>
        <w:rPr>
          <w:sz w:val="24"/>
        </w:rPr>
        <w:t xml:space="preserve"> </w:t>
      </w:r>
      <w:r>
        <w:rPr>
          <w:sz w:val="24"/>
          <w:u w:val="single"/>
        </w:rPr>
        <w:t>opposition to CADA's written application outside CADA's</w:t>
      </w:r>
      <w:r>
        <w:rPr>
          <w:sz w:val="24"/>
        </w:rPr>
        <w:t xml:space="preserve"> </w:t>
      </w:r>
      <w:r>
        <w:rPr>
          <w:spacing w:val="-2"/>
          <w:sz w:val="24"/>
          <w:u w:val="single"/>
        </w:rPr>
        <w:t>membership</w:t>
      </w:r>
    </w:p>
    <w:p w14:paraId="7F2E91B3" w14:textId="77777777" w:rsidR="00BD462C" w:rsidRDefault="00BD462C">
      <w:pPr>
        <w:pStyle w:val="BodyText"/>
        <w:spacing w:before="11"/>
        <w:rPr>
          <w:sz w:val="8"/>
        </w:rPr>
      </w:pPr>
    </w:p>
    <w:p w14:paraId="38987F7B" w14:textId="14FAB757" w:rsidR="00BD462C" w:rsidRDefault="003B71EA">
      <w:pPr>
        <w:pStyle w:val="BodyText"/>
        <w:spacing w:before="56" w:line="360" w:lineRule="auto"/>
        <w:ind w:left="135" w:right="918"/>
        <w:jc w:val="both"/>
      </w:pPr>
      <w:r>
        <w:rPr>
          <w:noProof/>
        </w:rPr>
        <w:t>615.</w:t>
      </w:r>
      <w:r w:rsidR="00033D0F">
        <w:rPr>
          <w:rFonts w:ascii="Times New Roman"/>
          <w:spacing w:val="80"/>
          <w:position w:val="1"/>
          <w:sz w:val="20"/>
        </w:rPr>
        <w:t xml:space="preserve">  </w:t>
      </w:r>
      <w:r w:rsidR="00033D0F">
        <w:rPr>
          <w:position w:val="1"/>
        </w:rPr>
        <w:t xml:space="preserve">As set out in Australia's first written submission, there is no evidence on the record </w:t>
      </w:r>
      <w:r w:rsidR="00033D0F">
        <w:t>indicating any examination by MOFCOM of the level of support for the application among domestic producers outside CADA's membership.</w:t>
      </w:r>
      <w:hyperlink w:anchor="_bookmark1129" w:history="1">
        <w:r w:rsidR="00033D0F">
          <w:rPr>
            <w:vertAlign w:val="superscript"/>
          </w:rPr>
          <w:t>972</w:t>
        </w:r>
      </w:hyperlink>
      <w:r w:rsidR="00033D0F">
        <w:t xml:space="preserve"> China has confirmed that no such examination took place, but states that MOFCOM was prohibited from doing so because of Article 5.5 of the Anti-Dumping Agreement. </w:t>
      </w:r>
      <w:hyperlink w:anchor="_bookmark1130" w:history="1">
        <w:r w:rsidR="00033D0F">
          <w:rPr>
            <w:vertAlign w:val="superscript"/>
          </w:rPr>
          <w:t>973</w:t>
        </w:r>
      </w:hyperlink>
    </w:p>
    <w:p w14:paraId="4D5F6A79" w14:textId="77777777" w:rsidR="00BD462C" w:rsidRDefault="00BD462C">
      <w:pPr>
        <w:pStyle w:val="BodyText"/>
        <w:spacing w:before="6"/>
        <w:rPr>
          <w:sz w:val="8"/>
        </w:rPr>
      </w:pPr>
    </w:p>
    <w:p w14:paraId="60848729" w14:textId="26FE73E6" w:rsidR="00BD462C" w:rsidRDefault="003B71EA">
      <w:pPr>
        <w:pStyle w:val="BodyText"/>
        <w:spacing w:before="56" w:line="360" w:lineRule="auto"/>
        <w:ind w:left="135" w:right="913"/>
        <w:jc w:val="both"/>
      </w:pPr>
      <w:r>
        <w:rPr>
          <w:noProof/>
        </w:rPr>
        <w:t>616.</w:t>
      </w:r>
      <w:r w:rsidR="00033D0F">
        <w:rPr>
          <w:rFonts w:ascii="Times New Roman"/>
          <w:spacing w:val="80"/>
          <w:position w:val="1"/>
          <w:sz w:val="20"/>
        </w:rPr>
        <w:t xml:space="preserve">  </w:t>
      </w:r>
      <w:r w:rsidR="00033D0F">
        <w:rPr>
          <w:position w:val="1"/>
        </w:rPr>
        <w:t>China's</w:t>
      </w:r>
      <w:r w:rsidR="00033D0F">
        <w:rPr>
          <w:spacing w:val="-5"/>
          <w:position w:val="1"/>
        </w:rPr>
        <w:t xml:space="preserve"> </w:t>
      </w:r>
      <w:r w:rsidR="00033D0F">
        <w:rPr>
          <w:position w:val="1"/>
        </w:rPr>
        <w:t>reliance</w:t>
      </w:r>
      <w:r w:rsidR="00033D0F">
        <w:rPr>
          <w:spacing w:val="-6"/>
          <w:position w:val="1"/>
        </w:rPr>
        <w:t xml:space="preserve"> </w:t>
      </w:r>
      <w:r w:rsidR="00033D0F">
        <w:rPr>
          <w:position w:val="1"/>
        </w:rPr>
        <w:t>on</w:t>
      </w:r>
      <w:r w:rsidR="00033D0F">
        <w:rPr>
          <w:spacing w:val="-3"/>
          <w:position w:val="1"/>
        </w:rPr>
        <w:t xml:space="preserve"> </w:t>
      </w:r>
      <w:r w:rsidR="00033D0F">
        <w:rPr>
          <w:position w:val="1"/>
        </w:rPr>
        <w:t>Article</w:t>
      </w:r>
      <w:r w:rsidR="00033D0F">
        <w:rPr>
          <w:spacing w:val="-6"/>
          <w:position w:val="1"/>
        </w:rPr>
        <w:t xml:space="preserve"> </w:t>
      </w:r>
      <w:r w:rsidR="00033D0F">
        <w:rPr>
          <w:position w:val="1"/>
        </w:rPr>
        <w:t>5.5</w:t>
      </w:r>
      <w:r w:rsidR="00033D0F">
        <w:rPr>
          <w:spacing w:val="-8"/>
          <w:position w:val="1"/>
        </w:rPr>
        <w:t xml:space="preserve"> </w:t>
      </w:r>
      <w:r w:rsidR="00033D0F">
        <w:rPr>
          <w:position w:val="1"/>
        </w:rPr>
        <w:t>is</w:t>
      </w:r>
      <w:r w:rsidR="00033D0F">
        <w:rPr>
          <w:spacing w:val="-5"/>
          <w:position w:val="1"/>
        </w:rPr>
        <w:t xml:space="preserve"> </w:t>
      </w:r>
      <w:r w:rsidR="00033D0F">
        <w:rPr>
          <w:position w:val="1"/>
        </w:rPr>
        <w:t>misplaced.</w:t>
      </w:r>
      <w:r w:rsidR="00033D0F">
        <w:rPr>
          <w:spacing w:val="-5"/>
          <w:position w:val="1"/>
        </w:rPr>
        <w:t xml:space="preserve"> </w:t>
      </w:r>
      <w:r w:rsidR="00033D0F">
        <w:rPr>
          <w:position w:val="1"/>
        </w:rPr>
        <w:t>Article</w:t>
      </w:r>
      <w:r w:rsidR="00033D0F">
        <w:rPr>
          <w:spacing w:val="-6"/>
          <w:position w:val="1"/>
        </w:rPr>
        <w:t xml:space="preserve"> </w:t>
      </w:r>
      <w:r w:rsidR="00033D0F">
        <w:rPr>
          <w:position w:val="1"/>
        </w:rPr>
        <w:t>5.5,</w:t>
      </w:r>
      <w:r w:rsidR="00033D0F">
        <w:rPr>
          <w:spacing w:val="-4"/>
          <w:position w:val="1"/>
        </w:rPr>
        <w:t xml:space="preserve"> </w:t>
      </w:r>
      <w:r w:rsidR="00033D0F">
        <w:rPr>
          <w:position w:val="1"/>
        </w:rPr>
        <w:t>in</w:t>
      </w:r>
      <w:r w:rsidR="00033D0F">
        <w:rPr>
          <w:spacing w:val="-8"/>
          <w:position w:val="1"/>
        </w:rPr>
        <w:t xml:space="preserve"> </w:t>
      </w:r>
      <w:r w:rsidR="00033D0F">
        <w:rPr>
          <w:position w:val="1"/>
        </w:rPr>
        <w:t>relevant</w:t>
      </w:r>
      <w:r w:rsidR="00033D0F">
        <w:rPr>
          <w:spacing w:val="-6"/>
          <w:position w:val="1"/>
        </w:rPr>
        <w:t xml:space="preserve"> </w:t>
      </w:r>
      <w:r w:rsidR="00033D0F">
        <w:rPr>
          <w:position w:val="1"/>
        </w:rPr>
        <w:t>part,</w:t>
      </w:r>
      <w:r w:rsidR="00033D0F">
        <w:rPr>
          <w:spacing w:val="-4"/>
          <w:position w:val="1"/>
        </w:rPr>
        <w:t xml:space="preserve"> </w:t>
      </w:r>
      <w:r w:rsidR="00033D0F">
        <w:rPr>
          <w:position w:val="1"/>
        </w:rPr>
        <w:t>provides</w:t>
      </w:r>
      <w:r w:rsidR="00033D0F">
        <w:rPr>
          <w:spacing w:val="-5"/>
          <w:position w:val="1"/>
        </w:rPr>
        <w:t xml:space="preserve"> </w:t>
      </w:r>
      <w:r w:rsidR="00033D0F">
        <w:rPr>
          <w:position w:val="1"/>
        </w:rPr>
        <w:t xml:space="preserve">that </w:t>
      </w:r>
      <w:r w:rsidR="00033D0F">
        <w:t>"authorities shall avoid, unless a decision has been made to initiate an investigation, any publicizing of the application for the initiation of an investigation."</w:t>
      </w:r>
      <w:hyperlink w:anchor="_bookmark1131" w:history="1">
        <w:r w:rsidR="00033D0F">
          <w:rPr>
            <w:vertAlign w:val="superscript"/>
          </w:rPr>
          <w:t>974</w:t>
        </w:r>
      </w:hyperlink>
      <w:r w:rsidR="00033D0F">
        <w:t xml:space="preserve"> The ordinary meaning of "publicize" is "to bring to public notice or attention; to make generally known".</w:t>
      </w:r>
      <w:hyperlink w:anchor="_bookmark1132" w:history="1">
        <w:r w:rsidR="00033D0F">
          <w:rPr>
            <w:vertAlign w:val="superscript"/>
          </w:rPr>
          <w:t>975</w:t>
        </w:r>
      </w:hyperlink>
      <w:r w:rsidR="00033D0F">
        <w:t xml:space="preserve"> The obligation</w:t>
      </w:r>
      <w:r w:rsidR="00033D0F">
        <w:rPr>
          <w:spacing w:val="-4"/>
        </w:rPr>
        <w:t xml:space="preserve"> </w:t>
      </w:r>
      <w:r w:rsidR="00033D0F">
        <w:t>in</w:t>
      </w:r>
      <w:r w:rsidR="00033D0F">
        <w:rPr>
          <w:spacing w:val="-4"/>
        </w:rPr>
        <w:t xml:space="preserve"> </w:t>
      </w:r>
      <w:r w:rsidR="00033D0F">
        <w:t>the</w:t>
      </w:r>
      <w:r w:rsidR="00033D0F">
        <w:rPr>
          <w:spacing w:val="-3"/>
        </w:rPr>
        <w:t xml:space="preserve"> </w:t>
      </w:r>
      <w:r w:rsidR="00033D0F">
        <w:t>first</w:t>
      </w:r>
      <w:r w:rsidR="00033D0F">
        <w:rPr>
          <w:spacing w:val="-2"/>
        </w:rPr>
        <w:t xml:space="preserve"> </w:t>
      </w:r>
      <w:r w:rsidR="00033D0F">
        <w:t>sentence</w:t>
      </w:r>
      <w:r w:rsidR="00033D0F">
        <w:rPr>
          <w:spacing w:val="-2"/>
        </w:rPr>
        <w:t xml:space="preserve"> </w:t>
      </w:r>
      <w:r w:rsidR="00033D0F">
        <w:t>of</w:t>
      </w:r>
      <w:r w:rsidR="00033D0F">
        <w:rPr>
          <w:spacing w:val="-4"/>
        </w:rPr>
        <w:t xml:space="preserve"> </w:t>
      </w:r>
      <w:r w:rsidR="00033D0F">
        <w:t>Article</w:t>
      </w:r>
      <w:r w:rsidR="00033D0F">
        <w:rPr>
          <w:spacing w:val="-2"/>
        </w:rPr>
        <w:t xml:space="preserve"> </w:t>
      </w:r>
      <w:r w:rsidR="00033D0F">
        <w:t>5.5</w:t>
      </w:r>
      <w:r w:rsidR="00033D0F">
        <w:rPr>
          <w:spacing w:val="-5"/>
        </w:rPr>
        <w:t xml:space="preserve"> </w:t>
      </w:r>
      <w:r w:rsidR="00033D0F">
        <w:t>does</w:t>
      </w:r>
      <w:r w:rsidR="00033D0F">
        <w:rPr>
          <w:spacing w:val="-1"/>
        </w:rPr>
        <w:t xml:space="preserve"> </w:t>
      </w:r>
      <w:r w:rsidR="00033D0F">
        <w:t>not</w:t>
      </w:r>
      <w:r w:rsidR="00033D0F">
        <w:rPr>
          <w:spacing w:val="-2"/>
        </w:rPr>
        <w:t xml:space="preserve"> </w:t>
      </w:r>
      <w:r w:rsidR="00033D0F">
        <w:t>prevent</w:t>
      </w:r>
      <w:r w:rsidR="00033D0F">
        <w:rPr>
          <w:spacing w:val="-2"/>
        </w:rPr>
        <w:t xml:space="preserve"> </w:t>
      </w:r>
      <w:r w:rsidR="00033D0F">
        <w:t>an</w:t>
      </w:r>
      <w:r w:rsidR="00033D0F">
        <w:rPr>
          <w:spacing w:val="-4"/>
        </w:rPr>
        <w:t xml:space="preserve"> </w:t>
      </w:r>
      <w:r w:rsidR="00033D0F">
        <w:t>investigating</w:t>
      </w:r>
      <w:r w:rsidR="00033D0F">
        <w:rPr>
          <w:spacing w:val="-1"/>
        </w:rPr>
        <w:t xml:space="preserve"> </w:t>
      </w:r>
      <w:r w:rsidR="00033D0F">
        <w:t>authority</w:t>
      </w:r>
      <w:r w:rsidR="00033D0F">
        <w:rPr>
          <w:spacing w:val="-1"/>
        </w:rPr>
        <w:t xml:space="preserve"> </w:t>
      </w:r>
      <w:r w:rsidR="00033D0F">
        <w:t>from undertaking the examination required under Article 5.4, and China cannot invoke this provision</w:t>
      </w:r>
      <w:r w:rsidR="00033D0F">
        <w:rPr>
          <w:spacing w:val="-3"/>
        </w:rPr>
        <w:t xml:space="preserve"> </w:t>
      </w:r>
      <w:r w:rsidR="00033D0F">
        <w:t>to</w:t>
      </w:r>
      <w:r w:rsidR="00033D0F">
        <w:rPr>
          <w:spacing w:val="-4"/>
        </w:rPr>
        <w:t xml:space="preserve"> </w:t>
      </w:r>
      <w:r w:rsidR="00033D0F">
        <w:t>excuse</w:t>
      </w:r>
      <w:r w:rsidR="00033D0F">
        <w:rPr>
          <w:spacing w:val="-1"/>
        </w:rPr>
        <w:t xml:space="preserve"> </w:t>
      </w:r>
      <w:r w:rsidR="00033D0F">
        <w:t>MOFCOM's failure</w:t>
      </w:r>
      <w:r w:rsidR="00033D0F">
        <w:rPr>
          <w:spacing w:val="-1"/>
        </w:rPr>
        <w:t xml:space="preserve"> </w:t>
      </w:r>
      <w:r w:rsidR="00033D0F">
        <w:t>to</w:t>
      </w:r>
      <w:r w:rsidR="00033D0F">
        <w:rPr>
          <w:spacing w:val="-4"/>
        </w:rPr>
        <w:t xml:space="preserve"> </w:t>
      </w:r>
      <w:r w:rsidR="00033D0F">
        <w:t>do so. An</w:t>
      </w:r>
      <w:r w:rsidR="00033D0F">
        <w:rPr>
          <w:spacing w:val="-3"/>
        </w:rPr>
        <w:t xml:space="preserve"> </w:t>
      </w:r>
      <w:r w:rsidR="00033D0F">
        <w:t>examination</w:t>
      </w:r>
      <w:r w:rsidR="00033D0F">
        <w:rPr>
          <w:spacing w:val="-3"/>
        </w:rPr>
        <w:t xml:space="preserve"> </w:t>
      </w:r>
      <w:r w:rsidR="00033D0F">
        <w:t>of</w:t>
      </w:r>
      <w:r w:rsidR="00033D0F">
        <w:rPr>
          <w:spacing w:val="-3"/>
        </w:rPr>
        <w:t xml:space="preserve"> </w:t>
      </w:r>
      <w:r w:rsidR="00033D0F">
        <w:t>the degree</w:t>
      </w:r>
      <w:r w:rsidR="00033D0F">
        <w:rPr>
          <w:spacing w:val="-1"/>
        </w:rPr>
        <w:t xml:space="preserve"> </w:t>
      </w:r>
      <w:r w:rsidR="00033D0F">
        <w:t>of support</w:t>
      </w:r>
      <w:r w:rsidR="00033D0F">
        <w:rPr>
          <w:spacing w:val="-1"/>
        </w:rPr>
        <w:t xml:space="preserve"> </w:t>
      </w:r>
      <w:r w:rsidR="00033D0F">
        <w:t>for, or</w:t>
      </w:r>
      <w:r w:rsidR="00033D0F">
        <w:rPr>
          <w:spacing w:val="-10"/>
        </w:rPr>
        <w:t xml:space="preserve"> </w:t>
      </w:r>
      <w:r w:rsidR="00033D0F">
        <w:t>opposition</w:t>
      </w:r>
      <w:r w:rsidR="00033D0F">
        <w:rPr>
          <w:spacing w:val="-14"/>
        </w:rPr>
        <w:t xml:space="preserve"> </w:t>
      </w:r>
      <w:r w:rsidR="00033D0F">
        <w:t>to,</w:t>
      </w:r>
      <w:r w:rsidR="00033D0F">
        <w:rPr>
          <w:spacing w:val="-9"/>
        </w:rPr>
        <w:t xml:space="preserve"> </w:t>
      </w:r>
      <w:r w:rsidR="00033D0F">
        <w:t>an</w:t>
      </w:r>
      <w:r w:rsidR="00033D0F">
        <w:rPr>
          <w:spacing w:val="-14"/>
        </w:rPr>
        <w:t xml:space="preserve"> </w:t>
      </w:r>
      <w:r w:rsidR="00033D0F">
        <w:t>application</w:t>
      </w:r>
      <w:r w:rsidR="00033D0F">
        <w:rPr>
          <w:spacing w:val="-13"/>
        </w:rPr>
        <w:t xml:space="preserve"> </w:t>
      </w:r>
      <w:r w:rsidR="00033D0F">
        <w:t>can</w:t>
      </w:r>
      <w:r w:rsidR="00033D0F">
        <w:rPr>
          <w:spacing w:val="-14"/>
        </w:rPr>
        <w:t xml:space="preserve"> </w:t>
      </w:r>
      <w:r w:rsidR="00033D0F">
        <w:t>be</w:t>
      </w:r>
      <w:r w:rsidR="00033D0F">
        <w:rPr>
          <w:spacing w:val="-6"/>
        </w:rPr>
        <w:t xml:space="preserve"> </w:t>
      </w:r>
      <w:r w:rsidR="00033D0F">
        <w:t>readily</w:t>
      </w:r>
      <w:r w:rsidR="00033D0F">
        <w:rPr>
          <w:spacing w:val="-11"/>
        </w:rPr>
        <w:t xml:space="preserve"> </w:t>
      </w:r>
      <w:r w:rsidR="00033D0F">
        <w:t>conducted</w:t>
      </w:r>
      <w:r w:rsidR="00033D0F">
        <w:rPr>
          <w:spacing w:val="-14"/>
        </w:rPr>
        <w:t xml:space="preserve"> </w:t>
      </w:r>
      <w:r w:rsidR="00033D0F">
        <w:t>without</w:t>
      </w:r>
      <w:r w:rsidR="00033D0F">
        <w:rPr>
          <w:spacing w:val="-10"/>
        </w:rPr>
        <w:t xml:space="preserve"> </w:t>
      </w:r>
      <w:r w:rsidR="00033D0F">
        <w:t>"publicizing"</w:t>
      </w:r>
      <w:r w:rsidR="00033D0F">
        <w:rPr>
          <w:spacing w:val="-13"/>
        </w:rPr>
        <w:t xml:space="preserve"> </w:t>
      </w:r>
      <w:r w:rsidR="00033D0F">
        <w:t>the</w:t>
      </w:r>
      <w:r w:rsidR="00033D0F">
        <w:rPr>
          <w:spacing w:val="-12"/>
        </w:rPr>
        <w:t xml:space="preserve"> </w:t>
      </w:r>
      <w:r w:rsidR="00033D0F">
        <w:t>application to</w:t>
      </w:r>
      <w:r w:rsidR="00033D0F">
        <w:rPr>
          <w:spacing w:val="-14"/>
        </w:rPr>
        <w:t xml:space="preserve"> </w:t>
      </w:r>
      <w:r w:rsidR="00033D0F">
        <w:t>the</w:t>
      </w:r>
      <w:r w:rsidR="00033D0F">
        <w:rPr>
          <w:spacing w:val="-14"/>
        </w:rPr>
        <w:t xml:space="preserve"> </w:t>
      </w:r>
      <w:r w:rsidR="00033D0F">
        <w:t>general</w:t>
      </w:r>
      <w:r w:rsidR="00033D0F">
        <w:rPr>
          <w:spacing w:val="-12"/>
        </w:rPr>
        <w:t xml:space="preserve"> </w:t>
      </w:r>
      <w:r w:rsidR="00033D0F">
        <w:t>public.</w:t>
      </w:r>
      <w:r w:rsidR="00033D0F">
        <w:rPr>
          <w:spacing w:val="-12"/>
        </w:rPr>
        <w:t xml:space="preserve"> </w:t>
      </w:r>
      <w:r w:rsidR="00033D0F">
        <w:t>This</w:t>
      </w:r>
      <w:r w:rsidR="00033D0F">
        <w:rPr>
          <w:spacing w:val="-11"/>
        </w:rPr>
        <w:t xml:space="preserve"> </w:t>
      </w:r>
      <w:r w:rsidR="00033D0F">
        <w:t>may</w:t>
      </w:r>
      <w:r w:rsidR="00033D0F">
        <w:rPr>
          <w:spacing w:val="-12"/>
        </w:rPr>
        <w:t xml:space="preserve"> </w:t>
      </w:r>
      <w:r w:rsidR="00033D0F">
        <w:t>involve,</w:t>
      </w:r>
      <w:r w:rsidR="00033D0F">
        <w:rPr>
          <w:spacing w:val="-11"/>
        </w:rPr>
        <w:t xml:space="preserve"> </w:t>
      </w:r>
      <w:r w:rsidR="00033D0F">
        <w:t>for</w:t>
      </w:r>
      <w:r w:rsidR="00033D0F">
        <w:rPr>
          <w:spacing w:val="-14"/>
        </w:rPr>
        <w:t xml:space="preserve"> </w:t>
      </w:r>
      <w:r w:rsidR="00033D0F">
        <w:t>example,</w:t>
      </w:r>
      <w:r w:rsidR="00033D0F">
        <w:rPr>
          <w:spacing w:val="-11"/>
        </w:rPr>
        <w:t xml:space="preserve"> </w:t>
      </w:r>
      <w:r w:rsidR="00033D0F">
        <w:t>direct</w:t>
      </w:r>
      <w:r w:rsidR="00033D0F">
        <w:rPr>
          <w:spacing w:val="-12"/>
        </w:rPr>
        <w:t xml:space="preserve"> </w:t>
      </w:r>
      <w:r w:rsidR="00033D0F">
        <w:t>communications</w:t>
      </w:r>
      <w:r w:rsidR="00033D0F">
        <w:rPr>
          <w:spacing w:val="-11"/>
        </w:rPr>
        <w:t xml:space="preserve"> </w:t>
      </w:r>
      <w:r w:rsidR="00033D0F">
        <w:t>with</w:t>
      </w:r>
      <w:r w:rsidR="00033D0F">
        <w:rPr>
          <w:spacing w:val="-14"/>
        </w:rPr>
        <w:t xml:space="preserve"> </w:t>
      </w:r>
      <w:r w:rsidR="00033D0F">
        <w:t>the</w:t>
      </w:r>
      <w:r w:rsidR="00033D0F">
        <w:rPr>
          <w:spacing w:val="-12"/>
        </w:rPr>
        <w:t xml:space="preserve"> </w:t>
      </w:r>
      <w:r w:rsidR="00033D0F">
        <w:t>domestic producers (or with a statistically valid sample of producers, pursuant to footnote 13 of the Anti-Dumping Agreement).</w:t>
      </w:r>
    </w:p>
    <w:p w14:paraId="57421C9D" w14:textId="77777777" w:rsidR="00BD462C" w:rsidRDefault="00BD462C">
      <w:pPr>
        <w:pStyle w:val="BodyText"/>
        <w:spacing w:before="4"/>
        <w:rPr>
          <w:sz w:val="8"/>
        </w:rPr>
      </w:pPr>
    </w:p>
    <w:p w14:paraId="1E50A262" w14:textId="516384EE" w:rsidR="00BD462C" w:rsidRDefault="003B71EA">
      <w:pPr>
        <w:pStyle w:val="BodyText"/>
        <w:spacing w:before="56" w:line="360" w:lineRule="auto"/>
        <w:ind w:left="136" w:right="913"/>
        <w:jc w:val="both"/>
      </w:pPr>
      <w:r>
        <w:rPr>
          <w:noProof/>
        </w:rPr>
        <w:t>617.</w:t>
      </w:r>
      <w:r w:rsidR="00033D0F">
        <w:rPr>
          <w:rFonts w:ascii="Times New Roman"/>
          <w:spacing w:val="40"/>
          <w:position w:val="1"/>
          <w:sz w:val="20"/>
        </w:rPr>
        <w:t xml:space="preserve">  </w:t>
      </w:r>
      <w:r w:rsidR="00033D0F">
        <w:rPr>
          <w:position w:val="1"/>
        </w:rPr>
        <w:t xml:space="preserve">Finally, China contends that MOFCOM's failure to undertake an examination of the </w:t>
      </w:r>
      <w:r w:rsidR="00033D0F">
        <w:t>degree of support or opposition is inconsequential, since "even if all other producers had opposed</w:t>
      </w:r>
      <w:r w:rsidR="00033D0F">
        <w:rPr>
          <w:spacing w:val="-4"/>
        </w:rPr>
        <w:t xml:space="preserve"> </w:t>
      </w:r>
      <w:r w:rsidR="00033D0F">
        <w:t>the</w:t>
      </w:r>
      <w:r w:rsidR="00033D0F">
        <w:rPr>
          <w:spacing w:val="-3"/>
        </w:rPr>
        <w:t xml:space="preserve"> </w:t>
      </w:r>
      <w:r w:rsidR="00033D0F">
        <w:t>application,</w:t>
      </w:r>
      <w:r w:rsidR="00033D0F">
        <w:rPr>
          <w:spacing w:val="-1"/>
        </w:rPr>
        <w:t xml:space="preserve"> </w:t>
      </w:r>
      <w:r w:rsidR="00033D0F">
        <w:t>CADA</w:t>
      </w:r>
      <w:r w:rsidR="00033D0F">
        <w:rPr>
          <w:spacing w:val="-3"/>
        </w:rPr>
        <w:t xml:space="preserve"> </w:t>
      </w:r>
      <w:r w:rsidR="00033D0F">
        <w:t>would</w:t>
      </w:r>
      <w:r w:rsidR="00033D0F">
        <w:rPr>
          <w:spacing w:val="-4"/>
        </w:rPr>
        <w:t xml:space="preserve"> </w:t>
      </w:r>
      <w:r w:rsidR="00033D0F">
        <w:t>have</w:t>
      </w:r>
      <w:r w:rsidR="00033D0F">
        <w:rPr>
          <w:spacing w:val="-2"/>
        </w:rPr>
        <w:t xml:space="preserve"> </w:t>
      </w:r>
      <w:r w:rsidR="00033D0F">
        <w:t>still</w:t>
      </w:r>
      <w:r w:rsidR="00033D0F">
        <w:rPr>
          <w:spacing w:val="-1"/>
        </w:rPr>
        <w:t xml:space="preserve"> </w:t>
      </w:r>
      <w:r w:rsidR="00033D0F">
        <w:t>had</w:t>
      </w:r>
      <w:r w:rsidR="00033D0F">
        <w:rPr>
          <w:spacing w:val="-4"/>
        </w:rPr>
        <w:t xml:space="preserve"> </w:t>
      </w:r>
      <w:r w:rsidR="00033D0F">
        <w:t>industry</w:t>
      </w:r>
      <w:r w:rsidR="00033D0F">
        <w:rPr>
          <w:spacing w:val="-1"/>
        </w:rPr>
        <w:t xml:space="preserve"> </w:t>
      </w:r>
      <w:r w:rsidR="00033D0F">
        <w:t>standing"</w:t>
      </w:r>
      <w:r w:rsidR="00033D0F">
        <w:rPr>
          <w:spacing w:val="-3"/>
        </w:rPr>
        <w:t xml:space="preserve"> </w:t>
      </w:r>
      <w:r w:rsidR="00033D0F">
        <w:t>as</w:t>
      </w:r>
      <w:r w:rsidR="00033D0F">
        <w:rPr>
          <w:spacing w:val="-6"/>
        </w:rPr>
        <w:t xml:space="preserve"> </w:t>
      </w:r>
      <w:r w:rsidR="00033D0F">
        <w:t>it</w:t>
      </w:r>
      <w:r w:rsidR="00033D0F">
        <w:rPr>
          <w:spacing w:val="-2"/>
        </w:rPr>
        <w:t xml:space="preserve"> </w:t>
      </w:r>
      <w:r w:rsidR="00033D0F">
        <w:t>had</w:t>
      </w:r>
      <w:r w:rsidR="00033D0F">
        <w:rPr>
          <w:spacing w:val="-4"/>
        </w:rPr>
        <w:t xml:space="preserve"> </w:t>
      </w:r>
      <w:r w:rsidR="00033D0F">
        <w:t>"well</w:t>
      </w:r>
      <w:r w:rsidR="00033D0F">
        <w:rPr>
          <w:spacing w:val="-1"/>
        </w:rPr>
        <w:t xml:space="preserve"> </w:t>
      </w:r>
      <w:r w:rsidR="00033D0F">
        <w:t>over</w:t>
      </w:r>
      <w:r w:rsidR="00033D0F">
        <w:rPr>
          <w:spacing w:val="-5"/>
        </w:rPr>
        <w:t xml:space="preserve"> </w:t>
      </w:r>
      <w:r w:rsidR="00033D0F">
        <w:t>50 per cent of the total production in China".</w:t>
      </w:r>
      <w:hyperlink w:anchor="_bookmark1133" w:history="1">
        <w:r w:rsidR="00033D0F">
          <w:rPr>
            <w:vertAlign w:val="superscript"/>
          </w:rPr>
          <w:t>976</w:t>
        </w:r>
      </w:hyperlink>
      <w:r w:rsidR="00033D0F">
        <w:t xml:space="preserve"> This argument suffers from two flaws.</w:t>
      </w:r>
    </w:p>
    <w:p w14:paraId="167239EF" w14:textId="77777777" w:rsidR="00BD462C" w:rsidRDefault="00BD462C">
      <w:pPr>
        <w:pStyle w:val="BodyText"/>
        <w:rPr>
          <w:sz w:val="20"/>
        </w:rPr>
      </w:pPr>
    </w:p>
    <w:p w14:paraId="37253F5F" w14:textId="77777777" w:rsidR="00BD462C" w:rsidRDefault="00BD462C">
      <w:pPr>
        <w:pStyle w:val="BodyText"/>
        <w:rPr>
          <w:sz w:val="20"/>
        </w:rPr>
      </w:pPr>
    </w:p>
    <w:p w14:paraId="2AFCE62C" w14:textId="77777777" w:rsidR="00BD462C" w:rsidRDefault="00BD462C">
      <w:pPr>
        <w:pStyle w:val="BodyText"/>
        <w:rPr>
          <w:sz w:val="20"/>
        </w:rPr>
      </w:pPr>
    </w:p>
    <w:p w14:paraId="4316E47A" w14:textId="77777777" w:rsidR="00BD462C" w:rsidRDefault="00BD462C">
      <w:pPr>
        <w:pStyle w:val="BodyText"/>
        <w:rPr>
          <w:sz w:val="20"/>
        </w:rPr>
      </w:pPr>
    </w:p>
    <w:p w14:paraId="6047E287" w14:textId="77777777" w:rsidR="00BD462C" w:rsidRDefault="00BD462C">
      <w:pPr>
        <w:pStyle w:val="BodyText"/>
        <w:rPr>
          <w:sz w:val="20"/>
        </w:rPr>
      </w:pPr>
    </w:p>
    <w:p w14:paraId="40CA3673" w14:textId="77777777" w:rsidR="00BD462C" w:rsidRDefault="00BD462C">
      <w:pPr>
        <w:pStyle w:val="BodyText"/>
        <w:rPr>
          <w:sz w:val="20"/>
        </w:rPr>
      </w:pPr>
    </w:p>
    <w:p w14:paraId="2897B8B7" w14:textId="250B26FA" w:rsidR="00BD462C" w:rsidRDefault="00D70C7D">
      <w:pPr>
        <w:pStyle w:val="BodyText"/>
        <w:spacing w:before="11"/>
        <w:rPr>
          <w:sz w:val="15"/>
        </w:rPr>
      </w:pPr>
      <w:r>
        <w:rPr>
          <w:noProof/>
        </w:rPr>
        <mc:AlternateContent>
          <mc:Choice Requires="wps">
            <w:drawing>
              <wp:anchor distT="0" distB="0" distL="0" distR="0" simplePos="0" relativeHeight="487808000" behindDoc="1" locked="0" layoutInCell="1" allowOverlap="1" wp14:anchorId="71D0AE89" wp14:editId="7C252414">
                <wp:simplePos x="0" y="0"/>
                <wp:positionH relativeFrom="page">
                  <wp:posOffset>899160</wp:posOffset>
                </wp:positionH>
                <wp:positionV relativeFrom="paragraph">
                  <wp:posOffset>138430</wp:posOffset>
                </wp:positionV>
                <wp:extent cx="1828800" cy="8890"/>
                <wp:effectExtent l="0" t="0" r="0" b="0"/>
                <wp:wrapTopAndBottom/>
                <wp:docPr id="482" name="docshape4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2C50A5" id="docshape478" o:spid="_x0000_s1026" alt="&quot;&quot;" style="position:absolute;margin-left:70.8pt;margin-top:10.9pt;width:2in;height:.7pt;z-index:-1550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" fillcolor="black" stroked="f">
                <w10:wrap type="topAndBottom" anchorx="page"/>
              </v:rect>
            </w:pict>
          </mc:Fallback>
        </mc:AlternateContent>
      </w:r>
    </w:p>
    <w:p w14:paraId="5F95FD46" w14:textId="77777777" w:rsidR="00BD462C" w:rsidRDefault="00033D0F">
      <w:pPr>
        <w:spacing w:before="112" w:line="218" w:lineRule="exact"/>
        <w:ind w:left="135"/>
        <w:rPr>
          <w:sz w:val="18"/>
        </w:rPr>
      </w:pPr>
      <w:bookmarkStart w:id="1309" w:name="_bookmark1129"/>
      <w:bookmarkEnd w:id="1309"/>
      <w:r>
        <w:rPr>
          <w:position w:val="5"/>
          <w:sz w:val="12"/>
        </w:rPr>
        <w:t>972</w:t>
      </w:r>
      <w:r>
        <w:rPr>
          <w:spacing w:val="12"/>
          <w:position w:val="5"/>
          <w:sz w:val="12"/>
        </w:rPr>
        <w:t xml:space="preserve"> </w:t>
      </w:r>
      <w:r>
        <w:rPr>
          <w:sz w:val="18"/>
        </w:rPr>
        <w:t>Australia's</w:t>
      </w:r>
      <w:r>
        <w:rPr>
          <w:spacing w:val="-7"/>
          <w:sz w:val="18"/>
        </w:rPr>
        <w:t xml:space="preserve"> </w:t>
      </w:r>
      <w:r>
        <w:rPr>
          <w:sz w:val="18"/>
        </w:rPr>
        <w:t>first</w:t>
      </w:r>
      <w:r>
        <w:rPr>
          <w:spacing w:val="-5"/>
          <w:sz w:val="18"/>
        </w:rPr>
        <w:t xml:space="preserve"> </w:t>
      </w:r>
      <w:r>
        <w:rPr>
          <w:sz w:val="18"/>
        </w:rPr>
        <w:t>written</w:t>
      </w:r>
      <w:r>
        <w:rPr>
          <w:spacing w:val="-3"/>
          <w:sz w:val="18"/>
        </w:rPr>
        <w:t xml:space="preserve"> </w:t>
      </w:r>
      <w:r>
        <w:rPr>
          <w:sz w:val="18"/>
        </w:rPr>
        <w:t>submission, paras.</w:t>
      </w:r>
      <w:r>
        <w:rPr>
          <w:spacing w:val="-5"/>
          <w:sz w:val="18"/>
        </w:rPr>
        <w:t xml:space="preserve"> </w:t>
      </w:r>
      <w:r>
        <w:rPr>
          <w:sz w:val="18"/>
        </w:rPr>
        <w:t>753-</w:t>
      </w:r>
      <w:r>
        <w:rPr>
          <w:spacing w:val="-4"/>
          <w:sz w:val="18"/>
        </w:rPr>
        <w:t>755.</w:t>
      </w:r>
    </w:p>
    <w:p w14:paraId="18225A7F" w14:textId="77777777" w:rsidR="00BD462C" w:rsidRDefault="00033D0F">
      <w:pPr>
        <w:spacing w:line="218" w:lineRule="exact"/>
        <w:ind w:left="135"/>
        <w:rPr>
          <w:sz w:val="18"/>
        </w:rPr>
      </w:pPr>
      <w:bookmarkStart w:id="1310" w:name="_bookmark1130"/>
      <w:bookmarkEnd w:id="1310"/>
      <w:r>
        <w:rPr>
          <w:position w:val="5"/>
          <w:sz w:val="12"/>
        </w:rPr>
        <w:t>973</w:t>
      </w:r>
      <w:r>
        <w:rPr>
          <w:spacing w:val="12"/>
          <w:position w:val="5"/>
          <w:sz w:val="12"/>
        </w:rPr>
        <w:t xml:space="preserve"> </w:t>
      </w:r>
      <w:r>
        <w:rPr>
          <w:sz w:val="18"/>
        </w:rPr>
        <w:t>China's</w:t>
      </w:r>
      <w:r>
        <w:rPr>
          <w:spacing w:val="-1"/>
          <w:sz w:val="18"/>
        </w:rPr>
        <w:t xml:space="preserve"> </w:t>
      </w:r>
      <w:r>
        <w:rPr>
          <w:sz w:val="18"/>
        </w:rPr>
        <w:t>First</w:t>
      </w:r>
      <w:r>
        <w:rPr>
          <w:spacing w:val="-5"/>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para.</w:t>
      </w:r>
      <w:r>
        <w:rPr>
          <w:spacing w:val="-5"/>
          <w:sz w:val="18"/>
        </w:rPr>
        <w:t xml:space="preserve"> </w:t>
      </w:r>
      <w:r>
        <w:rPr>
          <w:spacing w:val="-2"/>
          <w:sz w:val="18"/>
        </w:rPr>
        <w:t>2057.</w:t>
      </w:r>
    </w:p>
    <w:p w14:paraId="78F67B79" w14:textId="77777777" w:rsidR="00BD462C" w:rsidRDefault="00033D0F">
      <w:pPr>
        <w:spacing w:before="1"/>
        <w:ind w:left="135"/>
        <w:rPr>
          <w:sz w:val="18"/>
        </w:rPr>
      </w:pPr>
      <w:bookmarkStart w:id="1311" w:name="_bookmark1131"/>
      <w:bookmarkEnd w:id="1311"/>
      <w:r>
        <w:rPr>
          <w:position w:val="5"/>
          <w:sz w:val="12"/>
        </w:rPr>
        <w:t>974</w:t>
      </w:r>
      <w:r>
        <w:rPr>
          <w:spacing w:val="14"/>
          <w:position w:val="5"/>
          <w:sz w:val="12"/>
        </w:rPr>
        <w:t xml:space="preserve"> </w:t>
      </w:r>
      <w:r>
        <w:rPr>
          <w:sz w:val="18"/>
        </w:rPr>
        <w:t>Article</w:t>
      </w:r>
      <w:r>
        <w:rPr>
          <w:spacing w:val="-3"/>
          <w:sz w:val="18"/>
        </w:rPr>
        <w:t xml:space="preserve"> </w:t>
      </w:r>
      <w:r>
        <w:rPr>
          <w:sz w:val="18"/>
        </w:rPr>
        <w:t>5.5</w:t>
      </w:r>
      <w:r>
        <w:rPr>
          <w:spacing w:val="-1"/>
          <w:sz w:val="18"/>
        </w:rPr>
        <w:t xml:space="preserve"> </w:t>
      </w:r>
      <w:r>
        <w:rPr>
          <w:sz w:val="18"/>
        </w:rPr>
        <w:t>of</w:t>
      </w:r>
      <w:r>
        <w:rPr>
          <w:spacing w:val="-3"/>
          <w:sz w:val="18"/>
        </w:rPr>
        <w:t xml:space="preserve"> </w:t>
      </w:r>
      <w:r>
        <w:rPr>
          <w:sz w:val="18"/>
        </w:rPr>
        <w:t>the</w:t>
      </w:r>
      <w:r>
        <w:rPr>
          <w:spacing w:val="-4"/>
          <w:sz w:val="18"/>
        </w:rPr>
        <w:t xml:space="preserve"> </w:t>
      </w:r>
      <w:r>
        <w:rPr>
          <w:sz w:val="18"/>
        </w:rPr>
        <w:t>Anti-Dumping</w:t>
      </w:r>
      <w:r>
        <w:rPr>
          <w:spacing w:val="1"/>
          <w:sz w:val="18"/>
        </w:rPr>
        <w:t xml:space="preserve"> </w:t>
      </w:r>
      <w:r>
        <w:rPr>
          <w:spacing w:val="-2"/>
          <w:sz w:val="18"/>
        </w:rPr>
        <w:t>Agreement.</w:t>
      </w:r>
    </w:p>
    <w:p w14:paraId="22EBB9C9" w14:textId="77777777" w:rsidR="00BD462C" w:rsidRDefault="00033D0F">
      <w:pPr>
        <w:spacing w:before="1"/>
        <w:ind w:left="136" w:right="923" w:hanging="1"/>
        <w:rPr>
          <w:sz w:val="18"/>
        </w:rPr>
      </w:pPr>
      <w:bookmarkStart w:id="1312" w:name="_bookmark1132"/>
      <w:bookmarkEnd w:id="1312"/>
      <w:r>
        <w:rPr>
          <w:position w:val="5"/>
          <w:sz w:val="12"/>
        </w:rPr>
        <w:t>975</w:t>
      </w:r>
      <w:r>
        <w:rPr>
          <w:spacing w:val="40"/>
          <w:position w:val="5"/>
          <w:sz w:val="12"/>
        </w:rPr>
        <w:t xml:space="preserve"> </w:t>
      </w:r>
      <w:r>
        <w:rPr>
          <w:sz w:val="18"/>
        </w:rPr>
        <w:t>Oxford</w:t>
      </w:r>
      <w:r>
        <w:rPr>
          <w:spacing w:val="25"/>
          <w:sz w:val="18"/>
        </w:rPr>
        <w:t xml:space="preserve"> </w:t>
      </w:r>
      <w:r>
        <w:rPr>
          <w:sz w:val="18"/>
        </w:rPr>
        <w:t>Dictionaries</w:t>
      </w:r>
      <w:r>
        <w:rPr>
          <w:spacing w:val="25"/>
          <w:sz w:val="18"/>
        </w:rPr>
        <w:t xml:space="preserve"> </w:t>
      </w:r>
      <w:r>
        <w:rPr>
          <w:sz w:val="18"/>
        </w:rPr>
        <w:t>online,</w:t>
      </w:r>
      <w:r>
        <w:rPr>
          <w:spacing w:val="22"/>
          <w:sz w:val="18"/>
        </w:rPr>
        <w:t xml:space="preserve"> </w:t>
      </w:r>
      <w:r>
        <w:rPr>
          <w:sz w:val="18"/>
        </w:rPr>
        <w:t>definition</w:t>
      </w:r>
      <w:r>
        <w:rPr>
          <w:spacing w:val="25"/>
          <w:sz w:val="18"/>
        </w:rPr>
        <w:t xml:space="preserve"> </w:t>
      </w:r>
      <w:r>
        <w:rPr>
          <w:sz w:val="18"/>
        </w:rPr>
        <w:t>of</w:t>
      </w:r>
      <w:r>
        <w:rPr>
          <w:spacing w:val="26"/>
          <w:sz w:val="18"/>
        </w:rPr>
        <w:t xml:space="preserve"> </w:t>
      </w:r>
      <w:r>
        <w:rPr>
          <w:sz w:val="18"/>
        </w:rPr>
        <w:t>"publicize" https://</w:t>
      </w:r>
      <w:hyperlink r:id="rId24">
        <w:r>
          <w:rPr>
            <w:sz w:val="18"/>
          </w:rPr>
          <w:t>www.oed.com/view/Entry/154066</w:t>
        </w:r>
      </w:hyperlink>
      <w:r>
        <w:rPr>
          <w:spacing w:val="23"/>
          <w:sz w:val="18"/>
        </w:rPr>
        <w:t xml:space="preserve"> </w:t>
      </w:r>
      <w:r>
        <w:rPr>
          <w:sz w:val="18"/>
        </w:rPr>
        <w:t>(accessed</w:t>
      </w:r>
      <w:r>
        <w:rPr>
          <w:spacing w:val="24"/>
          <w:sz w:val="18"/>
        </w:rPr>
        <w:t xml:space="preserve"> </w:t>
      </w:r>
      <w:r>
        <w:rPr>
          <w:sz w:val="18"/>
        </w:rPr>
        <w:t xml:space="preserve">1 November </w:t>
      </w:r>
      <w:r>
        <w:rPr>
          <w:spacing w:val="-2"/>
          <w:sz w:val="18"/>
        </w:rPr>
        <w:t>2022).</w:t>
      </w:r>
    </w:p>
    <w:p w14:paraId="48430BFE" w14:textId="77777777" w:rsidR="00BD462C" w:rsidRDefault="00033D0F">
      <w:pPr>
        <w:spacing w:before="2"/>
        <w:ind w:left="135"/>
        <w:rPr>
          <w:sz w:val="18"/>
        </w:rPr>
      </w:pPr>
      <w:bookmarkStart w:id="1313" w:name="_bookmark1133"/>
      <w:bookmarkEnd w:id="1313"/>
      <w:r>
        <w:rPr>
          <w:position w:val="5"/>
          <w:sz w:val="12"/>
        </w:rPr>
        <w:t>976</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 xml:space="preserve">submission, para. </w:t>
      </w:r>
      <w:r>
        <w:rPr>
          <w:spacing w:val="-2"/>
          <w:sz w:val="18"/>
        </w:rPr>
        <w:t>2059.</w:t>
      </w:r>
    </w:p>
    <w:p w14:paraId="4F2FDD0C" w14:textId="77777777" w:rsidR="00BD462C" w:rsidRDefault="00BD462C">
      <w:pPr>
        <w:rPr>
          <w:sz w:val="18"/>
        </w:rPr>
        <w:sectPr w:rsidR="00BD462C">
          <w:pgSz w:w="11910" w:h="16840"/>
          <w:pgMar w:top="860" w:right="500" w:bottom="780" w:left="1280" w:header="566" w:footer="590" w:gutter="0"/>
          <w:cols w:space="720"/>
        </w:sectPr>
      </w:pPr>
    </w:p>
    <w:p w14:paraId="7A400406" w14:textId="77777777" w:rsidR="00BD462C" w:rsidRDefault="00033D0F">
      <w:pPr>
        <w:tabs>
          <w:tab w:val="left" w:pos="6087"/>
        </w:tabs>
        <w:spacing w:before="1"/>
        <w:ind w:left="135"/>
        <w:jc w:val="both"/>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04E76540" w14:textId="77777777" w:rsidR="00BD462C" w:rsidRDefault="00033D0F">
      <w:pPr>
        <w:spacing w:before="1"/>
        <w:ind w:left="135"/>
        <w:jc w:val="both"/>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3C240086" w14:textId="77777777" w:rsidR="00BD462C" w:rsidRDefault="00033D0F">
      <w:pPr>
        <w:tabs>
          <w:tab w:val="left" w:pos="7652"/>
        </w:tabs>
        <w:ind w:left="135"/>
        <w:jc w:val="both"/>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4C34D7F7" w14:textId="17044027" w:rsidR="00BD462C" w:rsidRDefault="003B71EA">
      <w:pPr>
        <w:pStyle w:val="BodyText"/>
        <w:spacing w:before="107" w:line="357" w:lineRule="auto"/>
        <w:ind w:left="136" w:right="917"/>
        <w:jc w:val="both"/>
      </w:pPr>
      <w:r>
        <w:rPr>
          <w:noProof/>
        </w:rPr>
        <w:t>618.</w:t>
      </w:r>
      <w:r w:rsidR="00033D0F">
        <w:rPr>
          <w:rFonts w:ascii="Times New Roman"/>
          <w:spacing w:val="80"/>
          <w:w w:val="150"/>
          <w:position w:val="1"/>
          <w:sz w:val="20"/>
        </w:rPr>
        <w:t xml:space="preserve">  </w:t>
      </w:r>
      <w:r w:rsidR="00033D0F">
        <w:rPr>
          <w:position w:val="1"/>
        </w:rPr>
        <w:t xml:space="preserve">First, the obligation in Article 5.4 was for MOFCOM to undertake an examination of </w:t>
      </w:r>
      <w:r w:rsidR="00033D0F">
        <w:t xml:space="preserve">the degree of support. China's </w:t>
      </w:r>
      <w:r w:rsidR="00033D0F">
        <w:rPr>
          <w:i/>
        </w:rPr>
        <w:t xml:space="preserve">ex post facto </w:t>
      </w:r>
      <w:r w:rsidR="00033D0F">
        <w:t>assertions about what MOFCOM might have found had it undertaken such an examination are insufficient.</w:t>
      </w:r>
    </w:p>
    <w:p w14:paraId="224DFCEB" w14:textId="77777777" w:rsidR="00BD462C" w:rsidRDefault="00BD462C">
      <w:pPr>
        <w:pStyle w:val="BodyText"/>
        <w:spacing w:before="3"/>
        <w:rPr>
          <w:sz w:val="9"/>
        </w:rPr>
      </w:pPr>
    </w:p>
    <w:p w14:paraId="24EC8336" w14:textId="1B21B356" w:rsidR="00BD462C" w:rsidRDefault="003B71EA">
      <w:pPr>
        <w:pStyle w:val="BodyText"/>
        <w:spacing w:before="56" w:line="357" w:lineRule="auto"/>
        <w:ind w:left="135" w:right="912"/>
        <w:jc w:val="both"/>
      </w:pPr>
      <w:r>
        <w:rPr>
          <w:noProof/>
        </w:rPr>
        <w:t>619.</w:t>
      </w:r>
      <w:r w:rsidR="00033D0F">
        <w:rPr>
          <w:rFonts w:ascii="Times New Roman"/>
          <w:spacing w:val="80"/>
          <w:position w:val="1"/>
          <w:sz w:val="20"/>
        </w:rPr>
        <w:t xml:space="preserve">  </w:t>
      </w:r>
      <w:r w:rsidR="00033D0F">
        <w:rPr>
          <w:position w:val="1"/>
        </w:rPr>
        <w:t>Second,</w:t>
      </w:r>
      <w:r w:rsidR="00033D0F">
        <w:rPr>
          <w:spacing w:val="-4"/>
          <w:position w:val="1"/>
        </w:rPr>
        <w:t xml:space="preserve"> </w:t>
      </w:r>
      <w:r w:rsidR="00033D0F">
        <w:rPr>
          <w:position w:val="1"/>
        </w:rPr>
        <w:t>China's</w:t>
      </w:r>
      <w:r w:rsidR="00033D0F">
        <w:rPr>
          <w:spacing w:val="-5"/>
          <w:position w:val="1"/>
        </w:rPr>
        <w:t xml:space="preserve"> </w:t>
      </w:r>
      <w:r w:rsidR="00033D0F">
        <w:rPr>
          <w:position w:val="1"/>
        </w:rPr>
        <w:t>contention</w:t>
      </w:r>
      <w:r w:rsidR="00033D0F">
        <w:rPr>
          <w:spacing w:val="-8"/>
          <w:position w:val="1"/>
        </w:rPr>
        <w:t xml:space="preserve"> </w:t>
      </w:r>
      <w:r w:rsidR="00033D0F">
        <w:rPr>
          <w:position w:val="1"/>
        </w:rPr>
        <w:t>that</w:t>
      </w:r>
      <w:r w:rsidR="00033D0F">
        <w:rPr>
          <w:spacing w:val="-1"/>
          <w:position w:val="1"/>
        </w:rPr>
        <w:t xml:space="preserve"> </w:t>
      </w:r>
      <w:r w:rsidR="00033D0F">
        <w:rPr>
          <w:position w:val="1"/>
        </w:rPr>
        <w:t>CADA's</w:t>
      </w:r>
      <w:r w:rsidR="00033D0F">
        <w:rPr>
          <w:spacing w:val="-5"/>
          <w:position w:val="1"/>
        </w:rPr>
        <w:t xml:space="preserve"> </w:t>
      </w:r>
      <w:r w:rsidR="00033D0F">
        <w:rPr>
          <w:position w:val="1"/>
        </w:rPr>
        <w:t>application</w:t>
      </w:r>
      <w:r w:rsidR="00033D0F">
        <w:rPr>
          <w:spacing w:val="-8"/>
          <w:position w:val="1"/>
        </w:rPr>
        <w:t xml:space="preserve"> </w:t>
      </w:r>
      <w:r w:rsidR="00033D0F">
        <w:rPr>
          <w:position w:val="1"/>
        </w:rPr>
        <w:t>had</w:t>
      </w:r>
      <w:r w:rsidR="00033D0F">
        <w:rPr>
          <w:spacing w:val="-8"/>
          <w:position w:val="1"/>
        </w:rPr>
        <w:t xml:space="preserve"> </w:t>
      </w:r>
      <w:r w:rsidR="00033D0F">
        <w:rPr>
          <w:position w:val="1"/>
        </w:rPr>
        <w:t>"well</w:t>
      </w:r>
      <w:r w:rsidR="00033D0F">
        <w:rPr>
          <w:spacing w:val="-4"/>
          <w:position w:val="1"/>
        </w:rPr>
        <w:t xml:space="preserve"> </w:t>
      </w:r>
      <w:r w:rsidR="00033D0F">
        <w:rPr>
          <w:position w:val="1"/>
        </w:rPr>
        <w:t>over</w:t>
      </w:r>
      <w:r w:rsidR="00033D0F">
        <w:rPr>
          <w:spacing w:val="-4"/>
          <w:position w:val="1"/>
        </w:rPr>
        <w:t xml:space="preserve"> </w:t>
      </w:r>
      <w:r w:rsidR="00033D0F">
        <w:rPr>
          <w:position w:val="1"/>
        </w:rPr>
        <w:t>50</w:t>
      </w:r>
      <w:r w:rsidR="00033D0F">
        <w:rPr>
          <w:spacing w:val="-4"/>
          <w:position w:val="1"/>
        </w:rPr>
        <w:t xml:space="preserve"> </w:t>
      </w:r>
      <w:r w:rsidR="00033D0F">
        <w:rPr>
          <w:position w:val="1"/>
        </w:rPr>
        <w:t>per</w:t>
      </w:r>
      <w:r w:rsidR="00033D0F">
        <w:rPr>
          <w:spacing w:val="-4"/>
          <w:position w:val="1"/>
        </w:rPr>
        <w:t xml:space="preserve"> </w:t>
      </w:r>
      <w:r w:rsidR="00033D0F">
        <w:rPr>
          <w:position w:val="1"/>
        </w:rPr>
        <w:t>cent</w:t>
      </w:r>
      <w:r w:rsidR="00033D0F">
        <w:rPr>
          <w:spacing w:val="-1"/>
          <w:position w:val="1"/>
        </w:rPr>
        <w:t xml:space="preserve"> </w:t>
      </w:r>
      <w:r w:rsidR="00033D0F">
        <w:rPr>
          <w:position w:val="1"/>
        </w:rPr>
        <w:t>of</w:t>
      </w:r>
      <w:r w:rsidR="00033D0F">
        <w:rPr>
          <w:spacing w:val="-3"/>
          <w:position w:val="1"/>
        </w:rPr>
        <w:t xml:space="preserve"> </w:t>
      </w:r>
      <w:r w:rsidR="00033D0F">
        <w:rPr>
          <w:position w:val="1"/>
        </w:rPr>
        <w:t xml:space="preserve">the </w:t>
      </w:r>
      <w:r w:rsidR="00033D0F">
        <w:t>total</w:t>
      </w:r>
      <w:r w:rsidR="00033D0F">
        <w:rPr>
          <w:spacing w:val="-10"/>
        </w:rPr>
        <w:t xml:space="preserve"> </w:t>
      </w:r>
      <w:r w:rsidR="00033D0F">
        <w:t>production</w:t>
      </w:r>
      <w:r w:rsidR="00033D0F">
        <w:rPr>
          <w:spacing w:val="-14"/>
        </w:rPr>
        <w:t xml:space="preserve"> </w:t>
      </w:r>
      <w:r w:rsidR="00033D0F">
        <w:t>in</w:t>
      </w:r>
      <w:r w:rsidR="00033D0F">
        <w:rPr>
          <w:spacing w:val="-13"/>
        </w:rPr>
        <w:t xml:space="preserve"> </w:t>
      </w:r>
      <w:r w:rsidR="00033D0F">
        <w:t>China"</w:t>
      </w:r>
      <w:hyperlink w:anchor="_bookmark1135" w:history="1">
        <w:r w:rsidR="00033D0F">
          <w:rPr>
            <w:vertAlign w:val="superscript"/>
          </w:rPr>
          <w:t>977</w:t>
        </w:r>
      </w:hyperlink>
      <w:r w:rsidR="00033D0F">
        <w:rPr>
          <w:spacing w:val="-11"/>
        </w:rPr>
        <w:t xml:space="preserve"> </w:t>
      </w:r>
      <w:r w:rsidR="00033D0F">
        <w:t>is</w:t>
      </w:r>
      <w:r w:rsidR="00033D0F">
        <w:rPr>
          <w:spacing w:val="-10"/>
        </w:rPr>
        <w:t xml:space="preserve"> </w:t>
      </w:r>
      <w:r w:rsidR="00033D0F">
        <w:t>made</w:t>
      </w:r>
      <w:r w:rsidR="00033D0F">
        <w:rPr>
          <w:spacing w:val="-12"/>
        </w:rPr>
        <w:t xml:space="preserve"> </w:t>
      </w:r>
      <w:r w:rsidR="00033D0F">
        <w:t>by</w:t>
      </w:r>
      <w:r w:rsidR="00033D0F">
        <w:rPr>
          <w:spacing w:val="-11"/>
        </w:rPr>
        <w:t xml:space="preserve"> </w:t>
      </w:r>
      <w:r w:rsidR="00033D0F">
        <w:t>reference</w:t>
      </w:r>
      <w:r w:rsidR="00033D0F">
        <w:rPr>
          <w:spacing w:val="-12"/>
        </w:rPr>
        <w:t xml:space="preserve"> </w:t>
      </w:r>
      <w:r w:rsidR="00033D0F">
        <w:t>to</w:t>
      </w:r>
      <w:r w:rsidR="00033D0F">
        <w:rPr>
          <w:spacing w:val="-14"/>
        </w:rPr>
        <w:t xml:space="preserve"> </w:t>
      </w:r>
      <w:r w:rsidR="00033D0F">
        <w:t>the</w:t>
      </w:r>
      <w:r w:rsidR="00033D0F">
        <w:rPr>
          <w:spacing w:val="-12"/>
        </w:rPr>
        <w:t xml:space="preserve"> </w:t>
      </w:r>
      <w:r w:rsidR="00033D0F">
        <w:t>data</w:t>
      </w:r>
      <w:r w:rsidR="00033D0F">
        <w:rPr>
          <w:spacing w:val="-12"/>
        </w:rPr>
        <w:t xml:space="preserve"> </w:t>
      </w:r>
      <w:r w:rsidR="00033D0F">
        <w:t>provided</w:t>
      </w:r>
      <w:r w:rsidR="00033D0F">
        <w:rPr>
          <w:spacing w:val="-14"/>
        </w:rPr>
        <w:t xml:space="preserve"> </w:t>
      </w:r>
      <w:r w:rsidR="00033D0F">
        <w:t>by</w:t>
      </w:r>
      <w:r w:rsidR="00033D0F">
        <w:rPr>
          <w:spacing w:val="-11"/>
        </w:rPr>
        <w:t xml:space="preserve"> </w:t>
      </w:r>
      <w:r w:rsidR="00033D0F">
        <w:t>CADA</w:t>
      </w:r>
      <w:r w:rsidR="00033D0F">
        <w:rPr>
          <w:spacing w:val="-12"/>
        </w:rPr>
        <w:t xml:space="preserve"> </w:t>
      </w:r>
      <w:r w:rsidR="00033D0F">
        <w:t>on</w:t>
      </w:r>
      <w:r w:rsidR="00033D0F">
        <w:rPr>
          <w:spacing w:val="-14"/>
        </w:rPr>
        <w:t xml:space="preserve"> </w:t>
      </w:r>
      <w:r w:rsidR="00033D0F">
        <w:t>the</w:t>
      </w:r>
      <w:r w:rsidR="00033D0F">
        <w:rPr>
          <w:spacing w:val="-12"/>
        </w:rPr>
        <w:t xml:space="preserve"> </w:t>
      </w:r>
      <w:r w:rsidR="00033D0F">
        <w:t>output of its members and total domestic production figures. As Australia has demonstrated, and MOFCOM has conceded, that data was unreliable because it included a range of products outside the scope of the investigation, and</w:t>
      </w:r>
      <w:r w:rsidR="00033D0F">
        <w:rPr>
          <w:spacing w:val="-1"/>
        </w:rPr>
        <w:t xml:space="preserve"> </w:t>
      </w:r>
      <w:r w:rsidR="00033D0F">
        <w:t>only a</w:t>
      </w:r>
      <w:r w:rsidR="00033D0F">
        <w:rPr>
          <w:spacing w:val="-4"/>
        </w:rPr>
        <w:t xml:space="preserve"> </w:t>
      </w:r>
      <w:r w:rsidR="00033D0F">
        <w:t>subset of producers.</w:t>
      </w:r>
      <w:hyperlink w:anchor="_bookmark1136" w:history="1">
        <w:r w:rsidR="00033D0F">
          <w:rPr>
            <w:vertAlign w:val="superscript"/>
          </w:rPr>
          <w:t>978</w:t>
        </w:r>
      </w:hyperlink>
      <w:r w:rsidR="00033D0F">
        <w:t xml:space="preserve"> MOFCOM made no adjustments for these deficiencies in the data.</w:t>
      </w:r>
      <w:hyperlink w:anchor="_bookmark1137" w:history="1">
        <w:r w:rsidR="00033D0F">
          <w:rPr>
            <w:vertAlign w:val="superscript"/>
          </w:rPr>
          <w:t>979</w:t>
        </w:r>
      </w:hyperlink>
    </w:p>
    <w:p w14:paraId="20727F2B" w14:textId="77777777" w:rsidR="00BD462C" w:rsidRDefault="00033D0F">
      <w:pPr>
        <w:pStyle w:val="Heading3"/>
        <w:numPr>
          <w:ilvl w:val="0"/>
          <w:numId w:val="41"/>
        </w:numPr>
        <w:tabs>
          <w:tab w:val="left" w:pos="2689"/>
          <w:tab w:val="left" w:pos="2690"/>
        </w:tabs>
        <w:spacing w:before="170" w:line="362" w:lineRule="auto"/>
        <w:ind w:right="918"/>
      </w:pPr>
      <w:bookmarkStart w:id="1314" w:name="2._China_relies_on_documents_that_it_has"/>
      <w:bookmarkStart w:id="1315" w:name="_bookmark1134"/>
      <w:bookmarkEnd w:id="1314"/>
      <w:bookmarkEnd w:id="1315"/>
      <w:r>
        <w:t xml:space="preserve">China relies on documents that it has not disclosed to support its </w:t>
      </w:r>
      <w:r>
        <w:rPr>
          <w:spacing w:val="-2"/>
        </w:rPr>
        <w:t>arguments</w:t>
      </w:r>
    </w:p>
    <w:p w14:paraId="63855236" w14:textId="77777777" w:rsidR="00BD462C" w:rsidRDefault="00BD462C">
      <w:pPr>
        <w:pStyle w:val="BodyText"/>
        <w:spacing w:before="7"/>
        <w:rPr>
          <w:b/>
          <w:sz w:val="8"/>
        </w:rPr>
      </w:pPr>
    </w:p>
    <w:p w14:paraId="0CAFC74C" w14:textId="79E6EE77" w:rsidR="00BD462C" w:rsidRDefault="003B71EA">
      <w:pPr>
        <w:pStyle w:val="BodyText"/>
        <w:spacing w:before="56" w:line="360" w:lineRule="auto"/>
        <w:ind w:left="135" w:right="912"/>
        <w:jc w:val="both"/>
      </w:pPr>
      <w:r>
        <w:rPr>
          <w:noProof/>
        </w:rPr>
        <w:t>620.</w:t>
      </w:r>
      <w:r w:rsidR="00033D0F">
        <w:rPr>
          <w:rFonts w:ascii="Times New Roman"/>
          <w:spacing w:val="80"/>
          <w:position w:val="1"/>
          <w:sz w:val="20"/>
        </w:rPr>
        <w:t xml:space="preserve">  </w:t>
      </w:r>
      <w:r w:rsidR="00033D0F">
        <w:rPr>
          <w:position w:val="1"/>
        </w:rPr>
        <w:t>In</w:t>
      </w:r>
      <w:r w:rsidR="00033D0F">
        <w:rPr>
          <w:spacing w:val="40"/>
          <w:position w:val="1"/>
        </w:rPr>
        <w:t xml:space="preserve"> </w:t>
      </w:r>
      <w:r w:rsidR="00033D0F">
        <w:rPr>
          <w:position w:val="1"/>
        </w:rPr>
        <w:t>its</w:t>
      </w:r>
      <w:r w:rsidR="00033D0F">
        <w:rPr>
          <w:spacing w:val="40"/>
          <w:position w:val="1"/>
        </w:rPr>
        <w:t xml:space="preserve"> </w:t>
      </w:r>
      <w:r w:rsidR="00033D0F">
        <w:rPr>
          <w:position w:val="1"/>
        </w:rPr>
        <w:t>first</w:t>
      </w:r>
      <w:r w:rsidR="00033D0F">
        <w:rPr>
          <w:spacing w:val="40"/>
          <w:position w:val="1"/>
        </w:rPr>
        <w:t xml:space="preserve"> </w:t>
      </w:r>
      <w:r w:rsidR="00033D0F">
        <w:rPr>
          <w:position w:val="1"/>
        </w:rPr>
        <w:t>written submission,</w:t>
      </w:r>
      <w:r w:rsidR="00033D0F">
        <w:rPr>
          <w:spacing w:val="40"/>
          <w:position w:val="1"/>
        </w:rPr>
        <w:t xml:space="preserve"> </w:t>
      </w:r>
      <w:r w:rsidR="00033D0F">
        <w:rPr>
          <w:position w:val="1"/>
        </w:rPr>
        <w:t>China</w:t>
      </w:r>
      <w:r w:rsidR="00033D0F">
        <w:rPr>
          <w:spacing w:val="40"/>
          <w:position w:val="1"/>
        </w:rPr>
        <w:t xml:space="preserve"> </w:t>
      </w:r>
      <w:r w:rsidR="00033D0F">
        <w:rPr>
          <w:position w:val="1"/>
        </w:rPr>
        <w:t>provided</w:t>
      </w:r>
      <w:r w:rsidR="00033D0F">
        <w:rPr>
          <w:spacing w:val="40"/>
          <w:position w:val="1"/>
        </w:rPr>
        <w:t xml:space="preserve"> </w:t>
      </w:r>
      <w:r w:rsidR="00033D0F">
        <w:rPr>
          <w:position w:val="1"/>
        </w:rPr>
        <w:t>a</w:t>
      </w:r>
      <w:r w:rsidR="00033D0F">
        <w:rPr>
          <w:spacing w:val="40"/>
          <w:position w:val="1"/>
        </w:rPr>
        <w:t xml:space="preserve"> </w:t>
      </w:r>
      <w:r w:rsidR="00033D0F">
        <w:rPr>
          <w:position w:val="1"/>
        </w:rPr>
        <w:t>summary</w:t>
      </w:r>
      <w:r w:rsidR="00033D0F">
        <w:rPr>
          <w:spacing w:val="40"/>
          <w:position w:val="1"/>
        </w:rPr>
        <w:t xml:space="preserve"> </w:t>
      </w:r>
      <w:r w:rsidR="00033D0F">
        <w:rPr>
          <w:position w:val="1"/>
        </w:rPr>
        <w:t>of</w:t>
      </w:r>
      <w:r w:rsidR="00033D0F">
        <w:rPr>
          <w:spacing w:val="40"/>
          <w:position w:val="1"/>
        </w:rPr>
        <w:t xml:space="preserve"> </w:t>
      </w:r>
      <w:r w:rsidR="00033D0F">
        <w:rPr>
          <w:position w:val="1"/>
        </w:rPr>
        <w:t>the</w:t>
      </w:r>
      <w:r w:rsidR="00033D0F">
        <w:rPr>
          <w:spacing w:val="40"/>
          <w:position w:val="1"/>
        </w:rPr>
        <w:t xml:space="preserve"> </w:t>
      </w:r>
      <w:r w:rsidR="00033D0F">
        <w:rPr>
          <w:position w:val="1"/>
        </w:rPr>
        <w:t xml:space="preserve">information </w:t>
      </w:r>
      <w:r w:rsidR="00033D0F">
        <w:t>regarding</w:t>
      </w:r>
      <w:r w:rsidR="00033D0F">
        <w:rPr>
          <w:spacing w:val="-14"/>
        </w:rPr>
        <w:t xml:space="preserve"> </w:t>
      </w:r>
      <w:r w:rsidR="00033D0F">
        <w:t>the</w:t>
      </w:r>
      <w:r w:rsidR="00033D0F">
        <w:rPr>
          <w:spacing w:val="-12"/>
        </w:rPr>
        <w:t xml:space="preserve"> </w:t>
      </w:r>
      <w:r w:rsidR="00033D0F">
        <w:t>alleged</w:t>
      </w:r>
      <w:r w:rsidR="00033D0F">
        <w:rPr>
          <w:spacing w:val="-14"/>
        </w:rPr>
        <w:t xml:space="preserve"> </w:t>
      </w:r>
      <w:r w:rsidR="00033D0F">
        <w:t>percentage</w:t>
      </w:r>
      <w:r w:rsidR="00033D0F">
        <w:rPr>
          <w:spacing w:val="-12"/>
        </w:rPr>
        <w:t xml:space="preserve"> </w:t>
      </w:r>
      <w:r w:rsidR="00033D0F">
        <w:t>of</w:t>
      </w:r>
      <w:r w:rsidR="00033D0F">
        <w:rPr>
          <w:spacing w:val="-14"/>
        </w:rPr>
        <w:t xml:space="preserve"> </w:t>
      </w:r>
      <w:r w:rsidR="00033D0F">
        <w:t>CADA</w:t>
      </w:r>
      <w:r w:rsidR="00033D0F">
        <w:rPr>
          <w:spacing w:val="-12"/>
        </w:rPr>
        <w:t xml:space="preserve"> </w:t>
      </w:r>
      <w:r w:rsidR="00033D0F">
        <w:t>members</w:t>
      </w:r>
      <w:r w:rsidR="00033D0F">
        <w:rPr>
          <w:spacing w:val="-11"/>
        </w:rPr>
        <w:t xml:space="preserve"> </w:t>
      </w:r>
      <w:r w:rsidR="00033D0F">
        <w:t>that</w:t>
      </w:r>
      <w:r w:rsidR="00033D0F">
        <w:rPr>
          <w:spacing w:val="-12"/>
        </w:rPr>
        <w:t xml:space="preserve"> </w:t>
      </w:r>
      <w:r w:rsidR="00033D0F">
        <w:t>supported</w:t>
      </w:r>
      <w:r w:rsidR="00033D0F">
        <w:rPr>
          <w:spacing w:val="-14"/>
        </w:rPr>
        <w:t xml:space="preserve"> </w:t>
      </w:r>
      <w:r w:rsidR="00033D0F">
        <w:t>the</w:t>
      </w:r>
      <w:r w:rsidR="00033D0F">
        <w:rPr>
          <w:spacing w:val="-12"/>
        </w:rPr>
        <w:t xml:space="preserve"> </w:t>
      </w:r>
      <w:r w:rsidR="00033D0F">
        <w:t>written</w:t>
      </w:r>
      <w:r w:rsidR="00033D0F">
        <w:rPr>
          <w:spacing w:val="-14"/>
        </w:rPr>
        <w:t xml:space="preserve"> </w:t>
      </w:r>
      <w:r w:rsidR="00033D0F">
        <w:t>application,</w:t>
      </w:r>
      <w:hyperlink w:anchor="_bookmark1138" w:history="1">
        <w:r w:rsidR="00033D0F">
          <w:rPr>
            <w:vertAlign w:val="superscript"/>
          </w:rPr>
          <w:t>980</w:t>
        </w:r>
      </w:hyperlink>
      <w:r w:rsidR="00033D0F">
        <w:t xml:space="preserve"> but failed to point to any supporting evidence. Moreover, even taken at face value, the summary information that China provided still failed to indicate the production volumes of those CADA members who allegedly supported the application. During the first substantive meeting,</w:t>
      </w:r>
      <w:r w:rsidR="00033D0F">
        <w:rPr>
          <w:spacing w:val="-14"/>
        </w:rPr>
        <w:t xml:space="preserve"> </w:t>
      </w:r>
      <w:r w:rsidR="00033D0F">
        <w:t>the</w:t>
      </w:r>
      <w:r w:rsidR="00033D0F">
        <w:rPr>
          <w:spacing w:val="-14"/>
        </w:rPr>
        <w:t xml:space="preserve"> </w:t>
      </w:r>
      <w:r w:rsidR="00033D0F">
        <w:t>Panel</w:t>
      </w:r>
      <w:r w:rsidR="00033D0F">
        <w:rPr>
          <w:spacing w:val="-13"/>
        </w:rPr>
        <w:t xml:space="preserve"> </w:t>
      </w:r>
      <w:r w:rsidR="00033D0F">
        <w:t>expressly</w:t>
      </w:r>
      <w:r w:rsidR="00033D0F">
        <w:rPr>
          <w:spacing w:val="-14"/>
        </w:rPr>
        <w:t xml:space="preserve"> </w:t>
      </w:r>
      <w:r w:rsidR="00033D0F">
        <w:t>requested</w:t>
      </w:r>
      <w:r w:rsidR="00033D0F">
        <w:rPr>
          <w:spacing w:val="-13"/>
        </w:rPr>
        <w:t xml:space="preserve"> </w:t>
      </w:r>
      <w:r w:rsidR="00033D0F">
        <w:t>that</w:t>
      </w:r>
      <w:r w:rsidR="00033D0F">
        <w:rPr>
          <w:spacing w:val="-14"/>
        </w:rPr>
        <w:t xml:space="preserve"> </w:t>
      </w:r>
      <w:r w:rsidR="00033D0F">
        <w:t>China</w:t>
      </w:r>
      <w:r w:rsidR="00033D0F">
        <w:rPr>
          <w:spacing w:val="-13"/>
        </w:rPr>
        <w:t xml:space="preserve"> </w:t>
      </w:r>
      <w:r w:rsidR="00033D0F">
        <w:t>submit</w:t>
      </w:r>
      <w:r w:rsidR="00033D0F">
        <w:rPr>
          <w:spacing w:val="-14"/>
        </w:rPr>
        <w:t xml:space="preserve"> </w:t>
      </w:r>
      <w:r w:rsidR="00033D0F">
        <w:t>evidence</w:t>
      </w:r>
      <w:r w:rsidR="00033D0F">
        <w:rPr>
          <w:spacing w:val="-14"/>
        </w:rPr>
        <w:t xml:space="preserve"> </w:t>
      </w:r>
      <w:r w:rsidR="00033D0F">
        <w:t>from</w:t>
      </w:r>
      <w:r w:rsidR="00033D0F">
        <w:rPr>
          <w:spacing w:val="-13"/>
        </w:rPr>
        <w:t xml:space="preserve"> </w:t>
      </w:r>
      <w:r w:rsidR="00033D0F">
        <w:t>the</w:t>
      </w:r>
      <w:r w:rsidR="00033D0F">
        <w:rPr>
          <w:spacing w:val="-14"/>
        </w:rPr>
        <w:t xml:space="preserve"> </w:t>
      </w:r>
      <w:r w:rsidR="00033D0F">
        <w:t>record,</w:t>
      </w:r>
      <w:r w:rsidR="00033D0F">
        <w:rPr>
          <w:spacing w:val="-13"/>
        </w:rPr>
        <w:t xml:space="preserve"> </w:t>
      </w:r>
      <w:r w:rsidR="00033D0F">
        <w:t>but</w:t>
      </w:r>
      <w:r w:rsidR="00033D0F">
        <w:rPr>
          <w:spacing w:val="-14"/>
        </w:rPr>
        <w:t xml:space="preserve"> </w:t>
      </w:r>
      <w:r w:rsidR="00033D0F">
        <w:t>China declined</w:t>
      </w:r>
      <w:r w:rsidR="00033D0F">
        <w:rPr>
          <w:spacing w:val="-14"/>
        </w:rPr>
        <w:t xml:space="preserve"> </w:t>
      </w:r>
      <w:r w:rsidR="00033D0F">
        <w:t>to</w:t>
      </w:r>
      <w:r w:rsidR="00033D0F">
        <w:rPr>
          <w:spacing w:val="-14"/>
        </w:rPr>
        <w:t xml:space="preserve"> </w:t>
      </w:r>
      <w:r w:rsidR="00033D0F">
        <w:t>provide</w:t>
      </w:r>
      <w:r w:rsidR="00033D0F">
        <w:rPr>
          <w:spacing w:val="-13"/>
        </w:rPr>
        <w:t xml:space="preserve"> </w:t>
      </w:r>
      <w:r w:rsidR="00033D0F">
        <w:t>this</w:t>
      </w:r>
      <w:r w:rsidR="00033D0F">
        <w:rPr>
          <w:spacing w:val="-14"/>
        </w:rPr>
        <w:t xml:space="preserve"> </w:t>
      </w:r>
      <w:r w:rsidR="00033D0F">
        <w:t>information</w:t>
      </w:r>
      <w:r w:rsidR="00033D0F">
        <w:rPr>
          <w:spacing w:val="-13"/>
        </w:rPr>
        <w:t xml:space="preserve"> </w:t>
      </w:r>
      <w:r w:rsidR="00033D0F">
        <w:t>on</w:t>
      </w:r>
      <w:r w:rsidR="00033D0F">
        <w:rPr>
          <w:spacing w:val="-14"/>
        </w:rPr>
        <w:t xml:space="preserve"> </w:t>
      </w:r>
      <w:r w:rsidR="00033D0F">
        <w:t>confidentiality</w:t>
      </w:r>
      <w:r w:rsidR="00033D0F">
        <w:rPr>
          <w:spacing w:val="-13"/>
        </w:rPr>
        <w:t xml:space="preserve"> </w:t>
      </w:r>
      <w:r w:rsidR="00033D0F">
        <w:t>grounds.</w:t>
      </w:r>
      <w:hyperlink w:anchor="_bookmark1139" w:history="1">
        <w:r w:rsidR="00033D0F">
          <w:rPr>
            <w:vertAlign w:val="superscript"/>
          </w:rPr>
          <w:t>981</w:t>
        </w:r>
      </w:hyperlink>
      <w:r w:rsidR="00033D0F">
        <w:rPr>
          <w:spacing w:val="-14"/>
        </w:rPr>
        <w:t xml:space="preserve"> </w:t>
      </w:r>
      <w:r w:rsidR="00033D0F">
        <w:t>Under</w:t>
      </w:r>
      <w:r w:rsidR="00033D0F">
        <w:rPr>
          <w:spacing w:val="-14"/>
        </w:rPr>
        <w:t xml:space="preserve"> </w:t>
      </w:r>
      <w:r w:rsidR="00033D0F">
        <w:t>these</w:t>
      </w:r>
      <w:r w:rsidR="00033D0F">
        <w:rPr>
          <w:spacing w:val="-13"/>
        </w:rPr>
        <w:t xml:space="preserve"> </w:t>
      </w:r>
      <w:r w:rsidR="00033D0F">
        <w:t>circumstances, Australia requests that the Panel take into consideration not only China's failure to substantiate</w:t>
      </w:r>
      <w:r w:rsidR="00033D0F">
        <w:rPr>
          <w:spacing w:val="-1"/>
        </w:rPr>
        <w:t xml:space="preserve"> </w:t>
      </w:r>
      <w:r w:rsidR="00033D0F">
        <w:t>its assertions, but</w:t>
      </w:r>
      <w:r w:rsidR="00033D0F">
        <w:rPr>
          <w:spacing w:val="-1"/>
        </w:rPr>
        <w:t xml:space="preserve"> </w:t>
      </w:r>
      <w:r w:rsidR="00033D0F">
        <w:t>also</w:t>
      </w:r>
      <w:r w:rsidR="00033D0F">
        <w:rPr>
          <w:spacing w:val="-4"/>
        </w:rPr>
        <w:t xml:space="preserve"> </w:t>
      </w:r>
      <w:r w:rsidR="00033D0F">
        <w:t>its refusal to</w:t>
      </w:r>
      <w:r w:rsidR="00033D0F">
        <w:rPr>
          <w:spacing w:val="-4"/>
        </w:rPr>
        <w:t xml:space="preserve"> </w:t>
      </w:r>
      <w:r w:rsidR="00033D0F">
        <w:t>take</w:t>
      </w:r>
      <w:r w:rsidR="00033D0F">
        <w:rPr>
          <w:spacing w:val="-1"/>
        </w:rPr>
        <w:t xml:space="preserve"> </w:t>
      </w:r>
      <w:r w:rsidR="00033D0F">
        <w:t>the</w:t>
      </w:r>
      <w:r w:rsidR="00033D0F">
        <w:rPr>
          <w:spacing w:val="-2"/>
        </w:rPr>
        <w:t xml:space="preserve"> </w:t>
      </w:r>
      <w:r w:rsidR="00033D0F">
        <w:t>steps necessary to</w:t>
      </w:r>
      <w:r w:rsidR="00033D0F">
        <w:rPr>
          <w:spacing w:val="-4"/>
        </w:rPr>
        <w:t xml:space="preserve"> </w:t>
      </w:r>
      <w:r w:rsidR="00033D0F">
        <w:t>provide</w:t>
      </w:r>
      <w:r w:rsidR="00033D0F">
        <w:rPr>
          <w:spacing w:val="-2"/>
        </w:rPr>
        <w:t xml:space="preserve"> </w:t>
      </w:r>
      <w:r w:rsidR="00033D0F">
        <w:t>relevant information the Panel has requested.</w:t>
      </w:r>
    </w:p>
    <w:p w14:paraId="4E7D74BE" w14:textId="77777777" w:rsidR="00BD462C" w:rsidRDefault="00BD462C">
      <w:pPr>
        <w:pStyle w:val="BodyText"/>
        <w:rPr>
          <w:sz w:val="20"/>
        </w:rPr>
      </w:pPr>
    </w:p>
    <w:p w14:paraId="3DF47776" w14:textId="77777777" w:rsidR="00BD462C" w:rsidRDefault="00BD462C">
      <w:pPr>
        <w:pStyle w:val="BodyText"/>
        <w:rPr>
          <w:sz w:val="20"/>
        </w:rPr>
      </w:pPr>
    </w:p>
    <w:p w14:paraId="6697CCEC" w14:textId="77777777" w:rsidR="00BD462C" w:rsidRDefault="00BD462C">
      <w:pPr>
        <w:pStyle w:val="BodyText"/>
        <w:rPr>
          <w:sz w:val="20"/>
        </w:rPr>
      </w:pPr>
    </w:p>
    <w:p w14:paraId="689D5884" w14:textId="77777777" w:rsidR="00BD462C" w:rsidRDefault="00BD462C">
      <w:pPr>
        <w:pStyle w:val="BodyText"/>
        <w:rPr>
          <w:sz w:val="20"/>
        </w:rPr>
      </w:pPr>
    </w:p>
    <w:p w14:paraId="7759B789" w14:textId="77777777" w:rsidR="00BD462C" w:rsidRDefault="00BD462C">
      <w:pPr>
        <w:pStyle w:val="BodyText"/>
        <w:rPr>
          <w:sz w:val="20"/>
        </w:rPr>
      </w:pPr>
    </w:p>
    <w:p w14:paraId="47E2FF13" w14:textId="77777777" w:rsidR="00BD462C" w:rsidRDefault="00BD462C">
      <w:pPr>
        <w:pStyle w:val="BodyText"/>
        <w:rPr>
          <w:sz w:val="20"/>
        </w:rPr>
      </w:pPr>
    </w:p>
    <w:p w14:paraId="6A6062ED" w14:textId="77777777" w:rsidR="00BD462C" w:rsidRDefault="00BD462C">
      <w:pPr>
        <w:pStyle w:val="BodyText"/>
        <w:rPr>
          <w:sz w:val="20"/>
        </w:rPr>
      </w:pPr>
    </w:p>
    <w:p w14:paraId="0EC014F0" w14:textId="77777777" w:rsidR="00BD462C" w:rsidRDefault="00BD462C">
      <w:pPr>
        <w:pStyle w:val="BodyText"/>
        <w:rPr>
          <w:sz w:val="20"/>
        </w:rPr>
      </w:pPr>
    </w:p>
    <w:p w14:paraId="79EFF1CF" w14:textId="287F0DBD" w:rsidR="00BD462C" w:rsidRDefault="00D70C7D">
      <w:pPr>
        <w:pStyle w:val="BodyText"/>
        <w:spacing w:before="6"/>
        <w:rPr>
          <w:sz w:val="11"/>
        </w:rPr>
      </w:pPr>
      <w:r>
        <w:rPr>
          <w:noProof/>
        </w:rPr>
        <mc:AlternateContent>
          <mc:Choice Requires="wps">
            <w:drawing>
              <wp:anchor distT="0" distB="0" distL="0" distR="0" simplePos="0" relativeHeight="487808512" behindDoc="1" locked="0" layoutInCell="1" allowOverlap="1" wp14:anchorId="3F3DF730" wp14:editId="4424802C">
                <wp:simplePos x="0" y="0"/>
                <wp:positionH relativeFrom="page">
                  <wp:posOffset>899160</wp:posOffset>
                </wp:positionH>
                <wp:positionV relativeFrom="paragraph">
                  <wp:posOffset>104775</wp:posOffset>
                </wp:positionV>
                <wp:extent cx="1828800" cy="8890"/>
                <wp:effectExtent l="0" t="0" r="0" b="0"/>
                <wp:wrapTopAndBottom/>
                <wp:docPr id="480" name="docshape4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38A903" id="docshape479" o:spid="_x0000_s1026" alt="&quot;&quot;" style="position:absolute;margin-left:70.8pt;margin-top:8.25pt;width:2in;height:.7pt;z-index:-15507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" fillcolor="black" stroked="f">
                <w10:wrap type="topAndBottom" anchorx="page"/>
              </v:rect>
            </w:pict>
          </mc:Fallback>
        </mc:AlternateContent>
      </w:r>
    </w:p>
    <w:p w14:paraId="051C7C00" w14:textId="77777777" w:rsidR="00BD462C" w:rsidRDefault="00033D0F">
      <w:pPr>
        <w:spacing w:before="112"/>
        <w:ind w:left="135"/>
        <w:jc w:val="both"/>
        <w:rPr>
          <w:sz w:val="18"/>
        </w:rPr>
      </w:pPr>
      <w:bookmarkStart w:id="1316" w:name="_bookmark1135"/>
      <w:bookmarkEnd w:id="1316"/>
      <w:r>
        <w:rPr>
          <w:position w:val="5"/>
          <w:sz w:val="12"/>
        </w:rPr>
        <w:t>977</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 xml:space="preserve">submission, para. </w:t>
      </w:r>
      <w:r>
        <w:rPr>
          <w:spacing w:val="-2"/>
          <w:sz w:val="18"/>
        </w:rPr>
        <w:t>2059.</w:t>
      </w:r>
    </w:p>
    <w:p w14:paraId="30CDD1C2" w14:textId="77777777" w:rsidR="00BD462C" w:rsidRDefault="00033D0F">
      <w:pPr>
        <w:spacing w:before="1"/>
        <w:ind w:left="135" w:right="911"/>
        <w:jc w:val="both"/>
        <w:rPr>
          <w:sz w:val="18"/>
        </w:rPr>
      </w:pPr>
      <w:bookmarkStart w:id="1317" w:name="_bookmark1136"/>
      <w:bookmarkEnd w:id="1317"/>
      <w:r>
        <w:rPr>
          <w:position w:val="5"/>
          <w:sz w:val="12"/>
        </w:rPr>
        <w:t xml:space="preserve">978 </w:t>
      </w:r>
      <w:r>
        <w:rPr>
          <w:sz w:val="18"/>
        </w:rPr>
        <w:t>CADA</w:t>
      </w:r>
      <w:r>
        <w:rPr>
          <w:spacing w:val="-8"/>
          <w:sz w:val="18"/>
        </w:rPr>
        <w:t xml:space="preserve"> </w:t>
      </w:r>
      <w:r>
        <w:rPr>
          <w:sz w:val="18"/>
        </w:rPr>
        <w:t>Application</w:t>
      </w:r>
      <w:r>
        <w:rPr>
          <w:spacing w:val="-8"/>
          <w:sz w:val="18"/>
        </w:rPr>
        <w:t xml:space="preserve"> </w:t>
      </w:r>
      <w:r>
        <w:rPr>
          <w:sz w:val="18"/>
        </w:rPr>
        <w:t>for</w:t>
      </w:r>
      <w:r>
        <w:rPr>
          <w:spacing w:val="-10"/>
          <w:sz w:val="18"/>
        </w:rPr>
        <w:t xml:space="preserve"> </w:t>
      </w:r>
      <w:r>
        <w:rPr>
          <w:sz w:val="18"/>
        </w:rPr>
        <w:t>Anti-Dumping</w:t>
      </w:r>
      <w:r>
        <w:rPr>
          <w:spacing w:val="-11"/>
          <w:sz w:val="18"/>
        </w:rPr>
        <w:t xml:space="preserve"> </w:t>
      </w:r>
      <w:r>
        <w:rPr>
          <w:sz w:val="18"/>
        </w:rPr>
        <w:t>Investigation</w:t>
      </w:r>
      <w:r>
        <w:rPr>
          <w:spacing w:val="-10"/>
          <w:sz w:val="18"/>
        </w:rPr>
        <w:t xml:space="preserve"> </w:t>
      </w:r>
      <w:r>
        <w:rPr>
          <w:sz w:val="18"/>
        </w:rPr>
        <w:t>(Exhibit</w:t>
      </w:r>
      <w:r>
        <w:rPr>
          <w:spacing w:val="-6"/>
          <w:sz w:val="18"/>
        </w:rPr>
        <w:t xml:space="preserve"> </w:t>
      </w:r>
      <w:r>
        <w:rPr>
          <w:sz w:val="18"/>
        </w:rPr>
        <w:t>AUS-64),</w:t>
      </w:r>
      <w:r>
        <w:rPr>
          <w:spacing w:val="-11"/>
          <w:sz w:val="18"/>
        </w:rPr>
        <w:t xml:space="preserve"> </w:t>
      </w:r>
      <w:r>
        <w:rPr>
          <w:sz w:val="18"/>
        </w:rPr>
        <w:t>p.26;</w:t>
      </w:r>
      <w:r>
        <w:rPr>
          <w:spacing w:val="-8"/>
          <w:sz w:val="18"/>
        </w:rPr>
        <w:t xml:space="preserve"> </w:t>
      </w:r>
      <w:r>
        <w:rPr>
          <w:sz w:val="18"/>
        </w:rPr>
        <w:t>CADA</w:t>
      </w:r>
      <w:r>
        <w:rPr>
          <w:spacing w:val="-11"/>
          <w:sz w:val="18"/>
        </w:rPr>
        <w:t xml:space="preserve"> </w:t>
      </w:r>
      <w:r>
        <w:rPr>
          <w:sz w:val="18"/>
        </w:rPr>
        <w:t>Application</w:t>
      </w:r>
      <w:r>
        <w:rPr>
          <w:spacing w:val="-7"/>
          <w:sz w:val="18"/>
        </w:rPr>
        <w:t xml:space="preserve"> </w:t>
      </w:r>
      <w:r>
        <w:rPr>
          <w:sz w:val="18"/>
        </w:rPr>
        <w:t>for</w:t>
      </w:r>
      <w:r>
        <w:rPr>
          <w:spacing w:val="-11"/>
          <w:sz w:val="18"/>
        </w:rPr>
        <w:t xml:space="preserve"> </w:t>
      </w:r>
      <w:r>
        <w:rPr>
          <w:sz w:val="18"/>
        </w:rPr>
        <w:t>Anti-Dumping</w:t>
      </w:r>
      <w:r>
        <w:rPr>
          <w:spacing w:val="-7"/>
          <w:sz w:val="18"/>
        </w:rPr>
        <w:t xml:space="preserve"> </w:t>
      </w:r>
      <w:r>
        <w:rPr>
          <w:sz w:val="18"/>
        </w:rPr>
        <w:t>Investigation, Annexes 1-12 (Part 1) (Exhibit AUS-90), p. 20; and China's first written submission, para. 2061 (CADA relied upon wine production data from China's National Bureau of Statistics "for wine production enterprises above the scale (annual main business income of more than RMB 20 million)".</w:t>
      </w:r>
    </w:p>
    <w:p w14:paraId="62F4DD6F" w14:textId="77777777" w:rsidR="00BD462C" w:rsidRDefault="00033D0F">
      <w:pPr>
        <w:spacing w:line="219" w:lineRule="exact"/>
        <w:ind w:left="135"/>
        <w:jc w:val="both"/>
        <w:rPr>
          <w:sz w:val="18"/>
        </w:rPr>
      </w:pPr>
      <w:bookmarkStart w:id="1318" w:name="_bookmark1137"/>
      <w:bookmarkEnd w:id="1318"/>
      <w:r>
        <w:rPr>
          <w:position w:val="5"/>
          <w:sz w:val="12"/>
        </w:rPr>
        <w:t>979</w:t>
      </w:r>
      <w:r>
        <w:rPr>
          <w:spacing w:val="12"/>
          <w:position w:val="5"/>
          <w:sz w:val="12"/>
        </w:rPr>
        <w:t xml:space="preserve"> </w:t>
      </w:r>
      <w:r>
        <w:rPr>
          <w:sz w:val="18"/>
        </w:rPr>
        <w:t>Australia's</w:t>
      </w:r>
      <w:r>
        <w:rPr>
          <w:spacing w:val="-7"/>
          <w:sz w:val="18"/>
        </w:rPr>
        <w:t xml:space="preserve"> </w:t>
      </w:r>
      <w:r>
        <w:rPr>
          <w:sz w:val="18"/>
        </w:rPr>
        <w:t>first</w:t>
      </w:r>
      <w:r>
        <w:rPr>
          <w:spacing w:val="-5"/>
          <w:sz w:val="18"/>
        </w:rPr>
        <w:t xml:space="preserve"> </w:t>
      </w:r>
      <w:r>
        <w:rPr>
          <w:sz w:val="18"/>
        </w:rPr>
        <w:t>written</w:t>
      </w:r>
      <w:r>
        <w:rPr>
          <w:spacing w:val="-3"/>
          <w:sz w:val="18"/>
        </w:rPr>
        <w:t xml:space="preserve"> </w:t>
      </w:r>
      <w:r>
        <w:rPr>
          <w:sz w:val="18"/>
        </w:rPr>
        <w:t>submission, paras.</w:t>
      </w:r>
      <w:r>
        <w:rPr>
          <w:spacing w:val="-5"/>
          <w:sz w:val="18"/>
        </w:rPr>
        <w:t xml:space="preserve"> </w:t>
      </w:r>
      <w:r>
        <w:rPr>
          <w:sz w:val="18"/>
        </w:rPr>
        <w:t>758-</w:t>
      </w:r>
      <w:r>
        <w:rPr>
          <w:spacing w:val="-4"/>
          <w:sz w:val="18"/>
        </w:rPr>
        <w:t>764.</w:t>
      </w:r>
    </w:p>
    <w:p w14:paraId="66DFE2FC" w14:textId="77777777" w:rsidR="00BD462C" w:rsidRDefault="00033D0F">
      <w:pPr>
        <w:spacing w:before="1"/>
        <w:ind w:left="135"/>
        <w:jc w:val="both"/>
        <w:rPr>
          <w:sz w:val="18"/>
        </w:rPr>
      </w:pPr>
      <w:bookmarkStart w:id="1319" w:name="_bookmark1138"/>
      <w:bookmarkEnd w:id="1319"/>
      <w:r>
        <w:rPr>
          <w:position w:val="5"/>
          <w:sz w:val="12"/>
        </w:rPr>
        <w:t>980</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 xml:space="preserve">submission, para. </w:t>
      </w:r>
      <w:r>
        <w:rPr>
          <w:spacing w:val="-2"/>
          <w:sz w:val="18"/>
        </w:rPr>
        <w:t>2055.</w:t>
      </w:r>
    </w:p>
    <w:p w14:paraId="3613BA75" w14:textId="77777777" w:rsidR="00BD462C" w:rsidRDefault="00033D0F">
      <w:pPr>
        <w:spacing w:before="1"/>
        <w:ind w:left="135"/>
        <w:jc w:val="both"/>
        <w:rPr>
          <w:sz w:val="18"/>
        </w:rPr>
      </w:pPr>
      <w:bookmarkStart w:id="1320" w:name="_bookmark1139"/>
      <w:bookmarkEnd w:id="1320"/>
      <w:r>
        <w:rPr>
          <w:position w:val="5"/>
          <w:sz w:val="12"/>
        </w:rPr>
        <w:t>981</w:t>
      </w:r>
      <w:r>
        <w:rPr>
          <w:spacing w:val="16"/>
          <w:position w:val="5"/>
          <w:sz w:val="12"/>
        </w:rPr>
        <w:t xml:space="preserve"> </w:t>
      </w:r>
      <w:r>
        <w:rPr>
          <w:sz w:val="18"/>
        </w:rPr>
        <w:t>See</w:t>
      </w:r>
      <w:r>
        <w:rPr>
          <w:spacing w:val="-2"/>
          <w:sz w:val="18"/>
        </w:rPr>
        <w:t xml:space="preserve"> </w:t>
      </w:r>
      <w:r>
        <w:rPr>
          <w:sz w:val="18"/>
        </w:rPr>
        <w:t>above</w:t>
      </w:r>
      <w:r>
        <w:rPr>
          <w:spacing w:val="-3"/>
          <w:sz w:val="18"/>
        </w:rPr>
        <w:t xml:space="preserve"> </w:t>
      </w:r>
      <w:r>
        <w:rPr>
          <w:sz w:val="18"/>
        </w:rPr>
        <w:t>section</w:t>
      </w:r>
      <w:r>
        <w:rPr>
          <w:spacing w:val="-3"/>
          <w:sz w:val="18"/>
        </w:rPr>
        <w:t xml:space="preserve"> </w:t>
      </w:r>
      <w:hyperlink w:anchor="_bookmark115" w:history="1">
        <w:r>
          <w:rPr>
            <w:spacing w:val="-4"/>
            <w:sz w:val="18"/>
          </w:rPr>
          <w:t>II.E.</w:t>
        </w:r>
      </w:hyperlink>
    </w:p>
    <w:p w14:paraId="2DE4FD56" w14:textId="77777777" w:rsidR="00BD462C" w:rsidRDefault="00BD462C">
      <w:pPr>
        <w:jc w:val="both"/>
        <w:rPr>
          <w:sz w:val="18"/>
        </w:rPr>
        <w:sectPr w:rsidR="00BD462C">
          <w:pgSz w:w="11910" w:h="16840"/>
          <w:pgMar w:top="860" w:right="500" w:bottom="780" w:left="1280" w:header="566" w:footer="590" w:gutter="0"/>
          <w:cols w:space="720"/>
        </w:sectPr>
      </w:pPr>
    </w:p>
    <w:p w14:paraId="44D7961F"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1DA700D9"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2AD859A7"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48F426D2" w14:textId="77777777" w:rsidR="00BD462C" w:rsidRDefault="00033D0F">
      <w:pPr>
        <w:pStyle w:val="Heading3"/>
        <w:numPr>
          <w:ilvl w:val="0"/>
          <w:numId w:val="41"/>
        </w:numPr>
        <w:tabs>
          <w:tab w:val="left" w:pos="2689"/>
          <w:tab w:val="left" w:pos="2690"/>
        </w:tabs>
        <w:spacing w:line="357" w:lineRule="auto"/>
        <w:ind w:right="908"/>
      </w:pPr>
      <w:bookmarkStart w:id="1321" w:name="3._CADA's_domestic_production_data_was_u"/>
      <w:bookmarkStart w:id="1322" w:name="_bookmark1140"/>
      <w:bookmarkEnd w:id="1321"/>
      <w:bookmarkEnd w:id="1322"/>
      <w:r>
        <w:t>CADA's domestic production data was unreliable for MOFCOM's standing determination</w:t>
      </w:r>
    </w:p>
    <w:p w14:paraId="5982273F" w14:textId="77777777" w:rsidR="00BD462C" w:rsidRDefault="00BD462C">
      <w:pPr>
        <w:pStyle w:val="BodyText"/>
        <w:spacing w:before="3"/>
        <w:rPr>
          <w:b/>
          <w:sz w:val="9"/>
        </w:rPr>
      </w:pPr>
    </w:p>
    <w:p w14:paraId="7128775F" w14:textId="1319E158" w:rsidR="00BD462C" w:rsidRDefault="003B71EA">
      <w:pPr>
        <w:pStyle w:val="BodyText"/>
        <w:spacing w:before="56" w:line="360" w:lineRule="auto"/>
        <w:ind w:left="135" w:right="916"/>
        <w:jc w:val="both"/>
      </w:pPr>
      <w:r>
        <w:rPr>
          <w:noProof/>
        </w:rPr>
        <w:t>621.</w:t>
      </w:r>
      <w:r w:rsidR="00033D0F">
        <w:rPr>
          <w:rFonts w:ascii="Times New Roman"/>
          <w:spacing w:val="80"/>
          <w:position w:val="1"/>
          <w:sz w:val="20"/>
        </w:rPr>
        <w:t xml:space="preserve">  </w:t>
      </w:r>
      <w:r w:rsidR="00033D0F">
        <w:rPr>
          <w:position w:val="1"/>
        </w:rPr>
        <w:t>The</w:t>
      </w:r>
      <w:r w:rsidR="00033D0F">
        <w:rPr>
          <w:spacing w:val="-12"/>
          <w:position w:val="1"/>
        </w:rPr>
        <w:t xml:space="preserve"> </w:t>
      </w:r>
      <w:r w:rsidR="00033D0F">
        <w:rPr>
          <w:position w:val="1"/>
        </w:rPr>
        <w:t>domestic</w:t>
      </w:r>
      <w:r w:rsidR="00033D0F">
        <w:rPr>
          <w:spacing w:val="-13"/>
          <w:position w:val="1"/>
        </w:rPr>
        <w:t xml:space="preserve"> </w:t>
      </w:r>
      <w:r w:rsidR="00033D0F">
        <w:rPr>
          <w:position w:val="1"/>
        </w:rPr>
        <w:t>production</w:t>
      </w:r>
      <w:r w:rsidR="00033D0F">
        <w:rPr>
          <w:spacing w:val="-14"/>
          <w:position w:val="1"/>
        </w:rPr>
        <w:t xml:space="preserve"> </w:t>
      </w:r>
      <w:r w:rsidR="00033D0F">
        <w:rPr>
          <w:position w:val="1"/>
        </w:rPr>
        <w:t>values</w:t>
      </w:r>
      <w:r w:rsidR="00033D0F">
        <w:rPr>
          <w:spacing w:val="-10"/>
          <w:position w:val="1"/>
        </w:rPr>
        <w:t xml:space="preserve"> </w:t>
      </w:r>
      <w:r w:rsidR="00033D0F">
        <w:rPr>
          <w:position w:val="1"/>
        </w:rPr>
        <w:t>of</w:t>
      </w:r>
      <w:r w:rsidR="00033D0F">
        <w:rPr>
          <w:spacing w:val="-14"/>
          <w:position w:val="1"/>
        </w:rPr>
        <w:t xml:space="preserve"> </w:t>
      </w:r>
      <w:r w:rsidR="00033D0F">
        <w:rPr>
          <w:position w:val="1"/>
        </w:rPr>
        <w:t>like</w:t>
      </w:r>
      <w:r w:rsidR="00033D0F">
        <w:rPr>
          <w:spacing w:val="-12"/>
          <w:position w:val="1"/>
        </w:rPr>
        <w:t xml:space="preserve"> </w:t>
      </w:r>
      <w:r w:rsidR="00033D0F">
        <w:rPr>
          <w:position w:val="1"/>
        </w:rPr>
        <w:t>products</w:t>
      </w:r>
      <w:r w:rsidR="00033D0F">
        <w:rPr>
          <w:spacing w:val="-10"/>
          <w:position w:val="1"/>
        </w:rPr>
        <w:t xml:space="preserve"> </w:t>
      </w:r>
      <w:r w:rsidR="00033D0F">
        <w:rPr>
          <w:position w:val="1"/>
        </w:rPr>
        <w:t>that</w:t>
      </w:r>
      <w:r w:rsidR="00033D0F">
        <w:rPr>
          <w:spacing w:val="-11"/>
          <w:position w:val="1"/>
        </w:rPr>
        <w:t xml:space="preserve"> </w:t>
      </w:r>
      <w:r w:rsidR="00033D0F">
        <w:rPr>
          <w:position w:val="1"/>
        </w:rPr>
        <w:t>CADA</w:t>
      </w:r>
      <w:r w:rsidR="00033D0F">
        <w:rPr>
          <w:spacing w:val="-14"/>
          <w:position w:val="1"/>
        </w:rPr>
        <w:t xml:space="preserve"> </w:t>
      </w:r>
      <w:r w:rsidR="00033D0F">
        <w:rPr>
          <w:position w:val="1"/>
        </w:rPr>
        <w:t>included</w:t>
      </w:r>
      <w:r w:rsidR="00033D0F">
        <w:rPr>
          <w:spacing w:val="-14"/>
          <w:position w:val="1"/>
        </w:rPr>
        <w:t xml:space="preserve"> </w:t>
      </w:r>
      <w:r w:rsidR="00033D0F">
        <w:rPr>
          <w:position w:val="1"/>
        </w:rPr>
        <w:t>in</w:t>
      </w:r>
      <w:r w:rsidR="00033D0F">
        <w:rPr>
          <w:spacing w:val="-13"/>
          <w:position w:val="1"/>
        </w:rPr>
        <w:t xml:space="preserve"> </w:t>
      </w:r>
      <w:r w:rsidR="00033D0F">
        <w:rPr>
          <w:position w:val="1"/>
        </w:rPr>
        <w:t>its</w:t>
      </w:r>
      <w:r w:rsidR="00033D0F">
        <w:rPr>
          <w:spacing w:val="-10"/>
          <w:position w:val="1"/>
        </w:rPr>
        <w:t xml:space="preserve"> </w:t>
      </w:r>
      <w:r w:rsidR="00033D0F">
        <w:rPr>
          <w:position w:val="1"/>
        </w:rPr>
        <w:t xml:space="preserve">application, </w:t>
      </w:r>
      <w:r w:rsidR="00033D0F">
        <w:t>both for the total output of CADA's members and the total domestic production of all domestic producers, was based on data that included products outside the scope of the investigation.</w:t>
      </w:r>
      <w:hyperlink w:anchor="_bookmark1141" w:history="1">
        <w:r w:rsidR="00033D0F">
          <w:rPr>
            <w:vertAlign w:val="superscript"/>
          </w:rPr>
          <w:t>982</w:t>
        </w:r>
      </w:hyperlink>
      <w:r w:rsidR="00033D0F">
        <w:t xml:space="preserve"> MOFCOM treated this data as reliable for the purposes of assessing the degree</w:t>
      </w:r>
      <w:r w:rsidR="00033D0F">
        <w:rPr>
          <w:spacing w:val="-3"/>
        </w:rPr>
        <w:t xml:space="preserve"> </w:t>
      </w:r>
      <w:r w:rsidR="00033D0F">
        <w:t>of</w:t>
      </w:r>
      <w:r w:rsidR="00033D0F">
        <w:rPr>
          <w:spacing w:val="-5"/>
        </w:rPr>
        <w:t xml:space="preserve"> </w:t>
      </w:r>
      <w:r w:rsidR="00033D0F">
        <w:t>support</w:t>
      </w:r>
      <w:r w:rsidR="00033D0F">
        <w:rPr>
          <w:spacing w:val="-3"/>
        </w:rPr>
        <w:t xml:space="preserve"> </w:t>
      </w:r>
      <w:r w:rsidR="00033D0F">
        <w:t>for</w:t>
      </w:r>
      <w:r w:rsidR="00033D0F">
        <w:rPr>
          <w:spacing w:val="-6"/>
        </w:rPr>
        <w:t xml:space="preserve"> </w:t>
      </w:r>
      <w:r w:rsidR="00033D0F">
        <w:t>the</w:t>
      </w:r>
      <w:r w:rsidR="00033D0F">
        <w:rPr>
          <w:spacing w:val="-4"/>
        </w:rPr>
        <w:t xml:space="preserve"> </w:t>
      </w:r>
      <w:r w:rsidR="00033D0F">
        <w:t>application,</w:t>
      </w:r>
      <w:r w:rsidR="00033D0F">
        <w:rPr>
          <w:spacing w:val="-2"/>
        </w:rPr>
        <w:t xml:space="preserve"> </w:t>
      </w:r>
      <w:r w:rsidR="00033D0F">
        <w:t>even</w:t>
      </w:r>
      <w:r w:rsidR="00033D0F">
        <w:rPr>
          <w:spacing w:val="-5"/>
        </w:rPr>
        <w:t xml:space="preserve"> </w:t>
      </w:r>
      <w:r w:rsidR="00033D0F">
        <w:t>though</w:t>
      </w:r>
      <w:r w:rsidR="00033D0F">
        <w:rPr>
          <w:spacing w:val="-5"/>
        </w:rPr>
        <w:t xml:space="preserve"> </w:t>
      </w:r>
      <w:r w:rsidR="00033D0F">
        <w:t>it</w:t>
      </w:r>
      <w:r w:rsidR="00033D0F">
        <w:rPr>
          <w:spacing w:val="-3"/>
        </w:rPr>
        <w:t xml:space="preserve"> </w:t>
      </w:r>
      <w:r w:rsidR="00033D0F">
        <w:t>was,</w:t>
      </w:r>
      <w:r w:rsidR="00033D0F">
        <w:rPr>
          <w:spacing w:val="-1"/>
        </w:rPr>
        <w:t xml:space="preserve"> </w:t>
      </w:r>
      <w:r w:rsidR="00033D0F">
        <w:t>by</w:t>
      </w:r>
      <w:r w:rsidR="00033D0F">
        <w:rPr>
          <w:spacing w:val="-2"/>
        </w:rPr>
        <w:t xml:space="preserve"> </w:t>
      </w:r>
      <w:r w:rsidR="00033D0F">
        <w:t>its</w:t>
      </w:r>
      <w:r w:rsidR="00033D0F">
        <w:rPr>
          <w:spacing w:val="-2"/>
        </w:rPr>
        <w:t xml:space="preserve"> </w:t>
      </w:r>
      <w:r w:rsidR="00033D0F">
        <w:t>nature,</w:t>
      </w:r>
      <w:r w:rsidR="00033D0F">
        <w:rPr>
          <w:spacing w:val="-1"/>
        </w:rPr>
        <w:t xml:space="preserve"> </w:t>
      </w:r>
      <w:r w:rsidR="00033D0F">
        <w:t>incapable</w:t>
      </w:r>
      <w:r w:rsidR="00033D0F">
        <w:rPr>
          <w:spacing w:val="-3"/>
        </w:rPr>
        <w:t xml:space="preserve"> </w:t>
      </w:r>
      <w:r w:rsidR="00033D0F">
        <w:t>of</w:t>
      </w:r>
      <w:r w:rsidR="00033D0F">
        <w:rPr>
          <w:spacing w:val="-5"/>
        </w:rPr>
        <w:t xml:space="preserve"> </w:t>
      </w:r>
      <w:r w:rsidR="00033D0F">
        <w:t>allowing MOFCOM</w:t>
      </w:r>
      <w:r w:rsidR="00033D0F">
        <w:rPr>
          <w:spacing w:val="-14"/>
        </w:rPr>
        <w:t xml:space="preserve"> </w:t>
      </w:r>
      <w:r w:rsidR="00033D0F">
        <w:t>to</w:t>
      </w:r>
      <w:r w:rsidR="00033D0F">
        <w:rPr>
          <w:spacing w:val="-14"/>
        </w:rPr>
        <w:t xml:space="preserve"> </w:t>
      </w:r>
      <w:r w:rsidR="00033D0F">
        <w:t>determine</w:t>
      </w:r>
      <w:r w:rsidR="00033D0F">
        <w:rPr>
          <w:spacing w:val="-13"/>
        </w:rPr>
        <w:t xml:space="preserve"> </w:t>
      </w:r>
      <w:r w:rsidR="00033D0F">
        <w:t>the</w:t>
      </w:r>
      <w:r w:rsidR="00033D0F">
        <w:rPr>
          <w:spacing w:val="-14"/>
        </w:rPr>
        <w:t xml:space="preserve"> </w:t>
      </w:r>
      <w:r w:rsidR="00033D0F">
        <w:t>level</w:t>
      </w:r>
      <w:r w:rsidR="00033D0F">
        <w:rPr>
          <w:spacing w:val="-13"/>
        </w:rPr>
        <w:t xml:space="preserve"> </w:t>
      </w:r>
      <w:r w:rsidR="00033D0F">
        <w:t>of</w:t>
      </w:r>
      <w:r w:rsidR="00033D0F">
        <w:rPr>
          <w:spacing w:val="-14"/>
        </w:rPr>
        <w:t xml:space="preserve"> </w:t>
      </w:r>
      <w:r w:rsidR="00033D0F">
        <w:t>production</w:t>
      </w:r>
      <w:r w:rsidR="00033D0F">
        <w:rPr>
          <w:spacing w:val="-13"/>
        </w:rPr>
        <w:t xml:space="preserve"> </w:t>
      </w:r>
      <w:r w:rsidR="00033D0F">
        <w:t>of</w:t>
      </w:r>
      <w:r w:rsidR="00033D0F">
        <w:rPr>
          <w:spacing w:val="-14"/>
        </w:rPr>
        <w:t xml:space="preserve"> </w:t>
      </w:r>
      <w:r w:rsidR="00033D0F">
        <w:t>domestic</w:t>
      </w:r>
      <w:r w:rsidR="00033D0F">
        <w:rPr>
          <w:spacing w:val="-14"/>
        </w:rPr>
        <w:t xml:space="preserve"> </w:t>
      </w:r>
      <w:r w:rsidR="00033D0F">
        <w:t>like</w:t>
      </w:r>
      <w:r w:rsidR="00033D0F">
        <w:rPr>
          <w:spacing w:val="-13"/>
        </w:rPr>
        <w:t xml:space="preserve"> </w:t>
      </w:r>
      <w:r w:rsidR="00033D0F">
        <w:t>products</w:t>
      </w:r>
      <w:r w:rsidR="00033D0F">
        <w:rPr>
          <w:spacing w:val="-14"/>
        </w:rPr>
        <w:t xml:space="preserve"> </w:t>
      </w:r>
      <w:r w:rsidR="00033D0F">
        <w:t>represented</w:t>
      </w:r>
      <w:r w:rsidR="00033D0F">
        <w:rPr>
          <w:spacing w:val="-13"/>
        </w:rPr>
        <w:t xml:space="preserve"> </w:t>
      </w:r>
      <w:r w:rsidR="00033D0F">
        <w:t>by</w:t>
      </w:r>
      <w:r w:rsidR="00033D0F">
        <w:rPr>
          <w:spacing w:val="-14"/>
        </w:rPr>
        <w:t xml:space="preserve"> </w:t>
      </w:r>
      <w:r w:rsidR="00033D0F">
        <w:t>those domestic producers who supported or opposed the application.</w:t>
      </w:r>
    </w:p>
    <w:p w14:paraId="38786F66" w14:textId="18E8BB99" w:rsidR="00BD462C" w:rsidRDefault="003B71EA">
      <w:pPr>
        <w:pStyle w:val="BodyText"/>
        <w:spacing w:before="159" w:line="357" w:lineRule="auto"/>
        <w:ind w:left="135" w:right="914"/>
        <w:jc w:val="both"/>
      </w:pPr>
      <w:r>
        <w:rPr>
          <w:noProof/>
        </w:rPr>
        <w:t>622.</w:t>
      </w:r>
      <w:r w:rsidR="00033D0F">
        <w:rPr>
          <w:rFonts w:ascii="Times New Roman"/>
          <w:spacing w:val="80"/>
          <w:w w:val="150"/>
          <w:position w:val="1"/>
          <w:sz w:val="20"/>
        </w:rPr>
        <w:t xml:space="preserve"> </w:t>
      </w:r>
      <w:r w:rsidR="00033D0F">
        <w:rPr>
          <w:position w:val="1"/>
        </w:rPr>
        <w:t xml:space="preserve">MOFCOM itself </w:t>
      </w:r>
      <w:proofErr w:type="spellStart"/>
      <w:r w:rsidR="00033D0F">
        <w:rPr>
          <w:position w:val="1"/>
        </w:rPr>
        <w:t>recognised</w:t>
      </w:r>
      <w:proofErr w:type="spellEnd"/>
      <w:r w:rsidR="00033D0F">
        <w:rPr>
          <w:position w:val="1"/>
        </w:rPr>
        <w:t xml:space="preserve"> that the data was deficient,</w:t>
      </w:r>
      <w:hyperlink w:anchor="_bookmark1142" w:history="1">
        <w:r w:rsidR="00033D0F">
          <w:rPr>
            <w:position w:val="1"/>
            <w:vertAlign w:val="superscript"/>
          </w:rPr>
          <w:t>983</w:t>
        </w:r>
      </w:hyperlink>
      <w:r w:rsidR="00033D0F">
        <w:rPr>
          <w:position w:val="1"/>
        </w:rPr>
        <w:t xml:space="preserve"> a fact China has also </w:t>
      </w:r>
      <w:r w:rsidR="00033D0F">
        <w:t>subsequently</w:t>
      </w:r>
      <w:r w:rsidR="00033D0F">
        <w:rPr>
          <w:spacing w:val="-14"/>
        </w:rPr>
        <w:t xml:space="preserve"> </w:t>
      </w:r>
      <w:r w:rsidR="00033D0F">
        <w:t>conceded,</w:t>
      </w:r>
      <w:r w:rsidR="00033D0F">
        <w:rPr>
          <w:spacing w:val="-14"/>
        </w:rPr>
        <w:t xml:space="preserve"> </w:t>
      </w:r>
      <w:r w:rsidR="00033D0F">
        <w:t>stating</w:t>
      </w:r>
      <w:r w:rsidR="00033D0F">
        <w:rPr>
          <w:spacing w:val="-13"/>
        </w:rPr>
        <w:t xml:space="preserve"> </w:t>
      </w:r>
      <w:r w:rsidR="00033D0F">
        <w:t>that</w:t>
      </w:r>
      <w:r w:rsidR="00033D0F">
        <w:rPr>
          <w:spacing w:val="-14"/>
        </w:rPr>
        <w:t xml:space="preserve"> </w:t>
      </w:r>
      <w:r w:rsidR="00033D0F">
        <w:t>"MOFCOM</w:t>
      </w:r>
      <w:r w:rsidR="00033D0F">
        <w:rPr>
          <w:spacing w:val="-13"/>
        </w:rPr>
        <w:t xml:space="preserve"> </w:t>
      </w:r>
      <w:r w:rsidR="00033D0F">
        <w:t>found</w:t>
      </w:r>
      <w:r w:rsidR="00033D0F">
        <w:rPr>
          <w:spacing w:val="-14"/>
        </w:rPr>
        <w:t xml:space="preserve"> </w:t>
      </w:r>
      <w:r w:rsidR="00033D0F">
        <w:t>that</w:t>
      </w:r>
      <w:r w:rsidR="00033D0F">
        <w:rPr>
          <w:spacing w:val="-13"/>
        </w:rPr>
        <w:t xml:space="preserve"> </w:t>
      </w:r>
      <w:r w:rsidR="00033D0F">
        <w:t>the</w:t>
      </w:r>
      <w:r w:rsidR="00033D0F">
        <w:rPr>
          <w:spacing w:val="-14"/>
        </w:rPr>
        <w:t xml:space="preserve"> </w:t>
      </w:r>
      <w:r w:rsidR="00033D0F">
        <w:t>data</w:t>
      </w:r>
      <w:r w:rsidR="00033D0F">
        <w:rPr>
          <w:spacing w:val="-14"/>
        </w:rPr>
        <w:t xml:space="preserve"> </w:t>
      </w:r>
      <w:r w:rsidR="00033D0F">
        <w:t>in</w:t>
      </w:r>
      <w:r w:rsidR="00033D0F">
        <w:rPr>
          <w:spacing w:val="-13"/>
        </w:rPr>
        <w:t xml:space="preserve"> </w:t>
      </w:r>
      <w:r w:rsidR="00033D0F">
        <w:t>the</w:t>
      </w:r>
      <w:r w:rsidR="00033D0F">
        <w:rPr>
          <w:spacing w:val="-14"/>
        </w:rPr>
        <w:t xml:space="preserve"> </w:t>
      </w:r>
      <w:r w:rsidR="00033D0F">
        <w:t>application</w:t>
      </w:r>
      <w:r w:rsidR="00033D0F">
        <w:rPr>
          <w:spacing w:val="-13"/>
        </w:rPr>
        <w:t xml:space="preserve"> </w:t>
      </w:r>
      <w:r w:rsidR="00033D0F">
        <w:t>not</w:t>
      </w:r>
      <w:r w:rsidR="00033D0F">
        <w:rPr>
          <w:spacing w:val="-14"/>
        </w:rPr>
        <w:t xml:space="preserve"> </w:t>
      </w:r>
      <w:r w:rsidR="00033D0F">
        <w:t>only covered the like product, but also some non-subject product wines."</w:t>
      </w:r>
      <w:hyperlink w:anchor="_bookmark1143" w:history="1">
        <w:r w:rsidR="00033D0F">
          <w:rPr>
            <w:vertAlign w:val="superscript"/>
          </w:rPr>
          <w:t>984</w:t>
        </w:r>
      </w:hyperlink>
      <w:r w:rsidR="00033D0F">
        <w:t xml:space="preserve"> These deficiencies should have been evident to MOFCOM at the time it made the decision to initiate the </w:t>
      </w:r>
      <w:r w:rsidR="00033D0F">
        <w:rPr>
          <w:spacing w:val="-2"/>
        </w:rPr>
        <w:t>investigation.</w:t>
      </w:r>
      <w:hyperlink w:anchor="_bookmark1144" w:history="1">
        <w:r w:rsidR="00033D0F">
          <w:rPr>
            <w:spacing w:val="-2"/>
            <w:vertAlign w:val="superscript"/>
          </w:rPr>
          <w:t>985</w:t>
        </w:r>
      </w:hyperlink>
    </w:p>
    <w:p w14:paraId="7F566781" w14:textId="77777777" w:rsidR="00BD462C" w:rsidRDefault="00BD462C">
      <w:pPr>
        <w:pStyle w:val="BodyText"/>
        <w:spacing w:before="10"/>
        <w:rPr>
          <w:sz w:val="8"/>
        </w:rPr>
      </w:pPr>
    </w:p>
    <w:p w14:paraId="30CDBCB2" w14:textId="20EFE8B8" w:rsidR="00BD462C" w:rsidRDefault="003B71EA">
      <w:pPr>
        <w:pStyle w:val="BodyText"/>
        <w:spacing w:before="56" w:line="360" w:lineRule="auto"/>
        <w:ind w:left="135" w:right="916"/>
        <w:jc w:val="both"/>
      </w:pPr>
      <w:r>
        <w:rPr>
          <w:noProof/>
        </w:rPr>
        <w:t>623.</w:t>
      </w:r>
      <w:r w:rsidR="00033D0F">
        <w:rPr>
          <w:rFonts w:ascii="Times New Roman"/>
          <w:spacing w:val="80"/>
          <w:w w:val="150"/>
          <w:position w:val="1"/>
          <w:sz w:val="20"/>
        </w:rPr>
        <w:t xml:space="preserve">  </w:t>
      </w:r>
      <w:r w:rsidR="00033D0F">
        <w:rPr>
          <w:position w:val="1"/>
        </w:rPr>
        <w:t>China</w:t>
      </w:r>
      <w:r w:rsidR="00033D0F">
        <w:rPr>
          <w:spacing w:val="-8"/>
          <w:position w:val="1"/>
        </w:rPr>
        <w:t xml:space="preserve"> </w:t>
      </w:r>
      <w:r w:rsidR="00033D0F">
        <w:rPr>
          <w:position w:val="1"/>
        </w:rPr>
        <w:t>has</w:t>
      </w:r>
      <w:r w:rsidR="00033D0F">
        <w:rPr>
          <w:spacing w:val="-6"/>
          <w:position w:val="1"/>
        </w:rPr>
        <w:t xml:space="preserve"> </w:t>
      </w:r>
      <w:r w:rsidR="00033D0F">
        <w:rPr>
          <w:position w:val="1"/>
        </w:rPr>
        <w:t>offered</w:t>
      </w:r>
      <w:r w:rsidR="00033D0F">
        <w:rPr>
          <w:spacing w:val="-9"/>
          <w:position w:val="1"/>
        </w:rPr>
        <w:t xml:space="preserve"> </w:t>
      </w:r>
      <w:r w:rsidR="00033D0F">
        <w:rPr>
          <w:position w:val="1"/>
        </w:rPr>
        <w:t>no</w:t>
      </w:r>
      <w:r w:rsidR="00033D0F">
        <w:rPr>
          <w:spacing w:val="-9"/>
          <w:position w:val="1"/>
        </w:rPr>
        <w:t xml:space="preserve"> </w:t>
      </w:r>
      <w:r w:rsidR="00033D0F">
        <w:rPr>
          <w:position w:val="1"/>
        </w:rPr>
        <w:t>arguments</w:t>
      </w:r>
      <w:r w:rsidR="00033D0F">
        <w:rPr>
          <w:spacing w:val="-6"/>
          <w:position w:val="1"/>
        </w:rPr>
        <w:t xml:space="preserve"> </w:t>
      </w:r>
      <w:r w:rsidR="00033D0F">
        <w:rPr>
          <w:position w:val="1"/>
        </w:rPr>
        <w:t>at</w:t>
      </w:r>
      <w:r w:rsidR="00033D0F">
        <w:rPr>
          <w:spacing w:val="-7"/>
          <w:position w:val="1"/>
        </w:rPr>
        <w:t xml:space="preserve"> </w:t>
      </w:r>
      <w:r w:rsidR="00033D0F">
        <w:rPr>
          <w:position w:val="1"/>
        </w:rPr>
        <w:t>all</w:t>
      </w:r>
      <w:r w:rsidR="00033D0F">
        <w:rPr>
          <w:spacing w:val="-5"/>
          <w:position w:val="1"/>
        </w:rPr>
        <w:t xml:space="preserve"> </w:t>
      </w:r>
      <w:r w:rsidR="00033D0F">
        <w:rPr>
          <w:position w:val="1"/>
        </w:rPr>
        <w:t>to</w:t>
      </w:r>
      <w:r w:rsidR="00033D0F">
        <w:rPr>
          <w:spacing w:val="-9"/>
          <w:position w:val="1"/>
        </w:rPr>
        <w:t xml:space="preserve"> </w:t>
      </w:r>
      <w:r w:rsidR="00033D0F">
        <w:rPr>
          <w:position w:val="1"/>
        </w:rPr>
        <w:t>rebut</w:t>
      </w:r>
      <w:r w:rsidR="00033D0F">
        <w:rPr>
          <w:spacing w:val="-7"/>
          <w:position w:val="1"/>
        </w:rPr>
        <w:t xml:space="preserve"> </w:t>
      </w:r>
      <w:r w:rsidR="00033D0F">
        <w:rPr>
          <w:position w:val="1"/>
        </w:rPr>
        <w:t>Australia's</w:t>
      </w:r>
      <w:r w:rsidR="00033D0F">
        <w:rPr>
          <w:spacing w:val="-6"/>
          <w:position w:val="1"/>
        </w:rPr>
        <w:t xml:space="preserve"> </w:t>
      </w:r>
      <w:r w:rsidR="00033D0F">
        <w:rPr>
          <w:position w:val="1"/>
        </w:rPr>
        <w:t>claim</w:t>
      </w:r>
      <w:r w:rsidR="00033D0F">
        <w:rPr>
          <w:spacing w:val="-7"/>
          <w:position w:val="1"/>
        </w:rPr>
        <w:t xml:space="preserve"> </w:t>
      </w:r>
      <w:r w:rsidR="00033D0F">
        <w:rPr>
          <w:position w:val="1"/>
        </w:rPr>
        <w:t>and</w:t>
      </w:r>
      <w:r w:rsidR="00033D0F">
        <w:rPr>
          <w:spacing w:val="-9"/>
          <w:position w:val="1"/>
        </w:rPr>
        <w:t xml:space="preserve"> </w:t>
      </w:r>
      <w:r w:rsidR="00033D0F">
        <w:rPr>
          <w:position w:val="1"/>
        </w:rPr>
        <w:t>arguments</w:t>
      </w:r>
      <w:r w:rsidR="00033D0F">
        <w:rPr>
          <w:spacing w:val="-6"/>
          <w:position w:val="1"/>
        </w:rPr>
        <w:t xml:space="preserve"> </w:t>
      </w:r>
      <w:r w:rsidR="00033D0F">
        <w:rPr>
          <w:position w:val="1"/>
        </w:rPr>
        <w:t>as</w:t>
      </w:r>
      <w:r w:rsidR="00033D0F">
        <w:rPr>
          <w:spacing w:val="-6"/>
          <w:position w:val="1"/>
        </w:rPr>
        <w:t xml:space="preserve"> </w:t>
      </w:r>
      <w:r w:rsidR="00033D0F">
        <w:rPr>
          <w:position w:val="1"/>
        </w:rPr>
        <w:t xml:space="preserve">set </w:t>
      </w:r>
      <w:r w:rsidR="00033D0F">
        <w:t>out in its first written submission concerning MOFCOM's improper initiation of an investigation in light of the unreliable data and, in particular, data that included products outside the scope of the investigation.</w:t>
      </w:r>
      <w:hyperlink w:anchor="_bookmark1145" w:history="1">
        <w:r w:rsidR="00033D0F">
          <w:rPr>
            <w:vertAlign w:val="superscript"/>
          </w:rPr>
          <w:t>986</w:t>
        </w:r>
      </w:hyperlink>
    </w:p>
    <w:p w14:paraId="5FCCC3D1" w14:textId="77777777" w:rsidR="00BD462C" w:rsidRDefault="00BD462C">
      <w:pPr>
        <w:pStyle w:val="BodyText"/>
        <w:spacing w:before="9"/>
        <w:rPr>
          <w:sz w:val="8"/>
        </w:rPr>
      </w:pPr>
    </w:p>
    <w:p w14:paraId="4D8109E2" w14:textId="68D6C41B" w:rsidR="00BD462C" w:rsidRDefault="003B71EA">
      <w:pPr>
        <w:pStyle w:val="BodyText"/>
        <w:spacing w:before="56" w:line="355" w:lineRule="auto"/>
        <w:ind w:left="135"/>
      </w:pPr>
      <w:r>
        <w:rPr>
          <w:noProof/>
        </w:rPr>
        <w:t>624.</w:t>
      </w:r>
      <w:r w:rsidR="00033D0F">
        <w:rPr>
          <w:rFonts w:ascii="Times New Roman"/>
          <w:spacing w:val="80"/>
          <w:position w:val="1"/>
          <w:sz w:val="20"/>
        </w:rPr>
        <w:t xml:space="preserve">   </w:t>
      </w:r>
      <w:r w:rsidR="00033D0F">
        <w:rPr>
          <w:position w:val="1"/>
        </w:rPr>
        <w:t>Finally,</w:t>
      </w:r>
      <w:r w:rsidR="00033D0F">
        <w:rPr>
          <w:spacing w:val="33"/>
          <w:position w:val="1"/>
        </w:rPr>
        <w:t xml:space="preserve"> </w:t>
      </w:r>
      <w:r w:rsidR="00033D0F">
        <w:rPr>
          <w:position w:val="1"/>
        </w:rPr>
        <w:t>in</w:t>
      </w:r>
      <w:r w:rsidR="00033D0F">
        <w:rPr>
          <w:spacing w:val="29"/>
          <w:position w:val="1"/>
        </w:rPr>
        <w:t xml:space="preserve"> </w:t>
      </w:r>
      <w:r w:rsidR="00033D0F">
        <w:rPr>
          <w:position w:val="1"/>
        </w:rPr>
        <w:t>addition</w:t>
      </w:r>
      <w:r w:rsidR="00033D0F">
        <w:rPr>
          <w:spacing w:val="29"/>
          <w:position w:val="1"/>
        </w:rPr>
        <w:t xml:space="preserve"> </w:t>
      </w:r>
      <w:r w:rsidR="00033D0F">
        <w:rPr>
          <w:position w:val="1"/>
        </w:rPr>
        <w:t>to</w:t>
      </w:r>
      <w:r w:rsidR="00033D0F">
        <w:rPr>
          <w:spacing w:val="29"/>
          <w:position w:val="1"/>
        </w:rPr>
        <w:t xml:space="preserve"> </w:t>
      </w:r>
      <w:r w:rsidR="00033D0F">
        <w:rPr>
          <w:position w:val="1"/>
        </w:rPr>
        <w:t>the</w:t>
      </w:r>
      <w:r w:rsidR="00033D0F">
        <w:rPr>
          <w:spacing w:val="31"/>
          <w:position w:val="1"/>
        </w:rPr>
        <w:t xml:space="preserve"> </w:t>
      </w:r>
      <w:r w:rsidR="00033D0F">
        <w:rPr>
          <w:position w:val="1"/>
        </w:rPr>
        <w:t>inclusion</w:t>
      </w:r>
      <w:r w:rsidR="00033D0F">
        <w:rPr>
          <w:spacing w:val="29"/>
          <w:position w:val="1"/>
        </w:rPr>
        <w:t xml:space="preserve"> </w:t>
      </w:r>
      <w:r w:rsidR="00033D0F">
        <w:rPr>
          <w:position w:val="1"/>
        </w:rPr>
        <w:t>of</w:t>
      </w:r>
      <w:r w:rsidR="00033D0F">
        <w:rPr>
          <w:spacing w:val="34"/>
          <w:position w:val="1"/>
        </w:rPr>
        <w:t xml:space="preserve"> </w:t>
      </w:r>
      <w:r w:rsidR="00033D0F">
        <w:rPr>
          <w:position w:val="1"/>
        </w:rPr>
        <w:t>data</w:t>
      </w:r>
      <w:r w:rsidR="00033D0F">
        <w:rPr>
          <w:spacing w:val="35"/>
          <w:position w:val="1"/>
        </w:rPr>
        <w:t xml:space="preserve"> </w:t>
      </w:r>
      <w:r w:rsidR="00033D0F">
        <w:rPr>
          <w:position w:val="1"/>
        </w:rPr>
        <w:t>on</w:t>
      </w:r>
      <w:r w:rsidR="00033D0F">
        <w:rPr>
          <w:spacing w:val="34"/>
          <w:position w:val="1"/>
        </w:rPr>
        <w:t xml:space="preserve"> </w:t>
      </w:r>
      <w:r w:rsidR="00033D0F">
        <w:rPr>
          <w:position w:val="1"/>
        </w:rPr>
        <w:t>products</w:t>
      </w:r>
      <w:r w:rsidR="00033D0F">
        <w:rPr>
          <w:spacing w:val="37"/>
          <w:position w:val="1"/>
        </w:rPr>
        <w:t xml:space="preserve"> </w:t>
      </w:r>
      <w:r w:rsidR="00033D0F">
        <w:rPr>
          <w:position w:val="1"/>
        </w:rPr>
        <w:t>outside</w:t>
      </w:r>
      <w:r w:rsidR="00033D0F">
        <w:rPr>
          <w:spacing w:val="31"/>
          <w:position w:val="1"/>
        </w:rPr>
        <w:t xml:space="preserve"> </w:t>
      </w:r>
      <w:r w:rsidR="00033D0F">
        <w:rPr>
          <w:position w:val="1"/>
        </w:rPr>
        <w:t>the</w:t>
      </w:r>
      <w:r w:rsidR="00033D0F">
        <w:rPr>
          <w:spacing w:val="31"/>
          <w:position w:val="1"/>
        </w:rPr>
        <w:t xml:space="preserve"> </w:t>
      </w:r>
      <w:r w:rsidR="00033D0F">
        <w:rPr>
          <w:position w:val="1"/>
        </w:rPr>
        <w:t>scope</w:t>
      </w:r>
      <w:r w:rsidR="00033D0F">
        <w:rPr>
          <w:spacing w:val="36"/>
          <w:position w:val="1"/>
        </w:rPr>
        <w:t xml:space="preserve"> </w:t>
      </w:r>
      <w:r w:rsidR="00033D0F">
        <w:rPr>
          <w:position w:val="1"/>
        </w:rPr>
        <w:t>of</w:t>
      </w:r>
      <w:r w:rsidR="00033D0F">
        <w:rPr>
          <w:spacing w:val="34"/>
          <w:position w:val="1"/>
        </w:rPr>
        <w:t xml:space="preserve"> </w:t>
      </w:r>
      <w:r w:rsidR="00033D0F">
        <w:rPr>
          <w:position w:val="1"/>
        </w:rPr>
        <w:t xml:space="preserve">the </w:t>
      </w:r>
      <w:r w:rsidR="00033D0F">
        <w:t>investigation,</w:t>
      </w:r>
      <w:r w:rsidR="00033D0F">
        <w:rPr>
          <w:spacing w:val="-14"/>
        </w:rPr>
        <w:t xml:space="preserve"> </w:t>
      </w:r>
      <w:r w:rsidR="00033D0F">
        <w:t>data</w:t>
      </w:r>
      <w:r w:rsidR="00033D0F">
        <w:rPr>
          <w:spacing w:val="-16"/>
        </w:rPr>
        <w:t xml:space="preserve"> </w:t>
      </w:r>
      <w:r w:rsidR="00033D0F">
        <w:t>supplied</w:t>
      </w:r>
      <w:r w:rsidR="00033D0F">
        <w:rPr>
          <w:spacing w:val="-14"/>
        </w:rPr>
        <w:t xml:space="preserve"> </w:t>
      </w:r>
      <w:r w:rsidR="00033D0F">
        <w:t>by</w:t>
      </w:r>
      <w:r w:rsidR="00033D0F">
        <w:rPr>
          <w:spacing w:val="-13"/>
        </w:rPr>
        <w:t xml:space="preserve"> </w:t>
      </w:r>
      <w:r w:rsidR="00033D0F">
        <w:t>CADA</w:t>
      </w:r>
      <w:r w:rsidR="00033D0F">
        <w:rPr>
          <w:spacing w:val="-14"/>
        </w:rPr>
        <w:t xml:space="preserve"> </w:t>
      </w:r>
      <w:r w:rsidR="00033D0F">
        <w:t>from</w:t>
      </w:r>
      <w:r w:rsidR="00033D0F">
        <w:rPr>
          <w:spacing w:val="-13"/>
        </w:rPr>
        <w:t xml:space="preserve"> </w:t>
      </w:r>
      <w:r w:rsidR="00033D0F">
        <w:t>China's</w:t>
      </w:r>
      <w:r w:rsidR="00033D0F">
        <w:rPr>
          <w:spacing w:val="-14"/>
        </w:rPr>
        <w:t xml:space="preserve"> </w:t>
      </w:r>
      <w:r w:rsidR="00033D0F">
        <w:t>National</w:t>
      </w:r>
      <w:r w:rsidR="00033D0F">
        <w:rPr>
          <w:spacing w:val="-12"/>
        </w:rPr>
        <w:t xml:space="preserve"> </w:t>
      </w:r>
      <w:r w:rsidR="00033D0F">
        <w:t>Bureau</w:t>
      </w:r>
      <w:r w:rsidR="00033D0F">
        <w:rPr>
          <w:spacing w:val="-14"/>
        </w:rPr>
        <w:t xml:space="preserve"> </w:t>
      </w:r>
      <w:r w:rsidR="00033D0F">
        <w:t>of</w:t>
      </w:r>
      <w:r w:rsidR="00033D0F">
        <w:rPr>
          <w:spacing w:val="-13"/>
        </w:rPr>
        <w:t xml:space="preserve"> </w:t>
      </w:r>
      <w:r w:rsidR="00033D0F">
        <w:t>Statistics</w:t>
      </w:r>
      <w:r w:rsidR="00033D0F">
        <w:rPr>
          <w:spacing w:val="-12"/>
        </w:rPr>
        <w:t xml:space="preserve"> </w:t>
      </w:r>
      <w:r w:rsidR="00033D0F">
        <w:t>only</w:t>
      </w:r>
      <w:r w:rsidR="00033D0F">
        <w:rPr>
          <w:spacing w:val="-11"/>
        </w:rPr>
        <w:t xml:space="preserve"> </w:t>
      </w:r>
      <w:r w:rsidR="00033D0F">
        <w:rPr>
          <w:spacing w:val="-2"/>
        </w:rPr>
        <w:t>purported</w:t>
      </w:r>
    </w:p>
    <w:p w14:paraId="6A64FE96" w14:textId="77777777" w:rsidR="00BD462C" w:rsidRDefault="00BD462C">
      <w:pPr>
        <w:pStyle w:val="BodyText"/>
        <w:rPr>
          <w:sz w:val="20"/>
        </w:rPr>
      </w:pPr>
    </w:p>
    <w:p w14:paraId="3F87B861" w14:textId="707BD081" w:rsidR="00BD462C" w:rsidRDefault="006E6DEA">
      <w:pPr>
        <w:pStyle w:val="BodyText"/>
        <w:rPr>
          <w:sz w:val="20"/>
        </w:rPr>
      </w:pPr>
      <w:r>
        <w:rPr>
          <w:noProof/>
        </w:rPr>
        <mc:AlternateContent>
          <mc:Choice Requires="wps">
            <w:drawing>
              <wp:anchor distT="0" distB="0" distL="0" distR="0" simplePos="0" relativeHeight="488118784" behindDoc="1" locked="0" layoutInCell="1" allowOverlap="1" wp14:anchorId="61D18C72" wp14:editId="58FAC8BE">
                <wp:simplePos x="0" y="0"/>
                <wp:positionH relativeFrom="page">
                  <wp:posOffset>812800</wp:posOffset>
                </wp:positionH>
                <wp:positionV relativeFrom="paragraph">
                  <wp:posOffset>387350</wp:posOffset>
                </wp:positionV>
                <wp:extent cx="1828800" cy="8890"/>
                <wp:effectExtent l="0" t="0" r="0" b="0"/>
                <wp:wrapTopAndBottom/>
                <wp:docPr id="91" name="docshape7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A06157" id="docshape705" o:spid="_x0000_s1026" alt="&quot;&quot;" style="position:absolute;margin-left:64pt;margin-top:30.5pt;width:2in;height:.7pt;z-index:-15197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" fillcolor="black" stroked="f">
                <w10:wrap type="topAndBottom" anchorx="page"/>
              </v:rect>
            </w:pict>
          </mc:Fallback>
        </mc:AlternateContent>
      </w:r>
    </w:p>
    <w:p w14:paraId="54B92CB1" w14:textId="585C8589" w:rsidR="00BD462C" w:rsidRDefault="00BD462C">
      <w:pPr>
        <w:pStyle w:val="BodyText"/>
        <w:spacing w:before="7"/>
        <w:rPr>
          <w:sz w:val="29"/>
        </w:rPr>
      </w:pPr>
    </w:p>
    <w:p w14:paraId="5EF458C4" w14:textId="77777777" w:rsidR="00BD462C" w:rsidRDefault="00033D0F">
      <w:pPr>
        <w:spacing w:before="115" w:line="235" w:lineRule="auto"/>
        <w:ind w:left="135" w:right="910"/>
        <w:jc w:val="both"/>
        <w:rPr>
          <w:sz w:val="18"/>
        </w:rPr>
      </w:pPr>
      <w:bookmarkStart w:id="1323" w:name="_bookmark1141"/>
      <w:bookmarkEnd w:id="1323"/>
      <w:r>
        <w:rPr>
          <w:position w:val="5"/>
          <w:sz w:val="12"/>
        </w:rPr>
        <w:t>982</w:t>
      </w:r>
      <w:r>
        <w:rPr>
          <w:spacing w:val="25"/>
          <w:position w:val="5"/>
          <w:sz w:val="12"/>
        </w:rPr>
        <w:t xml:space="preserve"> </w:t>
      </w:r>
      <w:r>
        <w:rPr>
          <w:sz w:val="18"/>
        </w:rPr>
        <w:t>Anti-Dumping Final Determination (Exhibit AUS-2), pp. 108-109; Anti-Dumping Preliminary Determination (Exhibit AUS- 35), p. 36; and Anti-Dumping Final Disclosure (Exhibit AUS-16), p. 58.</w:t>
      </w:r>
    </w:p>
    <w:p w14:paraId="5EFE4891" w14:textId="77777777" w:rsidR="00BD462C" w:rsidRDefault="00033D0F">
      <w:pPr>
        <w:spacing w:before="3"/>
        <w:ind w:left="135" w:right="910"/>
        <w:jc w:val="both"/>
        <w:rPr>
          <w:sz w:val="18"/>
        </w:rPr>
      </w:pPr>
      <w:bookmarkStart w:id="1324" w:name="_bookmark1142"/>
      <w:bookmarkEnd w:id="1324"/>
      <w:r>
        <w:rPr>
          <w:position w:val="5"/>
          <w:sz w:val="12"/>
        </w:rPr>
        <w:t>983</w:t>
      </w:r>
      <w:r>
        <w:rPr>
          <w:spacing w:val="25"/>
          <w:position w:val="5"/>
          <w:sz w:val="12"/>
        </w:rPr>
        <w:t xml:space="preserve"> </w:t>
      </w:r>
      <w:r>
        <w:rPr>
          <w:sz w:val="18"/>
        </w:rPr>
        <w:t>Anti-Dumping Final Determination (Exhibit AUS-2), pp. 108-109; Anti-Dumping Preliminary Determination (Exhibit AUS- 35), p. 36; and Anti-Dumping Final Disclosure (Exhibit AUS-16), p. 58.</w:t>
      </w:r>
    </w:p>
    <w:p w14:paraId="5C32DC0F" w14:textId="77777777" w:rsidR="00BD462C" w:rsidRDefault="00033D0F">
      <w:pPr>
        <w:spacing w:before="2"/>
        <w:ind w:left="135"/>
        <w:jc w:val="both"/>
        <w:rPr>
          <w:sz w:val="18"/>
        </w:rPr>
      </w:pPr>
      <w:bookmarkStart w:id="1325" w:name="_bookmark1143"/>
      <w:bookmarkEnd w:id="1325"/>
      <w:r>
        <w:rPr>
          <w:position w:val="5"/>
          <w:sz w:val="12"/>
        </w:rPr>
        <w:t>984</w:t>
      </w:r>
      <w:r>
        <w:rPr>
          <w:spacing w:val="14"/>
          <w:position w:val="5"/>
          <w:sz w:val="12"/>
        </w:rPr>
        <w:t xml:space="preserve"> </w:t>
      </w:r>
      <w:r>
        <w:rPr>
          <w:sz w:val="18"/>
        </w:rPr>
        <w:t>China's</w:t>
      </w:r>
      <w:r>
        <w:rPr>
          <w:spacing w:val="1"/>
          <w:sz w:val="18"/>
        </w:rPr>
        <w:t xml:space="preserve"> </w:t>
      </w:r>
      <w:r>
        <w:rPr>
          <w:sz w:val="18"/>
        </w:rPr>
        <w:t>response</w:t>
      </w:r>
      <w:r>
        <w:rPr>
          <w:spacing w:val="-4"/>
          <w:sz w:val="18"/>
        </w:rPr>
        <w:t xml:space="preserve"> </w:t>
      </w:r>
      <w:r>
        <w:rPr>
          <w:sz w:val="18"/>
        </w:rPr>
        <w:t>to</w:t>
      </w:r>
      <w:r>
        <w:rPr>
          <w:spacing w:val="-9"/>
          <w:sz w:val="18"/>
        </w:rPr>
        <w:t xml:space="preserve"> </w:t>
      </w:r>
      <w:r>
        <w:rPr>
          <w:sz w:val="18"/>
        </w:rPr>
        <w:t>Panel</w:t>
      </w:r>
      <w:r>
        <w:rPr>
          <w:spacing w:val="-3"/>
          <w:sz w:val="18"/>
        </w:rPr>
        <w:t xml:space="preserve"> </w:t>
      </w:r>
      <w:r>
        <w:rPr>
          <w:sz w:val="18"/>
        </w:rPr>
        <w:t>question</w:t>
      </w:r>
      <w:r>
        <w:rPr>
          <w:spacing w:val="-5"/>
          <w:sz w:val="18"/>
        </w:rPr>
        <w:t xml:space="preserve"> </w:t>
      </w:r>
      <w:r>
        <w:rPr>
          <w:sz w:val="18"/>
        </w:rPr>
        <w:t>No.</w:t>
      </w:r>
      <w:r>
        <w:rPr>
          <w:spacing w:val="2"/>
          <w:sz w:val="18"/>
        </w:rPr>
        <w:t xml:space="preserve"> </w:t>
      </w:r>
      <w:r>
        <w:rPr>
          <w:sz w:val="18"/>
        </w:rPr>
        <w:t>49,</w:t>
      </w:r>
      <w:r>
        <w:rPr>
          <w:spacing w:val="-2"/>
          <w:sz w:val="18"/>
        </w:rPr>
        <w:t xml:space="preserve"> </w:t>
      </w:r>
      <w:r>
        <w:rPr>
          <w:sz w:val="18"/>
        </w:rPr>
        <w:t>para.</w:t>
      </w:r>
      <w:r>
        <w:rPr>
          <w:spacing w:val="-3"/>
          <w:sz w:val="18"/>
        </w:rPr>
        <w:t xml:space="preserve"> </w:t>
      </w:r>
      <w:r>
        <w:rPr>
          <w:spacing w:val="-4"/>
          <w:sz w:val="18"/>
        </w:rPr>
        <w:t>295.</w:t>
      </w:r>
    </w:p>
    <w:p w14:paraId="26310F2E" w14:textId="77777777" w:rsidR="00BD462C" w:rsidRDefault="00033D0F">
      <w:pPr>
        <w:spacing w:before="1"/>
        <w:ind w:left="135" w:right="906"/>
        <w:jc w:val="both"/>
        <w:rPr>
          <w:sz w:val="18"/>
        </w:rPr>
      </w:pPr>
      <w:bookmarkStart w:id="1326" w:name="_bookmark1144"/>
      <w:bookmarkEnd w:id="1326"/>
      <w:r>
        <w:rPr>
          <w:position w:val="5"/>
          <w:sz w:val="12"/>
        </w:rPr>
        <w:t>985</w:t>
      </w:r>
      <w:r>
        <w:rPr>
          <w:spacing w:val="40"/>
          <w:position w:val="5"/>
          <w:sz w:val="12"/>
        </w:rPr>
        <w:t xml:space="preserve"> </w:t>
      </w:r>
      <w:r>
        <w:rPr>
          <w:sz w:val="18"/>
        </w:rPr>
        <w:t>Anti-Dumping Final Determination (Exhibit AUS-2), p. 108 ("Australian Grape &amp; Wine Incorporated claimed in its Comments</w:t>
      </w:r>
      <w:r>
        <w:rPr>
          <w:spacing w:val="-2"/>
          <w:sz w:val="18"/>
        </w:rPr>
        <w:t xml:space="preserve"> </w:t>
      </w:r>
      <w:r>
        <w:rPr>
          <w:sz w:val="18"/>
        </w:rPr>
        <w:t>on</w:t>
      </w:r>
      <w:r>
        <w:rPr>
          <w:spacing w:val="-3"/>
          <w:sz w:val="18"/>
        </w:rPr>
        <w:t xml:space="preserve"> </w:t>
      </w:r>
      <w:r>
        <w:rPr>
          <w:sz w:val="18"/>
        </w:rPr>
        <w:t>the</w:t>
      </w:r>
      <w:r>
        <w:rPr>
          <w:spacing w:val="-7"/>
          <w:sz w:val="18"/>
        </w:rPr>
        <w:t xml:space="preserve"> </w:t>
      </w:r>
      <w:r>
        <w:rPr>
          <w:sz w:val="18"/>
        </w:rPr>
        <w:t>Ministry</w:t>
      </w:r>
      <w:r>
        <w:rPr>
          <w:spacing w:val="-4"/>
          <w:sz w:val="18"/>
        </w:rPr>
        <w:t xml:space="preserve"> </w:t>
      </w:r>
      <w:r>
        <w:rPr>
          <w:sz w:val="18"/>
        </w:rPr>
        <w:t>of</w:t>
      </w:r>
      <w:r>
        <w:rPr>
          <w:spacing w:val="-1"/>
          <w:sz w:val="18"/>
        </w:rPr>
        <w:t xml:space="preserve"> </w:t>
      </w:r>
      <w:r>
        <w:rPr>
          <w:sz w:val="18"/>
        </w:rPr>
        <w:t>Commerce</w:t>
      </w:r>
      <w:r>
        <w:rPr>
          <w:spacing w:val="-7"/>
          <w:sz w:val="18"/>
        </w:rPr>
        <w:t xml:space="preserve"> </w:t>
      </w:r>
      <w:r>
        <w:rPr>
          <w:sz w:val="18"/>
        </w:rPr>
        <w:t>Initiating</w:t>
      </w:r>
      <w:r>
        <w:rPr>
          <w:spacing w:val="-2"/>
          <w:sz w:val="18"/>
        </w:rPr>
        <w:t xml:space="preserve"> </w:t>
      </w:r>
      <w:r>
        <w:rPr>
          <w:sz w:val="18"/>
        </w:rPr>
        <w:t>the</w:t>
      </w:r>
      <w:r>
        <w:rPr>
          <w:spacing w:val="-2"/>
          <w:sz w:val="18"/>
        </w:rPr>
        <w:t xml:space="preserve"> </w:t>
      </w:r>
      <w:r>
        <w:rPr>
          <w:sz w:val="18"/>
        </w:rPr>
        <w:t>Anti-Dumping</w:t>
      </w:r>
      <w:r>
        <w:rPr>
          <w:spacing w:val="-2"/>
          <w:sz w:val="18"/>
        </w:rPr>
        <w:t xml:space="preserve"> </w:t>
      </w:r>
      <w:r>
        <w:rPr>
          <w:sz w:val="18"/>
        </w:rPr>
        <w:t>Investigation</w:t>
      </w:r>
      <w:r>
        <w:rPr>
          <w:spacing w:val="-3"/>
          <w:sz w:val="18"/>
        </w:rPr>
        <w:t xml:space="preserve"> </w:t>
      </w:r>
      <w:r>
        <w:rPr>
          <w:sz w:val="18"/>
        </w:rPr>
        <w:t>into</w:t>
      </w:r>
      <w:r>
        <w:rPr>
          <w:spacing w:val="-3"/>
          <w:sz w:val="18"/>
        </w:rPr>
        <w:t xml:space="preserve"> </w:t>
      </w:r>
      <w:r>
        <w:rPr>
          <w:sz w:val="18"/>
        </w:rPr>
        <w:t>Relevant</w:t>
      </w:r>
      <w:r>
        <w:rPr>
          <w:spacing w:val="-6"/>
          <w:sz w:val="18"/>
        </w:rPr>
        <w:t xml:space="preserve"> </w:t>
      </w:r>
      <w:r>
        <w:rPr>
          <w:sz w:val="18"/>
        </w:rPr>
        <w:t>Imported</w:t>
      </w:r>
      <w:r>
        <w:rPr>
          <w:spacing w:val="-7"/>
          <w:sz w:val="18"/>
        </w:rPr>
        <w:t xml:space="preserve"> </w:t>
      </w:r>
      <w:r>
        <w:rPr>
          <w:sz w:val="18"/>
        </w:rPr>
        <w:t>Wines</w:t>
      </w:r>
      <w:r>
        <w:rPr>
          <w:spacing w:val="-2"/>
          <w:sz w:val="18"/>
        </w:rPr>
        <w:t xml:space="preserve"> </w:t>
      </w:r>
      <w:r>
        <w:rPr>
          <w:sz w:val="18"/>
        </w:rPr>
        <w:t xml:space="preserve">Originating in Australia that they were </w:t>
      </w:r>
      <w:proofErr w:type="spellStart"/>
      <w:r>
        <w:rPr>
          <w:sz w:val="18"/>
        </w:rPr>
        <w:t>sceptical</w:t>
      </w:r>
      <w:proofErr w:type="spellEnd"/>
      <w:r>
        <w:rPr>
          <w:sz w:val="18"/>
        </w:rPr>
        <w:t xml:space="preserve"> about the overall output of Chinese wines provided in the Application because there were some problems in the reliability of its market statistics. It believed that some statistics were 'counted twice' in the application form"). See also China's response to Panel question No. 49, paras. 294-295.</w:t>
      </w:r>
    </w:p>
    <w:p w14:paraId="4320287C" w14:textId="77777777" w:rsidR="00BD462C" w:rsidRDefault="00033D0F">
      <w:pPr>
        <w:spacing w:line="242" w:lineRule="auto"/>
        <w:ind w:left="135" w:right="908"/>
        <w:jc w:val="both"/>
        <w:rPr>
          <w:sz w:val="18"/>
        </w:rPr>
      </w:pPr>
      <w:bookmarkStart w:id="1327" w:name="_bookmark1145"/>
      <w:bookmarkEnd w:id="1327"/>
      <w:r>
        <w:rPr>
          <w:position w:val="5"/>
          <w:sz w:val="12"/>
        </w:rPr>
        <w:t>986</w:t>
      </w:r>
      <w:r>
        <w:rPr>
          <w:spacing w:val="20"/>
          <w:position w:val="5"/>
          <w:sz w:val="12"/>
        </w:rPr>
        <w:t xml:space="preserve"> </w:t>
      </w:r>
      <w:r>
        <w:rPr>
          <w:sz w:val="18"/>
        </w:rPr>
        <w:t>See Australia's first written submission, paras. 757-764; and China's response to Panel question No. 49, para. 293. China attempts to justify MOFCOM's failure by asserting that "all products classifiable under HS Code 22042100 were included in the scope of the investigation" and says that this included</w:t>
      </w:r>
      <w:r>
        <w:rPr>
          <w:spacing w:val="-3"/>
          <w:sz w:val="18"/>
        </w:rPr>
        <w:t xml:space="preserve"> </w:t>
      </w:r>
      <w:r>
        <w:rPr>
          <w:sz w:val="18"/>
        </w:rPr>
        <w:t>some liqueur wines.</w:t>
      </w:r>
      <w:r>
        <w:rPr>
          <w:spacing w:val="-1"/>
          <w:sz w:val="18"/>
        </w:rPr>
        <w:t xml:space="preserve"> </w:t>
      </w:r>
      <w:r>
        <w:rPr>
          <w:sz w:val="18"/>
        </w:rPr>
        <w:t>Even</w:t>
      </w:r>
      <w:r>
        <w:rPr>
          <w:spacing w:val="-3"/>
          <w:sz w:val="18"/>
        </w:rPr>
        <w:t xml:space="preserve"> </w:t>
      </w:r>
      <w:r>
        <w:rPr>
          <w:sz w:val="18"/>
        </w:rPr>
        <w:t>if this</w:t>
      </w:r>
      <w:r>
        <w:rPr>
          <w:spacing w:val="-2"/>
          <w:sz w:val="18"/>
        </w:rPr>
        <w:t xml:space="preserve"> </w:t>
      </w:r>
      <w:r>
        <w:rPr>
          <w:sz w:val="18"/>
        </w:rPr>
        <w:t>is the case, it is</w:t>
      </w:r>
      <w:r>
        <w:rPr>
          <w:spacing w:val="-2"/>
          <w:sz w:val="18"/>
        </w:rPr>
        <w:t xml:space="preserve"> </w:t>
      </w:r>
      <w:r>
        <w:rPr>
          <w:sz w:val="18"/>
        </w:rPr>
        <w:t>not an answer to the deficiencies</w:t>
      </w:r>
      <w:r>
        <w:rPr>
          <w:spacing w:val="-3"/>
          <w:sz w:val="18"/>
        </w:rPr>
        <w:t xml:space="preserve"> </w:t>
      </w:r>
      <w:r>
        <w:rPr>
          <w:sz w:val="18"/>
        </w:rPr>
        <w:t>in the data, which</w:t>
      </w:r>
      <w:r>
        <w:rPr>
          <w:spacing w:val="-4"/>
          <w:sz w:val="18"/>
        </w:rPr>
        <w:t xml:space="preserve"> </w:t>
      </w:r>
      <w:r>
        <w:rPr>
          <w:sz w:val="18"/>
        </w:rPr>
        <w:t>included a range of other wine</w:t>
      </w:r>
      <w:r>
        <w:rPr>
          <w:spacing w:val="-3"/>
          <w:sz w:val="18"/>
        </w:rPr>
        <w:t xml:space="preserve"> </w:t>
      </w:r>
      <w:r>
        <w:rPr>
          <w:sz w:val="18"/>
        </w:rPr>
        <w:t>products</w:t>
      </w:r>
      <w:r>
        <w:rPr>
          <w:spacing w:val="-3"/>
          <w:sz w:val="18"/>
        </w:rPr>
        <w:t xml:space="preserve"> </w:t>
      </w:r>
      <w:r>
        <w:rPr>
          <w:sz w:val="18"/>
        </w:rPr>
        <w:t>that all</w:t>
      </w:r>
      <w:r>
        <w:rPr>
          <w:spacing w:val="-2"/>
          <w:sz w:val="18"/>
        </w:rPr>
        <w:t xml:space="preserve"> </w:t>
      </w:r>
      <w:r>
        <w:rPr>
          <w:sz w:val="18"/>
        </w:rPr>
        <w:t>parties accept were</w:t>
      </w:r>
      <w:r>
        <w:rPr>
          <w:spacing w:val="-1"/>
          <w:sz w:val="18"/>
        </w:rPr>
        <w:t xml:space="preserve"> </w:t>
      </w:r>
      <w:r>
        <w:rPr>
          <w:sz w:val="18"/>
        </w:rPr>
        <w:t>outside of the scope of the investigation, such as bulk wines.</w:t>
      </w:r>
    </w:p>
    <w:p w14:paraId="43BDEF8B" w14:textId="77777777" w:rsidR="00BD462C" w:rsidRDefault="00BD462C">
      <w:pPr>
        <w:spacing w:line="242" w:lineRule="auto"/>
        <w:jc w:val="both"/>
        <w:rPr>
          <w:sz w:val="18"/>
        </w:rPr>
        <w:sectPr w:rsidR="00BD462C">
          <w:pgSz w:w="11910" w:h="16840"/>
          <w:pgMar w:top="860" w:right="500" w:bottom="780" w:left="1280" w:header="566" w:footer="590" w:gutter="0"/>
          <w:cols w:space="720"/>
        </w:sectPr>
      </w:pPr>
    </w:p>
    <w:p w14:paraId="689B80CF"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30A972D2"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6FA6B229"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690DC0DC" w14:textId="77777777" w:rsidR="00BD462C" w:rsidRDefault="00033D0F">
      <w:pPr>
        <w:pStyle w:val="BodyText"/>
        <w:spacing w:before="102" w:line="360" w:lineRule="auto"/>
        <w:ind w:left="135" w:right="907"/>
        <w:jc w:val="both"/>
      </w:pPr>
      <w:r>
        <w:t>to identify 90% of total domestic production.</w:t>
      </w:r>
      <w:hyperlink w:anchor="_bookmark1147" w:history="1">
        <w:r>
          <w:rPr>
            <w:vertAlign w:val="superscript"/>
          </w:rPr>
          <w:t>987</w:t>
        </w:r>
      </w:hyperlink>
      <w:r>
        <w:t xml:space="preserve"> China's response, that "there is nothing on the record to suggest that the 'missing 10%' were CADA members",</w:t>
      </w:r>
      <w:hyperlink w:anchor="_bookmark1148" w:history="1">
        <w:r>
          <w:rPr>
            <w:vertAlign w:val="superscript"/>
          </w:rPr>
          <w:t>988</w:t>
        </w:r>
      </w:hyperlink>
      <w:r>
        <w:t xml:space="preserve"> is irrelevant. Australia does not argue that CADA represented the missing 10%. Rather, Australia argues that this missing 10% of total domestic production should have been included in the volume of total domestic</w:t>
      </w:r>
      <w:r>
        <w:rPr>
          <w:spacing w:val="-5"/>
        </w:rPr>
        <w:t xml:space="preserve"> </w:t>
      </w:r>
      <w:r>
        <w:t>production</w:t>
      </w:r>
      <w:r>
        <w:rPr>
          <w:spacing w:val="-5"/>
        </w:rPr>
        <w:t xml:space="preserve"> </w:t>
      </w:r>
      <w:r>
        <w:t>that</w:t>
      </w:r>
      <w:r>
        <w:rPr>
          <w:spacing w:val="-3"/>
        </w:rPr>
        <w:t xml:space="preserve"> </w:t>
      </w:r>
      <w:r>
        <w:t>CADA</w:t>
      </w:r>
      <w:r>
        <w:rPr>
          <w:spacing w:val="-4"/>
        </w:rPr>
        <w:t xml:space="preserve"> </w:t>
      </w:r>
      <w:r>
        <w:t>relied</w:t>
      </w:r>
      <w:r>
        <w:rPr>
          <w:spacing w:val="-5"/>
        </w:rPr>
        <w:t xml:space="preserve"> </w:t>
      </w:r>
      <w:r>
        <w:t>upon</w:t>
      </w:r>
      <w:r>
        <w:rPr>
          <w:spacing w:val="-5"/>
        </w:rPr>
        <w:t xml:space="preserve"> </w:t>
      </w:r>
      <w:r>
        <w:t>(had</w:t>
      </w:r>
      <w:r>
        <w:rPr>
          <w:spacing w:val="-5"/>
        </w:rPr>
        <w:t xml:space="preserve"> </w:t>
      </w:r>
      <w:r>
        <w:t>it</w:t>
      </w:r>
      <w:r>
        <w:rPr>
          <w:spacing w:val="-3"/>
        </w:rPr>
        <w:t xml:space="preserve"> </w:t>
      </w:r>
      <w:r>
        <w:t>been</w:t>
      </w:r>
      <w:r>
        <w:rPr>
          <w:spacing w:val="-5"/>
        </w:rPr>
        <w:t xml:space="preserve"> </w:t>
      </w:r>
      <w:r>
        <w:t>based</w:t>
      </w:r>
      <w:r>
        <w:rPr>
          <w:spacing w:val="-5"/>
        </w:rPr>
        <w:t xml:space="preserve"> </w:t>
      </w:r>
      <w:r>
        <w:t>on</w:t>
      </w:r>
      <w:r>
        <w:rPr>
          <w:spacing w:val="-5"/>
        </w:rPr>
        <w:t xml:space="preserve"> </w:t>
      </w:r>
      <w:r>
        <w:t>accurate</w:t>
      </w:r>
      <w:r>
        <w:rPr>
          <w:spacing w:val="-3"/>
        </w:rPr>
        <w:t xml:space="preserve"> </w:t>
      </w:r>
      <w:r>
        <w:t>data).</w:t>
      </w:r>
      <w:r>
        <w:rPr>
          <w:spacing w:val="-2"/>
        </w:rPr>
        <w:t xml:space="preserve"> </w:t>
      </w:r>
      <w:r>
        <w:t>Excluding</w:t>
      </w:r>
      <w:r>
        <w:rPr>
          <w:spacing w:val="-2"/>
        </w:rPr>
        <w:t xml:space="preserve"> </w:t>
      </w:r>
      <w:r>
        <w:t>a proportion</w:t>
      </w:r>
      <w:r>
        <w:rPr>
          <w:spacing w:val="-1"/>
        </w:rPr>
        <w:t xml:space="preserve"> </w:t>
      </w:r>
      <w:r>
        <w:t>of domestic production</w:t>
      </w:r>
      <w:r>
        <w:rPr>
          <w:spacing w:val="-1"/>
        </w:rPr>
        <w:t xml:space="preserve"> </w:t>
      </w:r>
      <w:r>
        <w:t>from the figure for</w:t>
      </w:r>
      <w:r>
        <w:rPr>
          <w:spacing w:val="-1"/>
        </w:rPr>
        <w:t xml:space="preserve"> </w:t>
      </w:r>
      <w:r>
        <w:t>total domestic output would</w:t>
      </w:r>
      <w:r>
        <w:rPr>
          <w:spacing w:val="-1"/>
        </w:rPr>
        <w:t xml:space="preserve"> </w:t>
      </w:r>
      <w:r>
        <w:t>skew the proportion calculated under Article 5.4.</w:t>
      </w:r>
      <w:hyperlink w:anchor="_bookmark1149" w:history="1">
        <w:r>
          <w:rPr>
            <w:vertAlign w:val="superscript"/>
          </w:rPr>
          <w:t>989</w:t>
        </w:r>
      </w:hyperlink>
      <w:r>
        <w:t xml:space="preserve"> Furthermore, China states that a 10% error is immaterial if</w:t>
      </w:r>
      <w:r>
        <w:rPr>
          <w:spacing w:val="-2"/>
        </w:rPr>
        <w:t xml:space="preserve"> </w:t>
      </w:r>
      <w:r>
        <w:t>CADA's figures are correct.</w:t>
      </w:r>
      <w:hyperlink w:anchor="_bookmark1150" w:history="1">
        <w:r>
          <w:rPr>
            <w:vertAlign w:val="superscript"/>
          </w:rPr>
          <w:t>990</w:t>
        </w:r>
      </w:hyperlink>
      <w:r>
        <w:t xml:space="preserve"> China’s response misses the</w:t>
      </w:r>
      <w:r>
        <w:rPr>
          <w:spacing w:val="-1"/>
        </w:rPr>
        <w:t xml:space="preserve"> </w:t>
      </w:r>
      <w:r>
        <w:t>point. Given</w:t>
      </w:r>
      <w:r>
        <w:rPr>
          <w:spacing w:val="-2"/>
        </w:rPr>
        <w:t xml:space="preserve"> </w:t>
      </w:r>
      <w:r>
        <w:t>the</w:t>
      </w:r>
      <w:r>
        <w:rPr>
          <w:spacing w:val="-1"/>
        </w:rPr>
        <w:t xml:space="preserve"> </w:t>
      </w:r>
      <w:r>
        <w:t>data CADA</w:t>
      </w:r>
      <w:r>
        <w:rPr>
          <w:spacing w:val="-7"/>
        </w:rPr>
        <w:t xml:space="preserve"> </w:t>
      </w:r>
      <w:r>
        <w:t>submitted</w:t>
      </w:r>
      <w:r>
        <w:rPr>
          <w:spacing w:val="-9"/>
        </w:rPr>
        <w:t xml:space="preserve"> </w:t>
      </w:r>
      <w:r>
        <w:t>contained</w:t>
      </w:r>
      <w:r>
        <w:rPr>
          <w:spacing w:val="-9"/>
        </w:rPr>
        <w:t xml:space="preserve"> </w:t>
      </w:r>
      <w:r>
        <w:t>clear</w:t>
      </w:r>
      <w:r>
        <w:rPr>
          <w:spacing w:val="-10"/>
        </w:rPr>
        <w:t xml:space="preserve"> </w:t>
      </w:r>
      <w:r>
        <w:t>errors,</w:t>
      </w:r>
      <w:r>
        <w:rPr>
          <w:spacing w:val="-5"/>
        </w:rPr>
        <w:t xml:space="preserve"> </w:t>
      </w:r>
      <w:r>
        <w:t>such</w:t>
      </w:r>
      <w:r>
        <w:rPr>
          <w:spacing w:val="-9"/>
        </w:rPr>
        <w:t xml:space="preserve"> </w:t>
      </w:r>
      <w:r>
        <w:t>as</w:t>
      </w:r>
      <w:r>
        <w:rPr>
          <w:spacing w:val="-6"/>
        </w:rPr>
        <w:t xml:space="preserve"> </w:t>
      </w:r>
      <w:r>
        <w:t>the</w:t>
      </w:r>
      <w:r>
        <w:rPr>
          <w:spacing w:val="-7"/>
        </w:rPr>
        <w:t xml:space="preserve"> </w:t>
      </w:r>
      <w:r>
        <w:t>inclusion</w:t>
      </w:r>
      <w:r>
        <w:rPr>
          <w:spacing w:val="-9"/>
        </w:rPr>
        <w:t xml:space="preserve"> </w:t>
      </w:r>
      <w:r>
        <w:t>of</w:t>
      </w:r>
      <w:r>
        <w:rPr>
          <w:spacing w:val="-9"/>
        </w:rPr>
        <w:t xml:space="preserve"> </w:t>
      </w:r>
      <w:r>
        <w:t>products</w:t>
      </w:r>
      <w:r>
        <w:rPr>
          <w:spacing w:val="-6"/>
        </w:rPr>
        <w:t xml:space="preserve"> </w:t>
      </w:r>
      <w:r>
        <w:t>outside</w:t>
      </w:r>
      <w:r>
        <w:rPr>
          <w:spacing w:val="-7"/>
        </w:rPr>
        <w:t xml:space="preserve"> </w:t>
      </w:r>
      <w:r>
        <w:t>the</w:t>
      </w:r>
      <w:r>
        <w:rPr>
          <w:spacing w:val="-7"/>
        </w:rPr>
        <w:t xml:space="preserve"> </w:t>
      </w:r>
      <w:r>
        <w:t>scope</w:t>
      </w:r>
      <w:r>
        <w:rPr>
          <w:spacing w:val="-7"/>
        </w:rPr>
        <w:t xml:space="preserve"> </w:t>
      </w:r>
      <w:r>
        <w:t>of the investigation, the omission of 10% of total domestic production may have had the potential</w:t>
      </w:r>
      <w:r>
        <w:rPr>
          <w:spacing w:val="-14"/>
        </w:rPr>
        <w:t xml:space="preserve"> </w:t>
      </w:r>
      <w:r>
        <w:t>to</w:t>
      </w:r>
      <w:r>
        <w:rPr>
          <w:spacing w:val="-14"/>
        </w:rPr>
        <w:t xml:space="preserve"> </w:t>
      </w:r>
      <w:r>
        <w:t>be</w:t>
      </w:r>
      <w:r>
        <w:rPr>
          <w:spacing w:val="-13"/>
        </w:rPr>
        <w:t xml:space="preserve"> </w:t>
      </w:r>
      <w:r>
        <w:t>of</w:t>
      </w:r>
      <w:r>
        <w:rPr>
          <w:spacing w:val="-14"/>
        </w:rPr>
        <w:t xml:space="preserve"> </w:t>
      </w:r>
      <w:r>
        <w:t>decisive</w:t>
      </w:r>
      <w:r>
        <w:rPr>
          <w:spacing w:val="-13"/>
        </w:rPr>
        <w:t xml:space="preserve"> </w:t>
      </w:r>
      <w:r>
        <w:t>significance</w:t>
      </w:r>
      <w:r>
        <w:rPr>
          <w:spacing w:val="-14"/>
        </w:rPr>
        <w:t xml:space="preserve"> </w:t>
      </w:r>
      <w:r>
        <w:t>to</w:t>
      </w:r>
      <w:r>
        <w:rPr>
          <w:spacing w:val="-13"/>
        </w:rPr>
        <w:t xml:space="preserve"> </w:t>
      </w:r>
      <w:r>
        <w:t>whether,</w:t>
      </w:r>
      <w:r>
        <w:rPr>
          <w:spacing w:val="-14"/>
        </w:rPr>
        <w:t xml:space="preserve"> </w:t>
      </w:r>
      <w:r>
        <w:t>on</w:t>
      </w:r>
      <w:r>
        <w:rPr>
          <w:spacing w:val="-14"/>
        </w:rPr>
        <w:t xml:space="preserve"> </w:t>
      </w:r>
      <w:r>
        <w:t>the</w:t>
      </w:r>
      <w:r>
        <w:rPr>
          <w:spacing w:val="-13"/>
        </w:rPr>
        <w:t xml:space="preserve"> </w:t>
      </w:r>
      <w:r>
        <w:t>basis</w:t>
      </w:r>
      <w:r>
        <w:rPr>
          <w:spacing w:val="-14"/>
        </w:rPr>
        <w:t xml:space="preserve"> </w:t>
      </w:r>
      <w:r>
        <w:t>of</w:t>
      </w:r>
      <w:r>
        <w:rPr>
          <w:spacing w:val="-13"/>
        </w:rPr>
        <w:t xml:space="preserve"> </w:t>
      </w:r>
      <w:r>
        <w:t>accurate</w:t>
      </w:r>
      <w:r>
        <w:rPr>
          <w:spacing w:val="-14"/>
        </w:rPr>
        <w:t xml:space="preserve"> </w:t>
      </w:r>
      <w:r>
        <w:t>data,</w:t>
      </w:r>
      <w:r>
        <w:rPr>
          <w:spacing w:val="-13"/>
        </w:rPr>
        <w:t xml:space="preserve"> </w:t>
      </w:r>
      <w:r>
        <w:t>the</w:t>
      </w:r>
      <w:r>
        <w:rPr>
          <w:spacing w:val="-14"/>
        </w:rPr>
        <w:t xml:space="preserve"> </w:t>
      </w:r>
      <w:r>
        <w:t>numerical thresholds in Article 5.4 have been satisfied.</w:t>
      </w:r>
    </w:p>
    <w:p w14:paraId="4FAC9C66" w14:textId="77777777" w:rsidR="00BD462C" w:rsidRDefault="00033D0F">
      <w:pPr>
        <w:pStyle w:val="Heading3"/>
        <w:numPr>
          <w:ilvl w:val="0"/>
          <w:numId w:val="41"/>
        </w:numPr>
        <w:tabs>
          <w:tab w:val="left" w:pos="2689"/>
          <w:tab w:val="left" w:pos="2690"/>
        </w:tabs>
        <w:spacing w:before="161" w:line="357" w:lineRule="auto"/>
        <w:ind w:right="914"/>
      </w:pPr>
      <w:bookmarkStart w:id="1328" w:name="4._China_failed_to_require_CADA_to_provi"/>
      <w:bookmarkStart w:id="1329" w:name="_bookmark1146"/>
      <w:bookmarkEnd w:id="1328"/>
      <w:bookmarkEnd w:id="1329"/>
      <w:r>
        <w:t>China failed to require CADA to provide a list of all known domestic producers</w:t>
      </w:r>
    </w:p>
    <w:p w14:paraId="2BF8E526" w14:textId="77777777" w:rsidR="00BD462C" w:rsidRDefault="00BD462C">
      <w:pPr>
        <w:pStyle w:val="BodyText"/>
        <w:spacing w:before="2"/>
        <w:rPr>
          <w:b/>
          <w:sz w:val="9"/>
        </w:rPr>
      </w:pPr>
    </w:p>
    <w:p w14:paraId="067BB275" w14:textId="06B59702" w:rsidR="00BD462C" w:rsidRDefault="00B316AF">
      <w:pPr>
        <w:pStyle w:val="BodyText"/>
        <w:spacing w:before="56" w:line="360" w:lineRule="auto"/>
        <w:ind w:left="136" w:right="917"/>
        <w:jc w:val="both"/>
      </w:pPr>
      <w:r>
        <w:rPr>
          <w:noProof/>
        </w:rPr>
        <w:t>625.</w:t>
      </w:r>
      <w:r w:rsidR="00033D0F">
        <w:rPr>
          <w:rFonts w:ascii="Times New Roman"/>
          <w:spacing w:val="80"/>
          <w:position w:val="1"/>
          <w:sz w:val="20"/>
        </w:rPr>
        <w:t xml:space="preserve">  </w:t>
      </w:r>
      <w:r w:rsidR="00033D0F">
        <w:rPr>
          <w:position w:val="1"/>
        </w:rPr>
        <w:t>China</w:t>
      </w:r>
      <w:r w:rsidR="00033D0F">
        <w:rPr>
          <w:spacing w:val="-9"/>
          <w:position w:val="1"/>
        </w:rPr>
        <w:t xml:space="preserve"> </w:t>
      </w:r>
      <w:r w:rsidR="00033D0F">
        <w:rPr>
          <w:position w:val="1"/>
        </w:rPr>
        <w:t>breached</w:t>
      </w:r>
      <w:r w:rsidR="00033D0F">
        <w:rPr>
          <w:spacing w:val="-10"/>
          <w:position w:val="1"/>
        </w:rPr>
        <w:t xml:space="preserve"> </w:t>
      </w:r>
      <w:r w:rsidR="00033D0F">
        <w:rPr>
          <w:position w:val="1"/>
        </w:rPr>
        <w:t>its</w:t>
      </w:r>
      <w:r w:rsidR="00033D0F">
        <w:rPr>
          <w:spacing w:val="-7"/>
          <w:position w:val="1"/>
        </w:rPr>
        <w:t xml:space="preserve"> </w:t>
      </w:r>
      <w:r w:rsidR="00033D0F">
        <w:rPr>
          <w:position w:val="1"/>
        </w:rPr>
        <w:t>obligations</w:t>
      </w:r>
      <w:r w:rsidR="00033D0F">
        <w:rPr>
          <w:spacing w:val="-7"/>
          <w:position w:val="1"/>
        </w:rPr>
        <w:t xml:space="preserve"> </w:t>
      </w:r>
      <w:r w:rsidR="00033D0F">
        <w:rPr>
          <w:position w:val="1"/>
        </w:rPr>
        <w:t>under</w:t>
      </w:r>
      <w:r w:rsidR="00033D0F">
        <w:rPr>
          <w:spacing w:val="-11"/>
          <w:position w:val="1"/>
        </w:rPr>
        <w:t xml:space="preserve"> </w:t>
      </w:r>
      <w:r w:rsidR="00033D0F">
        <w:rPr>
          <w:position w:val="1"/>
        </w:rPr>
        <w:t>Article</w:t>
      </w:r>
      <w:r w:rsidR="00033D0F">
        <w:rPr>
          <w:spacing w:val="-8"/>
          <w:position w:val="1"/>
        </w:rPr>
        <w:t xml:space="preserve"> </w:t>
      </w:r>
      <w:r w:rsidR="00033D0F">
        <w:rPr>
          <w:position w:val="1"/>
        </w:rPr>
        <w:t>5.2(i)</w:t>
      </w:r>
      <w:r w:rsidR="00033D0F">
        <w:rPr>
          <w:spacing w:val="-14"/>
          <w:position w:val="1"/>
        </w:rPr>
        <w:t xml:space="preserve"> </w:t>
      </w:r>
      <w:r w:rsidR="00033D0F">
        <w:rPr>
          <w:position w:val="1"/>
        </w:rPr>
        <w:t>of</w:t>
      </w:r>
      <w:r w:rsidR="00033D0F">
        <w:rPr>
          <w:spacing w:val="-9"/>
          <w:position w:val="1"/>
        </w:rPr>
        <w:t xml:space="preserve"> </w:t>
      </w:r>
      <w:r w:rsidR="00033D0F">
        <w:rPr>
          <w:position w:val="1"/>
        </w:rPr>
        <w:t>the</w:t>
      </w:r>
      <w:r w:rsidR="00033D0F">
        <w:rPr>
          <w:spacing w:val="-8"/>
          <w:position w:val="1"/>
        </w:rPr>
        <w:t xml:space="preserve"> </w:t>
      </w:r>
      <w:r w:rsidR="00033D0F">
        <w:rPr>
          <w:position w:val="1"/>
        </w:rPr>
        <w:t>Anti-Dumping</w:t>
      </w:r>
      <w:r w:rsidR="00033D0F">
        <w:rPr>
          <w:spacing w:val="-7"/>
          <w:position w:val="1"/>
        </w:rPr>
        <w:t xml:space="preserve"> </w:t>
      </w:r>
      <w:r w:rsidR="00033D0F">
        <w:rPr>
          <w:position w:val="1"/>
        </w:rPr>
        <w:t>Agreement</w:t>
      </w:r>
      <w:r w:rsidR="00033D0F">
        <w:rPr>
          <w:spacing w:val="-12"/>
          <w:position w:val="1"/>
        </w:rPr>
        <w:t xml:space="preserve"> </w:t>
      </w:r>
      <w:r w:rsidR="00033D0F">
        <w:rPr>
          <w:position w:val="1"/>
        </w:rPr>
        <w:t xml:space="preserve">by </w:t>
      </w:r>
      <w:r w:rsidR="00033D0F">
        <w:t>failing to require CADA to provide a list of all known domestic producers. China appears to accept that CADA only provided a list of CADA members, omitting any detail about the "hundreds" of other producers that CADA describes in general terms.</w:t>
      </w:r>
      <w:hyperlink w:anchor="_bookmark1151" w:history="1">
        <w:r w:rsidR="00033D0F">
          <w:rPr>
            <w:vertAlign w:val="superscript"/>
          </w:rPr>
          <w:t>991</w:t>
        </w:r>
      </w:hyperlink>
    </w:p>
    <w:p w14:paraId="5279E933" w14:textId="77777777" w:rsidR="00BD462C" w:rsidRDefault="00BD462C">
      <w:pPr>
        <w:pStyle w:val="BodyText"/>
        <w:spacing w:before="8"/>
        <w:rPr>
          <w:sz w:val="8"/>
        </w:rPr>
      </w:pPr>
    </w:p>
    <w:p w14:paraId="29F43A4C" w14:textId="181C0F35" w:rsidR="00BD462C" w:rsidRDefault="00B316AF">
      <w:pPr>
        <w:pStyle w:val="BodyText"/>
        <w:spacing w:before="56" w:line="357" w:lineRule="auto"/>
        <w:ind w:left="135" w:right="918"/>
        <w:jc w:val="both"/>
      </w:pPr>
      <w:r>
        <w:rPr>
          <w:noProof/>
        </w:rPr>
        <w:t>626.</w:t>
      </w:r>
      <w:r w:rsidR="00033D0F">
        <w:rPr>
          <w:rFonts w:ascii="Times New Roman" w:hAnsi="Times New Roman"/>
          <w:spacing w:val="80"/>
          <w:w w:val="150"/>
          <w:position w:val="1"/>
          <w:sz w:val="20"/>
        </w:rPr>
        <w:t xml:space="preserve">  </w:t>
      </w:r>
      <w:r w:rsidR="00033D0F">
        <w:rPr>
          <w:position w:val="1"/>
        </w:rPr>
        <w:t>China</w:t>
      </w:r>
      <w:r w:rsidR="00033D0F">
        <w:rPr>
          <w:spacing w:val="-3"/>
          <w:position w:val="1"/>
        </w:rPr>
        <w:t xml:space="preserve"> </w:t>
      </w:r>
      <w:r w:rsidR="00033D0F">
        <w:rPr>
          <w:position w:val="1"/>
        </w:rPr>
        <w:t>submits</w:t>
      </w:r>
      <w:r w:rsidR="00033D0F">
        <w:rPr>
          <w:spacing w:val="-1"/>
          <w:position w:val="1"/>
        </w:rPr>
        <w:t xml:space="preserve"> </w:t>
      </w:r>
      <w:r w:rsidR="00033D0F">
        <w:rPr>
          <w:position w:val="1"/>
        </w:rPr>
        <w:t>that</w:t>
      </w:r>
      <w:r w:rsidR="00033D0F">
        <w:rPr>
          <w:spacing w:val="-2"/>
          <w:position w:val="1"/>
        </w:rPr>
        <w:t xml:space="preserve"> </w:t>
      </w:r>
      <w:r w:rsidR="00033D0F">
        <w:rPr>
          <w:position w:val="1"/>
        </w:rPr>
        <w:t>this</w:t>
      </w:r>
      <w:r w:rsidR="00033D0F">
        <w:rPr>
          <w:spacing w:val="-1"/>
          <w:position w:val="1"/>
        </w:rPr>
        <w:t xml:space="preserve"> </w:t>
      </w:r>
      <w:r w:rsidR="00033D0F">
        <w:rPr>
          <w:position w:val="1"/>
        </w:rPr>
        <w:t>is</w:t>
      </w:r>
      <w:r w:rsidR="00033D0F">
        <w:rPr>
          <w:spacing w:val="-1"/>
          <w:position w:val="1"/>
        </w:rPr>
        <w:t xml:space="preserve"> </w:t>
      </w:r>
      <w:r w:rsidR="00033D0F">
        <w:rPr>
          <w:position w:val="1"/>
        </w:rPr>
        <w:t>defensible, because</w:t>
      </w:r>
      <w:r w:rsidR="00033D0F">
        <w:rPr>
          <w:spacing w:val="-2"/>
          <w:position w:val="1"/>
        </w:rPr>
        <w:t xml:space="preserve"> </w:t>
      </w:r>
      <w:r w:rsidR="00033D0F">
        <w:rPr>
          <w:position w:val="1"/>
        </w:rPr>
        <w:t>it</w:t>
      </w:r>
      <w:r w:rsidR="00033D0F">
        <w:rPr>
          <w:spacing w:val="-2"/>
          <w:position w:val="1"/>
        </w:rPr>
        <w:t xml:space="preserve"> </w:t>
      </w:r>
      <w:r w:rsidR="00033D0F">
        <w:rPr>
          <w:position w:val="1"/>
        </w:rPr>
        <w:t>interprets</w:t>
      </w:r>
      <w:r w:rsidR="00033D0F">
        <w:rPr>
          <w:spacing w:val="-1"/>
          <w:position w:val="1"/>
        </w:rPr>
        <w:t xml:space="preserve"> </w:t>
      </w:r>
      <w:r w:rsidR="00033D0F">
        <w:rPr>
          <w:position w:val="1"/>
        </w:rPr>
        <w:t>Article</w:t>
      </w:r>
      <w:r w:rsidR="00033D0F">
        <w:rPr>
          <w:spacing w:val="-2"/>
          <w:position w:val="1"/>
        </w:rPr>
        <w:t xml:space="preserve"> </w:t>
      </w:r>
      <w:r w:rsidR="00033D0F">
        <w:rPr>
          <w:position w:val="1"/>
        </w:rPr>
        <w:t>5.2(i)</w:t>
      </w:r>
      <w:r w:rsidR="00033D0F">
        <w:rPr>
          <w:spacing w:val="-4"/>
          <w:position w:val="1"/>
        </w:rPr>
        <w:t xml:space="preserve"> </w:t>
      </w:r>
      <w:r w:rsidR="00033D0F">
        <w:rPr>
          <w:position w:val="1"/>
        </w:rPr>
        <w:t>to</w:t>
      </w:r>
      <w:r w:rsidR="00033D0F">
        <w:rPr>
          <w:spacing w:val="-4"/>
          <w:position w:val="1"/>
        </w:rPr>
        <w:t xml:space="preserve"> </w:t>
      </w:r>
      <w:r w:rsidR="00033D0F">
        <w:rPr>
          <w:position w:val="1"/>
        </w:rPr>
        <w:t xml:space="preserve">mean that </w:t>
      </w:r>
      <w:r w:rsidR="00033D0F">
        <w:t xml:space="preserve">the "application … only needs to include either a list of producers known to the applicant, </w:t>
      </w:r>
      <w:r w:rsidR="00033D0F">
        <w:rPr>
          <w:i/>
        </w:rPr>
        <w:t xml:space="preserve">or </w:t>
      </w:r>
      <w:r w:rsidR="00033D0F">
        <w:t>of the associations of domestic producers."</w:t>
      </w:r>
      <w:hyperlink w:anchor="_bookmark1152" w:history="1">
        <w:r w:rsidR="00033D0F">
          <w:rPr>
            <w:vertAlign w:val="superscript"/>
          </w:rPr>
          <w:t>992</w:t>
        </w:r>
      </w:hyperlink>
    </w:p>
    <w:p w14:paraId="196D3740" w14:textId="77777777" w:rsidR="00BD462C" w:rsidRDefault="00BD462C">
      <w:pPr>
        <w:pStyle w:val="BodyText"/>
        <w:spacing w:before="3"/>
        <w:rPr>
          <w:sz w:val="9"/>
        </w:rPr>
      </w:pPr>
    </w:p>
    <w:p w14:paraId="0DED4A3A" w14:textId="2F28BBBF" w:rsidR="00BD462C" w:rsidRDefault="007E218F">
      <w:pPr>
        <w:pStyle w:val="BodyText"/>
        <w:spacing w:before="56" w:line="355" w:lineRule="auto"/>
        <w:ind w:left="136" w:right="923"/>
      </w:pPr>
      <w:r>
        <w:rPr>
          <w:noProof/>
        </w:rPr>
        <mc:AlternateContent>
          <mc:Choice Requires="wps">
            <w:drawing>
              <wp:anchor distT="0" distB="0" distL="0" distR="0" simplePos="0" relativeHeight="488184320" behindDoc="1" locked="0" layoutInCell="1" allowOverlap="1" wp14:anchorId="77D21B61" wp14:editId="719F2D55">
                <wp:simplePos x="0" y="0"/>
                <wp:positionH relativeFrom="page">
                  <wp:posOffset>812800</wp:posOffset>
                </wp:positionH>
                <wp:positionV relativeFrom="paragraph">
                  <wp:posOffset>708025</wp:posOffset>
                </wp:positionV>
                <wp:extent cx="1828800" cy="8890"/>
                <wp:effectExtent l="0" t="0" r="0" b="0"/>
                <wp:wrapTopAndBottom/>
                <wp:docPr id="159" name="docshape6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60A17" id="docshape664" o:spid="_x0000_s1026" alt="&quot;&quot;" style="position:absolute;margin-left:64pt;margin-top:55.75pt;width:2in;height:.7pt;z-index:-1513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" fillcolor="black" stroked="f">
                <w10:wrap type="topAndBottom" anchorx="page"/>
              </v:rect>
            </w:pict>
          </mc:Fallback>
        </mc:AlternateContent>
      </w:r>
      <w:r w:rsidR="00B316AF">
        <w:rPr>
          <w:noProof/>
        </w:rPr>
        <w:t>627.</w:t>
      </w:r>
      <w:r w:rsidR="00033D0F">
        <w:rPr>
          <w:rFonts w:ascii="Times New Roman"/>
          <w:spacing w:val="80"/>
          <w:position w:val="1"/>
          <w:sz w:val="20"/>
        </w:rPr>
        <w:t xml:space="preserve">   </w:t>
      </w:r>
      <w:r w:rsidR="00033D0F">
        <w:rPr>
          <w:position w:val="1"/>
        </w:rPr>
        <w:t>This</w:t>
      </w:r>
      <w:r w:rsidR="00033D0F">
        <w:rPr>
          <w:spacing w:val="17"/>
          <w:position w:val="1"/>
        </w:rPr>
        <w:t xml:space="preserve"> </w:t>
      </w:r>
      <w:r w:rsidR="00033D0F">
        <w:rPr>
          <w:position w:val="1"/>
        </w:rPr>
        <w:t>interpretation is</w:t>
      </w:r>
      <w:r w:rsidR="00033D0F">
        <w:rPr>
          <w:spacing w:val="17"/>
          <w:position w:val="1"/>
        </w:rPr>
        <w:t xml:space="preserve"> </w:t>
      </w:r>
      <w:r w:rsidR="00033D0F">
        <w:rPr>
          <w:position w:val="1"/>
        </w:rPr>
        <w:t>contrary</w:t>
      </w:r>
      <w:r w:rsidR="00033D0F">
        <w:rPr>
          <w:spacing w:val="17"/>
          <w:position w:val="1"/>
        </w:rPr>
        <w:t xml:space="preserve"> </w:t>
      </w:r>
      <w:r w:rsidR="00033D0F">
        <w:rPr>
          <w:position w:val="1"/>
        </w:rPr>
        <w:t>to the evident purpose of the clause of</w:t>
      </w:r>
      <w:r w:rsidR="00033D0F">
        <w:rPr>
          <w:spacing w:val="19"/>
          <w:position w:val="1"/>
        </w:rPr>
        <w:t xml:space="preserve"> </w:t>
      </w:r>
      <w:r w:rsidR="00033D0F">
        <w:rPr>
          <w:position w:val="1"/>
        </w:rPr>
        <w:t>Article</w:t>
      </w:r>
      <w:r w:rsidR="00033D0F">
        <w:rPr>
          <w:spacing w:val="-1"/>
          <w:position w:val="1"/>
        </w:rPr>
        <w:t xml:space="preserve"> </w:t>
      </w:r>
      <w:r w:rsidR="00033D0F">
        <w:rPr>
          <w:position w:val="1"/>
        </w:rPr>
        <w:t xml:space="preserve">5.2(i) </w:t>
      </w:r>
      <w:r w:rsidR="00033D0F">
        <w:t>"(or</w:t>
      </w:r>
      <w:r w:rsidR="00033D0F">
        <w:rPr>
          <w:spacing w:val="11"/>
        </w:rPr>
        <w:t xml:space="preserve"> </w:t>
      </w:r>
      <w:r w:rsidR="00033D0F">
        <w:t>associations</w:t>
      </w:r>
      <w:r w:rsidR="00033D0F">
        <w:rPr>
          <w:spacing w:val="17"/>
        </w:rPr>
        <w:t xml:space="preserve"> </w:t>
      </w:r>
      <w:r w:rsidR="00033D0F">
        <w:t>of</w:t>
      </w:r>
      <w:r w:rsidR="00033D0F">
        <w:rPr>
          <w:spacing w:val="15"/>
        </w:rPr>
        <w:t xml:space="preserve"> </w:t>
      </w:r>
      <w:r w:rsidR="00033D0F">
        <w:t>domestic</w:t>
      </w:r>
      <w:r w:rsidR="00033D0F">
        <w:rPr>
          <w:spacing w:val="15"/>
        </w:rPr>
        <w:t xml:space="preserve"> </w:t>
      </w:r>
      <w:r w:rsidR="00033D0F">
        <w:t>producers</w:t>
      </w:r>
      <w:r w:rsidR="00033D0F">
        <w:rPr>
          <w:spacing w:val="23"/>
        </w:rPr>
        <w:t xml:space="preserve"> </w:t>
      </w:r>
      <w:r w:rsidR="00033D0F">
        <w:t>of</w:t>
      </w:r>
      <w:r w:rsidR="00033D0F">
        <w:rPr>
          <w:spacing w:val="14"/>
        </w:rPr>
        <w:t xml:space="preserve"> </w:t>
      </w:r>
      <w:r w:rsidR="00033D0F">
        <w:t>the</w:t>
      </w:r>
      <w:r w:rsidR="00033D0F">
        <w:rPr>
          <w:spacing w:val="17"/>
        </w:rPr>
        <w:t xml:space="preserve"> </w:t>
      </w:r>
      <w:r w:rsidR="00033D0F">
        <w:t>like</w:t>
      </w:r>
      <w:r w:rsidR="00033D0F">
        <w:rPr>
          <w:spacing w:val="16"/>
        </w:rPr>
        <w:t xml:space="preserve"> </w:t>
      </w:r>
      <w:r w:rsidR="00033D0F">
        <w:t>product)".</w:t>
      </w:r>
      <w:r w:rsidR="00033D0F">
        <w:rPr>
          <w:spacing w:val="17"/>
        </w:rPr>
        <w:t xml:space="preserve"> </w:t>
      </w:r>
      <w:r w:rsidR="00033D0F">
        <w:t>This</w:t>
      </w:r>
      <w:r w:rsidR="00033D0F">
        <w:rPr>
          <w:spacing w:val="18"/>
        </w:rPr>
        <w:t xml:space="preserve"> </w:t>
      </w:r>
      <w:r w:rsidR="00033D0F">
        <w:t>purpose</w:t>
      </w:r>
      <w:r w:rsidR="00033D0F">
        <w:rPr>
          <w:spacing w:val="16"/>
        </w:rPr>
        <w:t xml:space="preserve"> </w:t>
      </w:r>
      <w:r w:rsidR="00033D0F">
        <w:t>is</w:t>
      </w:r>
      <w:r w:rsidR="00033D0F">
        <w:rPr>
          <w:spacing w:val="18"/>
        </w:rPr>
        <w:t xml:space="preserve"> </w:t>
      </w:r>
      <w:r w:rsidR="00033D0F">
        <w:t>to</w:t>
      </w:r>
      <w:r w:rsidR="00033D0F">
        <w:rPr>
          <w:spacing w:val="13"/>
        </w:rPr>
        <w:t xml:space="preserve"> </w:t>
      </w:r>
      <w:r w:rsidR="00033D0F">
        <w:t>provide</w:t>
      </w:r>
      <w:r w:rsidR="00033D0F">
        <w:rPr>
          <w:spacing w:val="17"/>
        </w:rPr>
        <w:t xml:space="preserve"> </w:t>
      </w:r>
      <w:r w:rsidR="00033D0F">
        <w:rPr>
          <w:spacing w:val="-5"/>
        </w:rPr>
        <w:t>an</w:t>
      </w:r>
    </w:p>
    <w:p w14:paraId="63453A7B" w14:textId="052F4ADC" w:rsidR="00BD462C" w:rsidRDefault="00BD462C">
      <w:pPr>
        <w:pStyle w:val="BodyText"/>
        <w:spacing w:before="4"/>
        <w:rPr>
          <w:sz w:val="15"/>
        </w:rPr>
      </w:pPr>
    </w:p>
    <w:p w14:paraId="71E16F5A" w14:textId="77777777" w:rsidR="00BD462C" w:rsidRDefault="00033D0F">
      <w:pPr>
        <w:spacing w:before="112"/>
        <w:ind w:left="136" w:right="909" w:hanging="1"/>
        <w:jc w:val="both"/>
        <w:rPr>
          <w:sz w:val="18"/>
        </w:rPr>
      </w:pPr>
      <w:bookmarkStart w:id="1330" w:name="_bookmark1147"/>
      <w:bookmarkEnd w:id="1330"/>
      <w:r>
        <w:rPr>
          <w:position w:val="5"/>
          <w:sz w:val="12"/>
        </w:rPr>
        <w:t>987</w:t>
      </w:r>
      <w:r>
        <w:rPr>
          <w:spacing w:val="16"/>
          <w:position w:val="5"/>
          <w:sz w:val="12"/>
        </w:rPr>
        <w:t xml:space="preserve"> </w:t>
      </w:r>
      <w:r>
        <w:rPr>
          <w:sz w:val="18"/>
        </w:rPr>
        <w:t>CADA Application</w:t>
      </w:r>
      <w:r>
        <w:rPr>
          <w:spacing w:val="-4"/>
          <w:sz w:val="18"/>
        </w:rPr>
        <w:t xml:space="preserve"> </w:t>
      </w:r>
      <w:r>
        <w:rPr>
          <w:sz w:val="18"/>
        </w:rPr>
        <w:t>for</w:t>
      </w:r>
      <w:r>
        <w:rPr>
          <w:spacing w:val="-5"/>
          <w:sz w:val="18"/>
        </w:rPr>
        <w:t xml:space="preserve"> </w:t>
      </w:r>
      <w:r>
        <w:rPr>
          <w:sz w:val="18"/>
        </w:rPr>
        <w:t>Anti-Dumping</w:t>
      </w:r>
      <w:r>
        <w:rPr>
          <w:spacing w:val="-3"/>
          <w:sz w:val="18"/>
        </w:rPr>
        <w:t xml:space="preserve"> </w:t>
      </w:r>
      <w:r>
        <w:rPr>
          <w:sz w:val="18"/>
        </w:rPr>
        <w:t>Investigation, Annexes 1-12</w:t>
      </w:r>
      <w:r>
        <w:rPr>
          <w:spacing w:val="-5"/>
          <w:sz w:val="18"/>
        </w:rPr>
        <w:t xml:space="preserve"> </w:t>
      </w:r>
      <w:r>
        <w:rPr>
          <w:sz w:val="18"/>
        </w:rPr>
        <w:t>(Part 1)</w:t>
      </w:r>
      <w:r>
        <w:rPr>
          <w:spacing w:val="-1"/>
          <w:sz w:val="18"/>
        </w:rPr>
        <w:t xml:space="preserve"> </w:t>
      </w:r>
      <w:r>
        <w:rPr>
          <w:sz w:val="18"/>
        </w:rPr>
        <w:t>(Exhibit</w:t>
      </w:r>
      <w:r>
        <w:rPr>
          <w:spacing w:val="-2"/>
          <w:sz w:val="18"/>
        </w:rPr>
        <w:t xml:space="preserve"> </w:t>
      </w:r>
      <w:r>
        <w:rPr>
          <w:sz w:val="18"/>
        </w:rPr>
        <w:t>AUS-90),</w:t>
      </w:r>
      <w:r>
        <w:rPr>
          <w:spacing w:val="-1"/>
          <w:sz w:val="18"/>
        </w:rPr>
        <w:t xml:space="preserve"> </w:t>
      </w:r>
      <w:r>
        <w:rPr>
          <w:sz w:val="18"/>
        </w:rPr>
        <w:t>p.</w:t>
      </w:r>
      <w:r>
        <w:rPr>
          <w:spacing w:val="-2"/>
          <w:sz w:val="18"/>
        </w:rPr>
        <w:t xml:space="preserve"> </w:t>
      </w:r>
      <w:r>
        <w:rPr>
          <w:sz w:val="18"/>
        </w:rPr>
        <w:t>26 ("Note:</w:t>
      </w:r>
      <w:r>
        <w:rPr>
          <w:spacing w:val="-5"/>
          <w:sz w:val="18"/>
        </w:rPr>
        <w:t xml:space="preserve"> </w:t>
      </w:r>
      <w:r>
        <w:rPr>
          <w:sz w:val="18"/>
        </w:rPr>
        <w:t>The above data is based</w:t>
      </w:r>
      <w:r>
        <w:rPr>
          <w:spacing w:val="-3"/>
          <w:sz w:val="18"/>
        </w:rPr>
        <w:t xml:space="preserve"> </w:t>
      </w:r>
      <w:r>
        <w:rPr>
          <w:sz w:val="18"/>
        </w:rPr>
        <w:t>on data from the</w:t>
      </w:r>
      <w:r>
        <w:rPr>
          <w:spacing w:val="-2"/>
          <w:sz w:val="18"/>
        </w:rPr>
        <w:t xml:space="preserve"> </w:t>
      </w:r>
      <w:r>
        <w:rPr>
          <w:sz w:val="18"/>
        </w:rPr>
        <w:t>National</w:t>
      </w:r>
      <w:r>
        <w:rPr>
          <w:spacing w:val="-1"/>
          <w:sz w:val="18"/>
        </w:rPr>
        <w:t xml:space="preserve"> </w:t>
      </w:r>
      <w:r>
        <w:rPr>
          <w:sz w:val="18"/>
        </w:rPr>
        <w:t>Bureau of Statistics for wine production enterprises above the scale</w:t>
      </w:r>
      <w:r>
        <w:rPr>
          <w:spacing w:val="-2"/>
          <w:sz w:val="18"/>
        </w:rPr>
        <w:t xml:space="preserve"> </w:t>
      </w:r>
      <w:r>
        <w:rPr>
          <w:sz w:val="18"/>
        </w:rPr>
        <w:t>(annual</w:t>
      </w:r>
      <w:r>
        <w:rPr>
          <w:spacing w:val="-1"/>
          <w:sz w:val="18"/>
        </w:rPr>
        <w:t xml:space="preserve"> </w:t>
      </w:r>
      <w:r>
        <w:rPr>
          <w:sz w:val="18"/>
        </w:rPr>
        <w:t>main</w:t>
      </w:r>
      <w:r>
        <w:rPr>
          <w:spacing w:val="-3"/>
          <w:sz w:val="18"/>
        </w:rPr>
        <w:t xml:space="preserve"> </w:t>
      </w:r>
      <w:r>
        <w:rPr>
          <w:sz w:val="18"/>
        </w:rPr>
        <w:t>business income of more than RMB 20 million). According to the information available to the Association, wine producers above the scale</w:t>
      </w:r>
      <w:r>
        <w:rPr>
          <w:spacing w:val="-10"/>
          <w:sz w:val="18"/>
        </w:rPr>
        <w:t xml:space="preserve"> </w:t>
      </w:r>
      <w:r>
        <w:rPr>
          <w:sz w:val="18"/>
        </w:rPr>
        <w:t>account</w:t>
      </w:r>
      <w:r>
        <w:rPr>
          <w:spacing w:val="-7"/>
          <w:sz w:val="18"/>
        </w:rPr>
        <w:t xml:space="preserve"> </w:t>
      </w:r>
      <w:r>
        <w:rPr>
          <w:sz w:val="18"/>
        </w:rPr>
        <w:t>for</w:t>
      </w:r>
      <w:r>
        <w:rPr>
          <w:spacing w:val="-10"/>
          <w:sz w:val="18"/>
        </w:rPr>
        <w:t xml:space="preserve"> </w:t>
      </w:r>
      <w:r>
        <w:rPr>
          <w:sz w:val="18"/>
        </w:rPr>
        <w:t>the</w:t>
      </w:r>
      <w:r>
        <w:rPr>
          <w:spacing w:val="-3"/>
          <w:sz w:val="18"/>
        </w:rPr>
        <w:t xml:space="preserve"> </w:t>
      </w:r>
      <w:r>
        <w:rPr>
          <w:sz w:val="18"/>
        </w:rPr>
        <w:t>majority</w:t>
      </w:r>
      <w:r>
        <w:rPr>
          <w:spacing w:val="-9"/>
          <w:sz w:val="18"/>
        </w:rPr>
        <w:t xml:space="preserve"> </w:t>
      </w:r>
      <w:r>
        <w:rPr>
          <w:sz w:val="18"/>
        </w:rPr>
        <w:t>of</w:t>
      </w:r>
      <w:r>
        <w:rPr>
          <w:spacing w:val="-7"/>
          <w:sz w:val="18"/>
        </w:rPr>
        <w:t xml:space="preserve"> </w:t>
      </w:r>
      <w:r>
        <w:rPr>
          <w:sz w:val="18"/>
        </w:rPr>
        <w:t>the</w:t>
      </w:r>
      <w:r>
        <w:rPr>
          <w:spacing w:val="-8"/>
          <w:sz w:val="18"/>
        </w:rPr>
        <w:t xml:space="preserve"> </w:t>
      </w:r>
      <w:r>
        <w:rPr>
          <w:sz w:val="18"/>
        </w:rPr>
        <w:t>total</w:t>
      </w:r>
      <w:r>
        <w:rPr>
          <w:spacing w:val="-7"/>
          <w:sz w:val="18"/>
        </w:rPr>
        <w:t xml:space="preserve"> </w:t>
      </w:r>
      <w:r>
        <w:rPr>
          <w:sz w:val="18"/>
        </w:rPr>
        <w:t>domestic</w:t>
      </w:r>
      <w:r>
        <w:rPr>
          <w:spacing w:val="-9"/>
          <w:sz w:val="18"/>
        </w:rPr>
        <w:t xml:space="preserve"> </w:t>
      </w:r>
      <w:r>
        <w:rPr>
          <w:sz w:val="18"/>
        </w:rPr>
        <w:t>production,</w:t>
      </w:r>
      <w:r>
        <w:rPr>
          <w:spacing w:val="-1"/>
          <w:sz w:val="18"/>
        </w:rPr>
        <w:t xml:space="preserve"> </w:t>
      </w:r>
      <w:r>
        <w:rPr>
          <w:sz w:val="18"/>
        </w:rPr>
        <w:t>accounting</w:t>
      </w:r>
      <w:r>
        <w:rPr>
          <w:spacing w:val="-11"/>
          <w:sz w:val="18"/>
        </w:rPr>
        <w:t xml:space="preserve"> </w:t>
      </w:r>
      <w:r>
        <w:rPr>
          <w:sz w:val="18"/>
        </w:rPr>
        <w:t>for</w:t>
      </w:r>
      <w:r>
        <w:rPr>
          <w:spacing w:val="-4"/>
          <w:sz w:val="18"/>
        </w:rPr>
        <w:t xml:space="preserve"> </w:t>
      </w:r>
      <w:r>
        <w:rPr>
          <w:sz w:val="18"/>
        </w:rPr>
        <w:t>more</w:t>
      </w:r>
      <w:r>
        <w:rPr>
          <w:spacing w:val="-8"/>
          <w:sz w:val="18"/>
        </w:rPr>
        <w:t xml:space="preserve"> </w:t>
      </w:r>
      <w:r>
        <w:rPr>
          <w:sz w:val="18"/>
        </w:rPr>
        <w:t>than</w:t>
      </w:r>
      <w:r>
        <w:rPr>
          <w:spacing w:val="-4"/>
          <w:sz w:val="18"/>
        </w:rPr>
        <w:t xml:space="preserve"> </w:t>
      </w:r>
      <w:r>
        <w:rPr>
          <w:sz w:val="18"/>
        </w:rPr>
        <w:t>90</w:t>
      </w:r>
      <w:r>
        <w:rPr>
          <w:spacing w:val="-10"/>
          <w:sz w:val="18"/>
        </w:rPr>
        <w:t xml:space="preserve"> </w:t>
      </w:r>
      <w:r>
        <w:rPr>
          <w:sz w:val="18"/>
        </w:rPr>
        <w:t>%,</w:t>
      </w:r>
      <w:r>
        <w:rPr>
          <w:spacing w:val="-6"/>
          <w:sz w:val="18"/>
        </w:rPr>
        <w:t xml:space="preserve"> </w:t>
      </w:r>
      <w:r>
        <w:rPr>
          <w:sz w:val="18"/>
        </w:rPr>
        <w:t>and</w:t>
      </w:r>
      <w:r>
        <w:rPr>
          <w:spacing w:val="-8"/>
          <w:sz w:val="18"/>
        </w:rPr>
        <w:t xml:space="preserve"> </w:t>
      </w:r>
      <w:r>
        <w:rPr>
          <w:sz w:val="18"/>
        </w:rPr>
        <w:t>can</w:t>
      </w:r>
      <w:r>
        <w:rPr>
          <w:spacing w:val="-8"/>
          <w:sz w:val="18"/>
        </w:rPr>
        <w:t xml:space="preserve"> </w:t>
      </w:r>
      <w:r>
        <w:rPr>
          <w:sz w:val="18"/>
        </w:rPr>
        <w:t>represent</w:t>
      </w:r>
      <w:r>
        <w:rPr>
          <w:spacing w:val="-7"/>
          <w:sz w:val="18"/>
        </w:rPr>
        <w:t xml:space="preserve"> </w:t>
      </w:r>
      <w:r>
        <w:rPr>
          <w:sz w:val="18"/>
        </w:rPr>
        <w:t>the</w:t>
      </w:r>
      <w:r>
        <w:rPr>
          <w:spacing w:val="-8"/>
          <w:sz w:val="18"/>
        </w:rPr>
        <w:t xml:space="preserve"> </w:t>
      </w:r>
      <w:r>
        <w:rPr>
          <w:sz w:val="18"/>
        </w:rPr>
        <w:t>overall situation of China's wine industry").</w:t>
      </w:r>
    </w:p>
    <w:p w14:paraId="7079B465" w14:textId="77777777" w:rsidR="00BD462C" w:rsidRDefault="00033D0F">
      <w:pPr>
        <w:ind w:left="135"/>
        <w:jc w:val="both"/>
        <w:rPr>
          <w:sz w:val="18"/>
        </w:rPr>
      </w:pPr>
      <w:bookmarkStart w:id="1331" w:name="_bookmark1148"/>
      <w:bookmarkEnd w:id="1331"/>
      <w:r>
        <w:rPr>
          <w:position w:val="5"/>
          <w:sz w:val="12"/>
        </w:rPr>
        <w:t>988</w:t>
      </w:r>
      <w:r>
        <w:rPr>
          <w:spacing w:val="13"/>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 xml:space="preserve">para. </w:t>
      </w:r>
      <w:r>
        <w:rPr>
          <w:spacing w:val="-2"/>
          <w:sz w:val="18"/>
        </w:rPr>
        <w:t>2060.</w:t>
      </w:r>
    </w:p>
    <w:p w14:paraId="080A8BB1" w14:textId="77777777" w:rsidR="00BD462C" w:rsidRDefault="00033D0F">
      <w:pPr>
        <w:spacing w:before="1" w:line="218" w:lineRule="exact"/>
        <w:ind w:left="135"/>
        <w:jc w:val="both"/>
        <w:rPr>
          <w:sz w:val="18"/>
        </w:rPr>
      </w:pPr>
      <w:bookmarkStart w:id="1332" w:name="_bookmark1149"/>
      <w:bookmarkEnd w:id="1332"/>
      <w:r>
        <w:rPr>
          <w:position w:val="5"/>
          <w:sz w:val="12"/>
        </w:rPr>
        <w:t>989</w:t>
      </w:r>
      <w:r>
        <w:rPr>
          <w:spacing w:val="12"/>
          <w:position w:val="5"/>
          <w:sz w:val="12"/>
        </w:rPr>
        <w:t xml:space="preserve"> </w:t>
      </w:r>
      <w:r>
        <w:rPr>
          <w:sz w:val="18"/>
        </w:rPr>
        <w:t>Australia's</w:t>
      </w:r>
      <w:r>
        <w:rPr>
          <w:spacing w:val="-6"/>
          <w:sz w:val="18"/>
        </w:rPr>
        <w:t xml:space="preserve"> </w:t>
      </w:r>
      <w:r>
        <w:rPr>
          <w:sz w:val="18"/>
        </w:rPr>
        <w:t>first</w:t>
      </w:r>
      <w:r>
        <w:rPr>
          <w:spacing w:val="-6"/>
          <w:sz w:val="18"/>
        </w:rPr>
        <w:t xml:space="preserve"> </w:t>
      </w:r>
      <w:r>
        <w:rPr>
          <w:sz w:val="18"/>
        </w:rPr>
        <w:t>written</w:t>
      </w:r>
      <w:r>
        <w:rPr>
          <w:spacing w:val="-2"/>
          <w:sz w:val="18"/>
        </w:rPr>
        <w:t xml:space="preserve"> </w:t>
      </w:r>
      <w:r>
        <w:rPr>
          <w:sz w:val="18"/>
        </w:rPr>
        <w:t>submission, para.</w:t>
      </w:r>
      <w:r>
        <w:rPr>
          <w:spacing w:val="-5"/>
          <w:sz w:val="18"/>
        </w:rPr>
        <w:t xml:space="preserve"> </w:t>
      </w:r>
      <w:r>
        <w:rPr>
          <w:spacing w:val="-4"/>
          <w:sz w:val="18"/>
        </w:rPr>
        <w:t>760.</w:t>
      </w:r>
    </w:p>
    <w:p w14:paraId="179DC8AA" w14:textId="77777777" w:rsidR="00BD462C" w:rsidRDefault="00033D0F">
      <w:pPr>
        <w:spacing w:line="218" w:lineRule="exact"/>
        <w:ind w:left="135"/>
        <w:jc w:val="both"/>
        <w:rPr>
          <w:sz w:val="18"/>
        </w:rPr>
      </w:pPr>
      <w:bookmarkStart w:id="1333" w:name="_bookmark1150"/>
      <w:bookmarkEnd w:id="1333"/>
      <w:r>
        <w:rPr>
          <w:position w:val="5"/>
          <w:sz w:val="12"/>
        </w:rPr>
        <w:t>990</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 xml:space="preserve">submission, para. </w:t>
      </w:r>
      <w:r>
        <w:rPr>
          <w:spacing w:val="-2"/>
          <w:sz w:val="18"/>
        </w:rPr>
        <w:t>2061.</w:t>
      </w:r>
    </w:p>
    <w:p w14:paraId="1B27E08D" w14:textId="77777777" w:rsidR="00BD462C" w:rsidRDefault="00033D0F">
      <w:pPr>
        <w:spacing w:before="1"/>
        <w:ind w:left="136" w:right="909" w:hanging="1"/>
        <w:jc w:val="both"/>
        <w:rPr>
          <w:sz w:val="18"/>
        </w:rPr>
      </w:pPr>
      <w:bookmarkStart w:id="1334" w:name="_bookmark1151"/>
      <w:bookmarkEnd w:id="1334"/>
      <w:r>
        <w:rPr>
          <w:position w:val="5"/>
          <w:sz w:val="12"/>
        </w:rPr>
        <w:t>991</w:t>
      </w:r>
      <w:r>
        <w:rPr>
          <w:spacing w:val="27"/>
          <w:position w:val="5"/>
          <w:sz w:val="12"/>
        </w:rPr>
        <w:t xml:space="preserve"> </w:t>
      </w:r>
      <w:r>
        <w:rPr>
          <w:sz w:val="18"/>
        </w:rPr>
        <w:t>CADA Application for Anti-Dumping Investigation (Exhibit AUS-64), p. 10 ("According to the relevant statistics, there are hundreds of domestic wine producers in more than 20 provinces, autonomous regions, and directly-controlled cities, […]"),</w:t>
      </w:r>
    </w:p>
    <w:p w14:paraId="63DE3CF0" w14:textId="77777777" w:rsidR="00BD462C" w:rsidRDefault="00033D0F">
      <w:pPr>
        <w:spacing w:before="3"/>
        <w:ind w:left="136"/>
        <w:jc w:val="both"/>
        <w:rPr>
          <w:sz w:val="18"/>
        </w:rPr>
      </w:pPr>
      <w:r>
        <w:rPr>
          <w:sz w:val="18"/>
        </w:rPr>
        <w:t>p.</w:t>
      </w:r>
      <w:r>
        <w:rPr>
          <w:spacing w:val="2"/>
          <w:sz w:val="18"/>
        </w:rPr>
        <w:t xml:space="preserve"> </w:t>
      </w:r>
      <w:r>
        <w:rPr>
          <w:sz w:val="18"/>
        </w:rPr>
        <w:t>60</w:t>
      </w:r>
      <w:r>
        <w:rPr>
          <w:spacing w:val="-10"/>
          <w:sz w:val="18"/>
        </w:rPr>
        <w:t xml:space="preserve"> </w:t>
      </w:r>
      <w:r>
        <w:rPr>
          <w:sz w:val="18"/>
        </w:rPr>
        <w:t>("China's</w:t>
      </w:r>
      <w:r>
        <w:rPr>
          <w:spacing w:val="1"/>
          <w:sz w:val="18"/>
        </w:rPr>
        <w:t xml:space="preserve"> </w:t>
      </w:r>
      <w:r>
        <w:rPr>
          <w:sz w:val="18"/>
        </w:rPr>
        <w:t>wine</w:t>
      </w:r>
      <w:r>
        <w:rPr>
          <w:spacing w:val="-3"/>
          <w:sz w:val="18"/>
        </w:rPr>
        <w:t xml:space="preserve"> </w:t>
      </w:r>
      <w:r>
        <w:rPr>
          <w:sz w:val="18"/>
        </w:rPr>
        <w:t>industry</w:t>
      </w:r>
      <w:r>
        <w:rPr>
          <w:spacing w:val="-6"/>
          <w:sz w:val="18"/>
        </w:rPr>
        <w:t xml:space="preserve"> </w:t>
      </w:r>
      <w:r>
        <w:rPr>
          <w:sz w:val="18"/>
        </w:rPr>
        <w:t>is</w:t>
      </w:r>
      <w:r>
        <w:rPr>
          <w:spacing w:val="-3"/>
          <w:sz w:val="18"/>
        </w:rPr>
        <w:t xml:space="preserve"> </w:t>
      </w:r>
      <w:r>
        <w:rPr>
          <w:sz w:val="18"/>
        </w:rPr>
        <w:t>very</w:t>
      </w:r>
      <w:r>
        <w:rPr>
          <w:spacing w:val="-6"/>
          <w:sz w:val="18"/>
        </w:rPr>
        <w:t xml:space="preserve"> </w:t>
      </w:r>
      <w:r>
        <w:rPr>
          <w:sz w:val="18"/>
        </w:rPr>
        <w:t>spread</w:t>
      </w:r>
      <w:r>
        <w:rPr>
          <w:spacing w:val="-4"/>
          <w:sz w:val="18"/>
        </w:rPr>
        <w:t xml:space="preserve"> </w:t>
      </w:r>
      <w:r>
        <w:rPr>
          <w:sz w:val="18"/>
        </w:rPr>
        <w:t>out,</w:t>
      </w:r>
      <w:r>
        <w:rPr>
          <w:spacing w:val="-2"/>
          <w:sz w:val="18"/>
        </w:rPr>
        <w:t xml:space="preserve"> </w:t>
      </w:r>
      <w:r>
        <w:rPr>
          <w:sz w:val="18"/>
        </w:rPr>
        <w:t>with</w:t>
      </w:r>
      <w:r>
        <w:rPr>
          <w:spacing w:val="-4"/>
          <w:sz w:val="18"/>
        </w:rPr>
        <w:t xml:space="preserve"> </w:t>
      </w:r>
      <w:r>
        <w:rPr>
          <w:sz w:val="18"/>
        </w:rPr>
        <w:t>hundreds</w:t>
      </w:r>
      <w:r>
        <w:rPr>
          <w:spacing w:val="-4"/>
          <w:sz w:val="18"/>
        </w:rPr>
        <w:t xml:space="preserve"> </w:t>
      </w:r>
      <w:r>
        <w:rPr>
          <w:sz w:val="18"/>
        </w:rPr>
        <w:t>of</w:t>
      </w:r>
      <w:r>
        <w:rPr>
          <w:spacing w:val="-2"/>
          <w:sz w:val="18"/>
        </w:rPr>
        <w:t xml:space="preserve"> </w:t>
      </w:r>
      <w:r>
        <w:rPr>
          <w:sz w:val="18"/>
        </w:rPr>
        <w:t>wine</w:t>
      </w:r>
      <w:r>
        <w:rPr>
          <w:spacing w:val="-4"/>
          <w:sz w:val="18"/>
        </w:rPr>
        <w:t xml:space="preserve"> </w:t>
      </w:r>
      <w:r>
        <w:rPr>
          <w:sz w:val="18"/>
        </w:rPr>
        <w:t>production</w:t>
      </w:r>
      <w:r>
        <w:rPr>
          <w:spacing w:val="-4"/>
          <w:sz w:val="18"/>
        </w:rPr>
        <w:t xml:space="preserve"> </w:t>
      </w:r>
      <w:r>
        <w:rPr>
          <w:sz w:val="18"/>
        </w:rPr>
        <w:t>enterprises</w:t>
      </w:r>
      <w:r>
        <w:rPr>
          <w:spacing w:val="-3"/>
          <w:sz w:val="18"/>
        </w:rPr>
        <w:t xml:space="preserve"> </w:t>
      </w:r>
      <w:r>
        <w:rPr>
          <w:spacing w:val="-2"/>
          <w:sz w:val="18"/>
        </w:rPr>
        <w:t>concerned").</w:t>
      </w:r>
    </w:p>
    <w:p w14:paraId="5FD4BA79" w14:textId="77777777" w:rsidR="00BD462C" w:rsidRDefault="00033D0F">
      <w:pPr>
        <w:ind w:left="135"/>
        <w:jc w:val="both"/>
        <w:rPr>
          <w:sz w:val="18"/>
        </w:rPr>
      </w:pPr>
      <w:bookmarkStart w:id="1335" w:name="_bookmark1152"/>
      <w:bookmarkEnd w:id="1335"/>
      <w:r>
        <w:rPr>
          <w:position w:val="5"/>
          <w:sz w:val="12"/>
        </w:rPr>
        <w:t>992</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 xml:space="preserve">submission, para. </w:t>
      </w:r>
      <w:r>
        <w:rPr>
          <w:spacing w:val="-2"/>
          <w:sz w:val="18"/>
        </w:rPr>
        <w:t>2062.</w:t>
      </w:r>
    </w:p>
    <w:p w14:paraId="7F029463" w14:textId="77777777" w:rsidR="00BD462C" w:rsidRDefault="00BD462C">
      <w:pPr>
        <w:jc w:val="both"/>
        <w:rPr>
          <w:sz w:val="18"/>
        </w:rPr>
        <w:sectPr w:rsidR="00BD462C">
          <w:pgSz w:w="11910" w:h="16840"/>
          <w:pgMar w:top="860" w:right="500" w:bottom="780" w:left="1280" w:header="566" w:footer="590" w:gutter="0"/>
          <w:cols w:space="720"/>
        </w:sectPr>
      </w:pPr>
    </w:p>
    <w:p w14:paraId="21039167" w14:textId="77777777" w:rsidR="00BD462C" w:rsidRDefault="00033D0F">
      <w:pPr>
        <w:tabs>
          <w:tab w:val="left" w:pos="6087"/>
        </w:tabs>
        <w:spacing w:before="1"/>
        <w:ind w:left="135"/>
        <w:jc w:val="both"/>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20EDE493" w14:textId="77777777" w:rsidR="00BD462C" w:rsidRDefault="00033D0F">
      <w:pPr>
        <w:spacing w:before="1"/>
        <w:ind w:left="135"/>
        <w:jc w:val="both"/>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6166B22B" w14:textId="77777777" w:rsidR="00BD462C" w:rsidRDefault="00033D0F">
      <w:pPr>
        <w:tabs>
          <w:tab w:val="left" w:pos="7652"/>
        </w:tabs>
        <w:ind w:left="135"/>
        <w:jc w:val="both"/>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3BCE0280" w14:textId="77777777" w:rsidR="00BD462C" w:rsidRDefault="00033D0F">
      <w:pPr>
        <w:pStyle w:val="BodyText"/>
        <w:spacing w:before="102" w:line="360" w:lineRule="auto"/>
        <w:ind w:left="135" w:right="913"/>
        <w:jc w:val="both"/>
      </w:pPr>
      <w:r>
        <w:t>alternative mechanism for</w:t>
      </w:r>
      <w:r>
        <w:rPr>
          <w:spacing w:val="-1"/>
        </w:rPr>
        <w:t xml:space="preserve"> </w:t>
      </w:r>
      <w:r>
        <w:t>efficiently</w:t>
      </w:r>
      <w:r>
        <w:rPr>
          <w:spacing w:val="-2"/>
        </w:rPr>
        <w:t xml:space="preserve"> </w:t>
      </w:r>
      <w:r>
        <w:t>identifying individual members, rather</w:t>
      </w:r>
      <w:r>
        <w:rPr>
          <w:spacing w:val="-1"/>
        </w:rPr>
        <w:t xml:space="preserve"> </w:t>
      </w:r>
      <w:r>
        <w:t>than</w:t>
      </w:r>
      <w:r>
        <w:rPr>
          <w:spacing w:val="-1"/>
        </w:rPr>
        <w:t xml:space="preserve"> </w:t>
      </w:r>
      <w:r>
        <w:t>as a way</w:t>
      </w:r>
      <w:r>
        <w:rPr>
          <w:spacing w:val="-2"/>
        </w:rPr>
        <w:t xml:space="preserve"> </w:t>
      </w:r>
      <w:r>
        <w:t>to entirely discharge the obligation to identify the producers. In circumstances where, as China contends, there was a single known association with 122 members, and "hundreds" of producers outside that association, it was insufficient to identify "the industry" only through naming</w:t>
      </w:r>
      <w:r>
        <w:rPr>
          <w:spacing w:val="-14"/>
        </w:rPr>
        <w:t xml:space="preserve"> </w:t>
      </w:r>
      <w:r>
        <w:t>the</w:t>
      </w:r>
      <w:r>
        <w:rPr>
          <w:spacing w:val="-14"/>
        </w:rPr>
        <w:t xml:space="preserve"> </w:t>
      </w:r>
      <w:r>
        <w:t>single</w:t>
      </w:r>
      <w:r>
        <w:rPr>
          <w:spacing w:val="-13"/>
        </w:rPr>
        <w:t xml:space="preserve"> </w:t>
      </w:r>
      <w:r>
        <w:t>association.</w:t>
      </w:r>
      <w:r>
        <w:rPr>
          <w:spacing w:val="-14"/>
        </w:rPr>
        <w:t xml:space="preserve"> </w:t>
      </w:r>
      <w:r>
        <w:t>Rather,</w:t>
      </w:r>
      <w:r>
        <w:rPr>
          <w:spacing w:val="-13"/>
        </w:rPr>
        <w:t xml:space="preserve"> </w:t>
      </w:r>
      <w:r>
        <w:t>an</w:t>
      </w:r>
      <w:r>
        <w:rPr>
          <w:spacing w:val="-14"/>
        </w:rPr>
        <w:t xml:space="preserve"> </w:t>
      </w:r>
      <w:r>
        <w:t>applicant</w:t>
      </w:r>
      <w:r>
        <w:rPr>
          <w:spacing w:val="-13"/>
        </w:rPr>
        <w:t xml:space="preserve"> </w:t>
      </w:r>
      <w:r>
        <w:t>must</w:t>
      </w:r>
      <w:r>
        <w:rPr>
          <w:spacing w:val="-14"/>
        </w:rPr>
        <w:t xml:space="preserve"> </w:t>
      </w:r>
      <w:r>
        <w:rPr>
          <w:i/>
        </w:rPr>
        <w:t>also</w:t>
      </w:r>
      <w:r>
        <w:rPr>
          <w:i/>
          <w:spacing w:val="-14"/>
        </w:rPr>
        <w:t xml:space="preserve"> </w:t>
      </w:r>
      <w:r>
        <w:t>provide</w:t>
      </w:r>
      <w:r>
        <w:rPr>
          <w:spacing w:val="-13"/>
        </w:rPr>
        <w:t xml:space="preserve"> </w:t>
      </w:r>
      <w:r>
        <w:t>a</w:t>
      </w:r>
      <w:r>
        <w:rPr>
          <w:spacing w:val="-14"/>
        </w:rPr>
        <w:t xml:space="preserve"> </w:t>
      </w:r>
      <w:r>
        <w:t>list</w:t>
      </w:r>
      <w:r>
        <w:rPr>
          <w:spacing w:val="-13"/>
        </w:rPr>
        <w:t xml:space="preserve"> </w:t>
      </w:r>
      <w:r>
        <w:t>of</w:t>
      </w:r>
      <w:r>
        <w:rPr>
          <w:spacing w:val="-14"/>
        </w:rPr>
        <w:t xml:space="preserve"> </w:t>
      </w:r>
      <w:r>
        <w:rPr>
          <w:i/>
        </w:rPr>
        <w:t>known</w:t>
      </w:r>
      <w:r>
        <w:rPr>
          <w:i/>
          <w:spacing w:val="-13"/>
        </w:rPr>
        <w:t xml:space="preserve"> </w:t>
      </w:r>
      <w:r>
        <w:t>producers outside of that association.</w:t>
      </w:r>
    </w:p>
    <w:p w14:paraId="6942AB09" w14:textId="77777777" w:rsidR="00BD462C" w:rsidRDefault="00BD462C">
      <w:pPr>
        <w:pStyle w:val="BodyText"/>
        <w:spacing w:before="8"/>
        <w:rPr>
          <w:sz w:val="8"/>
        </w:rPr>
      </w:pPr>
    </w:p>
    <w:p w14:paraId="3DA85D80" w14:textId="5F314F86" w:rsidR="00BD462C" w:rsidRDefault="00B316AF">
      <w:pPr>
        <w:pStyle w:val="BodyText"/>
        <w:spacing w:before="56" w:line="360" w:lineRule="auto"/>
        <w:ind w:left="135" w:right="914"/>
        <w:jc w:val="both"/>
      </w:pPr>
      <w:r>
        <w:rPr>
          <w:noProof/>
        </w:rPr>
        <w:t>628.</w:t>
      </w:r>
      <w:r w:rsidR="00033D0F">
        <w:rPr>
          <w:rFonts w:ascii="Times New Roman"/>
          <w:spacing w:val="80"/>
          <w:position w:val="1"/>
          <w:sz w:val="20"/>
        </w:rPr>
        <w:t xml:space="preserve">   </w:t>
      </w:r>
      <w:r w:rsidR="00033D0F">
        <w:rPr>
          <w:position w:val="1"/>
        </w:rPr>
        <w:t>China</w:t>
      </w:r>
      <w:r w:rsidR="00033D0F">
        <w:rPr>
          <w:spacing w:val="-9"/>
          <w:position w:val="1"/>
        </w:rPr>
        <w:t xml:space="preserve"> </w:t>
      </w:r>
      <w:r w:rsidR="00033D0F">
        <w:rPr>
          <w:position w:val="1"/>
        </w:rPr>
        <w:t>also</w:t>
      </w:r>
      <w:r w:rsidR="00033D0F">
        <w:rPr>
          <w:spacing w:val="-11"/>
          <w:position w:val="1"/>
        </w:rPr>
        <w:t xml:space="preserve"> </w:t>
      </w:r>
      <w:r w:rsidR="00033D0F">
        <w:rPr>
          <w:position w:val="1"/>
        </w:rPr>
        <w:t>argues,</w:t>
      </w:r>
      <w:r w:rsidR="00033D0F">
        <w:rPr>
          <w:spacing w:val="-11"/>
          <w:position w:val="1"/>
        </w:rPr>
        <w:t xml:space="preserve"> </w:t>
      </w:r>
      <w:r w:rsidR="00033D0F">
        <w:rPr>
          <w:position w:val="1"/>
        </w:rPr>
        <w:t>in</w:t>
      </w:r>
      <w:r w:rsidR="00033D0F">
        <w:rPr>
          <w:spacing w:val="-10"/>
          <w:position w:val="1"/>
        </w:rPr>
        <w:t xml:space="preserve"> </w:t>
      </w:r>
      <w:r w:rsidR="00033D0F">
        <w:rPr>
          <w:position w:val="1"/>
        </w:rPr>
        <w:t>the</w:t>
      </w:r>
      <w:r w:rsidR="00033D0F">
        <w:rPr>
          <w:spacing w:val="-8"/>
          <w:position w:val="1"/>
        </w:rPr>
        <w:t xml:space="preserve"> </w:t>
      </w:r>
      <w:r w:rsidR="00033D0F">
        <w:rPr>
          <w:position w:val="1"/>
        </w:rPr>
        <w:t>alternative,</w:t>
      </w:r>
      <w:r w:rsidR="00033D0F">
        <w:rPr>
          <w:spacing w:val="-11"/>
          <w:position w:val="1"/>
        </w:rPr>
        <w:t xml:space="preserve"> </w:t>
      </w:r>
      <w:r w:rsidR="00033D0F">
        <w:rPr>
          <w:position w:val="1"/>
        </w:rPr>
        <w:t>that</w:t>
      </w:r>
      <w:r w:rsidR="00033D0F">
        <w:rPr>
          <w:spacing w:val="-8"/>
          <w:position w:val="1"/>
        </w:rPr>
        <w:t xml:space="preserve"> </w:t>
      </w:r>
      <w:r w:rsidR="00033D0F">
        <w:rPr>
          <w:position w:val="1"/>
        </w:rPr>
        <w:t>"it</w:t>
      </w:r>
      <w:r w:rsidR="00033D0F">
        <w:rPr>
          <w:spacing w:val="-8"/>
          <w:position w:val="1"/>
        </w:rPr>
        <w:t xml:space="preserve"> </w:t>
      </w:r>
      <w:r w:rsidR="00033D0F">
        <w:rPr>
          <w:position w:val="1"/>
        </w:rPr>
        <w:t>is</w:t>
      </w:r>
      <w:r w:rsidR="00033D0F">
        <w:rPr>
          <w:spacing w:val="-7"/>
          <w:position w:val="1"/>
        </w:rPr>
        <w:t xml:space="preserve"> </w:t>
      </w:r>
      <w:r w:rsidR="00033D0F">
        <w:rPr>
          <w:position w:val="1"/>
        </w:rPr>
        <w:t>not</w:t>
      </w:r>
      <w:r w:rsidR="00033D0F">
        <w:rPr>
          <w:spacing w:val="-8"/>
          <w:position w:val="1"/>
        </w:rPr>
        <w:t xml:space="preserve"> </w:t>
      </w:r>
      <w:r w:rsidR="00033D0F">
        <w:rPr>
          <w:position w:val="1"/>
        </w:rPr>
        <w:t>reasonable</w:t>
      </w:r>
      <w:r w:rsidR="00033D0F">
        <w:rPr>
          <w:spacing w:val="-8"/>
          <w:position w:val="1"/>
        </w:rPr>
        <w:t xml:space="preserve"> </w:t>
      </w:r>
      <w:r w:rsidR="00033D0F">
        <w:rPr>
          <w:position w:val="1"/>
        </w:rPr>
        <w:t>to</w:t>
      </w:r>
      <w:r w:rsidR="00033D0F">
        <w:rPr>
          <w:spacing w:val="-11"/>
          <w:position w:val="1"/>
        </w:rPr>
        <w:t xml:space="preserve"> </w:t>
      </w:r>
      <w:r w:rsidR="00033D0F">
        <w:rPr>
          <w:position w:val="1"/>
        </w:rPr>
        <w:t>expect</w:t>
      </w:r>
      <w:r w:rsidR="00033D0F">
        <w:rPr>
          <w:spacing w:val="-8"/>
          <w:position w:val="1"/>
        </w:rPr>
        <w:t xml:space="preserve"> </w:t>
      </w:r>
      <w:r w:rsidR="00033D0F">
        <w:rPr>
          <w:position w:val="1"/>
        </w:rPr>
        <w:t>the</w:t>
      </w:r>
      <w:r w:rsidR="00033D0F">
        <w:rPr>
          <w:spacing w:val="-8"/>
          <w:position w:val="1"/>
        </w:rPr>
        <w:t xml:space="preserve"> </w:t>
      </w:r>
      <w:r w:rsidR="00033D0F">
        <w:rPr>
          <w:position w:val="1"/>
        </w:rPr>
        <w:t xml:space="preserve">applicant </w:t>
      </w:r>
      <w:r w:rsidR="00033D0F">
        <w:t>to</w:t>
      </w:r>
      <w:r w:rsidR="00033D0F">
        <w:rPr>
          <w:spacing w:val="-2"/>
        </w:rPr>
        <w:t xml:space="preserve"> </w:t>
      </w:r>
      <w:r w:rsidR="00033D0F">
        <w:t>have information</w:t>
      </w:r>
      <w:r w:rsidR="00033D0F">
        <w:rPr>
          <w:spacing w:val="-2"/>
        </w:rPr>
        <w:t xml:space="preserve"> </w:t>
      </w:r>
      <w:r w:rsidR="00033D0F">
        <w:t>on</w:t>
      </w:r>
      <w:r w:rsidR="00033D0F">
        <w:rPr>
          <w:spacing w:val="-2"/>
        </w:rPr>
        <w:t xml:space="preserve"> </w:t>
      </w:r>
      <w:r w:rsidR="00033D0F">
        <w:t>producers not part of</w:t>
      </w:r>
      <w:r w:rsidR="00033D0F">
        <w:rPr>
          <w:spacing w:val="-1"/>
        </w:rPr>
        <w:t xml:space="preserve"> </w:t>
      </w:r>
      <w:r w:rsidR="00033D0F">
        <w:t>the association, and</w:t>
      </w:r>
      <w:r w:rsidR="00033D0F">
        <w:rPr>
          <w:spacing w:val="-2"/>
        </w:rPr>
        <w:t xml:space="preserve"> </w:t>
      </w:r>
      <w:r w:rsidR="00033D0F">
        <w:t>especially not on</w:t>
      </w:r>
      <w:r w:rsidR="00033D0F">
        <w:rPr>
          <w:spacing w:val="-2"/>
        </w:rPr>
        <w:t xml:space="preserve"> </w:t>
      </w:r>
      <w:r w:rsidR="00033D0F">
        <w:t>each</w:t>
      </w:r>
      <w:r w:rsidR="00033D0F">
        <w:rPr>
          <w:spacing w:val="-2"/>
        </w:rPr>
        <w:t xml:space="preserve"> </w:t>
      </w:r>
      <w:r w:rsidR="00033D0F">
        <w:t>and every producer in China".</w:t>
      </w:r>
      <w:hyperlink w:anchor="_bookmark1153" w:history="1">
        <w:r w:rsidR="00033D0F">
          <w:rPr>
            <w:vertAlign w:val="superscript"/>
          </w:rPr>
          <w:t>993</w:t>
        </w:r>
      </w:hyperlink>
      <w:r w:rsidR="00033D0F">
        <w:t xml:space="preserve"> This </w:t>
      </w:r>
      <w:proofErr w:type="spellStart"/>
      <w:r w:rsidR="00033D0F">
        <w:t>mischaracterises</w:t>
      </w:r>
      <w:proofErr w:type="spellEnd"/>
      <w:r w:rsidR="00033D0F">
        <w:t xml:space="preserve"> Australia's argument. Australia has not argued that CADA should have submitted information on each and every producer in China. Rather, it was required to provide a list of those that were </w:t>
      </w:r>
      <w:r w:rsidR="00033D0F">
        <w:rPr>
          <w:i/>
        </w:rPr>
        <w:t xml:space="preserve">known </w:t>
      </w:r>
      <w:r w:rsidR="00033D0F">
        <w:t>to it.</w:t>
      </w:r>
    </w:p>
    <w:p w14:paraId="7F17BA2F" w14:textId="77777777" w:rsidR="00BD462C" w:rsidRDefault="00BD462C">
      <w:pPr>
        <w:pStyle w:val="BodyText"/>
        <w:spacing w:before="6"/>
        <w:rPr>
          <w:sz w:val="8"/>
        </w:rPr>
      </w:pPr>
    </w:p>
    <w:p w14:paraId="4C4E903D" w14:textId="2B8E6D1F" w:rsidR="00BD462C" w:rsidRDefault="00B316AF">
      <w:pPr>
        <w:pStyle w:val="BodyText"/>
        <w:spacing w:before="56" w:line="360" w:lineRule="auto"/>
        <w:ind w:left="135" w:right="912"/>
        <w:jc w:val="both"/>
      </w:pPr>
      <w:r>
        <w:rPr>
          <w:noProof/>
        </w:rPr>
        <w:t>629.</w:t>
      </w:r>
      <w:r w:rsidR="00033D0F">
        <w:rPr>
          <w:rFonts w:ascii="Times New Roman"/>
          <w:spacing w:val="80"/>
          <w:position w:val="1"/>
          <w:sz w:val="20"/>
        </w:rPr>
        <w:t xml:space="preserve">  </w:t>
      </w:r>
      <w:r w:rsidR="00033D0F">
        <w:rPr>
          <w:position w:val="1"/>
        </w:rPr>
        <w:t>Australia's</w:t>
      </w:r>
      <w:r w:rsidR="00033D0F">
        <w:rPr>
          <w:spacing w:val="-10"/>
          <w:position w:val="1"/>
        </w:rPr>
        <w:t xml:space="preserve"> </w:t>
      </w:r>
      <w:r w:rsidR="00033D0F">
        <w:rPr>
          <w:position w:val="1"/>
        </w:rPr>
        <w:t>case</w:t>
      </w:r>
      <w:r w:rsidR="00033D0F">
        <w:rPr>
          <w:spacing w:val="-14"/>
          <w:position w:val="1"/>
        </w:rPr>
        <w:t xml:space="preserve"> </w:t>
      </w:r>
      <w:r w:rsidR="00033D0F">
        <w:rPr>
          <w:position w:val="1"/>
        </w:rPr>
        <w:t>is</w:t>
      </w:r>
      <w:r w:rsidR="00033D0F">
        <w:rPr>
          <w:spacing w:val="-11"/>
          <w:position w:val="1"/>
        </w:rPr>
        <w:t xml:space="preserve"> </w:t>
      </w:r>
      <w:r w:rsidR="00033D0F">
        <w:rPr>
          <w:position w:val="1"/>
        </w:rPr>
        <w:t>that</w:t>
      </w:r>
      <w:r w:rsidR="00033D0F">
        <w:rPr>
          <w:spacing w:val="-14"/>
          <w:position w:val="1"/>
        </w:rPr>
        <w:t xml:space="preserve"> </w:t>
      </w:r>
      <w:r w:rsidR="00033D0F">
        <w:rPr>
          <w:position w:val="1"/>
        </w:rPr>
        <w:t>CADA,</w:t>
      </w:r>
      <w:r w:rsidR="00033D0F">
        <w:rPr>
          <w:spacing w:val="-10"/>
          <w:position w:val="1"/>
        </w:rPr>
        <w:t xml:space="preserve"> </w:t>
      </w:r>
      <w:r w:rsidR="00033D0F">
        <w:rPr>
          <w:position w:val="1"/>
        </w:rPr>
        <w:t>as</w:t>
      </w:r>
      <w:r w:rsidR="00033D0F">
        <w:rPr>
          <w:spacing w:val="-10"/>
          <w:position w:val="1"/>
        </w:rPr>
        <w:t xml:space="preserve"> </w:t>
      </w:r>
      <w:r w:rsidR="00033D0F">
        <w:rPr>
          <w:position w:val="1"/>
        </w:rPr>
        <w:t>the</w:t>
      </w:r>
      <w:r w:rsidR="00033D0F">
        <w:rPr>
          <w:spacing w:val="-12"/>
          <w:position w:val="1"/>
        </w:rPr>
        <w:t xml:space="preserve"> </w:t>
      </w:r>
      <w:r w:rsidR="00033D0F">
        <w:rPr>
          <w:position w:val="1"/>
        </w:rPr>
        <w:t>peak</w:t>
      </w:r>
      <w:r w:rsidR="00033D0F">
        <w:rPr>
          <w:spacing w:val="-11"/>
          <w:position w:val="1"/>
        </w:rPr>
        <w:t xml:space="preserve"> </w:t>
      </w:r>
      <w:proofErr w:type="spellStart"/>
      <w:r w:rsidR="00033D0F">
        <w:rPr>
          <w:position w:val="1"/>
        </w:rPr>
        <w:t>organisation</w:t>
      </w:r>
      <w:proofErr w:type="spellEnd"/>
      <w:r w:rsidR="00033D0F">
        <w:rPr>
          <w:spacing w:val="-14"/>
          <w:position w:val="1"/>
        </w:rPr>
        <w:t xml:space="preserve"> </w:t>
      </w:r>
      <w:r w:rsidR="00033D0F">
        <w:rPr>
          <w:position w:val="1"/>
        </w:rPr>
        <w:t>for</w:t>
      </w:r>
      <w:r w:rsidR="00033D0F">
        <w:rPr>
          <w:spacing w:val="-14"/>
          <w:position w:val="1"/>
        </w:rPr>
        <w:t xml:space="preserve"> </w:t>
      </w:r>
      <w:r w:rsidR="00033D0F">
        <w:rPr>
          <w:position w:val="1"/>
        </w:rPr>
        <w:t>the</w:t>
      </w:r>
      <w:r w:rsidR="00033D0F">
        <w:rPr>
          <w:spacing w:val="-11"/>
          <w:position w:val="1"/>
        </w:rPr>
        <w:t xml:space="preserve"> </w:t>
      </w:r>
      <w:r w:rsidR="00033D0F">
        <w:rPr>
          <w:position w:val="1"/>
        </w:rPr>
        <w:t>Chinese</w:t>
      </w:r>
      <w:r w:rsidR="00033D0F">
        <w:rPr>
          <w:spacing w:val="-12"/>
          <w:position w:val="1"/>
        </w:rPr>
        <w:t xml:space="preserve"> </w:t>
      </w:r>
      <w:r w:rsidR="00033D0F">
        <w:rPr>
          <w:position w:val="1"/>
        </w:rPr>
        <w:t>alcoholic</w:t>
      </w:r>
      <w:r w:rsidR="00033D0F">
        <w:rPr>
          <w:spacing w:val="-13"/>
          <w:position w:val="1"/>
        </w:rPr>
        <w:t xml:space="preserve"> </w:t>
      </w:r>
      <w:r w:rsidR="00033D0F">
        <w:rPr>
          <w:position w:val="1"/>
        </w:rPr>
        <w:t xml:space="preserve">drinks </w:t>
      </w:r>
      <w:r w:rsidR="00033D0F">
        <w:t xml:space="preserve">industry, would have reasonably known of </w:t>
      </w:r>
      <w:r w:rsidR="00033D0F">
        <w:rPr>
          <w:i/>
        </w:rPr>
        <w:t xml:space="preserve">some </w:t>
      </w:r>
      <w:r w:rsidR="00033D0F">
        <w:t>domestic producers outside its members given</w:t>
      </w:r>
      <w:r w:rsidR="00033D0F">
        <w:rPr>
          <w:spacing w:val="-4"/>
        </w:rPr>
        <w:t xml:space="preserve"> </w:t>
      </w:r>
      <w:r w:rsidR="00033D0F">
        <w:t>it</w:t>
      </w:r>
      <w:r w:rsidR="00033D0F">
        <w:rPr>
          <w:spacing w:val="-2"/>
        </w:rPr>
        <w:t xml:space="preserve"> </w:t>
      </w:r>
      <w:r w:rsidR="00033D0F">
        <w:t>acknowledged</w:t>
      </w:r>
      <w:r w:rsidR="00033D0F">
        <w:rPr>
          <w:spacing w:val="-4"/>
        </w:rPr>
        <w:t xml:space="preserve"> </w:t>
      </w:r>
      <w:r w:rsidR="00033D0F">
        <w:t>that</w:t>
      </w:r>
      <w:r w:rsidR="00033D0F">
        <w:rPr>
          <w:spacing w:val="-2"/>
        </w:rPr>
        <w:t xml:space="preserve"> </w:t>
      </w:r>
      <w:r w:rsidR="00033D0F">
        <w:t>"there are hundreds of</w:t>
      </w:r>
      <w:r w:rsidR="00033D0F">
        <w:rPr>
          <w:spacing w:val="-4"/>
        </w:rPr>
        <w:t xml:space="preserve"> </w:t>
      </w:r>
      <w:r w:rsidR="00033D0F">
        <w:t>domestic</w:t>
      </w:r>
      <w:r w:rsidR="00033D0F">
        <w:rPr>
          <w:spacing w:val="-4"/>
        </w:rPr>
        <w:t xml:space="preserve"> </w:t>
      </w:r>
      <w:r w:rsidR="00033D0F">
        <w:t>wine</w:t>
      </w:r>
      <w:r w:rsidR="00033D0F">
        <w:rPr>
          <w:spacing w:val="-3"/>
        </w:rPr>
        <w:t xml:space="preserve"> </w:t>
      </w:r>
      <w:r w:rsidR="00033D0F">
        <w:t>producers</w:t>
      </w:r>
      <w:r w:rsidR="00033D0F">
        <w:rPr>
          <w:spacing w:val="-1"/>
        </w:rPr>
        <w:t xml:space="preserve"> </w:t>
      </w:r>
      <w:r w:rsidR="00033D0F">
        <w:t>in more than 20 provinces, autonomous regions, and directly-controlled cities, mainly in Shandong, Hebei, Ningxia, Xinjiang, and Gansu."</w:t>
      </w:r>
      <w:hyperlink w:anchor="_bookmark1154" w:history="1">
        <w:r w:rsidR="00033D0F">
          <w:rPr>
            <w:vertAlign w:val="superscript"/>
          </w:rPr>
          <w:t>994</w:t>
        </w:r>
      </w:hyperlink>
      <w:r w:rsidR="00033D0F">
        <w:t xml:space="preserve"> China provides the </w:t>
      </w:r>
      <w:r w:rsidR="00033D0F">
        <w:rPr>
          <w:i/>
        </w:rPr>
        <w:t xml:space="preserve">ex post facto </w:t>
      </w:r>
      <w:proofErr w:type="spellStart"/>
      <w:r w:rsidR="00033D0F">
        <w:t>rationalisation</w:t>
      </w:r>
      <w:proofErr w:type="spellEnd"/>
      <w:r w:rsidR="00033D0F">
        <w:t xml:space="preserve"> that "even though CADA was aware of the fact that there were several other producers in China, CADA did not know who these other producers were, nor what their production volumes were".</w:t>
      </w:r>
      <w:hyperlink w:anchor="_bookmark1155" w:history="1">
        <w:r w:rsidR="00033D0F">
          <w:rPr>
            <w:vertAlign w:val="superscript"/>
          </w:rPr>
          <w:t>995</w:t>
        </w:r>
      </w:hyperlink>
      <w:r w:rsidR="00033D0F">
        <w:t xml:space="preserve"> China's assertion in this regard is not evidenced by any information on the record submitted by</w:t>
      </w:r>
      <w:r w:rsidR="00033D0F">
        <w:rPr>
          <w:spacing w:val="-8"/>
        </w:rPr>
        <w:t xml:space="preserve"> </w:t>
      </w:r>
      <w:r w:rsidR="00033D0F">
        <w:t>CADA.</w:t>
      </w:r>
      <w:r w:rsidR="00033D0F">
        <w:rPr>
          <w:spacing w:val="-12"/>
        </w:rPr>
        <w:t xml:space="preserve"> </w:t>
      </w:r>
      <w:r w:rsidR="00033D0F">
        <w:t>Instead,</w:t>
      </w:r>
      <w:r w:rsidR="00033D0F">
        <w:rPr>
          <w:spacing w:val="-6"/>
        </w:rPr>
        <w:t xml:space="preserve"> </w:t>
      </w:r>
      <w:r w:rsidR="00033D0F">
        <w:t>as</w:t>
      </w:r>
      <w:r w:rsidR="00033D0F">
        <w:rPr>
          <w:spacing w:val="-7"/>
        </w:rPr>
        <w:t xml:space="preserve"> </w:t>
      </w:r>
      <w:r w:rsidR="00033D0F">
        <w:t>China</w:t>
      </w:r>
      <w:r w:rsidR="00033D0F">
        <w:rPr>
          <w:spacing w:val="-9"/>
        </w:rPr>
        <w:t xml:space="preserve"> </w:t>
      </w:r>
      <w:proofErr w:type="spellStart"/>
      <w:r w:rsidR="00033D0F">
        <w:t>emphasises</w:t>
      </w:r>
      <w:proofErr w:type="spellEnd"/>
      <w:r w:rsidR="00033D0F">
        <w:rPr>
          <w:spacing w:val="-7"/>
        </w:rPr>
        <w:t xml:space="preserve"> </w:t>
      </w:r>
      <w:r w:rsidR="00033D0F">
        <w:t>in</w:t>
      </w:r>
      <w:r w:rsidR="00033D0F">
        <w:rPr>
          <w:spacing w:val="-14"/>
        </w:rPr>
        <w:t xml:space="preserve"> </w:t>
      </w:r>
      <w:r w:rsidR="00033D0F">
        <w:t>its</w:t>
      </w:r>
      <w:r w:rsidR="00033D0F">
        <w:rPr>
          <w:spacing w:val="-11"/>
        </w:rPr>
        <w:t xml:space="preserve"> </w:t>
      </w:r>
      <w:r w:rsidR="00033D0F">
        <w:t>submissions,</w:t>
      </w:r>
      <w:r w:rsidR="00033D0F">
        <w:rPr>
          <w:spacing w:val="-6"/>
        </w:rPr>
        <w:t xml:space="preserve"> </w:t>
      </w:r>
      <w:r w:rsidR="00033D0F">
        <w:t>CADA's</w:t>
      </w:r>
      <w:r w:rsidR="00033D0F">
        <w:rPr>
          <w:spacing w:val="-7"/>
        </w:rPr>
        <w:t xml:space="preserve"> </w:t>
      </w:r>
      <w:r w:rsidR="00033D0F">
        <w:t>purported</w:t>
      </w:r>
      <w:r w:rsidR="00033D0F">
        <w:rPr>
          <w:spacing w:val="-10"/>
        </w:rPr>
        <w:t xml:space="preserve"> </w:t>
      </w:r>
      <w:r w:rsidR="00033D0F">
        <w:t>functions</w:t>
      </w:r>
      <w:r w:rsidR="00033D0F">
        <w:rPr>
          <w:spacing w:val="-7"/>
        </w:rPr>
        <w:t xml:space="preserve"> </w:t>
      </w:r>
      <w:r w:rsidR="00033D0F">
        <w:t>include the following: "reflect the situation and opinions of the industry", "develop industry cooperation", "promote the healthy development of the industry" and "macro management of the wine industry".</w:t>
      </w:r>
      <w:hyperlink w:anchor="_bookmark1156" w:history="1">
        <w:r w:rsidR="00033D0F">
          <w:rPr>
            <w:vertAlign w:val="superscript"/>
          </w:rPr>
          <w:t>996</w:t>
        </w:r>
      </w:hyperlink>
      <w:r w:rsidR="00033D0F">
        <w:t xml:space="preserve"> In this light, it seems improbable that CADA, including its 122 members, did not know the name of a single domestic producer of like domestic products outside of its own membership.</w:t>
      </w:r>
    </w:p>
    <w:p w14:paraId="7D00550A" w14:textId="77777777" w:rsidR="00BD462C" w:rsidRDefault="00BD462C">
      <w:pPr>
        <w:pStyle w:val="BodyText"/>
        <w:rPr>
          <w:sz w:val="20"/>
        </w:rPr>
      </w:pPr>
    </w:p>
    <w:p w14:paraId="10CB5B85" w14:textId="77777777" w:rsidR="00BD462C" w:rsidRDefault="00BD462C">
      <w:pPr>
        <w:pStyle w:val="BodyText"/>
        <w:rPr>
          <w:sz w:val="20"/>
        </w:rPr>
      </w:pPr>
    </w:p>
    <w:p w14:paraId="6482AC98" w14:textId="77777777" w:rsidR="00BD462C" w:rsidRDefault="00BD462C">
      <w:pPr>
        <w:pStyle w:val="BodyText"/>
        <w:rPr>
          <w:sz w:val="20"/>
        </w:rPr>
      </w:pPr>
    </w:p>
    <w:p w14:paraId="042434AA" w14:textId="77777777" w:rsidR="00BD462C" w:rsidRDefault="00BD462C">
      <w:pPr>
        <w:pStyle w:val="BodyText"/>
        <w:rPr>
          <w:sz w:val="20"/>
        </w:rPr>
      </w:pPr>
    </w:p>
    <w:p w14:paraId="7C051161" w14:textId="0E66BD73" w:rsidR="00BD462C" w:rsidRDefault="007E218F">
      <w:pPr>
        <w:pStyle w:val="BodyText"/>
        <w:spacing w:before="1"/>
        <w:rPr>
          <w:sz w:val="15"/>
        </w:rPr>
      </w:pPr>
      <w:r>
        <w:rPr>
          <w:noProof/>
        </w:rPr>
        <mc:AlternateContent>
          <mc:Choice Requires="wps">
            <w:drawing>
              <wp:anchor distT="0" distB="0" distL="0" distR="0" simplePos="0" relativeHeight="488186368" behindDoc="1" locked="0" layoutInCell="1" allowOverlap="1" wp14:anchorId="167EAE36" wp14:editId="14EE1866">
                <wp:simplePos x="0" y="0"/>
                <wp:positionH relativeFrom="page">
                  <wp:posOffset>812800</wp:posOffset>
                </wp:positionH>
                <wp:positionV relativeFrom="paragraph">
                  <wp:posOffset>118110</wp:posOffset>
                </wp:positionV>
                <wp:extent cx="1828800" cy="8890"/>
                <wp:effectExtent l="0" t="0" r="0" b="0"/>
                <wp:wrapTopAndBottom/>
                <wp:docPr id="161" name="docshape6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18CBE5" id="docshape664" o:spid="_x0000_s1026" alt="&quot;&quot;" style="position:absolute;margin-left:64pt;margin-top:9.3pt;width:2in;height:.7pt;z-index:-1513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" fillcolor="black" stroked="f">
                <w10:wrap type="topAndBottom" anchorx="page"/>
              </v:rect>
            </w:pict>
          </mc:Fallback>
        </mc:AlternateContent>
      </w:r>
    </w:p>
    <w:p w14:paraId="6978BC35" w14:textId="77777777" w:rsidR="00BD462C" w:rsidRDefault="00033D0F">
      <w:pPr>
        <w:spacing w:before="107"/>
        <w:ind w:left="135"/>
        <w:rPr>
          <w:sz w:val="18"/>
        </w:rPr>
      </w:pPr>
      <w:bookmarkStart w:id="1336" w:name="_bookmark1153"/>
      <w:bookmarkEnd w:id="1336"/>
      <w:r>
        <w:rPr>
          <w:position w:val="5"/>
          <w:sz w:val="12"/>
        </w:rPr>
        <w:t>993</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 xml:space="preserve">submission, para. </w:t>
      </w:r>
      <w:r>
        <w:rPr>
          <w:spacing w:val="-2"/>
          <w:sz w:val="18"/>
        </w:rPr>
        <w:t>2062.</w:t>
      </w:r>
    </w:p>
    <w:p w14:paraId="57D934C3" w14:textId="77777777" w:rsidR="00BD462C" w:rsidRDefault="00033D0F">
      <w:pPr>
        <w:spacing w:before="1"/>
        <w:ind w:left="135"/>
        <w:rPr>
          <w:sz w:val="18"/>
        </w:rPr>
      </w:pPr>
      <w:bookmarkStart w:id="1337" w:name="_bookmark1154"/>
      <w:bookmarkEnd w:id="1337"/>
      <w:r>
        <w:rPr>
          <w:position w:val="5"/>
          <w:sz w:val="12"/>
        </w:rPr>
        <w:t>994</w:t>
      </w:r>
      <w:r>
        <w:rPr>
          <w:spacing w:val="14"/>
          <w:position w:val="5"/>
          <w:sz w:val="12"/>
        </w:rPr>
        <w:t xml:space="preserve"> </w:t>
      </w:r>
      <w:r>
        <w:rPr>
          <w:sz w:val="18"/>
        </w:rPr>
        <w:t>CADA</w:t>
      </w:r>
      <w:r>
        <w:rPr>
          <w:spacing w:val="-5"/>
          <w:sz w:val="18"/>
        </w:rPr>
        <w:t xml:space="preserve"> </w:t>
      </w:r>
      <w:r>
        <w:rPr>
          <w:sz w:val="18"/>
        </w:rPr>
        <w:t>Application</w:t>
      </w:r>
      <w:r>
        <w:rPr>
          <w:spacing w:val="-6"/>
          <w:sz w:val="18"/>
        </w:rPr>
        <w:t xml:space="preserve"> </w:t>
      </w:r>
      <w:r>
        <w:rPr>
          <w:sz w:val="18"/>
        </w:rPr>
        <w:t>for</w:t>
      </w:r>
      <w:r>
        <w:rPr>
          <w:spacing w:val="-6"/>
          <w:sz w:val="18"/>
        </w:rPr>
        <w:t xml:space="preserve"> </w:t>
      </w:r>
      <w:r>
        <w:rPr>
          <w:sz w:val="18"/>
        </w:rPr>
        <w:t>Anti-Dumping</w:t>
      </w:r>
      <w:r>
        <w:rPr>
          <w:spacing w:val="-4"/>
          <w:sz w:val="18"/>
        </w:rPr>
        <w:t xml:space="preserve"> </w:t>
      </w:r>
      <w:r>
        <w:rPr>
          <w:sz w:val="18"/>
        </w:rPr>
        <w:t>Investigation</w:t>
      </w:r>
      <w:r>
        <w:rPr>
          <w:spacing w:val="-6"/>
          <w:sz w:val="18"/>
        </w:rPr>
        <w:t xml:space="preserve"> </w:t>
      </w:r>
      <w:r>
        <w:rPr>
          <w:sz w:val="18"/>
        </w:rPr>
        <w:t>(Exhibit</w:t>
      </w:r>
      <w:r>
        <w:rPr>
          <w:spacing w:val="-3"/>
          <w:sz w:val="18"/>
        </w:rPr>
        <w:t xml:space="preserve"> </w:t>
      </w:r>
      <w:r>
        <w:rPr>
          <w:sz w:val="18"/>
        </w:rPr>
        <w:t>AUS-64),</w:t>
      </w:r>
      <w:r>
        <w:rPr>
          <w:spacing w:val="-3"/>
          <w:sz w:val="18"/>
        </w:rPr>
        <w:t xml:space="preserve"> </w:t>
      </w:r>
      <w:r>
        <w:rPr>
          <w:sz w:val="18"/>
        </w:rPr>
        <w:t>p.</w:t>
      </w:r>
      <w:r>
        <w:rPr>
          <w:spacing w:val="-3"/>
          <w:sz w:val="18"/>
        </w:rPr>
        <w:t xml:space="preserve"> </w:t>
      </w:r>
      <w:r>
        <w:rPr>
          <w:spacing w:val="-5"/>
          <w:sz w:val="18"/>
        </w:rPr>
        <w:t>10.</w:t>
      </w:r>
    </w:p>
    <w:p w14:paraId="42CA122D" w14:textId="77777777" w:rsidR="00BD462C" w:rsidRDefault="00033D0F">
      <w:pPr>
        <w:spacing w:before="1"/>
        <w:ind w:left="135"/>
        <w:rPr>
          <w:sz w:val="18"/>
        </w:rPr>
      </w:pPr>
      <w:bookmarkStart w:id="1338" w:name="_bookmark1155"/>
      <w:bookmarkEnd w:id="1338"/>
      <w:r>
        <w:rPr>
          <w:position w:val="5"/>
          <w:sz w:val="12"/>
        </w:rPr>
        <w:t>995</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 xml:space="preserve">submission, para. </w:t>
      </w:r>
      <w:r>
        <w:rPr>
          <w:spacing w:val="-2"/>
          <w:sz w:val="18"/>
        </w:rPr>
        <w:t>2064.</w:t>
      </w:r>
    </w:p>
    <w:p w14:paraId="5D28336B" w14:textId="77777777" w:rsidR="00BD462C" w:rsidRDefault="00033D0F">
      <w:pPr>
        <w:spacing w:before="1"/>
        <w:ind w:left="135" w:right="923"/>
        <w:rPr>
          <w:sz w:val="18"/>
        </w:rPr>
      </w:pPr>
      <w:bookmarkStart w:id="1339" w:name="_bookmark1156"/>
      <w:bookmarkEnd w:id="1339"/>
      <w:r>
        <w:rPr>
          <w:position w:val="5"/>
          <w:sz w:val="12"/>
        </w:rPr>
        <w:t>996</w:t>
      </w:r>
      <w:r>
        <w:rPr>
          <w:spacing w:val="21"/>
          <w:position w:val="5"/>
          <w:sz w:val="12"/>
        </w:rPr>
        <w:t xml:space="preserve"> </w:t>
      </w:r>
      <w:r>
        <w:rPr>
          <w:sz w:val="18"/>
        </w:rPr>
        <w:t>China's first written submission, paras. 2044-2045 (citing CADA Application for Anti-Dumping investigation (Exhibit AUS- 64), pp. 6-7).</w:t>
      </w:r>
    </w:p>
    <w:p w14:paraId="6A497F5D" w14:textId="77777777" w:rsidR="00BD462C" w:rsidRDefault="00BD462C">
      <w:pPr>
        <w:rPr>
          <w:sz w:val="18"/>
        </w:rPr>
        <w:sectPr w:rsidR="00BD462C">
          <w:pgSz w:w="11910" w:h="16840"/>
          <w:pgMar w:top="860" w:right="500" w:bottom="780" w:left="1280" w:header="566" w:footer="590" w:gutter="0"/>
          <w:cols w:space="720"/>
        </w:sectPr>
      </w:pPr>
    </w:p>
    <w:p w14:paraId="20A7F76B"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66CB752C"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265B06C2"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0D1EF7ED" w14:textId="3478D529" w:rsidR="00BD462C" w:rsidRDefault="008F172C">
      <w:pPr>
        <w:pStyle w:val="BodyText"/>
        <w:spacing w:before="107" w:line="357" w:lineRule="auto"/>
        <w:ind w:left="135" w:right="911"/>
        <w:jc w:val="both"/>
      </w:pPr>
      <w:r>
        <w:rPr>
          <w:noProof/>
        </w:rPr>
        <w:t xml:space="preserve">630. </w:t>
      </w:r>
      <w:r>
        <w:rPr>
          <w:noProof/>
        </w:rPr>
        <w:tab/>
      </w:r>
      <w:r w:rsidR="00033D0F">
        <w:rPr>
          <w:position w:val="1"/>
        </w:rPr>
        <w:t xml:space="preserve">Further, information that is available to CADA's members is information that is </w:t>
      </w:r>
      <w:r w:rsidR="00033D0F">
        <w:t>reasonably available to CADA within the meaning of the chapeau of Article 5.2. Given that CADA</w:t>
      </w:r>
      <w:r w:rsidR="00033D0F">
        <w:rPr>
          <w:spacing w:val="-2"/>
        </w:rPr>
        <w:t xml:space="preserve"> </w:t>
      </w:r>
      <w:r w:rsidR="00033D0F">
        <w:t>describes hundreds of</w:t>
      </w:r>
      <w:r w:rsidR="00033D0F">
        <w:rPr>
          <w:spacing w:val="-3"/>
        </w:rPr>
        <w:t xml:space="preserve"> </w:t>
      </w:r>
      <w:r w:rsidR="00033D0F">
        <w:t>other</w:t>
      </w:r>
      <w:r w:rsidR="00033D0F">
        <w:rPr>
          <w:spacing w:val="-4"/>
        </w:rPr>
        <w:t xml:space="preserve"> </w:t>
      </w:r>
      <w:r w:rsidR="00033D0F">
        <w:t>producers</w:t>
      </w:r>
      <w:hyperlink w:anchor="_bookmark1159" w:history="1">
        <w:r w:rsidR="00033D0F">
          <w:rPr>
            <w:vertAlign w:val="superscript"/>
          </w:rPr>
          <w:t>997</w:t>
        </w:r>
      </w:hyperlink>
      <w:r w:rsidR="00033D0F">
        <w:t>, CADA's members would</w:t>
      </w:r>
      <w:r w:rsidR="00033D0F">
        <w:rPr>
          <w:spacing w:val="-3"/>
        </w:rPr>
        <w:t xml:space="preserve"> </w:t>
      </w:r>
      <w:r w:rsidR="00033D0F">
        <w:t>have</w:t>
      </w:r>
      <w:r w:rsidR="00033D0F">
        <w:rPr>
          <w:spacing w:val="-1"/>
        </w:rPr>
        <w:t xml:space="preserve"> </w:t>
      </w:r>
      <w:r w:rsidR="00033D0F">
        <w:t>known</w:t>
      </w:r>
      <w:r w:rsidR="00033D0F">
        <w:rPr>
          <w:spacing w:val="-3"/>
        </w:rPr>
        <w:t xml:space="preserve"> </w:t>
      </w:r>
      <w:r w:rsidR="00033D0F">
        <w:t>who at least</w:t>
      </w:r>
      <w:r w:rsidR="00033D0F">
        <w:rPr>
          <w:spacing w:val="-2"/>
        </w:rPr>
        <w:t xml:space="preserve"> </w:t>
      </w:r>
      <w:r w:rsidR="00033D0F">
        <w:t>some of their non-CADA competitors in the Chinese market were, at least on a regional or product-specific basis. Therefore, MOFCOM failed to require CADA to provide a list of all known domestic producers of the like product.</w:t>
      </w:r>
    </w:p>
    <w:p w14:paraId="781A0275" w14:textId="77777777" w:rsidR="00BD462C" w:rsidRDefault="00033D0F" w:rsidP="00DA02D9">
      <w:pPr>
        <w:pStyle w:val="ListParagraph"/>
        <w:numPr>
          <w:ilvl w:val="1"/>
          <w:numId w:val="72"/>
        </w:numPr>
        <w:tabs>
          <w:tab w:val="left" w:pos="1839"/>
          <w:tab w:val="left" w:pos="1840"/>
        </w:tabs>
        <w:spacing w:before="170"/>
        <w:ind w:left="1840"/>
        <w:rPr>
          <w:b/>
        </w:rPr>
      </w:pPr>
      <w:bookmarkStart w:id="1340" w:name="C._CADA's_written_application_contained_"/>
      <w:bookmarkStart w:id="1341" w:name="_bookmark1157"/>
      <w:bookmarkEnd w:id="1340"/>
      <w:bookmarkEnd w:id="1341"/>
      <w:r>
        <w:rPr>
          <w:b/>
          <w:sz w:val="28"/>
        </w:rPr>
        <w:t>CADA'</w:t>
      </w:r>
      <w:r>
        <w:rPr>
          <w:b/>
        </w:rPr>
        <w:t>S</w:t>
      </w:r>
      <w:r>
        <w:rPr>
          <w:b/>
          <w:spacing w:val="72"/>
          <w:w w:val="150"/>
        </w:rPr>
        <w:t xml:space="preserve"> </w:t>
      </w:r>
      <w:r>
        <w:rPr>
          <w:b/>
        </w:rPr>
        <w:t>WRITTEN</w:t>
      </w:r>
      <w:r>
        <w:rPr>
          <w:b/>
          <w:spacing w:val="70"/>
          <w:w w:val="150"/>
        </w:rPr>
        <w:t xml:space="preserve"> </w:t>
      </w:r>
      <w:r>
        <w:rPr>
          <w:b/>
        </w:rPr>
        <w:t>APPLICATION</w:t>
      </w:r>
      <w:r>
        <w:rPr>
          <w:b/>
          <w:spacing w:val="70"/>
          <w:w w:val="150"/>
        </w:rPr>
        <w:t xml:space="preserve"> </w:t>
      </w:r>
      <w:r>
        <w:rPr>
          <w:b/>
        </w:rPr>
        <w:t>CONTAINED</w:t>
      </w:r>
      <w:r>
        <w:rPr>
          <w:b/>
          <w:spacing w:val="76"/>
          <w:w w:val="150"/>
        </w:rPr>
        <w:t xml:space="preserve"> </w:t>
      </w:r>
      <w:r>
        <w:rPr>
          <w:b/>
        </w:rPr>
        <w:t>INSUFFICIENT</w:t>
      </w:r>
      <w:r>
        <w:rPr>
          <w:b/>
          <w:spacing w:val="77"/>
          <w:w w:val="150"/>
        </w:rPr>
        <w:t xml:space="preserve"> </w:t>
      </w:r>
      <w:r>
        <w:rPr>
          <w:b/>
        </w:rPr>
        <w:t>EVIDENCE</w:t>
      </w:r>
      <w:r>
        <w:rPr>
          <w:b/>
          <w:spacing w:val="74"/>
          <w:w w:val="150"/>
        </w:rPr>
        <w:t xml:space="preserve"> </w:t>
      </w:r>
      <w:r>
        <w:rPr>
          <w:b/>
          <w:spacing w:val="-5"/>
        </w:rPr>
        <w:t>OF</w:t>
      </w:r>
    </w:p>
    <w:p w14:paraId="18DD27A9" w14:textId="77777777" w:rsidR="00BD462C" w:rsidRDefault="00033D0F">
      <w:pPr>
        <w:pStyle w:val="Heading2"/>
        <w:spacing w:before="172"/>
        <w:ind w:right="698"/>
        <w:jc w:val="center"/>
      </w:pPr>
      <w:r>
        <w:rPr>
          <w:smallCaps/>
        </w:rPr>
        <w:t>Dumping,</w:t>
      </w:r>
      <w:r>
        <w:rPr>
          <w:smallCaps/>
          <w:spacing w:val="-16"/>
        </w:rPr>
        <w:t xml:space="preserve"> </w:t>
      </w:r>
      <w:r>
        <w:rPr>
          <w:smallCaps/>
        </w:rPr>
        <w:t>Injury</w:t>
      </w:r>
      <w:r>
        <w:rPr>
          <w:smallCaps/>
          <w:spacing w:val="-8"/>
        </w:rPr>
        <w:t xml:space="preserve"> </w:t>
      </w:r>
      <w:r>
        <w:rPr>
          <w:smallCaps/>
        </w:rPr>
        <w:t>and</w:t>
      </w:r>
      <w:r>
        <w:rPr>
          <w:smallCaps/>
          <w:spacing w:val="-5"/>
        </w:rPr>
        <w:t xml:space="preserve"> </w:t>
      </w:r>
      <w:r>
        <w:rPr>
          <w:smallCaps/>
        </w:rPr>
        <w:t>Causation</w:t>
      </w:r>
      <w:r>
        <w:rPr>
          <w:smallCaps/>
          <w:spacing w:val="-6"/>
        </w:rPr>
        <w:t xml:space="preserve"> </w:t>
      </w:r>
      <w:r>
        <w:rPr>
          <w:smallCaps/>
        </w:rPr>
        <w:t>for</w:t>
      </w:r>
      <w:r>
        <w:rPr>
          <w:smallCaps/>
          <w:spacing w:val="-5"/>
        </w:rPr>
        <w:t xml:space="preserve"> </w:t>
      </w:r>
      <w:r>
        <w:rPr>
          <w:smallCaps/>
        </w:rPr>
        <w:t>the</w:t>
      </w:r>
      <w:r>
        <w:rPr>
          <w:smallCaps/>
          <w:spacing w:val="-7"/>
        </w:rPr>
        <w:t xml:space="preserve"> </w:t>
      </w:r>
      <w:r>
        <w:rPr>
          <w:smallCaps/>
        </w:rPr>
        <w:t>purposes</w:t>
      </w:r>
      <w:r>
        <w:rPr>
          <w:smallCaps/>
          <w:spacing w:val="-4"/>
        </w:rPr>
        <w:t xml:space="preserve"> </w:t>
      </w:r>
      <w:r>
        <w:rPr>
          <w:smallCaps/>
        </w:rPr>
        <w:t>of</w:t>
      </w:r>
      <w:r>
        <w:rPr>
          <w:smallCaps/>
          <w:spacing w:val="-5"/>
        </w:rPr>
        <w:t xml:space="preserve"> </w:t>
      </w:r>
      <w:r>
        <w:rPr>
          <w:smallCaps/>
          <w:spacing w:val="-2"/>
        </w:rPr>
        <w:t>Initiation</w:t>
      </w:r>
    </w:p>
    <w:p w14:paraId="77473A42" w14:textId="77777777" w:rsidR="00BD462C" w:rsidRDefault="00BD462C">
      <w:pPr>
        <w:pStyle w:val="BodyText"/>
        <w:rPr>
          <w:b/>
          <w:sz w:val="27"/>
        </w:rPr>
      </w:pPr>
    </w:p>
    <w:p w14:paraId="0292FB34" w14:textId="77777777" w:rsidR="00BD462C" w:rsidRDefault="00033D0F">
      <w:pPr>
        <w:pStyle w:val="Heading3"/>
        <w:numPr>
          <w:ilvl w:val="0"/>
          <w:numId w:val="31"/>
        </w:numPr>
        <w:tabs>
          <w:tab w:val="left" w:pos="2689"/>
          <w:tab w:val="left" w:pos="2690"/>
        </w:tabs>
        <w:spacing w:before="0" w:line="360" w:lineRule="auto"/>
        <w:ind w:right="914"/>
      </w:pPr>
      <w:bookmarkStart w:id="1342" w:name="1._Australia_and_China_appear_to_agree_o"/>
      <w:bookmarkStart w:id="1343" w:name="_bookmark1158"/>
      <w:bookmarkEnd w:id="1342"/>
      <w:bookmarkEnd w:id="1343"/>
      <w:r>
        <w:t xml:space="preserve">Australia and China appear to agree on the legal standard applicable under Articles 5.2 and 5.3 of the Anti-Dumping </w:t>
      </w:r>
      <w:r>
        <w:rPr>
          <w:spacing w:val="-2"/>
        </w:rPr>
        <w:t>Agreement</w:t>
      </w:r>
    </w:p>
    <w:p w14:paraId="5BBBABDE" w14:textId="77777777" w:rsidR="00BD462C" w:rsidRDefault="00BD462C">
      <w:pPr>
        <w:pStyle w:val="BodyText"/>
        <w:spacing w:before="11"/>
        <w:rPr>
          <w:b/>
          <w:sz w:val="8"/>
        </w:rPr>
      </w:pPr>
    </w:p>
    <w:p w14:paraId="49BD4369" w14:textId="45AAB100" w:rsidR="00BD462C" w:rsidRDefault="008F172C">
      <w:pPr>
        <w:pStyle w:val="BodyText"/>
        <w:spacing w:before="56"/>
        <w:ind w:left="135"/>
        <w:jc w:val="both"/>
      </w:pPr>
      <w:r>
        <w:rPr>
          <w:noProof/>
        </w:rPr>
        <w:t>631.</w:t>
      </w:r>
      <w:r w:rsidR="00033D0F">
        <w:rPr>
          <w:rFonts w:ascii="Times New Roman"/>
          <w:spacing w:val="80"/>
          <w:position w:val="1"/>
          <w:sz w:val="20"/>
        </w:rPr>
        <w:t xml:space="preserve">   </w:t>
      </w:r>
      <w:r w:rsidR="00033D0F">
        <w:rPr>
          <w:position w:val="1"/>
        </w:rPr>
        <w:t>Australia</w:t>
      </w:r>
      <w:r w:rsidR="00033D0F">
        <w:rPr>
          <w:spacing w:val="20"/>
          <w:position w:val="1"/>
        </w:rPr>
        <w:t xml:space="preserve"> </w:t>
      </w:r>
      <w:r w:rsidR="00033D0F">
        <w:rPr>
          <w:position w:val="1"/>
        </w:rPr>
        <w:t>and</w:t>
      </w:r>
      <w:r w:rsidR="00033D0F">
        <w:rPr>
          <w:spacing w:val="18"/>
          <w:position w:val="1"/>
        </w:rPr>
        <w:t xml:space="preserve"> </w:t>
      </w:r>
      <w:r w:rsidR="00033D0F">
        <w:rPr>
          <w:position w:val="1"/>
        </w:rPr>
        <w:t>China</w:t>
      </w:r>
      <w:r w:rsidR="00033D0F">
        <w:rPr>
          <w:spacing w:val="20"/>
          <w:position w:val="1"/>
        </w:rPr>
        <w:t xml:space="preserve"> </w:t>
      </w:r>
      <w:r w:rsidR="00033D0F">
        <w:rPr>
          <w:position w:val="1"/>
        </w:rPr>
        <w:t>appear</w:t>
      </w:r>
      <w:r w:rsidR="00033D0F">
        <w:rPr>
          <w:spacing w:val="17"/>
          <w:position w:val="1"/>
        </w:rPr>
        <w:t xml:space="preserve"> </w:t>
      </w:r>
      <w:r w:rsidR="00033D0F">
        <w:rPr>
          <w:position w:val="1"/>
        </w:rPr>
        <w:t>to</w:t>
      </w:r>
      <w:r w:rsidR="00033D0F">
        <w:rPr>
          <w:spacing w:val="23"/>
          <w:position w:val="1"/>
        </w:rPr>
        <w:t xml:space="preserve"> </w:t>
      </w:r>
      <w:r w:rsidR="00033D0F">
        <w:rPr>
          <w:position w:val="1"/>
        </w:rPr>
        <w:t>agree</w:t>
      </w:r>
      <w:r w:rsidR="00033D0F">
        <w:rPr>
          <w:spacing w:val="20"/>
          <w:position w:val="1"/>
        </w:rPr>
        <w:t xml:space="preserve"> </w:t>
      </w:r>
      <w:r w:rsidR="00033D0F">
        <w:rPr>
          <w:position w:val="1"/>
        </w:rPr>
        <w:t>that</w:t>
      </w:r>
      <w:r w:rsidR="00033D0F">
        <w:rPr>
          <w:spacing w:val="22"/>
          <w:position w:val="1"/>
        </w:rPr>
        <w:t xml:space="preserve"> </w:t>
      </w:r>
      <w:r w:rsidR="00033D0F">
        <w:rPr>
          <w:position w:val="1"/>
        </w:rPr>
        <w:t>the</w:t>
      </w:r>
      <w:r w:rsidR="00033D0F">
        <w:rPr>
          <w:spacing w:val="20"/>
          <w:position w:val="1"/>
        </w:rPr>
        <w:t xml:space="preserve"> </w:t>
      </w:r>
      <w:r w:rsidR="00033D0F">
        <w:rPr>
          <w:position w:val="1"/>
        </w:rPr>
        <w:t>relevant</w:t>
      </w:r>
      <w:r w:rsidR="00033D0F">
        <w:rPr>
          <w:spacing w:val="22"/>
          <w:position w:val="1"/>
        </w:rPr>
        <w:t xml:space="preserve"> </w:t>
      </w:r>
      <w:r w:rsidR="00033D0F">
        <w:rPr>
          <w:position w:val="1"/>
        </w:rPr>
        <w:t>legal</w:t>
      </w:r>
      <w:r w:rsidR="00033D0F">
        <w:rPr>
          <w:spacing w:val="23"/>
          <w:position w:val="1"/>
        </w:rPr>
        <w:t xml:space="preserve"> </w:t>
      </w:r>
      <w:r w:rsidR="00033D0F">
        <w:rPr>
          <w:position w:val="1"/>
        </w:rPr>
        <w:t>standard</w:t>
      </w:r>
      <w:r w:rsidR="00033D0F">
        <w:rPr>
          <w:spacing w:val="18"/>
          <w:position w:val="1"/>
        </w:rPr>
        <w:t xml:space="preserve"> </w:t>
      </w:r>
      <w:r w:rsidR="00033D0F">
        <w:rPr>
          <w:position w:val="1"/>
        </w:rPr>
        <w:t>under</w:t>
      </w:r>
      <w:r w:rsidR="00033D0F">
        <w:rPr>
          <w:spacing w:val="23"/>
          <w:position w:val="1"/>
        </w:rPr>
        <w:t xml:space="preserve"> </w:t>
      </w:r>
      <w:r w:rsidR="00033D0F">
        <w:rPr>
          <w:position w:val="1"/>
        </w:rPr>
        <w:t>Articles</w:t>
      </w:r>
    </w:p>
    <w:p w14:paraId="7CCFE2DD" w14:textId="77777777" w:rsidR="00BD462C" w:rsidRDefault="00033D0F">
      <w:pPr>
        <w:pStyle w:val="BodyText"/>
        <w:spacing w:before="144" w:line="357" w:lineRule="auto"/>
        <w:ind w:left="135" w:right="918"/>
        <w:jc w:val="both"/>
      </w:pPr>
      <w:r>
        <w:t>5.2 and 5.3 of the Anti-Dumping Agreement in relation to an application for initiation of an investigation contains the following elements:</w:t>
      </w:r>
    </w:p>
    <w:p w14:paraId="4E3F42AD" w14:textId="77777777" w:rsidR="00BD462C" w:rsidRDefault="00033D0F">
      <w:pPr>
        <w:pStyle w:val="ListParagraph"/>
        <w:numPr>
          <w:ilvl w:val="0"/>
          <w:numId w:val="42"/>
        </w:numPr>
        <w:tabs>
          <w:tab w:val="left" w:pos="1835"/>
          <w:tab w:val="left" w:pos="1836"/>
        </w:tabs>
        <w:spacing w:before="161" w:line="357" w:lineRule="auto"/>
        <w:ind w:right="918"/>
        <w:jc w:val="both"/>
        <w:rPr>
          <w:sz w:val="24"/>
        </w:rPr>
      </w:pPr>
      <w:r>
        <w:rPr>
          <w:sz w:val="24"/>
        </w:rPr>
        <w:t>an</w:t>
      </w:r>
      <w:r>
        <w:rPr>
          <w:spacing w:val="-1"/>
          <w:sz w:val="24"/>
        </w:rPr>
        <w:t xml:space="preserve"> </w:t>
      </w:r>
      <w:r>
        <w:rPr>
          <w:sz w:val="24"/>
        </w:rPr>
        <w:t>application</w:t>
      </w:r>
      <w:r>
        <w:rPr>
          <w:spacing w:val="-1"/>
          <w:sz w:val="24"/>
        </w:rPr>
        <w:t xml:space="preserve"> </w:t>
      </w:r>
      <w:r>
        <w:rPr>
          <w:sz w:val="24"/>
        </w:rPr>
        <w:t>must include "evidence of (a) dumping, (b) injury … and</w:t>
      </w:r>
      <w:r>
        <w:rPr>
          <w:spacing w:val="-1"/>
          <w:sz w:val="24"/>
        </w:rPr>
        <w:t xml:space="preserve"> </w:t>
      </w:r>
      <w:r>
        <w:rPr>
          <w:sz w:val="24"/>
        </w:rPr>
        <w:t>(c) a causal link between</w:t>
      </w:r>
      <w:r>
        <w:rPr>
          <w:spacing w:val="-2"/>
          <w:sz w:val="24"/>
        </w:rPr>
        <w:t xml:space="preserve"> </w:t>
      </w:r>
      <w:r>
        <w:rPr>
          <w:sz w:val="24"/>
        </w:rPr>
        <w:t>the dumping</w:t>
      </w:r>
      <w:r>
        <w:rPr>
          <w:spacing w:val="-3"/>
          <w:sz w:val="24"/>
        </w:rPr>
        <w:t xml:space="preserve"> </w:t>
      </w:r>
      <w:r>
        <w:rPr>
          <w:sz w:val="24"/>
        </w:rPr>
        <w:t>imports and</w:t>
      </w:r>
      <w:r>
        <w:rPr>
          <w:spacing w:val="-2"/>
          <w:sz w:val="24"/>
        </w:rPr>
        <w:t xml:space="preserve"> </w:t>
      </w:r>
      <w:r>
        <w:rPr>
          <w:sz w:val="24"/>
        </w:rPr>
        <w:t>the alleged</w:t>
      </w:r>
      <w:r>
        <w:rPr>
          <w:spacing w:val="-2"/>
          <w:sz w:val="24"/>
        </w:rPr>
        <w:t xml:space="preserve"> </w:t>
      </w:r>
      <w:r>
        <w:rPr>
          <w:sz w:val="24"/>
        </w:rPr>
        <w:t xml:space="preserve">injury". Sufficient evidence of all three elements must be present in order to justify the initiation of an </w:t>
      </w:r>
      <w:proofErr w:type="gramStart"/>
      <w:r>
        <w:rPr>
          <w:sz w:val="24"/>
        </w:rPr>
        <w:t>investigation;</w:t>
      </w:r>
      <w:proofErr w:type="gramEnd"/>
      <w:r>
        <w:fldChar w:fldCharType="begin"/>
      </w:r>
      <w:r>
        <w:instrText xml:space="preserve"> HYPERLINK \l "_bookmark1160" </w:instrText>
      </w:r>
      <w:r>
        <w:fldChar w:fldCharType="separate"/>
      </w:r>
      <w:r>
        <w:rPr>
          <w:sz w:val="24"/>
          <w:vertAlign w:val="superscript"/>
        </w:rPr>
        <w:t>998</w:t>
      </w:r>
      <w:r>
        <w:rPr>
          <w:sz w:val="24"/>
          <w:vertAlign w:val="superscript"/>
        </w:rPr>
        <w:fldChar w:fldCharType="end"/>
      </w:r>
      <w:r>
        <w:rPr>
          <w:sz w:val="24"/>
        </w:rPr>
        <w:t xml:space="preserve"> and</w:t>
      </w:r>
    </w:p>
    <w:p w14:paraId="6BEDD391" w14:textId="77777777" w:rsidR="00BD462C" w:rsidRDefault="00033D0F">
      <w:pPr>
        <w:pStyle w:val="ListParagraph"/>
        <w:numPr>
          <w:ilvl w:val="0"/>
          <w:numId w:val="42"/>
        </w:numPr>
        <w:tabs>
          <w:tab w:val="left" w:pos="1835"/>
          <w:tab w:val="left" w:pos="1836"/>
        </w:tabs>
        <w:spacing w:before="132" w:line="360" w:lineRule="auto"/>
        <w:ind w:right="912"/>
        <w:jc w:val="both"/>
        <w:rPr>
          <w:sz w:val="24"/>
        </w:rPr>
      </w:pPr>
      <w:r>
        <w:rPr>
          <w:sz w:val="24"/>
        </w:rPr>
        <w:t>an</w:t>
      </w:r>
      <w:r>
        <w:rPr>
          <w:spacing w:val="-9"/>
          <w:sz w:val="24"/>
        </w:rPr>
        <w:t xml:space="preserve"> </w:t>
      </w:r>
      <w:r>
        <w:rPr>
          <w:sz w:val="24"/>
        </w:rPr>
        <w:t>investigating</w:t>
      </w:r>
      <w:r>
        <w:rPr>
          <w:spacing w:val="-6"/>
          <w:sz w:val="24"/>
        </w:rPr>
        <w:t xml:space="preserve"> </w:t>
      </w:r>
      <w:r>
        <w:rPr>
          <w:sz w:val="24"/>
        </w:rPr>
        <w:t>authority</w:t>
      </w:r>
      <w:r>
        <w:rPr>
          <w:spacing w:val="-6"/>
          <w:sz w:val="24"/>
        </w:rPr>
        <w:t xml:space="preserve"> </w:t>
      </w:r>
      <w:r>
        <w:rPr>
          <w:sz w:val="24"/>
        </w:rPr>
        <w:t>must</w:t>
      </w:r>
      <w:r>
        <w:rPr>
          <w:spacing w:val="-7"/>
          <w:sz w:val="24"/>
        </w:rPr>
        <w:t xml:space="preserve"> </w:t>
      </w:r>
      <w:r>
        <w:rPr>
          <w:sz w:val="24"/>
        </w:rPr>
        <w:t>determine</w:t>
      </w:r>
      <w:r>
        <w:rPr>
          <w:spacing w:val="-3"/>
          <w:sz w:val="24"/>
        </w:rPr>
        <w:t xml:space="preserve"> </w:t>
      </w:r>
      <w:r>
        <w:rPr>
          <w:sz w:val="24"/>
        </w:rPr>
        <w:t>whether</w:t>
      </w:r>
      <w:r>
        <w:rPr>
          <w:spacing w:val="-10"/>
          <w:sz w:val="24"/>
        </w:rPr>
        <w:t xml:space="preserve"> </w:t>
      </w:r>
      <w:r>
        <w:rPr>
          <w:sz w:val="24"/>
        </w:rPr>
        <w:t>the</w:t>
      </w:r>
      <w:r>
        <w:rPr>
          <w:spacing w:val="-3"/>
          <w:sz w:val="24"/>
        </w:rPr>
        <w:t xml:space="preserve"> </w:t>
      </w:r>
      <w:r>
        <w:rPr>
          <w:sz w:val="24"/>
        </w:rPr>
        <w:t>application</w:t>
      </w:r>
      <w:r>
        <w:rPr>
          <w:spacing w:val="-9"/>
          <w:sz w:val="24"/>
        </w:rPr>
        <w:t xml:space="preserve"> </w:t>
      </w:r>
      <w:r>
        <w:rPr>
          <w:sz w:val="24"/>
        </w:rPr>
        <w:t>contains information that might be used to establish dumping, injury, and a causal link, of</w:t>
      </w:r>
      <w:r>
        <w:rPr>
          <w:spacing w:val="-4"/>
          <w:sz w:val="24"/>
        </w:rPr>
        <w:t xml:space="preserve"> </w:t>
      </w:r>
      <w:r>
        <w:rPr>
          <w:sz w:val="24"/>
        </w:rPr>
        <w:t>a</w:t>
      </w:r>
      <w:r>
        <w:rPr>
          <w:spacing w:val="-3"/>
          <w:sz w:val="24"/>
        </w:rPr>
        <w:t xml:space="preserve"> </w:t>
      </w:r>
      <w:r>
        <w:rPr>
          <w:sz w:val="24"/>
        </w:rPr>
        <w:t>quantity</w:t>
      </w:r>
      <w:r>
        <w:rPr>
          <w:spacing w:val="-1"/>
          <w:sz w:val="24"/>
        </w:rPr>
        <w:t xml:space="preserve"> </w:t>
      </w:r>
      <w:r>
        <w:rPr>
          <w:sz w:val="24"/>
        </w:rPr>
        <w:t>and</w:t>
      </w:r>
      <w:r>
        <w:rPr>
          <w:spacing w:val="-4"/>
          <w:sz w:val="24"/>
        </w:rPr>
        <w:t xml:space="preserve"> </w:t>
      </w:r>
      <w:r>
        <w:rPr>
          <w:sz w:val="24"/>
        </w:rPr>
        <w:t>scope</w:t>
      </w:r>
      <w:r>
        <w:rPr>
          <w:spacing w:val="-3"/>
          <w:sz w:val="24"/>
        </w:rPr>
        <w:t xml:space="preserve"> </w:t>
      </w:r>
      <w:r>
        <w:rPr>
          <w:sz w:val="24"/>
        </w:rPr>
        <w:t>to</w:t>
      </w:r>
      <w:r>
        <w:rPr>
          <w:spacing w:val="-5"/>
          <w:sz w:val="24"/>
        </w:rPr>
        <w:t xml:space="preserve"> </w:t>
      </w:r>
      <w:r>
        <w:rPr>
          <w:sz w:val="24"/>
        </w:rPr>
        <w:t>justify</w:t>
      </w:r>
      <w:r>
        <w:rPr>
          <w:spacing w:val="-1"/>
          <w:sz w:val="24"/>
        </w:rPr>
        <w:t xml:space="preserve"> </w:t>
      </w:r>
      <w:r>
        <w:rPr>
          <w:sz w:val="24"/>
        </w:rPr>
        <w:t>the</w:t>
      </w:r>
      <w:r>
        <w:rPr>
          <w:spacing w:val="-3"/>
          <w:sz w:val="24"/>
        </w:rPr>
        <w:t xml:space="preserve"> </w:t>
      </w:r>
      <w:r>
        <w:rPr>
          <w:sz w:val="24"/>
        </w:rPr>
        <w:t>initiation</w:t>
      </w:r>
      <w:r>
        <w:rPr>
          <w:spacing w:val="-4"/>
          <w:sz w:val="24"/>
        </w:rPr>
        <w:t xml:space="preserve"> </w:t>
      </w:r>
      <w:r>
        <w:rPr>
          <w:sz w:val="24"/>
        </w:rPr>
        <w:t>of</w:t>
      </w:r>
      <w:r>
        <w:rPr>
          <w:spacing w:val="-4"/>
          <w:sz w:val="24"/>
        </w:rPr>
        <w:t xml:space="preserve"> </w:t>
      </w:r>
      <w:r>
        <w:rPr>
          <w:sz w:val="24"/>
        </w:rPr>
        <w:t>an investigation.</w:t>
      </w:r>
      <w:hyperlink w:anchor="_bookmark1161" w:history="1">
        <w:r>
          <w:rPr>
            <w:sz w:val="24"/>
            <w:vertAlign w:val="superscript"/>
          </w:rPr>
          <w:t>999</w:t>
        </w:r>
      </w:hyperlink>
      <w:r>
        <w:rPr>
          <w:spacing w:val="-2"/>
          <w:sz w:val="24"/>
        </w:rPr>
        <w:t xml:space="preserve"> </w:t>
      </w:r>
      <w:r>
        <w:rPr>
          <w:sz w:val="24"/>
        </w:rPr>
        <w:t xml:space="preserve">In this context, "simple assertion, unsubstantiated by relevant evidence, cannot be considered sufficient to meet the requirements of this </w:t>
      </w:r>
      <w:r>
        <w:rPr>
          <w:spacing w:val="-2"/>
          <w:sz w:val="24"/>
        </w:rPr>
        <w:t>paragraph."</w:t>
      </w:r>
      <w:hyperlink w:anchor="_bookmark1162" w:history="1">
        <w:r>
          <w:rPr>
            <w:spacing w:val="-2"/>
            <w:sz w:val="24"/>
            <w:vertAlign w:val="superscript"/>
          </w:rPr>
          <w:t>1000</w:t>
        </w:r>
      </w:hyperlink>
    </w:p>
    <w:p w14:paraId="1DDA5106" w14:textId="77777777" w:rsidR="00BD462C" w:rsidRDefault="00BD462C">
      <w:pPr>
        <w:pStyle w:val="BodyText"/>
        <w:rPr>
          <w:sz w:val="20"/>
        </w:rPr>
      </w:pPr>
    </w:p>
    <w:p w14:paraId="5B6303A8" w14:textId="77777777" w:rsidR="00BD462C" w:rsidRDefault="00BD462C">
      <w:pPr>
        <w:pStyle w:val="BodyText"/>
        <w:rPr>
          <w:sz w:val="20"/>
        </w:rPr>
      </w:pPr>
    </w:p>
    <w:p w14:paraId="009031E1" w14:textId="77777777" w:rsidR="00BD462C" w:rsidRDefault="00BD462C">
      <w:pPr>
        <w:pStyle w:val="BodyText"/>
        <w:rPr>
          <w:sz w:val="20"/>
        </w:rPr>
      </w:pPr>
    </w:p>
    <w:p w14:paraId="36D64328" w14:textId="7A0B7681" w:rsidR="00BD462C" w:rsidRDefault="007E218F">
      <w:pPr>
        <w:pStyle w:val="BodyText"/>
        <w:rPr>
          <w:sz w:val="20"/>
        </w:rPr>
      </w:pPr>
      <w:r>
        <w:rPr>
          <w:noProof/>
        </w:rPr>
        <mc:AlternateContent>
          <mc:Choice Requires="wps">
            <w:drawing>
              <wp:anchor distT="0" distB="0" distL="0" distR="0" simplePos="0" relativeHeight="488188416" behindDoc="1" locked="0" layoutInCell="1" allowOverlap="1" wp14:anchorId="2E23F447" wp14:editId="24CE3F48">
                <wp:simplePos x="0" y="0"/>
                <wp:positionH relativeFrom="page">
                  <wp:posOffset>812800</wp:posOffset>
                </wp:positionH>
                <wp:positionV relativeFrom="paragraph">
                  <wp:posOffset>306070</wp:posOffset>
                </wp:positionV>
                <wp:extent cx="1828800" cy="8890"/>
                <wp:effectExtent l="0" t="0" r="0" b="0"/>
                <wp:wrapTopAndBottom/>
                <wp:docPr id="165" name="docshape6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F78621" id="docshape664" o:spid="_x0000_s1026" alt="&quot;&quot;" style="position:absolute;margin-left:64pt;margin-top:24.1pt;width:2in;height:.7pt;z-index:-1512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" fillcolor="black" stroked="f">
                <w10:wrap type="topAndBottom" anchorx="page"/>
              </v:rect>
            </w:pict>
          </mc:Fallback>
        </mc:AlternateContent>
      </w:r>
    </w:p>
    <w:p w14:paraId="54DB14C5" w14:textId="36C68C91" w:rsidR="00BD462C" w:rsidRDefault="00BD462C">
      <w:pPr>
        <w:pStyle w:val="BodyText"/>
        <w:spacing w:before="1"/>
        <w:rPr>
          <w:sz w:val="19"/>
        </w:rPr>
      </w:pPr>
    </w:p>
    <w:p w14:paraId="73B8BA8E" w14:textId="77777777" w:rsidR="00BD462C" w:rsidRDefault="00033D0F">
      <w:pPr>
        <w:spacing w:before="112"/>
        <w:ind w:left="135"/>
        <w:rPr>
          <w:sz w:val="18"/>
        </w:rPr>
      </w:pPr>
      <w:bookmarkStart w:id="1344" w:name="_bookmark1159"/>
      <w:bookmarkEnd w:id="1344"/>
      <w:r>
        <w:rPr>
          <w:position w:val="5"/>
          <w:sz w:val="12"/>
        </w:rPr>
        <w:t>997</w:t>
      </w:r>
      <w:r>
        <w:rPr>
          <w:spacing w:val="13"/>
          <w:position w:val="5"/>
          <w:sz w:val="12"/>
        </w:rPr>
        <w:t xml:space="preserve"> </w:t>
      </w:r>
      <w:r>
        <w:rPr>
          <w:sz w:val="18"/>
        </w:rPr>
        <w:t>CADA</w:t>
      </w:r>
      <w:r>
        <w:rPr>
          <w:spacing w:val="-6"/>
          <w:sz w:val="18"/>
        </w:rPr>
        <w:t xml:space="preserve"> </w:t>
      </w:r>
      <w:r>
        <w:rPr>
          <w:sz w:val="18"/>
        </w:rPr>
        <w:t>Application</w:t>
      </w:r>
      <w:r>
        <w:rPr>
          <w:spacing w:val="-6"/>
          <w:sz w:val="18"/>
        </w:rPr>
        <w:t xml:space="preserve"> </w:t>
      </w:r>
      <w:r>
        <w:rPr>
          <w:sz w:val="18"/>
        </w:rPr>
        <w:t>for</w:t>
      </w:r>
      <w:r>
        <w:rPr>
          <w:spacing w:val="-7"/>
          <w:sz w:val="18"/>
        </w:rPr>
        <w:t xml:space="preserve"> </w:t>
      </w:r>
      <w:r>
        <w:rPr>
          <w:sz w:val="18"/>
        </w:rPr>
        <w:t>Anti-Dumping</w:t>
      </w:r>
      <w:r>
        <w:rPr>
          <w:spacing w:val="-5"/>
          <w:sz w:val="18"/>
        </w:rPr>
        <w:t xml:space="preserve"> </w:t>
      </w:r>
      <w:r>
        <w:rPr>
          <w:sz w:val="18"/>
        </w:rPr>
        <w:t>Investigation</w:t>
      </w:r>
      <w:r>
        <w:rPr>
          <w:spacing w:val="-6"/>
          <w:sz w:val="18"/>
        </w:rPr>
        <w:t xml:space="preserve"> </w:t>
      </w:r>
      <w:r>
        <w:rPr>
          <w:sz w:val="18"/>
        </w:rPr>
        <w:t>(Exhibit</w:t>
      </w:r>
      <w:r>
        <w:rPr>
          <w:spacing w:val="-4"/>
          <w:sz w:val="18"/>
        </w:rPr>
        <w:t xml:space="preserve"> </w:t>
      </w:r>
      <w:r>
        <w:rPr>
          <w:sz w:val="18"/>
        </w:rPr>
        <w:t>AUS-64),</w:t>
      </w:r>
      <w:r>
        <w:rPr>
          <w:spacing w:val="-3"/>
          <w:sz w:val="18"/>
        </w:rPr>
        <w:t xml:space="preserve"> </w:t>
      </w:r>
      <w:r>
        <w:rPr>
          <w:sz w:val="18"/>
        </w:rPr>
        <w:t>pp.</w:t>
      </w:r>
      <w:r>
        <w:rPr>
          <w:spacing w:val="1"/>
          <w:sz w:val="18"/>
        </w:rPr>
        <w:t xml:space="preserve"> </w:t>
      </w:r>
      <w:r>
        <w:rPr>
          <w:sz w:val="18"/>
        </w:rPr>
        <w:t xml:space="preserve">10, </w:t>
      </w:r>
      <w:r>
        <w:rPr>
          <w:spacing w:val="-5"/>
          <w:sz w:val="18"/>
        </w:rPr>
        <w:t>60.</w:t>
      </w:r>
    </w:p>
    <w:p w14:paraId="10D9D67F" w14:textId="77777777" w:rsidR="00BD462C" w:rsidRDefault="00033D0F">
      <w:pPr>
        <w:spacing w:before="1"/>
        <w:ind w:left="135"/>
        <w:rPr>
          <w:sz w:val="18"/>
        </w:rPr>
      </w:pPr>
      <w:bookmarkStart w:id="1345" w:name="_bookmark1160"/>
      <w:bookmarkEnd w:id="1345"/>
      <w:r>
        <w:rPr>
          <w:position w:val="5"/>
          <w:sz w:val="12"/>
        </w:rPr>
        <w:t>998</w:t>
      </w:r>
      <w:r>
        <w:rPr>
          <w:spacing w:val="11"/>
          <w:position w:val="5"/>
          <w:sz w:val="12"/>
        </w:rPr>
        <w:t xml:space="preserve"> </w:t>
      </w:r>
      <w:r>
        <w:rPr>
          <w:sz w:val="18"/>
        </w:rPr>
        <w:t>Australia's</w:t>
      </w:r>
      <w:r>
        <w:rPr>
          <w:spacing w:val="-6"/>
          <w:sz w:val="18"/>
        </w:rPr>
        <w:t xml:space="preserve"> </w:t>
      </w:r>
      <w:r>
        <w:rPr>
          <w:sz w:val="18"/>
        </w:rPr>
        <w:t>first</w:t>
      </w:r>
      <w:r>
        <w:rPr>
          <w:spacing w:val="-6"/>
          <w:sz w:val="18"/>
        </w:rPr>
        <w:t xml:space="preserve"> </w:t>
      </w:r>
      <w:r>
        <w:rPr>
          <w:sz w:val="18"/>
        </w:rPr>
        <w:t>written</w:t>
      </w:r>
      <w:r>
        <w:rPr>
          <w:spacing w:val="-3"/>
          <w:sz w:val="18"/>
        </w:rPr>
        <w:t xml:space="preserve"> </w:t>
      </w:r>
      <w:r>
        <w:rPr>
          <w:sz w:val="18"/>
        </w:rPr>
        <w:t>submission,</w:t>
      </w:r>
      <w:r>
        <w:rPr>
          <w:spacing w:val="-1"/>
          <w:sz w:val="18"/>
        </w:rPr>
        <w:t xml:space="preserve"> </w:t>
      </w:r>
      <w:r>
        <w:rPr>
          <w:sz w:val="18"/>
        </w:rPr>
        <w:t>para.</w:t>
      </w:r>
      <w:r>
        <w:rPr>
          <w:spacing w:val="-6"/>
          <w:sz w:val="18"/>
        </w:rPr>
        <w:t xml:space="preserve"> </w:t>
      </w:r>
      <w:r>
        <w:rPr>
          <w:sz w:val="18"/>
        </w:rPr>
        <w:t>770;</w:t>
      </w:r>
      <w:r>
        <w:rPr>
          <w:spacing w:val="-4"/>
          <w:sz w:val="18"/>
        </w:rPr>
        <w:t xml:space="preserve"> </w:t>
      </w:r>
      <w:r>
        <w:rPr>
          <w:sz w:val="18"/>
        </w:rPr>
        <w:t>and</w:t>
      </w:r>
      <w:r>
        <w:rPr>
          <w:spacing w:val="-3"/>
          <w:sz w:val="18"/>
        </w:rPr>
        <w:t xml:space="preserve"> </w:t>
      </w:r>
      <w:r>
        <w:rPr>
          <w:sz w:val="18"/>
        </w:rPr>
        <w:t>China's</w:t>
      </w:r>
      <w:r>
        <w:rPr>
          <w:spacing w:val="-6"/>
          <w:sz w:val="18"/>
        </w:rPr>
        <w:t xml:space="preserve"> </w:t>
      </w:r>
      <w:r>
        <w:rPr>
          <w:sz w:val="18"/>
        </w:rPr>
        <w:t>first</w:t>
      </w:r>
      <w:r>
        <w:rPr>
          <w:spacing w:val="-6"/>
          <w:sz w:val="18"/>
        </w:rPr>
        <w:t xml:space="preserve"> </w:t>
      </w:r>
      <w:r>
        <w:rPr>
          <w:sz w:val="18"/>
        </w:rPr>
        <w:t>written</w:t>
      </w:r>
      <w:r>
        <w:rPr>
          <w:spacing w:val="-3"/>
          <w:sz w:val="18"/>
        </w:rPr>
        <w:t xml:space="preserve"> </w:t>
      </w:r>
      <w:r>
        <w:rPr>
          <w:sz w:val="18"/>
        </w:rPr>
        <w:t>submission,</w:t>
      </w:r>
      <w:r>
        <w:rPr>
          <w:spacing w:val="-1"/>
          <w:sz w:val="18"/>
        </w:rPr>
        <w:t xml:space="preserve"> </w:t>
      </w:r>
      <w:r>
        <w:rPr>
          <w:sz w:val="18"/>
        </w:rPr>
        <w:t>para.</w:t>
      </w:r>
      <w:r>
        <w:rPr>
          <w:spacing w:val="-5"/>
          <w:sz w:val="18"/>
        </w:rPr>
        <w:t xml:space="preserve"> </w:t>
      </w:r>
      <w:r>
        <w:rPr>
          <w:spacing w:val="-2"/>
          <w:sz w:val="18"/>
        </w:rPr>
        <w:t>2069.</w:t>
      </w:r>
    </w:p>
    <w:p w14:paraId="100671D3" w14:textId="77777777" w:rsidR="00BD462C" w:rsidRDefault="00033D0F">
      <w:pPr>
        <w:spacing w:before="1"/>
        <w:ind w:left="135"/>
        <w:rPr>
          <w:sz w:val="18"/>
        </w:rPr>
      </w:pPr>
      <w:bookmarkStart w:id="1346" w:name="_bookmark1161"/>
      <w:bookmarkEnd w:id="1346"/>
      <w:r>
        <w:rPr>
          <w:position w:val="5"/>
          <w:sz w:val="12"/>
        </w:rPr>
        <w:t>999</w:t>
      </w:r>
      <w:r>
        <w:rPr>
          <w:spacing w:val="11"/>
          <w:position w:val="5"/>
          <w:sz w:val="12"/>
        </w:rPr>
        <w:t xml:space="preserve"> </w:t>
      </w:r>
      <w:r>
        <w:rPr>
          <w:sz w:val="18"/>
        </w:rPr>
        <w:t>Australia's</w:t>
      </w:r>
      <w:r>
        <w:rPr>
          <w:spacing w:val="-6"/>
          <w:sz w:val="18"/>
        </w:rPr>
        <w:t xml:space="preserve"> </w:t>
      </w:r>
      <w:r>
        <w:rPr>
          <w:sz w:val="18"/>
        </w:rPr>
        <w:t>first</w:t>
      </w:r>
      <w:r>
        <w:rPr>
          <w:spacing w:val="-6"/>
          <w:sz w:val="18"/>
        </w:rPr>
        <w:t xml:space="preserve"> </w:t>
      </w:r>
      <w:r>
        <w:rPr>
          <w:sz w:val="18"/>
        </w:rPr>
        <w:t>written</w:t>
      </w:r>
      <w:r>
        <w:rPr>
          <w:spacing w:val="-3"/>
          <w:sz w:val="18"/>
        </w:rPr>
        <w:t xml:space="preserve"> </w:t>
      </w:r>
      <w:r>
        <w:rPr>
          <w:sz w:val="18"/>
        </w:rPr>
        <w:t>submission,</w:t>
      </w:r>
      <w:r>
        <w:rPr>
          <w:spacing w:val="-1"/>
          <w:sz w:val="18"/>
        </w:rPr>
        <w:t xml:space="preserve"> </w:t>
      </w:r>
      <w:r>
        <w:rPr>
          <w:sz w:val="18"/>
        </w:rPr>
        <w:t>para.</w:t>
      </w:r>
      <w:r>
        <w:rPr>
          <w:spacing w:val="-6"/>
          <w:sz w:val="18"/>
        </w:rPr>
        <w:t xml:space="preserve"> </w:t>
      </w:r>
      <w:r>
        <w:rPr>
          <w:sz w:val="18"/>
        </w:rPr>
        <w:t>771;</w:t>
      </w:r>
      <w:r>
        <w:rPr>
          <w:spacing w:val="-4"/>
          <w:sz w:val="18"/>
        </w:rPr>
        <w:t xml:space="preserve"> </w:t>
      </w:r>
      <w:r>
        <w:rPr>
          <w:sz w:val="18"/>
        </w:rPr>
        <w:t>and</w:t>
      </w:r>
      <w:r>
        <w:rPr>
          <w:spacing w:val="-3"/>
          <w:sz w:val="18"/>
        </w:rPr>
        <w:t xml:space="preserve"> </w:t>
      </w:r>
      <w:r>
        <w:rPr>
          <w:sz w:val="18"/>
        </w:rPr>
        <w:t>China's</w:t>
      </w:r>
      <w:r>
        <w:rPr>
          <w:spacing w:val="-6"/>
          <w:sz w:val="18"/>
        </w:rPr>
        <w:t xml:space="preserve"> </w:t>
      </w:r>
      <w:r>
        <w:rPr>
          <w:sz w:val="18"/>
        </w:rPr>
        <w:t>first</w:t>
      </w:r>
      <w:r>
        <w:rPr>
          <w:spacing w:val="-6"/>
          <w:sz w:val="18"/>
        </w:rPr>
        <w:t xml:space="preserve"> </w:t>
      </w:r>
      <w:r>
        <w:rPr>
          <w:sz w:val="18"/>
        </w:rPr>
        <w:t>written</w:t>
      </w:r>
      <w:r>
        <w:rPr>
          <w:spacing w:val="-3"/>
          <w:sz w:val="18"/>
        </w:rPr>
        <w:t xml:space="preserve"> </w:t>
      </w:r>
      <w:r>
        <w:rPr>
          <w:sz w:val="18"/>
        </w:rPr>
        <w:t>submission,</w:t>
      </w:r>
      <w:r>
        <w:rPr>
          <w:spacing w:val="-1"/>
          <w:sz w:val="18"/>
        </w:rPr>
        <w:t xml:space="preserve"> </w:t>
      </w:r>
      <w:r>
        <w:rPr>
          <w:sz w:val="18"/>
        </w:rPr>
        <w:t>para.</w:t>
      </w:r>
      <w:r>
        <w:rPr>
          <w:spacing w:val="-5"/>
          <w:sz w:val="18"/>
        </w:rPr>
        <w:t xml:space="preserve"> </w:t>
      </w:r>
      <w:r>
        <w:rPr>
          <w:spacing w:val="-2"/>
          <w:sz w:val="18"/>
        </w:rPr>
        <w:t>2070.</w:t>
      </w:r>
    </w:p>
    <w:p w14:paraId="62495B28" w14:textId="77777777" w:rsidR="00BD462C" w:rsidRDefault="00033D0F">
      <w:pPr>
        <w:spacing w:before="1"/>
        <w:ind w:left="135"/>
        <w:rPr>
          <w:sz w:val="18"/>
        </w:rPr>
      </w:pPr>
      <w:bookmarkStart w:id="1347" w:name="_bookmark1162"/>
      <w:bookmarkEnd w:id="1347"/>
      <w:r>
        <w:rPr>
          <w:position w:val="5"/>
          <w:sz w:val="12"/>
        </w:rPr>
        <w:t>1000</w:t>
      </w:r>
      <w:r>
        <w:rPr>
          <w:spacing w:val="11"/>
          <w:position w:val="5"/>
          <w:sz w:val="12"/>
        </w:rPr>
        <w:t xml:space="preserve"> </w:t>
      </w:r>
      <w:r>
        <w:rPr>
          <w:sz w:val="18"/>
        </w:rPr>
        <w:t>Australia's</w:t>
      </w:r>
      <w:r>
        <w:rPr>
          <w:spacing w:val="-6"/>
          <w:sz w:val="18"/>
        </w:rPr>
        <w:t xml:space="preserve"> </w:t>
      </w:r>
      <w:r>
        <w:rPr>
          <w:sz w:val="18"/>
        </w:rPr>
        <w:t>first</w:t>
      </w:r>
      <w:r>
        <w:rPr>
          <w:spacing w:val="-6"/>
          <w:sz w:val="18"/>
        </w:rPr>
        <w:t xml:space="preserve"> </w:t>
      </w:r>
      <w:r>
        <w:rPr>
          <w:sz w:val="18"/>
        </w:rPr>
        <w:t>written</w:t>
      </w:r>
      <w:r>
        <w:rPr>
          <w:spacing w:val="-3"/>
          <w:sz w:val="18"/>
        </w:rPr>
        <w:t xml:space="preserve"> </w:t>
      </w:r>
      <w:r>
        <w:rPr>
          <w:sz w:val="18"/>
        </w:rPr>
        <w:t>submission, para.</w:t>
      </w:r>
      <w:r>
        <w:rPr>
          <w:spacing w:val="-6"/>
          <w:sz w:val="18"/>
        </w:rPr>
        <w:t xml:space="preserve"> </w:t>
      </w:r>
      <w:r>
        <w:rPr>
          <w:sz w:val="18"/>
        </w:rPr>
        <w:t>773;</w:t>
      </w:r>
      <w:r>
        <w:rPr>
          <w:spacing w:val="-4"/>
          <w:sz w:val="18"/>
        </w:rPr>
        <w:t xml:space="preserve"> </w:t>
      </w:r>
      <w:r>
        <w:rPr>
          <w:sz w:val="18"/>
        </w:rPr>
        <w:t>and</w:t>
      </w:r>
      <w:r>
        <w:rPr>
          <w:spacing w:val="-3"/>
          <w:sz w:val="18"/>
        </w:rPr>
        <w:t xml:space="preserve"> </w:t>
      </w:r>
      <w:r>
        <w:rPr>
          <w:sz w:val="18"/>
        </w:rPr>
        <w:t>China's</w:t>
      </w:r>
      <w:r>
        <w:rPr>
          <w:spacing w:val="-7"/>
          <w:sz w:val="18"/>
        </w:rPr>
        <w:t xml:space="preserve"> </w:t>
      </w:r>
      <w:r>
        <w:rPr>
          <w:sz w:val="18"/>
        </w:rPr>
        <w:t>first</w:t>
      </w:r>
      <w:r>
        <w:rPr>
          <w:spacing w:val="-5"/>
          <w:sz w:val="18"/>
        </w:rPr>
        <w:t xml:space="preserve"> </w:t>
      </w:r>
      <w:r>
        <w:rPr>
          <w:sz w:val="18"/>
        </w:rPr>
        <w:t>written</w:t>
      </w:r>
      <w:r>
        <w:rPr>
          <w:spacing w:val="-3"/>
          <w:sz w:val="18"/>
        </w:rPr>
        <w:t xml:space="preserve"> </w:t>
      </w:r>
      <w:r>
        <w:rPr>
          <w:sz w:val="18"/>
        </w:rPr>
        <w:t>submission,</w:t>
      </w:r>
      <w:r>
        <w:rPr>
          <w:spacing w:val="-1"/>
          <w:sz w:val="18"/>
        </w:rPr>
        <w:t xml:space="preserve"> </w:t>
      </w:r>
      <w:r>
        <w:rPr>
          <w:sz w:val="18"/>
        </w:rPr>
        <w:t>para.</w:t>
      </w:r>
      <w:r>
        <w:rPr>
          <w:spacing w:val="-5"/>
          <w:sz w:val="18"/>
        </w:rPr>
        <w:t xml:space="preserve"> </w:t>
      </w:r>
      <w:r>
        <w:rPr>
          <w:spacing w:val="-2"/>
          <w:sz w:val="18"/>
        </w:rPr>
        <w:t>2072.</w:t>
      </w:r>
    </w:p>
    <w:p w14:paraId="333AED84" w14:textId="77777777" w:rsidR="00BD462C" w:rsidRDefault="00BD462C">
      <w:pPr>
        <w:rPr>
          <w:sz w:val="18"/>
        </w:rPr>
        <w:sectPr w:rsidR="00BD462C">
          <w:pgSz w:w="11910" w:h="16840"/>
          <w:pgMar w:top="860" w:right="500" w:bottom="780" w:left="1280" w:header="566" w:footer="590" w:gutter="0"/>
          <w:cols w:space="720"/>
        </w:sectPr>
      </w:pPr>
    </w:p>
    <w:p w14:paraId="76B6AE93"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5954447F"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10D4A929"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496A4862" w14:textId="2BB212D2" w:rsidR="00BD462C" w:rsidRDefault="008F172C">
      <w:pPr>
        <w:pStyle w:val="BodyText"/>
        <w:spacing w:before="107" w:line="355" w:lineRule="auto"/>
        <w:ind w:left="135" w:right="923"/>
      </w:pPr>
      <w:r>
        <w:rPr>
          <w:noProof/>
        </w:rPr>
        <w:t>632.</w:t>
      </w:r>
      <w:r w:rsidR="00033D0F">
        <w:rPr>
          <w:rFonts w:ascii="Times New Roman"/>
          <w:spacing w:val="80"/>
          <w:position w:val="1"/>
          <w:sz w:val="20"/>
        </w:rPr>
        <w:t xml:space="preserve">   </w:t>
      </w:r>
      <w:r w:rsidR="00033D0F">
        <w:rPr>
          <w:position w:val="1"/>
        </w:rPr>
        <w:t>The</w:t>
      </w:r>
      <w:r w:rsidR="00033D0F">
        <w:rPr>
          <w:spacing w:val="18"/>
          <w:position w:val="1"/>
        </w:rPr>
        <w:t xml:space="preserve"> </w:t>
      </w:r>
      <w:r w:rsidR="00033D0F">
        <w:rPr>
          <w:position w:val="1"/>
        </w:rPr>
        <w:t>parties</w:t>
      </w:r>
      <w:r w:rsidR="00033D0F">
        <w:rPr>
          <w:spacing w:val="19"/>
          <w:position w:val="1"/>
        </w:rPr>
        <w:t xml:space="preserve"> </w:t>
      </w:r>
      <w:r w:rsidR="00033D0F">
        <w:rPr>
          <w:position w:val="1"/>
        </w:rPr>
        <w:t>diverge</w:t>
      </w:r>
      <w:r w:rsidR="00033D0F">
        <w:rPr>
          <w:spacing w:val="18"/>
          <w:position w:val="1"/>
        </w:rPr>
        <w:t xml:space="preserve"> </w:t>
      </w:r>
      <w:r w:rsidR="00033D0F">
        <w:rPr>
          <w:position w:val="1"/>
        </w:rPr>
        <w:t>in terms</w:t>
      </w:r>
      <w:r w:rsidR="00033D0F">
        <w:rPr>
          <w:spacing w:val="19"/>
          <w:position w:val="1"/>
        </w:rPr>
        <w:t xml:space="preserve"> </w:t>
      </w:r>
      <w:r w:rsidR="00033D0F">
        <w:rPr>
          <w:position w:val="1"/>
        </w:rPr>
        <w:t>of whether the</w:t>
      </w:r>
      <w:r w:rsidR="00033D0F">
        <w:rPr>
          <w:spacing w:val="22"/>
          <w:position w:val="1"/>
        </w:rPr>
        <w:t xml:space="preserve"> </w:t>
      </w:r>
      <w:r w:rsidR="00033D0F">
        <w:rPr>
          <w:position w:val="1"/>
        </w:rPr>
        <w:t>evidence</w:t>
      </w:r>
      <w:r w:rsidR="00033D0F">
        <w:rPr>
          <w:spacing w:val="18"/>
          <w:position w:val="1"/>
        </w:rPr>
        <w:t xml:space="preserve"> </w:t>
      </w:r>
      <w:r w:rsidR="00033D0F">
        <w:rPr>
          <w:position w:val="1"/>
        </w:rPr>
        <w:t>submitted by</w:t>
      </w:r>
      <w:r w:rsidR="00033D0F">
        <w:rPr>
          <w:spacing w:val="19"/>
          <w:position w:val="1"/>
        </w:rPr>
        <w:t xml:space="preserve"> </w:t>
      </w:r>
      <w:r w:rsidR="00033D0F">
        <w:rPr>
          <w:position w:val="1"/>
        </w:rPr>
        <w:t>CADA</w:t>
      </w:r>
      <w:r w:rsidR="00033D0F">
        <w:rPr>
          <w:spacing w:val="18"/>
          <w:position w:val="1"/>
        </w:rPr>
        <w:t xml:space="preserve"> </w:t>
      </w:r>
      <w:r w:rsidR="00033D0F">
        <w:rPr>
          <w:position w:val="1"/>
        </w:rPr>
        <w:t>met</w:t>
      </w:r>
      <w:r w:rsidR="00033D0F">
        <w:rPr>
          <w:spacing w:val="18"/>
          <w:position w:val="1"/>
        </w:rPr>
        <w:t xml:space="preserve"> </w:t>
      </w:r>
      <w:r w:rsidR="00033D0F">
        <w:rPr>
          <w:position w:val="1"/>
        </w:rPr>
        <w:t xml:space="preserve">the </w:t>
      </w:r>
      <w:r w:rsidR="00033D0F">
        <w:t>standard as described above.</w:t>
      </w:r>
    </w:p>
    <w:p w14:paraId="0D67C42D" w14:textId="77777777" w:rsidR="00BD462C" w:rsidRDefault="00033D0F">
      <w:pPr>
        <w:pStyle w:val="Heading3"/>
        <w:numPr>
          <w:ilvl w:val="0"/>
          <w:numId w:val="31"/>
        </w:numPr>
        <w:tabs>
          <w:tab w:val="left" w:pos="2689"/>
          <w:tab w:val="left" w:pos="2690"/>
        </w:tabs>
        <w:spacing w:before="165" w:line="362" w:lineRule="auto"/>
        <w:ind w:right="919"/>
      </w:pPr>
      <w:bookmarkStart w:id="1348" w:name="2._CADA's_written_application_contained_"/>
      <w:bookmarkStart w:id="1349" w:name="_bookmark1163"/>
      <w:bookmarkEnd w:id="1348"/>
      <w:bookmarkEnd w:id="1349"/>
      <w:r>
        <w:t>CADA's</w:t>
      </w:r>
      <w:r>
        <w:rPr>
          <w:spacing w:val="40"/>
        </w:rPr>
        <w:t xml:space="preserve"> </w:t>
      </w:r>
      <w:r>
        <w:t>written</w:t>
      </w:r>
      <w:r>
        <w:rPr>
          <w:spacing w:val="40"/>
        </w:rPr>
        <w:t xml:space="preserve"> </w:t>
      </w:r>
      <w:r>
        <w:t>application</w:t>
      </w:r>
      <w:r>
        <w:rPr>
          <w:spacing w:val="40"/>
        </w:rPr>
        <w:t xml:space="preserve"> </w:t>
      </w:r>
      <w:r>
        <w:t>contained</w:t>
      </w:r>
      <w:r>
        <w:rPr>
          <w:spacing w:val="40"/>
        </w:rPr>
        <w:t xml:space="preserve"> </w:t>
      </w:r>
      <w:r>
        <w:t>insufficient</w:t>
      </w:r>
      <w:r>
        <w:rPr>
          <w:spacing w:val="40"/>
        </w:rPr>
        <w:t xml:space="preserve"> </w:t>
      </w:r>
      <w:r>
        <w:t>evidence</w:t>
      </w:r>
      <w:r>
        <w:rPr>
          <w:spacing w:val="40"/>
        </w:rPr>
        <w:t xml:space="preserve"> </w:t>
      </w:r>
      <w:r>
        <w:t xml:space="preserve">of </w:t>
      </w:r>
      <w:r>
        <w:rPr>
          <w:spacing w:val="-2"/>
        </w:rPr>
        <w:t>dumping</w:t>
      </w:r>
    </w:p>
    <w:p w14:paraId="60DDAD64" w14:textId="77777777" w:rsidR="00BD462C" w:rsidRDefault="00033D0F">
      <w:pPr>
        <w:pStyle w:val="ListParagraph"/>
        <w:numPr>
          <w:ilvl w:val="1"/>
          <w:numId w:val="31"/>
        </w:numPr>
        <w:tabs>
          <w:tab w:val="left" w:pos="3539"/>
          <w:tab w:val="left" w:pos="3540"/>
        </w:tabs>
        <w:spacing w:before="152"/>
        <w:ind w:hanging="851"/>
        <w:rPr>
          <w:sz w:val="24"/>
        </w:rPr>
      </w:pPr>
      <w:bookmarkStart w:id="1350" w:name="(a)_Normal_value"/>
      <w:bookmarkEnd w:id="1350"/>
      <w:r>
        <w:rPr>
          <w:sz w:val="24"/>
          <w:u w:val="single"/>
        </w:rPr>
        <w:t>Normal</w:t>
      </w:r>
      <w:r>
        <w:rPr>
          <w:spacing w:val="-8"/>
          <w:sz w:val="24"/>
          <w:u w:val="single"/>
        </w:rPr>
        <w:t xml:space="preserve"> </w:t>
      </w:r>
      <w:r>
        <w:rPr>
          <w:spacing w:val="-2"/>
          <w:sz w:val="24"/>
          <w:u w:val="single"/>
        </w:rPr>
        <w:t>value</w:t>
      </w:r>
    </w:p>
    <w:p w14:paraId="3351B443" w14:textId="77777777" w:rsidR="00BD462C" w:rsidRDefault="00BD462C">
      <w:pPr>
        <w:pStyle w:val="BodyText"/>
        <w:spacing w:before="11"/>
        <w:rPr>
          <w:sz w:val="20"/>
        </w:rPr>
      </w:pPr>
    </w:p>
    <w:p w14:paraId="607D4D7F" w14:textId="45035B1D" w:rsidR="00BD462C" w:rsidRDefault="008F172C">
      <w:pPr>
        <w:pStyle w:val="BodyText"/>
        <w:spacing w:before="56" w:line="360" w:lineRule="auto"/>
        <w:ind w:left="135" w:right="913"/>
        <w:jc w:val="both"/>
      </w:pPr>
      <w:r>
        <w:rPr>
          <w:noProof/>
        </w:rPr>
        <w:t>633.</w:t>
      </w:r>
      <w:r w:rsidR="00033D0F">
        <w:rPr>
          <w:rFonts w:ascii="Times New Roman"/>
          <w:spacing w:val="80"/>
          <w:position w:val="1"/>
          <w:sz w:val="20"/>
        </w:rPr>
        <w:t xml:space="preserve">  </w:t>
      </w:r>
      <w:r w:rsidR="00033D0F">
        <w:rPr>
          <w:position w:val="1"/>
        </w:rPr>
        <w:t xml:space="preserve">In its application, CADA provided the prices of wines imported into Australia from </w:t>
      </w:r>
      <w:r w:rsidR="00033D0F">
        <w:t>China as a proxy to determine the normal value of Australian wine. As Australia set out in its first written submission, this is not a permitted basis upon which to support a finding of sufficiency of evidence of dumping for the purpose of initiation.</w:t>
      </w:r>
      <w:hyperlink w:anchor="_bookmark1164" w:history="1">
        <w:r w:rsidR="00033D0F">
          <w:rPr>
            <w:vertAlign w:val="superscript"/>
          </w:rPr>
          <w:t>1001</w:t>
        </w:r>
      </w:hyperlink>
    </w:p>
    <w:p w14:paraId="4212F533" w14:textId="77777777" w:rsidR="00BD462C" w:rsidRDefault="00BD462C">
      <w:pPr>
        <w:pStyle w:val="BodyText"/>
        <w:spacing w:before="9"/>
        <w:rPr>
          <w:sz w:val="8"/>
        </w:rPr>
      </w:pPr>
    </w:p>
    <w:p w14:paraId="6C558D3A" w14:textId="4EA4A052" w:rsidR="00BD462C" w:rsidRDefault="008F172C">
      <w:pPr>
        <w:pStyle w:val="BodyText"/>
        <w:spacing w:before="56" w:line="360" w:lineRule="auto"/>
        <w:ind w:left="135" w:right="916"/>
        <w:jc w:val="both"/>
      </w:pPr>
      <w:r>
        <w:rPr>
          <w:noProof/>
        </w:rPr>
        <w:t>634.</w:t>
      </w:r>
      <w:r w:rsidR="00033D0F">
        <w:rPr>
          <w:rFonts w:ascii="Times New Roman"/>
          <w:spacing w:val="40"/>
          <w:position w:val="1"/>
          <w:sz w:val="20"/>
        </w:rPr>
        <w:t xml:space="preserve">  </w:t>
      </w:r>
      <w:r w:rsidR="00033D0F">
        <w:rPr>
          <w:position w:val="1"/>
        </w:rPr>
        <w:t xml:space="preserve">China's response is that the specific language in Article 5.2(iii) permits MOFCOM's </w:t>
      </w:r>
      <w:r w:rsidR="00033D0F">
        <w:t>approach because it refers only to "information on prices at which the product in question is sold when destined for consumption in the domestic market of the country or countries of origin</w:t>
      </w:r>
      <w:r w:rsidR="00033D0F">
        <w:rPr>
          <w:spacing w:val="-14"/>
        </w:rPr>
        <w:t xml:space="preserve"> </w:t>
      </w:r>
      <w:r w:rsidR="00033D0F">
        <w:t>or</w:t>
      </w:r>
      <w:r w:rsidR="00033D0F">
        <w:rPr>
          <w:spacing w:val="-14"/>
        </w:rPr>
        <w:t xml:space="preserve"> </w:t>
      </w:r>
      <w:r w:rsidR="00033D0F">
        <w:t>export."</w:t>
      </w:r>
      <w:hyperlink w:anchor="_bookmark1165" w:history="1">
        <w:r w:rsidR="00033D0F">
          <w:rPr>
            <w:vertAlign w:val="superscript"/>
          </w:rPr>
          <w:t>1002</w:t>
        </w:r>
      </w:hyperlink>
      <w:r w:rsidR="00033D0F">
        <w:rPr>
          <w:spacing w:val="-13"/>
        </w:rPr>
        <w:t xml:space="preserve"> </w:t>
      </w:r>
      <w:r w:rsidR="00033D0F">
        <w:t>The</w:t>
      </w:r>
      <w:r w:rsidR="00033D0F">
        <w:rPr>
          <w:spacing w:val="-14"/>
        </w:rPr>
        <w:t xml:space="preserve"> </w:t>
      </w:r>
      <w:r w:rsidR="00033D0F">
        <w:t>difficulty</w:t>
      </w:r>
      <w:r w:rsidR="00033D0F">
        <w:rPr>
          <w:spacing w:val="-13"/>
        </w:rPr>
        <w:t xml:space="preserve"> </w:t>
      </w:r>
      <w:r w:rsidR="00033D0F">
        <w:t>with</w:t>
      </w:r>
      <w:r w:rsidR="00033D0F">
        <w:rPr>
          <w:spacing w:val="-14"/>
        </w:rPr>
        <w:t xml:space="preserve"> </w:t>
      </w:r>
      <w:r w:rsidR="00033D0F">
        <w:t>this</w:t>
      </w:r>
      <w:r w:rsidR="00033D0F">
        <w:rPr>
          <w:spacing w:val="-13"/>
        </w:rPr>
        <w:t xml:space="preserve"> </w:t>
      </w:r>
      <w:r w:rsidR="00033D0F">
        <w:t>argument,</w:t>
      </w:r>
      <w:r w:rsidR="00033D0F">
        <w:rPr>
          <w:spacing w:val="-14"/>
        </w:rPr>
        <w:t xml:space="preserve"> </w:t>
      </w:r>
      <w:r w:rsidR="00033D0F">
        <w:t>which</w:t>
      </w:r>
      <w:r w:rsidR="00033D0F">
        <w:rPr>
          <w:spacing w:val="-14"/>
        </w:rPr>
        <w:t xml:space="preserve"> </w:t>
      </w:r>
      <w:r w:rsidR="00033D0F">
        <w:t>China</w:t>
      </w:r>
      <w:r w:rsidR="00033D0F">
        <w:rPr>
          <w:spacing w:val="-13"/>
        </w:rPr>
        <w:t xml:space="preserve"> </w:t>
      </w:r>
      <w:r w:rsidR="00033D0F">
        <w:t>ignores,</w:t>
      </w:r>
      <w:r w:rsidR="00033D0F">
        <w:rPr>
          <w:spacing w:val="-14"/>
        </w:rPr>
        <w:t xml:space="preserve"> </w:t>
      </w:r>
      <w:r w:rsidR="00033D0F">
        <w:t>is</w:t>
      </w:r>
      <w:r w:rsidR="00033D0F">
        <w:rPr>
          <w:spacing w:val="-13"/>
        </w:rPr>
        <w:t xml:space="preserve"> </w:t>
      </w:r>
      <w:r w:rsidR="00033D0F">
        <w:t>that</w:t>
      </w:r>
      <w:r w:rsidR="00033D0F">
        <w:rPr>
          <w:spacing w:val="-14"/>
        </w:rPr>
        <w:t xml:space="preserve"> </w:t>
      </w:r>
      <w:r w:rsidR="00033D0F">
        <w:t>the</w:t>
      </w:r>
      <w:r w:rsidR="00033D0F">
        <w:rPr>
          <w:spacing w:val="-13"/>
        </w:rPr>
        <w:t xml:space="preserve"> </w:t>
      </w:r>
      <w:r w:rsidR="00033D0F">
        <w:t>concept of</w:t>
      </w:r>
      <w:r w:rsidR="00033D0F">
        <w:rPr>
          <w:spacing w:val="-4"/>
        </w:rPr>
        <w:t xml:space="preserve"> </w:t>
      </w:r>
      <w:r w:rsidR="00033D0F">
        <w:t>"product</w:t>
      </w:r>
      <w:r w:rsidR="00033D0F">
        <w:rPr>
          <w:spacing w:val="-2"/>
        </w:rPr>
        <w:t xml:space="preserve"> </w:t>
      </w:r>
      <w:r w:rsidR="00033D0F">
        <w:t>in question"</w:t>
      </w:r>
      <w:r w:rsidR="00033D0F">
        <w:rPr>
          <w:spacing w:val="-3"/>
        </w:rPr>
        <w:t xml:space="preserve"> </w:t>
      </w:r>
      <w:r w:rsidR="00033D0F">
        <w:t>is</w:t>
      </w:r>
      <w:r w:rsidR="00033D0F">
        <w:rPr>
          <w:spacing w:val="-1"/>
        </w:rPr>
        <w:t xml:space="preserve"> </w:t>
      </w:r>
      <w:r w:rsidR="00033D0F">
        <w:t>clearly</w:t>
      </w:r>
      <w:r w:rsidR="00033D0F">
        <w:rPr>
          <w:spacing w:val="-1"/>
        </w:rPr>
        <w:t xml:space="preserve"> </w:t>
      </w:r>
      <w:r w:rsidR="00033D0F">
        <w:t>contextually</w:t>
      </w:r>
      <w:r w:rsidR="00033D0F">
        <w:rPr>
          <w:spacing w:val="-1"/>
        </w:rPr>
        <w:t xml:space="preserve"> </w:t>
      </w:r>
      <w:r w:rsidR="00033D0F">
        <w:t>the</w:t>
      </w:r>
      <w:r w:rsidR="00033D0F">
        <w:rPr>
          <w:spacing w:val="-3"/>
        </w:rPr>
        <w:t xml:space="preserve"> </w:t>
      </w:r>
      <w:r w:rsidR="00033D0F">
        <w:t>"allegedly</w:t>
      </w:r>
      <w:r w:rsidR="00033D0F">
        <w:rPr>
          <w:spacing w:val="-1"/>
        </w:rPr>
        <w:t xml:space="preserve"> </w:t>
      </w:r>
      <w:r w:rsidR="00033D0F">
        <w:t>dumped</w:t>
      </w:r>
      <w:r w:rsidR="00033D0F">
        <w:rPr>
          <w:spacing w:val="-4"/>
        </w:rPr>
        <w:t xml:space="preserve"> </w:t>
      </w:r>
      <w:r w:rsidR="00033D0F">
        <w:t>product" referred</w:t>
      </w:r>
      <w:r w:rsidR="00033D0F">
        <w:rPr>
          <w:spacing w:val="-4"/>
        </w:rPr>
        <w:t xml:space="preserve"> </w:t>
      </w:r>
      <w:r w:rsidR="00033D0F">
        <w:t>to in Article 5.2(iii). The investigation did not concern allegations of dumping of Chinese wines exported to Australia. Contrary to China's submissions, the fact that the approach taken by MOFCOM is not expressly prohibited in the Anti-Dumping Agreement does not mean it is consistent with it.</w:t>
      </w:r>
      <w:hyperlink w:anchor="_bookmark1166" w:history="1">
        <w:r w:rsidR="00033D0F">
          <w:rPr>
            <w:vertAlign w:val="superscript"/>
          </w:rPr>
          <w:t>1003</w:t>
        </w:r>
      </w:hyperlink>
    </w:p>
    <w:p w14:paraId="2917D2E6" w14:textId="77777777" w:rsidR="00BD462C" w:rsidRDefault="00BD462C">
      <w:pPr>
        <w:pStyle w:val="BodyText"/>
        <w:spacing w:before="5"/>
        <w:rPr>
          <w:sz w:val="8"/>
        </w:rPr>
      </w:pPr>
    </w:p>
    <w:p w14:paraId="12027987" w14:textId="77F3EF66" w:rsidR="00BD462C" w:rsidRDefault="008F172C">
      <w:pPr>
        <w:pStyle w:val="BodyText"/>
        <w:spacing w:before="56" w:line="360" w:lineRule="auto"/>
        <w:ind w:left="135" w:right="912"/>
        <w:jc w:val="both"/>
      </w:pPr>
      <w:r>
        <w:rPr>
          <w:noProof/>
        </w:rPr>
        <w:t>635.</w:t>
      </w:r>
      <w:r w:rsidR="00033D0F">
        <w:rPr>
          <w:rFonts w:ascii="Times New Roman"/>
          <w:spacing w:val="80"/>
          <w:position w:val="1"/>
          <w:sz w:val="20"/>
        </w:rPr>
        <w:t xml:space="preserve">  </w:t>
      </w:r>
      <w:r w:rsidR="00033D0F">
        <w:rPr>
          <w:position w:val="1"/>
        </w:rPr>
        <w:t>In</w:t>
      </w:r>
      <w:r w:rsidR="00033D0F">
        <w:rPr>
          <w:spacing w:val="-13"/>
          <w:position w:val="1"/>
        </w:rPr>
        <w:t xml:space="preserve"> </w:t>
      </w:r>
      <w:r w:rsidR="00033D0F">
        <w:rPr>
          <w:position w:val="1"/>
        </w:rPr>
        <w:t>any</w:t>
      </w:r>
      <w:r w:rsidR="00033D0F">
        <w:rPr>
          <w:spacing w:val="-10"/>
          <w:position w:val="1"/>
        </w:rPr>
        <w:t xml:space="preserve"> </w:t>
      </w:r>
      <w:r w:rsidR="00033D0F">
        <w:rPr>
          <w:position w:val="1"/>
        </w:rPr>
        <w:t>event,</w:t>
      </w:r>
      <w:r w:rsidR="00033D0F">
        <w:rPr>
          <w:spacing w:val="-9"/>
          <w:position w:val="1"/>
        </w:rPr>
        <w:t xml:space="preserve"> </w:t>
      </w:r>
      <w:r w:rsidR="00033D0F">
        <w:rPr>
          <w:position w:val="1"/>
        </w:rPr>
        <w:t>even</w:t>
      </w:r>
      <w:r w:rsidR="00033D0F">
        <w:rPr>
          <w:spacing w:val="-13"/>
          <w:position w:val="1"/>
        </w:rPr>
        <w:t xml:space="preserve"> </w:t>
      </w:r>
      <w:r w:rsidR="00033D0F">
        <w:rPr>
          <w:position w:val="1"/>
        </w:rPr>
        <w:t>if</w:t>
      </w:r>
      <w:r w:rsidR="00033D0F">
        <w:rPr>
          <w:spacing w:val="-13"/>
          <w:position w:val="1"/>
        </w:rPr>
        <w:t xml:space="preserve"> </w:t>
      </w:r>
      <w:r w:rsidR="00033D0F">
        <w:rPr>
          <w:position w:val="1"/>
        </w:rPr>
        <w:t>that</w:t>
      </w:r>
      <w:r w:rsidR="00033D0F">
        <w:rPr>
          <w:spacing w:val="-10"/>
          <w:position w:val="1"/>
        </w:rPr>
        <w:t xml:space="preserve"> </w:t>
      </w:r>
      <w:r w:rsidR="00033D0F">
        <w:rPr>
          <w:position w:val="1"/>
        </w:rPr>
        <w:t>method</w:t>
      </w:r>
      <w:r w:rsidR="00033D0F">
        <w:rPr>
          <w:spacing w:val="-8"/>
          <w:position w:val="1"/>
        </w:rPr>
        <w:t xml:space="preserve"> </w:t>
      </w:r>
      <w:r w:rsidR="00033D0F">
        <w:rPr>
          <w:position w:val="1"/>
        </w:rPr>
        <w:t>were</w:t>
      </w:r>
      <w:r w:rsidR="00033D0F">
        <w:rPr>
          <w:spacing w:val="-11"/>
          <w:position w:val="1"/>
        </w:rPr>
        <w:t xml:space="preserve"> </w:t>
      </w:r>
      <w:r w:rsidR="00033D0F">
        <w:rPr>
          <w:position w:val="1"/>
        </w:rPr>
        <w:t>permissible,</w:t>
      </w:r>
      <w:r w:rsidR="00033D0F">
        <w:rPr>
          <w:spacing w:val="-9"/>
          <w:position w:val="1"/>
        </w:rPr>
        <w:t xml:space="preserve"> </w:t>
      </w:r>
      <w:r w:rsidR="00033D0F">
        <w:rPr>
          <w:position w:val="1"/>
        </w:rPr>
        <w:t>it</w:t>
      </w:r>
      <w:r w:rsidR="00033D0F">
        <w:rPr>
          <w:spacing w:val="-10"/>
          <w:position w:val="1"/>
        </w:rPr>
        <w:t xml:space="preserve"> </w:t>
      </w:r>
      <w:r w:rsidR="00033D0F">
        <w:rPr>
          <w:position w:val="1"/>
        </w:rPr>
        <w:t>would</w:t>
      </w:r>
      <w:r w:rsidR="00033D0F">
        <w:rPr>
          <w:spacing w:val="-13"/>
          <w:position w:val="1"/>
        </w:rPr>
        <w:t xml:space="preserve"> </w:t>
      </w:r>
      <w:r w:rsidR="00033D0F">
        <w:rPr>
          <w:position w:val="1"/>
        </w:rPr>
        <w:t>only</w:t>
      </w:r>
      <w:r w:rsidR="00033D0F">
        <w:rPr>
          <w:spacing w:val="-10"/>
          <w:position w:val="1"/>
        </w:rPr>
        <w:t xml:space="preserve"> </w:t>
      </w:r>
      <w:r w:rsidR="00033D0F">
        <w:rPr>
          <w:position w:val="1"/>
        </w:rPr>
        <w:t>be</w:t>
      </w:r>
      <w:r w:rsidR="00033D0F">
        <w:rPr>
          <w:spacing w:val="-6"/>
          <w:position w:val="1"/>
        </w:rPr>
        <w:t xml:space="preserve"> </w:t>
      </w:r>
      <w:r w:rsidR="00033D0F">
        <w:rPr>
          <w:position w:val="1"/>
        </w:rPr>
        <w:t>in</w:t>
      </w:r>
      <w:r w:rsidR="00033D0F">
        <w:rPr>
          <w:spacing w:val="-13"/>
          <w:position w:val="1"/>
        </w:rPr>
        <w:t xml:space="preserve"> </w:t>
      </w:r>
      <w:r w:rsidR="00033D0F">
        <w:rPr>
          <w:position w:val="1"/>
        </w:rPr>
        <w:t xml:space="preserve">circumstances </w:t>
      </w:r>
      <w:r w:rsidR="00033D0F">
        <w:t>where the sale price of Chinese wines imported into Australia could be shown to be a reasonable basis on which to make relevant findings about the price at which the product in question is sold in Australia more generally. There was no information before MOFCOM to make such a finding, with the only relevant information being that Chinese imported wines were sold at extremely low</w:t>
      </w:r>
      <w:r w:rsidR="00033D0F">
        <w:rPr>
          <w:spacing w:val="-3"/>
        </w:rPr>
        <w:t xml:space="preserve"> </w:t>
      </w:r>
      <w:r w:rsidR="00033D0F">
        <w:t>volumes</w:t>
      </w:r>
      <w:r w:rsidR="00033D0F">
        <w:rPr>
          <w:spacing w:val="-2"/>
        </w:rPr>
        <w:t xml:space="preserve"> </w:t>
      </w:r>
      <w:r w:rsidR="00033D0F">
        <w:t>in Australia.</w:t>
      </w:r>
      <w:r w:rsidR="00033D0F">
        <w:rPr>
          <w:spacing w:val="-2"/>
        </w:rPr>
        <w:t xml:space="preserve"> </w:t>
      </w:r>
      <w:r w:rsidR="00033D0F">
        <w:t>The material available to</w:t>
      </w:r>
      <w:r w:rsidR="00033D0F">
        <w:rPr>
          <w:spacing w:val="-1"/>
        </w:rPr>
        <w:t xml:space="preserve"> </w:t>
      </w:r>
      <w:r w:rsidR="00033D0F">
        <w:t>MOFCOM showed</w:t>
      </w:r>
    </w:p>
    <w:p w14:paraId="03FCFDD3" w14:textId="77777777" w:rsidR="00BD462C" w:rsidRDefault="00BD462C">
      <w:pPr>
        <w:pStyle w:val="BodyText"/>
        <w:rPr>
          <w:sz w:val="20"/>
        </w:rPr>
      </w:pPr>
    </w:p>
    <w:p w14:paraId="1BA22999" w14:textId="77777777" w:rsidR="00BD462C" w:rsidRDefault="00BD462C">
      <w:pPr>
        <w:pStyle w:val="BodyText"/>
        <w:rPr>
          <w:sz w:val="20"/>
        </w:rPr>
      </w:pPr>
    </w:p>
    <w:p w14:paraId="372290EC" w14:textId="428BD29E" w:rsidR="00BD462C" w:rsidRDefault="007E218F">
      <w:pPr>
        <w:pStyle w:val="BodyText"/>
        <w:spacing w:before="7"/>
        <w:rPr>
          <w:sz w:val="15"/>
        </w:rPr>
      </w:pPr>
      <w:r>
        <w:rPr>
          <w:noProof/>
        </w:rPr>
        <mc:AlternateContent>
          <mc:Choice Requires="wps">
            <w:drawing>
              <wp:anchor distT="0" distB="0" distL="0" distR="0" simplePos="0" relativeHeight="488182272" behindDoc="1" locked="0" layoutInCell="1" allowOverlap="1" wp14:anchorId="091BD86F" wp14:editId="0C4AD66C">
                <wp:simplePos x="0" y="0"/>
                <wp:positionH relativeFrom="page">
                  <wp:posOffset>812800</wp:posOffset>
                </wp:positionH>
                <wp:positionV relativeFrom="paragraph">
                  <wp:posOffset>122555</wp:posOffset>
                </wp:positionV>
                <wp:extent cx="1828800" cy="8890"/>
                <wp:effectExtent l="0" t="0" r="0" b="0"/>
                <wp:wrapTopAndBottom/>
                <wp:docPr id="157" name="docshape6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9475F3" id="docshape664" o:spid="_x0000_s1026" alt="&quot;&quot;" style="position:absolute;margin-left:64pt;margin-top:9.65pt;width:2in;height:.7pt;z-index:-1513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" fillcolor="black" stroked="f">
                <w10:wrap type="topAndBottom" anchorx="page"/>
              </v:rect>
            </w:pict>
          </mc:Fallback>
        </mc:AlternateContent>
      </w:r>
    </w:p>
    <w:p w14:paraId="441E8C5E" w14:textId="77777777" w:rsidR="00BD462C" w:rsidRDefault="00033D0F">
      <w:pPr>
        <w:spacing w:before="112"/>
        <w:ind w:left="136" w:right="903" w:hanging="1"/>
        <w:jc w:val="both"/>
        <w:rPr>
          <w:sz w:val="18"/>
        </w:rPr>
      </w:pPr>
      <w:bookmarkStart w:id="1351" w:name="_bookmark1164"/>
      <w:bookmarkEnd w:id="1351"/>
      <w:r>
        <w:rPr>
          <w:position w:val="5"/>
          <w:sz w:val="12"/>
        </w:rPr>
        <w:t>1001</w:t>
      </w:r>
      <w:r>
        <w:rPr>
          <w:spacing w:val="10"/>
          <w:position w:val="5"/>
          <w:sz w:val="12"/>
        </w:rPr>
        <w:t xml:space="preserve"> </w:t>
      </w:r>
      <w:r>
        <w:rPr>
          <w:sz w:val="18"/>
        </w:rPr>
        <w:t>Australia's</w:t>
      </w:r>
      <w:r>
        <w:rPr>
          <w:spacing w:val="-4"/>
          <w:sz w:val="18"/>
        </w:rPr>
        <w:t xml:space="preserve"> </w:t>
      </w:r>
      <w:r>
        <w:rPr>
          <w:sz w:val="18"/>
        </w:rPr>
        <w:t>first</w:t>
      </w:r>
      <w:r>
        <w:rPr>
          <w:spacing w:val="-8"/>
          <w:sz w:val="18"/>
        </w:rPr>
        <w:t xml:space="preserve"> </w:t>
      </w:r>
      <w:r>
        <w:rPr>
          <w:sz w:val="18"/>
        </w:rPr>
        <w:t>written</w:t>
      </w:r>
      <w:r>
        <w:rPr>
          <w:spacing w:val="-5"/>
          <w:sz w:val="18"/>
        </w:rPr>
        <w:t xml:space="preserve"> </w:t>
      </w:r>
      <w:r>
        <w:rPr>
          <w:sz w:val="18"/>
        </w:rPr>
        <w:t>submission,</w:t>
      </w:r>
      <w:r>
        <w:rPr>
          <w:spacing w:val="-2"/>
          <w:sz w:val="18"/>
        </w:rPr>
        <w:t xml:space="preserve"> </w:t>
      </w:r>
      <w:r>
        <w:rPr>
          <w:sz w:val="18"/>
        </w:rPr>
        <w:t>paras.</w:t>
      </w:r>
      <w:r>
        <w:rPr>
          <w:spacing w:val="-3"/>
          <w:sz w:val="18"/>
        </w:rPr>
        <w:t xml:space="preserve"> </w:t>
      </w:r>
      <w:r>
        <w:rPr>
          <w:sz w:val="18"/>
        </w:rPr>
        <w:t>782-789.</w:t>
      </w:r>
      <w:r>
        <w:rPr>
          <w:spacing w:val="-8"/>
          <w:sz w:val="18"/>
        </w:rPr>
        <w:t xml:space="preserve"> </w:t>
      </w:r>
      <w:r>
        <w:rPr>
          <w:sz w:val="18"/>
        </w:rPr>
        <w:t>China</w:t>
      </w:r>
      <w:r>
        <w:rPr>
          <w:spacing w:val="-6"/>
          <w:sz w:val="18"/>
        </w:rPr>
        <w:t xml:space="preserve"> </w:t>
      </w:r>
      <w:r>
        <w:rPr>
          <w:sz w:val="18"/>
        </w:rPr>
        <w:t>attempts</w:t>
      </w:r>
      <w:r>
        <w:rPr>
          <w:spacing w:val="-4"/>
          <w:sz w:val="18"/>
        </w:rPr>
        <w:t xml:space="preserve"> </w:t>
      </w:r>
      <w:r>
        <w:rPr>
          <w:sz w:val="18"/>
        </w:rPr>
        <w:t>to</w:t>
      </w:r>
      <w:r>
        <w:rPr>
          <w:spacing w:val="-10"/>
          <w:sz w:val="18"/>
        </w:rPr>
        <w:t xml:space="preserve"> </w:t>
      </w:r>
      <w:r>
        <w:rPr>
          <w:sz w:val="18"/>
        </w:rPr>
        <w:t>misrepresent</w:t>
      </w:r>
      <w:r>
        <w:rPr>
          <w:spacing w:val="-3"/>
          <w:sz w:val="18"/>
        </w:rPr>
        <w:t xml:space="preserve"> </w:t>
      </w:r>
      <w:r>
        <w:rPr>
          <w:sz w:val="18"/>
        </w:rPr>
        <w:t>Australia's</w:t>
      </w:r>
      <w:r>
        <w:rPr>
          <w:spacing w:val="-4"/>
          <w:sz w:val="18"/>
        </w:rPr>
        <w:t xml:space="preserve"> </w:t>
      </w:r>
      <w:r>
        <w:rPr>
          <w:sz w:val="18"/>
        </w:rPr>
        <w:t>argument</w:t>
      </w:r>
      <w:r>
        <w:rPr>
          <w:spacing w:val="-8"/>
          <w:sz w:val="18"/>
        </w:rPr>
        <w:t xml:space="preserve"> </w:t>
      </w:r>
      <w:r>
        <w:rPr>
          <w:sz w:val="18"/>
        </w:rPr>
        <w:t>on</w:t>
      </w:r>
      <w:r>
        <w:rPr>
          <w:spacing w:val="-9"/>
          <w:sz w:val="18"/>
        </w:rPr>
        <w:t xml:space="preserve"> </w:t>
      </w:r>
      <w:r>
        <w:rPr>
          <w:sz w:val="18"/>
        </w:rPr>
        <w:t>this</w:t>
      </w:r>
      <w:r>
        <w:rPr>
          <w:spacing w:val="-4"/>
          <w:sz w:val="18"/>
        </w:rPr>
        <w:t xml:space="preserve"> </w:t>
      </w:r>
      <w:r>
        <w:rPr>
          <w:sz w:val="18"/>
        </w:rPr>
        <w:t>point</w:t>
      </w:r>
      <w:r>
        <w:rPr>
          <w:spacing w:val="-3"/>
          <w:sz w:val="18"/>
        </w:rPr>
        <w:t xml:space="preserve"> </w:t>
      </w:r>
      <w:r>
        <w:rPr>
          <w:sz w:val="18"/>
        </w:rPr>
        <w:t xml:space="preserve">by stating that Australia "does </w:t>
      </w:r>
      <w:proofErr w:type="spellStart"/>
      <w:r>
        <w:rPr>
          <w:sz w:val="18"/>
        </w:rPr>
        <w:t>recognise</w:t>
      </w:r>
      <w:proofErr w:type="spellEnd"/>
      <w:r>
        <w:rPr>
          <w:sz w:val="18"/>
        </w:rPr>
        <w:t xml:space="preserve"> the possibility that prices could be determined on this basis" (China's first written submission, para. 2088). This is entirely disingenuous, as China is cherry-picking a partial quote from a different section of Australia's</w:t>
      </w:r>
      <w:r>
        <w:rPr>
          <w:spacing w:val="-3"/>
          <w:sz w:val="18"/>
        </w:rPr>
        <w:t xml:space="preserve"> </w:t>
      </w:r>
      <w:r>
        <w:rPr>
          <w:sz w:val="18"/>
        </w:rPr>
        <w:t>first written submission and treating this as Australia's</w:t>
      </w:r>
      <w:r>
        <w:rPr>
          <w:spacing w:val="-3"/>
          <w:sz w:val="18"/>
        </w:rPr>
        <w:t xml:space="preserve"> </w:t>
      </w:r>
      <w:r>
        <w:rPr>
          <w:sz w:val="18"/>
        </w:rPr>
        <w:t>position. Australia has set out its detailed arguments with respect to this issue (Australia's first written submission, paras. 782-789).</w:t>
      </w:r>
    </w:p>
    <w:p w14:paraId="62FBDBCC" w14:textId="77777777" w:rsidR="00BD462C" w:rsidRDefault="00033D0F">
      <w:pPr>
        <w:ind w:left="135"/>
        <w:jc w:val="both"/>
        <w:rPr>
          <w:sz w:val="18"/>
        </w:rPr>
      </w:pPr>
      <w:bookmarkStart w:id="1352" w:name="_bookmark1165"/>
      <w:bookmarkEnd w:id="1352"/>
      <w:r>
        <w:rPr>
          <w:position w:val="5"/>
          <w:sz w:val="12"/>
        </w:rPr>
        <w:t>1002</w:t>
      </w:r>
      <w:r>
        <w:rPr>
          <w:spacing w:val="13"/>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 xml:space="preserve">para. </w:t>
      </w:r>
      <w:r>
        <w:rPr>
          <w:spacing w:val="-2"/>
          <w:sz w:val="18"/>
        </w:rPr>
        <w:t>2094.</w:t>
      </w:r>
    </w:p>
    <w:p w14:paraId="732BFF4B" w14:textId="77777777" w:rsidR="00BD462C" w:rsidRDefault="00033D0F">
      <w:pPr>
        <w:spacing w:before="1"/>
        <w:ind w:left="135"/>
        <w:jc w:val="both"/>
        <w:rPr>
          <w:sz w:val="18"/>
        </w:rPr>
      </w:pPr>
      <w:bookmarkStart w:id="1353" w:name="_bookmark1166"/>
      <w:bookmarkEnd w:id="1353"/>
      <w:r>
        <w:rPr>
          <w:position w:val="5"/>
          <w:sz w:val="12"/>
        </w:rPr>
        <w:t>1003</w:t>
      </w:r>
      <w:r>
        <w:rPr>
          <w:spacing w:val="13"/>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 xml:space="preserve">para. </w:t>
      </w:r>
      <w:r>
        <w:rPr>
          <w:spacing w:val="-2"/>
          <w:sz w:val="18"/>
        </w:rPr>
        <w:t>2096.</w:t>
      </w:r>
    </w:p>
    <w:p w14:paraId="79EDC672" w14:textId="77777777" w:rsidR="00BD462C" w:rsidRDefault="00BD462C">
      <w:pPr>
        <w:jc w:val="both"/>
        <w:rPr>
          <w:sz w:val="18"/>
        </w:rPr>
        <w:sectPr w:rsidR="00BD462C">
          <w:pgSz w:w="11910" w:h="16840"/>
          <w:pgMar w:top="860" w:right="500" w:bottom="780" w:left="1280" w:header="566" w:footer="590" w:gutter="0"/>
          <w:cols w:space="720"/>
        </w:sectPr>
      </w:pPr>
    </w:p>
    <w:p w14:paraId="31E2FA54"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6BAA262E"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79879F5B"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62F94E95" w14:textId="77777777" w:rsidR="00BD462C" w:rsidRDefault="00033D0F">
      <w:pPr>
        <w:pStyle w:val="BodyText"/>
        <w:spacing w:before="102" w:line="357" w:lineRule="auto"/>
        <w:ind w:left="135" w:right="923"/>
      </w:pPr>
      <w:r>
        <w:t>that Chinese imports represented approximately 0.003% of total imports of Australian wine into China in 2019.</w:t>
      </w:r>
      <w:hyperlink w:anchor="_bookmark1167" w:history="1">
        <w:r>
          <w:rPr>
            <w:vertAlign w:val="superscript"/>
          </w:rPr>
          <w:t>1004</w:t>
        </w:r>
      </w:hyperlink>
    </w:p>
    <w:p w14:paraId="114892F5" w14:textId="77777777" w:rsidR="00BD462C" w:rsidRDefault="00BD462C">
      <w:pPr>
        <w:pStyle w:val="BodyText"/>
        <w:spacing w:before="3"/>
        <w:rPr>
          <w:sz w:val="9"/>
        </w:rPr>
      </w:pPr>
    </w:p>
    <w:p w14:paraId="283A78E7" w14:textId="62C00671" w:rsidR="00BD462C" w:rsidRDefault="008F172C">
      <w:pPr>
        <w:pStyle w:val="BodyText"/>
        <w:spacing w:before="56" w:line="360" w:lineRule="auto"/>
        <w:ind w:left="136" w:right="911"/>
        <w:jc w:val="both"/>
      </w:pPr>
      <w:r>
        <w:rPr>
          <w:noProof/>
        </w:rPr>
        <w:t>636.</w:t>
      </w:r>
      <w:r w:rsidR="00033D0F">
        <w:rPr>
          <w:rFonts w:ascii="Times New Roman"/>
          <w:spacing w:val="80"/>
          <w:position w:val="1"/>
          <w:sz w:val="20"/>
        </w:rPr>
        <w:t xml:space="preserve">   </w:t>
      </w:r>
      <w:r w:rsidR="00033D0F">
        <w:rPr>
          <w:position w:val="1"/>
        </w:rPr>
        <w:t>China</w:t>
      </w:r>
      <w:r w:rsidR="00033D0F">
        <w:rPr>
          <w:spacing w:val="-3"/>
          <w:position w:val="1"/>
        </w:rPr>
        <w:t xml:space="preserve"> </w:t>
      </w:r>
      <w:r w:rsidR="00033D0F">
        <w:rPr>
          <w:position w:val="1"/>
        </w:rPr>
        <w:t>attempts, on</w:t>
      </w:r>
      <w:r w:rsidR="00033D0F">
        <w:rPr>
          <w:spacing w:val="-4"/>
          <w:position w:val="1"/>
        </w:rPr>
        <w:t xml:space="preserve"> </w:t>
      </w:r>
      <w:r w:rsidR="00033D0F">
        <w:rPr>
          <w:position w:val="1"/>
        </w:rPr>
        <w:t>an</w:t>
      </w:r>
      <w:r w:rsidR="00033D0F">
        <w:rPr>
          <w:spacing w:val="-4"/>
          <w:position w:val="1"/>
        </w:rPr>
        <w:t xml:space="preserve"> </w:t>
      </w:r>
      <w:r w:rsidR="00033D0F">
        <w:rPr>
          <w:i/>
          <w:position w:val="1"/>
        </w:rPr>
        <w:t>ex</w:t>
      </w:r>
      <w:r w:rsidR="00033D0F">
        <w:rPr>
          <w:i/>
          <w:spacing w:val="-1"/>
          <w:position w:val="1"/>
        </w:rPr>
        <w:t xml:space="preserve"> </w:t>
      </w:r>
      <w:r w:rsidR="00033D0F">
        <w:rPr>
          <w:i/>
          <w:position w:val="1"/>
        </w:rPr>
        <w:t>post</w:t>
      </w:r>
      <w:r w:rsidR="00033D0F">
        <w:rPr>
          <w:i/>
          <w:spacing w:val="-2"/>
          <w:position w:val="1"/>
        </w:rPr>
        <w:t xml:space="preserve"> </w:t>
      </w:r>
      <w:r w:rsidR="00033D0F">
        <w:rPr>
          <w:i/>
          <w:position w:val="1"/>
        </w:rPr>
        <w:t>facto</w:t>
      </w:r>
      <w:r w:rsidR="00033D0F">
        <w:rPr>
          <w:i/>
          <w:spacing w:val="-1"/>
          <w:position w:val="1"/>
        </w:rPr>
        <w:t xml:space="preserve"> </w:t>
      </w:r>
      <w:r w:rsidR="00033D0F">
        <w:rPr>
          <w:position w:val="1"/>
        </w:rPr>
        <w:t>basis, to</w:t>
      </w:r>
      <w:r w:rsidR="00033D0F">
        <w:rPr>
          <w:spacing w:val="-5"/>
          <w:position w:val="1"/>
        </w:rPr>
        <w:t xml:space="preserve"> </w:t>
      </w:r>
      <w:r w:rsidR="00033D0F">
        <w:rPr>
          <w:position w:val="1"/>
        </w:rPr>
        <w:t>assert</w:t>
      </w:r>
      <w:r w:rsidR="00033D0F">
        <w:rPr>
          <w:spacing w:val="-2"/>
          <w:position w:val="1"/>
        </w:rPr>
        <w:t xml:space="preserve"> </w:t>
      </w:r>
      <w:r w:rsidR="00033D0F">
        <w:rPr>
          <w:position w:val="1"/>
        </w:rPr>
        <w:t>that</w:t>
      </w:r>
      <w:r w:rsidR="00033D0F">
        <w:rPr>
          <w:spacing w:val="-2"/>
          <w:position w:val="1"/>
        </w:rPr>
        <w:t xml:space="preserve"> </w:t>
      </w:r>
      <w:r w:rsidR="00033D0F">
        <w:rPr>
          <w:position w:val="1"/>
        </w:rPr>
        <w:t>these</w:t>
      </w:r>
      <w:r w:rsidR="00033D0F">
        <w:rPr>
          <w:spacing w:val="-2"/>
          <w:position w:val="1"/>
        </w:rPr>
        <w:t xml:space="preserve"> </w:t>
      </w:r>
      <w:r w:rsidR="00033D0F">
        <w:rPr>
          <w:position w:val="1"/>
        </w:rPr>
        <w:t>very</w:t>
      </w:r>
      <w:r w:rsidR="00033D0F">
        <w:rPr>
          <w:spacing w:val="-6"/>
          <w:position w:val="1"/>
        </w:rPr>
        <w:t xml:space="preserve"> </w:t>
      </w:r>
      <w:r w:rsidR="00033D0F">
        <w:rPr>
          <w:position w:val="1"/>
        </w:rPr>
        <w:t>low</w:t>
      </w:r>
      <w:r w:rsidR="00033D0F">
        <w:rPr>
          <w:spacing w:val="-2"/>
          <w:position w:val="1"/>
        </w:rPr>
        <w:t xml:space="preserve"> </w:t>
      </w:r>
      <w:r w:rsidR="00033D0F">
        <w:rPr>
          <w:position w:val="1"/>
        </w:rPr>
        <w:t>volumes</w:t>
      </w:r>
      <w:r w:rsidR="00033D0F">
        <w:rPr>
          <w:spacing w:val="-5"/>
          <w:position w:val="1"/>
        </w:rPr>
        <w:t xml:space="preserve"> </w:t>
      </w:r>
      <w:r w:rsidR="00033D0F">
        <w:rPr>
          <w:position w:val="1"/>
        </w:rPr>
        <w:t xml:space="preserve">lead </w:t>
      </w:r>
      <w:r w:rsidR="00033D0F">
        <w:t>to an inference that MOFCOM's approach was a conservative one, since low volumes should imply those were low-priced wines.</w:t>
      </w:r>
      <w:hyperlink w:anchor="_bookmark1168" w:history="1">
        <w:r w:rsidR="00033D0F">
          <w:rPr>
            <w:vertAlign w:val="superscript"/>
          </w:rPr>
          <w:t>1005</w:t>
        </w:r>
      </w:hyperlink>
      <w:r w:rsidR="00033D0F">
        <w:t xml:space="preserve"> There is no evidence that this was MOFCOM's reasoning</w:t>
      </w:r>
      <w:r w:rsidR="00033D0F">
        <w:rPr>
          <w:spacing w:val="-6"/>
        </w:rPr>
        <w:t xml:space="preserve"> </w:t>
      </w:r>
      <w:r w:rsidR="00033D0F">
        <w:t>and,</w:t>
      </w:r>
      <w:r w:rsidR="00033D0F">
        <w:rPr>
          <w:spacing w:val="-5"/>
        </w:rPr>
        <w:t xml:space="preserve"> </w:t>
      </w:r>
      <w:r w:rsidR="00033D0F">
        <w:t>in</w:t>
      </w:r>
      <w:r w:rsidR="00033D0F">
        <w:rPr>
          <w:spacing w:val="-9"/>
        </w:rPr>
        <w:t xml:space="preserve"> </w:t>
      </w:r>
      <w:r w:rsidR="00033D0F">
        <w:t>any</w:t>
      </w:r>
      <w:r w:rsidR="00033D0F">
        <w:rPr>
          <w:spacing w:val="-6"/>
        </w:rPr>
        <w:t xml:space="preserve"> </w:t>
      </w:r>
      <w:r w:rsidR="00033D0F">
        <w:t>event,</w:t>
      </w:r>
      <w:r w:rsidR="00033D0F">
        <w:rPr>
          <w:spacing w:val="-5"/>
        </w:rPr>
        <w:t xml:space="preserve"> </w:t>
      </w:r>
      <w:r w:rsidR="00033D0F">
        <w:t>the</w:t>
      </w:r>
      <w:r w:rsidR="00033D0F">
        <w:rPr>
          <w:spacing w:val="-7"/>
        </w:rPr>
        <w:t xml:space="preserve"> </w:t>
      </w:r>
      <w:r w:rsidR="00033D0F">
        <w:t>evidence</w:t>
      </w:r>
      <w:r w:rsidR="00033D0F">
        <w:rPr>
          <w:spacing w:val="-7"/>
        </w:rPr>
        <w:t xml:space="preserve"> </w:t>
      </w:r>
      <w:r w:rsidR="00033D0F">
        <w:t>about</w:t>
      </w:r>
      <w:r w:rsidR="00033D0F">
        <w:rPr>
          <w:spacing w:val="-7"/>
        </w:rPr>
        <w:t xml:space="preserve"> </w:t>
      </w:r>
      <w:r w:rsidR="00033D0F">
        <w:t>low</w:t>
      </w:r>
      <w:r w:rsidR="00033D0F">
        <w:rPr>
          <w:spacing w:val="-7"/>
        </w:rPr>
        <w:t xml:space="preserve"> </w:t>
      </w:r>
      <w:r w:rsidR="00033D0F">
        <w:t>volumes</w:t>
      </w:r>
      <w:r w:rsidR="00033D0F">
        <w:rPr>
          <w:spacing w:val="-6"/>
        </w:rPr>
        <w:t xml:space="preserve"> </w:t>
      </w:r>
      <w:r w:rsidR="00033D0F">
        <w:t>was</w:t>
      </w:r>
      <w:r w:rsidR="00033D0F">
        <w:rPr>
          <w:spacing w:val="-6"/>
        </w:rPr>
        <w:t xml:space="preserve"> </w:t>
      </w:r>
      <w:r w:rsidR="00033D0F">
        <w:t>more</w:t>
      </w:r>
      <w:r w:rsidR="00033D0F">
        <w:rPr>
          <w:spacing w:val="-7"/>
        </w:rPr>
        <w:t xml:space="preserve"> </w:t>
      </w:r>
      <w:r w:rsidR="00033D0F">
        <w:t>consistent</w:t>
      </w:r>
      <w:r w:rsidR="00033D0F">
        <w:rPr>
          <w:spacing w:val="-7"/>
        </w:rPr>
        <w:t xml:space="preserve"> </w:t>
      </w:r>
      <w:r w:rsidR="00033D0F">
        <w:t>with</w:t>
      </w:r>
      <w:r w:rsidR="00033D0F">
        <w:rPr>
          <w:spacing w:val="-9"/>
        </w:rPr>
        <w:t xml:space="preserve"> </w:t>
      </w:r>
      <w:r w:rsidR="00033D0F">
        <w:t>those products being unusual high-end examples of Chinese wine. It is commercially improbable that importers sought to export very low quantities of low-quality wines. However, the volumes and values would be more consistent with high-end boutique or novelty products.</w:t>
      </w:r>
    </w:p>
    <w:p w14:paraId="663CFCB9" w14:textId="77777777" w:rsidR="00BD462C" w:rsidRDefault="00BD462C">
      <w:pPr>
        <w:pStyle w:val="BodyText"/>
        <w:spacing w:before="5"/>
        <w:rPr>
          <w:sz w:val="8"/>
        </w:rPr>
      </w:pPr>
    </w:p>
    <w:p w14:paraId="4CB837FF" w14:textId="611ABC6C" w:rsidR="00BD462C" w:rsidRDefault="00E3346F">
      <w:pPr>
        <w:pStyle w:val="BodyText"/>
        <w:spacing w:before="56" w:line="360" w:lineRule="auto"/>
        <w:ind w:left="135" w:right="916"/>
        <w:jc w:val="both"/>
      </w:pPr>
      <w:r>
        <w:rPr>
          <w:noProof/>
        </w:rPr>
        <w:t>637.</w:t>
      </w:r>
      <w:r w:rsidR="00033D0F">
        <w:rPr>
          <w:rFonts w:ascii="Times New Roman"/>
          <w:spacing w:val="40"/>
          <w:position w:val="1"/>
          <w:sz w:val="20"/>
        </w:rPr>
        <w:t xml:space="preserve">  </w:t>
      </w:r>
      <w:r w:rsidR="00033D0F">
        <w:rPr>
          <w:position w:val="1"/>
        </w:rPr>
        <w:t xml:space="preserve">Australia reiterates that where evidence on normal value before the investigating </w:t>
      </w:r>
      <w:r w:rsidR="00033D0F">
        <w:t xml:space="preserve">authority at the time of initiation does not pertain to a producer or exporter of the product under consideration, pertains to a different level of trade, and may not reflect the products produced in the relevant exporting country, the investigating authority must make its best </w:t>
      </w:r>
      <w:proofErr w:type="spellStart"/>
      <w:r w:rsidR="00033D0F">
        <w:t>endeavours</w:t>
      </w:r>
      <w:proofErr w:type="spellEnd"/>
      <w:r w:rsidR="00033D0F">
        <w:rPr>
          <w:spacing w:val="-11"/>
        </w:rPr>
        <w:t xml:space="preserve"> </w:t>
      </w:r>
      <w:r w:rsidR="00033D0F">
        <w:t>to</w:t>
      </w:r>
      <w:r w:rsidR="00033D0F">
        <w:rPr>
          <w:spacing w:val="-11"/>
        </w:rPr>
        <w:t xml:space="preserve"> </w:t>
      </w:r>
      <w:r w:rsidR="00033D0F">
        <w:t>verify</w:t>
      </w:r>
      <w:r w:rsidR="00033D0F">
        <w:rPr>
          <w:spacing w:val="-12"/>
        </w:rPr>
        <w:t xml:space="preserve"> </w:t>
      </w:r>
      <w:r w:rsidR="00033D0F">
        <w:t>that</w:t>
      </w:r>
      <w:r w:rsidR="00033D0F">
        <w:rPr>
          <w:spacing w:val="-12"/>
        </w:rPr>
        <w:t xml:space="preserve"> </w:t>
      </w:r>
      <w:r w:rsidR="00033D0F">
        <w:t>the</w:t>
      </w:r>
      <w:r w:rsidR="00033D0F">
        <w:rPr>
          <w:spacing w:val="-8"/>
        </w:rPr>
        <w:t xml:space="preserve"> </w:t>
      </w:r>
      <w:r w:rsidR="00033D0F">
        <w:t>evidence</w:t>
      </w:r>
      <w:r w:rsidR="00033D0F">
        <w:rPr>
          <w:spacing w:val="-8"/>
        </w:rPr>
        <w:t xml:space="preserve"> </w:t>
      </w:r>
      <w:r w:rsidR="00033D0F">
        <w:t>reflects</w:t>
      </w:r>
      <w:r w:rsidR="00033D0F">
        <w:rPr>
          <w:spacing w:val="-10"/>
        </w:rPr>
        <w:t xml:space="preserve"> </w:t>
      </w:r>
      <w:r w:rsidR="00033D0F">
        <w:t>the</w:t>
      </w:r>
      <w:r w:rsidR="00033D0F">
        <w:rPr>
          <w:spacing w:val="-13"/>
        </w:rPr>
        <w:t xml:space="preserve"> </w:t>
      </w:r>
      <w:r w:rsidR="00033D0F">
        <w:t>prevailing</w:t>
      </w:r>
      <w:r w:rsidR="00033D0F">
        <w:rPr>
          <w:spacing w:val="-11"/>
        </w:rPr>
        <w:t xml:space="preserve"> </w:t>
      </w:r>
      <w:r w:rsidR="00033D0F">
        <w:t>home</w:t>
      </w:r>
      <w:r w:rsidR="00033D0F">
        <w:rPr>
          <w:spacing w:val="-13"/>
        </w:rPr>
        <w:t xml:space="preserve"> </w:t>
      </w:r>
      <w:r w:rsidR="00033D0F">
        <w:t>market</w:t>
      </w:r>
      <w:r w:rsidR="00033D0F">
        <w:rPr>
          <w:spacing w:val="-8"/>
        </w:rPr>
        <w:t xml:space="preserve"> </w:t>
      </w:r>
      <w:r w:rsidR="00033D0F">
        <w:t>pricing</w:t>
      </w:r>
      <w:r w:rsidR="00033D0F">
        <w:rPr>
          <w:spacing w:val="-11"/>
        </w:rPr>
        <w:t xml:space="preserve"> </w:t>
      </w:r>
      <w:r w:rsidR="00033D0F">
        <w:t>at</w:t>
      </w:r>
      <w:r w:rsidR="00033D0F">
        <w:rPr>
          <w:spacing w:val="-12"/>
        </w:rPr>
        <w:t xml:space="preserve"> </w:t>
      </w:r>
      <w:r w:rsidR="00033D0F">
        <w:t>the</w:t>
      </w:r>
      <w:r w:rsidR="00033D0F">
        <w:rPr>
          <w:spacing w:val="-8"/>
        </w:rPr>
        <w:t xml:space="preserve"> </w:t>
      </w:r>
      <w:r w:rsidR="00033D0F">
        <w:t>level of producers and/or exporters.</w:t>
      </w:r>
      <w:hyperlink w:anchor="_bookmark1169" w:history="1">
        <w:r w:rsidR="00033D0F">
          <w:rPr>
            <w:vertAlign w:val="superscript"/>
          </w:rPr>
          <w:t>1006</w:t>
        </w:r>
      </w:hyperlink>
      <w:r w:rsidR="00033D0F">
        <w:t xml:space="preserve"> In this regard, MOFCOM chose to do nothing.</w:t>
      </w:r>
    </w:p>
    <w:p w14:paraId="524915F7" w14:textId="77777777" w:rsidR="00BD462C" w:rsidRDefault="00BD462C">
      <w:pPr>
        <w:pStyle w:val="BodyText"/>
        <w:spacing w:before="8"/>
        <w:rPr>
          <w:sz w:val="8"/>
        </w:rPr>
      </w:pPr>
    </w:p>
    <w:p w14:paraId="58DC86E3" w14:textId="00C98FBE" w:rsidR="00BD462C" w:rsidRDefault="00E3346F">
      <w:pPr>
        <w:pStyle w:val="BodyText"/>
        <w:spacing w:before="56" w:line="360" w:lineRule="auto"/>
        <w:ind w:left="135" w:right="914"/>
        <w:jc w:val="both"/>
      </w:pPr>
      <w:r>
        <w:rPr>
          <w:noProof/>
        </w:rPr>
        <w:t>638.</w:t>
      </w:r>
      <w:r w:rsidR="00033D0F">
        <w:rPr>
          <w:rFonts w:ascii="Times New Roman" w:hAnsi="Times New Roman"/>
          <w:spacing w:val="80"/>
          <w:position w:val="1"/>
          <w:sz w:val="20"/>
        </w:rPr>
        <w:t xml:space="preserve">   </w:t>
      </w:r>
      <w:r w:rsidR="00033D0F">
        <w:rPr>
          <w:position w:val="1"/>
        </w:rPr>
        <w:t xml:space="preserve">China argues that "Australia itself acknowledges that the normal value did not have </w:t>
      </w:r>
      <w:r w:rsidR="00033D0F">
        <w:t>to</w:t>
      </w:r>
      <w:r w:rsidR="00033D0F">
        <w:rPr>
          <w:spacing w:val="-2"/>
        </w:rPr>
        <w:t xml:space="preserve"> </w:t>
      </w:r>
      <w:r w:rsidR="00033D0F">
        <w:t>be established</w:t>
      </w:r>
      <w:r w:rsidR="00033D0F">
        <w:rPr>
          <w:spacing w:val="-2"/>
        </w:rPr>
        <w:t xml:space="preserve"> </w:t>
      </w:r>
      <w:r w:rsidR="00033D0F">
        <w:t>with</w:t>
      </w:r>
      <w:r w:rsidR="00033D0F">
        <w:rPr>
          <w:spacing w:val="-2"/>
        </w:rPr>
        <w:t xml:space="preserve"> </w:t>
      </w:r>
      <w:r w:rsidR="00033D0F">
        <w:t>reference to</w:t>
      </w:r>
      <w:r w:rsidR="00033D0F">
        <w:rPr>
          <w:spacing w:val="-2"/>
        </w:rPr>
        <w:t xml:space="preserve"> </w:t>
      </w:r>
      <w:r w:rsidR="00033D0F">
        <w:t>the prices of</w:t>
      </w:r>
      <w:r w:rsidR="00033D0F">
        <w:rPr>
          <w:spacing w:val="-1"/>
        </w:rPr>
        <w:t xml:space="preserve"> </w:t>
      </w:r>
      <w:r w:rsidR="00033D0F">
        <w:rPr>
          <w:i/>
        </w:rPr>
        <w:t xml:space="preserve">Australian </w:t>
      </w:r>
      <w:r w:rsidR="00033D0F">
        <w:t xml:space="preserve">producers", by incorrectly relying on the panel report in </w:t>
      </w:r>
      <w:r w:rsidR="00033D0F">
        <w:rPr>
          <w:i/>
        </w:rPr>
        <w:t>Mexico –</w:t>
      </w:r>
      <w:r w:rsidR="00033D0F">
        <w:rPr>
          <w:i/>
          <w:spacing w:val="-3"/>
        </w:rPr>
        <w:t xml:space="preserve"> </w:t>
      </w:r>
      <w:r w:rsidR="00033D0F">
        <w:rPr>
          <w:i/>
        </w:rPr>
        <w:t>Steel Pipes</w:t>
      </w:r>
      <w:r w:rsidR="00033D0F">
        <w:rPr>
          <w:i/>
          <w:spacing w:val="-1"/>
        </w:rPr>
        <w:t xml:space="preserve"> </w:t>
      </w:r>
      <w:r w:rsidR="00033D0F">
        <w:rPr>
          <w:i/>
        </w:rPr>
        <w:t>and Tubes.</w:t>
      </w:r>
      <w:hyperlink w:anchor="_bookmark1170" w:history="1">
        <w:r w:rsidR="00033D0F">
          <w:rPr>
            <w:vertAlign w:val="superscript"/>
          </w:rPr>
          <w:t>1007</w:t>
        </w:r>
      </w:hyperlink>
      <w:r w:rsidR="00033D0F">
        <w:t xml:space="preserve"> Australia clarifies that</w:t>
      </w:r>
      <w:r w:rsidR="00033D0F">
        <w:rPr>
          <w:spacing w:val="-3"/>
        </w:rPr>
        <w:t xml:space="preserve"> </w:t>
      </w:r>
      <w:r w:rsidR="00033D0F">
        <w:t>the relevant issue</w:t>
      </w:r>
      <w:r w:rsidR="00033D0F">
        <w:rPr>
          <w:spacing w:val="-13"/>
        </w:rPr>
        <w:t xml:space="preserve"> </w:t>
      </w:r>
      <w:r w:rsidR="00033D0F">
        <w:t>is</w:t>
      </w:r>
      <w:r w:rsidR="00033D0F">
        <w:rPr>
          <w:spacing w:val="-10"/>
        </w:rPr>
        <w:t xml:space="preserve"> </w:t>
      </w:r>
      <w:r w:rsidR="00033D0F">
        <w:t>whether</w:t>
      </w:r>
      <w:r w:rsidR="00033D0F">
        <w:rPr>
          <w:spacing w:val="-14"/>
        </w:rPr>
        <w:t xml:space="preserve"> </w:t>
      </w:r>
      <w:r w:rsidR="00033D0F">
        <w:t>the</w:t>
      </w:r>
      <w:r w:rsidR="00033D0F">
        <w:rPr>
          <w:spacing w:val="-12"/>
        </w:rPr>
        <w:t xml:space="preserve"> </w:t>
      </w:r>
      <w:r w:rsidR="00033D0F">
        <w:t>evidence</w:t>
      </w:r>
      <w:r w:rsidR="00033D0F">
        <w:rPr>
          <w:spacing w:val="-12"/>
        </w:rPr>
        <w:t xml:space="preserve"> </w:t>
      </w:r>
      <w:r w:rsidR="00033D0F">
        <w:t>put</w:t>
      </w:r>
      <w:r w:rsidR="00033D0F">
        <w:rPr>
          <w:spacing w:val="-11"/>
        </w:rPr>
        <w:t xml:space="preserve"> </w:t>
      </w:r>
      <w:r w:rsidR="00033D0F">
        <w:t>forward</w:t>
      </w:r>
      <w:r w:rsidR="00033D0F">
        <w:rPr>
          <w:spacing w:val="-14"/>
        </w:rPr>
        <w:t xml:space="preserve"> </w:t>
      </w:r>
      <w:r w:rsidR="00033D0F">
        <w:t>by</w:t>
      </w:r>
      <w:r w:rsidR="00033D0F">
        <w:rPr>
          <w:spacing w:val="-11"/>
        </w:rPr>
        <w:t xml:space="preserve"> </w:t>
      </w:r>
      <w:r w:rsidR="00033D0F">
        <w:t>CADA</w:t>
      </w:r>
      <w:r w:rsidR="00033D0F">
        <w:rPr>
          <w:spacing w:val="-12"/>
        </w:rPr>
        <w:t xml:space="preserve"> </w:t>
      </w:r>
      <w:r w:rsidR="00033D0F">
        <w:t>was</w:t>
      </w:r>
      <w:r w:rsidR="00033D0F">
        <w:rPr>
          <w:spacing w:val="-10"/>
        </w:rPr>
        <w:t xml:space="preserve"> </w:t>
      </w:r>
      <w:r w:rsidR="00033D0F">
        <w:t>an</w:t>
      </w:r>
      <w:r w:rsidR="00033D0F">
        <w:rPr>
          <w:spacing w:val="-14"/>
        </w:rPr>
        <w:t xml:space="preserve"> </w:t>
      </w:r>
      <w:r w:rsidR="00033D0F">
        <w:t>appropriate</w:t>
      </w:r>
      <w:r w:rsidR="00033D0F">
        <w:rPr>
          <w:spacing w:val="-12"/>
        </w:rPr>
        <w:t xml:space="preserve"> </w:t>
      </w:r>
      <w:r w:rsidR="00033D0F">
        <w:t>proxy</w:t>
      </w:r>
      <w:r w:rsidR="00033D0F">
        <w:rPr>
          <w:spacing w:val="-11"/>
        </w:rPr>
        <w:t xml:space="preserve"> </w:t>
      </w:r>
      <w:r w:rsidR="00033D0F">
        <w:t>for</w:t>
      </w:r>
      <w:r w:rsidR="00033D0F">
        <w:rPr>
          <w:spacing w:val="-10"/>
        </w:rPr>
        <w:t xml:space="preserve"> </w:t>
      </w:r>
      <w:r w:rsidR="00033D0F">
        <w:t>normal</w:t>
      </w:r>
      <w:r w:rsidR="00033D0F">
        <w:rPr>
          <w:spacing w:val="-10"/>
        </w:rPr>
        <w:t xml:space="preserve"> </w:t>
      </w:r>
      <w:r w:rsidR="00033D0F">
        <w:t>value and whether an unbiased and objective investigating authority would have been satisfied of the adequacy and accuracy of this evidence for the purposes of initiation.</w:t>
      </w:r>
    </w:p>
    <w:p w14:paraId="1F2F8A5C" w14:textId="77777777" w:rsidR="00BD462C" w:rsidRDefault="00BD462C">
      <w:pPr>
        <w:pStyle w:val="BodyText"/>
        <w:spacing w:before="8"/>
        <w:rPr>
          <w:sz w:val="8"/>
        </w:rPr>
      </w:pPr>
    </w:p>
    <w:p w14:paraId="7DDBA15E" w14:textId="6E36DF2D" w:rsidR="00BD462C" w:rsidRDefault="007E218F">
      <w:pPr>
        <w:pStyle w:val="BodyText"/>
        <w:spacing w:before="56" w:line="360" w:lineRule="auto"/>
        <w:ind w:left="136" w:right="913"/>
        <w:jc w:val="both"/>
      </w:pPr>
      <w:r>
        <w:rPr>
          <w:noProof/>
        </w:rPr>
        <mc:AlternateContent>
          <mc:Choice Requires="wps">
            <w:drawing>
              <wp:anchor distT="0" distB="0" distL="0" distR="0" simplePos="0" relativeHeight="488190464" behindDoc="1" locked="0" layoutInCell="1" allowOverlap="1" wp14:anchorId="7F4067C3" wp14:editId="438CF13D">
                <wp:simplePos x="0" y="0"/>
                <wp:positionH relativeFrom="page">
                  <wp:posOffset>812800</wp:posOffset>
                </wp:positionH>
                <wp:positionV relativeFrom="paragraph">
                  <wp:posOffset>1544320</wp:posOffset>
                </wp:positionV>
                <wp:extent cx="1828800" cy="8890"/>
                <wp:effectExtent l="0" t="0" r="0" b="0"/>
                <wp:wrapTopAndBottom/>
                <wp:docPr id="167" name="docshape6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555F69" id="docshape664" o:spid="_x0000_s1026" alt="&quot;&quot;" style="position:absolute;margin-left:64pt;margin-top:121.6pt;width:2in;height:.7pt;z-index:-1512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" fillcolor="black" stroked="f">
                <w10:wrap type="topAndBottom" anchorx="page"/>
              </v:rect>
            </w:pict>
          </mc:Fallback>
        </mc:AlternateContent>
      </w:r>
      <w:r w:rsidR="00E3346F">
        <w:rPr>
          <w:noProof/>
        </w:rPr>
        <w:t>639.</w:t>
      </w:r>
      <w:r w:rsidR="00033D0F">
        <w:rPr>
          <w:rFonts w:ascii="Times New Roman" w:hAnsi="Times New Roman"/>
          <w:spacing w:val="80"/>
          <w:position w:val="1"/>
          <w:sz w:val="20"/>
        </w:rPr>
        <w:t xml:space="preserve">  </w:t>
      </w:r>
      <w:r w:rsidR="00033D0F">
        <w:rPr>
          <w:position w:val="1"/>
        </w:rPr>
        <w:t>Australia</w:t>
      </w:r>
      <w:r w:rsidR="00033D0F">
        <w:rPr>
          <w:spacing w:val="-11"/>
          <w:position w:val="1"/>
        </w:rPr>
        <w:t xml:space="preserve"> </w:t>
      </w:r>
      <w:r w:rsidR="00033D0F">
        <w:rPr>
          <w:position w:val="1"/>
        </w:rPr>
        <w:t>briefly</w:t>
      </w:r>
      <w:r w:rsidR="00033D0F">
        <w:rPr>
          <w:spacing w:val="-10"/>
          <w:position w:val="1"/>
        </w:rPr>
        <w:t xml:space="preserve"> </w:t>
      </w:r>
      <w:r w:rsidR="00033D0F">
        <w:rPr>
          <w:position w:val="1"/>
        </w:rPr>
        <w:t>clarifies</w:t>
      </w:r>
      <w:r w:rsidR="00033D0F">
        <w:rPr>
          <w:spacing w:val="-9"/>
          <w:position w:val="1"/>
        </w:rPr>
        <w:t xml:space="preserve"> </w:t>
      </w:r>
      <w:r w:rsidR="00033D0F">
        <w:rPr>
          <w:position w:val="1"/>
        </w:rPr>
        <w:t>the</w:t>
      </w:r>
      <w:r w:rsidR="00033D0F">
        <w:rPr>
          <w:spacing w:val="-11"/>
          <w:position w:val="1"/>
        </w:rPr>
        <w:t xml:space="preserve"> </w:t>
      </w:r>
      <w:r w:rsidR="00033D0F">
        <w:rPr>
          <w:position w:val="1"/>
        </w:rPr>
        <w:t>panel's</w:t>
      </w:r>
      <w:r w:rsidR="00033D0F">
        <w:rPr>
          <w:spacing w:val="-9"/>
          <w:position w:val="1"/>
        </w:rPr>
        <w:t xml:space="preserve"> </w:t>
      </w:r>
      <w:r w:rsidR="00033D0F">
        <w:rPr>
          <w:position w:val="1"/>
        </w:rPr>
        <w:t>position</w:t>
      </w:r>
      <w:r w:rsidR="00033D0F">
        <w:rPr>
          <w:spacing w:val="-13"/>
          <w:position w:val="1"/>
        </w:rPr>
        <w:t xml:space="preserve"> </w:t>
      </w:r>
      <w:r w:rsidR="00033D0F">
        <w:rPr>
          <w:position w:val="1"/>
        </w:rPr>
        <w:t>in</w:t>
      </w:r>
      <w:r w:rsidR="00033D0F">
        <w:rPr>
          <w:spacing w:val="-13"/>
          <w:position w:val="1"/>
        </w:rPr>
        <w:t xml:space="preserve"> </w:t>
      </w:r>
      <w:r w:rsidR="00033D0F">
        <w:rPr>
          <w:i/>
          <w:position w:val="1"/>
        </w:rPr>
        <w:t>Mexico</w:t>
      </w:r>
      <w:r w:rsidR="00033D0F">
        <w:rPr>
          <w:i/>
          <w:spacing w:val="-9"/>
          <w:position w:val="1"/>
        </w:rPr>
        <w:t xml:space="preserve"> </w:t>
      </w:r>
      <w:r w:rsidR="00033D0F">
        <w:rPr>
          <w:i/>
          <w:position w:val="1"/>
        </w:rPr>
        <w:t>–</w:t>
      </w:r>
      <w:r w:rsidR="00033D0F">
        <w:rPr>
          <w:i/>
          <w:spacing w:val="-11"/>
          <w:position w:val="1"/>
        </w:rPr>
        <w:t xml:space="preserve"> </w:t>
      </w:r>
      <w:r w:rsidR="00033D0F">
        <w:rPr>
          <w:i/>
          <w:position w:val="1"/>
        </w:rPr>
        <w:t>Steel</w:t>
      </w:r>
      <w:r w:rsidR="00033D0F">
        <w:rPr>
          <w:i/>
          <w:spacing w:val="-9"/>
          <w:position w:val="1"/>
        </w:rPr>
        <w:t xml:space="preserve"> </w:t>
      </w:r>
      <w:r w:rsidR="00033D0F">
        <w:rPr>
          <w:i/>
          <w:position w:val="1"/>
        </w:rPr>
        <w:t>Pipes</w:t>
      </w:r>
      <w:r w:rsidR="00033D0F">
        <w:rPr>
          <w:i/>
          <w:spacing w:val="-14"/>
          <w:position w:val="1"/>
        </w:rPr>
        <w:t xml:space="preserve"> </w:t>
      </w:r>
      <w:r w:rsidR="00033D0F">
        <w:rPr>
          <w:i/>
          <w:position w:val="1"/>
        </w:rPr>
        <w:t>and</w:t>
      </w:r>
      <w:r w:rsidR="00033D0F">
        <w:rPr>
          <w:i/>
          <w:spacing w:val="-10"/>
          <w:position w:val="1"/>
        </w:rPr>
        <w:t xml:space="preserve"> </w:t>
      </w:r>
      <w:r w:rsidR="00033D0F">
        <w:rPr>
          <w:i/>
          <w:position w:val="1"/>
        </w:rPr>
        <w:t>Tubes</w:t>
      </w:r>
      <w:r w:rsidR="00033D0F">
        <w:rPr>
          <w:i/>
          <w:spacing w:val="-13"/>
          <w:position w:val="1"/>
        </w:rPr>
        <w:t xml:space="preserve"> </w:t>
      </w:r>
      <w:r w:rsidR="00033D0F">
        <w:rPr>
          <w:position w:val="1"/>
        </w:rPr>
        <w:t>for</w:t>
      </w:r>
      <w:r w:rsidR="00033D0F">
        <w:rPr>
          <w:spacing w:val="-14"/>
          <w:position w:val="1"/>
        </w:rPr>
        <w:t xml:space="preserve"> </w:t>
      </w:r>
      <w:r w:rsidR="00033D0F">
        <w:rPr>
          <w:position w:val="1"/>
        </w:rPr>
        <w:t xml:space="preserve">the </w:t>
      </w:r>
      <w:r w:rsidR="00033D0F">
        <w:t>Panel's</w:t>
      </w:r>
      <w:r w:rsidR="00033D0F">
        <w:rPr>
          <w:spacing w:val="-12"/>
        </w:rPr>
        <w:t xml:space="preserve"> </w:t>
      </w:r>
      <w:r w:rsidR="00033D0F">
        <w:t>benefit</w:t>
      </w:r>
      <w:r w:rsidR="00033D0F">
        <w:rPr>
          <w:i/>
        </w:rPr>
        <w:t>.</w:t>
      </w:r>
      <w:r w:rsidR="00033D0F">
        <w:rPr>
          <w:i/>
          <w:spacing w:val="-12"/>
        </w:rPr>
        <w:t xml:space="preserve"> </w:t>
      </w:r>
      <w:r w:rsidR="00033D0F">
        <w:t>In</w:t>
      </w:r>
      <w:r w:rsidR="00033D0F">
        <w:rPr>
          <w:spacing w:val="-14"/>
        </w:rPr>
        <w:t xml:space="preserve"> </w:t>
      </w:r>
      <w:r w:rsidR="00033D0F">
        <w:t>that</w:t>
      </w:r>
      <w:r w:rsidR="00033D0F">
        <w:rPr>
          <w:spacing w:val="-12"/>
        </w:rPr>
        <w:t xml:space="preserve"> </w:t>
      </w:r>
      <w:r w:rsidR="00033D0F">
        <w:t>dispute,</w:t>
      </w:r>
      <w:r w:rsidR="00033D0F">
        <w:rPr>
          <w:spacing w:val="-11"/>
        </w:rPr>
        <w:t xml:space="preserve"> </w:t>
      </w:r>
      <w:r w:rsidR="00033D0F">
        <w:t>the</w:t>
      </w:r>
      <w:r w:rsidR="00033D0F">
        <w:rPr>
          <w:spacing w:val="-13"/>
        </w:rPr>
        <w:t xml:space="preserve"> </w:t>
      </w:r>
      <w:r w:rsidR="00033D0F">
        <w:t>panel</w:t>
      </w:r>
      <w:r w:rsidR="00033D0F">
        <w:rPr>
          <w:spacing w:val="-11"/>
        </w:rPr>
        <w:t xml:space="preserve"> </w:t>
      </w:r>
      <w:r w:rsidR="00033D0F">
        <w:t>found</w:t>
      </w:r>
      <w:r w:rsidR="00033D0F">
        <w:rPr>
          <w:spacing w:val="-10"/>
        </w:rPr>
        <w:t xml:space="preserve"> </w:t>
      </w:r>
      <w:r w:rsidR="00033D0F">
        <w:t>that</w:t>
      </w:r>
      <w:r w:rsidR="00033D0F">
        <w:rPr>
          <w:spacing w:val="-12"/>
        </w:rPr>
        <w:t xml:space="preserve"> </w:t>
      </w:r>
      <w:r w:rsidR="00033D0F">
        <w:t>the</w:t>
      </w:r>
      <w:r w:rsidR="00033D0F">
        <w:rPr>
          <w:spacing w:val="-13"/>
        </w:rPr>
        <w:t xml:space="preserve"> </w:t>
      </w:r>
      <w:r w:rsidR="00033D0F">
        <w:t>relevant</w:t>
      </w:r>
      <w:r w:rsidR="00033D0F">
        <w:rPr>
          <w:spacing w:val="-12"/>
        </w:rPr>
        <w:t xml:space="preserve"> </w:t>
      </w:r>
      <w:r w:rsidR="00033D0F">
        <w:t>investigating</w:t>
      </w:r>
      <w:r w:rsidR="00033D0F">
        <w:rPr>
          <w:spacing w:val="-11"/>
        </w:rPr>
        <w:t xml:space="preserve"> </w:t>
      </w:r>
      <w:r w:rsidR="00033D0F">
        <w:t>authority</w:t>
      </w:r>
      <w:r w:rsidR="00033D0F">
        <w:rPr>
          <w:spacing w:val="-12"/>
        </w:rPr>
        <w:t xml:space="preserve"> </w:t>
      </w:r>
      <w:r w:rsidR="00033D0F">
        <w:t>acted inconsistently with its obligations under Article 5.3 of Anti-Dumping Agreement because it failed to consider obvious issues with the normal value evidence put forward by the applicant.</w:t>
      </w:r>
      <w:hyperlink w:anchor="_bookmark1171" w:history="1">
        <w:r w:rsidR="00033D0F">
          <w:rPr>
            <w:vertAlign w:val="superscript"/>
          </w:rPr>
          <w:t>1008</w:t>
        </w:r>
      </w:hyperlink>
      <w:r w:rsidR="00033D0F">
        <w:rPr>
          <w:spacing w:val="16"/>
        </w:rPr>
        <w:t xml:space="preserve"> </w:t>
      </w:r>
      <w:r w:rsidR="00033D0F">
        <w:t>One</w:t>
      </w:r>
      <w:r w:rsidR="00033D0F">
        <w:rPr>
          <w:spacing w:val="16"/>
        </w:rPr>
        <w:t xml:space="preserve"> </w:t>
      </w:r>
      <w:r w:rsidR="00033D0F">
        <w:t>of</w:t>
      </w:r>
      <w:r w:rsidR="00033D0F">
        <w:rPr>
          <w:spacing w:val="14"/>
        </w:rPr>
        <w:t xml:space="preserve"> </w:t>
      </w:r>
      <w:r w:rsidR="00033D0F">
        <w:t>these</w:t>
      </w:r>
      <w:r w:rsidR="00033D0F">
        <w:rPr>
          <w:spacing w:val="16"/>
        </w:rPr>
        <w:t xml:space="preserve"> </w:t>
      </w:r>
      <w:r w:rsidR="00033D0F">
        <w:t>issues</w:t>
      </w:r>
      <w:r w:rsidR="00033D0F">
        <w:rPr>
          <w:spacing w:val="16"/>
        </w:rPr>
        <w:t xml:space="preserve"> </w:t>
      </w:r>
      <w:r w:rsidR="00033D0F">
        <w:t>was</w:t>
      </w:r>
      <w:r w:rsidR="00033D0F">
        <w:rPr>
          <w:spacing w:val="17"/>
        </w:rPr>
        <w:t xml:space="preserve"> </w:t>
      </w:r>
      <w:r w:rsidR="00033D0F">
        <w:t>"the</w:t>
      </w:r>
      <w:r w:rsidR="00033D0F">
        <w:rPr>
          <w:spacing w:val="11"/>
        </w:rPr>
        <w:t xml:space="preserve"> </w:t>
      </w:r>
      <w:r w:rsidR="00033D0F">
        <w:t>sufficiency</w:t>
      </w:r>
      <w:r w:rsidR="00033D0F">
        <w:rPr>
          <w:spacing w:val="17"/>
        </w:rPr>
        <w:t xml:space="preserve"> </w:t>
      </w:r>
      <w:r w:rsidR="00033D0F">
        <w:t>of</w:t>
      </w:r>
      <w:r w:rsidR="00033D0F">
        <w:rPr>
          <w:spacing w:val="14"/>
        </w:rPr>
        <w:t xml:space="preserve"> </w:t>
      </w:r>
      <w:r w:rsidR="00033D0F">
        <w:t>the</w:t>
      </w:r>
      <w:r w:rsidR="00033D0F">
        <w:rPr>
          <w:spacing w:val="15"/>
        </w:rPr>
        <w:t xml:space="preserve"> </w:t>
      </w:r>
      <w:r w:rsidR="00033D0F">
        <w:t>nexus</w:t>
      </w:r>
      <w:r w:rsidR="00033D0F">
        <w:rPr>
          <w:spacing w:val="17"/>
        </w:rPr>
        <w:t xml:space="preserve"> </w:t>
      </w:r>
      <w:r w:rsidR="00033D0F">
        <w:t>with</w:t>
      </w:r>
      <w:r w:rsidR="00033D0F">
        <w:rPr>
          <w:spacing w:val="14"/>
        </w:rPr>
        <w:t xml:space="preserve"> </w:t>
      </w:r>
      <w:r w:rsidR="00033D0F">
        <w:rPr>
          <w:spacing w:val="-2"/>
        </w:rPr>
        <w:t>producer/exporter</w:t>
      </w:r>
    </w:p>
    <w:p w14:paraId="6DCA8AF5" w14:textId="26AC86D2" w:rsidR="00BD462C" w:rsidRDefault="00BD462C">
      <w:pPr>
        <w:pStyle w:val="BodyText"/>
        <w:spacing w:before="6"/>
        <w:rPr>
          <w:sz w:val="14"/>
        </w:rPr>
      </w:pPr>
    </w:p>
    <w:p w14:paraId="0E41C3EE" w14:textId="77777777" w:rsidR="00BD462C" w:rsidRDefault="00033D0F">
      <w:pPr>
        <w:spacing w:before="115" w:line="235" w:lineRule="auto"/>
        <w:ind w:left="135" w:right="912"/>
        <w:rPr>
          <w:sz w:val="18"/>
        </w:rPr>
      </w:pPr>
      <w:bookmarkStart w:id="1354" w:name="_bookmark1167"/>
      <w:bookmarkEnd w:id="1354"/>
      <w:r>
        <w:rPr>
          <w:position w:val="5"/>
          <w:sz w:val="12"/>
        </w:rPr>
        <w:t>1004</w:t>
      </w:r>
      <w:r>
        <w:rPr>
          <w:spacing w:val="15"/>
          <w:position w:val="5"/>
          <w:sz w:val="12"/>
        </w:rPr>
        <w:t xml:space="preserve"> </w:t>
      </w:r>
      <w:r>
        <w:rPr>
          <w:sz w:val="18"/>
        </w:rPr>
        <w:t>Australia's</w:t>
      </w:r>
      <w:r>
        <w:rPr>
          <w:spacing w:val="-4"/>
          <w:sz w:val="18"/>
        </w:rPr>
        <w:t xml:space="preserve"> </w:t>
      </w:r>
      <w:r>
        <w:rPr>
          <w:sz w:val="18"/>
        </w:rPr>
        <w:t>first</w:t>
      </w:r>
      <w:r>
        <w:rPr>
          <w:spacing w:val="-3"/>
          <w:sz w:val="18"/>
        </w:rPr>
        <w:t xml:space="preserve"> </w:t>
      </w:r>
      <w:r>
        <w:rPr>
          <w:sz w:val="18"/>
        </w:rPr>
        <w:t>written</w:t>
      </w:r>
      <w:r>
        <w:rPr>
          <w:spacing w:val="-5"/>
          <w:sz w:val="18"/>
        </w:rPr>
        <w:t xml:space="preserve"> </w:t>
      </w:r>
      <w:r>
        <w:rPr>
          <w:sz w:val="18"/>
        </w:rPr>
        <w:t>submission,</w:t>
      </w:r>
      <w:r>
        <w:rPr>
          <w:spacing w:val="-2"/>
          <w:sz w:val="18"/>
        </w:rPr>
        <w:t xml:space="preserve"> </w:t>
      </w:r>
      <w:r>
        <w:rPr>
          <w:sz w:val="18"/>
        </w:rPr>
        <w:t>para.</w:t>
      </w:r>
      <w:r>
        <w:rPr>
          <w:spacing w:val="-3"/>
          <w:sz w:val="18"/>
        </w:rPr>
        <w:t xml:space="preserve"> </w:t>
      </w:r>
      <w:r>
        <w:rPr>
          <w:sz w:val="18"/>
        </w:rPr>
        <w:t>788;</w:t>
      </w:r>
      <w:r>
        <w:rPr>
          <w:spacing w:val="-1"/>
          <w:sz w:val="18"/>
        </w:rPr>
        <w:t xml:space="preserve"> </w:t>
      </w:r>
      <w:r>
        <w:rPr>
          <w:sz w:val="18"/>
        </w:rPr>
        <w:t>CADA</w:t>
      </w:r>
      <w:r>
        <w:rPr>
          <w:spacing w:val="-5"/>
          <w:sz w:val="18"/>
        </w:rPr>
        <w:t xml:space="preserve"> </w:t>
      </w:r>
      <w:r>
        <w:rPr>
          <w:sz w:val="18"/>
        </w:rPr>
        <w:t>Application</w:t>
      </w:r>
      <w:r>
        <w:rPr>
          <w:spacing w:val="-5"/>
          <w:sz w:val="18"/>
        </w:rPr>
        <w:t xml:space="preserve"> </w:t>
      </w:r>
      <w:r>
        <w:rPr>
          <w:sz w:val="18"/>
        </w:rPr>
        <w:t>for</w:t>
      </w:r>
      <w:r>
        <w:rPr>
          <w:spacing w:val="-1"/>
          <w:sz w:val="18"/>
        </w:rPr>
        <w:t xml:space="preserve"> </w:t>
      </w:r>
      <w:r>
        <w:rPr>
          <w:sz w:val="18"/>
        </w:rPr>
        <w:t>Anti-Dumping</w:t>
      </w:r>
      <w:r>
        <w:rPr>
          <w:spacing w:val="-4"/>
          <w:sz w:val="18"/>
        </w:rPr>
        <w:t xml:space="preserve"> </w:t>
      </w:r>
      <w:r>
        <w:rPr>
          <w:sz w:val="18"/>
        </w:rPr>
        <w:t>Investigation</w:t>
      </w:r>
      <w:r>
        <w:rPr>
          <w:spacing w:val="-5"/>
          <w:sz w:val="18"/>
        </w:rPr>
        <w:t xml:space="preserve"> </w:t>
      </w:r>
      <w:r>
        <w:rPr>
          <w:sz w:val="18"/>
        </w:rPr>
        <w:t>(Exhibit</w:t>
      </w:r>
      <w:r>
        <w:rPr>
          <w:spacing w:val="-3"/>
          <w:sz w:val="18"/>
        </w:rPr>
        <w:t xml:space="preserve"> </w:t>
      </w:r>
      <w:r>
        <w:rPr>
          <w:sz w:val="18"/>
        </w:rPr>
        <w:t>AUS-64),</w:t>
      </w:r>
      <w:r>
        <w:rPr>
          <w:spacing w:val="-2"/>
          <w:sz w:val="18"/>
        </w:rPr>
        <w:t xml:space="preserve"> </w:t>
      </w:r>
      <w:r>
        <w:rPr>
          <w:sz w:val="18"/>
        </w:rPr>
        <w:t>pp.</w:t>
      </w:r>
      <w:r>
        <w:rPr>
          <w:spacing w:val="-3"/>
          <w:sz w:val="18"/>
        </w:rPr>
        <w:t xml:space="preserve"> </w:t>
      </w:r>
      <w:r>
        <w:rPr>
          <w:sz w:val="18"/>
        </w:rPr>
        <w:t>29- 30; and CADA Application for Anti-Dumping Investigation, Annexes 1-12 (Part 1) (Exhibit AUS-90), Annex 8.</w:t>
      </w:r>
    </w:p>
    <w:p w14:paraId="0C063CBC" w14:textId="77777777" w:rsidR="00BD462C" w:rsidRDefault="00033D0F">
      <w:pPr>
        <w:spacing w:before="3"/>
        <w:ind w:left="135"/>
        <w:rPr>
          <w:sz w:val="18"/>
        </w:rPr>
      </w:pPr>
      <w:bookmarkStart w:id="1355" w:name="_bookmark1168"/>
      <w:bookmarkEnd w:id="1355"/>
      <w:r>
        <w:rPr>
          <w:position w:val="5"/>
          <w:sz w:val="12"/>
        </w:rPr>
        <w:t>1005</w:t>
      </w:r>
      <w:r>
        <w:rPr>
          <w:spacing w:val="13"/>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paras.</w:t>
      </w:r>
      <w:r>
        <w:rPr>
          <w:spacing w:val="-4"/>
          <w:sz w:val="18"/>
        </w:rPr>
        <w:t xml:space="preserve"> </w:t>
      </w:r>
      <w:r>
        <w:rPr>
          <w:sz w:val="18"/>
        </w:rPr>
        <w:t>2093,</w:t>
      </w:r>
      <w:r>
        <w:rPr>
          <w:spacing w:val="-4"/>
          <w:sz w:val="18"/>
        </w:rPr>
        <w:t xml:space="preserve"> </w:t>
      </w:r>
      <w:r>
        <w:rPr>
          <w:spacing w:val="-2"/>
          <w:sz w:val="18"/>
        </w:rPr>
        <w:t>2105.</w:t>
      </w:r>
    </w:p>
    <w:p w14:paraId="66549F68" w14:textId="77777777" w:rsidR="00BD462C" w:rsidRDefault="00033D0F">
      <w:pPr>
        <w:spacing w:before="1"/>
        <w:ind w:left="135"/>
        <w:rPr>
          <w:sz w:val="18"/>
        </w:rPr>
      </w:pPr>
      <w:bookmarkStart w:id="1356" w:name="_bookmark1169"/>
      <w:bookmarkEnd w:id="1356"/>
      <w:r>
        <w:rPr>
          <w:position w:val="5"/>
          <w:sz w:val="12"/>
        </w:rPr>
        <w:t>1006</w:t>
      </w:r>
      <w:r>
        <w:rPr>
          <w:spacing w:val="12"/>
          <w:position w:val="5"/>
          <w:sz w:val="12"/>
        </w:rPr>
        <w:t xml:space="preserve"> </w:t>
      </w:r>
      <w:r>
        <w:rPr>
          <w:sz w:val="18"/>
        </w:rPr>
        <w:t>Australia's</w:t>
      </w:r>
      <w:r>
        <w:rPr>
          <w:spacing w:val="-5"/>
          <w:sz w:val="18"/>
        </w:rPr>
        <w:t xml:space="preserve"> </w:t>
      </w:r>
      <w:r>
        <w:rPr>
          <w:sz w:val="18"/>
        </w:rPr>
        <w:t>first</w:t>
      </w:r>
      <w:r>
        <w:rPr>
          <w:spacing w:val="-5"/>
          <w:sz w:val="18"/>
        </w:rPr>
        <w:t xml:space="preserve"> </w:t>
      </w:r>
      <w:r>
        <w:rPr>
          <w:sz w:val="18"/>
        </w:rPr>
        <w:t>written</w:t>
      </w:r>
      <w:r>
        <w:rPr>
          <w:spacing w:val="-2"/>
          <w:sz w:val="18"/>
        </w:rPr>
        <w:t xml:space="preserve"> </w:t>
      </w:r>
      <w:r>
        <w:rPr>
          <w:sz w:val="18"/>
        </w:rPr>
        <w:t>submission, para.</w:t>
      </w:r>
      <w:r>
        <w:rPr>
          <w:spacing w:val="-5"/>
          <w:sz w:val="18"/>
        </w:rPr>
        <w:t xml:space="preserve"> </w:t>
      </w:r>
      <w:r>
        <w:rPr>
          <w:sz w:val="18"/>
        </w:rPr>
        <w:t>783;</w:t>
      </w:r>
      <w:r>
        <w:rPr>
          <w:spacing w:val="-7"/>
          <w:sz w:val="18"/>
        </w:rPr>
        <w:t xml:space="preserve"> </w:t>
      </w:r>
      <w:r>
        <w:rPr>
          <w:sz w:val="18"/>
        </w:rPr>
        <w:t>Panel</w:t>
      </w:r>
      <w:r>
        <w:rPr>
          <w:spacing w:val="-5"/>
          <w:sz w:val="18"/>
        </w:rPr>
        <w:t xml:space="preserve"> </w:t>
      </w:r>
      <w:r>
        <w:rPr>
          <w:sz w:val="18"/>
        </w:rPr>
        <w:t>Report,</w:t>
      </w:r>
      <w:r>
        <w:rPr>
          <w:spacing w:val="-4"/>
          <w:sz w:val="18"/>
        </w:rPr>
        <w:t xml:space="preserve"> </w:t>
      </w:r>
      <w:r>
        <w:rPr>
          <w:i/>
          <w:sz w:val="18"/>
        </w:rPr>
        <w:t>Mexico</w:t>
      </w:r>
      <w:r>
        <w:rPr>
          <w:i/>
          <w:spacing w:val="-5"/>
          <w:sz w:val="18"/>
        </w:rPr>
        <w:t xml:space="preserve"> </w:t>
      </w:r>
      <w:r>
        <w:rPr>
          <w:i/>
          <w:sz w:val="18"/>
        </w:rPr>
        <w:t>–</w:t>
      </w:r>
      <w:r>
        <w:rPr>
          <w:i/>
          <w:spacing w:val="-2"/>
          <w:sz w:val="18"/>
        </w:rPr>
        <w:t xml:space="preserve"> </w:t>
      </w:r>
      <w:r>
        <w:rPr>
          <w:i/>
          <w:sz w:val="18"/>
        </w:rPr>
        <w:t>Steel</w:t>
      </w:r>
      <w:r>
        <w:rPr>
          <w:i/>
          <w:spacing w:val="-5"/>
          <w:sz w:val="18"/>
        </w:rPr>
        <w:t xml:space="preserve"> </w:t>
      </w:r>
      <w:r>
        <w:rPr>
          <w:i/>
          <w:sz w:val="18"/>
        </w:rPr>
        <w:t>Pipes</w:t>
      </w:r>
      <w:r>
        <w:rPr>
          <w:i/>
          <w:spacing w:val="-5"/>
          <w:sz w:val="18"/>
        </w:rPr>
        <w:t xml:space="preserve"> </w:t>
      </w:r>
      <w:r>
        <w:rPr>
          <w:i/>
          <w:sz w:val="18"/>
        </w:rPr>
        <w:t>and</w:t>
      </w:r>
      <w:r>
        <w:rPr>
          <w:i/>
          <w:spacing w:val="-5"/>
          <w:sz w:val="18"/>
        </w:rPr>
        <w:t xml:space="preserve"> </w:t>
      </w:r>
      <w:r>
        <w:rPr>
          <w:i/>
          <w:sz w:val="18"/>
        </w:rPr>
        <w:t>Tubes</w:t>
      </w:r>
      <w:r>
        <w:rPr>
          <w:sz w:val="18"/>
        </w:rPr>
        <w:t>,</w:t>
      </w:r>
      <w:r>
        <w:rPr>
          <w:spacing w:val="1"/>
          <w:sz w:val="18"/>
        </w:rPr>
        <w:t xml:space="preserve"> </w:t>
      </w:r>
      <w:r>
        <w:rPr>
          <w:sz w:val="18"/>
        </w:rPr>
        <w:t>paras.</w:t>
      </w:r>
      <w:r>
        <w:rPr>
          <w:spacing w:val="-5"/>
          <w:sz w:val="18"/>
        </w:rPr>
        <w:t xml:space="preserve"> </w:t>
      </w:r>
      <w:r>
        <w:rPr>
          <w:sz w:val="18"/>
        </w:rPr>
        <w:t>7.35, 7.37-</w:t>
      </w:r>
      <w:r>
        <w:rPr>
          <w:spacing w:val="-2"/>
          <w:sz w:val="18"/>
        </w:rPr>
        <w:t>7.39.</w:t>
      </w:r>
    </w:p>
    <w:p w14:paraId="577451F0" w14:textId="77777777" w:rsidR="00BD462C" w:rsidRDefault="00033D0F">
      <w:pPr>
        <w:spacing w:before="1"/>
        <w:ind w:left="135"/>
        <w:rPr>
          <w:sz w:val="18"/>
        </w:rPr>
      </w:pPr>
      <w:bookmarkStart w:id="1357" w:name="_bookmark1170"/>
      <w:bookmarkEnd w:id="1357"/>
      <w:r>
        <w:rPr>
          <w:position w:val="5"/>
          <w:sz w:val="12"/>
        </w:rPr>
        <w:t>1007</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paras.</w:t>
      </w:r>
      <w:r>
        <w:rPr>
          <w:spacing w:val="-5"/>
          <w:sz w:val="18"/>
        </w:rPr>
        <w:t xml:space="preserve"> </w:t>
      </w:r>
      <w:r>
        <w:rPr>
          <w:sz w:val="18"/>
        </w:rPr>
        <w:t>2100-</w:t>
      </w:r>
      <w:r>
        <w:rPr>
          <w:spacing w:val="-2"/>
          <w:sz w:val="18"/>
        </w:rPr>
        <w:t>2101.</w:t>
      </w:r>
    </w:p>
    <w:p w14:paraId="24785961" w14:textId="77777777" w:rsidR="00BD462C" w:rsidRDefault="00033D0F">
      <w:pPr>
        <w:spacing w:before="1"/>
        <w:ind w:left="135"/>
        <w:rPr>
          <w:sz w:val="18"/>
        </w:rPr>
      </w:pPr>
      <w:bookmarkStart w:id="1358" w:name="_bookmark1171"/>
      <w:bookmarkEnd w:id="1358"/>
      <w:r>
        <w:rPr>
          <w:position w:val="5"/>
          <w:sz w:val="12"/>
        </w:rPr>
        <w:t>1008</w:t>
      </w:r>
      <w:r>
        <w:rPr>
          <w:spacing w:val="16"/>
          <w:position w:val="5"/>
          <w:sz w:val="12"/>
        </w:rPr>
        <w:t xml:space="preserve"> </w:t>
      </w:r>
      <w:r>
        <w:rPr>
          <w:sz w:val="18"/>
        </w:rPr>
        <w:t>Panel</w:t>
      </w:r>
      <w:r>
        <w:rPr>
          <w:spacing w:val="-2"/>
          <w:sz w:val="18"/>
        </w:rPr>
        <w:t xml:space="preserve"> </w:t>
      </w:r>
      <w:r>
        <w:rPr>
          <w:sz w:val="18"/>
        </w:rPr>
        <w:t>Report,</w:t>
      </w:r>
      <w:r>
        <w:rPr>
          <w:spacing w:val="-5"/>
          <w:sz w:val="18"/>
        </w:rPr>
        <w:t xml:space="preserve"> </w:t>
      </w:r>
      <w:r>
        <w:rPr>
          <w:i/>
          <w:sz w:val="18"/>
        </w:rPr>
        <w:t>Mexico</w:t>
      </w:r>
      <w:r>
        <w:rPr>
          <w:i/>
          <w:spacing w:val="-1"/>
          <w:sz w:val="18"/>
        </w:rPr>
        <w:t xml:space="preserve"> </w:t>
      </w:r>
      <w:r>
        <w:rPr>
          <w:i/>
          <w:sz w:val="18"/>
        </w:rPr>
        <w:t>–</w:t>
      </w:r>
      <w:r>
        <w:rPr>
          <w:i/>
          <w:spacing w:val="-2"/>
          <w:sz w:val="18"/>
        </w:rPr>
        <w:t xml:space="preserve"> </w:t>
      </w:r>
      <w:r>
        <w:rPr>
          <w:i/>
          <w:sz w:val="18"/>
        </w:rPr>
        <w:t>Steel</w:t>
      </w:r>
      <w:r>
        <w:rPr>
          <w:i/>
          <w:spacing w:val="-2"/>
          <w:sz w:val="18"/>
        </w:rPr>
        <w:t xml:space="preserve"> </w:t>
      </w:r>
      <w:r>
        <w:rPr>
          <w:i/>
          <w:sz w:val="18"/>
        </w:rPr>
        <w:t>Pipes</w:t>
      </w:r>
      <w:r>
        <w:rPr>
          <w:i/>
          <w:spacing w:val="-6"/>
          <w:sz w:val="18"/>
        </w:rPr>
        <w:t xml:space="preserve"> </w:t>
      </w:r>
      <w:r>
        <w:rPr>
          <w:i/>
          <w:sz w:val="18"/>
        </w:rPr>
        <w:t>and</w:t>
      </w:r>
      <w:r>
        <w:rPr>
          <w:i/>
          <w:spacing w:val="-2"/>
          <w:sz w:val="18"/>
        </w:rPr>
        <w:t xml:space="preserve"> </w:t>
      </w:r>
      <w:r>
        <w:rPr>
          <w:i/>
          <w:sz w:val="18"/>
        </w:rPr>
        <w:t>Tubes,</w:t>
      </w:r>
      <w:r>
        <w:rPr>
          <w:i/>
          <w:spacing w:val="-1"/>
          <w:sz w:val="18"/>
        </w:rPr>
        <w:t xml:space="preserve"> </w:t>
      </w:r>
      <w:r>
        <w:rPr>
          <w:sz w:val="18"/>
        </w:rPr>
        <w:t>para.</w:t>
      </w:r>
      <w:r>
        <w:rPr>
          <w:spacing w:val="-1"/>
          <w:sz w:val="18"/>
        </w:rPr>
        <w:t xml:space="preserve"> </w:t>
      </w:r>
      <w:r>
        <w:rPr>
          <w:spacing w:val="-4"/>
          <w:sz w:val="18"/>
        </w:rPr>
        <w:t>7.43.</w:t>
      </w:r>
    </w:p>
    <w:p w14:paraId="38099503" w14:textId="77777777" w:rsidR="00BD462C" w:rsidRDefault="00BD462C">
      <w:pPr>
        <w:rPr>
          <w:sz w:val="18"/>
        </w:rPr>
        <w:sectPr w:rsidR="00BD462C">
          <w:pgSz w:w="11910" w:h="16840"/>
          <w:pgMar w:top="860" w:right="500" w:bottom="780" w:left="1280" w:header="566" w:footer="590" w:gutter="0"/>
          <w:cols w:space="720"/>
        </w:sectPr>
      </w:pPr>
    </w:p>
    <w:p w14:paraId="62A66576"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248F43C0"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2726D519"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17C9EA57" w14:textId="77777777" w:rsidR="00BD462C" w:rsidRDefault="00033D0F">
      <w:pPr>
        <w:pStyle w:val="BodyText"/>
        <w:spacing w:before="102" w:line="360" w:lineRule="auto"/>
        <w:ind w:left="136" w:right="914"/>
        <w:jc w:val="both"/>
      </w:pPr>
      <w:r>
        <w:t>pricing in the Guatemalan home market for the product under investigation."</w:t>
      </w:r>
      <w:hyperlink w:anchor="_bookmark1172" w:history="1">
        <w:r>
          <w:rPr>
            <w:vertAlign w:val="superscript"/>
          </w:rPr>
          <w:t>1009</w:t>
        </w:r>
      </w:hyperlink>
      <w:r>
        <w:t xml:space="preserve"> In that dispute,</w:t>
      </w:r>
      <w:r>
        <w:rPr>
          <w:spacing w:val="-14"/>
        </w:rPr>
        <w:t xml:space="preserve"> </w:t>
      </w:r>
      <w:r>
        <w:t>the</w:t>
      </w:r>
      <w:r>
        <w:rPr>
          <w:spacing w:val="-14"/>
        </w:rPr>
        <w:t xml:space="preserve"> </w:t>
      </w:r>
      <w:r>
        <w:t>normal</w:t>
      </w:r>
      <w:r>
        <w:rPr>
          <w:spacing w:val="-13"/>
        </w:rPr>
        <w:t xml:space="preserve"> </w:t>
      </w:r>
      <w:r>
        <w:t>value</w:t>
      </w:r>
      <w:r>
        <w:rPr>
          <w:spacing w:val="-14"/>
        </w:rPr>
        <w:t xml:space="preserve"> </w:t>
      </w:r>
      <w:r>
        <w:t>evidence</w:t>
      </w:r>
      <w:r>
        <w:rPr>
          <w:spacing w:val="-13"/>
        </w:rPr>
        <w:t xml:space="preserve"> </w:t>
      </w:r>
      <w:r>
        <w:t>put</w:t>
      </w:r>
      <w:r>
        <w:rPr>
          <w:spacing w:val="-14"/>
        </w:rPr>
        <w:t xml:space="preserve"> </w:t>
      </w:r>
      <w:r>
        <w:t>forward</w:t>
      </w:r>
      <w:r>
        <w:rPr>
          <w:spacing w:val="-13"/>
        </w:rPr>
        <w:t xml:space="preserve"> </w:t>
      </w:r>
      <w:r>
        <w:t>did</w:t>
      </w:r>
      <w:r>
        <w:rPr>
          <w:spacing w:val="-14"/>
        </w:rPr>
        <w:t xml:space="preserve"> </w:t>
      </w:r>
      <w:r>
        <w:t>not</w:t>
      </w:r>
      <w:r>
        <w:rPr>
          <w:spacing w:val="-14"/>
        </w:rPr>
        <w:t xml:space="preserve"> </w:t>
      </w:r>
      <w:r>
        <w:t>pertain</w:t>
      </w:r>
      <w:r>
        <w:rPr>
          <w:spacing w:val="-13"/>
        </w:rPr>
        <w:t xml:space="preserve"> </w:t>
      </w:r>
      <w:r>
        <w:t>to</w:t>
      </w:r>
      <w:r>
        <w:rPr>
          <w:spacing w:val="-14"/>
        </w:rPr>
        <w:t xml:space="preserve"> </w:t>
      </w:r>
      <w:r>
        <w:t>the</w:t>
      </w:r>
      <w:r>
        <w:rPr>
          <w:spacing w:val="-13"/>
        </w:rPr>
        <w:t xml:space="preserve"> </w:t>
      </w:r>
      <w:r>
        <w:t>only</w:t>
      </w:r>
      <w:r>
        <w:rPr>
          <w:spacing w:val="-14"/>
        </w:rPr>
        <w:t xml:space="preserve"> </w:t>
      </w:r>
      <w:r>
        <w:t>known</w:t>
      </w:r>
      <w:r>
        <w:rPr>
          <w:spacing w:val="-13"/>
        </w:rPr>
        <w:t xml:space="preserve"> </w:t>
      </w:r>
      <w:r>
        <w:t>Guatemalan exporter</w:t>
      </w:r>
      <w:r>
        <w:rPr>
          <w:spacing w:val="-14"/>
        </w:rPr>
        <w:t xml:space="preserve"> </w:t>
      </w:r>
      <w:r>
        <w:t>of</w:t>
      </w:r>
      <w:r>
        <w:rPr>
          <w:spacing w:val="-14"/>
        </w:rPr>
        <w:t xml:space="preserve"> </w:t>
      </w:r>
      <w:r>
        <w:t>the</w:t>
      </w:r>
      <w:r>
        <w:rPr>
          <w:spacing w:val="-13"/>
        </w:rPr>
        <w:t xml:space="preserve"> </w:t>
      </w:r>
      <w:r>
        <w:t>allegedly</w:t>
      </w:r>
      <w:r>
        <w:rPr>
          <w:spacing w:val="-14"/>
        </w:rPr>
        <w:t xml:space="preserve"> </w:t>
      </w:r>
      <w:r>
        <w:t>dumped</w:t>
      </w:r>
      <w:r>
        <w:rPr>
          <w:spacing w:val="-13"/>
        </w:rPr>
        <w:t xml:space="preserve"> </w:t>
      </w:r>
      <w:r>
        <w:t>product.</w:t>
      </w:r>
      <w:r>
        <w:rPr>
          <w:spacing w:val="-14"/>
        </w:rPr>
        <w:t xml:space="preserve"> </w:t>
      </w:r>
      <w:r>
        <w:t>Similarly,</w:t>
      </w:r>
      <w:r>
        <w:rPr>
          <w:spacing w:val="-12"/>
        </w:rPr>
        <w:t xml:space="preserve"> </w:t>
      </w:r>
      <w:r>
        <w:t>in</w:t>
      </w:r>
      <w:r>
        <w:rPr>
          <w:spacing w:val="-14"/>
        </w:rPr>
        <w:t xml:space="preserve"> </w:t>
      </w:r>
      <w:r>
        <w:t>this</w:t>
      </w:r>
      <w:r>
        <w:rPr>
          <w:spacing w:val="-11"/>
        </w:rPr>
        <w:t xml:space="preserve"> </w:t>
      </w:r>
      <w:r>
        <w:t>case,</w:t>
      </w:r>
      <w:r>
        <w:rPr>
          <w:spacing w:val="-11"/>
        </w:rPr>
        <w:t xml:space="preserve"> </w:t>
      </w:r>
      <w:r>
        <w:t>the</w:t>
      </w:r>
      <w:r>
        <w:rPr>
          <w:spacing w:val="-13"/>
        </w:rPr>
        <w:t xml:space="preserve"> </w:t>
      </w:r>
      <w:r>
        <w:t>normal</w:t>
      </w:r>
      <w:r>
        <w:rPr>
          <w:spacing w:val="-11"/>
        </w:rPr>
        <w:t xml:space="preserve"> </w:t>
      </w:r>
      <w:r>
        <w:t>value</w:t>
      </w:r>
      <w:r>
        <w:rPr>
          <w:spacing w:val="-13"/>
        </w:rPr>
        <w:t xml:space="preserve"> </w:t>
      </w:r>
      <w:r>
        <w:t>put</w:t>
      </w:r>
      <w:r>
        <w:rPr>
          <w:spacing w:val="-12"/>
        </w:rPr>
        <w:t xml:space="preserve"> </w:t>
      </w:r>
      <w:r>
        <w:t xml:space="preserve">forward by CADA does not pertain to any </w:t>
      </w:r>
      <w:r>
        <w:rPr>
          <w:i/>
        </w:rPr>
        <w:t xml:space="preserve">Australian </w:t>
      </w:r>
      <w:r>
        <w:t>domestic producer or exporter.</w:t>
      </w:r>
    </w:p>
    <w:p w14:paraId="382FBF4F" w14:textId="77777777" w:rsidR="00BD462C" w:rsidRDefault="00BD462C">
      <w:pPr>
        <w:pStyle w:val="BodyText"/>
        <w:spacing w:before="8"/>
        <w:rPr>
          <w:sz w:val="8"/>
        </w:rPr>
      </w:pPr>
    </w:p>
    <w:p w14:paraId="1ACAF9EA" w14:textId="7152F60A" w:rsidR="00BD462C" w:rsidRDefault="00E3346F">
      <w:pPr>
        <w:pStyle w:val="BodyText"/>
        <w:spacing w:before="56" w:line="360" w:lineRule="auto"/>
        <w:ind w:left="136" w:right="911"/>
        <w:jc w:val="both"/>
      </w:pPr>
      <w:r>
        <w:rPr>
          <w:noProof/>
        </w:rPr>
        <w:t>640</w:t>
      </w:r>
      <w:r w:rsidR="00685377">
        <w:rPr>
          <w:noProof/>
        </w:rPr>
        <w:t>.</w:t>
      </w:r>
      <w:r w:rsidR="00033D0F">
        <w:rPr>
          <w:rFonts w:ascii="Times New Roman" w:hAnsi="Times New Roman"/>
          <w:spacing w:val="80"/>
          <w:position w:val="1"/>
          <w:sz w:val="20"/>
        </w:rPr>
        <w:t xml:space="preserve"> </w:t>
      </w:r>
      <w:r w:rsidR="00033D0F">
        <w:rPr>
          <w:position w:val="1"/>
        </w:rPr>
        <w:t xml:space="preserve">In </w:t>
      </w:r>
      <w:r w:rsidR="00033D0F">
        <w:rPr>
          <w:i/>
          <w:position w:val="1"/>
        </w:rPr>
        <w:t>Mexico – Steel Pipes and Tubes</w:t>
      </w:r>
      <w:r w:rsidR="00033D0F">
        <w:rPr>
          <w:position w:val="1"/>
        </w:rPr>
        <w:t xml:space="preserve">, the panel found that Mexico had pointed to no </w:t>
      </w:r>
      <w:r w:rsidR="00033D0F">
        <w:t>evidence</w:t>
      </w:r>
      <w:r w:rsidR="00033D0F">
        <w:rPr>
          <w:spacing w:val="-7"/>
        </w:rPr>
        <w:t xml:space="preserve"> </w:t>
      </w:r>
      <w:r w:rsidR="00033D0F">
        <w:t>on</w:t>
      </w:r>
      <w:r w:rsidR="00033D0F">
        <w:rPr>
          <w:spacing w:val="-9"/>
        </w:rPr>
        <w:t xml:space="preserve"> </w:t>
      </w:r>
      <w:r w:rsidR="00033D0F">
        <w:t>the</w:t>
      </w:r>
      <w:r w:rsidR="00033D0F">
        <w:rPr>
          <w:spacing w:val="-3"/>
        </w:rPr>
        <w:t xml:space="preserve"> </w:t>
      </w:r>
      <w:r w:rsidR="00033D0F">
        <w:t>record</w:t>
      </w:r>
      <w:r w:rsidR="00033D0F">
        <w:rPr>
          <w:spacing w:val="-4"/>
        </w:rPr>
        <w:t xml:space="preserve"> </w:t>
      </w:r>
      <w:r w:rsidR="00033D0F">
        <w:t>that</w:t>
      </w:r>
      <w:r w:rsidR="00033D0F">
        <w:rPr>
          <w:spacing w:val="-7"/>
        </w:rPr>
        <w:t xml:space="preserve"> </w:t>
      </w:r>
      <w:r w:rsidR="00033D0F">
        <w:t>indicated</w:t>
      </w:r>
      <w:r w:rsidR="00033D0F">
        <w:rPr>
          <w:spacing w:val="-9"/>
        </w:rPr>
        <w:t xml:space="preserve"> </w:t>
      </w:r>
      <w:r w:rsidR="00033D0F">
        <w:t>the</w:t>
      </w:r>
      <w:r w:rsidR="00033D0F">
        <w:rPr>
          <w:spacing w:val="-3"/>
        </w:rPr>
        <w:t xml:space="preserve"> </w:t>
      </w:r>
      <w:r w:rsidR="00033D0F">
        <w:t>investigating</w:t>
      </w:r>
      <w:r w:rsidR="00033D0F">
        <w:rPr>
          <w:spacing w:val="-6"/>
        </w:rPr>
        <w:t xml:space="preserve"> </w:t>
      </w:r>
      <w:r w:rsidR="00033D0F">
        <w:t>authority</w:t>
      </w:r>
      <w:r w:rsidR="00033D0F">
        <w:rPr>
          <w:spacing w:val="-6"/>
        </w:rPr>
        <w:t xml:space="preserve"> </w:t>
      </w:r>
      <w:r w:rsidR="00033D0F">
        <w:t>took</w:t>
      </w:r>
      <w:r w:rsidR="00033D0F">
        <w:rPr>
          <w:spacing w:val="-6"/>
        </w:rPr>
        <w:t xml:space="preserve"> </w:t>
      </w:r>
      <w:r w:rsidR="00033D0F">
        <w:rPr>
          <w:i/>
        </w:rPr>
        <w:t>any</w:t>
      </w:r>
      <w:r w:rsidR="00033D0F">
        <w:rPr>
          <w:i/>
          <w:spacing w:val="-8"/>
        </w:rPr>
        <w:t xml:space="preserve"> </w:t>
      </w:r>
      <w:r w:rsidR="00033D0F">
        <w:t>steps</w:t>
      </w:r>
      <w:r w:rsidR="00033D0F">
        <w:rPr>
          <w:spacing w:val="-6"/>
        </w:rPr>
        <w:t xml:space="preserve"> </w:t>
      </w:r>
      <w:r w:rsidR="00033D0F">
        <w:t>to</w:t>
      </w:r>
      <w:r w:rsidR="00033D0F">
        <w:rPr>
          <w:spacing w:val="-5"/>
        </w:rPr>
        <w:t xml:space="preserve"> </w:t>
      </w:r>
      <w:r w:rsidR="00033D0F">
        <w:t>determine whether</w:t>
      </w:r>
      <w:r w:rsidR="00033D0F">
        <w:rPr>
          <w:spacing w:val="-6"/>
        </w:rPr>
        <w:t xml:space="preserve"> </w:t>
      </w:r>
      <w:r w:rsidR="00033D0F">
        <w:t>the</w:t>
      </w:r>
      <w:r w:rsidR="00033D0F">
        <w:rPr>
          <w:spacing w:val="-4"/>
        </w:rPr>
        <w:t xml:space="preserve"> </w:t>
      </w:r>
      <w:r w:rsidR="00033D0F">
        <w:t>products</w:t>
      </w:r>
      <w:r w:rsidR="00033D0F">
        <w:rPr>
          <w:spacing w:val="-2"/>
        </w:rPr>
        <w:t xml:space="preserve"> </w:t>
      </w:r>
      <w:r w:rsidR="00033D0F">
        <w:t>were</w:t>
      </w:r>
      <w:r w:rsidR="00033D0F">
        <w:rPr>
          <w:spacing w:val="-3"/>
        </w:rPr>
        <w:t xml:space="preserve"> </w:t>
      </w:r>
      <w:r w:rsidR="00033D0F">
        <w:t>reflective</w:t>
      </w:r>
      <w:r w:rsidR="00033D0F">
        <w:rPr>
          <w:spacing w:val="-3"/>
        </w:rPr>
        <w:t xml:space="preserve"> </w:t>
      </w:r>
      <w:r w:rsidR="00033D0F">
        <w:t>of</w:t>
      </w:r>
      <w:r w:rsidR="00033D0F">
        <w:rPr>
          <w:spacing w:val="-5"/>
        </w:rPr>
        <w:t xml:space="preserve"> </w:t>
      </w:r>
      <w:r w:rsidR="00033D0F">
        <w:t>the</w:t>
      </w:r>
      <w:r w:rsidR="00033D0F">
        <w:rPr>
          <w:spacing w:val="-4"/>
        </w:rPr>
        <w:t xml:space="preserve"> </w:t>
      </w:r>
      <w:r w:rsidR="00033D0F">
        <w:t>only</w:t>
      </w:r>
      <w:r w:rsidR="00033D0F">
        <w:rPr>
          <w:spacing w:val="-7"/>
        </w:rPr>
        <w:t xml:space="preserve"> </w:t>
      </w:r>
      <w:r w:rsidR="00033D0F">
        <w:t>identified</w:t>
      </w:r>
      <w:r w:rsidR="00033D0F">
        <w:rPr>
          <w:spacing w:val="-5"/>
        </w:rPr>
        <w:t xml:space="preserve"> </w:t>
      </w:r>
      <w:r w:rsidR="00033D0F">
        <w:t>Guatemalan</w:t>
      </w:r>
      <w:r w:rsidR="00033D0F">
        <w:rPr>
          <w:spacing w:val="-5"/>
        </w:rPr>
        <w:t xml:space="preserve"> </w:t>
      </w:r>
      <w:r w:rsidR="00033D0F">
        <w:t>producer</w:t>
      </w:r>
      <w:r w:rsidR="00033D0F">
        <w:rPr>
          <w:spacing w:val="-6"/>
        </w:rPr>
        <w:t xml:space="preserve"> </w:t>
      </w:r>
      <w:r w:rsidR="00033D0F">
        <w:t>or</w:t>
      </w:r>
      <w:r w:rsidR="00033D0F">
        <w:rPr>
          <w:spacing w:val="-6"/>
        </w:rPr>
        <w:t xml:space="preserve"> </w:t>
      </w:r>
      <w:r w:rsidR="00033D0F">
        <w:t>exporter or "even that these products were of Guatemalan origin."</w:t>
      </w:r>
      <w:hyperlink w:anchor="_bookmark1173" w:history="1">
        <w:r w:rsidR="00033D0F">
          <w:rPr>
            <w:vertAlign w:val="superscript"/>
          </w:rPr>
          <w:t>1010</w:t>
        </w:r>
      </w:hyperlink>
      <w:r w:rsidR="00033D0F">
        <w:t xml:space="preserve"> Similarly, in this case, there is no</w:t>
      </w:r>
      <w:r w:rsidR="00033D0F">
        <w:rPr>
          <w:spacing w:val="-13"/>
        </w:rPr>
        <w:t xml:space="preserve"> </w:t>
      </w:r>
      <w:r w:rsidR="00033D0F">
        <w:t>evidence</w:t>
      </w:r>
      <w:r w:rsidR="00033D0F">
        <w:rPr>
          <w:spacing w:val="-11"/>
        </w:rPr>
        <w:t xml:space="preserve"> </w:t>
      </w:r>
      <w:r w:rsidR="00033D0F">
        <w:t>on</w:t>
      </w:r>
      <w:r w:rsidR="00033D0F">
        <w:rPr>
          <w:spacing w:val="-13"/>
        </w:rPr>
        <w:t xml:space="preserve"> </w:t>
      </w:r>
      <w:r w:rsidR="00033D0F">
        <w:t>the</w:t>
      </w:r>
      <w:r w:rsidR="00033D0F">
        <w:rPr>
          <w:spacing w:val="-6"/>
        </w:rPr>
        <w:t xml:space="preserve"> </w:t>
      </w:r>
      <w:r w:rsidR="00033D0F">
        <w:t>record</w:t>
      </w:r>
      <w:r w:rsidR="00033D0F">
        <w:rPr>
          <w:spacing w:val="-13"/>
        </w:rPr>
        <w:t xml:space="preserve"> </w:t>
      </w:r>
      <w:r w:rsidR="00033D0F">
        <w:t>to</w:t>
      </w:r>
      <w:r w:rsidR="00033D0F">
        <w:rPr>
          <w:spacing w:val="-9"/>
        </w:rPr>
        <w:t xml:space="preserve"> </w:t>
      </w:r>
      <w:r w:rsidR="00033D0F">
        <w:t>indicate</w:t>
      </w:r>
      <w:r w:rsidR="00033D0F">
        <w:rPr>
          <w:spacing w:val="-11"/>
        </w:rPr>
        <w:t xml:space="preserve"> </w:t>
      </w:r>
      <w:r w:rsidR="00033D0F">
        <w:t>that</w:t>
      </w:r>
      <w:r w:rsidR="00033D0F">
        <w:rPr>
          <w:spacing w:val="-10"/>
        </w:rPr>
        <w:t xml:space="preserve"> </w:t>
      </w:r>
      <w:r w:rsidR="00033D0F">
        <w:t>MOFCOM</w:t>
      </w:r>
      <w:r w:rsidR="00033D0F">
        <w:rPr>
          <w:spacing w:val="-10"/>
        </w:rPr>
        <w:t xml:space="preserve"> </w:t>
      </w:r>
      <w:r w:rsidR="00033D0F">
        <w:t>took</w:t>
      </w:r>
      <w:r w:rsidR="00033D0F">
        <w:rPr>
          <w:spacing w:val="-10"/>
        </w:rPr>
        <w:t xml:space="preserve"> </w:t>
      </w:r>
      <w:r w:rsidR="00033D0F">
        <w:t>any</w:t>
      </w:r>
      <w:r w:rsidR="00033D0F">
        <w:rPr>
          <w:spacing w:val="-10"/>
        </w:rPr>
        <w:t xml:space="preserve"> </w:t>
      </w:r>
      <w:r w:rsidR="00033D0F">
        <w:t>steps</w:t>
      </w:r>
      <w:r w:rsidR="00033D0F">
        <w:rPr>
          <w:spacing w:val="-9"/>
        </w:rPr>
        <w:t xml:space="preserve"> </w:t>
      </w:r>
      <w:r w:rsidR="00033D0F">
        <w:t>to</w:t>
      </w:r>
      <w:r w:rsidR="00033D0F">
        <w:rPr>
          <w:spacing w:val="-13"/>
        </w:rPr>
        <w:t xml:space="preserve"> </w:t>
      </w:r>
      <w:r w:rsidR="00033D0F">
        <w:t>determine</w:t>
      </w:r>
      <w:r w:rsidR="00033D0F">
        <w:rPr>
          <w:spacing w:val="-11"/>
        </w:rPr>
        <w:t xml:space="preserve"> </w:t>
      </w:r>
      <w:r w:rsidR="00033D0F">
        <w:t>whether</w:t>
      </w:r>
      <w:r w:rsidR="00033D0F">
        <w:rPr>
          <w:spacing w:val="-14"/>
        </w:rPr>
        <w:t xml:space="preserve"> </w:t>
      </w:r>
      <w:r w:rsidR="00033D0F">
        <w:t>the Chinese imports into Australia were reflective of prices in the Australian market, let alone of the domestic sales of any Australian exporter or producer.</w:t>
      </w:r>
    </w:p>
    <w:p w14:paraId="77E25308" w14:textId="77777777" w:rsidR="00BD462C" w:rsidRDefault="00BD462C">
      <w:pPr>
        <w:pStyle w:val="BodyText"/>
        <w:spacing w:before="6"/>
        <w:rPr>
          <w:sz w:val="8"/>
        </w:rPr>
      </w:pPr>
    </w:p>
    <w:p w14:paraId="40984F9E" w14:textId="43D5BF1A" w:rsidR="00BD462C" w:rsidRDefault="00685377">
      <w:pPr>
        <w:pStyle w:val="BodyText"/>
        <w:spacing w:before="56" w:line="360" w:lineRule="auto"/>
        <w:ind w:left="135" w:right="914"/>
        <w:jc w:val="both"/>
      </w:pPr>
      <w:r>
        <w:rPr>
          <w:noProof/>
        </w:rPr>
        <w:t>641.</w:t>
      </w:r>
      <w:r w:rsidR="00033D0F">
        <w:rPr>
          <w:rFonts w:ascii="Times New Roman"/>
          <w:spacing w:val="80"/>
          <w:w w:val="150"/>
          <w:position w:val="1"/>
          <w:sz w:val="20"/>
        </w:rPr>
        <w:t xml:space="preserve"> </w:t>
      </w:r>
      <w:r w:rsidR="00033D0F">
        <w:rPr>
          <w:position w:val="1"/>
        </w:rPr>
        <w:t xml:space="preserve">Finally, to clarify a further </w:t>
      </w:r>
      <w:proofErr w:type="spellStart"/>
      <w:r w:rsidR="00033D0F">
        <w:rPr>
          <w:position w:val="1"/>
        </w:rPr>
        <w:t>mischaracterisation</w:t>
      </w:r>
      <w:proofErr w:type="spellEnd"/>
      <w:r w:rsidR="00033D0F">
        <w:rPr>
          <w:position w:val="1"/>
        </w:rPr>
        <w:t xml:space="preserve"> by China of Australia's argument, </w:t>
      </w:r>
      <w:r w:rsidR="00033D0F">
        <w:t xml:space="preserve">Australia does </w:t>
      </w:r>
      <w:r w:rsidR="00033D0F">
        <w:rPr>
          <w:i/>
        </w:rPr>
        <w:t xml:space="preserve">not </w:t>
      </w:r>
      <w:r w:rsidR="00033D0F">
        <w:t>argue that CADA should have provided normal values for each of the products</w:t>
      </w:r>
      <w:r w:rsidR="00033D0F">
        <w:rPr>
          <w:spacing w:val="-10"/>
        </w:rPr>
        <w:t xml:space="preserve"> </w:t>
      </w:r>
      <w:r w:rsidR="00033D0F">
        <w:t>corresponding</w:t>
      </w:r>
      <w:r w:rsidR="00033D0F">
        <w:rPr>
          <w:spacing w:val="-9"/>
        </w:rPr>
        <w:t xml:space="preserve"> </w:t>
      </w:r>
      <w:r w:rsidR="00033D0F">
        <w:t>to</w:t>
      </w:r>
      <w:r w:rsidR="00033D0F">
        <w:rPr>
          <w:spacing w:val="-9"/>
        </w:rPr>
        <w:t xml:space="preserve"> </w:t>
      </w:r>
      <w:r w:rsidR="00033D0F">
        <w:t>their</w:t>
      </w:r>
      <w:r w:rsidR="00033D0F">
        <w:rPr>
          <w:spacing w:val="-14"/>
        </w:rPr>
        <w:t xml:space="preserve"> </w:t>
      </w:r>
      <w:r w:rsidR="00033D0F">
        <w:t>specific</w:t>
      </w:r>
      <w:r w:rsidR="00033D0F">
        <w:rPr>
          <w:spacing w:val="-12"/>
        </w:rPr>
        <w:t xml:space="preserve"> </w:t>
      </w:r>
      <w:r w:rsidR="00033D0F">
        <w:t>PCNs.</w:t>
      </w:r>
      <w:hyperlink w:anchor="_bookmark1174" w:history="1">
        <w:r w:rsidR="00033D0F">
          <w:rPr>
            <w:vertAlign w:val="superscript"/>
          </w:rPr>
          <w:t>1011</w:t>
        </w:r>
      </w:hyperlink>
      <w:r w:rsidR="00033D0F">
        <w:rPr>
          <w:spacing w:val="-10"/>
        </w:rPr>
        <w:t xml:space="preserve"> </w:t>
      </w:r>
      <w:r w:rsidR="00033D0F">
        <w:t>Australia</w:t>
      </w:r>
      <w:r w:rsidR="00033D0F">
        <w:rPr>
          <w:spacing w:val="-11"/>
        </w:rPr>
        <w:t xml:space="preserve"> </w:t>
      </w:r>
      <w:r w:rsidR="00033D0F">
        <w:t>argues</w:t>
      </w:r>
      <w:r w:rsidR="00033D0F">
        <w:rPr>
          <w:spacing w:val="-9"/>
        </w:rPr>
        <w:t xml:space="preserve"> </w:t>
      </w:r>
      <w:r w:rsidR="00033D0F">
        <w:t>that</w:t>
      </w:r>
      <w:r w:rsidR="00033D0F">
        <w:rPr>
          <w:spacing w:val="-10"/>
        </w:rPr>
        <w:t xml:space="preserve"> </w:t>
      </w:r>
      <w:r w:rsidR="00033D0F">
        <w:t>MOFCOM</w:t>
      </w:r>
      <w:r w:rsidR="00033D0F">
        <w:rPr>
          <w:spacing w:val="-10"/>
        </w:rPr>
        <w:t xml:space="preserve"> </w:t>
      </w:r>
      <w:r w:rsidR="00033D0F">
        <w:t>should</w:t>
      </w:r>
      <w:r w:rsidR="00033D0F">
        <w:rPr>
          <w:spacing w:val="-13"/>
        </w:rPr>
        <w:t xml:space="preserve"> </w:t>
      </w:r>
      <w:r w:rsidR="00033D0F">
        <w:t xml:space="preserve">have made its best </w:t>
      </w:r>
      <w:proofErr w:type="spellStart"/>
      <w:r w:rsidR="00033D0F">
        <w:t>endeavours</w:t>
      </w:r>
      <w:proofErr w:type="spellEnd"/>
      <w:r w:rsidR="00033D0F">
        <w:t xml:space="preserve"> to ensure that the normal value evidence submitted by CADA </w:t>
      </w:r>
      <w:r w:rsidR="00033D0F">
        <w:rPr>
          <w:i/>
        </w:rPr>
        <w:t xml:space="preserve">reflected </w:t>
      </w:r>
      <w:r w:rsidR="00033D0F">
        <w:t>the prevailing home market pricing in Australia. There is no evidence on the record to indicate that MOFCOM did this.</w:t>
      </w:r>
      <w:hyperlink w:anchor="_bookmark1175" w:history="1">
        <w:r w:rsidR="00033D0F">
          <w:rPr>
            <w:vertAlign w:val="superscript"/>
          </w:rPr>
          <w:t>1012</w:t>
        </w:r>
      </w:hyperlink>
    </w:p>
    <w:p w14:paraId="2E334807" w14:textId="77777777" w:rsidR="00BD462C" w:rsidRDefault="00033D0F">
      <w:pPr>
        <w:pStyle w:val="ListParagraph"/>
        <w:numPr>
          <w:ilvl w:val="1"/>
          <w:numId w:val="31"/>
        </w:numPr>
        <w:tabs>
          <w:tab w:val="left" w:pos="3539"/>
          <w:tab w:val="left" w:pos="3540"/>
        </w:tabs>
        <w:spacing w:before="157"/>
        <w:ind w:hanging="851"/>
        <w:jc w:val="both"/>
        <w:rPr>
          <w:sz w:val="24"/>
        </w:rPr>
      </w:pPr>
      <w:bookmarkStart w:id="1359" w:name="(b)_Export_price"/>
      <w:bookmarkEnd w:id="1359"/>
      <w:r>
        <w:rPr>
          <w:sz w:val="24"/>
          <w:u w:val="single"/>
        </w:rPr>
        <w:t>Export</w:t>
      </w:r>
      <w:r>
        <w:rPr>
          <w:spacing w:val="-9"/>
          <w:sz w:val="24"/>
          <w:u w:val="single"/>
        </w:rPr>
        <w:t xml:space="preserve"> </w:t>
      </w:r>
      <w:r>
        <w:rPr>
          <w:spacing w:val="-2"/>
          <w:sz w:val="24"/>
          <w:u w:val="single"/>
        </w:rPr>
        <w:t>price</w:t>
      </w:r>
    </w:p>
    <w:p w14:paraId="005EF00A" w14:textId="77777777" w:rsidR="00BD462C" w:rsidRDefault="00BD462C">
      <w:pPr>
        <w:pStyle w:val="BodyText"/>
        <w:spacing w:before="11"/>
        <w:rPr>
          <w:sz w:val="20"/>
        </w:rPr>
      </w:pPr>
    </w:p>
    <w:p w14:paraId="552B6BA6" w14:textId="70EF25C3" w:rsidR="00BD462C" w:rsidRDefault="00685377">
      <w:pPr>
        <w:pStyle w:val="BodyText"/>
        <w:spacing w:before="56" w:line="360" w:lineRule="auto"/>
        <w:ind w:left="136" w:right="915"/>
        <w:jc w:val="both"/>
      </w:pPr>
      <w:r>
        <w:rPr>
          <w:noProof/>
        </w:rPr>
        <w:t>642.</w:t>
      </w:r>
      <w:r w:rsidR="00033D0F">
        <w:rPr>
          <w:rFonts w:ascii="Times New Roman"/>
          <w:spacing w:val="80"/>
          <w:w w:val="150"/>
          <w:position w:val="1"/>
          <w:sz w:val="20"/>
        </w:rPr>
        <w:t xml:space="preserve"> </w:t>
      </w:r>
      <w:r w:rsidR="00033D0F">
        <w:rPr>
          <w:position w:val="1"/>
        </w:rPr>
        <w:t xml:space="preserve">Australia maintains that CADA supplied insufficient evidence for the purposes of </w:t>
      </w:r>
      <w:r w:rsidR="00033D0F">
        <w:t>initiation</w:t>
      </w:r>
      <w:r w:rsidR="00033D0F">
        <w:rPr>
          <w:spacing w:val="-13"/>
        </w:rPr>
        <w:t xml:space="preserve"> </w:t>
      </w:r>
      <w:r w:rsidR="00033D0F">
        <w:t>with</w:t>
      </w:r>
      <w:r w:rsidR="00033D0F">
        <w:rPr>
          <w:spacing w:val="-13"/>
        </w:rPr>
        <w:t xml:space="preserve"> </w:t>
      </w:r>
      <w:r w:rsidR="00033D0F">
        <w:t>respect</w:t>
      </w:r>
      <w:r w:rsidR="00033D0F">
        <w:rPr>
          <w:spacing w:val="-10"/>
        </w:rPr>
        <w:t xml:space="preserve"> </w:t>
      </w:r>
      <w:r w:rsidR="00033D0F">
        <w:t>to</w:t>
      </w:r>
      <w:r w:rsidR="00033D0F">
        <w:rPr>
          <w:spacing w:val="-13"/>
        </w:rPr>
        <w:t xml:space="preserve"> </w:t>
      </w:r>
      <w:r w:rsidR="00033D0F">
        <w:t>export</w:t>
      </w:r>
      <w:r w:rsidR="00033D0F">
        <w:rPr>
          <w:spacing w:val="-10"/>
        </w:rPr>
        <w:t xml:space="preserve"> </w:t>
      </w:r>
      <w:r w:rsidR="00033D0F">
        <w:t>price.</w:t>
      </w:r>
      <w:hyperlink w:anchor="_bookmark1176" w:history="1">
        <w:r w:rsidR="00033D0F">
          <w:rPr>
            <w:vertAlign w:val="superscript"/>
          </w:rPr>
          <w:t>1013</w:t>
        </w:r>
      </w:hyperlink>
      <w:r w:rsidR="00033D0F">
        <w:rPr>
          <w:spacing w:val="-10"/>
        </w:rPr>
        <w:t xml:space="preserve"> </w:t>
      </w:r>
      <w:r w:rsidR="00033D0F">
        <w:t>China</w:t>
      </w:r>
      <w:r w:rsidR="00033D0F">
        <w:rPr>
          <w:spacing w:val="-11"/>
        </w:rPr>
        <w:t xml:space="preserve"> </w:t>
      </w:r>
      <w:r w:rsidR="00033D0F">
        <w:t>has</w:t>
      </w:r>
      <w:r w:rsidR="00033D0F">
        <w:rPr>
          <w:spacing w:val="-9"/>
        </w:rPr>
        <w:t xml:space="preserve"> </w:t>
      </w:r>
      <w:r w:rsidR="00033D0F">
        <w:t>failed</w:t>
      </w:r>
      <w:r w:rsidR="00033D0F">
        <w:rPr>
          <w:spacing w:val="-13"/>
        </w:rPr>
        <w:t xml:space="preserve"> </w:t>
      </w:r>
      <w:r w:rsidR="00033D0F">
        <w:t>to</w:t>
      </w:r>
      <w:r w:rsidR="00033D0F">
        <w:rPr>
          <w:spacing w:val="-13"/>
        </w:rPr>
        <w:t xml:space="preserve"> </w:t>
      </w:r>
      <w:r w:rsidR="00033D0F">
        <w:t>rebut</w:t>
      </w:r>
      <w:r w:rsidR="00033D0F">
        <w:rPr>
          <w:spacing w:val="-10"/>
        </w:rPr>
        <w:t xml:space="preserve"> </w:t>
      </w:r>
      <w:r w:rsidR="00033D0F">
        <w:t>Australia's</w:t>
      </w:r>
      <w:r w:rsidR="00033D0F">
        <w:rPr>
          <w:spacing w:val="-9"/>
        </w:rPr>
        <w:t xml:space="preserve"> </w:t>
      </w:r>
      <w:r w:rsidR="00033D0F">
        <w:t>argument</w:t>
      </w:r>
      <w:r w:rsidR="00033D0F">
        <w:rPr>
          <w:spacing w:val="-10"/>
        </w:rPr>
        <w:t xml:space="preserve"> </w:t>
      </w:r>
      <w:r w:rsidR="00033D0F">
        <w:t>in</w:t>
      </w:r>
      <w:r w:rsidR="00033D0F">
        <w:rPr>
          <w:spacing w:val="-13"/>
        </w:rPr>
        <w:t xml:space="preserve"> </w:t>
      </w:r>
      <w:r w:rsidR="00033D0F">
        <w:t xml:space="preserve">this regard. Instead, China again seeks to </w:t>
      </w:r>
      <w:proofErr w:type="spellStart"/>
      <w:r w:rsidR="00033D0F">
        <w:t>mischaracterise</w:t>
      </w:r>
      <w:proofErr w:type="spellEnd"/>
      <w:r w:rsidR="00033D0F">
        <w:t xml:space="preserve"> Australia's arguments.</w:t>
      </w:r>
      <w:hyperlink w:anchor="_bookmark1177" w:history="1">
        <w:r w:rsidR="00033D0F">
          <w:rPr>
            <w:vertAlign w:val="superscript"/>
          </w:rPr>
          <w:t>1014</w:t>
        </w:r>
      </w:hyperlink>
      <w:r w:rsidR="00033D0F">
        <w:t xml:space="preserve"> To be clear, Australia does </w:t>
      </w:r>
      <w:r w:rsidR="00033D0F">
        <w:rPr>
          <w:i/>
        </w:rPr>
        <w:t xml:space="preserve">not </w:t>
      </w:r>
      <w:r w:rsidR="00033D0F">
        <w:t>argue that CADA should have provided transaction-by-transaction export prices.</w:t>
      </w:r>
      <w:hyperlink w:anchor="_bookmark1178" w:history="1">
        <w:r w:rsidR="00033D0F">
          <w:rPr>
            <w:vertAlign w:val="superscript"/>
          </w:rPr>
          <w:t>1015</w:t>
        </w:r>
      </w:hyperlink>
      <w:r w:rsidR="00033D0F">
        <w:rPr>
          <w:spacing w:val="-6"/>
        </w:rPr>
        <w:t xml:space="preserve"> </w:t>
      </w:r>
      <w:r w:rsidR="00033D0F">
        <w:t>Australia's</w:t>
      </w:r>
      <w:r w:rsidR="00033D0F">
        <w:rPr>
          <w:spacing w:val="-6"/>
        </w:rPr>
        <w:t xml:space="preserve"> </w:t>
      </w:r>
      <w:r w:rsidR="00033D0F">
        <w:t>claims</w:t>
      </w:r>
      <w:r w:rsidR="00033D0F">
        <w:rPr>
          <w:spacing w:val="-6"/>
        </w:rPr>
        <w:t xml:space="preserve"> </w:t>
      </w:r>
      <w:r w:rsidR="00033D0F">
        <w:t>with</w:t>
      </w:r>
      <w:r w:rsidR="00033D0F">
        <w:rPr>
          <w:spacing w:val="-9"/>
        </w:rPr>
        <w:t xml:space="preserve"> </w:t>
      </w:r>
      <w:r w:rsidR="00033D0F">
        <w:t>respect</w:t>
      </w:r>
      <w:r w:rsidR="00033D0F">
        <w:rPr>
          <w:spacing w:val="-7"/>
        </w:rPr>
        <w:t xml:space="preserve"> </w:t>
      </w:r>
      <w:r w:rsidR="00033D0F">
        <w:t>to</w:t>
      </w:r>
      <w:r w:rsidR="00033D0F">
        <w:rPr>
          <w:spacing w:val="-10"/>
        </w:rPr>
        <w:t xml:space="preserve"> </w:t>
      </w:r>
      <w:r w:rsidR="00033D0F">
        <w:t>CADA's</w:t>
      </w:r>
      <w:r w:rsidR="00033D0F">
        <w:rPr>
          <w:spacing w:val="-6"/>
        </w:rPr>
        <w:t xml:space="preserve"> </w:t>
      </w:r>
      <w:r w:rsidR="00033D0F">
        <w:t>purported</w:t>
      </w:r>
      <w:r w:rsidR="00033D0F">
        <w:rPr>
          <w:spacing w:val="-9"/>
        </w:rPr>
        <w:t xml:space="preserve"> </w:t>
      </w:r>
      <w:r w:rsidR="00033D0F">
        <w:t>export</w:t>
      </w:r>
      <w:r w:rsidR="00033D0F">
        <w:rPr>
          <w:spacing w:val="-7"/>
        </w:rPr>
        <w:t xml:space="preserve"> </w:t>
      </w:r>
      <w:r w:rsidR="00033D0F">
        <w:t>price</w:t>
      </w:r>
      <w:r w:rsidR="00033D0F">
        <w:rPr>
          <w:spacing w:val="-2"/>
        </w:rPr>
        <w:t xml:space="preserve"> </w:t>
      </w:r>
      <w:r w:rsidR="00033D0F">
        <w:t>relate</w:t>
      </w:r>
      <w:r w:rsidR="00033D0F">
        <w:rPr>
          <w:spacing w:val="-7"/>
        </w:rPr>
        <w:t xml:space="preserve"> </w:t>
      </w:r>
      <w:r w:rsidR="00033D0F">
        <w:t>to</w:t>
      </w:r>
      <w:r w:rsidR="00033D0F">
        <w:rPr>
          <w:spacing w:val="-10"/>
        </w:rPr>
        <w:t xml:space="preserve"> </w:t>
      </w:r>
      <w:r w:rsidR="00033D0F">
        <w:t>its</w:t>
      </w:r>
      <w:r w:rsidR="00033D0F">
        <w:rPr>
          <w:spacing w:val="-6"/>
        </w:rPr>
        <w:t xml:space="preserve"> </w:t>
      </w:r>
      <w:r w:rsidR="00033D0F">
        <w:t>failure to make a proper fair comparison, as discussed below.</w:t>
      </w:r>
    </w:p>
    <w:p w14:paraId="7DCDAC19" w14:textId="77777777" w:rsidR="00BD462C" w:rsidRDefault="00BD462C">
      <w:pPr>
        <w:pStyle w:val="BodyText"/>
        <w:rPr>
          <w:sz w:val="20"/>
        </w:rPr>
      </w:pPr>
    </w:p>
    <w:p w14:paraId="56503FC7" w14:textId="3A04A702" w:rsidR="00BD462C" w:rsidRDefault="007E218F">
      <w:pPr>
        <w:pStyle w:val="BodyText"/>
        <w:rPr>
          <w:sz w:val="20"/>
        </w:rPr>
      </w:pPr>
      <w:r>
        <w:rPr>
          <w:noProof/>
        </w:rPr>
        <mc:AlternateContent>
          <mc:Choice Requires="wps">
            <w:drawing>
              <wp:anchor distT="0" distB="0" distL="0" distR="0" simplePos="0" relativeHeight="488192512" behindDoc="1" locked="0" layoutInCell="1" allowOverlap="1" wp14:anchorId="6D565AE4" wp14:editId="5F87C653">
                <wp:simplePos x="0" y="0"/>
                <wp:positionH relativeFrom="page">
                  <wp:posOffset>812800</wp:posOffset>
                </wp:positionH>
                <wp:positionV relativeFrom="paragraph">
                  <wp:posOffset>379095</wp:posOffset>
                </wp:positionV>
                <wp:extent cx="1828800" cy="8890"/>
                <wp:effectExtent l="0" t="0" r="0" b="0"/>
                <wp:wrapTopAndBottom/>
                <wp:docPr id="169" name="docshape6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E735E6" id="docshape664" o:spid="_x0000_s1026" alt="&quot;&quot;" style="position:absolute;margin-left:64pt;margin-top:29.85pt;width:2in;height:.7pt;z-index:-1512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" fillcolor="black" stroked="f">
                <w10:wrap type="topAndBottom" anchorx="page"/>
              </v:rect>
            </w:pict>
          </mc:Fallback>
        </mc:AlternateContent>
      </w:r>
    </w:p>
    <w:p w14:paraId="5FABA981" w14:textId="3158E2E1" w:rsidR="00BD462C" w:rsidRDefault="00BD462C">
      <w:pPr>
        <w:pStyle w:val="BodyText"/>
        <w:spacing w:before="7"/>
        <w:rPr>
          <w:sz w:val="28"/>
        </w:rPr>
      </w:pPr>
    </w:p>
    <w:p w14:paraId="5792AF80" w14:textId="77777777" w:rsidR="00BD462C" w:rsidRDefault="00033D0F">
      <w:pPr>
        <w:spacing w:before="112"/>
        <w:ind w:left="135" w:right="5533"/>
        <w:jc w:val="both"/>
        <w:rPr>
          <w:sz w:val="18"/>
        </w:rPr>
      </w:pPr>
      <w:bookmarkStart w:id="1360" w:name="_bookmark1172"/>
      <w:bookmarkEnd w:id="1360"/>
      <w:r>
        <w:rPr>
          <w:position w:val="5"/>
          <w:sz w:val="12"/>
        </w:rPr>
        <w:t>1009</w:t>
      </w:r>
      <w:r>
        <w:rPr>
          <w:spacing w:val="15"/>
          <w:position w:val="5"/>
          <w:sz w:val="12"/>
        </w:rPr>
        <w:t xml:space="preserve"> </w:t>
      </w:r>
      <w:r>
        <w:rPr>
          <w:sz w:val="18"/>
        </w:rPr>
        <w:t>Panel</w:t>
      </w:r>
      <w:r>
        <w:rPr>
          <w:spacing w:val="-2"/>
          <w:sz w:val="18"/>
        </w:rPr>
        <w:t xml:space="preserve"> </w:t>
      </w:r>
      <w:r>
        <w:rPr>
          <w:sz w:val="18"/>
        </w:rPr>
        <w:t>Report,</w:t>
      </w:r>
      <w:r>
        <w:rPr>
          <w:spacing w:val="-6"/>
          <w:sz w:val="18"/>
        </w:rPr>
        <w:t xml:space="preserve"> </w:t>
      </w:r>
      <w:r>
        <w:rPr>
          <w:i/>
          <w:sz w:val="18"/>
        </w:rPr>
        <w:t>Mexico</w:t>
      </w:r>
      <w:r>
        <w:rPr>
          <w:i/>
          <w:spacing w:val="-1"/>
          <w:sz w:val="18"/>
        </w:rPr>
        <w:t xml:space="preserve"> </w:t>
      </w:r>
      <w:r>
        <w:rPr>
          <w:i/>
          <w:sz w:val="18"/>
        </w:rPr>
        <w:t>–</w:t>
      </w:r>
      <w:r>
        <w:rPr>
          <w:i/>
          <w:spacing w:val="-3"/>
          <w:sz w:val="18"/>
        </w:rPr>
        <w:t xml:space="preserve"> </w:t>
      </w:r>
      <w:r>
        <w:rPr>
          <w:i/>
          <w:sz w:val="18"/>
        </w:rPr>
        <w:t>Steel</w:t>
      </w:r>
      <w:r>
        <w:rPr>
          <w:i/>
          <w:spacing w:val="-2"/>
          <w:sz w:val="18"/>
        </w:rPr>
        <w:t xml:space="preserve"> </w:t>
      </w:r>
      <w:r>
        <w:rPr>
          <w:i/>
          <w:sz w:val="18"/>
        </w:rPr>
        <w:t>Pipes</w:t>
      </w:r>
      <w:r>
        <w:rPr>
          <w:i/>
          <w:spacing w:val="-7"/>
          <w:sz w:val="18"/>
        </w:rPr>
        <w:t xml:space="preserve"> </w:t>
      </w:r>
      <w:r>
        <w:rPr>
          <w:i/>
          <w:sz w:val="18"/>
        </w:rPr>
        <w:t>and</w:t>
      </w:r>
      <w:r>
        <w:rPr>
          <w:i/>
          <w:spacing w:val="-2"/>
          <w:sz w:val="18"/>
        </w:rPr>
        <w:t xml:space="preserve"> </w:t>
      </w:r>
      <w:r>
        <w:rPr>
          <w:i/>
          <w:sz w:val="18"/>
        </w:rPr>
        <w:t>Tubes,</w:t>
      </w:r>
      <w:r>
        <w:rPr>
          <w:i/>
          <w:spacing w:val="-1"/>
          <w:sz w:val="18"/>
        </w:rPr>
        <w:t xml:space="preserve"> </w:t>
      </w:r>
      <w:r>
        <w:rPr>
          <w:sz w:val="18"/>
        </w:rPr>
        <w:t>para.</w:t>
      </w:r>
      <w:r>
        <w:rPr>
          <w:spacing w:val="-2"/>
          <w:sz w:val="18"/>
        </w:rPr>
        <w:t xml:space="preserve"> </w:t>
      </w:r>
      <w:r>
        <w:rPr>
          <w:sz w:val="18"/>
        </w:rPr>
        <w:t xml:space="preserve">7.34. </w:t>
      </w:r>
      <w:bookmarkStart w:id="1361" w:name="_bookmark1173"/>
      <w:bookmarkEnd w:id="1361"/>
      <w:r>
        <w:rPr>
          <w:position w:val="5"/>
          <w:sz w:val="12"/>
        </w:rPr>
        <w:t>1010</w:t>
      </w:r>
      <w:r>
        <w:rPr>
          <w:spacing w:val="15"/>
          <w:position w:val="5"/>
          <w:sz w:val="12"/>
        </w:rPr>
        <w:t xml:space="preserve"> </w:t>
      </w:r>
      <w:r>
        <w:rPr>
          <w:sz w:val="18"/>
        </w:rPr>
        <w:t>Panel</w:t>
      </w:r>
      <w:r>
        <w:rPr>
          <w:spacing w:val="-2"/>
          <w:sz w:val="18"/>
        </w:rPr>
        <w:t xml:space="preserve"> </w:t>
      </w:r>
      <w:r>
        <w:rPr>
          <w:sz w:val="18"/>
        </w:rPr>
        <w:t>Report,</w:t>
      </w:r>
      <w:r>
        <w:rPr>
          <w:spacing w:val="-6"/>
          <w:sz w:val="18"/>
        </w:rPr>
        <w:t xml:space="preserve"> </w:t>
      </w:r>
      <w:r>
        <w:rPr>
          <w:i/>
          <w:sz w:val="18"/>
        </w:rPr>
        <w:t>Mexico</w:t>
      </w:r>
      <w:r>
        <w:rPr>
          <w:i/>
          <w:spacing w:val="-1"/>
          <w:sz w:val="18"/>
        </w:rPr>
        <w:t xml:space="preserve"> </w:t>
      </w:r>
      <w:r>
        <w:rPr>
          <w:i/>
          <w:sz w:val="18"/>
        </w:rPr>
        <w:t>–</w:t>
      </w:r>
      <w:r>
        <w:rPr>
          <w:i/>
          <w:spacing w:val="-3"/>
          <w:sz w:val="18"/>
        </w:rPr>
        <w:t xml:space="preserve"> </w:t>
      </w:r>
      <w:r>
        <w:rPr>
          <w:i/>
          <w:sz w:val="18"/>
        </w:rPr>
        <w:t>Steel</w:t>
      </w:r>
      <w:r>
        <w:rPr>
          <w:i/>
          <w:spacing w:val="-2"/>
          <w:sz w:val="18"/>
        </w:rPr>
        <w:t xml:space="preserve"> </w:t>
      </w:r>
      <w:r>
        <w:rPr>
          <w:i/>
          <w:sz w:val="18"/>
        </w:rPr>
        <w:t>Pipes</w:t>
      </w:r>
      <w:r>
        <w:rPr>
          <w:i/>
          <w:spacing w:val="-7"/>
          <w:sz w:val="18"/>
        </w:rPr>
        <w:t xml:space="preserve"> </w:t>
      </w:r>
      <w:r>
        <w:rPr>
          <w:i/>
          <w:sz w:val="18"/>
        </w:rPr>
        <w:t>and</w:t>
      </w:r>
      <w:r>
        <w:rPr>
          <w:i/>
          <w:spacing w:val="-2"/>
          <w:sz w:val="18"/>
        </w:rPr>
        <w:t xml:space="preserve"> </w:t>
      </w:r>
      <w:r>
        <w:rPr>
          <w:i/>
          <w:sz w:val="18"/>
        </w:rPr>
        <w:t>Tubes,</w:t>
      </w:r>
      <w:r>
        <w:rPr>
          <w:i/>
          <w:spacing w:val="-1"/>
          <w:sz w:val="18"/>
        </w:rPr>
        <w:t xml:space="preserve"> </w:t>
      </w:r>
      <w:r>
        <w:rPr>
          <w:sz w:val="18"/>
        </w:rPr>
        <w:t>para.</w:t>
      </w:r>
      <w:r>
        <w:rPr>
          <w:spacing w:val="-2"/>
          <w:sz w:val="18"/>
        </w:rPr>
        <w:t xml:space="preserve"> </w:t>
      </w:r>
      <w:r>
        <w:rPr>
          <w:sz w:val="18"/>
        </w:rPr>
        <w:t xml:space="preserve">7.36. </w:t>
      </w:r>
      <w:bookmarkStart w:id="1362" w:name="_bookmark1174"/>
      <w:bookmarkEnd w:id="1362"/>
      <w:r>
        <w:rPr>
          <w:position w:val="5"/>
          <w:sz w:val="12"/>
        </w:rPr>
        <w:t>1011</w:t>
      </w:r>
      <w:r>
        <w:rPr>
          <w:spacing w:val="15"/>
          <w:position w:val="5"/>
          <w:sz w:val="12"/>
        </w:rPr>
        <w:t xml:space="preserve"> </w:t>
      </w:r>
      <w:r>
        <w:rPr>
          <w:sz w:val="18"/>
        </w:rPr>
        <w:t>China's</w:t>
      </w:r>
      <w:r>
        <w:rPr>
          <w:spacing w:val="-4"/>
          <w:sz w:val="18"/>
        </w:rPr>
        <w:t xml:space="preserve"> </w:t>
      </w:r>
      <w:r>
        <w:rPr>
          <w:sz w:val="18"/>
        </w:rPr>
        <w:t>first</w:t>
      </w:r>
      <w:r>
        <w:rPr>
          <w:spacing w:val="-3"/>
          <w:sz w:val="18"/>
        </w:rPr>
        <w:t xml:space="preserve"> </w:t>
      </w:r>
      <w:r>
        <w:rPr>
          <w:sz w:val="18"/>
        </w:rPr>
        <w:t>written</w:t>
      </w:r>
      <w:r>
        <w:rPr>
          <w:spacing w:val="-5"/>
          <w:sz w:val="18"/>
        </w:rPr>
        <w:t xml:space="preserve"> </w:t>
      </w:r>
      <w:r>
        <w:rPr>
          <w:sz w:val="18"/>
        </w:rPr>
        <w:t>submission, paras.</w:t>
      </w:r>
      <w:r>
        <w:rPr>
          <w:spacing w:val="-3"/>
          <w:sz w:val="18"/>
        </w:rPr>
        <w:t xml:space="preserve"> </w:t>
      </w:r>
      <w:r>
        <w:rPr>
          <w:sz w:val="18"/>
        </w:rPr>
        <w:t xml:space="preserve">2090-2092, 2095. </w:t>
      </w:r>
      <w:bookmarkStart w:id="1363" w:name="_bookmark1175"/>
      <w:bookmarkEnd w:id="1363"/>
      <w:r>
        <w:rPr>
          <w:position w:val="5"/>
          <w:sz w:val="12"/>
        </w:rPr>
        <w:t>1012</w:t>
      </w:r>
      <w:r>
        <w:rPr>
          <w:spacing w:val="40"/>
          <w:position w:val="5"/>
          <w:sz w:val="12"/>
        </w:rPr>
        <w:t xml:space="preserve"> </w:t>
      </w:r>
      <w:r>
        <w:rPr>
          <w:sz w:val="18"/>
        </w:rPr>
        <w:t>Australia's first written submission, para. 783.</w:t>
      </w:r>
    </w:p>
    <w:p w14:paraId="3163A215" w14:textId="77777777" w:rsidR="00BD462C" w:rsidRDefault="00033D0F">
      <w:pPr>
        <w:ind w:left="135" w:right="5951"/>
        <w:jc w:val="both"/>
        <w:rPr>
          <w:sz w:val="18"/>
        </w:rPr>
      </w:pPr>
      <w:bookmarkStart w:id="1364" w:name="_bookmark1176"/>
      <w:bookmarkEnd w:id="1364"/>
      <w:r>
        <w:rPr>
          <w:position w:val="5"/>
          <w:sz w:val="12"/>
        </w:rPr>
        <w:t>1013</w:t>
      </w:r>
      <w:r>
        <w:rPr>
          <w:spacing w:val="11"/>
          <w:position w:val="5"/>
          <w:sz w:val="12"/>
        </w:rPr>
        <w:t xml:space="preserve"> </w:t>
      </w:r>
      <w:r>
        <w:rPr>
          <w:sz w:val="18"/>
        </w:rPr>
        <w:t>Australia's</w:t>
      </w:r>
      <w:r>
        <w:rPr>
          <w:spacing w:val="-7"/>
          <w:sz w:val="18"/>
        </w:rPr>
        <w:t xml:space="preserve"> </w:t>
      </w:r>
      <w:r>
        <w:rPr>
          <w:sz w:val="18"/>
        </w:rPr>
        <w:t>first</w:t>
      </w:r>
      <w:r>
        <w:rPr>
          <w:spacing w:val="-6"/>
          <w:sz w:val="18"/>
        </w:rPr>
        <w:t xml:space="preserve"> </w:t>
      </w:r>
      <w:r>
        <w:rPr>
          <w:sz w:val="18"/>
        </w:rPr>
        <w:t>written</w:t>
      </w:r>
      <w:r>
        <w:rPr>
          <w:spacing w:val="-3"/>
          <w:sz w:val="18"/>
        </w:rPr>
        <w:t xml:space="preserve"> </w:t>
      </w:r>
      <w:r>
        <w:rPr>
          <w:sz w:val="18"/>
        </w:rPr>
        <w:t>submission,</w:t>
      </w:r>
      <w:r>
        <w:rPr>
          <w:spacing w:val="-1"/>
          <w:sz w:val="18"/>
        </w:rPr>
        <w:t xml:space="preserve"> </w:t>
      </w:r>
      <w:r>
        <w:rPr>
          <w:sz w:val="18"/>
        </w:rPr>
        <w:t>paras.</w:t>
      </w:r>
      <w:r>
        <w:rPr>
          <w:spacing w:val="-6"/>
          <w:sz w:val="18"/>
        </w:rPr>
        <w:t xml:space="preserve"> </w:t>
      </w:r>
      <w:r>
        <w:rPr>
          <w:sz w:val="18"/>
        </w:rPr>
        <w:t xml:space="preserve">790-797. </w:t>
      </w:r>
      <w:bookmarkStart w:id="1365" w:name="_bookmark1177"/>
      <w:bookmarkEnd w:id="1365"/>
      <w:r>
        <w:rPr>
          <w:position w:val="5"/>
          <w:sz w:val="12"/>
        </w:rPr>
        <w:t>1014</w:t>
      </w:r>
      <w:r>
        <w:rPr>
          <w:spacing w:val="22"/>
          <w:position w:val="5"/>
          <w:sz w:val="12"/>
        </w:rPr>
        <w:t xml:space="preserve"> </w:t>
      </w:r>
      <w:r>
        <w:rPr>
          <w:sz w:val="18"/>
        </w:rPr>
        <w:t xml:space="preserve">China's first written submission, paras. 2107-2108. </w:t>
      </w:r>
      <w:bookmarkStart w:id="1366" w:name="_bookmark1178"/>
      <w:bookmarkEnd w:id="1366"/>
      <w:r>
        <w:rPr>
          <w:position w:val="5"/>
          <w:sz w:val="12"/>
        </w:rPr>
        <w:t>1015</w:t>
      </w:r>
      <w:r>
        <w:rPr>
          <w:spacing w:val="40"/>
          <w:position w:val="5"/>
          <w:sz w:val="12"/>
        </w:rPr>
        <w:t xml:space="preserve"> </w:t>
      </w:r>
      <w:r>
        <w:rPr>
          <w:sz w:val="18"/>
        </w:rPr>
        <w:t>Australia's first written submission, para. 790.</w:t>
      </w:r>
    </w:p>
    <w:p w14:paraId="564DDEA3" w14:textId="77777777" w:rsidR="00BD462C" w:rsidRDefault="00BD462C">
      <w:pPr>
        <w:jc w:val="both"/>
        <w:rPr>
          <w:sz w:val="18"/>
        </w:rPr>
        <w:sectPr w:rsidR="00BD462C">
          <w:pgSz w:w="11910" w:h="16840"/>
          <w:pgMar w:top="860" w:right="500" w:bottom="780" w:left="1280" w:header="566" w:footer="590" w:gutter="0"/>
          <w:cols w:space="720"/>
        </w:sectPr>
      </w:pPr>
    </w:p>
    <w:p w14:paraId="0462F959"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64046E8C"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1911D8F0"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5CBC2E20" w14:textId="77777777" w:rsidR="00BD462C" w:rsidRDefault="00033D0F">
      <w:pPr>
        <w:pStyle w:val="ListParagraph"/>
        <w:numPr>
          <w:ilvl w:val="1"/>
          <w:numId w:val="31"/>
        </w:numPr>
        <w:tabs>
          <w:tab w:val="left" w:pos="3539"/>
          <w:tab w:val="left" w:pos="3540"/>
        </w:tabs>
        <w:spacing w:before="102"/>
        <w:ind w:hanging="851"/>
        <w:rPr>
          <w:sz w:val="24"/>
        </w:rPr>
      </w:pPr>
      <w:r>
        <w:rPr>
          <w:sz w:val="24"/>
          <w:u w:val="single"/>
        </w:rPr>
        <w:t>Fair</w:t>
      </w:r>
      <w:r>
        <w:rPr>
          <w:spacing w:val="-2"/>
          <w:sz w:val="24"/>
          <w:u w:val="single"/>
        </w:rPr>
        <w:t xml:space="preserve"> comparison</w:t>
      </w:r>
    </w:p>
    <w:p w14:paraId="3A4271A5" w14:textId="77777777" w:rsidR="00BD462C" w:rsidRDefault="00BD462C">
      <w:pPr>
        <w:pStyle w:val="BodyText"/>
        <w:spacing w:before="7"/>
        <w:rPr>
          <w:sz w:val="20"/>
        </w:rPr>
      </w:pPr>
    </w:p>
    <w:p w14:paraId="220E8FA0" w14:textId="1F78C2B7" w:rsidR="00BD462C" w:rsidRDefault="00685377">
      <w:pPr>
        <w:pStyle w:val="BodyText"/>
        <w:spacing w:before="56" w:line="360" w:lineRule="auto"/>
        <w:ind w:left="135" w:right="914"/>
        <w:jc w:val="both"/>
      </w:pPr>
      <w:r>
        <w:rPr>
          <w:noProof/>
        </w:rPr>
        <w:t>643.</w:t>
      </w:r>
      <w:r w:rsidR="00033D0F">
        <w:rPr>
          <w:rFonts w:ascii="Times New Roman"/>
          <w:spacing w:val="80"/>
          <w:position w:val="1"/>
          <w:sz w:val="20"/>
        </w:rPr>
        <w:t xml:space="preserve">  </w:t>
      </w:r>
      <w:r w:rsidR="00033D0F">
        <w:rPr>
          <w:position w:val="1"/>
        </w:rPr>
        <w:t xml:space="preserve">Australia argues that CADA failed to </w:t>
      </w:r>
      <w:proofErr w:type="gramStart"/>
      <w:r w:rsidR="00033D0F">
        <w:rPr>
          <w:position w:val="1"/>
        </w:rPr>
        <w:t>make due</w:t>
      </w:r>
      <w:proofErr w:type="gramEnd"/>
      <w:r w:rsidR="00033D0F">
        <w:rPr>
          <w:position w:val="1"/>
        </w:rPr>
        <w:t xml:space="preserve"> allowance for factors affecting price </w:t>
      </w:r>
      <w:r w:rsidR="00033D0F">
        <w:t>comparability</w:t>
      </w:r>
      <w:r w:rsidR="00033D0F">
        <w:rPr>
          <w:spacing w:val="-10"/>
        </w:rPr>
        <w:t xml:space="preserve"> </w:t>
      </w:r>
      <w:r w:rsidR="00033D0F">
        <w:t>so</w:t>
      </w:r>
      <w:r w:rsidR="00033D0F">
        <w:rPr>
          <w:spacing w:val="-13"/>
        </w:rPr>
        <w:t xml:space="preserve"> </w:t>
      </w:r>
      <w:r w:rsidR="00033D0F">
        <w:t>as</w:t>
      </w:r>
      <w:r w:rsidR="00033D0F">
        <w:rPr>
          <w:spacing w:val="-9"/>
        </w:rPr>
        <w:t xml:space="preserve"> </w:t>
      </w:r>
      <w:r w:rsidR="00033D0F">
        <w:t>to</w:t>
      </w:r>
      <w:r w:rsidR="00033D0F">
        <w:rPr>
          <w:spacing w:val="-13"/>
        </w:rPr>
        <w:t xml:space="preserve"> </w:t>
      </w:r>
      <w:r w:rsidR="00033D0F">
        <w:t>ensure</w:t>
      </w:r>
      <w:r w:rsidR="00033D0F">
        <w:rPr>
          <w:spacing w:val="-11"/>
        </w:rPr>
        <w:t xml:space="preserve"> </w:t>
      </w:r>
      <w:r w:rsidR="00033D0F">
        <w:t>a</w:t>
      </w:r>
      <w:r w:rsidR="00033D0F">
        <w:rPr>
          <w:spacing w:val="-7"/>
        </w:rPr>
        <w:t xml:space="preserve"> </w:t>
      </w:r>
      <w:r w:rsidR="00033D0F">
        <w:t>fair</w:t>
      </w:r>
      <w:r w:rsidR="00033D0F">
        <w:rPr>
          <w:spacing w:val="-9"/>
        </w:rPr>
        <w:t xml:space="preserve"> </w:t>
      </w:r>
      <w:r w:rsidR="00033D0F">
        <w:t>comparison</w:t>
      </w:r>
      <w:r w:rsidR="00033D0F">
        <w:rPr>
          <w:spacing w:val="-13"/>
        </w:rPr>
        <w:t xml:space="preserve"> </w:t>
      </w:r>
      <w:r w:rsidR="00033D0F">
        <w:t>between</w:t>
      </w:r>
      <w:r w:rsidR="00033D0F">
        <w:rPr>
          <w:spacing w:val="-13"/>
        </w:rPr>
        <w:t xml:space="preserve"> </w:t>
      </w:r>
      <w:r w:rsidR="00033D0F">
        <w:t>normal</w:t>
      </w:r>
      <w:r w:rsidR="00033D0F">
        <w:rPr>
          <w:spacing w:val="-9"/>
        </w:rPr>
        <w:t xml:space="preserve"> </w:t>
      </w:r>
      <w:r w:rsidR="00033D0F">
        <w:t>value</w:t>
      </w:r>
      <w:r w:rsidR="00033D0F">
        <w:rPr>
          <w:spacing w:val="-11"/>
        </w:rPr>
        <w:t xml:space="preserve"> </w:t>
      </w:r>
      <w:r w:rsidR="00033D0F">
        <w:t>and</w:t>
      </w:r>
      <w:r w:rsidR="00033D0F">
        <w:rPr>
          <w:spacing w:val="-13"/>
        </w:rPr>
        <w:t xml:space="preserve"> </w:t>
      </w:r>
      <w:r w:rsidR="00033D0F">
        <w:t>export</w:t>
      </w:r>
      <w:r w:rsidR="00033D0F">
        <w:rPr>
          <w:spacing w:val="-10"/>
        </w:rPr>
        <w:t xml:space="preserve"> </w:t>
      </w:r>
      <w:r w:rsidR="00033D0F">
        <w:t>price.</w:t>
      </w:r>
      <w:r w:rsidR="00033D0F">
        <w:rPr>
          <w:spacing w:val="-10"/>
        </w:rPr>
        <w:t xml:space="preserve"> </w:t>
      </w:r>
      <w:r w:rsidR="00033D0F">
        <w:t xml:space="preserve">China offers unsubstantiated </w:t>
      </w:r>
      <w:r w:rsidR="00033D0F">
        <w:rPr>
          <w:i/>
        </w:rPr>
        <w:t xml:space="preserve">ex post facto </w:t>
      </w:r>
      <w:r w:rsidR="00033D0F">
        <w:t>assertions of the hypothetical impact that adjustments would have made to normal value and export price.</w:t>
      </w:r>
      <w:hyperlink w:anchor="_bookmark1180" w:history="1">
        <w:r w:rsidR="00033D0F">
          <w:rPr>
            <w:vertAlign w:val="superscript"/>
          </w:rPr>
          <w:t>1016</w:t>
        </w:r>
      </w:hyperlink>
      <w:r w:rsidR="00033D0F">
        <w:t xml:space="preserve"> These explanations do not indicate the actions of an unbiased and objective investigating authority.</w:t>
      </w:r>
    </w:p>
    <w:p w14:paraId="23A8A7F2" w14:textId="77777777" w:rsidR="00BD462C" w:rsidRDefault="00BD462C">
      <w:pPr>
        <w:pStyle w:val="BodyText"/>
        <w:spacing w:before="10"/>
        <w:rPr>
          <w:sz w:val="8"/>
        </w:rPr>
      </w:pPr>
    </w:p>
    <w:p w14:paraId="183FB8F2" w14:textId="36BE8C0D" w:rsidR="00BD462C" w:rsidRDefault="00766622">
      <w:pPr>
        <w:pStyle w:val="BodyText"/>
        <w:spacing w:before="57" w:line="357" w:lineRule="auto"/>
        <w:ind w:left="135" w:right="913"/>
        <w:jc w:val="both"/>
      </w:pPr>
      <w:r>
        <w:rPr>
          <w:noProof/>
        </w:rPr>
        <w:t>644.</w:t>
      </w:r>
      <w:r w:rsidR="00033D0F">
        <w:rPr>
          <w:rFonts w:ascii="Times New Roman"/>
          <w:spacing w:val="40"/>
          <w:position w:val="1"/>
          <w:sz w:val="20"/>
        </w:rPr>
        <w:t xml:space="preserve">  </w:t>
      </w:r>
      <w:r w:rsidR="00033D0F">
        <w:rPr>
          <w:position w:val="1"/>
        </w:rPr>
        <w:t xml:space="preserve">Australia maintains that MOFCOM should have made further enquiries to CADA to </w:t>
      </w:r>
      <w:r w:rsidR="00033D0F">
        <w:t>understand why CADA found normal value to be "representative and comparable",</w:t>
      </w:r>
      <w:hyperlink w:anchor="_bookmark1181" w:history="1">
        <w:r w:rsidR="00033D0F">
          <w:rPr>
            <w:vertAlign w:val="superscript"/>
          </w:rPr>
          <w:t>1017</w:t>
        </w:r>
      </w:hyperlink>
      <w:r w:rsidR="00033D0F">
        <w:t xml:space="preserve"> notwithstanding</w:t>
      </w:r>
      <w:r w:rsidR="00033D0F">
        <w:rPr>
          <w:spacing w:val="-1"/>
        </w:rPr>
        <w:t xml:space="preserve"> </w:t>
      </w:r>
      <w:r w:rsidR="00033D0F">
        <w:t>the</w:t>
      </w:r>
      <w:r w:rsidR="00033D0F">
        <w:rPr>
          <w:spacing w:val="-3"/>
        </w:rPr>
        <w:t xml:space="preserve"> </w:t>
      </w:r>
      <w:r w:rsidR="00033D0F">
        <w:t>reasons</w:t>
      </w:r>
      <w:r w:rsidR="00033D0F">
        <w:rPr>
          <w:spacing w:val="-1"/>
        </w:rPr>
        <w:t xml:space="preserve"> </w:t>
      </w:r>
      <w:r w:rsidR="00033D0F">
        <w:t>discussed</w:t>
      </w:r>
      <w:r w:rsidR="00033D0F">
        <w:rPr>
          <w:spacing w:val="-4"/>
        </w:rPr>
        <w:t xml:space="preserve"> </w:t>
      </w:r>
      <w:r w:rsidR="00033D0F">
        <w:t>above</w:t>
      </w:r>
      <w:r w:rsidR="00033D0F">
        <w:rPr>
          <w:spacing w:val="-2"/>
        </w:rPr>
        <w:t xml:space="preserve"> </w:t>
      </w:r>
      <w:r w:rsidR="00033D0F">
        <w:t>and</w:t>
      </w:r>
      <w:r w:rsidR="00033D0F">
        <w:rPr>
          <w:spacing w:val="-4"/>
        </w:rPr>
        <w:t xml:space="preserve"> </w:t>
      </w:r>
      <w:r w:rsidR="00033D0F">
        <w:t>previous</w:t>
      </w:r>
      <w:r w:rsidR="00033D0F">
        <w:rPr>
          <w:spacing w:val="-1"/>
        </w:rPr>
        <w:t xml:space="preserve"> </w:t>
      </w:r>
      <w:r w:rsidR="00033D0F">
        <w:t>submissions</w:t>
      </w:r>
      <w:r w:rsidR="00033D0F">
        <w:rPr>
          <w:spacing w:val="-1"/>
        </w:rPr>
        <w:t xml:space="preserve"> </w:t>
      </w:r>
      <w:r w:rsidR="00033D0F">
        <w:t>made</w:t>
      </w:r>
      <w:r w:rsidR="00033D0F">
        <w:rPr>
          <w:spacing w:val="-3"/>
        </w:rPr>
        <w:t xml:space="preserve"> </w:t>
      </w:r>
      <w:r w:rsidR="00033D0F">
        <w:t>by</w:t>
      </w:r>
      <w:r w:rsidR="00033D0F">
        <w:rPr>
          <w:spacing w:val="-1"/>
        </w:rPr>
        <w:t xml:space="preserve"> </w:t>
      </w:r>
      <w:r w:rsidR="00033D0F">
        <w:t>Australia</w:t>
      </w:r>
      <w:r w:rsidR="00033D0F">
        <w:rPr>
          <w:spacing w:val="-3"/>
        </w:rPr>
        <w:t xml:space="preserve"> </w:t>
      </w:r>
      <w:r w:rsidR="00033D0F">
        <w:t xml:space="preserve">as to why it is, in fact, </w:t>
      </w:r>
      <w:r w:rsidR="00033D0F">
        <w:rPr>
          <w:i/>
        </w:rPr>
        <w:t xml:space="preserve">not </w:t>
      </w:r>
      <w:r w:rsidR="00033D0F">
        <w:t>representative nor comparable.</w:t>
      </w:r>
      <w:hyperlink w:anchor="_bookmark1182" w:history="1">
        <w:r w:rsidR="00033D0F">
          <w:rPr>
            <w:vertAlign w:val="superscript"/>
          </w:rPr>
          <w:t>1018</w:t>
        </w:r>
      </w:hyperlink>
      <w:r w:rsidR="00033D0F">
        <w:t xml:space="preserve"> The fact that CADA proposed </w:t>
      </w:r>
      <w:r w:rsidR="00033D0F">
        <w:rPr>
          <w:i/>
        </w:rPr>
        <w:t xml:space="preserve">no </w:t>
      </w:r>
      <w:r w:rsidR="00033D0F">
        <w:t>adjustments to normal value should have triggered further enquiries by MOFCOM as to whether this information was sufficiently accurate for the purposes of initiation.</w:t>
      </w:r>
    </w:p>
    <w:p w14:paraId="5FA6E112" w14:textId="77777777" w:rsidR="00BD462C" w:rsidRDefault="00BD462C">
      <w:pPr>
        <w:pStyle w:val="BodyText"/>
        <w:spacing w:before="8"/>
        <w:rPr>
          <w:sz w:val="9"/>
        </w:rPr>
      </w:pPr>
    </w:p>
    <w:p w14:paraId="2015627B" w14:textId="0754105F" w:rsidR="00BD462C" w:rsidRDefault="00766622">
      <w:pPr>
        <w:pStyle w:val="BodyText"/>
        <w:spacing w:before="56" w:line="360" w:lineRule="auto"/>
        <w:ind w:left="135" w:right="915"/>
        <w:jc w:val="both"/>
      </w:pPr>
      <w:r>
        <w:rPr>
          <w:noProof/>
        </w:rPr>
        <w:t>645.</w:t>
      </w:r>
      <w:r w:rsidR="00033D0F">
        <w:rPr>
          <w:rFonts w:ascii="Times New Roman"/>
          <w:spacing w:val="80"/>
          <w:position w:val="1"/>
          <w:sz w:val="20"/>
        </w:rPr>
        <w:t xml:space="preserve">  </w:t>
      </w:r>
      <w:r w:rsidR="00033D0F">
        <w:rPr>
          <w:position w:val="1"/>
        </w:rPr>
        <w:t>With</w:t>
      </w:r>
      <w:r w:rsidR="00033D0F">
        <w:rPr>
          <w:spacing w:val="-4"/>
          <w:position w:val="1"/>
        </w:rPr>
        <w:t xml:space="preserve"> </w:t>
      </w:r>
      <w:r w:rsidR="00033D0F">
        <w:rPr>
          <w:position w:val="1"/>
        </w:rPr>
        <w:t>respect</w:t>
      </w:r>
      <w:r w:rsidR="00033D0F">
        <w:rPr>
          <w:spacing w:val="-3"/>
          <w:position w:val="1"/>
        </w:rPr>
        <w:t xml:space="preserve"> </w:t>
      </w:r>
      <w:r w:rsidR="00033D0F">
        <w:rPr>
          <w:position w:val="1"/>
        </w:rPr>
        <w:t>to</w:t>
      </w:r>
      <w:r w:rsidR="00033D0F">
        <w:rPr>
          <w:spacing w:val="-5"/>
          <w:position w:val="1"/>
        </w:rPr>
        <w:t xml:space="preserve"> </w:t>
      </w:r>
      <w:r w:rsidR="00033D0F">
        <w:rPr>
          <w:position w:val="1"/>
        </w:rPr>
        <w:t>export</w:t>
      </w:r>
      <w:r w:rsidR="00033D0F">
        <w:rPr>
          <w:spacing w:val="-3"/>
          <w:position w:val="1"/>
        </w:rPr>
        <w:t xml:space="preserve"> </w:t>
      </w:r>
      <w:r w:rsidR="00033D0F">
        <w:rPr>
          <w:position w:val="1"/>
        </w:rPr>
        <w:t>price,</w:t>
      </w:r>
      <w:r w:rsidR="00033D0F">
        <w:rPr>
          <w:spacing w:val="-1"/>
          <w:position w:val="1"/>
        </w:rPr>
        <w:t xml:space="preserve"> </w:t>
      </w:r>
      <w:r w:rsidR="00033D0F">
        <w:rPr>
          <w:position w:val="1"/>
        </w:rPr>
        <w:t>Australia</w:t>
      </w:r>
      <w:r w:rsidR="00033D0F">
        <w:rPr>
          <w:spacing w:val="-3"/>
          <w:position w:val="1"/>
        </w:rPr>
        <w:t xml:space="preserve"> </w:t>
      </w:r>
      <w:r w:rsidR="00033D0F">
        <w:rPr>
          <w:position w:val="1"/>
        </w:rPr>
        <w:t>maintains</w:t>
      </w:r>
      <w:r w:rsidR="00033D0F">
        <w:rPr>
          <w:spacing w:val="-2"/>
          <w:position w:val="1"/>
        </w:rPr>
        <w:t xml:space="preserve"> </w:t>
      </w:r>
      <w:r w:rsidR="00033D0F">
        <w:rPr>
          <w:position w:val="1"/>
        </w:rPr>
        <w:t>that</w:t>
      </w:r>
      <w:r w:rsidR="00033D0F">
        <w:rPr>
          <w:spacing w:val="-3"/>
          <w:position w:val="1"/>
        </w:rPr>
        <w:t xml:space="preserve"> </w:t>
      </w:r>
      <w:r w:rsidR="00033D0F">
        <w:rPr>
          <w:position w:val="1"/>
        </w:rPr>
        <w:t>speculative</w:t>
      </w:r>
      <w:r w:rsidR="00033D0F">
        <w:rPr>
          <w:spacing w:val="-3"/>
          <w:position w:val="1"/>
        </w:rPr>
        <w:t xml:space="preserve"> </w:t>
      </w:r>
      <w:r w:rsidR="00033D0F">
        <w:rPr>
          <w:position w:val="1"/>
        </w:rPr>
        <w:t>adjustments</w:t>
      </w:r>
      <w:r w:rsidR="00033D0F">
        <w:rPr>
          <w:spacing w:val="-2"/>
          <w:position w:val="1"/>
        </w:rPr>
        <w:t xml:space="preserve"> </w:t>
      </w:r>
      <w:r w:rsidR="00033D0F">
        <w:rPr>
          <w:position w:val="1"/>
        </w:rPr>
        <w:t xml:space="preserve">CADA </w:t>
      </w:r>
      <w:r w:rsidR="00033D0F">
        <w:t>made</w:t>
      </w:r>
      <w:r w:rsidR="00033D0F">
        <w:rPr>
          <w:spacing w:val="-7"/>
        </w:rPr>
        <w:t xml:space="preserve"> </w:t>
      </w:r>
      <w:r w:rsidR="00033D0F">
        <w:t>for</w:t>
      </w:r>
      <w:r w:rsidR="00033D0F">
        <w:rPr>
          <w:spacing w:val="-6"/>
        </w:rPr>
        <w:t xml:space="preserve"> </w:t>
      </w:r>
      <w:r w:rsidR="00033D0F">
        <w:t>domestic</w:t>
      </w:r>
      <w:r w:rsidR="00033D0F">
        <w:rPr>
          <w:spacing w:val="-8"/>
        </w:rPr>
        <w:t xml:space="preserve"> </w:t>
      </w:r>
      <w:r w:rsidR="00033D0F">
        <w:t>links</w:t>
      </w:r>
      <w:r w:rsidR="00033D0F">
        <w:rPr>
          <w:spacing w:val="-6"/>
        </w:rPr>
        <w:t xml:space="preserve"> </w:t>
      </w:r>
      <w:r w:rsidR="00033D0F">
        <w:t>were</w:t>
      </w:r>
      <w:r w:rsidR="00033D0F">
        <w:rPr>
          <w:spacing w:val="-7"/>
        </w:rPr>
        <w:t xml:space="preserve"> </w:t>
      </w:r>
      <w:r w:rsidR="00033D0F">
        <w:t>inadequate.</w:t>
      </w:r>
      <w:hyperlink w:anchor="_bookmark1183" w:history="1">
        <w:r w:rsidR="00033D0F">
          <w:rPr>
            <w:vertAlign w:val="superscript"/>
          </w:rPr>
          <w:t>1019</w:t>
        </w:r>
      </w:hyperlink>
      <w:r w:rsidR="00033D0F">
        <w:rPr>
          <w:spacing w:val="-6"/>
        </w:rPr>
        <w:t xml:space="preserve"> </w:t>
      </w:r>
      <w:r w:rsidR="00033D0F">
        <w:t>Further,</w:t>
      </w:r>
      <w:r w:rsidR="00033D0F">
        <w:rPr>
          <w:spacing w:val="-6"/>
        </w:rPr>
        <w:t xml:space="preserve"> </w:t>
      </w:r>
      <w:r w:rsidR="00033D0F">
        <w:t>CADA</w:t>
      </w:r>
      <w:r w:rsidR="00033D0F">
        <w:rPr>
          <w:spacing w:val="-7"/>
        </w:rPr>
        <w:t xml:space="preserve"> </w:t>
      </w:r>
      <w:r w:rsidR="00033D0F">
        <w:t>failed</w:t>
      </w:r>
      <w:r w:rsidR="00033D0F">
        <w:rPr>
          <w:spacing w:val="-9"/>
        </w:rPr>
        <w:t xml:space="preserve"> </w:t>
      </w:r>
      <w:r w:rsidR="00033D0F">
        <w:t>to</w:t>
      </w:r>
      <w:r w:rsidR="00033D0F">
        <w:rPr>
          <w:spacing w:val="-10"/>
        </w:rPr>
        <w:t xml:space="preserve"> </w:t>
      </w:r>
      <w:r w:rsidR="00033D0F">
        <w:t>provide</w:t>
      </w:r>
      <w:r w:rsidR="00033D0F">
        <w:rPr>
          <w:spacing w:val="-7"/>
        </w:rPr>
        <w:t xml:space="preserve"> </w:t>
      </w:r>
      <w:r w:rsidR="00033D0F">
        <w:t>original</w:t>
      </w:r>
      <w:r w:rsidR="00033D0F">
        <w:rPr>
          <w:spacing w:val="-6"/>
        </w:rPr>
        <w:t xml:space="preserve"> </w:t>
      </w:r>
      <w:r w:rsidR="00033D0F">
        <w:t>sources in</w:t>
      </w:r>
      <w:r w:rsidR="00033D0F">
        <w:rPr>
          <w:spacing w:val="-9"/>
        </w:rPr>
        <w:t xml:space="preserve"> </w:t>
      </w:r>
      <w:r w:rsidR="00033D0F">
        <w:t>several</w:t>
      </w:r>
      <w:r w:rsidR="00033D0F">
        <w:rPr>
          <w:spacing w:val="-5"/>
        </w:rPr>
        <w:t xml:space="preserve"> </w:t>
      </w:r>
      <w:r w:rsidR="00033D0F">
        <w:t>annexes.</w:t>
      </w:r>
      <w:r w:rsidR="00033D0F">
        <w:rPr>
          <w:spacing w:val="-6"/>
        </w:rPr>
        <w:t xml:space="preserve"> </w:t>
      </w:r>
      <w:r w:rsidR="00033D0F">
        <w:t>It</w:t>
      </w:r>
      <w:r w:rsidR="00033D0F">
        <w:rPr>
          <w:spacing w:val="-7"/>
        </w:rPr>
        <w:t xml:space="preserve"> </w:t>
      </w:r>
      <w:r w:rsidR="00033D0F">
        <w:t>only</w:t>
      </w:r>
      <w:r w:rsidR="00033D0F">
        <w:rPr>
          <w:spacing w:val="-6"/>
        </w:rPr>
        <w:t xml:space="preserve"> </w:t>
      </w:r>
      <w:r w:rsidR="00033D0F">
        <w:t>provided</w:t>
      </w:r>
      <w:r w:rsidR="00033D0F">
        <w:rPr>
          <w:spacing w:val="-9"/>
        </w:rPr>
        <w:t xml:space="preserve"> </w:t>
      </w:r>
      <w:r w:rsidR="00033D0F">
        <w:t>unsubstantiated</w:t>
      </w:r>
      <w:r w:rsidR="00033D0F">
        <w:rPr>
          <w:spacing w:val="-9"/>
        </w:rPr>
        <w:t xml:space="preserve"> </w:t>
      </w:r>
      <w:r w:rsidR="00033D0F">
        <w:t>screenshots</w:t>
      </w:r>
      <w:r w:rsidR="00033D0F">
        <w:rPr>
          <w:spacing w:val="-6"/>
        </w:rPr>
        <w:t xml:space="preserve"> </w:t>
      </w:r>
      <w:r w:rsidR="00033D0F">
        <w:t>of</w:t>
      </w:r>
      <w:r w:rsidR="00033D0F">
        <w:rPr>
          <w:spacing w:val="-4"/>
        </w:rPr>
        <w:t xml:space="preserve"> </w:t>
      </w:r>
      <w:r w:rsidR="00033D0F">
        <w:t>information</w:t>
      </w:r>
      <w:r w:rsidR="00033D0F">
        <w:rPr>
          <w:spacing w:val="-9"/>
        </w:rPr>
        <w:t xml:space="preserve"> </w:t>
      </w:r>
      <w:r w:rsidR="00033D0F">
        <w:t>which</w:t>
      </w:r>
      <w:r w:rsidR="00033D0F">
        <w:rPr>
          <w:spacing w:val="-9"/>
        </w:rPr>
        <w:t xml:space="preserve"> </w:t>
      </w:r>
      <w:r w:rsidR="00033D0F">
        <w:t>should have prompted an unbiased and objective investigating authority to make further enquiries.</w:t>
      </w:r>
    </w:p>
    <w:p w14:paraId="6F6FD495" w14:textId="77777777" w:rsidR="00BD462C" w:rsidRDefault="00033D0F">
      <w:pPr>
        <w:pStyle w:val="Heading3"/>
        <w:numPr>
          <w:ilvl w:val="0"/>
          <w:numId w:val="31"/>
        </w:numPr>
        <w:tabs>
          <w:tab w:val="left" w:pos="2689"/>
          <w:tab w:val="left" w:pos="2690"/>
        </w:tabs>
        <w:spacing w:before="158" w:line="357" w:lineRule="auto"/>
        <w:ind w:right="918"/>
      </w:pPr>
      <w:bookmarkStart w:id="1367" w:name="3._CADA's_written_application_contained_"/>
      <w:bookmarkStart w:id="1368" w:name="_bookmark1179"/>
      <w:bookmarkEnd w:id="1367"/>
      <w:bookmarkEnd w:id="1368"/>
      <w:r>
        <w:t>CADA's written application contained insufficient evidence of injury and causation</w:t>
      </w:r>
    </w:p>
    <w:p w14:paraId="303B5868" w14:textId="77777777" w:rsidR="00BD462C" w:rsidRDefault="00BD462C">
      <w:pPr>
        <w:pStyle w:val="BodyText"/>
        <w:spacing w:before="2"/>
        <w:rPr>
          <w:b/>
          <w:sz w:val="9"/>
        </w:rPr>
      </w:pPr>
    </w:p>
    <w:p w14:paraId="6FBB666B" w14:textId="172EE2F9" w:rsidR="00BD462C" w:rsidRDefault="00766622">
      <w:pPr>
        <w:pStyle w:val="BodyText"/>
        <w:spacing w:before="56" w:line="357" w:lineRule="auto"/>
        <w:ind w:left="135" w:right="918"/>
        <w:jc w:val="both"/>
      </w:pPr>
      <w:r>
        <w:rPr>
          <w:noProof/>
        </w:rPr>
        <w:t>646.</w:t>
      </w:r>
      <w:r w:rsidR="00033D0F">
        <w:rPr>
          <w:rFonts w:ascii="Times New Roman"/>
          <w:spacing w:val="80"/>
          <w:position w:val="1"/>
          <w:sz w:val="20"/>
        </w:rPr>
        <w:t xml:space="preserve"> </w:t>
      </w:r>
      <w:r w:rsidR="00033D0F">
        <w:rPr>
          <w:position w:val="1"/>
        </w:rPr>
        <w:t xml:space="preserve">Australia clarifies that paragraph 804 of its first written submission should be </w:t>
      </w:r>
      <w:r w:rsidR="00033D0F">
        <w:t>understood</w:t>
      </w:r>
      <w:r w:rsidR="00033D0F">
        <w:rPr>
          <w:spacing w:val="-11"/>
        </w:rPr>
        <w:t xml:space="preserve"> </w:t>
      </w:r>
      <w:r w:rsidR="00033D0F">
        <w:t>to</w:t>
      </w:r>
      <w:r w:rsidR="00033D0F">
        <w:rPr>
          <w:spacing w:val="-11"/>
        </w:rPr>
        <w:t xml:space="preserve"> </w:t>
      </w:r>
      <w:r w:rsidR="00033D0F">
        <w:t>read</w:t>
      </w:r>
      <w:r w:rsidR="00033D0F">
        <w:rPr>
          <w:spacing w:val="-10"/>
        </w:rPr>
        <w:t xml:space="preserve"> </w:t>
      </w:r>
      <w:r w:rsidR="00033D0F">
        <w:t>that</w:t>
      </w:r>
      <w:r w:rsidR="00033D0F">
        <w:rPr>
          <w:spacing w:val="-8"/>
        </w:rPr>
        <w:t xml:space="preserve"> </w:t>
      </w:r>
      <w:r w:rsidR="00033D0F">
        <w:t>Article</w:t>
      </w:r>
      <w:r w:rsidR="00033D0F">
        <w:rPr>
          <w:spacing w:val="-13"/>
        </w:rPr>
        <w:t xml:space="preserve"> </w:t>
      </w:r>
      <w:r w:rsidR="00033D0F">
        <w:t>5.2(iv)</w:t>
      </w:r>
      <w:r w:rsidR="00033D0F">
        <w:rPr>
          <w:spacing w:val="-14"/>
        </w:rPr>
        <w:t xml:space="preserve"> </w:t>
      </w:r>
      <w:r w:rsidR="00033D0F">
        <w:t>of</w:t>
      </w:r>
      <w:r w:rsidR="00033D0F">
        <w:rPr>
          <w:spacing w:val="-10"/>
        </w:rPr>
        <w:t xml:space="preserve"> </w:t>
      </w:r>
      <w:r w:rsidR="00033D0F">
        <w:t>the</w:t>
      </w:r>
      <w:r w:rsidR="00033D0F">
        <w:rPr>
          <w:spacing w:val="-8"/>
        </w:rPr>
        <w:t xml:space="preserve"> </w:t>
      </w:r>
      <w:r w:rsidR="00033D0F">
        <w:t>Anti-Dumping</w:t>
      </w:r>
      <w:r w:rsidR="00033D0F">
        <w:rPr>
          <w:spacing w:val="-11"/>
        </w:rPr>
        <w:t xml:space="preserve"> </w:t>
      </w:r>
      <w:r w:rsidR="00033D0F">
        <w:t>Agreement</w:t>
      </w:r>
      <w:r w:rsidR="00033D0F">
        <w:rPr>
          <w:spacing w:val="-12"/>
        </w:rPr>
        <w:t xml:space="preserve"> </w:t>
      </w:r>
      <w:r w:rsidR="00033D0F">
        <w:t>"requires</w:t>
      </w:r>
      <w:r w:rsidR="00033D0F">
        <w:rPr>
          <w:spacing w:val="-11"/>
        </w:rPr>
        <w:t xml:space="preserve"> </w:t>
      </w:r>
      <w:r w:rsidR="00033D0F">
        <w:t>investigating authorities</w:t>
      </w:r>
      <w:r w:rsidR="00033D0F">
        <w:rPr>
          <w:spacing w:val="-3"/>
        </w:rPr>
        <w:t xml:space="preserve"> </w:t>
      </w:r>
      <w:r w:rsidR="00033D0F">
        <w:t>to</w:t>
      </w:r>
      <w:r w:rsidR="00033D0F">
        <w:rPr>
          <w:spacing w:val="-5"/>
        </w:rPr>
        <w:t xml:space="preserve"> </w:t>
      </w:r>
      <w:r w:rsidR="00033D0F">
        <w:t>have</w:t>
      </w:r>
      <w:r w:rsidR="00033D0F">
        <w:rPr>
          <w:spacing w:val="-2"/>
        </w:rPr>
        <w:t xml:space="preserve"> </w:t>
      </w:r>
      <w:r w:rsidR="00033D0F">
        <w:t>before</w:t>
      </w:r>
      <w:r w:rsidR="00033D0F">
        <w:rPr>
          <w:spacing w:val="-1"/>
        </w:rPr>
        <w:t xml:space="preserve"> </w:t>
      </w:r>
      <w:r w:rsidR="00033D0F">
        <w:t>them, at</w:t>
      </w:r>
      <w:r w:rsidR="00033D0F">
        <w:rPr>
          <w:spacing w:val="3"/>
        </w:rPr>
        <w:t xml:space="preserve"> </w:t>
      </w:r>
      <w:r w:rsidR="00033D0F">
        <w:t>the</w:t>
      </w:r>
      <w:r w:rsidR="00033D0F">
        <w:rPr>
          <w:spacing w:val="-3"/>
        </w:rPr>
        <w:t xml:space="preserve"> </w:t>
      </w:r>
      <w:r w:rsidR="00033D0F">
        <w:t>time</w:t>
      </w:r>
      <w:r w:rsidR="00033D0F">
        <w:rPr>
          <w:spacing w:val="-1"/>
        </w:rPr>
        <w:t xml:space="preserve"> </w:t>
      </w:r>
      <w:r w:rsidR="00033D0F">
        <w:t>of</w:t>
      </w:r>
      <w:r w:rsidR="00033D0F">
        <w:rPr>
          <w:spacing w:val="1"/>
        </w:rPr>
        <w:t xml:space="preserve"> </w:t>
      </w:r>
      <w:r w:rsidR="00033D0F">
        <w:t>initiation,</w:t>
      </w:r>
      <w:r w:rsidR="00033D0F">
        <w:rPr>
          <w:spacing w:val="-1"/>
        </w:rPr>
        <w:t xml:space="preserve"> </w:t>
      </w:r>
      <w:r w:rsidR="00033D0F">
        <w:t>the</w:t>
      </w:r>
      <w:r w:rsidR="00033D0F">
        <w:rPr>
          <w:spacing w:val="-3"/>
        </w:rPr>
        <w:t xml:space="preserve"> </w:t>
      </w:r>
      <w:r w:rsidR="00033D0F">
        <w:t>same</w:t>
      </w:r>
      <w:r w:rsidR="00033D0F">
        <w:rPr>
          <w:spacing w:val="-1"/>
        </w:rPr>
        <w:t xml:space="preserve"> </w:t>
      </w:r>
      <w:r w:rsidR="00033D0F">
        <w:t>type</w:t>
      </w:r>
      <w:r w:rsidR="00033D0F">
        <w:rPr>
          <w:spacing w:val="-3"/>
        </w:rPr>
        <w:t xml:space="preserve"> </w:t>
      </w:r>
      <w:r w:rsidR="00033D0F">
        <w:t>of</w:t>
      </w:r>
      <w:r w:rsidR="00033D0F">
        <w:rPr>
          <w:spacing w:val="1"/>
        </w:rPr>
        <w:t xml:space="preserve"> </w:t>
      </w:r>
      <w:r w:rsidR="00033D0F">
        <w:t>evidence</w:t>
      </w:r>
      <w:r w:rsidR="00033D0F">
        <w:rPr>
          <w:spacing w:val="-2"/>
        </w:rPr>
        <w:t xml:space="preserve"> </w:t>
      </w:r>
      <w:r w:rsidR="00033D0F">
        <w:t>of</w:t>
      </w:r>
      <w:r w:rsidR="00033D0F">
        <w:rPr>
          <w:spacing w:val="2"/>
        </w:rPr>
        <w:t xml:space="preserve"> </w:t>
      </w:r>
      <w:r w:rsidR="00033D0F">
        <w:rPr>
          <w:spacing w:val="-2"/>
        </w:rPr>
        <w:t>injury</w:t>
      </w:r>
    </w:p>
    <w:p w14:paraId="03551282" w14:textId="77777777" w:rsidR="00BD462C" w:rsidRDefault="00BD462C">
      <w:pPr>
        <w:pStyle w:val="BodyText"/>
        <w:rPr>
          <w:sz w:val="20"/>
        </w:rPr>
      </w:pPr>
    </w:p>
    <w:p w14:paraId="71B3AD9C" w14:textId="77777777" w:rsidR="00BD462C" w:rsidRDefault="00BD462C">
      <w:pPr>
        <w:pStyle w:val="BodyText"/>
        <w:rPr>
          <w:sz w:val="20"/>
        </w:rPr>
      </w:pPr>
    </w:p>
    <w:p w14:paraId="15183635" w14:textId="77777777" w:rsidR="00BD462C" w:rsidRDefault="00BD462C">
      <w:pPr>
        <w:pStyle w:val="BodyText"/>
        <w:rPr>
          <w:sz w:val="20"/>
        </w:rPr>
      </w:pPr>
    </w:p>
    <w:p w14:paraId="5CE45576" w14:textId="77777777" w:rsidR="00BD462C" w:rsidRDefault="00BD462C">
      <w:pPr>
        <w:pStyle w:val="BodyText"/>
        <w:rPr>
          <w:sz w:val="20"/>
        </w:rPr>
      </w:pPr>
    </w:p>
    <w:p w14:paraId="3EAF7146" w14:textId="77777777" w:rsidR="00BD462C" w:rsidRDefault="00BD462C">
      <w:pPr>
        <w:pStyle w:val="BodyText"/>
        <w:rPr>
          <w:sz w:val="20"/>
        </w:rPr>
      </w:pPr>
    </w:p>
    <w:p w14:paraId="6B99695D" w14:textId="301D1920" w:rsidR="00BD462C" w:rsidRDefault="007E218F">
      <w:pPr>
        <w:pStyle w:val="BodyText"/>
        <w:spacing w:before="2"/>
        <w:rPr>
          <w:sz w:val="28"/>
        </w:rPr>
      </w:pPr>
      <w:r>
        <w:rPr>
          <w:noProof/>
        </w:rPr>
        <mc:AlternateContent>
          <mc:Choice Requires="wps">
            <w:drawing>
              <wp:anchor distT="0" distB="0" distL="0" distR="0" simplePos="0" relativeHeight="488194560" behindDoc="1" locked="0" layoutInCell="1" allowOverlap="1" wp14:anchorId="67599D17" wp14:editId="73EC6B98">
                <wp:simplePos x="0" y="0"/>
                <wp:positionH relativeFrom="page">
                  <wp:posOffset>812800</wp:posOffset>
                </wp:positionH>
                <wp:positionV relativeFrom="paragraph">
                  <wp:posOffset>220345</wp:posOffset>
                </wp:positionV>
                <wp:extent cx="1828800" cy="8890"/>
                <wp:effectExtent l="0" t="0" r="0" b="0"/>
                <wp:wrapTopAndBottom/>
                <wp:docPr id="171" name="docshape6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F3C962" id="docshape664" o:spid="_x0000_s1026" alt="&quot;&quot;" style="position:absolute;margin-left:64pt;margin-top:17.35pt;width:2in;height:.7pt;z-index:-1512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" fillcolor="black" stroked="f">
                <w10:wrap type="topAndBottom" anchorx="page"/>
              </v:rect>
            </w:pict>
          </mc:Fallback>
        </mc:AlternateContent>
      </w:r>
    </w:p>
    <w:p w14:paraId="776BF3F1" w14:textId="77777777" w:rsidR="00BD462C" w:rsidRDefault="00033D0F">
      <w:pPr>
        <w:spacing w:before="112"/>
        <w:ind w:left="135" w:right="904"/>
        <w:rPr>
          <w:sz w:val="18"/>
        </w:rPr>
      </w:pPr>
      <w:bookmarkStart w:id="1369" w:name="_bookmark1180"/>
      <w:bookmarkEnd w:id="1369"/>
      <w:r>
        <w:rPr>
          <w:position w:val="5"/>
          <w:sz w:val="12"/>
        </w:rPr>
        <w:t>1016</w:t>
      </w:r>
      <w:r>
        <w:rPr>
          <w:spacing w:val="16"/>
          <w:position w:val="5"/>
          <w:sz w:val="12"/>
        </w:rPr>
        <w:t xml:space="preserve"> </w:t>
      </w:r>
      <w:r>
        <w:rPr>
          <w:sz w:val="18"/>
        </w:rPr>
        <w:t>China's</w:t>
      </w:r>
      <w:r>
        <w:rPr>
          <w:spacing w:val="-3"/>
          <w:sz w:val="18"/>
        </w:rPr>
        <w:t xml:space="preserve"> </w:t>
      </w:r>
      <w:r>
        <w:rPr>
          <w:sz w:val="18"/>
        </w:rPr>
        <w:t>first written</w:t>
      </w:r>
      <w:r>
        <w:rPr>
          <w:spacing w:val="-4"/>
          <w:sz w:val="18"/>
        </w:rPr>
        <w:t xml:space="preserve"> </w:t>
      </w:r>
      <w:r>
        <w:rPr>
          <w:sz w:val="18"/>
        </w:rPr>
        <w:t>submission,</w:t>
      </w:r>
      <w:r>
        <w:rPr>
          <w:spacing w:val="-1"/>
          <w:sz w:val="18"/>
        </w:rPr>
        <w:t xml:space="preserve"> </w:t>
      </w:r>
      <w:r>
        <w:rPr>
          <w:sz w:val="18"/>
        </w:rPr>
        <w:t>paras. 2102 and 2104. China</w:t>
      </w:r>
      <w:r>
        <w:rPr>
          <w:spacing w:val="-5"/>
          <w:sz w:val="18"/>
        </w:rPr>
        <w:t xml:space="preserve"> </w:t>
      </w:r>
      <w:r>
        <w:rPr>
          <w:sz w:val="18"/>
        </w:rPr>
        <w:t>argues</w:t>
      </w:r>
      <w:r>
        <w:rPr>
          <w:spacing w:val="-3"/>
          <w:sz w:val="18"/>
        </w:rPr>
        <w:t xml:space="preserve"> </w:t>
      </w:r>
      <w:r>
        <w:rPr>
          <w:sz w:val="18"/>
        </w:rPr>
        <w:t>that</w:t>
      </w:r>
      <w:r>
        <w:rPr>
          <w:spacing w:val="-2"/>
          <w:sz w:val="18"/>
        </w:rPr>
        <w:t xml:space="preserve"> </w:t>
      </w:r>
      <w:r>
        <w:rPr>
          <w:sz w:val="18"/>
        </w:rPr>
        <w:t>even without</w:t>
      </w:r>
      <w:r>
        <w:rPr>
          <w:spacing w:val="-3"/>
          <w:sz w:val="18"/>
        </w:rPr>
        <w:t xml:space="preserve"> </w:t>
      </w:r>
      <w:r>
        <w:rPr>
          <w:sz w:val="18"/>
        </w:rPr>
        <w:t>making</w:t>
      </w:r>
      <w:r>
        <w:rPr>
          <w:spacing w:val="-3"/>
          <w:sz w:val="18"/>
        </w:rPr>
        <w:t xml:space="preserve"> </w:t>
      </w:r>
      <w:r>
        <w:rPr>
          <w:sz w:val="18"/>
        </w:rPr>
        <w:t>upwards adjustments</w:t>
      </w:r>
      <w:r>
        <w:rPr>
          <w:spacing w:val="-3"/>
          <w:sz w:val="18"/>
        </w:rPr>
        <w:t xml:space="preserve"> </w:t>
      </w:r>
      <w:r>
        <w:rPr>
          <w:sz w:val="18"/>
        </w:rPr>
        <w:t>for additional costs that would be incurred after customs clearance in Australia, such as inland freight and warehousing, the</w:t>
      </w:r>
      <w:r>
        <w:rPr>
          <w:spacing w:val="80"/>
          <w:sz w:val="18"/>
        </w:rPr>
        <w:t xml:space="preserve"> </w:t>
      </w:r>
      <w:r>
        <w:rPr>
          <w:sz w:val="18"/>
        </w:rPr>
        <w:t>information</w:t>
      </w:r>
      <w:r>
        <w:rPr>
          <w:spacing w:val="-10"/>
          <w:sz w:val="18"/>
        </w:rPr>
        <w:t xml:space="preserve"> </w:t>
      </w:r>
      <w:r>
        <w:rPr>
          <w:sz w:val="18"/>
        </w:rPr>
        <w:t>already</w:t>
      </w:r>
      <w:r>
        <w:rPr>
          <w:spacing w:val="-13"/>
          <w:sz w:val="18"/>
        </w:rPr>
        <w:t xml:space="preserve"> </w:t>
      </w:r>
      <w:r>
        <w:rPr>
          <w:sz w:val="18"/>
        </w:rPr>
        <w:t>showed</w:t>
      </w:r>
      <w:r>
        <w:rPr>
          <w:spacing w:val="-9"/>
          <w:sz w:val="18"/>
        </w:rPr>
        <w:t xml:space="preserve"> </w:t>
      </w:r>
      <w:r>
        <w:rPr>
          <w:sz w:val="18"/>
        </w:rPr>
        <w:t>dumping.</w:t>
      </w:r>
      <w:r>
        <w:rPr>
          <w:spacing w:val="-7"/>
          <w:sz w:val="18"/>
        </w:rPr>
        <w:t xml:space="preserve"> </w:t>
      </w:r>
      <w:r>
        <w:rPr>
          <w:sz w:val="18"/>
        </w:rPr>
        <w:t>China</w:t>
      </w:r>
      <w:r>
        <w:rPr>
          <w:spacing w:val="-10"/>
          <w:sz w:val="18"/>
        </w:rPr>
        <w:t xml:space="preserve"> </w:t>
      </w:r>
      <w:r>
        <w:rPr>
          <w:sz w:val="18"/>
        </w:rPr>
        <w:t>acknowledges</w:t>
      </w:r>
      <w:r>
        <w:rPr>
          <w:spacing w:val="-8"/>
          <w:sz w:val="18"/>
        </w:rPr>
        <w:t xml:space="preserve"> </w:t>
      </w:r>
      <w:r>
        <w:rPr>
          <w:sz w:val="18"/>
        </w:rPr>
        <w:t>that</w:t>
      </w:r>
      <w:r>
        <w:rPr>
          <w:spacing w:val="-7"/>
          <w:sz w:val="18"/>
        </w:rPr>
        <w:t xml:space="preserve"> </w:t>
      </w:r>
      <w:r>
        <w:rPr>
          <w:sz w:val="18"/>
        </w:rPr>
        <w:t>CADA</w:t>
      </w:r>
      <w:r>
        <w:rPr>
          <w:spacing w:val="-9"/>
          <w:sz w:val="18"/>
        </w:rPr>
        <w:t xml:space="preserve"> </w:t>
      </w:r>
      <w:r>
        <w:rPr>
          <w:sz w:val="18"/>
        </w:rPr>
        <w:t>did</w:t>
      </w:r>
      <w:r>
        <w:rPr>
          <w:spacing w:val="-12"/>
          <w:sz w:val="18"/>
        </w:rPr>
        <w:t xml:space="preserve"> </w:t>
      </w:r>
      <w:r>
        <w:rPr>
          <w:sz w:val="18"/>
        </w:rPr>
        <w:t>not</w:t>
      </w:r>
      <w:r>
        <w:rPr>
          <w:spacing w:val="-11"/>
          <w:sz w:val="18"/>
        </w:rPr>
        <w:t xml:space="preserve"> </w:t>
      </w:r>
      <w:r>
        <w:rPr>
          <w:sz w:val="18"/>
        </w:rPr>
        <w:t>indicate</w:t>
      </w:r>
      <w:r>
        <w:rPr>
          <w:spacing w:val="-8"/>
          <w:sz w:val="18"/>
        </w:rPr>
        <w:t xml:space="preserve"> </w:t>
      </w:r>
      <w:r>
        <w:rPr>
          <w:sz w:val="18"/>
        </w:rPr>
        <w:t>the</w:t>
      </w:r>
      <w:r>
        <w:rPr>
          <w:spacing w:val="-8"/>
          <w:sz w:val="18"/>
        </w:rPr>
        <w:t xml:space="preserve"> </w:t>
      </w:r>
      <w:r>
        <w:rPr>
          <w:sz w:val="18"/>
        </w:rPr>
        <w:t>adjustments</w:t>
      </w:r>
      <w:r>
        <w:rPr>
          <w:spacing w:val="-8"/>
          <w:sz w:val="18"/>
        </w:rPr>
        <w:t xml:space="preserve"> </w:t>
      </w:r>
      <w:r>
        <w:rPr>
          <w:sz w:val="18"/>
        </w:rPr>
        <w:t>made</w:t>
      </w:r>
      <w:r>
        <w:rPr>
          <w:spacing w:val="-12"/>
          <w:sz w:val="18"/>
        </w:rPr>
        <w:t xml:space="preserve"> </w:t>
      </w:r>
      <w:r>
        <w:rPr>
          <w:sz w:val="18"/>
        </w:rPr>
        <w:t>to</w:t>
      </w:r>
      <w:r>
        <w:rPr>
          <w:spacing w:val="-9"/>
          <w:sz w:val="18"/>
        </w:rPr>
        <w:t xml:space="preserve"> </w:t>
      </w:r>
      <w:r>
        <w:rPr>
          <w:sz w:val="18"/>
        </w:rPr>
        <w:t>normal</w:t>
      </w:r>
      <w:r>
        <w:rPr>
          <w:spacing w:val="-7"/>
          <w:sz w:val="18"/>
        </w:rPr>
        <w:t xml:space="preserve"> </w:t>
      </w:r>
      <w:r>
        <w:rPr>
          <w:sz w:val="18"/>
        </w:rPr>
        <w:t>value to</w:t>
      </w:r>
      <w:r>
        <w:rPr>
          <w:spacing w:val="21"/>
          <w:sz w:val="18"/>
        </w:rPr>
        <w:t xml:space="preserve"> </w:t>
      </w:r>
      <w:r>
        <w:rPr>
          <w:sz w:val="18"/>
        </w:rPr>
        <w:t>bring</w:t>
      </w:r>
      <w:r>
        <w:rPr>
          <w:spacing w:val="27"/>
          <w:sz w:val="18"/>
        </w:rPr>
        <w:t xml:space="preserve"> </w:t>
      </w:r>
      <w:r>
        <w:rPr>
          <w:sz w:val="18"/>
        </w:rPr>
        <w:t>it</w:t>
      </w:r>
      <w:r>
        <w:rPr>
          <w:spacing w:val="23"/>
          <w:sz w:val="18"/>
        </w:rPr>
        <w:t xml:space="preserve"> </w:t>
      </w:r>
      <w:r>
        <w:rPr>
          <w:sz w:val="18"/>
        </w:rPr>
        <w:t>to</w:t>
      </w:r>
      <w:r>
        <w:rPr>
          <w:spacing w:val="21"/>
          <w:sz w:val="18"/>
        </w:rPr>
        <w:t xml:space="preserve"> </w:t>
      </w:r>
      <w:r>
        <w:rPr>
          <w:sz w:val="18"/>
        </w:rPr>
        <w:t>the</w:t>
      </w:r>
      <w:r>
        <w:rPr>
          <w:spacing w:val="22"/>
          <w:sz w:val="18"/>
        </w:rPr>
        <w:t xml:space="preserve"> </w:t>
      </w:r>
      <w:r>
        <w:rPr>
          <w:sz w:val="18"/>
        </w:rPr>
        <w:t>same</w:t>
      </w:r>
      <w:r>
        <w:rPr>
          <w:spacing w:val="22"/>
          <w:sz w:val="18"/>
        </w:rPr>
        <w:t xml:space="preserve"> </w:t>
      </w:r>
      <w:r>
        <w:rPr>
          <w:sz w:val="18"/>
        </w:rPr>
        <w:t>level</w:t>
      </w:r>
      <w:r>
        <w:rPr>
          <w:spacing w:val="23"/>
          <w:sz w:val="18"/>
        </w:rPr>
        <w:t xml:space="preserve"> </w:t>
      </w:r>
      <w:r>
        <w:rPr>
          <w:sz w:val="18"/>
        </w:rPr>
        <w:t>of</w:t>
      </w:r>
      <w:r>
        <w:rPr>
          <w:spacing w:val="28"/>
          <w:sz w:val="18"/>
        </w:rPr>
        <w:t xml:space="preserve"> </w:t>
      </w:r>
      <w:r>
        <w:rPr>
          <w:sz w:val="18"/>
        </w:rPr>
        <w:t>Australian</w:t>
      </w:r>
      <w:r>
        <w:rPr>
          <w:spacing w:val="26"/>
          <w:sz w:val="18"/>
        </w:rPr>
        <w:t xml:space="preserve"> </w:t>
      </w:r>
      <w:r>
        <w:rPr>
          <w:sz w:val="18"/>
        </w:rPr>
        <w:t>sales.</w:t>
      </w:r>
      <w:r>
        <w:rPr>
          <w:spacing w:val="23"/>
          <w:sz w:val="18"/>
        </w:rPr>
        <w:t xml:space="preserve"> </w:t>
      </w:r>
      <w:r>
        <w:rPr>
          <w:sz w:val="18"/>
        </w:rPr>
        <w:t>However,</w:t>
      </w:r>
      <w:r>
        <w:rPr>
          <w:spacing w:val="24"/>
          <w:sz w:val="18"/>
        </w:rPr>
        <w:t xml:space="preserve"> </w:t>
      </w:r>
      <w:r>
        <w:rPr>
          <w:sz w:val="18"/>
        </w:rPr>
        <w:t>China</w:t>
      </w:r>
      <w:r>
        <w:rPr>
          <w:spacing w:val="21"/>
          <w:sz w:val="18"/>
        </w:rPr>
        <w:t xml:space="preserve"> </w:t>
      </w:r>
      <w:r>
        <w:rPr>
          <w:sz w:val="18"/>
        </w:rPr>
        <w:t>states</w:t>
      </w:r>
      <w:r>
        <w:rPr>
          <w:spacing w:val="22"/>
          <w:sz w:val="18"/>
        </w:rPr>
        <w:t xml:space="preserve"> </w:t>
      </w:r>
      <w:r>
        <w:rPr>
          <w:sz w:val="18"/>
        </w:rPr>
        <w:t>that</w:t>
      </w:r>
      <w:r>
        <w:rPr>
          <w:spacing w:val="23"/>
          <w:sz w:val="18"/>
        </w:rPr>
        <w:t xml:space="preserve"> </w:t>
      </w:r>
      <w:r>
        <w:rPr>
          <w:sz w:val="18"/>
        </w:rPr>
        <w:t>"it</w:t>
      </w:r>
      <w:r>
        <w:rPr>
          <w:spacing w:val="23"/>
          <w:sz w:val="18"/>
        </w:rPr>
        <w:t xml:space="preserve"> </w:t>
      </w:r>
      <w:r>
        <w:rPr>
          <w:sz w:val="18"/>
        </w:rPr>
        <w:t>is</w:t>
      </w:r>
      <w:r>
        <w:rPr>
          <w:spacing w:val="22"/>
          <w:sz w:val="18"/>
        </w:rPr>
        <w:t xml:space="preserve"> </w:t>
      </w:r>
      <w:r>
        <w:rPr>
          <w:sz w:val="18"/>
        </w:rPr>
        <w:t>important</w:t>
      </w:r>
      <w:r>
        <w:rPr>
          <w:spacing w:val="23"/>
          <w:sz w:val="18"/>
        </w:rPr>
        <w:t xml:space="preserve"> </w:t>
      </w:r>
      <w:r>
        <w:rPr>
          <w:sz w:val="18"/>
        </w:rPr>
        <w:t>to</w:t>
      </w:r>
      <w:r>
        <w:rPr>
          <w:spacing w:val="21"/>
          <w:sz w:val="18"/>
        </w:rPr>
        <w:t xml:space="preserve"> </w:t>
      </w:r>
      <w:r>
        <w:rPr>
          <w:sz w:val="18"/>
        </w:rPr>
        <w:t>note</w:t>
      </w:r>
      <w:r>
        <w:rPr>
          <w:spacing w:val="22"/>
          <w:sz w:val="18"/>
        </w:rPr>
        <w:t xml:space="preserve"> </w:t>
      </w:r>
      <w:r>
        <w:rPr>
          <w:sz w:val="18"/>
        </w:rPr>
        <w:t>that</w:t>
      </w:r>
      <w:r>
        <w:rPr>
          <w:spacing w:val="23"/>
          <w:sz w:val="18"/>
        </w:rPr>
        <w:t xml:space="preserve"> </w:t>
      </w:r>
      <w:r>
        <w:rPr>
          <w:sz w:val="18"/>
        </w:rPr>
        <w:t>that</w:t>
      </w:r>
      <w:r>
        <w:rPr>
          <w:spacing w:val="23"/>
          <w:sz w:val="18"/>
        </w:rPr>
        <w:t xml:space="preserve"> </w:t>
      </w:r>
      <w:r>
        <w:rPr>
          <w:sz w:val="18"/>
        </w:rPr>
        <w:t>had</w:t>
      </w:r>
      <w:r>
        <w:rPr>
          <w:spacing w:val="22"/>
          <w:sz w:val="18"/>
        </w:rPr>
        <w:t xml:space="preserve"> </w:t>
      </w:r>
      <w:r>
        <w:rPr>
          <w:sz w:val="18"/>
        </w:rPr>
        <w:t>such adjustments been made to include, for instance, inland transport in Australia and the SG&amp;A costs of Australian producers, this would have significantly</w:t>
      </w:r>
      <w:r>
        <w:rPr>
          <w:spacing w:val="-1"/>
          <w:sz w:val="18"/>
        </w:rPr>
        <w:t xml:space="preserve"> </w:t>
      </w:r>
      <w:r>
        <w:rPr>
          <w:sz w:val="18"/>
        </w:rPr>
        <w:t xml:space="preserve">increased the normal value, thus strengthening the allegation that dumping was taking place". </w:t>
      </w:r>
      <w:bookmarkStart w:id="1370" w:name="_bookmark1181"/>
      <w:bookmarkEnd w:id="1370"/>
      <w:r>
        <w:rPr>
          <w:position w:val="5"/>
          <w:sz w:val="12"/>
        </w:rPr>
        <w:t>1017</w:t>
      </w:r>
      <w:r>
        <w:rPr>
          <w:spacing w:val="36"/>
          <w:position w:val="5"/>
          <w:sz w:val="12"/>
        </w:rPr>
        <w:t xml:space="preserve"> </w:t>
      </w:r>
      <w:r>
        <w:rPr>
          <w:sz w:val="18"/>
        </w:rPr>
        <w:t>CADA Application for Anti-Dumping Investigation (Exhibit AUS-64), p. 28.</w:t>
      </w:r>
    </w:p>
    <w:p w14:paraId="037A58C5" w14:textId="77777777" w:rsidR="00BD462C" w:rsidRDefault="00033D0F">
      <w:pPr>
        <w:spacing w:before="2"/>
        <w:ind w:left="135"/>
        <w:rPr>
          <w:sz w:val="18"/>
        </w:rPr>
      </w:pPr>
      <w:bookmarkStart w:id="1371" w:name="_bookmark1182"/>
      <w:bookmarkEnd w:id="1371"/>
      <w:r>
        <w:rPr>
          <w:position w:val="5"/>
          <w:sz w:val="12"/>
        </w:rPr>
        <w:t>1018</w:t>
      </w:r>
      <w:r>
        <w:rPr>
          <w:spacing w:val="12"/>
          <w:position w:val="5"/>
          <w:sz w:val="12"/>
        </w:rPr>
        <w:t xml:space="preserve"> </w:t>
      </w:r>
      <w:r>
        <w:rPr>
          <w:sz w:val="18"/>
        </w:rPr>
        <w:t>Australia's</w:t>
      </w:r>
      <w:r>
        <w:rPr>
          <w:spacing w:val="-6"/>
          <w:sz w:val="18"/>
        </w:rPr>
        <w:t xml:space="preserve"> </w:t>
      </w:r>
      <w:r>
        <w:rPr>
          <w:sz w:val="18"/>
        </w:rPr>
        <w:t>first</w:t>
      </w:r>
      <w:r>
        <w:rPr>
          <w:spacing w:val="-6"/>
          <w:sz w:val="18"/>
        </w:rPr>
        <w:t xml:space="preserve"> </w:t>
      </w:r>
      <w:r>
        <w:rPr>
          <w:sz w:val="18"/>
        </w:rPr>
        <w:t>written</w:t>
      </w:r>
      <w:r>
        <w:rPr>
          <w:spacing w:val="-2"/>
          <w:sz w:val="18"/>
        </w:rPr>
        <w:t xml:space="preserve"> </w:t>
      </w:r>
      <w:r>
        <w:rPr>
          <w:sz w:val="18"/>
        </w:rPr>
        <w:t>submission, paras.</w:t>
      </w:r>
      <w:r>
        <w:rPr>
          <w:spacing w:val="-5"/>
          <w:sz w:val="18"/>
        </w:rPr>
        <w:t xml:space="preserve"> </w:t>
      </w:r>
      <w:r>
        <w:rPr>
          <w:sz w:val="18"/>
        </w:rPr>
        <w:t>777-</w:t>
      </w:r>
      <w:r>
        <w:rPr>
          <w:spacing w:val="-4"/>
          <w:sz w:val="18"/>
        </w:rPr>
        <w:t>789.</w:t>
      </w:r>
    </w:p>
    <w:p w14:paraId="07AC268E" w14:textId="77777777" w:rsidR="00BD462C" w:rsidRDefault="00033D0F">
      <w:pPr>
        <w:spacing w:before="1"/>
        <w:ind w:left="135"/>
        <w:rPr>
          <w:sz w:val="18"/>
        </w:rPr>
      </w:pPr>
      <w:bookmarkStart w:id="1372" w:name="_bookmark1183"/>
      <w:bookmarkEnd w:id="1372"/>
      <w:r>
        <w:rPr>
          <w:position w:val="5"/>
          <w:sz w:val="12"/>
        </w:rPr>
        <w:t>1019</w:t>
      </w:r>
      <w:r>
        <w:rPr>
          <w:spacing w:val="12"/>
          <w:position w:val="5"/>
          <w:sz w:val="12"/>
        </w:rPr>
        <w:t xml:space="preserve"> </w:t>
      </w:r>
      <w:r>
        <w:rPr>
          <w:sz w:val="18"/>
        </w:rPr>
        <w:t>Australia's</w:t>
      </w:r>
      <w:r>
        <w:rPr>
          <w:spacing w:val="-6"/>
          <w:sz w:val="18"/>
        </w:rPr>
        <w:t xml:space="preserve"> </w:t>
      </w:r>
      <w:r>
        <w:rPr>
          <w:sz w:val="18"/>
        </w:rPr>
        <w:t>first</w:t>
      </w:r>
      <w:r>
        <w:rPr>
          <w:spacing w:val="-6"/>
          <w:sz w:val="18"/>
        </w:rPr>
        <w:t xml:space="preserve"> </w:t>
      </w:r>
      <w:r>
        <w:rPr>
          <w:sz w:val="18"/>
        </w:rPr>
        <w:t>written</w:t>
      </w:r>
      <w:r>
        <w:rPr>
          <w:spacing w:val="-2"/>
          <w:sz w:val="18"/>
        </w:rPr>
        <w:t xml:space="preserve"> </w:t>
      </w:r>
      <w:r>
        <w:rPr>
          <w:sz w:val="18"/>
        </w:rPr>
        <w:t>submission, paras.</w:t>
      </w:r>
      <w:r>
        <w:rPr>
          <w:spacing w:val="-5"/>
          <w:sz w:val="18"/>
        </w:rPr>
        <w:t xml:space="preserve"> </w:t>
      </w:r>
      <w:r>
        <w:rPr>
          <w:sz w:val="18"/>
        </w:rPr>
        <w:t>795-</w:t>
      </w:r>
      <w:r>
        <w:rPr>
          <w:spacing w:val="-4"/>
          <w:sz w:val="18"/>
        </w:rPr>
        <w:t>797.</w:t>
      </w:r>
    </w:p>
    <w:p w14:paraId="724FD6C5" w14:textId="77777777" w:rsidR="00BD462C" w:rsidRDefault="00BD462C">
      <w:pPr>
        <w:rPr>
          <w:sz w:val="18"/>
        </w:rPr>
        <w:sectPr w:rsidR="00BD462C">
          <w:pgSz w:w="11910" w:h="16840"/>
          <w:pgMar w:top="860" w:right="500" w:bottom="780" w:left="1280" w:header="566" w:footer="590" w:gutter="0"/>
          <w:cols w:space="720"/>
        </w:sectPr>
      </w:pPr>
    </w:p>
    <w:p w14:paraId="7BEF44D0"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252FEC81"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3A90DDF7"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62A0230C" w14:textId="77777777" w:rsidR="00BD462C" w:rsidRDefault="00033D0F">
      <w:pPr>
        <w:pStyle w:val="BodyText"/>
        <w:spacing w:before="102" w:line="357" w:lineRule="auto"/>
        <w:ind w:left="136" w:right="923"/>
      </w:pPr>
      <w:r>
        <w:t>and</w:t>
      </w:r>
      <w:r>
        <w:rPr>
          <w:spacing w:val="-8"/>
        </w:rPr>
        <w:t xml:space="preserve"> </w:t>
      </w:r>
      <w:r>
        <w:t>causation</w:t>
      </w:r>
      <w:r>
        <w:rPr>
          <w:spacing w:val="-8"/>
        </w:rPr>
        <w:t xml:space="preserve"> </w:t>
      </w:r>
      <w:r>
        <w:t>as defined</w:t>
      </w:r>
      <w:r>
        <w:rPr>
          <w:spacing w:val="-8"/>
        </w:rPr>
        <w:t xml:space="preserve"> </w:t>
      </w:r>
      <w:r>
        <w:t>in</w:t>
      </w:r>
      <w:r>
        <w:rPr>
          <w:spacing w:val="-2"/>
        </w:rPr>
        <w:t xml:space="preserve"> </w:t>
      </w:r>
      <w:r>
        <w:t>Article</w:t>
      </w:r>
      <w:r>
        <w:rPr>
          <w:spacing w:val="-6"/>
        </w:rPr>
        <w:t xml:space="preserve"> </w:t>
      </w:r>
      <w:r>
        <w:t>3</w:t>
      </w:r>
      <w:r>
        <w:rPr>
          <w:spacing w:val="-8"/>
        </w:rPr>
        <w:t xml:space="preserve"> </w:t>
      </w:r>
      <w:r>
        <w:t>[…]".</w:t>
      </w:r>
      <w:hyperlink w:anchor="_bookmark1186" w:history="1">
        <w:r>
          <w:rPr>
            <w:vertAlign w:val="superscript"/>
          </w:rPr>
          <w:t>1020</w:t>
        </w:r>
      </w:hyperlink>
      <w:r>
        <w:rPr>
          <w:spacing w:val="-5"/>
        </w:rPr>
        <w:t xml:space="preserve"> </w:t>
      </w:r>
      <w:r>
        <w:t>It</w:t>
      </w:r>
      <w:r>
        <w:rPr>
          <w:spacing w:val="-6"/>
        </w:rPr>
        <w:t xml:space="preserve"> </w:t>
      </w:r>
      <w:r>
        <w:t>is</w:t>
      </w:r>
      <w:r>
        <w:rPr>
          <w:spacing w:val="-5"/>
        </w:rPr>
        <w:t xml:space="preserve"> </w:t>
      </w:r>
      <w:r>
        <w:t>not Australia's</w:t>
      </w:r>
      <w:r>
        <w:rPr>
          <w:spacing w:val="-5"/>
        </w:rPr>
        <w:t xml:space="preserve"> </w:t>
      </w:r>
      <w:r>
        <w:t>position</w:t>
      </w:r>
      <w:r>
        <w:rPr>
          <w:spacing w:val="-8"/>
        </w:rPr>
        <w:t xml:space="preserve"> </w:t>
      </w:r>
      <w:r>
        <w:t>that</w:t>
      </w:r>
      <w:r>
        <w:rPr>
          <w:spacing w:val="-6"/>
        </w:rPr>
        <w:t xml:space="preserve"> </w:t>
      </w:r>
      <w:r>
        <w:t>an</w:t>
      </w:r>
      <w:r>
        <w:rPr>
          <w:spacing w:val="-8"/>
        </w:rPr>
        <w:t xml:space="preserve"> </w:t>
      </w:r>
      <w:r>
        <w:t>investigating authority must conduct a full investigation prior to initiation.</w:t>
      </w:r>
      <w:hyperlink w:anchor="_bookmark1187" w:history="1">
        <w:r>
          <w:rPr>
            <w:vertAlign w:val="superscript"/>
          </w:rPr>
          <w:t>1021</w:t>
        </w:r>
      </w:hyperlink>
    </w:p>
    <w:p w14:paraId="346D66CA" w14:textId="774BDC0D" w:rsidR="00BD462C" w:rsidRDefault="00766622">
      <w:pPr>
        <w:pStyle w:val="BodyText"/>
        <w:spacing w:before="169" w:line="352" w:lineRule="auto"/>
        <w:ind w:left="136" w:right="919"/>
        <w:jc w:val="both"/>
      </w:pPr>
      <w:r>
        <w:rPr>
          <w:noProof/>
        </w:rPr>
        <w:t>647.</w:t>
      </w:r>
      <w:r w:rsidR="00033D0F">
        <w:rPr>
          <w:rFonts w:ascii="Times New Roman"/>
          <w:spacing w:val="80"/>
          <w:w w:val="150"/>
          <w:position w:val="1"/>
          <w:sz w:val="20"/>
        </w:rPr>
        <w:t xml:space="preserve"> </w:t>
      </w:r>
      <w:r w:rsidR="00033D0F">
        <w:rPr>
          <w:position w:val="1"/>
        </w:rPr>
        <w:t>For the reasons outlined in Australia's first written submission,</w:t>
      </w:r>
      <w:hyperlink w:anchor="_bookmark1188" w:history="1">
        <w:r w:rsidR="00033D0F">
          <w:rPr>
            <w:position w:val="1"/>
            <w:vertAlign w:val="superscript"/>
          </w:rPr>
          <w:t>1022</w:t>
        </w:r>
      </w:hyperlink>
      <w:r w:rsidR="00033D0F">
        <w:rPr>
          <w:position w:val="1"/>
        </w:rPr>
        <w:t xml:space="preserve"> there was </w:t>
      </w:r>
      <w:r w:rsidR="00033D0F">
        <w:t>insufficient evidence of</w:t>
      </w:r>
      <w:r w:rsidR="00033D0F">
        <w:rPr>
          <w:spacing w:val="-1"/>
        </w:rPr>
        <w:t xml:space="preserve"> </w:t>
      </w:r>
      <w:r w:rsidR="00033D0F">
        <w:t>injury and</w:t>
      </w:r>
      <w:r w:rsidR="00033D0F">
        <w:rPr>
          <w:spacing w:val="-2"/>
        </w:rPr>
        <w:t xml:space="preserve"> </w:t>
      </w:r>
      <w:r w:rsidR="00033D0F">
        <w:t>causation</w:t>
      </w:r>
      <w:r w:rsidR="00033D0F">
        <w:rPr>
          <w:spacing w:val="-2"/>
        </w:rPr>
        <w:t xml:space="preserve"> </w:t>
      </w:r>
      <w:r w:rsidR="00033D0F">
        <w:t>provided</w:t>
      </w:r>
      <w:r w:rsidR="00033D0F">
        <w:rPr>
          <w:spacing w:val="-2"/>
        </w:rPr>
        <w:t xml:space="preserve"> </w:t>
      </w:r>
      <w:r w:rsidR="00033D0F">
        <w:t>by CADA for</w:t>
      </w:r>
      <w:r w:rsidR="00033D0F">
        <w:rPr>
          <w:spacing w:val="-2"/>
        </w:rPr>
        <w:t xml:space="preserve"> </w:t>
      </w:r>
      <w:r w:rsidR="00033D0F">
        <w:t>the purposes of</w:t>
      </w:r>
      <w:r w:rsidR="00033D0F">
        <w:rPr>
          <w:spacing w:val="-1"/>
        </w:rPr>
        <w:t xml:space="preserve"> </w:t>
      </w:r>
      <w:r w:rsidR="00033D0F">
        <w:t>initiation, and, moreover, MOFCOM failed to assess the accuracy and adequacy of this evidence.</w:t>
      </w:r>
    </w:p>
    <w:p w14:paraId="640D2EA5" w14:textId="77777777" w:rsidR="00BD462C" w:rsidRDefault="00033D0F">
      <w:pPr>
        <w:pStyle w:val="Heading3"/>
        <w:numPr>
          <w:ilvl w:val="0"/>
          <w:numId w:val="31"/>
        </w:numPr>
        <w:tabs>
          <w:tab w:val="left" w:pos="2689"/>
          <w:tab w:val="left" w:pos="2690"/>
        </w:tabs>
        <w:spacing w:before="172"/>
      </w:pPr>
      <w:bookmarkStart w:id="1373" w:name="4._The_application_should_have_been_reje"/>
      <w:bookmarkStart w:id="1374" w:name="_bookmark1184"/>
      <w:bookmarkEnd w:id="1373"/>
      <w:bookmarkEnd w:id="1374"/>
      <w:r>
        <w:t>The</w:t>
      </w:r>
      <w:r>
        <w:rPr>
          <w:spacing w:val="-5"/>
        </w:rPr>
        <w:t xml:space="preserve"> </w:t>
      </w:r>
      <w:r>
        <w:t>application</w:t>
      </w:r>
      <w:r>
        <w:rPr>
          <w:spacing w:val="-2"/>
        </w:rPr>
        <w:t xml:space="preserve"> </w:t>
      </w:r>
      <w:r>
        <w:t>should</w:t>
      </w:r>
      <w:r>
        <w:rPr>
          <w:spacing w:val="-3"/>
        </w:rPr>
        <w:t xml:space="preserve"> </w:t>
      </w:r>
      <w:r>
        <w:t>have</w:t>
      </w:r>
      <w:r>
        <w:rPr>
          <w:spacing w:val="-4"/>
        </w:rPr>
        <w:t xml:space="preserve"> </w:t>
      </w:r>
      <w:r>
        <w:t>been</w:t>
      </w:r>
      <w:r>
        <w:rPr>
          <w:spacing w:val="-2"/>
        </w:rPr>
        <w:t xml:space="preserve"> rejected</w:t>
      </w:r>
    </w:p>
    <w:p w14:paraId="68C352EB" w14:textId="77777777" w:rsidR="00BD462C" w:rsidRDefault="00BD462C">
      <w:pPr>
        <w:pStyle w:val="BodyText"/>
        <w:spacing w:before="11"/>
        <w:rPr>
          <w:b/>
          <w:sz w:val="20"/>
        </w:rPr>
      </w:pPr>
    </w:p>
    <w:p w14:paraId="2850FF8D" w14:textId="02EB8BF7" w:rsidR="00BD462C" w:rsidRDefault="00A5381E">
      <w:pPr>
        <w:pStyle w:val="BodyText"/>
        <w:spacing w:before="56" w:line="357" w:lineRule="auto"/>
        <w:ind w:left="136" w:right="918"/>
        <w:jc w:val="both"/>
      </w:pPr>
      <w:r>
        <w:rPr>
          <w:noProof/>
        </w:rPr>
        <w:t>648.</w:t>
      </w:r>
      <w:r w:rsidR="00033D0F">
        <w:rPr>
          <w:rFonts w:ascii="Times New Roman"/>
          <w:spacing w:val="80"/>
          <w:position w:val="1"/>
          <w:sz w:val="20"/>
        </w:rPr>
        <w:t xml:space="preserve">  </w:t>
      </w:r>
      <w:r w:rsidR="00033D0F">
        <w:rPr>
          <w:position w:val="1"/>
        </w:rPr>
        <w:t xml:space="preserve">Pursuant to Article 5.8 of the Anti-Dumping Agreement, as soon as an investigating </w:t>
      </w:r>
      <w:r w:rsidR="00033D0F">
        <w:t>authority is "'satisfied' that there is not sufficient evidence"</w:t>
      </w:r>
      <w:hyperlink w:anchor="_bookmark1189" w:history="1">
        <w:r w:rsidR="00033D0F">
          <w:rPr>
            <w:vertAlign w:val="superscript"/>
          </w:rPr>
          <w:t>1023</w:t>
        </w:r>
      </w:hyperlink>
      <w:r w:rsidR="00033D0F">
        <w:t xml:space="preserve"> of either dumping, injury or causation, it must reject the application and terminate an investigation.</w:t>
      </w:r>
      <w:hyperlink w:anchor="_bookmark1190" w:history="1">
        <w:r w:rsidR="00033D0F">
          <w:rPr>
            <w:vertAlign w:val="superscript"/>
          </w:rPr>
          <w:t>1024</w:t>
        </w:r>
      </w:hyperlink>
    </w:p>
    <w:p w14:paraId="46689991" w14:textId="77777777" w:rsidR="00BD462C" w:rsidRDefault="00BD462C">
      <w:pPr>
        <w:pStyle w:val="BodyText"/>
        <w:spacing w:before="3"/>
        <w:rPr>
          <w:sz w:val="9"/>
        </w:rPr>
      </w:pPr>
    </w:p>
    <w:p w14:paraId="35D8253F" w14:textId="28429DDA" w:rsidR="00BD462C" w:rsidRDefault="00A5381E">
      <w:pPr>
        <w:pStyle w:val="BodyText"/>
        <w:spacing w:before="56" w:line="355" w:lineRule="auto"/>
        <w:ind w:left="136" w:right="913"/>
        <w:jc w:val="both"/>
      </w:pPr>
      <w:r>
        <w:rPr>
          <w:noProof/>
        </w:rPr>
        <w:t>649.</w:t>
      </w:r>
      <w:r w:rsidR="00033D0F">
        <w:rPr>
          <w:rFonts w:ascii="Times New Roman"/>
          <w:spacing w:val="80"/>
          <w:position w:val="1"/>
          <w:sz w:val="20"/>
        </w:rPr>
        <w:t xml:space="preserve">  </w:t>
      </w:r>
      <w:r w:rsidR="00033D0F">
        <w:rPr>
          <w:position w:val="1"/>
        </w:rPr>
        <w:t xml:space="preserve">As detailed in Australia's first written submission and above, the application did not </w:t>
      </w:r>
      <w:r w:rsidR="00033D0F">
        <w:t>contain</w:t>
      </w:r>
      <w:r w:rsidR="00033D0F">
        <w:rPr>
          <w:spacing w:val="-1"/>
        </w:rPr>
        <w:t xml:space="preserve"> </w:t>
      </w:r>
      <w:r w:rsidR="00033D0F">
        <w:t>"sufficient</w:t>
      </w:r>
      <w:r w:rsidR="00033D0F">
        <w:rPr>
          <w:spacing w:val="2"/>
        </w:rPr>
        <w:t xml:space="preserve"> </w:t>
      </w:r>
      <w:r w:rsidR="00033D0F">
        <w:t>evidence"</w:t>
      </w:r>
      <w:r w:rsidR="00033D0F">
        <w:rPr>
          <w:spacing w:val="1"/>
        </w:rPr>
        <w:t xml:space="preserve"> </w:t>
      </w:r>
      <w:r w:rsidR="00033D0F">
        <w:t>of dumping,</w:t>
      </w:r>
      <w:r w:rsidR="00033D0F">
        <w:rPr>
          <w:spacing w:val="3"/>
        </w:rPr>
        <w:t xml:space="preserve"> </w:t>
      </w:r>
      <w:r w:rsidR="00033D0F">
        <w:t>injury,</w:t>
      </w:r>
      <w:r w:rsidR="00033D0F">
        <w:rPr>
          <w:spacing w:val="3"/>
        </w:rPr>
        <w:t xml:space="preserve"> </w:t>
      </w:r>
      <w:r w:rsidR="00033D0F">
        <w:t>or causation,</w:t>
      </w:r>
      <w:r w:rsidR="00033D0F">
        <w:rPr>
          <w:spacing w:val="3"/>
        </w:rPr>
        <w:t xml:space="preserve"> </w:t>
      </w:r>
      <w:r w:rsidR="00033D0F">
        <w:t>within</w:t>
      </w:r>
      <w:r w:rsidR="00033D0F">
        <w:rPr>
          <w:spacing w:val="-1"/>
        </w:rPr>
        <w:t xml:space="preserve"> </w:t>
      </w:r>
      <w:r w:rsidR="00033D0F">
        <w:t>the</w:t>
      </w:r>
      <w:r w:rsidR="00033D0F">
        <w:rPr>
          <w:spacing w:val="1"/>
        </w:rPr>
        <w:t xml:space="preserve"> </w:t>
      </w:r>
      <w:r w:rsidR="00033D0F">
        <w:t>meaning</w:t>
      </w:r>
      <w:r w:rsidR="00033D0F">
        <w:rPr>
          <w:spacing w:val="3"/>
        </w:rPr>
        <w:t xml:space="preserve"> </w:t>
      </w:r>
      <w:r w:rsidR="00033D0F">
        <w:t>of</w:t>
      </w:r>
      <w:r w:rsidR="00033D0F">
        <w:rPr>
          <w:spacing w:val="1"/>
        </w:rPr>
        <w:t xml:space="preserve"> </w:t>
      </w:r>
      <w:r w:rsidR="00033D0F">
        <w:rPr>
          <w:spacing w:val="-2"/>
        </w:rPr>
        <w:t>Articles</w:t>
      </w:r>
    </w:p>
    <w:p w14:paraId="4019A5FF" w14:textId="77777777" w:rsidR="00BD462C" w:rsidRDefault="00033D0F">
      <w:pPr>
        <w:pStyle w:val="BodyText"/>
        <w:spacing w:before="7" w:line="360" w:lineRule="auto"/>
        <w:ind w:left="136" w:right="921"/>
        <w:jc w:val="both"/>
      </w:pPr>
      <w:r>
        <w:t xml:space="preserve">5.2 and 5.3 of the Anti-Dumping Agreement. As such, MOFCOM was required to reject the application in accordance with China's obligations under Article 5.8 of the Anti-Dumping </w:t>
      </w:r>
      <w:r>
        <w:rPr>
          <w:spacing w:val="-2"/>
        </w:rPr>
        <w:t>Agreement.</w:t>
      </w:r>
    </w:p>
    <w:p w14:paraId="330205BF" w14:textId="77777777" w:rsidR="00BD462C" w:rsidRDefault="00033D0F" w:rsidP="00DA02D9">
      <w:pPr>
        <w:pStyle w:val="ListParagraph"/>
        <w:numPr>
          <w:ilvl w:val="1"/>
          <w:numId w:val="72"/>
        </w:numPr>
        <w:tabs>
          <w:tab w:val="left" w:pos="1839"/>
          <w:tab w:val="left" w:pos="1840"/>
        </w:tabs>
        <w:spacing w:before="160"/>
        <w:ind w:left="1840"/>
        <w:rPr>
          <w:b/>
        </w:rPr>
      </w:pPr>
      <w:bookmarkStart w:id="1375" w:name="D._Conclusion"/>
      <w:bookmarkStart w:id="1376" w:name="_bookmark1185"/>
      <w:bookmarkEnd w:id="1375"/>
      <w:bookmarkEnd w:id="1376"/>
      <w:r>
        <w:rPr>
          <w:b/>
          <w:spacing w:val="-2"/>
          <w:sz w:val="28"/>
        </w:rPr>
        <w:t>C</w:t>
      </w:r>
      <w:r>
        <w:rPr>
          <w:b/>
          <w:spacing w:val="-2"/>
        </w:rPr>
        <w:t>ONCLUSION</w:t>
      </w:r>
    </w:p>
    <w:p w14:paraId="6FA34F9E" w14:textId="77777777" w:rsidR="00BD462C" w:rsidRDefault="00BD462C">
      <w:pPr>
        <w:pStyle w:val="BodyText"/>
        <w:spacing w:before="10"/>
        <w:rPr>
          <w:b/>
          <w:sz w:val="22"/>
        </w:rPr>
      </w:pPr>
    </w:p>
    <w:p w14:paraId="67325B6E" w14:textId="378D0E56" w:rsidR="00BD462C" w:rsidRDefault="00A5381E">
      <w:pPr>
        <w:pStyle w:val="BodyText"/>
        <w:spacing w:before="56" w:line="360" w:lineRule="auto"/>
        <w:ind w:left="135" w:right="917"/>
        <w:jc w:val="both"/>
      </w:pPr>
      <w:r>
        <w:rPr>
          <w:noProof/>
        </w:rPr>
        <w:t>650.</w:t>
      </w:r>
      <w:r w:rsidR="00033D0F">
        <w:rPr>
          <w:rFonts w:ascii="Times New Roman"/>
          <w:spacing w:val="80"/>
          <w:w w:val="150"/>
          <w:position w:val="1"/>
          <w:sz w:val="20"/>
        </w:rPr>
        <w:t xml:space="preserve">  </w:t>
      </w:r>
      <w:r w:rsidR="00033D0F">
        <w:rPr>
          <w:position w:val="1"/>
        </w:rPr>
        <w:t>MOFCOM</w:t>
      </w:r>
      <w:r w:rsidR="00033D0F">
        <w:rPr>
          <w:spacing w:val="-2"/>
          <w:position w:val="1"/>
        </w:rPr>
        <w:t xml:space="preserve"> </w:t>
      </w:r>
      <w:r w:rsidR="00033D0F">
        <w:rPr>
          <w:position w:val="1"/>
        </w:rPr>
        <w:t>failed</w:t>
      </w:r>
      <w:r w:rsidR="00033D0F">
        <w:rPr>
          <w:spacing w:val="-4"/>
          <w:position w:val="1"/>
        </w:rPr>
        <w:t xml:space="preserve"> </w:t>
      </w:r>
      <w:r w:rsidR="00033D0F">
        <w:rPr>
          <w:position w:val="1"/>
        </w:rPr>
        <w:t>to:</w:t>
      </w:r>
      <w:r w:rsidR="00033D0F">
        <w:rPr>
          <w:spacing w:val="-5"/>
          <w:position w:val="1"/>
        </w:rPr>
        <w:t xml:space="preserve"> </w:t>
      </w:r>
      <w:r w:rsidR="00033D0F">
        <w:rPr>
          <w:position w:val="1"/>
        </w:rPr>
        <w:t>(i)</w:t>
      </w:r>
      <w:r w:rsidR="00033D0F">
        <w:rPr>
          <w:spacing w:val="-4"/>
          <w:position w:val="1"/>
        </w:rPr>
        <w:t xml:space="preserve"> </w:t>
      </w:r>
      <w:r w:rsidR="00033D0F">
        <w:rPr>
          <w:position w:val="1"/>
        </w:rPr>
        <w:t>determine</w:t>
      </w:r>
      <w:r w:rsidR="00033D0F">
        <w:rPr>
          <w:spacing w:val="-3"/>
          <w:position w:val="1"/>
        </w:rPr>
        <w:t xml:space="preserve"> </w:t>
      </w:r>
      <w:r w:rsidR="00033D0F">
        <w:rPr>
          <w:position w:val="1"/>
        </w:rPr>
        <w:t>standing</w:t>
      </w:r>
      <w:r w:rsidR="00033D0F">
        <w:rPr>
          <w:spacing w:val="-1"/>
          <w:position w:val="1"/>
        </w:rPr>
        <w:t xml:space="preserve"> </w:t>
      </w:r>
      <w:r w:rsidR="00033D0F">
        <w:rPr>
          <w:position w:val="1"/>
        </w:rPr>
        <w:t>adequately;</w:t>
      </w:r>
      <w:r w:rsidR="00033D0F">
        <w:rPr>
          <w:spacing w:val="-5"/>
          <w:position w:val="1"/>
        </w:rPr>
        <w:t xml:space="preserve"> </w:t>
      </w:r>
      <w:r w:rsidR="00033D0F">
        <w:rPr>
          <w:position w:val="1"/>
        </w:rPr>
        <w:t>(ii)</w:t>
      </w:r>
      <w:r w:rsidR="00033D0F">
        <w:rPr>
          <w:spacing w:val="-4"/>
          <w:position w:val="1"/>
        </w:rPr>
        <w:t xml:space="preserve"> </w:t>
      </w:r>
      <w:r w:rsidR="00033D0F">
        <w:rPr>
          <w:position w:val="1"/>
        </w:rPr>
        <w:t>require</w:t>
      </w:r>
      <w:r w:rsidR="00033D0F">
        <w:rPr>
          <w:spacing w:val="-2"/>
          <w:position w:val="1"/>
        </w:rPr>
        <w:t xml:space="preserve"> </w:t>
      </w:r>
      <w:r w:rsidR="00033D0F">
        <w:rPr>
          <w:position w:val="1"/>
        </w:rPr>
        <w:t>CADA</w:t>
      </w:r>
      <w:r w:rsidR="00033D0F">
        <w:rPr>
          <w:spacing w:val="-3"/>
          <w:position w:val="1"/>
        </w:rPr>
        <w:t xml:space="preserve"> </w:t>
      </w:r>
      <w:r w:rsidR="00033D0F">
        <w:rPr>
          <w:position w:val="1"/>
        </w:rPr>
        <w:t>to</w:t>
      </w:r>
      <w:r w:rsidR="00033D0F">
        <w:rPr>
          <w:spacing w:val="-5"/>
          <w:position w:val="1"/>
        </w:rPr>
        <w:t xml:space="preserve"> </w:t>
      </w:r>
      <w:r w:rsidR="00033D0F">
        <w:rPr>
          <w:position w:val="1"/>
        </w:rPr>
        <w:t>provide</w:t>
      </w:r>
      <w:r w:rsidR="00033D0F">
        <w:rPr>
          <w:spacing w:val="-3"/>
          <w:position w:val="1"/>
        </w:rPr>
        <w:t xml:space="preserve"> </w:t>
      </w:r>
      <w:r w:rsidR="00033D0F">
        <w:rPr>
          <w:position w:val="1"/>
        </w:rPr>
        <w:t xml:space="preserve">a </w:t>
      </w:r>
      <w:r w:rsidR="00033D0F">
        <w:t>list</w:t>
      </w:r>
      <w:r w:rsidR="00033D0F">
        <w:rPr>
          <w:spacing w:val="-4"/>
        </w:rPr>
        <w:t xml:space="preserve"> </w:t>
      </w:r>
      <w:r w:rsidR="00033D0F">
        <w:t>of</w:t>
      </w:r>
      <w:r w:rsidR="00033D0F">
        <w:rPr>
          <w:spacing w:val="-6"/>
        </w:rPr>
        <w:t xml:space="preserve"> </w:t>
      </w:r>
      <w:r w:rsidR="00033D0F">
        <w:t>all</w:t>
      </w:r>
      <w:r w:rsidR="00033D0F">
        <w:rPr>
          <w:spacing w:val="-2"/>
        </w:rPr>
        <w:t xml:space="preserve"> </w:t>
      </w:r>
      <w:r w:rsidR="00033D0F">
        <w:t>known</w:t>
      </w:r>
      <w:r w:rsidR="00033D0F">
        <w:rPr>
          <w:spacing w:val="-6"/>
        </w:rPr>
        <w:t xml:space="preserve"> </w:t>
      </w:r>
      <w:r w:rsidR="00033D0F">
        <w:t>domestic</w:t>
      </w:r>
      <w:r w:rsidR="00033D0F">
        <w:rPr>
          <w:spacing w:val="-6"/>
        </w:rPr>
        <w:t xml:space="preserve"> </w:t>
      </w:r>
      <w:r w:rsidR="00033D0F">
        <w:t>producers;</w:t>
      </w:r>
      <w:r w:rsidR="00033D0F">
        <w:rPr>
          <w:spacing w:val="-7"/>
        </w:rPr>
        <w:t xml:space="preserve"> </w:t>
      </w:r>
      <w:r w:rsidR="00033D0F">
        <w:t>(iii)</w:t>
      </w:r>
      <w:r w:rsidR="00033D0F">
        <w:rPr>
          <w:spacing w:val="-6"/>
        </w:rPr>
        <w:t xml:space="preserve"> </w:t>
      </w:r>
      <w:r w:rsidR="00033D0F">
        <w:t>examine</w:t>
      </w:r>
      <w:r w:rsidR="00033D0F">
        <w:rPr>
          <w:spacing w:val="-9"/>
        </w:rPr>
        <w:t xml:space="preserve"> </w:t>
      </w:r>
      <w:r w:rsidR="00033D0F">
        <w:t>the</w:t>
      </w:r>
      <w:r w:rsidR="00033D0F">
        <w:rPr>
          <w:spacing w:val="-5"/>
        </w:rPr>
        <w:t xml:space="preserve"> </w:t>
      </w:r>
      <w:r w:rsidR="00033D0F">
        <w:t>accuracy</w:t>
      </w:r>
      <w:r w:rsidR="00033D0F">
        <w:rPr>
          <w:spacing w:val="-3"/>
        </w:rPr>
        <w:t xml:space="preserve"> </w:t>
      </w:r>
      <w:r w:rsidR="00033D0F">
        <w:t>and</w:t>
      </w:r>
      <w:r w:rsidR="00033D0F">
        <w:rPr>
          <w:spacing w:val="-6"/>
        </w:rPr>
        <w:t xml:space="preserve"> </w:t>
      </w:r>
      <w:r w:rsidR="00033D0F">
        <w:t>adequacy</w:t>
      </w:r>
      <w:r w:rsidR="00033D0F">
        <w:rPr>
          <w:spacing w:val="-3"/>
        </w:rPr>
        <w:t xml:space="preserve"> </w:t>
      </w:r>
      <w:r w:rsidR="00033D0F">
        <w:t>of</w:t>
      </w:r>
      <w:r w:rsidR="00033D0F">
        <w:rPr>
          <w:spacing w:val="-6"/>
        </w:rPr>
        <w:t xml:space="preserve"> </w:t>
      </w:r>
      <w:r w:rsidR="00033D0F">
        <w:t>the</w:t>
      </w:r>
      <w:r w:rsidR="00033D0F">
        <w:rPr>
          <w:spacing w:val="-5"/>
        </w:rPr>
        <w:t xml:space="preserve"> </w:t>
      </w:r>
      <w:r w:rsidR="00033D0F">
        <w:t>evidence provided by CADA in the written application; and (iv) reject the application and promptly terminate</w:t>
      </w:r>
      <w:r w:rsidR="00033D0F">
        <w:rPr>
          <w:spacing w:val="-14"/>
        </w:rPr>
        <w:t xml:space="preserve"> </w:t>
      </w:r>
      <w:r w:rsidR="00033D0F">
        <w:t>the</w:t>
      </w:r>
      <w:r w:rsidR="00033D0F">
        <w:rPr>
          <w:spacing w:val="-12"/>
        </w:rPr>
        <w:t xml:space="preserve"> </w:t>
      </w:r>
      <w:r w:rsidR="00033D0F">
        <w:t>anti-dumping</w:t>
      </w:r>
      <w:r w:rsidR="00033D0F">
        <w:rPr>
          <w:spacing w:val="-11"/>
        </w:rPr>
        <w:t xml:space="preserve"> </w:t>
      </w:r>
      <w:r w:rsidR="00033D0F">
        <w:t>investigation</w:t>
      </w:r>
      <w:r w:rsidR="00033D0F">
        <w:rPr>
          <w:spacing w:val="-14"/>
        </w:rPr>
        <w:t xml:space="preserve"> </w:t>
      </w:r>
      <w:r w:rsidR="00033D0F">
        <w:t>as</w:t>
      </w:r>
      <w:r w:rsidR="00033D0F">
        <w:rPr>
          <w:spacing w:val="-10"/>
        </w:rPr>
        <w:t xml:space="preserve"> </w:t>
      </w:r>
      <w:r w:rsidR="00033D0F">
        <w:t>soon</w:t>
      </w:r>
      <w:r w:rsidR="00033D0F">
        <w:rPr>
          <w:spacing w:val="-10"/>
        </w:rPr>
        <w:t xml:space="preserve"> </w:t>
      </w:r>
      <w:r w:rsidR="00033D0F">
        <w:t>as</w:t>
      </w:r>
      <w:r w:rsidR="00033D0F">
        <w:rPr>
          <w:spacing w:val="-11"/>
        </w:rPr>
        <w:t xml:space="preserve"> </w:t>
      </w:r>
      <w:r w:rsidR="00033D0F">
        <w:t>it</w:t>
      </w:r>
      <w:r w:rsidR="00033D0F">
        <w:rPr>
          <w:spacing w:val="-12"/>
        </w:rPr>
        <w:t xml:space="preserve"> </w:t>
      </w:r>
      <w:r w:rsidR="00033D0F">
        <w:t>was</w:t>
      </w:r>
      <w:r w:rsidR="00033D0F">
        <w:rPr>
          <w:spacing w:val="-11"/>
        </w:rPr>
        <w:t xml:space="preserve"> </w:t>
      </w:r>
      <w:r w:rsidR="00033D0F">
        <w:t>satisfied</w:t>
      </w:r>
      <w:r w:rsidR="00033D0F">
        <w:rPr>
          <w:spacing w:val="-14"/>
        </w:rPr>
        <w:t xml:space="preserve"> </w:t>
      </w:r>
      <w:r w:rsidR="00033D0F">
        <w:t>that</w:t>
      </w:r>
      <w:r w:rsidR="00033D0F">
        <w:rPr>
          <w:spacing w:val="-11"/>
        </w:rPr>
        <w:t xml:space="preserve"> </w:t>
      </w:r>
      <w:r w:rsidR="00033D0F">
        <w:t>there</w:t>
      </w:r>
      <w:r w:rsidR="00033D0F">
        <w:rPr>
          <w:spacing w:val="-13"/>
        </w:rPr>
        <w:t xml:space="preserve"> </w:t>
      </w:r>
      <w:r w:rsidR="00033D0F">
        <w:t>was</w:t>
      </w:r>
      <w:r w:rsidR="00033D0F">
        <w:rPr>
          <w:spacing w:val="-11"/>
        </w:rPr>
        <w:t xml:space="preserve"> </w:t>
      </w:r>
      <w:r w:rsidR="00033D0F">
        <w:t xml:space="preserve">insufficient </w:t>
      </w:r>
      <w:r w:rsidR="00033D0F">
        <w:rPr>
          <w:spacing w:val="-2"/>
        </w:rPr>
        <w:t>evidence.</w:t>
      </w:r>
    </w:p>
    <w:p w14:paraId="11EA6EB2" w14:textId="40E6A7AC" w:rsidR="00BD462C" w:rsidRDefault="00A5381E">
      <w:pPr>
        <w:pStyle w:val="BodyText"/>
        <w:spacing w:before="159" w:line="352" w:lineRule="auto"/>
        <w:ind w:left="136" w:right="914"/>
        <w:jc w:val="both"/>
      </w:pPr>
      <w:r>
        <w:rPr>
          <w:noProof/>
        </w:rPr>
        <w:t>651.</w:t>
      </w:r>
      <w:r w:rsidR="00033D0F">
        <w:rPr>
          <w:rFonts w:ascii="Times New Roman"/>
          <w:spacing w:val="80"/>
          <w:w w:val="150"/>
          <w:position w:val="1"/>
          <w:sz w:val="20"/>
        </w:rPr>
        <w:t xml:space="preserve">  </w:t>
      </w:r>
      <w:r w:rsidR="00033D0F">
        <w:rPr>
          <w:position w:val="1"/>
        </w:rPr>
        <w:t>For the reasons set out above, and in Australia's first written submission,</w:t>
      </w:r>
      <w:hyperlink w:anchor="_bookmark1191" w:history="1">
        <w:r w:rsidR="00033D0F">
          <w:rPr>
            <w:position w:val="1"/>
            <w:vertAlign w:val="superscript"/>
          </w:rPr>
          <w:t>1025</w:t>
        </w:r>
      </w:hyperlink>
      <w:r w:rsidR="00033D0F">
        <w:rPr>
          <w:position w:val="1"/>
        </w:rPr>
        <w:t xml:space="preserve"> China </w:t>
      </w:r>
      <w:r w:rsidR="00033D0F">
        <w:t>has failed to rebut Australia's claims that MOFCOM acted inconsistently with Article 5 in its improper initiation of the anti-dumping investigation.</w:t>
      </w:r>
    </w:p>
    <w:p w14:paraId="69A54D12" w14:textId="77777777" w:rsidR="00BD462C" w:rsidRDefault="00BD462C">
      <w:pPr>
        <w:pStyle w:val="BodyText"/>
        <w:rPr>
          <w:sz w:val="20"/>
        </w:rPr>
      </w:pPr>
    </w:p>
    <w:p w14:paraId="058AA467" w14:textId="032D11D4" w:rsidR="00BD462C" w:rsidRDefault="007E218F">
      <w:pPr>
        <w:pStyle w:val="BodyText"/>
        <w:spacing w:before="8"/>
        <w:rPr>
          <w:sz w:val="22"/>
        </w:rPr>
      </w:pPr>
      <w:r>
        <w:rPr>
          <w:noProof/>
        </w:rPr>
        <mc:AlternateContent>
          <mc:Choice Requires="wps">
            <w:drawing>
              <wp:anchor distT="0" distB="0" distL="0" distR="0" simplePos="0" relativeHeight="488196608" behindDoc="1" locked="0" layoutInCell="1" allowOverlap="1" wp14:anchorId="7311A75D" wp14:editId="074E8138">
                <wp:simplePos x="0" y="0"/>
                <wp:positionH relativeFrom="page">
                  <wp:posOffset>812800</wp:posOffset>
                </wp:positionH>
                <wp:positionV relativeFrom="paragraph">
                  <wp:posOffset>177800</wp:posOffset>
                </wp:positionV>
                <wp:extent cx="1828800" cy="8890"/>
                <wp:effectExtent l="0" t="0" r="0" b="0"/>
                <wp:wrapTopAndBottom/>
                <wp:docPr id="173" name="docshape6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ADE2A6" id="docshape664" o:spid="_x0000_s1026" alt="&quot;&quot;" style="position:absolute;margin-left:64pt;margin-top:14pt;width:2in;height:.7pt;z-index:-1511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" fillcolor="black" stroked="f">
                <w10:wrap type="topAndBottom" anchorx="page"/>
              </v:rect>
            </w:pict>
          </mc:Fallback>
        </mc:AlternateContent>
      </w:r>
    </w:p>
    <w:p w14:paraId="32D1B65F" w14:textId="77777777" w:rsidR="00BD462C" w:rsidRDefault="00033D0F">
      <w:pPr>
        <w:spacing w:before="112"/>
        <w:ind w:left="135"/>
        <w:rPr>
          <w:sz w:val="18"/>
        </w:rPr>
      </w:pPr>
      <w:bookmarkStart w:id="1377" w:name="_bookmark1186"/>
      <w:bookmarkEnd w:id="1377"/>
      <w:r>
        <w:rPr>
          <w:position w:val="5"/>
          <w:sz w:val="12"/>
        </w:rPr>
        <w:t>1020</w:t>
      </w:r>
      <w:r>
        <w:rPr>
          <w:spacing w:val="12"/>
          <w:position w:val="5"/>
          <w:sz w:val="12"/>
        </w:rPr>
        <w:t xml:space="preserve"> </w:t>
      </w:r>
      <w:r>
        <w:rPr>
          <w:sz w:val="18"/>
        </w:rPr>
        <w:t>Australia's</w:t>
      </w:r>
      <w:r>
        <w:rPr>
          <w:spacing w:val="-5"/>
          <w:sz w:val="18"/>
        </w:rPr>
        <w:t xml:space="preserve"> </w:t>
      </w:r>
      <w:r>
        <w:rPr>
          <w:sz w:val="18"/>
        </w:rPr>
        <w:t>first</w:t>
      </w:r>
      <w:r>
        <w:rPr>
          <w:spacing w:val="-5"/>
          <w:sz w:val="18"/>
        </w:rPr>
        <w:t xml:space="preserve"> </w:t>
      </w:r>
      <w:r>
        <w:rPr>
          <w:sz w:val="18"/>
        </w:rPr>
        <w:t>written</w:t>
      </w:r>
      <w:r>
        <w:rPr>
          <w:spacing w:val="-2"/>
          <w:sz w:val="18"/>
        </w:rPr>
        <w:t xml:space="preserve"> </w:t>
      </w:r>
      <w:r>
        <w:rPr>
          <w:sz w:val="18"/>
        </w:rPr>
        <w:t>submission, para.</w:t>
      </w:r>
      <w:r>
        <w:rPr>
          <w:spacing w:val="-4"/>
          <w:sz w:val="18"/>
        </w:rPr>
        <w:t xml:space="preserve"> </w:t>
      </w:r>
      <w:r>
        <w:rPr>
          <w:sz w:val="18"/>
        </w:rPr>
        <w:t>804</w:t>
      </w:r>
      <w:r>
        <w:rPr>
          <w:spacing w:val="-8"/>
          <w:sz w:val="18"/>
        </w:rPr>
        <w:t xml:space="preserve"> </w:t>
      </w:r>
      <w:r>
        <w:rPr>
          <w:sz w:val="18"/>
        </w:rPr>
        <w:t>(corrected);</w:t>
      </w:r>
      <w:r>
        <w:rPr>
          <w:spacing w:val="-7"/>
          <w:sz w:val="18"/>
        </w:rPr>
        <w:t xml:space="preserve"> </w:t>
      </w:r>
      <w:r>
        <w:rPr>
          <w:sz w:val="18"/>
        </w:rPr>
        <w:t>China's</w:t>
      </w:r>
      <w:r>
        <w:rPr>
          <w:spacing w:val="-6"/>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w:t>
      </w:r>
      <w:r>
        <w:rPr>
          <w:spacing w:val="-4"/>
          <w:sz w:val="18"/>
        </w:rPr>
        <w:t xml:space="preserve"> </w:t>
      </w:r>
      <w:r>
        <w:rPr>
          <w:sz w:val="18"/>
        </w:rPr>
        <w:t>para.</w:t>
      </w:r>
      <w:r>
        <w:rPr>
          <w:spacing w:val="-5"/>
          <w:sz w:val="18"/>
        </w:rPr>
        <w:t xml:space="preserve"> </w:t>
      </w:r>
      <w:r>
        <w:rPr>
          <w:spacing w:val="-2"/>
          <w:sz w:val="18"/>
        </w:rPr>
        <w:t>2142.</w:t>
      </w:r>
    </w:p>
    <w:p w14:paraId="324E21C5" w14:textId="77777777" w:rsidR="00BD462C" w:rsidRDefault="00033D0F">
      <w:pPr>
        <w:spacing w:before="1"/>
        <w:ind w:left="135"/>
        <w:rPr>
          <w:sz w:val="18"/>
        </w:rPr>
      </w:pPr>
      <w:bookmarkStart w:id="1378" w:name="_bookmark1187"/>
      <w:bookmarkEnd w:id="1378"/>
      <w:r>
        <w:rPr>
          <w:position w:val="5"/>
          <w:sz w:val="12"/>
        </w:rPr>
        <w:t>1021</w:t>
      </w:r>
      <w:r>
        <w:rPr>
          <w:spacing w:val="13"/>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 xml:space="preserve">para. </w:t>
      </w:r>
      <w:r>
        <w:rPr>
          <w:spacing w:val="-2"/>
          <w:sz w:val="18"/>
        </w:rPr>
        <w:t>2164.</w:t>
      </w:r>
    </w:p>
    <w:p w14:paraId="7A725270" w14:textId="77777777" w:rsidR="00BD462C" w:rsidRDefault="00033D0F">
      <w:pPr>
        <w:spacing w:before="1" w:line="218" w:lineRule="exact"/>
        <w:ind w:left="135"/>
        <w:rPr>
          <w:sz w:val="18"/>
        </w:rPr>
      </w:pPr>
      <w:bookmarkStart w:id="1379" w:name="_bookmark1188"/>
      <w:bookmarkEnd w:id="1379"/>
      <w:r>
        <w:rPr>
          <w:position w:val="5"/>
          <w:sz w:val="12"/>
        </w:rPr>
        <w:t>1022</w:t>
      </w:r>
      <w:r>
        <w:rPr>
          <w:spacing w:val="12"/>
          <w:position w:val="5"/>
          <w:sz w:val="12"/>
        </w:rPr>
        <w:t xml:space="preserve"> </w:t>
      </w:r>
      <w:r>
        <w:rPr>
          <w:sz w:val="18"/>
        </w:rPr>
        <w:t>Australia's</w:t>
      </w:r>
      <w:r>
        <w:rPr>
          <w:spacing w:val="-6"/>
          <w:sz w:val="18"/>
        </w:rPr>
        <w:t xml:space="preserve"> </w:t>
      </w:r>
      <w:r>
        <w:rPr>
          <w:sz w:val="18"/>
        </w:rPr>
        <w:t>first</w:t>
      </w:r>
      <w:r>
        <w:rPr>
          <w:spacing w:val="-6"/>
          <w:sz w:val="18"/>
        </w:rPr>
        <w:t xml:space="preserve"> </w:t>
      </w:r>
      <w:r>
        <w:rPr>
          <w:sz w:val="18"/>
        </w:rPr>
        <w:t>written</w:t>
      </w:r>
      <w:r>
        <w:rPr>
          <w:spacing w:val="-2"/>
          <w:sz w:val="18"/>
        </w:rPr>
        <w:t xml:space="preserve"> </w:t>
      </w:r>
      <w:r>
        <w:rPr>
          <w:sz w:val="18"/>
        </w:rPr>
        <w:t>submission, paras.</w:t>
      </w:r>
      <w:r>
        <w:rPr>
          <w:spacing w:val="-5"/>
          <w:sz w:val="18"/>
        </w:rPr>
        <w:t xml:space="preserve"> </w:t>
      </w:r>
      <w:r>
        <w:rPr>
          <w:sz w:val="18"/>
        </w:rPr>
        <w:t>802-</w:t>
      </w:r>
      <w:r>
        <w:rPr>
          <w:spacing w:val="-4"/>
          <w:sz w:val="18"/>
        </w:rPr>
        <w:t>823.</w:t>
      </w:r>
    </w:p>
    <w:p w14:paraId="0ED184A8" w14:textId="77777777" w:rsidR="00BD462C" w:rsidRDefault="00033D0F">
      <w:pPr>
        <w:spacing w:line="218" w:lineRule="exact"/>
        <w:ind w:left="135"/>
        <w:rPr>
          <w:sz w:val="18"/>
        </w:rPr>
      </w:pPr>
      <w:bookmarkStart w:id="1380" w:name="_bookmark1189"/>
      <w:bookmarkEnd w:id="1380"/>
      <w:r>
        <w:rPr>
          <w:position w:val="5"/>
          <w:sz w:val="12"/>
        </w:rPr>
        <w:t>1023</w:t>
      </w:r>
      <w:r>
        <w:rPr>
          <w:spacing w:val="13"/>
          <w:position w:val="5"/>
          <w:sz w:val="12"/>
        </w:rPr>
        <w:t xml:space="preserve"> </w:t>
      </w:r>
      <w:r>
        <w:rPr>
          <w:sz w:val="18"/>
        </w:rPr>
        <w:t>Panel</w:t>
      </w:r>
      <w:r>
        <w:rPr>
          <w:spacing w:val="-3"/>
          <w:sz w:val="18"/>
        </w:rPr>
        <w:t xml:space="preserve"> </w:t>
      </w:r>
      <w:r>
        <w:rPr>
          <w:sz w:val="18"/>
        </w:rPr>
        <w:t>Report,</w:t>
      </w:r>
      <w:r>
        <w:rPr>
          <w:spacing w:val="-7"/>
          <w:sz w:val="18"/>
        </w:rPr>
        <w:t xml:space="preserve"> </w:t>
      </w:r>
      <w:r>
        <w:rPr>
          <w:i/>
          <w:sz w:val="18"/>
        </w:rPr>
        <w:t>Morocco</w:t>
      </w:r>
      <w:r>
        <w:rPr>
          <w:i/>
          <w:spacing w:val="-2"/>
          <w:sz w:val="18"/>
        </w:rPr>
        <w:t xml:space="preserve"> </w:t>
      </w:r>
      <w:r>
        <w:rPr>
          <w:i/>
          <w:sz w:val="18"/>
        </w:rPr>
        <w:t>–</w:t>
      </w:r>
      <w:r>
        <w:rPr>
          <w:i/>
          <w:spacing w:val="-1"/>
          <w:sz w:val="18"/>
        </w:rPr>
        <w:t xml:space="preserve"> </w:t>
      </w:r>
      <w:r>
        <w:rPr>
          <w:i/>
          <w:sz w:val="18"/>
        </w:rPr>
        <w:t>Definitive</w:t>
      </w:r>
      <w:r>
        <w:rPr>
          <w:i/>
          <w:spacing w:val="-1"/>
          <w:sz w:val="18"/>
        </w:rPr>
        <w:t xml:space="preserve"> </w:t>
      </w:r>
      <w:r>
        <w:rPr>
          <w:i/>
          <w:sz w:val="18"/>
        </w:rPr>
        <w:t>AD</w:t>
      </w:r>
      <w:r>
        <w:rPr>
          <w:i/>
          <w:spacing w:val="-10"/>
          <w:sz w:val="18"/>
        </w:rPr>
        <w:t xml:space="preserve"> </w:t>
      </w:r>
      <w:r>
        <w:rPr>
          <w:i/>
          <w:sz w:val="18"/>
        </w:rPr>
        <w:t>Measures</w:t>
      </w:r>
      <w:r>
        <w:rPr>
          <w:i/>
          <w:spacing w:val="-9"/>
          <w:sz w:val="18"/>
        </w:rPr>
        <w:t xml:space="preserve"> </w:t>
      </w:r>
      <w:r>
        <w:rPr>
          <w:i/>
          <w:sz w:val="18"/>
        </w:rPr>
        <w:t>on</w:t>
      </w:r>
      <w:r>
        <w:rPr>
          <w:i/>
          <w:spacing w:val="-4"/>
          <w:sz w:val="18"/>
        </w:rPr>
        <w:t xml:space="preserve"> </w:t>
      </w:r>
      <w:r>
        <w:rPr>
          <w:i/>
          <w:sz w:val="18"/>
        </w:rPr>
        <w:t>Exercise</w:t>
      </w:r>
      <w:r>
        <w:rPr>
          <w:i/>
          <w:spacing w:val="-5"/>
          <w:sz w:val="18"/>
        </w:rPr>
        <w:t xml:space="preserve"> </w:t>
      </w:r>
      <w:r>
        <w:rPr>
          <w:i/>
          <w:sz w:val="18"/>
        </w:rPr>
        <w:t>Books</w:t>
      </w:r>
      <w:r>
        <w:rPr>
          <w:i/>
          <w:spacing w:val="-4"/>
          <w:sz w:val="18"/>
        </w:rPr>
        <w:t xml:space="preserve"> </w:t>
      </w:r>
      <w:r>
        <w:rPr>
          <w:sz w:val="18"/>
        </w:rPr>
        <w:t>(Tunisia),</w:t>
      </w:r>
      <w:r>
        <w:rPr>
          <w:spacing w:val="-2"/>
          <w:sz w:val="18"/>
        </w:rPr>
        <w:t xml:space="preserve"> </w:t>
      </w:r>
      <w:r>
        <w:rPr>
          <w:sz w:val="18"/>
        </w:rPr>
        <w:t>paras.</w:t>
      </w:r>
      <w:r>
        <w:rPr>
          <w:spacing w:val="-4"/>
          <w:sz w:val="18"/>
        </w:rPr>
        <w:t xml:space="preserve"> </w:t>
      </w:r>
      <w:r>
        <w:rPr>
          <w:sz w:val="18"/>
        </w:rPr>
        <w:t>7.359-</w:t>
      </w:r>
      <w:r>
        <w:rPr>
          <w:spacing w:val="-2"/>
          <w:sz w:val="18"/>
        </w:rPr>
        <w:t>7.360.</w:t>
      </w:r>
    </w:p>
    <w:p w14:paraId="16DADF26" w14:textId="77777777" w:rsidR="00BD462C" w:rsidRDefault="00033D0F">
      <w:pPr>
        <w:spacing w:before="1"/>
        <w:ind w:left="136" w:right="904" w:hanging="1"/>
        <w:jc w:val="both"/>
        <w:rPr>
          <w:sz w:val="18"/>
        </w:rPr>
      </w:pPr>
      <w:bookmarkStart w:id="1381" w:name="_bookmark1190"/>
      <w:bookmarkEnd w:id="1381"/>
      <w:r>
        <w:rPr>
          <w:position w:val="5"/>
          <w:sz w:val="12"/>
        </w:rPr>
        <w:t>1024</w:t>
      </w:r>
      <w:r>
        <w:rPr>
          <w:spacing w:val="28"/>
          <w:position w:val="5"/>
          <w:sz w:val="12"/>
        </w:rPr>
        <w:t xml:space="preserve"> </w:t>
      </w:r>
      <w:r>
        <w:rPr>
          <w:sz w:val="18"/>
        </w:rPr>
        <w:t xml:space="preserve">Panel Report, </w:t>
      </w:r>
      <w:r>
        <w:rPr>
          <w:i/>
          <w:sz w:val="18"/>
        </w:rPr>
        <w:t>US – Softwood Lumber V</w:t>
      </w:r>
      <w:r>
        <w:rPr>
          <w:sz w:val="18"/>
        </w:rPr>
        <w:t>, para. 7.134 ("From the wording of Article 5.8, it is clear that it addresses two situations. The first one addressing the situation where the application is to be rejected before the initiation of the investigation, and the second dealing with the termination of the investigation after it has been initiated […]").</w:t>
      </w:r>
    </w:p>
    <w:p w14:paraId="65AF7E88" w14:textId="77777777" w:rsidR="00BD462C" w:rsidRDefault="00033D0F">
      <w:pPr>
        <w:spacing w:before="3"/>
        <w:ind w:left="135"/>
        <w:jc w:val="both"/>
        <w:rPr>
          <w:sz w:val="18"/>
        </w:rPr>
      </w:pPr>
      <w:bookmarkStart w:id="1382" w:name="_bookmark1191"/>
      <w:bookmarkEnd w:id="1382"/>
      <w:r>
        <w:rPr>
          <w:position w:val="5"/>
          <w:sz w:val="12"/>
        </w:rPr>
        <w:t>1025</w:t>
      </w:r>
      <w:r>
        <w:rPr>
          <w:spacing w:val="12"/>
          <w:position w:val="5"/>
          <w:sz w:val="12"/>
        </w:rPr>
        <w:t xml:space="preserve"> </w:t>
      </w:r>
      <w:r>
        <w:rPr>
          <w:sz w:val="18"/>
        </w:rPr>
        <w:t>Australia's</w:t>
      </w:r>
      <w:r>
        <w:rPr>
          <w:spacing w:val="-6"/>
          <w:sz w:val="18"/>
        </w:rPr>
        <w:t xml:space="preserve"> </w:t>
      </w:r>
      <w:r>
        <w:rPr>
          <w:sz w:val="18"/>
        </w:rPr>
        <w:t>first</w:t>
      </w:r>
      <w:r>
        <w:rPr>
          <w:spacing w:val="-6"/>
          <w:sz w:val="18"/>
        </w:rPr>
        <w:t xml:space="preserve"> </w:t>
      </w:r>
      <w:r>
        <w:rPr>
          <w:sz w:val="18"/>
        </w:rPr>
        <w:t>written</w:t>
      </w:r>
      <w:r>
        <w:rPr>
          <w:spacing w:val="-2"/>
          <w:sz w:val="18"/>
        </w:rPr>
        <w:t xml:space="preserve"> </w:t>
      </w:r>
      <w:r>
        <w:rPr>
          <w:sz w:val="18"/>
        </w:rPr>
        <w:t>submission, paras.</w:t>
      </w:r>
      <w:r>
        <w:rPr>
          <w:spacing w:val="-5"/>
          <w:sz w:val="18"/>
        </w:rPr>
        <w:t xml:space="preserve"> </w:t>
      </w:r>
      <w:r>
        <w:rPr>
          <w:sz w:val="18"/>
        </w:rPr>
        <w:t>742-</w:t>
      </w:r>
      <w:r>
        <w:rPr>
          <w:spacing w:val="-4"/>
          <w:sz w:val="18"/>
        </w:rPr>
        <w:t>826.</w:t>
      </w:r>
    </w:p>
    <w:p w14:paraId="18961D6C" w14:textId="77777777" w:rsidR="00BD462C" w:rsidRDefault="00BD462C">
      <w:pPr>
        <w:jc w:val="both"/>
        <w:rPr>
          <w:sz w:val="18"/>
        </w:rPr>
        <w:sectPr w:rsidR="00BD462C">
          <w:pgSz w:w="11910" w:h="16840"/>
          <w:pgMar w:top="860" w:right="500" w:bottom="780" w:left="1280" w:header="566" w:footer="590" w:gutter="0"/>
          <w:cols w:space="720"/>
        </w:sectPr>
      </w:pPr>
    </w:p>
    <w:p w14:paraId="51F36EEE"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02F3913B"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55174612"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78E7FEDF" w14:textId="77777777" w:rsidR="00BD462C" w:rsidRDefault="00033D0F" w:rsidP="00DA02D9">
      <w:pPr>
        <w:pStyle w:val="Heading1"/>
        <w:numPr>
          <w:ilvl w:val="0"/>
          <w:numId w:val="72"/>
        </w:numPr>
        <w:tabs>
          <w:tab w:val="left" w:pos="985"/>
          <w:tab w:val="left" w:pos="986"/>
          <w:tab w:val="left" w:pos="2728"/>
          <w:tab w:val="left" w:pos="3855"/>
          <w:tab w:val="left" w:pos="5683"/>
          <w:tab w:val="left" w:pos="7258"/>
          <w:tab w:val="left" w:pos="8669"/>
        </w:tabs>
        <w:spacing w:line="357" w:lineRule="auto"/>
        <w:ind w:right="922"/>
      </w:pPr>
      <w:bookmarkStart w:id="1383" w:name="VII._Australia's_claims_concerning_MOFCO"/>
      <w:bookmarkStart w:id="1384" w:name="_bookmark1192"/>
      <w:bookmarkEnd w:id="1383"/>
      <w:bookmarkEnd w:id="1384"/>
      <w:r>
        <w:rPr>
          <w:spacing w:val="-2"/>
        </w:rPr>
        <w:t>AUSTRALIA'S</w:t>
      </w:r>
      <w:r>
        <w:tab/>
      </w:r>
      <w:r>
        <w:rPr>
          <w:spacing w:val="-2"/>
        </w:rPr>
        <w:t>CLAIMS</w:t>
      </w:r>
      <w:r>
        <w:tab/>
      </w:r>
      <w:r>
        <w:rPr>
          <w:spacing w:val="-2"/>
        </w:rPr>
        <w:t>CONCERNING</w:t>
      </w:r>
      <w:r>
        <w:tab/>
      </w:r>
      <w:r>
        <w:rPr>
          <w:spacing w:val="-2"/>
        </w:rPr>
        <w:t>MOFCOM'S</w:t>
      </w:r>
      <w:r>
        <w:tab/>
      </w:r>
      <w:r>
        <w:rPr>
          <w:spacing w:val="-2"/>
        </w:rPr>
        <w:t>CONDUCT</w:t>
      </w:r>
      <w:r>
        <w:tab/>
      </w:r>
      <w:r>
        <w:rPr>
          <w:spacing w:val="-4"/>
        </w:rPr>
        <w:t xml:space="preserve">AND </w:t>
      </w:r>
      <w:r>
        <w:t>TRANSPARENCY OF THE INVESTIGATION</w:t>
      </w:r>
    </w:p>
    <w:p w14:paraId="7729BC27" w14:textId="77777777" w:rsidR="00BD462C" w:rsidRDefault="00033D0F" w:rsidP="00DA02D9">
      <w:pPr>
        <w:pStyle w:val="ListParagraph"/>
        <w:numPr>
          <w:ilvl w:val="1"/>
          <w:numId w:val="72"/>
        </w:numPr>
        <w:tabs>
          <w:tab w:val="left" w:pos="1695"/>
          <w:tab w:val="left" w:pos="1696"/>
        </w:tabs>
        <w:spacing w:before="167"/>
        <w:ind w:left="1695" w:hanging="850"/>
        <w:rPr>
          <w:b/>
        </w:rPr>
      </w:pPr>
      <w:bookmarkStart w:id="1385" w:name="A._Introduction"/>
      <w:bookmarkStart w:id="1386" w:name="_bookmark1193"/>
      <w:bookmarkEnd w:id="1385"/>
      <w:bookmarkEnd w:id="1386"/>
      <w:r>
        <w:rPr>
          <w:b/>
          <w:spacing w:val="-2"/>
          <w:sz w:val="28"/>
        </w:rPr>
        <w:t>I</w:t>
      </w:r>
      <w:r>
        <w:rPr>
          <w:b/>
          <w:spacing w:val="-2"/>
        </w:rPr>
        <w:t>NTRODUCTION</w:t>
      </w:r>
    </w:p>
    <w:p w14:paraId="172409D9" w14:textId="77777777" w:rsidR="00BD462C" w:rsidRDefault="00BD462C">
      <w:pPr>
        <w:pStyle w:val="BodyText"/>
        <w:spacing w:before="9"/>
        <w:rPr>
          <w:b/>
          <w:sz w:val="22"/>
        </w:rPr>
      </w:pPr>
    </w:p>
    <w:p w14:paraId="5C9A900A" w14:textId="684B6A74" w:rsidR="00BD462C" w:rsidRDefault="00A5381E">
      <w:pPr>
        <w:pStyle w:val="BodyText"/>
        <w:spacing w:before="56" w:line="360" w:lineRule="auto"/>
        <w:ind w:left="136" w:right="912"/>
        <w:jc w:val="both"/>
      </w:pPr>
      <w:r>
        <w:rPr>
          <w:noProof/>
        </w:rPr>
        <w:t>652.</w:t>
      </w:r>
      <w:r w:rsidR="00033D0F">
        <w:rPr>
          <w:rFonts w:ascii="Times New Roman"/>
          <w:spacing w:val="80"/>
          <w:w w:val="150"/>
          <w:position w:val="1"/>
          <w:sz w:val="20"/>
        </w:rPr>
        <w:t xml:space="preserve">  </w:t>
      </w:r>
      <w:r w:rsidR="00033D0F">
        <w:rPr>
          <w:position w:val="1"/>
        </w:rPr>
        <w:t xml:space="preserve">Australia's claims with respect to MOFCOM's conduct of the investigation, including </w:t>
      </w:r>
      <w:r w:rsidR="00033D0F">
        <w:t xml:space="preserve">the lack of transparency, inadequate disclosures on MOFCOM's part, and the quality of the reasons it provided, form a significant part of this dispute. MOFCOM's investigation was </w:t>
      </w:r>
      <w:proofErr w:type="spellStart"/>
      <w:r w:rsidR="00033D0F">
        <w:t>characterised</w:t>
      </w:r>
      <w:proofErr w:type="spellEnd"/>
      <w:r w:rsidR="00033D0F">
        <w:rPr>
          <w:spacing w:val="-14"/>
        </w:rPr>
        <w:t xml:space="preserve"> </w:t>
      </w:r>
      <w:r w:rsidR="00033D0F">
        <w:t>by</w:t>
      </w:r>
      <w:r w:rsidR="00033D0F">
        <w:rPr>
          <w:spacing w:val="-14"/>
        </w:rPr>
        <w:t xml:space="preserve"> </w:t>
      </w:r>
      <w:r w:rsidR="00033D0F">
        <w:t>fundamental</w:t>
      </w:r>
      <w:r w:rsidR="00033D0F">
        <w:rPr>
          <w:spacing w:val="-13"/>
        </w:rPr>
        <w:t xml:space="preserve"> </w:t>
      </w:r>
      <w:r w:rsidR="00033D0F">
        <w:t>procedural</w:t>
      </w:r>
      <w:r w:rsidR="00033D0F">
        <w:rPr>
          <w:spacing w:val="-14"/>
        </w:rPr>
        <w:t xml:space="preserve"> </w:t>
      </w:r>
      <w:r w:rsidR="00033D0F">
        <w:t>deficiencies</w:t>
      </w:r>
      <w:r w:rsidR="00033D0F">
        <w:rPr>
          <w:spacing w:val="-13"/>
        </w:rPr>
        <w:t xml:space="preserve"> </w:t>
      </w:r>
      <w:r w:rsidR="00033D0F">
        <w:t>from</w:t>
      </w:r>
      <w:r w:rsidR="00033D0F">
        <w:rPr>
          <w:spacing w:val="-14"/>
        </w:rPr>
        <w:t xml:space="preserve"> </w:t>
      </w:r>
      <w:r w:rsidR="00033D0F">
        <w:t>beginning</w:t>
      </w:r>
      <w:r w:rsidR="00033D0F">
        <w:rPr>
          <w:spacing w:val="-13"/>
        </w:rPr>
        <w:t xml:space="preserve"> </w:t>
      </w:r>
      <w:r w:rsidR="00033D0F">
        <w:t>to</w:t>
      </w:r>
      <w:r w:rsidR="00033D0F">
        <w:rPr>
          <w:spacing w:val="-13"/>
        </w:rPr>
        <w:t xml:space="preserve"> </w:t>
      </w:r>
      <w:r w:rsidR="00033D0F">
        <w:t>end</w:t>
      </w:r>
      <w:r w:rsidR="00033D0F">
        <w:rPr>
          <w:spacing w:val="-14"/>
        </w:rPr>
        <w:t xml:space="preserve"> </w:t>
      </w:r>
      <w:r w:rsidR="00033D0F">
        <w:t>that</w:t>
      </w:r>
      <w:r w:rsidR="00033D0F">
        <w:rPr>
          <w:spacing w:val="-13"/>
        </w:rPr>
        <w:t xml:space="preserve"> </w:t>
      </w:r>
      <w:r w:rsidR="00033D0F">
        <w:t>undermined its</w:t>
      </w:r>
      <w:r w:rsidR="00033D0F">
        <w:rPr>
          <w:spacing w:val="-2"/>
        </w:rPr>
        <w:t xml:space="preserve"> </w:t>
      </w:r>
      <w:r w:rsidR="00033D0F">
        <w:t>findings</w:t>
      </w:r>
      <w:r w:rsidR="00033D0F">
        <w:rPr>
          <w:spacing w:val="-2"/>
        </w:rPr>
        <w:t xml:space="preserve"> </w:t>
      </w:r>
      <w:r w:rsidR="00033D0F">
        <w:t>with</w:t>
      </w:r>
      <w:r w:rsidR="00033D0F">
        <w:rPr>
          <w:spacing w:val="-5"/>
        </w:rPr>
        <w:t xml:space="preserve"> </w:t>
      </w:r>
      <w:r w:rsidR="00033D0F">
        <w:t>respect</w:t>
      </w:r>
      <w:r w:rsidR="00033D0F">
        <w:rPr>
          <w:spacing w:val="-3"/>
        </w:rPr>
        <w:t xml:space="preserve"> </w:t>
      </w:r>
      <w:r w:rsidR="00033D0F">
        <w:t>to</w:t>
      </w:r>
      <w:r w:rsidR="00033D0F">
        <w:rPr>
          <w:spacing w:val="-6"/>
        </w:rPr>
        <w:t xml:space="preserve"> </w:t>
      </w:r>
      <w:r w:rsidR="00033D0F">
        <w:t>dumping,</w:t>
      </w:r>
      <w:r w:rsidR="00033D0F">
        <w:rPr>
          <w:spacing w:val="-1"/>
        </w:rPr>
        <w:t xml:space="preserve"> </w:t>
      </w:r>
      <w:proofErr w:type="gramStart"/>
      <w:r w:rsidR="00033D0F">
        <w:t>injury</w:t>
      </w:r>
      <w:proofErr w:type="gramEnd"/>
      <w:r w:rsidR="00033D0F">
        <w:rPr>
          <w:spacing w:val="-2"/>
        </w:rPr>
        <w:t xml:space="preserve"> </w:t>
      </w:r>
      <w:r w:rsidR="00033D0F">
        <w:t>and</w:t>
      </w:r>
      <w:r w:rsidR="00033D0F">
        <w:rPr>
          <w:spacing w:val="-5"/>
        </w:rPr>
        <w:t xml:space="preserve"> </w:t>
      </w:r>
      <w:r w:rsidR="00033D0F">
        <w:t>causation.</w:t>
      </w:r>
      <w:r w:rsidR="00033D0F">
        <w:rPr>
          <w:spacing w:val="-2"/>
        </w:rPr>
        <w:t xml:space="preserve"> </w:t>
      </w:r>
      <w:r w:rsidR="00033D0F">
        <w:t>The</w:t>
      </w:r>
      <w:r w:rsidR="00033D0F">
        <w:rPr>
          <w:spacing w:val="-4"/>
        </w:rPr>
        <w:t xml:space="preserve"> </w:t>
      </w:r>
      <w:r w:rsidR="00033D0F">
        <w:t>Panel</w:t>
      </w:r>
      <w:r w:rsidR="00033D0F">
        <w:rPr>
          <w:spacing w:val="-1"/>
        </w:rPr>
        <w:t xml:space="preserve"> </w:t>
      </w:r>
      <w:r w:rsidR="00033D0F">
        <w:t>cannot</w:t>
      </w:r>
      <w:r w:rsidR="00033D0F">
        <w:rPr>
          <w:spacing w:val="-3"/>
        </w:rPr>
        <w:t xml:space="preserve"> </w:t>
      </w:r>
      <w:r w:rsidR="00033D0F">
        <w:t>address</w:t>
      </w:r>
      <w:r w:rsidR="00033D0F">
        <w:rPr>
          <w:spacing w:val="-2"/>
        </w:rPr>
        <w:t xml:space="preserve"> </w:t>
      </w:r>
      <w:r w:rsidR="00033D0F">
        <w:t>errors</w:t>
      </w:r>
      <w:r w:rsidR="00033D0F">
        <w:rPr>
          <w:spacing w:val="-2"/>
        </w:rPr>
        <w:t xml:space="preserve"> </w:t>
      </w:r>
      <w:r w:rsidR="00033D0F">
        <w:t>in the substantive determination without also addressing the procedural errors that underpin and compound them.</w:t>
      </w:r>
    </w:p>
    <w:p w14:paraId="3094B10A" w14:textId="77777777" w:rsidR="00BD462C" w:rsidRDefault="00BD462C">
      <w:pPr>
        <w:pStyle w:val="BodyText"/>
        <w:spacing w:before="6"/>
        <w:rPr>
          <w:sz w:val="8"/>
        </w:rPr>
      </w:pPr>
    </w:p>
    <w:p w14:paraId="5358AB91" w14:textId="018673A3" w:rsidR="00BD462C" w:rsidRDefault="00A5381E">
      <w:pPr>
        <w:pStyle w:val="BodyText"/>
        <w:spacing w:before="56" w:line="360" w:lineRule="auto"/>
        <w:ind w:left="135" w:right="911"/>
        <w:jc w:val="both"/>
      </w:pPr>
      <w:r>
        <w:rPr>
          <w:noProof/>
        </w:rPr>
        <w:t>653.</w:t>
      </w:r>
      <w:r w:rsidR="00033D0F">
        <w:rPr>
          <w:rFonts w:ascii="Times New Roman"/>
          <w:spacing w:val="80"/>
          <w:position w:val="1"/>
          <w:sz w:val="20"/>
        </w:rPr>
        <w:t xml:space="preserve">   </w:t>
      </w:r>
      <w:r w:rsidR="00033D0F">
        <w:rPr>
          <w:position w:val="1"/>
        </w:rPr>
        <w:t>In</w:t>
      </w:r>
      <w:r w:rsidR="00033D0F">
        <w:rPr>
          <w:spacing w:val="-8"/>
          <w:position w:val="1"/>
        </w:rPr>
        <w:t xml:space="preserve"> </w:t>
      </w:r>
      <w:r w:rsidR="00033D0F">
        <w:rPr>
          <w:position w:val="1"/>
        </w:rPr>
        <w:t>this</w:t>
      </w:r>
      <w:r w:rsidR="00033D0F">
        <w:rPr>
          <w:spacing w:val="-5"/>
          <w:position w:val="1"/>
        </w:rPr>
        <w:t xml:space="preserve"> </w:t>
      </w:r>
      <w:r w:rsidR="00033D0F">
        <w:rPr>
          <w:position w:val="1"/>
        </w:rPr>
        <w:t>section,</w:t>
      </w:r>
      <w:r w:rsidR="00033D0F">
        <w:rPr>
          <w:spacing w:val="-4"/>
          <w:position w:val="1"/>
        </w:rPr>
        <w:t xml:space="preserve"> </w:t>
      </w:r>
      <w:r w:rsidR="00033D0F">
        <w:rPr>
          <w:position w:val="1"/>
        </w:rPr>
        <w:t>Australia</w:t>
      </w:r>
      <w:r w:rsidR="00033D0F">
        <w:rPr>
          <w:spacing w:val="-7"/>
          <w:position w:val="1"/>
        </w:rPr>
        <w:t xml:space="preserve"> </w:t>
      </w:r>
      <w:r w:rsidR="00033D0F">
        <w:rPr>
          <w:position w:val="1"/>
        </w:rPr>
        <w:t>addresses</w:t>
      </w:r>
      <w:r w:rsidR="00033D0F">
        <w:rPr>
          <w:spacing w:val="-5"/>
          <w:position w:val="1"/>
        </w:rPr>
        <w:t xml:space="preserve"> </w:t>
      </w:r>
      <w:r w:rsidR="00033D0F">
        <w:rPr>
          <w:position w:val="1"/>
        </w:rPr>
        <w:t>key</w:t>
      </w:r>
      <w:r w:rsidR="00033D0F">
        <w:rPr>
          <w:spacing w:val="-5"/>
          <w:position w:val="1"/>
        </w:rPr>
        <w:t xml:space="preserve"> </w:t>
      </w:r>
      <w:r w:rsidR="00033D0F">
        <w:rPr>
          <w:position w:val="1"/>
        </w:rPr>
        <w:t>issues</w:t>
      </w:r>
      <w:r w:rsidR="00033D0F">
        <w:rPr>
          <w:spacing w:val="-5"/>
          <w:position w:val="1"/>
        </w:rPr>
        <w:t xml:space="preserve"> </w:t>
      </w:r>
      <w:r w:rsidR="00033D0F">
        <w:rPr>
          <w:position w:val="1"/>
        </w:rPr>
        <w:t>concerning</w:t>
      </w:r>
      <w:r w:rsidR="00033D0F">
        <w:rPr>
          <w:spacing w:val="-5"/>
          <w:position w:val="1"/>
        </w:rPr>
        <w:t xml:space="preserve"> </w:t>
      </w:r>
      <w:r w:rsidR="00033D0F">
        <w:rPr>
          <w:position w:val="1"/>
        </w:rPr>
        <w:t>the</w:t>
      </w:r>
      <w:r w:rsidR="00033D0F">
        <w:rPr>
          <w:spacing w:val="-6"/>
          <w:position w:val="1"/>
        </w:rPr>
        <w:t xml:space="preserve"> </w:t>
      </w:r>
      <w:r w:rsidR="00033D0F">
        <w:rPr>
          <w:position w:val="1"/>
        </w:rPr>
        <w:t>due</w:t>
      </w:r>
      <w:r w:rsidR="00033D0F">
        <w:rPr>
          <w:spacing w:val="-2"/>
          <w:position w:val="1"/>
        </w:rPr>
        <w:t xml:space="preserve"> </w:t>
      </w:r>
      <w:r w:rsidR="00033D0F">
        <w:rPr>
          <w:position w:val="1"/>
        </w:rPr>
        <w:t>process</w:t>
      </w:r>
      <w:r w:rsidR="00033D0F">
        <w:rPr>
          <w:spacing w:val="-5"/>
          <w:position w:val="1"/>
        </w:rPr>
        <w:t xml:space="preserve"> </w:t>
      </w:r>
      <w:r w:rsidR="00033D0F">
        <w:rPr>
          <w:position w:val="1"/>
        </w:rPr>
        <w:t xml:space="preserve">framework </w:t>
      </w:r>
      <w:r w:rsidR="00033D0F">
        <w:t>in Articles 6 and 12 of the Anti-Dumping Agreement, including rebuttal of certain arguments China has advanced. For the reasons set out below and in Australia's previous submissions, China</w:t>
      </w:r>
      <w:r w:rsidR="00033D0F">
        <w:rPr>
          <w:spacing w:val="-2"/>
        </w:rPr>
        <w:t xml:space="preserve"> </w:t>
      </w:r>
      <w:r w:rsidR="00033D0F">
        <w:t>has failed</w:t>
      </w:r>
      <w:r w:rsidR="00033D0F">
        <w:rPr>
          <w:spacing w:val="-3"/>
        </w:rPr>
        <w:t xml:space="preserve"> </w:t>
      </w:r>
      <w:r w:rsidR="00033D0F">
        <w:t xml:space="preserve">to rebut Australia's </w:t>
      </w:r>
      <w:r w:rsidR="00033D0F">
        <w:rPr>
          <w:i/>
        </w:rPr>
        <w:t>prima</w:t>
      </w:r>
      <w:r w:rsidR="00033D0F">
        <w:rPr>
          <w:i/>
          <w:spacing w:val="-1"/>
        </w:rPr>
        <w:t xml:space="preserve"> </w:t>
      </w:r>
      <w:r w:rsidR="00033D0F">
        <w:rPr>
          <w:i/>
        </w:rPr>
        <w:t>facie</w:t>
      </w:r>
      <w:r w:rsidR="00033D0F">
        <w:rPr>
          <w:i/>
          <w:spacing w:val="-1"/>
        </w:rPr>
        <w:t xml:space="preserve"> </w:t>
      </w:r>
      <w:r w:rsidR="00033D0F">
        <w:t>case</w:t>
      </w:r>
      <w:r w:rsidR="00033D0F">
        <w:rPr>
          <w:spacing w:val="-1"/>
        </w:rPr>
        <w:t xml:space="preserve"> </w:t>
      </w:r>
      <w:r w:rsidR="00033D0F">
        <w:t>that</w:t>
      </w:r>
      <w:r w:rsidR="00033D0F">
        <w:rPr>
          <w:spacing w:val="-1"/>
        </w:rPr>
        <w:t xml:space="preserve"> </w:t>
      </w:r>
      <w:r w:rsidR="00033D0F">
        <w:t>MOFCOM</w:t>
      </w:r>
      <w:r w:rsidR="00033D0F">
        <w:rPr>
          <w:spacing w:val="-1"/>
        </w:rPr>
        <w:t xml:space="preserve"> </w:t>
      </w:r>
      <w:r w:rsidR="00033D0F">
        <w:t>acted</w:t>
      </w:r>
      <w:r w:rsidR="00033D0F">
        <w:rPr>
          <w:spacing w:val="-3"/>
        </w:rPr>
        <w:t xml:space="preserve"> </w:t>
      </w:r>
      <w:r w:rsidR="00033D0F">
        <w:t>inconsistently with Articles</w:t>
      </w:r>
      <w:r w:rsidR="00033D0F">
        <w:rPr>
          <w:spacing w:val="-1"/>
        </w:rPr>
        <w:t xml:space="preserve"> </w:t>
      </w:r>
      <w:r w:rsidR="00033D0F">
        <w:t>6.5,</w:t>
      </w:r>
      <w:r w:rsidR="00033D0F">
        <w:rPr>
          <w:spacing w:val="17"/>
        </w:rPr>
        <w:t xml:space="preserve"> </w:t>
      </w:r>
      <w:r w:rsidR="00033D0F">
        <w:t>6.5.1,</w:t>
      </w:r>
      <w:r w:rsidR="00033D0F">
        <w:rPr>
          <w:spacing w:val="17"/>
        </w:rPr>
        <w:t xml:space="preserve"> </w:t>
      </w:r>
      <w:r w:rsidR="00033D0F">
        <w:t>6.10,</w:t>
      </w:r>
      <w:r w:rsidR="00033D0F">
        <w:rPr>
          <w:spacing w:val="17"/>
        </w:rPr>
        <w:t xml:space="preserve"> </w:t>
      </w:r>
      <w:r w:rsidR="00033D0F">
        <w:t>6.1,</w:t>
      </w:r>
      <w:r w:rsidR="00033D0F">
        <w:rPr>
          <w:spacing w:val="17"/>
        </w:rPr>
        <w:t xml:space="preserve"> </w:t>
      </w:r>
      <w:r w:rsidR="00033D0F">
        <w:t>6.1.1,</w:t>
      </w:r>
      <w:r w:rsidR="00033D0F">
        <w:rPr>
          <w:spacing w:val="17"/>
        </w:rPr>
        <w:t xml:space="preserve"> </w:t>
      </w:r>
      <w:r w:rsidR="00033D0F">
        <w:t>6.1.2,</w:t>
      </w:r>
      <w:r w:rsidR="00033D0F">
        <w:rPr>
          <w:spacing w:val="17"/>
        </w:rPr>
        <w:t xml:space="preserve"> </w:t>
      </w:r>
      <w:r w:rsidR="00033D0F">
        <w:t>6.2,</w:t>
      </w:r>
      <w:r w:rsidR="00033D0F">
        <w:rPr>
          <w:spacing w:val="17"/>
        </w:rPr>
        <w:t xml:space="preserve"> </w:t>
      </w:r>
      <w:r w:rsidR="00033D0F">
        <w:t>6.4, 6.6,</w:t>
      </w:r>
      <w:r w:rsidR="00033D0F">
        <w:rPr>
          <w:spacing w:val="17"/>
        </w:rPr>
        <w:t xml:space="preserve"> </w:t>
      </w:r>
      <w:r w:rsidR="00033D0F">
        <w:t>6.9,</w:t>
      </w:r>
      <w:r w:rsidR="00033D0F">
        <w:rPr>
          <w:spacing w:val="17"/>
        </w:rPr>
        <w:t xml:space="preserve"> </w:t>
      </w:r>
      <w:r w:rsidR="00033D0F">
        <w:t>12.1.1(iv),</w:t>
      </w:r>
      <w:r w:rsidR="00033D0F">
        <w:rPr>
          <w:spacing w:val="17"/>
        </w:rPr>
        <w:t xml:space="preserve"> </w:t>
      </w:r>
      <w:r w:rsidR="00033D0F">
        <w:t>12.2</w:t>
      </w:r>
      <w:r w:rsidR="00033D0F">
        <w:rPr>
          <w:spacing w:val="13"/>
        </w:rPr>
        <w:t xml:space="preserve"> </w:t>
      </w:r>
      <w:r w:rsidR="00033D0F">
        <w:t>and</w:t>
      </w:r>
      <w:r w:rsidR="00033D0F">
        <w:rPr>
          <w:spacing w:val="13"/>
        </w:rPr>
        <w:t xml:space="preserve"> </w:t>
      </w:r>
      <w:r w:rsidR="00033D0F">
        <w:t>12.2.2</w:t>
      </w:r>
      <w:r w:rsidR="00033D0F">
        <w:rPr>
          <w:spacing w:val="13"/>
        </w:rPr>
        <w:t xml:space="preserve"> </w:t>
      </w:r>
      <w:r w:rsidR="00033D0F">
        <w:t>of</w:t>
      </w:r>
      <w:r w:rsidR="00033D0F">
        <w:rPr>
          <w:spacing w:val="13"/>
        </w:rPr>
        <w:t xml:space="preserve"> </w:t>
      </w:r>
      <w:r w:rsidR="00033D0F">
        <w:t>the</w:t>
      </w:r>
    </w:p>
    <w:p w14:paraId="0BBAB8D7" w14:textId="77777777" w:rsidR="00BD462C" w:rsidRDefault="00033D0F">
      <w:pPr>
        <w:pStyle w:val="BodyText"/>
        <w:spacing w:line="290" w:lineRule="exact"/>
        <w:ind w:left="135"/>
        <w:jc w:val="both"/>
      </w:pPr>
      <w:r>
        <w:t>Anti-Dumping</w:t>
      </w:r>
      <w:r>
        <w:rPr>
          <w:spacing w:val="-4"/>
        </w:rPr>
        <w:t xml:space="preserve"> </w:t>
      </w:r>
      <w:r>
        <w:rPr>
          <w:spacing w:val="-2"/>
        </w:rPr>
        <w:t>Agreement.</w:t>
      </w:r>
    </w:p>
    <w:p w14:paraId="1551B772" w14:textId="77777777" w:rsidR="00BD462C" w:rsidRDefault="00BD462C">
      <w:pPr>
        <w:pStyle w:val="BodyText"/>
        <w:spacing w:before="2"/>
        <w:rPr>
          <w:sz w:val="25"/>
        </w:rPr>
      </w:pPr>
    </w:p>
    <w:p w14:paraId="7AF751C0" w14:textId="77777777" w:rsidR="00BD462C" w:rsidRDefault="00033D0F" w:rsidP="00DA02D9">
      <w:pPr>
        <w:pStyle w:val="ListParagraph"/>
        <w:numPr>
          <w:ilvl w:val="1"/>
          <w:numId w:val="72"/>
        </w:numPr>
        <w:tabs>
          <w:tab w:val="left" w:pos="1697"/>
        </w:tabs>
        <w:spacing w:before="0" w:line="403" w:lineRule="auto"/>
        <w:ind w:left="1696" w:right="908" w:hanging="850"/>
        <w:jc w:val="both"/>
        <w:rPr>
          <w:b/>
        </w:rPr>
      </w:pPr>
      <w:bookmarkStart w:id="1387" w:name="B._China_failed_to_objectively_assess_&quot;g"/>
      <w:bookmarkStart w:id="1388" w:name="_bookmark1194"/>
      <w:bookmarkEnd w:id="1387"/>
      <w:bookmarkEnd w:id="1388"/>
      <w:r>
        <w:rPr>
          <w:b/>
          <w:sz w:val="28"/>
        </w:rPr>
        <w:t>C</w:t>
      </w:r>
      <w:r>
        <w:rPr>
          <w:b/>
        </w:rPr>
        <w:t xml:space="preserve">HINA FAILED TO OBJECTIVELY ASSESS </w:t>
      </w:r>
      <w:r>
        <w:rPr>
          <w:b/>
          <w:sz w:val="28"/>
        </w:rPr>
        <w:t>"</w:t>
      </w:r>
      <w:r>
        <w:rPr>
          <w:b/>
        </w:rPr>
        <w:t>GOOD CAUSE</w:t>
      </w:r>
      <w:r>
        <w:rPr>
          <w:b/>
          <w:sz w:val="28"/>
        </w:rPr>
        <w:t xml:space="preserve">" </w:t>
      </w:r>
      <w:r>
        <w:rPr>
          <w:b/>
        </w:rPr>
        <w:t>FOR CLAIMS OF CONFIDENTIALITY AND FAILED TO REQUIRE INTERESTED PARTIES TO FURNISH ADEQUATE NON</w:t>
      </w:r>
      <w:r>
        <w:rPr>
          <w:b/>
          <w:sz w:val="28"/>
        </w:rPr>
        <w:t>-</w:t>
      </w:r>
      <w:r>
        <w:rPr>
          <w:b/>
        </w:rPr>
        <w:t xml:space="preserve">CONFIDENTIAL SUMMARIES IN BREACH OF </w:t>
      </w:r>
      <w:r>
        <w:rPr>
          <w:b/>
          <w:sz w:val="28"/>
        </w:rPr>
        <w:t>A</w:t>
      </w:r>
      <w:r>
        <w:rPr>
          <w:b/>
        </w:rPr>
        <w:t>RTICLES</w:t>
      </w:r>
      <w:r>
        <w:rPr>
          <w:b/>
          <w:spacing w:val="25"/>
        </w:rPr>
        <w:t xml:space="preserve"> </w:t>
      </w:r>
      <w:r>
        <w:rPr>
          <w:b/>
          <w:sz w:val="28"/>
        </w:rPr>
        <w:t xml:space="preserve">6.5 </w:t>
      </w:r>
      <w:r>
        <w:rPr>
          <w:b/>
        </w:rPr>
        <w:t>AND</w:t>
      </w:r>
    </w:p>
    <w:p w14:paraId="7D081B92" w14:textId="77777777" w:rsidR="00BD462C" w:rsidRDefault="00033D0F">
      <w:pPr>
        <w:pStyle w:val="Heading2"/>
        <w:spacing w:line="278" w:lineRule="exact"/>
        <w:ind w:left="1696"/>
        <w:jc w:val="both"/>
      </w:pPr>
      <w:r>
        <w:rPr>
          <w:smallCaps/>
        </w:rPr>
        <w:t>6.5.1</w:t>
      </w:r>
      <w:r>
        <w:rPr>
          <w:smallCaps/>
          <w:spacing w:val="-18"/>
        </w:rPr>
        <w:t xml:space="preserve"> </w:t>
      </w:r>
      <w:r>
        <w:rPr>
          <w:smallCaps/>
        </w:rPr>
        <w:t>of</w:t>
      </w:r>
      <w:r>
        <w:rPr>
          <w:smallCaps/>
          <w:spacing w:val="-6"/>
        </w:rPr>
        <w:t xml:space="preserve"> </w:t>
      </w:r>
      <w:r>
        <w:rPr>
          <w:smallCaps/>
        </w:rPr>
        <w:t>the</w:t>
      </w:r>
      <w:r>
        <w:rPr>
          <w:smallCaps/>
          <w:spacing w:val="-8"/>
        </w:rPr>
        <w:t xml:space="preserve"> </w:t>
      </w:r>
      <w:r>
        <w:rPr>
          <w:smallCaps/>
        </w:rPr>
        <w:t>Anti-Dumping</w:t>
      </w:r>
      <w:r>
        <w:rPr>
          <w:smallCaps/>
          <w:spacing w:val="-4"/>
        </w:rPr>
        <w:t xml:space="preserve"> </w:t>
      </w:r>
      <w:r>
        <w:rPr>
          <w:smallCaps/>
          <w:spacing w:val="-2"/>
        </w:rPr>
        <w:t>Agreement</w:t>
      </w:r>
    </w:p>
    <w:p w14:paraId="3B16B4BD" w14:textId="77777777" w:rsidR="00BD462C" w:rsidRDefault="00BD462C">
      <w:pPr>
        <w:pStyle w:val="BodyText"/>
        <w:spacing w:before="10"/>
        <w:rPr>
          <w:b/>
          <w:sz w:val="22"/>
        </w:rPr>
      </w:pPr>
    </w:p>
    <w:p w14:paraId="71208482" w14:textId="237B79EF" w:rsidR="00BD462C" w:rsidRDefault="00A5381E">
      <w:pPr>
        <w:pStyle w:val="BodyText"/>
        <w:spacing w:before="56" w:line="357" w:lineRule="auto"/>
        <w:ind w:left="136" w:right="923"/>
      </w:pPr>
      <w:r>
        <w:rPr>
          <w:noProof/>
        </w:rPr>
        <w:t>654.</w:t>
      </w:r>
      <w:r w:rsidR="00033D0F">
        <w:rPr>
          <w:rFonts w:ascii="Times New Roman"/>
          <w:spacing w:val="80"/>
          <w:position w:val="1"/>
          <w:sz w:val="20"/>
        </w:rPr>
        <w:t xml:space="preserve">   </w:t>
      </w:r>
      <w:r w:rsidR="00033D0F">
        <w:rPr>
          <w:position w:val="1"/>
        </w:rPr>
        <w:t>Australia</w:t>
      </w:r>
      <w:r w:rsidR="00033D0F">
        <w:rPr>
          <w:spacing w:val="70"/>
          <w:position w:val="1"/>
        </w:rPr>
        <w:t xml:space="preserve"> </w:t>
      </w:r>
      <w:r w:rsidR="00033D0F">
        <w:rPr>
          <w:position w:val="1"/>
        </w:rPr>
        <w:t>has</w:t>
      </w:r>
      <w:r w:rsidR="00033D0F">
        <w:rPr>
          <w:spacing w:val="72"/>
          <w:position w:val="1"/>
        </w:rPr>
        <w:t xml:space="preserve"> </w:t>
      </w:r>
      <w:r w:rsidR="00033D0F">
        <w:rPr>
          <w:position w:val="1"/>
        </w:rPr>
        <w:t>established</w:t>
      </w:r>
      <w:r w:rsidR="00033D0F">
        <w:rPr>
          <w:spacing w:val="69"/>
          <w:position w:val="1"/>
        </w:rPr>
        <w:t xml:space="preserve"> </w:t>
      </w:r>
      <w:r w:rsidR="00033D0F">
        <w:rPr>
          <w:position w:val="1"/>
        </w:rPr>
        <w:t>a</w:t>
      </w:r>
      <w:r w:rsidR="00033D0F">
        <w:rPr>
          <w:spacing w:val="70"/>
          <w:position w:val="1"/>
        </w:rPr>
        <w:t xml:space="preserve"> </w:t>
      </w:r>
      <w:r w:rsidR="00033D0F">
        <w:rPr>
          <w:i/>
          <w:position w:val="1"/>
        </w:rPr>
        <w:t>prima</w:t>
      </w:r>
      <w:r w:rsidR="00033D0F">
        <w:rPr>
          <w:i/>
          <w:spacing w:val="71"/>
          <w:position w:val="1"/>
        </w:rPr>
        <w:t xml:space="preserve"> </w:t>
      </w:r>
      <w:r w:rsidR="00033D0F">
        <w:rPr>
          <w:i/>
          <w:position w:val="1"/>
        </w:rPr>
        <w:t>facie</w:t>
      </w:r>
      <w:r w:rsidR="00033D0F">
        <w:rPr>
          <w:i/>
          <w:spacing w:val="70"/>
          <w:position w:val="1"/>
        </w:rPr>
        <w:t xml:space="preserve"> </w:t>
      </w:r>
      <w:r w:rsidR="00033D0F">
        <w:rPr>
          <w:position w:val="1"/>
        </w:rPr>
        <w:t>case</w:t>
      </w:r>
      <w:r w:rsidR="00033D0F">
        <w:rPr>
          <w:spacing w:val="70"/>
          <w:position w:val="1"/>
        </w:rPr>
        <w:t xml:space="preserve"> </w:t>
      </w:r>
      <w:r w:rsidR="00033D0F">
        <w:rPr>
          <w:position w:val="1"/>
        </w:rPr>
        <w:t>with</w:t>
      </w:r>
      <w:r w:rsidR="00033D0F">
        <w:rPr>
          <w:spacing w:val="69"/>
          <w:position w:val="1"/>
        </w:rPr>
        <w:t xml:space="preserve"> </w:t>
      </w:r>
      <w:r w:rsidR="00033D0F">
        <w:rPr>
          <w:position w:val="1"/>
        </w:rPr>
        <w:t>respect</w:t>
      </w:r>
      <w:r w:rsidR="00033D0F">
        <w:rPr>
          <w:spacing w:val="71"/>
          <w:position w:val="1"/>
        </w:rPr>
        <w:t xml:space="preserve"> </w:t>
      </w:r>
      <w:r w:rsidR="00033D0F">
        <w:rPr>
          <w:position w:val="1"/>
        </w:rPr>
        <w:t>to</w:t>
      </w:r>
      <w:r w:rsidR="00033D0F">
        <w:rPr>
          <w:spacing w:val="68"/>
          <w:position w:val="1"/>
        </w:rPr>
        <w:t xml:space="preserve"> </w:t>
      </w:r>
      <w:r w:rsidR="00033D0F">
        <w:rPr>
          <w:position w:val="1"/>
        </w:rPr>
        <w:t>its</w:t>
      </w:r>
      <w:r w:rsidR="00033D0F">
        <w:rPr>
          <w:spacing w:val="72"/>
          <w:position w:val="1"/>
        </w:rPr>
        <w:t xml:space="preserve"> </w:t>
      </w:r>
      <w:r w:rsidR="00033D0F">
        <w:rPr>
          <w:position w:val="1"/>
        </w:rPr>
        <w:t>claims</w:t>
      </w:r>
      <w:r w:rsidR="00033D0F">
        <w:rPr>
          <w:spacing w:val="72"/>
          <w:position w:val="1"/>
        </w:rPr>
        <w:t xml:space="preserve"> </w:t>
      </w:r>
      <w:r w:rsidR="00033D0F">
        <w:rPr>
          <w:position w:val="1"/>
        </w:rPr>
        <w:t xml:space="preserve">under </w:t>
      </w:r>
      <w:r w:rsidR="00033D0F">
        <w:t>Article 6.5.</w:t>
      </w:r>
      <w:hyperlink w:anchor="_bookmark1195" w:history="1">
        <w:r w:rsidR="00033D0F">
          <w:rPr>
            <w:vertAlign w:val="superscript"/>
          </w:rPr>
          <w:t>1026</w:t>
        </w:r>
      </w:hyperlink>
      <w:r w:rsidR="00033D0F">
        <w:t xml:space="preserve"> For the reasons set out below, China has failed to rebut those claims.</w:t>
      </w:r>
    </w:p>
    <w:p w14:paraId="078864DE" w14:textId="77777777" w:rsidR="00BD462C" w:rsidRDefault="00BD462C">
      <w:pPr>
        <w:pStyle w:val="BodyText"/>
        <w:spacing w:before="2"/>
        <w:rPr>
          <w:sz w:val="9"/>
        </w:rPr>
      </w:pPr>
    </w:p>
    <w:p w14:paraId="16925305" w14:textId="2B12B055" w:rsidR="00BD462C" w:rsidRDefault="00A5381E">
      <w:pPr>
        <w:pStyle w:val="BodyText"/>
        <w:spacing w:before="56" w:line="357" w:lineRule="auto"/>
        <w:ind w:left="135" w:right="915"/>
        <w:jc w:val="both"/>
      </w:pPr>
      <w:r>
        <w:rPr>
          <w:noProof/>
        </w:rPr>
        <w:t>655.</w:t>
      </w:r>
      <w:r w:rsidR="00033D0F">
        <w:rPr>
          <w:rFonts w:ascii="Times New Roman"/>
          <w:spacing w:val="80"/>
          <w:position w:val="1"/>
          <w:sz w:val="20"/>
        </w:rPr>
        <w:t xml:space="preserve"> </w:t>
      </w:r>
      <w:r w:rsidR="00033D0F">
        <w:rPr>
          <w:position w:val="1"/>
        </w:rPr>
        <w:t>Furthermore, China adduces several jurisdictional or "threshold" complaints</w:t>
      </w:r>
      <w:r w:rsidR="00033D0F">
        <w:rPr>
          <w:spacing w:val="40"/>
          <w:position w:val="1"/>
        </w:rPr>
        <w:t xml:space="preserve"> </w:t>
      </w:r>
      <w:r w:rsidR="00033D0F">
        <w:t>concerning</w:t>
      </w:r>
      <w:r w:rsidR="00033D0F">
        <w:rPr>
          <w:spacing w:val="-2"/>
        </w:rPr>
        <w:t xml:space="preserve"> </w:t>
      </w:r>
      <w:r w:rsidR="00033D0F">
        <w:t>Australia's</w:t>
      </w:r>
      <w:r w:rsidR="00033D0F">
        <w:rPr>
          <w:spacing w:val="-2"/>
        </w:rPr>
        <w:t xml:space="preserve"> </w:t>
      </w:r>
      <w:r w:rsidR="00033D0F">
        <w:t>claims</w:t>
      </w:r>
      <w:r w:rsidR="00033D0F">
        <w:rPr>
          <w:spacing w:val="-2"/>
        </w:rPr>
        <w:t xml:space="preserve"> </w:t>
      </w:r>
      <w:r w:rsidR="00033D0F">
        <w:t>with</w:t>
      </w:r>
      <w:r w:rsidR="00033D0F">
        <w:rPr>
          <w:spacing w:val="-5"/>
        </w:rPr>
        <w:t xml:space="preserve"> </w:t>
      </w:r>
      <w:r w:rsidR="00033D0F">
        <w:t>respect</w:t>
      </w:r>
      <w:r w:rsidR="00033D0F">
        <w:rPr>
          <w:spacing w:val="-3"/>
        </w:rPr>
        <w:t xml:space="preserve"> </w:t>
      </w:r>
      <w:r w:rsidR="00033D0F">
        <w:t>to</w:t>
      </w:r>
      <w:r w:rsidR="00033D0F">
        <w:rPr>
          <w:spacing w:val="-6"/>
        </w:rPr>
        <w:t xml:space="preserve"> </w:t>
      </w:r>
      <w:r w:rsidR="00033D0F">
        <w:t>Article</w:t>
      </w:r>
      <w:r w:rsidR="00033D0F">
        <w:rPr>
          <w:spacing w:val="-3"/>
        </w:rPr>
        <w:t xml:space="preserve"> </w:t>
      </w:r>
      <w:r w:rsidR="00033D0F">
        <w:t>6.5.</w:t>
      </w:r>
      <w:r w:rsidR="00033D0F">
        <w:rPr>
          <w:spacing w:val="-2"/>
        </w:rPr>
        <w:t xml:space="preserve"> </w:t>
      </w:r>
      <w:r w:rsidR="00033D0F">
        <w:t>These</w:t>
      </w:r>
      <w:r w:rsidR="00033D0F">
        <w:rPr>
          <w:spacing w:val="-3"/>
        </w:rPr>
        <w:t xml:space="preserve"> </w:t>
      </w:r>
      <w:r w:rsidR="00033D0F">
        <w:t>complaints,</w:t>
      </w:r>
      <w:r w:rsidR="00033D0F">
        <w:rPr>
          <w:spacing w:val="-1"/>
        </w:rPr>
        <w:t xml:space="preserve"> </w:t>
      </w:r>
      <w:r w:rsidR="00033D0F">
        <w:t>which</w:t>
      </w:r>
      <w:r w:rsidR="00033D0F">
        <w:rPr>
          <w:spacing w:val="-5"/>
        </w:rPr>
        <w:t xml:space="preserve"> </w:t>
      </w:r>
      <w:r w:rsidR="00033D0F">
        <w:t>are</w:t>
      </w:r>
      <w:r w:rsidR="00033D0F">
        <w:rPr>
          <w:spacing w:val="-3"/>
        </w:rPr>
        <w:t xml:space="preserve"> </w:t>
      </w:r>
      <w:r w:rsidR="00033D0F">
        <w:t>entirely without merit, are specifically addressed below in Annex A.</w:t>
      </w:r>
      <w:hyperlink w:anchor="_bookmark1196" w:history="1">
        <w:r w:rsidR="00033D0F">
          <w:rPr>
            <w:vertAlign w:val="superscript"/>
          </w:rPr>
          <w:t>1027</w:t>
        </w:r>
      </w:hyperlink>
    </w:p>
    <w:p w14:paraId="0687AD67" w14:textId="77777777" w:rsidR="00BD462C" w:rsidRDefault="00BD462C">
      <w:pPr>
        <w:pStyle w:val="BodyText"/>
        <w:rPr>
          <w:sz w:val="20"/>
        </w:rPr>
      </w:pPr>
    </w:p>
    <w:p w14:paraId="1E13FFF1" w14:textId="2326A1BA" w:rsidR="00BD462C" w:rsidRDefault="007E218F">
      <w:pPr>
        <w:pStyle w:val="BodyText"/>
        <w:spacing w:before="11"/>
        <w:rPr>
          <w:sz w:val="16"/>
        </w:rPr>
      </w:pPr>
      <w:r>
        <w:rPr>
          <w:noProof/>
        </w:rPr>
        <mc:AlternateContent>
          <mc:Choice Requires="wps">
            <w:drawing>
              <wp:anchor distT="0" distB="0" distL="0" distR="0" simplePos="0" relativeHeight="488198656" behindDoc="1" locked="0" layoutInCell="1" allowOverlap="1" wp14:anchorId="1C172793" wp14:editId="3F56056C">
                <wp:simplePos x="0" y="0"/>
                <wp:positionH relativeFrom="page">
                  <wp:posOffset>812800</wp:posOffset>
                </wp:positionH>
                <wp:positionV relativeFrom="paragraph">
                  <wp:posOffset>131445</wp:posOffset>
                </wp:positionV>
                <wp:extent cx="1828800" cy="8890"/>
                <wp:effectExtent l="0" t="0" r="0" b="0"/>
                <wp:wrapTopAndBottom/>
                <wp:docPr id="175" name="docshape6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E75A72" id="docshape664" o:spid="_x0000_s1026" alt="&quot;&quot;" style="position:absolute;margin-left:64pt;margin-top:10.35pt;width:2in;height:.7pt;z-index:-1511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" fillcolor="black" stroked="f">
                <w10:wrap type="topAndBottom" anchorx="page"/>
              </v:rect>
            </w:pict>
          </mc:Fallback>
        </mc:AlternateContent>
      </w:r>
    </w:p>
    <w:p w14:paraId="004E8AE2" w14:textId="77777777" w:rsidR="00BD462C" w:rsidRDefault="00033D0F">
      <w:pPr>
        <w:spacing w:before="112"/>
        <w:ind w:left="136" w:right="923" w:hanging="1"/>
        <w:rPr>
          <w:sz w:val="18"/>
        </w:rPr>
      </w:pPr>
      <w:bookmarkStart w:id="1389" w:name="_bookmark1195"/>
      <w:bookmarkEnd w:id="1389"/>
      <w:r>
        <w:rPr>
          <w:position w:val="5"/>
          <w:sz w:val="12"/>
        </w:rPr>
        <w:t>1026</w:t>
      </w:r>
      <w:r>
        <w:rPr>
          <w:spacing w:val="16"/>
          <w:position w:val="5"/>
          <w:sz w:val="12"/>
        </w:rPr>
        <w:t xml:space="preserve"> </w:t>
      </w:r>
      <w:r>
        <w:rPr>
          <w:sz w:val="18"/>
        </w:rPr>
        <w:t>See Australia's first written submission,</w:t>
      </w:r>
      <w:r>
        <w:rPr>
          <w:spacing w:val="-1"/>
          <w:sz w:val="18"/>
        </w:rPr>
        <w:t xml:space="preserve"> </w:t>
      </w:r>
      <w:r>
        <w:rPr>
          <w:sz w:val="18"/>
        </w:rPr>
        <w:t>paras. 831-880;</w:t>
      </w:r>
      <w:r>
        <w:rPr>
          <w:spacing w:val="-5"/>
          <w:sz w:val="18"/>
        </w:rPr>
        <w:t xml:space="preserve"> </w:t>
      </w:r>
      <w:r>
        <w:rPr>
          <w:sz w:val="18"/>
        </w:rPr>
        <w:t>opening statement</w:t>
      </w:r>
      <w:r>
        <w:rPr>
          <w:spacing w:val="-2"/>
          <w:sz w:val="18"/>
        </w:rPr>
        <w:t xml:space="preserve"> </w:t>
      </w:r>
      <w:r>
        <w:rPr>
          <w:sz w:val="18"/>
        </w:rPr>
        <w:t>at the</w:t>
      </w:r>
      <w:r>
        <w:rPr>
          <w:spacing w:val="-3"/>
          <w:sz w:val="18"/>
        </w:rPr>
        <w:t xml:space="preserve"> </w:t>
      </w:r>
      <w:r>
        <w:rPr>
          <w:sz w:val="18"/>
        </w:rPr>
        <w:t>first meeting of</w:t>
      </w:r>
      <w:r>
        <w:rPr>
          <w:spacing w:val="-2"/>
          <w:sz w:val="18"/>
        </w:rPr>
        <w:t xml:space="preserve"> </w:t>
      </w:r>
      <w:r>
        <w:rPr>
          <w:sz w:val="18"/>
        </w:rPr>
        <w:t>the</w:t>
      </w:r>
      <w:r>
        <w:rPr>
          <w:spacing w:val="-3"/>
          <w:sz w:val="18"/>
        </w:rPr>
        <w:t xml:space="preserve"> </w:t>
      </w:r>
      <w:r>
        <w:rPr>
          <w:sz w:val="18"/>
        </w:rPr>
        <w:t>Panel, paras. 119- 130; response to Panel question No. 55, including Attachment A.</w:t>
      </w:r>
    </w:p>
    <w:p w14:paraId="6032BAC5" w14:textId="77777777" w:rsidR="00BD462C" w:rsidRDefault="00033D0F">
      <w:pPr>
        <w:spacing w:before="2"/>
        <w:ind w:left="135"/>
        <w:rPr>
          <w:sz w:val="18"/>
        </w:rPr>
      </w:pPr>
      <w:bookmarkStart w:id="1390" w:name="_bookmark1196"/>
      <w:bookmarkEnd w:id="1390"/>
      <w:r>
        <w:rPr>
          <w:position w:val="5"/>
          <w:sz w:val="12"/>
        </w:rPr>
        <w:t>1027</w:t>
      </w:r>
      <w:r>
        <w:rPr>
          <w:spacing w:val="16"/>
          <w:position w:val="5"/>
          <w:sz w:val="12"/>
        </w:rPr>
        <w:t xml:space="preserve"> </w:t>
      </w:r>
      <w:r>
        <w:rPr>
          <w:sz w:val="18"/>
        </w:rPr>
        <w:t>See</w:t>
      </w:r>
      <w:r>
        <w:rPr>
          <w:spacing w:val="-3"/>
          <w:sz w:val="18"/>
        </w:rPr>
        <w:t xml:space="preserve"> </w:t>
      </w:r>
      <w:r>
        <w:rPr>
          <w:sz w:val="18"/>
        </w:rPr>
        <w:t>above</w:t>
      </w:r>
      <w:r>
        <w:rPr>
          <w:spacing w:val="-3"/>
          <w:sz w:val="18"/>
        </w:rPr>
        <w:t xml:space="preserve"> </w:t>
      </w:r>
      <w:r>
        <w:rPr>
          <w:sz w:val="18"/>
        </w:rPr>
        <w:t>sections</w:t>
      </w:r>
      <w:r>
        <w:rPr>
          <w:spacing w:val="-3"/>
          <w:sz w:val="18"/>
        </w:rPr>
        <w:t xml:space="preserve"> </w:t>
      </w:r>
      <w:hyperlink w:anchor="_bookmark6" w:history="1">
        <w:r>
          <w:rPr>
            <w:sz w:val="18"/>
          </w:rPr>
          <w:t>II.A</w:t>
        </w:r>
      </w:hyperlink>
      <w:r>
        <w:rPr>
          <w:spacing w:val="-3"/>
          <w:sz w:val="18"/>
        </w:rPr>
        <w:t xml:space="preserve"> </w:t>
      </w:r>
      <w:r>
        <w:rPr>
          <w:sz w:val="18"/>
        </w:rPr>
        <w:t>-</w:t>
      </w:r>
      <w:r>
        <w:rPr>
          <w:spacing w:val="-2"/>
          <w:sz w:val="18"/>
        </w:rPr>
        <w:t xml:space="preserve"> </w:t>
      </w:r>
      <w:hyperlink w:anchor="_bookmark91" w:history="1">
        <w:r>
          <w:rPr>
            <w:sz w:val="18"/>
          </w:rPr>
          <w:t>II.B</w:t>
        </w:r>
      </w:hyperlink>
      <w:r>
        <w:rPr>
          <w:spacing w:val="3"/>
          <w:sz w:val="18"/>
        </w:rPr>
        <w:t xml:space="preserve"> </w:t>
      </w:r>
      <w:r>
        <w:rPr>
          <w:sz w:val="18"/>
        </w:rPr>
        <w:t>and</w:t>
      </w:r>
      <w:r>
        <w:rPr>
          <w:spacing w:val="-4"/>
          <w:sz w:val="18"/>
        </w:rPr>
        <w:t xml:space="preserve"> </w:t>
      </w:r>
      <w:r>
        <w:rPr>
          <w:sz w:val="18"/>
        </w:rPr>
        <w:t>below</w:t>
      </w:r>
      <w:r>
        <w:rPr>
          <w:spacing w:val="-4"/>
          <w:sz w:val="18"/>
        </w:rPr>
        <w:t xml:space="preserve"> </w:t>
      </w:r>
      <w:r>
        <w:rPr>
          <w:sz w:val="18"/>
        </w:rPr>
        <w:t>Annex</w:t>
      </w:r>
      <w:r>
        <w:rPr>
          <w:spacing w:val="-1"/>
          <w:sz w:val="18"/>
        </w:rPr>
        <w:t xml:space="preserve"> </w:t>
      </w:r>
      <w:hyperlink w:anchor="_bookmark1764" w:history="1">
        <w:r>
          <w:rPr>
            <w:spacing w:val="-4"/>
            <w:sz w:val="18"/>
          </w:rPr>
          <w:t>A.4.</w:t>
        </w:r>
      </w:hyperlink>
    </w:p>
    <w:p w14:paraId="1533FA07" w14:textId="77777777" w:rsidR="00BD462C" w:rsidRDefault="00BD462C">
      <w:pPr>
        <w:rPr>
          <w:sz w:val="18"/>
        </w:rPr>
        <w:sectPr w:rsidR="00BD462C">
          <w:pgSz w:w="11910" w:h="16840"/>
          <w:pgMar w:top="860" w:right="500" w:bottom="780" w:left="1280" w:header="566" w:footer="590" w:gutter="0"/>
          <w:cols w:space="720"/>
        </w:sectPr>
      </w:pPr>
    </w:p>
    <w:p w14:paraId="060B93F9"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05385821"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5D99A4F5"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6A5A22F8" w14:textId="77777777" w:rsidR="00BD462C" w:rsidRDefault="00033D0F">
      <w:pPr>
        <w:pStyle w:val="Heading3"/>
        <w:numPr>
          <w:ilvl w:val="0"/>
          <w:numId w:val="30"/>
        </w:numPr>
        <w:tabs>
          <w:tab w:val="left" w:pos="2545"/>
          <w:tab w:val="left" w:pos="2546"/>
        </w:tabs>
        <w:spacing w:line="357" w:lineRule="auto"/>
        <w:ind w:right="916"/>
      </w:pPr>
      <w:bookmarkStart w:id="1391" w:name="1._The_legal_framework_for_the_assessmen"/>
      <w:bookmarkStart w:id="1392" w:name="_bookmark1197"/>
      <w:bookmarkEnd w:id="1391"/>
      <w:bookmarkEnd w:id="1392"/>
      <w:r>
        <w:t>The</w:t>
      </w:r>
      <w:r>
        <w:rPr>
          <w:spacing w:val="38"/>
        </w:rPr>
        <w:t xml:space="preserve"> </w:t>
      </w:r>
      <w:r>
        <w:t>legal</w:t>
      </w:r>
      <w:r>
        <w:rPr>
          <w:spacing w:val="38"/>
        </w:rPr>
        <w:t xml:space="preserve"> </w:t>
      </w:r>
      <w:r>
        <w:t>framework</w:t>
      </w:r>
      <w:r>
        <w:rPr>
          <w:spacing w:val="39"/>
        </w:rPr>
        <w:t xml:space="preserve"> </w:t>
      </w:r>
      <w:r>
        <w:t>for</w:t>
      </w:r>
      <w:r>
        <w:rPr>
          <w:spacing w:val="40"/>
        </w:rPr>
        <w:t xml:space="preserve"> </w:t>
      </w:r>
      <w:r>
        <w:t>the</w:t>
      </w:r>
      <w:r>
        <w:rPr>
          <w:spacing w:val="38"/>
        </w:rPr>
        <w:t xml:space="preserve"> </w:t>
      </w:r>
      <w:r>
        <w:t>assessment</w:t>
      </w:r>
      <w:r>
        <w:rPr>
          <w:spacing w:val="37"/>
        </w:rPr>
        <w:t xml:space="preserve"> </w:t>
      </w:r>
      <w:r>
        <w:t>of</w:t>
      </w:r>
      <w:r>
        <w:rPr>
          <w:spacing w:val="40"/>
        </w:rPr>
        <w:t xml:space="preserve"> </w:t>
      </w:r>
      <w:r>
        <w:t>"good</w:t>
      </w:r>
      <w:r>
        <w:rPr>
          <w:spacing w:val="40"/>
        </w:rPr>
        <w:t xml:space="preserve"> </w:t>
      </w:r>
      <w:r>
        <w:t>cause"</w:t>
      </w:r>
      <w:r>
        <w:rPr>
          <w:spacing w:val="39"/>
        </w:rPr>
        <w:t xml:space="preserve"> </w:t>
      </w:r>
      <w:r>
        <w:t>under Article 6.5</w:t>
      </w:r>
    </w:p>
    <w:p w14:paraId="1EFC6760" w14:textId="77777777" w:rsidR="00BD462C" w:rsidRDefault="00BD462C">
      <w:pPr>
        <w:pStyle w:val="BodyText"/>
        <w:spacing w:before="3"/>
        <w:rPr>
          <w:b/>
          <w:sz w:val="9"/>
        </w:rPr>
      </w:pPr>
    </w:p>
    <w:p w14:paraId="54169B33" w14:textId="212466C4" w:rsidR="00BD462C" w:rsidRDefault="00A5381E">
      <w:pPr>
        <w:pStyle w:val="BodyText"/>
        <w:spacing w:before="56" w:line="360" w:lineRule="auto"/>
        <w:ind w:left="135" w:right="911"/>
        <w:jc w:val="both"/>
      </w:pPr>
      <w:r>
        <w:rPr>
          <w:noProof/>
        </w:rPr>
        <w:t>656.</w:t>
      </w:r>
      <w:r w:rsidR="00033D0F">
        <w:rPr>
          <w:rFonts w:ascii="Times New Roman"/>
          <w:spacing w:val="80"/>
          <w:w w:val="150"/>
          <w:position w:val="1"/>
          <w:sz w:val="20"/>
        </w:rPr>
        <w:t xml:space="preserve"> </w:t>
      </w:r>
      <w:r w:rsidR="00033D0F">
        <w:rPr>
          <w:position w:val="1"/>
        </w:rPr>
        <w:t xml:space="preserve">China's submissions contain a lengthy recital of what it describes as the "correct </w:t>
      </w:r>
      <w:r w:rsidR="00033D0F">
        <w:t>interpretation"</w:t>
      </w:r>
      <w:r w:rsidR="00033D0F">
        <w:rPr>
          <w:spacing w:val="-3"/>
        </w:rPr>
        <w:t xml:space="preserve"> </w:t>
      </w:r>
      <w:r w:rsidR="00033D0F">
        <w:t>of</w:t>
      </w:r>
      <w:r w:rsidR="00033D0F">
        <w:rPr>
          <w:spacing w:val="-4"/>
        </w:rPr>
        <w:t xml:space="preserve"> </w:t>
      </w:r>
      <w:r w:rsidR="00033D0F">
        <w:t>the</w:t>
      </w:r>
      <w:r w:rsidR="00033D0F">
        <w:rPr>
          <w:spacing w:val="-3"/>
        </w:rPr>
        <w:t xml:space="preserve"> </w:t>
      </w:r>
      <w:r w:rsidR="00033D0F">
        <w:t>legal standards</w:t>
      </w:r>
      <w:r w:rsidR="00033D0F">
        <w:rPr>
          <w:spacing w:val="-1"/>
        </w:rPr>
        <w:t xml:space="preserve"> </w:t>
      </w:r>
      <w:r w:rsidR="00033D0F">
        <w:t>under</w:t>
      </w:r>
      <w:r w:rsidR="00033D0F">
        <w:rPr>
          <w:spacing w:val="-5"/>
        </w:rPr>
        <w:t xml:space="preserve"> </w:t>
      </w:r>
      <w:r w:rsidR="00033D0F">
        <w:t>Articles</w:t>
      </w:r>
      <w:r w:rsidR="00033D0F">
        <w:rPr>
          <w:spacing w:val="-1"/>
        </w:rPr>
        <w:t xml:space="preserve"> </w:t>
      </w:r>
      <w:r w:rsidR="00033D0F">
        <w:t>6.5</w:t>
      </w:r>
      <w:r w:rsidR="00033D0F">
        <w:rPr>
          <w:spacing w:val="-5"/>
        </w:rPr>
        <w:t xml:space="preserve"> </w:t>
      </w:r>
      <w:r w:rsidR="00033D0F">
        <w:t>and</w:t>
      </w:r>
      <w:r w:rsidR="00033D0F">
        <w:rPr>
          <w:spacing w:val="-4"/>
        </w:rPr>
        <w:t xml:space="preserve"> </w:t>
      </w:r>
      <w:r w:rsidR="00033D0F">
        <w:t>6.5.1.</w:t>
      </w:r>
      <w:hyperlink w:anchor="_bookmark1198" w:history="1">
        <w:r w:rsidR="00033D0F">
          <w:rPr>
            <w:vertAlign w:val="superscript"/>
          </w:rPr>
          <w:t>1028</w:t>
        </w:r>
      </w:hyperlink>
      <w:r w:rsidR="00033D0F">
        <w:rPr>
          <w:spacing w:val="-2"/>
        </w:rPr>
        <w:t xml:space="preserve"> </w:t>
      </w:r>
      <w:r w:rsidR="00033D0F">
        <w:t>Although</w:t>
      </w:r>
      <w:r w:rsidR="00033D0F">
        <w:rPr>
          <w:spacing w:val="-4"/>
        </w:rPr>
        <w:t xml:space="preserve"> </w:t>
      </w:r>
      <w:r w:rsidR="00033D0F">
        <w:t>this</w:t>
      </w:r>
      <w:r w:rsidR="00033D0F">
        <w:rPr>
          <w:spacing w:val="-1"/>
        </w:rPr>
        <w:t xml:space="preserve"> </w:t>
      </w:r>
      <w:r w:rsidR="00033D0F">
        <w:t>section</w:t>
      </w:r>
      <w:r w:rsidR="00033D0F">
        <w:rPr>
          <w:spacing w:val="-4"/>
        </w:rPr>
        <w:t xml:space="preserve"> </w:t>
      </w:r>
      <w:r w:rsidR="00033D0F">
        <w:t>is entitled "Australia's claims are based on an incorrect and/or improper interpretation of Articles 6.5 and 6.5.1 of the Anti-Dumping Agreement", China does not identify Australia's alleged errors or impropriety in its discussion under this heading.</w:t>
      </w:r>
      <w:hyperlink w:anchor="_bookmark1199" w:history="1">
        <w:r w:rsidR="00033D0F">
          <w:rPr>
            <w:vertAlign w:val="superscript"/>
          </w:rPr>
          <w:t>1029</w:t>
        </w:r>
      </w:hyperlink>
    </w:p>
    <w:p w14:paraId="024CDEC1" w14:textId="77777777" w:rsidR="00BD462C" w:rsidRDefault="00BD462C">
      <w:pPr>
        <w:pStyle w:val="BodyText"/>
        <w:spacing w:before="5"/>
        <w:rPr>
          <w:sz w:val="8"/>
        </w:rPr>
      </w:pPr>
    </w:p>
    <w:p w14:paraId="5A0A42D1" w14:textId="6DE0AF37" w:rsidR="00BD462C" w:rsidRDefault="00A5381E">
      <w:pPr>
        <w:pStyle w:val="BodyText"/>
        <w:spacing w:before="57" w:line="360" w:lineRule="auto"/>
        <w:ind w:left="135" w:right="913"/>
        <w:jc w:val="both"/>
      </w:pPr>
      <w:r>
        <w:rPr>
          <w:noProof/>
        </w:rPr>
        <w:t>657.</w:t>
      </w:r>
      <w:r w:rsidR="00033D0F">
        <w:rPr>
          <w:rFonts w:ascii="Times New Roman"/>
          <w:spacing w:val="80"/>
          <w:w w:val="150"/>
          <w:position w:val="1"/>
          <w:sz w:val="20"/>
        </w:rPr>
        <w:t xml:space="preserve"> </w:t>
      </w:r>
      <w:r w:rsidR="00033D0F">
        <w:rPr>
          <w:position w:val="1"/>
        </w:rPr>
        <w:t xml:space="preserve">That aside, there appears to be some convergence between the parties on the </w:t>
      </w:r>
      <w:r w:rsidR="00033D0F">
        <w:t>applicable legal standards. However, there are certain points of disagreement, addressed below, and substantial disagreement concerning the application of those standards to the factual circumstances in the investigation.</w:t>
      </w:r>
    </w:p>
    <w:p w14:paraId="56B22850" w14:textId="77777777" w:rsidR="00BD462C" w:rsidRDefault="00BD462C">
      <w:pPr>
        <w:pStyle w:val="BodyText"/>
        <w:spacing w:before="8"/>
        <w:rPr>
          <w:sz w:val="8"/>
        </w:rPr>
      </w:pPr>
    </w:p>
    <w:p w14:paraId="0BC1747C" w14:textId="4D636F2F" w:rsidR="00BD462C" w:rsidRDefault="00A5381E">
      <w:pPr>
        <w:pStyle w:val="BodyText"/>
        <w:spacing w:before="56" w:line="357" w:lineRule="auto"/>
        <w:ind w:left="135" w:right="911"/>
        <w:jc w:val="both"/>
      </w:pPr>
      <w:r>
        <w:rPr>
          <w:noProof/>
        </w:rPr>
        <w:t>658.</w:t>
      </w:r>
      <w:r w:rsidR="00033D0F">
        <w:rPr>
          <w:rFonts w:ascii="Times New Roman"/>
          <w:spacing w:val="40"/>
          <w:position w:val="1"/>
          <w:sz w:val="20"/>
        </w:rPr>
        <w:t xml:space="preserve">  </w:t>
      </w:r>
      <w:r w:rsidR="00033D0F">
        <w:rPr>
          <w:position w:val="1"/>
        </w:rPr>
        <w:t xml:space="preserve">By way of summary, Australia understands that the parties do not disagree on the </w:t>
      </w:r>
      <w:r w:rsidR="00033D0F">
        <w:t>following principles relevant to a panel's assessment of Australia's claim that MOFCOM's conduct contravened Article 6.5:</w:t>
      </w:r>
    </w:p>
    <w:p w14:paraId="179E7059" w14:textId="77777777" w:rsidR="00BD462C" w:rsidRDefault="00033D0F" w:rsidP="00DA02D9">
      <w:pPr>
        <w:pStyle w:val="ListParagraph"/>
        <w:numPr>
          <w:ilvl w:val="2"/>
          <w:numId w:val="72"/>
        </w:numPr>
        <w:tabs>
          <w:tab w:val="left" w:pos="1835"/>
          <w:tab w:val="left" w:pos="1836"/>
        </w:tabs>
        <w:spacing w:before="161" w:line="360" w:lineRule="auto"/>
        <w:ind w:right="915"/>
        <w:jc w:val="both"/>
        <w:rPr>
          <w:sz w:val="24"/>
        </w:rPr>
      </w:pPr>
      <w:r>
        <w:rPr>
          <w:sz w:val="24"/>
        </w:rPr>
        <w:t>the "good cause" alleged by an interested party must constitute a reason sufficient to justify withholding the information from both the public and other</w:t>
      </w:r>
      <w:r>
        <w:rPr>
          <w:spacing w:val="-10"/>
          <w:sz w:val="24"/>
        </w:rPr>
        <w:t xml:space="preserve"> </w:t>
      </w:r>
      <w:r>
        <w:rPr>
          <w:sz w:val="24"/>
        </w:rPr>
        <w:t>interested</w:t>
      </w:r>
      <w:r>
        <w:rPr>
          <w:spacing w:val="-4"/>
          <w:sz w:val="24"/>
        </w:rPr>
        <w:t xml:space="preserve"> </w:t>
      </w:r>
      <w:r>
        <w:rPr>
          <w:sz w:val="24"/>
        </w:rPr>
        <w:t>parties.</w:t>
      </w:r>
      <w:r>
        <w:rPr>
          <w:spacing w:val="-6"/>
          <w:sz w:val="24"/>
        </w:rPr>
        <w:t xml:space="preserve"> </w:t>
      </w:r>
      <w:r>
        <w:rPr>
          <w:sz w:val="24"/>
        </w:rPr>
        <w:t>It</w:t>
      </w:r>
      <w:r>
        <w:rPr>
          <w:spacing w:val="-7"/>
          <w:sz w:val="24"/>
        </w:rPr>
        <w:t xml:space="preserve"> </w:t>
      </w:r>
      <w:r>
        <w:rPr>
          <w:sz w:val="24"/>
        </w:rPr>
        <w:t>must</w:t>
      </w:r>
      <w:r>
        <w:rPr>
          <w:spacing w:val="-7"/>
          <w:sz w:val="24"/>
        </w:rPr>
        <w:t xml:space="preserve"> </w:t>
      </w:r>
      <w:r>
        <w:rPr>
          <w:sz w:val="24"/>
        </w:rPr>
        <w:t>demonstrate</w:t>
      </w:r>
      <w:r>
        <w:rPr>
          <w:spacing w:val="-7"/>
          <w:sz w:val="24"/>
        </w:rPr>
        <w:t xml:space="preserve"> </w:t>
      </w:r>
      <w:r>
        <w:rPr>
          <w:sz w:val="24"/>
        </w:rPr>
        <w:t>the risk</w:t>
      </w:r>
      <w:r>
        <w:rPr>
          <w:spacing w:val="-6"/>
          <w:sz w:val="24"/>
        </w:rPr>
        <w:t xml:space="preserve"> </w:t>
      </w:r>
      <w:r>
        <w:rPr>
          <w:sz w:val="24"/>
        </w:rPr>
        <w:t>of</w:t>
      </w:r>
      <w:r>
        <w:rPr>
          <w:spacing w:val="-9"/>
          <w:sz w:val="24"/>
        </w:rPr>
        <w:t xml:space="preserve"> </w:t>
      </w:r>
      <w:r>
        <w:rPr>
          <w:sz w:val="24"/>
        </w:rPr>
        <w:t>a</w:t>
      </w:r>
      <w:r>
        <w:rPr>
          <w:spacing w:val="-3"/>
          <w:sz w:val="24"/>
        </w:rPr>
        <w:t xml:space="preserve"> </w:t>
      </w:r>
      <w:r>
        <w:rPr>
          <w:sz w:val="24"/>
        </w:rPr>
        <w:t>potential</w:t>
      </w:r>
      <w:r>
        <w:rPr>
          <w:spacing w:val="-5"/>
          <w:sz w:val="24"/>
        </w:rPr>
        <w:t xml:space="preserve"> </w:t>
      </w:r>
      <w:r>
        <w:rPr>
          <w:sz w:val="24"/>
        </w:rPr>
        <w:t>adverse consequence that would follow from the disclosure of the information, the avoidance of which is important enough to warrant the non-disclosure of the information;</w:t>
      </w:r>
      <w:hyperlink w:anchor="_bookmark1200" w:history="1">
        <w:r>
          <w:rPr>
            <w:sz w:val="24"/>
            <w:vertAlign w:val="superscript"/>
          </w:rPr>
          <w:t>1030</w:t>
        </w:r>
      </w:hyperlink>
    </w:p>
    <w:p w14:paraId="3448BBC2" w14:textId="77777777" w:rsidR="00BD462C" w:rsidRDefault="00BD462C">
      <w:pPr>
        <w:pStyle w:val="BodyText"/>
        <w:rPr>
          <w:sz w:val="20"/>
        </w:rPr>
      </w:pPr>
    </w:p>
    <w:p w14:paraId="6557C882" w14:textId="77777777" w:rsidR="00BD462C" w:rsidRDefault="00BD462C">
      <w:pPr>
        <w:pStyle w:val="BodyText"/>
        <w:rPr>
          <w:sz w:val="20"/>
        </w:rPr>
      </w:pPr>
    </w:p>
    <w:p w14:paraId="73B4048E" w14:textId="738D5D02" w:rsidR="00BD462C" w:rsidRDefault="007E218F">
      <w:pPr>
        <w:pStyle w:val="BodyText"/>
        <w:rPr>
          <w:sz w:val="20"/>
        </w:rPr>
      </w:pPr>
      <w:r>
        <w:rPr>
          <w:noProof/>
        </w:rPr>
        <mc:AlternateContent>
          <mc:Choice Requires="wps">
            <w:drawing>
              <wp:anchor distT="0" distB="0" distL="0" distR="0" simplePos="0" relativeHeight="488200704" behindDoc="1" locked="0" layoutInCell="1" allowOverlap="1" wp14:anchorId="4A703BAB" wp14:editId="1135FA95">
                <wp:simplePos x="0" y="0"/>
                <wp:positionH relativeFrom="page">
                  <wp:posOffset>812800</wp:posOffset>
                </wp:positionH>
                <wp:positionV relativeFrom="paragraph">
                  <wp:posOffset>361315</wp:posOffset>
                </wp:positionV>
                <wp:extent cx="1828800" cy="8890"/>
                <wp:effectExtent l="0" t="0" r="0" b="0"/>
                <wp:wrapTopAndBottom/>
                <wp:docPr id="177" name="docshape6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67FAC9" id="docshape664" o:spid="_x0000_s1026" alt="&quot;&quot;" style="position:absolute;margin-left:64pt;margin-top:28.45pt;width:2in;height:.7pt;z-index:-1511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" fillcolor="black" stroked="f">
                <w10:wrap type="topAndBottom" anchorx="page"/>
              </v:rect>
            </w:pict>
          </mc:Fallback>
        </mc:AlternateContent>
      </w:r>
    </w:p>
    <w:p w14:paraId="5C1FB9EA" w14:textId="07F59622" w:rsidR="00BD462C" w:rsidRDefault="00BD462C">
      <w:pPr>
        <w:pStyle w:val="BodyText"/>
        <w:spacing w:before="2"/>
        <w:rPr>
          <w:sz w:val="26"/>
        </w:rPr>
      </w:pPr>
    </w:p>
    <w:p w14:paraId="482C2970" w14:textId="77777777" w:rsidR="00BD462C" w:rsidRDefault="00033D0F">
      <w:pPr>
        <w:spacing w:before="107"/>
        <w:ind w:left="136" w:right="910" w:hanging="1"/>
        <w:jc w:val="both"/>
        <w:rPr>
          <w:sz w:val="18"/>
        </w:rPr>
      </w:pPr>
      <w:bookmarkStart w:id="1393" w:name="_bookmark1198"/>
      <w:bookmarkEnd w:id="1393"/>
      <w:r>
        <w:rPr>
          <w:position w:val="5"/>
          <w:sz w:val="12"/>
        </w:rPr>
        <w:t>1028</w:t>
      </w:r>
      <w:r>
        <w:rPr>
          <w:spacing w:val="11"/>
          <w:position w:val="5"/>
          <w:sz w:val="12"/>
        </w:rPr>
        <w:t xml:space="preserve"> </w:t>
      </w:r>
      <w:r>
        <w:rPr>
          <w:sz w:val="18"/>
        </w:rPr>
        <w:t>China's</w:t>
      </w:r>
      <w:r>
        <w:rPr>
          <w:spacing w:val="-8"/>
          <w:sz w:val="18"/>
        </w:rPr>
        <w:t xml:space="preserve"> </w:t>
      </w:r>
      <w:r>
        <w:rPr>
          <w:sz w:val="18"/>
        </w:rPr>
        <w:t>first</w:t>
      </w:r>
      <w:r>
        <w:rPr>
          <w:spacing w:val="-2"/>
          <w:sz w:val="18"/>
        </w:rPr>
        <w:t xml:space="preserve"> </w:t>
      </w:r>
      <w:r>
        <w:rPr>
          <w:sz w:val="18"/>
        </w:rPr>
        <w:t>written</w:t>
      </w:r>
      <w:r>
        <w:rPr>
          <w:spacing w:val="-8"/>
          <w:sz w:val="18"/>
        </w:rPr>
        <w:t xml:space="preserve"> </w:t>
      </w:r>
      <w:r>
        <w:rPr>
          <w:sz w:val="18"/>
        </w:rPr>
        <w:t>submission,</w:t>
      </w:r>
      <w:r>
        <w:rPr>
          <w:spacing w:val="-1"/>
          <w:sz w:val="18"/>
        </w:rPr>
        <w:t xml:space="preserve"> </w:t>
      </w:r>
      <w:r>
        <w:rPr>
          <w:sz w:val="18"/>
        </w:rPr>
        <w:t>paras.</w:t>
      </w:r>
      <w:r>
        <w:rPr>
          <w:spacing w:val="-2"/>
          <w:sz w:val="18"/>
        </w:rPr>
        <w:t xml:space="preserve"> </w:t>
      </w:r>
      <w:r>
        <w:rPr>
          <w:sz w:val="18"/>
        </w:rPr>
        <w:t>2243-2270.</w:t>
      </w:r>
      <w:r>
        <w:rPr>
          <w:spacing w:val="-7"/>
          <w:sz w:val="18"/>
        </w:rPr>
        <w:t xml:space="preserve"> </w:t>
      </w:r>
      <w:r>
        <w:rPr>
          <w:sz w:val="18"/>
        </w:rPr>
        <w:t>The</w:t>
      </w:r>
      <w:r>
        <w:rPr>
          <w:spacing w:val="-3"/>
          <w:sz w:val="18"/>
        </w:rPr>
        <w:t xml:space="preserve"> </w:t>
      </w:r>
      <w:r>
        <w:rPr>
          <w:sz w:val="18"/>
        </w:rPr>
        <w:t>headings</w:t>
      </w:r>
      <w:r>
        <w:rPr>
          <w:spacing w:val="-8"/>
          <w:sz w:val="18"/>
        </w:rPr>
        <w:t xml:space="preserve"> </w:t>
      </w:r>
      <w:r>
        <w:rPr>
          <w:sz w:val="18"/>
        </w:rPr>
        <w:t>to</w:t>
      </w:r>
      <w:r>
        <w:rPr>
          <w:spacing w:val="-9"/>
          <w:sz w:val="18"/>
        </w:rPr>
        <w:t xml:space="preserve"> </w:t>
      </w:r>
      <w:r>
        <w:rPr>
          <w:sz w:val="18"/>
        </w:rPr>
        <w:t>these</w:t>
      </w:r>
      <w:r>
        <w:rPr>
          <w:spacing w:val="-3"/>
          <w:sz w:val="18"/>
        </w:rPr>
        <w:t xml:space="preserve"> </w:t>
      </w:r>
      <w:r>
        <w:rPr>
          <w:sz w:val="18"/>
        </w:rPr>
        <w:t>sections</w:t>
      </w:r>
      <w:r>
        <w:rPr>
          <w:spacing w:val="-8"/>
          <w:sz w:val="18"/>
        </w:rPr>
        <w:t xml:space="preserve"> </w:t>
      </w:r>
      <w:r>
        <w:rPr>
          <w:sz w:val="18"/>
        </w:rPr>
        <w:t>are</w:t>
      </w:r>
      <w:r>
        <w:rPr>
          <w:spacing w:val="-3"/>
          <w:sz w:val="18"/>
        </w:rPr>
        <w:t xml:space="preserve"> </w:t>
      </w:r>
      <w:r>
        <w:rPr>
          <w:sz w:val="18"/>
        </w:rPr>
        <w:t>"Australia's</w:t>
      </w:r>
      <w:r>
        <w:rPr>
          <w:spacing w:val="-3"/>
          <w:sz w:val="18"/>
        </w:rPr>
        <w:t xml:space="preserve"> </w:t>
      </w:r>
      <w:r>
        <w:rPr>
          <w:sz w:val="18"/>
        </w:rPr>
        <w:t>claims</w:t>
      </w:r>
      <w:r>
        <w:rPr>
          <w:spacing w:val="-3"/>
          <w:sz w:val="18"/>
        </w:rPr>
        <w:t xml:space="preserve"> </w:t>
      </w:r>
      <w:r>
        <w:rPr>
          <w:sz w:val="18"/>
        </w:rPr>
        <w:t>are</w:t>
      </w:r>
      <w:r>
        <w:rPr>
          <w:spacing w:val="-3"/>
          <w:sz w:val="18"/>
        </w:rPr>
        <w:t xml:space="preserve"> </w:t>
      </w:r>
      <w:r>
        <w:rPr>
          <w:sz w:val="18"/>
        </w:rPr>
        <w:t>based</w:t>
      </w:r>
      <w:r>
        <w:rPr>
          <w:spacing w:val="-9"/>
          <w:sz w:val="18"/>
        </w:rPr>
        <w:t xml:space="preserve"> </w:t>
      </w:r>
      <w:r>
        <w:rPr>
          <w:sz w:val="18"/>
        </w:rPr>
        <w:t>on</w:t>
      </w:r>
      <w:r>
        <w:rPr>
          <w:spacing w:val="-4"/>
          <w:sz w:val="18"/>
        </w:rPr>
        <w:t xml:space="preserve"> </w:t>
      </w:r>
      <w:r>
        <w:rPr>
          <w:sz w:val="18"/>
        </w:rPr>
        <w:t>an incorrect and/or improper interpretation of Articles 6.5 and 6.5.1 of the Anti-Dumping Agreement", "The correct interpretation of the requirement to show 'good cause' in Article 6.5 of the Anti-Dumping Agreement", and "The correct interpretation of 'in</w:t>
      </w:r>
      <w:r>
        <w:rPr>
          <w:spacing w:val="-4"/>
          <w:sz w:val="18"/>
        </w:rPr>
        <w:t xml:space="preserve"> </w:t>
      </w:r>
      <w:r>
        <w:rPr>
          <w:sz w:val="18"/>
        </w:rPr>
        <w:t>sufficient</w:t>
      </w:r>
      <w:r>
        <w:rPr>
          <w:spacing w:val="-2"/>
          <w:sz w:val="18"/>
        </w:rPr>
        <w:t xml:space="preserve"> </w:t>
      </w:r>
      <w:r>
        <w:rPr>
          <w:sz w:val="18"/>
        </w:rPr>
        <w:t>detail'</w:t>
      </w:r>
      <w:r>
        <w:rPr>
          <w:spacing w:val="-6"/>
          <w:sz w:val="18"/>
        </w:rPr>
        <w:t xml:space="preserve"> </w:t>
      </w:r>
      <w:r>
        <w:rPr>
          <w:sz w:val="18"/>
        </w:rPr>
        <w:t>and</w:t>
      </w:r>
      <w:r>
        <w:rPr>
          <w:spacing w:val="-4"/>
          <w:sz w:val="18"/>
        </w:rPr>
        <w:t xml:space="preserve"> </w:t>
      </w:r>
      <w:r>
        <w:rPr>
          <w:sz w:val="18"/>
        </w:rPr>
        <w:t>'statement</w:t>
      </w:r>
      <w:r>
        <w:rPr>
          <w:spacing w:val="-2"/>
          <w:sz w:val="18"/>
        </w:rPr>
        <w:t xml:space="preserve"> </w:t>
      </w:r>
      <w:r>
        <w:rPr>
          <w:sz w:val="18"/>
        </w:rPr>
        <w:t>of</w:t>
      </w:r>
      <w:r>
        <w:rPr>
          <w:spacing w:val="-2"/>
          <w:sz w:val="18"/>
        </w:rPr>
        <w:t xml:space="preserve"> </w:t>
      </w:r>
      <w:r>
        <w:rPr>
          <w:sz w:val="18"/>
        </w:rPr>
        <w:t>the reasons</w:t>
      </w:r>
      <w:r>
        <w:rPr>
          <w:spacing w:val="-3"/>
          <w:sz w:val="18"/>
        </w:rPr>
        <w:t xml:space="preserve"> </w:t>
      </w:r>
      <w:r>
        <w:rPr>
          <w:sz w:val="18"/>
        </w:rPr>
        <w:t>why</w:t>
      </w:r>
      <w:r>
        <w:rPr>
          <w:spacing w:val="-5"/>
          <w:sz w:val="18"/>
        </w:rPr>
        <w:t xml:space="preserve"> </w:t>
      </w:r>
      <w:r>
        <w:rPr>
          <w:sz w:val="18"/>
        </w:rPr>
        <w:t>summarization</w:t>
      </w:r>
      <w:r>
        <w:rPr>
          <w:spacing w:val="-4"/>
          <w:sz w:val="18"/>
        </w:rPr>
        <w:t xml:space="preserve"> </w:t>
      </w:r>
      <w:r>
        <w:rPr>
          <w:sz w:val="18"/>
        </w:rPr>
        <w:t>is</w:t>
      </w:r>
      <w:r>
        <w:rPr>
          <w:spacing w:val="-3"/>
          <w:sz w:val="18"/>
        </w:rPr>
        <w:t xml:space="preserve"> </w:t>
      </w:r>
      <w:r>
        <w:rPr>
          <w:sz w:val="18"/>
        </w:rPr>
        <w:t>not possible'</w:t>
      </w:r>
      <w:r>
        <w:rPr>
          <w:spacing w:val="-1"/>
          <w:sz w:val="18"/>
        </w:rPr>
        <w:t xml:space="preserve"> </w:t>
      </w:r>
      <w:r>
        <w:rPr>
          <w:sz w:val="18"/>
        </w:rPr>
        <w:t>in</w:t>
      </w:r>
      <w:r>
        <w:rPr>
          <w:spacing w:val="-4"/>
          <w:sz w:val="18"/>
        </w:rPr>
        <w:t xml:space="preserve"> </w:t>
      </w:r>
      <w:r>
        <w:rPr>
          <w:sz w:val="18"/>
        </w:rPr>
        <w:t>Article 6.5.1</w:t>
      </w:r>
      <w:r>
        <w:rPr>
          <w:spacing w:val="-5"/>
          <w:sz w:val="18"/>
        </w:rPr>
        <w:t xml:space="preserve"> </w:t>
      </w:r>
      <w:r>
        <w:rPr>
          <w:sz w:val="18"/>
        </w:rPr>
        <w:t>of the Anti-Dumping Agreement".</w:t>
      </w:r>
    </w:p>
    <w:p w14:paraId="613E88F3" w14:textId="77777777" w:rsidR="00BD462C" w:rsidRDefault="00033D0F">
      <w:pPr>
        <w:ind w:left="136" w:right="906" w:hanging="1"/>
        <w:jc w:val="both"/>
        <w:rPr>
          <w:sz w:val="18"/>
        </w:rPr>
      </w:pPr>
      <w:bookmarkStart w:id="1394" w:name="_bookmark1199"/>
      <w:bookmarkEnd w:id="1394"/>
      <w:r>
        <w:rPr>
          <w:position w:val="5"/>
          <w:sz w:val="12"/>
        </w:rPr>
        <w:t>1029</w:t>
      </w:r>
      <w:r>
        <w:rPr>
          <w:spacing w:val="30"/>
          <w:position w:val="5"/>
          <w:sz w:val="12"/>
        </w:rPr>
        <w:t xml:space="preserve"> </w:t>
      </w:r>
      <w:r>
        <w:rPr>
          <w:sz w:val="18"/>
        </w:rPr>
        <w:t>The one inconsequential exception is China's first written submission, fn. 2093. China argues that "[c]</w:t>
      </w:r>
      <w:proofErr w:type="spellStart"/>
      <w:r>
        <w:rPr>
          <w:sz w:val="18"/>
        </w:rPr>
        <w:t>ontrary</w:t>
      </w:r>
      <w:proofErr w:type="spellEnd"/>
      <w:r>
        <w:rPr>
          <w:sz w:val="18"/>
        </w:rPr>
        <w:t xml:space="preserve"> to what Australia asserts, it is not the investigating authority, as such, that has to be 'unbiased and objective'. Rather, it is the investigating authority's assessment that has to be 'unbiased and objective'." The distinction China alleges appears to lack any meaningful difference; Australia fails to understand how an investigating authority that is biased and lacks objectivity could undertake an unbiased and objective investigation. See also Panel Report, </w:t>
      </w:r>
      <w:r>
        <w:rPr>
          <w:i/>
          <w:sz w:val="18"/>
        </w:rPr>
        <w:t>US – Softwood Lumber VI</w:t>
      </w:r>
      <w:r>
        <w:rPr>
          <w:sz w:val="18"/>
        </w:rPr>
        <w:t>, para. 7.15, in which</w:t>
      </w:r>
      <w:r>
        <w:rPr>
          <w:spacing w:val="-4"/>
          <w:sz w:val="18"/>
        </w:rPr>
        <w:t xml:space="preserve"> </w:t>
      </w:r>
      <w:r>
        <w:rPr>
          <w:sz w:val="18"/>
        </w:rPr>
        <w:t>the</w:t>
      </w:r>
      <w:r>
        <w:rPr>
          <w:spacing w:val="-3"/>
          <w:sz w:val="18"/>
        </w:rPr>
        <w:t xml:space="preserve"> </w:t>
      </w:r>
      <w:r>
        <w:rPr>
          <w:sz w:val="18"/>
        </w:rPr>
        <w:t>panel</w:t>
      </w:r>
      <w:r>
        <w:rPr>
          <w:spacing w:val="-2"/>
          <w:sz w:val="18"/>
        </w:rPr>
        <w:t xml:space="preserve"> </w:t>
      </w:r>
      <w:r>
        <w:rPr>
          <w:sz w:val="18"/>
        </w:rPr>
        <w:t>defined</w:t>
      </w:r>
      <w:r>
        <w:rPr>
          <w:spacing w:val="-4"/>
          <w:sz w:val="18"/>
        </w:rPr>
        <w:t xml:space="preserve"> </w:t>
      </w:r>
      <w:r>
        <w:rPr>
          <w:sz w:val="18"/>
        </w:rPr>
        <w:t>the</w:t>
      </w:r>
      <w:r>
        <w:rPr>
          <w:spacing w:val="-3"/>
          <w:sz w:val="18"/>
        </w:rPr>
        <w:t xml:space="preserve"> </w:t>
      </w:r>
      <w:r>
        <w:rPr>
          <w:sz w:val="18"/>
        </w:rPr>
        <w:t>evaluation</w:t>
      </w:r>
      <w:r>
        <w:rPr>
          <w:spacing w:val="-4"/>
          <w:sz w:val="18"/>
        </w:rPr>
        <w:t xml:space="preserve"> </w:t>
      </w:r>
      <w:r>
        <w:rPr>
          <w:sz w:val="18"/>
        </w:rPr>
        <w:t>of</w:t>
      </w:r>
      <w:r>
        <w:rPr>
          <w:spacing w:val="-7"/>
          <w:sz w:val="18"/>
        </w:rPr>
        <w:t xml:space="preserve"> </w:t>
      </w:r>
      <w:r>
        <w:rPr>
          <w:sz w:val="18"/>
        </w:rPr>
        <w:t>facts</w:t>
      </w:r>
      <w:r>
        <w:rPr>
          <w:spacing w:val="-3"/>
          <w:sz w:val="18"/>
        </w:rPr>
        <w:t xml:space="preserve"> </w:t>
      </w:r>
      <w:r>
        <w:rPr>
          <w:sz w:val="18"/>
        </w:rPr>
        <w:t>in an</w:t>
      </w:r>
      <w:r>
        <w:rPr>
          <w:spacing w:val="-4"/>
          <w:sz w:val="18"/>
        </w:rPr>
        <w:t xml:space="preserve"> </w:t>
      </w:r>
      <w:r>
        <w:rPr>
          <w:sz w:val="18"/>
        </w:rPr>
        <w:t>unbiased and</w:t>
      </w:r>
      <w:r>
        <w:rPr>
          <w:spacing w:val="-4"/>
          <w:sz w:val="18"/>
        </w:rPr>
        <w:t xml:space="preserve"> </w:t>
      </w:r>
      <w:r>
        <w:rPr>
          <w:sz w:val="18"/>
        </w:rPr>
        <w:t>objective</w:t>
      </w:r>
      <w:r>
        <w:rPr>
          <w:spacing w:val="-3"/>
          <w:sz w:val="18"/>
        </w:rPr>
        <w:t xml:space="preserve"> </w:t>
      </w:r>
      <w:r>
        <w:rPr>
          <w:sz w:val="18"/>
        </w:rPr>
        <w:t>manner as an assessment</w:t>
      </w:r>
      <w:r>
        <w:rPr>
          <w:spacing w:val="-3"/>
          <w:sz w:val="18"/>
        </w:rPr>
        <w:t xml:space="preserve"> </w:t>
      </w:r>
      <w:r>
        <w:rPr>
          <w:sz w:val="18"/>
        </w:rPr>
        <w:t>that</w:t>
      </w:r>
      <w:r>
        <w:rPr>
          <w:spacing w:val="-2"/>
          <w:sz w:val="18"/>
        </w:rPr>
        <w:t xml:space="preserve"> </w:t>
      </w:r>
      <w:r>
        <w:rPr>
          <w:sz w:val="18"/>
        </w:rPr>
        <w:t>could</w:t>
      </w:r>
      <w:r>
        <w:rPr>
          <w:spacing w:val="-4"/>
          <w:sz w:val="18"/>
        </w:rPr>
        <w:t xml:space="preserve"> </w:t>
      </w:r>
      <w:r>
        <w:rPr>
          <w:sz w:val="18"/>
        </w:rPr>
        <w:t>have</w:t>
      </w:r>
      <w:r>
        <w:rPr>
          <w:spacing w:val="-3"/>
          <w:sz w:val="18"/>
        </w:rPr>
        <w:t xml:space="preserve"> </w:t>
      </w:r>
      <w:r>
        <w:rPr>
          <w:sz w:val="18"/>
        </w:rPr>
        <w:t>been reached by "an unbiased and objective decision maker".</w:t>
      </w:r>
    </w:p>
    <w:p w14:paraId="3718B542" w14:textId="77777777" w:rsidR="00BD462C" w:rsidRDefault="00033D0F">
      <w:pPr>
        <w:spacing w:before="3"/>
        <w:ind w:left="136" w:right="913" w:hanging="1"/>
        <w:jc w:val="both"/>
        <w:rPr>
          <w:sz w:val="18"/>
        </w:rPr>
      </w:pPr>
      <w:bookmarkStart w:id="1395" w:name="_bookmark1200"/>
      <w:bookmarkEnd w:id="1395"/>
      <w:r>
        <w:rPr>
          <w:position w:val="5"/>
          <w:sz w:val="12"/>
        </w:rPr>
        <w:t>1030</w:t>
      </w:r>
      <w:r>
        <w:rPr>
          <w:spacing w:val="4"/>
          <w:position w:val="5"/>
          <w:sz w:val="12"/>
        </w:rPr>
        <w:t xml:space="preserve"> </w:t>
      </w:r>
      <w:r>
        <w:rPr>
          <w:sz w:val="18"/>
        </w:rPr>
        <w:t>Appellate</w:t>
      </w:r>
      <w:r>
        <w:rPr>
          <w:spacing w:val="-7"/>
          <w:sz w:val="18"/>
        </w:rPr>
        <w:t xml:space="preserve"> </w:t>
      </w:r>
      <w:r>
        <w:rPr>
          <w:sz w:val="18"/>
        </w:rPr>
        <w:t>Body</w:t>
      </w:r>
      <w:r>
        <w:rPr>
          <w:spacing w:val="-11"/>
          <w:sz w:val="18"/>
        </w:rPr>
        <w:t xml:space="preserve"> </w:t>
      </w:r>
      <w:r>
        <w:rPr>
          <w:sz w:val="18"/>
        </w:rPr>
        <w:t>Report,</w:t>
      </w:r>
      <w:r>
        <w:rPr>
          <w:spacing w:val="-10"/>
          <w:sz w:val="18"/>
        </w:rPr>
        <w:t xml:space="preserve"> </w:t>
      </w:r>
      <w:r>
        <w:rPr>
          <w:i/>
          <w:sz w:val="18"/>
        </w:rPr>
        <w:t>EC</w:t>
      </w:r>
      <w:r>
        <w:rPr>
          <w:i/>
          <w:spacing w:val="-6"/>
          <w:sz w:val="18"/>
        </w:rPr>
        <w:t xml:space="preserve"> </w:t>
      </w:r>
      <w:r>
        <w:rPr>
          <w:i/>
          <w:sz w:val="18"/>
        </w:rPr>
        <w:t>–</w:t>
      </w:r>
      <w:r>
        <w:rPr>
          <w:i/>
          <w:spacing w:val="-7"/>
          <w:sz w:val="18"/>
        </w:rPr>
        <w:t xml:space="preserve"> </w:t>
      </w:r>
      <w:r>
        <w:rPr>
          <w:i/>
          <w:sz w:val="18"/>
        </w:rPr>
        <w:t>Fasteners</w:t>
      </w:r>
      <w:r>
        <w:rPr>
          <w:i/>
          <w:spacing w:val="-7"/>
          <w:sz w:val="18"/>
        </w:rPr>
        <w:t xml:space="preserve"> </w:t>
      </w:r>
      <w:r>
        <w:rPr>
          <w:i/>
          <w:sz w:val="18"/>
        </w:rPr>
        <w:t>(China)</w:t>
      </w:r>
      <w:r>
        <w:rPr>
          <w:sz w:val="18"/>
        </w:rPr>
        <w:t>,</w:t>
      </w:r>
      <w:r>
        <w:rPr>
          <w:spacing w:val="-5"/>
          <w:sz w:val="18"/>
        </w:rPr>
        <w:t xml:space="preserve"> </w:t>
      </w:r>
      <w:r>
        <w:rPr>
          <w:sz w:val="18"/>
        </w:rPr>
        <w:t>para.</w:t>
      </w:r>
      <w:r>
        <w:rPr>
          <w:spacing w:val="-1"/>
          <w:sz w:val="18"/>
        </w:rPr>
        <w:t xml:space="preserve"> </w:t>
      </w:r>
      <w:r>
        <w:rPr>
          <w:sz w:val="18"/>
        </w:rPr>
        <w:t>537</w:t>
      </w:r>
      <w:r>
        <w:rPr>
          <w:spacing w:val="-11"/>
          <w:sz w:val="18"/>
        </w:rPr>
        <w:t xml:space="preserve"> </w:t>
      </w:r>
      <w:r>
        <w:rPr>
          <w:sz w:val="18"/>
        </w:rPr>
        <w:t>(cited</w:t>
      </w:r>
      <w:r>
        <w:rPr>
          <w:spacing w:val="-7"/>
          <w:sz w:val="18"/>
        </w:rPr>
        <w:t xml:space="preserve"> </w:t>
      </w:r>
      <w:r>
        <w:rPr>
          <w:sz w:val="18"/>
        </w:rPr>
        <w:t>China's</w:t>
      </w:r>
      <w:r>
        <w:rPr>
          <w:spacing w:val="-7"/>
          <w:sz w:val="18"/>
        </w:rPr>
        <w:t xml:space="preserve"> </w:t>
      </w:r>
      <w:r>
        <w:rPr>
          <w:sz w:val="18"/>
        </w:rPr>
        <w:t>first</w:t>
      </w:r>
      <w:r>
        <w:rPr>
          <w:spacing w:val="-6"/>
          <w:sz w:val="18"/>
        </w:rPr>
        <w:t xml:space="preserve"> </w:t>
      </w:r>
      <w:r>
        <w:rPr>
          <w:sz w:val="18"/>
        </w:rPr>
        <w:t>written</w:t>
      </w:r>
      <w:r>
        <w:rPr>
          <w:spacing w:val="-7"/>
          <w:sz w:val="18"/>
        </w:rPr>
        <w:t xml:space="preserve"> </w:t>
      </w:r>
      <w:r>
        <w:rPr>
          <w:sz w:val="18"/>
        </w:rPr>
        <w:t>submission,</w:t>
      </w:r>
      <w:r>
        <w:rPr>
          <w:spacing w:val="-5"/>
          <w:sz w:val="18"/>
        </w:rPr>
        <w:t xml:space="preserve"> </w:t>
      </w:r>
      <w:r>
        <w:rPr>
          <w:sz w:val="18"/>
        </w:rPr>
        <w:t>para.</w:t>
      </w:r>
      <w:r>
        <w:rPr>
          <w:spacing w:val="-6"/>
          <w:sz w:val="18"/>
        </w:rPr>
        <w:t xml:space="preserve"> </w:t>
      </w:r>
      <w:r>
        <w:rPr>
          <w:sz w:val="18"/>
        </w:rPr>
        <w:t>2247,</w:t>
      </w:r>
      <w:r>
        <w:rPr>
          <w:spacing w:val="-10"/>
          <w:sz w:val="18"/>
        </w:rPr>
        <w:t xml:space="preserve"> </w:t>
      </w:r>
      <w:r>
        <w:rPr>
          <w:sz w:val="18"/>
        </w:rPr>
        <w:t>fn.</w:t>
      </w:r>
      <w:r>
        <w:rPr>
          <w:spacing w:val="-6"/>
          <w:sz w:val="18"/>
        </w:rPr>
        <w:t xml:space="preserve"> </w:t>
      </w:r>
      <w:r>
        <w:rPr>
          <w:sz w:val="18"/>
        </w:rPr>
        <w:t>2095);</w:t>
      </w:r>
      <w:r>
        <w:rPr>
          <w:spacing w:val="-4"/>
          <w:sz w:val="18"/>
        </w:rPr>
        <w:t xml:space="preserve"> </w:t>
      </w:r>
      <w:r>
        <w:rPr>
          <w:sz w:val="18"/>
        </w:rPr>
        <w:t>and Australia's first written submission, para. 836.</w:t>
      </w:r>
    </w:p>
    <w:p w14:paraId="49EE7CCB" w14:textId="77777777" w:rsidR="00BD462C" w:rsidRDefault="00BD462C">
      <w:pPr>
        <w:jc w:val="both"/>
        <w:rPr>
          <w:sz w:val="18"/>
        </w:rPr>
        <w:sectPr w:rsidR="00BD462C">
          <w:pgSz w:w="11910" w:h="16840"/>
          <w:pgMar w:top="860" w:right="500" w:bottom="780" w:left="1280" w:header="566" w:footer="590" w:gutter="0"/>
          <w:cols w:space="720"/>
        </w:sectPr>
      </w:pPr>
    </w:p>
    <w:p w14:paraId="5D364D17"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073840ED"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141F8836"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18B9375E" w14:textId="77777777" w:rsidR="00BD462C" w:rsidRDefault="00033D0F" w:rsidP="00DA02D9">
      <w:pPr>
        <w:pStyle w:val="ListParagraph"/>
        <w:numPr>
          <w:ilvl w:val="2"/>
          <w:numId w:val="72"/>
        </w:numPr>
        <w:tabs>
          <w:tab w:val="left" w:pos="1835"/>
          <w:tab w:val="left" w:pos="1836"/>
        </w:tabs>
        <w:spacing w:before="99" w:line="357" w:lineRule="auto"/>
        <w:ind w:right="916"/>
        <w:jc w:val="both"/>
        <w:rPr>
          <w:sz w:val="24"/>
        </w:rPr>
      </w:pPr>
      <w:r>
        <w:rPr>
          <w:sz w:val="24"/>
        </w:rPr>
        <w:t>it is not the role of a panel to undertake a "</w:t>
      </w:r>
      <w:r>
        <w:rPr>
          <w:i/>
          <w:sz w:val="24"/>
        </w:rPr>
        <w:t xml:space="preserve">de novo </w:t>
      </w:r>
      <w:r>
        <w:rPr>
          <w:sz w:val="24"/>
        </w:rPr>
        <w:t xml:space="preserve">review" in order to determine whether there was a legal basis for </w:t>
      </w:r>
      <w:proofErr w:type="gramStart"/>
      <w:r>
        <w:rPr>
          <w:sz w:val="24"/>
        </w:rPr>
        <w:t>according</w:t>
      </w:r>
      <w:proofErr w:type="gramEnd"/>
      <w:r>
        <w:rPr>
          <w:sz w:val="24"/>
        </w:rPr>
        <w:t xml:space="preserve"> confidential treatment to the information;</w:t>
      </w:r>
      <w:hyperlink w:anchor="_bookmark1201" w:history="1">
        <w:r>
          <w:rPr>
            <w:sz w:val="24"/>
            <w:vertAlign w:val="superscript"/>
          </w:rPr>
          <w:t>1031</w:t>
        </w:r>
      </w:hyperlink>
      <w:r>
        <w:rPr>
          <w:sz w:val="24"/>
        </w:rPr>
        <w:t xml:space="preserve"> and</w:t>
      </w:r>
    </w:p>
    <w:p w14:paraId="148DCA06" w14:textId="77777777" w:rsidR="00BD462C" w:rsidRDefault="00033D0F" w:rsidP="00DA02D9">
      <w:pPr>
        <w:pStyle w:val="ListParagraph"/>
        <w:numPr>
          <w:ilvl w:val="2"/>
          <w:numId w:val="72"/>
        </w:numPr>
        <w:tabs>
          <w:tab w:val="left" w:pos="1835"/>
          <w:tab w:val="left" w:pos="1836"/>
        </w:tabs>
        <w:spacing w:before="127" w:line="360" w:lineRule="auto"/>
        <w:ind w:right="917"/>
        <w:jc w:val="both"/>
        <w:rPr>
          <w:sz w:val="24"/>
        </w:rPr>
      </w:pPr>
      <w:r>
        <w:rPr>
          <w:sz w:val="24"/>
        </w:rPr>
        <w:t>a</w:t>
      </w:r>
      <w:r>
        <w:rPr>
          <w:spacing w:val="-3"/>
          <w:sz w:val="24"/>
        </w:rPr>
        <w:t xml:space="preserve"> </w:t>
      </w:r>
      <w:r>
        <w:rPr>
          <w:sz w:val="24"/>
        </w:rPr>
        <w:t>panel's</w:t>
      </w:r>
      <w:r>
        <w:rPr>
          <w:spacing w:val="-2"/>
          <w:sz w:val="24"/>
        </w:rPr>
        <w:t xml:space="preserve"> </w:t>
      </w:r>
      <w:r>
        <w:rPr>
          <w:sz w:val="24"/>
        </w:rPr>
        <w:t>task</w:t>
      </w:r>
      <w:r>
        <w:rPr>
          <w:spacing w:val="-2"/>
          <w:sz w:val="24"/>
        </w:rPr>
        <w:t xml:space="preserve"> </w:t>
      </w:r>
      <w:r>
        <w:rPr>
          <w:sz w:val="24"/>
        </w:rPr>
        <w:t>is</w:t>
      </w:r>
      <w:r>
        <w:rPr>
          <w:spacing w:val="-2"/>
          <w:sz w:val="24"/>
        </w:rPr>
        <w:t xml:space="preserve"> </w:t>
      </w:r>
      <w:r>
        <w:rPr>
          <w:sz w:val="24"/>
        </w:rPr>
        <w:t>to</w:t>
      </w:r>
      <w:r>
        <w:rPr>
          <w:spacing w:val="-5"/>
          <w:sz w:val="24"/>
        </w:rPr>
        <w:t xml:space="preserve"> </w:t>
      </w:r>
      <w:r>
        <w:rPr>
          <w:sz w:val="24"/>
        </w:rPr>
        <w:t>assess</w:t>
      </w:r>
      <w:r>
        <w:rPr>
          <w:spacing w:val="-2"/>
          <w:sz w:val="24"/>
        </w:rPr>
        <w:t xml:space="preserve"> </w:t>
      </w:r>
      <w:r>
        <w:rPr>
          <w:sz w:val="24"/>
        </w:rPr>
        <w:t>whether</w:t>
      </w:r>
      <w:r>
        <w:rPr>
          <w:spacing w:val="-5"/>
          <w:sz w:val="24"/>
        </w:rPr>
        <w:t xml:space="preserve"> </w:t>
      </w:r>
      <w:r>
        <w:rPr>
          <w:sz w:val="24"/>
        </w:rPr>
        <w:t>an</w:t>
      </w:r>
      <w:r>
        <w:rPr>
          <w:spacing w:val="-4"/>
          <w:sz w:val="24"/>
        </w:rPr>
        <w:t xml:space="preserve"> </w:t>
      </w:r>
      <w:r>
        <w:rPr>
          <w:sz w:val="24"/>
        </w:rPr>
        <w:t>investigating</w:t>
      </w:r>
      <w:r>
        <w:rPr>
          <w:spacing w:val="-6"/>
          <w:sz w:val="24"/>
        </w:rPr>
        <w:t xml:space="preserve"> </w:t>
      </w:r>
      <w:r>
        <w:rPr>
          <w:sz w:val="24"/>
        </w:rPr>
        <w:t>authority</w:t>
      </w:r>
      <w:r>
        <w:rPr>
          <w:spacing w:val="-2"/>
          <w:sz w:val="24"/>
        </w:rPr>
        <w:t xml:space="preserve"> </w:t>
      </w:r>
      <w:r>
        <w:rPr>
          <w:sz w:val="24"/>
        </w:rPr>
        <w:t>has</w:t>
      </w:r>
      <w:r>
        <w:rPr>
          <w:spacing w:val="-2"/>
          <w:sz w:val="24"/>
        </w:rPr>
        <w:t xml:space="preserve"> </w:t>
      </w:r>
      <w:r>
        <w:rPr>
          <w:sz w:val="24"/>
        </w:rPr>
        <w:t>objectively assessed</w:t>
      </w:r>
      <w:r>
        <w:rPr>
          <w:spacing w:val="-5"/>
          <w:sz w:val="24"/>
        </w:rPr>
        <w:t xml:space="preserve"> </w:t>
      </w:r>
      <w:r>
        <w:rPr>
          <w:sz w:val="24"/>
        </w:rPr>
        <w:t>"good</w:t>
      </w:r>
      <w:r>
        <w:rPr>
          <w:spacing w:val="-5"/>
          <w:sz w:val="24"/>
        </w:rPr>
        <w:t xml:space="preserve"> </w:t>
      </w:r>
      <w:r>
        <w:rPr>
          <w:sz w:val="24"/>
        </w:rPr>
        <w:t>cause".</w:t>
      </w:r>
      <w:r>
        <w:rPr>
          <w:spacing w:val="-2"/>
          <w:sz w:val="24"/>
        </w:rPr>
        <w:t xml:space="preserve"> </w:t>
      </w:r>
      <w:r>
        <w:rPr>
          <w:sz w:val="24"/>
        </w:rPr>
        <w:t>It</w:t>
      </w:r>
      <w:r>
        <w:rPr>
          <w:spacing w:val="-3"/>
          <w:sz w:val="24"/>
        </w:rPr>
        <w:t xml:space="preserve"> </w:t>
      </w:r>
      <w:r>
        <w:rPr>
          <w:sz w:val="24"/>
        </w:rPr>
        <w:t>does</w:t>
      </w:r>
      <w:r>
        <w:rPr>
          <w:spacing w:val="-7"/>
          <w:sz w:val="24"/>
        </w:rPr>
        <w:t xml:space="preserve"> </w:t>
      </w:r>
      <w:r>
        <w:rPr>
          <w:sz w:val="24"/>
        </w:rPr>
        <w:t>so</w:t>
      </w:r>
      <w:r>
        <w:rPr>
          <w:spacing w:val="-6"/>
          <w:sz w:val="24"/>
        </w:rPr>
        <w:t xml:space="preserve"> </w:t>
      </w:r>
      <w:r>
        <w:rPr>
          <w:sz w:val="24"/>
        </w:rPr>
        <w:t>by</w:t>
      </w:r>
      <w:r>
        <w:rPr>
          <w:spacing w:val="-2"/>
          <w:sz w:val="24"/>
        </w:rPr>
        <w:t xml:space="preserve"> </w:t>
      </w:r>
      <w:r>
        <w:rPr>
          <w:sz w:val="24"/>
        </w:rPr>
        <w:t>examining</w:t>
      </w:r>
      <w:r>
        <w:rPr>
          <w:spacing w:val="-2"/>
          <w:sz w:val="24"/>
        </w:rPr>
        <w:t xml:space="preserve"> </w:t>
      </w:r>
      <w:r>
        <w:rPr>
          <w:sz w:val="24"/>
        </w:rPr>
        <w:t>the</w:t>
      </w:r>
      <w:r>
        <w:rPr>
          <w:spacing w:val="-3"/>
          <w:sz w:val="24"/>
        </w:rPr>
        <w:t xml:space="preserve"> </w:t>
      </w:r>
      <w:r>
        <w:rPr>
          <w:sz w:val="24"/>
        </w:rPr>
        <w:t>issue</w:t>
      </w:r>
      <w:r>
        <w:rPr>
          <w:spacing w:val="-4"/>
          <w:sz w:val="24"/>
        </w:rPr>
        <w:t xml:space="preserve"> </w:t>
      </w:r>
      <w:r>
        <w:rPr>
          <w:sz w:val="24"/>
        </w:rPr>
        <w:t>on</w:t>
      </w:r>
      <w:r>
        <w:rPr>
          <w:spacing w:val="-5"/>
          <w:sz w:val="24"/>
        </w:rPr>
        <w:t xml:space="preserve"> </w:t>
      </w:r>
      <w:r>
        <w:rPr>
          <w:sz w:val="24"/>
        </w:rPr>
        <w:t>the</w:t>
      </w:r>
      <w:r>
        <w:rPr>
          <w:spacing w:val="-4"/>
          <w:sz w:val="24"/>
        </w:rPr>
        <w:t xml:space="preserve"> </w:t>
      </w:r>
      <w:r>
        <w:rPr>
          <w:sz w:val="24"/>
        </w:rPr>
        <w:t>basis</w:t>
      </w:r>
      <w:r>
        <w:rPr>
          <w:spacing w:val="-2"/>
          <w:sz w:val="24"/>
        </w:rPr>
        <w:t xml:space="preserve"> </w:t>
      </w:r>
      <w:r>
        <w:rPr>
          <w:sz w:val="24"/>
        </w:rPr>
        <w:t>of</w:t>
      </w:r>
      <w:r>
        <w:rPr>
          <w:spacing w:val="-5"/>
          <w:sz w:val="24"/>
        </w:rPr>
        <w:t xml:space="preserve"> </w:t>
      </w:r>
      <w:r>
        <w:rPr>
          <w:sz w:val="24"/>
        </w:rPr>
        <w:t>the published reports and supporting documents (if any), and in light of the nature of the information at issue and the reasons given by the submitting party for its request for confidential treatment.</w:t>
      </w:r>
      <w:hyperlink w:anchor="_bookmark1202" w:history="1">
        <w:r>
          <w:rPr>
            <w:sz w:val="24"/>
            <w:vertAlign w:val="superscript"/>
          </w:rPr>
          <w:t>1032</w:t>
        </w:r>
      </w:hyperlink>
    </w:p>
    <w:p w14:paraId="1E8BF67D" w14:textId="345BB1F1" w:rsidR="00BD462C" w:rsidRDefault="00A5381E">
      <w:pPr>
        <w:pStyle w:val="BodyText"/>
        <w:spacing w:before="125" w:line="357" w:lineRule="auto"/>
        <w:ind w:left="135" w:right="923"/>
      </w:pPr>
      <w:r>
        <w:rPr>
          <w:noProof/>
        </w:rPr>
        <w:t>659.</w:t>
      </w:r>
      <w:r w:rsidR="00033D0F">
        <w:rPr>
          <w:rFonts w:ascii="Times New Roman"/>
          <w:spacing w:val="80"/>
          <w:position w:val="1"/>
          <w:sz w:val="20"/>
        </w:rPr>
        <w:t xml:space="preserve">   </w:t>
      </w:r>
      <w:r w:rsidR="00033D0F">
        <w:rPr>
          <w:position w:val="1"/>
        </w:rPr>
        <w:t>The</w:t>
      </w:r>
      <w:r w:rsidR="00033D0F">
        <w:rPr>
          <w:spacing w:val="31"/>
          <w:position w:val="1"/>
        </w:rPr>
        <w:t xml:space="preserve"> </w:t>
      </w:r>
      <w:r w:rsidR="00033D0F">
        <w:rPr>
          <w:position w:val="1"/>
        </w:rPr>
        <w:t>apparent</w:t>
      </w:r>
      <w:r w:rsidR="00033D0F">
        <w:rPr>
          <w:spacing w:val="32"/>
          <w:position w:val="1"/>
        </w:rPr>
        <w:t xml:space="preserve"> </w:t>
      </w:r>
      <w:r w:rsidR="00033D0F">
        <w:rPr>
          <w:position w:val="1"/>
        </w:rPr>
        <w:t>disagreement</w:t>
      </w:r>
      <w:r w:rsidR="00033D0F">
        <w:rPr>
          <w:spacing w:val="32"/>
          <w:position w:val="1"/>
        </w:rPr>
        <w:t xml:space="preserve"> </w:t>
      </w:r>
      <w:r w:rsidR="00033D0F">
        <w:rPr>
          <w:position w:val="1"/>
        </w:rPr>
        <w:t>as</w:t>
      </w:r>
      <w:r w:rsidR="00033D0F">
        <w:rPr>
          <w:spacing w:val="33"/>
          <w:position w:val="1"/>
        </w:rPr>
        <w:t xml:space="preserve"> </w:t>
      </w:r>
      <w:r w:rsidR="00033D0F">
        <w:rPr>
          <w:position w:val="1"/>
        </w:rPr>
        <w:t>to</w:t>
      </w:r>
      <w:r w:rsidR="00033D0F">
        <w:rPr>
          <w:spacing w:val="29"/>
          <w:position w:val="1"/>
        </w:rPr>
        <w:t xml:space="preserve"> </w:t>
      </w:r>
      <w:r w:rsidR="00033D0F">
        <w:rPr>
          <w:position w:val="1"/>
        </w:rPr>
        <w:t>the</w:t>
      </w:r>
      <w:r w:rsidR="00033D0F">
        <w:rPr>
          <w:spacing w:val="31"/>
          <w:position w:val="1"/>
        </w:rPr>
        <w:t xml:space="preserve"> </w:t>
      </w:r>
      <w:r w:rsidR="00033D0F">
        <w:rPr>
          <w:position w:val="1"/>
        </w:rPr>
        <w:t>legal</w:t>
      </w:r>
      <w:r w:rsidR="00033D0F">
        <w:rPr>
          <w:spacing w:val="33"/>
          <w:position w:val="1"/>
        </w:rPr>
        <w:t xml:space="preserve"> </w:t>
      </w:r>
      <w:r w:rsidR="00033D0F">
        <w:rPr>
          <w:position w:val="1"/>
        </w:rPr>
        <w:t>standard</w:t>
      </w:r>
      <w:r w:rsidR="00033D0F">
        <w:rPr>
          <w:spacing w:val="29"/>
          <w:position w:val="1"/>
        </w:rPr>
        <w:t xml:space="preserve"> </w:t>
      </w:r>
      <w:r w:rsidR="00033D0F">
        <w:rPr>
          <w:position w:val="1"/>
        </w:rPr>
        <w:t>is</w:t>
      </w:r>
      <w:r w:rsidR="00033D0F">
        <w:rPr>
          <w:spacing w:val="33"/>
          <w:position w:val="1"/>
        </w:rPr>
        <w:t xml:space="preserve"> </w:t>
      </w:r>
      <w:r w:rsidR="00033D0F">
        <w:rPr>
          <w:position w:val="1"/>
        </w:rPr>
        <w:t>therefore</w:t>
      </w:r>
      <w:r w:rsidR="00033D0F">
        <w:rPr>
          <w:spacing w:val="31"/>
          <w:position w:val="1"/>
        </w:rPr>
        <w:t xml:space="preserve"> </w:t>
      </w:r>
      <w:r w:rsidR="00033D0F">
        <w:rPr>
          <w:position w:val="1"/>
        </w:rPr>
        <w:t>limited</w:t>
      </w:r>
      <w:r w:rsidR="00033D0F">
        <w:rPr>
          <w:spacing w:val="29"/>
          <w:position w:val="1"/>
        </w:rPr>
        <w:t xml:space="preserve"> </w:t>
      </w:r>
      <w:r w:rsidR="00033D0F">
        <w:rPr>
          <w:position w:val="1"/>
        </w:rPr>
        <w:t>to</w:t>
      </w:r>
      <w:r w:rsidR="00033D0F">
        <w:rPr>
          <w:spacing w:val="29"/>
          <w:position w:val="1"/>
        </w:rPr>
        <w:t xml:space="preserve"> </w:t>
      </w:r>
      <w:r w:rsidR="00033D0F">
        <w:rPr>
          <w:position w:val="1"/>
        </w:rPr>
        <w:t xml:space="preserve">three </w:t>
      </w:r>
      <w:r w:rsidR="00033D0F">
        <w:t>areas, which Australia addresses in turn below.</w:t>
      </w:r>
    </w:p>
    <w:p w14:paraId="7A7BD6A0" w14:textId="77777777" w:rsidR="00BD462C" w:rsidRDefault="00BD462C">
      <w:pPr>
        <w:pStyle w:val="BodyText"/>
        <w:spacing w:before="3"/>
        <w:rPr>
          <w:sz w:val="9"/>
        </w:rPr>
      </w:pPr>
    </w:p>
    <w:p w14:paraId="7BE5A152" w14:textId="66FF996B" w:rsidR="00BD462C" w:rsidRDefault="00A5381E">
      <w:pPr>
        <w:pStyle w:val="BodyText"/>
        <w:spacing w:before="56" w:line="360" w:lineRule="auto"/>
        <w:ind w:left="135" w:right="911"/>
        <w:jc w:val="both"/>
      </w:pPr>
      <w:r>
        <w:rPr>
          <w:noProof/>
        </w:rPr>
        <w:t>660.</w:t>
      </w:r>
      <w:r w:rsidR="00033D0F">
        <w:rPr>
          <w:rFonts w:ascii="Times New Roman"/>
          <w:spacing w:val="80"/>
          <w:position w:val="1"/>
          <w:sz w:val="20"/>
        </w:rPr>
        <w:t xml:space="preserve">  </w:t>
      </w:r>
      <w:r w:rsidR="00033D0F">
        <w:rPr>
          <w:position w:val="1"/>
        </w:rPr>
        <w:t>First,</w:t>
      </w:r>
      <w:r w:rsidR="00033D0F">
        <w:rPr>
          <w:spacing w:val="-14"/>
          <w:position w:val="1"/>
        </w:rPr>
        <w:t xml:space="preserve"> </w:t>
      </w:r>
      <w:r w:rsidR="00033D0F">
        <w:rPr>
          <w:position w:val="1"/>
        </w:rPr>
        <w:t>China</w:t>
      </w:r>
      <w:r w:rsidR="00033D0F">
        <w:rPr>
          <w:spacing w:val="-12"/>
          <w:position w:val="1"/>
        </w:rPr>
        <w:t xml:space="preserve"> </w:t>
      </w:r>
      <w:r w:rsidR="00033D0F">
        <w:rPr>
          <w:position w:val="1"/>
        </w:rPr>
        <w:t>contends</w:t>
      </w:r>
      <w:r w:rsidR="00033D0F">
        <w:rPr>
          <w:spacing w:val="-11"/>
          <w:position w:val="1"/>
        </w:rPr>
        <w:t xml:space="preserve"> </w:t>
      </w:r>
      <w:r w:rsidR="00033D0F">
        <w:rPr>
          <w:position w:val="1"/>
        </w:rPr>
        <w:t>that</w:t>
      </w:r>
      <w:r w:rsidR="00033D0F">
        <w:rPr>
          <w:spacing w:val="-12"/>
          <w:position w:val="1"/>
        </w:rPr>
        <w:t xml:space="preserve"> </w:t>
      </w:r>
      <w:r w:rsidR="00033D0F">
        <w:rPr>
          <w:position w:val="1"/>
        </w:rPr>
        <w:t>the</w:t>
      </w:r>
      <w:r w:rsidR="00033D0F">
        <w:rPr>
          <w:spacing w:val="-13"/>
          <w:position w:val="1"/>
        </w:rPr>
        <w:t xml:space="preserve"> </w:t>
      </w:r>
      <w:r w:rsidR="00033D0F">
        <w:rPr>
          <w:position w:val="1"/>
        </w:rPr>
        <w:t>Panel's</w:t>
      </w:r>
      <w:r w:rsidR="00033D0F">
        <w:rPr>
          <w:spacing w:val="-11"/>
          <w:position w:val="1"/>
        </w:rPr>
        <w:t xml:space="preserve"> </w:t>
      </w:r>
      <w:r w:rsidR="00033D0F">
        <w:rPr>
          <w:position w:val="1"/>
        </w:rPr>
        <w:t>role,</w:t>
      </w:r>
      <w:r w:rsidR="00033D0F">
        <w:rPr>
          <w:spacing w:val="-11"/>
          <w:position w:val="1"/>
        </w:rPr>
        <w:t xml:space="preserve"> </w:t>
      </w:r>
      <w:r w:rsidR="00033D0F">
        <w:rPr>
          <w:position w:val="1"/>
        </w:rPr>
        <w:t>in</w:t>
      </w:r>
      <w:r w:rsidR="00033D0F">
        <w:rPr>
          <w:spacing w:val="-14"/>
          <w:position w:val="1"/>
        </w:rPr>
        <w:t xml:space="preserve"> </w:t>
      </w:r>
      <w:r w:rsidR="00033D0F">
        <w:rPr>
          <w:position w:val="1"/>
        </w:rPr>
        <w:t>the</w:t>
      </w:r>
      <w:r w:rsidR="00033D0F">
        <w:rPr>
          <w:spacing w:val="-12"/>
          <w:position w:val="1"/>
        </w:rPr>
        <w:t xml:space="preserve"> </w:t>
      </w:r>
      <w:r w:rsidR="00033D0F">
        <w:rPr>
          <w:position w:val="1"/>
        </w:rPr>
        <w:t>present</w:t>
      </w:r>
      <w:r w:rsidR="00033D0F">
        <w:rPr>
          <w:spacing w:val="-12"/>
          <w:position w:val="1"/>
        </w:rPr>
        <w:t xml:space="preserve"> </w:t>
      </w:r>
      <w:r w:rsidR="00033D0F">
        <w:rPr>
          <w:position w:val="1"/>
        </w:rPr>
        <w:t>case,</w:t>
      </w:r>
      <w:r w:rsidR="00033D0F">
        <w:rPr>
          <w:spacing w:val="-11"/>
          <w:position w:val="1"/>
        </w:rPr>
        <w:t xml:space="preserve"> </w:t>
      </w:r>
      <w:r w:rsidR="00033D0F">
        <w:rPr>
          <w:position w:val="1"/>
        </w:rPr>
        <w:t>is</w:t>
      </w:r>
      <w:r w:rsidR="00033D0F">
        <w:rPr>
          <w:spacing w:val="-11"/>
          <w:position w:val="1"/>
        </w:rPr>
        <w:t xml:space="preserve"> </w:t>
      </w:r>
      <w:r w:rsidR="00033D0F">
        <w:rPr>
          <w:position w:val="1"/>
        </w:rPr>
        <w:t>limited</w:t>
      </w:r>
      <w:r w:rsidR="00033D0F">
        <w:rPr>
          <w:spacing w:val="-14"/>
          <w:position w:val="1"/>
        </w:rPr>
        <w:t xml:space="preserve"> </w:t>
      </w:r>
      <w:r w:rsidR="00033D0F">
        <w:rPr>
          <w:position w:val="1"/>
        </w:rPr>
        <w:t>to</w:t>
      </w:r>
      <w:r w:rsidR="00033D0F">
        <w:rPr>
          <w:spacing w:val="-14"/>
          <w:position w:val="1"/>
        </w:rPr>
        <w:t xml:space="preserve"> </w:t>
      </w:r>
      <w:r w:rsidR="00033D0F">
        <w:rPr>
          <w:position w:val="1"/>
        </w:rPr>
        <w:t>a</w:t>
      </w:r>
      <w:r w:rsidR="00033D0F">
        <w:rPr>
          <w:spacing w:val="-12"/>
          <w:position w:val="1"/>
        </w:rPr>
        <w:t xml:space="preserve"> </w:t>
      </w:r>
      <w:r w:rsidR="00033D0F">
        <w:rPr>
          <w:position w:val="1"/>
        </w:rPr>
        <w:t>"</w:t>
      </w:r>
      <w:proofErr w:type="spellStart"/>
      <w:r w:rsidR="00033D0F">
        <w:rPr>
          <w:position w:val="1"/>
        </w:rPr>
        <w:t>simpl</w:t>
      </w:r>
      <w:proofErr w:type="spellEnd"/>
      <w:r w:rsidR="00033D0F">
        <w:rPr>
          <w:position w:val="1"/>
        </w:rPr>
        <w:t xml:space="preserve">[e] </w:t>
      </w:r>
      <w:r w:rsidR="00033D0F">
        <w:t>check"</w:t>
      </w:r>
      <w:r w:rsidR="00033D0F">
        <w:rPr>
          <w:spacing w:val="-8"/>
        </w:rPr>
        <w:t xml:space="preserve"> </w:t>
      </w:r>
      <w:r w:rsidR="00033D0F">
        <w:t>of</w:t>
      </w:r>
      <w:r w:rsidR="00033D0F">
        <w:rPr>
          <w:spacing w:val="-9"/>
        </w:rPr>
        <w:t xml:space="preserve"> </w:t>
      </w:r>
      <w:r w:rsidR="00033D0F">
        <w:rPr>
          <w:i/>
        </w:rPr>
        <w:t>whether</w:t>
      </w:r>
      <w:r w:rsidR="00033D0F">
        <w:rPr>
          <w:i/>
          <w:spacing w:val="-8"/>
        </w:rPr>
        <w:t xml:space="preserve"> </w:t>
      </w:r>
      <w:r w:rsidR="00033D0F">
        <w:t>there</w:t>
      </w:r>
      <w:r w:rsidR="00033D0F">
        <w:rPr>
          <w:spacing w:val="-7"/>
        </w:rPr>
        <w:t xml:space="preserve"> </w:t>
      </w:r>
      <w:r w:rsidR="00033D0F">
        <w:t>is</w:t>
      </w:r>
      <w:r w:rsidR="00033D0F">
        <w:rPr>
          <w:spacing w:val="-6"/>
        </w:rPr>
        <w:t xml:space="preserve"> </w:t>
      </w:r>
      <w:r w:rsidR="00033D0F">
        <w:t>evidence</w:t>
      </w:r>
      <w:r w:rsidR="00033D0F">
        <w:rPr>
          <w:spacing w:val="-7"/>
        </w:rPr>
        <w:t xml:space="preserve"> </w:t>
      </w:r>
      <w:r w:rsidR="00033D0F">
        <w:t>that</w:t>
      </w:r>
      <w:r w:rsidR="00033D0F">
        <w:rPr>
          <w:spacing w:val="-7"/>
        </w:rPr>
        <w:t xml:space="preserve"> </w:t>
      </w:r>
      <w:r w:rsidR="00033D0F">
        <w:t>MOFCOM</w:t>
      </w:r>
      <w:r w:rsidR="00033D0F">
        <w:rPr>
          <w:spacing w:val="-7"/>
        </w:rPr>
        <w:t xml:space="preserve"> </w:t>
      </w:r>
      <w:proofErr w:type="gramStart"/>
      <w:r w:rsidR="00033D0F">
        <w:t>conducted</w:t>
      </w:r>
      <w:r w:rsidR="00033D0F">
        <w:rPr>
          <w:spacing w:val="-9"/>
        </w:rPr>
        <w:t xml:space="preserve"> </w:t>
      </w:r>
      <w:r w:rsidR="00033D0F">
        <w:t>an</w:t>
      </w:r>
      <w:r w:rsidR="00033D0F">
        <w:rPr>
          <w:spacing w:val="-9"/>
        </w:rPr>
        <w:t xml:space="preserve"> </w:t>
      </w:r>
      <w:r w:rsidR="00033D0F">
        <w:t>assessment</w:t>
      </w:r>
      <w:r w:rsidR="00033D0F">
        <w:rPr>
          <w:spacing w:val="-7"/>
        </w:rPr>
        <w:t xml:space="preserve"> </w:t>
      </w:r>
      <w:r w:rsidR="00033D0F">
        <w:t>of</w:t>
      </w:r>
      <w:proofErr w:type="gramEnd"/>
      <w:r w:rsidR="00033D0F">
        <w:rPr>
          <w:spacing w:val="-9"/>
        </w:rPr>
        <w:t xml:space="preserve"> </w:t>
      </w:r>
      <w:r w:rsidR="00033D0F">
        <w:t>the</w:t>
      </w:r>
      <w:r w:rsidR="00033D0F">
        <w:rPr>
          <w:spacing w:val="-7"/>
        </w:rPr>
        <w:t xml:space="preserve"> </w:t>
      </w:r>
      <w:r w:rsidR="00033D0F">
        <w:t>existence of</w:t>
      </w:r>
      <w:r w:rsidR="00033D0F">
        <w:rPr>
          <w:spacing w:val="-13"/>
        </w:rPr>
        <w:t xml:space="preserve"> </w:t>
      </w:r>
      <w:r w:rsidR="00033D0F">
        <w:t>"good</w:t>
      </w:r>
      <w:r w:rsidR="00033D0F">
        <w:rPr>
          <w:spacing w:val="-13"/>
        </w:rPr>
        <w:t xml:space="preserve"> </w:t>
      </w:r>
      <w:r w:rsidR="00033D0F">
        <w:t>cause".</w:t>
      </w:r>
      <w:hyperlink w:anchor="_bookmark1203" w:history="1">
        <w:r w:rsidR="00033D0F">
          <w:rPr>
            <w:vertAlign w:val="superscript"/>
          </w:rPr>
          <w:t>1033</w:t>
        </w:r>
      </w:hyperlink>
      <w:r w:rsidR="00033D0F">
        <w:rPr>
          <w:spacing w:val="-10"/>
        </w:rPr>
        <w:t xml:space="preserve"> </w:t>
      </w:r>
      <w:r w:rsidR="00033D0F">
        <w:t>Australia</w:t>
      </w:r>
      <w:r w:rsidR="00033D0F">
        <w:rPr>
          <w:spacing w:val="-11"/>
        </w:rPr>
        <w:t xml:space="preserve"> </w:t>
      </w:r>
      <w:r w:rsidR="00033D0F">
        <w:t>disagrees.</w:t>
      </w:r>
      <w:r w:rsidR="00033D0F">
        <w:rPr>
          <w:spacing w:val="-10"/>
        </w:rPr>
        <w:t xml:space="preserve"> </w:t>
      </w:r>
      <w:r w:rsidR="00033D0F">
        <w:t>The</w:t>
      </w:r>
      <w:r w:rsidR="00033D0F">
        <w:rPr>
          <w:spacing w:val="-11"/>
        </w:rPr>
        <w:t xml:space="preserve"> </w:t>
      </w:r>
      <w:r w:rsidR="00033D0F">
        <w:t>Appellate</w:t>
      </w:r>
      <w:r w:rsidR="00033D0F">
        <w:rPr>
          <w:spacing w:val="-11"/>
        </w:rPr>
        <w:t xml:space="preserve"> </w:t>
      </w:r>
      <w:r w:rsidR="00033D0F">
        <w:t>Body</w:t>
      </w:r>
      <w:r w:rsidR="00033D0F">
        <w:rPr>
          <w:spacing w:val="-5"/>
        </w:rPr>
        <w:t xml:space="preserve"> </w:t>
      </w:r>
      <w:r w:rsidR="00033D0F">
        <w:t>has</w:t>
      </w:r>
      <w:r w:rsidR="00033D0F">
        <w:rPr>
          <w:spacing w:val="-9"/>
        </w:rPr>
        <w:t xml:space="preserve"> </w:t>
      </w:r>
      <w:r w:rsidR="00033D0F">
        <w:t>made</w:t>
      </w:r>
      <w:r w:rsidR="00033D0F">
        <w:rPr>
          <w:spacing w:val="-11"/>
        </w:rPr>
        <w:t xml:space="preserve"> </w:t>
      </w:r>
      <w:r w:rsidR="00033D0F">
        <w:t>clear</w:t>
      </w:r>
      <w:r w:rsidR="00033D0F">
        <w:rPr>
          <w:spacing w:val="-14"/>
        </w:rPr>
        <w:t xml:space="preserve"> </w:t>
      </w:r>
      <w:r w:rsidR="00033D0F">
        <w:t>that</w:t>
      </w:r>
      <w:r w:rsidR="00033D0F">
        <w:rPr>
          <w:spacing w:val="-6"/>
        </w:rPr>
        <w:t xml:space="preserve"> </w:t>
      </w:r>
      <w:r w:rsidR="00033D0F">
        <w:t>a</w:t>
      </w:r>
      <w:r w:rsidR="00033D0F">
        <w:rPr>
          <w:spacing w:val="-11"/>
        </w:rPr>
        <w:t xml:space="preserve"> </w:t>
      </w:r>
      <w:r w:rsidR="00033D0F">
        <w:t>panel's</w:t>
      </w:r>
      <w:r w:rsidR="00033D0F">
        <w:rPr>
          <w:spacing w:val="-9"/>
        </w:rPr>
        <w:t xml:space="preserve"> </w:t>
      </w:r>
      <w:r w:rsidR="00033D0F">
        <w:t>task is to assess both whether there is evidence of such an assessment, and whether the assessment was "objective".</w:t>
      </w:r>
      <w:hyperlink w:anchor="_bookmark1204" w:history="1">
        <w:r w:rsidR="00033D0F">
          <w:rPr>
            <w:vertAlign w:val="superscript"/>
          </w:rPr>
          <w:t>1034</w:t>
        </w:r>
      </w:hyperlink>
      <w:r w:rsidR="00033D0F">
        <w:t xml:space="preserve"> While this Panel is not required to undertake a </w:t>
      </w:r>
      <w:r w:rsidR="00033D0F">
        <w:rPr>
          <w:i/>
        </w:rPr>
        <w:t xml:space="preserve">de novo </w:t>
      </w:r>
      <w:r w:rsidR="00033D0F">
        <w:t>review, it is required to assess whether MOFCOM's assessment of "good cause" was that of an unbiased and objective investigating authority.</w:t>
      </w:r>
    </w:p>
    <w:p w14:paraId="336AC7E4" w14:textId="77777777" w:rsidR="00BD462C" w:rsidRDefault="00BD462C">
      <w:pPr>
        <w:pStyle w:val="BodyText"/>
        <w:spacing w:before="5"/>
        <w:rPr>
          <w:sz w:val="8"/>
        </w:rPr>
      </w:pPr>
    </w:p>
    <w:p w14:paraId="22834E78" w14:textId="57747108" w:rsidR="00BD462C" w:rsidRDefault="00A5381E">
      <w:pPr>
        <w:pStyle w:val="BodyText"/>
        <w:spacing w:before="56" w:line="360" w:lineRule="auto"/>
        <w:ind w:left="136" w:right="914"/>
        <w:jc w:val="both"/>
      </w:pPr>
      <w:r>
        <w:rPr>
          <w:noProof/>
        </w:rPr>
        <w:t>661.</w:t>
      </w:r>
      <w:r w:rsidR="00033D0F">
        <w:rPr>
          <w:rFonts w:ascii="Times New Roman" w:hAnsi="Times New Roman"/>
          <w:spacing w:val="80"/>
          <w:w w:val="150"/>
          <w:position w:val="1"/>
          <w:sz w:val="20"/>
        </w:rPr>
        <w:t xml:space="preserve"> </w:t>
      </w:r>
      <w:r w:rsidR="00033D0F">
        <w:rPr>
          <w:position w:val="1"/>
        </w:rPr>
        <w:t xml:space="preserve">Second, China "posits" that if an investigating authority properly classifies certain </w:t>
      </w:r>
      <w:r w:rsidR="00033D0F">
        <w:t>information as "by nature" confidential, then the requirement to check for "good cause" is "</w:t>
      </w:r>
      <w:r w:rsidR="00033D0F">
        <w:rPr>
          <w:i/>
        </w:rPr>
        <w:t xml:space="preserve">ipso facto </w:t>
      </w:r>
      <w:r w:rsidR="00033D0F">
        <w:t xml:space="preserve">satisfied". China cites </w:t>
      </w:r>
      <w:r w:rsidR="00033D0F">
        <w:rPr>
          <w:i/>
        </w:rPr>
        <w:t xml:space="preserve">EU – Footwear (China) </w:t>
      </w:r>
      <w:r w:rsidR="00033D0F">
        <w:t>in support of this proposition.</w:t>
      </w:r>
      <w:hyperlink w:anchor="_bookmark1205" w:history="1">
        <w:r w:rsidR="00033D0F">
          <w:rPr>
            <w:vertAlign w:val="superscript"/>
          </w:rPr>
          <w:t>1035</w:t>
        </w:r>
      </w:hyperlink>
      <w:r w:rsidR="00033D0F">
        <w:t xml:space="preserve"> Australia disagrees. While, as China notes, this was the submission made by the European Union in that dispute, it was not an interpretation adopted by that panel either expressly or implicitly. Moreover, the Appellate Body has repeatedly confirmed that a showing of "good cause" is required for both categories of information under Article 6.5.</w:t>
      </w:r>
      <w:hyperlink w:anchor="_bookmark1206" w:history="1">
        <w:r w:rsidR="00033D0F">
          <w:rPr>
            <w:vertAlign w:val="superscript"/>
          </w:rPr>
          <w:t>1036</w:t>
        </w:r>
      </w:hyperlink>
    </w:p>
    <w:p w14:paraId="226626DD" w14:textId="77777777" w:rsidR="00BD462C" w:rsidRDefault="00BD462C">
      <w:pPr>
        <w:pStyle w:val="BodyText"/>
        <w:rPr>
          <w:sz w:val="20"/>
        </w:rPr>
      </w:pPr>
    </w:p>
    <w:p w14:paraId="43EDBAE3" w14:textId="77777777" w:rsidR="00BD462C" w:rsidRDefault="00BD462C">
      <w:pPr>
        <w:pStyle w:val="BodyText"/>
        <w:rPr>
          <w:sz w:val="20"/>
        </w:rPr>
      </w:pPr>
    </w:p>
    <w:p w14:paraId="12275EB3" w14:textId="0FAF4065" w:rsidR="00BD462C" w:rsidRDefault="007E218F">
      <w:pPr>
        <w:pStyle w:val="BodyText"/>
        <w:rPr>
          <w:sz w:val="15"/>
        </w:rPr>
      </w:pPr>
      <w:r>
        <w:rPr>
          <w:noProof/>
        </w:rPr>
        <mc:AlternateContent>
          <mc:Choice Requires="wps">
            <w:drawing>
              <wp:anchor distT="0" distB="0" distL="0" distR="0" simplePos="0" relativeHeight="488202752" behindDoc="1" locked="0" layoutInCell="1" allowOverlap="1" wp14:anchorId="51461305" wp14:editId="085486BA">
                <wp:simplePos x="0" y="0"/>
                <wp:positionH relativeFrom="page">
                  <wp:posOffset>812800</wp:posOffset>
                </wp:positionH>
                <wp:positionV relativeFrom="paragraph">
                  <wp:posOffset>118110</wp:posOffset>
                </wp:positionV>
                <wp:extent cx="1828800" cy="8890"/>
                <wp:effectExtent l="0" t="0" r="0" b="0"/>
                <wp:wrapTopAndBottom/>
                <wp:docPr id="179" name="docshape6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FFE6B2" id="docshape664" o:spid="_x0000_s1026" alt="&quot;&quot;" style="position:absolute;margin-left:64pt;margin-top:9.3pt;width:2in;height:.7pt;z-index:-15113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" fillcolor="black" stroked="f">
                <w10:wrap type="topAndBottom" anchorx="page"/>
              </v:rect>
            </w:pict>
          </mc:Fallback>
        </mc:AlternateContent>
      </w:r>
    </w:p>
    <w:p w14:paraId="0B68B067" w14:textId="77777777" w:rsidR="00BD462C" w:rsidRDefault="00033D0F">
      <w:pPr>
        <w:spacing w:before="112"/>
        <w:ind w:left="135" w:right="923"/>
        <w:rPr>
          <w:sz w:val="18"/>
        </w:rPr>
      </w:pPr>
      <w:bookmarkStart w:id="1396" w:name="_bookmark1201"/>
      <w:bookmarkEnd w:id="1396"/>
      <w:r>
        <w:rPr>
          <w:position w:val="5"/>
          <w:sz w:val="12"/>
        </w:rPr>
        <w:t>1031</w:t>
      </w:r>
      <w:r>
        <w:rPr>
          <w:spacing w:val="21"/>
          <w:position w:val="5"/>
          <w:sz w:val="12"/>
        </w:rPr>
        <w:t xml:space="preserve"> </w:t>
      </w:r>
      <w:r>
        <w:rPr>
          <w:sz w:val="18"/>
        </w:rPr>
        <w:t xml:space="preserve">Appellate Body Report, </w:t>
      </w:r>
      <w:r>
        <w:rPr>
          <w:i/>
          <w:sz w:val="18"/>
        </w:rPr>
        <w:t>EC – Fasteners (China) (Article 21.5 – China)</w:t>
      </w:r>
      <w:r>
        <w:rPr>
          <w:sz w:val="18"/>
        </w:rPr>
        <w:t>, para. 5.102 (cited China's first written submission, para. 2246, fn. 2092).</w:t>
      </w:r>
    </w:p>
    <w:p w14:paraId="4A441BCF" w14:textId="77777777" w:rsidR="00BD462C" w:rsidRDefault="00033D0F">
      <w:pPr>
        <w:spacing w:before="5" w:line="235" w:lineRule="auto"/>
        <w:ind w:left="136" w:right="923" w:hanging="1"/>
        <w:rPr>
          <w:sz w:val="18"/>
        </w:rPr>
      </w:pPr>
      <w:bookmarkStart w:id="1397" w:name="_bookmark1202"/>
      <w:bookmarkEnd w:id="1397"/>
      <w:r>
        <w:rPr>
          <w:position w:val="5"/>
          <w:sz w:val="12"/>
        </w:rPr>
        <w:t>1032</w:t>
      </w:r>
      <w:r>
        <w:rPr>
          <w:spacing w:val="22"/>
          <w:position w:val="5"/>
          <w:sz w:val="12"/>
        </w:rPr>
        <w:t xml:space="preserve"> </w:t>
      </w:r>
      <w:r>
        <w:rPr>
          <w:sz w:val="18"/>
        </w:rPr>
        <w:t xml:space="preserve">Appellate Body Report, </w:t>
      </w:r>
      <w:r>
        <w:rPr>
          <w:i/>
          <w:sz w:val="18"/>
        </w:rPr>
        <w:t>China – HP-SST (Japan)</w:t>
      </w:r>
      <w:r>
        <w:rPr>
          <w:sz w:val="18"/>
        </w:rPr>
        <w:t>, para. 5.97 (cited China's first written submission, para. 2249, fn. 2098); Australia's first written submission, para. 839.</w:t>
      </w:r>
    </w:p>
    <w:p w14:paraId="31EBBD7A" w14:textId="77777777" w:rsidR="00BD462C" w:rsidRDefault="00033D0F">
      <w:pPr>
        <w:spacing w:before="3"/>
        <w:ind w:left="135"/>
        <w:rPr>
          <w:sz w:val="18"/>
        </w:rPr>
      </w:pPr>
      <w:bookmarkStart w:id="1398" w:name="_bookmark1203"/>
      <w:bookmarkEnd w:id="1398"/>
      <w:r>
        <w:rPr>
          <w:position w:val="5"/>
          <w:sz w:val="12"/>
        </w:rPr>
        <w:t>1033</w:t>
      </w:r>
      <w:r>
        <w:rPr>
          <w:spacing w:val="13"/>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 xml:space="preserve">para. </w:t>
      </w:r>
      <w:r>
        <w:rPr>
          <w:spacing w:val="-2"/>
          <w:sz w:val="18"/>
        </w:rPr>
        <w:t>2247.</w:t>
      </w:r>
    </w:p>
    <w:p w14:paraId="3BD0ACAA" w14:textId="77777777" w:rsidR="00BD462C" w:rsidRDefault="00033D0F">
      <w:pPr>
        <w:spacing w:before="1"/>
        <w:ind w:left="135"/>
        <w:rPr>
          <w:sz w:val="18"/>
        </w:rPr>
      </w:pPr>
      <w:bookmarkStart w:id="1399" w:name="_bookmark1204"/>
      <w:bookmarkEnd w:id="1399"/>
      <w:r>
        <w:rPr>
          <w:position w:val="5"/>
          <w:sz w:val="12"/>
        </w:rPr>
        <w:t>1034</w:t>
      </w:r>
      <w:r>
        <w:rPr>
          <w:spacing w:val="15"/>
          <w:position w:val="5"/>
          <w:sz w:val="12"/>
        </w:rPr>
        <w:t xml:space="preserve"> </w:t>
      </w:r>
      <w:r>
        <w:rPr>
          <w:sz w:val="18"/>
        </w:rPr>
        <w:t>Appellate</w:t>
      </w:r>
      <w:r>
        <w:rPr>
          <w:spacing w:val="-8"/>
          <w:sz w:val="18"/>
        </w:rPr>
        <w:t xml:space="preserve"> </w:t>
      </w:r>
      <w:r>
        <w:rPr>
          <w:sz w:val="18"/>
        </w:rPr>
        <w:t>Body</w:t>
      </w:r>
      <w:r>
        <w:rPr>
          <w:spacing w:val="-5"/>
          <w:sz w:val="18"/>
        </w:rPr>
        <w:t xml:space="preserve"> </w:t>
      </w:r>
      <w:r>
        <w:rPr>
          <w:sz w:val="18"/>
        </w:rPr>
        <w:t>Report,</w:t>
      </w:r>
      <w:r>
        <w:rPr>
          <w:spacing w:val="-2"/>
          <w:sz w:val="18"/>
        </w:rPr>
        <w:t xml:space="preserve"> </w:t>
      </w:r>
      <w:r>
        <w:rPr>
          <w:i/>
          <w:sz w:val="18"/>
        </w:rPr>
        <w:t>China</w:t>
      </w:r>
      <w:r>
        <w:rPr>
          <w:i/>
          <w:spacing w:val="3"/>
          <w:sz w:val="18"/>
        </w:rPr>
        <w:t xml:space="preserve"> </w:t>
      </w:r>
      <w:r>
        <w:rPr>
          <w:i/>
          <w:sz w:val="18"/>
        </w:rPr>
        <w:t>–</w:t>
      </w:r>
      <w:r>
        <w:rPr>
          <w:i/>
          <w:spacing w:val="-8"/>
          <w:sz w:val="18"/>
        </w:rPr>
        <w:t xml:space="preserve"> </w:t>
      </w:r>
      <w:r>
        <w:rPr>
          <w:i/>
          <w:sz w:val="18"/>
        </w:rPr>
        <w:t>HP-SST</w:t>
      </w:r>
      <w:r>
        <w:rPr>
          <w:i/>
          <w:spacing w:val="-2"/>
          <w:sz w:val="18"/>
        </w:rPr>
        <w:t xml:space="preserve"> </w:t>
      </w:r>
      <w:r>
        <w:rPr>
          <w:i/>
          <w:sz w:val="18"/>
        </w:rPr>
        <w:t>(Japan)</w:t>
      </w:r>
      <w:r>
        <w:rPr>
          <w:sz w:val="18"/>
        </w:rPr>
        <w:t>,</w:t>
      </w:r>
      <w:r>
        <w:rPr>
          <w:spacing w:val="-1"/>
          <w:sz w:val="18"/>
        </w:rPr>
        <w:t xml:space="preserve"> </w:t>
      </w:r>
      <w:r>
        <w:rPr>
          <w:sz w:val="18"/>
        </w:rPr>
        <w:t>para.</w:t>
      </w:r>
      <w:r>
        <w:rPr>
          <w:spacing w:val="-3"/>
          <w:sz w:val="18"/>
        </w:rPr>
        <w:t xml:space="preserve"> </w:t>
      </w:r>
      <w:r>
        <w:rPr>
          <w:spacing w:val="-4"/>
          <w:sz w:val="18"/>
        </w:rPr>
        <w:t>5.97.</w:t>
      </w:r>
    </w:p>
    <w:p w14:paraId="4F7CCA34" w14:textId="77777777" w:rsidR="00BD462C" w:rsidRDefault="00033D0F">
      <w:pPr>
        <w:spacing w:before="1"/>
        <w:ind w:left="135"/>
        <w:rPr>
          <w:sz w:val="18"/>
        </w:rPr>
      </w:pPr>
      <w:bookmarkStart w:id="1400" w:name="_bookmark1205"/>
      <w:bookmarkEnd w:id="1400"/>
      <w:r>
        <w:rPr>
          <w:position w:val="5"/>
          <w:sz w:val="12"/>
        </w:rPr>
        <w:t>1035</w:t>
      </w:r>
      <w:r>
        <w:rPr>
          <w:spacing w:val="13"/>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 xml:space="preserve">para. </w:t>
      </w:r>
      <w:r>
        <w:rPr>
          <w:spacing w:val="-2"/>
          <w:sz w:val="18"/>
        </w:rPr>
        <w:t>2256.</w:t>
      </w:r>
    </w:p>
    <w:p w14:paraId="0165FB92" w14:textId="77777777" w:rsidR="00BD462C" w:rsidRDefault="00033D0F">
      <w:pPr>
        <w:spacing w:before="1"/>
        <w:ind w:left="135"/>
        <w:rPr>
          <w:sz w:val="18"/>
        </w:rPr>
      </w:pPr>
      <w:bookmarkStart w:id="1401" w:name="_bookmark1206"/>
      <w:bookmarkEnd w:id="1401"/>
      <w:r>
        <w:rPr>
          <w:position w:val="5"/>
          <w:sz w:val="12"/>
        </w:rPr>
        <w:t>1036</w:t>
      </w:r>
      <w:r>
        <w:rPr>
          <w:spacing w:val="14"/>
          <w:position w:val="5"/>
          <w:sz w:val="12"/>
        </w:rPr>
        <w:t xml:space="preserve"> </w:t>
      </w:r>
      <w:r>
        <w:rPr>
          <w:sz w:val="18"/>
        </w:rPr>
        <w:t>Appellate</w:t>
      </w:r>
      <w:r>
        <w:rPr>
          <w:spacing w:val="-9"/>
          <w:sz w:val="18"/>
        </w:rPr>
        <w:t xml:space="preserve"> </w:t>
      </w:r>
      <w:r>
        <w:rPr>
          <w:sz w:val="18"/>
        </w:rPr>
        <w:t>Body</w:t>
      </w:r>
      <w:r>
        <w:rPr>
          <w:spacing w:val="-6"/>
          <w:sz w:val="18"/>
        </w:rPr>
        <w:t xml:space="preserve"> </w:t>
      </w:r>
      <w:r>
        <w:rPr>
          <w:sz w:val="18"/>
        </w:rPr>
        <w:t>Reports,</w:t>
      </w:r>
      <w:r>
        <w:rPr>
          <w:spacing w:val="-2"/>
          <w:sz w:val="18"/>
        </w:rPr>
        <w:t xml:space="preserve"> </w:t>
      </w:r>
      <w:r>
        <w:rPr>
          <w:i/>
          <w:sz w:val="18"/>
        </w:rPr>
        <w:t>China-HPSST</w:t>
      </w:r>
      <w:r>
        <w:rPr>
          <w:i/>
          <w:spacing w:val="-2"/>
          <w:sz w:val="18"/>
        </w:rPr>
        <w:t xml:space="preserve"> </w:t>
      </w:r>
      <w:r>
        <w:rPr>
          <w:i/>
          <w:sz w:val="18"/>
        </w:rPr>
        <w:t>(Japan)</w:t>
      </w:r>
      <w:r>
        <w:rPr>
          <w:sz w:val="18"/>
        </w:rPr>
        <w:t>,</w:t>
      </w:r>
      <w:r>
        <w:rPr>
          <w:spacing w:val="-2"/>
          <w:sz w:val="18"/>
        </w:rPr>
        <w:t xml:space="preserve"> </w:t>
      </w:r>
      <w:r>
        <w:rPr>
          <w:sz w:val="18"/>
        </w:rPr>
        <w:t>para.</w:t>
      </w:r>
      <w:r>
        <w:rPr>
          <w:spacing w:val="-3"/>
          <w:sz w:val="18"/>
        </w:rPr>
        <w:t xml:space="preserve"> </w:t>
      </w:r>
      <w:r>
        <w:rPr>
          <w:sz w:val="18"/>
        </w:rPr>
        <w:t>5.95;</w:t>
      </w:r>
      <w:r>
        <w:rPr>
          <w:spacing w:val="-10"/>
          <w:sz w:val="18"/>
        </w:rPr>
        <w:t xml:space="preserve"> </w:t>
      </w:r>
      <w:r>
        <w:rPr>
          <w:i/>
          <w:sz w:val="18"/>
        </w:rPr>
        <w:t>EC</w:t>
      </w:r>
      <w:r>
        <w:rPr>
          <w:i/>
          <w:spacing w:val="-4"/>
          <w:sz w:val="18"/>
        </w:rPr>
        <w:t xml:space="preserve"> </w:t>
      </w:r>
      <w:r>
        <w:rPr>
          <w:i/>
          <w:sz w:val="18"/>
        </w:rPr>
        <w:t>–</w:t>
      </w:r>
      <w:r>
        <w:rPr>
          <w:i/>
          <w:spacing w:val="-1"/>
          <w:sz w:val="18"/>
        </w:rPr>
        <w:t xml:space="preserve"> </w:t>
      </w:r>
      <w:r>
        <w:rPr>
          <w:i/>
          <w:sz w:val="18"/>
        </w:rPr>
        <w:t>Fasteners</w:t>
      </w:r>
      <w:r>
        <w:rPr>
          <w:i/>
          <w:spacing w:val="-4"/>
          <w:sz w:val="18"/>
        </w:rPr>
        <w:t xml:space="preserve"> </w:t>
      </w:r>
      <w:r>
        <w:rPr>
          <w:i/>
          <w:sz w:val="18"/>
        </w:rPr>
        <w:t>(China)</w:t>
      </w:r>
      <w:r>
        <w:rPr>
          <w:sz w:val="18"/>
        </w:rPr>
        <w:t>,</w:t>
      </w:r>
      <w:r>
        <w:rPr>
          <w:spacing w:val="-2"/>
          <w:sz w:val="18"/>
        </w:rPr>
        <w:t xml:space="preserve"> </w:t>
      </w:r>
      <w:r>
        <w:rPr>
          <w:sz w:val="18"/>
        </w:rPr>
        <w:t>paras.</w:t>
      </w:r>
      <w:r>
        <w:rPr>
          <w:spacing w:val="-3"/>
          <w:sz w:val="18"/>
        </w:rPr>
        <w:t xml:space="preserve"> </w:t>
      </w:r>
      <w:r>
        <w:rPr>
          <w:sz w:val="18"/>
        </w:rPr>
        <w:t>536-</w:t>
      </w:r>
      <w:r>
        <w:rPr>
          <w:spacing w:val="-4"/>
          <w:sz w:val="18"/>
        </w:rPr>
        <w:t>537.</w:t>
      </w:r>
    </w:p>
    <w:p w14:paraId="4070B8E0" w14:textId="77777777" w:rsidR="00BD462C" w:rsidRDefault="00BD462C">
      <w:pPr>
        <w:rPr>
          <w:sz w:val="18"/>
        </w:rPr>
        <w:sectPr w:rsidR="00BD462C">
          <w:pgSz w:w="11910" w:h="16840"/>
          <w:pgMar w:top="860" w:right="500" w:bottom="780" w:left="1280" w:header="566" w:footer="590" w:gutter="0"/>
          <w:cols w:space="720"/>
        </w:sectPr>
      </w:pPr>
    </w:p>
    <w:p w14:paraId="3F7142FE"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7723D280"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344F7C9A"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686BDC69" w14:textId="25FB226D" w:rsidR="00BD462C" w:rsidRDefault="00A5381E">
      <w:pPr>
        <w:pStyle w:val="BodyText"/>
        <w:spacing w:before="107" w:line="360" w:lineRule="auto"/>
        <w:ind w:left="135" w:right="913"/>
        <w:jc w:val="both"/>
      </w:pPr>
      <w:r>
        <w:rPr>
          <w:noProof/>
        </w:rPr>
        <w:t>662.</w:t>
      </w:r>
      <w:r w:rsidR="00033D0F">
        <w:rPr>
          <w:rFonts w:ascii="Times New Roman"/>
          <w:spacing w:val="40"/>
          <w:position w:val="1"/>
          <w:sz w:val="20"/>
        </w:rPr>
        <w:t xml:space="preserve">  </w:t>
      </w:r>
      <w:r w:rsidR="00033D0F">
        <w:rPr>
          <w:position w:val="1"/>
        </w:rPr>
        <w:t>Australia accepts that, as a matter of practicality, if an investigating authority</w:t>
      </w:r>
      <w:r w:rsidR="00033D0F">
        <w:rPr>
          <w:spacing w:val="80"/>
          <w:position w:val="1"/>
        </w:rPr>
        <w:t xml:space="preserve"> </w:t>
      </w:r>
      <w:r w:rsidR="00033D0F">
        <w:t>"properly classifies" certain information as "by nature" confidential, then that process of "properly"</w:t>
      </w:r>
      <w:r w:rsidR="00033D0F">
        <w:rPr>
          <w:spacing w:val="-14"/>
        </w:rPr>
        <w:t xml:space="preserve"> </w:t>
      </w:r>
      <w:r w:rsidR="00033D0F">
        <w:t>classifying</w:t>
      </w:r>
      <w:r w:rsidR="00033D0F">
        <w:rPr>
          <w:spacing w:val="-10"/>
        </w:rPr>
        <w:t xml:space="preserve"> </w:t>
      </w:r>
      <w:r w:rsidR="00033D0F">
        <w:t>the</w:t>
      </w:r>
      <w:r w:rsidR="00033D0F">
        <w:rPr>
          <w:spacing w:val="-12"/>
        </w:rPr>
        <w:t xml:space="preserve"> </w:t>
      </w:r>
      <w:r w:rsidR="00033D0F">
        <w:t>information</w:t>
      </w:r>
      <w:r w:rsidR="00033D0F">
        <w:rPr>
          <w:spacing w:val="-14"/>
        </w:rPr>
        <w:t xml:space="preserve"> </w:t>
      </w:r>
      <w:r w:rsidR="00033D0F">
        <w:rPr>
          <w:i/>
        </w:rPr>
        <w:t>may</w:t>
      </w:r>
      <w:r w:rsidR="00033D0F">
        <w:rPr>
          <w:i/>
          <w:spacing w:val="-13"/>
        </w:rPr>
        <w:t xml:space="preserve"> </w:t>
      </w:r>
      <w:r w:rsidR="00033D0F">
        <w:t>occur</w:t>
      </w:r>
      <w:r w:rsidR="00033D0F">
        <w:rPr>
          <w:spacing w:val="-14"/>
        </w:rPr>
        <w:t xml:space="preserve"> </w:t>
      </w:r>
      <w:r w:rsidR="00033D0F">
        <w:t>in</w:t>
      </w:r>
      <w:r w:rsidR="00033D0F">
        <w:rPr>
          <w:spacing w:val="-9"/>
        </w:rPr>
        <w:t xml:space="preserve"> </w:t>
      </w:r>
      <w:r w:rsidR="00033D0F">
        <w:t>parallel</w:t>
      </w:r>
      <w:r w:rsidR="00033D0F">
        <w:rPr>
          <w:spacing w:val="-10"/>
        </w:rPr>
        <w:t xml:space="preserve"> </w:t>
      </w:r>
      <w:r w:rsidR="00033D0F">
        <w:t>to</w:t>
      </w:r>
      <w:r w:rsidR="00033D0F">
        <w:rPr>
          <w:spacing w:val="-14"/>
        </w:rPr>
        <w:t xml:space="preserve"> </w:t>
      </w:r>
      <w:r w:rsidR="00033D0F">
        <w:t>an</w:t>
      </w:r>
      <w:r w:rsidR="00033D0F">
        <w:rPr>
          <w:spacing w:val="-14"/>
        </w:rPr>
        <w:t xml:space="preserve"> </w:t>
      </w:r>
      <w:r w:rsidR="00033D0F">
        <w:t>assessment</w:t>
      </w:r>
      <w:r w:rsidR="00033D0F">
        <w:rPr>
          <w:spacing w:val="-10"/>
        </w:rPr>
        <w:t xml:space="preserve"> </w:t>
      </w:r>
      <w:r w:rsidR="00033D0F">
        <w:t>of</w:t>
      </w:r>
      <w:r w:rsidR="00033D0F">
        <w:rPr>
          <w:spacing w:val="-14"/>
        </w:rPr>
        <w:t xml:space="preserve"> </w:t>
      </w:r>
      <w:r w:rsidR="00033D0F">
        <w:t>whether</w:t>
      </w:r>
      <w:r w:rsidR="00033D0F">
        <w:rPr>
          <w:spacing w:val="-14"/>
        </w:rPr>
        <w:t xml:space="preserve"> </w:t>
      </w:r>
      <w:r w:rsidR="00033D0F">
        <w:t>there is "good cause". But the requirements of the two assessments are legally distinct. As the Appellate Body has explained, the assessment of "good cause" involves a balancing of the submitting</w:t>
      </w:r>
      <w:r w:rsidR="00033D0F">
        <w:rPr>
          <w:spacing w:val="-10"/>
        </w:rPr>
        <w:t xml:space="preserve"> </w:t>
      </w:r>
      <w:r w:rsidR="00033D0F">
        <w:t>party's</w:t>
      </w:r>
      <w:r w:rsidR="00033D0F">
        <w:rPr>
          <w:spacing w:val="-10"/>
        </w:rPr>
        <w:t xml:space="preserve"> </w:t>
      </w:r>
      <w:r w:rsidR="00033D0F">
        <w:t>interest</w:t>
      </w:r>
      <w:r w:rsidR="00033D0F">
        <w:rPr>
          <w:spacing w:val="-11"/>
        </w:rPr>
        <w:t xml:space="preserve"> </w:t>
      </w:r>
      <w:r w:rsidR="00033D0F">
        <w:t>in</w:t>
      </w:r>
      <w:r w:rsidR="00033D0F">
        <w:rPr>
          <w:spacing w:val="-14"/>
        </w:rPr>
        <w:t xml:space="preserve"> </w:t>
      </w:r>
      <w:r w:rsidR="00033D0F">
        <w:t>protecting</w:t>
      </w:r>
      <w:r w:rsidR="00033D0F">
        <w:rPr>
          <w:spacing w:val="-9"/>
        </w:rPr>
        <w:t xml:space="preserve"> </w:t>
      </w:r>
      <w:r w:rsidR="00033D0F">
        <w:t>its</w:t>
      </w:r>
      <w:r w:rsidR="00033D0F">
        <w:rPr>
          <w:spacing w:val="-10"/>
        </w:rPr>
        <w:t xml:space="preserve"> </w:t>
      </w:r>
      <w:r w:rsidR="00033D0F">
        <w:t>confidential</w:t>
      </w:r>
      <w:r w:rsidR="00033D0F">
        <w:rPr>
          <w:spacing w:val="-10"/>
        </w:rPr>
        <w:t xml:space="preserve"> </w:t>
      </w:r>
      <w:r w:rsidR="00033D0F">
        <w:t>information</w:t>
      </w:r>
      <w:r w:rsidR="00033D0F">
        <w:rPr>
          <w:spacing w:val="-14"/>
        </w:rPr>
        <w:t xml:space="preserve"> </w:t>
      </w:r>
      <w:r w:rsidR="00033D0F">
        <w:t>with</w:t>
      </w:r>
      <w:r w:rsidR="00033D0F">
        <w:rPr>
          <w:spacing w:val="-13"/>
        </w:rPr>
        <w:t xml:space="preserve"> </w:t>
      </w:r>
      <w:r w:rsidR="00033D0F">
        <w:t>the</w:t>
      </w:r>
      <w:r w:rsidR="00033D0F">
        <w:rPr>
          <w:spacing w:val="-7"/>
        </w:rPr>
        <w:t xml:space="preserve"> </w:t>
      </w:r>
      <w:r w:rsidR="00033D0F">
        <w:t>prejudicial</w:t>
      </w:r>
      <w:r w:rsidR="00033D0F">
        <w:rPr>
          <w:spacing w:val="-10"/>
        </w:rPr>
        <w:t xml:space="preserve"> </w:t>
      </w:r>
      <w:r w:rsidR="00033D0F">
        <w:t>effect of non-disclosure on the transparency and due process interests of other parties involved in the investigation.</w:t>
      </w:r>
      <w:hyperlink w:anchor="_bookmark1207" w:history="1">
        <w:r w:rsidR="00033D0F">
          <w:rPr>
            <w:vertAlign w:val="superscript"/>
          </w:rPr>
          <w:t>1037</w:t>
        </w:r>
      </w:hyperlink>
      <w:r w:rsidR="00033D0F">
        <w:t xml:space="preserve"> It is not simply an assessment of whether the information is capable of being regarded as confidential.</w:t>
      </w:r>
    </w:p>
    <w:p w14:paraId="0CF39864" w14:textId="77777777" w:rsidR="00BD462C" w:rsidRDefault="00BD462C">
      <w:pPr>
        <w:pStyle w:val="BodyText"/>
        <w:spacing w:before="5"/>
        <w:rPr>
          <w:sz w:val="8"/>
        </w:rPr>
      </w:pPr>
    </w:p>
    <w:p w14:paraId="7829EB8C" w14:textId="5DD49B1D" w:rsidR="00BD462C" w:rsidRDefault="00A5381E">
      <w:pPr>
        <w:pStyle w:val="BodyText"/>
        <w:spacing w:before="56" w:line="360" w:lineRule="auto"/>
        <w:ind w:left="135" w:right="913"/>
        <w:jc w:val="both"/>
      </w:pPr>
      <w:r>
        <w:rPr>
          <w:noProof/>
        </w:rPr>
        <w:t>663.</w:t>
      </w:r>
      <w:r w:rsidR="00033D0F">
        <w:rPr>
          <w:rFonts w:ascii="Times New Roman" w:hAnsi="Times New Roman"/>
          <w:spacing w:val="80"/>
          <w:position w:val="1"/>
          <w:sz w:val="20"/>
        </w:rPr>
        <w:t xml:space="preserve">  </w:t>
      </w:r>
      <w:r w:rsidR="00033D0F">
        <w:rPr>
          <w:position w:val="1"/>
        </w:rPr>
        <w:t xml:space="preserve">Third, in its first written submission China </w:t>
      </w:r>
      <w:proofErr w:type="spellStart"/>
      <w:r w:rsidR="00033D0F">
        <w:rPr>
          <w:position w:val="1"/>
        </w:rPr>
        <w:t>emphasises</w:t>
      </w:r>
      <w:proofErr w:type="spellEnd"/>
      <w:r w:rsidR="00033D0F">
        <w:rPr>
          <w:position w:val="1"/>
        </w:rPr>
        <w:t xml:space="preserve"> excerpts from the Appellate </w:t>
      </w:r>
      <w:r w:rsidR="00033D0F">
        <w:t>Body</w:t>
      </w:r>
      <w:r w:rsidR="00033D0F">
        <w:rPr>
          <w:spacing w:val="-7"/>
        </w:rPr>
        <w:t xml:space="preserve"> </w:t>
      </w:r>
      <w:r w:rsidR="00033D0F">
        <w:t>report</w:t>
      </w:r>
      <w:r w:rsidR="00033D0F">
        <w:rPr>
          <w:spacing w:val="-8"/>
        </w:rPr>
        <w:t xml:space="preserve"> </w:t>
      </w:r>
      <w:r w:rsidR="00033D0F">
        <w:t>in</w:t>
      </w:r>
      <w:r w:rsidR="00033D0F">
        <w:rPr>
          <w:spacing w:val="-10"/>
        </w:rPr>
        <w:t xml:space="preserve"> </w:t>
      </w:r>
      <w:r w:rsidR="00033D0F">
        <w:rPr>
          <w:i/>
        </w:rPr>
        <w:t>EC</w:t>
      </w:r>
      <w:r w:rsidR="00033D0F">
        <w:rPr>
          <w:i/>
          <w:spacing w:val="-9"/>
        </w:rPr>
        <w:t xml:space="preserve"> </w:t>
      </w:r>
      <w:r w:rsidR="00033D0F">
        <w:rPr>
          <w:i/>
        </w:rPr>
        <w:t>–</w:t>
      </w:r>
      <w:r w:rsidR="00033D0F">
        <w:rPr>
          <w:i/>
          <w:spacing w:val="-8"/>
        </w:rPr>
        <w:t xml:space="preserve"> </w:t>
      </w:r>
      <w:r w:rsidR="00033D0F">
        <w:rPr>
          <w:i/>
        </w:rPr>
        <w:t>Fasteners</w:t>
      </w:r>
      <w:r w:rsidR="00033D0F">
        <w:rPr>
          <w:i/>
          <w:spacing w:val="-11"/>
        </w:rPr>
        <w:t xml:space="preserve"> </w:t>
      </w:r>
      <w:r w:rsidR="00033D0F">
        <w:t>(</w:t>
      </w:r>
      <w:r w:rsidR="00033D0F">
        <w:rPr>
          <w:i/>
        </w:rPr>
        <w:t>China)</w:t>
      </w:r>
      <w:r w:rsidR="00033D0F">
        <w:rPr>
          <w:i/>
          <w:spacing w:val="-14"/>
        </w:rPr>
        <w:t xml:space="preserve"> </w:t>
      </w:r>
      <w:r w:rsidR="00033D0F">
        <w:t>in</w:t>
      </w:r>
      <w:r w:rsidR="00033D0F">
        <w:rPr>
          <w:spacing w:val="-9"/>
        </w:rPr>
        <w:t xml:space="preserve"> </w:t>
      </w:r>
      <w:r w:rsidR="00033D0F">
        <w:t>which</w:t>
      </w:r>
      <w:r w:rsidR="00033D0F">
        <w:rPr>
          <w:spacing w:val="-10"/>
        </w:rPr>
        <w:t xml:space="preserve"> </w:t>
      </w:r>
      <w:r w:rsidR="00033D0F">
        <w:t>the</w:t>
      </w:r>
      <w:r w:rsidR="00033D0F">
        <w:rPr>
          <w:spacing w:val="-13"/>
        </w:rPr>
        <w:t xml:space="preserve"> </w:t>
      </w:r>
      <w:r w:rsidR="00033D0F">
        <w:t>Appellate</w:t>
      </w:r>
      <w:r w:rsidR="00033D0F">
        <w:rPr>
          <w:spacing w:val="-8"/>
        </w:rPr>
        <w:t xml:space="preserve"> </w:t>
      </w:r>
      <w:r w:rsidR="00033D0F">
        <w:t>Body</w:t>
      </w:r>
      <w:r w:rsidR="00033D0F">
        <w:rPr>
          <w:spacing w:val="-7"/>
        </w:rPr>
        <w:t xml:space="preserve"> </w:t>
      </w:r>
      <w:r w:rsidR="00033D0F">
        <w:t>observed</w:t>
      </w:r>
      <w:r w:rsidR="00033D0F">
        <w:rPr>
          <w:spacing w:val="-10"/>
        </w:rPr>
        <w:t xml:space="preserve"> </w:t>
      </w:r>
      <w:r w:rsidR="00033D0F">
        <w:t>that</w:t>
      </w:r>
      <w:r w:rsidR="00033D0F">
        <w:rPr>
          <w:spacing w:val="-8"/>
        </w:rPr>
        <w:t xml:space="preserve"> </w:t>
      </w:r>
      <w:r w:rsidR="00033D0F">
        <w:t>"[t]he</w:t>
      </w:r>
      <w:r w:rsidR="00033D0F">
        <w:rPr>
          <w:spacing w:val="-8"/>
        </w:rPr>
        <w:t xml:space="preserve"> </w:t>
      </w:r>
      <w:r w:rsidR="00033D0F">
        <w:t>degree of risk [of potential commercial retaliation if certain information was not kept confidential] does</w:t>
      </w:r>
      <w:r w:rsidR="00033D0F">
        <w:rPr>
          <w:spacing w:val="-5"/>
        </w:rPr>
        <w:t xml:space="preserve"> </w:t>
      </w:r>
      <w:r w:rsidR="00033D0F">
        <w:t>not</w:t>
      </w:r>
      <w:r w:rsidR="00033D0F">
        <w:rPr>
          <w:spacing w:val="-6"/>
        </w:rPr>
        <w:t xml:space="preserve"> </w:t>
      </w:r>
      <w:r w:rsidR="00033D0F">
        <w:t>define</w:t>
      </w:r>
      <w:r w:rsidR="00033D0F">
        <w:rPr>
          <w:spacing w:val="-6"/>
        </w:rPr>
        <w:t xml:space="preserve"> </w:t>
      </w:r>
      <w:r w:rsidR="00033D0F">
        <w:t>what</w:t>
      </w:r>
      <w:r w:rsidR="00033D0F">
        <w:rPr>
          <w:spacing w:val="-6"/>
        </w:rPr>
        <w:t xml:space="preserve"> </w:t>
      </w:r>
      <w:r w:rsidR="00033D0F">
        <w:t>constitutes</w:t>
      </w:r>
      <w:r w:rsidR="00033D0F">
        <w:rPr>
          <w:spacing w:val="-5"/>
        </w:rPr>
        <w:t xml:space="preserve"> </w:t>
      </w:r>
      <w:r w:rsidR="00033D0F">
        <w:t>'good</w:t>
      </w:r>
      <w:r w:rsidR="00033D0F">
        <w:rPr>
          <w:spacing w:val="-8"/>
        </w:rPr>
        <w:t xml:space="preserve"> </w:t>
      </w:r>
      <w:r w:rsidR="00033D0F">
        <w:t>cause'</w:t>
      </w:r>
      <w:r w:rsidR="00033D0F">
        <w:rPr>
          <w:spacing w:val="-7"/>
        </w:rPr>
        <w:t xml:space="preserve"> </w:t>
      </w:r>
      <w:r w:rsidR="00033D0F">
        <w:t>within</w:t>
      </w:r>
      <w:r w:rsidR="00033D0F">
        <w:rPr>
          <w:spacing w:val="-8"/>
        </w:rPr>
        <w:t xml:space="preserve"> </w:t>
      </w:r>
      <w:r w:rsidR="00033D0F">
        <w:t>the</w:t>
      </w:r>
      <w:r w:rsidR="00033D0F">
        <w:rPr>
          <w:spacing w:val="-6"/>
        </w:rPr>
        <w:t xml:space="preserve"> </w:t>
      </w:r>
      <w:r w:rsidR="00033D0F">
        <w:t>meaning</w:t>
      </w:r>
      <w:r w:rsidR="00033D0F">
        <w:rPr>
          <w:spacing w:val="-5"/>
        </w:rPr>
        <w:t xml:space="preserve"> </w:t>
      </w:r>
      <w:r w:rsidR="00033D0F">
        <w:t>of</w:t>
      </w:r>
      <w:r w:rsidR="00033D0F">
        <w:rPr>
          <w:spacing w:val="-8"/>
        </w:rPr>
        <w:t xml:space="preserve"> </w:t>
      </w:r>
      <w:r w:rsidR="00033D0F">
        <w:t>Article</w:t>
      </w:r>
      <w:r w:rsidR="00033D0F">
        <w:rPr>
          <w:spacing w:val="-6"/>
        </w:rPr>
        <w:t xml:space="preserve"> </w:t>
      </w:r>
      <w:r w:rsidR="00033D0F">
        <w:t>6.5".</w:t>
      </w:r>
      <w:hyperlink w:anchor="_bookmark1208" w:history="1">
        <w:r w:rsidR="00033D0F">
          <w:rPr>
            <w:vertAlign w:val="superscript"/>
          </w:rPr>
          <w:t>1038</w:t>
        </w:r>
      </w:hyperlink>
      <w:r w:rsidR="00033D0F">
        <w:rPr>
          <w:spacing w:val="-5"/>
        </w:rPr>
        <w:t xml:space="preserve"> </w:t>
      </w:r>
      <w:r w:rsidR="00033D0F">
        <w:t>Australia does not take issue with this proposition, but considers that it needs to be placed in its full context, including the relevant circumstances of the dispute in which it arose.</w:t>
      </w:r>
    </w:p>
    <w:p w14:paraId="7B3E550A" w14:textId="77777777" w:rsidR="00BD462C" w:rsidRDefault="00BD462C">
      <w:pPr>
        <w:pStyle w:val="BodyText"/>
        <w:spacing w:before="8"/>
        <w:rPr>
          <w:sz w:val="8"/>
        </w:rPr>
      </w:pPr>
    </w:p>
    <w:p w14:paraId="21515227" w14:textId="1FFF964D" w:rsidR="00BD462C" w:rsidRDefault="00A5381E">
      <w:pPr>
        <w:pStyle w:val="BodyText"/>
        <w:spacing w:before="56" w:line="360" w:lineRule="auto"/>
        <w:ind w:left="135" w:right="911"/>
        <w:jc w:val="both"/>
      </w:pPr>
      <w:r>
        <w:rPr>
          <w:noProof/>
        </w:rPr>
        <w:t>664.</w:t>
      </w:r>
      <w:r w:rsidR="00033D0F">
        <w:rPr>
          <w:rFonts w:ascii="Times New Roman"/>
          <w:spacing w:val="80"/>
          <w:position w:val="1"/>
          <w:sz w:val="20"/>
        </w:rPr>
        <w:t xml:space="preserve">  </w:t>
      </w:r>
      <w:r w:rsidR="00033D0F">
        <w:rPr>
          <w:position w:val="1"/>
        </w:rPr>
        <w:t>In particular, the Appellate Body's explanation was provided in the context of</w:t>
      </w:r>
      <w:r w:rsidR="00033D0F">
        <w:rPr>
          <w:spacing w:val="40"/>
          <w:position w:val="1"/>
        </w:rPr>
        <w:t xml:space="preserve"> </w:t>
      </w:r>
      <w:r w:rsidR="00033D0F">
        <w:t>rejecting</w:t>
      </w:r>
      <w:r w:rsidR="00033D0F">
        <w:rPr>
          <w:spacing w:val="-9"/>
        </w:rPr>
        <w:t xml:space="preserve"> </w:t>
      </w:r>
      <w:r w:rsidR="00033D0F">
        <w:t>China's</w:t>
      </w:r>
      <w:r w:rsidR="00033D0F">
        <w:rPr>
          <w:spacing w:val="-9"/>
        </w:rPr>
        <w:t xml:space="preserve"> </w:t>
      </w:r>
      <w:r w:rsidR="00033D0F">
        <w:t>submission</w:t>
      </w:r>
      <w:r w:rsidR="00033D0F">
        <w:rPr>
          <w:spacing w:val="-13"/>
        </w:rPr>
        <w:t xml:space="preserve"> </w:t>
      </w:r>
      <w:r w:rsidR="00033D0F">
        <w:t>that</w:t>
      </w:r>
      <w:r w:rsidR="00033D0F">
        <w:rPr>
          <w:spacing w:val="-10"/>
        </w:rPr>
        <w:t xml:space="preserve"> </w:t>
      </w:r>
      <w:r w:rsidR="00033D0F">
        <w:t>confidential</w:t>
      </w:r>
      <w:r w:rsidR="00033D0F">
        <w:rPr>
          <w:spacing w:val="-9"/>
        </w:rPr>
        <w:t xml:space="preserve"> </w:t>
      </w:r>
      <w:r w:rsidR="00033D0F">
        <w:t>treatment</w:t>
      </w:r>
      <w:r w:rsidR="00033D0F">
        <w:rPr>
          <w:spacing w:val="-10"/>
        </w:rPr>
        <w:t xml:space="preserve"> </w:t>
      </w:r>
      <w:r w:rsidR="00033D0F">
        <w:t>was</w:t>
      </w:r>
      <w:r w:rsidR="00033D0F">
        <w:rPr>
          <w:spacing w:val="-9"/>
        </w:rPr>
        <w:t xml:space="preserve"> </w:t>
      </w:r>
      <w:r w:rsidR="00033D0F">
        <w:t>only</w:t>
      </w:r>
      <w:r w:rsidR="00033D0F">
        <w:rPr>
          <w:spacing w:val="-10"/>
        </w:rPr>
        <w:t xml:space="preserve"> </w:t>
      </w:r>
      <w:r w:rsidR="00033D0F">
        <w:t>justified</w:t>
      </w:r>
      <w:r w:rsidR="00033D0F">
        <w:rPr>
          <w:spacing w:val="-13"/>
        </w:rPr>
        <w:t xml:space="preserve"> </w:t>
      </w:r>
      <w:r w:rsidR="00033D0F">
        <w:t>if</w:t>
      </w:r>
      <w:r w:rsidR="00033D0F">
        <w:rPr>
          <w:spacing w:val="-13"/>
        </w:rPr>
        <w:t xml:space="preserve"> </w:t>
      </w:r>
      <w:r w:rsidR="00033D0F">
        <w:t>it</w:t>
      </w:r>
      <w:r w:rsidR="00033D0F">
        <w:rPr>
          <w:spacing w:val="-10"/>
        </w:rPr>
        <w:t xml:space="preserve"> </w:t>
      </w:r>
      <w:r w:rsidR="00033D0F">
        <w:t>could</w:t>
      </w:r>
      <w:r w:rsidR="00033D0F">
        <w:rPr>
          <w:spacing w:val="-8"/>
        </w:rPr>
        <w:t xml:space="preserve"> </w:t>
      </w:r>
      <w:r w:rsidR="00033D0F">
        <w:t>be</w:t>
      </w:r>
      <w:r w:rsidR="00033D0F">
        <w:rPr>
          <w:spacing w:val="-11"/>
        </w:rPr>
        <w:t xml:space="preserve"> </w:t>
      </w:r>
      <w:r w:rsidR="00033D0F">
        <w:t>shown that commercial retaliation "would", rather than merely "could", happen.</w:t>
      </w:r>
      <w:hyperlink w:anchor="_bookmark1209" w:history="1">
        <w:r w:rsidR="00033D0F">
          <w:rPr>
            <w:vertAlign w:val="superscript"/>
          </w:rPr>
          <w:t>1039</w:t>
        </w:r>
      </w:hyperlink>
      <w:r w:rsidR="00033D0F">
        <w:t xml:space="preserve"> It was not, as might</w:t>
      </w:r>
      <w:r w:rsidR="00033D0F">
        <w:rPr>
          <w:spacing w:val="-8"/>
        </w:rPr>
        <w:t xml:space="preserve"> </w:t>
      </w:r>
      <w:r w:rsidR="00033D0F">
        <w:t>be</w:t>
      </w:r>
      <w:r w:rsidR="00033D0F">
        <w:rPr>
          <w:spacing w:val="-8"/>
        </w:rPr>
        <w:t xml:space="preserve"> </w:t>
      </w:r>
      <w:r w:rsidR="00033D0F">
        <w:t>thought</w:t>
      </w:r>
      <w:r w:rsidR="00033D0F">
        <w:rPr>
          <w:spacing w:val="-8"/>
        </w:rPr>
        <w:t xml:space="preserve"> </w:t>
      </w:r>
      <w:r w:rsidR="00033D0F">
        <w:t>from</w:t>
      </w:r>
      <w:r w:rsidR="00033D0F">
        <w:rPr>
          <w:spacing w:val="-8"/>
        </w:rPr>
        <w:t xml:space="preserve"> </w:t>
      </w:r>
      <w:r w:rsidR="00033D0F">
        <w:t>the</w:t>
      </w:r>
      <w:r w:rsidR="00033D0F">
        <w:rPr>
          <w:spacing w:val="-8"/>
        </w:rPr>
        <w:t xml:space="preserve"> </w:t>
      </w:r>
      <w:r w:rsidR="00033D0F">
        <w:t>extract</w:t>
      </w:r>
      <w:r w:rsidR="00033D0F">
        <w:rPr>
          <w:spacing w:val="-8"/>
        </w:rPr>
        <w:t xml:space="preserve"> </w:t>
      </w:r>
      <w:r w:rsidR="00033D0F">
        <w:t>presented</w:t>
      </w:r>
      <w:r w:rsidR="00033D0F">
        <w:rPr>
          <w:spacing w:val="-10"/>
        </w:rPr>
        <w:t xml:space="preserve"> </w:t>
      </w:r>
      <w:r w:rsidR="00033D0F">
        <w:t>in</w:t>
      </w:r>
      <w:r w:rsidR="00033D0F">
        <w:rPr>
          <w:spacing w:val="-10"/>
        </w:rPr>
        <w:t xml:space="preserve"> </w:t>
      </w:r>
      <w:r w:rsidR="00033D0F">
        <w:t>China's</w:t>
      </w:r>
      <w:r w:rsidR="00033D0F">
        <w:rPr>
          <w:spacing w:val="-7"/>
        </w:rPr>
        <w:t xml:space="preserve"> </w:t>
      </w:r>
      <w:r w:rsidR="00033D0F">
        <w:t>submissions,</w:t>
      </w:r>
      <w:r w:rsidR="00033D0F">
        <w:rPr>
          <w:spacing w:val="-6"/>
        </w:rPr>
        <w:t xml:space="preserve"> </w:t>
      </w:r>
      <w:r w:rsidR="00033D0F">
        <w:t>a</w:t>
      </w:r>
      <w:r w:rsidR="00033D0F">
        <w:rPr>
          <w:spacing w:val="-9"/>
        </w:rPr>
        <w:t xml:space="preserve"> </w:t>
      </w:r>
      <w:r w:rsidR="00033D0F">
        <w:t>finding</w:t>
      </w:r>
      <w:r w:rsidR="00033D0F">
        <w:rPr>
          <w:spacing w:val="-7"/>
        </w:rPr>
        <w:t xml:space="preserve"> </w:t>
      </w:r>
      <w:r w:rsidR="00033D0F">
        <w:t>that</w:t>
      </w:r>
      <w:r w:rsidR="00033D0F">
        <w:rPr>
          <w:spacing w:val="-8"/>
        </w:rPr>
        <w:t xml:space="preserve"> </w:t>
      </w:r>
      <w:r w:rsidR="00033D0F">
        <w:t>the</w:t>
      </w:r>
      <w:r w:rsidR="00033D0F">
        <w:rPr>
          <w:spacing w:val="-8"/>
        </w:rPr>
        <w:t xml:space="preserve"> </w:t>
      </w:r>
      <w:r w:rsidR="00033D0F">
        <w:t xml:space="preserve">degree or likelihood of the risk </w:t>
      </w:r>
      <w:proofErr w:type="spellStart"/>
      <w:r w:rsidR="00033D0F">
        <w:t>materialising</w:t>
      </w:r>
      <w:proofErr w:type="spellEnd"/>
      <w:r w:rsidR="00033D0F">
        <w:t xml:space="preserve"> is irrelevant to the assessment of whether good cause has been shown. Rather, as the Appellate Body went on to explain in that report, the degree of</w:t>
      </w:r>
      <w:r w:rsidR="00033D0F">
        <w:rPr>
          <w:spacing w:val="-14"/>
        </w:rPr>
        <w:t xml:space="preserve"> </w:t>
      </w:r>
      <w:r w:rsidR="00033D0F">
        <w:t>risk</w:t>
      </w:r>
      <w:r w:rsidR="00033D0F">
        <w:rPr>
          <w:spacing w:val="-14"/>
        </w:rPr>
        <w:t xml:space="preserve"> </w:t>
      </w:r>
      <w:r w:rsidR="00033D0F">
        <w:t>of</w:t>
      </w:r>
      <w:r w:rsidR="00033D0F">
        <w:rPr>
          <w:spacing w:val="-13"/>
        </w:rPr>
        <w:t xml:space="preserve"> </w:t>
      </w:r>
      <w:r w:rsidR="00033D0F">
        <w:t>commercial</w:t>
      </w:r>
      <w:r w:rsidR="00033D0F">
        <w:rPr>
          <w:spacing w:val="-11"/>
        </w:rPr>
        <w:t xml:space="preserve"> </w:t>
      </w:r>
      <w:r w:rsidR="00033D0F">
        <w:t>retaliation</w:t>
      </w:r>
      <w:r w:rsidR="00033D0F">
        <w:rPr>
          <w:spacing w:val="-13"/>
        </w:rPr>
        <w:t xml:space="preserve"> </w:t>
      </w:r>
      <w:r w:rsidR="00033D0F">
        <w:t>is:</w:t>
      </w:r>
      <w:r w:rsidR="00033D0F">
        <w:rPr>
          <w:spacing w:val="-14"/>
        </w:rPr>
        <w:t xml:space="preserve"> </w:t>
      </w:r>
      <w:r w:rsidR="00033D0F">
        <w:t>"a</w:t>
      </w:r>
      <w:r w:rsidR="00033D0F">
        <w:rPr>
          <w:spacing w:val="-12"/>
        </w:rPr>
        <w:t xml:space="preserve"> </w:t>
      </w:r>
      <w:r w:rsidR="00033D0F">
        <w:t>matter</w:t>
      </w:r>
      <w:r w:rsidR="00033D0F">
        <w:rPr>
          <w:spacing w:val="-14"/>
        </w:rPr>
        <w:t xml:space="preserve"> </w:t>
      </w:r>
      <w:r w:rsidR="00033D0F">
        <w:t>relevant</w:t>
      </w:r>
      <w:r w:rsidR="00033D0F">
        <w:rPr>
          <w:spacing w:val="-11"/>
        </w:rPr>
        <w:t xml:space="preserve"> </w:t>
      </w:r>
      <w:r w:rsidR="00033D0F">
        <w:t>to</w:t>
      </w:r>
      <w:r w:rsidR="00033D0F">
        <w:rPr>
          <w:spacing w:val="-14"/>
        </w:rPr>
        <w:t xml:space="preserve"> </w:t>
      </w:r>
      <w:r w:rsidR="00033D0F">
        <w:t>the</w:t>
      </w:r>
      <w:r w:rsidR="00033D0F">
        <w:rPr>
          <w:spacing w:val="-12"/>
        </w:rPr>
        <w:t xml:space="preserve"> </w:t>
      </w:r>
      <w:r w:rsidR="00033D0F">
        <w:t>extent</w:t>
      </w:r>
      <w:r w:rsidR="00033D0F">
        <w:rPr>
          <w:spacing w:val="-11"/>
        </w:rPr>
        <w:t xml:space="preserve"> </w:t>
      </w:r>
      <w:r w:rsidR="00033D0F">
        <w:t>and</w:t>
      </w:r>
      <w:r w:rsidR="00033D0F">
        <w:rPr>
          <w:spacing w:val="-14"/>
        </w:rPr>
        <w:t xml:space="preserve"> </w:t>
      </w:r>
      <w:r w:rsidR="00033D0F">
        <w:t>nature</w:t>
      </w:r>
      <w:r w:rsidR="00033D0F">
        <w:rPr>
          <w:spacing w:val="-12"/>
        </w:rPr>
        <w:t xml:space="preserve"> </w:t>
      </w:r>
      <w:r w:rsidR="00033D0F">
        <w:t>of</w:t>
      </w:r>
      <w:r w:rsidR="00033D0F">
        <w:rPr>
          <w:spacing w:val="-14"/>
        </w:rPr>
        <w:t xml:space="preserve"> </w:t>
      </w:r>
      <w:r w:rsidR="00033D0F">
        <w:t>the</w:t>
      </w:r>
      <w:r w:rsidR="00033D0F">
        <w:rPr>
          <w:spacing w:val="-12"/>
        </w:rPr>
        <w:t xml:space="preserve"> </w:t>
      </w:r>
      <w:r w:rsidR="00033D0F">
        <w:t>evidence required by an investigating authority to support a showing of 'good cause'"</w:t>
      </w:r>
      <w:hyperlink w:anchor="_bookmark1210" w:history="1">
        <w:r w:rsidR="00033D0F">
          <w:rPr>
            <w:vertAlign w:val="superscript"/>
          </w:rPr>
          <w:t>1040</w:t>
        </w:r>
      </w:hyperlink>
      <w:r w:rsidR="00033D0F">
        <w:t>; "[i]n reviewing the authority's determination of 'good cause', the panel's assessment of the likelihood that commercial retaliation will occur goes to the panel's weighing of the evidence"</w:t>
      </w:r>
      <w:hyperlink w:anchor="_bookmark1211" w:history="1">
        <w:r w:rsidR="00033D0F">
          <w:rPr>
            <w:vertAlign w:val="superscript"/>
          </w:rPr>
          <w:t>1041</w:t>
        </w:r>
      </w:hyperlink>
      <w:r w:rsidR="00033D0F">
        <w:t>;</w:t>
      </w:r>
      <w:r w:rsidR="00033D0F">
        <w:rPr>
          <w:spacing w:val="-4"/>
        </w:rPr>
        <w:t xml:space="preserve"> </w:t>
      </w:r>
      <w:r w:rsidR="00033D0F">
        <w:t>and</w:t>
      </w:r>
      <w:r w:rsidR="00033D0F">
        <w:rPr>
          <w:spacing w:val="-3"/>
        </w:rPr>
        <w:t xml:space="preserve"> </w:t>
      </w:r>
      <w:r w:rsidR="00033D0F">
        <w:t>"[t]he</w:t>
      </w:r>
      <w:r w:rsidR="00033D0F">
        <w:rPr>
          <w:spacing w:val="-2"/>
        </w:rPr>
        <w:t xml:space="preserve"> </w:t>
      </w:r>
      <w:r w:rsidR="00033D0F">
        <w:t>level of</w:t>
      </w:r>
      <w:r w:rsidR="00033D0F">
        <w:rPr>
          <w:spacing w:val="-3"/>
        </w:rPr>
        <w:t xml:space="preserve"> </w:t>
      </w:r>
      <w:r w:rsidR="00033D0F">
        <w:t>risk</w:t>
      </w:r>
      <w:r w:rsidR="00033D0F">
        <w:rPr>
          <w:spacing w:val="-1"/>
        </w:rPr>
        <w:t xml:space="preserve"> </w:t>
      </w:r>
      <w:r w:rsidR="00033D0F">
        <w:t>and, more</w:t>
      </w:r>
      <w:r w:rsidR="00033D0F">
        <w:rPr>
          <w:spacing w:val="-1"/>
        </w:rPr>
        <w:t xml:space="preserve"> </w:t>
      </w:r>
      <w:r w:rsidR="00033D0F">
        <w:t>particularly, the</w:t>
      </w:r>
      <w:r w:rsidR="00033D0F">
        <w:rPr>
          <w:spacing w:val="-2"/>
        </w:rPr>
        <w:t xml:space="preserve"> </w:t>
      </w:r>
      <w:r w:rsidR="00033D0F">
        <w:t>likelihood</w:t>
      </w:r>
      <w:r w:rsidR="00033D0F">
        <w:rPr>
          <w:spacing w:val="-3"/>
        </w:rPr>
        <w:t xml:space="preserve"> </w:t>
      </w:r>
      <w:r w:rsidR="00033D0F">
        <w:t>or</w:t>
      </w:r>
      <w:r w:rsidR="00033D0F">
        <w:rPr>
          <w:spacing w:val="-4"/>
        </w:rPr>
        <w:t xml:space="preserve"> </w:t>
      </w:r>
      <w:r w:rsidR="00033D0F">
        <w:t>probability</w:t>
      </w:r>
      <w:r w:rsidR="00033D0F">
        <w:rPr>
          <w:spacing w:val="-5"/>
        </w:rPr>
        <w:t xml:space="preserve"> </w:t>
      </w:r>
      <w:r w:rsidR="00033D0F">
        <w:t>that</w:t>
      </w:r>
    </w:p>
    <w:p w14:paraId="47C95CD6" w14:textId="77777777" w:rsidR="00BD462C" w:rsidRDefault="00BD462C">
      <w:pPr>
        <w:pStyle w:val="BodyText"/>
        <w:rPr>
          <w:sz w:val="20"/>
        </w:rPr>
      </w:pPr>
    </w:p>
    <w:p w14:paraId="12FB6033" w14:textId="2403BD61" w:rsidR="00BD462C" w:rsidRDefault="007E218F">
      <w:pPr>
        <w:pStyle w:val="BodyText"/>
        <w:rPr>
          <w:sz w:val="20"/>
        </w:rPr>
      </w:pPr>
      <w:r>
        <w:rPr>
          <w:noProof/>
        </w:rPr>
        <mc:AlternateContent>
          <mc:Choice Requires="wps">
            <w:drawing>
              <wp:anchor distT="0" distB="0" distL="0" distR="0" simplePos="0" relativeHeight="488204800" behindDoc="1" locked="0" layoutInCell="1" allowOverlap="1" wp14:anchorId="768F60E4" wp14:editId="3E85003D">
                <wp:simplePos x="0" y="0"/>
                <wp:positionH relativeFrom="page">
                  <wp:posOffset>812800</wp:posOffset>
                </wp:positionH>
                <wp:positionV relativeFrom="paragraph">
                  <wp:posOffset>302260</wp:posOffset>
                </wp:positionV>
                <wp:extent cx="1828800" cy="8890"/>
                <wp:effectExtent l="0" t="0" r="0" b="0"/>
                <wp:wrapTopAndBottom/>
                <wp:docPr id="181" name="docshape6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29B01E" id="docshape664" o:spid="_x0000_s1026" alt="&quot;&quot;" style="position:absolute;margin-left:64pt;margin-top:23.8pt;width:2in;height:.7pt;z-index:-15111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" fillcolor="black" stroked="f">
                <w10:wrap type="topAndBottom" anchorx="page"/>
              </v:rect>
            </w:pict>
          </mc:Fallback>
        </mc:AlternateContent>
      </w:r>
    </w:p>
    <w:p w14:paraId="50A651ED" w14:textId="35F8C754" w:rsidR="00BD462C" w:rsidRDefault="00BD462C">
      <w:pPr>
        <w:pStyle w:val="BodyText"/>
        <w:spacing w:before="10"/>
        <w:rPr>
          <w:sz w:val="18"/>
        </w:rPr>
      </w:pPr>
    </w:p>
    <w:p w14:paraId="17A1E34B" w14:textId="77777777" w:rsidR="00BD462C" w:rsidRDefault="00033D0F">
      <w:pPr>
        <w:spacing w:before="107"/>
        <w:ind w:left="135"/>
        <w:rPr>
          <w:sz w:val="18"/>
        </w:rPr>
      </w:pPr>
      <w:bookmarkStart w:id="1402" w:name="_bookmark1207"/>
      <w:bookmarkEnd w:id="1402"/>
      <w:r>
        <w:rPr>
          <w:position w:val="5"/>
          <w:sz w:val="12"/>
        </w:rPr>
        <w:t>1037</w:t>
      </w:r>
      <w:r>
        <w:rPr>
          <w:spacing w:val="14"/>
          <w:position w:val="5"/>
          <w:sz w:val="12"/>
        </w:rPr>
        <w:t xml:space="preserve"> </w:t>
      </w:r>
      <w:r>
        <w:rPr>
          <w:sz w:val="18"/>
        </w:rPr>
        <w:t>Appellate</w:t>
      </w:r>
      <w:r>
        <w:rPr>
          <w:spacing w:val="-8"/>
          <w:sz w:val="18"/>
        </w:rPr>
        <w:t xml:space="preserve"> </w:t>
      </w:r>
      <w:r>
        <w:rPr>
          <w:sz w:val="18"/>
        </w:rPr>
        <w:t>Body</w:t>
      </w:r>
      <w:r>
        <w:rPr>
          <w:spacing w:val="-6"/>
          <w:sz w:val="18"/>
        </w:rPr>
        <w:t xml:space="preserve"> </w:t>
      </w:r>
      <w:r>
        <w:rPr>
          <w:sz w:val="18"/>
        </w:rPr>
        <w:t>Reports,</w:t>
      </w:r>
      <w:r>
        <w:rPr>
          <w:spacing w:val="-2"/>
          <w:sz w:val="18"/>
        </w:rPr>
        <w:t xml:space="preserve"> </w:t>
      </w:r>
      <w:r>
        <w:rPr>
          <w:i/>
          <w:sz w:val="18"/>
        </w:rPr>
        <w:t>China-HPSST</w:t>
      </w:r>
      <w:r>
        <w:rPr>
          <w:i/>
          <w:spacing w:val="-2"/>
          <w:sz w:val="18"/>
        </w:rPr>
        <w:t xml:space="preserve"> </w:t>
      </w:r>
      <w:r>
        <w:rPr>
          <w:i/>
          <w:sz w:val="18"/>
        </w:rPr>
        <w:t>(Japan)</w:t>
      </w:r>
      <w:r>
        <w:rPr>
          <w:sz w:val="18"/>
        </w:rPr>
        <w:t>,</w:t>
      </w:r>
      <w:r>
        <w:rPr>
          <w:spacing w:val="-2"/>
          <w:sz w:val="18"/>
        </w:rPr>
        <w:t xml:space="preserve"> </w:t>
      </w:r>
      <w:r>
        <w:rPr>
          <w:sz w:val="18"/>
        </w:rPr>
        <w:t>para.</w:t>
      </w:r>
      <w:r>
        <w:rPr>
          <w:spacing w:val="-3"/>
          <w:sz w:val="18"/>
        </w:rPr>
        <w:t xml:space="preserve"> </w:t>
      </w:r>
      <w:r>
        <w:rPr>
          <w:sz w:val="18"/>
        </w:rPr>
        <w:t>5.95;</w:t>
      </w:r>
      <w:r>
        <w:rPr>
          <w:spacing w:val="-10"/>
          <w:sz w:val="18"/>
        </w:rPr>
        <w:t xml:space="preserve"> </w:t>
      </w:r>
      <w:r>
        <w:rPr>
          <w:i/>
          <w:sz w:val="18"/>
        </w:rPr>
        <w:t>EC-Fasteners</w:t>
      </w:r>
      <w:r>
        <w:rPr>
          <w:i/>
          <w:spacing w:val="-7"/>
          <w:sz w:val="18"/>
        </w:rPr>
        <w:t xml:space="preserve"> </w:t>
      </w:r>
      <w:r>
        <w:rPr>
          <w:i/>
          <w:sz w:val="18"/>
        </w:rPr>
        <w:t>(China),</w:t>
      </w:r>
      <w:r>
        <w:rPr>
          <w:i/>
          <w:spacing w:val="-2"/>
          <w:sz w:val="18"/>
        </w:rPr>
        <w:t xml:space="preserve"> </w:t>
      </w:r>
      <w:r>
        <w:rPr>
          <w:sz w:val="18"/>
        </w:rPr>
        <w:t>para.</w:t>
      </w:r>
      <w:r>
        <w:rPr>
          <w:spacing w:val="-3"/>
          <w:sz w:val="18"/>
        </w:rPr>
        <w:t xml:space="preserve"> </w:t>
      </w:r>
      <w:r>
        <w:rPr>
          <w:spacing w:val="-4"/>
          <w:sz w:val="18"/>
        </w:rPr>
        <w:t>539.</w:t>
      </w:r>
    </w:p>
    <w:p w14:paraId="389960D4" w14:textId="77777777" w:rsidR="00BD462C" w:rsidRDefault="00033D0F">
      <w:pPr>
        <w:spacing w:before="1"/>
        <w:ind w:left="135"/>
        <w:rPr>
          <w:sz w:val="18"/>
        </w:rPr>
      </w:pPr>
      <w:bookmarkStart w:id="1403" w:name="_bookmark1208"/>
      <w:bookmarkEnd w:id="1403"/>
      <w:r>
        <w:rPr>
          <w:position w:val="5"/>
          <w:sz w:val="12"/>
        </w:rPr>
        <w:t>1038</w:t>
      </w:r>
      <w:r>
        <w:rPr>
          <w:spacing w:val="-5"/>
          <w:position w:val="5"/>
          <w:sz w:val="12"/>
        </w:rPr>
        <w:t xml:space="preserve"> </w:t>
      </w:r>
      <w:r>
        <w:rPr>
          <w:sz w:val="18"/>
        </w:rPr>
        <w:t>Appellate</w:t>
      </w:r>
      <w:r>
        <w:rPr>
          <w:spacing w:val="-12"/>
          <w:sz w:val="18"/>
        </w:rPr>
        <w:t xml:space="preserve"> </w:t>
      </w:r>
      <w:r>
        <w:rPr>
          <w:sz w:val="18"/>
        </w:rPr>
        <w:t>Body</w:t>
      </w:r>
      <w:r>
        <w:rPr>
          <w:spacing w:val="-13"/>
          <w:sz w:val="18"/>
        </w:rPr>
        <w:t xml:space="preserve"> </w:t>
      </w:r>
      <w:r>
        <w:rPr>
          <w:sz w:val="18"/>
        </w:rPr>
        <w:t>Report,</w:t>
      </w:r>
      <w:r>
        <w:rPr>
          <w:spacing w:val="-10"/>
          <w:sz w:val="18"/>
        </w:rPr>
        <w:t xml:space="preserve"> </w:t>
      </w:r>
      <w:r>
        <w:rPr>
          <w:i/>
          <w:sz w:val="18"/>
        </w:rPr>
        <w:t>EC</w:t>
      </w:r>
      <w:r>
        <w:rPr>
          <w:i/>
          <w:spacing w:val="-12"/>
          <w:sz w:val="18"/>
        </w:rPr>
        <w:t xml:space="preserve"> </w:t>
      </w:r>
      <w:r>
        <w:rPr>
          <w:i/>
          <w:sz w:val="18"/>
        </w:rPr>
        <w:t>–</w:t>
      </w:r>
      <w:r>
        <w:rPr>
          <w:i/>
          <w:spacing w:val="-10"/>
          <w:sz w:val="18"/>
        </w:rPr>
        <w:t xml:space="preserve"> </w:t>
      </w:r>
      <w:r>
        <w:rPr>
          <w:i/>
          <w:sz w:val="18"/>
        </w:rPr>
        <w:t>Fasteners</w:t>
      </w:r>
      <w:r>
        <w:rPr>
          <w:i/>
          <w:spacing w:val="-11"/>
          <w:sz w:val="18"/>
        </w:rPr>
        <w:t xml:space="preserve"> </w:t>
      </w:r>
      <w:r>
        <w:rPr>
          <w:i/>
          <w:sz w:val="18"/>
        </w:rPr>
        <w:t>(China)</w:t>
      </w:r>
      <w:r>
        <w:rPr>
          <w:sz w:val="18"/>
        </w:rPr>
        <w:t>,</w:t>
      </w:r>
      <w:r>
        <w:rPr>
          <w:spacing w:val="-10"/>
          <w:sz w:val="18"/>
        </w:rPr>
        <w:t xml:space="preserve"> </w:t>
      </w:r>
      <w:r>
        <w:rPr>
          <w:sz w:val="18"/>
        </w:rPr>
        <w:t>para.</w:t>
      </w:r>
      <w:r>
        <w:rPr>
          <w:spacing w:val="-10"/>
          <w:sz w:val="18"/>
        </w:rPr>
        <w:t xml:space="preserve"> </w:t>
      </w:r>
      <w:r>
        <w:rPr>
          <w:sz w:val="18"/>
        </w:rPr>
        <w:t>587</w:t>
      </w:r>
      <w:r>
        <w:rPr>
          <w:spacing w:val="-14"/>
          <w:sz w:val="18"/>
        </w:rPr>
        <w:t xml:space="preserve"> </w:t>
      </w:r>
      <w:r>
        <w:rPr>
          <w:sz w:val="18"/>
        </w:rPr>
        <w:t>(as</w:t>
      </w:r>
      <w:r>
        <w:rPr>
          <w:spacing w:val="-11"/>
          <w:sz w:val="18"/>
        </w:rPr>
        <w:t xml:space="preserve"> </w:t>
      </w:r>
      <w:r>
        <w:rPr>
          <w:sz w:val="18"/>
        </w:rPr>
        <w:t>cited</w:t>
      </w:r>
      <w:r>
        <w:rPr>
          <w:spacing w:val="-10"/>
          <w:sz w:val="18"/>
        </w:rPr>
        <w:t xml:space="preserve"> </w:t>
      </w:r>
      <w:r>
        <w:rPr>
          <w:sz w:val="18"/>
        </w:rPr>
        <w:t>in</w:t>
      </w:r>
      <w:r>
        <w:rPr>
          <w:spacing w:val="-12"/>
          <w:sz w:val="18"/>
        </w:rPr>
        <w:t xml:space="preserve"> </w:t>
      </w:r>
      <w:r>
        <w:rPr>
          <w:sz w:val="18"/>
        </w:rPr>
        <w:t>China's</w:t>
      </w:r>
      <w:r>
        <w:rPr>
          <w:spacing w:val="-12"/>
          <w:sz w:val="18"/>
        </w:rPr>
        <w:t xml:space="preserve"> </w:t>
      </w:r>
      <w:r>
        <w:rPr>
          <w:sz w:val="18"/>
        </w:rPr>
        <w:t>first</w:t>
      </w:r>
      <w:r>
        <w:rPr>
          <w:spacing w:val="-8"/>
          <w:sz w:val="18"/>
        </w:rPr>
        <w:t xml:space="preserve"> </w:t>
      </w:r>
      <w:r>
        <w:rPr>
          <w:sz w:val="18"/>
        </w:rPr>
        <w:t>written</w:t>
      </w:r>
      <w:r>
        <w:rPr>
          <w:spacing w:val="-12"/>
          <w:sz w:val="18"/>
        </w:rPr>
        <w:t xml:space="preserve"> </w:t>
      </w:r>
      <w:r>
        <w:rPr>
          <w:sz w:val="18"/>
        </w:rPr>
        <w:t>submission,</w:t>
      </w:r>
      <w:r>
        <w:rPr>
          <w:spacing w:val="-10"/>
          <w:sz w:val="18"/>
        </w:rPr>
        <w:t xml:space="preserve"> </w:t>
      </w:r>
      <w:r>
        <w:rPr>
          <w:sz w:val="18"/>
        </w:rPr>
        <w:t>para.</w:t>
      </w:r>
      <w:r>
        <w:rPr>
          <w:spacing w:val="-8"/>
          <w:sz w:val="18"/>
        </w:rPr>
        <w:t xml:space="preserve"> </w:t>
      </w:r>
      <w:r>
        <w:rPr>
          <w:sz w:val="18"/>
        </w:rPr>
        <w:t>2258,</w:t>
      </w:r>
      <w:r>
        <w:rPr>
          <w:spacing w:val="-10"/>
          <w:sz w:val="18"/>
        </w:rPr>
        <w:t xml:space="preserve"> </w:t>
      </w:r>
      <w:r>
        <w:rPr>
          <w:sz w:val="18"/>
        </w:rPr>
        <w:t>fn.</w:t>
      </w:r>
      <w:r>
        <w:rPr>
          <w:spacing w:val="-10"/>
          <w:sz w:val="18"/>
        </w:rPr>
        <w:t xml:space="preserve"> </w:t>
      </w:r>
      <w:r>
        <w:rPr>
          <w:spacing w:val="-2"/>
          <w:sz w:val="18"/>
        </w:rPr>
        <w:t>2120).</w:t>
      </w:r>
    </w:p>
    <w:p w14:paraId="6F2481C6" w14:textId="77777777" w:rsidR="00BD462C" w:rsidRDefault="00033D0F">
      <w:pPr>
        <w:spacing w:before="1"/>
        <w:ind w:left="135"/>
        <w:rPr>
          <w:sz w:val="18"/>
        </w:rPr>
      </w:pPr>
      <w:bookmarkStart w:id="1404" w:name="_bookmark1209"/>
      <w:bookmarkEnd w:id="1404"/>
      <w:r>
        <w:rPr>
          <w:position w:val="5"/>
          <w:sz w:val="12"/>
        </w:rPr>
        <w:t>1039</w:t>
      </w:r>
      <w:r>
        <w:rPr>
          <w:spacing w:val="14"/>
          <w:position w:val="5"/>
          <w:sz w:val="12"/>
        </w:rPr>
        <w:t xml:space="preserve"> </w:t>
      </w:r>
      <w:r>
        <w:rPr>
          <w:sz w:val="18"/>
        </w:rPr>
        <w:t>Appellate</w:t>
      </w:r>
      <w:r>
        <w:rPr>
          <w:spacing w:val="-8"/>
          <w:sz w:val="18"/>
        </w:rPr>
        <w:t xml:space="preserve"> </w:t>
      </w:r>
      <w:r>
        <w:rPr>
          <w:sz w:val="18"/>
        </w:rPr>
        <w:t>Body</w:t>
      </w:r>
      <w:r>
        <w:rPr>
          <w:spacing w:val="-6"/>
          <w:sz w:val="18"/>
        </w:rPr>
        <w:t xml:space="preserve"> </w:t>
      </w:r>
      <w:r>
        <w:rPr>
          <w:sz w:val="18"/>
        </w:rPr>
        <w:t>Report,</w:t>
      </w:r>
      <w:r>
        <w:rPr>
          <w:spacing w:val="-2"/>
          <w:sz w:val="18"/>
        </w:rPr>
        <w:t xml:space="preserve"> </w:t>
      </w:r>
      <w:r>
        <w:rPr>
          <w:i/>
          <w:sz w:val="18"/>
        </w:rPr>
        <w:t>EC</w:t>
      </w:r>
      <w:r>
        <w:rPr>
          <w:i/>
          <w:spacing w:val="-4"/>
          <w:sz w:val="18"/>
        </w:rPr>
        <w:t xml:space="preserve"> </w:t>
      </w:r>
      <w:r>
        <w:rPr>
          <w:i/>
          <w:sz w:val="18"/>
        </w:rPr>
        <w:t>– Fasteners</w:t>
      </w:r>
      <w:r>
        <w:rPr>
          <w:i/>
          <w:spacing w:val="-3"/>
          <w:sz w:val="18"/>
        </w:rPr>
        <w:t xml:space="preserve"> </w:t>
      </w:r>
      <w:r>
        <w:rPr>
          <w:i/>
          <w:sz w:val="18"/>
        </w:rPr>
        <w:t>(China)</w:t>
      </w:r>
      <w:r>
        <w:rPr>
          <w:sz w:val="18"/>
        </w:rPr>
        <w:t>,</w:t>
      </w:r>
      <w:r>
        <w:rPr>
          <w:spacing w:val="-2"/>
          <w:sz w:val="18"/>
        </w:rPr>
        <w:t xml:space="preserve"> </w:t>
      </w:r>
      <w:r>
        <w:rPr>
          <w:sz w:val="18"/>
        </w:rPr>
        <w:t>paras.</w:t>
      </w:r>
      <w:r>
        <w:rPr>
          <w:spacing w:val="-3"/>
          <w:sz w:val="18"/>
        </w:rPr>
        <w:t xml:space="preserve"> </w:t>
      </w:r>
      <w:r>
        <w:rPr>
          <w:sz w:val="18"/>
        </w:rPr>
        <w:t>586-</w:t>
      </w:r>
      <w:r>
        <w:rPr>
          <w:spacing w:val="-4"/>
          <w:sz w:val="18"/>
        </w:rPr>
        <w:t>587.</w:t>
      </w:r>
    </w:p>
    <w:p w14:paraId="6693842F" w14:textId="77777777" w:rsidR="00BD462C" w:rsidRDefault="00033D0F">
      <w:pPr>
        <w:spacing w:before="1"/>
        <w:ind w:left="135"/>
        <w:rPr>
          <w:sz w:val="18"/>
        </w:rPr>
      </w:pPr>
      <w:bookmarkStart w:id="1405" w:name="_bookmark1210"/>
      <w:bookmarkEnd w:id="1405"/>
      <w:r>
        <w:rPr>
          <w:position w:val="5"/>
          <w:sz w:val="12"/>
        </w:rPr>
        <w:t>1040</w:t>
      </w:r>
      <w:r>
        <w:rPr>
          <w:spacing w:val="15"/>
          <w:position w:val="5"/>
          <w:sz w:val="12"/>
        </w:rPr>
        <w:t xml:space="preserve"> </w:t>
      </w:r>
      <w:r>
        <w:rPr>
          <w:sz w:val="18"/>
        </w:rPr>
        <w:t>Appellate</w:t>
      </w:r>
      <w:r>
        <w:rPr>
          <w:spacing w:val="-9"/>
          <w:sz w:val="18"/>
        </w:rPr>
        <w:t xml:space="preserve"> </w:t>
      </w:r>
      <w:r>
        <w:rPr>
          <w:sz w:val="18"/>
        </w:rPr>
        <w:t>Body</w:t>
      </w:r>
      <w:r>
        <w:rPr>
          <w:spacing w:val="-5"/>
          <w:sz w:val="18"/>
        </w:rPr>
        <w:t xml:space="preserve"> </w:t>
      </w:r>
      <w:r>
        <w:rPr>
          <w:sz w:val="18"/>
        </w:rPr>
        <w:t>Report,</w:t>
      </w:r>
      <w:r>
        <w:rPr>
          <w:spacing w:val="-2"/>
          <w:sz w:val="18"/>
        </w:rPr>
        <w:t xml:space="preserve"> </w:t>
      </w:r>
      <w:r>
        <w:rPr>
          <w:i/>
          <w:sz w:val="18"/>
        </w:rPr>
        <w:t>EC</w:t>
      </w:r>
      <w:r>
        <w:rPr>
          <w:i/>
          <w:spacing w:val="-4"/>
          <w:sz w:val="18"/>
        </w:rPr>
        <w:t xml:space="preserve"> </w:t>
      </w:r>
      <w:r>
        <w:rPr>
          <w:i/>
          <w:sz w:val="18"/>
        </w:rPr>
        <w:t>– Fasteners</w:t>
      </w:r>
      <w:r>
        <w:rPr>
          <w:i/>
          <w:spacing w:val="-3"/>
          <w:sz w:val="18"/>
        </w:rPr>
        <w:t xml:space="preserve"> </w:t>
      </w:r>
      <w:r>
        <w:rPr>
          <w:i/>
          <w:sz w:val="18"/>
        </w:rPr>
        <w:t>(China)</w:t>
      </w:r>
      <w:r>
        <w:rPr>
          <w:sz w:val="18"/>
        </w:rPr>
        <w:t>,</w:t>
      </w:r>
      <w:r>
        <w:rPr>
          <w:spacing w:val="-2"/>
          <w:sz w:val="18"/>
        </w:rPr>
        <w:t xml:space="preserve"> </w:t>
      </w:r>
      <w:r>
        <w:rPr>
          <w:sz w:val="18"/>
        </w:rPr>
        <w:t>para.</w:t>
      </w:r>
      <w:r>
        <w:rPr>
          <w:spacing w:val="2"/>
          <w:sz w:val="18"/>
        </w:rPr>
        <w:t xml:space="preserve"> </w:t>
      </w:r>
      <w:r>
        <w:rPr>
          <w:spacing w:val="-4"/>
          <w:sz w:val="18"/>
        </w:rPr>
        <w:t>587.</w:t>
      </w:r>
    </w:p>
    <w:p w14:paraId="4442F7A2" w14:textId="77777777" w:rsidR="00BD462C" w:rsidRDefault="00033D0F">
      <w:pPr>
        <w:spacing w:before="1"/>
        <w:ind w:left="135"/>
        <w:rPr>
          <w:sz w:val="18"/>
        </w:rPr>
      </w:pPr>
      <w:bookmarkStart w:id="1406" w:name="_bookmark1211"/>
      <w:bookmarkEnd w:id="1406"/>
      <w:r>
        <w:rPr>
          <w:position w:val="5"/>
          <w:sz w:val="12"/>
        </w:rPr>
        <w:t>1041</w:t>
      </w:r>
      <w:r>
        <w:rPr>
          <w:spacing w:val="15"/>
          <w:position w:val="5"/>
          <w:sz w:val="12"/>
        </w:rPr>
        <w:t xml:space="preserve"> </w:t>
      </w:r>
      <w:r>
        <w:rPr>
          <w:sz w:val="18"/>
        </w:rPr>
        <w:t>Appellate</w:t>
      </w:r>
      <w:r>
        <w:rPr>
          <w:spacing w:val="-9"/>
          <w:sz w:val="18"/>
        </w:rPr>
        <w:t xml:space="preserve"> </w:t>
      </w:r>
      <w:r>
        <w:rPr>
          <w:sz w:val="18"/>
        </w:rPr>
        <w:t>Body</w:t>
      </w:r>
      <w:r>
        <w:rPr>
          <w:spacing w:val="-5"/>
          <w:sz w:val="18"/>
        </w:rPr>
        <w:t xml:space="preserve"> </w:t>
      </w:r>
      <w:r>
        <w:rPr>
          <w:sz w:val="18"/>
        </w:rPr>
        <w:t>Report,</w:t>
      </w:r>
      <w:r>
        <w:rPr>
          <w:spacing w:val="-2"/>
          <w:sz w:val="18"/>
        </w:rPr>
        <w:t xml:space="preserve"> </w:t>
      </w:r>
      <w:r>
        <w:rPr>
          <w:i/>
          <w:sz w:val="18"/>
        </w:rPr>
        <w:t>EC</w:t>
      </w:r>
      <w:r>
        <w:rPr>
          <w:i/>
          <w:spacing w:val="-4"/>
          <w:sz w:val="18"/>
        </w:rPr>
        <w:t xml:space="preserve"> </w:t>
      </w:r>
      <w:r>
        <w:rPr>
          <w:i/>
          <w:sz w:val="18"/>
        </w:rPr>
        <w:t>– Fasteners</w:t>
      </w:r>
      <w:r>
        <w:rPr>
          <w:i/>
          <w:spacing w:val="-3"/>
          <w:sz w:val="18"/>
        </w:rPr>
        <w:t xml:space="preserve"> </w:t>
      </w:r>
      <w:r>
        <w:rPr>
          <w:i/>
          <w:sz w:val="18"/>
        </w:rPr>
        <w:t>(China)</w:t>
      </w:r>
      <w:r>
        <w:rPr>
          <w:sz w:val="18"/>
        </w:rPr>
        <w:t>,</w:t>
      </w:r>
      <w:r>
        <w:rPr>
          <w:spacing w:val="-2"/>
          <w:sz w:val="18"/>
        </w:rPr>
        <w:t xml:space="preserve"> </w:t>
      </w:r>
      <w:r>
        <w:rPr>
          <w:sz w:val="18"/>
        </w:rPr>
        <w:t>para.</w:t>
      </w:r>
      <w:r>
        <w:rPr>
          <w:spacing w:val="2"/>
          <w:sz w:val="18"/>
        </w:rPr>
        <w:t xml:space="preserve"> </w:t>
      </w:r>
      <w:r>
        <w:rPr>
          <w:spacing w:val="-4"/>
          <w:sz w:val="18"/>
        </w:rPr>
        <w:t>587.</w:t>
      </w:r>
    </w:p>
    <w:p w14:paraId="5822E5A8" w14:textId="77777777" w:rsidR="00BD462C" w:rsidRDefault="00BD462C">
      <w:pPr>
        <w:rPr>
          <w:sz w:val="18"/>
        </w:rPr>
        <w:sectPr w:rsidR="00BD462C">
          <w:pgSz w:w="11910" w:h="16840"/>
          <w:pgMar w:top="860" w:right="500" w:bottom="780" w:left="1280" w:header="566" w:footer="590" w:gutter="0"/>
          <w:cols w:space="720"/>
        </w:sectPr>
      </w:pPr>
    </w:p>
    <w:p w14:paraId="4DD135C6"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6E08BB4D"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60067906"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735DC55A" w14:textId="77777777" w:rsidR="00BD462C" w:rsidRDefault="00033D0F">
      <w:pPr>
        <w:pStyle w:val="BodyText"/>
        <w:spacing w:before="102" w:line="357" w:lineRule="auto"/>
        <w:ind w:left="135" w:right="922"/>
        <w:jc w:val="both"/>
      </w:pPr>
      <w:r>
        <w:t>such risk may come about are matters of degree and must be assessed on the facts, and the Panel conducted such an assessment in reaching its finding".</w:t>
      </w:r>
      <w:hyperlink w:anchor="_bookmark1213" w:history="1">
        <w:r>
          <w:rPr>
            <w:vertAlign w:val="superscript"/>
          </w:rPr>
          <w:t>1042</w:t>
        </w:r>
      </w:hyperlink>
    </w:p>
    <w:p w14:paraId="6F68F64B" w14:textId="77777777" w:rsidR="00BD462C" w:rsidRDefault="00033D0F">
      <w:pPr>
        <w:pStyle w:val="Heading3"/>
        <w:numPr>
          <w:ilvl w:val="0"/>
          <w:numId w:val="30"/>
        </w:numPr>
        <w:tabs>
          <w:tab w:val="left" w:pos="2545"/>
          <w:tab w:val="left" w:pos="2546"/>
        </w:tabs>
        <w:spacing w:before="164" w:line="360" w:lineRule="auto"/>
        <w:ind w:right="913"/>
      </w:pPr>
      <w:bookmarkStart w:id="1407" w:name="2._The_legal_framework_for_the_requireme"/>
      <w:bookmarkStart w:id="1408" w:name="_bookmark1212"/>
      <w:bookmarkEnd w:id="1407"/>
      <w:bookmarkEnd w:id="1408"/>
      <w:r>
        <w:t>The legal framework for the requirement to provide a summary in sufficient</w:t>
      </w:r>
      <w:r>
        <w:rPr>
          <w:spacing w:val="-11"/>
        </w:rPr>
        <w:t xml:space="preserve"> </w:t>
      </w:r>
      <w:r>
        <w:t>detail</w:t>
      </w:r>
      <w:r>
        <w:rPr>
          <w:spacing w:val="-11"/>
        </w:rPr>
        <w:t xml:space="preserve"> </w:t>
      </w:r>
      <w:r>
        <w:t>or</w:t>
      </w:r>
      <w:r>
        <w:rPr>
          <w:spacing w:val="-9"/>
        </w:rPr>
        <w:t xml:space="preserve"> </w:t>
      </w:r>
      <w:r>
        <w:t>a</w:t>
      </w:r>
      <w:r>
        <w:rPr>
          <w:spacing w:val="-8"/>
        </w:rPr>
        <w:t xml:space="preserve"> </w:t>
      </w:r>
      <w:r>
        <w:t>statement</w:t>
      </w:r>
      <w:r>
        <w:rPr>
          <w:spacing w:val="-11"/>
        </w:rPr>
        <w:t xml:space="preserve"> </w:t>
      </w:r>
      <w:r>
        <w:t>of</w:t>
      </w:r>
      <w:r>
        <w:rPr>
          <w:spacing w:val="-9"/>
        </w:rPr>
        <w:t xml:space="preserve"> </w:t>
      </w:r>
      <w:r>
        <w:t>reasons</w:t>
      </w:r>
      <w:r>
        <w:rPr>
          <w:spacing w:val="-9"/>
        </w:rPr>
        <w:t xml:space="preserve"> </w:t>
      </w:r>
      <w:r>
        <w:t>as</w:t>
      </w:r>
      <w:r>
        <w:rPr>
          <w:spacing w:val="-9"/>
        </w:rPr>
        <w:t xml:space="preserve"> </w:t>
      </w:r>
      <w:r>
        <w:t>to</w:t>
      </w:r>
      <w:r>
        <w:rPr>
          <w:spacing w:val="-9"/>
        </w:rPr>
        <w:t xml:space="preserve"> </w:t>
      </w:r>
      <w:r>
        <w:t>why</w:t>
      </w:r>
      <w:r>
        <w:rPr>
          <w:spacing w:val="-8"/>
        </w:rPr>
        <w:t xml:space="preserve"> </w:t>
      </w:r>
      <w:proofErr w:type="spellStart"/>
      <w:r>
        <w:t>summarisation</w:t>
      </w:r>
      <w:proofErr w:type="spellEnd"/>
      <w:r>
        <w:t xml:space="preserve"> is not possible</w:t>
      </w:r>
    </w:p>
    <w:p w14:paraId="28BD8AF7" w14:textId="77777777" w:rsidR="00BD462C" w:rsidRDefault="00BD462C">
      <w:pPr>
        <w:pStyle w:val="BodyText"/>
        <w:spacing w:before="11"/>
        <w:rPr>
          <w:b/>
          <w:sz w:val="8"/>
        </w:rPr>
      </w:pPr>
    </w:p>
    <w:p w14:paraId="0A88F8FB" w14:textId="41587870" w:rsidR="00BD462C" w:rsidRDefault="00A5381E">
      <w:pPr>
        <w:pStyle w:val="BodyText"/>
        <w:spacing w:before="56" w:line="360" w:lineRule="auto"/>
        <w:ind w:left="135" w:right="915"/>
        <w:jc w:val="both"/>
      </w:pPr>
      <w:r>
        <w:rPr>
          <w:noProof/>
        </w:rPr>
        <w:t>665.</w:t>
      </w:r>
      <w:r w:rsidR="00033D0F">
        <w:rPr>
          <w:rFonts w:ascii="Times New Roman"/>
          <w:spacing w:val="80"/>
          <w:position w:val="1"/>
          <w:sz w:val="20"/>
        </w:rPr>
        <w:t xml:space="preserve">   </w:t>
      </w:r>
      <w:r w:rsidR="00033D0F">
        <w:rPr>
          <w:position w:val="1"/>
        </w:rPr>
        <w:t>It</w:t>
      </w:r>
      <w:r w:rsidR="00033D0F">
        <w:rPr>
          <w:spacing w:val="-7"/>
          <w:position w:val="1"/>
        </w:rPr>
        <w:t xml:space="preserve"> </w:t>
      </w:r>
      <w:r w:rsidR="00033D0F">
        <w:rPr>
          <w:position w:val="1"/>
        </w:rPr>
        <w:t>does</w:t>
      </w:r>
      <w:r w:rsidR="00033D0F">
        <w:rPr>
          <w:spacing w:val="-6"/>
          <w:position w:val="1"/>
        </w:rPr>
        <w:t xml:space="preserve"> </w:t>
      </w:r>
      <w:r w:rsidR="00033D0F">
        <w:rPr>
          <w:position w:val="1"/>
        </w:rPr>
        <w:t>not</w:t>
      </w:r>
      <w:r w:rsidR="00033D0F">
        <w:rPr>
          <w:spacing w:val="-7"/>
          <w:position w:val="1"/>
        </w:rPr>
        <w:t xml:space="preserve"> </w:t>
      </w:r>
      <w:r w:rsidR="00033D0F">
        <w:rPr>
          <w:position w:val="1"/>
        </w:rPr>
        <w:t>appear</w:t>
      </w:r>
      <w:r w:rsidR="00033D0F">
        <w:rPr>
          <w:spacing w:val="-10"/>
          <w:position w:val="1"/>
        </w:rPr>
        <w:t xml:space="preserve"> </w:t>
      </w:r>
      <w:r w:rsidR="00033D0F">
        <w:rPr>
          <w:position w:val="1"/>
        </w:rPr>
        <w:t>to</w:t>
      </w:r>
      <w:r w:rsidR="00033D0F">
        <w:rPr>
          <w:spacing w:val="-10"/>
          <w:position w:val="1"/>
        </w:rPr>
        <w:t xml:space="preserve"> </w:t>
      </w:r>
      <w:r w:rsidR="00033D0F">
        <w:rPr>
          <w:position w:val="1"/>
        </w:rPr>
        <w:t>Australia</w:t>
      </w:r>
      <w:r w:rsidR="00033D0F">
        <w:rPr>
          <w:spacing w:val="-8"/>
          <w:position w:val="1"/>
        </w:rPr>
        <w:t xml:space="preserve"> </w:t>
      </w:r>
      <w:r w:rsidR="00033D0F">
        <w:rPr>
          <w:position w:val="1"/>
        </w:rPr>
        <w:t>that</w:t>
      </w:r>
      <w:r w:rsidR="00033D0F">
        <w:rPr>
          <w:spacing w:val="-7"/>
          <w:position w:val="1"/>
        </w:rPr>
        <w:t xml:space="preserve"> </w:t>
      </w:r>
      <w:r w:rsidR="00033D0F">
        <w:rPr>
          <w:position w:val="1"/>
        </w:rPr>
        <w:t>there</w:t>
      </w:r>
      <w:r w:rsidR="00033D0F">
        <w:rPr>
          <w:spacing w:val="-7"/>
          <w:position w:val="1"/>
        </w:rPr>
        <w:t xml:space="preserve"> </w:t>
      </w:r>
      <w:r w:rsidR="00033D0F">
        <w:rPr>
          <w:position w:val="1"/>
        </w:rPr>
        <w:t>is</w:t>
      </w:r>
      <w:r w:rsidR="00033D0F">
        <w:rPr>
          <w:spacing w:val="-6"/>
          <w:position w:val="1"/>
        </w:rPr>
        <w:t xml:space="preserve"> </w:t>
      </w:r>
      <w:r w:rsidR="00033D0F">
        <w:rPr>
          <w:position w:val="1"/>
        </w:rPr>
        <w:t>any</w:t>
      </w:r>
      <w:r w:rsidR="00033D0F">
        <w:rPr>
          <w:spacing w:val="-5"/>
          <w:position w:val="1"/>
        </w:rPr>
        <w:t xml:space="preserve"> </w:t>
      </w:r>
      <w:r w:rsidR="00033D0F">
        <w:rPr>
          <w:position w:val="1"/>
        </w:rPr>
        <w:t>disagreement</w:t>
      </w:r>
      <w:r w:rsidR="00033D0F">
        <w:rPr>
          <w:spacing w:val="-7"/>
          <w:position w:val="1"/>
        </w:rPr>
        <w:t xml:space="preserve"> </w:t>
      </w:r>
      <w:r w:rsidR="00033D0F">
        <w:rPr>
          <w:position w:val="1"/>
        </w:rPr>
        <w:t>between</w:t>
      </w:r>
      <w:r w:rsidR="00033D0F">
        <w:rPr>
          <w:spacing w:val="-9"/>
          <w:position w:val="1"/>
        </w:rPr>
        <w:t xml:space="preserve"> </w:t>
      </w:r>
      <w:r w:rsidR="00033D0F">
        <w:rPr>
          <w:position w:val="1"/>
        </w:rPr>
        <w:t>the</w:t>
      </w:r>
      <w:r w:rsidR="00033D0F">
        <w:rPr>
          <w:spacing w:val="-7"/>
          <w:position w:val="1"/>
        </w:rPr>
        <w:t xml:space="preserve"> </w:t>
      </w:r>
      <w:r w:rsidR="00033D0F">
        <w:rPr>
          <w:position w:val="1"/>
        </w:rPr>
        <w:t>parties</w:t>
      </w:r>
      <w:r w:rsidR="00033D0F">
        <w:rPr>
          <w:spacing w:val="-5"/>
          <w:position w:val="1"/>
        </w:rPr>
        <w:t xml:space="preserve"> </w:t>
      </w:r>
      <w:r w:rsidR="00033D0F">
        <w:rPr>
          <w:position w:val="1"/>
        </w:rPr>
        <w:t xml:space="preserve">as </w:t>
      </w:r>
      <w:r w:rsidR="00033D0F">
        <w:t>to the applicable legal standard, which requires non-confidential summaries to be furnished "in</w:t>
      </w:r>
      <w:r w:rsidR="00033D0F">
        <w:rPr>
          <w:spacing w:val="-9"/>
        </w:rPr>
        <w:t xml:space="preserve"> </w:t>
      </w:r>
      <w:r w:rsidR="00033D0F">
        <w:t>sufficient</w:t>
      </w:r>
      <w:r w:rsidR="00033D0F">
        <w:rPr>
          <w:spacing w:val="-7"/>
        </w:rPr>
        <w:t xml:space="preserve"> </w:t>
      </w:r>
      <w:r w:rsidR="00033D0F">
        <w:t>detail</w:t>
      </w:r>
      <w:r w:rsidR="00033D0F">
        <w:rPr>
          <w:spacing w:val="-5"/>
        </w:rPr>
        <w:t xml:space="preserve"> </w:t>
      </w:r>
      <w:r w:rsidR="00033D0F">
        <w:t>to</w:t>
      </w:r>
      <w:r w:rsidR="00033D0F">
        <w:rPr>
          <w:spacing w:val="-10"/>
        </w:rPr>
        <w:t xml:space="preserve"> </w:t>
      </w:r>
      <w:r w:rsidR="00033D0F">
        <w:t>permit</w:t>
      </w:r>
      <w:r w:rsidR="00033D0F">
        <w:rPr>
          <w:spacing w:val="-7"/>
        </w:rPr>
        <w:t xml:space="preserve"> </w:t>
      </w:r>
      <w:r w:rsidR="00033D0F">
        <w:t>a</w:t>
      </w:r>
      <w:r w:rsidR="00033D0F">
        <w:rPr>
          <w:spacing w:val="-3"/>
        </w:rPr>
        <w:t xml:space="preserve"> </w:t>
      </w:r>
      <w:r w:rsidR="00033D0F">
        <w:t>reasonable</w:t>
      </w:r>
      <w:r w:rsidR="00033D0F">
        <w:rPr>
          <w:spacing w:val="-7"/>
        </w:rPr>
        <w:t xml:space="preserve"> </w:t>
      </w:r>
      <w:r w:rsidR="00033D0F">
        <w:t>understanding</w:t>
      </w:r>
      <w:r w:rsidR="00033D0F">
        <w:rPr>
          <w:spacing w:val="-6"/>
        </w:rPr>
        <w:t xml:space="preserve"> </w:t>
      </w:r>
      <w:r w:rsidR="00033D0F">
        <w:t>of</w:t>
      </w:r>
      <w:r w:rsidR="00033D0F">
        <w:rPr>
          <w:spacing w:val="-4"/>
        </w:rPr>
        <w:t xml:space="preserve"> </w:t>
      </w:r>
      <w:r w:rsidR="00033D0F">
        <w:t>the</w:t>
      </w:r>
      <w:r w:rsidR="00033D0F">
        <w:rPr>
          <w:spacing w:val="-7"/>
        </w:rPr>
        <w:t xml:space="preserve"> </w:t>
      </w:r>
      <w:r w:rsidR="00033D0F">
        <w:t>substance</w:t>
      </w:r>
      <w:r w:rsidR="00033D0F">
        <w:rPr>
          <w:spacing w:val="-7"/>
        </w:rPr>
        <w:t xml:space="preserve"> </w:t>
      </w:r>
      <w:r w:rsidR="00033D0F">
        <w:t>of</w:t>
      </w:r>
      <w:r w:rsidR="00033D0F">
        <w:rPr>
          <w:spacing w:val="-4"/>
        </w:rPr>
        <w:t xml:space="preserve"> </w:t>
      </w:r>
      <w:r w:rsidR="00033D0F">
        <w:t>the</w:t>
      </w:r>
      <w:r w:rsidR="00033D0F">
        <w:rPr>
          <w:spacing w:val="-3"/>
        </w:rPr>
        <w:t xml:space="preserve"> </w:t>
      </w:r>
      <w:r w:rsidR="00033D0F">
        <w:t>information submitted in confidence".</w:t>
      </w:r>
    </w:p>
    <w:p w14:paraId="43C46117" w14:textId="71C2F231" w:rsidR="00BD462C" w:rsidRDefault="00A5381E">
      <w:pPr>
        <w:pStyle w:val="BodyText"/>
        <w:spacing w:before="162" w:line="357" w:lineRule="auto"/>
        <w:ind w:left="135" w:right="913"/>
        <w:jc w:val="both"/>
      </w:pPr>
      <w:r>
        <w:rPr>
          <w:noProof/>
        </w:rPr>
        <w:t>666.</w:t>
      </w:r>
      <w:r w:rsidR="00033D0F">
        <w:rPr>
          <w:rFonts w:ascii="Times New Roman"/>
          <w:spacing w:val="40"/>
          <w:position w:val="1"/>
          <w:sz w:val="20"/>
        </w:rPr>
        <w:t xml:space="preserve">  </w:t>
      </w:r>
      <w:r w:rsidR="00033D0F">
        <w:rPr>
          <w:position w:val="1"/>
        </w:rPr>
        <w:t>Rather than contest Australia's account of the applicable legal standard,</w:t>
      </w:r>
      <w:hyperlink w:anchor="_bookmark1214" w:history="1">
        <w:r w:rsidR="00033D0F">
          <w:rPr>
            <w:position w:val="1"/>
            <w:vertAlign w:val="superscript"/>
          </w:rPr>
          <w:t>1043</w:t>
        </w:r>
      </w:hyperlink>
      <w:r w:rsidR="00033D0F">
        <w:rPr>
          <w:position w:val="1"/>
        </w:rPr>
        <w:t xml:space="preserve"> China's </w:t>
      </w:r>
      <w:r w:rsidR="00033D0F">
        <w:t xml:space="preserve">submissions instead </w:t>
      </w:r>
      <w:proofErr w:type="spellStart"/>
      <w:r w:rsidR="00033D0F">
        <w:t>emphasise</w:t>
      </w:r>
      <w:proofErr w:type="spellEnd"/>
      <w:r w:rsidR="00033D0F">
        <w:t xml:space="preserve"> what are described as "systemic issues" that China considers would arise if a "high level of detail" were required to be provided as part of the non- confidential summaries.</w:t>
      </w:r>
      <w:hyperlink w:anchor="_bookmark1215" w:history="1">
        <w:r w:rsidR="00033D0F">
          <w:rPr>
            <w:vertAlign w:val="superscript"/>
          </w:rPr>
          <w:t>1044</w:t>
        </w:r>
      </w:hyperlink>
      <w:r w:rsidR="00033D0F">
        <w:t xml:space="preserve"> In respect of these points, Australia makes the following </w:t>
      </w:r>
      <w:r w:rsidR="00033D0F">
        <w:rPr>
          <w:spacing w:val="-2"/>
        </w:rPr>
        <w:t>observations.</w:t>
      </w:r>
    </w:p>
    <w:p w14:paraId="5FCD9A20" w14:textId="77777777" w:rsidR="00BD462C" w:rsidRDefault="00BD462C">
      <w:pPr>
        <w:pStyle w:val="BodyText"/>
        <w:spacing w:before="11"/>
        <w:rPr>
          <w:sz w:val="8"/>
        </w:rPr>
      </w:pPr>
    </w:p>
    <w:p w14:paraId="6D9EB79B" w14:textId="4949E7DF" w:rsidR="00BD462C" w:rsidRDefault="00A5381E">
      <w:pPr>
        <w:pStyle w:val="BodyText"/>
        <w:spacing w:before="56" w:line="355" w:lineRule="auto"/>
        <w:ind w:left="135" w:right="915"/>
        <w:jc w:val="both"/>
      </w:pPr>
      <w:r>
        <w:rPr>
          <w:noProof/>
        </w:rPr>
        <w:t>667.</w:t>
      </w:r>
      <w:r w:rsidR="00033D0F">
        <w:rPr>
          <w:rFonts w:ascii="Times New Roman"/>
          <w:spacing w:val="80"/>
          <w:position w:val="1"/>
          <w:sz w:val="20"/>
        </w:rPr>
        <w:t xml:space="preserve">  </w:t>
      </w:r>
      <w:r w:rsidR="00033D0F">
        <w:rPr>
          <w:position w:val="1"/>
        </w:rPr>
        <w:t xml:space="preserve">First, China's so called "systemic issue" sets up a straw argument. Contrary to what </w:t>
      </w:r>
      <w:r w:rsidR="00033D0F">
        <w:t>China's submissions imply, Australia does not contend (and has not contended) that Article</w:t>
      </w:r>
    </w:p>
    <w:p w14:paraId="7CF6AA6B" w14:textId="77777777" w:rsidR="00BD462C" w:rsidRDefault="00033D0F">
      <w:pPr>
        <w:pStyle w:val="BodyText"/>
        <w:spacing w:before="6" w:line="360" w:lineRule="auto"/>
        <w:ind w:left="136" w:right="914"/>
        <w:jc w:val="both"/>
      </w:pPr>
      <w:r>
        <w:t>6.5.1 imposes a general obligation to provide a "high level of detail" or requires a "highly granular non-confidential summary". Australia's claims are clearly directed at whether the non-confidential summaries at issue provided "sufficient detail to permit a reasonable understanding of the substance of the information", as per the requirement of Article 6.5.1. China does not dispute this requirement.</w:t>
      </w:r>
    </w:p>
    <w:p w14:paraId="1DF4C77B" w14:textId="77777777" w:rsidR="00BD462C" w:rsidRDefault="00BD462C">
      <w:pPr>
        <w:pStyle w:val="BodyText"/>
        <w:spacing w:before="11"/>
        <w:rPr>
          <w:sz w:val="8"/>
        </w:rPr>
      </w:pPr>
    </w:p>
    <w:p w14:paraId="52956FDB" w14:textId="2DB81016" w:rsidR="00BD462C" w:rsidRDefault="00A5381E">
      <w:pPr>
        <w:pStyle w:val="BodyText"/>
        <w:spacing w:before="56" w:line="360" w:lineRule="auto"/>
        <w:ind w:left="135" w:right="908"/>
        <w:jc w:val="both"/>
      </w:pPr>
      <w:r>
        <w:rPr>
          <w:noProof/>
        </w:rPr>
        <w:t>66</w:t>
      </w:r>
      <w:r w:rsidR="0076494A">
        <w:rPr>
          <w:noProof/>
        </w:rPr>
        <w:t>8.</w:t>
      </w:r>
      <w:r w:rsidR="00033D0F">
        <w:rPr>
          <w:rFonts w:ascii="Times New Roman"/>
          <w:spacing w:val="40"/>
          <w:position w:val="1"/>
          <w:sz w:val="20"/>
        </w:rPr>
        <w:t xml:space="preserve">  </w:t>
      </w:r>
      <w:r w:rsidR="00033D0F">
        <w:rPr>
          <w:position w:val="1"/>
        </w:rPr>
        <w:t>Second, even if a situation arose in which a "highly granular non-confidential</w:t>
      </w:r>
      <w:r w:rsidR="00033D0F">
        <w:rPr>
          <w:spacing w:val="40"/>
          <w:position w:val="1"/>
        </w:rPr>
        <w:t xml:space="preserve"> </w:t>
      </w:r>
      <w:r w:rsidR="00033D0F">
        <w:t>summary"</w:t>
      </w:r>
      <w:r w:rsidR="00033D0F">
        <w:rPr>
          <w:spacing w:val="-2"/>
        </w:rPr>
        <w:t xml:space="preserve"> </w:t>
      </w:r>
      <w:r w:rsidR="00033D0F">
        <w:t>was required to</w:t>
      </w:r>
      <w:r w:rsidR="00033D0F">
        <w:rPr>
          <w:spacing w:val="-4"/>
        </w:rPr>
        <w:t xml:space="preserve"> </w:t>
      </w:r>
      <w:r w:rsidR="00033D0F">
        <w:t>meet</w:t>
      </w:r>
      <w:r w:rsidR="00033D0F">
        <w:rPr>
          <w:spacing w:val="-1"/>
        </w:rPr>
        <w:t xml:space="preserve"> </w:t>
      </w:r>
      <w:r w:rsidR="00033D0F">
        <w:t>the</w:t>
      </w:r>
      <w:r w:rsidR="00033D0F">
        <w:rPr>
          <w:spacing w:val="-2"/>
        </w:rPr>
        <w:t xml:space="preserve"> </w:t>
      </w:r>
      <w:r w:rsidR="00033D0F">
        <w:t>standard set out</w:t>
      </w:r>
      <w:r w:rsidR="00033D0F">
        <w:rPr>
          <w:spacing w:val="-1"/>
        </w:rPr>
        <w:t xml:space="preserve"> </w:t>
      </w:r>
      <w:r w:rsidR="00033D0F">
        <w:t>in</w:t>
      </w:r>
      <w:r w:rsidR="00033D0F">
        <w:rPr>
          <w:spacing w:val="-3"/>
        </w:rPr>
        <w:t xml:space="preserve"> </w:t>
      </w:r>
      <w:r w:rsidR="00033D0F">
        <w:t>Article</w:t>
      </w:r>
      <w:r w:rsidR="00033D0F">
        <w:rPr>
          <w:spacing w:val="-1"/>
        </w:rPr>
        <w:t xml:space="preserve"> </w:t>
      </w:r>
      <w:r w:rsidR="00033D0F">
        <w:t>6.5.1, then</w:t>
      </w:r>
      <w:r w:rsidR="00033D0F">
        <w:rPr>
          <w:spacing w:val="-3"/>
        </w:rPr>
        <w:t xml:space="preserve"> </w:t>
      </w:r>
      <w:r w:rsidR="00033D0F">
        <w:t>it</w:t>
      </w:r>
      <w:r w:rsidR="00033D0F">
        <w:rPr>
          <w:spacing w:val="-1"/>
        </w:rPr>
        <w:t xml:space="preserve"> </w:t>
      </w:r>
      <w:r w:rsidR="00033D0F">
        <w:t>would be</w:t>
      </w:r>
      <w:r w:rsidR="00033D0F">
        <w:rPr>
          <w:spacing w:val="-2"/>
        </w:rPr>
        <w:t xml:space="preserve"> </w:t>
      </w:r>
      <w:r w:rsidR="00033D0F">
        <w:t>a fact- specific question as to whether providing that level of granular information could be done without</w:t>
      </w:r>
      <w:r w:rsidR="00033D0F">
        <w:rPr>
          <w:spacing w:val="-3"/>
        </w:rPr>
        <w:t xml:space="preserve"> </w:t>
      </w:r>
      <w:r w:rsidR="00033D0F">
        <w:t>disclosing</w:t>
      </w:r>
      <w:r w:rsidR="00033D0F">
        <w:rPr>
          <w:spacing w:val="-6"/>
        </w:rPr>
        <w:t xml:space="preserve"> </w:t>
      </w:r>
      <w:r w:rsidR="00033D0F">
        <w:t>the</w:t>
      </w:r>
      <w:r w:rsidR="00033D0F">
        <w:rPr>
          <w:spacing w:val="-3"/>
        </w:rPr>
        <w:t xml:space="preserve"> </w:t>
      </w:r>
      <w:r w:rsidR="00033D0F">
        <w:t>information</w:t>
      </w:r>
      <w:r w:rsidR="00033D0F">
        <w:rPr>
          <w:spacing w:val="-4"/>
        </w:rPr>
        <w:t xml:space="preserve"> </w:t>
      </w:r>
      <w:r w:rsidR="00033D0F">
        <w:t>for</w:t>
      </w:r>
      <w:r w:rsidR="00033D0F">
        <w:rPr>
          <w:spacing w:val="-5"/>
        </w:rPr>
        <w:t xml:space="preserve"> </w:t>
      </w:r>
      <w:r w:rsidR="00033D0F">
        <w:t>which</w:t>
      </w:r>
      <w:r w:rsidR="00033D0F">
        <w:rPr>
          <w:spacing w:val="-4"/>
        </w:rPr>
        <w:t xml:space="preserve"> </w:t>
      </w:r>
      <w:r w:rsidR="00033D0F">
        <w:t>confidential</w:t>
      </w:r>
      <w:r w:rsidR="00033D0F">
        <w:rPr>
          <w:spacing w:val="-1"/>
        </w:rPr>
        <w:t xml:space="preserve"> </w:t>
      </w:r>
      <w:r w:rsidR="00033D0F">
        <w:t>treatment</w:t>
      </w:r>
      <w:r w:rsidR="00033D0F">
        <w:rPr>
          <w:spacing w:val="-7"/>
        </w:rPr>
        <w:t xml:space="preserve"> </w:t>
      </w:r>
      <w:r w:rsidR="00033D0F">
        <w:t>was</w:t>
      </w:r>
      <w:r w:rsidR="00033D0F">
        <w:rPr>
          <w:spacing w:val="-2"/>
        </w:rPr>
        <w:t xml:space="preserve"> </w:t>
      </w:r>
      <w:r w:rsidR="00033D0F">
        <w:t>requested.</w:t>
      </w:r>
      <w:r w:rsidR="00033D0F">
        <w:rPr>
          <w:spacing w:val="-2"/>
        </w:rPr>
        <w:t xml:space="preserve"> </w:t>
      </w:r>
      <w:r w:rsidR="00033D0F">
        <w:t>That</w:t>
      </w:r>
      <w:r w:rsidR="00033D0F">
        <w:rPr>
          <w:spacing w:val="-7"/>
        </w:rPr>
        <w:t xml:space="preserve"> </w:t>
      </w:r>
      <w:r w:rsidR="00033D0F">
        <w:t>is,</w:t>
      </w:r>
      <w:r w:rsidR="00033D0F">
        <w:rPr>
          <w:spacing w:val="-1"/>
        </w:rPr>
        <w:t xml:space="preserve"> </w:t>
      </w:r>
      <w:r w:rsidR="00033D0F">
        <w:t>it is</w:t>
      </w:r>
      <w:r w:rsidR="00033D0F">
        <w:rPr>
          <w:spacing w:val="28"/>
        </w:rPr>
        <w:t xml:space="preserve"> </w:t>
      </w:r>
      <w:r w:rsidR="00033D0F">
        <w:t>not,</w:t>
      </w:r>
      <w:r w:rsidR="00033D0F">
        <w:rPr>
          <w:spacing w:val="28"/>
        </w:rPr>
        <w:t xml:space="preserve"> </w:t>
      </w:r>
      <w:r w:rsidR="00033D0F">
        <w:t>as</w:t>
      </w:r>
      <w:r w:rsidR="00033D0F">
        <w:rPr>
          <w:spacing w:val="28"/>
        </w:rPr>
        <w:t xml:space="preserve"> </w:t>
      </w:r>
      <w:r w:rsidR="00033D0F">
        <w:t>China</w:t>
      </w:r>
      <w:r w:rsidR="00033D0F">
        <w:rPr>
          <w:spacing w:val="21"/>
        </w:rPr>
        <w:t xml:space="preserve"> </w:t>
      </w:r>
      <w:r w:rsidR="00033D0F">
        <w:t>suggests,</w:t>
      </w:r>
      <w:hyperlink w:anchor="_bookmark1216" w:history="1">
        <w:r w:rsidR="00033D0F">
          <w:rPr>
            <w:vertAlign w:val="superscript"/>
          </w:rPr>
          <w:t>1045</w:t>
        </w:r>
      </w:hyperlink>
      <w:r w:rsidR="00033D0F">
        <w:rPr>
          <w:spacing w:val="27"/>
        </w:rPr>
        <w:t xml:space="preserve"> </w:t>
      </w:r>
      <w:r w:rsidR="00033D0F">
        <w:t>inevitable,</w:t>
      </w:r>
      <w:r w:rsidR="00033D0F">
        <w:rPr>
          <w:spacing w:val="28"/>
        </w:rPr>
        <w:t xml:space="preserve"> </w:t>
      </w:r>
      <w:r w:rsidR="00033D0F">
        <w:t>as</w:t>
      </w:r>
      <w:r w:rsidR="00033D0F">
        <w:rPr>
          <w:spacing w:val="28"/>
        </w:rPr>
        <w:t xml:space="preserve"> </w:t>
      </w:r>
      <w:r w:rsidR="00033D0F">
        <w:t>a</w:t>
      </w:r>
      <w:r w:rsidR="00033D0F">
        <w:rPr>
          <w:spacing w:val="26"/>
        </w:rPr>
        <w:t xml:space="preserve"> </w:t>
      </w:r>
      <w:r w:rsidR="00033D0F">
        <w:t>matter</w:t>
      </w:r>
      <w:r w:rsidR="00033D0F">
        <w:rPr>
          <w:spacing w:val="19"/>
        </w:rPr>
        <w:t xml:space="preserve"> </w:t>
      </w:r>
      <w:r w:rsidR="00033D0F">
        <w:t>of</w:t>
      </w:r>
      <w:r w:rsidR="00033D0F">
        <w:rPr>
          <w:spacing w:val="25"/>
        </w:rPr>
        <w:t xml:space="preserve"> </w:t>
      </w:r>
      <w:r w:rsidR="00033D0F">
        <w:t>either</w:t>
      </w:r>
      <w:r w:rsidR="00033D0F">
        <w:rPr>
          <w:spacing w:val="24"/>
        </w:rPr>
        <w:t xml:space="preserve"> </w:t>
      </w:r>
      <w:r w:rsidR="00033D0F">
        <w:t>practice</w:t>
      </w:r>
      <w:r w:rsidR="00033D0F">
        <w:rPr>
          <w:spacing w:val="26"/>
        </w:rPr>
        <w:t xml:space="preserve"> </w:t>
      </w:r>
      <w:r w:rsidR="00033D0F">
        <w:t>or</w:t>
      </w:r>
      <w:r w:rsidR="00033D0F">
        <w:rPr>
          <w:spacing w:val="24"/>
        </w:rPr>
        <w:t xml:space="preserve"> </w:t>
      </w:r>
      <w:r w:rsidR="00033D0F">
        <w:t>logic,</w:t>
      </w:r>
      <w:r w:rsidR="00033D0F">
        <w:rPr>
          <w:spacing w:val="28"/>
        </w:rPr>
        <w:t xml:space="preserve"> </w:t>
      </w:r>
      <w:r w:rsidR="00033D0F">
        <w:t>that</w:t>
      </w:r>
      <w:r w:rsidR="00033D0F">
        <w:rPr>
          <w:spacing w:val="27"/>
        </w:rPr>
        <w:t xml:space="preserve"> </w:t>
      </w:r>
      <w:r w:rsidR="00033D0F">
        <w:t>a</w:t>
      </w:r>
      <w:r w:rsidR="00033D0F">
        <w:rPr>
          <w:spacing w:val="26"/>
        </w:rPr>
        <w:t xml:space="preserve"> </w:t>
      </w:r>
      <w:r w:rsidR="00033D0F">
        <w:t>high</w:t>
      </w:r>
    </w:p>
    <w:p w14:paraId="49F10AE9" w14:textId="76297071" w:rsidR="00BD462C" w:rsidRDefault="007E218F">
      <w:pPr>
        <w:pStyle w:val="BodyText"/>
        <w:rPr>
          <w:sz w:val="20"/>
        </w:rPr>
      </w:pPr>
      <w:r>
        <w:rPr>
          <w:noProof/>
        </w:rPr>
        <mc:AlternateContent>
          <mc:Choice Requires="wps">
            <w:drawing>
              <wp:anchor distT="0" distB="0" distL="0" distR="0" simplePos="0" relativeHeight="488206848" behindDoc="1" locked="0" layoutInCell="1" allowOverlap="1" wp14:anchorId="5B9897F4" wp14:editId="2ECBA300">
                <wp:simplePos x="0" y="0"/>
                <wp:positionH relativeFrom="page">
                  <wp:posOffset>812800</wp:posOffset>
                </wp:positionH>
                <wp:positionV relativeFrom="paragraph">
                  <wp:posOffset>290195</wp:posOffset>
                </wp:positionV>
                <wp:extent cx="1828800" cy="8890"/>
                <wp:effectExtent l="0" t="0" r="0" b="0"/>
                <wp:wrapTopAndBottom/>
                <wp:docPr id="183" name="docshape6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FE69FE" id="docshape664" o:spid="_x0000_s1026" alt="&quot;&quot;" style="position:absolute;margin-left:64pt;margin-top:22.85pt;width:2in;height:.7pt;z-index:-15109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" fillcolor="black" stroked="f">
                <w10:wrap type="topAndBottom" anchorx="page"/>
              </v:rect>
            </w:pict>
          </mc:Fallback>
        </mc:AlternateContent>
      </w:r>
    </w:p>
    <w:p w14:paraId="3F3C6B21" w14:textId="56A795C4" w:rsidR="00BD462C" w:rsidRDefault="00BD462C">
      <w:pPr>
        <w:pStyle w:val="BodyText"/>
        <w:spacing w:before="4"/>
        <w:rPr>
          <w:sz w:val="17"/>
        </w:rPr>
      </w:pPr>
    </w:p>
    <w:p w14:paraId="0BE6ACB4" w14:textId="77777777" w:rsidR="00BD462C" w:rsidRDefault="00033D0F">
      <w:pPr>
        <w:spacing w:before="112"/>
        <w:ind w:left="135"/>
        <w:jc w:val="both"/>
        <w:rPr>
          <w:sz w:val="18"/>
        </w:rPr>
      </w:pPr>
      <w:bookmarkStart w:id="1409" w:name="_bookmark1213"/>
      <w:bookmarkEnd w:id="1409"/>
      <w:r>
        <w:rPr>
          <w:position w:val="5"/>
          <w:sz w:val="12"/>
        </w:rPr>
        <w:t>1042</w:t>
      </w:r>
      <w:r>
        <w:rPr>
          <w:spacing w:val="15"/>
          <w:position w:val="5"/>
          <w:sz w:val="12"/>
        </w:rPr>
        <w:t xml:space="preserve"> </w:t>
      </w:r>
      <w:r>
        <w:rPr>
          <w:sz w:val="18"/>
        </w:rPr>
        <w:t>Appellate</w:t>
      </w:r>
      <w:r>
        <w:rPr>
          <w:spacing w:val="-9"/>
          <w:sz w:val="18"/>
        </w:rPr>
        <w:t xml:space="preserve"> </w:t>
      </w:r>
      <w:r>
        <w:rPr>
          <w:sz w:val="18"/>
        </w:rPr>
        <w:t>Body</w:t>
      </w:r>
      <w:r>
        <w:rPr>
          <w:spacing w:val="-5"/>
          <w:sz w:val="18"/>
        </w:rPr>
        <w:t xml:space="preserve"> </w:t>
      </w:r>
      <w:r>
        <w:rPr>
          <w:sz w:val="18"/>
        </w:rPr>
        <w:t>Report,</w:t>
      </w:r>
      <w:r>
        <w:rPr>
          <w:spacing w:val="-2"/>
          <w:sz w:val="18"/>
        </w:rPr>
        <w:t xml:space="preserve"> </w:t>
      </w:r>
      <w:r>
        <w:rPr>
          <w:i/>
          <w:sz w:val="18"/>
        </w:rPr>
        <w:t>EC</w:t>
      </w:r>
      <w:r>
        <w:rPr>
          <w:i/>
          <w:spacing w:val="-4"/>
          <w:sz w:val="18"/>
        </w:rPr>
        <w:t xml:space="preserve"> </w:t>
      </w:r>
      <w:r>
        <w:rPr>
          <w:i/>
          <w:sz w:val="18"/>
        </w:rPr>
        <w:t>– Fasteners</w:t>
      </w:r>
      <w:r>
        <w:rPr>
          <w:i/>
          <w:spacing w:val="-3"/>
          <w:sz w:val="18"/>
        </w:rPr>
        <w:t xml:space="preserve"> </w:t>
      </w:r>
      <w:r>
        <w:rPr>
          <w:i/>
          <w:sz w:val="18"/>
        </w:rPr>
        <w:t>(China)</w:t>
      </w:r>
      <w:r>
        <w:rPr>
          <w:sz w:val="18"/>
        </w:rPr>
        <w:t>,</w:t>
      </w:r>
      <w:r>
        <w:rPr>
          <w:spacing w:val="-2"/>
          <w:sz w:val="18"/>
        </w:rPr>
        <w:t xml:space="preserve"> </w:t>
      </w:r>
      <w:r>
        <w:rPr>
          <w:sz w:val="18"/>
        </w:rPr>
        <w:t>para.</w:t>
      </w:r>
      <w:r>
        <w:rPr>
          <w:spacing w:val="2"/>
          <w:sz w:val="18"/>
        </w:rPr>
        <w:t xml:space="preserve"> </w:t>
      </w:r>
      <w:r>
        <w:rPr>
          <w:spacing w:val="-4"/>
          <w:sz w:val="18"/>
        </w:rPr>
        <w:t>588.</w:t>
      </w:r>
    </w:p>
    <w:p w14:paraId="2B7C3575" w14:textId="77777777" w:rsidR="00BD462C" w:rsidRDefault="00033D0F">
      <w:pPr>
        <w:spacing w:before="1"/>
        <w:ind w:left="135" w:right="5951"/>
        <w:jc w:val="both"/>
        <w:rPr>
          <w:sz w:val="18"/>
        </w:rPr>
      </w:pPr>
      <w:bookmarkStart w:id="1410" w:name="_bookmark1214"/>
      <w:bookmarkEnd w:id="1410"/>
      <w:r>
        <w:rPr>
          <w:position w:val="5"/>
          <w:sz w:val="12"/>
        </w:rPr>
        <w:t>1043</w:t>
      </w:r>
      <w:r>
        <w:rPr>
          <w:spacing w:val="11"/>
          <w:position w:val="5"/>
          <w:sz w:val="12"/>
        </w:rPr>
        <w:t xml:space="preserve"> </w:t>
      </w:r>
      <w:r>
        <w:rPr>
          <w:sz w:val="18"/>
        </w:rPr>
        <w:t>Australia's</w:t>
      </w:r>
      <w:r>
        <w:rPr>
          <w:spacing w:val="-7"/>
          <w:sz w:val="18"/>
        </w:rPr>
        <w:t xml:space="preserve"> </w:t>
      </w:r>
      <w:r>
        <w:rPr>
          <w:sz w:val="18"/>
        </w:rPr>
        <w:t>first</w:t>
      </w:r>
      <w:r>
        <w:rPr>
          <w:spacing w:val="-6"/>
          <w:sz w:val="18"/>
        </w:rPr>
        <w:t xml:space="preserve"> </w:t>
      </w:r>
      <w:r>
        <w:rPr>
          <w:sz w:val="18"/>
        </w:rPr>
        <w:t>written</w:t>
      </w:r>
      <w:r>
        <w:rPr>
          <w:spacing w:val="-3"/>
          <w:sz w:val="18"/>
        </w:rPr>
        <w:t xml:space="preserve"> </w:t>
      </w:r>
      <w:r>
        <w:rPr>
          <w:sz w:val="18"/>
        </w:rPr>
        <w:t>submission,</w:t>
      </w:r>
      <w:r>
        <w:rPr>
          <w:spacing w:val="-1"/>
          <w:sz w:val="18"/>
        </w:rPr>
        <w:t xml:space="preserve"> </w:t>
      </w:r>
      <w:r>
        <w:rPr>
          <w:sz w:val="18"/>
        </w:rPr>
        <w:t>paras.</w:t>
      </w:r>
      <w:r>
        <w:rPr>
          <w:spacing w:val="-6"/>
          <w:sz w:val="18"/>
        </w:rPr>
        <w:t xml:space="preserve"> </w:t>
      </w:r>
      <w:r>
        <w:rPr>
          <w:sz w:val="18"/>
        </w:rPr>
        <w:t xml:space="preserve">841-843. </w:t>
      </w:r>
      <w:bookmarkStart w:id="1411" w:name="_bookmark1215"/>
      <w:bookmarkEnd w:id="1411"/>
      <w:r>
        <w:rPr>
          <w:position w:val="5"/>
          <w:sz w:val="12"/>
        </w:rPr>
        <w:t>1044</w:t>
      </w:r>
      <w:r>
        <w:rPr>
          <w:spacing w:val="22"/>
          <w:position w:val="5"/>
          <w:sz w:val="12"/>
        </w:rPr>
        <w:t xml:space="preserve"> </w:t>
      </w:r>
      <w:r>
        <w:rPr>
          <w:sz w:val="18"/>
        </w:rPr>
        <w:t xml:space="preserve">China's first written submission, paras. 2261-2264. </w:t>
      </w:r>
      <w:bookmarkStart w:id="1412" w:name="_bookmark1216"/>
      <w:bookmarkEnd w:id="1412"/>
      <w:r>
        <w:rPr>
          <w:position w:val="5"/>
          <w:sz w:val="12"/>
        </w:rPr>
        <w:t>1045</w:t>
      </w:r>
      <w:r>
        <w:rPr>
          <w:spacing w:val="40"/>
          <w:position w:val="5"/>
          <w:sz w:val="12"/>
        </w:rPr>
        <w:t xml:space="preserve"> </w:t>
      </w:r>
      <w:r>
        <w:rPr>
          <w:sz w:val="18"/>
        </w:rPr>
        <w:t>China's first written submission, para. 2262.</w:t>
      </w:r>
    </w:p>
    <w:p w14:paraId="571B8898" w14:textId="77777777" w:rsidR="00BD462C" w:rsidRDefault="00BD462C">
      <w:pPr>
        <w:jc w:val="both"/>
        <w:rPr>
          <w:sz w:val="18"/>
        </w:rPr>
        <w:sectPr w:rsidR="00BD462C">
          <w:pgSz w:w="11910" w:h="16840"/>
          <w:pgMar w:top="860" w:right="500" w:bottom="780" w:left="1280" w:header="566" w:footer="590" w:gutter="0"/>
          <w:cols w:space="720"/>
        </w:sectPr>
      </w:pPr>
    </w:p>
    <w:p w14:paraId="565406CF"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70961A00"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497053EE"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7550BAE2" w14:textId="77777777" w:rsidR="00BD462C" w:rsidRDefault="00033D0F">
      <w:pPr>
        <w:pStyle w:val="BodyText"/>
        <w:spacing w:before="102" w:line="360" w:lineRule="auto"/>
        <w:ind w:left="135" w:right="912"/>
        <w:jc w:val="both"/>
      </w:pPr>
      <w:r>
        <w:t>degree of granular detail would always require the disclosure of confidential information. However, even if such disclosure was required, then Article 6.5.1 provides the solution. Such a situation would fall within the "exceptional circumstances" contemplated in the last two sentences of Article 6.5.1, which provide as follows: "[i]n exceptional circumstances, such parties</w:t>
      </w:r>
      <w:r>
        <w:rPr>
          <w:spacing w:val="-2"/>
        </w:rPr>
        <w:t xml:space="preserve"> </w:t>
      </w:r>
      <w:r>
        <w:t>may</w:t>
      </w:r>
      <w:r>
        <w:rPr>
          <w:spacing w:val="-7"/>
        </w:rPr>
        <w:t xml:space="preserve"> </w:t>
      </w:r>
      <w:r>
        <w:t>indicate</w:t>
      </w:r>
      <w:r>
        <w:rPr>
          <w:spacing w:val="-8"/>
        </w:rPr>
        <w:t xml:space="preserve"> </w:t>
      </w:r>
      <w:r>
        <w:t>that</w:t>
      </w:r>
      <w:r>
        <w:rPr>
          <w:spacing w:val="-3"/>
        </w:rPr>
        <w:t xml:space="preserve"> </w:t>
      </w:r>
      <w:r>
        <w:t>such</w:t>
      </w:r>
      <w:r>
        <w:rPr>
          <w:spacing w:val="-5"/>
        </w:rPr>
        <w:t xml:space="preserve"> </w:t>
      </w:r>
      <w:r>
        <w:t>information</w:t>
      </w:r>
      <w:r>
        <w:rPr>
          <w:spacing w:val="-5"/>
        </w:rPr>
        <w:t xml:space="preserve"> </w:t>
      </w:r>
      <w:r>
        <w:t>is</w:t>
      </w:r>
      <w:r>
        <w:rPr>
          <w:spacing w:val="-2"/>
        </w:rPr>
        <w:t xml:space="preserve"> </w:t>
      </w:r>
      <w:r>
        <w:t>not</w:t>
      </w:r>
      <w:r>
        <w:rPr>
          <w:spacing w:val="-3"/>
        </w:rPr>
        <w:t xml:space="preserve"> </w:t>
      </w:r>
      <w:r>
        <w:t>susceptible</w:t>
      </w:r>
      <w:r>
        <w:rPr>
          <w:spacing w:val="-3"/>
        </w:rPr>
        <w:t xml:space="preserve"> </w:t>
      </w:r>
      <w:r>
        <w:t>of</w:t>
      </w:r>
      <w:r>
        <w:rPr>
          <w:spacing w:val="-5"/>
        </w:rPr>
        <w:t xml:space="preserve"> </w:t>
      </w:r>
      <w:r>
        <w:t>summary.</w:t>
      </w:r>
      <w:r>
        <w:rPr>
          <w:spacing w:val="-7"/>
        </w:rPr>
        <w:t xml:space="preserve"> </w:t>
      </w:r>
      <w:r>
        <w:t>In</w:t>
      </w:r>
      <w:r>
        <w:rPr>
          <w:spacing w:val="-5"/>
        </w:rPr>
        <w:t xml:space="preserve"> </w:t>
      </w:r>
      <w:r>
        <w:t>such</w:t>
      </w:r>
      <w:r>
        <w:rPr>
          <w:spacing w:val="-5"/>
        </w:rPr>
        <w:t xml:space="preserve"> </w:t>
      </w:r>
      <w:r>
        <w:t xml:space="preserve">exceptional circumstances, a statement of the reasons why summarization is not possible must be </w:t>
      </w:r>
      <w:r>
        <w:rPr>
          <w:spacing w:val="-2"/>
        </w:rPr>
        <w:t>provided".</w:t>
      </w:r>
      <w:hyperlink w:anchor="_bookmark1217" w:history="1">
        <w:r>
          <w:rPr>
            <w:spacing w:val="-2"/>
            <w:vertAlign w:val="superscript"/>
          </w:rPr>
          <w:t>1046</w:t>
        </w:r>
      </w:hyperlink>
    </w:p>
    <w:p w14:paraId="351E5FBF" w14:textId="77777777" w:rsidR="00BD462C" w:rsidRDefault="00BD462C">
      <w:pPr>
        <w:pStyle w:val="BodyText"/>
        <w:spacing w:before="10"/>
        <w:rPr>
          <w:sz w:val="8"/>
        </w:rPr>
      </w:pPr>
    </w:p>
    <w:p w14:paraId="694BEEBD" w14:textId="2AF59C4C" w:rsidR="00BD462C" w:rsidRDefault="00AE61C7">
      <w:pPr>
        <w:pStyle w:val="BodyText"/>
        <w:spacing w:before="56" w:line="357" w:lineRule="auto"/>
        <w:ind w:left="135" w:right="916"/>
        <w:jc w:val="both"/>
      </w:pPr>
      <w:r>
        <w:rPr>
          <w:noProof/>
        </w:rPr>
        <w:t>669.</w:t>
      </w:r>
      <w:r w:rsidR="00033D0F">
        <w:rPr>
          <w:rFonts w:ascii="Times New Roman"/>
          <w:spacing w:val="80"/>
          <w:position w:val="1"/>
          <w:sz w:val="20"/>
        </w:rPr>
        <w:t xml:space="preserve">  </w:t>
      </w:r>
      <w:r w:rsidR="00033D0F">
        <w:rPr>
          <w:position w:val="1"/>
        </w:rPr>
        <w:t>Accordingly, contrary</w:t>
      </w:r>
      <w:r w:rsidR="00033D0F">
        <w:rPr>
          <w:spacing w:val="-1"/>
          <w:position w:val="1"/>
        </w:rPr>
        <w:t xml:space="preserve"> </w:t>
      </w:r>
      <w:r w:rsidR="00033D0F">
        <w:rPr>
          <w:position w:val="1"/>
        </w:rPr>
        <w:t>to</w:t>
      </w:r>
      <w:r w:rsidR="00033D0F">
        <w:rPr>
          <w:spacing w:val="-5"/>
          <w:position w:val="1"/>
        </w:rPr>
        <w:t xml:space="preserve"> </w:t>
      </w:r>
      <w:r w:rsidR="00033D0F">
        <w:rPr>
          <w:position w:val="1"/>
        </w:rPr>
        <w:t>China's</w:t>
      </w:r>
      <w:r w:rsidR="00033D0F">
        <w:rPr>
          <w:spacing w:val="-1"/>
          <w:position w:val="1"/>
        </w:rPr>
        <w:t xml:space="preserve"> </w:t>
      </w:r>
      <w:r w:rsidR="00033D0F">
        <w:rPr>
          <w:position w:val="1"/>
        </w:rPr>
        <w:t>submissions, there</w:t>
      </w:r>
      <w:r w:rsidR="00033D0F">
        <w:rPr>
          <w:spacing w:val="-2"/>
          <w:position w:val="1"/>
        </w:rPr>
        <w:t xml:space="preserve"> </w:t>
      </w:r>
      <w:r w:rsidR="00033D0F">
        <w:rPr>
          <w:position w:val="1"/>
        </w:rPr>
        <w:t>is</w:t>
      </w:r>
      <w:r w:rsidR="00033D0F">
        <w:rPr>
          <w:spacing w:val="-1"/>
          <w:position w:val="1"/>
        </w:rPr>
        <w:t xml:space="preserve"> </w:t>
      </w:r>
      <w:r w:rsidR="00033D0F">
        <w:rPr>
          <w:position w:val="1"/>
        </w:rPr>
        <w:t>no</w:t>
      </w:r>
      <w:r w:rsidR="00033D0F">
        <w:rPr>
          <w:spacing w:val="-5"/>
          <w:position w:val="1"/>
        </w:rPr>
        <w:t xml:space="preserve"> </w:t>
      </w:r>
      <w:r w:rsidR="00033D0F">
        <w:rPr>
          <w:position w:val="1"/>
        </w:rPr>
        <w:t>basis</w:t>
      </w:r>
      <w:r w:rsidR="00033D0F">
        <w:rPr>
          <w:spacing w:val="-1"/>
          <w:position w:val="1"/>
        </w:rPr>
        <w:t xml:space="preserve"> </w:t>
      </w:r>
      <w:r w:rsidR="00033D0F">
        <w:rPr>
          <w:position w:val="1"/>
        </w:rPr>
        <w:t>to</w:t>
      </w:r>
      <w:r w:rsidR="00033D0F">
        <w:rPr>
          <w:spacing w:val="-5"/>
          <w:position w:val="1"/>
        </w:rPr>
        <w:t xml:space="preserve"> </w:t>
      </w:r>
      <w:r w:rsidR="00033D0F">
        <w:rPr>
          <w:position w:val="1"/>
        </w:rPr>
        <w:t>treat</w:t>
      </w:r>
      <w:r w:rsidR="00033D0F">
        <w:rPr>
          <w:spacing w:val="-2"/>
          <w:position w:val="1"/>
        </w:rPr>
        <w:t xml:space="preserve"> </w:t>
      </w:r>
      <w:r w:rsidR="00033D0F">
        <w:rPr>
          <w:position w:val="1"/>
        </w:rPr>
        <w:t>the</w:t>
      </w:r>
      <w:r w:rsidR="00033D0F">
        <w:rPr>
          <w:spacing w:val="-3"/>
          <w:position w:val="1"/>
        </w:rPr>
        <w:t xml:space="preserve"> </w:t>
      </w:r>
      <w:proofErr w:type="spellStart"/>
      <w:r w:rsidR="00033D0F">
        <w:rPr>
          <w:position w:val="1"/>
        </w:rPr>
        <w:t>spectre</w:t>
      </w:r>
      <w:proofErr w:type="spellEnd"/>
      <w:r w:rsidR="00033D0F">
        <w:rPr>
          <w:spacing w:val="-2"/>
          <w:position w:val="1"/>
        </w:rPr>
        <w:t xml:space="preserve"> </w:t>
      </w:r>
      <w:r w:rsidR="00033D0F">
        <w:rPr>
          <w:position w:val="1"/>
        </w:rPr>
        <w:t xml:space="preserve">of </w:t>
      </w:r>
      <w:r w:rsidR="00033D0F">
        <w:t>such a hypothetical situation occurring as a "systemic issue" that should artificially limit the requirement for non-confidential summaries to be provided in "sufficient detail".</w:t>
      </w:r>
    </w:p>
    <w:p w14:paraId="2112A606" w14:textId="77777777" w:rsidR="00BD462C" w:rsidRDefault="00BD462C">
      <w:pPr>
        <w:pStyle w:val="BodyText"/>
        <w:spacing w:before="3"/>
        <w:rPr>
          <w:sz w:val="9"/>
        </w:rPr>
      </w:pPr>
    </w:p>
    <w:p w14:paraId="6377F417" w14:textId="507EBBD6" w:rsidR="00BD462C" w:rsidRDefault="00283265">
      <w:pPr>
        <w:pStyle w:val="BodyText"/>
        <w:spacing w:before="56" w:line="360" w:lineRule="auto"/>
        <w:ind w:left="135" w:right="912"/>
        <w:jc w:val="both"/>
      </w:pPr>
      <w:r>
        <w:rPr>
          <w:noProof/>
        </w:rPr>
        <w:t>670.</w:t>
      </w:r>
      <w:r w:rsidR="00033D0F">
        <w:rPr>
          <w:rFonts w:ascii="Times New Roman" w:hAnsi="Times New Roman"/>
          <w:spacing w:val="80"/>
          <w:position w:val="1"/>
          <w:sz w:val="20"/>
        </w:rPr>
        <w:t xml:space="preserve">  </w:t>
      </w:r>
      <w:r w:rsidR="00033D0F">
        <w:rPr>
          <w:position w:val="1"/>
        </w:rPr>
        <w:t xml:space="preserve">China's submissions also contain several paragraphs on what it considers to be the </w:t>
      </w:r>
      <w:r w:rsidR="00033D0F">
        <w:t>limits</w:t>
      </w:r>
      <w:r w:rsidR="00033D0F">
        <w:rPr>
          <w:spacing w:val="-1"/>
        </w:rPr>
        <w:t xml:space="preserve"> </w:t>
      </w:r>
      <w:r w:rsidR="00033D0F">
        <w:t>on</w:t>
      </w:r>
      <w:r w:rsidR="00033D0F">
        <w:rPr>
          <w:spacing w:val="-4"/>
        </w:rPr>
        <w:t xml:space="preserve"> </w:t>
      </w:r>
      <w:r w:rsidR="00033D0F">
        <w:t>a</w:t>
      </w:r>
      <w:r w:rsidR="00033D0F">
        <w:rPr>
          <w:spacing w:val="-3"/>
        </w:rPr>
        <w:t xml:space="preserve"> </w:t>
      </w:r>
      <w:r w:rsidR="00033D0F">
        <w:t>panel's</w:t>
      </w:r>
      <w:r w:rsidR="00033D0F">
        <w:rPr>
          <w:spacing w:val="-1"/>
        </w:rPr>
        <w:t xml:space="preserve"> </w:t>
      </w:r>
      <w:r w:rsidR="00033D0F">
        <w:t>power</w:t>
      </w:r>
      <w:r w:rsidR="00033D0F">
        <w:rPr>
          <w:spacing w:val="-5"/>
        </w:rPr>
        <w:t xml:space="preserve"> </w:t>
      </w:r>
      <w:r w:rsidR="00033D0F">
        <w:t>to review</w:t>
      </w:r>
      <w:r w:rsidR="00033D0F">
        <w:rPr>
          <w:spacing w:val="-2"/>
        </w:rPr>
        <w:t xml:space="preserve"> </w:t>
      </w:r>
      <w:r w:rsidR="00033D0F">
        <w:t>an</w:t>
      </w:r>
      <w:r w:rsidR="00033D0F">
        <w:rPr>
          <w:spacing w:val="-4"/>
        </w:rPr>
        <w:t xml:space="preserve"> </w:t>
      </w:r>
      <w:r w:rsidR="00033D0F">
        <w:t>investigating</w:t>
      </w:r>
      <w:r w:rsidR="00033D0F">
        <w:rPr>
          <w:spacing w:val="-1"/>
        </w:rPr>
        <w:t xml:space="preserve"> </w:t>
      </w:r>
      <w:r w:rsidR="00033D0F">
        <w:t>authority's</w:t>
      </w:r>
      <w:r w:rsidR="00033D0F">
        <w:rPr>
          <w:spacing w:val="-1"/>
        </w:rPr>
        <w:t xml:space="preserve"> </w:t>
      </w:r>
      <w:r w:rsidR="00033D0F">
        <w:t>assessment</w:t>
      </w:r>
      <w:r w:rsidR="00033D0F">
        <w:rPr>
          <w:spacing w:val="-2"/>
        </w:rPr>
        <w:t xml:space="preserve"> </w:t>
      </w:r>
      <w:r w:rsidR="00033D0F">
        <w:t>of</w:t>
      </w:r>
      <w:r w:rsidR="00033D0F">
        <w:rPr>
          <w:spacing w:val="-4"/>
        </w:rPr>
        <w:t xml:space="preserve"> </w:t>
      </w:r>
      <w:r w:rsidR="00033D0F">
        <w:t>the</w:t>
      </w:r>
      <w:r w:rsidR="00033D0F">
        <w:rPr>
          <w:spacing w:val="-3"/>
        </w:rPr>
        <w:t xml:space="preserve"> </w:t>
      </w:r>
      <w:r w:rsidR="00033D0F">
        <w:t>reasons</w:t>
      </w:r>
      <w:r w:rsidR="00033D0F">
        <w:rPr>
          <w:spacing w:val="-1"/>
        </w:rPr>
        <w:t xml:space="preserve"> </w:t>
      </w:r>
      <w:r w:rsidR="00033D0F">
        <w:t xml:space="preserve">for the impossibility of </w:t>
      </w:r>
      <w:proofErr w:type="spellStart"/>
      <w:r w:rsidR="00033D0F">
        <w:t>summarisation</w:t>
      </w:r>
      <w:proofErr w:type="spellEnd"/>
      <w:r w:rsidR="00033D0F">
        <w:t xml:space="preserve"> of confidential information.</w:t>
      </w:r>
      <w:hyperlink w:anchor="_bookmark1218" w:history="1">
        <w:r w:rsidR="00033D0F">
          <w:rPr>
            <w:vertAlign w:val="superscript"/>
          </w:rPr>
          <w:t>1047</w:t>
        </w:r>
      </w:hyperlink>
      <w:r w:rsidR="00033D0F">
        <w:t xml:space="preserve"> In Australia's submission, this issue does not arise in the present dispute, as there is no evidence on the record of any interested party having claimed that the confidential information they submitted was not susceptible of summary. Article 6.5.1 is clear that such a claim must be accompanied by a "statement</w:t>
      </w:r>
      <w:r w:rsidR="00033D0F">
        <w:rPr>
          <w:spacing w:val="-7"/>
        </w:rPr>
        <w:t xml:space="preserve"> </w:t>
      </w:r>
      <w:r w:rsidR="00033D0F">
        <w:t>of</w:t>
      </w:r>
      <w:r w:rsidR="00033D0F">
        <w:rPr>
          <w:spacing w:val="-9"/>
        </w:rPr>
        <w:t xml:space="preserve"> </w:t>
      </w:r>
      <w:r w:rsidR="00033D0F">
        <w:t>reasons",</w:t>
      </w:r>
      <w:r w:rsidR="00033D0F">
        <w:rPr>
          <w:spacing w:val="-5"/>
        </w:rPr>
        <w:t xml:space="preserve"> </w:t>
      </w:r>
      <w:r w:rsidR="00033D0F">
        <w:t>meaning</w:t>
      </w:r>
      <w:r w:rsidR="00033D0F">
        <w:rPr>
          <w:spacing w:val="-6"/>
        </w:rPr>
        <w:t xml:space="preserve"> </w:t>
      </w:r>
      <w:r w:rsidR="00033D0F">
        <w:t>there</w:t>
      </w:r>
      <w:r w:rsidR="00033D0F">
        <w:rPr>
          <w:spacing w:val="-7"/>
        </w:rPr>
        <w:t xml:space="preserve"> </w:t>
      </w:r>
      <w:r w:rsidR="00033D0F">
        <w:t>is</w:t>
      </w:r>
      <w:r w:rsidR="00033D0F">
        <w:rPr>
          <w:spacing w:val="-6"/>
        </w:rPr>
        <w:t xml:space="preserve"> </w:t>
      </w:r>
      <w:r w:rsidR="00033D0F">
        <w:t>no</w:t>
      </w:r>
      <w:r w:rsidR="00033D0F">
        <w:rPr>
          <w:spacing w:val="-10"/>
        </w:rPr>
        <w:t xml:space="preserve"> </w:t>
      </w:r>
      <w:r w:rsidR="00033D0F">
        <w:t>scope</w:t>
      </w:r>
      <w:r w:rsidR="00033D0F">
        <w:rPr>
          <w:spacing w:val="-7"/>
        </w:rPr>
        <w:t xml:space="preserve"> </w:t>
      </w:r>
      <w:r w:rsidR="00033D0F">
        <w:t>for</w:t>
      </w:r>
      <w:r w:rsidR="00033D0F">
        <w:rPr>
          <w:spacing w:val="-5"/>
        </w:rPr>
        <w:t xml:space="preserve"> </w:t>
      </w:r>
      <w:r w:rsidR="00033D0F">
        <w:t>such</w:t>
      </w:r>
      <w:r w:rsidR="00033D0F">
        <w:rPr>
          <w:spacing w:val="-9"/>
        </w:rPr>
        <w:t xml:space="preserve"> </w:t>
      </w:r>
      <w:r w:rsidR="00033D0F">
        <w:t>claims</w:t>
      </w:r>
      <w:r w:rsidR="00033D0F">
        <w:rPr>
          <w:spacing w:val="-6"/>
        </w:rPr>
        <w:t xml:space="preserve"> </w:t>
      </w:r>
      <w:r w:rsidR="00033D0F">
        <w:t>to</w:t>
      </w:r>
      <w:r w:rsidR="00033D0F">
        <w:rPr>
          <w:spacing w:val="-10"/>
        </w:rPr>
        <w:t xml:space="preserve"> </w:t>
      </w:r>
      <w:r w:rsidR="00033D0F">
        <w:t>be</w:t>
      </w:r>
      <w:r w:rsidR="00033D0F">
        <w:rPr>
          <w:spacing w:val="-7"/>
        </w:rPr>
        <w:t xml:space="preserve"> </w:t>
      </w:r>
      <w:r w:rsidR="00033D0F">
        <w:t>made</w:t>
      </w:r>
      <w:r w:rsidR="00033D0F">
        <w:rPr>
          <w:spacing w:val="-7"/>
        </w:rPr>
        <w:t xml:space="preserve"> </w:t>
      </w:r>
      <w:r w:rsidR="00033D0F">
        <w:t>by</w:t>
      </w:r>
      <w:r w:rsidR="00033D0F">
        <w:rPr>
          <w:spacing w:val="-6"/>
        </w:rPr>
        <w:t xml:space="preserve"> </w:t>
      </w:r>
      <w:r w:rsidR="00033D0F">
        <w:t>inference</w:t>
      </w:r>
      <w:r w:rsidR="00033D0F">
        <w:rPr>
          <w:spacing w:val="-2"/>
        </w:rPr>
        <w:t xml:space="preserve"> </w:t>
      </w:r>
      <w:r w:rsidR="00033D0F">
        <w:t>or implication.</w:t>
      </w:r>
      <w:hyperlink w:anchor="_bookmark1219" w:history="1">
        <w:r w:rsidR="00033D0F">
          <w:rPr>
            <w:vertAlign w:val="superscript"/>
          </w:rPr>
          <w:t>1048</w:t>
        </w:r>
      </w:hyperlink>
      <w:r w:rsidR="00033D0F">
        <w:t xml:space="preserve"> The Appellate Body confirmed in </w:t>
      </w:r>
      <w:r w:rsidR="00033D0F">
        <w:rPr>
          <w:i/>
        </w:rPr>
        <w:t xml:space="preserve">EC – Fasteners (China) </w:t>
      </w:r>
      <w:r w:rsidR="00033D0F">
        <w:t>that an investigating authority's preparedness to infer such a claim from an assertion that information was by nature confidential was inconsistent with the obligations in Article 6.5.1.</w:t>
      </w:r>
    </w:p>
    <w:p w14:paraId="0BDC143D" w14:textId="77777777" w:rsidR="00BD462C" w:rsidRDefault="00BD462C">
      <w:pPr>
        <w:pStyle w:val="BodyText"/>
        <w:spacing w:before="7"/>
        <w:rPr>
          <w:sz w:val="8"/>
        </w:rPr>
      </w:pPr>
    </w:p>
    <w:p w14:paraId="150121A2" w14:textId="1CAE8106" w:rsidR="00BD462C" w:rsidRDefault="00283265">
      <w:pPr>
        <w:pStyle w:val="BodyText"/>
        <w:spacing w:before="56" w:line="357" w:lineRule="auto"/>
        <w:ind w:left="135" w:right="917"/>
        <w:jc w:val="both"/>
      </w:pPr>
      <w:r>
        <w:rPr>
          <w:noProof/>
        </w:rPr>
        <w:t>671.</w:t>
      </w:r>
      <w:r w:rsidR="00033D0F">
        <w:rPr>
          <w:rFonts w:ascii="Times New Roman"/>
          <w:spacing w:val="80"/>
          <w:w w:val="150"/>
          <w:position w:val="1"/>
          <w:sz w:val="20"/>
        </w:rPr>
        <w:t xml:space="preserve"> </w:t>
      </w:r>
      <w:r w:rsidR="00033D0F">
        <w:rPr>
          <w:position w:val="1"/>
        </w:rPr>
        <w:t xml:space="preserve">Nonetheless, even if the Panel were to entertain the inference that "exceptional </w:t>
      </w:r>
      <w:r w:rsidR="00033D0F">
        <w:t>circumstances"</w:t>
      </w:r>
      <w:r w:rsidR="00033D0F">
        <w:rPr>
          <w:spacing w:val="-6"/>
        </w:rPr>
        <w:t xml:space="preserve"> </w:t>
      </w:r>
      <w:r w:rsidR="00033D0F">
        <w:t>did</w:t>
      </w:r>
      <w:r w:rsidR="00033D0F">
        <w:rPr>
          <w:spacing w:val="-8"/>
        </w:rPr>
        <w:t xml:space="preserve"> </w:t>
      </w:r>
      <w:r w:rsidR="00033D0F">
        <w:t>arise</w:t>
      </w:r>
      <w:r w:rsidR="00033D0F">
        <w:rPr>
          <w:spacing w:val="-5"/>
        </w:rPr>
        <w:t xml:space="preserve"> </w:t>
      </w:r>
      <w:r w:rsidR="00033D0F">
        <w:t>in</w:t>
      </w:r>
      <w:r w:rsidR="00033D0F">
        <w:rPr>
          <w:spacing w:val="-2"/>
        </w:rPr>
        <w:t xml:space="preserve"> </w:t>
      </w:r>
      <w:r w:rsidR="00033D0F">
        <w:t>this</w:t>
      </w:r>
      <w:r w:rsidR="00033D0F">
        <w:rPr>
          <w:spacing w:val="-4"/>
        </w:rPr>
        <w:t xml:space="preserve"> </w:t>
      </w:r>
      <w:r w:rsidR="00033D0F">
        <w:t>matter,</w:t>
      </w:r>
      <w:r w:rsidR="00033D0F">
        <w:rPr>
          <w:spacing w:val="-3"/>
        </w:rPr>
        <w:t xml:space="preserve"> </w:t>
      </w:r>
      <w:r w:rsidR="00033D0F">
        <w:t>then</w:t>
      </w:r>
      <w:r w:rsidR="00033D0F">
        <w:rPr>
          <w:spacing w:val="-8"/>
        </w:rPr>
        <w:t xml:space="preserve"> </w:t>
      </w:r>
      <w:r w:rsidR="00033D0F">
        <w:t>Australia</w:t>
      </w:r>
      <w:r w:rsidR="00033D0F">
        <w:rPr>
          <w:spacing w:val="-6"/>
        </w:rPr>
        <w:t xml:space="preserve"> </w:t>
      </w:r>
      <w:r w:rsidR="00033D0F">
        <w:t>disagrees</w:t>
      </w:r>
      <w:r w:rsidR="00033D0F">
        <w:rPr>
          <w:spacing w:val="-4"/>
        </w:rPr>
        <w:t xml:space="preserve"> </w:t>
      </w:r>
      <w:r w:rsidR="00033D0F">
        <w:t>with</w:t>
      </w:r>
      <w:r w:rsidR="00033D0F">
        <w:rPr>
          <w:spacing w:val="-8"/>
        </w:rPr>
        <w:t xml:space="preserve"> </w:t>
      </w:r>
      <w:r w:rsidR="00033D0F">
        <w:t>China's</w:t>
      </w:r>
      <w:r w:rsidR="00033D0F">
        <w:rPr>
          <w:spacing w:val="-4"/>
        </w:rPr>
        <w:t xml:space="preserve"> </w:t>
      </w:r>
      <w:r w:rsidR="00033D0F">
        <w:t>assertions</w:t>
      </w:r>
      <w:r w:rsidR="00033D0F">
        <w:rPr>
          <w:spacing w:val="-4"/>
        </w:rPr>
        <w:t xml:space="preserve"> </w:t>
      </w:r>
      <w:r w:rsidR="00033D0F">
        <w:t>that</w:t>
      </w:r>
      <w:r w:rsidR="00033D0F">
        <w:rPr>
          <w:spacing w:val="-5"/>
        </w:rPr>
        <w:t xml:space="preserve"> </w:t>
      </w:r>
      <w:r w:rsidR="00033D0F">
        <w:t>a panel</w:t>
      </w:r>
      <w:r w:rsidR="00033D0F">
        <w:rPr>
          <w:spacing w:val="-5"/>
        </w:rPr>
        <w:t xml:space="preserve"> </w:t>
      </w:r>
      <w:r w:rsidR="00033D0F">
        <w:t>has</w:t>
      </w:r>
      <w:r w:rsidR="00033D0F">
        <w:rPr>
          <w:spacing w:val="-6"/>
        </w:rPr>
        <w:t xml:space="preserve"> </w:t>
      </w:r>
      <w:r w:rsidR="00033D0F">
        <w:t>no</w:t>
      </w:r>
      <w:r w:rsidR="00033D0F">
        <w:rPr>
          <w:spacing w:val="-5"/>
        </w:rPr>
        <w:t xml:space="preserve"> </w:t>
      </w:r>
      <w:r w:rsidR="00033D0F">
        <w:t>power</w:t>
      </w:r>
      <w:r w:rsidR="00033D0F">
        <w:rPr>
          <w:spacing w:val="-5"/>
        </w:rPr>
        <w:t xml:space="preserve"> </w:t>
      </w:r>
      <w:r w:rsidR="00033D0F">
        <w:t>to</w:t>
      </w:r>
      <w:r w:rsidR="00033D0F">
        <w:rPr>
          <w:spacing w:val="-10"/>
        </w:rPr>
        <w:t xml:space="preserve"> </w:t>
      </w:r>
      <w:r w:rsidR="00033D0F">
        <w:t>examine</w:t>
      </w:r>
      <w:r w:rsidR="00033D0F">
        <w:rPr>
          <w:spacing w:val="-7"/>
        </w:rPr>
        <w:t xml:space="preserve"> </w:t>
      </w:r>
      <w:r w:rsidR="00033D0F">
        <w:t>MOFCOM's</w:t>
      </w:r>
      <w:r w:rsidR="00033D0F">
        <w:rPr>
          <w:spacing w:val="-6"/>
        </w:rPr>
        <w:t xml:space="preserve"> </w:t>
      </w:r>
      <w:r w:rsidR="00033D0F">
        <w:t>assessment</w:t>
      </w:r>
      <w:r w:rsidR="00033D0F">
        <w:rPr>
          <w:spacing w:val="-7"/>
        </w:rPr>
        <w:t xml:space="preserve"> </w:t>
      </w:r>
      <w:r w:rsidR="00033D0F">
        <w:t>of</w:t>
      </w:r>
      <w:r w:rsidR="00033D0F">
        <w:rPr>
          <w:spacing w:val="-4"/>
        </w:rPr>
        <w:t xml:space="preserve"> </w:t>
      </w:r>
      <w:r w:rsidR="00033D0F">
        <w:t>the</w:t>
      </w:r>
      <w:r w:rsidR="00033D0F">
        <w:rPr>
          <w:spacing w:val="-2"/>
        </w:rPr>
        <w:t xml:space="preserve"> </w:t>
      </w:r>
      <w:r w:rsidR="00033D0F">
        <w:t>reasons</w:t>
      </w:r>
      <w:r w:rsidR="00033D0F">
        <w:rPr>
          <w:spacing w:val="-6"/>
        </w:rPr>
        <w:t xml:space="preserve"> </w:t>
      </w:r>
      <w:r w:rsidR="00033D0F">
        <w:t>for</w:t>
      </w:r>
      <w:r w:rsidR="00033D0F">
        <w:rPr>
          <w:spacing w:val="-5"/>
        </w:rPr>
        <w:t xml:space="preserve"> </w:t>
      </w:r>
      <w:r w:rsidR="00033D0F">
        <w:t>the</w:t>
      </w:r>
      <w:r w:rsidR="00033D0F">
        <w:rPr>
          <w:spacing w:val="-7"/>
        </w:rPr>
        <w:t xml:space="preserve"> </w:t>
      </w:r>
      <w:r w:rsidR="00033D0F">
        <w:t>impossibility</w:t>
      </w:r>
      <w:r w:rsidR="00033D0F">
        <w:rPr>
          <w:spacing w:val="-6"/>
        </w:rPr>
        <w:t xml:space="preserve"> </w:t>
      </w:r>
      <w:r w:rsidR="00033D0F">
        <w:t xml:space="preserve">of </w:t>
      </w:r>
      <w:proofErr w:type="spellStart"/>
      <w:r w:rsidR="00033D0F">
        <w:t>summarisation</w:t>
      </w:r>
      <w:proofErr w:type="spellEnd"/>
      <w:r w:rsidR="00033D0F">
        <w:t xml:space="preserve"> of confidential information and that a panel "has no role to play, other than</w:t>
      </w:r>
    </w:p>
    <w:p w14:paraId="6774038A" w14:textId="77777777" w:rsidR="00BD462C" w:rsidRDefault="00BD462C">
      <w:pPr>
        <w:pStyle w:val="BodyText"/>
        <w:rPr>
          <w:sz w:val="20"/>
        </w:rPr>
      </w:pPr>
    </w:p>
    <w:p w14:paraId="68B8AE1B" w14:textId="77777777" w:rsidR="00BD462C" w:rsidRDefault="00BD462C">
      <w:pPr>
        <w:pStyle w:val="BodyText"/>
        <w:rPr>
          <w:sz w:val="20"/>
        </w:rPr>
      </w:pPr>
    </w:p>
    <w:p w14:paraId="0FFC2E02" w14:textId="088A2251" w:rsidR="00BD462C" w:rsidRDefault="007E218F">
      <w:pPr>
        <w:pStyle w:val="BodyText"/>
        <w:spacing w:before="5"/>
      </w:pPr>
      <w:r>
        <w:rPr>
          <w:noProof/>
        </w:rPr>
        <mc:AlternateContent>
          <mc:Choice Requires="wps">
            <w:drawing>
              <wp:anchor distT="0" distB="0" distL="0" distR="0" simplePos="0" relativeHeight="488208896" behindDoc="1" locked="0" layoutInCell="1" allowOverlap="1" wp14:anchorId="365333E6" wp14:editId="30FADA6B">
                <wp:simplePos x="0" y="0"/>
                <wp:positionH relativeFrom="page">
                  <wp:posOffset>812800</wp:posOffset>
                </wp:positionH>
                <wp:positionV relativeFrom="paragraph">
                  <wp:posOffset>190500</wp:posOffset>
                </wp:positionV>
                <wp:extent cx="1828800" cy="8890"/>
                <wp:effectExtent l="0" t="0" r="0" b="0"/>
                <wp:wrapTopAndBottom/>
                <wp:docPr id="185" name="docshape6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3C0F61" id="docshape664" o:spid="_x0000_s1026" alt="&quot;&quot;" style="position:absolute;margin-left:64pt;margin-top:15pt;width:2in;height:.7pt;z-index:-1510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" fillcolor="black" stroked="f">
                <w10:wrap type="topAndBottom" anchorx="page"/>
              </v:rect>
            </w:pict>
          </mc:Fallback>
        </mc:AlternateContent>
      </w:r>
    </w:p>
    <w:p w14:paraId="587DC14A" w14:textId="77777777" w:rsidR="00BD462C" w:rsidRDefault="00033D0F">
      <w:pPr>
        <w:spacing w:before="112"/>
        <w:ind w:left="135" w:right="906"/>
        <w:jc w:val="both"/>
        <w:rPr>
          <w:sz w:val="18"/>
        </w:rPr>
      </w:pPr>
      <w:bookmarkStart w:id="1413" w:name="_bookmark1217"/>
      <w:bookmarkEnd w:id="1413"/>
      <w:r>
        <w:rPr>
          <w:position w:val="5"/>
          <w:sz w:val="12"/>
        </w:rPr>
        <w:t>1046</w:t>
      </w:r>
      <w:r>
        <w:rPr>
          <w:spacing w:val="22"/>
          <w:position w:val="5"/>
          <w:sz w:val="12"/>
        </w:rPr>
        <w:t xml:space="preserve"> </w:t>
      </w:r>
      <w:r>
        <w:rPr>
          <w:sz w:val="18"/>
        </w:rPr>
        <w:t xml:space="preserve">Appellate Body Report, </w:t>
      </w:r>
      <w:r>
        <w:rPr>
          <w:i/>
          <w:sz w:val="18"/>
        </w:rPr>
        <w:t>EC – Fasteners (China)</w:t>
      </w:r>
      <w:r>
        <w:rPr>
          <w:sz w:val="18"/>
        </w:rPr>
        <w:t>, para. 552 (In explaining the standard</w:t>
      </w:r>
      <w:r>
        <w:rPr>
          <w:spacing w:val="-3"/>
          <w:sz w:val="18"/>
        </w:rPr>
        <w:t xml:space="preserve"> </w:t>
      </w:r>
      <w:r>
        <w:rPr>
          <w:sz w:val="18"/>
        </w:rPr>
        <w:t>for such statements, the Appellate Body explained as follows: "summarization of confidential information will not be possible where no alternative method of presenting the information can be developed that would not, either necessarily disclose the sensitive information, or necessarily</w:t>
      </w:r>
      <w:r>
        <w:rPr>
          <w:spacing w:val="-11"/>
          <w:sz w:val="18"/>
        </w:rPr>
        <w:t xml:space="preserve"> </w:t>
      </w:r>
      <w:r>
        <w:rPr>
          <w:sz w:val="18"/>
        </w:rPr>
        <w:t>fail</w:t>
      </w:r>
      <w:r>
        <w:rPr>
          <w:spacing w:val="-8"/>
          <w:sz w:val="18"/>
        </w:rPr>
        <w:t xml:space="preserve"> </w:t>
      </w:r>
      <w:r>
        <w:rPr>
          <w:sz w:val="18"/>
        </w:rPr>
        <w:t>to</w:t>
      </w:r>
      <w:r>
        <w:rPr>
          <w:spacing w:val="-8"/>
          <w:sz w:val="18"/>
        </w:rPr>
        <w:t xml:space="preserve"> </w:t>
      </w:r>
      <w:r>
        <w:rPr>
          <w:sz w:val="18"/>
        </w:rPr>
        <w:t>provide</w:t>
      </w:r>
      <w:r>
        <w:rPr>
          <w:spacing w:val="-2"/>
          <w:sz w:val="18"/>
        </w:rPr>
        <w:t xml:space="preserve"> </w:t>
      </w:r>
      <w:r>
        <w:rPr>
          <w:sz w:val="18"/>
        </w:rPr>
        <w:t>a</w:t>
      </w:r>
      <w:r>
        <w:rPr>
          <w:spacing w:val="-11"/>
          <w:sz w:val="18"/>
        </w:rPr>
        <w:t xml:space="preserve"> </w:t>
      </w:r>
      <w:r>
        <w:rPr>
          <w:sz w:val="18"/>
        </w:rPr>
        <w:t>sufficient</w:t>
      </w:r>
      <w:r>
        <w:rPr>
          <w:spacing w:val="-5"/>
          <w:sz w:val="18"/>
        </w:rPr>
        <w:t xml:space="preserve"> </w:t>
      </w:r>
      <w:r>
        <w:rPr>
          <w:sz w:val="18"/>
        </w:rPr>
        <w:t>level</w:t>
      </w:r>
      <w:r>
        <w:rPr>
          <w:spacing w:val="-7"/>
          <w:sz w:val="18"/>
        </w:rPr>
        <w:t xml:space="preserve"> </w:t>
      </w:r>
      <w:r>
        <w:rPr>
          <w:sz w:val="18"/>
        </w:rPr>
        <w:t>of</w:t>
      </w:r>
      <w:r>
        <w:rPr>
          <w:spacing w:val="-6"/>
          <w:sz w:val="18"/>
        </w:rPr>
        <w:t xml:space="preserve"> </w:t>
      </w:r>
      <w:r>
        <w:rPr>
          <w:sz w:val="18"/>
        </w:rPr>
        <w:t>detail</w:t>
      </w:r>
      <w:r>
        <w:rPr>
          <w:spacing w:val="-6"/>
          <w:sz w:val="18"/>
        </w:rPr>
        <w:t xml:space="preserve"> </w:t>
      </w:r>
      <w:r>
        <w:rPr>
          <w:sz w:val="18"/>
        </w:rPr>
        <w:t>to</w:t>
      </w:r>
      <w:r>
        <w:rPr>
          <w:spacing w:val="-8"/>
          <w:sz w:val="18"/>
        </w:rPr>
        <w:t xml:space="preserve"> </w:t>
      </w:r>
      <w:r>
        <w:rPr>
          <w:sz w:val="18"/>
        </w:rPr>
        <w:t>permit</w:t>
      </w:r>
      <w:r>
        <w:rPr>
          <w:spacing w:val="-6"/>
          <w:sz w:val="18"/>
        </w:rPr>
        <w:t xml:space="preserve"> </w:t>
      </w:r>
      <w:r>
        <w:rPr>
          <w:sz w:val="18"/>
        </w:rPr>
        <w:t>a</w:t>
      </w:r>
      <w:r>
        <w:rPr>
          <w:spacing w:val="-9"/>
          <w:sz w:val="18"/>
        </w:rPr>
        <w:t xml:space="preserve"> </w:t>
      </w:r>
      <w:r>
        <w:rPr>
          <w:sz w:val="18"/>
        </w:rPr>
        <w:t>reasonable</w:t>
      </w:r>
      <w:r>
        <w:rPr>
          <w:spacing w:val="-7"/>
          <w:sz w:val="18"/>
        </w:rPr>
        <w:t xml:space="preserve"> </w:t>
      </w:r>
      <w:r>
        <w:rPr>
          <w:sz w:val="18"/>
        </w:rPr>
        <w:t>understanding</w:t>
      </w:r>
      <w:r>
        <w:rPr>
          <w:spacing w:val="-7"/>
          <w:sz w:val="18"/>
        </w:rPr>
        <w:t xml:space="preserve"> </w:t>
      </w:r>
      <w:r>
        <w:rPr>
          <w:sz w:val="18"/>
        </w:rPr>
        <w:t>of</w:t>
      </w:r>
      <w:r>
        <w:rPr>
          <w:spacing w:val="-6"/>
          <w:sz w:val="18"/>
        </w:rPr>
        <w:t xml:space="preserve"> </w:t>
      </w:r>
      <w:r>
        <w:rPr>
          <w:sz w:val="18"/>
        </w:rPr>
        <w:t>the</w:t>
      </w:r>
      <w:r>
        <w:rPr>
          <w:spacing w:val="-7"/>
          <w:sz w:val="18"/>
        </w:rPr>
        <w:t xml:space="preserve"> </w:t>
      </w:r>
      <w:r>
        <w:rPr>
          <w:sz w:val="18"/>
        </w:rPr>
        <w:t>substance</w:t>
      </w:r>
      <w:r>
        <w:rPr>
          <w:spacing w:val="-7"/>
          <w:sz w:val="18"/>
        </w:rPr>
        <w:t xml:space="preserve"> </w:t>
      </w:r>
      <w:r>
        <w:rPr>
          <w:sz w:val="18"/>
        </w:rPr>
        <w:t>of</w:t>
      </w:r>
      <w:r>
        <w:rPr>
          <w:spacing w:val="-10"/>
          <w:sz w:val="18"/>
        </w:rPr>
        <w:t xml:space="preserve"> </w:t>
      </w:r>
      <w:r>
        <w:rPr>
          <w:sz w:val="18"/>
        </w:rPr>
        <w:t>the</w:t>
      </w:r>
      <w:r>
        <w:rPr>
          <w:spacing w:val="-11"/>
          <w:sz w:val="18"/>
        </w:rPr>
        <w:t xml:space="preserve"> </w:t>
      </w:r>
      <w:r>
        <w:rPr>
          <w:sz w:val="18"/>
        </w:rPr>
        <w:t>information submitted in confidence" In Australia's view, China's hypothetical scenario falls squarely within the circumstances the Appellate Body described.)</w:t>
      </w:r>
    </w:p>
    <w:p w14:paraId="6B6D276B" w14:textId="77777777" w:rsidR="00BD462C" w:rsidRDefault="00033D0F">
      <w:pPr>
        <w:spacing w:before="1"/>
        <w:ind w:left="135"/>
        <w:jc w:val="both"/>
        <w:rPr>
          <w:sz w:val="18"/>
        </w:rPr>
      </w:pPr>
      <w:bookmarkStart w:id="1414" w:name="_bookmark1218"/>
      <w:bookmarkEnd w:id="1414"/>
      <w:r>
        <w:rPr>
          <w:position w:val="5"/>
          <w:sz w:val="12"/>
        </w:rPr>
        <w:t>1047</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paras.</w:t>
      </w:r>
      <w:r>
        <w:rPr>
          <w:spacing w:val="-5"/>
          <w:sz w:val="18"/>
        </w:rPr>
        <w:t xml:space="preserve"> </w:t>
      </w:r>
      <w:r>
        <w:rPr>
          <w:sz w:val="18"/>
        </w:rPr>
        <w:t>2266-</w:t>
      </w:r>
      <w:r>
        <w:rPr>
          <w:spacing w:val="-2"/>
          <w:sz w:val="18"/>
        </w:rPr>
        <w:t>2269.</w:t>
      </w:r>
    </w:p>
    <w:p w14:paraId="558E3785" w14:textId="77777777" w:rsidR="00BD462C" w:rsidRDefault="00033D0F">
      <w:pPr>
        <w:spacing w:before="1"/>
        <w:ind w:left="135"/>
        <w:jc w:val="both"/>
        <w:rPr>
          <w:sz w:val="18"/>
        </w:rPr>
      </w:pPr>
      <w:bookmarkStart w:id="1415" w:name="_bookmark1219"/>
      <w:bookmarkEnd w:id="1415"/>
      <w:r>
        <w:rPr>
          <w:position w:val="5"/>
          <w:sz w:val="12"/>
        </w:rPr>
        <w:t>1048</w:t>
      </w:r>
      <w:r>
        <w:rPr>
          <w:spacing w:val="15"/>
          <w:position w:val="5"/>
          <w:sz w:val="12"/>
        </w:rPr>
        <w:t xml:space="preserve"> </w:t>
      </w:r>
      <w:r>
        <w:rPr>
          <w:sz w:val="18"/>
        </w:rPr>
        <w:t>The</w:t>
      </w:r>
      <w:r>
        <w:rPr>
          <w:spacing w:val="-4"/>
          <w:sz w:val="18"/>
        </w:rPr>
        <w:t xml:space="preserve"> </w:t>
      </w:r>
      <w:r>
        <w:rPr>
          <w:sz w:val="18"/>
        </w:rPr>
        <w:t>Appellate</w:t>
      </w:r>
      <w:r>
        <w:rPr>
          <w:spacing w:val="-3"/>
          <w:sz w:val="18"/>
        </w:rPr>
        <w:t xml:space="preserve"> </w:t>
      </w:r>
      <w:r>
        <w:rPr>
          <w:sz w:val="18"/>
        </w:rPr>
        <w:t>Body</w:t>
      </w:r>
      <w:r>
        <w:rPr>
          <w:spacing w:val="-1"/>
          <w:sz w:val="18"/>
        </w:rPr>
        <w:t xml:space="preserve"> </w:t>
      </w:r>
      <w:r>
        <w:rPr>
          <w:sz w:val="18"/>
        </w:rPr>
        <w:t>rejected</w:t>
      </w:r>
      <w:r>
        <w:rPr>
          <w:spacing w:val="-5"/>
          <w:sz w:val="18"/>
        </w:rPr>
        <w:t xml:space="preserve"> </w:t>
      </w:r>
      <w:r>
        <w:rPr>
          <w:sz w:val="18"/>
        </w:rPr>
        <w:t>an</w:t>
      </w:r>
      <w:r>
        <w:rPr>
          <w:spacing w:val="-4"/>
          <w:sz w:val="18"/>
        </w:rPr>
        <w:t xml:space="preserve"> </w:t>
      </w:r>
      <w:r>
        <w:rPr>
          <w:sz w:val="18"/>
        </w:rPr>
        <w:t>attempt</w:t>
      </w:r>
      <w:r>
        <w:rPr>
          <w:spacing w:val="-3"/>
          <w:sz w:val="18"/>
        </w:rPr>
        <w:t xml:space="preserve"> </w:t>
      </w:r>
      <w:r>
        <w:rPr>
          <w:sz w:val="18"/>
        </w:rPr>
        <w:t>to</w:t>
      </w:r>
      <w:r>
        <w:rPr>
          <w:spacing w:val="-4"/>
          <w:sz w:val="18"/>
        </w:rPr>
        <w:t xml:space="preserve"> </w:t>
      </w:r>
      <w:r>
        <w:rPr>
          <w:sz w:val="18"/>
        </w:rPr>
        <w:t>infer</w:t>
      </w:r>
      <w:r>
        <w:rPr>
          <w:spacing w:val="-6"/>
          <w:sz w:val="18"/>
        </w:rPr>
        <w:t xml:space="preserve"> </w:t>
      </w:r>
      <w:r>
        <w:rPr>
          <w:sz w:val="18"/>
        </w:rPr>
        <w:t>such a</w:t>
      </w:r>
      <w:r>
        <w:rPr>
          <w:spacing w:val="-5"/>
          <w:sz w:val="18"/>
        </w:rPr>
        <w:t xml:space="preserve"> </w:t>
      </w:r>
      <w:r>
        <w:rPr>
          <w:sz w:val="18"/>
        </w:rPr>
        <w:t>claim</w:t>
      </w:r>
      <w:r>
        <w:rPr>
          <w:spacing w:val="-7"/>
          <w:sz w:val="18"/>
        </w:rPr>
        <w:t xml:space="preserve"> </w:t>
      </w:r>
      <w:r>
        <w:rPr>
          <w:sz w:val="18"/>
        </w:rPr>
        <w:t>in</w:t>
      </w:r>
      <w:r>
        <w:rPr>
          <w:spacing w:val="-4"/>
          <w:sz w:val="18"/>
        </w:rPr>
        <w:t xml:space="preserve"> </w:t>
      </w:r>
      <w:r>
        <w:rPr>
          <w:sz w:val="18"/>
        </w:rPr>
        <w:t>Appellate</w:t>
      </w:r>
      <w:r>
        <w:rPr>
          <w:spacing w:val="-4"/>
          <w:sz w:val="18"/>
        </w:rPr>
        <w:t xml:space="preserve"> </w:t>
      </w:r>
      <w:r>
        <w:rPr>
          <w:sz w:val="18"/>
        </w:rPr>
        <w:t>Body</w:t>
      </w:r>
      <w:r>
        <w:rPr>
          <w:spacing w:val="-5"/>
          <w:sz w:val="18"/>
        </w:rPr>
        <w:t xml:space="preserve"> </w:t>
      </w:r>
      <w:r>
        <w:rPr>
          <w:sz w:val="18"/>
        </w:rPr>
        <w:t>Report,</w:t>
      </w:r>
      <w:r>
        <w:rPr>
          <w:spacing w:val="-2"/>
          <w:sz w:val="18"/>
        </w:rPr>
        <w:t xml:space="preserve"> </w:t>
      </w:r>
      <w:r>
        <w:rPr>
          <w:i/>
          <w:sz w:val="18"/>
        </w:rPr>
        <w:t>EC-Fasteners</w:t>
      </w:r>
      <w:r>
        <w:rPr>
          <w:i/>
          <w:spacing w:val="-3"/>
          <w:sz w:val="18"/>
        </w:rPr>
        <w:t xml:space="preserve"> </w:t>
      </w:r>
      <w:r>
        <w:rPr>
          <w:i/>
          <w:sz w:val="18"/>
        </w:rPr>
        <w:t>(China)</w:t>
      </w:r>
      <w:r>
        <w:rPr>
          <w:sz w:val="18"/>
        </w:rPr>
        <w:t>,</w:t>
      </w:r>
      <w:r>
        <w:rPr>
          <w:spacing w:val="-2"/>
          <w:sz w:val="18"/>
        </w:rPr>
        <w:t xml:space="preserve"> </w:t>
      </w:r>
      <w:r>
        <w:rPr>
          <w:sz w:val="18"/>
        </w:rPr>
        <w:t>para.</w:t>
      </w:r>
      <w:r>
        <w:rPr>
          <w:spacing w:val="2"/>
          <w:sz w:val="18"/>
        </w:rPr>
        <w:t xml:space="preserve"> </w:t>
      </w:r>
      <w:r>
        <w:rPr>
          <w:spacing w:val="-4"/>
          <w:sz w:val="18"/>
        </w:rPr>
        <w:t>544.</w:t>
      </w:r>
    </w:p>
    <w:p w14:paraId="4BF4C8B3" w14:textId="77777777" w:rsidR="00BD462C" w:rsidRDefault="00BD462C">
      <w:pPr>
        <w:jc w:val="both"/>
        <w:rPr>
          <w:sz w:val="18"/>
        </w:rPr>
        <w:sectPr w:rsidR="00BD462C">
          <w:pgSz w:w="11910" w:h="16840"/>
          <w:pgMar w:top="860" w:right="500" w:bottom="780" w:left="1280" w:header="566" w:footer="590" w:gutter="0"/>
          <w:cols w:space="720"/>
        </w:sectPr>
      </w:pPr>
    </w:p>
    <w:p w14:paraId="08C45DA3"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7048EB30"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38737A63"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412AFBCF" w14:textId="77777777" w:rsidR="00BD462C" w:rsidRDefault="00033D0F">
      <w:pPr>
        <w:pStyle w:val="BodyText"/>
        <w:spacing w:before="102" w:line="360" w:lineRule="auto"/>
        <w:ind w:left="136" w:right="911"/>
        <w:jc w:val="both"/>
      </w:pPr>
      <w:r>
        <w:t>checking that reasons have indeed been submitted".</w:t>
      </w:r>
      <w:hyperlink w:anchor="_bookmark1221" w:history="1">
        <w:r>
          <w:rPr>
            <w:vertAlign w:val="superscript"/>
          </w:rPr>
          <w:t>1049</w:t>
        </w:r>
      </w:hyperlink>
      <w:r>
        <w:t xml:space="preserve"> This Panel's role is undoubtedly, as China appears to accept elsewhere in its submissions,</w:t>
      </w:r>
      <w:hyperlink w:anchor="_bookmark1222" w:history="1">
        <w:r>
          <w:rPr>
            <w:vertAlign w:val="superscript"/>
          </w:rPr>
          <w:t>1050</w:t>
        </w:r>
      </w:hyperlink>
      <w:r>
        <w:t xml:space="preserve"> to assess whether MOFCOM's establishment of the facts was proper and its evaluation of those facts "unbiased and </w:t>
      </w:r>
      <w:r>
        <w:rPr>
          <w:spacing w:val="-2"/>
        </w:rPr>
        <w:t>objective".</w:t>
      </w:r>
    </w:p>
    <w:p w14:paraId="290B17DB" w14:textId="77777777" w:rsidR="00BD462C" w:rsidRDefault="00BD462C">
      <w:pPr>
        <w:pStyle w:val="BodyText"/>
        <w:spacing w:before="8"/>
        <w:rPr>
          <w:sz w:val="8"/>
        </w:rPr>
      </w:pPr>
    </w:p>
    <w:p w14:paraId="299EF65D" w14:textId="19B32EE3" w:rsidR="00BD462C" w:rsidRDefault="00283265">
      <w:pPr>
        <w:pStyle w:val="BodyText"/>
        <w:spacing w:before="56" w:line="360" w:lineRule="auto"/>
        <w:ind w:left="135" w:right="913"/>
        <w:jc w:val="both"/>
      </w:pPr>
      <w:r>
        <w:rPr>
          <w:noProof/>
        </w:rPr>
        <w:t>672.</w:t>
      </w:r>
      <w:r w:rsidR="00033D0F">
        <w:rPr>
          <w:rFonts w:ascii="Times New Roman" w:hAnsi="Times New Roman"/>
          <w:spacing w:val="80"/>
          <w:w w:val="150"/>
          <w:position w:val="1"/>
          <w:sz w:val="20"/>
        </w:rPr>
        <w:t xml:space="preserve">  </w:t>
      </w:r>
      <w:r w:rsidR="00033D0F">
        <w:rPr>
          <w:position w:val="1"/>
        </w:rPr>
        <w:t>For</w:t>
      </w:r>
      <w:r w:rsidR="00033D0F">
        <w:rPr>
          <w:spacing w:val="-14"/>
          <w:position w:val="1"/>
        </w:rPr>
        <w:t xml:space="preserve"> </w:t>
      </w:r>
      <w:r w:rsidR="00033D0F">
        <w:rPr>
          <w:position w:val="1"/>
        </w:rPr>
        <w:t>completeness,</w:t>
      </w:r>
      <w:r w:rsidR="00033D0F">
        <w:rPr>
          <w:spacing w:val="-14"/>
          <w:position w:val="1"/>
        </w:rPr>
        <w:t xml:space="preserve"> </w:t>
      </w:r>
      <w:r w:rsidR="00033D0F">
        <w:rPr>
          <w:position w:val="1"/>
        </w:rPr>
        <w:t>Australia</w:t>
      </w:r>
      <w:r w:rsidR="00033D0F">
        <w:rPr>
          <w:spacing w:val="-13"/>
          <w:position w:val="1"/>
        </w:rPr>
        <w:t xml:space="preserve"> </w:t>
      </w:r>
      <w:r w:rsidR="00033D0F">
        <w:rPr>
          <w:position w:val="1"/>
        </w:rPr>
        <w:t>notes</w:t>
      </w:r>
      <w:r w:rsidR="00033D0F">
        <w:rPr>
          <w:spacing w:val="-14"/>
          <w:position w:val="1"/>
        </w:rPr>
        <w:t xml:space="preserve"> </w:t>
      </w:r>
      <w:r w:rsidR="00033D0F">
        <w:rPr>
          <w:position w:val="1"/>
        </w:rPr>
        <w:t>China's</w:t>
      </w:r>
      <w:r w:rsidR="00033D0F">
        <w:rPr>
          <w:spacing w:val="-13"/>
          <w:position w:val="1"/>
        </w:rPr>
        <w:t xml:space="preserve"> </w:t>
      </w:r>
      <w:r w:rsidR="00033D0F">
        <w:rPr>
          <w:position w:val="1"/>
        </w:rPr>
        <w:t>assertion</w:t>
      </w:r>
      <w:r w:rsidR="00033D0F">
        <w:rPr>
          <w:spacing w:val="-14"/>
          <w:position w:val="1"/>
        </w:rPr>
        <w:t xml:space="preserve"> </w:t>
      </w:r>
      <w:r w:rsidR="00033D0F">
        <w:rPr>
          <w:position w:val="1"/>
        </w:rPr>
        <w:t>that</w:t>
      </w:r>
      <w:r w:rsidR="00033D0F">
        <w:rPr>
          <w:spacing w:val="-10"/>
          <w:position w:val="1"/>
        </w:rPr>
        <w:t xml:space="preserve"> </w:t>
      </w:r>
      <w:r w:rsidR="00033D0F">
        <w:rPr>
          <w:position w:val="1"/>
        </w:rPr>
        <w:t>its</w:t>
      </w:r>
      <w:r w:rsidR="00033D0F">
        <w:rPr>
          <w:spacing w:val="-14"/>
          <w:position w:val="1"/>
        </w:rPr>
        <w:t xml:space="preserve"> </w:t>
      </w:r>
      <w:r w:rsidR="00033D0F">
        <w:rPr>
          <w:position w:val="1"/>
        </w:rPr>
        <w:t>mere</w:t>
      </w:r>
      <w:r w:rsidR="00033D0F">
        <w:rPr>
          <w:spacing w:val="-14"/>
          <w:position w:val="1"/>
        </w:rPr>
        <w:t xml:space="preserve"> </w:t>
      </w:r>
      <w:r w:rsidR="00033D0F">
        <w:rPr>
          <w:position w:val="1"/>
        </w:rPr>
        <w:t>statement</w:t>
      </w:r>
      <w:r w:rsidR="00033D0F">
        <w:rPr>
          <w:spacing w:val="-13"/>
          <w:position w:val="1"/>
        </w:rPr>
        <w:t xml:space="preserve"> </w:t>
      </w:r>
      <w:r w:rsidR="00033D0F">
        <w:rPr>
          <w:position w:val="1"/>
        </w:rPr>
        <w:t>that</w:t>
      </w:r>
      <w:r w:rsidR="00033D0F">
        <w:rPr>
          <w:spacing w:val="-14"/>
          <w:position w:val="1"/>
        </w:rPr>
        <w:t xml:space="preserve"> </w:t>
      </w:r>
      <w:r w:rsidR="00033D0F">
        <w:rPr>
          <w:position w:val="1"/>
        </w:rPr>
        <w:t xml:space="preserve">"due </w:t>
      </w:r>
      <w:r w:rsidR="00033D0F">
        <w:t>to the very nature of the (confidential) information […] [it] is not susceptible to summarization"</w:t>
      </w:r>
      <w:r w:rsidR="00033D0F">
        <w:rPr>
          <w:spacing w:val="-4"/>
        </w:rPr>
        <w:t xml:space="preserve"> </w:t>
      </w:r>
      <w:r w:rsidR="00033D0F">
        <w:t>is</w:t>
      </w:r>
      <w:r w:rsidR="00033D0F">
        <w:rPr>
          <w:spacing w:val="-2"/>
        </w:rPr>
        <w:t xml:space="preserve"> </w:t>
      </w:r>
      <w:r w:rsidR="00033D0F">
        <w:t>sufficient</w:t>
      </w:r>
      <w:r w:rsidR="00033D0F">
        <w:rPr>
          <w:spacing w:val="-3"/>
        </w:rPr>
        <w:t xml:space="preserve"> </w:t>
      </w:r>
      <w:r w:rsidR="00033D0F">
        <w:t>to</w:t>
      </w:r>
      <w:r w:rsidR="00033D0F">
        <w:rPr>
          <w:spacing w:val="-6"/>
        </w:rPr>
        <w:t xml:space="preserve"> </w:t>
      </w:r>
      <w:r w:rsidR="00033D0F">
        <w:t>meet</w:t>
      </w:r>
      <w:r w:rsidR="00033D0F">
        <w:rPr>
          <w:spacing w:val="-8"/>
        </w:rPr>
        <w:t xml:space="preserve"> </w:t>
      </w:r>
      <w:r w:rsidR="00033D0F">
        <w:t>the</w:t>
      </w:r>
      <w:r w:rsidR="00033D0F">
        <w:rPr>
          <w:spacing w:val="-4"/>
        </w:rPr>
        <w:t xml:space="preserve"> </w:t>
      </w:r>
      <w:r w:rsidR="00033D0F">
        <w:t>requirement</w:t>
      </w:r>
      <w:r w:rsidR="00033D0F">
        <w:rPr>
          <w:spacing w:val="-3"/>
        </w:rPr>
        <w:t xml:space="preserve"> </w:t>
      </w:r>
      <w:r w:rsidR="00033D0F">
        <w:t>to</w:t>
      </w:r>
      <w:r w:rsidR="00033D0F">
        <w:rPr>
          <w:spacing w:val="-6"/>
        </w:rPr>
        <w:t xml:space="preserve"> </w:t>
      </w:r>
      <w:r w:rsidR="00033D0F">
        <w:t>provide</w:t>
      </w:r>
      <w:r w:rsidR="00033D0F">
        <w:rPr>
          <w:spacing w:val="-4"/>
        </w:rPr>
        <w:t xml:space="preserve"> </w:t>
      </w:r>
      <w:r w:rsidR="00033D0F">
        <w:t>a</w:t>
      </w:r>
      <w:r w:rsidR="00033D0F">
        <w:rPr>
          <w:spacing w:val="-4"/>
        </w:rPr>
        <w:t xml:space="preserve"> </w:t>
      </w:r>
      <w:r w:rsidR="00033D0F">
        <w:t>"statement</w:t>
      </w:r>
      <w:r w:rsidR="00033D0F">
        <w:rPr>
          <w:spacing w:val="-3"/>
        </w:rPr>
        <w:t xml:space="preserve"> </w:t>
      </w:r>
      <w:r w:rsidR="00033D0F">
        <w:t>of</w:t>
      </w:r>
      <w:r w:rsidR="00033D0F">
        <w:rPr>
          <w:spacing w:val="-5"/>
        </w:rPr>
        <w:t xml:space="preserve"> </w:t>
      </w:r>
      <w:r w:rsidR="00033D0F">
        <w:t>reasons"</w:t>
      </w:r>
      <w:r w:rsidR="00033D0F">
        <w:rPr>
          <w:spacing w:val="-4"/>
        </w:rPr>
        <w:t xml:space="preserve"> </w:t>
      </w:r>
      <w:r w:rsidR="00033D0F">
        <w:t>for purposes of Article 6.5.1.</w:t>
      </w:r>
      <w:hyperlink w:anchor="_bookmark1223" w:history="1">
        <w:r w:rsidR="00033D0F">
          <w:rPr>
            <w:vertAlign w:val="superscript"/>
          </w:rPr>
          <w:t>1051</w:t>
        </w:r>
      </w:hyperlink>
      <w:r w:rsidR="00033D0F">
        <w:t xml:space="preserve"> This is not the factual situation that is presented to the Panel in this</w:t>
      </w:r>
      <w:r w:rsidR="00033D0F">
        <w:rPr>
          <w:spacing w:val="-14"/>
        </w:rPr>
        <w:t xml:space="preserve"> </w:t>
      </w:r>
      <w:r w:rsidR="00033D0F">
        <w:t>matter.</w:t>
      </w:r>
      <w:r w:rsidR="00033D0F">
        <w:rPr>
          <w:spacing w:val="-14"/>
        </w:rPr>
        <w:t xml:space="preserve"> </w:t>
      </w:r>
      <w:r w:rsidR="00033D0F">
        <w:t>There</w:t>
      </w:r>
      <w:r w:rsidR="00033D0F">
        <w:rPr>
          <w:spacing w:val="-13"/>
        </w:rPr>
        <w:t xml:space="preserve"> </w:t>
      </w:r>
      <w:r w:rsidR="00033D0F">
        <w:t>is</w:t>
      </w:r>
      <w:r w:rsidR="00033D0F">
        <w:rPr>
          <w:spacing w:val="-14"/>
        </w:rPr>
        <w:t xml:space="preserve"> </w:t>
      </w:r>
      <w:r w:rsidR="00033D0F">
        <w:t>no</w:t>
      </w:r>
      <w:r w:rsidR="00033D0F">
        <w:rPr>
          <w:spacing w:val="-13"/>
        </w:rPr>
        <w:t xml:space="preserve"> </w:t>
      </w:r>
      <w:r w:rsidR="00033D0F">
        <w:t>evidence</w:t>
      </w:r>
      <w:r w:rsidR="00033D0F">
        <w:rPr>
          <w:spacing w:val="-14"/>
        </w:rPr>
        <w:t xml:space="preserve"> </w:t>
      </w:r>
      <w:r w:rsidR="00033D0F">
        <w:t>on</w:t>
      </w:r>
      <w:r w:rsidR="00033D0F">
        <w:rPr>
          <w:spacing w:val="-13"/>
        </w:rPr>
        <w:t xml:space="preserve"> </w:t>
      </w:r>
      <w:r w:rsidR="00033D0F">
        <w:t>the</w:t>
      </w:r>
      <w:r w:rsidR="00033D0F">
        <w:rPr>
          <w:spacing w:val="-14"/>
        </w:rPr>
        <w:t xml:space="preserve"> </w:t>
      </w:r>
      <w:r w:rsidR="00033D0F">
        <w:t>record</w:t>
      </w:r>
      <w:r w:rsidR="00033D0F">
        <w:rPr>
          <w:spacing w:val="-14"/>
        </w:rPr>
        <w:t xml:space="preserve"> </w:t>
      </w:r>
      <w:r w:rsidR="00033D0F">
        <w:t>that</w:t>
      </w:r>
      <w:r w:rsidR="00033D0F">
        <w:rPr>
          <w:spacing w:val="-13"/>
        </w:rPr>
        <w:t xml:space="preserve"> </w:t>
      </w:r>
      <w:r w:rsidR="00033D0F">
        <w:t>any</w:t>
      </w:r>
      <w:r w:rsidR="00033D0F">
        <w:rPr>
          <w:spacing w:val="-14"/>
        </w:rPr>
        <w:t xml:space="preserve"> </w:t>
      </w:r>
      <w:r w:rsidR="00033D0F">
        <w:t>party</w:t>
      </w:r>
      <w:r w:rsidR="00033D0F">
        <w:rPr>
          <w:spacing w:val="-13"/>
        </w:rPr>
        <w:t xml:space="preserve"> </w:t>
      </w:r>
      <w:r w:rsidR="00033D0F">
        <w:t>claimed</w:t>
      </w:r>
      <w:r w:rsidR="00033D0F">
        <w:rPr>
          <w:spacing w:val="-14"/>
        </w:rPr>
        <w:t xml:space="preserve"> </w:t>
      </w:r>
      <w:r w:rsidR="00033D0F">
        <w:t>confidential</w:t>
      </w:r>
      <w:r w:rsidR="00033D0F">
        <w:rPr>
          <w:spacing w:val="-13"/>
        </w:rPr>
        <w:t xml:space="preserve"> </w:t>
      </w:r>
      <w:r w:rsidR="00033D0F">
        <w:t xml:space="preserve">information was not susceptible of </w:t>
      </w:r>
      <w:proofErr w:type="spellStart"/>
      <w:r w:rsidR="00033D0F">
        <w:t>summarisation</w:t>
      </w:r>
      <w:proofErr w:type="spellEnd"/>
      <w:r w:rsidR="00033D0F">
        <w:t>.</w:t>
      </w:r>
    </w:p>
    <w:p w14:paraId="525E2467" w14:textId="77777777" w:rsidR="00BD462C" w:rsidRDefault="00BD462C">
      <w:pPr>
        <w:pStyle w:val="BodyText"/>
        <w:spacing w:before="8"/>
        <w:rPr>
          <w:sz w:val="8"/>
        </w:rPr>
      </w:pPr>
    </w:p>
    <w:p w14:paraId="00A75C5D" w14:textId="042B89D2" w:rsidR="00BD462C" w:rsidRDefault="00283265">
      <w:pPr>
        <w:pStyle w:val="BodyText"/>
        <w:spacing w:before="57" w:line="355" w:lineRule="auto"/>
        <w:ind w:left="135" w:right="923"/>
      </w:pPr>
      <w:r>
        <w:rPr>
          <w:noProof/>
        </w:rPr>
        <w:t>673.</w:t>
      </w:r>
      <w:r w:rsidR="00033D0F">
        <w:rPr>
          <w:rFonts w:ascii="Times New Roman"/>
          <w:spacing w:val="80"/>
          <w:position w:val="1"/>
          <w:sz w:val="20"/>
        </w:rPr>
        <w:t xml:space="preserve">   </w:t>
      </w:r>
      <w:r w:rsidR="00033D0F">
        <w:rPr>
          <w:position w:val="1"/>
        </w:rPr>
        <w:t>However,</w:t>
      </w:r>
      <w:r w:rsidR="00033D0F">
        <w:rPr>
          <w:spacing w:val="-9"/>
          <w:position w:val="1"/>
        </w:rPr>
        <w:t xml:space="preserve"> </w:t>
      </w:r>
      <w:r w:rsidR="00033D0F">
        <w:rPr>
          <w:position w:val="1"/>
        </w:rPr>
        <w:t>even</w:t>
      </w:r>
      <w:r w:rsidR="00033D0F">
        <w:rPr>
          <w:spacing w:val="-13"/>
          <w:position w:val="1"/>
        </w:rPr>
        <w:t xml:space="preserve"> </w:t>
      </w:r>
      <w:r w:rsidR="00033D0F">
        <w:rPr>
          <w:position w:val="1"/>
        </w:rPr>
        <w:t>if</w:t>
      </w:r>
      <w:r w:rsidR="00033D0F">
        <w:rPr>
          <w:spacing w:val="-13"/>
          <w:position w:val="1"/>
        </w:rPr>
        <w:t xml:space="preserve"> </w:t>
      </w:r>
      <w:r w:rsidR="00033D0F">
        <w:rPr>
          <w:position w:val="1"/>
        </w:rPr>
        <w:t>the</w:t>
      </w:r>
      <w:r w:rsidR="00033D0F">
        <w:rPr>
          <w:spacing w:val="-11"/>
          <w:position w:val="1"/>
        </w:rPr>
        <w:t xml:space="preserve"> </w:t>
      </w:r>
      <w:r w:rsidR="00033D0F">
        <w:rPr>
          <w:position w:val="1"/>
        </w:rPr>
        <w:t>issue</w:t>
      </w:r>
      <w:r w:rsidR="00033D0F">
        <w:rPr>
          <w:spacing w:val="-11"/>
          <w:position w:val="1"/>
        </w:rPr>
        <w:t xml:space="preserve"> </w:t>
      </w:r>
      <w:r w:rsidR="00033D0F">
        <w:rPr>
          <w:position w:val="1"/>
        </w:rPr>
        <w:t>did</w:t>
      </w:r>
      <w:r w:rsidR="00033D0F">
        <w:rPr>
          <w:spacing w:val="-13"/>
          <w:position w:val="1"/>
        </w:rPr>
        <w:t xml:space="preserve"> </w:t>
      </w:r>
      <w:r w:rsidR="00033D0F">
        <w:rPr>
          <w:position w:val="1"/>
        </w:rPr>
        <w:t>arise,</w:t>
      </w:r>
      <w:r w:rsidR="00033D0F">
        <w:rPr>
          <w:spacing w:val="-9"/>
          <w:position w:val="1"/>
        </w:rPr>
        <w:t xml:space="preserve"> </w:t>
      </w:r>
      <w:r w:rsidR="00033D0F">
        <w:rPr>
          <w:position w:val="1"/>
        </w:rPr>
        <w:t>China's</w:t>
      </w:r>
      <w:r w:rsidR="00033D0F">
        <w:rPr>
          <w:spacing w:val="-9"/>
          <w:position w:val="1"/>
        </w:rPr>
        <w:t xml:space="preserve"> </w:t>
      </w:r>
      <w:r w:rsidR="00033D0F">
        <w:rPr>
          <w:position w:val="1"/>
        </w:rPr>
        <w:t>interpretation</w:t>
      </w:r>
      <w:r w:rsidR="00033D0F">
        <w:rPr>
          <w:spacing w:val="-13"/>
          <w:position w:val="1"/>
        </w:rPr>
        <w:t xml:space="preserve"> </w:t>
      </w:r>
      <w:r w:rsidR="00033D0F">
        <w:rPr>
          <w:position w:val="1"/>
        </w:rPr>
        <w:t>is</w:t>
      </w:r>
      <w:r w:rsidR="00033D0F">
        <w:rPr>
          <w:spacing w:val="-9"/>
          <w:position w:val="1"/>
        </w:rPr>
        <w:t xml:space="preserve"> </w:t>
      </w:r>
      <w:r w:rsidR="00033D0F">
        <w:rPr>
          <w:position w:val="1"/>
        </w:rPr>
        <w:t>plainly</w:t>
      </w:r>
      <w:r w:rsidR="00033D0F">
        <w:rPr>
          <w:spacing w:val="-10"/>
          <w:position w:val="1"/>
        </w:rPr>
        <w:t xml:space="preserve"> </w:t>
      </w:r>
      <w:r w:rsidR="00033D0F">
        <w:rPr>
          <w:position w:val="1"/>
        </w:rPr>
        <w:t>inconsistent</w:t>
      </w:r>
      <w:r w:rsidR="00033D0F">
        <w:rPr>
          <w:spacing w:val="-10"/>
          <w:position w:val="1"/>
        </w:rPr>
        <w:t xml:space="preserve"> </w:t>
      </w:r>
      <w:r w:rsidR="00033D0F">
        <w:rPr>
          <w:position w:val="1"/>
        </w:rPr>
        <w:t xml:space="preserve">with </w:t>
      </w:r>
      <w:r w:rsidR="00033D0F">
        <w:t>the text of Article 6.5.1. It contains two separate requirements:</w:t>
      </w:r>
    </w:p>
    <w:p w14:paraId="2F8F0034" w14:textId="77777777" w:rsidR="00BD462C" w:rsidRDefault="00033D0F">
      <w:pPr>
        <w:pStyle w:val="ListParagraph"/>
        <w:numPr>
          <w:ilvl w:val="0"/>
          <w:numId w:val="29"/>
        </w:numPr>
        <w:tabs>
          <w:tab w:val="left" w:pos="1835"/>
          <w:tab w:val="left" w:pos="1836"/>
        </w:tabs>
        <w:spacing w:before="162" w:line="357" w:lineRule="auto"/>
        <w:ind w:right="921" w:hanging="855"/>
        <w:rPr>
          <w:sz w:val="24"/>
        </w:rPr>
      </w:pPr>
      <w:r>
        <w:rPr>
          <w:sz w:val="24"/>
        </w:rPr>
        <w:t>as set out in the</w:t>
      </w:r>
      <w:r>
        <w:rPr>
          <w:spacing w:val="26"/>
          <w:sz w:val="24"/>
        </w:rPr>
        <w:t xml:space="preserve"> </w:t>
      </w:r>
      <w:r>
        <w:rPr>
          <w:sz w:val="24"/>
        </w:rPr>
        <w:t>third sentence, to "indicate that such information is not</w:t>
      </w:r>
      <w:r>
        <w:rPr>
          <w:spacing w:val="80"/>
          <w:sz w:val="24"/>
        </w:rPr>
        <w:t xml:space="preserve"> </w:t>
      </w:r>
      <w:r>
        <w:rPr>
          <w:sz w:val="24"/>
        </w:rPr>
        <w:t>susceptible of summary"; and</w:t>
      </w:r>
    </w:p>
    <w:p w14:paraId="1C078903" w14:textId="77777777" w:rsidR="00BD462C" w:rsidRDefault="00033D0F">
      <w:pPr>
        <w:pStyle w:val="ListParagraph"/>
        <w:numPr>
          <w:ilvl w:val="0"/>
          <w:numId w:val="29"/>
        </w:numPr>
        <w:tabs>
          <w:tab w:val="left" w:pos="1835"/>
          <w:tab w:val="left" w:pos="1836"/>
        </w:tabs>
        <w:spacing w:before="126" w:line="357" w:lineRule="auto"/>
        <w:ind w:right="915" w:hanging="855"/>
        <w:rPr>
          <w:sz w:val="24"/>
        </w:rPr>
      </w:pPr>
      <w:r>
        <w:rPr>
          <w:sz w:val="24"/>
        </w:rPr>
        <w:t>as</w:t>
      </w:r>
      <w:r>
        <w:rPr>
          <w:spacing w:val="40"/>
          <w:sz w:val="24"/>
        </w:rPr>
        <w:t xml:space="preserve"> </w:t>
      </w:r>
      <w:r>
        <w:rPr>
          <w:sz w:val="24"/>
        </w:rPr>
        <w:t>set</w:t>
      </w:r>
      <w:r>
        <w:rPr>
          <w:spacing w:val="40"/>
          <w:sz w:val="24"/>
        </w:rPr>
        <w:t xml:space="preserve"> </w:t>
      </w:r>
      <w:r>
        <w:rPr>
          <w:sz w:val="24"/>
        </w:rPr>
        <w:t>out</w:t>
      </w:r>
      <w:r>
        <w:rPr>
          <w:spacing w:val="40"/>
          <w:sz w:val="24"/>
        </w:rPr>
        <w:t xml:space="preserve"> </w:t>
      </w:r>
      <w:r>
        <w:rPr>
          <w:sz w:val="24"/>
        </w:rPr>
        <w:t>in</w:t>
      </w:r>
      <w:r>
        <w:rPr>
          <w:spacing w:val="40"/>
          <w:sz w:val="24"/>
        </w:rPr>
        <w:t xml:space="preserve"> </w:t>
      </w:r>
      <w:r>
        <w:rPr>
          <w:sz w:val="24"/>
        </w:rPr>
        <w:t>the</w:t>
      </w:r>
      <w:r>
        <w:rPr>
          <w:spacing w:val="40"/>
          <w:sz w:val="24"/>
        </w:rPr>
        <w:t xml:space="preserve"> </w:t>
      </w:r>
      <w:r>
        <w:rPr>
          <w:sz w:val="24"/>
        </w:rPr>
        <w:t>fourth</w:t>
      </w:r>
      <w:r>
        <w:rPr>
          <w:spacing w:val="40"/>
          <w:sz w:val="24"/>
        </w:rPr>
        <w:t xml:space="preserve"> </w:t>
      </w:r>
      <w:r>
        <w:rPr>
          <w:sz w:val="24"/>
        </w:rPr>
        <w:t>sentence,</w:t>
      </w:r>
      <w:r>
        <w:rPr>
          <w:spacing w:val="40"/>
          <w:sz w:val="24"/>
        </w:rPr>
        <w:t xml:space="preserve"> </w:t>
      </w:r>
      <w:r>
        <w:rPr>
          <w:sz w:val="24"/>
        </w:rPr>
        <w:t>in</w:t>
      </w:r>
      <w:r>
        <w:rPr>
          <w:spacing w:val="40"/>
          <w:sz w:val="24"/>
        </w:rPr>
        <w:t xml:space="preserve"> </w:t>
      </w:r>
      <w:r>
        <w:rPr>
          <w:sz w:val="24"/>
        </w:rPr>
        <w:t>such</w:t>
      </w:r>
      <w:r>
        <w:rPr>
          <w:spacing w:val="40"/>
          <w:sz w:val="24"/>
        </w:rPr>
        <w:t xml:space="preserve"> </w:t>
      </w:r>
      <w:r>
        <w:rPr>
          <w:sz w:val="24"/>
        </w:rPr>
        <w:t>exceptional</w:t>
      </w:r>
      <w:r>
        <w:rPr>
          <w:spacing w:val="40"/>
          <w:sz w:val="24"/>
        </w:rPr>
        <w:t xml:space="preserve"> </w:t>
      </w:r>
      <w:r>
        <w:rPr>
          <w:sz w:val="24"/>
        </w:rPr>
        <w:t>circumstances</w:t>
      </w:r>
      <w:r>
        <w:rPr>
          <w:spacing w:val="40"/>
          <w:sz w:val="24"/>
        </w:rPr>
        <w:t xml:space="preserve"> </w:t>
      </w:r>
      <w:r>
        <w:rPr>
          <w:sz w:val="24"/>
        </w:rPr>
        <w:t>"a statement</w:t>
      </w:r>
      <w:r>
        <w:rPr>
          <w:spacing w:val="-8"/>
          <w:sz w:val="24"/>
        </w:rPr>
        <w:t xml:space="preserve"> </w:t>
      </w:r>
      <w:r>
        <w:rPr>
          <w:sz w:val="24"/>
        </w:rPr>
        <w:t>of</w:t>
      </w:r>
      <w:r>
        <w:rPr>
          <w:spacing w:val="-10"/>
          <w:sz w:val="24"/>
        </w:rPr>
        <w:t xml:space="preserve"> </w:t>
      </w:r>
      <w:r>
        <w:rPr>
          <w:sz w:val="24"/>
        </w:rPr>
        <w:t>reasons</w:t>
      </w:r>
      <w:r>
        <w:rPr>
          <w:spacing w:val="-7"/>
          <w:sz w:val="24"/>
        </w:rPr>
        <w:t xml:space="preserve"> </w:t>
      </w:r>
      <w:r>
        <w:rPr>
          <w:sz w:val="24"/>
        </w:rPr>
        <w:t>why</w:t>
      </w:r>
      <w:r>
        <w:rPr>
          <w:spacing w:val="-7"/>
          <w:sz w:val="24"/>
        </w:rPr>
        <w:t xml:space="preserve"> </w:t>
      </w:r>
      <w:r>
        <w:rPr>
          <w:sz w:val="24"/>
        </w:rPr>
        <w:t>summarization</w:t>
      </w:r>
      <w:r>
        <w:rPr>
          <w:spacing w:val="-10"/>
          <w:sz w:val="24"/>
        </w:rPr>
        <w:t xml:space="preserve"> </w:t>
      </w:r>
      <w:r>
        <w:rPr>
          <w:sz w:val="24"/>
        </w:rPr>
        <w:t>is</w:t>
      </w:r>
      <w:r>
        <w:rPr>
          <w:spacing w:val="-7"/>
          <w:sz w:val="24"/>
        </w:rPr>
        <w:t xml:space="preserve"> </w:t>
      </w:r>
      <w:r>
        <w:rPr>
          <w:sz w:val="24"/>
        </w:rPr>
        <w:t>not</w:t>
      </w:r>
      <w:r>
        <w:rPr>
          <w:spacing w:val="-8"/>
          <w:sz w:val="24"/>
        </w:rPr>
        <w:t xml:space="preserve"> </w:t>
      </w:r>
      <w:r>
        <w:rPr>
          <w:sz w:val="24"/>
        </w:rPr>
        <w:t>possible</w:t>
      </w:r>
      <w:r>
        <w:rPr>
          <w:spacing w:val="-8"/>
          <w:sz w:val="24"/>
        </w:rPr>
        <w:t xml:space="preserve"> </w:t>
      </w:r>
      <w:r>
        <w:rPr>
          <w:sz w:val="24"/>
        </w:rPr>
        <w:t>must</w:t>
      </w:r>
      <w:r>
        <w:rPr>
          <w:spacing w:val="-8"/>
          <w:sz w:val="24"/>
        </w:rPr>
        <w:t xml:space="preserve"> </w:t>
      </w:r>
      <w:r>
        <w:rPr>
          <w:sz w:val="24"/>
        </w:rPr>
        <w:t>be</w:t>
      </w:r>
      <w:r>
        <w:rPr>
          <w:spacing w:val="-8"/>
          <w:sz w:val="24"/>
        </w:rPr>
        <w:t xml:space="preserve"> </w:t>
      </w:r>
      <w:r>
        <w:rPr>
          <w:sz w:val="24"/>
        </w:rPr>
        <w:t>provided".</w:t>
      </w:r>
    </w:p>
    <w:p w14:paraId="681FE6F5" w14:textId="2D530A4F" w:rsidR="00BD462C" w:rsidRDefault="00A246C2">
      <w:pPr>
        <w:pStyle w:val="BodyText"/>
        <w:spacing w:before="134" w:line="360" w:lineRule="auto"/>
        <w:ind w:left="135" w:right="912"/>
        <w:jc w:val="both"/>
      </w:pPr>
      <w:r>
        <w:rPr>
          <w:noProof/>
        </w:rPr>
        <w:t>674.</w:t>
      </w:r>
      <w:r w:rsidR="00033D0F">
        <w:rPr>
          <w:rFonts w:ascii="Times New Roman" w:hAnsi="Times New Roman"/>
          <w:spacing w:val="80"/>
          <w:w w:val="150"/>
          <w:position w:val="1"/>
          <w:sz w:val="20"/>
        </w:rPr>
        <w:t xml:space="preserve">  </w:t>
      </w:r>
      <w:r w:rsidR="00033D0F">
        <w:rPr>
          <w:position w:val="1"/>
        </w:rPr>
        <w:t xml:space="preserve">China's interpretation would strip the requirement set out in the fourth sentence of </w:t>
      </w:r>
      <w:r w:rsidR="00033D0F">
        <w:t xml:space="preserve">any effect, since it reduces a "statement of reasons" to the briefest of bare assertions. China advanced essentially the same interpretation, and the panel rejected it, in </w:t>
      </w:r>
      <w:r w:rsidR="00033D0F">
        <w:rPr>
          <w:i/>
        </w:rPr>
        <w:t>China – X-Ray Equipment</w:t>
      </w:r>
      <w:r w:rsidR="00033D0F">
        <w:t>. In that dispute, the panel held that: "a simple reference to the 'nature' of confidential information does not adequately explain why, exceptionally, that information cannot be summarized."</w:t>
      </w:r>
      <w:hyperlink w:anchor="_bookmark1224" w:history="1">
        <w:r w:rsidR="00033D0F">
          <w:rPr>
            <w:vertAlign w:val="superscript"/>
          </w:rPr>
          <w:t>1052</w:t>
        </w:r>
      </w:hyperlink>
    </w:p>
    <w:p w14:paraId="2AEC234E" w14:textId="77777777" w:rsidR="00BD462C" w:rsidRDefault="00033D0F">
      <w:pPr>
        <w:pStyle w:val="Heading3"/>
        <w:numPr>
          <w:ilvl w:val="0"/>
          <w:numId w:val="30"/>
        </w:numPr>
        <w:tabs>
          <w:tab w:val="left" w:pos="2545"/>
          <w:tab w:val="left" w:pos="2546"/>
        </w:tabs>
        <w:spacing w:before="153"/>
      </w:pPr>
      <w:bookmarkStart w:id="1416" w:name="3._China_misrepresents_Australia's_argum"/>
      <w:bookmarkStart w:id="1417" w:name="_bookmark1220"/>
      <w:bookmarkEnd w:id="1416"/>
      <w:bookmarkEnd w:id="1417"/>
      <w:r>
        <w:t>China</w:t>
      </w:r>
      <w:r>
        <w:rPr>
          <w:spacing w:val="-3"/>
        </w:rPr>
        <w:t xml:space="preserve"> </w:t>
      </w:r>
      <w:r>
        <w:t>misrepresents</w:t>
      </w:r>
      <w:r>
        <w:rPr>
          <w:spacing w:val="-5"/>
        </w:rPr>
        <w:t xml:space="preserve"> </w:t>
      </w:r>
      <w:r>
        <w:t>Australia's</w:t>
      </w:r>
      <w:r>
        <w:rPr>
          <w:spacing w:val="-4"/>
        </w:rPr>
        <w:t xml:space="preserve"> </w:t>
      </w:r>
      <w:r>
        <w:rPr>
          <w:spacing w:val="-2"/>
        </w:rPr>
        <w:t>arguments</w:t>
      </w:r>
    </w:p>
    <w:p w14:paraId="40131E7C" w14:textId="77777777" w:rsidR="00BD462C" w:rsidRDefault="00BD462C">
      <w:pPr>
        <w:pStyle w:val="BodyText"/>
        <w:spacing w:before="11"/>
        <w:rPr>
          <w:b/>
          <w:sz w:val="20"/>
        </w:rPr>
      </w:pPr>
    </w:p>
    <w:p w14:paraId="388548E6" w14:textId="64F2EE53" w:rsidR="00BD462C" w:rsidRDefault="00D600FD">
      <w:pPr>
        <w:pStyle w:val="BodyText"/>
        <w:spacing w:before="56" w:line="357" w:lineRule="auto"/>
        <w:ind w:left="135" w:right="916"/>
        <w:jc w:val="both"/>
      </w:pPr>
      <w:r>
        <w:rPr>
          <w:noProof/>
        </w:rPr>
        <mc:AlternateContent>
          <mc:Choice Requires="wps">
            <w:drawing>
              <wp:anchor distT="0" distB="0" distL="0" distR="0" simplePos="0" relativeHeight="488163840" behindDoc="1" locked="0" layoutInCell="1" allowOverlap="1" wp14:anchorId="2828FD06" wp14:editId="2D243030">
                <wp:simplePos x="0" y="0"/>
                <wp:positionH relativeFrom="page">
                  <wp:posOffset>812800</wp:posOffset>
                </wp:positionH>
                <wp:positionV relativeFrom="paragraph">
                  <wp:posOffset>995680</wp:posOffset>
                </wp:positionV>
                <wp:extent cx="1828800" cy="8890"/>
                <wp:effectExtent l="0" t="0" r="0" b="0"/>
                <wp:wrapTopAndBottom/>
                <wp:docPr id="139" name="docshape7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D18035" id="docshape705" o:spid="_x0000_s1026" alt="&quot;&quot;" style="position:absolute;margin-left:64pt;margin-top:78.4pt;width:2in;height:.7pt;z-index:-1515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" fillcolor="black" stroked="f">
                <w10:wrap type="topAndBottom" anchorx="page"/>
              </v:rect>
            </w:pict>
          </mc:Fallback>
        </mc:AlternateContent>
      </w:r>
      <w:r w:rsidR="00A246C2">
        <w:rPr>
          <w:noProof/>
        </w:rPr>
        <w:t>675.</w:t>
      </w:r>
      <w:r w:rsidR="00033D0F">
        <w:rPr>
          <w:rFonts w:ascii="Times New Roman"/>
          <w:spacing w:val="80"/>
          <w:position w:val="1"/>
          <w:sz w:val="20"/>
        </w:rPr>
        <w:t xml:space="preserve"> </w:t>
      </w:r>
      <w:r w:rsidR="00033D0F">
        <w:rPr>
          <w:position w:val="1"/>
        </w:rPr>
        <w:t xml:space="preserve">Rather than engaging with the arguments that Australia has presented, China </w:t>
      </w:r>
      <w:r w:rsidR="00033D0F">
        <w:t>misrepresents Australia's arguments, including alleging the existence of arguments that Australia</w:t>
      </w:r>
      <w:r w:rsidR="00033D0F">
        <w:rPr>
          <w:spacing w:val="25"/>
        </w:rPr>
        <w:t xml:space="preserve"> </w:t>
      </w:r>
      <w:r w:rsidR="00033D0F">
        <w:t>has</w:t>
      </w:r>
      <w:r w:rsidR="00033D0F">
        <w:rPr>
          <w:spacing w:val="27"/>
        </w:rPr>
        <w:t xml:space="preserve"> </w:t>
      </w:r>
      <w:r w:rsidR="00033D0F">
        <w:t>not</w:t>
      </w:r>
      <w:r w:rsidR="00033D0F">
        <w:rPr>
          <w:spacing w:val="26"/>
        </w:rPr>
        <w:t xml:space="preserve"> </w:t>
      </w:r>
      <w:r w:rsidR="00033D0F">
        <w:t>made.</w:t>
      </w:r>
      <w:r w:rsidR="00033D0F">
        <w:rPr>
          <w:spacing w:val="26"/>
        </w:rPr>
        <w:t xml:space="preserve"> </w:t>
      </w:r>
      <w:r w:rsidR="00033D0F">
        <w:t>In</w:t>
      </w:r>
      <w:r w:rsidR="00033D0F">
        <w:rPr>
          <w:spacing w:val="23"/>
        </w:rPr>
        <w:t xml:space="preserve"> </w:t>
      </w:r>
      <w:r w:rsidR="00033D0F">
        <w:t>doing</w:t>
      </w:r>
      <w:r w:rsidR="00033D0F">
        <w:rPr>
          <w:spacing w:val="27"/>
        </w:rPr>
        <w:t xml:space="preserve"> </w:t>
      </w:r>
      <w:r w:rsidR="00033D0F">
        <w:t>so,</w:t>
      </w:r>
      <w:r w:rsidR="00033D0F">
        <w:rPr>
          <w:spacing w:val="27"/>
        </w:rPr>
        <w:t xml:space="preserve"> </w:t>
      </w:r>
      <w:r w:rsidR="00033D0F">
        <w:t>China's</w:t>
      </w:r>
      <w:r w:rsidR="00033D0F">
        <w:rPr>
          <w:spacing w:val="27"/>
        </w:rPr>
        <w:t xml:space="preserve"> </w:t>
      </w:r>
      <w:r w:rsidR="00033D0F">
        <w:t>submission</w:t>
      </w:r>
      <w:r w:rsidR="00033D0F">
        <w:rPr>
          <w:spacing w:val="23"/>
        </w:rPr>
        <w:t xml:space="preserve"> </w:t>
      </w:r>
      <w:r w:rsidR="00033D0F">
        <w:t>gives</w:t>
      </w:r>
      <w:r w:rsidR="00033D0F">
        <w:rPr>
          <w:spacing w:val="27"/>
        </w:rPr>
        <w:t xml:space="preserve"> </w:t>
      </w:r>
      <w:r w:rsidR="00033D0F">
        <w:t>the</w:t>
      </w:r>
      <w:r w:rsidR="00033D0F">
        <w:rPr>
          <w:spacing w:val="25"/>
        </w:rPr>
        <w:t xml:space="preserve"> </w:t>
      </w:r>
      <w:r w:rsidR="00033D0F">
        <w:t>appearance</w:t>
      </w:r>
      <w:r w:rsidR="00033D0F">
        <w:rPr>
          <w:spacing w:val="25"/>
        </w:rPr>
        <w:t xml:space="preserve"> </w:t>
      </w:r>
      <w:r w:rsidR="00033D0F">
        <w:t>of</w:t>
      </w:r>
      <w:r w:rsidR="00033D0F">
        <w:rPr>
          <w:spacing w:val="24"/>
        </w:rPr>
        <w:t xml:space="preserve"> </w:t>
      </w:r>
      <w:r w:rsidR="00033D0F">
        <w:t>points</w:t>
      </w:r>
      <w:r w:rsidR="00033D0F">
        <w:rPr>
          <w:spacing w:val="27"/>
        </w:rPr>
        <w:t xml:space="preserve"> </w:t>
      </w:r>
      <w:r w:rsidR="00033D0F">
        <w:t>of</w:t>
      </w:r>
    </w:p>
    <w:p w14:paraId="6C4A6ED4" w14:textId="1E8B5EC1" w:rsidR="00BD462C" w:rsidRDefault="00BD462C">
      <w:pPr>
        <w:pStyle w:val="BodyText"/>
        <w:spacing w:before="5"/>
        <w:rPr>
          <w:sz w:val="16"/>
        </w:rPr>
      </w:pPr>
    </w:p>
    <w:p w14:paraId="7E8A9B98" w14:textId="77777777" w:rsidR="00BD462C" w:rsidRDefault="00033D0F">
      <w:pPr>
        <w:spacing w:before="112"/>
        <w:ind w:left="135"/>
        <w:rPr>
          <w:sz w:val="18"/>
        </w:rPr>
      </w:pPr>
      <w:bookmarkStart w:id="1418" w:name="_bookmark1221"/>
      <w:bookmarkEnd w:id="1418"/>
      <w:r>
        <w:rPr>
          <w:position w:val="5"/>
          <w:sz w:val="12"/>
        </w:rPr>
        <w:t>1049</w:t>
      </w:r>
      <w:r>
        <w:rPr>
          <w:spacing w:val="13"/>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 xml:space="preserve">para. </w:t>
      </w:r>
      <w:r>
        <w:rPr>
          <w:spacing w:val="-2"/>
          <w:sz w:val="18"/>
        </w:rPr>
        <w:t>2266.</w:t>
      </w:r>
    </w:p>
    <w:p w14:paraId="26801BAB" w14:textId="77777777" w:rsidR="00BD462C" w:rsidRDefault="00033D0F">
      <w:pPr>
        <w:spacing w:before="1"/>
        <w:ind w:left="135"/>
        <w:rPr>
          <w:sz w:val="18"/>
        </w:rPr>
      </w:pPr>
      <w:bookmarkStart w:id="1419" w:name="_bookmark1222"/>
      <w:bookmarkEnd w:id="1419"/>
      <w:r>
        <w:rPr>
          <w:position w:val="5"/>
          <w:sz w:val="12"/>
        </w:rPr>
        <w:t>1050</w:t>
      </w:r>
      <w:r>
        <w:rPr>
          <w:spacing w:val="13"/>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paras.</w:t>
      </w:r>
      <w:r>
        <w:rPr>
          <w:spacing w:val="-4"/>
          <w:sz w:val="18"/>
        </w:rPr>
        <w:t xml:space="preserve"> </w:t>
      </w:r>
      <w:r>
        <w:rPr>
          <w:sz w:val="18"/>
        </w:rPr>
        <w:t>2268,</w:t>
      </w:r>
      <w:r>
        <w:rPr>
          <w:spacing w:val="-4"/>
          <w:sz w:val="18"/>
        </w:rPr>
        <w:t xml:space="preserve"> </w:t>
      </w:r>
      <w:r>
        <w:rPr>
          <w:spacing w:val="-2"/>
          <w:sz w:val="18"/>
        </w:rPr>
        <w:t>2339.</w:t>
      </w:r>
    </w:p>
    <w:p w14:paraId="1BB235EE" w14:textId="77777777" w:rsidR="00BD462C" w:rsidRDefault="00033D0F">
      <w:pPr>
        <w:spacing w:before="1"/>
        <w:ind w:left="135"/>
        <w:rPr>
          <w:sz w:val="18"/>
        </w:rPr>
      </w:pPr>
      <w:bookmarkStart w:id="1420" w:name="_bookmark1223"/>
      <w:bookmarkEnd w:id="1420"/>
      <w:r>
        <w:rPr>
          <w:position w:val="5"/>
          <w:sz w:val="12"/>
        </w:rPr>
        <w:t>1051</w:t>
      </w:r>
      <w:r>
        <w:rPr>
          <w:spacing w:val="13"/>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 xml:space="preserve">para. </w:t>
      </w:r>
      <w:r>
        <w:rPr>
          <w:spacing w:val="-2"/>
          <w:sz w:val="18"/>
        </w:rPr>
        <w:t>2269.</w:t>
      </w:r>
    </w:p>
    <w:p w14:paraId="1ECBB7E4" w14:textId="77777777" w:rsidR="00BD462C" w:rsidRDefault="00033D0F">
      <w:pPr>
        <w:spacing w:before="1"/>
        <w:ind w:left="135"/>
        <w:rPr>
          <w:sz w:val="18"/>
        </w:rPr>
      </w:pPr>
      <w:bookmarkStart w:id="1421" w:name="_bookmark1224"/>
      <w:bookmarkEnd w:id="1421"/>
      <w:r>
        <w:rPr>
          <w:position w:val="5"/>
          <w:sz w:val="12"/>
        </w:rPr>
        <w:t>1052</w:t>
      </w:r>
      <w:r>
        <w:rPr>
          <w:spacing w:val="14"/>
          <w:position w:val="5"/>
          <w:sz w:val="12"/>
        </w:rPr>
        <w:t xml:space="preserve"> </w:t>
      </w:r>
      <w:r>
        <w:rPr>
          <w:sz w:val="18"/>
        </w:rPr>
        <w:t>Panel</w:t>
      </w:r>
      <w:r>
        <w:rPr>
          <w:spacing w:val="-3"/>
          <w:sz w:val="18"/>
        </w:rPr>
        <w:t xml:space="preserve"> </w:t>
      </w:r>
      <w:r>
        <w:rPr>
          <w:sz w:val="18"/>
        </w:rPr>
        <w:t>Report,</w:t>
      </w:r>
      <w:r>
        <w:rPr>
          <w:spacing w:val="-3"/>
          <w:sz w:val="18"/>
        </w:rPr>
        <w:t xml:space="preserve"> </w:t>
      </w:r>
      <w:r>
        <w:rPr>
          <w:i/>
          <w:sz w:val="18"/>
        </w:rPr>
        <w:t>China</w:t>
      </w:r>
      <w:r>
        <w:rPr>
          <w:i/>
          <w:spacing w:val="-3"/>
          <w:sz w:val="18"/>
        </w:rPr>
        <w:t xml:space="preserve"> </w:t>
      </w:r>
      <w:r>
        <w:rPr>
          <w:i/>
          <w:sz w:val="18"/>
        </w:rPr>
        <w:t>X-Ray</w:t>
      </w:r>
      <w:r>
        <w:rPr>
          <w:i/>
          <w:spacing w:val="-5"/>
          <w:sz w:val="18"/>
        </w:rPr>
        <w:t xml:space="preserve"> </w:t>
      </w:r>
      <w:r>
        <w:rPr>
          <w:i/>
          <w:sz w:val="18"/>
        </w:rPr>
        <w:t>Equipment</w:t>
      </w:r>
      <w:r>
        <w:rPr>
          <w:sz w:val="18"/>
        </w:rPr>
        <w:t>,</w:t>
      </w:r>
      <w:r>
        <w:rPr>
          <w:spacing w:val="-2"/>
          <w:sz w:val="18"/>
        </w:rPr>
        <w:t xml:space="preserve"> </w:t>
      </w:r>
      <w:r>
        <w:rPr>
          <w:sz w:val="18"/>
        </w:rPr>
        <w:t>para.</w:t>
      </w:r>
      <w:r>
        <w:rPr>
          <w:spacing w:val="-4"/>
          <w:sz w:val="18"/>
        </w:rPr>
        <w:t xml:space="preserve"> </w:t>
      </w:r>
      <w:r>
        <w:rPr>
          <w:spacing w:val="-2"/>
          <w:sz w:val="18"/>
        </w:rPr>
        <w:t>7.368.</w:t>
      </w:r>
    </w:p>
    <w:p w14:paraId="085A63CC" w14:textId="77777777" w:rsidR="00BD462C" w:rsidRDefault="00BD462C">
      <w:pPr>
        <w:rPr>
          <w:sz w:val="18"/>
        </w:rPr>
        <w:sectPr w:rsidR="00BD462C">
          <w:pgSz w:w="11910" w:h="16840"/>
          <w:pgMar w:top="860" w:right="500" w:bottom="780" w:left="1280" w:header="566" w:footer="590" w:gutter="0"/>
          <w:cols w:space="720"/>
        </w:sectPr>
      </w:pPr>
    </w:p>
    <w:p w14:paraId="0EB344E8"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0E6729D0"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26BBC683"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0CBB610A" w14:textId="77777777" w:rsidR="00BD462C" w:rsidRDefault="00033D0F">
      <w:pPr>
        <w:pStyle w:val="BodyText"/>
        <w:spacing w:before="102" w:line="357" w:lineRule="auto"/>
        <w:ind w:left="135"/>
      </w:pPr>
      <w:r>
        <w:t>disagreement between</w:t>
      </w:r>
      <w:r>
        <w:rPr>
          <w:spacing w:val="-1"/>
        </w:rPr>
        <w:t xml:space="preserve"> </w:t>
      </w:r>
      <w:r>
        <w:t>the parties that simply do</w:t>
      </w:r>
      <w:r>
        <w:rPr>
          <w:spacing w:val="-2"/>
        </w:rPr>
        <w:t xml:space="preserve"> </w:t>
      </w:r>
      <w:r>
        <w:t>not exist. Once the misrepresentations are corrected, Australia's arguments in this context remain uncontested.</w:t>
      </w:r>
    </w:p>
    <w:p w14:paraId="0B86811F" w14:textId="77777777" w:rsidR="00BD462C" w:rsidRDefault="00BD462C">
      <w:pPr>
        <w:pStyle w:val="BodyText"/>
        <w:spacing w:before="3"/>
        <w:rPr>
          <w:sz w:val="9"/>
        </w:rPr>
      </w:pPr>
    </w:p>
    <w:p w14:paraId="4214367D" w14:textId="360688E3" w:rsidR="00BD462C" w:rsidRDefault="00A246C2">
      <w:pPr>
        <w:pStyle w:val="BodyText"/>
        <w:spacing w:before="56" w:line="360" w:lineRule="auto"/>
        <w:ind w:left="136" w:right="917"/>
        <w:jc w:val="both"/>
      </w:pPr>
      <w:r>
        <w:rPr>
          <w:noProof/>
        </w:rPr>
        <w:t>676.</w:t>
      </w:r>
      <w:r w:rsidR="00033D0F">
        <w:rPr>
          <w:rFonts w:ascii="Times New Roman"/>
          <w:spacing w:val="80"/>
          <w:position w:val="1"/>
          <w:sz w:val="20"/>
        </w:rPr>
        <w:t xml:space="preserve">  </w:t>
      </w:r>
      <w:r w:rsidR="00033D0F">
        <w:rPr>
          <w:position w:val="1"/>
        </w:rPr>
        <w:t xml:space="preserve">First, China contends that Australia asks the Panel to engage in a </w:t>
      </w:r>
      <w:r w:rsidR="00033D0F">
        <w:rPr>
          <w:i/>
          <w:position w:val="1"/>
        </w:rPr>
        <w:t xml:space="preserve">de novo </w:t>
      </w:r>
      <w:r w:rsidR="00033D0F">
        <w:rPr>
          <w:position w:val="1"/>
        </w:rPr>
        <w:t xml:space="preserve">review of </w:t>
      </w:r>
      <w:r w:rsidR="00033D0F">
        <w:t>MOFCOM's grant of confidentiality.</w:t>
      </w:r>
      <w:hyperlink w:anchor="_bookmark1225" w:history="1">
        <w:r w:rsidR="00033D0F">
          <w:rPr>
            <w:vertAlign w:val="superscript"/>
          </w:rPr>
          <w:t>1053</w:t>
        </w:r>
      </w:hyperlink>
      <w:r w:rsidR="00033D0F">
        <w:t xml:space="preserve"> No such request is made. China's asserted basis for this claim are submissions made by Australia that certain information is "unlikely to be genuinely confidential on its face".</w:t>
      </w:r>
      <w:hyperlink w:anchor="_bookmark1226" w:history="1">
        <w:r w:rsidR="00033D0F">
          <w:rPr>
            <w:vertAlign w:val="superscript"/>
          </w:rPr>
          <w:t>1054</w:t>
        </w:r>
      </w:hyperlink>
    </w:p>
    <w:p w14:paraId="1C7B240B" w14:textId="77777777" w:rsidR="00BD462C" w:rsidRDefault="00BD462C">
      <w:pPr>
        <w:pStyle w:val="BodyText"/>
        <w:spacing w:before="8"/>
        <w:rPr>
          <w:sz w:val="8"/>
        </w:rPr>
      </w:pPr>
    </w:p>
    <w:p w14:paraId="3B226A2D" w14:textId="5847C85D" w:rsidR="00BD462C" w:rsidRDefault="00A246C2">
      <w:pPr>
        <w:pStyle w:val="BodyText"/>
        <w:spacing w:before="56" w:line="360" w:lineRule="auto"/>
        <w:ind w:left="135" w:right="913"/>
        <w:jc w:val="both"/>
      </w:pPr>
      <w:r>
        <w:rPr>
          <w:noProof/>
        </w:rPr>
        <w:t>677.</w:t>
      </w:r>
      <w:r w:rsidR="00033D0F">
        <w:rPr>
          <w:rFonts w:ascii="Times New Roman" w:hAnsi="Times New Roman"/>
          <w:spacing w:val="80"/>
          <w:w w:val="150"/>
          <w:position w:val="1"/>
          <w:sz w:val="20"/>
        </w:rPr>
        <w:t xml:space="preserve"> </w:t>
      </w:r>
      <w:r w:rsidR="00033D0F">
        <w:rPr>
          <w:position w:val="1"/>
        </w:rPr>
        <w:t xml:space="preserve">This complaint is surprising given that China </w:t>
      </w:r>
      <w:r w:rsidR="00033D0F">
        <w:rPr>
          <w:i/>
          <w:position w:val="1"/>
        </w:rPr>
        <w:t xml:space="preserve">itself </w:t>
      </w:r>
      <w:r w:rsidR="00033D0F">
        <w:rPr>
          <w:position w:val="1"/>
        </w:rPr>
        <w:t xml:space="preserve">submits that an investigating </w:t>
      </w:r>
      <w:r w:rsidR="00033D0F">
        <w:t xml:space="preserve">authority's finding of "good cause" has to be made, </w:t>
      </w:r>
      <w:r w:rsidR="00033D0F">
        <w:rPr>
          <w:i/>
        </w:rPr>
        <w:t>inter alia</w:t>
      </w:r>
      <w:r w:rsidR="00033D0F">
        <w:t xml:space="preserve">, "in light of the </w:t>
      </w:r>
      <w:r w:rsidR="00033D0F">
        <w:rPr>
          <w:b/>
        </w:rPr>
        <w:t xml:space="preserve">nature </w:t>
      </w:r>
      <w:r w:rsidR="00033D0F">
        <w:t>of the information at issue".</w:t>
      </w:r>
      <w:hyperlink w:anchor="_bookmark1227" w:history="1">
        <w:r w:rsidR="00033D0F">
          <w:rPr>
            <w:vertAlign w:val="superscript"/>
          </w:rPr>
          <w:t>1055</w:t>
        </w:r>
      </w:hyperlink>
      <w:r w:rsidR="00033D0F">
        <w:t xml:space="preserve"> Australia agrees with this proposition, which was taken from the Appellate Body's report in </w:t>
      </w:r>
      <w:r w:rsidR="00033D0F">
        <w:rPr>
          <w:i/>
        </w:rPr>
        <w:t xml:space="preserve">EC – Fasteners (China) </w:t>
      </w:r>
      <w:r w:rsidR="00033D0F">
        <w:t>and quoted in Australia's first written submission.</w:t>
      </w:r>
      <w:hyperlink w:anchor="_bookmark1228" w:history="1">
        <w:r w:rsidR="00033D0F">
          <w:rPr>
            <w:vertAlign w:val="superscript"/>
          </w:rPr>
          <w:t>1056</w:t>
        </w:r>
      </w:hyperlink>
      <w:r w:rsidR="00033D0F">
        <w:t xml:space="preserve"> Further, this proposition is consistent</w:t>
      </w:r>
      <w:r w:rsidR="00033D0F">
        <w:rPr>
          <w:spacing w:val="-2"/>
        </w:rPr>
        <w:t xml:space="preserve"> </w:t>
      </w:r>
      <w:r w:rsidR="00033D0F">
        <w:t>with Australia's submission that regard should be had by an investigating authority, and a reviewing panel, to the apparently non- confidential</w:t>
      </w:r>
      <w:r w:rsidR="00033D0F">
        <w:rPr>
          <w:spacing w:val="-2"/>
        </w:rPr>
        <w:t xml:space="preserve"> </w:t>
      </w:r>
      <w:r w:rsidR="00033D0F">
        <w:t>character</w:t>
      </w:r>
      <w:r w:rsidR="00033D0F">
        <w:rPr>
          <w:spacing w:val="-6"/>
        </w:rPr>
        <w:t xml:space="preserve"> </w:t>
      </w:r>
      <w:r w:rsidR="00033D0F">
        <w:t>of</w:t>
      </w:r>
      <w:r w:rsidR="00033D0F">
        <w:rPr>
          <w:spacing w:val="-5"/>
        </w:rPr>
        <w:t xml:space="preserve"> </w:t>
      </w:r>
      <w:r w:rsidR="00033D0F">
        <w:t>the</w:t>
      </w:r>
      <w:r w:rsidR="00033D0F">
        <w:rPr>
          <w:spacing w:val="-4"/>
        </w:rPr>
        <w:t xml:space="preserve"> </w:t>
      </w:r>
      <w:r w:rsidR="00033D0F">
        <w:t>information</w:t>
      </w:r>
      <w:r w:rsidR="00033D0F">
        <w:rPr>
          <w:spacing w:val="-5"/>
        </w:rPr>
        <w:t xml:space="preserve"> </w:t>
      </w:r>
      <w:r w:rsidR="00033D0F">
        <w:t>in</w:t>
      </w:r>
      <w:r w:rsidR="00033D0F">
        <w:rPr>
          <w:spacing w:val="-5"/>
        </w:rPr>
        <w:t xml:space="preserve"> </w:t>
      </w:r>
      <w:r w:rsidR="00033D0F">
        <w:t>making</w:t>
      </w:r>
      <w:r w:rsidR="00033D0F">
        <w:rPr>
          <w:spacing w:val="-3"/>
        </w:rPr>
        <w:t xml:space="preserve"> </w:t>
      </w:r>
      <w:r w:rsidR="00033D0F">
        <w:t>its</w:t>
      </w:r>
      <w:r w:rsidR="00033D0F">
        <w:rPr>
          <w:spacing w:val="-3"/>
        </w:rPr>
        <w:t xml:space="preserve"> </w:t>
      </w:r>
      <w:r w:rsidR="00033D0F">
        <w:t>assessment</w:t>
      </w:r>
      <w:r w:rsidR="00033D0F">
        <w:rPr>
          <w:spacing w:val="-4"/>
        </w:rPr>
        <w:t xml:space="preserve"> </w:t>
      </w:r>
      <w:r w:rsidR="00033D0F">
        <w:t>of</w:t>
      </w:r>
      <w:r w:rsidR="00033D0F">
        <w:rPr>
          <w:spacing w:val="-5"/>
        </w:rPr>
        <w:t xml:space="preserve"> </w:t>
      </w:r>
      <w:r w:rsidR="00033D0F">
        <w:t>"good</w:t>
      </w:r>
      <w:r w:rsidR="00033D0F">
        <w:rPr>
          <w:spacing w:val="-5"/>
        </w:rPr>
        <w:t xml:space="preserve"> </w:t>
      </w:r>
      <w:r w:rsidR="00033D0F">
        <w:t>cause</w:t>
      </w:r>
      <w:r w:rsidR="00033D0F">
        <w:rPr>
          <w:spacing w:val="-4"/>
        </w:rPr>
        <w:t xml:space="preserve"> </w:t>
      </w:r>
      <w:r w:rsidR="00033D0F">
        <w:t>shown"</w:t>
      </w:r>
      <w:r w:rsidR="00033D0F">
        <w:rPr>
          <w:spacing w:val="-4"/>
        </w:rPr>
        <w:t xml:space="preserve"> </w:t>
      </w:r>
      <w:r w:rsidR="00033D0F">
        <w:t>for confidential</w:t>
      </w:r>
      <w:r w:rsidR="00033D0F">
        <w:rPr>
          <w:spacing w:val="-14"/>
        </w:rPr>
        <w:t xml:space="preserve"> </w:t>
      </w:r>
      <w:r w:rsidR="00033D0F">
        <w:t>treatment.</w:t>
      </w:r>
      <w:r w:rsidR="00033D0F">
        <w:rPr>
          <w:spacing w:val="-14"/>
        </w:rPr>
        <w:t xml:space="preserve"> </w:t>
      </w:r>
      <w:r w:rsidR="00033D0F">
        <w:t>Such</w:t>
      </w:r>
      <w:r w:rsidR="00033D0F">
        <w:rPr>
          <w:spacing w:val="-13"/>
        </w:rPr>
        <w:t xml:space="preserve"> </w:t>
      </w:r>
      <w:r w:rsidR="00033D0F">
        <w:t>consideration</w:t>
      </w:r>
      <w:r w:rsidR="00033D0F">
        <w:rPr>
          <w:spacing w:val="-14"/>
        </w:rPr>
        <w:t xml:space="preserve"> </w:t>
      </w:r>
      <w:r w:rsidR="00033D0F">
        <w:t>does</w:t>
      </w:r>
      <w:r w:rsidR="00033D0F">
        <w:rPr>
          <w:spacing w:val="-13"/>
        </w:rPr>
        <w:t xml:space="preserve"> </w:t>
      </w:r>
      <w:r w:rsidR="00033D0F">
        <w:t>not</w:t>
      </w:r>
      <w:r w:rsidR="00033D0F">
        <w:rPr>
          <w:spacing w:val="-14"/>
        </w:rPr>
        <w:t xml:space="preserve"> </w:t>
      </w:r>
      <w:r w:rsidR="00033D0F">
        <w:t>involve</w:t>
      </w:r>
      <w:r w:rsidR="00033D0F">
        <w:rPr>
          <w:spacing w:val="-13"/>
        </w:rPr>
        <w:t xml:space="preserve"> </w:t>
      </w:r>
      <w:r w:rsidR="00033D0F">
        <w:t>the</w:t>
      </w:r>
      <w:r w:rsidR="00033D0F">
        <w:rPr>
          <w:spacing w:val="-14"/>
        </w:rPr>
        <w:t xml:space="preserve"> </w:t>
      </w:r>
      <w:r w:rsidR="00033D0F">
        <w:t>Panel</w:t>
      </w:r>
      <w:r w:rsidR="00033D0F">
        <w:rPr>
          <w:spacing w:val="-14"/>
        </w:rPr>
        <w:t xml:space="preserve"> </w:t>
      </w:r>
      <w:r w:rsidR="00033D0F">
        <w:t>undertaking</w:t>
      </w:r>
      <w:r w:rsidR="00033D0F">
        <w:rPr>
          <w:spacing w:val="-13"/>
        </w:rPr>
        <w:t xml:space="preserve"> </w:t>
      </w:r>
      <w:r w:rsidR="00033D0F">
        <w:t>a</w:t>
      </w:r>
      <w:r w:rsidR="00033D0F">
        <w:rPr>
          <w:spacing w:val="-14"/>
        </w:rPr>
        <w:t xml:space="preserve"> </w:t>
      </w:r>
      <w:r w:rsidR="00033D0F">
        <w:t>"</w:t>
      </w:r>
      <w:r w:rsidR="00033D0F">
        <w:rPr>
          <w:i/>
        </w:rPr>
        <w:t>de</w:t>
      </w:r>
      <w:r w:rsidR="00033D0F">
        <w:rPr>
          <w:i/>
          <w:spacing w:val="-13"/>
        </w:rPr>
        <w:t xml:space="preserve"> </w:t>
      </w:r>
      <w:r w:rsidR="00033D0F">
        <w:rPr>
          <w:i/>
        </w:rPr>
        <w:t>novo</w:t>
      </w:r>
      <w:r w:rsidR="00033D0F">
        <w:t>" review, but instead informs its assessment of whether the investigating authority's assessment</w:t>
      </w:r>
      <w:r w:rsidR="00033D0F">
        <w:rPr>
          <w:spacing w:val="-11"/>
        </w:rPr>
        <w:t xml:space="preserve"> </w:t>
      </w:r>
      <w:r w:rsidR="00033D0F">
        <w:t>was</w:t>
      </w:r>
      <w:r w:rsidR="00033D0F">
        <w:rPr>
          <w:spacing w:val="-10"/>
        </w:rPr>
        <w:t xml:space="preserve"> </w:t>
      </w:r>
      <w:r w:rsidR="00033D0F">
        <w:t>unbiased</w:t>
      </w:r>
      <w:r w:rsidR="00033D0F">
        <w:rPr>
          <w:spacing w:val="-14"/>
        </w:rPr>
        <w:t xml:space="preserve"> </w:t>
      </w:r>
      <w:r w:rsidR="00033D0F">
        <w:t>and</w:t>
      </w:r>
      <w:r w:rsidR="00033D0F">
        <w:rPr>
          <w:spacing w:val="-13"/>
        </w:rPr>
        <w:t xml:space="preserve"> </w:t>
      </w:r>
      <w:r w:rsidR="00033D0F">
        <w:t>objective.</w:t>
      </w:r>
      <w:r w:rsidR="00033D0F">
        <w:rPr>
          <w:spacing w:val="-11"/>
        </w:rPr>
        <w:t xml:space="preserve"> </w:t>
      </w:r>
      <w:r w:rsidR="00033D0F">
        <w:t>Australia</w:t>
      </w:r>
      <w:r w:rsidR="00033D0F">
        <w:rPr>
          <w:spacing w:val="-12"/>
        </w:rPr>
        <w:t xml:space="preserve"> </w:t>
      </w:r>
      <w:r w:rsidR="00033D0F">
        <w:t>does</w:t>
      </w:r>
      <w:r w:rsidR="00033D0F">
        <w:rPr>
          <w:spacing w:val="-10"/>
        </w:rPr>
        <w:t xml:space="preserve"> </w:t>
      </w:r>
      <w:r w:rsidR="00033D0F">
        <w:t>not</w:t>
      </w:r>
      <w:r w:rsidR="00033D0F">
        <w:rPr>
          <w:spacing w:val="-7"/>
        </w:rPr>
        <w:t xml:space="preserve"> </w:t>
      </w:r>
      <w:r w:rsidR="00033D0F">
        <w:t>understand</w:t>
      </w:r>
      <w:r w:rsidR="00033D0F">
        <w:rPr>
          <w:spacing w:val="-14"/>
        </w:rPr>
        <w:t xml:space="preserve"> </w:t>
      </w:r>
      <w:r w:rsidR="00033D0F">
        <w:t>China</w:t>
      </w:r>
      <w:r w:rsidR="00033D0F">
        <w:rPr>
          <w:spacing w:val="-11"/>
        </w:rPr>
        <w:t xml:space="preserve"> </w:t>
      </w:r>
      <w:r w:rsidR="00033D0F">
        <w:t>to</w:t>
      </w:r>
      <w:r w:rsidR="00033D0F">
        <w:rPr>
          <w:spacing w:val="-10"/>
        </w:rPr>
        <w:t xml:space="preserve"> </w:t>
      </w:r>
      <w:r w:rsidR="00033D0F">
        <w:t>disagree</w:t>
      </w:r>
      <w:r w:rsidR="00033D0F">
        <w:rPr>
          <w:spacing w:val="-12"/>
        </w:rPr>
        <w:t xml:space="preserve"> </w:t>
      </w:r>
      <w:r w:rsidR="00033D0F">
        <w:t>with this proposition.</w:t>
      </w:r>
    </w:p>
    <w:p w14:paraId="32501252" w14:textId="77777777" w:rsidR="00BD462C" w:rsidRDefault="00BD462C">
      <w:pPr>
        <w:pStyle w:val="BodyText"/>
        <w:spacing w:before="4"/>
        <w:rPr>
          <w:sz w:val="8"/>
        </w:rPr>
      </w:pPr>
    </w:p>
    <w:p w14:paraId="44DBA2B0" w14:textId="35642625" w:rsidR="00BD462C" w:rsidRDefault="00A246C2">
      <w:pPr>
        <w:pStyle w:val="BodyText"/>
        <w:spacing w:before="57" w:line="360" w:lineRule="auto"/>
        <w:ind w:left="135" w:right="911"/>
        <w:jc w:val="both"/>
      </w:pPr>
      <w:r>
        <w:rPr>
          <w:noProof/>
        </w:rPr>
        <w:t>678.</w:t>
      </w:r>
      <w:r w:rsidR="00033D0F">
        <w:rPr>
          <w:rFonts w:ascii="Times New Roman"/>
          <w:spacing w:val="80"/>
          <w:position w:val="1"/>
          <w:sz w:val="20"/>
        </w:rPr>
        <w:t xml:space="preserve">  </w:t>
      </w:r>
      <w:r w:rsidR="00033D0F">
        <w:rPr>
          <w:position w:val="1"/>
        </w:rPr>
        <w:t>Second,</w:t>
      </w:r>
      <w:r w:rsidR="00033D0F">
        <w:rPr>
          <w:spacing w:val="-11"/>
          <w:position w:val="1"/>
        </w:rPr>
        <w:t xml:space="preserve"> </w:t>
      </w:r>
      <w:r w:rsidR="00033D0F">
        <w:rPr>
          <w:position w:val="1"/>
        </w:rPr>
        <w:t>China</w:t>
      </w:r>
      <w:r w:rsidR="00033D0F">
        <w:rPr>
          <w:spacing w:val="-12"/>
          <w:position w:val="1"/>
        </w:rPr>
        <w:t xml:space="preserve"> </w:t>
      </w:r>
      <w:r w:rsidR="00033D0F">
        <w:rPr>
          <w:position w:val="1"/>
        </w:rPr>
        <w:t>unfairly</w:t>
      </w:r>
      <w:r w:rsidR="00033D0F">
        <w:rPr>
          <w:spacing w:val="-12"/>
          <w:position w:val="1"/>
        </w:rPr>
        <w:t xml:space="preserve"> </w:t>
      </w:r>
      <w:r w:rsidR="00033D0F">
        <w:rPr>
          <w:position w:val="1"/>
        </w:rPr>
        <w:t>and</w:t>
      </w:r>
      <w:r w:rsidR="00033D0F">
        <w:rPr>
          <w:spacing w:val="-14"/>
          <w:position w:val="1"/>
        </w:rPr>
        <w:t xml:space="preserve"> </w:t>
      </w:r>
      <w:r w:rsidR="00033D0F">
        <w:rPr>
          <w:position w:val="1"/>
        </w:rPr>
        <w:t>inaccurately</w:t>
      </w:r>
      <w:r w:rsidR="00033D0F">
        <w:rPr>
          <w:spacing w:val="-11"/>
          <w:position w:val="1"/>
        </w:rPr>
        <w:t xml:space="preserve"> </w:t>
      </w:r>
      <w:r w:rsidR="00033D0F">
        <w:rPr>
          <w:position w:val="1"/>
        </w:rPr>
        <w:t>alleges</w:t>
      </w:r>
      <w:r w:rsidR="00033D0F">
        <w:rPr>
          <w:spacing w:val="-14"/>
          <w:position w:val="1"/>
        </w:rPr>
        <w:t xml:space="preserve"> </w:t>
      </w:r>
      <w:r w:rsidR="00033D0F">
        <w:rPr>
          <w:position w:val="1"/>
        </w:rPr>
        <w:t>that</w:t>
      </w:r>
      <w:r w:rsidR="00033D0F">
        <w:rPr>
          <w:spacing w:val="-11"/>
          <w:position w:val="1"/>
        </w:rPr>
        <w:t xml:space="preserve"> </w:t>
      </w:r>
      <w:r w:rsidR="00033D0F">
        <w:rPr>
          <w:position w:val="1"/>
        </w:rPr>
        <w:t>Australia</w:t>
      </w:r>
      <w:r w:rsidR="00033D0F">
        <w:rPr>
          <w:spacing w:val="-12"/>
          <w:position w:val="1"/>
        </w:rPr>
        <w:t xml:space="preserve"> </w:t>
      </w:r>
      <w:r w:rsidR="00033D0F">
        <w:rPr>
          <w:position w:val="1"/>
        </w:rPr>
        <w:t>"posited"</w:t>
      </w:r>
      <w:r w:rsidR="00033D0F">
        <w:rPr>
          <w:spacing w:val="-13"/>
          <w:position w:val="1"/>
        </w:rPr>
        <w:t xml:space="preserve"> </w:t>
      </w:r>
      <w:r w:rsidR="00033D0F">
        <w:rPr>
          <w:position w:val="1"/>
        </w:rPr>
        <w:t>that</w:t>
      </w:r>
      <w:r w:rsidR="00033D0F">
        <w:rPr>
          <w:spacing w:val="-12"/>
          <w:position w:val="1"/>
        </w:rPr>
        <w:t xml:space="preserve"> </w:t>
      </w:r>
      <w:r w:rsidR="00033D0F">
        <w:rPr>
          <w:position w:val="1"/>
        </w:rPr>
        <w:t>the</w:t>
      </w:r>
      <w:r w:rsidR="00033D0F">
        <w:rPr>
          <w:spacing w:val="-12"/>
          <w:position w:val="1"/>
        </w:rPr>
        <w:t xml:space="preserve"> </w:t>
      </w:r>
      <w:r w:rsidR="00033D0F">
        <w:rPr>
          <w:position w:val="1"/>
        </w:rPr>
        <w:t xml:space="preserve">Panel </w:t>
      </w:r>
      <w:r w:rsidR="00033D0F">
        <w:t>should "restrict itself to MOFCOM's determinations and supporting documents" when identifying "evidence" of whether MOFCOM objectively assessed the existence of "good cause".</w:t>
      </w:r>
      <w:hyperlink w:anchor="_bookmark1229" w:history="1">
        <w:r w:rsidR="00033D0F">
          <w:rPr>
            <w:vertAlign w:val="superscript"/>
          </w:rPr>
          <w:t>1057</w:t>
        </w:r>
      </w:hyperlink>
      <w:r w:rsidR="00033D0F">
        <w:rPr>
          <w:spacing w:val="80"/>
        </w:rPr>
        <w:t xml:space="preserve"> </w:t>
      </w:r>
      <w:r w:rsidR="00033D0F">
        <w:t>The</w:t>
      </w:r>
      <w:r w:rsidR="00033D0F">
        <w:rPr>
          <w:spacing w:val="80"/>
        </w:rPr>
        <w:t xml:space="preserve"> </w:t>
      </w:r>
      <w:r w:rsidR="00033D0F">
        <w:t>paragraph</w:t>
      </w:r>
      <w:r w:rsidR="00033D0F">
        <w:rPr>
          <w:spacing w:val="80"/>
        </w:rPr>
        <w:t xml:space="preserve"> </w:t>
      </w:r>
      <w:r w:rsidR="00033D0F">
        <w:t>of</w:t>
      </w:r>
      <w:r w:rsidR="00033D0F">
        <w:rPr>
          <w:spacing w:val="80"/>
        </w:rPr>
        <w:t xml:space="preserve"> </w:t>
      </w:r>
      <w:r w:rsidR="00033D0F">
        <w:t>Australia's</w:t>
      </w:r>
      <w:r w:rsidR="00033D0F">
        <w:rPr>
          <w:spacing w:val="80"/>
        </w:rPr>
        <w:t xml:space="preserve"> </w:t>
      </w:r>
      <w:r w:rsidR="00033D0F">
        <w:t>first</w:t>
      </w:r>
      <w:r w:rsidR="00033D0F">
        <w:rPr>
          <w:spacing w:val="80"/>
        </w:rPr>
        <w:t xml:space="preserve"> </w:t>
      </w:r>
      <w:r w:rsidR="00033D0F">
        <w:t>written</w:t>
      </w:r>
      <w:r w:rsidR="00033D0F">
        <w:rPr>
          <w:spacing w:val="80"/>
        </w:rPr>
        <w:t xml:space="preserve"> </w:t>
      </w:r>
      <w:r w:rsidR="00033D0F">
        <w:t>submission</w:t>
      </w:r>
      <w:r w:rsidR="00033D0F">
        <w:rPr>
          <w:spacing w:val="80"/>
        </w:rPr>
        <w:t xml:space="preserve"> </w:t>
      </w:r>
      <w:r w:rsidR="00033D0F">
        <w:t>that</w:t>
      </w:r>
      <w:r w:rsidR="00033D0F">
        <w:rPr>
          <w:spacing w:val="80"/>
        </w:rPr>
        <w:t xml:space="preserve"> </w:t>
      </w:r>
      <w:r w:rsidR="00033D0F">
        <w:t>China</w:t>
      </w:r>
      <w:r w:rsidR="00033D0F">
        <w:rPr>
          <w:spacing w:val="80"/>
        </w:rPr>
        <w:t xml:space="preserve"> </w:t>
      </w:r>
      <w:r w:rsidR="00033D0F">
        <w:t>cites</w:t>
      </w:r>
      <w:r w:rsidR="00033D0F">
        <w:rPr>
          <w:spacing w:val="80"/>
        </w:rPr>
        <w:t xml:space="preserve"> </w:t>
      </w:r>
      <w:r w:rsidR="00033D0F">
        <w:t>to</w:t>
      </w:r>
    </w:p>
    <w:p w14:paraId="38FD1E0B" w14:textId="77777777" w:rsidR="00BD462C" w:rsidRDefault="00BD462C">
      <w:pPr>
        <w:pStyle w:val="BodyText"/>
        <w:rPr>
          <w:sz w:val="20"/>
        </w:rPr>
      </w:pPr>
    </w:p>
    <w:p w14:paraId="6176593F" w14:textId="77777777" w:rsidR="00BD462C" w:rsidRDefault="00BD462C">
      <w:pPr>
        <w:pStyle w:val="BodyText"/>
        <w:rPr>
          <w:sz w:val="20"/>
        </w:rPr>
      </w:pPr>
    </w:p>
    <w:p w14:paraId="144AAA25" w14:textId="36223A00" w:rsidR="00BD462C" w:rsidRDefault="00D600FD">
      <w:pPr>
        <w:pStyle w:val="BodyText"/>
        <w:rPr>
          <w:sz w:val="20"/>
        </w:rPr>
      </w:pPr>
      <w:r>
        <w:rPr>
          <w:noProof/>
        </w:rPr>
        <mc:AlternateContent>
          <mc:Choice Requires="wps">
            <w:drawing>
              <wp:anchor distT="0" distB="0" distL="0" distR="0" simplePos="0" relativeHeight="488165888" behindDoc="1" locked="0" layoutInCell="1" allowOverlap="1" wp14:anchorId="3E615D78" wp14:editId="5A17F428">
                <wp:simplePos x="0" y="0"/>
                <wp:positionH relativeFrom="page">
                  <wp:posOffset>812800</wp:posOffset>
                </wp:positionH>
                <wp:positionV relativeFrom="paragraph">
                  <wp:posOffset>323850</wp:posOffset>
                </wp:positionV>
                <wp:extent cx="1828800" cy="8890"/>
                <wp:effectExtent l="0" t="0" r="0" b="0"/>
                <wp:wrapTopAndBottom/>
                <wp:docPr id="141" name="docshape7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C970AF" id="docshape705" o:spid="_x0000_s1026" alt="&quot;&quot;" style="position:absolute;margin-left:64pt;margin-top:25.5pt;width:2in;height:.7pt;z-index:-1515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" fillcolor="black" stroked="f">
                <w10:wrap type="topAndBottom" anchorx="page"/>
              </v:rect>
            </w:pict>
          </mc:Fallback>
        </mc:AlternateContent>
      </w:r>
    </w:p>
    <w:p w14:paraId="0F6E0245" w14:textId="54F78125" w:rsidR="00BD462C" w:rsidRDefault="00BD462C">
      <w:pPr>
        <w:pStyle w:val="BodyText"/>
        <w:spacing w:before="6"/>
        <w:rPr>
          <w:sz w:val="21"/>
        </w:rPr>
      </w:pPr>
    </w:p>
    <w:p w14:paraId="0A59C6B8" w14:textId="77777777" w:rsidR="00BD462C" w:rsidRDefault="00033D0F">
      <w:pPr>
        <w:spacing w:before="112"/>
        <w:ind w:left="136" w:right="909" w:hanging="1"/>
        <w:jc w:val="both"/>
        <w:rPr>
          <w:sz w:val="18"/>
        </w:rPr>
      </w:pPr>
      <w:bookmarkStart w:id="1422" w:name="_bookmark1225"/>
      <w:bookmarkEnd w:id="1422"/>
      <w:r>
        <w:rPr>
          <w:position w:val="5"/>
          <w:sz w:val="12"/>
        </w:rPr>
        <w:t>1053</w:t>
      </w:r>
      <w:r>
        <w:rPr>
          <w:spacing w:val="11"/>
          <w:position w:val="5"/>
          <w:sz w:val="12"/>
        </w:rPr>
        <w:t xml:space="preserve"> </w:t>
      </w:r>
      <w:r>
        <w:rPr>
          <w:sz w:val="18"/>
        </w:rPr>
        <w:t>China's</w:t>
      </w:r>
      <w:r>
        <w:rPr>
          <w:spacing w:val="-8"/>
          <w:sz w:val="18"/>
        </w:rPr>
        <w:t xml:space="preserve"> </w:t>
      </w:r>
      <w:r>
        <w:rPr>
          <w:sz w:val="18"/>
        </w:rPr>
        <w:t>first</w:t>
      </w:r>
      <w:r>
        <w:rPr>
          <w:spacing w:val="-7"/>
          <w:sz w:val="18"/>
        </w:rPr>
        <w:t xml:space="preserve"> </w:t>
      </w:r>
      <w:r>
        <w:rPr>
          <w:sz w:val="18"/>
        </w:rPr>
        <w:t>written</w:t>
      </w:r>
      <w:r>
        <w:rPr>
          <w:spacing w:val="-9"/>
          <w:sz w:val="18"/>
        </w:rPr>
        <w:t xml:space="preserve"> </w:t>
      </w:r>
      <w:r>
        <w:rPr>
          <w:sz w:val="18"/>
        </w:rPr>
        <w:t>submission,</w:t>
      </w:r>
      <w:r>
        <w:rPr>
          <w:spacing w:val="-6"/>
          <w:sz w:val="18"/>
        </w:rPr>
        <w:t xml:space="preserve"> </w:t>
      </w:r>
      <w:r>
        <w:rPr>
          <w:sz w:val="18"/>
        </w:rPr>
        <w:t>para.</w:t>
      </w:r>
      <w:r>
        <w:rPr>
          <w:spacing w:val="-7"/>
          <w:sz w:val="18"/>
        </w:rPr>
        <w:t xml:space="preserve"> </w:t>
      </w:r>
      <w:r>
        <w:rPr>
          <w:sz w:val="18"/>
        </w:rPr>
        <w:t>2328.</w:t>
      </w:r>
      <w:r>
        <w:rPr>
          <w:spacing w:val="-7"/>
          <w:sz w:val="18"/>
        </w:rPr>
        <w:t xml:space="preserve"> </w:t>
      </w:r>
      <w:r>
        <w:rPr>
          <w:sz w:val="18"/>
        </w:rPr>
        <w:t>China</w:t>
      </w:r>
      <w:r>
        <w:rPr>
          <w:spacing w:val="-9"/>
          <w:sz w:val="18"/>
        </w:rPr>
        <w:t xml:space="preserve"> </w:t>
      </w:r>
      <w:r>
        <w:rPr>
          <w:sz w:val="18"/>
        </w:rPr>
        <w:t>states</w:t>
      </w:r>
      <w:r>
        <w:rPr>
          <w:spacing w:val="-8"/>
          <w:sz w:val="18"/>
        </w:rPr>
        <w:t xml:space="preserve"> </w:t>
      </w:r>
      <w:r>
        <w:rPr>
          <w:sz w:val="18"/>
        </w:rPr>
        <w:t>that</w:t>
      </w:r>
      <w:r>
        <w:rPr>
          <w:spacing w:val="-2"/>
          <w:sz w:val="18"/>
        </w:rPr>
        <w:t xml:space="preserve"> </w:t>
      </w:r>
      <w:r>
        <w:rPr>
          <w:sz w:val="18"/>
        </w:rPr>
        <w:t>"Australia</w:t>
      </w:r>
      <w:r>
        <w:rPr>
          <w:spacing w:val="-10"/>
          <w:sz w:val="18"/>
        </w:rPr>
        <w:t xml:space="preserve"> </w:t>
      </w:r>
      <w:r>
        <w:rPr>
          <w:sz w:val="18"/>
        </w:rPr>
        <w:t>seeks</w:t>
      </w:r>
      <w:r>
        <w:rPr>
          <w:spacing w:val="-8"/>
          <w:sz w:val="18"/>
        </w:rPr>
        <w:t xml:space="preserve"> </w:t>
      </w:r>
      <w:r>
        <w:rPr>
          <w:sz w:val="18"/>
        </w:rPr>
        <w:t>to</w:t>
      </w:r>
      <w:r>
        <w:rPr>
          <w:spacing w:val="-9"/>
          <w:sz w:val="18"/>
        </w:rPr>
        <w:t xml:space="preserve"> </w:t>
      </w:r>
      <w:r>
        <w:rPr>
          <w:sz w:val="18"/>
        </w:rPr>
        <w:t>improperly</w:t>
      </w:r>
      <w:r>
        <w:rPr>
          <w:spacing w:val="-5"/>
          <w:sz w:val="18"/>
        </w:rPr>
        <w:t xml:space="preserve"> </w:t>
      </w:r>
      <w:r>
        <w:rPr>
          <w:sz w:val="18"/>
        </w:rPr>
        <w:t>request</w:t>
      </w:r>
      <w:r>
        <w:rPr>
          <w:spacing w:val="-7"/>
          <w:sz w:val="18"/>
        </w:rPr>
        <w:t xml:space="preserve"> </w:t>
      </w:r>
      <w:r>
        <w:rPr>
          <w:sz w:val="18"/>
        </w:rPr>
        <w:t>the</w:t>
      </w:r>
      <w:r>
        <w:rPr>
          <w:spacing w:val="-8"/>
          <w:sz w:val="18"/>
        </w:rPr>
        <w:t xml:space="preserve"> </w:t>
      </w:r>
      <w:r>
        <w:rPr>
          <w:sz w:val="18"/>
        </w:rPr>
        <w:t>Panel</w:t>
      </w:r>
      <w:r>
        <w:rPr>
          <w:spacing w:val="-7"/>
          <w:sz w:val="18"/>
        </w:rPr>
        <w:t xml:space="preserve"> </w:t>
      </w:r>
      <w:r>
        <w:rPr>
          <w:sz w:val="18"/>
        </w:rPr>
        <w:t>to</w:t>
      </w:r>
      <w:r>
        <w:rPr>
          <w:spacing w:val="-9"/>
          <w:sz w:val="18"/>
        </w:rPr>
        <w:t xml:space="preserve"> </w:t>
      </w:r>
      <w:r>
        <w:rPr>
          <w:sz w:val="18"/>
        </w:rPr>
        <w:t xml:space="preserve">conduct a </w:t>
      </w:r>
      <w:r>
        <w:rPr>
          <w:i/>
          <w:sz w:val="18"/>
        </w:rPr>
        <w:t xml:space="preserve">de novo </w:t>
      </w:r>
      <w:r>
        <w:rPr>
          <w:sz w:val="18"/>
        </w:rPr>
        <w:t>review of MOFCOM's grant of confidential treatment". However, China does not cite where from where the "request" was taken.</w:t>
      </w:r>
    </w:p>
    <w:p w14:paraId="3129366B" w14:textId="77777777" w:rsidR="00BD462C" w:rsidRDefault="00033D0F">
      <w:pPr>
        <w:spacing w:before="3" w:line="218" w:lineRule="exact"/>
        <w:ind w:left="135"/>
        <w:jc w:val="both"/>
        <w:rPr>
          <w:sz w:val="18"/>
        </w:rPr>
      </w:pPr>
      <w:bookmarkStart w:id="1423" w:name="_bookmark1226"/>
      <w:bookmarkEnd w:id="1423"/>
      <w:r>
        <w:rPr>
          <w:position w:val="5"/>
          <w:sz w:val="12"/>
        </w:rPr>
        <w:t>1054</w:t>
      </w:r>
      <w:r>
        <w:rPr>
          <w:spacing w:val="13"/>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 xml:space="preserve">para. </w:t>
      </w:r>
      <w:r>
        <w:rPr>
          <w:spacing w:val="-2"/>
          <w:sz w:val="18"/>
        </w:rPr>
        <w:t>2273.</w:t>
      </w:r>
    </w:p>
    <w:p w14:paraId="15197BD8" w14:textId="77777777" w:rsidR="00BD462C" w:rsidRDefault="00033D0F">
      <w:pPr>
        <w:ind w:left="135" w:right="910"/>
        <w:jc w:val="both"/>
        <w:rPr>
          <w:sz w:val="18"/>
        </w:rPr>
      </w:pPr>
      <w:bookmarkStart w:id="1424" w:name="_bookmark1227"/>
      <w:bookmarkEnd w:id="1424"/>
      <w:r>
        <w:rPr>
          <w:position w:val="5"/>
          <w:sz w:val="12"/>
        </w:rPr>
        <w:t>1055</w:t>
      </w:r>
      <w:r>
        <w:rPr>
          <w:spacing w:val="26"/>
          <w:position w:val="5"/>
          <w:sz w:val="12"/>
        </w:rPr>
        <w:t xml:space="preserve"> </w:t>
      </w:r>
      <w:r>
        <w:rPr>
          <w:sz w:val="18"/>
        </w:rPr>
        <w:t>China's first written submission, paras. 2252 (emphasis original). See also para. 2275 ("the Panel in the present case, is not to restrict itself to MOFCOM's determinations and supporting documents, when identifying 'evidence' for MOFCOM's 'objective assessment' of the existence of 'good cause'</w:t>
      </w:r>
      <w:r>
        <w:rPr>
          <w:spacing w:val="-1"/>
          <w:sz w:val="18"/>
        </w:rPr>
        <w:t xml:space="preserve"> </w:t>
      </w:r>
      <w:r>
        <w:rPr>
          <w:sz w:val="18"/>
        </w:rPr>
        <w:t>for the grant of confidential treatment. In its task of identifying such evidence, the</w:t>
      </w:r>
      <w:r>
        <w:rPr>
          <w:spacing w:val="-7"/>
          <w:sz w:val="18"/>
        </w:rPr>
        <w:t xml:space="preserve"> </w:t>
      </w:r>
      <w:r>
        <w:rPr>
          <w:sz w:val="18"/>
        </w:rPr>
        <w:t>Panel</w:t>
      </w:r>
      <w:r>
        <w:rPr>
          <w:spacing w:val="-1"/>
          <w:sz w:val="18"/>
        </w:rPr>
        <w:t xml:space="preserve"> </w:t>
      </w:r>
      <w:r>
        <w:rPr>
          <w:sz w:val="18"/>
        </w:rPr>
        <w:t>also</w:t>
      </w:r>
      <w:r>
        <w:rPr>
          <w:spacing w:val="-3"/>
          <w:sz w:val="18"/>
        </w:rPr>
        <w:t xml:space="preserve"> </w:t>
      </w:r>
      <w:r>
        <w:rPr>
          <w:sz w:val="18"/>
        </w:rPr>
        <w:t>needs</w:t>
      </w:r>
      <w:r>
        <w:rPr>
          <w:spacing w:val="-7"/>
          <w:sz w:val="18"/>
        </w:rPr>
        <w:t xml:space="preserve"> </w:t>
      </w:r>
      <w:r>
        <w:rPr>
          <w:sz w:val="18"/>
        </w:rPr>
        <w:t>to</w:t>
      </w:r>
      <w:r>
        <w:rPr>
          <w:spacing w:val="-3"/>
          <w:sz w:val="18"/>
        </w:rPr>
        <w:t xml:space="preserve"> </w:t>
      </w:r>
      <w:r>
        <w:rPr>
          <w:sz w:val="18"/>
        </w:rPr>
        <w:t>consider</w:t>
      </w:r>
      <w:r>
        <w:rPr>
          <w:spacing w:val="-9"/>
          <w:sz w:val="18"/>
        </w:rPr>
        <w:t xml:space="preserve"> </w:t>
      </w:r>
      <w:r>
        <w:rPr>
          <w:sz w:val="18"/>
        </w:rPr>
        <w:t>the</w:t>
      </w:r>
      <w:r>
        <w:rPr>
          <w:spacing w:val="-2"/>
          <w:sz w:val="18"/>
        </w:rPr>
        <w:t xml:space="preserve"> </w:t>
      </w:r>
      <w:r>
        <w:rPr>
          <w:sz w:val="18"/>
        </w:rPr>
        <w:t>actual</w:t>
      </w:r>
      <w:r>
        <w:rPr>
          <w:spacing w:val="-1"/>
          <w:sz w:val="18"/>
        </w:rPr>
        <w:t xml:space="preserve"> </w:t>
      </w:r>
      <w:r>
        <w:rPr>
          <w:sz w:val="18"/>
        </w:rPr>
        <w:t>nature</w:t>
      </w:r>
      <w:r>
        <w:rPr>
          <w:spacing w:val="-2"/>
          <w:sz w:val="18"/>
        </w:rPr>
        <w:t xml:space="preserve"> </w:t>
      </w:r>
      <w:r>
        <w:rPr>
          <w:sz w:val="18"/>
        </w:rPr>
        <w:t>of</w:t>
      </w:r>
      <w:r>
        <w:rPr>
          <w:spacing w:val="-1"/>
          <w:sz w:val="18"/>
        </w:rPr>
        <w:t xml:space="preserve"> </w:t>
      </w:r>
      <w:r>
        <w:rPr>
          <w:sz w:val="18"/>
        </w:rPr>
        <w:t>the</w:t>
      </w:r>
      <w:r>
        <w:rPr>
          <w:spacing w:val="-7"/>
          <w:sz w:val="18"/>
        </w:rPr>
        <w:t xml:space="preserve"> </w:t>
      </w:r>
      <w:r>
        <w:rPr>
          <w:sz w:val="18"/>
        </w:rPr>
        <w:t>information</w:t>
      </w:r>
      <w:r>
        <w:rPr>
          <w:spacing w:val="-3"/>
          <w:sz w:val="18"/>
        </w:rPr>
        <w:t xml:space="preserve"> </w:t>
      </w:r>
      <w:r>
        <w:rPr>
          <w:sz w:val="18"/>
        </w:rPr>
        <w:t>at</w:t>
      </w:r>
      <w:r>
        <w:rPr>
          <w:spacing w:val="-6"/>
          <w:sz w:val="18"/>
        </w:rPr>
        <w:t xml:space="preserve"> </w:t>
      </w:r>
      <w:r>
        <w:rPr>
          <w:sz w:val="18"/>
        </w:rPr>
        <w:t>issue, and</w:t>
      </w:r>
      <w:r>
        <w:rPr>
          <w:spacing w:val="-8"/>
          <w:sz w:val="18"/>
        </w:rPr>
        <w:t xml:space="preserve"> </w:t>
      </w:r>
      <w:r>
        <w:rPr>
          <w:sz w:val="18"/>
        </w:rPr>
        <w:t>also</w:t>
      </w:r>
      <w:r>
        <w:rPr>
          <w:spacing w:val="-8"/>
          <w:sz w:val="18"/>
        </w:rPr>
        <w:t xml:space="preserve"> </w:t>
      </w:r>
      <w:r>
        <w:rPr>
          <w:sz w:val="18"/>
        </w:rPr>
        <w:t>assess</w:t>
      </w:r>
      <w:r>
        <w:rPr>
          <w:spacing w:val="-7"/>
          <w:sz w:val="18"/>
        </w:rPr>
        <w:t xml:space="preserve"> </w:t>
      </w:r>
      <w:r>
        <w:rPr>
          <w:sz w:val="18"/>
        </w:rPr>
        <w:t>the</w:t>
      </w:r>
      <w:r>
        <w:rPr>
          <w:spacing w:val="-2"/>
          <w:sz w:val="18"/>
        </w:rPr>
        <w:t xml:space="preserve"> </w:t>
      </w:r>
      <w:r>
        <w:rPr>
          <w:sz w:val="18"/>
        </w:rPr>
        <w:t>reasons</w:t>
      </w:r>
      <w:r>
        <w:rPr>
          <w:spacing w:val="-2"/>
          <w:sz w:val="18"/>
        </w:rPr>
        <w:t xml:space="preserve"> </w:t>
      </w:r>
      <w:r>
        <w:rPr>
          <w:sz w:val="18"/>
        </w:rPr>
        <w:t>given</w:t>
      </w:r>
      <w:r>
        <w:rPr>
          <w:spacing w:val="-8"/>
          <w:sz w:val="18"/>
        </w:rPr>
        <w:t xml:space="preserve"> </w:t>
      </w:r>
      <w:r>
        <w:rPr>
          <w:sz w:val="18"/>
        </w:rPr>
        <w:t>by the interested parties requesting confidential treatment").</w:t>
      </w:r>
    </w:p>
    <w:p w14:paraId="0DB0C033" w14:textId="77777777" w:rsidR="00BD462C" w:rsidRDefault="00033D0F">
      <w:pPr>
        <w:ind w:left="135"/>
        <w:jc w:val="both"/>
        <w:rPr>
          <w:sz w:val="18"/>
        </w:rPr>
      </w:pPr>
      <w:bookmarkStart w:id="1425" w:name="_bookmark1228"/>
      <w:bookmarkEnd w:id="1425"/>
      <w:r>
        <w:rPr>
          <w:position w:val="5"/>
          <w:sz w:val="12"/>
        </w:rPr>
        <w:t>1056</w:t>
      </w:r>
      <w:r>
        <w:rPr>
          <w:spacing w:val="12"/>
          <w:position w:val="5"/>
          <w:sz w:val="12"/>
        </w:rPr>
        <w:t xml:space="preserve"> </w:t>
      </w:r>
      <w:r>
        <w:rPr>
          <w:sz w:val="18"/>
        </w:rPr>
        <w:t>Australia's</w:t>
      </w:r>
      <w:r>
        <w:rPr>
          <w:spacing w:val="-6"/>
          <w:sz w:val="18"/>
        </w:rPr>
        <w:t xml:space="preserve"> </w:t>
      </w:r>
      <w:r>
        <w:rPr>
          <w:sz w:val="18"/>
        </w:rPr>
        <w:t>first</w:t>
      </w:r>
      <w:r>
        <w:rPr>
          <w:spacing w:val="-5"/>
          <w:sz w:val="18"/>
        </w:rPr>
        <w:t xml:space="preserve"> </w:t>
      </w:r>
      <w:r>
        <w:rPr>
          <w:sz w:val="18"/>
        </w:rPr>
        <w:t>written</w:t>
      </w:r>
      <w:r>
        <w:rPr>
          <w:spacing w:val="-2"/>
          <w:sz w:val="18"/>
        </w:rPr>
        <w:t xml:space="preserve"> </w:t>
      </w:r>
      <w:r>
        <w:rPr>
          <w:sz w:val="18"/>
        </w:rPr>
        <w:t>submission, para.</w:t>
      </w:r>
      <w:r>
        <w:rPr>
          <w:spacing w:val="-5"/>
          <w:sz w:val="18"/>
        </w:rPr>
        <w:t xml:space="preserve"> </w:t>
      </w:r>
      <w:r>
        <w:rPr>
          <w:spacing w:val="-4"/>
          <w:sz w:val="18"/>
        </w:rPr>
        <w:t>838.</w:t>
      </w:r>
    </w:p>
    <w:p w14:paraId="50CA16E1" w14:textId="77777777" w:rsidR="00BD462C" w:rsidRDefault="00033D0F">
      <w:pPr>
        <w:ind w:left="135" w:right="912"/>
        <w:jc w:val="both"/>
        <w:rPr>
          <w:sz w:val="18"/>
        </w:rPr>
      </w:pPr>
      <w:bookmarkStart w:id="1426" w:name="_bookmark1229"/>
      <w:bookmarkEnd w:id="1426"/>
      <w:r>
        <w:rPr>
          <w:position w:val="5"/>
          <w:sz w:val="12"/>
        </w:rPr>
        <w:t>1057</w:t>
      </w:r>
      <w:r>
        <w:rPr>
          <w:spacing w:val="26"/>
          <w:position w:val="5"/>
          <w:sz w:val="12"/>
        </w:rPr>
        <w:t xml:space="preserve"> </w:t>
      </w:r>
      <w:r>
        <w:rPr>
          <w:sz w:val="18"/>
        </w:rPr>
        <w:t>China's first written submission, para. 2275. China goes on to incorrectly argue that "contrary to what Australia posits, […] the Panel also needs to consider the actual nature of the information at issue, and also assess the reasons given by the interested parties requesting confidential treatment".</w:t>
      </w:r>
    </w:p>
    <w:p w14:paraId="73DC91F9" w14:textId="77777777" w:rsidR="00BD462C" w:rsidRDefault="00BD462C">
      <w:pPr>
        <w:jc w:val="both"/>
        <w:rPr>
          <w:sz w:val="18"/>
        </w:rPr>
        <w:sectPr w:rsidR="00BD462C">
          <w:pgSz w:w="11910" w:h="16840"/>
          <w:pgMar w:top="860" w:right="500" w:bottom="780" w:left="1280" w:header="566" w:footer="590" w:gutter="0"/>
          <w:cols w:space="720"/>
        </w:sectPr>
      </w:pPr>
    </w:p>
    <w:p w14:paraId="6FD8EE4C"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703AC8BA"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1A336FCC"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4254B210" w14:textId="77777777" w:rsidR="00BD462C" w:rsidRDefault="00033D0F">
      <w:pPr>
        <w:spacing w:before="102" w:line="357" w:lineRule="auto"/>
        <w:ind w:left="135" w:right="923"/>
        <w:rPr>
          <w:sz w:val="24"/>
        </w:rPr>
      </w:pPr>
      <w:r>
        <w:rPr>
          <w:sz w:val="24"/>
        </w:rPr>
        <w:t>substantiate</w:t>
      </w:r>
      <w:r>
        <w:rPr>
          <w:spacing w:val="29"/>
          <w:sz w:val="24"/>
        </w:rPr>
        <w:t xml:space="preserve"> </w:t>
      </w:r>
      <w:r>
        <w:rPr>
          <w:sz w:val="24"/>
        </w:rPr>
        <w:t>this</w:t>
      </w:r>
      <w:r>
        <w:rPr>
          <w:spacing w:val="31"/>
          <w:sz w:val="24"/>
        </w:rPr>
        <w:t xml:space="preserve"> </w:t>
      </w:r>
      <w:r>
        <w:rPr>
          <w:sz w:val="24"/>
        </w:rPr>
        <w:t>allegation</w:t>
      </w:r>
      <w:r>
        <w:rPr>
          <w:spacing w:val="27"/>
          <w:sz w:val="24"/>
        </w:rPr>
        <w:t xml:space="preserve"> </w:t>
      </w:r>
      <w:r>
        <w:rPr>
          <w:sz w:val="24"/>
        </w:rPr>
        <w:t>clearly states</w:t>
      </w:r>
      <w:r>
        <w:rPr>
          <w:spacing w:val="31"/>
          <w:sz w:val="24"/>
        </w:rPr>
        <w:t xml:space="preserve"> </w:t>
      </w:r>
      <w:r>
        <w:rPr>
          <w:sz w:val="24"/>
        </w:rPr>
        <w:t>the</w:t>
      </w:r>
      <w:r>
        <w:rPr>
          <w:spacing w:val="29"/>
          <w:sz w:val="24"/>
        </w:rPr>
        <w:t xml:space="preserve"> </w:t>
      </w:r>
      <w:r>
        <w:rPr>
          <w:sz w:val="24"/>
        </w:rPr>
        <w:t>opposite,</w:t>
      </w:r>
      <w:r>
        <w:rPr>
          <w:spacing w:val="31"/>
          <w:sz w:val="24"/>
        </w:rPr>
        <w:t xml:space="preserve"> </w:t>
      </w:r>
      <w:r>
        <w:rPr>
          <w:sz w:val="24"/>
        </w:rPr>
        <w:t>providing</w:t>
      </w:r>
      <w:r>
        <w:rPr>
          <w:spacing w:val="30"/>
          <w:sz w:val="24"/>
        </w:rPr>
        <w:t xml:space="preserve"> </w:t>
      </w:r>
      <w:r>
        <w:rPr>
          <w:sz w:val="24"/>
        </w:rPr>
        <w:t>as follows and</w:t>
      </w:r>
      <w:r>
        <w:rPr>
          <w:spacing w:val="27"/>
          <w:sz w:val="24"/>
        </w:rPr>
        <w:t xml:space="preserve"> </w:t>
      </w:r>
      <w:r>
        <w:rPr>
          <w:sz w:val="24"/>
        </w:rPr>
        <w:t>citing</w:t>
      </w:r>
      <w:r>
        <w:rPr>
          <w:spacing w:val="30"/>
          <w:sz w:val="24"/>
        </w:rPr>
        <w:t xml:space="preserve"> </w:t>
      </w:r>
      <w:r>
        <w:rPr>
          <w:sz w:val="24"/>
        </w:rPr>
        <w:t xml:space="preserve">the Appellate Body reports in </w:t>
      </w:r>
      <w:r>
        <w:rPr>
          <w:i/>
          <w:sz w:val="24"/>
        </w:rPr>
        <w:t xml:space="preserve">China </w:t>
      </w:r>
      <w:r>
        <w:rPr>
          <w:sz w:val="24"/>
        </w:rPr>
        <w:t xml:space="preserve">– </w:t>
      </w:r>
      <w:r>
        <w:rPr>
          <w:i/>
          <w:sz w:val="24"/>
        </w:rPr>
        <w:t>HP-SSST (Japan) / China – HP-SSST (EU)</w:t>
      </w:r>
      <w:proofErr w:type="gramStart"/>
      <w:r>
        <w:rPr>
          <w:sz w:val="24"/>
        </w:rPr>
        <w:t>, :</w:t>
      </w:r>
      <w:proofErr w:type="gramEnd"/>
    </w:p>
    <w:p w14:paraId="463FD831" w14:textId="77777777" w:rsidR="00BD462C" w:rsidRDefault="00033D0F">
      <w:pPr>
        <w:spacing w:before="164" w:line="276" w:lineRule="auto"/>
        <w:ind w:left="985" w:right="912"/>
        <w:jc w:val="both"/>
      </w:pPr>
      <w:r>
        <w:t>The Appellate Body has explained that where a panel is tasked with reviewing whether an investigating authority has objectively assessed "good cause", it is to do so on the basis of the</w:t>
      </w:r>
      <w:r>
        <w:rPr>
          <w:spacing w:val="-3"/>
        </w:rPr>
        <w:t xml:space="preserve"> </w:t>
      </w:r>
      <w:r>
        <w:t>investigating</w:t>
      </w:r>
      <w:r>
        <w:rPr>
          <w:spacing w:val="-2"/>
        </w:rPr>
        <w:t xml:space="preserve"> </w:t>
      </w:r>
      <w:r>
        <w:t>authority's</w:t>
      </w:r>
      <w:r>
        <w:rPr>
          <w:spacing w:val="-3"/>
        </w:rPr>
        <w:t xml:space="preserve"> </w:t>
      </w:r>
      <w:r>
        <w:t>published</w:t>
      </w:r>
      <w:r>
        <w:rPr>
          <w:spacing w:val="-4"/>
        </w:rPr>
        <w:t xml:space="preserve"> </w:t>
      </w:r>
      <w:r>
        <w:t>report</w:t>
      </w:r>
      <w:r>
        <w:rPr>
          <w:spacing w:val="-5"/>
        </w:rPr>
        <w:t xml:space="preserve"> </w:t>
      </w:r>
      <w:r>
        <w:t>and</w:t>
      </w:r>
      <w:r>
        <w:rPr>
          <w:spacing w:val="-4"/>
        </w:rPr>
        <w:t xml:space="preserve"> </w:t>
      </w:r>
      <w:r>
        <w:t>any related</w:t>
      </w:r>
      <w:r>
        <w:rPr>
          <w:spacing w:val="-4"/>
        </w:rPr>
        <w:t xml:space="preserve"> </w:t>
      </w:r>
      <w:r>
        <w:t>supporting</w:t>
      </w:r>
      <w:r>
        <w:rPr>
          <w:spacing w:val="-2"/>
        </w:rPr>
        <w:t xml:space="preserve"> </w:t>
      </w:r>
      <w:r>
        <w:t>documents,</w:t>
      </w:r>
      <w:r>
        <w:rPr>
          <w:spacing w:val="-1"/>
        </w:rPr>
        <w:t xml:space="preserve"> </w:t>
      </w:r>
      <w:r>
        <w:t>and</w:t>
      </w:r>
      <w:r>
        <w:rPr>
          <w:spacing w:val="-4"/>
        </w:rPr>
        <w:t xml:space="preserve"> </w:t>
      </w:r>
      <w:r>
        <w:t>in light</w:t>
      </w:r>
      <w:r>
        <w:rPr>
          <w:spacing w:val="-5"/>
        </w:rPr>
        <w:t xml:space="preserve"> </w:t>
      </w:r>
      <w:r>
        <w:t>of</w:t>
      </w:r>
      <w:r>
        <w:rPr>
          <w:spacing w:val="-4"/>
        </w:rPr>
        <w:t xml:space="preserve"> </w:t>
      </w:r>
      <w:r>
        <w:t>the</w:t>
      </w:r>
      <w:r>
        <w:rPr>
          <w:spacing w:val="-3"/>
        </w:rPr>
        <w:t xml:space="preserve"> </w:t>
      </w:r>
      <w:r>
        <w:t>nature</w:t>
      </w:r>
      <w:r>
        <w:rPr>
          <w:spacing w:val="-3"/>
        </w:rPr>
        <w:t xml:space="preserve"> </w:t>
      </w:r>
      <w:r>
        <w:t>of</w:t>
      </w:r>
      <w:r>
        <w:rPr>
          <w:spacing w:val="-4"/>
        </w:rPr>
        <w:t xml:space="preserve"> </w:t>
      </w:r>
      <w:r>
        <w:t>the</w:t>
      </w:r>
      <w:r>
        <w:rPr>
          <w:spacing w:val="-3"/>
        </w:rPr>
        <w:t xml:space="preserve"> </w:t>
      </w:r>
      <w:r>
        <w:t>information</w:t>
      </w:r>
      <w:r>
        <w:rPr>
          <w:spacing w:val="-4"/>
        </w:rPr>
        <w:t xml:space="preserve"> </w:t>
      </w:r>
      <w:r>
        <w:t>at</w:t>
      </w:r>
      <w:r>
        <w:rPr>
          <w:spacing w:val="-5"/>
        </w:rPr>
        <w:t xml:space="preserve"> </w:t>
      </w:r>
      <w:r>
        <w:t>issue,</w:t>
      </w:r>
      <w:r>
        <w:rPr>
          <w:spacing w:val="-1"/>
        </w:rPr>
        <w:t xml:space="preserve"> </w:t>
      </w:r>
      <w:r>
        <w:t>and</w:t>
      </w:r>
      <w:r>
        <w:rPr>
          <w:spacing w:val="-4"/>
        </w:rPr>
        <w:t xml:space="preserve"> </w:t>
      </w:r>
      <w:r>
        <w:t>the</w:t>
      </w:r>
      <w:r>
        <w:rPr>
          <w:spacing w:val="-7"/>
        </w:rPr>
        <w:t xml:space="preserve"> </w:t>
      </w:r>
      <w:r>
        <w:t>reasons</w:t>
      </w:r>
      <w:r>
        <w:rPr>
          <w:spacing w:val="-3"/>
        </w:rPr>
        <w:t xml:space="preserve"> </w:t>
      </w:r>
      <w:r>
        <w:t>given</w:t>
      </w:r>
      <w:r>
        <w:rPr>
          <w:spacing w:val="-4"/>
        </w:rPr>
        <w:t xml:space="preserve"> </w:t>
      </w:r>
      <w:r>
        <w:t>by</w:t>
      </w:r>
      <w:r>
        <w:rPr>
          <w:spacing w:val="-2"/>
        </w:rPr>
        <w:t xml:space="preserve"> </w:t>
      </w:r>
      <w:r>
        <w:t>the</w:t>
      </w:r>
      <w:r>
        <w:rPr>
          <w:spacing w:val="-3"/>
        </w:rPr>
        <w:t xml:space="preserve"> </w:t>
      </w:r>
      <w:r>
        <w:t>submitting</w:t>
      </w:r>
      <w:r>
        <w:rPr>
          <w:spacing w:val="-2"/>
        </w:rPr>
        <w:t xml:space="preserve"> </w:t>
      </w:r>
      <w:r>
        <w:t>party for its request for confidential treatment.</w:t>
      </w:r>
      <w:hyperlink w:anchor="_bookmark1231" w:history="1">
        <w:r>
          <w:rPr>
            <w:vertAlign w:val="superscript"/>
          </w:rPr>
          <w:t>1058</w:t>
        </w:r>
      </w:hyperlink>
    </w:p>
    <w:p w14:paraId="1A55BB7A" w14:textId="77777777" w:rsidR="00BD462C" w:rsidRDefault="00BD462C">
      <w:pPr>
        <w:pStyle w:val="BodyText"/>
        <w:spacing w:before="7"/>
        <w:rPr>
          <w:sz w:val="15"/>
        </w:rPr>
      </w:pPr>
    </w:p>
    <w:p w14:paraId="6605EB78" w14:textId="22E87046" w:rsidR="00BD462C" w:rsidRDefault="00A246C2">
      <w:pPr>
        <w:pStyle w:val="BodyText"/>
        <w:spacing w:before="56" w:line="360" w:lineRule="auto"/>
        <w:ind w:left="135" w:right="918"/>
        <w:jc w:val="both"/>
      </w:pPr>
      <w:r>
        <w:rPr>
          <w:noProof/>
        </w:rPr>
        <w:t>679.</w:t>
      </w:r>
      <w:r w:rsidR="00033D0F">
        <w:rPr>
          <w:rFonts w:ascii="Times New Roman" w:hAnsi="Times New Roman"/>
          <w:spacing w:val="80"/>
          <w:w w:val="150"/>
          <w:position w:val="1"/>
          <w:sz w:val="20"/>
        </w:rPr>
        <w:t xml:space="preserve">  </w:t>
      </w:r>
      <w:r w:rsidR="00033D0F">
        <w:rPr>
          <w:position w:val="1"/>
        </w:rPr>
        <w:t>It</w:t>
      </w:r>
      <w:r w:rsidR="00033D0F">
        <w:rPr>
          <w:spacing w:val="-11"/>
          <w:position w:val="1"/>
        </w:rPr>
        <w:t xml:space="preserve"> </w:t>
      </w:r>
      <w:r w:rsidR="00033D0F">
        <w:rPr>
          <w:position w:val="1"/>
        </w:rPr>
        <w:t>is</w:t>
      </w:r>
      <w:r w:rsidR="00033D0F">
        <w:rPr>
          <w:spacing w:val="-10"/>
          <w:position w:val="1"/>
        </w:rPr>
        <w:t xml:space="preserve"> </w:t>
      </w:r>
      <w:r w:rsidR="00033D0F">
        <w:rPr>
          <w:position w:val="1"/>
        </w:rPr>
        <w:t>clear</w:t>
      </w:r>
      <w:r w:rsidR="00033D0F">
        <w:rPr>
          <w:spacing w:val="-14"/>
          <w:position w:val="1"/>
        </w:rPr>
        <w:t xml:space="preserve"> </w:t>
      </w:r>
      <w:r w:rsidR="00033D0F">
        <w:rPr>
          <w:position w:val="1"/>
        </w:rPr>
        <w:t>from</w:t>
      </w:r>
      <w:r w:rsidR="00033D0F">
        <w:rPr>
          <w:spacing w:val="-12"/>
          <w:position w:val="1"/>
        </w:rPr>
        <w:t xml:space="preserve"> </w:t>
      </w:r>
      <w:r w:rsidR="00033D0F">
        <w:rPr>
          <w:position w:val="1"/>
        </w:rPr>
        <w:t>a</w:t>
      </w:r>
      <w:r w:rsidR="00033D0F">
        <w:rPr>
          <w:spacing w:val="-8"/>
          <w:position w:val="1"/>
        </w:rPr>
        <w:t xml:space="preserve"> </w:t>
      </w:r>
      <w:r w:rsidR="00033D0F">
        <w:rPr>
          <w:position w:val="1"/>
        </w:rPr>
        <w:t>review</w:t>
      </w:r>
      <w:r w:rsidR="00033D0F">
        <w:rPr>
          <w:spacing w:val="-11"/>
          <w:position w:val="1"/>
        </w:rPr>
        <w:t xml:space="preserve"> </w:t>
      </w:r>
      <w:r w:rsidR="00033D0F">
        <w:rPr>
          <w:position w:val="1"/>
        </w:rPr>
        <w:t>of</w:t>
      </w:r>
      <w:r w:rsidR="00033D0F">
        <w:rPr>
          <w:spacing w:val="-14"/>
          <w:position w:val="1"/>
        </w:rPr>
        <w:t xml:space="preserve"> </w:t>
      </w:r>
      <w:r w:rsidR="00033D0F">
        <w:rPr>
          <w:position w:val="1"/>
        </w:rPr>
        <w:t>Australia's</w:t>
      </w:r>
      <w:r w:rsidR="00033D0F">
        <w:rPr>
          <w:spacing w:val="-10"/>
          <w:position w:val="1"/>
        </w:rPr>
        <w:t xml:space="preserve"> </w:t>
      </w:r>
      <w:r w:rsidR="00033D0F">
        <w:rPr>
          <w:position w:val="1"/>
        </w:rPr>
        <w:t>submission</w:t>
      </w:r>
      <w:r w:rsidR="00033D0F">
        <w:rPr>
          <w:spacing w:val="-14"/>
          <w:position w:val="1"/>
        </w:rPr>
        <w:t xml:space="preserve"> </w:t>
      </w:r>
      <w:r w:rsidR="00033D0F">
        <w:rPr>
          <w:position w:val="1"/>
        </w:rPr>
        <w:t>that</w:t>
      </w:r>
      <w:r w:rsidR="00033D0F">
        <w:rPr>
          <w:spacing w:val="-11"/>
          <w:position w:val="1"/>
        </w:rPr>
        <w:t xml:space="preserve"> </w:t>
      </w:r>
      <w:r w:rsidR="00033D0F">
        <w:rPr>
          <w:position w:val="1"/>
        </w:rPr>
        <w:t>the</w:t>
      </w:r>
      <w:r w:rsidR="00033D0F">
        <w:rPr>
          <w:spacing w:val="-12"/>
          <w:position w:val="1"/>
        </w:rPr>
        <w:t xml:space="preserve"> </w:t>
      </w:r>
      <w:r w:rsidR="00033D0F">
        <w:rPr>
          <w:position w:val="1"/>
        </w:rPr>
        <w:t>argument</w:t>
      </w:r>
      <w:r w:rsidR="00033D0F">
        <w:rPr>
          <w:spacing w:val="-11"/>
          <w:position w:val="1"/>
        </w:rPr>
        <w:t xml:space="preserve"> </w:t>
      </w:r>
      <w:r w:rsidR="00033D0F">
        <w:rPr>
          <w:position w:val="1"/>
        </w:rPr>
        <w:t>said</w:t>
      </w:r>
      <w:r w:rsidR="00033D0F">
        <w:rPr>
          <w:spacing w:val="-14"/>
          <w:position w:val="1"/>
        </w:rPr>
        <w:t xml:space="preserve"> </w:t>
      </w:r>
      <w:r w:rsidR="00033D0F">
        <w:rPr>
          <w:position w:val="1"/>
        </w:rPr>
        <w:t>to</w:t>
      </w:r>
      <w:r w:rsidR="00033D0F">
        <w:rPr>
          <w:spacing w:val="-14"/>
          <w:position w:val="1"/>
        </w:rPr>
        <w:t xml:space="preserve"> </w:t>
      </w:r>
      <w:r w:rsidR="00033D0F">
        <w:rPr>
          <w:position w:val="1"/>
        </w:rPr>
        <w:t>have</w:t>
      </w:r>
      <w:r w:rsidR="00033D0F">
        <w:rPr>
          <w:spacing w:val="-11"/>
          <w:position w:val="1"/>
        </w:rPr>
        <w:t xml:space="preserve"> </w:t>
      </w:r>
      <w:r w:rsidR="00033D0F">
        <w:rPr>
          <w:position w:val="1"/>
        </w:rPr>
        <w:t xml:space="preserve">been </w:t>
      </w:r>
      <w:r w:rsidR="00033D0F">
        <w:t>"posited" by Australia simply was not made. Moreover, it does not appear that there is any controversy between the parties that the standard actually set out in Australia's submission, extracted</w:t>
      </w:r>
      <w:r w:rsidR="00033D0F">
        <w:rPr>
          <w:spacing w:val="-10"/>
        </w:rPr>
        <w:t xml:space="preserve"> </w:t>
      </w:r>
      <w:r w:rsidR="00033D0F">
        <w:t>above,</w:t>
      </w:r>
      <w:r w:rsidR="00033D0F">
        <w:rPr>
          <w:spacing w:val="-6"/>
        </w:rPr>
        <w:t xml:space="preserve"> </w:t>
      </w:r>
      <w:r w:rsidR="00033D0F">
        <w:t>is</w:t>
      </w:r>
      <w:r w:rsidR="00033D0F">
        <w:rPr>
          <w:spacing w:val="-7"/>
        </w:rPr>
        <w:t xml:space="preserve"> </w:t>
      </w:r>
      <w:r w:rsidR="00033D0F">
        <w:t>the</w:t>
      </w:r>
      <w:r w:rsidR="00033D0F">
        <w:rPr>
          <w:spacing w:val="-8"/>
        </w:rPr>
        <w:t xml:space="preserve"> </w:t>
      </w:r>
      <w:r w:rsidR="00033D0F">
        <w:t>applicable</w:t>
      </w:r>
      <w:r w:rsidR="00033D0F">
        <w:rPr>
          <w:spacing w:val="-8"/>
        </w:rPr>
        <w:t xml:space="preserve"> </w:t>
      </w:r>
      <w:r w:rsidR="00033D0F">
        <w:t>standard,</w:t>
      </w:r>
      <w:r w:rsidR="00033D0F">
        <w:rPr>
          <w:spacing w:val="-6"/>
        </w:rPr>
        <w:t xml:space="preserve"> </w:t>
      </w:r>
      <w:r w:rsidR="00033D0F">
        <w:t>noting</w:t>
      </w:r>
      <w:r w:rsidR="00033D0F">
        <w:rPr>
          <w:spacing w:val="-7"/>
        </w:rPr>
        <w:t xml:space="preserve"> </w:t>
      </w:r>
      <w:r w:rsidR="00033D0F">
        <w:t>that</w:t>
      </w:r>
      <w:r w:rsidR="00033D0F">
        <w:rPr>
          <w:spacing w:val="-8"/>
        </w:rPr>
        <w:t xml:space="preserve"> </w:t>
      </w:r>
      <w:r w:rsidR="00033D0F">
        <w:t>China</w:t>
      </w:r>
      <w:r w:rsidR="00033D0F">
        <w:rPr>
          <w:spacing w:val="-9"/>
        </w:rPr>
        <w:t xml:space="preserve"> </w:t>
      </w:r>
      <w:r w:rsidR="00033D0F">
        <w:t>cites</w:t>
      </w:r>
      <w:r w:rsidR="00033D0F">
        <w:rPr>
          <w:spacing w:val="-7"/>
        </w:rPr>
        <w:t xml:space="preserve"> </w:t>
      </w:r>
      <w:r w:rsidR="00033D0F">
        <w:t>and</w:t>
      </w:r>
      <w:r w:rsidR="00033D0F">
        <w:rPr>
          <w:spacing w:val="-10"/>
        </w:rPr>
        <w:t xml:space="preserve"> </w:t>
      </w:r>
      <w:r w:rsidR="00033D0F">
        <w:t>paraphrases</w:t>
      </w:r>
      <w:r w:rsidR="00033D0F">
        <w:rPr>
          <w:spacing w:val="-7"/>
        </w:rPr>
        <w:t xml:space="preserve"> </w:t>
      </w:r>
      <w:r w:rsidR="00033D0F">
        <w:t>the</w:t>
      </w:r>
      <w:r w:rsidR="00033D0F">
        <w:rPr>
          <w:spacing w:val="-8"/>
        </w:rPr>
        <w:t xml:space="preserve"> </w:t>
      </w:r>
      <w:r w:rsidR="00033D0F">
        <w:t>same paragraph of</w:t>
      </w:r>
      <w:r w:rsidR="00033D0F">
        <w:rPr>
          <w:spacing w:val="-1"/>
        </w:rPr>
        <w:t xml:space="preserve"> </w:t>
      </w:r>
      <w:r w:rsidR="00033D0F">
        <w:t xml:space="preserve">the Appellate Body reports, </w:t>
      </w:r>
      <w:r w:rsidR="00033D0F">
        <w:rPr>
          <w:i/>
        </w:rPr>
        <w:t>China – HP-SSST</w:t>
      </w:r>
      <w:r w:rsidR="00033D0F">
        <w:rPr>
          <w:i/>
          <w:spacing w:val="-2"/>
        </w:rPr>
        <w:t xml:space="preserve"> </w:t>
      </w:r>
      <w:r w:rsidR="00033D0F">
        <w:rPr>
          <w:i/>
        </w:rPr>
        <w:t>(Japan)</w:t>
      </w:r>
      <w:r w:rsidR="00033D0F">
        <w:rPr>
          <w:i/>
          <w:spacing w:val="-1"/>
        </w:rPr>
        <w:t xml:space="preserve"> </w:t>
      </w:r>
      <w:r w:rsidR="00033D0F">
        <w:rPr>
          <w:i/>
        </w:rPr>
        <w:t>/</w:t>
      </w:r>
      <w:r w:rsidR="00033D0F">
        <w:rPr>
          <w:i/>
          <w:spacing w:val="-2"/>
        </w:rPr>
        <w:t xml:space="preserve"> </w:t>
      </w:r>
      <w:r w:rsidR="00033D0F">
        <w:rPr>
          <w:i/>
        </w:rPr>
        <w:t>China – HP-SSST</w:t>
      </w:r>
      <w:r w:rsidR="00033D0F">
        <w:rPr>
          <w:i/>
          <w:spacing w:val="-2"/>
        </w:rPr>
        <w:t xml:space="preserve"> </w:t>
      </w:r>
      <w:r w:rsidR="00033D0F">
        <w:rPr>
          <w:i/>
        </w:rPr>
        <w:t>(EU)</w:t>
      </w:r>
      <w:r w:rsidR="00033D0F">
        <w:t>.</w:t>
      </w:r>
      <w:hyperlink w:anchor="_bookmark1232" w:history="1">
        <w:r w:rsidR="00033D0F">
          <w:rPr>
            <w:vertAlign w:val="superscript"/>
          </w:rPr>
          <w:t>1059</w:t>
        </w:r>
      </w:hyperlink>
    </w:p>
    <w:p w14:paraId="0C27449F" w14:textId="77777777" w:rsidR="00BD462C" w:rsidRDefault="00033D0F">
      <w:pPr>
        <w:pStyle w:val="Heading3"/>
        <w:numPr>
          <w:ilvl w:val="0"/>
          <w:numId w:val="30"/>
        </w:numPr>
        <w:tabs>
          <w:tab w:val="left" w:pos="2545"/>
          <w:tab w:val="left" w:pos="2546"/>
        </w:tabs>
        <w:spacing w:before="155"/>
      </w:pPr>
      <w:bookmarkStart w:id="1427" w:name="4._The_body_of_CADA's_application"/>
      <w:bookmarkStart w:id="1428" w:name="_bookmark1230"/>
      <w:bookmarkEnd w:id="1427"/>
      <w:bookmarkEnd w:id="1428"/>
      <w:r>
        <w:t>The</w:t>
      </w:r>
      <w:r>
        <w:rPr>
          <w:spacing w:val="-3"/>
        </w:rPr>
        <w:t xml:space="preserve"> </w:t>
      </w:r>
      <w:r>
        <w:t>body</w:t>
      </w:r>
      <w:r>
        <w:rPr>
          <w:spacing w:val="1"/>
        </w:rPr>
        <w:t xml:space="preserve"> </w:t>
      </w:r>
      <w:r>
        <w:t>of</w:t>
      </w:r>
      <w:r>
        <w:rPr>
          <w:spacing w:val="-1"/>
        </w:rPr>
        <w:t xml:space="preserve"> </w:t>
      </w:r>
      <w:r>
        <w:t>CADA's</w:t>
      </w:r>
      <w:r>
        <w:rPr>
          <w:spacing w:val="-1"/>
        </w:rPr>
        <w:t xml:space="preserve"> </w:t>
      </w:r>
      <w:r>
        <w:rPr>
          <w:spacing w:val="-2"/>
        </w:rPr>
        <w:t>application</w:t>
      </w:r>
    </w:p>
    <w:p w14:paraId="59803C0F" w14:textId="77777777" w:rsidR="00BD462C" w:rsidRDefault="00BD462C">
      <w:pPr>
        <w:pStyle w:val="BodyText"/>
        <w:spacing w:before="11"/>
        <w:rPr>
          <w:b/>
          <w:sz w:val="20"/>
        </w:rPr>
      </w:pPr>
    </w:p>
    <w:p w14:paraId="278D0369" w14:textId="1F89A715" w:rsidR="00BD462C" w:rsidRDefault="00A246C2">
      <w:pPr>
        <w:pStyle w:val="BodyText"/>
        <w:spacing w:before="56" w:line="355" w:lineRule="auto"/>
        <w:ind w:left="135" w:right="923"/>
      </w:pPr>
      <w:r>
        <w:rPr>
          <w:noProof/>
        </w:rPr>
        <w:t>680.</w:t>
      </w:r>
      <w:r w:rsidR="00033D0F">
        <w:rPr>
          <w:rFonts w:ascii="Times New Roman"/>
          <w:spacing w:val="80"/>
          <w:position w:val="1"/>
          <w:sz w:val="20"/>
        </w:rPr>
        <w:t xml:space="preserve">   </w:t>
      </w:r>
      <w:r w:rsidR="00033D0F">
        <w:rPr>
          <w:position w:val="1"/>
        </w:rPr>
        <w:t>China</w:t>
      </w:r>
      <w:r w:rsidR="00033D0F">
        <w:rPr>
          <w:spacing w:val="40"/>
          <w:position w:val="1"/>
        </w:rPr>
        <w:t xml:space="preserve"> </w:t>
      </w:r>
      <w:r w:rsidR="00033D0F">
        <w:rPr>
          <w:position w:val="1"/>
        </w:rPr>
        <w:t>asserts</w:t>
      </w:r>
      <w:r w:rsidR="00033D0F">
        <w:rPr>
          <w:spacing w:val="40"/>
          <w:position w:val="1"/>
        </w:rPr>
        <w:t xml:space="preserve"> </w:t>
      </w:r>
      <w:r w:rsidR="00033D0F">
        <w:rPr>
          <w:position w:val="1"/>
        </w:rPr>
        <w:t>that</w:t>
      </w:r>
      <w:r w:rsidR="00033D0F">
        <w:rPr>
          <w:spacing w:val="40"/>
          <w:position w:val="1"/>
        </w:rPr>
        <w:t xml:space="preserve"> </w:t>
      </w:r>
      <w:r w:rsidR="00033D0F">
        <w:rPr>
          <w:position w:val="1"/>
        </w:rPr>
        <w:t>no</w:t>
      </w:r>
      <w:r w:rsidR="00033D0F">
        <w:rPr>
          <w:spacing w:val="40"/>
          <w:position w:val="1"/>
        </w:rPr>
        <w:t xml:space="preserve"> </w:t>
      </w:r>
      <w:r w:rsidR="00033D0F">
        <w:rPr>
          <w:position w:val="1"/>
        </w:rPr>
        <w:t>confidential</w:t>
      </w:r>
      <w:r w:rsidR="00033D0F">
        <w:rPr>
          <w:spacing w:val="40"/>
          <w:position w:val="1"/>
        </w:rPr>
        <w:t xml:space="preserve"> </w:t>
      </w:r>
      <w:r w:rsidR="00033D0F">
        <w:rPr>
          <w:position w:val="1"/>
        </w:rPr>
        <w:t>treatment</w:t>
      </w:r>
      <w:r w:rsidR="00033D0F">
        <w:rPr>
          <w:spacing w:val="40"/>
          <w:position w:val="1"/>
        </w:rPr>
        <w:t xml:space="preserve"> </w:t>
      </w:r>
      <w:r w:rsidR="00033D0F">
        <w:rPr>
          <w:position w:val="1"/>
        </w:rPr>
        <w:t>was</w:t>
      </w:r>
      <w:r w:rsidR="00033D0F">
        <w:rPr>
          <w:spacing w:val="40"/>
          <w:position w:val="1"/>
        </w:rPr>
        <w:t xml:space="preserve"> </w:t>
      </w:r>
      <w:r w:rsidR="00033D0F">
        <w:rPr>
          <w:position w:val="1"/>
        </w:rPr>
        <w:t>given</w:t>
      </w:r>
      <w:r w:rsidR="00033D0F">
        <w:rPr>
          <w:spacing w:val="40"/>
          <w:position w:val="1"/>
        </w:rPr>
        <w:t xml:space="preserve"> </w:t>
      </w:r>
      <w:r w:rsidR="00033D0F">
        <w:rPr>
          <w:position w:val="1"/>
        </w:rPr>
        <w:t>to</w:t>
      </w:r>
      <w:r w:rsidR="00033D0F">
        <w:rPr>
          <w:spacing w:val="40"/>
          <w:position w:val="1"/>
        </w:rPr>
        <w:t xml:space="preserve"> </w:t>
      </w:r>
      <w:r w:rsidR="00033D0F">
        <w:rPr>
          <w:position w:val="1"/>
        </w:rPr>
        <w:t>the</w:t>
      </w:r>
      <w:r w:rsidR="00033D0F">
        <w:rPr>
          <w:spacing w:val="40"/>
          <w:position w:val="1"/>
        </w:rPr>
        <w:t xml:space="preserve"> </w:t>
      </w:r>
      <w:r w:rsidR="00033D0F">
        <w:rPr>
          <w:position w:val="1"/>
        </w:rPr>
        <w:t>body</w:t>
      </w:r>
      <w:r w:rsidR="00033D0F">
        <w:rPr>
          <w:spacing w:val="61"/>
          <w:position w:val="1"/>
        </w:rPr>
        <w:t xml:space="preserve"> </w:t>
      </w:r>
      <w:r w:rsidR="00033D0F">
        <w:rPr>
          <w:position w:val="1"/>
        </w:rPr>
        <w:t>of</w:t>
      </w:r>
      <w:r w:rsidR="00033D0F">
        <w:rPr>
          <w:spacing w:val="40"/>
          <w:position w:val="1"/>
        </w:rPr>
        <w:t xml:space="preserve"> </w:t>
      </w:r>
      <w:r w:rsidR="00033D0F">
        <w:rPr>
          <w:position w:val="1"/>
        </w:rPr>
        <w:t>CADA's</w:t>
      </w:r>
      <w:r w:rsidR="00033D0F">
        <w:rPr>
          <w:spacing w:val="40"/>
          <w:position w:val="1"/>
        </w:rPr>
        <w:t xml:space="preserve"> </w:t>
      </w:r>
      <w:r w:rsidR="00033D0F">
        <w:t>application, and</w:t>
      </w:r>
      <w:r w:rsidR="00033D0F">
        <w:rPr>
          <w:spacing w:val="-1"/>
        </w:rPr>
        <w:t xml:space="preserve"> </w:t>
      </w:r>
      <w:r w:rsidR="00033D0F">
        <w:t>that the only part of the application</w:t>
      </w:r>
      <w:r w:rsidR="00033D0F">
        <w:rPr>
          <w:spacing w:val="-1"/>
        </w:rPr>
        <w:t xml:space="preserve"> </w:t>
      </w:r>
      <w:r w:rsidR="00033D0F">
        <w:t>treated</w:t>
      </w:r>
      <w:r w:rsidR="00033D0F">
        <w:rPr>
          <w:spacing w:val="-1"/>
        </w:rPr>
        <w:t xml:space="preserve"> </w:t>
      </w:r>
      <w:r w:rsidR="00033D0F">
        <w:t>as confidential was Annex 3.</w:t>
      </w:r>
      <w:hyperlink w:anchor="_bookmark1233" w:history="1">
        <w:r w:rsidR="00033D0F">
          <w:rPr>
            <w:vertAlign w:val="superscript"/>
          </w:rPr>
          <w:t>1060</w:t>
        </w:r>
      </w:hyperlink>
    </w:p>
    <w:p w14:paraId="67C8A590" w14:textId="77777777" w:rsidR="00BD462C" w:rsidRDefault="00BD462C">
      <w:pPr>
        <w:pStyle w:val="BodyText"/>
        <w:spacing w:before="4"/>
        <w:rPr>
          <w:sz w:val="9"/>
        </w:rPr>
      </w:pPr>
    </w:p>
    <w:p w14:paraId="17847E06" w14:textId="6D6E805F" w:rsidR="00BD462C" w:rsidRDefault="00A246C2">
      <w:pPr>
        <w:pStyle w:val="BodyText"/>
        <w:spacing w:before="56" w:line="357" w:lineRule="auto"/>
        <w:ind w:left="136" w:right="919"/>
        <w:jc w:val="both"/>
      </w:pPr>
      <w:r>
        <w:rPr>
          <w:noProof/>
        </w:rPr>
        <w:t>681.</w:t>
      </w:r>
      <w:r w:rsidR="00033D0F">
        <w:rPr>
          <w:rFonts w:ascii="Times New Roman"/>
          <w:spacing w:val="80"/>
          <w:w w:val="150"/>
          <w:position w:val="1"/>
          <w:sz w:val="20"/>
        </w:rPr>
        <w:t xml:space="preserve"> </w:t>
      </w:r>
      <w:r w:rsidR="00033D0F">
        <w:rPr>
          <w:position w:val="1"/>
        </w:rPr>
        <w:t xml:space="preserve">China's assertion in this regard is hard to reconcile with CADA's application. The </w:t>
      </w:r>
      <w:r w:rsidR="00033D0F">
        <w:t>application included a section entitled "Confidential application" in which CADA:</w:t>
      </w:r>
    </w:p>
    <w:p w14:paraId="50E3778F" w14:textId="77777777" w:rsidR="00BD462C" w:rsidRDefault="00033D0F">
      <w:pPr>
        <w:pStyle w:val="ListParagraph"/>
        <w:numPr>
          <w:ilvl w:val="0"/>
          <w:numId w:val="29"/>
        </w:numPr>
        <w:tabs>
          <w:tab w:val="left" w:pos="1835"/>
          <w:tab w:val="left" w:pos="1836"/>
        </w:tabs>
        <w:spacing w:before="161" w:line="357" w:lineRule="auto"/>
        <w:ind w:right="918" w:hanging="855"/>
        <w:jc w:val="both"/>
        <w:rPr>
          <w:sz w:val="24"/>
        </w:rPr>
      </w:pPr>
      <w:r>
        <w:rPr>
          <w:sz w:val="24"/>
        </w:rPr>
        <w:t>requested</w:t>
      </w:r>
      <w:r>
        <w:rPr>
          <w:spacing w:val="-14"/>
          <w:sz w:val="24"/>
        </w:rPr>
        <w:t xml:space="preserve"> </w:t>
      </w:r>
      <w:r>
        <w:rPr>
          <w:sz w:val="24"/>
        </w:rPr>
        <w:t>that</w:t>
      </w:r>
      <w:r>
        <w:rPr>
          <w:spacing w:val="-11"/>
          <w:sz w:val="24"/>
        </w:rPr>
        <w:t xml:space="preserve"> </w:t>
      </w:r>
      <w:r>
        <w:rPr>
          <w:sz w:val="24"/>
        </w:rPr>
        <w:t>"the</w:t>
      </w:r>
      <w:r>
        <w:rPr>
          <w:spacing w:val="-12"/>
          <w:sz w:val="24"/>
        </w:rPr>
        <w:t xml:space="preserve"> </w:t>
      </w:r>
      <w:r>
        <w:rPr>
          <w:sz w:val="24"/>
        </w:rPr>
        <w:t>materials</w:t>
      </w:r>
      <w:r>
        <w:rPr>
          <w:spacing w:val="-10"/>
          <w:sz w:val="24"/>
        </w:rPr>
        <w:t xml:space="preserve"> </w:t>
      </w:r>
      <w:r>
        <w:rPr>
          <w:sz w:val="24"/>
        </w:rPr>
        <w:t>and</w:t>
      </w:r>
      <w:r>
        <w:rPr>
          <w:spacing w:val="-14"/>
          <w:sz w:val="24"/>
        </w:rPr>
        <w:t xml:space="preserve"> </w:t>
      </w:r>
      <w:r>
        <w:rPr>
          <w:sz w:val="24"/>
        </w:rPr>
        <w:t>attachments</w:t>
      </w:r>
      <w:r>
        <w:rPr>
          <w:spacing w:val="-10"/>
          <w:sz w:val="24"/>
        </w:rPr>
        <w:t xml:space="preserve"> </w:t>
      </w:r>
      <w:r>
        <w:rPr>
          <w:sz w:val="24"/>
        </w:rPr>
        <w:t>in</w:t>
      </w:r>
      <w:r>
        <w:rPr>
          <w:spacing w:val="-14"/>
          <w:sz w:val="24"/>
        </w:rPr>
        <w:t xml:space="preserve"> </w:t>
      </w:r>
      <w:r>
        <w:rPr>
          <w:sz w:val="24"/>
        </w:rPr>
        <w:t>this</w:t>
      </w:r>
      <w:r>
        <w:rPr>
          <w:spacing w:val="-10"/>
          <w:sz w:val="24"/>
        </w:rPr>
        <w:t xml:space="preserve"> </w:t>
      </w:r>
      <w:r>
        <w:rPr>
          <w:sz w:val="24"/>
        </w:rPr>
        <w:t>application</w:t>
      </w:r>
      <w:r>
        <w:rPr>
          <w:spacing w:val="-14"/>
          <w:sz w:val="24"/>
        </w:rPr>
        <w:t xml:space="preserve"> </w:t>
      </w:r>
      <w:r>
        <w:rPr>
          <w:sz w:val="24"/>
        </w:rPr>
        <w:t>be</w:t>
      </w:r>
      <w:r>
        <w:rPr>
          <w:spacing w:val="-12"/>
          <w:sz w:val="24"/>
        </w:rPr>
        <w:t xml:space="preserve"> </w:t>
      </w:r>
      <w:r>
        <w:rPr>
          <w:sz w:val="24"/>
        </w:rPr>
        <w:t>treated as confidential"; and</w:t>
      </w:r>
    </w:p>
    <w:p w14:paraId="416E7873" w14:textId="77777777" w:rsidR="00BD462C" w:rsidRDefault="00033D0F">
      <w:pPr>
        <w:pStyle w:val="ListParagraph"/>
        <w:numPr>
          <w:ilvl w:val="0"/>
          <w:numId w:val="29"/>
        </w:numPr>
        <w:tabs>
          <w:tab w:val="left" w:pos="1835"/>
          <w:tab w:val="left" w:pos="1836"/>
        </w:tabs>
        <w:spacing w:before="122" w:line="360" w:lineRule="auto"/>
        <w:ind w:left="1839" w:right="916" w:hanging="855"/>
        <w:jc w:val="both"/>
        <w:rPr>
          <w:sz w:val="24"/>
        </w:rPr>
      </w:pPr>
      <w:r>
        <w:rPr>
          <w:sz w:val="24"/>
        </w:rPr>
        <w:t>said that the applicant "hereby prepares a public</w:t>
      </w:r>
      <w:r>
        <w:rPr>
          <w:spacing w:val="-1"/>
          <w:sz w:val="24"/>
        </w:rPr>
        <w:t xml:space="preserve"> </w:t>
      </w:r>
      <w:r>
        <w:rPr>
          <w:sz w:val="24"/>
        </w:rPr>
        <w:t>version of the application and attachments which provide descriptions or non-confidential summary for the confidential materials and information".</w:t>
      </w:r>
      <w:hyperlink w:anchor="_bookmark1234" w:history="1">
        <w:r>
          <w:rPr>
            <w:sz w:val="24"/>
            <w:vertAlign w:val="superscript"/>
          </w:rPr>
          <w:t>1061</w:t>
        </w:r>
      </w:hyperlink>
    </w:p>
    <w:p w14:paraId="460FA2E7" w14:textId="47DF2E07" w:rsidR="00BD462C" w:rsidRDefault="00A246C2">
      <w:pPr>
        <w:pStyle w:val="BodyText"/>
        <w:spacing w:before="130" w:line="357" w:lineRule="auto"/>
        <w:ind w:left="135" w:right="913"/>
        <w:jc w:val="both"/>
      </w:pPr>
      <w:r>
        <w:rPr>
          <w:noProof/>
        </w:rPr>
        <w:t>682.</w:t>
      </w:r>
      <w:r w:rsidR="00033D0F">
        <w:rPr>
          <w:rFonts w:ascii="Times New Roman"/>
          <w:spacing w:val="80"/>
          <w:w w:val="150"/>
          <w:position w:val="1"/>
          <w:sz w:val="20"/>
        </w:rPr>
        <w:t xml:space="preserve">  </w:t>
      </w:r>
      <w:r w:rsidR="00033D0F">
        <w:rPr>
          <w:position w:val="1"/>
        </w:rPr>
        <w:t xml:space="preserve">Given that the request for confidential treatment covers the application, and there </w:t>
      </w:r>
      <w:r w:rsidR="00033D0F">
        <w:t>are</w:t>
      </w:r>
      <w:r w:rsidR="00033D0F">
        <w:rPr>
          <w:spacing w:val="-14"/>
        </w:rPr>
        <w:t xml:space="preserve"> </w:t>
      </w:r>
      <w:r w:rsidR="00033D0F">
        <w:t>explicit</w:t>
      </w:r>
      <w:r w:rsidR="00033D0F">
        <w:rPr>
          <w:spacing w:val="-14"/>
        </w:rPr>
        <w:t xml:space="preserve"> </w:t>
      </w:r>
      <w:r w:rsidR="00033D0F">
        <w:t>references</w:t>
      </w:r>
      <w:r w:rsidR="00033D0F">
        <w:rPr>
          <w:spacing w:val="-13"/>
        </w:rPr>
        <w:t xml:space="preserve"> </w:t>
      </w:r>
      <w:r w:rsidR="00033D0F">
        <w:t>to</w:t>
      </w:r>
      <w:r w:rsidR="00033D0F">
        <w:rPr>
          <w:spacing w:val="-14"/>
        </w:rPr>
        <w:t xml:space="preserve"> </w:t>
      </w:r>
      <w:r w:rsidR="00033D0F">
        <w:t>the</w:t>
      </w:r>
      <w:r w:rsidR="00033D0F">
        <w:rPr>
          <w:spacing w:val="-13"/>
        </w:rPr>
        <w:t xml:space="preserve"> </w:t>
      </w:r>
      <w:r w:rsidR="00033D0F">
        <w:t>"confidential</w:t>
      </w:r>
      <w:r w:rsidR="00033D0F">
        <w:rPr>
          <w:spacing w:val="-12"/>
        </w:rPr>
        <w:t xml:space="preserve"> </w:t>
      </w:r>
      <w:r w:rsidR="00033D0F">
        <w:t>application"</w:t>
      </w:r>
      <w:r w:rsidR="00033D0F">
        <w:rPr>
          <w:spacing w:val="-14"/>
        </w:rPr>
        <w:t xml:space="preserve"> </w:t>
      </w:r>
      <w:r w:rsidR="00033D0F">
        <w:t>and</w:t>
      </w:r>
      <w:r w:rsidR="00033D0F">
        <w:rPr>
          <w:spacing w:val="-13"/>
        </w:rPr>
        <w:t xml:space="preserve"> </w:t>
      </w:r>
      <w:r w:rsidR="00033D0F">
        <w:t>"a</w:t>
      </w:r>
      <w:r w:rsidR="00033D0F">
        <w:rPr>
          <w:spacing w:val="-13"/>
        </w:rPr>
        <w:t xml:space="preserve"> </w:t>
      </w:r>
      <w:r w:rsidR="00033D0F">
        <w:t>public</w:t>
      </w:r>
      <w:r w:rsidR="00033D0F">
        <w:rPr>
          <w:spacing w:val="-14"/>
        </w:rPr>
        <w:t xml:space="preserve"> </w:t>
      </w:r>
      <w:r w:rsidR="00033D0F">
        <w:t>version</w:t>
      </w:r>
      <w:r w:rsidR="00033D0F">
        <w:rPr>
          <w:spacing w:val="-14"/>
        </w:rPr>
        <w:t xml:space="preserve"> </w:t>
      </w:r>
      <w:r w:rsidR="00033D0F">
        <w:t>of</w:t>
      </w:r>
      <w:r w:rsidR="00033D0F">
        <w:rPr>
          <w:spacing w:val="-13"/>
        </w:rPr>
        <w:t xml:space="preserve"> </w:t>
      </w:r>
      <w:r w:rsidR="00033D0F">
        <w:t>the</w:t>
      </w:r>
      <w:r w:rsidR="00033D0F">
        <w:rPr>
          <w:spacing w:val="-13"/>
        </w:rPr>
        <w:t xml:space="preserve"> </w:t>
      </w:r>
      <w:r w:rsidR="00033D0F">
        <w:t>application and attachments", Australia does not accept China's assertion that it was "clear from an objective</w:t>
      </w:r>
      <w:r w:rsidR="00033D0F">
        <w:rPr>
          <w:spacing w:val="23"/>
        </w:rPr>
        <w:t xml:space="preserve"> </w:t>
      </w:r>
      <w:r w:rsidR="00033D0F">
        <w:t>reading"</w:t>
      </w:r>
      <w:r w:rsidR="00033D0F">
        <w:rPr>
          <w:spacing w:val="24"/>
        </w:rPr>
        <w:t xml:space="preserve"> </w:t>
      </w:r>
      <w:r w:rsidR="00033D0F">
        <w:t>that</w:t>
      </w:r>
      <w:r w:rsidR="00033D0F">
        <w:rPr>
          <w:spacing w:val="26"/>
        </w:rPr>
        <w:t xml:space="preserve"> </w:t>
      </w:r>
      <w:r w:rsidR="00033D0F">
        <w:t>no</w:t>
      </w:r>
      <w:r w:rsidR="00033D0F">
        <w:rPr>
          <w:spacing w:val="24"/>
        </w:rPr>
        <w:t xml:space="preserve"> </w:t>
      </w:r>
      <w:r w:rsidR="00033D0F">
        <w:t>information</w:t>
      </w:r>
      <w:r w:rsidR="00033D0F">
        <w:rPr>
          <w:spacing w:val="23"/>
        </w:rPr>
        <w:t xml:space="preserve"> </w:t>
      </w:r>
      <w:r w:rsidR="00033D0F">
        <w:t>was</w:t>
      </w:r>
      <w:r w:rsidR="00033D0F">
        <w:rPr>
          <w:spacing w:val="27"/>
        </w:rPr>
        <w:t xml:space="preserve"> </w:t>
      </w:r>
      <w:r w:rsidR="00033D0F">
        <w:t>withheld</w:t>
      </w:r>
      <w:r w:rsidR="00033D0F">
        <w:rPr>
          <w:spacing w:val="23"/>
        </w:rPr>
        <w:t xml:space="preserve"> </w:t>
      </w:r>
      <w:r w:rsidR="00033D0F">
        <w:t>from</w:t>
      </w:r>
      <w:r w:rsidR="00033D0F">
        <w:rPr>
          <w:spacing w:val="26"/>
        </w:rPr>
        <w:t xml:space="preserve"> </w:t>
      </w:r>
      <w:r w:rsidR="00033D0F">
        <w:t>the</w:t>
      </w:r>
      <w:r w:rsidR="00033D0F">
        <w:rPr>
          <w:spacing w:val="30"/>
        </w:rPr>
        <w:t xml:space="preserve"> </w:t>
      </w:r>
      <w:r w:rsidR="00033D0F">
        <w:t>body</w:t>
      </w:r>
      <w:r w:rsidR="00033D0F">
        <w:rPr>
          <w:spacing w:val="26"/>
        </w:rPr>
        <w:t xml:space="preserve"> </w:t>
      </w:r>
      <w:r w:rsidR="00033D0F">
        <w:t>of</w:t>
      </w:r>
      <w:r w:rsidR="00033D0F">
        <w:rPr>
          <w:spacing w:val="24"/>
        </w:rPr>
        <w:t xml:space="preserve"> </w:t>
      </w:r>
      <w:r w:rsidR="00033D0F">
        <w:t>the</w:t>
      </w:r>
      <w:r w:rsidR="00033D0F">
        <w:rPr>
          <w:spacing w:val="26"/>
        </w:rPr>
        <w:t xml:space="preserve"> </w:t>
      </w:r>
      <w:r w:rsidR="00033D0F">
        <w:rPr>
          <w:spacing w:val="-2"/>
        </w:rPr>
        <w:t>application.</w:t>
      </w:r>
      <w:hyperlink w:anchor="_bookmark1235" w:history="1">
        <w:r w:rsidR="00033D0F">
          <w:rPr>
            <w:spacing w:val="-2"/>
            <w:vertAlign w:val="superscript"/>
          </w:rPr>
          <w:t>1062</w:t>
        </w:r>
      </w:hyperlink>
    </w:p>
    <w:p w14:paraId="60E94A90" w14:textId="34AB5D8C" w:rsidR="00BD462C" w:rsidRDefault="00D600FD">
      <w:pPr>
        <w:pStyle w:val="BodyText"/>
        <w:spacing w:before="6"/>
        <w:rPr>
          <w:sz w:val="14"/>
        </w:rPr>
      </w:pPr>
      <w:r>
        <w:rPr>
          <w:noProof/>
        </w:rPr>
        <mc:AlternateContent>
          <mc:Choice Requires="wps">
            <w:drawing>
              <wp:anchor distT="0" distB="0" distL="0" distR="0" simplePos="0" relativeHeight="488167936" behindDoc="1" locked="0" layoutInCell="1" allowOverlap="1" wp14:anchorId="2D30954F" wp14:editId="3BDCBC2F">
                <wp:simplePos x="0" y="0"/>
                <wp:positionH relativeFrom="page">
                  <wp:posOffset>812800</wp:posOffset>
                </wp:positionH>
                <wp:positionV relativeFrom="paragraph">
                  <wp:posOffset>114300</wp:posOffset>
                </wp:positionV>
                <wp:extent cx="1828800" cy="8890"/>
                <wp:effectExtent l="0" t="0" r="0" b="0"/>
                <wp:wrapTopAndBottom/>
                <wp:docPr id="143" name="docshape7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2F8210" id="docshape705" o:spid="_x0000_s1026" alt="&quot;&quot;" style="position:absolute;margin-left:64pt;margin-top:9pt;width:2in;height:.7pt;z-index:-1514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" fillcolor="black" stroked="f">
                <w10:wrap type="topAndBottom" anchorx="page"/>
              </v:rect>
            </w:pict>
          </mc:Fallback>
        </mc:AlternateContent>
      </w:r>
    </w:p>
    <w:p w14:paraId="70DE5D90" w14:textId="77777777" w:rsidR="00BD462C" w:rsidRDefault="00033D0F">
      <w:pPr>
        <w:spacing w:before="115" w:line="235" w:lineRule="auto"/>
        <w:ind w:left="136" w:right="910" w:hanging="1"/>
        <w:rPr>
          <w:sz w:val="18"/>
        </w:rPr>
      </w:pPr>
      <w:bookmarkStart w:id="1429" w:name="_bookmark1231"/>
      <w:bookmarkEnd w:id="1429"/>
      <w:r>
        <w:rPr>
          <w:position w:val="5"/>
          <w:sz w:val="12"/>
        </w:rPr>
        <w:t>1058</w:t>
      </w:r>
      <w:r>
        <w:rPr>
          <w:spacing w:val="36"/>
          <w:position w:val="5"/>
          <w:sz w:val="12"/>
        </w:rPr>
        <w:t xml:space="preserve"> </w:t>
      </w:r>
      <w:r>
        <w:rPr>
          <w:sz w:val="18"/>
        </w:rPr>
        <w:t>Appellate</w:t>
      </w:r>
      <w:r>
        <w:rPr>
          <w:spacing w:val="17"/>
          <w:sz w:val="18"/>
        </w:rPr>
        <w:t xml:space="preserve"> </w:t>
      </w:r>
      <w:r>
        <w:rPr>
          <w:sz w:val="18"/>
        </w:rPr>
        <w:t>Body</w:t>
      </w:r>
      <w:r>
        <w:rPr>
          <w:spacing w:val="15"/>
          <w:sz w:val="18"/>
        </w:rPr>
        <w:t xml:space="preserve"> </w:t>
      </w:r>
      <w:r>
        <w:rPr>
          <w:sz w:val="18"/>
        </w:rPr>
        <w:t>Reports,</w:t>
      </w:r>
      <w:r>
        <w:rPr>
          <w:spacing w:val="19"/>
          <w:sz w:val="18"/>
        </w:rPr>
        <w:t xml:space="preserve"> </w:t>
      </w:r>
      <w:r>
        <w:rPr>
          <w:i/>
          <w:sz w:val="18"/>
        </w:rPr>
        <w:t>China</w:t>
      </w:r>
      <w:r>
        <w:rPr>
          <w:i/>
          <w:spacing w:val="19"/>
          <w:sz w:val="18"/>
        </w:rPr>
        <w:t xml:space="preserve"> </w:t>
      </w:r>
      <w:r>
        <w:rPr>
          <w:i/>
          <w:sz w:val="18"/>
        </w:rPr>
        <w:t>–</w:t>
      </w:r>
      <w:r>
        <w:rPr>
          <w:i/>
          <w:spacing w:val="17"/>
          <w:sz w:val="18"/>
        </w:rPr>
        <w:t xml:space="preserve"> </w:t>
      </w:r>
      <w:r>
        <w:rPr>
          <w:i/>
          <w:sz w:val="18"/>
        </w:rPr>
        <w:t>HP-SSST</w:t>
      </w:r>
      <w:r>
        <w:rPr>
          <w:i/>
          <w:spacing w:val="19"/>
          <w:sz w:val="18"/>
        </w:rPr>
        <w:t xml:space="preserve"> </w:t>
      </w:r>
      <w:r>
        <w:rPr>
          <w:i/>
          <w:sz w:val="18"/>
        </w:rPr>
        <w:t>(Japan)</w:t>
      </w:r>
      <w:r>
        <w:rPr>
          <w:i/>
          <w:spacing w:val="19"/>
          <w:sz w:val="18"/>
        </w:rPr>
        <w:t xml:space="preserve"> </w:t>
      </w:r>
      <w:r>
        <w:rPr>
          <w:i/>
          <w:sz w:val="18"/>
        </w:rPr>
        <w:t>/</w:t>
      </w:r>
      <w:r>
        <w:rPr>
          <w:i/>
          <w:spacing w:val="18"/>
          <w:sz w:val="18"/>
        </w:rPr>
        <w:t xml:space="preserve"> </w:t>
      </w:r>
      <w:r>
        <w:rPr>
          <w:i/>
          <w:sz w:val="18"/>
        </w:rPr>
        <w:t>China</w:t>
      </w:r>
      <w:r>
        <w:rPr>
          <w:i/>
          <w:spacing w:val="19"/>
          <w:sz w:val="18"/>
        </w:rPr>
        <w:t xml:space="preserve"> </w:t>
      </w:r>
      <w:r>
        <w:rPr>
          <w:i/>
          <w:sz w:val="18"/>
        </w:rPr>
        <w:t>–</w:t>
      </w:r>
      <w:r>
        <w:rPr>
          <w:i/>
          <w:spacing w:val="17"/>
          <w:sz w:val="18"/>
        </w:rPr>
        <w:t xml:space="preserve"> </w:t>
      </w:r>
      <w:r>
        <w:rPr>
          <w:i/>
          <w:sz w:val="18"/>
        </w:rPr>
        <w:t>HP-SSST</w:t>
      </w:r>
      <w:r>
        <w:rPr>
          <w:i/>
          <w:spacing w:val="19"/>
          <w:sz w:val="18"/>
        </w:rPr>
        <w:t xml:space="preserve"> </w:t>
      </w:r>
      <w:r>
        <w:rPr>
          <w:i/>
          <w:sz w:val="18"/>
        </w:rPr>
        <w:t>(EU)</w:t>
      </w:r>
      <w:r>
        <w:rPr>
          <w:sz w:val="18"/>
        </w:rPr>
        <w:t>,</w:t>
      </w:r>
      <w:r>
        <w:rPr>
          <w:spacing w:val="23"/>
          <w:sz w:val="18"/>
        </w:rPr>
        <w:t xml:space="preserve"> </w:t>
      </w:r>
      <w:r>
        <w:rPr>
          <w:sz w:val="18"/>
        </w:rPr>
        <w:t>para.</w:t>
      </w:r>
      <w:r>
        <w:rPr>
          <w:spacing w:val="22"/>
          <w:sz w:val="18"/>
        </w:rPr>
        <w:t xml:space="preserve"> </w:t>
      </w:r>
      <w:r>
        <w:rPr>
          <w:sz w:val="18"/>
        </w:rPr>
        <w:t>5.97</w:t>
      </w:r>
      <w:r>
        <w:rPr>
          <w:spacing w:val="15"/>
          <w:sz w:val="18"/>
        </w:rPr>
        <w:t xml:space="preserve"> </w:t>
      </w:r>
      <w:r>
        <w:rPr>
          <w:sz w:val="18"/>
        </w:rPr>
        <w:t>(cited</w:t>
      </w:r>
      <w:r>
        <w:rPr>
          <w:spacing w:val="16"/>
          <w:sz w:val="18"/>
        </w:rPr>
        <w:t xml:space="preserve"> </w:t>
      </w:r>
      <w:r>
        <w:rPr>
          <w:sz w:val="18"/>
        </w:rPr>
        <w:t>in</w:t>
      </w:r>
      <w:r>
        <w:rPr>
          <w:spacing w:val="17"/>
          <w:sz w:val="18"/>
        </w:rPr>
        <w:t xml:space="preserve"> </w:t>
      </w:r>
      <w:r>
        <w:rPr>
          <w:sz w:val="18"/>
        </w:rPr>
        <w:t>Australia's</w:t>
      </w:r>
      <w:r>
        <w:rPr>
          <w:spacing w:val="17"/>
          <w:sz w:val="18"/>
        </w:rPr>
        <w:t xml:space="preserve"> </w:t>
      </w:r>
      <w:r>
        <w:rPr>
          <w:sz w:val="18"/>
        </w:rPr>
        <w:t>first</w:t>
      </w:r>
      <w:r>
        <w:rPr>
          <w:spacing w:val="22"/>
          <w:sz w:val="18"/>
        </w:rPr>
        <w:t xml:space="preserve"> </w:t>
      </w:r>
      <w:r>
        <w:rPr>
          <w:sz w:val="18"/>
        </w:rPr>
        <w:t>written submission, para. 853, fn. 1011.)</w:t>
      </w:r>
    </w:p>
    <w:p w14:paraId="1DB842B1" w14:textId="77777777" w:rsidR="00BD462C" w:rsidRDefault="00033D0F">
      <w:pPr>
        <w:spacing w:before="3"/>
        <w:ind w:left="135"/>
        <w:rPr>
          <w:sz w:val="18"/>
        </w:rPr>
      </w:pPr>
      <w:bookmarkStart w:id="1430" w:name="_bookmark1232"/>
      <w:bookmarkEnd w:id="1430"/>
      <w:r>
        <w:rPr>
          <w:position w:val="5"/>
          <w:sz w:val="12"/>
        </w:rPr>
        <w:t>1059</w:t>
      </w:r>
      <w:r>
        <w:rPr>
          <w:spacing w:val="13"/>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 xml:space="preserve">para. </w:t>
      </w:r>
      <w:r>
        <w:rPr>
          <w:spacing w:val="-2"/>
          <w:sz w:val="18"/>
        </w:rPr>
        <w:t>2249.</w:t>
      </w:r>
    </w:p>
    <w:p w14:paraId="40E35100" w14:textId="77777777" w:rsidR="00BD462C" w:rsidRDefault="00033D0F">
      <w:pPr>
        <w:spacing w:before="1"/>
        <w:ind w:left="135"/>
        <w:rPr>
          <w:sz w:val="18"/>
        </w:rPr>
      </w:pPr>
      <w:bookmarkStart w:id="1431" w:name="_bookmark1233"/>
      <w:bookmarkEnd w:id="1431"/>
      <w:r>
        <w:rPr>
          <w:position w:val="5"/>
          <w:sz w:val="12"/>
        </w:rPr>
        <w:t>1060</w:t>
      </w:r>
      <w:r>
        <w:rPr>
          <w:spacing w:val="13"/>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 xml:space="preserve">para. </w:t>
      </w:r>
      <w:r>
        <w:rPr>
          <w:spacing w:val="-2"/>
          <w:sz w:val="18"/>
        </w:rPr>
        <w:t>2281.</w:t>
      </w:r>
    </w:p>
    <w:p w14:paraId="6BA73886" w14:textId="77777777" w:rsidR="00BD462C" w:rsidRDefault="00033D0F">
      <w:pPr>
        <w:spacing w:before="1"/>
        <w:ind w:left="135"/>
        <w:rPr>
          <w:sz w:val="18"/>
        </w:rPr>
      </w:pPr>
      <w:bookmarkStart w:id="1432" w:name="_bookmark1234"/>
      <w:bookmarkEnd w:id="1432"/>
      <w:r>
        <w:rPr>
          <w:position w:val="5"/>
          <w:sz w:val="12"/>
        </w:rPr>
        <w:t>1061</w:t>
      </w:r>
      <w:r>
        <w:rPr>
          <w:spacing w:val="14"/>
          <w:position w:val="5"/>
          <w:sz w:val="12"/>
        </w:rPr>
        <w:t xml:space="preserve"> </w:t>
      </w:r>
      <w:r>
        <w:rPr>
          <w:sz w:val="18"/>
        </w:rPr>
        <w:t>CADA</w:t>
      </w:r>
      <w:r>
        <w:rPr>
          <w:spacing w:val="-5"/>
          <w:sz w:val="18"/>
        </w:rPr>
        <w:t xml:space="preserve"> </w:t>
      </w:r>
      <w:r>
        <w:rPr>
          <w:sz w:val="18"/>
        </w:rPr>
        <w:t>Application</w:t>
      </w:r>
      <w:r>
        <w:rPr>
          <w:spacing w:val="-6"/>
          <w:sz w:val="18"/>
        </w:rPr>
        <w:t xml:space="preserve"> </w:t>
      </w:r>
      <w:r>
        <w:rPr>
          <w:sz w:val="18"/>
        </w:rPr>
        <w:t>for</w:t>
      </w:r>
      <w:r>
        <w:rPr>
          <w:spacing w:val="-6"/>
          <w:sz w:val="18"/>
        </w:rPr>
        <w:t xml:space="preserve"> </w:t>
      </w:r>
      <w:r>
        <w:rPr>
          <w:sz w:val="18"/>
        </w:rPr>
        <w:t>Anti-Dumping</w:t>
      </w:r>
      <w:r>
        <w:rPr>
          <w:spacing w:val="-4"/>
          <w:sz w:val="18"/>
        </w:rPr>
        <w:t xml:space="preserve"> </w:t>
      </w:r>
      <w:r>
        <w:rPr>
          <w:sz w:val="18"/>
        </w:rPr>
        <w:t>Investigation</w:t>
      </w:r>
      <w:r>
        <w:rPr>
          <w:spacing w:val="-6"/>
          <w:sz w:val="18"/>
        </w:rPr>
        <w:t xml:space="preserve"> </w:t>
      </w:r>
      <w:r>
        <w:rPr>
          <w:sz w:val="18"/>
        </w:rPr>
        <w:t>(Exhibit</w:t>
      </w:r>
      <w:r>
        <w:rPr>
          <w:spacing w:val="-3"/>
          <w:sz w:val="18"/>
        </w:rPr>
        <w:t xml:space="preserve"> </w:t>
      </w:r>
      <w:r>
        <w:rPr>
          <w:sz w:val="18"/>
        </w:rPr>
        <w:t>AUS-64),</w:t>
      </w:r>
      <w:r>
        <w:rPr>
          <w:spacing w:val="-3"/>
          <w:sz w:val="18"/>
        </w:rPr>
        <w:t xml:space="preserve"> </w:t>
      </w:r>
      <w:r>
        <w:rPr>
          <w:sz w:val="18"/>
        </w:rPr>
        <w:t>p.</w:t>
      </w:r>
      <w:r>
        <w:rPr>
          <w:spacing w:val="-3"/>
          <w:sz w:val="18"/>
        </w:rPr>
        <w:t xml:space="preserve"> </w:t>
      </w:r>
      <w:r>
        <w:rPr>
          <w:spacing w:val="-5"/>
          <w:sz w:val="18"/>
        </w:rPr>
        <w:t>82.</w:t>
      </w:r>
    </w:p>
    <w:p w14:paraId="0930707B" w14:textId="77777777" w:rsidR="00BD462C" w:rsidRDefault="00033D0F">
      <w:pPr>
        <w:spacing w:before="1"/>
        <w:ind w:left="135"/>
        <w:rPr>
          <w:sz w:val="18"/>
        </w:rPr>
      </w:pPr>
      <w:bookmarkStart w:id="1433" w:name="_bookmark1235"/>
      <w:bookmarkEnd w:id="1433"/>
      <w:r>
        <w:rPr>
          <w:position w:val="5"/>
          <w:sz w:val="12"/>
        </w:rPr>
        <w:t>1062</w:t>
      </w:r>
      <w:r>
        <w:rPr>
          <w:spacing w:val="13"/>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 xml:space="preserve">para. </w:t>
      </w:r>
      <w:r>
        <w:rPr>
          <w:spacing w:val="-2"/>
          <w:sz w:val="18"/>
        </w:rPr>
        <w:t>2281.</w:t>
      </w:r>
    </w:p>
    <w:p w14:paraId="2257E5A5" w14:textId="77777777" w:rsidR="00BD462C" w:rsidRDefault="00BD462C">
      <w:pPr>
        <w:rPr>
          <w:sz w:val="18"/>
        </w:rPr>
        <w:sectPr w:rsidR="00BD462C">
          <w:pgSz w:w="11910" w:h="16840"/>
          <w:pgMar w:top="860" w:right="500" w:bottom="780" w:left="1280" w:header="566" w:footer="590" w:gutter="0"/>
          <w:cols w:space="720"/>
        </w:sectPr>
      </w:pPr>
    </w:p>
    <w:p w14:paraId="21119EF2"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3C0B5FA3"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1B60D31F"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6C901D1B" w14:textId="77777777" w:rsidR="00BD462C" w:rsidRDefault="00033D0F">
      <w:pPr>
        <w:pStyle w:val="BodyText"/>
        <w:spacing w:before="102" w:line="357" w:lineRule="auto"/>
        <w:ind w:left="136" w:right="923"/>
      </w:pPr>
      <w:r>
        <w:t>Rather,</w:t>
      </w:r>
      <w:r>
        <w:rPr>
          <w:spacing w:val="-10"/>
        </w:rPr>
        <w:t xml:space="preserve"> </w:t>
      </w:r>
      <w:r>
        <w:t>the</w:t>
      </w:r>
      <w:r>
        <w:rPr>
          <w:spacing w:val="-12"/>
        </w:rPr>
        <w:t xml:space="preserve"> </w:t>
      </w:r>
      <w:r>
        <w:t>above</w:t>
      </w:r>
      <w:r>
        <w:rPr>
          <w:spacing w:val="-12"/>
        </w:rPr>
        <w:t xml:space="preserve"> </w:t>
      </w:r>
      <w:r>
        <w:t>indicates</w:t>
      </w:r>
      <w:r>
        <w:rPr>
          <w:spacing w:val="-10"/>
        </w:rPr>
        <w:t xml:space="preserve"> </w:t>
      </w:r>
      <w:r>
        <w:t>that</w:t>
      </w:r>
      <w:r>
        <w:rPr>
          <w:spacing w:val="-11"/>
        </w:rPr>
        <w:t xml:space="preserve"> </w:t>
      </w:r>
      <w:r>
        <w:t>there</w:t>
      </w:r>
      <w:r>
        <w:rPr>
          <w:spacing w:val="-12"/>
        </w:rPr>
        <w:t xml:space="preserve"> </w:t>
      </w:r>
      <w:r>
        <w:t>was</w:t>
      </w:r>
      <w:r>
        <w:rPr>
          <w:spacing w:val="-6"/>
        </w:rPr>
        <w:t xml:space="preserve"> </w:t>
      </w:r>
      <w:r>
        <w:t>both</w:t>
      </w:r>
      <w:r>
        <w:rPr>
          <w:spacing w:val="-9"/>
        </w:rPr>
        <w:t xml:space="preserve"> </w:t>
      </w:r>
      <w:r>
        <w:t>a</w:t>
      </w:r>
      <w:r>
        <w:rPr>
          <w:spacing w:val="-12"/>
        </w:rPr>
        <w:t xml:space="preserve"> </w:t>
      </w:r>
      <w:r>
        <w:t>confidential</w:t>
      </w:r>
      <w:r>
        <w:rPr>
          <w:spacing w:val="-10"/>
        </w:rPr>
        <w:t xml:space="preserve"> </w:t>
      </w:r>
      <w:r>
        <w:t>application</w:t>
      </w:r>
      <w:r>
        <w:rPr>
          <w:spacing w:val="-14"/>
        </w:rPr>
        <w:t xml:space="preserve"> </w:t>
      </w:r>
      <w:r>
        <w:t>and</w:t>
      </w:r>
      <w:r>
        <w:rPr>
          <w:spacing w:val="-13"/>
        </w:rPr>
        <w:t xml:space="preserve"> </w:t>
      </w:r>
      <w:r>
        <w:t>a</w:t>
      </w:r>
      <w:r>
        <w:rPr>
          <w:spacing w:val="-8"/>
        </w:rPr>
        <w:t xml:space="preserve"> </w:t>
      </w:r>
      <w:r>
        <w:t>public</w:t>
      </w:r>
      <w:r>
        <w:rPr>
          <w:spacing w:val="-13"/>
        </w:rPr>
        <w:t xml:space="preserve"> </w:t>
      </w:r>
      <w:r>
        <w:t>version of the application.</w:t>
      </w:r>
    </w:p>
    <w:p w14:paraId="6FB994A2" w14:textId="77777777" w:rsidR="00BD462C" w:rsidRDefault="00BD462C">
      <w:pPr>
        <w:pStyle w:val="BodyText"/>
        <w:spacing w:before="3"/>
        <w:rPr>
          <w:sz w:val="9"/>
        </w:rPr>
      </w:pPr>
    </w:p>
    <w:p w14:paraId="3D88068F" w14:textId="4DA7CE29" w:rsidR="00BD462C" w:rsidRDefault="00A246C2">
      <w:pPr>
        <w:pStyle w:val="BodyText"/>
        <w:spacing w:before="56" w:line="357" w:lineRule="auto"/>
        <w:ind w:left="135" w:right="915"/>
        <w:jc w:val="both"/>
      </w:pPr>
      <w:r>
        <w:rPr>
          <w:noProof/>
        </w:rPr>
        <w:t>683.</w:t>
      </w:r>
      <w:r w:rsidR="00033D0F">
        <w:rPr>
          <w:rFonts w:ascii="Times New Roman"/>
          <w:spacing w:val="80"/>
          <w:position w:val="1"/>
          <w:sz w:val="20"/>
        </w:rPr>
        <w:t xml:space="preserve">  </w:t>
      </w:r>
      <w:r w:rsidR="00033D0F">
        <w:rPr>
          <w:position w:val="1"/>
        </w:rPr>
        <w:t xml:space="preserve">Nonetheless, if it is the case that no confidential version existed, then Australia </w:t>
      </w:r>
      <w:r w:rsidR="00033D0F">
        <w:t>accepts that its claims under Articles 6.5 and 6.5.1 cannot be established in respect of the body of CADA's application.</w:t>
      </w:r>
    </w:p>
    <w:p w14:paraId="26707198" w14:textId="77777777" w:rsidR="00BD462C" w:rsidRDefault="00033D0F">
      <w:pPr>
        <w:pStyle w:val="Heading3"/>
        <w:numPr>
          <w:ilvl w:val="0"/>
          <w:numId w:val="30"/>
        </w:numPr>
        <w:tabs>
          <w:tab w:val="left" w:pos="2545"/>
          <w:tab w:val="left" w:pos="2546"/>
        </w:tabs>
        <w:spacing w:before="164"/>
      </w:pPr>
      <w:bookmarkStart w:id="1434" w:name="5._Annex_3_to_CADA's_application"/>
      <w:bookmarkStart w:id="1435" w:name="_bookmark1236"/>
      <w:bookmarkEnd w:id="1434"/>
      <w:bookmarkEnd w:id="1435"/>
      <w:r>
        <w:t>Annex</w:t>
      </w:r>
      <w:r>
        <w:rPr>
          <w:spacing w:val="-3"/>
        </w:rPr>
        <w:t xml:space="preserve"> </w:t>
      </w:r>
      <w:r>
        <w:t>3</w:t>
      </w:r>
      <w:r>
        <w:rPr>
          <w:spacing w:val="-5"/>
        </w:rPr>
        <w:t xml:space="preserve"> </w:t>
      </w:r>
      <w:r>
        <w:t>to</w:t>
      </w:r>
      <w:r>
        <w:rPr>
          <w:spacing w:val="1"/>
        </w:rPr>
        <w:t xml:space="preserve"> </w:t>
      </w:r>
      <w:r>
        <w:t>CADA's</w:t>
      </w:r>
      <w:r>
        <w:rPr>
          <w:spacing w:val="-2"/>
        </w:rPr>
        <w:t xml:space="preserve"> application</w:t>
      </w:r>
    </w:p>
    <w:p w14:paraId="42C29F4C" w14:textId="77777777" w:rsidR="00BD462C" w:rsidRDefault="00BD462C">
      <w:pPr>
        <w:pStyle w:val="BodyText"/>
        <w:spacing w:before="2"/>
        <w:rPr>
          <w:b/>
          <w:sz w:val="25"/>
        </w:rPr>
      </w:pPr>
    </w:p>
    <w:p w14:paraId="3F660099" w14:textId="77777777" w:rsidR="00BD462C" w:rsidRDefault="00033D0F">
      <w:pPr>
        <w:pStyle w:val="ListParagraph"/>
        <w:numPr>
          <w:ilvl w:val="1"/>
          <w:numId w:val="30"/>
        </w:numPr>
        <w:tabs>
          <w:tab w:val="left" w:pos="3539"/>
          <w:tab w:val="left" w:pos="3540"/>
        </w:tabs>
        <w:spacing w:before="0"/>
        <w:ind w:hanging="851"/>
        <w:rPr>
          <w:sz w:val="24"/>
        </w:rPr>
      </w:pPr>
      <w:bookmarkStart w:id="1436" w:name="(a)_Introduction"/>
      <w:bookmarkEnd w:id="1436"/>
      <w:r>
        <w:rPr>
          <w:spacing w:val="-2"/>
          <w:sz w:val="24"/>
          <w:u w:val="single"/>
        </w:rPr>
        <w:t>Introduction</w:t>
      </w:r>
    </w:p>
    <w:p w14:paraId="4731CD31" w14:textId="77777777" w:rsidR="00BD462C" w:rsidRDefault="00BD462C">
      <w:pPr>
        <w:pStyle w:val="BodyText"/>
        <w:spacing w:before="11"/>
        <w:rPr>
          <w:sz w:val="20"/>
        </w:rPr>
      </w:pPr>
    </w:p>
    <w:p w14:paraId="5C99A1F2" w14:textId="0D0B8FBC" w:rsidR="00BD462C" w:rsidRDefault="00A246C2">
      <w:pPr>
        <w:pStyle w:val="BodyText"/>
        <w:spacing w:before="56" w:line="360" w:lineRule="auto"/>
        <w:ind w:left="135" w:right="913"/>
        <w:jc w:val="both"/>
      </w:pPr>
      <w:r>
        <w:rPr>
          <w:noProof/>
        </w:rPr>
        <w:t>684.</w:t>
      </w:r>
      <w:r w:rsidR="00033D0F">
        <w:rPr>
          <w:rFonts w:ascii="Times New Roman"/>
          <w:spacing w:val="80"/>
          <w:w w:val="150"/>
          <w:position w:val="1"/>
          <w:sz w:val="20"/>
        </w:rPr>
        <w:t xml:space="preserve">  </w:t>
      </w:r>
      <w:r w:rsidR="00033D0F">
        <w:rPr>
          <w:position w:val="1"/>
        </w:rPr>
        <w:t>There</w:t>
      </w:r>
      <w:r w:rsidR="00033D0F">
        <w:rPr>
          <w:spacing w:val="-2"/>
          <w:position w:val="1"/>
        </w:rPr>
        <w:t xml:space="preserve"> </w:t>
      </w:r>
      <w:r w:rsidR="00033D0F">
        <w:rPr>
          <w:position w:val="1"/>
        </w:rPr>
        <w:t>is</w:t>
      </w:r>
      <w:r w:rsidR="00033D0F">
        <w:rPr>
          <w:spacing w:val="-1"/>
          <w:position w:val="1"/>
        </w:rPr>
        <w:t xml:space="preserve"> </w:t>
      </w:r>
      <w:r w:rsidR="00033D0F">
        <w:rPr>
          <w:position w:val="1"/>
        </w:rPr>
        <w:t>no</w:t>
      </w:r>
      <w:r w:rsidR="00033D0F">
        <w:rPr>
          <w:spacing w:val="-5"/>
          <w:position w:val="1"/>
        </w:rPr>
        <w:t xml:space="preserve"> </w:t>
      </w:r>
      <w:r w:rsidR="00033D0F">
        <w:rPr>
          <w:position w:val="1"/>
        </w:rPr>
        <w:t>disagreement</w:t>
      </w:r>
      <w:r w:rsidR="00033D0F">
        <w:rPr>
          <w:spacing w:val="-2"/>
          <w:position w:val="1"/>
        </w:rPr>
        <w:t xml:space="preserve"> </w:t>
      </w:r>
      <w:r w:rsidR="00033D0F">
        <w:rPr>
          <w:position w:val="1"/>
        </w:rPr>
        <w:t>between</w:t>
      </w:r>
      <w:r w:rsidR="00033D0F">
        <w:rPr>
          <w:spacing w:val="-4"/>
          <w:position w:val="1"/>
        </w:rPr>
        <w:t xml:space="preserve"> </w:t>
      </w:r>
      <w:r w:rsidR="00033D0F">
        <w:rPr>
          <w:position w:val="1"/>
        </w:rPr>
        <w:t>the</w:t>
      </w:r>
      <w:r w:rsidR="00033D0F">
        <w:rPr>
          <w:spacing w:val="-3"/>
          <w:position w:val="1"/>
        </w:rPr>
        <w:t xml:space="preserve"> </w:t>
      </w:r>
      <w:r w:rsidR="00033D0F">
        <w:rPr>
          <w:position w:val="1"/>
        </w:rPr>
        <w:t>parties</w:t>
      </w:r>
      <w:r w:rsidR="00033D0F">
        <w:rPr>
          <w:spacing w:val="-1"/>
          <w:position w:val="1"/>
        </w:rPr>
        <w:t xml:space="preserve"> </w:t>
      </w:r>
      <w:r w:rsidR="00033D0F">
        <w:rPr>
          <w:position w:val="1"/>
        </w:rPr>
        <w:t>that</w:t>
      </w:r>
      <w:r w:rsidR="00033D0F">
        <w:rPr>
          <w:spacing w:val="-2"/>
          <w:position w:val="1"/>
        </w:rPr>
        <w:t xml:space="preserve"> </w:t>
      </w:r>
      <w:r w:rsidR="00033D0F">
        <w:rPr>
          <w:position w:val="1"/>
        </w:rPr>
        <w:t>CADA</w:t>
      </w:r>
      <w:r w:rsidR="00033D0F">
        <w:rPr>
          <w:spacing w:val="-3"/>
          <w:position w:val="1"/>
        </w:rPr>
        <w:t xml:space="preserve"> </w:t>
      </w:r>
      <w:r w:rsidR="00033D0F">
        <w:rPr>
          <w:position w:val="1"/>
        </w:rPr>
        <w:t>provided</w:t>
      </w:r>
      <w:r w:rsidR="00033D0F">
        <w:rPr>
          <w:spacing w:val="-4"/>
          <w:position w:val="1"/>
        </w:rPr>
        <w:t xml:space="preserve"> </w:t>
      </w:r>
      <w:r w:rsidR="00033D0F">
        <w:rPr>
          <w:position w:val="1"/>
        </w:rPr>
        <w:t>a</w:t>
      </w:r>
      <w:r w:rsidR="00033D0F">
        <w:rPr>
          <w:spacing w:val="-3"/>
          <w:position w:val="1"/>
        </w:rPr>
        <w:t xml:space="preserve"> </w:t>
      </w:r>
      <w:r w:rsidR="00033D0F">
        <w:rPr>
          <w:position w:val="1"/>
        </w:rPr>
        <w:t>written</w:t>
      </w:r>
      <w:r w:rsidR="00033D0F">
        <w:rPr>
          <w:spacing w:val="-4"/>
          <w:position w:val="1"/>
        </w:rPr>
        <w:t xml:space="preserve"> </w:t>
      </w:r>
      <w:r w:rsidR="00033D0F">
        <w:rPr>
          <w:position w:val="1"/>
        </w:rPr>
        <w:t xml:space="preserve">request </w:t>
      </w:r>
      <w:r w:rsidR="00033D0F">
        <w:t>for</w:t>
      </w:r>
      <w:r w:rsidR="00033D0F">
        <w:rPr>
          <w:spacing w:val="-10"/>
        </w:rPr>
        <w:t xml:space="preserve"> </w:t>
      </w:r>
      <w:r w:rsidR="00033D0F">
        <w:t>confidential</w:t>
      </w:r>
      <w:r w:rsidR="00033D0F">
        <w:rPr>
          <w:spacing w:val="-10"/>
        </w:rPr>
        <w:t xml:space="preserve"> </w:t>
      </w:r>
      <w:r w:rsidR="00033D0F">
        <w:t>treatment</w:t>
      </w:r>
      <w:r w:rsidR="00033D0F">
        <w:rPr>
          <w:spacing w:val="-11"/>
        </w:rPr>
        <w:t xml:space="preserve"> </w:t>
      </w:r>
      <w:r w:rsidR="00033D0F">
        <w:t>of</w:t>
      </w:r>
      <w:r w:rsidR="00033D0F">
        <w:rPr>
          <w:spacing w:val="-14"/>
        </w:rPr>
        <w:t xml:space="preserve"> </w:t>
      </w:r>
      <w:r w:rsidR="00033D0F">
        <w:t>Annex</w:t>
      </w:r>
      <w:r w:rsidR="00033D0F">
        <w:rPr>
          <w:spacing w:val="-10"/>
        </w:rPr>
        <w:t xml:space="preserve"> </w:t>
      </w:r>
      <w:r w:rsidR="00033D0F">
        <w:t>3</w:t>
      </w:r>
      <w:r w:rsidR="00033D0F">
        <w:rPr>
          <w:spacing w:val="-9"/>
        </w:rPr>
        <w:t xml:space="preserve"> </w:t>
      </w:r>
      <w:r w:rsidR="00033D0F">
        <w:t>to</w:t>
      </w:r>
      <w:r w:rsidR="00033D0F">
        <w:rPr>
          <w:spacing w:val="-14"/>
        </w:rPr>
        <w:t xml:space="preserve"> </w:t>
      </w:r>
      <w:r w:rsidR="00033D0F">
        <w:t>its</w:t>
      </w:r>
      <w:r w:rsidR="00033D0F">
        <w:rPr>
          <w:spacing w:val="-9"/>
        </w:rPr>
        <w:t xml:space="preserve"> </w:t>
      </w:r>
      <w:r w:rsidR="00033D0F">
        <w:t>application</w:t>
      </w:r>
      <w:r w:rsidR="00033D0F">
        <w:rPr>
          <w:spacing w:val="-14"/>
        </w:rPr>
        <w:t xml:space="preserve"> </w:t>
      </w:r>
      <w:r w:rsidR="00033D0F">
        <w:t>and</w:t>
      </w:r>
      <w:r w:rsidR="00033D0F">
        <w:rPr>
          <w:spacing w:val="-8"/>
        </w:rPr>
        <w:t xml:space="preserve"> </w:t>
      </w:r>
      <w:r w:rsidR="00033D0F">
        <w:t>a</w:t>
      </w:r>
      <w:r w:rsidR="00033D0F">
        <w:rPr>
          <w:spacing w:val="-12"/>
        </w:rPr>
        <w:t xml:space="preserve"> </w:t>
      </w:r>
      <w:r w:rsidR="00033D0F">
        <w:t>non-confidential</w:t>
      </w:r>
      <w:r w:rsidR="00033D0F">
        <w:rPr>
          <w:spacing w:val="-10"/>
        </w:rPr>
        <w:t xml:space="preserve"> </w:t>
      </w:r>
      <w:r w:rsidR="00033D0F">
        <w:t>summary</w:t>
      </w:r>
      <w:r w:rsidR="00033D0F">
        <w:rPr>
          <w:spacing w:val="-11"/>
        </w:rPr>
        <w:t xml:space="preserve"> </w:t>
      </w:r>
      <w:r w:rsidR="00033D0F">
        <w:t>of</w:t>
      </w:r>
      <w:r w:rsidR="00033D0F">
        <w:rPr>
          <w:spacing w:val="-9"/>
        </w:rPr>
        <w:t xml:space="preserve"> </w:t>
      </w:r>
      <w:r w:rsidR="00033D0F">
        <w:t>the information</w:t>
      </w:r>
      <w:r w:rsidR="00033D0F">
        <w:rPr>
          <w:spacing w:val="-5"/>
        </w:rPr>
        <w:t xml:space="preserve"> </w:t>
      </w:r>
      <w:r w:rsidR="00033D0F">
        <w:t>it</w:t>
      </w:r>
      <w:r w:rsidR="00033D0F">
        <w:rPr>
          <w:spacing w:val="-3"/>
        </w:rPr>
        <w:t xml:space="preserve"> </w:t>
      </w:r>
      <w:r w:rsidR="00033D0F">
        <w:t>contained.</w:t>
      </w:r>
      <w:r w:rsidR="00033D0F">
        <w:rPr>
          <w:spacing w:val="-2"/>
        </w:rPr>
        <w:t xml:space="preserve"> </w:t>
      </w:r>
      <w:r w:rsidR="00033D0F">
        <w:t>The</w:t>
      </w:r>
      <w:r w:rsidR="00033D0F">
        <w:rPr>
          <w:spacing w:val="-4"/>
        </w:rPr>
        <w:t xml:space="preserve"> </w:t>
      </w:r>
      <w:r w:rsidR="00033D0F">
        <w:t>parties</w:t>
      </w:r>
      <w:r w:rsidR="00033D0F">
        <w:rPr>
          <w:spacing w:val="-2"/>
        </w:rPr>
        <w:t xml:space="preserve"> </w:t>
      </w:r>
      <w:r w:rsidR="00033D0F">
        <w:t>differ</w:t>
      </w:r>
      <w:r w:rsidR="00033D0F">
        <w:rPr>
          <w:spacing w:val="-6"/>
        </w:rPr>
        <w:t xml:space="preserve"> </w:t>
      </w:r>
      <w:r w:rsidR="00033D0F">
        <w:t>in</w:t>
      </w:r>
      <w:r w:rsidR="00033D0F">
        <w:rPr>
          <w:spacing w:val="-5"/>
        </w:rPr>
        <w:t xml:space="preserve"> </w:t>
      </w:r>
      <w:r w:rsidR="00033D0F">
        <w:t>whether,</w:t>
      </w:r>
      <w:r w:rsidR="00033D0F">
        <w:rPr>
          <w:spacing w:val="-1"/>
        </w:rPr>
        <w:t xml:space="preserve"> </w:t>
      </w:r>
      <w:r w:rsidR="00033D0F">
        <w:t>given</w:t>
      </w:r>
      <w:r w:rsidR="00033D0F">
        <w:rPr>
          <w:spacing w:val="-5"/>
        </w:rPr>
        <w:t xml:space="preserve"> </w:t>
      </w:r>
      <w:r w:rsidR="00033D0F">
        <w:t>the</w:t>
      </w:r>
      <w:r w:rsidR="00033D0F">
        <w:rPr>
          <w:spacing w:val="-4"/>
        </w:rPr>
        <w:t xml:space="preserve"> </w:t>
      </w:r>
      <w:r w:rsidR="00033D0F">
        <w:t>requirements</w:t>
      </w:r>
      <w:r w:rsidR="00033D0F">
        <w:rPr>
          <w:spacing w:val="-2"/>
        </w:rPr>
        <w:t xml:space="preserve"> </w:t>
      </w:r>
      <w:r w:rsidR="00033D0F">
        <w:t>of</w:t>
      </w:r>
      <w:r w:rsidR="00033D0F">
        <w:rPr>
          <w:spacing w:val="-5"/>
        </w:rPr>
        <w:t xml:space="preserve"> </w:t>
      </w:r>
      <w:r w:rsidR="00033D0F">
        <w:t>Articles</w:t>
      </w:r>
      <w:r w:rsidR="00033D0F">
        <w:rPr>
          <w:spacing w:val="-2"/>
        </w:rPr>
        <w:t xml:space="preserve"> </w:t>
      </w:r>
      <w:r w:rsidR="00033D0F">
        <w:t>6.5 and 6.5.1, MOFCOM properly assessed the existence of "good cause" to uphold that request for confidential treatment and whether the non-confidential summary was furnished in sufficient detail.</w:t>
      </w:r>
    </w:p>
    <w:p w14:paraId="0CE6B641" w14:textId="77777777" w:rsidR="00BD462C" w:rsidRDefault="00033D0F">
      <w:pPr>
        <w:pStyle w:val="ListParagraph"/>
        <w:numPr>
          <w:ilvl w:val="1"/>
          <w:numId w:val="30"/>
        </w:numPr>
        <w:tabs>
          <w:tab w:val="left" w:pos="3539"/>
          <w:tab w:val="left" w:pos="3540"/>
        </w:tabs>
        <w:spacing w:before="153"/>
        <w:ind w:hanging="851"/>
        <w:jc w:val="both"/>
        <w:rPr>
          <w:sz w:val="24"/>
        </w:rPr>
      </w:pPr>
      <w:bookmarkStart w:id="1437" w:name="(b)_Failure_to_assess_good_cause"/>
      <w:bookmarkEnd w:id="1437"/>
      <w:r>
        <w:rPr>
          <w:sz w:val="24"/>
          <w:u w:val="single"/>
        </w:rPr>
        <w:t>Failure</w:t>
      </w:r>
      <w:r>
        <w:rPr>
          <w:spacing w:val="-2"/>
          <w:sz w:val="24"/>
          <w:u w:val="single"/>
        </w:rPr>
        <w:t xml:space="preserve"> </w:t>
      </w:r>
      <w:r>
        <w:rPr>
          <w:sz w:val="24"/>
          <w:u w:val="single"/>
        </w:rPr>
        <w:t>to</w:t>
      </w:r>
      <w:r>
        <w:rPr>
          <w:spacing w:val="-4"/>
          <w:sz w:val="24"/>
          <w:u w:val="single"/>
        </w:rPr>
        <w:t xml:space="preserve"> </w:t>
      </w:r>
      <w:r>
        <w:rPr>
          <w:sz w:val="24"/>
          <w:u w:val="single"/>
        </w:rPr>
        <w:t>assess good</w:t>
      </w:r>
      <w:r>
        <w:rPr>
          <w:spacing w:val="-3"/>
          <w:sz w:val="24"/>
          <w:u w:val="single"/>
        </w:rPr>
        <w:t xml:space="preserve"> </w:t>
      </w:r>
      <w:r>
        <w:rPr>
          <w:spacing w:val="-4"/>
          <w:sz w:val="24"/>
          <w:u w:val="single"/>
        </w:rPr>
        <w:t>cause</w:t>
      </w:r>
    </w:p>
    <w:p w14:paraId="09EAA053" w14:textId="77777777" w:rsidR="00BD462C" w:rsidRDefault="00BD462C">
      <w:pPr>
        <w:pStyle w:val="BodyText"/>
        <w:spacing w:before="11"/>
        <w:rPr>
          <w:sz w:val="20"/>
        </w:rPr>
      </w:pPr>
    </w:p>
    <w:p w14:paraId="09155949" w14:textId="00C8BC13" w:rsidR="00BD462C" w:rsidRDefault="00A246C2">
      <w:pPr>
        <w:pStyle w:val="BodyText"/>
        <w:spacing w:before="56" w:line="360" w:lineRule="auto"/>
        <w:ind w:left="135" w:right="916"/>
        <w:jc w:val="both"/>
      </w:pPr>
      <w:r>
        <w:rPr>
          <w:noProof/>
        </w:rPr>
        <w:t>685.</w:t>
      </w:r>
      <w:r w:rsidR="00033D0F">
        <w:rPr>
          <w:rFonts w:ascii="Times New Roman"/>
          <w:spacing w:val="80"/>
          <w:w w:val="150"/>
          <w:position w:val="1"/>
          <w:sz w:val="20"/>
        </w:rPr>
        <w:t xml:space="preserve"> </w:t>
      </w:r>
      <w:r w:rsidR="00033D0F">
        <w:rPr>
          <w:position w:val="1"/>
        </w:rPr>
        <w:t xml:space="preserve">China appears to accept in its submissions that the only potential evidence of </w:t>
      </w:r>
      <w:r w:rsidR="00033D0F">
        <w:t>MOFCOM's assessment of "good cause" identifiable on the record is the text of CADA's request</w:t>
      </w:r>
      <w:r w:rsidR="00033D0F">
        <w:rPr>
          <w:spacing w:val="-11"/>
        </w:rPr>
        <w:t xml:space="preserve"> </w:t>
      </w:r>
      <w:r w:rsidR="00033D0F">
        <w:t>for</w:t>
      </w:r>
      <w:r w:rsidR="00033D0F">
        <w:rPr>
          <w:spacing w:val="-10"/>
        </w:rPr>
        <w:t xml:space="preserve"> </w:t>
      </w:r>
      <w:r w:rsidR="00033D0F">
        <w:t>confidentiality,</w:t>
      </w:r>
      <w:r w:rsidR="00033D0F">
        <w:rPr>
          <w:spacing w:val="-10"/>
        </w:rPr>
        <w:t xml:space="preserve"> </w:t>
      </w:r>
      <w:r w:rsidR="00033D0F">
        <w:t>whatever</w:t>
      </w:r>
      <w:r w:rsidR="00033D0F">
        <w:rPr>
          <w:spacing w:val="-14"/>
        </w:rPr>
        <w:t xml:space="preserve"> </w:t>
      </w:r>
      <w:r w:rsidR="00033D0F">
        <w:t>information</w:t>
      </w:r>
      <w:r w:rsidR="00033D0F">
        <w:rPr>
          <w:spacing w:val="-8"/>
        </w:rPr>
        <w:t xml:space="preserve"> </w:t>
      </w:r>
      <w:r w:rsidR="00033D0F">
        <w:t>was</w:t>
      </w:r>
      <w:r w:rsidR="00033D0F">
        <w:rPr>
          <w:spacing w:val="-10"/>
        </w:rPr>
        <w:t xml:space="preserve"> </w:t>
      </w:r>
      <w:r w:rsidR="00033D0F">
        <w:t>the</w:t>
      </w:r>
      <w:r w:rsidR="00033D0F">
        <w:rPr>
          <w:spacing w:val="-12"/>
        </w:rPr>
        <w:t xml:space="preserve"> </w:t>
      </w:r>
      <w:r w:rsidR="00033D0F">
        <w:t>subject</w:t>
      </w:r>
      <w:r w:rsidR="00033D0F">
        <w:rPr>
          <w:spacing w:val="-11"/>
        </w:rPr>
        <w:t xml:space="preserve"> </w:t>
      </w:r>
      <w:r w:rsidR="00033D0F">
        <w:t>of</w:t>
      </w:r>
      <w:r w:rsidR="00033D0F">
        <w:rPr>
          <w:spacing w:val="-14"/>
        </w:rPr>
        <w:t xml:space="preserve"> </w:t>
      </w:r>
      <w:r w:rsidR="00033D0F">
        <w:t>that</w:t>
      </w:r>
      <w:r w:rsidR="00033D0F">
        <w:rPr>
          <w:spacing w:val="-6"/>
        </w:rPr>
        <w:t xml:space="preserve"> </w:t>
      </w:r>
      <w:r w:rsidR="00033D0F">
        <w:t>request,</w:t>
      </w:r>
      <w:r w:rsidR="00033D0F">
        <w:rPr>
          <w:spacing w:val="-10"/>
        </w:rPr>
        <w:t xml:space="preserve"> </w:t>
      </w:r>
      <w:r w:rsidR="00033D0F">
        <w:t>and</w:t>
      </w:r>
      <w:r w:rsidR="00033D0F">
        <w:rPr>
          <w:spacing w:val="-14"/>
        </w:rPr>
        <w:t xml:space="preserve"> </w:t>
      </w:r>
      <w:r w:rsidR="00033D0F">
        <w:t>the</w:t>
      </w:r>
      <w:r w:rsidR="00033D0F">
        <w:rPr>
          <w:spacing w:val="-6"/>
        </w:rPr>
        <w:t xml:space="preserve"> </w:t>
      </w:r>
      <w:r w:rsidR="00033D0F">
        <w:t>fact that MOFCOM upheld that request. No other evidence or potential evidence of that assessment is identified in China's submissions.</w:t>
      </w:r>
    </w:p>
    <w:p w14:paraId="130F03CA" w14:textId="77777777" w:rsidR="00BD462C" w:rsidRDefault="00BD462C">
      <w:pPr>
        <w:pStyle w:val="BodyText"/>
        <w:spacing w:before="6"/>
        <w:rPr>
          <w:sz w:val="8"/>
        </w:rPr>
      </w:pPr>
    </w:p>
    <w:p w14:paraId="42110DB0" w14:textId="325D75A2" w:rsidR="00BD462C" w:rsidRDefault="00A246C2">
      <w:pPr>
        <w:pStyle w:val="BodyText"/>
        <w:spacing w:before="56" w:line="360" w:lineRule="auto"/>
        <w:ind w:left="135" w:right="917"/>
        <w:jc w:val="both"/>
      </w:pPr>
      <w:r>
        <w:rPr>
          <w:noProof/>
        </w:rPr>
        <w:t>686.</w:t>
      </w:r>
      <w:r w:rsidR="00033D0F">
        <w:rPr>
          <w:rFonts w:ascii="Times New Roman"/>
          <w:spacing w:val="80"/>
          <w:position w:val="1"/>
          <w:sz w:val="20"/>
        </w:rPr>
        <w:t xml:space="preserve">  </w:t>
      </w:r>
      <w:r w:rsidR="00033D0F">
        <w:rPr>
          <w:position w:val="1"/>
        </w:rPr>
        <w:t xml:space="preserve">The request for confidentiality was predicated on an unspecified, ambiguous risk of </w:t>
      </w:r>
      <w:r w:rsidR="00033D0F">
        <w:t>harm, which was described as follows: "disclosure to the public may cause inconvenience or other adverse effects".</w:t>
      </w:r>
      <w:hyperlink w:anchor="_bookmark1237" w:history="1">
        <w:r w:rsidR="00033D0F">
          <w:rPr>
            <w:vertAlign w:val="superscript"/>
          </w:rPr>
          <w:t>1063</w:t>
        </w:r>
      </w:hyperlink>
      <w:r w:rsidR="00033D0F">
        <w:t xml:space="preserve"> China's submission appears to be that the Panel should conclude that "good cause" was assessed, because in China's view CADA was "not required to furnish reasons justifying [confidential] treatment".</w:t>
      </w:r>
      <w:hyperlink w:anchor="_bookmark1238" w:history="1">
        <w:r w:rsidR="00033D0F">
          <w:rPr>
            <w:vertAlign w:val="superscript"/>
          </w:rPr>
          <w:t>1064</w:t>
        </w:r>
      </w:hyperlink>
    </w:p>
    <w:p w14:paraId="2346E059" w14:textId="77777777" w:rsidR="00BD462C" w:rsidRDefault="00BD462C">
      <w:pPr>
        <w:pStyle w:val="BodyText"/>
        <w:spacing w:before="10"/>
        <w:rPr>
          <w:sz w:val="8"/>
        </w:rPr>
      </w:pPr>
    </w:p>
    <w:p w14:paraId="71196DC7" w14:textId="6EA6002E" w:rsidR="00BD462C" w:rsidRDefault="00A246C2">
      <w:pPr>
        <w:pStyle w:val="BodyText"/>
        <w:spacing w:before="57" w:line="355" w:lineRule="auto"/>
        <w:ind w:left="135" w:right="923"/>
      </w:pPr>
      <w:r>
        <w:rPr>
          <w:noProof/>
        </w:rPr>
        <w:t>687.</w:t>
      </w:r>
      <w:r w:rsidR="00033D0F">
        <w:rPr>
          <w:rFonts w:ascii="Times New Roman"/>
          <w:spacing w:val="80"/>
          <w:position w:val="1"/>
          <w:sz w:val="20"/>
        </w:rPr>
        <w:t xml:space="preserve">   </w:t>
      </w:r>
      <w:r w:rsidR="00033D0F">
        <w:rPr>
          <w:position w:val="1"/>
        </w:rPr>
        <w:t>As</w:t>
      </w:r>
      <w:r w:rsidR="00033D0F">
        <w:rPr>
          <w:spacing w:val="-1"/>
          <w:position w:val="1"/>
        </w:rPr>
        <w:t xml:space="preserve"> </w:t>
      </w:r>
      <w:r w:rsidR="00033D0F">
        <w:rPr>
          <w:position w:val="1"/>
        </w:rPr>
        <w:t>a</w:t>
      </w:r>
      <w:r w:rsidR="00033D0F">
        <w:rPr>
          <w:spacing w:val="-3"/>
          <w:position w:val="1"/>
        </w:rPr>
        <w:t xml:space="preserve"> </w:t>
      </w:r>
      <w:r w:rsidR="00033D0F">
        <w:rPr>
          <w:position w:val="1"/>
        </w:rPr>
        <w:t>starting</w:t>
      </w:r>
      <w:r w:rsidR="00033D0F">
        <w:rPr>
          <w:spacing w:val="-1"/>
          <w:position w:val="1"/>
        </w:rPr>
        <w:t xml:space="preserve"> </w:t>
      </w:r>
      <w:r w:rsidR="00033D0F">
        <w:rPr>
          <w:position w:val="1"/>
        </w:rPr>
        <w:t>point, Australia</w:t>
      </w:r>
      <w:r w:rsidR="00033D0F">
        <w:rPr>
          <w:spacing w:val="-3"/>
          <w:position w:val="1"/>
        </w:rPr>
        <w:t xml:space="preserve"> </w:t>
      </w:r>
      <w:r w:rsidR="00033D0F">
        <w:rPr>
          <w:position w:val="1"/>
        </w:rPr>
        <w:t>clarifies</w:t>
      </w:r>
      <w:r w:rsidR="00033D0F">
        <w:rPr>
          <w:spacing w:val="-1"/>
          <w:position w:val="1"/>
        </w:rPr>
        <w:t xml:space="preserve"> </w:t>
      </w:r>
      <w:r w:rsidR="00033D0F">
        <w:rPr>
          <w:position w:val="1"/>
        </w:rPr>
        <w:t>that</w:t>
      </w:r>
      <w:r w:rsidR="00033D0F">
        <w:rPr>
          <w:spacing w:val="-2"/>
          <w:position w:val="1"/>
        </w:rPr>
        <w:t xml:space="preserve"> </w:t>
      </w:r>
      <w:r w:rsidR="00033D0F">
        <w:rPr>
          <w:position w:val="1"/>
        </w:rPr>
        <w:t>it</w:t>
      </w:r>
      <w:r w:rsidR="00033D0F">
        <w:rPr>
          <w:spacing w:val="-2"/>
          <w:position w:val="1"/>
        </w:rPr>
        <w:t xml:space="preserve"> </w:t>
      </w:r>
      <w:r w:rsidR="00033D0F">
        <w:rPr>
          <w:position w:val="1"/>
        </w:rPr>
        <w:t>does</w:t>
      </w:r>
      <w:r w:rsidR="00033D0F">
        <w:rPr>
          <w:spacing w:val="-1"/>
          <w:position w:val="1"/>
        </w:rPr>
        <w:t xml:space="preserve"> </w:t>
      </w:r>
      <w:r w:rsidR="00033D0F">
        <w:rPr>
          <w:position w:val="1"/>
        </w:rPr>
        <w:t>not</w:t>
      </w:r>
      <w:r w:rsidR="00033D0F">
        <w:rPr>
          <w:spacing w:val="-2"/>
          <w:position w:val="1"/>
        </w:rPr>
        <w:t xml:space="preserve"> </w:t>
      </w:r>
      <w:r w:rsidR="00033D0F">
        <w:rPr>
          <w:position w:val="1"/>
        </w:rPr>
        <w:t>contend</w:t>
      </w:r>
      <w:r w:rsidR="00033D0F">
        <w:rPr>
          <w:spacing w:val="-4"/>
          <w:position w:val="1"/>
        </w:rPr>
        <w:t xml:space="preserve"> </w:t>
      </w:r>
      <w:r w:rsidR="00033D0F">
        <w:rPr>
          <w:position w:val="1"/>
        </w:rPr>
        <w:t>that, as</w:t>
      </w:r>
      <w:r w:rsidR="00033D0F">
        <w:rPr>
          <w:spacing w:val="-1"/>
          <w:position w:val="1"/>
        </w:rPr>
        <w:t xml:space="preserve"> </w:t>
      </w:r>
      <w:r w:rsidR="00033D0F">
        <w:rPr>
          <w:position w:val="1"/>
        </w:rPr>
        <w:t>a</w:t>
      </w:r>
      <w:r w:rsidR="00033D0F">
        <w:rPr>
          <w:spacing w:val="-3"/>
          <w:position w:val="1"/>
        </w:rPr>
        <w:t xml:space="preserve"> </w:t>
      </w:r>
      <w:r w:rsidR="00033D0F">
        <w:rPr>
          <w:position w:val="1"/>
        </w:rPr>
        <w:t xml:space="preserve">general rule, </w:t>
      </w:r>
      <w:r w:rsidR="00033D0F">
        <w:t>a</w:t>
      </w:r>
      <w:r w:rsidR="00033D0F">
        <w:rPr>
          <w:spacing w:val="63"/>
        </w:rPr>
        <w:t xml:space="preserve"> </w:t>
      </w:r>
      <w:r w:rsidR="00033D0F">
        <w:t>party</w:t>
      </w:r>
      <w:r w:rsidR="00033D0F">
        <w:rPr>
          <w:spacing w:val="66"/>
        </w:rPr>
        <w:t xml:space="preserve"> </w:t>
      </w:r>
      <w:r w:rsidR="00033D0F">
        <w:t>seeking</w:t>
      </w:r>
      <w:r w:rsidR="00033D0F">
        <w:rPr>
          <w:spacing w:val="65"/>
        </w:rPr>
        <w:t xml:space="preserve"> </w:t>
      </w:r>
      <w:r w:rsidR="00033D0F">
        <w:t>confidential</w:t>
      </w:r>
      <w:r w:rsidR="00033D0F">
        <w:rPr>
          <w:spacing w:val="67"/>
        </w:rPr>
        <w:t xml:space="preserve"> </w:t>
      </w:r>
      <w:r w:rsidR="00033D0F">
        <w:t>treatment</w:t>
      </w:r>
      <w:r w:rsidR="00033D0F">
        <w:rPr>
          <w:spacing w:val="59"/>
        </w:rPr>
        <w:t xml:space="preserve"> </w:t>
      </w:r>
      <w:r w:rsidR="00033D0F">
        <w:t>is</w:t>
      </w:r>
      <w:r w:rsidR="00033D0F">
        <w:rPr>
          <w:spacing w:val="66"/>
        </w:rPr>
        <w:t xml:space="preserve"> </w:t>
      </w:r>
      <w:r w:rsidR="00033D0F">
        <w:t>required</w:t>
      </w:r>
      <w:r w:rsidR="00033D0F">
        <w:rPr>
          <w:spacing w:val="62"/>
        </w:rPr>
        <w:t xml:space="preserve"> </w:t>
      </w:r>
      <w:r w:rsidR="00033D0F">
        <w:t>to</w:t>
      </w:r>
      <w:r w:rsidR="00033D0F">
        <w:rPr>
          <w:spacing w:val="62"/>
        </w:rPr>
        <w:t xml:space="preserve"> </w:t>
      </w:r>
      <w:r w:rsidR="00033D0F">
        <w:t>submit</w:t>
      </w:r>
      <w:r w:rsidR="00033D0F">
        <w:rPr>
          <w:spacing w:val="64"/>
        </w:rPr>
        <w:t xml:space="preserve"> </w:t>
      </w:r>
      <w:r w:rsidR="00033D0F">
        <w:t>explicit</w:t>
      </w:r>
      <w:r w:rsidR="00033D0F">
        <w:rPr>
          <w:spacing w:val="65"/>
        </w:rPr>
        <w:t xml:space="preserve"> </w:t>
      </w:r>
      <w:r w:rsidR="00033D0F">
        <w:t>reasons</w:t>
      </w:r>
      <w:r w:rsidR="00033D0F">
        <w:rPr>
          <w:spacing w:val="66"/>
        </w:rPr>
        <w:t xml:space="preserve"> </w:t>
      </w:r>
      <w:r w:rsidR="00033D0F">
        <w:rPr>
          <w:spacing w:val="-2"/>
        </w:rPr>
        <w:t>justifying</w:t>
      </w:r>
    </w:p>
    <w:p w14:paraId="77955504" w14:textId="77777777" w:rsidR="00BD462C" w:rsidRDefault="00BD462C">
      <w:pPr>
        <w:pStyle w:val="BodyText"/>
        <w:rPr>
          <w:sz w:val="20"/>
        </w:rPr>
      </w:pPr>
    </w:p>
    <w:p w14:paraId="36EB5FAF" w14:textId="0D7D29E9" w:rsidR="00BD462C" w:rsidRDefault="00D600FD">
      <w:pPr>
        <w:pStyle w:val="BodyText"/>
        <w:spacing w:before="12"/>
        <w:rPr>
          <w:sz w:val="14"/>
        </w:rPr>
      </w:pPr>
      <w:r>
        <w:rPr>
          <w:noProof/>
        </w:rPr>
        <mc:AlternateContent>
          <mc:Choice Requires="wps">
            <w:drawing>
              <wp:anchor distT="0" distB="0" distL="0" distR="0" simplePos="0" relativeHeight="488169984" behindDoc="1" locked="0" layoutInCell="1" allowOverlap="1" wp14:anchorId="15BD9482" wp14:editId="24F6EFEF">
                <wp:simplePos x="0" y="0"/>
                <wp:positionH relativeFrom="page">
                  <wp:posOffset>812800</wp:posOffset>
                </wp:positionH>
                <wp:positionV relativeFrom="paragraph">
                  <wp:posOffset>118745</wp:posOffset>
                </wp:positionV>
                <wp:extent cx="1828800" cy="8890"/>
                <wp:effectExtent l="0" t="0" r="0" b="0"/>
                <wp:wrapTopAndBottom/>
                <wp:docPr id="145" name="docshape7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FA7817" id="docshape705" o:spid="_x0000_s1026" alt="&quot;&quot;" style="position:absolute;margin-left:64pt;margin-top:9.35pt;width:2in;height:.7pt;z-index:-1514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" fillcolor="black" stroked="f">
                <w10:wrap type="topAndBottom" anchorx="page"/>
              </v:rect>
            </w:pict>
          </mc:Fallback>
        </mc:AlternateContent>
      </w:r>
    </w:p>
    <w:p w14:paraId="7EC27F55" w14:textId="77777777" w:rsidR="00BD462C" w:rsidRDefault="00033D0F">
      <w:pPr>
        <w:spacing w:before="112"/>
        <w:ind w:left="135"/>
        <w:rPr>
          <w:sz w:val="18"/>
        </w:rPr>
      </w:pPr>
      <w:bookmarkStart w:id="1438" w:name="_bookmark1237"/>
      <w:bookmarkEnd w:id="1438"/>
      <w:r>
        <w:rPr>
          <w:position w:val="5"/>
          <w:sz w:val="12"/>
        </w:rPr>
        <w:t>1063</w:t>
      </w:r>
      <w:r>
        <w:rPr>
          <w:spacing w:val="13"/>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 xml:space="preserve">para. </w:t>
      </w:r>
      <w:r>
        <w:rPr>
          <w:spacing w:val="-2"/>
          <w:sz w:val="18"/>
        </w:rPr>
        <w:t>2287.</w:t>
      </w:r>
    </w:p>
    <w:p w14:paraId="069BDA04" w14:textId="77777777" w:rsidR="00BD462C" w:rsidRDefault="00033D0F">
      <w:pPr>
        <w:spacing w:before="1"/>
        <w:ind w:left="135"/>
        <w:rPr>
          <w:sz w:val="18"/>
        </w:rPr>
      </w:pPr>
      <w:bookmarkStart w:id="1439" w:name="_bookmark1238"/>
      <w:bookmarkEnd w:id="1439"/>
      <w:r>
        <w:rPr>
          <w:position w:val="5"/>
          <w:sz w:val="12"/>
        </w:rPr>
        <w:t>1064</w:t>
      </w:r>
      <w:r>
        <w:rPr>
          <w:spacing w:val="13"/>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 xml:space="preserve">para. </w:t>
      </w:r>
      <w:r>
        <w:rPr>
          <w:spacing w:val="-2"/>
          <w:sz w:val="18"/>
        </w:rPr>
        <w:t>2285.</w:t>
      </w:r>
    </w:p>
    <w:p w14:paraId="240781EE" w14:textId="77777777" w:rsidR="00BD462C" w:rsidRDefault="00BD462C">
      <w:pPr>
        <w:rPr>
          <w:sz w:val="18"/>
        </w:rPr>
        <w:sectPr w:rsidR="00BD462C">
          <w:pgSz w:w="11910" w:h="16840"/>
          <w:pgMar w:top="860" w:right="500" w:bottom="780" w:left="1280" w:header="566" w:footer="590" w:gutter="0"/>
          <w:cols w:space="720"/>
        </w:sectPr>
      </w:pPr>
    </w:p>
    <w:p w14:paraId="4F103CF6"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3CFF775E"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2F932E5C"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3C6657C3" w14:textId="77777777" w:rsidR="00BD462C" w:rsidRDefault="00033D0F">
      <w:pPr>
        <w:pStyle w:val="BodyText"/>
        <w:spacing w:before="102" w:line="360" w:lineRule="auto"/>
        <w:ind w:left="136" w:right="916"/>
        <w:jc w:val="both"/>
      </w:pPr>
      <w:r>
        <w:t xml:space="preserve">confidential treatment. Whether such a rule existed was the sole point in issue in the paragraphs China cites from </w:t>
      </w:r>
      <w:r>
        <w:rPr>
          <w:i/>
        </w:rPr>
        <w:t>Korea – Stainless Steel Bars</w:t>
      </w:r>
      <w:r>
        <w:t>.</w:t>
      </w:r>
      <w:hyperlink w:anchor="_bookmark1239" w:history="1">
        <w:r>
          <w:rPr>
            <w:vertAlign w:val="superscript"/>
          </w:rPr>
          <w:t>1065</w:t>
        </w:r>
      </w:hyperlink>
      <w:r>
        <w:t xml:space="preserve"> However, the panel in that dispute also confirmed that what is required to justify "good cause" can only be determined on a case-by-case basis and in some cases something more than an "implicit assertion" may be required. Relevantly, that panel noted that:</w:t>
      </w:r>
    </w:p>
    <w:p w14:paraId="3D41B399" w14:textId="77777777" w:rsidR="00BD462C" w:rsidRDefault="00033D0F">
      <w:pPr>
        <w:spacing w:before="160" w:line="276" w:lineRule="auto"/>
        <w:ind w:left="985" w:right="912"/>
        <w:jc w:val="both"/>
      </w:pPr>
      <w:r>
        <w:t>It</w:t>
      </w:r>
      <w:r>
        <w:rPr>
          <w:spacing w:val="-5"/>
        </w:rPr>
        <w:t xml:space="preserve"> </w:t>
      </w:r>
      <w:r>
        <w:t>may</w:t>
      </w:r>
      <w:r>
        <w:rPr>
          <w:spacing w:val="-2"/>
        </w:rPr>
        <w:t xml:space="preserve"> </w:t>
      </w:r>
      <w:r>
        <w:t>well</w:t>
      </w:r>
      <w:r>
        <w:rPr>
          <w:spacing w:val="-1"/>
        </w:rPr>
        <w:t xml:space="preserve"> </w:t>
      </w:r>
      <w:r>
        <w:t>be</w:t>
      </w:r>
      <w:r>
        <w:rPr>
          <w:spacing w:val="-3"/>
        </w:rPr>
        <w:t xml:space="preserve"> </w:t>
      </w:r>
      <w:r>
        <w:t>the</w:t>
      </w:r>
      <w:r>
        <w:rPr>
          <w:spacing w:val="-3"/>
        </w:rPr>
        <w:t xml:space="preserve"> </w:t>
      </w:r>
      <w:r>
        <w:t>case</w:t>
      </w:r>
      <w:r>
        <w:rPr>
          <w:spacing w:val="-3"/>
        </w:rPr>
        <w:t xml:space="preserve"> </w:t>
      </w:r>
      <w:r>
        <w:t>that,</w:t>
      </w:r>
      <w:r>
        <w:rPr>
          <w:spacing w:val="-1"/>
        </w:rPr>
        <w:t xml:space="preserve"> </w:t>
      </w:r>
      <w:r>
        <w:t>for</w:t>
      </w:r>
      <w:r>
        <w:rPr>
          <w:spacing w:val="-3"/>
        </w:rPr>
        <w:t xml:space="preserve"> </w:t>
      </w:r>
      <w:r>
        <w:t>a</w:t>
      </w:r>
      <w:r>
        <w:rPr>
          <w:spacing w:val="-3"/>
        </w:rPr>
        <w:t xml:space="preserve"> </w:t>
      </w:r>
      <w:r>
        <w:t>given</w:t>
      </w:r>
      <w:r>
        <w:rPr>
          <w:spacing w:val="-4"/>
        </w:rPr>
        <w:t xml:space="preserve"> </w:t>
      </w:r>
      <w:r>
        <w:t>piece</w:t>
      </w:r>
      <w:r>
        <w:rPr>
          <w:spacing w:val="-3"/>
        </w:rPr>
        <w:t xml:space="preserve"> </w:t>
      </w:r>
      <w:r>
        <w:t>of</w:t>
      </w:r>
      <w:r>
        <w:rPr>
          <w:spacing w:val="-4"/>
        </w:rPr>
        <w:t xml:space="preserve"> </w:t>
      </w:r>
      <w:r>
        <w:t>information,</w:t>
      </w:r>
      <w:r>
        <w:rPr>
          <w:spacing w:val="-1"/>
        </w:rPr>
        <w:t xml:space="preserve"> </w:t>
      </w:r>
      <w:r>
        <w:t>a</w:t>
      </w:r>
      <w:r>
        <w:rPr>
          <w:spacing w:val="-3"/>
        </w:rPr>
        <w:t xml:space="preserve"> </w:t>
      </w:r>
      <w:r>
        <w:t>submitting</w:t>
      </w:r>
      <w:r>
        <w:rPr>
          <w:spacing w:val="-2"/>
        </w:rPr>
        <w:t xml:space="preserve"> </w:t>
      </w:r>
      <w:r>
        <w:t>party</w:t>
      </w:r>
      <w:r>
        <w:rPr>
          <w:spacing w:val="-2"/>
        </w:rPr>
        <w:t xml:space="preserve"> </w:t>
      </w:r>
      <w:r>
        <w:t>needs</w:t>
      </w:r>
      <w:r>
        <w:rPr>
          <w:spacing w:val="-3"/>
        </w:rPr>
        <w:t xml:space="preserve"> </w:t>
      </w:r>
      <w:r>
        <w:t>to</w:t>
      </w:r>
      <w:r>
        <w:rPr>
          <w:spacing w:val="-5"/>
        </w:rPr>
        <w:t xml:space="preserve"> </w:t>
      </w:r>
      <w:r>
        <w:t xml:space="preserve">do more than "implicitly assert" through a redaction that it falls within a given category under the Enforcement Rule and warrants protection as confidential. […] whether an "implicit assertion" [of confidentiality] falls short of the requirements of Article 6.5 can only be determined on the basis of a case-by-case evaluation of the piece of information </w:t>
      </w:r>
      <w:r>
        <w:rPr>
          <w:spacing w:val="-2"/>
        </w:rPr>
        <w:t>concerned.</w:t>
      </w:r>
      <w:hyperlink w:anchor="_bookmark1240" w:history="1">
        <w:r>
          <w:rPr>
            <w:spacing w:val="-2"/>
            <w:vertAlign w:val="superscript"/>
          </w:rPr>
          <w:t>1066</w:t>
        </w:r>
      </w:hyperlink>
    </w:p>
    <w:p w14:paraId="1C93D3AB" w14:textId="77777777" w:rsidR="00BD462C" w:rsidRDefault="00BD462C">
      <w:pPr>
        <w:pStyle w:val="BodyText"/>
        <w:spacing w:before="5"/>
        <w:rPr>
          <w:sz w:val="15"/>
        </w:rPr>
      </w:pPr>
    </w:p>
    <w:p w14:paraId="6E2C0DDA" w14:textId="25235FAC" w:rsidR="00BD462C" w:rsidRDefault="00A246C2">
      <w:pPr>
        <w:pStyle w:val="BodyText"/>
        <w:spacing w:before="56" w:line="357" w:lineRule="auto"/>
        <w:ind w:left="135" w:right="915"/>
        <w:jc w:val="both"/>
      </w:pPr>
      <w:r>
        <w:rPr>
          <w:noProof/>
        </w:rPr>
        <w:t>688.</w:t>
      </w:r>
      <w:r w:rsidR="00033D0F">
        <w:rPr>
          <w:rFonts w:ascii="Times New Roman"/>
          <w:spacing w:val="80"/>
          <w:position w:val="1"/>
          <w:sz w:val="20"/>
        </w:rPr>
        <w:t xml:space="preserve">  </w:t>
      </w:r>
      <w:r w:rsidR="00033D0F">
        <w:rPr>
          <w:position w:val="1"/>
        </w:rPr>
        <w:t xml:space="preserve">In any event, the present case is not one where no "reasons" were provided. CADA </w:t>
      </w:r>
      <w:r w:rsidR="00033D0F">
        <w:t>submitted</w:t>
      </w:r>
      <w:r w:rsidR="00033D0F">
        <w:rPr>
          <w:spacing w:val="-4"/>
        </w:rPr>
        <w:t xml:space="preserve"> </w:t>
      </w:r>
      <w:r w:rsidR="00033D0F">
        <w:t>reasons</w:t>
      </w:r>
      <w:r w:rsidR="00033D0F">
        <w:rPr>
          <w:spacing w:val="-1"/>
        </w:rPr>
        <w:t xml:space="preserve"> </w:t>
      </w:r>
      <w:r w:rsidR="00033D0F">
        <w:t>for its</w:t>
      </w:r>
      <w:r w:rsidR="00033D0F">
        <w:rPr>
          <w:spacing w:val="-1"/>
        </w:rPr>
        <w:t xml:space="preserve"> </w:t>
      </w:r>
      <w:r w:rsidR="00033D0F">
        <w:t>claim</w:t>
      </w:r>
      <w:r w:rsidR="00033D0F">
        <w:rPr>
          <w:spacing w:val="-3"/>
        </w:rPr>
        <w:t xml:space="preserve"> </w:t>
      </w:r>
      <w:r w:rsidR="00033D0F">
        <w:t>to</w:t>
      </w:r>
      <w:r w:rsidR="00033D0F">
        <w:rPr>
          <w:spacing w:val="-5"/>
        </w:rPr>
        <w:t xml:space="preserve"> </w:t>
      </w:r>
      <w:r w:rsidR="00033D0F">
        <w:t>confidentiality</w:t>
      </w:r>
      <w:r w:rsidR="00033D0F">
        <w:rPr>
          <w:spacing w:val="-1"/>
        </w:rPr>
        <w:t xml:space="preserve"> </w:t>
      </w:r>
      <w:r w:rsidR="00033D0F">
        <w:t>and</w:t>
      </w:r>
      <w:r w:rsidR="00033D0F">
        <w:rPr>
          <w:spacing w:val="-4"/>
        </w:rPr>
        <w:t xml:space="preserve"> </w:t>
      </w:r>
      <w:r w:rsidR="00033D0F">
        <w:t>those reasons</w:t>
      </w:r>
      <w:r w:rsidR="00033D0F">
        <w:rPr>
          <w:spacing w:val="-1"/>
        </w:rPr>
        <w:t xml:space="preserve"> </w:t>
      </w:r>
      <w:r w:rsidR="00033D0F">
        <w:t>form part of the</w:t>
      </w:r>
      <w:r w:rsidR="00033D0F">
        <w:rPr>
          <w:spacing w:val="-3"/>
        </w:rPr>
        <w:t xml:space="preserve"> </w:t>
      </w:r>
      <w:r w:rsidR="00033D0F">
        <w:t>material that the Panel should consider in examining whether MOFCOM conducted an objective and unbiased assessment of the existence of "good cause". In Australia's submission, those reasons were incapable of evidencing an objective assessment of "good cause shown" for confidential treatment.</w:t>
      </w:r>
    </w:p>
    <w:p w14:paraId="2B1C5005" w14:textId="77777777" w:rsidR="00BD462C" w:rsidRDefault="00BD462C">
      <w:pPr>
        <w:pStyle w:val="BodyText"/>
        <w:spacing w:before="8"/>
        <w:rPr>
          <w:sz w:val="9"/>
        </w:rPr>
      </w:pPr>
    </w:p>
    <w:p w14:paraId="783691FA" w14:textId="09260F17" w:rsidR="00BD462C" w:rsidRDefault="00A246C2">
      <w:pPr>
        <w:pStyle w:val="BodyText"/>
        <w:spacing w:before="57" w:line="360" w:lineRule="auto"/>
        <w:ind w:left="135" w:right="914"/>
        <w:jc w:val="both"/>
      </w:pPr>
      <w:r>
        <w:rPr>
          <w:noProof/>
        </w:rPr>
        <w:t>689.</w:t>
      </w:r>
      <w:r w:rsidR="00033D0F">
        <w:rPr>
          <w:rFonts w:ascii="Times New Roman" w:hAnsi="Times New Roman"/>
          <w:spacing w:val="80"/>
          <w:w w:val="150"/>
          <w:position w:val="1"/>
          <w:sz w:val="20"/>
        </w:rPr>
        <w:t xml:space="preserve"> </w:t>
      </w:r>
      <w:r w:rsidR="00033D0F">
        <w:rPr>
          <w:position w:val="1"/>
        </w:rPr>
        <w:t xml:space="preserve">In its attempt to rebut Australia's submissions in this regard, China once again </w:t>
      </w:r>
      <w:r w:rsidR="00033D0F">
        <w:t>misrepresents Australia's arguments. In particular, China takes issue with Australia's citation of the Appellate Body Report in</w:t>
      </w:r>
      <w:r w:rsidR="00033D0F">
        <w:rPr>
          <w:spacing w:val="-1"/>
        </w:rPr>
        <w:t xml:space="preserve"> </w:t>
      </w:r>
      <w:r w:rsidR="00033D0F">
        <w:rPr>
          <w:i/>
        </w:rPr>
        <w:t>EC</w:t>
      </w:r>
      <w:r w:rsidR="00033D0F">
        <w:rPr>
          <w:i/>
          <w:spacing w:val="-4"/>
        </w:rPr>
        <w:t xml:space="preserve"> </w:t>
      </w:r>
      <w:r w:rsidR="00033D0F">
        <w:rPr>
          <w:i/>
        </w:rPr>
        <w:t>–</w:t>
      </w:r>
      <w:r w:rsidR="00033D0F">
        <w:rPr>
          <w:i/>
          <w:spacing w:val="-3"/>
        </w:rPr>
        <w:t xml:space="preserve"> </w:t>
      </w:r>
      <w:r w:rsidR="00033D0F">
        <w:rPr>
          <w:i/>
        </w:rPr>
        <w:t>Fasteners</w:t>
      </w:r>
      <w:r w:rsidR="00033D0F">
        <w:t>, alleging</w:t>
      </w:r>
      <w:r w:rsidR="00033D0F">
        <w:rPr>
          <w:spacing w:val="-2"/>
        </w:rPr>
        <w:t xml:space="preserve"> </w:t>
      </w:r>
      <w:r w:rsidR="00033D0F">
        <w:t>that Australia's position is that</w:t>
      </w:r>
      <w:r w:rsidR="00033D0F">
        <w:rPr>
          <w:spacing w:val="-3"/>
        </w:rPr>
        <w:t xml:space="preserve"> </w:t>
      </w:r>
      <w:r w:rsidR="00033D0F">
        <w:t>CADA was</w:t>
      </w:r>
      <w:r w:rsidR="00033D0F">
        <w:rPr>
          <w:spacing w:val="-7"/>
        </w:rPr>
        <w:t xml:space="preserve"> </w:t>
      </w:r>
      <w:r w:rsidR="00033D0F">
        <w:rPr>
          <w:i/>
        </w:rPr>
        <w:t>obliged</w:t>
      </w:r>
      <w:r w:rsidR="00033D0F">
        <w:rPr>
          <w:i/>
          <w:spacing w:val="-7"/>
        </w:rPr>
        <w:t xml:space="preserve"> </w:t>
      </w:r>
      <w:r w:rsidR="00033D0F">
        <w:t>to</w:t>
      </w:r>
      <w:r w:rsidR="00033D0F">
        <w:rPr>
          <w:spacing w:val="-11"/>
        </w:rPr>
        <w:t xml:space="preserve"> </w:t>
      </w:r>
      <w:r w:rsidR="00033D0F">
        <w:t>submit</w:t>
      </w:r>
      <w:r w:rsidR="00033D0F">
        <w:rPr>
          <w:spacing w:val="-8"/>
        </w:rPr>
        <w:t xml:space="preserve"> </w:t>
      </w:r>
      <w:r w:rsidR="00033D0F">
        <w:t>an</w:t>
      </w:r>
      <w:r w:rsidR="00033D0F">
        <w:rPr>
          <w:spacing w:val="-10"/>
        </w:rPr>
        <w:t xml:space="preserve"> </w:t>
      </w:r>
      <w:r w:rsidR="00033D0F">
        <w:t>explanation</w:t>
      </w:r>
      <w:r w:rsidR="00033D0F">
        <w:rPr>
          <w:spacing w:val="-10"/>
        </w:rPr>
        <w:t xml:space="preserve"> </w:t>
      </w:r>
      <w:r w:rsidR="00033D0F">
        <w:t>that</w:t>
      </w:r>
      <w:r w:rsidR="00033D0F">
        <w:rPr>
          <w:spacing w:val="-8"/>
        </w:rPr>
        <w:t xml:space="preserve"> </w:t>
      </w:r>
      <w:r w:rsidR="00033D0F">
        <w:t>identified</w:t>
      </w:r>
      <w:r w:rsidR="00033D0F">
        <w:rPr>
          <w:spacing w:val="-10"/>
        </w:rPr>
        <w:t xml:space="preserve"> </w:t>
      </w:r>
      <w:r w:rsidR="00033D0F">
        <w:t>significant</w:t>
      </w:r>
      <w:r w:rsidR="00033D0F">
        <w:rPr>
          <w:spacing w:val="-8"/>
        </w:rPr>
        <w:t xml:space="preserve"> </w:t>
      </w:r>
      <w:r w:rsidR="00033D0F">
        <w:t>adverse</w:t>
      </w:r>
      <w:r w:rsidR="00033D0F">
        <w:rPr>
          <w:spacing w:val="-8"/>
        </w:rPr>
        <w:t xml:space="preserve"> </w:t>
      </w:r>
      <w:r w:rsidR="00033D0F">
        <w:t>effects.</w:t>
      </w:r>
      <w:hyperlink w:anchor="_bookmark1241" w:history="1">
        <w:r w:rsidR="00033D0F">
          <w:rPr>
            <w:vertAlign w:val="superscript"/>
          </w:rPr>
          <w:t>1067</w:t>
        </w:r>
      </w:hyperlink>
      <w:r w:rsidR="00033D0F">
        <w:rPr>
          <w:spacing w:val="-7"/>
        </w:rPr>
        <w:t xml:space="preserve"> </w:t>
      </w:r>
      <w:r w:rsidR="00033D0F">
        <w:t>That</w:t>
      </w:r>
      <w:r w:rsidR="00033D0F">
        <w:rPr>
          <w:spacing w:val="-8"/>
        </w:rPr>
        <w:t xml:space="preserve"> </w:t>
      </w:r>
      <w:r w:rsidR="00033D0F">
        <w:t>is</w:t>
      </w:r>
      <w:r w:rsidR="00033D0F">
        <w:rPr>
          <w:spacing w:val="-7"/>
        </w:rPr>
        <w:t xml:space="preserve"> </w:t>
      </w:r>
      <w:r w:rsidR="00033D0F">
        <w:t>not an argument Australia made.</w:t>
      </w:r>
    </w:p>
    <w:p w14:paraId="608B0C92" w14:textId="77777777" w:rsidR="00BD462C" w:rsidRDefault="00BD462C">
      <w:pPr>
        <w:pStyle w:val="BodyText"/>
        <w:spacing w:before="5"/>
        <w:rPr>
          <w:sz w:val="8"/>
        </w:rPr>
      </w:pPr>
    </w:p>
    <w:p w14:paraId="516E147B" w14:textId="2BB355ED" w:rsidR="00BD462C" w:rsidRDefault="00A246C2">
      <w:pPr>
        <w:pStyle w:val="BodyText"/>
        <w:spacing w:before="56" w:line="360" w:lineRule="auto"/>
        <w:ind w:left="135" w:right="911"/>
        <w:jc w:val="both"/>
      </w:pPr>
      <w:r>
        <w:rPr>
          <w:noProof/>
        </w:rPr>
        <w:t>690.</w:t>
      </w:r>
      <w:r w:rsidR="00033D0F">
        <w:rPr>
          <w:rFonts w:ascii="Times New Roman" w:hAnsi="Times New Roman"/>
          <w:spacing w:val="80"/>
          <w:w w:val="150"/>
          <w:position w:val="1"/>
          <w:sz w:val="20"/>
        </w:rPr>
        <w:t xml:space="preserve">  </w:t>
      </w:r>
      <w:r w:rsidR="00033D0F">
        <w:rPr>
          <w:position w:val="1"/>
        </w:rPr>
        <w:t xml:space="preserve">Similarly, China further alleges that Australia argues, as China did in </w:t>
      </w:r>
      <w:r w:rsidR="00033D0F">
        <w:rPr>
          <w:i/>
          <w:position w:val="1"/>
        </w:rPr>
        <w:t>EC – Fasteners</w:t>
      </w:r>
      <w:r w:rsidR="00033D0F">
        <w:rPr>
          <w:position w:val="1"/>
        </w:rPr>
        <w:t xml:space="preserve">, </w:t>
      </w:r>
      <w:r w:rsidR="00033D0F">
        <w:t>that a party claiming confidentiality has</w:t>
      </w:r>
      <w:r w:rsidR="00033D0F">
        <w:rPr>
          <w:spacing w:val="-2"/>
        </w:rPr>
        <w:t xml:space="preserve"> </w:t>
      </w:r>
      <w:r w:rsidR="00033D0F">
        <w:t>to</w:t>
      </w:r>
      <w:r w:rsidR="00033D0F">
        <w:rPr>
          <w:spacing w:val="-1"/>
        </w:rPr>
        <w:t xml:space="preserve"> </w:t>
      </w:r>
      <w:r w:rsidR="00033D0F">
        <w:t>show that the asserted</w:t>
      </w:r>
      <w:r w:rsidR="00033D0F">
        <w:rPr>
          <w:spacing w:val="-1"/>
        </w:rPr>
        <w:t xml:space="preserve"> </w:t>
      </w:r>
      <w:r w:rsidR="00033D0F">
        <w:t>detriment "would", rather than "could", happen.</w:t>
      </w:r>
      <w:hyperlink w:anchor="_bookmark1242" w:history="1">
        <w:r w:rsidR="00033D0F">
          <w:rPr>
            <w:vertAlign w:val="superscript"/>
          </w:rPr>
          <w:t>1068</w:t>
        </w:r>
      </w:hyperlink>
      <w:r w:rsidR="00033D0F">
        <w:t xml:space="preserve"> That also is not an argument Australia made.</w:t>
      </w:r>
    </w:p>
    <w:p w14:paraId="07148B8D" w14:textId="77777777" w:rsidR="00BD462C" w:rsidRDefault="00BD462C">
      <w:pPr>
        <w:pStyle w:val="BodyText"/>
        <w:spacing w:before="7"/>
        <w:rPr>
          <w:sz w:val="8"/>
        </w:rPr>
      </w:pPr>
    </w:p>
    <w:p w14:paraId="3A3A6409" w14:textId="1D41C9FE" w:rsidR="00BD462C" w:rsidRDefault="00A246C2">
      <w:pPr>
        <w:pStyle w:val="BodyText"/>
        <w:spacing w:before="56" w:line="357" w:lineRule="auto"/>
        <w:ind w:left="135" w:right="923"/>
      </w:pPr>
      <w:r>
        <w:rPr>
          <w:noProof/>
        </w:rPr>
        <w:t>691.</w:t>
      </w:r>
      <w:r w:rsidR="00033D0F">
        <w:rPr>
          <w:rFonts w:ascii="Times New Roman"/>
          <w:spacing w:val="80"/>
          <w:w w:val="150"/>
          <w:position w:val="1"/>
          <w:sz w:val="20"/>
        </w:rPr>
        <w:t xml:space="preserve">  </w:t>
      </w:r>
      <w:r w:rsidR="00033D0F">
        <w:rPr>
          <w:position w:val="1"/>
        </w:rPr>
        <w:t>Contrary to such misrepresentations by China, Australia's case, set out clearly in its</w:t>
      </w:r>
      <w:r w:rsidR="00033D0F">
        <w:rPr>
          <w:spacing w:val="40"/>
          <w:position w:val="1"/>
        </w:rPr>
        <w:t xml:space="preserve"> </w:t>
      </w:r>
      <w:r w:rsidR="00033D0F">
        <w:t>first</w:t>
      </w:r>
      <w:r w:rsidR="00033D0F">
        <w:rPr>
          <w:spacing w:val="7"/>
        </w:rPr>
        <w:t xml:space="preserve"> </w:t>
      </w:r>
      <w:r w:rsidR="00033D0F">
        <w:t>written</w:t>
      </w:r>
      <w:r w:rsidR="00033D0F">
        <w:rPr>
          <w:spacing w:val="5"/>
        </w:rPr>
        <w:t xml:space="preserve"> </w:t>
      </w:r>
      <w:r w:rsidR="00033D0F">
        <w:t>submission,</w:t>
      </w:r>
      <w:r w:rsidR="00033D0F">
        <w:rPr>
          <w:spacing w:val="9"/>
        </w:rPr>
        <w:t xml:space="preserve"> </w:t>
      </w:r>
      <w:r w:rsidR="00033D0F">
        <w:t>is</w:t>
      </w:r>
      <w:r w:rsidR="00033D0F">
        <w:rPr>
          <w:spacing w:val="9"/>
        </w:rPr>
        <w:t xml:space="preserve"> </w:t>
      </w:r>
      <w:r w:rsidR="00033D0F">
        <w:t>that</w:t>
      </w:r>
      <w:r w:rsidR="00033D0F">
        <w:rPr>
          <w:spacing w:val="8"/>
        </w:rPr>
        <w:t xml:space="preserve"> </w:t>
      </w:r>
      <w:r w:rsidR="00033D0F">
        <w:t>the</w:t>
      </w:r>
      <w:r w:rsidR="00033D0F">
        <w:rPr>
          <w:spacing w:val="7"/>
        </w:rPr>
        <w:t xml:space="preserve"> </w:t>
      </w:r>
      <w:r w:rsidR="00033D0F">
        <w:t>reasons</w:t>
      </w:r>
      <w:r w:rsidR="00033D0F">
        <w:rPr>
          <w:spacing w:val="9"/>
        </w:rPr>
        <w:t xml:space="preserve"> </w:t>
      </w:r>
      <w:r w:rsidR="00033D0F">
        <w:t>CADA</w:t>
      </w:r>
      <w:r w:rsidR="00033D0F">
        <w:rPr>
          <w:spacing w:val="2"/>
        </w:rPr>
        <w:t xml:space="preserve"> </w:t>
      </w:r>
      <w:r w:rsidR="00033D0F">
        <w:t>submitted</w:t>
      </w:r>
      <w:r w:rsidR="00033D0F">
        <w:rPr>
          <w:spacing w:val="5"/>
        </w:rPr>
        <w:t xml:space="preserve"> </w:t>
      </w:r>
      <w:r w:rsidR="00033D0F">
        <w:t>form</w:t>
      </w:r>
      <w:r w:rsidR="00033D0F">
        <w:rPr>
          <w:spacing w:val="7"/>
        </w:rPr>
        <w:t xml:space="preserve"> </w:t>
      </w:r>
      <w:r w:rsidR="00033D0F">
        <w:t>part</w:t>
      </w:r>
      <w:r w:rsidR="00033D0F">
        <w:rPr>
          <w:spacing w:val="8"/>
        </w:rPr>
        <w:t xml:space="preserve"> </w:t>
      </w:r>
      <w:r w:rsidR="00033D0F">
        <w:t>of</w:t>
      </w:r>
      <w:r w:rsidR="00033D0F">
        <w:rPr>
          <w:spacing w:val="10"/>
        </w:rPr>
        <w:t xml:space="preserve"> </w:t>
      </w:r>
      <w:r w:rsidR="00033D0F">
        <w:t>the</w:t>
      </w:r>
      <w:r w:rsidR="00033D0F">
        <w:rPr>
          <w:spacing w:val="7"/>
        </w:rPr>
        <w:t xml:space="preserve"> </w:t>
      </w:r>
      <w:r w:rsidR="00033D0F">
        <w:t>material</w:t>
      </w:r>
      <w:r w:rsidR="00033D0F">
        <w:rPr>
          <w:spacing w:val="9"/>
        </w:rPr>
        <w:t xml:space="preserve"> </w:t>
      </w:r>
      <w:r w:rsidR="00033D0F">
        <w:t>to</w:t>
      </w:r>
      <w:r w:rsidR="00033D0F">
        <w:rPr>
          <w:spacing w:val="5"/>
        </w:rPr>
        <w:t xml:space="preserve"> </w:t>
      </w:r>
      <w:r w:rsidR="00033D0F">
        <w:rPr>
          <w:spacing w:val="-5"/>
        </w:rPr>
        <w:t>be</w:t>
      </w:r>
    </w:p>
    <w:p w14:paraId="6D1C6F81" w14:textId="77777777" w:rsidR="00BD462C" w:rsidRDefault="00BD462C">
      <w:pPr>
        <w:pStyle w:val="BodyText"/>
        <w:rPr>
          <w:sz w:val="20"/>
        </w:rPr>
      </w:pPr>
    </w:p>
    <w:p w14:paraId="76EE9794" w14:textId="77777777" w:rsidR="00BD462C" w:rsidRDefault="00BD462C">
      <w:pPr>
        <w:pStyle w:val="BodyText"/>
        <w:rPr>
          <w:sz w:val="20"/>
        </w:rPr>
      </w:pPr>
    </w:p>
    <w:p w14:paraId="3A3A0260" w14:textId="07800A55" w:rsidR="00BD462C" w:rsidRDefault="007E218F">
      <w:pPr>
        <w:pStyle w:val="BodyText"/>
        <w:spacing w:before="8"/>
        <w:rPr>
          <w:sz w:val="19"/>
        </w:rPr>
      </w:pPr>
      <w:r>
        <w:rPr>
          <w:noProof/>
        </w:rPr>
        <mc:AlternateContent>
          <mc:Choice Requires="wps">
            <w:drawing>
              <wp:anchor distT="0" distB="0" distL="0" distR="0" simplePos="0" relativeHeight="488210944" behindDoc="1" locked="0" layoutInCell="1" allowOverlap="1" wp14:anchorId="56191B7F" wp14:editId="1C40AEF5">
                <wp:simplePos x="0" y="0"/>
                <wp:positionH relativeFrom="page">
                  <wp:posOffset>812800</wp:posOffset>
                </wp:positionH>
                <wp:positionV relativeFrom="paragraph">
                  <wp:posOffset>152400</wp:posOffset>
                </wp:positionV>
                <wp:extent cx="1828800" cy="8890"/>
                <wp:effectExtent l="0" t="0" r="0" b="0"/>
                <wp:wrapTopAndBottom/>
                <wp:docPr id="187" name="docshape6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956068" id="docshape664" o:spid="_x0000_s1026" alt="&quot;&quot;" style="position:absolute;margin-left:64pt;margin-top:12pt;width:2in;height:.7pt;z-index:-15105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" fillcolor="black" stroked="f">
                <w10:wrap type="topAndBottom" anchorx="page"/>
              </v:rect>
            </w:pict>
          </mc:Fallback>
        </mc:AlternateContent>
      </w:r>
    </w:p>
    <w:p w14:paraId="5E79EF38" w14:textId="77777777" w:rsidR="00BD462C" w:rsidRDefault="00033D0F">
      <w:pPr>
        <w:spacing w:before="112"/>
        <w:ind w:left="135" w:right="5770"/>
        <w:rPr>
          <w:sz w:val="18"/>
        </w:rPr>
      </w:pPr>
      <w:bookmarkStart w:id="1440" w:name="_bookmark1239"/>
      <w:bookmarkEnd w:id="1440"/>
      <w:r>
        <w:rPr>
          <w:position w:val="5"/>
          <w:sz w:val="12"/>
        </w:rPr>
        <w:t>1065</w:t>
      </w:r>
      <w:r>
        <w:rPr>
          <w:spacing w:val="40"/>
          <w:position w:val="5"/>
          <w:sz w:val="12"/>
        </w:rPr>
        <w:t xml:space="preserve"> </w:t>
      </w:r>
      <w:r>
        <w:rPr>
          <w:sz w:val="18"/>
        </w:rPr>
        <w:t xml:space="preserve">China's first written submission, paras. 2285-2286. </w:t>
      </w:r>
      <w:bookmarkStart w:id="1441" w:name="_bookmark1240"/>
      <w:bookmarkEnd w:id="1441"/>
      <w:r>
        <w:rPr>
          <w:position w:val="5"/>
          <w:sz w:val="12"/>
        </w:rPr>
        <w:t>1066</w:t>
      </w:r>
      <w:r>
        <w:rPr>
          <w:spacing w:val="13"/>
          <w:position w:val="5"/>
          <w:sz w:val="12"/>
        </w:rPr>
        <w:t xml:space="preserve"> </w:t>
      </w:r>
      <w:r>
        <w:rPr>
          <w:sz w:val="18"/>
        </w:rPr>
        <w:t>Panel</w:t>
      </w:r>
      <w:r>
        <w:rPr>
          <w:spacing w:val="-4"/>
          <w:sz w:val="18"/>
        </w:rPr>
        <w:t xml:space="preserve"> </w:t>
      </w:r>
      <w:r>
        <w:rPr>
          <w:sz w:val="18"/>
        </w:rPr>
        <w:t>Report,</w:t>
      </w:r>
      <w:r>
        <w:rPr>
          <w:spacing w:val="-3"/>
          <w:sz w:val="18"/>
        </w:rPr>
        <w:t xml:space="preserve"> </w:t>
      </w:r>
      <w:r>
        <w:rPr>
          <w:i/>
          <w:sz w:val="18"/>
        </w:rPr>
        <w:t>Korea-Stainless</w:t>
      </w:r>
      <w:r>
        <w:rPr>
          <w:i/>
          <w:spacing w:val="-5"/>
          <w:sz w:val="18"/>
        </w:rPr>
        <w:t xml:space="preserve"> </w:t>
      </w:r>
      <w:r>
        <w:rPr>
          <w:i/>
          <w:sz w:val="18"/>
        </w:rPr>
        <w:t>Steel</w:t>
      </w:r>
      <w:r>
        <w:rPr>
          <w:i/>
          <w:spacing w:val="-4"/>
          <w:sz w:val="18"/>
        </w:rPr>
        <w:t xml:space="preserve"> </w:t>
      </w:r>
      <w:r>
        <w:rPr>
          <w:i/>
          <w:sz w:val="18"/>
        </w:rPr>
        <w:t>Bars</w:t>
      </w:r>
      <w:r>
        <w:rPr>
          <w:sz w:val="18"/>
        </w:rPr>
        <w:t>,</w:t>
      </w:r>
      <w:r>
        <w:rPr>
          <w:spacing w:val="-3"/>
          <w:sz w:val="18"/>
        </w:rPr>
        <w:t xml:space="preserve"> </w:t>
      </w:r>
      <w:r>
        <w:rPr>
          <w:sz w:val="18"/>
        </w:rPr>
        <w:t>para.</w:t>
      </w:r>
      <w:r>
        <w:rPr>
          <w:spacing w:val="-4"/>
          <w:sz w:val="18"/>
        </w:rPr>
        <w:t xml:space="preserve"> </w:t>
      </w:r>
      <w:r>
        <w:rPr>
          <w:sz w:val="18"/>
        </w:rPr>
        <w:t xml:space="preserve">7.208. </w:t>
      </w:r>
      <w:bookmarkStart w:id="1442" w:name="_bookmark1241"/>
      <w:bookmarkEnd w:id="1442"/>
      <w:r>
        <w:rPr>
          <w:position w:val="5"/>
          <w:sz w:val="12"/>
        </w:rPr>
        <w:t>1067</w:t>
      </w:r>
      <w:r>
        <w:rPr>
          <w:spacing w:val="40"/>
          <w:position w:val="5"/>
          <w:sz w:val="12"/>
        </w:rPr>
        <w:t xml:space="preserve"> </w:t>
      </w:r>
      <w:r>
        <w:rPr>
          <w:sz w:val="18"/>
        </w:rPr>
        <w:t xml:space="preserve">China's first written submission, paras. 2287-2288. </w:t>
      </w:r>
      <w:bookmarkStart w:id="1443" w:name="_bookmark1242"/>
      <w:bookmarkEnd w:id="1443"/>
      <w:r>
        <w:rPr>
          <w:position w:val="5"/>
          <w:sz w:val="12"/>
        </w:rPr>
        <w:t>1068</w:t>
      </w:r>
      <w:r>
        <w:rPr>
          <w:spacing w:val="40"/>
          <w:position w:val="5"/>
          <w:sz w:val="12"/>
        </w:rPr>
        <w:t xml:space="preserve"> </w:t>
      </w:r>
      <w:r>
        <w:rPr>
          <w:sz w:val="18"/>
        </w:rPr>
        <w:t>China's first written submission, paras. 2289-2290.</w:t>
      </w:r>
    </w:p>
    <w:p w14:paraId="06DB2917" w14:textId="77777777" w:rsidR="00BD462C" w:rsidRDefault="00BD462C">
      <w:pPr>
        <w:rPr>
          <w:sz w:val="18"/>
        </w:rPr>
        <w:sectPr w:rsidR="00BD462C">
          <w:pgSz w:w="11910" w:h="16840"/>
          <w:pgMar w:top="860" w:right="500" w:bottom="780" w:left="1280" w:header="566" w:footer="590" w:gutter="0"/>
          <w:cols w:space="720"/>
        </w:sectPr>
      </w:pPr>
    </w:p>
    <w:p w14:paraId="20C4007E"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1A53B0E6"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17B63A34"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44E39DC7" w14:textId="77777777" w:rsidR="00BD462C" w:rsidRDefault="00033D0F">
      <w:pPr>
        <w:pStyle w:val="BodyText"/>
        <w:spacing w:before="102" w:line="360" w:lineRule="auto"/>
        <w:ind w:left="135" w:right="913"/>
        <w:jc w:val="both"/>
      </w:pPr>
      <w:r>
        <w:t>considered</w:t>
      </w:r>
      <w:r>
        <w:rPr>
          <w:spacing w:val="-14"/>
        </w:rPr>
        <w:t xml:space="preserve"> </w:t>
      </w:r>
      <w:r>
        <w:t>to</w:t>
      </w:r>
      <w:r>
        <w:rPr>
          <w:spacing w:val="-14"/>
        </w:rPr>
        <w:t xml:space="preserve"> </w:t>
      </w:r>
      <w:r>
        <w:t>identify</w:t>
      </w:r>
      <w:r>
        <w:rPr>
          <w:spacing w:val="-11"/>
        </w:rPr>
        <w:t xml:space="preserve"> </w:t>
      </w:r>
      <w:r>
        <w:t>whether</w:t>
      </w:r>
      <w:r>
        <w:rPr>
          <w:spacing w:val="-14"/>
        </w:rPr>
        <w:t xml:space="preserve"> </w:t>
      </w:r>
      <w:r>
        <w:t>MOFCOM</w:t>
      </w:r>
      <w:r>
        <w:rPr>
          <w:spacing w:val="-11"/>
        </w:rPr>
        <w:t xml:space="preserve"> </w:t>
      </w:r>
      <w:r>
        <w:t>properly</w:t>
      </w:r>
      <w:r>
        <w:rPr>
          <w:spacing w:val="-6"/>
        </w:rPr>
        <w:t xml:space="preserve"> </w:t>
      </w:r>
      <w:r>
        <w:t>assessed</w:t>
      </w:r>
      <w:r>
        <w:rPr>
          <w:spacing w:val="-14"/>
        </w:rPr>
        <w:t xml:space="preserve"> </w:t>
      </w:r>
      <w:r>
        <w:t>the</w:t>
      </w:r>
      <w:r>
        <w:rPr>
          <w:spacing w:val="-12"/>
        </w:rPr>
        <w:t xml:space="preserve"> </w:t>
      </w:r>
      <w:r>
        <w:t>existence</w:t>
      </w:r>
      <w:r>
        <w:rPr>
          <w:spacing w:val="-12"/>
        </w:rPr>
        <w:t xml:space="preserve"> </w:t>
      </w:r>
      <w:r>
        <w:t>of</w:t>
      </w:r>
      <w:r>
        <w:rPr>
          <w:spacing w:val="-14"/>
        </w:rPr>
        <w:t xml:space="preserve"> </w:t>
      </w:r>
      <w:r>
        <w:t>"good</w:t>
      </w:r>
      <w:r>
        <w:rPr>
          <w:spacing w:val="-14"/>
        </w:rPr>
        <w:t xml:space="preserve"> </w:t>
      </w:r>
      <w:r>
        <w:t>cause".</w:t>
      </w:r>
      <w:hyperlink w:anchor="_bookmark1243" w:history="1">
        <w:r>
          <w:rPr>
            <w:vertAlign w:val="superscript"/>
          </w:rPr>
          <w:t>1069</w:t>
        </w:r>
      </w:hyperlink>
      <w:r>
        <w:t xml:space="preserve"> Australia went on to observe that those stated reasons – that disclosure "may cause inconvenience or other adverse effects" – do not fall within the scope of the examples that the Appellate Body has considered "helpful in interpreting 'good cause' generally".</w:t>
      </w:r>
      <w:hyperlink w:anchor="_bookmark1244" w:history="1">
        <w:r>
          <w:rPr>
            <w:vertAlign w:val="superscript"/>
          </w:rPr>
          <w:t>1070</w:t>
        </w:r>
      </w:hyperlink>
      <w:r>
        <w:t xml:space="preserve"> Australia submitted that, among other things, CADA's explanation "did not identify any significant adverse effects that would reasonably be expected to result from disclosure".</w:t>
      </w:r>
      <w:hyperlink w:anchor="_bookmark1245" w:history="1">
        <w:r>
          <w:rPr>
            <w:vertAlign w:val="superscript"/>
          </w:rPr>
          <w:t>1071</w:t>
        </w:r>
      </w:hyperlink>
      <w:r>
        <w:t xml:space="preserve"> These propositions are entirely consistent with the Appellate Body's findings in </w:t>
      </w:r>
      <w:r>
        <w:rPr>
          <w:i/>
        </w:rPr>
        <w:t>EC – Fasteners</w:t>
      </w:r>
      <w:r>
        <w:t>.</w:t>
      </w:r>
      <w:hyperlink w:anchor="_bookmark1246" w:history="1">
        <w:r>
          <w:rPr>
            <w:vertAlign w:val="superscript"/>
          </w:rPr>
          <w:t>1072</w:t>
        </w:r>
      </w:hyperlink>
      <w:r>
        <w:t xml:space="preserve"> Nothing turns on the fact that Australia chose to use the words "would reasonably be expected to result" rather than – as China appears to consider necessary – verbatim</w:t>
      </w:r>
      <w:r>
        <w:rPr>
          <w:spacing w:val="-7"/>
        </w:rPr>
        <w:t xml:space="preserve"> </w:t>
      </w:r>
      <w:r>
        <w:t>repeating</w:t>
      </w:r>
      <w:r>
        <w:rPr>
          <w:spacing w:val="-7"/>
        </w:rPr>
        <w:t xml:space="preserve"> </w:t>
      </w:r>
      <w:r>
        <w:t>the</w:t>
      </w:r>
      <w:r>
        <w:rPr>
          <w:spacing w:val="-7"/>
        </w:rPr>
        <w:t xml:space="preserve"> </w:t>
      </w:r>
      <w:r>
        <w:t>Appellate</w:t>
      </w:r>
      <w:r>
        <w:rPr>
          <w:spacing w:val="-8"/>
        </w:rPr>
        <w:t xml:space="preserve"> </w:t>
      </w:r>
      <w:r>
        <w:t>Body's</w:t>
      </w:r>
      <w:r>
        <w:rPr>
          <w:spacing w:val="-7"/>
        </w:rPr>
        <w:t xml:space="preserve"> </w:t>
      </w:r>
      <w:r>
        <w:t>formulation</w:t>
      </w:r>
      <w:r>
        <w:rPr>
          <w:spacing w:val="-9"/>
        </w:rPr>
        <w:t xml:space="preserve"> </w:t>
      </w:r>
      <w:r>
        <w:t>(i.e.</w:t>
      </w:r>
      <w:r>
        <w:rPr>
          <w:spacing w:val="-7"/>
        </w:rPr>
        <w:t xml:space="preserve"> </w:t>
      </w:r>
      <w:r>
        <w:t>"demonstrate</w:t>
      </w:r>
      <w:r>
        <w:rPr>
          <w:spacing w:val="-7"/>
        </w:rPr>
        <w:t xml:space="preserve"> </w:t>
      </w:r>
      <w:r>
        <w:t>the</w:t>
      </w:r>
      <w:r>
        <w:rPr>
          <w:spacing w:val="-8"/>
        </w:rPr>
        <w:t xml:space="preserve"> </w:t>
      </w:r>
      <w:r>
        <w:t>risk</w:t>
      </w:r>
      <w:r>
        <w:rPr>
          <w:spacing w:val="-7"/>
        </w:rPr>
        <w:t xml:space="preserve"> </w:t>
      </w:r>
      <w:r>
        <w:t>of</w:t>
      </w:r>
      <w:r>
        <w:rPr>
          <w:spacing w:val="-9"/>
        </w:rPr>
        <w:t xml:space="preserve"> </w:t>
      </w:r>
      <w:r>
        <w:t>a</w:t>
      </w:r>
      <w:r>
        <w:rPr>
          <w:spacing w:val="-4"/>
        </w:rPr>
        <w:t xml:space="preserve"> </w:t>
      </w:r>
      <w:r>
        <w:t xml:space="preserve">potential </w:t>
      </w:r>
      <w:r>
        <w:rPr>
          <w:spacing w:val="-2"/>
        </w:rPr>
        <w:t>consequence").</w:t>
      </w:r>
    </w:p>
    <w:p w14:paraId="6B28C0AB" w14:textId="77777777" w:rsidR="00BD462C" w:rsidRDefault="00BD462C">
      <w:pPr>
        <w:pStyle w:val="BodyText"/>
        <w:spacing w:before="9"/>
        <w:rPr>
          <w:sz w:val="8"/>
        </w:rPr>
      </w:pPr>
    </w:p>
    <w:p w14:paraId="1574571C" w14:textId="010CD269" w:rsidR="00BD462C" w:rsidRDefault="00A246C2">
      <w:pPr>
        <w:pStyle w:val="BodyText"/>
        <w:spacing w:before="56" w:line="360" w:lineRule="auto"/>
        <w:ind w:left="135" w:right="913"/>
        <w:jc w:val="both"/>
      </w:pPr>
      <w:r>
        <w:rPr>
          <w:noProof/>
        </w:rPr>
        <w:t>692.</w:t>
      </w:r>
      <w:r w:rsidR="00033D0F">
        <w:rPr>
          <w:rFonts w:ascii="Times New Roman" w:hAnsi="Times New Roman"/>
          <w:spacing w:val="80"/>
          <w:position w:val="1"/>
          <w:sz w:val="20"/>
        </w:rPr>
        <w:t xml:space="preserve">  </w:t>
      </w:r>
      <w:r w:rsidR="00033D0F">
        <w:rPr>
          <w:position w:val="1"/>
        </w:rPr>
        <w:t xml:space="preserve">China further argues that since the examples the Appellate Body gave included "the </w:t>
      </w:r>
      <w:r w:rsidR="00033D0F">
        <w:t>experience of an adverse effect on the submitting party", the fact that CADA referred to the phrase "may cause inconvenience or other adverse effect" is sufficient without any further detail being required.</w:t>
      </w:r>
      <w:hyperlink w:anchor="_bookmark1247" w:history="1">
        <w:r w:rsidR="00033D0F">
          <w:rPr>
            <w:vertAlign w:val="superscript"/>
          </w:rPr>
          <w:t>1073</w:t>
        </w:r>
      </w:hyperlink>
      <w:r w:rsidR="00033D0F">
        <w:t xml:space="preserve"> This misunderstands the effect of that example given by the Appellate</w:t>
      </w:r>
      <w:r w:rsidR="00033D0F">
        <w:rPr>
          <w:spacing w:val="-12"/>
        </w:rPr>
        <w:t xml:space="preserve"> </w:t>
      </w:r>
      <w:r w:rsidR="00033D0F">
        <w:t>Body</w:t>
      </w:r>
      <w:r w:rsidR="00033D0F">
        <w:rPr>
          <w:spacing w:val="-11"/>
        </w:rPr>
        <w:t xml:space="preserve"> </w:t>
      </w:r>
      <w:r w:rsidR="00033D0F">
        <w:t>in</w:t>
      </w:r>
      <w:r w:rsidR="00033D0F">
        <w:rPr>
          <w:spacing w:val="-14"/>
        </w:rPr>
        <w:t xml:space="preserve"> </w:t>
      </w:r>
      <w:r w:rsidR="00033D0F">
        <w:rPr>
          <w:i/>
        </w:rPr>
        <w:t>EC</w:t>
      </w:r>
      <w:r w:rsidR="00033D0F">
        <w:rPr>
          <w:i/>
          <w:spacing w:val="-12"/>
        </w:rPr>
        <w:t xml:space="preserve"> </w:t>
      </w:r>
      <w:r w:rsidR="00033D0F">
        <w:rPr>
          <w:i/>
        </w:rPr>
        <w:t>–</w:t>
      </w:r>
      <w:r w:rsidR="00033D0F">
        <w:rPr>
          <w:i/>
          <w:spacing w:val="-7"/>
        </w:rPr>
        <w:t xml:space="preserve"> </w:t>
      </w:r>
      <w:r w:rsidR="00033D0F">
        <w:rPr>
          <w:i/>
        </w:rPr>
        <w:t>Fasteners</w:t>
      </w:r>
      <w:r w:rsidR="00033D0F">
        <w:t>.</w:t>
      </w:r>
      <w:r w:rsidR="00033D0F">
        <w:rPr>
          <w:spacing w:val="-11"/>
        </w:rPr>
        <w:t xml:space="preserve"> </w:t>
      </w:r>
      <w:r w:rsidR="00033D0F">
        <w:t>Those</w:t>
      </w:r>
      <w:r w:rsidR="00033D0F">
        <w:rPr>
          <w:spacing w:val="-12"/>
        </w:rPr>
        <w:t xml:space="preserve"> </w:t>
      </w:r>
      <w:r w:rsidR="00033D0F">
        <w:t>comments</w:t>
      </w:r>
      <w:r w:rsidR="00033D0F">
        <w:rPr>
          <w:spacing w:val="-10"/>
        </w:rPr>
        <w:t xml:space="preserve"> </w:t>
      </w:r>
      <w:r w:rsidR="00033D0F">
        <w:t>cannot</w:t>
      </w:r>
      <w:r w:rsidR="00033D0F">
        <w:rPr>
          <w:spacing w:val="-11"/>
        </w:rPr>
        <w:t xml:space="preserve"> </w:t>
      </w:r>
      <w:r w:rsidR="00033D0F">
        <w:t>be</w:t>
      </w:r>
      <w:r w:rsidR="00033D0F">
        <w:rPr>
          <w:spacing w:val="-7"/>
        </w:rPr>
        <w:t xml:space="preserve"> </w:t>
      </w:r>
      <w:r w:rsidR="00033D0F">
        <w:t>understood</w:t>
      </w:r>
      <w:r w:rsidR="00033D0F">
        <w:rPr>
          <w:spacing w:val="-9"/>
        </w:rPr>
        <w:t xml:space="preserve"> </w:t>
      </w:r>
      <w:r w:rsidR="00033D0F">
        <w:t>as</w:t>
      </w:r>
      <w:r w:rsidR="00033D0F">
        <w:rPr>
          <w:spacing w:val="-10"/>
        </w:rPr>
        <w:t xml:space="preserve"> </w:t>
      </w:r>
      <w:r w:rsidR="00033D0F">
        <w:t>meaning</w:t>
      </w:r>
      <w:r w:rsidR="00033D0F">
        <w:rPr>
          <w:spacing w:val="-10"/>
        </w:rPr>
        <w:t xml:space="preserve"> </w:t>
      </w:r>
      <w:r w:rsidR="00033D0F">
        <w:t>that</w:t>
      </w:r>
      <w:r w:rsidR="00033D0F">
        <w:rPr>
          <w:spacing w:val="-11"/>
        </w:rPr>
        <w:t xml:space="preserve"> </w:t>
      </w:r>
      <w:r w:rsidR="00033D0F">
        <w:t>the mere</w:t>
      </w:r>
      <w:r w:rsidR="00033D0F">
        <w:rPr>
          <w:spacing w:val="-14"/>
        </w:rPr>
        <w:t xml:space="preserve"> </w:t>
      </w:r>
      <w:r w:rsidR="00033D0F">
        <w:t>assertion</w:t>
      </w:r>
      <w:r w:rsidR="00033D0F">
        <w:rPr>
          <w:spacing w:val="-14"/>
        </w:rPr>
        <w:t xml:space="preserve"> </w:t>
      </w:r>
      <w:r w:rsidR="00033D0F">
        <w:t>of</w:t>
      </w:r>
      <w:r w:rsidR="00033D0F">
        <w:rPr>
          <w:spacing w:val="-13"/>
        </w:rPr>
        <w:t xml:space="preserve"> </w:t>
      </w:r>
      <w:r w:rsidR="00033D0F">
        <w:t>an</w:t>
      </w:r>
      <w:r w:rsidR="00033D0F">
        <w:rPr>
          <w:spacing w:val="-14"/>
        </w:rPr>
        <w:t xml:space="preserve"> </w:t>
      </w:r>
      <w:r w:rsidR="00033D0F">
        <w:t>"other</w:t>
      </w:r>
      <w:r w:rsidR="00033D0F">
        <w:rPr>
          <w:spacing w:val="-13"/>
        </w:rPr>
        <w:t xml:space="preserve"> </w:t>
      </w:r>
      <w:r w:rsidR="00033D0F">
        <w:t>adverse</w:t>
      </w:r>
      <w:r w:rsidR="00033D0F">
        <w:rPr>
          <w:spacing w:val="-14"/>
        </w:rPr>
        <w:t xml:space="preserve"> </w:t>
      </w:r>
      <w:r w:rsidR="00033D0F">
        <w:t>effect",</w:t>
      </w:r>
      <w:r w:rsidR="00033D0F">
        <w:rPr>
          <w:spacing w:val="-13"/>
        </w:rPr>
        <w:t xml:space="preserve"> </w:t>
      </w:r>
      <w:r w:rsidR="00033D0F">
        <w:t>without</w:t>
      </w:r>
      <w:r w:rsidR="00033D0F">
        <w:rPr>
          <w:spacing w:val="-14"/>
        </w:rPr>
        <w:t xml:space="preserve"> </w:t>
      </w:r>
      <w:r w:rsidR="00033D0F">
        <w:t>more,</w:t>
      </w:r>
      <w:r w:rsidR="00033D0F">
        <w:rPr>
          <w:spacing w:val="-14"/>
        </w:rPr>
        <w:t xml:space="preserve"> </w:t>
      </w:r>
      <w:r w:rsidR="00033D0F">
        <w:t>is</w:t>
      </w:r>
      <w:r w:rsidR="00033D0F">
        <w:rPr>
          <w:spacing w:val="-13"/>
        </w:rPr>
        <w:t xml:space="preserve"> </w:t>
      </w:r>
      <w:r w:rsidR="00033D0F">
        <w:t>necessarily</w:t>
      </w:r>
      <w:r w:rsidR="00033D0F">
        <w:rPr>
          <w:spacing w:val="-14"/>
        </w:rPr>
        <w:t xml:space="preserve"> </w:t>
      </w:r>
      <w:r w:rsidR="00033D0F">
        <w:t>sufficient</w:t>
      </w:r>
      <w:r w:rsidR="00033D0F">
        <w:rPr>
          <w:spacing w:val="-13"/>
        </w:rPr>
        <w:t xml:space="preserve"> </w:t>
      </w:r>
      <w:r w:rsidR="00033D0F">
        <w:t>to</w:t>
      </w:r>
      <w:r w:rsidR="00033D0F">
        <w:rPr>
          <w:spacing w:val="-14"/>
        </w:rPr>
        <w:t xml:space="preserve"> </w:t>
      </w:r>
      <w:r w:rsidR="00033D0F">
        <w:t>establish that "good cause" has been shown.</w:t>
      </w:r>
    </w:p>
    <w:p w14:paraId="2B3E91BC" w14:textId="77777777" w:rsidR="00BD462C" w:rsidRDefault="00BD462C">
      <w:pPr>
        <w:pStyle w:val="BodyText"/>
        <w:spacing w:before="5"/>
        <w:rPr>
          <w:sz w:val="8"/>
        </w:rPr>
      </w:pPr>
    </w:p>
    <w:p w14:paraId="1A69947E" w14:textId="4738C14E" w:rsidR="00BD462C" w:rsidRDefault="00A246C2">
      <w:pPr>
        <w:pStyle w:val="BodyText"/>
        <w:spacing w:before="56" w:line="360" w:lineRule="auto"/>
        <w:ind w:left="135" w:right="914"/>
        <w:jc w:val="both"/>
      </w:pPr>
      <w:r>
        <w:rPr>
          <w:noProof/>
        </w:rPr>
        <w:t>693.</w:t>
      </w:r>
      <w:r w:rsidR="00033D0F">
        <w:rPr>
          <w:rFonts w:ascii="Times New Roman" w:hAnsi="Times New Roman"/>
          <w:spacing w:val="80"/>
          <w:position w:val="1"/>
          <w:sz w:val="20"/>
        </w:rPr>
        <w:t xml:space="preserve">  </w:t>
      </w:r>
      <w:r w:rsidR="00033D0F">
        <w:rPr>
          <w:position w:val="1"/>
        </w:rPr>
        <w:t xml:space="preserve">China's first written submission then shifts direction entirely, to claim that all of the </w:t>
      </w:r>
      <w:r w:rsidR="00033D0F">
        <w:t>information in Annex 3 is "by nature" confidential, being of the type regularly treated as confidential</w:t>
      </w:r>
      <w:r w:rsidR="00033D0F">
        <w:rPr>
          <w:spacing w:val="-2"/>
        </w:rPr>
        <w:t xml:space="preserve"> </w:t>
      </w:r>
      <w:r w:rsidR="00033D0F">
        <w:t>in</w:t>
      </w:r>
      <w:r w:rsidR="00033D0F">
        <w:rPr>
          <w:spacing w:val="-5"/>
        </w:rPr>
        <w:t xml:space="preserve"> </w:t>
      </w:r>
      <w:r w:rsidR="00033D0F">
        <w:t>anti-dumping</w:t>
      </w:r>
      <w:r w:rsidR="00033D0F">
        <w:rPr>
          <w:spacing w:val="-3"/>
        </w:rPr>
        <w:t xml:space="preserve"> </w:t>
      </w:r>
      <w:r w:rsidR="00033D0F">
        <w:t>investigations,</w:t>
      </w:r>
      <w:r w:rsidR="00033D0F">
        <w:rPr>
          <w:spacing w:val="-2"/>
        </w:rPr>
        <w:t xml:space="preserve"> </w:t>
      </w:r>
      <w:r w:rsidR="00033D0F">
        <w:t>the</w:t>
      </w:r>
      <w:r w:rsidR="00033D0F">
        <w:rPr>
          <w:spacing w:val="-4"/>
        </w:rPr>
        <w:t xml:space="preserve"> </w:t>
      </w:r>
      <w:r w:rsidR="00033D0F">
        <w:t>potential</w:t>
      </w:r>
      <w:r w:rsidR="00033D0F">
        <w:rPr>
          <w:spacing w:val="-2"/>
        </w:rPr>
        <w:t xml:space="preserve"> </w:t>
      </w:r>
      <w:r w:rsidR="00033D0F">
        <w:t>harm</w:t>
      </w:r>
      <w:r w:rsidR="00033D0F">
        <w:rPr>
          <w:spacing w:val="-4"/>
        </w:rPr>
        <w:t xml:space="preserve"> </w:t>
      </w:r>
      <w:r w:rsidR="00033D0F">
        <w:t>for</w:t>
      </w:r>
      <w:r w:rsidR="00033D0F">
        <w:rPr>
          <w:spacing w:val="-6"/>
        </w:rPr>
        <w:t xml:space="preserve"> </w:t>
      </w:r>
      <w:r w:rsidR="00033D0F">
        <w:t>which</w:t>
      </w:r>
      <w:r w:rsidR="00033D0F">
        <w:rPr>
          <w:spacing w:val="-5"/>
        </w:rPr>
        <w:t xml:space="preserve"> </w:t>
      </w:r>
      <w:r w:rsidR="00033D0F">
        <w:t>is</w:t>
      </w:r>
      <w:r w:rsidR="00033D0F">
        <w:rPr>
          <w:spacing w:val="-3"/>
        </w:rPr>
        <w:t xml:space="preserve"> </w:t>
      </w:r>
      <w:r w:rsidR="00033D0F">
        <w:t>"self-evident".</w:t>
      </w:r>
      <w:hyperlink w:anchor="_bookmark1248" w:history="1">
        <w:r w:rsidR="00033D0F">
          <w:rPr>
            <w:vertAlign w:val="superscript"/>
          </w:rPr>
          <w:t>1074</w:t>
        </w:r>
      </w:hyperlink>
      <w:r w:rsidR="00033D0F">
        <w:t xml:space="preserve"> The Panel should not be satisfied that this is correct from the material before it. Article 6.5 would be stripped of all effect if – as China contends – material CADA describes merely as "work</w:t>
      </w:r>
      <w:r w:rsidR="00033D0F">
        <w:rPr>
          <w:spacing w:val="-11"/>
        </w:rPr>
        <w:t xml:space="preserve"> </w:t>
      </w:r>
      <w:r w:rsidR="00033D0F">
        <w:t>plans"</w:t>
      </w:r>
      <w:r w:rsidR="00033D0F">
        <w:rPr>
          <w:spacing w:val="-12"/>
        </w:rPr>
        <w:t xml:space="preserve"> </w:t>
      </w:r>
      <w:r w:rsidR="00033D0F">
        <w:t>or</w:t>
      </w:r>
      <w:r w:rsidR="00033D0F">
        <w:rPr>
          <w:spacing w:val="-14"/>
        </w:rPr>
        <w:t xml:space="preserve"> </w:t>
      </w:r>
      <w:r w:rsidR="00033D0F">
        <w:t>"internal</w:t>
      </w:r>
      <w:r w:rsidR="00033D0F">
        <w:rPr>
          <w:spacing w:val="-9"/>
        </w:rPr>
        <w:t xml:space="preserve"> </w:t>
      </w:r>
      <w:r w:rsidR="00033D0F">
        <w:t>and</w:t>
      </w:r>
      <w:r w:rsidR="00033D0F">
        <w:rPr>
          <w:spacing w:val="-8"/>
        </w:rPr>
        <w:t xml:space="preserve"> </w:t>
      </w:r>
      <w:r w:rsidR="00033D0F">
        <w:t>external</w:t>
      </w:r>
      <w:r w:rsidR="00033D0F">
        <w:rPr>
          <w:spacing w:val="-9"/>
        </w:rPr>
        <w:t xml:space="preserve"> </w:t>
      </w:r>
      <w:r w:rsidR="00033D0F">
        <w:t>confidential</w:t>
      </w:r>
      <w:r w:rsidR="00033D0F">
        <w:rPr>
          <w:spacing w:val="-14"/>
        </w:rPr>
        <w:t xml:space="preserve"> </w:t>
      </w:r>
      <w:r w:rsidR="00033D0F">
        <w:t>work"</w:t>
      </w:r>
      <w:r w:rsidR="00033D0F">
        <w:rPr>
          <w:spacing w:val="-7"/>
        </w:rPr>
        <w:t xml:space="preserve"> </w:t>
      </w:r>
      <w:r w:rsidR="00033D0F">
        <w:t>was</w:t>
      </w:r>
      <w:r w:rsidR="00033D0F">
        <w:rPr>
          <w:spacing w:val="-9"/>
        </w:rPr>
        <w:t xml:space="preserve"> </w:t>
      </w:r>
      <w:r w:rsidR="00033D0F">
        <w:t>found,</w:t>
      </w:r>
      <w:r w:rsidR="00033D0F">
        <w:rPr>
          <w:spacing w:val="-9"/>
        </w:rPr>
        <w:t xml:space="preserve"> </w:t>
      </w:r>
      <w:r w:rsidR="00033D0F">
        <w:t>solely</w:t>
      </w:r>
      <w:r w:rsidR="00033D0F">
        <w:rPr>
          <w:spacing w:val="-10"/>
        </w:rPr>
        <w:t xml:space="preserve"> </w:t>
      </w:r>
      <w:r w:rsidR="00033D0F">
        <w:t>on</w:t>
      </w:r>
      <w:r w:rsidR="00033D0F">
        <w:rPr>
          <w:spacing w:val="-13"/>
        </w:rPr>
        <w:t xml:space="preserve"> </w:t>
      </w:r>
      <w:r w:rsidR="00033D0F">
        <w:t>the</w:t>
      </w:r>
      <w:r w:rsidR="00033D0F">
        <w:rPr>
          <w:spacing w:val="-6"/>
        </w:rPr>
        <w:t xml:space="preserve"> </w:t>
      </w:r>
      <w:r w:rsidR="00033D0F">
        <w:t>basis</w:t>
      </w:r>
      <w:r w:rsidR="00033D0F">
        <w:rPr>
          <w:spacing w:val="-9"/>
        </w:rPr>
        <w:t xml:space="preserve"> </w:t>
      </w:r>
      <w:r w:rsidR="00033D0F">
        <w:t>of</w:t>
      </w:r>
      <w:r w:rsidR="00033D0F">
        <w:rPr>
          <w:spacing w:val="-13"/>
        </w:rPr>
        <w:t xml:space="preserve"> </w:t>
      </w:r>
      <w:r w:rsidR="00033D0F">
        <w:t>this description, to be "by nature" confidential.</w:t>
      </w:r>
      <w:hyperlink w:anchor="_bookmark1249" w:history="1">
        <w:r w:rsidR="00033D0F">
          <w:rPr>
            <w:vertAlign w:val="superscript"/>
          </w:rPr>
          <w:t>1075</w:t>
        </w:r>
      </w:hyperlink>
    </w:p>
    <w:p w14:paraId="5F726C48" w14:textId="77777777" w:rsidR="00BD462C" w:rsidRDefault="00BD462C">
      <w:pPr>
        <w:pStyle w:val="BodyText"/>
        <w:rPr>
          <w:sz w:val="20"/>
        </w:rPr>
      </w:pPr>
    </w:p>
    <w:p w14:paraId="43B0DD13" w14:textId="77777777" w:rsidR="00BD462C" w:rsidRDefault="00BD462C">
      <w:pPr>
        <w:pStyle w:val="BodyText"/>
        <w:rPr>
          <w:sz w:val="20"/>
        </w:rPr>
      </w:pPr>
    </w:p>
    <w:p w14:paraId="731DF059" w14:textId="5008246C" w:rsidR="00BD462C" w:rsidRDefault="00D70C7D">
      <w:pPr>
        <w:pStyle w:val="BodyText"/>
        <w:spacing w:before="11"/>
        <w:rPr>
          <w:sz w:val="18"/>
        </w:rPr>
      </w:pPr>
      <w:r>
        <w:rPr>
          <w:noProof/>
        </w:rPr>
        <mc:AlternateContent>
          <mc:Choice Requires="wps">
            <w:drawing>
              <wp:anchor distT="0" distB="0" distL="0" distR="0" simplePos="0" relativeHeight="487819264" behindDoc="1" locked="0" layoutInCell="1" allowOverlap="1" wp14:anchorId="4F230E16" wp14:editId="37E610C5">
                <wp:simplePos x="0" y="0"/>
                <wp:positionH relativeFrom="page">
                  <wp:posOffset>899160</wp:posOffset>
                </wp:positionH>
                <wp:positionV relativeFrom="paragraph">
                  <wp:posOffset>162560</wp:posOffset>
                </wp:positionV>
                <wp:extent cx="1828800" cy="8890"/>
                <wp:effectExtent l="0" t="0" r="0" b="0"/>
                <wp:wrapTopAndBottom/>
                <wp:docPr id="438" name="docshape5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02D53D" id="docshape500" o:spid="_x0000_s1026" alt="&quot;&quot;" style="position:absolute;margin-left:70.8pt;margin-top:12.8pt;width:2in;height:.7pt;z-index:-1549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" fillcolor="black" stroked="f">
                <w10:wrap type="topAndBottom" anchorx="page"/>
              </v:rect>
            </w:pict>
          </mc:Fallback>
        </mc:AlternateContent>
      </w:r>
    </w:p>
    <w:p w14:paraId="5E9A8D5A" w14:textId="77777777" w:rsidR="00BD462C" w:rsidRDefault="00033D0F">
      <w:pPr>
        <w:spacing w:before="112"/>
        <w:ind w:left="135"/>
        <w:rPr>
          <w:sz w:val="18"/>
        </w:rPr>
      </w:pPr>
      <w:bookmarkStart w:id="1444" w:name="_bookmark1243"/>
      <w:bookmarkEnd w:id="1444"/>
      <w:r>
        <w:rPr>
          <w:position w:val="5"/>
          <w:sz w:val="12"/>
        </w:rPr>
        <w:t>1069</w:t>
      </w:r>
      <w:r>
        <w:rPr>
          <w:spacing w:val="12"/>
          <w:position w:val="5"/>
          <w:sz w:val="12"/>
        </w:rPr>
        <w:t xml:space="preserve"> </w:t>
      </w:r>
      <w:r>
        <w:rPr>
          <w:sz w:val="18"/>
        </w:rPr>
        <w:t>Australia's</w:t>
      </w:r>
      <w:r>
        <w:rPr>
          <w:spacing w:val="-6"/>
          <w:sz w:val="18"/>
        </w:rPr>
        <w:t xml:space="preserve"> </w:t>
      </w:r>
      <w:r>
        <w:rPr>
          <w:sz w:val="18"/>
        </w:rPr>
        <w:t>first</w:t>
      </w:r>
      <w:r>
        <w:rPr>
          <w:spacing w:val="-6"/>
          <w:sz w:val="18"/>
        </w:rPr>
        <w:t xml:space="preserve"> </w:t>
      </w:r>
      <w:r>
        <w:rPr>
          <w:sz w:val="18"/>
        </w:rPr>
        <w:t>written</w:t>
      </w:r>
      <w:r>
        <w:rPr>
          <w:spacing w:val="-2"/>
          <w:sz w:val="18"/>
        </w:rPr>
        <w:t xml:space="preserve"> </w:t>
      </w:r>
      <w:r>
        <w:rPr>
          <w:sz w:val="18"/>
        </w:rPr>
        <w:t>submission, paras.</w:t>
      </w:r>
      <w:r>
        <w:rPr>
          <w:spacing w:val="-5"/>
          <w:sz w:val="18"/>
        </w:rPr>
        <w:t xml:space="preserve"> </w:t>
      </w:r>
      <w:r>
        <w:rPr>
          <w:sz w:val="18"/>
        </w:rPr>
        <w:t>851-</w:t>
      </w:r>
      <w:r>
        <w:rPr>
          <w:spacing w:val="-4"/>
          <w:sz w:val="18"/>
        </w:rPr>
        <w:t>854.</w:t>
      </w:r>
    </w:p>
    <w:p w14:paraId="6A2D9BD2" w14:textId="77777777" w:rsidR="00BD462C" w:rsidRDefault="00033D0F">
      <w:pPr>
        <w:spacing w:before="1" w:line="218" w:lineRule="exact"/>
        <w:ind w:left="135"/>
        <w:rPr>
          <w:sz w:val="18"/>
        </w:rPr>
      </w:pPr>
      <w:bookmarkStart w:id="1445" w:name="_bookmark1244"/>
      <w:bookmarkEnd w:id="1445"/>
      <w:r>
        <w:rPr>
          <w:position w:val="5"/>
          <w:sz w:val="12"/>
        </w:rPr>
        <w:t>1070</w:t>
      </w:r>
      <w:r>
        <w:rPr>
          <w:spacing w:val="13"/>
          <w:position w:val="5"/>
          <w:sz w:val="12"/>
        </w:rPr>
        <w:t xml:space="preserve"> </w:t>
      </w:r>
      <w:r>
        <w:rPr>
          <w:sz w:val="18"/>
        </w:rPr>
        <w:t>Appellate</w:t>
      </w:r>
      <w:r>
        <w:rPr>
          <w:spacing w:val="-10"/>
          <w:sz w:val="18"/>
        </w:rPr>
        <w:t xml:space="preserve"> </w:t>
      </w:r>
      <w:r>
        <w:rPr>
          <w:sz w:val="18"/>
        </w:rPr>
        <w:t>Body</w:t>
      </w:r>
      <w:r>
        <w:rPr>
          <w:spacing w:val="-6"/>
          <w:sz w:val="18"/>
        </w:rPr>
        <w:t xml:space="preserve"> </w:t>
      </w:r>
      <w:r>
        <w:rPr>
          <w:sz w:val="18"/>
        </w:rPr>
        <w:t>Report,</w:t>
      </w:r>
      <w:r>
        <w:rPr>
          <w:spacing w:val="-4"/>
          <w:sz w:val="18"/>
        </w:rPr>
        <w:t xml:space="preserve"> </w:t>
      </w:r>
      <w:r>
        <w:rPr>
          <w:i/>
          <w:sz w:val="18"/>
        </w:rPr>
        <w:t>EC</w:t>
      </w:r>
      <w:r>
        <w:rPr>
          <w:i/>
          <w:spacing w:val="-5"/>
          <w:sz w:val="18"/>
        </w:rPr>
        <w:t xml:space="preserve"> </w:t>
      </w:r>
      <w:r>
        <w:rPr>
          <w:i/>
          <w:sz w:val="18"/>
        </w:rPr>
        <w:t>–</w:t>
      </w:r>
      <w:r>
        <w:rPr>
          <w:i/>
          <w:spacing w:val="-1"/>
          <w:sz w:val="18"/>
        </w:rPr>
        <w:t xml:space="preserve"> </w:t>
      </w:r>
      <w:r>
        <w:rPr>
          <w:i/>
          <w:sz w:val="18"/>
        </w:rPr>
        <w:t>Fasteners</w:t>
      </w:r>
      <w:r>
        <w:rPr>
          <w:i/>
          <w:spacing w:val="-5"/>
          <w:sz w:val="18"/>
        </w:rPr>
        <w:t xml:space="preserve"> </w:t>
      </w:r>
      <w:r>
        <w:rPr>
          <w:i/>
          <w:sz w:val="18"/>
        </w:rPr>
        <w:t>(China)</w:t>
      </w:r>
      <w:r>
        <w:rPr>
          <w:i/>
          <w:spacing w:val="-3"/>
          <w:sz w:val="18"/>
        </w:rPr>
        <w:t xml:space="preserve"> </w:t>
      </w:r>
      <w:r>
        <w:rPr>
          <w:sz w:val="18"/>
        </w:rPr>
        <w:t>para.</w:t>
      </w:r>
      <w:r>
        <w:rPr>
          <w:spacing w:val="-4"/>
          <w:sz w:val="18"/>
        </w:rPr>
        <w:t xml:space="preserve"> </w:t>
      </w:r>
      <w:r>
        <w:rPr>
          <w:sz w:val="18"/>
        </w:rPr>
        <w:t>538;</w:t>
      </w:r>
      <w:r>
        <w:rPr>
          <w:spacing w:val="-3"/>
          <w:sz w:val="18"/>
        </w:rPr>
        <w:t xml:space="preserve"> </w:t>
      </w:r>
      <w:r>
        <w:rPr>
          <w:sz w:val="18"/>
        </w:rPr>
        <w:t>Australia's first</w:t>
      </w:r>
      <w:r>
        <w:rPr>
          <w:spacing w:val="-1"/>
          <w:sz w:val="18"/>
        </w:rPr>
        <w:t xml:space="preserve"> </w:t>
      </w:r>
      <w:r>
        <w:rPr>
          <w:sz w:val="18"/>
        </w:rPr>
        <w:t>written</w:t>
      </w:r>
      <w:r>
        <w:rPr>
          <w:spacing w:val="-6"/>
          <w:sz w:val="18"/>
        </w:rPr>
        <w:t xml:space="preserve"> </w:t>
      </w:r>
      <w:r>
        <w:rPr>
          <w:sz w:val="18"/>
        </w:rPr>
        <w:t>submission,</w:t>
      </w:r>
      <w:r>
        <w:rPr>
          <w:spacing w:val="-3"/>
          <w:sz w:val="18"/>
        </w:rPr>
        <w:t xml:space="preserve"> </w:t>
      </w:r>
      <w:r>
        <w:rPr>
          <w:sz w:val="18"/>
        </w:rPr>
        <w:t>para.</w:t>
      </w:r>
      <w:r>
        <w:rPr>
          <w:spacing w:val="1"/>
          <w:sz w:val="18"/>
        </w:rPr>
        <w:t xml:space="preserve"> </w:t>
      </w:r>
      <w:r>
        <w:rPr>
          <w:spacing w:val="-4"/>
          <w:sz w:val="18"/>
        </w:rPr>
        <w:t>853.</w:t>
      </w:r>
    </w:p>
    <w:p w14:paraId="72BFB73B" w14:textId="77777777" w:rsidR="00BD462C" w:rsidRDefault="00033D0F">
      <w:pPr>
        <w:spacing w:line="218" w:lineRule="exact"/>
        <w:ind w:left="135"/>
        <w:rPr>
          <w:sz w:val="18"/>
        </w:rPr>
      </w:pPr>
      <w:bookmarkStart w:id="1446" w:name="_bookmark1245"/>
      <w:bookmarkEnd w:id="1446"/>
      <w:r>
        <w:rPr>
          <w:position w:val="5"/>
          <w:sz w:val="12"/>
        </w:rPr>
        <w:t>1071</w:t>
      </w:r>
      <w:r>
        <w:rPr>
          <w:spacing w:val="12"/>
          <w:position w:val="5"/>
          <w:sz w:val="12"/>
        </w:rPr>
        <w:t xml:space="preserve"> </w:t>
      </w:r>
      <w:r>
        <w:rPr>
          <w:sz w:val="18"/>
        </w:rPr>
        <w:t>Australia's</w:t>
      </w:r>
      <w:r>
        <w:rPr>
          <w:spacing w:val="-6"/>
          <w:sz w:val="18"/>
        </w:rPr>
        <w:t xml:space="preserve"> </w:t>
      </w:r>
      <w:r>
        <w:rPr>
          <w:sz w:val="18"/>
        </w:rPr>
        <w:t>first</w:t>
      </w:r>
      <w:r>
        <w:rPr>
          <w:spacing w:val="-5"/>
          <w:sz w:val="18"/>
        </w:rPr>
        <w:t xml:space="preserve"> </w:t>
      </w:r>
      <w:r>
        <w:rPr>
          <w:sz w:val="18"/>
        </w:rPr>
        <w:t>written</w:t>
      </w:r>
      <w:r>
        <w:rPr>
          <w:spacing w:val="-2"/>
          <w:sz w:val="18"/>
        </w:rPr>
        <w:t xml:space="preserve"> </w:t>
      </w:r>
      <w:r>
        <w:rPr>
          <w:sz w:val="18"/>
        </w:rPr>
        <w:t>submission, para.</w:t>
      </w:r>
      <w:r>
        <w:rPr>
          <w:spacing w:val="-5"/>
          <w:sz w:val="18"/>
        </w:rPr>
        <w:t xml:space="preserve"> </w:t>
      </w:r>
      <w:r>
        <w:rPr>
          <w:spacing w:val="-4"/>
          <w:sz w:val="18"/>
        </w:rPr>
        <w:t>853.</w:t>
      </w:r>
    </w:p>
    <w:p w14:paraId="3FE53A82" w14:textId="77777777" w:rsidR="00BD462C" w:rsidRDefault="00033D0F">
      <w:pPr>
        <w:spacing w:before="1"/>
        <w:ind w:left="135"/>
        <w:rPr>
          <w:sz w:val="18"/>
        </w:rPr>
      </w:pPr>
      <w:bookmarkStart w:id="1447" w:name="_bookmark1246"/>
      <w:bookmarkEnd w:id="1447"/>
      <w:r>
        <w:rPr>
          <w:position w:val="5"/>
          <w:sz w:val="12"/>
        </w:rPr>
        <w:t>1072</w:t>
      </w:r>
      <w:r>
        <w:rPr>
          <w:spacing w:val="15"/>
          <w:position w:val="5"/>
          <w:sz w:val="12"/>
        </w:rPr>
        <w:t xml:space="preserve"> </w:t>
      </w:r>
      <w:r>
        <w:rPr>
          <w:sz w:val="18"/>
        </w:rPr>
        <w:t>Appellate</w:t>
      </w:r>
      <w:r>
        <w:rPr>
          <w:spacing w:val="-9"/>
          <w:sz w:val="18"/>
        </w:rPr>
        <w:t xml:space="preserve"> </w:t>
      </w:r>
      <w:r>
        <w:rPr>
          <w:sz w:val="18"/>
        </w:rPr>
        <w:t>Body</w:t>
      </w:r>
      <w:r>
        <w:rPr>
          <w:spacing w:val="-5"/>
          <w:sz w:val="18"/>
        </w:rPr>
        <w:t xml:space="preserve"> </w:t>
      </w:r>
      <w:r>
        <w:rPr>
          <w:sz w:val="18"/>
        </w:rPr>
        <w:t>Report,</w:t>
      </w:r>
      <w:r>
        <w:rPr>
          <w:spacing w:val="-2"/>
          <w:sz w:val="18"/>
        </w:rPr>
        <w:t xml:space="preserve"> </w:t>
      </w:r>
      <w:r>
        <w:rPr>
          <w:i/>
          <w:sz w:val="18"/>
        </w:rPr>
        <w:t>EC</w:t>
      </w:r>
      <w:r>
        <w:rPr>
          <w:i/>
          <w:spacing w:val="-3"/>
          <w:sz w:val="18"/>
        </w:rPr>
        <w:t xml:space="preserve"> </w:t>
      </w:r>
      <w:r>
        <w:rPr>
          <w:i/>
          <w:sz w:val="18"/>
        </w:rPr>
        <w:t>– Fasteners</w:t>
      </w:r>
      <w:r>
        <w:rPr>
          <w:i/>
          <w:spacing w:val="-3"/>
          <w:sz w:val="18"/>
        </w:rPr>
        <w:t xml:space="preserve"> </w:t>
      </w:r>
      <w:r>
        <w:rPr>
          <w:i/>
          <w:sz w:val="18"/>
        </w:rPr>
        <w:t>(China)</w:t>
      </w:r>
      <w:r>
        <w:rPr>
          <w:i/>
          <w:spacing w:val="-2"/>
          <w:sz w:val="18"/>
        </w:rPr>
        <w:t xml:space="preserve"> </w:t>
      </w:r>
      <w:r>
        <w:rPr>
          <w:sz w:val="18"/>
        </w:rPr>
        <w:t>para.</w:t>
      </w:r>
      <w:r>
        <w:rPr>
          <w:spacing w:val="-3"/>
          <w:sz w:val="18"/>
        </w:rPr>
        <w:t xml:space="preserve"> </w:t>
      </w:r>
      <w:r>
        <w:rPr>
          <w:spacing w:val="-4"/>
          <w:sz w:val="18"/>
        </w:rPr>
        <w:t>538.</w:t>
      </w:r>
    </w:p>
    <w:p w14:paraId="5802729A" w14:textId="77777777" w:rsidR="00BD462C" w:rsidRDefault="00033D0F">
      <w:pPr>
        <w:spacing w:before="1"/>
        <w:ind w:left="135"/>
        <w:rPr>
          <w:sz w:val="18"/>
        </w:rPr>
      </w:pPr>
      <w:bookmarkStart w:id="1448" w:name="_bookmark1247"/>
      <w:bookmarkEnd w:id="1448"/>
      <w:r>
        <w:rPr>
          <w:position w:val="5"/>
          <w:sz w:val="12"/>
        </w:rPr>
        <w:t>1073</w:t>
      </w:r>
      <w:r>
        <w:rPr>
          <w:spacing w:val="13"/>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 xml:space="preserve">para. </w:t>
      </w:r>
      <w:r>
        <w:rPr>
          <w:spacing w:val="-2"/>
          <w:sz w:val="18"/>
        </w:rPr>
        <w:t>2288.</w:t>
      </w:r>
    </w:p>
    <w:p w14:paraId="70F374EE" w14:textId="77777777" w:rsidR="00BD462C" w:rsidRDefault="00033D0F">
      <w:pPr>
        <w:spacing w:before="1"/>
        <w:ind w:left="135"/>
        <w:rPr>
          <w:sz w:val="18"/>
        </w:rPr>
      </w:pPr>
      <w:bookmarkStart w:id="1449" w:name="_bookmark1248"/>
      <w:bookmarkEnd w:id="1449"/>
      <w:r>
        <w:rPr>
          <w:position w:val="5"/>
          <w:sz w:val="12"/>
        </w:rPr>
        <w:t>1074</w:t>
      </w:r>
      <w:r>
        <w:rPr>
          <w:spacing w:val="13"/>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 xml:space="preserve">para. </w:t>
      </w:r>
      <w:r>
        <w:rPr>
          <w:spacing w:val="-2"/>
          <w:sz w:val="18"/>
        </w:rPr>
        <w:t>2291.</w:t>
      </w:r>
    </w:p>
    <w:p w14:paraId="46D9B962" w14:textId="77777777" w:rsidR="00BD462C" w:rsidRDefault="00033D0F">
      <w:pPr>
        <w:spacing w:before="1"/>
        <w:ind w:left="135"/>
        <w:rPr>
          <w:sz w:val="18"/>
        </w:rPr>
      </w:pPr>
      <w:bookmarkStart w:id="1450" w:name="_bookmark1249"/>
      <w:bookmarkEnd w:id="1450"/>
      <w:r>
        <w:rPr>
          <w:position w:val="5"/>
          <w:sz w:val="12"/>
        </w:rPr>
        <w:t>1075</w:t>
      </w:r>
      <w:r>
        <w:rPr>
          <w:spacing w:val="14"/>
          <w:position w:val="5"/>
          <w:sz w:val="12"/>
        </w:rPr>
        <w:t xml:space="preserve"> </w:t>
      </w:r>
      <w:r>
        <w:rPr>
          <w:sz w:val="18"/>
        </w:rPr>
        <w:t>CADA</w:t>
      </w:r>
      <w:r>
        <w:rPr>
          <w:spacing w:val="-5"/>
          <w:sz w:val="18"/>
        </w:rPr>
        <w:t xml:space="preserve"> </w:t>
      </w:r>
      <w:r>
        <w:rPr>
          <w:sz w:val="18"/>
        </w:rPr>
        <w:t>Application</w:t>
      </w:r>
      <w:r>
        <w:rPr>
          <w:spacing w:val="-6"/>
          <w:sz w:val="18"/>
        </w:rPr>
        <w:t xml:space="preserve"> </w:t>
      </w:r>
      <w:r>
        <w:rPr>
          <w:sz w:val="18"/>
        </w:rPr>
        <w:t>for</w:t>
      </w:r>
      <w:r>
        <w:rPr>
          <w:spacing w:val="-6"/>
          <w:sz w:val="18"/>
        </w:rPr>
        <w:t xml:space="preserve"> </w:t>
      </w:r>
      <w:r>
        <w:rPr>
          <w:sz w:val="18"/>
        </w:rPr>
        <w:t>Anti-Dumping</w:t>
      </w:r>
      <w:r>
        <w:rPr>
          <w:spacing w:val="-4"/>
          <w:sz w:val="18"/>
        </w:rPr>
        <w:t xml:space="preserve"> </w:t>
      </w:r>
      <w:r>
        <w:rPr>
          <w:sz w:val="18"/>
        </w:rPr>
        <w:t>Investigation</w:t>
      </w:r>
      <w:r>
        <w:rPr>
          <w:spacing w:val="-5"/>
          <w:sz w:val="18"/>
        </w:rPr>
        <w:t xml:space="preserve"> </w:t>
      </w:r>
      <w:r>
        <w:rPr>
          <w:sz w:val="18"/>
        </w:rPr>
        <w:t>Annexes</w:t>
      </w:r>
      <w:r>
        <w:rPr>
          <w:spacing w:val="-5"/>
          <w:sz w:val="18"/>
        </w:rPr>
        <w:t xml:space="preserve"> </w:t>
      </w:r>
      <w:r>
        <w:rPr>
          <w:sz w:val="18"/>
        </w:rPr>
        <w:t>1-12</w:t>
      </w:r>
      <w:r>
        <w:rPr>
          <w:spacing w:val="-6"/>
          <w:sz w:val="18"/>
        </w:rPr>
        <w:t xml:space="preserve"> </w:t>
      </w:r>
      <w:r>
        <w:rPr>
          <w:sz w:val="18"/>
        </w:rPr>
        <w:t>(Part 1)</w:t>
      </w:r>
      <w:r>
        <w:rPr>
          <w:spacing w:val="-2"/>
          <w:sz w:val="18"/>
        </w:rPr>
        <w:t xml:space="preserve"> </w:t>
      </w:r>
      <w:r>
        <w:rPr>
          <w:sz w:val="18"/>
        </w:rPr>
        <w:t>(Exhibit</w:t>
      </w:r>
      <w:r>
        <w:rPr>
          <w:spacing w:val="-3"/>
          <w:sz w:val="18"/>
        </w:rPr>
        <w:t xml:space="preserve"> </w:t>
      </w:r>
      <w:r>
        <w:rPr>
          <w:sz w:val="18"/>
        </w:rPr>
        <w:t>AUS-90),</w:t>
      </w:r>
      <w:r>
        <w:rPr>
          <w:spacing w:val="-3"/>
          <w:sz w:val="18"/>
        </w:rPr>
        <w:t xml:space="preserve"> </w:t>
      </w:r>
      <w:r>
        <w:rPr>
          <w:sz w:val="18"/>
        </w:rPr>
        <w:t>Annex</w:t>
      </w:r>
      <w:r>
        <w:rPr>
          <w:spacing w:val="-2"/>
          <w:sz w:val="18"/>
        </w:rPr>
        <w:t xml:space="preserve"> </w:t>
      </w:r>
      <w:r>
        <w:rPr>
          <w:spacing w:val="-5"/>
          <w:sz w:val="18"/>
        </w:rPr>
        <w:t>3.</w:t>
      </w:r>
    </w:p>
    <w:p w14:paraId="29A9C63C" w14:textId="77777777" w:rsidR="00BD462C" w:rsidRDefault="00BD462C">
      <w:pPr>
        <w:rPr>
          <w:sz w:val="18"/>
        </w:rPr>
        <w:sectPr w:rsidR="00BD462C">
          <w:pgSz w:w="11910" w:h="16840"/>
          <w:pgMar w:top="860" w:right="500" w:bottom="780" w:left="1280" w:header="566" w:footer="590" w:gutter="0"/>
          <w:cols w:space="720"/>
        </w:sectPr>
      </w:pPr>
    </w:p>
    <w:p w14:paraId="7126B945"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759E8539"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5D69D0F8"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3F829E46" w14:textId="583611CF" w:rsidR="00BD462C" w:rsidRDefault="00A246C2">
      <w:pPr>
        <w:pStyle w:val="BodyText"/>
        <w:spacing w:before="107" w:line="357" w:lineRule="auto"/>
        <w:ind w:left="136" w:right="912"/>
        <w:jc w:val="both"/>
      </w:pPr>
      <w:r>
        <w:rPr>
          <w:noProof/>
        </w:rPr>
        <w:t>694.</w:t>
      </w:r>
      <w:r w:rsidR="00033D0F">
        <w:rPr>
          <w:rFonts w:ascii="Times New Roman" w:hAnsi="Times New Roman"/>
          <w:spacing w:val="80"/>
          <w:position w:val="1"/>
          <w:sz w:val="20"/>
        </w:rPr>
        <w:t xml:space="preserve">  </w:t>
      </w:r>
      <w:r w:rsidR="00033D0F">
        <w:rPr>
          <w:position w:val="1"/>
        </w:rPr>
        <w:t xml:space="preserve">China then goes on to – inexplicably and unfairly – assert that Australia has argued </w:t>
      </w:r>
      <w:r w:rsidR="00033D0F">
        <w:t xml:space="preserve">"that CADA's use of the term 'inconvenience' somehow robbed interested parties of a 'meaningful opportunity for the </w:t>
      </w:r>
      <w:proofErr w:type="spellStart"/>
      <w:r w:rsidR="00033D0F">
        <w:t>defence</w:t>
      </w:r>
      <w:proofErr w:type="spellEnd"/>
      <w:r w:rsidR="00033D0F">
        <w:t xml:space="preserve"> of their interests'".</w:t>
      </w:r>
      <w:hyperlink w:anchor="_bookmark1250" w:history="1">
        <w:r w:rsidR="00033D0F">
          <w:rPr>
            <w:vertAlign w:val="superscript"/>
          </w:rPr>
          <w:t>1076</w:t>
        </w:r>
      </w:hyperlink>
      <w:r w:rsidR="00033D0F">
        <w:t xml:space="preserve"> This is not an argument that Australia made. Australia's case is that:</w:t>
      </w:r>
    </w:p>
    <w:p w14:paraId="10FEB7A7" w14:textId="77777777" w:rsidR="00BD462C" w:rsidRDefault="00033D0F">
      <w:pPr>
        <w:spacing w:before="164" w:line="276" w:lineRule="auto"/>
        <w:ind w:left="985" w:right="912"/>
        <w:jc w:val="both"/>
      </w:pPr>
      <w:r>
        <w:t>[The term] "inconvenience"</w:t>
      </w:r>
      <w:r>
        <w:rPr>
          <w:spacing w:val="-2"/>
        </w:rPr>
        <w:t xml:space="preserve"> </w:t>
      </w:r>
      <w:r>
        <w:t>does not</w:t>
      </w:r>
      <w:r>
        <w:rPr>
          <w:spacing w:val="-1"/>
        </w:rPr>
        <w:t xml:space="preserve"> </w:t>
      </w:r>
      <w:r>
        <w:t>indicate the type of harm, or the protectable interests involved, that would outweigh the transparency and due process concerns, including the rights</w:t>
      </w:r>
      <w:r>
        <w:rPr>
          <w:spacing w:val="-9"/>
        </w:rPr>
        <w:t xml:space="preserve"> </w:t>
      </w:r>
      <w:r>
        <w:t>of</w:t>
      </w:r>
      <w:r>
        <w:rPr>
          <w:spacing w:val="-9"/>
        </w:rPr>
        <w:t xml:space="preserve"> </w:t>
      </w:r>
      <w:r>
        <w:t>interested</w:t>
      </w:r>
      <w:r>
        <w:rPr>
          <w:spacing w:val="-10"/>
        </w:rPr>
        <w:t xml:space="preserve"> </w:t>
      </w:r>
      <w:r>
        <w:t>parties</w:t>
      </w:r>
      <w:r>
        <w:rPr>
          <w:spacing w:val="-9"/>
        </w:rPr>
        <w:t xml:space="preserve"> </w:t>
      </w:r>
      <w:r>
        <w:t>to</w:t>
      </w:r>
      <w:r>
        <w:rPr>
          <w:spacing w:val="-10"/>
        </w:rPr>
        <w:t xml:space="preserve"> </w:t>
      </w:r>
      <w:r>
        <w:t>see</w:t>
      </w:r>
      <w:r>
        <w:rPr>
          <w:spacing w:val="-8"/>
        </w:rPr>
        <w:t xml:space="preserve"> </w:t>
      </w:r>
      <w:r>
        <w:t>the</w:t>
      </w:r>
      <w:r>
        <w:rPr>
          <w:spacing w:val="-8"/>
        </w:rPr>
        <w:t xml:space="preserve"> </w:t>
      </w:r>
      <w:r>
        <w:t>evidence</w:t>
      </w:r>
      <w:r>
        <w:rPr>
          <w:spacing w:val="-8"/>
        </w:rPr>
        <w:t xml:space="preserve"> </w:t>
      </w:r>
      <w:r>
        <w:t>submitted</w:t>
      </w:r>
      <w:r>
        <w:rPr>
          <w:spacing w:val="-10"/>
        </w:rPr>
        <w:t xml:space="preserve"> </w:t>
      </w:r>
      <w:r>
        <w:t>or</w:t>
      </w:r>
      <w:r>
        <w:rPr>
          <w:spacing w:val="-9"/>
        </w:rPr>
        <w:t xml:space="preserve"> </w:t>
      </w:r>
      <w:r>
        <w:t>gathered</w:t>
      </w:r>
      <w:r>
        <w:rPr>
          <w:spacing w:val="-10"/>
        </w:rPr>
        <w:t xml:space="preserve"> </w:t>
      </w:r>
      <w:r>
        <w:t>in</w:t>
      </w:r>
      <w:r>
        <w:rPr>
          <w:spacing w:val="-10"/>
        </w:rPr>
        <w:t xml:space="preserve"> </w:t>
      </w:r>
      <w:r>
        <w:t>an</w:t>
      </w:r>
      <w:r>
        <w:rPr>
          <w:spacing w:val="-10"/>
        </w:rPr>
        <w:t xml:space="preserve"> </w:t>
      </w:r>
      <w:r>
        <w:t>investigation</w:t>
      </w:r>
      <w:r>
        <w:rPr>
          <w:spacing w:val="-10"/>
        </w:rPr>
        <w:t xml:space="preserve"> </w:t>
      </w:r>
      <w:r>
        <w:t xml:space="preserve">and to have a meaningful opportunity for the </w:t>
      </w:r>
      <w:proofErr w:type="spellStart"/>
      <w:r>
        <w:t>defence</w:t>
      </w:r>
      <w:proofErr w:type="spellEnd"/>
      <w:r>
        <w:t xml:space="preserve"> of their interests.</w:t>
      </w:r>
      <w:hyperlink w:anchor="_bookmark1251" w:history="1">
        <w:r>
          <w:rPr>
            <w:vertAlign w:val="superscript"/>
          </w:rPr>
          <w:t>1077</w:t>
        </w:r>
      </w:hyperlink>
    </w:p>
    <w:p w14:paraId="16D83B71" w14:textId="77777777" w:rsidR="00BD462C" w:rsidRDefault="00BD462C">
      <w:pPr>
        <w:pStyle w:val="BodyText"/>
        <w:spacing w:before="4"/>
        <w:rPr>
          <w:sz w:val="15"/>
        </w:rPr>
      </w:pPr>
    </w:p>
    <w:p w14:paraId="006D1341" w14:textId="6335769E" w:rsidR="00BD462C" w:rsidRDefault="00335703">
      <w:pPr>
        <w:pStyle w:val="BodyText"/>
        <w:spacing w:before="56" w:line="360" w:lineRule="auto"/>
        <w:ind w:left="135" w:right="913"/>
        <w:jc w:val="both"/>
      </w:pPr>
      <w:r>
        <w:rPr>
          <w:noProof/>
        </w:rPr>
        <w:t>695.</w:t>
      </w:r>
      <w:r w:rsidR="00033D0F">
        <w:rPr>
          <w:rFonts w:ascii="Times New Roman"/>
          <w:spacing w:val="80"/>
          <w:position w:val="1"/>
          <w:sz w:val="20"/>
        </w:rPr>
        <w:t xml:space="preserve">  </w:t>
      </w:r>
      <w:r w:rsidR="00033D0F">
        <w:rPr>
          <w:position w:val="1"/>
        </w:rPr>
        <w:t>It</w:t>
      </w:r>
      <w:r w:rsidR="00033D0F">
        <w:rPr>
          <w:spacing w:val="40"/>
          <w:position w:val="1"/>
        </w:rPr>
        <w:t xml:space="preserve"> </w:t>
      </w:r>
      <w:r w:rsidR="00033D0F">
        <w:rPr>
          <w:position w:val="1"/>
        </w:rPr>
        <w:t>was</w:t>
      </w:r>
      <w:r w:rsidR="00033D0F">
        <w:rPr>
          <w:spacing w:val="40"/>
          <w:position w:val="1"/>
        </w:rPr>
        <w:t xml:space="preserve"> </w:t>
      </w:r>
      <w:r w:rsidR="00033D0F">
        <w:rPr>
          <w:position w:val="1"/>
        </w:rPr>
        <w:t>MOFCOM's</w:t>
      </w:r>
      <w:r w:rsidR="00033D0F">
        <w:rPr>
          <w:spacing w:val="40"/>
          <w:position w:val="1"/>
        </w:rPr>
        <w:t xml:space="preserve"> </w:t>
      </w:r>
      <w:r w:rsidR="00033D0F">
        <w:rPr>
          <w:position w:val="1"/>
        </w:rPr>
        <w:t>failure</w:t>
      </w:r>
      <w:r w:rsidR="00033D0F">
        <w:rPr>
          <w:spacing w:val="40"/>
          <w:position w:val="1"/>
        </w:rPr>
        <w:t xml:space="preserve"> </w:t>
      </w:r>
      <w:r w:rsidR="00033D0F">
        <w:rPr>
          <w:position w:val="1"/>
        </w:rPr>
        <w:t>to</w:t>
      </w:r>
      <w:r w:rsidR="00033D0F">
        <w:rPr>
          <w:spacing w:val="40"/>
          <w:position w:val="1"/>
        </w:rPr>
        <w:t xml:space="preserve"> </w:t>
      </w:r>
      <w:r w:rsidR="00033D0F">
        <w:rPr>
          <w:position w:val="1"/>
        </w:rPr>
        <w:t>objectively</w:t>
      </w:r>
      <w:r w:rsidR="00033D0F">
        <w:rPr>
          <w:spacing w:val="40"/>
          <w:position w:val="1"/>
        </w:rPr>
        <w:t xml:space="preserve"> </w:t>
      </w:r>
      <w:r w:rsidR="00033D0F">
        <w:rPr>
          <w:position w:val="1"/>
        </w:rPr>
        <w:t>assess</w:t>
      </w:r>
      <w:r w:rsidR="00033D0F">
        <w:rPr>
          <w:spacing w:val="40"/>
          <w:position w:val="1"/>
        </w:rPr>
        <w:t xml:space="preserve"> </w:t>
      </w:r>
      <w:r w:rsidR="00033D0F">
        <w:rPr>
          <w:position w:val="1"/>
        </w:rPr>
        <w:t>whether</w:t>
      </w:r>
      <w:r w:rsidR="00033D0F">
        <w:rPr>
          <w:spacing w:val="40"/>
          <w:position w:val="1"/>
        </w:rPr>
        <w:t xml:space="preserve"> </w:t>
      </w:r>
      <w:r w:rsidR="00033D0F">
        <w:rPr>
          <w:position w:val="1"/>
        </w:rPr>
        <w:t>"inconvenience"</w:t>
      </w:r>
      <w:r w:rsidR="00033D0F">
        <w:rPr>
          <w:spacing w:val="40"/>
          <w:position w:val="1"/>
        </w:rPr>
        <w:t xml:space="preserve"> </w:t>
      </w:r>
      <w:r w:rsidR="00033D0F">
        <w:rPr>
          <w:position w:val="1"/>
        </w:rPr>
        <w:t xml:space="preserve">was </w:t>
      </w:r>
      <w:r w:rsidR="00033D0F">
        <w:t>sufficient</w:t>
      </w:r>
      <w:r w:rsidR="00033D0F">
        <w:rPr>
          <w:spacing w:val="-2"/>
        </w:rPr>
        <w:t xml:space="preserve"> </w:t>
      </w:r>
      <w:r w:rsidR="00033D0F">
        <w:t>to</w:t>
      </w:r>
      <w:r w:rsidR="00033D0F">
        <w:rPr>
          <w:spacing w:val="-5"/>
        </w:rPr>
        <w:t xml:space="preserve"> </w:t>
      </w:r>
      <w:r w:rsidR="00033D0F">
        <w:t>show</w:t>
      </w:r>
      <w:r w:rsidR="00033D0F">
        <w:rPr>
          <w:spacing w:val="-2"/>
        </w:rPr>
        <w:t xml:space="preserve"> </w:t>
      </w:r>
      <w:r w:rsidR="00033D0F">
        <w:t>"good</w:t>
      </w:r>
      <w:r w:rsidR="00033D0F">
        <w:rPr>
          <w:spacing w:val="-4"/>
        </w:rPr>
        <w:t xml:space="preserve"> </w:t>
      </w:r>
      <w:r w:rsidR="00033D0F">
        <w:t>cause"</w:t>
      </w:r>
      <w:r w:rsidR="00033D0F">
        <w:rPr>
          <w:spacing w:val="-3"/>
        </w:rPr>
        <w:t xml:space="preserve"> </w:t>
      </w:r>
      <w:r w:rsidR="00033D0F">
        <w:t>for</w:t>
      </w:r>
      <w:r w:rsidR="00033D0F">
        <w:rPr>
          <w:spacing w:val="-5"/>
        </w:rPr>
        <w:t xml:space="preserve"> </w:t>
      </w:r>
      <w:r w:rsidR="00033D0F">
        <w:t>the</w:t>
      </w:r>
      <w:r w:rsidR="00033D0F">
        <w:rPr>
          <w:spacing w:val="-3"/>
        </w:rPr>
        <w:t xml:space="preserve"> </w:t>
      </w:r>
      <w:r w:rsidR="00033D0F">
        <w:t>confidential</w:t>
      </w:r>
      <w:r w:rsidR="00033D0F">
        <w:rPr>
          <w:spacing w:val="-1"/>
        </w:rPr>
        <w:t xml:space="preserve"> </w:t>
      </w:r>
      <w:r w:rsidR="00033D0F">
        <w:t>treatment</w:t>
      </w:r>
      <w:r w:rsidR="00033D0F">
        <w:rPr>
          <w:spacing w:val="-2"/>
        </w:rPr>
        <w:t xml:space="preserve"> </w:t>
      </w:r>
      <w:r w:rsidR="00033D0F">
        <w:t>of</w:t>
      </w:r>
      <w:r w:rsidR="00033D0F">
        <w:rPr>
          <w:spacing w:val="-4"/>
        </w:rPr>
        <w:t xml:space="preserve"> </w:t>
      </w:r>
      <w:r w:rsidR="00033D0F">
        <w:t>the</w:t>
      </w:r>
      <w:r w:rsidR="00033D0F">
        <w:rPr>
          <w:spacing w:val="-3"/>
        </w:rPr>
        <w:t xml:space="preserve"> </w:t>
      </w:r>
      <w:r w:rsidR="00033D0F">
        <w:t>entirety</w:t>
      </w:r>
      <w:r w:rsidR="00033D0F">
        <w:rPr>
          <w:spacing w:val="-1"/>
        </w:rPr>
        <w:t xml:space="preserve"> </w:t>
      </w:r>
      <w:r w:rsidR="00033D0F">
        <w:t>of</w:t>
      </w:r>
      <w:r w:rsidR="00033D0F">
        <w:rPr>
          <w:spacing w:val="-4"/>
        </w:rPr>
        <w:t xml:space="preserve"> </w:t>
      </w:r>
      <w:r w:rsidR="00033D0F">
        <w:t>Annex</w:t>
      </w:r>
      <w:r w:rsidR="00033D0F">
        <w:rPr>
          <w:spacing w:val="-1"/>
        </w:rPr>
        <w:t xml:space="preserve"> </w:t>
      </w:r>
      <w:r w:rsidR="00033D0F">
        <w:t>3</w:t>
      </w:r>
      <w:r w:rsidR="00033D0F">
        <w:rPr>
          <w:spacing w:val="-5"/>
        </w:rPr>
        <w:t xml:space="preserve"> </w:t>
      </w:r>
      <w:r w:rsidR="00033D0F">
        <w:t>that had</w:t>
      </w:r>
      <w:r w:rsidR="00033D0F">
        <w:rPr>
          <w:spacing w:val="-6"/>
        </w:rPr>
        <w:t xml:space="preserve"> </w:t>
      </w:r>
      <w:r w:rsidR="00033D0F">
        <w:t>a</w:t>
      </w:r>
      <w:r w:rsidR="00033D0F">
        <w:rPr>
          <w:spacing w:val="-5"/>
        </w:rPr>
        <w:t xml:space="preserve"> </w:t>
      </w:r>
      <w:r w:rsidR="00033D0F">
        <w:t>"prejudicial</w:t>
      </w:r>
      <w:r w:rsidR="00033D0F">
        <w:rPr>
          <w:spacing w:val="-2"/>
        </w:rPr>
        <w:t xml:space="preserve"> </w:t>
      </w:r>
      <w:r w:rsidR="00033D0F">
        <w:t>effect"</w:t>
      </w:r>
      <w:r w:rsidR="00033D0F">
        <w:rPr>
          <w:spacing w:val="-5"/>
        </w:rPr>
        <w:t xml:space="preserve"> </w:t>
      </w:r>
      <w:r w:rsidR="00033D0F">
        <w:t>on</w:t>
      </w:r>
      <w:r w:rsidR="00033D0F">
        <w:rPr>
          <w:spacing w:val="-6"/>
        </w:rPr>
        <w:t xml:space="preserve"> </w:t>
      </w:r>
      <w:r w:rsidR="00033D0F">
        <w:t>the</w:t>
      </w:r>
      <w:r w:rsidR="00033D0F">
        <w:rPr>
          <w:spacing w:val="-5"/>
        </w:rPr>
        <w:t xml:space="preserve"> </w:t>
      </w:r>
      <w:r w:rsidR="00033D0F">
        <w:t>transparency</w:t>
      </w:r>
      <w:r w:rsidR="00033D0F">
        <w:rPr>
          <w:spacing w:val="-3"/>
        </w:rPr>
        <w:t xml:space="preserve"> </w:t>
      </w:r>
      <w:r w:rsidR="00033D0F">
        <w:t>and</w:t>
      </w:r>
      <w:r w:rsidR="00033D0F">
        <w:rPr>
          <w:spacing w:val="-6"/>
        </w:rPr>
        <w:t xml:space="preserve"> </w:t>
      </w:r>
      <w:r w:rsidR="00033D0F">
        <w:t>due</w:t>
      </w:r>
      <w:r w:rsidR="00033D0F">
        <w:rPr>
          <w:spacing w:val="-5"/>
        </w:rPr>
        <w:t xml:space="preserve"> </w:t>
      </w:r>
      <w:r w:rsidR="00033D0F">
        <w:t>process</w:t>
      </w:r>
      <w:r w:rsidR="00033D0F">
        <w:rPr>
          <w:spacing w:val="-3"/>
        </w:rPr>
        <w:t xml:space="preserve"> </w:t>
      </w:r>
      <w:r w:rsidR="00033D0F">
        <w:t>interests</w:t>
      </w:r>
      <w:r w:rsidR="00033D0F">
        <w:rPr>
          <w:spacing w:val="-3"/>
        </w:rPr>
        <w:t xml:space="preserve"> </w:t>
      </w:r>
      <w:r w:rsidR="00033D0F">
        <w:t>of</w:t>
      </w:r>
      <w:r w:rsidR="00033D0F">
        <w:rPr>
          <w:spacing w:val="-6"/>
        </w:rPr>
        <w:t xml:space="preserve"> </w:t>
      </w:r>
      <w:r w:rsidR="00033D0F">
        <w:t>interested</w:t>
      </w:r>
      <w:r w:rsidR="00033D0F">
        <w:rPr>
          <w:spacing w:val="-6"/>
        </w:rPr>
        <w:t xml:space="preserve"> </w:t>
      </w:r>
      <w:r w:rsidR="00033D0F">
        <w:t>parties. In a practical sense, MOFCOM's failure denied interested parties the opportunity to meaningfully comment on key aspects of CADA's application.</w:t>
      </w:r>
      <w:hyperlink w:anchor="_bookmark1252" w:history="1">
        <w:r w:rsidR="00033D0F">
          <w:rPr>
            <w:vertAlign w:val="superscript"/>
          </w:rPr>
          <w:t>1078</w:t>
        </w:r>
      </w:hyperlink>
    </w:p>
    <w:p w14:paraId="738856BD" w14:textId="77777777" w:rsidR="00BD462C" w:rsidRDefault="00BD462C">
      <w:pPr>
        <w:pStyle w:val="BodyText"/>
        <w:spacing w:before="11"/>
        <w:rPr>
          <w:sz w:val="8"/>
        </w:rPr>
      </w:pPr>
    </w:p>
    <w:p w14:paraId="50747E5B" w14:textId="4E815062" w:rsidR="00BD462C" w:rsidRDefault="00335703">
      <w:pPr>
        <w:pStyle w:val="BodyText"/>
        <w:spacing w:before="56" w:line="360" w:lineRule="auto"/>
        <w:ind w:left="135" w:right="914"/>
        <w:jc w:val="both"/>
      </w:pPr>
      <w:r>
        <w:rPr>
          <w:noProof/>
        </w:rPr>
        <w:t>696.</w:t>
      </w:r>
      <w:r w:rsidR="00033D0F">
        <w:rPr>
          <w:rFonts w:ascii="Times New Roman"/>
          <w:spacing w:val="80"/>
          <w:w w:val="150"/>
          <w:position w:val="1"/>
          <w:sz w:val="20"/>
        </w:rPr>
        <w:t xml:space="preserve"> </w:t>
      </w:r>
      <w:r w:rsidR="00033D0F">
        <w:rPr>
          <w:position w:val="1"/>
        </w:rPr>
        <w:t xml:space="preserve">Finally, China makes the submission that, since CADA's application included a </w:t>
      </w:r>
      <w:r w:rsidR="00033D0F">
        <w:t>statement that the information must be kept confidential and "shall not be disclosed", MOFCOM was "obligated" to respect it because of the last sentence of Article 6.5.</w:t>
      </w:r>
      <w:hyperlink w:anchor="_bookmark1253" w:history="1">
        <w:r w:rsidR="00033D0F">
          <w:rPr>
            <w:vertAlign w:val="superscript"/>
          </w:rPr>
          <w:t>1079</w:t>
        </w:r>
      </w:hyperlink>
      <w:r w:rsidR="00033D0F">
        <w:t xml:space="preserve"> As a matter</w:t>
      </w:r>
      <w:r w:rsidR="00033D0F">
        <w:rPr>
          <w:spacing w:val="-6"/>
        </w:rPr>
        <w:t xml:space="preserve"> </w:t>
      </w:r>
      <w:r w:rsidR="00033D0F">
        <w:t>of</w:t>
      </w:r>
      <w:r w:rsidR="00033D0F">
        <w:rPr>
          <w:spacing w:val="-5"/>
        </w:rPr>
        <w:t xml:space="preserve"> </w:t>
      </w:r>
      <w:r w:rsidR="00033D0F">
        <w:t>law,</w:t>
      </w:r>
      <w:r w:rsidR="00033D0F">
        <w:rPr>
          <w:spacing w:val="-1"/>
        </w:rPr>
        <w:t xml:space="preserve"> </w:t>
      </w:r>
      <w:r w:rsidR="00033D0F">
        <w:t>Australia</w:t>
      </w:r>
      <w:r w:rsidR="00033D0F">
        <w:rPr>
          <w:spacing w:val="-4"/>
        </w:rPr>
        <w:t xml:space="preserve"> </w:t>
      </w:r>
      <w:r w:rsidR="00033D0F">
        <w:t>disagrees.</w:t>
      </w:r>
      <w:r w:rsidR="00033D0F">
        <w:rPr>
          <w:spacing w:val="-2"/>
        </w:rPr>
        <w:t xml:space="preserve"> </w:t>
      </w:r>
      <w:r w:rsidR="00033D0F">
        <w:t>The</w:t>
      </w:r>
      <w:r w:rsidR="00033D0F">
        <w:rPr>
          <w:spacing w:val="-4"/>
        </w:rPr>
        <w:t xml:space="preserve"> </w:t>
      </w:r>
      <w:r w:rsidR="00033D0F">
        <w:t>last</w:t>
      </w:r>
      <w:r w:rsidR="00033D0F">
        <w:rPr>
          <w:spacing w:val="-8"/>
        </w:rPr>
        <w:t xml:space="preserve"> </w:t>
      </w:r>
      <w:r w:rsidR="00033D0F">
        <w:t>sentence</w:t>
      </w:r>
      <w:r w:rsidR="00033D0F">
        <w:rPr>
          <w:spacing w:val="-3"/>
        </w:rPr>
        <w:t xml:space="preserve"> </w:t>
      </w:r>
      <w:r w:rsidR="00033D0F">
        <w:t>is</w:t>
      </w:r>
      <w:r w:rsidR="00033D0F">
        <w:rPr>
          <w:spacing w:val="-2"/>
        </w:rPr>
        <w:t xml:space="preserve"> </w:t>
      </w:r>
      <w:r w:rsidR="00033D0F">
        <w:t>expressly</w:t>
      </w:r>
      <w:r w:rsidR="00033D0F">
        <w:rPr>
          <w:spacing w:val="-2"/>
        </w:rPr>
        <w:t xml:space="preserve"> </w:t>
      </w:r>
      <w:r w:rsidR="00033D0F">
        <w:t>stated</w:t>
      </w:r>
      <w:r w:rsidR="00033D0F">
        <w:rPr>
          <w:spacing w:val="-5"/>
        </w:rPr>
        <w:t xml:space="preserve"> </w:t>
      </w:r>
      <w:r w:rsidR="00033D0F">
        <w:t>to</w:t>
      </w:r>
      <w:r w:rsidR="00033D0F">
        <w:rPr>
          <w:spacing w:val="-6"/>
        </w:rPr>
        <w:t xml:space="preserve"> </w:t>
      </w:r>
      <w:r w:rsidR="00033D0F">
        <w:t>apply</w:t>
      </w:r>
      <w:r w:rsidR="00033D0F">
        <w:rPr>
          <w:spacing w:val="-2"/>
        </w:rPr>
        <w:t xml:space="preserve"> </w:t>
      </w:r>
      <w:r w:rsidR="00033D0F">
        <w:t>only</w:t>
      </w:r>
      <w:r w:rsidR="00033D0F">
        <w:rPr>
          <w:spacing w:val="-7"/>
        </w:rPr>
        <w:t xml:space="preserve"> </w:t>
      </w:r>
      <w:r w:rsidR="00033D0F">
        <w:t>to</w:t>
      </w:r>
      <w:r w:rsidR="00033D0F">
        <w:rPr>
          <w:spacing w:val="-6"/>
        </w:rPr>
        <w:t xml:space="preserve"> </w:t>
      </w:r>
      <w:r w:rsidR="00033D0F">
        <w:t>"such information", which is plainly a reference to information that satisfies the criteria in the first sentence of Article 6.5. In this case, as MOFCOM failed to properly determine whether the relevant</w:t>
      </w:r>
      <w:r w:rsidR="00033D0F">
        <w:rPr>
          <w:spacing w:val="80"/>
          <w:w w:val="150"/>
        </w:rPr>
        <w:t xml:space="preserve"> </w:t>
      </w:r>
      <w:r w:rsidR="00033D0F">
        <w:t>criteria</w:t>
      </w:r>
      <w:r w:rsidR="00033D0F">
        <w:rPr>
          <w:spacing w:val="80"/>
          <w:w w:val="150"/>
        </w:rPr>
        <w:t xml:space="preserve"> </w:t>
      </w:r>
      <w:r w:rsidR="00033D0F">
        <w:t>were</w:t>
      </w:r>
      <w:r w:rsidR="00033D0F">
        <w:rPr>
          <w:spacing w:val="80"/>
          <w:w w:val="150"/>
        </w:rPr>
        <w:t xml:space="preserve"> </w:t>
      </w:r>
      <w:r w:rsidR="00033D0F">
        <w:t>met,</w:t>
      </w:r>
      <w:r w:rsidR="00033D0F">
        <w:rPr>
          <w:spacing w:val="80"/>
          <w:w w:val="150"/>
        </w:rPr>
        <w:t xml:space="preserve"> </w:t>
      </w:r>
      <w:r w:rsidR="00033D0F">
        <w:t>China's</w:t>
      </w:r>
      <w:r w:rsidR="00033D0F">
        <w:rPr>
          <w:spacing w:val="80"/>
          <w:w w:val="150"/>
        </w:rPr>
        <w:t xml:space="preserve"> </w:t>
      </w:r>
      <w:r w:rsidR="00033D0F">
        <w:t>argument</w:t>
      </w:r>
      <w:r w:rsidR="00033D0F">
        <w:rPr>
          <w:spacing w:val="80"/>
          <w:w w:val="150"/>
        </w:rPr>
        <w:t xml:space="preserve"> </w:t>
      </w:r>
      <w:r w:rsidR="00033D0F">
        <w:t>is</w:t>
      </w:r>
      <w:r w:rsidR="00033D0F">
        <w:rPr>
          <w:spacing w:val="80"/>
          <w:w w:val="150"/>
        </w:rPr>
        <w:t xml:space="preserve"> </w:t>
      </w:r>
      <w:r w:rsidR="00033D0F">
        <w:t>misplaced.</w:t>
      </w:r>
      <w:r w:rsidR="00033D0F">
        <w:rPr>
          <w:spacing w:val="80"/>
          <w:w w:val="150"/>
        </w:rPr>
        <w:t xml:space="preserve"> </w:t>
      </w:r>
      <w:r w:rsidR="00033D0F">
        <w:t>In</w:t>
      </w:r>
      <w:r w:rsidR="00033D0F">
        <w:rPr>
          <w:spacing w:val="80"/>
          <w:w w:val="150"/>
        </w:rPr>
        <w:t xml:space="preserve"> </w:t>
      </w:r>
      <w:r w:rsidR="00033D0F">
        <w:t>any</w:t>
      </w:r>
      <w:r w:rsidR="00033D0F">
        <w:rPr>
          <w:spacing w:val="80"/>
          <w:w w:val="150"/>
        </w:rPr>
        <w:t xml:space="preserve"> </w:t>
      </w:r>
      <w:r w:rsidR="00033D0F">
        <w:t>event,</w:t>
      </w:r>
      <w:r w:rsidR="00033D0F">
        <w:rPr>
          <w:spacing w:val="80"/>
          <w:w w:val="150"/>
        </w:rPr>
        <w:t xml:space="preserve"> </w:t>
      </w:r>
      <w:r w:rsidR="00033D0F">
        <w:t>the</w:t>
      </w:r>
      <w:r w:rsidR="00033D0F">
        <w:rPr>
          <w:spacing w:val="80"/>
        </w:rPr>
        <w:t xml:space="preserve"> </w:t>
      </w:r>
      <w:r w:rsidR="00033D0F">
        <w:t>Anti-Dumping</w:t>
      </w:r>
      <w:r w:rsidR="00033D0F">
        <w:rPr>
          <w:spacing w:val="-1"/>
        </w:rPr>
        <w:t xml:space="preserve"> </w:t>
      </w:r>
      <w:r w:rsidR="00033D0F">
        <w:t>Agreement provides how information subject to an unwarranted confidentiality claim should be treated in Article 6.5.2.</w:t>
      </w:r>
    </w:p>
    <w:p w14:paraId="20204B71" w14:textId="77777777" w:rsidR="00BD462C" w:rsidRDefault="00033D0F">
      <w:pPr>
        <w:pStyle w:val="ListParagraph"/>
        <w:numPr>
          <w:ilvl w:val="1"/>
          <w:numId w:val="30"/>
        </w:numPr>
        <w:tabs>
          <w:tab w:val="left" w:pos="3539"/>
          <w:tab w:val="left" w:pos="3540"/>
        </w:tabs>
        <w:spacing w:before="154"/>
        <w:ind w:hanging="851"/>
        <w:jc w:val="both"/>
        <w:rPr>
          <w:sz w:val="24"/>
        </w:rPr>
      </w:pPr>
      <w:bookmarkStart w:id="1451" w:name="(c)_The_non-confidential_summary_lacked_"/>
      <w:bookmarkEnd w:id="1451"/>
      <w:r>
        <w:rPr>
          <w:sz w:val="24"/>
          <w:u w:val="single"/>
        </w:rPr>
        <w:t>The</w:t>
      </w:r>
      <w:r>
        <w:rPr>
          <w:spacing w:val="-4"/>
          <w:sz w:val="24"/>
          <w:u w:val="single"/>
        </w:rPr>
        <w:t xml:space="preserve"> </w:t>
      </w:r>
      <w:r>
        <w:rPr>
          <w:sz w:val="24"/>
          <w:u w:val="single"/>
        </w:rPr>
        <w:t>non-confidential</w:t>
      </w:r>
      <w:r>
        <w:rPr>
          <w:spacing w:val="-1"/>
          <w:sz w:val="24"/>
          <w:u w:val="single"/>
        </w:rPr>
        <w:t xml:space="preserve"> </w:t>
      </w:r>
      <w:r>
        <w:rPr>
          <w:sz w:val="24"/>
          <w:u w:val="single"/>
        </w:rPr>
        <w:t>summary</w:t>
      </w:r>
      <w:r>
        <w:rPr>
          <w:spacing w:val="-3"/>
          <w:sz w:val="24"/>
          <w:u w:val="single"/>
        </w:rPr>
        <w:t xml:space="preserve"> </w:t>
      </w:r>
      <w:r>
        <w:rPr>
          <w:sz w:val="24"/>
          <w:u w:val="single"/>
        </w:rPr>
        <w:t>lacked</w:t>
      </w:r>
      <w:r>
        <w:rPr>
          <w:spacing w:val="-5"/>
          <w:sz w:val="24"/>
          <w:u w:val="single"/>
        </w:rPr>
        <w:t xml:space="preserve"> </w:t>
      </w:r>
      <w:r>
        <w:rPr>
          <w:sz w:val="24"/>
          <w:u w:val="single"/>
        </w:rPr>
        <w:t>sufficient</w:t>
      </w:r>
      <w:r>
        <w:rPr>
          <w:spacing w:val="-3"/>
          <w:sz w:val="24"/>
          <w:u w:val="single"/>
        </w:rPr>
        <w:t xml:space="preserve"> </w:t>
      </w:r>
      <w:r>
        <w:rPr>
          <w:spacing w:val="-2"/>
          <w:sz w:val="24"/>
          <w:u w:val="single"/>
        </w:rPr>
        <w:t>detail</w:t>
      </w:r>
    </w:p>
    <w:p w14:paraId="11FAF47D" w14:textId="77777777" w:rsidR="00BD462C" w:rsidRDefault="00BD462C">
      <w:pPr>
        <w:pStyle w:val="BodyText"/>
        <w:spacing w:before="11"/>
        <w:rPr>
          <w:sz w:val="20"/>
        </w:rPr>
      </w:pPr>
    </w:p>
    <w:p w14:paraId="638208FE" w14:textId="0E39C5E8" w:rsidR="00BD462C" w:rsidRDefault="00335703">
      <w:pPr>
        <w:pStyle w:val="BodyText"/>
        <w:spacing w:before="56" w:line="355" w:lineRule="auto"/>
        <w:ind w:left="135" w:right="910"/>
      </w:pPr>
      <w:r>
        <w:rPr>
          <w:noProof/>
        </w:rPr>
        <w:t>697.</w:t>
      </w:r>
      <w:r w:rsidR="00033D0F">
        <w:rPr>
          <w:rFonts w:ascii="Times New Roman"/>
          <w:spacing w:val="80"/>
          <w:position w:val="1"/>
          <w:sz w:val="20"/>
        </w:rPr>
        <w:t xml:space="preserve">   </w:t>
      </w:r>
      <w:r w:rsidR="00033D0F">
        <w:rPr>
          <w:position w:val="1"/>
        </w:rPr>
        <w:t>In</w:t>
      </w:r>
      <w:r w:rsidR="00033D0F">
        <w:rPr>
          <w:spacing w:val="77"/>
          <w:position w:val="1"/>
        </w:rPr>
        <w:t xml:space="preserve"> </w:t>
      </w:r>
      <w:r w:rsidR="00033D0F">
        <w:rPr>
          <w:position w:val="1"/>
        </w:rPr>
        <w:t>response</w:t>
      </w:r>
      <w:r w:rsidR="00033D0F">
        <w:rPr>
          <w:spacing w:val="79"/>
          <w:position w:val="1"/>
        </w:rPr>
        <w:t xml:space="preserve"> </w:t>
      </w:r>
      <w:r w:rsidR="00033D0F">
        <w:rPr>
          <w:position w:val="1"/>
        </w:rPr>
        <w:t>to</w:t>
      </w:r>
      <w:r w:rsidR="00033D0F">
        <w:rPr>
          <w:spacing w:val="80"/>
          <w:position w:val="1"/>
        </w:rPr>
        <w:t xml:space="preserve"> </w:t>
      </w:r>
      <w:r w:rsidR="00033D0F">
        <w:rPr>
          <w:position w:val="1"/>
        </w:rPr>
        <w:t>Australia's</w:t>
      </w:r>
      <w:r w:rsidR="00033D0F">
        <w:rPr>
          <w:spacing w:val="80"/>
          <w:position w:val="1"/>
        </w:rPr>
        <w:t xml:space="preserve"> </w:t>
      </w:r>
      <w:r w:rsidR="00033D0F">
        <w:rPr>
          <w:position w:val="1"/>
        </w:rPr>
        <w:t>submissions</w:t>
      </w:r>
      <w:r w:rsidR="00033D0F">
        <w:rPr>
          <w:spacing w:val="80"/>
          <w:position w:val="1"/>
        </w:rPr>
        <w:t xml:space="preserve"> </w:t>
      </w:r>
      <w:r w:rsidR="00033D0F">
        <w:rPr>
          <w:position w:val="1"/>
        </w:rPr>
        <w:t>about</w:t>
      </w:r>
      <w:r w:rsidR="00033D0F">
        <w:rPr>
          <w:spacing w:val="80"/>
          <w:position w:val="1"/>
        </w:rPr>
        <w:t xml:space="preserve"> </w:t>
      </w:r>
      <w:r w:rsidR="00033D0F">
        <w:rPr>
          <w:position w:val="1"/>
        </w:rPr>
        <w:t>the</w:t>
      </w:r>
      <w:r w:rsidR="00033D0F">
        <w:rPr>
          <w:spacing w:val="79"/>
          <w:position w:val="1"/>
        </w:rPr>
        <w:t xml:space="preserve"> </w:t>
      </w:r>
      <w:r w:rsidR="00033D0F">
        <w:rPr>
          <w:position w:val="1"/>
        </w:rPr>
        <w:t>inadequacy</w:t>
      </w:r>
      <w:r w:rsidR="00033D0F">
        <w:rPr>
          <w:spacing w:val="80"/>
          <w:position w:val="1"/>
        </w:rPr>
        <w:t xml:space="preserve"> </w:t>
      </w:r>
      <w:r w:rsidR="00033D0F">
        <w:rPr>
          <w:position w:val="1"/>
        </w:rPr>
        <w:t>of</w:t>
      </w:r>
      <w:r w:rsidR="00033D0F">
        <w:rPr>
          <w:spacing w:val="77"/>
          <w:position w:val="1"/>
        </w:rPr>
        <w:t xml:space="preserve"> </w:t>
      </w:r>
      <w:r w:rsidR="00033D0F">
        <w:rPr>
          <w:position w:val="1"/>
        </w:rPr>
        <w:t>CADA's</w:t>
      </w:r>
      <w:r w:rsidR="00033D0F">
        <w:rPr>
          <w:spacing w:val="80"/>
          <w:position w:val="1"/>
        </w:rPr>
        <w:t xml:space="preserve"> </w:t>
      </w:r>
      <w:r w:rsidR="00033D0F">
        <w:rPr>
          <w:position w:val="1"/>
        </w:rPr>
        <w:t xml:space="preserve">non- </w:t>
      </w:r>
      <w:r w:rsidR="00033D0F">
        <w:t>confidential</w:t>
      </w:r>
      <w:r w:rsidR="00033D0F">
        <w:rPr>
          <w:spacing w:val="64"/>
        </w:rPr>
        <w:t xml:space="preserve"> </w:t>
      </w:r>
      <w:r w:rsidR="00033D0F">
        <w:t>summary,</w:t>
      </w:r>
      <w:r w:rsidR="00033D0F">
        <w:rPr>
          <w:spacing w:val="60"/>
        </w:rPr>
        <w:t xml:space="preserve"> </w:t>
      </w:r>
      <w:r w:rsidR="00033D0F">
        <w:t>China</w:t>
      </w:r>
      <w:r w:rsidR="00033D0F">
        <w:rPr>
          <w:spacing w:val="61"/>
        </w:rPr>
        <w:t xml:space="preserve"> </w:t>
      </w:r>
      <w:r w:rsidR="00033D0F">
        <w:t>once</w:t>
      </w:r>
      <w:r w:rsidR="00033D0F">
        <w:rPr>
          <w:spacing w:val="63"/>
        </w:rPr>
        <w:t xml:space="preserve"> </w:t>
      </w:r>
      <w:r w:rsidR="00033D0F">
        <w:t>again</w:t>
      </w:r>
      <w:r w:rsidR="00033D0F">
        <w:rPr>
          <w:spacing w:val="60"/>
        </w:rPr>
        <w:t xml:space="preserve"> </w:t>
      </w:r>
      <w:r w:rsidR="00033D0F">
        <w:t>unfairly</w:t>
      </w:r>
      <w:r w:rsidR="00033D0F">
        <w:rPr>
          <w:spacing w:val="64"/>
        </w:rPr>
        <w:t xml:space="preserve"> </w:t>
      </w:r>
      <w:r w:rsidR="00033D0F">
        <w:t>misconstrues</w:t>
      </w:r>
      <w:r w:rsidR="00033D0F">
        <w:rPr>
          <w:spacing w:val="63"/>
        </w:rPr>
        <w:t xml:space="preserve"> </w:t>
      </w:r>
      <w:r w:rsidR="00033D0F">
        <w:t>the</w:t>
      </w:r>
      <w:r w:rsidR="00033D0F">
        <w:rPr>
          <w:spacing w:val="62"/>
        </w:rPr>
        <w:t xml:space="preserve"> </w:t>
      </w:r>
      <w:r w:rsidR="00033D0F">
        <w:t>arguments</w:t>
      </w:r>
      <w:r w:rsidR="00033D0F">
        <w:rPr>
          <w:spacing w:val="63"/>
        </w:rPr>
        <w:t xml:space="preserve"> </w:t>
      </w:r>
      <w:r w:rsidR="00033D0F">
        <w:t>made</w:t>
      </w:r>
      <w:r w:rsidR="00033D0F">
        <w:rPr>
          <w:spacing w:val="62"/>
        </w:rPr>
        <w:t xml:space="preserve"> </w:t>
      </w:r>
      <w:r w:rsidR="00033D0F">
        <w:rPr>
          <w:spacing w:val="-5"/>
        </w:rPr>
        <w:t>by</w:t>
      </w:r>
    </w:p>
    <w:p w14:paraId="0E9FF136" w14:textId="77777777" w:rsidR="00BD462C" w:rsidRDefault="00BD462C">
      <w:pPr>
        <w:pStyle w:val="BodyText"/>
        <w:rPr>
          <w:sz w:val="20"/>
        </w:rPr>
      </w:pPr>
    </w:p>
    <w:p w14:paraId="28F55E8A" w14:textId="77777777" w:rsidR="00BD462C" w:rsidRDefault="00BD462C">
      <w:pPr>
        <w:pStyle w:val="BodyText"/>
        <w:rPr>
          <w:sz w:val="20"/>
        </w:rPr>
      </w:pPr>
    </w:p>
    <w:p w14:paraId="68389744" w14:textId="77777777" w:rsidR="00BD462C" w:rsidRDefault="00BD462C">
      <w:pPr>
        <w:pStyle w:val="BodyText"/>
        <w:rPr>
          <w:sz w:val="20"/>
        </w:rPr>
      </w:pPr>
    </w:p>
    <w:p w14:paraId="5E100250" w14:textId="5AB9D5F8" w:rsidR="00BD462C" w:rsidRDefault="006E6DEA">
      <w:pPr>
        <w:pStyle w:val="BodyText"/>
        <w:rPr>
          <w:sz w:val="20"/>
        </w:rPr>
      </w:pPr>
      <w:r>
        <w:rPr>
          <w:noProof/>
        </w:rPr>
        <mc:AlternateContent>
          <mc:Choice Requires="wps">
            <w:drawing>
              <wp:anchor distT="0" distB="0" distL="0" distR="0" simplePos="0" relativeHeight="488141312" behindDoc="1" locked="0" layoutInCell="1" allowOverlap="1" wp14:anchorId="5CFD91D0" wp14:editId="265261F0">
                <wp:simplePos x="0" y="0"/>
                <wp:positionH relativeFrom="page">
                  <wp:posOffset>812800</wp:posOffset>
                </wp:positionH>
                <wp:positionV relativeFrom="paragraph">
                  <wp:posOffset>255905</wp:posOffset>
                </wp:positionV>
                <wp:extent cx="1828800" cy="8890"/>
                <wp:effectExtent l="0" t="0" r="0" b="0"/>
                <wp:wrapTopAndBottom/>
                <wp:docPr id="113" name="docshape7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C3E6AA" id="docshape705" o:spid="_x0000_s1026" alt="&quot;&quot;" style="position:absolute;margin-left:64pt;margin-top:20.15pt;width:2in;height:.7pt;z-index:-1517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" fillcolor="black" stroked="f">
                <w10:wrap type="topAndBottom" anchorx="page"/>
              </v:rect>
            </w:pict>
          </mc:Fallback>
        </mc:AlternateContent>
      </w:r>
    </w:p>
    <w:p w14:paraId="2735A582" w14:textId="0C84B8FF" w:rsidR="00BD462C" w:rsidRDefault="00BD462C">
      <w:pPr>
        <w:pStyle w:val="BodyText"/>
        <w:spacing w:before="10"/>
        <w:rPr>
          <w:sz w:val="12"/>
        </w:rPr>
      </w:pPr>
    </w:p>
    <w:p w14:paraId="501B3C06" w14:textId="77777777" w:rsidR="00BD462C" w:rsidRDefault="00033D0F">
      <w:pPr>
        <w:spacing w:before="107"/>
        <w:ind w:left="135"/>
        <w:rPr>
          <w:sz w:val="18"/>
        </w:rPr>
      </w:pPr>
      <w:bookmarkStart w:id="1452" w:name="_bookmark1250"/>
      <w:bookmarkEnd w:id="1452"/>
      <w:r>
        <w:rPr>
          <w:position w:val="5"/>
          <w:sz w:val="12"/>
        </w:rPr>
        <w:t>1076</w:t>
      </w:r>
      <w:r>
        <w:rPr>
          <w:spacing w:val="13"/>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para.</w:t>
      </w:r>
      <w:r>
        <w:rPr>
          <w:spacing w:val="1"/>
          <w:sz w:val="18"/>
        </w:rPr>
        <w:t xml:space="preserve"> </w:t>
      </w:r>
      <w:r>
        <w:rPr>
          <w:spacing w:val="-2"/>
          <w:sz w:val="18"/>
        </w:rPr>
        <w:t>2293.</w:t>
      </w:r>
    </w:p>
    <w:p w14:paraId="3FDA9D2D" w14:textId="77777777" w:rsidR="00BD462C" w:rsidRDefault="00033D0F">
      <w:pPr>
        <w:spacing w:before="1"/>
        <w:ind w:left="135" w:right="597"/>
        <w:rPr>
          <w:sz w:val="18"/>
        </w:rPr>
      </w:pPr>
      <w:bookmarkStart w:id="1453" w:name="_bookmark1251"/>
      <w:bookmarkEnd w:id="1453"/>
      <w:r>
        <w:rPr>
          <w:position w:val="5"/>
          <w:sz w:val="12"/>
        </w:rPr>
        <w:t>1077</w:t>
      </w:r>
      <w:r>
        <w:rPr>
          <w:spacing w:val="9"/>
          <w:position w:val="5"/>
          <w:sz w:val="12"/>
        </w:rPr>
        <w:t xml:space="preserve"> </w:t>
      </w:r>
      <w:r>
        <w:rPr>
          <w:sz w:val="18"/>
        </w:rPr>
        <w:t>Australia's</w:t>
      </w:r>
      <w:r>
        <w:rPr>
          <w:spacing w:val="-11"/>
          <w:sz w:val="18"/>
        </w:rPr>
        <w:t xml:space="preserve"> </w:t>
      </w:r>
      <w:r>
        <w:rPr>
          <w:sz w:val="18"/>
        </w:rPr>
        <w:t>first</w:t>
      </w:r>
      <w:r>
        <w:rPr>
          <w:spacing w:val="-10"/>
          <w:sz w:val="18"/>
        </w:rPr>
        <w:t xml:space="preserve"> </w:t>
      </w:r>
      <w:r>
        <w:rPr>
          <w:sz w:val="18"/>
        </w:rPr>
        <w:t>written</w:t>
      </w:r>
      <w:r>
        <w:rPr>
          <w:spacing w:val="-11"/>
          <w:sz w:val="18"/>
        </w:rPr>
        <w:t xml:space="preserve"> </w:t>
      </w:r>
      <w:r>
        <w:rPr>
          <w:sz w:val="18"/>
        </w:rPr>
        <w:t>submission,</w:t>
      </w:r>
      <w:r>
        <w:rPr>
          <w:spacing w:val="-9"/>
          <w:sz w:val="18"/>
        </w:rPr>
        <w:t xml:space="preserve"> </w:t>
      </w:r>
      <w:r>
        <w:rPr>
          <w:sz w:val="18"/>
        </w:rPr>
        <w:t>para.</w:t>
      </w:r>
      <w:r>
        <w:rPr>
          <w:spacing w:val="-5"/>
          <w:sz w:val="18"/>
        </w:rPr>
        <w:t xml:space="preserve"> </w:t>
      </w:r>
      <w:r>
        <w:rPr>
          <w:sz w:val="18"/>
        </w:rPr>
        <w:t>853.</w:t>
      </w:r>
      <w:r>
        <w:rPr>
          <w:spacing w:val="-5"/>
          <w:sz w:val="18"/>
        </w:rPr>
        <w:t xml:space="preserve"> </w:t>
      </w:r>
      <w:r>
        <w:rPr>
          <w:sz w:val="18"/>
        </w:rPr>
        <w:t>Australia</w:t>
      </w:r>
      <w:r>
        <w:rPr>
          <w:spacing w:val="-7"/>
          <w:sz w:val="18"/>
        </w:rPr>
        <w:t xml:space="preserve"> </w:t>
      </w:r>
      <w:r>
        <w:rPr>
          <w:sz w:val="18"/>
        </w:rPr>
        <w:t>referred</w:t>
      </w:r>
      <w:r>
        <w:rPr>
          <w:spacing w:val="-11"/>
          <w:sz w:val="18"/>
        </w:rPr>
        <w:t xml:space="preserve"> </w:t>
      </w:r>
      <w:r>
        <w:rPr>
          <w:sz w:val="18"/>
        </w:rPr>
        <w:t>to</w:t>
      </w:r>
      <w:r>
        <w:rPr>
          <w:spacing w:val="-12"/>
          <w:sz w:val="18"/>
        </w:rPr>
        <w:t xml:space="preserve"> </w:t>
      </w:r>
      <w:r>
        <w:rPr>
          <w:sz w:val="18"/>
        </w:rPr>
        <w:t>the</w:t>
      </w:r>
      <w:r>
        <w:rPr>
          <w:spacing w:val="-11"/>
          <w:sz w:val="18"/>
        </w:rPr>
        <w:t xml:space="preserve"> </w:t>
      </w:r>
      <w:r>
        <w:rPr>
          <w:sz w:val="18"/>
        </w:rPr>
        <w:t>balance</w:t>
      </w:r>
      <w:r>
        <w:rPr>
          <w:spacing w:val="-6"/>
          <w:sz w:val="18"/>
        </w:rPr>
        <w:t xml:space="preserve"> </w:t>
      </w:r>
      <w:r>
        <w:rPr>
          <w:sz w:val="18"/>
        </w:rPr>
        <w:t>described</w:t>
      </w:r>
      <w:r>
        <w:rPr>
          <w:spacing w:val="-11"/>
          <w:sz w:val="18"/>
        </w:rPr>
        <w:t xml:space="preserve"> </w:t>
      </w:r>
      <w:r>
        <w:rPr>
          <w:sz w:val="18"/>
        </w:rPr>
        <w:t>by</w:t>
      </w:r>
      <w:r>
        <w:rPr>
          <w:spacing w:val="-8"/>
          <w:sz w:val="18"/>
        </w:rPr>
        <w:t xml:space="preserve"> </w:t>
      </w:r>
      <w:r>
        <w:rPr>
          <w:sz w:val="18"/>
        </w:rPr>
        <w:t>the</w:t>
      </w:r>
      <w:r>
        <w:rPr>
          <w:spacing w:val="-11"/>
          <w:sz w:val="18"/>
        </w:rPr>
        <w:t xml:space="preserve"> </w:t>
      </w:r>
      <w:r>
        <w:rPr>
          <w:sz w:val="18"/>
        </w:rPr>
        <w:t>Appellate</w:t>
      </w:r>
      <w:r>
        <w:rPr>
          <w:spacing w:val="-11"/>
          <w:sz w:val="18"/>
        </w:rPr>
        <w:t xml:space="preserve"> </w:t>
      </w:r>
      <w:r>
        <w:rPr>
          <w:sz w:val="18"/>
        </w:rPr>
        <w:t>Body</w:t>
      </w:r>
      <w:r>
        <w:rPr>
          <w:spacing w:val="-11"/>
          <w:sz w:val="18"/>
        </w:rPr>
        <w:t xml:space="preserve"> </w:t>
      </w:r>
      <w:r>
        <w:rPr>
          <w:sz w:val="18"/>
        </w:rPr>
        <w:t xml:space="preserve">Appellate Body Report, </w:t>
      </w:r>
      <w:r>
        <w:rPr>
          <w:i/>
          <w:sz w:val="18"/>
        </w:rPr>
        <w:t xml:space="preserve">EC – Fasteners (China), </w:t>
      </w:r>
      <w:r>
        <w:rPr>
          <w:sz w:val="18"/>
        </w:rPr>
        <w:t>para. 538.</w:t>
      </w:r>
    </w:p>
    <w:p w14:paraId="40CCAFDF" w14:textId="77777777" w:rsidR="00BD462C" w:rsidRDefault="00033D0F">
      <w:pPr>
        <w:spacing w:before="2"/>
        <w:ind w:left="135"/>
        <w:rPr>
          <w:sz w:val="18"/>
        </w:rPr>
      </w:pPr>
      <w:bookmarkStart w:id="1454" w:name="_bookmark1252"/>
      <w:bookmarkEnd w:id="1454"/>
      <w:r>
        <w:rPr>
          <w:position w:val="5"/>
          <w:sz w:val="12"/>
        </w:rPr>
        <w:t>1078</w:t>
      </w:r>
      <w:r>
        <w:rPr>
          <w:spacing w:val="13"/>
          <w:position w:val="5"/>
          <w:sz w:val="12"/>
        </w:rPr>
        <w:t xml:space="preserve"> </w:t>
      </w:r>
      <w:r>
        <w:rPr>
          <w:sz w:val="18"/>
        </w:rPr>
        <w:t>See</w:t>
      </w:r>
      <w:r>
        <w:rPr>
          <w:spacing w:val="-6"/>
          <w:sz w:val="18"/>
        </w:rPr>
        <w:t xml:space="preserve"> </w:t>
      </w:r>
      <w:r>
        <w:rPr>
          <w:sz w:val="18"/>
        </w:rPr>
        <w:t>those</w:t>
      </w:r>
      <w:r>
        <w:rPr>
          <w:spacing w:val="-5"/>
          <w:sz w:val="18"/>
        </w:rPr>
        <w:t xml:space="preserve"> </w:t>
      </w:r>
      <w:r>
        <w:rPr>
          <w:sz w:val="18"/>
        </w:rPr>
        <w:t>matters</w:t>
      </w:r>
      <w:r>
        <w:rPr>
          <w:spacing w:val="-5"/>
          <w:sz w:val="18"/>
        </w:rPr>
        <w:t xml:space="preserve"> </w:t>
      </w:r>
      <w:r>
        <w:rPr>
          <w:sz w:val="18"/>
        </w:rPr>
        <w:t>identified</w:t>
      </w:r>
      <w:r>
        <w:rPr>
          <w:spacing w:val="-2"/>
          <w:sz w:val="18"/>
        </w:rPr>
        <w:t xml:space="preserve"> </w:t>
      </w:r>
      <w:r>
        <w:rPr>
          <w:sz w:val="18"/>
        </w:rPr>
        <w:t>in</w:t>
      </w:r>
      <w:r>
        <w:rPr>
          <w:spacing w:val="-7"/>
          <w:sz w:val="18"/>
        </w:rPr>
        <w:t xml:space="preserve"> </w:t>
      </w:r>
      <w:r>
        <w:rPr>
          <w:sz w:val="18"/>
        </w:rPr>
        <w:t>Australia's</w:t>
      </w:r>
      <w:r>
        <w:rPr>
          <w:spacing w:val="-5"/>
          <w:sz w:val="18"/>
        </w:rPr>
        <w:t xml:space="preserve"> </w:t>
      </w:r>
      <w:r>
        <w:rPr>
          <w:sz w:val="18"/>
        </w:rPr>
        <w:t>first</w:t>
      </w:r>
      <w:r>
        <w:rPr>
          <w:spacing w:val="-1"/>
          <w:sz w:val="18"/>
        </w:rPr>
        <w:t xml:space="preserve"> </w:t>
      </w:r>
      <w:r>
        <w:rPr>
          <w:sz w:val="18"/>
        </w:rPr>
        <w:t>written</w:t>
      </w:r>
      <w:r>
        <w:rPr>
          <w:spacing w:val="-6"/>
          <w:sz w:val="18"/>
        </w:rPr>
        <w:t xml:space="preserve"> </w:t>
      </w:r>
      <w:r>
        <w:rPr>
          <w:sz w:val="18"/>
        </w:rPr>
        <w:t>submission,</w:t>
      </w:r>
      <w:r>
        <w:rPr>
          <w:spacing w:val="-4"/>
          <w:sz w:val="18"/>
        </w:rPr>
        <w:t xml:space="preserve"> </w:t>
      </w:r>
      <w:r>
        <w:rPr>
          <w:sz w:val="18"/>
        </w:rPr>
        <w:t>paras.</w:t>
      </w:r>
      <w:r>
        <w:rPr>
          <w:spacing w:val="1"/>
          <w:sz w:val="18"/>
        </w:rPr>
        <w:t xml:space="preserve"> </w:t>
      </w:r>
      <w:r>
        <w:rPr>
          <w:sz w:val="18"/>
        </w:rPr>
        <w:t>857-</w:t>
      </w:r>
      <w:r>
        <w:rPr>
          <w:spacing w:val="-4"/>
          <w:sz w:val="18"/>
        </w:rPr>
        <w:t>858.</w:t>
      </w:r>
    </w:p>
    <w:p w14:paraId="0783E6C4" w14:textId="77777777" w:rsidR="00BD462C" w:rsidRDefault="00033D0F">
      <w:pPr>
        <w:spacing w:before="1"/>
        <w:ind w:left="135"/>
        <w:rPr>
          <w:sz w:val="18"/>
        </w:rPr>
      </w:pPr>
      <w:bookmarkStart w:id="1455" w:name="_bookmark1253"/>
      <w:bookmarkEnd w:id="1455"/>
      <w:r>
        <w:rPr>
          <w:position w:val="5"/>
          <w:sz w:val="12"/>
        </w:rPr>
        <w:t>1079</w:t>
      </w:r>
      <w:r>
        <w:rPr>
          <w:spacing w:val="13"/>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 xml:space="preserve">para. </w:t>
      </w:r>
      <w:r>
        <w:rPr>
          <w:spacing w:val="-2"/>
          <w:sz w:val="18"/>
        </w:rPr>
        <w:t>2295.</w:t>
      </w:r>
    </w:p>
    <w:p w14:paraId="6A389E21" w14:textId="77777777" w:rsidR="00BD462C" w:rsidRDefault="00BD462C">
      <w:pPr>
        <w:rPr>
          <w:sz w:val="18"/>
        </w:rPr>
        <w:sectPr w:rsidR="00BD462C">
          <w:pgSz w:w="11910" w:h="16840"/>
          <w:pgMar w:top="860" w:right="500" w:bottom="780" w:left="1280" w:header="566" w:footer="590" w:gutter="0"/>
          <w:cols w:space="720"/>
        </w:sectPr>
      </w:pPr>
    </w:p>
    <w:p w14:paraId="19174948"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2D631B36"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4E17A81B"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7C98E434" w14:textId="77777777" w:rsidR="00BD462C" w:rsidRDefault="00033D0F">
      <w:pPr>
        <w:pStyle w:val="BodyText"/>
        <w:spacing w:before="102" w:line="357" w:lineRule="auto"/>
        <w:ind w:left="136" w:right="923"/>
      </w:pPr>
      <w:r>
        <w:t>Australia</w:t>
      </w:r>
      <w:r>
        <w:rPr>
          <w:spacing w:val="-9"/>
        </w:rPr>
        <w:t xml:space="preserve"> </w:t>
      </w:r>
      <w:r>
        <w:t>in</w:t>
      </w:r>
      <w:r>
        <w:rPr>
          <w:spacing w:val="-10"/>
        </w:rPr>
        <w:t xml:space="preserve"> </w:t>
      </w:r>
      <w:r>
        <w:t>its</w:t>
      </w:r>
      <w:r>
        <w:rPr>
          <w:spacing w:val="-7"/>
        </w:rPr>
        <w:t xml:space="preserve"> </w:t>
      </w:r>
      <w:r>
        <w:t>first</w:t>
      </w:r>
      <w:r>
        <w:rPr>
          <w:spacing w:val="-8"/>
        </w:rPr>
        <w:t xml:space="preserve"> </w:t>
      </w:r>
      <w:r>
        <w:t>written</w:t>
      </w:r>
      <w:r>
        <w:rPr>
          <w:spacing w:val="-10"/>
        </w:rPr>
        <w:t xml:space="preserve"> </w:t>
      </w:r>
      <w:r>
        <w:t>submission.</w:t>
      </w:r>
      <w:r>
        <w:rPr>
          <w:spacing w:val="-7"/>
        </w:rPr>
        <w:t xml:space="preserve"> </w:t>
      </w:r>
      <w:r>
        <w:t>Inexplicably,</w:t>
      </w:r>
      <w:r>
        <w:rPr>
          <w:spacing w:val="-6"/>
        </w:rPr>
        <w:t xml:space="preserve"> </w:t>
      </w:r>
      <w:r>
        <w:t>China's</w:t>
      </w:r>
      <w:r>
        <w:rPr>
          <w:spacing w:val="-7"/>
        </w:rPr>
        <w:t xml:space="preserve"> </w:t>
      </w:r>
      <w:r>
        <w:t>submissions</w:t>
      </w:r>
      <w:r>
        <w:rPr>
          <w:spacing w:val="-7"/>
        </w:rPr>
        <w:t xml:space="preserve"> </w:t>
      </w:r>
      <w:r>
        <w:t>appear</w:t>
      </w:r>
      <w:r>
        <w:rPr>
          <w:spacing w:val="-11"/>
        </w:rPr>
        <w:t xml:space="preserve"> </w:t>
      </w:r>
      <w:r>
        <w:t>to</w:t>
      </w:r>
      <w:r>
        <w:rPr>
          <w:spacing w:val="-6"/>
        </w:rPr>
        <w:t xml:space="preserve"> </w:t>
      </w:r>
      <w:r>
        <w:t>be</w:t>
      </w:r>
      <w:r>
        <w:rPr>
          <w:spacing w:val="-4"/>
        </w:rPr>
        <w:t xml:space="preserve"> </w:t>
      </w:r>
      <w:r>
        <w:t>framed on the premise that Australia alleged that there was "no summary" provided by CADA.</w:t>
      </w:r>
      <w:hyperlink w:anchor="_bookmark1254" w:history="1">
        <w:r>
          <w:rPr>
            <w:vertAlign w:val="superscript"/>
          </w:rPr>
          <w:t>1080</w:t>
        </w:r>
      </w:hyperlink>
    </w:p>
    <w:p w14:paraId="10779B46" w14:textId="77777777" w:rsidR="00BD462C" w:rsidRDefault="00BD462C">
      <w:pPr>
        <w:pStyle w:val="BodyText"/>
        <w:spacing w:before="3"/>
        <w:rPr>
          <w:sz w:val="9"/>
        </w:rPr>
      </w:pPr>
    </w:p>
    <w:p w14:paraId="578C93FC" w14:textId="7A9EBCA7" w:rsidR="00BD462C" w:rsidRDefault="00335703">
      <w:pPr>
        <w:pStyle w:val="BodyText"/>
        <w:spacing w:before="56" w:line="360" w:lineRule="auto"/>
        <w:ind w:left="136" w:right="910"/>
        <w:jc w:val="both"/>
      </w:pPr>
      <w:r>
        <w:rPr>
          <w:noProof/>
        </w:rPr>
        <w:t>698.</w:t>
      </w:r>
      <w:r w:rsidR="00033D0F">
        <w:rPr>
          <w:rFonts w:ascii="Times New Roman"/>
          <w:spacing w:val="80"/>
          <w:position w:val="1"/>
          <w:sz w:val="20"/>
        </w:rPr>
        <w:t xml:space="preserve">   </w:t>
      </w:r>
      <w:r w:rsidR="00033D0F">
        <w:rPr>
          <w:position w:val="1"/>
        </w:rPr>
        <w:t>Australia did not allege that no non-confidential summary was provided. As set out</w:t>
      </w:r>
      <w:r w:rsidR="00033D0F">
        <w:rPr>
          <w:spacing w:val="40"/>
          <w:position w:val="1"/>
        </w:rPr>
        <w:t xml:space="preserve"> </w:t>
      </w:r>
      <w:r w:rsidR="00033D0F">
        <w:t>in its first written submission, Australia's argument is that CADA's non-confidential summary contained no summary of the "information that was key to the initiation of the investigation".</w:t>
      </w:r>
      <w:hyperlink w:anchor="_bookmark1255" w:history="1">
        <w:r w:rsidR="00033D0F">
          <w:rPr>
            <w:vertAlign w:val="superscript"/>
          </w:rPr>
          <w:t>1081</w:t>
        </w:r>
      </w:hyperlink>
      <w:r w:rsidR="00033D0F">
        <w:t xml:space="preserve"> As Australia set out, the information subject to the confidentiality claim went directly to CADA's standing to bring an application on behalf of domestic industry in accordance</w:t>
      </w:r>
      <w:r w:rsidR="00033D0F">
        <w:rPr>
          <w:spacing w:val="-14"/>
        </w:rPr>
        <w:t xml:space="preserve"> </w:t>
      </w:r>
      <w:r w:rsidR="00033D0F">
        <w:t>with</w:t>
      </w:r>
      <w:r w:rsidR="00033D0F">
        <w:rPr>
          <w:spacing w:val="-14"/>
        </w:rPr>
        <w:t xml:space="preserve"> </w:t>
      </w:r>
      <w:r w:rsidR="00033D0F">
        <w:t>Article</w:t>
      </w:r>
      <w:r w:rsidR="00033D0F">
        <w:rPr>
          <w:spacing w:val="-13"/>
        </w:rPr>
        <w:t xml:space="preserve"> </w:t>
      </w:r>
      <w:r w:rsidR="00033D0F">
        <w:t>5.4</w:t>
      </w:r>
      <w:r w:rsidR="00033D0F">
        <w:rPr>
          <w:spacing w:val="-14"/>
        </w:rPr>
        <w:t xml:space="preserve"> </w:t>
      </w:r>
      <w:r w:rsidR="00033D0F">
        <w:t>of</w:t>
      </w:r>
      <w:r w:rsidR="00033D0F">
        <w:rPr>
          <w:spacing w:val="-13"/>
        </w:rPr>
        <w:t xml:space="preserve"> </w:t>
      </w:r>
      <w:r w:rsidR="00033D0F">
        <w:t>the</w:t>
      </w:r>
      <w:r w:rsidR="00033D0F">
        <w:rPr>
          <w:spacing w:val="-14"/>
        </w:rPr>
        <w:t xml:space="preserve"> </w:t>
      </w:r>
      <w:r w:rsidR="00033D0F">
        <w:t>Anti-Dumping</w:t>
      </w:r>
      <w:r w:rsidR="00033D0F">
        <w:rPr>
          <w:spacing w:val="-13"/>
        </w:rPr>
        <w:t xml:space="preserve"> </w:t>
      </w:r>
      <w:r w:rsidR="00033D0F">
        <w:t>Agreement.</w:t>
      </w:r>
      <w:r w:rsidR="00033D0F">
        <w:rPr>
          <w:spacing w:val="-12"/>
        </w:rPr>
        <w:t xml:space="preserve"> </w:t>
      </w:r>
      <w:r w:rsidR="00033D0F">
        <w:t>Disclosure</w:t>
      </w:r>
      <w:r w:rsidR="00033D0F">
        <w:rPr>
          <w:spacing w:val="-13"/>
        </w:rPr>
        <w:t xml:space="preserve"> </w:t>
      </w:r>
      <w:r w:rsidR="00033D0F">
        <w:t>of</w:t>
      </w:r>
      <w:r w:rsidR="00033D0F">
        <w:rPr>
          <w:spacing w:val="-14"/>
        </w:rPr>
        <w:t xml:space="preserve"> </w:t>
      </w:r>
      <w:r w:rsidR="00033D0F">
        <w:t>the</w:t>
      </w:r>
      <w:r w:rsidR="00033D0F">
        <w:rPr>
          <w:spacing w:val="-13"/>
        </w:rPr>
        <w:t xml:space="preserve"> </w:t>
      </w:r>
      <w:r w:rsidR="00033D0F">
        <w:t>key</w:t>
      </w:r>
      <w:r w:rsidR="00033D0F">
        <w:rPr>
          <w:spacing w:val="-12"/>
        </w:rPr>
        <w:t xml:space="preserve"> </w:t>
      </w:r>
      <w:r w:rsidR="00033D0F">
        <w:t>information relevant</w:t>
      </w:r>
      <w:r w:rsidR="00033D0F">
        <w:rPr>
          <w:spacing w:val="-2"/>
        </w:rPr>
        <w:t xml:space="preserve"> </w:t>
      </w:r>
      <w:r w:rsidR="00033D0F">
        <w:t>to</w:t>
      </w:r>
      <w:r w:rsidR="00033D0F">
        <w:rPr>
          <w:spacing w:val="-5"/>
        </w:rPr>
        <w:t xml:space="preserve"> </w:t>
      </w:r>
      <w:r w:rsidR="00033D0F">
        <w:t>the</w:t>
      </w:r>
      <w:r w:rsidR="00033D0F">
        <w:rPr>
          <w:spacing w:val="-3"/>
        </w:rPr>
        <w:t xml:space="preserve"> </w:t>
      </w:r>
      <w:r w:rsidR="00033D0F">
        <w:t>assessment</w:t>
      </w:r>
      <w:r w:rsidR="00033D0F">
        <w:rPr>
          <w:spacing w:val="-2"/>
        </w:rPr>
        <w:t xml:space="preserve"> </w:t>
      </w:r>
      <w:r w:rsidR="00033D0F">
        <w:t>of</w:t>
      </w:r>
      <w:r w:rsidR="00033D0F">
        <w:rPr>
          <w:spacing w:val="-4"/>
        </w:rPr>
        <w:t xml:space="preserve"> </w:t>
      </w:r>
      <w:r w:rsidR="00033D0F">
        <w:t>standing</w:t>
      </w:r>
      <w:r w:rsidR="00033D0F">
        <w:rPr>
          <w:spacing w:val="-6"/>
        </w:rPr>
        <w:t xml:space="preserve"> </w:t>
      </w:r>
      <w:r w:rsidR="00033D0F">
        <w:t>should</w:t>
      </w:r>
      <w:r w:rsidR="00033D0F">
        <w:rPr>
          <w:spacing w:val="-4"/>
        </w:rPr>
        <w:t xml:space="preserve"> </w:t>
      </w:r>
      <w:r w:rsidR="00033D0F">
        <w:t>have</w:t>
      </w:r>
      <w:r w:rsidR="00033D0F">
        <w:rPr>
          <w:spacing w:val="-2"/>
        </w:rPr>
        <w:t xml:space="preserve"> </w:t>
      </w:r>
      <w:r w:rsidR="00033D0F">
        <w:t>been</w:t>
      </w:r>
      <w:r w:rsidR="00033D0F">
        <w:rPr>
          <w:spacing w:val="-4"/>
        </w:rPr>
        <w:t xml:space="preserve"> </w:t>
      </w:r>
      <w:r w:rsidR="00033D0F">
        <w:t>disclosed,</w:t>
      </w:r>
      <w:r w:rsidR="00033D0F">
        <w:rPr>
          <w:spacing w:val="-5"/>
        </w:rPr>
        <w:t xml:space="preserve"> </w:t>
      </w:r>
      <w:r w:rsidR="00033D0F">
        <w:t>in</w:t>
      </w:r>
      <w:r w:rsidR="00033D0F">
        <w:rPr>
          <w:spacing w:val="-4"/>
        </w:rPr>
        <w:t xml:space="preserve"> </w:t>
      </w:r>
      <w:r w:rsidR="00033D0F">
        <w:t>a</w:t>
      </w:r>
      <w:r w:rsidR="00033D0F">
        <w:rPr>
          <w:spacing w:val="-3"/>
        </w:rPr>
        <w:t xml:space="preserve"> </w:t>
      </w:r>
      <w:r w:rsidR="00033D0F">
        <w:t>meaningful</w:t>
      </w:r>
      <w:r w:rsidR="00033D0F">
        <w:rPr>
          <w:spacing w:val="-5"/>
        </w:rPr>
        <w:t xml:space="preserve"> </w:t>
      </w:r>
      <w:r w:rsidR="00033D0F">
        <w:t>summary form, to allow interested parties to defend their interests.</w:t>
      </w:r>
      <w:hyperlink w:anchor="_bookmark1256" w:history="1">
        <w:r w:rsidR="00033D0F">
          <w:rPr>
            <w:vertAlign w:val="superscript"/>
          </w:rPr>
          <w:t>1082</w:t>
        </w:r>
      </w:hyperlink>
    </w:p>
    <w:p w14:paraId="4716164B" w14:textId="77777777" w:rsidR="00BD462C" w:rsidRDefault="00BD462C">
      <w:pPr>
        <w:pStyle w:val="BodyText"/>
        <w:spacing w:before="7"/>
        <w:rPr>
          <w:sz w:val="8"/>
        </w:rPr>
      </w:pPr>
    </w:p>
    <w:p w14:paraId="35621CBB" w14:textId="206B6BE8" w:rsidR="00BD462C" w:rsidRDefault="001556A8">
      <w:pPr>
        <w:pStyle w:val="BodyText"/>
        <w:spacing w:before="56" w:line="360" w:lineRule="auto"/>
        <w:ind w:left="135" w:right="912"/>
        <w:jc w:val="both"/>
      </w:pPr>
      <w:r>
        <w:rPr>
          <w:noProof/>
        </w:rPr>
        <w:t>699.</w:t>
      </w:r>
      <w:r w:rsidR="00033D0F">
        <w:rPr>
          <w:rFonts w:ascii="Times New Roman" w:hAnsi="Times New Roman"/>
          <w:spacing w:val="80"/>
          <w:position w:val="1"/>
          <w:sz w:val="20"/>
        </w:rPr>
        <w:t xml:space="preserve">   </w:t>
      </w:r>
      <w:r w:rsidR="00033D0F">
        <w:rPr>
          <w:position w:val="1"/>
        </w:rPr>
        <w:t>Contrary</w:t>
      </w:r>
      <w:r w:rsidR="00033D0F">
        <w:rPr>
          <w:spacing w:val="-11"/>
          <w:position w:val="1"/>
        </w:rPr>
        <w:t xml:space="preserve"> </w:t>
      </w:r>
      <w:r w:rsidR="00033D0F">
        <w:rPr>
          <w:position w:val="1"/>
        </w:rPr>
        <w:t>to</w:t>
      </w:r>
      <w:r w:rsidR="00033D0F">
        <w:rPr>
          <w:spacing w:val="-9"/>
          <w:position w:val="1"/>
        </w:rPr>
        <w:t xml:space="preserve"> </w:t>
      </w:r>
      <w:r w:rsidR="00033D0F">
        <w:rPr>
          <w:position w:val="1"/>
        </w:rPr>
        <w:t>what</w:t>
      </w:r>
      <w:r w:rsidR="00033D0F">
        <w:rPr>
          <w:spacing w:val="-11"/>
          <w:position w:val="1"/>
        </w:rPr>
        <w:t xml:space="preserve"> </w:t>
      </w:r>
      <w:r w:rsidR="00033D0F">
        <w:rPr>
          <w:position w:val="1"/>
        </w:rPr>
        <w:t>China</w:t>
      </w:r>
      <w:r w:rsidR="00033D0F">
        <w:rPr>
          <w:spacing w:val="-12"/>
          <w:position w:val="1"/>
        </w:rPr>
        <w:t xml:space="preserve"> </w:t>
      </w:r>
      <w:r w:rsidR="00033D0F">
        <w:rPr>
          <w:position w:val="1"/>
        </w:rPr>
        <w:t>implies,</w:t>
      </w:r>
      <w:r w:rsidR="00033D0F">
        <w:rPr>
          <w:spacing w:val="-10"/>
          <w:position w:val="1"/>
        </w:rPr>
        <w:t xml:space="preserve"> </w:t>
      </w:r>
      <w:r w:rsidR="00033D0F">
        <w:rPr>
          <w:position w:val="1"/>
        </w:rPr>
        <w:t>Australia</w:t>
      </w:r>
      <w:r w:rsidR="00033D0F">
        <w:rPr>
          <w:spacing w:val="-12"/>
          <w:position w:val="1"/>
        </w:rPr>
        <w:t xml:space="preserve"> </w:t>
      </w:r>
      <w:r w:rsidR="00033D0F">
        <w:rPr>
          <w:position w:val="1"/>
        </w:rPr>
        <w:t>has</w:t>
      </w:r>
      <w:r w:rsidR="00033D0F">
        <w:rPr>
          <w:spacing w:val="-10"/>
          <w:position w:val="1"/>
        </w:rPr>
        <w:t xml:space="preserve"> </w:t>
      </w:r>
      <w:r w:rsidR="00033D0F">
        <w:rPr>
          <w:position w:val="1"/>
        </w:rPr>
        <w:t>not</w:t>
      </w:r>
      <w:r w:rsidR="00033D0F">
        <w:rPr>
          <w:spacing w:val="-11"/>
          <w:position w:val="1"/>
        </w:rPr>
        <w:t xml:space="preserve"> </w:t>
      </w:r>
      <w:r w:rsidR="00033D0F">
        <w:rPr>
          <w:position w:val="1"/>
        </w:rPr>
        <w:t>sought</w:t>
      </w:r>
      <w:r w:rsidR="00033D0F">
        <w:rPr>
          <w:spacing w:val="-11"/>
          <w:position w:val="1"/>
        </w:rPr>
        <w:t xml:space="preserve"> </w:t>
      </w:r>
      <w:r w:rsidR="00033D0F">
        <w:rPr>
          <w:position w:val="1"/>
        </w:rPr>
        <w:t>–</w:t>
      </w:r>
      <w:r w:rsidR="00033D0F">
        <w:rPr>
          <w:spacing w:val="-12"/>
          <w:position w:val="1"/>
        </w:rPr>
        <w:t xml:space="preserve"> </w:t>
      </w:r>
      <w:r w:rsidR="00033D0F">
        <w:rPr>
          <w:position w:val="1"/>
        </w:rPr>
        <w:t>and</w:t>
      </w:r>
      <w:r w:rsidR="00033D0F">
        <w:rPr>
          <w:spacing w:val="-9"/>
          <w:position w:val="1"/>
        </w:rPr>
        <w:t xml:space="preserve"> </w:t>
      </w:r>
      <w:r w:rsidR="00033D0F">
        <w:rPr>
          <w:position w:val="1"/>
        </w:rPr>
        <w:t>does</w:t>
      </w:r>
      <w:r w:rsidR="00033D0F">
        <w:rPr>
          <w:spacing w:val="-10"/>
          <w:position w:val="1"/>
        </w:rPr>
        <w:t xml:space="preserve"> </w:t>
      </w:r>
      <w:r w:rsidR="00033D0F">
        <w:rPr>
          <w:position w:val="1"/>
        </w:rPr>
        <w:t>not</w:t>
      </w:r>
      <w:r w:rsidR="00033D0F">
        <w:rPr>
          <w:spacing w:val="-11"/>
          <w:position w:val="1"/>
        </w:rPr>
        <w:t xml:space="preserve"> </w:t>
      </w:r>
      <w:r w:rsidR="00033D0F">
        <w:rPr>
          <w:position w:val="1"/>
        </w:rPr>
        <w:t>ask</w:t>
      </w:r>
      <w:r w:rsidR="00033D0F">
        <w:rPr>
          <w:spacing w:val="-11"/>
          <w:position w:val="1"/>
        </w:rPr>
        <w:t xml:space="preserve"> </w:t>
      </w:r>
      <w:r w:rsidR="00033D0F">
        <w:rPr>
          <w:position w:val="1"/>
        </w:rPr>
        <w:t>the</w:t>
      </w:r>
      <w:r w:rsidR="00033D0F">
        <w:rPr>
          <w:spacing w:val="-7"/>
          <w:position w:val="1"/>
        </w:rPr>
        <w:t xml:space="preserve"> </w:t>
      </w:r>
      <w:r w:rsidR="00033D0F">
        <w:rPr>
          <w:position w:val="1"/>
        </w:rPr>
        <w:t xml:space="preserve">Panel </w:t>
      </w:r>
      <w:r w:rsidR="00033D0F">
        <w:t>–</w:t>
      </w:r>
      <w:r w:rsidR="00033D0F">
        <w:rPr>
          <w:spacing w:val="-2"/>
        </w:rPr>
        <w:t xml:space="preserve"> </w:t>
      </w:r>
      <w:r w:rsidR="00033D0F">
        <w:t>to be prescriptive</w:t>
      </w:r>
      <w:r w:rsidR="00033D0F">
        <w:rPr>
          <w:spacing w:val="-2"/>
        </w:rPr>
        <w:t xml:space="preserve"> </w:t>
      </w:r>
      <w:r w:rsidR="00033D0F">
        <w:t>about the</w:t>
      </w:r>
      <w:r w:rsidR="00033D0F">
        <w:rPr>
          <w:spacing w:val="-3"/>
        </w:rPr>
        <w:t xml:space="preserve"> </w:t>
      </w:r>
      <w:r w:rsidR="00033D0F">
        <w:t>specific</w:t>
      </w:r>
      <w:r w:rsidR="00033D0F">
        <w:rPr>
          <w:spacing w:val="-4"/>
        </w:rPr>
        <w:t xml:space="preserve"> </w:t>
      </w:r>
      <w:r w:rsidR="00033D0F">
        <w:t>information that</w:t>
      </w:r>
      <w:r w:rsidR="00033D0F">
        <w:rPr>
          <w:spacing w:val="-2"/>
        </w:rPr>
        <w:t xml:space="preserve"> </w:t>
      </w:r>
      <w:r w:rsidR="00033D0F">
        <w:t>was required to be included</w:t>
      </w:r>
      <w:r w:rsidR="00033D0F">
        <w:rPr>
          <w:spacing w:val="-4"/>
        </w:rPr>
        <w:t xml:space="preserve"> </w:t>
      </w:r>
      <w:r w:rsidR="00033D0F">
        <w:t>in a non- confidential summary.</w:t>
      </w:r>
      <w:hyperlink w:anchor="_bookmark1257" w:history="1">
        <w:r w:rsidR="00033D0F">
          <w:rPr>
            <w:vertAlign w:val="superscript"/>
          </w:rPr>
          <w:t>1083</w:t>
        </w:r>
      </w:hyperlink>
      <w:r w:rsidR="00033D0F">
        <w:t xml:space="preserve"> The obligation set out in Article 6.5.1 was for MOFCOM to require CADA to provide a non-confidential summary "in sufficient detail to permit a reasonable understanding</w:t>
      </w:r>
      <w:r w:rsidR="00033D0F">
        <w:rPr>
          <w:spacing w:val="-14"/>
        </w:rPr>
        <w:t xml:space="preserve"> </w:t>
      </w:r>
      <w:r w:rsidR="00033D0F">
        <w:t>of</w:t>
      </w:r>
      <w:r w:rsidR="00033D0F">
        <w:rPr>
          <w:spacing w:val="-14"/>
        </w:rPr>
        <w:t xml:space="preserve"> </w:t>
      </w:r>
      <w:r w:rsidR="00033D0F">
        <w:t>the</w:t>
      </w:r>
      <w:r w:rsidR="00033D0F">
        <w:rPr>
          <w:spacing w:val="-13"/>
        </w:rPr>
        <w:t xml:space="preserve"> </w:t>
      </w:r>
      <w:r w:rsidR="00033D0F">
        <w:t>substance</w:t>
      </w:r>
      <w:r w:rsidR="00033D0F">
        <w:rPr>
          <w:spacing w:val="-14"/>
        </w:rPr>
        <w:t xml:space="preserve"> </w:t>
      </w:r>
      <w:r w:rsidR="00033D0F">
        <w:t>of</w:t>
      </w:r>
      <w:r w:rsidR="00033D0F">
        <w:rPr>
          <w:spacing w:val="-13"/>
        </w:rPr>
        <w:t xml:space="preserve"> </w:t>
      </w:r>
      <w:r w:rsidR="00033D0F">
        <w:t>the</w:t>
      </w:r>
      <w:r w:rsidR="00033D0F">
        <w:rPr>
          <w:spacing w:val="-14"/>
        </w:rPr>
        <w:t xml:space="preserve"> </w:t>
      </w:r>
      <w:r w:rsidR="00033D0F">
        <w:t>information"</w:t>
      </w:r>
      <w:r w:rsidR="00033D0F">
        <w:rPr>
          <w:spacing w:val="-13"/>
        </w:rPr>
        <w:t xml:space="preserve"> </w:t>
      </w:r>
      <w:r w:rsidR="00033D0F">
        <w:t>that</w:t>
      </w:r>
      <w:r w:rsidR="00033D0F">
        <w:rPr>
          <w:spacing w:val="-14"/>
        </w:rPr>
        <w:t xml:space="preserve"> </w:t>
      </w:r>
      <w:r w:rsidR="00033D0F">
        <w:t>was</w:t>
      </w:r>
      <w:r w:rsidR="00033D0F">
        <w:rPr>
          <w:spacing w:val="-14"/>
        </w:rPr>
        <w:t xml:space="preserve"> </w:t>
      </w:r>
      <w:r w:rsidR="00033D0F">
        <w:t>subject</w:t>
      </w:r>
      <w:r w:rsidR="00033D0F">
        <w:rPr>
          <w:spacing w:val="-13"/>
        </w:rPr>
        <w:t xml:space="preserve"> </w:t>
      </w:r>
      <w:r w:rsidR="00033D0F">
        <w:t>to</w:t>
      </w:r>
      <w:r w:rsidR="00033D0F">
        <w:rPr>
          <w:spacing w:val="-14"/>
        </w:rPr>
        <w:t xml:space="preserve"> </w:t>
      </w:r>
      <w:r w:rsidR="00033D0F">
        <w:t>a</w:t>
      </w:r>
      <w:r w:rsidR="00033D0F">
        <w:rPr>
          <w:spacing w:val="-13"/>
        </w:rPr>
        <w:t xml:space="preserve"> </w:t>
      </w:r>
      <w:r w:rsidR="00033D0F">
        <w:t>claim</w:t>
      </w:r>
      <w:r w:rsidR="00033D0F">
        <w:rPr>
          <w:spacing w:val="-14"/>
        </w:rPr>
        <w:t xml:space="preserve"> </w:t>
      </w:r>
      <w:r w:rsidR="00033D0F">
        <w:t>for</w:t>
      </w:r>
      <w:r w:rsidR="00033D0F">
        <w:rPr>
          <w:spacing w:val="-13"/>
        </w:rPr>
        <w:t xml:space="preserve"> </w:t>
      </w:r>
      <w:r w:rsidR="00033D0F">
        <w:t>confidential treatment. It is readily apparent that no summary capable of meeting that standard was provided. No detail – let alone "sufficient detail to permit a reasonable understanding of the substance"</w:t>
      </w:r>
      <w:r w:rsidR="00033D0F">
        <w:rPr>
          <w:spacing w:val="-4"/>
        </w:rPr>
        <w:t xml:space="preserve"> </w:t>
      </w:r>
      <w:r w:rsidR="00033D0F">
        <w:t>–</w:t>
      </w:r>
      <w:r w:rsidR="00033D0F">
        <w:rPr>
          <w:spacing w:val="-3"/>
        </w:rPr>
        <w:t xml:space="preserve"> </w:t>
      </w:r>
      <w:r w:rsidR="00033D0F">
        <w:t>was</w:t>
      </w:r>
      <w:r w:rsidR="00033D0F">
        <w:rPr>
          <w:spacing w:val="-2"/>
        </w:rPr>
        <w:t xml:space="preserve"> </w:t>
      </w:r>
      <w:r w:rsidR="00033D0F">
        <w:t>provided</w:t>
      </w:r>
      <w:r w:rsidR="00033D0F">
        <w:rPr>
          <w:spacing w:val="-5"/>
        </w:rPr>
        <w:t xml:space="preserve"> </w:t>
      </w:r>
      <w:r w:rsidR="00033D0F">
        <w:t>about</w:t>
      </w:r>
      <w:r w:rsidR="00033D0F">
        <w:rPr>
          <w:spacing w:val="-3"/>
        </w:rPr>
        <w:t xml:space="preserve"> </w:t>
      </w:r>
      <w:r w:rsidR="00033D0F">
        <w:t>the</w:t>
      </w:r>
      <w:r w:rsidR="00033D0F">
        <w:rPr>
          <w:spacing w:val="-4"/>
        </w:rPr>
        <w:t xml:space="preserve"> </w:t>
      </w:r>
      <w:r w:rsidR="00033D0F">
        <w:t>key</w:t>
      </w:r>
      <w:r w:rsidR="00033D0F">
        <w:rPr>
          <w:spacing w:val="-7"/>
        </w:rPr>
        <w:t xml:space="preserve"> </w:t>
      </w:r>
      <w:r w:rsidR="00033D0F">
        <w:t>information</w:t>
      </w:r>
      <w:r w:rsidR="00033D0F">
        <w:rPr>
          <w:spacing w:val="-5"/>
        </w:rPr>
        <w:t xml:space="preserve"> </w:t>
      </w:r>
      <w:r w:rsidR="00033D0F">
        <w:t>relevant</w:t>
      </w:r>
      <w:r w:rsidR="00033D0F">
        <w:rPr>
          <w:spacing w:val="-3"/>
        </w:rPr>
        <w:t xml:space="preserve"> </w:t>
      </w:r>
      <w:r w:rsidR="00033D0F">
        <w:t>to</w:t>
      </w:r>
      <w:r w:rsidR="00033D0F">
        <w:rPr>
          <w:spacing w:val="-6"/>
        </w:rPr>
        <w:t xml:space="preserve"> </w:t>
      </w:r>
      <w:r w:rsidR="00033D0F">
        <w:t>the</w:t>
      </w:r>
      <w:r w:rsidR="00033D0F">
        <w:rPr>
          <w:spacing w:val="-4"/>
        </w:rPr>
        <w:t xml:space="preserve"> </w:t>
      </w:r>
      <w:r w:rsidR="00033D0F">
        <w:t>written</w:t>
      </w:r>
      <w:r w:rsidR="00033D0F">
        <w:rPr>
          <w:spacing w:val="-5"/>
        </w:rPr>
        <w:t xml:space="preserve"> </w:t>
      </w:r>
      <w:r w:rsidR="00033D0F">
        <w:t>application</w:t>
      </w:r>
      <w:r w:rsidR="00033D0F">
        <w:rPr>
          <w:spacing w:val="-5"/>
        </w:rPr>
        <w:t xml:space="preserve"> </w:t>
      </w:r>
      <w:r w:rsidR="00033D0F">
        <w:t xml:space="preserve">that CADA allegedly made on behalf of the domestic industry, including, </w:t>
      </w:r>
      <w:r w:rsidR="00033D0F">
        <w:rPr>
          <w:i/>
        </w:rPr>
        <w:t>inter alia</w:t>
      </w:r>
      <w:r w:rsidR="00033D0F">
        <w:t xml:space="preserve">, information about the degree of support for, or opposition to, the application expressed by the domestic </w:t>
      </w:r>
      <w:r w:rsidR="00033D0F">
        <w:rPr>
          <w:spacing w:val="-2"/>
        </w:rPr>
        <w:t>producers.</w:t>
      </w:r>
    </w:p>
    <w:p w14:paraId="0FF4F17A" w14:textId="77777777" w:rsidR="00BD462C" w:rsidRDefault="00BD462C">
      <w:pPr>
        <w:pStyle w:val="BodyText"/>
        <w:spacing w:before="4"/>
        <w:rPr>
          <w:sz w:val="8"/>
        </w:rPr>
      </w:pPr>
    </w:p>
    <w:p w14:paraId="42E089FF" w14:textId="7CF86E65" w:rsidR="00BD462C" w:rsidRDefault="001556A8">
      <w:pPr>
        <w:pStyle w:val="BodyText"/>
        <w:spacing w:before="57" w:line="360" w:lineRule="auto"/>
        <w:ind w:left="135" w:right="916"/>
        <w:jc w:val="both"/>
      </w:pPr>
      <w:r>
        <w:rPr>
          <w:noProof/>
        </w:rPr>
        <w:t>700.</w:t>
      </w:r>
      <w:r w:rsidR="00033D0F">
        <w:rPr>
          <w:rFonts w:ascii="Times New Roman"/>
          <w:spacing w:val="80"/>
          <w:position w:val="1"/>
          <w:sz w:val="20"/>
        </w:rPr>
        <w:t xml:space="preserve">  </w:t>
      </w:r>
      <w:r w:rsidR="00033D0F">
        <w:rPr>
          <w:position w:val="1"/>
        </w:rPr>
        <w:t>Finally,</w:t>
      </w:r>
      <w:r w:rsidR="00033D0F">
        <w:rPr>
          <w:spacing w:val="-14"/>
          <w:position w:val="1"/>
        </w:rPr>
        <w:t xml:space="preserve"> </w:t>
      </w:r>
      <w:r w:rsidR="00033D0F">
        <w:rPr>
          <w:position w:val="1"/>
        </w:rPr>
        <w:t>China</w:t>
      </w:r>
      <w:r w:rsidR="00033D0F">
        <w:rPr>
          <w:spacing w:val="-12"/>
          <w:position w:val="1"/>
        </w:rPr>
        <w:t xml:space="preserve"> </w:t>
      </w:r>
      <w:r w:rsidR="00033D0F">
        <w:rPr>
          <w:position w:val="1"/>
        </w:rPr>
        <w:t>makes</w:t>
      </w:r>
      <w:r w:rsidR="00033D0F">
        <w:rPr>
          <w:spacing w:val="-14"/>
          <w:position w:val="1"/>
        </w:rPr>
        <w:t xml:space="preserve"> </w:t>
      </w:r>
      <w:r w:rsidR="00033D0F">
        <w:rPr>
          <w:position w:val="1"/>
        </w:rPr>
        <w:t>the</w:t>
      </w:r>
      <w:r w:rsidR="00033D0F">
        <w:rPr>
          <w:spacing w:val="-12"/>
          <w:position w:val="1"/>
        </w:rPr>
        <w:t xml:space="preserve"> </w:t>
      </w:r>
      <w:r w:rsidR="00033D0F">
        <w:rPr>
          <w:position w:val="1"/>
        </w:rPr>
        <w:t>unsustainable</w:t>
      </w:r>
      <w:r w:rsidR="00033D0F">
        <w:rPr>
          <w:spacing w:val="-12"/>
          <w:position w:val="1"/>
        </w:rPr>
        <w:t xml:space="preserve"> </w:t>
      </w:r>
      <w:r w:rsidR="00033D0F">
        <w:rPr>
          <w:position w:val="1"/>
        </w:rPr>
        <w:t>argument</w:t>
      </w:r>
      <w:r w:rsidR="00033D0F">
        <w:rPr>
          <w:spacing w:val="-14"/>
          <w:position w:val="1"/>
        </w:rPr>
        <w:t xml:space="preserve"> </w:t>
      </w:r>
      <w:r w:rsidR="00033D0F">
        <w:rPr>
          <w:position w:val="1"/>
        </w:rPr>
        <w:t>that</w:t>
      </w:r>
      <w:r w:rsidR="00033D0F">
        <w:rPr>
          <w:spacing w:val="-11"/>
          <w:position w:val="1"/>
        </w:rPr>
        <w:t xml:space="preserve"> </w:t>
      </w:r>
      <w:r w:rsidR="00033D0F">
        <w:rPr>
          <w:position w:val="1"/>
        </w:rPr>
        <w:t>the</w:t>
      </w:r>
      <w:r w:rsidR="00033D0F">
        <w:rPr>
          <w:spacing w:val="-12"/>
          <w:position w:val="1"/>
        </w:rPr>
        <w:t xml:space="preserve"> </w:t>
      </w:r>
      <w:r w:rsidR="00033D0F">
        <w:rPr>
          <w:position w:val="1"/>
        </w:rPr>
        <w:t>failure</w:t>
      </w:r>
      <w:r w:rsidR="00033D0F">
        <w:rPr>
          <w:spacing w:val="-12"/>
          <w:position w:val="1"/>
        </w:rPr>
        <w:t xml:space="preserve"> </w:t>
      </w:r>
      <w:r w:rsidR="00033D0F">
        <w:rPr>
          <w:position w:val="1"/>
        </w:rPr>
        <w:t>to</w:t>
      </w:r>
      <w:r w:rsidR="00033D0F">
        <w:rPr>
          <w:spacing w:val="-14"/>
          <w:position w:val="1"/>
        </w:rPr>
        <w:t xml:space="preserve"> </w:t>
      </w:r>
      <w:r w:rsidR="00033D0F">
        <w:rPr>
          <w:position w:val="1"/>
        </w:rPr>
        <w:t>provide</w:t>
      </w:r>
      <w:r w:rsidR="00033D0F">
        <w:rPr>
          <w:spacing w:val="-12"/>
          <w:position w:val="1"/>
        </w:rPr>
        <w:t xml:space="preserve"> </w:t>
      </w:r>
      <w:r w:rsidR="00033D0F">
        <w:rPr>
          <w:position w:val="1"/>
        </w:rPr>
        <w:t xml:space="preserve">adequate </w:t>
      </w:r>
      <w:r w:rsidR="00033D0F">
        <w:t>non-confidential summaries</w:t>
      </w:r>
      <w:r w:rsidR="00033D0F">
        <w:rPr>
          <w:spacing w:val="-4"/>
        </w:rPr>
        <w:t xml:space="preserve"> </w:t>
      </w:r>
      <w:r w:rsidR="00033D0F">
        <w:t>cannot have</w:t>
      </w:r>
      <w:r w:rsidR="00033D0F">
        <w:rPr>
          <w:spacing w:val="-1"/>
        </w:rPr>
        <w:t xml:space="preserve"> </w:t>
      </w:r>
      <w:r w:rsidR="00033D0F">
        <w:t>denied</w:t>
      </w:r>
      <w:r w:rsidR="00033D0F">
        <w:rPr>
          <w:spacing w:val="-3"/>
        </w:rPr>
        <w:t xml:space="preserve"> </w:t>
      </w:r>
      <w:r w:rsidR="00033D0F">
        <w:t>interested</w:t>
      </w:r>
      <w:r w:rsidR="00033D0F">
        <w:rPr>
          <w:spacing w:val="-3"/>
        </w:rPr>
        <w:t xml:space="preserve"> </w:t>
      </w:r>
      <w:r w:rsidR="00033D0F">
        <w:t>parties a</w:t>
      </w:r>
      <w:r w:rsidR="00033D0F">
        <w:rPr>
          <w:spacing w:val="-5"/>
        </w:rPr>
        <w:t xml:space="preserve"> </w:t>
      </w:r>
      <w:r w:rsidR="00033D0F">
        <w:t>meaningful opportunity to engage with MOFCOM about CADA's standing, because Australia submitted comments about its concerns regarding the initiation of the investigation.</w:t>
      </w:r>
      <w:hyperlink w:anchor="_bookmark1258" w:history="1">
        <w:r w:rsidR="00033D0F">
          <w:rPr>
            <w:vertAlign w:val="superscript"/>
          </w:rPr>
          <w:t>1084</w:t>
        </w:r>
      </w:hyperlink>
    </w:p>
    <w:p w14:paraId="3B1AC9B6" w14:textId="77777777" w:rsidR="00BD462C" w:rsidRDefault="00BD462C">
      <w:pPr>
        <w:pStyle w:val="BodyText"/>
        <w:rPr>
          <w:sz w:val="20"/>
        </w:rPr>
      </w:pPr>
    </w:p>
    <w:p w14:paraId="0DB92F4D" w14:textId="77777777" w:rsidR="00BD462C" w:rsidRDefault="00BD462C">
      <w:pPr>
        <w:pStyle w:val="BodyText"/>
        <w:rPr>
          <w:sz w:val="20"/>
        </w:rPr>
      </w:pPr>
    </w:p>
    <w:p w14:paraId="14584AD5" w14:textId="77777777" w:rsidR="00BD462C" w:rsidRDefault="00BD462C">
      <w:pPr>
        <w:pStyle w:val="BodyText"/>
        <w:rPr>
          <w:sz w:val="20"/>
        </w:rPr>
      </w:pPr>
    </w:p>
    <w:p w14:paraId="1A3B8727" w14:textId="00788482" w:rsidR="00BD462C" w:rsidRDefault="00D70C7D">
      <w:pPr>
        <w:pStyle w:val="BodyText"/>
        <w:spacing w:before="11"/>
        <w:rPr>
          <w:sz w:val="21"/>
        </w:rPr>
      </w:pPr>
      <w:r>
        <w:rPr>
          <w:noProof/>
        </w:rPr>
        <mc:AlternateContent>
          <mc:Choice Requires="wps">
            <w:drawing>
              <wp:anchor distT="0" distB="0" distL="0" distR="0" simplePos="0" relativeHeight="487820288" behindDoc="1" locked="0" layoutInCell="1" allowOverlap="1" wp14:anchorId="132EF22E" wp14:editId="083B1CB9">
                <wp:simplePos x="0" y="0"/>
                <wp:positionH relativeFrom="page">
                  <wp:posOffset>899160</wp:posOffset>
                </wp:positionH>
                <wp:positionV relativeFrom="paragraph">
                  <wp:posOffset>185420</wp:posOffset>
                </wp:positionV>
                <wp:extent cx="1828800" cy="8890"/>
                <wp:effectExtent l="0" t="0" r="0" b="0"/>
                <wp:wrapTopAndBottom/>
                <wp:docPr id="434" name="docshape5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1F1333" id="docshape505" o:spid="_x0000_s1026" alt="&quot;&quot;" style="position:absolute;margin-left:70.8pt;margin-top:14.6pt;width:2in;height:.7pt;z-index:-1549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" fillcolor="black" stroked="f">
                <w10:wrap type="topAndBottom" anchorx="page"/>
              </v:rect>
            </w:pict>
          </mc:Fallback>
        </mc:AlternateContent>
      </w:r>
    </w:p>
    <w:p w14:paraId="78BC985D" w14:textId="77777777" w:rsidR="00BD462C" w:rsidRDefault="00033D0F">
      <w:pPr>
        <w:spacing w:before="107"/>
        <w:ind w:left="135"/>
        <w:jc w:val="both"/>
        <w:rPr>
          <w:sz w:val="18"/>
        </w:rPr>
      </w:pPr>
      <w:bookmarkStart w:id="1456" w:name="_bookmark1254"/>
      <w:bookmarkEnd w:id="1456"/>
      <w:r>
        <w:rPr>
          <w:position w:val="5"/>
          <w:sz w:val="12"/>
        </w:rPr>
        <w:t>1080</w:t>
      </w:r>
      <w:r>
        <w:rPr>
          <w:spacing w:val="13"/>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 xml:space="preserve">para. </w:t>
      </w:r>
      <w:r>
        <w:rPr>
          <w:spacing w:val="-2"/>
          <w:sz w:val="18"/>
        </w:rPr>
        <w:t>2314.</w:t>
      </w:r>
    </w:p>
    <w:p w14:paraId="762E26A3" w14:textId="77777777" w:rsidR="00BD462C" w:rsidRDefault="00033D0F">
      <w:pPr>
        <w:spacing w:before="1"/>
        <w:ind w:left="135"/>
        <w:jc w:val="both"/>
        <w:rPr>
          <w:sz w:val="18"/>
        </w:rPr>
      </w:pPr>
      <w:bookmarkStart w:id="1457" w:name="_bookmark1255"/>
      <w:bookmarkEnd w:id="1457"/>
      <w:r>
        <w:rPr>
          <w:position w:val="5"/>
          <w:sz w:val="12"/>
        </w:rPr>
        <w:t>1081</w:t>
      </w:r>
      <w:r>
        <w:rPr>
          <w:spacing w:val="12"/>
          <w:position w:val="5"/>
          <w:sz w:val="12"/>
        </w:rPr>
        <w:t xml:space="preserve"> </w:t>
      </w:r>
      <w:r>
        <w:rPr>
          <w:sz w:val="18"/>
        </w:rPr>
        <w:t>Australia's</w:t>
      </w:r>
      <w:r>
        <w:rPr>
          <w:spacing w:val="-6"/>
          <w:sz w:val="18"/>
        </w:rPr>
        <w:t xml:space="preserve"> </w:t>
      </w:r>
      <w:r>
        <w:rPr>
          <w:sz w:val="18"/>
        </w:rPr>
        <w:t>first</w:t>
      </w:r>
      <w:r>
        <w:rPr>
          <w:spacing w:val="-5"/>
          <w:sz w:val="18"/>
        </w:rPr>
        <w:t xml:space="preserve"> </w:t>
      </w:r>
      <w:r>
        <w:rPr>
          <w:sz w:val="18"/>
        </w:rPr>
        <w:t>written</w:t>
      </w:r>
      <w:r>
        <w:rPr>
          <w:spacing w:val="-2"/>
          <w:sz w:val="18"/>
        </w:rPr>
        <w:t xml:space="preserve"> </w:t>
      </w:r>
      <w:r>
        <w:rPr>
          <w:sz w:val="18"/>
        </w:rPr>
        <w:t>submission, para.</w:t>
      </w:r>
      <w:r>
        <w:rPr>
          <w:spacing w:val="-5"/>
          <w:sz w:val="18"/>
        </w:rPr>
        <w:t xml:space="preserve"> </w:t>
      </w:r>
      <w:r>
        <w:rPr>
          <w:spacing w:val="-4"/>
          <w:sz w:val="18"/>
        </w:rPr>
        <w:t>856.</w:t>
      </w:r>
    </w:p>
    <w:p w14:paraId="638D28FC" w14:textId="77777777" w:rsidR="00BD462C" w:rsidRDefault="00033D0F">
      <w:pPr>
        <w:spacing w:before="1"/>
        <w:ind w:left="135" w:right="5951"/>
        <w:jc w:val="both"/>
        <w:rPr>
          <w:sz w:val="18"/>
        </w:rPr>
      </w:pPr>
      <w:bookmarkStart w:id="1458" w:name="_bookmark1256"/>
      <w:bookmarkEnd w:id="1458"/>
      <w:r>
        <w:rPr>
          <w:position w:val="5"/>
          <w:sz w:val="12"/>
        </w:rPr>
        <w:t>1082</w:t>
      </w:r>
      <w:r>
        <w:rPr>
          <w:spacing w:val="11"/>
          <w:position w:val="5"/>
          <w:sz w:val="12"/>
        </w:rPr>
        <w:t xml:space="preserve"> </w:t>
      </w:r>
      <w:r>
        <w:rPr>
          <w:sz w:val="18"/>
        </w:rPr>
        <w:t>Australia's</w:t>
      </w:r>
      <w:r>
        <w:rPr>
          <w:spacing w:val="-7"/>
          <w:sz w:val="18"/>
        </w:rPr>
        <w:t xml:space="preserve"> </w:t>
      </w:r>
      <w:r>
        <w:rPr>
          <w:sz w:val="18"/>
        </w:rPr>
        <w:t>first</w:t>
      </w:r>
      <w:r>
        <w:rPr>
          <w:spacing w:val="-6"/>
          <w:sz w:val="18"/>
        </w:rPr>
        <w:t xml:space="preserve"> </w:t>
      </w:r>
      <w:r>
        <w:rPr>
          <w:sz w:val="18"/>
        </w:rPr>
        <w:t>written</w:t>
      </w:r>
      <w:r>
        <w:rPr>
          <w:spacing w:val="-3"/>
          <w:sz w:val="18"/>
        </w:rPr>
        <w:t xml:space="preserve"> </w:t>
      </w:r>
      <w:r>
        <w:rPr>
          <w:sz w:val="18"/>
        </w:rPr>
        <w:t>submission,</w:t>
      </w:r>
      <w:r>
        <w:rPr>
          <w:spacing w:val="-1"/>
          <w:sz w:val="18"/>
        </w:rPr>
        <w:t xml:space="preserve"> </w:t>
      </w:r>
      <w:r>
        <w:rPr>
          <w:sz w:val="18"/>
        </w:rPr>
        <w:t>paras.</w:t>
      </w:r>
      <w:r>
        <w:rPr>
          <w:spacing w:val="-6"/>
          <w:sz w:val="18"/>
        </w:rPr>
        <w:t xml:space="preserve"> </w:t>
      </w:r>
      <w:r>
        <w:rPr>
          <w:sz w:val="18"/>
        </w:rPr>
        <w:t xml:space="preserve">855-858. </w:t>
      </w:r>
      <w:bookmarkStart w:id="1459" w:name="_bookmark1257"/>
      <w:bookmarkEnd w:id="1459"/>
      <w:r>
        <w:rPr>
          <w:position w:val="5"/>
          <w:sz w:val="12"/>
        </w:rPr>
        <w:t>1083</w:t>
      </w:r>
      <w:r>
        <w:rPr>
          <w:spacing w:val="22"/>
          <w:position w:val="5"/>
          <w:sz w:val="12"/>
        </w:rPr>
        <w:t xml:space="preserve"> </w:t>
      </w:r>
      <w:r>
        <w:rPr>
          <w:sz w:val="18"/>
        </w:rPr>
        <w:t xml:space="preserve">China's first written submission, paras. 2316-2318. </w:t>
      </w:r>
      <w:bookmarkStart w:id="1460" w:name="_bookmark1258"/>
      <w:bookmarkEnd w:id="1460"/>
      <w:r>
        <w:rPr>
          <w:position w:val="5"/>
          <w:sz w:val="12"/>
        </w:rPr>
        <w:t>1084</w:t>
      </w:r>
      <w:r>
        <w:rPr>
          <w:spacing w:val="40"/>
          <w:position w:val="5"/>
          <w:sz w:val="12"/>
        </w:rPr>
        <w:t xml:space="preserve"> </w:t>
      </w:r>
      <w:r>
        <w:rPr>
          <w:sz w:val="18"/>
        </w:rPr>
        <w:t>China's first written submission, para. 2319.</w:t>
      </w:r>
    </w:p>
    <w:p w14:paraId="396A296F" w14:textId="77777777" w:rsidR="00BD462C" w:rsidRDefault="00BD462C">
      <w:pPr>
        <w:jc w:val="both"/>
        <w:rPr>
          <w:sz w:val="18"/>
        </w:rPr>
        <w:sectPr w:rsidR="00BD462C">
          <w:headerReference w:type="default" r:id="rId25"/>
          <w:footerReference w:type="default" r:id="rId26"/>
          <w:pgSz w:w="11910" w:h="16840"/>
          <w:pgMar w:top="860" w:right="500" w:bottom="780" w:left="1280" w:header="566" w:footer="590" w:gutter="0"/>
          <w:cols w:space="720"/>
        </w:sectPr>
      </w:pPr>
    </w:p>
    <w:p w14:paraId="38C451A7"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5E7D54B3"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0927397D"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40D51773" w14:textId="48FEE27A" w:rsidR="00BD462C" w:rsidRDefault="004152F7">
      <w:pPr>
        <w:pStyle w:val="BodyText"/>
        <w:spacing w:before="107" w:line="360" w:lineRule="auto"/>
        <w:ind w:left="135" w:right="914"/>
        <w:jc w:val="both"/>
      </w:pPr>
      <w:r>
        <w:rPr>
          <w:noProof/>
        </w:rPr>
        <w:t>701.</w:t>
      </w:r>
      <w:r w:rsidR="00033D0F">
        <w:rPr>
          <w:rFonts w:ascii="Times New Roman"/>
          <w:spacing w:val="80"/>
          <w:position w:val="1"/>
          <w:sz w:val="20"/>
        </w:rPr>
        <w:t xml:space="preserve">  </w:t>
      </w:r>
      <w:r w:rsidR="00033D0F">
        <w:rPr>
          <w:position w:val="1"/>
        </w:rPr>
        <w:t xml:space="preserve">The fact that Australia filed comments concerning the initiation of the investigation </w:t>
      </w:r>
      <w:r w:rsidR="00033D0F">
        <w:t>says nothing about the adequacy of those summaries, nor consequently whether interested parties</w:t>
      </w:r>
      <w:r w:rsidR="00033D0F">
        <w:rPr>
          <w:spacing w:val="-3"/>
        </w:rPr>
        <w:t xml:space="preserve"> </w:t>
      </w:r>
      <w:r w:rsidR="00033D0F">
        <w:t>had</w:t>
      </w:r>
      <w:r w:rsidR="00033D0F">
        <w:rPr>
          <w:spacing w:val="-6"/>
        </w:rPr>
        <w:t xml:space="preserve"> </w:t>
      </w:r>
      <w:r w:rsidR="00033D0F">
        <w:t>a</w:t>
      </w:r>
      <w:r w:rsidR="00033D0F">
        <w:rPr>
          <w:spacing w:val="-5"/>
        </w:rPr>
        <w:t xml:space="preserve"> </w:t>
      </w:r>
      <w:r w:rsidR="00033D0F">
        <w:t>meaningful</w:t>
      </w:r>
      <w:r w:rsidR="00033D0F">
        <w:rPr>
          <w:spacing w:val="-2"/>
        </w:rPr>
        <w:t xml:space="preserve"> </w:t>
      </w:r>
      <w:r w:rsidR="00033D0F">
        <w:t>opportunity</w:t>
      </w:r>
      <w:r w:rsidR="00033D0F">
        <w:rPr>
          <w:spacing w:val="-3"/>
        </w:rPr>
        <w:t xml:space="preserve"> </w:t>
      </w:r>
      <w:r w:rsidR="00033D0F">
        <w:t>for</w:t>
      </w:r>
      <w:r w:rsidR="00033D0F">
        <w:rPr>
          <w:spacing w:val="-7"/>
        </w:rPr>
        <w:t xml:space="preserve"> </w:t>
      </w:r>
      <w:r w:rsidR="00033D0F">
        <w:t>the</w:t>
      </w:r>
      <w:r w:rsidR="00033D0F">
        <w:rPr>
          <w:spacing w:val="-4"/>
        </w:rPr>
        <w:t xml:space="preserve"> </w:t>
      </w:r>
      <w:proofErr w:type="spellStart"/>
      <w:r w:rsidR="00033D0F">
        <w:t>defence</w:t>
      </w:r>
      <w:proofErr w:type="spellEnd"/>
      <w:r w:rsidR="00033D0F">
        <w:rPr>
          <w:spacing w:val="-4"/>
        </w:rPr>
        <w:t xml:space="preserve"> </w:t>
      </w:r>
      <w:r w:rsidR="00033D0F">
        <w:t>of</w:t>
      </w:r>
      <w:r w:rsidR="00033D0F">
        <w:rPr>
          <w:spacing w:val="-6"/>
        </w:rPr>
        <w:t xml:space="preserve"> </w:t>
      </w:r>
      <w:r w:rsidR="00033D0F">
        <w:t>their</w:t>
      </w:r>
      <w:r w:rsidR="00033D0F">
        <w:rPr>
          <w:spacing w:val="-7"/>
        </w:rPr>
        <w:t xml:space="preserve"> </w:t>
      </w:r>
      <w:r w:rsidR="00033D0F">
        <w:t>interests.</w:t>
      </w:r>
      <w:r w:rsidR="00033D0F">
        <w:rPr>
          <w:spacing w:val="-3"/>
        </w:rPr>
        <w:t xml:space="preserve"> </w:t>
      </w:r>
      <w:r w:rsidR="00033D0F">
        <w:t>Australia's</w:t>
      </w:r>
      <w:r w:rsidR="00033D0F">
        <w:rPr>
          <w:spacing w:val="-3"/>
        </w:rPr>
        <w:t xml:space="preserve"> </w:t>
      </w:r>
      <w:r w:rsidR="00033D0F">
        <w:t xml:space="preserve">comments raised concerns about issues unrelated to the matters that should have been addressed in CADA's non-confidential summaries, namely about the independence of CADA from the Chinese government, because, </w:t>
      </w:r>
      <w:r w:rsidR="00033D0F">
        <w:rPr>
          <w:i/>
        </w:rPr>
        <w:t>inter alia</w:t>
      </w:r>
      <w:r w:rsidR="00033D0F">
        <w:t>, it was managed by the Ministry of Civil Affairs and State-owned</w:t>
      </w:r>
      <w:r w:rsidR="00033D0F">
        <w:rPr>
          <w:spacing w:val="-11"/>
        </w:rPr>
        <w:t xml:space="preserve"> </w:t>
      </w:r>
      <w:r w:rsidR="00033D0F">
        <w:t>Assets</w:t>
      </w:r>
      <w:r w:rsidR="00033D0F">
        <w:rPr>
          <w:spacing w:val="-8"/>
        </w:rPr>
        <w:t xml:space="preserve"> </w:t>
      </w:r>
      <w:r w:rsidR="00033D0F">
        <w:t>Supervision</w:t>
      </w:r>
      <w:r w:rsidR="00033D0F">
        <w:rPr>
          <w:spacing w:val="-11"/>
        </w:rPr>
        <w:t xml:space="preserve"> </w:t>
      </w:r>
      <w:r w:rsidR="00033D0F">
        <w:t>and</w:t>
      </w:r>
      <w:r w:rsidR="00033D0F">
        <w:rPr>
          <w:spacing w:val="-11"/>
        </w:rPr>
        <w:t xml:space="preserve"> </w:t>
      </w:r>
      <w:r w:rsidR="00033D0F">
        <w:t>Administration</w:t>
      </w:r>
      <w:r w:rsidR="00033D0F">
        <w:rPr>
          <w:spacing w:val="-11"/>
        </w:rPr>
        <w:t xml:space="preserve"> </w:t>
      </w:r>
      <w:r w:rsidR="00033D0F">
        <w:t>Commission</w:t>
      </w:r>
      <w:r w:rsidR="00033D0F">
        <w:rPr>
          <w:spacing w:val="-11"/>
        </w:rPr>
        <w:t xml:space="preserve"> </w:t>
      </w:r>
      <w:r w:rsidR="00033D0F">
        <w:t>of</w:t>
      </w:r>
      <w:r w:rsidR="00033D0F">
        <w:rPr>
          <w:spacing w:val="-11"/>
        </w:rPr>
        <w:t xml:space="preserve"> </w:t>
      </w:r>
      <w:r w:rsidR="00033D0F">
        <w:t>the</w:t>
      </w:r>
      <w:r w:rsidR="00033D0F">
        <w:rPr>
          <w:spacing w:val="-9"/>
        </w:rPr>
        <w:t xml:space="preserve"> </w:t>
      </w:r>
      <w:r w:rsidR="00033D0F">
        <w:t>State</w:t>
      </w:r>
      <w:r w:rsidR="00033D0F">
        <w:rPr>
          <w:spacing w:val="-14"/>
        </w:rPr>
        <w:t xml:space="preserve"> </w:t>
      </w:r>
      <w:r w:rsidR="00033D0F">
        <w:t>Council.</w:t>
      </w:r>
      <w:r w:rsidR="00033D0F">
        <w:rPr>
          <w:spacing w:val="-8"/>
        </w:rPr>
        <w:t xml:space="preserve"> </w:t>
      </w:r>
      <w:r w:rsidR="00033D0F">
        <w:t>The</w:t>
      </w:r>
      <w:r w:rsidR="00033D0F">
        <w:rPr>
          <w:spacing w:val="-9"/>
        </w:rPr>
        <w:t xml:space="preserve"> </w:t>
      </w:r>
      <w:r w:rsidR="00033D0F">
        <w:t>fact that Australia made such submissions cannot show that interested parties had all necessary information sufficient to permit a reasonable understanding of the substance of the information</w:t>
      </w:r>
      <w:r w:rsidR="00033D0F">
        <w:rPr>
          <w:spacing w:val="-4"/>
        </w:rPr>
        <w:t xml:space="preserve"> </w:t>
      </w:r>
      <w:r w:rsidR="00033D0F">
        <w:t>in</w:t>
      </w:r>
      <w:r w:rsidR="00033D0F">
        <w:rPr>
          <w:spacing w:val="-4"/>
        </w:rPr>
        <w:t xml:space="preserve"> </w:t>
      </w:r>
      <w:r w:rsidR="00033D0F">
        <w:t>relation</w:t>
      </w:r>
      <w:r w:rsidR="00033D0F">
        <w:rPr>
          <w:spacing w:val="-4"/>
        </w:rPr>
        <w:t xml:space="preserve"> </w:t>
      </w:r>
      <w:r w:rsidR="00033D0F">
        <w:t>to</w:t>
      </w:r>
      <w:r w:rsidR="00033D0F">
        <w:rPr>
          <w:spacing w:val="-5"/>
        </w:rPr>
        <w:t xml:space="preserve"> </w:t>
      </w:r>
      <w:r w:rsidR="00033D0F">
        <w:t>standing, nor</w:t>
      </w:r>
      <w:r w:rsidR="00033D0F">
        <w:rPr>
          <w:spacing w:val="-5"/>
        </w:rPr>
        <w:t xml:space="preserve"> </w:t>
      </w:r>
      <w:r w:rsidR="00033D0F">
        <w:t>a</w:t>
      </w:r>
      <w:r w:rsidR="00033D0F">
        <w:rPr>
          <w:spacing w:val="-3"/>
        </w:rPr>
        <w:t xml:space="preserve"> </w:t>
      </w:r>
      <w:r w:rsidR="00033D0F">
        <w:t>meaningful opportunity</w:t>
      </w:r>
      <w:r w:rsidR="00033D0F">
        <w:rPr>
          <w:spacing w:val="-1"/>
        </w:rPr>
        <w:t xml:space="preserve"> </w:t>
      </w:r>
      <w:r w:rsidR="00033D0F">
        <w:t>to</w:t>
      </w:r>
      <w:r w:rsidR="00033D0F">
        <w:rPr>
          <w:spacing w:val="-5"/>
        </w:rPr>
        <w:t xml:space="preserve"> </w:t>
      </w:r>
      <w:r w:rsidR="00033D0F">
        <w:t>make</w:t>
      </w:r>
      <w:r w:rsidR="00033D0F">
        <w:rPr>
          <w:spacing w:val="-2"/>
        </w:rPr>
        <w:t xml:space="preserve"> </w:t>
      </w:r>
      <w:r w:rsidR="00033D0F">
        <w:t>submissions</w:t>
      </w:r>
      <w:r w:rsidR="00033D0F">
        <w:rPr>
          <w:spacing w:val="-1"/>
        </w:rPr>
        <w:t xml:space="preserve"> </w:t>
      </w:r>
      <w:r w:rsidR="00033D0F">
        <w:t>about whether</w:t>
      </w:r>
      <w:r w:rsidR="00033D0F">
        <w:rPr>
          <w:spacing w:val="-11"/>
        </w:rPr>
        <w:t xml:space="preserve"> </w:t>
      </w:r>
      <w:r w:rsidR="00033D0F">
        <w:t>CADA's</w:t>
      </w:r>
      <w:r w:rsidR="00033D0F">
        <w:rPr>
          <w:spacing w:val="-7"/>
        </w:rPr>
        <w:t xml:space="preserve"> </w:t>
      </w:r>
      <w:r w:rsidR="00033D0F">
        <w:t>application</w:t>
      </w:r>
      <w:r w:rsidR="00033D0F">
        <w:rPr>
          <w:spacing w:val="-10"/>
        </w:rPr>
        <w:t xml:space="preserve"> </w:t>
      </w:r>
      <w:r w:rsidR="00033D0F">
        <w:t>had</w:t>
      </w:r>
      <w:r w:rsidR="00033D0F">
        <w:rPr>
          <w:spacing w:val="-10"/>
        </w:rPr>
        <w:t xml:space="preserve"> </w:t>
      </w:r>
      <w:r w:rsidR="00033D0F">
        <w:t>standing</w:t>
      </w:r>
      <w:r w:rsidR="00033D0F">
        <w:rPr>
          <w:spacing w:val="-7"/>
        </w:rPr>
        <w:t xml:space="preserve"> </w:t>
      </w:r>
      <w:r w:rsidR="00033D0F">
        <w:t>by</w:t>
      </w:r>
      <w:r w:rsidR="00033D0F">
        <w:rPr>
          <w:spacing w:val="-12"/>
        </w:rPr>
        <w:t xml:space="preserve"> </w:t>
      </w:r>
      <w:r w:rsidR="00033D0F">
        <w:t>virtue</w:t>
      </w:r>
      <w:r w:rsidR="00033D0F">
        <w:rPr>
          <w:spacing w:val="-13"/>
        </w:rPr>
        <w:t xml:space="preserve"> </w:t>
      </w:r>
      <w:r w:rsidR="00033D0F">
        <w:t>of</w:t>
      </w:r>
      <w:r w:rsidR="00033D0F">
        <w:rPr>
          <w:spacing w:val="-10"/>
        </w:rPr>
        <w:t xml:space="preserve"> </w:t>
      </w:r>
      <w:r w:rsidR="00033D0F">
        <w:t>the</w:t>
      </w:r>
      <w:r w:rsidR="00033D0F">
        <w:rPr>
          <w:spacing w:val="-8"/>
        </w:rPr>
        <w:t xml:space="preserve"> </w:t>
      </w:r>
      <w:r w:rsidR="00033D0F">
        <w:t>level</w:t>
      </w:r>
      <w:r w:rsidR="00033D0F">
        <w:rPr>
          <w:spacing w:val="-6"/>
        </w:rPr>
        <w:t xml:space="preserve"> </w:t>
      </w:r>
      <w:r w:rsidR="00033D0F">
        <w:t>of</w:t>
      </w:r>
      <w:r w:rsidR="00033D0F">
        <w:rPr>
          <w:spacing w:val="-10"/>
        </w:rPr>
        <w:t xml:space="preserve"> </w:t>
      </w:r>
      <w:r w:rsidR="00033D0F">
        <w:t>support</w:t>
      </w:r>
      <w:r w:rsidR="00033D0F">
        <w:rPr>
          <w:spacing w:val="-8"/>
        </w:rPr>
        <w:t xml:space="preserve"> </w:t>
      </w:r>
      <w:r w:rsidR="00033D0F">
        <w:t>within</w:t>
      </w:r>
      <w:r w:rsidR="00033D0F">
        <w:rPr>
          <w:spacing w:val="-10"/>
        </w:rPr>
        <w:t xml:space="preserve"> </w:t>
      </w:r>
      <w:r w:rsidR="00033D0F">
        <w:t>the</w:t>
      </w:r>
      <w:r w:rsidR="00033D0F">
        <w:rPr>
          <w:spacing w:val="-8"/>
        </w:rPr>
        <w:t xml:space="preserve"> </w:t>
      </w:r>
      <w:r w:rsidR="00033D0F">
        <w:t xml:space="preserve">domestic </w:t>
      </w:r>
      <w:r w:rsidR="00033D0F">
        <w:rPr>
          <w:spacing w:val="-2"/>
        </w:rPr>
        <w:t>industry.</w:t>
      </w:r>
      <w:hyperlink w:anchor="_bookmark1260" w:history="1">
        <w:r w:rsidR="00033D0F">
          <w:rPr>
            <w:spacing w:val="-2"/>
            <w:vertAlign w:val="superscript"/>
          </w:rPr>
          <w:t>1085</w:t>
        </w:r>
      </w:hyperlink>
    </w:p>
    <w:p w14:paraId="49F1629B" w14:textId="77777777" w:rsidR="00BD462C" w:rsidRDefault="00033D0F">
      <w:pPr>
        <w:pStyle w:val="Heading3"/>
        <w:numPr>
          <w:ilvl w:val="0"/>
          <w:numId w:val="30"/>
        </w:numPr>
        <w:tabs>
          <w:tab w:val="left" w:pos="2545"/>
          <w:tab w:val="left" w:pos="2546"/>
        </w:tabs>
        <w:spacing w:before="156"/>
      </w:pPr>
      <w:bookmarkStart w:id="1461" w:name="6._The_responses_to_domestic_producers'_"/>
      <w:bookmarkStart w:id="1462" w:name="_bookmark1259"/>
      <w:bookmarkEnd w:id="1461"/>
      <w:bookmarkEnd w:id="1462"/>
      <w:r>
        <w:t>The</w:t>
      </w:r>
      <w:r>
        <w:rPr>
          <w:spacing w:val="-4"/>
        </w:rPr>
        <w:t xml:space="preserve"> </w:t>
      </w:r>
      <w:r>
        <w:t>responses</w:t>
      </w:r>
      <w:r>
        <w:rPr>
          <w:spacing w:val="-3"/>
        </w:rPr>
        <w:t xml:space="preserve"> </w:t>
      </w:r>
      <w:r>
        <w:t>to</w:t>
      </w:r>
      <w:r>
        <w:rPr>
          <w:spacing w:val="-2"/>
        </w:rPr>
        <w:t xml:space="preserve"> </w:t>
      </w:r>
      <w:r>
        <w:t>domestic</w:t>
      </w:r>
      <w:r>
        <w:rPr>
          <w:spacing w:val="-3"/>
        </w:rPr>
        <w:t xml:space="preserve"> </w:t>
      </w:r>
      <w:r>
        <w:t>producers'</w:t>
      </w:r>
      <w:r>
        <w:rPr>
          <w:spacing w:val="-1"/>
        </w:rPr>
        <w:t xml:space="preserve"> </w:t>
      </w:r>
      <w:r>
        <w:rPr>
          <w:spacing w:val="-2"/>
        </w:rPr>
        <w:t>questionnaires</w:t>
      </w:r>
    </w:p>
    <w:p w14:paraId="4C60A741" w14:textId="77777777" w:rsidR="00BD462C" w:rsidRDefault="00BD462C">
      <w:pPr>
        <w:pStyle w:val="BodyText"/>
        <w:spacing w:before="9"/>
        <w:rPr>
          <w:b/>
        </w:rPr>
      </w:pPr>
    </w:p>
    <w:p w14:paraId="32FD4560" w14:textId="77777777" w:rsidR="00BD462C" w:rsidRDefault="00033D0F">
      <w:pPr>
        <w:pStyle w:val="ListParagraph"/>
        <w:numPr>
          <w:ilvl w:val="1"/>
          <w:numId w:val="30"/>
        </w:numPr>
        <w:tabs>
          <w:tab w:val="left" w:pos="3539"/>
          <w:tab w:val="left" w:pos="3540"/>
        </w:tabs>
        <w:spacing w:before="0"/>
        <w:ind w:hanging="851"/>
        <w:rPr>
          <w:sz w:val="24"/>
        </w:rPr>
      </w:pPr>
      <w:r>
        <w:rPr>
          <w:sz w:val="24"/>
          <w:u w:val="single"/>
        </w:rPr>
        <w:t>Failure</w:t>
      </w:r>
      <w:r>
        <w:rPr>
          <w:spacing w:val="-2"/>
          <w:sz w:val="24"/>
          <w:u w:val="single"/>
        </w:rPr>
        <w:t xml:space="preserve"> </w:t>
      </w:r>
      <w:r>
        <w:rPr>
          <w:sz w:val="24"/>
          <w:u w:val="single"/>
        </w:rPr>
        <w:t>to</w:t>
      </w:r>
      <w:r>
        <w:rPr>
          <w:spacing w:val="-4"/>
          <w:sz w:val="24"/>
          <w:u w:val="single"/>
        </w:rPr>
        <w:t xml:space="preserve"> </w:t>
      </w:r>
      <w:r>
        <w:rPr>
          <w:sz w:val="24"/>
          <w:u w:val="single"/>
        </w:rPr>
        <w:t>assess good</w:t>
      </w:r>
      <w:r>
        <w:rPr>
          <w:spacing w:val="-3"/>
          <w:sz w:val="24"/>
          <w:u w:val="single"/>
        </w:rPr>
        <w:t xml:space="preserve"> </w:t>
      </w:r>
      <w:r>
        <w:rPr>
          <w:spacing w:val="-4"/>
          <w:sz w:val="24"/>
          <w:u w:val="single"/>
        </w:rPr>
        <w:t>cause</w:t>
      </w:r>
    </w:p>
    <w:p w14:paraId="395B48C5" w14:textId="77777777" w:rsidR="00BD462C" w:rsidRDefault="00BD462C">
      <w:pPr>
        <w:pStyle w:val="BodyText"/>
        <w:spacing w:before="11"/>
        <w:rPr>
          <w:sz w:val="20"/>
        </w:rPr>
      </w:pPr>
    </w:p>
    <w:p w14:paraId="7E037FAF" w14:textId="3AE33923" w:rsidR="00BD462C" w:rsidRDefault="004152F7">
      <w:pPr>
        <w:pStyle w:val="BodyText"/>
        <w:spacing w:before="56" w:line="360" w:lineRule="auto"/>
        <w:ind w:left="135" w:right="916"/>
        <w:jc w:val="both"/>
      </w:pPr>
      <w:r>
        <w:rPr>
          <w:noProof/>
        </w:rPr>
        <w:t>702.</w:t>
      </w:r>
      <w:r w:rsidR="00033D0F">
        <w:rPr>
          <w:rFonts w:ascii="Times New Roman"/>
          <w:spacing w:val="80"/>
          <w:w w:val="150"/>
          <w:position w:val="1"/>
          <w:sz w:val="20"/>
        </w:rPr>
        <w:t xml:space="preserve"> </w:t>
      </w:r>
      <w:r w:rsidR="00033D0F">
        <w:rPr>
          <w:position w:val="1"/>
        </w:rPr>
        <w:t xml:space="preserve">In its first written submission, Australia identified a number of instances where </w:t>
      </w:r>
      <w:r w:rsidR="00033D0F">
        <w:t>MOFCOM provided confidential treatment to information provided by domestic producers without requiring "good cause" to be shown. Australia further set out multiple examples where, on the material available to Australia, the nature of the information appeared very unlikely to support such a finding.</w:t>
      </w:r>
      <w:hyperlink w:anchor="_bookmark1261" w:history="1">
        <w:r w:rsidR="00033D0F">
          <w:rPr>
            <w:vertAlign w:val="superscript"/>
          </w:rPr>
          <w:t>1086</w:t>
        </w:r>
      </w:hyperlink>
    </w:p>
    <w:p w14:paraId="67465FC6" w14:textId="77777777" w:rsidR="00BD462C" w:rsidRDefault="00BD462C">
      <w:pPr>
        <w:pStyle w:val="BodyText"/>
        <w:spacing w:before="6"/>
        <w:rPr>
          <w:sz w:val="8"/>
        </w:rPr>
      </w:pPr>
    </w:p>
    <w:p w14:paraId="11D50ADF" w14:textId="31DAB2B2" w:rsidR="00BD462C" w:rsidRDefault="004152F7">
      <w:pPr>
        <w:pStyle w:val="BodyText"/>
        <w:spacing w:before="56"/>
        <w:ind w:left="135"/>
      </w:pPr>
      <w:r>
        <w:rPr>
          <w:noProof/>
        </w:rPr>
        <w:t>703.</w:t>
      </w:r>
      <w:r w:rsidR="00033D0F">
        <w:rPr>
          <w:rFonts w:ascii="Times New Roman"/>
          <w:spacing w:val="80"/>
          <w:position w:val="1"/>
          <w:sz w:val="20"/>
        </w:rPr>
        <w:t xml:space="preserve">   </w:t>
      </w:r>
      <w:r w:rsidR="00033D0F">
        <w:rPr>
          <w:position w:val="1"/>
        </w:rPr>
        <w:t>China's reply to these examples is twofold.</w:t>
      </w:r>
    </w:p>
    <w:p w14:paraId="350EBB9E" w14:textId="77777777" w:rsidR="00BD462C" w:rsidRDefault="00BD462C">
      <w:pPr>
        <w:pStyle w:val="BodyText"/>
        <w:spacing w:before="7"/>
        <w:rPr>
          <w:sz w:val="20"/>
        </w:rPr>
      </w:pPr>
    </w:p>
    <w:p w14:paraId="1140757E" w14:textId="58B8A8E4" w:rsidR="00BD462C" w:rsidRDefault="004152F7">
      <w:pPr>
        <w:pStyle w:val="BodyText"/>
        <w:spacing w:before="56" w:line="357" w:lineRule="auto"/>
        <w:ind w:left="135" w:right="917"/>
        <w:jc w:val="both"/>
      </w:pPr>
      <w:r>
        <w:rPr>
          <w:noProof/>
        </w:rPr>
        <w:t>704.</w:t>
      </w:r>
      <w:r w:rsidR="00033D0F">
        <w:rPr>
          <w:rFonts w:ascii="Times New Roman"/>
          <w:spacing w:val="40"/>
          <w:position w:val="1"/>
          <w:sz w:val="20"/>
        </w:rPr>
        <w:t xml:space="preserve">  </w:t>
      </w:r>
      <w:r w:rsidR="00033D0F">
        <w:rPr>
          <w:position w:val="1"/>
        </w:rPr>
        <w:t xml:space="preserve">First, China alleges that, in respect of each of these examples, the confidential </w:t>
      </w:r>
      <w:r w:rsidR="00033D0F">
        <w:t>treatment</w:t>
      </w:r>
      <w:r w:rsidR="00033D0F">
        <w:rPr>
          <w:spacing w:val="-6"/>
        </w:rPr>
        <w:t xml:space="preserve"> </w:t>
      </w:r>
      <w:r w:rsidR="00033D0F">
        <w:t>did</w:t>
      </w:r>
      <w:r w:rsidR="00033D0F">
        <w:rPr>
          <w:spacing w:val="-8"/>
        </w:rPr>
        <w:t xml:space="preserve"> </w:t>
      </w:r>
      <w:r w:rsidR="00033D0F">
        <w:t>not</w:t>
      </w:r>
      <w:r w:rsidR="00033D0F">
        <w:rPr>
          <w:spacing w:val="-1"/>
        </w:rPr>
        <w:t xml:space="preserve"> </w:t>
      </w:r>
      <w:r w:rsidR="00033D0F">
        <w:t>relate</w:t>
      </w:r>
      <w:r w:rsidR="00033D0F">
        <w:rPr>
          <w:spacing w:val="-6"/>
        </w:rPr>
        <w:t xml:space="preserve"> </w:t>
      </w:r>
      <w:r w:rsidR="00033D0F">
        <w:t>to</w:t>
      </w:r>
      <w:r w:rsidR="00033D0F">
        <w:rPr>
          <w:spacing w:val="-9"/>
        </w:rPr>
        <w:t xml:space="preserve"> </w:t>
      </w:r>
      <w:r w:rsidR="00033D0F">
        <w:t>the</w:t>
      </w:r>
      <w:r w:rsidR="00033D0F">
        <w:rPr>
          <w:spacing w:val="-2"/>
        </w:rPr>
        <w:t xml:space="preserve"> </w:t>
      </w:r>
      <w:r w:rsidR="00033D0F">
        <w:t>direct</w:t>
      </w:r>
      <w:r w:rsidR="00033D0F">
        <w:rPr>
          <w:spacing w:val="-6"/>
        </w:rPr>
        <w:t xml:space="preserve"> </w:t>
      </w:r>
      <w:r w:rsidR="00033D0F">
        <w:t>answer</w:t>
      </w:r>
      <w:r w:rsidR="00033D0F">
        <w:rPr>
          <w:spacing w:val="-9"/>
        </w:rPr>
        <w:t xml:space="preserve"> </w:t>
      </w:r>
      <w:r w:rsidR="00033D0F">
        <w:t>to</w:t>
      </w:r>
      <w:r w:rsidR="00033D0F">
        <w:rPr>
          <w:spacing w:val="-9"/>
        </w:rPr>
        <w:t xml:space="preserve"> </w:t>
      </w:r>
      <w:r w:rsidR="00033D0F">
        <w:t>the</w:t>
      </w:r>
      <w:r w:rsidR="00033D0F">
        <w:rPr>
          <w:spacing w:val="-6"/>
        </w:rPr>
        <w:t xml:space="preserve"> </w:t>
      </w:r>
      <w:r w:rsidR="00033D0F">
        <w:t>question</w:t>
      </w:r>
      <w:r w:rsidR="00033D0F">
        <w:rPr>
          <w:spacing w:val="-8"/>
        </w:rPr>
        <w:t xml:space="preserve"> </w:t>
      </w:r>
      <w:r w:rsidR="00033D0F">
        <w:t>but</w:t>
      </w:r>
      <w:r w:rsidR="00033D0F">
        <w:rPr>
          <w:spacing w:val="-1"/>
        </w:rPr>
        <w:t xml:space="preserve"> </w:t>
      </w:r>
      <w:r w:rsidR="00033D0F">
        <w:t>rather</w:t>
      </w:r>
      <w:r w:rsidR="00033D0F">
        <w:rPr>
          <w:spacing w:val="-4"/>
        </w:rPr>
        <w:t xml:space="preserve"> </w:t>
      </w:r>
      <w:r w:rsidR="00033D0F">
        <w:t>to</w:t>
      </w:r>
      <w:r w:rsidR="00033D0F">
        <w:rPr>
          <w:spacing w:val="-4"/>
        </w:rPr>
        <w:t xml:space="preserve"> </w:t>
      </w:r>
      <w:r w:rsidR="00033D0F">
        <w:t>some</w:t>
      </w:r>
      <w:r w:rsidR="00033D0F">
        <w:rPr>
          <w:spacing w:val="-6"/>
        </w:rPr>
        <w:t xml:space="preserve"> </w:t>
      </w:r>
      <w:r w:rsidR="00033D0F">
        <w:t>other</w:t>
      </w:r>
      <w:r w:rsidR="00033D0F">
        <w:rPr>
          <w:spacing w:val="-9"/>
        </w:rPr>
        <w:t xml:space="preserve"> </w:t>
      </w:r>
      <w:r w:rsidR="00033D0F">
        <w:t>aspect of the response.</w:t>
      </w:r>
      <w:hyperlink w:anchor="_bookmark1262" w:history="1">
        <w:r w:rsidR="00033D0F">
          <w:rPr>
            <w:vertAlign w:val="superscript"/>
          </w:rPr>
          <w:t>1087</w:t>
        </w:r>
      </w:hyperlink>
    </w:p>
    <w:p w14:paraId="70E8151F" w14:textId="77777777" w:rsidR="00BD462C" w:rsidRDefault="00BD462C">
      <w:pPr>
        <w:pStyle w:val="BodyText"/>
        <w:rPr>
          <w:sz w:val="20"/>
        </w:rPr>
      </w:pPr>
    </w:p>
    <w:p w14:paraId="127F48DD" w14:textId="77777777" w:rsidR="00BD462C" w:rsidRDefault="00BD462C">
      <w:pPr>
        <w:pStyle w:val="BodyText"/>
        <w:rPr>
          <w:sz w:val="20"/>
        </w:rPr>
      </w:pPr>
    </w:p>
    <w:p w14:paraId="381B10D7" w14:textId="77777777" w:rsidR="00BD462C" w:rsidRDefault="00BD462C">
      <w:pPr>
        <w:pStyle w:val="BodyText"/>
        <w:rPr>
          <w:sz w:val="20"/>
        </w:rPr>
      </w:pPr>
    </w:p>
    <w:p w14:paraId="0161D7AF" w14:textId="77777777" w:rsidR="00BD462C" w:rsidRDefault="00BD462C">
      <w:pPr>
        <w:pStyle w:val="BodyText"/>
        <w:rPr>
          <w:sz w:val="20"/>
        </w:rPr>
      </w:pPr>
    </w:p>
    <w:p w14:paraId="219C044E" w14:textId="77777777" w:rsidR="00BD462C" w:rsidRDefault="00BD462C">
      <w:pPr>
        <w:pStyle w:val="BodyText"/>
        <w:rPr>
          <w:sz w:val="20"/>
        </w:rPr>
      </w:pPr>
    </w:p>
    <w:p w14:paraId="795DF2DC" w14:textId="1F4FF6A9" w:rsidR="00BD462C" w:rsidRDefault="00D70C7D">
      <w:pPr>
        <w:pStyle w:val="BodyText"/>
        <w:spacing w:before="6"/>
        <w:rPr>
          <w:sz w:val="28"/>
        </w:rPr>
      </w:pPr>
      <w:r>
        <w:rPr>
          <w:noProof/>
        </w:rPr>
        <mc:AlternateContent>
          <mc:Choice Requires="wps">
            <w:drawing>
              <wp:anchor distT="0" distB="0" distL="0" distR="0" simplePos="0" relativeHeight="487820800" behindDoc="1" locked="0" layoutInCell="1" allowOverlap="1" wp14:anchorId="26B04D4C" wp14:editId="5EC989FF">
                <wp:simplePos x="0" y="0"/>
                <wp:positionH relativeFrom="page">
                  <wp:posOffset>899160</wp:posOffset>
                </wp:positionH>
                <wp:positionV relativeFrom="paragraph">
                  <wp:posOffset>236220</wp:posOffset>
                </wp:positionV>
                <wp:extent cx="1828800" cy="8890"/>
                <wp:effectExtent l="0" t="0" r="0" b="0"/>
                <wp:wrapTopAndBottom/>
                <wp:docPr id="432" name="docshape5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A47131" id="docshape506" o:spid="_x0000_s1026" alt="&quot;&quot;" style="position:absolute;margin-left:70.8pt;margin-top:18.6pt;width:2in;height:.7pt;z-index:-1549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" fillcolor="black" stroked="f">
                <w10:wrap type="topAndBottom" anchorx="page"/>
              </v:rect>
            </w:pict>
          </mc:Fallback>
        </mc:AlternateContent>
      </w:r>
    </w:p>
    <w:p w14:paraId="243AD50D" w14:textId="77777777" w:rsidR="00BD462C" w:rsidRDefault="00033D0F">
      <w:pPr>
        <w:spacing w:before="107"/>
        <w:ind w:left="136" w:right="923" w:hanging="1"/>
        <w:rPr>
          <w:sz w:val="18"/>
        </w:rPr>
      </w:pPr>
      <w:bookmarkStart w:id="1463" w:name="_bookmark1260"/>
      <w:bookmarkEnd w:id="1463"/>
      <w:r>
        <w:rPr>
          <w:position w:val="5"/>
          <w:sz w:val="12"/>
        </w:rPr>
        <w:t>1085</w:t>
      </w:r>
      <w:r>
        <w:rPr>
          <w:spacing w:val="34"/>
          <w:position w:val="5"/>
          <w:sz w:val="12"/>
        </w:rPr>
        <w:t xml:space="preserve"> </w:t>
      </w:r>
      <w:r>
        <w:rPr>
          <w:sz w:val="18"/>
        </w:rPr>
        <w:t>Australian Government Submission on Initiation (Exhibit AUS-87), p. 6 (cited in China's first written submission, para.</w:t>
      </w:r>
      <w:r>
        <w:rPr>
          <w:spacing w:val="40"/>
          <w:sz w:val="18"/>
        </w:rPr>
        <w:t xml:space="preserve"> </w:t>
      </w:r>
      <w:r>
        <w:rPr>
          <w:sz w:val="18"/>
        </w:rPr>
        <w:t>2319, fn. 2222).</w:t>
      </w:r>
    </w:p>
    <w:p w14:paraId="000C1DFB" w14:textId="77777777" w:rsidR="00BD462C" w:rsidRDefault="00033D0F">
      <w:pPr>
        <w:spacing w:before="2"/>
        <w:ind w:left="136" w:right="597" w:hanging="1"/>
        <w:rPr>
          <w:sz w:val="18"/>
        </w:rPr>
      </w:pPr>
      <w:bookmarkStart w:id="1464" w:name="_bookmark1261"/>
      <w:bookmarkEnd w:id="1464"/>
      <w:r>
        <w:rPr>
          <w:position w:val="5"/>
          <w:sz w:val="12"/>
        </w:rPr>
        <w:t>1086</w:t>
      </w:r>
      <w:r>
        <w:rPr>
          <w:spacing w:val="12"/>
          <w:position w:val="5"/>
          <w:sz w:val="12"/>
        </w:rPr>
        <w:t xml:space="preserve"> </w:t>
      </w:r>
      <w:r>
        <w:rPr>
          <w:sz w:val="18"/>
        </w:rPr>
        <w:t>Australia's</w:t>
      </w:r>
      <w:r>
        <w:rPr>
          <w:spacing w:val="-7"/>
          <w:sz w:val="18"/>
        </w:rPr>
        <w:t xml:space="preserve"> </w:t>
      </w:r>
      <w:r>
        <w:rPr>
          <w:sz w:val="18"/>
        </w:rPr>
        <w:t>first</w:t>
      </w:r>
      <w:r>
        <w:rPr>
          <w:spacing w:val="-6"/>
          <w:sz w:val="18"/>
        </w:rPr>
        <w:t xml:space="preserve"> </w:t>
      </w:r>
      <w:r>
        <w:rPr>
          <w:sz w:val="18"/>
        </w:rPr>
        <w:t>written</w:t>
      </w:r>
      <w:r>
        <w:rPr>
          <w:spacing w:val="-7"/>
          <w:sz w:val="18"/>
        </w:rPr>
        <w:t xml:space="preserve"> </w:t>
      </w:r>
      <w:r>
        <w:rPr>
          <w:sz w:val="18"/>
        </w:rPr>
        <w:t>submission,</w:t>
      </w:r>
      <w:r>
        <w:rPr>
          <w:spacing w:val="-5"/>
          <w:sz w:val="18"/>
        </w:rPr>
        <w:t xml:space="preserve"> </w:t>
      </w:r>
      <w:r>
        <w:rPr>
          <w:sz w:val="18"/>
        </w:rPr>
        <w:t>paras.</w:t>
      </w:r>
      <w:r>
        <w:rPr>
          <w:spacing w:val="-6"/>
          <w:sz w:val="18"/>
        </w:rPr>
        <w:t xml:space="preserve"> </w:t>
      </w:r>
      <w:r>
        <w:rPr>
          <w:sz w:val="18"/>
        </w:rPr>
        <w:t>860-861;</w:t>
      </w:r>
      <w:r>
        <w:rPr>
          <w:spacing w:val="-8"/>
          <w:sz w:val="18"/>
        </w:rPr>
        <w:t xml:space="preserve"> </w:t>
      </w:r>
      <w:r>
        <w:rPr>
          <w:sz w:val="18"/>
        </w:rPr>
        <w:t>response</w:t>
      </w:r>
      <w:r>
        <w:rPr>
          <w:spacing w:val="-7"/>
          <w:sz w:val="18"/>
        </w:rPr>
        <w:t xml:space="preserve"> </w:t>
      </w:r>
      <w:r>
        <w:rPr>
          <w:sz w:val="18"/>
        </w:rPr>
        <w:t>to</w:t>
      </w:r>
      <w:r>
        <w:rPr>
          <w:spacing w:val="-13"/>
          <w:sz w:val="18"/>
        </w:rPr>
        <w:t xml:space="preserve"> </w:t>
      </w:r>
      <w:r>
        <w:rPr>
          <w:sz w:val="18"/>
        </w:rPr>
        <w:t>Panel</w:t>
      </w:r>
      <w:r>
        <w:rPr>
          <w:spacing w:val="-6"/>
          <w:sz w:val="18"/>
        </w:rPr>
        <w:t xml:space="preserve"> </w:t>
      </w:r>
      <w:r>
        <w:rPr>
          <w:sz w:val="18"/>
        </w:rPr>
        <w:t>question</w:t>
      </w:r>
      <w:r>
        <w:rPr>
          <w:spacing w:val="-12"/>
          <w:sz w:val="18"/>
        </w:rPr>
        <w:t xml:space="preserve"> </w:t>
      </w:r>
      <w:r>
        <w:rPr>
          <w:sz w:val="18"/>
        </w:rPr>
        <w:t>No.</w:t>
      </w:r>
      <w:r>
        <w:rPr>
          <w:spacing w:val="-1"/>
          <w:sz w:val="18"/>
        </w:rPr>
        <w:t xml:space="preserve"> </w:t>
      </w:r>
      <w:r>
        <w:rPr>
          <w:sz w:val="18"/>
        </w:rPr>
        <w:t>55.</w:t>
      </w:r>
      <w:r>
        <w:rPr>
          <w:spacing w:val="-6"/>
          <w:sz w:val="18"/>
        </w:rPr>
        <w:t xml:space="preserve"> </w:t>
      </w:r>
      <w:r>
        <w:rPr>
          <w:sz w:val="18"/>
        </w:rPr>
        <w:t>In</w:t>
      </w:r>
      <w:r>
        <w:rPr>
          <w:spacing w:val="-8"/>
          <w:sz w:val="18"/>
        </w:rPr>
        <w:t xml:space="preserve"> </w:t>
      </w:r>
      <w:r>
        <w:rPr>
          <w:sz w:val="18"/>
        </w:rPr>
        <w:t>response</w:t>
      </w:r>
      <w:r>
        <w:rPr>
          <w:spacing w:val="-7"/>
          <w:sz w:val="18"/>
        </w:rPr>
        <w:t xml:space="preserve"> </w:t>
      </w:r>
      <w:r>
        <w:rPr>
          <w:sz w:val="18"/>
        </w:rPr>
        <w:t>to</w:t>
      </w:r>
      <w:r>
        <w:rPr>
          <w:spacing w:val="-8"/>
          <w:sz w:val="18"/>
        </w:rPr>
        <w:t xml:space="preserve"> </w:t>
      </w:r>
      <w:r>
        <w:rPr>
          <w:sz w:val="18"/>
        </w:rPr>
        <w:t>the</w:t>
      </w:r>
      <w:r>
        <w:rPr>
          <w:spacing w:val="-7"/>
          <w:sz w:val="18"/>
        </w:rPr>
        <w:t xml:space="preserve"> </w:t>
      </w:r>
      <w:r>
        <w:rPr>
          <w:sz w:val="18"/>
        </w:rPr>
        <w:t>latter,</w:t>
      </w:r>
      <w:r>
        <w:rPr>
          <w:spacing w:val="-5"/>
          <w:sz w:val="18"/>
        </w:rPr>
        <w:t xml:space="preserve"> </w:t>
      </w:r>
      <w:r>
        <w:rPr>
          <w:sz w:val="18"/>
        </w:rPr>
        <w:t>Australia provided additional submissions on every instance in which it alleged an inconsistency with Article 6.5.1.</w:t>
      </w:r>
    </w:p>
    <w:p w14:paraId="6BE6D9E2" w14:textId="77777777" w:rsidR="00BD462C" w:rsidRDefault="00033D0F">
      <w:pPr>
        <w:spacing w:before="2"/>
        <w:ind w:left="135"/>
        <w:rPr>
          <w:sz w:val="18"/>
        </w:rPr>
      </w:pPr>
      <w:bookmarkStart w:id="1465" w:name="_bookmark1262"/>
      <w:bookmarkEnd w:id="1465"/>
      <w:r>
        <w:rPr>
          <w:position w:val="5"/>
          <w:sz w:val="12"/>
        </w:rPr>
        <w:t>1087</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paras.</w:t>
      </w:r>
      <w:r>
        <w:rPr>
          <w:spacing w:val="-5"/>
          <w:sz w:val="18"/>
        </w:rPr>
        <w:t xml:space="preserve"> </w:t>
      </w:r>
      <w:r>
        <w:rPr>
          <w:sz w:val="18"/>
        </w:rPr>
        <w:t>2297-</w:t>
      </w:r>
      <w:r>
        <w:rPr>
          <w:spacing w:val="-2"/>
          <w:sz w:val="18"/>
        </w:rPr>
        <w:t>2302.</w:t>
      </w:r>
    </w:p>
    <w:p w14:paraId="124199AF" w14:textId="77777777" w:rsidR="00BD462C" w:rsidRDefault="00BD462C">
      <w:pPr>
        <w:rPr>
          <w:sz w:val="18"/>
        </w:rPr>
        <w:sectPr w:rsidR="00BD462C">
          <w:pgSz w:w="11910" w:h="16840"/>
          <w:pgMar w:top="860" w:right="500" w:bottom="780" w:left="1280" w:header="566" w:footer="590" w:gutter="0"/>
          <w:cols w:space="720"/>
        </w:sectPr>
      </w:pPr>
    </w:p>
    <w:p w14:paraId="79B182F2"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29F97CD8"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633738EB"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588F7007" w14:textId="11DC26C6" w:rsidR="00BD462C" w:rsidRDefault="004152F7">
      <w:pPr>
        <w:pStyle w:val="BodyText"/>
        <w:spacing w:before="107" w:line="357" w:lineRule="auto"/>
        <w:ind w:left="135" w:right="914"/>
        <w:jc w:val="both"/>
      </w:pPr>
      <w:r>
        <w:rPr>
          <w:noProof/>
        </w:rPr>
        <w:t>705.</w:t>
      </w:r>
      <w:r w:rsidR="00033D0F">
        <w:rPr>
          <w:rFonts w:ascii="Times New Roman"/>
          <w:spacing w:val="80"/>
          <w:position w:val="1"/>
          <w:sz w:val="20"/>
        </w:rPr>
        <w:t xml:space="preserve">  </w:t>
      </w:r>
      <w:r w:rsidR="00033D0F">
        <w:rPr>
          <w:position w:val="1"/>
        </w:rPr>
        <w:t>Second, China says</w:t>
      </w:r>
      <w:r w:rsidR="00033D0F">
        <w:rPr>
          <w:spacing w:val="-1"/>
          <w:position w:val="1"/>
        </w:rPr>
        <w:t xml:space="preserve"> </w:t>
      </w:r>
      <w:r w:rsidR="00033D0F">
        <w:rPr>
          <w:position w:val="1"/>
        </w:rPr>
        <w:t>that for several of the examples, the response contained at</w:t>
      </w:r>
      <w:r w:rsidR="00033D0F">
        <w:rPr>
          <w:spacing w:val="-2"/>
          <w:position w:val="1"/>
        </w:rPr>
        <w:t xml:space="preserve"> </w:t>
      </w:r>
      <w:r w:rsidR="00033D0F">
        <w:rPr>
          <w:position w:val="1"/>
        </w:rPr>
        <w:t xml:space="preserve">least </w:t>
      </w:r>
      <w:r w:rsidR="00033D0F">
        <w:t>some</w:t>
      </w:r>
      <w:r w:rsidR="00033D0F">
        <w:rPr>
          <w:spacing w:val="-6"/>
        </w:rPr>
        <w:t xml:space="preserve"> </w:t>
      </w:r>
      <w:r w:rsidR="00033D0F">
        <w:t>public</w:t>
      </w:r>
      <w:r w:rsidR="00033D0F">
        <w:rPr>
          <w:spacing w:val="-7"/>
        </w:rPr>
        <w:t xml:space="preserve"> </w:t>
      </w:r>
      <w:r w:rsidR="00033D0F">
        <w:t>information,</w:t>
      </w:r>
      <w:r w:rsidR="00033D0F">
        <w:rPr>
          <w:spacing w:val="-4"/>
        </w:rPr>
        <w:t xml:space="preserve"> </w:t>
      </w:r>
      <w:r w:rsidR="00033D0F">
        <w:t>which</w:t>
      </w:r>
      <w:r w:rsidR="00033D0F">
        <w:rPr>
          <w:spacing w:val="-8"/>
        </w:rPr>
        <w:t xml:space="preserve"> </w:t>
      </w:r>
      <w:r w:rsidR="00033D0F">
        <w:t>MOFCOM</w:t>
      </w:r>
      <w:r w:rsidR="00033D0F">
        <w:rPr>
          <w:spacing w:val="-6"/>
        </w:rPr>
        <w:t xml:space="preserve"> </w:t>
      </w:r>
      <w:r w:rsidR="00033D0F">
        <w:t>was,</w:t>
      </w:r>
      <w:r w:rsidR="00033D0F">
        <w:rPr>
          <w:spacing w:val="-4"/>
        </w:rPr>
        <w:t xml:space="preserve"> </w:t>
      </w:r>
      <w:r w:rsidR="00033D0F">
        <w:t>therefore, under</w:t>
      </w:r>
      <w:r w:rsidR="00033D0F">
        <w:rPr>
          <w:spacing w:val="-4"/>
        </w:rPr>
        <w:t xml:space="preserve"> </w:t>
      </w:r>
      <w:r w:rsidR="00033D0F">
        <w:t>no</w:t>
      </w:r>
      <w:r w:rsidR="00033D0F">
        <w:rPr>
          <w:spacing w:val="-4"/>
        </w:rPr>
        <w:t xml:space="preserve"> </w:t>
      </w:r>
      <w:r w:rsidR="00033D0F">
        <w:t>obligation</w:t>
      </w:r>
      <w:r w:rsidR="00033D0F">
        <w:rPr>
          <w:spacing w:val="-8"/>
        </w:rPr>
        <w:t xml:space="preserve"> </w:t>
      </w:r>
      <w:r w:rsidR="00033D0F">
        <w:t>to</w:t>
      </w:r>
      <w:r w:rsidR="00033D0F">
        <w:rPr>
          <w:spacing w:val="-9"/>
        </w:rPr>
        <w:t xml:space="preserve"> </w:t>
      </w:r>
      <w:r w:rsidR="00033D0F">
        <w:t>disclose.</w:t>
      </w:r>
      <w:hyperlink w:anchor="_bookmark1263" w:history="1">
        <w:r w:rsidR="00033D0F">
          <w:rPr>
            <w:vertAlign w:val="superscript"/>
          </w:rPr>
          <w:t>1088</w:t>
        </w:r>
      </w:hyperlink>
      <w:r w:rsidR="00033D0F">
        <w:t xml:space="preserve"> China cites previous decisions relating to Article 6.4 to support this assertion.</w:t>
      </w:r>
    </w:p>
    <w:p w14:paraId="11C9A286" w14:textId="77777777" w:rsidR="00BD462C" w:rsidRDefault="00BD462C">
      <w:pPr>
        <w:pStyle w:val="BodyText"/>
        <w:spacing w:before="3"/>
        <w:rPr>
          <w:sz w:val="9"/>
        </w:rPr>
      </w:pPr>
    </w:p>
    <w:p w14:paraId="7F6CAA52" w14:textId="28546DF2" w:rsidR="00BD462C" w:rsidRDefault="004152F7">
      <w:pPr>
        <w:pStyle w:val="BodyText"/>
        <w:spacing w:before="56" w:line="360" w:lineRule="auto"/>
        <w:ind w:left="136" w:right="916"/>
        <w:jc w:val="both"/>
      </w:pPr>
      <w:r>
        <w:rPr>
          <w:noProof/>
        </w:rPr>
        <w:t>706.</w:t>
      </w:r>
      <w:r w:rsidR="00033D0F">
        <w:rPr>
          <w:rFonts w:ascii="Times New Roman"/>
          <w:spacing w:val="80"/>
          <w:position w:val="1"/>
          <w:sz w:val="20"/>
        </w:rPr>
        <w:t xml:space="preserve">  </w:t>
      </w:r>
      <w:r w:rsidR="00033D0F">
        <w:rPr>
          <w:position w:val="1"/>
        </w:rPr>
        <w:t>Neither</w:t>
      </w:r>
      <w:r w:rsidR="00033D0F">
        <w:rPr>
          <w:spacing w:val="-6"/>
          <w:position w:val="1"/>
        </w:rPr>
        <w:t xml:space="preserve"> </w:t>
      </w:r>
      <w:r w:rsidR="00033D0F">
        <w:rPr>
          <w:position w:val="1"/>
        </w:rPr>
        <w:t>of</w:t>
      </w:r>
      <w:r w:rsidR="00033D0F">
        <w:rPr>
          <w:spacing w:val="-5"/>
          <w:position w:val="1"/>
        </w:rPr>
        <w:t xml:space="preserve"> </w:t>
      </w:r>
      <w:r w:rsidR="00033D0F">
        <w:rPr>
          <w:position w:val="1"/>
        </w:rPr>
        <w:t>China's</w:t>
      </w:r>
      <w:r w:rsidR="00033D0F">
        <w:rPr>
          <w:spacing w:val="-2"/>
          <w:position w:val="1"/>
        </w:rPr>
        <w:t xml:space="preserve"> </w:t>
      </w:r>
      <w:r w:rsidR="00033D0F">
        <w:rPr>
          <w:position w:val="1"/>
        </w:rPr>
        <w:t>replies</w:t>
      </w:r>
      <w:r w:rsidR="00033D0F">
        <w:rPr>
          <w:spacing w:val="-2"/>
          <w:position w:val="1"/>
        </w:rPr>
        <w:t xml:space="preserve"> </w:t>
      </w:r>
      <w:r w:rsidR="00033D0F">
        <w:rPr>
          <w:position w:val="1"/>
        </w:rPr>
        <w:t>provide</w:t>
      </w:r>
      <w:r w:rsidR="00033D0F">
        <w:rPr>
          <w:spacing w:val="-4"/>
          <w:position w:val="1"/>
        </w:rPr>
        <w:t xml:space="preserve"> </w:t>
      </w:r>
      <w:r w:rsidR="00033D0F">
        <w:rPr>
          <w:position w:val="1"/>
        </w:rPr>
        <w:t>an</w:t>
      </w:r>
      <w:r w:rsidR="00033D0F">
        <w:rPr>
          <w:spacing w:val="-5"/>
          <w:position w:val="1"/>
        </w:rPr>
        <w:t xml:space="preserve"> </w:t>
      </w:r>
      <w:r w:rsidR="00033D0F">
        <w:rPr>
          <w:position w:val="1"/>
        </w:rPr>
        <w:t>answer</w:t>
      </w:r>
      <w:r w:rsidR="00033D0F">
        <w:rPr>
          <w:spacing w:val="-6"/>
          <w:position w:val="1"/>
        </w:rPr>
        <w:t xml:space="preserve"> </w:t>
      </w:r>
      <w:r w:rsidR="00033D0F">
        <w:rPr>
          <w:position w:val="1"/>
        </w:rPr>
        <w:t>to</w:t>
      </w:r>
      <w:r w:rsidR="00033D0F">
        <w:rPr>
          <w:spacing w:val="-6"/>
          <w:position w:val="1"/>
        </w:rPr>
        <w:t xml:space="preserve"> </w:t>
      </w:r>
      <w:r w:rsidR="00033D0F">
        <w:rPr>
          <w:position w:val="1"/>
        </w:rPr>
        <w:t>Australia's</w:t>
      </w:r>
      <w:r w:rsidR="00033D0F">
        <w:rPr>
          <w:spacing w:val="-2"/>
          <w:position w:val="1"/>
        </w:rPr>
        <w:t xml:space="preserve"> </w:t>
      </w:r>
      <w:r w:rsidR="00033D0F">
        <w:rPr>
          <w:position w:val="1"/>
        </w:rPr>
        <w:t>claim.</w:t>
      </w:r>
      <w:r w:rsidR="00033D0F">
        <w:rPr>
          <w:spacing w:val="-7"/>
          <w:position w:val="1"/>
        </w:rPr>
        <w:t xml:space="preserve"> </w:t>
      </w:r>
      <w:r w:rsidR="00033D0F">
        <w:rPr>
          <w:position w:val="1"/>
        </w:rPr>
        <w:t>Indeed,</w:t>
      </w:r>
      <w:r w:rsidR="00033D0F">
        <w:rPr>
          <w:spacing w:val="-2"/>
          <w:position w:val="1"/>
        </w:rPr>
        <w:t xml:space="preserve"> </w:t>
      </w:r>
      <w:r w:rsidR="00033D0F">
        <w:rPr>
          <w:position w:val="1"/>
        </w:rPr>
        <w:t>even</w:t>
      </w:r>
      <w:r w:rsidR="00033D0F">
        <w:rPr>
          <w:spacing w:val="-5"/>
          <w:position w:val="1"/>
        </w:rPr>
        <w:t xml:space="preserve"> </w:t>
      </w:r>
      <w:r w:rsidR="00033D0F">
        <w:rPr>
          <w:position w:val="1"/>
        </w:rPr>
        <w:t xml:space="preserve">taking </w:t>
      </w:r>
      <w:r w:rsidR="00033D0F">
        <w:t xml:space="preserve">them on face value, each contains a concession that MOFCOM afforded confidential treatment to material for which "good cause" had not (and could not have) been shown, simply because </w:t>
      </w:r>
      <w:r w:rsidR="00033D0F">
        <w:rPr>
          <w:i/>
        </w:rPr>
        <w:t xml:space="preserve">some other </w:t>
      </w:r>
      <w:r w:rsidR="00033D0F">
        <w:t>part of the answer contained confidential information. It is inconsistent with the requirements of Article 6.5 for non-confidential information to be treated as confidential solely because it appears as part of a larger response that contains other information for which "good cause" has purportedly been shown.</w:t>
      </w:r>
    </w:p>
    <w:p w14:paraId="06CEFC1C" w14:textId="77777777" w:rsidR="00BD462C" w:rsidRDefault="00BD462C">
      <w:pPr>
        <w:pStyle w:val="BodyText"/>
        <w:spacing w:before="5"/>
        <w:rPr>
          <w:sz w:val="8"/>
        </w:rPr>
      </w:pPr>
    </w:p>
    <w:p w14:paraId="4DAA7C70" w14:textId="7C0B5BA4" w:rsidR="00BD462C" w:rsidRDefault="00F94D59">
      <w:pPr>
        <w:pStyle w:val="BodyText"/>
        <w:spacing w:before="56" w:line="360" w:lineRule="auto"/>
        <w:ind w:left="135" w:right="916"/>
        <w:jc w:val="both"/>
      </w:pPr>
      <w:r>
        <w:rPr>
          <w:noProof/>
        </w:rPr>
        <w:t>707.</w:t>
      </w:r>
      <w:r w:rsidR="00033D0F">
        <w:rPr>
          <w:rFonts w:ascii="Times New Roman"/>
          <w:spacing w:val="80"/>
          <w:position w:val="1"/>
          <w:sz w:val="20"/>
        </w:rPr>
        <w:t xml:space="preserve">  </w:t>
      </w:r>
      <w:r w:rsidR="00033D0F">
        <w:rPr>
          <w:position w:val="1"/>
        </w:rPr>
        <w:t xml:space="preserve">For instance, one of the questions Australia has identified as an example where the </w:t>
      </w:r>
      <w:r w:rsidR="00033D0F">
        <w:t>nature of the information provided by domestic producers would not support a finding that "good</w:t>
      </w:r>
      <w:r w:rsidR="00033D0F">
        <w:rPr>
          <w:spacing w:val="-14"/>
        </w:rPr>
        <w:t xml:space="preserve"> </w:t>
      </w:r>
      <w:r w:rsidR="00033D0F">
        <w:t>cause"</w:t>
      </w:r>
      <w:r w:rsidR="00033D0F">
        <w:rPr>
          <w:spacing w:val="-13"/>
        </w:rPr>
        <w:t xml:space="preserve"> </w:t>
      </w:r>
      <w:r w:rsidR="00033D0F">
        <w:t>had</w:t>
      </w:r>
      <w:r w:rsidR="00033D0F">
        <w:rPr>
          <w:spacing w:val="-9"/>
        </w:rPr>
        <w:t xml:space="preserve"> </w:t>
      </w:r>
      <w:r w:rsidR="00033D0F">
        <w:t>been</w:t>
      </w:r>
      <w:r w:rsidR="00033D0F">
        <w:rPr>
          <w:spacing w:val="-9"/>
        </w:rPr>
        <w:t xml:space="preserve"> </w:t>
      </w:r>
      <w:r w:rsidR="00033D0F">
        <w:t>shown</w:t>
      </w:r>
      <w:r w:rsidR="00033D0F">
        <w:rPr>
          <w:spacing w:val="-9"/>
        </w:rPr>
        <w:t xml:space="preserve"> </w:t>
      </w:r>
      <w:r w:rsidR="00033D0F">
        <w:t>were</w:t>
      </w:r>
      <w:r w:rsidR="00033D0F">
        <w:rPr>
          <w:spacing w:val="-12"/>
        </w:rPr>
        <w:t xml:space="preserve"> </w:t>
      </w:r>
      <w:r w:rsidR="00033D0F">
        <w:t>the</w:t>
      </w:r>
      <w:r w:rsidR="00033D0F">
        <w:rPr>
          <w:spacing w:val="-7"/>
        </w:rPr>
        <w:t xml:space="preserve"> </w:t>
      </w:r>
      <w:r w:rsidR="00033D0F">
        <w:t>responses</w:t>
      </w:r>
      <w:r w:rsidR="00033D0F">
        <w:rPr>
          <w:spacing w:val="-10"/>
        </w:rPr>
        <w:t xml:space="preserve"> </w:t>
      </w:r>
      <w:r w:rsidR="00033D0F">
        <w:t>to</w:t>
      </w:r>
      <w:r w:rsidR="00033D0F">
        <w:rPr>
          <w:spacing w:val="-9"/>
        </w:rPr>
        <w:t xml:space="preserve"> </w:t>
      </w:r>
      <w:r w:rsidR="00033D0F">
        <w:t>question</w:t>
      </w:r>
      <w:r w:rsidR="00033D0F">
        <w:rPr>
          <w:spacing w:val="-14"/>
        </w:rPr>
        <w:t xml:space="preserve"> </w:t>
      </w:r>
      <w:r w:rsidR="00033D0F">
        <w:t>12.</w:t>
      </w:r>
      <w:r w:rsidR="00033D0F">
        <w:rPr>
          <w:spacing w:val="-11"/>
        </w:rPr>
        <w:t xml:space="preserve"> </w:t>
      </w:r>
      <w:r w:rsidR="00033D0F">
        <w:t>That</w:t>
      </w:r>
      <w:r w:rsidR="00033D0F">
        <w:rPr>
          <w:spacing w:val="-5"/>
        </w:rPr>
        <w:t xml:space="preserve"> </w:t>
      </w:r>
      <w:r w:rsidR="00033D0F">
        <w:t>question</w:t>
      </w:r>
      <w:r w:rsidR="00033D0F">
        <w:rPr>
          <w:spacing w:val="-14"/>
        </w:rPr>
        <w:t xml:space="preserve"> </w:t>
      </w:r>
      <w:r w:rsidR="00033D0F">
        <w:t>asked</w:t>
      </w:r>
      <w:r w:rsidR="00033D0F">
        <w:rPr>
          <w:spacing w:val="-9"/>
        </w:rPr>
        <w:t xml:space="preserve"> </w:t>
      </w:r>
      <w:r w:rsidR="00033D0F">
        <w:t>for</w:t>
      </w:r>
      <w:r w:rsidR="00033D0F">
        <w:rPr>
          <w:spacing w:val="-10"/>
        </w:rPr>
        <w:t xml:space="preserve"> </w:t>
      </w:r>
      <w:r w:rsidR="00033D0F">
        <w:t>the identification of the "main raw materials, fuels and power used in the production of like products". Australia, in its first written submission, submitted that there appeared to be no basis</w:t>
      </w:r>
      <w:r w:rsidR="00033D0F">
        <w:rPr>
          <w:spacing w:val="-14"/>
        </w:rPr>
        <w:t xml:space="preserve"> </w:t>
      </w:r>
      <w:r w:rsidR="00033D0F">
        <w:t>to</w:t>
      </w:r>
      <w:r w:rsidR="00033D0F">
        <w:rPr>
          <w:spacing w:val="-14"/>
        </w:rPr>
        <w:t xml:space="preserve"> </w:t>
      </w:r>
      <w:r w:rsidR="00033D0F">
        <w:t>grant</w:t>
      </w:r>
      <w:r w:rsidR="00033D0F">
        <w:rPr>
          <w:spacing w:val="-13"/>
        </w:rPr>
        <w:t xml:space="preserve"> </w:t>
      </w:r>
      <w:r w:rsidR="00033D0F">
        <w:t>broad</w:t>
      </w:r>
      <w:r w:rsidR="00033D0F">
        <w:rPr>
          <w:spacing w:val="-14"/>
        </w:rPr>
        <w:t xml:space="preserve"> </w:t>
      </w:r>
      <w:r w:rsidR="00033D0F">
        <w:t>confidential</w:t>
      </w:r>
      <w:r w:rsidR="00033D0F">
        <w:rPr>
          <w:spacing w:val="-13"/>
        </w:rPr>
        <w:t xml:space="preserve"> </w:t>
      </w:r>
      <w:r w:rsidR="00033D0F">
        <w:t>treatment</w:t>
      </w:r>
      <w:r w:rsidR="00033D0F">
        <w:rPr>
          <w:spacing w:val="-14"/>
        </w:rPr>
        <w:t xml:space="preserve"> </w:t>
      </w:r>
      <w:r w:rsidR="00033D0F">
        <w:t>to</w:t>
      </w:r>
      <w:r w:rsidR="00033D0F">
        <w:rPr>
          <w:spacing w:val="-13"/>
        </w:rPr>
        <w:t xml:space="preserve"> </w:t>
      </w:r>
      <w:r w:rsidR="00033D0F">
        <w:t>responses</w:t>
      </w:r>
      <w:r w:rsidR="00033D0F">
        <w:rPr>
          <w:spacing w:val="-14"/>
        </w:rPr>
        <w:t xml:space="preserve"> </w:t>
      </w:r>
      <w:r w:rsidR="00033D0F">
        <w:t>concerning</w:t>
      </w:r>
      <w:r w:rsidR="00033D0F">
        <w:rPr>
          <w:spacing w:val="-14"/>
        </w:rPr>
        <w:t xml:space="preserve"> </w:t>
      </w:r>
      <w:r w:rsidR="00033D0F">
        <w:t>"the</w:t>
      </w:r>
      <w:r w:rsidR="00033D0F">
        <w:rPr>
          <w:spacing w:val="-13"/>
        </w:rPr>
        <w:t xml:space="preserve"> </w:t>
      </w:r>
      <w:r w:rsidR="00033D0F">
        <w:t>main</w:t>
      </w:r>
      <w:r w:rsidR="00033D0F">
        <w:rPr>
          <w:spacing w:val="-14"/>
        </w:rPr>
        <w:t xml:space="preserve"> </w:t>
      </w:r>
      <w:r w:rsidR="00033D0F">
        <w:t>raw</w:t>
      </w:r>
      <w:r w:rsidR="00033D0F">
        <w:rPr>
          <w:spacing w:val="-13"/>
        </w:rPr>
        <w:t xml:space="preserve"> </w:t>
      </w:r>
      <w:r w:rsidR="00033D0F">
        <w:t>materials", when both the questionnaire itself, and the response given by the domestic producer respondents to another question, had identified that the main raw materials used are "fresh grapes or grape juice".</w:t>
      </w:r>
      <w:hyperlink w:anchor="_bookmark1264" w:history="1">
        <w:r w:rsidR="00033D0F">
          <w:rPr>
            <w:vertAlign w:val="superscript"/>
          </w:rPr>
          <w:t>1089</w:t>
        </w:r>
      </w:hyperlink>
    </w:p>
    <w:p w14:paraId="2074AC5B" w14:textId="77777777" w:rsidR="00BD462C" w:rsidRDefault="00BD462C">
      <w:pPr>
        <w:pStyle w:val="BodyText"/>
        <w:spacing w:before="5"/>
        <w:rPr>
          <w:sz w:val="8"/>
        </w:rPr>
      </w:pPr>
    </w:p>
    <w:p w14:paraId="3704E677" w14:textId="1547151D" w:rsidR="00BD462C" w:rsidRDefault="00F94D59">
      <w:pPr>
        <w:pStyle w:val="BodyText"/>
        <w:spacing w:before="56" w:line="360" w:lineRule="auto"/>
        <w:ind w:left="135" w:right="913"/>
        <w:jc w:val="both"/>
      </w:pPr>
      <w:r>
        <w:rPr>
          <w:noProof/>
        </w:rPr>
        <w:t>708.</w:t>
      </w:r>
      <w:r w:rsidR="00033D0F">
        <w:rPr>
          <w:rFonts w:ascii="Times New Roman" w:hAnsi="Times New Roman"/>
          <w:spacing w:val="40"/>
          <w:position w:val="1"/>
          <w:sz w:val="20"/>
        </w:rPr>
        <w:t xml:space="preserve">  </w:t>
      </w:r>
      <w:r w:rsidR="00033D0F">
        <w:rPr>
          <w:position w:val="1"/>
        </w:rPr>
        <w:t>China argues that the grant of confidentiality did not concern the "main raw</w:t>
      </w:r>
      <w:r w:rsidR="00033D0F">
        <w:rPr>
          <w:spacing w:val="40"/>
          <w:position w:val="1"/>
        </w:rPr>
        <w:t xml:space="preserve"> </w:t>
      </w:r>
      <w:r w:rsidR="00033D0F">
        <w:t>materials", but</w:t>
      </w:r>
      <w:r w:rsidR="00033D0F">
        <w:rPr>
          <w:spacing w:val="-2"/>
        </w:rPr>
        <w:t xml:space="preserve"> </w:t>
      </w:r>
      <w:r w:rsidR="00033D0F">
        <w:t>rather</w:t>
      </w:r>
      <w:r w:rsidR="00033D0F">
        <w:rPr>
          <w:spacing w:val="-5"/>
        </w:rPr>
        <w:t xml:space="preserve"> </w:t>
      </w:r>
      <w:r w:rsidR="00033D0F">
        <w:t>other</w:t>
      </w:r>
      <w:r w:rsidR="00033D0F">
        <w:rPr>
          <w:spacing w:val="-5"/>
        </w:rPr>
        <w:t xml:space="preserve"> </w:t>
      </w:r>
      <w:r w:rsidR="00033D0F">
        <w:t>parts</w:t>
      </w:r>
      <w:r w:rsidR="00033D0F">
        <w:rPr>
          <w:spacing w:val="-1"/>
        </w:rPr>
        <w:t xml:space="preserve"> </w:t>
      </w:r>
      <w:r w:rsidR="00033D0F">
        <w:t>of</w:t>
      </w:r>
      <w:r w:rsidR="00033D0F">
        <w:rPr>
          <w:spacing w:val="-4"/>
        </w:rPr>
        <w:t xml:space="preserve"> </w:t>
      </w:r>
      <w:r w:rsidR="00033D0F">
        <w:t>the</w:t>
      </w:r>
      <w:r w:rsidR="00033D0F">
        <w:rPr>
          <w:spacing w:val="-3"/>
        </w:rPr>
        <w:t xml:space="preserve"> </w:t>
      </w:r>
      <w:r w:rsidR="00033D0F">
        <w:t>question.</w:t>
      </w:r>
      <w:hyperlink w:anchor="_bookmark1265" w:history="1">
        <w:r w:rsidR="00033D0F">
          <w:rPr>
            <w:vertAlign w:val="superscript"/>
          </w:rPr>
          <w:t>1090</w:t>
        </w:r>
      </w:hyperlink>
      <w:r w:rsidR="00033D0F">
        <w:rPr>
          <w:spacing w:val="-2"/>
        </w:rPr>
        <w:t xml:space="preserve"> </w:t>
      </w:r>
      <w:r w:rsidR="00033D0F">
        <w:t>Yet</w:t>
      </w:r>
      <w:r w:rsidR="00033D0F">
        <w:rPr>
          <w:spacing w:val="-2"/>
        </w:rPr>
        <w:t xml:space="preserve"> </w:t>
      </w:r>
      <w:r w:rsidR="00033D0F">
        <w:t>confidential treatment</w:t>
      </w:r>
      <w:r w:rsidR="00033D0F">
        <w:rPr>
          <w:spacing w:val="-2"/>
        </w:rPr>
        <w:t xml:space="preserve"> </w:t>
      </w:r>
      <w:r w:rsidR="00033D0F">
        <w:t>was</w:t>
      </w:r>
      <w:r w:rsidR="00033D0F">
        <w:rPr>
          <w:spacing w:val="-6"/>
        </w:rPr>
        <w:t xml:space="preserve"> </w:t>
      </w:r>
      <w:r w:rsidR="00033D0F">
        <w:t>granted to the responses in their entirety, precluding the disclosure of the information, which China concedes</w:t>
      </w:r>
      <w:r w:rsidR="00033D0F">
        <w:rPr>
          <w:spacing w:val="-4"/>
        </w:rPr>
        <w:t xml:space="preserve"> </w:t>
      </w:r>
      <w:r w:rsidR="00033D0F">
        <w:t>was</w:t>
      </w:r>
      <w:r w:rsidR="00033D0F">
        <w:rPr>
          <w:spacing w:val="-4"/>
        </w:rPr>
        <w:t xml:space="preserve"> </w:t>
      </w:r>
      <w:r w:rsidR="00033D0F">
        <w:t>non-confidential,</w:t>
      </w:r>
      <w:r w:rsidR="00033D0F">
        <w:rPr>
          <w:spacing w:val="-3"/>
        </w:rPr>
        <w:t xml:space="preserve"> </w:t>
      </w:r>
      <w:r w:rsidR="00033D0F">
        <w:t>as</w:t>
      </w:r>
      <w:r w:rsidR="00033D0F">
        <w:rPr>
          <w:spacing w:val="-4"/>
        </w:rPr>
        <w:t xml:space="preserve"> </w:t>
      </w:r>
      <w:r w:rsidR="00033D0F">
        <w:t>well</w:t>
      </w:r>
      <w:r w:rsidR="00033D0F">
        <w:rPr>
          <w:spacing w:val="-3"/>
        </w:rPr>
        <w:t xml:space="preserve"> </w:t>
      </w:r>
      <w:r w:rsidR="00033D0F">
        <w:t>as</w:t>
      </w:r>
      <w:r w:rsidR="00033D0F">
        <w:rPr>
          <w:spacing w:val="-4"/>
        </w:rPr>
        <w:t xml:space="preserve"> </w:t>
      </w:r>
      <w:r w:rsidR="00033D0F">
        <w:t>the</w:t>
      </w:r>
      <w:r w:rsidR="00033D0F">
        <w:rPr>
          <w:spacing w:val="-6"/>
        </w:rPr>
        <w:t xml:space="preserve"> </w:t>
      </w:r>
      <w:r w:rsidR="00033D0F">
        <w:t>allegedly</w:t>
      </w:r>
      <w:r w:rsidR="00033D0F">
        <w:rPr>
          <w:spacing w:val="-4"/>
        </w:rPr>
        <w:t xml:space="preserve"> </w:t>
      </w:r>
      <w:r w:rsidR="00033D0F">
        <w:t>confidential</w:t>
      </w:r>
      <w:r w:rsidR="00033D0F">
        <w:rPr>
          <w:spacing w:val="-3"/>
        </w:rPr>
        <w:t xml:space="preserve"> </w:t>
      </w:r>
      <w:r w:rsidR="00033D0F">
        <w:t>information.</w:t>
      </w:r>
      <w:r w:rsidR="00033D0F">
        <w:rPr>
          <w:spacing w:val="-4"/>
        </w:rPr>
        <w:t xml:space="preserve"> </w:t>
      </w:r>
      <w:r w:rsidR="00033D0F">
        <w:t>This</w:t>
      </w:r>
      <w:r w:rsidR="00033D0F">
        <w:rPr>
          <w:spacing w:val="-4"/>
        </w:rPr>
        <w:t xml:space="preserve"> </w:t>
      </w:r>
      <w:r w:rsidR="00033D0F">
        <w:t>blanket treatment was</w:t>
      </w:r>
      <w:r w:rsidR="00033D0F">
        <w:rPr>
          <w:spacing w:val="-2"/>
        </w:rPr>
        <w:t xml:space="preserve"> </w:t>
      </w:r>
      <w:r w:rsidR="00033D0F">
        <w:t>granted</w:t>
      </w:r>
      <w:r w:rsidR="00033D0F">
        <w:rPr>
          <w:spacing w:val="-1"/>
        </w:rPr>
        <w:t xml:space="preserve"> </w:t>
      </w:r>
      <w:r w:rsidR="00033D0F">
        <w:t>on</w:t>
      </w:r>
      <w:r w:rsidR="00033D0F">
        <w:rPr>
          <w:spacing w:val="-1"/>
        </w:rPr>
        <w:t xml:space="preserve"> </w:t>
      </w:r>
      <w:r w:rsidR="00033D0F">
        <w:t>the basis of the generic</w:t>
      </w:r>
      <w:r w:rsidR="00033D0F">
        <w:rPr>
          <w:spacing w:val="-5"/>
        </w:rPr>
        <w:t xml:space="preserve"> </w:t>
      </w:r>
      <w:r w:rsidR="00033D0F">
        <w:t>assertion that,</w:t>
      </w:r>
      <w:r w:rsidR="00033D0F">
        <w:rPr>
          <w:spacing w:val="-2"/>
        </w:rPr>
        <w:t xml:space="preserve"> </w:t>
      </w:r>
      <w:r w:rsidR="00033D0F">
        <w:rPr>
          <w:i/>
        </w:rPr>
        <w:t>inter</w:t>
      </w:r>
      <w:r w:rsidR="00033D0F">
        <w:rPr>
          <w:i/>
          <w:spacing w:val="-5"/>
        </w:rPr>
        <w:t xml:space="preserve"> </w:t>
      </w:r>
      <w:r w:rsidR="00033D0F">
        <w:rPr>
          <w:i/>
        </w:rPr>
        <w:t xml:space="preserve">alia, </w:t>
      </w:r>
      <w:r w:rsidR="00033D0F">
        <w:t>details</w:t>
      </w:r>
      <w:r w:rsidR="00033D0F">
        <w:rPr>
          <w:spacing w:val="-2"/>
        </w:rPr>
        <w:t xml:space="preserve"> </w:t>
      </w:r>
      <w:r w:rsidR="00033D0F">
        <w:t>about the raw materials constituted a "trade secret".</w:t>
      </w:r>
      <w:hyperlink w:anchor="_bookmark1266" w:history="1">
        <w:r w:rsidR="00033D0F">
          <w:rPr>
            <w:vertAlign w:val="superscript"/>
          </w:rPr>
          <w:t>1091</w:t>
        </w:r>
      </w:hyperlink>
      <w:r w:rsidR="00033D0F">
        <w:t xml:space="preserve"> China's submissions offer no explanation – Australia infers because there is none</w:t>
      </w:r>
      <w:r w:rsidR="00033D0F">
        <w:rPr>
          <w:spacing w:val="17"/>
        </w:rPr>
        <w:t xml:space="preserve"> </w:t>
      </w:r>
      <w:r w:rsidR="00033D0F">
        <w:t>– for why</w:t>
      </w:r>
      <w:r w:rsidR="00033D0F">
        <w:rPr>
          <w:spacing w:val="18"/>
        </w:rPr>
        <w:t xml:space="preserve"> </w:t>
      </w:r>
      <w:r w:rsidR="00033D0F">
        <w:t>broad-brush confidentiality was granted to</w:t>
      </w:r>
    </w:p>
    <w:p w14:paraId="520A410A" w14:textId="77777777" w:rsidR="00BD462C" w:rsidRDefault="00BD462C">
      <w:pPr>
        <w:pStyle w:val="BodyText"/>
        <w:rPr>
          <w:sz w:val="20"/>
        </w:rPr>
      </w:pPr>
    </w:p>
    <w:p w14:paraId="6E6E065B" w14:textId="77777777" w:rsidR="00BD462C" w:rsidRDefault="00BD462C">
      <w:pPr>
        <w:pStyle w:val="BodyText"/>
        <w:rPr>
          <w:sz w:val="20"/>
        </w:rPr>
      </w:pPr>
    </w:p>
    <w:p w14:paraId="0DF6B637" w14:textId="55820491" w:rsidR="00BD462C" w:rsidRDefault="00D70C7D">
      <w:pPr>
        <w:pStyle w:val="BodyText"/>
        <w:spacing w:before="7"/>
        <w:rPr>
          <w:sz w:val="23"/>
        </w:rPr>
      </w:pPr>
      <w:r>
        <w:rPr>
          <w:noProof/>
        </w:rPr>
        <mc:AlternateContent>
          <mc:Choice Requires="wps">
            <w:drawing>
              <wp:anchor distT="0" distB="0" distL="0" distR="0" simplePos="0" relativeHeight="487821312" behindDoc="1" locked="0" layoutInCell="1" allowOverlap="1" wp14:anchorId="19D244A2" wp14:editId="74BFDC97">
                <wp:simplePos x="0" y="0"/>
                <wp:positionH relativeFrom="page">
                  <wp:posOffset>899160</wp:posOffset>
                </wp:positionH>
                <wp:positionV relativeFrom="paragraph">
                  <wp:posOffset>198755</wp:posOffset>
                </wp:positionV>
                <wp:extent cx="1828800" cy="8890"/>
                <wp:effectExtent l="0" t="0" r="0" b="0"/>
                <wp:wrapTopAndBottom/>
                <wp:docPr id="430" name="docshape5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E94C57" id="docshape507" o:spid="_x0000_s1026" alt="&quot;&quot;" style="position:absolute;margin-left:70.8pt;margin-top:15.65pt;width:2in;height:.7pt;z-index:-1549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" fillcolor="black" stroked="f">
                <w10:wrap type="topAndBottom" anchorx="page"/>
              </v:rect>
            </w:pict>
          </mc:Fallback>
        </mc:AlternateContent>
      </w:r>
    </w:p>
    <w:p w14:paraId="4CB917D9" w14:textId="77777777" w:rsidR="00BD462C" w:rsidRDefault="00033D0F">
      <w:pPr>
        <w:spacing w:before="112"/>
        <w:ind w:left="135"/>
        <w:rPr>
          <w:sz w:val="18"/>
        </w:rPr>
      </w:pPr>
      <w:bookmarkStart w:id="1466" w:name="_bookmark1263"/>
      <w:bookmarkEnd w:id="1466"/>
      <w:r>
        <w:rPr>
          <w:position w:val="5"/>
          <w:sz w:val="12"/>
        </w:rPr>
        <w:t>1088</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paras.</w:t>
      </w:r>
      <w:r>
        <w:rPr>
          <w:spacing w:val="-5"/>
          <w:sz w:val="18"/>
        </w:rPr>
        <w:t xml:space="preserve"> </w:t>
      </w:r>
      <w:r>
        <w:rPr>
          <w:sz w:val="18"/>
        </w:rPr>
        <w:t>2299-</w:t>
      </w:r>
      <w:r>
        <w:rPr>
          <w:spacing w:val="-2"/>
          <w:sz w:val="18"/>
        </w:rPr>
        <w:t>2302.</w:t>
      </w:r>
    </w:p>
    <w:p w14:paraId="73D4BEB0" w14:textId="77777777" w:rsidR="00BD462C" w:rsidRDefault="00033D0F">
      <w:pPr>
        <w:spacing w:before="1"/>
        <w:ind w:left="135"/>
        <w:rPr>
          <w:sz w:val="18"/>
        </w:rPr>
      </w:pPr>
      <w:bookmarkStart w:id="1467" w:name="_bookmark1264"/>
      <w:bookmarkEnd w:id="1467"/>
      <w:r>
        <w:rPr>
          <w:position w:val="5"/>
          <w:sz w:val="12"/>
        </w:rPr>
        <w:t>1089</w:t>
      </w:r>
      <w:r>
        <w:rPr>
          <w:spacing w:val="12"/>
          <w:position w:val="5"/>
          <w:sz w:val="12"/>
        </w:rPr>
        <w:t xml:space="preserve"> </w:t>
      </w:r>
      <w:r>
        <w:rPr>
          <w:sz w:val="18"/>
        </w:rPr>
        <w:t>Australia's</w:t>
      </w:r>
      <w:r>
        <w:rPr>
          <w:spacing w:val="-6"/>
          <w:sz w:val="18"/>
        </w:rPr>
        <w:t xml:space="preserve"> </w:t>
      </w:r>
      <w:r>
        <w:rPr>
          <w:sz w:val="18"/>
        </w:rPr>
        <w:t>first</w:t>
      </w:r>
      <w:r>
        <w:rPr>
          <w:spacing w:val="-5"/>
          <w:sz w:val="18"/>
        </w:rPr>
        <w:t xml:space="preserve"> </w:t>
      </w:r>
      <w:r>
        <w:rPr>
          <w:sz w:val="18"/>
        </w:rPr>
        <w:t>written</w:t>
      </w:r>
      <w:r>
        <w:rPr>
          <w:spacing w:val="-2"/>
          <w:sz w:val="18"/>
        </w:rPr>
        <w:t xml:space="preserve"> </w:t>
      </w:r>
      <w:r>
        <w:rPr>
          <w:sz w:val="18"/>
        </w:rPr>
        <w:t>submission, para.</w:t>
      </w:r>
      <w:r>
        <w:rPr>
          <w:spacing w:val="-5"/>
          <w:sz w:val="18"/>
        </w:rPr>
        <w:t xml:space="preserve"> </w:t>
      </w:r>
      <w:r>
        <w:rPr>
          <w:spacing w:val="-4"/>
          <w:sz w:val="18"/>
        </w:rPr>
        <w:t>861.</w:t>
      </w:r>
    </w:p>
    <w:p w14:paraId="43A4647E" w14:textId="77777777" w:rsidR="00BD462C" w:rsidRDefault="00033D0F">
      <w:pPr>
        <w:spacing w:before="1"/>
        <w:ind w:left="135"/>
        <w:rPr>
          <w:sz w:val="18"/>
        </w:rPr>
      </w:pPr>
      <w:bookmarkStart w:id="1468" w:name="_bookmark1265"/>
      <w:bookmarkEnd w:id="1468"/>
      <w:r>
        <w:rPr>
          <w:position w:val="5"/>
          <w:sz w:val="12"/>
        </w:rPr>
        <w:t>1090</w:t>
      </w:r>
      <w:r>
        <w:rPr>
          <w:spacing w:val="13"/>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 xml:space="preserve">para. </w:t>
      </w:r>
      <w:r>
        <w:rPr>
          <w:spacing w:val="-2"/>
          <w:sz w:val="18"/>
        </w:rPr>
        <w:t>2300.</w:t>
      </w:r>
    </w:p>
    <w:p w14:paraId="14B007AC" w14:textId="77777777" w:rsidR="00BD462C" w:rsidRDefault="00033D0F">
      <w:pPr>
        <w:spacing w:before="1"/>
        <w:ind w:left="135"/>
        <w:rPr>
          <w:sz w:val="18"/>
        </w:rPr>
      </w:pPr>
      <w:bookmarkStart w:id="1469" w:name="_bookmark1266"/>
      <w:bookmarkEnd w:id="1469"/>
      <w:r>
        <w:rPr>
          <w:position w:val="5"/>
          <w:sz w:val="12"/>
        </w:rPr>
        <w:t>1091</w:t>
      </w:r>
      <w:r>
        <w:rPr>
          <w:spacing w:val="13"/>
          <w:position w:val="5"/>
          <w:sz w:val="12"/>
        </w:rPr>
        <w:t xml:space="preserve"> </w:t>
      </w:r>
      <w:r>
        <w:rPr>
          <w:sz w:val="18"/>
        </w:rPr>
        <w:t>COFCO</w:t>
      </w:r>
      <w:r>
        <w:rPr>
          <w:spacing w:val="-3"/>
          <w:sz w:val="18"/>
        </w:rPr>
        <w:t xml:space="preserve"> </w:t>
      </w:r>
      <w:r>
        <w:rPr>
          <w:sz w:val="18"/>
        </w:rPr>
        <w:t>Anti-Dumping</w:t>
      </w:r>
      <w:r>
        <w:rPr>
          <w:spacing w:val="-5"/>
          <w:sz w:val="18"/>
        </w:rPr>
        <w:t xml:space="preserve"> </w:t>
      </w:r>
      <w:r>
        <w:rPr>
          <w:sz w:val="18"/>
        </w:rPr>
        <w:t>Questionnaire</w:t>
      </w:r>
      <w:r>
        <w:rPr>
          <w:spacing w:val="-10"/>
          <w:sz w:val="18"/>
        </w:rPr>
        <w:t xml:space="preserve"> </w:t>
      </w:r>
      <w:r>
        <w:rPr>
          <w:sz w:val="18"/>
        </w:rPr>
        <w:t>Response</w:t>
      </w:r>
      <w:r>
        <w:rPr>
          <w:spacing w:val="-5"/>
          <w:sz w:val="18"/>
        </w:rPr>
        <w:t xml:space="preserve"> </w:t>
      </w:r>
      <w:r>
        <w:rPr>
          <w:sz w:val="18"/>
        </w:rPr>
        <w:t>(Exhibit</w:t>
      </w:r>
      <w:r>
        <w:rPr>
          <w:spacing w:val="-4"/>
          <w:sz w:val="18"/>
        </w:rPr>
        <w:t xml:space="preserve"> </w:t>
      </w:r>
      <w:r>
        <w:rPr>
          <w:sz w:val="18"/>
        </w:rPr>
        <w:t>Aus-44),</w:t>
      </w:r>
      <w:r>
        <w:rPr>
          <w:spacing w:val="-3"/>
          <w:sz w:val="18"/>
        </w:rPr>
        <w:t xml:space="preserve"> </w:t>
      </w:r>
      <w:r>
        <w:rPr>
          <w:sz w:val="18"/>
        </w:rPr>
        <w:t>p.</w:t>
      </w:r>
      <w:r>
        <w:rPr>
          <w:spacing w:val="-5"/>
          <w:sz w:val="18"/>
        </w:rPr>
        <w:t xml:space="preserve"> 19.</w:t>
      </w:r>
    </w:p>
    <w:p w14:paraId="4023196A" w14:textId="77777777" w:rsidR="00BD462C" w:rsidRDefault="00BD462C">
      <w:pPr>
        <w:rPr>
          <w:sz w:val="18"/>
        </w:rPr>
        <w:sectPr w:rsidR="00BD462C">
          <w:pgSz w:w="11910" w:h="16840"/>
          <w:pgMar w:top="860" w:right="500" w:bottom="780" w:left="1280" w:header="566" w:footer="590" w:gutter="0"/>
          <w:cols w:space="720"/>
        </w:sectPr>
      </w:pPr>
    </w:p>
    <w:p w14:paraId="1D92DFBC"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269DFC2D"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15E00BC3"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4F300145" w14:textId="77777777" w:rsidR="00BD462C" w:rsidRDefault="00033D0F">
      <w:pPr>
        <w:pStyle w:val="BodyText"/>
        <w:spacing w:before="102" w:line="357" w:lineRule="auto"/>
        <w:ind w:left="135" w:right="923"/>
      </w:pPr>
      <w:r>
        <w:t>information that China appears to now accept was of a nature such that "good cause" could not be shown.</w:t>
      </w:r>
    </w:p>
    <w:p w14:paraId="7FAD8E34" w14:textId="77777777" w:rsidR="00BD462C" w:rsidRDefault="00BD462C">
      <w:pPr>
        <w:pStyle w:val="BodyText"/>
        <w:spacing w:before="3"/>
        <w:rPr>
          <w:sz w:val="9"/>
        </w:rPr>
      </w:pPr>
    </w:p>
    <w:p w14:paraId="40354E70" w14:textId="67FA8A76" w:rsidR="00BD462C" w:rsidRDefault="009F4A58">
      <w:pPr>
        <w:pStyle w:val="BodyText"/>
        <w:spacing w:before="56" w:line="360" w:lineRule="auto"/>
        <w:ind w:left="135" w:right="917"/>
        <w:jc w:val="both"/>
      </w:pPr>
      <w:r>
        <w:rPr>
          <w:noProof/>
        </w:rPr>
        <w:t>709.</w:t>
      </w:r>
      <w:r w:rsidR="00033D0F">
        <w:rPr>
          <w:rFonts w:ascii="Times New Roman"/>
          <w:spacing w:val="40"/>
          <w:position w:val="1"/>
          <w:sz w:val="20"/>
        </w:rPr>
        <w:t xml:space="preserve">  </w:t>
      </w:r>
      <w:r w:rsidR="00033D0F">
        <w:rPr>
          <w:position w:val="1"/>
        </w:rPr>
        <w:t xml:space="preserve">Essentially the same issue, and implied concession, arises with respect to each of </w:t>
      </w:r>
      <w:r w:rsidR="00033D0F">
        <w:t>Australia's identified examples in which broad-brush confidentiality requests were upheld without any objective assessment of</w:t>
      </w:r>
      <w:r w:rsidR="00033D0F">
        <w:rPr>
          <w:spacing w:val="-1"/>
        </w:rPr>
        <w:t xml:space="preserve"> </w:t>
      </w:r>
      <w:r w:rsidR="00033D0F">
        <w:t>"good</w:t>
      </w:r>
      <w:r w:rsidR="00033D0F">
        <w:rPr>
          <w:spacing w:val="-2"/>
        </w:rPr>
        <w:t xml:space="preserve"> </w:t>
      </w:r>
      <w:r w:rsidR="00033D0F">
        <w:t>cause". On</w:t>
      </w:r>
      <w:r w:rsidR="00033D0F">
        <w:rPr>
          <w:spacing w:val="-2"/>
        </w:rPr>
        <w:t xml:space="preserve"> </w:t>
      </w:r>
      <w:r w:rsidR="00033D0F">
        <w:t>China's own</w:t>
      </w:r>
      <w:r w:rsidR="00033D0F">
        <w:rPr>
          <w:spacing w:val="-6"/>
        </w:rPr>
        <w:t xml:space="preserve"> </w:t>
      </w:r>
      <w:r w:rsidR="00033D0F">
        <w:t>submissions,</w:t>
      </w:r>
      <w:r w:rsidR="00033D0F">
        <w:rPr>
          <w:spacing w:val="-2"/>
        </w:rPr>
        <w:t xml:space="preserve"> </w:t>
      </w:r>
      <w:r w:rsidR="00033D0F">
        <w:t>confidential treatment was granted to the entirety of the identified producers' responses even though some or most of the information was of a nature that could not support such a finding. In particular, China states that:</w:t>
      </w:r>
    </w:p>
    <w:p w14:paraId="580EE7BE" w14:textId="77777777" w:rsidR="00BD462C" w:rsidRDefault="00033D0F">
      <w:pPr>
        <w:pStyle w:val="ListParagraph"/>
        <w:numPr>
          <w:ilvl w:val="0"/>
          <w:numId w:val="28"/>
        </w:numPr>
        <w:tabs>
          <w:tab w:val="left" w:pos="1835"/>
          <w:tab w:val="left" w:pos="1836"/>
        </w:tabs>
        <w:spacing w:before="154" w:line="357" w:lineRule="auto"/>
        <w:ind w:right="918" w:hanging="855"/>
        <w:jc w:val="both"/>
        <w:rPr>
          <w:sz w:val="24"/>
        </w:rPr>
      </w:pPr>
      <w:r>
        <w:rPr>
          <w:sz w:val="24"/>
        </w:rPr>
        <w:t>the reason for the grant of confidential treatment to the entirety of the response to question 5, which related to product use, "does not concern 'product use', but rather, the other elements of that question";</w:t>
      </w:r>
      <w:hyperlink w:anchor="_bookmark1267" w:history="1">
        <w:r>
          <w:rPr>
            <w:sz w:val="24"/>
            <w:vertAlign w:val="superscript"/>
          </w:rPr>
          <w:t>1092</w:t>
        </w:r>
      </w:hyperlink>
    </w:p>
    <w:p w14:paraId="4EDD41AF" w14:textId="77777777" w:rsidR="00BD462C" w:rsidRDefault="00033D0F">
      <w:pPr>
        <w:pStyle w:val="ListParagraph"/>
        <w:numPr>
          <w:ilvl w:val="0"/>
          <w:numId w:val="28"/>
        </w:numPr>
        <w:tabs>
          <w:tab w:val="left" w:pos="1835"/>
          <w:tab w:val="left" w:pos="1836"/>
        </w:tabs>
        <w:spacing w:before="126" w:line="360" w:lineRule="auto"/>
        <w:ind w:right="915" w:hanging="855"/>
        <w:jc w:val="both"/>
        <w:rPr>
          <w:sz w:val="24"/>
        </w:rPr>
      </w:pPr>
      <w:r>
        <w:rPr>
          <w:sz w:val="24"/>
        </w:rPr>
        <w:t>the reason for the grant of confidential treatment to the entirety of the response</w:t>
      </w:r>
      <w:r>
        <w:rPr>
          <w:spacing w:val="-9"/>
          <w:sz w:val="24"/>
        </w:rPr>
        <w:t xml:space="preserve"> </w:t>
      </w:r>
      <w:r>
        <w:rPr>
          <w:sz w:val="24"/>
        </w:rPr>
        <w:t>to</w:t>
      </w:r>
      <w:r>
        <w:rPr>
          <w:spacing w:val="-11"/>
          <w:sz w:val="24"/>
        </w:rPr>
        <w:t xml:space="preserve"> </w:t>
      </w:r>
      <w:r>
        <w:rPr>
          <w:sz w:val="24"/>
        </w:rPr>
        <w:t>question</w:t>
      </w:r>
      <w:r>
        <w:rPr>
          <w:spacing w:val="-11"/>
          <w:sz w:val="24"/>
        </w:rPr>
        <w:t xml:space="preserve"> </w:t>
      </w:r>
      <w:r>
        <w:rPr>
          <w:sz w:val="24"/>
        </w:rPr>
        <w:t>9,</w:t>
      </w:r>
      <w:r>
        <w:rPr>
          <w:spacing w:val="-7"/>
          <w:sz w:val="24"/>
        </w:rPr>
        <w:t xml:space="preserve"> </w:t>
      </w:r>
      <w:r>
        <w:rPr>
          <w:sz w:val="24"/>
        </w:rPr>
        <w:t>which</w:t>
      </w:r>
      <w:r>
        <w:rPr>
          <w:spacing w:val="-11"/>
          <w:sz w:val="24"/>
        </w:rPr>
        <w:t xml:space="preserve"> </w:t>
      </w:r>
      <w:r>
        <w:rPr>
          <w:sz w:val="24"/>
        </w:rPr>
        <w:t>related</w:t>
      </w:r>
      <w:r>
        <w:rPr>
          <w:spacing w:val="-11"/>
          <w:sz w:val="24"/>
        </w:rPr>
        <w:t xml:space="preserve"> </w:t>
      </w:r>
      <w:r>
        <w:rPr>
          <w:sz w:val="24"/>
        </w:rPr>
        <w:t>to</w:t>
      </w:r>
      <w:r>
        <w:rPr>
          <w:spacing w:val="-12"/>
          <w:sz w:val="24"/>
        </w:rPr>
        <w:t xml:space="preserve"> </w:t>
      </w:r>
      <w:r>
        <w:rPr>
          <w:sz w:val="24"/>
        </w:rPr>
        <w:t>the</w:t>
      </w:r>
      <w:r>
        <w:rPr>
          <w:spacing w:val="-9"/>
          <w:sz w:val="24"/>
        </w:rPr>
        <w:t xml:space="preserve"> </w:t>
      </w:r>
      <w:r>
        <w:rPr>
          <w:sz w:val="24"/>
        </w:rPr>
        <w:t>classification</w:t>
      </w:r>
      <w:r>
        <w:rPr>
          <w:spacing w:val="-11"/>
          <w:sz w:val="24"/>
        </w:rPr>
        <w:t xml:space="preserve"> </w:t>
      </w:r>
      <w:r>
        <w:rPr>
          <w:sz w:val="24"/>
        </w:rPr>
        <w:t>of</w:t>
      </w:r>
      <w:r>
        <w:rPr>
          <w:spacing w:val="-11"/>
          <w:sz w:val="24"/>
        </w:rPr>
        <w:t xml:space="preserve"> </w:t>
      </w:r>
      <w:r>
        <w:rPr>
          <w:sz w:val="24"/>
        </w:rPr>
        <w:t>wines</w:t>
      </w:r>
      <w:r>
        <w:rPr>
          <w:spacing w:val="-8"/>
          <w:sz w:val="24"/>
        </w:rPr>
        <w:t xml:space="preserve"> </w:t>
      </w:r>
      <w:r>
        <w:rPr>
          <w:sz w:val="24"/>
        </w:rPr>
        <w:t>including the</w:t>
      </w:r>
      <w:r>
        <w:rPr>
          <w:spacing w:val="-4"/>
          <w:sz w:val="24"/>
        </w:rPr>
        <w:t xml:space="preserve"> </w:t>
      </w:r>
      <w:r>
        <w:rPr>
          <w:sz w:val="24"/>
        </w:rPr>
        <w:t>qualities,</w:t>
      </w:r>
      <w:r>
        <w:rPr>
          <w:spacing w:val="-2"/>
          <w:sz w:val="24"/>
        </w:rPr>
        <w:t xml:space="preserve"> </w:t>
      </w:r>
      <w:r>
        <w:rPr>
          <w:sz w:val="24"/>
        </w:rPr>
        <w:t>price</w:t>
      </w:r>
      <w:r>
        <w:rPr>
          <w:spacing w:val="-4"/>
          <w:sz w:val="24"/>
        </w:rPr>
        <w:t xml:space="preserve"> </w:t>
      </w:r>
      <w:r>
        <w:rPr>
          <w:sz w:val="24"/>
        </w:rPr>
        <w:t>ranges</w:t>
      </w:r>
      <w:r>
        <w:rPr>
          <w:spacing w:val="-3"/>
          <w:sz w:val="24"/>
        </w:rPr>
        <w:t xml:space="preserve"> </w:t>
      </w:r>
      <w:r>
        <w:rPr>
          <w:sz w:val="24"/>
        </w:rPr>
        <w:t>and</w:t>
      </w:r>
      <w:r>
        <w:rPr>
          <w:spacing w:val="-5"/>
          <w:sz w:val="24"/>
        </w:rPr>
        <w:t xml:space="preserve"> </w:t>
      </w:r>
      <w:r>
        <w:rPr>
          <w:sz w:val="24"/>
        </w:rPr>
        <w:t>brand</w:t>
      </w:r>
      <w:r>
        <w:rPr>
          <w:spacing w:val="-5"/>
          <w:sz w:val="24"/>
        </w:rPr>
        <w:t xml:space="preserve"> </w:t>
      </w:r>
      <w:r>
        <w:rPr>
          <w:sz w:val="24"/>
        </w:rPr>
        <w:t>levels</w:t>
      </w:r>
      <w:r>
        <w:rPr>
          <w:spacing w:val="-3"/>
          <w:sz w:val="24"/>
        </w:rPr>
        <w:t xml:space="preserve"> </w:t>
      </w:r>
      <w:r>
        <w:rPr>
          <w:sz w:val="24"/>
        </w:rPr>
        <w:t>of</w:t>
      </w:r>
      <w:r>
        <w:rPr>
          <w:spacing w:val="-5"/>
          <w:sz w:val="24"/>
        </w:rPr>
        <w:t xml:space="preserve"> </w:t>
      </w:r>
      <w:r>
        <w:rPr>
          <w:sz w:val="24"/>
        </w:rPr>
        <w:t>wines,</w:t>
      </w:r>
      <w:r>
        <w:rPr>
          <w:spacing w:val="-2"/>
          <w:sz w:val="24"/>
        </w:rPr>
        <w:t xml:space="preserve"> </w:t>
      </w:r>
      <w:r>
        <w:rPr>
          <w:sz w:val="24"/>
        </w:rPr>
        <w:t>was</w:t>
      </w:r>
      <w:r>
        <w:rPr>
          <w:spacing w:val="-3"/>
          <w:sz w:val="24"/>
        </w:rPr>
        <w:t xml:space="preserve"> </w:t>
      </w:r>
      <w:r>
        <w:rPr>
          <w:sz w:val="24"/>
        </w:rPr>
        <w:t>not</w:t>
      </w:r>
      <w:r>
        <w:rPr>
          <w:spacing w:val="-4"/>
          <w:sz w:val="24"/>
        </w:rPr>
        <w:t xml:space="preserve"> </w:t>
      </w:r>
      <w:r>
        <w:rPr>
          <w:sz w:val="24"/>
        </w:rPr>
        <w:t>to</w:t>
      </w:r>
      <w:r>
        <w:rPr>
          <w:spacing w:val="-6"/>
          <w:sz w:val="24"/>
        </w:rPr>
        <w:t xml:space="preserve"> </w:t>
      </w:r>
      <w:r>
        <w:rPr>
          <w:sz w:val="24"/>
        </w:rPr>
        <w:t>do</w:t>
      </w:r>
      <w:r>
        <w:rPr>
          <w:spacing w:val="-6"/>
          <w:sz w:val="24"/>
        </w:rPr>
        <w:t xml:space="preserve"> </w:t>
      </w:r>
      <w:r>
        <w:rPr>
          <w:sz w:val="24"/>
        </w:rPr>
        <w:t>with</w:t>
      </w:r>
      <w:r>
        <w:rPr>
          <w:spacing w:val="-5"/>
          <w:sz w:val="24"/>
        </w:rPr>
        <w:t xml:space="preserve"> </w:t>
      </w:r>
      <w:r>
        <w:rPr>
          <w:sz w:val="24"/>
        </w:rPr>
        <w:t>any of those matters, but only the element of the question that "required the provision of 'relevant qualification material'";</w:t>
      </w:r>
      <w:hyperlink w:anchor="_bookmark1268" w:history="1">
        <w:r>
          <w:rPr>
            <w:sz w:val="24"/>
            <w:vertAlign w:val="superscript"/>
          </w:rPr>
          <w:t>1093</w:t>
        </w:r>
      </w:hyperlink>
    </w:p>
    <w:p w14:paraId="192DB25D" w14:textId="77777777" w:rsidR="00BD462C" w:rsidRDefault="00033D0F">
      <w:pPr>
        <w:pStyle w:val="ListParagraph"/>
        <w:numPr>
          <w:ilvl w:val="0"/>
          <w:numId w:val="28"/>
        </w:numPr>
        <w:tabs>
          <w:tab w:val="left" w:pos="1835"/>
          <w:tab w:val="left" w:pos="1836"/>
        </w:tabs>
        <w:spacing w:before="118" w:line="360" w:lineRule="auto"/>
        <w:ind w:right="918" w:hanging="855"/>
        <w:jc w:val="both"/>
        <w:rPr>
          <w:sz w:val="24"/>
        </w:rPr>
      </w:pPr>
      <w:r>
        <w:rPr>
          <w:sz w:val="24"/>
        </w:rPr>
        <w:t>the reason for the grant of confidential treatment to the entirety of the response</w:t>
      </w:r>
      <w:r>
        <w:rPr>
          <w:spacing w:val="-12"/>
          <w:sz w:val="24"/>
        </w:rPr>
        <w:t xml:space="preserve"> </w:t>
      </w:r>
      <w:r>
        <w:rPr>
          <w:sz w:val="24"/>
        </w:rPr>
        <w:t>to</w:t>
      </w:r>
      <w:r>
        <w:rPr>
          <w:spacing w:val="-10"/>
          <w:sz w:val="24"/>
        </w:rPr>
        <w:t xml:space="preserve"> </w:t>
      </w:r>
      <w:r>
        <w:rPr>
          <w:sz w:val="24"/>
        </w:rPr>
        <w:t>question</w:t>
      </w:r>
      <w:r>
        <w:rPr>
          <w:spacing w:val="-14"/>
          <w:sz w:val="24"/>
        </w:rPr>
        <w:t xml:space="preserve"> </w:t>
      </w:r>
      <w:r>
        <w:rPr>
          <w:sz w:val="24"/>
        </w:rPr>
        <w:t>14,</w:t>
      </w:r>
      <w:r>
        <w:rPr>
          <w:spacing w:val="-10"/>
          <w:sz w:val="24"/>
        </w:rPr>
        <w:t xml:space="preserve"> </w:t>
      </w:r>
      <w:r>
        <w:rPr>
          <w:sz w:val="24"/>
        </w:rPr>
        <w:t>which</w:t>
      </w:r>
      <w:r>
        <w:rPr>
          <w:spacing w:val="-9"/>
          <w:sz w:val="24"/>
        </w:rPr>
        <w:t xml:space="preserve"> </w:t>
      </w:r>
      <w:r>
        <w:rPr>
          <w:sz w:val="24"/>
        </w:rPr>
        <w:t>related</w:t>
      </w:r>
      <w:r>
        <w:rPr>
          <w:spacing w:val="-14"/>
          <w:sz w:val="24"/>
        </w:rPr>
        <w:t xml:space="preserve"> </w:t>
      </w:r>
      <w:r>
        <w:rPr>
          <w:sz w:val="24"/>
        </w:rPr>
        <w:t>to</w:t>
      </w:r>
      <w:r>
        <w:rPr>
          <w:spacing w:val="-13"/>
          <w:sz w:val="24"/>
        </w:rPr>
        <w:t xml:space="preserve"> </w:t>
      </w:r>
      <w:r>
        <w:rPr>
          <w:sz w:val="24"/>
        </w:rPr>
        <w:t>production</w:t>
      </w:r>
      <w:r>
        <w:rPr>
          <w:spacing w:val="-14"/>
          <w:sz w:val="24"/>
        </w:rPr>
        <w:t xml:space="preserve"> </w:t>
      </w:r>
      <w:r>
        <w:rPr>
          <w:sz w:val="24"/>
        </w:rPr>
        <w:t>equipment</w:t>
      </w:r>
      <w:r>
        <w:rPr>
          <w:spacing w:val="-11"/>
          <w:sz w:val="24"/>
        </w:rPr>
        <w:t xml:space="preserve"> </w:t>
      </w:r>
      <w:r>
        <w:rPr>
          <w:sz w:val="24"/>
        </w:rPr>
        <w:t>used</w:t>
      </w:r>
      <w:r>
        <w:rPr>
          <w:spacing w:val="-14"/>
          <w:sz w:val="24"/>
        </w:rPr>
        <w:t xml:space="preserve"> </w:t>
      </w:r>
      <w:r>
        <w:rPr>
          <w:sz w:val="24"/>
        </w:rPr>
        <w:t>in</w:t>
      </w:r>
      <w:r>
        <w:rPr>
          <w:spacing w:val="-9"/>
          <w:sz w:val="24"/>
        </w:rPr>
        <w:t xml:space="preserve"> </w:t>
      </w:r>
      <w:r>
        <w:rPr>
          <w:sz w:val="24"/>
        </w:rPr>
        <w:t>the production of wine, "does not concern 'production equipment', but rather, the other elements of that question";</w:t>
      </w:r>
      <w:hyperlink w:anchor="_bookmark1269" w:history="1">
        <w:r>
          <w:rPr>
            <w:sz w:val="24"/>
            <w:vertAlign w:val="superscript"/>
          </w:rPr>
          <w:t>1094</w:t>
        </w:r>
      </w:hyperlink>
      <w:r>
        <w:rPr>
          <w:sz w:val="24"/>
        </w:rPr>
        <w:t xml:space="preserve"> and</w:t>
      </w:r>
    </w:p>
    <w:p w14:paraId="092060D2" w14:textId="77777777" w:rsidR="00BD462C" w:rsidRDefault="00033D0F">
      <w:pPr>
        <w:pStyle w:val="ListParagraph"/>
        <w:numPr>
          <w:ilvl w:val="0"/>
          <w:numId w:val="28"/>
        </w:numPr>
        <w:tabs>
          <w:tab w:val="left" w:pos="1835"/>
          <w:tab w:val="left" w:pos="1836"/>
        </w:tabs>
        <w:spacing w:line="360" w:lineRule="auto"/>
        <w:ind w:right="914" w:hanging="855"/>
        <w:jc w:val="both"/>
        <w:rPr>
          <w:sz w:val="24"/>
        </w:rPr>
      </w:pPr>
      <w:r>
        <w:rPr>
          <w:sz w:val="24"/>
        </w:rPr>
        <w:t>the reason for the grant of confidential treatment to the entirety of the answer</w:t>
      </w:r>
      <w:r>
        <w:rPr>
          <w:spacing w:val="-6"/>
          <w:sz w:val="24"/>
        </w:rPr>
        <w:t xml:space="preserve"> </w:t>
      </w:r>
      <w:r>
        <w:rPr>
          <w:sz w:val="24"/>
        </w:rPr>
        <w:t>to</w:t>
      </w:r>
      <w:r>
        <w:rPr>
          <w:spacing w:val="-6"/>
          <w:sz w:val="24"/>
        </w:rPr>
        <w:t xml:space="preserve"> </w:t>
      </w:r>
      <w:r>
        <w:rPr>
          <w:sz w:val="24"/>
        </w:rPr>
        <w:t>question</w:t>
      </w:r>
      <w:r>
        <w:rPr>
          <w:spacing w:val="-5"/>
          <w:sz w:val="24"/>
        </w:rPr>
        <w:t xml:space="preserve"> </w:t>
      </w:r>
      <w:r>
        <w:rPr>
          <w:sz w:val="24"/>
        </w:rPr>
        <w:t>30,</w:t>
      </w:r>
      <w:r>
        <w:rPr>
          <w:spacing w:val="-2"/>
          <w:sz w:val="24"/>
        </w:rPr>
        <w:t xml:space="preserve"> </w:t>
      </w:r>
      <w:r>
        <w:rPr>
          <w:sz w:val="24"/>
        </w:rPr>
        <w:t>which</w:t>
      </w:r>
      <w:r>
        <w:rPr>
          <w:spacing w:val="-5"/>
          <w:sz w:val="24"/>
        </w:rPr>
        <w:t xml:space="preserve"> </w:t>
      </w:r>
      <w:r>
        <w:rPr>
          <w:sz w:val="24"/>
        </w:rPr>
        <w:t>related,</w:t>
      </w:r>
      <w:r>
        <w:rPr>
          <w:spacing w:val="-3"/>
          <w:sz w:val="24"/>
        </w:rPr>
        <w:t xml:space="preserve"> </w:t>
      </w:r>
      <w:r>
        <w:rPr>
          <w:i/>
          <w:sz w:val="24"/>
        </w:rPr>
        <w:t>inter</w:t>
      </w:r>
      <w:r>
        <w:rPr>
          <w:i/>
          <w:spacing w:val="-5"/>
          <w:sz w:val="24"/>
        </w:rPr>
        <w:t xml:space="preserve"> </w:t>
      </w:r>
      <w:r>
        <w:rPr>
          <w:i/>
          <w:sz w:val="24"/>
        </w:rPr>
        <w:t>alia</w:t>
      </w:r>
      <w:r>
        <w:rPr>
          <w:sz w:val="24"/>
        </w:rPr>
        <w:t>,</w:t>
      </w:r>
      <w:r>
        <w:rPr>
          <w:spacing w:val="-2"/>
          <w:sz w:val="24"/>
        </w:rPr>
        <w:t xml:space="preserve"> </w:t>
      </w:r>
      <w:r>
        <w:rPr>
          <w:sz w:val="24"/>
        </w:rPr>
        <w:t>to</w:t>
      </w:r>
      <w:r>
        <w:rPr>
          <w:spacing w:val="-6"/>
          <w:sz w:val="24"/>
        </w:rPr>
        <w:t xml:space="preserve"> </w:t>
      </w:r>
      <w:r>
        <w:rPr>
          <w:sz w:val="24"/>
        </w:rPr>
        <w:t>sales</w:t>
      </w:r>
      <w:r>
        <w:rPr>
          <w:spacing w:val="-3"/>
          <w:sz w:val="24"/>
        </w:rPr>
        <w:t xml:space="preserve"> </w:t>
      </w:r>
      <w:r>
        <w:rPr>
          <w:sz w:val="24"/>
        </w:rPr>
        <w:t>channels</w:t>
      </w:r>
      <w:r>
        <w:rPr>
          <w:spacing w:val="-3"/>
          <w:sz w:val="24"/>
        </w:rPr>
        <w:t xml:space="preserve"> </w:t>
      </w:r>
      <w:r>
        <w:rPr>
          <w:sz w:val="24"/>
        </w:rPr>
        <w:t>"does</w:t>
      </w:r>
      <w:r>
        <w:rPr>
          <w:spacing w:val="-3"/>
          <w:sz w:val="24"/>
        </w:rPr>
        <w:t xml:space="preserve"> </w:t>
      </w:r>
      <w:r>
        <w:rPr>
          <w:sz w:val="24"/>
        </w:rPr>
        <w:t>not concern</w:t>
      </w:r>
      <w:r>
        <w:rPr>
          <w:spacing w:val="-14"/>
          <w:sz w:val="24"/>
        </w:rPr>
        <w:t xml:space="preserve"> </w:t>
      </w:r>
      <w:r>
        <w:rPr>
          <w:sz w:val="24"/>
        </w:rPr>
        <w:t>'sales</w:t>
      </w:r>
      <w:r>
        <w:rPr>
          <w:spacing w:val="-14"/>
          <w:sz w:val="24"/>
        </w:rPr>
        <w:t xml:space="preserve"> </w:t>
      </w:r>
      <w:r>
        <w:rPr>
          <w:sz w:val="24"/>
        </w:rPr>
        <w:t>channels',</w:t>
      </w:r>
      <w:r>
        <w:rPr>
          <w:spacing w:val="-14"/>
          <w:sz w:val="24"/>
        </w:rPr>
        <w:t xml:space="preserve"> </w:t>
      </w:r>
      <w:r>
        <w:rPr>
          <w:sz w:val="24"/>
        </w:rPr>
        <w:t>but</w:t>
      </w:r>
      <w:r>
        <w:rPr>
          <w:spacing w:val="-14"/>
          <w:sz w:val="24"/>
        </w:rPr>
        <w:t xml:space="preserve"> </w:t>
      </w:r>
      <w:r>
        <w:rPr>
          <w:sz w:val="24"/>
        </w:rPr>
        <w:t>rather</w:t>
      </w:r>
      <w:r>
        <w:rPr>
          <w:spacing w:val="-14"/>
          <w:sz w:val="24"/>
        </w:rPr>
        <w:t xml:space="preserve"> </w:t>
      </w:r>
      <w:r>
        <w:rPr>
          <w:sz w:val="24"/>
        </w:rPr>
        <w:t>the</w:t>
      </w:r>
      <w:r>
        <w:rPr>
          <w:spacing w:val="-13"/>
          <w:sz w:val="24"/>
        </w:rPr>
        <w:t xml:space="preserve"> </w:t>
      </w:r>
      <w:r>
        <w:rPr>
          <w:sz w:val="24"/>
        </w:rPr>
        <w:t>other</w:t>
      </w:r>
      <w:r>
        <w:rPr>
          <w:spacing w:val="-14"/>
          <w:sz w:val="24"/>
        </w:rPr>
        <w:t xml:space="preserve"> </w:t>
      </w:r>
      <w:r>
        <w:rPr>
          <w:sz w:val="24"/>
        </w:rPr>
        <w:t>elements</w:t>
      </w:r>
      <w:r>
        <w:rPr>
          <w:spacing w:val="-14"/>
          <w:sz w:val="24"/>
        </w:rPr>
        <w:t xml:space="preserve"> </w:t>
      </w:r>
      <w:r>
        <w:rPr>
          <w:sz w:val="24"/>
        </w:rPr>
        <w:t>of</w:t>
      </w:r>
      <w:r>
        <w:rPr>
          <w:spacing w:val="-14"/>
          <w:sz w:val="24"/>
        </w:rPr>
        <w:t xml:space="preserve"> </w:t>
      </w:r>
      <w:r>
        <w:rPr>
          <w:sz w:val="24"/>
        </w:rPr>
        <w:t>that</w:t>
      </w:r>
      <w:r>
        <w:rPr>
          <w:spacing w:val="-15"/>
          <w:sz w:val="24"/>
        </w:rPr>
        <w:t xml:space="preserve"> </w:t>
      </w:r>
      <w:r>
        <w:rPr>
          <w:sz w:val="24"/>
        </w:rPr>
        <w:t>question".</w:t>
      </w:r>
      <w:hyperlink w:anchor="_bookmark1270" w:history="1">
        <w:r>
          <w:rPr>
            <w:sz w:val="24"/>
            <w:vertAlign w:val="superscript"/>
          </w:rPr>
          <w:t>1095</w:t>
        </w:r>
      </w:hyperlink>
    </w:p>
    <w:p w14:paraId="3A2F1342" w14:textId="4A02411F" w:rsidR="00BD462C" w:rsidRDefault="009F4A58">
      <w:pPr>
        <w:pStyle w:val="BodyText"/>
        <w:spacing w:before="130" w:line="357" w:lineRule="auto"/>
        <w:ind w:left="136" w:right="916"/>
        <w:jc w:val="both"/>
      </w:pPr>
      <w:r>
        <w:rPr>
          <w:noProof/>
        </w:rPr>
        <w:t>710.</w:t>
      </w:r>
      <w:r w:rsidR="00033D0F">
        <w:rPr>
          <w:rFonts w:ascii="Times New Roman"/>
          <w:spacing w:val="80"/>
          <w:position w:val="1"/>
          <w:sz w:val="20"/>
        </w:rPr>
        <w:t xml:space="preserve">  </w:t>
      </w:r>
      <w:r w:rsidR="00033D0F">
        <w:rPr>
          <w:position w:val="1"/>
        </w:rPr>
        <w:t>As</w:t>
      </w:r>
      <w:r w:rsidR="00033D0F">
        <w:rPr>
          <w:spacing w:val="-9"/>
          <w:position w:val="1"/>
        </w:rPr>
        <w:t xml:space="preserve"> </w:t>
      </w:r>
      <w:r w:rsidR="00033D0F">
        <w:rPr>
          <w:position w:val="1"/>
        </w:rPr>
        <w:t>to</w:t>
      </w:r>
      <w:r w:rsidR="00033D0F">
        <w:rPr>
          <w:spacing w:val="-13"/>
          <w:position w:val="1"/>
        </w:rPr>
        <w:t xml:space="preserve"> </w:t>
      </w:r>
      <w:r w:rsidR="00033D0F">
        <w:rPr>
          <w:position w:val="1"/>
        </w:rPr>
        <w:t>the</w:t>
      </w:r>
      <w:r w:rsidR="00033D0F">
        <w:rPr>
          <w:spacing w:val="-11"/>
          <w:position w:val="1"/>
        </w:rPr>
        <w:t xml:space="preserve"> </w:t>
      </w:r>
      <w:r w:rsidR="00033D0F">
        <w:rPr>
          <w:position w:val="1"/>
        </w:rPr>
        <w:t>information</w:t>
      </w:r>
      <w:r w:rsidR="00033D0F">
        <w:rPr>
          <w:spacing w:val="-13"/>
          <w:position w:val="1"/>
        </w:rPr>
        <w:t xml:space="preserve"> </w:t>
      </w:r>
      <w:r w:rsidR="00033D0F">
        <w:rPr>
          <w:position w:val="1"/>
        </w:rPr>
        <w:t>said</w:t>
      </w:r>
      <w:r w:rsidR="00033D0F">
        <w:rPr>
          <w:spacing w:val="-13"/>
          <w:position w:val="1"/>
        </w:rPr>
        <w:t xml:space="preserve"> </w:t>
      </w:r>
      <w:r w:rsidR="00033D0F">
        <w:rPr>
          <w:position w:val="1"/>
        </w:rPr>
        <w:t>to</w:t>
      </w:r>
      <w:r w:rsidR="00033D0F">
        <w:rPr>
          <w:spacing w:val="-9"/>
          <w:position w:val="1"/>
        </w:rPr>
        <w:t xml:space="preserve"> </w:t>
      </w:r>
      <w:r w:rsidR="00033D0F">
        <w:rPr>
          <w:position w:val="1"/>
        </w:rPr>
        <w:t>be</w:t>
      </w:r>
      <w:r w:rsidR="00033D0F">
        <w:rPr>
          <w:spacing w:val="-6"/>
          <w:position w:val="1"/>
        </w:rPr>
        <w:t xml:space="preserve"> </w:t>
      </w:r>
      <w:r w:rsidR="00033D0F">
        <w:rPr>
          <w:position w:val="1"/>
        </w:rPr>
        <w:t>publicly</w:t>
      </w:r>
      <w:r w:rsidR="00033D0F">
        <w:rPr>
          <w:spacing w:val="-10"/>
          <w:position w:val="1"/>
        </w:rPr>
        <w:t xml:space="preserve"> </w:t>
      </w:r>
      <w:r w:rsidR="00033D0F">
        <w:rPr>
          <w:position w:val="1"/>
        </w:rPr>
        <w:t>available,</w:t>
      </w:r>
      <w:r w:rsidR="00033D0F">
        <w:rPr>
          <w:spacing w:val="-14"/>
          <w:position w:val="1"/>
        </w:rPr>
        <w:t xml:space="preserve"> </w:t>
      </w:r>
      <w:r w:rsidR="00033D0F">
        <w:rPr>
          <w:position w:val="1"/>
        </w:rPr>
        <w:t>it</w:t>
      </w:r>
      <w:r w:rsidR="00033D0F">
        <w:rPr>
          <w:spacing w:val="-10"/>
          <w:position w:val="1"/>
        </w:rPr>
        <w:t xml:space="preserve"> </w:t>
      </w:r>
      <w:r w:rsidR="00033D0F">
        <w:rPr>
          <w:position w:val="1"/>
        </w:rPr>
        <w:t>proves,</w:t>
      </w:r>
      <w:r w:rsidR="00033D0F">
        <w:rPr>
          <w:spacing w:val="-9"/>
          <w:position w:val="1"/>
        </w:rPr>
        <w:t xml:space="preserve"> </w:t>
      </w:r>
      <w:r w:rsidR="00033D0F">
        <w:rPr>
          <w:position w:val="1"/>
        </w:rPr>
        <w:t>rather</w:t>
      </w:r>
      <w:r w:rsidR="00033D0F">
        <w:rPr>
          <w:spacing w:val="-14"/>
          <w:position w:val="1"/>
        </w:rPr>
        <w:t xml:space="preserve"> </w:t>
      </w:r>
      <w:r w:rsidR="00033D0F">
        <w:rPr>
          <w:position w:val="1"/>
        </w:rPr>
        <w:t>than</w:t>
      </w:r>
      <w:r w:rsidR="00033D0F">
        <w:rPr>
          <w:spacing w:val="-8"/>
          <w:position w:val="1"/>
        </w:rPr>
        <w:t xml:space="preserve"> </w:t>
      </w:r>
      <w:r w:rsidR="00033D0F">
        <w:rPr>
          <w:position w:val="1"/>
        </w:rPr>
        <w:t>excuses,</w:t>
      </w:r>
      <w:r w:rsidR="00033D0F">
        <w:rPr>
          <w:spacing w:val="-9"/>
          <w:position w:val="1"/>
        </w:rPr>
        <w:t xml:space="preserve"> </w:t>
      </w:r>
      <w:r w:rsidR="00033D0F">
        <w:rPr>
          <w:position w:val="1"/>
        </w:rPr>
        <w:t xml:space="preserve">that </w:t>
      </w:r>
      <w:r w:rsidR="00033D0F">
        <w:t>there</w:t>
      </w:r>
      <w:r w:rsidR="00033D0F">
        <w:rPr>
          <w:spacing w:val="-8"/>
        </w:rPr>
        <w:t xml:space="preserve"> </w:t>
      </w:r>
      <w:r w:rsidR="00033D0F">
        <w:t>was</w:t>
      </w:r>
      <w:r w:rsidR="00033D0F">
        <w:rPr>
          <w:spacing w:val="-7"/>
        </w:rPr>
        <w:t xml:space="preserve"> </w:t>
      </w:r>
      <w:r w:rsidR="00033D0F">
        <w:t>no</w:t>
      </w:r>
      <w:r w:rsidR="00033D0F">
        <w:rPr>
          <w:spacing w:val="-10"/>
        </w:rPr>
        <w:t xml:space="preserve"> </w:t>
      </w:r>
      <w:r w:rsidR="00033D0F">
        <w:t>objective</w:t>
      </w:r>
      <w:r w:rsidR="00033D0F">
        <w:rPr>
          <w:spacing w:val="-8"/>
        </w:rPr>
        <w:t xml:space="preserve"> </w:t>
      </w:r>
      <w:r w:rsidR="00033D0F">
        <w:t>assessment</w:t>
      </w:r>
      <w:r w:rsidR="00033D0F">
        <w:rPr>
          <w:spacing w:val="-8"/>
        </w:rPr>
        <w:t xml:space="preserve"> </w:t>
      </w:r>
      <w:r w:rsidR="00033D0F">
        <w:t>of</w:t>
      </w:r>
      <w:r w:rsidR="00033D0F">
        <w:rPr>
          <w:spacing w:val="-10"/>
        </w:rPr>
        <w:t xml:space="preserve"> </w:t>
      </w:r>
      <w:r w:rsidR="00033D0F">
        <w:t>"good</w:t>
      </w:r>
      <w:r w:rsidR="00033D0F">
        <w:rPr>
          <w:spacing w:val="-10"/>
        </w:rPr>
        <w:t xml:space="preserve"> </w:t>
      </w:r>
      <w:r w:rsidR="00033D0F">
        <w:t>cause"</w:t>
      </w:r>
      <w:r w:rsidR="00033D0F">
        <w:rPr>
          <w:spacing w:val="-9"/>
        </w:rPr>
        <w:t xml:space="preserve"> </w:t>
      </w:r>
      <w:r w:rsidR="00033D0F">
        <w:t>for</w:t>
      </w:r>
      <w:r w:rsidR="00033D0F">
        <w:rPr>
          <w:spacing w:val="-11"/>
        </w:rPr>
        <w:t xml:space="preserve"> </w:t>
      </w:r>
      <w:r w:rsidR="00033D0F">
        <w:t>the</w:t>
      </w:r>
      <w:r w:rsidR="00033D0F">
        <w:rPr>
          <w:spacing w:val="-4"/>
        </w:rPr>
        <w:t xml:space="preserve"> </w:t>
      </w:r>
      <w:r w:rsidR="00033D0F">
        <w:t>confidential</w:t>
      </w:r>
      <w:r w:rsidR="00033D0F">
        <w:rPr>
          <w:spacing w:val="-6"/>
        </w:rPr>
        <w:t xml:space="preserve"> </w:t>
      </w:r>
      <w:r w:rsidR="00033D0F">
        <w:t>treatment</w:t>
      </w:r>
      <w:r w:rsidR="00033D0F">
        <w:rPr>
          <w:spacing w:val="-8"/>
        </w:rPr>
        <w:t xml:space="preserve"> </w:t>
      </w:r>
      <w:r w:rsidR="00033D0F">
        <w:t>of</w:t>
      </w:r>
      <w:r w:rsidR="00033D0F">
        <w:rPr>
          <w:spacing w:val="-10"/>
        </w:rPr>
        <w:t xml:space="preserve"> </w:t>
      </w:r>
      <w:r w:rsidR="00033D0F">
        <w:t>all</w:t>
      </w:r>
      <w:r w:rsidR="00033D0F">
        <w:rPr>
          <w:spacing w:val="-6"/>
        </w:rPr>
        <w:t xml:space="preserve"> </w:t>
      </w:r>
      <w:r w:rsidR="00033D0F">
        <w:t>of</w:t>
      </w:r>
      <w:r w:rsidR="00033D0F">
        <w:rPr>
          <w:spacing w:val="-10"/>
        </w:rPr>
        <w:t xml:space="preserve"> </w:t>
      </w:r>
      <w:r w:rsidR="00033D0F">
        <w:t>the information</w:t>
      </w:r>
      <w:r w:rsidR="00033D0F">
        <w:rPr>
          <w:spacing w:val="40"/>
        </w:rPr>
        <w:t xml:space="preserve"> </w:t>
      </w:r>
      <w:r w:rsidR="00033D0F">
        <w:t>in</w:t>
      </w:r>
      <w:r w:rsidR="00033D0F">
        <w:rPr>
          <w:spacing w:val="40"/>
        </w:rPr>
        <w:t xml:space="preserve"> </w:t>
      </w:r>
      <w:r w:rsidR="00033D0F">
        <w:t>those</w:t>
      </w:r>
      <w:r w:rsidR="00033D0F">
        <w:rPr>
          <w:spacing w:val="40"/>
        </w:rPr>
        <w:t xml:space="preserve"> </w:t>
      </w:r>
      <w:r w:rsidR="00033D0F">
        <w:t>questions</w:t>
      </w:r>
      <w:r w:rsidR="00033D0F">
        <w:rPr>
          <w:spacing w:val="40"/>
        </w:rPr>
        <w:t xml:space="preserve"> </w:t>
      </w:r>
      <w:r w:rsidR="00033D0F">
        <w:t>for</w:t>
      </w:r>
      <w:r w:rsidR="00033D0F">
        <w:rPr>
          <w:spacing w:val="40"/>
        </w:rPr>
        <w:t xml:space="preserve"> </w:t>
      </w:r>
      <w:r w:rsidR="00033D0F">
        <w:t>the</w:t>
      </w:r>
      <w:r w:rsidR="00033D0F">
        <w:rPr>
          <w:spacing w:val="40"/>
        </w:rPr>
        <w:t xml:space="preserve"> </w:t>
      </w:r>
      <w:r w:rsidR="00033D0F">
        <w:t>purposes</w:t>
      </w:r>
      <w:r w:rsidR="00033D0F">
        <w:rPr>
          <w:spacing w:val="40"/>
        </w:rPr>
        <w:t xml:space="preserve"> </w:t>
      </w:r>
      <w:r w:rsidR="00033D0F">
        <w:t>of</w:t>
      </w:r>
      <w:r w:rsidR="00033D0F">
        <w:rPr>
          <w:spacing w:val="40"/>
        </w:rPr>
        <w:t xml:space="preserve"> </w:t>
      </w:r>
      <w:r w:rsidR="00033D0F">
        <w:t>Article</w:t>
      </w:r>
      <w:r w:rsidR="00033D0F">
        <w:rPr>
          <w:spacing w:val="40"/>
        </w:rPr>
        <w:t xml:space="preserve"> </w:t>
      </w:r>
      <w:r w:rsidR="00033D0F">
        <w:t>6.5.</w:t>
      </w:r>
      <w:r w:rsidR="00033D0F">
        <w:rPr>
          <w:spacing w:val="40"/>
        </w:rPr>
        <w:t xml:space="preserve"> </w:t>
      </w:r>
      <w:r w:rsidR="00033D0F">
        <w:t>"Good</w:t>
      </w:r>
      <w:r w:rsidR="00033D0F">
        <w:rPr>
          <w:spacing w:val="40"/>
        </w:rPr>
        <w:t xml:space="preserve"> </w:t>
      </w:r>
      <w:r w:rsidR="00033D0F">
        <w:t>cause"</w:t>
      </w:r>
      <w:r w:rsidR="00033D0F">
        <w:rPr>
          <w:spacing w:val="40"/>
        </w:rPr>
        <w:t xml:space="preserve"> </w:t>
      </w:r>
      <w:r w:rsidR="00033D0F">
        <w:t>cannot</w:t>
      </w:r>
      <w:r w:rsidR="00033D0F">
        <w:rPr>
          <w:spacing w:val="40"/>
        </w:rPr>
        <w:t xml:space="preserve"> </w:t>
      </w:r>
      <w:r w:rsidR="00033D0F">
        <w:t>be</w:t>
      </w:r>
    </w:p>
    <w:p w14:paraId="3B02A2F1" w14:textId="77777777" w:rsidR="00BD462C" w:rsidRDefault="00BD462C">
      <w:pPr>
        <w:pStyle w:val="BodyText"/>
        <w:rPr>
          <w:sz w:val="20"/>
        </w:rPr>
      </w:pPr>
    </w:p>
    <w:p w14:paraId="6F31DAD4" w14:textId="0CDDC241" w:rsidR="00BD462C" w:rsidRDefault="00D70C7D">
      <w:pPr>
        <w:pStyle w:val="BodyText"/>
        <w:spacing w:before="9"/>
        <w:rPr>
          <w:sz w:val="13"/>
        </w:rPr>
      </w:pPr>
      <w:r>
        <w:rPr>
          <w:noProof/>
        </w:rPr>
        <mc:AlternateContent>
          <mc:Choice Requires="wps">
            <w:drawing>
              <wp:anchor distT="0" distB="0" distL="0" distR="0" simplePos="0" relativeHeight="487821824" behindDoc="1" locked="0" layoutInCell="1" allowOverlap="1" wp14:anchorId="316CDBB2" wp14:editId="7F7E8EB4">
                <wp:simplePos x="0" y="0"/>
                <wp:positionH relativeFrom="page">
                  <wp:posOffset>899160</wp:posOffset>
                </wp:positionH>
                <wp:positionV relativeFrom="paragraph">
                  <wp:posOffset>122555</wp:posOffset>
                </wp:positionV>
                <wp:extent cx="1828800" cy="8890"/>
                <wp:effectExtent l="0" t="0" r="0" b="0"/>
                <wp:wrapTopAndBottom/>
                <wp:docPr id="428" name="docshape5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073CF3" id="docshape508" o:spid="_x0000_s1026" alt="&quot;&quot;" style="position:absolute;margin-left:70.8pt;margin-top:9.65pt;width:2in;height:.7pt;z-index:-1549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" fillcolor="black" stroked="f">
                <w10:wrap type="topAndBottom" anchorx="page"/>
              </v:rect>
            </w:pict>
          </mc:Fallback>
        </mc:AlternateContent>
      </w:r>
    </w:p>
    <w:p w14:paraId="66A4EAB4" w14:textId="77777777" w:rsidR="00BD462C" w:rsidRDefault="00033D0F">
      <w:pPr>
        <w:spacing w:before="112"/>
        <w:ind w:left="135" w:right="3105"/>
        <w:jc w:val="both"/>
        <w:rPr>
          <w:sz w:val="18"/>
        </w:rPr>
      </w:pPr>
      <w:bookmarkStart w:id="1470" w:name="_bookmark1267"/>
      <w:bookmarkEnd w:id="1470"/>
      <w:r>
        <w:rPr>
          <w:position w:val="5"/>
          <w:sz w:val="12"/>
        </w:rPr>
        <w:t>1092</w:t>
      </w:r>
      <w:r>
        <w:rPr>
          <w:spacing w:val="14"/>
          <w:position w:val="5"/>
          <w:sz w:val="12"/>
        </w:rPr>
        <w:t xml:space="preserve"> </w:t>
      </w:r>
      <w:r>
        <w:rPr>
          <w:sz w:val="18"/>
        </w:rPr>
        <w:t>Australia's</w:t>
      </w:r>
      <w:r>
        <w:rPr>
          <w:spacing w:val="-5"/>
          <w:sz w:val="18"/>
        </w:rPr>
        <w:t xml:space="preserve"> </w:t>
      </w:r>
      <w:r>
        <w:rPr>
          <w:sz w:val="18"/>
        </w:rPr>
        <w:t>first</w:t>
      </w:r>
      <w:r>
        <w:rPr>
          <w:spacing w:val="-4"/>
          <w:sz w:val="18"/>
        </w:rPr>
        <w:t xml:space="preserve"> </w:t>
      </w:r>
      <w:r>
        <w:rPr>
          <w:sz w:val="18"/>
        </w:rPr>
        <w:t>written</w:t>
      </w:r>
      <w:r>
        <w:rPr>
          <w:spacing w:val="-1"/>
          <w:sz w:val="18"/>
        </w:rPr>
        <w:t xml:space="preserve"> </w:t>
      </w:r>
      <w:r>
        <w:rPr>
          <w:sz w:val="18"/>
        </w:rPr>
        <w:t>submission, para.</w:t>
      </w:r>
      <w:r>
        <w:rPr>
          <w:spacing w:val="-4"/>
          <w:sz w:val="18"/>
        </w:rPr>
        <w:t xml:space="preserve"> </w:t>
      </w:r>
      <w:r>
        <w:rPr>
          <w:sz w:val="18"/>
        </w:rPr>
        <w:t>861;</w:t>
      </w:r>
      <w:r>
        <w:rPr>
          <w:spacing w:val="-2"/>
          <w:sz w:val="18"/>
        </w:rPr>
        <w:t xml:space="preserve"> </w:t>
      </w:r>
      <w:r>
        <w:rPr>
          <w:sz w:val="18"/>
        </w:rPr>
        <w:t>China's</w:t>
      </w:r>
      <w:r>
        <w:rPr>
          <w:spacing w:val="-5"/>
          <w:sz w:val="18"/>
        </w:rPr>
        <w:t xml:space="preserve"> </w:t>
      </w:r>
      <w:r>
        <w:rPr>
          <w:sz w:val="18"/>
        </w:rPr>
        <w:t>first</w:t>
      </w:r>
      <w:r>
        <w:rPr>
          <w:spacing w:val="-4"/>
          <w:sz w:val="18"/>
        </w:rPr>
        <w:t xml:space="preserve"> </w:t>
      </w:r>
      <w:r>
        <w:rPr>
          <w:sz w:val="18"/>
        </w:rPr>
        <w:t>written</w:t>
      </w:r>
      <w:r>
        <w:rPr>
          <w:spacing w:val="-6"/>
          <w:sz w:val="18"/>
        </w:rPr>
        <w:t xml:space="preserve"> </w:t>
      </w:r>
      <w:r>
        <w:rPr>
          <w:sz w:val="18"/>
        </w:rPr>
        <w:t>submission, para.</w:t>
      </w:r>
      <w:r>
        <w:rPr>
          <w:spacing w:val="-4"/>
          <w:sz w:val="18"/>
        </w:rPr>
        <w:t xml:space="preserve"> </w:t>
      </w:r>
      <w:r>
        <w:rPr>
          <w:sz w:val="18"/>
        </w:rPr>
        <w:t xml:space="preserve">2298. </w:t>
      </w:r>
      <w:bookmarkStart w:id="1471" w:name="_bookmark1268"/>
      <w:bookmarkEnd w:id="1471"/>
      <w:r>
        <w:rPr>
          <w:position w:val="5"/>
          <w:sz w:val="12"/>
        </w:rPr>
        <w:t>1093</w:t>
      </w:r>
      <w:r>
        <w:rPr>
          <w:spacing w:val="14"/>
          <w:position w:val="5"/>
          <w:sz w:val="12"/>
        </w:rPr>
        <w:t xml:space="preserve"> </w:t>
      </w:r>
      <w:r>
        <w:rPr>
          <w:sz w:val="18"/>
        </w:rPr>
        <w:t>Australia's</w:t>
      </w:r>
      <w:r>
        <w:rPr>
          <w:spacing w:val="-5"/>
          <w:sz w:val="18"/>
        </w:rPr>
        <w:t xml:space="preserve"> </w:t>
      </w:r>
      <w:r>
        <w:rPr>
          <w:sz w:val="18"/>
        </w:rPr>
        <w:t>first</w:t>
      </w:r>
      <w:r>
        <w:rPr>
          <w:spacing w:val="-4"/>
          <w:sz w:val="18"/>
        </w:rPr>
        <w:t xml:space="preserve"> </w:t>
      </w:r>
      <w:r>
        <w:rPr>
          <w:sz w:val="18"/>
        </w:rPr>
        <w:t>written</w:t>
      </w:r>
      <w:r>
        <w:rPr>
          <w:spacing w:val="-1"/>
          <w:sz w:val="18"/>
        </w:rPr>
        <w:t xml:space="preserve"> </w:t>
      </w:r>
      <w:r>
        <w:rPr>
          <w:sz w:val="18"/>
        </w:rPr>
        <w:t>submission, para.</w:t>
      </w:r>
      <w:r>
        <w:rPr>
          <w:spacing w:val="-4"/>
          <w:sz w:val="18"/>
        </w:rPr>
        <w:t xml:space="preserve"> </w:t>
      </w:r>
      <w:r>
        <w:rPr>
          <w:sz w:val="18"/>
        </w:rPr>
        <w:t>861;</w:t>
      </w:r>
      <w:r>
        <w:rPr>
          <w:spacing w:val="-2"/>
          <w:sz w:val="18"/>
        </w:rPr>
        <w:t xml:space="preserve"> </w:t>
      </w:r>
      <w:r>
        <w:rPr>
          <w:sz w:val="18"/>
        </w:rPr>
        <w:t>China's</w:t>
      </w:r>
      <w:r>
        <w:rPr>
          <w:spacing w:val="-5"/>
          <w:sz w:val="18"/>
        </w:rPr>
        <w:t xml:space="preserve"> </w:t>
      </w:r>
      <w:r>
        <w:rPr>
          <w:sz w:val="18"/>
        </w:rPr>
        <w:t>first</w:t>
      </w:r>
      <w:r>
        <w:rPr>
          <w:spacing w:val="-4"/>
          <w:sz w:val="18"/>
        </w:rPr>
        <w:t xml:space="preserve"> </w:t>
      </w:r>
      <w:r>
        <w:rPr>
          <w:sz w:val="18"/>
        </w:rPr>
        <w:t>written</w:t>
      </w:r>
      <w:r>
        <w:rPr>
          <w:spacing w:val="-6"/>
          <w:sz w:val="18"/>
        </w:rPr>
        <w:t xml:space="preserve"> </w:t>
      </w:r>
      <w:r>
        <w:rPr>
          <w:sz w:val="18"/>
        </w:rPr>
        <w:t>submission, para.</w:t>
      </w:r>
      <w:r>
        <w:rPr>
          <w:spacing w:val="-4"/>
          <w:sz w:val="18"/>
        </w:rPr>
        <w:t xml:space="preserve"> </w:t>
      </w:r>
      <w:r>
        <w:rPr>
          <w:sz w:val="18"/>
        </w:rPr>
        <w:t xml:space="preserve">2299. </w:t>
      </w:r>
      <w:bookmarkStart w:id="1472" w:name="_bookmark1269"/>
      <w:bookmarkEnd w:id="1472"/>
      <w:r>
        <w:rPr>
          <w:position w:val="5"/>
          <w:sz w:val="12"/>
        </w:rPr>
        <w:t>1094</w:t>
      </w:r>
      <w:r>
        <w:rPr>
          <w:spacing w:val="14"/>
          <w:position w:val="5"/>
          <w:sz w:val="12"/>
        </w:rPr>
        <w:t xml:space="preserve"> </w:t>
      </w:r>
      <w:r>
        <w:rPr>
          <w:sz w:val="18"/>
        </w:rPr>
        <w:t>Australia's</w:t>
      </w:r>
      <w:r>
        <w:rPr>
          <w:spacing w:val="-5"/>
          <w:sz w:val="18"/>
        </w:rPr>
        <w:t xml:space="preserve"> </w:t>
      </w:r>
      <w:r>
        <w:rPr>
          <w:sz w:val="18"/>
        </w:rPr>
        <w:t>first</w:t>
      </w:r>
      <w:r>
        <w:rPr>
          <w:spacing w:val="-4"/>
          <w:sz w:val="18"/>
        </w:rPr>
        <w:t xml:space="preserve"> </w:t>
      </w:r>
      <w:r>
        <w:rPr>
          <w:sz w:val="18"/>
        </w:rPr>
        <w:t>written</w:t>
      </w:r>
      <w:r>
        <w:rPr>
          <w:spacing w:val="-1"/>
          <w:sz w:val="18"/>
        </w:rPr>
        <w:t xml:space="preserve"> </w:t>
      </w:r>
      <w:r>
        <w:rPr>
          <w:sz w:val="18"/>
        </w:rPr>
        <w:t>submission, para.</w:t>
      </w:r>
      <w:r>
        <w:rPr>
          <w:spacing w:val="-4"/>
          <w:sz w:val="18"/>
        </w:rPr>
        <w:t xml:space="preserve"> </w:t>
      </w:r>
      <w:r>
        <w:rPr>
          <w:sz w:val="18"/>
        </w:rPr>
        <w:t>861;</w:t>
      </w:r>
      <w:r>
        <w:rPr>
          <w:spacing w:val="-2"/>
          <w:sz w:val="18"/>
        </w:rPr>
        <w:t xml:space="preserve"> </w:t>
      </w:r>
      <w:r>
        <w:rPr>
          <w:sz w:val="18"/>
        </w:rPr>
        <w:t>China's</w:t>
      </w:r>
      <w:r>
        <w:rPr>
          <w:spacing w:val="-5"/>
          <w:sz w:val="18"/>
        </w:rPr>
        <w:t xml:space="preserve"> </w:t>
      </w:r>
      <w:r>
        <w:rPr>
          <w:sz w:val="18"/>
        </w:rPr>
        <w:t>first</w:t>
      </w:r>
      <w:r>
        <w:rPr>
          <w:spacing w:val="-4"/>
          <w:sz w:val="18"/>
        </w:rPr>
        <w:t xml:space="preserve"> </w:t>
      </w:r>
      <w:r>
        <w:rPr>
          <w:sz w:val="18"/>
        </w:rPr>
        <w:t>written</w:t>
      </w:r>
      <w:r>
        <w:rPr>
          <w:spacing w:val="-6"/>
          <w:sz w:val="18"/>
        </w:rPr>
        <w:t xml:space="preserve"> </w:t>
      </w:r>
      <w:r>
        <w:rPr>
          <w:sz w:val="18"/>
        </w:rPr>
        <w:t>submission, para.</w:t>
      </w:r>
      <w:r>
        <w:rPr>
          <w:spacing w:val="-4"/>
          <w:sz w:val="18"/>
        </w:rPr>
        <w:t xml:space="preserve"> </w:t>
      </w:r>
      <w:r>
        <w:rPr>
          <w:sz w:val="18"/>
        </w:rPr>
        <w:t xml:space="preserve">2301. </w:t>
      </w:r>
      <w:bookmarkStart w:id="1473" w:name="_bookmark1270"/>
      <w:bookmarkEnd w:id="1473"/>
      <w:r>
        <w:rPr>
          <w:position w:val="5"/>
          <w:sz w:val="12"/>
        </w:rPr>
        <w:t>1095</w:t>
      </w:r>
      <w:r>
        <w:rPr>
          <w:spacing w:val="14"/>
          <w:position w:val="5"/>
          <w:sz w:val="12"/>
        </w:rPr>
        <w:t xml:space="preserve"> </w:t>
      </w:r>
      <w:r>
        <w:rPr>
          <w:sz w:val="18"/>
        </w:rPr>
        <w:t>Australia's</w:t>
      </w:r>
      <w:r>
        <w:rPr>
          <w:spacing w:val="-5"/>
          <w:sz w:val="18"/>
        </w:rPr>
        <w:t xml:space="preserve"> </w:t>
      </w:r>
      <w:r>
        <w:rPr>
          <w:sz w:val="18"/>
        </w:rPr>
        <w:t>first</w:t>
      </w:r>
      <w:r>
        <w:rPr>
          <w:spacing w:val="-4"/>
          <w:sz w:val="18"/>
        </w:rPr>
        <w:t xml:space="preserve"> </w:t>
      </w:r>
      <w:r>
        <w:rPr>
          <w:sz w:val="18"/>
        </w:rPr>
        <w:t>written</w:t>
      </w:r>
      <w:r>
        <w:rPr>
          <w:spacing w:val="-1"/>
          <w:sz w:val="18"/>
        </w:rPr>
        <w:t xml:space="preserve"> </w:t>
      </w:r>
      <w:r>
        <w:rPr>
          <w:sz w:val="18"/>
        </w:rPr>
        <w:t>submission, para.</w:t>
      </w:r>
      <w:r>
        <w:rPr>
          <w:spacing w:val="-4"/>
          <w:sz w:val="18"/>
        </w:rPr>
        <w:t xml:space="preserve"> </w:t>
      </w:r>
      <w:r>
        <w:rPr>
          <w:sz w:val="18"/>
        </w:rPr>
        <w:t>861;</w:t>
      </w:r>
      <w:r>
        <w:rPr>
          <w:spacing w:val="-2"/>
          <w:sz w:val="18"/>
        </w:rPr>
        <w:t xml:space="preserve"> </w:t>
      </w:r>
      <w:r>
        <w:rPr>
          <w:sz w:val="18"/>
        </w:rPr>
        <w:t>China's</w:t>
      </w:r>
      <w:r>
        <w:rPr>
          <w:spacing w:val="-5"/>
          <w:sz w:val="18"/>
        </w:rPr>
        <w:t xml:space="preserve"> </w:t>
      </w:r>
      <w:r>
        <w:rPr>
          <w:sz w:val="18"/>
        </w:rPr>
        <w:t>first</w:t>
      </w:r>
      <w:r>
        <w:rPr>
          <w:spacing w:val="-4"/>
          <w:sz w:val="18"/>
        </w:rPr>
        <w:t xml:space="preserve"> </w:t>
      </w:r>
      <w:r>
        <w:rPr>
          <w:sz w:val="18"/>
        </w:rPr>
        <w:t>written</w:t>
      </w:r>
      <w:r>
        <w:rPr>
          <w:spacing w:val="-6"/>
          <w:sz w:val="18"/>
        </w:rPr>
        <w:t xml:space="preserve"> </w:t>
      </w:r>
      <w:r>
        <w:rPr>
          <w:sz w:val="18"/>
        </w:rPr>
        <w:t>submission, para.</w:t>
      </w:r>
      <w:r>
        <w:rPr>
          <w:spacing w:val="-4"/>
          <w:sz w:val="18"/>
        </w:rPr>
        <w:t xml:space="preserve"> </w:t>
      </w:r>
      <w:r>
        <w:rPr>
          <w:sz w:val="18"/>
        </w:rPr>
        <w:t>2302.</w:t>
      </w:r>
    </w:p>
    <w:p w14:paraId="5FCCE69D" w14:textId="77777777" w:rsidR="00BD462C" w:rsidRDefault="00BD462C">
      <w:pPr>
        <w:jc w:val="both"/>
        <w:rPr>
          <w:sz w:val="18"/>
        </w:rPr>
        <w:sectPr w:rsidR="00BD462C">
          <w:pgSz w:w="11910" w:h="16840"/>
          <w:pgMar w:top="860" w:right="500" w:bottom="780" w:left="1280" w:header="566" w:footer="590" w:gutter="0"/>
          <w:cols w:space="720"/>
        </w:sectPr>
      </w:pPr>
    </w:p>
    <w:p w14:paraId="52B7EC1A" w14:textId="77777777" w:rsidR="00BD462C" w:rsidRDefault="00033D0F">
      <w:pPr>
        <w:tabs>
          <w:tab w:val="left" w:pos="6087"/>
        </w:tabs>
        <w:spacing w:before="1"/>
        <w:ind w:left="135"/>
        <w:jc w:val="both"/>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74E97DD4" w14:textId="77777777" w:rsidR="00BD462C" w:rsidRDefault="00033D0F">
      <w:pPr>
        <w:spacing w:before="1"/>
        <w:ind w:left="135"/>
        <w:jc w:val="both"/>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3C8D2CCB" w14:textId="77777777" w:rsidR="00BD462C" w:rsidRDefault="00033D0F">
      <w:pPr>
        <w:tabs>
          <w:tab w:val="left" w:pos="7652"/>
        </w:tabs>
        <w:ind w:left="135"/>
        <w:jc w:val="both"/>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0EFC4E7A" w14:textId="77777777" w:rsidR="00BD462C" w:rsidRDefault="00033D0F">
      <w:pPr>
        <w:pStyle w:val="BodyText"/>
        <w:spacing w:before="102" w:line="360" w:lineRule="auto"/>
        <w:ind w:left="135" w:right="911"/>
        <w:jc w:val="both"/>
      </w:pPr>
      <w:r>
        <w:t>demonstrated for information supplied by an interested party where that information, by reason of being publicly available, is not confidential. Whether or not it is public, the rights and obligations relating to due process and transparency require the investigating authority to ensure that such information, as evidence relevant to the question(s) asked by the investigating authority for the purposes of its investigation, is disclosed</w:t>
      </w:r>
      <w:r>
        <w:rPr>
          <w:spacing w:val="-1"/>
        </w:rPr>
        <w:t xml:space="preserve"> </w:t>
      </w:r>
      <w:r>
        <w:t>in the context of the questionnaire response.</w:t>
      </w:r>
    </w:p>
    <w:p w14:paraId="005B52ED" w14:textId="77777777" w:rsidR="00BD462C" w:rsidRDefault="00BD462C">
      <w:pPr>
        <w:pStyle w:val="BodyText"/>
        <w:spacing w:before="8"/>
        <w:rPr>
          <w:sz w:val="8"/>
        </w:rPr>
      </w:pPr>
    </w:p>
    <w:p w14:paraId="4A88EED7" w14:textId="001B9563" w:rsidR="00BD462C" w:rsidRDefault="000923F6">
      <w:pPr>
        <w:pStyle w:val="BodyText"/>
        <w:spacing w:before="56" w:line="360" w:lineRule="auto"/>
        <w:ind w:left="135" w:right="911"/>
        <w:jc w:val="both"/>
      </w:pPr>
      <w:r>
        <w:rPr>
          <w:noProof/>
        </w:rPr>
        <w:t>711.</w:t>
      </w:r>
      <w:r w:rsidR="00033D0F">
        <w:rPr>
          <w:rFonts w:ascii="Times New Roman" w:hAnsi="Times New Roman"/>
          <w:spacing w:val="80"/>
          <w:position w:val="1"/>
          <w:sz w:val="20"/>
        </w:rPr>
        <w:t xml:space="preserve"> </w:t>
      </w:r>
      <w:r w:rsidR="00033D0F">
        <w:rPr>
          <w:position w:val="1"/>
        </w:rPr>
        <w:t xml:space="preserve">Finally, Australia notes that China takes issue with Australia's argument that certain </w:t>
      </w:r>
      <w:r w:rsidR="00033D0F">
        <w:t>information was of a nature that was very unlikely to qualify as a "trade secret". China says that</w:t>
      </w:r>
      <w:r w:rsidR="00033D0F">
        <w:rPr>
          <w:spacing w:val="-3"/>
        </w:rPr>
        <w:t xml:space="preserve"> </w:t>
      </w:r>
      <w:r w:rsidR="00033D0F">
        <w:t>it</w:t>
      </w:r>
      <w:r w:rsidR="00033D0F">
        <w:rPr>
          <w:spacing w:val="-3"/>
        </w:rPr>
        <w:t xml:space="preserve"> </w:t>
      </w:r>
      <w:r w:rsidR="00033D0F">
        <w:t>has</w:t>
      </w:r>
      <w:r w:rsidR="00033D0F">
        <w:rPr>
          <w:spacing w:val="-7"/>
        </w:rPr>
        <w:t xml:space="preserve"> </w:t>
      </w:r>
      <w:r w:rsidR="00033D0F">
        <w:t>formed</w:t>
      </w:r>
      <w:r w:rsidR="00033D0F">
        <w:rPr>
          <w:spacing w:val="-5"/>
        </w:rPr>
        <w:t xml:space="preserve"> </w:t>
      </w:r>
      <w:r w:rsidR="00033D0F">
        <w:t>the</w:t>
      </w:r>
      <w:r w:rsidR="00033D0F">
        <w:rPr>
          <w:spacing w:val="-4"/>
        </w:rPr>
        <w:t xml:space="preserve"> </w:t>
      </w:r>
      <w:r w:rsidR="00033D0F">
        <w:t>view</w:t>
      </w:r>
      <w:r w:rsidR="00033D0F">
        <w:rPr>
          <w:spacing w:val="-3"/>
        </w:rPr>
        <w:t xml:space="preserve"> </w:t>
      </w:r>
      <w:r w:rsidR="00033D0F">
        <w:t>that</w:t>
      </w:r>
      <w:r w:rsidR="00033D0F">
        <w:rPr>
          <w:spacing w:val="-8"/>
        </w:rPr>
        <w:t xml:space="preserve"> </w:t>
      </w:r>
      <w:r w:rsidR="00033D0F">
        <w:t>that</w:t>
      </w:r>
      <w:r w:rsidR="00033D0F">
        <w:rPr>
          <w:spacing w:val="-3"/>
        </w:rPr>
        <w:t xml:space="preserve"> </w:t>
      </w:r>
      <w:r w:rsidR="00033D0F">
        <w:t>this</w:t>
      </w:r>
      <w:r w:rsidR="00033D0F">
        <w:rPr>
          <w:spacing w:val="-2"/>
        </w:rPr>
        <w:t xml:space="preserve"> </w:t>
      </w:r>
      <w:r w:rsidR="00033D0F">
        <w:t>argument</w:t>
      </w:r>
      <w:r w:rsidR="00033D0F">
        <w:rPr>
          <w:spacing w:val="-3"/>
        </w:rPr>
        <w:t xml:space="preserve"> </w:t>
      </w:r>
      <w:r w:rsidR="00033D0F">
        <w:t>is</w:t>
      </w:r>
      <w:r w:rsidR="00033D0F">
        <w:rPr>
          <w:spacing w:val="-7"/>
        </w:rPr>
        <w:t xml:space="preserve"> </w:t>
      </w:r>
      <w:r w:rsidR="00033D0F">
        <w:t>inconsistent</w:t>
      </w:r>
      <w:r w:rsidR="00033D0F">
        <w:rPr>
          <w:spacing w:val="-3"/>
        </w:rPr>
        <w:t xml:space="preserve"> </w:t>
      </w:r>
      <w:r w:rsidR="00033D0F">
        <w:t>with</w:t>
      </w:r>
      <w:r w:rsidR="00033D0F">
        <w:rPr>
          <w:spacing w:val="-5"/>
        </w:rPr>
        <w:t xml:space="preserve"> </w:t>
      </w:r>
      <w:r w:rsidR="00033D0F">
        <w:t>unrelated</w:t>
      </w:r>
      <w:r w:rsidR="00033D0F">
        <w:rPr>
          <w:spacing w:val="-5"/>
        </w:rPr>
        <w:t xml:space="preserve"> </w:t>
      </w:r>
      <w:r w:rsidR="00033D0F">
        <w:t>parts</w:t>
      </w:r>
      <w:r w:rsidR="00033D0F">
        <w:rPr>
          <w:spacing w:val="-2"/>
        </w:rPr>
        <w:t xml:space="preserve"> </w:t>
      </w:r>
      <w:r w:rsidR="00033D0F">
        <w:t>of</w:t>
      </w:r>
      <w:r w:rsidR="00033D0F">
        <w:rPr>
          <w:spacing w:val="-5"/>
        </w:rPr>
        <w:t xml:space="preserve"> </w:t>
      </w:r>
      <w:r w:rsidR="00033D0F">
        <w:t>the Australian domestic legislative framework.</w:t>
      </w:r>
      <w:hyperlink w:anchor="_bookmark1271" w:history="1">
        <w:r w:rsidR="00033D0F">
          <w:rPr>
            <w:vertAlign w:val="superscript"/>
          </w:rPr>
          <w:t>1096</w:t>
        </w:r>
      </w:hyperlink>
      <w:r w:rsidR="00033D0F">
        <w:t xml:space="preserve"> There is no inconsistency. In its first written submission, Australia considered</w:t>
      </w:r>
      <w:r w:rsidR="00033D0F">
        <w:rPr>
          <w:spacing w:val="-2"/>
        </w:rPr>
        <w:t xml:space="preserve"> </w:t>
      </w:r>
      <w:r w:rsidR="00033D0F">
        <w:t>that processes,</w:t>
      </w:r>
      <w:r w:rsidR="00033D0F">
        <w:rPr>
          <w:spacing w:val="-2"/>
        </w:rPr>
        <w:t xml:space="preserve"> </w:t>
      </w:r>
      <w:r w:rsidR="00033D0F">
        <w:t>materials, and</w:t>
      </w:r>
      <w:r w:rsidR="00033D0F">
        <w:rPr>
          <w:spacing w:val="-2"/>
        </w:rPr>
        <w:t xml:space="preserve"> </w:t>
      </w:r>
      <w:r w:rsidR="00033D0F">
        <w:t>equipment that</w:t>
      </w:r>
      <w:r w:rsidR="00033D0F">
        <w:rPr>
          <w:spacing w:val="-4"/>
        </w:rPr>
        <w:t xml:space="preserve"> </w:t>
      </w:r>
      <w:r w:rsidR="00033D0F">
        <w:t xml:space="preserve">are common to </w:t>
      </w:r>
      <w:r w:rsidR="00033D0F">
        <w:rPr>
          <w:i/>
        </w:rPr>
        <w:t xml:space="preserve">all </w:t>
      </w:r>
      <w:r w:rsidR="00033D0F">
        <w:t>wine production would not constitute a trade secret. This is a sound understanding of any conventional definition of a trade secret, because such information lacks a confidential character due to its notoriety.</w:t>
      </w:r>
      <w:hyperlink w:anchor="_bookmark1272" w:history="1">
        <w:r w:rsidR="00033D0F">
          <w:rPr>
            <w:vertAlign w:val="superscript"/>
          </w:rPr>
          <w:t>1097</w:t>
        </w:r>
      </w:hyperlink>
      <w:r w:rsidR="00033D0F">
        <w:t xml:space="preserve"> Even if that were not the case, the summary website that China cites in its first written submission, which is about "getting started" on understanding the types of intellectual property </w:t>
      </w:r>
      <w:proofErr w:type="spellStart"/>
      <w:r w:rsidR="00033D0F">
        <w:t>recognised</w:t>
      </w:r>
      <w:proofErr w:type="spellEnd"/>
      <w:r w:rsidR="00033D0F">
        <w:t xml:space="preserve"> under Australian domestic law, has no – or at most, extremely tangential – relevance to assessing whether MOFCOM objectively assessed whether the there was "good cause shown".</w:t>
      </w:r>
    </w:p>
    <w:p w14:paraId="023F9669" w14:textId="77777777" w:rsidR="00BD462C" w:rsidRDefault="00033D0F">
      <w:pPr>
        <w:pStyle w:val="ListParagraph"/>
        <w:numPr>
          <w:ilvl w:val="1"/>
          <w:numId w:val="30"/>
        </w:numPr>
        <w:tabs>
          <w:tab w:val="left" w:pos="3539"/>
          <w:tab w:val="left" w:pos="3540"/>
        </w:tabs>
        <w:spacing w:before="156"/>
        <w:ind w:hanging="851"/>
        <w:jc w:val="both"/>
        <w:rPr>
          <w:sz w:val="24"/>
        </w:rPr>
      </w:pPr>
      <w:bookmarkStart w:id="1474" w:name="(b)_The_non-confidential_summary_lacked_"/>
      <w:bookmarkEnd w:id="1474"/>
      <w:r>
        <w:rPr>
          <w:sz w:val="24"/>
          <w:u w:val="single"/>
        </w:rPr>
        <w:t>The</w:t>
      </w:r>
      <w:r>
        <w:rPr>
          <w:spacing w:val="-5"/>
          <w:sz w:val="24"/>
          <w:u w:val="single"/>
        </w:rPr>
        <w:t xml:space="preserve"> </w:t>
      </w:r>
      <w:r>
        <w:rPr>
          <w:sz w:val="24"/>
          <w:u w:val="single"/>
        </w:rPr>
        <w:t>non-confidential</w:t>
      </w:r>
      <w:r>
        <w:rPr>
          <w:spacing w:val="-1"/>
          <w:sz w:val="24"/>
          <w:u w:val="single"/>
        </w:rPr>
        <w:t xml:space="preserve"> </w:t>
      </w:r>
      <w:r>
        <w:rPr>
          <w:sz w:val="24"/>
          <w:u w:val="single"/>
        </w:rPr>
        <w:t>summary</w:t>
      </w:r>
      <w:r>
        <w:rPr>
          <w:spacing w:val="-3"/>
          <w:sz w:val="24"/>
          <w:u w:val="single"/>
        </w:rPr>
        <w:t xml:space="preserve"> </w:t>
      </w:r>
      <w:r>
        <w:rPr>
          <w:sz w:val="24"/>
          <w:u w:val="single"/>
        </w:rPr>
        <w:t>lacked</w:t>
      </w:r>
      <w:r>
        <w:rPr>
          <w:spacing w:val="-5"/>
          <w:sz w:val="24"/>
          <w:u w:val="single"/>
        </w:rPr>
        <w:t xml:space="preserve"> </w:t>
      </w:r>
      <w:r>
        <w:rPr>
          <w:sz w:val="24"/>
          <w:u w:val="single"/>
        </w:rPr>
        <w:t>sufficient</w:t>
      </w:r>
      <w:r>
        <w:rPr>
          <w:spacing w:val="-3"/>
          <w:sz w:val="24"/>
          <w:u w:val="single"/>
        </w:rPr>
        <w:t xml:space="preserve"> </w:t>
      </w:r>
      <w:r>
        <w:rPr>
          <w:spacing w:val="-2"/>
          <w:sz w:val="24"/>
          <w:u w:val="single"/>
        </w:rPr>
        <w:t>detail</w:t>
      </w:r>
    </w:p>
    <w:p w14:paraId="5C79F603" w14:textId="77777777" w:rsidR="00BD462C" w:rsidRDefault="00BD462C">
      <w:pPr>
        <w:pStyle w:val="BodyText"/>
        <w:spacing w:before="11"/>
        <w:rPr>
          <w:sz w:val="20"/>
        </w:rPr>
      </w:pPr>
    </w:p>
    <w:p w14:paraId="4DDFAFF3" w14:textId="5804A3BD" w:rsidR="00BD462C" w:rsidRDefault="000923F6">
      <w:pPr>
        <w:pStyle w:val="BodyText"/>
        <w:spacing w:before="56" w:line="360" w:lineRule="auto"/>
        <w:ind w:left="135" w:right="915"/>
        <w:jc w:val="both"/>
      </w:pPr>
      <w:r>
        <w:rPr>
          <w:noProof/>
        </w:rPr>
        <w:t>712.</w:t>
      </w:r>
      <w:r w:rsidR="00033D0F">
        <w:rPr>
          <w:rFonts w:ascii="Times New Roman"/>
          <w:spacing w:val="80"/>
          <w:position w:val="1"/>
          <w:sz w:val="20"/>
        </w:rPr>
        <w:t xml:space="preserve"> </w:t>
      </w:r>
      <w:r w:rsidR="00033D0F">
        <w:rPr>
          <w:position w:val="1"/>
        </w:rPr>
        <w:t xml:space="preserve">In response to Australia's claims about the inadequacy of the non-confidential </w:t>
      </w:r>
      <w:r w:rsidR="00033D0F">
        <w:t>summaries in the responses to the domestic producers' questionnaire, China acknowledges that</w:t>
      </w:r>
      <w:r w:rsidR="00033D0F">
        <w:rPr>
          <w:spacing w:val="-8"/>
        </w:rPr>
        <w:t xml:space="preserve"> </w:t>
      </w:r>
      <w:r w:rsidR="00033D0F">
        <w:t>some</w:t>
      </w:r>
      <w:r w:rsidR="00033D0F">
        <w:rPr>
          <w:spacing w:val="-8"/>
        </w:rPr>
        <w:t xml:space="preserve"> </w:t>
      </w:r>
      <w:r w:rsidR="00033D0F">
        <w:t>information</w:t>
      </w:r>
      <w:r w:rsidR="00033D0F">
        <w:rPr>
          <w:spacing w:val="-10"/>
        </w:rPr>
        <w:t xml:space="preserve"> </w:t>
      </w:r>
      <w:r w:rsidR="00033D0F">
        <w:t>could</w:t>
      </w:r>
      <w:r w:rsidR="00033D0F">
        <w:rPr>
          <w:spacing w:val="-10"/>
        </w:rPr>
        <w:t xml:space="preserve"> </w:t>
      </w:r>
      <w:r w:rsidR="00033D0F">
        <w:t>have</w:t>
      </w:r>
      <w:r w:rsidR="00033D0F">
        <w:rPr>
          <w:spacing w:val="-8"/>
        </w:rPr>
        <w:t xml:space="preserve"> </w:t>
      </w:r>
      <w:r w:rsidR="00033D0F">
        <w:t>been</w:t>
      </w:r>
      <w:r w:rsidR="00033D0F">
        <w:rPr>
          <w:spacing w:val="-10"/>
        </w:rPr>
        <w:t xml:space="preserve"> </w:t>
      </w:r>
      <w:proofErr w:type="spellStart"/>
      <w:r w:rsidR="00033D0F">
        <w:t>summarised</w:t>
      </w:r>
      <w:proofErr w:type="spellEnd"/>
      <w:r w:rsidR="00033D0F">
        <w:t>,</w:t>
      </w:r>
      <w:r w:rsidR="00033D0F">
        <w:rPr>
          <w:spacing w:val="-6"/>
        </w:rPr>
        <w:t xml:space="preserve"> </w:t>
      </w:r>
      <w:r w:rsidR="00033D0F">
        <w:t>but</w:t>
      </w:r>
      <w:r w:rsidR="00033D0F">
        <w:rPr>
          <w:spacing w:val="-8"/>
        </w:rPr>
        <w:t xml:space="preserve"> </w:t>
      </w:r>
      <w:r w:rsidR="00033D0F">
        <w:t>asserts</w:t>
      </w:r>
      <w:r w:rsidR="00033D0F">
        <w:rPr>
          <w:spacing w:val="-7"/>
        </w:rPr>
        <w:t xml:space="preserve"> </w:t>
      </w:r>
      <w:r w:rsidR="00033D0F">
        <w:t>that</w:t>
      </w:r>
      <w:r w:rsidR="00033D0F">
        <w:rPr>
          <w:spacing w:val="-8"/>
        </w:rPr>
        <w:t xml:space="preserve"> </w:t>
      </w:r>
      <w:r w:rsidR="00033D0F">
        <w:t>other</w:t>
      </w:r>
      <w:r w:rsidR="00033D0F">
        <w:rPr>
          <w:spacing w:val="-11"/>
        </w:rPr>
        <w:t xml:space="preserve"> </w:t>
      </w:r>
      <w:r w:rsidR="00033D0F">
        <w:t>information</w:t>
      </w:r>
      <w:r w:rsidR="00033D0F">
        <w:rPr>
          <w:spacing w:val="-10"/>
        </w:rPr>
        <w:t xml:space="preserve"> </w:t>
      </w:r>
      <w:r w:rsidR="00033D0F">
        <w:t>could not</w:t>
      </w:r>
      <w:r w:rsidR="00033D0F">
        <w:rPr>
          <w:spacing w:val="-8"/>
        </w:rPr>
        <w:t xml:space="preserve"> </w:t>
      </w:r>
      <w:r w:rsidR="00033D0F">
        <w:t>have</w:t>
      </w:r>
      <w:r w:rsidR="00033D0F">
        <w:rPr>
          <w:spacing w:val="-8"/>
        </w:rPr>
        <w:t xml:space="preserve"> </w:t>
      </w:r>
      <w:r w:rsidR="00033D0F">
        <w:t>been.</w:t>
      </w:r>
      <w:hyperlink w:anchor="_bookmark1273" w:history="1">
        <w:r w:rsidR="00033D0F">
          <w:rPr>
            <w:vertAlign w:val="superscript"/>
          </w:rPr>
          <w:t>1098</w:t>
        </w:r>
      </w:hyperlink>
      <w:r w:rsidR="00033D0F">
        <w:rPr>
          <w:spacing w:val="-7"/>
        </w:rPr>
        <w:t xml:space="preserve"> </w:t>
      </w:r>
      <w:r w:rsidR="00033D0F">
        <w:t>It</w:t>
      </w:r>
      <w:r w:rsidR="00033D0F">
        <w:rPr>
          <w:spacing w:val="-8"/>
        </w:rPr>
        <w:t xml:space="preserve"> </w:t>
      </w:r>
      <w:r w:rsidR="00033D0F">
        <w:t>will</w:t>
      </w:r>
      <w:r w:rsidR="00033D0F">
        <w:rPr>
          <w:spacing w:val="-6"/>
        </w:rPr>
        <w:t xml:space="preserve"> </w:t>
      </w:r>
      <w:r w:rsidR="00033D0F">
        <w:t>be</w:t>
      </w:r>
      <w:r w:rsidR="00033D0F">
        <w:rPr>
          <w:spacing w:val="-8"/>
        </w:rPr>
        <w:t xml:space="preserve"> </w:t>
      </w:r>
      <w:r w:rsidR="00033D0F">
        <w:t>readily</w:t>
      </w:r>
      <w:r w:rsidR="00033D0F">
        <w:rPr>
          <w:spacing w:val="-7"/>
        </w:rPr>
        <w:t xml:space="preserve"> </w:t>
      </w:r>
      <w:r w:rsidR="00033D0F">
        <w:t>apparent</w:t>
      </w:r>
      <w:r w:rsidR="00033D0F">
        <w:rPr>
          <w:spacing w:val="-8"/>
        </w:rPr>
        <w:t xml:space="preserve"> </w:t>
      </w:r>
      <w:r w:rsidR="00033D0F">
        <w:t>to</w:t>
      </w:r>
      <w:r w:rsidR="00033D0F">
        <w:rPr>
          <w:spacing w:val="-11"/>
        </w:rPr>
        <w:t xml:space="preserve"> </w:t>
      </w:r>
      <w:r w:rsidR="00033D0F">
        <w:t>the</w:t>
      </w:r>
      <w:r w:rsidR="00033D0F">
        <w:rPr>
          <w:spacing w:val="-8"/>
        </w:rPr>
        <w:t xml:space="preserve"> </w:t>
      </w:r>
      <w:r w:rsidR="00033D0F">
        <w:t>Panel</w:t>
      </w:r>
      <w:r w:rsidR="00033D0F">
        <w:rPr>
          <w:spacing w:val="-6"/>
        </w:rPr>
        <w:t xml:space="preserve"> </w:t>
      </w:r>
      <w:r w:rsidR="00033D0F">
        <w:t>that</w:t>
      </w:r>
      <w:r w:rsidR="00033D0F">
        <w:rPr>
          <w:spacing w:val="-8"/>
        </w:rPr>
        <w:t xml:space="preserve"> </w:t>
      </w:r>
      <w:r w:rsidR="00033D0F">
        <w:t>no</w:t>
      </w:r>
      <w:r w:rsidR="00033D0F">
        <w:rPr>
          <w:spacing w:val="-11"/>
        </w:rPr>
        <w:t xml:space="preserve"> </w:t>
      </w:r>
      <w:r w:rsidR="00033D0F">
        <w:t>meaningful</w:t>
      </w:r>
      <w:r w:rsidR="00033D0F">
        <w:rPr>
          <w:spacing w:val="-11"/>
        </w:rPr>
        <w:t xml:space="preserve"> </w:t>
      </w:r>
      <w:r w:rsidR="00033D0F">
        <w:t>summaries</w:t>
      </w:r>
      <w:r w:rsidR="00033D0F">
        <w:rPr>
          <w:spacing w:val="-11"/>
        </w:rPr>
        <w:t xml:space="preserve"> </w:t>
      </w:r>
      <w:r w:rsidR="00033D0F">
        <w:t xml:space="preserve">were provided even of the information that China itself acknowledges was susceptible of </w:t>
      </w:r>
      <w:proofErr w:type="spellStart"/>
      <w:r w:rsidR="00033D0F">
        <w:rPr>
          <w:spacing w:val="-2"/>
        </w:rPr>
        <w:t>summarisation</w:t>
      </w:r>
      <w:proofErr w:type="spellEnd"/>
      <w:r w:rsidR="00033D0F">
        <w:rPr>
          <w:spacing w:val="-2"/>
        </w:rPr>
        <w:t>.</w:t>
      </w:r>
    </w:p>
    <w:p w14:paraId="196DEC79" w14:textId="77777777" w:rsidR="00BD462C" w:rsidRDefault="00BD462C">
      <w:pPr>
        <w:pStyle w:val="BodyText"/>
        <w:spacing w:before="8"/>
        <w:rPr>
          <w:sz w:val="8"/>
        </w:rPr>
      </w:pPr>
    </w:p>
    <w:p w14:paraId="2915A6B7" w14:textId="22B14745" w:rsidR="00BD462C" w:rsidRDefault="000923F6">
      <w:pPr>
        <w:pStyle w:val="BodyText"/>
        <w:spacing w:before="56" w:line="355" w:lineRule="auto"/>
        <w:ind w:left="136" w:right="923"/>
      </w:pPr>
      <w:r>
        <w:rPr>
          <w:noProof/>
        </w:rPr>
        <w:t>713.</w:t>
      </w:r>
      <w:r w:rsidR="00033D0F">
        <w:rPr>
          <w:rFonts w:ascii="Times New Roman"/>
          <w:spacing w:val="80"/>
          <w:position w:val="1"/>
          <w:sz w:val="20"/>
        </w:rPr>
        <w:t xml:space="preserve">   </w:t>
      </w:r>
      <w:r w:rsidR="00033D0F">
        <w:rPr>
          <w:position w:val="1"/>
        </w:rPr>
        <w:t>Australia</w:t>
      </w:r>
      <w:r w:rsidR="00033D0F">
        <w:rPr>
          <w:spacing w:val="40"/>
          <w:position w:val="1"/>
        </w:rPr>
        <w:t xml:space="preserve"> </w:t>
      </w:r>
      <w:r w:rsidR="00033D0F">
        <w:rPr>
          <w:position w:val="1"/>
        </w:rPr>
        <w:t>has</w:t>
      </w:r>
      <w:r w:rsidR="00033D0F">
        <w:rPr>
          <w:spacing w:val="40"/>
          <w:position w:val="1"/>
        </w:rPr>
        <w:t xml:space="preserve"> </w:t>
      </w:r>
      <w:r w:rsidR="00033D0F">
        <w:rPr>
          <w:position w:val="1"/>
        </w:rPr>
        <w:t>already</w:t>
      </w:r>
      <w:r w:rsidR="00033D0F">
        <w:rPr>
          <w:spacing w:val="40"/>
          <w:position w:val="1"/>
        </w:rPr>
        <w:t xml:space="preserve"> </w:t>
      </w:r>
      <w:r w:rsidR="00033D0F">
        <w:rPr>
          <w:position w:val="1"/>
        </w:rPr>
        <w:t>addressed</w:t>
      </w:r>
      <w:r w:rsidR="00033D0F">
        <w:rPr>
          <w:spacing w:val="40"/>
          <w:position w:val="1"/>
        </w:rPr>
        <w:t xml:space="preserve"> </w:t>
      </w:r>
      <w:r w:rsidR="00033D0F">
        <w:rPr>
          <w:position w:val="1"/>
        </w:rPr>
        <w:t>China's</w:t>
      </w:r>
      <w:r w:rsidR="00033D0F">
        <w:rPr>
          <w:spacing w:val="40"/>
          <w:position w:val="1"/>
        </w:rPr>
        <w:t xml:space="preserve"> </w:t>
      </w:r>
      <w:r w:rsidR="00033D0F">
        <w:rPr>
          <w:position w:val="1"/>
        </w:rPr>
        <w:t>apparent</w:t>
      </w:r>
      <w:r w:rsidR="00033D0F">
        <w:rPr>
          <w:spacing w:val="40"/>
          <w:position w:val="1"/>
        </w:rPr>
        <w:t xml:space="preserve"> </w:t>
      </w:r>
      <w:r w:rsidR="00033D0F">
        <w:rPr>
          <w:position w:val="1"/>
        </w:rPr>
        <w:t>acknowledgement</w:t>
      </w:r>
      <w:r w:rsidR="00033D0F">
        <w:rPr>
          <w:spacing w:val="40"/>
          <w:position w:val="1"/>
        </w:rPr>
        <w:t xml:space="preserve"> </w:t>
      </w:r>
      <w:r w:rsidR="00033D0F">
        <w:rPr>
          <w:position w:val="1"/>
        </w:rPr>
        <w:t>that</w:t>
      </w:r>
      <w:r w:rsidR="00033D0F">
        <w:rPr>
          <w:spacing w:val="40"/>
          <w:position w:val="1"/>
        </w:rPr>
        <w:t xml:space="preserve"> </w:t>
      </w:r>
      <w:r w:rsidR="00033D0F">
        <w:rPr>
          <w:position w:val="1"/>
        </w:rPr>
        <w:t xml:space="preserve">"good </w:t>
      </w:r>
      <w:r w:rsidR="00033D0F">
        <w:t>cause"</w:t>
      </w:r>
      <w:r w:rsidR="00033D0F">
        <w:rPr>
          <w:spacing w:val="16"/>
        </w:rPr>
        <w:t xml:space="preserve"> </w:t>
      </w:r>
      <w:r w:rsidR="00033D0F">
        <w:t>was</w:t>
      </w:r>
      <w:r w:rsidR="00033D0F">
        <w:rPr>
          <w:spacing w:val="18"/>
        </w:rPr>
        <w:t xml:space="preserve"> </w:t>
      </w:r>
      <w:r w:rsidR="00033D0F">
        <w:t>not</w:t>
      </w:r>
      <w:r w:rsidR="00033D0F">
        <w:rPr>
          <w:spacing w:val="17"/>
        </w:rPr>
        <w:t xml:space="preserve"> </w:t>
      </w:r>
      <w:r w:rsidR="00033D0F">
        <w:t>shown</w:t>
      </w:r>
      <w:r w:rsidR="00033D0F">
        <w:rPr>
          <w:spacing w:val="15"/>
        </w:rPr>
        <w:t xml:space="preserve"> </w:t>
      </w:r>
      <w:r w:rsidR="00033D0F">
        <w:t>for</w:t>
      </w:r>
      <w:r w:rsidR="00033D0F">
        <w:rPr>
          <w:spacing w:val="20"/>
        </w:rPr>
        <w:t xml:space="preserve"> </w:t>
      </w:r>
      <w:r w:rsidR="00033D0F">
        <w:t>the</w:t>
      </w:r>
      <w:r w:rsidR="00033D0F">
        <w:rPr>
          <w:spacing w:val="21"/>
        </w:rPr>
        <w:t xml:space="preserve"> </w:t>
      </w:r>
      <w:r w:rsidR="00033D0F">
        <w:t>confidential</w:t>
      </w:r>
      <w:r w:rsidR="00033D0F">
        <w:rPr>
          <w:spacing w:val="19"/>
        </w:rPr>
        <w:t xml:space="preserve"> </w:t>
      </w:r>
      <w:r w:rsidR="00033D0F">
        <w:t>treatment</w:t>
      </w:r>
      <w:r w:rsidR="00033D0F">
        <w:rPr>
          <w:spacing w:val="17"/>
        </w:rPr>
        <w:t xml:space="preserve"> </w:t>
      </w:r>
      <w:r w:rsidR="00033D0F">
        <w:t>granted</w:t>
      </w:r>
      <w:r w:rsidR="00033D0F">
        <w:rPr>
          <w:spacing w:val="16"/>
        </w:rPr>
        <w:t xml:space="preserve"> </w:t>
      </w:r>
      <w:r w:rsidR="00033D0F">
        <w:t>to</w:t>
      </w:r>
      <w:r w:rsidR="00033D0F">
        <w:rPr>
          <w:spacing w:val="19"/>
        </w:rPr>
        <w:t xml:space="preserve"> </w:t>
      </w:r>
      <w:r w:rsidR="00033D0F">
        <w:t>certain</w:t>
      </w:r>
      <w:r w:rsidR="00033D0F">
        <w:rPr>
          <w:spacing w:val="15"/>
        </w:rPr>
        <w:t xml:space="preserve"> </w:t>
      </w:r>
      <w:r w:rsidR="00033D0F">
        <w:t>information</w:t>
      </w:r>
      <w:r w:rsidR="00033D0F">
        <w:rPr>
          <w:spacing w:val="20"/>
        </w:rPr>
        <w:t xml:space="preserve"> </w:t>
      </w:r>
      <w:r w:rsidR="00033D0F">
        <w:t>in</w:t>
      </w:r>
      <w:r w:rsidR="00033D0F">
        <w:rPr>
          <w:spacing w:val="16"/>
        </w:rPr>
        <w:t xml:space="preserve"> </w:t>
      </w:r>
      <w:r w:rsidR="00033D0F">
        <w:rPr>
          <w:spacing w:val="-5"/>
        </w:rPr>
        <w:t>the</w:t>
      </w:r>
    </w:p>
    <w:p w14:paraId="3EA97C45" w14:textId="77777777" w:rsidR="00BD462C" w:rsidRDefault="00BD462C">
      <w:pPr>
        <w:pStyle w:val="BodyText"/>
        <w:rPr>
          <w:sz w:val="20"/>
        </w:rPr>
      </w:pPr>
    </w:p>
    <w:p w14:paraId="071128FA" w14:textId="157DB199" w:rsidR="00BD462C" w:rsidRDefault="00D70C7D">
      <w:pPr>
        <w:pStyle w:val="BodyText"/>
        <w:spacing w:before="5"/>
        <w:rPr>
          <w:sz w:val="13"/>
        </w:rPr>
      </w:pPr>
      <w:r>
        <w:rPr>
          <w:noProof/>
        </w:rPr>
        <mc:AlternateContent>
          <mc:Choice Requires="wps">
            <w:drawing>
              <wp:anchor distT="0" distB="0" distL="0" distR="0" simplePos="0" relativeHeight="487822336" behindDoc="1" locked="0" layoutInCell="1" allowOverlap="1" wp14:anchorId="29CC2E9A" wp14:editId="3535875A">
                <wp:simplePos x="0" y="0"/>
                <wp:positionH relativeFrom="page">
                  <wp:posOffset>899160</wp:posOffset>
                </wp:positionH>
                <wp:positionV relativeFrom="paragraph">
                  <wp:posOffset>119380</wp:posOffset>
                </wp:positionV>
                <wp:extent cx="1828800" cy="8890"/>
                <wp:effectExtent l="0" t="0" r="0" b="0"/>
                <wp:wrapTopAndBottom/>
                <wp:docPr id="426" name="docshape5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B1DF88" id="docshape509" o:spid="_x0000_s1026" alt="&quot;&quot;" style="position:absolute;margin-left:70.8pt;margin-top:9.4pt;width:2in;height:.7pt;z-index:-1549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" fillcolor="black" stroked="f">
                <w10:wrap type="topAndBottom" anchorx="page"/>
              </v:rect>
            </w:pict>
          </mc:Fallback>
        </mc:AlternateContent>
      </w:r>
    </w:p>
    <w:p w14:paraId="385DC45B" w14:textId="77777777" w:rsidR="00BD462C" w:rsidRDefault="00033D0F">
      <w:pPr>
        <w:spacing w:before="112"/>
        <w:ind w:left="135" w:right="6264"/>
        <w:rPr>
          <w:sz w:val="18"/>
        </w:rPr>
      </w:pPr>
      <w:bookmarkStart w:id="1475" w:name="_bookmark1271"/>
      <w:bookmarkEnd w:id="1475"/>
      <w:r>
        <w:rPr>
          <w:position w:val="5"/>
          <w:sz w:val="12"/>
        </w:rPr>
        <w:t>1096</w:t>
      </w:r>
      <w:r>
        <w:rPr>
          <w:spacing w:val="37"/>
          <w:position w:val="5"/>
          <w:sz w:val="12"/>
        </w:rPr>
        <w:t xml:space="preserve"> </w:t>
      </w:r>
      <w:r>
        <w:rPr>
          <w:sz w:val="18"/>
        </w:rPr>
        <w:t xml:space="preserve">China's first written submission, para. 2303. </w:t>
      </w:r>
      <w:bookmarkStart w:id="1476" w:name="_bookmark1272"/>
      <w:bookmarkEnd w:id="1476"/>
      <w:r>
        <w:rPr>
          <w:position w:val="5"/>
          <w:sz w:val="12"/>
        </w:rPr>
        <w:t>1097</w:t>
      </w:r>
      <w:r>
        <w:rPr>
          <w:spacing w:val="12"/>
          <w:position w:val="5"/>
          <w:sz w:val="12"/>
        </w:rPr>
        <w:t xml:space="preserve"> </w:t>
      </w:r>
      <w:r>
        <w:rPr>
          <w:sz w:val="18"/>
        </w:rPr>
        <w:t>Australia's</w:t>
      </w:r>
      <w:r>
        <w:rPr>
          <w:spacing w:val="-7"/>
          <w:sz w:val="18"/>
        </w:rPr>
        <w:t xml:space="preserve"> </w:t>
      </w:r>
      <w:r>
        <w:rPr>
          <w:sz w:val="18"/>
        </w:rPr>
        <w:t>first</w:t>
      </w:r>
      <w:r>
        <w:rPr>
          <w:spacing w:val="-6"/>
          <w:sz w:val="18"/>
        </w:rPr>
        <w:t xml:space="preserve"> </w:t>
      </w:r>
      <w:r>
        <w:rPr>
          <w:sz w:val="18"/>
        </w:rPr>
        <w:t>written</w:t>
      </w:r>
      <w:r>
        <w:rPr>
          <w:spacing w:val="-3"/>
          <w:sz w:val="18"/>
        </w:rPr>
        <w:t xml:space="preserve"> </w:t>
      </w:r>
      <w:r>
        <w:rPr>
          <w:sz w:val="18"/>
        </w:rPr>
        <w:t>submission,</w:t>
      </w:r>
      <w:r>
        <w:rPr>
          <w:spacing w:val="-1"/>
          <w:sz w:val="18"/>
        </w:rPr>
        <w:t xml:space="preserve"> </w:t>
      </w:r>
      <w:r>
        <w:rPr>
          <w:sz w:val="18"/>
        </w:rPr>
        <w:t>para.</w:t>
      </w:r>
      <w:r>
        <w:rPr>
          <w:spacing w:val="-6"/>
          <w:sz w:val="18"/>
        </w:rPr>
        <w:t xml:space="preserve"> </w:t>
      </w:r>
      <w:r>
        <w:rPr>
          <w:sz w:val="18"/>
        </w:rPr>
        <w:t xml:space="preserve">865. </w:t>
      </w:r>
      <w:bookmarkStart w:id="1477" w:name="_bookmark1273"/>
      <w:bookmarkEnd w:id="1477"/>
      <w:r>
        <w:rPr>
          <w:position w:val="5"/>
          <w:sz w:val="12"/>
        </w:rPr>
        <w:t>1098</w:t>
      </w:r>
      <w:r>
        <w:rPr>
          <w:spacing w:val="37"/>
          <w:position w:val="5"/>
          <w:sz w:val="12"/>
        </w:rPr>
        <w:t xml:space="preserve"> </w:t>
      </w:r>
      <w:r>
        <w:rPr>
          <w:sz w:val="18"/>
        </w:rPr>
        <w:t>China's first written submission, para. 2320.</w:t>
      </w:r>
    </w:p>
    <w:p w14:paraId="0042A01E" w14:textId="77777777" w:rsidR="00BD462C" w:rsidRDefault="00BD462C">
      <w:pPr>
        <w:rPr>
          <w:sz w:val="18"/>
        </w:rPr>
        <w:sectPr w:rsidR="00BD462C">
          <w:pgSz w:w="11910" w:h="16840"/>
          <w:pgMar w:top="860" w:right="500" w:bottom="780" w:left="1280" w:header="566" w:footer="590" w:gutter="0"/>
          <w:cols w:space="720"/>
        </w:sectPr>
      </w:pPr>
    </w:p>
    <w:p w14:paraId="17055633" w14:textId="77777777" w:rsidR="00BD462C" w:rsidRDefault="00033D0F">
      <w:pPr>
        <w:tabs>
          <w:tab w:val="left" w:pos="6087"/>
        </w:tabs>
        <w:spacing w:before="1"/>
        <w:ind w:left="135"/>
        <w:jc w:val="both"/>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42C897F4" w14:textId="77777777" w:rsidR="00BD462C" w:rsidRDefault="00033D0F">
      <w:pPr>
        <w:spacing w:before="1"/>
        <w:ind w:left="135"/>
        <w:jc w:val="both"/>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247A410B" w14:textId="77777777" w:rsidR="00BD462C" w:rsidRDefault="00033D0F">
      <w:pPr>
        <w:tabs>
          <w:tab w:val="left" w:pos="7652"/>
        </w:tabs>
        <w:ind w:left="135"/>
        <w:jc w:val="both"/>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011E010A" w14:textId="77777777" w:rsidR="00BD462C" w:rsidRDefault="00033D0F">
      <w:pPr>
        <w:pStyle w:val="BodyText"/>
        <w:spacing w:before="102" w:line="360" w:lineRule="auto"/>
        <w:ind w:left="135" w:right="915"/>
        <w:jc w:val="both"/>
      </w:pPr>
      <w:r>
        <w:t>questionnaire</w:t>
      </w:r>
      <w:r>
        <w:rPr>
          <w:spacing w:val="-2"/>
        </w:rPr>
        <w:t xml:space="preserve"> </w:t>
      </w:r>
      <w:r>
        <w:t>responses.</w:t>
      </w:r>
      <w:r>
        <w:rPr>
          <w:spacing w:val="-14"/>
        </w:rPr>
        <w:t xml:space="preserve"> </w:t>
      </w:r>
      <w:r>
        <w:t>While this confirms that MOFCOM breached</w:t>
      </w:r>
      <w:r>
        <w:rPr>
          <w:spacing w:val="-1"/>
        </w:rPr>
        <w:t xml:space="preserve"> </w:t>
      </w:r>
      <w:r>
        <w:t>Article 6.5</w:t>
      </w:r>
      <w:r>
        <w:rPr>
          <w:spacing w:val="-1"/>
        </w:rPr>
        <w:t xml:space="preserve"> </w:t>
      </w:r>
      <w:r>
        <w:t>by granting confidential</w:t>
      </w:r>
      <w:r>
        <w:rPr>
          <w:spacing w:val="-11"/>
        </w:rPr>
        <w:t xml:space="preserve"> </w:t>
      </w:r>
      <w:r>
        <w:t>treatment</w:t>
      </w:r>
      <w:r>
        <w:rPr>
          <w:spacing w:val="-11"/>
        </w:rPr>
        <w:t xml:space="preserve"> </w:t>
      </w:r>
      <w:r>
        <w:t>without</w:t>
      </w:r>
      <w:r>
        <w:rPr>
          <w:spacing w:val="-11"/>
        </w:rPr>
        <w:t xml:space="preserve"> </w:t>
      </w:r>
      <w:r>
        <w:t>objectively</w:t>
      </w:r>
      <w:r>
        <w:rPr>
          <w:spacing w:val="-11"/>
        </w:rPr>
        <w:t xml:space="preserve"> </w:t>
      </w:r>
      <w:r>
        <w:t>assessing</w:t>
      </w:r>
      <w:r>
        <w:rPr>
          <w:spacing w:val="-10"/>
        </w:rPr>
        <w:t xml:space="preserve"> </w:t>
      </w:r>
      <w:r>
        <w:t>whether</w:t>
      </w:r>
      <w:r>
        <w:rPr>
          <w:spacing w:val="-14"/>
        </w:rPr>
        <w:t xml:space="preserve"> </w:t>
      </w:r>
      <w:r>
        <w:t>"good</w:t>
      </w:r>
      <w:r>
        <w:rPr>
          <w:spacing w:val="-9"/>
        </w:rPr>
        <w:t xml:space="preserve"> </w:t>
      </w:r>
      <w:r>
        <w:t>cause"</w:t>
      </w:r>
      <w:r>
        <w:rPr>
          <w:spacing w:val="-13"/>
        </w:rPr>
        <w:t xml:space="preserve"> </w:t>
      </w:r>
      <w:r>
        <w:t>was</w:t>
      </w:r>
      <w:r>
        <w:rPr>
          <w:spacing w:val="-10"/>
        </w:rPr>
        <w:t xml:space="preserve"> </w:t>
      </w:r>
      <w:r>
        <w:t>shown,</w:t>
      </w:r>
      <w:r>
        <w:rPr>
          <w:spacing w:val="-10"/>
        </w:rPr>
        <w:t xml:space="preserve"> </w:t>
      </w:r>
      <w:r>
        <w:t>it</w:t>
      </w:r>
      <w:r>
        <w:rPr>
          <w:spacing w:val="-11"/>
        </w:rPr>
        <w:t xml:space="preserve"> </w:t>
      </w:r>
      <w:r>
        <w:t>also illustrates</w:t>
      </w:r>
      <w:r>
        <w:rPr>
          <w:spacing w:val="-14"/>
        </w:rPr>
        <w:t xml:space="preserve"> </w:t>
      </w:r>
      <w:r>
        <w:t>the</w:t>
      </w:r>
      <w:r>
        <w:rPr>
          <w:spacing w:val="-14"/>
        </w:rPr>
        <w:t xml:space="preserve"> </w:t>
      </w:r>
      <w:r>
        <w:t>insufficiency</w:t>
      </w:r>
      <w:r>
        <w:rPr>
          <w:spacing w:val="-13"/>
        </w:rPr>
        <w:t xml:space="preserve"> </w:t>
      </w:r>
      <w:r>
        <w:t>of</w:t>
      </w:r>
      <w:r>
        <w:rPr>
          <w:spacing w:val="-14"/>
        </w:rPr>
        <w:t xml:space="preserve"> </w:t>
      </w:r>
      <w:r>
        <w:t>the</w:t>
      </w:r>
      <w:r>
        <w:rPr>
          <w:spacing w:val="-13"/>
        </w:rPr>
        <w:t xml:space="preserve"> </w:t>
      </w:r>
      <w:r>
        <w:t>non-confidential</w:t>
      </w:r>
      <w:r>
        <w:rPr>
          <w:spacing w:val="-14"/>
        </w:rPr>
        <w:t xml:space="preserve"> </w:t>
      </w:r>
      <w:r>
        <w:t>summaries.</w:t>
      </w:r>
      <w:r>
        <w:rPr>
          <w:spacing w:val="-13"/>
        </w:rPr>
        <w:t xml:space="preserve"> </w:t>
      </w:r>
      <w:r>
        <w:t>Given</w:t>
      </w:r>
      <w:r>
        <w:rPr>
          <w:spacing w:val="-14"/>
        </w:rPr>
        <w:t xml:space="preserve"> </w:t>
      </w:r>
      <w:r>
        <w:t>that</w:t>
      </w:r>
      <w:r>
        <w:rPr>
          <w:spacing w:val="-14"/>
        </w:rPr>
        <w:t xml:space="preserve"> </w:t>
      </w:r>
      <w:r>
        <w:t>China</w:t>
      </w:r>
      <w:r>
        <w:rPr>
          <w:spacing w:val="-13"/>
        </w:rPr>
        <w:t xml:space="preserve"> </w:t>
      </w:r>
      <w:r>
        <w:t>acknowledges that</w:t>
      </w:r>
      <w:r>
        <w:rPr>
          <w:spacing w:val="-11"/>
        </w:rPr>
        <w:t xml:space="preserve"> </w:t>
      </w:r>
      <w:r>
        <w:t>at</w:t>
      </w:r>
      <w:r>
        <w:rPr>
          <w:spacing w:val="-11"/>
        </w:rPr>
        <w:t xml:space="preserve"> </w:t>
      </w:r>
      <w:r>
        <w:t>least</w:t>
      </w:r>
      <w:r>
        <w:rPr>
          <w:spacing w:val="-11"/>
        </w:rPr>
        <w:t xml:space="preserve"> </w:t>
      </w:r>
      <w:r>
        <w:t>some</w:t>
      </w:r>
      <w:r>
        <w:rPr>
          <w:spacing w:val="-12"/>
        </w:rPr>
        <w:t xml:space="preserve"> </w:t>
      </w:r>
      <w:r>
        <w:t>information</w:t>
      </w:r>
      <w:r>
        <w:rPr>
          <w:spacing w:val="-14"/>
        </w:rPr>
        <w:t xml:space="preserve"> </w:t>
      </w:r>
      <w:r>
        <w:t>was</w:t>
      </w:r>
      <w:r>
        <w:rPr>
          <w:spacing w:val="-9"/>
        </w:rPr>
        <w:t xml:space="preserve"> </w:t>
      </w:r>
      <w:r>
        <w:t>not</w:t>
      </w:r>
      <w:r>
        <w:rPr>
          <w:spacing w:val="-11"/>
        </w:rPr>
        <w:t xml:space="preserve"> </w:t>
      </w:r>
      <w:r>
        <w:t>confidential,</w:t>
      </w:r>
      <w:r>
        <w:rPr>
          <w:spacing w:val="-10"/>
        </w:rPr>
        <w:t xml:space="preserve"> </w:t>
      </w:r>
      <w:r>
        <w:t>it</w:t>
      </w:r>
      <w:r>
        <w:rPr>
          <w:spacing w:val="-11"/>
        </w:rPr>
        <w:t xml:space="preserve"> </w:t>
      </w:r>
      <w:r>
        <w:t>is</w:t>
      </w:r>
      <w:r>
        <w:rPr>
          <w:spacing w:val="-10"/>
        </w:rPr>
        <w:t xml:space="preserve"> </w:t>
      </w:r>
      <w:r>
        <w:t>inexplicable</w:t>
      </w:r>
      <w:r>
        <w:rPr>
          <w:spacing w:val="-12"/>
        </w:rPr>
        <w:t xml:space="preserve"> </w:t>
      </w:r>
      <w:r>
        <w:t>why</w:t>
      </w:r>
      <w:r>
        <w:rPr>
          <w:spacing w:val="-11"/>
        </w:rPr>
        <w:t xml:space="preserve"> </w:t>
      </w:r>
      <w:r>
        <w:t>the</w:t>
      </w:r>
      <w:r>
        <w:rPr>
          <w:spacing w:val="-12"/>
        </w:rPr>
        <w:t xml:space="preserve"> </w:t>
      </w:r>
      <w:r>
        <w:t>non-confidential summaries failed to include a sufficiently detailed – if not fulsome – description of at least these items of information.</w:t>
      </w:r>
    </w:p>
    <w:p w14:paraId="771A9F64" w14:textId="77777777" w:rsidR="00BD462C" w:rsidRDefault="00BD462C">
      <w:pPr>
        <w:pStyle w:val="BodyText"/>
        <w:spacing w:before="8"/>
        <w:rPr>
          <w:sz w:val="8"/>
        </w:rPr>
      </w:pPr>
    </w:p>
    <w:p w14:paraId="5361B976" w14:textId="298CA02E" w:rsidR="00BD462C" w:rsidRDefault="000923F6">
      <w:pPr>
        <w:pStyle w:val="BodyText"/>
        <w:spacing w:before="56" w:line="360" w:lineRule="auto"/>
        <w:ind w:left="135" w:right="913"/>
        <w:jc w:val="both"/>
      </w:pPr>
      <w:r>
        <w:rPr>
          <w:noProof/>
        </w:rPr>
        <w:t>714.</w:t>
      </w:r>
      <w:r w:rsidR="00033D0F">
        <w:rPr>
          <w:rFonts w:ascii="Times New Roman"/>
          <w:spacing w:val="80"/>
          <w:position w:val="1"/>
          <w:sz w:val="20"/>
        </w:rPr>
        <w:t xml:space="preserve">  </w:t>
      </w:r>
      <w:r w:rsidR="00033D0F">
        <w:rPr>
          <w:position w:val="1"/>
        </w:rPr>
        <w:t>While</w:t>
      </w:r>
      <w:r w:rsidR="00033D0F">
        <w:rPr>
          <w:spacing w:val="-2"/>
          <w:position w:val="1"/>
        </w:rPr>
        <w:t xml:space="preserve"> </w:t>
      </w:r>
      <w:r w:rsidR="00033D0F">
        <w:rPr>
          <w:position w:val="1"/>
        </w:rPr>
        <w:t xml:space="preserve">it appears to Australia that a contravention of Article 6.5.1 can be established </w:t>
      </w:r>
      <w:r w:rsidR="00033D0F">
        <w:t xml:space="preserve">solely on the basis of the concessions that appears China has </w:t>
      </w:r>
      <w:proofErr w:type="gramStart"/>
      <w:r w:rsidR="00033D0F">
        <w:t>made,</w:t>
      </w:r>
      <w:proofErr w:type="gramEnd"/>
      <w:r w:rsidR="00033D0F">
        <w:t xml:space="preserve"> Australia maintains the full breadth of its arguments set out in its first written submission and in response to Panel question No. 55.</w:t>
      </w:r>
    </w:p>
    <w:p w14:paraId="6714CC17" w14:textId="77777777" w:rsidR="00BD462C" w:rsidRDefault="00BD462C">
      <w:pPr>
        <w:pStyle w:val="BodyText"/>
        <w:spacing w:before="8"/>
        <w:rPr>
          <w:sz w:val="8"/>
        </w:rPr>
      </w:pPr>
    </w:p>
    <w:p w14:paraId="23E68199" w14:textId="33147DBE" w:rsidR="00BD462C" w:rsidRDefault="000923F6">
      <w:pPr>
        <w:pStyle w:val="BodyText"/>
        <w:spacing w:before="57" w:line="360" w:lineRule="auto"/>
        <w:ind w:left="135" w:right="914"/>
        <w:jc w:val="both"/>
      </w:pPr>
      <w:r>
        <w:rPr>
          <w:noProof/>
        </w:rPr>
        <w:t>715.</w:t>
      </w:r>
      <w:r w:rsidR="00033D0F">
        <w:rPr>
          <w:rFonts w:ascii="Times New Roman"/>
          <w:spacing w:val="80"/>
          <w:w w:val="150"/>
          <w:position w:val="1"/>
          <w:sz w:val="20"/>
        </w:rPr>
        <w:t xml:space="preserve"> </w:t>
      </w:r>
      <w:r w:rsidR="00033D0F">
        <w:rPr>
          <w:position w:val="1"/>
        </w:rPr>
        <w:t xml:space="preserve">In addition, it appears that China now asserts that certain information in these </w:t>
      </w:r>
      <w:r w:rsidR="00033D0F">
        <w:t>responses was incapable of summarisation.</w:t>
      </w:r>
      <w:hyperlink w:anchor="_bookmark1275" w:history="1">
        <w:r w:rsidR="00033D0F">
          <w:rPr>
            <w:vertAlign w:val="superscript"/>
          </w:rPr>
          <w:t>1099</w:t>
        </w:r>
      </w:hyperlink>
      <w:r w:rsidR="00033D0F">
        <w:t xml:space="preserve"> However, there is no evidence on the record that MOFCOM required the domestic producers to provide statements of the reasons as to why</w:t>
      </w:r>
      <w:r w:rsidR="00033D0F">
        <w:rPr>
          <w:spacing w:val="-6"/>
        </w:rPr>
        <w:t xml:space="preserve"> </w:t>
      </w:r>
      <w:r w:rsidR="00033D0F">
        <w:t>this</w:t>
      </w:r>
      <w:r w:rsidR="00033D0F">
        <w:rPr>
          <w:spacing w:val="-6"/>
        </w:rPr>
        <w:t xml:space="preserve"> </w:t>
      </w:r>
      <w:r w:rsidR="00033D0F">
        <w:t>was</w:t>
      </w:r>
      <w:r w:rsidR="00033D0F">
        <w:rPr>
          <w:spacing w:val="-6"/>
        </w:rPr>
        <w:t xml:space="preserve"> </w:t>
      </w:r>
      <w:r w:rsidR="00033D0F">
        <w:t>the</w:t>
      </w:r>
      <w:r w:rsidR="00033D0F">
        <w:rPr>
          <w:spacing w:val="-7"/>
        </w:rPr>
        <w:t xml:space="preserve"> </w:t>
      </w:r>
      <w:r w:rsidR="00033D0F">
        <w:t>case.</w:t>
      </w:r>
      <w:r w:rsidR="00033D0F">
        <w:rPr>
          <w:spacing w:val="-6"/>
        </w:rPr>
        <w:t xml:space="preserve"> </w:t>
      </w:r>
      <w:r w:rsidR="00033D0F">
        <w:t>There</w:t>
      </w:r>
      <w:r w:rsidR="00033D0F">
        <w:rPr>
          <w:spacing w:val="-2"/>
        </w:rPr>
        <w:t xml:space="preserve"> </w:t>
      </w:r>
      <w:r w:rsidR="00033D0F">
        <w:t>are</w:t>
      </w:r>
      <w:r w:rsidR="00033D0F">
        <w:rPr>
          <w:spacing w:val="-2"/>
        </w:rPr>
        <w:t xml:space="preserve"> </w:t>
      </w:r>
      <w:r w:rsidR="00033D0F">
        <w:t>simply</w:t>
      </w:r>
      <w:r w:rsidR="00033D0F">
        <w:rPr>
          <w:spacing w:val="-6"/>
        </w:rPr>
        <w:t xml:space="preserve"> </w:t>
      </w:r>
      <w:r w:rsidR="00033D0F">
        <w:t>no</w:t>
      </w:r>
      <w:r w:rsidR="00033D0F">
        <w:rPr>
          <w:spacing w:val="-10"/>
        </w:rPr>
        <w:t xml:space="preserve"> </w:t>
      </w:r>
      <w:r w:rsidR="00033D0F">
        <w:t>such</w:t>
      </w:r>
      <w:r w:rsidR="00033D0F">
        <w:rPr>
          <w:spacing w:val="-4"/>
        </w:rPr>
        <w:t xml:space="preserve"> </w:t>
      </w:r>
      <w:r w:rsidR="00033D0F">
        <w:t>statements</w:t>
      </w:r>
      <w:r w:rsidR="00033D0F">
        <w:rPr>
          <w:spacing w:val="-6"/>
        </w:rPr>
        <w:t xml:space="preserve"> </w:t>
      </w:r>
      <w:r w:rsidR="00033D0F">
        <w:t>on</w:t>
      </w:r>
      <w:r w:rsidR="00033D0F">
        <w:rPr>
          <w:spacing w:val="-9"/>
        </w:rPr>
        <w:t xml:space="preserve"> </w:t>
      </w:r>
      <w:r w:rsidR="00033D0F">
        <w:t>the</w:t>
      </w:r>
      <w:r w:rsidR="00033D0F">
        <w:rPr>
          <w:spacing w:val="-3"/>
        </w:rPr>
        <w:t xml:space="preserve"> </w:t>
      </w:r>
      <w:r w:rsidR="00033D0F">
        <w:t>record.</w:t>
      </w:r>
      <w:r w:rsidR="00033D0F">
        <w:rPr>
          <w:spacing w:val="-6"/>
        </w:rPr>
        <w:t xml:space="preserve"> </w:t>
      </w:r>
      <w:r w:rsidR="00033D0F">
        <w:t>In</w:t>
      </w:r>
      <w:r w:rsidR="00033D0F">
        <w:rPr>
          <w:spacing w:val="-4"/>
        </w:rPr>
        <w:t xml:space="preserve"> </w:t>
      </w:r>
      <w:r w:rsidR="00033D0F">
        <w:t>turn,</w:t>
      </w:r>
      <w:r w:rsidR="00033D0F">
        <w:rPr>
          <w:spacing w:val="-5"/>
        </w:rPr>
        <w:t xml:space="preserve"> </w:t>
      </w:r>
      <w:r w:rsidR="00033D0F">
        <w:t>there</w:t>
      </w:r>
      <w:r w:rsidR="00033D0F">
        <w:rPr>
          <w:spacing w:val="-2"/>
        </w:rPr>
        <w:t xml:space="preserve"> </w:t>
      </w:r>
      <w:r w:rsidR="00033D0F">
        <w:t>is</w:t>
      </w:r>
      <w:r w:rsidR="00033D0F">
        <w:rPr>
          <w:spacing w:val="-6"/>
        </w:rPr>
        <w:t xml:space="preserve"> </w:t>
      </w:r>
      <w:r w:rsidR="00033D0F">
        <w:t xml:space="preserve">no evidence that MOFCOM </w:t>
      </w:r>
      <w:proofErr w:type="spellStart"/>
      <w:r w:rsidR="00033D0F">
        <w:t>scrutinised</w:t>
      </w:r>
      <w:proofErr w:type="spellEnd"/>
      <w:r w:rsidR="00033D0F">
        <w:rPr>
          <w:spacing w:val="-1"/>
        </w:rPr>
        <w:t xml:space="preserve"> </w:t>
      </w:r>
      <w:r w:rsidR="00033D0F">
        <w:t>such statements to determine whether they established "exceptional circumstances" and whether the reasons given appropriately explained why, under the circumstances, no summary that would permit a reasonable understanding of the information's substance was possible.</w:t>
      </w:r>
      <w:hyperlink w:anchor="_bookmark1276" w:history="1">
        <w:r w:rsidR="00033D0F">
          <w:rPr>
            <w:vertAlign w:val="superscript"/>
          </w:rPr>
          <w:t>1100</w:t>
        </w:r>
      </w:hyperlink>
      <w:r w:rsidR="00033D0F">
        <w:t xml:space="preserve"> Rather, this appears to be an entirely </w:t>
      </w:r>
      <w:r w:rsidR="00033D0F">
        <w:rPr>
          <w:i/>
        </w:rPr>
        <w:t xml:space="preserve">ex post facto </w:t>
      </w:r>
      <w:proofErr w:type="spellStart"/>
      <w:r w:rsidR="00033D0F">
        <w:t>rationalisation</w:t>
      </w:r>
      <w:proofErr w:type="spellEnd"/>
      <w:r w:rsidR="00033D0F">
        <w:t>.</w:t>
      </w:r>
      <w:r w:rsidR="00033D0F">
        <w:rPr>
          <w:spacing w:val="-11"/>
        </w:rPr>
        <w:t xml:space="preserve"> </w:t>
      </w:r>
      <w:r w:rsidR="00033D0F">
        <w:t>If</w:t>
      </w:r>
      <w:r w:rsidR="00033D0F">
        <w:rPr>
          <w:spacing w:val="-14"/>
        </w:rPr>
        <w:t xml:space="preserve"> </w:t>
      </w:r>
      <w:r w:rsidR="00033D0F">
        <w:t>the</w:t>
      </w:r>
      <w:r w:rsidR="00033D0F">
        <w:rPr>
          <w:spacing w:val="-11"/>
        </w:rPr>
        <w:t xml:space="preserve"> </w:t>
      </w:r>
      <w:r w:rsidR="00033D0F">
        <w:t>Panel</w:t>
      </w:r>
      <w:r w:rsidR="00033D0F">
        <w:rPr>
          <w:spacing w:val="-10"/>
        </w:rPr>
        <w:t xml:space="preserve"> </w:t>
      </w:r>
      <w:r w:rsidR="00033D0F">
        <w:t>were</w:t>
      </w:r>
      <w:r w:rsidR="00033D0F">
        <w:rPr>
          <w:spacing w:val="-12"/>
        </w:rPr>
        <w:t xml:space="preserve"> </w:t>
      </w:r>
      <w:r w:rsidR="00033D0F">
        <w:t>to</w:t>
      </w:r>
      <w:r w:rsidR="00033D0F">
        <w:rPr>
          <w:spacing w:val="-14"/>
        </w:rPr>
        <w:t xml:space="preserve"> </w:t>
      </w:r>
      <w:r w:rsidR="00033D0F">
        <w:t>accept</w:t>
      </w:r>
      <w:r w:rsidR="00033D0F">
        <w:rPr>
          <w:spacing w:val="-10"/>
        </w:rPr>
        <w:t xml:space="preserve"> </w:t>
      </w:r>
      <w:r w:rsidR="00033D0F">
        <w:t>that</w:t>
      </w:r>
      <w:r w:rsidR="00033D0F">
        <w:rPr>
          <w:spacing w:val="-7"/>
        </w:rPr>
        <w:t xml:space="preserve"> </w:t>
      </w:r>
      <w:r w:rsidR="00033D0F">
        <w:t>this</w:t>
      </w:r>
      <w:r w:rsidR="00033D0F">
        <w:rPr>
          <w:spacing w:val="-10"/>
        </w:rPr>
        <w:t xml:space="preserve"> </w:t>
      </w:r>
      <w:r w:rsidR="00033D0F">
        <w:t>was</w:t>
      </w:r>
      <w:r w:rsidR="00033D0F">
        <w:rPr>
          <w:spacing w:val="-10"/>
        </w:rPr>
        <w:t xml:space="preserve"> </w:t>
      </w:r>
      <w:r w:rsidR="00033D0F">
        <w:t>the</w:t>
      </w:r>
      <w:r w:rsidR="00033D0F">
        <w:rPr>
          <w:spacing w:val="-12"/>
        </w:rPr>
        <w:t xml:space="preserve"> </w:t>
      </w:r>
      <w:r w:rsidR="00033D0F">
        <w:t>reason</w:t>
      </w:r>
      <w:r w:rsidR="00033D0F">
        <w:rPr>
          <w:spacing w:val="-14"/>
        </w:rPr>
        <w:t xml:space="preserve"> </w:t>
      </w:r>
      <w:r w:rsidR="00033D0F">
        <w:t>for</w:t>
      </w:r>
      <w:r w:rsidR="00033D0F">
        <w:rPr>
          <w:spacing w:val="-14"/>
        </w:rPr>
        <w:t xml:space="preserve"> </w:t>
      </w:r>
      <w:r w:rsidR="00033D0F">
        <w:t>the</w:t>
      </w:r>
      <w:r w:rsidR="00033D0F">
        <w:rPr>
          <w:spacing w:val="-6"/>
        </w:rPr>
        <w:t xml:space="preserve"> </w:t>
      </w:r>
      <w:r w:rsidR="00033D0F">
        <w:t>lack</w:t>
      </w:r>
      <w:r w:rsidR="00033D0F">
        <w:rPr>
          <w:spacing w:val="-11"/>
        </w:rPr>
        <w:t xml:space="preserve"> </w:t>
      </w:r>
      <w:r w:rsidR="00033D0F">
        <w:t>of</w:t>
      </w:r>
      <w:r w:rsidR="00033D0F">
        <w:rPr>
          <w:spacing w:val="-14"/>
        </w:rPr>
        <w:t xml:space="preserve"> </w:t>
      </w:r>
      <w:r w:rsidR="00033D0F">
        <w:t>an</w:t>
      </w:r>
      <w:r w:rsidR="00033D0F">
        <w:rPr>
          <w:spacing w:val="-13"/>
        </w:rPr>
        <w:t xml:space="preserve"> </w:t>
      </w:r>
      <w:r w:rsidR="00033D0F">
        <w:t>adequate non-confidential</w:t>
      </w:r>
      <w:r w:rsidR="00033D0F">
        <w:rPr>
          <w:spacing w:val="-5"/>
        </w:rPr>
        <w:t xml:space="preserve"> </w:t>
      </w:r>
      <w:r w:rsidR="00033D0F">
        <w:t>summary</w:t>
      </w:r>
      <w:r w:rsidR="00033D0F">
        <w:rPr>
          <w:spacing w:val="-6"/>
        </w:rPr>
        <w:t xml:space="preserve"> </w:t>
      </w:r>
      <w:r w:rsidR="00033D0F">
        <w:t>in</w:t>
      </w:r>
      <w:r w:rsidR="00033D0F">
        <w:rPr>
          <w:spacing w:val="-4"/>
        </w:rPr>
        <w:t xml:space="preserve"> </w:t>
      </w:r>
      <w:r w:rsidR="00033D0F">
        <w:t>certain</w:t>
      </w:r>
      <w:r w:rsidR="00033D0F">
        <w:rPr>
          <w:spacing w:val="-9"/>
        </w:rPr>
        <w:t xml:space="preserve"> </w:t>
      </w:r>
      <w:r w:rsidR="00033D0F">
        <w:t>instances,</w:t>
      </w:r>
      <w:r w:rsidR="00033D0F">
        <w:rPr>
          <w:spacing w:val="-5"/>
        </w:rPr>
        <w:t xml:space="preserve"> </w:t>
      </w:r>
      <w:r w:rsidR="00033D0F">
        <w:t>then</w:t>
      </w:r>
      <w:r w:rsidR="00033D0F">
        <w:rPr>
          <w:spacing w:val="-9"/>
        </w:rPr>
        <w:t xml:space="preserve"> </w:t>
      </w:r>
      <w:r w:rsidR="00033D0F">
        <w:t>Australia</w:t>
      </w:r>
      <w:r w:rsidR="00033D0F">
        <w:rPr>
          <w:spacing w:val="-8"/>
        </w:rPr>
        <w:t xml:space="preserve"> </w:t>
      </w:r>
      <w:r w:rsidR="00033D0F">
        <w:t>considers</w:t>
      </w:r>
      <w:r w:rsidR="00033D0F">
        <w:rPr>
          <w:spacing w:val="-6"/>
        </w:rPr>
        <w:t xml:space="preserve"> </w:t>
      </w:r>
      <w:r w:rsidR="00033D0F">
        <w:t>that,</w:t>
      </w:r>
      <w:r w:rsidR="00033D0F">
        <w:rPr>
          <w:spacing w:val="-5"/>
        </w:rPr>
        <w:t xml:space="preserve"> </w:t>
      </w:r>
      <w:r w:rsidR="00033D0F">
        <w:t>in</w:t>
      </w:r>
      <w:r w:rsidR="00033D0F">
        <w:rPr>
          <w:spacing w:val="-4"/>
        </w:rPr>
        <w:t xml:space="preserve"> </w:t>
      </w:r>
      <w:r w:rsidR="00033D0F">
        <w:t>each</w:t>
      </w:r>
      <w:r w:rsidR="00033D0F">
        <w:rPr>
          <w:spacing w:val="-4"/>
        </w:rPr>
        <w:t xml:space="preserve"> </w:t>
      </w:r>
      <w:r w:rsidR="00033D0F">
        <w:t>of</w:t>
      </w:r>
      <w:r w:rsidR="00033D0F">
        <w:rPr>
          <w:spacing w:val="-4"/>
        </w:rPr>
        <w:t xml:space="preserve"> </w:t>
      </w:r>
      <w:r w:rsidR="00033D0F">
        <w:t>those instances,</w:t>
      </w:r>
      <w:r w:rsidR="00033D0F">
        <w:rPr>
          <w:spacing w:val="-14"/>
        </w:rPr>
        <w:t xml:space="preserve"> </w:t>
      </w:r>
      <w:r w:rsidR="00033D0F">
        <w:t>a</w:t>
      </w:r>
      <w:r w:rsidR="00033D0F">
        <w:rPr>
          <w:spacing w:val="-14"/>
        </w:rPr>
        <w:t xml:space="preserve"> </w:t>
      </w:r>
      <w:r w:rsidR="00033D0F">
        <w:t>statement</w:t>
      </w:r>
      <w:r w:rsidR="00033D0F">
        <w:rPr>
          <w:spacing w:val="-13"/>
        </w:rPr>
        <w:t xml:space="preserve"> </w:t>
      </w:r>
      <w:r w:rsidR="00033D0F">
        <w:t>of</w:t>
      </w:r>
      <w:r w:rsidR="00033D0F">
        <w:rPr>
          <w:spacing w:val="-14"/>
        </w:rPr>
        <w:t xml:space="preserve"> </w:t>
      </w:r>
      <w:r w:rsidR="00033D0F">
        <w:t>the</w:t>
      </w:r>
      <w:r w:rsidR="00033D0F">
        <w:rPr>
          <w:spacing w:val="-13"/>
        </w:rPr>
        <w:t xml:space="preserve"> </w:t>
      </w:r>
      <w:r w:rsidR="00033D0F">
        <w:t>reasons</w:t>
      </w:r>
      <w:r w:rsidR="00033D0F">
        <w:rPr>
          <w:spacing w:val="-14"/>
        </w:rPr>
        <w:t xml:space="preserve"> </w:t>
      </w:r>
      <w:r w:rsidR="00033D0F">
        <w:t>why</w:t>
      </w:r>
      <w:r w:rsidR="00033D0F">
        <w:rPr>
          <w:spacing w:val="-13"/>
        </w:rPr>
        <w:t xml:space="preserve"> </w:t>
      </w:r>
      <w:proofErr w:type="spellStart"/>
      <w:r w:rsidR="00033D0F">
        <w:t>summarisation</w:t>
      </w:r>
      <w:proofErr w:type="spellEnd"/>
      <w:r w:rsidR="00033D0F">
        <w:rPr>
          <w:spacing w:val="-14"/>
        </w:rPr>
        <w:t xml:space="preserve"> </w:t>
      </w:r>
      <w:r w:rsidR="00033D0F">
        <w:t>was</w:t>
      </w:r>
      <w:r w:rsidR="00033D0F">
        <w:rPr>
          <w:spacing w:val="-14"/>
        </w:rPr>
        <w:t xml:space="preserve"> </w:t>
      </w:r>
      <w:r w:rsidR="00033D0F">
        <w:t>not</w:t>
      </w:r>
      <w:r w:rsidR="00033D0F">
        <w:rPr>
          <w:spacing w:val="-13"/>
        </w:rPr>
        <w:t xml:space="preserve"> </w:t>
      </w:r>
      <w:r w:rsidR="00033D0F">
        <w:t>possible</w:t>
      </w:r>
      <w:r w:rsidR="00033D0F">
        <w:rPr>
          <w:spacing w:val="-14"/>
        </w:rPr>
        <w:t xml:space="preserve"> </w:t>
      </w:r>
      <w:r w:rsidR="00033D0F">
        <w:t>was</w:t>
      </w:r>
      <w:r w:rsidR="00033D0F">
        <w:rPr>
          <w:spacing w:val="-13"/>
        </w:rPr>
        <w:t xml:space="preserve"> </w:t>
      </w:r>
      <w:r w:rsidR="00033D0F">
        <w:t>entirely</w:t>
      </w:r>
      <w:r w:rsidR="00033D0F">
        <w:rPr>
          <w:spacing w:val="-14"/>
        </w:rPr>
        <w:t xml:space="preserve"> </w:t>
      </w:r>
      <w:r w:rsidR="00033D0F">
        <w:t>absent in contravention of Article 6.5.1.</w:t>
      </w:r>
    </w:p>
    <w:p w14:paraId="5D068BFE" w14:textId="77777777" w:rsidR="00BD462C" w:rsidRDefault="00033D0F">
      <w:pPr>
        <w:pStyle w:val="Heading3"/>
        <w:numPr>
          <w:ilvl w:val="0"/>
          <w:numId w:val="30"/>
        </w:numPr>
        <w:tabs>
          <w:tab w:val="left" w:pos="2545"/>
          <w:tab w:val="left" w:pos="2546"/>
        </w:tabs>
        <w:spacing w:before="155"/>
      </w:pPr>
      <w:bookmarkStart w:id="1478" w:name="7._The_responses_to_the_notices_of_verif"/>
      <w:bookmarkStart w:id="1479" w:name="_bookmark1274"/>
      <w:bookmarkEnd w:id="1478"/>
      <w:bookmarkEnd w:id="1479"/>
      <w:r>
        <w:t>The</w:t>
      </w:r>
      <w:r>
        <w:rPr>
          <w:spacing w:val="-8"/>
        </w:rPr>
        <w:t xml:space="preserve"> </w:t>
      </w:r>
      <w:r>
        <w:t>responses</w:t>
      </w:r>
      <w:r>
        <w:rPr>
          <w:spacing w:val="-4"/>
        </w:rPr>
        <w:t xml:space="preserve"> </w:t>
      </w:r>
      <w:r>
        <w:t>to</w:t>
      </w:r>
      <w:r>
        <w:rPr>
          <w:spacing w:val="-4"/>
        </w:rPr>
        <w:t xml:space="preserve"> </w:t>
      </w:r>
      <w:r>
        <w:t>the</w:t>
      </w:r>
      <w:r>
        <w:rPr>
          <w:spacing w:val="-5"/>
        </w:rPr>
        <w:t xml:space="preserve"> </w:t>
      </w:r>
      <w:r>
        <w:t>notices</w:t>
      </w:r>
      <w:r>
        <w:rPr>
          <w:spacing w:val="-5"/>
        </w:rPr>
        <w:t xml:space="preserve"> </w:t>
      </w:r>
      <w:r>
        <w:t>of</w:t>
      </w:r>
      <w:r>
        <w:rPr>
          <w:spacing w:val="-3"/>
        </w:rPr>
        <w:t xml:space="preserve"> </w:t>
      </w:r>
      <w:r>
        <w:t>verification</w:t>
      </w:r>
      <w:r>
        <w:rPr>
          <w:spacing w:val="-4"/>
        </w:rPr>
        <w:t xml:space="preserve"> </w:t>
      </w:r>
      <w:r>
        <w:t>from</w:t>
      </w:r>
      <w:r>
        <w:rPr>
          <w:spacing w:val="-7"/>
        </w:rPr>
        <w:t xml:space="preserve"> </w:t>
      </w:r>
      <w:r>
        <w:t>domestic</w:t>
      </w:r>
      <w:r>
        <w:rPr>
          <w:spacing w:val="-4"/>
        </w:rPr>
        <w:t xml:space="preserve"> </w:t>
      </w:r>
      <w:r>
        <w:rPr>
          <w:spacing w:val="-2"/>
        </w:rPr>
        <w:t>industry</w:t>
      </w:r>
    </w:p>
    <w:p w14:paraId="5F357F11" w14:textId="77777777" w:rsidR="00BD462C" w:rsidRDefault="00BD462C">
      <w:pPr>
        <w:pStyle w:val="BodyText"/>
        <w:spacing w:before="2"/>
        <w:rPr>
          <w:b/>
          <w:sz w:val="25"/>
        </w:rPr>
      </w:pPr>
    </w:p>
    <w:p w14:paraId="22588951" w14:textId="77777777" w:rsidR="00BD462C" w:rsidRDefault="00033D0F">
      <w:pPr>
        <w:pStyle w:val="ListParagraph"/>
        <w:numPr>
          <w:ilvl w:val="1"/>
          <w:numId w:val="30"/>
        </w:numPr>
        <w:tabs>
          <w:tab w:val="left" w:pos="3539"/>
          <w:tab w:val="left" w:pos="3540"/>
        </w:tabs>
        <w:spacing w:before="0"/>
        <w:ind w:hanging="851"/>
        <w:rPr>
          <w:sz w:val="24"/>
        </w:rPr>
      </w:pPr>
      <w:bookmarkStart w:id="1480" w:name="(a)_Failure_to_assess_good_cause"/>
      <w:bookmarkEnd w:id="1480"/>
      <w:r>
        <w:rPr>
          <w:sz w:val="24"/>
          <w:u w:val="single"/>
        </w:rPr>
        <w:t>Failure</w:t>
      </w:r>
      <w:r>
        <w:rPr>
          <w:spacing w:val="-2"/>
          <w:sz w:val="24"/>
          <w:u w:val="single"/>
        </w:rPr>
        <w:t xml:space="preserve"> </w:t>
      </w:r>
      <w:r>
        <w:rPr>
          <w:sz w:val="24"/>
          <w:u w:val="single"/>
        </w:rPr>
        <w:t>to</w:t>
      </w:r>
      <w:r>
        <w:rPr>
          <w:spacing w:val="-4"/>
          <w:sz w:val="24"/>
          <w:u w:val="single"/>
        </w:rPr>
        <w:t xml:space="preserve"> </w:t>
      </w:r>
      <w:r>
        <w:rPr>
          <w:sz w:val="24"/>
          <w:u w:val="single"/>
        </w:rPr>
        <w:t>assess good</w:t>
      </w:r>
      <w:r>
        <w:rPr>
          <w:spacing w:val="-3"/>
          <w:sz w:val="24"/>
          <w:u w:val="single"/>
        </w:rPr>
        <w:t xml:space="preserve"> </w:t>
      </w:r>
      <w:r>
        <w:rPr>
          <w:spacing w:val="-4"/>
          <w:sz w:val="24"/>
          <w:u w:val="single"/>
        </w:rPr>
        <w:t>cause</w:t>
      </w:r>
    </w:p>
    <w:p w14:paraId="3998AF9C" w14:textId="77777777" w:rsidR="00BD462C" w:rsidRDefault="00BD462C">
      <w:pPr>
        <w:pStyle w:val="BodyText"/>
        <w:spacing w:before="11"/>
        <w:rPr>
          <w:sz w:val="20"/>
        </w:rPr>
      </w:pPr>
    </w:p>
    <w:p w14:paraId="3195BC94" w14:textId="2D4E7DEF" w:rsidR="00BD462C" w:rsidRDefault="00A16422">
      <w:pPr>
        <w:pStyle w:val="BodyText"/>
        <w:spacing w:before="56" w:line="355" w:lineRule="auto"/>
        <w:ind w:left="135"/>
      </w:pPr>
      <w:r w:rsidRPr="00A16422">
        <w:rPr>
          <w:position w:val="1"/>
        </w:rPr>
        <w:t xml:space="preserve">716. </w:t>
      </w:r>
      <w:r w:rsidR="00033D0F">
        <w:rPr>
          <w:position w:val="1"/>
        </w:rPr>
        <w:t>China</w:t>
      </w:r>
      <w:r w:rsidR="00033D0F">
        <w:rPr>
          <w:spacing w:val="-13"/>
          <w:position w:val="1"/>
        </w:rPr>
        <w:t xml:space="preserve"> </w:t>
      </w:r>
      <w:r w:rsidR="00033D0F">
        <w:rPr>
          <w:position w:val="1"/>
        </w:rPr>
        <w:t>provides</w:t>
      </w:r>
      <w:r w:rsidR="00033D0F">
        <w:rPr>
          <w:spacing w:val="-11"/>
          <w:position w:val="1"/>
        </w:rPr>
        <w:t xml:space="preserve"> </w:t>
      </w:r>
      <w:r w:rsidR="00033D0F">
        <w:rPr>
          <w:position w:val="1"/>
        </w:rPr>
        <w:t>two</w:t>
      </w:r>
      <w:r w:rsidR="00033D0F">
        <w:rPr>
          <w:spacing w:val="-14"/>
          <w:position w:val="1"/>
        </w:rPr>
        <w:t xml:space="preserve"> </w:t>
      </w:r>
      <w:r w:rsidR="00033D0F">
        <w:rPr>
          <w:position w:val="1"/>
        </w:rPr>
        <w:t>responses</w:t>
      </w:r>
      <w:r w:rsidR="00033D0F">
        <w:rPr>
          <w:spacing w:val="-14"/>
          <w:position w:val="1"/>
        </w:rPr>
        <w:t xml:space="preserve"> </w:t>
      </w:r>
      <w:r w:rsidR="00033D0F">
        <w:rPr>
          <w:position w:val="1"/>
        </w:rPr>
        <w:t>to</w:t>
      </w:r>
      <w:r w:rsidR="00033D0F">
        <w:rPr>
          <w:spacing w:val="-14"/>
          <w:position w:val="1"/>
        </w:rPr>
        <w:t xml:space="preserve"> </w:t>
      </w:r>
      <w:r w:rsidR="00033D0F">
        <w:rPr>
          <w:position w:val="1"/>
        </w:rPr>
        <w:t>Australia's</w:t>
      </w:r>
      <w:r w:rsidR="00033D0F">
        <w:rPr>
          <w:spacing w:val="-10"/>
          <w:position w:val="1"/>
        </w:rPr>
        <w:t xml:space="preserve"> </w:t>
      </w:r>
      <w:r w:rsidR="00033D0F">
        <w:rPr>
          <w:position w:val="1"/>
        </w:rPr>
        <w:t>arguments</w:t>
      </w:r>
      <w:r w:rsidR="00033D0F">
        <w:rPr>
          <w:spacing w:val="-11"/>
          <w:position w:val="1"/>
        </w:rPr>
        <w:t xml:space="preserve"> </w:t>
      </w:r>
      <w:r w:rsidR="00033D0F">
        <w:rPr>
          <w:position w:val="1"/>
        </w:rPr>
        <w:t>that</w:t>
      </w:r>
      <w:r w:rsidR="00033D0F">
        <w:rPr>
          <w:spacing w:val="-12"/>
          <w:position w:val="1"/>
        </w:rPr>
        <w:t xml:space="preserve"> </w:t>
      </w:r>
      <w:r w:rsidR="00033D0F">
        <w:rPr>
          <w:position w:val="1"/>
        </w:rPr>
        <w:t>MOFCOM</w:t>
      </w:r>
      <w:r w:rsidR="00033D0F">
        <w:rPr>
          <w:spacing w:val="-12"/>
          <w:position w:val="1"/>
        </w:rPr>
        <w:t xml:space="preserve"> </w:t>
      </w:r>
      <w:r w:rsidR="00033D0F">
        <w:rPr>
          <w:position w:val="1"/>
        </w:rPr>
        <w:t>treated</w:t>
      </w:r>
      <w:r w:rsidR="00033D0F">
        <w:rPr>
          <w:spacing w:val="-14"/>
          <w:position w:val="1"/>
        </w:rPr>
        <w:t xml:space="preserve"> </w:t>
      </w:r>
      <w:r w:rsidR="00033D0F">
        <w:rPr>
          <w:position w:val="1"/>
        </w:rPr>
        <w:t xml:space="preserve">certain </w:t>
      </w:r>
      <w:r w:rsidR="00033D0F">
        <w:t>information</w:t>
      </w:r>
      <w:r w:rsidR="00033D0F">
        <w:rPr>
          <w:spacing w:val="47"/>
        </w:rPr>
        <w:t xml:space="preserve"> </w:t>
      </w:r>
      <w:r w:rsidR="00033D0F">
        <w:t>in</w:t>
      </w:r>
      <w:r w:rsidR="00033D0F">
        <w:rPr>
          <w:spacing w:val="48"/>
        </w:rPr>
        <w:t xml:space="preserve"> </w:t>
      </w:r>
      <w:r w:rsidR="00033D0F">
        <w:t>the</w:t>
      </w:r>
      <w:r w:rsidR="00033D0F">
        <w:rPr>
          <w:spacing w:val="54"/>
        </w:rPr>
        <w:t xml:space="preserve"> </w:t>
      </w:r>
      <w:r w:rsidR="00033D0F">
        <w:t>verification</w:t>
      </w:r>
      <w:r w:rsidR="00033D0F">
        <w:rPr>
          <w:spacing w:val="47"/>
        </w:rPr>
        <w:t xml:space="preserve"> </w:t>
      </w:r>
      <w:r w:rsidR="00033D0F">
        <w:t>responses</w:t>
      </w:r>
      <w:r w:rsidR="00033D0F">
        <w:rPr>
          <w:spacing w:val="52"/>
        </w:rPr>
        <w:t xml:space="preserve"> </w:t>
      </w:r>
      <w:r w:rsidR="00033D0F">
        <w:t>from</w:t>
      </w:r>
      <w:r w:rsidR="00033D0F">
        <w:rPr>
          <w:spacing w:val="58"/>
        </w:rPr>
        <w:t xml:space="preserve"> </w:t>
      </w:r>
      <w:r w:rsidR="00033D0F">
        <w:t>COFCO</w:t>
      </w:r>
      <w:r w:rsidR="00033D0F">
        <w:rPr>
          <w:spacing w:val="49"/>
        </w:rPr>
        <w:t xml:space="preserve"> </w:t>
      </w:r>
      <w:proofErr w:type="spellStart"/>
      <w:r w:rsidR="00033D0F">
        <w:t>Greatwall</w:t>
      </w:r>
      <w:proofErr w:type="spellEnd"/>
      <w:r w:rsidR="00033D0F">
        <w:rPr>
          <w:spacing w:val="51"/>
        </w:rPr>
        <w:t xml:space="preserve"> </w:t>
      </w:r>
      <w:r w:rsidR="00033D0F">
        <w:t>and</w:t>
      </w:r>
      <w:r w:rsidR="00033D0F">
        <w:rPr>
          <w:spacing w:val="48"/>
        </w:rPr>
        <w:t xml:space="preserve"> </w:t>
      </w:r>
      <w:r w:rsidR="00033D0F">
        <w:t>Changyu</w:t>
      </w:r>
      <w:r w:rsidR="00033D0F">
        <w:rPr>
          <w:spacing w:val="47"/>
        </w:rPr>
        <w:t xml:space="preserve"> </w:t>
      </w:r>
      <w:r w:rsidR="00033D0F">
        <w:t>Wines</w:t>
      </w:r>
      <w:r w:rsidR="00033D0F">
        <w:rPr>
          <w:spacing w:val="52"/>
        </w:rPr>
        <w:t xml:space="preserve"> </w:t>
      </w:r>
      <w:r w:rsidR="00033D0F">
        <w:rPr>
          <w:spacing w:val="-5"/>
        </w:rPr>
        <w:t>as</w:t>
      </w:r>
    </w:p>
    <w:p w14:paraId="5870497D" w14:textId="77777777" w:rsidR="00BD462C" w:rsidRDefault="00BD462C">
      <w:pPr>
        <w:pStyle w:val="BodyText"/>
        <w:rPr>
          <w:sz w:val="20"/>
        </w:rPr>
      </w:pPr>
    </w:p>
    <w:p w14:paraId="66C02470" w14:textId="77777777" w:rsidR="00BD462C" w:rsidRDefault="00BD462C">
      <w:pPr>
        <w:pStyle w:val="BodyText"/>
        <w:rPr>
          <w:sz w:val="20"/>
        </w:rPr>
      </w:pPr>
    </w:p>
    <w:p w14:paraId="7442C955" w14:textId="65ED9E8E" w:rsidR="00BD462C" w:rsidRDefault="00E14314">
      <w:pPr>
        <w:pStyle w:val="BodyText"/>
        <w:spacing w:before="3"/>
        <w:rPr>
          <w:sz w:val="16"/>
        </w:rPr>
      </w:pPr>
      <w:r>
        <w:rPr>
          <w:noProof/>
        </w:rPr>
        <mc:AlternateContent>
          <mc:Choice Requires="wps">
            <w:drawing>
              <wp:anchor distT="0" distB="0" distL="0" distR="0" simplePos="0" relativeHeight="488106496" behindDoc="1" locked="0" layoutInCell="1" allowOverlap="1" wp14:anchorId="67E8A6AB" wp14:editId="634EDC57">
                <wp:simplePos x="0" y="0"/>
                <wp:positionH relativeFrom="page">
                  <wp:posOffset>812800</wp:posOffset>
                </wp:positionH>
                <wp:positionV relativeFrom="paragraph">
                  <wp:posOffset>126365</wp:posOffset>
                </wp:positionV>
                <wp:extent cx="1828800" cy="8890"/>
                <wp:effectExtent l="0" t="0" r="0" b="0"/>
                <wp:wrapTopAndBottom/>
                <wp:docPr id="79" name="docshape7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44CEEA" id="docshape705" o:spid="_x0000_s1026" alt="&quot;&quot;" style="position:absolute;margin-left:64pt;margin-top:9.95pt;width:2in;height:.7pt;z-index:-15209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" fillcolor="black" stroked="f">
                <w10:wrap type="topAndBottom" anchorx="page"/>
              </v:rect>
            </w:pict>
          </mc:Fallback>
        </mc:AlternateContent>
      </w:r>
    </w:p>
    <w:p w14:paraId="4132AA41" w14:textId="77777777" w:rsidR="00BD462C" w:rsidRDefault="00033D0F">
      <w:pPr>
        <w:spacing w:before="112"/>
        <w:ind w:left="136" w:right="910" w:hanging="1"/>
        <w:rPr>
          <w:sz w:val="18"/>
        </w:rPr>
      </w:pPr>
      <w:bookmarkStart w:id="1481" w:name="_bookmark1275"/>
      <w:bookmarkEnd w:id="1481"/>
      <w:r>
        <w:rPr>
          <w:position w:val="5"/>
          <w:sz w:val="12"/>
        </w:rPr>
        <w:t>1099</w:t>
      </w:r>
      <w:r>
        <w:rPr>
          <w:spacing w:val="17"/>
          <w:position w:val="5"/>
          <w:sz w:val="12"/>
        </w:rPr>
        <w:t xml:space="preserve"> </w:t>
      </w:r>
      <w:r>
        <w:rPr>
          <w:sz w:val="18"/>
        </w:rPr>
        <w:t>China's</w:t>
      </w:r>
      <w:r>
        <w:rPr>
          <w:spacing w:val="-2"/>
          <w:sz w:val="18"/>
        </w:rPr>
        <w:t xml:space="preserve"> </w:t>
      </w:r>
      <w:r>
        <w:rPr>
          <w:sz w:val="18"/>
        </w:rPr>
        <w:t>first</w:t>
      </w:r>
      <w:r>
        <w:rPr>
          <w:spacing w:val="-1"/>
          <w:sz w:val="18"/>
        </w:rPr>
        <w:t xml:space="preserve"> </w:t>
      </w:r>
      <w:r>
        <w:rPr>
          <w:sz w:val="18"/>
        </w:rPr>
        <w:t>written</w:t>
      </w:r>
      <w:r>
        <w:rPr>
          <w:spacing w:val="-3"/>
          <w:sz w:val="18"/>
        </w:rPr>
        <w:t xml:space="preserve"> </w:t>
      </w:r>
      <w:r>
        <w:rPr>
          <w:sz w:val="18"/>
        </w:rPr>
        <w:t>submission, paras. 2311-2312</w:t>
      </w:r>
      <w:r>
        <w:rPr>
          <w:spacing w:val="-4"/>
          <w:sz w:val="18"/>
        </w:rPr>
        <w:t xml:space="preserve"> </w:t>
      </w:r>
      <w:r>
        <w:rPr>
          <w:sz w:val="18"/>
        </w:rPr>
        <w:t>("evidences</w:t>
      </w:r>
      <w:r>
        <w:rPr>
          <w:spacing w:val="-2"/>
          <w:sz w:val="18"/>
        </w:rPr>
        <w:t xml:space="preserve"> </w:t>
      </w:r>
      <w:r>
        <w:rPr>
          <w:sz w:val="18"/>
        </w:rPr>
        <w:t>the</w:t>
      </w:r>
      <w:r>
        <w:rPr>
          <w:spacing w:val="-7"/>
          <w:sz w:val="18"/>
        </w:rPr>
        <w:t xml:space="preserve"> </w:t>
      </w:r>
      <w:r>
        <w:rPr>
          <w:sz w:val="18"/>
        </w:rPr>
        <w:t>fact</w:t>
      </w:r>
      <w:r>
        <w:rPr>
          <w:spacing w:val="-1"/>
          <w:sz w:val="18"/>
        </w:rPr>
        <w:t xml:space="preserve"> </w:t>
      </w:r>
      <w:r>
        <w:rPr>
          <w:sz w:val="18"/>
        </w:rPr>
        <w:t>that</w:t>
      </w:r>
      <w:r>
        <w:rPr>
          <w:spacing w:val="-6"/>
          <w:sz w:val="18"/>
        </w:rPr>
        <w:t xml:space="preserve"> </w:t>
      </w:r>
      <w:r>
        <w:rPr>
          <w:sz w:val="18"/>
        </w:rPr>
        <w:t>MOFCOM duly</w:t>
      </w:r>
      <w:r>
        <w:rPr>
          <w:spacing w:val="-4"/>
          <w:sz w:val="18"/>
        </w:rPr>
        <w:t xml:space="preserve"> </w:t>
      </w:r>
      <w:r>
        <w:rPr>
          <w:sz w:val="18"/>
        </w:rPr>
        <w:t>assessed</w:t>
      </w:r>
      <w:r>
        <w:rPr>
          <w:spacing w:val="-2"/>
          <w:sz w:val="18"/>
        </w:rPr>
        <w:t xml:space="preserve"> </w:t>
      </w:r>
      <w:r>
        <w:rPr>
          <w:sz w:val="18"/>
        </w:rPr>
        <w:t>whether</w:t>
      </w:r>
      <w:r>
        <w:rPr>
          <w:spacing w:val="-4"/>
          <w:sz w:val="18"/>
        </w:rPr>
        <w:t xml:space="preserve"> </w:t>
      </w:r>
      <w:r>
        <w:rPr>
          <w:sz w:val="18"/>
        </w:rPr>
        <w:t>there</w:t>
      </w:r>
      <w:r>
        <w:rPr>
          <w:spacing w:val="-2"/>
          <w:sz w:val="18"/>
        </w:rPr>
        <w:t xml:space="preserve"> </w:t>
      </w:r>
      <w:r>
        <w:rPr>
          <w:sz w:val="18"/>
        </w:rPr>
        <w:t>were circumstances due to which the information could not be summarized").</w:t>
      </w:r>
    </w:p>
    <w:p w14:paraId="4FBA5A80" w14:textId="77777777" w:rsidR="00BD462C" w:rsidRDefault="00033D0F">
      <w:pPr>
        <w:spacing w:before="2"/>
        <w:ind w:left="135"/>
        <w:rPr>
          <w:sz w:val="18"/>
        </w:rPr>
      </w:pPr>
      <w:bookmarkStart w:id="1482" w:name="_bookmark1276"/>
      <w:bookmarkEnd w:id="1482"/>
      <w:r>
        <w:rPr>
          <w:position w:val="5"/>
          <w:sz w:val="12"/>
        </w:rPr>
        <w:t>1100</w:t>
      </w:r>
      <w:r>
        <w:rPr>
          <w:spacing w:val="15"/>
          <w:position w:val="5"/>
          <w:sz w:val="12"/>
        </w:rPr>
        <w:t xml:space="preserve"> </w:t>
      </w:r>
      <w:r>
        <w:rPr>
          <w:sz w:val="18"/>
        </w:rPr>
        <w:t>Appellate</w:t>
      </w:r>
      <w:r>
        <w:rPr>
          <w:spacing w:val="-9"/>
          <w:sz w:val="18"/>
        </w:rPr>
        <w:t xml:space="preserve"> </w:t>
      </w:r>
      <w:r>
        <w:rPr>
          <w:sz w:val="18"/>
        </w:rPr>
        <w:t>Body</w:t>
      </w:r>
      <w:r>
        <w:rPr>
          <w:spacing w:val="-5"/>
          <w:sz w:val="18"/>
        </w:rPr>
        <w:t xml:space="preserve"> </w:t>
      </w:r>
      <w:r>
        <w:rPr>
          <w:sz w:val="18"/>
        </w:rPr>
        <w:t>Report,</w:t>
      </w:r>
      <w:r>
        <w:rPr>
          <w:spacing w:val="-2"/>
          <w:sz w:val="18"/>
        </w:rPr>
        <w:t xml:space="preserve"> </w:t>
      </w:r>
      <w:r>
        <w:rPr>
          <w:i/>
          <w:sz w:val="18"/>
        </w:rPr>
        <w:t>EC</w:t>
      </w:r>
      <w:r>
        <w:rPr>
          <w:i/>
          <w:spacing w:val="-4"/>
          <w:sz w:val="18"/>
        </w:rPr>
        <w:t xml:space="preserve"> </w:t>
      </w:r>
      <w:r>
        <w:rPr>
          <w:i/>
          <w:sz w:val="18"/>
        </w:rPr>
        <w:t>– Fasteners</w:t>
      </w:r>
      <w:r>
        <w:rPr>
          <w:i/>
          <w:spacing w:val="-3"/>
          <w:sz w:val="18"/>
        </w:rPr>
        <w:t xml:space="preserve"> </w:t>
      </w:r>
      <w:r>
        <w:rPr>
          <w:i/>
          <w:sz w:val="18"/>
        </w:rPr>
        <w:t>(China)</w:t>
      </w:r>
      <w:r>
        <w:rPr>
          <w:sz w:val="18"/>
        </w:rPr>
        <w:t>,</w:t>
      </w:r>
      <w:r>
        <w:rPr>
          <w:spacing w:val="-2"/>
          <w:sz w:val="18"/>
        </w:rPr>
        <w:t xml:space="preserve"> </w:t>
      </w:r>
      <w:r>
        <w:rPr>
          <w:sz w:val="18"/>
        </w:rPr>
        <w:t>para.</w:t>
      </w:r>
      <w:r>
        <w:rPr>
          <w:spacing w:val="2"/>
          <w:sz w:val="18"/>
        </w:rPr>
        <w:t xml:space="preserve"> </w:t>
      </w:r>
      <w:r>
        <w:rPr>
          <w:spacing w:val="-4"/>
          <w:sz w:val="18"/>
        </w:rPr>
        <w:t>544.</w:t>
      </w:r>
    </w:p>
    <w:p w14:paraId="3B2EC701" w14:textId="77777777" w:rsidR="00BD462C" w:rsidRDefault="00BD462C">
      <w:pPr>
        <w:rPr>
          <w:sz w:val="18"/>
        </w:rPr>
        <w:sectPr w:rsidR="00BD462C">
          <w:pgSz w:w="11910" w:h="16840"/>
          <w:pgMar w:top="860" w:right="500" w:bottom="780" w:left="1280" w:header="566" w:footer="590" w:gutter="0"/>
          <w:cols w:space="720"/>
        </w:sectPr>
      </w:pPr>
    </w:p>
    <w:p w14:paraId="0C95376D"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537BFDB4"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56C0C991"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3D019E16" w14:textId="77777777" w:rsidR="00BD462C" w:rsidRDefault="00033D0F">
      <w:pPr>
        <w:pStyle w:val="BodyText"/>
        <w:spacing w:before="102" w:line="357" w:lineRule="auto"/>
        <w:ind w:left="135" w:right="912"/>
      </w:pPr>
      <w:r>
        <w:t>confidential</w:t>
      </w:r>
      <w:r>
        <w:rPr>
          <w:spacing w:val="-4"/>
        </w:rPr>
        <w:t xml:space="preserve"> </w:t>
      </w:r>
      <w:r>
        <w:t>without</w:t>
      </w:r>
      <w:r>
        <w:rPr>
          <w:spacing w:val="-6"/>
        </w:rPr>
        <w:t xml:space="preserve"> </w:t>
      </w:r>
      <w:r>
        <w:t>either</w:t>
      </w:r>
      <w:r>
        <w:rPr>
          <w:spacing w:val="-9"/>
        </w:rPr>
        <w:t xml:space="preserve"> </w:t>
      </w:r>
      <w:r>
        <w:t>(i)</w:t>
      </w:r>
      <w:r>
        <w:rPr>
          <w:spacing w:val="-8"/>
        </w:rPr>
        <w:t xml:space="preserve"> </w:t>
      </w:r>
      <w:r>
        <w:t>requiring</w:t>
      </w:r>
      <w:r>
        <w:rPr>
          <w:spacing w:val="-5"/>
        </w:rPr>
        <w:t xml:space="preserve"> </w:t>
      </w:r>
      <w:r>
        <w:t>"good</w:t>
      </w:r>
      <w:r>
        <w:rPr>
          <w:spacing w:val="-8"/>
        </w:rPr>
        <w:t xml:space="preserve"> </w:t>
      </w:r>
      <w:r>
        <w:t>cause"</w:t>
      </w:r>
      <w:r>
        <w:rPr>
          <w:spacing w:val="-7"/>
        </w:rPr>
        <w:t xml:space="preserve"> </w:t>
      </w:r>
      <w:r>
        <w:t>to</w:t>
      </w:r>
      <w:r>
        <w:rPr>
          <w:spacing w:val="-9"/>
        </w:rPr>
        <w:t xml:space="preserve"> </w:t>
      </w:r>
      <w:r>
        <w:t>be</w:t>
      </w:r>
      <w:r>
        <w:rPr>
          <w:spacing w:val="-6"/>
        </w:rPr>
        <w:t xml:space="preserve"> </w:t>
      </w:r>
      <w:r>
        <w:t>shown,</w:t>
      </w:r>
      <w:r>
        <w:rPr>
          <w:spacing w:val="-4"/>
        </w:rPr>
        <w:t xml:space="preserve"> </w:t>
      </w:r>
      <w:r>
        <w:t>or</w:t>
      </w:r>
      <w:r>
        <w:rPr>
          <w:spacing w:val="-9"/>
        </w:rPr>
        <w:t xml:space="preserve"> </w:t>
      </w:r>
      <w:r>
        <w:t>(ii)</w:t>
      </w:r>
      <w:r>
        <w:rPr>
          <w:spacing w:val="-8"/>
        </w:rPr>
        <w:t xml:space="preserve"> </w:t>
      </w:r>
      <w:r>
        <w:t>objectively</w:t>
      </w:r>
      <w:r>
        <w:rPr>
          <w:spacing w:val="-5"/>
        </w:rPr>
        <w:t xml:space="preserve"> </w:t>
      </w:r>
      <w:r>
        <w:t>assessing whether "good cause" was shown.</w:t>
      </w:r>
      <w:hyperlink w:anchor="_bookmark1277" w:history="1">
        <w:r>
          <w:rPr>
            <w:vertAlign w:val="superscript"/>
          </w:rPr>
          <w:t>1101</w:t>
        </w:r>
      </w:hyperlink>
    </w:p>
    <w:p w14:paraId="021A86BD" w14:textId="77777777" w:rsidR="00BD462C" w:rsidRDefault="00BD462C">
      <w:pPr>
        <w:pStyle w:val="BodyText"/>
        <w:spacing w:before="3"/>
        <w:rPr>
          <w:sz w:val="9"/>
        </w:rPr>
      </w:pPr>
    </w:p>
    <w:p w14:paraId="4EAFC4D8" w14:textId="15467529" w:rsidR="00BD462C" w:rsidRDefault="000923F6">
      <w:pPr>
        <w:pStyle w:val="BodyText"/>
        <w:spacing w:before="56" w:line="360" w:lineRule="auto"/>
        <w:ind w:left="136" w:right="912"/>
        <w:jc w:val="both"/>
      </w:pPr>
      <w:r>
        <w:rPr>
          <w:noProof/>
        </w:rPr>
        <w:t>717.</w:t>
      </w:r>
      <w:r w:rsidR="00033D0F">
        <w:rPr>
          <w:rFonts w:ascii="Times New Roman"/>
          <w:spacing w:val="80"/>
          <w:position w:val="1"/>
          <w:sz w:val="20"/>
        </w:rPr>
        <w:t xml:space="preserve"> </w:t>
      </w:r>
      <w:r w:rsidR="00033D0F">
        <w:rPr>
          <w:position w:val="1"/>
        </w:rPr>
        <w:t xml:space="preserve">First, China appears to allege that "good cause" was shown in respect of </w:t>
      </w:r>
      <w:r w:rsidR="00033D0F">
        <w:rPr>
          <w:i/>
          <w:position w:val="1"/>
        </w:rPr>
        <w:t xml:space="preserve">all </w:t>
      </w:r>
      <w:r w:rsidR="00033D0F">
        <w:rPr>
          <w:position w:val="1"/>
        </w:rPr>
        <w:t xml:space="preserve">of the </w:t>
      </w:r>
      <w:r w:rsidR="00033D0F">
        <w:t>confidentiality</w:t>
      </w:r>
      <w:r w:rsidR="00033D0F">
        <w:rPr>
          <w:spacing w:val="-6"/>
        </w:rPr>
        <w:t xml:space="preserve"> </w:t>
      </w:r>
      <w:r w:rsidR="00033D0F">
        <w:t>requests</w:t>
      </w:r>
      <w:r w:rsidR="00033D0F">
        <w:rPr>
          <w:spacing w:val="-6"/>
        </w:rPr>
        <w:t xml:space="preserve"> </w:t>
      </w:r>
      <w:r w:rsidR="00033D0F">
        <w:t>simply</w:t>
      </w:r>
      <w:r w:rsidR="00033D0F">
        <w:rPr>
          <w:spacing w:val="-6"/>
        </w:rPr>
        <w:t xml:space="preserve"> </w:t>
      </w:r>
      <w:r w:rsidR="00033D0F">
        <w:t>because</w:t>
      </w:r>
      <w:r w:rsidR="00033D0F">
        <w:rPr>
          <w:spacing w:val="-7"/>
        </w:rPr>
        <w:t xml:space="preserve"> </w:t>
      </w:r>
      <w:r w:rsidR="00033D0F">
        <w:t>both</w:t>
      </w:r>
      <w:r w:rsidR="00033D0F">
        <w:rPr>
          <w:spacing w:val="-4"/>
        </w:rPr>
        <w:t xml:space="preserve"> </w:t>
      </w:r>
      <w:r w:rsidR="00033D0F">
        <w:t>of</w:t>
      </w:r>
      <w:r w:rsidR="00033D0F">
        <w:rPr>
          <w:spacing w:val="-4"/>
        </w:rPr>
        <w:t xml:space="preserve"> </w:t>
      </w:r>
      <w:r w:rsidR="00033D0F">
        <w:t>the</w:t>
      </w:r>
      <w:r w:rsidR="00033D0F">
        <w:rPr>
          <w:spacing w:val="-7"/>
        </w:rPr>
        <w:t xml:space="preserve"> </w:t>
      </w:r>
      <w:r w:rsidR="00033D0F">
        <w:t>companies</w:t>
      </w:r>
      <w:r w:rsidR="00033D0F">
        <w:rPr>
          <w:spacing w:val="-6"/>
        </w:rPr>
        <w:t xml:space="preserve"> </w:t>
      </w:r>
      <w:r w:rsidR="00033D0F">
        <w:t>asserted</w:t>
      </w:r>
      <w:r w:rsidR="00033D0F">
        <w:rPr>
          <w:spacing w:val="-9"/>
        </w:rPr>
        <w:t xml:space="preserve"> </w:t>
      </w:r>
      <w:r w:rsidR="00033D0F">
        <w:t>that</w:t>
      </w:r>
      <w:r w:rsidR="00033D0F">
        <w:rPr>
          <w:spacing w:val="-7"/>
        </w:rPr>
        <w:t xml:space="preserve"> </w:t>
      </w:r>
      <w:r w:rsidR="00033D0F">
        <w:t>the</w:t>
      </w:r>
      <w:r w:rsidR="00033D0F">
        <w:rPr>
          <w:spacing w:val="-3"/>
        </w:rPr>
        <w:t xml:space="preserve"> </w:t>
      </w:r>
      <w:r w:rsidR="00033D0F">
        <w:t>disclosure</w:t>
      </w:r>
      <w:r w:rsidR="00033D0F">
        <w:rPr>
          <w:spacing w:val="-7"/>
        </w:rPr>
        <w:t xml:space="preserve"> </w:t>
      </w:r>
      <w:r w:rsidR="00033D0F">
        <w:t>of the</w:t>
      </w:r>
      <w:r w:rsidR="00033D0F">
        <w:rPr>
          <w:spacing w:val="-14"/>
        </w:rPr>
        <w:t xml:space="preserve"> </w:t>
      </w:r>
      <w:r w:rsidR="00033D0F">
        <w:t>information</w:t>
      </w:r>
      <w:r w:rsidR="00033D0F">
        <w:rPr>
          <w:spacing w:val="-14"/>
        </w:rPr>
        <w:t xml:space="preserve"> </w:t>
      </w:r>
      <w:r w:rsidR="00033D0F">
        <w:t>"will</w:t>
      </w:r>
      <w:r w:rsidR="00033D0F">
        <w:rPr>
          <w:spacing w:val="-13"/>
        </w:rPr>
        <w:t xml:space="preserve"> </w:t>
      </w:r>
      <w:r w:rsidR="00033D0F">
        <w:t>have</w:t>
      </w:r>
      <w:r w:rsidR="00033D0F">
        <w:rPr>
          <w:spacing w:val="-14"/>
        </w:rPr>
        <w:t xml:space="preserve"> </w:t>
      </w:r>
      <w:r w:rsidR="00033D0F">
        <w:t>a</w:t>
      </w:r>
      <w:r w:rsidR="00033D0F">
        <w:rPr>
          <w:spacing w:val="-13"/>
        </w:rPr>
        <w:t xml:space="preserve"> </w:t>
      </w:r>
      <w:r w:rsidR="00033D0F">
        <w:t>severe</w:t>
      </w:r>
      <w:r w:rsidR="00033D0F">
        <w:rPr>
          <w:spacing w:val="-14"/>
        </w:rPr>
        <w:t xml:space="preserve"> </w:t>
      </w:r>
      <w:r w:rsidR="00033D0F">
        <w:t>adverse</w:t>
      </w:r>
      <w:r w:rsidR="00033D0F">
        <w:rPr>
          <w:spacing w:val="-13"/>
        </w:rPr>
        <w:t xml:space="preserve"> </w:t>
      </w:r>
      <w:r w:rsidR="00033D0F">
        <w:t>impact".</w:t>
      </w:r>
      <w:hyperlink w:anchor="_bookmark1278" w:history="1">
        <w:r w:rsidR="00033D0F">
          <w:rPr>
            <w:vertAlign w:val="superscript"/>
          </w:rPr>
          <w:t>1102</w:t>
        </w:r>
      </w:hyperlink>
      <w:r w:rsidR="00033D0F">
        <w:rPr>
          <w:spacing w:val="-14"/>
        </w:rPr>
        <w:t xml:space="preserve"> </w:t>
      </w:r>
      <w:r w:rsidR="00033D0F">
        <w:t>While</w:t>
      </w:r>
      <w:r w:rsidR="00033D0F">
        <w:rPr>
          <w:spacing w:val="-12"/>
        </w:rPr>
        <w:t xml:space="preserve"> </w:t>
      </w:r>
      <w:r w:rsidR="00033D0F">
        <w:t>the</w:t>
      </w:r>
      <w:r w:rsidR="00033D0F">
        <w:rPr>
          <w:spacing w:val="-13"/>
        </w:rPr>
        <w:t xml:space="preserve"> </w:t>
      </w:r>
      <w:r w:rsidR="00033D0F">
        <w:t>risk</w:t>
      </w:r>
      <w:r w:rsidR="00033D0F">
        <w:rPr>
          <w:spacing w:val="-11"/>
        </w:rPr>
        <w:t xml:space="preserve"> </w:t>
      </w:r>
      <w:r w:rsidR="00033D0F">
        <w:t>of</w:t>
      </w:r>
      <w:r w:rsidR="00033D0F">
        <w:rPr>
          <w:spacing w:val="-14"/>
        </w:rPr>
        <w:t xml:space="preserve"> </w:t>
      </w:r>
      <w:r w:rsidR="00033D0F">
        <w:t>such</w:t>
      </w:r>
      <w:r w:rsidR="00033D0F">
        <w:rPr>
          <w:spacing w:val="-14"/>
        </w:rPr>
        <w:t xml:space="preserve"> </w:t>
      </w:r>
      <w:r w:rsidR="00033D0F">
        <w:t>an</w:t>
      </w:r>
      <w:r w:rsidR="00033D0F">
        <w:rPr>
          <w:spacing w:val="-13"/>
        </w:rPr>
        <w:t xml:space="preserve"> </w:t>
      </w:r>
      <w:r w:rsidR="00033D0F">
        <w:t>impact</w:t>
      </w:r>
      <w:r w:rsidR="00033D0F">
        <w:rPr>
          <w:spacing w:val="-11"/>
        </w:rPr>
        <w:t xml:space="preserve"> </w:t>
      </w:r>
      <w:r w:rsidR="00033D0F">
        <w:t>might be a justification</w:t>
      </w:r>
      <w:r w:rsidR="00033D0F">
        <w:rPr>
          <w:spacing w:val="-1"/>
        </w:rPr>
        <w:t xml:space="preserve"> </w:t>
      </w:r>
      <w:r w:rsidR="00033D0F">
        <w:t>for</w:t>
      </w:r>
      <w:r w:rsidR="00033D0F">
        <w:rPr>
          <w:spacing w:val="-1"/>
        </w:rPr>
        <w:t xml:space="preserve"> </w:t>
      </w:r>
      <w:r w:rsidR="00033D0F">
        <w:t>confidential treatment, as Australia noted</w:t>
      </w:r>
      <w:r w:rsidR="00033D0F">
        <w:rPr>
          <w:spacing w:val="-1"/>
        </w:rPr>
        <w:t xml:space="preserve"> </w:t>
      </w:r>
      <w:r w:rsidR="00033D0F">
        <w:t>in</w:t>
      </w:r>
      <w:r w:rsidR="00033D0F">
        <w:rPr>
          <w:spacing w:val="-5"/>
        </w:rPr>
        <w:t xml:space="preserve"> </w:t>
      </w:r>
      <w:r w:rsidR="00033D0F">
        <w:t>its first written</w:t>
      </w:r>
      <w:r w:rsidR="00033D0F">
        <w:rPr>
          <w:spacing w:val="-1"/>
        </w:rPr>
        <w:t xml:space="preserve"> </w:t>
      </w:r>
      <w:r w:rsidR="00033D0F">
        <w:t>submission, MOFCOM's</w:t>
      </w:r>
      <w:r w:rsidR="00033D0F">
        <w:rPr>
          <w:spacing w:val="-6"/>
        </w:rPr>
        <w:t xml:space="preserve"> </w:t>
      </w:r>
      <w:r w:rsidR="00033D0F">
        <w:t>reliance</w:t>
      </w:r>
      <w:r w:rsidR="00033D0F">
        <w:rPr>
          <w:spacing w:val="-7"/>
        </w:rPr>
        <w:t xml:space="preserve"> </w:t>
      </w:r>
      <w:r w:rsidR="00033D0F">
        <w:t>on</w:t>
      </w:r>
      <w:r w:rsidR="00033D0F">
        <w:rPr>
          <w:spacing w:val="-9"/>
        </w:rPr>
        <w:t xml:space="preserve"> </w:t>
      </w:r>
      <w:r w:rsidR="00033D0F">
        <w:t>the</w:t>
      </w:r>
      <w:r w:rsidR="00033D0F">
        <w:rPr>
          <w:spacing w:val="-7"/>
        </w:rPr>
        <w:t xml:space="preserve"> </w:t>
      </w:r>
      <w:r w:rsidR="00033D0F">
        <w:t>formulaic</w:t>
      </w:r>
      <w:r w:rsidR="00033D0F">
        <w:rPr>
          <w:spacing w:val="-8"/>
        </w:rPr>
        <w:t xml:space="preserve"> </w:t>
      </w:r>
      <w:r w:rsidR="00033D0F">
        <w:t>recitation</w:t>
      </w:r>
      <w:r w:rsidR="00033D0F">
        <w:rPr>
          <w:spacing w:val="-9"/>
        </w:rPr>
        <w:t xml:space="preserve"> </w:t>
      </w:r>
      <w:r w:rsidR="00033D0F">
        <w:t>of this</w:t>
      </w:r>
      <w:r w:rsidR="00033D0F">
        <w:rPr>
          <w:spacing w:val="-6"/>
        </w:rPr>
        <w:t xml:space="preserve"> </w:t>
      </w:r>
      <w:r w:rsidR="00033D0F">
        <w:t>phrase</w:t>
      </w:r>
      <w:r w:rsidR="00033D0F">
        <w:rPr>
          <w:spacing w:val="-7"/>
        </w:rPr>
        <w:t xml:space="preserve"> </w:t>
      </w:r>
      <w:r w:rsidR="00033D0F">
        <w:t>to</w:t>
      </w:r>
      <w:r w:rsidR="00033D0F">
        <w:rPr>
          <w:spacing w:val="-10"/>
        </w:rPr>
        <w:t xml:space="preserve"> </w:t>
      </w:r>
      <w:r w:rsidR="00033D0F">
        <w:t>uphold</w:t>
      </w:r>
      <w:r w:rsidR="00033D0F">
        <w:rPr>
          <w:spacing w:val="-9"/>
        </w:rPr>
        <w:t xml:space="preserve"> </w:t>
      </w:r>
      <w:r w:rsidR="00033D0F">
        <w:t>confidentiality</w:t>
      </w:r>
      <w:r w:rsidR="00033D0F">
        <w:rPr>
          <w:spacing w:val="-6"/>
        </w:rPr>
        <w:t xml:space="preserve"> </w:t>
      </w:r>
      <w:r w:rsidR="00033D0F">
        <w:t>claims made</w:t>
      </w:r>
      <w:r w:rsidR="00033D0F">
        <w:rPr>
          <w:spacing w:val="-8"/>
        </w:rPr>
        <w:t xml:space="preserve"> </w:t>
      </w:r>
      <w:r w:rsidR="00033D0F">
        <w:t>by</w:t>
      </w:r>
      <w:r w:rsidR="00033D0F">
        <w:rPr>
          <w:spacing w:val="-7"/>
        </w:rPr>
        <w:t xml:space="preserve"> </w:t>
      </w:r>
      <w:r w:rsidR="00033D0F">
        <w:t>both</w:t>
      </w:r>
      <w:r w:rsidR="00033D0F">
        <w:rPr>
          <w:spacing w:val="-5"/>
        </w:rPr>
        <w:t xml:space="preserve"> </w:t>
      </w:r>
      <w:r w:rsidR="00033D0F">
        <w:t>companies</w:t>
      </w:r>
      <w:r w:rsidR="00033D0F">
        <w:rPr>
          <w:spacing w:val="-7"/>
        </w:rPr>
        <w:t xml:space="preserve"> </w:t>
      </w:r>
      <w:r w:rsidR="00033D0F">
        <w:t>across</w:t>
      </w:r>
      <w:r w:rsidR="00033D0F">
        <w:rPr>
          <w:spacing w:val="-7"/>
        </w:rPr>
        <w:t xml:space="preserve"> </w:t>
      </w:r>
      <w:r w:rsidR="00033D0F">
        <w:t>a</w:t>
      </w:r>
      <w:r w:rsidR="00033D0F">
        <w:rPr>
          <w:spacing w:val="-9"/>
        </w:rPr>
        <w:t xml:space="preserve"> </w:t>
      </w:r>
      <w:r w:rsidR="00033D0F">
        <w:t>wide</w:t>
      </w:r>
      <w:r w:rsidR="00033D0F">
        <w:rPr>
          <w:spacing w:val="-8"/>
        </w:rPr>
        <w:t xml:space="preserve"> </w:t>
      </w:r>
      <w:r w:rsidR="00033D0F">
        <w:t>range</w:t>
      </w:r>
      <w:r w:rsidR="00033D0F">
        <w:rPr>
          <w:spacing w:val="-8"/>
        </w:rPr>
        <w:t xml:space="preserve"> </w:t>
      </w:r>
      <w:r w:rsidR="00033D0F">
        <w:t>of</w:t>
      </w:r>
      <w:r w:rsidR="00033D0F">
        <w:rPr>
          <w:spacing w:val="-5"/>
        </w:rPr>
        <w:t xml:space="preserve"> </w:t>
      </w:r>
      <w:r w:rsidR="00033D0F">
        <w:t>materials</w:t>
      </w:r>
      <w:r w:rsidR="00033D0F">
        <w:rPr>
          <w:spacing w:val="-7"/>
        </w:rPr>
        <w:t xml:space="preserve"> </w:t>
      </w:r>
      <w:r w:rsidR="00033D0F">
        <w:t>and</w:t>
      </w:r>
      <w:r w:rsidR="00033D0F">
        <w:rPr>
          <w:spacing w:val="-10"/>
        </w:rPr>
        <w:t xml:space="preserve"> </w:t>
      </w:r>
      <w:r w:rsidR="00033D0F">
        <w:t>information</w:t>
      </w:r>
      <w:r w:rsidR="00033D0F">
        <w:rPr>
          <w:spacing w:val="-5"/>
        </w:rPr>
        <w:t xml:space="preserve"> </w:t>
      </w:r>
      <w:r w:rsidR="00033D0F">
        <w:t>(from</w:t>
      </w:r>
      <w:r w:rsidR="00033D0F">
        <w:rPr>
          <w:spacing w:val="-8"/>
        </w:rPr>
        <w:t xml:space="preserve"> </w:t>
      </w:r>
      <w:r w:rsidR="00033D0F">
        <w:t>"brochures" to audit reports, over the entirety of each of the annexures) indicates that there was no objective assessment of whether "good cause" had been shown.</w:t>
      </w:r>
    </w:p>
    <w:p w14:paraId="481F778D" w14:textId="77777777" w:rsidR="00BD462C" w:rsidRDefault="00BD462C">
      <w:pPr>
        <w:pStyle w:val="BodyText"/>
        <w:spacing w:before="7"/>
        <w:rPr>
          <w:sz w:val="8"/>
        </w:rPr>
      </w:pPr>
    </w:p>
    <w:p w14:paraId="7A3A27F9" w14:textId="6C9117AF" w:rsidR="00BD462C" w:rsidRDefault="000923F6">
      <w:pPr>
        <w:pStyle w:val="BodyText"/>
        <w:spacing w:before="56" w:line="360" w:lineRule="auto"/>
        <w:ind w:left="135" w:right="913"/>
        <w:jc w:val="both"/>
      </w:pPr>
      <w:r>
        <w:rPr>
          <w:noProof/>
        </w:rPr>
        <w:t>718.</w:t>
      </w:r>
      <w:r w:rsidR="00033D0F">
        <w:rPr>
          <w:rFonts w:ascii="Times New Roman"/>
          <w:spacing w:val="80"/>
          <w:position w:val="1"/>
          <w:sz w:val="20"/>
        </w:rPr>
        <w:t xml:space="preserve"> </w:t>
      </w:r>
      <w:r w:rsidR="00033D0F">
        <w:rPr>
          <w:position w:val="1"/>
        </w:rPr>
        <w:t>Second,</w:t>
      </w:r>
      <w:r w:rsidR="00033D0F">
        <w:rPr>
          <w:spacing w:val="-6"/>
          <w:position w:val="1"/>
        </w:rPr>
        <w:t xml:space="preserve"> </w:t>
      </w:r>
      <w:r w:rsidR="00033D0F">
        <w:rPr>
          <w:position w:val="1"/>
        </w:rPr>
        <w:t>China</w:t>
      </w:r>
      <w:r w:rsidR="00033D0F">
        <w:rPr>
          <w:spacing w:val="-8"/>
          <w:position w:val="1"/>
        </w:rPr>
        <w:t xml:space="preserve"> </w:t>
      </w:r>
      <w:r w:rsidR="00033D0F">
        <w:rPr>
          <w:position w:val="1"/>
        </w:rPr>
        <w:t>asserts</w:t>
      </w:r>
      <w:r w:rsidR="00033D0F">
        <w:rPr>
          <w:spacing w:val="-11"/>
          <w:position w:val="1"/>
        </w:rPr>
        <w:t xml:space="preserve"> </w:t>
      </w:r>
      <w:r w:rsidR="00033D0F">
        <w:rPr>
          <w:position w:val="1"/>
        </w:rPr>
        <w:t>that</w:t>
      </w:r>
      <w:r w:rsidR="00033D0F">
        <w:rPr>
          <w:spacing w:val="-8"/>
          <w:position w:val="1"/>
        </w:rPr>
        <w:t xml:space="preserve"> </w:t>
      </w:r>
      <w:r w:rsidR="00033D0F">
        <w:rPr>
          <w:position w:val="1"/>
        </w:rPr>
        <w:t>the</w:t>
      </w:r>
      <w:r w:rsidR="00033D0F">
        <w:rPr>
          <w:spacing w:val="-8"/>
          <w:position w:val="1"/>
        </w:rPr>
        <w:t xml:space="preserve"> </w:t>
      </w:r>
      <w:r w:rsidR="00033D0F">
        <w:rPr>
          <w:position w:val="1"/>
        </w:rPr>
        <w:t>confidentiality</w:t>
      </w:r>
      <w:r w:rsidR="00033D0F">
        <w:rPr>
          <w:spacing w:val="-7"/>
          <w:position w:val="1"/>
        </w:rPr>
        <w:t xml:space="preserve"> </w:t>
      </w:r>
      <w:r w:rsidR="00033D0F">
        <w:rPr>
          <w:position w:val="1"/>
        </w:rPr>
        <w:t>requests</w:t>
      </w:r>
      <w:r w:rsidR="00033D0F">
        <w:rPr>
          <w:spacing w:val="-7"/>
          <w:position w:val="1"/>
        </w:rPr>
        <w:t xml:space="preserve"> </w:t>
      </w:r>
      <w:r w:rsidR="00033D0F">
        <w:rPr>
          <w:position w:val="1"/>
        </w:rPr>
        <w:t>at</w:t>
      </w:r>
      <w:r w:rsidR="00033D0F">
        <w:rPr>
          <w:spacing w:val="-8"/>
          <w:position w:val="1"/>
        </w:rPr>
        <w:t xml:space="preserve"> </w:t>
      </w:r>
      <w:r w:rsidR="00033D0F">
        <w:rPr>
          <w:position w:val="1"/>
        </w:rPr>
        <w:t>issue</w:t>
      </w:r>
      <w:r w:rsidR="00033D0F">
        <w:rPr>
          <w:spacing w:val="-8"/>
          <w:position w:val="1"/>
        </w:rPr>
        <w:t xml:space="preserve"> </w:t>
      </w:r>
      <w:r w:rsidR="00033D0F">
        <w:rPr>
          <w:position w:val="1"/>
        </w:rPr>
        <w:t>provided</w:t>
      </w:r>
      <w:r w:rsidR="00033D0F">
        <w:rPr>
          <w:spacing w:val="-10"/>
          <w:position w:val="1"/>
        </w:rPr>
        <w:t xml:space="preserve"> </w:t>
      </w:r>
      <w:r w:rsidR="00033D0F">
        <w:rPr>
          <w:position w:val="1"/>
        </w:rPr>
        <w:t>"much</w:t>
      </w:r>
      <w:r w:rsidR="00033D0F">
        <w:rPr>
          <w:spacing w:val="-10"/>
          <w:position w:val="1"/>
        </w:rPr>
        <w:t xml:space="preserve"> </w:t>
      </w:r>
      <w:r w:rsidR="00033D0F">
        <w:rPr>
          <w:position w:val="1"/>
        </w:rPr>
        <w:t xml:space="preserve">more </w:t>
      </w:r>
      <w:r w:rsidR="00033D0F">
        <w:t>information and context regarding the companies' need for confidential treatment" than Australia acknowledged.</w:t>
      </w:r>
      <w:hyperlink w:anchor="_bookmark1279" w:history="1">
        <w:r w:rsidR="00033D0F">
          <w:rPr>
            <w:vertAlign w:val="superscript"/>
          </w:rPr>
          <w:t>1103</w:t>
        </w:r>
      </w:hyperlink>
      <w:r w:rsidR="00033D0F">
        <w:t xml:space="preserve"> However, as the Panel will observe when it reviews the underlying documents, the phrases that China alleges provided "much more information" in the</w:t>
      </w:r>
      <w:r w:rsidR="00033D0F">
        <w:rPr>
          <w:spacing w:val="-6"/>
        </w:rPr>
        <w:t xml:space="preserve"> </w:t>
      </w:r>
      <w:r w:rsidR="00033D0F">
        <w:t>requests</w:t>
      </w:r>
      <w:r w:rsidR="00033D0F">
        <w:rPr>
          <w:spacing w:val="-5"/>
        </w:rPr>
        <w:t xml:space="preserve"> </w:t>
      </w:r>
      <w:r w:rsidR="00033D0F">
        <w:t>for</w:t>
      </w:r>
      <w:r w:rsidR="00033D0F">
        <w:rPr>
          <w:spacing w:val="-9"/>
        </w:rPr>
        <w:t xml:space="preserve"> </w:t>
      </w:r>
      <w:r w:rsidR="00033D0F">
        <w:t>confidentiality</w:t>
      </w:r>
      <w:r w:rsidR="00033D0F">
        <w:rPr>
          <w:spacing w:val="-5"/>
        </w:rPr>
        <w:t xml:space="preserve"> </w:t>
      </w:r>
      <w:r w:rsidR="00033D0F">
        <w:t>are</w:t>
      </w:r>
      <w:r w:rsidR="00033D0F">
        <w:rPr>
          <w:spacing w:val="-6"/>
        </w:rPr>
        <w:t xml:space="preserve"> </w:t>
      </w:r>
      <w:r w:rsidR="00033D0F">
        <w:t>little</w:t>
      </w:r>
      <w:r w:rsidR="00033D0F">
        <w:rPr>
          <w:spacing w:val="-6"/>
        </w:rPr>
        <w:t xml:space="preserve"> </w:t>
      </w:r>
      <w:r w:rsidR="00033D0F">
        <w:t>more</w:t>
      </w:r>
      <w:r w:rsidR="00033D0F">
        <w:rPr>
          <w:spacing w:val="-6"/>
        </w:rPr>
        <w:t xml:space="preserve"> </w:t>
      </w:r>
      <w:r w:rsidR="00033D0F">
        <w:t>than</w:t>
      </w:r>
      <w:r w:rsidR="00033D0F">
        <w:rPr>
          <w:spacing w:val="-8"/>
        </w:rPr>
        <w:t xml:space="preserve"> </w:t>
      </w:r>
      <w:r w:rsidR="00033D0F">
        <w:t>paraphrasing</w:t>
      </w:r>
      <w:r w:rsidR="00033D0F">
        <w:rPr>
          <w:spacing w:val="-5"/>
        </w:rPr>
        <w:t xml:space="preserve"> </w:t>
      </w:r>
      <w:r w:rsidR="00033D0F">
        <w:t>of</w:t>
      </w:r>
      <w:r w:rsidR="00033D0F">
        <w:rPr>
          <w:spacing w:val="-3"/>
        </w:rPr>
        <w:t xml:space="preserve"> </w:t>
      </w:r>
      <w:r w:rsidR="00033D0F">
        <w:t>the</w:t>
      </w:r>
      <w:r w:rsidR="00033D0F">
        <w:rPr>
          <w:spacing w:val="-2"/>
        </w:rPr>
        <w:t xml:space="preserve"> </w:t>
      </w:r>
      <w:r w:rsidR="00033D0F">
        <w:t>question</w:t>
      </w:r>
      <w:r w:rsidR="00033D0F">
        <w:rPr>
          <w:spacing w:val="-8"/>
        </w:rPr>
        <w:t xml:space="preserve"> </w:t>
      </w:r>
      <w:r w:rsidR="00033D0F">
        <w:t>to</w:t>
      </w:r>
      <w:r w:rsidR="00033D0F">
        <w:rPr>
          <w:spacing w:val="-8"/>
        </w:rPr>
        <w:t xml:space="preserve"> </w:t>
      </w:r>
      <w:r w:rsidR="00033D0F">
        <w:t>which</w:t>
      </w:r>
      <w:r w:rsidR="00033D0F">
        <w:rPr>
          <w:spacing w:val="-3"/>
        </w:rPr>
        <w:t xml:space="preserve"> </w:t>
      </w:r>
      <w:r w:rsidR="00033D0F">
        <w:t>the confidentiality request is made in response.</w:t>
      </w:r>
    </w:p>
    <w:p w14:paraId="241C6DCD" w14:textId="77777777" w:rsidR="00BD462C" w:rsidRDefault="00BD462C">
      <w:pPr>
        <w:pStyle w:val="BodyText"/>
        <w:spacing w:before="3"/>
        <w:rPr>
          <w:sz w:val="8"/>
        </w:rPr>
      </w:pPr>
    </w:p>
    <w:p w14:paraId="71AD0C24" w14:textId="5C2DC167" w:rsidR="00BD462C" w:rsidRDefault="000923F6">
      <w:pPr>
        <w:pStyle w:val="BodyText"/>
        <w:spacing w:before="56" w:line="360" w:lineRule="auto"/>
        <w:ind w:left="135" w:right="911"/>
        <w:jc w:val="both"/>
      </w:pPr>
      <w:r>
        <w:rPr>
          <w:noProof/>
        </w:rPr>
        <w:t>719.</w:t>
      </w:r>
      <w:r w:rsidR="00033D0F">
        <w:rPr>
          <w:rFonts w:ascii="Times New Roman" w:hAnsi="Times New Roman"/>
          <w:spacing w:val="80"/>
          <w:position w:val="1"/>
          <w:sz w:val="20"/>
        </w:rPr>
        <w:t xml:space="preserve">  </w:t>
      </w:r>
      <w:r w:rsidR="00033D0F">
        <w:rPr>
          <w:position w:val="1"/>
        </w:rPr>
        <w:t>For</w:t>
      </w:r>
      <w:r w:rsidR="00033D0F">
        <w:rPr>
          <w:spacing w:val="-10"/>
          <w:position w:val="1"/>
        </w:rPr>
        <w:t xml:space="preserve"> </w:t>
      </w:r>
      <w:r w:rsidR="00033D0F">
        <w:rPr>
          <w:position w:val="1"/>
        </w:rPr>
        <w:t>example,</w:t>
      </w:r>
      <w:r w:rsidR="00033D0F">
        <w:rPr>
          <w:spacing w:val="-5"/>
          <w:position w:val="1"/>
        </w:rPr>
        <w:t xml:space="preserve"> </w:t>
      </w:r>
      <w:r w:rsidR="00033D0F">
        <w:rPr>
          <w:position w:val="1"/>
        </w:rPr>
        <w:t>China</w:t>
      </w:r>
      <w:r w:rsidR="00033D0F">
        <w:rPr>
          <w:spacing w:val="-8"/>
          <w:position w:val="1"/>
        </w:rPr>
        <w:t xml:space="preserve"> </w:t>
      </w:r>
      <w:r w:rsidR="00033D0F">
        <w:rPr>
          <w:position w:val="1"/>
        </w:rPr>
        <w:t>considers</w:t>
      </w:r>
      <w:r w:rsidR="00033D0F">
        <w:rPr>
          <w:spacing w:val="-6"/>
          <w:position w:val="1"/>
        </w:rPr>
        <w:t xml:space="preserve"> </w:t>
      </w:r>
      <w:r w:rsidR="00033D0F">
        <w:rPr>
          <w:position w:val="1"/>
        </w:rPr>
        <w:t>that</w:t>
      </w:r>
      <w:r w:rsidR="00033D0F">
        <w:rPr>
          <w:spacing w:val="-7"/>
          <w:position w:val="1"/>
        </w:rPr>
        <w:t xml:space="preserve"> </w:t>
      </w:r>
      <w:r w:rsidR="00033D0F">
        <w:rPr>
          <w:position w:val="1"/>
        </w:rPr>
        <w:t>the</w:t>
      </w:r>
      <w:r w:rsidR="00033D0F">
        <w:rPr>
          <w:spacing w:val="-3"/>
          <w:position w:val="1"/>
        </w:rPr>
        <w:t xml:space="preserve"> </w:t>
      </w:r>
      <w:r w:rsidR="00033D0F">
        <w:rPr>
          <w:position w:val="1"/>
        </w:rPr>
        <w:t>request</w:t>
      </w:r>
      <w:r w:rsidR="00033D0F">
        <w:rPr>
          <w:spacing w:val="-7"/>
          <w:position w:val="1"/>
        </w:rPr>
        <w:t xml:space="preserve"> </w:t>
      </w:r>
      <w:r w:rsidR="00033D0F">
        <w:rPr>
          <w:position w:val="1"/>
        </w:rPr>
        <w:t>for confidential</w:t>
      </w:r>
      <w:r w:rsidR="00033D0F">
        <w:rPr>
          <w:spacing w:val="-5"/>
          <w:position w:val="1"/>
        </w:rPr>
        <w:t xml:space="preserve"> </w:t>
      </w:r>
      <w:r w:rsidR="00033D0F">
        <w:rPr>
          <w:position w:val="1"/>
        </w:rPr>
        <w:t>treatment</w:t>
      </w:r>
      <w:r w:rsidR="00033D0F">
        <w:rPr>
          <w:spacing w:val="-7"/>
          <w:position w:val="1"/>
        </w:rPr>
        <w:t xml:space="preserve"> </w:t>
      </w:r>
      <w:r w:rsidR="00033D0F">
        <w:rPr>
          <w:position w:val="1"/>
        </w:rPr>
        <w:t>over</w:t>
      </w:r>
      <w:r w:rsidR="00033D0F">
        <w:rPr>
          <w:spacing w:val="-10"/>
          <w:position w:val="1"/>
        </w:rPr>
        <w:t xml:space="preserve"> </w:t>
      </w:r>
      <w:r w:rsidR="00033D0F">
        <w:rPr>
          <w:position w:val="1"/>
        </w:rPr>
        <w:t xml:space="preserve">Annex </w:t>
      </w:r>
      <w:r w:rsidR="00033D0F">
        <w:t>II made by each domestic producer provides "much more information and context" because it</w:t>
      </w:r>
      <w:r w:rsidR="00033D0F">
        <w:rPr>
          <w:spacing w:val="-1"/>
        </w:rPr>
        <w:t xml:space="preserve"> </w:t>
      </w:r>
      <w:r w:rsidR="00033D0F">
        <w:t>clarifies that</w:t>
      </w:r>
      <w:r w:rsidR="00033D0F">
        <w:rPr>
          <w:spacing w:val="-1"/>
        </w:rPr>
        <w:t xml:space="preserve"> </w:t>
      </w:r>
      <w:r w:rsidR="00033D0F">
        <w:t>"the</w:t>
      </w:r>
      <w:r w:rsidR="00033D0F">
        <w:rPr>
          <w:spacing w:val="-2"/>
        </w:rPr>
        <w:t xml:space="preserve"> </w:t>
      </w:r>
      <w:r w:rsidR="00033D0F">
        <w:t>information</w:t>
      </w:r>
      <w:r w:rsidR="00033D0F">
        <w:rPr>
          <w:spacing w:val="-3"/>
        </w:rPr>
        <w:t xml:space="preserve"> </w:t>
      </w:r>
      <w:r w:rsidR="00033D0F">
        <w:t>at issue</w:t>
      </w:r>
      <w:r w:rsidR="00033D0F">
        <w:rPr>
          <w:spacing w:val="-2"/>
        </w:rPr>
        <w:t xml:space="preserve"> </w:t>
      </w:r>
      <w:r w:rsidR="00033D0F">
        <w:t>concerns … product</w:t>
      </w:r>
      <w:r w:rsidR="00033D0F">
        <w:rPr>
          <w:spacing w:val="-1"/>
        </w:rPr>
        <w:t xml:space="preserve"> </w:t>
      </w:r>
      <w:r w:rsidR="00033D0F">
        <w:t>standards".</w:t>
      </w:r>
      <w:hyperlink w:anchor="_bookmark1280" w:history="1">
        <w:r w:rsidR="00033D0F">
          <w:rPr>
            <w:vertAlign w:val="superscript"/>
          </w:rPr>
          <w:t>1104</w:t>
        </w:r>
      </w:hyperlink>
      <w:r w:rsidR="00033D0F">
        <w:rPr>
          <w:spacing w:val="-1"/>
        </w:rPr>
        <w:t xml:space="preserve"> </w:t>
      </w:r>
      <w:r w:rsidR="00033D0F">
        <w:t>But when regard is</w:t>
      </w:r>
      <w:r w:rsidR="00033D0F">
        <w:rPr>
          <w:spacing w:val="-11"/>
        </w:rPr>
        <w:t xml:space="preserve"> </w:t>
      </w:r>
      <w:r w:rsidR="00033D0F">
        <w:t>had</w:t>
      </w:r>
      <w:r w:rsidR="00033D0F">
        <w:rPr>
          <w:spacing w:val="-14"/>
        </w:rPr>
        <w:t xml:space="preserve"> </w:t>
      </w:r>
      <w:r w:rsidR="00033D0F">
        <w:t>to</w:t>
      </w:r>
      <w:r w:rsidR="00033D0F">
        <w:rPr>
          <w:spacing w:val="-14"/>
        </w:rPr>
        <w:t xml:space="preserve"> </w:t>
      </w:r>
      <w:r w:rsidR="00033D0F">
        <w:t>the</w:t>
      </w:r>
      <w:r w:rsidR="00033D0F">
        <w:rPr>
          <w:spacing w:val="-11"/>
        </w:rPr>
        <w:t xml:space="preserve"> </w:t>
      </w:r>
      <w:r w:rsidR="00033D0F">
        <w:t>response</w:t>
      </w:r>
      <w:r w:rsidR="00033D0F">
        <w:rPr>
          <w:spacing w:val="-12"/>
        </w:rPr>
        <w:t xml:space="preserve"> </w:t>
      </w:r>
      <w:r w:rsidR="00033D0F">
        <w:t>itself,</w:t>
      </w:r>
      <w:r w:rsidR="00033D0F">
        <w:rPr>
          <w:spacing w:val="-10"/>
        </w:rPr>
        <w:t xml:space="preserve"> </w:t>
      </w:r>
      <w:r w:rsidR="00033D0F">
        <w:t>it</w:t>
      </w:r>
      <w:r w:rsidR="00033D0F">
        <w:rPr>
          <w:spacing w:val="-11"/>
        </w:rPr>
        <w:t xml:space="preserve"> </w:t>
      </w:r>
      <w:r w:rsidR="00033D0F">
        <w:t>is</w:t>
      </w:r>
      <w:r w:rsidR="00033D0F">
        <w:rPr>
          <w:spacing w:val="-10"/>
        </w:rPr>
        <w:t xml:space="preserve"> </w:t>
      </w:r>
      <w:r w:rsidR="00033D0F">
        <w:t>apparent</w:t>
      </w:r>
      <w:r w:rsidR="00033D0F">
        <w:rPr>
          <w:spacing w:val="-11"/>
        </w:rPr>
        <w:t xml:space="preserve"> </w:t>
      </w:r>
      <w:r w:rsidR="00033D0F">
        <w:t>that</w:t>
      </w:r>
      <w:r w:rsidR="00033D0F">
        <w:rPr>
          <w:spacing w:val="-11"/>
        </w:rPr>
        <w:t xml:space="preserve"> </w:t>
      </w:r>
      <w:r w:rsidR="00033D0F">
        <w:t>the</w:t>
      </w:r>
      <w:r w:rsidR="00033D0F">
        <w:rPr>
          <w:spacing w:val="-12"/>
        </w:rPr>
        <w:t xml:space="preserve"> </w:t>
      </w:r>
      <w:r w:rsidR="00033D0F">
        <w:t>statement</w:t>
      </w:r>
      <w:r w:rsidR="00033D0F">
        <w:rPr>
          <w:spacing w:val="-11"/>
        </w:rPr>
        <w:t xml:space="preserve"> </w:t>
      </w:r>
      <w:r w:rsidR="00033D0F">
        <w:t>China</w:t>
      </w:r>
      <w:r w:rsidR="00033D0F">
        <w:rPr>
          <w:spacing w:val="-12"/>
        </w:rPr>
        <w:t xml:space="preserve"> </w:t>
      </w:r>
      <w:r w:rsidR="00033D0F">
        <w:t>is</w:t>
      </w:r>
      <w:r w:rsidR="00033D0F">
        <w:rPr>
          <w:spacing w:val="-10"/>
        </w:rPr>
        <w:t xml:space="preserve"> </w:t>
      </w:r>
      <w:r w:rsidR="00033D0F">
        <w:t>referring</w:t>
      </w:r>
      <w:r w:rsidR="00033D0F">
        <w:rPr>
          <w:spacing w:val="-10"/>
        </w:rPr>
        <w:t xml:space="preserve"> </w:t>
      </w:r>
      <w:r w:rsidR="00033D0F">
        <w:t>to</w:t>
      </w:r>
      <w:r w:rsidR="00033D0F">
        <w:rPr>
          <w:spacing w:val="-14"/>
        </w:rPr>
        <w:t xml:space="preserve"> </w:t>
      </w:r>
      <w:r w:rsidR="00033D0F">
        <w:t>is</w:t>
      </w:r>
      <w:r w:rsidR="00033D0F">
        <w:rPr>
          <w:spacing w:val="-10"/>
        </w:rPr>
        <w:t xml:space="preserve"> </w:t>
      </w:r>
      <w:r w:rsidR="00033D0F">
        <w:t>that</w:t>
      </w:r>
      <w:r w:rsidR="00033D0F">
        <w:rPr>
          <w:spacing w:val="-11"/>
        </w:rPr>
        <w:t xml:space="preserve"> </w:t>
      </w:r>
      <w:r w:rsidR="00033D0F">
        <w:t xml:space="preserve">"[t]he </w:t>
      </w:r>
      <w:proofErr w:type="spellStart"/>
      <w:r w:rsidR="00033D0F">
        <w:t>annexe</w:t>
      </w:r>
      <w:proofErr w:type="spellEnd"/>
      <w:r w:rsidR="00033D0F">
        <w:rPr>
          <w:spacing w:val="-7"/>
        </w:rPr>
        <w:t xml:space="preserve"> </w:t>
      </w:r>
      <w:r w:rsidR="00033D0F">
        <w:t>here</w:t>
      </w:r>
      <w:r w:rsidR="00033D0F">
        <w:rPr>
          <w:spacing w:val="-7"/>
        </w:rPr>
        <w:t xml:space="preserve"> </w:t>
      </w:r>
      <w:r w:rsidR="00033D0F">
        <w:t>relates</w:t>
      </w:r>
      <w:r w:rsidR="00033D0F">
        <w:rPr>
          <w:spacing w:val="-6"/>
        </w:rPr>
        <w:t xml:space="preserve"> </w:t>
      </w:r>
      <w:r w:rsidR="00033D0F">
        <w:t>to</w:t>
      </w:r>
      <w:r w:rsidR="00033D0F">
        <w:rPr>
          <w:spacing w:val="-10"/>
        </w:rPr>
        <w:t xml:space="preserve"> </w:t>
      </w:r>
      <w:r w:rsidR="00033D0F">
        <w:t>the</w:t>
      </w:r>
      <w:r w:rsidR="00033D0F">
        <w:rPr>
          <w:spacing w:val="-7"/>
        </w:rPr>
        <w:t xml:space="preserve"> </w:t>
      </w:r>
      <w:r w:rsidR="00033D0F">
        <w:t>product</w:t>
      </w:r>
      <w:r w:rsidR="00033D0F">
        <w:rPr>
          <w:spacing w:val="-7"/>
        </w:rPr>
        <w:t xml:space="preserve"> </w:t>
      </w:r>
      <w:r w:rsidR="00033D0F">
        <w:t>standards</w:t>
      </w:r>
      <w:r w:rsidR="00033D0F">
        <w:rPr>
          <w:spacing w:val="-6"/>
        </w:rPr>
        <w:t xml:space="preserve"> </w:t>
      </w:r>
      <w:r w:rsidR="00033D0F">
        <w:t>of</w:t>
      </w:r>
      <w:r w:rsidR="00033D0F">
        <w:rPr>
          <w:spacing w:val="-9"/>
        </w:rPr>
        <w:t xml:space="preserve"> </w:t>
      </w:r>
      <w:r w:rsidR="00033D0F">
        <w:t>the</w:t>
      </w:r>
      <w:r w:rsidR="00033D0F">
        <w:rPr>
          <w:spacing w:val="-7"/>
        </w:rPr>
        <w:t xml:space="preserve"> </w:t>
      </w:r>
      <w:r w:rsidR="00033D0F">
        <w:t>like</w:t>
      </w:r>
      <w:r w:rsidR="00033D0F">
        <w:rPr>
          <w:spacing w:val="-7"/>
        </w:rPr>
        <w:t xml:space="preserve"> </w:t>
      </w:r>
      <w:r w:rsidR="00033D0F">
        <w:t>products",</w:t>
      </w:r>
      <w:r w:rsidR="00033D0F">
        <w:rPr>
          <w:spacing w:val="-5"/>
        </w:rPr>
        <w:t xml:space="preserve"> </w:t>
      </w:r>
      <w:r w:rsidR="00033D0F">
        <w:t>which</w:t>
      </w:r>
      <w:r w:rsidR="00033D0F">
        <w:rPr>
          <w:spacing w:val="-9"/>
        </w:rPr>
        <w:t xml:space="preserve"> </w:t>
      </w:r>
      <w:r w:rsidR="00033D0F">
        <w:t>is</w:t>
      </w:r>
      <w:r w:rsidR="00033D0F">
        <w:rPr>
          <w:spacing w:val="-6"/>
        </w:rPr>
        <w:t xml:space="preserve"> </w:t>
      </w:r>
      <w:r w:rsidR="00033D0F">
        <w:t>made</w:t>
      </w:r>
      <w:r w:rsidR="00033D0F">
        <w:rPr>
          <w:spacing w:val="-7"/>
        </w:rPr>
        <w:t xml:space="preserve"> </w:t>
      </w:r>
      <w:r w:rsidR="00033D0F">
        <w:t>in</w:t>
      </w:r>
      <w:r w:rsidR="00033D0F">
        <w:rPr>
          <w:spacing w:val="-9"/>
        </w:rPr>
        <w:t xml:space="preserve"> </w:t>
      </w:r>
      <w:r w:rsidR="00033D0F">
        <w:t>response to MOFCOM's request for the "Quality Standards for Like Product". A request that merely paraphrases the question posed does not provide any, let alone "much more", information and context than the bare fact of the question having been posed.</w:t>
      </w:r>
    </w:p>
    <w:p w14:paraId="16B7A389" w14:textId="77777777" w:rsidR="00BD462C" w:rsidRDefault="00BD462C">
      <w:pPr>
        <w:pStyle w:val="BodyText"/>
        <w:rPr>
          <w:sz w:val="20"/>
        </w:rPr>
      </w:pPr>
    </w:p>
    <w:p w14:paraId="1E098C53" w14:textId="77777777" w:rsidR="00BD462C" w:rsidRDefault="00BD462C">
      <w:pPr>
        <w:pStyle w:val="BodyText"/>
        <w:rPr>
          <w:sz w:val="20"/>
        </w:rPr>
      </w:pPr>
    </w:p>
    <w:p w14:paraId="6F58FF8D" w14:textId="77777777" w:rsidR="00BD462C" w:rsidRDefault="00BD462C">
      <w:pPr>
        <w:pStyle w:val="BodyText"/>
        <w:rPr>
          <w:sz w:val="20"/>
        </w:rPr>
      </w:pPr>
    </w:p>
    <w:p w14:paraId="4450B54A" w14:textId="77777777" w:rsidR="00BD462C" w:rsidRDefault="00BD462C">
      <w:pPr>
        <w:pStyle w:val="BodyText"/>
        <w:rPr>
          <w:sz w:val="20"/>
        </w:rPr>
      </w:pPr>
    </w:p>
    <w:p w14:paraId="6747B577" w14:textId="77777777" w:rsidR="00BD462C" w:rsidRDefault="00BD462C">
      <w:pPr>
        <w:pStyle w:val="BodyText"/>
        <w:rPr>
          <w:sz w:val="20"/>
        </w:rPr>
      </w:pPr>
    </w:p>
    <w:p w14:paraId="4509916A" w14:textId="77777777" w:rsidR="00BD462C" w:rsidRDefault="00BD462C">
      <w:pPr>
        <w:pStyle w:val="BodyText"/>
        <w:rPr>
          <w:sz w:val="20"/>
        </w:rPr>
      </w:pPr>
    </w:p>
    <w:p w14:paraId="1B1C5AAA" w14:textId="47901C83" w:rsidR="00BD462C" w:rsidRDefault="00D70C7D">
      <w:pPr>
        <w:pStyle w:val="BodyText"/>
        <w:spacing w:before="10"/>
        <w:rPr>
          <w:sz w:val="15"/>
        </w:rPr>
      </w:pPr>
      <w:r>
        <w:rPr>
          <w:noProof/>
        </w:rPr>
        <mc:AlternateContent>
          <mc:Choice Requires="wps">
            <w:drawing>
              <wp:anchor distT="0" distB="0" distL="0" distR="0" simplePos="0" relativeHeight="487823360" behindDoc="1" locked="0" layoutInCell="1" allowOverlap="1" wp14:anchorId="262A9DDC" wp14:editId="61965A31">
                <wp:simplePos x="0" y="0"/>
                <wp:positionH relativeFrom="page">
                  <wp:posOffset>899160</wp:posOffset>
                </wp:positionH>
                <wp:positionV relativeFrom="paragraph">
                  <wp:posOffset>137795</wp:posOffset>
                </wp:positionV>
                <wp:extent cx="1828800" cy="8890"/>
                <wp:effectExtent l="0" t="0" r="0" b="0"/>
                <wp:wrapTopAndBottom/>
                <wp:docPr id="422" name="docshape5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6A8E61" id="docshape511" o:spid="_x0000_s1026" alt="&quot;&quot;" style="position:absolute;margin-left:70.8pt;margin-top:10.85pt;width:2in;height:.7pt;z-index:-1549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" fillcolor="black" stroked="f">
                <w10:wrap type="topAndBottom" anchorx="page"/>
              </v:rect>
            </w:pict>
          </mc:Fallback>
        </mc:AlternateContent>
      </w:r>
    </w:p>
    <w:p w14:paraId="29CEE65A" w14:textId="77777777" w:rsidR="00BD462C" w:rsidRDefault="00033D0F">
      <w:pPr>
        <w:spacing w:before="112"/>
        <w:ind w:left="135"/>
        <w:rPr>
          <w:sz w:val="18"/>
        </w:rPr>
      </w:pPr>
      <w:bookmarkStart w:id="1483" w:name="_bookmark1277"/>
      <w:bookmarkEnd w:id="1483"/>
      <w:r>
        <w:rPr>
          <w:position w:val="5"/>
          <w:sz w:val="12"/>
        </w:rPr>
        <w:t>1101</w:t>
      </w:r>
      <w:r>
        <w:rPr>
          <w:spacing w:val="12"/>
          <w:position w:val="5"/>
          <w:sz w:val="12"/>
        </w:rPr>
        <w:t xml:space="preserve"> </w:t>
      </w:r>
      <w:r>
        <w:rPr>
          <w:sz w:val="18"/>
        </w:rPr>
        <w:t>China's</w:t>
      </w:r>
      <w:r>
        <w:rPr>
          <w:spacing w:val="-7"/>
          <w:sz w:val="18"/>
        </w:rPr>
        <w:t xml:space="preserve"> </w:t>
      </w:r>
      <w:r>
        <w:rPr>
          <w:sz w:val="18"/>
        </w:rPr>
        <w:t>first</w:t>
      </w:r>
      <w:r>
        <w:rPr>
          <w:spacing w:val="-5"/>
          <w:sz w:val="18"/>
        </w:rPr>
        <w:t xml:space="preserve"> </w:t>
      </w:r>
      <w:r>
        <w:rPr>
          <w:sz w:val="18"/>
        </w:rPr>
        <w:t>written</w:t>
      </w:r>
      <w:r>
        <w:rPr>
          <w:spacing w:val="-7"/>
          <w:sz w:val="18"/>
        </w:rPr>
        <w:t xml:space="preserve"> </w:t>
      </w:r>
      <w:r>
        <w:rPr>
          <w:sz w:val="18"/>
        </w:rPr>
        <w:t>submission, para.</w:t>
      </w:r>
      <w:r>
        <w:rPr>
          <w:spacing w:val="-1"/>
          <w:sz w:val="18"/>
        </w:rPr>
        <w:t xml:space="preserve"> </w:t>
      </w:r>
      <w:r>
        <w:rPr>
          <w:sz w:val="18"/>
        </w:rPr>
        <w:t>2306;</w:t>
      </w:r>
      <w:r>
        <w:rPr>
          <w:spacing w:val="-8"/>
          <w:sz w:val="18"/>
        </w:rPr>
        <w:t xml:space="preserve"> </w:t>
      </w:r>
      <w:r>
        <w:rPr>
          <w:sz w:val="18"/>
        </w:rPr>
        <w:t>Australia's</w:t>
      </w:r>
      <w:r>
        <w:rPr>
          <w:spacing w:val="-6"/>
          <w:sz w:val="18"/>
        </w:rPr>
        <w:t xml:space="preserve"> </w:t>
      </w:r>
      <w:r>
        <w:rPr>
          <w:sz w:val="18"/>
        </w:rPr>
        <w:t>first</w:t>
      </w:r>
      <w:r>
        <w:rPr>
          <w:spacing w:val="-5"/>
          <w:sz w:val="18"/>
        </w:rPr>
        <w:t xml:space="preserve"> </w:t>
      </w:r>
      <w:r>
        <w:rPr>
          <w:sz w:val="18"/>
        </w:rPr>
        <w:t>written</w:t>
      </w:r>
      <w:r>
        <w:rPr>
          <w:spacing w:val="-3"/>
          <w:sz w:val="18"/>
        </w:rPr>
        <w:t xml:space="preserve"> </w:t>
      </w:r>
      <w:r>
        <w:rPr>
          <w:sz w:val="18"/>
        </w:rPr>
        <w:t>submission,</w:t>
      </w:r>
      <w:r>
        <w:rPr>
          <w:spacing w:val="-4"/>
          <w:sz w:val="18"/>
        </w:rPr>
        <w:t xml:space="preserve"> </w:t>
      </w:r>
      <w:r>
        <w:rPr>
          <w:sz w:val="18"/>
        </w:rPr>
        <w:t>para.</w:t>
      </w:r>
      <w:r>
        <w:rPr>
          <w:spacing w:val="-1"/>
          <w:sz w:val="18"/>
        </w:rPr>
        <w:t xml:space="preserve"> </w:t>
      </w:r>
      <w:r>
        <w:rPr>
          <w:spacing w:val="-4"/>
          <w:sz w:val="18"/>
        </w:rPr>
        <w:t>870.</w:t>
      </w:r>
    </w:p>
    <w:p w14:paraId="0167E630" w14:textId="77777777" w:rsidR="00BD462C" w:rsidRDefault="00033D0F">
      <w:pPr>
        <w:spacing w:before="1"/>
        <w:ind w:left="135"/>
        <w:rPr>
          <w:sz w:val="18"/>
        </w:rPr>
      </w:pPr>
      <w:bookmarkStart w:id="1484" w:name="_bookmark1278"/>
      <w:bookmarkEnd w:id="1484"/>
      <w:r>
        <w:rPr>
          <w:position w:val="5"/>
          <w:sz w:val="12"/>
        </w:rPr>
        <w:t>1102</w:t>
      </w:r>
      <w:r>
        <w:rPr>
          <w:spacing w:val="13"/>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 xml:space="preserve">para. </w:t>
      </w:r>
      <w:r>
        <w:rPr>
          <w:spacing w:val="-2"/>
          <w:sz w:val="18"/>
        </w:rPr>
        <w:t>2307.</w:t>
      </w:r>
    </w:p>
    <w:p w14:paraId="09F66A9A" w14:textId="77777777" w:rsidR="00BD462C" w:rsidRDefault="00033D0F">
      <w:pPr>
        <w:spacing w:before="1"/>
        <w:ind w:left="135"/>
        <w:rPr>
          <w:sz w:val="18"/>
        </w:rPr>
      </w:pPr>
      <w:bookmarkStart w:id="1485" w:name="_bookmark1279"/>
      <w:bookmarkEnd w:id="1485"/>
      <w:r>
        <w:rPr>
          <w:position w:val="5"/>
          <w:sz w:val="12"/>
        </w:rPr>
        <w:t>1103</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paras.</w:t>
      </w:r>
      <w:r>
        <w:rPr>
          <w:spacing w:val="-5"/>
          <w:sz w:val="18"/>
        </w:rPr>
        <w:t xml:space="preserve"> </w:t>
      </w:r>
      <w:r>
        <w:rPr>
          <w:sz w:val="18"/>
        </w:rPr>
        <w:t>2308-</w:t>
      </w:r>
      <w:r>
        <w:rPr>
          <w:spacing w:val="-2"/>
          <w:sz w:val="18"/>
        </w:rPr>
        <w:t>2309.</w:t>
      </w:r>
    </w:p>
    <w:p w14:paraId="4D643B09" w14:textId="77777777" w:rsidR="00BD462C" w:rsidRDefault="00033D0F">
      <w:pPr>
        <w:spacing w:before="1"/>
        <w:ind w:left="135"/>
        <w:rPr>
          <w:sz w:val="18"/>
        </w:rPr>
      </w:pPr>
      <w:bookmarkStart w:id="1486" w:name="_bookmark1280"/>
      <w:bookmarkEnd w:id="1486"/>
      <w:r>
        <w:rPr>
          <w:position w:val="5"/>
          <w:sz w:val="12"/>
        </w:rPr>
        <w:t>1104</w:t>
      </w:r>
      <w:r>
        <w:rPr>
          <w:spacing w:val="14"/>
          <w:position w:val="5"/>
          <w:sz w:val="12"/>
        </w:rPr>
        <w:t xml:space="preserve"> </w:t>
      </w:r>
      <w:r>
        <w:rPr>
          <w:sz w:val="18"/>
        </w:rPr>
        <w:t>China's</w:t>
      </w:r>
      <w:r>
        <w:rPr>
          <w:spacing w:val="-4"/>
          <w:sz w:val="18"/>
        </w:rPr>
        <w:t xml:space="preserve"> </w:t>
      </w:r>
      <w:r>
        <w:rPr>
          <w:sz w:val="18"/>
        </w:rPr>
        <w:t>first</w:t>
      </w:r>
      <w:r>
        <w:rPr>
          <w:spacing w:val="-3"/>
          <w:sz w:val="18"/>
        </w:rPr>
        <w:t xml:space="preserve"> </w:t>
      </w:r>
      <w:r>
        <w:rPr>
          <w:sz w:val="18"/>
        </w:rPr>
        <w:t>written</w:t>
      </w:r>
      <w:r>
        <w:rPr>
          <w:spacing w:val="-5"/>
          <w:sz w:val="18"/>
        </w:rPr>
        <w:t xml:space="preserve"> </w:t>
      </w:r>
      <w:r>
        <w:rPr>
          <w:sz w:val="18"/>
        </w:rPr>
        <w:t>submission</w:t>
      </w:r>
      <w:r>
        <w:rPr>
          <w:spacing w:val="-5"/>
          <w:sz w:val="18"/>
        </w:rPr>
        <w:t xml:space="preserve"> </w:t>
      </w:r>
      <w:r>
        <w:rPr>
          <w:sz w:val="18"/>
        </w:rPr>
        <w:t>para.</w:t>
      </w:r>
      <w:r>
        <w:rPr>
          <w:spacing w:val="-3"/>
          <w:sz w:val="18"/>
        </w:rPr>
        <w:t xml:space="preserve"> </w:t>
      </w:r>
      <w:r>
        <w:rPr>
          <w:spacing w:val="-2"/>
          <w:sz w:val="18"/>
        </w:rPr>
        <w:t>2308.</w:t>
      </w:r>
    </w:p>
    <w:p w14:paraId="1939AA3E" w14:textId="77777777" w:rsidR="00BD462C" w:rsidRDefault="00BD462C">
      <w:pPr>
        <w:rPr>
          <w:sz w:val="18"/>
        </w:rPr>
        <w:sectPr w:rsidR="00BD462C">
          <w:pgSz w:w="11910" w:h="16840"/>
          <w:pgMar w:top="860" w:right="500" w:bottom="780" w:left="1280" w:header="566" w:footer="590" w:gutter="0"/>
          <w:cols w:space="720"/>
        </w:sectPr>
      </w:pPr>
    </w:p>
    <w:p w14:paraId="5444BFC6"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6C7DF20F"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36BC0F34"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67A00B24" w14:textId="77777777" w:rsidR="00BD462C" w:rsidRDefault="00033D0F">
      <w:pPr>
        <w:pStyle w:val="ListParagraph"/>
        <w:numPr>
          <w:ilvl w:val="1"/>
          <w:numId w:val="30"/>
        </w:numPr>
        <w:tabs>
          <w:tab w:val="left" w:pos="3539"/>
          <w:tab w:val="left" w:pos="3540"/>
        </w:tabs>
        <w:spacing w:before="102"/>
        <w:ind w:hanging="851"/>
        <w:rPr>
          <w:sz w:val="24"/>
        </w:rPr>
      </w:pPr>
      <w:bookmarkStart w:id="1487" w:name="(b)_The_non-confidential_summaries_lacke"/>
      <w:bookmarkEnd w:id="1487"/>
      <w:r>
        <w:rPr>
          <w:sz w:val="24"/>
          <w:u w:val="single"/>
        </w:rPr>
        <w:t>The</w:t>
      </w:r>
      <w:r>
        <w:rPr>
          <w:spacing w:val="-7"/>
          <w:sz w:val="24"/>
          <w:u w:val="single"/>
        </w:rPr>
        <w:t xml:space="preserve"> </w:t>
      </w:r>
      <w:r>
        <w:rPr>
          <w:sz w:val="24"/>
          <w:u w:val="single"/>
        </w:rPr>
        <w:t>non-confidential</w:t>
      </w:r>
      <w:r>
        <w:rPr>
          <w:spacing w:val="-3"/>
          <w:sz w:val="24"/>
          <w:u w:val="single"/>
        </w:rPr>
        <w:t xml:space="preserve"> </w:t>
      </w:r>
      <w:r>
        <w:rPr>
          <w:sz w:val="24"/>
          <w:u w:val="single"/>
        </w:rPr>
        <w:t>summaries</w:t>
      </w:r>
      <w:r>
        <w:rPr>
          <w:spacing w:val="-3"/>
          <w:sz w:val="24"/>
          <w:u w:val="single"/>
        </w:rPr>
        <w:t xml:space="preserve"> </w:t>
      </w:r>
      <w:r>
        <w:rPr>
          <w:sz w:val="24"/>
          <w:u w:val="single"/>
        </w:rPr>
        <w:t>lacked</w:t>
      </w:r>
      <w:r>
        <w:rPr>
          <w:spacing w:val="-6"/>
          <w:sz w:val="24"/>
          <w:u w:val="single"/>
        </w:rPr>
        <w:t xml:space="preserve"> </w:t>
      </w:r>
      <w:r>
        <w:rPr>
          <w:sz w:val="24"/>
          <w:u w:val="single"/>
        </w:rPr>
        <w:t>sufficient</w:t>
      </w:r>
      <w:r>
        <w:rPr>
          <w:spacing w:val="-8"/>
          <w:sz w:val="24"/>
          <w:u w:val="single"/>
        </w:rPr>
        <w:t xml:space="preserve"> </w:t>
      </w:r>
      <w:r>
        <w:rPr>
          <w:spacing w:val="-2"/>
          <w:sz w:val="24"/>
          <w:u w:val="single"/>
        </w:rPr>
        <w:t>detail</w:t>
      </w:r>
    </w:p>
    <w:p w14:paraId="01D84856" w14:textId="77777777" w:rsidR="00BD462C" w:rsidRDefault="00BD462C">
      <w:pPr>
        <w:pStyle w:val="BodyText"/>
        <w:spacing w:before="7"/>
        <w:rPr>
          <w:sz w:val="20"/>
        </w:rPr>
      </w:pPr>
    </w:p>
    <w:p w14:paraId="615BC011" w14:textId="5684974A" w:rsidR="00BD462C" w:rsidRDefault="000923F6">
      <w:pPr>
        <w:pStyle w:val="BodyText"/>
        <w:spacing w:before="56" w:line="360" w:lineRule="auto"/>
        <w:ind w:left="136" w:right="911"/>
        <w:jc w:val="both"/>
      </w:pPr>
      <w:r>
        <w:rPr>
          <w:noProof/>
        </w:rPr>
        <w:t>720.</w:t>
      </w:r>
      <w:r w:rsidR="00033D0F">
        <w:rPr>
          <w:rFonts w:ascii="Times New Roman"/>
          <w:spacing w:val="40"/>
          <w:position w:val="1"/>
          <w:sz w:val="20"/>
        </w:rPr>
        <w:t xml:space="preserve"> </w:t>
      </w:r>
      <w:r w:rsidR="00033D0F">
        <w:rPr>
          <w:position w:val="1"/>
        </w:rPr>
        <w:t xml:space="preserve">In respect of the non-confidential summaries of the verification materials, China </w:t>
      </w:r>
      <w:r w:rsidR="00033D0F">
        <w:t>appears</w:t>
      </w:r>
      <w:r w:rsidR="00033D0F">
        <w:rPr>
          <w:spacing w:val="-6"/>
        </w:rPr>
        <w:t xml:space="preserve"> </w:t>
      </w:r>
      <w:r w:rsidR="00033D0F">
        <w:t>to</w:t>
      </w:r>
      <w:r w:rsidR="00033D0F">
        <w:rPr>
          <w:spacing w:val="-10"/>
        </w:rPr>
        <w:t xml:space="preserve"> </w:t>
      </w:r>
      <w:r w:rsidR="00033D0F">
        <w:t>acknowledge</w:t>
      </w:r>
      <w:r w:rsidR="00033D0F">
        <w:rPr>
          <w:spacing w:val="-7"/>
        </w:rPr>
        <w:t xml:space="preserve"> </w:t>
      </w:r>
      <w:r w:rsidR="00033D0F">
        <w:t>that</w:t>
      </w:r>
      <w:r w:rsidR="00033D0F">
        <w:rPr>
          <w:spacing w:val="-7"/>
        </w:rPr>
        <w:t xml:space="preserve"> </w:t>
      </w:r>
      <w:r w:rsidR="00033D0F">
        <w:t>some</w:t>
      </w:r>
      <w:r w:rsidR="00033D0F">
        <w:rPr>
          <w:spacing w:val="-7"/>
        </w:rPr>
        <w:t xml:space="preserve"> </w:t>
      </w:r>
      <w:r w:rsidR="00033D0F">
        <w:t>information</w:t>
      </w:r>
      <w:r w:rsidR="00033D0F">
        <w:rPr>
          <w:spacing w:val="-9"/>
        </w:rPr>
        <w:t xml:space="preserve"> </w:t>
      </w:r>
      <w:r w:rsidR="00033D0F">
        <w:t>could</w:t>
      </w:r>
      <w:r w:rsidR="00033D0F">
        <w:rPr>
          <w:spacing w:val="-9"/>
        </w:rPr>
        <w:t xml:space="preserve"> </w:t>
      </w:r>
      <w:r w:rsidR="00033D0F">
        <w:t>have</w:t>
      </w:r>
      <w:r w:rsidR="00033D0F">
        <w:rPr>
          <w:spacing w:val="-7"/>
        </w:rPr>
        <w:t xml:space="preserve"> </w:t>
      </w:r>
      <w:r w:rsidR="00033D0F">
        <w:t>been</w:t>
      </w:r>
      <w:r w:rsidR="00033D0F">
        <w:rPr>
          <w:spacing w:val="-9"/>
        </w:rPr>
        <w:t xml:space="preserve"> </w:t>
      </w:r>
      <w:proofErr w:type="spellStart"/>
      <w:r w:rsidR="00033D0F">
        <w:t>summarised</w:t>
      </w:r>
      <w:proofErr w:type="spellEnd"/>
      <w:r w:rsidR="00033D0F">
        <w:t>,</w:t>
      </w:r>
      <w:r w:rsidR="00033D0F">
        <w:rPr>
          <w:spacing w:val="-5"/>
        </w:rPr>
        <w:t xml:space="preserve"> </w:t>
      </w:r>
      <w:r w:rsidR="00033D0F">
        <w:t>while</w:t>
      </w:r>
      <w:r w:rsidR="00033D0F">
        <w:rPr>
          <w:spacing w:val="-7"/>
        </w:rPr>
        <w:t xml:space="preserve"> </w:t>
      </w:r>
      <w:r w:rsidR="00033D0F">
        <w:t>asserting that other information could not have been.</w:t>
      </w:r>
      <w:hyperlink w:anchor="_bookmark1282" w:history="1">
        <w:r w:rsidR="00033D0F">
          <w:rPr>
            <w:vertAlign w:val="superscript"/>
          </w:rPr>
          <w:t>1105</w:t>
        </w:r>
      </w:hyperlink>
      <w:r w:rsidR="00033D0F">
        <w:t xml:space="preserve"> It will be readily apparent to the Panel that no meaningful summaries were provided even of the information that China itself acknowledges was susceptible of </w:t>
      </w:r>
      <w:proofErr w:type="spellStart"/>
      <w:r w:rsidR="00033D0F">
        <w:t>summarisation</w:t>
      </w:r>
      <w:proofErr w:type="spellEnd"/>
      <w:r w:rsidR="00033D0F">
        <w:t>.</w:t>
      </w:r>
    </w:p>
    <w:p w14:paraId="17E42831" w14:textId="77777777" w:rsidR="00BD462C" w:rsidRDefault="00BD462C">
      <w:pPr>
        <w:pStyle w:val="BodyText"/>
        <w:spacing w:before="10"/>
        <w:rPr>
          <w:sz w:val="8"/>
        </w:rPr>
      </w:pPr>
    </w:p>
    <w:p w14:paraId="26E6AC61" w14:textId="39A0D7AB" w:rsidR="00BD462C" w:rsidRDefault="000923F6">
      <w:pPr>
        <w:pStyle w:val="BodyText"/>
        <w:spacing w:before="57" w:line="357" w:lineRule="auto"/>
        <w:ind w:left="135" w:right="913"/>
        <w:jc w:val="both"/>
      </w:pPr>
      <w:r>
        <w:rPr>
          <w:noProof/>
        </w:rPr>
        <w:t>721.</w:t>
      </w:r>
      <w:r w:rsidR="00033D0F">
        <w:rPr>
          <w:rFonts w:ascii="Times New Roman"/>
          <w:spacing w:val="80"/>
          <w:position w:val="1"/>
          <w:sz w:val="20"/>
        </w:rPr>
        <w:t xml:space="preserve">  </w:t>
      </w:r>
      <w:r w:rsidR="00033D0F">
        <w:rPr>
          <w:position w:val="1"/>
        </w:rPr>
        <w:t>While</w:t>
      </w:r>
      <w:r w:rsidR="00033D0F">
        <w:rPr>
          <w:spacing w:val="-2"/>
          <w:position w:val="1"/>
        </w:rPr>
        <w:t xml:space="preserve"> </w:t>
      </w:r>
      <w:r w:rsidR="00033D0F">
        <w:rPr>
          <w:position w:val="1"/>
        </w:rPr>
        <w:t xml:space="preserve">it appears to Australia that a contravention of Article 6.5.1 can be established </w:t>
      </w:r>
      <w:r w:rsidR="00033D0F">
        <w:t>solely on the basis of the concessions that China appears to have made, Australia maintains the full breadth of its arguments set out in its first written submission.</w:t>
      </w:r>
      <w:hyperlink w:anchor="_bookmark1283" w:history="1">
        <w:r w:rsidR="00033D0F">
          <w:rPr>
            <w:vertAlign w:val="superscript"/>
          </w:rPr>
          <w:t>1106</w:t>
        </w:r>
      </w:hyperlink>
    </w:p>
    <w:p w14:paraId="7A6FD123" w14:textId="77777777" w:rsidR="00BD462C" w:rsidRDefault="00BD462C">
      <w:pPr>
        <w:pStyle w:val="BodyText"/>
        <w:spacing w:before="2"/>
        <w:rPr>
          <w:sz w:val="9"/>
        </w:rPr>
      </w:pPr>
    </w:p>
    <w:p w14:paraId="2EB72BFE" w14:textId="335E2319" w:rsidR="00BD462C" w:rsidRDefault="000923F6">
      <w:pPr>
        <w:pStyle w:val="BodyText"/>
        <w:spacing w:before="56" w:line="360" w:lineRule="auto"/>
        <w:ind w:left="135" w:right="915"/>
        <w:jc w:val="both"/>
      </w:pPr>
      <w:r>
        <w:rPr>
          <w:noProof/>
        </w:rPr>
        <w:t>722.</w:t>
      </w:r>
      <w:r w:rsidR="00033D0F">
        <w:rPr>
          <w:rFonts w:ascii="Times New Roman"/>
          <w:spacing w:val="80"/>
          <w:position w:val="1"/>
          <w:sz w:val="20"/>
        </w:rPr>
        <w:t xml:space="preserve">  </w:t>
      </w:r>
      <w:r w:rsidR="00033D0F">
        <w:rPr>
          <w:position w:val="1"/>
        </w:rPr>
        <w:t xml:space="preserve">In addition, it appears that that China now asserts that certain information in these </w:t>
      </w:r>
      <w:r w:rsidR="00033D0F">
        <w:t xml:space="preserve">responses was incapable of </w:t>
      </w:r>
      <w:proofErr w:type="spellStart"/>
      <w:r w:rsidR="00033D0F">
        <w:t>summarisation</w:t>
      </w:r>
      <w:proofErr w:type="spellEnd"/>
      <w:r w:rsidR="00033D0F">
        <w:t xml:space="preserve">. There is no evidence on the record that this was a claim made or considered by MOFCOM, and it appears to be an entirely </w:t>
      </w:r>
      <w:r w:rsidR="00033D0F">
        <w:rPr>
          <w:i/>
        </w:rPr>
        <w:t xml:space="preserve">ex post facto </w:t>
      </w:r>
      <w:proofErr w:type="spellStart"/>
      <w:r w:rsidR="00033D0F">
        <w:t>rationalisation</w:t>
      </w:r>
      <w:proofErr w:type="spellEnd"/>
      <w:r w:rsidR="00033D0F">
        <w:t>.</w:t>
      </w:r>
      <w:r w:rsidR="00033D0F">
        <w:rPr>
          <w:spacing w:val="-11"/>
        </w:rPr>
        <w:t xml:space="preserve"> </w:t>
      </w:r>
      <w:r w:rsidR="00033D0F">
        <w:t>If</w:t>
      </w:r>
      <w:r w:rsidR="00033D0F">
        <w:rPr>
          <w:spacing w:val="-14"/>
        </w:rPr>
        <w:t xml:space="preserve"> </w:t>
      </w:r>
      <w:r w:rsidR="00033D0F">
        <w:t>the</w:t>
      </w:r>
      <w:r w:rsidR="00033D0F">
        <w:rPr>
          <w:spacing w:val="-11"/>
        </w:rPr>
        <w:t xml:space="preserve"> </w:t>
      </w:r>
      <w:r w:rsidR="00033D0F">
        <w:t>Panel</w:t>
      </w:r>
      <w:r w:rsidR="00033D0F">
        <w:rPr>
          <w:spacing w:val="-10"/>
        </w:rPr>
        <w:t xml:space="preserve"> </w:t>
      </w:r>
      <w:r w:rsidR="00033D0F">
        <w:t>were</w:t>
      </w:r>
      <w:r w:rsidR="00033D0F">
        <w:rPr>
          <w:spacing w:val="-12"/>
        </w:rPr>
        <w:t xml:space="preserve"> </w:t>
      </w:r>
      <w:r w:rsidR="00033D0F">
        <w:t>to</w:t>
      </w:r>
      <w:r w:rsidR="00033D0F">
        <w:rPr>
          <w:spacing w:val="-14"/>
        </w:rPr>
        <w:t xml:space="preserve"> </w:t>
      </w:r>
      <w:r w:rsidR="00033D0F">
        <w:t>accept</w:t>
      </w:r>
      <w:r w:rsidR="00033D0F">
        <w:rPr>
          <w:spacing w:val="-10"/>
        </w:rPr>
        <w:t xml:space="preserve"> </w:t>
      </w:r>
      <w:r w:rsidR="00033D0F">
        <w:t>that</w:t>
      </w:r>
      <w:r w:rsidR="00033D0F">
        <w:rPr>
          <w:spacing w:val="-7"/>
        </w:rPr>
        <w:t xml:space="preserve"> </w:t>
      </w:r>
      <w:r w:rsidR="00033D0F">
        <w:t>this</w:t>
      </w:r>
      <w:r w:rsidR="00033D0F">
        <w:rPr>
          <w:spacing w:val="-10"/>
        </w:rPr>
        <w:t xml:space="preserve"> </w:t>
      </w:r>
      <w:r w:rsidR="00033D0F">
        <w:t>was</w:t>
      </w:r>
      <w:r w:rsidR="00033D0F">
        <w:rPr>
          <w:spacing w:val="-10"/>
        </w:rPr>
        <w:t xml:space="preserve"> </w:t>
      </w:r>
      <w:r w:rsidR="00033D0F">
        <w:t>the</w:t>
      </w:r>
      <w:r w:rsidR="00033D0F">
        <w:rPr>
          <w:spacing w:val="-12"/>
        </w:rPr>
        <w:t xml:space="preserve"> </w:t>
      </w:r>
      <w:r w:rsidR="00033D0F">
        <w:t>reason</w:t>
      </w:r>
      <w:r w:rsidR="00033D0F">
        <w:rPr>
          <w:spacing w:val="-14"/>
        </w:rPr>
        <w:t xml:space="preserve"> </w:t>
      </w:r>
      <w:r w:rsidR="00033D0F">
        <w:t>for</w:t>
      </w:r>
      <w:r w:rsidR="00033D0F">
        <w:rPr>
          <w:spacing w:val="-14"/>
        </w:rPr>
        <w:t xml:space="preserve"> </w:t>
      </w:r>
      <w:r w:rsidR="00033D0F">
        <w:t>the</w:t>
      </w:r>
      <w:r w:rsidR="00033D0F">
        <w:rPr>
          <w:spacing w:val="-6"/>
        </w:rPr>
        <w:t xml:space="preserve"> </w:t>
      </w:r>
      <w:r w:rsidR="00033D0F">
        <w:t>lack</w:t>
      </w:r>
      <w:r w:rsidR="00033D0F">
        <w:rPr>
          <w:spacing w:val="-11"/>
        </w:rPr>
        <w:t xml:space="preserve"> </w:t>
      </w:r>
      <w:r w:rsidR="00033D0F">
        <w:t>of</w:t>
      </w:r>
      <w:r w:rsidR="00033D0F">
        <w:rPr>
          <w:spacing w:val="-14"/>
        </w:rPr>
        <w:t xml:space="preserve"> </w:t>
      </w:r>
      <w:r w:rsidR="00033D0F">
        <w:t>an</w:t>
      </w:r>
      <w:r w:rsidR="00033D0F">
        <w:rPr>
          <w:spacing w:val="-13"/>
        </w:rPr>
        <w:t xml:space="preserve"> </w:t>
      </w:r>
      <w:r w:rsidR="00033D0F">
        <w:t>adequate non-confidential</w:t>
      </w:r>
      <w:r w:rsidR="00033D0F">
        <w:rPr>
          <w:spacing w:val="-5"/>
        </w:rPr>
        <w:t xml:space="preserve"> </w:t>
      </w:r>
      <w:r w:rsidR="00033D0F">
        <w:t>summary</w:t>
      </w:r>
      <w:r w:rsidR="00033D0F">
        <w:rPr>
          <w:spacing w:val="-6"/>
        </w:rPr>
        <w:t xml:space="preserve"> </w:t>
      </w:r>
      <w:r w:rsidR="00033D0F">
        <w:t>in</w:t>
      </w:r>
      <w:r w:rsidR="00033D0F">
        <w:rPr>
          <w:spacing w:val="-4"/>
        </w:rPr>
        <w:t xml:space="preserve"> </w:t>
      </w:r>
      <w:r w:rsidR="00033D0F">
        <w:t>certain</w:t>
      </w:r>
      <w:r w:rsidR="00033D0F">
        <w:rPr>
          <w:spacing w:val="-9"/>
        </w:rPr>
        <w:t xml:space="preserve"> </w:t>
      </w:r>
      <w:r w:rsidR="00033D0F">
        <w:t>instances,</w:t>
      </w:r>
      <w:r w:rsidR="00033D0F">
        <w:rPr>
          <w:spacing w:val="-5"/>
        </w:rPr>
        <w:t xml:space="preserve"> </w:t>
      </w:r>
      <w:r w:rsidR="00033D0F">
        <w:t>then</w:t>
      </w:r>
      <w:r w:rsidR="00033D0F">
        <w:rPr>
          <w:spacing w:val="-9"/>
        </w:rPr>
        <w:t xml:space="preserve"> </w:t>
      </w:r>
      <w:r w:rsidR="00033D0F">
        <w:t>Australia</w:t>
      </w:r>
      <w:r w:rsidR="00033D0F">
        <w:rPr>
          <w:spacing w:val="-8"/>
        </w:rPr>
        <w:t xml:space="preserve"> </w:t>
      </w:r>
      <w:r w:rsidR="00033D0F">
        <w:t>considers</w:t>
      </w:r>
      <w:r w:rsidR="00033D0F">
        <w:rPr>
          <w:spacing w:val="-6"/>
        </w:rPr>
        <w:t xml:space="preserve"> </w:t>
      </w:r>
      <w:r w:rsidR="00033D0F">
        <w:t>that,</w:t>
      </w:r>
      <w:r w:rsidR="00033D0F">
        <w:rPr>
          <w:spacing w:val="-5"/>
        </w:rPr>
        <w:t xml:space="preserve"> </w:t>
      </w:r>
      <w:r w:rsidR="00033D0F">
        <w:t>in</w:t>
      </w:r>
      <w:r w:rsidR="00033D0F">
        <w:rPr>
          <w:spacing w:val="-4"/>
        </w:rPr>
        <w:t xml:space="preserve"> </w:t>
      </w:r>
      <w:r w:rsidR="00033D0F">
        <w:t>each</w:t>
      </w:r>
      <w:r w:rsidR="00033D0F">
        <w:rPr>
          <w:spacing w:val="-4"/>
        </w:rPr>
        <w:t xml:space="preserve"> </w:t>
      </w:r>
      <w:r w:rsidR="00033D0F">
        <w:t>of</w:t>
      </w:r>
      <w:r w:rsidR="00033D0F">
        <w:rPr>
          <w:spacing w:val="-4"/>
        </w:rPr>
        <w:t xml:space="preserve"> </w:t>
      </w:r>
      <w:r w:rsidR="00033D0F">
        <w:t xml:space="preserve">those instances, a statement of the reasons why </w:t>
      </w:r>
      <w:proofErr w:type="spellStart"/>
      <w:r w:rsidR="00033D0F">
        <w:t>summarisation</w:t>
      </w:r>
      <w:proofErr w:type="spellEnd"/>
      <w:r w:rsidR="00033D0F">
        <w:t xml:space="preserve"> was not possible was entirely absent, in contravention of Article 6.5.1.</w:t>
      </w:r>
    </w:p>
    <w:p w14:paraId="441F87EA" w14:textId="77777777" w:rsidR="00BD462C" w:rsidRDefault="00033D0F">
      <w:pPr>
        <w:pStyle w:val="Heading3"/>
        <w:numPr>
          <w:ilvl w:val="0"/>
          <w:numId w:val="30"/>
        </w:numPr>
        <w:tabs>
          <w:tab w:val="left" w:pos="2545"/>
          <w:tab w:val="left" w:pos="2546"/>
        </w:tabs>
        <w:spacing w:before="155" w:line="357" w:lineRule="auto"/>
        <w:ind w:right="915"/>
      </w:pPr>
      <w:bookmarkStart w:id="1488" w:name="8._The_significance_of_the_verbatim_iden"/>
      <w:bookmarkStart w:id="1489" w:name="_bookmark1281"/>
      <w:bookmarkEnd w:id="1488"/>
      <w:bookmarkEnd w:id="1489"/>
      <w:r>
        <w:t xml:space="preserve">The significance of the verbatim identical requests from domestic </w:t>
      </w:r>
      <w:r>
        <w:rPr>
          <w:spacing w:val="-2"/>
        </w:rPr>
        <w:t>producers</w:t>
      </w:r>
    </w:p>
    <w:p w14:paraId="08ADF148" w14:textId="77777777" w:rsidR="00BD462C" w:rsidRDefault="00BD462C">
      <w:pPr>
        <w:pStyle w:val="BodyText"/>
        <w:spacing w:before="2"/>
        <w:rPr>
          <w:b/>
          <w:sz w:val="9"/>
        </w:rPr>
      </w:pPr>
    </w:p>
    <w:p w14:paraId="140DFF65" w14:textId="1561BAF6" w:rsidR="00BD462C" w:rsidRDefault="000923F6">
      <w:pPr>
        <w:pStyle w:val="BodyText"/>
        <w:spacing w:before="56" w:line="360" w:lineRule="auto"/>
        <w:ind w:left="135" w:right="912"/>
        <w:jc w:val="both"/>
      </w:pPr>
      <w:r>
        <w:rPr>
          <w:noProof/>
        </w:rPr>
        <w:t>723.</w:t>
      </w:r>
      <w:r w:rsidR="00033D0F">
        <w:rPr>
          <w:rFonts w:ascii="Times New Roman"/>
          <w:spacing w:val="80"/>
          <w:position w:val="1"/>
          <w:sz w:val="20"/>
        </w:rPr>
        <w:t xml:space="preserve">  </w:t>
      </w:r>
      <w:r w:rsidR="00033D0F">
        <w:rPr>
          <w:position w:val="1"/>
        </w:rPr>
        <w:t>Finally,</w:t>
      </w:r>
      <w:r w:rsidR="00033D0F">
        <w:rPr>
          <w:spacing w:val="40"/>
          <w:position w:val="1"/>
        </w:rPr>
        <w:t xml:space="preserve"> </w:t>
      </w:r>
      <w:r w:rsidR="00033D0F">
        <w:rPr>
          <w:position w:val="1"/>
        </w:rPr>
        <w:t>Australia</w:t>
      </w:r>
      <w:r w:rsidR="00033D0F">
        <w:rPr>
          <w:spacing w:val="40"/>
          <w:position w:val="1"/>
        </w:rPr>
        <w:t xml:space="preserve"> </w:t>
      </w:r>
      <w:r w:rsidR="00033D0F">
        <w:rPr>
          <w:position w:val="1"/>
        </w:rPr>
        <w:t>notes</w:t>
      </w:r>
      <w:r w:rsidR="00033D0F">
        <w:rPr>
          <w:spacing w:val="40"/>
          <w:position w:val="1"/>
        </w:rPr>
        <w:t xml:space="preserve"> </w:t>
      </w:r>
      <w:r w:rsidR="00033D0F">
        <w:rPr>
          <w:position w:val="1"/>
        </w:rPr>
        <w:t>China's</w:t>
      </w:r>
      <w:r w:rsidR="00033D0F">
        <w:rPr>
          <w:spacing w:val="40"/>
          <w:position w:val="1"/>
        </w:rPr>
        <w:t xml:space="preserve"> </w:t>
      </w:r>
      <w:r w:rsidR="00033D0F">
        <w:rPr>
          <w:position w:val="1"/>
        </w:rPr>
        <w:t>concerns</w:t>
      </w:r>
      <w:r w:rsidR="00033D0F">
        <w:rPr>
          <w:spacing w:val="40"/>
          <w:position w:val="1"/>
        </w:rPr>
        <w:t xml:space="preserve"> </w:t>
      </w:r>
      <w:r w:rsidR="00033D0F">
        <w:rPr>
          <w:position w:val="1"/>
        </w:rPr>
        <w:t>about</w:t>
      </w:r>
      <w:r w:rsidR="00033D0F">
        <w:rPr>
          <w:spacing w:val="40"/>
          <w:position w:val="1"/>
        </w:rPr>
        <w:t xml:space="preserve"> </w:t>
      </w:r>
      <w:r w:rsidR="00033D0F">
        <w:rPr>
          <w:position w:val="1"/>
        </w:rPr>
        <w:t>Australia's</w:t>
      </w:r>
      <w:r w:rsidR="00033D0F">
        <w:rPr>
          <w:spacing w:val="40"/>
          <w:position w:val="1"/>
        </w:rPr>
        <w:t xml:space="preserve"> </w:t>
      </w:r>
      <w:r w:rsidR="00033D0F">
        <w:rPr>
          <w:position w:val="1"/>
        </w:rPr>
        <w:t>argument</w:t>
      </w:r>
      <w:r w:rsidR="00033D0F">
        <w:rPr>
          <w:spacing w:val="40"/>
          <w:position w:val="1"/>
        </w:rPr>
        <w:t xml:space="preserve"> </w:t>
      </w:r>
      <w:r w:rsidR="00033D0F">
        <w:rPr>
          <w:position w:val="1"/>
        </w:rPr>
        <w:t>that</w:t>
      </w:r>
      <w:r w:rsidR="00033D0F">
        <w:rPr>
          <w:spacing w:val="40"/>
          <w:position w:val="1"/>
        </w:rPr>
        <w:t xml:space="preserve"> </w:t>
      </w:r>
      <w:r w:rsidR="00033D0F">
        <w:rPr>
          <w:position w:val="1"/>
        </w:rPr>
        <w:t xml:space="preserve">the </w:t>
      </w:r>
      <w:r w:rsidR="00033D0F">
        <w:t>verbatim identical requests for confidential treatment and non-confidential summaries evidenced some form of central coordination or planning.</w:t>
      </w:r>
      <w:hyperlink w:anchor="_bookmark1284" w:history="1">
        <w:r w:rsidR="00033D0F">
          <w:rPr>
            <w:vertAlign w:val="superscript"/>
          </w:rPr>
          <w:t>1107</w:t>
        </w:r>
      </w:hyperlink>
      <w:r w:rsidR="00033D0F">
        <w:t xml:space="preserve"> China takes umbrage at an exaggerated straw version of Australia's argument and fails to engage with the substance of the points Australia made.</w:t>
      </w:r>
    </w:p>
    <w:p w14:paraId="780B8DEB" w14:textId="77777777" w:rsidR="00BD462C" w:rsidRDefault="00BD462C">
      <w:pPr>
        <w:pStyle w:val="BodyText"/>
        <w:spacing w:before="6"/>
        <w:rPr>
          <w:sz w:val="8"/>
        </w:rPr>
      </w:pPr>
    </w:p>
    <w:p w14:paraId="6E507478" w14:textId="7AE1FA4D" w:rsidR="00BD462C" w:rsidRDefault="000923F6">
      <w:pPr>
        <w:pStyle w:val="BodyText"/>
        <w:spacing w:before="56" w:line="357" w:lineRule="auto"/>
        <w:ind w:left="135" w:right="914"/>
        <w:jc w:val="both"/>
      </w:pPr>
      <w:r>
        <w:rPr>
          <w:noProof/>
        </w:rPr>
        <w:t>724.</w:t>
      </w:r>
      <w:r w:rsidR="00033D0F">
        <w:rPr>
          <w:rFonts w:ascii="Times New Roman"/>
          <w:spacing w:val="80"/>
          <w:position w:val="1"/>
          <w:sz w:val="20"/>
        </w:rPr>
        <w:t xml:space="preserve">  </w:t>
      </w:r>
      <w:r w:rsidR="00033D0F">
        <w:rPr>
          <w:position w:val="1"/>
        </w:rPr>
        <w:t>Contrary</w:t>
      </w:r>
      <w:r w:rsidR="00033D0F">
        <w:rPr>
          <w:spacing w:val="40"/>
          <w:position w:val="1"/>
        </w:rPr>
        <w:t xml:space="preserve"> </w:t>
      </w:r>
      <w:r w:rsidR="00033D0F">
        <w:rPr>
          <w:position w:val="1"/>
        </w:rPr>
        <w:t>to</w:t>
      </w:r>
      <w:r w:rsidR="00033D0F">
        <w:rPr>
          <w:spacing w:val="40"/>
          <w:position w:val="1"/>
        </w:rPr>
        <w:t xml:space="preserve"> </w:t>
      </w:r>
      <w:r w:rsidR="00033D0F">
        <w:rPr>
          <w:position w:val="1"/>
        </w:rPr>
        <w:t>China's</w:t>
      </w:r>
      <w:r w:rsidR="00033D0F">
        <w:rPr>
          <w:spacing w:val="40"/>
          <w:position w:val="1"/>
        </w:rPr>
        <w:t xml:space="preserve"> </w:t>
      </w:r>
      <w:r w:rsidR="00033D0F">
        <w:rPr>
          <w:position w:val="1"/>
        </w:rPr>
        <w:t>suggestion,</w:t>
      </w:r>
      <w:r w:rsidR="00033D0F">
        <w:rPr>
          <w:spacing w:val="40"/>
          <w:position w:val="1"/>
        </w:rPr>
        <w:t xml:space="preserve"> </w:t>
      </w:r>
      <w:r w:rsidR="00033D0F">
        <w:rPr>
          <w:position w:val="1"/>
        </w:rPr>
        <w:t>Australia</w:t>
      </w:r>
      <w:r w:rsidR="00033D0F">
        <w:rPr>
          <w:spacing w:val="40"/>
          <w:position w:val="1"/>
        </w:rPr>
        <w:t xml:space="preserve"> </w:t>
      </w:r>
      <w:r w:rsidR="00033D0F">
        <w:rPr>
          <w:position w:val="1"/>
        </w:rPr>
        <w:t>did</w:t>
      </w:r>
      <w:r w:rsidR="00033D0F">
        <w:rPr>
          <w:spacing w:val="40"/>
          <w:position w:val="1"/>
        </w:rPr>
        <w:t xml:space="preserve"> </w:t>
      </w:r>
      <w:r w:rsidR="00033D0F">
        <w:rPr>
          <w:position w:val="1"/>
        </w:rPr>
        <w:t>not</w:t>
      </w:r>
      <w:r w:rsidR="00033D0F">
        <w:rPr>
          <w:spacing w:val="40"/>
          <w:position w:val="1"/>
        </w:rPr>
        <w:t xml:space="preserve"> </w:t>
      </w:r>
      <w:r w:rsidR="00033D0F">
        <w:rPr>
          <w:position w:val="1"/>
        </w:rPr>
        <w:t>allege</w:t>
      </w:r>
      <w:r w:rsidR="00033D0F">
        <w:rPr>
          <w:spacing w:val="40"/>
          <w:position w:val="1"/>
        </w:rPr>
        <w:t xml:space="preserve"> </w:t>
      </w:r>
      <w:r w:rsidR="00033D0F">
        <w:rPr>
          <w:position w:val="1"/>
        </w:rPr>
        <w:t>that</w:t>
      </w:r>
      <w:r w:rsidR="00033D0F">
        <w:rPr>
          <w:spacing w:val="40"/>
          <w:position w:val="1"/>
        </w:rPr>
        <w:t xml:space="preserve"> </w:t>
      </w:r>
      <w:r w:rsidR="00033D0F">
        <w:rPr>
          <w:position w:val="1"/>
        </w:rPr>
        <w:t>MOFCOM</w:t>
      </w:r>
      <w:r w:rsidR="00033D0F">
        <w:rPr>
          <w:spacing w:val="40"/>
          <w:position w:val="1"/>
        </w:rPr>
        <w:t xml:space="preserve"> </w:t>
      </w:r>
      <w:r w:rsidR="00033D0F">
        <w:rPr>
          <w:position w:val="1"/>
        </w:rPr>
        <w:t>in</w:t>
      </w:r>
      <w:r w:rsidR="00033D0F">
        <w:rPr>
          <w:spacing w:val="40"/>
          <w:position w:val="1"/>
        </w:rPr>
        <w:t xml:space="preserve"> </w:t>
      </w:r>
      <w:r w:rsidR="00033D0F">
        <w:rPr>
          <w:position w:val="1"/>
        </w:rPr>
        <w:t xml:space="preserve">fact </w:t>
      </w:r>
      <w:r w:rsidR="00033D0F">
        <w:t>provided guidance to the domestic producers. Australia's case, with which it appears China firmly agrees, is that</w:t>
      </w:r>
      <w:r w:rsidR="00033D0F">
        <w:rPr>
          <w:spacing w:val="-1"/>
        </w:rPr>
        <w:t xml:space="preserve"> </w:t>
      </w:r>
      <w:r w:rsidR="00033D0F">
        <w:rPr>
          <w:i/>
        </w:rPr>
        <w:t>if</w:t>
      </w:r>
      <w:r w:rsidR="00033D0F">
        <w:rPr>
          <w:i/>
          <w:spacing w:val="-3"/>
        </w:rPr>
        <w:t xml:space="preserve"> </w:t>
      </w:r>
      <w:r w:rsidR="00033D0F">
        <w:t>such</w:t>
      </w:r>
      <w:r w:rsidR="00033D0F">
        <w:rPr>
          <w:spacing w:val="-3"/>
        </w:rPr>
        <w:t xml:space="preserve"> </w:t>
      </w:r>
      <w:r w:rsidR="00033D0F">
        <w:t>guidance</w:t>
      </w:r>
      <w:r w:rsidR="00033D0F">
        <w:rPr>
          <w:spacing w:val="-1"/>
        </w:rPr>
        <w:t xml:space="preserve"> </w:t>
      </w:r>
      <w:r w:rsidR="00033D0F">
        <w:t>were</w:t>
      </w:r>
      <w:r w:rsidR="00033D0F">
        <w:rPr>
          <w:spacing w:val="-1"/>
        </w:rPr>
        <w:t xml:space="preserve"> </w:t>
      </w:r>
      <w:r w:rsidR="00033D0F">
        <w:t>provided</w:t>
      </w:r>
      <w:r w:rsidR="00033D0F">
        <w:rPr>
          <w:spacing w:val="-3"/>
        </w:rPr>
        <w:t xml:space="preserve"> </w:t>
      </w:r>
      <w:r w:rsidR="00033D0F">
        <w:t>that</w:t>
      </w:r>
      <w:r w:rsidR="00033D0F">
        <w:rPr>
          <w:spacing w:val="-1"/>
        </w:rPr>
        <w:t xml:space="preserve"> </w:t>
      </w:r>
      <w:r w:rsidR="00033D0F">
        <w:t>would have</w:t>
      </w:r>
      <w:r w:rsidR="00033D0F">
        <w:rPr>
          <w:spacing w:val="-1"/>
        </w:rPr>
        <w:t xml:space="preserve"> </w:t>
      </w:r>
      <w:r w:rsidR="00033D0F">
        <w:t>been inappropriate.</w:t>
      </w:r>
      <w:hyperlink w:anchor="_bookmark1285" w:history="1">
        <w:r w:rsidR="00033D0F">
          <w:rPr>
            <w:vertAlign w:val="superscript"/>
          </w:rPr>
          <w:t>1108</w:t>
        </w:r>
      </w:hyperlink>
    </w:p>
    <w:p w14:paraId="1F91026D" w14:textId="127C6206" w:rsidR="00BD462C" w:rsidRDefault="002C3E13">
      <w:pPr>
        <w:pStyle w:val="BodyText"/>
        <w:spacing w:before="1"/>
        <w:rPr>
          <w:sz w:val="25"/>
        </w:rPr>
      </w:pPr>
      <w:r w:rsidRPr="003A43C7">
        <w:rPr>
          <w:noProof/>
        </w:rPr>
        <mc:AlternateContent>
          <mc:Choice Requires="wps">
            <w:drawing>
              <wp:anchor distT="0" distB="0" distL="114300" distR="114300" simplePos="0" relativeHeight="487936512" behindDoc="0" locked="0" layoutInCell="1" allowOverlap="1" wp14:anchorId="0AFCA1D0" wp14:editId="6C78C70D">
                <wp:simplePos x="0" y="0"/>
                <wp:positionH relativeFrom="column">
                  <wp:posOffset>0</wp:posOffset>
                </wp:positionH>
                <wp:positionV relativeFrom="paragraph">
                  <wp:posOffset>199390</wp:posOffset>
                </wp:positionV>
                <wp:extent cx="2400300" cy="0"/>
                <wp:effectExtent l="0" t="0" r="0" b="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400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8B2ABE" id="Straight Connector 3" o:spid="_x0000_s1026" alt="&quot;&quot;" style="position:absolute;z-index:487936512;visibility:visible;mso-wrap-style:square;mso-wrap-distance-left:9pt;mso-wrap-distance-top:0;mso-wrap-distance-right:9pt;mso-wrap-distance-bottom:0;mso-position-horizontal:absolute;mso-position-horizontal-relative:text;mso-position-vertical:absolute;mso-position-vertical-relative:text" from="0,15.7pt" to="189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" strokecolor="#4579b8 [3044]"/>
            </w:pict>
          </mc:Fallback>
        </mc:AlternateContent>
      </w:r>
    </w:p>
    <w:p w14:paraId="1916D98E" w14:textId="376AAD05" w:rsidR="00BD462C" w:rsidRDefault="00033D0F">
      <w:pPr>
        <w:spacing w:before="112"/>
        <w:ind w:left="135"/>
        <w:jc w:val="both"/>
        <w:rPr>
          <w:sz w:val="18"/>
        </w:rPr>
      </w:pPr>
      <w:bookmarkStart w:id="1490" w:name="_bookmark1282"/>
      <w:bookmarkEnd w:id="1490"/>
      <w:r>
        <w:rPr>
          <w:position w:val="5"/>
          <w:sz w:val="12"/>
        </w:rPr>
        <w:t>1105</w:t>
      </w:r>
      <w:r>
        <w:rPr>
          <w:spacing w:val="13"/>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 xml:space="preserve">para. </w:t>
      </w:r>
      <w:r>
        <w:rPr>
          <w:spacing w:val="-2"/>
          <w:sz w:val="18"/>
        </w:rPr>
        <w:t>2322.</w:t>
      </w:r>
    </w:p>
    <w:p w14:paraId="1CA4DAC7" w14:textId="77777777" w:rsidR="00BD462C" w:rsidRDefault="00033D0F">
      <w:pPr>
        <w:spacing w:before="1"/>
        <w:ind w:left="135" w:right="5951"/>
        <w:jc w:val="both"/>
        <w:rPr>
          <w:sz w:val="18"/>
        </w:rPr>
      </w:pPr>
      <w:bookmarkStart w:id="1491" w:name="_bookmark1283"/>
      <w:bookmarkEnd w:id="1491"/>
      <w:r>
        <w:rPr>
          <w:position w:val="5"/>
          <w:sz w:val="12"/>
        </w:rPr>
        <w:t>1106</w:t>
      </w:r>
      <w:r>
        <w:rPr>
          <w:spacing w:val="11"/>
          <w:position w:val="5"/>
          <w:sz w:val="12"/>
        </w:rPr>
        <w:t xml:space="preserve"> </w:t>
      </w:r>
      <w:r>
        <w:rPr>
          <w:sz w:val="18"/>
        </w:rPr>
        <w:t>Australia's</w:t>
      </w:r>
      <w:r>
        <w:rPr>
          <w:spacing w:val="-7"/>
          <w:sz w:val="18"/>
        </w:rPr>
        <w:t xml:space="preserve"> </w:t>
      </w:r>
      <w:r>
        <w:rPr>
          <w:sz w:val="18"/>
        </w:rPr>
        <w:t>first</w:t>
      </w:r>
      <w:r>
        <w:rPr>
          <w:spacing w:val="-6"/>
          <w:sz w:val="18"/>
        </w:rPr>
        <w:t xml:space="preserve"> </w:t>
      </w:r>
      <w:r>
        <w:rPr>
          <w:sz w:val="18"/>
        </w:rPr>
        <w:t>written</w:t>
      </w:r>
      <w:r>
        <w:rPr>
          <w:spacing w:val="-3"/>
          <w:sz w:val="18"/>
        </w:rPr>
        <w:t xml:space="preserve"> </w:t>
      </w:r>
      <w:r>
        <w:rPr>
          <w:sz w:val="18"/>
        </w:rPr>
        <w:t>submission,</w:t>
      </w:r>
      <w:r>
        <w:rPr>
          <w:spacing w:val="-1"/>
          <w:sz w:val="18"/>
        </w:rPr>
        <w:t xml:space="preserve"> </w:t>
      </w:r>
      <w:r>
        <w:rPr>
          <w:sz w:val="18"/>
        </w:rPr>
        <w:t>paras.</w:t>
      </w:r>
      <w:r>
        <w:rPr>
          <w:spacing w:val="-6"/>
          <w:sz w:val="18"/>
        </w:rPr>
        <w:t xml:space="preserve"> </w:t>
      </w:r>
      <w:r>
        <w:rPr>
          <w:sz w:val="18"/>
        </w:rPr>
        <w:t xml:space="preserve">870-879. </w:t>
      </w:r>
      <w:bookmarkStart w:id="1492" w:name="_bookmark1284"/>
      <w:bookmarkEnd w:id="1492"/>
      <w:r>
        <w:rPr>
          <w:position w:val="5"/>
          <w:sz w:val="12"/>
        </w:rPr>
        <w:t>1107</w:t>
      </w:r>
      <w:r>
        <w:rPr>
          <w:spacing w:val="22"/>
          <w:position w:val="5"/>
          <w:sz w:val="12"/>
        </w:rPr>
        <w:t xml:space="preserve"> </w:t>
      </w:r>
      <w:r>
        <w:rPr>
          <w:sz w:val="18"/>
        </w:rPr>
        <w:t xml:space="preserve">China's first written submission, paras. 2324-2326. </w:t>
      </w:r>
      <w:bookmarkStart w:id="1493" w:name="_bookmark1285"/>
      <w:bookmarkEnd w:id="1493"/>
      <w:r>
        <w:rPr>
          <w:position w:val="5"/>
          <w:sz w:val="12"/>
        </w:rPr>
        <w:t>1108</w:t>
      </w:r>
      <w:r>
        <w:rPr>
          <w:spacing w:val="32"/>
          <w:position w:val="5"/>
          <w:sz w:val="12"/>
        </w:rPr>
        <w:t xml:space="preserve"> </w:t>
      </w:r>
      <w:r>
        <w:rPr>
          <w:sz w:val="18"/>
        </w:rPr>
        <w:t>Australia first written submission, paras. 863-873.</w:t>
      </w:r>
    </w:p>
    <w:p w14:paraId="7B69D4FD" w14:textId="77777777" w:rsidR="00BD462C" w:rsidRDefault="00BD462C">
      <w:pPr>
        <w:jc w:val="both"/>
        <w:rPr>
          <w:sz w:val="18"/>
        </w:rPr>
        <w:sectPr w:rsidR="00BD462C">
          <w:pgSz w:w="11910" w:h="16840"/>
          <w:pgMar w:top="860" w:right="500" w:bottom="780" w:left="1280" w:header="566" w:footer="590" w:gutter="0"/>
          <w:cols w:space="720"/>
        </w:sectPr>
      </w:pPr>
    </w:p>
    <w:p w14:paraId="261CDFCE"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3CC298E9"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1070E988"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56BBB370" w14:textId="77777777" w:rsidR="00BD462C" w:rsidRDefault="00033D0F">
      <w:pPr>
        <w:pStyle w:val="BodyText"/>
        <w:spacing w:before="102" w:line="360" w:lineRule="auto"/>
        <w:ind w:left="135" w:right="913"/>
        <w:jc w:val="both"/>
      </w:pPr>
      <w:r>
        <w:t>As Australia's submissions made explicitly clear, Australia's arguments about the verbatim identical</w:t>
      </w:r>
      <w:r>
        <w:rPr>
          <w:spacing w:val="-7"/>
        </w:rPr>
        <w:t xml:space="preserve"> </w:t>
      </w:r>
      <w:r>
        <w:t>requests</w:t>
      </w:r>
      <w:r>
        <w:rPr>
          <w:spacing w:val="-8"/>
        </w:rPr>
        <w:t xml:space="preserve"> </w:t>
      </w:r>
      <w:r>
        <w:t>for</w:t>
      </w:r>
      <w:r>
        <w:rPr>
          <w:spacing w:val="-12"/>
        </w:rPr>
        <w:t xml:space="preserve"> </w:t>
      </w:r>
      <w:r>
        <w:t>confidential</w:t>
      </w:r>
      <w:r>
        <w:rPr>
          <w:spacing w:val="-7"/>
        </w:rPr>
        <w:t xml:space="preserve"> </w:t>
      </w:r>
      <w:r>
        <w:t>treatment</w:t>
      </w:r>
      <w:r>
        <w:rPr>
          <w:spacing w:val="-9"/>
        </w:rPr>
        <w:t xml:space="preserve"> </w:t>
      </w:r>
      <w:r>
        <w:t>and</w:t>
      </w:r>
      <w:r>
        <w:rPr>
          <w:spacing w:val="-11"/>
        </w:rPr>
        <w:t xml:space="preserve"> </w:t>
      </w:r>
      <w:r>
        <w:t>non-confidential</w:t>
      </w:r>
      <w:r>
        <w:rPr>
          <w:spacing w:val="-7"/>
        </w:rPr>
        <w:t xml:space="preserve"> </w:t>
      </w:r>
      <w:r>
        <w:t>summaries</w:t>
      </w:r>
      <w:r>
        <w:rPr>
          <w:spacing w:val="-8"/>
        </w:rPr>
        <w:t xml:space="preserve"> </w:t>
      </w:r>
      <w:r>
        <w:t>had</w:t>
      </w:r>
      <w:r>
        <w:rPr>
          <w:spacing w:val="-11"/>
        </w:rPr>
        <w:t xml:space="preserve"> </w:t>
      </w:r>
      <w:r>
        <w:t>equal</w:t>
      </w:r>
      <w:r>
        <w:rPr>
          <w:spacing w:val="-7"/>
        </w:rPr>
        <w:t xml:space="preserve"> </w:t>
      </w:r>
      <w:r>
        <w:t>force "regardless" of whether or not such a scenario arose.</w:t>
      </w:r>
      <w:hyperlink w:anchor="_bookmark1287" w:history="1">
        <w:r>
          <w:rPr>
            <w:vertAlign w:val="superscript"/>
          </w:rPr>
          <w:t>1109</w:t>
        </w:r>
      </w:hyperlink>
    </w:p>
    <w:p w14:paraId="79DFAFE4" w14:textId="078BBEF0" w:rsidR="00BD462C" w:rsidRDefault="000923F6">
      <w:pPr>
        <w:pStyle w:val="BodyText"/>
        <w:spacing w:before="165"/>
        <w:ind w:left="135"/>
      </w:pPr>
      <w:r>
        <w:rPr>
          <w:noProof/>
        </w:rPr>
        <w:t>725.</w:t>
      </w:r>
      <w:r w:rsidR="00033D0F">
        <w:rPr>
          <w:rFonts w:ascii="Times New Roman"/>
          <w:spacing w:val="80"/>
          <w:position w:val="1"/>
          <w:sz w:val="20"/>
        </w:rPr>
        <w:t xml:space="preserve">   </w:t>
      </w:r>
      <w:r w:rsidR="00033D0F">
        <w:rPr>
          <w:position w:val="1"/>
        </w:rPr>
        <w:t>The actual argument Australia raised was as follows:</w:t>
      </w:r>
      <w:hyperlink w:anchor="_bookmark1288" w:history="1">
        <w:r w:rsidR="00033D0F">
          <w:rPr>
            <w:position w:val="1"/>
            <w:vertAlign w:val="superscript"/>
          </w:rPr>
          <w:t>1110</w:t>
        </w:r>
      </w:hyperlink>
    </w:p>
    <w:p w14:paraId="156BC6BA" w14:textId="77777777" w:rsidR="00BD462C" w:rsidRDefault="00BD462C">
      <w:pPr>
        <w:pStyle w:val="BodyText"/>
        <w:spacing w:before="7"/>
        <w:rPr>
          <w:sz w:val="23"/>
        </w:rPr>
      </w:pPr>
    </w:p>
    <w:p w14:paraId="62B37BA6" w14:textId="77777777" w:rsidR="00BD462C" w:rsidRDefault="00033D0F">
      <w:pPr>
        <w:spacing w:line="276" w:lineRule="auto"/>
        <w:ind w:left="985" w:right="914"/>
        <w:jc w:val="both"/>
      </w:pPr>
      <w:r>
        <w:t>The fact that all of these competitor companies provided verbatim identical requests for confidential treatment and non-confidential summaries in their individual questionnaire responses is striking. It indicates that there was some form of coordination or central planning involved in determining that the answers to certain questions in every questionnaire response would be treated as confidential in their entirety, rather than each company</w:t>
      </w:r>
      <w:r>
        <w:rPr>
          <w:spacing w:val="-1"/>
        </w:rPr>
        <w:t xml:space="preserve"> </w:t>
      </w:r>
      <w:r>
        <w:t>making</w:t>
      </w:r>
      <w:r>
        <w:rPr>
          <w:spacing w:val="-1"/>
        </w:rPr>
        <w:t xml:space="preserve"> </w:t>
      </w:r>
      <w:r>
        <w:t>its</w:t>
      </w:r>
      <w:r>
        <w:rPr>
          <w:spacing w:val="-2"/>
        </w:rPr>
        <w:t xml:space="preserve"> </w:t>
      </w:r>
      <w:r>
        <w:t>own</w:t>
      </w:r>
      <w:r>
        <w:rPr>
          <w:spacing w:val="-3"/>
        </w:rPr>
        <w:t xml:space="preserve"> </w:t>
      </w:r>
      <w:r>
        <w:t>requests for confidentiality</w:t>
      </w:r>
      <w:r>
        <w:rPr>
          <w:spacing w:val="-1"/>
        </w:rPr>
        <w:t xml:space="preserve"> </w:t>
      </w:r>
      <w:r>
        <w:t>on</w:t>
      </w:r>
      <w:r>
        <w:rPr>
          <w:spacing w:val="-3"/>
        </w:rPr>
        <w:t xml:space="preserve"> </w:t>
      </w:r>
      <w:r>
        <w:t>an answer-by-answer</w:t>
      </w:r>
      <w:r>
        <w:rPr>
          <w:spacing w:val="-2"/>
        </w:rPr>
        <w:t xml:space="preserve"> </w:t>
      </w:r>
      <w:r>
        <w:t>and</w:t>
      </w:r>
      <w:r>
        <w:rPr>
          <w:spacing w:val="-3"/>
        </w:rPr>
        <w:t xml:space="preserve"> </w:t>
      </w:r>
      <w:r>
        <w:t>point-by- point basis, with each taking into account its own particular circumstances and what it considered to be the confidential information contained within its answers.</w:t>
      </w:r>
    </w:p>
    <w:p w14:paraId="1A9B8458" w14:textId="77777777" w:rsidR="00BD462C" w:rsidRDefault="00BD462C">
      <w:pPr>
        <w:pStyle w:val="BodyText"/>
        <w:spacing w:before="6"/>
        <w:rPr>
          <w:sz w:val="15"/>
        </w:rPr>
      </w:pPr>
    </w:p>
    <w:p w14:paraId="5B30F32B" w14:textId="4ACF0E3D" w:rsidR="00BD462C" w:rsidRDefault="000923F6">
      <w:pPr>
        <w:pStyle w:val="BodyText"/>
        <w:spacing w:before="56" w:line="360" w:lineRule="auto"/>
        <w:ind w:left="135" w:right="912"/>
        <w:jc w:val="both"/>
      </w:pPr>
      <w:r>
        <w:rPr>
          <w:noProof/>
        </w:rPr>
        <w:t>726.</w:t>
      </w:r>
      <w:r w:rsidR="00033D0F">
        <w:rPr>
          <w:rFonts w:ascii="Times New Roman" w:hAnsi="Times New Roman"/>
          <w:spacing w:val="80"/>
          <w:position w:val="1"/>
          <w:sz w:val="20"/>
        </w:rPr>
        <w:t xml:space="preserve"> </w:t>
      </w:r>
      <w:r w:rsidR="00033D0F">
        <w:rPr>
          <w:position w:val="1"/>
        </w:rPr>
        <w:t>China's</w:t>
      </w:r>
      <w:r w:rsidR="00033D0F">
        <w:rPr>
          <w:spacing w:val="-10"/>
          <w:position w:val="1"/>
        </w:rPr>
        <w:t xml:space="preserve"> </w:t>
      </w:r>
      <w:r w:rsidR="00033D0F">
        <w:rPr>
          <w:position w:val="1"/>
        </w:rPr>
        <w:t>response</w:t>
      </w:r>
      <w:r w:rsidR="00033D0F">
        <w:rPr>
          <w:spacing w:val="-12"/>
          <w:position w:val="1"/>
        </w:rPr>
        <w:t xml:space="preserve"> </w:t>
      </w:r>
      <w:r w:rsidR="00033D0F">
        <w:rPr>
          <w:position w:val="1"/>
        </w:rPr>
        <w:t>in</w:t>
      </w:r>
      <w:r w:rsidR="00033D0F">
        <w:rPr>
          <w:spacing w:val="-14"/>
          <w:position w:val="1"/>
        </w:rPr>
        <w:t xml:space="preserve"> </w:t>
      </w:r>
      <w:r w:rsidR="00033D0F">
        <w:rPr>
          <w:position w:val="1"/>
        </w:rPr>
        <w:t>its</w:t>
      </w:r>
      <w:r w:rsidR="00033D0F">
        <w:rPr>
          <w:spacing w:val="-10"/>
          <w:position w:val="1"/>
        </w:rPr>
        <w:t xml:space="preserve"> </w:t>
      </w:r>
      <w:r w:rsidR="00033D0F">
        <w:rPr>
          <w:position w:val="1"/>
        </w:rPr>
        <w:t>first</w:t>
      </w:r>
      <w:r w:rsidR="00033D0F">
        <w:rPr>
          <w:spacing w:val="-14"/>
          <w:position w:val="1"/>
        </w:rPr>
        <w:t xml:space="preserve"> </w:t>
      </w:r>
      <w:r w:rsidR="00033D0F">
        <w:rPr>
          <w:position w:val="1"/>
        </w:rPr>
        <w:t>written</w:t>
      </w:r>
      <w:r w:rsidR="00033D0F">
        <w:rPr>
          <w:spacing w:val="-14"/>
          <w:position w:val="1"/>
        </w:rPr>
        <w:t xml:space="preserve"> </w:t>
      </w:r>
      <w:r w:rsidR="00033D0F">
        <w:rPr>
          <w:position w:val="1"/>
        </w:rPr>
        <w:t>submission</w:t>
      </w:r>
      <w:r w:rsidR="00033D0F">
        <w:rPr>
          <w:spacing w:val="-13"/>
          <w:position w:val="1"/>
        </w:rPr>
        <w:t xml:space="preserve"> </w:t>
      </w:r>
      <w:r w:rsidR="00033D0F">
        <w:rPr>
          <w:position w:val="1"/>
        </w:rPr>
        <w:t>does</w:t>
      </w:r>
      <w:r w:rsidR="00033D0F">
        <w:rPr>
          <w:spacing w:val="-10"/>
          <w:position w:val="1"/>
        </w:rPr>
        <w:t xml:space="preserve"> </w:t>
      </w:r>
      <w:r w:rsidR="00033D0F">
        <w:rPr>
          <w:position w:val="1"/>
        </w:rPr>
        <w:t>not</w:t>
      </w:r>
      <w:r w:rsidR="00033D0F">
        <w:rPr>
          <w:spacing w:val="-11"/>
          <w:position w:val="1"/>
        </w:rPr>
        <w:t xml:space="preserve"> </w:t>
      </w:r>
      <w:r w:rsidR="00033D0F">
        <w:rPr>
          <w:position w:val="1"/>
        </w:rPr>
        <w:t>contest</w:t>
      </w:r>
      <w:r w:rsidR="00033D0F">
        <w:rPr>
          <w:spacing w:val="-11"/>
          <w:position w:val="1"/>
        </w:rPr>
        <w:t xml:space="preserve"> </w:t>
      </w:r>
      <w:r w:rsidR="00033D0F">
        <w:rPr>
          <w:position w:val="1"/>
        </w:rPr>
        <w:t>these</w:t>
      </w:r>
      <w:r w:rsidR="00033D0F">
        <w:rPr>
          <w:spacing w:val="-12"/>
          <w:position w:val="1"/>
        </w:rPr>
        <w:t xml:space="preserve"> </w:t>
      </w:r>
      <w:r w:rsidR="00033D0F">
        <w:rPr>
          <w:position w:val="1"/>
        </w:rPr>
        <w:t>arguments,</w:t>
      </w:r>
      <w:r w:rsidR="00033D0F">
        <w:rPr>
          <w:spacing w:val="-10"/>
          <w:position w:val="1"/>
        </w:rPr>
        <w:t xml:space="preserve"> </w:t>
      </w:r>
      <w:r w:rsidR="00033D0F">
        <w:rPr>
          <w:position w:val="1"/>
        </w:rPr>
        <w:t xml:space="preserve">but </w:t>
      </w:r>
      <w:r w:rsidR="00033D0F">
        <w:t xml:space="preserve">rather </w:t>
      </w:r>
      <w:r w:rsidR="00033D0F">
        <w:rPr>
          <w:i/>
        </w:rPr>
        <w:t xml:space="preserve">positively confirms </w:t>
      </w:r>
      <w:r w:rsidR="00033D0F">
        <w:t>that the reason why verbatim identical requests were given was because of a form of coordination or planning – namely that they used a common law firm. This</w:t>
      </w:r>
      <w:r w:rsidR="00033D0F">
        <w:rPr>
          <w:spacing w:val="-14"/>
        </w:rPr>
        <w:t xml:space="preserve"> </w:t>
      </w:r>
      <w:r w:rsidR="00033D0F">
        <w:t>explanation</w:t>
      </w:r>
      <w:r w:rsidR="00033D0F">
        <w:rPr>
          <w:spacing w:val="-14"/>
        </w:rPr>
        <w:t xml:space="preserve"> </w:t>
      </w:r>
      <w:r w:rsidR="00033D0F">
        <w:t>–</w:t>
      </w:r>
      <w:r w:rsidR="00033D0F">
        <w:rPr>
          <w:spacing w:val="-13"/>
        </w:rPr>
        <w:t xml:space="preserve"> </w:t>
      </w:r>
      <w:r w:rsidR="00033D0F">
        <w:t>that</w:t>
      </w:r>
      <w:r w:rsidR="00033D0F">
        <w:rPr>
          <w:spacing w:val="-14"/>
        </w:rPr>
        <w:t xml:space="preserve"> </w:t>
      </w:r>
      <w:r w:rsidR="00033D0F">
        <w:t>a</w:t>
      </w:r>
      <w:r w:rsidR="00033D0F">
        <w:rPr>
          <w:spacing w:val="-13"/>
        </w:rPr>
        <w:t xml:space="preserve"> </w:t>
      </w:r>
      <w:r w:rsidR="00033D0F">
        <w:t>single</w:t>
      </w:r>
      <w:r w:rsidR="00033D0F">
        <w:rPr>
          <w:spacing w:val="-14"/>
        </w:rPr>
        <w:t xml:space="preserve"> </w:t>
      </w:r>
      <w:r w:rsidR="00033D0F">
        <w:t>law</w:t>
      </w:r>
      <w:r w:rsidR="00033D0F">
        <w:rPr>
          <w:spacing w:val="-13"/>
        </w:rPr>
        <w:t xml:space="preserve"> </w:t>
      </w:r>
      <w:r w:rsidR="00033D0F">
        <w:t>firm</w:t>
      </w:r>
      <w:r w:rsidR="00033D0F">
        <w:rPr>
          <w:spacing w:val="-14"/>
        </w:rPr>
        <w:t xml:space="preserve"> </w:t>
      </w:r>
      <w:r w:rsidR="00033D0F">
        <w:t>was</w:t>
      </w:r>
      <w:r w:rsidR="00033D0F">
        <w:rPr>
          <w:spacing w:val="-14"/>
        </w:rPr>
        <w:t xml:space="preserve"> </w:t>
      </w:r>
      <w:r w:rsidR="00033D0F">
        <w:t>used</w:t>
      </w:r>
      <w:r w:rsidR="00033D0F">
        <w:rPr>
          <w:spacing w:val="-13"/>
        </w:rPr>
        <w:t xml:space="preserve"> </w:t>
      </w:r>
      <w:r w:rsidR="00033D0F">
        <w:t>for</w:t>
      </w:r>
      <w:r w:rsidR="00033D0F">
        <w:rPr>
          <w:spacing w:val="-14"/>
        </w:rPr>
        <w:t xml:space="preserve"> </w:t>
      </w:r>
      <w:r w:rsidR="00033D0F">
        <w:t>all</w:t>
      </w:r>
      <w:r w:rsidR="00033D0F">
        <w:rPr>
          <w:spacing w:val="-13"/>
        </w:rPr>
        <w:t xml:space="preserve"> </w:t>
      </w:r>
      <w:r w:rsidR="00033D0F">
        <w:t>21</w:t>
      </w:r>
      <w:r w:rsidR="00033D0F">
        <w:rPr>
          <w:spacing w:val="-14"/>
        </w:rPr>
        <w:t xml:space="preserve"> </w:t>
      </w:r>
      <w:r w:rsidR="00033D0F">
        <w:t>firms</w:t>
      </w:r>
      <w:r w:rsidR="00033D0F">
        <w:rPr>
          <w:spacing w:val="-13"/>
        </w:rPr>
        <w:t xml:space="preserve"> </w:t>
      </w:r>
      <w:r w:rsidR="00033D0F">
        <w:t>–</w:t>
      </w:r>
      <w:r w:rsidR="00033D0F">
        <w:rPr>
          <w:spacing w:val="-14"/>
        </w:rPr>
        <w:t xml:space="preserve"> </w:t>
      </w:r>
      <w:r w:rsidR="00033D0F">
        <w:t>confirms,</w:t>
      </w:r>
      <w:r w:rsidR="00033D0F">
        <w:rPr>
          <w:spacing w:val="-14"/>
        </w:rPr>
        <w:t xml:space="preserve"> </w:t>
      </w:r>
      <w:r w:rsidR="00033D0F">
        <w:t>rather</w:t>
      </w:r>
      <w:r w:rsidR="00033D0F">
        <w:rPr>
          <w:spacing w:val="-13"/>
        </w:rPr>
        <w:t xml:space="preserve"> </w:t>
      </w:r>
      <w:r w:rsidR="00033D0F">
        <w:t>that</w:t>
      </w:r>
      <w:r w:rsidR="00033D0F">
        <w:rPr>
          <w:spacing w:val="-14"/>
        </w:rPr>
        <w:t xml:space="preserve"> </w:t>
      </w:r>
      <w:r w:rsidR="00033D0F">
        <w:t>rebuts, Australia's argument. For a law firm to have apparently given identical advice to 21 different clients, and drafted identical responses for each of them, demonstrates that there was "central planning involved in determining that the answers to certain questions in every questionnaire response would be treated as confidential in their entirety" and gives rise to a strong inference that this was done in a generic way "rather than each company making its own</w:t>
      </w:r>
      <w:r w:rsidR="00033D0F">
        <w:rPr>
          <w:spacing w:val="-4"/>
        </w:rPr>
        <w:t xml:space="preserve"> </w:t>
      </w:r>
      <w:r w:rsidR="00033D0F">
        <w:t>requests</w:t>
      </w:r>
      <w:r w:rsidR="00033D0F">
        <w:rPr>
          <w:spacing w:val="-1"/>
        </w:rPr>
        <w:t xml:space="preserve"> </w:t>
      </w:r>
      <w:r w:rsidR="00033D0F">
        <w:t>for</w:t>
      </w:r>
      <w:r w:rsidR="00033D0F">
        <w:rPr>
          <w:spacing w:val="-5"/>
        </w:rPr>
        <w:t xml:space="preserve"> </w:t>
      </w:r>
      <w:r w:rsidR="00033D0F">
        <w:t>confidentiality</w:t>
      </w:r>
      <w:r w:rsidR="00033D0F">
        <w:rPr>
          <w:spacing w:val="-1"/>
        </w:rPr>
        <w:t xml:space="preserve"> </w:t>
      </w:r>
      <w:r w:rsidR="00033D0F">
        <w:t>on</w:t>
      </w:r>
      <w:r w:rsidR="00033D0F">
        <w:rPr>
          <w:spacing w:val="-4"/>
        </w:rPr>
        <w:t xml:space="preserve"> </w:t>
      </w:r>
      <w:r w:rsidR="00033D0F">
        <w:t>an</w:t>
      </w:r>
      <w:r w:rsidR="00033D0F">
        <w:rPr>
          <w:spacing w:val="-4"/>
        </w:rPr>
        <w:t xml:space="preserve"> </w:t>
      </w:r>
      <w:r w:rsidR="00033D0F">
        <w:t>answer-by-answer</w:t>
      </w:r>
      <w:r w:rsidR="00033D0F">
        <w:rPr>
          <w:spacing w:val="-5"/>
        </w:rPr>
        <w:t xml:space="preserve"> </w:t>
      </w:r>
      <w:r w:rsidR="00033D0F">
        <w:t>and</w:t>
      </w:r>
      <w:r w:rsidR="00033D0F">
        <w:rPr>
          <w:spacing w:val="-4"/>
        </w:rPr>
        <w:t xml:space="preserve"> </w:t>
      </w:r>
      <w:r w:rsidR="00033D0F">
        <w:t>point-by-point basis, with</w:t>
      </w:r>
      <w:r w:rsidR="00033D0F">
        <w:rPr>
          <w:spacing w:val="-4"/>
        </w:rPr>
        <w:t xml:space="preserve"> </w:t>
      </w:r>
      <w:r w:rsidR="00033D0F">
        <w:t>each taking into account its own particular circumstances and what it considered to be the confidential information contained within its answers".</w:t>
      </w:r>
    </w:p>
    <w:p w14:paraId="7FED923B" w14:textId="77777777" w:rsidR="00BD462C" w:rsidRDefault="00033D0F">
      <w:pPr>
        <w:pStyle w:val="Heading3"/>
        <w:numPr>
          <w:ilvl w:val="0"/>
          <w:numId w:val="30"/>
        </w:numPr>
        <w:tabs>
          <w:tab w:val="left" w:pos="2545"/>
          <w:tab w:val="left" w:pos="2546"/>
        </w:tabs>
        <w:spacing w:before="156" w:line="362" w:lineRule="auto"/>
        <w:ind w:right="916"/>
      </w:pPr>
      <w:bookmarkStart w:id="1494" w:name="9._The_authoritative_domestic_organisati"/>
      <w:bookmarkStart w:id="1495" w:name="_bookmark1286"/>
      <w:bookmarkEnd w:id="1494"/>
      <w:bookmarkEnd w:id="1495"/>
      <w:r>
        <w:t xml:space="preserve">The authoritative domestic </w:t>
      </w:r>
      <w:proofErr w:type="spellStart"/>
      <w:r>
        <w:t>organisation's</w:t>
      </w:r>
      <w:proofErr w:type="spellEnd"/>
      <w:r>
        <w:t xml:space="preserve"> information about the total output of the Chinese domestic wine industry</w:t>
      </w:r>
    </w:p>
    <w:p w14:paraId="580FEAED" w14:textId="77777777" w:rsidR="00BD462C" w:rsidRDefault="00BD462C">
      <w:pPr>
        <w:pStyle w:val="BodyText"/>
        <w:spacing w:before="8"/>
        <w:rPr>
          <w:b/>
          <w:sz w:val="8"/>
        </w:rPr>
      </w:pPr>
    </w:p>
    <w:p w14:paraId="75B46BEC" w14:textId="1BDE91C2" w:rsidR="00BD462C" w:rsidRDefault="000923F6">
      <w:pPr>
        <w:pStyle w:val="BodyText"/>
        <w:spacing w:before="56" w:line="357" w:lineRule="auto"/>
        <w:ind w:left="135" w:right="918"/>
        <w:jc w:val="both"/>
      </w:pPr>
      <w:r>
        <w:rPr>
          <w:noProof/>
        </w:rPr>
        <w:t>727.</w:t>
      </w:r>
      <w:r w:rsidR="00033D0F">
        <w:rPr>
          <w:rFonts w:ascii="Times New Roman"/>
          <w:spacing w:val="80"/>
          <w:position w:val="1"/>
          <w:sz w:val="20"/>
        </w:rPr>
        <w:t xml:space="preserve">  </w:t>
      </w:r>
      <w:r w:rsidR="00033D0F">
        <w:rPr>
          <w:position w:val="1"/>
        </w:rPr>
        <w:t xml:space="preserve">In its first written submission, Australia raised a number of complaints about the </w:t>
      </w:r>
      <w:r w:rsidR="00033D0F">
        <w:t xml:space="preserve">failure to make available to interested </w:t>
      </w:r>
      <w:proofErr w:type="gramStart"/>
      <w:r w:rsidR="00033D0F">
        <w:t>parties</w:t>
      </w:r>
      <w:proofErr w:type="gramEnd"/>
      <w:r w:rsidR="00033D0F">
        <w:t xml:space="preserve"> information concerning the identity of an "authoritative</w:t>
      </w:r>
      <w:r w:rsidR="00033D0F">
        <w:rPr>
          <w:spacing w:val="22"/>
        </w:rPr>
        <w:t xml:space="preserve"> </w:t>
      </w:r>
      <w:r w:rsidR="00033D0F">
        <w:t>domestic</w:t>
      </w:r>
      <w:r w:rsidR="00033D0F">
        <w:rPr>
          <w:spacing w:val="20"/>
        </w:rPr>
        <w:t xml:space="preserve"> </w:t>
      </w:r>
      <w:proofErr w:type="spellStart"/>
      <w:r w:rsidR="00033D0F">
        <w:t>organisation</w:t>
      </w:r>
      <w:proofErr w:type="spellEnd"/>
      <w:r w:rsidR="00033D0F">
        <w:t>"</w:t>
      </w:r>
      <w:r w:rsidR="00033D0F">
        <w:rPr>
          <w:spacing w:val="21"/>
        </w:rPr>
        <w:t xml:space="preserve"> </w:t>
      </w:r>
      <w:r w:rsidR="00033D0F">
        <w:t>and</w:t>
      </w:r>
      <w:r w:rsidR="00033D0F">
        <w:rPr>
          <w:spacing w:val="20"/>
        </w:rPr>
        <w:t xml:space="preserve"> </w:t>
      </w:r>
      <w:r w:rsidR="00033D0F">
        <w:t>the</w:t>
      </w:r>
      <w:r w:rsidR="00033D0F">
        <w:rPr>
          <w:spacing w:val="26"/>
        </w:rPr>
        <w:t xml:space="preserve"> </w:t>
      </w:r>
      <w:r w:rsidR="00033D0F">
        <w:t>statistical</w:t>
      </w:r>
      <w:r w:rsidR="00033D0F">
        <w:rPr>
          <w:spacing w:val="24"/>
        </w:rPr>
        <w:t xml:space="preserve"> </w:t>
      </w:r>
      <w:r w:rsidR="00033D0F">
        <w:t>data</w:t>
      </w:r>
      <w:r w:rsidR="00033D0F">
        <w:rPr>
          <w:spacing w:val="21"/>
        </w:rPr>
        <w:t xml:space="preserve"> </w:t>
      </w:r>
      <w:r w:rsidR="00033D0F">
        <w:t>it</w:t>
      </w:r>
      <w:r w:rsidR="00033D0F">
        <w:rPr>
          <w:spacing w:val="22"/>
        </w:rPr>
        <w:t xml:space="preserve"> </w:t>
      </w:r>
      <w:r w:rsidR="00033D0F">
        <w:t>provided</w:t>
      </w:r>
      <w:r w:rsidR="00033D0F">
        <w:rPr>
          <w:spacing w:val="20"/>
        </w:rPr>
        <w:t xml:space="preserve"> </w:t>
      </w:r>
      <w:r w:rsidR="00033D0F">
        <w:t>that</w:t>
      </w:r>
      <w:r w:rsidR="00033D0F">
        <w:rPr>
          <w:spacing w:val="22"/>
        </w:rPr>
        <w:t xml:space="preserve"> </w:t>
      </w:r>
      <w:r w:rsidR="00033D0F">
        <w:t>was</w:t>
      </w:r>
      <w:r w:rsidR="00033D0F">
        <w:rPr>
          <w:spacing w:val="23"/>
        </w:rPr>
        <w:t xml:space="preserve"> </w:t>
      </w:r>
      <w:r w:rsidR="00033D0F">
        <w:t>used</w:t>
      </w:r>
      <w:r w:rsidR="00033D0F">
        <w:rPr>
          <w:spacing w:val="25"/>
        </w:rPr>
        <w:t xml:space="preserve"> </w:t>
      </w:r>
      <w:r w:rsidR="00033D0F">
        <w:t>by</w:t>
      </w:r>
    </w:p>
    <w:p w14:paraId="259D372B" w14:textId="77777777" w:rsidR="00BD462C" w:rsidRDefault="00BD462C">
      <w:pPr>
        <w:pStyle w:val="BodyText"/>
        <w:rPr>
          <w:sz w:val="20"/>
        </w:rPr>
      </w:pPr>
    </w:p>
    <w:p w14:paraId="1B5A3EF8" w14:textId="5D52A760" w:rsidR="00BD462C" w:rsidRDefault="00D70C7D">
      <w:pPr>
        <w:pStyle w:val="BodyText"/>
        <w:spacing w:before="2"/>
        <w:rPr>
          <w:sz w:val="25"/>
        </w:rPr>
      </w:pPr>
      <w:r>
        <w:rPr>
          <w:noProof/>
        </w:rPr>
        <mc:AlternateContent>
          <mc:Choice Requires="wps">
            <w:drawing>
              <wp:anchor distT="0" distB="0" distL="0" distR="0" simplePos="0" relativeHeight="487824384" behindDoc="1" locked="0" layoutInCell="1" allowOverlap="1" wp14:anchorId="2AE4C964" wp14:editId="600EE31D">
                <wp:simplePos x="0" y="0"/>
                <wp:positionH relativeFrom="page">
                  <wp:posOffset>899160</wp:posOffset>
                </wp:positionH>
                <wp:positionV relativeFrom="paragraph">
                  <wp:posOffset>210185</wp:posOffset>
                </wp:positionV>
                <wp:extent cx="1828800" cy="8890"/>
                <wp:effectExtent l="0" t="0" r="0" b="0"/>
                <wp:wrapTopAndBottom/>
                <wp:docPr id="418" name="docshape5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764ED8" id="docshape513" o:spid="_x0000_s1026" alt="&quot;&quot;" style="position:absolute;margin-left:70.8pt;margin-top:16.55pt;width:2in;height:.7pt;z-index:-1549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" fillcolor="black" stroked="f">
                <w10:wrap type="topAndBottom" anchorx="page"/>
              </v:rect>
            </w:pict>
          </mc:Fallback>
        </mc:AlternateContent>
      </w:r>
    </w:p>
    <w:p w14:paraId="702E7B78" w14:textId="77777777" w:rsidR="00BD462C" w:rsidRDefault="00033D0F">
      <w:pPr>
        <w:spacing w:before="112"/>
        <w:ind w:left="135"/>
        <w:rPr>
          <w:sz w:val="18"/>
        </w:rPr>
      </w:pPr>
      <w:bookmarkStart w:id="1496" w:name="_bookmark1287"/>
      <w:bookmarkEnd w:id="1496"/>
      <w:r>
        <w:rPr>
          <w:position w:val="5"/>
          <w:sz w:val="12"/>
        </w:rPr>
        <w:t>1109</w:t>
      </w:r>
      <w:r>
        <w:rPr>
          <w:spacing w:val="13"/>
          <w:position w:val="5"/>
          <w:sz w:val="12"/>
        </w:rPr>
        <w:t xml:space="preserve"> </w:t>
      </w:r>
      <w:r>
        <w:rPr>
          <w:sz w:val="18"/>
        </w:rPr>
        <w:t>Australia</w:t>
      </w:r>
      <w:r>
        <w:rPr>
          <w:spacing w:val="-7"/>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paras.</w:t>
      </w:r>
      <w:r>
        <w:rPr>
          <w:spacing w:val="-4"/>
          <w:sz w:val="18"/>
        </w:rPr>
        <w:t xml:space="preserve"> </w:t>
      </w:r>
      <w:r>
        <w:rPr>
          <w:sz w:val="18"/>
        </w:rPr>
        <w:t>863-</w:t>
      </w:r>
      <w:r>
        <w:rPr>
          <w:spacing w:val="-4"/>
          <w:sz w:val="18"/>
        </w:rPr>
        <w:t>873.</w:t>
      </w:r>
    </w:p>
    <w:p w14:paraId="4243A075" w14:textId="77777777" w:rsidR="00BD462C" w:rsidRDefault="00033D0F">
      <w:pPr>
        <w:spacing w:before="1"/>
        <w:ind w:left="135"/>
        <w:rPr>
          <w:sz w:val="18"/>
        </w:rPr>
      </w:pPr>
      <w:bookmarkStart w:id="1497" w:name="_bookmark1288"/>
      <w:bookmarkEnd w:id="1497"/>
      <w:r>
        <w:rPr>
          <w:position w:val="5"/>
          <w:sz w:val="12"/>
        </w:rPr>
        <w:t>1110</w:t>
      </w:r>
      <w:r>
        <w:rPr>
          <w:spacing w:val="14"/>
          <w:position w:val="5"/>
          <w:sz w:val="12"/>
        </w:rPr>
        <w:t xml:space="preserve"> </w:t>
      </w:r>
      <w:r>
        <w:rPr>
          <w:sz w:val="18"/>
        </w:rPr>
        <w:t>Australia</w:t>
      </w:r>
      <w:r>
        <w:rPr>
          <w:spacing w:val="-7"/>
          <w:sz w:val="18"/>
        </w:rPr>
        <w:t xml:space="preserve"> </w:t>
      </w:r>
      <w:r>
        <w:rPr>
          <w:sz w:val="18"/>
        </w:rPr>
        <w:t>first</w:t>
      </w:r>
      <w:r>
        <w:rPr>
          <w:spacing w:val="-3"/>
          <w:sz w:val="18"/>
        </w:rPr>
        <w:t xml:space="preserve"> </w:t>
      </w:r>
      <w:r>
        <w:rPr>
          <w:sz w:val="18"/>
        </w:rPr>
        <w:t>written</w:t>
      </w:r>
      <w:r>
        <w:rPr>
          <w:spacing w:val="-6"/>
          <w:sz w:val="18"/>
        </w:rPr>
        <w:t xml:space="preserve"> </w:t>
      </w:r>
      <w:r>
        <w:rPr>
          <w:sz w:val="18"/>
        </w:rPr>
        <w:t>submission,</w:t>
      </w:r>
      <w:r>
        <w:rPr>
          <w:spacing w:val="2"/>
          <w:sz w:val="18"/>
        </w:rPr>
        <w:t xml:space="preserve"> </w:t>
      </w:r>
      <w:r>
        <w:rPr>
          <w:sz w:val="18"/>
        </w:rPr>
        <w:t>para.</w:t>
      </w:r>
      <w:r>
        <w:rPr>
          <w:spacing w:val="1"/>
          <w:sz w:val="18"/>
        </w:rPr>
        <w:t xml:space="preserve"> </w:t>
      </w:r>
      <w:r>
        <w:rPr>
          <w:sz w:val="18"/>
        </w:rPr>
        <w:t>863,</w:t>
      </w:r>
      <w:r>
        <w:rPr>
          <w:spacing w:val="-3"/>
          <w:sz w:val="18"/>
        </w:rPr>
        <w:t xml:space="preserve"> </w:t>
      </w:r>
      <w:r>
        <w:rPr>
          <w:sz w:val="18"/>
        </w:rPr>
        <w:t>see</w:t>
      </w:r>
      <w:r>
        <w:rPr>
          <w:spacing w:val="-1"/>
          <w:sz w:val="18"/>
        </w:rPr>
        <w:t xml:space="preserve"> </w:t>
      </w:r>
      <w:r>
        <w:rPr>
          <w:sz w:val="18"/>
        </w:rPr>
        <w:t>also</w:t>
      </w:r>
      <w:r>
        <w:rPr>
          <w:spacing w:val="-5"/>
          <w:sz w:val="18"/>
        </w:rPr>
        <w:t xml:space="preserve"> </w:t>
      </w:r>
      <w:r>
        <w:rPr>
          <w:sz w:val="18"/>
        </w:rPr>
        <w:t>similar</w:t>
      </w:r>
      <w:r>
        <w:rPr>
          <w:spacing w:val="-6"/>
          <w:sz w:val="18"/>
        </w:rPr>
        <w:t xml:space="preserve"> </w:t>
      </w:r>
      <w:r>
        <w:rPr>
          <w:sz w:val="18"/>
        </w:rPr>
        <w:t>language</w:t>
      </w:r>
      <w:r>
        <w:rPr>
          <w:spacing w:val="-5"/>
          <w:sz w:val="18"/>
        </w:rPr>
        <w:t xml:space="preserve"> </w:t>
      </w:r>
      <w:r>
        <w:rPr>
          <w:sz w:val="18"/>
        </w:rPr>
        <w:t>in</w:t>
      </w:r>
      <w:r>
        <w:rPr>
          <w:spacing w:val="-6"/>
          <w:sz w:val="18"/>
        </w:rPr>
        <w:t xml:space="preserve"> </w:t>
      </w:r>
      <w:r>
        <w:rPr>
          <w:sz w:val="18"/>
        </w:rPr>
        <w:t>para.</w:t>
      </w:r>
      <w:r>
        <w:rPr>
          <w:spacing w:val="-3"/>
          <w:sz w:val="18"/>
        </w:rPr>
        <w:t xml:space="preserve"> </w:t>
      </w:r>
      <w:r>
        <w:rPr>
          <w:spacing w:val="-4"/>
          <w:sz w:val="18"/>
        </w:rPr>
        <w:t>873.</w:t>
      </w:r>
    </w:p>
    <w:p w14:paraId="376F77B4" w14:textId="77777777" w:rsidR="00BD462C" w:rsidRDefault="00BD462C">
      <w:pPr>
        <w:rPr>
          <w:sz w:val="18"/>
        </w:rPr>
        <w:sectPr w:rsidR="00BD462C">
          <w:pgSz w:w="11910" w:h="16840"/>
          <w:pgMar w:top="860" w:right="500" w:bottom="780" w:left="1280" w:header="566" w:footer="590" w:gutter="0"/>
          <w:cols w:space="720"/>
        </w:sectPr>
      </w:pPr>
    </w:p>
    <w:p w14:paraId="4A500E01"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7C361F7D"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43630A87"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4997AA4B" w14:textId="77777777" w:rsidR="00BD462C" w:rsidRDefault="00033D0F">
      <w:pPr>
        <w:pStyle w:val="BodyText"/>
        <w:spacing w:before="102" w:line="360" w:lineRule="auto"/>
        <w:ind w:left="136" w:right="912"/>
        <w:jc w:val="both"/>
      </w:pPr>
      <w:r>
        <w:t>MOFCOM to calculate the total output of the Chinese domestic wine industry.</w:t>
      </w:r>
      <w:hyperlink w:anchor="_bookmark1289" w:history="1">
        <w:r>
          <w:rPr>
            <w:vertAlign w:val="superscript"/>
          </w:rPr>
          <w:t>1111</w:t>
        </w:r>
      </w:hyperlink>
      <w:r>
        <w:t xml:space="preserve"> As those submissions made clear, they were based on the fact that there "is nothing in the record to suggest that this information was confidential".</w:t>
      </w:r>
      <w:hyperlink w:anchor="_bookmark1290" w:history="1">
        <w:r>
          <w:rPr>
            <w:vertAlign w:val="superscript"/>
          </w:rPr>
          <w:t>1112</w:t>
        </w:r>
      </w:hyperlink>
    </w:p>
    <w:p w14:paraId="5A6CE380" w14:textId="77777777" w:rsidR="00BD462C" w:rsidRDefault="00BD462C">
      <w:pPr>
        <w:pStyle w:val="BodyText"/>
        <w:spacing w:before="11"/>
        <w:rPr>
          <w:sz w:val="8"/>
        </w:rPr>
      </w:pPr>
    </w:p>
    <w:p w14:paraId="1E6080B1" w14:textId="42C58501" w:rsidR="00BD462C" w:rsidRDefault="000923F6">
      <w:pPr>
        <w:pStyle w:val="BodyText"/>
        <w:spacing w:before="56" w:line="360" w:lineRule="auto"/>
        <w:ind w:left="135" w:right="909"/>
        <w:jc w:val="both"/>
      </w:pPr>
      <w:r>
        <w:rPr>
          <w:noProof/>
        </w:rPr>
        <w:t>728.</w:t>
      </w:r>
      <w:r w:rsidR="00033D0F">
        <w:rPr>
          <w:rFonts w:ascii="Times New Roman"/>
          <w:spacing w:val="80"/>
          <w:position w:val="1"/>
          <w:sz w:val="20"/>
        </w:rPr>
        <w:t xml:space="preserve">  </w:t>
      </w:r>
      <w:r w:rsidR="00033D0F">
        <w:rPr>
          <w:position w:val="1"/>
        </w:rPr>
        <w:t>In</w:t>
      </w:r>
      <w:r w:rsidR="00033D0F">
        <w:rPr>
          <w:spacing w:val="-4"/>
          <w:position w:val="1"/>
        </w:rPr>
        <w:t xml:space="preserve"> </w:t>
      </w:r>
      <w:r w:rsidR="00033D0F">
        <w:rPr>
          <w:position w:val="1"/>
        </w:rPr>
        <w:t>its</w:t>
      </w:r>
      <w:r w:rsidR="00033D0F">
        <w:rPr>
          <w:spacing w:val="-1"/>
          <w:position w:val="1"/>
        </w:rPr>
        <w:t xml:space="preserve"> </w:t>
      </w:r>
      <w:r w:rsidR="00033D0F">
        <w:rPr>
          <w:position w:val="1"/>
        </w:rPr>
        <w:t>first</w:t>
      </w:r>
      <w:r w:rsidR="00033D0F">
        <w:rPr>
          <w:spacing w:val="-2"/>
          <w:position w:val="1"/>
        </w:rPr>
        <w:t xml:space="preserve"> </w:t>
      </w:r>
      <w:r w:rsidR="00033D0F">
        <w:rPr>
          <w:position w:val="1"/>
        </w:rPr>
        <w:t>written</w:t>
      </w:r>
      <w:r w:rsidR="00033D0F">
        <w:rPr>
          <w:spacing w:val="-4"/>
          <w:position w:val="1"/>
        </w:rPr>
        <w:t xml:space="preserve"> </w:t>
      </w:r>
      <w:r w:rsidR="00033D0F">
        <w:rPr>
          <w:position w:val="1"/>
        </w:rPr>
        <w:t>submission</w:t>
      </w:r>
      <w:r w:rsidR="00033D0F">
        <w:rPr>
          <w:spacing w:val="-4"/>
          <w:position w:val="1"/>
        </w:rPr>
        <w:t xml:space="preserve"> </w:t>
      </w:r>
      <w:r w:rsidR="00033D0F">
        <w:rPr>
          <w:position w:val="1"/>
        </w:rPr>
        <w:t>China</w:t>
      </w:r>
      <w:r w:rsidR="00033D0F">
        <w:rPr>
          <w:spacing w:val="-3"/>
          <w:position w:val="1"/>
        </w:rPr>
        <w:t xml:space="preserve"> </w:t>
      </w:r>
      <w:r w:rsidR="00033D0F">
        <w:rPr>
          <w:position w:val="1"/>
        </w:rPr>
        <w:t>replied</w:t>
      </w:r>
      <w:r w:rsidR="00033D0F">
        <w:rPr>
          <w:spacing w:val="-4"/>
          <w:position w:val="1"/>
        </w:rPr>
        <w:t xml:space="preserve"> </w:t>
      </w:r>
      <w:r w:rsidR="00033D0F">
        <w:rPr>
          <w:position w:val="1"/>
        </w:rPr>
        <w:t>that</w:t>
      </w:r>
      <w:r w:rsidR="00033D0F">
        <w:rPr>
          <w:spacing w:val="-2"/>
          <w:position w:val="1"/>
        </w:rPr>
        <w:t xml:space="preserve"> </w:t>
      </w:r>
      <w:r w:rsidR="00033D0F">
        <w:rPr>
          <w:position w:val="1"/>
        </w:rPr>
        <w:t>both</w:t>
      </w:r>
      <w:r w:rsidR="00033D0F">
        <w:rPr>
          <w:spacing w:val="-4"/>
          <w:position w:val="1"/>
        </w:rPr>
        <w:t xml:space="preserve"> </w:t>
      </w:r>
      <w:r w:rsidR="00033D0F">
        <w:rPr>
          <w:position w:val="1"/>
        </w:rPr>
        <w:t>the</w:t>
      </w:r>
      <w:r w:rsidR="00033D0F">
        <w:rPr>
          <w:spacing w:val="-3"/>
          <w:position w:val="1"/>
        </w:rPr>
        <w:t xml:space="preserve"> </w:t>
      </w:r>
      <w:r w:rsidR="00033D0F">
        <w:rPr>
          <w:position w:val="1"/>
        </w:rPr>
        <w:t>identity</w:t>
      </w:r>
      <w:r w:rsidR="00033D0F">
        <w:rPr>
          <w:spacing w:val="-1"/>
          <w:position w:val="1"/>
        </w:rPr>
        <w:t xml:space="preserve"> </w:t>
      </w:r>
      <w:r w:rsidR="00033D0F">
        <w:rPr>
          <w:position w:val="1"/>
        </w:rPr>
        <w:t>of</w:t>
      </w:r>
      <w:r w:rsidR="00033D0F">
        <w:rPr>
          <w:spacing w:val="-4"/>
          <w:position w:val="1"/>
        </w:rPr>
        <w:t xml:space="preserve"> </w:t>
      </w:r>
      <w:r w:rsidR="00033D0F">
        <w:rPr>
          <w:position w:val="1"/>
        </w:rPr>
        <w:t>the</w:t>
      </w:r>
      <w:r w:rsidR="00033D0F">
        <w:rPr>
          <w:spacing w:val="-3"/>
          <w:position w:val="1"/>
        </w:rPr>
        <w:t xml:space="preserve"> </w:t>
      </w:r>
      <w:proofErr w:type="spellStart"/>
      <w:r w:rsidR="00033D0F">
        <w:rPr>
          <w:position w:val="1"/>
        </w:rPr>
        <w:t>organisation</w:t>
      </w:r>
      <w:proofErr w:type="spellEnd"/>
      <w:r w:rsidR="00033D0F">
        <w:rPr>
          <w:position w:val="1"/>
        </w:rPr>
        <w:t xml:space="preserve"> </w:t>
      </w:r>
      <w:r w:rsidR="00033D0F">
        <w:t xml:space="preserve">and the statistics provided by the </w:t>
      </w:r>
      <w:proofErr w:type="spellStart"/>
      <w:r w:rsidR="00033D0F">
        <w:t>organisation</w:t>
      </w:r>
      <w:proofErr w:type="spellEnd"/>
      <w:r w:rsidR="00033D0F">
        <w:t xml:space="preserve"> were confidential.</w:t>
      </w:r>
      <w:hyperlink w:anchor="_bookmark1291" w:history="1">
        <w:r w:rsidR="00033D0F">
          <w:rPr>
            <w:vertAlign w:val="superscript"/>
          </w:rPr>
          <w:t>1113</w:t>
        </w:r>
      </w:hyperlink>
      <w:r w:rsidR="00033D0F">
        <w:t xml:space="preserve"> This was the first time that Australia became aware of this request for, or grant of, confidential treatment over this information. In its response to the Panel's questions following the first substantive meeting, China</w:t>
      </w:r>
      <w:r w:rsidR="00033D0F">
        <w:rPr>
          <w:spacing w:val="-2"/>
        </w:rPr>
        <w:t xml:space="preserve"> </w:t>
      </w:r>
      <w:r w:rsidR="00033D0F">
        <w:t>identified</w:t>
      </w:r>
      <w:r w:rsidR="00033D0F">
        <w:rPr>
          <w:spacing w:val="-3"/>
        </w:rPr>
        <w:t xml:space="preserve"> </w:t>
      </w:r>
      <w:r w:rsidR="00033D0F">
        <w:t>the</w:t>
      </w:r>
      <w:r w:rsidR="00033D0F">
        <w:rPr>
          <w:spacing w:val="-2"/>
        </w:rPr>
        <w:t xml:space="preserve"> </w:t>
      </w:r>
      <w:r w:rsidR="00033D0F">
        <w:t>name</w:t>
      </w:r>
      <w:r w:rsidR="00033D0F">
        <w:rPr>
          <w:spacing w:val="-1"/>
        </w:rPr>
        <w:t xml:space="preserve"> </w:t>
      </w:r>
      <w:r w:rsidR="00033D0F">
        <w:t>of the</w:t>
      </w:r>
      <w:r w:rsidR="00033D0F">
        <w:rPr>
          <w:spacing w:val="-2"/>
        </w:rPr>
        <w:t xml:space="preserve"> </w:t>
      </w:r>
      <w:r w:rsidR="00033D0F">
        <w:t>authoritative</w:t>
      </w:r>
      <w:r w:rsidR="00033D0F">
        <w:rPr>
          <w:spacing w:val="-1"/>
        </w:rPr>
        <w:t xml:space="preserve"> </w:t>
      </w:r>
      <w:r w:rsidR="00033D0F">
        <w:t>domestic</w:t>
      </w:r>
      <w:r w:rsidR="00033D0F">
        <w:rPr>
          <w:spacing w:val="-3"/>
        </w:rPr>
        <w:t xml:space="preserve"> </w:t>
      </w:r>
      <w:proofErr w:type="spellStart"/>
      <w:r w:rsidR="00033D0F">
        <w:t>organisation</w:t>
      </w:r>
      <w:proofErr w:type="spellEnd"/>
      <w:r w:rsidR="00033D0F">
        <w:t>, and</w:t>
      </w:r>
      <w:r w:rsidR="00033D0F">
        <w:rPr>
          <w:spacing w:val="-3"/>
        </w:rPr>
        <w:t xml:space="preserve"> </w:t>
      </w:r>
      <w:r w:rsidR="00033D0F">
        <w:t>provided</w:t>
      </w:r>
      <w:r w:rsidR="00033D0F">
        <w:rPr>
          <w:spacing w:val="-3"/>
        </w:rPr>
        <w:t xml:space="preserve"> </w:t>
      </w:r>
      <w:r w:rsidR="00033D0F">
        <w:t>a</w:t>
      </w:r>
      <w:r w:rsidR="00033D0F">
        <w:rPr>
          <w:spacing w:val="-2"/>
        </w:rPr>
        <w:t xml:space="preserve"> </w:t>
      </w:r>
      <w:r w:rsidR="00033D0F">
        <w:t>copy of the statistics it had provided and the calculations it had prepared.</w:t>
      </w:r>
      <w:hyperlink w:anchor="_bookmark1292" w:history="1">
        <w:r w:rsidR="00033D0F">
          <w:rPr>
            <w:vertAlign w:val="superscript"/>
          </w:rPr>
          <w:t>1114</w:t>
        </w:r>
      </w:hyperlink>
      <w:r w:rsidR="00033D0F">
        <w:t xml:space="preserve"> China also provided a redacted</w:t>
      </w:r>
      <w:r w:rsidR="00033D0F">
        <w:rPr>
          <w:spacing w:val="-4"/>
        </w:rPr>
        <w:t xml:space="preserve"> </w:t>
      </w:r>
      <w:r w:rsidR="00033D0F">
        <w:t>version</w:t>
      </w:r>
      <w:r w:rsidR="00033D0F">
        <w:rPr>
          <w:spacing w:val="-4"/>
        </w:rPr>
        <w:t xml:space="preserve"> </w:t>
      </w:r>
      <w:r w:rsidR="00033D0F">
        <w:t>of</w:t>
      </w:r>
      <w:r w:rsidR="00033D0F">
        <w:rPr>
          <w:spacing w:val="-4"/>
        </w:rPr>
        <w:t xml:space="preserve"> </w:t>
      </w:r>
      <w:r w:rsidR="00033D0F">
        <w:t>the</w:t>
      </w:r>
      <w:r w:rsidR="00033D0F">
        <w:rPr>
          <w:spacing w:val="-3"/>
        </w:rPr>
        <w:t xml:space="preserve"> </w:t>
      </w:r>
      <w:r w:rsidR="00033D0F">
        <w:t>request</w:t>
      </w:r>
      <w:r w:rsidR="00033D0F">
        <w:rPr>
          <w:spacing w:val="-2"/>
        </w:rPr>
        <w:t xml:space="preserve"> </w:t>
      </w:r>
      <w:r w:rsidR="00033D0F">
        <w:t>for</w:t>
      </w:r>
      <w:r w:rsidR="00033D0F">
        <w:rPr>
          <w:spacing w:val="-5"/>
        </w:rPr>
        <w:t xml:space="preserve"> </w:t>
      </w:r>
      <w:r w:rsidR="00033D0F">
        <w:t>confidential treatment</w:t>
      </w:r>
      <w:r w:rsidR="00033D0F">
        <w:rPr>
          <w:spacing w:val="-2"/>
        </w:rPr>
        <w:t xml:space="preserve"> </w:t>
      </w:r>
      <w:r w:rsidR="00033D0F">
        <w:t>as</w:t>
      </w:r>
      <w:r w:rsidR="00033D0F">
        <w:rPr>
          <w:spacing w:val="-1"/>
        </w:rPr>
        <w:t xml:space="preserve"> </w:t>
      </w:r>
      <w:r w:rsidR="00033D0F">
        <w:t>an</w:t>
      </w:r>
      <w:r w:rsidR="00033D0F">
        <w:rPr>
          <w:spacing w:val="-4"/>
        </w:rPr>
        <w:t xml:space="preserve"> </w:t>
      </w:r>
      <w:r w:rsidR="00033D0F">
        <w:t>exhibit</w:t>
      </w:r>
      <w:r w:rsidR="00033D0F">
        <w:rPr>
          <w:spacing w:val="-2"/>
        </w:rPr>
        <w:t xml:space="preserve"> </w:t>
      </w:r>
      <w:r w:rsidR="00033D0F">
        <w:t>to</w:t>
      </w:r>
      <w:r w:rsidR="00033D0F">
        <w:rPr>
          <w:spacing w:val="-5"/>
        </w:rPr>
        <w:t xml:space="preserve"> </w:t>
      </w:r>
      <w:r w:rsidR="00033D0F">
        <w:t>its response</w:t>
      </w:r>
      <w:r w:rsidR="00033D0F">
        <w:rPr>
          <w:spacing w:val="-2"/>
        </w:rPr>
        <w:t xml:space="preserve"> </w:t>
      </w:r>
      <w:r w:rsidR="00033D0F">
        <w:t>to</w:t>
      </w:r>
      <w:r w:rsidR="00033D0F">
        <w:rPr>
          <w:spacing w:val="-5"/>
        </w:rPr>
        <w:t xml:space="preserve"> </w:t>
      </w:r>
      <w:r w:rsidR="00033D0F">
        <w:t>the Panel's questions.</w:t>
      </w:r>
      <w:hyperlink w:anchor="_bookmark1293" w:history="1">
        <w:r w:rsidR="00033D0F">
          <w:rPr>
            <w:vertAlign w:val="superscript"/>
          </w:rPr>
          <w:t>1115</w:t>
        </w:r>
      </w:hyperlink>
      <w:r w:rsidR="00033D0F">
        <w:t xml:space="preserve"> This was the first time Australia became aware of the reasons given to support the request for confidential treatment.</w:t>
      </w:r>
    </w:p>
    <w:p w14:paraId="7735BBF2" w14:textId="77777777" w:rsidR="00BD462C" w:rsidRDefault="00BD462C">
      <w:pPr>
        <w:pStyle w:val="BodyText"/>
        <w:spacing w:before="5"/>
        <w:rPr>
          <w:sz w:val="8"/>
        </w:rPr>
      </w:pPr>
    </w:p>
    <w:p w14:paraId="63783536" w14:textId="0527D32E" w:rsidR="00BD462C" w:rsidRDefault="00D70C7D">
      <w:pPr>
        <w:pStyle w:val="BodyText"/>
        <w:spacing w:before="56" w:line="357" w:lineRule="auto"/>
        <w:ind w:left="135" w:right="917"/>
        <w:jc w:val="both"/>
      </w:pPr>
      <w:r>
        <w:rPr>
          <w:noProof/>
        </w:rPr>
        <mc:AlternateContent>
          <mc:Choice Requires="wps">
            <w:drawing>
              <wp:anchor distT="0" distB="0" distL="114300" distR="114300" simplePos="0" relativeHeight="479126528" behindDoc="1" locked="0" layoutInCell="1" allowOverlap="1" wp14:anchorId="76193C9C" wp14:editId="362BBD28">
                <wp:simplePos x="0" y="0"/>
                <wp:positionH relativeFrom="page">
                  <wp:posOffset>1898650</wp:posOffset>
                </wp:positionH>
                <wp:positionV relativeFrom="paragraph">
                  <wp:posOffset>589280</wp:posOffset>
                </wp:positionV>
                <wp:extent cx="4761230" cy="186055"/>
                <wp:effectExtent l="0" t="0" r="0" b="0"/>
                <wp:wrapNone/>
                <wp:docPr id="416" name="docshape5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123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3737CD" id="docshape514" o:spid="_x0000_s1026" alt="&quot;&quot;" style="position:absolute;margin-left:149.5pt;margin-top:46.4pt;width:374.9pt;height:14.65pt;z-index:-2418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" fillcolor="black" stroked="f">
                <w10:wrap anchorx="page"/>
              </v:rect>
            </w:pict>
          </mc:Fallback>
        </mc:AlternateContent>
      </w:r>
      <w:r w:rsidR="000923F6">
        <w:rPr>
          <w:noProof/>
        </w:rPr>
        <w:t>729.</w:t>
      </w:r>
      <w:r w:rsidR="00033D0F">
        <w:rPr>
          <w:rFonts w:ascii="Times New Roman"/>
          <w:spacing w:val="80"/>
          <w:position w:val="1"/>
          <w:sz w:val="20"/>
        </w:rPr>
        <w:t xml:space="preserve">   </w:t>
      </w:r>
      <w:r w:rsidR="00033D0F">
        <w:rPr>
          <w:position w:val="1"/>
        </w:rPr>
        <w:t>Australia does</w:t>
      </w:r>
      <w:r w:rsidR="00033D0F">
        <w:rPr>
          <w:spacing w:val="-1"/>
          <w:position w:val="1"/>
        </w:rPr>
        <w:t xml:space="preserve"> </w:t>
      </w:r>
      <w:r w:rsidR="00033D0F">
        <w:rPr>
          <w:position w:val="1"/>
        </w:rPr>
        <w:t>not take</w:t>
      </w:r>
      <w:r w:rsidR="00033D0F">
        <w:rPr>
          <w:spacing w:val="-2"/>
          <w:position w:val="1"/>
        </w:rPr>
        <w:t xml:space="preserve"> </w:t>
      </w:r>
      <w:r w:rsidR="00033D0F">
        <w:rPr>
          <w:position w:val="1"/>
        </w:rPr>
        <w:t>issue with the confidential treatment granted to the</w:t>
      </w:r>
      <w:r w:rsidR="00033D0F">
        <w:rPr>
          <w:spacing w:val="-3"/>
          <w:position w:val="1"/>
        </w:rPr>
        <w:t xml:space="preserve"> </w:t>
      </w:r>
      <w:r w:rsidR="00033D0F">
        <w:rPr>
          <w:position w:val="1"/>
        </w:rPr>
        <w:t xml:space="preserve">identity </w:t>
      </w:r>
      <w:r w:rsidR="00033D0F">
        <w:t xml:space="preserve">of the "authoritative domestic </w:t>
      </w:r>
      <w:proofErr w:type="spellStart"/>
      <w:r w:rsidR="00033D0F">
        <w:t>organisation</w:t>
      </w:r>
      <w:proofErr w:type="spellEnd"/>
      <w:r w:rsidR="00033D0F">
        <w:t>". Although Australia does not know whether the disclosure</w:t>
      </w:r>
      <w:r w:rsidR="00033D0F">
        <w:rPr>
          <w:spacing w:val="80"/>
        </w:rPr>
        <w:t xml:space="preserve"> </w:t>
      </w:r>
      <w:r w:rsidR="00033D0F">
        <w:t>of</w:t>
      </w:r>
    </w:p>
    <w:p w14:paraId="159E5407" w14:textId="60F76219" w:rsidR="00BD462C" w:rsidRDefault="00D70C7D">
      <w:pPr>
        <w:pStyle w:val="BodyText"/>
        <w:spacing w:before="6"/>
        <w:ind w:left="6260"/>
      </w:pPr>
      <w:r>
        <w:rPr>
          <w:noProof/>
        </w:rPr>
        <mc:AlternateContent>
          <mc:Choice Requires="wps">
            <w:drawing>
              <wp:anchor distT="0" distB="0" distL="114300" distR="114300" simplePos="0" relativeHeight="15966720" behindDoc="0" locked="0" layoutInCell="1" allowOverlap="1" wp14:anchorId="0C02C77E" wp14:editId="47047768">
                <wp:simplePos x="0" y="0"/>
                <wp:positionH relativeFrom="page">
                  <wp:posOffset>899160</wp:posOffset>
                </wp:positionH>
                <wp:positionV relativeFrom="paragraph">
                  <wp:posOffset>2540</wp:posOffset>
                </wp:positionV>
                <wp:extent cx="3889375" cy="186055"/>
                <wp:effectExtent l="0" t="0" r="0" b="0"/>
                <wp:wrapNone/>
                <wp:docPr id="414" name="docshape5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937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1CAD1E" id="docshape515" o:spid="_x0000_s1026" alt="&quot;&quot;" style="position:absolute;margin-left:70.8pt;margin-top:.2pt;width:306.25pt;height:14.65pt;z-index:15966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" fillcolor="black" stroked="f">
                <w10:wrap anchorx="page"/>
              </v:rect>
            </w:pict>
          </mc:Fallback>
        </mc:AlternateContent>
      </w:r>
      <w:r w:rsidR="00033D0F">
        <w:t>,</w:t>
      </w:r>
      <w:hyperlink w:anchor="_bookmark1294" w:history="1">
        <w:r w:rsidR="00033D0F">
          <w:rPr>
            <w:vertAlign w:val="superscript"/>
          </w:rPr>
          <w:t>1116</w:t>
        </w:r>
      </w:hyperlink>
      <w:r w:rsidR="00033D0F">
        <w:rPr>
          <w:spacing w:val="37"/>
        </w:rPr>
        <w:t xml:space="preserve">  </w:t>
      </w:r>
      <w:r w:rsidR="00033D0F">
        <w:t>Australia</w:t>
      </w:r>
      <w:r w:rsidR="00033D0F">
        <w:rPr>
          <w:spacing w:val="37"/>
        </w:rPr>
        <w:t xml:space="preserve">  </w:t>
      </w:r>
      <w:proofErr w:type="gramStart"/>
      <w:r w:rsidR="00033D0F">
        <w:t>accepts</w:t>
      </w:r>
      <w:r w:rsidR="00033D0F">
        <w:rPr>
          <w:spacing w:val="38"/>
        </w:rPr>
        <w:t xml:space="preserve">  </w:t>
      </w:r>
      <w:r w:rsidR="00033D0F">
        <w:rPr>
          <w:spacing w:val="-4"/>
        </w:rPr>
        <w:t>that</w:t>
      </w:r>
      <w:proofErr w:type="gramEnd"/>
    </w:p>
    <w:p w14:paraId="760A4A3C" w14:textId="1EEADA9B" w:rsidR="00BD462C" w:rsidRDefault="00D70C7D">
      <w:pPr>
        <w:pStyle w:val="BodyText"/>
        <w:spacing w:before="144"/>
        <w:ind w:left="135"/>
      </w:pPr>
      <w:r>
        <w:rPr>
          <w:noProof/>
        </w:rPr>
        <mc:AlternateContent>
          <mc:Choice Requires="wps">
            <w:drawing>
              <wp:anchor distT="0" distB="0" distL="114300" distR="114300" simplePos="0" relativeHeight="15967232" behindDoc="0" locked="0" layoutInCell="1" allowOverlap="1" wp14:anchorId="61ABEA70" wp14:editId="11659C63">
                <wp:simplePos x="0" y="0"/>
                <wp:positionH relativeFrom="page">
                  <wp:posOffset>1962785</wp:posOffset>
                </wp:positionH>
                <wp:positionV relativeFrom="paragraph">
                  <wp:posOffset>90170</wp:posOffset>
                </wp:positionV>
                <wp:extent cx="4697095" cy="186055"/>
                <wp:effectExtent l="0" t="0" r="0" b="0"/>
                <wp:wrapNone/>
                <wp:docPr id="412" name="docshape5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709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F359D9" id="docshape516" o:spid="_x0000_s1026" alt="&quot;&quot;" style="position:absolute;margin-left:154.55pt;margin-top:7.1pt;width:369.85pt;height:14.65pt;z-index:15967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" fillcolor="black" stroked="f">
                <w10:wrap anchorx="page"/>
              </v:rect>
            </w:pict>
          </mc:Fallback>
        </mc:AlternateContent>
      </w:r>
      <w:r w:rsidR="00033D0F">
        <w:t>conceptually</w:t>
      </w:r>
      <w:r w:rsidR="00033D0F">
        <w:rPr>
          <w:spacing w:val="72"/>
          <w:w w:val="150"/>
        </w:rPr>
        <w:t xml:space="preserve"> </w:t>
      </w:r>
      <w:r w:rsidR="00033D0F">
        <w:rPr>
          <w:spacing w:val="-10"/>
        </w:rPr>
        <w:t>a</w:t>
      </w:r>
    </w:p>
    <w:p w14:paraId="03CEDAC2" w14:textId="77777777" w:rsidR="00BD462C" w:rsidRDefault="00033D0F">
      <w:pPr>
        <w:pStyle w:val="BodyText"/>
        <w:spacing w:before="149"/>
        <w:ind w:left="136"/>
      </w:pPr>
      <w:r>
        <w:t>might</w:t>
      </w:r>
      <w:r>
        <w:rPr>
          <w:spacing w:val="-5"/>
        </w:rPr>
        <w:t xml:space="preserve"> </w:t>
      </w:r>
      <w:r>
        <w:t>be</w:t>
      </w:r>
      <w:r>
        <w:rPr>
          <w:spacing w:val="-4"/>
        </w:rPr>
        <w:t xml:space="preserve"> </w:t>
      </w:r>
      <w:r>
        <w:t>a</w:t>
      </w:r>
      <w:r>
        <w:rPr>
          <w:spacing w:val="-3"/>
        </w:rPr>
        <w:t xml:space="preserve"> </w:t>
      </w:r>
      <w:r>
        <w:t>basis</w:t>
      </w:r>
      <w:r>
        <w:rPr>
          <w:spacing w:val="-2"/>
        </w:rPr>
        <w:t xml:space="preserve"> </w:t>
      </w:r>
      <w:r>
        <w:t>for</w:t>
      </w:r>
      <w:r>
        <w:rPr>
          <w:spacing w:val="-6"/>
        </w:rPr>
        <w:t xml:space="preserve"> </w:t>
      </w:r>
      <w:r>
        <w:t>a</w:t>
      </w:r>
      <w:r>
        <w:rPr>
          <w:spacing w:val="-3"/>
        </w:rPr>
        <w:t xml:space="preserve"> </w:t>
      </w:r>
      <w:r>
        <w:t>finding</w:t>
      </w:r>
      <w:r>
        <w:rPr>
          <w:spacing w:val="-2"/>
        </w:rPr>
        <w:t xml:space="preserve"> </w:t>
      </w:r>
      <w:r>
        <w:t>that</w:t>
      </w:r>
      <w:r>
        <w:rPr>
          <w:spacing w:val="-2"/>
        </w:rPr>
        <w:t xml:space="preserve"> </w:t>
      </w:r>
      <w:r>
        <w:t>there</w:t>
      </w:r>
      <w:r>
        <w:rPr>
          <w:spacing w:val="-3"/>
        </w:rPr>
        <w:t xml:space="preserve"> </w:t>
      </w:r>
      <w:r>
        <w:t>was</w:t>
      </w:r>
      <w:r>
        <w:rPr>
          <w:spacing w:val="-2"/>
        </w:rPr>
        <w:t xml:space="preserve"> </w:t>
      </w:r>
      <w:r>
        <w:t>good cause</w:t>
      </w:r>
      <w:r>
        <w:rPr>
          <w:spacing w:val="-3"/>
        </w:rPr>
        <w:t xml:space="preserve"> </w:t>
      </w:r>
      <w:r>
        <w:t>for</w:t>
      </w:r>
      <w:r>
        <w:rPr>
          <w:spacing w:val="-1"/>
        </w:rPr>
        <w:t xml:space="preserve"> </w:t>
      </w:r>
      <w:r>
        <w:t xml:space="preserve">confidential </w:t>
      </w:r>
      <w:r>
        <w:rPr>
          <w:spacing w:val="-2"/>
        </w:rPr>
        <w:t>treatment.</w:t>
      </w:r>
    </w:p>
    <w:p w14:paraId="31AAFACD" w14:textId="77777777" w:rsidR="00BD462C" w:rsidRDefault="00BD462C">
      <w:pPr>
        <w:pStyle w:val="BodyText"/>
        <w:spacing w:before="11"/>
        <w:rPr>
          <w:sz w:val="20"/>
        </w:rPr>
      </w:pPr>
    </w:p>
    <w:p w14:paraId="07645867" w14:textId="3F961D33" w:rsidR="00BD462C" w:rsidRDefault="000923F6">
      <w:pPr>
        <w:pStyle w:val="BodyText"/>
        <w:spacing w:before="56" w:line="357" w:lineRule="auto"/>
        <w:ind w:left="136" w:right="913"/>
        <w:jc w:val="both"/>
      </w:pPr>
      <w:r>
        <w:rPr>
          <w:noProof/>
        </w:rPr>
        <w:t>730.</w:t>
      </w:r>
      <w:r w:rsidR="00033D0F">
        <w:rPr>
          <w:rFonts w:ascii="Times New Roman"/>
          <w:spacing w:val="80"/>
          <w:position w:val="1"/>
          <w:sz w:val="20"/>
        </w:rPr>
        <w:t xml:space="preserve">  </w:t>
      </w:r>
      <w:r w:rsidR="00033D0F">
        <w:rPr>
          <w:position w:val="1"/>
        </w:rPr>
        <w:t>However, nothing in the</w:t>
      </w:r>
      <w:r w:rsidR="00033D0F">
        <w:rPr>
          <w:spacing w:val="40"/>
          <w:position w:val="1"/>
        </w:rPr>
        <w:t xml:space="preserve"> </w:t>
      </w:r>
      <w:r w:rsidR="00033D0F">
        <w:rPr>
          <w:position w:val="1"/>
        </w:rPr>
        <w:t xml:space="preserve">material now disclosed, nor the investigative record, </w:t>
      </w:r>
      <w:r w:rsidR="00033D0F">
        <w:t>provides</w:t>
      </w:r>
      <w:r w:rsidR="00033D0F">
        <w:rPr>
          <w:spacing w:val="-1"/>
        </w:rPr>
        <w:t xml:space="preserve"> </w:t>
      </w:r>
      <w:r w:rsidR="00033D0F">
        <w:t>any</w:t>
      </w:r>
      <w:r w:rsidR="00033D0F">
        <w:rPr>
          <w:spacing w:val="-1"/>
        </w:rPr>
        <w:t xml:space="preserve"> </w:t>
      </w:r>
      <w:r w:rsidR="00033D0F">
        <w:t>basis</w:t>
      </w:r>
      <w:r w:rsidR="00033D0F">
        <w:rPr>
          <w:spacing w:val="-1"/>
        </w:rPr>
        <w:t xml:space="preserve"> </w:t>
      </w:r>
      <w:r w:rsidR="00033D0F">
        <w:t>for</w:t>
      </w:r>
      <w:r w:rsidR="00033D0F">
        <w:rPr>
          <w:spacing w:val="-5"/>
        </w:rPr>
        <w:t xml:space="preserve"> </w:t>
      </w:r>
      <w:r w:rsidR="00033D0F">
        <w:t>a</w:t>
      </w:r>
      <w:r w:rsidR="00033D0F">
        <w:rPr>
          <w:spacing w:val="-3"/>
        </w:rPr>
        <w:t xml:space="preserve"> </w:t>
      </w:r>
      <w:r w:rsidR="00033D0F">
        <w:t>finding</w:t>
      </w:r>
      <w:r w:rsidR="00033D0F">
        <w:rPr>
          <w:spacing w:val="-1"/>
        </w:rPr>
        <w:t xml:space="preserve"> </w:t>
      </w:r>
      <w:r w:rsidR="00033D0F">
        <w:t>that</w:t>
      </w:r>
      <w:r w:rsidR="00033D0F">
        <w:rPr>
          <w:spacing w:val="-2"/>
        </w:rPr>
        <w:t xml:space="preserve"> </w:t>
      </w:r>
      <w:r w:rsidR="00033D0F">
        <w:t>good</w:t>
      </w:r>
      <w:r w:rsidR="00033D0F">
        <w:rPr>
          <w:spacing w:val="-4"/>
        </w:rPr>
        <w:t xml:space="preserve"> </w:t>
      </w:r>
      <w:r w:rsidR="00033D0F">
        <w:t>cause</w:t>
      </w:r>
      <w:r w:rsidR="00033D0F">
        <w:rPr>
          <w:spacing w:val="-2"/>
        </w:rPr>
        <w:t xml:space="preserve"> </w:t>
      </w:r>
      <w:r w:rsidR="00033D0F">
        <w:t>was</w:t>
      </w:r>
      <w:r w:rsidR="00033D0F">
        <w:rPr>
          <w:spacing w:val="-1"/>
        </w:rPr>
        <w:t xml:space="preserve"> </w:t>
      </w:r>
      <w:r w:rsidR="00033D0F">
        <w:t>either</w:t>
      </w:r>
      <w:r w:rsidR="00033D0F">
        <w:rPr>
          <w:spacing w:val="-5"/>
        </w:rPr>
        <w:t xml:space="preserve"> </w:t>
      </w:r>
      <w:r w:rsidR="00033D0F">
        <w:t>required</w:t>
      </w:r>
      <w:r w:rsidR="00033D0F">
        <w:rPr>
          <w:spacing w:val="-4"/>
        </w:rPr>
        <w:t xml:space="preserve"> </w:t>
      </w:r>
      <w:r w:rsidR="00033D0F">
        <w:t>or</w:t>
      </w:r>
      <w:r w:rsidR="00033D0F">
        <w:rPr>
          <w:spacing w:val="-5"/>
        </w:rPr>
        <w:t xml:space="preserve"> </w:t>
      </w:r>
      <w:r w:rsidR="00033D0F">
        <w:t>assessed</w:t>
      </w:r>
      <w:r w:rsidR="00033D0F">
        <w:rPr>
          <w:spacing w:val="-4"/>
        </w:rPr>
        <w:t xml:space="preserve"> </w:t>
      </w:r>
      <w:r w:rsidR="00033D0F">
        <w:t>by</w:t>
      </w:r>
      <w:r w:rsidR="00033D0F">
        <w:rPr>
          <w:spacing w:val="-1"/>
        </w:rPr>
        <w:t xml:space="preserve"> </w:t>
      </w:r>
      <w:r w:rsidR="00033D0F">
        <w:t>MOFCOM in</w:t>
      </w:r>
      <w:r w:rsidR="00033D0F">
        <w:rPr>
          <w:spacing w:val="-5"/>
        </w:rPr>
        <w:t xml:space="preserve"> </w:t>
      </w:r>
      <w:r w:rsidR="00033D0F">
        <w:t>respect</w:t>
      </w:r>
      <w:r w:rsidR="00033D0F">
        <w:rPr>
          <w:spacing w:val="-3"/>
        </w:rPr>
        <w:t xml:space="preserve"> </w:t>
      </w:r>
      <w:r w:rsidR="00033D0F">
        <w:t>of</w:t>
      </w:r>
      <w:r w:rsidR="00033D0F">
        <w:rPr>
          <w:spacing w:val="-5"/>
        </w:rPr>
        <w:t xml:space="preserve"> </w:t>
      </w:r>
      <w:r w:rsidR="00033D0F">
        <w:t>the</w:t>
      </w:r>
      <w:r w:rsidR="00033D0F">
        <w:rPr>
          <w:spacing w:val="-4"/>
        </w:rPr>
        <w:t xml:space="preserve"> </w:t>
      </w:r>
      <w:r w:rsidR="00033D0F">
        <w:t>underlying</w:t>
      </w:r>
      <w:r w:rsidR="00033D0F">
        <w:rPr>
          <w:spacing w:val="-2"/>
        </w:rPr>
        <w:t xml:space="preserve"> </w:t>
      </w:r>
      <w:r w:rsidR="00033D0F">
        <w:t>data,</w:t>
      </w:r>
      <w:r w:rsidR="00033D0F">
        <w:rPr>
          <w:spacing w:val="-1"/>
        </w:rPr>
        <w:t xml:space="preserve"> </w:t>
      </w:r>
      <w:r w:rsidR="00033D0F">
        <w:t>calculation</w:t>
      </w:r>
      <w:r w:rsidR="00033D0F">
        <w:rPr>
          <w:spacing w:val="-5"/>
        </w:rPr>
        <w:t xml:space="preserve"> </w:t>
      </w:r>
      <w:r w:rsidR="00033D0F">
        <w:t>methodology,</w:t>
      </w:r>
      <w:r w:rsidR="00033D0F">
        <w:rPr>
          <w:spacing w:val="-1"/>
        </w:rPr>
        <w:t xml:space="preserve"> </w:t>
      </w:r>
      <w:r w:rsidR="00033D0F">
        <w:t>and</w:t>
      </w:r>
      <w:r w:rsidR="00033D0F">
        <w:rPr>
          <w:spacing w:val="-5"/>
        </w:rPr>
        <w:t xml:space="preserve"> </w:t>
      </w:r>
      <w:r w:rsidR="00033D0F">
        <w:t>calculations</w:t>
      </w:r>
      <w:r w:rsidR="00033D0F">
        <w:rPr>
          <w:spacing w:val="-2"/>
        </w:rPr>
        <w:t xml:space="preserve"> </w:t>
      </w:r>
      <w:r w:rsidR="00033D0F">
        <w:t>set</w:t>
      </w:r>
      <w:r w:rsidR="00033D0F">
        <w:rPr>
          <w:spacing w:val="-3"/>
        </w:rPr>
        <w:t xml:space="preserve"> </w:t>
      </w:r>
      <w:r w:rsidR="00033D0F">
        <w:t>out</w:t>
      </w:r>
      <w:r w:rsidR="00033D0F">
        <w:rPr>
          <w:spacing w:val="-3"/>
        </w:rPr>
        <w:t xml:space="preserve"> </w:t>
      </w:r>
      <w:r w:rsidR="00033D0F">
        <w:t>in</w:t>
      </w:r>
      <w:r w:rsidR="00033D0F">
        <w:rPr>
          <w:spacing w:val="-5"/>
        </w:rPr>
        <w:t xml:space="preserve"> </w:t>
      </w:r>
      <w:r w:rsidR="00033D0F">
        <w:t>Exhibit CHN-32</w:t>
      </w:r>
      <w:r w:rsidR="00033D0F">
        <w:rPr>
          <w:spacing w:val="-1"/>
        </w:rPr>
        <w:t xml:space="preserve"> </w:t>
      </w:r>
      <w:r w:rsidR="00033D0F">
        <w:t>(BCI). Nothing in</w:t>
      </w:r>
      <w:r w:rsidR="00033D0F">
        <w:rPr>
          <w:spacing w:val="-1"/>
        </w:rPr>
        <w:t xml:space="preserve"> </w:t>
      </w:r>
      <w:r w:rsidR="00033D0F">
        <w:t>Exhibit</w:t>
      </w:r>
      <w:r w:rsidR="00033D0F">
        <w:rPr>
          <w:spacing w:val="-3"/>
        </w:rPr>
        <w:t xml:space="preserve"> </w:t>
      </w:r>
      <w:r w:rsidR="00033D0F">
        <w:t>CHN-32</w:t>
      </w:r>
      <w:r w:rsidR="00033D0F">
        <w:rPr>
          <w:spacing w:val="-1"/>
        </w:rPr>
        <w:t xml:space="preserve"> </w:t>
      </w:r>
      <w:r w:rsidR="00033D0F">
        <w:t>(BCI) contains any</w:t>
      </w:r>
      <w:r w:rsidR="00033D0F">
        <w:rPr>
          <w:spacing w:val="-2"/>
        </w:rPr>
        <w:t xml:space="preserve"> </w:t>
      </w:r>
      <w:r w:rsidR="00033D0F">
        <w:t>identifying</w:t>
      </w:r>
      <w:r w:rsidR="00033D0F">
        <w:rPr>
          <w:spacing w:val="-2"/>
        </w:rPr>
        <w:t xml:space="preserve"> </w:t>
      </w:r>
      <w:r w:rsidR="00033D0F">
        <w:t>information</w:t>
      </w:r>
      <w:r w:rsidR="00033D0F">
        <w:rPr>
          <w:spacing w:val="-1"/>
        </w:rPr>
        <w:t xml:space="preserve"> </w:t>
      </w:r>
      <w:r w:rsidR="00033D0F">
        <w:t xml:space="preserve">about the authoritative domestic </w:t>
      </w:r>
      <w:proofErr w:type="spellStart"/>
      <w:r w:rsidR="00033D0F">
        <w:t>organisation</w:t>
      </w:r>
      <w:proofErr w:type="spellEnd"/>
      <w:r w:rsidR="00033D0F">
        <w:t xml:space="preserve"> or any other </w:t>
      </w:r>
      <w:proofErr w:type="spellStart"/>
      <w:r w:rsidR="00033D0F">
        <w:t>organisation</w:t>
      </w:r>
      <w:proofErr w:type="spellEnd"/>
      <w:r w:rsidR="00033D0F">
        <w:t>. It is comprised entirely of aggregated and/or averaged statistical information and unsourced assumptions.</w:t>
      </w:r>
    </w:p>
    <w:p w14:paraId="2FA0174C" w14:textId="77777777" w:rsidR="00BD462C" w:rsidRDefault="00BD462C">
      <w:pPr>
        <w:pStyle w:val="BodyText"/>
        <w:rPr>
          <w:sz w:val="20"/>
        </w:rPr>
      </w:pPr>
    </w:p>
    <w:p w14:paraId="2BAA9B13" w14:textId="77777777" w:rsidR="00BD462C" w:rsidRDefault="00BD462C">
      <w:pPr>
        <w:pStyle w:val="BodyText"/>
        <w:rPr>
          <w:sz w:val="20"/>
        </w:rPr>
      </w:pPr>
    </w:p>
    <w:p w14:paraId="4B0BE0EC" w14:textId="383268C4" w:rsidR="00BD462C" w:rsidRDefault="00752F01">
      <w:pPr>
        <w:pStyle w:val="BodyText"/>
        <w:spacing w:before="11"/>
      </w:pPr>
      <w:r>
        <w:rPr>
          <w:noProof/>
        </w:rPr>
        <mc:AlternateContent>
          <mc:Choice Requires="wps">
            <w:drawing>
              <wp:anchor distT="0" distB="0" distL="0" distR="0" simplePos="0" relativeHeight="488294912" behindDoc="1" locked="0" layoutInCell="1" allowOverlap="1" wp14:anchorId="00E9FC1A" wp14:editId="2B791D34">
                <wp:simplePos x="0" y="0"/>
                <wp:positionH relativeFrom="page">
                  <wp:posOffset>812800</wp:posOffset>
                </wp:positionH>
                <wp:positionV relativeFrom="paragraph">
                  <wp:posOffset>194310</wp:posOffset>
                </wp:positionV>
                <wp:extent cx="1828800" cy="8890"/>
                <wp:effectExtent l="0" t="0" r="0" b="0"/>
                <wp:wrapTopAndBottom/>
                <wp:docPr id="273" name="docshape5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1FB18A" id="docshape529" o:spid="_x0000_s1026" alt="&quot;&quot;" style="position:absolute;margin-left:64pt;margin-top:15.3pt;width:2in;height:.7pt;z-index:-15021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" fillcolor="black" stroked="f">
                <w10:wrap type="topAndBottom" anchorx="page"/>
              </v:rect>
            </w:pict>
          </mc:Fallback>
        </mc:AlternateContent>
      </w:r>
    </w:p>
    <w:p w14:paraId="21C0A058" w14:textId="77777777" w:rsidR="00BD462C" w:rsidRDefault="00033D0F">
      <w:pPr>
        <w:spacing w:before="112"/>
        <w:ind w:left="135"/>
        <w:rPr>
          <w:sz w:val="18"/>
        </w:rPr>
      </w:pPr>
      <w:bookmarkStart w:id="1498" w:name="_bookmark1289"/>
      <w:bookmarkEnd w:id="1498"/>
      <w:r>
        <w:rPr>
          <w:position w:val="5"/>
          <w:sz w:val="12"/>
        </w:rPr>
        <w:t>1111</w:t>
      </w:r>
      <w:r>
        <w:rPr>
          <w:spacing w:val="11"/>
          <w:position w:val="5"/>
          <w:sz w:val="12"/>
        </w:rPr>
        <w:t xml:space="preserve"> </w:t>
      </w:r>
      <w:r>
        <w:rPr>
          <w:sz w:val="18"/>
        </w:rPr>
        <w:t>Anti-Dumping</w:t>
      </w:r>
      <w:r>
        <w:rPr>
          <w:spacing w:val="-7"/>
          <w:sz w:val="18"/>
        </w:rPr>
        <w:t xml:space="preserve"> </w:t>
      </w:r>
      <w:r>
        <w:rPr>
          <w:sz w:val="18"/>
        </w:rPr>
        <w:t>Final</w:t>
      </w:r>
      <w:r>
        <w:rPr>
          <w:spacing w:val="-2"/>
          <w:sz w:val="18"/>
        </w:rPr>
        <w:t xml:space="preserve"> </w:t>
      </w:r>
      <w:r>
        <w:rPr>
          <w:sz w:val="18"/>
        </w:rPr>
        <w:t>Determination</w:t>
      </w:r>
      <w:r>
        <w:rPr>
          <w:spacing w:val="-8"/>
          <w:sz w:val="18"/>
        </w:rPr>
        <w:t xml:space="preserve"> </w:t>
      </w:r>
      <w:r>
        <w:rPr>
          <w:sz w:val="18"/>
        </w:rPr>
        <w:t>(Exhibit</w:t>
      </w:r>
      <w:r>
        <w:rPr>
          <w:spacing w:val="-2"/>
          <w:sz w:val="18"/>
        </w:rPr>
        <w:t xml:space="preserve"> </w:t>
      </w:r>
      <w:r>
        <w:rPr>
          <w:sz w:val="18"/>
        </w:rPr>
        <w:t>AUS-2),</w:t>
      </w:r>
      <w:r>
        <w:rPr>
          <w:spacing w:val="-5"/>
          <w:sz w:val="18"/>
        </w:rPr>
        <w:t xml:space="preserve"> </w:t>
      </w:r>
      <w:r>
        <w:rPr>
          <w:sz w:val="18"/>
        </w:rPr>
        <w:t>p.</w:t>
      </w:r>
      <w:r>
        <w:rPr>
          <w:spacing w:val="-6"/>
          <w:sz w:val="18"/>
        </w:rPr>
        <w:t xml:space="preserve"> </w:t>
      </w:r>
      <w:r>
        <w:rPr>
          <w:sz w:val="18"/>
        </w:rPr>
        <w:t>109;</w:t>
      </w:r>
      <w:r>
        <w:rPr>
          <w:spacing w:val="-4"/>
          <w:sz w:val="18"/>
        </w:rPr>
        <w:t xml:space="preserve"> </w:t>
      </w:r>
      <w:r>
        <w:rPr>
          <w:sz w:val="18"/>
        </w:rPr>
        <w:t>Australia's</w:t>
      </w:r>
      <w:r>
        <w:rPr>
          <w:spacing w:val="-3"/>
          <w:sz w:val="18"/>
        </w:rPr>
        <w:t xml:space="preserve"> </w:t>
      </w:r>
      <w:r>
        <w:rPr>
          <w:sz w:val="18"/>
        </w:rPr>
        <w:t>first</w:t>
      </w:r>
      <w:r>
        <w:rPr>
          <w:spacing w:val="-6"/>
          <w:sz w:val="18"/>
        </w:rPr>
        <w:t xml:space="preserve"> </w:t>
      </w:r>
      <w:r>
        <w:rPr>
          <w:sz w:val="18"/>
        </w:rPr>
        <w:t>written</w:t>
      </w:r>
      <w:r>
        <w:rPr>
          <w:spacing w:val="-7"/>
          <w:sz w:val="18"/>
        </w:rPr>
        <w:t xml:space="preserve"> </w:t>
      </w:r>
      <w:r>
        <w:rPr>
          <w:sz w:val="18"/>
        </w:rPr>
        <w:t>submission,</w:t>
      </w:r>
      <w:r>
        <w:rPr>
          <w:spacing w:val="-5"/>
          <w:sz w:val="18"/>
        </w:rPr>
        <w:t xml:space="preserve"> </w:t>
      </w:r>
      <w:r>
        <w:rPr>
          <w:sz w:val="18"/>
        </w:rPr>
        <w:t>paras.</w:t>
      </w:r>
      <w:r>
        <w:rPr>
          <w:spacing w:val="-2"/>
          <w:sz w:val="18"/>
        </w:rPr>
        <w:t xml:space="preserve"> </w:t>
      </w:r>
      <w:r>
        <w:rPr>
          <w:sz w:val="18"/>
        </w:rPr>
        <w:t>532, 538,</w:t>
      </w:r>
      <w:r>
        <w:rPr>
          <w:spacing w:val="-1"/>
          <w:sz w:val="18"/>
        </w:rPr>
        <w:t xml:space="preserve"> </w:t>
      </w:r>
      <w:r>
        <w:rPr>
          <w:sz w:val="18"/>
        </w:rPr>
        <w:t>540,</w:t>
      </w:r>
      <w:r>
        <w:rPr>
          <w:spacing w:val="-5"/>
          <w:sz w:val="18"/>
        </w:rPr>
        <w:t xml:space="preserve"> </w:t>
      </w:r>
      <w:r>
        <w:rPr>
          <w:spacing w:val="-4"/>
          <w:sz w:val="18"/>
        </w:rPr>
        <w:t>974-</w:t>
      </w:r>
    </w:p>
    <w:p w14:paraId="75D404F1" w14:textId="77777777" w:rsidR="00BD462C" w:rsidRDefault="00033D0F">
      <w:pPr>
        <w:spacing w:before="1"/>
        <w:ind w:left="136"/>
        <w:rPr>
          <w:sz w:val="18"/>
        </w:rPr>
      </w:pPr>
      <w:r>
        <w:rPr>
          <w:sz w:val="18"/>
        </w:rPr>
        <w:t>975,</w:t>
      </w:r>
      <w:r>
        <w:rPr>
          <w:spacing w:val="-2"/>
          <w:sz w:val="18"/>
        </w:rPr>
        <w:t xml:space="preserve"> </w:t>
      </w:r>
      <w:r>
        <w:rPr>
          <w:sz w:val="18"/>
        </w:rPr>
        <w:t>1021-1022,</w:t>
      </w:r>
      <w:r>
        <w:rPr>
          <w:spacing w:val="-5"/>
          <w:sz w:val="18"/>
        </w:rPr>
        <w:t xml:space="preserve"> </w:t>
      </w:r>
      <w:r>
        <w:rPr>
          <w:sz w:val="18"/>
        </w:rPr>
        <w:t>and</w:t>
      </w:r>
      <w:r>
        <w:rPr>
          <w:spacing w:val="-7"/>
          <w:sz w:val="18"/>
        </w:rPr>
        <w:t xml:space="preserve"> </w:t>
      </w:r>
      <w:r>
        <w:rPr>
          <w:sz w:val="18"/>
        </w:rPr>
        <w:t>1088-</w:t>
      </w:r>
      <w:r>
        <w:rPr>
          <w:spacing w:val="-4"/>
          <w:sz w:val="18"/>
        </w:rPr>
        <w:t>1089.</w:t>
      </w:r>
    </w:p>
    <w:p w14:paraId="61CE7B7F" w14:textId="77777777" w:rsidR="00BD462C" w:rsidRDefault="00033D0F">
      <w:pPr>
        <w:spacing w:before="1" w:line="218" w:lineRule="exact"/>
        <w:ind w:left="135"/>
        <w:rPr>
          <w:sz w:val="18"/>
        </w:rPr>
      </w:pPr>
      <w:bookmarkStart w:id="1499" w:name="_bookmark1290"/>
      <w:bookmarkEnd w:id="1499"/>
      <w:r>
        <w:rPr>
          <w:position w:val="5"/>
          <w:sz w:val="12"/>
        </w:rPr>
        <w:t>1112</w:t>
      </w:r>
      <w:r>
        <w:rPr>
          <w:spacing w:val="12"/>
          <w:position w:val="5"/>
          <w:sz w:val="12"/>
        </w:rPr>
        <w:t xml:space="preserve"> </w:t>
      </w:r>
      <w:r>
        <w:rPr>
          <w:sz w:val="18"/>
        </w:rPr>
        <w:t>Australia</w:t>
      </w:r>
      <w:r>
        <w:rPr>
          <w:spacing w:val="-7"/>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paras.</w:t>
      </w:r>
      <w:r>
        <w:rPr>
          <w:spacing w:val="-5"/>
          <w:sz w:val="18"/>
        </w:rPr>
        <w:t xml:space="preserve"> </w:t>
      </w:r>
      <w:r>
        <w:rPr>
          <w:sz w:val="18"/>
        </w:rPr>
        <w:t>975,</w:t>
      </w:r>
      <w:r>
        <w:rPr>
          <w:spacing w:val="-4"/>
          <w:sz w:val="18"/>
        </w:rPr>
        <w:t xml:space="preserve"> </w:t>
      </w:r>
      <w:r>
        <w:rPr>
          <w:sz w:val="18"/>
        </w:rPr>
        <w:t>1022,</w:t>
      </w:r>
      <w:r>
        <w:rPr>
          <w:spacing w:val="1"/>
          <w:sz w:val="18"/>
        </w:rPr>
        <w:t xml:space="preserve"> </w:t>
      </w:r>
      <w:r>
        <w:rPr>
          <w:sz w:val="18"/>
        </w:rPr>
        <w:t>and</w:t>
      </w:r>
      <w:r>
        <w:rPr>
          <w:spacing w:val="-2"/>
          <w:sz w:val="18"/>
        </w:rPr>
        <w:t xml:space="preserve"> </w:t>
      </w:r>
      <w:r>
        <w:rPr>
          <w:spacing w:val="-4"/>
          <w:sz w:val="18"/>
        </w:rPr>
        <w:t>1088.</w:t>
      </w:r>
    </w:p>
    <w:p w14:paraId="4964B158" w14:textId="45F0F0F1" w:rsidR="00BD462C" w:rsidRDefault="00D70C7D">
      <w:pPr>
        <w:spacing w:line="218" w:lineRule="exact"/>
        <w:ind w:left="135"/>
        <w:rPr>
          <w:sz w:val="18"/>
        </w:rPr>
      </w:pPr>
      <w:r>
        <w:rPr>
          <w:noProof/>
        </w:rPr>
        <mc:AlternateContent>
          <mc:Choice Requires="wps">
            <w:drawing>
              <wp:anchor distT="0" distB="0" distL="114300" distR="114300" simplePos="0" relativeHeight="479128064" behindDoc="1" locked="0" layoutInCell="1" allowOverlap="1" wp14:anchorId="32528D22" wp14:editId="07DEFE88">
                <wp:simplePos x="0" y="0"/>
                <wp:positionH relativeFrom="page">
                  <wp:posOffset>3502025</wp:posOffset>
                </wp:positionH>
                <wp:positionV relativeFrom="paragraph">
                  <wp:posOffset>138430</wp:posOffset>
                </wp:positionV>
                <wp:extent cx="1978025" cy="140335"/>
                <wp:effectExtent l="0" t="0" r="0" b="0"/>
                <wp:wrapNone/>
                <wp:docPr id="408" name="docshape5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8025" cy="140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32552D" id="docshape518" o:spid="_x0000_s1026" alt="&quot;&quot;" style="position:absolute;margin-left:275.75pt;margin-top:10.9pt;width:155.75pt;height:11.05pt;z-index:-2418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" fillcolor="black" stroked="f">
                <w10:wrap anchorx="page"/>
              </v:rect>
            </w:pict>
          </mc:Fallback>
        </mc:AlternateContent>
      </w:r>
      <w:bookmarkStart w:id="1500" w:name="_bookmark1291"/>
      <w:bookmarkEnd w:id="1500"/>
      <w:r w:rsidR="00033D0F">
        <w:rPr>
          <w:position w:val="5"/>
          <w:sz w:val="12"/>
        </w:rPr>
        <w:t>1113</w:t>
      </w:r>
      <w:r w:rsidR="00033D0F">
        <w:rPr>
          <w:spacing w:val="13"/>
          <w:position w:val="5"/>
          <w:sz w:val="12"/>
        </w:rPr>
        <w:t xml:space="preserve"> </w:t>
      </w:r>
      <w:r w:rsidR="00033D0F">
        <w:rPr>
          <w:sz w:val="18"/>
        </w:rPr>
        <w:t>China's</w:t>
      </w:r>
      <w:r w:rsidR="00033D0F">
        <w:rPr>
          <w:spacing w:val="-6"/>
          <w:sz w:val="18"/>
        </w:rPr>
        <w:t xml:space="preserve"> </w:t>
      </w:r>
      <w:r w:rsidR="00033D0F">
        <w:rPr>
          <w:sz w:val="18"/>
        </w:rPr>
        <w:t>first</w:t>
      </w:r>
      <w:r w:rsidR="00033D0F">
        <w:rPr>
          <w:spacing w:val="-4"/>
          <w:sz w:val="18"/>
        </w:rPr>
        <w:t xml:space="preserve"> </w:t>
      </w:r>
      <w:r w:rsidR="00033D0F">
        <w:rPr>
          <w:sz w:val="18"/>
        </w:rPr>
        <w:t>written</w:t>
      </w:r>
      <w:r w:rsidR="00033D0F">
        <w:rPr>
          <w:spacing w:val="-7"/>
          <w:sz w:val="18"/>
        </w:rPr>
        <w:t xml:space="preserve"> </w:t>
      </w:r>
      <w:r w:rsidR="00033D0F">
        <w:rPr>
          <w:sz w:val="18"/>
        </w:rPr>
        <w:t>submission,</w:t>
      </w:r>
      <w:r w:rsidR="00033D0F">
        <w:rPr>
          <w:spacing w:val="1"/>
          <w:sz w:val="18"/>
        </w:rPr>
        <w:t xml:space="preserve"> </w:t>
      </w:r>
      <w:r w:rsidR="00033D0F">
        <w:rPr>
          <w:sz w:val="18"/>
        </w:rPr>
        <w:t xml:space="preserve">para. </w:t>
      </w:r>
      <w:r w:rsidR="00033D0F">
        <w:rPr>
          <w:spacing w:val="-2"/>
          <w:sz w:val="18"/>
        </w:rPr>
        <w:t>2458.</w:t>
      </w:r>
    </w:p>
    <w:p w14:paraId="36F460A0" w14:textId="77777777" w:rsidR="00BD462C" w:rsidRDefault="00033D0F">
      <w:pPr>
        <w:tabs>
          <w:tab w:val="left" w:pos="7388"/>
        </w:tabs>
        <w:spacing w:before="1"/>
        <w:ind w:left="135" w:right="910"/>
        <w:rPr>
          <w:sz w:val="18"/>
        </w:rPr>
      </w:pPr>
      <w:bookmarkStart w:id="1501" w:name="_bookmark1292"/>
      <w:bookmarkEnd w:id="1501"/>
      <w:r>
        <w:rPr>
          <w:position w:val="5"/>
          <w:sz w:val="12"/>
        </w:rPr>
        <w:t>1114</w:t>
      </w:r>
      <w:r>
        <w:rPr>
          <w:spacing w:val="40"/>
          <w:position w:val="5"/>
          <w:sz w:val="12"/>
        </w:rPr>
        <w:t xml:space="preserve"> </w:t>
      </w:r>
      <w:r>
        <w:rPr>
          <w:sz w:val="18"/>
        </w:rPr>
        <w:t>China's response to Panel question No. 15, para. 51;</w:t>
      </w:r>
      <w:r>
        <w:rPr>
          <w:sz w:val="18"/>
        </w:rPr>
        <w:tab/>
        <w:t>calculations</w:t>
      </w:r>
      <w:r>
        <w:rPr>
          <w:spacing w:val="-11"/>
          <w:sz w:val="18"/>
        </w:rPr>
        <w:t xml:space="preserve"> </w:t>
      </w:r>
      <w:r>
        <w:rPr>
          <w:sz w:val="18"/>
        </w:rPr>
        <w:t>(confidential version) Exhibit CHN-32 (BCI).</w:t>
      </w:r>
    </w:p>
    <w:p w14:paraId="582BA3EE" w14:textId="77777777" w:rsidR="00BD462C" w:rsidRDefault="00033D0F">
      <w:pPr>
        <w:spacing w:before="2"/>
        <w:ind w:left="135"/>
        <w:rPr>
          <w:sz w:val="18"/>
        </w:rPr>
      </w:pPr>
      <w:bookmarkStart w:id="1502" w:name="_bookmark1293"/>
      <w:bookmarkEnd w:id="1502"/>
      <w:r>
        <w:rPr>
          <w:position w:val="5"/>
          <w:sz w:val="12"/>
        </w:rPr>
        <w:t>1115</w:t>
      </w:r>
      <w:r>
        <w:rPr>
          <w:spacing w:val="12"/>
          <w:position w:val="5"/>
          <w:sz w:val="12"/>
        </w:rPr>
        <w:t xml:space="preserve"> </w:t>
      </w:r>
      <w:r>
        <w:rPr>
          <w:sz w:val="18"/>
        </w:rPr>
        <w:t>Minutes</w:t>
      </w:r>
      <w:r>
        <w:rPr>
          <w:spacing w:val="-2"/>
          <w:sz w:val="18"/>
        </w:rPr>
        <w:t xml:space="preserve"> </w:t>
      </w:r>
      <w:r>
        <w:rPr>
          <w:sz w:val="18"/>
        </w:rPr>
        <w:t>of</w:t>
      </w:r>
      <w:r>
        <w:rPr>
          <w:spacing w:val="-5"/>
          <w:sz w:val="18"/>
        </w:rPr>
        <w:t xml:space="preserve"> </w:t>
      </w:r>
      <w:r>
        <w:rPr>
          <w:sz w:val="18"/>
        </w:rPr>
        <w:t>Meeting</w:t>
      </w:r>
      <w:r>
        <w:rPr>
          <w:spacing w:val="-6"/>
          <w:sz w:val="18"/>
        </w:rPr>
        <w:t xml:space="preserve"> </w:t>
      </w:r>
      <w:r>
        <w:rPr>
          <w:sz w:val="18"/>
        </w:rPr>
        <w:t>(confidential</w:t>
      </w:r>
      <w:r>
        <w:rPr>
          <w:spacing w:val="-1"/>
          <w:sz w:val="18"/>
        </w:rPr>
        <w:t xml:space="preserve"> </w:t>
      </w:r>
      <w:r>
        <w:rPr>
          <w:sz w:val="18"/>
        </w:rPr>
        <w:t>version)</w:t>
      </w:r>
      <w:r>
        <w:rPr>
          <w:spacing w:val="-4"/>
          <w:sz w:val="18"/>
        </w:rPr>
        <w:t xml:space="preserve"> </w:t>
      </w:r>
      <w:r>
        <w:rPr>
          <w:sz w:val="18"/>
        </w:rPr>
        <w:t>(Exhibit</w:t>
      </w:r>
      <w:r>
        <w:rPr>
          <w:spacing w:val="-2"/>
          <w:sz w:val="18"/>
        </w:rPr>
        <w:t xml:space="preserve"> </w:t>
      </w:r>
      <w:r>
        <w:rPr>
          <w:sz w:val="18"/>
        </w:rPr>
        <w:t>CHN-42</w:t>
      </w:r>
      <w:r>
        <w:rPr>
          <w:spacing w:val="-8"/>
          <w:sz w:val="18"/>
        </w:rPr>
        <w:t xml:space="preserve"> </w:t>
      </w:r>
      <w:r>
        <w:rPr>
          <w:spacing w:val="-2"/>
          <w:sz w:val="18"/>
        </w:rPr>
        <w:t>(BCI)).</w:t>
      </w:r>
    </w:p>
    <w:p w14:paraId="1D3CB815" w14:textId="77777777" w:rsidR="00BD462C" w:rsidRDefault="00033D0F">
      <w:pPr>
        <w:spacing w:before="1"/>
        <w:ind w:left="135"/>
        <w:rPr>
          <w:sz w:val="18"/>
        </w:rPr>
      </w:pPr>
      <w:bookmarkStart w:id="1503" w:name="_bookmark1294"/>
      <w:bookmarkEnd w:id="1503"/>
      <w:r>
        <w:rPr>
          <w:position w:val="5"/>
          <w:sz w:val="12"/>
        </w:rPr>
        <w:t>1116</w:t>
      </w:r>
      <w:r>
        <w:rPr>
          <w:spacing w:val="12"/>
          <w:position w:val="5"/>
          <w:sz w:val="12"/>
        </w:rPr>
        <w:t xml:space="preserve"> </w:t>
      </w:r>
      <w:r>
        <w:rPr>
          <w:sz w:val="18"/>
        </w:rPr>
        <w:t>Minutes</w:t>
      </w:r>
      <w:r>
        <w:rPr>
          <w:spacing w:val="-2"/>
          <w:sz w:val="18"/>
        </w:rPr>
        <w:t xml:space="preserve"> </w:t>
      </w:r>
      <w:r>
        <w:rPr>
          <w:sz w:val="18"/>
        </w:rPr>
        <w:t>of</w:t>
      </w:r>
      <w:r>
        <w:rPr>
          <w:spacing w:val="-5"/>
          <w:sz w:val="18"/>
        </w:rPr>
        <w:t xml:space="preserve"> </w:t>
      </w:r>
      <w:r>
        <w:rPr>
          <w:sz w:val="18"/>
        </w:rPr>
        <w:t>Meeting</w:t>
      </w:r>
      <w:r>
        <w:rPr>
          <w:spacing w:val="-6"/>
          <w:sz w:val="18"/>
        </w:rPr>
        <w:t xml:space="preserve"> </w:t>
      </w:r>
      <w:r>
        <w:rPr>
          <w:sz w:val="18"/>
        </w:rPr>
        <w:t>(confidential</w:t>
      </w:r>
      <w:r>
        <w:rPr>
          <w:spacing w:val="-1"/>
          <w:sz w:val="18"/>
        </w:rPr>
        <w:t xml:space="preserve"> </w:t>
      </w:r>
      <w:r>
        <w:rPr>
          <w:sz w:val="18"/>
        </w:rPr>
        <w:t>version)</w:t>
      </w:r>
      <w:r>
        <w:rPr>
          <w:spacing w:val="-4"/>
          <w:sz w:val="18"/>
        </w:rPr>
        <w:t xml:space="preserve"> </w:t>
      </w:r>
      <w:r>
        <w:rPr>
          <w:sz w:val="18"/>
        </w:rPr>
        <w:t>(Exhibit</w:t>
      </w:r>
      <w:r>
        <w:rPr>
          <w:spacing w:val="-2"/>
          <w:sz w:val="18"/>
        </w:rPr>
        <w:t xml:space="preserve"> </w:t>
      </w:r>
      <w:r>
        <w:rPr>
          <w:sz w:val="18"/>
        </w:rPr>
        <w:t>CHN-42</w:t>
      </w:r>
      <w:r>
        <w:rPr>
          <w:spacing w:val="-8"/>
          <w:sz w:val="18"/>
        </w:rPr>
        <w:t xml:space="preserve"> </w:t>
      </w:r>
      <w:r>
        <w:rPr>
          <w:spacing w:val="-2"/>
          <w:sz w:val="18"/>
        </w:rPr>
        <w:t>(BCI)).</w:t>
      </w:r>
    </w:p>
    <w:p w14:paraId="3D6EB035" w14:textId="77777777" w:rsidR="00BD462C" w:rsidRDefault="00BD462C">
      <w:pPr>
        <w:rPr>
          <w:sz w:val="18"/>
        </w:rPr>
        <w:sectPr w:rsidR="00BD462C">
          <w:pgSz w:w="11910" w:h="16840"/>
          <w:pgMar w:top="860" w:right="500" w:bottom="780" w:left="1280" w:header="566" w:footer="590" w:gutter="0"/>
          <w:cols w:space="720"/>
        </w:sectPr>
      </w:pPr>
    </w:p>
    <w:p w14:paraId="5A6AAC08"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49569363"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196106B2"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3A4AAA50" w14:textId="413FE331" w:rsidR="00BD462C" w:rsidRDefault="00D70C7D">
      <w:pPr>
        <w:pStyle w:val="BodyText"/>
        <w:spacing w:before="107" w:line="357" w:lineRule="auto"/>
        <w:ind w:left="135" w:right="916"/>
        <w:jc w:val="both"/>
      </w:pPr>
      <w:r>
        <w:rPr>
          <w:noProof/>
        </w:rPr>
        <mc:AlternateContent>
          <mc:Choice Requires="wps">
            <w:drawing>
              <wp:anchor distT="0" distB="0" distL="114300" distR="114300" simplePos="0" relativeHeight="479129088" behindDoc="1" locked="0" layoutInCell="1" allowOverlap="1" wp14:anchorId="23FD1B88" wp14:editId="10D74CE0">
                <wp:simplePos x="0" y="0"/>
                <wp:positionH relativeFrom="page">
                  <wp:posOffset>3874135</wp:posOffset>
                </wp:positionH>
                <wp:positionV relativeFrom="paragraph">
                  <wp:posOffset>899160</wp:posOffset>
                </wp:positionV>
                <wp:extent cx="2785745" cy="186055"/>
                <wp:effectExtent l="0" t="0" r="0" b="0"/>
                <wp:wrapNone/>
                <wp:docPr id="406" name="docshape5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2AF865" id="docshape519" o:spid="_x0000_s1026" alt="&quot;&quot;" style="position:absolute;margin-left:305.05pt;margin-top:70.8pt;width:219.35pt;height:14.65pt;z-index:-2418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" fillcolor="black" stroked="f">
                <w10:wrap anchorx="page"/>
              </v:rect>
            </w:pict>
          </mc:Fallback>
        </mc:AlternateContent>
      </w:r>
      <w:r w:rsidR="000923F6">
        <w:rPr>
          <w:noProof/>
        </w:rPr>
        <w:t>731.</w:t>
      </w:r>
      <w:r w:rsidR="00033D0F">
        <w:rPr>
          <w:rFonts w:ascii="Times New Roman"/>
          <w:spacing w:val="40"/>
          <w:position w:val="1"/>
          <w:sz w:val="20"/>
        </w:rPr>
        <w:t xml:space="preserve">  </w:t>
      </w:r>
      <w:r w:rsidR="00033D0F">
        <w:rPr>
          <w:position w:val="1"/>
        </w:rPr>
        <w:t>The record shows that, notwithstanding this grant of confidential treatment,</w:t>
      </w:r>
      <w:r w:rsidR="00033D0F">
        <w:rPr>
          <w:spacing w:val="80"/>
          <w:position w:val="1"/>
        </w:rPr>
        <w:t xml:space="preserve"> </w:t>
      </w:r>
      <w:r w:rsidR="00033D0F">
        <w:t xml:space="preserve">MOFCOM itself did not treat certain information in Exhibit CHN-32 (BCI), or the end result of the calculation of total national output for each year, as </w:t>
      </w:r>
      <w:proofErr w:type="gramStart"/>
      <w:r w:rsidR="00033D0F">
        <w:t>confidential, since</w:t>
      </w:r>
      <w:proofErr w:type="gramEnd"/>
      <w:r w:rsidR="00033D0F">
        <w:t xml:space="preserve"> it included that information</w:t>
      </w:r>
      <w:r w:rsidR="00033D0F">
        <w:rPr>
          <w:spacing w:val="40"/>
        </w:rPr>
        <w:t xml:space="preserve"> </w:t>
      </w:r>
      <w:r w:rsidR="00033D0F">
        <w:t>in</w:t>
      </w:r>
      <w:r w:rsidR="00033D0F">
        <w:rPr>
          <w:spacing w:val="80"/>
        </w:rPr>
        <w:t xml:space="preserve"> </w:t>
      </w:r>
      <w:r w:rsidR="00033D0F">
        <w:t>the</w:t>
      </w:r>
      <w:r w:rsidR="00033D0F">
        <w:rPr>
          <w:spacing w:val="80"/>
        </w:rPr>
        <w:t xml:space="preserve"> </w:t>
      </w:r>
      <w:r w:rsidR="00033D0F">
        <w:t>Final</w:t>
      </w:r>
      <w:r w:rsidR="00033D0F">
        <w:rPr>
          <w:spacing w:val="80"/>
        </w:rPr>
        <w:t xml:space="preserve"> </w:t>
      </w:r>
      <w:r w:rsidR="00033D0F">
        <w:t>Determination.</w:t>
      </w:r>
      <w:hyperlink w:anchor="_bookmark1295" w:history="1">
        <w:r w:rsidR="00033D0F">
          <w:rPr>
            <w:vertAlign w:val="superscript"/>
          </w:rPr>
          <w:t>1117</w:t>
        </w:r>
      </w:hyperlink>
    </w:p>
    <w:p w14:paraId="5D749C1F" w14:textId="64F9CDF2" w:rsidR="00BD462C" w:rsidRDefault="00D70C7D">
      <w:pPr>
        <w:pStyle w:val="BodyText"/>
        <w:spacing w:before="6"/>
        <w:ind w:left="2089"/>
        <w:jc w:val="both"/>
      </w:pPr>
      <w:r>
        <w:rPr>
          <w:noProof/>
        </w:rPr>
        <mc:AlternateContent>
          <mc:Choice Requires="wps">
            <w:drawing>
              <wp:anchor distT="0" distB="0" distL="114300" distR="114300" simplePos="0" relativeHeight="15969280" behindDoc="0" locked="0" layoutInCell="1" allowOverlap="1" wp14:anchorId="07F2E12F" wp14:editId="1C0D3FC6">
                <wp:simplePos x="0" y="0"/>
                <wp:positionH relativeFrom="page">
                  <wp:posOffset>899160</wp:posOffset>
                </wp:positionH>
                <wp:positionV relativeFrom="paragraph">
                  <wp:posOffset>2540</wp:posOffset>
                </wp:positionV>
                <wp:extent cx="1161415" cy="186055"/>
                <wp:effectExtent l="0" t="0" r="0" b="0"/>
                <wp:wrapNone/>
                <wp:docPr id="404" name="docshape5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141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CE4957" id="docshape520" o:spid="_x0000_s1026" alt="&quot;&quot;" style="position:absolute;margin-left:70.8pt;margin-top:.2pt;width:91.45pt;height:14.65pt;z-index:15969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" fillcolor="black" stroked="f">
                <w10:wrap anchorx="page"/>
              </v:rect>
            </w:pict>
          </mc:Fallback>
        </mc:AlternateContent>
      </w:r>
      <w:r>
        <w:rPr>
          <w:noProof/>
        </w:rPr>
        <mc:AlternateContent>
          <mc:Choice Requires="wps">
            <w:drawing>
              <wp:anchor distT="0" distB="0" distL="114300" distR="114300" simplePos="0" relativeHeight="15969792" behindDoc="0" locked="0" layoutInCell="1" allowOverlap="1" wp14:anchorId="0BB57496" wp14:editId="022D4002">
                <wp:simplePos x="0" y="0"/>
                <wp:positionH relativeFrom="page">
                  <wp:posOffset>5538470</wp:posOffset>
                </wp:positionH>
                <wp:positionV relativeFrom="paragraph">
                  <wp:posOffset>2540</wp:posOffset>
                </wp:positionV>
                <wp:extent cx="1121410" cy="186055"/>
                <wp:effectExtent l="0" t="0" r="0" b="0"/>
                <wp:wrapNone/>
                <wp:docPr id="402" name="docshape5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141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B64FD7" id="docshape521" o:spid="_x0000_s1026" alt="&quot;&quot;" style="position:absolute;margin-left:436.1pt;margin-top:.2pt;width:88.3pt;height:14.65pt;z-index:1596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" fillcolor="black" stroked="f">
                <w10:wrap anchorx="page"/>
              </v:rect>
            </w:pict>
          </mc:Fallback>
        </mc:AlternateContent>
      </w:r>
      <w:r w:rsidR="00033D0F">
        <w:t>without</w:t>
      </w:r>
      <w:r w:rsidR="00033D0F">
        <w:rPr>
          <w:spacing w:val="68"/>
        </w:rPr>
        <w:t xml:space="preserve"> </w:t>
      </w:r>
      <w:r w:rsidR="00033D0F">
        <w:t>any</w:t>
      </w:r>
      <w:r w:rsidR="00033D0F">
        <w:rPr>
          <w:spacing w:val="69"/>
        </w:rPr>
        <w:t xml:space="preserve"> </w:t>
      </w:r>
      <w:r w:rsidR="00033D0F">
        <w:t>indication</w:t>
      </w:r>
      <w:r w:rsidR="00033D0F">
        <w:rPr>
          <w:spacing w:val="66"/>
        </w:rPr>
        <w:t xml:space="preserve"> </w:t>
      </w:r>
      <w:r w:rsidR="00033D0F">
        <w:t>that</w:t>
      </w:r>
      <w:r w:rsidR="00033D0F">
        <w:rPr>
          <w:spacing w:val="64"/>
        </w:rPr>
        <w:t xml:space="preserve"> </w:t>
      </w:r>
      <w:r w:rsidR="00033D0F">
        <w:t>it</w:t>
      </w:r>
      <w:r w:rsidR="00033D0F">
        <w:rPr>
          <w:spacing w:val="69"/>
        </w:rPr>
        <w:t xml:space="preserve"> </w:t>
      </w:r>
      <w:r w:rsidR="00033D0F">
        <w:t>is</w:t>
      </w:r>
      <w:r w:rsidR="00033D0F">
        <w:rPr>
          <w:spacing w:val="70"/>
        </w:rPr>
        <w:t xml:space="preserve"> </w:t>
      </w:r>
      <w:r w:rsidR="00033D0F">
        <w:t>confidential.</w:t>
      </w:r>
      <w:r w:rsidR="00033D0F">
        <w:rPr>
          <w:spacing w:val="70"/>
        </w:rPr>
        <w:t xml:space="preserve"> </w:t>
      </w:r>
      <w:r w:rsidR="00033D0F">
        <w:rPr>
          <w:spacing w:val="-5"/>
        </w:rPr>
        <w:t>The</w:t>
      </w:r>
    </w:p>
    <w:p w14:paraId="5D964207" w14:textId="7981E3AD" w:rsidR="00BD462C" w:rsidRDefault="00D70C7D">
      <w:pPr>
        <w:pStyle w:val="BodyText"/>
        <w:spacing w:before="144" w:line="360" w:lineRule="auto"/>
        <w:ind w:left="136" w:right="915" w:firstLine="5832"/>
        <w:jc w:val="both"/>
      </w:pPr>
      <w:r>
        <w:rPr>
          <w:noProof/>
        </w:rPr>
        <mc:AlternateContent>
          <mc:Choice Requires="wps">
            <w:drawing>
              <wp:anchor distT="0" distB="0" distL="114300" distR="114300" simplePos="0" relativeHeight="15970304" behindDoc="0" locked="0" layoutInCell="1" allowOverlap="1" wp14:anchorId="4B464DEC" wp14:editId="43544DB8">
                <wp:simplePos x="0" y="0"/>
                <wp:positionH relativeFrom="page">
                  <wp:posOffset>899160</wp:posOffset>
                </wp:positionH>
                <wp:positionV relativeFrom="paragraph">
                  <wp:posOffset>90170</wp:posOffset>
                </wp:positionV>
                <wp:extent cx="3651250" cy="186055"/>
                <wp:effectExtent l="0" t="0" r="0" b="0"/>
                <wp:wrapNone/>
                <wp:docPr id="400" name="docshape5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125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1973C6" id="docshape522" o:spid="_x0000_s1026" alt="&quot;&quot;" style="position:absolute;margin-left:70.8pt;margin-top:7.1pt;width:287.5pt;height:14.65pt;z-index:1597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" fillcolor="black" stroked="f">
                <w10:wrap anchorx="page"/>
              </v:rect>
            </w:pict>
          </mc:Fallback>
        </mc:AlternateContent>
      </w:r>
      <w:r w:rsidR="00033D0F">
        <w:t>are each set at a fixed rate that remains consistent across all 5 years of the injury POI. This strongly implies that they are assumptions rather than derived from real world data. In any event, to the extent that they are based on real world data, they must be rounded averages from aggregated sources. The</w:t>
      </w:r>
    </w:p>
    <w:p w14:paraId="686FEE8B" w14:textId="1925B604" w:rsidR="00BD462C" w:rsidRDefault="00D70C7D">
      <w:pPr>
        <w:pStyle w:val="BodyText"/>
        <w:spacing w:before="4" w:line="360" w:lineRule="auto"/>
        <w:ind w:left="136" w:right="917" w:firstLine="4488"/>
        <w:jc w:val="both"/>
      </w:pPr>
      <w:r>
        <w:rPr>
          <w:noProof/>
        </w:rPr>
        <mc:AlternateContent>
          <mc:Choice Requires="wps">
            <w:drawing>
              <wp:anchor distT="0" distB="0" distL="114300" distR="114300" simplePos="0" relativeHeight="15970816" behindDoc="0" locked="0" layoutInCell="1" allowOverlap="1" wp14:anchorId="63282FBF" wp14:editId="14366DEE">
                <wp:simplePos x="0" y="0"/>
                <wp:positionH relativeFrom="page">
                  <wp:posOffset>899160</wp:posOffset>
                </wp:positionH>
                <wp:positionV relativeFrom="paragraph">
                  <wp:posOffset>1270</wp:posOffset>
                </wp:positionV>
                <wp:extent cx="2797810" cy="186055"/>
                <wp:effectExtent l="0" t="0" r="0" b="0"/>
                <wp:wrapNone/>
                <wp:docPr id="398" name="docshape5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81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C500B2" id="docshape523" o:spid="_x0000_s1026" alt="&quot;&quot;" style="position:absolute;margin-left:70.8pt;margin-top:.1pt;width:220.3pt;height:14.65pt;z-index:15970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" fillcolor="black" stroked="f">
                <w10:wrap anchorx="page"/>
              </v:rect>
            </w:pict>
          </mc:Fallback>
        </mc:AlternateContent>
      </w:r>
      <w:r w:rsidR="00033D0F">
        <w:t>figures, even if based on real world data, are clearly an aggregate and an average that have no capacity to disclose the identity or production</w:t>
      </w:r>
      <w:r w:rsidR="00033D0F">
        <w:rPr>
          <w:spacing w:val="-14"/>
        </w:rPr>
        <w:t xml:space="preserve"> </w:t>
      </w:r>
      <w:r w:rsidR="00033D0F">
        <w:t>of</w:t>
      </w:r>
      <w:r w:rsidR="00033D0F">
        <w:rPr>
          <w:spacing w:val="-14"/>
        </w:rPr>
        <w:t xml:space="preserve"> </w:t>
      </w:r>
      <w:r w:rsidR="00033D0F">
        <w:t>any</w:t>
      </w:r>
      <w:r w:rsidR="00033D0F">
        <w:rPr>
          <w:spacing w:val="-12"/>
        </w:rPr>
        <w:t xml:space="preserve"> </w:t>
      </w:r>
      <w:r w:rsidR="00033D0F">
        <w:t>individual</w:t>
      </w:r>
      <w:r w:rsidR="00033D0F">
        <w:rPr>
          <w:spacing w:val="-10"/>
        </w:rPr>
        <w:t xml:space="preserve"> </w:t>
      </w:r>
      <w:r w:rsidR="00033D0F">
        <w:t>entity.</w:t>
      </w:r>
      <w:r w:rsidR="00033D0F">
        <w:rPr>
          <w:spacing w:val="-11"/>
        </w:rPr>
        <w:t xml:space="preserve"> </w:t>
      </w:r>
      <w:r w:rsidR="00033D0F">
        <w:t>Yet</w:t>
      </w:r>
      <w:r w:rsidR="00033D0F">
        <w:rPr>
          <w:spacing w:val="-11"/>
        </w:rPr>
        <w:t xml:space="preserve"> </w:t>
      </w:r>
      <w:r w:rsidR="00033D0F">
        <w:t>confidential</w:t>
      </w:r>
      <w:r w:rsidR="00033D0F">
        <w:rPr>
          <w:spacing w:val="-10"/>
        </w:rPr>
        <w:t xml:space="preserve"> </w:t>
      </w:r>
      <w:r w:rsidR="00033D0F">
        <w:t>treatment</w:t>
      </w:r>
      <w:r w:rsidR="00033D0F">
        <w:rPr>
          <w:spacing w:val="-11"/>
        </w:rPr>
        <w:t xml:space="preserve"> </w:t>
      </w:r>
      <w:r w:rsidR="00033D0F">
        <w:t>was</w:t>
      </w:r>
      <w:r w:rsidR="00033D0F">
        <w:rPr>
          <w:spacing w:val="-10"/>
        </w:rPr>
        <w:t xml:space="preserve"> </w:t>
      </w:r>
      <w:r w:rsidR="00033D0F">
        <w:t>given</w:t>
      </w:r>
      <w:r w:rsidR="00033D0F">
        <w:rPr>
          <w:spacing w:val="-14"/>
        </w:rPr>
        <w:t xml:space="preserve"> </w:t>
      </w:r>
      <w:r w:rsidR="00033D0F">
        <w:t>to</w:t>
      </w:r>
      <w:r w:rsidR="00033D0F">
        <w:rPr>
          <w:spacing w:val="-14"/>
        </w:rPr>
        <w:t xml:space="preserve"> </w:t>
      </w:r>
      <w:r w:rsidR="00033D0F">
        <w:t>the</w:t>
      </w:r>
      <w:r w:rsidR="00033D0F">
        <w:rPr>
          <w:spacing w:val="-11"/>
        </w:rPr>
        <w:t xml:space="preserve"> </w:t>
      </w:r>
      <w:r w:rsidR="00033D0F">
        <w:t>entirety</w:t>
      </w:r>
      <w:r w:rsidR="00033D0F">
        <w:rPr>
          <w:spacing w:val="-11"/>
        </w:rPr>
        <w:t xml:space="preserve"> </w:t>
      </w:r>
      <w:r w:rsidR="00033D0F">
        <w:t>of</w:t>
      </w:r>
      <w:r w:rsidR="00033D0F">
        <w:rPr>
          <w:spacing w:val="-14"/>
        </w:rPr>
        <w:t xml:space="preserve"> </w:t>
      </w:r>
      <w:r w:rsidR="00033D0F">
        <w:t xml:space="preserve">this </w:t>
      </w:r>
      <w:r w:rsidR="00033D0F">
        <w:rPr>
          <w:spacing w:val="-2"/>
        </w:rPr>
        <w:t>information.</w:t>
      </w:r>
    </w:p>
    <w:p w14:paraId="291F28D5" w14:textId="77777777" w:rsidR="00BD462C" w:rsidRDefault="00BD462C">
      <w:pPr>
        <w:pStyle w:val="BodyText"/>
        <w:spacing w:before="8"/>
        <w:rPr>
          <w:sz w:val="8"/>
        </w:rPr>
      </w:pPr>
    </w:p>
    <w:p w14:paraId="2B6E4128" w14:textId="54D2E4B8" w:rsidR="00BD462C" w:rsidRDefault="000923F6">
      <w:pPr>
        <w:pStyle w:val="BodyText"/>
        <w:spacing w:before="56" w:line="360" w:lineRule="auto"/>
        <w:ind w:left="135" w:right="913"/>
        <w:jc w:val="both"/>
      </w:pPr>
      <w:r>
        <w:rPr>
          <w:noProof/>
        </w:rPr>
        <w:t>732.</w:t>
      </w:r>
      <w:r w:rsidR="00033D0F">
        <w:rPr>
          <w:rFonts w:ascii="Times New Roman"/>
          <w:spacing w:val="80"/>
          <w:position w:val="1"/>
          <w:sz w:val="20"/>
        </w:rPr>
        <w:t xml:space="preserve">  </w:t>
      </w:r>
      <w:r w:rsidR="00033D0F">
        <w:rPr>
          <w:position w:val="1"/>
        </w:rPr>
        <w:t>In</w:t>
      </w:r>
      <w:r w:rsidR="00033D0F">
        <w:rPr>
          <w:spacing w:val="-8"/>
          <w:position w:val="1"/>
        </w:rPr>
        <w:t xml:space="preserve"> </w:t>
      </w:r>
      <w:r w:rsidR="00033D0F">
        <w:rPr>
          <w:position w:val="1"/>
        </w:rPr>
        <w:t>its</w:t>
      </w:r>
      <w:r w:rsidR="00033D0F">
        <w:rPr>
          <w:spacing w:val="-5"/>
          <w:position w:val="1"/>
        </w:rPr>
        <w:t xml:space="preserve"> </w:t>
      </w:r>
      <w:r w:rsidR="00033D0F">
        <w:rPr>
          <w:position w:val="1"/>
        </w:rPr>
        <w:t>response</w:t>
      </w:r>
      <w:r w:rsidR="00033D0F">
        <w:rPr>
          <w:spacing w:val="-6"/>
          <w:position w:val="1"/>
        </w:rPr>
        <w:t xml:space="preserve"> </w:t>
      </w:r>
      <w:r w:rsidR="00033D0F">
        <w:rPr>
          <w:position w:val="1"/>
        </w:rPr>
        <w:t>to</w:t>
      </w:r>
      <w:r w:rsidR="00033D0F">
        <w:rPr>
          <w:spacing w:val="-9"/>
          <w:position w:val="1"/>
        </w:rPr>
        <w:t xml:space="preserve"> </w:t>
      </w:r>
      <w:r w:rsidR="00033D0F">
        <w:rPr>
          <w:position w:val="1"/>
        </w:rPr>
        <w:t>Panel</w:t>
      </w:r>
      <w:r w:rsidR="00033D0F">
        <w:rPr>
          <w:spacing w:val="-4"/>
          <w:position w:val="1"/>
        </w:rPr>
        <w:t xml:space="preserve"> </w:t>
      </w:r>
      <w:r w:rsidR="00033D0F">
        <w:rPr>
          <w:position w:val="1"/>
        </w:rPr>
        <w:t>question</w:t>
      </w:r>
      <w:r w:rsidR="00033D0F">
        <w:rPr>
          <w:spacing w:val="-8"/>
          <w:position w:val="1"/>
        </w:rPr>
        <w:t xml:space="preserve"> </w:t>
      </w:r>
      <w:r w:rsidR="00033D0F">
        <w:rPr>
          <w:position w:val="1"/>
        </w:rPr>
        <w:t>No.</w:t>
      </w:r>
      <w:r w:rsidR="00033D0F">
        <w:rPr>
          <w:spacing w:val="-5"/>
          <w:position w:val="1"/>
        </w:rPr>
        <w:t xml:space="preserve"> </w:t>
      </w:r>
      <w:r w:rsidR="00033D0F">
        <w:rPr>
          <w:position w:val="1"/>
        </w:rPr>
        <w:t>50,</w:t>
      </w:r>
      <w:r w:rsidR="00033D0F">
        <w:rPr>
          <w:spacing w:val="-4"/>
          <w:position w:val="1"/>
        </w:rPr>
        <w:t xml:space="preserve"> </w:t>
      </w:r>
      <w:r w:rsidR="00033D0F">
        <w:rPr>
          <w:position w:val="1"/>
        </w:rPr>
        <w:t>China</w:t>
      </w:r>
      <w:r w:rsidR="00033D0F">
        <w:rPr>
          <w:spacing w:val="-7"/>
          <w:position w:val="1"/>
        </w:rPr>
        <w:t xml:space="preserve"> </w:t>
      </w:r>
      <w:r w:rsidR="00033D0F">
        <w:rPr>
          <w:position w:val="1"/>
        </w:rPr>
        <w:t>asserts</w:t>
      </w:r>
      <w:r w:rsidR="00033D0F">
        <w:rPr>
          <w:spacing w:val="-5"/>
          <w:position w:val="1"/>
        </w:rPr>
        <w:t xml:space="preserve"> </w:t>
      </w:r>
      <w:r w:rsidR="00033D0F">
        <w:rPr>
          <w:position w:val="1"/>
        </w:rPr>
        <w:t>that</w:t>
      </w:r>
      <w:r w:rsidR="00033D0F">
        <w:rPr>
          <w:spacing w:val="-6"/>
          <w:position w:val="1"/>
        </w:rPr>
        <w:t xml:space="preserve"> </w:t>
      </w:r>
      <w:r w:rsidR="00033D0F">
        <w:rPr>
          <w:position w:val="1"/>
        </w:rPr>
        <w:t>the</w:t>
      </w:r>
      <w:r w:rsidR="00033D0F">
        <w:rPr>
          <w:spacing w:val="-6"/>
          <w:position w:val="1"/>
        </w:rPr>
        <w:t xml:space="preserve"> </w:t>
      </w:r>
      <w:r w:rsidR="00033D0F">
        <w:rPr>
          <w:position w:val="1"/>
        </w:rPr>
        <w:t>information</w:t>
      </w:r>
      <w:r w:rsidR="00033D0F">
        <w:rPr>
          <w:spacing w:val="-8"/>
          <w:position w:val="1"/>
        </w:rPr>
        <w:t xml:space="preserve"> </w:t>
      </w:r>
      <w:r w:rsidR="00033D0F">
        <w:rPr>
          <w:position w:val="1"/>
        </w:rPr>
        <w:t>in</w:t>
      </w:r>
      <w:r w:rsidR="00033D0F">
        <w:rPr>
          <w:spacing w:val="-8"/>
          <w:position w:val="1"/>
        </w:rPr>
        <w:t xml:space="preserve"> </w:t>
      </w:r>
      <w:r w:rsidR="00033D0F">
        <w:rPr>
          <w:position w:val="1"/>
        </w:rPr>
        <w:t xml:space="preserve">Exhibit </w:t>
      </w:r>
      <w:r w:rsidR="00033D0F">
        <w:t>CHN-32(BCI) is "business-sensitive" and that the need for it to be confidential is "self- evident".</w:t>
      </w:r>
      <w:hyperlink w:anchor="_bookmark1296" w:history="1">
        <w:r w:rsidR="00033D0F">
          <w:rPr>
            <w:vertAlign w:val="superscript"/>
          </w:rPr>
          <w:t>1118</w:t>
        </w:r>
      </w:hyperlink>
      <w:r w:rsidR="00033D0F">
        <w:rPr>
          <w:spacing w:val="-4"/>
        </w:rPr>
        <w:t xml:space="preserve"> </w:t>
      </w:r>
      <w:r w:rsidR="00033D0F">
        <w:t>Given</w:t>
      </w:r>
      <w:r w:rsidR="00033D0F">
        <w:rPr>
          <w:spacing w:val="-7"/>
        </w:rPr>
        <w:t xml:space="preserve"> </w:t>
      </w:r>
      <w:r w:rsidR="00033D0F">
        <w:t>it</w:t>
      </w:r>
      <w:r w:rsidR="00033D0F">
        <w:rPr>
          <w:spacing w:val="-5"/>
        </w:rPr>
        <w:t xml:space="preserve"> </w:t>
      </w:r>
      <w:r w:rsidR="00033D0F">
        <w:t>was</w:t>
      </w:r>
      <w:r w:rsidR="00033D0F">
        <w:rPr>
          <w:spacing w:val="-4"/>
        </w:rPr>
        <w:t xml:space="preserve"> </w:t>
      </w:r>
      <w:r w:rsidR="00033D0F">
        <w:t>comprised</w:t>
      </w:r>
      <w:r w:rsidR="00033D0F">
        <w:rPr>
          <w:spacing w:val="-7"/>
        </w:rPr>
        <w:t xml:space="preserve"> </w:t>
      </w:r>
      <w:r w:rsidR="00033D0F">
        <w:t>entirely</w:t>
      </w:r>
      <w:r w:rsidR="00033D0F">
        <w:rPr>
          <w:spacing w:val="-4"/>
        </w:rPr>
        <w:t xml:space="preserve"> </w:t>
      </w:r>
      <w:r w:rsidR="00033D0F">
        <w:t>of</w:t>
      </w:r>
      <w:r w:rsidR="00033D0F">
        <w:rPr>
          <w:spacing w:val="-7"/>
        </w:rPr>
        <w:t xml:space="preserve"> </w:t>
      </w:r>
      <w:r w:rsidR="00033D0F">
        <w:t>information</w:t>
      </w:r>
      <w:r w:rsidR="00033D0F">
        <w:rPr>
          <w:spacing w:val="-7"/>
        </w:rPr>
        <w:t xml:space="preserve"> </w:t>
      </w:r>
      <w:r w:rsidR="00033D0F">
        <w:t>MOFCOM</w:t>
      </w:r>
      <w:r w:rsidR="00033D0F">
        <w:rPr>
          <w:spacing w:val="-5"/>
        </w:rPr>
        <w:t xml:space="preserve"> </w:t>
      </w:r>
      <w:r w:rsidR="00033D0F">
        <w:t>was</w:t>
      </w:r>
      <w:r w:rsidR="00033D0F">
        <w:rPr>
          <w:spacing w:val="-4"/>
        </w:rPr>
        <w:t xml:space="preserve"> </w:t>
      </w:r>
      <w:r w:rsidR="00033D0F">
        <w:t>content</w:t>
      </w:r>
      <w:r w:rsidR="00033D0F">
        <w:rPr>
          <w:spacing w:val="-5"/>
        </w:rPr>
        <w:t xml:space="preserve"> </w:t>
      </w:r>
      <w:r w:rsidR="00033D0F">
        <w:t>to</w:t>
      </w:r>
      <w:r w:rsidR="00033D0F">
        <w:rPr>
          <w:spacing w:val="-3"/>
        </w:rPr>
        <w:t xml:space="preserve"> </w:t>
      </w:r>
      <w:r w:rsidR="00033D0F">
        <w:t>include in the Final Determination, unsourced assumptions, and aggregated and/or averaged data, there is no evidence on the record to support the assertion that this information was "business-sensitive", let alone that an unbiased and objective investigating authority could have concluded it was "self-evidently" confidential.</w:t>
      </w:r>
    </w:p>
    <w:p w14:paraId="3FC663D6" w14:textId="77777777" w:rsidR="00BD462C" w:rsidRDefault="00BD462C">
      <w:pPr>
        <w:pStyle w:val="BodyText"/>
        <w:spacing w:before="5"/>
        <w:rPr>
          <w:sz w:val="8"/>
        </w:rPr>
      </w:pPr>
    </w:p>
    <w:p w14:paraId="38F0ED72" w14:textId="242A78DC" w:rsidR="00BD462C" w:rsidRDefault="000923F6">
      <w:pPr>
        <w:pStyle w:val="BodyText"/>
        <w:spacing w:before="56" w:line="360" w:lineRule="auto"/>
        <w:ind w:left="136" w:right="914"/>
        <w:jc w:val="both"/>
      </w:pPr>
      <w:r>
        <w:rPr>
          <w:noProof/>
        </w:rPr>
        <w:t>733.</w:t>
      </w:r>
      <w:r w:rsidR="00033D0F">
        <w:rPr>
          <w:rFonts w:ascii="Times New Roman"/>
          <w:spacing w:val="40"/>
          <w:position w:val="1"/>
          <w:sz w:val="20"/>
        </w:rPr>
        <w:t xml:space="preserve">  </w:t>
      </w:r>
      <w:r w:rsidR="00033D0F">
        <w:rPr>
          <w:position w:val="1"/>
        </w:rPr>
        <w:t xml:space="preserve">Accordingly, in Australia's view, MOFCOM treated the information in Exhibit CHN- </w:t>
      </w:r>
      <w:r w:rsidR="00033D0F">
        <w:t>32(BCI) as confidential without requiring "good cause" to be shown for such treatment and without</w:t>
      </w:r>
      <w:r w:rsidR="00033D0F">
        <w:rPr>
          <w:spacing w:val="-7"/>
        </w:rPr>
        <w:t xml:space="preserve"> </w:t>
      </w:r>
      <w:r w:rsidR="00033D0F">
        <w:t>assessing</w:t>
      </w:r>
      <w:r w:rsidR="00033D0F">
        <w:rPr>
          <w:spacing w:val="-5"/>
        </w:rPr>
        <w:t xml:space="preserve"> </w:t>
      </w:r>
      <w:r w:rsidR="00033D0F">
        <w:t>whether</w:t>
      </w:r>
      <w:r w:rsidR="00033D0F">
        <w:rPr>
          <w:spacing w:val="-10"/>
        </w:rPr>
        <w:t xml:space="preserve"> </w:t>
      </w:r>
      <w:r w:rsidR="00033D0F">
        <w:t>"good</w:t>
      </w:r>
      <w:r w:rsidR="00033D0F">
        <w:rPr>
          <w:spacing w:val="-4"/>
        </w:rPr>
        <w:t xml:space="preserve"> </w:t>
      </w:r>
      <w:r w:rsidR="00033D0F">
        <w:t>cause"</w:t>
      </w:r>
      <w:r w:rsidR="00033D0F">
        <w:rPr>
          <w:spacing w:val="-3"/>
        </w:rPr>
        <w:t xml:space="preserve"> </w:t>
      </w:r>
      <w:r w:rsidR="00033D0F">
        <w:t>had</w:t>
      </w:r>
      <w:r w:rsidR="00033D0F">
        <w:rPr>
          <w:spacing w:val="-4"/>
        </w:rPr>
        <w:t xml:space="preserve"> </w:t>
      </w:r>
      <w:r w:rsidR="00033D0F">
        <w:t>been</w:t>
      </w:r>
      <w:r w:rsidR="00033D0F">
        <w:rPr>
          <w:spacing w:val="-4"/>
        </w:rPr>
        <w:t xml:space="preserve"> </w:t>
      </w:r>
      <w:r w:rsidR="00033D0F">
        <w:t>shown.</w:t>
      </w:r>
      <w:r w:rsidR="00033D0F">
        <w:rPr>
          <w:spacing w:val="-6"/>
        </w:rPr>
        <w:t xml:space="preserve"> </w:t>
      </w:r>
      <w:r w:rsidR="00033D0F">
        <w:t>The</w:t>
      </w:r>
      <w:r w:rsidR="00033D0F">
        <w:rPr>
          <w:spacing w:val="-7"/>
        </w:rPr>
        <w:t xml:space="preserve"> </w:t>
      </w:r>
      <w:r w:rsidR="00033D0F">
        <w:t>nature</w:t>
      </w:r>
      <w:r w:rsidR="00033D0F">
        <w:rPr>
          <w:spacing w:val="-2"/>
        </w:rPr>
        <w:t xml:space="preserve"> </w:t>
      </w:r>
      <w:r w:rsidR="00033D0F">
        <w:t>of</w:t>
      </w:r>
      <w:r w:rsidR="00033D0F">
        <w:rPr>
          <w:spacing w:val="-9"/>
        </w:rPr>
        <w:t xml:space="preserve"> </w:t>
      </w:r>
      <w:r w:rsidR="00033D0F">
        <w:t>this</w:t>
      </w:r>
      <w:r w:rsidR="00033D0F">
        <w:rPr>
          <w:spacing w:val="-6"/>
        </w:rPr>
        <w:t xml:space="preserve"> </w:t>
      </w:r>
      <w:r w:rsidR="00033D0F">
        <w:t>information</w:t>
      </w:r>
      <w:r w:rsidR="00033D0F">
        <w:rPr>
          <w:spacing w:val="-9"/>
        </w:rPr>
        <w:t xml:space="preserve"> </w:t>
      </w:r>
      <w:r w:rsidR="00033D0F">
        <w:t>was non-confidential, since</w:t>
      </w:r>
      <w:r w:rsidR="00033D0F">
        <w:rPr>
          <w:spacing w:val="-2"/>
        </w:rPr>
        <w:t xml:space="preserve"> </w:t>
      </w:r>
      <w:r w:rsidR="00033D0F">
        <w:t>it</w:t>
      </w:r>
      <w:r w:rsidR="00033D0F">
        <w:rPr>
          <w:spacing w:val="-2"/>
        </w:rPr>
        <w:t xml:space="preserve"> </w:t>
      </w:r>
      <w:r w:rsidR="00033D0F">
        <w:t>did</w:t>
      </w:r>
      <w:r w:rsidR="00033D0F">
        <w:rPr>
          <w:spacing w:val="-4"/>
        </w:rPr>
        <w:t xml:space="preserve"> </w:t>
      </w:r>
      <w:r w:rsidR="00033D0F">
        <w:t>not</w:t>
      </w:r>
      <w:r w:rsidR="00033D0F">
        <w:rPr>
          <w:spacing w:val="-2"/>
        </w:rPr>
        <w:t xml:space="preserve"> </w:t>
      </w:r>
      <w:r w:rsidR="00033D0F">
        <w:t>relate</w:t>
      </w:r>
      <w:r w:rsidR="00033D0F">
        <w:rPr>
          <w:spacing w:val="-2"/>
        </w:rPr>
        <w:t xml:space="preserve"> </w:t>
      </w:r>
      <w:r w:rsidR="00033D0F">
        <w:t>to</w:t>
      </w:r>
      <w:r w:rsidR="00033D0F">
        <w:rPr>
          <w:spacing w:val="-5"/>
        </w:rPr>
        <w:t xml:space="preserve"> </w:t>
      </w:r>
      <w:r w:rsidR="00033D0F">
        <w:t>the</w:t>
      </w:r>
      <w:r w:rsidR="00033D0F">
        <w:rPr>
          <w:spacing w:val="-3"/>
        </w:rPr>
        <w:t xml:space="preserve"> </w:t>
      </w:r>
      <w:r w:rsidR="00033D0F">
        <w:t>identity</w:t>
      </w:r>
      <w:r w:rsidR="00033D0F">
        <w:rPr>
          <w:spacing w:val="-1"/>
        </w:rPr>
        <w:t xml:space="preserve"> </w:t>
      </w:r>
      <w:r w:rsidR="00033D0F">
        <w:t>of</w:t>
      </w:r>
      <w:r w:rsidR="00033D0F">
        <w:rPr>
          <w:spacing w:val="-4"/>
        </w:rPr>
        <w:t xml:space="preserve"> </w:t>
      </w:r>
      <w:r w:rsidR="00033D0F">
        <w:t>the</w:t>
      </w:r>
      <w:r w:rsidR="00033D0F">
        <w:rPr>
          <w:spacing w:val="-3"/>
        </w:rPr>
        <w:t xml:space="preserve"> </w:t>
      </w:r>
      <w:proofErr w:type="spellStart"/>
      <w:r w:rsidR="00033D0F">
        <w:t>organisation</w:t>
      </w:r>
      <w:proofErr w:type="spellEnd"/>
      <w:r w:rsidR="00033D0F">
        <w:rPr>
          <w:spacing w:val="-4"/>
        </w:rPr>
        <w:t xml:space="preserve"> </w:t>
      </w:r>
      <w:r w:rsidR="00033D0F">
        <w:t>that</w:t>
      </w:r>
      <w:r w:rsidR="00033D0F">
        <w:rPr>
          <w:spacing w:val="-2"/>
        </w:rPr>
        <w:t xml:space="preserve"> </w:t>
      </w:r>
      <w:r w:rsidR="00033D0F">
        <w:t>had</w:t>
      </w:r>
      <w:r w:rsidR="00033D0F">
        <w:rPr>
          <w:spacing w:val="-4"/>
        </w:rPr>
        <w:t xml:space="preserve"> </w:t>
      </w:r>
      <w:r w:rsidR="00033D0F">
        <w:t>submitted it or to the business information of any identifiable producer or group of producers. There is no</w:t>
      </w:r>
      <w:r w:rsidR="00033D0F">
        <w:rPr>
          <w:spacing w:val="-5"/>
        </w:rPr>
        <w:t xml:space="preserve"> </w:t>
      </w:r>
      <w:r w:rsidR="00033D0F">
        <w:t>evidence</w:t>
      </w:r>
      <w:r w:rsidR="00033D0F">
        <w:rPr>
          <w:spacing w:val="-2"/>
        </w:rPr>
        <w:t xml:space="preserve"> </w:t>
      </w:r>
      <w:r w:rsidR="00033D0F">
        <w:t>on</w:t>
      </w:r>
      <w:r w:rsidR="00033D0F">
        <w:rPr>
          <w:spacing w:val="-4"/>
        </w:rPr>
        <w:t xml:space="preserve"> </w:t>
      </w:r>
      <w:r w:rsidR="00033D0F">
        <w:t>the</w:t>
      </w:r>
      <w:r w:rsidR="00033D0F">
        <w:rPr>
          <w:spacing w:val="-3"/>
        </w:rPr>
        <w:t xml:space="preserve"> </w:t>
      </w:r>
      <w:r w:rsidR="00033D0F">
        <w:t>record</w:t>
      </w:r>
      <w:r w:rsidR="00033D0F">
        <w:rPr>
          <w:spacing w:val="-4"/>
        </w:rPr>
        <w:t xml:space="preserve"> </w:t>
      </w:r>
      <w:r w:rsidR="00033D0F">
        <w:t>that</w:t>
      </w:r>
      <w:r w:rsidR="00033D0F">
        <w:rPr>
          <w:spacing w:val="-2"/>
        </w:rPr>
        <w:t xml:space="preserve"> </w:t>
      </w:r>
      <w:r w:rsidR="00033D0F">
        <w:t>MOFCOM</w:t>
      </w:r>
      <w:r w:rsidR="00033D0F">
        <w:rPr>
          <w:spacing w:val="-2"/>
        </w:rPr>
        <w:t xml:space="preserve"> </w:t>
      </w:r>
      <w:r w:rsidR="00033D0F">
        <w:t>assessed</w:t>
      </w:r>
      <w:r w:rsidR="00033D0F">
        <w:rPr>
          <w:spacing w:val="-4"/>
        </w:rPr>
        <w:t xml:space="preserve"> </w:t>
      </w:r>
      <w:r w:rsidR="00033D0F">
        <w:t>whether</w:t>
      </w:r>
      <w:r w:rsidR="00033D0F">
        <w:rPr>
          <w:spacing w:val="-5"/>
        </w:rPr>
        <w:t xml:space="preserve"> </w:t>
      </w:r>
      <w:r w:rsidR="00033D0F">
        <w:t>"good cause"</w:t>
      </w:r>
      <w:r w:rsidR="00033D0F">
        <w:rPr>
          <w:spacing w:val="-3"/>
        </w:rPr>
        <w:t xml:space="preserve"> </w:t>
      </w:r>
      <w:r w:rsidR="00033D0F">
        <w:t>had</w:t>
      </w:r>
      <w:r w:rsidR="00033D0F">
        <w:rPr>
          <w:spacing w:val="-4"/>
        </w:rPr>
        <w:t xml:space="preserve"> </w:t>
      </w:r>
      <w:r w:rsidR="00033D0F">
        <w:t>been</w:t>
      </w:r>
      <w:r w:rsidR="00033D0F">
        <w:rPr>
          <w:spacing w:val="-4"/>
        </w:rPr>
        <w:t xml:space="preserve"> </w:t>
      </w:r>
      <w:r w:rsidR="00033D0F">
        <w:t>shown</w:t>
      </w:r>
      <w:r w:rsidR="00033D0F">
        <w:rPr>
          <w:spacing w:val="-4"/>
        </w:rPr>
        <w:t xml:space="preserve"> </w:t>
      </w:r>
      <w:r w:rsidR="00033D0F">
        <w:t>in</w:t>
      </w:r>
    </w:p>
    <w:p w14:paraId="0DD20D0D" w14:textId="77777777" w:rsidR="00BD462C" w:rsidRDefault="00BD462C">
      <w:pPr>
        <w:pStyle w:val="BodyText"/>
        <w:rPr>
          <w:sz w:val="20"/>
        </w:rPr>
      </w:pPr>
    </w:p>
    <w:p w14:paraId="4E4B6F02" w14:textId="086F1641" w:rsidR="00BD462C" w:rsidRDefault="00752F01">
      <w:pPr>
        <w:pStyle w:val="BodyText"/>
        <w:spacing w:before="1"/>
        <w:rPr>
          <w:sz w:val="21"/>
        </w:rPr>
      </w:pPr>
      <w:r>
        <w:rPr>
          <w:noProof/>
        </w:rPr>
        <mc:AlternateContent>
          <mc:Choice Requires="wps">
            <w:drawing>
              <wp:anchor distT="0" distB="0" distL="0" distR="0" simplePos="0" relativeHeight="488296960" behindDoc="1" locked="0" layoutInCell="1" allowOverlap="1" wp14:anchorId="28B56653" wp14:editId="52234628">
                <wp:simplePos x="0" y="0"/>
                <wp:positionH relativeFrom="page">
                  <wp:posOffset>812800</wp:posOffset>
                </wp:positionH>
                <wp:positionV relativeFrom="paragraph">
                  <wp:posOffset>164465</wp:posOffset>
                </wp:positionV>
                <wp:extent cx="1828800" cy="8890"/>
                <wp:effectExtent l="0" t="0" r="0" b="0"/>
                <wp:wrapTopAndBottom/>
                <wp:docPr id="298" name="docshape5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54178" id="docshape529" o:spid="_x0000_s1026" alt="&quot;&quot;" style="position:absolute;margin-left:64pt;margin-top:12.95pt;width:2in;height:.7pt;z-index:-15019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" fillcolor="black" stroked="f">
                <w10:wrap type="topAndBottom" anchorx="page"/>
              </v:rect>
            </w:pict>
          </mc:Fallback>
        </mc:AlternateContent>
      </w:r>
    </w:p>
    <w:p w14:paraId="3EEE7DE9" w14:textId="77777777" w:rsidR="00BD462C" w:rsidRDefault="00033D0F">
      <w:pPr>
        <w:spacing w:before="112"/>
        <w:ind w:left="136" w:right="909" w:hanging="1"/>
        <w:jc w:val="both"/>
        <w:rPr>
          <w:sz w:val="18"/>
        </w:rPr>
      </w:pPr>
      <w:bookmarkStart w:id="1504" w:name="_bookmark1295"/>
      <w:bookmarkEnd w:id="1504"/>
      <w:r>
        <w:rPr>
          <w:position w:val="5"/>
          <w:sz w:val="12"/>
        </w:rPr>
        <w:t>1117</w:t>
      </w:r>
      <w:r>
        <w:rPr>
          <w:spacing w:val="27"/>
          <w:position w:val="5"/>
          <w:sz w:val="12"/>
        </w:rPr>
        <w:t xml:space="preserve"> </w:t>
      </w:r>
      <w:r>
        <w:rPr>
          <w:sz w:val="18"/>
        </w:rPr>
        <w:t>Anti-Dumping Final Determination (Exhibit AUS-2), p. 109 ("The Investigating Authority believed that it was reasonable to</w:t>
      </w:r>
      <w:r>
        <w:rPr>
          <w:spacing w:val="-9"/>
          <w:sz w:val="18"/>
        </w:rPr>
        <w:t xml:space="preserve"> </w:t>
      </w:r>
      <w:r>
        <w:rPr>
          <w:sz w:val="18"/>
        </w:rPr>
        <w:t>calculate</w:t>
      </w:r>
      <w:r>
        <w:rPr>
          <w:spacing w:val="-8"/>
          <w:sz w:val="18"/>
        </w:rPr>
        <w:t xml:space="preserve"> </w:t>
      </w:r>
      <w:r>
        <w:rPr>
          <w:sz w:val="18"/>
        </w:rPr>
        <w:t>the</w:t>
      </w:r>
      <w:r>
        <w:rPr>
          <w:spacing w:val="-3"/>
          <w:sz w:val="18"/>
        </w:rPr>
        <w:t xml:space="preserve"> </w:t>
      </w:r>
      <w:r>
        <w:rPr>
          <w:sz w:val="18"/>
        </w:rPr>
        <w:t>overall</w:t>
      </w:r>
      <w:r>
        <w:rPr>
          <w:spacing w:val="-7"/>
          <w:sz w:val="18"/>
        </w:rPr>
        <w:t xml:space="preserve"> </w:t>
      </w:r>
      <w:r>
        <w:rPr>
          <w:sz w:val="18"/>
        </w:rPr>
        <w:t>output</w:t>
      </w:r>
      <w:r>
        <w:rPr>
          <w:spacing w:val="-7"/>
          <w:sz w:val="18"/>
        </w:rPr>
        <w:t xml:space="preserve"> </w:t>
      </w:r>
      <w:r>
        <w:rPr>
          <w:sz w:val="18"/>
        </w:rPr>
        <w:t>by</w:t>
      </w:r>
      <w:r>
        <w:rPr>
          <w:spacing w:val="-10"/>
          <w:sz w:val="18"/>
        </w:rPr>
        <w:t xml:space="preserve"> </w:t>
      </w:r>
      <w:r>
        <w:rPr>
          <w:sz w:val="18"/>
        </w:rPr>
        <w:t>the</w:t>
      </w:r>
      <w:r>
        <w:rPr>
          <w:spacing w:val="-8"/>
          <w:sz w:val="18"/>
        </w:rPr>
        <w:t xml:space="preserve"> </w:t>
      </w:r>
      <w:r>
        <w:rPr>
          <w:sz w:val="18"/>
        </w:rPr>
        <w:t>area</w:t>
      </w:r>
      <w:r>
        <w:rPr>
          <w:spacing w:val="-10"/>
          <w:sz w:val="18"/>
        </w:rPr>
        <w:t xml:space="preserve"> </w:t>
      </w:r>
      <w:r>
        <w:rPr>
          <w:sz w:val="18"/>
        </w:rPr>
        <w:t>of</w:t>
      </w:r>
      <w:r>
        <w:rPr>
          <w:spacing w:val="-7"/>
          <w:sz w:val="18"/>
        </w:rPr>
        <w:t xml:space="preserve"> </w:t>
      </w:r>
      <w:r>
        <w:rPr>
          <w:sz w:val="18"/>
        </w:rPr>
        <w:t>wine</w:t>
      </w:r>
      <w:r>
        <w:rPr>
          <w:spacing w:val="-8"/>
          <w:sz w:val="18"/>
        </w:rPr>
        <w:t xml:space="preserve"> </w:t>
      </w:r>
      <w:r>
        <w:rPr>
          <w:sz w:val="18"/>
        </w:rPr>
        <w:t>grapes,</w:t>
      </w:r>
      <w:r>
        <w:rPr>
          <w:spacing w:val="-6"/>
          <w:sz w:val="18"/>
        </w:rPr>
        <w:t xml:space="preserve"> </w:t>
      </w:r>
      <w:r>
        <w:rPr>
          <w:sz w:val="18"/>
        </w:rPr>
        <w:t>output</w:t>
      </w:r>
      <w:r>
        <w:rPr>
          <w:spacing w:val="-7"/>
          <w:sz w:val="18"/>
        </w:rPr>
        <w:t xml:space="preserve"> </w:t>
      </w:r>
      <w:r>
        <w:rPr>
          <w:sz w:val="18"/>
        </w:rPr>
        <w:t>per</w:t>
      </w:r>
      <w:r>
        <w:rPr>
          <w:spacing w:val="-5"/>
          <w:sz w:val="18"/>
        </w:rPr>
        <w:t xml:space="preserve"> </w:t>
      </w:r>
      <w:r>
        <w:rPr>
          <w:sz w:val="18"/>
        </w:rPr>
        <w:t>acre,</w:t>
      </w:r>
      <w:r>
        <w:rPr>
          <w:spacing w:val="-6"/>
          <w:sz w:val="18"/>
        </w:rPr>
        <w:t xml:space="preserve"> </w:t>
      </w:r>
      <w:r>
        <w:rPr>
          <w:sz w:val="18"/>
        </w:rPr>
        <w:t>wine</w:t>
      </w:r>
      <w:r>
        <w:rPr>
          <w:spacing w:val="-8"/>
          <w:sz w:val="18"/>
        </w:rPr>
        <w:t xml:space="preserve"> </w:t>
      </w:r>
      <w:r>
        <w:rPr>
          <w:sz w:val="18"/>
        </w:rPr>
        <w:t>yield,</w:t>
      </w:r>
      <w:r>
        <w:rPr>
          <w:spacing w:val="-6"/>
          <w:sz w:val="18"/>
        </w:rPr>
        <w:t xml:space="preserve"> </w:t>
      </w:r>
      <w:r>
        <w:rPr>
          <w:sz w:val="18"/>
        </w:rPr>
        <w:t>output</w:t>
      </w:r>
      <w:r>
        <w:rPr>
          <w:spacing w:val="-7"/>
          <w:sz w:val="18"/>
        </w:rPr>
        <w:t xml:space="preserve"> </w:t>
      </w:r>
      <w:r>
        <w:rPr>
          <w:sz w:val="18"/>
        </w:rPr>
        <w:t>and</w:t>
      </w:r>
      <w:r>
        <w:rPr>
          <w:spacing w:val="-8"/>
          <w:sz w:val="18"/>
        </w:rPr>
        <w:t xml:space="preserve"> </w:t>
      </w:r>
      <w:r>
        <w:rPr>
          <w:sz w:val="18"/>
        </w:rPr>
        <w:t>loss</w:t>
      </w:r>
      <w:r>
        <w:rPr>
          <w:spacing w:val="-8"/>
          <w:sz w:val="18"/>
        </w:rPr>
        <w:t xml:space="preserve"> </w:t>
      </w:r>
      <w:r>
        <w:rPr>
          <w:sz w:val="18"/>
        </w:rPr>
        <w:t>of</w:t>
      </w:r>
      <w:r>
        <w:rPr>
          <w:spacing w:val="-7"/>
          <w:sz w:val="18"/>
        </w:rPr>
        <w:t xml:space="preserve"> </w:t>
      </w:r>
      <w:r>
        <w:rPr>
          <w:sz w:val="18"/>
        </w:rPr>
        <w:t>finished</w:t>
      </w:r>
      <w:r>
        <w:rPr>
          <w:spacing w:val="-8"/>
          <w:sz w:val="18"/>
        </w:rPr>
        <w:t xml:space="preserve"> </w:t>
      </w:r>
      <w:r>
        <w:rPr>
          <w:sz w:val="18"/>
        </w:rPr>
        <w:t>wines</w:t>
      </w:r>
      <w:r>
        <w:rPr>
          <w:spacing w:val="-8"/>
          <w:sz w:val="18"/>
        </w:rPr>
        <w:t xml:space="preserve"> </w:t>
      </w:r>
      <w:r>
        <w:rPr>
          <w:sz w:val="18"/>
        </w:rPr>
        <w:t>made from imported wines, and the production proportion of different wines. Hence, based on the statistics from authoritative domestic organizations, the Investigating Authority calculated the overall output of domestic relevant wines at 377,600 kl, 347,600 kl, 374,800 kl, 351,200 kl and 288,200 kl, respectively.").</w:t>
      </w:r>
    </w:p>
    <w:p w14:paraId="5E6139D8" w14:textId="77777777" w:rsidR="00BD462C" w:rsidRDefault="00033D0F">
      <w:pPr>
        <w:ind w:left="135"/>
        <w:jc w:val="both"/>
        <w:rPr>
          <w:sz w:val="18"/>
        </w:rPr>
      </w:pPr>
      <w:bookmarkStart w:id="1505" w:name="_bookmark1296"/>
      <w:bookmarkEnd w:id="1505"/>
      <w:r>
        <w:rPr>
          <w:position w:val="5"/>
          <w:sz w:val="12"/>
        </w:rPr>
        <w:t>1118</w:t>
      </w:r>
      <w:r>
        <w:rPr>
          <w:spacing w:val="14"/>
          <w:position w:val="5"/>
          <w:sz w:val="12"/>
        </w:rPr>
        <w:t xml:space="preserve"> </w:t>
      </w:r>
      <w:r>
        <w:rPr>
          <w:sz w:val="18"/>
        </w:rPr>
        <w:t>China's</w:t>
      </w:r>
      <w:r>
        <w:rPr>
          <w:spacing w:val="2"/>
          <w:sz w:val="18"/>
        </w:rPr>
        <w:t xml:space="preserve"> </w:t>
      </w:r>
      <w:r>
        <w:rPr>
          <w:sz w:val="18"/>
        </w:rPr>
        <w:t>response</w:t>
      </w:r>
      <w:r>
        <w:rPr>
          <w:spacing w:val="-4"/>
          <w:sz w:val="18"/>
        </w:rPr>
        <w:t xml:space="preserve"> </w:t>
      </w:r>
      <w:r>
        <w:rPr>
          <w:sz w:val="18"/>
        </w:rPr>
        <w:t>to</w:t>
      </w:r>
      <w:r>
        <w:rPr>
          <w:spacing w:val="-10"/>
          <w:sz w:val="18"/>
        </w:rPr>
        <w:t xml:space="preserve"> </w:t>
      </w:r>
      <w:r>
        <w:rPr>
          <w:sz w:val="18"/>
        </w:rPr>
        <w:t>Panel</w:t>
      </w:r>
      <w:r>
        <w:rPr>
          <w:spacing w:val="-3"/>
          <w:sz w:val="18"/>
        </w:rPr>
        <w:t xml:space="preserve"> </w:t>
      </w:r>
      <w:r>
        <w:rPr>
          <w:sz w:val="18"/>
        </w:rPr>
        <w:t>question</w:t>
      </w:r>
      <w:r>
        <w:rPr>
          <w:spacing w:val="-4"/>
          <w:sz w:val="18"/>
        </w:rPr>
        <w:t xml:space="preserve"> </w:t>
      </w:r>
      <w:r>
        <w:rPr>
          <w:sz w:val="18"/>
        </w:rPr>
        <w:t>No.</w:t>
      </w:r>
      <w:r>
        <w:rPr>
          <w:spacing w:val="2"/>
          <w:sz w:val="18"/>
        </w:rPr>
        <w:t xml:space="preserve"> </w:t>
      </w:r>
      <w:r>
        <w:rPr>
          <w:sz w:val="18"/>
        </w:rPr>
        <w:t>50,</w:t>
      </w:r>
      <w:r>
        <w:rPr>
          <w:spacing w:val="-2"/>
          <w:sz w:val="18"/>
        </w:rPr>
        <w:t xml:space="preserve"> </w:t>
      </w:r>
      <w:r>
        <w:rPr>
          <w:sz w:val="18"/>
        </w:rPr>
        <w:t>para.</w:t>
      </w:r>
      <w:r>
        <w:rPr>
          <w:spacing w:val="-3"/>
          <w:sz w:val="18"/>
        </w:rPr>
        <w:t xml:space="preserve"> </w:t>
      </w:r>
      <w:r>
        <w:rPr>
          <w:spacing w:val="-4"/>
          <w:sz w:val="18"/>
        </w:rPr>
        <w:t>309.</w:t>
      </w:r>
    </w:p>
    <w:p w14:paraId="52F50A61" w14:textId="77777777" w:rsidR="00BD462C" w:rsidRDefault="00BD462C">
      <w:pPr>
        <w:jc w:val="both"/>
        <w:rPr>
          <w:sz w:val="18"/>
        </w:rPr>
        <w:sectPr w:rsidR="00BD462C">
          <w:pgSz w:w="11910" w:h="16840"/>
          <w:pgMar w:top="860" w:right="500" w:bottom="780" w:left="1280" w:header="566" w:footer="590" w:gutter="0"/>
          <w:cols w:space="720"/>
        </w:sectPr>
      </w:pPr>
    </w:p>
    <w:p w14:paraId="1D9C0F32" w14:textId="77777777" w:rsidR="00BD462C" w:rsidRDefault="00033D0F">
      <w:pPr>
        <w:tabs>
          <w:tab w:val="left" w:pos="6087"/>
        </w:tabs>
        <w:spacing w:before="1"/>
        <w:ind w:left="135"/>
        <w:jc w:val="both"/>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06FFB07B" w14:textId="77777777" w:rsidR="00BD462C" w:rsidRDefault="00033D0F">
      <w:pPr>
        <w:spacing w:before="1"/>
        <w:ind w:left="135"/>
        <w:jc w:val="both"/>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1A2224D2" w14:textId="77777777" w:rsidR="00BD462C" w:rsidRDefault="00033D0F">
      <w:pPr>
        <w:tabs>
          <w:tab w:val="left" w:pos="7652"/>
        </w:tabs>
        <w:ind w:left="135"/>
        <w:jc w:val="both"/>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2AEB405E" w14:textId="77777777" w:rsidR="00BD462C" w:rsidRDefault="00033D0F">
      <w:pPr>
        <w:pStyle w:val="BodyText"/>
        <w:spacing w:before="102" w:line="360" w:lineRule="auto"/>
        <w:ind w:left="135" w:right="912"/>
        <w:jc w:val="both"/>
      </w:pPr>
      <w:r>
        <w:t>respect of Exhibit CHN-32(BCI). MOFCOM appears to have accepted the request for confidential treatment without conducting the objective examination of the justification for confidential treatment</w:t>
      </w:r>
      <w:r>
        <w:rPr>
          <w:spacing w:val="-1"/>
        </w:rPr>
        <w:t xml:space="preserve"> </w:t>
      </w:r>
      <w:r>
        <w:t>that</w:t>
      </w:r>
      <w:r>
        <w:rPr>
          <w:spacing w:val="-1"/>
        </w:rPr>
        <w:t xml:space="preserve"> </w:t>
      </w:r>
      <w:r>
        <w:t>it</w:t>
      </w:r>
      <w:r>
        <w:rPr>
          <w:spacing w:val="-1"/>
        </w:rPr>
        <w:t xml:space="preserve"> </w:t>
      </w:r>
      <w:r>
        <w:t>was obligated</w:t>
      </w:r>
      <w:r>
        <w:rPr>
          <w:spacing w:val="-3"/>
        </w:rPr>
        <w:t xml:space="preserve"> </w:t>
      </w:r>
      <w:r>
        <w:t>to</w:t>
      </w:r>
      <w:r>
        <w:rPr>
          <w:spacing w:val="-4"/>
        </w:rPr>
        <w:t xml:space="preserve"> </w:t>
      </w:r>
      <w:r>
        <w:t>undertake, and</w:t>
      </w:r>
      <w:r>
        <w:rPr>
          <w:spacing w:val="-3"/>
        </w:rPr>
        <w:t xml:space="preserve"> </w:t>
      </w:r>
      <w:r>
        <w:t>therefore acted inconsistently with the requirements of Article 6.5.</w:t>
      </w:r>
    </w:p>
    <w:p w14:paraId="1E1112D8" w14:textId="77777777" w:rsidR="00BD462C" w:rsidRDefault="00BD462C">
      <w:pPr>
        <w:pStyle w:val="BodyText"/>
        <w:spacing w:before="8"/>
        <w:rPr>
          <w:sz w:val="8"/>
        </w:rPr>
      </w:pPr>
    </w:p>
    <w:p w14:paraId="100CA0E5" w14:textId="3DEE1FA4" w:rsidR="00BD462C" w:rsidRDefault="000923F6">
      <w:pPr>
        <w:pStyle w:val="BodyText"/>
        <w:spacing w:before="56" w:line="360" w:lineRule="auto"/>
        <w:ind w:left="135" w:right="913"/>
        <w:jc w:val="both"/>
      </w:pPr>
      <w:r>
        <w:rPr>
          <w:noProof/>
        </w:rPr>
        <w:t>734.</w:t>
      </w:r>
      <w:r w:rsidR="00033D0F">
        <w:rPr>
          <w:rFonts w:ascii="Times New Roman"/>
          <w:spacing w:val="80"/>
          <w:position w:val="1"/>
          <w:sz w:val="20"/>
        </w:rPr>
        <w:t xml:space="preserve">  </w:t>
      </w:r>
      <w:r w:rsidR="00033D0F">
        <w:rPr>
          <w:position w:val="1"/>
        </w:rPr>
        <w:t xml:space="preserve">Further, the document that purportedly contained a non-confidential "summary" of </w:t>
      </w:r>
      <w:r w:rsidR="00033D0F">
        <w:t xml:space="preserve">Exhibit CHN-32 (BCI), which China produced as Exhibit CHN-38, contained no information aside from the heading "Relevant Materials in Relation to Data on Total Domestic Like Products Production" and an assertion of confidentiality. It gave the other interested parties no information about the substance of the purportedly confidential information. It did not disclose even the information that MOFCOM was content to include in the Final Determination, including that it was sourced from an "authoritative domestic </w:t>
      </w:r>
      <w:proofErr w:type="spellStart"/>
      <w:r w:rsidR="00033D0F">
        <w:t>organisation</w:t>
      </w:r>
      <w:proofErr w:type="spellEnd"/>
      <w:r w:rsidR="00033D0F">
        <w:t>" and the volume of total output calculated for each year.</w:t>
      </w:r>
    </w:p>
    <w:p w14:paraId="4F851C0D" w14:textId="77777777" w:rsidR="00BD462C" w:rsidRDefault="00BD462C">
      <w:pPr>
        <w:pStyle w:val="BodyText"/>
        <w:spacing w:before="8"/>
        <w:rPr>
          <w:sz w:val="8"/>
        </w:rPr>
      </w:pPr>
    </w:p>
    <w:p w14:paraId="4091F4AA" w14:textId="3FDCABCC" w:rsidR="00BD462C" w:rsidRDefault="000923F6">
      <w:pPr>
        <w:pStyle w:val="BodyText"/>
        <w:spacing w:before="56" w:line="360" w:lineRule="auto"/>
        <w:ind w:left="136" w:right="912"/>
        <w:jc w:val="both"/>
      </w:pPr>
      <w:r>
        <w:rPr>
          <w:noProof/>
        </w:rPr>
        <w:t>735.</w:t>
      </w:r>
      <w:r w:rsidR="00033D0F">
        <w:rPr>
          <w:rFonts w:ascii="Times New Roman" w:hAnsi="Times New Roman"/>
          <w:spacing w:val="80"/>
          <w:position w:val="1"/>
          <w:sz w:val="20"/>
        </w:rPr>
        <w:t xml:space="preserve">  </w:t>
      </w:r>
      <w:r w:rsidR="00033D0F">
        <w:rPr>
          <w:position w:val="1"/>
        </w:rPr>
        <w:t>The</w:t>
      </w:r>
      <w:r w:rsidR="00033D0F">
        <w:rPr>
          <w:spacing w:val="-3"/>
          <w:position w:val="1"/>
        </w:rPr>
        <w:t xml:space="preserve"> </w:t>
      </w:r>
      <w:r w:rsidR="00033D0F">
        <w:rPr>
          <w:position w:val="1"/>
        </w:rPr>
        <w:t>purpose</w:t>
      </w:r>
      <w:r w:rsidR="00033D0F">
        <w:rPr>
          <w:spacing w:val="-7"/>
          <w:position w:val="1"/>
        </w:rPr>
        <w:t xml:space="preserve"> </w:t>
      </w:r>
      <w:r w:rsidR="00033D0F">
        <w:rPr>
          <w:position w:val="1"/>
        </w:rPr>
        <w:t>of</w:t>
      </w:r>
      <w:r w:rsidR="00033D0F">
        <w:rPr>
          <w:spacing w:val="-4"/>
          <w:position w:val="1"/>
        </w:rPr>
        <w:t xml:space="preserve"> </w:t>
      </w:r>
      <w:r w:rsidR="00033D0F">
        <w:rPr>
          <w:position w:val="1"/>
        </w:rPr>
        <w:t>requiring</w:t>
      </w:r>
      <w:r w:rsidR="00033D0F">
        <w:rPr>
          <w:spacing w:val="-6"/>
          <w:position w:val="1"/>
        </w:rPr>
        <w:t xml:space="preserve"> </w:t>
      </w:r>
      <w:r w:rsidR="00033D0F">
        <w:rPr>
          <w:position w:val="1"/>
        </w:rPr>
        <w:t>a</w:t>
      </w:r>
      <w:r w:rsidR="00033D0F">
        <w:rPr>
          <w:spacing w:val="-3"/>
          <w:position w:val="1"/>
        </w:rPr>
        <w:t xml:space="preserve"> </w:t>
      </w:r>
      <w:r w:rsidR="00033D0F">
        <w:rPr>
          <w:position w:val="1"/>
        </w:rPr>
        <w:t>non-confidential</w:t>
      </w:r>
      <w:r w:rsidR="00033D0F">
        <w:rPr>
          <w:spacing w:val="-5"/>
          <w:position w:val="1"/>
        </w:rPr>
        <w:t xml:space="preserve"> </w:t>
      </w:r>
      <w:r w:rsidR="00033D0F">
        <w:rPr>
          <w:position w:val="1"/>
        </w:rPr>
        <w:t>summary</w:t>
      </w:r>
      <w:r w:rsidR="00033D0F">
        <w:rPr>
          <w:spacing w:val="-6"/>
          <w:position w:val="1"/>
        </w:rPr>
        <w:t xml:space="preserve"> </w:t>
      </w:r>
      <w:r w:rsidR="00033D0F">
        <w:rPr>
          <w:position w:val="1"/>
        </w:rPr>
        <w:t>"in</w:t>
      </w:r>
      <w:r w:rsidR="00033D0F">
        <w:rPr>
          <w:spacing w:val="-9"/>
          <w:position w:val="1"/>
        </w:rPr>
        <w:t xml:space="preserve"> </w:t>
      </w:r>
      <w:r w:rsidR="00033D0F">
        <w:rPr>
          <w:position w:val="1"/>
        </w:rPr>
        <w:t>sufficient</w:t>
      </w:r>
      <w:r w:rsidR="00033D0F">
        <w:rPr>
          <w:spacing w:val="-7"/>
          <w:position w:val="1"/>
        </w:rPr>
        <w:t xml:space="preserve"> </w:t>
      </w:r>
      <w:r w:rsidR="00033D0F">
        <w:rPr>
          <w:position w:val="1"/>
        </w:rPr>
        <w:t>detail</w:t>
      </w:r>
      <w:r w:rsidR="00033D0F">
        <w:rPr>
          <w:spacing w:val="-5"/>
          <w:position w:val="1"/>
        </w:rPr>
        <w:t xml:space="preserve"> </w:t>
      </w:r>
      <w:r w:rsidR="00033D0F">
        <w:rPr>
          <w:position w:val="1"/>
        </w:rPr>
        <w:t>to</w:t>
      </w:r>
      <w:r w:rsidR="00033D0F">
        <w:rPr>
          <w:spacing w:val="-10"/>
          <w:position w:val="1"/>
        </w:rPr>
        <w:t xml:space="preserve"> </w:t>
      </w:r>
      <w:r w:rsidR="00033D0F">
        <w:rPr>
          <w:position w:val="1"/>
        </w:rPr>
        <w:t>permit</w:t>
      </w:r>
      <w:r w:rsidR="00033D0F">
        <w:rPr>
          <w:spacing w:val="-2"/>
          <w:position w:val="1"/>
        </w:rPr>
        <w:t xml:space="preserve"> </w:t>
      </w:r>
      <w:r w:rsidR="00033D0F">
        <w:rPr>
          <w:position w:val="1"/>
        </w:rPr>
        <w:t xml:space="preserve">a </w:t>
      </w:r>
      <w:r w:rsidR="00033D0F">
        <w:t>reasonable</w:t>
      </w:r>
      <w:r w:rsidR="00033D0F">
        <w:rPr>
          <w:spacing w:val="-3"/>
        </w:rPr>
        <w:t xml:space="preserve"> </w:t>
      </w:r>
      <w:r w:rsidR="00033D0F">
        <w:t>understanding</w:t>
      </w:r>
      <w:r w:rsidR="00033D0F">
        <w:rPr>
          <w:spacing w:val="-2"/>
        </w:rPr>
        <w:t xml:space="preserve"> </w:t>
      </w:r>
      <w:r w:rsidR="00033D0F">
        <w:t>of the</w:t>
      </w:r>
      <w:r w:rsidR="00033D0F">
        <w:rPr>
          <w:spacing w:val="-4"/>
        </w:rPr>
        <w:t xml:space="preserve"> </w:t>
      </w:r>
      <w:r w:rsidR="00033D0F">
        <w:t>substance of the information submitted</w:t>
      </w:r>
      <w:r w:rsidR="00033D0F">
        <w:rPr>
          <w:spacing w:val="-4"/>
        </w:rPr>
        <w:t xml:space="preserve"> </w:t>
      </w:r>
      <w:r w:rsidR="00033D0F">
        <w:t>in</w:t>
      </w:r>
      <w:r w:rsidR="00033D0F">
        <w:rPr>
          <w:spacing w:val="-4"/>
        </w:rPr>
        <w:t xml:space="preserve"> </w:t>
      </w:r>
      <w:r w:rsidR="00033D0F">
        <w:t>confidence" is</w:t>
      </w:r>
      <w:r w:rsidR="00033D0F">
        <w:rPr>
          <w:spacing w:val="-2"/>
        </w:rPr>
        <w:t xml:space="preserve"> </w:t>
      </w:r>
      <w:r w:rsidR="00033D0F">
        <w:t>to afford</w:t>
      </w:r>
      <w:r w:rsidR="00033D0F">
        <w:rPr>
          <w:spacing w:val="-11"/>
        </w:rPr>
        <w:t xml:space="preserve"> </w:t>
      </w:r>
      <w:r w:rsidR="00033D0F">
        <w:t>procedural</w:t>
      </w:r>
      <w:r w:rsidR="00033D0F">
        <w:rPr>
          <w:spacing w:val="-7"/>
        </w:rPr>
        <w:t xml:space="preserve"> </w:t>
      </w:r>
      <w:r w:rsidR="00033D0F">
        <w:t>fairness</w:t>
      </w:r>
      <w:r w:rsidR="00033D0F">
        <w:rPr>
          <w:spacing w:val="-8"/>
        </w:rPr>
        <w:t xml:space="preserve"> </w:t>
      </w:r>
      <w:r w:rsidR="00033D0F">
        <w:t>to</w:t>
      </w:r>
      <w:r w:rsidR="00033D0F">
        <w:rPr>
          <w:spacing w:val="-12"/>
        </w:rPr>
        <w:t xml:space="preserve"> </w:t>
      </w:r>
      <w:r w:rsidR="00033D0F">
        <w:t>those</w:t>
      </w:r>
      <w:r w:rsidR="00033D0F">
        <w:rPr>
          <w:spacing w:val="-9"/>
        </w:rPr>
        <w:t xml:space="preserve"> </w:t>
      </w:r>
      <w:r w:rsidR="00033D0F">
        <w:t>parties</w:t>
      </w:r>
      <w:r w:rsidR="00033D0F">
        <w:rPr>
          <w:spacing w:val="-8"/>
        </w:rPr>
        <w:t xml:space="preserve"> </w:t>
      </w:r>
      <w:r w:rsidR="00033D0F">
        <w:t>who</w:t>
      </w:r>
      <w:r w:rsidR="00033D0F">
        <w:rPr>
          <w:spacing w:val="-12"/>
        </w:rPr>
        <w:t xml:space="preserve"> </w:t>
      </w:r>
      <w:r w:rsidR="00033D0F">
        <w:t>cannot</w:t>
      </w:r>
      <w:r w:rsidR="00033D0F">
        <w:rPr>
          <w:spacing w:val="-9"/>
        </w:rPr>
        <w:t xml:space="preserve"> </w:t>
      </w:r>
      <w:r w:rsidR="00033D0F">
        <w:t>access</w:t>
      </w:r>
      <w:r w:rsidR="00033D0F">
        <w:rPr>
          <w:spacing w:val="-8"/>
        </w:rPr>
        <w:t xml:space="preserve"> </w:t>
      </w:r>
      <w:r w:rsidR="00033D0F">
        <w:t>the</w:t>
      </w:r>
      <w:r w:rsidR="00033D0F">
        <w:rPr>
          <w:spacing w:val="-9"/>
        </w:rPr>
        <w:t xml:space="preserve"> </w:t>
      </w:r>
      <w:r w:rsidR="00033D0F">
        <w:t>confidential</w:t>
      </w:r>
      <w:r w:rsidR="00033D0F">
        <w:rPr>
          <w:spacing w:val="-12"/>
        </w:rPr>
        <w:t xml:space="preserve"> </w:t>
      </w:r>
      <w:r w:rsidR="00033D0F">
        <w:t>information,</w:t>
      </w:r>
      <w:r w:rsidR="00033D0F">
        <w:rPr>
          <w:spacing w:val="-7"/>
        </w:rPr>
        <w:t xml:space="preserve"> </w:t>
      </w:r>
      <w:r w:rsidR="00033D0F">
        <w:t xml:space="preserve">so that they have an adequate opportunity for the </w:t>
      </w:r>
      <w:proofErr w:type="spellStart"/>
      <w:r w:rsidR="00033D0F">
        <w:t>defence</w:t>
      </w:r>
      <w:proofErr w:type="spellEnd"/>
      <w:r w:rsidR="00033D0F">
        <w:t xml:space="preserve"> of their interests. This "opportunity must be meaningful in terms of a party's ability to defend itself".</w:t>
      </w:r>
      <w:hyperlink w:anchor="_bookmark1297" w:history="1">
        <w:r w:rsidR="00033D0F">
          <w:rPr>
            <w:vertAlign w:val="superscript"/>
          </w:rPr>
          <w:t>1119</w:t>
        </w:r>
      </w:hyperlink>
      <w:r w:rsidR="00033D0F">
        <w:t xml:space="preserve"> The heading or phrase given in place of the allegedly confidential information of the "authoritative domestic </w:t>
      </w:r>
      <w:proofErr w:type="spellStart"/>
      <w:r w:rsidR="00033D0F">
        <w:t>organisation</w:t>
      </w:r>
      <w:proofErr w:type="spellEnd"/>
      <w:r w:rsidR="00033D0F">
        <w:t>" concerning the estimate of total domestic output — i.e., "relevant materials in relation</w:t>
      </w:r>
      <w:r w:rsidR="00033D0F">
        <w:rPr>
          <w:spacing w:val="-3"/>
        </w:rPr>
        <w:t xml:space="preserve"> </w:t>
      </w:r>
      <w:r w:rsidR="00033D0F">
        <w:t>to</w:t>
      </w:r>
      <w:r w:rsidR="00033D0F">
        <w:rPr>
          <w:spacing w:val="-4"/>
        </w:rPr>
        <w:t xml:space="preserve"> </w:t>
      </w:r>
      <w:r w:rsidR="00033D0F">
        <w:t>data</w:t>
      </w:r>
      <w:r w:rsidR="00033D0F">
        <w:rPr>
          <w:spacing w:val="-2"/>
        </w:rPr>
        <w:t xml:space="preserve"> </w:t>
      </w:r>
      <w:r w:rsidR="00033D0F">
        <w:t>on</w:t>
      </w:r>
      <w:r w:rsidR="00033D0F">
        <w:rPr>
          <w:spacing w:val="-3"/>
        </w:rPr>
        <w:t xml:space="preserve"> </w:t>
      </w:r>
      <w:r w:rsidR="00033D0F">
        <w:t>total domestic</w:t>
      </w:r>
      <w:r w:rsidR="00033D0F">
        <w:rPr>
          <w:spacing w:val="-3"/>
        </w:rPr>
        <w:t xml:space="preserve"> </w:t>
      </w:r>
      <w:r w:rsidR="00033D0F">
        <w:t>like</w:t>
      </w:r>
      <w:r w:rsidR="00033D0F">
        <w:rPr>
          <w:spacing w:val="-1"/>
        </w:rPr>
        <w:t xml:space="preserve"> </w:t>
      </w:r>
      <w:r w:rsidR="00033D0F">
        <w:t>products production" —</w:t>
      </w:r>
      <w:r w:rsidR="00033D0F">
        <w:rPr>
          <w:spacing w:val="-3"/>
        </w:rPr>
        <w:t xml:space="preserve"> </w:t>
      </w:r>
      <w:r w:rsidR="00033D0F">
        <w:t>offered no</w:t>
      </w:r>
      <w:r w:rsidR="00033D0F">
        <w:rPr>
          <w:spacing w:val="-4"/>
        </w:rPr>
        <w:t xml:space="preserve"> </w:t>
      </w:r>
      <w:r w:rsidR="00033D0F">
        <w:t>more</w:t>
      </w:r>
      <w:r w:rsidR="00033D0F">
        <w:rPr>
          <w:spacing w:val="-1"/>
        </w:rPr>
        <w:t xml:space="preserve"> </w:t>
      </w:r>
      <w:r w:rsidR="00033D0F">
        <w:t>than a</w:t>
      </w:r>
      <w:r w:rsidR="00033D0F">
        <w:rPr>
          <w:spacing w:val="-2"/>
        </w:rPr>
        <w:t xml:space="preserve"> </w:t>
      </w:r>
      <w:r w:rsidR="00033D0F">
        <w:t>vague impression of the nature of the information. It provided no detail at all, let alone "sufficient detail</w:t>
      </w:r>
      <w:r w:rsidR="00033D0F">
        <w:rPr>
          <w:spacing w:val="-11"/>
        </w:rPr>
        <w:t xml:space="preserve"> </w:t>
      </w:r>
      <w:r w:rsidR="00033D0F">
        <w:t>to</w:t>
      </w:r>
      <w:r w:rsidR="00033D0F">
        <w:rPr>
          <w:spacing w:val="-14"/>
        </w:rPr>
        <w:t xml:space="preserve"> </w:t>
      </w:r>
      <w:r w:rsidR="00033D0F">
        <w:t>permit</w:t>
      </w:r>
      <w:r w:rsidR="00033D0F">
        <w:rPr>
          <w:spacing w:val="-11"/>
        </w:rPr>
        <w:t xml:space="preserve"> </w:t>
      </w:r>
      <w:r w:rsidR="00033D0F">
        <w:t>a</w:t>
      </w:r>
      <w:r w:rsidR="00033D0F">
        <w:rPr>
          <w:spacing w:val="-8"/>
        </w:rPr>
        <w:t xml:space="preserve"> </w:t>
      </w:r>
      <w:r w:rsidR="00033D0F">
        <w:t>reasonable</w:t>
      </w:r>
      <w:r w:rsidR="00033D0F">
        <w:rPr>
          <w:spacing w:val="-12"/>
        </w:rPr>
        <w:t xml:space="preserve"> </w:t>
      </w:r>
      <w:r w:rsidR="00033D0F">
        <w:t>understanding</w:t>
      </w:r>
      <w:r w:rsidR="00033D0F">
        <w:rPr>
          <w:spacing w:val="-10"/>
        </w:rPr>
        <w:t xml:space="preserve"> </w:t>
      </w:r>
      <w:r w:rsidR="00033D0F">
        <w:t>of</w:t>
      </w:r>
      <w:r w:rsidR="00033D0F">
        <w:rPr>
          <w:spacing w:val="-9"/>
        </w:rPr>
        <w:t xml:space="preserve"> </w:t>
      </w:r>
      <w:r w:rsidR="00033D0F">
        <w:t>the</w:t>
      </w:r>
      <w:r w:rsidR="00033D0F">
        <w:rPr>
          <w:spacing w:val="-7"/>
        </w:rPr>
        <w:t xml:space="preserve"> </w:t>
      </w:r>
      <w:r w:rsidR="00033D0F">
        <w:t>substance</w:t>
      </w:r>
      <w:r w:rsidR="00033D0F">
        <w:rPr>
          <w:spacing w:val="-12"/>
        </w:rPr>
        <w:t xml:space="preserve"> </w:t>
      </w:r>
      <w:r w:rsidR="00033D0F">
        <w:t>of</w:t>
      </w:r>
      <w:r w:rsidR="00033D0F">
        <w:rPr>
          <w:spacing w:val="-14"/>
        </w:rPr>
        <w:t xml:space="preserve"> </w:t>
      </w:r>
      <w:r w:rsidR="00033D0F">
        <w:t>the</w:t>
      </w:r>
      <w:r w:rsidR="00033D0F">
        <w:rPr>
          <w:spacing w:val="-7"/>
        </w:rPr>
        <w:t xml:space="preserve"> </w:t>
      </w:r>
      <w:r w:rsidR="00033D0F">
        <w:t>information".</w:t>
      </w:r>
      <w:r w:rsidR="00033D0F">
        <w:rPr>
          <w:spacing w:val="-7"/>
        </w:rPr>
        <w:t xml:space="preserve"> </w:t>
      </w:r>
      <w:r w:rsidR="00033D0F">
        <w:t>This</w:t>
      </w:r>
      <w:r w:rsidR="00033D0F">
        <w:rPr>
          <w:spacing w:val="-10"/>
        </w:rPr>
        <w:t xml:space="preserve"> </w:t>
      </w:r>
      <w:r w:rsidR="00033D0F">
        <w:t>left</w:t>
      </w:r>
      <w:r w:rsidR="00033D0F">
        <w:rPr>
          <w:spacing w:val="-11"/>
        </w:rPr>
        <w:t xml:space="preserve"> </w:t>
      </w:r>
      <w:r w:rsidR="00033D0F">
        <w:t>the interested parties without a meaningful opportunity to defend their interests in relation to the information.</w:t>
      </w:r>
    </w:p>
    <w:p w14:paraId="3A6404B6" w14:textId="77777777" w:rsidR="00BD462C" w:rsidRDefault="00BD462C">
      <w:pPr>
        <w:pStyle w:val="BodyText"/>
        <w:spacing w:before="6"/>
        <w:rPr>
          <w:sz w:val="8"/>
        </w:rPr>
      </w:pPr>
    </w:p>
    <w:p w14:paraId="2A1583A0" w14:textId="120A53BA" w:rsidR="00BD462C" w:rsidRDefault="000923F6">
      <w:pPr>
        <w:pStyle w:val="BodyText"/>
        <w:spacing w:before="57" w:line="357" w:lineRule="auto"/>
        <w:ind w:left="135" w:right="917"/>
        <w:jc w:val="both"/>
      </w:pPr>
      <w:r>
        <w:rPr>
          <w:noProof/>
        </w:rPr>
        <w:t>736.</w:t>
      </w:r>
      <w:r w:rsidR="00033D0F">
        <w:rPr>
          <w:rFonts w:ascii="Times New Roman"/>
          <w:spacing w:val="80"/>
          <w:position w:val="1"/>
          <w:sz w:val="20"/>
        </w:rPr>
        <w:t xml:space="preserve">  </w:t>
      </w:r>
      <w:r w:rsidR="00033D0F">
        <w:rPr>
          <w:position w:val="1"/>
        </w:rPr>
        <w:t>This</w:t>
      </w:r>
      <w:r w:rsidR="00033D0F">
        <w:rPr>
          <w:spacing w:val="-7"/>
          <w:position w:val="1"/>
        </w:rPr>
        <w:t xml:space="preserve"> </w:t>
      </w:r>
      <w:r w:rsidR="00033D0F">
        <w:rPr>
          <w:position w:val="1"/>
        </w:rPr>
        <w:t>"summary"</w:t>
      </w:r>
      <w:r w:rsidR="00033D0F">
        <w:rPr>
          <w:spacing w:val="-9"/>
          <w:position w:val="1"/>
        </w:rPr>
        <w:t xml:space="preserve"> </w:t>
      </w:r>
      <w:r w:rsidR="00033D0F">
        <w:rPr>
          <w:position w:val="1"/>
        </w:rPr>
        <w:t>did</w:t>
      </w:r>
      <w:r w:rsidR="00033D0F">
        <w:rPr>
          <w:spacing w:val="-10"/>
          <w:position w:val="1"/>
        </w:rPr>
        <w:t xml:space="preserve"> </w:t>
      </w:r>
      <w:r w:rsidR="00033D0F">
        <w:rPr>
          <w:position w:val="1"/>
        </w:rPr>
        <w:t>not</w:t>
      </w:r>
      <w:r w:rsidR="00033D0F">
        <w:rPr>
          <w:spacing w:val="-8"/>
          <w:position w:val="1"/>
        </w:rPr>
        <w:t xml:space="preserve"> </w:t>
      </w:r>
      <w:r w:rsidR="00033D0F">
        <w:rPr>
          <w:position w:val="1"/>
        </w:rPr>
        <w:t>meet</w:t>
      </w:r>
      <w:r w:rsidR="00033D0F">
        <w:rPr>
          <w:spacing w:val="-8"/>
          <w:position w:val="1"/>
        </w:rPr>
        <w:t xml:space="preserve"> </w:t>
      </w:r>
      <w:r w:rsidR="00033D0F">
        <w:rPr>
          <w:position w:val="1"/>
        </w:rPr>
        <w:t>the</w:t>
      </w:r>
      <w:r w:rsidR="00033D0F">
        <w:rPr>
          <w:spacing w:val="-8"/>
          <w:position w:val="1"/>
        </w:rPr>
        <w:t xml:space="preserve"> </w:t>
      </w:r>
      <w:r w:rsidR="00033D0F">
        <w:rPr>
          <w:position w:val="1"/>
        </w:rPr>
        <w:t>standard</w:t>
      </w:r>
      <w:r w:rsidR="00033D0F">
        <w:rPr>
          <w:spacing w:val="-10"/>
          <w:position w:val="1"/>
        </w:rPr>
        <w:t xml:space="preserve"> </w:t>
      </w:r>
      <w:r w:rsidR="00033D0F">
        <w:rPr>
          <w:position w:val="1"/>
        </w:rPr>
        <w:t>required</w:t>
      </w:r>
      <w:r w:rsidR="00033D0F">
        <w:rPr>
          <w:spacing w:val="-10"/>
          <w:position w:val="1"/>
        </w:rPr>
        <w:t xml:space="preserve"> </w:t>
      </w:r>
      <w:r w:rsidR="00033D0F">
        <w:rPr>
          <w:position w:val="1"/>
        </w:rPr>
        <w:t>by</w:t>
      </w:r>
      <w:r w:rsidR="00033D0F">
        <w:rPr>
          <w:spacing w:val="-7"/>
          <w:position w:val="1"/>
        </w:rPr>
        <w:t xml:space="preserve"> </w:t>
      </w:r>
      <w:r w:rsidR="00033D0F">
        <w:rPr>
          <w:position w:val="1"/>
        </w:rPr>
        <w:t>Article</w:t>
      </w:r>
      <w:r w:rsidR="00033D0F">
        <w:rPr>
          <w:spacing w:val="-8"/>
          <w:position w:val="1"/>
        </w:rPr>
        <w:t xml:space="preserve"> </w:t>
      </w:r>
      <w:r w:rsidR="00033D0F">
        <w:rPr>
          <w:position w:val="1"/>
        </w:rPr>
        <w:t>6.5.1,</w:t>
      </w:r>
      <w:r w:rsidR="00033D0F">
        <w:rPr>
          <w:spacing w:val="-6"/>
          <w:position w:val="1"/>
        </w:rPr>
        <w:t xml:space="preserve"> </w:t>
      </w:r>
      <w:r w:rsidR="00033D0F">
        <w:rPr>
          <w:position w:val="1"/>
        </w:rPr>
        <w:t>even</w:t>
      </w:r>
      <w:r w:rsidR="00033D0F">
        <w:rPr>
          <w:spacing w:val="-14"/>
          <w:position w:val="1"/>
        </w:rPr>
        <w:t xml:space="preserve"> </w:t>
      </w:r>
      <w:r w:rsidR="00033D0F">
        <w:rPr>
          <w:position w:val="1"/>
        </w:rPr>
        <w:t>if</w:t>
      </w:r>
      <w:r w:rsidR="00033D0F">
        <w:rPr>
          <w:spacing w:val="-9"/>
          <w:position w:val="1"/>
        </w:rPr>
        <w:t xml:space="preserve"> </w:t>
      </w:r>
      <w:r w:rsidR="00033D0F">
        <w:rPr>
          <w:position w:val="1"/>
        </w:rPr>
        <w:t>the</w:t>
      </w:r>
      <w:r w:rsidR="00033D0F">
        <w:rPr>
          <w:spacing w:val="-8"/>
          <w:position w:val="1"/>
        </w:rPr>
        <w:t xml:space="preserve"> </w:t>
      </w:r>
      <w:r w:rsidR="00033D0F">
        <w:rPr>
          <w:position w:val="1"/>
        </w:rPr>
        <w:t xml:space="preserve">Panel </w:t>
      </w:r>
      <w:r w:rsidR="00033D0F">
        <w:t>were</w:t>
      </w:r>
      <w:r w:rsidR="00033D0F">
        <w:rPr>
          <w:spacing w:val="80"/>
          <w:w w:val="150"/>
        </w:rPr>
        <w:t xml:space="preserve"> </w:t>
      </w:r>
      <w:r w:rsidR="00033D0F">
        <w:t>to</w:t>
      </w:r>
      <w:r w:rsidR="00033D0F">
        <w:rPr>
          <w:spacing w:val="80"/>
          <w:w w:val="150"/>
        </w:rPr>
        <w:t xml:space="preserve"> </w:t>
      </w:r>
      <w:r w:rsidR="00033D0F">
        <w:t>uphold</w:t>
      </w:r>
      <w:r w:rsidR="00033D0F">
        <w:rPr>
          <w:spacing w:val="80"/>
          <w:w w:val="150"/>
        </w:rPr>
        <w:t xml:space="preserve"> </w:t>
      </w:r>
      <w:r w:rsidR="00033D0F">
        <w:t>the</w:t>
      </w:r>
      <w:r w:rsidR="00033D0F">
        <w:rPr>
          <w:spacing w:val="80"/>
          <w:w w:val="150"/>
        </w:rPr>
        <w:t xml:space="preserve"> </w:t>
      </w:r>
      <w:r w:rsidR="00033D0F">
        <w:t>grant</w:t>
      </w:r>
      <w:r w:rsidR="00033D0F">
        <w:rPr>
          <w:spacing w:val="80"/>
          <w:w w:val="150"/>
        </w:rPr>
        <w:t xml:space="preserve"> </w:t>
      </w:r>
      <w:r w:rsidR="00033D0F">
        <w:t>of</w:t>
      </w:r>
      <w:r w:rsidR="00033D0F">
        <w:rPr>
          <w:spacing w:val="80"/>
          <w:w w:val="150"/>
        </w:rPr>
        <w:t xml:space="preserve"> </w:t>
      </w:r>
      <w:r w:rsidR="00033D0F">
        <w:t>confidential</w:t>
      </w:r>
      <w:r w:rsidR="00033D0F">
        <w:rPr>
          <w:spacing w:val="80"/>
          <w:w w:val="150"/>
        </w:rPr>
        <w:t xml:space="preserve"> </w:t>
      </w:r>
      <w:r w:rsidR="00033D0F">
        <w:t>treatment</w:t>
      </w:r>
      <w:r w:rsidR="00033D0F">
        <w:rPr>
          <w:spacing w:val="80"/>
          <w:w w:val="150"/>
        </w:rPr>
        <w:t xml:space="preserve"> </w:t>
      </w:r>
      <w:r w:rsidR="00033D0F">
        <w:t>over</w:t>
      </w:r>
      <w:r w:rsidR="00033D0F">
        <w:rPr>
          <w:spacing w:val="80"/>
          <w:w w:val="150"/>
        </w:rPr>
        <w:t xml:space="preserve"> </w:t>
      </w:r>
      <w:r w:rsidR="00033D0F">
        <w:t>the</w:t>
      </w:r>
      <w:r w:rsidR="00033D0F">
        <w:rPr>
          <w:spacing w:val="80"/>
          <w:w w:val="150"/>
        </w:rPr>
        <w:t xml:space="preserve"> </w:t>
      </w:r>
      <w:r w:rsidR="00033D0F">
        <w:t>information</w:t>
      </w:r>
      <w:r w:rsidR="00033D0F">
        <w:rPr>
          <w:spacing w:val="80"/>
          <w:w w:val="150"/>
        </w:rPr>
        <w:t xml:space="preserve"> </w:t>
      </w:r>
      <w:r w:rsidR="00033D0F">
        <w:t>in Exhibits CHN-32 (BCI) and CHN-38.</w:t>
      </w:r>
    </w:p>
    <w:p w14:paraId="16674BDF" w14:textId="77777777" w:rsidR="00BD462C" w:rsidRDefault="00BD462C">
      <w:pPr>
        <w:pStyle w:val="BodyText"/>
        <w:rPr>
          <w:sz w:val="20"/>
        </w:rPr>
      </w:pPr>
    </w:p>
    <w:p w14:paraId="13D66D13" w14:textId="77777777" w:rsidR="00BD462C" w:rsidRDefault="00BD462C">
      <w:pPr>
        <w:pStyle w:val="BodyText"/>
        <w:rPr>
          <w:sz w:val="20"/>
        </w:rPr>
      </w:pPr>
    </w:p>
    <w:p w14:paraId="24233B2F" w14:textId="1DD00A15" w:rsidR="00BD462C" w:rsidRDefault="00752F01">
      <w:pPr>
        <w:pStyle w:val="BodyText"/>
        <w:spacing w:before="5"/>
      </w:pPr>
      <w:r>
        <w:rPr>
          <w:noProof/>
        </w:rPr>
        <mc:AlternateContent>
          <mc:Choice Requires="wps">
            <w:drawing>
              <wp:anchor distT="0" distB="0" distL="0" distR="0" simplePos="0" relativeHeight="488292864" behindDoc="1" locked="0" layoutInCell="1" allowOverlap="1" wp14:anchorId="511F8D89" wp14:editId="4285ACAB">
                <wp:simplePos x="0" y="0"/>
                <wp:positionH relativeFrom="page">
                  <wp:posOffset>812800</wp:posOffset>
                </wp:positionH>
                <wp:positionV relativeFrom="paragraph">
                  <wp:posOffset>189865</wp:posOffset>
                </wp:positionV>
                <wp:extent cx="1828800" cy="8890"/>
                <wp:effectExtent l="0" t="0" r="0" b="0"/>
                <wp:wrapTopAndBottom/>
                <wp:docPr id="271" name="docshape5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146F17" id="docshape529" o:spid="_x0000_s1026" alt="&quot;&quot;" style="position:absolute;margin-left:64pt;margin-top:14.95pt;width:2in;height:.7pt;z-index:-15023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" fillcolor="black" stroked="f">
                <w10:wrap type="topAndBottom" anchorx="page"/>
              </v:rect>
            </w:pict>
          </mc:Fallback>
        </mc:AlternateContent>
      </w:r>
    </w:p>
    <w:p w14:paraId="76A24646" w14:textId="77777777" w:rsidR="00BD462C" w:rsidRDefault="00033D0F">
      <w:pPr>
        <w:spacing w:before="112"/>
        <w:ind w:left="136" w:right="912" w:hanging="1"/>
        <w:rPr>
          <w:sz w:val="18"/>
        </w:rPr>
      </w:pPr>
      <w:bookmarkStart w:id="1506" w:name="_bookmark1297"/>
      <w:bookmarkEnd w:id="1506"/>
      <w:r>
        <w:rPr>
          <w:position w:val="5"/>
          <w:sz w:val="12"/>
        </w:rPr>
        <w:t>1119</w:t>
      </w:r>
      <w:r>
        <w:rPr>
          <w:spacing w:val="17"/>
          <w:position w:val="5"/>
          <w:sz w:val="12"/>
        </w:rPr>
        <w:t xml:space="preserve"> </w:t>
      </w:r>
      <w:r>
        <w:rPr>
          <w:sz w:val="18"/>
        </w:rPr>
        <w:t>Appellate</w:t>
      </w:r>
      <w:r>
        <w:rPr>
          <w:spacing w:val="-2"/>
          <w:sz w:val="18"/>
        </w:rPr>
        <w:t xml:space="preserve"> </w:t>
      </w:r>
      <w:r>
        <w:rPr>
          <w:sz w:val="18"/>
        </w:rPr>
        <w:t>Body</w:t>
      </w:r>
      <w:r>
        <w:rPr>
          <w:spacing w:val="-9"/>
          <w:sz w:val="18"/>
        </w:rPr>
        <w:t xml:space="preserve"> </w:t>
      </w:r>
      <w:r>
        <w:rPr>
          <w:sz w:val="18"/>
        </w:rPr>
        <w:t>Report,</w:t>
      </w:r>
      <w:r>
        <w:rPr>
          <w:spacing w:val="-5"/>
          <w:sz w:val="18"/>
        </w:rPr>
        <w:t xml:space="preserve"> </w:t>
      </w:r>
      <w:r>
        <w:rPr>
          <w:i/>
          <w:sz w:val="18"/>
        </w:rPr>
        <w:t>EC</w:t>
      </w:r>
      <w:r>
        <w:rPr>
          <w:i/>
          <w:spacing w:val="-7"/>
          <w:sz w:val="18"/>
        </w:rPr>
        <w:t xml:space="preserve"> </w:t>
      </w:r>
      <w:r>
        <w:rPr>
          <w:i/>
          <w:sz w:val="18"/>
        </w:rPr>
        <w:t>–</w:t>
      </w:r>
      <w:r>
        <w:rPr>
          <w:i/>
          <w:spacing w:val="-2"/>
          <w:sz w:val="18"/>
        </w:rPr>
        <w:t xml:space="preserve"> </w:t>
      </w:r>
      <w:r>
        <w:rPr>
          <w:i/>
          <w:sz w:val="18"/>
        </w:rPr>
        <w:t>Fasteners</w:t>
      </w:r>
      <w:r>
        <w:rPr>
          <w:i/>
          <w:spacing w:val="-2"/>
          <w:sz w:val="18"/>
        </w:rPr>
        <w:t xml:space="preserve"> </w:t>
      </w:r>
      <w:r>
        <w:rPr>
          <w:i/>
          <w:sz w:val="18"/>
        </w:rPr>
        <w:t>(China)</w:t>
      </w:r>
      <w:r>
        <w:rPr>
          <w:sz w:val="18"/>
        </w:rPr>
        <w:t>,</w:t>
      </w:r>
      <w:r>
        <w:rPr>
          <w:spacing w:val="-5"/>
          <w:sz w:val="18"/>
        </w:rPr>
        <w:t xml:space="preserve"> </w:t>
      </w:r>
      <w:r>
        <w:rPr>
          <w:sz w:val="18"/>
        </w:rPr>
        <w:t>para.</w:t>
      </w:r>
      <w:r>
        <w:rPr>
          <w:spacing w:val="-1"/>
          <w:sz w:val="18"/>
        </w:rPr>
        <w:t xml:space="preserve"> </w:t>
      </w:r>
      <w:r>
        <w:rPr>
          <w:sz w:val="18"/>
        </w:rPr>
        <w:t>541</w:t>
      </w:r>
      <w:r>
        <w:rPr>
          <w:spacing w:val="-9"/>
          <w:sz w:val="18"/>
        </w:rPr>
        <w:t xml:space="preserve"> </w:t>
      </w:r>
      <w:r>
        <w:rPr>
          <w:sz w:val="18"/>
        </w:rPr>
        <w:t>(citing</w:t>
      </w:r>
      <w:r>
        <w:rPr>
          <w:spacing w:val="-2"/>
          <w:sz w:val="18"/>
        </w:rPr>
        <w:t xml:space="preserve"> </w:t>
      </w:r>
      <w:r>
        <w:rPr>
          <w:sz w:val="18"/>
        </w:rPr>
        <w:t>Appellate</w:t>
      </w:r>
      <w:r>
        <w:rPr>
          <w:spacing w:val="-7"/>
          <w:sz w:val="18"/>
        </w:rPr>
        <w:t xml:space="preserve"> </w:t>
      </w:r>
      <w:r>
        <w:rPr>
          <w:sz w:val="18"/>
        </w:rPr>
        <w:t>Body</w:t>
      </w:r>
      <w:r>
        <w:rPr>
          <w:spacing w:val="-9"/>
          <w:sz w:val="18"/>
        </w:rPr>
        <w:t xml:space="preserve"> </w:t>
      </w:r>
      <w:r>
        <w:rPr>
          <w:sz w:val="18"/>
        </w:rPr>
        <w:t xml:space="preserve">Reports, </w:t>
      </w:r>
      <w:r>
        <w:rPr>
          <w:i/>
          <w:sz w:val="18"/>
        </w:rPr>
        <w:t>US</w:t>
      </w:r>
      <w:r>
        <w:rPr>
          <w:i/>
          <w:spacing w:val="-4"/>
          <w:sz w:val="18"/>
        </w:rPr>
        <w:t xml:space="preserve"> </w:t>
      </w:r>
      <w:r>
        <w:rPr>
          <w:i/>
          <w:sz w:val="18"/>
        </w:rPr>
        <w:t>–</w:t>
      </w:r>
      <w:r>
        <w:rPr>
          <w:i/>
          <w:spacing w:val="-7"/>
          <w:sz w:val="18"/>
        </w:rPr>
        <w:t xml:space="preserve"> </w:t>
      </w:r>
      <w:r>
        <w:rPr>
          <w:i/>
          <w:sz w:val="18"/>
        </w:rPr>
        <w:t>Gambling</w:t>
      </w:r>
      <w:r>
        <w:rPr>
          <w:sz w:val="18"/>
        </w:rPr>
        <w:t>,</w:t>
      </w:r>
      <w:r>
        <w:rPr>
          <w:spacing w:val="-5"/>
          <w:sz w:val="18"/>
        </w:rPr>
        <w:t xml:space="preserve"> </w:t>
      </w:r>
      <w:r>
        <w:rPr>
          <w:sz w:val="18"/>
        </w:rPr>
        <w:t>para.</w:t>
      </w:r>
      <w:r>
        <w:rPr>
          <w:spacing w:val="-1"/>
          <w:sz w:val="18"/>
        </w:rPr>
        <w:t xml:space="preserve"> </w:t>
      </w:r>
      <w:r>
        <w:rPr>
          <w:sz w:val="18"/>
        </w:rPr>
        <w:t>270;</w:t>
      </w:r>
      <w:r>
        <w:rPr>
          <w:spacing w:val="-4"/>
          <w:sz w:val="18"/>
        </w:rPr>
        <w:t xml:space="preserve"> </w:t>
      </w:r>
      <w:r>
        <w:rPr>
          <w:i/>
          <w:sz w:val="18"/>
        </w:rPr>
        <w:t>China – HP-SSST (Japan) / HP-SSST (EU)</w:t>
      </w:r>
      <w:r>
        <w:rPr>
          <w:sz w:val="18"/>
        </w:rPr>
        <w:t>, para. 5.96).</w:t>
      </w:r>
    </w:p>
    <w:p w14:paraId="4A6EE137" w14:textId="77777777" w:rsidR="00BD462C" w:rsidRDefault="00BD462C">
      <w:pPr>
        <w:rPr>
          <w:sz w:val="18"/>
        </w:rPr>
        <w:sectPr w:rsidR="00BD462C">
          <w:pgSz w:w="11910" w:h="16840"/>
          <w:pgMar w:top="860" w:right="500" w:bottom="780" w:left="1280" w:header="566" w:footer="590" w:gutter="0"/>
          <w:cols w:space="720"/>
        </w:sectPr>
      </w:pPr>
    </w:p>
    <w:p w14:paraId="1AC2E981"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4284AA44"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7684D994"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619BEBAA" w14:textId="69882081" w:rsidR="00BD462C" w:rsidRDefault="00D70C7D">
      <w:pPr>
        <w:pStyle w:val="BodyText"/>
        <w:spacing w:before="107" w:line="355" w:lineRule="auto"/>
        <w:ind w:left="135" w:right="923"/>
      </w:pPr>
      <w:r>
        <w:rPr>
          <w:noProof/>
        </w:rPr>
        <mc:AlternateContent>
          <mc:Choice Requires="wps">
            <w:drawing>
              <wp:anchor distT="0" distB="0" distL="114300" distR="114300" simplePos="0" relativeHeight="479133184" behindDoc="1" locked="0" layoutInCell="1" allowOverlap="1" wp14:anchorId="07BAB6F6" wp14:editId="7C6DC36A">
                <wp:simplePos x="0" y="0"/>
                <wp:positionH relativeFrom="page">
                  <wp:posOffset>4425950</wp:posOffset>
                </wp:positionH>
                <wp:positionV relativeFrom="paragraph">
                  <wp:posOffset>341630</wp:posOffset>
                </wp:positionV>
                <wp:extent cx="2233930" cy="186055"/>
                <wp:effectExtent l="0" t="0" r="0" b="0"/>
                <wp:wrapNone/>
                <wp:docPr id="392" name="docshape5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393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76D5B2" id="docshape526" o:spid="_x0000_s1026" alt="&quot;&quot;" style="position:absolute;margin-left:348.5pt;margin-top:26.9pt;width:175.9pt;height:14.65pt;z-index:-2418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" fillcolor="black" stroked="f">
                <w10:wrap anchorx="page"/>
              </v:rect>
            </w:pict>
          </mc:Fallback>
        </mc:AlternateContent>
      </w:r>
      <w:r w:rsidR="0014480F">
        <w:rPr>
          <w:noProof/>
        </w:rPr>
        <w:t>737.</w:t>
      </w:r>
      <w:r w:rsidR="00033D0F">
        <w:rPr>
          <w:rFonts w:ascii="Times New Roman"/>
          <w:spacing w:val="80"/>
          <w:position w:val="1"/>
          <w:sz w:val="20"/>
        </w:rPr>
        <w:t xml:space="preserve">   </w:t>
      </w:r>
      <w:r w:rsidR="00033D0F">
        <w:rPr>
          <w:position w:val="1"/>
        </w:rPr>
        <w:t>For</w:t>
      </w:r>
      <w:r w:rsidR="00033D0F">
        <w:rPr>
          <w:spacing w:val="24"/>
          <w:position w:val="1"/>
        </w:rPr>
        <w:t xml:space="preserve"> </w:t>
      </w:r>
      <w:r w:rsidR="00033D0F">
        <w:rPr>
          <w:position w:val="1"/>
        </w:rPr>
        <w:t>completeness,</w:t>
      </w:r>
      <w:r w:rsidR="00033D0F">
        <w:rPr>
          <w:spacing w:val="24"/>
          <w:position w:val="1"/>
        </w:rPr>
        <w:t xml:space="preserve"> </w:t>
      </w:r>
      <w:r w:rsidR="00033D0F">
        <w:rPr>
          <w:position w:val="1"/>
        </w:rPr>
        <w:t>Australia</w:t>
      </w:r>
      <w:r w:rsidR="00033D0F">
        <w:rPr>
          <w:spacing w:val="21"/>
          <w:position w:val="1"/>
        </w:rPr>
        <w:t xml:space="preserve"> </w:t>
      </w:r>
      <w:r w:rsidR="00033D0F">
        <w:rPr>
          <w:position w:val="1"/>
        </w:rPr>
        <w:t>notes</w:t>
      </w:r>
      <w:r w:rsidR="00033D0F">
        <w:rPr>
          <w:spacing w:val="23"/>
          <w:position w:val="1"/>
        </w:rPr>
        <w:t xml:space="preserve"> </w:t>
      </w:r>
      <w:r w:rsidR="00033D0F">
        <w:rPr>
          <w:position w:val="1"/>
        </w:rPr>
        <w:t>that</w:t>
      </w:r>
      <w:r w:rsidR="00033D0F">
        <w:rPr>
          <w:spacing w:val="22"/>
          <w:position w:val="1"/>
        </w:rPr>
        <w:t xml:space="preserve"> </w:t>
      </w:r>
      <w:r w:rsidR="00033D0F">
        <w:rPr>
          <w:position w:val="1"/>
        </w:rPr>
        <w:t>China</w:t>
      </w:r>
      <w:r w:rsidR="00033D0F">
        <w:rPr>
          <w:spacing w:val="26"/>
          <w:position w:val="1"/>
        </w:rPr>
        <w:t xml:space="preserve"> </w:t>
      </w:r>
      <w:r w:rsidR="00033D0F">
        <w:rPr>
          <w:position w:val="1"/>
        </w:rPr>
        <w:t>has</w:t>
      </w:r>
      <w:r w:rsidR="00033D0F">
        <w:rPr>
          <w:spacing w:val="23"/>
          <w:position w:val="1"/>
        </w:rPr>
        <w:t xml:space="preserve"> </w:t>
      </w:r>
      <w:r w:rsidR="00033D0F">
        <w:rPr>
          <w:position w:val="1"/>
        </w:rPr>
        <w:t>not</w:t>
      </w:r>
      <w:r w:rsidR="00033D0F">
        <w:rPr>
          <w:spacing w:val="27"/>
          <w:position w:val="1"/>
        </w:rPr>
        <w:t xml:space="preserve"> </w:t>
      </w:r>
      <w:r w:rsidR="00033D0F">
        <w:rPr>
          <w:position w:val="1"/>
        </w:rPr>
        <w:t>contended</w:t>
      </w:r>
      <w:r w:rsidR="00033D0F">
        <w:rPr>
          <w:spacing w:val="25"/>
          <w:position w:val="1"/>
        </w:rPr>
        <w:t xml:space="preserve"> </w:t>
      </w:r>
      <w:r w:rsidR="00033D0F">
        <w:rPr>
          <w:position w:val="1"/>
        </w:rPr>
        <w:t>that</w:t>
      </w:r>
      <w:r w:rsidR="00033D0F">
        <w:rPr>
          <w:spacing w:val="22"/>
          <w:position w:val="1"/>
        </w:rPr>
        <w:t xml:space="preserve"> </w:t>
      </w:r>
      <w:r w:rsidR="00033D0F">
        <w:rPr>
          <w:position w:val="1"/>
        </w:rPr>
        <w:t>Article</w:t>
      </w:r>
      <w:r w:rsidR="00033D0F">
        <w:rPr>
          <w:spacing w:val="22"/>
          <w:position w:val="1"/>
        </w:rPr>
        <w:t xml:space="preserve"> </w:t>
      </w:r>
      <w:r w:rsidR="00033D0F">
        <w:rPr>
          <w:position w:val="1"/>
        </w:rPr>
        <w:t xml:space="preserve">6.5.1 </w:t>
      </w:r>
      <w:r w:rsidR="00033D0F">
        <w:t>would</w:t>
      </w:r>
      <w:r w:rsidR="00033D0F">
        <w:rPr>
          <w:spacing w:val="40"/>
        </w:rPr>
        <w:t xml:space="preserve"> </w:t>
      </w:r>
      <w:r w:rsidR="00033D0F">
        <w:t>be</w:t>
      </w:r>
      <w:r w:rsidR="00033D0F">
        <w:rPr>
          <w:spacing w:val="40"/>
        </w:rPr>
        <w:t xml:space="preserve"> </w:t>
      </w:r>
      <w:r w:rsidR="00033D0F">
        <w:t>inapplicable</w:t>
      </w:r>
      <w:r w:rsidR="00033D0F">
        <w:rPr>
          <w:spacing w:val="40"/>
        </w:rPr>
        <w:t xml:space="preserve"> </w:t>
      </w:r>
      <w:r w:rsidR="00033D0F">
        <w:t>to</w:t>
      </w:r>
      <w:r w:rsidR="00033D0F">
        <w:rPr>
          <w:spacing w:val="40"/>
        </w:rPr>
        <w:t xml:space="preserve"> </w:t>
      </w:r>
      <w:r w:rsidR="00033D0F">
        <w:t>this</w:t>
      </w:r>
      <w:r w:rsidR="00033D0F">
        <w:rPr>
          <w:spacing w:val="40"/>
        </w:rPr>
        <w:t xml:space="preserve"> </w:t>
      </w:r>
      <w:r w:rsidR="00033D0F">
        <w:t>data</w:t>
      </w:r>
      <w:r w:rsidR="00033D0F">
        <w:rPr>
          <w:spacing w:val="40"/>
        </w:rPr>
        <w:t xml:space="preserve"> </w:t>
      </w:r>
      <w:r w:rsidR="00033D0F">
        <w:t>by</w:t>
      </w:r>
      <w:r w:rsidR="00033D0F">
        <w:rPr>
          <w:spacing w:val="40"/>
        </w:rPr>
        <w:t xml:space="preserve"> </w:t>
      </w:r>
      <w:r w:rsidR="00033D0F">
        <w:t>reason</w:t>
      </w:r>
      <w:r w:rsidR="00033D0F">
        <w:rPr>
          <w:spacing w:val="40"/>
        </w:rPr>
        <w:t xml:space="preserve"> </w:t>
      </w:r>
      <w:r w:rsidR="00033D0F">
        <w:t>of</w:t>
      </w:r>
      <w:r w:rsidR="00033D0F">
        <w:rPr>
          <w:spacing w:val="40"/>
        </w:rPr>
        <w:t xml:space="preserve"> </w:t>
      </w:r>
      <w:r w:rsidR="00033D0F">
        <w:t>the</w:t>
      </w:r>
    </w:p>
    <w:p w14:paraId="35ACBDFD" w14:textId="51C1D8DA" w:rsidR="00BD462C" w:rsidRDefault="00D70C7D">
      <w:pPr>
        <w:pStyle w:val="BodyText"/>
        <w:tabs>
          <w:tab w:val="left" w:pos="4201"/>
        </w:tabs>
        <w:spacing w:before="7" w:line="360" w:lineRule="auto"/>
        <w:ind w:left="135" w:right="911" w:firstLine="1560"/>
        <w:jc w:val="both"/>
      </w:pPr>
      <w:r>
        <w:rPr>
          <w:noProof/>
        </w:rPr>
        <mc:AlternateContent>
          <mc:Choice Requires="wps">
            <w:drawing>
              <wp:anchor distT="0" distB="0" distL="114300" distR="114300" simplePos="0" relativeHeight="15973376" behindDoc="0" locked="0" layoutInCell="1" allowOverlap="1" wp14:anchorId="4CF82BE7" wp14:editId="19EEB07F">
                <wp:simplePos x="0" y="0"/>
                <wp:positionH relativeFrom="page">
                  <wp:posOffset>899160</wp:posOffset>
                </wp:positionH>
                <wp:positionV relativeFrom="paragraph">
                  <wp:posOffset>3175</wp:posOffset>
                </wp:positionV>
                <wp:extent cx="963295" cy="186055"/>
                <wp:effectExtent l="0" t="0" r="0" b="0"/>
                <wp:wrapNone/>
                <wp:docPr id="390" name="docshape5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329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C2CDBE" id="docshape527" o:spid="_x0000_s1026" alt="&quot;&quot;" style="position:absolute;margin-left:70.8pt;margin-top:.25pt;width:75.85pt;height:14.65pt;z-index:1597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" fillcolor="black" stroked="f">
                <w10:wrap anchorx="page"/>
              </v:rect>
            </w:pict>
          </mc:Fallback>
        </mc:AlternateContent>
      </w:r>
      <w:r>
        <w:rPr>
          <w:noProof/>
        </w:rPr>
        <mc:AlternateContent>
          <mc:Choice Requires="wps">
            <w:drawing>
              <wp:anchor distT="0" distB="0" distL="114300" distR="114300" simplePos="0" relativeHeight="479134208" behindDoc="1" locked="0" layoutInCell="1" allowOverlap="1" wp14:anchorId="67B91807" wp14:editId="1CFD4F7D">
                <wp:simplePos x="0" y="0"/>
                <wp:positionH relativeFrom="page">
                  <wp:posOffset>2858770</wp:posOffset>
                </wp:positionH>
                <wp:positionV relativeFrom="paragraph">
                  <wp:posOffset>561340</wp:posOffset>
                </wp:positionV>
                <wp:extent cx="579120" cy="186055"/>
                <wp:effectExtent l="0" t="0" r="0" b="0"/>
                <wp:wrapNone/>
                <wp:docPr id="388" name="docshape5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F6A3D1" id="docshape528" o:spid="_x0000_s1026" alt="&quot;&quot;" style="position:absolute;margin-left:225.1pt;margin-top:44.2pt;width:45.6pt;height:14.65pt;z-index:-2418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" fillcolor="black" stroked="f">
                <w10:wrap anchorx="page"/>
              </v:rect>
            </w:pict>
          </mc:Fallback>
        </mc:AlternateContent>
      </w:r>
      <w:r w:rsidR="00033D0F">
        <w:t>not</w:t>
      </w:r>
      <w:r w:rsidR="00033D0F">
        <w:rPr>
          <w:spacing w:val="-14"/>
        </w:rPr>
        <w:t xml:space="preserve"> </w:t>
      </w:r>
      <w:r w:rsidR="00033D0F">
        <w:t>falling</w:t>
      </w:r>
      <w:r w:rsidR="00033D0F">
        <w:rPr>
          <w:spacing w:val="-14"/>
        </w:rPr>
        <w:t xml:space="preserve"> </w:t>
      </w:r>
      <w:r w:rsidR="00033D0F">
        <w:t>within</w:t>
      </w:r>
      <w:r w:rsidR="00033D0F">
        <w:rPr>
          <w:spacing w:val="-13"/>
        </w:rPr>
        <w:t xml:space="preserve"> </w:t>
      </w:r>
      <w:r w:rsidR="00033D0F">
        <w:t>the</w:t>
      </w:r>
      <w:r w:rsidR="00033D0F">
        <w:rPr>
          <w:spacing w:val="-14"/>
        </w:rPr>
        <w:t xml:space="preserve"> </w:t>
      </w:r>
      <w:r w:rsidR="00033D0F">
        <w:t>categories</w:t>
      </w:r>
      <w:r w:rsidR="00033D0F">
        <w:rPr>
          <w:spacing w:val="-13"/>
        </w:rPr>
        <w:t xml:space="preserve"> </w:t>
      </w:r>
      <w:r w:rsidR="00033D0F">
        <w:t>of</w:t>
      </w:r>
      <w:r w:rsidR="00033D0F">
        <w:rPr>
          <w:spacing w:val="-14"/>
        </w:rPr>
        <w:t xml:space="preserve"> </w:t>
      </w:r>
      <w:r w:rsidR="00033D0F">
        <w:t>"interested</w:t>
      </w:r>
      <w:r w:rsidR="00033D0F">
        <w:rPr>
          <w:spacing w:val="-13"/>
        </w:rPr>
        <w:t xml:space="preserve"> </w:t>
      </w:r>
      <w:r w:rsidR="00033D0F">
        <w:t>party"</w:t>
      </w:r>
      <w:r w:rsidR="00033D0F">
        <w:rPr>
          <w:spacing w:val="-14"/>
        </w:rPr>
        <w:t xml:space="preserve"> </w:t>
      </w:r>
      <w:r w:rsidR="00033D0F">
        <w:t>set</w:t>
      </w:r>
      <w:r w:rsidR="00033D0F">
        <w:rPr>
          <w:spacing w:val="-14"/>
        </w:rPr>
        <w:t xml:space="preserve"> </w:t>
      </w:r>
      <w:r w:rsidR="00033D0F">
        <w:t>out</w:t>
      </w:r>
      <w:r w:rsidR="00033D0F">
        <w:rPr>
          <w:spacing w:val="-12"/>
        </w:rPr>
        <w:t xml:space="preserve"> </w:t>
      </w:r>
      <w:r w:rsidR="00033D0F">
        <w:t>in</w:t>
      </w:r>
      <w:r w:rsidR="00033D0F">
        <w:rPr>
          <w:spacing w:val="-13"/>
        </w:rPr>
        <w:t xml:space="preserve"> </w:t>
      </w:r>
      <w:r w:rsidR="00033D0F">
        <w:t>subparagraphs (i), (ii), (iii) of Article 6.11 of the Anti-Dumping Agreement. Australia understands that this is because MOFCOM treated the</w:t>
      </w:r>
      <w:r w:rsidR="00033D0F">
        <w:tab/>
        <w:t>as an "interested party" within the meaning of the last</w:t>
      </w:r>
      <w:r w:rsidR="00033D0F">
        <w:rPr>
          <w:spacing w:val="-11"/>
        </w:rPr>
        <w:t xml:space="preserve"> </w:t>
      </w:r>
      <w:r w:rsidR="00033D0F">
        <w:t>sentence</w:t>
      </w:r>
      <w:r w:rsidR="00033D0F">
        <w:rPr>
          <w:spacing w:val="-12"/>
        </w:rPr>
        <w:t xml:space="preserve"> </w:t>
      </w:r>
      <w:r w:rsidR="00033D0F">
        <w:t>of</w:t>
      </w:r>
      <w:r w:rsidR="00033D0F">
        <w:rPr>
          <w:spacing w:val="-14"/>
        </w:rPr>
        <w:t xml:space="preserve"> </w:t>
      </w:r>
      <w:r w:rsidR="00033D0F">
        <w:t>Article</w:t>
      </w:r>
      <w:r w:rsidR="00033D0F">
        <w:rPr>
          <w:spacing w:val="-1"/>
        </w:rPr>
        <w:t xml:space="preserve"> </w:t>
      </w:r>
      <w:r w:rsidR="00033D0F">
        <w:t>6.11,</w:t>
      </w:r>
      <w:r w:rsidR="00033D0F">
        <w:rPr>
          <w:spacing w:val="-10"/>
        </w:rPr>
        <w:t xml:space="preserve"> </w:t>
      </w:r>
      <w:r w:rsidR="00033D0F">
        <w:t>at</w:t>
      </w:r>
      <w:r w:rsidR="00033D0F">
        <w:rPr>
          <w:spacing w:val="-11"/>
        </w:rPr>
        <w:t xml:space="preserve"> </w:t>
      </w:r>
      <w:r w:rsidR="00033D0F">
        <w:t>least</w:t>
      </w:r>
      <w:r w:rsidR="00033D0F">
        <w:rPr>
          <w:spacing w:val="-11"/>
        </w:rPr>
        <w:t xml:space="preserve"> </w:t>
      </w:r>
      <w:r w:rsidR="00033D0F">
        <w:t>for</w:t>
      </w:r>
      <w:r w:rsidR="00033D0F">
        <w:rPr>
          <w:spacing w:val="-14"/>
        </w:rPr>
        <w:t xml:space="preserve"> </w:t>
      </w:r>
      <w:r w:rsidR="00033D0F">
        <w:t>the</w:t>
      </w:r>
      <w:r w:rsidR="00033D0F">
        <w:rPr>
          <w:spacing w:val="-11"/>
        </w:rPr>
        <w:t xml:space="preserve"> </w:t>
      </w:r>
      <w:r w:rsidR="00033D0F">
        <w:t>purposes</w:t>
      </w:r>
      <w:r w:rsidR="00033D0F">
        <w:rPr>
          <w:spacing w:val="-10"/>
        </w:rPr>
        <w:t xml:space="preserve"> </w:t>
      </w:r>
      <w:r w:rsidR="00033D0F">
        <w:t>of</w:t>
      </w:r>
      <w:r w:rsidR="00033D0F">
        <w:rPr>
          <w:spacing w:val="-14"/>
        </w:rPr>
        <w:t xml:space="preserve"> </w:t>
      </w:r>
      <w:r w:rsidR="00033D0F">
        <w:t>Articles</w:t>
      </w:r>
      <w:r w:rsidR="00033D0F">
        <w:rPr>
          <w:spacing w:val="-9"/>
        </w:rPr>
        <w:t xml:space="preserve"> </w:t>
      </w:r>
      <w:r w:rsidR="00033D0F">
        <w:t>6.5</w:t>
      </w:r>
      <w:r w:rsidR="00033D0F">
        <w:rPr>
          <w:spacing w:val="-14"/>
        </w:rPr>
        <w:t xml:space="preserve"> </w:t>
      </w:r>
      <w:r w:rsidR="00033D0F">
        <w:t>and</w:t>
      </w:r>
      <w:r w:rsidR="00033D0F">
        <w:rPr>
          <w:spacing w:val="-13"/>
        </w:rPr>
        <w:t xml:space="preserve"> </w:t>
      </w:r>
      <w:r w:rsidR="00033D0F">
        <w:t>6.5.1.</w:t>
      </w:r>
      <w:r w:rsidR="00033D0F">
        <w:rPr>
          <w:spacing w:val="-11"/>
        </w:rPr>
        <w:t xml:space="preserve"> </w:t>
      </w:r>
      <w:r w:rsidR="00033D0F">
        <w:t>Australia</w:t>
      </w:r>
      <w:r w:rsidR="00033D0F">
        <w:rPr>
          <w:spacing w:val="-12"/>
        </w:rPr>
        <w:t xml:space="preserve"> </w:t>
      </w:r>
      <w:r w:rsidR="00033D0F">
        <w:t>recalls the Appellate Body's finding in</w:t>
      </w:r>
      <w:r w:rsidR="00033D0F">
        <w:rPr>
          <w:spacing w:val="-1"/>
        </w:rPr>
        <w:t xml:space="preserve"> </w:t>
      </w:r>
      <w:r w:rsidR="00033D0F">
        <w:rPr>
          <w:i/>
        </w:rPr>
        <w:t>EC — Fasteners</w:t>
      </w:r>
      <w:r w:rsidR="00033D0F">
        <w:rPr>
          <w:i/>
          <w:spacing w:val="-1"/>
        </w:rPr>
        <w:t xml:space="preserve"> </w:t>
      </w:r>
      <w:r w:rsidR="00033D0F">
        <w:rPr>
          <w:i/>
        </w:rPr>
        <w:t>(China) (Article</w:t>
      </w:r>
      <w:r w:rsidR="00033D0F">
        <w:rPr>
          <w:i/>
          <w:spacing w:val="-3"/>
        </w:rPr>
        <w:t xml:space="preserve"> </w:t>
      </w:r>
      <w:r w:rsidR="00033D0F">
        <w:rPr>
          <w:i/>
        </w:rPr>
        <w:t xml:space="preserve">21.5) </w:t>
      </w:r>
      <w:r w:rsidR="00033D0F">
        <w:t>that the treatment of an entity</w:t>
      </w:r>
      <w:r w:rsidR="00033D0F">
        <w:rPr>
          <w:spacing w:val="-1"/>
        </w:rPr>
        <w:t xml:space="preserve"> </w:t>
      </w:r>
      <w:r w:rsidR="00033D0F">
        <w:t>as</w:t>
      </w:r>
      <w:r w:rsidR="00033D0F">
        <w:rPr>
          <w:spacing w:val="-1"/>
        </w:rPr>
        <w:t xml:space="preserve"> </w:t>
      </w:r>
      <w:r w:rsidR="00033D0F">
        <w:t>an</w:t>
      </w:r>
      <w:r w:rsidR="00033D0F">
        <w:rPr>
          <w:spacing w:val="-4"/>
        </w:rPr>
        <w:t xml:space="preserve"> </w:t>
      </w:r>
      <w:r w:rsidR="00033D0F">
        <w:t>"interested</w:t>
      </w:r>
      <w:r w:rsidR="00033D0F">
        <w:rPr>
          <w:spacing w:val="-4"/>
        </w:rPr>
        <w:t xml:space="preserve"> </w:t>
      </w:r>
      <w:r w:rsidR="00033D0F">
        <w:t>party" can be inferred from</w:t>
      </w:r>
      <w:r w:rsidR="00033D0F">
        <w:rPr>
          <w:spacing w:val="-3"/>
        </w:rPr>
        <w:t xml:space="preserve"> </w:t>
      </w:r>
      <w:r w:rsidR="00033D0F">
        <w:t>the conduct of an investigating</w:t>
      </w:r>
      <w:r w:rsidR="00033D0F">
        <w:rPr>
          <w:spacing w:val="-1"/>
        </w:rPr>
        <w:t xml:space="preserve"> </w:t>
      </w:r>
      <w:r w:rsidR="00033D0F">
        <w:t>authority and does not require an express finding.</w:t>
      </w:r>
      <w:hyperlink w:anchor="_bookmark1300" w:history="1">
        <w:r w:rsidR="00033D0F">
          <w:rPr>
            <w:vertAlign w:val="superscript"/>
          </w:rPr>
          <w:t>1120</w:t>
        </w:r>
      </w:hyperlink>
    </w:p>
    <w:p w14:paraId="3F015599" w14:textId="77777777" w:rsidR="00BD462C" w:rsidRDefault="00033D0F">
      <w:pPr>
        <w:pStyle w:val="Heading3"/>
        <w:numPr>
          <w:ilvl w:val="0"/>
          <w:numId w:val="30"/>
        </w:numPr>
        <w:tabs>
          <w:tab w:val="left" w:pos="2546"/>
        </w:tabs>
        <w:spacing w:before="159"/>
      </w:pPr>
      <w:bookmarkStart w:id="1507" w:name="10._Conclusion"/>
      <w:bookmarkStart w:id="1508" w:name="_bookmark1298"/>
      <w:bookmarkEnd w:id="1507"/>
      <w:bookmarkEnd w:id="1508"/>
      <w:r>
        <w:rPr>
          <w:spacing w:val="-2"/>
        </w:rPr>
        <w:t>Conclusion</w:t>
      </w:r>
    </w:p>
    <w:p w14:paraId="313D9B62" w14:textId="77777777" w:rsidR="00BD462C" w:rsidRDefault="00BD462C">
      <w:pPr>
        <w:pStyle w:val="BodyText"/>
        <w:spacing w:before="11"/>
        <w:rPr>
          <w:b/>
          <w:sz w:val="20"/>
        </w:rPr>
      </w:pPr>
    </w:p>
    <w:p w14:paraId="237EDF69" w14:textId="331DA545" w:rsidR="00BD462C" w:rsidRDefault="0014480F">
      <w:pPr>
        <w:pStyle w:val="BodyText"/>
        <w:spacing w:before="56" w:line="357" w:lineRule="auto"/>
        <w:ind w:left="136" w:right="913"/>
        <w:jc w:val="both"/>
      </w:pPr>
      <w:r>
        <w:rPr>
          <w:noProof/>
        </w:rPr>
        <w:t>738.</w:t>
      </w:r>
      <w:r w:rsidR="00033D0F">
        <w:rPr>
          <w:rFonts w:ascii="Times New Roman"/>
          <w:spacing w:val="40"/>
          <w:position w:val="1"/>
          <w:sz w:val="20"/>
        </w:rPr>
        <w:t xml:space="preserve">  </w:t>
      </w:r>
      <w:r w:rsidR="00033D0F">
        <w:rPr>
          <w:position w:val="1"/>
        </w:rPr>
        <w:t xml:space="preserve">For the reasons set out above, and in Australia's earlier submissions, China acted </w:t>
      </w:r>
      <w:r w:rsidR="00033D0F">
        <w:t xml:space="preserve">inconsistently with its obligations under Articles 6.5 and 6.5.1 of the Anti-Dumping </w:t>
      </w:r>
      <w:r w:rsidR="00033D0F">
        <w:rPr>
          <w:spacing w:val="-2"/>
        </w:rPr>
        <w:t>Agreement.</w:t>
      </w:r>
    </w:p>
    <w:p w14:paraId="554D8CB2" w14:textId="77777777" w:rsidR="00BD462C" w:rsidRDefault="00033D0F" w:rsidP="00DA02D9">
      <w:pPr>
        <w:pStyle w:val="ListParagraph"/>
        <w:numPr>
          <w:ilvl w:val="1"/>
          <w:numId w:val="72"/>
        </w:numPr>
        <w:tabs>
          <w:tab w:val="left" w:pos="1835"/>
          <w:tab w:val="left" w:pos="1836"/>
        </w:tabs>
        <w:spacing w:before="165" w:line="360" w:lineRule="auto"/>
        <w:ind w:left="1835" w:right="918" w:hanging="850"/>
        <w:rPr>
          <w:b/>
        </w:rPr>
      </w:pPr>
      <w:bookmarkStart w:id="1509" w:name="C._MOFCOM's_failure_to_construct_a_sampl"/>
      <w:bookmarkStart w:id="1510" w:name="_bookmark1299"/>
      <w:bookmarkEnd w:id="1509"/>
      <w:bookmarkEnd w:id="1510"/>
      <w:r>
        <w:rPr>
          <w:b/>
          <w:sz w:val="28"/>
        </w:rPr>
        <w:t>MOFCOM'</w:t>
      </w:r>
      <w:r>
        <w:rPr>
          <w:b/>
        </w:rPr>
        <w:t>S</w:t>
      </w:r>
      <w:r>
        <w:rPr>
          <w:b/>
          <w:spacing w:val="-8"/>
        </w:rPr>
        <w:t xml:space="preserve"> </w:t>
      </w:r>
      <w:r>
        <w:rPr>
          <w:b/>
        </w:rPr>
        <w:t>FAILURE</w:t>
      </w:r>
      <w:r>
        <w:rPr>
          <w:b/>
          <w:spacing w:val="-6"/>
        </w:rPr>
        <w:t xml:space="preserve"> </w:t>
      </w:r>
      <w:r>
        <w:rPr>
          <w:b/>
        </w:rPr>
        <w:t>TO</w:t>
      </w:r>
      <w:r>
        <w:rPr>
          <w:b/>
          <w:spacing w:val="-9"/>
        </w:rPr>
        <w:t xml:space="preserve"> </w:t>
      </w:r>
      <w:r>
        <w:rPr>
          <w:b/>
        </w:rPr>
        <w:t>CONSTRUCT</w:t>
      </w:r>
      <w:r>
        <w:rPr>
          <w:b/>
          <w:spacing w:val="-8"/>
        </w:rPr>
        <w:t xml:space="preserve"> </w:t>
      </w:r>
      <w:r>
        <w:rPr>
          <w:b/>
        </w:rPr>
        <w:t>A</w:t>
      </w:r>
      <w:r>
        <w:rPr>
          <w:b/>
          <w:spacing w:val="-8"/>
        </w:rPr>
        <w:t xml:space="preserve"> </w:t>
      </w:r>
      <w:r>
        <w:rPr>
          <w:b/>
        </w:rPr>
        <w:t>SAMPLE</w:t>
      </w:r>
      <w:r>
        <w:rPr>
          <w:b/>
          <w:spacing w:val="-6"/>
        </w:rPr>
        <w:t xml:space="preserve"> </w:t>
      </w:r>
      <w:r>
        <w:rPr>
          <w:b/>
        </w:rPr>
        <w:t>USING</w:t>
      </w:r>
      <w:r>
        <w:rPr>
          <w:b/>
          <w:spacing w:val="-10"/>
        </w:rPr>
        <w:t xml:space="preserve"> </w:t>
      </w:r>
      <w:r>
        <w:rPr>
          <w:b/>
        </w:rPr>
        <w:t>A</w:t>
      </w:r>
      <w:r>
        <w:rPr>
          <w:b/>
          <w:spacing w:val="-4"/>
        </w:rPr>
        <w:t xml:space="preserve"> </w:t>
      </w:r>
      <w:r>
        <w:rPr>
          <w:b/>
        </w:rPr>
        <w:t>PERMITTED</w:t>
      </w:r>
      <w:r>
        <w:rPr>
          <w:b/>
          <w:spacing w:val="-9"/>
        </w:rPr>
        <w:t xml:space="preserve"> </w:t>
      </w:r>
      <w:r>
        <w:rPr>
          <w:b/>
        </w:rPr>
        <w:t xml:space="preserve">METHOD UNDER </w:t>
      </w:r>
      <w:r>
        <w:rPr>
          <w:b/>
          <w:sz w:val="28"/>
        </w:rPr>
        <w:t>A</w:t>
      </w:r>
      <w:r>
        <w:rPr>
          <w:b/>
        </w:rPr>
        <w:t xml:space="preserve">RTICLE </w:t>
      </w:r>
      <w:r>
        <w:rPr>
          <w:b/>
          <w:sz w:val="28"/>
        </w:rPr>
        <w:t xml:space="preserve">6.10 </w:t>
      </w:r>
      <w:r>
        <w:rPr>
          <w:b/>
        </w:rPr>
        <w:t xml:space="preserve">OF THE </w:t>
      </w:r>
      <w:r>
        <w:rPr>
          <w:b/>
          <w:sz w:val="28"/>
        </w:rPr>
        <w:t>A</w:t>
      </w:r>
      <w:r>
        <w:rPr>
          <w:b/>
        </w:rPr>
        <w:t>NTI</w:t>
      </w:r>
      <w:r>
        <w:rPr>
          <w:b/>
          <w:sz w:val="28"/>
        </w:rPr>
        <w:t>-D</w:t>
      </w:r>
      <w:r>
        <w:rPr>
          <w:b/>
        </w:rPr>
        <w:t xml:space="preserve">UMPING </w:t>
      </w:r>
      <w:r>
        <w:rPr>
          <w:b/>
          <w:sz w:val="28"/>
        </w:rPr>
        <w:t>A</w:t>
      </w:r>
      <w:r>
        <w:rPr>
          <w:b/>
        </w:rPr>
        <w:t>GREEMENT</w:t>
      </w:r>
    </w:p>
    <w:p w14:paraId="1B1B626E" w14:textId="77777777" w:rsidR="00BD462C" w:rsidRDefault="00BD462C">
      <w:pPr>
        <w:pStyle w:val="BodyText"/>
        <w:spacing w:before="10"/>
        <w:rPr>
          <w:b/>
          <w:sz w:val="8"/>
        </w:rPr>
      </w:pPr>
    </w:p>
    <w:p w14:paraId="049BE0AB" w14:textId="4D02B4E6" w:rsidR="00BD462C" w:rsidRDefault="0014480F">
      <w:pPr>
        <w:pStyle w:val="BodyText"/>
        <w:spacing w:before="56" w:line="357" w:lineRule="auto"/>
        <w:ind w:left="135" w:right="917"/>
        <w:jc w:val="both"/>
      </w:pPr>
      <w:r>
        <w:rPr>
          <w:noProof/>
        </w:rPr>
        <w:t>739.</w:t>
      </w:r>
      <w:r w:rsidR="00033D0F">
        <w:rPr>
          <w:rFonts w:ascii="Times New Roman"/>
          <w:spacing w:val="80"/>
          <w:w w:val="150"/>
          <w:position w:val="1"/>
          <w:sz w:val="20"/>
        </w:rPr>
        <w:t xml:space="preserve"> </w:t>
      </w:r>
      <w:r w:rsidR="00033D0F">
        <w:rPr>
          <w:position w:val="1"/>
        </w:rPr>
        <w:t>Where a sampling approach is used under Article 6.10 of the Anti-Dumping</w:t>
      </w:r>
      <w:r w:rsidR="00033D0F">
        <w:rPr>
          <w:spacing w:val="40"/>
          <w:position w:val="1"/>
        </w:rPr>
        <w:t xml:space="preserve"> </w:t>
      </w:r>
      <w:r w:rsidR="00033D0F">
        <w:t>Agreement, the construction of the sample is critical to ensuring the fairest outcome for the non-sampled exporters.</w:t>
      </w:r>
    </w:p>
    <w:p w14:paraId="6B06B744" w14:textId="77777777" w:rsidR="00BD462C" w:rsidRDefault="00BD462C">
      <w:pPr>
        <w:pStyle w:val="BodyText"/>
        <w:spacing w:before="3"/>
        <w:rPr>
          <w:sz w:val="9"/>
        </w:rPr>
      </w:pPr>
    </w:p>
    <w:p w14:paraId="7BB19FEA" w14:textId="24ED3D3E" w:rsidR="00BD462C" w:rsidRDefault="0014480F">
      <w:pPr>
        <w:pStyle w:val="BodyText"/>
        <w:spacing w:before="56" w:line="357" w:lineRule="auto"/>
        <w:ind w:left="136" w:right="912"/>
        <w:jc w:val="both"/>
      </w:pPr>
      <w:r>
        <w:rPr>
          <w:noProof/>
        </w:rPr>
        <w:t>740.</w:t>
      </w:r>
      <w:r w:rsidR="00033D0F">
        <w:rPr>
          <w:rFonts w:ascii="Times New Roman"/>
          <w:spacing w:val="80"/>
          <w:position w:val="1"/>
          <w:sz w:val="20"/>
        </w:rPr>
        <w:t xml:space="preserve">  </w:t>
      </w:r>
      <w:r w:rsidR="00033D0F">
        <w:rPr>
          <w:position w:val="1"/>
        </w:rPr>
        <w:t>The evident object and</w:t>
      </w:r>
      <w:r w:rsidR="00033D0F">
        <w:rPr>
          <w:spacing w:val="-1"/>
          <w:position w:val="1"/>
        </w:rPr>
        <w:t xml:space="preserve"> </w:t>
      </w:r>
      <w:r w:rsidR="00033D0F">
        <w:rPr>
          <w:position w:val="1"/>
        </w:rPr>
        <w:t>purpose of the sampling</w:t>
      </w:r>
      <w:r w:rsidR="00033D0F">
        <w:rPr>
          <w:spacing w:val="-2"/>
          <w:position w:val="1"/>
        </w:rPr>
        <w:t xml:space="preserve"> </w:t>
      </w:r>
      <w:r w:rsidR="00033D0F">
        <w:rPr>
          <w:position w:val="1"/>
        </w:rPr>
        <w:t>methods set out in Article 6.10</w:t>
      </w:r>
      <w:r w:rsidR="00033D0F">
        <w:rPr>
          <w:spacing w:val="-1"/>
          <w:position w:val="1"/>
        </w:rPr>
        <w:t xml:space="preserve"> </w:t>
      </w:r>
      <w:r w:rsidR="00033D0F">
        <w:rPr>
          <w:position w:val="1"/>
        </w:rPr>
        <w:t xml:space="preserve">is to </w:t>
      </w:r>
      <w:r w:rsidR="00033D0F">
        <w:t>require an investigating authority to select a representative subset of data, because the findings made on the basis of those data are extrapolated to all of the non-sampled companies. As a result, errors in the construction of the sample can have significant consequences for an investigation, even</w:t>
      </w:r>
      <w:r w:rsidR="00033D0F">
        <w:rPr>
          <w:spacing w:val="-3"/>
        </w:rPr>
        <w:t xml:space="preserve"> </w:t>
      </w:r>
      <w:r w:rsidR="00033D0F">
        <w:t>if</w:t>
      </w:r>
      <w:r w:rsidR="00033D0F">
        <w:rPr>
          <w:spacing w:val="-3"/>
        </w:rPr>
        <w:t xml:space="preserve"> </w:t>
      </w:r>
      <w:r w:rsidR="00033D0F">
        <w:t>every subsequent</w:t>
      </w:r>
      <w:r w:rsidR="00033D0F">
        <w:rPr>
          <w:spacing w:val="-1"/>
        </w:rPr>
        <w:t xml:space="preserve"> </w:t>
      </w:r>
      <w:r w:rsidR="00033D0F">
        <w:t>step</w:t>
      </w:r>
      <w:r w:rsidR="00033D0F">
        <w:rPr>
          <w:spacing w:val="-3"/>
        </w:rPr>
        <w:t xml:space="preserve"> </w:t>
      </w:r>
      <w:r w:rsidR="00033D0F">
        <w:t>is conducted in</w:t>
      </w:r>
      <w:r w:rsidR="00033D0F">
        <w:rPr>
          <w:spacing w:val="-3"/>
        </w:rPr>
        <w:t xml:space="preserve"> </w:t>
      </w:r>
      <w:r w:rsidR="00033D0F">
        <w:t>accordance with the disciplines of the Anti-Dumping Agreement.</w:t>
      </w:r>
    </w:p>
    <w:p w14:paraId="6850C9B8" w14:textId="77777777" w:rsidR="00BD462C" w:rsidRDefault="00BD462C">
      <w:pPr>
        <w:pStyle w:val="BodyText"/>
        <w:rPr>
          <w:sz w:val="20"/>
        </w:rPr>
      </w:pPr>
    </w:p>
    <w:p w14:paraId="7E577F77" w14:textId="77777777" w:rsidR="00BD462C" w:rsidRDefault="00BD462C">
      <w:pPr>
        <w:pStyle w:val="BodyText"/>
        <w:rPr>
          <w:sz w:val="20"/>
        </w:rPr>
      </w:pPr>
    </w:p>
    <w:p w14:paraId="7DC20072" w14:textId="77777777" w:rsidR="00BD462C" w:rsidRDefault="00BD462C">
      <w:pPr>
        <w:pStyle w:val="BodyText"/>
        <w:rPr>
          <w:sz w:val="20"/>
        </w:rPr>
      </w:pPr>
    </w:p>
    <w:p w14:paraId="16981E50" w14:textId="77777777" w:rsidR="00BD462C" w:rsidRDefault="00BD462C">
      <w:pPr>
        <w:pStyle w:val="BodyText"/>
        <w:rPr>
          <w:sz w:val="20"/>
        </w:rPr>
      </w:pPr>
    </w:p>
    <w:p w14:paraId="64CF9124" w14:textId="77777777" w:rsidR="00BD462C" w:rsidRDefault="00BD462C">
      <w:pPr>
        <w:pStyle w:val="BodyText"/>
        <w:rPr>
          <w:sz w:val="20"/>
        </w:rPr>
      </w:pPr>
    </w:p>
    <w:p w14:paraId="0A00071F" w14:textId="23ABF47F" w:rsidR="00BD462C" w:rsidRDefault="00D70C7D">
      <w:pPr>
        <w:pStyle w:val="BodyText"/>
        <w:spacing w:before="10"/>
        <w:rPr>
          <w:sz w:val="16"/>
        </w:rPr>
      </w:pPr>
      <w:r>
        <w:rPr>
          <w:noProof/>
        </w:rPr>
        <mc:AlternateContent>
          <mc:Choice Requires="wps">
            <w:drawing>
              <wp:anchor distT="0" distB="0" distL="0" distR="0" simplePos="0" relativeHeight="487831040" behindDoc="1" locked="0" layoutInCell="1" allowOverlap="1" wp14:anchorId="692F6503" wp14:editId="74F5BCB1">
                <wp:simplePos x="0" y="0"/>
                <wp:positionH relativeFrom="page">
                  <wp:posOffset>899160</wp:posOffset>
                </wp:positionH>
                <wp:positionV relativeFrom="paragraph">
                  <wp:posOffset>146050</wp:posOffset>
                </wp:positionV>
                <wp:extent cx="1828800" cy="8890"/>
                <wp:effectExtent l="0" t="0" r="0" b="0"/>
                <wp:wrapTopAndBottom/>
                <wp:docPr id="386" name="docshape5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582644" id="docshape529" o:spid="_x0000_s1026" alt="&quot;&quot;" style="position:absolute;margin-left:70.8pt;margin-top:11.5pt;width:2in;height:.7pt;z-index:-1548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" fillcolor="black" stroked="f">
                <w10:wrap type="topAndBottom" anchorx="page"/>
              </v:rect>
            </w:pict>
          </mc:Fallback>
        </mc:AlternateContent>
      </w:r>
    </w:p>
    <w:p w14:paraId="3E1DD919" w14:textId="77777777" w:rsidR="00BD462C" w:rsidRDefault="00033D0F">
      <w:pPr>
        <w:spacing w:before="112"/>
        <w:ind w:left="135" w:right="923"/>
        <w:rPr>
          <w:sz w:val="18"/>
        </w:rPr>
      </w:pPr>
      <w:bookmarkStart w:id="1511" w:name="_bookmark1300"/>
      <w:bookmarkEnd w:id="1511"/>
      <w:r>
        <w:rPr>
          <w:position w:val="5"/>
          <w:sz w:val="12"/>
        </w:rPr>
        <w:t>1120</w:t>
      </w:r>
      <w:r>
        <w:rPr>
          <w:spacing w:val="21"/>
          <w:position w:val="5"/>
          <w:sz w:val="12"/>
        </w:rPr>
        <w:t xml:space="preserve"> </w:t>
      </w:r>
      <w:r>
        <w:rPr>
          <w:sz w:val="18"/>
        </w:rPr>
        <w:t>Appellate Body report,</w:t>
      </w:r>
      <w:r>
        <w:rPr>
          <w:spacing w:val="-1"/>
          <w:sz w:val="18"/>
        </w:rPr>
        <w:t xml:space="preserve"> </w:t>
      </w:r>
      <w:r>
        <w:rPr>
          <w:i/>
          <w:sz w:val="18"/>
        </w:rPr>
        <w:t>EC —</w:t>
      </w:r>
      <w:r>
        <w:rPr>
          <w:i/>
          <w:spacing w:val="-1"/>
          <w:sz w:val="18"/>
        </w:rPr>
        <w:t xml:space="preserve"> </w:t>
      </w:r>
      <w:r>
        <w:rPr>
          <w:i/>
          <w:sz w:val="18"/>
        </w:rPr>
        <w:t>Fasteners (China)</w:t>
      </w:r>
      <w:r>
        <w:rPr>
          <w:i/>
          <w:spacing w:val="-1"/>
          <w:sz w:val="18"/>
        </w:rPr>
        <w:t xml:space="preserve"> </w:t>
      </w:r>
      <w:r>
        <w:rPr>
          <w:i/>
          <w:sz w:val="18"/>
        </w:rPr>
        <w:t>(Article 21.5</w:t>
      </w:r>
      <w:r>
        <w:rPr>
          <w:sz w:val="18"/>
        </w:rPr>
        <w:t>), para. 5.150. Australia</w:t>
      </w:r>
      <w:r>
        <w:rPr>
          <w:spacing w:val="-5"/>
          <w:sz w:val="18"/>
        </w:rPr>
        <w:t xml:space="preserve"> </w:t>
      </w:r>
      <w:r>
        <w:rPr>
          <w:sz w:val="18"/>
        </w:rPr>
        <w:t>notes that</w:t>
      </w:r>
      <w:r>
        <w:rPr>
          <w:spacing w:val="-2"/>
          <w:sz w:val="18"/>
        </w:rPr>
        <w:t xml:space="preserve"> </w:t>
      </w:r>
      <w:r>
        <w:rPr>
          <w:sz w:val="18"/>
        </w:rPr>
        <w:t>in China's response</w:t>
      </w:r>
      <w:r>
        <w:rPr>
          <w:spacing w:val="-3"/>
          <w:sz w:val="18"/>
        </w:rPr>
        <w:t xml:space="preserve"> </w:t>
      </w:r>
      <w:r>
        <w:rPr>
          <w:sz w:val="18"/>
        </w:rPr>
        <w:t>to the Panel's question</w:t>
      </w:r>
      <w:r>
        <w:rPr>
          <w:spacing w:val="-6"/>
          <w:sz w:val="18"/>
        </w:rPr>
        <w:t xml:space="preserve"> </w:t>
      </w:r>
      <w:r>
        <w:rPr>
          <w:sz w:val="18"/>
        </w:rPr>
        <w:t>No.</w:t>
      </w:r>
      <w:r>
        <w:rPr>
          <w:spacing w:val="6"/>
          <w:sz w:val="18"/>
        </w:rPr>
        <w:t xml:space="preserve"> </w:t>
      </w:r>
      <w:r>
        <w:rPr>
          <w:sz w:val="18"/>
        </w:rPr>
        <w:t>50,</w:t>
      </w:r>
      <w:r>
        <w:rPr>
          <w:spacing w:val="1"/>
          <w:sz w:val="18"/>
        </w:rPr>
        <w:t xml:space="preserve"> </w:t>
      </w:r>
      <w:r>
        <w:rPr>
          <w:sz w:val="18"/>
        </w:rPr>
        <w:t>paras.</w:t>
      </w:r>
      <w:r>
        <w:rPr>
          <w:spacing w:val="1"/>
          <w:sz w:val="18"/>
        </w:rPr>
        <w:t xml:space="preserve"> </w:t>
      </w:r>
      <w:r>
        <w:rPr>
          <w:sz w:val="18"/>
        </w:rPr>
        <w:t>306,</w:t>
      </w:r>
      <w:r>
        <w:rPr>
          <w:spacing w:val="1"/>
          <w:sz w:val="18"/>
        </w:rPr>
        <w:t xml:space="preserve"> </w:t>
      </w:r>
      <w:r>
        <w:rPr>
          <w:sz w:val="18"/>
        </w:rPr>
        <w:t>310,</w:t>
      </w:r>
      <w:r>
        <w:rPr>
          <w:spacing w:val="2"/>
          <w:sz w:val="18"/>
        </w:rPr>
        <w:t xml:space="preserve"> </w:t>
      </w:r>
      <w:r>
        <w:rPr>
          <w:sz w:val="18"/>
        </w:rPr>
        <w:t>China</w:t>
      </w:r>
      <w:r>
        <w:rPr>
          <w:spacing w:val="-2"/>
          <w:sz w:val="18"/>
        </w:rPr>
        <w:t xml:space="preserve"> </w:t>
      </w:r>
      <w:r>
        <w:rPr>
          <w:sz w:val="18"/>
        </w:rPr>
        <w:t>positively</w:t>
      </w:r>
      <w:r>
        <w:rPr>
          <w:spacing w:val="-1"/>
          <w:sz w:val="18"/>
        </w:rPr>
        <w:t xml:space="preserve"> </w:t>
      </w:r>
      <w:r>
        <w:rPr>
          <w:sz w:val="18"/>
        </w:rPr>
        <w:t>asserts that Article</w:t>
      </w:r>
      <w:r>
        <w:rPr>
          <w:spacing w:val="4"/>
          <w:sz w:val="18"/>
        </w:rPr>
        <w:t xml:space="preserve"> </w:t>
      </w:r>
      <w:r>
        <w:rPr>
          <w:sz w:val="18"/>
        </w:rPr>
        <w:t>6.5</w:t>
      </w:r>
      <w:r>
        <w:rPr>
          <w:spacing w:val="-2"/>
          <w:sz w:val="18"/>
        </w:rPr>
        <w:t xml:space="preserve"> </w:t>
      </w:r>
      <w:r>
        <w:rPr>
          <w:sz w:val="18"/>
        </w:rPr>
        <w:t>applied</w:t>
      </w:r>
      <w:r>
        <w:rPr>
          <w:spacing w:val="-1"/>
          <w:sz w:val="18"/>
        </w:rPr>
        <w:t xml:space="preserve"> </w:t>
      </w:r>
      <w:r>
        <w:rPr>
          <w:sz w:val="18"/>
        </w:rPr>
        <w:t>to</w:t>
      </w:r>
      <w:r>
        <w:rPr>
          <w:spacing w:val="-1"/>
          <w:sz w:val="18"/>
        </w:rPr>
        <w:t xml:space="preserve"> </w:t>
      </w:r>
      <w:r>
        <w:rPr>
          <w:sz w:val="18"/>
        </w:rPr>
        <w:t>the</w:t>
      </w:r>
      <w:r>
        <w:rPr>
          <w:spacing w:val="-1"/>
          <w:sz w:val="18"/>
        </w:rPr>
        <w:t xml:space="preserve"> </w:t>
      </w:r>
      <w:r>
        <w:rPr>
          <w:sz w:val="18"/>
        </w:rPr>
        <w:t>information provided</w:t>
      </w:r>
      <w:r>
        <w:rPr>
          <w:spacing w:val="-6"/>
          <w:sz w:val="18"/>
        </w:rPr>
        <w:t xml:space="preserve"> </w:t>
      </w:r>
      <w:r>
        <w:rPr>
          <w:sz w:val="18"/>
        </w:rPr>
        <w:t>by</w:t>
      </w:r>
      <w:r>
        <w:rPr>
          <w:spacing w:val="-2"/>
          <w:sz w:val="18"/>
        </w:rPr>
        <w:t xml:space="preserve"> </w:t>
      </w:r>
      <w:r>
        <w:rPr>
          <w:spacing w:val="-5"/>
          <w:sz w:val="18"/>
        </w:rPr>
        <w:t>the</w:t>
      </w:r>
    </w:p>
    <w:p w14:paraId="1A1E6DB3" w14:textId="06435C50" w:rsidR="00BD462C" w:rsidRDefault="00D70C7D">
      <w:pPr>
        <w:pStyle w:val="BodyText"/>
        <w:spacing w:line="220" w:lineRule="exact"/>
        <w:ind w:left="136"/>
        <w:rPr>
          <w:sz w:val="20"/>
        </w:rPr>
      </w:pPr>
      <w:r>
        <w:rPr>
          <w:noProof/>
          <w:position w:val="-3"/>
          <w:sz w:val="20"/>
        </w:rPr>
        <mc:AlternateContent>
          <mc:Choice Requires="wps">
            <w:drawing>
              <wp:inline distT="0" distB="0" distL="0" distR="0" wp14:anchorId="5870357C" wp14:editId="6508FB95">
                <wp:extent cx="2185670" cy="140335"/>
                <wp:effectExtent l="3810" t="0" r="1270" b="3175"/>
                <wp:docPr id="384" name="docshape5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670" cy="140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E45CBB" w14:textId="7F7CEA80" w:rsidR="00BD462C" w:rsidRDefault="00BD462C">
                            <w:pPr>
                              <w:spacing w:before="1" w:line="219" w:lineRule="exact"/>
                              <w:ind w:right="-15"/>
                              <w:jc w:val="right"/>
                              <w:rPr>
                                <w:color w:val="000000"/>
                                <w:sz w:val="18"/>
                              </w:rPr>
                            </w:pPr>
                          </w:p>
                        </w:txbxContent>
                      </wps:txbx>
                      <wps:bodyPr rot="0" vert="horz" wrap="square" lIns="0" tIns="0" rIns="0" bIns="0" anchor="t" anchorCtr="0" upright="1">
                        <a:noAutofit/>
                      </wps:bodyPr>
                    </wps:wsp>
                  </a:graphicData>
                </a:graphic>
              </wp:inline>
            </w:drawing>
          </mc:Choice>
          <mc:Fallback>
            <w:pict>
              <v:shape w14:anchorId="5870357C" id="docshape530" o:spid="_x0000_s1060" type="#_x0000_t202" alt="&quot;&quot;" style="width:172.1pt;height: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" fillcolor="black" stroked="f">
                <v:textbox inset="0,0,0,0">
                  <w:txbxContent>
                    <w:p w14:paraId="03E45CBB" w14:textId="7F7CEA80" w:rsidR="00BD462C" w:rsidRDefault="00BD462C">
                      <w:pPr>
                        <w:spacing w:before="1" w:line="219" w:lineRule="exact"/>
                        <w:ind w:right="-15"/>
                        <w:jc w:val="right"/>
                        <w:rPr>
                          <w:color w:val="000000"/>
                          <w:sz w:val="18"/>
                        </w:rPr>
                      </w:pPr>
                    </w:p>
                  </w:txbxContent>
                </v:textbox>
                <w10:anchorlock/>
              </v:shape>
            </w:pict>
          </mc:Fallback>
        </mc:AlternateContent>
      </w:r>
    </w:p>
    <w:p w14:paraId="1C6328CC" w14:textId="77777777" w:rsidR="00BD462C" w:rsidRDefault="00BD462C">
      <w:pPr>
        <w:spacing w:line="220" w:lineRule="exact"/>
        <w:rPr>
          <w:sz w:val="20"/>
        </w:rPr>
        <w:sectPr w:rsidR="00BD462C">
          <w:pgSz w:w="11910" w:h="16840"/>
          <w:pgMar w:top="860" w:right="500" w:bottom="780" w:left="1280" w:header="566" w:footer="590" w:gutter="0"/>
          <w:cols w:space="720"/>
        </w:sectPr>
      </w:pPr>
    </w:p>
    <w:p w14:paraId="2320D980"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3E44D09A"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71037A43"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2D763FC5" w14:textId="69313EDD" w:rsidR="00BD462C" w:rsidRDefault="0014480F">
      <w:pPr>
        <w:pStyle w:val="BodyText"/>
        <w:spacing w:before="107" w:line="357" w:lineRule="auto"/>
        <w:ind w:left="135" w:right="914"/>
        <w:jc w:val="both"/>
      </w:pPr>
      <w:r>
        <w:rPr>
          <w:noProof/>
        </w:rPr>
        <w:t>741.</w:t>
      </w:r>
      <w:r w:rsidR="00033D0F">
        <w:rPr>
          <w:rFonts w:ascii="Times New Roman"/>
          <w:spacing w:val="80"/>
          <w:position w:val="1"/>
          <w:sz w:val="20"/>
        </w:rPr>
        <w:t xml:space="preserve">  </w:t>
      </w:r>
      <w:r w:rsidR="00033D0F">
        <w:rPr>
          <w:position w:val="1"/>
        </w:rPr>
        <w:t>China</w:t>
      </w:r>
      <w:r w:rsidR="00033D0F">
        <w:rPr>
          <w:spacing w:val="-8"/>
          <w:position w:val="1"/>
        </w:rPr>
        <w:t xml:space="preserve"> </w:t>
      </w:r>
      <w:r w:rsidR="00033D0F">
        <w:rPr>
          <w:position w:val="1"/>
        </w:rPr>
        <w:t>adduces</w:t>
      </w:r>
      <w:r w:rsidR="00033D0F">
        <w:rPr>
          <w:spacing w:val="-6"/>
          <w:position w:val="1"/>
        </w:rPr>
        <w:t xml:space="preserve"> </w:t>
      </w:r>
      <w:r w:rsidR="00033D0F">
        <w:rPr>
          <w:position w:val="1"/>
        </w:rPr>
        <w:t>several</w:t>
      </w:r>
      <w:r w:rsidR="00033D0F">
        <w:rPr>
          <w:spacing w:val="-5"/>
          <w:position w:val="1"/>
        </w:rPr>
        <w:t xml:space="preserve"> </w:t>
      </w:r>
      <w:r w:rsidR="00033D0F">
        <w:rPr>
          <w:position w:val="1"/>
        </w:rPr>
        <w:t>jurisdictional</w:t>
      </w:r>
      <w:r w:rsidR="00033D0F">
        <w:rPr>
          <w:spacing w:val="-5"/>
          <w:position w:val="1"/>
        </w:rPr>
        <w:t xml:space="preserve"> </w:t>
      </w:r>
      <w:r w:rsidR="00033D0F">
        <w:rPr>
          <w:position w:val="1"/>
        </w:rPr>
        <w:t>or</w:t>
      </w:r>
      <w:r w:rsidR="00033D0F">
        <w:rPr>
          <w:spacing w:val="-5"/>
          <w:position w:val="1"/>
        </w:rPr>
        <w:t xml:space="preserve"> </w:t>
      </w:r>
      <w:r w:rsidR="00033D0F">
        <w:rPr>
          <w:position w:val="1"/>
        </w:rPr>
        <w:t>"threshold"</w:t>
      </w:r>
      <w:r w:rsidR="00033D0F">
        <w:rPr>
          <w:spacing w:val="-3"/>
          <w:position w:val="1"/>
        </w:rPr>
        <w:t xml:space="preserve"> </w:t>
      </w:r>
      <w:r w:rsidR="00033D0F">
        <w:rPr>
          <w:position w:val="1"/>
        </w:rPr>
        <w:t>complaints</w:t>
      </w:r>
      <w:r w:rsidR="00033D0F">
        <w:rPr>
          <w:spacing w:val="-6"/>
          <w:position w:val="1"/>
        </w:rPr>
        <w:t xml:space="preserve"> </w:t>
      </w:r>
      <w:r w:rsidR="00033D0F">
        <w:rPr>
          <w:position w:val="1"/>
        </w:rPr>
        <w:t>concerning</w:t>
      </w:r>
      <w:r w:rsidR="00033D0F">
        <w:rPr>
          <w:spacing w:val="-6"/>
          <w:position w:val="1"/>
        </w:rPr>
        <w:t xml:space="preserve"> </w:t>
      </w:r>
      <w:r w:rsidR="00033D0F">
        <w:rPr>
          <w:position w:val="1"/>
        </w:rPr>
        <w:t xml:space="preserve">Australia's </w:t>
      </w:r>
      <w:r w:rsidR="00033D0F">
        <w:t>claims with respect to Article 6.10. These complaints, which are entirely without merit, are addressed in the respective subsections of this submission.</w:t>
      </w:r>
      <w:hyperlink w:anchor="_bookmark1302" w:history="1">
        <w:r w:rsidR="00033D0F">
          <w:rPr>
            <w:vertAlign w:val="superscript"/>
          </w:rPr>
          <w:t>1121</w:t>
        </w:r>
      </w:hyperlink>
    </w:p>
    <w:p w14:paraId="2C7943E8" w14:textId="77777777" w:rsidR="00BD462C" w:rsidRDefault="00033D0F">
      <w:pPr>
        <w:pStyle w:val="Heading3"/>
        <w:numPr>
          <w:ilvl w:val="0"/>
          <w:numId w:val="27"/>
        </w:numPr>
        <w:tabs>
          <w:tab w:val="left" w:pos="2545"/>
          <w:tab w:val="left" w:pos="2546"/>
        </w:tabs>
        <w:spacing w:before="164" w:line="357" w:lineRule="auto"/>
        <w:ind w:right="914"/>
      </w:pPr>
      <w:bookmarkStart w:id="1512" w:name="1._MOFCOM_impermissibly_failed_to_act_in"/>
      <w:bookmarkStart w:id="1513" w:name="_bookmark1301"/>
      <w:bookmarkEnd w:id="1512"/>
      <w:bookmarkEnd w:id="1513"/>
      <w:r>
        <w:t>MOFCOM</w:t>
      </w:r>
      <w:r>
        <w:rPr>
          <w:spacing w:val="-14"/>
        </w:rPr>
        <w:t xml:space="preserve"> </w:t>
      </w:r>
      <w:r>
        <w:t>impermissibly</w:t>
      </w:r>
      <w:r>
        <w:rPr>
          <w:spacing w:val="-12"/>
        </w:rPr>
        <w:t xml:space="preserve"> </w:t>
      </w:r>
      <w:r>
        <w:t>failed</w:t>
      </w:r>
      <w:r>
        <w:rPr>
          <w:spacing w:val="-14"/>
        </w:rPr>
        <w:t xml:space="preserve"> </w:t>
      </w:r>
      <w:r>
        <w:t>to</w:t>
      </w:r>
      <w:r>
        <w:rPr>
          <w:spacing w:val="-13"/>
        </w:rPr>
        <w:t xml:space="preserve"> </w:t>
      </w:r>
      <w:r>
        <w:t>act</w:t>
      </w:r>
      <w:r>
        <w:rPr>
          <w:spacing w:val="-14"/>
        </w:rPr>
        <w:t xml:space="preserve"> </w:t>
      </w:r>
      <w:r>
        <w:t>in</w:t>
      </w:r>
      <w:r>
        <w:rPr>
          <w:spacing w:val="-13"/>
        </w:rPr>
        <w:t xml:space="preserve"> </w:t>
      </w:r>
      <w:r>
        <w:t>response</w:t>
      </w:r>
      <w:r>
        <w:rPr>
          <w:spacing w:val="-11"/>
        </w:rPr>
        <w:t xml:space="preserve"> </w:t>
      </w:r>
      <w:r>
        <w:t>to</w:t>
      </w:r>
      <w:r>
        <w:rPr>
          <w:spacing w:val="-14"/>
        </w:rPr>
        <w:t xml:space="preserve"> </w:t>
      </w:r>
      <w:r>
        <w:t>Pernod</w:t>
      </w:r>
      <w:r>
        <w:rPr>
          <w:spacing w:val="-13"/>
        </w:rPr>
        <w:t xml:space="preserve"> </w:t>
      </w:r>
      <w:r>
        <w:t>Ricard's submission that there were errors in the sample data</w:t>
      </w:r>
    </w:p>
    <w:p w14:paraId="432EDEDE" w14:textId="77777777" w:rsidR="00BD462C" w:rsidRDefault="00BD462C">
      <w:pPr>
        <w:pStyle w:val="BodyText"/>
        <w:spacing w:before="2"/>
        <w:rPr>
          <w:b/>
          <w:sz w:val="9"/>
        </w:rPr>
      </w:pPr>
    </w:p>
    <w:p w14:paraId="7828BE57" w14:textId="1673EB3C" w:rsidR="00BD462C" w:rsidRDefault="0014480F">
      <w:pPr>
        <w:pStyle w:val="BodyText"/>
        <w:spacing w:before="56" w:line="360" w:lineRule="auto"/>
        <w:ind w:left="135" w:right="912"/>
        <w:jc w:val="both"/>
      </w:pPr>
      <w:r>
        <w:rPr>
          <w:noProof/>
        </w:rPr>
        <w:t>742.</w:t>
      </w:r>
      <w:r w:rsidR="00033D0F">
        <w:rPr>
          <w:rFonts w:ascii="Times New Roman"/>
          <w:spacing w:val="80"/>
          <w:position w:val="1"/>
          <w:sz w:val="20"/>
        </w:rPr>
        <w:t xml:space="preserve">  </w:t>
      </w:r>
      <w:r w:rsidR="00033D0F">
        <w:rPr>
          <w:position w:val="1"/>
        </w:rPr>
        <w:t xml:space="preserve">Where an investigating authority is on notice that it may have omitted a major </w:t>
      </w:r>
      <w:r w:rsidR="00033D0F">
        <w:t>exporter from its sample, Article 6.10 requires the investigating authority to take reasonable steps</w:t>
      </w:r>
      <w:r w:rsidR="00033D0F">
        <w:rPr>
          <w:spacing w:val="-8"/>
        </w:rPr>
        <w:t xml:space="preserve"> </w:t>
      </w:r>
      <w:r w:rsidR="00033D0F">
        <w:t>to</w:t>
      </w:r>
      <w:r w:rsidR="00033D0F">
        <w:rPr>
          <w:spacing w:val="-14"/>
        </w:rPr>
        <w:t xml:space="preserve"> </w:t>
      </w:r>
      <w:r w:rsidR="00033D0F">
        <w:t>seek</w:t>
      </w:r>
      <w:r w:rsidR="00033D0F">
        <w:rPr>
          <w:spacing w:val="-6"/>
        </w:rPr>
        <w:t xml:space="preserve"> </w:t>
      </w:r>
      <w:r w:rsidR="00033D0F">
        <w:t>clarification</w:t>
      </w:r>
      <w:r w:rsidR="00033D0F">
        <w:rPr>
          <w:spacing w:val="-10"/>
        </w:rPr>
        <w:t xml:space="preserve"> </w:t>
      </w:r>
      <w:r w:rsidR="00033D0F">
        <w:t>about</w:t>
      </w:r>
      <w:r w:rsidR="00033D0F">
        <w:rPr>
          <w:spacing w:val="-8"/>
        </w:rPr>
        <w:t xml:space="preserve"> </w:t>
      </w:r>
      <w:r w:rsidR="00033D0F">
        <w:t>the</w:t>
      </w:r>
      <w:r w:rsidR="00033D0F">
        <w:rPr>
          <w:spacing w:val="-8"/>
        </w:rPr>
        <w:t xml:space="preserve"> </w:t>
      </w:r>
      <w:r w:rsidR="00033D0F">
        <w:t>level</w:t>
      </w:r>
      <w:r w:rsidR="00033D0F">
        <w:rPr>
          <w:spacing w:val="-6"/>
        </w:rPr>
        <w:t xml:space="preserve"> </w:t>
      </w:r>
      <w:r w:rsidR="00033D0F">
        <w:t>of</w:t>
      </w:r>
      <w:r w:rsidR="00033D0F">
        <w:rPr>
          <w:spacing w:val="-10"/>
        </w:rPr>
        <w:t xml:space="preserve"> </w:t>
      </w:r>
      <w:r w:rsidR="00033D0F">
        <w:t>exports</w:t>
      </w:r>
      <w:r w:rsidR="00033D0F">
        <w:rPr>
          <w:spacing w:val="-7"/>
        </w:rPr>
        <w:t xml:space="preserve"> </w:t>
      </w:r>
      <w:r w:rsidR="00033D0F">
        <w:t>to</w:t>
      </w:r>
      <w:r w:rsidR="00033D0F">
        <w:rPr>
          <w:spacing w:val="-11"/>
        </w:rPr>
        <w:t xml:space="preserve"> </w:t>
      </w:r>
      <w:r w:rsidR="00033D0F">
        <w:t>"remove</w:t>
      </w:r>
      <w:r w:rsidR="00033D0F">
        <w:rPr>
          <w:spacing w:val="-8"/>
        </w:rPr>
        <w:t xml:space="preserve"> </w:t>
      </w:r>
      <w:r w:rsidR="00033D0F">
        <w:t>any</w:t>
      </w:r>
      <w:r w:rsidR="00033D0F">
        <w:rPr>
          <w:spacing w:val="-7"/>
        </w:rPr>
        <w:t xml:space="preserve"> </w:t>
      </w:r>
      <w:r w:rsidR="00033D0F">
        <w:t>doubts".</w:t>
      </w:r>
      <w:hyperlink w:anchor="_bookmark1303" w:history="1">
        <w:r w:rsidR="00033D0F">
          <w:rPr>
            <w:vertAlign w:val="superscript"/>
          </w:rPr>
          <w:t>1122</w:t>
        </w:r>
      </w:hyperlink>
      <w:r w:rsidR="00033D0F">
        <w:rPr>
          <w:spacing w:val="-7"/>
        </w:rPr>
        <w:t xml:space="preserve"> </w:t>
      </w:r>
      <w:r w:rsidR="00033D0F">
        <w:t>China</w:t>
      </w:r>
      <w:r w:rsidR="00033D0F">
        <w:rPr>
          <w:spacing w:val="-9"/>
        </w:rPr>
        <w:t xml:space="preserve"> </w:t>
      </w:r>
      <w:r w:rsidR="00033D0F">
        <w:t>did</w:t>
      </w:r>
      <w:r w:rsidR="00033D0F">
        <w:rPr>
          <w:spacing w:val="-10"/>
        </w:rPr>
        <w:t xml:space="preserve"> </w:t>
      </w:r>
      <w:r w:rsidR="00033D0F">
        <w:t>not contest the correctness of this principle in</w:t>
      </w:r>
      <w:r w:rsidR="00033D0F">
        <w:rPr>
          <w:spacing w:val="-1"/>
        </w:rPr>
        <w:t xml:space="preserve"> </w:t>
      </w:r>
      <w:r w:rsidR="00033D0F">
        <w:t>its first written</w:t>
      </w:r>
      <w:r w:rsidR="00033D0F">
        <w:rPr>
          <w:spacing w:val="-1"/>
        </w:rPr>
        <w:t xml:space="preserve"> </w:t>
      </w:r>
      <w:r w:rsidR="00033D0F">
        <w:t>submission, and in oral comments at the first substantive meeting appeared to accept it.</w:t>
      </w:r>
    </w:p>
    <w:p w14:paraId="4E1B0BB0" w14:textId="77777777" w:rsidR="00BD462C" w:rsidRDefault="00BD462C">
      <w:pPr>
        <w:pStyle w:val="BodyText"/>
        <w:spacing w:before="6"/>
        <w:rPr>
          <w:sz w:val="8"/>
        </w:rPr>
      </w:pPr>
    </w:p>
    <w:p w14:paraId="7E9C30FB" w14:textId="006049A3" w:rsidR="00BD462C" w:rsidRDefault="0014480F">
      <w:pPr>
        <w:pStyle w:val="BodyText"/>
        <w:spacing w:before="56" w:line="360" w:lineRule="auto"/>
        <w:ind w:left="135" w:right="918"/>
        <w:jc w:val="both"/>
      </w:pPr>
      <w:r>
        <w:rPr>
          <w:noProof/>
        </w:rPr>
        <w:t>743.</w:t>
      </w:r>
      <w:r w:rsidR="00033D0F">
        <w:rPr>
          <w:rFonts w:ascii="Times New Roman"/>
          <w:spacing w:val="80"/>
          <w:position w:val="1"/>
          <w:sz w:val="20"/>
        </w:rPr>
        <w:t xml:space="preserve">  </w:t>
      </w:r>
      <w:r w:rsidR="00033D0F">
        <w:rPr>
          <w:position w:val="1"/>
        </w:rPr>
        <w:t xml:space="preserve">After Pernod Ricard was notified of the results of the sample, it wrote to MOFCOM, </w:t>
      </w:r>
      <w:r w:rsidR="00033D0F">
        <w:t>identified its understanding of the method used to determine the respondents to a sample, and said that if that method had been applied it would have identified Pernod Ricard as the third largest exporter under investigation.</w:t>
      </w:r>
      <w:hyperlink w:anchor="_bookmark1304" w:history="1">
        <w:r w:rsidR="00033D0F">
          <w:rPr>
            <w:vertAlign w:val="superscript"/>
          </w:rPr>
          <w:t>1123</w:t>
        </w:r>
      </w:hyperlink>
      <w:r w:rsidR="00033D0F">
        <w:t xml:space="preserve"> Pernod Ricard expressed concern that an alternative method of the calculation may have been used.</w:t>
      </w:r>
    </w:p>
    <w:p w14:paraId="4910096A" w14:textId="77777777" w:rsidR="00BD462C" w:rsidRDefault="00BD462C">
      <w:pPr>
        <w:pStyle w:val="BodyText"/>
        <w:spacing w:before="6"/>
        <w:rPr>
          <w:sz w:val="8"/>
        </w:rPr>
      </w:pPr>
    </w:p>
    <w:p w14:paraId="074607A5" w14:textId="20B461FA" w:rsidR="00BD462C" w:rsidRDefault="00D70C7D">
      <w:pPr>
        <w:pStyle w:val="BodyText"/>
        <w:spacing w:before="56" w:line="360" w:lineRule="auto"/>
        <w:ind w:left="135" w:right="916"/>
        <w:jc w:val="both"/>
      </w:pPr>
      <w:r>
        <w:rPr>
          <w:noProof/>
        </w:rPr>
        <mc:AlternateContent>
          <mc:Choice Requires="wps">
            <w:drawing>
              <wp:anchor distT="0" distB="0" distL="114300" distR="114300" simplePos="0" relativeHeight="479135232" behindDoc="1" locked="0" layoutInCell="1" allowOverlap="1" wp14:anchorId="445A4E88" wp14:editId="362D2193">
                <wp:simplePos x="0" y="0"/>
                <wp:positionH relativeFrom="page">
                  <wp:posOffset>3325495</wp:posOffset>
                </wp:positionH>
                <wp:positionV relativeFrom="paragraph">
                  <wp:posOffset>1425575</wp:posOffset>
                </wp:positionV>
                <wp:extent cx="3334385" cy="186055"/>
                <wp:effectExtent l="0" t="0" r="0" b="0"/>
                <wp:wrapNone/>
                <wp:docPr id="382" name="docshape5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438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7C315A" id="docshape531" o:spid="_x0000_s1026" alt="&quot;&quot;" style="position:absolute;margin-left:261.85pt;margin-top:112.25pt;width:262.55pt;height:14.65pt;z-index:-2418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" fillcolor="black" stroked="f">
                <w10:wrap anchorx="page"/>
              </v:rect>
            </w:pict>
          </mc:Fallback>
        </mc:AlternateContent>
      </w:r>
      <w:r w:rsidR="0014480F">
        <w:rPr>
          <w:noProof/>
        </w:rPr>
        <w:t>744.</w:t>
      </w:r>
      <w:r w:rsidR="00033D0F">
        <w:rPr>
          <w:rFonts w:ascii="Times New Roman"/>
          <w:spacing w:val="80"/>
          <w:w w:val="150"/>
          <w:position w:val="1"/>
          <w:sz w:val="20"/>
        </w:rPr>
        <w:t xml:space="preserve"> </w:t>
      </w:r>
      <w:r w:rsidR="00033D0F">
        <w:rPr>
          <w:position w:val="1"/>
        </w:rPr>
        <w:t xml:space="preserve">In its submissions, China indicates that, in the factual circumstances of this case, </w:t>
      </w:r>
      <w:r w:rsidR="00033D0F">
        <w:t>MOFCOM's approach did not make use of an alternative method.</w:t>
      </w:r>
      <w:hyperlink w:anchor="_bookmark1305" w:history="1">
        <w:r w:rsidR="00033D0F">
          <w:rPr>
            <w:vertAlign w:val="superscript"/>
          </w:rPr>
          <w:t>1124</w:t>
        </w:r>
      </w:hyperlink>
      <w:r w:rsidR="00033D0F">
        <w:t xml:space="preserve"> Rather than excusing MOFCOM's failure to act, as China seems to think it does, the fact that Pernod Ricard's understanding of the method was </w:t>
      </w:r>
      <w:r w:rsidR="00033D0F">
        <w:rPr>
          <w:i/>
        </w:rPr>
        <w:t xml:space="preserve">correct </w:t>
      </w:r>
      <w:r w:rsidR="00033D0F">
        <w:t>meant that MOFCOM was squarely on notice of Pernod Ricard's concern that there was an apparent error in its sampling determination. Pernod</w:t>
      </w:r>
      <w:r w:rsidR="00033D0F">
        <w:rPr>
          <w:spacing w:val="40"/>
        </w:rPr>
        <w:t xml:space="preserve"> </w:t>
      </w:r>
      <w:r w:rsidR="00033D0F">
        <w:t>Ricard's</w:t>
      </w:r>
      <w:r w:rsidR="00033D0F">
        <w:rPr>
          <w:spacing w:val="40"/>
        </w:rPr>
        <w:t xml:space="preserve"> </w:t>
      </w:r>
      <w:r w:rsidR="00033D0F">
        <w:t>submission</w:t>
      </w:r>
      <w:r w:rsidR="00033D0F">
        <w:rPr>
          <w:spacing w:val="40"/>
        </w:rPr>
        <w:t xml:space="preserve"> </w:t>
      </w:r>
      <w:r w:rsidR="00033D0F">
        <w:t>was</w:t>
      </w:r>
      <w:r w:rsidR="00033D0F">
        <w:rPr>
          <w:spacing w:val="40"/>
        </w:rPr>
        <w:t xml:space="preserve"> </w:t>
      </w:r>
      <w:r w:rsidR="00033D0F">
        <w:t>that</w:t>
      </w:r>
    </w:p>
    <w:p w14:paraId="249FFA24" w14:textId="3698D38E" w:rsidR="00BD462C" w:rsidRDefault="00D70C7D">
      <w:pPr>
        <w:pStyle w:val="BodyText"/>
        <w:spacing w:line="360" w:lineRule="auto"/>
        <w:ind w:left="136" w:right="915" w:firstLine="7996"/>
        <w:jc w:val="both"/>
      </w:pPr>
      <w:r>
        <w:rPr>
          <w:noProof/>
        </w:rPr>
        <mc:AlternateContent>
          <mc:Choice Requires="wps">
            <w:drawing>
              <wp:anchor distT="0" distB="0" distL="114300" distR="114300" simplePos="0" relativeHeight="15975424" behindDoc="0" locked="0" layoutInCell="1" allowOverlap="1" wp14:anchorId="5305ACEF" wp14:editId="3482B3C9">
                <wp:simplePos x="0" y="0"/>
                <wp:positionH relativeFrom="page">
                  <wp:posOffset>899160</wp:posOffset>
                </wp:positionH>
                <wp:positionV relativeFrom="paragraph">
                  <wp:posOffset>-1270</wp:posOffset>
                </wp:positionV>
                <wp:extent cx="5078095" cy="186055"/>
                <wp:effectExtent l="0" t="0" r="0" b="0"/>
                <wp:wrapNone/>
                <wp:docPr id="380" name="docshape5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809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D64F91" id="docshape532" o:spid="_x0000_s1026" alt="&quot;&quot;" style="position:absolute;margin-left:70.8pt;margin-top:-.1pt;width:399.85pt;height:14.65pt;z-index:15975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" fillcolor="black" stroked="f">
                <w10:wrap anchorx="page"/>
              </v:rect>
            </w:pict>
          </mc:Fallback>
        </mc:AlternateContent>
      </w:r>
      <w:r w:rsidR="00033D0F">
        <w:t>.</w:t>
      </w:r>
      <w:hyperlink w:anchor="_bookmark1306" w:history="1">
        <w:r w:rsidR="00033D0F">
          <w:rPr>
            <w:vertAlign w:val="superscript"/>
          </w:rPr>
          <w:t>1125</w:t>
        </w:r>
      </w:hyperlink>
      <w:r w:rsidR="00033D0F">
        <w:t xml:space="preserve"> China and MOFCOM both appear to have proceeded on the mistaken basis that, since Pernod Ricard's specific hypothesis as to why MOFCOM's assessment of the data was incorrect (</w:t>
      </w:r>
      <w:proofErr w:type="gramStart"/>
      <w:r w:rsidR="00033D0F">
        <w:t>i.e.</w:t>
      </w:r>
      <w:proofErr w:type="gramEnd"/>
      <w:r w:rsidR="00033D0F">
        <w:t xml:space="preserve"> that an alternative method had been used), MOFCOM was not obliged to take any further steps. The opposite was true.</w:t>
      </w:r>
    </w:p>
    <w:p w14:paraId="284C0F92" w14:textId="77777777" w:rsidR="00BD462C" w:rsidRDefault="00BD462C">
      <w:pPr>
        <w:pStyle w:val="BodyText"/>
        <w:rPr>
          <w:sz w:val="20"/>
        </w:rPr>
      </w:pPr>
    </w:p>
    <w:p w14:paraId="08FE1B60" w14:textId="2322FF6B" w:rsidR="00BD462C" w:rsidRDefault="009A6330">
      <w:pPr>
        <w:pStyle w:val="BodyText"/>
        <w:spacing w:before="11"/>
        <w:rPr>
          <w:sz w:val="12"/>
        </w:rPr>
      </w:pPr>
      <w:r>
        <w:rPr>
          <w:noProof/>
        </w:rPr>
        <mc:AlternateContent>
          <mc:Choice Requires="wps">
            <w:drawing>
              <wp:anchor distT="0" distB="0" distL="0" distR="0" simplePos="0" relativeHeight="488016384" behindDoc="1" locked="0" layoutInCell="1" allowOverlap="1" wp14:anchorId="10AD5FF3" wp14:editId="22D5660D">
                <wp:simplePos x="0" y="0"/>
                <wp:positionH relativeFrom="page">
                  <wp:posOffset>812800</wp:posOffset>
                </wp:positionH>
                <wp:positionV relativeFrom="paragraph">
                  <wp:posOffset>105459</wp:posOffset>
                </wp:positionV>
                <wp:extent cx="1828800" cy="8890"/>
                <wp:effectExtent l="0" t="0" r="0" b="0"/>
                <wp:wrapTopAndBottom/>
                <wp:docPr id="1430" name="docshape7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F81928" id="docshape712" o:spid="_x0000_s1026" alt="&quot;&quot;" style="position:absolute;margin-left:64pt;margin-top:8.3pt;width:2in;height:.7pt;z-index:-15300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" fillcolor="black" stroked="f">
                <w10:wrap type="topAndBottom" anchorx="page"/>
              </v:rect>
            </w:pict>
          </mc:Fallback>
        </mc:AlternateContent>
      </w:r>
    </w:p>
    <w:p w14:paraId="176CE25B" w14:textId="77777777" w:rsidR="00BD462C" w:rsidRDefault="00033D0F">
      <w:pPr>
        <w:spacing w:before="107"/>
        <w:ind w:left="135"/>
        <w:rPr>
          <w:sz w:val="18"/>
        </w:rPr>
      </w:pPr>
      <w:bookmarkStart w:id="1514" w:name="_bookmark1302"/>
      <w:bookmarkEnd w:id="1514"/>
      <w:r>
        <w:rPr>
          <w:position w:val="5"/>
          <w:sz w:val="12"/>
        </w:rPr>
        <w:t>1121</w:t>
      </w:r>
      <w:r>
        <w:rPr>
          <w:spacing w:val="16"/>
          <w:position w:val="5"/>
          <w:sz w:val="12"/>
        </w:rPr>
        <w:t xml:space="preserve"> </w:t>
      </w:r>
      <w:r>
        <w:rPr>
          <w:sz w:val="18"/>
        </w:rPr>
        <w:t>See</w:t>
      </w:r>
      <w:r>
        <w:rPr>
          <w:spacing w:val="-2"/>
          <w:sz w:val="18"/>
        </w:rPr>
        <w:t xml:space="preserve"> </w:t>
      </w:r>
      <w:r>
        <w:rPr>
          <w:sz w:val="18"/>
        </w:rPr>
        <w:t>above</w:t>
      </w:r>
      <w:r>
        <w:rPr>
          <w:spacing w:val="-3"/>
          <w:sz w:val="18"/>
        </w:rPr>
        <w:t xml:space="preserve"> </w:t>
      </w:r>
      <w:r>
        <w:rPr>
          <w:sz w:val="18"/>
        </w:rPr>
        <w:t>sections</w:t>
      </w:r>
      <w:r>
        <w:rPr>
          <w:spacing w:val="-2"/>
          <w:sz w:val="18"/>
        </w:rPr>
        <w:t xml:space="preserve"> </w:t>
      </w:r>
      <w:hyperlink w:anchor="_bookmark6" w:history="1">
        <w:r>
          <w:rPr>
            <w:sz w:val="18"/>
          </w:rPr>
          <w:t>II.A</w:t>
        </w:r>
      </w:hyperlink>
      <w:r>
        <w:rPr>
          <w:spacing w:val="-3"/>
          <w:sz w:val="18"/>
        </w:rPr>
        <w:t xml:space="preserve"> </w:t>
      </w:r>
      <w:r>
        <w:rPr>
          <w:sz w:val="18"/>
        </w:rPr>
        <w:t>-</w:t>
      </w:r>
      <w:r>
        <w:rPr>
          <w:spacing w:val="-2"/>
          <w:sz w:val="18"/>
        </w:rPr>
        <w:t xml:space="preserve"> </w:t>
      </w:r>
      <w:hyperlink w:anchor="_bookmark91" w:history="1">
        <w:r>
          <w:rPr>
            <w:sz w:val="18"/>
          </w:rPr>
          <w:t>II.B;</w:t>
        </w:r>
      </w:hyperlink>
      <w:r>
        <w:rPr>
          <w:spacing w:val="-4"/>
          <w:sz w:val="18"/>
        </w:rPr>
        <w:t xml:space="preserve"> </w:t>
      </w:r>
      <w:r>
        <w:rPr>
          <w:sz w:val="18"/>
        </w:rPr>
        <w:t>below</w:t>
      </w:r>
      <w:r>
        <w:rPr>
          <w:spacing w:val="-3"/>
          <w:sz w:val="18"/>
        </w:rPr>
        <w:t xml:space="preserve"> </w:t>
      </w:r>
      <w:r>
        <w:rPr>
          <w:sz w:val="18"/>
        </w:rPr>
        <w:t>Annex</w:t>
      </w:r>
      <w:r>
        <w:rPr>
          <w:spacing w:val="-1"/>
          <w:sz w:val="18"/>
        </w:rPr>
        <w:t xml:space="preserve"> </w:t>
      </w:r>
      <w:r>
        <w:rPr>
          <w:spacing w:val="-5"/>
          <w:sz w:val="18"/>
        </w:rPr>
        <w:t>A.</w:t>
      </w:r>
    </w:p>
    <w:p w14:paraId="4734848A" w14:textId="77777777" w:rsidR="00BD462C" w:rsidRDefault="00033D0F">
      <w:pPr>
        <w:spacing w:before="1"/>
        <w:ind w:left="135"/>
        <w:rPr>
          <w:sz w:val="18"/>
        </w:rPr>
      </w:pPr>
      <w:bookmarkStart w:id="1515" w:name="_bookmark1303"/>
      <w:bookmarkEnd w:id="1515"/>
      <w:r>
        <w:rPr>
          <w:position w:val="5"/>
          <w:sz w:val="12"/>
        </w:rPr>
        <w:t>1122</w:t>
      </w:r>
      <w:r>
        <w:rPr>
          <w:spacing w:val="14"/>
          <w:position w:val="5"/>
          <w:sz w:val="12"/>
        </w:rPr>
        <w:t xml:space="preserve"> </w:t>
      </w:r>
      <w:r>
        <w:rPr>
          <w:sz w:val="18"/>
        </w:rPr>
        <w:t>Panel</w:t>
      </w:r>
      <w:r>
        <w:rPr>
          <w:spacing w:val="-3"/>
          <w:sz w:val="18"/>
        </w:rPr>
        <w:t xml:space="preserve"> </w:t>
      </w:r>
      <w:r>
        <w:rPr>
          <w:sz w:val="18"/>
        </w:rPr>
        <w:t>Report,</w:t>
      </w:r>
      <w:r>
        <w:rPr>
          <w:spacing w:val="-7"/>
          <w:sz w:val="18"/>
        </w:rPr>
        <w:t xml:space="preserve"> </w:t>
      </w:r>
      <w:r>
        <w:rPr>
          <w:i/>
          <w:sz w:val="18"/>
        </w:rPr>
        <w:t>EC</w:t>
      </w:r>
      <w:r>
        <w:rPr>
          <w:i/>
          <w:spacing w:val="-5"/>
          <w:sz w:val="18"/>
        </w:rPr>
        <w:t xml:space="preserve"> </w:t>
      </w:r>
      <w:r>
        <w:rPr>
          <w:i/>
          <w:sz w:val="18"/>
        </w:rPr>
        <w:t>– Salmon</w:t>
      </w:r>
      <w:r>
        <w:rPr>
          <w:i/>
          <w:spacing w:val="-4"/>
          <w:sz w:val="18"/>
        </w:rPr>
        <w:t xml:space="preserve"> </w:t>
      </w:r>
      <w:r>
        <w:rPr>
          <w:i/>
          <w:sz w:val="18"/>
        </w:rPr>
        <w:t>(Norway)</w:t>
      </w:r>
      <w:r>
        <w:rPr>
          <w:sz w:val="18"/>
        </w:rPr>
        <w:t>,</w:t>
      </w:r>
      <w:r>
        <w:rPr>
          <w:spacing w:val="3"/>
          <w:sz w:val="18"/>
        </w:rPr>
        <w:t xml:space="preserve"> </w:t>
      </w:r>
      <w:r>
        <w:rPr>
          <w:sz w:val="18"/>
        </w:rPr>
        <w:t>para.</w:t>
      </w:r>
      <w:r>
        <w:rPr>
          <w:spacing w:val="1"/>
          <w:sz w:val="18"/>
        </w:rPr>
        <w:t xml:space="preserve"> </w:t>
      </w:r>
      <w:r>
        <w:rPr>
          <w:spacing w:val="-2"/>
          <w:sz w:val="18"/>
        </w:rPr>
        <w:t>7.203.</w:t>
      </w:r>
    </w:p>
    <w:p w14:paraId="44CD86E9" w14:textId="77777777" w:rsidR="00BD462C" w:rsidRDefault="00033D0F">
      <w:pPr>
        <w:spacing w:before="1"/>
        <w:ind w:left="135"/>
        <w:rPr>
          <w:sz w:val="18"/>
        </w:rPr>
      </w:pPr>
      <w:bookmarkStart w:id="1516" w:name="_bookmark1304"/>
      <w:bookmarkEnd w:id="1516"/>
      <w:r>
        <w:rPr>
          <w:position w:val="5"/>
          <w:sz w:val="12"/>
        </w:rPr>
        <w:t>1123</w:t>
      </w:r>
      <w:r>
        <w:rPr>
          <w:spacing w:val="12"/>
          <w:position w:val="5"/>
          <w:sz w:val="12"/>
        </w:rPr>
        <w:t xml:space="preserve"> </w:t>
      </w:r>
      <w:r>
        <w:rPr>
          <w:sz w:val="18"/>
        </w:rPr>
        <w:t>China's</w:t>
      </w:r>
      <w:r>
        <w:rPr>
          <w:spacing w:val="-5"/>
          <w:sz w:val="18"/>
        </w:rPr>
        <w:t xml:space="preserve"> </w:t>
      </w:r>
      <w:r>
        <w:rPr>
          <w:sz w:val="18"/>
        </w:rPr>
        <w:t>first</w:t>
      </w:r>
      <w:r>
        <w:rPr>
          <w:spacing w:val="-3"/>
          <w:sz w:val="18"/>
        </w:rPr>
        <w:t xml:space="preserve"> </w:t>
      </w:r>
      <w:r>
        <w:rPr>
          <w:sz w:val="18"/>
        </w:rPr>
        <w:t>written</w:t>
      </w:r>
      <w:r>
        <w:rPr>
          <w:spacing w:val="-5"/>
          <w:sz w:val="18"/>
        </w:rPr>
        <w:t xml:space="preserve"> </w:t>
      </w:r>
      <w:r>
        <w:rPr>
          <w:sz w:val="18"/>
        </w:rPr>
        <w:t>submission,</w:t>
      </w:r>
      <w:r>
        <w:rPr>
          <w:spacing w:val="2"/>
          <w:sz w:val="18"/>
        </w:rPr>
        <w:t xml:space="preserve"> </w:t>
      </w:r>
      <w:r>
        <w:rPr>
          <w:sz w:val="18"/>
        </w:rPr>
        <w:t>para. 2347;</w:t>
      </w:r>
      <w:r>
        <w:rPr>
          <w:spacing w:val="-10"/>
          <w:sz w:val="18"/>
        </w:rPr>
        <w:t xml:space="preserve"> </w:t>
      </w:r>
      <w:r>
        <w:rPr>
          <w:sz w:val="18"/>
        </w:rPr>
        <w:t>Pernod</w:t>
      </w:r>
      <w:r>
        <w:rPr>
          <w:spacing w:val="-6"/>
          <w:sz w:val="18"/>
        </w:rPr>
        <w:t xml:space="preserve"> </w:t>
      </w:r>
      <w:r>
        <w:rPr>
          <w:sz w:val="18"/>
        </w:rPr>
        <w:t>Ricard</w:t>
      </w:r>
      <w:r>
        <w:rPr>
          <w:spacing w:val="-1"/>
          <w:sz w:val="18"/>
        </w:rPr>
        <w:t xml:space="preserve"> </w:t>
      </w:r>
      <w:r>
        <w:rPr>
          <w:sz w:val="18"/>
        </w:rPr>
        <w:t>Comments</w:t>
      </w:r>
      <w:r>
        <w:rPr>
          <w:spacing w:val="-4"/>
          <w:sz w:val="18"/>
        </w:rPr>
        <w:t xml:space="preserve"> </w:t>
      </w:r>
      <w:r>
        <w:rPr>
          <w:sz w:val="18"/>
        </w:rPr>
        <w:t>on</w:t>
      </w:r>
      <w:r>
        <w:rPr>
          <w:spacing w:val="-6"/>
          <w:sz w:val="18"/>
        </w:rPr>
        <w:t xml:space="preserve"> </w:t>
      </w:r>
      <w:r>
        <w:rPr>
          <w:sz w:val="18"/>
        </w:rPr>
        <w:t>Sampling</w:t>
      </w:r>
      <w:r>
        <w:rPr>
          <w:spacing w:val="-5"/>
          <w:sz w:val="18"/>
        </w:rPr>
        <w:t xml:space="preserve"> </w:t>
      </w:r>
      <w:r>
        <w:rPr>
          <w:sz w:val="18"/>
        </w:rPr>
        <w:t>(Exhibit</w:t>
      </w:r>
      <w:r>
        <w:rPr>
          <w:spacing w:val="-4"/>
          <w:sz w:val="18"/>
        </w:rPr>
        <w:t xml:space="preserve"> </w:t>
      </w:r>
      <w:r>
        <w:rPr>
          <w:sz w:val="18"/>
        </w:rPr>
        <w:t>AUS-93),</w:t>
      </w:r>
      <w:r>
        <w:rPr>
          <w:spacing w:val="-3"/>
          <w:sz w:val="18"/>
        </w:rPr>
        <w:t xml:space="preserve"> </w:t>
      </w:r>
      <w:r>
        <w:rPr>
          <w:sz w:val="18"/>
        </w:rPr>
        <w:t>p.</w:t>
      </w:r>
      <w:r>
        <w:rPr>
          <w:spacing w:val="1"/>
          <w:sz w:val="18"/>
        </w:rPr>
        <w:t xml:space="preserve"> </w:t>
      </w:r>
      <w:r>
        <w:rPr>
          <w:spacing w:val="-5"/>
          <w:sz w:val="18"/>
        </w:rPr>
        <w:t>2.</w:t>
      </w:r>
    </w:p>
    <w:p w14:paraId="1BBD7E40" w14:textId="77777777" w:rsidR="00BD462C" w:rsidRDefault="00033D0F">
      <w:pPr>
        <w:spacing w:before="1"/>
        <w:ind w:left="135"/>
        <w:rPr>
          <w:sz w:val="18"/>
        </w:rPr>
      </w:pPr>
      <w:bookmarkStart w:id="1517" w:name="_bookmark1305"/>
      <w:bookmarkEnd w:id="1517"/>
      <w:r>
        <w:rPr>
          <w:position w:val="5"/>
          <w:sz w:val="12"/>
        </w:rPr>
        <w:t>1124</w:t>
      </w:r>
      <w:r>
        <w:rPr>
          <w:spacing w:val="13"/>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 xml:space="preserve">para. </w:t>
      </w:r>
      <w:r>
        <w:rPr>
          <w:spacing w:val="-2"/>
          <w:sz w:val="18"/>
        </w:rPr>
        <w:t>2347.</w:t>
      </w:r>
    </w:p>
    <w:p w14:paraId="4FA11C6A" w14:textId="77777777" w:rsidR="00BD462C" w:rsidRDefault="00033D0F">
      <w:pPr>
        <w:spacing w:before="1"/>
        <w:ind w:left="135"/>
        <w:rPr>
          <w:sz w:val="18"/>
        </w:rPr>
      </w:pPr>
      <w:bookmarkStart w:id="1518" w:name="_bookmark1306"/>
      <w:bookmarkEnd w:id="1518"/>
      <w:r>
        <w:rPr>
          <w:position w:val="5"/>
          <w:sz w:val="12"/>
        </w:rPr>
        <w:t>1125</w:t>
      </w:r>
      <w:r>
        <w:rPr>
          <w:spacing w:val="13"/>
          <w:position w:val="5"/>
          <w:sz w:val="12"/>
        </w:rPr>
        <w:t xml:space="preserve"> </w:t>
      </w:r>
      <w:r>
        <w:rPr>
          <w:sz w:val="18"/>
        </w:rPr>
        <w:t>Pernod</w:t>
      </w:r>
      <w:r>
        <w:rPr>
          <w:spacing w:val="-6"/>
          <w:sz w:val="18"/>
        </w:rPr>
        <w:t xml:space="preserve"> </w:t>
      </w:r>
      <w:r>
        <w:rPr>
          <w:sz w:val="18"/>
        </w:rPr>
        <w:t>Ricard</w:t>
      </w:r>
      <w:r>
        <w:rPr>
          <w:spacing w:val="-5"/>
          <w:sz w:val="18"/>
        </w:rPr>
        <w:t xml:space="preserve"> </w:t>
      </w:r>
      <w:r>
        <w:rPr>
          <w:sz w:val="18"/>
        </w:rPr>
        <w:t>Comments</w:t>
      </w:r>
      <w:r>
        <w:rPr>
          <w:spacing w:val="-1"/>
          <w:sz w:val="18"/>
        </w:rPr>
        <w:t xml:space="preserve"> </w:t>
      </w:r>
      <w:r>
        <w:rPr>
          <w:sz w:val="18"/>
        </w:rPr>
        <w:t>on</w:t>
      </w:r>
      <w:r>
        <w:rPr>
          <w:spacing w:val="-1"/>
          <w:sz w:val="18"/>
        </w:rPr>
        <w:t xml:space="preserve"> </w:t>
      </w:r>
      <w:r>
        <w:rPr>
          <w:sz w:val="18"/>
        </w:rPr>
        <w:t>Sampling</w:t>
      </w:r>
      <w:r>
        <w:rPr>
          <w:spacing w:val="-5"/>
          <w:sz w:val="18"/>
        </w:rPr>
        <w:t xml:space="preserve"> </w:t>
      </w:r>
      <w:r>
        <w:rPr>
          <w:sz w:val="18"/>
        </w:rPr>
        <w:t>(Exhibit</w:t>
      </w:r>
      <w:r>
        <w:rPr>
          <w:spacing w:val="-3"/>
          <w:sz w:val="18"/>
        </w:rPr>
        <w:t xml:space="preserve"> </w:t>
      </w:r>
      <w:r>
        <w:rPr>
          <w:sz w:val="18"/>
        </w:rPr>
        <w:t>AUS-93),</w:t>
      </w:r>
      <w:r>
        <w:rPr>
          <w:spacing w:val="-3"/>
          <w:sz w:val="18"/>
        </w:rPr>
        <w:t xml:space="preserve"> </w:t>
      </w:r>
      <w:r>
        <w:rPr>
          <w:sz w:val="18"/>
        </w:rPr>
        <w:t xml:space="preserve">p. </w:t>
      </w:r>
      <w:r>
        <w:rPr>
          <w:spacing w:val="-5"/>
          <w:sz w:val="18"/>
        </w:rPr>
        <w:t>2.</w:t>
      </w:r>
    </w:p>
    <w:p w14:paraId="72CBED11" w14:textId="77777777" w:rsidR="00BD462C" w:rsidRDefault="00BD462C">
      <w:pPr>
        <w:rPr>
          <w:sz w:val="18"/>
        </w:rPr>
        <w:sectPr w:rsidR="00BD462C">
          <w:pgSz w:w="11910" w:h="16840"/>
          <w:pgMar w:top="860" w:right="500" w:bottom="780" w:left="1280" w:header="566" w:footer="590" w:gutter="0"/>
          <w:cols w:space="720"/>
        </w:sectPr>
      </w:pPr>
    </w:p>
    <w:p w14:paraId="145287DC"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3D32BEF1"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5ED3E9FB"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02C43880" w14:textId="6971085E" w:rsidR="00BD462C" w:rsidRDefault="0014480F">
      <w:pPr>
        <w:pStyle w:val="BodyText"/>
        <w:spacing w:before="107" w:line="355" w:lineRule="auto"/>
        <w:ind w:left="136" w:right="923"/>
      </w:pPr>
      <w:r>
        <w:rPr>
          <w:noProof/>
        </w:rPr>
        <w:t>745.</w:t>
      </w:r>
      <w:r w:rsidR="00033D0F">
        <w:rPr>
          <w:rFonts w:ascii="Times New Roman"/>
          <w:spacing w:val="80"/>
          <w:position w:val="1"/>
          <w:sz w:val="20"/>
        </w:rPr>
        <w:t xml:space="preserve">   </w:t>
      </w:r>
      <w:r w:rsidR="00033D0F">
        <w:rPr>
          <w:position w:val="1"/>
        </w:rPr>
        <w:t xml:space="preserve">In its response to the Panel's questions following the first substantive meeting with </w:t>
      </w:r>
      <w:r w:rsidR="00033D0F">
        <w:t>the Panel, China stated that:</w:t>
      </w:r>
    </w:p>
    <w:p w14:paraId="3CB832B5" w14:textId="77777777" w:rsidR="00BD462C" w:rsidRDefault="00033D0F">
      <w:pPr>
        <w:spacing w:before="165" w:line="276" w:lineRule="auto"/>
        <w:ind w:left="985" w:right="914"/>
        <w:jc w:val="both"/>
      </w:pPr>
      <w:r>
        <w:t>If […] Australia seeks to take issue with the fact that MOFCOM did not check the veracity of the information submitted by the Australian exporters (in their sampling questionnaire responses),</w:t>
      </w:r>
      <w:r>
        <w:rPr>
          <w:spacing w:val="-13"/>
        </w:rPr>
        <w:t xml:space="preserve"> </w:t>
      </w:r>
      <w:r>
        <w:t>then</w:t>
      </w:r>
      <w:r>
        <w:rPr>
          <w:spacing w:val="-12"/>
        </w:rPr>
        <w:t xml:space="preserve"> </w:t>
      </w:r>
      <w:r>
        <w:t>China</w:t>
      </w:r>
      <w:r>
        <w:rPr>
          <w:spacing w:val="-13"/>
        </w:rPr>
        <w:t xml:space="preserve"> </w:t>
      </w:r>
      <w:r>
        <w:t>submits</w:t>
      </w:r>
      <w:r>
        <w:rPr>
          <w:spacing w:val="-12"/>
        </w:rPr>
        <w:t xml:space="preserve"> </w:t>
      </w:r>
      <w:r>
        <w:t>that</w:t>
      </w:r>
      <w:r>
        <w:rPr>
          <w:spacing w:val="-13"/>
        </w:rPr>
        <w:t xml:space="preserve"> </w:t>
      </w:r>
      <w:r>
        <w:t>this</w:t>
      </w:r>
      <w:r>
        <w:rPr>
          <w:spacing w:val="-12"/>
        </w:rPr>
        <w:t xml:space="preserve"> </w:t>
      </w:r>
      <w:r>
        <w:t>is</w:t>
      </w:r>
      <w:r>
        <w:rPr>
          <w:spacing w:val="-13"/>
        </w:rPr>
        <w:t xml:space="preserve"> </w:t>
      </w:r>
      <w:r>
        <w:t>an</w:t>
      </w:r>
      <w:r>
        <w:rPr>
          <w:spacing w:val="-12"/>
        </w:rPr>
        <w:t xml:space="preserve"> </w:t>
      </w:r>
      <w:r>
        <w:t>entirely</w:t>
      </w:r>
      <w:r>
        <w:rPr>
          <w:spacing w:val="-12"/>
        </w:rPr>
        <w:t xml:space="preserve"> </w:t>
      </w:r>
      <w:r>
        <w:t>unreasonable</w:t>
      </w:r>
      <w:r>
        <w:rPr>
          <w:spacing w:val="-11"/>
        </w:rPr>
        <w:t xml:space="preserve"> </w:t>
      </w:r>
      <w:r>
        <w:t>standard</w:t>
      </w:r>
      <w:r>
        <w:rPr>
          <w:spacing w:val="-12"/>
        </w:rPr>
        <w:t xml:space="preserve"> </w:t>
      </w:r>
      <w:r>
        <w:t>to</w:t>
      </w:r>
      <w:r>
        <w:rPr>
          <w:spacing w:val="-13"/>
        </w:rPr>
        <w:t xml:space="preserve"> </w:t>
      </w:r>
      <w:r>
        <w:t>impose</w:t>
      </w:r>
      <w:r>
        <w:rPr>
          <w:spacing w:val="-11"/>
        </w:rPr>
        <w:t xml:space="preserve"> </w:t>
      </w:r>
      <w:r>
        <w:t>upon an investigating authority, particularly in a situation where there were no indications at all that the information submitted by the Australian exporters was not correct.</w:t>
      </w:r>
      <w:hyperlink w:anchor="_bookmark1307" w:history="1">
        <w:r>
          <w:rPr>
            <w:vertAlign w:val="superscript"/>
          </w:rPr>
          <w:t>1126</w:t>
        </w:r>
      </w:hyperlink>
    </w:p>
    <w:p w14:paraId="017E2A0B" w14:textId="77777777" w:rsidR="00BD462C" w:rsidRDefault="00BD462C">
      <w:pPr>
        <w:pStyle w:val="BodyText"/>
        <w:spacing w:before="7"/>
        <w:rPr>
          <w:sz w:val="15"/>
        </w:rPr>
      </w:pPr>
    </w:p>
    <w:p w14:paraId="601F9BC5" w14:textId="0B9E7C74" w:rsidR="00BD462C" w:rsidRDefault="0014480F">
      <w:pPr>
        <w:pStyle w:val="BodyText"/>
        <w:spacing w:before="56" w:line="357" w:lineRule="auto"/>
        <w:ind w:left="135" w:right="912"/>
        <w:jc w:val="both"/>
      </w:pPr>
      <w:r>
        <w:rPr>
          <w:noProof/>
        </w:rPr>
        <w:t>746.</w:t>
      </w:r>
      <w:r w:rsidR="00033D0F">
        <w:rPr>
          <w:rFonts w:ascii="Times New Roman"/>
          <w:spacing w:val="80"/>
          <w:position w:val="1"/>
          <w:sz w:val="20"/>
        </w:rPr>
        <w:t xml:space="preserve">  </w:t>
      </w:r>
      <w:r w:rsidR="00033D0F">
        <w:rPr>
          <w:position w:val="1"/>
        </w:rPr>
        <w:t>As</w:t>
      </w:r>
      <w:r w:rsidR="00033D0F">
        <w:rPr>
          <w:spacing w:val="-1"/>
          <w:position w:val="1"/>
        </w:rPr>
        <w:t xml:space="preserve"> </w:t>
      </w:r>
      <w:r w:rsidR="00033D0F">
        <w:rPr>
          <w:position w:val="1"/>
        </w:rPr>
        <w:t>will be</w:t>
      </w:r>
      <w:r w:rsidR="00033D0F">
        <w:rPr>
          <w:spacing w:val="-3"/>
          <w:position w:val="1"/>
        </w:rPr>
        <w:t xml:space="preserve"> </w:t>
      </w:r>
      <w:r w:rsidR="00033D0F">
        <w:rPr>
          <w:position w:val="1"/>
        </w:rPr>
        <w:t>apparent</w:t>
      </w:r>
      <w:r w:rsidR="00033D0F">
        <w:rPr>
          <w:spacing w:val="-2"/>
          <w:position w:val="1"/>
        </w:rPr>
        <w:t xml:space="preserve"> </w:t>
      </w:r>
      <w:r w:rsidR="00033D0F">
        <w:rPr>
          <w:position w:val="1"/>
        </w:rPr>
        <w:t>from Australia's</w:t>
      </w:r>
      <w:r w:rsidR="00033D0F">
        <w:rPr>
          <w:spacing w:val="-1"/>
          <w:position w:val="1"/>
        </w:rPr>
        <w:t xml:space="preserve"> </w:t>
      </w:r>
      <w:r w:rsidR="00033D0F">
        <w:rPr>
          <w:position w:val="1"/>
        </w:rPr>
        <w:t>submissions</w:t>
      </w:r>
      <w:r w:rsidR="00033D0F">
        <w:rPr>
          <w:spacing w:val="-1"/>
          <w:position w:val="1"/>
        </w:rPr>
        <w:t xml:space="preserve"> </w:t>
      </w:r>
      <w:r w:rsidR="00033D0F">
        <w:rPr>
          <w:position w:val="1"/>
        </w:rPr>
        <w:t>to</w:t>
      </w:r>
      <w:r w:rsidR="00033D0F">
        <w:rPr>
          <w:spacing w:val="-5"/>
          <w:position w:val="1"/>
        </w:rPr>
        <w:t xml:space="preserve"> </w:t>
      </w:r>
      <w:r w:rsidR="00033D0F">
        <w:rPr>
          <w:position w:val="1"/>
        </w:rPr>
        <w:t>date, Australia</w:t>
      </w:r>
      <w:r w:rsidR="00033D0F">
        <w:rPr>
          <w:spacing w:val="-3"/>
          <w:position w:val="1"/>
        </w:rPr>
        <w:t xml:space="preserve"> </w:t>
      </w:r>
      <w:r w:rsidR="00033D0F">
        <w:rPr>
          <w:position w:val="1"/>
        </w:rPr>
        <w:t>does</w:t>
      </w:r>
      <w:r w:rsidR="00033D0F">
        <w:rPr>
          <w:spacing w:val="-1"/>
          <w:position w:val="1"/>
        </w:rPr>
        <w:t xml:space="preserve"> </w:t>
      </w:r>
      <w:r w:rsidR="00033D0F">
        <w:rPr>
          <w:position w:val="1"/>
        </w:rPr>
        <w:t>not</w:t>
      </w:r>
      <w:r w:rsidR="00033D0F">
        <w:rPr>
          <w:spacing w:val="-2"/>
          <w:position w:val="1"/>
        </w:rPr>
        <w:t xml:space="preserve"> </w:t>
      </w:r>
      <w:r w:rsidR="00033D0F">
        <w:rPr>
          <w:position w:val="1"/>
        </w:rPr>
        <w:t xml:space="preserve">contend </w:t>
      </w:r>
      <w:r w:rsidR="00033D0F">
        <w:t xml:space="preserve">that there is a </w:t>
      </w:r>
      <w:r w:rsidR="00033D0F">
        <w:rPr>
          <w:i/>
        </w:rPr>
        <w:t xml:space="preserve">general </w:t>
      </w:r>
      <w:r w:rsidR="00033D0F">
        <w:t xml:space="preserve">obligation to verify the accuracy of </w:t>
      </w:r>
      <w:r w:rsidR="00033D0F">
        <w:rPr>
          <w:i/>
        </w:rPr>
        <w:t xml:space="preserve">all </w:t>
      </w:r>
      <w:r w:rsidR="00033D0F">
        <w:t>information submitted by respondents to a sampling questionnaire.</w:t>
      </w:r>
    </w:p>
    <w:p w14:paraId="37A7C21D" w14:textId="77777777" w:rsidR="00BD462C" w:rsidRDefault="00BD462C">
      <w:pPr>
        <w:pStyle w:val="BodyText"/>
        <w:spacing w:before="3"/>
        <w:rPr>
          <w:sz w:val="9"/>
        </w:rPr>
      </w:pPr>
    </w:p>
    <w:p w14:paraId="39CEA6E8" w14:textId="7F7BED62" w:rsidR="00BD462C" w:rsidRDefault="0014480F">
      <w:pPr>
        <w:pStyle w:val="BodyText"/>
        <w:spacing w:before="56" w:line="360" w:lineRule="auto"/>
        <w:ind w:left="135" w:right="917"/>
        <w:jc w:val="both"/>
      </w:pPr>
      <w:r>
        <w:rPr>
          <w:noProof/>
        </w:rPr>
        <w:t>747.</w:t>
      </w:r>
      <w:r w:rsidR="00033D0F">
        <w:rPr>
          <w:rFonts w:ascii="Times New Roman"/>
          <w:spacing w:val="80"/>
          <w:position w:val="1"/>
          <w:sz w:val="20"/>
        </w:rPr>
        <w:t xml:space="preserve">  </w:t>
      </w:r>
      <w:r w:rsidR="00033D0F">
        <w:rPr>
          <w:position w:val="1"/>
        </w:rPr>
        <w:t xml:space="preserve">Rather, on the facts of this investigation, MOFCOM was put squarely on notice of a </w:t>
      </w:r>
      <w:r w:rsidR="00033D0F">
        <w:t>potential error in the data by a major exporter. Australia's case is that an unbiased and objective</w:t>
      </w:r>
      <w:r w:rsidR="00033D0F">
        <w:rPr>
          <w:spacing w:val="-13"/>
        </w:rPr>
        <w:t xml:space="preserve"> </w:t>
      </w:r>
      <w:r w:rsidR="00033D0F">
        <w:t>investigating</w:t>
      </w:r>
      <w:r w:rsidR="00033D0F">
        <w:rPr>
          <w:spacing w:val="-10"/>
        </w:rPr>
        <w:t xml:space="preserve"> </w:t>
      </w:r>
      <w:r w:rsidR="00033D0F">
        <w:t>authority,</w:t>
      </w:r>
      <w:r w:rsidR="00033D0F">
        <w:rPr>
          <w:spacing w:val="-10"/>
        </w:rPr>
        <w:t xml:space="preserve"> </w:t>
      </w:r>
      <w:r w:rsidR="00033D0F">
        <w:t>when</w:t>
      </w:r>
      <w:r w:rsidR="00033D0F">
        <w:rPr>
          <w:spacing w:val="-14"/>
        </w:rPr>
        <w:t xml:space="preserve"> </w:t>
      </w:r>
      <w:r w:rsidR="00033D0F">
        <w:t>on</w:t>
      </w:r>
      <w:r w:rsidR="00033D0F">
        <w:rPr>
          <w:spacing w:val="-14"/>
        </w:rPr>
        <w:t xml:space="preserve"> </w:t>
      </w:r>
      <w:r w:rsidR="00033D0F">
        <w:t>notice</w:t>
      </w:r>
      <w:r w:rsidR="00033D0F">
        <w:rPr>
          <w:spacing w:val="-11"/>
        </w:rPr>
        <w:t xml:space="preserve"> </w:t>
      </w:r>
      <w:r w:rsidR="00033D0F">
        <w:t>of</w:t>
      </w:r>
      <w:r w:rsidR="00033D0F">
        <w:rPr>
          <w:spacing w:val="-14"/>
        </w:rPr>
        <w:t xml:space="preserve"> </w:t>
      </w:r>
      <w:r w:rsidR="00033D0F">
        <w:t>a</w:t>
      </w:r>
      <w:r w:rsidR="00033D0F">
        <w:rPr>
          <w:spacing w:val="-12"/>
        </w:rPr>
        <w:t xml:space="preserve"> </w:t>
      </w:r>
      <w:r w:rsidR="00033D0F">
        <w:t>potential</w:t>
      </w:r>
      <w:r w:rsidR="00033D0F">
        <w:rPr>
          <w:spacing w:val="-10"/>
        </w:rPr>
        <w:t xml:space="preserve"> </w:t>
      </w:r>
      <w:r w:rsidR="00033D0F">
        <w:t>error</w:t>
      </w:r>
      <w:r w:rsidR="00033D0F">
        <w:rPr>
          <w:spacing w:val="-14"/>
        </w:rPr>
        <w:t xml:space="preserve"> </w:t>
      </w:r>
      <w:r w:rsidR="00033D0F">
        <w:t>in</w:t>
      </w:r>
      <w:r w:rsidR="00033D0F">
        <w:rPr>
          <w:spacing w:val="-9"/>
        </w:rPr>
        <w:t xml:space="preserve"> </w:t>
      </w:r>
      <w:r w:rsidR="00033D0F">
        <w:t>its</w:t>
      </w:r>
      <w:r w:rsidR="00033D0F">
        <w:rPr>
          <w:spacing w:val="-10"/>
        </w:rPr>
        <w:t xml:space="preserve"> </w:t>
      </w:r>
      <w:r w:rsidR="00033D0F">
        <w:t>unverified</w:t>
      </w:r>
      <w:r w:rsidR="00033D0F">
        <w:rPr>
          <w:spacing w:val="-14"/>
        </w:rPr>
        <w:t xml:space="preserve"> </w:t>
      </w:r>
      <w:r w:rsidR="00033D0F">
        <w:t>data</w:t>
      </w:r>
      <w:r w:rsidR="00033D0F">
        <w:rPr>
          <w:spacing w:val="-12"/>
        </w:rPr>
        <w:t xml:space="preserve"> </w:t>
      </w:r>
      <w:r w:rsidR="00033D0F">
        <w:t>that may</w:t>
      </w:r>
      <w:r w:rsidR="00033D0F">
        <w:rPr>
          <w:spacing w:val="-5"/>
        </w:rPr>
        <w:t xml:space="preserve"> </w:t>
      </w:r>
      <w:r w:rsidR="00033D0F">
        <w:t>have</w:t>
      </w:r>
      <w:r w:rsidR="00033D0F">
        <w:rPr>
          <w:spacing w:val="-6"/>
        </w:rPr>
        <w:t xml:space="preserve"> </w:t>
      </w:r>
      <w:r w:rsidR="00033D0F">
        <w:t>led</w:t>
      </w:r>
      <w:r w:rsidR="00033D0F">
        <w:rPr>
          <w:spacing w:val="-8"/>
        </w:rPr>
        <w:t xml:space="preserve"> </w:t>
      </w:r>
      <w:r w:rsidR="00033D0F">
        <w:t>to</w:t>
      </w:r>
      <w:r w:rsidR="00033D0F">
        <w:rPr>
          <w:spacing w:val="-9"/>
        </w:rPr>
        <w:t xml:space="preserve"> </w:t>
      </w:r>
      <w:r w:rsidR="00033D0F">
        <w:t>the</w:t>
      </w:r>
      <w:r w:rsidR="00033D0F">
        <w:rPr>
          <w:spacing w:val="-6"/>
        </w:rPr>
        <w:t xml:space="preserve"> </w:t>
      </w:r>
      <w:r w:rsidR="00033D0F">
        <w:t>omission</w:t>
      </w:r>
      <w:r w:rsidR="00033D0F">
        <w:rPr>
          <w:spacing w:val="-8"/>
        </w:rPr>
        <w:t xml:space="preserve"> </w:t>
      </w:r>
      <w:r w:rsidR="00033D0F">
        <w:t>of</w:t>
      </w:r>
      <w:r w:rsidR="00033D0F">
        <w:rPr>
          <w:spacing w:val="-8"/>
        </w:rPr>
        <w:t xml:space="preserve"> </w:t>
      </w:r>
      <w:r w:rsidR="00033D0F">
        <w:t>a</w:t>
      </w:r>
      <w:r w:rsidR="00033D0F">
        <w:rPr>
          <w:spacing w:val="-7"/>
        </w:rPr>
        <w:t xml:space="preserve"> </w:t>
      </w:r>
      <w:r w:rsidR="00033D0F">
        <w:t>major</w:t>
      </w:r>
      <w:r w:rsidR="00033D0F">
        <w:rPr>
          <w:spacing w:val="-9"/>
        </w:rPr>
        <w:t xml:space="preserve"> </w:t>
      </w:r>
      <w:r w:rsidR="00033D0F">
        <w:t>exporter</w:t>
      </w:r>
      <w:r w:rsidR="00033D0F">
        <w:rPr>
          <w:spacing w:val="-9"/>
        </w:rPr>
        <w:t xml:space="preserve"> </w:t>
      </w:r>
      <w:r w:rsidR="00033D0F">
        <w:t>from</w:t>
      </w:r>
      <w:r w:rsidR="00033D0F">
        <w:rPr>
          <w:spacing w:val="-6"/>
        </w:rPr>
        <w:t xml:space="preserve"> </w:t>
      </w:r>
      <w:r w:rsidR="00033D0F">
        <w:t>the</w:t>
      </w:r>
      <w:r w:rsidR="00033D0F">
        <w:rPr>
          <w:spacing w:val="-6"/>
        </w:rPr>
        <w:t xml:space="preserve"> </w:t>
      </w:r>
      <w:r w:rsidR="00033D0F">
        <w:t>sample,</w:t>
      </w:r>
      <w:r w:rsidR="00033D0F">
        <w:rPr>
          <w:spacing w:val="-4"/>
        </w:rPr>
        <w:t xml:space="preserve"> </w:t>
      </w:r>
      <w:r w:rsidR="00033D0F">
        <w:t>would</w:t>
      </w:r>
      <w:r w:rsidR="00033D0F">
        <w:rPr>
          <w:spacing w:val="-8"/>
        </w:rPr>
        <w:t xml:space="preserve"> </w:t>
      </w:r>
      <w:r w:rsidR="00033D0F">
        <w:t>have</w:t>
      </w:r>
      <w:r w:rsidR="00033D0F">
        <w:rPr>
          <w:spacing w:val="-6"/>
        </w:rPr>
        <w:t xml:space="preserve"> </w:t>
      </w:r>
      <w:r w:rsidR="00033D0F">
        <w:t>taken</w:t>
      </w:r>
      <w:r w:rsidR="00033D0F">
        <w:rPr>
          <w:spacing w:val="-8"/>
        </w:rPr>
        <w:t xml:space="preserve"> </w:t>
      </w:r>
      <w:r w:rsidR="00033D0F">
        <w:t>steps</w:t>
      </w:r>
      <w:r w:rsidR="00033D0F">
        <w:rPr>
          <w:spacing w:val="-5"/>
        </w:rPr>
        <w:t xml:space="preserve"> </w:t>
      </w:r>
      <w:r w:rsidR="00033D0F">
        <w:t>to clarify</w:t>
      </w:r>
      <w:r w:rsidR="00033D0F">
        <w:rPr>
          <w:spacing w:val="-14"/>
        </w:rPr>
        <w:t xml:space="preserve"> </w:t>
      </w:r>
      <w:r w:rsidR="00033D0F">
        <w:t>the</w:t>
      </w:r>
      <w:r w:rsidR="00033D0F">
        <w:rPr>
          <w:spacing w:val="-13"/>
        </w:rPr>
        <w:t xml:space="preserve"> </w:t>
      </w:r>
      <w:r w:rsidR="00033D0F">
        <w:t>accuracy</w:t>
      </w:r>
      <w:r w:rsidR="00033D0F">
        <w:rPr>
          <w:spacing w:val="-11"/>
        </w:rPr>
        <w:t xml:space="preserve"> </w:t>
      </w:r>
      <w:r w:rsidR="00033D0F">
        <w:t>of</w:t>
      </w:r>
      <w:r w:rsidR="00033D0F">
        <w:rPr>
          <w:spacing w:val="-14"/>
        </w:rPr>
        <w:t xml:space="preserve"> </w:t>
      </w:r>
      <w:r w:rsidR="00033D0F">
        <w:t>the</w:t>
      </w:r>
      <w:r w:rsidR="00033D0F">
        <w:rPr>
          <w:spacing w:val="-7"/>
        </w:rPr>
        <w:t xml:space="preserve"> </w:t>
      </w:r>
      <w:r w:rsidR="00033D0F">
        <w:t>data.</w:t>
      </w:r>
      <w:r w:rsidR="00033D0F">
        <w:rPr>
          <w:spacing w:val="-11"/>
        </w:rPr>
        <w:t xml:space="preserve"> </w:t>
      </w:r>
      <w:r w:rsidR="00033D0F">
        <w:t>Despite</w:t>
      </w:r>
      <w:r w:rsidR="00033D0F">
        <w:rPr>
          <w:spacing w:val="-12"/>
        </w:rPr>
        <w:t xml:space="preserve"> </w:t>
      </w:r>
      <w:r w:rsidR="00033D0F">
        <w:t>this,</w:t>
      </w:r>
      <w:r w:rsidR="00033D0F">
        <w:rPr>
          <w:spacing w:val="-10"/>
        </w:rPr>
        <w:t xml:space="preserve"> </w:t>
      </w:r>
      <w:r w:rsidR="00033D0F">
        <w:t>there</w:t>
      </w:r>
      <w:r w:rsidR="00033D0F">
        <w:rPr>
          <w:spacing w:val="-14"/>
        </w:rPr>
        <w:t xml:space="preserve"> </w:t>
      </w:r>
      <w:r w:rsidR="00033D0F">
        <w:t>is</w:t>
      </w:r>
      <w:r w:rsidR="00033D0F">
        <w:rPr>
          <w:spacing w:val="-10"/>
        </w:rPr>
        <w:t xml:space="preserve"> </w:t>
      </w:r>
      <w:r w:rsidR="00033D0F">
        <w:t>nothing</w:t>
      </w:r>
      <w:r w:rsidR="00033D0F">
        <w:rPr>
          <w:spacing w:val="-10"/>
        </w:rPr>
        <w:t xml:space="preserve"> </w:t>
      </w:r>
      <w:r w:rsidR="00033D0F">
        <w:t>on</w:t>
      </w:r>
      <w:r w:rsidR="00033D0F">
        <w:rPr>
          <w:spacing w:val="-14"/>
        </w:rPr>
        <w:t xml:space="preserve"> </w:t>
      </w:r>
      <w:r w:rsidR="00033D0F">
        <w:t>the</w:t>
      </w:r>
      <w:r w:rsidR="00033D0F">
        <w:rPr>
          <w:spacing w:val="-12"/>
        </w:rPr>
        <w:t xml:space="preserve"> </w:t>
      </w:r>
      <w:r w:rsidR="00033D0F">
        <w:t>record</w:t>
      </w:r>
      <w:r w:rsidR="00033D0F">
        <w:rPr>
          <w:spacing w:val="-14"/>
        </w:rPr>
        <w:t xml:space="preserve"> </w:t>
      </w:r>
      <w:r w:rsidR="00033D0F">
        <w:t>to</w:t>
      </w:r>
      <w:r w:rsidR="00033D0F">
        <w:rPr>
          <w:spacing w:val="-14"/>
        </w:rPr>
        <w:t xml:space="preserve"> </w:t>
      </w:r>
      <w:r w:rsidR="00033D0F">
        <w:t>show</w:t>
      </w:r>
      <w:r w:rsidR="00033D0F">
        <w:rPr>
          <w:spacing w:val="-10"/>
        </w:rPr>
        <w:t xml:space="preserve"> </w:t>
      </w:r>
      <w:r w:rsidR="00033D0F">
        <w:t>(and</w:t>
      </w:r>
      <w:r w:rsidR="00033D0F">
        <w:rPr>
          <w:spacing w:val="-14"/>
        </w:rPr>
        <w:t xml:space="preserve"> </w:t>
      </w:r>
      <w:r w:rsidR="00033D0F">
        <w:t>China does not contend) that MOFCOM took any steps to do so. MOFCOM's failure in this regard was inconsistent with the requirements of Article 6.10.</w:t>
      </w:r>
    </w:p>
    <w:p w14:paraId="47E5D9FD" w14:textId="77777777" w:rsidR="00BD462C" w:rsidRDefault="00BD462C">
      <w:pPr>
        <w:pStyle w:val="BodyText"/>
        <w:spacing w:before="5"/>
        <w:rPr>
          <w:sz w:val="8"/>
        </w:rPr>
      </w:pPr>
    </w:p>
    <w:p w14:paraId="57E8923B" w14:textId="493F9CF3" w:rsidR="00BD462C" w:rsidRDefault="0014480F">
      <w:pPr>
        <w:pStyle w:val="BodyText"/>
        <w:spacing w:before="56" w:line="360" w:lineRule="auto"/>
        <w:ind w:left="135" w:right="910"/>
        <w:jc w:val="both"/>
      </w:pPr>
      <w:r>
        <w:rPr>
          <w:noProof/>
        </w:rPr>
        <w:t>748.</w:t>
      </w:r>
      <w:r w:rsidR="00033D0F">
        <w:rPr>
          <w:rFonts w:ascii="Times New Roman"/>
          <w:spacing w:val="80"/>
          <w:w w:val="150"/>
          <w:position w:val="1"/>
          <w:sz w:val="20"/>
        </w:rPr>
        <w:t xml:space="preserve">  </w:t>
      </w:r>
      <w:r w:rsidR="00033D0F">
        <w:rPr>
          <w:position w:val="1"/>
        </w:rPr>
        <w:t xml:space="preserve">China asserts in its response to Panel question No. 61 that the ordinary practice is </w:t>
      </w:r>
      <w:r w:rsidR="00033D0F">
        <w:t>that</w:t>
      </w:r>
      <w:r w:rsidR="00033D0F">
        <w:rPr>
          <w:spacing w:val="-2"/>
        </w:rPr>
        <w:t xml:space="preserve"> </w:t>
      </w:r>
      <w:r w:rsidR="00033D0F">
        <w:t>if</w:t>
      </w:r>
      <w:r w:rsidR="00033D0F">
        <w:rPr>
          <w:spacing w:val="-4"/>
        </w:rPr>
        <w:t xml:space="preserve"> </w:t>
      </w:r>
      <w:r w:rsidR="00033D0F">
        <w:t>an</w:t>
      </w:r>
      <w:r w:rsidR="00033D0F">
        <w:rPr>
          <w:spacing w:val="-4"/>
        </w:rPr>
        <w:t xml:space="preserve"> </w:t>
      </w:r>
      <w:r w:rsidR="00033D0F">
        <w:t>investigating</w:t>
      </w:r>
      <w:r w:rsidR="00033D0F">
        <w:rPr>
          <w:spacing w:val="-1"/>
        </w:rPr>
        <w:t xml:space="preserve"> </w:t>
      </w:r>
      <w:r w:rsidR="00033D0F">
        <w:t>authority</w:t>
      </w:r>
      <w:r w:rsidR="00033D0F">
        <w:rPr>
          <w:spacing w:val="-1"/>
        </w:rPr>
        <w:t xml:space="preserve"> </w:t>
      </w:r>
      <w:r w:rsidR="00033D0F">
        <w:t>finds</w:t>
      </w:r>
      <w:r w:rsidR="00033D0F">
        <w:rPr>
          <w:spacing w:val="-1"/>
        </w:rPr>
        <w:t xml:space="preserve"> </w:t>
      </w:r>
      <w:r w:rsidR="00033D0F">
        <w:t>that</w:t>
      </w:r>
      <w:r w:rsidR="00033D0F">
        <w:rPr>
          <w:spacing w:val="-2"/>
        </w:rPr>
        <w:t xml:space="preserve"> </w:t>
      </w:r>
      <w:r w:rsidR="00033D0F">
        <w:t>a</w:t>
      </w:r>
      <w:r w:rsidR="00033D0F">
        <w:rPr>
          <w:spacing w:val="-3"/>
        </w:rPr>
        <w:t xml:space="preserve"> </w:t>
      </w:r>
      <w:r w:rsidR="00033D0F">
        <w:t>company</w:t>
      </w:r>
      <w:r w:rsidR="00033D0F">
        <w:rPr>
          <w:spacing w:val="-1"/>
        </w:rPr>
        <w:t xml:space="preserve"> </w:t>
      </w:r>
      <w:r w:rsidR="00033D0F">
        <w:t>has</w:t>
      </w:r>
      <w:r w:rsidR="00033D0F">
        <w:rPr>
          <w:spacing w:val="-1"/>
        </w:rPr>
        <w:t xml:space="preserve"> </w:t>
      </w:r>
      <w:r w:rsidR="00033D0F">
        <w:t>submitted</w:t>
      </w:r>
      <w:r w:rsidR="00033D0F">
        <w:rPr>
          <w:spacing w:val="-4"/>
        </w:rPr>
        <w:t xml:space="preserve"> </w:t>
      </w:r>
      <w:r w:rsidR="00033D0F">
        <w:t>incorrect information in its sampling response, then the investigating authority may "add an additional company to the</w:t>
      </w:r>
      <w:r w:rsidR="00033D0F">
        <w:rPr>
          <w:spacing w:val="-5"/>
        </w:rPr>
        <w:t xml:space="preserve"> </w:t>
      </w:r>
      <w:r w:rsidR="00033D0F">
        <w:t>sample".</w:t>
      </w:r>
      <w:hyperlink w:anchor="_bookmark1308" w:history="1">
        <w:r w:rsidR="00033D0F">
          <w:rPr>
            <w:vertAlign w:val="superscript"/>
          </w:rPr>
          <w:t>1127</w:t>
        </w:r>
      </w:hyperlink>
      <w:r w:rsidR="00033D0F">
        <w:rPr>
          <w:spacing w:val="-4"/>
        </w:rPr>
        <w:t xml:space="preserve"> </w:t>
      </w:r>
      <w:r w:rsidR="00033D0F">
        <w:t>Implicit</w:t>
      </w:r>
      <w:r w:rsidR="00033D0F">
        <w:rPr>
          <w:spacing w:val="-5"/>
        </w:rPr>
        <w:t xml:space="preserve"> </w:t>
      </w:r>
      <w:r w:rsidR="00033D0F">
        <w:t>in</w:t>
      </w:r>
      <w:r w:rsidR="00033D0F">
        <w:rPr>
          <w:spacing w:val="-7"/>
        </w:rPr>
        <w:t xml:space="preserve"> </w:t>
      </w:r>
      <w:r w:rsidR="00033D0F">
        <w:t>China's</w:t>
      </w:r>
      <w:r w:rsidR="00033D0F">
        <w:rPr>
          <w:spacing w:val="-4"/>
        </w:rPr>
        <w:t xml:space="preserve"> </w:t>
      </w:r>
      <w:r w:rsidR="00033D0F">
        <w:t>answer</w:t>
      </w:r>
      <w:r w:rsidR="00033D0F">
        <w:rPr>
          <w:spacing w:val="-8"/>
        </w:rPr>
        <w:t xml:space="preserve"> </w:t>
      </w:r>
      <w:r w:rsidR="00033D0F">
        <w:t>is</w:t>
      </w:r>
      <w:r w:rsidR="00033D0F">
        <w:rPr>
          <w:spacing w:val="-4"/>
        </w:rPr>
        <w:t xml:space="preserve"> </w:t>
      </w:r>
      <w:r w:rsidR="00033D0F">
        <w:t>that</w:t>
      </w:r>
      <w:r w:rsidR="00033D0F">
        <w:rPr>
          <w:spacing w:val="-5"/>
        </w:rPr>
        <w:t xml:space="preserve"> </w:t>
      </w:r>
      <w:r w:rsidR="00033D0F">
        <w:t>it</w:t>
      </w:r>
      <w:r w:rsidR="00033D0F">
        <w:rPr>
          <w:spacing w:val="-5"/>
        </w:rPr>
        <w:t xml:space="preserve"> </w:t>
      </w:r>
      <w:r w:rsidR="00033D0F">
        <w:t>considers</w:t>
      </w:r>
      <w:r w:rsidR="00033D0F">
        <w:rPr>
          <w:spacing w:val="-4"/>
        </w:rPr>
        <w:t xml:space="preserve"> </w:t>
      </w:r>
      <w:r w:rsidR="00033D0F">
        <w:t>MOFCOM</w:t>
      </w:r>
      <w:r w:rsidR="00033D0F">
        <w:rPr>
          <w:spacing w:val="-5"/>
        </w:rPr>
        <w:t xml:space="preserve"> </w:t>
      </w:r>
      <w:r w:rsidR="00033D0F">
        <w:t>could</w:t>
      </w:r>
      <w:r w:rsidR="00033D0F">
        <w:rPr>
          <w:spacing w:val="-7"/>
        </w:rPr>
        <w:t xml:space="preserve"> </w:t>
      </w:r>
      <w:r w:rsidR="00033D0F">
        <w:t>practically</w:t>
      </w:r>
      <w:r w:rsidR="00033D0F">
        <w:rPr>
          <w:spacing w:val="-4"/>
        </w:rPr>
        <w:t xml:space="preserve"> </w:t>
      </w:r>
      <w:r w:rsidR="00033D0F">
        <w:t>have taken such a step in this investigation. This observation from China is striking, given that Pernod Ricard specifically requested that it be added as a sampled exporter.</w:t>
      </w:r>
      <w:hyperlink w:anchor="_bookmark1309" w:history="1">
        <w:r w:rsidR="00033D0F">
          <w:rPr>
            <w:vertAlign w:val="superscript"/>
          </w:rPr>
          <w:t>1128</w:t>
        </w:r>
      </w:hyperlink>
      <w:r w:rsidR="00033D0F">
        <w:t xml:space="preserve"> MOFCOM refused that request and provided no explanation for its decision aside from the general assertion that three exporters was the "most practical" number.</w:t>
      </w:r>
      <w:hyperlink w:anchor="_bookmark1310" w:history="1">
        <w:r w:rsidR="00033D0F">
          <w:rPr>
            <w:vertAlign w:val="superscript"/>
          </w:rPr>
          <w:t>1129</w:t>
        </w:r>
      </w:hyperlink>
    </w:p>
    <w:p w14:paraId="103EBAAD" w14:textId="77777777" w:rsidR="00BD462C" w:rsidRDefault="00BD462C">
      <w:pPr>
        <w:pStyle w:val="BodyText"/>
        <w:spacing w:before="7"/>
        <w:rPr>
          <w:sz w:val="8"/>
        </w:rPr>
      </w:pPr>
    </w:p>
    <w:p w14:paraId="518C3F23" w14:textId="4ADCC1F0" w:rsidR="00BD462C" w:rsidRDefault="0014480F">
      <w:pPr>
        <w:pStyle w:val="BodyText"/>
        <w:spacing w:before="57" w:line="357" w:lineRule="auto"/>
        <w:ind w:left="135" w:right="916"/>
        <w:jc w:val="both"/>
      </w:pPr>
      <w:r>
        <w:rPr>
          <w:noProof/>
        </w:rPr>
        <w:t>749.</w:t>
      </w:r>
      <w:r w:rsidR="00033D0F">
        <w:rPr>
          <w:rFonts w:ascii="Times New Roman"/>
          <w:spacing w:val="80"/>
          <w:w w:val="150"/>
          <w:position w:val="1"/>
          <w:sz w:val="20"/>
        </w:rPr>
        <w:t xml:space="preserve"> </w:t>
      </w:r>
      <w:r w:rsidR="00033D0F">
        <w:rPr>
          <w:position w:val="1"/>
        </w:rPr>
        <w:t xml:space="preserve">If MOFCOM was able to reasonably examine a larger percentage of exports by </w:t>
      </w:r>
      <w:r w:rsidR="00033D0F">
        <w:t>considering more than three exporters, as China now appears to implicitly acknowledge it could,</w:t>
      </w:r>
      <w:r w:rsidR="00033D0F">
        <w:rPr>
          <w:spacing w:val="33"/>
        </w:rPr>
        <w:t xml:space="preserve"> </w:t>
      </w:r>
      <w:r w:rsidR="00033D0F">
        <w:t>then</w:t>
      </w:r>
      <w:r w:rsidR="00033D0F">
        <w:rPr>
          <w:spacing w:val="29"/>
        </w:rPr>
        <w:t xml:space="preserve"> </w:t>
      </w:r>
      <w:r w:rsidR="00033D0F">
        <w:t>it</w:t>
      </w:r>
      <w:r w:rsidR="00033D0F">
        <w:rPr>
          <w:spacing w:val="32"/>
        </w:rPr>
        <w:t xml:space="preserve"> </w:t>
      </w:r>
      <w:r w:rsidR="00033D0F">
        <w:t>was</w:t>
      </w:r>
      <w:r w:rsidR="00033D0F">
        <w:rPr>
          <w:spacing w:val="33"/>
        </w:rPr>
        <w:t xml:space="preserve"> </w:t>
      </w:r>
      <w:r w:rsidR="00033D0F">
        <w:t>required</w:t>
      </w:r>
      <w:r w:rsidR="00033D0F">
        <w:rPr>
          <w:spacing w:val="34"/>
        </w:rPr>
        <w:t xml:space="preserve"> </w:t>
      </w:r>
      <w:r w:rsidR="00033D0F">
        <w:t>to</w:t>
      </w:r>
      <w:r w:rsidR="00033D0F">
        <w:rPr>
          <w:spacing w:val="33"/>
        </w:rPr>
        <w:t xml:space="preserve"> </w:t>
      </w:r>
      <w:r w:rsidR="00033D0F">
        <w:t>do</w:t>
      </w:r>
      <w:r w:rsidR="00033D0F">
        <w:rPr>
          <w:spacing w:val="33"/>
        </w:rPr>
        <w:t xml:space="preserve"> </w:t>
      </w:r>
      <w:r w:rsidR="00033D0F">
        <w:t>so</w:t>
      </w:r>
      <w:r w:rsidR="00033D0F">
        <w:rPr>
          <w:spacing w:val="29"/>
        </w:rPr>
        <w:t xml:space="preserve"> </w:t>
      </w:r>
      <w:r w:rsidR="00033D0F">
        <w:t>under</w:t>
      </w:r>
      <w:r w:rsidR="00033D0F">
        <w:rPr>
          <w:spacing w:val="33"/>
        </w:rPr>
        <w:t xml:space="preserve"> </w:t>
      </w:r>
      <w:r w:rsidR="00033D0F">
        <w:t>Article</w:t>
      </w:r>
      <w:r w:rsidR="00033D0F">
        <w:rPr>
          <w:spacing w:val="31"/>
        </w:rPr>
        <w:t xml:space="preserve"> </w:t>
      </w:r>
      <w:r w:rsidR="00033D0F">
        <w:t>6.10.</w:t>
      </w:r>
      <w:r w:rsidR="00033D0F">
        <w:rPr>
          <w:spacing w:val="32"/>
        </w:rPr>
        <w:t xml:space="preserve"> </w:t>
      </w:r>
      <w:r w:rsidR="00033D0F">
        <w:t>MOFCOM</w:t>
      </w:r>
      <w:r w:rsidR="00033D0F">
        <w:rPr>
          <w:spacing w:val="32"/>
        </w:rPr>
        <w:t xml:space="preserve"> </w:t>
      </w:r>
      <w:r w:rsidR="00033D0F">
        <w:t>was</w:t>
      </w:r>
      <w:r w:rsidR="00033D0F">
        <w:rPr>
          <w:spacing w:val="33"/>
        </w:rPr>
        <w:t xml:space="preserve"> </w:t>
      </w:r>
      <w:r w:rsidR="00033D0F">
        <w:t>required</w:t>
      </w:r>
      <w:r w:rsidR="00033D0F">
        <w:rPr>
          <w:spacing w:val="34"/>
        </w:rPr>
        <w:t xml:space="preserve"> </w:t>
      </w:r>
      <w:r w:rsidR="00033D0F">
        <w:t>to</w:t>
      </w:r>
      <w:r w:rsidR="00033D0F">
        <w:rPr>
          <w:spacing w:val="29"/>
        </w:rPr>
        <w:t xml:space="preserve"> </w:t>
      </w:r>
      <w:r w:rsidR="00033D0F">
        <w:t>do</w:t>
      </w:r>
      <w:r w:rsidR="00033D0F">
        <w:rPr>
          <w:spacing w:val="29"/>
        </w:rPr>
        <w:t xml:space="preserve"> </w:t>
      </w:r>
      <w:r w:rsidR="00033D0F">
        <w:t>so</w:t>
      </w:r>
    </w:p>
    <w:p w14:paraId="0C5EF5B7" w14:textId="70ED3B71" w:rsidR="00BD462C" w:rsidRDefault="00D70C7D">
      <w:pPr>
        <w:pStyle w:val="BodyText"/>
        <w:spacing w:before="11"/>
        <w:rPr>
          <w:sz w:val="12"/>
        </w:rPr>
      </w:pPr>
      <w:r>
        <w:rPr>
          <w:noProof/>
        </w:rPr>
        <mc:AlternateContent>
          <mc:Choice Requires="wps">
            <w:drawing>
              <wp:anchor distT="0" distB="0" distL="0" distR="0" simplePos="0" relativeHeight="487835136" behindDoc="1" locked="0" layoutInCell="1" allowOverlap="1" wp14:anchorId="63E03707" wp14:editId="3CDF422F">
                <wp:simplePos x="0" y="0"/>
                <wp:positionH relativeFrom="page">
                  <wp:posOffset>899160</wp:posOffset>
                </wp:positionH>
                <wp:positionV relativeFrom="paragraph">
                  <wp:posOffset>115570</wp:posOffset>
                </wp:positionV>
                <wp:extent cx="1828800" cy="8890"/>
                <wp:effectExtent l="0" t="0" r="0" b="0"/>
                <wp:wrapTopAndBottom/>
                <wp:docPr id="376" name="docshape5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994404" id="docshape534" o:spid="_x0000_s1026" alt="&quot;&quot;" style="position:absolute;margin-left:70.8pt;margin-top:9.1pt;width:2in;height:.7pt;z-index:-1548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" fillcolor="black" stroked="f">
                <w10:wrap type="topAndBottom" anchorx="page"/>
              </v:rect>
            </w:pict>
          </mc:Fallback>
        </mc:AlternateContent>
      </w:r>
    </w:p>
    <w:p w14:paraId="32051259" w14:textId="77777777" w:rsidR="00BD462C" w:rsidRDefault="00033D0F">
      <w:pPr>
        <w:spacing w:before="112"/>
        <w:ind w:left="135"/>
        <w:rPr>
          <w:sz w:val="18"/>
        </w:rPr>
      </w:pPr>
      <w:bookmarkStart w:id="1519" w:name="_bookmark1307"/>
      <w:bookmarkEnd w:id="1519"/>
      <w:r>
        <w:rPr>
          <w:position w:val="5"/>
          <w:sz w:val="12"/>
        </w:rPr>
        <w:t>1126</w:t>
      </w:r>
      <w:r>
        <w:rPr>
          <w:spacing w:val="14"/>
          <w:position w:val="5"/>
          <w:sz w:val="12"/>
        </w:rPr>
        <w:t xml:space="preserve"> </w:t>
      </w:r>
      <w:r>
        <w:rPr>
          <w:sz w:val="18"/>
        </w:rPr>
        <w:t>China's</w:t>
      </w:r>
      <w:r>
        <w:rPr>
          <w:spacing w:val="2"/>
          <w:sz w:val="18"/>
        </w:rPr>
        <w:t xml:space="preserve"> </w:t>
      </w:r>
      <w:r>
        <w:rPr>
          <w:sz w:val="18"/>
        </w:rPr>
        <w:t>response</w:t>
      </w:r>
      <w:r>
        <w:rPr>
          <w:spacing w:val="-4"/>
          <w:sz w:val="18"/>
        </w:rPr>
        <w:t xml:space="preserve"> </w:t>
      </w:r>
      <w:r>
        <w:rPr>
          <w:sz w:val="18"/>
        </w:rPr>
        <w:t>to</w:t>
      </w:r>
      <w:r>
        <w:rPr>
          <w:spacing w:val="-10"/>
          <w:sz w:val="18"/>
        </w:rPr>
        <w:t xml:space="preserve"> </w:t>
      </w:r>
      <w:r>
        <w:rPr>
          <w:sz w:val="18"/>
        </w:rPr>
        <w:t>Panel</w:t>
      </w:r>
      <w:r>
        <w:rPr>
          <w:spacing w:val="-3"/>
          <w:sz w:val="18"/>
        </w:rPr>
        <w:t xml:space="preserve"> </w:t>
      </w:r>
      <w:r>
        <w:rPr>
          <w:sz w:val="18"/>
        </w:rPr>
        <w:t>question</w:t>
      </w:r>
      <w:r>
        <w:rPr>
          <w:spacing w:val="-4"/>
          <w:sz w:val="18"/>
        </w:rPr>
        <w:t xml:space="preserve"> </w:t>
      </w:r>
      <w:r>
        <w:rPr>
          <w:sz w:val="18"/>
        </w:rPr>
        <w:t>No.</w:t>
      </w:r>
      <w:r>
        <w:rPr>
          <w:spacing w:val="2"/>
          <w:sz w:val="18"/>
        </w:rPr>
        <w:t xml:space="preserve"> </w:t>
      </w:r>
      <w:r>
        <w:rPr>
          <w:sz w:val="18"/>
        </w:rPr>
        <w:t>61,</w:t>
      </w:r>
      <w:r>
        <w:rPr>
          <w:spacing w:val="-2"/>
          <w:sz w:val="18"/>
        </w:rPr>
        <w:t xml:space="preserve"> </w:t>
      </w:r>
      <w:r>
        <w:rPr>
          <w:sz w:val="18"/>
        </w:rPr>
        <w:t>para.</w:t>
      </w:r>
      <w:r>
        <w:rPr>
          <w:spacing w:val="-3"/>
          <w:sz w:val="18"/>
        </w:rPr>
        <w:t xml:space="preserve"> </w:t>
      </w:r>
      <w:r>
        <w:rPr>
          <w:spacing w:val="-4"/>
          <w:sz w:val="18"/>
        </w:rPr>
        <w:t>359.</w:t>
      </w:r>
    </w:p>
    <w:p w14:paraId="079DA1E6" w14:textId="77777777" w:rsidR="00BD462C" w:rsidRDefault="00033D0F">
      <w:pPr>
        <w:spacing w:before="1"/>
        <w:ind w:left="135"/>
        <w:rPr>
          <w:sz w:val="18"/>
        </w:rPr>
      </w:pPr>
      <w:bookmarkStart w:id="1520" w:name="_bookmark1308"/>
      <w:bookmarkEnd w:id="1520"/>
      <w:r>
        <w:rPr>
          <w:position w:val="5"/>
          <w:sz w:val="12"/>
        </w:rPr>
        <w:t>1127</w:t>
      </w:r>
      <w:r>
        <w:rPr>
          <w:spacing w:val="14"/>
          <w:position w:val="5"/>
          <w:sz w:val="12"/>
        </w:rPr>
        <w:t xml:space="preserve"> </w:t>
      </w:r>
      <w:r>
        <w:rPr>
          <w:sz w:val="18"/>
        </w:rPr>
        <w:t>China's</w:t>
      </w:r>
      <w:r>
        <w:rPr>
          <w:spacing w:val="2"/>
          <w:sz w:val="18"/>
        </w:rPr>
        <w:t xml:space="preserve"> </w:t>
      </w:r>
      <w:r>
        <w:rPr>
          <w:sz w:val="18"/>
        </w:rPr>
        <w:t>response</w:t>
      </w:r>
      <w:r>
        <w:rPr>
          <w:spacing w:val="-4"/>
          <w:sz w:val="18"/>
        </w:rPr>
        <w:t xml:space="preserve"> </w:t>
      </w:r>
      <w:r>
        <w:rPr>
          <w:sz w:val="18"/>
        </w:rPr>
        <w:t>to</w:t>
      </w:r>
      <w:r>
        <w:rPr>
          <w:spacing w:val="-10"/>
          <w:sz w:val="18"/>
        </w:rPr>
        <w:t xml:space="preserve"> </w:t>
      </w:r>
      <w:r>
        <w:rPr>
          <w:sz w:val="18"/>
        </w:rPr>
        <w:t>Panel</w:t>
      </w:r>
      <w:r>
        <w:rPr>
          <w:spacing w:val="-3"/>
          <w:sz w:val="18"/>
        </w:rPr>
        <w:t xml:space="preserve"> </w:t>
      </w:r>
      <w:r>
        <w:rPr>
          <w:sz w:val="18"/>
        </w:rPr>
        <w:t>question</w:t>
      </w:r>
      <w:r>
        <w:rPr>
          <w:spacing w:val="-4"/>
          <w:sz w:val="18"/>
        </w:rPr>
        <w:t xml:space="preserve"> </w:t>
      </w:r>
      <w:r>
        <w:rPr>
          <w:sz w:val="18"/>
        </w:rPr>
        <w:t>No.</w:t>
      </w:r>
      <w:r>
        <w:rPr>
          <w:spacing w:val="2"/>
          <w:sz w:val="18"/>
        </w:rPr>
        <w:t xml:space="preserve"> </w:t>
      </w:r>
      <w:r>
        <w:rPr>
          <w:sz w:val="18"/>
        </w:rPr>
        <w:t>61,</w:t>
      </w:r>
      <w:r>
        <w:rPr>
          <w:spacing w:val="-2"/>
          <w:sz w:val="18"/>
        </w:rPr>
        <w:t xml:space="preserve"> </w:t>
      </w:r>
      <w:r>
        <w:rPr>
          <w:sz w:val="18"/>
        </w:rPr>
        <w:t>para.</w:t>
      </w:r>
      <w:r>
        <w:rPr>
          <w:spacing w:val="-3"/>
          <w:sz w:val="18"/>
        </w:rPr>
        <w:t xml:space="preserve"> </w:t>
      </w:r>
      <w:r>
        <w:rPr>
          <w:spacing w:val="-4"/>
          <w:sz w:val="18"/>
        </w:rPr>
        <w:t>359.</w:t>
      </w:r>
    </w:p>
    <w:p w14:paraId="4558A58F" w14:textId="77777777" w:rsidR="00BD462C" w:rsidRDefault="00033D0F">
      <w:pPr>
        <w:spacing w:before="1"/>
        <w:ind w:left="135"/>
        <w:rPr>
          <w:sz w:val="18"/>
        </w:rPr>
      </w:pPr>
      <w:bookmarkStart w:id="1521" w:name="_bookmark1309"/>
      <w:bookmarkEnd w:id="1521"/>
      <w:r>
        <w:rPr>
          <w:position w:val="5"/>
          <w:sz w:val="12"/>
        </w:rPr>
        <w:t>1128</w:t>
      </w:r>
      <w:r>
        <w:rPr>
          <w:spacing w:val="13"/>
          <w:position w:val="5"/>
          <w:sz w:val="12"/>
        </w:rPr>
        <w:t xml:space="preserve"> </w:t>
      </w:r>
      <w:r>
        <w:rPr>
          <w:sz w:val="18"/>
        </w:rPr>
        <w:t>Pernod</w:t>
      </w:r>
      <w:r>
        <w:rPr>
          <w:spacing w:val="-6"/>
          <w:sz w:val="18"/>
        </w:rPr>
        <w:t xml:space="preserve"> </w:t>
      </w:r>
      <w:r>
        <w:rPr>
          <w:sz w:val="18"/>
        </w:rPr>
        <w:t>Ricard</w:t>
      </w:r>
      <w:r>
        <w:rPr>
          <w:spacing w:val="-5"/>
          <w:sz w:val="18"/>
        </w:rPr>
        <w:t xml:space="preserve"> </w:t>
      </w:r>
      <w:r>
        <w:rPr>
          <w:sz w:val="18"/>
        </w:rPr>
        <w:t>Comments</w:t>
      </w:r>
      <w:r>
        <w:rPr>
          <w:spacing w:val="-1"/>
          <w:sz w:val="18"/>
        </w:rPr>
        <w:t xml:space="preserve"> </w:t>
      </w:r>
      <w:r>
        <w:rPr>
          <w:sz w:val="18"/>
        </w:rPr>
        <w:t>on</w:t>
      </w:r>
      <w:r>
        <w:rPr>
          <w:spacing w:val="-1"/>
          <w:sz w:val="18"/>
        </w:rPr>
        <w:t xml:space="preserve"> </w:t>
      </w:r>
      <w:r>
        <w:rPr>
          <w:sz w:val="18"/>
        </w:rPr>
        <w:t>Sampling</w:t>
      </w:r>
      <w:r>
        <w:rPr>
          <w:spacing w:val="-5"/>
          <w:sz w:val="18"/>
        </w:rPr>
        <w:t xml:space="preserve"> </w:t>
      </w:r>
      <w:r>
        <w:rPr>
          <w:sz w:val="18"/>
        </w:rPr>
        <w:t>(Exhibit</w:t>
      </w:r>
      <w:r>
        <w:rPr>
          <w:spacing w:val="-3"/>
          <w:sz w:val="18"/>
        </w:rPr>
        <w:t xml:space="preserve"> </w:t>
      </w:r>
      <w:r>
        <w:rPr>
          <w:sz w:val="18"/>
        </w:rPr>
        <w:t>AUS-93),</w:t>
      </w:r>
      <w:r>
        <w:rPr>
          <w:spacing w:val="-3"/>
          <w:sz w:val="18"/>
        </w:rPr>
        <w:t xml:space="preserve"> </w:t>
      </w:r>
      <w:r>
        <w:rPr>
          <w:sz w:val="18"/>
        </w:rPr>
        <w:t xml:space="preserve">p. </w:t>
      </w:r>
      <w:r>
        <w:rPr>
          <w:spacing w:val="-5"/>
          <w:sz w:val="18"/>
        </w:rPr>
        <w:t>2.</w:t>
      </w:r>
    </w:p>
    <w:p w14:paraId="74D430D8" w14:textId="77777777" w:rsidR="00BD462C" w:rsidRDefault="00033D0F">
      <w:pPr>
        <w:spacing w:before="1"/>
        <w:ind w:left="135"/>
        <w:rPr>
          <w:sz w:val="18"/>
        </w:rPr>
      </w:pPr>
      <w:bookmarkStart w:id="1522" w:name="_bookmark1310"/>
      <w:bookmarkEnd w:id="1522"/>
      <w:r>
        <w:rPr>
          <w:position w:val="5"/>
          <w:sz w:val="12"/>
        </w:rPr>
        <w:t>1129</w:t>
      </w:r>
      <w:r>
        <w:rPr>
          <w:spacing w:val="12"/>
          <w:position w:val="5"/>
          <w:sz w:val="12"/>
        </w:rPr>
        <w:t xml:space="preserve"> </w:t>
      </w:r>
      <w:r>
        <w:rPr>
          <w:sz w:val="18"/>
        </w:rPr>
        <w:t>Australia's</w:t>
      </w:r>
      <w:r>
        <w:rPr>
          <w:spacing w:val="-6"/>
          <w:sz w:val="18"/>
        </w:rPr>
        <w:t xml:space="preserve"> </w:t>
      </w:r>
      <w:r>
        <w:rPr>
          <w:sz w:val="18"/>
        </w:rPr>
        <w:t>first</w:t>
      </w:r>
      <w:r>
        <w:rPr>
          <w:spacing w:val="-5"/>
          <w:sz w:val="18"/>
        </w:rPr>
        <w:t xml:space="preserve"> </w:t>
      </w:r>
      <w:r>
        <w:rPr>
          <w:sz w:val="18"/>
        </w:rPr>
        <w:t>written</w:t>
      </w:r>
      <w:r>
        <w:rPr>
          <w:spacing w:val="-2"/>
          <w:sz w:val="18"/>
        </w:rPr>
        <w:t xml:space="preserve"> </w:t>
      </w:r>
      <w:r>
        <w:rPr>
          <w:sz w:val="18"/>
        </w:rPr>
        <w:t>submission, para.</w:t>
      </w:r>
      <w:r>
        <w:rPr>
          <w:spacing w:val="-5"/>
          <w:sz w:val="18"/>
        </w:rPr>
        <w:t xml:space="preserve"> </w:t>
      </w:r>
      <w:r>
        <w:rPr>
          <w:sz w:val="18"/>
        </w:rPr>
        <w:t>892</w:t>
      </w:r>
      <w:r>
        <w:rPr>
          <w:spacing w:val="-7"/>
          <w:sz w:val="18"/>
        </w:rPr>
        <w:t xml:space="preserve"> </w:t>
      </w:r>
      <w:r>
        <w:rPr>
          <w:sz w:val="18"/>
        </w:rPr>
        <w:t>(quoting</w:t>
      </w:r>
      <w:r>
        <w:rPr>
          <w:spacing w:val="-6"/>
          <w:sz w:val="18"/>
        </w:rPr>
        <w:t xml:space="preserve"> </w:t>
      </w:r>
      <w:r>
        <w:rPr>
          <w:sz w:val="18"/>
        </w:rPr>
        <w:t>from</w:t>
      </w:r>
      <w:r>
        <w:rPr>
          <w:spacing w:val="-8"/>
          <w:sz w:val="18"/>
        </w:rPr>
        <w:t xml:space="preserve"> </w:t>
      </w:r>
      <w:r>
        <w:rPr>
          <w:sz w:val="18"/>
        </w:rPr>
        <w:t>Anti-Dumping</w:t>
      </w:r>
      <w:r>
        <w:rPr>
          <w:spacing w:val="-1"/>
          <w:sz w:val="18"/>
        </w:rPr>
        <w:t xml:space="preserve"> </w:t>
      </w:r>
      <w:r>
        <w:rPr>
          <w:sz w:val="18"/>
        </w:rPr>
        <w:t>Final</w:t>
      </w:r>
      <w:r>
        <w:rPr>
          <w:spacing w:val="-5"/>
          <w:sz w:val="18"/>
        </w:rPr>
        <w:t xml:space="preserve"> </w:t>
      </w:r>
      <w:r>
        <w:rPr>
          <w:sz w:val="18"/>
        </w:rPr>
        <w:t>Determination</w:t>
      </w:r>
      <w:r>
        <w:rPr>
          <w:spacing w:val="-7"/>
          <w:sz w:val="18"/>
        </w:rPr>
        <w:t xml:space="preserve"> </w:t>
      </w:r>
      <w:r>
        <w:rPr>
          <w:sz w:val="18"/>
        </w:rPr>
        <w:t>(Exhibit</w:t>
      </w:r>
      <w:r>
        <w:rPr>
          <w:spacing w:val="-5"/>
          <w:sz w:val="18"/>
        </w:rPr>
        <w:t xml:space="preserve"> </w:t>
      </w:r>
      <w:r>
        <w:rPr>
          <w:sz w:val="18"/>
        </w:rPr>
        <w:t>AUS-2),</w:t>
      </w:r>
      <w:r>
        <w:rPr>
          <w:spacing w:val="1"/>
          <w:sz w:val="18"/>
        </w:rPr>
        <w:t xml:space="preserve"> </w:t>
      </w:r>
      <w:r>
        <w:rPr>
          <w:spacing w:val="-2"/>
          <w:sz w:val="18"/>
        </w:rPr>
        <w:t>p.11).</w:t>
      </w:r>
    </w:p>
    <w:p w14:paraId="0B62BCC4" w14:textId="77777777" w:rsidR="00BD462C" w:rsidRDefault="00BD462C">
      <w:pPr>
        <w:rPr>
          <w:sz w:val="18"/>
        </w:rPr>
        <w:sectPr w:rsidR="00BD462C">
          <w:pgSz w:w="11910" w:h="16840"/>
          <w:pgMar w:top="860" w:right="500" w:bottom="780" w:left="1280" w:header="566" w:footer="590" w:gutter="0"/>
          <w:cols w:space="720"/>
        </w:sectPr>
      </w:pPr>
    </w:p>
    <w:p w14:paraId="65F06D10"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5394F20D"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1416C480"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487D2BEE" w14:textId="77777777" w:rsidR="00BD462C" w:rsidRDefault="00033D0F">
      <w:pPr>
        <w:pStyle w:val="BodyText"/>
        <w:spacing w:before="102" w:line="360" w:lineRule="auto"/>
        <w:ind w:left="135" w:right="913"/>
        <w:jc w:val="both"/>
      </w:pPr>
      <w:r>
        <w:t>regardless of whether it accepted Pernod Ricard's submission that there was an apparent error</w:t>
      </w:r>
      <w:r>
        <w:rPr>
          <w:spacing w:val="-4"/>
        </w:rPr>
        <w:t xml:space="preserve"> </w:t>
      </w:r>
      <w:r>
        <w:t>in the data. As Australia</w:t>
      </w:r>
      <w:r>
        <w:rPr>
          <w:spacing w:val="-2"/>
        </w:rPr>
        <w:t xml:space="preserve"> </w:t>
      </w:r>
      <w:r>
        <w:t>noted in</w:t>
      </w:r>
      <w:r>
        <w:rPr>
          <w:spacing w:val="-3"/>
        </w:rPr>
        <w:t xml:space="preserve"> </w:t>
      </w:r>
      <w:r>
        <w:t>its first</w:t>
      </w:r>
      <w:r>
        <w:rPr>
          <w:spacing w:val="-1"/>
        </w:rPr>
        <w:t xml:space="preserve"> </w:t>
      </w:r>
      <w:r>
        <w:t>written</w:t>
      </w:r>
      <w:r>
        <w:rPr>
          <w:spacing w:val="-3"/>
        </w:rPr>
        <w:t xml:space="preserve"> </w:t>
      </w:r>
      <w:r>
        <w:t>submission, the</w:t>
      </w:r>
      <w:r>
        <w:rPr>
          <w:spacing w:val="-1"/>
        </w:rPr>
        <w:t xml:space="preserve"> </w:t>
      </w:r>
      <w:r>
        <w:t>parallel countervailing duty</w:t>
      </w:r>
      <w:r>
        <w:rPr>
          <w:spacing w:val="-5"/>
        </w:rPr>
        <w:t xml:space="preserve"> </w:t>
      </w:r>
      <w:r>
        <w:t>investigation</w:t>
      </w:r>
      <w:r>
        <w:rPr>
          <w:spacing w:val="-8"/>
        </w:rPr>
        <w:t xml:space="preserve"> </w:t>
      </w:r>
      <w:r>
        <w:t>that</w:t>
      </w:r>
      <w:r>
        <w:rPr>
          <w:spacing w:val="-6"/>
        </w:rPr>
        <w:t xml:space="preserve"> </w:t>
      </w:r>
      <w:r>
        <w:t>was</w:t>
      </w:r>
      <w:r>
        <w:rPr>
          <w:spacing w:val="-5"/>
        </w:rPr>
        <w:t xml:space="preserve"> </w:t>
      </w:r>
      <w:r>
        <w:t>conducted</w:t>
      </w:r>
      <w:r>
        <w:rPr>
          <w:spacing w:val="-8"/>
        </w:rPr>
        <w:t xml:space="preserve"> </w:t>
      </w:r>
      <w:r>
        <w:t>with</w:t>
      </w:r>
      <w:r>
        <w:rPr>
          <w:spacing w:val="-3"/>
        </w:rPr>
        <w:t xml:space="preserve"> </w:t>
      </w:r>
      <w:r>
        <w:t>respect</w:t>
      </w:r>
      <w:r>
        <w:rPr>
          <w:spacing w:val="-6"/>
        </w:rPr>
        <w:t xml:space="preserve"> </w:t>
      </w:r>
      <w:r>
        <w:t>to</w:t>
      </w:r>
      <w:r>
        <w:rPr>
          <w:spacing w:val="-9"/>
        </w:rPr>
        <w:t xml:space="preserve"> </w:t>
      </w:r>
      <w:r>
        <w:t>the</w:t>
      </w:r>
      <w:r>
        <w:rPr>
          <w:spacing w:val="-2"/>
        </w:rPr>
        <w:t xml:space="preserve"> </w:t>
      </w:r>
      <w:r>
        <w:t>same</w:t>
      </w:r>
      <w:r>
        <w:rPr>
          <w:spacing w:val="-6"/>
        </w:rPr>
        <w:t xml:space="preserve"> </w:t>
      </w:r>
      <w:r>
        <w:t>wine</w:t>
      </w:r>
      <w:r>
        <w:rPr>
          <w:spacing w:val="-2"/>
        </w:rPr>
        <w:t xml:space="preserve"> </w:t>
      </w:r>
      <w:r>
        <w:t>products</w:t>
      </w:r>
      <w:r>
        <w:rPr>
          <w:spacing w:val="-5"/>
        </w:rPr>
        <w:t xml:space="preserve"> </w:t>
      </w:r>
      <w:r>
        <w:t>from Australia was done using a sample comprised of four respondents, including Pernod Ricard.</w:t>
      </w:r>
      <w:hyperlink w:anchor="_bookmark1312" w:history="1">
        <w:r>
          <w:rPr>
            <w:vertAlign w:val="superscript"/>
          </w:rPr>
          <w:t>1130</w:t>
        </w:r>
      </w:hyperlink>
      <w:r>
        <w:t xml:space="preserve"> This reinforces the inference that MOFCOM could have reasonably examined a larger</w:t>
      </w:r>
      <w:r>
        <w:rPr>
          <w:spacing w:val="-1"/>
        </w:rPr>
        <w:t xml:space="preserve"> </w:t>
      </w:r>
      <w:r>
        <w:t>percentage of exports than it did.</w:t>
      </w:r>
    </w:p>
    <w:p w14:paraId="050B239B" w14:textId="77777777" w:rsidR="00BD462C" w:rsidRDefault="00033D0F">
      <w:pPr>
        <w:pStyle w:val="Heading3"/>
        <w:numPr>
          <w:ilvl w:val="0"/>
          <w:numId w:val="27"/>
        </w:numPr>
        <w:tabs>
          <w:tab w:val="left" w:pos="2545"/>
          <w:tab w:val="left" w:pos="2546"/>
        </w:tabs>
        <w:spacing w:before="157" w:line="362" w:lineRule="auto"/>
        <w:ind w:right="916"/>
      </w:pPr>
      <w:bookmarkStart w:id="1523" w:name="2._Australia_is_not_required_to_submit_c"/>
      <w:bookmarkStart w:id="1524" w:name="_bookmark1311"/>
      <w:bookmarkEnd w:id="1523"/>
      <w:bookmarkEnd w:id="1524"/>
      <w:r>
        <w:t>Australia is not required to submit copies of the confidential responses from the sampled companies</w:t>
      </w:r>
    </w:p>
    <w:p w14:paraId="17619221" w14:textId="77777777" w:rsidR="00BD462C" w:rsidRDefault="00BD462C">
      <w:pPr>
        <w:pStyle w:val="BodyText"/>
        <w:spacing w:before="8"/>
        <w:rPr>
          <w:b/>
          <w:sz w:val="8"/>
        </w:rPr>
      </w:pPr>
    </w:p>
    <w:p w14:paraId="152FC4E5" w14:textId="33128C39" w:rsidR="00BD462C" w:rsidRDefault="0014480F">
      <w:pPr>
        <w:pStyle w:val="BodyText"/>
        <w:spacing w:before="56" w:line="355" w:lineRule="auto"/>
        <w:ind w:left="136" w:right="921"/>
        <w:jc w:val="both"/>
      </w:pPr>
      <w:r>
        <w:rPr>
          <w:noProof/>
        </w:rPr>
        <w:t>750.</w:t>
      </w:r>
      <w:r w:rsidR="00033D0F">
        <w:rPr>
          <w:rFonts w:ascii="Times New Roman"/>
          <w:spacing w:val="80"/>
          <w:w w:val="150"/>
          <w:position w:val="1"/>
          <w:sz w:val="20"/>
        </w:rPr>
        <w:t xml:space="preserve"> </w:t>
      </w:r>
      <w:r w:rsidR="00033D0F">
        <w:rPr>
          <w:position w:val="1"/>
        </w:rPr>
        <w:t xml:space="preserve">In an attempt to defend MOFCOM's inaction in response to Pernod Ricard's </w:t>
      </w:r>
      <w:r w:rsidR="00033D0F">
        <w:t>submission, China has made unsupported assertions that:</w:t>
      </w:r>
    </w:p>
    <w:p w14:paraId="64A154EA" w14:textId="57BC7330" w:rsidR="00BD462C" w:rsidRDefault="00D70C7D">
      <w:pPr>
        <w:pStyle w:val="ListParagraph"/>
        <w:numPr>
          <w:ilvl w:val="0"/>
          <w:numId w:val="26"/>
        </w:numPr>
        <w:tabs>
          <w:tab w:val="left" w:pos="1835"/>
          <w:tab w:val="left" w:pos="1836"/>
        </w:tabs>
        <w:spacing w:before="162" w:line="360" w:lineRule="auto"/>
        <w:ind w:right="917"/>
        <w:jc w:val="both"/>
        <w:rPr>
          <w:sz w:val="24"/>
        </w:rPr>
      </w:pPr>
      <w:r>
        <w:rPr>
          <w:noProof/>
        </w:rPr>
        <mc:AlternateContent>
          <mc:Choice Requires="wps">
            <w:drawing>
              <wp:anchor distT="0" distB="0" distL="114300" distR="114300" simplePos="0" relativeHeight="15976960" behindDoc="0" locked="0" layoutInCell="1" allowOverlap="1" wp14:anchorId="2869E165" wp14:editId="5BFAD266">
                <wp:simplePos x="0" y="0"/>
                <wp:positionH relativeFrom="page">
                  <wp:posOffset>4900930</wp:posOffset>
                </wp:positionH>
                <wp:positionV relativeFrom="paragraph">
                  <wp:posOffset>1508760</wp:posOffset>
                </wp:positionV>
                <wp:extent cx="1758950" cy="186055"/>
                <wp:effectExtent l="0" t="0" r="0" b="0"/>
                <wp:wrapNone/>
                <wp:docPr id="374" name="docshape5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895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3048CC" id="docshape535" o:spid="_x0000_s1026" alt="&quot;&quot;" style="position:absolute;margin-left:385.9pt;margin-top:118.8pt;width:138.5pt;height:14.65pt;z-index:15976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" fillcolor="black" stroked="f">
                <w10:wrap anchorx="page"/>
              </v:rect>
            </w:pict>
          </mc:Fallback>
        </mc:AlternateContent>
      </w:r>
      <w:r>
        <w:rPr>
          <w:noProof/>
        </w:rPr>
        <mc:AlternateContent>
          <mc:Choice Requires="wps">
            <w:drawing>
              <wp:anchor distT="0" distB="0" distL="114300" distR="114300" simplePos="0" relativeHeight="15977472" behindDoc="0" locked="0" layoutInCell="1" allowOverlap="1" wp14:anchorId="00F8B44A" wp14:editId="40667E47">
                <wp:simplePos x="0" y="0"/>
                <wp:positionH relativeFrom="page">
                  <wp:posOffset>1978025</wp:posOffset>
                </wp:positionH>
                <wp:positionV relativeFrom="paragraph">
                  <wp:posOffset>1786255</wp:posOffset>
                </wp:positionV>
                <wp:extent cx="1280160" cy="186055"/>
                <wp:effectExtent l="0" t="0" r="0" b="0"/>
                <wp:wrapNone/>
                <wp:docPr id="372" name="docshape5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A1CC12" id="docshape536" o:spid="_x0000_s1026" alt="&quot;&quot;" style="position:absolute;margin-left:155.75pt;margin-top:140.65pt;width:100.8pt;height:14.65pt;z-index:15977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" fillcolor="black" stroked="f">
                <w10:wrap anchorx="page"/>
              </v:rect>
            </w:pict>
          </mc:Fallback>
        </mc:AlternateContent>
      </w:r>
      <w:r w:rsidR="00033D0F">
        <w:rPr>
          <w:sz w:val="24"/>
        </w:rPr>
        <w:t xml:space="preserve">in order to establish a </w:t>
      </w:r>
      <w:r w:rsidR="00033D0F">
        <w:rPr>
          <w:i/>
          <w:sz w:val="24"/>
        </w:rPr>
        <w:t xml:space="preserve">prima facie </w:t>
      </w:r>
      <w:r w:rsidR="00033D0F">
        <w:rPr>
          <w:sz w:val="24"/>
        </w:rPr>
        <w:t>case in this dispute, Australia is required to</w:t>
      </w:r>
      <w:r w:rsidR="00033D0F">
        <w:rPr>
          <w:spacing w:val="-12"/>
          <w:sz w:val="24"/>
        </w:rPr>
        <w:t xml:space="preserve"> </w:t>
      </w:r>
      <w:r w:rsidR="00033D0F">
        <w:rPr>
          <w:sz w:val="24"/>
        </w:rPr>
        <w:t>adduce</w:t>
      </w:r>
      <w:r w:rsidR="00033D0F">
        <w:rPr>
          <w:spacing w:val="-9"/>
          <w:sz w:val="24"/>
        </w:rPr>
        <w:t xml:space="preserve"> </w:t>
      </w:r>
      <w:r w:rsidR="00033D0F">
        <w:rPr>
          <w:sz w:val="24"/>
        </w:rPr>
        <w:t>external</w:t>
      </w:r>
      <w:r w:rsidR="00033D0F">
        <w:rPr>
          <w:spacing w:val="-7"/>
          <w:sz w:val="24"/>
        </w:rPr>
        <w:t xml:space="preserve"> </w:t>
      </w:r>
      <w:r w:rsidR="00033D0F">
        <w:rPr>
          <w:sz w:val="24"/>
        </w:rPr>
        <w:t>evidence</w:t>
      </w:r>
      <w:r w:rsidR="00033D0F">
        <w:rPr>
          <w:spacing w:val="-9"/>
          <w:sz w:val="24"/>
        </w:rPr>
        <w:t xml:space="preserve"> </w:t>
      </w:r>
      <w:r w:rsidR="00033D0F">
        <w:rPr>
          <w:sz w:val="24"/>
        </w:rPr>
        <w:t>that</w:t>
      </w:r>
      <w:r w:rsidR="00033D0F">
        <w:rPr>
          <w:spacing w:val="-9"/>
          <w:sz w:val="24"/>
        </w:rPr>
        <w:t xml:space="preserve"> </w:t>
      </w:r>
      <w:r w:rsidR="00033D0F">
        <w:rPr>
          <w:sz w:val="24"/>
        </w:rPr>
        <w:t>was</w:t>
      </w:r>
      <w:r w:rsidR="00033D0F">
        <w:rPr>
          <w:spacing w:val="-8"/>
          <w:sz w:val="24"/>
        </w:rPr>
        <w:t xml:space="preserve"> </w:t>
      </w:r>
      <w:r w:rsidR="00033D0F">
        <w:rPr>
          <w:sz w:val="24"/>
        </w:rPr>
        <w:t>not</w:t>
      </w:r>
      <w:r w:rsidR="00033D0F">
        <w:rPr>
          <w:spacing w:val="-9"/>
          <w:sz w:val="24"/>
        </w:rPr>
        <w:t xml:space="preserve"> </w:t>
      </w:r>
      <w:r w:rsidR="00033D0F">
        <w:rPr>
          <w:sz w:val="24"/>
        </w:rPr>
        <w:t>on</w:t>
      </w:r>
      <w:r w:rsidR="00033D0F">
        <w:rPr>
          <w:spacing w:val="-11"/>
          <w:sz w:val="24"/>
        </w:rPr>
        <w:t xml:space="preserve"> </w:t>
      </w:r>
      <w:r w:rsidR="00033D0F">
        <w:rPr>
          <w:sz w:val="24"/>
        </w:rPr>
        <w:t>the</w:t>
      </w:r>
      <w:r w:rsidR="00033D0F">
        <w:rPr>
          <w:spacing w:val="-9"/>
          <w:sz w:val="24"/>
        </w:rPr>
        <w:t xml:space="preserve"> </w:t>
      </w:r>
      <w:r w:rsidR="00033D0F">
        <w:rPr>
          <w:sz w:val="24"/>
        </w:rPr>
        <w:t>investigation</w:t>
      </w:r>
      <w:r w:rsidR="00033D0F">
        <w:rPr>
          <w:spacing w:val="-11"/>
          <w:sz w:val="24"/>
        </w:rPr>
        <w:t xml:space="preserve"> </w:t>
      </w:r>
      <w:r w:rsidR="00033D0F">
        <w:rPr>
          <w:sz w:val="24"/>
        </w:rPr>
        <w:t>record.</w:t>
      </w:r>
      <w:r w:rsidR="00033D0F">
        <w:rPr>
          <w:spacing w:val="-8"/>
          <w:sz w:val="24"/>
        </w:rPr>
        <w:t xml:space="preserve"> </w:t>
      </w:r>
      <w:r w:rsidR="00033D0F">
        <w:rPr>
          <w:sz w:val="24"/>
        </w:rPr>
        <w:t>In</w:t>
      </w:r>
      <w:r w:rsidR="00033D0F">
        <w:rPr>
          <w:spacing w:val="-11"/>
          <w:sz w:val="24"/>
        </w:rPr>
        <w:t xml:space="preserve"> </w:t>
      </w:r>
      <w:r w:rsidR="00033D0F">
        <w:rPr>
          <w:sz w:val="24"/>
        </w:rPr>
        <w:t>this regard,</w:t>
      </w:r>
      <w:r w:rsidR="00033D0F">
        <w:rPr>
          <w:spacing w:val="-3"/>
          <w:sz w:val="24"/>
        </w:rPr>
        <w:t xml:space="preserve"> </w:t>
      </w:r>
      <w:r w:rsidR="00033D0F">
        <w:rPr>
          <w:sz w:val="24"/>
        </w:rPr>
        <w:t>China</w:t>
      </w:r>
      <w:r w:rsidR="00033D0F">
        <w:rPr>
          <w:spacing w:val="-5"/>
          <w:sz w:val="24"/>
        </w:rPr>
        <w:t xml:space="preserve"> </w:t>
      </w:r>
      <w:r w:rsidR="00033D0F">
        <w:rPr>
          <w:sz w:val="24"/>
        </w:rPr>
        <w:t>asserts</w:t>
      </w:r>
      <w:r w:rsidR="00033D0F">
        <w:rPr>
          <w:spacing w:val="-3"/>
          <w:sz w:val="24"/>
        </w:rPr>
        <w:t xml:space="preserve"> </w:t>
      </w:r>
      <w:r w:rsidR="00033D0F">
        <w:rPr>
          <w:sz w:val="24"/>
        </w:rPr>
        <w:t>that:</w:t>
      </w:r>
      <w:r w:rsidR="00033D0F">
        <w:rPr>
          <w:spacing w:val="-7"/>
          <w:sz w:val="24"/>
        </w:rPr>
        <w:t xml:space="preserve"> </w:t>
      </w:r>
      <w:r w:rsidR="00033D0F">
        <w:rPr>
          <w:sz w:val="24"/>
        </w:rPr>
        <w:t>"Australia</w:t>
      </w:r>
      <w:r w:rsidR="00033D0F">
        <w:rPr>
          <w:spacing w:val="-5"/>
          <w:sz w:val="24"/>
        </w:rPr>
        <w:t xml:space="preserve"> </w:t>
      </w:r>
      <w:r w:rsidR="00033D0F">
        <w:rPr>
          <w:sz w:val="24"/>
        </w:rPr>
        <w:t>does</w:t>
      </w:r>
      <w:r w:rsidR="00033D0F">
        <w:rPr>
          <w:spacing w:val="-3"/>
          <w:sz w:val="24"/>
        </w:rPr>
        <w:t xml:space="preserve"> </w:t>
      </w:r>
      <w:r w:rsidR="00033D0F">
        <w:rPr>
          <w:sz w:val="24"/>
        </w:rPr>
        <w:t>not</w:t>
      </w:r>
      <w:r w:rsidR="00033D0F">
        <w:rPr>
          <w:spacing w:val="-4"/>
          <w:sz w:val="24"/>
        </w:rPr>
        <w:t xml:space="preserve"> </w:t>
      </w:r>
      <w:r w:rsidR="00033D0F">
        <w:rPr>
          <w:sz w:val="24"/>
        </w:rPr>
        <w:t>submit</w:t>
      </w:r>
      <w:r w:rsidR="00033D0F">
        <w:rPr>
          <w:spacing w:val="-4"/>
          <w:sz w:val="24"/>
        </w:rPr>
        <w:t xml:space="preserve"> </w:t>
      </w:r>
      <w:r w:rsidR="00033D0F">
        <w:rPr>
          <w:sz w:val="24"/>
        </w:rPr>
        <w:t>any</w:t>
      </w:r>
      <w:r w:rsidR="00033D0F">
        <w:rPr>
          <w:spacing w:val="-3"/>
          <w:sz w:val="24"/>
        </w:rPr>
        <w:t xml:space="preserve"> </w:t>
      </w:r>
      <w:r w:rsidR="00033D0F">
        <w:rPr>
          <w:sz w:val="24"/>
        </w:rPr>
        <w:t>evidence</w:t>
      </w:r>
      <w:r w:rsidR="00033D0F">
        <w:rPr>
          <w:spacing w:val="-4"/>
          <w:sz w:val="24"/>
        </w:rPr>
        <w:t xml:space="preserve"> </w:t>
      </w:r>
      <w:r w:rsidR="00033D0F">
        <w:rPr>
          <w:sz w:val="24"/>
        </w:rPr>
        <w:t>that</w:t>
      </w:r>
      <w:r w:rsidR="00033D0F">
        <w:rPr>
          <w:spacing w:val="-4"/>
          <w:sz w:val="24"/>
        </w:rPr>
        <w:t xml:space="preserve"> </w:t>
      </w:r>
      <w:r w:rsidR="00033D0F">
        <w:rPr>
          <w:sz w:val="24"/>
        </w:rPr>
        <w:t>the export volume from the three selected exporters was not the largest percentage of the volume of exports";</w:t>
      </w:r>
      <w:hyperlink w:anchor="_bookmark1313" w:history="1">
        <w:r w:rsidR="00033D0F">
          <w:rPr>
            <w:sz w:val="24"/>
            <w:vertAlign w:val="superscript"/>
          </w:rPr>
          <w:t>1131</w:t>
        </w:r>
      </w:hyperlink>
      <w:r w:rsidR="00033D0F">
        <w:rPr>
          <w:sz w:val="24"/>
        </w:rPr>
        <w:t xml:space="preserve"> and Australia did not submit evidence</w:t>
      </w:r>
      <w:r w:rsidR="00033D0F">
        <w:rPr>
          <w:spacing w:val="40"/>
          <w:sz w:val="24"/>
        </w:rPr>
        <w:t xml:space="preserve"> </w:t>
      </w:r>
      <w:r w:rsidR="00033D0F">
        <w:rPr>
          <w:sz w:val="24"/>
        </w:rPr>
        <w:t>showing</w:t>
      </w:r>
      <w:r w:rsidR="00033D0F">
        <w:rPr>
          <w:spacing w:val="40"/>
          <w:sz w:val="24"/>
        </w:rPr>
        <w:t xml:space="preserve"> </w:t>
      </w:r>
      <w:r w:rsidR="00033D0F">
        <w:rPr>
          <w:sz w:val="24"/>
        </w:rPr>
        <w:t>that</w:t>
      </w:r>
      <w:r w:rsidR="00033D0F">
        <w:rPr>
          <w:spacing w:val="40"/>
          <w:sz w:val="24"/>
        </w:rPr>
        <w:t xml:space="preserve"> </w:t>
      </w:r>
      <w:r w:rsidR="00033D0F">
        <w:rPr>
          <w:sz w:val="24"/>
        </w:rPr>
        <w:t>Pernod</w:t>
      </w:r>
      <w:r w:rsidR="00033D0F">
        <w:rPr>
          <w:spacing w:val="40"/>
          <w:sz w:val="24"/>
        </w:rPr>
        <w:t xml:space="preserve"> </w:t>
      </w:r>
      <w:r w:rsidR="00033D0F">
        <w:rPr>
          <w:sz w:val="24"/>
        </w:rPr>
        <w:t>Ricard's</w:t>
      </w:r>
      <w:r w:rsidR="00033D0F">
        <w:rPr>
          <w:spacing w:val="40"/>
          <w:sz w:val="24"/>
        </w:rPr>
        <w:t xml:space="preserve"> </w:t>
      </w:r>
      <w:r w:rsidR="00033D0F">
        <w:rPr>
          <w:sz w:val="24"/>
        </w:rPr>
        <w:t>claim</w:t>
      </w:r>
    </w:p>
    <w:p w14:paraId="1C43790A" w14:textId="77777777" w:rsidR="00BD462C" w:rsidRDefault="00033D0F">
      <w:pPr>
        <w:pStyle w:val="BodyText"/>
        <w:spacing w:before="3"/>
        <w:ind w:left="3904"/>
        <w:jc w:val="both"/>
      </w:pPr>
      <w:r>
        <w:t>was factually correct;</w:t>
      </w:r>
      <w:hyperlink w:anchor="_bookmark1314" w:history="1">
        <w:r>
          <w:rPr>
            <w:vertAlign w:val="superscript"/>
          </w:rPr>
          <w:t>1132</w:t>
        </w:r>
      </w:hyperlink>
      <w:r>
        <w:rPr>
          <w:spacing w:val="-1"/>
        </w:rPr>
        <w:t xml:space="preserve"> </w:t>
      </w:r>
      <w:r>
        <w:rPr>
          <w:spacing w:val="-5"/>
        </w:rPr>
        <w:t>and</w:t>
      </w:r>
    </w:p>
    <w:p w14:paraId="63873AEA" w14:textId="77777777" w:rsidR="00BD462C" w:rsidRDefault="00BD462C">
      <w:pPr>
        <w:pStyle w:val="BodyText"/>
        <w:spacing w:before="9"/>
        <w:rPr>
          <w:sz w:val="21"/>
        </w:rPr>
      </w:pPr>
    </w:p>
    <w:p w14:paraId="55EC0B62" w14:textId="77777777" w:rsidR="00BD462C" w:rsidRDefault="00033D0F">
      <w:pPr>
        <w:pStyle w:val="ListParagraph"/>
        <w:numPr>
          <w:ilvl w:val="0"/>
          <w:numId w:val="26"/>
        </w:numPr>
        <w:tabs>
          <w:tab w:val="left" w:pos="1835"/>
          <w:tab w:val="left" w:pos="1836"/>
        </w:tabs>
        <w:spacing w:before="0" w:line="357" w:lineRule="auto"/>
        <w:ind w:right="917"/>
        <w:jc w:val="both"/>
        <w:rPr>
          <w:sz w:val="24"/>
        </w:rPr>
      </w:pPr>
      <w:r>
        <w:rPr>
          <w:sz w:val="24"/>
        </w:rPr>
        <w:t>Australia did not provide confidential versions of the sampling responses, which</w:t>
      </w:r>
      <w:r>
        <w:rPr>
          <w:spacing w:val="-5"/>
          <w:sz w:val="24"/>
        </w:rPr>
        <w:t xml:space="preserve"> </w:t>
      </w:r>
      <w:r>
        <w:rPr>
          <w:sz w:val="24"/>
        </w:rPr>
        <w:t>China</w:t>
      </w:r>
      <w:r>
        <w:rPr>
          <w:spacing w:val="-4"/>
          <w:sz w:val="24"/>
        </w:rPr>
        <w:t xml:space="preserve"> </w:t>
      </w:r>
      <w:r>
        <w:rPr>
          <w:sz w:val="24"/>
        </w:rPr>
        <w:t>vaguely</w:t>
      </w:r>
      <w:r>
        <w:rPr>
          <w:spacing w:val="-2"/>
          <w:sz w:val="24"/>
        </w:rPr>
        <w:t xml:space="preserve"> </w:t>
      </w:r>
      <w:r>
        <w:rPr>
          <w:sz w:val="24"/>
        </w:rPr>
        <w:t>alleges</w:t>
      </w:r>
      <w:r>
        <w:rPr>
          <w:spacing w:val="-2"/>
          <w:sz w:val="24"/>
        </w:rPr>
        <w:t xml:space="preserve"> </w:t>
      </w:r>
      <w:r>
        <w:rPr>
          <w:sz w:val="24"/>
        </w:rPr>
        <w:t>"would</w:t>
      </w:r>
      <w:r>
        <w:rPr>
          <w:spacing w:val="-5"/>
          <w:sz w:val="24"/>
        </w:rPr>
        <w:t xml:space="preserve"> </w:t>
      </w:r>
      <w:r>
        <w:rPr>
          <w:sz w:val="24"/>
        </w:rPr>
        <w:t>have</w:t>
      </w:r>
      <w:r>
        <w:rPr>
          <w:spacing w:val="-3"/>
          <w:sz w:val="24"/>
        </w:rPr>
        <w:t xml:space="preserve"> </w:t>
      </w:r>
      <w:r>
        <w:rPr>
          <w:sz w:val="24"/>
        </w:rPr>
        <w:t>dispelled</w:t>
      </w:r>
      <w:r>
        <w:rPr>
          <w:spacing w:val="-5"/>
          <w:sz w:val="24"/>
        </w:rPr>
        <w:t xml:space="preserve"> </w:t>
      </w:r>
      <w:r>
        <w:rPr>
          <w:sz w:val="24"/>
        </w:rPr>
        <w:t>any</w:t>
      </w:r>
      <w:r>
        <w:rPr>
          <w:spacing w:val="-2"/>
          <w:sz w:val="24"/>
        </w:rPr>
        <w:t xml:space="preserve"> </w:t>
      </w:r>
      <w:r>
        <w:rPr>
          <w:sz w:val="24"/>
        </w:rPr>
        <w:t>doubt</w:t>
      </w:r>
      <w:r>
        <w:rPr>
          <w:spacing w:val="-3"/>
          <w:sz w:val="24"/>
        </w:rPr>
        <w:t xml:space="preserve"> </w:t>
      </w:r>
      <w:r>
        <w:rPr>
          <w:sz w:val="24"/>
        </w:rPr>
        <w:t>as</w:t>
      </w:r>
      <w:r>
        <w:rPr>
          <w:spacing w:val="-2"/>
          <w:sz w:val="24"/>
        </w:rPr>
        <w:t xml:space="preserve"> </w:t>
      </w:r>
      <w:r>
        <w:rPr>
          <w:sz w:val="24"/>
        </w:rPr>
        <w:t>to</w:t>
      </w:r>
      <w:r>
        <w:rPr>
          <w:spacing w:val="-6"/>
          <w:sz w:val="24"/>
        </w:rPr>
        <w:t xml:space="preserve"> </w:t>
      </w:r>
      <w:r>
        <w:rPr>
          <w:sz w:val="24"/>
        </w:rPr>
        <w:t>whether Pernod Ricard should have been included in the sample".</w:t>
      </w:r>
      <w:hyperlink w:anchor="_bookmark1315" w:history="1">
        <w:r>
          <w:rPr>
            <w:sz w:val="24"/>
            <w:vertAlign w:val="superscript"/>
          </w:rPr>
          <w:t>1133</w:t>
        </w:r>
      </w:hyperlink>
    </w:p>
    <w:p w14:paraId="5B7D896A" w14:textId="697C3457" w:rsidR="00BD462C" w:rsidRDefault="0014480F">
      <w:pPr>
        <w:pStyle w:val="BodyText"/>
        <w:spacing w:before="134" w:line="360" w:lineRule="auto"/>
        <w:ind w:left="135" w:right="911"/>
        <w:jc w:val="both"/>
      </w:pPr>
      <w:r>
        <w:rPr>
          <w:noProof/>
        </w:rPr>
        <w:t>751.</w:t>
      </w:r>
      <w:r w:rsidR="00033D0F">
        <w:rPr>
          <w:rFonts w:ascii="Times New Roman"/>
          <w:spacing w:val="80"/>
          <w:position w:val="1"/>
          <w:sz w:val="20"/>
        </w:rPr>
        <w:t xml:space="preserve">  </w:t>
      </w:r>
      <w:r w:rsidR="00033D0F">
        <w:rPr>
          <w:position w:val="1"/>
        </w:rPr>
        <w:t xml:space="preserve">China's arguments replicate the error that MOFCOM made in its construction of the </w:t>
      </w:r>
      <w:r w:rsidR="00033D0F">
        <w:t>sample. Whether or not the data in the sampled companies' responses was accurately reflected</w:t>
      </w:r>
      <w:r w:rsidR="00033D0F">
        <w:rPr>
          <w:spacing w:val="-10"/>
        </w:rPr>
        <w:t xml:space="preserve"> </w:t>
      </w:r>
      <w:r w:rsidR="00033D0F">
        <w:t>in</w:t>
      </w:r>
      <w:r w:rsidR="00033D0F">
        <w:rPr>
          <w:spacing w:val="-10"/>
        </w:rPr>
        <w:t xml:space="preserve"> </w:t>
      </w:r>
      <w:r w:rsidR="00033D0F">
        <w:t>MOFCOM's</w:t>
      </w:r>
      <w:r w:rsidR="00033D0F">
        <w:rPr>
          <w:spacing w:val="-7"/>
        </w:rPr>
        <w:t xml:space="preserve"> </w:t>
      </w:r>
      <w:r w:rsidR="00033D0F">
        <w:t>findings</w:t>
      </w:r>
      <w:r w:rsidR="00033D0F">
        <w:rPr>
          <w:spacing w:val="-7"/>
        </w:rPr>
        <w:t xml:space="preserve"> </w:t>
      </w:r>
      <w:r w:rsidR="00033D0F">
        <w:t>is</w:t>
      </w:r>
      <w:r w:rsidR="00033D0F">
        <w:rPr>
          <w:spacing w:val="-7"/>
        </w:rPr>
        <w:t xml:space="preserve"> </w:t>
      </w:r>
      <w:r w:rsidR="00033D0F">
        <w:t>not</w:t>
      </w:r>
      <w:r w:rsidR="00033D0F">
        <w:rPr>
          <w:spacing w:val="-8"/>
        </w:rPr>
        <w:t xml:space="preserve"> </w:t>
      </w:r>
      <w:r w:rsidR="00033D0F">
        <w:t>determinative</w:t>
      </w:r>
      <w:r w:rsidR="00033D0F">
        <w:rPr>
          <w:spacing w:val="-8"/>
        </w:rPr>
        <w:t xml:space="preserve"> </w:t>
      </w:r>
      <w:r w:rsidR="00033D0F">
        <w:t>of</w:t>
      </w:r>
      <w:r w:rsidR="00033D0F">
        <w:rPr>
          <w:spacing w:val="-10"/>
        </w:rPr>
        <w:t xml:space="preserve"> </w:t>
      </w:r>
      <w:r w:rsidR="00033D0F">
        <w:t>Australia's</w:t>
      </w:r>
      <w:r w:rsidR="00033D0F">
        <w:rPr>
          <w:spacing w:val="-7"/>
        </w:rPr>
        <w:t xml:space="preserve"> </w:t>
      </w:r>
      <w:r w:rsidR="00033D0F">
        <w:t>claim.</w:t>
      </w:r>
      <w:r w:rsidR="00033D0F">
        <w:rPr>
          <w:spacing w:val="-7"/>
        </w:rPr>
        <w:t xml:space="preserve"> </w:t>
      </w:r>
      <w:r w:rsidR="00033D0F">
        <w:t>Nor</w:t>
      </w:r>
      <w:r w:rsidR="00033D0F">
        <w:rPr>
          <w:spacing w:val="-11"/>
        </w:rPr>
        <w:t xml:space="preserve"> </w:t>
      </w:r>
      <w:r w:rsidR="00033D0F">
        <w:t>was</w:t>
      </w:r>
      <w:r w:rsidR="00033D0F">
        <w:rPr>
          <w:spacing w:val="-11"/>
        </w:rPr>
        <w:t xml:space="preserve"> </w:t>
      </w:r>
      <w:r w:rsidR="00033D0F">
        <w:t>it</w:t>
      </w:r>
      <w:r w:rsidR="00033D0F">
        <w:rPr>
          <w:spacing w:val="-8"/>
        </w:rPr>
        <w:t xml:space="preserve"> </w:t>
      </w:r>
      <w:r w:rsidR="00033D0F">
        <w:t>a</w:t>
      </w:r>
      <w:r w:rsidR="00033D0F">
        <w:rPr>
          <w:spacing w:val="-8"/>
        </w:rPr>
        <w:t xml:space="preserve"> </w:t>
      </w:r>
      <w:r w:rsidR="00033D0F">
        <w:t>basis</w:t>
      </w:r>
      <w:r w:rsidR="00033D0F">
        <w:rPr>
          <w:spacing w:val="-7"/>
        </w:rPr>
        <w:t xml:space="preserve"> </w:t>
      </w:r>
      <w:r w:rsidR="00033D0F">
        <w:t>for MOFCOM to disregard Pernod Ricard's submission about: (i) apparent errors in the data that MOFCOM</w:t>
      </w:r>
      <w:r w:rsidR="00033D0F">
        <w:rPr>
          <w:spacing w:val="21"/>
        </w:rPr>
        <w:t xml:space="preserve"> </w:t>
      </w:r>
      <w:r w:rsidR="00033D0F">
        <w:t>relied</w:t>
      </w:r>
      <w:r w:rsidR="00033D0F">
        <w:rPr>
          <w:spacing w:val="19"/>
        </w:rPr>
        <w:t xml:space="preserve"> </w:t>
      </w:r>
      <w:r w:rsidR="00033D0F">
        <w:t>upon,</w:t>
      </w:r>
      <w:r w:rsidR="00033D0F">
        <w:rPr>
          <w:spacing w:val="22"/>
        </w:rPr>
        <w:t xml:space="preserve"> </w:t>
      </w:r>
      <w:r w:rsidR="00033D0F">
        <w:t>and</w:t>
      </w:r>
      <w:r w:rsidR="00033D0F">
        <w:rPr>
          <w:spacing w:val="19"/>
        </w:rPr>
        <w:t xml:space="preserve"> </w:t>
      </w:r>
      <w:r w:rsidR="00033D0F">
        <w:t>(ii)</w:t>
      </w:r>
      <w:r w:rsidR="00033D0F">
        <w:rPr>
          <w:spacing w:val="19"/>
        </w:rPr>
        <w:t xml:space="preserve"> </w:t>
      </w:r>
      <w:r w:rsidR="00033D0F">
        <w:t>the</w:t>
      </w:r>
      <w:r w:rsidR="00033D0F">
        <w:rPr>
          <w:spacing w:val="20"/>
        </w:rPr>
        <w:t xml:space="preserve"> </w:t>
      </w:r>
      <w:r w:rsidR="00033D0F">
        <w:t>apparent</w:t>
      </w:r>
      <w:r w:rsidR="00033D0F">
        <w:rPr>
          <w:spacing w:val="21"/>
        </w:rPr>
        <w:t xml:space="preserve"> </w:t>
      </w:r>
      <w:r w:rsidR="00033D0F">
        <w:t>arbitrariness</w:t>
      </w:r>
      <w:r w:rsidR="00033D0F">
        <w:rPr>
          <w:spacing w:val="22"/>
        </w:rPr>
        <w:t xml:space="preserve"> </w:t>
      </w:r>
      <w:r w:rsidR="00033D0F">
        <w:t>of</w:t>
      </w:r>
      <w:r w:rsidR="00033D0F">
        <w:rPr>
          <w:spacing w:val="19"/>
        </w:rPr>
        <w:t xml:space="preserve"> </w:t>
      </w:r>
      <w:r w:rsidR="00033D0F">
        <w:t>including</w:t>
      </w:r>
      <w:r w:rsidR="00033D0F">
        <w:rPr>
          <w:spacing w:val="22"/>
        </w:rPr>
        <w:t xml:space="preserve"> </w:t>
      </w:r>
      <w:r w:rsidR="00033D0F">
        <w:t>Pernod</w:t>
      </w:r>
      <w:r w:rsidR="00033D0F">
        <w:rPr>
          <w:spacing w:val="20"/>
        </w:rPr>
        <w:t xml:space="preserve"> </w:t>
      </w:r>
      <w:r w:rsidR="00033D0F">
        <w:t>Ricard</w:t>
      </w:r>
      <w:r w:rsidR="00033D0F">
        <w:rPr>
          <w:spacing w:val="19"/>
        </w:rPr>
        <w:t xml:space="preserve"> </w:t>
      </w:r>
      <w:r w:rsidR="00033D0F">
        <w:t>in</w:t>
      </w:r>
      <w:r w:rsidR="00033D0F">
        <w:rPr>
          <w:spacing w:val="19"/>
        </w:rPr>
        <w:t xml:space="preserve"> </w:t>
      </w:r>
      <w:r w:rsidR="00033D0F">
        <w:t>the</w:t>
      </w:r>
    </w:p>
    <w:p w14:paraId="7A0D870A" w14:textId="77777777" w:rsidR="00BD462C" w:rsidRDefault="00BD462C">
      <w:pPr>
        <w:pStyle w:val="BodyText"/>
        <w:rPr>
          <w:sz w:val="20"/>
        </w:rPr>
      </w:pPr>
    </w:p>
    <w:p w14:paraId="74027B2C" w14:textId="77777777" w:rsidR="00BD462C" w:rsidRDefault="00BD462C">
      <w:pPr>
        <w:pStyle w:val="BodyText"/>
        <w:rPr>
          <w:sz w:val="20"/>
        </w:rPr>
      </w:pPr>
    </w:p>
    <w:p w14:paraId="1E3C4098" w14:textId="77777777" w:rsidR="00BD462C" w:rsidRDefault="00BD462C">
      <w:pPr>
        <w:pStyle w:val="BodyText"/>
        <w:rPr>
          <w:sz w:val="20"/>
        </w:rPr>
      </w:pPr>
    </w:p>
    <w:p w14:paraId="0886D992" w14:textId="2D59D8C9" w:rsidR="00BD462C" w:rsidRDefault="00D70C7D">
      <w:pPr>
        <w:pStyle w:val="BodyText"/>
        <w:spacing w:before="10"/>
        <w:rPr>
          <w:sz w:val="17"/>
        </w:rPr>
      </w:pPr>
      <w:r>
        <w:rPr>
          <w:noProof/>
        </w:rPr>
        <mc:AlternateContent>
          <mc:Choice Requires="wps">
            <w:drawing>
              <wp:anchor distT="0" distB="0" distL="0" distR="0" simplePos="0" relativeHeight="487835648" behindDoc="1" locked="0" layoutInCell="1" allowOverlap="1" wp14:anchorId="10353888" wp14:editId="4755F9B1">
                <wp:simplePos x="0" y="0"/>
                <wp:positionH relativeFrom="page">
                  <wp:posOffset>899160</wp:posOffset>
                </wp:positionH>
                <wp:positionV relativeFrom="paragraph">
                  <wp:posOffset>153670</wp:posOffset>
                </wp:positionV>
                <wp:extent cx="1828800" cy="8890"/>
                <wp:effectExtent l="0" t="0" r="0" b="0"/>
                <wp:wrapTopAndBottom/>
                <wp:docPr id="370" name="docshape5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5D67E4" id="docshape537" o:spid="_x0000_s1026" alt="&quot;&quot;" style="position:absolute;margin-left:70.8pt;margin-top:12.1pt;width:2in;height:.7pt;z-index:-1548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" fillcolor="black" stroked="f">
                <w10:wrap type="topAndBottom" anchorx="page"/>
              </v:rect>
            </w:pict>
          </mc:Fallback>
        </mc:AlternateContent>
      </w:r>
    </w:p>
    <w:p w14:paraId="38555B0E" w14:textId="77777777" w:rsidR="00BD462C" w:rsidRDefault="00033D0F">
      <w:pPr>
        <w:spacing w:before="112"/>
        <w:ind w:left="135"/>
        <w:rPr>
          <w:sz w:val="18"/>
        </w:rPr>
      </w:pPr>
      <w:bookmarkStart w:id="1525" w:name="_bookmark1312"/>
      <w:bookmarkEnd w:id="1525"/>
      <w:r>
        <w:rPr>
          <w:position w:val="5"/>
          <w:sz w:val="12"/>
        </w:rPr>
        <w:t>1130</w:t>
      </w:r>
      <w:r>
        <w:rPr>
          <w:spacing w:val="12"/>
          <w:position w:val="5"/>
          <w:sz w:val="12"/>
        </w:rPr>
        <w:t xml:space="preserve"> </w:t>
      </w:r>
      <w:r>
        <w:rPr>
          <w:sz w:val="18"/>
        </w:rPr>
        <w:t>Australia's</w:t>
      </w:r>
      <w:r>
        <w:rPr>
          <w:spacing w:val="-6"/>
          <w:sz w:val="18"/>
        </w:rPr>
        <w:t xml:space="preserve"> </w:t>
      </w:r>
      <w:r>
        <w:rPr>
          <w:sz w:val="18"/>
        </w:rPr>
        <w:t>first</w:t>
      </w:r>
      <w:r>
        <w:rPr>
          <w:spacing w:val="-5"/>
          <w:sz w:val="18"/>
        </w:rPr>
        <w:t xml:space="preserve"> </w:t>
      </w:r>
      <w:r>
        <w:rPr>
          <w:sz w:val="18"/>
        </w:rPr>
        <w:t>written</w:t>
      </w:r>
      <w:r>
        <w:rPr>
          <w:spacing w:val="-2"/>
          <w:sz w:val="18"/>
        </w:rPr>
        <w:t xml:space="preserve"> </w:t>
      </w:r>
      <w:r>
        <w:rPr>
          <w:sz w:val="18"/>
        </w:rPr>
        <w:t>submission, para.</w:t>
      </w:r>
      <w:r>
        <w:rPr>
          <w:spacing w:val="-5"/>
          <w:sz w:val="18"/>
        </w:rPr>
        <w:t xml:space="preserve"> </w:t>
      </w:r>
      <w:r>
        <w:rPr>
          <w:spacing w:val="-4"/>
          <w:sz w:val="18"/>
        </w:rPr>
        <w:t>892.</w:t>
      </w:r>
    </w:p>
    <w:p w14:paraId="3D92F796" w14:textId="77777777" w:rsidR="00BD462C" w:rsidRDefault="00033D0F">
      <w:pPr>
        <w:spacing w:before="1"/>
        <w:ind w:left="135"/>
        <w:rPr>
          <w:sz w:val="18"/>
        </w:rPr>
      </w:pPr>
      <w:bookmarkStart w:id="1526" w:name="_bookmark1313"/>
      <w:bookmarkEnd w:id="1526"/>
      <w:r>
        <w:rPr>
          <w:position w:val="5"/>
          <w:sz w:val="12"/>
        </w:rPr>
        <w:t>1131</w:t>
      </w:r>
      <w:r>
        <w:rPr>
          <w:spacing w:val="13"/>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 xml:space="preserve">para. </w:t>
      </w:r>
      <w:r>
        <w:rPr>
          <w:spacing w:val="-2"/>
          <w:sz w:val="18"/>
        </w:rPr>
        <w:t>2339.</w:t>
      </w:r>
    </w:p>
    <w:p w14:paraId="4A31049E" w14:textId="77777777" w:rsidR="00BD462C" w:rsidRDefault="00033D0F">
      <w:pPr>
        <w:spacing w:before="1"/>
        <w:ind w:left="135"/>
        <w:rPr>
          <w:sz w:val="18"/>
        </w:rPr>
      </w:pPr>
      <w:bookmarkStart w:id="1527" w:name="_bookmark1314"/>
      <w:bookmarkEnd w:id="1527"/>
      <w:r>
        <w:rPr>
          <w:position w:val="5"/>
          <w:sz w:val="12"/>
        </w:rPr>
        <w:t>1132</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paras.</w:t>
      </w:r>
      <w:r>
        <w:rPr>
          <w:spacing w:val="-5"/>
          <w:sz w:val="18"/>
        </w:rPr>
        <w:t xml:space="preserve"> </w:t>
      </w:r>
      <w:r>
        <w:rPr>
          <w:sz w:val="18"/>
        </w:rPr>
        <w:t>2342-</w:t>
      </w:r>
      <w:r>
        <w:rPr>
          <w:spacing w:val="-2"/>
          <w:sz w:val="18"/>
        </w:rPr>
        <w:t>2343.</w:t>
      </w:r>
    </w:p>
    <w:p w14:paraId="558AF40B" w14:textId="77777777" w:rsidR="00BD462C" w:rsidRDefault="00033D0F">
      <w:pPr>
        <w:spacing w:before="1"/>
        <w:ind w:left="135"/>
        <w:rPr>
          <w:sz w:val="18"/>
        </w:rPr>
      </w:pPr>
      <w:bookmarkStart w:id="1528" w:name="_bookmark1315"/>
      <w:bookmarkEnd w:id="1528"/>
      <w:r>
        <w:rPr>
          <w:position w:val="5"/>
          <w:sz w:val="12"/>
        </w:rPr>
        <w:t>1133</w:t>
      </w:r>
      <w:r>
        <w:rPr>
          <w:spacing w:val="13"/>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 xml:space="preserve">para. </w:t>
      </w:r>
      <w:r>
        <w:rPr>
          <w:spacing w:val="-2"/>
          <w:sz w:val="18"/>
        </w:rPr>
        <w:t>2345.</w:t>
      </w:r>
    </w:p>
    <w:p w14:paraId="4EC1313F" w14:textId="77777777" w:rsidR="00BD462C" w:rsidRDefault="00BD462C">
      <w:pPr>
        <w:rPr>
          <w:sz w:val="18"/>
        </w:rPr>
        <w:sectPr w:rsidR="00BD462C">
          <w:pgSz w:w="11910" w:h="16840"/>
          <w:pgMar w:top="860" w:right="500" w:bottom="780" w:left="1280" w:header="566" w:footer="590" w:gutter="0"/>
          <w:cols w:space="720"/>
        </w:sectPr>
      </w:pPr>
    </w:p>
    <w:p w14:paraId="648B2343"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48D4B853"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23B03314"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39A44176" w14:textId="77777777" w:rsidR="00BD462C" w:rsidRDefault="00033D0F">
      <w:pPr>
        <w:pStyle w:val="BodyText"/>
        <w:spacing w:before="102" w:line="357" w:lineRule="auto"/>
        <w:ind w:left="136"/>
      </w:pPr>
      <w:r>
        <w:t>sample</w:t>
      </w:r>
      <w:r>
        <w:rPr>
          <w:spacing w:val="25"/>
        </w:rPr>
        <w:t xml:space="preserve"> </w:t>
      </w:r>
      <w:r>
        <w:t>for the</w:t>
      </w:r>
      <w:r>
        <w:rPr>
          <w:spacing w:val="25"/>
        </w:rPr>
        <w:t xml:space="preserve"> </w:t>
      </w:r>
      <w:r>
        <w:t>CVD</w:t>
      </w:r>
      <w:r>
        <w:rPr>
          <w:spacing w:val="26"/>
        </w:rPr>
        <w:t xml:space="preserve"> </w:t>
      </w:r>
      <w:r>
        <w:t>investigation while</w:t>
      </w:r>
      <w:r>
        <w:rPr>
          <w:spacing w:val="25"/>
        </w:rPr>
        <w:t xml:space="preserve"> </w:t>
      </w:r>
      <w:r>
        <w:t>excluding</w:t>
      </w:r>
      <w:r>
        <w:rPr>
          <w:spacing w:val="27"/>
        </w:rPr>
        <w:t xml:space="preserve"> </w:t>
      </w:r>
      <w:r>
        <w:t>it</w:t>
      </w:r>
      <w:r>
        <w:rPr>
          <w:spacing w:val="26"/>
        </w:rPr>
        <w:t xml:space="preserve"> </w:t>
      </w:r>
      <w:r>
        <w:t>from</w:t>
      </w:r>
      <w:r>
        <w:rPr>
          <w:spacing w:val="25"/>
        </w:rPr>
        <w:t xml:space="preserve"> </w:t>
      </w:r>
      <w:r>
        <w:t>the</w:t>
      </w:r>
      <w:r>
        <w:rPr>
          <w:spacing w:val="25"/>
        </w:rPr>
        <w:t xml:space="preserve"> </w:t>
      </w:r>
      <w:r>
        <w:t>sample</w:t>
      </w:r>
      <w:r>
        <w:rPr>
          <w:spacing w:val="25"/>
        </w:rPr>
        <w:t xml:space="preserve"> </w:t>
      </w:r>
      <w:r>
        <w:t>for the</w:t>
      </w:r>
      <w:r>
        <w:rPr>
          <w:spacing w:val="30"/>
        </w:rPr>
        <w:t xml:space="preserve"> </w:t>
      </w:r>
      <w:r>
        <w:t xml:space="preserve">anti-dumping </w:t>
      </w:r>
      <w:r>
        <w:rPr>
          <w:spacing w:val="-2"/>
        </w:rPr>
        <w:t>investigation.</w:t>
      </w:r>
    </w:p>
    <w:p w14:paraId="6D70125F" w14:textId="77777777" w:rsidR="00BD462C" w:rsidRDefault="00BD462C">
      <w:pPr>
        <w:pStyle w:val="BodyText"/>
        <w:spacing w:before="3"/>
        <w:rPr>
          <w:sz w:val="9"/>
        </w:rPr>
      </w:pPr>
    </w:p>
    <w:p w14:paraId="7F7DC3CA" w14:textId="15F5F644" w:rsidR="00BD462C" w:rsidRDefault="00D70C7D">
      <w:pPr>
        <w:pStyle w:val="BodyText"/>
        <w:tabs>
          <w:tab w:val="left" w:pos="1921"/>
          <w:tab w:val="left" w:pos="3198"/>
          <w:tab w:val="left" w:pos="4527"/>
          <w:tab w:val="right" w:pos="9202"/>
        </w:tabs>
        <w:spacing w:before="56" w:line="360" w:lineRule="auto"/>
        <w:ind w:left="135" w:right="916"/>
        <w:jc w:val="both"/>
      </w:pPr>
      <w:r>
        <w:rPr>
          <w:noProof/>
        </w:rPr>
        <mc:AlternateContent>
          <mc:Choice Requires="wps">
            <w:drawing>
              <wp:anchor distT="0" distB="0" distL="114300" distR="114300" simplePos="0" relativeHeight="479138816" behindDoc="1" locked="0" layoutInCell="1" allowOverlap="1" wp14:anchorId="64C6671C" wp14:editId="177356ED">
                <wp:simplePos x="0" y="0"/>
                <wp:positionH relativeFrom="page">
                  <wp:posOffset>4663440</wp:posOffset>
                </wp:positionH>
                <wp:positionV relativeFrom="paragraph">
                  <wp:posOffset>1704975</wp:posOffset>
                </wp:positionV>
                <wp:extent cx="91440" cy="186055"/>
                <wp:effectExtent l="0" t="0" r="0" b="0"/>
                <wp:wrapNone/>
                <wp:docPr id="368" name="docshape5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E1352F" id="docshape538" o:spid="_x0000_s1026" alt="&quot;&quot;" style="position:absolute;margin-left:367.2pt;margin-top:134.25pt;width:7.2pt;height:14.65pt;z-index:-2417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" fillcolor="black" stroked="f">
                <w10:wrap anchorx="page"/>
              </v:rect>
            </w:pict>
          </mc:Fallback>
        </mc:AlternateContent>
      </w:r>
      <w:r w:rsidR="00616BCC">
        <w:rPr>
          <w:noProof/>
        </w:rPr>
        <w:t>752.</w:t>
      </w:r>
      <w:r w:rsidR="00033D0F">
        <w:rPr>
          <w:rFonts w:ascii="Times New Roman"/>
          <w:spacing w:val="80"/>
          <w:w w:val="150"/>
          <w:position w:val="1"/>
          <w:sz w:val="20"/>
        </w:rPr>
        <w:t xml:space="preserve"> </w:t>
      </w:r>
      <w:r w:rsidR="00033D0F">
        <w:rPr>
          <w:position w:val="1"/>
        </w:rPr>
        <w:t xml:space="preserve">Australia's case concerns MOFCOM's failures to take steps to seek clarification, </w:t>
      </w:r>
      <w:r w:rsidR="00033D0F">
        <w:t xml:space="preserve">including by: (i) checking the accuracy of the data on which its selection was purportedly based; and (ii) properly considering Pernod Ricard's submissions and request to be included when put on notice that it was a major exporter of subject products that had been included in the CVD investigation sample. In order to make out this claim Australia is not required, as China asserts, to adduce evidence that was not on the investigation record that would </w:t>
      </w:r>
      <w:r w:rsidR="00033D0F">
        <w:rPr>
          <w:spacing w:val="-2"/>
        </w:rPr>
        <w:t>substantiate</w:t>
      </w:r>
      <w:r w:rsidR="00033D0F">
        <w:tab/>
      </w:r>
      <w:r w:rsidR="00033D0F">
        <w:rPr>
          <w:spacing w:val="-2"/>
        </w:rPr>
        <w:t>Pernod</w:t>
      </w:r>
      <w:r w:rsidR="00033D0F">
        <w:tab/>
      </w:r>
      <w:r w:rsidR="00033D0F">
        <w:rPr>
          <w:spacing w:val="-2"/>
        </w:rPr>
        <w:t>Ricard's</w:t>
      </w:r>
      <w:r w:rsidR="00033D0F">
        <w:tab/>
      </w:r>
      <w:r w:rsidR="00033D0F">
        <w:rPr>
          <w:spacing w:val="-2"/>
        </w:rPr>
        <w:t>allegation</w:t>
      </w:r>
      <w:r w:rsidR="00033D0F">
        <w:tab/>
      </w:r>
      <w:r w:rsidR="00033D0F">
        <w:rPr>
          <w:spacing w:val="-2"/>
        </w:rPr>
        <w:t>XXXXXXXXXXXXXXXXXXXXXXXX</w:t>
      </w:r>
    </w:p>
    <w:p w14:paraId="16CD1133" w14:textId="77777777" w:rsidR="00BD462C" w:rsidRDefault="00033D0F">
      <w:pPr>
        <w:pStyle w:val="BodyText"/>
        <w:spacing w:line="360" w:lineRule="auto"/>
        <w:ind w:left="136" w:right="916"/>
        <w:jc w:val="both"/>
      </w:pPr>
      <w:r>
        <w:t>XXXXXXX]</w:t>
      </w:r>
      <w:proofErr w:type="gramStart"/>
      <w:r>
        <w:t>].Accordingly</w:t>
      </w:r>
      <w:proofErr w:type="gramEnd"/>
      <w:r>
        <w:t>, China's assertion that the potentially defective data was correctly sequenced by MOFCOM is not directly relevant to Australia's arguments and incapable of establishing a rebuttal.</w:t>
      </w:r>
    </w:p>
    <w:p w14:paraId="54198BE5" w14:textId="44D9C8CA" w:rsidR="00BD462C" w:rsidRDefault="00616BCC">
      <w:pPr>
        <w:pStyle w:val="BodyText"/>
        <w:spacing w:before="160" w:line="360" w:lineRule="auto"/>
        <w:ind w:left="135" w:right="911"/>
        <w:jc w:val="both"/>
      </w:pPr>
      <w:r>
        <w:rPr>
          <w:noProof/>
        </w:rPr>
        <w:t>753.</w:t>
      </w:r>
      <w:r w:rsidR="00033D0F">
        <w:rPr>
          <w:rFonts w:ascii="Times New Roman"/>
          <w:spacing w:val="80"/>
          <w:w w:val="150"/>
          <w:position w:val="1"/>
          <w:sz w:val="20"/>
        </w:rPr>
        <w:t xml:space="preserve"> </w:t>
      </w:r>
      <w:r w:rsidR="00033D0F">
        <w:rPr>
          <w:position w:val="1"/>
        </w:rPr>
        <w:t xml:space="preserve">Further, China's professed regret at Australia having "opted to not provide the </w:t>
      </w:r>
      <w:r w:rsidR="00033D0F">
        <w:t>confidential versions" of the sampling responses is both misleading and disingenuous.</w:t>
      </w:r>
      <w:hyperlink w:anchor="_bookmark1317" w:history="1">
        <w:r w:rsidR="00033D0F">
          <w:rPr>
            <w:vertAlign w:val="superscript"/>
          </w:rPr>
          <w:t>1134</w:t>
        </w:r>
      </w:hyperlink>
      <w:r w:rsidR="00033D0F">
        <w:t xml:space="preserve"> China has confirmed that, unlike Australia, "MOFCOM obviously has these confidential Sampling Responses", but has declined to submit them as exhibits in this dispute.</w:t>
      </w:r>
      <w:hyperlink w:anchor="_bookmark1318" w:history="1">
        <w:r w:rsidR="00033D0F">
          <w:rPr>
            <w:vertAlign w:val="superscript"/>
          </w:rPr>
          <w:t>1135</w:t>
        </w:r>
      </w:hyperlink>
      <w:r w:rsidR="00033D0F">
        <w:t xml:space="preserve"> If, as China</w:t>
      </w:r>
      <w:r w:rsidR="00033D0F">
        <w:rPr>
          <w:spacing w:val="-4"/>
        </w:rPr>
        <w:t xml:space="preserve"> </w:t>
      </w:r>
      <w:r w:rsidR="00033D0F">
        <w:t>contends,</w:t>
      </w:r>
      <w:r w:rsidR="00033D0F">
        <w:rPr>
          <w:spacing w:val="-1"/>
        </w:rPr>
        <w:t xml:space="preserve"> </w:t>
      </w:r>
      <w:r w:rsidR="00033D0F">
        <w:t>evidence</w:t>
      </w:r>
      <w:r w:rsidR="00033D0F">
        <w:rPr>
          <w:spacing w:val="-3"/>
        </w:rPr>
        <w:t xml:space="preserve"> </w:t>
      </w:r>
      <w:r w:rsidR="00033D0F">
        <w:t>of</w:t>
      </w:r>
      <w:r w:rsidR="00033D0F">
        <w:rPr>
          <w:spacing w:val="-5"/>
        </w:rPr>
        <w:t xml:space="preserve"> </w:t>
      </w:r>
      <w:r w:rsidR="00033D0F">
        <w:t>what</w:t>
      </w:r>
      <w:r w:rsidR="00033D0F">
        <w:rPr>
          <w:spacing w:val="-3"/>
        </w:rPr>
        <w:t xml:space="preserve"> </w:t>
      </w:r>
      <w:r w:rsidR="00033D0F">
        <w:t>these</w:t>
      </w:r>
      <w:r w:rsidR="00033D0F">
        <w:rPr>
          <w:spacing w:val="-8"/>
        </w:rPr>
        <w:t xml:space="preserve"> </w:t>
      </w:r>
      <w:r w:rsidR="00033D0F">
        <w:t>showed</w:t>
      </w:r>
      <w:r w:rsidR="00033D0F">
        <w:rPr>
          <w:spacing w:val="-5"/>
        </w:rPr>
        <w:t xml:space="preserve"> </w:t>
      </w:r>
      <w:r w:rsidR="00033D0F">
        <w:t>is</w:t>
      </w:r>
      <w:r w:rsidR="00033D0F">
        <w:rPr>
          <w:spacing w:val="-7"/>
        </w:rPr>
        <w:t xml:space="preserve"> </w:t>
      </w:r>
      <w:r w:rsidR="00033D0F">
        <w:t>relevant</w:t>
      </w:r>
      <w:r w:rsidR="00033D0F">
        <w:rPr>
          <w:spacing w:val="-3"/>
        </w:rPr>
        <w:t xml:space="preserve"> </w:t>
      </w:r>
      <w:r w:rsidR="00033D0F">
        <w:t>to</w:t>
      </w:r>
      <w:r w:rsidR="00033D0F">
        <w:rPr>
          <w:spacing w:val="-6"/>
        </w:rPr>
        <w:t xml:space="preserve"> </w:t>
      </w:r>
      <w:r w:rsidR="00033D0F">
        <w:t>the</w:t>
      </w:r>
      <w:r w:rsidR="00033D0F">
        <w:rPr>
          <w:spacing w:val="-8"/>
        </w:rPr>
        <w:t xml:space="preserve"> </w:t>
      </w:r>
      <w:r w:rsidR="00033D0F">
        <w:t>issues</w:t>
      </w:r>
      <w:r w:rsidR="00033D0F">
        <w:rPr>
          <w:spacing w:val="-7"/>
        </w:rPr>
        <w:t xml:space="preserve"> </w:t>
      </w:r>
      <w:r w:rsidR="00033D0F">
        <w:t>in</w:t>
      </w:r>
      <w:r w:rsidR="00033D0F">
        <w:rPr>
          <w:spacing w:val="-5"/>
        </w:rPr>
        <w:t xml:space="preserve"> </w:t>
      </w:r>
      <w:r w:rsidR="00033D0F">
        <w:t>dispute,</w:t>
      </w:r>
      <w:r w:rsidR="00033D0F">
        <w:rPr>
          <w:spacing w:val="-1"/>
        </w:rPr>
        <w:t xml:space="preserve"> </w:t>
      </w:r>
      <w:r w:rsidR="00033D0F">
        <w:t>then</w:t>
      </w:r>
      <w:r w:rsidR="00033D0F">
        <w:rPr>
          <w:spacing w:val="-5"/>
        </w:rPr>
        <w:t xml:space="preserve"> </w:t>
      </w:r>
      <w:r w:rsidR="00033D0F">
        <w:t>only China</w:t>
      </w:r>
      <w:r w:rsidR="00033D0F">
        <w:rPr>
          <w:spacing w:val="-9"/>
        </w:rPr>
        <w:t xml:space="preserve"> </w:t>
      </w:r>
      <w:r w:rsidR="00033D0F">
        <w:t>can</w:t>
      </w:r>
      <w:r w:rsidR="00033D0F">
        <w:rPr>
          <w:spacing w:val="-10"/>
        </w:rPr>
        <w:t xml:space="preserve"> </w:t>
      </w:r>
      <w:r w:rsidR="00033D0F">
        <w:t>put</w:t>
      </w:r>
      <w:r w:rsidR="00033D0F">
        <w:rPr>
          <w:spacing w:val="-8"/>
        </w:rPr>
        <w:t xml:space="preserve"> </w:t>
      </w:r>
      <w:r w:rsidR="00033D0F">
        <w:t>this</w:t>
      </w:r>
      <w:r w:rsidR="00033D0F">
        <w:rPr>
          <w:spacing w:val="-7"/>
        </w:rPr>
        <w:t xml:space="preserve"> </w:t>
      </w:r>
      <w:r w:rsidR="00033D0F">
        <w:t>evidence</w:t>
      </w:r>
      <w:r w:rsidR="00033D0F">
        <w:rPr>
          <w:spacing w:val="-8"/>
        </w:rPr>
        <w:t xml:space="preserve"> </w:t>
      </w:r>
      <w:r w:rsidR="00033D0F">
        <w:t>before</w:t>
      </w:r>
      <w:r w:rsidR="00033D0F">
        <w:rPr>
          <w:spacing w:val="-8"/>
        </w:rPr>
        <w:t xml:space="preserve"> </w:t>
      </w:r>
      <w:r w:rsidR="00033D0F">
        <w:t>the</w:t>
      </w:r>
      <w:r w:rsidR="00033D0F">
        <w:rPr>
          <w:spacing w:val="-8"/>
        </w:rPr>
        <w:t xml:space="preserve"> </w:t>
      </w:r>
      <w:r w:rsidR="00033D0F">
        <w:t>Panel.</w:t>
      </w:r>
      <w:r w:rsidR="00033D0F">
        <w:rPr>
          <w:spacing w:val="-7"/>
        </w:rPr>
        <w:t xml:space="preserve"> </w:t>
      </w:r>
      <w:r w:rsidR="00033D0F">
        <w:t>However,</w:t>
      </w:r>
      <w:r w:rsidR="00033D0F">
        <w:rPr>
          <w:spacing w:val="-6"/>
        </w:rPr>
        <w:t xml:space="preserve"> </w:t>
      </w:r>
      <w:r w:rsidR="00033D0F">
        <w:t>in</w:t>
      </w:r>
      <w:r w:rsidR="00033D0F">
        <w:rPr>
          <w:spacing w:val="-10"/>
        </w:rPr>
        <w:t xml:space="preserve"> </w:t>
      </w:r>
      <w:r w:rsidR="00033D0F">
        <w:t>Australia's</w:t>
      </w:r>
      <w:r w:rsidR="00033D0F">
        <w:rPr>
          <w:spacing w:val="-11"/>
        </w:rPr>
        <w:t xml:space="preserve"> </w:t>
      </w:r>
      <w:r w:rsidR="00033D0F">
        <w:t>view,</w:t>
      </w:r>
      <w:r w:rsidR="00033D0F">
        <w:rPr>
          <w:spacing w:val="-6"/>
        </w:rPr>
        <w:t xml:space="preserve"> </w:t>
      </w:r>
      <w:r w:rsidR="00033D0F">
        <w:t>the</w:t>
      </w:r>
      <w:r w:rsidR="00033D0F">
        <w:rPr>
          <w:spacing w:val="-8"/>
        </w:rPr>
        <w:t xml:space="preserve"> </w:t>
      </w:r>
      <w:r w:rsidR="00033D0F">
        <w:t>Panel</w:t>
      </w:r>
      <w:r w:rsidR="00033D0F">
        <w:rPr>
          <w:spacing w:val="-6"/>
        </w:rPr>
        <w:t xml:space="preserve"> </w:t>
      </w:r>
      <w:r w:rsidR="00033D0F">
        <w:t>does</w:t>
      </w:r>
      <w:r w:rsidR="00033D0F">
        <w:rPr>
          <w:spacing w:val="-7"/>
        </w:rPr>
        <w:t xml:space="preserve"> </w:t>
      </w:r>
      <w:r w:rsidR="00033D0F">
        <w:t>not need these data to find that MOFCOM's conduct was inconsistent with China's obligations under Article 6.10.</w:t>
      </w:r>
    </w:p>
    <w:p w14:paraId="7318BD22" w14:textId="77777777" w:rsidR="00BD462C" w:rsidRDefault="00033D0F">
      <w:pPr>
        <w:pStyle w:val="Heading3"/>
        <w:numPr>
          <w:ilvl w:val="0"/>
          <w:numId w:val="27"/>
        </w:numPr>
        <w:tabs>
          <w:tab w:val="left" w:pos="2545"/>
          <w:tab w:val="left" w:pos="2546"/>
        </w:tabs>
        <w:spacing w:before="157"/>
      </w:pPr>
      <w:bookmarkStart w:id="1529" w:name="3._Conclusion"/>
      <w:bookmarkStart w:id="1530" w:name="_bookmark1316"/>
      <w:bookmarkEnd w:id="1529"/>
      <w:bookmarkEnd w:id="1530"/>
      <w:r>
        <w:rPr>
          <w:spacing w:val="-2"/>
        </w:rPr>
        <w:t>Conclusion</w:t>
      </w:r>
    </w:p>
    <w:p w14:paraId="171CC59A" w14:textId="7A37E47E" w:rsidR="00BD462C" w:rsidRDefault="00616BCC">
      <w:pPr>
        <w:pStyle w:val="BodyText"/>
        <w:spacing w:before="312" w:line="355" w:lineRule="auto"/>
        <w:ind w:left="135"/>
      </w:pPr>
      <w:r>
        <w:rPr>
          <w:noProof/>
        </w:rPr>
        <w:t>754.</w:t>
      </w:r>
      <w:r w:rsidR="00033D0F">
        <w:rPr>
          <w:rFonts w:ascii="Times New Roman"/>
          <w:spacing w:val="80"/>
          <w:w w:val="150"/>
          <w:position w:val="1"/>
          <w:sz w:val="20"/>
        </w:rPr>
        <w:t xml:space="preserve">  </w:t>
      </w:r>
      <w:r w:rsidR="00033D0F">
        <w:rPr>
          <w:position w:val="1"/>
        </w:rPr>
        <w:t xml:space="preserve">For the reasons set out above and in Australia's earlier submissions MOFCOM acted </w:t>
      </w:r>
      <w:r w:rsidR="00033D0F">
        <w:t>inconsistently with China's obligations under Article 6.10 of the Anti-Dumping Agreement.</w:t>
      </w:r>
    </w:p>
    <w:p w14:paraId="45D56F59" w14:textId="77777777" w:rsidR="00BD462C" w:rsidRDefault="00BD462C">
      <w:pPr>
        <w:pStyle w:val="BodyText"/>
        <w:rPr>
          <w:sz w:val="20"/>
        </w:rPr>
      </w:pPr>
    </w:p>
    <w:p w14:paraId="281D9156" w14:textId="77777777" w:rsidR="00BD462C" w:rsidRDefault="00BD462C">
      <w:pPr>
        <w:pStyle w:val="BodyText"/>
        <w:rPr>
          <w:sz w:val="20"/>
        </w:rPr>
      </w:pPr>
    </w:p>
    <w:p w14:paraId="115D4838" w14:textId="77777777" w:rsidR="00BD462C" w:rsidRDefault="00BD462C">
      <w:pPr>
        <w:pStyle w:val="BodyText"/>
        <w:rPr>
          <w:sz w:val="20"/>
        </w:rPr>
      </w:pPr>
    </w:p>
    <w:p w14:paraId="42A833C2" w14:textId="77777777" w:rsidR="00BD462C" w:rsidRDefault="00BD462C">
      <w:pPr>
        <w:pStyle w:val="BodyText"/>
        <w:rPr>
          <w:sz w:val="20"/>
        </w:rPr>
      </w:pPr>
    </w:p>
    <w:p w14:paraId="49D661C8" w14:textId="77777777" w:rsidR="00BD462C" w:rsidRDefault="00BD462C">
      <w:pPr>
        <w:pStyle w:val="BodyText"/>
        <w:rPr>
          <w:sz w:val="20"/>
        </w:rPr>
      </w:pPr>
    </w:p>
    <w:p w14:paraId="40721A5C" w14:textId="77777777" w:rsidR="00BD462C" w:rsidRDefault="00BD462C">
      <w:pPr>
        <w:pStyle w:val="BodyText"/>
        <w:rPr>
          <w:sz w:val="20"/>
        </w:rPr>
      </w:pPr>
    </w:p>
    <w:p w14:paraId="746A1A0E" w14:textId="77777777" w:rsidR="00BD462C" w:rsidRDefault="00BD462C">
      <w:pPr>
        <w:pStyle w:val="BodyText"/>
        <w:rPr>
          <w:sz w:val="20"/>
        </w:rPr>
      </w:pPr>
    </w:p>
    <w:p w14:paraId="257674BD" w14:textId="77777777" w:rsidR="00BD462C" w:rsidRDefault="00BD462C">
      <w:pPr>
        <w:pStyle w:val="BodyText"/>
        <w:rPr>
          <w:sz w:val="20"/>
        </w:rPr>
      </w:pPr>
    </w:p>
    <w:p w14:paraId="4C692EA2" w14:textId="77777777" w:rsidR="00BD462C" w:rsidRDefault="00BD462C">
      <w:pPr>
        <w:pStyle w:val="BodyText"/>
        <w:rPr>
          <w:sz w:val="20"/>
        </w:rPr>
      </w:pPr>
    </w:p>
    <w:p w14:paraId="7A2ECAA0" w14:textId="5D587E1F" w:rsidR="00BD462C" w:rsidRDefault="00D70C7D">
      <w:pPr>
        <w:pStyle w:val="BodyText"/>
        <w:spacing w:before="5"/>
        <w:rPr>
          <w:sz w:val="15"/>
        </w:rPr>
      </w:pPr>
      <w:r>
        <w:rPr>
          <w:noProof/>
        </w:rPr>
        <mc:AlternateContent>
          <mc:Choice Requires="wps">
            <w:drawing>
              <wp:anchor distT="0" distB="0" distL="0" distR="0" simplePos="0" relativeHeight="487837184" behindDoc="1" locked="0" layoutInCell="1" allowOverlap="1" wp14:anchorId="6C6BE6E2" wp14:editId="4858CFBF">
                <wp:simplePos x="0" y="0"/>
                <wp:positionH relativeFrom="page">
                  <wp:posOffset>899160</wp:posOffset>
                </wp:positionH>
                <wp:positionV relativeFrom="paragraph">
                  <wp:posOffset>134620</wp:posOffset>
                </wp:positionV>
                <wp:extent cx="1828800" cy="8890"/>
                <wp:effectExtent l="0" t="0" r="0" b="0"/>
                <wp:wrapTopAndBottom/>
                <wp:docPr id="366" name="docshape5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0E2963" id="docshape539" o:spid="_x0000_s1026" alt="&quot;&quot;" style="position:absolute;margin-left:70.8pt;margin-top:10.6pt;width:2in;height:.7pt;z-index:-1547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" fillcolor="black" stroked="f">
                <w10:wrap type="topAndBottom" anchorx="page"/>
              </v:rect>
            </w:pict>
          </mc:Fallback>
        </mc:AlternateContent>
      </w:r>
    </w:p>
    <w:p w14:paraId="70204ACB" w14:textId="77777777" w:rsidR="00BD462C" w:rsidRDefault="00033D0F">
      <w:pPr>
        <w:spacing w:before="112"/>
        <w:ind w:left="135"/>
        <w:rPr>
          <w:sz w:val="18"/>
        </w:rPr>
      </w:pPr>
      <w:bookmarkStart w:id="1531" w:name="_bookmark1317"/>
      <w:bookmarkEnd w:id="1531"/>
      <w:r>
        <w:rPr>
          <w:position w:val="5"/>
          <w:sz w:val="12"/>
        </w:rPr>
        <w:t>1134</w:t>
      </w:r>
      <w:r>
        <w:rPr>
          <w:spacing w:val="14"/>
          <w:position w:val="5"/>
          <w:sz w:val="12"/>
        </w:rPr>
        <w:t xml:space="preserve"> </w:t>
      </w:r>
      <w:r>
        <w:rPr>
          <w:sz w:val="18"/>
        </w:rPr>
        <w:t>China</w:t>
      </w:r>
      <w:r>
        <w:rPr>
          <w:spacing w:val="-7"/>
          <w:sz w:val="18"/>
        </w:rPr>
        <w:t xml:space="preserve"> </w:t>
      </w:r>
      <w:r>
        <w:rPr>
          <w:sz w:val="18"/>
        </w:rPr>
        <w:t>first written</w:t>
      </w:r>
      <w:r>
        <w:rPr>
          <w:spacing w:val="-5"/>
          <w:sz w:val="18"/>
        </w:rPr>
        <w:t xml:space="preserve"> </w:t>
      </w:r>
      <w:r>
        <w:rPr>
          <w:sz w:val="18"/>
        </w:rPr>
        <w:t>submission,</w:t>
      </w:r>
      <w:r>
        <w:rPr>
          <w:spacing w:val="-3"/>
          <w:sz w:val="18"/>
        </w:rPr>
        <w:t xml:space="preserve"> </w:t>
      </w:r>
      <w:r>
        <w:rPr>
          <w:sz w:val="18"/>
        </w:rPr>
        <w:t>para.</w:t>
      </w:r>
      <w:r>
        <w:rPr>
          <w:spacing w:val="1"/>
          <w:sz w:val="18"/>
        </w:rPr>
        <w:t xml:space="preserve"> </w:t>
      </w:r>
      <w:r>
        <w:rPr>
          <w:sz w:val="18"/>
        </w:rPr>
        <w:t>2344;</w:t>
      </w:r>
      <w:r>
        <w:rPr>
          <w:spacing w:val="-6"/>
          <w:sz w:val="18"/>
        </w:rPr>
        <w:t xml:space="preserve"> </w:t>
      </w:r>
      <w:r>
        <w:rPr>
          <w:sz w:val="18"/>
        </w:rPr>
        <w:t>see</w:t>
      </w:r>
      <w:r>
        <w:rPr>
          <w:spacing w:val="-1"/>
          <w:sz w:val="18"/>
        </w:rPr>
        <w:t xml:space="preserve"> </w:t>
      </w:r>
      <w:r>
        <w:rPr>
          <w:sz w:val="18"/>
        </w:rPr>
        <w:t>also</w:t>
      </w:r>
      <w:r>
        <w:rPr>
          <w:spacing w:val="-6"/>
          <w:sz w:val="18"/>
        </w:rPr>
        <w:t xml:space="preserve"> </w:t>
      </w:r>
      <w:r>
        <w:rPr>
          <w:sz w:val="18"/>
        </w:rPr>
        <w:t>China's</w:t>
      </w:r>
      <w:r>
        <w:rPr>
          <w:spacing w:val="-4"/>
          <w:sz w:val="18"/>
        </w:rPr>
        <w:t xml:space="preserve"> </w:t>
      </w:r>
      <w:r>
        <w:rPr>
          <w:sz w:val="18"/>
        </w:rPr>
        <w:t>response</w:t>
      </w:r>
      <w:r>
        <w:rPr>
          <w:spacing w:val="-5"/>
          <w:sz w:val="18"/>
        </w:rPr>
        <w:t xml:space="preserve"> </w:t>
      </w:r>
      <w:r>
        <w:rPr>
          <w:sz w:val="18"/>
        </w:rPr>
        <w:t>to</w:t>
      </w:r>
      <w:r>
        <w:rPr>
          <w:spacing w:val="-5"/>
          <w:sz w:val="18"/>
        </w:rPr>
        <w:t xml:space="preserve"> </w:t>
      </w:r>
      <w:r>
        <w:rPr>
          <w:sz w:val="18"/>
        </w:rPr>
        <w:t>Panel</w:t>
      </w:r>
      <w:r>
        <w:rPr>
          <w:spacing w:val="-4"/>
          <w:sz w:val="18"/>
        </w:rPr>
        <w:t xml:space="preserve"> </w:t>
      </w:r>
      <w:r>
        <w:rPr>
          <w:sz w:val="18"/>
        </w:rPr>
        <w:t>question</w:t>
      </w:r>
      <w:r>
        <w:rPr>
          <w:spacing w:val="-9"/>
          <w:sz w:val="18"/>
        </w:rPr>
        <w:t xml:space="preserve"> </w:t>
      </w:r>
      <w:r>
        <w:rPr>
          <w:sz w:val="18"/>
        </w:rPr>
        <w:t>No.</w:t>
      </w:r>
      <w:r>
        <w:rPr>
          <w:spacing w:val="-4"/>
          <w:sz w:val="18"/>
        </w:rPr>
        <w:t xml:space="preserve"> </w:t>
      </w:r>
      <w:r>
        <w:rPr>
          <w:sz w:val="18"/>
        </w:rPr>
        <w:t>14,</w:t>
      </w:r>
      <w:r>
        <w:rPr>
          <w:spacing w:val="2"/>
          <w:sz w:val="18"/>
        </w:rPr>
        <w:t xml:space="preserve"> </w:t>
      </w:r>
      <w:r>
        <w:rPr>
          <w:sz w:val="18"/>
        </w:rPr>
        <w:t>para.</w:t>
      </w:r>
      <w:r>
        <w:rPr>
          <w:spacing w:val="1"/>
          <w:sz w:val="18"/>
        </w:rPr>
        <w:t xml:space="preserve"> </w:t>
      </w:r>
      <w:r>
        <w:rPr>
          <w:spacing w:val="-5"/>
          <w:sz w:val="18"/>
        </w:rPr>
        <w:t>49.</w:t>
      </w:r>
    </w:p>
    <w:p w14:paraId="21E23287" w14:textId="77777777" w:rsidR="00BD462C" w:rsidRDefault="00033D0F">
      <w:pPr>
        <w:spacing w:before="1"/>
        <w:ind w:left="135"/>
        <w:rPr>
          <w:sz w:val="18"/>
        </w:rPr>
      </w:pPr>
      <w:bookmarkStart w:id="1532" w:name="_bookmark1318"/>
      <w:bookmarkEnd w:id="1532"/>
      <w:r>
        <w:rPr>
          <w:position w:val="5"/>
          <w:sz w:val="12"/>
        </w:rPr>
        <w:t>1135</w:t>
      </w:r>
      <w:r>
        <w:rPr>
          <w:spacing w:val="13"/>
          <w:position w:val="5"/>
          <w:sz w:val="12"/>
        </w:rPr>
        <w:t xml:space="preserve"> </w:t>
      </w:r>
      <w:r>
        <w:rPr>
          <w:sz w:val="18"/>
        </w:rPr>
        <w:t>China</w:t>
      </w:r>
      <w:r>
        <w:rPr>
          <w:spacing w:val="-6"/>
          <w:sz w:val="18"/>
        </w:rPr>
        <w:t xml:space="preserve"> </w:t>
      </w:r>
      <w:r>
        <w:rPr>
          <w:sz w:val="18"/>
        </w:rPr>
        <w:t>first</w:t>
      </w:r>
      <w:r>
        <w:rPr>
          <w:spacing w:val="-1"/>
          <w:sz w:val="18"/>
        </w:rPr>
        <w:t xml:space="preserve"> </w:t>
      </w:r>
      <w:r>
        <w:rPr>
          <w:sz w:val="18"/>
        </w:rPr>
        <w:t>written</w:t>
      </w:r>
      <w:r>
        <w:rPr>
          <w:spacing w:val="-5"/>
          <w:sz w:val="18"/>
        </w:rPr>
        <w:t xml:space="preserve"> </w:t>
      </w:r>
      <w:r>
        <w:rPr>
          <w:sz w:val="18"/>
        </w:rPr>
        <w:t>submission,</w:t>
      </w:r>
      <w:r>
        <w:rPr>
          <w:spacing w:val="-3"/>
          <w:sz w:val="18"/>
        </w:rPr>
        <w:t xml:space="preserve"> </w:t>
      </w:r>
      <w:r>
        <w:rPr>
          <w:sz w:val="18"/>
        </w:rPr>
        <w:t xml:space="preserve">para. </w:t>
      </w:r>
      <w:r>
        <w:rPr>
          <w:spacing w:val="-2"/>
          <w:sz w:val="18"/>
        </w:rPr>
        <w:t>2346.</w:t>
      </w:r>
    </w:p>
    <w:p w14:paraId="7DB9245B" w14:textId="77777777" w:rsidR="00BD462C" w:rsidRDefault="00BD462C">
      <w:pPr>
        <w:rPr>
          <w:sz w:val="18"/>
        </w:rPr>
        <w:sectPr w:rsidR="00BD462C">
          <w:pgSz w:w="11910" w:h="16840"/>
          <w:pgMar w:top="860" w:right="500" w:bottom="780" w:left="1280" w:header="566" w:footer="590" w:gutter="0"/>
          <w:cols w:space="720"/>
        </w:sectPr>
      </w:pPr>
    </w:p>
    <w:p w14:paraId="42B4A38E"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26F35907"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60AB1E3C"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1FB3C295" w14:textId="77777777" w:rsidR="00BD462C" w:rsidRDefault="00033D0F" w:rsidP="00DA02D9">
      <w:pPr>
        <w:pStyle w:val="ListParagraph"/>
        <w:numPr>
          <w:ilvl w:val="1"/>
          <w:numId w:val="72"/>
        </w:numPr>
        <w:tabs>
          <w:tab w:val="left" w:pos="1836"/>
        </w:tabs>
        <w:spacing w:before="103" w:line="360" w:lineRule="auto"/>
        <w:ind w:left="1835" w:right="916" w:hanging="850"/>
        <w:jc w:val="both"/>
        <w:rPr>
          <w:b/>
        </w:rPr>
      </w:pPr>
      <w:bookmarkStart w:id="1533" w:name="D._MOFCOM_failed_to_provide_interested_p"/>
      <w:bookmarkStart w:id="1534" w:name="_bookmark1319"/>
      <w:bookmarkEnd w:id="1533"/>
      <w:bookmarkEnd w:id="1534"/>
      <w:r>
        <w:rPr>
          <w:b/>
          <w:sz w:val="28"/>
        </w:rPr>
        <w:t xml:space="preserve">MOFCOM </w:t>
      </w:r>
      <w:r>
        <w:rPr>
          <w:b/>
        </w:rPr>
        <w:t>FAILED TO PROVIDE INTERESTED PARTIES WITH AMPLE OPPORTUNITIES TO PRESENT EVIDENCE THEY CONSIDERED RELEVANT</w:t>
      </w:r>
      <w:r>
        <w:rPr>
          <w:b/>
          <w:sz w:val="28"/>
        </w:rPr>
        <w:t xml:space="preserve">, </w:t>
      </w:r>
      <w:r>
        <w:rPr>
          <w:b/>
        </w:rPr>
        <w:t>IN BREACH</w:t>
      </w:r>
      <w:r>
        <w:rPr>
          <w:b/>
          <w:spacing w:val="23"/>
        </w:rPr>
        <w:t xml:space="preserve"> </w:t>
      </w:r>
      <w:r>
        <w:rPr>
          <w:b/>
        </w:rPr>
        <w:t>OF</w:t>
      </w:r>
      <w:r>
        <w:rPr>
          <w:b/>
          <w:spacing w:val="22"/>
        </w:rPr>
        <w:t xml:space="preserve"> </w:t>
      </w:r>
      <w:r>
        <w:rPr>
          <w:b/>
          <w:sz w:val="28"/>
        </w:rPr>
        <w:t>C</w:t>
      </w:r>
      <w:r>
        <w:rPr>
          <w:b/>
        </w:rPr>
        <w:t>HINA</w:t>
      </w:r>
      <w:r>
        <w:rPr>
          <w:b/>
          <w:sz w:val="28"/>
        </w:rPr>
        <w:t>'</w:t>
      </w:r>
      <w:r>
        <w:rPr>
          <w:b/>
        </w:rPr>
        <w:t>S</w:t>
      </w:r>
      <w:r>
        <w:rPr>
          <w:b/>
          <w:spacing w:val="24"/>
        </w:rPr>
        <w:t xml:space="preserve"> </w:t>
      </w:r>
      <w:r>
        <w:rPr>
          <w:b/>
        </w:rPr>
        <w:t>OBLIGATIONS</w:t>
      </w:r>
      <w:r>
        <w:rPr>
          <w:b/>
          <w:spacing w:val="24"/>
        </w:rPr>
        <w:t xml:space="preserve"> </w:t>
      </w:r>
      <w:r>
        <w:rPr>
          <w:b/>
        </w:rPr>
        <w:t>UNDER</w:t>
      </w:r>
      <w:r>
        <w:rPr>
          <w:b/>
          <w:spacing w:val="28"/>
        </w:rPr>
        <w:t xml:space="preserve"> </w:t>
      </w:r>
      <w:r>
        <w:rPr>
          <w:b/>
          <w:sz w:val="28"/>
        </w:rPr>
        <w:t>A</w:t>
      </w:r>
      <w:r>
        <w:rPr>
          <w:b/>
        </w:rPr>
        <w:t>RTICLES</w:t>
      </w:r>
      <w:r>
        <w:rPr>
          <w:b/>
          <w:spacing w:val="24"/>
        </w:rPr>
        <w:t xml:space="preserve"> </w:t>
      </w:r>
      <w:r>
        <w:rPr>
          <w:b/>
          <w:sz w:val="28"/>
        </w:rPr>
        <w:t xml:space="preserve">6.1, 6.1.1, 6.1.2 </w:t>
      </w:r>
      <w:r>
        <w:rPr>
          <w:b/>
        </w:rPr>
        <w:t>AND</w:t>
      </w:r>
    </w:p>
    <w:p w14:paraId="4E3C9F5A" w14:textId="77777777" w:rsidR="00BD462C" w:rsidRDefault="00033D0F">
      <w:pPr>
        <w:pStyle w:val="Heading2"/>
        <w:spacing w:line="340" w:lineRule="exact"/>
        <w:ind w:left="1835"/>
      </w:pPr>
      <w:r>
        <w:rPr>
          <w:spacing w:val="-5"/>
        </w:rPr>
        <w:t>6.2</w:t>
      </w:r>
    </w:p>
    <w:p w14:paraId="06BA15A4" w14:textId="77777777" w:rsidR="00BD462C" w:rsidRDefault="00BD462C">
      <w:pPr>
        <w:pStyle w:val="BodyText"/>
        <w:rPr>
          <w:b/>
          <w:sz w:val="27"/>
        </w:rPr>
      </w:pPr>
    </w:p>
    <w:p w14:paraId="2BDCF52B" w14:textId="77777777" w:rsidR="00BD462C" w:rsidRDefault="00033D0F">
      <w:pPr>
        <w:pStyle w:val="Heading3"/>
        <w:numPr>
          <w:ilvl w:val="0"/>
          <w:numId w:val="25"/>
        </w:numPr>
        <w:tabs>
          <w:tab w:val="left" w:pos="2689"/>
          <w:tab w:val="left" w:pos="2690"/>
        </w:tabs>
        <w:spacing w:before="0"/>
        <w:jc w:val="left"/>
      </w:pPr>
      <w:bookmarkStart w:id="1535" w:name="_bookmark1320"/>
      <w:bookmarkEnd w:id="1535"/>
      <w:r>
        <w:rPr>
          <w:spacing w:val="-2"/>
        </w:rPr>
        <w:t>Introduction</w:t>
      </w:r>
    </w:p>
    <w:p w14:paraId="56B63C20" w14:textId="77777777" w:rsidR="00BD462C" w:rsidRDefault="00BD462C">
      <w:pPr>
        <w:pStyle w:val="BodyText"/>
        <w:spacing w:before="11"/>
        <w:rPr>
          <w:b/>
          <w:sz w:val="20"/>
        </w:rPr>
      </w:pPr>
    </w:p>
    <w:p w14:paraId="282D78BC" w14:textId="40362DD5" w:rsidR="00BD462C" w:rsidRDefault="00616BCC">
      <w:pPr>
        <w:pStyle w:val="BodyText"/>
        <w:spacing w:before="56" w:line="360" w:lineRule="auto"/>
        <w:ind w:left="135" w:right="913"/>
        <w:jc w:val="both"/>
      </w:pPr>
      <w:r>
        <w:rPr>
          <w:noProof/>
        </w:rPr>
        <w:t>755.</w:t>
      </w:r>
      <w:r w:rsidR="00033D0F">
        <w:rPr>
          <w:rFonts w:ascii="Times New Roman"/>
          <w:spacing w:val="80"/>
          <w:position w:val="1"/>
          <w:sz w:val="20"/>
        </w:rPr>
        <w:t xml:space="preserve"> </w:t>
      </w:r>
      <w:r w:rsidR="00033D0F">
        <w:rPr>
          <w:position w:val="1"/>
        </w:rPr>
        <w:t>As</w:t>
      </w:r>
      <w:r w:rsidR="00033D0F">
        <w:rPr>
          <w:spacing w:val="40"/>
          <w:position w:val="1"/>
        </w:rPr>
        <w:t xml:space="preserve"> </w:t>
      </w:r>
      <w:r w:rsidR="00033D0F">
        <w:rPr>
          <w:position w:val="1"/>
        </w:rPr>
        <w:t>set</w:t>
      </w:r>
      <w:r w:rsidR="00033D0F">
        <w:rPr>
          <w:spacing w:val="40"/>
          <w:position w:val="1"/>
        </w:rPr>
        <w:t xml:space="preserve"> </w:t>
      </w:r>
      <w:r w:rsidR="00033D0F">
        <w:rPr>
          <w:position w:val="1"/>
        </w:rPr>
        <w:t>out</w:t>
      </w:r>
      <w:r w:rsidR="00033D0F">
        <w:rPr>
          <w:spacing w:val="40"/>
          <w:position w:val="1"/>
        </w:rPr>
        <w:t xml:space="preserve"> </w:t>
      </w:r>
      <w:r w:rsidR="00033D0F">
        <w:rPr>
          <w:position w:val="1"/>
        </w:rPr>
        <w:t>in Australia's</w:t>
      </w:r>
      <w:r w:rsidR="00033D0F">
        <w:rPr>
          <w:spacing w:val="40"/>
          <w:position w:val="1"/>
        </w:rPr>
        <w:t xml:space="preserve"> </w:t>
      </w:r>
      <w:r w:rsidR="00033D0F">
        <w:rPr>
          <w:position w:val="1"/>
        </w:rPr>
        <w:t>previous</w:t>
      </w:r>
      <w:r w:rsidR="00033D0F">
        <w:rPr>
          <w:spacing w:val="40"/>
          <w:position w:val="1"/>
        </w:rPr>
        <w:t xml:space="preserve"> </w:t>
      </w:r>
      <w:r w:rsidR="00033D0F">
        <w:rPr>
          <w:position w:val="1"/>
        </w:rPr>
        <w:t>submissions and this</w:t>
      </w:r>
      <w:r w:rsidR="00033D0F">
        <w:rPr>
          <w:spacing w:val="40"/>
          <w:position w:val="1"/>
        </w:rPr>
        <w:t xml:space="preserve"> </w:t>
      </w:r>
      <w:r w:rsidR="00033D0F">
        <w:rPr>
          <w:position w:val="1"/>
        </w:rPr>
        <w:t>submission,</w:t>
      </w:r>
      <w:r w:rsidR="00033D0F">
        <w:rPr>
          <w:spacing w:val="40"/>
          <w:position w:val="1"/>
        </w:rPr>
        <w:t xml:space="preserve"> </w:t>
      </w:r>
      <w:r w:rsidR="00033D0F">
        <w:rPr>
          <w:position w:val="1"/>
        </w:rPr>
        <w:t xml:space="preserve">MOFCOM </w:t>
      </w:r>
      <w:r w:rsidR="00033D0F">
        <w:t>breached its obligations under Articles 6.1, 6.1.1, 6.1.2 and 6.2. This is because MOFCOM failed to give Australian interested parties notice of information which the investigating authority requires, failed to give ample opportunity to present in writing all evidence which they considered relevant to the investigation and denied them their fundamental right to a full opportunity to defend their interests.</w:t>
      </w:r>
      <w:hyperlink w:anchor="_bookmark1322" w:history="1">
        <w:r w:rsidR="00033D0F">
          <w:rPr>
            <w:vertAlign w:val="superscript"/>
          </w:rPr>
          <w:t>1136</w:t>
        </w:r>
      </w:hyperlink>
      <w:r w:rsidR="00033D0F">
        <w:t xml:space="preserve"> In particular, MOFCOM: (i) did not grant extensions to interested parties when due cause was shown and it was practicable to do so;</w:t>
      </w:r>
    </w:p>
    <w:p w14:paraId="737D875B" w14:textId="77777777" w:rsidR="00BD462C" w:rsidRDefault="00033D0F">
      <w:pPr>
        <w:pStyle w:val="BodyText"/>
        <w:spacing w:line="360" w:lineRule="auto"/>
        <w:ind w:left="135" w:right="913"/>
        <w:jc w:val="both"/>
      </w:pPr>
      <w:r>
        <w:t>(ii) failed to provide notice of deficiencies in information submitted and opportunities to present all evidence which interested parties considered relevant; and (iii) failed to provide evidence presented in writing to other interested parties.</w:t>
      </w:r>
      <w:hyperlink w:anchor="_bookmark1323" w:history="1">
        <w:r>
          <w:rPr>
            <w:vertAlign w:val="superscript"/>
          </w:rPr>
          <w:t>1137</w:t>
        </w:r>
      </w:hyperlink>
    </w:p>
    <w:p w14:paraId="31BE9DB4" w14:textId="77777777" w:rsidR="00BD462C" w:rsidRDefault="00BD462C">
      <w:pPr>
        <w:pStyle w:val="BodyText"/>
        <w:spacing w:before="7"/>
        <w:rPr>
          <w:sz w:val="8"/>
        </w:rPr>
      </w:pPr>
    </w:p>
    <w:p w14:paraId="78B4CEBD" w14:textId="75A638A3" w:rsidR="00BD462C" w:rsidRDefault="00616BCC">
      <w:pPr>
        <w:pStyle w:val="BodyText"/>
        <w:spacing w:before="56" w:line="357" w:lineRule="auto"/>
        <w:ind w:left="136" w:right="912"/>
        <w:jc w:val="both"/>
      </w:pPr>
      <w:r>
        <w:rPr>
          <w:noProof/>
        </w:rPr>
        <w:t>756.</w:t>
      </w:r>
      <w:r w:rsidR="00033D0F">
        <w:rPr>
          <w:rFonts w:ascii="Times New Roman"/>
          <w:spacing w:val="80"/>
          <w:position w:val="1"/>
          <w:sz w:val="20"/>
        </w:rPr>
        <w:t xml:space="preserve"> </w:t>
      </w:r>
      <w:r w:rsidR="00033D0F">
        <w:rPr>
          <w:position w:val="1"/>
        </w:rPr>
        <w:t xml:space="preserve">In relation to this claim, Australia notes that China has raised certain jurisdictional </w:t>
      </w:r>
      <w:r w:rsidR="00033D0F">
        <w:t>objections</w:t>
      </w:r>
      <w:r w:rsidR="00033D0F">
        <w:rPr>
          <w:spacing w:val="40"/>
        </w:rPr>
        <w:t xml:space="preserve"> </w:t>
      </w:r>
      <w:r w:rsidR="00033D0F">
        <w:t>in</w:t>
      </w:r>
      <w:r w:rsidR="00033D0F">
        <w:rPr>
          <w:spacing w:val="40"/>
        </w:rPr>
        <w:t xml:space="preserve"> </w:t>
      </w:r>
      <w:r w:rsidR="00033D0F">
        <w:t>its</w:t>
      </w:r>
      <w:r w:rsidR="00033D0F">
        <w:rPr>
          <w:spacing w:val="40"/>
        </w:rPr>
        <w:t xml:space="preserve"> </w:t>
      </w:r>
      <w:r w:rsidR="00033D0F">
        <w:t>first</w:t>
      </w:r>
      <w:r w:rsidR="00033D0F">
        <w:rPr>
          <w:spacing w:val="40"/>
        </w:rPr>
        <w:t xml:space="preserve"> </w:t>
      </w:r>
      <w:r w:rsidR="00033D0F">
        <w:t>written</w:t>
      </w:r>
      <w:r w:rsidR="00033D0F">
        <w:rPr>
          <w:spacing w:val="40"/>
        </w:rPr>
        <w:t xml:space="preserve"> </w:t>
      </w:r>
      <w:r w:rsidR="00033D0F">
        <w:t>submission,</w:t>
      </w:r>
      <w:r w:rsidR="00033D0F">
        <w:rPr>
          <w:spacing w:val="40"/>
        </w:rPr>
        <w:t xml:space="preserve"> </w:t>
      </w:r>
      <w:r w:rsidR="00033D0F">
        <w:t>which</w:t>
      </w:r>
      <w:r w:rsidR="00033D0F">
        <w:rPr>
          <w:spacing w:val="40"/>
        </w:rPr>
        <w:t xml:space="preserve"> </w:t>
      </w:r>
      <w:r w:rsidR="00033D0F">
        <w:t>Australia</w:t>
      </w:r>
      <w:r w:rsidR="00033D0F">
        <w:rPr>
          <w:spacing w:val="40"/>
        </w:rPr>
        <w:t xml:space="preserve"> </w:t>
      </w:r>
      <w:r w:rsidR="00033D0F">
        <w:t>has</w:t>
      </w:r>
      <w:r w:rsidR="00033D0F">
        <w:rPr>
          <w:spacing w:val="40"/>
        </w:rPr>
        <w:t xml:space="preserve"> </w:t>
      </w:r>
      <w:r w:rsidR="00033D0F">
        <w:t>addressed</w:t>
      </w:r>
      <w:r w:rsidR="00033D0F">
        <w:rPr>
          <w:spacing w:val="40"/>
        </w:rPr>
        <w:t xml:space="preserve"> </w:t>
      </w:r>
      <w:r w:rsidR="00033D0F">
        <w:t>in</w:t>
      </w:r>
      <w:r w:rsidR="00033D0F">
        <w:rPr>
          <w:spacing w:val="40"/>
        </w:rPr>
        <w:t xml:space="preserve"> </w:t>
      </w:r>
      <w:r w:rsidR="00033D0F">
        <w:t>Annex</w:t>
      </w:r>
      <w:r w:rsidR="00033D0F">
        <w:rPr>
          <w:spacing w:val="40"/>
        </w:rPr>
        <w:t xml:space="preserve"> </w:t>
      </w:r>
      <w:r w:rsidR="00033D0F">
        <w:t xml:space="preserve">A, section </w:t>
      </w:r>
      <w:hyperlink w:anchor="_bookmark1790" w:history="1">
        <w:r w:rsidR="00033D0F">
          <w:t>A.5.2,</w:t>
        </w:r>
      </w:hyperlink>
      <w:r w:rsidR="00033D0F">
        <w:t xml:space="preserve"> and above section </w:t>
      </w:r>
      <w:hyperlink w:anchor="_bookmark60" w:history="1">
        <w:r w:rsidR="00033D0F">
          <w:t>II.A.2</w:t>
        </w:r>
      </w:hyperlink>
      <w:r w:rsidR="00033D0F">
        <w:t xml:space="preserve"> of this submission.</w:t>
      </w:r>
      <w:hyperlink w:anchor="_bookmark1324" w:history="1">
        <w:r w:rsidR="00033D0F">
          <w:rPr>
            <w:vertAlign w:val="superscript"/>
          </w:rPr>
          <w:t>1138</w:t>
        </w:r>
      </w:hyperlink>
    </w:p>
    <w:p w14:paraId="4B6C2C62" w14:textId="77777777" w:rsidR="00BD462C" w:rsidRDefault="00033D0F">
      <w:pPr>
        <w:pStyle w:val="Heading3"/>
        <w:numPr>
          <w:ilvl w:val="0"/>
          <w:numId w:val="25"/>
        </w:numPr>
        <w:tabs>
          <w:tab w:val="left" w:pos="2545"/>
          <w:tab w:val="left" w:pos="2546"/>
        </w:tabs>
        <w:spacing w:before="165" w:line="357" w:lineRule="auto"/>
        <w:ind w:left="2545" w:right="914" w:hanging="850"/>
        <w:jc w:val="both"/>
      </w:pPr>
      <w:bookmarkStart w:id="1536" w:name="2._China's_assertion_that_Australia_aban"/>
      <w:bookmarkStart w:id="1537" w:name="_bookmark1321"/>
      <w:bookmarkEnd w:id="1536"/>
      <w:bookmarkEnd w:id="1537"/>
      <w:r>
        <w:t>China's assertion that Australia abandoned its claim regarding Article 6.1 is without merit</w:t>
      </w:r>
    </w:p>
    <w:p w14:paraId="0FEF9208" w14:textId="77777777" w:rsidR="00BD462C" w:rsidRDefault="00BD462C">
      <w:pPr>
        <w:pStyle w:val="BodyText"/>
        <w:spacing w:before="2"/>
        <w:rPr>
          <w:b/>
          <w:sz w:val="9"/>
        </w:rPr>
      </w:pPr>
    </w:p>
    <w:p w14:paraId="74C1FBFE" w14:textId="7DE752C4" w:rsidR="00BD462C" w:rsidRDefault="00616BCC">
      <w:pPr>
        <w:pStyle w:val="BodyText"/>
        <w:spacing w:before="56" w:line="357" w:lineRule="auto"/>
        <w:ind w:left="135" w:right="911"/>
        <w:jc w:val="both"/>
      </w:pPr>
      <w:r>
        <w:rPr>
          <w:noProof/>
        </w:rPr>
        <w:t>757.</w:t>
      </w:r>
      <w:r w:rsidR="00033D0F">
        <w:rPr>
          <w:rFonts w:ascii="Times New Roman" w:hAnsi="Times New Roman"/>
          <w:spacing w:val="40"/>
          <w:position w:val="1"/>
          <w:sz w:val="20"/>
        </w:rPr>
        <w:t xml:space="preserve"> </w:t>
      </w:r>
      <w:r w:rsidR="00033D0F">
        <w:rPr>
          <w:position w:val="1"/>
        </w:rPr>
        <w:t xml:space="preserve">China alleges in its first written submission that Australia has abandoned its claim </w:t>
      </w:r>
      <w:r w:rsidR="00033D0F">
        <w:t>regarding Article 6.1 because "no argument has been raised […] to demonstrate the alleged violation of this provision".</w:t>
      </w:r>
      <w:hyperlink w:anchor="_bookmark1325" w:history="1">
        <w:r w:rsidR="00033D0F">
          <w:rPr>
            <w:vertAlign w:val="superscript"/>
          </w:rPr>
          <w:t>1139</w:t>
        </w:r>
      </w:hyperlink>
    </w:p>
    <w:p w14:paraId="50ED3D3A" w14:textId="77777777" w:rsidR="00BD462C" w:rsidRDefault="00BD462C">
      <w:pPr>
        <w:pStyle w:val="BodyText"/>
        <w:rPr>
          <w:sz w:val="20"/>
        </w:rPr>
      </w:pPr>
    </w:p>
    <w:p w14:paraId="3852C0F3" w14:textId="77777777" w:rsidR="00BD462C" w:rsidRDefault="00BD462C">
      <w:pPr>
        <w:pStyle w:val="BodyText"/>
        <w:rPr>
          <w:sz w:val="20"/>
        </w:rPr>
      </w:pPr>
    </w:p>
    <w:p w14:paraId="59C0ECD0" w14:textId="1F9E6FF7" w:rsidR="00BD462C" w:rsidRDefault="00D70C7D">
      <w:pPr>
        <w:pStyle w:val="BodyText"/>
        <w:spacing w:before="4"/>
        <w:rPr>
          <w:sz w:val="28"/>
        </w:rPr>
      </w:pPr>
      <w:r>
        <w:rPr>
          <w:noProof/>
        </w:rPr>
        <mc:AlternateContent>
          <mc:Choice Requires="wps">
            <w:drawing>
              <wp:anchor distT="0" distB="0" distL="0" distR="0" simplePos="0" relativeHeight="487838208" behindDoc="1" locked="0" layoutInCell="1" allowOverlap="1" wp14:anchorId="2CDE5896" wp14:editId="101E3900">
                <wp:simplePos x="0" y="0"/>
                <wp:positionH relativeFrom="page">
                  <wp:posOffset>899160</wp:posOffset>
                </wp:positionH>
                <wp:positionV relativeFrom="paragraph">
                  <wp:posOffset>235585</wp:posOffset>
                </wp:positionV>
                <wp:extent cx="1828800" cy="8890"/>
                <wp:effectExtent l="0" t="0" r="0" b="0"/>
                <wp:wrapTopAndBottom/>
                <wp:docPr id="364" name="docshape5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4A9409" id="docshape540" o:spid="_x0000_s1026" alt="&quot;&quot;" style="position:absolute;margin-left:70.8pt;margin-top:18.55pt;width:2in;height:.7pt;z-index:-1547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" fillcolor="black" stroked="f">
                <w10:wrap type="topAndBottom" anchorx="page"/>
              </v:rect>
            </w:pict>
          </mc:Fallback>
        </mc:AlternateContent>
      </w:r>
    </w:p>
    <w:p w14:paraId="5949CCCA" w14:textId="77777777" w:rsidR="00BD462C" w:rsidRDefault="00033D0F">
      <w:pPr>
        <w:spacing w:before="112"/>
        <w:ind w:left="136" w:right="912" w:hanging="1"/>
        <w:rPr>
          <w:sz w:val="18"/>
        </w:rPr>
      </w:pPr>
      <w:bookmarkStart w:id="1538" w:name="_bookmark1322"/>
      <w:bookmarkEnd w:id="1538"/>
      <w:r>
        <w:rPr>
          <w:position w:val="5"/>
          <w:sz w:val="12"/>
        </w:rPr>
        <w:t>1136</w:t>
      </w:r>
      <w:r>
        <w:rPr>
          <w:spacing w:val="17"/>
          <w:position w:val="5"/>
          <w:sz w:val="12"/>
        </w:rPr>
        <w:t xml:space="preserve"> </w:t>
      </w:r>
      <w:r>
        <w:rPr>
          <w:sz w:val="18"/>
        </w:rPr>
        <w:t>see</w:t>
      </w:r>
      <w:r>
        <w:rPr>
          <w:spacing w:val="-2"/>
          <w:sz w:val="18"/>
        </w:rPr>
        <w:t xml:space="preserve"> </w:t>
      </w:r>
      <w:r>
        <w:rPr>
          <w:sz w:val="18"/>
        </w:rPr>
        <w:t>Australia's</w:t>
      </w:r>
      <w:r>
        <w:rPr>
          <w:spacing w:val="-2"/>
          <w:sz w:val="18"/>
        </w:rPr>
        <w:t xml:space="preserve"> </w:t>
      </w:r>
      <w:r>
        <w:rPr>
          <w:sz w:val="18"/>
        </w:rPr>
        <w:t>first</w:t>
      </w:r>
      <w:r>
        <w:rPr>
          <w:spacing w:val="-1"/>
          <w:sz w:val="18"/>
        </w:rPr>
        <w:t xml:space="preserve"> </w:t>
      </w:r>
      <w:r>
        <w:rPr>
          <w:sz w:val="18"/>
        </w:rPr>
        <w:t>written submission, section</w:t>
      </w:r>
      <w:r>
        <w:rPr>
          <w:spacing w:val="-7"/>
          <w:sz w:val="18"/>
        </w:rPr>
        <w:t xml:space="preserve"> </w:t>
      </w:r>
      <w:r>
        <w:rPr>
          <w:sz w:val="18"/>
        </w:rPr>
        <w:t>VII.D, paras.</w:t>
      </w:r>
      <w:r>
        <w:rPr>
          <w:spacing w:val="-1"/>
          <w:sz w:val="18"/>
        </w:rPr>
        <w:t xml:space="preserve"> </w:t>
      </w:r>
      <w:r>
        <w:rPr>
          <w:sz w:val="18"/>
        </w:rPr>
        <w:t>899-935; responses</w:t>
      </w:r>
      <w:r>
        <w:rPr>
          <w:spacing w:val="-2"/>
          <w:sz w:val="18"/>
        </w:rPr>
        <w:t xml:space="preserve"> </w:t>
      </w:r>
      <w:r>
        <w:rPr>
          <w:sz w:val="18"/>
        </w:rPr>
        <w:t>to</w:t>
      </w:r>
      <w:r>
        <w:rPr>
          <w:spacing w:val="-3"/>
          <w:sz w:val="18"/>
        </w:rPr>
        <w:t xml:space="preserve"> </w:t>
      </w:r>
      <w:r>
        <w:rPr>
          <w:sz w:val="18"/>
        </w:rPr>
        <w:t>the</w:t>
      </w:r>
      <w:r>
        <w:rPr>
          <w:spacing w:val="-7"/>
          <w:sz w:val="18"/>
        </w:rPr>
        <w:t xml:space="preserve"> </w:t>
      </w:r>
      <w:r>
        <w:rPr>
          <w:sz w:val="18"/>
        </w:rPr>
        <w:t>Panel's questions</w:t>
      </w:r>
      <w:r>
        <w:rPr>
          <w:spacing w:val="-1"/>
          <w:sz w:val="18"/>
        </w:rPr>
        <w:t xml:space="preserve"> </w:t>
      </w:r>
      <w:r>
        <w:rPr>
          <w:sz w:val="18"/>
        </w:rPr>
        <w:t>Nos.</w:t>
      </w:r>
      <w:r>
        <w:rPr>
          <w:spacing w:val="-1"/>
          <w:sz w:val="18"/>
        </w:rPr>
        <w:t xml:space="preserve"> </w:t>
      </w:r>
      <w:r>
        <w:rPr>
          <w:sz w:val="18"/>
        </w:rPr>
        <w:t>56 and 58, paras.</w:t>
      </w:r>
      <w:r>
        <w:rPr>
          <w:spacing w:val="-2"/>
          <w:sz w:val="18"/>
        </w:rPr>
        <w:t xml:space="preserve"> </w:t>
      </w:r>
      <w:r>
        <w:rPr>
          <w:sz w:val="18"/>
        </w:rPr>
        <w:t>137-144.</w:t>
      </w:r>
    </w:p>
    <w:p w14:paraId="7F424A6E" w14:textId="1BA42AA2" w:rsidR="00BD462C" w:rsidRDefault="00D70C7D">
      <w:pPr>
        <w:ind w:left="1456" w:right="1134" w:hanging="1321"/>
        <w:rPr>
          <w:sz w:val="18"/>
        </w:rPr>
      </w:pPr>
      <w:r>
        <w:rPr>
          <w:noProof/>
        </w:rPr>
        <mc:AlternateContent>
          <mc:Choice Requires="wps">
            <w:drawing>
              <wp:anchor distT="0" distB="0" distL="114300" distR="114300" simplePos="0" relativeHeight="15979520" behindDoc="0" locked="0" layoutInCell="1" allowOverlap="1" wp14:anchorId="68F935ED" wp14:editId="727D69E6">
                <wp:simplePos x="0" y="0"/>
                <wp:positionH relativeFrom="page">
                  <wp:posOffset>6412865</wp:posOffset>
                </wp:positionH>
                <wp:positionV relativeFrom="paragraph">
                  <wp:posOffset>3810</wp:posOffset>
                </wp:positionV>
                <wp:extent cx="247015" cy="137160"/>
                <wp:effectExtent l="0" t="0" r="0" b="0"/>
                <wp:wrapNone/>
                <wp:docPr id="362" name="docshape5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15" cy="137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629AB7" id="docshape541" o:spid="_x0000_s1026" alt="&quot;&quot;" style="position:absolute;margin-left:504.95pt;margin-top:.3pt;width:19.45pt;height:10.8pt;z-index:15979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" fillcolor="black" stroked="f">
                <w10:wrap anchorx="page"/>
              </v:rect>
            </w:pict>
          </mc:Fallback>
        </mc:AlternateContent>
      </w:r>
      <w:r>
        <w:rPr>
          <w:noProof/>
        </w:rPr>
        <mc:AlternateContent>
          <mc:Choice Requires="wps">
            <w:drawing>
              <wp:anchor distT="0" distB="0" distL="114300" distR="114300" simplePos="0" relativeHeight="15980032" behindDoc="0" locked="0" layoutInCell="1" allowOverlap="1" wp14:anchorId="3B96B138" wp14:editId="370740DC">
                <wp:simplePos x="0" y="0"/>
                <wp:positionH relativeFrom="page">
                  <wp:posOffset>899160</wp:posOffset>
                </wp:positionH>
                <wp:positionV relativeFrom="paragraph">
                  <wp:posOffset>139065</wp:posOffset>
                </wp:positionV>
                <wp:extent cx="810895" cy="140335"/>
                <wp:effectExtent l="0" t="0" r="0" b="0"/>
                <wp:wrapNone/>
                <wp:docPr id="360" name="docshape5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140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9887AB" w14:textId="4C875962" w:rsidR="00BD462C" w:rsidRDefault="00BD462C">
                            <w:pPr>
                              <w:spacing w:before="1" w:line="219" w:lineRule="exact"/>
                              <w:ind w:right="-15"/>
                              <w:jc w:val="right"/>
                              <w:rPr>
                                <w:color w:val="000000"/>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6B138" id="docshape542" o:spid="_x0000_s1061" type="#_x0000_t202" alt="&quot;&quot;" style="position:absolute;left:0;text-align:left;margin-left:70.8pt;margin-top:10.95pt;width:63.85pt;height:11.05pt;z-index:15980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" fillcolor="black" stroked="f">
                <v:textbox inset="0,0,0,0">
                  <w:txbxContent>
                    <w:p w14:paraId="509887AB" w14:textId="4C875962" w:rsidR="00BD462C" w:rsidRDefault="00BD462C">
                      <w:pPr>
                        <w:spacing w:before="1" w:line="219" w:lineRule="exact"/>
                        <w:ind w:right="-15"/>
                        <w:jc w:val="right"/>
                        <w:rPr>
                          <w:color w:val="000000"/>
                          <w:sz w:val="18"/>
                        </w:rPr>
                      </w:pPr>
                    </w:p>
                  </w:txbxContent>
                </v:textbox>
                <w10:wrap anchorx="page"/>
              </v:shape>
            </w:pict>
          </mc:Fallback>
        </mc:AlternateContent>
      </w:r>
      <w:bookmarkStart w:id="1539" w:name="_bookmark1323"/>
      <w:bookmarkEnd w:id="1539"/>
      <w:r w:rsidR="00033D0F">
        <w:rPr>
          <w:position w:val="5"/>
          <w:sz w:val="12"/>
        </w:rPr>
        <w:t>1137</w:t>
      </w:r>
      <w:r w:rsidR="00033D0F">
        <w:rPr>
          <w:spacing w:val="9"/>
          <w:position w:val="5"/>
          <w:sz w:val="12"/>
        </w:rPr>
        <w:t xml:space="preserve"> </w:t>
      </w:r>
      <w:r w:rsidR="00033D0F">
        <w:rPr>
          <w:sz w:val="18"/>
        </w:rPr>
        <w:t>Australia</w:t>
      </w:r>
      <w:r w:rsidR="00033D0F">
        <w:rPr>
          <w:spacing w:val="-10"/>
          <w:sz w:val="18"/>
        </w:rPr>
        <w:t xml:space="preserve"> </w:t>
      </w:r>
      <w:r w:rsidR="00033D0F">
        <w:rPr>
          <w:sz w:val="18"/>
        </w:rPr>
        <w:t>also</w:t>
      </w:r>
      <w:r w:rsidR="00033D0F">
        <w:rPr>
          <w:spacing w:val="-9"/>
          <w:sz w:val="18"/>
        </w:rPr>
        <w:t xml:space="preserve"> </w:t>
      </w:r>
      <w:r w:rsidR="00033D0F">
        <w:rPr>
          <w:sz w:val="18"/>
        </w:rPr>
        <w:t>presses</w:t>
      </w:r>
      <w:r w:rsidR="00033D0F">
        <w:rPr>
          <w:spacing w:val="-8"/>
          <w:sz w:val="18"/>
        </w:rPr>
        <w:t xml:space="preserve"> </w:t>
      </w:r>
      <w:r w:rsidR="00033D0F">
        <w:rPr>
          <w:sz w:val="18"/>
        </w:rPr>
        <w:t>an</w:t>
      </w:r>
      <w:r w:rsidR="00033D0F">
        <w:rPr>
          <w:spacing w:val="-9"/>
          <w:sz w:val="18"/>
        </w:rPr>
        <w:t xml:space="preserve"> </w:t>
      </w:r>
      <w:proofErr w:type="gramStart"/>
      <w:r w:rsidR="00033D0F">
        <w:rPr>
          <w:sz w:val="18"/>
        </w:rPr>
        <w:t>Article</w:t>
      </w:r>
      <w:proofErr w:type="gramEnd"/>
      <w:r w:rsidR="00033D0F">
        <w:rPr>
          <w:spacing w:val="-8"/>
          <w:sz w:val="18"/>
        </w:rPr>
        <w:t xml:space="preserve"> </w:t>
      </w:r>
      <w:r w:rsidR="00033D0F">
        <w:rPr>
          <w:sz w:val="18"/>
        </w:rPr>
        <w:t>6.1</w:t>
      </w:r>
      <w:r w:rsidR="00033D0F">
        <w:rPr>
          <w:spacing w:val="-5"/>
          <w:sz w:val="18"/>
        </w:rPr>
        <w:t xml:space="preserve"> </w:t>
      </w:r>
      <w:r w:rsidR="00033D0F">
        <w:rPr>
          <w:sz w:val="18"/>
        </w:rPr>
        <w:t>argument</w:t>
      </w:r>
      <w:r w:rsidR="00033D0F">
        <w:rPr>
          <w:spacing w:val="-11"/>
          <w:sz w:val="18"/>
        </w:rPr>
        <w:t xml:space="preserve"> </w:t>
      </w:r>
      <w:r w:rsidR="00033D0F">
        <w:rPr>
          <w:sz w:val="18"/>
        </w:rPr>
        <w:t>in</w:t>
      </w:r>
      <w:r w:rsidR="00033D0F">
        <w:rPr>
          <w:spacing w:val="-8"/>
          <w:sz w:val="18"/>
        </w:rPr>
        <w:t xml:space="preserve"> </w:t>
      </w:r>
      <w:r w:rsidR="00033D0F">
        <w:rPr>
          <w:sz w:val="18"/>
        </w:rPr>
        <w:t>the</w:t>
      </w:r>
      <w:r w:rsidR="00033D0F">
        <w:rPr>
          <w:spacing w:val="-8"/>
          <w:sz w:val="18"/>
        </w:rPr>
        <w:t xml:space="preserve"> </w:t>
      </w:r>
      <w:r w:rsidR="00033D0F">
        <w:rPr>
          <w:sz w:val="18"/>
        </w:rPr>
        <w:t>event</w:t>
      </w:r>
      <w:r w:rsidR="00033D0F">
        <w:rPr>
          <w:spacing w:val="-11"/>
          <w:sz w:val="18"/>
        </w:rPr>
        <w:t xml:space="preserve"> </w:t>
      </w:r>
      <w:r w:rsidR="00033D0F">
        <w:rPr>
          <w:sz w:val="18"/>
        </w:rPr>
        <w:t>the</w:t>
      </w:r>
      <w:r w:rsidR="00033D0F">
        <w:rPr>
          <w:spacing w:val="-12"/>
          <w:sz w:val="18"/>
        </w:rPr>
        <w:t xml:space="preserve"> </w:t>
      </w:r>
      <w:r w:rsidR="00033D0F">
        <w:rPr>
          <w:sz w:val="18"/>
        </w:rPr>
        <w:t>Panel</w:t>
      </w:r>
      <w:r w:rsidR="00033D0F">
        <w:rPr>
          <w:spacing w:val="-3"/>
          <w:sz w:val="18"/>
        </w:rPr>
        <w:t xml:space="preserve"> </w:t>
      </w:r>
      <w:r w:rsidR="00033D0F">
        <w:rPr>
          <w:sz w:val="18"/>
        </w:rPr>
        <w:t>accepts</w:t>
      </w:r>
      <w:r w:rsidR="00033D0F">
        <w:rPr>
          <w:spacing w:val="-8"/>
          <w:sz w:val="18"/>
        </w:rPr>
        <w:t xml:space="preserve"> </w:t>
      </w:r>
      <w:r w:rsidR="00033D0F">
        <w:rPr>
          <w:sz w:val="18"/>
        </w:rPr>
        <w:t>China’s</w:t>
      </w:r>
      <w:r w:rsidR="00033D0F">
        <w:rPr>
          <w:spacing w:val="-8"/>
          <w:sz w:val="18"/>
        </w:rPr>
        <w:t xml:space="preserve"> </w:t>
      </w:r>
      <w:r w:rsidR="00033D0F">
        <w:rPr>
          <w:sz w:val="18"/>
        </w:rPr>
        <w:t>submission</w:t>
      </w:r>
      <w:r w:rsidR="00033D0F">
        <w:rPr>
          <w:spacing w:val="-9"/>
          <w:sz w:val="18"/>
        </w:rPr>
        <w:t xml:space="preserve"> </w:t>
      </w:r>
      <w:r w:rsidR="00033D0F">
        <w:rPr>
          <w:sz w:val="18"/>
        </w:rPr>
        <w:t>that</w:t>
      </w:r>
      <w:r w:rsidR="00033D0F">
        <w:rPr>
          <w:spacing w:val="-7"/>
          <w:sz w:val="18"/>
        </w:rPr>
        <w:t xml:space="preserve"> </w:t>
      </w:r>
      <w:r w:rsidR="00033D0F">
        <w:rPr>
          <w:sz w:val="18"/>
        </w:rPr>
        <w:t>information</w:t>
      </w:r>
      <w:r w:rsidR="00033D0F">
        <w:rPr>
          <w:spacing w:val="-9"/>
          <w:sz w:val="18"/>
        </w:rPr>
        <w:t xml:space="preserve"> </w:t>
      </w:r>
      <w:r w:rsidR="00033D0F">
        <w:rPr>
          <w:sz w:val="18"/>
        </w:rPr>
        <w:t xml:space="preserve">on See para. </w:t>
      </w:r>
      <w:hyperlink w:anchor="_bookmark253" w:history="1">
        <w:r w:rsidR="00033D0F">
          <w:rPr>
            <w:sz w:val="18"/>
          </w:rPr>
          <w:t>133.</w:t>
        </w:r>
      </w:hyperlink>
    </w:p>
    <w:p w14:paraId="2D2E5121" w14:textId="77777777" w:rsidR="00BD462C" w:rsidRDefault="00033D0F">
      <w:pPr>
        <w:ind w:left="135"/>
        <w:rPr>
          <w:sz w:val="18"/>
        </w:rPr>
      </w:pPr>
      <w:bookmarkStart w:id="1540" w:name="_bookmark1324"/>
      <w:bookmarkEnd w:id="1540"/>
      <w:r>
        <w:rPr>
          <w:position w:val="5"/>
          <w:sz w:val="12"/>
        </w:rPr>
        <w:t>1138</w:t>
      </w:r>
      <w:r>
        <w:rPr>
          <w:spacing w:val="15"/>
          <w:position w:val="5"/>
          <w:sz w:val="12"/>
        </w:rPr>
        <w:t xml:space="preserve"> </w:t>
      </w:r>
      <w:r>
        <w:rPr>
          <w:sz w:val="18"/>
        </w:rPr>
        <w:t>See</w:t>
      </w:r>
      <w:r>
        <w:rPr>
          <w:spacing w:val="-4"/>
          <w:sz w:val="18"/>
        </w:rPr>
        <w:t xml:space="preserve"> </w:t>
      </w:r>
      <w:r>
        <w:rPr>
          <w:sz w:val="18"/>
        </w:rPr>
        <w:t>below</w:t>
      </w:r>
      <w:r>
        <w:rPr>
          <w:spacing w:val="-6"/>
          <w:sz w:val="18"/>
        </w:rPr>
        <w:t xml:space="preserve"> </w:t>
      </w:r>
      <w:r>
        <w:rPr>
          <w:sz w:val="18"/>
        </w:rPr>
        <w:t>Annex</w:t>
      </w:r>
      <w:r>
        <w:rPr>
          <w:spacing w:val="-1"/>
          <w:sz w:val="18"/>
        </w:rPr>
        <w:t xml:space="preserve"> </w:t>
      </w:r>
      <w:r>
        <w:rPr>
          <w:sz w:val="18"/>
        </w:rPr>
        <w:t>A,</w:t>
      </w:r>
      <w:r>
        <w:rPr>
          <w:spacing w:val="-2"/>
          <w:sz w:val="18"/>
        </w:rPr>
        <w:t xml:space="preserve"> </w:t>
      </w:r>
      <w:r>
        <w:rPr>
          <w:sz w:val="18"/>
        </w:rPr>
        <w:t>section</w:t>
      </w:r>
      <w:r>
        <w:rPr>
          <w:spacing w:val="-5"/>
          <w:sz w:val="18"/>
        </w:rPr>
        <w:t xml:space="preserve"> </w:t>
      </w:r>
      <w:hyperlink w:anchor="_bookmark1790" w:history="1">
        <w:r>
          <w:rPr>
            <w:sz w:val="18"/>
          </w:rPr>
          <w:t>A.5.2;</w:t>
        </w:r>
      </w:hyperlink>
      <w:r>
        <w:rPr>
          <w:spacing w:val="-1"/>
          <w:sz w:val="18"/>
        </w:rPr>
        <w:t xml:space="preserve"> </w:t>
      </w:r>
      <w:r>
        <w:rPr>
          <w:sz w:val="18"/>
        </w:rPr>
        <w:t>above</w:t>
      </w:r>
      <w:r>
        <w:rPr>
          <w:spacing w:val="-3"/>
          <w:sz w:val="18"/>
        </w:rPr>
        <w:t xml:space="preserve"> </w:t>
      </w:r>
      <w:r>
        <w:rPr>
          <w:sz w:val="18"/>
        </w:rPr>
        <w:t>section</w:t>
      </w:r>
      <w:r>
        <w:rPr>
          <w:spacing w:val="-5"/>
          <w:sz w:val="18"/>
        </w:rPr>
        <w:t xml:space="preserve"> </w:t>
      </w:r>
      <w:hyperlink w:anchor="_bookmark60" w:history="1">
        <w:r>
          <w:rPr>
            <w:spacing w:val="-2"/>
            <w:sz w:val="18"/>
          </w:rPr>
          <w:t>II.A.2.</w:t>
        </w:r>
      </w:hyperlink>
    </w:p>
    <w:p w14:paraId="64EB1981" w14:textId="77777777" w:rsidR="00BD462C" w:rsidRDefault="00033D0F">
      <w:pPr>
        <w:ind w:left="135" w:right="912"/>
        <w:rPr>
          <w:sz w:val="18"/>
        </w:rPr>
      </w:pPr>
      <w:bookmarkStart w:id="1541" w:name="_bookmark1325"/>
      <w:bookmarkEnd w:id="1541"/>
      <w:r>
        <w:rPr>
          <w:position w:val="5"/>
          <w:sz w:val="12"/>
        </w:rPr>
        <w:t>1139</w:t>
      </w:r>
      <w:r>
        <w:rPr>
          <w:spacing w:val="8"/>
          <w:position w:val="5"/>
          <w:sz w:val="12"/>
        </w:rPr>
        <w:t xml:space="preserve"> </w:t>
      </w:r>
      <w:r>
        <w:rPr>
          <w:sz w:val="18"/>
        </w:rPr>
        <w:t>China's</w:t>
      </w:r>
      <w:r>
        <w:rPr>
          <w:spacing w:val="-12"/>
          <w:sz w:val="18"/>
        </w:rPr>
        <w:t xml:space="preserve"> </w:t>
      </w:r>
      <w:r>
        <w:rPr>
          <w:sz w:val="18"/>
        </w:rPr>
        <w:t>first</w:t>
      </w:r>
      <w:r>
        <w:rPr>
          <w:spacing w:val="-11"/>
          <w:sz w:val="18"/>
        </w:rPr>
        <w:t xml:space="preserve"> </w:t>
      </w:r>
      <w:r>
        <w:rPr>
          <w:sz w:val="18"/>
        </w:rPr>
        <w:t>written</w:t>
      </w:r>
      <w:r>
        <w:rPr>
          <w:spacing w:val="-12"/>
          <w:sz w:val="18"/>
        </w:rPr>
        <w:t xml:space="preserve"> </w:t>
      </w:r>
      <w:r>
        <w:rPr>
          <w:sz w:val="18"/>
        </w:rPr>
        <w:t>submission,</w:t>
      </w:r>
      <w:r>
        <w:rPr>
          <w:spacing w:val="-10"/>
          <w:sz w:val="18"/>
        </w:rPr>
        <w:t xml:space="preserve"> </w:t>
      </w:r>
      <w:r>
        <w:rPr>
          <w:sz w:val="18"/>
        </w:rPr>
        <w:t>para.</w:t>
      </w:r>
      <w:r>
        <w:rPr>
          <w:spacing w:val="-6"/>
          <w:sz w:val="18"/>
        </w:rPr>
        <w:t xml:space="preserve"> </w:t>
      </w:r>
      <w:r>
        <w:rPr>
          <w:sz w:val="18"/>
        </w:rPr>
        <w:t>2350.</w:t>
      </w:r>
      <w:r>
        <w:rPr>
          <w:spacing w:val="-6"/>
          <w:sz w:val="18"/>
        </w:rPr>
        <w:t xml:space="preserve"> </w:t>
      </w:r>
      <w:r>
        <w:rPr>
          <w:sz w:val="18"/>
        </w:rPr>
        <w:t>Given</w:t>
      </w:r>
      <w:r>
        <w:rPr>
          <w:spacing w:val="-7"/>
          <w:sz w:val="18"/>
        </w:rPr>
        <w:t xml:space="preserve"> </w:t>
      </w:r>
      <w:r>
        <w:rPr>
          <w:sz w:val="18"/>
        </w:rPr>
        <w:t>this</w:t>
      </w:r>
      <w:r>
        <w:rPr>
          <w:spacing w:val="-7"/>
          <w:sz w:val="18"/>
        </w:rPr>
        <w:t xml:space="preserve"> </w:t>
      </w:r>
      <w:r>
        <w:rPr>
          <w:sz w:val="18"/>
        </w:rPr>
        <w:t>assertion,</w:t>
      </w:r>
      <w:r>
        <w:rPr>
          <w:spacing w:val="-10"/>
          <w:sz w:val="18"/>
        </w:rPr>
        <w:t xml:space="preserve"> </w:t>
      </w:r>
      <w:r>
        <w:rPr>
          <w:sz w:val="18"/>
        </w:rPr>
        <w:t>it</w:t>
      </w:r>
      <w:r>
        <w:rPr>
          <w:spacing w:val="-11"/>
          <w:sz w:val="18"/>
        </w:rPr>
        <w:t xml:space="preserve"> </w:t>
      </w:r>
      <w:r>
        <w:rPr>
          <w:sz w:val="18"/>
        </w:rPr>
        <w:t>is</w:t>
      </w:r>
      <w:r>
        <w:rPr>
          <w:spacing w:val="-7"/>
          <w:sz w:val="18"/>
        </w:rPr>
        <w:t xml:space="preserve"> </w:t>
      </w:r>
      <w:r>
        <w:rPr>
          <w:sz w:val="18"/>
        </w:rPr>
        <w:t>striking</w:t>
      </w:r>
      <w:r>
        <w:rPr>
          <w:spacing w:val="-7"/>
          <w:sz w:val="18"/>
        </w:rPr>
        <w:t xml:space="preserve"> </w:t>
      </w:r>
      <w:r>
        <w:rPr>
          <w:sz w:val="18"/>
        </w:rPr>
        <w:t>that</w:t>
      </w:r>
      <w:r>
        <w:rPr>
          <w:spacing w:val="-11"/>
          <w:sz w:val="18"/>
        </w:rPr>
        <w:t xml:space="preserve"> </w:t>
      </w:r>
      <w:r>
        <w:rPr>
          <w:sz w:val="18"/>
        </w:rPr>
        <w:t>in</w:t>
      </w:r>
      <w:r>
        <w:rPr>
          <w:spacing w:val="-12"/>
          <w:sz w:val="18"/>
        </w:rPr>
        <w:t xml:space="preserve"> </w:t>
      </w:r>
      <w:r>
        <w:rPr>
          <w:sz w:val="18"/>
        </w:rPr>
        <w:t>the</w:t>
      </w:r>
      <w:r>
        <w:rPr>
          <w:spacing w:val="-12"/>
          <w:sz w:val="18"/>
        </w:rPr>
        <w:t xml:space="preserve"> </w:t>
      </w:r>
      <w:r>
        <w:rPr>
          <w:sz w:val="18"/>
        </w:rPr>
        <w:t>same</w:t>
      </w:r>
      <w:r>
        <w:rPr>
          <w:spacing w:val="-12"/>
          <w:sz w:val="18"/>
        </w:rPr>
        <w:t xml:space="preserve"> </w:t>
      </w:r>
      <w:r>
        <w:rPr>
          <w:sz w:val="18"/>
        </w:rPr>
        <w:t>submission</w:t>
      </w:r>
      <w:r>
        <w:rPr>
          <w:spacing w:val="-12"/>
          <w:sz w:val="18"/>
        </w:rPr>
        <w:t xml:space="preserve"> </w:t>
      </w:r>
      <w:r>
        <w:rPr>
          <w:sz w:val="18"/>
        </w:rPr>
        <w:t>China</w:t>
      </w:r>
      <w:r>
        <w:rPr>
          <w:spacing w:val="-9"/>
          <w:sz w:val="18"/>
        </w:rPr>
        <w:t xml:space="preserve"> </w:t>
      </w:r>
      <w:r>
        <w:rPr>
          <w:sz w:val="18"/>
        </w:rPr>
        <w:t>also</w:t>
      </w:r>
      <w:r>
        <w:rPr>
          <w:spacing w:val="-8"/>
          <w:sz w:val="18"/>
        </w:rPr>
        <w:t xml:space="preserve"> </w:t>
      </w:r>
      <w:r>
        <w:rPr>
          <w:sz w:val="18"/>
        </w:rPr>
        <w:t>refers to "Australia's arguments regarding Articles 6.1" (see China's first written submission, para. 2353).</w:t>
      </w:r>
    </w:p>
    <w:p w14:paraId="2A3E64BF" w14:textId="77777777" w:rsidR="00BD462C" w:rsidRDefault="00BD462C">
      <w:pPr>
        <w:rPr>
          <w:sz w:val="18"/>
        </w:rPr>
        <w:sectPr w:rsidR="00BD462C">
          <w:pgSz w:w="11910" w:h="16840"/>
          <w:pgMar w:top="860" w:right="500" w:bottom="780" w:left="1280" w:header="566" w:footer="590" w:gutter="0"/>
          <w:cols w:space="720"/>
        </w:sectPr>
      </w:pPr>
    </w:p>
    <w:p w14:paraId="36ABC908"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774C02FB"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3A1B5789"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45FA0274" w14:textId="62F3EB38" w:rsidR="00BD462C" w:rsidRDefault="00F439BE">
      <w:pPr>
        <w:pStyle w:val="BodyText"/>
        <w:spacing w:before="107" w:line="355" w:lineRule="auto"/>
        <w:ind w:left="135" w:right="923"/>
      </w:pPr>
      <w:r>
        <w:rPr>
          <w:noProof/>
        </w:rPr>
        <w:t>758.</w:t>
      </w:r>
      <w:r w:rsidR="00033D0F">
        <w:rPr>
          <w:rFonts w:ascii="Times New Roman"/>
          <w:spacing w:val="80"/>
          <w:position w:val="1"/>
          <w:sz w:val="20"/>
        </w:rPr>
        <w:t xml:space="preserve">   </w:t>
      </w:r>
      <w:r w:rsidR="00033D0F">
        <w:rPr>
          <w:position w:val="1"/>
        </w:rPr>
        <w:t>This</w:t>
      </w:r>
      <w:r w:rsidR="00033D0F">
        <w:rPr>
          <w:spacing w:val="40"/>
          <w:position w:val="1"/>
        </w:rPr>
        <w:t xml:space="preserve"> </w:t>
      </w:r>
      <w:r w:rsidR="00033D0F">
        <w:rPr>
          <w:position w:val="1"/>
        </w:rPr>
        <w:t>allegation</w:t>
      </w:r>
      <w:r w:rsidR="00033D0F">
        <w:rPr>
          <w:spacing w:val="40"/>
          <w:position w:val="1"/>
        </w:rPr>
        <w:t xml:space="preserve"> </w:t>
      </w:r>
      <w:r w:rsidR="00033D0F">
        <w:rPr>
          <w:position w:val="1"/>
        </w:rPr>
        <w:t>is</w:t>
      </w:r>
      <w:r w:rsidR="00033D0F">
        <w:rPr>
          <w:spacing w:val="40"/>
          <w:position w:val="1"/>
        </w:rPr>
        <w:t xml:space="preserve"> </w:t>
      </w:r>
      <w:r w:rsidR="00033D0F">
        <w:rPr>
          <w:position w:val="1"/>
        </w:rPr>
        <w:t>entirely</w:t>
      </w:r>
      <w:r w:rsidR="00033D0F">
        <w:rPr>
          <w:spacing w:val="40"/>
          <w:position w:val="1"/>
        </w:rPr>
        <w:t xml:space="preserve"> </w:t>
      </w:r>
      <w:r w:rsidR="00033D0F">
        <w:rPr>
          <w:position w:val="1"/>
        </w:rPr>
        <w:t>without</w:t>
      </w:r>
      <w:r w:rsidR="00033D0F">
        <w:rPr>
          <w:spacing w:val="40"/>
          <w:position w:val="1"/>
        </w:rPr>
        <w:t xml:space="preserve"> </w:t>
      </w:r>
      <w:r w:rsidR="00033D0F">
        <w:rPr>
          <w:position w:val="1"/>
        </w:rPr>
        <w:t>merit.</w:t>
      </w:r>
      <w:r w:rsidR="00033D0F">
        <w:rPr>
          <w:spacing w:val="40"/>
          <w:position w:val="1"/>
        </w:rPr>
        <w:t xml:space="preserve"> </w:t>
      </w:r>
      <w:r w:rsidR="00033D0F">
        <w:rPr>
          <w:position w:val="1"/>
        </w:rPr>
        <w:t>In</w:t>
      </w:r>
      <w:r w:rsidR="00033D0F">
        <w:rPr>
          <w:spacing w:val="40"/>
          <w:position w:val="1"/>
        </w:rPr>
        <w:t xml:space="preserve"> </w:t>
      </w:r>
      <w:r w:rsidR="00033D0F">
        <w:rPr>
          <w:position w:val="1"/>
        </w:rPr>
        <w:t>Australia's</w:t>
      </w:r>
      <w:r w:rsidR="00033D0F">
        <w:rPr>
          <w:spacing w:val="40"/>
          <w:position w:val="1"/>
        </w:rPr>
        <w:t xml:space="preserve"> </w:t>
      </w:r>
      <w:r w:rsidR="00033D0F">
        <w:rPr>
          <w:position w:val="1"/>
        </w:rPr>
        <w:t>first</w:t>
      </w:r>
      <w:r w:rsidR="00033D0F">
        <w:rPr>
          <w:spacing w:val="40"/>
          <w:position w:val="1"/>
        </w:rPr>
        <w:t xml:space="preserve"> </w:t>
      </w:r>
      <w:r w:rsidR="00033D0F">
        <w:rPr>
          <w:position w:val="1"/>
        </w:rPr>
        <w:t>written</w:t>
      </w:r>
      <w:r w:rsidR="00033D0F">
        <w:rPr>
          <w:spacing w:val="40"/>
          <w:position w:val="1"/>
        </w:rPr>
        <w:t xml:space="preserve"> </w:t>
      </w:r>
      <w:r w:rsidR="00033D0F">
        <w:rPr>
          <w:position w:val="1"/>
        </w:rPr>
        <w:t>submission,</w:t>
      </w:r>
      <w:r w:rsidR="00033D0F">
        <w:rPr>
          <w:spacing w:val="40"/>
          <w:position w:val="1"/>
        </w:rPr>
        <w:t xml:space="preserve"> </w:t>
      </w:r>
      <w:r w:rsidR="00033D0F">
        <w:rPr>
          <w:spacing w:val="-2"/>
        </w:rPr>
        <w:t>Australia:</w:t>
      </w:r>
    </w:p>
    <w:p w14:paraId="233CF442" w14:textId="77777777" w:rsidR="00BD462C" w:rsidRDefault="00033D0F">
      <w:pPr>
        <w:pStyle w:val="ListParagraph"/>
        <w:numPr>
          <w:ilvl w:val="0"/>
          <w:numId w:val="24"/>
        </w:numPr>
        <w:tabs>
          <w:tab w:val="left" w:pos="1835"/>
          <w:tab w:val="left" w:pos="1836"/>
        </w:tabs>
        <w:spacing w:before="162"/>
        <w:ind w:left="1835" w:hanging="851"/>
        <w:rPr>
          <w:sz w:val="24"/>
        </w:rPr>
      </w:pPr>
      <w:r>
        <w:rPr>
          <w:sz w:val="24"/>
        </w:rPr>
        <w:t>repeatedly</w:t>
      </w:r>
      <w:r>
        <w:rPr>
          <w:spacing w:val="-4"/>
          <w:sz w:val="24"/>
        </w:rPr>
        <w:t xml:space="preserve"> </w:t>
      </w:r>
      <w:r>
        <w:rPr>
          <w:sz w:val="24"/>
        </w:rPr>
        <w:t>and</w:t>
      </w:r>
      <w:r>
        <w:rPr>
          <w:spacing w:val="-5"/>
          <w:sz w:val="24"/>
        </w:rPr>
        <w:t xml:space="preserve"> </w:t>
      </w:r>
      <w:r>
        <w:rPr>
          <w:sz w:val="24"/>
        </w:rPr>
        <w:t>specifically</w:t>
      </w:r>
      <w:r>
        <w:rPr>
          <w:spacing w:val="-1"/>
          <w:sz w:val="24"/>
        </w:rPr>
        <w:t xml:space="preserve"> </w:t>
      </w:r>
      <w:r>
        <w:rPr>
          <w:sz w:val="24"/>
        </w:rPr>
        <w:t>alleged</w:t>
      </w:r>
      <w:r>
        <w:rPr>
          <w:spacing w:val="-5"/>
          <w:sz w:val="24"/>
        </w:rPr>
        <w:t xml:space="preserve"> </w:t>
      </w:r>
      <w:r>
        <w:rPr>
          <w:sz w:val="24"/>
        </w:rPr>
        <w:t>a</w:t>
      </w:r>
      <w:r>
        <w:rPr>
          <w:spacing w:val="-4"/>
          <w:sz w:val="24"/>
        </w:rPr>
        <w:t xml:space="preserve"> </w:t>
      </w:r>
      <w:r>
        <w:rPr>
          <w:sz w:val="24"/>
        </w:rPr>
        <w:t>breach</w:t>
      </w:r>
      <w:r>
        <w:rPr>
          <w:spacing w:val="-4"/>
          <w:sz w:val="24"/>
        </w:rPr>
        <w:t xml:space="preserve"> </w:t>
      </w:r>
      <w:r>
        <w:rPr>
          <w:sz w:val="24"/>
        </w:rPr>
        <w:t>of Article</w:t>
      </w:r>
      <w:r>
        <w:rPr>
          <w:spacing w:val="-2"/>
          <w:sz w:val="24"/>
        </w:rPr>
        <w:t xml:space="preserve"> 6.1;</w:t>
      </w:r>
      <w:hyperlink w:anchor="_bookmark1326" w:history="1">
        <w:r>
          <w:rPr>
            <w:spacing w:val="-2"/>
            <w:sz w:val="24"/>
            <w:vertAlign w:val="superscript"/>
          </w:rPr>
          <w:t>1140</w:t>
        </w:r>
      </w:hyperlink>
    </w:p>
    <w:p w14:paraId="747352D4" w14:textId="77777777" w:rsidR="00BD462C" w:rsidRDefault="00033D0F">
      <w:pPr>
        <w:pStyle w:val="ListParagraph"/>
        <w:numPr>
          <w:ilvl w:val="0"/>
          <w:numId w:val="24"/>
        </w:numPr>
        <w:tabs>
          <w:tab w:val="left" w:pos="1835"/>
          <w:tab w:val="left" w:pos="1836"/>
        </w:tabs>
        <w:spacing w:before="265" w:line="357" w:lineRule="auto"/>
        <w:ind w:right="921" w:hanging="855"/>
        <w:jc w:val="both"/>
        <w:rPr>
          <w:sz w:val="24"/>
        </w:rPr>
      </w:pPr>
      <w:proofErr w:type="spellStart"/>
      <w:r>
        <w:rPr>
          <w:sz w:val="24"/>
        </w:rPr>
        <w:t>summarised</w:t>
      </w:r>
      <w:proofErr w:type="spellEnd"/>
      <w:r>
        <w:rPr>
          <w:sz w:val="24"/>
        </w:rPr>
        <w:t xml:space="preserve"> the obligation in Article 6.1 in light of previous Appellate Body and panel reports;</w:t>
      </w:r>
      <w:hyperlink w:anchor="_bookmark1327" w:history="1">
        <w:r>
          <w:rPr>
            <w:sz w:val="24"/>
            <w:vertAlign w:val="superscript"/>
          </w:rPr>
          <w:t>1141</w:t>
        </w:r>
      </w:hyperlink>
    </w:p>
    <w:p w14:paraId="073D7A77" w14:textId="77777777" w:rsidR="00BD462C" w:rsidRDefault="00033D0F">
      <w:pPr>
        <w:pStyle w:val="ListParagraph"/>
        <w:numPr>
          <w:ilvl w:val="0"/>
          <w:numId w:val="24"/>
        </w:numPr>
        <w:tabs>
          <w:tab w:val="left" w:pos="1835"/>
          <w:tab w:val="left" w:pos="1836"/>
        </w:tabs>
        <w:spacing w:before="127" w:line="360" w:lineRule="auto"/>
        <w:ind w:right="907" w:hanging="855"/>
        <w:jc w:val="both"/>
        <w:rPr>
          <w:sz w:val="24"/>
        </w:rPr>
      </w:pPr>
      <w:r>
        <w:rPr>
          <w:sz w:val="24"/>
        </w:rPr>
        <w:t>expressly</w:t>
      </w:r>
      <w:r>
        <w:rPr>
          <w:spacing w:val="-5"/>
          <w:sz w:val="24"/>
        </w:rPr>
        <w:t xml:space="preserve"> </w:t>
      </w:r>
      <w:r>
        <w:rPr>
          <w:sz w:val="24"/>
        </w:rPr>
        <w:t>stated</w:t>
      </w:r>
      <w:r>
        <w:rPr>
          <w:spacing w:val="-8"/>
          <w:sz w:val="24"/>
        </w:rPr>
        <w:t xml:space="preserve"> </w:t>
      </w:r>
      <w:r>
        <w:rPr>
          <w:sz w:val="24"/>
        </w:rPr>
        <w:t>that</w:t>
      </w:r>
      <w:r>
        <w:rPr>
          <w:spacing w:val="-6"/>
          <w:sz w:val="24"/>
        </w:rPr>
        <w:t xml:space="preserve"> </w:t>
      </w:r>
      <w:r>
        <w:rPr>
          <w:sz w:val="24"/>
        </w:rPr>
        <w:t>Australia's</w:t>
      </w:r>
      <w:r>
        <w:rPr>
          <w:spacing w:val="-5"/>
          <w:sz w:val="24"/>
        </w:rPr>
        <w:t xml:space="preserve"> </w:t>
      </w:r>
      <w:r>
        <w:rPr>
          <w:sz w:val="24"/>
        </w:rPr>
        <w:t>case</w:t>
      </w:r>
      <w:r>
        <w:rPr>
          <w:spacing w:val="-6"/>
          <w:sz w:val="24"/>
        </w:rPr>
        <w:t xml:space="preserve"> </w:t>
      </w:r>
      <w:r>
        <w:rPr>
          <w:sz w:val="24"/>
        </w:rPr>
        <w:t>was</w:t>
      </w:r>
      <w:r>
        <w:rPr>
          <w:spacing w:val="-5"/>
          <w:sz w:val="24"/>
        </w:rPr>
        <w:t xml:space="preserve"> </w:t>
      </w:r>
      <w:r>
        <w:rPr>
          <w:sz w:val="24"/>
        </w:rPr>
        <w:t>that</w:t>
      </w:r>
      <w:r>
        <w:rPr>
          <w:spacing w:val="-6"/>
          <w:sz w:val="24"/>
        </w:rPr>
        <w:t xml:space="preserve"> </w:t>
      </w:r>
      <w:r>
        <w:rPr>
          <w:sz w:val="24"/>
        </w:rPr>
        <w:t>the</w:t>
      </w:r>
      <w:r>
        <w:rPr>
          <w:spacing w:val="-2"/>
          <w:sz w:val="24"/>
        </w:rPr>
        <w:t xml:space="preserve"> </w:t>
      </w:r>
      <w:r>
        <w:rPr>
          <w:sz w:val="24"/>
        </w:rPr>
        <w:t>obligations</w:t>
      </w:r>
      <w:r>
        <w:rPr>
          <w:spacing w:val="-5"/>
          <w:sz w:val="24"/>
        </w:rPr>
        <w:t xml:space="preserve"> </w:t>
      </w:r>
      <w:r>
        <w:rPr>
          <w:sz w:val="24"/>
        </w:rPr>
        <w:t>under</w:t>
      </w:r>
      <w:r>
        <w:rPr>
          <w:spacing w:val="-4"/>
          <w:sz w:val="24"/>
        </w:rPr>
        <w:t xml:space="preserve"> </w:t>
      </w:r>
      <w:r>
        <w:rPr>
          <w:sz w:val="24"/>
        </w:rPr>
        <w:t>Articles 6.1, 6.1.1, 6.1.2</w:t>
      </w:r>
      <w:r>
        <w:rPr>
          <w:spacing w:val="-1"/>
          <w:sz w:val="24"/>
        </w:rPr>
        <w:t xml:space="preserve"> </w:t>
      </w:r>
      <w:r>
        <w:rPr>
          <w:sz w:val="24"/>
        </w:rPr>
        <w:t>and 6.2</w:t>
      </w:r>
      <w:r>
        <w:rPr>
          <w:spacing w:val="-1"/>
          <w:sz w:val="24"/>
        </w:rPr>
        <w:t xml:space="preserve"> </w:t>
      </w:r>
      <w:r>
        <w:rPr>
          <w:sz w:val="24"/>
        </w:rPr>
        <w:t>"operate together</w:t>
      </w:r>
      <w:r>
        <w:rPr>
          <w:spacing w:val="-1"/>
          <w:sz w:val="24"/>
        </w:rPr>
        <w:t xml:space="preserve"> </w:t>
      </w:r>
      <w:r>
        <w:rPr>
          <w:sz w:val="24"/>
        </w:rPr>
        <w:t>to</w:t>
      </w:r>
      <w:r>
        <w:rPr>
          <w:spacing w:val="-1"/>
          <w:sz w:val="24"/>
        </w:rPr>
        <w:t xml:space="preserve"> </w:t>
      </w:r>
      <w:r>
        <w:rPr>
          <w:sz w:val="24"/>
        </w:rPr>
        <w:t>ensure that interested parties can properly defend their interests",</w:t>
      </w:r>
      <w:hyperlink w:anchor="_bookmark1328" w:history="1">
        <w:r>
          <w:rPr>
            <w:sz w:val="24"/>
            <w:vertAlign w:val="superscript"/>
          </w:rPr>
          <w:t>1142</w:t>
        </w:r>
      </w:hyperlink>
      <w:r>
        <w:rPr>
          <w:sz w:val="24"/>
        </w:rPr>
        <w:t xml:space="preserve"> and that "MOFCOM failed to observe</w:t>
      </w:r>
      <w:r>
        <w:rPr>
          <w:spacing w:val="-3"/>
          <w:sz w:val="24"/>
        </w:rPr>
        <w:t xml:space="preserve"> </w:t>
      </w:r>
      <w:r>
        <w:rPr>
          <w:sz w:val="24"/>
        </w:rPr>
        <w:t>the</w:t>
      </w:r>
      <w:r>
        <w:rPr>
          <w:spacing w:val="-3"/>
          <w:sz w:val="24"/>
        </w:rPr>
        <w:t xml:space="preserve"> </w:t>
      </w:r>
      <w:r>
        <w:rPr>
          <w:sz w:val="24"/>
        </w:rPr>
        <w:t>framework of procedural</w:t>
      </w:r>
      <w:r>
        <w:rPr>
          <w:spacing w:val="-1"/>
          <w:sz w:val="24"/>
        </w:rPr>
        <w:t xml:space="preserve"> </w:t>
      </w:r>
      <w:r>
        <w:rPr>
          <w:sz w:val="24"/>
        </w:rPr>
        <w:t>and due process</w:t>
      </w:r>
      <w:r>
        <w:rPr>
          <w:spacing w:val="-2"/>
          <w:sz w:val="24"/>
        </w:rPr>
        <w:t xml:space="preserve"> </w:t>
      </w:r>
      <w:r>
        <w:rPr>
          <w:sz w:val="24"/>
        </w:rPr>
        <w:t>obligations</w:t>
      </w:r>
      <w:r>
        <w:rPr>
          <w:spacing w:val="-2"/>
          <w:sz w:val="24"/>
        </w:rPr>
        <w:t xml:space="preserve"> </w:t>
      </w:r>
      <w:r>
        <w:rPr>
          <w:sz w:val="24"/>
        </w:rPr>
        <w:t>in</w:t>
      </w:r>
      <w:r>
        <w:rPr>
          <w:spacing w:val="-5"/>
          <w:sz w:val="24"/>
        </w:rPr>
        <w:t xml:space="preserve"> </w:t>
      </w:r>
      <w:r>
        <w:rPr>
          <w:sz w:val="24"/>
        </w:rPr>
        <w:t>Article 6" because "interested parties were not given ample opportunities to present relevant evidence";</w:t>
      </w:r>
      <w:hyperlink w:anchor="_bookmark1329" w:history="1">
        <w:r>
          <w:rPr>
            <w:sz w:val="24"/>
            <w:vertAlign w:val="superscript"/>
          </w:rPr>
          <w:t>1143</w:t>
        </w:r>
      </w:hyperlink>
      <w:r>
        <w:rPr>
          <w:sz w:val="24"/>
        </w:rPr>
        <w:t xml:space="preserve"> and</w:t>
      </w:r>
    </w:p>
    <w:p w14:paraId="5C8FECFD" w14:textId="77777777" w:rsidR="00BD462C" w:rsidRDefault="00033D0F">
      <w:pPr>
        <w:pStyle w:val="ListParagraph"/>
        <w:numPr>
          <w:ilvl w:val="0"/>
          <w:numId w:val="24"/>
        </w:numPr>
        <w:tabs>
          <w:tab w:val="left" w:pos="1835"/>
          <w:tab w:val="left" w:pos="1836"/>
        </w:tabs>
        <w:spacing w:before="119" w:line="360" w:lineRule="auto"/>
        <w:ind w:right="913" w:hanging="855"/>
        <w:jc w:val="both"/>
        <w:rPr>
          <w:sz w:val="24"/>
        </w:rPr>
      </w:pPr>
      <w:r>
        <w:rPr>
          <w:sz w:val="24"/>
        </w:rPr>
        <w:t>expressly</w:t>
      </w:r>
      <w:r>
        <w:rPr>
          <w:spacing w:val="-6"/>
          <w:sz w:val="24"/>
        </w:rPr>
        <w:t xml:space="preserve"> </w:t>
      </w:r>
      <w:r>
        <w:rPr>
          <w:sz w:val="24"/>
        </w:rPr>
        <w:t>articulated</w:t>
      </w:r>
      <w:r>
        <w:rPr>
          <w:spacing w:val="-9"/>
          <w:sz w:val="24"/>
        </w:rPr>
        <w:t xml:space="preserve"> </w:t>
      </w:r>
      <w:r>
        <w:rPr>
          <w:sz w:val="24"/>
        </w:rPr>
        <w:t>an</w:t>
      </w:r>
      <w:r>
        <w:rPr>
          <w:spacing w:val="-9"/>
          <w:sz w:val="24"/>
        </w:rPr>
        <w:t xml:space="preserve"> </w:t>
      </w:r>
      <w:r>
        <w:rPr>
          <w:sz w:val="24"/>
        </w:rPr>
        <w:t>aspect</w:t>
      </w:r>
      <w:r>
        <w:rPr>
          <w:spacing w:val="-7"/>
          <w:sz w:val="24"/>
        </w:rPr>
        <w:t xml:space="preserve"> </w:t>
      </w:r>
      <w:r>
        <w:rPr>
          <w:sz w:val="24"/>
        </w:rPr>
        <w:t>of</w:t>
      </w:r>
      <w:r>
        <w:rPr>
          <w:spacing w:val="-9"/>
          <w:sz w:val="24"/>
        </w:rPr>
        <w:t xml:space="preserve"> </w:t>
      </w:r>
      <w:r>
        <w:rPr>
          <w:sz w:val="24"/>
        </w:rPr>
        <w:t>the</w:t>
      </w:r>
      <w:r>
        <w:rPr>
          <w:spacing w:val="-7"/>
          <w:sz w:val="24"/>
        </w:rPr>
        <w:t xml:space="preserve"> </w:t>
      </w:r>
      <w:r>
        <w:rPr>
          <w:sz w:val="24"/>
        </w:rPr>
        <w:t>obligation</w:t>
      </w:r>
      <w:r>
        <w:rPr>
          <w:spacing w:val="-9"/>
          <w:sz w:val="24"/>
        </w:rPr>
        <w:t xml:space="preserve"> </w:t>
      </w:r>
      <w:r>
        <w:rPr>
          <w:sz w:val="24"/>
        </w:rPr>
        <w:t>in</w:t>
      </w:r>
      <w:r>
        <w:rPr>
          <w:spacing w:val="-9"/>
          <w:sz w:val="24"/>
        </w:rPr>
        <w:t xml:space="preserve"> </w:t>
      </w:r>
      <w:r>
        <w:rPr>
          <w:sz w:val="24"/>
        </w:rPr>
        <w:t>Article</w:t>
      </w:r>
      <w:r>
        <w:rPr>
          <w:spacing w:val="-7"/>
          <w:sz w:val="24"/>
        </w:rPr>
        <w:t xml:space="preserve"> </w:t>
      </w:r>
      <w:r>
        <w:rPr>
          <w:sz w:val="24"/>
        </w:rPr>
        <w:t>6.1</w:t>
      </w:r>
      <w:r>
        <w:rPr>
          <w:spacing w:val="-9"/>
          <w:sz w:val="24"/>
        </w:rPr>
        <w:t xml:space="preserve"> </w:t>
      </w:r>
      <w:r>
        <w:rPr>
          <w:sz w:val="24"/>
        </w:rPr>
        <w:t>as</w:t>
      </w:r>
      <w:r>
        <w:rPr>
          <w:spacing w:val="-6"/>
          <w:sz w:val="24"/>
        </w:rPr>
        <w:t xml:space="preserve"> </w:t>
      </w:r>
      <w:r>
        <w:rPr>
          <w:sz w:val="24"/>
        </w:rPr>
        <w:t xml:space="preserve">intersecting and overlapping with Article </w:t>
      </w:r>
      <w:proofErr w:type="gramStart"/>
      <w:r>
        <w:rPr>
          <w:sz w:val="24"/>
        </w:rPr>
        <w:t>6.1.1, and</w:t>
      </w:r>
      <w:proofErr w:type="gramEnd"/>
      <w:r>
        <w:rPr>
          <w:sz w:val="24"/>
        </w:rPr>
        <w:t xml:space="preserve"> set out detailed factual and legal </w:t>
      </w:r>
      <w:r>
        <w:rPr>
          <w:spacing w:val="-2"/>
          <w:sz w:val="24"/>
        </w:rPr>
        <w:t>arguments.</w:t>
      </w:r>
      <w:hyperlink w:anchor="_bookmark1330" w:history="1">
        <w:r>
          <w:rPr>
            <w:spacing w:val="-2"/>
            <w:sz w:val="24"/>
            <w:vertAlign w:val="superscript"/>
          </w:rPr>
          <w:t>1144</w:t>
        </w:r>
      </w:hyperlink>
    </w:p>
    <w:p w14:paraId="188383DF" w14:textId="6432ED07" w:rsidR="00BD462C" w:rsidRDefault="00F439BE">
      <w:pPr>
        <w:pStyle w:val="BodyText"/>
        <w:spacing w:before="126" w:line="357" w:lineRule="auto"/>
        <w:ind w:left="135" w:right="913"/>
        <w:jc w:val="both"/>
      </w:pPr>
      <w:r>
        <w:rPr>
          <w:noProof/>
        </w:rPr>
        <w:t>759.</w:t>
      </w:r>
      <w:r w:rsidR="00033D0F">
        <w:rPr>
          <w:rFonts w:ascii="Times New Roman"/>
          <w:spacing w:val="80"/>
          <w:position w:val="1"/>
          <w:sz w:val="20"/>
        </w:rPr>
        <w:t xml:space="preserve">  </w:t>
      </w:r>
      <w:r w:rsidR="00033D0F">
        <w:rPr>
          <w:position w:val="1"/>
        </w:rPr>
        <w:t xml:space="preserve">China seeks to separate and isolate the overarching obligation to give interested </w:t>
      </w:r>
      <w:r w:rsidR="00033D0F">
        <w:t>parties</w:t>
      </w:r>
      <w:r w:rsidR="00033D0F">
        <w:rPr>
          <w:spacing w:val="-9"/>
        </w:rPr>
        <w:t xml:space="preserve"> </w:t>
      </w:r>
      <w:r w:rsidR="00033D0F">
        <w:t>"ample</w:t>
      </w:r>
      <w:r w:rsidR="00033D0F">
        <w:rPr>
          <w:spacing w:val="-11"/>
        </w:rPr>
        <w:t xml:space="preserve"> </w:t>
      </w:r>
      <w:r w:rsidR="00033D0F">
        <w:t>opportunity"</w:t>
      </w:r>
      <w:r w:rsidR="00033D0F">
        <w:rPr>
          <w:spacing w:val="-12"/>
        </w:rPr>
        <w:t xml:space="preserve"> </w:t>
      </w:r>
      <w:r w:rsidR="00033D0F">
        <w:t>in</w:t>
      </w:r>
      <w:r w:rsidR="00033D0F">
        <w:rPr>
          <w:spacing w:val="-13"/>
        </w:rPr>
        <w:t xml:space="preserve"> </w:t>
      </w:r>
      <w:r w:rsidR="00033D0F">
        <w:t>Article</w:t>
      </w:r>
      <w:r w:rsidR="00033D0F">
        <w:rPr>
          <w:spacing w:val="-11"/>
        </w:rPr>
        <w:t xml:space="preserve"> </w:t>
      </w:r>
      <w:r w:rsidR="00033D0F">
        <w:t>6.1</w:t>
      </w:r>
      <w:r w:rsidR="00033D0F">
        <w:rPr>
          <w:spacing w:val="-13"/>
        </w:rPr>
        <w:t xml:space="preserve"> </w:t>
      </w:r>
      <w:r w:rsidR="00033D0F">
        <w:t>from</w:t>
      </w:r>
      <w:r w:rsidR="00033D0F">
        <w:rPr>
          <w:spacing w:val="-11"/>
        </w:rPr>
        <w:t xml:space="preserve"> </w:t>
      </w:r>
      <w:r w:rsidR="00033D0F">
        <w:t>the</w:t>
      </w:r>
      <w:r w:rsidR="00033D0F">
        <w:rPr>
          <w:spacing w:val="-6"/>
        </w:rPr>
        <w:t xml:space="preserve"> </w:t>
      </w:r>
      <w:r w:rsidR="00033D0F">
        <w:t>requirements</w:t>
      </w:r>
      <w:r w:rsidR="00033D0F">
        <w:rPr>
          <w:spacing w:val="-9"/>
        </w:rPr>
        <w:t xml:space="preserve"> </w:t>
      </w:r>
      <w:r w:rsidR="00033D0F">
        <w:t>set</w:t>
      </w:r>
      <w:r w:rsidR="00033D0F">
        <w:rPr>
          <w:spacing w:val="-10"/>
        </w:rPr>
        <w:t xml:space="preserve"> </w:t>
      </w:r>
      <w:r w:rsidR="00033D0F">
        <w:t>forth</w:t>
      </w:r>
      <w:r w:rsidR="00033D0F">
        <w:rPr>
          <w:spacing w:val="-13"/>
        </w:rPr>
        <w:t xml:space="preserve"> </w:t>
      </w:r>
      <w:r w:rsidR="00033D0F">
        <w:t>in</w:t>
      </w:r>
      <w:r w:rsidR="00033D0F">
        <w:rPr>
          <w:spacing w:val="-8"/>
        </w:rPr>
        <w:t xml:space="preserve"> </w:t>
      </w:r>
      <w:r w:rsidR="00033D0F">
        <w:t>Articles</w:t>
      </w:r>
      <w:r w:rsidR="00033D0F">
        <w:rPr>
          <w:spacing w:val="-9"/>
        </w:rPr>
        <w:t xml:space="preserve"> </w:t>
      </w:r>
      <w:r w:rsidR="00033D0F">
        <w:t>6.1.1</w:t>
      </w:r>
      <w:r w:rsidR="00033D0F">
        <w:rPr>
          <w:spacing w:val="-13"/>
        </w:rPr>
        <w:t xml:space="preserve"> </w:t>
      </w:r>
      <w:r w:rsidR="00033D0F">
        <w:t>and</w:t>
      </w:r>
    </w:p>
    <w:p w14:paraId="0866D350" w14:textId="77777777" w:rsidR="00BD462C" w:rsidRDefault="00033D0F">
      <w:pPr>
        <w:pStyle w:val="BodyText"/>
        <w:spacing w:before="1" w:line="360" w:lineRule="auto"/>
        <w:ind w:left="135" w:right="916"/>
        <w:jc w:val="both"/>
      </w:pPr>
      <w:r>
        <w:t>6.1.2. Australia disagrees with China's understanding of the operation of Article 6.1 and its sub-paragraphs.</w:t>
      </w:r>
      <w:r>
        <w:rPr>
          <w:spacing w:val="-8"/>
        </w:rPr>
        <w:t xml:space="preserve"> </w:t>
      </w:r>
      <w:r>
        <w:t>Article</w:t>
      </w:r>
      <w:r>
        <w:rPr>
          <w:spacing w:val="-9"/>
        </w:rPr>
        <w:t xml:space="preserve"> </w:t>
      </w:r>
      <w:r>
        <w:t>6.1</w:t>
      </w:r>
      <w:r>
        <w:rPr>
          <w:spacing w:val="-11"/>
        </w:rPr>
        <w:t xml:space="preserve"> </w:t>
      </w:r>
      <w:r>
        <w:t>establishes</w:t>
      </w:r>
      <w:r>
        <w:rPr>
          <w:spacing w:val="-8"/>
        </w:rPr>
        <w:t xml:space="preserve"> </w:t>
      </w:r>
      <w:r>
        <w:t>an</w:t>
      </w:r>
      <w:r>
        <w:rPr>
          <w:spacing w:val="-11"/>
        </w:rPr>
        <w:t xml:space="preserve"> </w:t>
      </w:r>
      <w:r>
        <w:t>overarching</w:t>
      </w:r>
      <w:r>
        <w:rPr>
          <w:spacing w:val="-8"/>
        </w:rPr>
        <w:t xml:space="preserve"> </w:t>
      </w:r>
      <w:r>
        <w:t>obligation</w:t>
      </w:r>
      <w:r>
        <w:rPr>
          <w:spacing w:val="-11"/>
        </w:rPr>
        <w:t xml:space="preserve"> </w:t>
      </w:r>
      <w:r>
        <w:t>that</w:t>
      </w:r>
      <w:r>
        <w:rPr>
          <w:spacing w:val="-13"/>
        </w:rPr>
        <w:t xml:space="preserve"> </w:t>
      </w:r>
      <w:r>
        <w:t>interested</w:t>
      </w:r>
      <w:r>
        <w:rPr>
          <w:spacing w:val="-11"/>
        </w:rPr>
        <w:t xml:space="preserve"> </w:t>
      </w:r>
      <w:r>
        <w:t>parties</w:t>
      </w:r>
      <w:r>
        <w:rPr>
          <w:spacing w:val="-8"/>
        </w:rPr>
        <w:t xml:space="preserve"> </w:t>
      </w:r>
      <w:r>
        <w:t>"shall be given … ample opportunities". In this way, an investigating authority's failure to observe the</w:t>
      </w:r>
      <w:r>
        <w:rPr>
          <w:spacing w:val="-14"/>
        </w:rPr>
        <w:t xml:space="preserve"> </w:t>
      </w:r>
      <w:r>
        <w:t>requirements</w:t>
      </w:r>
      <w:r>
        <w:rPr>
          <w:spacing w:val="-14"/>
        </w:rPr>
        <w:t xml:space="preserve"> </w:t>
      </w:r>
      <w:r>
        <w:t>of</w:t>
      </w:r>
      <w:r>
        <w:rPr>
          <w:spacing w:val="-13"/>
        </w:rPr>
        <w:t xml:space="preserve"> </w:t>
      </w:r>
      <w:r>
        <w:t>Article</w:t>
      </w:r>
      <w:r>
        <w:rPr>
          <w:spacing w:val="-14"/>
        </w:rPr>
        <w:t xml:space="preserve"> </w:t>
      </w:r>
      <w:r>
        <w:t>6.1.1</w:t>
      </w:r>
      <w:r>
        <w:rPr>
          <w:spacing w:val="-13"/>
        </w:rPr>
        <w:t xml:space="preserve"> </w:t>
      </w:r>
      <w:r>
        <w:t>or</w:t>
      </w:r>
      <w:r>
        <w:rPr>
          <w:spacing w:val="-14"/>
        </w:rPr>
        <w:t xml:space="preserve"> </w:t>
      </w:r>
      <w:r>
        <w:t>6.1.2,</w:t>
      </w:r>
      <w:r>
        <w:rPr>
          <w:spacing w:val="-11"/>
        </w:rPr>
        <w:t xml:space="preserve"> </w:t>
      </w:r>
      <w:r>
        <w:t>including</w:t>
      </w:r>
      <w:r>
        <w:rPr>
          <w:spacing w:val="-12"/>
        </w:rPr>
        <w:t xml:space="preserve"> </w:t>
      </w:r>
      <w:r>
        <w:t>those</w:t>
      </w:r>
      <w:r>
        <w:rPr>
          <w:spacing w:val="-14"/>
        </w:rPr>
        <w:t xml:space="preserve"> </w:t>
      </w:r>
      <w:r>
        <w:t>which</w:t>
      </w:r>
      <w:r>
        <w:rPr>
          <w:spacing w:val="-14"/>
        </w:rPr>
        <w:t xml:space="preserve"> </w:t>
      </w:r>
      <w:r>
        <w:t>China</w:t>
      </w:r>
      <w:r>
        <w:rPr>
          <w:spacing w:val="-13"/>
        </w:rPr>
        <w:t xml:space="preserve"> </w:t>
      </w:r>
      <w:r>
        <w:t>considers</w:t>
      </w:r>
      <w:r>
        <w:rPr>
          <w:spacing w:val="-12"/>
        </w:rPr>
        <w:t xml:space="preserve"> </w:t>
      </w:r>
      <w:r>
        <w:t>optional,</w:t>
      </w:r>
      <w:r>
        <w:rPr>
          <w:spacing w:val="-12"/>
        </w:rPr>
        <w:t xml:space="preserve"> </w:t>
      </w:r>
      <w:r>
        <w:t>may indeed lead to a breach of Article 6.1.</w:t>
      </w:r>
    </w:p>
    <w:p w14:paraId="6BC55A9C" w14:textId="77777777" w:rsidR="00BD462C" w:rsidRDefault="00BD462C">
      <w:pPr>
        <w:pStyle w:val="BodyText"/>
        <w:spacing w:before="3"/>
        <w:rPr>
          <w:sz w:val="9"/>
        </w:rPr>
      </w:pPr>
    </w:p>
    <w:p w14:paraId="0D31F581" w14:textId="7D18A564" w:rsidR="00BD462C" w:rsidRDefault="00F439BE">
      <w:pPr>
        <w:pStyle w:val="BodyText"/>
        <w:spacing w:before="56" w:line="357" w:lineRule="auto"/>
        <w:ind w:left="136" w:right="913"/>
        <w:jc w:val="both"/>
      </w:pPr>
      <w:r>
        <w:rPr>
          <w:noProof/>
        </w:rPr>
        <w:t>760.</w:t>
      </w:r>
      <w:r w:rsidR="00033D0F">
        <w:rPr>
          <w:rFonts w:ascii="Times New Roman"/>
          <w:spacing w:val="80"/>
          <w:position w:val="1"/>
          <w:sz w:val="20"/>
        </w:rPr>
        <w:t xml:space="preserve">  </w:t>
      </w:r>
      <w:r w:rsidR="00033D0F">
        <w:rPr>
          <w:position w:val="1"/>
        </w:rPr>
        <w:t>As</w:t>
      </w:r>
      <w:r w:rsidR="00033D0F">
        <w:rPr>
          <w:spacing w:val="-2"/>
          <w:position w:val="1"/>
        </w:rPr>
        <w:t xml:space="preserve"> </w:t>
      </w:r>
      <w:r w:rsidR="00033D0F">
        <w:rPr>
          <w:position w:val="1"/>
        </w:rPr>
        <w:t>set</w:t>
      </w:r>
      <w:r w:rsidR="00033D0F">
        <w:rPr>
          <w:spacing w:val="-3"/>
          <w:position w:val="1"/>
        </w:rPr>
        <w:t xml:space="preserve"> </w:t>
      </w:r>
      <w:r w:rsidR="00033D0F">
        <w:rPr>
          <w:position w:val="1"/>
        </w:rPr>
        <w:t>out</w:t>
      </w:r>
      <w:r w:rsidR="00033D0F">
        <w:rPr>
          <w:spacing w:val="-8"/>
          <w:position w:val="1"/>
        </w:rPr>
        <w:t xml:space="preserve"> </w:t>
      </w:r>
      <w:r w:rsidR="00033D0F">
        <w:rPr>
          <w:position w:val="1"/>
        </w:rPr>
        <w:t>in</w:t>
      </w:r>
      <w:r w:rsidR="00033D0F">
        <w:rPr>
          <w:spacing w:val="-5"/>
          <w:position w:val="1"/>
        </w:rPr>
        <w:t xml:space="preserve"> </w:t>
      </w:r>
      <w:r w:rsidR="00033D0F">
        <w:rPr>
          <w:position w:val="1"/>
        </w:rPr>
        <w:t>Australia's</w:t>
      </w:r>
      <w:r w:rsidR="00033D0F">
        <w:rPr>
          <w:spacing w:val="-2"/>
          <w:position w:val="1"/>
        </w:rPr>
        <w:t xml:space="preserve"> </w:t>
      </w:r>
      <w:r w:rsidR="00033D0F">
        <w:rPr>
          <w:position w:val="1"/>
        </w:rPr>
        <w:t>first</w:t>
      </w:r>
      <w:r w:rsidR="00033D0F">
        <w:rPr>
          <w:spacing w:val="-3"/>
          <w:position w:val="1"/>
        </w:rPr>
        <w:t xml:space="preserve"> </w:t>
      </w:r>
      <w:r w:rsidR="00033D0F">
        <w:rPr>
          <w:position w:val="1"/>
        </w:rPr>
        <w:t>written</w:t>
      </w:r>
      <w:r w:rsidR="00033D0F">
        <w:rPr>
          <w:spacing w:val="-5"/>
          <w:position w:val="1"/>
        </w:rPr>
        <w:t xml:space="preserve"> </w:t>
      </w:r>
      <w:r w:rsidR="00033D0F">
        <w:rPr>
          <w:position w:val="1"/>
        </w:rPr>
        <w:t>submission</w:t>
      </w:r>
      <w:r w:rsidR="00033D0F">
        <w:rPr>
          <w:spacing w:val="-5"/>
          <w:position w:val="1"/>
        </w:rPr>
        <w:t xml:space="preserve"> </w:t>
      </w:r>
      <w:r w:rsidR="00033D0F">
        <w:rPr>
          <w:position w:val="1"/>
        </w:rPr>
        <w:t>and</w:t>
      </w:r>
      <w:r w:rsidR="00033D0F">
        <w:rPr>
          <w:spacing w:val="-5"/>
          <w:position w:val="1"/>
        </w:rPr>
        <w:t xml:space="preserve"> </w:t>
      </w:r>
      <w:r w:rsidR="00033D0F">
        <w:rPr>
          <w:position w:val="1"/>
        </w:rPr>
        <w:t>this</w:t>
      </w:r>
      <w:r w:rsidR="00033D0F">
        <w:rPr>
          <w:spacing w:val="-2"/>
          <w:position w:val="1"/>
        </w:rPr>
        <w:t xml:space="preserve"> </w:t>
      </w:r>
      <w:r w:rsidR="00033D0F">
        <w:rPr>
          <w:position w:val="1"/>
        </w:rPr>
        <w:t>submission,</w:t>
      </w:r>
      <w:r w:rsidR="00033D0F">
        <w:rPr>
          <w:spacing w:val="-1"/>
          <w:position w:val="1"/>
        </w:rPr>
        <w:t xml:space="preserve"> </w:t>
      </w:r>
      <w:r w:rsidR="00033D0F">
        <w:rPr>
          <w:position w:val="1"/>
        </w:rPr>
        <w:t>Australia</w:t>
      </w:r>
      <w:r w:rsidR="00033D0F">
        <w:rPr>
          <w:spacing w:val="-4"/>
          <w:position w:val="1"/>
        </w:rPr>
        <w:t xml:space="preserve"> </w:t>
      </w:r>
      <w:r w:rsidR="00033D0F">
        <w:rPr>
          <w:position w:val="1"/>
        </w:rPr>
        <w:t xml:space="preserve">claims </w:t>
      </w:r>
      <w:r w:rsidR="00033D0F">
        <w:t>that</w:t>
      </w:r>
      <w:r w:rsidR="00033D0F">
        <w:rPr>
          <w:spacing w:val="-9"/>
        </w:rPr>
        <w:t xml:space="preserve"> </w:t>
      </w:r>
      <w:r w:rsidR="00033D0F">
        <w:t>MOFCOM's</w:t>
      </w:r>
      <w:r w:rsidR="00033D0F">
        <w:rPr>
          <w:spacing w:val="-8"/>
        </w:rPr>
        <w:t xml:space="preserve"> </w:t>
      </w:r>
      <w:r w:rsidR="00033D0F">
        <w:t>conduct</w:t>
      </w:r>
      <w:r w:rsidR="00033D0F">
        <w:rPr>
          <w:spacing w:val="-9"/>
        </w:rPr>
        <w:t xml:space="preserve"> </w:t>
      </w:r>
      <w:r w:rsidR="00033D0F">
        <w:t>was</w:t>
      </w:r>
      <w:r w:rsidR="00033D0F">
        <w:rPr>
          <w:spacing w:val="-8"/>
        </w:rPr>
        <w:t xml:space="preserve"> </w:t>
      </w:r>
      <w:r w:rsidR="00033D0F">
        <w:t>in</w:t>
      </w:r>
      <w:r w:rsidR="00033D0F">
        <w:rPr>
          <w:spacing w:val="-11"/>
        </w:rPr>
        <w:t xml:space="preserve"> </w:t>
      </w:r>
      <w:r w:rsidR="00033D0F">
        <w:t>breach</w:t>
      </w:r>
      <w:r w:rsidR="00033D0F">
        <w:rPr>
          <w:spacing w:val="-11"/>
        </w:rPr>
        <w:t xml:space="preserve"> </w:t>
      </w:r>
      <w:r w:rsidR="00033D0F">
        <w:t>of</w:t>
      </w:r>
      <w:r w:rsidR="00033D0F">
        <w:rPr>
          <w:spacing w:val="-11"/>
        </w:rPr>
        <w:t xml:space="preserve"> </w:t>
      </w:r>
      <w:r w:rsidR="00033D0F">
        <w:t>Article</w:t>
      </w:r>
      <w:r w:rsidR="00033D0F">
        <w:rPr>
          <w:spacing w:val="-9"/>
        </w:rPr>
        <w:t xml:space="preserve"> </w:t>
      </w:r>
      <w:r w:rsidR="00033D0F">
        <w:t>6.1</w:t>
      </w:r>
      <w:r w:rsidR="00033D0F">
        <w:rPr>
          <w:spacing w:val="-11"/>
        </w:rPr>
        <w:t xml:space="preserve"> </w:t>
      </w:r>
      <w:r w:rsidR="00033D0F">
        <w:t>of</w:t>
      </w:r>
      <w:r w:rsidR="00033D0F">
        <w:rPr>
          <w:spacing w:val="-11"/>
        </w:rPr>
        <w:t xml:space="preserve"> </w:t>
      </w:r>
      <w:r w:rsidR="00033D0F">
        <w:t>the</w:t>
      </w:r>
      <w:r w:rsidR="00033D0F">
        <w:rPr>
          <w:spacing w:val="-9"/>
        </w:rPr>
        <w:t xml:space="preserve"> </w:t>
      </w:r>
      <w:r w:rsidR="00033D0F">
        <w:t>Anti-Dumping</w:t>
      </w:r>
      <w:r w:rsidR="00033D0F">
        <w:rPr>
          <w:spacing w:val="-8"/>
        </w:rPr>
        <w:t xml:space="preserve"> </w:t>
      </w:r>
      <w:r w:rsidR="00033D0F">
        <w:t>Agreement</w:t>
      </w:r>
      <w:r w:rsidR="00033D0F">
        <w:rPr>
          <w:spacing w:val="-9"/>
        </w:rPr>
        <w:t xml:space="preserve"> </w:t>
      </w:r>
      <w:r w:rsidR="00033D0F">
        <w:t>because it failed to give the interested parties "ample opportunity to present in writing all evidence which</w:t>
      </w:r>
      <w:r w:rsidR="00033D0F">
        <w:rPr>
          <w:spacing w:val="-10"/>
        </w:rPr>
        <w:t xml:space="preserve"> </w:t>
      </w:r>
      <w:r w:rsidR="00033D0F">
        <w:t>they</w:t>
      </w:r>
      <w:r w:rsidR="00033D0F">
        <w:rPr>
          <w:spacing w:val="-7"/>
        </w:rPr>
        <w:t xml:space="preserve"> </w:t>
      </w:r>
      <w:r w:rsidR="00033D0F">
        <w:t>consider[ed]</w:t>
      </w:r>
      <w:r w:rsidR="00033D0F">
        <w:rPr>
          <w:spacing w:val="-11"/>
        </w:rPr>
        <w:t xml:space="preserve"> </w:t>
      </w:r>
      <w:r w:rsidR="00033D0F">
        <w:t>relevant</w:t>
      </w:r>
      <w:r w:rsidR="00033D0F">
        <w:rPr>
          <w:spacing w:val="-12"/>
        </w:rPr>
        <w:t xml:space="preserve"> </w:t>
      </w:r>
      <w:r w:rsidR="00033D0F">
        <w:t>in</w:t>
      </w:r>
      <w:r w:rsidR="00033D0F">
        <w:rPr>
          <w:spacing w:val="-10"/>
        </w:rPr>
        <w:t xml:space="preserve"> </w:t>
      </w:r>
      <w:r w:rsidR="00033D0F">
        <w:t>respect</w:t>
      </w:r>
      <w:r w:rsidR="00033D0F">
        <w:rPr>
          <w:spacing w:val="-8"/>
        </w:rPr>
        <w:t xml:space="preserve"> </w:t>
      </w:r>
      <w:r w:rsidR="00033D0F">
        <w:t>of</w:t>
      </w:r>
      <w:r w:rsidR="00033D0F">
        <w:rPr>
          <w:spacing w:val="-10"/>
        </w:rPr>
        <w:t xml:space="preserve"> </w:t>
      </w:r>
      <w:r w:rsidR="00033D0F">
        <w:t>the</w:t>
      </w:r>
      <w:r w:rsidR="00033D0F">
        <w:rPr>
          <w:spacing w:val="-8"/>
        </w:rPr>
        <w:t xml:space="preserve"> </w:t>
      </w:r>
      <w:r w:rsidR="00033D0F">
        <w:t>investigation".</w:t>
      </w:r>
      <w:hyperlink w:anchor="_bookmark1331" w:history="1">
        <w:r w:rsidR="00033D0F">
          <w:rPr>
            <w:vertAlign w:val="superscript"/>
          </w:rPr>
          <w:t>1145</w:t>
        </w:r>
      </w:hyperlink>
      <w:r w:rsidR="00033D0F">
        <w:rPr>
          <w:spacing w:val="-7"/>
        </w:rPr>
        <w:t xml:space="preserve"> </w:t>
      </w:r>
      <w:r w:rsidR="00033D0F">
        <w:t>This</w:t>
      </w:r>
      <w:r w:rsidR="00033D0F">
        <w:rPr>
          <w:spacing w:val="-7"/>
        </w:rPr>
        <w:t xml:space="preserve"> </w:t>
      </w:r>
      <w:r w:rsidR="00033D0F">
        <w:t>conduct</w:t>
      </w:r>
      <w:r w:rsidR="00033D0F">
        <w:rPr>
          <w:spacing w:val="-8"/>
        </w:rPr>
        <w:t xml:space="preserve"> </w:t>
      </w:r>
      <w:r w:rsidR="00033D0F">
        <w:t>included:</w:t>
      </w:r>
      <w:r w:rsidR="00033D0F">
        <w:rPr>
          <w:spacing w:val="-11"/>
        </w:rPr>
        <w:t xml:space="preserve"> </w:t>
      </w:r>
      <w:r w:rsidR="00033D0F">
        <w:t>(i)</w:t>
      </w:r>
    </w:p>
    <w:p w14:paraId="50A41FD1" w14:textId="77777777" w:rsidR="00BD462C" w:rsidRDefault="00BD462C">
      <w:pPr>
        <w:pStyle w:val="BodyText"/>
        <w:rPr>
          <w:sz w:val="20"/>
        </w:rPr>
      </w:pPr>
    </w:p>
    <w:p w14:paraId="4365797B" w14:textId="350A16E0" w:rsidR="00BD462C" w:rsidRDefault="00D70C7D">
      <w:pPr>
        <w:pStyle w:val="BodyText"/>
        <w:spacing w:before="2"/>
        <w:rPr>
          <w:sz w:val="14"/>
        </w:rPr>
      </w:pPr>
      <w:r>
        <w:rPr>
          <w:noProof/>
        </w:rPr>
        <mc:AlternateContent>
          <mc:Choice Requires="wps">
            <w:drawing>
              <wp:anchor distT="0" distB="0" distL="0" distR="0" simplePos="0" relativeHeight="487839744" behindDoc="1" locked="0" layoutInCell="1" allowOverlap="1" wp14:anchorId="2B481855" wp14:editId="1727F31E">
                <wp:simplePos x="0" y="0"/>
                <wp:positionH relativeFrom="page">
                  <wp:posOffset>899160</wp:posOffset>
                </wp:positionH>
                <wp:positionV relativeFrom="paragraph">
                  <wp:posOffset>125095</wp:posOffset>
                </wp:positionV>
                <wp:extent cx="1828800" cy="8890"/>
                <wp:effectExtent l="0" t="0" r="0" b="0"/>
                <wp:wrapTopAndBottom/>
                <wp:docPr id="358" name="docshape5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42668C" id="docshape543" o:spid="_x0000_s1026" alt="&quot;&quot;" style="position:absolute;margin-left:70.8pt;margin-top:9.85pt;width:2in;height:.7pt;z-index:-1547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" fillcolor="black" stroked="f">
                <w10:wrap type="topAndBottom" anchorx="page"/>
              </v:rect>
            </w:pict>
          </mc:Fallback>
        </mc:AlternateContent>
      </w:r>
    </w:p>
    <w:p w14:paraId="26F23462" w14:textId="77777777" w:rsidR="00BD462C" w:rsidRDefault="00033D0F">
      <w:pPr>
        <w:spacing w:before="112" w:line="218" w:lineRule="exact"/>
        <w:ind w:left="135"/>
        <w:jc w:val="both"/>
        <w:rPr>
          <w:sz w:val="18"/>
        </w:rPr>
      </w:pPr>
      <w:bookmarkStart w:id="1542" w:name="_bookmark1326"/>
      <w:bookmarkEnd w:id="1542"/>
      <w:r>
        <w:rPr>
          <w:position w:val="5"/>
          <w:sz w:val="12"/>
        </w:rPr>
        <w:t>1140</w:t>
      </w:r>
      <w:r>
        <w:rPr>
          <w:spacing w:val="11"/>
          <w:position w:val="5"/>
          <w:sz w:val="12"/>
        </w:rPr>
        <w:t xml:space="preserve"> </w:t>
      </w:r>
      <w:r>
        <w:rPr>
          <w:sz w:val="18"/>
        </w:rPr>
        <w:t>Australia's</w:t>
      </w:r>
      <w:r>
        <w:rPr>
          <w:spacing w:val="-6"/>
          <w:sz w:val="18"/>
        </w:rPr>
        <w:t xml:space="preserve"> </w:t>
      </w:r>
      <w:r>
        <w:rPr>
          <w:sz w:val="18"/>
        </w:rPr>
        <w:t>first</w:t>
      </w:r>
      <w:r>
        <w:rPr>
          <w:spacing w:val="-6"/>
          <w:sz w:val="18"/>
        </w:rPr>
        <w:t xml:space="preserve"> </w:t>
      </w:r>
      <w:r>
        <w:rPr>
          <w:sz w:val="18"/>
        </w:rPr>
        <w:t>written</w:t>
      </w:r>
      <w:r>
        <w:rPr>
          <w:spacing w:val="-3"/>
          <w:sz w:val="18"/>
        </w:rPr>
        <w:t xml:space="preserve"> </w:t>
      </w:r>
      <w:r>
        <w:rPr>
          <w:sz w:val="18"/>
        </w:rPr>
        <w:t>submission,</w:t>
      </w:r>
      <w:r>
        <w:rPr>
          <w:spacing w:val="-5"/>
          <w:sz w:val="18"/>
        </w:rPr>
        <w:t xml:space="preserve"> </w:t>
      </w:r>
      <w:r>
        <w:rPr>
          <w:sz w:val="18"/>
        </w:rPr>
        <w:t>see</w:t>
      </w:r>
      <w:r>
        <w:rPr>
          <w:spacing w:val="-6"/>
          <w:sz w:val="18"/>
        </w:rPr>
        <w:t xml:space="preserve"> </w:t>
      </w:r>
      <w:proofErr w:type="gramStart"/>
      <w:r>
        <w:rPr>
          <w:sz w:val="18"/>
        </w:rPr>
        <w:t>e.g.</w:t>
      </w:r>
      <w:proofErr w:type="gramEnd"/>
      <w:r>
        <w:rPr>
          <w:spacing w:val="-1"/>
          <w:sz w:val="18"/>
        </w:rPr>
        <w:t xml:space="preserve"> </w:t>
      </w:r>
      <w:r>
        <w:rPr>
          <w:sz w:val="18"/>
        </w:rPr>
        <w:t>paras.</w:t>
      </w:r>
      <w:r>
        <w:rPr>
          <w:spacing w:val="-6"/>
          <w:sz w:val="18"/>
        </w:rPr>
        <w:t xml:space="preserve"> </w:t>
      </w:r>
      <w:r>
        <w:rPr>
          <w:sz w:val="18"/>
        </w:rPr>
        <w:t>899,</w:t>
      </w:r>
      <w:r>
        <w:rPr>
          <w:spacing w:val="-5"/>
          <w:sz w:val="18"/>
        </w:rPr>
        <w:t xml:space="preserve"> </w:t>
      </w:r>
      <w:r>
        <w:rPr>
          <w:sz w:val="18"/>
        </w:rPr>
        <w:t>905, 907,</w:t>
      </w:r>
      <w:r>
        <w:rPr>
          <w:spacing w:val="-1"/>
          <w:sz w:val="18"/>
        </w:rPr>
        <w:t xml:space="preserve"> </w:t>
      </w:r>
      <w:r>
        <w:rPr>
          <w:sz w:val="18"/>
        </w:rPr>
        <w:t>908-</w:t>
      </w:r>
      <w:r>
        <w:rPr>
          <w:spacing w:val="-4"/>
          <w:sz w:val="18"/>
        </w:rPr>
        <w:t>935.</w:t>
      </w:r>
    </w:p>
    <w:p w14:paraId="34D05F21" w14:textId="77777777" w:rsidR="00BD462C" w:rsidRDefault="00033D0F">
      <w:pPr>
        <w:spacing w:line="218" w:lineRule="exact"/>
        <w:ind w:left="135"/>
        <w:jc w:val="both"/>
        <w:rPr>
          <w:sz w:val="18"/>
        </w:rPr>
      </w:pPr>
      <w:bookmarkStart w:id="1543" w:name="_bookmark1327"/>
      <w:bookmarkEnd w:id="1543"/>
      <w:r>
        <w:rPr>
          <w:position w:val="5"/>
          <w:sz w:val="12"/>
        </w:rPr>
        <w:t>1141</w:t>
      </w:r>
      <w:r>
        <w:rPr>
          <w:spacing w:val="13"/>
          <w:position w:val="5"/>
          <w:sz w:val="12"/>
        </w:rPr>
        <w:t xml:space="preserve"> </w:t>
      </w:r>
      <w:r>
        <w:rPr>
          <w:sz w:val="18"/>
        </w:rPr>
        <w:t>Australia's</w:t>
      </w:r>
      <w:r>
        <w:rPr>
          <w:spacing w:val="-5"/>
          <w:sz w:val="18"/>
        </w:rPr>
        <w:t xml:space="preserve"> </w:t>
      </w:r>
      <w:r>
        <w:rPr>
          <w:sz w:val="18"/>
        </w:rPr>
        <w:t>first</w:t>
      </w:r>
      <w:r>
        <w:rPr>
          <w:spacing w:val="-4"/>
          <w:sz w:val="18"/>
        </w:rPr>
        <w:t xml:space="preserve"> </w:t>
      </w:r>
      <w:r>
        <w:rPr>
          <w:sz w:val="18"/>
        </w:rPr>
        <w:t>written</w:t>
      </w:r>
      <w:r>
        <w:rPr>
          <w:spacing w:val="-1"/>
          <w:sz w:val="18"/>
        </w:rPr>
        <w:t xml:space="preserve"> </w:t>
      </w:r>
      <w:r>
        <w:rPr>
          <w:sz w:val="18"/>
        </w:rPr>
        <w:t>submission,</w:t>
      </w:r>
      <w:r>
        <w:rPr>
          <w:spacing w:val="2"/>
          <w:sz w:val="18"/>
        </w:rPr>
        <w:t xml:space="preserve"> </w:t>
      </w:r>
      <w:r>
        <w:rPr>
          <w:sz w:val="18"/>
        </w:rPr>
        <w:t>para.</w:t>
      </w:r>
      <w:r>
        <w:rPr>
          <w:spacing w:val="-4"/>
          <w:sz w:val="18"/>
        </w:rPr>
        <w:t xml:space="preserve"> </w:t>
      </w:r>
      <w:r>
        <w:rPr>
          <w:sz w:val="18"/>
        </w:rPr>
        <w:t>900</w:t>
      </w:r>
      <w:r>
        <w:rPr>
          <w:spacing w:val="-7"/>
          <w:sz w:val="18"/>
        </w:rPr>
        <w:t xml:space="preserve"> </w:t>
      </w:r>
      <w:r>
        <w:rPr>
          <w:sz w:val="18"/>
        </w:rPr>
        <w:t>to</w:t>
      </w:r>
      <w:r>
        <w:rPr>
          <w:spacing w:val="-1"/>
          <w:sz w:val="18"/>
        </w:rPr>
        <w:t xml:space="preserve"> </w:t>
      </w:r>
      <w:r>
        <w:rPr>
          <w:spacing w:val="-4"/>
          <w:sz w:val="18"/>
        </w:rPr>
        <w:t>901.</w:t>
      </w:r>
    </w:p>
    <w:p w14:paraId="38DE526D" w14:textId="77777777" w:rsidR="00BD462C" w:rsidRDefault="00033D0F">
      <w:pPr>
        <w:spacing w:before="1"/>
        <w:ind w:left="135" w:right="6349"/>
        <w:jc w:val="both"/>
        <w:rPr>
          <w:sz w:val="18"/>
        </w:rPr>
      </w:pPr>
      <w:bookmarkStart w:id="1544" w:name="_bookmark1328"/>
      <w:bookmarkEnd w:id="1544"/>
      <w:r>
        <w:rPr>
          <w:position w:val="5"/>
          <w:sz w:val="12"/>
        </w:rPr>
        <w:t>1142</w:t>
      </w:r>
      <w:r>
        <w:rPr>
          <w:spacing w:val="12"/>
          <w:position w:val="5"/>
          <w:sz w:val="12"/>
        </w:rPr>
        <w:t xml:space="preserve"> </w:t>
      </w:r>
      <w:r>
        <w:rPr>
          <w:sz w:val="18"/>
        </w:rPr>
        <w:t>Australia's</w:t>
      </w:r>
      <w:r>
        <w:rPr>
          <w:spacing w:val="-7"/>
          <w:sz w:val="18"/>
        </w:rPr>
        <w:t xml:space="preserve"> </w:t>
      </w:r>
      <w:r>
        <w:rPr>
          <w:sz w:val="18"/>
        </w:rPr>
        <w:t>first</w:t>
      </w:r>
      <w:r>
        <w:rPr>
          <w:spacing w:val="-6"/>
          <w:sz w:val="18"/>
        </w:rPr>
        <w:t xml:space="preserve"> </w:t>
      </w:r>
      <w:r>
        <w:rPr>
          <w:sz w:val="18"/>
        </w:rPr>
        <w:t>written</w:t>
      </w:r>
      <w:r>
        <w:rPr>
          <w:spacing w:val="-3"/>
          <w:sz w:val="18"/>
        </w:rPr>
        <w:t xml:space="preserve"> </w:t>
      </w:r>
      <w:r>
        <w:rPr>
          <w:sz w:val="18"/>
        </w:rPr>
        <w:t>submission,</w:t>
      </w:r>
      <w:r>
        <w:rPr>
          <w:spacing w:val="-1"/>
          <w:sz w:val="18"/>
        </w:rPr>
        <w:t xml:space="preserve"> </w:t>
      </w:r>
      <w:r>
        <w:rPr>
          <w:sz w:val="18"/>
        </w:rPr>
        <w:t>para.</w:t>
      </w:r>
      <w:r>
        <w:rPr>
          <w:spacing w:val="-6"/>
          <w:sz w:val="18"/>
        </w:rPr>
        <w:t xml:space="preserve"> </w:t>
      </w:r>
      <w:r>
        <w:rPr>
          <w:sz w:val="18"/>
        </w:rPr>
        <w:t xml:space="preserve">905. </w:t>
      </w:r>
      <w:bookmarkStart w:id="1545" w:name="_bookmark1329"/>
      <w:bookmarkEnd w:id="1545"/>
      <w:r>
        <w:rPr>
          <w:position w:val="5"/>
          <w:sz w:val="12"/>
        </w:rPr>
        <w:t>1143</w:t>
      </w:r>
      <w:r>
        <w:rPr>
          <w:spacing w:val="12"/>
          <w:position w:val="5"/>
          <w:sz w:val="12"/>
        </w:rPr>
        <w:t xml:space="preserve"> </w:t>
      </w:r>
      <w:r>
        <w:rPr>
          <w:sz w:val="18"/>
        </w:rPr>
        <w:t>Australia's</w:t>
      </w:r>
      <w:r>
        <w:rPr>
          <w:spacing w:val="-7"/>
          <w:sz w:val="18"/>
        </w:rPr>
        <w:t xml:space="preserve"> </w:t>
      </w:r>
      <w:r>
        <w:rPr>
          <w:sz w:val="18"/>
        </w:rPr>
        <w:t>first</w:t>
      </w:r>
      <w:r>
        <w:rPr>
          <w:spacing w:val="-6"/>
          <w:sz w:val="18"/>
        </w:rPr>
        <w:t xml:space="preserve"> </w:t>
      </w:r>
      <w:r>
        <w:rPr>
          <w:sz w:val="18"/>
        </w:rPr>
        <w:t>written</w:t>
      </w:r>
      <w:r>
        <w:rPr>
          <w:spacing w:val="-3"/>
          <w:sz w:val="18"/>
        </w:rPr>
        <w:t xml:space="preserve"> </w:t>
      </w:r>
      <w:r>
        <w:rPr>
          <w:sz w:val="18"/>
        </w:rPr>
        <w:t>submission,</w:t>
      </w:r>
      <w:r>
        <w:rPr>
          <w:spacing w:val="-1"/>
          <w:sz w:val="18"/>
        </w:rPr>
        <w:t xml:space="preserve"> </w:t>
      </w:r>
      <w:r>
        <w:rPr>
          <w:sz w:val="18"/>
        </w:rPr>
        <w:t>para.</w:t>
      </w:r>
      <w:r>
        <w:rPr>
          <w:spacing w:val="-6"/>
          <w:sz w:val="18"/>
        </w:rPr>
        <w:t xml:space="preserve"> </w:t>
      </w:r>
      <w:r>
        <w:rPr>
          <w:sz w:val="18"/>
        </w:rPr>
        <w:t xml:space="preserve">906. </w:t>
      </w:r>
      <w:bookmarkStart w:id="1546" w:name="_bookmark1330"/>
      <w:bookmarkEnd w:id="1546"/>
      <w:r>
        <w:rPr>
          <w:position w:val="5"/>
          <w:sz w:val="12"/>
        </w:rPr>
        <w:t>1144</w:t>
      </w:r>
      <w:r>
        <w:rPr>
          <w:spacing w:val="12"/>
          <w:position w:val="5"/>
          <w:sz w:val="12"/>
        </w:rPr>
        <w:t xml:space="preserve"> </w:t>
      </w:r>
      <w:r>
        <w:rPr>
          <w:sz w:val="18"/>
        </w:rPr>
        <w:t>Australia's</w:t>
      </w:r>
      <w:r>
        <w:rPr>
          <w:spacing w:val="-7"/>
          <w:sz w:val="18"/>
        </w:rPr>
        <w:t xml:space="preserve"> </w:t>
      </w:r>
      <w:r>
        <w:rPr>
          <w:sz w:val="18"/>
        </w:rPr>
        <w:t>first</w:t>
      </w:r>
      <w:r>
        <w:rPr>
          <w:spacing w:val="-6"/>
          <w:sz w:val="18"/>
        </w:rPr>
        <w:t xml:space="preserve"> </w:t>
      </w:r>
      <w:r>
        <w:rPr>
          <w:sz w:val="18"/>
        </w:rPr>
        <w:t>written</w:t>
      </w:r>
      <w:r>
        <w:rPr>
          <w:spacing w:val="-3"/>
          <w:sz w:val="18"/>
        </w:rPr>
        <w:t xml:space="preserve"> </w:t>
      </w:r>
      <w:r>
        <w:rPr>
          <w:sz w:val="18"/>
        </w:rPr>
        <w:t>submission,</w:t>
      </w:r>
      <w:r>
        <w:rPr>
          <w:spacing w:val="-1"/>
          <w:sz w:val="18"/>
        </w:rPr>
        <w:t xml:space="preserve"> </w:t>
      </w:r>
      <w:r>
        <w:rPr>
          <w:sz w:val="18"/>
        </w:rPr>
        <w:t>para.</w:t>
      </w:r>
      <w:r>
        <w:rPr>
          <w:spacing w:val="-6"/>
          <w:sz w:val="18"/>
        </w:rPr>
        <w:t xml:space="preserve"> </w:t>
      </w:r>
      <w:r>
        <w:rPr>
          <w:sz w:val="18"/>
        </w:rPr>
        <w:t xml:space="preserve">908. </w:t>
      </w:r>
      <w:bookmarkStart w:id="1547" w:name="_bookmark1331"/>
      <w:bookmarkEnd w:id="1547"/>
      <w:r>
        <w:rPr>
          <w:position w:val="5"/>
          <w:sz w:val="12"/>
        </w:rPr>
        <w:t>1145</w:t>
      </w:r>
      <w:r>
        <w:rPr>
          <w:spacing w:val="13"/>
          <w:position w:val="5"/>
          <w:sz w:val="12"/>
        </w:rPr>
        <w:t xml:space="preserve"> </w:t>
      </w:r>
      <w:r>
        <w:rPr>
          <w:sz w:val="18"/>
        </w:rPr>
        <w:t>Australia’s</w:t>
      </w:r>
      <w:r>
        <w:rPr>
          <w:spacing w:val="-6"/>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 xml:space="preserve">para. </w:t>
      </w:r>
      <w:r>
        <w:rPr>
          <w:spacing w:val="-4"/>
          <w:sz w:val="18"/>
        </w:rPr>
        <w:t>907.</w:t>
      </w:r>
    </w:p>
    <w:p w14:paraId="440CE67B" w14:textId="77777777" w:rsidR="00BD462C" w:rsidRDefault="00BD462C">
      <w:pPr>
        <w:jc w:val="both"/>
        <w:rPr>
          <w:sz w:val="18"/>
        </w:rPr>
        <w:sectPr w:rsidR="00BD462C">
          <w:pgSz w:w="11910" w:h="16840"/>
          <w:pgMar w:top="860" w:right="500" w:bottom="780" w:left="1280" w:header="566" w:footer="590" w:gutter="0"/>
          <w:cols w:space="720"/>
        </w:sectPr>
      </w:pPr>
    </w:p>
    <w:p w14:paraId="3DF2D014"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27256F7A"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6232577C"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40532AC8" w14:textId="77777777" w:rsidR="00BD462C" w:rsidRDefault="00033D0F">
      <w:pPr>
        <w:pStyle w:val="BodyText"/>
        <w:spacing w:before="102" w:line="360" w:lineRule="auto"/>
        <w:ind w:left="135" w:right="912"/>
        <w:jc w:val="both"/>
      </w:pPr>
      <w:r>
        <w:t>MOFCOM's arbitrary refusal to grant reasonable extension requests, notwithstanding good cause shown; (ii) MOFCOM's failure to provide notice to Casella Wines of deficiencies in the information</w:t>
      </w:r>
      <w:r>
        <w:rPr>
          <w:spacing w:val="-14"/>
        </w:rPr>
        <w:t xml:space="preserve"> </w:t>
      </w:r>
      <w:r>
        <w:t>supplied</w:t>
      </w:r>
      <w:r>
        <w:rPr>
          <w:spacing w:val="-14"/>
        </w:rPr>
        <w:t xml:space="preserve"> </w:t>
      </w:r>
      <w:r>
        <w:t>or</w:t>
      </w:r>
      <w:r>
        <w:rPr>
          <w:spacing w:val="-13"/>
        </w:rPr>
        <w:t xml:space="preserve"> </w:t>
      </w:r>
      <w:r>
        <w:t>to</w:t>
      </w:r>
      <w:r>
        <w:rPr>
          <w:spacing w:val="-14"/>
        </w:rPr>
        <w:t xml:space="preserve"> </w:t>
      </w:r>
      <w:r>
        <w:t>accept</w:t>
      </w:r>
      <w:r>
        <w:rPr>
          <w:spacing w:val="-11"/>
        </w:rPr>
        <w:t xml:space="preserve"> </w:t>
      </w:r>
      <w:r>
        <w:t>the</w:t>
      </w:r>
      <w:r>
        <w:rPr>
          <w:spacing w:val="-13"/>
        </w:rPr>
        <w:t xml:space="preserve"> </w:t>
      </w:r>
      <w:r>
        <w:t>information</w:t>
      </w:r>
      <w:r>
        <w:rPr>
          <w:spacing w:val="-10"/>
        </w:rPr>
        <w:t xml:space="preserve"> </w:t>
      </w:r>
      <w:r>
        <w:t>that</w:t>
      </w:r>
      <w:r>
        <w:rPr>
          <w:spacing w:val="-12"/>
        </w:rPr>
        <w:t xml:space="preserve"> </w:t>
      </w:r>
      <w:r>
        <w:t>Casella</w:t>
      </w:r>
      <w:r>
        <w:rPr>
          <w:spacing w:val="-13"/>
        </w:rPr>
        <w:t xml:space="preserve"> </w:t>
      </w:r>
      <w:r>
        <w:t>Wines</w:t>
      </w:r>
      <w:r>
        <w:rPr>
          <w:spacing w:val="-11"/>
        </w:rPr>
        <w:t xml:space="preserve"> </w:t>
      </w:r>
      <w:r>
        <w:t>proactively</w:t>
      </w:r>
      <w:r>
        <w:rPr>
          <w:spacing w:val="-12"/>
        </w:rPr>
        <w:t xml:space="preserve"> </w:t>
      </w:r>
      <w:r>
        <w:t>re-submitted to correct such deficiencies; and (iii) MOFCOM's failure to properly make available the evidence of the interested parties in the "domestic industry".</w:t>
      </w:r>
      <w:hyperlink w:anchor="_bookmark1333" w:history="1">
        <w:r>
          <w:rPr>
            <w:vertAlign w:val="superscript"/>
          </w:rPr>
          <w:t>1146</w:t>
        </w:r>
      </w:hyperlink>
    </w:p>
    <w:p w14:paraId="519D025D" w14:textId="77777777" w:rsidR="00BD462C" w:rsidRDefault="00BD462C">
      <w:pPr>
        <w:pStyle w:val="BodyText"/>
        <w:spacing w:before="11"/>
        <w:rPr>
          <w:sz w:val="8"/>
        </w:rPr>
      </w:pPr>
    </w:p>
    <w:p w14:paraId="0F707D1C" w14:textId="34D83448" w:rsidR="00BD462C" w:rsidRDefault="00F439BE">
      <w:pPr>
        <w:pStyle w:val="BodyText"/>
        <w:spacing w:before="56" w:line="360" w:lineRule="auto"/>
        <w:ind w:left="135" w:right="912"/>
        <w:jc w:val="both"/>
      </w:pPr>
      <w:r>
        <w:rPr>
          <w:noProof/>
        </w:rPr>
        <w:t>761.</w:t>
      </w:r>
      <w:r w:rsidR="00033D0F">
        <w:rPr>
          <w:rFonts w:ascii="Times New Roman"/>
          <w:spacing w:val="80"/>
          <w:position w:val="1"/>
          <w:sz w:val="20"/>
        </w:rPr>
        <w:t xml:space="preserve">  </w:t>
      </w:r>
      <w:r w:rsidR="00033D0F">
        <w:rPr>
          <w:position w:val="1"/>
        </w:rPr>
        <w:t xml:space="preserve">China is entitled to present submissions disagreeing with Australia's construction of </w:t>
      </w:r>
      <w:r w:rsidR="00033D0F">
        <w:t>Article 6.1. But</w:t>
      </w:r>
      <w:r w:rsidR="00033D0F">
        <w:rPr>
          <w:spacing w:val="-3"/>
        </w:rPr>
        <w:t xml:space="preserve"> </w:t>
      </w:r>
      <w:r w:rsidR="00033D0F">
        <w:t>it is misleading, and</w:t>
      </w:r>
      <w:r w:rsidR="00033D0F">
        <w:rPr>
          <w:spacing w:val="-2"/>
        </w:rPr>
        <w:t xml:space="preserve"> </w:t>
      </w:r>
      <w:r w:rsidR="00033D0F">
        <w:t>inappropriate, to</w:t>
      </w:r>
      <w:r w:rsidR="00033D0F">
        <w:rPr>
          <w:spacing w:val="-2"/>
        </w:rPr>
        <w:t xml:space="preserve"> </w:t>
      </w:r>
      <w:r w:rsidR="00033D0F">
        <w:t>submit that Australia has not made any argument</w:t>
      </w:r>
      <w:r w:rsidR="00033D0F">
        <w:rPr>
          <w:spacing w:val="-8"/>
        </w:rPr>
        <w:t xml:space="preserve"> </w:t>
      </w:r>
      <w:r w:rsidR="00033D0F">
        <w:t>where</w:t>
      </w:r>
      <w:r w:rsidR="00033D0F">
        <w:rPr>
          <w:spacing w:val="-9"/>
        </w:rPr>
        <w:t xml:space="preserve"> </w:t>
      </w:r>
      <w:r w:rsidR="00033D0F">
        <w:t>one</w:t>
      </w:r>
      <w:r w:rsidR="00033D0F">
        <w:rPr>
          <w:spacing w:val="-8"/>
        </w:rPr>
        <w:t xml:space="preserve"> </w:t>
      </w:r>
      <w:r w:rsidR="00033D0F">
        <w:t>has</w:t>
      </w:r>
      <w:r w:rsidR="00033D0F">
        <w:rPr>
          <w:spacing w:val="-8"/>
        </w:rPr>
        <w:t xml:space="preserve"> </w:t>
      </w:r>
      <w:r w:rsidR="00033D0F">
        <w:t>clearly</w:t>
      </w:r>
      <w:r w:rsidR="00033D0F">
        <w:rPr>
          <w:spacing w:val="-8"/>
        </w:rPr>
        <w:t xml:space="preserve"> </w:t>
      </w:r>
      <w:r w:rsidR="00033D0F">
        <w:t>been</w:t>
      </w:r>
      <w:r w:rsidR="00033D0F">
        <w:rPr>
          <w:spacing w:val="-10"/>
        </w:rPr>
        <w:t xml:space="preserve"> </w:t>
      </w:r>
      <w:r w:rsidR="00033D0F">
        <w:t>set</w:t>
      </w:r>
      <w:r w:rsidR="00033D0F">
        <w:rPr>
          <w:spacing w:val="-8"/>
        </w:rPr>
        <w:t xml:space="preserve"> </w:t>
      </w:r>
      <w:r w:rsidR="00033D0F">
        <w:t>out.</w:t>
      </w:r>
      <w:r w:rsidR="00033D0F">
        <w:rPr>
          <w:spacing w:val="-8"/>
        </w:rPr>
        <w:t xml:space="preserve"> </w:t>
      </w:r>
      <w:r w:rsidR="00033D0F">
        <w:t>As</w:t>
      </w:r>
      <w:r w:rsidR="00033D0F">
        <w:rPr>
          <w:spacing w:val="-8"/>
        </w:rPr>
        <w:t xml:space="preserve"> </w:t>
      </w:r>
      <w:r w:rsidR="00033D0F">
        <w:t>discussed</w:t>
      </w:r>
      <w:r w:rsidR="00033D0F">
        <w:rPr>
          <w:spacing w:val="-10"/>
        </w:rPr>
        <w:t xml:space="preserve"> </w:t>
      </w:r>
      <w:r w:rsidR="00033D0F">
        <w:t>below,</w:t>
      </w:r>
      <w:r w:rsidR="00033D0F">
        <w:rPr>
          <w:spacing w:val="-11"/>
        </w:rPr>
        <w:t xml:space="preserve"> </w:t>
      </w:r>
      <w:r w:rsidR="00033D0F">
        <w:t>it</w:t>
      </w:r>
      <w:r w:rsidR="00033D0F">
        <w:rPr>
          <w:spacing w:val="-12"/>
        </w:rPr>
        <w:t xml:space="preserve"> </w:t>
      </w:r>
      <w:r w:rsidR="00033D0F">
        <w:t>is</w:t>
      </w:r>
      <w:r w:rsidR="00033D0F">
        <w:rPr>
          <w:spacing w:val="-12"/>
        </w:rPr>
        <w:t xml:space="preserve"> </w:t>
      </w:r>
      <w:r w:rsidR="00033D0F">
        <w:t>similarly</w:t>
      </w:r>
      <w:r w:rsidR="00033D0F">
        <w:rPr>
          <w:spacing w:val="-8"/>
        </w:rPr>
        <w:t xml:space="preserve"> </w:t>
      </w:r>
      <w:r w:rsidR="00033D0F">
        <w:t>misleading</w:t>
      </w:r>
      <w:r w:rsidR="00033D0F">
        <w:rPr>
          <w:spacing w:val="-8"/>
        </w:rPr>
        <w:t xml:space="preserve"> </w:t>
      </w:r>
      <w:r w:rsidR="00033D0F">
        <w:t>for China to misrepresent Australia's arguments in an apparent attempt to avoid addressing the merits of the arguments that Australia has actually made.</w:t>
      </w:r>
    </w:p>
    <w:p w14:paraId="697C4E0C" w14:textId="77777777" w:rsidR="00BD462C" w:rsidRDefault="00033D0F">
      <w:pPr>
        <w:pStyle w:val="Heading3"/>
        <w:numPr>
          <w:ilvl w:val="0"/>
          <w:numId w:val="25"/>
        </w:numPr>
        <w:tabs>
          <w:tab w:val="left" w:pos="2545"/>
          <w:tab w:val="left" w:pos="2546"/>
        </w:tabs>
        <w:spacing w:before="155"/>
        <w:ind w:left="2545" w:hanging="850"/>
        <w:jc w:val="both"/>
      </w:pPr>
      <w:bookmarkStart w:id="1548" w:name="3._Legal_framework"/>
      <w:bookmarkStart w:id="1549" w:name="_bookmark1332"/>
      <w:bookmarkEnd w:id="1548"/>
      <w:bookmarkEnd w:id="1549"/>
      <w:r>
        <w:t>Legal</w:t>
      </w:r>
      <w:r>
        <w:rPr>
          <w:spacing w:val="-3"/>
        </w:rPr>
        <w:t xml:space="preserve"> </w:t>
      </w:r>
      <w:r>
        <w:rPr>
          <w:spacing w:val="-2"/>
        </w:rPr>
        <w:t>framework</w:t>
      </w:r>
    </w:p>
    <w:p w14:paraId="60CB0902" w14:textId="77777777" w:rsidR="00BD462C" w:rsidRDefault="00BD462C">
      <w:pPr>
        <w:pStyle w:val="BodyText"/>
        <w:spacing w:before="1"/>
        <w:rPr>
          <w:b/>
          <w:sz w:val="25"/>
        </w:rPr>
      </w:pPr>
    </w:p>
    <w:p w14:paraId="68258C15" w14:textId="77777777" w:rsidR="00BD462C" w:rsidRDefault="00033D0F">
      <w:pPr>
        <w:pStyle w:val="ListParagraph"/>
        <w:numPr>
          <w:ilvl w:val="1"/>
          <w:numId w:val="25"/>
        </w:numPr>
        <w:tabs>
          <w:tab w:val="left" w:pos="3539"/>
          <w:tab w:val="left" w:pos="3540"/>
        </w:tabs>
        <w:spacing w:before="1"/>
        <w:ind w:hanging="851"/>
        <w:rPr>
          <w:sz w:val="24"/>
        </w:rPr>
      </w:pPr>
      <w:bookmarkStart w:id="1550" w:name="(a)_Article_6.1_and_6.1.1"/>
      <w:bookmarkEnd w:id="1550"/>
      <w:r>
        <w:rPr>
          <w:sz w:val="24"/>
          <w:u w:val="single"/>
        </w:rPr>
        <w:t>Article</w:t>
      </w:r>
      <w:r>
        <w:rPr>
          <w:spacing w:val="-4"/>
          <w:sz w:val="24"/>
          <w:u w:val="single"/>
        </w:rPr>
        <w:t xml:space="preserve"> </w:t>
      </w:r>
      <w:r>
        <w:rPr>
          <w:sz w:val="24"/>
          <w:u w:val="single"/>
        </w:rPr>
        <w:t>6.1</w:t>
      </w:r>
      <w:r>
        <w:rPr>
          <w:spacing w:val="-5"/>
          <w:sz w:val="24"/>
          <w:u w:val="single"/>
        </w:rPr>
        <w:t xml:space="preserve"> </w:t>
      </w:r>
      <w:r>
        <w:rPr>
          <w:sz w:val="24"/>
          <w:u w:val="single"/>
        </w:rPr>
        <w:t>and</w:t>
      </w:r>
      <w:r>
        <w:rPr>
          <w:spacing w:val="-3"/>
          <w:sz w:val="24"/>
          <w:u w:val="single"/>
        </w:rPr>
        <w:t xml:space="preserve"> </w:t>
      </w:r>
      <w:r>
        <w:rPr>
          <w:spacing w:val="-4"/>
          <w:sz w:val="24"/>
          <w:u w:val="single"/>
        </w:rPr>
        <w:t>6.1.1</w:t>
      </w:r>
    </w:p>
    <w:p w14:paraId="037BF339" w14:textId="77777777" w:rsidR="00BD462C" w:rsidRDefault="00BD462C">
      <w:pPr>
        <w:pStyle w:val="BodyText"/>
        <w:spacing w:before="11"/>
        <w:rPr>
          <w:sz w:val="20"/>
        </w:rPr>
      </w:pPr>
    </w:p>
    <w:p w14:paraId="452E9345" w14:textId="478C7189" w:rsidR="00BD462C" w:rsidRDefault="00F439BE">
      <w:pPr>
        <w:pStyle w:val="BodyText"/>
        <w:spacing w:before="56" w:line="360" w:lineRule="auto"/>
        <w:ind w:left="135" w:right="912"/>
        <w:jc w:val="both"/>
      </w:pPr>
      <w:r>
        <w:rPr>
          <w:noProof/>
        </w:rPr>
        <w:t>762.</w:t>
      </w:r>
      <w:r w:rsidR="00033D0F">
        <w:rPr>
          <w:rFonts w:ascii="Times New Roman"/>
          <w:spacing w:val="80"/>
          <w:position w:val="1"/>
          <w:sz w:val="20"/>
        </w:rPr>
        <w:t xml:space="preserve"> </w:t>
      </w:r>
      <w:r w:rsidR="00033D0F">
        <w:rPr>
          <w:position w:val="1"/>
        </w:rPr>
        <w:t>Articles</w:t>
      </w:r>
      <w:r w:rsidR="00033D0F">
        <w:rPr>
          <w:spacing w:val="-2"/>
          <w:position w:val="1"/>
        </w:rPr>
        <w:t xml:space="preserve"> </w:t>
      </w:r>
      <w:r w:rsidR="00033D0F">
        <w:rPr>
          <w:position w:val="1"/>
        </w:rPr>
        <w:t>6.1,</w:t>
      </w:r>
      <w:r w:rsidR="00033D0F">
        <w:rPr>
          <w:spacing w:val="-2"/>
          <w:position w:val="1"/>
        </w:rPr>
        <w:t xml:space="preserve"> </w:t>
      </w:r>
      <w:r w:rsidR="00033D0F">
        <w:rPr>
          <w:position w:val="1"/>
        </w:rPr>
        <w:t>6.1.1,</w:t>
      </w:r>
      <w:r w:rsidR="00033D0F">
        <w:rPr>
          <w:spacing w:val="-1"/>
          <w:position w:val="1"/>
        </w:rPr>
        <w:t xml:space="preserve"> </w:t>
      </w:r>
      <w:r w:rsidR="00033D0F">
        <w:rPr>
          <w:position w:val="1"/>
        </w:rPr>
        <w:t>and</w:t>
      </w:r>
      <w:r w:rsidR="00033D0F">
        <w:rPr>
          <w:spacing w:val="-5"/>
          <w:position w:val="1"/>
        </w:rPr>
        <w:t xml:space="preserve"> </w:t>
      </w:r>
      <w:r w:rsidR="00033D0F">
        <w:rPr>
          <w:position w:val="1"/>
        </w:rPr>
        <w:t>6.1.2</w:t>
      </w:r>
      <w:r w:rsidR="00033D0F">
        <w:rPr>
          <w:spacing w:val="-6"/>
          <w:position w:val="1"/>
        </w:rPr>
        <w:t xml:space="preserve"> </w:t>
      </w:r>
      <w:r w:rsidR="00033D0F">
        <w:rPr>
          <w:position w:val="1"/>
        </w:rPr>
        <w:t>of the</w:t>
      </w:r>
      <w:r w:rsidR="00033D0F">
        <w:rPr>
          <w:spacing w:val="-3"/>
          <w:position w:val="1"/>
        </w:rPr>
        <w:t xml:space="preserve"> </w:t>
      </w:r>
      <w:r w:rsidR="00033D0F">
        <w:rPr>
          <w:position w:val="1"/>
        </w:rPr>
        <w:t>Anti-Dumping</w:t>
      </w:r>
      <w:r w:rsidR="00033D0F">
        <w:rPr>
          <w:spacing w:val="-2"/>
          <w:position w:val="1"/>
        </w:rPr>
        <w:t xml:space="preserve"> </w:t>
      </w:r>
      <w:r w:rsidR="00033D0F">
        <w:rPr>
          <w:position w:val="1"/>
        </w:rPr>
        <w:t>Agreement</w:t>
      </w:r>
      <w:r w:rsidR="00033D0F">
        <w:rPr>
          <w:spacing w:val="-3"/>
          <w:position w:val="1"/>
        </w:rPr>
        <w:t xml:space="preserve"> </w:t>
      </w:r>
      <w:r w:rsidR="00033D0F">
        <w:rPr>
          <w:position w:val="1"/>
        </w:rPr>
        <w:t>are</w:t>
      </w:r>
      <w:r w:rsidR="00033D0F">
        <w:rPr>
          <w:spacing w:val="-3"/>
          <w:position w:val="1"/>
        </w:rPr>
        <w:t xml:space="preserve"> </w:t>
      </w:r>
      <w:r w:rsidR="00033D0F">
        <w:rPr>
          <w:position w:val="1"/>
        </w:rPr>
        <w:t>the</w:t>
      </w:r>
      <w:r w:rsidR="00033D0F">
        <w:rPr>
          <w:spacing w:val="-3"/>
          <w:position w:val="1"/>
        </w:rPr>
        <w:t xml:space="preserve"> </w:t>
      </w:r>
      <w:r w:rsidR="00033D0F">
        <w:rPr>
          <w:position w:val="1"/>
        </w:rPr>
        <w:t>embodiment</w:t>
      </w:r>
      <w:r w:rsidR="00033D0F">
        <w:rPr>
          <w:spacing w:val="-3"/>
          <w:position w:val="1"/>
        </w:rPr>
        <w:t xml:space="preserve"> </w:t>
      </w:r>
      <w:r w:rsidR="00033D0F">
        <w:rPr>
          <w:position w:val="1"/>
        </w:rPr>
        <w:t xml:space="preserve">of </w:t>
      </w:r>
      <w:r w:rsidR="00033D0F">
        <w:t>"fundamental"</w:t>
      </w:r>
      <w:r w:rsidR="00033D0F">
        <w:rPr>
          <w:spacing w:val="-14"/>
        </w:rPr>
        <w:t xml:space="preserve"> </w:t>
      </w:r>
      <w:r w:rsidR="00033D0F">
        <w:t>due</w:t>
      </w:r>
      <w:r w:rsidR="00033D0F">
        <w:rPr>
          <w:spacing w:val="-14"/>
        </w:rPr>
        <w:t xml:space="preserve"> </w:t>
      </w:r>
      <w:r w:rsidR="00033D0F">
        <w:t>process</w:t>
      </w:r>
      <w:r w:rsidR="00033D0F">
        <w:rPr>
          <w:spacing w:val="-13"/>
        </w:rPr>
        <w:t xml:space="preserve"> </w:t>
      </w:r>
      <w:r w:rsidR="00033D0F">
        <w:t>rights.</w:t>
      </w:r>
      <w:hyperlink w:anchor="_bookmark1334" w:history="1">
        <w:r w:rsidR="00033D0F">
          <w:rPr>
            <w:vertAlign w:val="superscript"/>
          </w:rPr>
          <w:t>1147</w:t>
        </w:r>
      </w:hyperlink>
      <w:r w:rsidR="00033D0F">
        <w:rPr>
          <w:spacing w:val="-14"/>
        </w:rPr>
        <w:t xml:space="preserve"> </w:t>
      </w:r>
      <w:r w:rsidR="00033D0F">
        <w:t>Article</w:t>
      </w:r>
      <w:r w:rsidR="00033D0F">
        <w:rPr>
          <w:spacing w:val="-12"/>
        </w:rPr>
        <w:t xml:space="preserve"> </w:t>
      </w:r>
      <w:r w:rsidR="00033D0F">
        <w:t>6.1</w:t>
      </w:r>
      <w:r w:rsidR="00033D0F">
        <w:rPr>
          <w:spacing w:val="-14"/>
        </w:rPr>
        <w:t xml:space="preserve"> </w:t>
      </w:r>
      <w:r w:rsidR="00033D0F">
        <w:t>is</w:t>
      </w:r>
      <w:r w:rsidR="00033D0F">
        <w:rPr>
          <w:spacing w:val="-10"/>
        </w:rPr>
        <w:t xml:space="preserve"> </w:t>
      </w:r>
      <w:r w:rsidR="00033D0F">
        <w:t>also</w:t>
      </w:r>
      <w:r w:rsidR="00033D0F">
        <w:rPr>
          <w:spacing w:val="-14"/>
        </w:rPr>
        <w:t xml:space="preserve"> </w:t>
      </w:r>
      <w:r w:rsidR="00033D0F">
        <w:t>fundamental</w:t>
      </w:r>
      <w:r w:rsidR="00033D0F">
        <w:rPr>
          <w:spacing w:val="-10"/>
        </w:rPr>
        <w:t xml:space="preserve"> </w:t>
      </w:r>
      <w:r w:rsidR="00033D0F">
        <w:t>to</w:t>
      </w:r>
      <w:r w:rsidR="00033D0F">
        <w:rPr>
          <w:spacing w:val="-14"/>
        </w:rPr>
        <w:t xml:space="preserve"> </w:t>
      </w:r>
      <w:r w:rsidR="00033D0F">
        <w:t>the</w:t>
      </w:r>
      <w:r w:rsidR="00033D0F">
        <w:rPr>
          <w:spacing w:val="-12"/>
        </w:rPr>
        <w:t xml:space="preserve"> </w:t>
      </w:r>
      <w:r w:rsidR="00033D0F">
        <w:t>correct</w:t>
      </w:r>
      <w:r w:rsidR="00033D0F">
        <w:rPr>
          <w:spacing w:val="-12"/>
        </w:rPr>
        <w:t xml:space="preserve"> </w:t>
      </w:r>
      <w:r w:rsidR="00033D0F">
        <w:t>application of Article 6.8 because if an interested party has not been properly notified and informed of the information it is required to submit under Article 6.1, it cannot be argued that the party has refused access to necessary information, or has otherwise withheld necessary information, or has significantly impeded the investigation.</w:t>
      </w:r>
      <w:hyperlink w:anchor="_bookmark1335" w:history="1">
        <w:r w:rsidR="00033D0F">
          <w:rPr>
            <w:vertAlign w:val="superscript"/>
          </w:rPr>
          <w:t>1148</w:t>
        </w:r>
      </w:hyperlink>
      <w:r w:rsidR="00033D0F">
        <w:t xml:space="preserve"> China's proposed interpretation</w:t>
      </w:r>
      <w:r w:rsidR="00033D0F">
        <w:rPr>
          <w:spacing w:val="-3"/>
        </w:rPr>
        <w:t xml:space="preserve"> </w:t>
      </w:r>
      <w:r w:rsidR="00033D0F">
        <w:t>of the provisions would</w:t>
      </w:r>
      <w:r w:rsidR="00033D0F">
        <w:rPr>
          <w:spacing w:val="-3"/>
        </w:rPr>
        <w:t xml:space="preserve"> </w:t>
      </w:r>
      <w:r w:rsidR="00033D0F">
        <w:t>improperly limit</w:t>
      </w:r>
      <w:r w:rsidR="00033D0F">
        <w:rPr>
          <w:spacing w:val="-1"/>
        </w:rPr>
        <w:t xml:space="preserve"> </w:t>
      </w:r>
      <w:r w:rsidR="00033D0F">
        <w:t>both</w:t>
      </w:r>
      <w:r w:rsidR="00033D0F">
        <w:rPr>
          <w:spacing w:val="-3"/>
        </w:rPr>
        <w:t xml:space="preserve"> </w:t>
      </w:r>
      <w:r w:rsidR="00033D0F">
        <w:t>the</w:t>
      </w:r>
      <w:r w:rsidR="00033D0F">
        <w:rPr>
          <w:spacing w:val="-2"/>
        </w:rPr>
        <w:t xml:space="preserve"> </w:t>
      </w:r>
      <w:r w:rsidR="00033D0F">
        <w:t>scope and application</w:t>
      </w:r>
      <w:r w:rsidR="00033D0F">
        <w:rPr>
          <w:spacing w:val="-3"/>
        </w:rPr>
        <w:t xml:space="preserve"> </w:t>
      </w:r>
      <w:r w:rsidR="00033D0F">
        <w:t>of</w:t>
      </w:r>
      <w:r w:rsidR="00033D0F">
        <w:rPr>
          <w:spacing w:val="-3"/>
        </w:rPr>
        <w:t xml:space="preserve"> </w:t>
      </w:r>
      <w:r w:rsidR="00033D0F">
        <w:t>the relevant obligations.</w:t>
      </w:r>
      <w:hyperlink w:anchor="_bookmark1336" w:history="1">
        <w:r w:rsidR="00033D0F">
          <w:rPr>
            <w:vertAlign w:val="superscript"/>
          </w:rPr>
          <w:t>1149</w:t>
        </w:r>
      </w:hyperlink>
      <w:r w:rsidR="00033D0F">
        <w:t xml:space="preserve"> If accepted, China's approach would upset the careful balance between the rights and obligations of an investigating authority and those of interested parties including, in particular, by elevating the interests and discretion of the investigating authority</w:t>
      </w:r>
      <w:hyperlink w:anchor="_bookmark1337" w:history="1">
        <w:r w:rsidR="00033D0F">
          <w:rPr>
            <w:vertAlign w:val="superscript"/>
          </w:rPr>
          <w:t>1150</w:t>
        </w:r>
      </w:hyperlink>
      <w:r w:rsidR="00033D0F">
        <w:t xml:space="preserve"> and diminishing the value of the information supplied by interested parties.</w:t>
      </w:r>
      <w:hyperlink w:anchor="_bookmark1338" w:history="1">
        <w:r w:rsidR="00033D0F">
          <w:rPr>
            <w:vertAlign w:val="superscript"/>
          </w:rPr>
          <w:t>1151</w:t>
        </w:r>
      </w:hyperlink>
      <w:r w:rsidR="00033D0F">
        <w:t xml:space="preserve"> It would also impede the proper functioning of Article 6.8 and Annex II.</w:t>
      </w:r>
    </w:p>
    <w:p w14:paraId="26D4956F" w14:textId="77777777" w:rsidR="00BD462C" w:rsidRDefault="00BD462C">
      <w:pPr>
        <w:pStyle w:val="BodyText"/>
        <w:rPr>
          <w:sz w:val="20"/>
        </w:rPr>
      </w:pPr>
    </w:p>
    <w:p w14:paraId="44759539" w14:textId="77777777" w:rsidR="00BD462C" w:rsidRDefault="00BD462C">
      <w:pPr>
        <w:pStyle w:val="BodyText"/>
        <w:rPr>
          <w:sz w:val="20"/>
        </w:rPr>
      </w:pPr>
    </w:p>
    <w:p w14:paraId="6DEA73A3" w14:textId="473A0F46" w:rsidR="00BD462C" w:rsidRDefault="00D70C7D">
      <w:pPr>
        <w:pStyle w:val="BodyText"/>
        <w:spacing w:before="5"/>
        <w:rPr>
          <w:sz w:val="28"/>
        </w:rPr>
      </w:pPr>
      <w:r>
        <w:rPr>
          <w:noProof/>
        </w:rPr>
        <mc:AlternateContent>
          <mc:Choice Requires="wps">
            <w:drawing>
              <wp:anchor distT="0" distB="0" distL="0" distR="0" simplePos="0" relativeHeight="487840256" behindDoc="1" locked="0" layoutInCell="1" allowOverlap="1" wp14:anchorId="79593DA6" wp14:editId="1540C401">
                <wp:simplePos x="0" y="0"/>
                <wp:positionH relativeFrom="page">
                  <wp:posOffset>899160</wp:posOffset>
                </wp:positionH>
                <wp:positionV relativeFrom="paragraph">
                  <wp:posOffset>235585</wp:posOffset>
                </wp:positionV>
                <wp:extent cx="1828800" cy="8890"/>
                <wp:effectExtent l="0" t="0" r="0" b="0"/>
                <wp:wrapTopAndBottom/>
                <wp:docPr id="356" name="docshape5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7A21D2" id="docshape544" o:spid="_x0000_s1026" alt="&quot;&quot;" style="position:absolute;margin-left:70.8pt;margin-top:18.55pt;width:2in;height:.7pt;z-index:-1547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" fillcolor="black" stroked="f">
                <w10:wrap type="topAndBottom" anchorx="page"/>
              </v:rect>
            </w:pict>
          </mc:Fallback>
        </mc:AlternateContent>
      </w:r>
    </w:p>
    <w:p w14:paraId="56631C70" w14:textId="77777777" w:rsidR="00BD462C" w:rsidRDefault="00033D0F">
      <w:pPr>
        <w:spacing w:before="112"/>
        <w:ind w:left="2411" w:right="910" w:hanging="2276"/>
        <w:rPr>
          <w:sz w:val="18"/>
        </w:rPr>
      </w:pPr>
      <w:bookmarkStart w:id="1551" w:name="_bookmark1333"/>
      <w:bookmarkEnd w:id="1551"/>
      <w:r>
        <w:rPr>
          <w:position w:val="5"/>
          <w:sz w:val="12"/>
        </w:rPr>
        <w:t>1146</w:t>
      </w:r>
      <w:r>
        <w:rPr>
          <w:spacing w:val="36"/>
          <w:position w:val="5"/>
          <w:sz w:val="12"/>
        </w:rPr>
        <w:t xml:space="preserve"> </w:t>
      </w:r>
      <w:r>
        <w:rPr>
          <w:sz w:val="18"/>
        </w:rPr>
        <w:t xml:space="preserve">Australia also presses an </w:t>
      </w:r>
      <w:proofErr w:type="gramStart"/>
      <w:r>
        <w:rPr>
          <w:sz w:val="18"/>
        </w:rPr>
        <w:t>Article</w:t>
      </w:r>
      <w:proofErr w:type="gramEnd"/>
      <w:r>
        <w:rPr>
          <w:sz w:val="18"/>
        </w:rPr>
        <w:t xml:space="preserve"> 6.1 argument in the event</w:t>
      </w:r>
      <w:r>
        <w:rPr>
          <w:spacing w:val="18"/>
          <w:sz w:val="18"/>
        </w:rPr>
        <w:t xml:space="preserve"> </w:t>
      </w:r>
      <w:r>
        <w:rPr>
          <w:sz w:val="18"/>
        </w:rPr>
        <w:t>the Panel</w:t>
      </w:r>
      <w:r>
        <w:rPr>
          <w:spacing w:val="18"/>
          <w:sz w:val="18"/>
        </w:rPr>
        <w:t xml:space="preserve"> </w:t>
      </w:r>
      <w:r>
        <w:rPr>
          <w:sz w:val="18"/>
        </w:rPr>
        <w:t>accepts China's submission that</w:t>
      </w:r>
      <w:r>
        <w:rPr>
          <w:spacing w:val="18"/>
          <w:sz w:val="18"/>
        </w:rPr>
        <w:t xml:space="preserve"> </w:t>
      </w:r>
      <w:r>
        <w:rPr>
          <w:sz w:val="18"/>
        </w:rPr>
        <w:t xml:space="preserve">information on See para. </w:t>
      </w:r>
      <w:hyperlink w:anchor="_bookmark253" w:history="1">
        <w:r>
          <w:rPr>
            <w:sz w:val="18"/>
          </w:rPr>
          <w:t>133.</w:t>
        </w:r>
      </w:hyperlink>
    </w:p>
    <w:p w14:paraId="3346E801" w14:textId="2DFED16F" w:rsidR="00BD462C" w:rsidRDefault="00D70C7D">
      <w:pPr>
        <w:spacing w:line="217" w:lineRule="exact"/>
        <w:ind w:left="135"/>
        <w:rPr>
          <w:sz w:val="18"/>
        </w:rPr>
      </w:pPr>
      <w:r>
        <w:rPr>
          <w:noProof/>
        </w:rPr>
        <mc:AlternateContent>
          <mc:Choice Requires="wps">
            <w:drawing>
              <wp:anchor distT="0" distB="0" distL="114300" distR="114300" simplePos="0" relativeHeight="479141888" behindDoc="1" locked="0" layoutInCell="1" allowOverlap="1" wp14:anchorId="6F9F13C5" wp14:editId="6889C290">
                <wp:simplePos x="0" y="0"/>
                <wp:positionH relativeFrom="page">
                  <wp:posOffset>899160</wp:posOffset>
                </wp:positionH>
                <wp:positionV relativeFrom="paragraph">
                  <wp:posOffset>-139700</wp:posOffset>
                </wp:positionV>
                <wp:extent cx="1417320" cy="140335"/>
                <wp:effectExtent l="0" t="0" r="0" b="0"/>
                <wp:wrapNone/>
                <wp:docPr id="354" name="docshape5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7320" cy="140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FAEFD" id="docshape545" o:spid="_x0000_s1026" alt="&quot;&quot;" style="position:absolute;margin-left:70.8pt;margin-top:-11pt;width:111.6pt;height:11.05pt;z-index:-2417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" fillcolor="black" stroked="f">
                <w10:wrap anchorx="page"/>
              </v:rect>
            </w:pict>
          </mc:Fallback>
        </mc:AlternateContent>
      </w:r>
      <w:bookmarkStart w:id="1552" w:name="_bookmark1334"/>
      <w:bookmarkEnd w:id="1552"/>
      <w:r w:rsidR="00033D0F">
        <w:rPr>
          <w:position w:val="5"/>
          <w:sz w:val="12"/>
        </w:rPr>
        <w:t>1147</w:t>
      </w:r>
      <w:r w:rsidR="00033D0F">
        <w:rPr>
          <w:spacing w:val="15"/>
          <w:position w:val="5"/>
          <w:sz w:val="12"/>
        </w:rPr>
        <w:t xml:space="preserve"> </w:t>
      </w:r>
      <w:r w:rsidR="00033D0F">
        <w:rPr>
          <w:sz w:val="18"/>
        </w:rPr>
        <w:t>Appellate</w:t>
      </w:r>
      <w:r w:rsidR="00033D0F">
        <w:rPr>
          <w:spacing w:val="-8"/>
          <w:sz w:val="18"/>
        </w:rPr>
        <w:t xml:space="preserve"> </w:t>
      </w:r>
      <w:r w:rsidR="00033D0F">
        <w:rPr>
          <w:sz w:val="18"/>
        </w:rPr>
        <w:t>Body</w:t>
      </w:r>
      <w:r w:rsidR="00033D0F">
        <w:rPr>
          <w:spacing w:val="-4"/>
          <w:sz w:val="18"/>
        </w:rPr>
        <w:t xml:space="preserve"> </w:t>
      </w:r>
      <w:r w:rsidR="00033D0F">
        <w:rPr>
          <w:sz w:val="18"/>
        </w:rPr>
        <w:t>Report,</w:t>
      </w:r>
      <w:r w:rsidR="00033D0F">
        <w:rPr>
          <w:spacing w:val="-2"/>
          <w:sz w:val="18"/>
        </w:rPr>
        <w:t xml:space="preserve"> </w:t>
      </w:r>
      <w:r w:rsidR="00033D0F">
        <w:rPr>
          <w:i/>
          <w:sz w:val="18"/>
        </w:rPr>
        <w:t>US –</w:t>
      </w:r>
      <w:r w:rsidR="00033D0F">
        <w:rPr>
          <w:i/>
          <w:spacing w:val="-3"/>
          <w:sz w:val="18"/>
        </w:rPr>
        <w:t xml:space="preserve"> </w:t>
      </w:r>
      <w:r w:rsidR="00033D0F">
        <w:rPr>
          <w:i/>
          <w:sz w:val="18"/>
        </w:rPr>
        <w:t>Oil</w:t>
      </w:r>
      <w:r w:rsidR="00033D0F">
        <w:rPr>
          <w:i/>
          <w:spacing w:val="-2"/>
          <w:sz w:val="18"/>
        </w:rPr>
        <w:t xml:space="preserve"> </w:t>
      </w:r>
      <w:r w:rsidR="00033D0F">
        <w:rPr>
          <w:i/>
          <w:sz w:val="18"/>
        </w:rPr>
        <w:t>Country</w:t>
      </w:r>
      <w:r w:rsidR="00033D0F">
        <w:rPr>
          <w:i/>
          <w:spacing w:val="-4"/>
          <w:sz w:val="18"/>
        </w:rPr>
        <w:t xml:space="preserve"> </w:t>
      </w:r>
      <w:r w:rsidR="00033D0F">
        <w:rPr>
          <w:i/>
          <w:sz w:val="18"/>
        </w:rPr>
        <w:t>Tubular</w:t>
      </w:r>
      <w:r w:rsidR="00033D0F">
        <w:rPr>
          <w:i/>
          <w:spacing w:val="-4"/>
          <w:sz w:val="18"/>
        </w:rPr>
        <w:t xml:space="preserve"> </w:t>
      </w:r>
      <w:r w:rsidR="00033D0F">
        <w:rPr>
          <w:i/>
          <w:sz w:val="18"/>
        </w:rPr>
        <w:t>Goods</w:t>
      </w:r>
      <w:r w:rsidR="00033D0F">
        <w:rPr>
          <w:i/>
          <w:spacing w:val="-3"/>
          <w:sz w:val="18"/>
        </w:rPr>
        <w:t xml:space="preserve"> </w:t>
      </w:r>
      <w:r w:rsidR="00033D0F">
        <w:rPr>
          <w:i/>
          <w:sz w:val="18"/>
        </w:rPr>
        <w:t>Sunset</w:t>
      </w:r>
      <w:r w:rsidR="00033D0F">
        <w:rPr>
          <w:i/>
          <w:spacing w:val="-6"/>
          <w:sz w:val="18"/>
        </w:rPr>
        <w:t xml:space="preserve"> </w:t>
      </w:r>
      <w:r w:rsidR="00033D0F">
        <w:rPr>
          <w:i/>
          <w:sz w:val="18"/>
        </w:rPr>
        <w:t>Reviews</w:t>
      </w:r>
      <w:r w:rsidR="00033D0F">
        <w:rPr>
          <w:sz w:val="18"/>
        </w:rPr>
        <w:t>,</w:t>
      </w:r>
      <w:r w:rsidR="00033D0F">
        <w:rPr>
          <w:spacing w:val="-2"/>
          <w:sz w:val="18"/>
        </w:rPr>
        <w:t xml:space="preserve"> </w:t>
      </w:r>
      <w:r w:rsidR="00033D0F">
        <w:rPr>
          <w:sz w:val="18"/>
        </w:rPr>
        <w:t>para.</w:t>
      </w:r>
      <w:r w:rsidR="00033D0F">
        <w:rPr>
          <w:spacing w:val="-2"/>
          <w:sz w:val="18"/>
        </w:rPr>
        <w:t xml:space="preserve"> </w:t>
      </w:r>
      <w:r w:rsidR="00033D0F">
        <w:rPr>
          <w:spacing w:val="-4"/>
          <w:sz w:val="18"/>
        </w:rPr>
        <w:t>241.</w:t>
      </w:r>
    </w:p>
    <w:p w14:paraId="423F36BF" w14:textId="77777777" w:rsidR="00BD462C" w:rsidRDefault="00033D0F">
      <w:pPr>
        <w:spacing w:before="1"/>
        <w:ind w:left="135"/>
        <w:rPr>
          <w:sz w:val="18"/>
        </w:rPr>
      </w:pPr>
      <w:bookmarkStart w:id="1553" w:name="_bookmark1335"/>
      <w:bookmarkEnd w:id="1553"/>
      <w:r>
        <w:rPr>
          <w:position w:val="5"/>
          <w:sz w:val="12"/>
        </w:rPr>
        <w:t>1148</w:t>
      </w:r>
      <w:r>
        <w:rPr>
          <w:spacing w:val="13"/>
          <w:position w:val="5"/>
          <w:sz w:val="12"/>
        </w:rPr>
        <w:t xml:space="preserve"> </w:t>
      </w:r>
      <w:r>
        <w:rPr>
          <w:sz w:val="18"/>
        </w:rPr>
        <w:t>Panel</w:t>
      </w:r>
      <w:r>
        <w:rPr>
          <w:spacing w:val="-4"/>
          <w:sz w:val="18"/>
        </w:rPr>
        <w:t xml:space="preserve"> </w:t>
      </w:r>
      <w:r>
        <w:rPr>
          <w:sz w:val="18"/>
        </w:rPr>
        <w:t>Report,</w:t>
      </w:r>
      <w:r>
        <w:rPr>
          <w:spacing w:val="-7"/>
          <w:sz w:val="18"/>
        </w:rPr>
        <w:t xml:space="preserve"> </w:t>
      </w:r>
      <w:r>
        <w:rPr>
          <w:i/>
          <w:sz w:val="18"/>
        </w:rPr>
        <w:t>Mexico</w:t>
      </w:r>
      <w:r>
        <w:rPr>
          <w:i/>
          <w:spacing w:val="-3"/>
          <w:sz w:val="18"/>
        </w:rPr>
        <w:t xml:space="preserve"> </w:t>
      </w:r>
      <w:r>
        <w:rPr>
          <w:i/>
          <w:sz w:val="18"/>
        </w:rPr>
        <w:t>–</w:t>
      </w:r>
      <w:r>
        <w:rPr>
          <w:i/>
          <w:spacing w:val="-5"/>
          <w:sz w:val="18"/>
        </w:rPr>
        <w:t xml:space="preserve"> </w:t>
      </w:r>
      <w:r>
        <w:rPr>
          <w:i/>
          <w:sz w:val="18"/>
        </w:rPr>
        <w:t>Antidumping</w:t>
      </w:r>
      <w:r>
        <w:rPr>
          <w:i/>
          <w:spacing w:val="-4"/>
          <w:sz w:val="18"/>
        </w:rPr>
        <w:t xml:space="preserve"> </w:t>
      </w:r>
      <w:r>
        <w:rPr>
          <w:i/>
          <w:sz w:val="18"/>
        </w:rPr>
        <w:t>Measures</w:t>
      </w:r>
      <w:r>
        <w:rPr>
          <w:i/>
          <w:spacing w:val="-5"/>
          <w:sz w:val="18"/>
        </w:rPr>
        <w:t xml:space="preserve"> </w:t>
      </w:r>
      <w:r>
        <w:rPr>
          <w:i/>
          <w:sz w:val="18"/>
        </w:rPr>
        <w:t>on</w:t>
      </w:r>
      <w:r>
        <w:rPr>
          <w:i/>
          <w:spacing w:val="-4"/>
          <w:sz w:val="18"/>
        </w:rPr>
        <w:t xml:space="preserve"> </w:t>
      </w:r>
      <w:r>
        <w:rPr>
          <w:i/>
          <w:sz w:val="18"/>
        </w:rPr>
        <w:t>Rice</w:t>
      </w:r>
      <w:r>
        <w:rPr>
          <w:sz w:val="18"/>
        </w:rPr>
        <w:t>,</w:t>
      </w:r>
      <w:r>
        <w:rPr>
          <w:spacing w:val="2"/>
          <w:sz w:val="18"/>
        </w:rPr>
        <w:t xml:space="preserve"> </w:t>
      </w:r>
      <w:r>
        <w:rPr>
          <w:sz w:val="18"/>
        </w:rPr>
        <w:t>paras.</w:t>
      </w:r>
      <w:r>
        <w:rPr>
          <w:spacing w:val="-4"/>
          <w:sz w:val="18"/>
        </w:rPr>
        <w:t xml:space="preserve"> </w:t>
      </w:r>
      <w:r>
        <w:rPr>
          <w:sz w:val="18"/>
        </w:rPr>
        <w:t>7.193-</w:t>
      </w:r>
      <w:r>
        <w:rPr>
          <w:spacing w:val="-2"/>
          <w:sz w:val="18"/>
        </w:rPr>
        <w:t>7.194.</w:t>
      </w:r>
    </w:p>
    <w:p w14:paraId="0E2402B3" w14:textId="77777777" w:rsidR="00BD462C" w:rsidRDefault="00033D0F">
      <w:pPr>
        <w:spacing w:before="1"/>
        <w:ind w:left="135"/>
        <w:rPr>
          <w:sz w:val="18"/>
        </w:rPr>
      </w:pPr>
      <w:bookmarkStart w:id="1554" w:name="_bookmark1336"/>
      <w:bookmarkEnd w:id="1554"/>
      <w:r>
        <w:rPr>
          <w:position w:val="5"/>
          <w:sz w:val="12"/>
        </w:rPr>
        <w:t>1149</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paras.</w:t>
      </w:r>
      <w:r>
        <w:rPr>
          <w:spacing w:val="-5"/>
          <w:sz w:val="18"/>
        </w:rPr>
        <w:t xml:space="preserve"> </w:t>
      </w:r>
      <w:r>
        <w:rPr>
          <w:sz w:val="18"/>
        </w:rPr>
        <w:t>2357-</w:t>
      </w:r>
      <w:r>
        <w:rPr>
          <w:spacing w:val="-2"/>
          <w:sz w:val="18"/>
        </w:rPr>
        <w:t>2368.</w:t>
      </w:r>
    </w:p>
    <w:p w14:paraId="1688412E" w14:textId="77777777" w:rsidR="00BD462C" w:rsidRDefault="00033D0F">
      <w:pPr>
        <w:spacing w:before="1"/>
        <w:ind w:left="135"/>
        <w:rPr>
          <w:sz w:val="18"/>
        </w:rPr>
      </w:pPr>
      <w:bookmarkStart w:id="1555" w:name="_bookmark1337"/>
      <w:bookmarkEnd w:id="1555"/>
      <w:r>
        <w:rPr>
          <w:position w:val="5"/>
          <w:sz w:val="12"/>
        </w:rPr>
        <w:t>1150</w:t>
      </w:r>
      <w:r>
        <w:rPr>
          <w:spacing w:val="11"/>
          <w:position w:val="5"/>
          <w:sz w:val="12"/>
        </w:rPr>
        <w:t xml:space="preserve"> </w:t>
      </w:r>
      <w:r>
        <w:rPr>
          <w:sz w:val="18"/>
        </w:rPr>
        <w:t>China's</w:t>
      </w:r>
      <w:r>
        <w:rPr>
          <w:spacing w:val="-7"/>
          <w:sz w:val="18"/>
        </w:rPr>
        <w:t xml:space="preserve"> </w:t>
      </w:r>
      <w:r>
        <w:rPr>
          <w:sz w:val="18"/>
        </w:rPr>
        <w:t>first</w:t>
      </w:r>
      <w:r>
        <w:rPr>
          <w:spacing w:val="-6"/>
          <w:sz w:val="18"/>
        </w:rPr>
        <w:t xml:space="preserve"> </w:t>
      </w:r>
      <w:r>
        <w:rPr>
          <w:sz w:val="18"/>
        </w:rPr>
        <w:t>written</w:t>
      </w:r>
      <w:r>
        <w:rPr>
          <w:spacing w:val="-8"/>
          <w:sz w:val="18"/>
        </w:rPr>
        <w:t xml:space="preserve"> </w:t>
      </w:r>
      <w:r>
        <w:rPr>
          <w:sz w:val="18"/>
        </w:rPr>
        <w:t>submission,</w:t>
      </w:r>
      <w:r>
        <w:rPr>
          <w:spacing w:val="-1"/>
          <w:sz w:val="18"/>
        </w:rPr>
        <w:t xml:space="preserve"> </w:t>
      </w:r>
      <w:r>
        <w:rPr>
          <w:sz w:val="18"/>
        </w:rPr>
        <w:t>paras.</w:t>
      </w:r>
      <w:r>
        <w:rPr>
          <w:spacing w:val="-5"/>
          <w:sz w:val="18"/>
        </w:rPr>
        <w:t xml:space="preserve"> </w:t>
      </w:r>
      <w:r>
        <w:rPr>
          <w:sz w:val="18"/>
        </w:rPr>
        <w:t>2358,</w:t>
      </w:r>
      <w:r>
        <w:rPr>
          <w:spacing w:val="-5"/>
          <w:sz w:val="18"/>
        </w:rPr>
        <w:t xml:space="preserve"> </w:t>
      </w:r>
      <w:r>
        <w:rPr>
          <w:sz w:val="18"/>
        </w:rPr>
        <w:t>2359,</w:t>
      </w:r>
      <w:r>
        <w:rPr>
          <w:spacing w:val="-1"/>
          <w:sz w:val="18"/>
        </w:rPr>
        <w:t xml:space="preserve"> </w:t>
      </w:r>
      <w:r>
        <w:rPr>
          <w:sz w:val="18"/>
        </w:rPr>
        <w:t>2360,</w:t>
      </w:r>
      <w:r>
        <w:rPr>
          <w:spacing w:val="-1"/>
          <w:sz w:val="18"/>
        </w:rPr>
        <w:t xml:space="preserve"> </w:t>
      </w:r>
      <w:r>
        <w:rPr>
          <w:sz w:val="18"/>
        </w:rPr>
        <w:t>and</w:t>
      </w:r>
      <w:r>
        <w:rPr>
          <w:spacing w:val="-4"/>
          <w:sz w:val="18"/>
        </w:rPr>
        <w:t xml:space="preserve"> </w:t>
      </w:r>
      <w:r>
        <w:rPr>
          <w:sz w:val="18"/>
        </w:rPr>
        <w:t>2362-</w:t>
      </w:r>
      <w:r>
        <w:rPr>
          <w:spacing w:val="-2"/>
          <w:sz w:val="18"/>
        </w:rPr>
        <w:t>2365.</w:t>
      </w:r>
    </w:p>
    <w:p w14:paraId="04394560" w14:textId="77777777" w:rsidR="00BD462C" w:rsidRDefault="00033D0F">
      <w:pPr>
        <w:spacing w:before="1"/>
        <w:ind w:left="135"/>
        <w:rPr>
          <w:sz w:val="18"/>
        </w:rPr>
      </w:pPr>
      <w:bookmarkStart w:id="1556" w:name="_bookmark1338"/>
      <w:bookmarkEnd w:id="1556"/>
      <w:r>
        <w:rPr>
          <w:position w:val="5"/>
          <w:sz w:val="12"/>
        </w:rPr>
        <w:t>1151</w:t>
      </w:r>
      <w:r>
        <w:rPr>
          <w:spacing w:val="13"/>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 xml:space="preserve">para. </w:t>
      </w:r>
      <w:r>
        <w:rPr>
          <w:spacing w:val="-2"/>
          <w:sz w:val="18"/>
        </w:rPr>
        <w:t>2368.</w:t>
      </w:r>
    </w:p>
    <w:p w14:paraId="2427282D" w14:textId="77777777" w:rsidR="00BD462C" w:rsidRDefault="00BD462C">
      <w:pPr>
        <w:rPr>
          <w:sz w:val="18"/>
        </w:rPr>
        <w:sectPr w:rsidR="00BD462C">
          <w:pgSz w:w="11910" w:h="16840"/>
          <w:pgMar w:top="860" w:right="500" w:bottom="780" w:left="1280" w:header="566" w:footer="590" w:gutter="0"/>
          <w:cols w:space="720"/>
        </w:sectPr>
      </w:pPr>
    </w:p>
    <w:p w14:paraId="0D3D17F3"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7BCC7155"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6D24C296"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3649E64F" w14:textId="5B75C9A7" w:rsidR="00BD462C" w:rsidRDefault="00F439BE">
      <w:pPr>
        <w:pStyle w:val="BodyText"/>
        <w:spacing w:before="107" w:line="355" w:lineRule="auto"/>
        <w:ind w:left="135" w:right="923"/>
      </w:pPr>
      <w:r>
        <w:rPr>
          <w:noProof/>
        </w:rPr>
        <w:t>763.</w:t>
      </w:r>
      <w:r w:rsidR="00033D0F">
        <w:rPr>
          <w:rFonts w:ascii="Times New Roman"/>
          <w:spacing w:val="80"/>
          <w:position w:val="1"/>
          <w:sz w:val="20"/>
        </w:rPr>
        <w:t xml:space="preserve">   </w:t>
      </w:r>
      <w:r w:rsidR="00033D0F">
        <w:rPr>
          <w:position w:val="1"/>
        </w:rPr>
        <w:t>China's</w:t>
      </w:r>
      <w:r w:rsidR="00033D0F">
        <w:rPr>
          <w:spacing w:val="37"/>
          <w:position w:val="1"/>
        </w:rPr>
        <w:t xml:space="preserve"> </w:t>
      </w:r>
      <w:r w:rsidR="00033D0F">
        <w:rPr>
          <w:position w:val="1"/>
        </w:rPr>
        <w:t>arguments</w:t>
      </w:r>
      <w:r w:rsidR="00033D0F">
        <w:rPr>
          <w:spacing w:val="37"/>
          <w:position w:val="1"/>
        </w:rPr>
        <w:t xml:space="preserve"> </w:t>
      </w:r>
      <w:r w:rsidR="00033D0F">
        <w:rPr>
          <w:position w:val="1"/>
        </w:rPr>
        <w:t>on</w:t>
      </w:r>
      <w:r w:rsidR="00033D0F">
        <w:rPr>
          <w:spacing w:val="34"/>
          <w:position w:val="1"/>
        </w:rPr>
        <w:t xml:space="preserve"> </w:t>
      </w:r>
      <w:r w:rsidR="00033D0F">
        <w:rPr>
          <w:position w:val="1"/>
        </w:rPr>
        <w:t>the</w:t>
      </w:r>
      <w:r w:rsidR="00033D0F">
        <w:rPr>
          <w:spacing w:val="40"/>
          <w:position w:val="1"/>
        </w:rPr>
        <w:t xml:space="preserve"> </w:t>
      </w:r>
      <w:r w:rsidR="00033D0F">
        <w:rPr>
          <w:position w:val="1"/>
        </w:rPr>
        <w:t>combined</w:t>
      </w:r>
      <w:r w:rsidR="00033D0F">
        <w:rPr>
          <w:spacing w:val="39"/>
          <w:position w:val="1"/>
        </w:rPr>
        <w:t xml:space="preserve"> </w:t>
      </w:r>
      <w:r w:rsidR="00033D0F">
        <w:rPr>
          <w:position w:val="1"/>
        </w:rPr>
        <w:t>legal</w:t>
      </w:r>
      <w:r w:rsidR="00033D0F">
        <w:rPr>
          <w:spacing w:val="38"/>
          <w:position w:val="1"/>
        </w:rPr>
        <w:t xml:space="preserve"> </w:t>
      </w:r>
      <w:r w:rsidR="00033D0F">
        <w:rPr>
          <w:position w:val="1"/>
        </w:rPr>
        <w:t>effect</w:t>
      </w:r>
      <w:r w:rsidR="00033D0F">
        <w:rPr>
          <w:spacing w:val="36"/>
          <w:position w:val="1"/>
        </w:rPr>
        <w:t xml:space="preserve"> </w:t>
      </w:r>
      <w:r w:rsidR="00033D0F">
        <w:rPr>
          <w:position w:val="1"/>
        </w:rPr>
        <w:t>of</w:t>
      </w:r>
      <w:r w:rsidR="00033D0F">
        <w:rPr>
          <w:spacing w:val="39"/>
          <w:position w:val="1"/>
        </w:rPr>
        <w:t xml:space="preserve"> </w:t>
      </w:r>
      <w:r w:rsidR="00033D0F">
        <w:rPr>
          <w:position w:val="1"/>
        </w:rPr>
        <w:t>Articles</w:t>
      </w:r>
      <w:r w:rsidR="00033D0F">
        <w:rPr>
          <w:spacing w:val="37"/>
          <w:position w:val="1"/>
        </w:rPr>
        <w:t xml:space="preserve"> </w:t>
      </w:r>
      <w:r w:rsidR="00033D0F">
        <w:rPr>
          <w:position w:val="1"/>
        </w:rPr>
        <w:t>6.1</w:t>
      </w:r>
      <w:r w:rsidR="00033D0F">
        <w:rPr>
          <w:spacing w:val="34"/>
          <w:position w:val="1"/>
        </w:rPr>
        <w:t xml:space="preserve"> </w:t>
      </w:r>
      <w:r w:rsidR="00033D0F">
        <w:rPr>
          <w:position w:val="1"/>
        </w:rPr>
        <w:t>and</w:t>
      </w:r>
      <w:r w:rsidR="00033D0F">
        <w:rPr>
          <w:spacing w:val="39"/>
          <w:position w:val="1"/>
        </w:rPr>
        <w:t xml:space="preserve"> </w:t>
      </w:r>
      <w:r w:rsidR="00033D0F">
        <w:rPr>
          <w:position w:val="1"/>
        </w:rPr>
        <w:t>6.1.1</w:t>
      </w:r>
      <w:r w:rsidR="00033D0F">
        <w:rPr>
          <w:spacing w:val="38"/>
          <w:position w:val="1"/>
        </w:rPr>
        <w:t xml:space="preserve"> </w:t>
      </w:r>
      <w:r w:rsidR="00033D0F">
        <w:rPr>
          <w:position w:val="1"/>
        </w:rPr>
        <w:t>can</w:t>
      </w:r>
      <w:r w:rsidR="00033D0F">
        <w:rPr>
          <w:spacing w:val="39"/>
          <w:position w:val="1"/>
        </w:rPr>
        <w:t xml:space="preserve"> </w:t>
      </w:r>
      <w:r w:rsidR="00033D0F">
        <w:rPr>
          <w:position w:val="1"/>
        </w:rPr>
        <w:t xml:space="preserve">be </w:t>
      </w:r>
      <w:r w:rsidR="00033D0F">
        <w:t>reduced to two propositions.</w:t>
      </w:r>
    </w:p>
    <w:p w14:paraId="4C153B3E" w14:textId="77777777" w:rsidR="00BD462C" w:rsidRDefault="00BD462C">
      <w:pPr>
        <w:pStyle w:val="BodyText"/>
        <w:spacing w:before="3"/>
        <w:rPr>
          <w:sz w:val="9"/>
        </w:rPr>
      </w:pPr>
    </w:p>
    <w:p w14:paraId="658E8B7E" w14:textId="2487D6F9" w:rsidR="00BD462C" w:rsidRDefault="00F439BE">
      <w:pPr>
        <w:pStyle w:val="BodyText"/>
        <w:spacing w:before="57" w:line="360" w:lineRule="auto"/>
        <w:ind w:left="135" w:right="917"/>
        <w:jc w:val="both"/>
      </w:pPr>
      <w:r>
        <w:rPr>
          <w:noProof/>
        </w:rPr>
        <w:t>764.</w:t>
      </w:r>
      <w:r w:rsidR="00033D0F">
        <w:rPr>
          <w:rFonts w:ascii="Times New Roman"/>
          <w:spacing w:val="80"/>
          <w:position w:val="1"/>
          <w:sz w:val="20"/>
        </w:rPr>
        <w:t xml:space="preserve">  </w:t>
      </w:r>
      <w:r w:rsidR="00033D0F">
        <w:rPr>
          <w:position w:val="1"/>
        </w:rPr>
        <w:t xml:space="preserve">First, China focuses on the statements from the Appellate Body and previous panels </w:t>
      </w:r>
      <w:r w:rsidR="00033D0F">
        <w:t>that</w:t>
      </w:r>
      <w:r w:rsidR="00033D0F">
        <w:rPr>
          <w:spacing w:val="-8"/>
        </w:rPr>
        <w:t xml:space="preserve"> </w:t>
      </w:r>
      <w:r w:rsidR="00033D0F">
        <w:t>outline</w:t>
      </w:r>
      <w:r w:rsidR="00033D0F">
        <w:rPr>
          <w:spacing w:val="-8"/>
        </w:rPr>
        <w:t xml:space="preserve"> </w:t>
      </w:r>
      <w:r w:rsidR="00033D0F">
        <w:t>the</w:t>
      </w:r>
      <w:r w:rsidR="00033D0F">
        <w:rPr>
          <w:spacing w:val="-8"/>
        </w:rPr>
        <w:t xml:space="preserve"> </w:t>
      </w:r>
      <w:r w:rsidR="00033D0F">
        <w:t>authority</w:t>
      </w:r>
      <w:r w:rsidR="00033D0F">
        <w:rPr>
          <w:spacing w:val="-7"/>
        </w:rPr>
        <w:t xml:space="preserve"> </w:t>
      </w:r>
      <w:r w:rsidR="00033D0F">
        <w:t>that</w:t>
      </w:r>
      <w:r w:rsidR="00033D0F">
        <w:rPr>
          <w:spacing w:val="-8"/>
        </w:rPr>
        <w:t xml:space="preserve"> </w:t>
      </w:r>
      <w:r w:rsidR="00033D0F">
        <w:t>necessarily</w:t>
      </w:r>
      <w:r w:rsidR="00033D0F">
        <w:rPr>
          <w:spacing w:val="-7"/>
        </w:rPr>
        <w:t xml:space="preserve"> </w:t>
      </w:r>
      <w:r w:rsidR="00033D0F">
        <w:t>resides</w:t>
      </w:r>
      <w:r w:rsidR="00033D0F">
        <w:rPr>
          <w:spacing w:val="-11"/>
        </w:rPr>
        <w:t xml:space="preserve"> </w:t>
      </w:r>
      <w:r w:rsidR="00033D0F">
        <w:t>with</w:t>
      </w:r>
      <w:r w:rsidR="00033D0F">
        <w:rPr>
          <w:spacing w:val="-10"/>
        </w:rPr>
        <w:t xml:space="preserve"> </w:t>
      </w:r>
      <w:r w:rsidR="00033D0F">
        <w:t>an</w:t>
      </w:r>
      <w:r w:rsidR="00033D0F">
        <w:rPr>
          <w:spacing w:val="-10"/>
        </w:rPr>
        <w:t xml:space="preserve"> </w:t>
      </w:r>
      <w:r w:rsidR="00033D0F">
        <w:t>investigating</w:t>
      </w:r>
      <w:r w:rsidR="00033D0F">
        <w:rPr>
          <w:spacing w:val="-7"/>
        </w:rPr>
        <w:t xml:space="preserve"> </w:t>
      </w:r>
      <w:r w:rsidR="00033D0F">
        <w:t>authority</w:t>
      </w:r>
      <w:r w:rsidR="00033D0F">
        <w:rPr>
          <w:spacing w:val="-7"/>
        </w:rPr>
        <w:t xml:space="preserve"> </w:t>
      </w:r>
      <w:r w:rsidR="00033D0F">
        <w:t>to</w:t>
      </w:r>
      <w:r w:rsidR="00033D0F">
        <w:rPr>
          <w:spacing w:val="-11"/>
        </w:rPr>
        <w:t xml:space="preserve"> </w:t>
      </w:r>
      <w:r w:rsidR="00033D0F">
        <w:t>control</w:t>
      </w:r>
      <w:r w:rsidR="00033D0F">
        <w:rPr>
          <w:spacing w:val="-6"/>
        </w:rPr>
        <w:t xml:space="preserve"> </w:t>
      </w:r>
      <w:r w:rsidR="00033D0F">
        <w:t>its investigative process. This authority includes the following: the ability of investigating authorities to establish deadlines;</w:t>
      </w:r>
      <w:hyperlink w:anchor="_bookmark1339" w:history="1">
        <w:r w:rsidR="00033D0F">
          <w:rPr>
            <w:vertAlign w:val="superscript"/>
          </w:rPr>
          <w:t>1152</w:t>
        </w:r>
      </w:hyperlink>
      <w:r w:rsidR="00033D0F">
        <w:t xml:space="preserve"> a confirmation that these provisions do not create "indefinite rights" to interested parties;</w:t>
      </w:r>
      <w:hyperlink w:anchor="_bookmark1340" w:history="1">
        <w:r w:rsidR="00033D0F">
          <w:rPr>
            <w:vertAlign w:val="superscript"/>
          </w:rPr>
          <w:t>1153</w:t>
        </w:r>
      </w:hyperlink>
      <w:r w:rsidR="00033D0F">
        <w:t xml:space="preserve"> and that the interpretation of these provisions should</w:t>
      </w:r>
      <w:r w:rsidR="00033D0F">
        <w:rPr>
          <w:spacing w:val="-8"/>
        </w:rPr>
        <w:t xml:space="preserve"> </w:t>
      </w:r>
      <w:r w:rsidR="00033D0F">
        <w:t>not</w:t>
      </w:r>
      <w:r w:rsidR="00033D0F">
        <w:rPr>
          <w:spacing w:val="-6"/>
        </w:rPr>
        <w:t xml:space="preserve"> </w:t>
      </w:r>
      <w:r w:rsidR="00033D0F">
        <w:t>be</w:t>
      </w:r>
      <w:r w:rsidR="00033D0F">
        <w:rPr>
          <w:spacing w:val="-6"/>
        </w:rPr>
        <w:t xml:space="preserve"> </w:t>
      </w:r>
      <w:r w:rsidR="00033D0F">
        <w:t>"too</w:t>
      </w:r>
      <w:r w:rsidR="00033D0F">
        <w:rPr>
          <w:spacing w:val="-9"/>
        </w:rPr>
        <w:t xml:space="preserve"> </w:t>
      </w:r>
      <w:r w:rsidR="00033D0F">
        <w:t>expansive",</w:t>
      </w:r>
      <w:hyperlink w:anchor="_bookmark1341" w:history="1">
        <w:r w:rsidR="00033D0F">
          <w:rPr>
            <w:vertAlign w:val="superscript"/>
          </w:rPr>
          <w:t>1154</w:t>
        </w:r>
      </w:hyperlink>
      <w:r w:rsidR="00033D0F">
        <w:rPr>
          <w:spacing w:val="-5"/>
        </w:rPr>
        <w:t xml:space="preserve"> </w:t>
      </w:r>
      <w:r w:rsidR="00033D0F">
        <w:t>and</w:t>
      </w:r>
      <w:r w:rsidR="00033D0F">
        <w:rPr>
          <w:spacing w:val="-8"/>
        </w:rPr>
        <w:t xml:space="preserve"> </w:t>
      </w:r>
      <w:r w:rsidR="00033D0F">
        <w:t>that</w:t>
      </w:r>
      <w:r w:rsidR="00033D0F">
        <w:rPr>
          <w:spacing w:val="-6"/>
        </w:rPr>
        <w:t xml:space="preserve"> </w:t>
      </w:r>
      <w:r w:rsidR="00033D0F">
        <w:t>an</w:t>
      </w:r>
      <w:r w:rsidR="00033D0F">
        <w:rPr>
          <w:spacing w:val="-8"/>
        </w:rPr>
        <w:t xml:space="preserve"> </w:t>
      </w:r>
      <w:r w:rsidR="00033D0F">
        <w:t>investigation</w:t>
      </w:r>
      <w:r w:rsidR="00033D0F">
        <w:rPr>
          <w:spacing w:val="-8"/>
        </w:rPr>
        <w:t xml:space="preserve"> </w:t>
      </w:r>
      <w:r w:rsidR="00033D0F">
        <w:t>conducted</w:t>
      </w:r>
      <w:r w:rsidR="00033D0F">
        <w:rPr>
          <w:spacing w:val="-8"/>
        </w:rPr>
        <w:t xml:space="preserve"> </w:t>
      </w:r>
      <w:r w:rsidR="00033D0F">
        <w:t>in</w:t>
      </w:r>
      <w:r w:rsidR="00033D0F">
        <w:rPr>
          <w:spacing w:val="-8"/>
        </w:rPr>
        <w:t xml:space="preserve"> </w:t>
      </w:r>
      <w:r w:rsidR="00033D0F">
        <w:t>the</w:t>
      </w:r>
      <w:r w:rsidR="00033D0F">
        <w:rPr>
          <w:spacing w:val="-6"/>
        </w:rPr>
        <w:t xml:space="preserve"> </w:t>
      </w:r>
      <w:r w:rsidR="00033D0F">
        <w:t>total</w:t>
      </w:r>
      <w:r w:rsidR="00033D0F">
        <w:rPr>
          <w:spacing w:val="-4"/>
        </w:rPr>
        <w:t xml:space="preserve"> </w:t>
      </w:r>
      <w:r w:rsidR="00033D0F">
        <w:t>absence</w:t>
      </w:r>
      <w:r w:rsidR="00033D0F">
        <w:rPr>
          <w:spacing w:val="-6"/>
        </w:rPr>
        <w:t xml:space="preserve"> </w:t>
      </w:r>
      <w:r w:rsidR="00033D0F">
        <w:t>of deadlines would be unmanageable.</w:t>
      </w:r>
      <w:hyperlink w:anchor="_bookmark1342" w:history="1">
        <w:r w:rsidR="00033D0F">
          <w:rPr>
            <w:vertAlign w:val="superscript"/>
          </w:rPr>
          <w:t>1155</w:t>
        </w:r>
      </w:hyperlink>
    </w:p>
    <w:p w14:paraId="288A560A" w14:textId="77777777" w:rsidR="00BD462C" w:rsidRDefault="00BD462C">
      <w:pPr>
        <w:pStyle w:val="BodyText"/>
        <w:spacing w:before="5"/>
        <w:rPr>
          <w:sz w:val="8"/>
        </w:rPr>
      </w:pPr>
    </w:p>
    <w:p w14:paraId="5E137B5F" w14:textId="65BA45F5" w:rsidR="00BD462C" w:rsidRDefault="00F439BE">
      <w:pPr>
        <w:pStyle w:val="BodyText"/>
        <w:spacing w:before="56" w:line="360" w:lineRule="auto"/>
        <w:ind w:left="135" w:right="916"/>
        <w:jc w:val="both"/>
      </w:pPr>
      <w:r>
        <w:rPr>
          <w:noProof/>
        </w:rPr>
        <w:t>765.</w:t>
      </w:r>
      <w:r w:rsidR="00033D0F">
        <w:rPr>
          <w:rFonts w:ascii="Times New Roman"/>
          <w:spacing w:val="80"/>
          <w:position w:val="1"/>
          <w:sz w:val="20"/>
        </w:rPr>
        <w:t xml:space="preserve">  </w:t>
      </w:r>
      <w:r w:rsidR="00033D0F">
        <w:rPr>
          <w:position w:val="1"/>
        </w:rPr>
        <w:t xml:space="preserve">None of these propositions are in contention between the parties. Australia has </w:t>
      </w:r>
      <w:r w:rsidR="00033D0F">
        <w:t>neither argued nor suggested that Articles 6.1 or 6.1.1 should be interpreted to provide "indefinite rights" to interested parties, to undermine the use of deadlines, or to otherwise prevent</w:t>
      </w:r>
      <w:r w:rsidR="00033D0F">
        <w:rPr>
          <w:spacing w:val="-7"/>
        </w:rPr>
        <w:t xml:space="preserve"> </w:t>
      </w:r>
      <w:r w:rsidR="00033D0F">
        <w:t>investigations</w:t>
      </w:r>
      <w:r w:rsidR="00033D0F">
        <w:rPr>
          <w:spacing w:val="-6"/>
        </w:rPr>
        <w:t xml:space="preserve"> </w:t>
      </w:r>
      <w:r w:rsidR="00033D0F">
        <w:t>from</w:t>
      </w:r>
      <w:r w:rsidR="00033D0F">
        <w:rPr>
          <w:spacing w:val="-3"/>
        </w:rPr>
        <w:t xml:space="preserve"> </w:t>
      </w:r>
      <w:r w:rsidR="00033D0F">
        <w:t>proceeding</w:t>
      </w:r>
      <w:r w:rsidR="00033D0F">
        <w:rPr>
          <w:spacing w:val="-6"/>
        </w:rPr>
        <w:t xml:space="preserve"> </w:t>
      </w:r>
      <w:r w:rsidR="00033D0F">
        <w:t>expeditiously.</w:t>
      </w:r>
      <w:r w:rsidR="00033D0F">
        <w:rPr>
          <w:spacing w:val="-6"/>
        </w:rPr>
        <w:t xml:space="preserve"> </w:t>
      </w:r>
      <w:r w:rsidR="00033D0F">
        <w:t>However,</w:t>
      </w:r>
      <w:r w:rsidR="00033D0F">
        <w:rPr>
          <w:spacing w:val="-5"/>
        </w:rPr>
        <w:t xml:space="preserve"> </w:t>
      </w:r>
      <w:r w:rsidR="00033D0F">
        <w:t>it</w:t>
      </w:r>
      <w:r w:rsidR="00033D0F">
        <w:rPr>
          <w:spacing w:val="-7"/>
        </w:rPr>
        <w:t xml:space="preserve"> </w:t>
      </w:r>
      <w:r w:rsidR="00033D0F">
        <w:t>is</w:t>
      </w:r>
      <w:r w:rsidR="00033D0F">
        <w:rPr>
          <w:spacing w:val="-6"/>
        </w:rPr>
        <w:t xml:space="preserve"> </w:t>
      </w:r>
      <w:r w:rsidR="00033D0F">
        <w:t>equally</w:t>
      </w:r>
      <w:r w:rsidR="00033D0F">
        <w:rPr>
          <w:spacing w:val="-5"/>
        </w:rPr>
        <w:t xml:space="preserve"> </w:t>
      </w:r>
      <w:r w:rsidR="00033D0F">
        <w:t>the</w:t>
      </w:r>
      <w:r w:rsidR="00033D0F">
        <w:rPr>
          <w:spacing w:val="-7"/>
        </w:rPr>
        <w:t xml:space="preserve"> </w:t>
      </w:r>
      <w:r w:rsidR="00033D0F">
        <w:t>case</w:t>
      </w:r>
      <w:r w:rsidR="00033D0F">
        <w:rPr>
          <w:spacing w:val="-7"/>
        </w:rPr>
        <w:t xml:space="preserve"> </w:t>
      </w:r>
      <w:r w:rsidR="00033D0F">
        <w:t>that</w:t>
      </w:r>
      <w:r w:rsidR="00033D0F">
        <w:rPr>
          <w:spacing w:val="-7"/>
        </w:rPr>
        <w:t xml:space="preserve"> </w:t>
      </w:r>
      <w:r w:rsidR="00033D0F">
        <w:t>the balance between the role of the investigating authority in this regard and the due process rights enshrined by the text of the provision must be respected.</w:t>
      </w:r>
    </w:p>
    <w:p w14:paraId="2C70DF21" w14:textId="77777777" w:rsidR="00BD462C" w:rsidRDefault="00BD462C">
      <w:pPr>
        <w:pStyle w:val="BodyText"/>
        <w:spacing w:before="8"/>
        <w:rPr>
          <w:sz w:val="8"/>
        </w:rPr>
      </w:pPr>
    </w:p>
    <w:p w14:paraId="012CB2E2" w14:textId="60C1DAE6" w:rsidR="00BD462C" w:rsidRDefault="00F439BE">
      <w:pPr>
        <w:pStyle w:val="BodyText"/>
        <w:spacing w:before="56" w:line="360" w:lineRule="auto"/>
        <w:ind w:left="136" w:right="918"/>
        <w:jc w:val="both"/>
      </w:pPr>
      <w:r>
        <w:rPr>
          <w:noProof/>
        </w:rPr>
        <w:t>766.</w:t>
      </w:r>
      <w:r w:rsidR="00033D0F">
        <w:rPr>
          <w:rFonts w:ascii="Times New Roman"/>
          <w:spacing w:val="80"/>
          <w:w w:val="150"/>
          <w:position w:val="1"/>
          <w:sz w:val="20"/>
        </w:rPr>
        <w:t xml:space="preserve"> </w:t>
      </w:r>
      <w:r w:rsidR="00033D0F">
        <w:rPr>
          <w:position w:val="1"/>
        </w:rPr>
        <w:t xml:space="preserve">Indeed, in Australia's view, the text </w:t>
      </w:r>
      <w:proofErr w:type="spellStart"/>
      <w:r w:rsidR="00033D0F">
        <w:rPr>
          <w:position w:val="1"/>
        </w:rPr>
        <w:t>recognises</w:t>
      </w:r>
      <w:proofErr w:type="spellEnd"/>
      <w:r w:rsidR="00033D0F">
        <w:rPr>
          <w:position w:val="1"/>
        </w:rPr>
        <w:t xml:space="preserve"> that in certain circumstances an </w:t>
      </w:r>
      <w:r w:rsidR="00033D0F">
        <w:t>expeditious investigation may require, rather than preclude, reasonable extensions of questionnaire deadlines in</w:t>
      </w:r>
      <w:r w:rsidR="00033D0F">
        <w:rPr>
          <w:spacing w:val="-1"/>
        </w:rPr>
        <w:t xml:space="preserve"> </w:t>
      </w:r>
      <w:r w:rsidR="00033D0F">
        <w:t>order</w:t>
      </w:r>
      <w:r w:rsidR="00033D0F">
        <w:rPr>
          <w:spacing w:val="-1"/>
        </w:rPr>
        <w:t xml:space="preserve"> </w:t>
      </w:r>
      <w:r w:rsidR="00033D0F">
        <w:t>to: (i) give interested</w:t>
      </w:r>
      <w:r w:rsidR="00033D0F">
        <w:rPr>
          <w:spacing w:val="-1"/>
        </w:rPr>
        <w:t xml:space="preserve"> </w:t>
      </w:r>
      <w:r w:rsidR="00033D0F">
        <w:t>parties sufficient opportunities, under the</w:t>
      </w:r>
      <w:r w:rsidR="00033D0F">
        <w:rPr>
          <w:spacing w:val="-4"/>
        </w:rPr>
        <w:t xml:space="preserve"> </w:t>
      </w:r>
      <w:r w:rsidR="00033D0F">
        <w:t>circumstances,</w:t>
      </w:r>
      <w:r w:rsidR="00033D0F">
        <w:rPr>
          <w:spacing w:val="-1"/>
        </w:rPr>
        <w:t xml:space="preserve"> </w:t>
      </w:r>
      <w:r w:rsidR="00033D0F">
        <w:t>to</w:t>
      </w:r>
      <w:r w:rsidR="00033D0F">
        <w:rPr>
          <w:spacing w:val="-6"/>
        </w:rPr>
        <w:t xml:space="preserve"> </w:t>
      </w:r>
      <w:r w:rsidR="00033D0F">
        <w:t>supply</w:t>
      </w:r>
      <w:r w:rsidR="00033D0F">
        <w:rPr>
          <w:spacing w:val="-2"/>
        </w:rPr>
        <w:t xml:space="preserve"> </w:t>
      </w:r>
      <w:r w:rsidR="00033D0F">
        <w:t>information</w:t>
      </w:r>
      <w:r w:rsidR="00033D0F">
        <w:rPr>
          <w:spacing w:val="-5"/>
        </w:rPr>
        <w:t xml:space="preserve"> </w:t>
      </w:r>
      <w:r w:rsidR="00033D0F">
        <w:t>relevant</w:t>
      </w:r>
      <w:r w:rsidR="00033D0F">
        <w:rPr>
          <w:spacing w:val="-8"/>
        </w:rPr>
        <w:t xml:space="preserve"> </w:t>
      </w:r>
      <w:r w:rsidR="00033D0F">
        <w:t>to</w:t>
      </w:r>
      <w:r w:rsidR="00033D0F">
        <w:rPr>
          <w:spacing w:val="-6"/>
        </w:rPr>
        <w:t xml:space="preserve"> </w:t>
      </w:r>
      <w:r w:rsidR="00033D0F">
        <w:t>the</w:t>
      </w:r>
      <w:r w:rsidR="00033D0F">
        <w:rPr>
          <w:spacing w:val="-4"/>
        </w:rPr>
        <w:t xml:space="preserve"> </w:t>
      </w:r>
      <w:r w:rsidR="00033D0F">
        <w:t>investigation</w:t>
      </w:r>
      <w:r w:rsidR="00033D0F">
        <w:rPr>
          <w:spacing w:val="-5"/>
        </w:rPr>
        <w:t xml:space="preserve"> </w:t>
      </w:r>
      <w:r w:rsidR="00033D0F">
        <w:t>and, in</w:t>
      </w:r>
      <w:r w:rsidR="00033D0F">
        <w:rPr>
          <w:spacing w:val="-5"/>
        </w:rPr>
        <w:t xml:space="preserve"> </w:t>
      </w:r>
      <w:r w:rsidR="00033D0F">
        <w:t>turn,</w:t>
      </w:r>
      <w:r w:rsidR="00033D0F">
        <w:rPr>
          <w:spacing w:val="-2"/>
        </w:rPr>
        <w:t xml:space="preserve"> </w:t>
      </w:r>
      <w:r w:rsidR="00033D0F">
        <w:t>(ii)</w:t>
      </w:r>
      <w:r w:rsidR="00033D0F">
        <w:rPr>
          <w:spacing w:val="-5"/>
        </w:rPr>
        <w:t xml:space="preserve"> </w:t>
      </w:r>
      <w:r w:rsidR="00033D0F">
        <w:t>ensure that the investigation record is as complete and accurate as possible.</w:t>
      </w:r>
    </w:p>
    <w:p w14:paraId="2AD73CED" w14:textId="77777777" w:rsidR="00BD462C" w:rsidRDefault="00BD462C">
      <w:pPr>
        <w:pStyle w:val="BodyText"/>
        <w:spacing w:before="6"/>
        <w:rPr>
          <w:sz w:val="8"/>
        </w:rPr>
      </w:pPr>
    </w:p>
    <w:p w14:paraId="1E492C1D" w14:textId="72EAD231" w:rsidR="00BD462C" w:rsidRDefault="00F439BE">
      <w:pPr>
        <w:pStyle w:val="BodyText"/>
        <w:spacing w:before="56" w:line="360" w:lineRule="auto"/>
        <w:ind w:left="135" w:right="915"/>
        <w:jc w:val="both"/>
      </w:pPr>
      <w:r>
        <w:rPr>
          <w:noProof/>
        </w:rPr>
        <w:t>767.</w:t>
      </w:r>
      <w:r w:rsidR="00033D0F">
        <w:rPr>
          <w:rFonts w:ascii="Times New Roman"/>
          <w:spacing w:val="40"/>
          <w:position w:val="1"/>
          <w:sz w:val="20"/>
        </w:rPr>
        <w:t xml:space="preserve">  </w:t>
      </w:r>
      <w:r w:rsidR="00033D0F">
        <w:rPr>
          <w:position w:val="1"/>
        </w:rPr>
        <w:t xml:space="preserve">Second, China contends that because Article 6.1.1 contains the word "should", the </w:t>
      </w:r>
      <w:r w:rsidR="00033D0F">
        <w:t>Panel's assessment should be restricted to cover only an examination of whether MOFCOM considered the requests and whether MOFCOM rejected them because it would not be practicable to grant them.</w:t>
      </w:r>
      <w:hyperlink w:anchor="_bookmark1343" w:history="1">
        <w:r w:rsidR="00033D0F">
          <w:rPr>
            <w:vertAlign w:val="superscript"/>
          </w:rPr>
          <w:t>1156</w:t>
        </w:r>
      </w:hyperlink>
      <w:r w:rsidR="00033D0F">
        <w:t xml:space="preserve"> Australia disagrees with this description of the Panel's task.</w:t>
      </w:r>
    </w:p>
    <w:p w14:paraId="782E159B" w14:textId="77777777" w:rsidR="00BD462C" w:rsidRDefault="00BD462C">
      <w:pPr>
        <w:pStyle w:val="BodyText"/>
        <w:rPr>
          <w:sz w:val="20"/>
        </w:rPr>
      </w:pPr>
    </w:p>
    <w:p w14:paraId="1AFFE54B" w14:textId="77777777" w:rsidR="00BD462C" w:rsidRDefault="00BD462C">
      <w:pPr>
        <w:pStyle w:val="BodyText"/>
        <w:rPr>
          <w:sz w:val="20"/>
        </w:rPr>
      </w:pPr>
    </w:p>
    <w:p w14:paraId="660C216C" w14:textId="77777777" w:rsidR="00BD462C" w:rsidRDefault="00BD462C">
      <w:pPr>
        <w:pStyle w:val="BodyText"/>
        <w:rPr>
          <w:sz w:val="20"/>
        </w:rPr>
      </w:pPr>
    </w:p>
    <w:p w14:paraId="7A6B0865" w14:textId="77777777" w:rsidR="00BD462C" w:rsidRDefault="00BD462C">
      <w:pPr>
        <w:pStyle w:val="BodyText"/>
        <w:rPr>
          <w:sz w:val="20"/>
        </w:rPr>
      </w:pPr>
    </w:p>
    <w:p w14:paraId="772DF490" w14:textId="3BB269B9" w:rsidR="00BD462C" w:rsidRDefault="00D70C7D">
      <w:pPr>
        <w:pStyle w:val="BodyText"/>
        <w:spacing w:before="9"/>
      </w:pPr>
      <w:r>
        <w:rPr>
          <w:noProof/>
        </w:rPr>
        <mc:AlternateContent>
          <mc:Choice Requires="wps">
            <w:drawing>
              <wp:anchor distT="0" distB="0" distL="0" distR="0" simplePos="0" relativeHeight="487841280" behindDoc="1" locked="0" layoutInCell="1" allowOverlap="1" wp14:anchorId="387B0A3C" wp14:editId="66A87B29">
                <wp:simplePos x="0" y="0"/>
                <wp:positionH relativeFrom="page">
                  <wp:posOffset>899160</wp:posOffset>
                </wp:positionH>
                <wp:positionV relativeFrom="paragraph">
                  <wp:posOffset>207645</wp:posOffset>
                </wp:positionV>
                <wp:extent cx="1828800" cy="8890"/>
                <wp:effectExtent l="0" t="0" r="0" b="0"/>
                <wp:wrapTopAndBottom/>
                <wp:docPr id="352" name="docshape5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CD13F4" id="docshape546" o:spid="_x0000_s1026" alt="&quot;&quot;" style="position:absolute;margin-left:70.8pt;margin-top:16.35pt;width:2in;height:.7pt;z-index:-1547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" fillcolor="black" stroked="f">
                <w10:wrap type="topAndBottom" anchorx="page"/>
              </v:rect>
            </w:pict>
          </mc:Fallback>
        </mc:AlternateContent>
      </w:r>
    </w:p>
    <w:p w14:paraId="390C2B7A" w14:textId="77777777" w:rsidR="00BD462C" w:rsidRDefault="00033D0F">
      <w:pPr>
        <w:spacing w:before="107"/>
        <w:ind w:left="135" w:right="6493"/>
        <w:jc w:val="both"/>
        <w:rPr>
          <w:sz w:val="18"/>
        </w:rPr>
      </w:pPr>
      <w:bookmarkStart w:id="1557" w:name="_bookmark1339"/>
      <w:bookmarkEnd w:id="1557"/>
      <w:r>
        <w:rPr>
          <w:position w:val="5"/>
          <w:sz w:val="12"/>
        </w:rPr>
        <w:t>1152</w:t>
      </w:r>
      <w:r>
        <w:rPr>
          <w:spacing w:val="11"/>
          <w:position w:val="5"/>
          <w:sz w:val="12"/>
        </w:rPr>
        <w:t xml:space="preserve"> </w:t>
      </w:r>
      <w:r>
        <w:rPr>
          <w:sz w:val="18"/>
        </w:rPr>
        <w:t>China's</w:t>
      </w:r>
      <w:r>
        <w:rPr>
          <w:spacing w:val="-7"/>
          <w:sz w:val="18"/>
        </w:rPr>
        <w:t xml:space="preserve"> </w:t>
      </w:r>
      <w:r>
        <w:rPr>
          <w:sz w:val="18"/>
        </w:rPr>
        <w:t>first</w:t>
      </w:r>
      <w:r>
        <w:rPr>
          <w:spacing w:val="-6"/>
          <w:sz w:val="18"/>
        </w:rPr>
        <w:t xml:space="preserve"> </w:t>
      </w:r>
      <w:r>
        <w:rPr>
          <w:sz w:val="18"/>
        </w:rPr>
        <w:t>written</w:t>
      </w:r>
      <w:r>
        <w:rPr>
          <w:spacing w:val="-8"/>
          <w:sz w:val="18"/>
        </w:rPr>
        <w:t xml:space="preserve"> </w:t>
      </w:r>
      <w:r>
        <w:rPr>
          <w:sz w:val="18"/>
        </w:rPr>
        <w:t>submission,</w:t>
      </w:r>
      <w:r>
        <w:rPr>
          <w:spacing w:val="-1"/>
          <w:sz w:val="18"/>
        </w:rPr>
        <w:t xml:space="preserve"> </w:t>
      </w:r>
      <w:r>
        <w:rPr>
          <w:sz w:val="18"/>
        </w:rPr>
        <w:t>para.</w:t>
      </w:r>
      <w:r>
        <w:rPr>
          <w:spacing w:val="-2"/>
          <w:sz w:val="18"/>
        </w:rPr>
        <w:t xml:space="preserve"> </w:t>
      </w:r>
      <w:r>
        <w:rPr>
          <w:sz w:val="18"/>
        </w:rPr>
        <w:t xml:space="preserve">2359. </w:t>
      </w:r>
      <w:bookmarkStart w:id="1558" w:name="_bookmark1340"/>
      <w:bookmarkEnd w:id="1558"/>
      <w:r>
        <w:rPr>
          <w:position w:val="5"/>
          <w:sz w:val="12"/>
        </w:rPr>
        <w:t>1153</w:t>
      </w:r>
      <w:r>
        <w:rPr>
          <w:spacing w:val="11"/>
          <w:position w:val="5"/>
          <w:sz w:val="12"/>
        </w:rPr>
        <w:t xml:space="preserve"> </w:t>
      </w:r>
      <w:r>
        <w:rPr>
          <w:sz w:val="18"/>
        </w:rPr>
        <w:t>China's</w:t>
      </w:r>
      <w:r>
        <w:rPr>
          <w:spacing w:val="-7"/>
          <w:sz w:val="18"/>
        </w:rPr>
        <w:t xml:space="preserve"> </w:t>
      </w:r>
      <w:r>
        <w:rPr>
          <w:sz w:val="18"/>
        </w:rPr>
        <w:t>first</w:t>
      </w:r>
      <w:r>
        <w:rPr>
          <w:spacing w:val="-6"/>
          <w:sz w:val="18"/>
        </w:rPr>
        <w:t xml:space="preserve"> </w:t>
      </w:r>
      <w:r>
        <w:rPr>
          <w:sz w:val="18"/>
        </w:rPr>
        <w:t>written</w:t>
      </w:r>
      <w:r>
        <w:rPr>
          <w:spacing w:val="-8"/>
          <w:sz w:val="18"/>
        </w:rPr>
        <w:t xml:space="preserve"> </w:t>
      </w:r>
      <w:r>
        <w:rPr>
          <w:sz w:val="18"/>
        </w:rPr>
        <w:t>submission,</w:t>
      </w:r>
      <w:r>
        <w:rPr>
          <w:spacing w:val="-1"/>
          <w:sz w:val="18"/>
        </w:rPr>
        <w:t xml:space="preserve"> </w:t>
      </w:r>
      <w:r>
        <w:rPr>
          <w:sz w:val="18"/>
        </w:rPr>
        <w:t>para.</w:t>
      </w:r>
      <w:r>
        <w:rPr>
          <w:spacing w:val="-2"/>
          <w:sz w:val="18"/>
        </w:rPr>
        <w:t xml:space="preserve"> </w:t>
      </w:r>
      <w:r>
        <w:rPr>
          <w:sz w:val="18"/>
        </w:rPr>
        <w:t xml:space="preserve">2358. </w:t>
      </w:r>
      <w:bookmarkStart w:id="1559" w:name="_bookmark1341"/>
      <w:bookmarkEnd w:id="1559"/>
      <w:r>
        <w:rPr>
          <w:position w:val="5"/>
          <w:sz w:val="12"/>
        </w:rPr>
        <w:t>1154</w:t>
      </w:r>
      <w:r>
        <w:rPr>
          <w:spacing w:val="11"/>
          <w:position w:val="5"/>
          <w:sz w:val="12"/>
        </w:rPr>
        <w:t xml:space="preserve"> </w:t>
      </w:r>
      <w:r>
        <w:rPr>
          <w:sz w:val="18"/>
        </w:rPr>
        <w:t>China's</w:t>
      </w:r>
      <w:r>
        <w:rPr>
          <w:spacing w:val="-7"/>
          <w:sz w:val="18"/>
        </w:rPr>
        <w:t xml:space="preserve"> </w:t>
      </w:r>
      <w:r>
        <w:rPr>
          <w:sz w:val="18"/>
        </w:rPr>
        <w:t>first</w:t>
      </w:r>
      <w:r>
        <w:rPr>
          <w:spacing w:val="-6"/>
          <w:sz w:val="18"/>
        </w:rPr>
        <w:t xml:space="preserve"> </w:t>
      </w:r>
      <w:r>
        <w:rPr>
          <w:sz w:val="18"/>
        </w:rPr>
        <w:t>written</w:t>
      </w:r>
      <w:r>
        <w:rPr>
          <w:spacing w:val="-8"/>
          <w:sz w:val="18"/>
        </w:rPr>
        <w:t xml:space="preserve"> </w:t>
      </w:r>
      <w:r>
        <w:rPr>
          <w:sz w:val="18"/>
        </w:rPr>
        <w:t>submission,</w:t>
      </w:r>
      <w:r>
        <w:rPr>
          <w:spacing w:val="-1"/>
          <w:sz w:val="18"/>
        </w:rPr>
        <w:t xml:space="preserve"> </w:t>
      </w:r>
      <w:r>
        <w:rPr>
          <w:sz w:val="18"/>
        </w:rPr>
        <w:t>para.</w:t>
      </w:r>
      <w:r>
        <w:rPr>
          <w:spacing w:val="-2"/>
          <w:sz w:val="18"/>
        </w:rPr>
        <w:t xml:space="preserve"> </w:t>
      </w:r>
      <w:r>
        <w:rPr>
          <w:sz w:val="18"/>
        </w:rPr>
        <w:t xml:space="preserve">2360. </w:t>
      </w:r>
      <w:bookmarkStart w:id="1560" w:name="_bookmark1342"/>
      <w:bookmarkEnd w:id="1560"/>
      <w:r>
        <w:rPr>
          <w:position w:val="5"/>
          <w:sz w:val="12"/>
        </w:rPr>
        <w:t>1155</w:t>
      </w:r>
      <w:r>
        <w:rPr>
          <w:spacing w:val="13"/>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 xml:space="preserve">para. </w:t>
      </w:r>
      <w:r>
        <w:rPr>
          <w:spacing w:val="-2"/>
          <w:sz w:val="18"/>
        </w:rPr>
        <w:t>2360.</w:t>
      </w:r>
    </w:p>
    <w:p w14:paraId="22ECC834" w14:textId="77777777" w:rsidR="00BD462C" w:rsidRDefault="00033D0F">
      <w:pPr>
        <w:spacing w:before="4"/>
        <w:ind w:left="135"/>
        <w:jc w:val="both"/>
        <w:rPr>
          <w:sz w:val="18"/>
        </w:rPr>
      </w:pPr>
      <w:bookmarkStart w:id="1561" w:name="_bookmark1343"/>
      <w:bookmarkEnd w:id="1561"/>
      <w:r>
        <w:rPr>
          <w:position w:val="5"/>
          <w:sz w:val="12"/>
        </w:rPr>
        <w:t>1156</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paras.</w:t>
      </w:r>
      <w:r>
        <w:rPr>
          <w:spacing w:val="-5"/>
          <w:sz w:val="18"/>
        </w:rPr>
        <w:t xml:space="preserve"> </w:t>
      </w:r>
      <w:r>
        <w:rPr>
          <w:sz w:val="18"/>
        </w:rPr>
        <w:t>2362-</w:t>
      </w:r>
      <w:r>
        <w:rPr>
          <w:spacing w:val="-2"/>
          <w:sz w:val="18"/>
        </w:rPr>
        <w:t>2366.</w:t>
      </w:r>
    </w:p>
    <w:p w14:paraId="70C94768" w14:textId="77777777" w:rsidR="00BD462C" w:rsidRDefault="00BD462C">
      <w:pPr>
        <w:jc w:val="both"/>
        <w:rPr>
          <w:sz w:val="18"/>
        </w:rPr>
        <w:sectPr w:rsidR="00BD462C">
          <w:pgSz w:w="11910" w:h="16840"/>
          <w:pgMar w:top="860" w:right="500" w:bottom="780" w:left="1280" w:header="566" w:footer="590" w:gutter="0"/>
          <w:cols w:space="720"/>
        </w:sectPr>
      </w:pPr>
    </w:p>
    <w:p w14:paraId="74C55CC9"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52857C89"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660774CD"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4718BEEE" w14:textId="296168A2" w:rsidR="00BD462C" w:rsidRDefault="00F439BE">
      <w:pPr>
        <w:pStyle w:val="BodyText"/>
        <w:spacing w:before="107" w:line="357" w:lineRule="auto"/>
        <w:ind w:left="136" w:right="920"/>
        <w:jc w:val="both"/>
      </w:pPr>
      <w:r>
        <w:rPr>
          <w:noProof/>
        </w:rPr>
        <w:t>768.</w:t>
      </w:r>
      <w:r w:rsidR="00033D0F">
        <w:rPr>
          <w:rFonts w:ascii="Times New Roman"/>
          <w:spacing w:val="80"/>
          <w:position w:val="1"/>
          <w:sz w:val="20"/>
        </w:rPr>
        <w:t xml:space="preserve">  </w:t>
      </w:r>
      <w:r w:rsidR="00033D0F">
        <w:rPr>
          <w:position w:val="1"/>
        </w:rPr>
        <w:t xml:space="preserve">The fact that Article 6.1.1 uses the word "should" does not render meaningless the </w:t>
      </w:r>
      <w:r w:rsidR="00033D0F">
        <w:t>obligations</w:t>
      </w:r>
      <w:r w:rsidR="00033D0F">
        <w:rPr>
          <w:spacing w:val="-6"/>
        </w:rPr>
        <w:t xml:space="preserve"> </w:t>
      </w:r>
      <w:r w:rsidR="00033D0F">
        <w:t>to</w:t>
      </w:r>
      <w:r w:rsidR="00033D0F">
        <w:rPr>
          <w:spacing w:val="-10"/>
        </w:rPr>
        <w:t xml:space="preserve"> </w:t>
      </w:r>
      <w:r w:rsidR="00033D0F">
        <w:t>(i)</w:t>
      </w:r>
      <w:r w:rsidR="00033D0F">
        <w:rPr>
          <w:spacing w:val="-9"/>
        </w:rPr>
        <w:t xml:space="preserve"> </w:t>
      </w:r>
      <w:r w:rsidR="00033D0F">
        <w:t>give</w:t>
      </w:r>
      <w:r w:rsidR="00033D0F">
        <w:rPr>
          <w:spacing w:val="-7"/>
        </w:rPr>
        <w:t xml:space="preserve"> </w:t>
      </w:r>
      <w:r w:rsidR="00033D0F">
        <w:t>"due</w:t>
      </w:r>
      <w:r w:rsidR="00033D0F">
        <w:rPr>
          <w:spacing w:val="-7"/>
        </w:rPr>
        <w:t xml:space="preserve"> </w:t>
      </w:r>
      <w:r w:rsidR="00033D0F">
        <w:t>consideration"</w:t>
      </w:r>
      <w:r w:rsidR="00033D0F">
        <w:rPr>
          <w:spacing w:val="-8"/>
        </w:rPr>
        <w:t xml:space="preserve"> </w:t>
      </w:r>
      <w:r w:rsidR="00033D0F">
        <w:t>to</w:t>
      </w:r>
      <w:r w:rsidR="00033D0F">
        <w:rPr>
          <w:spacing w:val="-5"/>
        </w:rPr>
        <w:t xml:space="preserve"> </w:t>
      </w:r>
      <w:r w:rsidR="00033D0F">
        <w:t>extension</w:t>
      </w:r>
      <w:r w:rsidR="00033D0F">
        <w:rPr>
          <w:spacing w:val="-9"/>
        </w:rPr>
        <w:t xml:space="preserve"> </w:t>
      </w:r>
      <w:r w:rsidR="00033D0F">
        <w:t>requests,</w:t>
      </w:r>
      <w:r w:rsidR="00033D0F">
        <w:rPr>
          <w:spacing w:val="-5"/>
        </w:rPr>
        <w:t xml:space="preserve"> </w:t>
      </w:r>
      <w:r w:rsidR="00033D0F">
        <w:t>and</w:t>
      </w:r>
      <w:r w:rsidR="00033D0F">
        <w:rPr>
          <w:spacing w:val="-9"/>
        </w:rPr>
        <w:t xml:space="preserve"> </w:t>
      </w:r>
      <w:r w:rsidR="00033D0F">
        <w:t>(ii)</w:t>
      </w:r>
      <w:r w:rsidR="00033D0F">
        <w:rPr>
          <w:spacing w:val="-9"/>
        </w:rPr>
        <w:t xml:space="preserve"> </w:t>
      </w:r>
      <w:r w:rsidR="00033D0F">
        <w:t>"upon</w:t>
      </w:r>
      <w:r w:rsidR="00033D0F">
        <w:rPr>
          <w:spacing w:val="-9"/>
        </w:rPr>
        <w:t xml:space="preserve"> </w:t>
      </w:r>
      <w:r w:rsidR="00033D0F">
        <w:t>cause</w:t>
      </w:r>
      <w:r w:rsidR="00033D0F">
        <w:rPr>
          <w:spacing w:val="-7"/>
        </w:rPr>
        <w:t xml:space="preserve"> </w:t>
      </w:r>
      <w:r w:rsidR="00033D0F">
        <w:t>shown", grant such requests "whenever practicable".</w:t>
      </w:r>
      <w:hyperlink w:anchor="_bookmark1344" w:history="1">
        <w:r w:rsidR="00033D0F">
          <w:rPr>
            <w:vertAlign w:val="superscript"/>
          </w:rPr>
          <w:t>1157</w:t>
        </w:r>
      </w:hyperlink>
    </w:p>
    <w:p w14:paraId="1B617DDD" w14:textId="77777777" w:rsidR="00BD462C" w:rsidRDefault="00BD462C">
      <w:pPr>
        <w:pStyle w:val="BodyText"/>
        <w:spacing w:before="3"/>
        <w:rPr>
          <w:sz w:val="9"/>
        </w:rPr>
      </w:pPr>
    </w:p>
    <w:p w14:paraId="0626531E" w14:textId="029D6493" w:rsidR="00BD462C" w:rsidRDefault="00F439BE">
      <w:pPr>
        <w:pStyle w:val="BodyText"/>
        <w:spacing w:before="56" w:line="357" w:lineRule="auto"/>
        <w:ind w:left="135" w:right="915"/>
        <w:jc w:val="both"/>
      </w:pPr>
      <w:r>
        <w:rPr>
          <w:noProof/>
        </w:rPr>
        <w:t>769.</w:t>
      </w:r>
      <w:r w:rsidR="00033D0F">
        <w:rPr>
          <w:rFonts w:ascii="Times New Roman" w:hAnsi="Times New Roman"/>
          <w:spacing w:val="80"/>
          <w:position w:val="1"/>
          <w:sz w:val="20"/>
        </w:rPr>
        <w:t xml:space="preserve">  </w:t>
      </w:r>
      <w:r w:rsidR="00033D0F">
        <w:rPr>
          <w:position w:val="1"/>
        </w:rPr>
        <w:t xml:space="preserve">First, Article 6.1.1 must be read in the context of Article 6.1, which requires that all </w:t>
      </w:r>
      <w:r w:rsidR="00033D0F">
        <w:t>interested</w:t>
      </w:r>
      <w:r w:rsidR="00033D0F">
        <w:rPr>
          <w:spacing w:val="-14"/>
        </w:rPr>
        <w:t xml:space="preserve"> </w:t>
      </w:r>
      <w:r w:rsidR="00033D0F">
        <w:t>parties</w:t>
      </w:r>
      <w:r w:rsidR="00033D0F">
        <w:rPr>
          <w:spacing w:val="-9"/>
        </w:rPr>
        <w:t xml:space="preserve"> </w:t>
      </w:r>
      <w:r w:rsidR="00033D0F">
        <w:t>"</w:t>
      </w:r>
      <w:r w:rsidR="00033D0F">
        <w:rPr>
          <w:i/>
        </w:rPr>
        <w:t>shall</w:t>
      </w:r>
      <w:r w:rsidR="00033D0F">
        <w:rPr>
          <w:i/>
          <w:spacing w:val="-10"/>
        </w:rPr>
        <w:t xml:space="preserve"> </w:t>
      </w:r>
      <w:r w:rsidR="00033D0F">
        <w:t>be</w:t>
      </w:r>
      <w:r w:rsidR="00033D0F">
        <w:rPr>
          <w:spacing w:val="-12"/>
        </w:rPr>
        <w:t xml:space="preserve"> </w:t>
      </w:r>
      <w:r w:rsidR="00033D0F">
        <w:t>given</w:t>
      </w:r>
      <w:r w:rsidR="00033D0F">
        <w:rPr>
          <w:spacing w:val="-14"/>
        </w:rPr>
        <w:t xml:space="preserve"> </w:t>
      </w:r>
      <w:r w:rsidR="00033D0F">
        <w:t>…</w:t>
      </w:r>
      <w:r w:rsidR="00033D0F">
        <w:rPr>
          <w:spacing w:val="-9"/>
        </w:rPr>
        <w:t xml:space="preserve"> </w:t>
      </w:r>
      <w:r w:rsidR="00033D0F">
        <w:t>ample</w:t>
      </w:r>
      <w:r w:rsidR="00033D0F">
        <w:rPr>
          <w:spacing w:val="-12"/>
        </w:rPr>
        <w:t xml:space="preserve"> </w:t>
      </w:r>
      <w:r w:rsidR="00033D0F">
        <w:t>opportunity</w:t>
      </w:r>
      <w:r w:rsidR="00033D0F">
        <w:rPr>
          <w:spacing w:val="-11"/>
        </w:rPr>
        <w:t xml:space="preserve"> </w:t>
      </w:r>
      <w:r w:rsidR="00033D0F">
        <w:t>to</w:t>
      </w:r>
      <w:r w:rsidR="00033D0F">
        <w:rPr>
          <w:spacing w:val="-14"/>
        </w:rPr>
        <w:t xml:space="preserve"> </w:t>
      </w:r>
      <w:r w:rsidR="00033D0F">
        <w:t>present</w:t>
      </w:r>
      <w:r w:rsidR="00033D0F">
        <w:rPr>
          <w:spacing w:val="-10"/>
        </w:rPr>
        <w:t xml:space="preserve"> </w:t>
      </w:r>
      <w:r w:rsidR="00033D0F">
        <w:t>in</w:t>
      </w:r>
      <w:r w:rsidR="00033D0F">
        <w:rPr>
          <w:spacing w:val="-14"/>
        </w:rPr>
        <w:t xml:space="preserve"> </w:t>
      </w:r>
      <w:r w:rsidR="00033D0F">
        <w:t>writing</w:t>
      </w:r>
      <w:r w:rsidR="00033D0F">
        <w:rPr>
          <w:spacing w:val="-9"/>
        </w:rPr>
        <w:t xml:space="preserve"> </w:t>
      </w:r>
      <w:r w:rsidR="00033D0F">
        <w:t>all</w:t>
      </w:r>
      <w:r w:rsidR="00033D0F">
        <w:rPr>
          <w:spacing w:val="-10"/>
        </w:rPr>
        <w:t xml:space="preserve"> </w:t>
      </w:r>
      <w:r w:rsidR="00033D0F">
        <w:t>evidence</w:t>
      </w:r>
      <w:r w:rsidR="00033D0F">
        <w:rPr>
          <w:spacing w:val="-12"/>
        </w:rPr>
        <w:t xml:space="preserve"> </w:t>
      </w:r>
      <w:r w:rsidR="00033D0F">
        <w:t>which they consider relevant in respect of the investigation".</w:t>
      </w:r>
      <w:hyperlink w:anchor="_bookmark1345" w:history="1">
        <w:r w:rsidR="00033D0F">
          <w:rPr>
            <w:vertAlign w:val="superscript"/>
          </w:rPr>
          <w:t>1158</w:t>
        </w:r>
      </w:hyperlink>
      <w:r w:rsidR="00033D0F">
        <w:t xml:space="preserve"> Where an extension request is made</w:t>
      </w:r>
      <w:r w:rsidR="00033D0F">
        <w:rPr>
          <w:spacing w:val="-2"/>
        </w:rPr>
        <w:t xml:space="preserve"> </w:t>
      </w:r>
      <w:r w:rsidR="00033D0F">
        <w:t>in</w:t>
      </w:r>
      <w:r w:rsidR="00033D0F">
        <w:rPr>
          <w:spacing w:val="-3"/>
        </w:rPr>
        <w:t xml:space="preserve"> </w:t>
      </w:r>
      <w:r w:rsidR="00033D0F">
        <w:t>a</w:t>
      </w:r>
      <w:r w:rsidR="00033D0F">
        <w:rPr>
          <w:spacing w:val="-2"/>
        </w:rPr>
        <w:t xml:space="preserve"> </w:t>
      </w:r>
      <w:r w:rsidR="00033D0F">
        <w:t>timely manner</w:t>
      </w:r>
      <w:r w:rsidR="00033D0F">
        <w:rPr>
          <w:spacing w:val="-4"/>
        </w:rPr>
        <w:t xml:space="preserve"> </w:t>
      </w:r>
      <w:r w:rsidR="00033D0F">
        <w:t>and</w:t>
      </w:r>
      <w:r w:rsidR="00033D0F">
        <w:rPr>
          <w:spacing w:val="-3"/>
        </w:rPr>
        <w:t xml:space="preserve"> </w:t>
      </w:r>
      <w:r w:rsidR="00033D0F">
        <w:t>shows cause, an</w:t>
      </w:r>
      <w:r w:rsidR="00033D0F">
        <w:rPr>
          <w:spacing w:val="-3"/>
        </w:rPr>
        <w:t xml:space="preserve"> </w:t>
      </w:r>
      <w:r w:rsidR="00033D0F">
        <w:t>investigating authority that</w:t>
      </w:r>
      <w:r w:rsidR="00033D0F">
        <w:rPr>
          <w:spacing w:val="-1"/>
        </w:rPr>
        <w:t xml:space="preserve"> </w:t>
      </w:r>
      <w:r w:rsidR="00033D0F">
        <w:t>fails to</w:t>
      </w:r>
      <w:r w:rsidR="00033D0F">
        <w:rPr>
          <w:spacing w:val="-4"/>
        </w:rPr>
        <w:t xml:space="preserve"> </w:t>
      </w:r>
      <w:r w:rsidR="00033D0F">
        <w:t>give</w:t>
      </w:r>
      <w:r w:rsidR="00033D0F">
        <w:rPr>
          <w:spacing w:val="-6"/>
        </w:rPr>
        <w:t xml:space="preserve"> </w:t>
      </w:r>
      <w:r w:rsidR="00033D0F">
        <w:t>it</w:t>
      </w:r>
      <w:r w:rsidR="00033D0F">
        <w:rPr>
          <w:spacing w:val="-1"/>
        </w:rPr>
        <w:t xml:space="preserve"> </w:t>
      </w:r>
      <w:r w:rsidR="00033D0F">
        <w:t>"due consideration" and/or grant it "whenever practicable" fails to provide the "ample opportunity" required under Article 6.1.</w:t>
      </w:r>
    </w:p>
    <w:p w14:paraId="074F527C" w14:textId="77777777" w:rsidR="00BD462C" w:rsidRDefault="00BD462C">
      <w:pPr>
        <w:pStyle w:val="BodyText"/>
        <w:spacing w:before="8"/>
        <w:rPr>
          <w:sz w:val="9"/>
        </w:rPr>
      </w:pPr>
    </w:p>
    <w:p w14:paraId="091C1573" w14:textId="6151CBAE" w:rsidR="00BD462C" w:rsidRDefault="00F439BE">
      <w:pPr>
        <w:pStyle w:val="BodyText"/>
        <w:spacing w:before="56" w:line="357" w:lineRule="auto"/>
        <w:ind w:left="135" w:right="923"/>
      </w:pPr>
      <w:r>
        <w:rPr>
          <w:noProof/>
        </w:rPr>
        <w:t>770.</w:t>
      </w:r>
      <w:r w:rsidR="00033D0F">
        <w:rPr>
          <w:rFonts w:ascii="Times New Roman"/>
          <w:spacing w:val="80"/>
          <w:position w:val="1"/>
          <w:sz w:val="20"/>
        </w:rPr>
        <w:t xml:space="preserve">   </w:t>
      </w:r>
      <w:r w:rsidR="00033D0F">
        <w:rPr>
          <w:position w:val="1"/>
        </w:rPr>
        <w:t xml:space="preserve">Second, the word "should" in Article 6.1.1 must be given its ordinary meaning, that </w:t>
      </w:r>
      <w:r w:rsidR="00033D0F">
        <w:t xml:space="preserve">is, the verb "should" </w:t>
      </w:r>
      <w:proofErr w:type="gramStart"/>
      <w:r w:rsidR="00033D0F">
        <w:t>is</w:t>
      </w:r>
      <w:proofErr w:type="gramEnd"/>
      <w:r w:rsidR="00033D0F">
        <w:t xml:space="preserve"> "used to indicate obligation, duty, or correctness".</w:t>
      </w:r>
      <w:hyperlink w:anchor="_bookmark1346" w:history="1">
        <w:r w:rsidR="00033D0F">
          <w:rPr>
            <w:vertAlign w:val="superscript"/>
          </w:rPr>
          <w:t>1159</w:t>
        </w:r>
      </w:hyperlink>
    </w:p>
    <w:p w14:paraId="156F8B50" w14:textId="77777777" w:rsidR="00BD462C" w:rsidRDefault="00BD462C">
      <w:pPr>
        <w:pStyle w:val="BodyText"/>
        <w:spacing w:before="3"/>
        <w:rPr>
          <w:sz w:val="9"/>
        </w:rPr>
      </w:pPr>
    </w:p>
    <w:p w14:paraId="734027D1" w14:textId="2C223AC3" w:rsidR="00BD462C" w:rsidRDefault="00F439BE">
      <w:pPr>
        <w:pStyle w:val="BodyText"/>
        <w:spacing w:before="56" w:line="360" w:lineRule="auto"/>
        <w:ind w:left="136" w:right="912"/>
        <w:jc w:val="both"/>
      </w:pPr>
      <w:r>
        <w:rPr>
          <w:noProof/>
        </w:rPr>
        <w:t>771.</w:t>
      </w:r>
      <w:r w:rsidR="00033D0F">
        <w:rPr>
          <w:rFonts w:ascii="Times New Roman"/>
          <w:spacing w:val="80"/>
          <w:position w:val="1"/>
          <w:sz w:val="20"/>
        </w:rPr>
        <w:t xml:space="preserve"> </w:t>
      </w:r>
      <w:r w:rsidR="00033D0F">
        <w:rPr>
          <w:position w:val="1"/>
        </w:rPr>
        <w:t xml:space="preserve">Third, in the context of Article 6.1.1, the word "should" </w:t>
      </w:r>
      <w:proofErr w:type="gramStart"/>
      <w:r w:rsidR="00033D0F">
        <w:rPr>
          <w:position w:val="1"/>
        </w:rPr>
        <w:t>serves</w:t>
      </w:r>
      <w:proofErr w:type="gramEnd"/>
      <w:r w:rsidR="00033D0F">
        <w:rPr>
          <w:position w:val="1"/>
        </w:rPr>
        <w:t xml:space="preserve"> a practical purpose, </w:t>
      </w:r>
      <w:r w:rsidR="00033D0F">
        <w:t xml:space="preserve">building in sufficient flexibility for those situations in which it may not be reasonable or appropriate under the specific circumstances for an investigating authority to give "due consideration" or to grant an extension that is otherwise (e.g., technically) "practicable". In this regard, Article 6.1.1 plainly does not mandate that every request for an extension </w:t>
      </w:r>
      <w:r w:rsidR="00033D0F">
        <w:rPr>
          <w:i/>
        </w:rPr>
        <w:t xml:space="preserve">must </w:t>
      </w:r>
      <w:r w:rsidR="00033D0F">
        <w:t>be granted in all cases. However, at the same time, it also plainly does not provide the investigating authority with unfettered discretion.</w:t>
      </w:r>
    </w:p>
    <w:p w14:paraId="7F44801F" w14:textId="77777777" w:rsidR="00BD462C" w:rsidRDefault="00BD462C">
      <w:pPr>
        <w:pStyle w:val="BodyText"/>
        <w:spacing w:before="5"/>
        <w:rPr>
          <w:sz w:val="8"/>
        </w:rPr>
      </w:pPr>
    </w:p>
    <w:p w14:paraId="01F42791" w14:textId="1DA86F60" w:rsidR="00BD462C" w:rsidRDefault="00F439BE">
      <w:pPr>
        <w:pStyle w:val="BodyText"/>
        <w:spacing w:before="56" w:line="360" w:lineRule="auto"/>
        <w:ind w:left="136" w:right="913"/>
        <w:jc w:val="both"/>
      </w:pPr>
      <w:r>
        <w:rPr>
          <w:noProof/>
        </w:rPr>
        <w:t>772.</w:t>
      </w:r>
      <w:r w:rsidR="00033D0F">
        <w:rPr>
          <w:rFonts w:ascii="Times New Roman"/>
          <w:spacing w:val="80"/>
          <w:position w:val="1"/>
          <w:sz w:val="20"/>
        </w:rPr>
        <w:t xml:space="preserve">  </w:t>
      </w:r>
      <w:r w:rsidR="00033D0F">
        <w:rPr>
          <w:position w:val="1"/>
        </w:rPr>
        <w:t xml:space="preserve">For the above reasons, China's submission that the presence of the word "should" </w:t>
      </w:r>
      <w:r w:rsidR="00033D0F">
        <w:t>means that the provision is non-mandatory is mistaken. China's proposed interpretation is based on a highly selective</w:t>
      </w:r>
      <w:hyperlink w:anchor="_bookmark1347" w:history="1">
        <w:r w:rsidR="00033D0F">
          <w:rPr>
            <w:vertAlign w:val="superscript"/>
          </w:rPr>
          <w:t>1160</w:t>
        </w:r>
      </w:hyperlink>
      <w:r w:rsidR="00033D0F">
        <w:t xml:space="preserve"> reading of the interpretations of different obligations in different provisions of different WTO agreements (</w:t>
      </w:r>
      <w:proofErr w:type="gramStart"/>
      <w:r w:rsidR="00033D0F">
        <w:t>i.e.</w:t>
      </w:r>
      <w:proofErr w:type="gramEnd"/>
      <w:r w:rsidR="00033D0F">
        <w:t xml:space="preserve"> Article III:1 of the GATT 1994 and Articles 9.1 and 21.2 of the DSU). China's purported authorities for its interpretation of the word</w:t>
      </w:r>
      <w:r w:rsidR="00033D0F">
        <w:rPr>
          <w:spacing w:val="-2"/>
        </w:rPr>
        <w:t xml:space="preserve"> </w:t>
      </w:r>
      <w:r w:rsidR="00033D0F">
        <w:t>"should" are completely unrelated</w:t>
      </w:r>
      <w:r w:rsidR="00033D0F">
        <w:rPr>
          <w:spacing w:val="-2"/>
        </w:rPr>
        <w:t xml:space="preserve"> </w:t>
      </w:r>
      <w:r w:rsidR="00033D0F">
        <w:t>to</w:t>
      </w:r>
      <w:r w:rsidR="00033D0F">
        <w:rPr>
          <w:spacing w:val="-2"/>
        </w:rPr>
        <w:t xml:space="preserve"> </w:t>
      </w:r>
      <w:r w:rsidR="00033D0F">
        <w:t>the context of</w:t>
      </w:r>
      <w:r w:rsidR="00033D0F">
        <w:rPr>
          <w:spacing w:val="-1"/>
        </w:rPr>
        <w:t xml:space="preserve"> </w:t>
      </w:r>
      <w:r w:rsidR="00033D0F">
        <w:t>the Anti-Dumping Agreement and, therefore, unrelated to the present matter before the Panel. Specifically:</w:t>
      </w:r>
    </w:p>
    <w:p w14:paraId="0E9E945C" w14:textId="77777777" w:rsidR="00BD462C" w:rsidRDefault="00BD462C">
      <w:pPr>
        <w:pStyle w:val="BodyText"/>
        <w:rPr>
          <w:sz w:val="20"/>
        </w:rPr>
      </w:pPr>
    </w:p>
    <w:p w14:paraId="74AE471E" w14:textId="77777777" w:rsidR="00BD462C" w:rsidRDefault="00BD462C">
      <w:pPr>
        <w:pStyle w:val="BodyText"/>
        <w:rPr>
          <w:sz w:val="20"/>
        </w:rPr>
      </w:pPr>
    </w:p>
    <w:p w14:paraId="5CEB357E" w14:textId="54907F06" w:rsidR="00BD462C" w:rsidRDefault="00E14314">
      <w:pPr>
        <w:pStyle w:val="BodyText"/>
        <w:spacing w:before="9"/>
        <w:rPr>
          <w:sz w:val="28"/>
        </w:rPr>
      </w:pPr>
      <w:r>
        <w:rPr>
          <w:noProof/>
        </w:rPr>
        <mc:AlternateContent>
          <mc:Choice Requires="wps">
            <w:drawing>
              <wp:anchor distT="0" distB="0" distL="0" distR="0" simplePos="0" relativeHeight="488110592" behindDoc="1" locked="0" layoutInCell="1" allowOverlap="1" wp14:anchorId="4665F441" wp14:editId="50582ABE">
                <wp:simplePos x="0" y="0"/>
                <wp:positionH relativeFrom="page">
                  <wp:posOffset>812800</wp:posOffset>
                </wp:positionH>
                <wp:positionV relativeFrom="paragraph">
                  <wp:posOffset>223520</wp:posOffset>
                </wp:positionV>
                <wp:extent cx="1828800" cy="8890"/>
                <wp:effectExtent l="0" t="0" r="0" b="0"/>
                <wp:wrapTopAndBottom/>
                <wp:docPr id="83" name="docshape7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559029" id="docshape705" o:spid="_x0000_s1026" alt="&quot;&quot;" style="position:absolute;margin-left:64pt;margin-top:17.6pt;width:2in;height:.7pt;z-index:-15205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" fillcolor="black" stroked="f">
                <w10:wrap type="topAndBottom" anchorx="page"/>
              </v:rect>
            </w:pict>
          </mc:Fallback>
        </mc:AlternateContent>
      </w:r>
    </w:p>
    <w:p w14:paraId="46701CAF" w14:textId="77777777" w:rsidR="00BD462C" w:rsidRDefault="00033D0F">
      <w:pPr>
        <w:spacing w:before="107"/>
        <w:ind w:left="135"/>
        <w:rPr>
          <w:sz w:val="18"/>
        </w:rPr>
      </w:pPr>
      <w:bookmarkStart w:id="1562" w:name="_bookmark1344"/>
      <w:bookmarkEnd w:id="1562"/>
      <w:r>
        <w:rPr>
          <w:position w:val="5"/>
          <w:sz w:val="12"/>
        </w:rPr>
        <w:t>1157</w:t>
      </w:r>
      <w:r>
        <w:rPr>
          <w:spacing w:val="12"/>
          <w:position w:val="5"/>
          <w:sz w:val="12"/>
        </w:rPr>
        <w:t xml:space="preserve"> </w:t>
      </w:r>
      <w:r>
        <w:rPr>
          <w:sz w:val="18"/>
        </w:rPr>
        <w:t>c.f.</w:t>
      </w:r>
      <w:r>
        <w:rPr>
          <w:spacing w:val="-4"/>
          <w:sz w:val="18"/>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7"/>
          <w:sz w:val="18"/>
        </w:rPr>
        <w:t xml:space="preserve"> </w:t>
      </w:r>
      <w:r>
        <w:rPr>
          <w:sz w:val="18"/>
        </w:rPr>
        <w:t>submission,</w:t>
      </w:r>
      <w:r>
        <w:rPr>
          <w:spacing w:val="-3"/>
          <w:sz w:val="18"/>
        </w:rPr>
        <w:t xml:space="preserve"> </w:t>
      </w:r>
      <w:r>
        <w:rPr>
          <w:sz w:val="18"/>
        </w:rPr>
        <w:t>paras.</w:t>
      </w:r>
      <w:r>
        <w:rPr>
          <w:spacing w:val="-1"/>
          <w:sz w:val="18"/>
        </w:rPr>
        <w:t xml:space="preserve"> </w:t>
      </w:r>
      <w:r>
        <w:rPr>
          <w:sz w:val="18"/>
        </w:rPr>
        <w:t>2362-</w:t>
      </w:r>
      <w:r>
        <w:rPr>
          <w:spacing w:val="-2"/>
          <w:sz w:val="18"/>
        </w:rPr>
        <w:t>2363.</w:t>
      </w:r>
    </w:p>
    <w:p w14:paraId="56092D5B" w14:textId="77777777" w:rsidR="00BD462C" w:rsidRDefault="00033D0F">
      <w:pPr>
        <w:spacing w:before="1"/>
        <w:ind w:left="135"/>
        <w:rPr>
          <w:sz w:val="18"/>
        </w:rPr>
      </w:pPr>
      <w:bookmarkStart w:id="1563" w:name="_bookmark1345"/>
      <w:bookmarkEnd w:id="1563"/>
      <w:r>
        <w:rPr>
          <w:position w:val="5"/>
          <w:sz w:val="12"/>
        </w:rPr>
        <w:t>1158</w:t>
      </w:r>
      <w:r>
        <w:rPr>
          <w:spacing w:val="16"/>
          <w:position w:val="5"/>
          <w:sz w:val="12"/>
        </w:rPr>
        <w:t xml:space="preserve"> </w:t>
      </w:r>
      <w:r>
        <w:rPr>
          <w:sz w:val="18"/>
        </w:rPr>
        <w:t>Emphasis</w:t>
      </w:r>
      <w:r>
        <w:rPr>
          <w:spacing w:val="-3"/>
          <w:sz w:val="18"/>
        </w:rPr>
        <w:t xml:space="preserve"> </w:t>
      </w:r>
      <w:r>
        <w:rPr>
          <w:spacing w:val="-2"/>
          <w:sz w:val="18"/>
        </w:rPr>
        <w:t>added.</w:t>
      </w:r>
    </w:p>
    <w:p w14:paraId="391DD659" w14:textId="77777777" w:rsidR="00BD462C" w:rsidRDefault="00033D0F">
      <w:pPr>
        <w:spacing w:before="1"/>
        <w:ind w:left="135"/>
        <w:rPr>
          <w:sz w:val="18"/>
        </w:rPr>
      </w:pPr>
      <w:bookmarkStart w:id="1564" w:name="_bookmark1346"/>
      <w:bookmarkEnd w:id="1564"/>
      <w:r>
        <w:rPr>
          <w:position w:val="5"/>
          <w:sz w:val="12"/>
        </w:rPr>
        <w:t>1159</w:t>
      </w:r>
      <w:r>
        <w:rPr>
          <w:spacing w:val="13"/>
          <w:position w:val="5"/>
          <w:sz w:val="12"/>
        </w:rPr>
        <w:t xml:space="preserve"> </w:t>
      </w:r>
      <w:r>
        <w:rPr>
          <w:sz w:val="18"/>
        </w:rPr>
        <w:t>Oxford</w:t>
      </w:r>
      <w:r>
        <w:rPr>
          <w:spacing w:val="-10"/>
          <w:sz w:val="18"/>
        </w:rPr>
        <w:t xml:space="preserve"> </w:t>
      </w:r>
      <w:r>
        <w:rPr>
          <w:sz w:val="18"/>
        </w:rPr>
        <w:t>English</w:t>
      </w:r>
      <w:r>
        <w:rPr>
          <w:spacing w:val="-2"/>
          <w:sz w:val="18"/>
        </w:rPr>
        <w:t xml:space="preserve"> </w:t>
      </w:r>
      <w:r>
        <w:rPr>
          <w:sz w:val="18"/>
        </w:rPr>
        <w:t>Dictionary,</w:t>
      </w:r>
      <w:r>
        <w:rPr>
          <w:spacing w:val="-3"/>
          <w:sz w:val="18"/>
        </w:rPr>
        <w:t xml:space="preserve"> </w:t>
      </w:r>
      <w:r>
        <w:rPr>
          <w:sz w:val="18"/>
        </w:rPr>
        <w:t>definition</w:t>
      </w:r>
      <w:r>
        <w:rPr>
          <w:spacing w:val="-7"/>
          <w:sz w:val="18"/>
        </w:rPr>
        <w:t xml:space="preserve"> </w:t>
      </w:r>
      <w:r>
        <w:rPr>
          <w:sz w:val="18"/>
        </w:rPr>
        <w:t>of</w:t>
      </w:r>
      <w:r>
        <w:rPr>
          <w:spacing w:val="-4"/>
          <w:sz w:val="18"/>
        </w:rPr>
        <w:t xml:space="preserve"> </w:t>
      </w:r>
      <w:r>
        <w:rPr>
          <w:sz w:val="18"/>
        </w:rPr>
        <w:t>"should",</w:t>
      </w:r>
      <w:r>
        <w:rPr>
          <w:spacing w:val="-4"/>
          <w:sz w:val="18"/>
        </w:rPr>
        <w:t xml:space="preserve"> </w:t>
      </w:r>
      <w:r>
        <w:rPr>
          <w:sz w:val="18"/>
        </w:rPr>
        <w:t>(Exhibit</w:t>
      </w:r>
      <w:r>
        <w:rPr>
          <w:spacing w:val="-5"/>
          <w:sz w:val="18"/>
        </w:rPr>
        <w:t xml:space="preserve"> </w:t>
      </w:r>
      <w:r>
        <w:rPr>
          <w:sz w:val="18"/>
        </w:rPr>
        <w:t>AUS-</w:t>
      </w:r>
      <w:r>
        <w:rPr>
          <w:spacing w:val="-2"/>
          <w:sz w:val="18"/>
        </w:rPr>
        <w:t>121).</w:t>
      </w:r>
    </w:p>
    <w:p w14:paraId="48B4E973" w14:textId="77777777" w:rsidR="00BD462C" w:rsidRDefault="00033D0F">
      <w:pPr>
        <w:spacing w:before="1"/>
        <w:ind w:left="136" w:right="912" w:hanging="1"/>
        <w:rPr>
          <w:sz w:val="18"/>
        </w:rPr>
      </w:pPr>
      <w:bookmarkStart w:id="1565" w:name="_bookmark1347"/>
      <w:bookmarkEnd w:id="1565"/>
      <w:r>
        <w:rPr>
          <w:position w:val="5"/>
          <w:sz w:val="12"/>
        </w:rPr>
        <w:t>1160</w:t>
      </w:r>
      <w:r>
        <w:rPr>
          <w:spacing w:val="11"/>
          <w:position w:val="5"/>
          <w:sz w:val="12"/>
        </w:rPr>
        <w:t xml:space="preserve"> </w:t>
      </w:r>
      <w:r>
        <w:rPr>
          <w:sz w:val="18"/>
        </w:rPr>
        <w:t>China's</w:t>
      </w:r>
      <w:r>
        <w:rPr>
          <w:spacing w:val="-8"/>
          <w:sz w:val="18"/>
        </w:rPr>
        <w:t xml:space="preserve"> </w:t>
      </w:r>
      <w:r>
        <w:rPr>
          <w:sz w:val="18"/>
        </w:rPr>
        <w:t>selective</w:t>
      </w:r>
      <w:r>
        <w:rPr>
          <w:spacing w:val="-3"/>
          <w:sz w:val="18"/>
        </w:rPr>
        <w:t xml:space="preserve"> </w:t>
      </w:r>
      <w:r>
        <w:rPr>
          <w:sz w:val="18"/>
        </w:rPr>
        <w:t>analysis</w:t>
      </w:r>
      <w:r>
        <w:rPr>
          <w:spacing w:val="-8"/>
          <w:sz w:val="18"/>
        </w:rPr>
        <w:t xml:space="preserve"> </w:t>
      </w:r>
      <w:r>
        <w:rPr>
          <w:sz w:val="18"/>
        </w:rPr>
        <w:t>omits</w:t>
      </w:r>
      <w:r>
        <w:rPr>
          <w:spacing w:val="-3"/>
          <w:sz w:val="18"/>
        </w:rPr>
        <w:t xml:space="preserve"> </w:t>
      </w:r>
      <w:r>
        <w:rPr>
          <w:sz w:val="18"/>
        </w:rPr>
        <w:t>previous</w:t>
      </w:r>
      <w:r>
        <w:rPr>
          <w:spacing w:val="-3"/>
          <w:sz w:val="18"/>
        </w:rPr>
        <w:t xml:space="preserve"> </w:t>
      </w:r>
      <w:r>
        <w:rPr>
          <w:sz w:val="18"/>
        </w:rPr>
        <w:t>Appellate</w:t>
      </w:r>
      <w:r>
        <w:rPr>
          <w:spacing w:val="-8"/>
          <w:sz w:val="18"/>
        </w:rPr>
        <w:t xml:space="preserve"> </w:t>
      </w:r>
      <w:r>
        <w:rPr>
          <w:sz w:val="18"/>
        </w:rPr>
        <w:t>Body</w:t>
      </w:r>
      <w:r>
        <w:rPr>
          <w:spacing w:val="-5"/>
          <w:sz w:val="18"/>
        </w:rPr>
        <w:t xml:space="preserve"> </w:t>
      </w:r>
      <w:r>
        <w:rPr>
          <w:sz w:val="18"/>
        </w:rPr>
        <w:t>reports</w:t>
      </w:r>
      <w:r>
        <w:rPr>
          <w:spacing w:val="-3"/>
          <w:sz w:val="18"/>
        </w:rPr>
        <w:t xml:space="preserve"> </w:t>
      </w:r>
      <w:r>
        <w:rPr>
          <w:sz w:val="18"/>
        </w:rPr>
        <w:t>where</w:t>
      </w:r>
      <w:r>
        <w:rPr>
          <w:spacing w:val="-3"/>
          <w:sz w:val="18"/>
        </w:rPr>
        <w:t xml:space="preserve"> </w:t>
      </w:r>
      <w:r>
        <w:rPr>
          <w:sz w:val="18"/>
        </w:rPr>
        <w:t>the</w:t>
      </w:r>
      <w:r>
        <w:rPr>
          <w:spacing w:val="-3"/>
          <w:sz w:val="18"/>
        </w:rPr>
        <w:t xml:space="preserve"> </w:t>
      </w:r>
      <w:r>
        <w:rPr>
          <w:sz w:val="18"/>
        </w:rPr>
        <w:t>word</w:t>
      </w:r>
      <w:r>
        <w:rPr>
          <w:spacing w:val="-4"/>
          <w:sz w:val="18"/>
        </w:rPr>
        <w:t xml:space="preserve"> </w:t>
      </w:r>
      <w:r>
        <w:rPr>
          <w:sz w:val="18"/>
        </w:rPr>
        <w:t>"should"</w:t>
      </w:r>
      <w:r>
        <w:rPr>
          <w:spacing w:val="-5"/>
          <w:sz w:val="18"/>
        </w:rPr>
        <w:t xml:space="preserve"> </w:t>
      </w:r>
      <w:proofErr w:type="gramStart"/>
      <w:r>
        <w:rPr>
          <w:sz w:val="18"/>
        </w:rPr>
        <w:t>was</w:t>
      </w:r>
      <w:proofErr w:type="gramEnd"/>
      <w:r>
        <w:rPr>
          <w:spacing w:val="-3"/>
          <w:sz w:val="18"/>
        </w:rPr>
        <w:t xml:space="preserve"> </w:t>
      </w:r>
      <w:r>
        <w:rPr>
          <w:sz w:val="18"/>
        </w:rPr>
        <w:t>found</w:t>
      </w:r>
      <w:r>
        <w:rPr>
          <w:spacing w:val="-8"/>
          <w:sz w:val="18"/>
        </w:rPr>
        <w:t xml:space="preserve"> </w:t>
      </w:r>
      <w:r>
        <w:rPr>
          <w:sz w:val="18"/>
        </w:rPr>
        <w:t>to</w:t>
      </w:r>
      <w:r>
        <w:rPr>
          <w:spacing w:val="-9"/>
          <w:sz w:val="18"/>
        </w:rPr>
        <w:t xml:space="preserve"> </w:t>
      </w:r>
      <w:r>
        <w:rPr>
          <w:sz w:val="18"/>
        </w:rPr>
        <w:t>express</w:t>
      </w:r>
      <w:r>
        <w:rPr>
          <w:spacing w:val="-3"/>
          <w:sz w:val="18"/>
        </w:rPr>
        <w:t xml:space="preserve"> </w:t>
      </w:r>
      <w:r>
        <w:rPr>
          <w:sz w:val="18"/>
        </w:rPr>
        <w:t>a</w:t>
      </w:r>
      <w:r>
        <w:rPr>
          <w:spacing w:val="-5"/>
          <w:sz w:val="18"/>
        </w:rPr>
        <w:t xml:space="preserve"> </w:t>
      </w:r>
      <w:r>
        <w:rPr>
          <w:sz w:val="18"/>
        </w:rPr>
        <w:t>duty</w:t>
      </w:r>
      <w:r>
        <w:rPr>
          <w:spacing w:val="-3"/>
          <w:sz w:val="18"/>
        </w:rPr>
        <w:t xml:space="preserve"> </w:t>
      </w:r>
      <w:r>
        <w:rPr>
          <w:sz w:val="18"/>
        </w:rPr>
        <w:t xml:space="preserve">or obligation, and to carry a normative force, such as Appellate Body Report, </w:t>
      </w:r>
      <w:r>
        <w:rPr>
          <w:i/>
          <w:sz w:val="18"/>
        </w:rPr>
        <w:t>Canada – Aircraft</w:t>
      </w:r>
      <w:r>
        <w:rPr>
          <w:sz w:val="18"/>
        </w:rPr>
        <w:t>, para. 187.</w:t>
      </w:r>
    </w:p>
    <w:p w14:paraId="5F6CC7CD" w14:textId="77777777" w:rsidR="00BD462C" w:rsidRDefault="00BD462C">
      <w:pPr>
        <w:rPr>
          <w:sz w:val="18"/>
        </w:rPr>
        <w:sectPr w:rsidR="00BD462C">
          <w:pgSz w:w="11910" w:h="16840"/>
          <w:pgMar w:top="860" w:right="500" w:bottom="780" w:left="1280" w:header="566" w:footer="590" w:gutter="0"/>
          <w:cols w:space="720"/>
        </w:sectPr>
      </w:pPr>
    </w:p>
    <w:p w14:paraId="6B39FA4E"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2A4485B0"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21C97473"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48852C81" w14:textId="77777777" w:rsidR="00BD462C" w:rsidRDefault="00033D0F">
      <w:pPr>
        <w:pStyle w:val="ListParagraph"/>
        <w:numPr>
          <w:ilvl w:val="0"/>
          <w:numId w:val="23"/>
        </w:numPr>
        <w:tabs>
          <w:tab w:val="left" w:pos="1835"/>
          <w:tab w:val="left" w:pos="1836"/>
        </w:tabs>
        <w:spacing w:before="99" w:line="357" w:lineRule="auto"/>
        <w:ind w:right="913" w:hanging="855"/>
        <w:jc w:val="both"/>
        <w:rPr>
          <w:sz w:val="24"/>
        </w:rPr>
      </w:pPr>
      <w:r>
        <w:rPr>
          <w:sz w:val="24"/>
        </w:rPr>
        <w:t xml:space="preserve">in </w:t>
      </w:r>
      <w:r>
        <w:rPr>
          <w:i/>
          <w:sz w:val="24"/>
        </w:rPr>
        <w:t>India — Patents (EC)</w:t>
      </w:r>
      <w:r>
        <w:rPr>
          <w:sz w:val="24"/>
        </w:rPr>
        <w:t>, the panel's finding that Article 9.1 of the DSU was directory or recommendatory, rather than mandatory, was based on the terms</w:t>
      </w:r>
      <w:r>
        <w:rPr>
          <w:spacing w:val="-1"/>
          <w:sz w:val="24"/>
        </w:rPr>
        <w:t xml:space="preserve"> </w:t>
      </w:r>
      <w:r>
        <w:rPr>
          <w:sz w:val="24"/>
        </w:rPr>
        <w:t>of</w:t>
      </w:r>
      <w:r>
        <w:rPr>
          <w:spacing w:val="-4"/>
          <w:sz w:val="24"/>
        </w:rPr>
        <w:t xml:space="preserve"> </w:t>
      </w:r>
      <w:r>
        <w:rPr>
          <w:sz w:val="24"/>
        </w:rPr>
        <w:t>Article</w:t>
      </w:r>
      <w:r>
        <w:rPr>
          <w:spacing w:val="-2"/>
          <w:sz w:val="24"/>
        </w:rPr>
        <w:t xml:space="preserve"> </w:t>
      </w:r>
      <w:r>
        <w:rPr>
          <w:sz w:val="24"/>
        </w:rPr>
        <w:t>9.1</w:t>
      </w:r>
      <w:r>
        <w:rPr>
          <w:spacing w:val="-5"/>
          <w:sz w:val="24"/>
        </w:rPr>
        <w:t xml:space="preserve"> </w:t>
      </w:r>
      <w:r>
        <w:rPr>
          <w:sz w:val="24"/>
        </w:rPr>
        <w:t>as</w:t>
      </w:r>
      <w:r>
        <w:rPr>
          <w:spacing w:val="-1"/>
          <w:sz w:val="24"/>
        </w:rPr>
        <w:t xml:space="preserve"> </w:t>
      </w:r>
      <w:r>
        <w:rPr>
          <w:sz w:val="24"/>
        </w:rPr>
        <w:t>a</w:t>
      </w:r>
      <w:r>
        <w:rPr>
          <w:spacing w:val="-3"/>
          <w:sz w:val="24"/>
        </w:rPr>
        <w:t xml:space="preserve"> </w:t>
      </w:r>
      <w:r>
        <w:rPr>
          <w:sz w:val="24"/>
        </w:rPr>
        <w:t>whole, including</w:t>
      </w:r>
      <w:r>
        <w:rPr>
          <w:spacing w:val="-1"/>
          <w:sz w:val="24"/>
        </w:rPr>
        <w:t xml:space="preserve"> </w:t>
      </w:r>
      <w:r>
        <w:rPr>
          <w:sz w:val="24"/>
        </w:rPr>
        <w:t>the</w:t>
      </w:r>
      <w:r>
        <w:rPr>
          <w:spacing w:val="-3"/>
          <w:sz w:val="24"/>
        </w:rPr>
        <w:t xml:space="preserve"> </w:t>
      </w:r>
      <w:r>
        <w:rPr>
          <w:sz w:val="24"/>
        </w:rPr>
        <w:t>reference</w:t>
      </w:r>
      <w:r>
        <w:rPr>
          <w:spacing w:val="-2"/>
          <w:sz w:val="24"/>
        </w:rPr>
        <w:t xml:space="preserve"> </w:t>
      </w:r>
      <w:r>
        <w:rPr>
          <w:sz w:val="24"/>
        </w:rPr>
        <w:t>to</w:t>
      </w:r>
      <w:r>
        <w:rPr>
          <w:spacing w:val="-5"/>
          <w:sz w:val="24"/>
        </w:rPr>
        <w:t xml:space="preserve"> </w:t>
      </w:r>
      <w:r>
        <w:rPr>
          <w:sz w:val="24"/>
        </w:rPr>
        <w:t>steps</w:t>
      </w:r>
      <w:r>
        <w:rPr>
          <w:spacing w:val="-1"/>
          <w:sz w:val="24"/>
        </w:rPr>
        <w:t xml:space="preserve"> </w:t>
      </w:r>
      <w:r>
        <w:rPr>
          <w:sz w:val="24"/>
        </w:rPr>
        <w:t>being</w:t>
      </w:r>
      <w:r>
        <w:rPr>
          <w:spacing w:val="-1"/>
          <w:sz w:val="24"/>
        </w:rPr>
        <w:t xml:space="preserve"> </w:t>
      </w:r>
      <w:r>
        <w:rPr>
          <w:sz w:val="24"/>
        </w:rPr>
        <w:t xml:space="preserve">taken "whenever feasible" and not simply on the presence of the word </w:t>
      </w:r>
      <w:r>
        <w:rPr>
          <w:spacing w:val="-2"/>
          <w:sz w:val="24"/>
        </w:rPr>
        <w:t>"should";</w:t>
      </w:r>
      <w:hyperlink w:anchor="_bookmark1348" w:history="1">
        <w:r>
          <w:rPr>
            <w:spacing w:val="-2"/>
            <w:sz w:val="24"/>
            <w:vertAlign w:val="superscript"/>
          </w:rPr>
          <w:t>1161</w:t>
        </w:r>
      </w:hyperlink>
    </w:p>
    <w:p w14:paraId="38092AB4" w14:textId="77777777" w:rsidR="00BD462C" w:rsidRDefault="00033D0F">
      <w:pPr>
        <w:pStyle w:val="ListParagraph"/>
        <w:numPr>
          <w:ilvl w:val="0"/>
          <w:numId w:val="23"/>
        </w:numPr>
        <w:tabs>
          <w:tab w:val="left" w:pos="1835"/>
          <w:tab w:val="left" w:pos="1836"/>
        </w:tabs>
        <w:spacing w:before="132" w:line="357" w:lineRule="auto"/>
        <w:ind w:right="911" w:hanging="855"/>
        <w:jc w:val="both"/>
        <w:rPr>
          <w:sz w:val="24"/>
        </w:rPr>
      </w:pPr>
      <w:r>
        <w:rPr>
          <w:sz w:val="24"/>
        </w:rPr>
        <w:t xml:space="preserve">in </w:t>
      </w:r>
      <w:r>
        <w:rPr>
          <w:i/>
          <w:sz w:val="24"/>
        </w:rPr>
        <w:t>Japan – Alcoholic Beverages II</w:t>
      </w:r>
      <w:r>
        <w:rPr>
          <w:sz w:val="24"/>
        </w:rPr>
        <w:t>, the panel's finding that Article III:1 of the GATT</w:t>
      </w:r>
      <w:r>
        <w:rPr>
          <w:spacing w:val="-10"/>
          <w:sz w:val="24"/>
        </w:rPr>
        <w:t xml:space="preserve"> </w:t>
      </w:r>
      <w:r>
        <w:rPr>
          <w:sz w:val="24"/>
        </w:rPr>
        <w:t>1994</w:t>
      </w:r>
      <w:r>
        <w:rPr>
          <w:spacing w:val="-9"/>
          <w:sz w:val="24"/>
        </w:rPr>
        <w:t xml:space="preserve"> </w:t>
      </w:r>
      <w:r>
        <w:rPr>
          <w:sz w:val="24"/>
        </w:rPr>
        <w:t>did</w:t>
      </w:r>
      <w:r>
        <w:rPr>
          <w:spacing w:val="-4"/>
          <w:sz w:val="24"/>
        </w:rPr>
        <w:t xml:space="preserve"> </w:t>
      </w:r>
      <w:r>
        <w:rPr>
          <w:sz w:val="24"/>
        </w:rPr>
        <w:t>not</w:t>
      </w:r>
      <w:r>
        <w:rPr>
          <w:spacing w:val="-7"/>
          <w:sz w:val="24"/>
        </w:rPr>
        <w:t xml:space="preserve"> </w:t>
      </w:r>
      <w:r>
        <w:rPr>
          <w:sz w:val="24"/>
        </w:rPr>
        <w:t>contain</w:t>
      </w:r>
      <w:r>
        <w:rPr>
          <w:spacing w:val="-9"/>
          <w:sz w:val="24"/>
        </w:rPr>
        <w:t xml:space="preserve"> </w:t>
      </w:r>
      <w:r>
        <w:rPr>
          <w:sz w:val="24"/>
        </w:rPr>
        <w:t>a</w:t>
      </w:r>
      <w:r>
        <w:rPr>
          <w:spacing w:val="-8"/>
          <w:sz w:val="24"/>
        </w:rPr>
        <w:t xml:space="preserve"> </w:t>
      </w:r>
      <w:r>
        <w:rPr>
          <w:sz w:val="24"/>
        </w:rPr>
        <w:t>legally</w:t>
      </w:r>
      <w:r>
        <w:rPr>
          <w:spacing w:val="-6"/>
          <w:sz w:val="24"/>
        </w:rPr>
        <w:t xml:space="preserve"> </w:t>
      </w:r>
      <w:r>
        <w:rPr>
          <w:sz w:val="24"/>
        </w:rPr>
        <w:t>binding</w:t>
      </w:r>
      <w:r>
        <w:rPr>
          <w:spacing w:val="-6"/>
          <w:sz w:val="24"/>
        </w:rPr>
        <w:t xml:space="preserve"> </w:t>
      </w:r>
      <w:r>
        <w:rPr>
          <w:sz w:val="24"/>
        </w:rPr>
        <w:t>obligation</w:t>
      </w:r>
      <w:r>
        <w:rPr>
          <w:spacing w:val="-9"/>
          <w:sz w:val="24"/>
        </w:rPr>
        <w:t xml:space="preserve"> </w:t>
      </w:r>
      <w:r>
        <w:rPr>
          <w:sz w:val="24"/>
        </w:rPr>
        <w:t>was</w:t>
      </w:r>
      <w:r>
        <w:rPr>
          <w:spacing w:val="-6"/>
          <w:sz w:val="24"/>
        </w:rPr>
        <w:t xml:space="preserve"> </w:t>
      </w:r>
      <w:r>
        <w:rPr>
          <w:sz w:val="24"/>
        </w:rPr>
        <w:t>based</w:t>
      </w:r>
      <w:r>
        <w:rPr>
          <w:spacing w:val="-9"/>
          <w:sz w:val="24"/>
        </w:rPr>
        <w:t xml:space="preserve"> </w:t>
      </w:r>
      <w:r>
        <w:rPr>
          <w:sz w:val="24"/>
        </w:rPr>
        <w:t>not</w:t>
      </w:r>
      <w:r>
        <w:rPr>
          <w:spacing w:val="-7"/>
          <w:sz w:val="24"/>
        </w:rPr>
        <w:t xml:space="preserve"> </w:t>
      </w:r>
      <w:r>
        <w:rPr>
          <w:sz w:val="24"/>
        </w:rPr>
        <w:t>just</w:t>
      </w:r>
      <w:r>
        <w:rPr>
          <w:spacing w:val="-7"/>
          <w:sz w:val="24"/>
        </w:rPr>
        <w:t xml:space="preserve"> </w:t>
      </w:r>
      <w:r>
        <w:rPr>
          <w:sz w:val="24"/>
        </w:rPr>
        <w:t>on the</w:t>
      </w:r>
      <w:r>
        <w:rPr>
          <w:spacing w:val="-5"/>
          <w:sz w:val="24"/>
        </w:rPr>
        <w:t xml:space="preserve"> </w:t>
      </w:r>
      <w:r>
        <w:rPr>
          <w:sz w:val="24"/>
        </w:rPr>
        <w:t>word</w:t>
      </w:r>
      <w:r>
        <w:rPr>
          <w:spacing w:val="-6"/>
          <w:sz w:val="24"/>
        </w:rPr>
        <w:t xml:space="preserve"> </w:t>
      </w:r>
      <w:r>
        <w:rPr>
          <w:sz w:val="24"/>
        </w:rPr>
        <w:t>"should",</w:t>
      </w:r>
      <w:r>
        <w:rPr>
          <w:spacing w:val="-2"/>
          <w:sz w:val="24"/>
        </w:rPr>
        <w:t xml:space="preserve"> </w:t>
      </w:r>
      <w:r>
        <w:rPr>
          <w:sz w:val="24"/>
        </w:rPr>
        <w:t>but</w:t>
      </w:r>
      <w:r>
        <w:rPr>
          <w:spacing w:val="-4"/>
          <w:sz w:val="24"/>
        </w:rPr>
        <w:t xml:space="preserve"> </w:t>
      </w:r>
      <w:r>
        <w:rPr>
          <w:sz w:val="24"/>
        </w:rPr>
        <w:t>also</w:t>
      </w:r>
      <w:r>
        <w:rPr>
          <w:spacing w:val="-7"/>
          <w:sz w:val="24"/>
        </w:rPr>
        <w:t xml:space="preserve"> </w:t>
      </w:r>
      <w:r>
        <w:rPr>
          <w:sz w:val="24"/>
        </w:rPr>
        <w:t>the</w:t>
      </w:r>
      <w:r>
        <w:rPr>
          <w:spacing w:val="-5"/>
          <w:sz w:val="24"/>
        </w:rPr>
        <w:t xml:space="preserve"> </w:t>
      </w:r>
      <w:r>
        <w:rPr>
          <w:sz w:val="24"/>
        </w:rPr>
        <w:t>word</w:t>
      </w:r>
      <w:r>
        <w:rPr>
          <w:spacing w:val="-6"/>
          <w:sz w:val="24"/>
        </w:rPr>
        <w:t xml:space="preserve"> </w:t>
      </w:r>
      <w:r>
        <w:rPr>
          <w:sz w:val="24"/>
        </w:rPr>
        <w:t>"recognize"</w:t>
      </w:r>
      <w:r>
        <w:rPr>
          <w:spacing w:val="-5"/>
          <w:sz w:val="24"/>
        </w:rPr>
        <w:t xml:space="preserve"> </w:t>
      </w:r>
      <w:r>
        <w:rPr>
          <w:sz w:val="24"/>
        </w:rPr>
        <w:t>and</w:t>
      </w:r>
      <w:r>
        <w:rPr>
          <w:spacing w:val="-6"/>
          <w:sz w:val="24"/>
        </w:rPr>
        <w:t xml:space="preserve"> </w:t>
      </w:r>
      <w:r>
        <w:rPr>
          <w:sz w:val="24"/>
        </w:rPr>
        <w:t>the</w:t>
      </w:r>
      <w:r>
        <w:rPr>
          <w:spacing w:val="-5"/>
          <w:sz w:val="24"/>
        </w:rPr>
        <w:t xml:space="preserve"> </w:t>
      </w:r>
      <w:r>
        <w:rPr>
          <w:sz w:val="24"/>
        </w:rPr>
        <w:t>wording</w:t>
      </w:r>
      <w:r>
        <w:rPr>
          <w:spacing w:val="-3"/>
          <w:sz w:val="24"/>
        </w:rPr>
        <w:t xml:space="preserve"> </w:t>
      </w:r>
      <w:r>
        <w:rPr>
          <w:sz w:val="24"/>
        </w:rPr>
        <w:t>in</w:t>
      </w:r>
      <w:r>
        <w:rPr>
          <w:spacing w:val="-6"/>
          <w:sz w:val="24"/>
        </w:rPr>
        <w:t xml:space="preserve"> </w:t>
      </w:r>
      <w:r>
        <w:rPr>
          <w:sz w:val="24"/>
        </w:rPr>
        <w:t>Article III:2 of "the principles";</w:t>
      </w:r>
      <w:hyperlink w:anchor="_bookmark1349" w:history="1">
        <w:r>
          <w:rPr>
            <w:sz w:val="24"/>
            <w:vertAlign w:val="superscript"/>
          </w:rPr>
          <w:t>1162</w:t>
        </w:r>
      </w:hyperlink>
      <w:r>
        <w:rPr>
          <w:sz w:val="24"/>
        </w:rPr>
        <w:t xml:space="preserve"> and</w:t>
      </w:r>
    </w:p>
    <w:p w14:paraId="52B80D10" w14:textId="77777777" w:rsidR="00BD462C" w:rsidRDefault="00033D0F">
      <w:pPr>
        <w:pStyle w:val="ListParagraph"/>
        <w:numPr>
          <w:ilvl w:val="0"/>
          <w:numId w:val="23"/>
        </w:numPr>
        <w:tabs>
          <w:tab w:val="left" w:pos="1835"/>
          <w:tab w:val="left" w:pos="1836"/>
        </w:tabs>
        <w:spacing w:before="132" w:line="357" w:lineRule="auto"/>
        <w:ind w:left="1839" w:right="918" w:hanging="855"/>
        <w:jc w:val="both"/>
        <w:rPr>
          <w:sz w:val="24"/>
        </w:rPr>
      </w:pPr>
      <w:r>
        <w:rPr>
          <w:sz w:val="24"/>
        </w:rPr>
        <w:t>in</w:t>
      </w:r>
      <w:r>
        <w:rPr>
          <w:spacing w:val="-10"/>
          <w:sz w:val="24"/>
        </w:rPr>
        <w:t xml:space="preserve"> </w:t>
      </w:r>
      <w:r>
        <w:rPr>
          <w:i/>
          <w:sz w:val="24"/>
        </w:rPr>
        <w:t>EC</w:t>
      </w:r>
      <w:r>
        <w:rPr>
          <w:i/>
          <w:spacing w:val="-9"/>
          <w:sz w:val="24"/>
        </w:rPr>
        <w:t xml:space="preserve"> </w:t>
      </w:r>
      <w:r>
        <w:rPr>
          <w:i/>
          <w:sz w:val="24"/>
        </w:rPr>
        <w:t>–</w:t>
      </w:r>
      <w:r>
        <w:rPr>
          <w:i/>
          <w:spacing w:val="-8"/>
          <w:sz w:val="24"/>
        </w:rPr>
        <w:t xml:space="preserve"> </w:t>
      </w:r>
      <w:r>
        <w:rPr>
          <w:i/>
          <w:sz w:val="24"/>
        </w:rPr>
        <w:t>Bed</w:t>
      </w:r>
      <w:r>
        <w:rPr>
          <w:i/>
          <w:spacing w:val="-7"/>
          <w:sz w:val="24"/>
        </w:rPr>
        <w:t xml:space="preserve"> </w:t>
      </w:r>
      <w:r>
        <w:rPr>
          <w:i/>
          <w:sz w:val="24"/>
        </w:rPr>
        <w:t>Linen</w:t>
      </w:r>
      <w:r>
        <w:rPr>
          <w:i/>
          <w:spacing w:val="-7"/>
          <w:sz w:val="24"/>
        </w:rPr>
        <w:t xml:space="preserve"> </w:t>
      </w:r>
      <w:r>
        <w:rPr>
          <w:i/>
          <w:sz w:val="24"/>
        </w:rPr>
        <w:t>(Article</w:t>
      </w:r>
      <w:r>
        <w:rPr>
          <w:i/>
          <w:spacing w:val="-8"/>
          <w:sz w:val="24"/>
        </w:rPr>
        <w:t xml:space="preserve"> </w:t>
      </w:r>
      <w:r>
        <w:rPr>
          <w:i/>
          <w:sz w:val="24"/>
        </w:rPr>
        <w:t>21.5</w:t>
      </w:r>
      <w:r>
        <w:rPr>
          <w:i/>
          <w:spacing w:val="-11"/>
          <w:sz w:val="24"/>
        </w:rPr>
        <w:t xml:space="preserve"> </w:t>
      </w:r>
      <w:r>
        <w:rPr>
          <w:i/>
          <w:sz w:val="24"/>
        </w:rPr>
        <w:t>–</w:t>
      </w:r>
      <w:r>
        <w:rPr>
          <w:i/>
          <w:spacing w:val="-8"/>
          <w:sz w:val="24"/>
        </w:rPr>
        <w:t xml:space="preserve"> </w:t>
      </w:r>
      <w:r>
        <w:rPr>
          <w:i/>
          <w:sz w:val="24"/>
        </w:rPr>
        <w:t>India)</w:t>
      </w:r>
      <w:r>
        <w:rPr>
          <w:sz w:val="24"/>
        </w:rPr>
        <w:t>,</w:t>
      </w:r>
      <w:r>
        <w:rPr>
          <w:spacing w:val="-6"/>
          <w:sz w:val="24"/>
        </w:rPr>
        <w:t xml:space="preserve"> </w:t>
      </w:r>
      <w:r>
        <w:rPr>
          <w:sz w:val="24"/>
        </w:rPr>
        <w:t>the</w:t>
      </w:r>
      <w:r>
        <w:rPr>
          <w:spacing w:val="-8"/>
          <w:sz w:val="24"/>
        </w:rPr>
        <w:t xml:space="preserve"> </w:t>
      </w:r>
      <w:r>
        <w:rPr>
          <w:sz w:val="24"/>
        </w:rPr>
        <w:t>panel's</w:t>
      </w:r>
      <w:r>
        <w:rPr>
          <w:spacing w:val="-7"/>
          <w:sz w:val="24"/>
        </w:rPr>
        <w:t xml:space="preserve"> </w:t>
      </w:r>
      <w:r>
        <w:rPr>
          <w:sz w:val="24"/>
        </w:rPr>
        <w:t>finding</w:t>
      </w:r>
      <w:r>
        <w:rPr>
          <w:spacing w:val="-7"/>
          <w:sz w:val="24"/>
        </w:rPr>
        <w:t xml:space="preserve"> </w:t>
      </w:r>
      <w:r>
        <w:rPr>
          <w:sz w:val="24"/>
        </w:rPr>
        <w:t>that</w:t>
      </w:r>
      <w:r>
        <w:rPr>
          <w:spacing w:val="-8"/>
          <w:sz w:val="24"/>
        </w:rPr>
        <w:t xml:space="preserve"> </w:t>
      </w:r>
      <w:r>
        <w:rPr>
          <w:sz w:val="24"/>
        </w:rPr>
        <w:t>Article</w:t>
      </w:r>
      <w:r>
        <w:rPr>
          <w:spacing w:val="-8"/>
          <w:sz w:val="24"/>
        </w:rPr>
        <w:t xml:space="preserve"> </w:t>
      </w:r>
      <w:r>
        <w:rPr>
          <w:sz w:val="24"/>
        </w:rPr>
        <w:t>21.2</w:t>
      </w:r>
      <w:r>
        <w:rPr>
          <w:spacing w:val="-10"/>
          <w:sz w:val="24"/>
        </w:rPr>
        <w:t xml:space="preserve"> </w:t>
      </w:r>
      <w:r>
        <w:rPr>
          <w:sz w:val="24"/>
        </w:rPr>
        <w:t>of the</w:t>
      </w:r>
      <w:r>
        <w:rPr>
          <w:spacing w:val="-8"/>
          <w:sz w:val="24"/>
        </w:rPr>
        <w:t xml:space="preserve"> </w:t>
      </w:r>
      <w:r>
        <w:rPr>
          <w:sz w:val="24"/>
        </w:rPr>
        <w:t>DSU</w:t>
      </w:r>
      <w:r>
        <w:rPr>
          <w:spacing w:val="-9"/>
          <w:sz w:val="24"/>
        </w:rPr>
        <w:t xml:space="preserve"> </w:t>
      </w:r>
      <w:r>
        <w:rPr>
          <w:sz w:val="24"/>
        </w:rPr>
        <w:t>was</w:t>
      </w:r>
      <w:r>
        <w:rPr>
          <w:spacing w:val="-7"/>
          <w:sz w:val="24"/>
        </w:rPr>
        <w:t xml:space="preserve"> </w:t>
      </w:r>
      <w:r>
        <w:rPr>
          <w:sz w:val="24"/>
        </w:rPr>
        <w:t>not</w:t>
      </w:r>
      <w:r>
        <w:rPr>
          <w:spacing w:val="-8"/>
          <w:sz w:val="24"/>
        </w:rPr>
        <w:t xml:space="preserve"> </w:t>
      </w:r>
      <w:r>
        <w:rPr>
          <w:sz w:val="24"/>
        </w:rPr>
        <w:t>mandatory</w:t>
      </w:r>
      <w:r>
        <w:rPr>
          <w:spacing w:val="-7"/>
          <w:sz w:val="24"/>
        </w:rPr>
        <w:t xml:space="preserve"> </w:t>
      </w:r>
      <w:r>
        <w:rPr>
          <w:sz w:val="24"/>
        </w:rPr>
        <w:t>was</w:t>
      </w:r>
      <w:r>
        <w:rPr>
          <w:spacing w:val="-7"/>
          <w:sz w:val="24"/>
        </w:rPr>
        <w:t xml:space="preserve"> </w:t>
      </w:r>
      <w:r>
        <w:rPr>
          <w:sz w:val="24"/>
        </w:rPr>
        <w:t>based</w:t>
      </w:r>
      <w:r>
        <w:rPr>
          <w:spacing w:val="-10"/>
          <w:sz w:val="24"/>
        </w:rPr>
        <w:t xml:space="preserve"> </w:t>
      </w:r>
      <w:r>
        <w:rPr>
          <w:sz w:val="24"/>
        </w:rPr>
        <w:t>not</w:t>
      </w:r>
      <w:r>
        <w:rPr>
          <w:spacing w:val="-4"/>
          <w:sz w:val="24"/>
        </w:rPr>
        <w:t xml:space="preserve"> </w:t>
      </w:r>
      <w:r>
        <w:rPr>
          <w:sz w:val="24"/>
        </w:rPr>
        <w:t>just</w:t>
      </w:r>
      <w:r>
        <w:rPr>
          <w:spacing w:val="-8"/>
          <w:sz w:val="24"/>
        </w:rPr>
        <w:t xml:space="preserve"> </w:t>
      </w:r>
      <w:r>
        <w:rPr>
          <w:sz w:val="24"/>
        </w:rPr>
        <w:t>on</w:t>
      </w:r>
      <w:r>
        <w:rPr>
          <w:spacing w:val="-5"/>
          <w:sz w:val="24"/>
        </w:rPr>
        <w:t xml:space="preserve"> </w:t>
      </w:r>
      <w:r>
        <w:rPr>
          <w:sz w:val="24"/>
        </w:rPr>
        <w:t>the</w:t>
      </w:r>
      <w:r>
        <w:rPr>
          <w:spacing w:val="-8"/>
          <w:sz w:val="24"/>
        </w:rPr>
        <w:t xml:space="preserve"> </w:t>
      </w:r>
      <w:r>
        <w:rPr>
          <w:sz w:val="24"/>
        </w:rPr>
        <w:t>presence</w:t>
      </w:r>
      <w:r>
        <w:rPr>
          <w:spacing w:val="-8"/>
          <w:sz w:val="24"/>
        </w:rPr>
        <w:t xml:space="preserve"> </w:t>
      </w:r>
      <w:r>
        <w:rPr>
          <w:sz w:val="24"/>
        </w:rPr>
        <w:t>of</w:t>
      </w:r>
      <w:r>
        <w:rPr>
          <w:spacing w:val="-10"/>
          <w:sz w:val="24"/>
        </w:rPr>
        <w:t xml:space="preserve"> </w:t>
      </w:r>
      <w:r>
        <w:rPr>
          <w:sz w:val="24"/>
        </w:rPr>
        <w:t>the</w:t>
      </w:r>
      <w:r>
        <w:rPr>
          <w:spacing w:val="-8"/>
          <w:sz w:val="24"/>
        </w:rPr>
        <w:t xml:space="preserve"> </w:t>
      </w:r>
      <w:r>
        <w:rPr>
          <w:sz w:val="24"/>
        </w:rPr>
        <w:t>word "should",</w:t>
      </w:r>
      <w:r>
        <w:rPr>
          <w:spacing w:val="-5"/>
          <w:sz w:val="24"/>
        </w:rPr>
        <w:t xml:space="preserve"> </w:t>
      </w:r>
      <w:r>
        <w:rPr>
          <w:sz w:val="24"/>
        </w:rPr>
        <w:t>but</w:t>
      </w:r>
      <w:r>
        <w:rPr>
          <w:spacing w:val="-2"/>
          <w:sz w:val="24"/>
        </w:rPr>
        <w:t xml:space="preserve"> </w:t>
      </w:r>
      <w:r>
        <w:rPr>
          <w:sz w:val="24"/>
        </w:rPr>
        <w:t>also</w:t>
      </w:r>
      <w:r>
        <w:rPr>
          <w:spacing w:val="-10"/>
          <w:sz w:val="24"/>
        </w:rPr>
        <w:t xml:space="preserve"> </w:t>
      </w:r>
      <w:r>
        <w:rPr>
          <w:sz w:val="24"/>
        </w:rPr>
        <w:t>"the</w:t>
      </w:r>
      <w:r>
        <w:rPr>
          <w:spacing w:val="-3"/>
          <w:sz w:val="24"/>
        </w:rPr>
        <w:t xml:space="preserve"> </w:t>
      </w:r>
      <w:r>
        <w:rPr>
          <w:sz w:val="24"/>
        </w:rPr>
        <w:t>fact</w:t>
      </w:r>
      <w:r>
        <w:rPr>
          <w:spacing w:val="-7"/>
          <w:sz w:val="24"/>
        </w:rPr>
        <w:t xml:space="preserve"> </w:t>
      </w:r>
      <w:r>
        <w:rPr>
          <w:sz w:val="24"/>
        </w:rPr>
        <w:t>there</w:t>
      </w:r>
      <w:r>
        <w:rPr>
          <w:spacing w:val="-2"/>
          <w:sz w:val="24"/>
        </w:rPr>
        <w:t xml:space="preserve"> </w:t>
      </w:r>
      <w:r>
        <w:rPr>
          <w:sz w:val="24"/>
        </w:rPr>
        <w:t>is</w:t>
      </w:r>
      <w:r>
        <w:rPr>
          <w:spacing w:val="-6"/>
          <w:sz w:val="24"/>
        </w:rPr>
        <w:t xml:space="preserve"> </w:t>
      </w:r>
      <w:r>
        <w:rPr>
          <w:sz w:val="24"/>
        </w:rPr>
        <w:t>no</w:t>
      </w:r>
      <w:r>
        <w:rPr>
          <w:spacing w:val="-5"/>
          <w:sz w:val="24"/>
        </w:rPr>
        <w:t xml:space="preserve"> </w:t>
      </w:r>
      <w:r>
        <w:rPr>
          <w:sz w:val="24"/>
        </w:rPr>
        <w:t>specific</w:t>
      </w:r>
      <w:r>
        <w:rPr>
          <w:spacing w:val="-8"/>
          <w:sz w:val="24"/>
        </w:rPr>
        <w:t xml:space="preserve"> </w:t>
      </w:r>
      <w:r>
        <w:rPr>
          <w:sz w:val="24"/>
        </w:rPr>
        <w:t>action</w:t>
      </w:r>
      <w:r>
        <w:rPr>
          <w:spacing w:val="-9"/>
          <w:sz w:val="24"/>
        </w:rPr>
        <w:t xml:space="preserve"> </w:t>
      </w:r>
      <w:r>
        <w:rPr>
          <w:sz w:val="24"/>
        </w:rPr>
        <w:t>set</w:t>
      </w:r>
      <w:r>
        <w:rPr>
          <w:spacing w:val="-2"/>
          <w:sz w:val="24"/>
        </w:rPr>
        <w:t xml:space="preserve"> </w:t>
      </w:r>
      <w:r>
        <w:rPr>
          <w:sz w:val="24"/>
        </w:rPr>
        <w:t>out"</w:t>
      </w:r>
      <w:r>
        <w:rPr>
          <w:spacing w:val="-8"/>
          <w:sz w:val="24"/>
        </w:rPr>
        <w:t xml:space="preserve"> </w:t>
      </w:r>
      <w:r>
        <w:rPr>
          <w:sz w:val="24"/>
        </w:rPr>
        <w:t>in</w:t>
      </w:r>
      <w:r>
        <w:rPr>
          <w:spacing w:val="-4"/>
          <w:sz w:val="24"/>
        </w:rPr>
        <w:t xml:space="preserve"> </w:t>
      </w:r>
      <w:r>
        <w:rPr>
          <w:sz w:val="24"/>
        </w:rPr>
        <w:t>Article</w:t>
      </w:r>
      <w:r>
        <w:rPr>
          <w:spacing w:val="-6"/>
          <w:sz w:val="24"/>
        </w:rPr>
        <w:t xml:space="preserve"> </w:t>
      </w:r>
      <w:r>
        <w:rPr>
          <w:sz w:val="24"/>
        </w:rPr>
        <w:t>21.2 of the DSU.</w:t>
      </w:r>
      <w:hyperlink w:anchor="_bookmark1350" w:history="1">
        <w:r>
          <w:rPr>
            <w:sz w:val="24"/>
            <w:vertAlign w:val="superscript"/>
          </w:rPr>
          <w:t>1163</w:t>
        </w:r>
      </w:hyperlink>
    </w:p>
    <w:p w14:paraId="79D9F833" w14:textId="34A69421" w:rsidR="00BD462C" w:rsidRDefault="00F439BE">
      <w:pPr>
        <w:pStyle w:val="BodyText"/>
        <w:spacing w:before="139" w:line="360" w:lineRule="auto"/>
        <w:ind w:left="135" w:right="913"/>
        <w:jc w:val="both"/>
      </w:pPr>
      <w:r>
        <w:rPr>
          <w:noProof/>
        </w:rPr>
        <w:t>773.</w:t>
      </w:r>
      <w:r w:rsidR="00033D0F">
        <w:rPr>
          <w:rFonts w:ascii="Times New Roman" w:hAnsi="Times New Roman"/>
          <w:spacing w:val="40"/>
          <w:position w:val="1"/>
          <w:sz w:val="20"/>
        </w:rPr>
        <w:t xml:space="preserve">  </w:t>
      </w:r>
      <w:r w:rsidR="00033D0F">
        <w:rPr>
          <w:position w:val="1"/>
        </w:rPr>
        <w:t xml:space="preserve">Unlike China's selective and irrelevant citations of prior panel and Appellate Body </w:t>
      </w:r>
      <w:r w:rsidR="00033D0F">
        <w:t>reports,</w:t>
      </w:r>
      <w:r w:rsidR="00033D0F">
        <w:rPr>
          <w:spacing w:val="-1"/>
        </w:rPr>
        <w:t xml:space="preserve"> </w:t>
      </w:r>
      <w:r w:rsidR="00033D0F">
        <w:t>Australia's</w:t>
      </w:r>
      <w:r w:rsidR="00033D0F">
        <w:rPr>
          <w:spacing w:val="-7"/>
        </w:rPr>
        <w:t xml:space="preserve"> </w:t>
      </w:r>
      <w:r w:rsidR="00033D0F">
        <w:t>interpretation</w:t>
      </w:r>
      <w:r w:rsidR="00033D0F">
        <w:rPr>
          <w:spacing w:val="-5"/>
        </w:rPr>
        <w:t xml:space="preserve"> </w:t>
      </w:r>
      <w:r w:rsidR="00033D0F">
        <w:t>of</w:t>
      </w:r>
      <w:r w:rsidR="00033D0F">
        <w:rPr>
          <w:spacing w:val="-5"/>
        </w:rPr>
        <w:t xml:space="preserve"> </w:t>
      </w:r>
      <w:r w:rsidR="00033D0F">
        <w:t>the</w:t>
      </w:r>
      <w:r w:rsidR="00033D0F">
        <w:rPr>
          <w:spacing w:val="-4"/>
        </w:rPr>
        <w:t xml:space="preserve"> </w:t>
      </w:r>
      <w:r w:rsidR="00033D0F">
        <w:t>term</w:t>
      </w:r>
      <w:r w:rsidR="00033D0F">
        <w:rPr>
          <w:spacing w:val="-4"/>
        </w:rPr>
        <w:t xml:space="preserve"> </w:t>
      </w:r>
      <w:r w:rsidR="00033D0F">
        <w:t>"should"</w:t>
      </w:r>
      <w:r w:rsidR="00033D0F">
        <w:rPr>
          <w:spacing w:val="-4"/>
        </w:rPr>
        <w:t xml:space="preserve"> </w:t>
      </w:r>
      <w:proofErr w:type="gramStart"/>
      <w:r w:rsidR="00033D0F">
        <w:t>is</w:t>
      </w:r>
      <w:proofErr w:type="gramEnd"/>
      <w:r w:rsidR="00033D0F">
        <w:rPr>
          <w:spacing w:val="-2"/>
        </w:rPr>
        <w:t xml:space="preserve"> </w:t>
      </w:r>
      <w:r w:rsidR="00033D0F">
        <w:t>founded</w:t>
      </w:r>
      <w:r w:rsidR="00033D0F">
        <w:rPr>
          <w:spacing w:val="-1"/>
        </w:rPr>
        <w:t xml:space="preserve"> </w:t>
      </w:r>
      <w:r w:rsidR="00033D0F">
        <w:t>on</w:t>
      </w:r>
      <w:r w:rsidR="00033D0F">
        <w:rPr>
          <w:spacing w:val="-5"/>
        </w:rPr>
        <w:t xml:space="preserve"> </w:t>
      </w:r>
      <w:r w:rsidR="00033D0F">
        <w:t>its</w:t>
      </w:r>
      <w:r w:rsidR="00033D0F">
        <w:rPr>
          <w:spacing w:val="-2"/>
        </w:rPr>
        <w:t xml:space="preserve"> </w:t>
      </w:r>
      <w:r w:rsidR="00033D0F">
        <w:t>ordinary</w:t>
      </w:r>
      <w:r w:rsidR="00033D0F">
        <w:rPr>
          <w:spacing w:val="-2"/>
        </w:rPr>
        <w:t xml:space="preserve"> </w:t>
      </w:r>
      <w:r w:rsidR="00033D0F">
        <w:t>meaning,</w:t>
      </w:r>
      <w:r w:rsidR="00033D0F">
        <w:rPr>
          <w:spacing w:val="-1"/>
        </w:rPr>
        <w:t xml:space="preserve"> </w:t>
      </w:r>
      <w:r w:rsidR="00033D0F">
        <w:t>in its context and in light of the object and purpose of the Agreement. In Article 6.1.1, the two uses of</w:t>
      </w:r>
      <w:r w:rsidR="00033D0F">
        <w:rPr>
          <w:spacing w:val="-1"/>
        </w:rPr>
        <w:t xml:space="preserve"> </w:t>
      </w:r>
      <w:r w:rsidR="00033D0F">
        <w:t>"should" clearly carry a mandatory character. Article 6.1.1</w:t>
      </w:r>
      <w:r w:rsidR="00033D0F">
        <w:rPr>
          <w:spacing w:val="-1"/>
        </w:rPr>
        <w:t xml:space="preserve"> </w:t>
      </w:r>
      <w:r w:rsidR="00033D0F">
        <w:t>is, by</w:t>
      </w:r>
      <w:r w:rsidR="00033D0F">
        <w:rPr>
          <w:spacing w:val="-2"/>
        </w:rPr>
        <w:t xml:space="preserve"> </w:t>
      </w:r>
      <w:r w:rsidR="00033D0F">
        <w:t>its numbering within the</w:t>
      </w:r>
      <w:r w:rsidR="00033D0F">
        <w:rPr>
          <w:spacing w:val="-6"/>
        </w:rPr>
        <w:t xml:space="preserve"> </w:t>
      </w:r>
      <w:r w:rsidR="00033D0F">
        <w:t>Anti-Dumping</w:t>
      </w:r>
      <w:r w:rsidR="00033D0F">
        <w:rPr>
          <w:spacing w:val="-5"/>
        </w:rPr>
        <w:t xml:space="preserve"> </w:t>
      </w:r>
      <w:r w:rsidR="00033D0F">
        <w:t>Agreement,</w:t>
      </w:r>
      <w:r w:rsidR="00033D0F">
        <w:rPr>
          <w:spacing w:val="-4"/>
        </w:rPr>
        <w:t xml:space="preserve"> </w:t>
      </w:r>
      <w:r w:rsidR="00033D0F">
        <w:t>identified</w:t>
      </w:r>
      <w:r w:rsidR="00033D0F">
        <w:rPr>
          <w:spacing w:val="-8"/>
        </w:rPr>
        <w:t xml:space="preserve"> </w:t>
      </w:r>
      <w:r w:rsidR="00033D0F">
        <w:t>as</w:t>
      </w:r>
      <w:r w:rsidR="00033D0F">
        <w:rPr>
          <w:spacing w:val="-5"/>
        </w:rPr>
        <w:t xml:space="preserve"> </w:t>
      </w:r>
      <w:r w:rsidR="00033D0F">
        <w:t>a</w:t>
      </w:r>
      <w:r w:rsidR="00033D0F">
        <w:rPr>
          <w:spacing w:val="-6"/>
        </w:rPr>
        <w:t xml:space="preserve"> </w:t>
      </w:r>
      <w:r w:rsidR="00033D0F">
        <w:t>specific</w:t>
      </w:r>
      <w:r w:rsidR="00033D0F">
        <w:rPr>
          <w:spacing w:val="-7"/>
        </w:rPr>
        <w:t xml:space="preserve"> </w:t>
      </w:r>
      <w:r w:rsidR="00033D0F">
        <w:t>aspect</w:t>
      </w:r>
      <w:r w:rsidR="00033D0F">
        <w:rPr>
          <w:spacing w:val="-6"/>
        </w:rPr>
        <w:t xml:space="preserve"> </w:t>
      </w:r>
      <w:r w:rsidR="00033D0F">
        <w:t>of</w:t>
      </w:r>
      <w:r w:rsidR="00033D0F">
        <w:rPr>
          <w:spacing w:val="-8"/>
        </w:rPr>
        <w:t xml:space="preserve"> </w:t>
      </w:r>
      <w:r w:rsidR="00033D0F">
        <w:t>the</w:t>
      </w:r>
      <w:r w:rsidR="00033D0F">
        <w:rPr>
          <w:spacing w:val="-2"/>
        </w:rPr>
        <w:t xml:space="preserve"> </w:t>
      </w:r>
      <w:r w:rsidR="00033D0F">
        <w:t>more</w:t>
      </w:r>
      <w:r w:rsidR="00033D0F">
        <w:rPr>
          <w:spacing w:val="-6"/>
        </w:rPr>
        <w:t xml:space="preserve"> </w:t>
      </w:r>
      <w:r w:rsidR="00033D0F">
        <w:t>general obligation</w:t>
      </w:r>
      <w:r w:rsidR="00033D0F">
        <w:rPr>
          <w:spacing w:val="-8"/>
        </w:rPr>
        <w:t xml:space="preserve"> </w:t>
      </w:r>
      <w:r w:rsidR="00033D0F">
        <w:t>in Article 6.1, in particular the requirement that all interested parties "</w:t>
      </w:r>
      <w:r w:rsidR="00033D0F">
        <w:rPr>
          <w:i/>
        </w:rPr>
        <w:t xml:space="preserve">shall </w:t>
      </w:r>
      <w:r w:rsidR="00033D0F">
        <w:t>be given […] ample opportunity to present in writing all evidence which they consider relevant".</w:t>
      </w:r>
      <w:hyperlink w:anchor="_bookmark1351" w:history="1">
        <w:r w:rsidR="00033D0F">
          <w:rPr>
            <w:vertAlign w:val="superscript"/>
          </w:rPr>
          <w:t>1164</w:t>
        </w:r>
      </w:hyperlink>
      <w:r w:rsidR="00033D0F">
        <w:t xml:space="preserve"> As noted above,</w:t>
      </w:r>
      <w:r w:rsidR="00033D0F">
        <w:rPr>
          <w:spacing w:val="-6"/>
        </w:rPr>
        <w:t xml:space="preserve"> </w:t>
      </w:r>
      <w:r w:rsidR="00033D0F">
        <w:t>given</w:t>
      </w:r>
      <w:r w:rsidR="00033D0F">
        <w:rPr>
          <w:spacing w:val="-10"/>
        </w:rPr>
        <w:t xml:space="preserve"> </w:t>
      </w:r>
      <w:r w:rsidR="00033D0F">
        <w:t>the</w:t>
      </w:r>
      <w:r w:rsidR="00033D0F">
        <w:rPr>
          <w:spacing w:val="-8"/>
        </w:rPr>
        <w:t xml:space="preserve"> </w:t>
      </w:r>
      <w:r w:rsidR="00033D0F">
        <w:t>obligation</w:t>
      </w:r>
      <w:r w:rsidR="00033D0F">
        <w:rPr>
          <w:spacing w:val="-10"/>
        </w:rPr>
        <w:t xml:space="preserve"> </w:t>
      </w:r>
      <w:r w:rsidR="00033D0F">
        <w:t>in</w:t>
      </w:r>
      <w:r w:rsidR="00033D0F">
        <w:rPr>
          <w:spacing w:val="-10"/>
        </w:rPr>
        <w:t xml:space="preserve"> </w:t>
      </w:r>
      <w:r w:rsidR="00033D0F">
        <w:t>Article</w:t>
      </w:r>
      <w:r w:rsidR="00033D0F">
        <w:rPr>
          <w:spacing w:val="-8"/>
        </w:rPr>
        <w:t xml:space="preserve"> </w:t>
      </w:r>
      <w:r w:rsidR="00033D0F">
        <w:t>6.1.1</w:t>
      </w:r>
      <w:r w:rsidR="00033D0F">
        <w:rPr>
          <w:spacing w:val="-10"/>
        </w:rPr>
        <w:t xml:space="preserve"> </w:t>
      </w:r>
      <w:r w:rsidR="00033D0F">
        <w:t>is</w:t>
      </w:r>
      <w:r w:rsidR="00033D0F">
        <w:rPr>
          <w:spacing w:val="-7"/>
        </w:rPr>
        <w:t xml:space="preserve"> </w:t>
      </w:r>
      <w:r w:rsidR="00033D0F">
        <w:t>a</w:t>
      </w:r>
      <w:r w:rsidR="00033D0F">
        <w:rPr>
          <w:spacing w:val="-9"/>
        </w:rPr>
        <w:t xml:space="preserve"> </w:t>
      </w:r>
      <w:r w:rsidR="00033D0F">
        <w:t>specific</w:t>
      </w:r>
      <w:r w:rsidR="00033D0F">
        <w:rPr>
          <w:spacing w:val="-9"/>
        </w:rPr>
        <w:t xml:space="preserve"> </w:t>
      </w:r>
      <w:r w:rsidR="00033D0F">
        <w:t>aspect</w:t>
      </w:r>
      <w:r w:rsidR="00033D0F">
        <w:rPr>
          <w:spacing w:val="-8"/>
        </w:rPr>
        <w:t xml:space="preserve"> </w:t>
      </w:r>
      <w:r w:rsidR="00033D0F">
        <w:t>of</w:t>
      </w:r>
      <w:r w:rsidR="00033D0F">
        <w:rPr>
          <w:spacing w:val="-10"/>
        </w:rPr>
        <w:t xml:space="preserve"> </w:t>
      </w:r>
      <w:r w:rsidR="00033D0F">
        <w:t>what</w:t>
      </w:r>
      <w:r w:rsidR="00033D0F">
        <w:rPr>
          <w:spacing w:val="-8"/>
        </w:rPr>
        <w:t xml:space="preserve"> </w:t>
      </w:r>
      <w:r w:rsidR="00033D0F">
        <w:t>is</w:t>
      </w:r>
      <w:r w:rsidR="00033D0F">
        <w:rPr>
          <w:spacing w:val="-7"/>
        </w:rPr>
        <w:t xml:space="preserve"> </w:t>
      </w:r>
      <w:r w:rsidR="00033D0F">
        <w:t>textually</w:t>
      </w:r>
      <w:r w:rsidR="00033D0F">
        <w:rPr>
          <w:spacing w:val="-7"/>
        </w:rPr>
        <w:t xml:space="preserve"> </w:t>
      </w:r>
      <w:r w:rsidR="00033D0F">
        <w:t>undoubtedly a mandatory obligation in Article 6.1, it would be nonsensical to construe Article 6.1.1 as merely</w:t>
      </w:r>
      <w:r w:rsidR="00033D0F">
        <w:rPr>
          <w:spacing w:val="-1"/>
        </w:rPr>
        <w:t xml:space="preserve"> </w:t>
      </w:r>
      <w:r w:rsidR="00033D0F">
        <w:t>recommendatory.</w:t>
      </w:r>
      <w:r w:rsidR="00033D0F">
        <w:rPr>
          <w:spacing w:val="-1"/>
        </w:rPr>
        <w:t xml:space="preserve"> </w:t>
      </w:r>
      <w:r w:rsidR="00033D0F">
        <w:t>Read</w:t>
      </w:r>
      <w:r w:rsidR="00033D0F">
        <w:rPr>
          <w:spacing w:val="-4"/>
        </w:rPr>
        <w:t xml:space="preserve"> </w:t>
      </w:r>
      <w:r w:rsidR="00033D0F">
        <w:t>in</w:t>
      </w:r>
      <w:r w:rsidR="00033D0F">
        <w:rPr>
          <w:spacing w:val="-4"/>
        </w:rPr>
        <w:t xml:space="preserve"> </w:t>
      </w:r>
      <w:r w:rsidR="00033D0F">
        <w:t>its</w:t>
      </w:r>
      <w:r w:rsidR="00033D0F">
        <w:rPr>
          <w:spacing w:val="-1"/>
        </w:rPr>
        <w:t xml:space="preserve"> </w:t>
      </w:r>
      <w:r w:rsidR="00033D0F">
        <w:t>context, each</w:t>
      </w:r>
      <w:r w:rsidR="00033D0F">
        <w:rPr>
          <w:spacing w:val="-4"/>
        </w:rPr>
        <w:t xml:space="preserve"> </w:t>
      </w:r>
      <w:r w:rsidR="00033D0F">
        <w:t>use</w:t>
      </w:r>
      <w:r w:rsidR="00033D0F">
        <w:rPr>
          <w:spacing w:val="-2"/>
        </w:rPr>
        <w:t xml:space="preserve"> </w:t>
      </w:r>
      <w:r w:rsidR="00033D0F">
        <w:t>of</w:t>
      </w:r>
      <w:r w:rsidR="00033D0F">
        <w:rPr>
          <w:spacing w:val="-4"/>
        </w:rPr>
        <w:t xml:space="preserve"> </w:t>
      </w:r>
      <w:r w:rsidR="00033D0F">
        <w:t>the</w:t>
      </w:r>
      <w:r w:rsidR="00033D0F">
        <w:rPr>
          <w:spacing w:val="-3"/>
        </w:rPr>
        <w:t xml:space="preserve"> </w:t>
      </w:r>
      <w:r w:rsidR="00033D0F">
        <w:t>word</w:t>
      </w:r>
      <w:r w:rsidR="00033D0F">
        <w:rPr>
          <w:spacing w:val="-4"/>
        </w:rPr>
        <w:t xml:space="preserve"> </w:t>
      </w:r>
      <w:r w:rsidR="00033D0F">
        <w:t>"should"</w:t>
      </w:r>
      <w:r w:rsidR="00033D0F">
        <w:rPr>
          <w:spacing w:val="-3"/>
        </w:rPr>
        <w:t xml:space="preserve"> </w:t>
      </w:r>
      <w:r w:rsidR="00033D0F">
        <w:t>in</w:t>
      </w:r>
      <w:r w:rsidR="00033D0F">
        <w:rPr>
          <w:spacing w:val="-4"/>
        </w:rPr>
        <w:t xml:space="preserve"> </w:t>
      </w:r>
      <w:r w:rsidR="00033D0F">
        <w:t>Article</w:t>
      </w:r>
      <w:r w:rsidR="00033D0F">
        <w:rPr>
          <w:spacing w:val="-3"/>
        </w:rPr>
        <w:t xml:space="preserve"> </w:t>
      </w:r>
      <w:r w:rsidR="00033D0F">
        <w:t>6.1.1</w:t>
      </w:r>
      <w:r w:rsidR="00033D0F">
        <w:rPr>
          <w:spacing w:val="-5"/>
        </w:rPr>
        <w:t xml:space="preserve"> </w:t>
      </w:r>
      <w:r w:rsidR="00033D0F">
        <w:t>is clearly intended to express a duty or obligation that is mandatory in character.</w:t>
      </w:r>
    </w:p>
    <w:p w14:paraId="3A13B11E" w14:textId="77777777" w:rsidR="00BD462C" w:rsidRDefault="00BD462C">
      <w:pPr>
        <w:pStyle w:val="BodyText"/>
        <w:spacing w:before="5"/>
        <w:rPr>
          <w:sz w:val="8"/>
        </w:rPr>
      </w:pPr>
    </w:p>
    <w:p w14:paraId="207E97A7" w14:textId="1928BAF3" w:rsidR="00BD462C" w:rsidRDefault="00F439BE">
      <w:pPr>
        <w:pStyle w:val="BodyText"/>
        <w:spacing w:before="56" w:line="357" w:lineRule="auto"/>
        <w:ind w:left="135" w:right="910"/>
      </w:pPr>
      <w:r>
        <w:rPr>
          <w:noProof/>
        </w:rPr>
        <w:t>774.</w:t>
      </w:r>
      <w:r w:rsidR="00033D0F">
        <w:rPr>
          <w:rFonts w:ascii="Times New Roman"/>
          <w:spacing w:val="80"/>
          <w:position w:val="1"/>
          <w:sz w:val="20"/>
        </w:rPr>
        <w:t xml:space="preserve">  </w:t>
      </w:r>
      <w:r w:rsidR="00033D0F">
        <w:rPr>
          <w:position w:val="1"/>
        </w:rPr>
        <w:t>Finally,</w:t>
      </w:r>
      <w:r w:rsidR="00033D0F">
        <w:rPr>
          <w:spacing w:val="-1"/>
          <w:position w:val="1"/>
        </w:rPr>
        <w:t xml:space="preserve"> </w:t>
      </w:r>
      <w:r w:rsidR="00033D0F">
        <w:rPr>
          <w:position w:val="1"/>
        </w:rPr>
        <w:t>Australia</w:t>
      </w:r>
      <w:r w:rsidR="00033D0F">
        <w:rPr>
          <w:spacing w:val="-4"/>
          <w:position w:val="1"/>
        </w:rPr>
        <w:t xml:space="preserve"> </w:t>
      </w:r>
      <w:r w:rsidR="00033D0F">
        <w:rPr>
          <w:position w:val="1"/>
        </w:rPr>
        <w:t>observes</w:t>
      </w:r>
      <w:r w:rsidR="00033D0F">
        <w:rPr>
          <w:spacing w:val="-7"/>
          <w:position w:val="1"/>
        </w:rPr>
        <w:t xml:space="preserve"> </w:t>
      </w:r>
      <w:r w:rsidR="00033D0F">
        <w:rPr>
          <w:position w:val="1"/>
        </w:rPr>
        <w:t>China's</w:t>
      </w:r>
      <w:r w:rsidR="00033D0F">
        <w:rPr>
          <w:spacing w:val="-2"/>
          <w:position w:val="1"/>
        </w:rPr>
        <w:t xml:space="preserve"> </w:t>
      </w:r>
      <w:r w:rsidR="00033D0F">
        <w:rPr>
          <w:position w:val="1"/>
        </w:rPr>
        <w:t>apparent</w:t>
      </w:r>
      <w:r w:rsidR="00033D0F">
        <w:rPr>
          <w:spacing w:val="-3"/>
          <w:position w:val="1"/>
        </w:rPr>
        <w:t xml:space="preserve"> </w:t>
      </w:r>
      <w:r w:rsidR="00033D0F">
        <w:rPr>
          <w:position w:val="1"/>
        </w:rPr>
        <w:t>disagreement</w:t>
      </w:r>
      <w:r w:rsidR="00033D0F">
        <w:rPr>
          <w:spacing w:val="-3"/>
          <w:position w:val="1"/>
        </w:rPr>
        <w:t xml:space="preserve"> </w:t>
      </w:r>
      <w:r w:rsidR="00033D0F">
        <w:rPr>
          <w:position w:val="1"/>
        </w:rPr>
        <w:t>with</w:t>
      </w:r>
      <w:r w:rsidR="00033D0F">
        <w:rPr>
          <w:spacing w:val="-5"/>
          <w:position w:val="1"/>
        </w:rPr>
        <w:t xml:space="preserve"> </w:t>
      </w:r>
      <w:r w:rsidR="00033D0F">
        <w:rPr>
          <w:position w:val="1"/>
        </w:rPr>
        <w:t>Australia's</w:t>
      </w:r>
      <w:r w:rsidR="00033D0F">
        <w:rPr>
          <w:spacing w:val="-7"/>
          <w:position w:val="1"/>
        </w:rPr>
        <w:t xml:space="preserve"> </w:t>
      </w:r>
      <w:r w:rsidR="00033D0F">
        <w:rPr>
          <w:position w:val="1"/>
        </w:rPr>
        <w:t xml:space="preserve">statement </w:t>
      </w:r>
      <w:r w:rsidR="00033D0F">
        <w:t>that</w:t>
      </w:r>
      <w:r w:rsidR="00033D0F">
        <w:rPr>
          <w:spacing w:val="42"/>
        </w:rPr>
        <w:t xml:space="preserve"> </w:t>
      </w:r>
      <w:r w:rsidR="00033D0F">
        <w:t>"interested</w:t>
      </w:r>
      <w:r w:rsidR="00033D0F">
        <w:rPr>
          <w:spacing w:val="41"/>
        </w:rPr>
        <w:t xml:space="preserve"> </w:t>
      </w:r>
      <w:r w:rsidR="00033D0F">
        <w:t>parties</w:t>
      </w:r>
      <w:r w:rsidR="00033D0F">
        <w:rPr>
          <w:spacing w:val="45"/>
        </w:rPr>
        <w:t xml:space="preserve"> </w:t>
      </w:r>
      <w:r w:rsidR="00033D0F">
        <w:t>are</w:t>
      </w:r>
      <w:r w:rsidR="00033D0F">
        <w:rPr>
          <w:spacing w:val="43"/>
        </w:rPr>
        <w:t xml:space="preserve"> </w:t>
      </w:r>
      <w:r w:rsidR="00033D0F">
        <w:t>the</w:t>
      </w:r>
      <w:r w:rsidR="00033D0F">
        <w:rPr>
          <w:spacing w:val="43"/>
        </w:rPr>
        <w:t xml:space="preserve"> </w:t>
      </w:r>
      <w:r w:rsidR="00033D0F">
        <w:t>'primary</w:t>
      </w:r>
      <w:r w:rsidR="00033D0F">
        <w:rPr>
          <w:spacing w:val="45"/>
        </w:rPr>
        <w:t xml:space="preserve"> </w:t>
      </w:r>
      <w:r w:rsidR="00033D0F">
        <w:t>sources</w:t>
      </w:r>
      <w:r w:rsidR="00033D0F">
        <w:rPr>
          <w:spacing w:val="46"/>
        </w:rPr>
        <w:t xml:space="preserve"> </w:t>
      </w:r>
      <w:r w:rsidR="00033D0F">
        <w:t>of</w:t>
      </w:r>
      <w:r w:rsidR="00033D0F">
        <w:rPr>
          <w:spacing w:val="42"/>
        </w:rPr>
        <w:t xml:space="preserve"> </w:t>
      </w:r>
      <w:r w:rsidR="00033D0F">
        <w:t>information</w:t>
      </w:r>
      <w:r w:rsidR="00033D0F">
        <w:rPr>
          <w:spacing w:val="41"/>
        </w:rPr>
        <w:t xml:space="preserve"> </w:t>
      </w:r>
      <w:r w:rsidR="00033D0F">
        <w:t>in</w:t>
      </w:r>
      <w:r w:rsidR="00033D0F">
        <w:rPr>
          <w:spacing w:val="41"/>
        </w:rPr>
        <w:t xml:space="preserve"> </w:t>
      </w:r>
      <w:r w:rsidR="00033D0F">
        <w:t>an</w:t>
      </w:r>
      <w:r w:rsidR="00033D0F">
        <w:rPr>
          <w:spacing w:val="42"/>
        </w:rPr>
        <w:t xml:space="preserve"> </w:t>
      </w:r>
      <w:r w:rsidR="00033D0F">
        <w:rPr>
          <w:spacing w:val="-2"/>
        </w:rPr>
        <w:t>investigation'".</w:t>
      </w:r>
      <w:hyperlink w:anchor="_bookmark1352" w:history="1">
        <w:r w:rsidR="00033D0F">
          <w:rPr>
            <w:spacing w:val="-2"/>
            <w:vertAlign w:val="superscript"/>
          </w:rPr>
          <w:t>1165</w:t>
        </w:r>
      </w:hyperlink>
    </w:p>
    <w:p w14:paraId="338CADA5" w14:textId="77777777" w:rsidR="00BD462C" w:rsidRDefault="00BD462C">
      <w:pPr>
        <w:pStyle w:val="BodyText"/>
        <w:rPr>
          <w:sz w:val="20"/>
        </w:rPr>
      </w:pPr>
    </w:p>
    <w:p w14:paraId="36EE73D3" w14:textId="4C7870CE" w:rsidR="00BD462C" w:rsidRDefault="00D70C7D">
      <w:pPr>
        <w:pStyle w:val="BodyText"/>
        <w:rPr>
          <w:sz w:val="20"/>
        </w:rPr>
      </w:pPr>
      <w:r>
        <w:rPr>
          <w:noProof/>
        </w:rPr>
        <mc:AlternateContent>
          <mc:Choice Requires="wps">
            <w:drawing>
              <wp:anchor distT="0" distB="0" distL="0" distR="0" simplePos="0" relativeHeight="487842304" behindDoc="1" locked="0" layoutInCell="1" allowOverlap="1" wp14:anchorId="2CBDB31F" wp14:editId="3DAE66BF">
                <wp:simplePos x="0" y="0"/>
                <wp:positionH relativeFrom="page">
                  <wp:posOffset>899160</wp:posOffset>
                </wp:positionH>
                <wp:positionV relativeFrom="paragraph">
                  <wp:posOffset>170815</wp:posOffset>
                </wp:positionV>
                <wp:extent cx="1828800" cy="8890"/>
                <wp:effectExtent l="0" t="0" r="0" b="0"/>
                <wp:wrapTopAndBottom/>
                <wp:docPr id="348" name="docshape5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529A35" id="docshape548" o:spid="_x0000_s1026" alt="&quot;&quot;" style="position:absolute;margin-left:70.8pt;margin-top:13.45pt;width:2in;height:.7pt;z-index:-1547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" fillcolor="black" stroked="f">
                <w10:wrap type="topAndBottom" anchorx="page"/>
              </v:rect>
            </w:pict>
          </mc:Fallback>
        </mc:AlternateContent>
      </w:r>
    </w:p>
    <w:p w14:paraId="74DE3A2B" w14:textId="77777777" w:rsidR="00BD462C" w:rsidRDefault="00033D0F">
      <w:pPr>
        <w:spacing w:before="107"/>
        <w:ind w:left="135"/>
        <w:rPr>
          <w:sz w:val="18"/>
        </w:rPr>
      </w:pPr>
      <w:bookmarkStart w:id="1566" w:name="_bookmark1348"/>
      <w:bookmarkEnd w:id="1566"/>
      <w:r>
        <w:rPr>
          <w:position w:val="5"/>
          <w:sz w:val="12"/>
        </w:rPr>
        <w:t>1161</w:t>
      </w:r>
      <w:r>
        <w:rPr>
          <w:spacing w:val="16"/>
          <w:position w:val="5"/>
          <w:sz w:val="12"/>
        </w:rPr>
        <w:t xml:space="preserve"> </w:t>
      </w:r>
      <w:r>
        <w:rPr>
          <w:sz w:val="18"/>
        </w:rPr>
        <w:t>Panel</w:t>
      </w:r>
      <w:r>
        <w:rPr>
          <w:spacing w:val="-2"/>
          <w:sz w:val="18"/>
        </w:rPr>
        <w:t xml:space="preserve"> </w:t>
      </w:r>
      <w:r>
        <w:rPr>
          <w:sz w:val="18"/>
        </w:rPr>
        <w:t xml:space="preserve">Report, </w:t>
      </w:r>
      <w:r>
        <w:rPr>
          <w:i/>
          <w:sz w:val="18"/>
        </w:rPr>
        <w:t>India</w:t>
      </w:r>
      <w:r>
        <w:rPr>
          <w:i/>
          <w:spacing w:val="-2"/>
          <w:sz w:val="18"/>
        </w:rPr>
        <w:t xml:space="preserve"> </w:t>
      </w:r>
      <w:r>
        <w:rPr>
          <w:i/>
          <w:sz w:val="18"/>
        </w:rPr>
        <w:t>—</w:t>
      </w:r>
      <w:r>
        <w:rPr>
          <w:i/>
          <w:spacing w:val="-5"/>
          <w:sz w:val="18"/>
        </w:rPr>
        <w:t xml:space="preserve"> </w:t>
      </w:r>
      <w:r>
        <w:rPr>
          <w:i/>
          <w:sz w:val="18"/>
        </w:rPr>
        <w:t>Patents</w:t>
      </w:r>
      <w:r>
        <w:rPr>
          <w:i/>
          <w:spacing w:val="-8"/>
          <w:sz w:val="18"/>
        </w:rPr>
        <w:t xml:space="preserve"> </w:t>
      </w:r>
      <w:r>
        <w:rPr>
          <w:i/>
          <w:sz w:val="18"/>
        </w:rPr>
        <w:t xml:space="preserve">(EC), </w:t>
      </w:r>
      <w:r>
        <w:rPr>
          <w:sz w:val="18"/>
        </w:rPr>
        <w:t>para.</w:t>
      </w:r>
      <w:r>
        <w:rPr>
          <w:spacing w:val="-2"/>
          <w:sz w:val="18"/>
        </w:rPr>
        <w:t xml:space="preserve"> </w:t>
      </w:r>
      <w:r>
        <w:rPr>
          <w:spacing w:val="-4"/>
          <w:sz w:val="18"/>
        </w:rPr>
        <w:t>7.14.</w:t>
      </w:r>
    </w:p>
    <w:p w14:paraId="0C6A7FA2" w14:textId="77777777" w:rsidR="00BD462C" w:rsidRDefault="00033D0F">
      <w:pPr>
        <w:spacing w:before="1"/>
        <w:ind w:left="135"/>
        <w:rPr>
          <w:sz w:val="18"/>
        </w:rPr>
      </w:pPr>
      <w:bookmarkStart w:id="1567" w:name="_bookmark1349"/>
      <w:bookmarkEnd w:id="1567"/>
      <w:r>
        <w:rPr>
          <w:position w:val="5"/>
          <w:sz w:val="12"/>
        </w:rPr>
        <w:t>1162</w:t>
      </w:r>
      <w:r>
        <w:rPr>
          <w:spacing w:val="13"/>
          <w:position w:val="5"/>
          <w:sz w:val="12"/>
        </w:rPr>
        <w:t xml:space="preserve"> </w:t>
      </w:r>
      <w:r>
        <w:rPr>
          <w:sz w:val="18"/>
        </w:rPr>
        <w:t>Panel</w:t>
      </w:r>
      <w:r>
        <w:rPr>
          <w:spacing w:val="-4"/>
          <w:sz w:val="18"/>
        </w:rPr>
        <w:t xml:space="preserve"> </w:t>
      </w:r>
      <w:r>
        <w:rPr>
          <w:sz w:val="18"/>
        </w:rPr>
        <w:t>Report,</w:t>
      </w:r>
      <w:r>
        <w:rPr>
          <w:spacing w:val="-3"/>
          <w:sz w:val="18"/>
        </w:rPr>
        <w:t xml:space="preserve"> </w:t>
      </w:r>
      <w:r>
        <w:rPr>
          <w:i/>
          <w:sz w:val="18"/>
        </w:rPr>
        <w:t>Japan</w:t>
      </w:r>
      <w:r>
        <w:rPr>
          <w:i/>
          <w:spacing w:val="-4"/>
          <w:sz w:val="18"/>
        </w:rPr>
        <w:t xml:space="preserve"> </w:t>
      </w:r>
      <w:r>
        <w:rPr>
          <w:i/>
          <w:sz w:val="18"/>
        </w:rPr>
        <w:t>–</w:t>
      </w:r>
      <w:r>
        <w:rPr>
          <w:i/>
          <w:spacing w:val="-1"/>
          <w:sz w:val="18"/>
        </w:rPr>
        <w:t xml:space="preserve"> </w:t>
      </w:r>
      <w:r>
        <w:rPr>
          <w:i/>
          <w:sz w:val="18"/>
        </w:rPr>
        <w:t>Alcoholic</w:t>
      </w:r>
      <w:r>
        <w:rPr>
          <w:i/>
          <w:spacing w:val="-5"/>
          <w:sz w:val="18"/>
        </w:rPr>
        <w:t xml:space="preserve"> </w:t>
      </w:r>
      <w:r>
        <w:rPr>
          <w:i/>
          <w:sz w:val="18"/>
        </w:rPr>
        <w:t>Beverages</w:t>
      </w:r>
      <w:r>
        <w:rPr>
          <w:i/>
          <w:spacing w:val="-4"/>
          <w:sz w:val="18"/>
        </w:rPr>
        <w:t xml:space="preserve"> </w:t>
      </w:r>
      <w:r>
        <w:rPr>
          <w:i/>
          <w:sz w:val="18"/>
        </w:rPr>
        <w:t>II</w:t>
      </w:r>
      <w:r>
        <w:rPr>
          <w:sz w:val="18"/>
        </w:rPr>
        <w:t>,</w:t>
      </w:r>
      <w:r>
        <w:rPr>
          <w:spacing w:val="1"/>
          <w:sz w:val="18"/>
        </w:rPr>
        <w:t xml:space="preserve"> </w:t>
      </w:r>
      <w:r>
        <w:rPr>
          <w:sz w:val="18"/>
        </w:rPr>
        <w:t>para.</w:t>
      </w:r>
      <w:r>
        <w:rPr>
          <w:spacing w:val="-4"/>
          <w:sz w:val="18"/>
        </w:rPr>
        <w:t xml:space="preserve"> 6.12.</w:t>
      </w:r>
    </w:p>
    <w:p w14:paraId="6CAF0EA4" w14:textId="77777777" w:rsidR="00BD462C" w:rsidRDefault="00033D0F">
      <w:pPr>
        <w:spacing w:before="1"/>
        <w:ind w:left="135"/>
        <w:rPr>
          <w:sz w:val="18"/>
        </w:rPr>
      </w:pPr>
      <w:bookmarkStart w:id="1568" w:name="_bookmark1350"/>
      <w:bookmarkEnd w:id="1568"/>
      <w:r>
        <w:rPr>
          <w:position w:val="5"/>
          <w:sz w:val="12"/>
        </w:rPr>
        <w:t>1163</w:t>
      </w:r>
      <w:r>
        <w:rPr>
          <w:spacing w:val="15"/>
          <w:position w:val="5"/>
          <w:sz w:val="12"/>
        </w:rPr>
        <w:t xml:space="preserve"> </w:t>
      </w:r>
      <w:r>
        <w:rPr>
          <w:sz w:val="18"/>
        </w:rPr>
        <w:t>Panel</w:t>
      </w:r>
      <w:r>
        <w:rPr>
          <w:spacing w:val="-3"/>
          <w:sz w:val="18"/>
        </w:rPr>
        <w:t xml:space="preserve"> </w:t>
      </w:r>
      <w:r>
        <w:rPr>
          <w:sz w:val="18"/>
        </w:rPr>
        <w:t>Report,</w:t>
      </w:r>
      <w:r>
        <w:rPr>
          <w:spacing w:val="-6"/>
          <w:sz w:val="18"/>
        </w:rPr>
        <w:t xml:space="preserve"> </w:t>
      </w:r>
      <w:r>
        <w:rPr>
          <w:i/>
          <w:sz w:val="18"/>
        </w:rPr>
        <w:t>EC</w:t>
      </w:r>
      <w:r>
        <w:rPr>
          <w:i/>
          <w:spacing w:val="-3"/>
          <w:sz w:val="18"/>
        </w:rPr>
        <w:t xml:space="preserve"> </w:t>
      </w:r>
      <w:r>
        <w:rPr>
          <w:i/>
          <w:sz w:val="18"/>
        </w:rPr>
        <w:t>–</w:t>
      </w:r>
      <w:r>
        <w:rPr>
          <w:i/>
          <w:spacing w:val="-4"/>
          <w:sz w:val="18"/>
        </w:rPr>
        <w:t xml:space="preserve"> </w:t>
      </w:r>
      <w:r>
        <w:rPr>
          <w:i/>
          <w:sz w:val="18"/>
        </w:rPr>
        <w:t>Bed</w:t>
      </w:r>
      <w:r>
        <w:rPr>
          <w:i/>
          <w:spacing w:val="3"/>
          <w:sz w:val="18"/>
        </w:rPr>
        <w:t xml:space="preserve"> </w:t>
      </w:r>
      <w:r>
        <w:rPr>
          <w:i/>
          <w:sz w:val="18"/>
        </w:rPr>
        <w:t>Linen</w:t>
      </w:r>
      <w:r>
        <w:rPr>
          <w:i/>
          <w:spacing w:val="-6"/>
          <w:sz w:val="18"/>
        </w:rPr>
        <w:t xml:space="preserve"> </w:t>
      </w:r>
      <w:r>
        <w:rPr>
          <w:i/>
          <w:sz w:val="18"/>
        </w:rPr>
        <w:t>(Article</w:t>
      </w:r>
      <w:r>
        <w:rPr>
          <w:i/>
          <w:spacing w:val="-1"/>
          <w:sz w:val="18"/>
        </w:rPr>
        <w:t xml:space="preserve"> </w:t>
      </w:r>
      <w:r>
        <w:rPr>
          <w:i/>
          <w:sz w:val="18"/>
        </w:rPr>
        <w:t>21.5</w:t>
      </w:r>
      <w:r>
        <w:rPr>
          <w:i/>
          <w:spacing w:val="-5"/>
          <w:sz w:val="18"/>
        </w:rPr>
        <w:t xml:space="preserve"> </w:t>
      </w:r>
      <w:r>
        <w:rPr>
          <w:i/>
          <w:sz w:val="18"/>
        </w:rPr>
        <w:t>–</w:t>
      </w:r>
      <w:r>
        <w:rPr>
          <w:i/>
          <w:spacing w:val="-4"/>
          <w:sz w:val="18"/>
        </w:rPr>
        <w:t xml:space="preserve"> </w:t>
      </w:r>
      <w:r>
        <w:rPr>
          <w:i/>
          <w:sz w:val="18"/>
        </w:rPr>
        <w:t>India),</w:t>
      </w:r>
      <w:r>
        <w:rPr>
          <w:i/>
          <w:spacing w:val="4"/>
          <w:sz w:val="18"/>
        </w:rPr>
        <w:t xml:space="preserve"> </w:t>
      </w:r>
      <w:r>
        <w:rPr>
          <w:sz w:val="18"/>
        </w:rPr>
        <w:t>para.</w:t>
      </w:r>
      <w:r>
        <w:rPr>
          <w:spacing w:val="2"/>
          <w:sz w:val="18"/>
        </w:rPr>
        <w:t xml:space="preserve"> </w:t>
      </w:r>
      <w:r>
        <w:rPr>
          <w:spacing w:val="-2"/>
          <w:sz w:val="18"/>
        </w:rPr>
        <w:t>6.267.</w:t>
      </w:r>
    </w:p>
    <w:p w14:paraId="12D18A8A" w14:textId="77777777" w:rsidR="00BD462C" w:rsidRDefault="00033D0F">
      <w:pPr>
        <w:spacing w:before="1"/>
        <w:ind w:left="135"/>
        <w:rPr>
          <w:sz w:val="18"/>
        </w:rPr>
      </w:pPr>
      <w:bookmarkStart w:id="1569" w:name="_bookmark1351"/>
      <w:bookmarkEnd w:id="1569"/>
      <w:r>
        <w:rPr>
          <w:position w:val="5"/>
          <w:sz w:val="12"/>
        </w:rPr>
        <w:t>1164</w:t>
      </w:r>
      <w:r>
        <w:rPr>
          <w:spacing w:val="16"/>
          <w:position w:val="5"/>
          <w:sz w:val="12"/>
        </w:rPr>
        <w:t xml:space="preserve"> </w:t>
      </w:r>
      <w:r>
        <w:rPr>
          <w:sz w:val="18"/>
        </w:rPr>
        <w:t>Emphasis</w:t>
      </w:r>
      <w:r>
        <w:rPr>
          <w:spacing w:val="-3"/>
          <w:sz w:val="18"/>
        </w:rPr>
        <w:t xml:space="preserve"> </w:t>
      </w:r>
      <w:r>
        <w:rPr>
          <w:spacing w:val="-2"/>
          <w:sz w:val="18"/>
        </w:rPr>
        <w:t>added.</w:t>
      </w:r>
    </w:p>
    <w:p w14:paraId="0BBC8569" w14:textId="77777777" w:rsidR="00BD462C" w:rsidRDefault="00033D0F">
      <w:pPr>
        <w:spacing w:before="1"/>
        <w:ind w:left="135"/>
        <w:rPr>
          <w:sz w:val="18"/>
        </w:rPr>
      </w:pPr>
      <w:bookmarkStart w:id="1570" w:name="_bookmark1352"/>
      <w:bookmarkEnd w:id="1570"/>
      <w:r>
        <w:rPr>
          <w:position w:val="5"/>
          <w:sz w:val="12"/>
        </w:rPr>
        <w:t>1165</w:t>
      </w:r>
      <w:r>
        <w:rPr>
          <w:spacing w:val="11"/>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6"/>
          <w:sz w:val="18"/>
        </w:rPr>
        <w:t xml:space="preserve"> </w:t>
      </w:r>
      <w:r>
        <w:rPr>
          <w:sz w:val="18"/>
        </w:rPr>
        <w:t>submission, para.</w:t>
      </w:r>
      <w:r>
        <w:rPr>
          <w:spacing w:val="1"/>
          <w:sz w:val="18"/>
        </w:rPr>
        <w:t xml:space="preserve"> </w:t>
      </w:r>
      <w:r>
        <w:rPr>
          <w:sz w:val="18"/>
        </w:rPr>
        <w:t>2368</w:t>
      </w:r>
      <w:r>
        <w:rPr>
          <w:spacing w:val="-11"/>
          <w:sz w:val="18"/>
        </w:rPr>
        <w:t xml:space="preserve"> </w:t>
      </w:r>
      <w:r>
        <w:rPr>
          <w:sz w:val="18"/>
        </w:rPr>
        <w:t>(referring</w:t>
      </w:r>
      <w:r>
        <w:rPr>
          <w:spacing w:val="-5"/>
          <w:sz w:val="18"/>
        </w:rPr>
        <w:t xml:space="preserve"> </w:t>
      </w:r>
      <w:r>
        <w:rPr>
          <w:sz w:val="18"/>
        </w:rPr>
        <w:t>to</w:t>
      </w:r>
      <w:r>
        <w:rPr>
          <w:spacing w:val="-6"/>
          <w:sz w:val="18"/>
        </w:rPr>
        <w:t xml:space="preserve"> </w:t>
      </w:r>
      <w:r>
        <w:rPr>
          <w:sz w:val="18"/>
        </w:rPr>
        <w:t>Australia's</w:t>
      </w:r>
      <w:r>
        <w:rPr>
          <w:spacing w:val="-1"/>
          <w:sz w:val="18"/>
        </w:rPr>
        <w:t xml:space="preserve"> </w:t>
      </w:r>
      <w:r>
        <w:rPr>
          <w:sz w:val="18"/>
        </w:rPr>
        <w:t>first</w:t>
      </w:r>
      <w:r>
        <w:rPr>
          <w:spacing w:val="-1"/>
          <w:sz w:val="18"/>
        </w:rPr>
        <w:t xml:space="preserve"> </w:t>
      </w:r>
      <w:r>
        <w:rPr>
          <w:sz w:val="18"/>
        </w:rPr>
        <w:t>written</w:t>
      </w:r>
      <w:r>
        <w:rPr>
          <w:spacing w:val="-7"/>
          <w:sz w:val="18"/>
        </w:rPr>
        <w:t xml:space="preserve"> </w:t>
      </w:r>
      <w:r>
        <w:rPr>
          <w:sz w:val="18"/>
        </w:rPr>
        <w:t>submission,</w:t>
      </w:r>
      <w:r>
        <w:rPr>
          <w:spacing w:val="-3"/>
          <w:sz w:val="18"/>
        </w:rPr>
        <w:t xml:space="preserve"> </w:t>
      </w:r>
      <w:r>
        <w:rPr>
          <w:sz w:val="18"/>
        </w:rPr>
        <w:t xml:space="preserve">para. </w:t>
      </w:r>
      <w:r>
        <w:rPr>
          <w:spacing w:val="-2"/>
          <w:sz w:val="18"/>
        </w:rPr>
        <w:t>906).</w:t>
      </w:r>
    </w:p>
    <w:p w14:paraId="5A56C63D" w14:textId="77777777" w:rsidR="00BD462C" w:rsidRDefault="00BD462C">
      <w:pPr>
        <w:rPr>
          <w:sz w:val="18"/>
        </w:rPr>
        <w:sectPr w:rsidR="00BD462C">
          <w:pgSz w:w="11910" w:h="16840"/>
          <w:pgMar w:top="860" w:right="500" w:bottom="780" w:left="1280" w:header="566" w:footer="590" w:gutter="0"/>
          <w:cols w:space="720"/>
        </w:sectPr>
      </w:pPr>
    </w:p>
    <w:p w14:paraId="4DFFFBBC"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70693283"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0EC3B5EB"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0526A243" w14:textId="77777777" w:rsidR="00BD462C" w:rsidRDefault="00033D0F">
      <w:pPr>
        <w:pStyle w:val="BodyText"/>
        <w:spacing w:before="102" w:line="360" w:lineRule="auto"/>
        <w:ind w:left="135" w:right="913"/>
        <w:jc w:val="both"/>
      </w:pPr>
      <w:r>
        <w:t>Australia does not understand why China takes exception to what appears to be an uncontroversial statement. Indeed, China first appears to agree with Australia's statement, saying</w:t>
      </w:r>
      <w:r>
        <w:rPr>
          <w:spacing w:val="-10"/>
        </w:rPr>
        <w:t xml:space="preserve"> </w:t>
      </w:r>
      <w:r>
        <w:t>that</w:t>
      </w:r>
      <w:r>
        <w:rPr>
          <w:spacing w:val="-11"/>
        </w:rPr>
        <w:t xml:space="preserve"> </w:t>
      </w:r>
      <w:r>
        <w:t>it</w:t>
      </w:r>
      <w:r>
        <w:rPr>
          <w:spacing w:val="-11"/>
        </w:rPr>
        <w:t xml:space="preserve"> </w:t>
      </w:r>
      <w:r>
        <w:t>considers</w:t>
      </w:r>
      <w:r>
        <w:rPr>
          <w:spacing w:val="-10"/>
        </w:rPr>
        <w:t xml:space="preserve"> </w:t>
      </w:r>
      <w:r>
        <w:t>"the</w:t>
      </w:r>
      <w:r>
        <w:rPr>
          <w:spacing w:val="-7"/>
        </w:rPr>
        <w:t xml:space="preserve"> </w:t>
      </w:r>
      <w:r>
        <w:t>questionnaire</w:t>
      </w:r>
      <w:r>
        <w:rPr>
          <w:spacing w:val="-7"/>
        </w:rPr>
        <w:t xml:space="preserve"> </w:t>
      </w:r>
      <w:r>
        <w:t>responses</w:t>
      </w:r>
      <w:r>
        <w:rPr>
          <w:spacing w:val="-10"/>
        </w:rPr>
        <w:t xml:space="preserve"> </w:t>
      </w:r>
      <w:r>
        <w:t>of</w:t>
      </w:r>
      <w:r>
        <w:rPr>
          <w:spacing w:val="-9"/>
        </w:rPr>
        <w:t xml:space="preserve"> </w:t>
      </w:r>
      <w:r>
        <w:t>interested</w:t>
      </w:r>
      <w:r>
        <w:rPr>
          <w:spacing w:val="-14"/>
        </w:rPr>
        <w:t xml:space="preserve"> </w:t>
      </w:r>
      <w:r>
        <w:t>parties</w:t>
      </w:r>
      <w:r>
        <w:rPr>
          <w:spacing w:val="-10"/>
        </w:rPr>
        <w:t xml:space="preserve"> </w:t>
      </w:r>
      <w:r>
        <w:t>constitute</w:t>
      </w:r>
      <w:r>
        <w:rPr>
          <w:spacing w:val="-12"/>
        </w:rPr>
        <w:t xml:space="preserve"> </w:t>
      </w:r>
      <w:r>
        <w:t>the</w:t>
      </w:r>
      <w:r>
        <w:rPr>
          <w:spacing w:val="-12"/>
        </w:rPr>
        <w:t xml:space="preserve"> </w:t>
      </w:r>
      <w:r>
        <w:t>basis for</w:t>
      </w:r>
      <w:r>
        <w:rPr>
          <w:spacing w:val="-14"/>
        </w:rPr>
        <w:t xml:space="preserve"> </w:t>
      </w:r>
      <w:r>
        <w:t>investigating</w:t>
      </w:r>
      <w:r>
        <w:rPr>
          <w:spacing w:val="-10"/>
        </w:rPr>
        <w:t xml:space="preserve"> </w:t>
      </w:r>
      <w:r>
        <w:t>authorities</w:t>
      </w:r>
      <w:r>
        <w:rPr>
          <w:spacing w:val="-10"/>
        </w:rPr>
        <w:t xml:space="preserve"> </w:t>
      </w:r>
      <w:r>
        <w:t>to</w:t>
      </w:r>
      <w:r>
        <w:rPr>
          <w:spacing w:val="-14"/>
        </w:rPr>
        <w:t xml:space="preserve"> </w:t>
      </w:r>
      <w:r>
        <w:t>make</w:t>
      </w:r>
      <w:r>
        <w:rPr>
          <w:spacing w:val="-11"/>
        </w:rPr>
        <w:t xml:space="preserve"> </w:t>
      </w:r>
      <w:r>
        <w:t>its</w:t>
      </w:r>
      <w:r>
        <w:rPr>
          <w:spacing w:val="-11"/>
        </w:rPr>
        <w:t xml:space="preserve"> </w:t>
      </w:r>
      <w:r>
        <w:t>determinations".</w:t>
      </w:r>
      <w:hyperlink w:anchor="_bookmark1353" w:history="1">
        <w:r>
          <w:rPr>
            <w:vertAlign w:val="superscript"/>
          </w:rPr>
          <w:t>1166</w:t>
        </w:r>
      </w:hyperlink>
      <w:r>
        <w:rPr>
          <w:spacing w:val="-11"/>
        </w:rPr>
        <w:t xml:space="preserve"> </w:t>
      </w:r>
      <w:r>
        <w:t>However,</w:t>
      </w:r>
      <w:r>
        <w:rPr>
          <w:spacing w:val="-10"/>
        </w:rPr>
        <w:t xml:space="preserve"> </w:t>
      </w:r>
      <w:r>
        <w:t>in</w:t>
      </w:r>
      <w:r>
        <w:rPr>
          <w:spacing w:val="-14"/>
        </w:rPr>
        <w:t xml:space="preserve"> </w:t>
      </w:r>
      <w:r>
        <w:t>the</w:t>
      </w:r>
      <w:r>
        <w:rPr>
          <w:spacing w:val="-11"/>
        </w:rPr>
        <w:t xml:space="preserve"> </w:t>
      </w:r>
      <w:r>
        <w:t>same</w:t>
      </w:r>
      <w:r>
        <w:rPr>
          <w:spacing w:val="-12"/>
        </w:rPr>
        <w:t xml:space="preserve"> </w:t>
      </w:r>
      <w:r>
        <w:t xml:space="preserve">paragraph, China expresses its disagreement, citing the panel report in </w:t>
      </w:r>
      <w:r>
        <w:rPr>
          <w:i/>
        </w:rPr>
        <w:t xml:space="preserve">Argentina – Ceramic Tiles </w:t>
      </w:r>
      <w:r>
        <w:t>to support its declaration that MOFCOM is "expressly allowed" under Article 6.8 to "disregard the primary source information [from the interested parties] and resort to the facts available".</w:t>
      </w:r>
      <w:hyperlink w:anchor="_bookmark1354" w:history="1">
        <w:r>
          <w:rPr>
            <w:vertAlign w:val="superscript"/>
          </w:rPr>
          <w:t>1167</w:t>
        </w:r>
      </w:hyperlink>
      <w:r>
        <w:t xml:space="preserve"> To the extent that China's intended point is that</w:t>
      </w:r>
      <w:r>
        <w:rPr>
          <w:spacing w:val="-2"/>
        </w:rPr>
        <w:t xml:space="preserve"> </w:t>
      </w:r>
      <w:r>
        <w:t xml:space="preserve">interested parties are not the </w:t>
      </w:r>
      <w:r>
        <w:rPr>
          <w:i/>
        </w:rPr>
        <w:t xml:space="preserve">only </w:t>
      </w:r>
      <w:r>
        <w:t>source of information, this was plainly never in contention – the very phrase "primary source" necessarily implies the existence of other sources of information.</w:t>
      </w:r>
    </w:p>
    <w:p w14:paraId="362B860F" w14:textId="77777777" w:rsidR="00BD462C" w:rsidRDefault="00033D0F">
      <w:pPr>
        <w:pStyle w:val="ListParagraph"/>
        <w:numPr>
          <w:ilvl w:val="1"/>
          <w:numId w:val="25"/>
        </w:numPr>
        <w:tabs>
          <w:tab w:val="left" w:pos="3539"/>
          <w:tab w:val="left" w:pos="3540"/>
        </w:tabs>
        <w:spacing w:before="156"/>
        <w:ind w:hanging="851"/>
        <w:jc w:val="both"/>
        <w:rPr>
          <w:sz w:val="24"/>
        </w:rPr>
      </w:pPr>
      <w:bookmarkStart w:id="1571" w:name="(b)_Article_6.2"/>
      <w:bookmarkEnd w:id="1571"/>
      <w:r>
        <w:rPr>
          <w:sz w:val="24"/>
          <w:u w:val="single"/>
        </w:rPr>
        <w:t>Article</w:t>
      </w:r>
      <w:r>
        <w:rPr>
          <w:spacing w:val="-1"/>
          <w:sz w:val="24"/>
          <w:u w:val="single"/>
        </w:rPr>
        <w:t xml:space="preserve"> </w:t>
      </w:r>
      <w:r>
        <w:rPr>
          <w:spacing w:val="-5"/>
          <w:sz w:val="24"/>
          <w:u w:val="single"/>
        </w:rPr>
        <w:t>6.2</w:t>
      </w:r>
    </w:p>
    <w:p w14:paraId="3EC2BD40" w14:textId="77777777" w:rsidR="00BD462C" w:rsidRDefault="00BD462C">
      <w:pPr>
        <w:pStyle w:val="BodyText"/>
        <w:spacing w:before="11"/>
        <w:rPr>
          <w:sz w:val="20"/>
        </w:rPr>
      </w:pPr>
    </w:p>
    <w:p w14:paraId="4FE304E2" w14:textId="3D12227C" w:rsidR="00BD462C" w:rsidRDefault="00F439BE">
      <w:pPr>
        <w:pStyle w:val="BodyText"/>
        <w:spacing w:before="57" w:line="360" w:lineRule="auto"/>
        <w:ind w:left="136" w:right="914"/>
        <w:jc w:val="both"/>
      </w:pPr>
      <w:r>
        <w:rPr>
          <w:noProof/>
        </w:rPr>
        <w:t>775.</w:t>
      </w:r>
      <w:r w:rsidR="00033D0F">
        <w:rPr>
          <w:rFonts w:ascii="Times New Roman"/>
          <w:spacing w:val="80"/>
          <w:position w:val="1"/>
          <w:sz w:val="20"/>
        </w:rPr>
        <w:t xml:space="preserve">  </w:t>
      </w:r>
      <w:r w:rsidR="00033D0F">
        <w:rPr>
          <w:position w:val="1"/>
        </w:rPr>
        <w:t>There</w:t>
      </w:r>
      <w:r w:rsidR="00033D0F">
        <w:rPr>
          <w:spacing w:val="-2"/>
          <w:position w:val="1"/>
        </w:rPr>
        <w:t xml:space="preserve"> </w:t>
      </w:r>
      <w:r w:rsidR="00033D0F">
        <w:rPr>
          <w:position w:val="1"/>
        </w:rPr>
        <w:t>appears</w:t>
      </w:r>
      <w:r w:rsidR="00033D0F">
        <w:rPr>
          <w:spacing w:val="-1"/>
          <w:position w:val="1"/>
        </w:rPr>
        <w:t xml:space="preserve"> </w:t>
      </w:r>
      <w:r w:rsidR="00033D0F">
        <w:rPr>
          <w:position w:val="1"/>
        </w:rPr>
        <w:t>to be limited</w:t>
      </w:r>
      <w:r w:rsidR="00033D0F">
        <w:rPr>
          <w:spacing w:val="-4"/>
          <w:position w:val="1"/>
        </w:rPr>
        <w:t xml:space="preserve"> </w:t>
      </w:r>
      <w:r w:rsidR="00033D0F">
        <w:rPr>
          <w:position w:val="1"/>
        </w:rPr>
        <w:t>substantive</w:t>
      </w:r>
      <w:r w:rsidR="00033D0F">
        <w:rPr>
          <w:spacing w:val="-2"/>
          <w:position w:val="1"/>
        </w:rPr>
        <w:t xml:space="preserve"> </w:t>
      </w:r>
      <w:r w:rsidR="00033D0F">
        <w:rPr>
          <w:position w:val="1"/>
        </w:rPr>
        <w:t>disagreement</w:t>
      </w:r>
      <w:r w:rsidR="00033D0F">
        <w:rPr>
          <w:spacing w:val="-2"/>
          <w:position w:val="1"/>
        </w:rPr>
        <w:t xml:space="preserve"> </w:t>
      </w:r>
      <w:r w:rsidR="00033D0F">
        <w:rPr>
          <w:position w:val="1"/>
        </w:rPr>
        <w:t>between</w:t>
      </w:r>
      <w:r w:rsidR="00033D0F">
        <w:rPr>
          <w:spacing w:val="-4"/>
          <w:position w:val="1"/>
        </w:rPr>
        <w:t xml:space="preserve"> </w:t>
      </w:r>
      <w:r w:rsidR="00033D0F">
        <w:rPr>
          <w:position w:val="1"/>
        </w:rPr>
        <w:t>the</w:t>
      </w:r>
      <w:r w:rsidR="00033D0F">
        <w:rPr>
          <w:spacing w:val="-2"/>
          <w:position w:val="1"/>
        </w:rPr>
        <w:t xml:space="preserve"> </w:t>
      </w:r>
      <w:r w:rsidR="00033D0F">
        <w:rPr>
          <w:position w:val="1"/>
        </w:rPr>
        <w:t>parties</w:t>
      </w:r>
      <w:r w:rsidR="00033D0F">
        <w:rPr>
          <w:spacing w:val="-1"/>
          <w:position w:val="1"/>
        </w:rPr>
        <w:t xml:space="preserve"> </w:t>
      </w:r>
      <w:r w:rsidR="00033D0F">
        <w:rPr>
          <w:position w:val="1"/>
        </w:rPr>
        <w:t>as</w:t>
      </w:r>
      <w:r w:rsidR="00033D0F">
        <w:rPr>
          <w:spacing w:val="-1"/>
          <w:position w:val="1"/>
        </w:rPr>
        <w:t xml:space="preserve"> </w:t>
      </w:r>
      <w:r w:rsidR="00033D0F">
        <w:rPr>
          <w:position w:val="1"/>
        </w:rPr>
        <w:t>to</w:t>
      </w:r>
      <w:r w:rsidR="00033D0F">
        <w:rPr>
          <w:spacing w:val="-5"/>
          <w:position w:val="1"/>
        </w:rPr>
        <w:t xml:space="preserve"> </w:t>
      </w:r>
      <w:r w:rsidR="00033D0F">
        <w:rPr>
          <w:position w:val="1"/>
        </w:rPr>
        <w:t xml:space="preserve">the </w:t>
      </w:r>
      <w:r w:rsidR="00033D0F">
        <w:t xml:space="preserve">legal interpretation of Article 6.2 of the Anti-Dumping Agreement. However, Australia notes that China's submissions place disproportionate emphasis on the fact that there are </w:t>
      </w:r>
      <w:r w:rsidR="00033D0F">
        <w:rPr>
          <w:i/>
        </w:rPr>
        <w:t xml:space="preserve">some </w:t>
      </w:r>
      <w:r w:rsidR="00033D0F">
        <w:t xml:space="preserve">limits on Article 6.2, rather than in engaging in what the obligation to give a full opportunity for the </w:t>
      </w:r>
      <w:proofErr w:type="spellStart"/>
      <w:r w:rsidR="00033D0F">
        <w:t>defence</w:t>
      </w:r>
      <w:proofErr w:type="spellEnd"/>
      <w:r w:rsidR="00033D0F">
        <w:t xml:space="preserve"> of interests entails.</w:t>
      </w:r>
    </w:p>
    <w:p w14:paraId="533F3AA0" w14:textId="77777777" w:rsidR="00BD462C" w:rsidRDefault="00BD462C">
      <w:pPr>
        <w:pStyle w:val="BodyText"/>
        <w:spacing w:before="5"/>
        <w:rPr>
          <w:sz w:val="8"/>
        </w:rPr>
      </w:pPr>
    </w:p>
    <w:p w14:paraId="3BB8F4E0" w14:textId="429BAC76" w:rsidR="00BD462C" w:rsidRDefault="00F439BE">
      <w:pPr>
        <w:pStyle w:val="BodyText"/>
        <w:spacing w:before="56" w:line="357" w:lineRule="auto"/>
        <w:ind w:left="135" w:right="918"/>
        <w:jc w:val="both"/>
      </w:pPr>
      <w:r>
        <w:rPr>
          <w:noProof/>
        </w:rPr>
        <w:t>776.</w:t>
      </w:r>
      <w:r w:rsidR="00033D0F">
        <w:rPr>
          <w:rFonts w:ascii="Times New Roman"/>
          <w:spacing w:val="80"/>
          <w:w w:val="150"/>
          <w:position w:val="1"/>
          <w:sz w:val="20"/>
        </w:rPr>
        <w:t xml:space="preserve">  </w:t>
      </w:r>
      <w:r w:rsidR="00033D0F">
        <w:rPr>
          <w:position w:val="1"/>
        </w:rPr>
        <w:t>China appears to imply some disagreement between the parties through its use of</w:t>
      </w:r>
      <w:r w:rsidR="00033D0F">
        <w:rPr>
          <w:spacing w:val="40"/>
          <w:position w:val="1"/>
        </w:rPr>
        <w:t xml:space="preserve"> </w:t>
      </w:r>
      <w:r w:rsidR="00033D0F">
        <w:t>the heading "the correct interpretation of Article 6.2", and its emphasis that Article 6.2:</w:t>
      </w:r>
    </w:p>
    <w:p w14:paraId="41970CAB" w14:textId="77777777" w:rsidR="00BD462C" w:rsidRDefault="00033D0F">
      <w:pPr>
        <w:pStyle w:val="ListParagraph"/>
        <w:numPr>
          <w:ilvl w:val="0"/>
          <w:numId w:val="23"/>
        </w:numPr>
        <w:tabs>
          <w:tab w:val="left" w:pos="1835"/>
          <w:tab w:val="left" w:pos="1836"/>
        </w:tabs>
        <w:spacing w:before="161" w:line="360" w:lineRule="auto"/>
        <w:ind w:right="909" w:hanging="855"/>
        <w:jc w:val="both"/>
        <w:rPr>
          <w:sz w:val="24"/>
        </w:rPr>
      </w:pPr>
      <w:r>
        <w:rPr>
          <w:sz w:val="24"/>
        </w:rPr>
        <w:t xml:space="preserve">does not give specific guidance on the type of procedural steps an investigating authority should take in ensuring the rights of interested </w:t>
      </w:r>
      <w:r>
        <w:rPr>
          <w:spacing w:val="-2"/>
          <w:sz w:val="24"/>
        </w:rPr>
        <w:t>parties;</w:t>
      </w:r>
      <w:hyperlink w:anchor="_bookmark1355" w:history="1">
        <w:r>
          <w:rPr>
            <w:spacing w:val="-2"/>
            <w:sz w:val="24"/>
            <w:vertAlign w:val="superscript"/>
          </w:rPr>
          <w:t>1168</w:t>
        </w:r>
      </w:hyperlink>
    </w:p>
    <w:p w14:paraId="5ACDC70C" w14:textId="77777777" w:rsidR="00BD462C" w:rsidRDefault="00033D0F">
      <w:pPr>
        <w:pStyle w:val="ListParagraph"/>
        <w:numPr>
          <w:ilvl w:val="0"/>
          <w:numId w:val="23"/>
        </w:numPr>
        <w:tabs>
          <w:tab w:val="left" w:pos="1835"/>
          <w:tab w:val="left" w:pos="1836"/>
        </w:tabs>
        <w:spacing w:before="118" w:line="360" w:lineRule="auto"/>
        <w:ind w:right="916" w:hanging="855"/>
        <w:jc w:val="both"/>
        <w:rPr>
          <w:sz w:val="24"/>
        </w:rPr>
      </w:pPr>
      <w:r>
        <w:rPr>
          <w:sz w:val="24"/>
        </w:rPr>
        <w:t xml:space="preserve">that the question of whether interested parties were given their full rights of </w:t>
      </w:r>
      <w:proofErr w:type="spellStart"/>
      <w:r>
        <w:rPr>
          <w:sz w:val="24"/>
        </w:rPr>
        <w:t>defence</w:t>
      </w:r>
      <w:proofErr w:type="spellEnd"/>
      <w:r>
        <w:rPr>
          <w:sz w:val="24"/>
        </w:rPr>
        <w:t xml:space="preserve"> must be determined on a case-by-case basis, in light of the particular circumstances of the investigation;</w:t>
      </w:r>
      <w:hyperlink w:anchor="_bookmark1356" w:history="1">
        <w:r>
          <w:rPr>
            <w:sz w:val="24"/>
            <w:vertAlign w:val="superscript"/>
          </w:rPr>
          <w:t>1169</w:t>
        </w:r>
      </w:hyperlink>
    </w:p>
    <w:p w14:paraId="235A09C7" w14:textId="77777777" w:rsidR="00BD462C" w:rsidRDefault="00033D0F">
      <w:pPr>
        <w:pStyle w:val="ListParagraph"/>
        <w:numPr>
          <w:ilvl w:val="0"/>
          <w:numId w:val="23"/>
        </w:numPr>
        <w:tabs>
          <w:tab w:val="left" w:pos="1835"/>
          <w:tab w:val="left" w:pos="1836"/>
        </w:tabs>
        <w:spacing w:before="123"/>
        <w:ind w:left="1835" w:hanging="851"/>
        <w:jc w:val="both"/>
        <w:rPr>
          <w:sz w:val="24"/>
        </w:rPr>
      </w:pPr>
      <w:r>
        <w:rPr>
          <w:sz w:val="24"/>
        </w:rPr>
        <w:t>does</w:t>
      </w:r>
      <w:r>
        <w:rPr>
          <w:spacing w:val="-2"/>
          <w:sz w:val="24"/>
        </w:rPr>
        <w:t xml:space="preserve"> </w:t>
      </w:r>
      <w:r>
        <w:rPr>
          <w:sz w:val="24"/>
        </w:rPr>
        <w:t>not</w:t>
      </w:r>
      <w:r>
        <w:rPr>
          <w:spacing w:val="-2"/>
          <w:sz w:val="24"/>
        </w:rPr>
        <w:t xml:space="preserve"> </w:t>
      </w:r>
      <w:r>
        <w:rPr>
          <w:sz w:val="24"/>
        </w:rPr>
        <w:t>provide</w:t>
      </w:r>
      <w:r>
        <w:rPr>
          <w:spacing w:val="-3"/>
          <w:sz w:val="24"/>
        </w:rPr>
        <w:t xml:space="preserve"> </w:t>
      </w:r>
      <w:r>
        <w:rPr>
          <w:sz w:val="24"/>
        </w:rPr>
        <w:t>"indefinite</w:t>
      </w:r>
      <w:r>
        <w:rPr>
          <w:spacing w:val="-2"/>
          <w:sz w:val="24"/>
        </w:rPr>
        <w:t xml:space="preserve"> </w:t>
      </w:r>
      <w:r>
        <w:rPr>
          <w:sz w:val="24"/>
        </w:rPr>
        <w:t>rights"</w:t>
      </w:r>
      <w:r>
        <w:rPr>
          <w:spacing w:val="-3"/>
          <w:sz w:val="24"/>
        </w:rPr>
        <w:t xml:space="preserve"> </w:t>
      </w:r>
      <w:r>
        <w:rPr>
          <w:sz w:val="24"/>
        </w:rPr>
        <w:t>to</w:t>
      </w:r>
      <w:r>
        <w:rPr>
          <w:spacing w:val="-5"/>
          <w:sz w:val="24"/>
        </w:rPr>
        <w:t xml:space="preserve"> </w:t>
      </w:r>
      <w:r>
        <w:rPr>
          <w:sz w:val="24"/>
        </w:rPr>
        <w:t>interested</w:t>
      </w:r>
      <w:r>
        <w:rPr>
          <w:spacing w:val="-4"/>
          <w:sz w:val="24"/>
        </w:rPr>
        <w:t xml:space="preserve"> </w:t>
      </w:r>
      <w:r>
        <w:rPr>
          <w:sz w:val="24"/>
        </w:rPr>
        <w:t>parties;</w:t>
      </w:r>
      <w:hyperlink w:anchor="_bookmark1357" w:history="1">
        <w:r>
          <w:rPr>
            <w:sz w:val="24"/>
            <w:vertAlign w:val="superscript"/>
          </w:rPr>
          <w:t>1170</w:t>
        </w:r>
      </w:hyperlink>
      <w:r>
        <w:rPr>
          <w:spacing w:val="-2"/>
          <w:sz w:val="24"/>
        </w:rPr>
        <w:t xml:space="preserve"> </w:t>
      </w:r>
      <w:r>
        <w:rPr>
          <w:spacing w:val="-5"/>
          <w:sz w:val="24"/>
        </w:rPr>
        <w:t>and</w:t>
      </w:r>
    </w:p>
    <w:p w14:paraId="5035D8C8" w14:textId="77777777" w:rsidR="00BD462C" w:rsidRDefault="00BD462C">
      <w:pPr>
        <w:pStyle w:val="BodyText"/>
        <w:rPr>
          <w:sz w:val="20"/>
        </w:rPr>
      </w:pPr>
    </w:p>
    <w:p w14:paraId="3CCA410E" w14:textId="1C060E35" w:rsidR="00BD462C" w:rsidRDefault="00D70C7D">
      <w:pPr>
        <w:pStyle w:val="BodyText"/>
        <w:spacing w:before="4"/>
        <w:rPr>
          <w:sz w:val="20"/>
        </w:rPr>
      </w:pPr>
      <w:r>
        <w:rPr>
          <w:noProof/>
        </w:rPr>
        <mc:AlternateContent>
          <mc:Choice Requires="wps">
            <w:drawing>
              <wp:anchor distT="0" distB="0" distL="0" distR="0" simplePos="0" relativeHeight="487842816" behindDoc="1" locked="0" layoutInCell="1" allowOverlap="1" wp14:anchorId="67CB160F" wp14:editId="4FFA5881">
                <wp:simplePos x="0" y="0"/>
                <wp:positionH relativeFrom="page">
                  <wp:posOffset>899160</wp:posOffset>
                </wp:positionH>
                <wp:positionV relativeFrom="paragraph">
                  <wp:posOffset>173355</wp:posOffset>
                </wp:positionV>
                <wp:extent cx="1828800" cy="8890"/>
                <wp:effectExtent l="0" t="0" r="0" b="0"/>
                <wp:wrapTopAndBottom/>
                <wp:docPr id="346" name="docshape5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91E478" id="docshape549" o:spid="_x0000_s1026" alt="&quot;&quot;" style="position:absolute;margin-left:70.8pt;margin-top:13.65pt;width:2in;height:.7pt;z-index:-1547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" fillcolor="black" stroked="f">
                <w10:wrap type="topAndBottom" anchorx="page"/>
              </v:rect>
            </w:pict>
          </mc:Fallback>
        </mc:AlternateContent>
      </w:r>
    </w:p>
    <w:p w14:paraId="362E8C1B" w14:textId="77777777" w:rsidR="00BD462C" w:rsidRDefault="00033D0F">
      <w:pPr>
        <w:spacing w:before="112" w:line="218" w:lineRule="exact"/>
        <w:ind w:left="135"/>
        <w:jc w:val="both"/>
        <w:rPr>
          <w:sz w:val="18"/>
        </w:rPr>
      </w:pPr>
      <w:bookmarkStart w:id="1572" w:name="_bookmark1353"/>
      <w:bookmarkEnd w:id="1572"/>
      <w:r>
        <w:rPr>
          <w:position w:val="5"/>
          <w:sz w:val="12"/>
        </w:rPr>
        <w:t>1166</w:t>
      </w:r>
      <w:r>
        <w:rPr>
          <w:spacing w:val="13"/>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 xml:space="preserve">para. </w:t>
      </w:r>
      <w:r>
        <w:rPr>
          <w:spacing w:val="-2"/>
          <w:sz w:val="18"/>
        </w:rPr>
        <w:t>2361.</w:t>
      </w:r>
    </w:p>
    <w:p w14:paraId="32C1AF5E" w14:textId="77777777" w:rsidR="00BD462C" w:rsidRDefault="00033D0F">
      <w:pPr>
        <w:ind w:left="136" w:right="903" w:hanging="1"/>
        <w:jc w:val="both"/>
        <w:rPr>
          <w:sz w:val="18"/>
        </w:rPr>
      </w:pPr>
      <w:bookmarkStart w:id="1573" w:name="_bookmark1354"/>
      <w:bookmarkEnd w:id="1573"/>
      <w:r>
        <w:rPr>
          <w:position w:val="5"/>
          <w:sz w:val="12"/>
        </w:rPr>
        <w:t>1167</w:t>
      </w:r>
      <w:r>
        <w:rPr>
          <w:spacing w:val="21"/>
          <w:position w:val="5"/>
          <w:sz w:val="12"/>
        </w:rPr>
        <w:t xml:space="preserve"> </w:t>
      </w:r>
      <w:r>
        <w:rPr>
          <w:sz w:val="18"/>
        </w:rPr>
        <w:t xml:space="preserve">China's first written submission, para. 2368 (referring to Panel Report, </w:t>
      </w:r>
      <w:r>
        <w:rPr>
          <w:i/>
          <w:sz w:val="18"/>
        </w:rPr>
        <w:t>Argentina – Ceramic</w:t>
      </w:r>
      <w:r>
        <w:rPr>
          <w:i/>
          <w:spacing w:val="-3"/>
          <w:sz w:val="18"/>
        </w:rPr>
        <w:t xml:space="preserve"> </w:t>
      </w:r>
      <w:r>
        <w:rPr>
          <w:i/>
          <w:sz w:val="18"/>
        </w:rPr>
        <w:t>Tiles</w:t>
      </w:r>
      <w:r>
        <w:rPr>
          <w:sz w:val="18"/>
        </w:rPr>
        <w:t>, para. 6.20). As is clear from the text, the panel described the interested parties as the "primary source information".</w:t>
      </w:r>
    </w:p>
    <w:p w14:paraId="4B716E88" w14:textId="77777777" w:rsidR="00BD462C" w:rsidRDefault="00033D0F">
      <w:pPr>
        <w:ind w:left="135" w:right="6493"/>
        <w:jc w:val="both"/>
        <w:rPr>
          <w:sz w:val="18"/>
        </w:rPr>
      </w:pPr>
      <w:bookmarkStart w:id="1574" w:name="_bookmark1355"/>
      <w:bookmarkEnd w:id="1574"/>
      <w:r>
        <w:rPr>
          <w:position w:val="5"/>
          <w:sz w:val="12"/>
        </w:rPr>
        <w:t>1168</w:t>
      </w:r>
      <w:r>
        <w:rPr>
          <w:spacing w:val="11"/>
          <w:position w:val="5"/>
          <w:sz w:val="12"/>
        </w:rPr>
        <w:t xml:space="preserve"> </w:t>
      </w:r>
      <w:r>
        <w:rPr>
          <w:sz w:val="18"/>
        </w:rPr>
        <w:t>China's</w:t>
      </w:r>
      <w:r>
        <w:rPr>
          <w:spacing w:val="-7"/>
          <w:sz w:val="18"/>
        </w:rPr>
        <w:t xml:space="preserve"> </w:t>
      </w:r>
      <w:r>
        <w:rPr>
          <w:sz w:val="18"/>
        </w:rPr>
        <w:t>first</w:t>
      </w:r>
      <w:r>
        <w:rPr>
          <w:spacing w:val="-6"/>
          <w:sz w:val="18"/>
        </w:rPr>
        <w:t xml:space="preserve"> </w:t>
      </w:r>
      <w:r>
        <w:rPr>
          <w:sz w:val="18"/>
        </w:rPr>
        <w:t>written</w:t>
      </w:r>
      <w:r>
        <w:rPr>
          <w:spacing w:val="-8"/>
          <w:sz w:val="18"/>
        </w:rPr>
        <w:t xml:space="preserve"> </w:t>
      </w:r>
      <w:r>
        <w:rPr>
          <w:sz w:val="18"/>
        </w:rPr>
        <w:t>submission,</w:t>
      </w:r>
      <w:r>
        <w:rPr>
          <w:spacing w:val="-1"/>
          <w:sz w:val="18"/>
        </w:rPr>
        <w:t xml:space="preserve"> </w:t>
      </w:r>
      <w:r>
        <w:rPr>
          <w:sz w:val="18"/>
        </w:rPr>
        <w:t>para.</w:t>
      </w:r>
      <w:r>
        <w:rPr>
          <w:spacing w:val="-2"/>
          <w:sz w:val="18"/>
        </w:rPr>
        <w:t xml:space="preserve"> </w:t>
      </w:r>
      <w:r>
        <w:rPr>
          <w:sz w:val="18"/>
        </w:rPr>
        <w:t xml:space="preserve">2370. </w:t>
      </w:r>
      <w:bookmarkStart w:id="1575" w:name="_bookmark1356"/>
      <w:bookmarkEnd w:id="1575"/>
      <w:r>
        <w:rPr>
          <w:position w:val="5"/>
          <w:sz w:val="12"/>
        </w:rPr>
        <w:t>1169</w:t>
      </w:r>
      <w:r>
        <w:rPr>
          <w:spacing w:val="11"/>
          <w:position w:val="5"/>
          <w:sz w:val="12"/>
        </w:rPr>
        <w:t xml:space="preserve"> </w:t>
      </w:r>
      <w:r>
        <w:rPr>
          <w:sz w:val="18"/>
        </w:rPr>
        <w:t>China's</w:t>
      </w:r>
      <w:r>
        <w:rPr>
          <w:spacing w:val="-7"/>
          <w:sz w:val="18"/>
        </w:rPr>
        <w:t xml:space="preserve"> </w:t>
      </w:r>
      <w:r>
        <w:rPr>
          <w:sz w:val="18"/>
        </w:rPr>
        <w:t>first</w:t>
      </w:r>
      <w:r>
        <w:rPr>
          <w:spacing w:val="-6"/>
          <w:sz w:val="18"/>
        </w:rPr>
        <w:t xml:space="preserve"> </w:t>
      </w:r>
      <w:r>
        <w:rPr>
          <w:sz w:val="18"/>
        </w:rPr>
        <w:t>written</w:t>
      </w:r>
      <w:r>
        <w:rPr>
          <w:spacing w:val="-8"/>
          <w:sz w:val="18"/>
        </w:rPr>
        <w:t xml:space="preserve"> </w:t>
      </w:r>
      <w:r>
        <w:rPr>
          <w:sz w:val="18"/>
        </w:rPr>
        <w:t>submission,</w:t>
      </w:r>
      <w:r>
        <w:rPr>
          <w:spacing w:val="-1"/>
          <w:sz w:val="18"/>
        </w:rPr>
        <w:t xml:space="preserve"> </w:t>
      </w:r>
      <w:r>
        <w:rPr>
          <w:sz w:val="18"/>
        </w:rPr>
        <w:t>para.</w:t>
      </w:r>
      <w:r>
        <w:rPr>
          <w:spacing w:val="-2"/>
          <w:sz w:val="18"/>
        </w:rPr>
        <w:t xml:space="preserve"> </w:t>
      </w:r>
      <w:r>
        <w:rPr>
          <w:sz w:val="18"/>
        </w:rPr>
        <w:t xml:space="preserve">2371. </w:t>
      </w:r>
      <w:bookmarkStart w:id="1576" w:name="_bookmark1357"/>
      <w:bookmarkEnd w:id="1576"/>
      <w:r>
        <w:rPr>
          <w:position w:val="5"/>
          <w:sz w:val="12"/>
        </w:rPr>
        <w:t>1170</w:t>
      </w:r>
      <w:r>
        <w:rPr>
          <w:spacing w:val="13"/>
          <w:position w:val="5"/>
          <w:sz w:val="12"/>
        </w:rPr>
        <w:t xml:space="preserve"> </w:t>
      </w:r>
      <w:r>
        <w:rPr>
          <w:sz w:val="18"/>
        </w:rPr>
        <w:t>China's</w:t>
      </w:r>
      <w:r>
        <w:rPr>
          <w:spacing w:val="-5"/>
          <w:sz w:val="18"/>
        </w:rPr>
        <w:t xml:space="preserve"> </w:t>
      </w:r>
      <w:r>
        <w:rPr>
          <w:sz w:val="18"/>
        </w:rPr>
        <w:t>first</w:t>
      </w:r>
      <w:r>
        <w:rPr>
          <w:spacing w:val="-4"/>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 xml:space="preserve">para. </w:t>
      </w:r>
      <w:r>
        <w:rPr>
          <w:spacing w:val="-2"/>
          <w:sz w:val="18"/>
        </w:rPr>
        <w:t>2372.</w:t>
      </w:r>
    </w:p>
    <w:p w14:paraId="59AA38E3" w14:textId="77777777" w:rsidR="00BD462C" w:rsidRDefault="00BD462C">
      <w:pPr>
        <w:jc w:val="both"/>
        <w:rPr>
          <w:sz w:val="18"/>
        </w:rPr>
        <w:sectPr w:rsidR="00BD462C">
          <w:pgSz w:w="11910" w:h="16840"/>
          <w:pgMar w:top="860" w:right="500" w:bottom="780" w:left="1280" w:header="566" w:footer="590" w:gutter="0"/>
          <w:cols w:space="720"/>
        </w:sectPr>
      </w:pPr>
    </w:p>
    <w:p w14:paraId="7255425D"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4BDFEB30"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684E5E96"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218F8BA4" w14:textId="77777777" w:rsidR="00BD462C" w:rsidRDefault="00033D0F">
      <w:pPr>
        <w:pStyle w:val="ListParagraph"/>
        <w:numPr>
          <w:ilvl w:val="0"/>
          <w:numId w:val="23"/>
        </w:numPr>
        <w:tabs>
          <w:tab w:val="left" w:pos="1835"/>
          <w:tab w:val="left" w:pos="1836"/>
        </w:tabs>
        <w:spacing w:before="99" w:line="357" w:lineRule="auto"/>
        <w:ind w:right="917" w:hanging="855"/>
        <w:rPr>
          <w:sz w:val="24"/>
        </w:rPr>
      </w:pPr>
      <w:r>
        <w:rPr>
          <w:sz w:val="24"/>
        </w:rPr>
        <w:t xml:space="preserve">does not mean that parties can participate in the inquiry as and when they choose. </w:t>
      </w:r>
      <w:hyperlink w:anchor="_bookmark1358" w:history="1">
        <w:r>
          <w:rPr>
            <w:sz w:val="24"/>
            <w:vertAlign w:val="superscript"/>
          </w:rPr>
          <w:t>1171</w:t>
        </w:r>
      </w:hyperlink>
    </w:p>
    <w:p w14:paraId="1AECE2AE" w14:textId="1A9893C5" w:rsidR="00BD462C" w:rsidRDefault="00F439BE">
      <w:pPr>
        <w:pStyle w:val="BodyText"/>
        <w:spacing w:before="129" w:line="360" w:lineRule="auto"/>
        <w:ind w:left="135" w:right="912"/>
        <w:jc w:val="both"/>
      </w:pPr>
      <w:r>
        <w:rPr>
          <w:noProof/>
        </w:rPr>
        <w:t>777.</w:t>
      </w:r>
      <w:r w:rsidR="00033D0F">
        <w:rPr>
          <w:rFonts w:ascii="Times New Roman"/>
          <w:spacing w:val="80"/>
          <w:position w:val="1"/>
          <w:sz w:val="20"/>
        </w:rPr>
        <w:t xml:space="preserve">  </w:t>
      </w:r>
      <w:r w:rsidR="00033D0F">
        <w:rPr>
          <w:position w:val="1"/>
        </w:rPr>
        <w:t>Australia</w:t>
      </w:r>
      <w:r w:rsidR="00033D0F">
        <w:rPr>
          <w:spacing w:val="-13"/>
          <w:position w:val="1"/>
        </w:rPr>
        <w:t xml:space="preserve"> </w:t>
      </w:r>
      <w:r w:rsidR="00033D0F">
        <w:rPr>
          <w:position w:val="1"/>
        </w:rPr>
        <w:t>does</w:t>
      </w:r>
      <w:r w:rsidR="00033D0F">
        <w:rPr>
          <w:spacing w:val="-11"/>
          <w:position w:val="1"/>
        </w:rPr>
        <w:t xml:space="preserve"> </w:t>
      </w:r>
      <w:r w:rsidR="00033D0F">
        <w:rPr>
          <w:position w:val="1"/>
        </w:rPr>
        <w:t>not</w:t>
      </w:r>
      <w:r w:rsidR="00033D0F">
        <w:rPr>
          <w:spacing w:val="-12"/>
          <w:position w:val="1"/>
        </w:rPr>
        <w:t xml:space="preserve"> </w:t>
      </w:r>
      <w:r w:rsidR="00033D0F">
        <w:rPr>
          <w:position w:val="1"/>
        </w:rPr>
        <w:t>disagree</w:t>
      </w:r>
      <w:r w:rsidR="00033D0F">
        <w:rPr>
          <w:spacing w:val="-14"/>
          <w:position w:val="1"/>
        </w:rPr>
        <w:t xml:space="preserve"> </w:t>
      </w:r>
      <w:r w:rsidR="00033D0F">
        <w:rPr>
          <w:position w:val="1"/>
        </w:rPr>
        <w:t>with</w:t>
      </w:r>
      <w:r w:rsidR="00033D0F">
        <w:rPr>
          <w:spacing w:val="-14"/>
          <w:position w:val="1"/>
        </w:rPr>
        <w:t xml:space="preserve"> </w:t>
      </w:r>
      <w:r w:rsidR="00033D0F">
        <w:rPr>
          <w:position w:val="1"/>
        </w:rPr>
        <w:t>any</w:t>
      </w:r>
      <w:r w:rsidR="00033D0F">
        <w:rPr>
          <w:spacing w:val="-11"/>
          <w:position w:val="1"/>
        </w:rPr>
        <w:t xml:space="preserve"> </w:t>
      </w:r>
      <w:r w:rsidR="00033D0F">
        <w:rPr>
          <w:position w:val="1"/>
        </w:rPr>
        <w:t>of</w:t>
      </w:r>
      <w:r w:rsidR="00033D0F">
        <w:rPr>
          <w:spacing w:val="-14"/>
          <w:position w:val="1"/>
        </w:rPr>
        <w:t xml:space="preserve"> </w:t>
      </w:r>
      <w:r w:rsidR="00033D0F">
        <w:rPr>
          <w:position w:val="1"/>
        </w:rPr>
        <w:t>these</w:t>
      </w:r>
      <w:r w:rsidR="00033D0F">
        <w:rPr>
          <w:spacing w:val="-12"/>
          <w:position w:val="1"/>
        </w:rPr>
        <w:t xml:space="preserve"> </w:t>
      </w:r>
      <w:r w:rsidR="00033D0F">
        <w:rPr>
          <w:position w:val="1"/>
        </w:rPr>
        <w:t>propositions.</w:t>
      </w:r>
      <w:r w:rsidR="00033D0F">
        <w:rPr>
          <w:spacing w:val="-12"/>
          <w:position w:val="1"/>
        </w:rPr>
        <w:t xml:space="preserve"> </w:t>
      </w:r>
      <w:r w:rsidR="00033D0F">
        <w:rPr>
          <w:position w:val="1"/>
        </w:rPr>
        <w:t>However,</w:t>
      </w:r>
      <w:r w:rsidR="00033D0F">
        <w:rPr>
          <w:spacing w:val="-14"/>
          <w:position w:val="1"/>
        </w:rPr>
        <w:t xml:space="preserve"> </w:t>
      </w:r>
      <w:r w:rsidR="00033D0F">
        <w:rPr>
          <w:position w:val="1"/>
        </w:rPr>
        <w:t>the</w:t>
      </w:r>
      <w:r w:rsidR="00033D0F">
        <w:rPr>
          <w:spacing w:val="-12"/>
          <w:position w:val="1"/>
        </w:rPr>
        <w:t xml:space="preserve"> </w:t>
      </w:r>
      <w:r w:rsidR="00033D0F">
        <w:rPr>
          <w:position w:val="1"/>
        </w:rPr>
        <w:t>fact</w:t>
      </w:r>
      <w:r w:rsidR="00033D0F">
        <w:rPr>
          <w:spacing w:val="-12"/>
          <w:position w:val="1"/>
        </w:rPr>
        <w:t xml:space="preserve"> </w:t>
      </w:r>
      <w:r w:rsidR="00033D0F">
        <w:rPr>
          <w:position w:val="1"/>
        </w:rPr>
        <w:t>of</w:t>
      </w:r>
      <w:r w:rsidR="00033D0F">
        <w:rPr>
          <w:spacing w:val="-14"/>
          <w:position w:val="1"/>
        </w:rPr>
        <w:t xml:space="preserve"> </w:t>
      </w:r>
      <w:r w:rsidR="00033D0F">
        <w:rPr>
          <w:position w:val="1"/>
        </w:rPr>
        <w:t xml:space="preserve">these </w:t>
      </w:r>
      <w:r w:rsidR="00033D0F">
        <w:t xml:space="preserve">propositions does not diminish the rights of interested parties to a "full opportunity for the </w:t>
      </w:r>
      <w:proofErr w:type="spellStart"/>
      <w:r w:rsidR="00033D0F">
        <w:t>defence</w:t>
      </w:r>
      <w:proofErr w:type="spellEnd"/>
      <w:r w:rsidR="00033D0F">
        <w:rPr>
          <w:spacing w:val="-14"/>
        </w:rPr>
        <w:t xml:space="preserve"> </w:t>
      </w:r>
      <w:r w:rsidR="00033D0F">
        <w:t>or</w:t>
      </w:r>
      <w:r w:rsidR="00033D0F">
        <w:rPr>
          <w:spacing w:val="-14"/>
        </w:rPr>
        <w:t xml:space="preserve"> </w:t>
      </w:r>
      <w:r w:rsidR="00033D0F">
        <w:t>their</w:t>
      </w:r>
      <w:r w:rsidR="00033D0F">
        <w:rPr>
          <w:spacing w:val="-13"/>
        </w:rPr>
        <w:t xml:space="preserve"> </w:t>
      </w:r>
      <w:r w:rsidR="00033D0F">
        <w:t>interests"</w:t>
      </w:r>
      <w:r w:rsidR="00033D0F">
        <w:rPr>
          <w:spacing w:val="-14"/>
        </w:rPr>
        <w:t xml:space="preserve"> </w:t>
      </w:r>
      <w:r w:rsidR="00033D0F">
        <w:t>or</w:t>
      </w:r>
      <w:r w:rsidR="00033D0F">
        <w:rPr>
          <w:spacing w:val="-13"/>
        </w:rPr>
        <w:t xml:space="preserve"> </w:t>
      </w:r>
      <w:r w:rsidR="00033D0F">
        <w:t>the</w:t>
      </w:r>
      <w:r w:rsidR="00033D0F">
        <w:rPr>
          <w:spacing w:val="-14"/>
        </w:rPr>
        <w:t xml:space="preserve"> </w:t>
      </w:r>
      <w:r w:rsidR="00033D0F">
        <w:t>investigating</w:t>
      </w:r>
      <w:r w:rsidR="00033D0F">
        <w:rPr>
          <w:spacing w:val="-13"/>
        </w:rPr>
        <w:t xml:space="preserve"> </w:t>
      </w:r>
      <w:r w:rsidR="00033D0F">
        <w:t>authority's</w:t>
      </w:r>
      <w:r w:rsidR="00033D0F">
        <w:rPr>
          <w:spacing w:val="-14"/>
        </w:rPr>
        <w:t xml:space="preserve"> </w:t>
      </w:r>
      <w:r w:rsidR="00033D0F">
        <w:t>corresponding</w:t>
      </w:r>
      <w:r w:rsidR="00033D0F">
        <w:rPr>
          <w:spacing w:val="-14"/>
        </w:rPr>
        <w:t xml:space="preserve"> </w:t>
      </w:r>
      <w:r w:rsidR="00033D0F">
        <w:t>obligation</w:t>
      </w:r>
      <w:r w:rsidR="00033D0F">
        <w:rPr>
          <w:spacing w:val="-13"/>
        </w:rPr>
        <w:t xml:space="preserve"> </w:t>
      </w:r>
      <w:r w:rsidR="00033D0F">
        <w:t>to</w:t>
      </w:r>
      <w:r w:rsidR="00033D0F">
        <w:rPr>
          <w:spacing w:val="-14"/>
        </w:rPr>
        <w:t xml:space="preserve"> </w:t>
      </w:r>
      <w:r w:rsidR="00033D0F">
        <w:t xml:space="preserve">conduct its investigation in a manner that provides for and protects these rights. In other words, the legal considerations on which China focuses in its first written submission cannot be used to "read down" the guarantee that the first sentence of Article 6.2 provides to "all interested </w:t>
      </w:r>
      <w:r w:rsidR="00033D0F">
        <w:rPr>
          <w:spacing w:val="-2"/>
        </w:rPr>
        <w:t>parties".</w:t>
      </w:r>
    </w:p>
    <w:p w14:paraId="0CC0E75C" w14:textId="43736324" w:rsidR="00BD462C" w:rsidRDefault="002804B4">
      <w:pPr>
        <w:pStyle w:val="BodyText"/>
        <w:spacing w:before="164" w:line="357" w:lineRule="auto"/>
        <w:ind w:left="135" w:right="914"/>
        <w:jc w:val="both"/>
      </w:pPr>
      <w:r>
        <w:rPr>
          <w:noProof/>
        </w:rPr>
        <w:t>778.</w:t>
      </w:r>
      <w:r w:rsidR="00033D0F">
        <w:rPr>
          <w:rFonts w:ascii="Times New Roman" w:hAnsi="Times New Roman"/>
          <w:spacing w:val="80"/>
          <w:position w:val="1"/>
          <w:sz w:val="20"/>
        </w:rPr>
        <w:t xml:space="preserve">  </w:t>
      </w:r>
      <w:r w:rsidR="00033D0F">
        <w:rPr>
          <w:position w:val="1"/>
        </w:rPr>
        <w:t>In both its first written submission</w:t>
      </w:r>
      <w:hyperlink w:anchor="_bookmark1359" w:history="1">
        <w:r w:rsidR="00033D0F">
          <w:rPr>
            <w:position w:val="1"/>
            <w:vertAlign w:val="superscript"/>
          </w:rPr>
          <w:t>1172</w:t>
        </w:r>
      </w:hyperlink>
      <w:r w:rsidR="00033D0F">
        <w:rPr>
          <w:position w:val="1"/>
        </w:rPr>
        <w:t xml:space="preserve"> and its response to Panel question No. 58,</w:t>
      </w:r>
      <w:hyperlink w:anchor="_bookmark1360" w:history="1">
        <w:r w:rsidR="00033D0F">
          <w:rPr>
            <w:position w:val="1"/>
            <w:vertAlign w:val="superscript"/>
          </w:rPr>
          <w:t>1173</w:t>
        </w:r>
      </w:hyperlink>
      <w:r w:rsidR="00033D0F">
        <w:rPr>
          <w:position w:val="1"/>
        </w:rPr>
        <w:t xml:space="preserve"> </w:t>
      </w:r>
      <w:r w:rsidR="00033D0F">
        <w:t>China</w:t>
      </w:r>
      <w:r w:rsidR="00033D0F">
        <w:rPr>
          <w:spacing w:val="-9"/>
        </w:rPr>
        <w:t xml:space="preserve"> </w:t>
      </w:r>
      <w:r w:rsidR="00033D0F">
        <w:t>places</w:t>
      </w:r>
      <w:r w:rsidR="00033D0F">
        <w:rPr>
          <w:spacing w:val="-7"/>
        </w:rPr>
        <w:t xml:space="preserve"> </w:t>
      </w:r>
      <w:r w:rsidR="00033D0F">
        <w:t>emphasis</w:t>
      </w:r>
      <w:r w:rsidR="00033D0F">
        <w:rPr>
          <w:spacing w:val="-7"/>
        </w:rPr>
        <w:t xml:space="preserve"> </w:t>
      </w:r>
      <w:r w:rsidR="00033D0F">
        <w:t>on</w:t>
      </w:r>
      <w:r w:rsidR="00033D0F">
        <w:rPr>
          <w:spacing w:val="-10"/>
        </w:rPr>
        <w:t xml:space="preserve"> </w:t>
      </w:r>
      <w:r w:rsidR="00033D0F">
        <w:t>the</w:t>
      </w:r>
      <w:r w:rsidR="00033D0F">
        <w:rPr>
          <w:spacing w:val="-8"/>
        </w:rPr>
        <w:t xml:space="preserve"> </w:t>
      </w:r>
      <w:r w:rsidR="00033D0F">
        <w:t>statement</w:t>
      </w:r>
      <w:r w:rsidR="00033D0F">
        <w:rPr>
          <w:spacing w:val="-8"/>
        </w:rPr>
        <w:t xml:space="preserve"> </w:t>
      </w:r>
      <w:r w:rsidR="00033D0F">
        <w:t>by</w:t>
      </w:r>
      <w:r w:rsidR="00033D0F">
        <w:rPr>
          <w:spacing w:val="-7"/>
        </w:rPr>
        <w:t xml:space="preserve"> </w:t>
      </w:r>
      <w:r w:rsidR="00033D0F">
        <w:t>the</w:t>
      </w:r>
      <w:r w:rsidR="00033D0F">
        <w:rPr>
          <w:spacing w:val="-8"/>
        </w:rPr>
        <w:t xml:space="preserve"> </w:t>
      </w:r>
      <w:r w:rsidR="00033D0F">
        <w:t>panel</w:t>
      </w:r>
      <w:r w:rsidR="00033D0F">
        <w:rPr>
          <w:spacing w:val="-6"/>
        </w:rPr>
        <w:t xml:space="preserve"> </w:t>
      </w:r>
      <w:r w:rsidR="00033D0F">
        <w:t>in</w:t>
      </w:r>
      <w:r w:rsidR="00033D0F">
        <w:rPr>
          <w:spacing w:val="-10"/>
        </w:rPr>
        <w:t xml:space="preserve"> </w:t>
      </w:r>
      <w:r w:rsidR="00033D0F">
        <w:rPr>
          <w:i/>
        </w:rPr>
        <w:t>EU</w:t>
      </w:r>
      <w:r w:rsidR="00033D0F">
        <w:rPr>
          <w:i/>
          <w:spacing w:val="-8"/>
        </w:rPr>
        <w:t xml:space="preserve"> </w:t>
      </w:r>
      <w:r w:rsidR="00033D0F">
        <w:rPr>
          <w:i/>
        </w:rPr>
        <w:t>–</w:t>
      </w:r>
      <w:r w:rsidR="00033D0F">
        <w:rPr>
          <w:i/>
          <w:spacing w:val="-8"/>
        </w:rPr>
        <w:t xml:space="preserve"> </w:t>
      </w:r>
      <w:r w:rsidR="00033D0F">
        <w:rPr>
          <w:i/>
        </w:rPr>
        <w:t>Footwear</w:t>
      </w:r>
      <w:r w:rsidR="00033D0F">
        <w:rPr>
          <w:i/>
          <w:spacing w:val="-9"/>
        </w:rPr>
        <w:t xml:space="preserve"> </w:t>
      </w:r>
      <w:r w:rsidR="00033D0F">
        <w:rPr>
          <w:i/>
        </w:rPr>
        <w:t>(China)</w:t>
      </w:r>
      <w:r w:rsidR="00033D0F">
        <w:rPr>
          <w:i/>
          <w:spacing w:val="-10"/>
        </w:rPr>
        <w:t xml:space="preserve"> </w:t>
      </w:r>
      <w:r w:rsidR="00033D0F">
        <w:t>that</w:t>
      </w:r>
      <w:r w:rsidR="00033D0F">
        <w:rPr>
          <w:spacing w:val="-12"/>
        </w:rPr>
        <w:t xml:space="preserve"> </w:t>
      </w:r>
      <w:r w:rsidR="00033D0F">
        <w:t>Article</w:t>
      </w:r>
      <w:r w:rsidR="00033D0F">
        <w:rPr>
          <w:spacing w:val="-8"/>
        </w:rPr>
        <w:t xml:space="preserve"> </w:t>
      </w:r>
      <w:r w:rsidR="00033D0F">
        <w:t xml:space="preserve">6.2 does not contain a disclosure obligation. As Australia explained in its response to Panel question No. 58, </w:t>
      </w:r>
      <w:r w:rsidR="00033D0F">
        <w:rPr>
          <w:i/>
        </w:rPr>
        <w:t xml:space="preserve">EU – Footwear (China) </w:t>
      </w:r>
      <w:r w:rsidR="00033D0F">
        <w:t>does not contain a categorical statement that the fundamental</w:t>
      </w:r>
      <w:r w:rsidR="00033D0F">
        <w:rPr>
          <w:spacing w:val="-5"/>
        </w:rPr>
        <w:t xml:space="preserve"> </w:t>
      </w:r>
      <w:r w:rsidR="00033D0F">
        <w:t>right</w:t>
      </w:r>
      <w:r w:rsidR="00033D0F">
        <w:rPr>
          <w:spacing w:val="-7"/>
        </w:rPr>
        <w:t xml:space="preserve"> </w:t>
      </w:r>
      <w:r w:rsidR="00033D0F">
        <w:t>and</w:t>
      </w:r>
      <w:r w:rsidR="00033D0F">
        <w:rPr>
          <w:spacing w:val="-9"/>
        </w:rPr>
        <w:t xml:space="preserve"> </w:t>
      </w:r>
      <w:r w:rsidR="00033D0F">
        <w:t>obligation</w:t>
      </w:r>
      <w:r w:rsidR="00033D0F">
        <w:rPr>
          <w:spacing w:val="-9"/>
        </w:rPr>
        <w:t xml:space="preserve"> </w:t>
      </w:r>
      <w:r w:rsidR="00033D0F">
        <w:t>set</w:t>
      </w:r>
      <w:r w:rsidR="00033D0F">
        <w:rPr>
          <w:spacing w:val="-7"/>
        </w:rPr>
        <w:t xml:space="preserve"> </w:t>
      </w:r>
      <w:r w:rsidR="00033D0F">
        <w:t>forth</w:t>
      </w:r>
      <w:r w:rsidR="00033D0F">
        <w:rPr>
          <w:spacing w:val="-9"/>
        </w:rPr>
        <w:t xml:space="preserve"> </w:t>
      </w:r>
      <w:r w:rsidR="00033D0F">
        <w:t>in</w:t>
      </w:r>
      <w:r w:rsidR="00033D0F">
        <w:rPr>
          <w:spacing w:val="-9"/>
        </w:rPr>
        <w:t xml:space="preserve"> </w:t>
      </w:r>
      <w:r w:rsidR="00033D0F">
        <w:t>Article</w:t>
      </w:r>
      <w:r w:rsidR="00033D0F">
        <w:rPr>
          <w:spacing w:val="-7"/>
        </w:rPr>
        <w:t xml:space="preserve"> </w:t>
      </w:r>
      <w:r w:rsidR="00033D0F">
        <w:t>6.2</w:t>
      </w:r>
      <w:r w:rsidR="00033D0F">
        <w:rPr>
          <w:spacing w:val="-9"/>
        </w:rPr>
        <w:t xml:space="preserve"> </w:t>
      </w:r>
      <w:r w:rsidR="00033D0F">
        <w:t>will</w:t>
      </w:r>
      <w:r w:rsidR="00033D0F">
        <w:rPr>
          <w:spacing w:val="-5"/>
        </w:rPr>
        <w:t xml:space="preserve"> </w:t>
      </w:r>
      <w:r w:rsidR="00033D0F">
        <w:t>never</w:t>
      </w:r>
      <w:r w:rsidR="00033D0F">
        <w:rPr>
          <w:spacing w:val="-10"/>
        </w:rPr>
        <w:t xml:space="preserve"> </w:t>
      </w:r>
      <w:r w:rsidR="00033D0F">
        <w:t>require</w:t>
      </w:r>
      <w:r w:rsidR="00033D0F">
        <w:rPr>
          <w:spacing w:val="-7"/>
        </w:rPr>
        <w:t xml:space="preserve"> </w:t>
      </w:r>
      <w:r w:rsidR="00033D0F">
        <w:t>the</w:t>
      </w:r>
      <w:r w:rsidR="00033D0F">
        <w:rPr>
          <w:spacing w:val="-7"/>
        </w:rPr>
        <w:t xml:space="preserve"> </w:t>
      </w:r>
      <w:r w:rsidR="00033D0F">
        <w:t>provision</w:t>
      </w:r>
      <w:r w:rsidR="00033D0F">
        <w:rPr>
          <w:spacing w:val="-9"/>
        </w:rPr>
        <w:t xml:space="preserve"> </w:t>
      </w:r>
      <w:r w:rsidR="00033D0F">
        <w:t>of</w:t>
      </w:r>
      <w:r w:rsidR="00033D0F">
        <w:rPr>
          <w:spacing w:val="-9"/>
        </w:rPr>
        <w:t xml:space="preserve"> </w:t>
      </w:r>
      <w:r w:rsidR="00033D0F">
        <w:t>key information</w:t>
      </w:r>
      <w:r w:rsidR="00033D0F">
        <w:rPr>
          <w:spacing w:val="-11"/>
        </w:rPr>
        <w:t xml:space="preserve"> </w:t>
      </w:r>
      <w:r w:rsidR="00033D0F">
        <w:t>to</w:t>
      </w:r>
      <w:r w:rsidR="00033D0F">
        <w:rPr>
          <w:spacing w:val="-11"/>
        </w:rPr>
        <w:t xml:space="preserve"> </w:t>
      </w:r>
      <w:r w:rsidR="00033D0F">
        <w:t>an</w:t>
      </w:r>
      <w:r w:rsidR="00033D0F">
        <w:rPr>
          <w:spacing w:val="-11"/>
        </w:rPr>
        <w:t xml:space="preserve"> </w:t>
      </w:r>
      <w:r w:rsidR="00033D0F">
        <w:t>interested</w:t>
      </w:r>
      <w:r w:rsidR="00033D0F">
        <w:rPr>
          <w:spacing w:val="-11"/>
        </w:rPr>
        <w:t xml:space="preserve"> </w:t>
      </w:r>
      <w:r w:rsidR="00033D0F">
        <w:t>party.</w:t>
      </w:r>
      <w:r w:rsidR="00033D0F">
        <w:rPr>
          <w:spacing w:val="-8"/>
        </w:rPr>
        <w:t xml:space="preserve"> </w:t>
      </w:r>
      <w:r w:rsidR="00033D0F">
        <w:t>Rather,</w:t>
      </w:r>
      <w:r w:rsidR="00033D0F">
        <w:rPr>
          <w:spacing w:val="-7"/>
        </w:rPr>
        <w:t xml:space="preserve"> </w:t>
      </w:r>
      <w:r w:rsidR="00033D0F">
        <w:t>the</w:t>
      </w:r>
      <w:r w:rsidR="00033D0F">
        <w:rPr>
          <w:spacing w:val="-9"/>
        </w:rPr>
        <w:t xml:space="preserve"> </w:t>
      </w:r>
      <w:r w:rsidR="00033D0F">
        <w:t>panel</w:t>
      </w:r>
      <w:r w:rsidR="00033D0F">
        <w:rPr>
          <w:spacing w:val="-7"/>
        </w:rPr>
        <w:t xml:space="preserve"> </w:t>
      </w:r>
      <w:r w:rsidR="00033D0F">
        <w:t>only</w:t>
      </w:r>
      <w:r w:rsidR="00033D0F">
        <w:rPr>
          <w:spacing w:val="-8"/>
        </w:rPr>
        <w:t xml:space="preserve"> </w:t>
      </w:r>
      <w:r w:rsidR="00033D0F">
        <w:t>considered</w:t>
      </w:r>
      <w:r w:rsidR="00033D0F">
        <w:rPr>
          <w:spacing w:val="-11"/>
        </w:rPr>
        <w:t xml:space="preserve"> </w:t>
      </w:r>
      <w:r w:rsidR="00033D0F">
        <w:t>that</w:t>
      </w:r>
      <w:r w:rsidR="00033D0F">
        <w:rPr>
          <w:spacing w:val="-9"/>
        </w:rPr>
        <w:t xml:space="preserve"> </w:t>
      </w:r>
      <w:r w:rsidR="00033D0F">
        <w:t>Article</w:t>
      </w:r>
      <w:r w:rsidR="00033D0F">
        <w:rPr>
          <w:spacing w:val="-9"/>
        </w:rPr>
        <w:t xml:space="preserve"> </w:t>
      </w:r>
      <w:r w:rsidR="00033D0F">
        <w:t>6.2</w:t>
      </w:r>
      <w:r w:rsidR="00033D0F">
        <w:rPr>
          <w:spacing w:val="-11"/>
        </w:rPr>
        <w:t xml:space="preserve"> </w:t>
      </w:r>
      <w:r w:rsidR="00033D0F">
        <w:t>does</w:t>
      </w:r>
      <w:r w:rsidR="00033D0F">
        <w:rPr>
          <w:spacing w:val="-8"/>
        </w:rPr>
        <w:t xml:space="preserve"> </w:t>
      </w:r>
      <w:r w:rsidR="00033D0F">
        <w:t>not itself contain a "specific" obligation with respect to the disclosure of information.</w:t>
      </w:r>
      <w:hyperlink w:anchor="_bookmark1361" w:history="1">
        <w:r w:rsidR="00033D0F">
          <w:rPr>
            <w:vertAlign w:val="superscript"/>
          </w:rPr>
          <w:t>1174</w:t>
        </w:r>
      </w:hyperlink>
      <w:r w:rsidR="00033D0F">
        <w:t xml:space="preserve"> The obligation in the first sentence of Article 6.2 is broader in scope, and an infringement may arise where the investigating authority's conduct improperly deprives an interested party of its right to a full opportunity for the </w:t>
      </w:r>
      <w:proofErr w:type="spellStart"/>
      <w:r w:rsidR="00033D0F">
        <w:t>defence</w:t>
      </w:r>
      <w:proofErr w:type="spellEnd"/>
      <w:r w:rsidR="00033D0F">
        <w:t xml:space="preserve"> of its interests.</w:t>
      </w:r>
    </w:p>
    <w:p w14:paraId="5F786619" w14:textId="77777777" w:rsidR="00BD462C" w:rsidRDefault="00BD462C">
      <w:pPr>
        <w:pStyle w:val="BodyText"/>
        <w:spacing w:before="9"/>
        <w:rPr>
          <w:sz w:val="9"/>
        </w:rPr>
      </w:pPr>
    </w:p>
    <w:p w14:paraId="28F1B755" w14:textId="4A6D8314" w:rsidR="00BD462C" w:rsidRDefault="002804B4">
      <w:pPr>
        <w:pStyle w:val="BodyText"/>
        <w:spacing w:before="57" w:line="360" w:lineRule="auto"/>
        <w:ind w:left="136" w:right="911"/>
        <w:jc w:val="both"/>
      </w:pPr>
      <w:r>
        <w:rPr>
          <w:noProof/>
        </w:rPr>
        <w:t>779.</w:t>
      </w:r>
      <w:r w:rsidR="00033D0F">
        <w:rPr>
          <w:rFonts w:ascii="Times New Roman"/>
          <w:spacing w:val="80"/>
          <w:position w:val="1"/>
          <w:sz w:val="20"/>
        </w:rPr>
        <w:t xml:space="preserve">  </w:t>
      </w:r>
      <w:r w:rsidR="00033D0F">
        <w:rPr>
          <w:position w:val="1"/>
        </w:rPr>
        <w:t xml:space="preserve">In Australia's view, a failure to provide key information to an interested party or to </w:t>
      </w:r>
      <w:r w:rsidR="00033D0F">
        <w:t>improperly</w:t>
      </w:r>
      <w:r w:rsidR="00033D0F">
        <w:rPr>
          <w:spacing w:val="-7"/>
        </w:rPr>
        <w:t xml:space="preserve"> </w:t>
      </w:r>
      <w:r w:rsidR="00033D0F">
        <w:t>withhold</w:t>
      </w:r>
      <w:r w:rsidR="00033D0F">
        <w:rPr>
          <w:spacing w:val="-10"/>
        </w:rPr>
        <w:t xml:space="preserve"> </w:t>
      </w:r>
      <w:r w:rsidR="00033D0F">
        <w:t>relevant</w:t>
      </w:r>
      <w:r w:rsidR="00033D0F">
        <w:rPr>
          <w:spacing w:val="-8"/>
        </w:rPr>
        <w:t xml:space="preserve"> </w:t>
      </w:r>
      <w:r w:rsidR="00033D0F">
        <w:t>information</w:t>
      </w:r>
      <w:r w:rsidR="00033D0F">
        <w:rPr>
          <w:spacing w:val="-5"/>
        </w:rPr>
        <w:t xml:space="preserve"> </w:t>
      </w:r>
      <w:r w:rsidR="00033D0F">
        <w:t>(e.g.</w:t>
      </w:r>
      <w:r w:rsidR="00033D0F">
        <w:rPr>
          <w:spacing w:val="-7"/>
        </w:rPr>
        <w:t xml:space="preserve"> </w:t>
      </w:r>
      <w:r w:rsidR="00033D0F">
        <w:t>by</w:t>
      </w:r>
      <w:r w:rsidR="00033D0F">
        <w:rPr>
          <w:spacing w:val="-7"/>
        </w:rPr>
        <w:t xml:space="preserve"> </w:t>
      </w:r>
      <w:r w:rsidR="00033D0F">
        <w:t>improperly</w:t>
      </w:r>
      <w:r w:rsidR="00033D0F">
        <w:rPr>
          <w:spacing w:val="-7"/>
        </w:rPr>
        <w:t xml:space="preserve"> </w:t>
      </w:r>
      <w:r w:rsidR="00033D0F">
        <w:t>granting</w:t>
      </w:r>
      <w:r w:rsidR="00033D0F">
        <w:rPr>
          <w:spacing w:val="-7"/>
        </w:rPr>
        <w:t xml:space="preserve"> </w:t>
      </w:r>
      <w:r w:rsidR="00033D0F">
        <w:t>confidential</w:t>
      </w:r>
      <w:r w:rsidR="00033D0F">
        <w:rPr>
          <w:spacing w:val="-6"/>
        </w:rPr>
        <w:t xml:space="preserve"> </w:t>
      </w:r>
      <w:r w:rsidR="00033D0F">
        <w:t>treatment without</w:t>
      </w:r>
      <w:r w:rsidR="00033D0F">
        <w:rPr>
          <w:spacing w:val="-14"/>
        </w:rPr>
        <w:t xml:space="preserve"> </w:t>
      </w:r>
      <w:r w:rsidR="00033D0F">
        <w:t>requiring</w:t>
      </w:r>
      <w:r w:rsidR="00033D0F">
        <w:rPr>
          <w:spacing w:val="-12"/>
        </w:rPr>
        <w:t xml:space="preserve"> </w:t>
      </w:r>
      <w:r w:rsidR="00033D0F">
        <w:t>good</w:t>
      </w:r>
      <w:r w:rsidR="00033D0F">
        <w:rPr>
          <w:spacing w:val="-14"/>
        </w:rPr>
        <w:t xml:space="preserve"> </w:t>
      </w:r>
      <w:r w:rsidR="00033D0F">
        <w:t>cause</w:t>
      </w:r>
      <w:r w:rsidR="00033D0F">
        <w:rPr>
          <w:spacing w:val="-12"/>
        </w:rPr>
        <w:t xml:space="preserve"> </w:t>
      </w:r>
      <w:r w:rsidR="00033D0F">
        <w:t>to</w:t>
      </w:r>
      <w:r w:rsidR="00033D0F">
        <w:rPr>
          <w:spacing w:val="-14"/>
        </w:rPr>
        <w:t xml:space="preserve"> </w:t>
      </w:r>
      <w:r w:rsidR="00033D0F">
        <w:t>be</w:t>
      </w:r>
      <w:r w:rsidR="00033D0F">
        <w:rPr>
          <w:spacing w:val="-12"/>
        </w:rPr>
        <w:t xml:space="preserve"> </w:t>
      </w:r>
      <w:r w:rsidR="00033D0F">
        <w:t>shown,</w:t>
      </w:r>
      <w:r w:rsidR="00033D0F">
        <w:rPr>
          <w:spacing w:val="-10"/>
        </w:rPr>
        <w:t xml:space="preserve"> </w:t>
      </w:r>
      <w:r w:rsidR="00033D0F">
        <w:t>or</w:t>
      </w:r>
      <w:r w:rsidR="00033D0F">
        <w:rPr>
          <w:spacing w:val="-14"/>
        </w:rPr>
        <w:t xml:space="preserve"> </w:t>
      </w:r>
      <w:r w:rsidR="00033D0F">
        <w:t>by</w:t>
      </w:r>
      <w:r w:rsidR="00033D0F">
        <w:rPr>
          <w:spacing w:val="-11"/>
        </w:rPr>
        <w:t xml:space="preserve"> </w:t>
      </w:r>
      <w:r w:rsidR="00033D0F">
        <w:t>failing</w:t>
      </w:r>
      <w:r w:rsidR="00033D0F">
        <w:rPr>
          <w:spacing w:val="-11"/>
        </w:rPr>
        <w:t xml:space="preserve"> </w:t>
      </w:r>
      <w:r w:rsidR="00033D0F">
        <w:t>to</w:t>
      </w:r>
      <w:r w:rsidR="00033D0F">
        <w:rPr>
          <w:spacing w:val="-14"/>
        </w:rPr>
        <w:t xml:space="preserve"> </w:t>
      </w:r>
      <w:r w:rsidR="00033D0F">
        <w:t>require</w:t>
      </w:r>
      <w:r w:rsidR="00033D0F">
        <w:rPr>
          <w:spacing w:val="-12"/>
        </w:rPr>
        <w:t xml:space="preserve"> </w:t>
      </w:r>
      <w:r w:rsidR="00033D0F">
        <w:t>a</w:t>
      </w:r>
      <w:r w:rsidR="00033D0F">
        <w:rPr>
          <w:spacing w:val="-13"/>
        </w:rPr>
        <w:t xml:space="preserve"> </w:t>
      </w:r>
      <w:r w:rsidR="00033D0F">
        <w:t>non-confidential</w:t>
      </w:r>
      <w:r w:rsidR="00033D0F">
        <w:rPr>
          <w:spacing w:val="-11"/>
        </w:rPr>
        <w:t xml:space="preserve"> </w:t>
      </w:r>
      <w:r w:rsidR="00033D0F">
        <w:t xml:space="preserve">summary in sufficient detail to permit a reasonable understanding of the substance of the information granted confidential treatment) may, depending upon the relevant circumstances, have the effect of depriving the interested party of a full opportunity for the </w:t>
      </w:r>
      <w:proofErr w:type="spellStart"/>
      <w:r w:rsidR="00033D0F">
        <w:t>defence</w:t>
      </w:r>
      <w:proofErr w:type="spellEnd"/>
      <w:r w:rsidR="00033D0F">
        <w:t xml:space="preserve"> of its interests.</w:t>
      </w:r>
    </w:p>
    <w:p w14:paraId="5C130115" w14:textId="77777777" w:rsidR="00BD462C" w:rsidRDefault="00BD462C">
      <w:pPr>
        <w:pStyle w:val="BodyText"/>
        <w:spacing w:before="8"/>
        <w:rPr>
          <w:sz w:val="8"/>
        </w:rPr>
      </w:pPr>
    </w:p>
    <w:p w14:paraId="601D6E39" w14:textId="5C98FE85" w:rsidR="00BD462C" w:rsidRDefault="002804B4">
      <w:pPr>
        <w:pStyle w:val="BodyText"/>
        <w:spacing w:before="56" w:line="357" w:lineRule="auto"/>
        <w:ind w:left="136" w:right="923"/>
      </w:pPr>
      <w:r>
        <w:rPr>
          <w:noProof/>
        </w:rPr>
        <w:t>780.</w:t>
      </w:r>
      <w:r w:rsidR="00033D0F">
        <w:rPr>
          <w:rFonts w:ascii="Times New Roman"/>
          <w:spacing w:val="80"/>
          <w:position w:val="1"/>
          <w:sz w:val="20"/>
        </w:rPr>
        <w:t xml:space="preserve">   </w:t>
      </w:r>
      <w:r w:rsidR="00033D0F">
        <w:rPr>
          <w:position w:val="1"/>
        </w:rPr>
        <w:t>In</w:t>
      </w:r>
      <w:r w:rsidR="00033D0F">
        <w:rPr>
          <w:spacing w:val="-5"/>
          <w:position w:val="1"/>
        </w:rPr>
        <w:t xml:space="preserve"> </w:t>
      </w:r>
      <w:r w:rsidR="00033D0F">
        <w:rPr>
          <w:position w:val="1"/>
        </w:rPr>
        <w:t>any</w:t>
      </w:r>
      <w:r w:rsidR="00033D0F">
        <w:rPr>
          <w:spacing w:val="-2"/>
          <w:position w:val="1"/>
        </w:rPr>
        <w:t xml:space="preserve"> </w:t>
      </w:r>
      <w:r w:rsidR="00033D0F">
        <w:rPr>
          <w:position w:val="1"/>
        </w:rPr>
        <w:t>event,</w:t>
      </w:r>
      <w:r w:rsidR="00033D0F">
        <w:rPr>
          <w:spacing w:val="-1"/>
          <w:position w:val="1"/>
        </w:rPr>
        <w:t xml:space="preserve"> </w:t>
      </w:r>
      <w:r w:rsidR="00033D0F">
        <w:rPr>
          <w:position w:val="1"/>
        </w:rPr>
        <w:t>the</w:t>
      </w:r>
      <w:r w:rsidR="00033D0F">
        <w:rPr>
          <w:spacing w:val="-7"/>
          <w:position w:val="1"/>
        </w:rPr>
        <w:t xml:space="preserve"> </w:t>
      </w:r>
      <w:r w:rsidR="00033D0F">
        <w:rPr>
          <w:position w:val="1"/>
        </w:rPr>
        <w:t>wider</w:t>
      </w:r>
      <w:r w:rsidR="00033D0F">
        <w:rPr>
          <w:spacing w:val="-6"/>
          <w:position w:val="1"/>
        </w:rPr>
        <w:t xml:space="preserve"> </w:t>
      </w:r>
      <w:r w:rsidR="00033D0F">
        <w:rPr>
          <w:position w:val="1"/>
        </w:rPr>
        <w:t>issue</w:t>
      </w:r>
      <w:r w:rsidR="00033D0F">
        <w:rPr>
          <w:spacing w:val="-4"/>
          <w:position w:val="1"/>
        </w:rPr>
        <w:t xml:space="preserve"> </w:t>
      </w:r>
      <w:r w:rsidR="00033D0F">
        <w:rPr>
          <w:position w:val="1"/>
        </w:rPr>
        <w:t>of</w:t>
      </w:r>
      <w:r w:rsidR="00033D0F">
        <w:rPr>
          <w:spacing w:val="-5"/>
          <w:position w:val="1"/>
        </w:rPr>
        <w:t xml:space="preserve"> </w:t>
      </w:r>
      <w:r w:rsidR="00033D0F">
        <w:rPr>
          <w:position w:val="1"/>
        </w:rPr>
        <w:t>principle</w:t>
      </w:r>
      <w:r w:rsidR="00033D0F">
        <w:rPr>
          <w:spacing w:val="-7"/>
          <w:position w:val="1"/>
        </w:rPr>
        <w:t xml:space="preserve"> </w:t>
      </w:r>
      <w:r w:rsidR="00033D0F">
        <w:rPr>
          <w:position w:val="1"/>
        </w:rPr>
        <w:t>that</w:t>
      </w:r>
      <w:r w:rsidR="00033D0F">
        <w:rPr>
          <w:spacing w:val="-3"/>
          <w:position w:val="1"/>
        </w:rPr>
        <w:t xml:space="preserve"> </w:t>
      </w:r>
      <w:r w:rsidR="00033D0F">
        <w:rPr>
          <w:position w:val="1"/>
        </w:rPr>
        <w:t>China</w:t>
      </w:r>
      <w:r w:rsidR="00033D0F">
        <w:rPr>
          <w:spacing w:val="-4"/>
          <w:position w:val="1"/>
        </w:rPr>
        <w:t xml:space="preserve"> </w:t>
      </w:r>
      <w:r w:rsidR="00033D0F">
        <w:rPr>
          <w:position w:val="1"/>
        </w:rPr>
        <w:t>seeks</w:t>
      </w:r>
      <w:r w:rsidR="00033D0F">
        <w:rPr>
          <w:spacing w:val="-2"/>
          <w:position w:val="1"/>
        </w:rPr>
        <w:t xml:space="preserve"> </w:t>
      </w:r>
      <w:r w:rsidR="00033D0F">
        <w:rPr>
          <w:position w:val="1"/>
        </w:rPr>
        <w:t>to</w:t>
      </w:r>
      <w:r w:rsidR="00033D0F">
        <w:rPr>
          <w:spacing w:val="-6"/>
          <w:position w:val="1"/>
        </w:rPr>
        <w:t xml:space="preserve"> </w:t>
      </w:r>
      <w:r w:rsidR="00033D0F">
        <w:rPr>
          <w:position w:val="1"/>
        </w:rPr>
        <w:t>agitate</w:t>
      </w:r>
      <w:r w:rsidR="00033D0F">
        <w:rPr>
          <w:spacing w:val="-3"/>
          <w:position w:val="1"/>
        </w:rPr>
        <w:t xml:space="preserve"> </w:t>
      </w:r>
      <w:r w:rsidR="00033D0F">
        <w:rPr>
          <w:position w:val="1"/>
        </w:rPr>
        <w:t>does</w:t>
      </w:r>
      <w:r w:rsidR="00033D0F">
        <w:rPr>
          <w:spacing w:val="-2"/>
          <w:position w:val="1"/>
        </w:rPr>
        <w:t xml:space="preserve"> </w:t>
      </w:r>
      <w:r w:rsidR="00033D0F">
        <w:rPr>
          <w:position w:val="1"/>
        </w:rPr>
        <w:t>not</w:t>
      </w:r>
      <w:r w:rsidR="00033D0F">
        <w:rPr>
          <w:spacing w:val="-3"/>
          <w:position w:val="1"/>
        </w:rPr>
        <w:t xml:space="preserve"> </w:t>
      </w:r>
      <w:r w:rsidR="00033D0F">
        <w:rPr>
          <w:position w:val="1"/>
        </w:rPr>
        <w:t>arise</w:t>
      </w:r>
      <w:r w:rsidR="00033D0F">
        <w:rPr>
          <w:spacing w:val="-7"/>
          <w:position w:val="1"/>
        </w:rPr>
        <w:t xml:space="preserve"> </w:t>
      </w:r>
      <w:r w:rsidR="00033D0F">
        <w:rPr>
          <w:position w:val="1"/>
        </w:rPr>
        <w:t xml:space="preserve">in </w:t>
      </w:r>
      <w:r w:rsidR="00033D0F">
        <w:t>this</w:t>
      </w:r>
      <w:r w:rsidR="00033D0F">
        <w:rPr>
          <w:spacing w:val="37"/>
        </w:rPr>
        <w:t xml:space="preserve"> </w:t>
      </w:r>
      <w:r w:rsidR="00033D0F">
        <w:t>case.</w:t>
      </w:r>
      <w:r w:rsidR="00033D0F">
        <w:rPr>
          <w:spacing w:val="38"/>
        </w:rPr>
        <w:t xml:space="preserve"> </w:t>
      </w:r>
      <w:r w:rsidR="00033D0F">
        <w:t>Australia's</w:t>
      </w:r>
      <w:r w:rsidR="00033D0F">
        <w:rPr>
          <w:spacing w:val="37"/>
        </w:rPr>
        <w:t xml:space="preserve"> </w:t>
      </w:r>
      <w:r w:rsidR="00033D0F">
        <w:t>arguments</w:t>
      </w:r>
      <w:r w:rsidR="00033D0F">
        <w:rPr>
          <w:spacing w:val="38"/>
        </w:rPr>
        <w:t xml:space="preserve"> </w:t>
      </w:r>
      <w:r w:rsidR="00033D0F">
        <w:t>do</w:t>
      </w:r>
      <w:r w:rsidR="00033D0F">
        <w:rPr>
          <w:spacing w:val="38"/>
        </w:rPr>
        <w:t xml:space="preserve"> </w:t>
      </w:r>
      <w:r w:rsidR="00033D0F">
        <w:t>not</w:t>
      </w:r>
      <w:r w:rsidR="00033D0F">
        <w:rPr>
          <w:spacing w:val="42"/>
        </w:rPr>
        <w:t xml:space="preserve"> </w:t>
      </w:r>
      <w:r w:rsidR="00033D0F">
        <w:t>relate</w:t>
      </w:r>
      <w:r w:rsidR="00033D0F">
        <w:rPr>
          <w:spacing w:val="37"/>
        </w:rPr>
        <w:t xml:space="preserve"> </w:t>
      </w:r>
      <w:r w:rsidR="00033D0F">
        <w:t>to</w:t>
      </w:r>
      <w:r w:rsidR="00033D0F">
        <w:rPr>
          <w:spacing w:val="33"/>
        </w:rPr>
        <w:t xml:space="preserve"> </w:t>
      </w:r>
      <w:r w:rsidR="00033D0F">
        <w:t>the</w:t>
      </w:r>
      <w:r w:rsidR="00033D0F">
        <w:rPr>
          <w:spacing w:val="41"/>
        </w:rPr>
        <w:t xml:space="preserve"> </w:t>
      </w:r>
      <w:r w:rsidR="00033D0F">
        <w:t>existence</w:t>
      </w:r>
      <w:r w:rsidR="00033D0F">
        <w:rPr>
          <w:spacing w:val="36"/>
        </w:rPr>
        <w:t xml:space="preserve"> </w:t>
      </w:r>
      <w:r w:rsidR="00033D0F">
        <w:t>of</w:t>
      </w:r>
      <w:r w:rsidR="00033D0F">
        <w:rPr>
          <w:spacing w:val="35"/>
        </w:rPr>
        <w:t xml:space="preserve"> </w:t>
      </w:r>
      <w:r w:rsidR="00033D0F">
        <w:t>a</w:t>
      </w:r>
      <w:r w:rsidR="00033D0F">
        <w:rPr>
          <w:spacing w:val="40"/>
        </w:rPr>
        <w:t xml:space="preserve"> </w:t>
      </w:r>
      <w:r w:rsidR="00033D0F">
        <w:t>general</w:t>
      </w:r>
      <w:r w:rsidR="00033D0F">
        <w:rPr>
          <w:spacing w:val="44"/>
        </w:rPr>
        <w:t xml:space="preserve"> </w:t>
      </w:r>
      <w:r w:rsidR="00033D0F">
        <w:t>obligation</w:t>
      </w:r>
      <w:r w:rsidR="00033D0F">
        <w:rPr>
          <w:spacing w:val="35"/>
        </w:rPr>
        <w:t xml:space="preserve"> </w:t>
      </w:r>
      <w:r w:rsidR="00033D0F">
        <w:rPr>
          <w:spacing w:val="-5"/>
        </w:rPr>
        <w:t>of</w:t>
      </w:r>
    </w:p>
    <w:p w14:paraId="641A7A9D" w14:textId="33ADB915" w:rsidR="00BD462C" w:rsidRDefault="00D70C7D">
      <w:pPr>
        <w:pStyle w:val="BodyText"/>
        <w:spacing w:before="2"/>
        <w:rPr>
          <w:sz w:val="17"/>
        </w:rPr>
      </w:pPr>
      <w:r>
        <w:rPr>
          <w:noProof/>
        </w:rPr>
        <mc:AlternateContent>
          <mc:Choice Requires="wps">
            <w:drawing>
              <wp:anchor distT="0" distB="0" distL="0" distR="0" simplePos="0" relativeHeight="487843328" behindDoc="1" locked="0" layoutInCell="1" allowOverlap="1" wp14:anchorId="526CD24A" wp14:editId="52223DA1">
                <wp:simplePos x="0" y="0"/>
                <wp:positionH relativeFrom="page">
                  <wp:posOffset>899160</wp:posOffset>
                </wp:positionH>
                <wp:positionV relativeFrom="paragraph">
                  <wp:posOffset>148590</wp:posOffset>
                </wp:positionV>
                <wp:extent cx="1828800" cy="8890"/>
                <wp:effectExtent l="0" t="0" r="0" b="0"/>
                <wp:wrapTopAndBottom/>
                <wp:docPr id="344" name="docshape5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101EDE" id="docshape550" o:spid="_x0000_s1026" alt="&quot;&quot;" style="position:absolute;margin-left:70.8pt;margin-top:11.7pt;width:2in;height:.7pt;z-index:-1547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" fillcolor="black" stroked="f">
                <w10:wrap type="topAndBottom" anchorx="page"/>
              </v:rect>
            </w:pict>
          </mc:Fallback>
        </mc:AlternateContent>
      </w:r>
    </w:p>
    <w:p w14:paraId="66DEC72D" w14:textId="77777777" w:rsidR="00BD462C" w:rsidRDefault="00033D0F">
      <w:pPr>
        <w:spacing w:before="112"/>
        <w:ind w:left="135"/>
        <w:rPr>
          <w:sz w:val="18"/>
        </w:rPr>
      </w:pPr>
      <w:bookmarkStart w:id="1577" w:name="_bookmark1358"/>
      <w:bookmarkEnd w:id="1577"/>
      <w:r>
        <w:rPr>
          <w:position w:val="5"/>
          <w:sz w:val="12"/>
        </w:rPr>
        <w:t>1171</w:t>
      </w:r>
      <w:r>
        <w:rPr>
          <w:spacing w:val="13"/>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 xml:space="preserve">para. </w:t>
      </w:r>
      <w:r>
        <w:rPr>
          <w:spacing w:val="-2"/>
          <w:sz w:val="18"/>
        </w:rPr>
        <w:t>2373.</w:t>
      </w:r>
    </w:p>
    <w:p w14:paraId="0B8C0A01" w14:textId="77777777" w:rsidR="00BD462C" w:rsidRDefault="00033D0F">
      <w:pPr>
        <w:spacing w:before="1"/>
        <w:ind w:left="135"/>
        <w:rPr>
          <w:sz w:val="18"/>
        </w:rPr>
      </w:pPr>
      <w:bookmarkStart w:id="1578" w:name="_bookmark1359"/>
      <w:bookmarkEnd w:id="1578"/>
      <w:r>
        <w:rPr>
          <w:position w:val="5"/>
          <w:sz w:val="12"/>
        </w:rPr>
        <w:t>1172</w:t>
      </w:r>
      <w:r>
        <w:rPr>
          <w:spacing w:val="13"/>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 xml:space="preserve">para. </w:t>
      </w:r>
      <w:r>
        <w:rPr>
          <w:spacing w:val="-2"/>
          <w:sz w:val="18"/>
        </w:rPr>
        <w:t>2374.</w:t>
      </w:r>
    </w:p>
    <w:p w14:paraId="1668771F" w14:textId="77777777" w:rsidR="00BD462C" w:rsidRDefault="00033D0F">
      <w:pPr>
        <w:spacing w:before="1"/>
        <w:ind w:left="135"/>
        <w:rPr>
          <w:sz w:val="18"/>
        </w:rPr>
      </w:pPr>
      <w:bookmarkStart w:id="1579" w:name="_bookmark1360"/>
      <w:bookmarkEnd w:id="1579"/>
      <w:r>
        <w:rPr>
          <w:position w:val="5"/>
          <w:sz w:val="12"/>
        </w:rPr>
        <w:t>1173</w:t>
      </w:r>
      <w:r>
        <w:rPr>
          <w:spacing w:val="13"/>
          <w:position w:val="5"/>
          <w:sz w:val="12"/>
        </w:rPr>
        <w:t xml:space="preserve"> </w:t>
      </w:r>
      <w:r>
        <w:rPr>
          <w:sz w:val="18"/>
        </w:rPr>
        <w:t>China's response</w:t>
      </w:r>
      <w:r>
        <w:rPr>
          <w:spacing w:val="-4"/>
          <w:sz w:val="18"/>
        </w:rPr>
        <w:t xml:space="preserve"> </w:t>
      </w:r>
      <w:r>
        <w:rPr>
          <w:sz w:val="18"/>
        </w:rPr>
        <w:t>to</w:t>
      </w:r>
      <w:r>
        <w:rPr>
          <w:spacing w:val="-11"/>
          <w:sz w:val="18"/>
        </w:rPr>
        <w:t xml:space="preserve"> </w:t>
      </w:r>
      <w:r>
        <w:rPr>
          <w:sz w:val="18"/>
        </w:rPr>
        <w:t>Panel</w:t>
      </w:r>
      <w:r>
        <w:rPr>
          <w:spacing w:val="-3"/>
          <w:sz w:val="18"/>
        </w:rPr>
        <w:t xml:space="preserve"> </w:t>
      </w:r>
      <w:r>
        <w:rPr>
          <w:sz w:val="18"/>
        </w:rPr>
        <w:t>question</w:t>
      </w:r>
      <w:r>
        <w:rPr>
          <w:spacing w:val="-5"/>
          <w:sz w:val="18"/>
        </w:rPr>
        <w:t xml:space="preserve"> </w:t>
      </w:r>
      <w:r>
        <w:rPr>
          <w:sz w:val="18"/>
        </w:rPr>
        <w:t>No.</w:t>
      </w:r>
      <w:r>
        <w:rPr>
          <w:spacing w:val="1"/>
          <w:sz w:val="18"/>
        </w:rPr>
        <w:t xml:space="preserve"> </w:t>
      </w:r>
      <w:r>
        <w:rPr>
          <w:sz w:val="18"/>
        </w:rPr>
        <w:t>58,</w:t>
      </w:r>
      <w:r>
        <w:rPr>
          <w:spacing w:val="-3"/>
          <w:sz w:val="18"/>
        </w:rPr>
        <w:t xml:space="preserve"> </w:t>
      </w:r>
      <w:r>
        <w:rPr>
          <w:sz w:val="18"/>
        </w:rPr>
        <w:t>paras.</w:t>
      </w:r>
      <w:r>
        <w:rPr>
          <w:spacing w:val="1"/>
          <w:sz w:val="18"/>
        </w:rPr>
        <w:t xml:space="preserve"> </w:t>
      </w:r>
      <w:r>
        <w:rPr>
          <w:sz w:val="18"/>
        </w:rPr>
        <w:t>340-</w:t>
      </w:r>
      <w:r>
        <w:rPr>
          <w:spacing w:val="-4"/>
          <w:sz w:val="18"/>
        </w:rPr>
        <w:t>344.</w:t>
      </w:r>
    </w:p>
    <w:p w14:paraId="40AEA0ED" w14:textId="77777777" w:rsidR="00BD462C" w:rsidRDefault="00033D0F">
      <w:pPr>
        <w:spacing w:before="1"/>
        <w:ind w:left="135"/>
        <w:rPr>
          <w:sz w:val="18"/>
        </w:rPr>
      </w:pPr>
      <w:bookmarkStart w:id="1580" w:name="_bookmark1361"/>
      <w:bookmarkEnd w:id="1580"/>
      <w:r>
        <w:rPr>
          <w:position w:val="5"/>
          <w:sz w:val="12"/>
        </w:rPr>
        <w:t>1174</w:t>
      </w:r>
      <w:r>
        <w:rPr>
          <w:spacing w:val="14"/>
          <w:position w:val="5"/>
          <w:sz w:val="12"/>
        </w:rPr>
        <w:t xml:space="preserve"> </w:t>
      </w:r>
      <w:r>
        <w:rPr>
          <w:sz w:val="18"/>
        </w:rPr>
        <w:t>Australia's response</w:t>
      </w:r>
      <w:r>
        <w:rPr>
          <w:spacing w:val="-4"/>
          <w:sz w:val="18"/>
        </w:rPr>
        <w:t xml:space="preserve"> </w:t>
      </w:r>
      <w:r>
        <w:rPr>
          <w:sz w:val="18"/>
        </w:rPr>
        <w:t>to</w:t>
      </w:r>
      <w:r>
        <w:rPr>
          <w:spacing w:val="-5"/>
          <w:sz w:val="18"/>
        </w:rPr>
        <w:t xml:space="preserve"> </w:t>
      </w:r>
      <w:r>
        <w:rPr>
          <w:sz w:val="18"/>
        </w:rPr>
        <w:t>Panel</w:t>
      </w:r>
      <w:r>
        <w:rPr>
          <w:spacing w:val="-3"/>
          <w:sz w:val="18"/>
        </w:rPr>
        <w:t xml:space="preserve"> </w:t>
      </w:r>
      <w:r>
        <w:rPr>
          <w:sz w:val="18"/>
        </w:rPr>
        <w:t>question</w:t>
      </w:r>
      <w:r>
        <w:rPr>
          <w:spacing w:val="-4"/>
          <w:sz w:val="18"/>
        </w:rPr>
        <w:t xml:space="preserve"> </w:t>
      </w:r>
      <w:r>
        <w:rPr>
          <w:sz w:val="18"/>
        </w:rPr>
        <w:t>No.</w:t>
      </w:r>
      <w:r>
        <w:rPr>
          <w:spacing w:val="-4"/>
          <w:sz w:val="18"/>
        </w:rPr>
        <w:t xml:space="preserve"> </w:t>
      </w:r>
      <w:r>
        <w:rPr>
          <w:sz w:val="18"/>
        </w:rPr>
        <w:t>58,</w:t>
      </w:r>
      <w:r>
        <w:rPr>
          <w:spacing w:val="-2"/>
          <w:sz w:val="18"/>
        </w:rPr>
        <w:t xml:space="preserve"> </w:t>
      </w:r>
      <w:r>
        <w:rPr>
          <w:sz w:val="18"/>
        </w:rPr>
        <w:t>para.</w:t>
      </w:r>
      <w:r>
        <w:rPr>
          <w:spacing w:val="1"/>
          <w:sz w:val="18"/>
        </w:rPr>
        <w:t xml:space="preserve"> </w:t>
      </w:r>
      <w:r>
        <w:rPr>
          <w:spacing w:val="-4"/>
          <w:sz w:val="18"/>
        </w:rPr>
        <w:t>141.</w:t>
      </w:r>
    </w:p>
    <w:p w14:paraId="06607493" w14:textId="77777777" w:rsidR="00BD462C" w:rsidRDefault="00BD462C">
      <w:pPr>
        <w:rPr>
          <w:sz w:val="18"/>
        </w:rPr>
        <w:sectPr w:rsidR="00BD462C">
          <w:pgSz w:w="11910" w:h="16840"/>
          <w:pgMar w:top="860" w:right="500" w:bottom="780" w:left="1280" w:header="566" w:footer="590" w:gutter="0"/>
          <w:cols w:space="720"/>
        </w:sectPr>
      </w:pPr>
    </w:p>
    <w:p w14:paraId="3D64E207"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623FE9FA"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490007F1"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213D8683" w14:textId="77777777" w:rsidR="00BD462C" w:rsidRDefault="00033D0F">
      <w:pPr>
        <w:pStyle w:val="BodyText"/>
        <w:spacing w:before="102" w:line="360" w:lineRule="auto"/>
        <w:ind w:left="135" w:right="913"/>
        <w:jc w:val="both"/>
      </w:pPr>
      <w:r>
        <w:t xml:space="preserve">"disclosure" of substantive information by MOFCOM analogous to the type of information considered in </w:t>
      </w:r>
      <w:r>
        <w:rPr>
          <w:i/>
        </w:rPr>
        <w:t>EU – Footwear (China)</w:t>
      </w:r>
      <w:r>
        <w:t>.</w:t>
      </w:r>
      <w:hyperlink w:anchor="_bookmark1363" w:history="1">
        <w:r>
          <w:rPr>
            <w:vertAlign w:val="superscript"/>
          </w:rPr>
          <w:t>1175</w:t>
        </w:r>
      </w:hyperlink>
      <w:r>
        <w:t xml:space="preserve"> Australia's arguments are concerned with a specific course of dealings between MOFCOM and Casella Wines that denied Casella Wines an opportunity</w:t>
      </w:r>
      <w:r>
        <w:rPr>
          <w:spacing w:val="-7"/>
        </w:rPr>
        <w:t xml:space="preserve"> </w:t>
      </w:r>
      <w:r>
        <w:t>for</w:t>
      </w:r>
      <w:r>
        <w:rPr>
          <w:spacing w:val="-11"/>
        </w:rPr>
        <w:t xml:space="preserve"> </w:t>
      </w:r>
      <w:r>
        <w:t>a</w:t>
      </w:r>
      <w:r>
        <w:rPr>
          <w:spacing w:val="-9"/>
        </w:rPr>
        <w:t xml:space="preserve"> </w:t>
      </w:r>
      <w:r>
        <w:t>full</w:t>
      </w:r>
      <w:r>
        <w:rPr>
          <w:spacing w:val="-6"/>
        </w:rPr>
        <w:t xml:space="preserve"> </w:t>
      </w:r>
      <w:proofErr w:type="spellStart"/>
      <w:r>
        <w:t>defence</w:t>
      </w:r>
      <w:proofErr w:type="spellEnd"/>
      <w:r>
        <w:rPr>
          <w:spacing w:val="-8"/>
        </w:rPr>
        <w:t xml:space="preserve"> </w:t>
      </w:r>
      <w:r>
        <w:t>of</w:t>
      </w:r>
      <w:r>
        <w:rPr>
          <w:spacing w:val="-10"/>
        </w:rPr>
        <w:t xml:space="preserve"> </w:t>
      </w:r>
      <w:r>
        <w:t>its</w:t>
      </w:r>
      <w:r>
        <w:rPr>
          <w:spacing w:val="-7"/>
        </w:rPr>
        <w:t xml:space="preserve"> </w:t>
      </w:r>
      <w:r>
        <w:t>interests</w:t>
      </w:r>
      <w:r>
        <w:rPr>
          <w:spacing w:val="-7"/>
        </w:rPr>
        <w:t xml:space="preserve"> </w:t>
      </w:r>
      <w:r>
        <w:t>in</w:t>
      </w:r>
      <w:r>
        <w:rPr>
          <w:spacing w:val="-10"/>
        </w:rPr>
        <w:t xml:space="preserve"> </w:t>
      </w:r>
      <w:r>
        <w:t>breach</w:t>
      </w:r>
      <w:r>
        <w:rPr>
          <w:spacing w:val="-10"/>
        </w:rPr>
        <w:t xml:space="preserve"> </w:t>
      </w:r>
      <w:r>
        <w:t>of</w:t>
      </w:r>
      <w:r>
        <w:rPr>
          <w:spacing w:val="-10"/>
        </w:rPr>
        <w:t xml:space="preserve"> </w:t>
      </w:r>
      <w:r>
        <w:t>China's</w:t>
      </w:r>
      <w:r>
        <w:rPr>
          <w:spacing w:val="-6"/>
        </w:rPr>
        <w:t xml:space="preserve"> </w:t>
      </w:r>
      <w:r>
        <w:t>obligations</w:t>
      </w:r>
      <w:r>
        <w:rPr>
          <w:spacing w:val="-7"/>
        </w:rPr>
        <w:t xml:space="preserve"> </w:t>
      </w:r>
      <w:r>
        <w:t>under</w:t>
      </w:r>
      <w:r>
        <w:rPr>
          <w:spacing w:val="-11"/>
        </w:rPr>
        <w:t xml:space="preserve"> </w:t>
      </w:r>
      <w:r>
        <w:t>Article</w:t>
      </w:r>
      <w:r>
        <w:rPr>
          <w:spacing w:val="-8"/>
        </w:rPr>
        <w:t xml:space="preserve"> </w:t>
      </w:r>
      <w:r>
        <w:t>6.2.</w:t>
      </w:r>
    </w:p>
    <w:p w14:paraId="505E20E3" w14:textId="77777777" w:rsidR="00BD462C" w:rsidRDefault="00033D0F">
      <w:pPr>
        <w:pStyle w:val="Heading3"/>
        <w:numPr>
          <w:ilvl w:val="0"/>
          <w:numId w:val="25"/>
        </w:numPr>
        <w:tabs>
          <w:tab w:val="left" w:pos="2545"/>
          <w:tab w:val="left" w:pos="2546"/>
        </w:tabs>
        <w:spacing w:before="158" w:line="362" w:lineRule="auto"/>
        <w:ind w:left="2545" w:right="918" w:hanging="850"/>
        <w:jc w:val="both"/>
      </w:pPr>
      <w:bookmarkStart w:id="1581" w:name="4._MOFCOM_failed_to_give_due_considerati"/>
      <w:bookmarkStart w:id="1582" w:name="_bookmark1362"/>
      <w:bookmarkEnd w:id="1581"/>
      <w:bookmarkEnd w:id="1582"/>
      <w:r>
        <w:t>MOFCOM</w:t>
      </w:r>
      <w:r>
        <w:rPr>
          <w:spacing w:val="-4"/>
        </w:rPr>
        <w:t xml:space="preserve"> </w:t>
      </w:r>
      <w:r>
        <w:t>failed</w:t>
      </w:r>
      <w:r>
        <w:rPr>
          <w:spacing w:val="-4"/>
        </w:rPr>
        <w:t xml:space="preserve"> </w:t>
      </w:r>
      <w:r>
        <w:t>to</w:t>
      </w:r>
      <w:r>
        <w:rPr>
          <w:spacing w:val="-4"/>
        </w:rPr>
        <w:t xml:space="preserve"> </w:t>
      </w:r>
      <w:r>
        <w:t>give</w:t>
      </w:r>
      <w:r>
        <w:rPr>
          <w:spacing w:val="-6"/>
        </w:rPr>
        <w:t xml:space="preserve"> </w:t>
      </w:r>
      <w:r>
        <w:t>due</w:t>
      </w:r>
      <w:r>
        <w:rPr>
          <w:spacing w:val="-6"/>
        </w:rPr>
        <w:t xml:space="preserve"> </w:t>
      </w:r>
      <w:r>
        <w:t>consideration</w:t>
      </w:r>
      <w:r>
        <w:rPr>
          <w:spacing w:val="-4"/>
        </w:rPr>
        <w:t xml:space="preserve"> </w:t>
      </w:r>
      <w:r>
        <w:t>to extension</w:t>
      </w:r>
      <w:r>
        <w:rPr>
          <w:spacing w:val="-4"/>
        </w:rPr>
        <w:t xml:space="preserve"> </w:t>
      </w:r>
      <w:r>
        <w:t>requests</w:t>
      </w:r>
      <w:r>
        <w:rPr>
          <w:spacing w:val="-5"/>
        </w:rPr>
        <w:t xml:space="preserve"> </w:t>
      </w:r>
      <w:r>
        <w:t>or to grant extensions whenever practicable</w:t>
      </w:r>
    </w:p>
    <w:p w14:paraId="46208160" w14:textId="77777777" w:rsidR="00BD462C" w:rsidRDefault="00033D0F">
      <w:pPr>
        <w:pStyle w:val="ListParagraph"/>
        <w:numPr>
          <w:ilvl w:val="1"/>
          <w:numId w:val="25"/>
        </w:numPr>
        <w:tabs>
          <w:tab w:val="left" w:pos="3539"/>
          <w:tab w:val="left" w:pos="3540"/>
        </w:tabs>
        <w:spacing w:before="157"/>
        <w:ind w:hanging="851"/>
        <w:jc w:val="both"/>
        <w:rPr>
          <w:sz w:val="24"/>
        </w:rPr>
      </w:pPr>
      <w:bookmarkStart w:id="1583" w:name="(a)_Failure_to_give_due_consideration_to"/>
      <w:bookmarkEnd w:id="1583"/>
      <w:r>
        <w:rPr>
          <w:sz w:val="24"/>
          <w:u w:val="single"/>
        </w:rPr>
        <w:t>Failure</w:t>
      </w:r>
      <w:r>
        <w:rPr>
          <w:spacing w:val="-1"/>
          <w:sz w:val="24"/>
          <w:u w:val="single"/>
        </w:rPr>
        <w:t xml:space="preserve"> </w:t>
      </w:r>
      <w:r>
        <w:rPr>
          <w:sz w:val="24"/>
          <w:u w:val="single"/>
        </w:rPr>
        <w:t>to</w:t>
      </w:r>
      <w:r>
        <w:rPr>
          <w:spacing w:val="-4"/>
          <w:sz w:val="24"/>
          <w:u w:val="single"/>
        </w:rPr>
        <w:t xml:space="preserve"> </w:t>
      </w:r>
      <w:r>
        <w:rPr>
          <w:sz w:val="24"/>
          <w:u w:val="single"/>
        </w:rPr>
        <w:t>give</w:t>
      </w:r>
      <w:r>
        <w:rPr>
          <w:spacing w:val="-1"/>
          <w:sz w:val="24"/>
          <w:u w:val="single"/>
        </w:rPr>
        <w:t xml:space="preserve"> </w:t>
      </w:r>
      <w:r>
        <w:rPr>
          <w:sz w:val="24"/>
          <w:u w:val="single"/>
        </w:rPr>
        <w:t>due</w:t>
      </w:r>
      <w:r>
        <w:rPr>
          <w:spacing w:val="-2"/>
          <w:sz w:val="24"/>
          <w:u w:val="single"/>
        </w:rPr>
        <w:t xml:space="preserve"> </w:t>
      </w:r>
      <w:r>
        <w:rPr>
          <w:sz w:val="24"/>
          <w:u w:val="single"/>
        </w:rPr>
        <w:t>consideration</w:t>
      </w:r>
      <w:r>
        <w:rPr>
          <w:spacing w:val="-3"/>
          <w:sz w:val="24"/>
          <w:u w:val="single"/>
        </w:rPr>
        <w:t xml:space="preserve"> </w:t>
      </w:r>
      <w:r>
        <w:rPr>
          <w:sz w:val="24"/>
          <w:u w:val="single"/>
        </w:rPr>
        <w:t>to</w:t>
      </w:r>
      <w:r>
        <w:rPr>
          <w:spacing w:val="-4"/>
          <w:sz w:val="24"/>
          <w:u w:val="single"/>
        </w:rPr>
        <w:t xml:space="preserve"> </w:t>
      </w:r>
      <w:r>
        <w:rPr>
          <w:sz w:val="24"/>
          <w:u w:val="single"/>
        </w:rPr>
        <w:t>extension</w:t>
      </w:r>
      <w:r>
        <w:rPr>
          <w:spacing w:val="-3"/>
          <w:sz w:val="24"/>
          <w:u w:val="single"/>
        </w:rPr>
        <w:t xml:space="preserve"> </w:t>
      </w:r>
      <w:r>
        <w:rPr>
          <w:spacing w:val="-2"/>
          <w:sz w:val="24"/>
          <w:u w:val="single"/>
        </w:rPr>
        <w:t>requests</w:t>
      </w:r>
    </w:p>
    <w:p w14:paraId="681022B4" w14:textId="77777777" w:rsidR="00BD462C" w:rsidRDefault="00BD462C">
      <w:pPr>
        <w:pStyle w:val="BodyText"/>
        <w:spacing w:before="6"/>
        <w:rPr>
          <w:sz w:val="20"/>
        </w:rPr>
      </w:pPr>
    </w:p>
    <w:p w14:paraId="4E1043A2" w14:textId="76DCE9E8" w:rsidR="00BD462C" w:rsidRDefault="002804B4">
      <w:pPr>
        <w:pStyle w:val="BodyText"/>
        <w:spacing w:before="56" w:line="360" w:lineRule="auto"/>
        <w:ind w:left="135" w:right="916"/>
        <w:jc w:val="both"/>
      </w:pPr>
      <w:r>
        <w:rPr>
          <w:noProof/>
        </w:rPr>
        <w:t>781.</w:t>
      </w:r>
      <w:r w:rsidR="00033D0F">
        <w:rPr>
          <w:rFonts w:ascii="Times New Roman"/>
          <w:spacing w:val="80"/>
          <w:position w:val="1"/>
          <w:sz w:val="20"/>
        </w:rPr>
        <w:t xml:space="preserve">  </w:t>
      </w:r>
      <w:r w:rsidR="00033D0F">
        <w:rPr>
          <w:position w:val="1"/>
        </w:rPr>
        <w:t xml:space="preserve">MOFCOM's failure to give due consideration to the requests of Treasury Wines and </w:t>
      </w:r>
      <w:r w:rsidR="00033D0F">
        <w:t>Casella Wines for extensions of time to submit their questionnaire responses is evident from the lack of reference in MOFCOM's reasons to any of the compelling grounds the parties presented.</w:t>
      </w:r>
      <w:hyperlink w:anchor="_bookmark1364" w:history="1">
        <w:r w:rsidR="00033D0F">
          <w:rPr>
            <w:vertAlign w:val="superscript"/>
          </w:rPr>
          <w:t>1176</w:t>
        </w:r>
      </w:hyperlink>
      <w:r w:rsidR="00033D0F">
        <w:rPr>
          <w:spacing w:val="-1"/>
        </w:rPr>
        <w:t xml:space="preserve"> </w:t>
      </w:r>
      <w:r w:rsidR="00033D0F">
        <w:t>These</w:t>
      </w:r>
      <w:r w:rsidR="00033D0F">
        <w:rPr>
          <w:spacing w:val="-1"/>
        </w:rPr>
        <w:t xml:space="preserve"> </w:t>
      </w:r>
      <w:r w:rsidR="00033D0F">
        <w:t>grounds were reasonable</w:t>
      </w:r>
      <w:r w:rsidR="00033D0F">
        <w:rPr>
          <w:spacing w:val="-1"/>
        </w:rPr>
        <w:t xml:space="preserve"> </w:t>
      </w:r>
      <w:r w:rsidR="00033D0F">
        <w:t>on their</w:t>
      </w:r>
      <w:r w:rsidR="00033D0F">
        <w:rPr>
          <w:spacing w:val="-4"/>
        </w:rPr>
        <w:t xml:space="preserve"> </w:t>
      </w:r>
      <w:r w:rsidR="00033D0F">
        <w:t>face</w:t>
      </w:r>
      <w:r w:rsidR="00033D0F">
        <w:rPr>
          <w:spacing w:val="-1"/>
        </w:rPr>
        <w:t xml:space="preserve"> </w:t>
      </w:r>
      <w:r w:rsidR="00033D0F">
        <w:t>and</w:t>
      </w:r>
      <w:r w:rsidR="00033D0F">
        <w:rPr>
          <w:spacing w:val="-3"/>
        </w:rPr>
        <w:t xml:space="preserve"> </w:t>
      </w:r>
      <w:r w:rsidR="00033D0F">
        <w:t>supported</w:t>
      </w:r>
      <w:r w:rsidR="00033D0F">
        <w:rPr>
          <w:spacing w:val="-3"/>
        </w:rPr>
        <w:t xml:space="preserve"> </w:t>
      </w:r>
      <w:r w:rsidR="00033D0F">
        <w:t>by evidence, but, apparently, MOFCOM summarily dismissed them.</w:t>
      </w:r>
    </w:p>
    <w:p w14:paraId="60FF7B6F" w14:textId="77777777" w:rsidR="00BD462C" w:rsidRDefault="00BD462C">
      <w:pPr>
        <w:pStyle w:val="BodyText"/>
        <w:spacing w:before="11"/>
        <w:rPr>
          <w:sz w:val="8"/>
        </w:rPr>
      </w:pPr>
    </w:p>
    <w:p w14:paraId="442F4C82" w14:textId="3DE1D1FE" w:rsidR="00BD462C" w:rsidRDefault="002804B4">
      <w:pPr>
        <w:pStyle w:val="BodyText"/>
        <w:spacing w:before="56" w:line="360" w:lineRule="auto"/>
        <w:ind w:left="135" w:right="911"/>
        <w:jc w:val="both"/>
      </w:pPr>
      <w:r>
        <w:rPr>
          <w:noProof/>
        </w:rPr>
        <w:t>782.</w:t>
      </w:r>
      <w:r w:rsidR="00033D0F">
        <w:rPr>
          <w:rFonts w:ascii="Times New Roman"/>
          <w:spacing w:val="40"/>
          <w:position w:val="1"/>
          <w:sz w:val="20"/>
        </w:rPr>
        <w:t xml:space="preserve">  </w:t>
      </w:r>
      <w:r w:rsidR="00033D0F">
        <w:rPr>
          <w:position w:val="1"/>
        </w:rPr>
        <w:t xml:space="preserve">In its first written submission, China put forward a number of speculative, unfair </w:t>
      </w:r>
      <w:r w:rsidR="00033D0F">
        <w:t xml:space="preserve">assumptions in an attempt to </w:t>
      </w:r>
      <w:proofErr w:type="spellStart"/>
      <w:r w:rsidR="00033D0F">
        <w:t>rationalise</w:t>
      </w:r>
      <w:proofErr w:type="spellEnd"/>
      <w:r w:rsidR="00033D0F">
        <w:t xml:space="preserve"> a basis for MOFCOM's refusal to grant the extension.</w:t>
      </w:r>
      <w:hyperlink w:anchor="_bookmark1365" w:history="1">
        <w:r w:rsidR="00033D0F">
          <w:rPr>
            <w:vertAlign w:val="superscript"/>
          </w:rPr>
          <w:t>1177</w:t>
        </w:r>
      </w:hyperlink>
      <w:r w:rsidR="00033D0F">
        <w:t xml:space="preserve"> Subsequently, in response to Panel question No. 57, China asserted that these matters were in fact findings that MOFCOM made.</w:t>
      </w:r>
      <w:hyperlink w:anchor="_bookmark1366" w:history="1">
        <w:r w:rsidR="00033D0F">
          <w:rPr>
            <w:vertAlign w:val="superscript"/>
          </w:rPr>
          <w:t>1178</w:t>
        </w:r>
      </w:hyperlink>
      <w:r w:rsidR="00033D0F">
        <w:t xml:space="preserve"> These assertions have no basis in the </w:t>
      </w:r>
      <w:r w:rsidR="00033D0F">
        <w:rPr>
          <w:spacing w:val="-2"/>
        </w:rPr>
        <w:t>record.</w:t>
      </w:r>
    </w:p>
    <w:p w14:paraId="6596E261" w14:textId="77777777" w:rsidR="00BD462C" w:rsidRDefault="00BD462C">
      <w:pPr>
        <w:pStyle w:val="BodyText"/>
        <w:spacing w:before="6"/>
        <w:rPr>
          <w:sz w:val="8"/>
        </w:rPr>
      </w:pPr>
    </w:p>
    <w:p w14:paraId="68778431" w14:textId="13D57F0C" w:rsidR="00BD462C" w:rsidRDefault="002804B4">
      <w:pPr>
        <w:pStyle w:val="BodyText"/>
        <w:spacing w:before="56" w:line="357" w:lineRule="auto"/>
        <w:ind w:left="135" w:right="913"/>
        <w:jc w:val="both"/>
      </w:pPr>
      <w:r>
        <w:rPr>
          <w:noProof/>
        </w:rPr>
        <w:t>783.</w:t>
      </w:r>
      <w:r w:rsidR="00033D0F">
        <w:rPr>
          <w:rFonts w:ascii="Times New Roman"/>
          <w:spacing w:val="80"/>
          <w:w w:val="150"/>
          <w:position w:val="1"/>
          <w:sz w:val="20"/>
        </w:rPr>
        <w:t xml:space="preserve">  </w:t>
      </w:r>
      <w:r w:rsidR="00033D0F">
        <w:rPr>
          <w:position w:val="1"/>
        </w:rPr>
        <w:t>For</w:t>
      </w:r>
      <w:r w:rsidR="00033D0F">
        <w:rPr>
          <w:spacing w:val="-14"/>
          <w:position w:val="1"/>
        </w:rPr>
        <w:t xml:space="preserve"> </w:t>
      </w:r>
      <w:r w:rsidR="00033D0F">
        <w:rPr>
          <w:position w:val="1"/>
        </w:rPr>
        <w:t>example,</w:t>
      </w:r>
      <w:r w:rsidR="00033D0F">
        <w:rPr>
          <w:spacing w:val="-14"/>
          <w:position w:val="1"/>
        </w:rPr>
        <w:t xml:space="preserve"> </w:t>
      </w:r>
      <w:r w:rsidR="00033D0F">
        <w:rPr>
          <w:position w:val="1"/>
        </w:rPr>
        <w:t>China</w:t>
      </w:r>
      <w:r w:rsidR="00033D0F">
        <w:rPr>
          <w:spacing w:val="-13"/>
          <w:position w:val="1"/>
        </w:rPr>
        <w:t xml:space="preserve"> </w:t>
      </w:r>
      <w:r w:rsidR="00033D0F">
        <w:rPr>
          <w:position w:val="1"/>
        </w:rPr>
        <w:t>asserted</w:t>
      </w:r>
      <w:r w:rsidR="00033D0F">
        <w:rPr>
          <w:spacing w:val="-14"/>
          <w:position w:val="1"/>
        </w:rPr>
        <w:t xml:space="preserve"> </w:t>
      </w:r>
      <w:r w:rsidR="00033D0F">
        <w:rPr>
          <w:position w:val="1"/>
        </w:rPr>
        <w:t>that</w:t>
      </w:r>
      <w:r w:rsidR="00033D0F">
        <w:rPr>
          <w:spacing w:val="-13"/>
          <w:position w:val="1"/>
        </w:rPr>
        <w:t xml:space="preserve"> </w:t>
      </w:r>
      <w:r w:rsidR="00033D0F">
        <w:rPr>
          <w:position w:val="1"/>
        </w:rPr>
        <w:t>MOFCOM</w:t>
      </w:r>
      <w:r w:rsidR="00033D0F">
        <w:rPr>
          <w:spacing w:val="-14"/>
          <w:position w:val="1"/>
        </w:rPr>
        <w:t xml:space="preserve"> </w:t>
      </w:r>
      <w:r w:rsidR="00033D0F">
        <w:rPr>
          <w:position w:val="1"/>
        </w:rPr>
        <w:t>found</w:t>
      </w:r>
      <w:r w:rsidR="00033D0F">
        <w:rPr>
          <w:spacing w:val="-13"/>
          <w:position w:val="1"/>
        </w:rPr>
        <w:t xml:space="preserve"> </w:t>
      </w:r>
      <w:r w:rsidR="00033D0F">
        <w:rPr>
          <w:position w:val="1"/>
        </w:rPr>
        <w:t>that</w:t>
      </w:r>
      <w:r w:rsidR="00033D0F">
        <w:rPr>
          <w:spacing w:val="-14"/>
          <w:position w:val="1"/>
        </w:rPr>
        <w:t xml:space="preserve"> </w:t>
      </w:r>
      <w:r w:rsidR="00033D0F">
        <w:rPr>
          <w:position w:val="1"/>
        </w:rPr>
        <w:t>since</w:t>
      </w:r>
      <w:r w:rsidR="00033D0F">
        <w:rPr>
          <w:spacing w:val="-14"/>
          <w:position w:val="1"/>
        </w:rPr>
        <w:t xml:space="preserve"> </w:t>
      </w:r>
      <w:r w:rsidR="00033D0F">
        <w:rPr>
          <w:position w:val="1"/>
        </w:rPr>
        <w:t>there</w:t>
      </w:r>
      <w:r w:rsidR="00033D0F">
        <w:rPr>
          <w:spacing w:val="-13"/>
          <w:position w:val="1"/>
        </w:rPr>
        <w:t xml:space="preserve"> </w:t>
      </w:r>
      <w:r w:rsidR="00033D0F">
        <w:rPr>
          <w:position w:val="1"/>
        </w:rPr>
        <w:t>is</w:t>
      </w:r>
      <w:r w:rsidR="00033D0F">
        <w:rPr>
          <w:spacing w:val="-14"/>
          <w:position w:val="1"/>
        </w:rPr>
        <w:t xml:space="preserve"> </w:t>
      </w:r>
      <w:r w:rsidR="00033D0F">
        <w:rPr>
          <w:position w:val="1"/>
        </w:rPr>
        <w:t>"nothing</w:t>
      </w:r>
      <w:r w:rsidR="00033D0F">
        <w:rPr>
          <w:spacing w:val="-13"/>
          <w:position w:val="1"/>
        </w:rPr>
        <w:t xml:space="preserve"> </w:t>
      </w:r>
      <w:r w:rsidR="00033D0F">
        <w:rPr>
          <w:position w:val="1"/>
        </w:rPr>
        <w:t>to</w:t>
      </w:r>
      <w:r w:rsidR="00033D0F">
        <w:rPr>
          <w:spacing w:val="-14"/>
          <w:position w:val="1"/>
        </w:rPr>
        <w:t xml:space="preserve"> </w:t>
      </w:r>
      <w:r w:rsidR="00033D0F">
        <w:rPr>
          <w:position w:val="1"/>
        </w:rPr>
        <w:t xml:space="preserve">show </w:t>
      </w:r>
      <w:r w:rsidR="00033D0F">
        <w:t>that the companies requesting extensions stopped other activities" during COVID-19 lockdowns,</w:t>
      </w:r>
      <w:r w:rsidR="00033D0F">
        <w:rPr>
          <w:spacing w:val="-10"/>
        </w:rPr>
        <w:t xml:space="preserve"> </w:t>
      </w:r>
      <w:r w:rsidR="00033D0F">
        <w:t>good</w:t>
      </w:r>
      <w:r w:rsidR="00033D0F">
        <w:rPr>
          <w:spacing w:val="-14"/>
        </w:rPr>
        <w:t xml:space="preserve"> </w:t>
      </w:r>
      <w:r w:rsidR="00033D0F">
        <w:t>cause</w:t>
      </w:r>
      <w:r w:rsidR="00033D0F">
        <w:rPr>
          <w:spacing w:val="-11"/>
        </w:rPr>
        <w:t xml:space="preserve"> </w:t>
      </w:r>
      <w:r w:rsidR="00033D0F">
        <w:t>for</w:t>
      </w:r>
      <w:r w:rsidR="00033D0F">
        <w:rPr>
          <w:spacing w:val="-14"/>
        </w:rPr>
        <w:t xml:space="preserve"> </w:t>
      </w:r>
      <w:r w:rsidR="00033D0F">
        <w:t>an</w:t>
      </w:r>
      <w:r w:rsidR="00033D0F">
        <w:rPr>
          <w:spacing w:val="-8"/>
        </w:rPr>
        <w:t xml:space="preserve"> </w:t>
      </w:r>
      <w:r w:rsidR="00033D0F">
        <w:t>extension</w:t>
      </w:r>
      <w:r w:rsidR="00033D0F">
        <w:rPr>
          <w:spacing w:val="-14"/>
        </w:rPr>
        <w:t xml:space="preserve"> </w:t>
      </w:r>
      <w:r w:rsidR="00033D0F">
        <w:t>request</w:t>
      </w:r>
      <w:r w:rsidR="00033D0F">
        <w:rPr>
          <w:spacing w:val="-10"/>
        </w:rPr>
        <w:t xml:space="preserve"> </w:t>
      </w:r>
      <w:r w:rsidR="00033D0F">
        <w:t>had</w:t>
      </w:r>
      <w:r w:rsidR="00033D0F">
        <w:rPr>
          <w:spacing w:val="-14"/>
        </w:rPr>
        <w:t xml:space="preserve"> </w:t>
      </w:r>
      <w:r w:rsidR="00033D0F">
        <w:t>not</w:t>
      </w:r>
      <w:r w:rsidR="00033D0F">
        <w:rPr>
          <w:spacing w:val="-6"/>
        </w:rPr>
        <w:t xml:space="preserve"> </w:t>
      </w:r>
      <w:r w:rsidR="00033D0F">
        <w:t>been</w:t>
      </w:r>
      <w:r w:rsidR="00033D0F">
        <w:rPr>
          <w:spacing w:val="-14"/>
        </w:rPr>
        <w:t xml:space="preserve"> </w:t>
      </w:r>
      <w:r w:rsidR="00033D0F">
        <w:t>shown.</w:t>
      </w:r>
      <w:hyperlink w:anchor="_bookmark1367" w:history="1">
        <w:r w:rsidR="00033D0F">
          <w:rPr>
            <w:vertAlign w:val="superscript"/>
          </w:rPr>
          <w:t>1179</w:t>
        </w:r>
      </w:hyperlink>
      <w:r w:rsidR="00033D0F">
        <w:rPr>
          <w:spacing w:val="-10"/>
        </w:rPr>
        <w:t xml:space="preserve"> </w:t>
      </w:r>
      <w:r w:rsidR="00033D0F">
        <w:t>There</w:t>
      </w:r>
      <w:r w:rsidR="00033D0F">
        <w:rPr>
          <w:spacing w:val="-12"/>
        </w:rPr>
        <w:t xml:space="preserve"> </w:t>
      </w:r>
      <w:r w:rsidR="00033D0F">
        <w:t>is</w:t>
      </w:r>
      <w:r w:rsidR="00033D0F">
        <w:rPr>
          <w:spacing w:val="-10"/>
        </w:rPr>
        <w:t xml:space="preserve"> </w:t>
      </w:r>
      <w:r w:rsidR="00033D0F">
        <w:t>no</w:t>
      </w:r>
      <w:r w:rsidR="00033D0F">
        <w:rPr>
          <w:spacing w:val="-10"/>
        </w:rPr>
        <w:t xml:space="preserve"> </w:t>
      </w:r>
      <w:r w:rsidR="00033D0F">
        <w:t>evidence on the record that MOFCOM made such a finding.</w:t>
      </w:r>
    </w:p>
    <w:p w14:paraId="4C174DA7" w14:textId="77777777" w:rsidR="00BD462C" w:rsidRDefault="00BD462C">
      <w:pPr>
        <w:pStyle w:val="BodyText"/>
        <w:rPr>
          <w:sz w:val="20"/>
        </w:rPr>
      </w:pPr>
    </w:p>
    <w:p w14:paraId="350AD131" w14:textId="77777777" w:rsidR="00BD462C" w:rsidRDefault="00BD462C">
      <w:pPr>
        <w:pStyle w:val="BodyText"/>
        <w:rPr>
          <w:sz w:val="20"/>
        </w:rPr>
      </w:pPr>
    </w:p>
    <w:p w14:paraId="7B081040" w14:textId="77777777" w:rsidR="00BD462C" w:rsidRDefault="00BD462C">
      <w:pPr>
        <w:pStyle w:val="BodyText"/>
        <w:rPr>
          <w:sz w:val="20"/>
        </w:rPr>
      </w:pPr>
    </w:p>
    <w:p w14:paraId="7F646414" w14:textId="3C581FC7" w:rsidR="00BD462C" w:rsidRDefault="00D70C7D">
      <w:pPr>
        <w:pStyle w:val="BodyText"/>
        <w:spacing w:before="3"/>
        <w:rPr>
          <w:sz w:val="14"/>
        </w:rPr>
      </w:pPr>
      <w:r>
        <w:rPr>
          <w:noProof/>
        </w:rPr>
        <mc:AlternateContent>
          <mc:Choice Requires="wps">
            <w:drawing>
              <wp:anchor distT="0" distB="0" distL="0" distR="0" simplePos="0" relativeHeight="487843840" behindDoc="1" locked="0" layoutInCell="1" allowOverlap="1" wp14:anchorId="239D4054" wp14:editId="06A3317E">
                <wp:simplePos x="0" y="0"/>
                <wp:positionH relativeFrom="page">
                  <wp:posOffset>899160</wp:posOffset>
                </wp:positionH>
                <wp:positionV relativeFrom="paragraph">
                  <wp:posOffset>125730</wp:posOffset>
                </wp:positionV>
                <wp:extent cx="1828800" cy="8890"/>
                <wp:effectExtent l="0" t="0" r="0" b="0"/>
                <wp:wrapTopAndBottom/>
                <wp:docPr id="342" name="docshape5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DD54F1" id="docshape551" o:spid="_x0000_s1026" alt="&quot;&quot;" style="position:absolute;margin-left:70.8pt;margin-top:9.9pt;width:2in;height:.7pt;z-index:-1547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" fillcolor="black" stroked="f">
                <w10:wrap type="topAndBottom" anchorx="page"/>
              </v:rect>
            </w:pict>
          </mc:Fallback>
        </mc:AlternateContent>
      </w:r>
    </w:p>
    <w:p w14:paraId="496044C8" w14:textId="77777777" w:rsidR="00BD462C" w:rsidRDefault="00033D0F">
      <w:pPr>
        <w:spacing w:before="112"/>
        <w:ind w:left="135"/>
        <w:jc w:val="both"/>
        <w:rPr>
          <w:sz w:val="18"/>
        </w:rPr>
      </w:pPr>
      <w:bookmarkStart w:id="1584" w:name="_bookmark1363"/>
      <w:bookmarkEnd w:id="1584"/>
      <w:r>
        <w:rPr>
          <w:position w:val="5"/>
          <w:sz w:val="12"/>
        </w:rPr>
        <w:t>1175</w:t>
      </w:r>
      <w:r>
        <w:rPr>
          <w:spacing w:val="14"/>
          <w:position w:val="5"/>
          <w:sz w:val="12"/>
        </w:rPr>
        <w:t xml:space="preserve"> </w:t>
      </w:r>
      <w:r>
        <w:rPr>
          <w:sz w:val="18"/>
        </w:rPr>
        <w:t>Australia's</w:t>
      </w:r>
      <w:r>
        <w:rPr>
          <w:spacing w:val="1"/>
          <w:sz w:val="18"/>
        </w:rPr>
        <w:t xml:space="preserve"> </w:t>
      </w:r>
      <w:r>
        <w:rPr>
          <w:sz w:val="18"/>
        </w:rPr>
        <w:t>response</w:t>
      </w:r>
      <w:r>
        <w:rPr>
          <w:spacing w:val="-4"/>
          <w:sz w:val="18"/>
        </w:rPr>
        <w:t xml:space="preserve"> </w:t>
      </w:r>
      <w:r>
        <w:rPr>
          <w:sz w:val="18"/>
        </w:rPr>
        <w:t>to</w:t>
      </w:r>
      <w:r>
        <w:rPr>
          <w:spacing w:val="-5"/>
          <w:sz w:val="18"/>
        </w:rPr>
        <w:t xml:space="preserve"> </w:t>
      </w:r>
      <w:r>
        <w:rPr>
          <w:sz w:val="18"/>
        </w:rPr>
        <w:t>Panel</w:t>
      </w:r>
      <w:r>
        <w:rPr>
          <w:spacing w:val="-4"/>
          <w:sz w:val="18"/>
        </w:rPr>
        <w:t xml:space="preserve"> </w:t>
      </w:r>
      <w:r>
        <w:rPr>
          <w:sz w:val="18"/>
        </w:rPr>
        <w:t>question</w:t>
      </w:r>
      <w:r>
        <w:rPr>
          <w:spacing w:val="-4"/>
          <w:sz w:val="18"/>
        </w:rPr>
        <w:t xml:space="preserve"> </w:t>
      </w:r>
      <w:r>
        <w:rPr>
          <w:sz w:val="18"/>
        </w:rPr>
        <w:t>No.</w:t>
      </w:r>
      <w:r>
        <w:rPr>
          <w:spacing w:val="-3"/>
          <w:sz w:val="18"/>
        </w:rPr>
        <w:t xml:space="preserve"> </w:t>
      </w:r>
      <w:r>
        <w:rPr>
          <w:sz w:val="18"/>
        </w:rPr>
        <w:t>58,</w:t>
      </w:r>
      <w:r>
        <w:rPr>
          <w:spacing w:val="-2"/>
          <w:sz w:val="18"/>
        </w:rPr>
        <w:t xml:space="preserve"> </w:t>
      </w:r>
      <w:r>
        <w:rPr>
          <w:sz w:val="18"/>
        </w:rPr>
        <w:t>para.</w:t>
      </w:r>
      <w:r>
        <w:rPr>
          <w:spacing w:val="1"/>
          <w:sz w:val="18"/>
        </w:rPr>
        <w:t xml:space="preserve"> </w:t>
      </w:r>
      <w:r>
        <w:rPr>
          <w:spacing w:val="-4"/>
          <w:sz w:val="18"/>
        </w:rPr>
        <w:t>143.</w:t>
      </w:r>
    </w:p>
    <w:p w14:paraId="0D3B8DB1" w14:textId="77777777" w:rsidR="00BD462C" w:rsidRDefault="00033D0F">
      <w:pPr>
        <w:spacing w:before="1"/>
        <w:ind w:left="135"/>
        <w:jc w:val="both"/>
        <w:rPr>
          <w:sz w:val="18"/>
        </w:rPr>
      </w:pPr>
      <w:bookmarkStart w:id="1585" w:name="_bookmark1364"/>
      <w:bookmarkEnd w:id="1585"/>
      <w:r>
        <w:rPr>
          <w:position w:val="5"/>
          <w:sz w:val="12"/>
        </w:rPr>
        <w:t>1176</w:t>
      </w:r>
      <w:r>
        <w:rPr>
          <w:spacing w:val="12"/>
          <w:position w:val="5"/>
          <w:sz w:val="12"/>
        </w:rPr>
        <w:t xml:space="preserve"> </w:t>
      </w:r>
      <w:r>
        <w:rPr>
          <w:sz w:val="18"/>
        </w:rPr>
        <w:t>Australia's</w:t>
      </w:r>
      <w:r>
        <w:rPr>
          <w:spacing w:val="-6"/>
          <w:sz w:val="18"/>
        </w:rPr>
        <w:t xml:space="preserve"> </w:t>
      </w:r>
      <w:r>
        <w:rPr>
          <w:sz w:val="18"/>
        </w:rPr>
        <w:t>first</w:t>
      </w:r>
      <w:r>
        <w:rPr>
          <w:spacing w:val="-6"/>
          <w:sz w:val="18"/>
        </w:rPr>
        <w:t xml:space="preserve"> </w:t>
      </w:r>
      <w:r>
        <w:rPr>
          <w:sz w:val="18"/>
        </w:rPr>
        <w:t>written</w:t>
      </w:r>
      <w:r>
        <w:rPr>
          <w:spacing w:val="-2"/>
          <w:sz w:val="18"/>
        </w:rPr>
        <w:t xml:space="preserve"> </w:t>
      </w:r>
      <w:r>
        <w:rPr>
          <w:sz w:val="18"/>
        </w:rPr>
        <w:t>submission, paras.</w:t>
      </w:r>
      <w:r>
        <w:rPr>
          <w:spacing w:val="-5"/>
          <w:sz w:val="18"/>
        </w:rPr>
        <w:t xml:space="preserve"> </w:t>
      </w:r>
      <w:r>
        <w:rPr>
          <w:sz w:val="18"/>
        </w:rPr>
        <w:t>916-</w:t>
      </w:r>
      <w:r>
        <w:rPr>
          <w:spacing w:val="-4"/>
          <w:sz w:val="18"/>
        </w:rPr>
        <w:t>917.</w:t>
      </w:r>
    </w:p>
    <w:p w14:paraId="40B77B65" w14:textId="77777777" w:rsidR="00BD462C" w:rsidRDefault="00033D0F">
      <w:pPr>
        <w:spacing w:before="1"/>
        <w:ind w:left="135" w:right="911"/>
        <w:jc w:val="both"/>
        <w:rPr>
          <w:sz w:val="18"/>
        </w:rPr>
      </w:pPr>
      <w:bookmarkStart w:id="1586" w:name="_bookmark1365"/>
      <w:bookmarkEnd w:id="1586"/>
      <w:r>
        <w:rPr>
          <w:position w:val="5"/>
          <w:sz w:val="12"/>
        </w:rPr>
        <w:t>1177</w:t>
      </w:r>
      <w:r>
        <w:rPr>
          <w:spacing w:val="40"/>
          <w:position w:val="5"/>
          <w:sz w:val="12"/>
        </w:rPr>
        <w:t xml:space="preserve"> </w:t>
      </w:r>
      <w:r>
        <w:rPr>
          <w:sz w:val="18"/>
        </w:rPr>
        <w:t xml:space="preserve">China's first written submission, paras. 2386-2388. These assumptions include: (i) since the interested parties "were continuing some of their operations" during the COVID pandemic, "it should have been possible for them to respond to MOFCOM in a timely fashion"; (ii) the ability of Swan Vintage to complete the questionnaire in the allocated time demonstrated "that it was indeed possible to complete the questionnaire in the allocated time" and "casts doubt on any </w:t>
      </w:r>
      <w:proofErr w:type="spellStart"/>
      <w:r>
        <w:rPr>
          <w:sz w:val="18"/>
        </w:rPr>
        <w:t>'cause</w:t>
      </w:r>
      <w:proofErr w:type="spellEnd"/>
      <w:r>
        <w:rPr>
          <w:sz w:val="18"/>
        </w:rPr>
        <w:t>' that Treasury Wines and Casella Wines may have sought to demonstrate"; and (iii) Australia's practice is to require questionnaire</w:t>
      </w:r>
      <w:r>
        <w:rPr>
          <w:spacing w:val="-3"/>
          <w:sz w:val="18"/>
        </w:rPr>
        <w:t xml:space="preserve"> </w:t>
      </w:r>
      <w:r>
        <w:rPr>
          <w:sz w:val="18"/>
        </w:rPr>
        <w:t>responses</w:t>
      </w:r>
      <w:r>
        <w:rPr>
          <w:spacing w:val="-3"/>
          <w:sz w:val="18"/>
        </w:rPr>
        <w:t xml:space="preserve"> </w:t>
      </w:r>
      <w:r>
        <w:rPr>
          <w:sz w:val="18"/>
        </w:rPr>
        <w:t>within</w:t>
      </w:r>
      <w:r>
        <w:rPr>
          <w:spacing w:val="-4"/>
          <w:sz w:val="18"/>
        </w:rPr>
        <w:t xml:space="preserve"> </w:t>
      </w:r>
      <w:r>
        <w:rPr>
          <w:sz w:val="18"/>
        </w:rPr>
        <w:t>a</w:t>
      </w:r>
      <w:r>
        <w:rPr>
          <w:spacing w:val="-5"/>
          <w:sz w:val="18"/>
        </w:rPr>
        <w:t xml:space="preserve"> </w:t>
      </w:r>
      <w:r>
        <w:rPr>
          <w:sz w:val="18"/>
        </w:rPr>
        <w:t>period</w:t>
      </w:r>
      <w:r>
        <w:rPr>
          <w:spacing w:val="-4"/>
          <w:sz w:val="18"/>
        </w:rPr>
        <w:t xml:space="preserve"> </w:t>
      </w:r>
      <w:r>
        <w:rPr>
          <w:sz w:val="18"/>
        </w:rPr>
        <w:t>of</w:t>
      </w:r>
      <w:r>
        <w:rPr>
          <w:spacing w:val="-2"/>
          <w:sz w:val="18"/>
        </w:rPr>
        <w:t xml:space="preserve"> </w:t>
      </w:r>
      <w:r>
        <w:rPr>
          <w:sz w:val="18"/>
        </w:rPr>
        <w:t>37</w:t>
      </w:r>
      <w:r>
        <w:rPr>
          <w:spacing w:val="-10"/>
          <w:sz w:val="18"/>
        </w:rPr>
        <w:t xml:space="preserve"> </w:t>
      </w:r>
      <w:r>
        <w:rPr>
          <w:sz w:val="18"/>
        </w:rPr>
        <w:t>days</w:t>
      </w:r>
      <w:r>
        <w:rPr>
          <w:spacing w:val="-3"/>
          <w:sz w:val="18"/>
        </w:rPr>
        <w:t xml:space="preserve"> </w:t>
      </w:r>
      <w:r>
        <w:rPr>
          <w:sz w:val="18"/>
        </w:rPr>
        <w:t>and</w:t>
      </w:r>
      <w:r>
        <w:rPr>
          <w:spacing w:val="-4"/>
          <w:sz w:val="18"/>
        </w:rPr>
        <w:t xml:space="preserve"> </w:t>
      </w:r>
      <w:r>
        <w:rPr>
          <w:sz w:val="18"/>
        </w:rPr>
        <w:t>its</w:t>
      </w:r>
      <w:r>
        <w:rPr>
          <w:spacing w:val="-3"/>
          <w:sz w:val="18"/>
        </w:rPr>
        <w:t xml:space="preserve"> </w:t>
      </w:r>
      <w:r>
        <w:rPr>
          <w:i/>
          <w:sz w:val="18"/>
        </w:rPr>
        <w:t>Dumping</w:t>
      </w:r>
      <w:r>
        <w:rPr>
          <w:i/>
          <w:spacing w:val="-2"/>
          <w:sz w:val="18"/>
        </w:rPr>
        <w:t xml:space="preserve"> </w:t>
      </w:r>
      <w:r>
        <w:rPr>
          <w:i/>
          <w:sz w:val="18"/>
        </w:rPr>
        <w:t>and</w:t>
      </w:r>
      <w:r>
        <w:rPr>
          <w:i/>
          <w:spacing w:val="-2"/>
          <w:sz w:val="18"/>
        </w:rPr>
        <w:t xml:space="preserve"> </w:t>
      </w:r>
      <w:r>
        <w:rPr>
          <w:i/>
          <w:sz w:val="18"/>
        </w:rPr>
        <w:t>Subsidy</w:t>
      </w:r>
      <w:r>
        <w:rPr>
          <w:i/>
          <w:spacing w:val="-9"/>
          <w:sz w:val="18"/>
        </w:rPr>
        <w:t xml:space="preserve"> </w:t>
      </w:r>
      <w:r>
        <w:rPr>
          <w:i/>
          <w:sz w:val="18"/>
        </w:rPr>
        <w:t>Manual</w:t>
      </w:r>
      <w:r>
        <w:rPr>
          <w:i/>
          <w:spacing w:val="-7"/>
          <w:sz w:val="18"/>
        </w:rPr>
        <w:t xml:space="preserve"> </w:t>
      </w:r>
      <w:r>
        <w:rPr>
          <w:sz w:val="18"/>
        </w:rPr>
        <w:t>(from</w:t>
      </w:r>
      <w:r>
        <w:rPr>
          <w:spacing w:val="-5"/>
          <w:sz w:val="18"/>
        </w:rPr>
        <w:t xml:space="preserve"> </w:t>
      </w:r>
      <w:r>
        <w:rPr>
          <w:sz w:val="18"/>
        </w:rPr>
        <w:t>December</w:t>
      </w:r>
      <w:r>
        <w:rPr>
          <w:spacing w:val="-5"/>
          <w:sz w:val="18"/>
        </w:rPr>
        <w:t xml:space="preserve"> </w:t>
      </w:r>
      <w:r>
        <w:rPr>
          <w:sz w:val="18"/>
        </w:rPr>
        <w:t>2021)</w:t>
      </w:r>
      <w:r>
        <w:rPr>
          <w:spacing w:val="-1"/>
          <w:sz w:val="18"/>
        </w:rPr>
        <w:t xml:space="preserve"> </w:t>
      </w:r>
      <w:r>
        <w:rPr>
          <w:sz w:val="18"/>
        </w:rPr>
        <w:t>provides</w:t>
      </w:r>
      <w:r>
        <w:rPr>
          <w:spacing w:val="-8"/>
          <w:sz w:val="18"/>
        </w:rPr>
        <w:t xml:space="preserve"> </w:t>
      </w:r>
      <w:r>
        <w:rPr>
          <w:sz w:val="18"/>
        </w:rPr>
        <w:t>for circumstances in which late submissions do not have to be accepted. However, in this regard, China’s arguments are silent on any of Australia's practices and policies with respect to granting extension requests of interested parties.</w:t>
      </w:r>
    </w:p>
    <w:p w14:paraId="5A059F17" w14:textId="77777777" w:rsidR="00BD462C" w:rsidRDefault="00033D0F">
      <w:pPr>
        <w:spacing w:line="219" w:lineRule="exact"/>
        <w:ind w:left="135"/>
        <w:jc w:val="both"/>
        <w:rPr>
          <w:sz w:val="18"/>
        </w:rPr>
      </w:pPr>
      <w:bookmarkStart w:id="1587" w:name="_bookmark1366"/>
      <w:bookmarkEnd w:id="1587"/>
      <w:r>
        <w:rPr>
          <w:position w:val="5"/>
          <w:sz w:val="12"/>
        </w:rPr>
        <w:t>1178</w:t>
      </w:r>
      <w:r>
        <w:rPr>
          <w:spacing w:val="14"/>
          <w:position w:val="5"/>
          <w:sz w:val="12"/>
        </w:rPr>
        <w:t xml:space="preserve"> </w:t>
      </w:r>
      <w:r>
        <w:rPr>
          <w:sz w:val="18"/>
        </w:rPr>
        <w:t>China's</w:t>
      </w:r>
      <w:r>
        <w:rPr>
          <w:spacing w:val="1"/>
          <w:sz w:val="18"/>
        </w:rPr>
        <w:t xml:space="preserve"> </w:t>
      </w:r>
      <w:r>
        <w:rPr>
          <w:sz w:val="18"/>
        </w:rPr>
        <w:t>response</w:t>
      </w:r>
      <w:r>
        <w:rPr>
          <w:spacing w:val="-3"/>
          <w:sz w:val="18"/>
        </w:rPr>
        <w:t xml:space="preserve"> </w:t>
      </w:r>
      <w:r>
        <w:rPr>
          <w:sz w:val="18"/>
        </w:rPr>
        <w:t>to</w:t>
      </w:r>
      <w:r>
        <w:rPr>
          <w:spacing w:val="-10"/>
          <w:sz w:val="18"/>
        </w:rPr>
        <w:t xml:space="preserve"> </w:t>
      </w:r>
      <w:r>
        <w:rPr>
          <w:sz w:val="18"/>
        </w:rPr>
        <w:t>Panel</w:t>
      </w:r>
      <w:r>
        <w:rPr>
          <w:spacing w:val="-3"/>
          <w:sz w:val="18"/>
        </w:rPr>
        <w:t xml:space="preserve"> </w:t>
      </w:r>
      <w:r>
        <w:rPr>
          <w:sz w:val="18"/>
        </w:rPr>
        <w:t>question</w:t>
      </w:r>
      <w:r>
        <w:rPr>
          <w:spacing w:val="-3"/>
          <w:sz w:val="18"/>
        </w:rPr>
        <w:t xml:space="preserve"> </w:t>
      </w:r>
      <w:r>
        <w:rPr>
          <w:sz w:val="18"/>
        </w:rPr>
        <w:t>No.</w:t>
      </w:r>
      <w:r>
        <w:rPr>
          <w:spacing w:val="1"/>
          <w:sz w:val="18"/>
        </w:rPr>
        <w:t xml:space="preserve"> </w:t>
      </w:r>
      <w:r>
        <w:rPr>
          <w:sz w:val="18"/>
        </w:rPr>
        <w:t>57,</w:t>
      </w:r>
      <w:r>
        <w:rPr>
          <w:spacing w:val="-1"/>
          <w:sz w:val="18"/>
        </w:rPr>
        <w:t xml:space="preserve"> </w:t>
      </w:r>
      <w:r>
        <w:rPr>
          <w:sz w:val="18"/>
        </w:rPr>
        <w:t>paras.</w:t>
      </w:r>
      <w:r>
        <w:rPr>
          <w:spacing w:val="2"/>
          <w:sz w:val="18"/>
        </w:rPr>
        <w:t xml:space="preserve"> </w:t>
      </w:r>
      <w:r>
        <w:rPr>
          <w:sz w:val="18"/>
        </w:rPr>
        <w:t>335</w:t>
      </w:r>
      <w:r>
        <w:rPr>
          <w:spacing w:val="-6"/>
          <w:sz w:val="18"/>
        </w:rPr>
        <w:t xml:space="preserve"> </w:t>
      </w:r>
      <w:r>
        <w:rPr>
          <w:sz w:val="18"/>
        </w:rPr>
        <w:t>-</w:t>
      </w:r>
      <w:r>
        <w:rPr>
          <w:spacing w:val="-3"/>
          <w:sz w:val="18"/>
        </w:rPr>
        <w:t xml:space="preserve"> </w:t>
      </w:r>
      <w:r>
        <w:rPr>
          <w:spacing w:val="-4"/>
          <w:sz w:val="18"/>
        </w:rPr>
        <w:t>338.</w:t>
      </w:r>
    </w:p>
    <w:p w14:paraId="24B5278C" w14:textId="77777777" w:rsidR="00BD462C" w:rsidRDefault="00033D0F">
      <w:pPr>
        <w:spacing w:before="1"/>
        <w:ind w:left="135"/>
        <w:jc w:val="both"/>
        <w:rPr>
          <w:sz w:val="18"/>
        </w:rPr>
      </w:pPr>
      <w:bookmarkStart w:id="1588" w:name="_bookmark1367"/>
      <w:bookmarkEnd w:id="1588"/>
      <w:r>
        <w:rPr>
          <w:position w:val="5"/>
          <w:sz w:val="12"/>
        </w:rPr>
        <w:t>1179</w:t>
      </w:r>
      <w:r>
        <w:rPr>
          <w:spacing w:val="13"/>
          <w:position w:val="5"/>
          <w:sz w:val="12"/>
        </w:rPr>
        <w:t xml:space="preserve"> </w:t>
      </w:r>
      <w:r>
        <w:rPr>
          <w:sz w:val="18"/>
        </w:rPr>
        <w:t>China's</w:t>
      </w:r>
      <w:r>
        <w:rPr>
          <w:spacing w:val="-5"/>
          <w:sz w:val="18"/>
        </w:rPr>
        <w:t xml:space="preserve"> </w:t>
      </w:r>
      <w:r>
        <w:rPr>
          <w:sz w:val="18"/>
        </w:rPr>
        <w:t>first</w:t>
      </w:r>
      <w:r>
        <w:rPr>
          <w:spacing w:val="-4"/>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para.</w:t>
      </w:r>
      <w:r>
        <w:rPr>
          <w:spacing w:val="1"/>
          <w:sz w:val="18"/>
        </w:rPr>
        <w:t xml:space="preserve"> </w:t>
      </w:r>
      <w:r>
        <w:rPr>
          <w:sz w:val="18"/>
        </w:rPr>
        <w:t>2386;</w:t>
      </w:r>
      <w:r>
        <w:rPr>
          <w:spacing w:val="-7"/>
          <w:sz w:val="18"/>
        </w:rPr>
        <w:t xml:space="preserve"> </w:t>
      </w:r>
      <w:r>
        <w:rPr>
          <w:sz w:val="18"/>
        </w:rPr>
        <w:t>response</w:t>
      </w:r>
      <w:r>
        <w:rPr>
          <w:spacing w:val="-5"/>
          <w:sz w:val="18"/>
        </w:rPr>
        <w:t xml:space="preserve"> </w:t>
      </w:r>
      <w:r>
        <w:rPr>
          <w:sz w:val="18"/>
        </w:rPr>
        <w:t>to</w:t>
      </w:r>
      <w:r>
        <w:rPr>
          <w:spacing w:val="-6"/>
          <w:sz w:val="18"/>
        </w:rPr>
        <w:t xml:space="preserve"> </w:t>
      </w:r>
      <w:r>
        <w:rPr>
          <w:sz w:val="18"/>
        </w:rPr>
        <w:t>Panel</w:t>
      </w:r>
      <w:r>
        <w:rPr>
          <w:spacing w:val="-4"/>
          <w:sz w:val="18"/>
        </w:rPr>
        <w:t xml:space="preserve"> </w:t>
      </w:r>
      <w:r>
        <w:rPr>
          <w:sz w:val="18"/>
        </w:rPr>
        <w:t>question</w:t>
      </w:r>
      <w:r>
        <w:rPr>
          <w:spacing w:val="-5"/>
          <w:sz w:val="18"/>
        </w:rPr>
        <w:t xml:space="preserve"> </w:t>
      </w:r>
      <w:r>
        <w:rPr>
          <w:sz w:val="18"/>
        </w:rPr>
        <w:t>No. 57,</w:t>
      </w:r>
      <w:r>
        <w:rPr>
          <w:spacing w:val="-3"/>
          <w:sz w:val="18"/>
        </w:rPr>
        <w:t xml:space="preserve"> </w:t>
      </w:r>
      <w:r>
        <w:rPr>
          <w:sz w:val="18"/>
        </w:rPr>
        <w:t>para.</w:t>
      </w:r>
      <w:r>
        <w:rPr>
          <w:spacing w:val="-4"/>
          <w:sz w:val="18"/>
        </w:rPr>
        <w:t xml:space="preserve"> 336.</w:t>
      </w:r>
    </w:p>
    <w:p w14:paraId="54BAF8CE" w14:textId="77777777" w:rsidR="00BD462C" w:rsidRDefault="00BD462C">
      <w:pPr>
        <w:jc w:val="both"/>
        <w:rPr>
          <w:sz w:val="18"/>
        </w:rPr>
        <w:sectPr w:rsidR="00BD462C">
          <w:pgSz w:w="11910" w:h="16840"/>
          <w:pgMar w:top="860" w:right="500" w:bottom="780" w:left="1280" w:header="566" w:footer="590" w:gutter="0"/>
          <w:cols w:space="720"/>
        </w:sectPr>
      </w:pPr>
    </w:p>
    <w:p w14:paraId="23E7D399" w14:textId="77777777" w:rsidR="00BD462C" w:rsidRDefault="00033D0F">
      <w:pPr>
        <w:tabs>
          <w:tab w:val="left" w:pos="6087"/>
        </w:tabs>
        <w:spacing w:before="1"/>
        <w:ind w:left="135"/>
        <w:jc w:val="both"/>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0FAD697B" w14:textId="77777777" w:rsidR="00BD462C" w:rsidRDefault="00033D0F">
      <w:pPr>
        <w:spacing w:before="1"/>
        <w:ind w:left="135"/>
        <w:jc w:val="both"/>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0AB43F72" w14:textId="77777777" w:rsidR="00BD462C" w:rsidRDefault="00033D0F">
      <w:pPr>
        <w:tabs>
          <w:tab w:val="left" w:pos="7652"/>
        </w:tabs>
        <w:ind w:left="135"/>
        <w:jc w:val="both"/>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3FF2AEE3" w14:textId="6D6BCF98" w:rsidR="00BD462C" w:rsidRDefault="002804B4">
      <w:pPr>
        <w:pStyle w:val="BodyText"/>
        <w:spacing w:before="107" w:line="360" w:lineRule="auto"/>
        <w:ind w:left="135" w:right="912"/>
        <w:jc w:val="both"/>
      </w:pPr>
      <w:r>
        <w:rPr>
          <w:noProof/>
        </w:rPr>
        <w:t>784.</w:t>
      </w:r>
      <w:r w:rsidR="00033D0F">
        <w:rPr>
          <w:rFonts w:ascii="Times New Roman"/>
          <w:spacing w:val="80"/>
          <w:w w:val="150"/>
          <w:position w:val="1"/>
          <w:sz w:val="20"/>
        </w:rPr>
        <w:t xml:space="preserve"> </w:t>
      </w:r>
      <w:r w:rsidR="00033D0F">
        <w:rPr>
          <w:position w:val="1"/>
        </w:rPr>
        <w:t xml:space="preserve">In any event, even if MOFCOM had made such a finding, it sets an entirely </w:t>
      </w:r>
      <w:r w:rsidR="00033D0F">
        <w:t>unreasonable</w:t>
      </w:r>
      <w:r w:rsidR="00033D0F">
        <w:rPr>
          <w:spacing w:val="-8"/>
        </w:rPr>
        <w:t xml:space="preserve"> </w:t>
      </w:r>
      <w:r w:rsidR="00033D0F">
        <w:t>standard.</w:t>
      </w:r>
      <w:r w:rsidR="00033D0F">
        <w:rPr>
          <w:spacing w:val="-2"/>
        </w:rPr>
        <w:t xml:space="preserve"> </w:t>
      </w:r>
      <w:r w:rsidR="00033D0F">
        <w:t>Treasury</w:t>
      </w:r>
      <w:r w:rsidR="00033D0F">
        <w:rPr>
          <w:spacing w:val="-3"/>
        </w:rPr>
        <w:t xml:space="preserve"> </w:t>
      </w:r>
      <w:r w:rsidR="00033D0F">
        <w:t>Wines</w:t>
      </w:r>
      <w:r w:rsidR="00033D0F">
        <w:rPr>
          <w:spacing w:val="-7"/>
        </w:rPr>
        <w:t xml:space="preserve"> </w:t>
      </w:r>
      <w:r w:rsidR="00033D0F">
        <w:t>provided</w:t>
      </w:r>
      <w:r w:rsidR="00033D0F">
        <w:rPr>
          <w:spacing w:val="-5"/>
        </w:rPr>
        <w:t xml:space="preserve"> </w:t>
      </w:r>
      <w:r w:rsidR="00033D0F">
        <w:t>an</w:t>
      </w:r>
      <w:r w:rsidR="00033D0F">
        <w:rPr>
          <w:spacing w:val="-10"/>
        </w:rPr>
        <w:t xml:space="preserve"> </w:t>
      </w:r>
      <w:r w:rsidR="00033D0F">
        <w:t>extensive</w:t>
      </w:r>
      <w:r w:rsidR="00033D0F">
        <w:rPr>
          <w:spacing w:val="-8"/>
        </w:rPr>
        <w:t xml:space="preserve"> </w:t>
      </w:r>
      <w:r w:rsidR="00033D0F">
        <w:t>and</w:t>
      </w:r>
      <w:r w:rsidR="00033D0F">
        <w:rPr>
          <w:spacing w:val="-10"/>
        </w:rPr>
        <w:t xml:space="preserve"> </w:t>
      </w:r>
      <w:r w:rsidR="00033D0F">
        <w:t>well-documented</w:t>
      </w:r>
      <w:r w:rsidR="00033D0F">
        <w:rPr>
          <w:spacing w:val="-10"/>
        </w:rPr>
        <w:t xml:space="preserve"> </w:t>
      </w:r>
      <w:r w:rsidR="00033D0F">
        <w:t xml:space="preserve">account of the restrictions it faced that meant additional time to respond to the questionnaire was warranted. China's argument appears to be that MOFCOM found that this cannot constitute "cause shown", because Treasury Wines had not provided evidence that it had also stopped </w:t>
      </w:r>
      <w:r w:rsidR="00033D0F">
        <w:rPr>
          <w:i/>
        </w:rPr>
        <w:t>every</w:t>
      </w:r>
      <w:r w:rsidR="00033D0F">
        <w:rPr>
          <w:i/>
          <w:spacing w:val="-6"/>
        </w:rPr>
        <w:t xml:space="preserve"> </w:t>
      </w:r>
      <w:r w:rsidR="00033D0F">
        <w:rPr>
          <w:i/>
        </w:rPr>
        <w:t>other</w:t>
      </w:r>
      <w:r w:rsidR="00033D0F">
        <w:rPr>
          <w:i/>
          <w:spacing w:val="-5"/>
        </w:rPr>
        <w:t xml:space="preserve"> </w:t>
      </w:r>
      <w:r w:rsidR="00033D0F">
        <w:t>activity</w:t>
      </w:r>
      <w:r w:rsidR="00033D0F">
        <w:rPr>
          <w:spacing w:val="-7"/>
        </w:rPr>
        <w:t xml:space="preserve"> </w:t>
      </w:r>
      <w:r w:rsidR="00033D0F">
        <w:t>it</w:t>
      </w:r>
      <w:r w:rsidR="00033D0F">
        <w:rPr>
          <w:spacing w:val="-3"/>
        </w:rPr>
        <w:t xml:space="preserve"> </w:t>
      </w:r>
      <w:r w:rsidR="00033D0F">
        <w:t>undertook.</w:t>
      </w:r>
      <w:r w:rsidR="00033D0F">
        <w:rPr>
          <w:spacing w:val="-2"/>
        </w:rPr>
        <w:t xml:space="preserve"> </w:t>
      </w:r>
      <w:r w:rsidR="00033D0F">
        <w:t>Based</w:t>
      </w:r>
      <w:r w:rsidR="00033D0F">
        <w:rPr>
          <w:spacing w:val="-5"/>
        </w:rPr>
        <w:t xml:space="preserve"> </w:t>
      </w:r>
      <w:r w:rsidR="00033D0F">
        <w:t>on</w:t>
      </w:r>
      <w:r w:rsidR="00033D0F">
        <w:rPr>
          <w:spacing w:val="-5"/>
        </w:rPr>
        <w:t xml:space="preserve"> </w:t>
      </w:r>
      <w:r w:rsidR="00033D0F">
        <w:t>this</w:t>
      </w:r>
      <w:r w:rsidR="00033D0F">
        <w:rPr>
          <w:spacing w:val="-2"/>
        </w:rPr>
        <w:t xml:space="preserve"> </w:t>
      </w:r>
      <w:r w:rsidR="00033D0F">
        <w:t>standard,</w:t>
      </w:r>
      <w:r w:rsidR="00033D0F">
        <w:rPr>
          <w:spacing w:val="-2"/>
        </w:rPr>
        <w:t xml:space="preserve"> </w:t>
      </w:r>
      <w:r w:rsidR="00033D0F">
        <w:t>no</w:t>
      </w:r>
      <w:r w:rsidR="00033D0F">
        <w:rPr>
          <w:spacing w:val="-6"/>
        </w:rPr>
        <w:t xml:space="preserve"> </w:t>
      </w:r>
      <w:r w:rsidR="00033D0F">
        <w:t>exporter</w:t>
      </w:r>
      <w:r w:rsidR="00033D0F">
        <w:rPr>
          <w:spacing w:val="-6"/>
        </w:rPr>
        <w:t xml:space="preserve"> </w:t>
      </w:r>
      <w:r w:rsidR="00033D0F">
        <w:t>or</w:t>
      </w:r>
      <w:r w:rsidR="00033D0F">
        <w:rPr>
          <w:spacing w:val="-6"/>
        </w:rPr>
        <w:t xml:space="preserve"> </w:t>
      </w:r>
      <w:r w:rsidR="00033D0F">
        <w:t>producer</w:t>
      </w:r>
      <w:r w:rsidR="00033D0F">
        <w:rPr>
          <w:spacing w:val="-6"/>
        </w:rPr>
        <w:t xml:space="preserve"> </w:t>
      </w:r>
      <w:r w:rsidR="00033D0F">
        <w:t>could</w:t>
      </w:r>
      <w:r w:rsidR="00033D0F">
        <w:rPr>
          <w:spacing w:val="-5"/>
        </w:rPr>
        <w:t xml:space="preserve"> </w:t>
      </w:r>
      <w:r w:rsidR="00033D0F">
        <w:t>meet the requirement for "cause shown" except for circumstances that lead to the suspension of the</w:t>
      </w:r>
      <w:r w:rsidR="00033D0F">
        <w:rPr>
          <w:spacing w:val="-8"/>
        </w:rPr>
        <w:t xml:space="preserve"> </w:t>
      </w:r>
      <w:r w:rsidR="00033D0F">
        <w:t>entirety</w:t>
      </w:r>
      <w:r w:rsidR="00033D0F">
        <w:rPr>
          <w:spacing w:val="-7"/>
        </w:rPr>
        <w:t xml:space="preserve"> </w:t>
      </w:r>
      <w:r w:rsidR="00033D0F">
        <w:t>of</w:t>
      </w:r>
      <w:r w:rsidR="00033D0F">
        <w:rPr>
          <w:spacing w:val="-10"/>
        </w:rPr>
        <w:t xml:space="preserve"> </w:t>
      </w:r>
      <w:r w:rsidR="00033D0F">
        <w:t>the</w:t>
      </w:r>
      <w:r w:rsidR="00033D0F">
        <w:rPr>
          <w:spacing w:val="-8"/>
        </w:rPr>
        <w:t xml:space="preserve"> </w:t>
      </w:r>
      <w:r w:rsidR="00033D0F">
        <w:t>exporter</w:t>
      </w:r>
      <w:r w:rsidR="00033D0F">
        <w:rPr>
          <w:spacing w:val="-11"/>
        </w:rPr>
        <w:t xml:space="preserve"> </w:t>
      </w:r>
      <w:r w:rsidR="00033D0F">
        <w:t>or</w:t>
      </w:r>
      <w:r w:rsidR="00033D0F">
        <w:rPr>
          <w:spacing w:val="-11"/>
        </w:rPr>
        <w:t xml:space="preserve"> </w:t>
      </w:r>
      <w:proofErr w:type="gramStart"/>
      <w:r w:rsidR="00033D0F">
        <w:t>producers</w:t>
      </w:r>
      <w:proofErr w:type="gramEnd"/>
      <w:r w:rsidR="00033D0F">
        <w:rPr>
          <w:spacing w:val="-7"/>
        </w:rPr>
        <w:t xml:space="preserve"> </w:t>
      </w:r>
      <w:r w:rsidR="00033D0F">
        <w:t>operations.</w:t>
      </w:r>
      <w:r w:rsidR="00033D0F">
        <w:rPr>
          <w:spacing w:val="-7"/>
        </w:rPr>
        <w:t xml:space="preserve"> </w:t>
      </w:r>
      <w:r w:rsidR="00033D0F">
        <w:t>Such</w:t>
      </w:r>
      <w:r w:rsidR="00033D0F">
        <w:rPr>
          <w:spacing w:val="-10"/>
        </w:rPr>
        <w:t xml:space="preserve"> </w:t>
      </w:r>
      <w:r w:rsidR="00033D0F">
        <w:t>an</w:t>
      </w:r>
      <w:r w:rsidR="00033D0F">
        <w:rPr>
          <w:spacing w:val="-10"/>
        </w:rPr>
        <w:t xml:space="preserve"> </w:t>
      </w:r>
      <w:r w:rsidR="00033D0F">
        <w:t>unrealistically</w:t>
      </w:r>
      <w:r w:rsidR="00033D0F">
        <w:rPr>
          <w:spacing w:val="-7"/>
        </w:rPr>
        <w:t xml:space="preserve"> </w:t>
      </w:r>
      <w:r w:rsidR="00033D0F">
        <w:t>high</w:t>
      </w:r>
      <w:r w:rsidR="00033D0F">
        <w:rPr>
          <w:spacing w:val="-10"/>
        </w:rPr>
        <w:t xml:space="preserve"> </w:t>
      </w:r>
      <w:r w:rsidR="00033D0F">
        <w:t>standard</w:t>
      </w:r>
      <w:r w:rsidR="00033D0F">
        <w:rPr>
          <w:spacing w:val="-10"/>
        </w:rPr>
        <w:t xml:space="preserve"> </w:t>
      </w:r>
      <w:r w:rsidR="00033D0F">
        <w:t>has no</w:t>
      </w:r>
      <w:r w:rsidR="00033D0F">
        <w:rPr>
          <w:spacing w:val="-14"/>
        </w:rPr>
        <w:t xml:space="preserve"> </w:t>
      </w:r>
      <w:r w:rsidR="00033D0F">
        <w:t>basis</w:t>
      </w:r>
      <w:r w:rsidR="00033D0F">
        <w:rPr>
          <w:spacing w:val="-14"/>
        </w:rPr>
        <w:t xml:space="preserve"> </w:t>
      </w:r>
      <w:r w:rsidR="00033D0F">
        <w:t>in</w:t>
      </w:r>
      <w:r w:rsidR="00033D0F">
        <w:rPr>
          <w:spacing w:val="-13"/>
        </w:rPr>
        <w:t xml:space="preserve"> </w:t>
      </w:r>
      <w:r w:rsidR="00033D0F">
        <w:t>the</w:t>
      </w:r>
      <w:r w:rsidR="00033D0F">
        <w:rPr>
          <w:spacing w:val="-14"/>
        </w:rPr>
        <w:t xml:space="preserve"> </w:t>
      </w:r>
      <w:r w:rsidR="00033D0F">
        <w:t>Anti-Dumping</w:t>
      </w:r>
      <w:r w:rsidR="00033D0F">
        <w:rPr>
          <w:spacing w:val="-13"/>
        </w:rPr>
        <w:t xml:space="preserve"> </w:t>
      </w:r>
      <w:r w:rsidR="00033D0F">
        <w:t>Agreement.</w:t>
      </w:r>
      <w:r w:rsidR="00033D0F">
        <w:rPr>
          <w:spacing w:val="-14"/>
        </w:rPr>
        <w:t xml:space="preserve"> </w:t>
      </w:r>
      <w:r w:rsidR="00033D0F">
        <w:t>Accordingly,</w:t>
      </w:r>
      <w:r w:rsidR="00033D0F">
        <w:rPr>
          <w:spacing w:val="-13"/>
        </w:rPr>
        <w:t xml:space="preserve"> </w:t>
      </w:r>
      <w:r w:rsidR="00033D0F">
        <w:t>even</w:t>
      </w:r>
      <w:r w:rsidR="00033D0F">
        <w:rPr>
          <w:spacing w:val="-14"/>
        </w:rPr>
        <w:t xml:space="preserve"> </w:t>
      </w:r>
      <w:r w:rsidR="00033D0F">
        <w:t>upon</w:t>
      </w:r>
      <w:r w:rsidR="00033D0F">
        <w:rPr>
          <w:spacing w:val="-14"/>
        </w:rPr>
        <w:t xml:space="preserve"> </w:t>
      </w:r>
      <w:r w:rsidR="00033D0F">
        <w:t>accepting</w:t>
      </w:r>
      <w:r w:rsidR="00033D0F">
        <w:rPr>
          <w:spacing w:val="-13"/>
        </w:rPr>
        <w:t xml:space="preserve"> </w:t>
      </w:r>
      <w:r w:rsidR="00033D0F">
        <w:t>China's</w:t>
      </w:r>
      <w:r w:rsidR="00033D0F">
        <w:rPr>
          <w:spacing w:val="-14"/>
        </w:rPr>
        <w:t xml:space="preserve"> </w:t>
      </w:r>
      <w:r w:rsidR="00033D0F">
        <w:t>allegations about</w:t>
      </w:r>
      <w:r w:rsidR="00033D0F">
        <w:rPr>
          <w:spacing w:val="-3"/>
        </w:rPr>
        <w:t xml:space="preserve"> </w:t>
      </w:r>
      <w:r w:rsidR="00033D0F">
        <w:t>MOFCOM's</w:t>
      </w:r>
      <w:r w:rsidR="00033D0F">
        <w:rPr>
          <w:spacing w:val="-3"/>
        </w:rPr>
        <w:t xml:space="preserve"> </w:t>
      </w:r>
      <w:r w:rsidR="00033D0F">
        <w:t>reasoning</w:t>
      </w:r>
      <w:r w:rsidR="00033D0F">
        <w:rPr>
          <w:spacing w:val="-3"/>
        </w:rPr>
        <w:t xml:space="preserve"> </w:t>
      </w:r>
      <w:r w:rsidR="00033D0F">
        <w:t>process</w:t>
      </w:r>
      <w:r w:rsidR="00033D0F">
        <w:rPr>
          <w:spacing w:val="-3"/>
        </w:rPr>
        <w:t xml:space="preserve"> </w:t>
      </w:r>
      <w:r w:rsidR="00033D0F">
        <w:t>at</w:t>
      </w:r>
      <w:r w:rsidR="00033D0F">
        <w:rPr>
          <w:spacing w:val="-3"/>
        </w:rPr>
        <w:t xml:space="preserve"> </w:t>
      </w:r>
      <w:r w:rsidR="00033D0F">
        <w:t>face</w:t>
      </w:r>
      <w:r w:rsidR="00033D0F">
        <w:rPr>
          <w:spacing w:val="-3"/>
        </w:rPr>
        <w:t xml:space="preserve"> </w:t>
      </w:r>
      <w:r w:rsidR="00033D0F">
        <w:t>value,</w:t>
      </w:r>
      <w:r w:rsidR="00033D0F">
        <w:rPr>
          <w:spacing w:val="-6"/>
        </w:rPr>
        <w:t xml:space="preserve"> </w:t>
      </w:r>
      <w:r w:rsidR="00033D0F">
        <w:t>MOFCOM's</w:t>
      </w:r>
      <w:r w:rsidR="00033D0F">
        <w:rPr>
          <w:spacing w:val="-3"/>
        </w:rPr>
        <w:t xml:space="preserve"> </w:t>
      </w:r>
      <w:r w:rsidR="00033D0F">
        <w:t>assessment</w:t>
      </w:r>
      <w:r w:rsidR="00033D0F">
        <w:rPr>
          <w:spacing w:val="-3"/>
        </w:rPr>
        <w:t xml:space="preserve"> </w:t>
      </w:r>
      <w:r w:rsidR="00033D0F">
        <w:t>was</w:t>
      </w:r>
      <w:r w:rsidR="00033D0F">
        <w:rPr>
          <w:spacing w:val="-3"/>
        </w:rPr>
        <w:t xml:space="preserve"> </w:t>
      </w:r>
      <w:r w:rsidR="00033D0F">
        <w:t>not</w:t>
      </w:r>
      <w:r w:rsidR="00033D0F">
        <w:rPr>
          <w:spacing w:val="-3"/>
        </w:rPr>
        <w:t xml:space="preserve"> </w:t>
      </w:r>
      <w:r w:rsidR="00033D0F">
        <w:t>that</w:t>
      </w:r>
      <w:r w:rsidR="00033D0F">
        <w:rPr>
          <w:spacing w:val="-3"/>
        </w:rPr>
        <w:t xml:space="preserve"> </w:t>
      </w:r>
      <w:r w:rsidR="00033D0F">
        <w:t>of</w:t>
      </w:r>
      <w:r w:rsidR="00033D0F">
        <w:rPr>
          <w:spacing w:val="-5"/>
        </w:rPr>
        <w:t xml:space="preserve"> </w:t>
      </w:r>
      <w:r w:rsidR="00033D0F">
        <w:t>an objective and unbiased investigating authority, in light of the information it had before it.</w:t>
      </w:r>
    </w:p>
    <w:p w14:paraId="5C2C1653" w14:textId="77777777" w:rsidR="00BD462C" w:rsidRDefault="00BD462C">
      <w:pPr>
        <w:pStyle w:val="BodyText"/>
        <w:spacing w:before="4"/>
        <w:rPr>
          <w:sz w:val="8"/>
        </w:rPr>
      </w:pPr>
    </w:p>
    <w:p w14:paraId="22616285" w14:textId="7FCA72D2" w:rsidR="00BD462C" w:rsidRDefault="002804B4">
      <w:pPr>
        <w:pStyle w:val="BodyText"/>
        <w:spacing w:before="56" w:line="360" w:lineRule="auto"/>
        <w:ind w:left="135" w:right="909"/>
        <w:jc w:val="both"/>
      </w:pPr>
      <w:r>
        <w:rPr>
          <w:noProof/>
        </w:rPr>
        <w:t>785.</w:t>
      </w:r>
      <w:r w:rsidR="00033D0F">
        <w:rPr>
          <w:rFonts w:ascii="Times New Roman" w:hAnsi="Times New Roman"/>
          <w:spacing w:val="80"/>
          <w:position w:val="1"/>
          <w:sz w:val="20"/>
        </w:rPr>
        <w:t xml:space="preserve">  </w:t>
      </w:r>
      <w:r w:rsidR="00033D0F">
        <w:rPr>
          <w:position w:val="1"/>
        </w:rPr>
        <w:t>China</w:t>
      </w:r>
      <w:r w:rsidR="00033D0F">
        <w:rPr>
          <w:spacing w:val="-12"/>
          <w:position w:val="1"/>
        </w:rPr>
        <w:t xml:space="preserve"> </w:t>
      </w:r>
      <w:r w:rsidR="00033D0F">
        <w:rPr>
          <w:position w:val="1"/>
        </w:rPr>
        <w:t>asserts</w:t>
      </w:r>
      <w:r w:rsidR="00033D0F">
        <w:rPr>
          <w:spacing w:val="-10"/>
          <w:position w:val="1"/>
        </w:rPr>
        <w:t xml:space="preserve"> </w:t>
      </w:r>
      <w:r w:rsidR="00033D0F">
        <w:rPr>
          <w:position w:val="1"/>
        </w:rPr>
        <w:t>that</w:t>
      </w:r>
      <w:r w:rsidR="00033D0F">
        <w:rPr>
          <w:spacing w:val="-11"/>
          <w:position w:val="1"/>
        </w:rPr>
        <w:t xml:space="preserve"> </w:t>
      </w:r>
      <w:r w:rsidR="00033D0F">
        <w:rPr>
          <w:position w:val="1"/>
        </w:rPr>
        <w:t>MOFCOM</w:t>
      </w:r>
      <w:r w:rsidR="00033D0F">
        <w:rPr>
          <w:spacing w:val="-11"/>
          <w:position w:val="1"/>
        </w:rPr>
        <w:t xml:space="preserve"> </w:t>
      </w:r>
      <w:r w:rsidR="00033D0F">
        <w:rPr>
          <w:position w:val="1"/>
        </w:rPr>
        <w:t>considered</w:t>
      </w:r>
      <w:r w:rsidR="00033D0F">
        <w:rPr>
          <w:spacing w:val="-9"/>
          <w:position w:val="1"/>
        </w:rPr>
        <w:t xml:space="preserve"> </w:t>
      </w:r>
      <w:r w:rsidR="00033D0F">
        <w:rPr>
          <w:position w:val="1"/>
        </w:rPr>
        <w:t>the</w:t>
      </w:r>
      <w:r w:rsidR="00033D0F">
        <w:rPr>
          <w:spacing w:val="-7"/>
          <w:position w:val="1"/>
        </w:rPr>
        <w:t xml:space="preserve"> </w:t>
      </w:r>
      <w:r w:rsidR="00033D0F">
        <w:rPr>
          <w:position w:val="1"/>
        </w:rPr>
        <w:t>reasons</w:t>
      </w:r>
      <w:r w:rsidR="00033D0F">
        <w:rPr>
          <w:spacing w:val="-10"/>
          <w:position w:val="1"/>
        </w:rPr>
        <w:t xml:space="preserve"> </w:t>
      </w:r>
      <w:r w:rsidR="00033D0F">
        <w:rPr>
          <w:position w:val="1"/>
        </w:rPr>
        <w:t>Treasury</w:t>
      </w:r>
      <w:r w:rsidR="00033D0F">
        <w:rPr>
          <w:spacing w:val="-6"/>
          <w:position w:val="1"/>
        </w:rPr>
        <w:t xml:space="preserve"> </w:t>
      </w:r>
      <w:r w:rsidR="00033D0F">
        <w:rPr>
          <w:position w:val="1"/>
        </w:rPr>
        <w:t>Wines</w:t>
      </w:r>
      <w:r w:rsidR="00033D0F">
        <w:rPr>
          <w:spacing w:val="-10"/>
          <w:position w:val="1"/>
        </w:rPr>
        <w:t xml:space="preserve"> </w:t>
      </w:r>
      <w:r w:rsidR="00033D0F">
        <w:rPr>
          <w:position w:val="1"/>
        </w:rPr>
        <w:t>gave</w:t>
      </w:r>
      <w:r w:rsidR="00033D0F">
        <w:rPr>
          <w:spacing w:val="-11"/>
          <w:position w:val="1"/>
        </w:rPr>
        <w:t xml:space="preserve"> </w:t>
      </w:r>
      <w:r w:rsidR="00033D0F">
        <w:rPr>
          <w:position w:val="1"/>
        </w:rPr>
        <w:t xml:space="preserve">concerning </w:t>
      </w:r>
      <w:r w:rsidR="00033D0F">
        <w:t>the impact of the COVID-19 lockdowns and that MOFCOM's observation in the Final Determination</w:t>
      </w:r>
      <w:r w:rsidR="00033D0F">
        <w:rPr>
          <w:spacing w:val="-3"/>
        </w:rPr>
        <w:t xml:space="preserve"> </w:t>
      </w:r>
      <w:r w:rsidR="00033D0F">
        <w:t>that:</w:t>
      </w:r>
      <w:r w:rsidR="00033D0F">
        <w:rPr>
          <w:spacing w:val="-4"/>
        </w:rPr>
        <w:t xml:space="preserve"> </w:t>
      </w:r>
      <w:r w:rsidR="00033D0F">
        <w:t>"[t]he Applicant</w:t>
      </w:r>
      <w:r w:rsidR="00033D0F">
        <w:rPr>
          <w:spacing w:val="-1"/>
        </w:rPr>
        <w:t xml:space="preserve"> </w:t>
      </w:r>
      <w:r w:rsidR="00033D0F">
        <w:t>claimed</w:t>
      </w:r>
      <w:r w:rsidR="00033D0F">
        <w:rPr>
          <w:spacing w:val="-3"/>
        </w:rPr>
        <w:t xml:space="preserve"> </w:t>
      </w:r>
      <w:r w:rsidR="00033D0F">
        <w:t>in</w:t>
      </w:r>
      <w:r w:rsidR="00033D0F">
        <w:rPr>
          <w:spacing w:val="-3"/>
        </w:rPr>
        <w:t xml:space="preserve"> </w:t>
      </w:r>
      <w:r w:rsidR="00033D0F">
        <w:t>the</w:t>
      </w:r>
      <w:r w:rsidR="00033D0F">
        <w:rPr>
          <w:spacing w:val="-1"/>
        </w:rPr>
        <w:t xml:space="preserve"> </w:t>
      </w:r>
      <w:r w:rsidR="00033D0F">
        <w:t>comments on the</w:t>
      </w:r>
      <w:r w:rsidR="00033D0F">
        <w:rPr>
          <w:spacing w:val="-2"/>
        </w:rPr>
        <w:t xml:space="preserve"> </w:t>
      </w:r>
      <w:r w:rsidR="00033D0F">
        <w:t>Preliminary Ruling that […]</w:t>
      </w:r>
      <w:r w:rsidR="00033D0F">
        <w:rPr>
          <w:spacing w:val="-10"/>
        </w:rPr>
        <w:t xml:space="preserve"> </w:t>
      </w:r>
      <w:r w:rsidR="00033D0F">
        <w:t>one</w:t>
      </w:r>
      <w:r w:rsidR="00033D0F">
        <w:rPr>
          <w:spacing w:val="-8"/>
        </w:rPr>
        <w:t xml:space="preserve"> </w:t>
      </w:r>
      <w:r w:rsidR="00033D0F">
        <w:t>of</w:t>
      </w:r>
      <w:r w:rsidR="00033D0F">
        <w:rPr>
          <w:spacing w:val="-5"/>
        </w:rPr>
        <w:t xml:space="preserve"> </w:t>
      </w:r>
      <w:r w:rsidR="00033D0F">
        <w:t>the</w:t>
      </w:r>
      <w:r w:rsidR="00033D0F">
        <w:rPr>
          <w:spacing w:val="-8"/>
        </w:rPr>
        <w:t xml:space="preserve"> </w:t>
      </w:r>
      <w:r w:rsidR="00033D0F">
        <w:t>three</w:t>
      </w:r>
      <w:r w:rsidR="00033D0F">
        <w:rPr>
          <w:spacing w:val="-8"/>
        </w:rPr>
        <w:t xml:space="preserve"> </w:t>
      </w:r>
      <w:r w:rsidR="00033D0F">
        <w:t>samples</w:t>
      </w:r>
      <w:r w:rsidR="00033D0F">
        <w:rPr>
          <w:spacing w:val="-7"/>
        </w:rPr>
        <w:t xml:space="preserve"> </w:t>
      </w:r>
      <w:r w:rsidR="00033D0F">
        <w:t>did</w:t>
      </w:r>
      <w:r w:rsidR="00033D0F">
        <w:rPr>
          <w:spacing w:val="-10"/>
        </w:rPr>
        <w:t xml:space="preserve"> </w:t>
      </w:r>
      <w:r w:rsidR="00033D0F">
        <w:t>not</w:t>
      </w:r>
      <w:r w:rsidR="00033D0F">
        <w:rPr>
          <w:spacing w:val="-8"/>
        </w:rPr>
        <w:t xml:space="preserve"> </w:t>
      </w:r>
      <w:r w:rsidR="00033D0F">
        <w:t>propose</w:t>
      </w:r>
      <w:r w:rsidR="00033D0F">
        <w:rPr>
          <w:spacing w:val="-8"/>
        </w:rPr>
        <w:t xml:space="preserve"> </w:t>
      </w:r>
      <w:r w:rsidR="00033D0F">
        <w:t>to</w:t>
      </w:r>
      <w:r w:rsidR="00033D0F">
        <w:rPr>
          <w:spacing w:val="-11"/>
        </w:rPr>
        <w:t xml:space="preserve"> </w:t>
      </w:r>
      <w:r w:rsidR="00033D0F">
        <w:t>postpone</w:t>
      </w:r>
      <w:r w:rsidR="00033D0F">
        <w:rPr>
          <w:spacing w:val="-8"/>
        </w:rPr>
        <w:t xml:space="preserve"> </w:t>
      </w:r>
      <w:r w:rsidR="00033D0F">
        <w:t>the</w:t>
      </w:r>
      <w:r w:rsidR="00033D0F">
        <w:rPr>
          <w:spacing w:val="-8"/>
        </w:rPr>
        <w:t xml:space="preserve"> </w:t>
      </w:r>
      <w:r w:rsidR="00033D0F">
        <w:t>submission,</w:t>
      </w:r>
      <w:r w:rsidR="00033D0F">
        <w:rPr>
          <w:spacing w:val="-11"/>
        </w:rPr>
        <w:t xml:space="preserve"> </w:t>
      </w:r>
      <w:r w:rsidR="00033D0F">
        <w:t>suggesting</w:t>
      </w:r>
      <w:r w:rsidR="00033D0F">
        <w:rPr>
          <w:spacing w:val="-7"/>
        </w:rPr>
        <w:t xml:space="preserve"> </w:t>
      </w:r>
      <w:r w:rsidR="00033D0F">
        <w:t>that</w:t>
      </w:r>
      <w:r w:rsidR="00033D0F">
        <w:rPr>
          <w:spacing w:val="-8"/>
        </w:rPr>
        <w:t xml:space="preserve"> </w:t>
      </w:r>
      <w:r w:rsidR="00033D0F">
        <w:t>the respondents</w:t>
      </w:r>
      <w:r w:rsidR="00033D0F">
        <w:rPr>
          <w:spacing w:val="-2"/>
        </w:rPr>
        <w:t xml:space="preserve"> </w:t>
      </w:r>
      <w:r w:rsidR="00033D0F">
        <w:t>were</w:t>
      </w:r>
      <w:r w:rsidR="00033D0F">
        <w:rPr>
          <w:spacing w:val="-3"/>
        </w:rPr>
        <w:t xml:space="preserve"> </w:t>
      </w:r>
      <w:r w:rsidR="00033D0F">
        <w:t>capable</w:t>
      </w:r>
      <w:r w:rsidR="00033D0F">
        <w:rPr>
          <w:spacing w:val="-3"/>
        </w:rPr>
        <w:t xml:space="preserve"> </w:t>
      </w:r>
      <w:r w:rsidR="00033D0F">
        <w:t>of</w:t>
      </w:r>
      <w:r w:rsidR="00033D0F">
        <w:rPr>
          <w:spacing w:val="-5"/>
        </w:rPr>
        <w:t xml:space="preserve"> </w:t>
      </w:r>
      <w:r w:rsidR="00033D0F">
        <w:t>submitting</w:t>
      </w:r>
      <w:r w:rsidR="00033D0F">
        <w:rPr>
          <w:spacing w:val="-2"/>
        </w:rPr>
        <w:t xml:space="preserve"> </w:t>
      </w:r>
      <w:r w:rsidR="00033D0F">
        <w:t>the</w:t>
      </w:r>
      <w:r w:rsidR="00033D0F">
        <w:rPr>
          <w:spacing w:val="-4"/>
        </w:rPr>
        <w:t xml:space="preserve"> </w:t>
      </w:r>
      <w:r w:rsidR="00033D0F">
        <w:t>responses</w:t>
      </w:r>
      <w:r w:rsidR="00033D0F">
        <w:rPr>
          <w:spacing w:val="-2"/>
        </w:rPr>
        <w:t xml:space="preserve"> </w:t>
      </w:r>
      <w:r w:rsidR="00033D0F">
        <w:t>within</w:t>
      </w:r>
      <w:r w:rsidR="00033D0F">
        <w:rPr>
          <w:spacing w:val="-5"/>
        </w:rPr>
        <w:t xml:space="preserve"> </w:t>
      </w:r>
      <w:r w:rsidR="00033D0F">
        <w:t>the</w:t>
      </w:r>
      <w:r w:rsidR="00033D0F">
        <w:rPr>
          <w:spacing w:val="-8"/>
        </w:rPr>
        <w:t xml:space="preserve"> </w:t>
      </w:r>
      <w:r w:rsidR="00033D0F">
        <w:t>stipulated</w:t>
      </w:r>
      <w:r w:rsidR="00033D0F">
        <w:rPr>
          <w:spacing w:val="-5"/>
        </w:rPr>
        <w:t xml:space="preserve"> </w:t>
      </w:r>
      <w:r w:rsidR="00033D0F">
        <w:t>time"</w:t>
      </w:r>
      <w:r w:rsidR="00033D0F">
        <w:rPr>
          <w:spacing w:val="-8"/>
        </w:rPr>
        <w:t xml:space="preserve"> </w:t>
      </w:r>
      <w:r w:rsidR="00033D0F">
        <w:t>evidenced this</w:t>
      </w:r>
      <w:r w:rsidR="00033D0F">
        <w:rPr>
          <w:spacing w:val="-7"/>
        </w:rPr>
        <w:t xml:space="preserve"> </w:t>
      </w:r>
      <w:r w:rsidR="00033D0F">
        <w:t>consideration.</w:t>
      </w:r>
      <w:hyperlink w:anchor="_bookmark1368" w:history="1">
        <w:r w:rsidR="00033D0F">
          <w:rPr>
            <w:vertAlign w:val="superscript"/>
          </w:rPr>
          <w:t>1180</w:t>
        </w:r>
      </w:hyperlink>
      <w:r w:rsidR="00033D0F">
        <w:rPr>
          <w:spacing w:val="-7"/>
        </w:rPr>
        <w:t xml:space="preserve"> </w:t>
      </w:r>
      <w:r w:rsidR="00033D0F">
        <w:t>China's</w:t>
      </w:r>
      <w:r w:rsidR="00033D0F">
        <w:rPr>
          <w:spacing w:val="-10"/>
        </w:rPr>
        <w:t xml:space="preserve"> </w:t>
      </w:r>
      <w:r w:rsidR="00033D0F">
        <w:t>somewhat</w:t>
      </w:r>
      <w:r w:rsidR="00033D0F">
        <w:rPr>
          <w:spacing w:val="-8"/>
        </w:rPr>
        <w:t xml:space="preserve"> </w:t>
      </w:r>
      <w:r w:rsidR="00033D0F">
        <w:t>convoluted</w:t>
      </w:r>
      <w:r w:rsidR="00033D0F">
        <w:rPr>
          <w:spacing w:val="-10"/>
        </w:rPr>
        <w:t xml:space="preserve"> </w:t>
      </w:r>
      <w:r w:rsidR="00033D0F">
        <w:t>submission</w:t>
      </w:r>
      <w:r w:rsidR="00033D0F">
        <w:rPr>
          <w:spacing w:val="-14"/>
        </w:rPr>
        <w:t xml:space="preserve"> </w:t>
      </w:r>
      <w:r w:rsidR="00033D0F">
        <w:t>is</w:t>
      </w:r>
      <w:r w:rsidR="00033D0F">
        <w:rPr>
          <w:spacing w:val="-6"/>
        </w:rPr>
        <w:t xml:space="preserve"> </w:t>
      </w:r>
      <w:r w:rsidR="00033D0F">
        <w:t>that,</w:t>
      </w:r>
      <w:r w:rsidR="00033D0F">
        <w:rPr>
          <w:spacing w:val="-10"/>
        </w:rPr>
        <w:t xml:space="preserve"> </w:t>
      </w:r>
      <w:r w:rsidR="00033D0F">
        <w:t>in</w:t>
      </w:r>
      <w:r w:rsidR="00033D0F">
        <w:rPr>
          <w:spacing w:val="-10"/>
        </w:rPr>
        <w:t xml:space="preserve"> </w:t>
      </w:r>
      <w:r w:rsidR="00033D0F">
        <w:t>acknowledging</w:t>
      </w:r>
      <w:r w:rsidR="00033D0F">
        <w:rPr>
          <w:spacing w:val="-7"/>
        </w:rPr>
        <w:t xml:space="preserve"> </w:t>
      </w:r>
      <w:r w:rsidR="00033D0F">
        <w:t>this submission</w:t>
      </w:r>
      <w:r w:rsidR="00033D0F">
        <w:rPr>
          <w:spacing w:val="-5"/>
        </w:rPr>
        <w:t xml:space="preserve"> </w:t>
      </w:r>
      <w:r w:rsidR="00033D0F">
        <w:t>by</w:t>
      </w:r>
      <w:r w:rsidR="00033D0F">
        <w:rPr>
          <w:spacing w:val="-3"/>
        </w:rPr>
        <w:t xml:space="preserve"> </w:t>
      </w:r>
      <w:r w:rsidR="00033D0F">
        <w:t>the</w:t>
      </w:r>
      <w:r w:rsidR="00033D0F">
        <w:rPr>
          <w:spacing w:val="-4"/>
        </w:rPr>
        <w:t xml:space="preserve"> </w:t>
      </w:r>
      <w:r w:rsidR="00033D0F">
        <w:t>Applicant</w:t>
      </w:r>
      <w:r w:rsidR="00033D0F">
        <w:rPr>
          <w:spacing w:val="-4"/>
        </w:rPr>
        <w:t xml:space="preserve"> </w:t>
      </w:r>
      <w:r w:rsidR="00033D0F">
        <w:t>(CADA)</w:t>
      </w:r>
      <w:r w:rsidR="00033D0F">
        <w:rPr>
          <w:spacing w:val="-5"/>
        </w:rPr>
        <w:t xml:space="preserve"> </w:t>
      </w:r>
      <w:r w:rsidR="00033D0F">
        <w:t>MOFCOM</w:t>
      </w:r>
      <w:r w:rsidR="00033D0F">
        <w:rPr>
          <w:spacing w:val="-4"/>
        </w:rPr>
        <w:t xml:space="preserve"> </w:t>
      </w:r>
      <w:r w:rsidR="00033D0F">
        <w:t>was</w:t>
      </w:r>
      <w:r w:rsidR="00033D0F">
        <w:rPr>
          <w:spacing w:val="-3"/>
        </w:rPr>
        <w:t xml:space="preserve"> </w:t>
      </w:r>
      <w:r w:rsidR="00033D0F">
        <w:t>in</w:t>
      </w:r>
      <w:r w:rsidR="00033D0F">
        <w:rPr>
          <w:spacing w:val="-5"/>
        </w:rPr>
        <w:t xml:space="preserve"> </w:t>
      </w:r>
      <w:r w:rsidR="00033D0F">
        <w:t>fact</w:t>
      </w:r>
      <w:r w:rsidR="00033D0F">
        <w:rPr>
          <w:spacing w:val="-4"/>
        </w:rPr>
        <w:t xml:space="preserve"> </w:t>
      </w:r>
      <w:r w:rsidR="00033D0F">
        <w:t>making</w:t>
      </w:r>
      <w:r w:rsidR="00033D0F">
        <w:rPr>
          <w:spacing w:val="-3"/>
        </w:rPr>
        <w:t xml:space="preserve"> </w:t>
      </w:r>
      <w:r w:rsidR="00033D0F">
        <w:t>a</w:t>
      </w:r>
      <w:r w:rsidR="00033D0F">
        <w:rPr>
          <w:spacing w:val="-4"/>
        </w:rPr>
        <w:t xml:space="preserve"> </w:t>
      </w:r>
      <w:r w:rsidR="00033D0F">
        <w:t>finding</w:t>
      </w:r>
      <w:r w:rsidR="00033D0F">
        <w:rPr>
          <w:spacing w:val="-3"/>
        </w:rPr>
        <w:t xml:space="preserve"> </w:t>
      </w:r>
      <w:r w:rsidR="00033D0F">
        <w:t>that</w:t>
      </w:r>
      <w:r w:rsidR="00033D0F">
        <w:rPr>
          <w:spacing w:val="-8"/>
        </w:rPr>
        <w:t xml:space="preserve"> </w:t>
      </w:r>
      <w:r w:rsidR="00033D0F">
        <w:t>Swan</w:t>
      </w:r>
      <w:r w:rsidR="00033D0F">
        <w:rPr>
          <w:spacing w:val="-5"/>
        </w:rPr>
        <w:t xml:space="preserve"> </w:t>
      </w:r>
      <w:r w:rsidR="00033D0F">
        <w:t>Vintage "was obviously also subject to the same restrictions" and that, from this, MOFCOM assumed that</w:t>
      </w:r>
      <w:r w:rsidR="00033D0F">
        <w:rPr>
          <w:spacing w:val="-7"/>
        </w:rPr>
        <w:t xml:space="preserve"> </w:t>
      </w:r>
      <w:r w:rsidR="00033D0F">
        <w:t>the</w:t>
      </w:r>
      <w:r w:rsidR="00033D0F">
        <w:rPr>
          <w:spacing w:val="-7"/>
        </w:rPr>
        <w:t xml:space="preserve"> </w:t>
      </w:r>
      <w:r w:rsidR="00033D0F">
        <w:t>impact</w:t>
      </w:r>
      <w:r w:rsidR="00033D0F">
        <w:rPr>
          <w:spacing w:val="-7"/>
        </w:rPr>
        <w:t xml:space="preserve"> </w:t>
      </w:r>
      <w:r w:rsidR="00033D0F">
        <w:t>of</w:t>
      </w:r>
      <w:r w:rsidR="00033D0F">
        <w:rPr>
          <w:spacing w:val="-9"/>
        </w:rPr>
        <w:t xml:space="preserve"> </w:t>
      </w:r>
      <w:r w:rsidR="00033D0F">
        <w:t>the</w:t>
      </w:r>
      <w:r w:rsidR="00033D0F">
        <w:rPr>
          <w:spacing w:val="-7"/>
        </w:rPr>
        <w:t xml:space="preserve"> </w:t>
      </w:r>
      <w:r w:rsidR="00033D0F">
        <w:t>COVID</w:t>
      </w:r>
      <w:r w:rsidR="00033D0F">
        <w:rPr>
          <w:spacing w:val="-7"/>
        </w:rPr>
        <w:t xml:space="preserve"> </w:t>
      </w:r>
      <w:r w:rsidR="00033D0F">
        <w:t>restrictions</w:t>
      </w:r>
      <w:r w:rsidR="00033D0F">
        <w:rPr>
          <w:spacing w:val="-6"/>
        </w:rPr>
        <w:t xml:space="preserve"> </w:t>
      </w:r>
      <w:r w:rsidR="00033D0F">
        <w:t>on</w:t>
      </w:r>
      <w:r w:rsidR="00033D0F">
        <w:rPr>
          <w:spacing w:val="-9"/>
        </w:rPr>
        <w:t xml:space="preserve"> </w:t>
      </w:r>
      <w:r w:rsidR="00033D0F">
        <w:t>Treasury</w:t>
      </w:r>
      <w:r w:rsidR="00033D0F">
        <w:rPr>
          <w:spacing w:val="-6"/>
        </w:rPr>
        <w:t xml:space="preserve"> </w:t>
      </w:r>
      <w:r w:rsidR="00033D0F">
        <w:t>Wines</w:t>
      </w:r>
      <w:r w:rsidR="00033D0F">
        <w:rPr>
          <w:spacing w:val="-6"/>
        </w:rPr>
        <w:t xml:space="preserve"> </w:t>
      </w:r>
      <w:r w:rsidR="00033D0F">
        <w:t>was</w:t>
      </w:r>
      <w:r w:rsidR="00033D0F">
        <w:rPr>
          <w:spacing w:val="-6"/>
        </w:rPr>
        <w:t xml:space="preserve"> </w:t>
      </w:r>
      <w:r w:rsidR="00033D0F">
        <w:t>not</w:t>
      </w:r>
      <w:r w:rsidR="00033D0F">
        <w:rPr>
          <w:spacing w:val="-7"/>
        </w:rPr>
        <w:t xml:space="preserve"> </w:t>
      </w:r>
      <w:r w:rsidR="00033D0F">
        <w:t>so</w:t>
      </w:r>
      <w:r w:rsidR="00033D0F">
        <w:rPr>
          <w:spacing w:val="-10"/>
        </w:rPr>
        <w:t xml:space="preserve"> </w:t>
      </w:r>
      <w:r w:rsidR="00033D0F">
        <w:t>onerous</w:t>
      </w:r>
      <w:r w:rsidR="00033D0F">
        <w:rPr>
          <w:spacing w:val="-6"/>
        </w:rPr>
        <w:t xml:space="preserve"> </w:t>
      </w:r>
      <w:r w:rsidR="00033D0F">
        <w:t>as</w:t>
      </w:r>
      <w:r w:rsidR="00033D0F">
        <w:rPr>
          <w:spacing w:val="-6"/>
        </w:rPr>
        <w:t xml:space="preserve"> </w:t>
      </w:r>
      <w:r w:rsidR="00033D0F">
        <w:t>to</w:t>
      </w:r>
      <w:r w:rsidR="00033D0F">
        <w:rPr>
          <w:spacing w:val="-10"/>
        </w:rPr>
        <w:t xml:space="preserve"> </w:t>
      </w:r>
      <w:r w:rsidR="00033D0F">
        <w:t>warrant good cause for an extension.</w:t>
      </w:r>
      <w:hyperlink w:anchor="_bookmark1369" w:history="1">
        <w:r w:rsidR="00033D0F">
          <w:rPr>
            <w:vertAlign w:val="superscript"/>
          </w:rPr>
          <w:t>1181</w:t>
        </w:r>
      </w:hyperlink>
    </w:p>
    <w:p w14:paraId="0D0D3F2B" w14:textId="77777777" w:rsidR="00BD462C" w:rsidRDefault="00BD462C">
      <w:pPr>
        <w:pStyle w:val="BodyText"/>
        <w:spacing w:before="7"/>
        <w:rPr>
          <w:sz w:val="8"/>
        </w:rPr>
      </w:pPr>
    </w:p>
    <w:p w14:paraId="503D0699" w14:textId="7BE74A46" w:rsidR="00BD462C" w:rsidRDefault="002804B4">
      <w:pPr>
        <w:pStyle w:val="BodyText"/>
        <w:spacing w:before="56" w:line="357" w:lineRule="auto"/>
        <w:ind w:left="135" w:right="919"/>
        <w:jc w:val="both"/>
      </w:pPr>
      <w:r>
        <w:rPr>
          <w:noProof/>
        </w:rPr>
        <w:t>786.</w:t>
      </w:r>
      <w:r w:rsidR="00033D0F">
        <w:rPr>
          <w:rFonts w:ascii="Times New Roman"/>
          <w:spacing w:val="80"/>
          <w:position w:val="1"/>
          <w:sz w:val="20"/>
        </w:rPr>
        <w:t xml:space="preserve">  </w:t>
      </w:r>
      <w:r w:rsidR="00033D0F">
        <w:rPr>
          <w:position w:val="1"/>
        </w:rPr>
        <w:t>Contrary</w:t>
      </w:r>
      <w:r w:rsidR="00033D0F">
        <w:rPr>
          <w:spacing w:val="-6"/>
          <w:position w:val="1"/>
        </w:rPr>
        <w:t xml:space="preserve"> </w:t>
      </w:r>
      <w:r w:rsidR="00033D0F">
        <w:rPr>
          <w:position w:val="1"/>
        </w:rPr>
        <w:t>to</w:t>
      </w:r>
      <w:r w:rsidR="00033D0F">
        <w:rPr>
          <w:spacing w:val="-5"/>
          <w:position w:val="1"/>
        </w:rPr>
        <w:t xml:space="preserve"> </w:t>
      </w:r>
      <w:r w:rsidR="00033D0F">
        <w:rPr>
          <w:position w:val="1"/>
        </w:rPr>
        <w:t>China's</w:t>
      </w:r>
      <w:r w:rsidR="00033D0F">
        <w:rPr>
          <w:spacing w:val="-6"/>
          <w:position w:val="1"/>
        </w:rPr>
        <w:t xml:space="preserve"> </w:t>
      </w:r>
      <w:r w:rsidR="00033D0F">
        <w:rPr>
          <w:position w:val="1"/>
        </w:rPr>
        <w:t>assertion,</w:t>
      </w:r>
      <w:r w:rsidR="00033D0F">
        <w:rPr>
          <w:spacing w:val="-5"/>
          <w:position w:val="1"/>
        </w:rPr>
        <w:t xml:space="preserve"> </w:t>
      </w:r>
      <w:r w:rsidR="00033D0F">
        <w:rPr>
          <w:position w:val="1"/>
        </w:rPr>
        <w:t>this</w:t>
      </w:r>
      <w:r w:rsidR="00033D0F">
        <w:rPr>
          <w:spacing w:val="-6"/>
          <w:position w:val="1"/>
        </w:rPr>
        <w:t xml:space="preserve"> </w:t>
      </w:r>
      <w:r w:rsidR="00033D0F">
        <w:rPr>
          <w:i/>
          <w:position w:val="1"/>
        </w:rPr>
        <w:t>ex</w:t>
      </w:r>
      <w:r w:rsidR="00033D0F">
        <w:rPr>
          <w:i/>
          <w:spacing w:val="-6"/>
          <w:position w:val="1"/>
        </w:rPr>
        <w:t xml:space="preserve"> </w:t>
      </w:r>
      <w:r w:rsidR="00033D0F">
        <w:rPr>
          <w:i/>
          <w:position w:val="1"/>
        </w:rPr>
        <w:t>post</w:t>
      </w:r>
      <w:r w:rsidR="00033D0F">
        <w:rPr>
          <w:i/>
          <w:spacing w:val="-7"/>
          <w:position w:val="1"/>
        </w:rPr>
        <w:t xml:space="preserve"> </w:t>
      </w:r>
      <w:r w:rsidR="00033D0F">
        <w:rPr>
          <w:i/>
          <w:position w:val="1"/>
        </w:rPr>
        <w:t>facto</w:t>
      </w:r>
      <w:r w:rsidR="00033D0F">
        <w:rPr>
          <w:i/>
          <w:spacing w:val="-6"/>
          <w:position w:val="1"/>
        </w:rPr>
        <w:t xml:space="preserve"> </w:t>
      </w:r>
      <w:r w:rsidR="00033D0F">
        <w:rPr>
          <w:position w:val="1"/>
        </w:rPr>
        <w:t>explanation</w:t>
      </w:r>
      <w:r w:rsidR="00033D0F">
        <w:rPr>
          <w:spacing w:val="-9"/>
          <w:position w:val="1"/>
        </w:rPr>
        <w:t xml:space="preserve"> </w:t>
      </w:r>
      <w:r w:rsidR="00033D0F">
        <w:rPr>
          <w:position w:val="1"/>
        </w:rPr>
        <w:t>has</w:t>
      </w:r>
      <w:r w:rsidR="00033D0F">
        <w:rPr>
          <w:spacing w:val="-6"/>
          <w:position w:val="1"/>
        </w:rPr>
        <w:t xml:space="preserve"> </w:t>
      </w:r>
      <w:r w:rsidR="00033D0F">
        <w:rPr>
          <w:position w:val="1"/>
        </w:rPr>
        <w:t>no</w:t>
      </w:r>
      <w:r w:rsidR="00033D0F">
        <w:rPr>
          <w:spacing w:val="-5"/>
          <w:position w:val="1"/>
        </w:rPr>
        <w:t xml:space="preserve"> </w:t>
      </w:r>
      <w:r w:rsidR="00033D0F">
        <w:rPr>
          <w:position w:val="1"/>
        </w:rPr>
        <w:t>connection</w:t>
      </w:r>
      <w:r w:rsidR="00033D0F">
        <w:rPr>
          <w:spacing w:val="-9"/>
          <w:position w:val="1"/>
        </w:rPr>
        <w:t xml:space="preserve"> </w:t>
      </w:r>
      <w:r w:rsidR="00033D0F">
        <w:rPr>
          <w:position w:val="1"/>
        </w:rPr>
        <w:t>to</w:t>
      </w:r>
      <w:r w:rsidR="00033D0F">
        <w:rPr>
          <w:spacing w:val="-5"/>
          <w:position w:val="1"/>
        </w:rPr>
        <w:t xml:space="preserve"> </w:t>
      </w:r>
      <w:r w:rsidR="00033D0F">
        <w:rPr>
          <w:position w:val="1"/>
        </w:rPr>
        <w:t xml:space="preserve">the </w:t>
      </w:r>
      <w:r w:rsidR="00033D0F">
        <w:t>record. MOFCOM's Final Determination contains no reference at all to consideration of the effect of COVID-19 lockdowns.</w:t>
      </w:r>
    </w:p>
    <w:p w14:paraId="5032FB57" w14:textId="77777777" w:rsidR="00BD462C" w:rsidRDefault="00BD462C">
      <w:pPr>
        <w:pStyle w:val="BodyText"/>
        <w:spacing w:before="3"/>
        <w:rPr>
          <w:sz w:val="9"/>
        </w:rPr>
      </w:pPr>
    </w:p>
    <w:p w14:paraId="4EE117B0" w14:textId="4ABB9F8C" w:rsidR="00BD462C" w:rsidRDefault="002804B4">
      <w:pPr>
        <w:pStyle w:val="BodyText"/>
        <w:spacing w:before="56" w:line="355" w:lineRule="auto"/>
        <w:ind w:left="135" w:right="923"/>
      </w:pPr>
      <w:r>
        <w:rPr>
          <w:noProof/>
        </w:rPr>
        <w:t>787.</w:t>
      </w:r>
      <w:r w:rsidR="00033D0F">
        <w:rPr>
          <w:rFonts w:ascii="Times New Roman"/>
          <w:spacing w:val="80"/>
          <w:position w:val="1"/>
          <w:sz w:val="20"/>
        </w:rPr>
        <w:t xml:space="preserve">   </w:t>
      </w:r>
      <w:r w:rsidR="00033D0F">
        <w:rPr>
          <w:position w:val="1"/>
        </w:rPr>
        <w:t>However, even assuming that MOFCOM did make</w:t>
      </w:r>
      <w:r w:rsidR="00033D0F">
        <w:rPr>
          <w:spacing w:val="-1"/>
          <w:position w:val="1"/>
        </w:rPr>
        <w:t xml:space="preserve"> </w:t>
      </w:r>
      <w:r w:rsidR="00033D0F">
        <w:rPr>
          <w:position w:val="1"/>
        </w:rPr>
        <w:t xml:space="preserve">such a finding, then it clearly was </w:t>
      </w:r>
      <w:r w:rsidR="00033D0F">
        <w:t>not</w:t>
      </w:r>
      <w:r w:rsidR="00033D0F">
        <w:rPr>
          <w:spacing w:val="11"/>
        </w:rPr>
        <w:t xml:space="preserve"> </w:t>
      </w:r>
      <w:r w:rsidR="00033D0F">
        <w:t>one</w:t>
      </w:r>
      <w:r w:rsidR="00033D0F">
        <w:rPr>
          <w:spacing w:val="15"/>
        </w:rPr>
        <w:t xml:space="preserve"> </w:t>
      </w:r>
      <w:r w:rsidR="00033D0F">
        <w:t>that</w:t>
      </w:r>
      <w:r w:rsidR="00033D0F">
        <w:rPr>
          <w:spacing w:val="12"/>
        </w:rPr>
        <w:t xml:space="preserve"> </w:t>
      </w:r>
      <w:r w:rsidR="00033D0F">
        <w:t>an</w:t>
      </w:r>
      <w:r w:rsidR="00033D0F">
        <w:rPr>
          <w:spacing w:val="13"/>
        </w:rPr>
        <w:t xml:space="preserve"> </w:t>
      </w:r>
      <w:r w:rsidR="00033D0F">
        <w:t>unbiased</w:t>
      </w:r>
      <w:r w:rsidR="00033D0F">
        <w:rPr>
          <w:spacing w:val="9"/>
        </w:rPr>
        <w:t xml:space="preserve"> </w:t>
      </w:r>
      <w:r w:rsidR="00033D0F">
        <w:t>and</w:t>
      </w:r>
      <w:r w:rsidR="00033D0F">
        <w:rPr>
          <w:spacing w:val="8"/>
        </w:rPr>
        <w:t xml:space="preserve"> </w:t>
      </w:r>
      <w:r w:rsidR="00033D0F">
        <w:t>objective</w:t>
      </w:r>
      <w:r w:rsidR="00033D0F">
        <w:rPr>
          <w:spacing w:val="11"/>
        </w:rPr>
        <w:t xml:space="preserve"> </w:t>
      </w:r>
      <w:r w:rsidR="00033D0F">
        <w:t>investigating</w:t>
      </w:r>
      <w:r w:rsidR="00033D0F">
        <w:rPr>
          <w:spacing w:val="12"/>
        </w:rPr>
        <w:t xml:space="preserve"> </w:t>
      </w:r>
      <w:r w:rsidR="00033D0F">
        <w:t>authority</w:t>
      </w:r>
      <w:r w:rsidR="00033D0F">
        <w:rPr>
          <w:spacing w:val="11"/>
        </w:rPr>
        <w:t xml:space="preserve"> </w:t>
      </w:r>
      <w:r w:rsidR="00033D0F">
        <w:t>could</w:t>
      </w:r>
      <w:r w:rsidR="00033D0F">
        <w:rPr>
          <w:spacing w:val="9"/>
        </w:rPr>
        <w:t xml:space="preserve"> </w:t>
      </w:r>
      <w:r w:rsidR="00033D0F">
        <w:t>reach.</w:t>
      </w:r>
      <w:r w:rsidR="00033D0F">
        <w:rPr>
          <w:spacing w:val="16"/>
        </w:rPr>
        <w:t xml:space="preserve"> </w:t>
      </w:r>
      <w:r w:rsidR="00033D0F">
        <w:t>Treasury</w:t>
      </w:r>
      <w:r w:rsidR="00033D0F">
        <w:rPr>
          <w:spacing w:val="12"/>
        </w:rPr>
        <w:t xml:space="preserve"> </w:t>
      </w:r>
      <w:r w:rsidR="00033D0F">
        <w:rPr>
          <w:spacing w:val="-2"/>
        </w:rPr>
        <w:t>Wines</w:t>
      </w:r>
    </w:p>
    <w:p w14:paraId="2C56A809" w14:textId="77777777" w:rsidR="00BD462C" w:rsidRDefault="00BD462C">
      <w:pPr>
        <w:pStyle w:val="BodyText"/>
        <w:rPr>
          <w:sz w:val="20"/>
        </w:rPr>
      </w:pPr>
    </w:p>
    <w:p w14:paraId="137926BB" w14:textId="2A8542E3" w:rsidR="00BD462C" w:rsidRDefault="00D70C7D">
      <w:pPr>
        <w:pStyle w:val="BodyText"/>
        <w:spacing w:before="10"/>
        <w:rPr>
          <w:sz w:val="26"/>
        </w:rPr>
      </w:pPr>
      <w:r>
        <w:rPr>
          <w:noProof/>
        </w:rPr>
        <mc:AlternateContent>
          <mc:Choice Requires="wps">
            <w:drawing>
              <wp:anchor distT="0" distB="0" distL="0" distR="0" simplePos="0" relativeHeight="487844352" behindDoc="1" locked="0" layoutInCell="1" allowOverlap="1" wp14:anchorId="4465F668" wp14:editId="7CE09D2A">
                <wp:simplePos x="0" y="0"/>
                <wp:positionH relativeFrom="page">
                  <wp:posOffset>899160</wp:posOffset>
                </wp:positionH>
                <wp:positionV relativeFrom="paragraph">
                  <wp:posOffset>223520</wp:posOffset>
                </wp:positionV>
                <wp:extent cx="1828800" cy="8890"/>
                <wp:effectExtent l="0" t="0" r="0" b="0"/>
                <wp:wrapTopAndBottom/>
                <wp:docPr id="340" name="docshape5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5C2434" id="docshape552" o:spid="_x0000_s1026" alt="&quot;&quot;" style="position:absolute;margin-left:70.8pt;margin-top:17.6pt;width:2in;height:.7pt;z-index:-1547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" fillcolor="black" stroked="f">
                <w10:wrap type="topAndBottom" anchorx="page"/>
              </v:rect>
            </w:pict>
          </mc:Fallback>
        </mc:AlternateContent>
      </w:r>
    </w:p>
    <w:p w14:paraId="29CF9606" w14:textId="77777777" w:rsidR="00BD462C" w:rsidRDefault="00033D0F">
      <w:pPr>
        <w:spacing w:before="107"/>
        <w:ind w:left="136" w:right="904" w:hanging="1"/>
        <w:jc w:val="both"/>
        <w:rPr>
          <w:sz w:val="18"/>
        </w:rPr>
      </w:pPr>
      <w:bookmarkStart w:id="1589" w:name="_bookmark1368"/>
      <w:bookmarkEnd w:id="1589"/>
      <w:r>
        <w:rPr>
          <w:position w:val="5"/>
          <w:sz w:val="12"/>
        </w:rPr>
        <w:t>1180</w:t>
      </w:r>
      <w:r>
        <w:rPr>
          <w:spacing w:val="26"/>
          <w:position w:val="5"/>
          <w:sz w:val="12"/>
        </w:rPr>
        <w:t xml:space="preserve"> </w:t>
      </w:r>
      <w:r>
        <w:rPr>
          <w:sz w:val="18"/>
        </w:rPr>
        <w:t>Anti-Dumping Final Determination (Exhibit AUS-2), p. 19; Anti-Dumping Final Determination (Exhibit CHN-1), p. 8 ("The Applicant claimed in the comments on the Preliminary Determination that [...] one of the three samples did not propose to extend the deadline for the submission, suggesting that the respondents were capable of submitting the responses within the specified period").</w:t>
      </w:r>
    </w:p>
    <w:p w14:paraId="1BBB1F9A" w14:textId="77777777" w:rsidR="00BD462C" w:rsidRDefault="00033D0F">
      <w:pPr>
        <w:spacing w:before="4"/>
        <w:ind w:left="135"/>
        <w:jc w:val="both"/>
        <w:rPr>
          <w:sz w:val="18"/>
        </w:rPr>
      </w:pPr>
      <w:bookmarkStart w:id="1590" w:name="_bookmark1369"/>
      <w:bookmarkEnd w:id="1590"/>
      <w:r>
        <w:rPr>
          <w:position w:val="5"/>
          <w:sz w:val="12"/>
        </w:rPr>
        <w:t>1181</w:t>
      </w:r>
      <w:r>
        <w:rPr>
          <w:spacing w:val="15"/>
          <w:position w:val="5"/>
          <w:sz w:val="12"/>
        </w:rPr>
        <w:t xml:space="preserve"> </w:t>
      </w:r>
      <w:r>
        <w:rPr>
          <w:sz w:val="18"/>
        </w:rPr>
        <w:t>China's</w:t>
      </w:r>
      <w:r>
        <w:rPr>
          <w:spacing w:val="1"/>
          <w:sz w:val="18"/>
        </w:rPr>
        <w:t xml:space="preserve"> </w:t>
      </w:r>
      <w:r>
        <w:rPr>
          <w:sz w:val="18"/>
        </w:rPr>
        <w:t>response</w:t>
      </w:r>
      <w:r>
        <w:rPr>
          <w:spacing w:val="-4"/>
          <w:sz w:val="18"/>
        </w:rPr>
        <w:t xml:space="preserve"> </w:t>
      </w:r>
      <w:r>
        <w:rPr>
          <w:sz w:val="18"/>
        </w:rPr>
        <w:t>to</w:t>
      </w:r>
      <w:r>
        <w:rPr>
          <w:spacing w:val="-9"/>
          <w:sz w:val="18"/>
        </w:rPr>
        <w:t xml:space="preserve"> </w:t>
      </w:r>
      <w:r>
        <w:rPr>
          <w:sz w:val="18"/>
        </w:rPr>
        <w:t>Panel</w:t>
      </w:r>
      <w:r>
        <w:rPr>
          <w:spacing w:val="-3"/>
          <w:sz w:val="18"/>
        </w:rPr>
        <w:t xml:space="preserve"> </w:t>
      </w:r>
      <w:r>
        <w:rPr>
          <w:sz w:val="18"/>
        </w:rPr>
        <w:t>question</w:t>
      </w:r>
      <w:r>
        <w:rPr>
          <w:spacing w:val="-4"/>
          <w:sz w:val="18"/>
        </w:rPr>
        <w:t xml:space="preserve"> </w:t>
      </w:r>
      <w:r>
        <w:rPr>
          <w:sz w:val="18"/>
        </w:rPr>
        <w:t>No.</w:t>
      </w:r>
      <w:r>
        <w:rPr>
          <w:spacing w:val="2"/>
          <w:sz w:val="18"/>
        </w:rPr>
        <w:t xml:space="preserve"> </w:t>
      </w:r>
      <w:r>
        <w:rPr>
          <w:sz w:val="18"/>
        </w:rPr>
        <w:t>57,</w:t>
      </w:r>
      <w:r>
        <w:rPr>
          <w:spacing w:val="-1"/>
          <w:sz w:val="18"/>
        </w:rPr>
        <w:t xml:space="preserve"> </w:t>
      </w:r>
      <w:r>
        <w:rPr>
          <w:sz w:val="18"/>
        </w:rPr>
        <w:t>para.</w:t>
      </w:r>
      <w:r>
        <w:rPr>
          <w:spacing w:val="-3"/>
          <w:sz w:val="18"/>
        </w:rPr>
        <w:t xml:space="preserve"> </w:t>
      </w:r>
      <w:r>
        <w:rPr>
          <w:spacing w:val="-4"/>
          <w:sz w:val="18"/>
        </w:rPr>
        <w:t>336.</w:t>
      </w:r>
    </w:p>
    <w:p w14:paraId="74B80BFE" w14:textId="77777777" w:rsidR="00BD462C" w:rsidRDefault="00BD462C">
      <w:pPr>
        <w:jc w:val="both"/>
        <w:rPr>
          <w:sz w:val="18"/>
        </w:rPr>
        <w:sectPr w:rsidR="00BD462C">
          <w:pgSz w:w="11910" w:h="16840"/>
          <w:pgMar w:top="860" w:right="500" w:bottom="780" w:left="1280" w:header="566" w:footer="590" w:gutter="0"/>
          <w:cols w:space="720"/>
        </w:sectPr>
      </w:pPr>
    </w:p>
    <w:p w14:paraId="53B10031"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48612773"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523343D6"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13BE5983" w14:textId="77777777" w:rsidR="00BD462C" w:rsidRDefault="00033D0F">
      <w:pPr>
        <w:pStyle w:val="BodyText"/>
        <w:spacing w:before="102" w:line="360" w:lineRule="auto"/>
        <w:ind w:left="136" w:right="911"/>
        <w:jc w:val="both"/>
      </w:pPr>
      <w:r>
        <w:t>submissions</w:t>
      </w:r>
      <w:r>
        <w:rPr>
          <w:spacing w:val="-2"/>
        </w:rPr>
        <w:t xml:space="preserve"> </w:t>
      </w:r>
      <w:r>
        <w:t>about</w:t>
      </w:r>
      <w:r>
        <w:rPr>
          <w:spacing w:val="-3"/>
        </w:rPr>
        <w:t xml:space="preserve"> </w:t>
      </w:r>
      <w:r>
        <w:t>COVID-19</w:t>
      </w:r>
      <w:r>
        <w:rPr>
          <w:spacing w:val="-1"/>
        </w:rPr>
        <w:t xml:space="preserve"> </w:t>
      </w:r>
      <w:r>
        <w:t>public</w:t>
      </w:r>
      <w:r>
        <w:rPr>
          <w:spacing w:val="-5"/>
        </w:rPr>
        <w:t xml:space="preserve"> </w:t>
      </w:r>
      <w:r>
        <w:t>health</w:t>
      </w:r>
      <w:r>
        <w:rPr>
          <w:spacing w:val="-5"/>
        </w:rPr>
        <w:t xml:space="preserve"> </w:t>
      </w:r>
      <w:r>
        <w:t>restrictions</w:t>
      </w:r>
      <w:r>
        <w:rPr>
          <w:spacing w:val="-2"/>
        </w:rPr>
        <w:t xml:space="preserve"> </w:t>
      </w:r>
      <w:r>
        <w:t>were</w:t>
      </w:r>
      <w:r>
        <w:rPr>
          <w:spacing w:val="-3"/>
        </w:rPr>
        <w:t xml:space="preserve"> </w:t>
      </w:r>
      <w:r>
        <w:t>explicitly</w:t>
      </w:r>
      <w:r>
        <w:rPr>
          <w:spacing w:val="-2"/>
        </w:rPr>
        <w:t xml:space="preserve"> </w:t>
      </w:r>
      <w:r>
        <w:t>based</w:t>
      </w:r>
      <w:r>
        <w:rPr>
          <w:spacing w:val="-5"/>
        </w:rPr>
        <w:t xml:space="preserve"> </w:t>
      </w:r>
      <w:r>
        <w:t>on</w:t>
      </w:r>
      <w:r>
        <w:rPr>
          <w:spacing w:val="-5"/>
        </w:rPr>
        <w:t xml:space="preserve"> </w:t>
      </w:r>
      <w:r>
        <w:t>the particular restrictions applying at the time to metropolitan Melbourne, where Treasury Wines was based.</w:t>
      </w:r>
      <w:hyperlink w:anchor="_bookmark1370" w:history="1">
        <w:r>
          <w:rPr>
            <w:vertAlign w:val="superscript"/>
          </w:rPr>
          <w:t>1182</w:t>
        </w:r>
      </w:hyperlink>
      <w:r>
        <w:t xml:space="preserve"> It would have been entirely inappropriate – and factually unsupported – for MOFCOM to have assumed it was "obvious" that the same restrictions applied to Swan Vintage, which</w:t>
      </w:r>
      <w:r>
        <w:rPr>
          <w:spacing w:val="-3"/>
        </w:rPr>
        <w:t xml:space="preserve"> </w:t>
      </w:r>
      <w:r>
        <w:t>is based</w:t>
      </w:r>
      <w:r>
        <w:rPr>
          <w:spacing w:val="-3"/>
        </w:rPr>
        <w:t xml:space="preserve"> </w:t>
      </w:r>
      <w:r>
        <w:t>in</w:t>
      </w:r>
      <w:r>
        <w:rPr>
          <w:spacing w:val="-3"/>
        </w:rPr>
        <w:t xml:space="preserve"> </w:t>
      </w:r>
      <w:r>
        <w:t>a</w:t>
      </w:r>
      <w:r>
        <w:rPr>
          <w:spacing w:val="-2"/>
        </w:rPr>
        <w:t xml:space="preserve"> </w:t>
      </w:r>
      <w:r>
        <w:t>different</w:t>
      </w:r>
      <w:r>
        <w:rPr>
          <w:spacing w:val="-1"/>
        </w:rPr>
        <w:t xml:space="preserve"> </w:t>
      </w:r>
      <w:r>
        <w:t>state</w:t>
      </w:r>
      <w:r>
        <w:rPr>
          <w:spacing w:val="-1"/>
        </w:rPr>
        <w:t xml:space="preserve"> </w:t>
      </w:r>
      <w:r>
        <w:t>of</w:t>
      </w:r>
      <w:r>
        <w:rPr>
          <w:spacing w:val="-3"/>
        </w:rPr>
        <w:t xml:space="preserve"> </w:t>
      </w:r>
      <w:r>
        <w:t>Australia.</w:t>
      </w:r>
      <w:hyperlink w:anchor="_bookmark1371" w:history="1">
        <w:r>
          <w:rPr>
            <w:vertAlign w:val="superscript"/>
          </w:rPr>
          <w:t>1183</w:t>
        </w:r>
      </w:hyperlink>
      <w:r>
        <w:rPr>
          <w:spacing w:val="-1"/>
        </w:rPr>
        <w:t xml:space="preserve"> </w:t>
      </w:r>
      <w:r>
        <w:t>Cursory enquiries of</w:t>
      </w:r>
      <w:r>
        <w:rPr>
          <w:spacing w:val="-3"/>
        </w:rPr>
        <w:t xml:space="preserve"> </w:t>
      </w:r>
      <w:r>
        <w:t>public</w:t>
      </w:r>
      <w:r>
        <w:rPr>
          <w:spacing w:val="-3"/>
        </w:rPr>
        <w:t xml:space="preserve"> </w:t>
      </w:r>
      <w:r>
        <w:t>source information would have shown that different and less onerous restrictions applied in the states where Swan Vintage's operations are based. In any event, it is entirely unreasonable and</w:t>
      </w:r>
      <w:r>
        <w:rPr>
          <w:spacing w:val="-5"/>
        </w:rPr>
        <w:t xml:space="preserve"> </w:t>
      </w:r>
      <w:r>
        <w:t>unfair</w:t>
      </w:r>
      <w:r>
        <w:rPr>
          <w:spacing w:val="-1"/>
        </w:rPr>
        <w:t xml:space="preserve"> </w:t>
      </w:r>
      <w:r>
        <w:t>to</w:t>
      </w:r>
      <w:r>
        <w:rPr>
          <w:spacing w:val="-6"/>
        </w:rPr>
        <w:t xml:space="preserve"> </w:t>
      </w:r>
      <w:r>
        <w:t>assume</w:t>
      </w:r>
      <w:r>
        <w:rPr>
          <w:spacing w:val="-3"/>
        </w:rPr>
        <w:t xml:space="preserve"> </w:t>
      </w:r>
      <w:r>
        <w:t>that</w:t>
      </w:r>
      <w:r>
        <w:rPr>
          <w:spacing w:val="-3"/>
        </w:rPr>
        <w:t xml:space="preserve"> </w:t>
      </w:r>
      <w:r>
        <w:t>restrictions</w:t>
      </w:r>
      <w:r>
        <w:rPr>
          <w:spacing w:val="-2"/>
        </w:rPr>
        <w:t xml:space="preserve"> </w:t>
      </w:r>
      <w:r>
        <w:t>would</w:t>
      </w:r>
      <w:r>
        <w:rPr>
          <w:spacing w:val="-5"/>
        </w:rPr>
        <w:t xml:space="preserve"> </w:t>
      </w:r>
      <w:r>
        <w:t>affect</w:t>
      </w:r>
      <w:r>
        <w:rPr>
          <w:spacing w:val="-3"/>
        </w:rPr>
        <w:t xml:space="preserve"> </w:t>
      </w:r>
      <w:r>
        <w:t>completely</w:t>
      </w:r>
      <w:r>
        <w:rPr>
          <w:spacing w:val="-2"/>
        </w:rPr>
        <w:t xml:space="preserve"> </w:t>
      </w:r>
      <w:r>
        <w:t>different</w:t>
      </w:r>
      <w:r>
        <w:rPr>
          <w:spacing w:val="-3"/>
        </w:rPr>
        <w:t xml:space="preserve"> </w:t>
      </w:r>
      <w:r>
        <w:t>companies</w:t>
      </w:r>
      <w:r>
        <w:rPr>
          <w:spacing w:val="-2"/>
        </w:rPr>
        <w:t xml:space="preserve"> </w:t>
      </w:r>
      <w:r>
        <w:t>in</w:t>
      </w:r>
      <w:r>
        <w:rPr>
          <w:spacing w:val="-5"/>
        </w:rPr>
        <w:t xml:space="preserve"> </w:t>
      </w:r>
      <w:r>
        <w:t>exactly the same way.</w:t>
      </w:r>
    </w:p>
    <w:p w14:paraId="087CB83B" w14:textId="77777777" w:rsidR="00BD462C" w:rsidRDefault="00BD462C">
      <w:pPr>
        <w:pStyle w:val="BodyText"/>
        <w:spacing w:before="10"/>
        <w:rPr>
          <w:sz w:val="8"/>
        </w:rPr>
      </w:pPr>
    </w:p>
    <w:p w14:paraId="33B46768" w14:textId="1F3C558B" w:rsidR="00BD462C" w:rsidRDefault="002804B4">
      <w:pPr>
        <w:pStyle w:val="BodyText"/>
        <w:spacing w:before="56" w:line="360" w:lineRule="auto"/>
        <w:ind w:left="135" w:right="917"/>
        <w:jc w:val="both"/>
      </w:pPr>
      <w:r>
        <w:rPr>
          <w:noProof/>
        </w:rPr>
        <w:t>788.</w:t>
      </w:r>
      <w:r w:rsidR="00033D0F">
        <w:rPr>
          <w:rFonts w:ascii="Times New Roman"/>
          <w:spacing w:val="80"/>
          <w:w w:val="150"/>
          <w:position w:val="1"/>
          <w:sz w:val="20"/>
        </w:rPr>
        <w:t xml:space="preserve">  </w:t>
      </w:r>
      <w:r w:rsidR="00033D0F">
        <w:rPr>
          <w:position w:val="1"/>
        </w:rPr>
        <w:t>China</w:t>
      </w:r>
      <w:r w:rsidR="00033D0F">
        <w:rPr>
          <w:spacing w:val="-13"/>
          <w:position w:val="1"/>
        </w:rPr>
        <w:t xml:space="preserve"> </w:t>
      </w:r>
      <w:r w:rsidR="00033D0F">
        <w:rPr>
          <w:position w:val="1"/>
        </w:rPr>
        <w:t>contends</w:t>
      </w:r>
      <w:r w:rsidR="00033D0F">
        <w:rPr>
          <w:spacing w:val="-11"/>
          <w:position w:val="1"/>
        </w:rPr>
        <w:t xml:space="preserve"> </w:t>
      </w:r>
      <w:r w:rsidR="00033D0F">
        <w:rPr>
          <w:position w:val="1"/>
        </w:rPr>
        <w:t>that</w:t>
      </w:r>
      <w:r w:rsidR="00033D0F">
        <w:rPr>
          <w:spacing w:val="-12"/>
          <w:position w:val="1"/>
        </w:rPr>
        <w:t xml:space="preserve"> </w:t>
      </w:r>
      <w:r w:rsidR="00033D0F">
        <w:rPr>
          <w:position w:val="1"/>
        </w:rPr>
        <w:t>Australia's</w:t>
      </w:r>
      <w:r w:rsidR="00033D0F">
        <w:rPr>
          <w:spacing w:val="-11"/>
          <w:position w:val="1"/>
        </w:rPr>
        <w:t xml:space="preserve"> </w:t>
      </w:r>
      <w:r w:rsidR="00033D0F">
        <w:rPr>
          <w:position w:val="1"/>
        </w:rPr>
        <w:t>claim</w:t>
      </w:r>
      <w:r w:rsidR="00033D0F">
        <w:rPr>
          <w:spacing w:val="-14"/>
          <w:position w:val="1"/>
        </w:rPr>
        <w:t xml:space="preserve"> </w:t>
      </w:r>
      <w:r w:rsidR="00033D0F">
        <w:rPr>
          <w:position w:val="1"/>
        </w:rPr>
        <w:t>"must</w:t>
      </w:r>
      <w:r w:rsidR="00033D0F">
        <w:rPr>
          <w:spacing w:val="-12"/>
          <w:position w:val="1"/>
        </w:rPr>
        <w:t xml:space="preserve"> </w:t>
      </w:r>
      <w:r w:rsidR="00033D0F">
        <w:rPr>
          <w:position w:val="1"/>
        </w:rPr>
        <w:t>fail"</w:t>
      </w:r>
      <w:r w:rsidR="00033D0F">
        <w:rPr>
          <w:spacing w:val="-14"/>
          <w:position w:val="1"/>
        </w:rPr>
        <w:t xml:space="preserve"> </w:t>
      </w:r>
      <w:r w:rsidR="00033D0F">
        <w:rPr>
          <w:position w:val="1"/>
        </w:rPr>
        <w:t>since</w:t>
      </w:r>
      <w:r w:rsidR="00033D0F">
        <w:rPr>
          <w:spacing w:val="-12"/>
          <w:position w:val="1"/>
        </w:rPr>
        <w:t xml:space="preserve"> </w:t>
      </w:r>
      <w:r w:rsidR="00033D0F">
        <w:rPr>
          <w:position w:val="1"/>
        </w:rPr>
        <w:t>"37</w:t>
      </w:r>
      <w:r w:rsidR="00033D0F">
        <w:rPr>
          <w:spacing w:val="-14"/>
          <w:position w:val="1"/>
        </w:rPr>
        <w:t xml:space="preserve"> </w:t>
      </w:r>
      <w:r w:rsidR="00033D0F">
        <w:rPr>
          <w:position w:val="1"/>
        </w:rPr>
        <w:t>days</w:t>
      </w:r>
      <w:r w:rsidR="00033D0F">
        <w:rPr>
          <w:spacing w:val="-11"/>
          <w:position w:val="1"/>
        </w:rPr>
        <w:t xml:space="preserve"> </w:t>
      </w:r>
      <w:r w:rsidR="00033D0F">
        <w:rPr>
          <w:position w:val="1"/>
        </w:rPr>
        <w:t>is</w:t>
      </w:r>
      <w:r w:rsidR="00033D0F">
        <w:rPr>
          <w:spacing w:val="-11"/>
          <w:position w:val="1"/>
        </w:rPr>
        <w:t xml:space="preserve"> </w:t>
      </w:r>
      <w:r w:rsidR="00033D0F">
        <w:rPr>
          <w:position w:val="1"/>
        </w:rPr>
        <w:t>a</w:t>
      </w:r>
      <w:r w:rsidR="00033D0F">
        <w:rPr>
          <w:spacing w:val="-14"/>
          <w:position w:val="1"/>
        </w:rPr>
        <w:t xml:space="preserve"> </w:t>
      </w:r>
      <w:r w:rsidR="00033D0F">
        <w:rPr>
          <w:position w:val="1"/>
        </w:rPr>
        <w:t>significant</w:t>
      </w:r>
      <w:r w:rsidR="00033D0F">
        <w:rPr>
          <w:spacing w:val="-12"/>
          <w:position w:val="1"/>
        </w:rPr>
        <w:t xml:space="preserve"> </w:t>
      </w:r>
      <w:r w:rsidR="00033D0F">
        <w:rPr>
          <w:position w:val="1"/>
        </w:rPr>
        <w:t xml:space="preserve">amount </w:t>
      </w:r>
      <w:r w:rsidR="00033D0F">
        <w:t>of time to fill in the questionnaire response, and this is indeed the amount of time that investigating</w:t>
      </w:r>
      <w:r w:rsidR="00033D0F">
        <w:rPr>
          <w:spacing w:val="-14"/>
        </w:rPr>
        <w:t xml:space="preserve"> </w:t>
      </w:r>
      <w:r w:rsidR="00033D0F">
        <w:t>authorities</w:t>
      </w:r>
      <w:r w:rsidR="00033D0F">
        <w:rPr>
          <w:spacing w:val="-14"/>
        </w:rPr>
        <w:t xml:space="preserve"> </w:t>
      </w:r>
      <w:r w:rsidR="00033D0F">
        <w:t>around</w:t>
      </w:r>
      <w:r w:rsidR="00033D0F">
        <w:rPr>
          <w:spacing w:val="-13"/>
        </w:rPr>
        <w:t xml:space="preserve"> </w:t>
      </w:r>
      <w:r w:rsidR="00033D0F">
        <w:t>the</w:t>
      </w:r>
      <w:r w:rsidR="00033D0F">
        <w:rPr>
          <w:spacing w:val="-14"/>
        </w:rPr>
        <w:t xml:space="preserve"> </w:t>
      </w:r>
      <w:r w:rsidR="00033D0F">
        <w:t>world</w:t>
      </w:r>
      <w:r w:rsidR="00033D0F">
        <w:rPr>
          <w:spacing w:val="-13"/>
        </w:rPr>
        <w:t xml:space="preserve"> </w:t>
      </w:r>
      <w:r w:rsidR="00033D0F">
        <w:t>typically</w:t>
      </w:r>
      <w:r w:rsidR="00033D0F">
        <w:rPr>
          <w:spacing w:val="-14"/>
        </w:rPr>
        <w:t xml:space="preserve"> </w:t>
      </w:r>
      <w:r w:rsidR="00033D0F">
        <w:t>grant</w:t>
      </w:r>
      <w:r w:rsidR="00033D0F">
        <w:rPr>
          <w:spacing w:val="-13"/>
        </w:rPr>
        <w:t xml:space="preserve"> </w:t>
      </w:r>
      <w:r w:rsidR="00033D0F">
        <w:t>exporting</w:t>
      </w:r>
      <w:r w:rsidR="00033D0F">
        <w:rPr>
          <w:spacing w:val="-14"/>
        </w:rPr>
        <w:t xml:space="preserve"> </w:t>
      </w:r>
      <w:r w:rsidR="00033D0F">
        <w:t>producers."</w:t>
      </w:r>
      <w:hyperlink w:anchor="_bookmark1372" w:history="1">
        <w:r w:rsidR="00033D0F">
          <w:rPr>
            <w:vertAlign w:val="superscript"/>
          </w:rPr>
          <w:t>1184</w:t>
        </w:r>
      </w:hyperlink>
      <w:r w:rsidR="00033D0F">
        <w:rPr>
          <w:spacing w:val="-14"/>
        </w:rPr>
        <w:t xml:space="preserve"> </w:t>
      </w:r>
      <w:r w:rsidR="00033D0F">
        <w:t>The</w:t>
      </w:r>
      <w:r w:rsidR="00033D0F">
        <w:rPr>
          <w:spacing w:val="-13"/>
        </w:rPr>
        <w:t xml:space="preserve"> </w:t>
      </w:r>
      <w:r w:rsidR="00033D0F">
        <w:t>reason why 37 days is the standard time granted is because it is the minimum allowed by the Anti- Dumping</w:t>
      </w:r>
      <w:r w:rsidR="00033D0F">
        <w:rPr>
          <w:spacing w:val="-10"/>
        </w:rPr>
        <w:t xml:space="preserve"> </w:t>
      </w:r>
      <w:r w:rsidR="00033D0F">
        <w:t>Agreement.</w:t>
      </w:r>
      <w:hyperlink w:anchor="_bookmark1373" w:history="1">
        <w:r w:rsidR="00033D0F">
          <w:rPr>
            <w:vertAlign w:val="superscript"/>
          </w:rPr>
          <w:t>1185</w:t>
        </w:r>
      </w:hyperlink>
      <w:r w:rsidR="00033D0F">
        <w:rPr>
          <w:spacing w:val="-11"/>
        </w:rPr>
        <w:t xml:space="preserve"> </w:t>
      </w:r>
      <w:r w:rsidR="00033D0F">
        <w:t>It</w:t>
      </w:r>
      <w:r w:rsidR="00033D0F">
        <w:rPr>
          <w:spacing w:val="-11"/>
        </w:rPr>
        <w:t xml:space="preserve"> </w:t>
      </w:r>
      <w:r w:rsidR="00033D0F">
        <w:t>would</w:t>
      </w:r>
      <w:r w:rsidR="00033D0F">
        <w:rPr>
          <w:spacing w:val="-14"/>
        </w:rPr>
        <w:t xml:space="preserve"> </w:t>
      </w:r>
      <w:r w:rsidR="00033D0F">
        <w:t>strip</w:t>
      </w:r>
      <w:r w:rsidR="00033D0F">
        <w:rPr>
          <w:spacing w:val="-14"/>
        </w:rPr>
        <w:t xml:space="preserve"> </w:t>
      </w:r>
      <w:r w:rsidR="00033D0F">
        <w:t>the</w:t>
      </w:r>
      <w:r w:rsidR="00033D0F">
        <w:rPr>
          <w:spacing w:val="-11"/>
        </w:rPr>
        <w:t xml:space="preserve"> </w:t>
      </w:r>
      <w:r w:rsidR="00033D0F">
        <w:t>requirement</w:t>
      </w:r>
      <w:r w:rsidR="00033D0F">
        <w:rPr>
          <w:spacing w:val="-11"/>
        </w:rPr>
        <w:t xml:space="preserve"> </w:t>
      </w:r>
      <w:r w:rsidR="00033D0F">
        <w:t>to</w:t>
      </w:r>
      <w:r w:rsidR="00033D0F">
        <w:rPr>
          <w:spacing w:val="-14"/>
        </w:rPr>
        <w:t xml:space="preserve"> </w:t>
      </w:r>
      <w:r w:rsidR="00033D0F">
        <w:t>give</w:t>
      </w:r>
      <w:r w:rsidR="00033D0F">
        <w:rPr>
          <w:spacing w:val="-12"/>
        </w:rPr>
        <w:t xml:space="preserve"> </w:t>
      </w:r>
      <w:r w:rsidR="00033D0F">
        <w:t>due</w:t>
      </w:r>
      <w:r w:rsidR="00033D0F">
        <w:rPr>
          <w:spacing w:val="-12"/>
        </w:rPr>
        <w:t xml:space="preserve"> </w:t>
      </w:r>
      <w:r w:rsidR="00033D0F">
        <w:t>consideration</w:t>
      </w:r>
      <w:r w:rsidR="00033D0F">
        <w:rPr>
          <w:spacing w:val="-14"/>
        </w:rPr>
        <w:t xml:space="preserve"> </w:t>
      </w:r>
      <w:r w:rsidR="00033D0F">
        <w:t>to</w:t>
      </w:r>
      <w:r w:rsidR="00033D0F">
        <w:rPr>
          <w:spacing w:val="-13"/>
        </w:rPr>
        <w:t xml:space="preserve"> </w:t>
      </w:r>
      <w:r w:rsidR="00033D0F">
        <w:t>a</w:t>
      </w:r>
      <w:r w:rsidR="00033D0F">
        <w:rPr>
          <w:spacing w:val="-12"/>
        </w:rPr>
        <w:t xml:space="preserve"> </w:t>
      </w:r>
      <w:r w:rsidR="00033D0F">
        <w:t xml:space="preserve">request for extension of any meaningful effect if the fact that 37 days had already been allowed was a reason to find that "cause" had been not been shown, since that will be true in </w:t>
      </w:r>
      <w:r w:rsidR="00033D0F">
        <w:rPr>
          <w:i/>
        </w:rPr>
        <w:t xml:space="preserve">every </w:t>
      </w:r>
      <w:r w:rsidR="00033D0F">
        <w:t>application for an extension.</w:t>
      </w:r>
    </w:p>
    <w:p w14:paraId="2AEFCE8F" w14:textId="77777777" w:rsidR="00BD462C" w:rsidRDefault="00BD462C">
      <w:pPr>
        <w:pStyle w:val="BodyText"/>
        <w:spacing w:before="7"/>
        <w:rPr>
          <w:sz w:val="8"/>
        </w:rPr>
      </w:pPr>
    </w:p>
    <w:p w14:paraId="4CD40C41" w14:textId="544A2582" w:rsidR="00BD462C" w:rsidRDefault="002804B4">
      <w:pPr>
        <w:pStyle w:val="BodyText"/>
        <w:spacing w:before="56" w:line="357" w:lineRule="auto"/>
        <w:ind w:left="135" w:right="918"/>
        <w:jc w:val="both"/>
      </w:pPr>
      <w:r>
        <w:rPr>
          <w:noProof/>
        </w:rPr>
        <w:t>789.</w:t>
      </w:r>
      <w:r w:rsidR="00033D0F">
        <w:rPr>
          <w:rFonts w:ascii="Times New Roman"/>
          <w:spacing w:val="80"/>
          <w:position w:val="1"/>
          <w:sz w:val="20"/>
        </w:rPr>
        <w:t xml:space="preserve">  </w:t>
      </w:r>
      <w:r w:rsidR="00033D0F">
        <w:rPr>
          <w:position w:val="1"/>
        </w:rPr>
        <w:t xml:space="preserve">Finally, Australia addressed China's claims about the level of overlap between the </w:t>
      </w:r>
      <w:r w:rsidR="00033D0F">
        <w:rPr>
          <w:spacing w:val="-2"/>
        </w:rPr>
        <w:t>Anti-Dumping Questionnaire</w:t>
      </w:r>
      <w:r w:rsidR="00033D0F">
        <w:rPr>
          <w:spacing w:val="-3"/>
        </w:rPr>
        <w:t xml:space="preserve"> </w:t>
      </w:r>
      <w:r w:rsidR="00033D0F">
        <w:rPr>
          <w:spacing w:val="-2"/>
        </w:rPr>
        <w:t>and</w:t>
      </w:r>
      <w:r w:rsidR="00033D0F">
        <w:rPr>
          <w:spacing w:val="-6"/>
        </w:rPr>
        <w:t xml:space="preserve"> </w:t>
      </w:r>
      <w:r w:rsidR="00033D0F">
        <w:rPr>
          <w:spacing w:val="-2"/>
        </w:rPr>
        <w:t>the Sampling Questionnaire</w:t>
      </w:r>
      <w:r w:rsidR="00033D0F">
        <w:rPr>
          <w:spacing w:val="-3"/>
        </w:rPr>
        <w:t xml:space="preserve"> </w:t>
      </w:r>
      <w:r w:rsidR="00033D0F">
        <w:rPr>
          <w:spacing w:val="-2"/>
        </w:rPr>
        <w:t>in</w:t>
      </w:r>
      <w:r w:rsidR="00033D0F">
        <w:rPr>
          <w:spacing w:val="-6"/>
        </w:rPr>
        <w:t xml:space="preserve"> </w:t>
      </w:r>
      <w:r w:rsidR="00033D0F">
        <w:rPr>
          <w:spacing w:val="-2"/>
        </w:rPr>
        <w:t>its response</w:t>
      </w:r>
      <w:r w:rsidR="00033D0F">
        <w:rPr>
          <w:spacing w:val="-3"/>
        </w:rPr>
        <w:t xml:space="preserve"> </w:t>
      </w:r>
      <w:r w:rsidR="00033D0F">
        <w:rPr>
          <w:spacing w:val="-2"/>
        </w:rPr>
        <w:t>to</w:t>
      </w:r>
      <w:r w:rsidR="00033D0F">
        <w:rPr>
          <w:spacing w:val="-6"/>
        </w:rPr>
        <w:t xml:space="preserve"> </w:t>
      </w:r>
      <w:r w:rsidR="00033D0F">
        <w:rPr>
          <w:spacing w:val="-2"/>
        </w:rPr>
        <w:t xml:space="preserve">Panel question </w:t>
      </w:r>
      <w:r w:rsidR="00033D0F">
        <w:t>No. 56. The level of substantive overlap was negligible in the context of the breadth of information sought in the Anti-Dumping Questionnaire.</w:t>
      </w:r>
    </w:p>
    <w:p w14:paraId="7DE6FE50" w14:textId="77777777" w:rsidR="00BD462C" w:rsidRDefault="00033D0F">
      <w:pPr>
        <w:pStyle w:val="ListParagraph"/>
        <w:numPr>
          <w:ilvl w:val="1"/>
          <w:numId w:val="25"/>
        </w:numPr>
        <w:tabs>
          <w:tab w:val="left" w:pos="3539"/>
          <w:tab w:val="left" w:pos="3540"/>
        </w:tabs>
        <w:spacing w:before="165" w:line="362" w:lineRule="auto"/>
        <w:ind w:right="921"/>
        <w:jc w:val="both"/>
        <w:rPr>
          <w:sz w:val="24"/>
        </w:rPr>
      </w:pPr>
      <w:bookmarkStart w:id="1591" w:name="(b)_Failure_to_find_that_the_requested_e"/>
      <w:bookmarkEnd w:id="1591"/>
      <w:r>
        <w:rPr>
          <w:sz w:val="24"/>
          <w:u w:val="single"/>
        </w:rPr>
        <w:t>Failure to find that the requested extensions were not</w:t>
      </w:r>
      <w:r>
        <w:rPr>
          <w:sz w:val="24"/>
        </w:rPr>
        <w:t xml:space="preserve"> </w:t>
      </w:r>
      <w:r>
        <w:rPr>
          <w:spacing w:val="-2"/>
          <w:sz w:val="24"/>
          <w:u w:val="single"/>
        </w:rPr>
        <w:t>practicable</w:t>
      </w:r>
    </w:p>
    <w:p w14:paraId="21B74810" w14:textId="77777777" w:rsidR="00BD462C" w:rsidRDefault="00BD462C">
      <w:pPr>
        <w:pStyle w:val="BodyText"/>
        <w:spacing w:before="7"/>
        <w:rPr>
          <w:sz w:val="8"/>
        </w:rPr>
      </w:pPr>
    </w:p>
    <w:p w14:paraId="0F54512D" w14:textId="48399942" w:rsidR="00BD462C" w:rsidRDefault="006E6DEA">
      <w:pPr>
        <w:pStyle w:val="BodyText"/>
        <w:spacing w:before="56" w:line="357" w:lineRule="auto"/>
        <w:ind w:left="136" w:right="916"/>
        <w:jc w:val="both"/>
      </w:pPr>
      <w:r>
        <w:rPr>
          <w:noProof/>
        </w:rPr>
        <mc:AlternateContent>
          <mc:Choice Requires="wps">
            <w:drawing>
              <wp:anchor distT="0" distB="0" distL="0" distR="0" simplePos="0" relativeHeight="488112640" behindDoc="1" locked="0" layoutInCell="1" allowOverlap="1" wp14:anchorId="136ADF66" wp14:editId="2D45CE56">
                <wp:simplePos x="0" y="0"/>
                <wp:positionH relativeFrom="page">
                  <wp:posOffset>812800</wp:posOffset>
                </wp:positionH>
                <wp:positionV relativeFrom="paragraph">
                  <wp:posOffset>988060</wp:posOffset>
                </wp:positionV>
                <wp:extent cx="1828800" cy="8890"/>
                <wp:effectExtent l="0" t="0" r="0" b="0"/>
                <wp:wrapTopAndBottom/>
                <wp:docPr id="85" name="docshape7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26069F" id="docshape705" o:spid="_x0000_s1026" alt="&quot;&quot;" style="position:absolute;margin-left:64pt;margin-top:77.8pt;width:2in;height:.7pt;z-index:-15203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" fillcolor="black" stroked="f">
                <w10:wrap type="topAndBottom" anchorx="page"/>
              </v:rect>
            </w:pict>
          </mc:Fallback>
        </mc:AlternateContent>
      </w:r>
      <w:r w:rsidR="002804B4">
        <w:rPr>
          <w:noProof/>
        </w:rPr>
        <w:t>790.</w:t>
      </w:r>
      <w:r w:rsidR="00033D0F">
        <w:rPr>
          <w:rFonts w:ascii="Times New Roman"/>
          <w:spacing w:val="80"/>
          <w:w w:val="150"/>
          <w:position w:val="1"/>
          <w:sz w:val="20"/>
        </w:rPr>
        <w:t xml:space="preserve">  </w:t>
      </w:r>
      <w:r w:rsidR="00033D0F">
        <w:rPr>
          <w:position w:val="1"/>
        </w:rPr>
        <w:t>As</w:t>
      </w:r>
      <w:r w:rsidR="00033D0F">
        <w:rPr>
          <w:spacing w:val="-10"/>
          <w:position w:val="1"/>
        </w:rPr>
        <w:t xml:space="preserve"> </w:t>
      </w:r>
      <w:r w:rsidR="00033D0F">
        <w:rPr>
          <w:position w:val="1"/>
        </w:rPr>
        <w:t>Australia</w:t>
      </w:r>
      <w:r w:rsidR="00033D0F">
        <w:rPr>
          <w:spacing w:val="-12"/>
          <w:position w:val="1"/>
        </w:rPr>
        <w:t xml:space="preserve"> </w:t>
      </w:r>
      <w:r w:rsidR="00033D0F">
        <w:rPr>
          <w:position w:val="1"/>
        </w:rPr>
        <w:t>argued</w:t>
      </w:r>
      <w:r w:rsidR="00033D0F">
        <w:rPr>
          <w:spacing w:val="-14"/>
          <w:position w:val="1"/>
        </w:rPr>
        <w:t xml:space="preserve"> </w:t>
      </w:r>
      <w:r w:rsidR="00033D0F">
        <w:rPr>
          <w:position w:val="1"/>
        </w:rPr>
        <w:t>in</w:t>
      </w:r>
      <w:r w:rsidR="00033D0F">
        <w:rPr>
          <w:spacing w:val="-14"/>
          <w:position w:val="1"/>
        </w:rPr>
        <w:t xml:space="preserve"> </w:t>
      </w:r>
      <w:r w:rsidR="00033D0F">
        <w:rPr>
          <w:position w:val="1"/>
        </w:rPr>
        <w:t>its</w:t>
      </w:r>
      <w:r w:rsidR="00033D0F">
        <w:rPr>
          <w:spacing w:val="-10"/>
          <w:position w:val="1"/>
        </w:rPr>
        <w:t xml:space="preserve"> </w:t>
      </w:r>
      <w:r w:rsidR="00033D0F">
        <w:rPr>
          <w:position w:val="1"/>
        </w:rPr>
        <w:t>first</w:t>
      </w:r>
      <w:r w:rsidR="00033D0F">
        <w:rPr>
          <w:spacing w:val="-11"/>
          <w:position w:val="1"/>
        </w:rPr>
        <w:t xml:space="preserve"> </w:t>
      </w:r>
      <w:r w:rsidR="00033D0F">
        <w:rPr>
          <w:position w:val="1"/>
        </w:rPr>
        <w:t>written</w:t>
      </w:r>
      <w:r w:rsidR="00033D0F">
        <w:rPr>
          <w:spacing w:val="-14"/>
          <w:position w:val="1"/>
        </w:rPr>
        <w:t xml:space="preserve"> </w:t>
      </w:r>
      <w:r w:rsidR="00033D0F">
        <w:rPr>
          <w:position w:val="1"/>
        </w:rPr>
        <w:t>submission,</w:t>
      </w:r>
      <w:r w:rsidR="00033D0F">
        <w:rPr>
          <w:spacing w:val="-10"/>
          <w:position w:val="1"/>
        </w:rPr>
        <w:t xml:space="preserve"> </w:t>
      </w:r>
      <w:r w:rsidR="00033D0F">
        <w:rPr>
          <w:position w:val="1"/>
        </w:rPr>
        <w:t>in</w:t>
      </w:r>
      <w:r w:rsidR="00033D0F">
        <w:rPr>
          <w:spacing w:val="-14"/>
          <w:position w:val="1"/>
        </w:rPr>
        <w:t xml:space="preserve"> </w:t>
      </w:r>
      <w:r w:rsidR="00033D0F">
        <w:rPr>
          <w:position w:val="1"/>
        </w:rPr>
        <w:t>addition</w:t>
      </w:r>
      <w:r w:rsidR="00033D0F">
        <w:rPr>
          <w:spacing w:val="-14"/>
          <w:position w:val="1"/>
        </w:rPr>
        <w:t xml:space="preserve"> </w:t>
      </w:r>
      <w:r w:rsidR="00033D0F">
        <w:rPr>
          <w:position w:val="1"/>
        </w:rPr>
        <w:t>to</w:t>
      </w:r>
      <w:r w:rsidR="00033D0F">
        <w:rPr>
          <w:spacing w:val="-13"/>
          <w:position w:val="1"/>
        </w:rPr>
        <w:t xml:space="preserve"> </w:t>
      </w:r>
      <w:r w:rsidR="00033D0F">
        <w:rPr>
          <w:position w:val="1"/>
        </w:rPr>
        <w:t>its</w:t>
      </w:r>
      <w:r w:rsidR="00033D0F">
        <w:rPr>
          <w:spacing w:val="-10"/>
          <w:position w:val="1"/>
        </w:rPr>
        <w:t xml:space="preserve"> </w:t>
      </w:r>
      <w:r w:rsidR="00033D0F">
        <w:rPr>
          <w:position w:val="1"/>
        </w:rPr>
        <w:t>failure</w:t>
      </w:r>
      <w:r w:rsidR="00033D0F">
        <w:rPr>
          <w:spacing w:val="-12"/>
          <w:position w:val="1"/>
        </w:rPr>
        <w:t xml:space="preserve"> </w:t>
      </w:r>
      <w:r w:rsidR="00033D0F">
        <w:rPr>
          <w:position w:val="1"/>
        </w:rPr>
        <w:t>to</w:t>
      </w:r>
      <w:r w:rsidR="00033D0F">
        <w:rPr>
          <w:spacing w:val="-14"/>
          <w:position w:val="1"/>
        </w:rPr>
        <w:t xml:space="preserve"> </w:t>
      </w:r>
      <w:r w:rsidR="00033D0F">
        <w:rPr>
          <w:position w:val="1"/>
        </w:rPr>
        <w:t>give</w:t>
      </w:r>
      <w:r w:rsidR="00033D0F">
        <w:rPr>
          <w:spacing w:val="-12"/>
          <w:position w:val="1"/>
        </w:rPr>
        <w:t xml:space="preserve"> </w:t>
      </w:r>
      <w:r w:rsidR="00033D0F">
        <w:rPr>
          <w:position w:val="1"/>
        </w:rPr>
        <w:t xml:space="preserve">"due </w:t>
      </w:r>
      <w:r w:rsidR="00033D0F">
        <w:t>consideration to the requests by failing to address the reasons given in the cause shown by the</w:t>
      </w:r>
      <w:r w:rsidR="00033D0F">
        <w:rPr>
          <w:spacing w:val="23"/>
        </w:rPr>
        <w:t xml:space="preserve"> </w:t>
      </w:r>
      <w:r w:rsidR="00033D0F">
        <w:t>interested</w:t>
      </w:r>
      <w:r w:rsidR="00033D0F">
        <w:rPr>
          <w:spacing w:val="25"/>
        </w:rPr>
        <w:t xml:space="preserve"> </w:t>
      </w:r>
      <w:r w:rsidR="00033D0F">
        <w:t>parties,</w:t>
      </w:r>
      <w:r w:rsidR="00033D0F">
        <w:rPr>
          <w:spacing w:val="27"/>
        </w:rPr>
        <w:t xml:space="preserve"> </w:t>
      </w:r>
      <w:r w:rsidR="00033D0F">
        <w:t>MOFCOM</w:t>
      </w:r>
      <w:r w:rsidR="00033D0F">
        <w:rPr>
          <w:spacing w:val="27"/>
        </w:rPr>
        <w:t xml:space="preserve"> </w:t>
      </w:r>
      <w:r w:rsidR="00033D0F">
        <w:t>did</w:t>
      </w:r>
      <w:r w:rsidR="00033D0F">
        <w:rPr>
          <w:spacing w:val="25"/>
        </w:rPr>
        <w:t xml:space="preserve"> </w:t>
      </w:r>
      <w:r w:rsidR="00033D0F">
        <w:t>not</w:t>
      </w:r>
      <w:r w:rsidR="00033D0F">
        <w:rPr>
          <w:spacing w:val="26"/>
        </w:rPr>
        <w:t xml:space="preserve"> </w:t>
      </w:r>
      <w:r w:rsidR="00033D0F">
        <w:t>identify</w:t>
      </w:r>
      <w:r w:rsidR="00033D0F">
        <w:rPr>
          <w:spacing w:val="27"/>
        </w:rPr>
        <w:t xml:space="preserve"> </w:t>
      </w:r>
      <w:r w:rsidR="00033D0F">
        <w:t>that</w:t>
      </w:r>
      <w:r w:rsidR="00033D0F">
        <w:rPr>
          <w:spacing w:val="27"/>
        </w:rPr>
        <w:t xml:space="preserve"> </w:t>
      </w:r>
      <w:r w:rsidR="00033D0F">
        <w:t>it</w:t>
      </w:r>
      <w:r w:rsidR="00033D0F">
        <w:rPr>
          <w:spacing w:val="26"/>
        </w:rPr>
        <w:t xml:space="preserve"> </w:t>
      </w:r>
      <w:r w:rsidR="00033D0F">
        <w:t>was</w:t>
      </w:r>
      <w:r w:rsidR="00033D0F">
        <w:rPr>
          <w:spacing w:val="28"/>
        </w:rPr>
        <w:t xml:space="preserve"> </w:t>
      </w:r>
      <w:r w:rsidR="00033D0F">
        <w:t>not</w:t>
      </w:r>
      <w:r w:rsidR="00033D0F">
        <w:rPr>
          <w:spacing w:val="27"/>
        </w:rPr>
        <w:t xml:space="preserve"> </w:t>
      </w:r>
      <w:r w:rsidR="00033D0F">
        <w:t>'practicable'</w:t>
      </w:r>
      <w:r w:rsidR="00033D0F">
        <w:rPr>
          <w:spacing w:val="24"/>
        </w:rPr>
        <w:t xml:space="preserve"> </w:t>
      </w:r>
      <w:r w:rsidR="00033D0F">
        <w:t>to</w:t>
      </w:r>
      <w:r w:rsidR="00033D0F">
        <w:rPr>
          <w:spacing w:val="24"/>
        </w:rPr>
        <w:t xml:space="preserve"> </w:t>
      </w:r>
      <w:r w:rsidR="00033D0F">
        <w:t>grant</w:t>
      </w:r>
      <w:r w:rsidR="00033D0F">
        <w:rPr>
          <w:spacing w:val="27"/>
        </w:rPr>
        <w:t xml:space="preserve"> </w:t>
      </w:r>
      <w:r w:rsidR="00033D0F">
        <w:rPr>
          <w:spacing w:val="-5"/>
        </w:rPr>
        <w:t>the</w:t>
      </w:r>
    </w:p>
    <w:p w14:paraId="30BAEA24" w14:textId="48C06851" w:rsidR="00BD462C" w:rsidRDefault="00BD462C">
      <w:pPr>
        <w:pStyle w:val="BodyText"/>
        <w:spacing w:before="4"/>
        <w:rPr>
          <w:sz w:val="15"/>
        </w:rPr>
      </w:pPr>
    </w:p>
    <w:p w14:paraId="0DB522CD" w14:textId="77777777" w:rsidR="00BD462C" w:rsidRDefault="00033D0F">
      <w:pPr>
        <w:spacing w:before="115" w:line="235" w:lineRule="auto"/>
        <w:ind w:left="136" w:right="912" w:hanging="1"/>
        <w:rPr>
          <w:sz w:val="18"/>
        </w:rPr>
      </w:pPr>
      <w:bookmarkStart w:id="1592" w:name="_bookmark1370"/>
      <w:bookmarkEnd w:id="1592"/>
      <w:r>
        <w:rPr>
          <w:position w:val="5"/>
          <w:sz w:val="12"/>
        </w:rPr>
        <w:t>1182</w:t>
      </w:r>
      <w:r>
        <w:rPr>
          <w:spacing w:val="40"/>
          <w:position w:val="5"/>
          <w:sz w:val="12"/>
        </w:rPr>
        <w:t xml:space="preserve"> </w:t>
      </w:r>
      <w:r>
        <w:rPr>
          <w:sz w:val="18"/>
        </w:rPr>
        <w:t>Australia's</w:t>
      </w:r>
      <w:r>
        <w:rPr>
          <w:spacing w:val="26"/>
          <w:sz w:val="18"/>
        </w:rPr>
        <w:t xml:space="preserve"> </w:t>
      </w:r>
      <w:r>
        <w:rPr>
          <w:sz w:val="18"/>
        </w:rPr>
        <w:t>first</w:t>
      </w:r>
      <w:r>
        <w:rPr>
          <w:spacing w:val="27"/>
          <w:sz w:val="18"/>
        </w:rPr>
        <w:t xml:space="preserve"> </w:t>
      </w:r>
      <w:r>
        <w:rPr>
          <w:sz w:val="18"/>
        </w:rPr>
        <w:t>written</w:t>
      </w:r>
      <w:r>
        <w:rPr>
          <w:spacing w:val="26"/>
          <w:sz w:val="18"/>
        </w:rPr>
        <w:t xml:space="preserve"> </w:t>
      </w:r>
      <w:r>
        <w:rPr>
          <w:sz w:val="18"/>
        </w:rPr>
        <w:t>submission,</w:t>
      </w:r>
      <w:r>
        <w:rPr>
          <w:spacing w:val="28"/>
          <w:sz w:val="18"/>
        </w:rPr>
        <w:t xml:space="preserve"> </w:t>
      </w:r>
      <w:r>
        <w:rPr>
          <w:sz w:val="18"/>
        </w:rPr>
        <w:t>para.</w:t>
      </w:r>
      <w:r>
        <w:rPr>
          <w:spacing w:val="27"/>
          <w:sz w:val="18"/>
        </w:rPr>
        <w:t xml:space="preserve"> </w:t>
      </w:r>
      <w:r>
        <w:rPr>
          <w:sz w:val="18"/>
        </w:rPr>
        <w:t>912</w:t>
      </w:r>
      <w:r>
        <w:rPr>
          <w:spacing w:val="24"/>
          <w:sz w:val="18"/>
        </w:rPr>
        <w:t xml:space="preserve"> </w:t>
      </w:r>
      <w:r>
        <w:rPr>
          <w:sz w:val="18"/>
        </w:rPr>
        <w:t>(quoting</w:t>
      </w:r>
      <w:r>
        <w:rPr>
          <w:spacing w:val="21"/>
          <w:sz w:val="18"/>
        </w:rPr>
        <w:t xml:space="preserve"> </w:t>
      </w:r>
      <w:r>
        <w:rPr>
          <w:sz w:val="18"/>
        </w:rPr>
        <w:t>from</w:t>
      </w:r>
      <w:r>
        <w:rPr>
          <w:spacing w:val="24"/>
          <w:sz w:val="18"/>
        </w:rPr>
        <w:t xml:space="preserve"> </w:t>
      </w:r>
      <w:r>
        <w:rPr>
          <w:sz w:val="18"/>
        </w:rPr>
        <w:t>Treasury</w:t>
      </w:r>
      <w:r>
        <w:rPr>
          <w:spacing w:val="24"/>
          <w:sz w:val="18"/>
        </w:rPr>
        <w:t xml:space="preserve"> </w:t>
      </w:r>
      <w:r>
        <w:rPr>
          <w:sz w:val="18"/>
        </w:rPr>
        <w:t>Wines</w:t>
      </w:r>
      <w:r>
        <w:rPr>
          <w:spacing w:val="26"/>
          <w:sz w:val="18"/>
        </w:rPr>
        <w:t xml:space="preserve"> </w:t>
      </w:r>
      <w:r>
        <w:rPr>
          <w:sz w:val="18"/>
        </w:rPr>
        <w:t>Anti-Dumping</w:t>
      </w:r>
      <w:r>
        <w:rPr>
          <w:spacing w:val="26"/>
          <w:sz w:val="18"/>
        </w:rPr>
        <w:t xml:space="preserve"> </w:t>
      </w:r>
      <w:r>
        <w:rPr>
          <w:sz w:val="18"/>
        </w:rPr>
        <w:t>Questionnaire</w:t>
      </w:r>
      <w:r>
        <w:rPr>
          <w:spacing w:val="26"/>
          <w:sz w:val="18"/>
        </w:rPr>
        <w:t xml:space="preserve"> </w:t>
      </w:r>
      <w:r>
        <w:rPr>
          <w:sz w:val="18"/>
        </w:rPr>
        <w:t>Extension Request (Exhibit AUS-94), pp.1-2).</w:t>
      </w:r>
    </w:p>
    <w:p w14:paraId="7904BD07" w14:textId="77777777" w:rsidR="00BD462C" w:rsidRDefault="00033D0F">
      <w:pPr>
        <w:spacing w:before="3"/>
        <w:ind w:left="136" w:right="923" w:hanging="1"/>
        <w:rPr>
          <w:sz w:val="18"/>
        </w:rPr>
      </w:pPr>
      <w:bookmarkStart w:id="1593" w:name="_bookmark1371"/>
      <w:bookmarkEnd w:id="1593"/>
      <w:r>
        <w:rPr>
          <w:position w:val="5"/>
          <w:sz w:val="12"/>
        </w:rPr>
        <w:t>1183</w:t>
      </w:r>
      <w:r>
        <w:rPr>
          <w:spacing w:val="28"/>
          <w:position w:val="5"/>
          <w:sz w:val="12"/>
        </w:rPr>
        <w:t xml:space="preserve"> </w:t>
      </w:r>
      <w:r>
        <w:rPr>
          <w:sz w:val="18"/>
        </w:rPr>
        <w:t>Swan Vintage Registration Form (Exhibit AUS-122); Swan Vintage Sampling Questionnaire Response (Exhibit AUS-123). Both of these documents indicate the Head Office of Swan Vintage is in Sydney, NSW, Australia.</w:t>
      </w:r>
    </w:p>
    <w:p w14:paraId="45D4BC57" w14:textId="77777777" w:rsidR="00BD462C" w:rsidRDefault="00033D0F">
      <w:pPr>
        <w:spacing w:before="2"/>
        <w:ind w:left="135"/>
        <w:rPr>
          <w:sz w:val="18"/>
        </w:rPr>
      </w:pPr>
      <w:bookmarkStart w:id="1594" w:name="_bookmark1372"/>
      <w:bookmarkEnd w:id="1594"/>
      <w:r>
        <w:rPr>
          <w:position w:val="5"/>
          <w:sz w:val="12"/>
        </w:rPr>
        <w:t>1184</w:t>
      </w:r>
      <w:r>
        <w:rPr>
          <w:spacing w:val="12"/>
          <w:position w:val="5"/>
          <w:sz w:val="12"/>
        </w:rPr>
        <w:t xml:space="preserve"> </w:t>
      </w:r>
      <w:r>
        <w:rPr>
          <w:sz w:val="18"/>
        </w:rPr>
        <w:t>China's</w:t>
      </w:r>
      <w:r>
        <w:rPr>
          <w:spacing w:val="-6"/>
          <w:sz w:val="18"/>
        </w:rPr>
        <w:t xml:space="preserve"> </w:t>
      </w:r>
      <w:r>
        <w:rPr>
          <w:sz w:val="18"/>
        </w:rPr>
        <w:t>first</w:t>
      </w:r>
      <w:r>
        <w:rPr>
          <w:spacing w:val="-5"/>
          <w:sz w:val="18"/>
        </w:rPr>
        <w:t xml:space="preserve"> </w:t>
      </w:r>
      <w:r>
        <w:rPr>
          <w:sz w:val="18"/>
        </w:rPr>
        <w:t>written</w:t>
      </w:r>
      <w:r>
        <w:rPr>
          <w:spacing w:val="-7"/>
          <w:sz w:val="18"/>
        </w:rPr>
        <w:t xml:space="preserve"> </w:t>
      </w:r>
      <w:r>
        <w:rPr>
          <w:sz w:val="18"/>
        </w:rPr>
        <w:t>submissions,</w:t>
      </w:r>
      <w:r>
        <w:rPr>
          <w:spacing w:val="-4"/>
          <w:sz w:val="18"/>
        </w:rPr>
        <w:t xml:space="preserve"> </w:t>
      </w:r>
      <w:r>
        <w:rPr>
          <w:sz w:val="18"/>
        </w:rPr>
        <w:t xml:space="preserve">paras. 2381, </w:t>
      </w:r>
      <w:r>
        <w:rPr>
          <w:spacing w:val="-2"/>
          <w:sz w:val="18"/>
        </w:rPr>
        <w:t>2388.</w:t>
      </w:r>
    </w:p>
    <w:p w14:paraId="0D4A26C2" w14:textId="77777777" w:rsidR="00BD462C" w:rsidRDefault="00033D0F">
      <w:pPr>
        <w:spacing w:before="1"/>
        <w:ind w:left="135"/>
        <w:rPr>
          <w:sz w:val="18"/>
        </w:rPr>
      </w:pPr>
      <w:bookmarkStart w:id="1595" w:name="_bookmark1373"/>
      <w:bookmarkEnd w:id="1595"/>
      <w:r>
        <w:rPr>
          <w:position w:val="5"/>
          <w:sz w:val="12"/>
        </w:rPr>
        <w:t>1185</w:t>
      </w:r>
      <w:r>
        <w:rPr>
          <w:spacing w:val="14"/>
          <w:position w:val="5"/>
          <w:sz w:val="12"/>
        </w:rPr>
        <w:t xml:space="preserve"> </w:t>
      </w:r>
      <w:r>
        <w:rPr>
          <w:sz w:val="18"/>
        </w:rPr>
        <w:t>Article</w:t>
      </w:r>
      <w:r>
        <w:rPr>
          <w:spacing w:val="-4"/>
          <w:sz w:val="18"/>
        </w:rPr>
        <w:t xml:space="preserve"> </w:t>
      </w:r>
      <w:r>
        <w:rPr>
          <w:sz w:val="18"/>
        </w:rPr>
        <w:t>6.1.1</w:t>
      </w:r>
      <w:r>
        <w:rPr>
          <w:spacing w:val="-6"/>
          <w:sz w:val="18"/>
        </w:rPr>
        <w:t xml:space="preserve"> </w:t>
      </w:r>
      <w:r>
        <w:rPr>
          <w:sz w:val="18"/>
        </w:rPr>
        <w:t>of</w:t>
      </w:r>
      <w:r>
        <w:rPr>
          <w:spacing w:val="-3"/>
          <w:sz w:val="18"/>
        </w:rPr>
        <w:t xml:space="preserve"> </w:t>
      </w:r>
      <w:r>
        <w:rPr>
          <w:sz w:val="18"/>
        </w:rPr>
        <w:t>the</w:t>
      </w:r>
      <w:r>
        <w:rPr>
          <w:spacing w:val="-4"/>
          <w:sz w:val="18"/>
        </w:rPr>
        <w:t xml:space="preserve"> </w:t>
      </w:r>
      <w:r>
        <w:rPr>
          <w:sz w:val="18"/>
        </w:rPr>
        <w:t>Anti-Dumping</w:t>
      </w:r>
      <w:r>
        <w:rPr>
          <w:spacing w:val="-4"/>
          <w:sz w:val="18"/>
        </w:rPr>
        <w:t xml:space="preserve"> </w:t>
      </w:r>
      <w:r>
        <w:rPr>
          <w:sz w:val="18"/>
        </w:rPr>
        <w:t>Agreement,</w:t>
      </w:r>
      <w:r>
        <w:rPr>
          <w:spacing w:val="3"/>
          <w:sz w:val="18"/>
        </w:rPr>
        <w:t xml:space="preserve"> </w:t>
      </w:r>
      <w:r>
        <w:rPr>
          <w:sz w:val="18"/>
        </w:rPr>
        <w:t>read</w:t>
      </w:r>
      <w:r>
        <w:rPr>
          <w:spacing w:val="-5"/>
          <w:sz w:val="18"/>
        </w:rPr>
        <w:t xml:space="preserve"> </w:t>
      </w:r>
      <w:r>
        <w:rPr>
          <w:sz w:val="18"/>
        </w:rPr>
        <w:t>with</w:t>
      </w:r>
      <w:r>
        <w:rPr>
          <w:spacing w:val="-5"/>
          <w:sz w:val="18"/>
        </w:rPr>
        <w:t xml:space="preserve"> </w:t>
      </w:r>
      <w:r>
        <w:rPr>
          <w:sz w:val="18"/>
        </w:rPr>
        <w:t>footnote</w:t>
      </w:r>
      <w:r>
        <w:rPr>
          <w:spacing w:val="-4"/>
          <w:sz w:val="18"/>
        </w:rPr>
        <w:t xml:space="preserve"> </w:t>
      </w:r>
      <w:r>
        <w:rPr>
          <w:sz w:val="18"/>
        </w:rPr>
        <w:t>15</w:t>
      </w:r>
      <w:r>
        <w:rPr>
          <w:spacing w:val="-1"/>
          <w:sz w:val="18"/>
        </w:rPr>
        <w:t xml:space="preserve"> </w:t>
      </w:r>
      <w:r>
        <w:rPr>
          <w:sz w:val="18"/>
        </w:rPr>
        <w:t>of</w:t>
      </w:r>
      <w:r>
        <w:rPr>
          <w:spacing w:val="-3"/>
          <w:sz w:val="18"/>
        </w:rPr>
        <w:t xml:space="preserve"> </w:t>
      </w:r>
      <w:r>
        <w:rPr>
          <w:sz w:val="18"/>
        </w:rPr>
        <w:t>the</w:t>
      </w:r>
      <w:r>
        <w:rPr>
          <w:spacing w:val="-4"/>
          <w:sz w:val="18"/>
        </w:rPr>
        <w:t xml:space="preserve"> </w:t>
      </w:r>
      <w:r>
        <w:rPr>
          <w:sz w:val="18"/>
        </w:rPr>
        <w:t>Anti-Dumping</w:t>
      </w:r>
      <w:r>
        <w:rPr>
          <w:spacing w:val="-4"/>
          <w:sz w:val="18"/>
        </w:rPr>
        <w:t xml:space="preserve"> </w:t>
      </w:r>
      <w:r>
        <w:rPr>
          <w:spacing w:val="-2"/>
          <w:sz w:val="18"/>
        </w:rPr>
        <w:t>Agreement.</w:t>
      </w:r>
    </w:p>
    <w:p w14:paraId="70BD8916" w14:textId="77777777" w:rsidR="00BD462C" w:rsidRDefault="00BD462C">
      <w:pPr>
        <w:rPr>
          <w:sz w:val="18"/>
        </w:rPr>
        <w:sectPr w:rsidR="00BD462C">
          <w:pgSz w:w="11910" w:h="16840"/>
          <w:pgMar w:top="860" w:right="500" w:bottom="780" w:left="1280" w:header="566" w:footer="590" w:gutter="0"/>
          <w:cols w:space="720"/>
        </w:sectPr>
      </w:pPr>
    </w:p>
    <w:p w14:paraId="3240FC11"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0212E163"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295D31D6"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774DB249" w14:textId="77777777" w:rsidR="00BD462C" w:rsidRDefault="00033D0F">
      <w:pPr>
        <w:pStyle w:val="BodyText"/>
        <w:spacing w:before="102" w:line="357" w:lineRule="auto"/>
        <w:ind w:left="135" w:right="923"/>
      </w:pPr>
      <w:r>
        <w:t>extensions that were requested".</w:t>
      </w:r>
      <w:hyperlink w:anchor="_bookmark1374" w:history="1">
        <w:r>
          <w:rPr>
            <w:vertAlign w:val="superscript"/>
          </w:rPr>
          <w:t>1186</w:t>
        </w:r>
      </w:hyperlink>
      <w:r>
        <w:t xml:space="preserve"> In response, China made two points in its first written </w:t>
      </w:r>
      <w:r>
        <w:rPr>
          <w:spacing w:val="-2"/>
        </w:rPr>
        <w:t>submission.</w:t>
      </w:r>
    </w:p>
    <w:p w14:paraId="7ABD9FAA" w14:textId="77777777" w:rsidR="00BD462C" w:rsidRDefault="00BD462C">
      <w:pPr>
        <w:pStyle w:val="BodyText"/>
        <w:spacing w:before="3"/>
        <w:rPr>
          <w:sz w:val="9"/>
        </w:rPr>
      </w:pPr>
    </w:p>
    <w:p w14:paraId="57A3346B" w14:textId="37414FAD" w:rsidR="00BD462C" w:rsidRDefault="002804B4">
      <w:pPr>
        <w:pStyle w:val="BodyText"/>
        <w:spacing w:before="56" w:line="360" w:lineRule="auto"/>
        <w:ind w:left="135" w:right="912"/>
        <w:jc w:val="both"/>
      </w:pPr>
      <w:r>
        <w:rPr>
          <w:noProof/>
        </w:rPr>
        <w:t>791.</w:t>
      </w:r>
      <w:r w:rsidR="00033D0F">
        <w:rPr>
          <w:rFonts w:ascii="Times New Roman"/>
          <w:spacing w:val="80"/>
          <w:position w:val="1"/>
          <w:sz w:val="20"/>
        </w:rPr>
        <w:t xml:space="preserve">  </w:t>
      </w:r>
      <w:r w:rsidR="00033D0F">
        <w:rPr>
          <w:position w:val="1"/>
        </w:rPr>
        <w:t xml:space="preserve">First, China alleged that the fact that it was not "practicable" was demonstrated by </w:t>
      </w:r>
      <w:r w:rsidR="00033D0F">
        <w:t>MOFCOM's</w:t>
      </w:r>
      <w:r w:rsidR="00033D0F">
        <w:rPr>
          <w:spacing w:val="-6"/>
        </w:rPr>
        <w:t xml:space="preserve"> </w:t>
      </w:r>
      <w:r w:rsidR="00033D0F">
        <w:t>desire</w:t>
      </w:r>
      <w:r w:rsidR="00033D0F">
        <w:rPr>
          <w:spacing w:val="-7"/>
        </w:rPr>
        <w:t xml:space="preserve"> </w:t>
      </w:r>
      <w:r w:rsidR="00033D0F">
        <w:t>to</w:t>
      </w:r>
      <w:r w:rsidR="00033D0F">
        <w:rPr>
          <w:spacing w:val="-10"/>
        </w:rPr>
        <w:t xml:space="preserve"> </w:t>
      </w:r>
      <w:r w:rsidR="00033D0F">
        <w:t>proceed</w:t>
      </w:r>
      <w:r w:rsidR="00033D0F">
        <w:rPr>
          <w:spacing w:val="-9"/>
        </w:rPr>
        <w:t xml:space="preserve"> </w:t>
      </w:r>
      <w:r w:rsidR="00033D0F">
        <w:t>expeditiously</w:t>
      </w:r>
      <w:r w:rsidR="00033D0F">
        <w:rPr>
          <w:spacing w:val="-6"/>
        </w:rPr>
        <w:t xml:space="preserve"> </w:t>
      </w:r>
      <w:r w:rsidR="00033D0F">
        <w:t>and</w:t>
      </w:r>
      <w:r w:rsidR="00033D0F">
        <w:rPr>
          <w:spacing w:val="-9"/>
        </w:rPr>
        <w:t xml:space="preserve"> </w:t>
      </w:r>
      <w:r w:rsidR="00033D0F">
        <w:t>the</w:t>
      </w:r>
      <w:r w:rsidR="00033D0F">
        <w:rPr>
          <w:spacing w:val="-7"/>
        </w:rPr>
        <w:t xml:space="preserve"> </w:t>
      </w:r>
      <w:r w:rsidR="00033D0F">
        <w:t>terms</w:t>
      </w:r>
      <w:r w:rsidR="00033D0F">
        <w:rPr>
          <w:spacing w:val="-6"/>
        </w:rPr>
        <w:t xml:space="preserve"> </w:t>
      </w:r>
      <w:r w:rsidR="00033D0F">
        <w:t>of</w:t>
      </w:r>
      <w:r w:rsidR="00033D0F">
        <w:rPr>
          <w:spacing w:val="-9"/>
        </w:rPr>
        <w:t xml:space="preserve"> </w:t>
      </w:r>
      <w:r w:rsidR="00033D0F">
        <w:t>Article</w:t>
      </w:r>
      <w:r w:rsidR="00033D0F">
        <w:rPr>
          <w:spacing w:val="-7"/>
        </w:rPr>
        <w:t xml:space="preserve"> </w:t>
      </w:r>
      <w:r w:rsidR="00033D0F">
        <w:t>6.14</w:t>
      </w:r>
      <w:r w:rsidR="00033D0F">
        <w:rPr>
          <w:spacing w:val="-5"/>
        </w:rPr>
        <w:t xml:space="preserve"> </w:t>
      </w:r>
      <w:r w:rsidR="00033D0F">
        <w:t>of</w:t>
      </w:r>
      <w:r w:rsidR="00033D0F">
        <w:rPr>
          <w:spacing w:val="-4"/>
        </w:rPr>
        <w:t xml:space="preserve"> </w:t>
      </w:r>
      <w:r w:rsidR="00033D0F">
        <w:t>the</w:t>
      </w:r>
      <w:r w:rsidR="00033D0F">
        <w:rPr>
          <w:spacing w:val="-7"/>
        </w:rPr>
        <w:t xml:space="preserve"> </w:t>
      </w:r>
      <w:r w:rsidR="00033D0F">
        <w:t>Anti-Dumping Agreement.</w:t>
      </w:r>
      <w:r w:rsidR="00033D0F">
        <w:rPr>
          <w:spacing w:val="38"/>
        </w:rPr>
        <w:t xml:space="preserve"> </w:t>
      </w:r>
      <w:r w:rsidR="00033D0F">
        <w:t>A</w:t>
      </w:r>
      <w:r w:rsidR="00033D0F">
        <w:rPr>
          <w:spacing w:val="37"/>
        </w:rPr>
        <w:t xml:space="preserve"> </w:t>
      </w:r>
      <w:r w:rsidR="00033D0F">
        <w:t>general</w:t>
      </w:r>
      <w:r w:rsidR="00033D0F">
        <w:rPr>
          <w:spacing w:val="39"/>
        </w:rPr>
        <w:t xml:space="preserve"> </w:t>
      </w:r>
      <w:r w:rsidR="00033D0F">
        <w:t>desire</w:t>
      </w:r>
      <w:r w:rsidR="00033D0F">
        <w:rPr>
          <w:spacing w:val="37"/>
        </w:rPr>
        <w:t xml:space="preserve"> </w:t>
      </w:r>
      <w:r w:rsidR="00033D0F">
        <w:t>for</w:t>
      </w:r>
      <w:r w:rsidR="00033D0F">
        <w:rPr>
          <w:spacing w:val="34"/>
        </w:rPr>
        <w:t xml:space="preserve"> </w:t>
      </w:r>
      <w:r w:rsidR="00033D0F">
        <w:t>expedition,</w:t>
      </w:r>
      <w:r w:rsidR="00033D0F">
        <w:rPr>
          <w:spacing w:val="39"/>
        </w:rPr>
        <w:t xml:space="preserve"> </w:t>
      </w:r>
      <w:r w:rsidR="00033D0F">
        <w:t>in</w:t>
      </w:r>
      <w:r w:rsidR="00033D0F">
        <w:rPr>
          <w:spacing w:val="35"/>
        </w:rPr>
        <w:t xml:space="preserve"> </w:t>
      </w:r>
      <w:r w:rsidR="00033D0F">
        <w:t>light</w:t>
      </w:r>
      <w:r w:rsidR="00033D0F">
        <w:rPr>
          <w:spacing w:val="37"/>
        </w:rPr>
        <w:t xml:space="preserve"> </w:t>
      </w:r>
      <w:r w:rsidR="00033D0F">
        <w:t>of</w:t>
      </w:r>
      <w:r w:rsidR="00033D0F">
        <w:rPr>
          <w:spacing w:val="35"/>
        </w:rPr>
        <w:t xml:space="preserve"> </w:t>
      </w:r>
      <w:r w:rsidR="00033D0F">
        <w:t>Article</w:t>
      </w:r>
      <w:r w:rsidR="00033D0F">
        <w:rPr>
          <w:spacing w:val="37"/>
        </w:rPr>
        <w:t xml:space="preserve"> </w:t>
      </w:r>
      <w:r w:rsidR="00033D0F">
        <w:t>6.14,</w:t>
      </w:r>
      <w:r w:rsidR="00033D0F">
        <w:rPr>
          <w:spacing w:val="40"/>
        </w:rPr>
        <w:t xml:space="preserve"> </w:t>
      </w:r>
      <w:r w:rsidR="00033D0F">
        <w:t>is</w:t>
      </w:r>
      <w:r w:rsidR="00033D0F">
        <w:rPr>
          <w:spacing w:val="38"/>
        </w:rPr>
        <w:t xml:space="preserve"> </w:t>
      </w:r>
      <w:r w:rsidR="00033D0F">
        <w:t>a</w:t>
      </w:r>
      <w:r w:rsidR="00033D0F">
        <w:rPr>
          <w:spacing w:val="36"/>
        </w:rPr>
        <w:t xml:space="preserve"> </w:t>
      </w:r>
      <w:r w:rsidR="00033D0F">
        <w:t>feature</w:t>
      </w:r>
      <w:r w:rsidR="00033D0F">
        <w:rPr>
          <w:spacing w:val="40"/>
        </w:rPr>
        <w:t xml:space="preserve"> </w:t>
      </w:r>
      <w:r w:rsidR="00033D0F">
        <w:t>of</w:t>
      </w:r>
      <w:r w:rsidR="00033D0F">
        <w:rPr>
          <w:spacing w:val="35"/>
        </w:rPr>
        <w:t xml:space="preserve"> </w:t>
      </w:r>
      <w:r w:rsidR="00033D0F">
        <w:t>every anti-dumping investigation. It cannot provide, in itself, a justification for a finding that the grant</w:t>
      </w:r>
      <w:r w:rsidR="00033D0F">
        <w:rPr>
          <w:spacing w:val="-3"/>
        </w:rPr>
        <w:t xml:space="preserve"> </w:t>
      </w:r>
      <w:r w:rsidR="00033D0F">
        <w:t>of</w:t>
      </w:r>
      <w:r w:rsidR="00033D0F">
        <w:rPr>
          <w:spacing w:val="-5"/>
        </w:rPr>
        <w:t xml:space="preserve"> </w:t>
      </w:r>
      <w:r w:rsidR="00033D0F">
        <w:t>an</w:t>
      </w:r>
      <w:r w:rsidR="00033D0F">
        <w:rPr>
          <w:spacing w:val="-5"/>
        </w:rPr>
        <w:t xml:space="preserve"> </w:t>
      </w:r>
      <w:r w:rsidR="00033D0F">
        <w:t>extension</w:t>
      </w:r>
      <w:r w:rsidR="00033D0F">
        <w:rPr>
          <w:spacing w:val="-5"/>
        </w:rPr>
        <w:t xml:space="preserve"> </w:t>
      </w:r>
      <w:r w:rsidR="00033D0F">
        <w:t>was</w:t>
      </w:r>
      <w:r w:rsidR="00033D0F">
        <w:rPr>
          <w:spacing w:val="-2"/>
        </w:rPr>
        <w:t xml:space="preserve"> </w:t>
      </w:r>
      <w:r w:rsidR="00033D0F">
        <w:t>not</w:t>
      </w:r>
      <w:r w:rsidR="00033D0F">
        <w:rPr>
          <w:spacing w:val="-3"/>
        </w:rPr>
        <w:t xml:space="preserve"> </w:t>
      </w:r>
      <w:r w:rsidR="00033D0F">
        <w:t>practicable</w:t>
      </w:r>
      <w:r w:rsidR="00033D0F">
        <w:rPr>
          <w:spacing w:val="-3"/>
        </w:rPr>
        <w:t xml:space="preserve"> </w:t>
      </w:r>
      <w:r w:rsidR="00033D0F">
        <w:t>under</w:t>
      </w:r>
      <w:r w:rsidR="00033D0F">
        <w:rPr>
          <w:spacing w:val="-6"/>
        </w:rPr>
        <w:t xml:space="preserve"> </w:t>
      </w:r>
      <w:r w:rsidR="00033D0F">
        <w:t>the</w:t>
      </w:r>
      <w:r w:rsidR="00033D0F">
        <w:rPr>
          <w:spacing w:val="-4"/>
        </w:rPr>
        <w:t xml:space="preserve"> </w:t>
      </w:r>
      <w:r w:rsidR="00033D0F">
        <w:t>relevant</w:t>
      </w:r>
      <w:r w:rsidR="00033D0F">
        <w:rPr>
          <w:spacing w:val="-3"/>
        </w:rPr>
        <w:t xml:space="preserve"> </w:t>
      </w:r>
      <w:r w:rsidR="00033D0F">
        <w:t>circumstances.</w:t>
      </w:r>
      <w:r w:rsidR="00033D0F">
        <w:rPr>
          <w:spacing w:val="-2"/>
        </w:rPr>
        <w:t xml:space="preserve"> </w:t>
      </w:r>
      <w:r w:rsidR="00033D0F">
        <w:t>If</w:t>
      </w:r>
      <w:r w:rsidR="00033D0F">
        <w:rPr>
          <w:spacing w:val="-10"/>
        </w:rPr>
        <w:t xml:space="preserve"> </w:t>
      </w:r>
      <w:r w:rsidR="00033D0F">
        <w:t>it</w:t>
      </w:r>
      <w:r w:rsidR="00033D0F">
        <w:rPr>
          <w:spacing w:val="-3"/>
        </w:rPr>
        <w:t xml:space="preserve"> </w:t>
      </w:r>
      <w:r w:rsidR="00033D0F">
        <w:t>did,</w:t>
      </w:r>
      <w:r w:rsidR="00033D0F">
        <w:rPr>
          <w:spacing w:val="-1"/>
        </w:rPr>
        <w:t xml:space="preserve"> </w:t>
      </w:r>
      <w:r w:rsidR="00033D0F">
        <w:t>then</w:t>
      </w:r>
      <w:r w:rsidR="00033D0F">
        <w:rPr>
          <w:spacing w:val="-5"/>
        </w:rPr>
        <w:t xml:space="preserve"> </w:t>
      </w:r>
      <w:r w:rsidR="00033D0F">
        <w:t xml:space="preserve">the terms of Article 6.14 would potentially preclude an investigating authority accepting </w:t>
      </w:r>
      <w:r w:rsidR="00033D0F">
        <w:rPr>
          <w:i/>
        </w:rPr>
        <w:t xml:space="preserve">any </w:t>
      </w:r>
      <w:r w:rsidR="00033D0F">
        <w:t>extension</w:t>
      </w:r>
      <w:r w:rsidR="00033D0F">
        <w:rPr>
          <w:spacing w:val="-2"/>
        </w:rPr>
        <w:t xml:space="preserve"> </w:t>
      </w:r>
      <w:r w:rsidR="00033D0F">
        <w:t>request, rendering Article 6.1.1</w:t>
      </w:r>
      <w:r w:rsidR="00033D0F">
        <w:rPr>
          <w:spacing w:val="-2"/>
        </w:rPr>
        <w:t xml:space="preserve"> </w:t>
      </w:r>
      <w:r w:rsidR="00033D0F">
        <w:t>inutile.</w:t>
      </w:r>
      <w:r w:rsidR="00033D0F">
        <w:rPr>
          <w:spacing w:val="-7"/>
        </w:rPr>
        <w:t xml:space="preserve"> </w:t>
      </w:r>
      <w:r w:rsidR="00033D0F">
        <w:t>Further, as noted</w:t>
      </w:r>
      <w:r w:rsidR="00033D0F">
        <w:rPr>
          <w:spacing w:val="-2"/>
        </w:rPr>
        <w:t xml:space="preserve"> </w:t>
      </w:r>
      <w:r w:rsidR="00033D0F">
        <w:t>above, in</w:t>
      </w:r>
      <w:r w:rsidR="00033D0F">
        <w:rPr>
          <w:spacing w:val="-2"/>
        </w:rPr>
        <w:t xml:space="preserve"> </w:t>
      </w:r>
      <w:r w:rsidR="00033D0F">
        <w:t>particular</w:t>
      </w:r>
      <w:r w:rsidR="00033D0F">
        <w:rPr>
          <w:spacing w:val="-2"/>
        </w:rPr>
        <w:t xml:space="preserve"> </w:t>
      </w:r>
      <w:r w:rsidR="00033D0F">
        <w:t>cases an</w:t>
      </w:r>
      <w:r w:rsidR="00033D0F">
        <w:rPr>
          <w:spacing w:val="-9"/>
        </w:rPr>
        <w:t xml:space="preserve"> </w:t>
      </w:r>
      <w:r w:rsidR="00033D0F">
        <w:t>expeditious</w:t>
      </w:r>
      <w:r w:rsidR="00033D0F">
        <w:rPr>
          <w:spacing w:val="-6"/>
        </w:rPr>
        <w:t xml:space="preserve"> </w:t>
      </w:r>
      <w:r w:rsidR="00033D0F">
        <w:t>investigation</w:t>
      </w:r>
      <w:r w:rsidR="00033D0F">
        <w:rPr>
          <w:spacing w:val="-9"/>
        </w:rPr>
        <w:t xml:space="preserve"> </w:t>
      </w:r>
      <w:r w:rsidR="00033D0F">
        <w:t>may</w:t>
      </w:r>
      <w:r w:rsidR="00033D0F">
        <w:rPr>
          <w:spacing w:val="-6"/>
        </w:rPr>
        <w:t xml:space="preserve"> </w:t>
      </w:r>
      <w:r w:rsidR="00033D0F">
        <w:t>well</w:t>
      </w:r>
      <w:r w:rsidR="00033D0F">
        <w:rPr>
          <w:spacing w:val="-5"/>
        </w:rPr>
        <w:t xml:space="preserve"> </w:t>
      </w:r>
      <w:r w:rsidR="00033D0F">
        <w:t>require,</w:t>
      </w:r>
      <w:r w:rsidR="00033D0F">
        <w:rPr>
          <w:spacing w:val="-5"/>
        </w:rPr>
        <w:t xml:space="preserve"> </w:t>
      </w:r>
      <w:r w:rsidR="00033D0F">
        <w:t>rather</w:t>
      </w:r>
      <w:r w:rsidR="00033D0F">
        <w:rPr>
          <w:spacing w:val="-10"/>
        </w:rPr>
        <w:t xml:space="preserve"> </w:t>
      </w:r>
      <w:r w:rsidR="00033D0F">
        <w:t>than</w:t>
      </w:r>
      <w:r w:rsidR="00033D0F">
        <w:rPr>
          <w:spacing w:val="-4"/>
        </w:rPr>
        <w:t xml:space="preserve"> </w:t>
      </w:r>
      <w:proofErr w:type="gramStart"/>
      <w:r w:rsidR="00033D0F">
        <w:t>preclude,</w:t>
      </w:r>
      <w:proofErr w:type="gramEnd"/>
      <w:r w:rsidR="00033D0F">
        <w:rPr>
          <w:spacing w:val="-5"/>
        </w:rPr>
        <w:t xml:space="preserve"> </w:t>
      </w:r>
      <w:r w:rsidR="00033D0F">
        <w:t>reasonable</w:t>
      </w:r>
      <w:r w:rsidR="00033D0F">
        <w:rPr>
          <w:spacing w:val="-7"/>
        </w:rPr>
        <w:t xml:space="preserve"> </w:t>
      </w:r>
      <w:r w:rsidR="00033D0F">
        <w:t>extensions</w:t>
      </w:r>
      <w:r w:rsidR="00033D0F">
        <w:rPr>
          <w:spacing w:val="-6"/>
        </w:rPr>
        <w:t xml:space="preserve"> </w:t>
      </w:r>
      <w:r w:rsidR="00033D0F">
        <w:t xml:space="preserve">of </w:t>
      </w:r>
      <w:r w:rsidR="00033D0F">
        <w:rPr>
          <w:spacing w:val="-2"/>
        </w:rPr>
        <w:t>deadlines.</w:t>
      </w:r>
      <w:hyperlink w:anchor="_bookmark1375" w:history="1">
        <w:r w:rsidR="00033D0F">
          <w:rPr>
            <w:spacing w:val="-2"/>
            <w:vertAlign w:val="superscript"/>
          </w:rPr>
          <w:t>1187</w:t>
        </w:r>
      </w:hyperlink>
    </w:p>
    <w:p w14:paraId="2B1EC9DC" w14:textId="77777777" w:rsidR="00BD462C" w:rsidRDefault="00BD462C">
      <w:pPr>
        <w:pStyle w:val="BodyText"/>
        <w:spacing w:before="4"/>
        <w:rPr>
          <w:sz w:val="8"/>
        </w:rPr>
      </w:pPr>
    </w:p>
    <w:p w14:paraId="5732C05B" w14:textId="4481B3B7" w:rsidR="00BD462C" w:rsidRDefault="002804B4">
      <w:pPr>
        <w:pStyle w:val="BodyText"/>
        <w:spacing w:before="57" w:line="360" w:lineRule="auto"/>
        <w:ind w:left="135" w:right="914"/>
        <w:jc w:val="both"/>
      </w:pPr>
      <w:r>
        <w:rPr>
          <w:noProof/>
        </w:rPr>
        <w:t>792.</w:t>
      </w:r>
      <w:r w:rsidR="00033D0F">
        <w:rPr>
          <w:rFonts w:ascii="Times New Roman"/>
          <w:spacing w:val="80"/>
          <w:w w:val="150"/>
          <w:position w:val="1"/>
          <w:sz w:val="20"/>
        </w:rPr>
        <w:t xml:space="preserve"> </w:t>
      </w:r>
      <w:r w:rsidR="00033D0F">
        <w:rPr>
          <w:position w:val="1"/>
        </w:rPr>
        <w:t xml:space="preserve">Second, China makes the false allegation that where incomplete or inconsistent </w:t>
      </w:r>
      <w:r w:rsidR="00033D0F">
        <w:t>information was received from interested parties, the parties were given a "second chance" at clarifying the information contained in their questionnaire responses later in the investigation, and through the supplementary questionnaire were offered a "last chance" to submit</w:t>
      </w:r>
      <w:r w:rsidR="00033D0F">
        <w:rPr>
          <w:spacing w:val="-1"/>
        </w:rPr>
        <w:t xml:space="preserve"> </w:t>
      </w:r>
      <w:r w:rsidR="00033D0F">
        <w:t>information.</w:t>
      </w:r>
      <w:hyperlink w:anchor="_bookmark1376" w:history="1">
        <w:r w:rsidR="00033D0F">
          <w:rPr>
            <w:vertAlign w:val="superscript"/>
          </w:rPr>
          <w:t>1188</w:t>
        </w:r>
      </w:hyperlink>
      <w:r w:rsidR="00033D0F">
        <w:rPr>
          <w:spacing w:val="-1"/>
        </w:rPr>
        <w:t xml:space="preserve"> </w:t>
      </w:r>
      <w:r w:rsidR="00033D0F">
        <w:t>China's submission</w:t>
      </w:r>
      <w:r w:rsidR="00033D0F">
        <w:rPr>
          <w:spacing w:val="-3"/>
        </w:rPr>
        <w:t xml:space="preserve"> </w:t>
      </w:r>
      <w:r w:rsidR="00033D0F">
        <w:t>appears to</w:t>
      </w:r>
      <w:r w:rsidR="00033D0F">
        <w:rPr>
          <w:spacing w:val="-4"/>
        </w:rPr>
        <w:t xml:space="preserve"> </w:t>
      </w:r>
      <w:r w:rsidR="00033D0F">
        <w:t>be</w:t>
      </w:r>
      <w:r w:rsidR="00033D0F">
        <w:rPr>
          <w:spacing w:val="-2"/>
        </w:rPr>
        <w:t xml:space="preserve"> </w:t>
      </w:r>
      <w:r w:rsidR="00033D0F">
        <w:t>that</w:t>
      </w:r>
      <w:r w:rsidR="00033D0F">
        <w:rPr>
          <w:spacing w:val="-1"/>
        </w:rPr>
        <w:t xml:space="preserve"> </w:t>
      </w:r>
      <w:r w:rsidR="00033D0F">
        <w:t>the purported</w:t>
      </w:r>
      <w:r w:rsidR="00033D0F">
        <w:rPr>
          <w:spacing w:val="-3"/>
        </w:rPr>
        <w:t xml:space="preserve"> </w:t>
      </w:r>
      <w:r w:rsidR="00033D0F">
        <w:t>existence</w:t>
      </w:r>
      <w:r w:rsidR="00033D0F">
        <w:rPr>
          <w:spacing w:val="-1"/>
        </w:rPr>
        <w:t xml:space="preserve"> </w:t>
      </w:r>
      <w:r w:rsidR="00033D0F">
        <w:t>of</w:t>
      </w:r>
      <w:r w:rsidR="00033D0F">
        <w:rPr>
          <w:spacing w:val="-3"/>
        </w:rPr>
        <w:t xml:space="preserve"> </w:t>
      </w:r>
      <w:r w:rsidR="00033D0F">
        <w:t>the this "second chance" informed MOFCOM's assessment of "practicable".</w:t>
      </w:r>
      <w:hyperlink w:anchor="_bookmark1377" w:history="1">
        <w:r w:rsidR="00033D0F">
          <w:rPr>
            <w:vertAlign w:val="superscript"/>
          </w:rPr>
          <w:t>1189</w:t>
        </w:r>
      </w:hyperlink>
      <w:r w:rsidR="00033D0F">
        <w:t xml:space="preserve"> If such a practice had been used in this case, then Australia agrees that it would be relevant to the reasonableness of MOFCOM's refusal to grant extensions, since the consequence of the refusal</w:t>
      </w:r>
      <w:r w:rsidR="00033D0F">
        <w:rPr>
          <w:spacing w:val="-14"/>
        </w:rPr>
        <w:t xml:space="preserve"> </w:t>
      </w:r>
      <w:r w:rsidR="00033D0F">
        <w:t>would</w:t>
      </w:r>
      <w:r w:rsidR="00033D0F">
        <w:rPr>
          <w:spacing w:val="-14"/>
        </w:rPr>
        <w:t xml:space="preserve"> </w:t>
      </w:r>
      <w:r w:rsidR="00033D0F">
        <w:t>not</w:t>
      </w:r>
      <w:r w:rsidR="00033D0F">
        <w:rPr>
          <w:spacing w:val="-13"/>
        </w:rPr>
        <w:t xml:space="preserve"> </w:t>
      </w:r>
      <w:r w:rsidR="00033D0F">
        <w:t>have</w:t>
      </w:r>
      <w:r w:rsidR="00033D0F">
        <w:rPr>
          <w:spacing w:val="-14"/>
        </w:rPr>
        <w:t xml:space="preserve"> </w:t>
      </w:r>
      <w:r w:rsidR="00033D0F">
        <w:t>had</w:t>
      </w:r>
      <w:r w:rsidR="00033D0F">
        <w:rPr>
          <w:spacing w:val="-13"/>
        </w:rPr>
        <w:t xml:space="preserve"> </w:t>
      </w:r>
      <w:r w:rsidR="00033D0F">
        <w:t>as</w:t>
      </w:r>
      <w:r w:rsidR="00033D0F">
        <w:rPr>
          <w:spacing w:val="-14"/>
        </w:rPr>
        <w:t xml:space="preserve"> </w:t>
      </w:r>
      <w:r w:rsidR="00033D0F">
        <w:t>prejudicial</w:t>
      </w:r>
      <w:r w:rsidR="00033D0F">
        <w:rPr>
          <w:spacing w:val="-13"/>
        </w:rPr>
        <w:t xml:space="preserve"> </w:t>
      </w:r>
      <w:r w:rsidR="00033D0F">
        <w:t>an</w:t>
      </w:r>
      <w:r w:rsidR="00033D0F">
        <w:rPr>
          <w:spacing w:val="-14"/>
        </w:rPr>
        <w:t xml:space="preserve"> </w:t>
      </w:r>
      <w:r w:rsidR="00033D0F">
        <w:t>impact</w:t>
      </w:r>
      <w:r w:rsidR="00033D0F">
        <w:rPr>
          <w:spacing w:val="-14"/>
        </w:rPr>
        <w:t xml:space="preserve"> </w:t>
      </w:r>
      <w:r w:rsidR="00033D0F">
        <w:t>on</w:t>
      </w:r>
      <w:r w:rsidR="00033D0F">
        <w:rPr>
          <w:spacing w:val="-13"/>
        </w:rPr>
        <w:t xml:space="preserve"> </w:t>
      </w:r>
      <w:r w:rsidR="00033D0F">
        <w:t>the</w:t>
      </w:r>
      <w:r w:rsidR="00033D0F">
        <w:rPr>
          <w:spacing w:val="-14"/>
        </w:rPr>
        <w:t xml:space="preserve"> </w:t>
      </w:r>
      <w:r w:rsidR="00033D0F">
        <w:t>parties'</w:t>
      </w:r>
      <w:r w:rsidR="00033D0F">
        <w:rPr>
          <w:spacing w:val="-13"/>
        </w:rPr>
        <w:t xml:space="preserve"> </w:t>
      </w:r>
      <w:r w:rsidR="00033D0F">
        <w:t>opportunity</w:t>
      </w:r>
      <w:r w:rsidR="00033D0F">
        <w:rPr>
          <w:spacing w:val="-14"/>
        </w:rPr>
        <w:t xml:space="preserve"> </w:t>
      </w:r>
      <w:r w:rsidR="00033D0F">
        <w:t>for</w:t>
      </w:r>
      <w:r w:rsidR="00033D0F">
        <w:rPr>
          <w:spacing w:val="-13"/>
        </w:rPr>
        <w:t xml:space="preserve"> </w:t>
      </w:r>
      <w:r w:rsidR="00033D0F">
        <w:t>the</w:t>
      </w:r>
      <w:r w:rsidR="00033D0F">
        <w:rPr>
          <w:spacing w:val="-14"/>
        </w:rPr>
        <w:t xml:space="preserve"> </w:t>
      </w:r>
      <w:proofErr w:type="spellStart"/>
      <w:r w:rsidR="00033D0F">
        <w:t>defence</w:t>
      </w:r>
      <w:proofErr w:type="spellEnd"/>
      <w:r w:rsidR="00033D0F">
        <w:t xml:space="preserve"> of their interests. It is not apparent to Australia why China considers that it would bear upon the assessment of whether the grant of the extension was "practicable".</w:t>
      </w:r>
    </w:p>
    <w:p w14:paraId="510A4F2E" w14:textId="77777777" w:rsidR="00BD462C" w:rsidRDefault="00BD462C">
      <w:pPr>
        <w:pStyle w:val="BodyText"/>
        <w:spacing w:before="9"/>
        <w:rPr>
          <w:sz w:val="8"/>
        </w:rPr>
      </w:pPr>
    </w:p>
    <w:p w14:paraId="138C75AD" w14:textId="7DD84005" w:rsidR="00BD462C" w:rsidRDefault="002804B4">
      <w:pPr>
        <w:pStyle w:val="BodyText"/>
        <w:spacing w:before="56" w:line="360" w:lineRule="auto"/>
        <w:ind w:left="135" w:right="913"/>
        <w:jc w:val="both"/>
      </w:pPr>
      <w:r>
        <w:rPr>
          <w:noProof/>
        </w:rPr>
        <w:t>793.</w:t>
      </w:r>
      <w:r w:rsidR="00033D0F">
        <w:rPr>
          <w:rFonts w:ascii="Times New Roman"/>
          <w:spacing w:val="80"/>
          <w:position w:val="1"/>
          <w:sz w:val="20"/>
        </w:rPr>
        <w:t xml:space="preserve">   </w:t>
      </w:r>
      <w:r w:rsidR="00033D0F">
        <w:rPr>
          <w:position w:val="1"/>
        </w:rPr>
        <w:t>In</w:t>
      </w:r>
      <w:r w:rsidR="00033D0F">
        <w:rPr>
          <w:spacing w:val="-9"/>
          <w:position w:val="1"/>
        </w:rPr>
        <w:t xml:space="preserve"> </w:t>
      </w:r>
      <w:r w:rsidR="00033D0F">
        <w:rPr>
          <w:position w:val="1"/>
        </w:rPr>
        <w:t>any</w:t>
      </w:r>
      <w:r w:rsidR="00033D0F">
        <w:rPr>
          <w:spacing w:val="-6"/>
          <w:position w:val="1"/>
        </w:rPr>
        <w:t xml:space="preserve"> </w:t>
      </w:r>
      <w:r w:rsidR="00033D0F">
        <w:rPr>
          <w:position w:val="1"/>
        </w:rPr>
        <w:t>event,</w:t>
      </w:r>
      <w:r w:rsidR="00033D0F">
        <w:rPr>
          <w:spacing w:val="-5"/>
          <w:position w:val="1"/>
        </w:rPr>
        <w:t xml:space="preserve"> </w:t>
      </w:r>
      <w:r w:rsidR="00033D0F">
        <w:rPr>
          <w:position w:val="1"/>
        </w:rPr>
        <w:t>China's</w:t>
      </w:r>
      <w:r w:rsidR="00033D0F">
        <w:rPr>
          <w:spacing w:val="-6"/>
          <w:position w:val="1"/>
        </w:rPr>
        <w:t xml:space="preserve"> </w:t>
      </w:r>
      <w:r w:rsidR="00033D0F">
        <w:rPr>
          <w:position w:val="1"/>
        </w:rPr>
        <w:t>alleged</w:t>
      </w:r>
      <w:r w:rsidR="00033D0F">
        <w:rPr>
          <w:spacing w:val="-9"/>
          <w:position w:val="1"/>
        </w:rPr>
        <w:t xml:space="preserve"> </w:t>
      </w:r>
      <w:r w:rsidR="00033D0F">
        <w:rPr>
          <w:position w:val="1"/>
        </w:rPr>
        <w:t>opportunity</w:t>
      </w:r>
      <w:r w:rsidR="00033D0F">
        <w:rPr>
          <w:spacing w:val="-6"/>
          <w:position w:val="1"/>
        </w:rPr>
        <w:t xml:space="preserve"> </w:t>
      </w:r>
      <w:r w:rsidR="00033D0F">
        <w:rPr>
          <w:position w:val="1"/>
        </w:rPr>
        <w:t>for</w:t>
      </w:r>
      <w:r w:rsidR="00033D0F">
        <w:rPr>
          <w:spacing w:val="-10"/>
          <w:position w:val="1"/>
        </w:rPr>
        <w:t xml:space="preserve"> </w:t>
      </w:r>
      <w:r w:rsidR="00033D0F">
        <w:rPr>
          <w:position w:val="1"/>
        </w:rPr>
        <w:t>a</w:t>
      </w:r>
      <w:r w:rsidR="00033D0F">
        <w:rPr>
          <w:spacing w:val="-3"/>
          <w:position w:val="1"/>
        </w:rPr>
        <w:t xml:space="preserve"> </w:t>
      </w:r>
      <w:r w:rsidR="00033D0F">
        <w:rPr>
          <w:position w:val="1"/>
        </w:rPr>
        <w:t>"second</w:t>
      </w:r>
      <w:r w:rsidR="00033D0F">
        <w:rPr>
          <w:spacing w:val="-4"/>
          <w:position w:val="1"/>
        </w:rPr>
        <w:t xml:space="preserve"> </w:t>
      </w:r>
      <w:r w:rsidR="00033D0F">
        <w:rPr>
          <w:position w:val="1"/>
        </w:rPr>
        <w:t>chance"</w:t>
      </w:r>
      <w:r w:rsidR="00033D0F">
        <w:rPr>
          <w:spacing w:val="-3"/>
          <w:position w:val="1"/>
        </w:rPr>
        <w:t xml:space="preserve"> </w:t>
      </w:r>
      <w:r w:rsidR="00033D0F">
        <w:rPr>
          <w:position w:val="1"/>
        </w:rPr>
        <w:t>simply</w:t>
      </w:r>
      <w:r w:rsidR="00033D0F">
        <w:rPr>
          <w:spacing w:val="-6"/>
          <w:position w:val="1"/>
        </w:rPr>
        <w:t xml:space="preserve"> </w:t>
      </w:r>
      <w:r w:rsidR="00033D0F">
        <w:rPr>
          <w:position w:val="1"/>
        </w:rPr>
        <w:t>was</w:t>
      </w:r>
      <w:r w:rsidR="00033D0F">
        <w:rPr>
          <w:spacing w:val="-6"/>
          <w:position w:val="1"/>
        </w:rPr>
        <w:t xml:space="preserve"> </w:t>
      </w:r>
      <w:r w:rsidR="00033D0F">
        <w:rPr>
          <w:position w:val="1"/>
        </w:rPr>
        <w:t>not</w:t>
      </w:r>
      <w:r w:rsidR="00033D0F">
        <w:rPr>
          <w:spacing w:val="-7"/>
          <w:position w:val="1"/>
        </w:rPr>
        <w:t xml:space="preserve"> </w:t>
      </w:r>
      <w:r w:rsidR="00033D0F">
        <w:rPr>
          <w:position w:val="1"/>
        </w:rPr>
        <w:t xml:space="preserve">given </w:t>
      </w:r>
      <w:r w:rsidR="00033D0F">
        <w:t>in</w:t>
      </w:r>
      <w:r w:rsidR="00033D0F">
        <w:rPr>
          <w:spacing w:val="-14"/>
        </w:rPr>
        <w:t xml:space="preserve"> </w:t>
      </w:r>
      <w:r w:rsidR="00033D0F">
        <w:t>this</w:t>
      </w:r>
      <w:r w:rsidR="00033D0F">
        <w:rPr>
          <w:spacing w:val="-14"/>
        </w:rPr>
        <w:t xml:space="preserve"> </w:t>
      </w:r>
      <w:r w:rsidR="00033D0F">
        <w:t>investigation.</w:t>
      </w:r>
      <w:r w:rsidR="00033D0F">
        <w:rPr>
          <w:spacing w:val="-13"/>
        </w:rPr>
        <w:t xml:space="preserve"> </w:t>
      </w:r>
      <w:r w:rsidR="00033D0F">
        <w:t>To</w:t>
      </w:r>
      <w:r w:rsidR="00033D0F">
        <w:rPr>
          <w:spacing w:val="-14"/>
        </w:rPr>
        <w:t xml:space="preserve"> </w:t>
      </w:r>
      <w:r w:rsidR="00033D0F">
        <w:t>the</w:t>
      </w:r>
      <w:r w:rsidR="00033D0F">
        <w:rPr>
          <w:spacing w:val="-13"/>
        </w:rPr>
        <w:t xml:space="preserve"> </w:t>
      </w:r>
      <w:r w:rsidR="00033D0F">
        <w:t>contrary,</w:t>
      </w:r>
      <w:r w:rsidR="00033D0F">
        <w:rPr>
          <w:spacing w:val="-14"/>
        </w:rPr>
        <w:t xml:space="preserve"> </w:t>
      </w:r>
      <w:r w:rsidR="00033D0F">
        <w:t>MOFCOM's</w:t>
      </w:r>
      <w:r w:rsidR="00033D0F">
        <w:rPr>
          <w:spacing w:val="-13"/>
        </w:rPr>
        <w:t xml:space="preserve"> </w:t>
      </w:r>
      <w:r w:rsidR="00033D0F">
        <w:t>Final</w:t>
      </w:r>
      <w:r w:rsidR="00033D0F">
        <w:rPr>
          <w:spacing w:val="-14"/>
        </w:rPr>
        <w:t xml:space="preserve"> </w:t>
      </w:r>
      <w:r w:rsidR="00033D0F">
        <w:t>Determination,</w:t>
      </w:r>
      <w:r w:rsidR="00033D0F">
        <w:rPr>
          <w:spacing w:val="-14"/>
        </w:rPr>
        <w:t xml:space="preserve"> </w:t>
      </w:r>
      <w:r w:rsidR="00033D0F">
        <w:t>and</w:t>
      </w:r>
      <w:r w:rsidR="00033D0F">
        <w:rPr>
          <w:spacing w:val="-13"/>
        </w:rPr>
        <w:t xml:space="preserve"> </w:t>
      </w:r>
      <w:r w:rsidR="00033D0F">
        <w:t>China's</w:t>
      </w:r>
      <w:r w:rsidR="00033D0F">
        <w:rPr>
          <w:spacing w:val="-14"/>
        </w:rPr>
        <w:t xml:space="preserve"> </w:t>
      </w:r>
      <w:r w:rsidR="00033D0F">
        <w:t>submissions before</w:t>
      </w:r>
      <w:r w:rsidR="00033D0F">
        <w:rPr>
          <w:spacing w:val="-14"/>
        </w:rPr>
        <w:t xml:space="preserve"> </w:t>
      </w:r>
      <w:r w:rsidR="00033D0F">
        <w:t>this</w:t>
      </w:r>
      <w:r w:rsidR="00033D0F">
        <w:rPr>
          <w:spacing w:val="-14"/>
        </w:rPr>
        <w:t xml:space="preserve"> </w:t>
      </w:r>
      <w:r w:rsidR="00033D0F">
        <w:t>Panel,</w:t>
      </w:r>
      <w:r w:rsidR="00033D0F">
        <w:rPr>
          <w:spacing w:val="-13"/>
        </w:rPr>
        <w:t xml:space="preserve"> </w:t>
      </w:r>
      <w:r w:rsidR="00033D0F">
        <w:t>are</w:t>
      </w:r>
      <w:r w:rsidR="00033D0F">
        <w:rPr>
          <w:spacing w:val="-14"/>
        </w:rPr>
        <w:t xml:space="preserve"> </w:t>
      </w:r>
      <w:r w:rsidR="00033D0F">
        <w:t>replete</w:t>
      </w:r>
      <w:r w:rsidR="00033D0F">
        <w:rPr>
          <w:spacing w:val="-13"/>
        </w:rPr>
        <w:t xml:space="preserve"> </w:t>
      </w:r>
      <w:r w:rsidR="00033D0F">
        <w:t>with</w:t>
      </w:r>
      <w:r w:rsidR="00033D0F">
        <w:rPr>
          <w:spacing w:val="-14"/>
        </w:rPr>
        <w:t xml:space="preserve"> </w:t>
      </w:r>
      <w:r w:rsidR="00033D0F">
        <w:t>instances</w:t>
      </w:r>
      <w:r w:rsidR="00033D0F">
        <w:rPr>
          <w:spacing w:val="-13"/>
        </w:rPr>
        <w:t xml:space="preserve"> </w:t>
      </w:r>
      <w:r w:rsidR="00033D0F">
        <w:t>where</w:t>
      </w:r>
      <w:r w:rsidR="00033D0F">
        <w:rPr>
          <w:spacing w:val="-14"/>
        </w:rPr>
        <w:t xml:space="preserve"> </w:t>
      </w:r>
      <w:r w:rsidR="00033D0F">
        <w:t>MOFCOM</w:t>
      </w:r>
      <w:r w:rsidR="00033D0F">
        <w:rPr>
          <w:spacing w:val="-14"/>
        </w:rPr>
        <w:t xml:space="preserve"> </w:t>
      </w:r>
      <w:r w:rsidR="00033D0F">
        <w:t>treated</w:t>
      </w:r>
      <w:r w:rsidR="00033D0F">
        <w:rPr>
          <w:spacing w:val="-13"/>
        </w:rPr>
        <w:t xml:space="preserve"> </w:t>
      </w:r>
      <w:r w:rsidR="00033D0F">
        <w:t>the</w:t>
      </w:r>
      <w:r w:rsidR="00033D0F">
        <w:rPr>
          <w:spacing w:val="-14"/>
        </w:rPr>
        <w:t xml:space="preserve"> </w:t>
      </w:r>
      <w:r w:rsidR="00033D0F">
        <w:t>fact</w:t>
      </w:r>
      <w:r w:rsidR="00033D0F">
        <w:rPr>
          <w:spacing w:val="-13"/>
        </w:rPr>
        <w:t xml:space="preserve"> </w:t>
      </w:r>
      <w:r w:rsidR="00033D0F">
        <w:t>that</w:t>
      </w:r>
      <w:r w:rsidR="00033D0F">
        <w:rPr>
          <w:spacing w:val="-14"/>
        </w:rPr>
        <w:t xml:space="preserve"> </w:t>
      </w:r>
      <w:r w:rsidR="00033D0F">
        <w:t>information was not provided within the original deadline as of decisive</w:t>
      </w:r>
      <w:r w:rsidR="00033D0F">
        <w:rPr>
          <w:spacing w:val="-2"/>
        </w:rPr>
        <w:t xml:space="preserve"> </w:t>
      </w:r>
      <w:proofErr w:type="gramStart"/>
      <w:r w:rsidR="00033D0F">
        <w:t>importance, and</w:t>
      </w:r>
      <w:proofErr w:type="gramEnd"/>
      <w:r w:rsidR="00033D0F">
        <w:t xml:space="preserve"> refused to have regard to information submitted after this deadline. MOFCOM regarded the supplementary</w:t>
      </w:r>
    </w:p>
    <w:p w14:paraId="0E8B18C9" w14:textId="43A588BA" w:rsidR="00BD462C" w:rsidRDefault="00D70C7D">
      <w:pPr>
        <w:pStyle w:val="BodyText"/>
        <w:spacing w:before="6"/>
        <w:rPr>
          <w:sz w:val="27"/>
        </w:rPr>
      </w:pPr>
      <w:r>
        <w:rPr>
          <w:noProof/>
        </w:rPr>
        <mc:AlternateContent>
          <mc:Choice Requires="wps">
            <w:drawing>
              <wp:anchor distT="0" distB="0" distL="0" distR="0" simplePos="0" relativeHeight="487845376" behindDoc="1" locked="0" layoutInCell="1" allowOverlap="1" wp14:anchorId="7D33F8D0" wp14:editId="50547F89">
                <wp:simplePos x="0" y="0"/>
                <wp:positionH relativeFrom="page">
                  <wp:posOffset>899160</wp:posOffset>
                </wp:positionH>
                <wp:positionV relativeFrom="paragraph">
                  <wp:posOffset>228600</wp:posOffset>
                </wp:positionV>
                <wp:extent cx="1828800" cy="8890"/>
                <wp:effectExtent l="0" t="0" r="0" b="0"/>
                <wp:wrapTopAndBottom/>
                <wp:docPr id="336" name="docshape5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916983" id="docshape554" o:spid="_x0000_s1026" alt="&quot;&quot;" style="position:absolute;margin-left:70.8pt;margin-top:18pt;width:2in;height:.7pt;z-index:-1547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" fillcolor="black" stroked="f">
                <w10:wrap type="topAndBottom" anchorx="page"/>
              </v:rect>
            </w:pict>
          </mc:Fallback>
        </mc:AlternateContent>
      </w:r>
    </w:p>
    <w:p w14:paraId="09428D92" w14:textId="77777777" w:rsidR="00BD462C" w:rsidRDefault="00033D0F">
      <w:pPr>
        <w:spacing w:before="112"/>
        <w:ind w:left="135"/>
        <w:rPr>
          <w:sz w:val="18"/>
        </w:rPr>
      </w:pPr>
      <w:bookmarkStart w:id="1596" w:name="_bookmark1374"/>
      <w:bookmarkEnd w:id="1596"/>
      <w:r>
        <w:rPr>
          <w:position w:val="5"/>
          <w:sz w:val="12"/>
        </w:rPr>
        <w:t>1186</w:t>
      </w:r>
      <w:r>
        <w:rPr>
          <w:spacing w:val="12"/>
          <w:position w:val="5"/>
          <w:sz w:val="12"/>
        </w:rPr>
        <w:t xml:space="preserve"> </w:t>
      </w:r>
      <w:r>
        <w:rPr>
          <w:sz w:val="18"/>
        </w:rPr>
        <w:t>Australia's</w:t>
      </w:r>
      <w:r>
        <w:rPr>
          <w:spacing w:val="-6"/>
          <w:sz w:val="18"/>
        </w:rPr>
        <w:t xml:space="preserve"> </w:t>
      </w:r>
      <w:r>
        <w:rPr>
          <w:sz w:val="18"/>
        </w:rPr>
        <w:t>first</w:t>
      </w:r>
      <w:r>
        <w:rPr>
          <w:spacing w:val="-5"/>
          <w:sz w:val="18"/>
        </w:rPr>
        <w:t xml:space="preserve"> </w:t>
      </w:r>
      <w:r>
        <w:rPr>
          <w:sz w:val="18"/>
        </w:rPr>
        <w:t>written</w:t>
      </w:r>
      <w:r>
        <w:rPr>
          <w:spacing w:val="-2"/>
          <w:sz w:val="18"/>
        </w:rPr>
        <w:t xml:space="preserve"> </w:t>
      </w:r>
      <w:r>
        <w:rPr>
          <w:sz w:val="18"/>
        </w:rPr>
        <w:t>submission, para.</w:t>
      </w:r>
      <w:r>
        <w:rPr>
          <w:spacing w:val="-5"/>
          <w:sz w:val="18"/>
        </w:rPr>
        <w:t xml:space="preserve"> </w:t>
      </w:r>
      <w:r>
        <w:rPr>
          <w:spacing w:val="-4"/>
          <w:sz w:val="18"/>
        </w:rPr>
        <w:t>920.</w:t>
      </w:r>
    </w:p>
    <w:p w14:paraId="593DD681" w14:textId="77777777" w:rsidR="00BD462C" w:rsidRDefault="00033D0F">
      <w:pPr>
        <w:spacing w:before="1"/>
        <w:ind w:left="135"/>
        <w:rPr>
          <w:sz w:val="18"/>
        </w:rPr>
      </w:pPr>
      <w:bookmarkStart w:id="1597" w:name="_bookmark1375"/>
      <w:bookmarkEnd w:id="1597"/>
      <w:r>
        <w:rPr>
          <w:position w:val="5"/>
          <w:sz w:val="12"/>
        </w:rPr>
        <w:t>1187</w:t>
      </w:r>
      <w:r>
        <w:rPr>
          <w:spacing w:val="16"/>
          <w:position w:val="5"/>
          <w:sz w:val="12"/>
        </w:rPr>
        <w:t xml:space="preserve"> </w:t>
      </w:r>
      <w:r>
        <w:rPr>
          <w:sz w:val="18"/>
        </w:rPr>
        <w:t>See</w:t>
      </w:r>
      <w:r>
        <w:rPr>
          <w:spacing w:val="-2"/>
          <w:sz w:val="18"/>
        </w:rPr>
        <w:t xml:space="preserve"> </w:t>
      </w:r>
      <w:r>
        <w:rPr>
          <w:sz w:val="18"/>
        </w:rPr>
        <w:t>above, para.</w:t>
      </w:r>
      <w:r>
        <w:rPr>
          <w:spacing w:val="-1"/>
          <w:sz w:val="18"/>
        </w:rPr>
        <w:t xml:space="preserve"> </w:t>
      </w:r>
      <w:r>
        <w:rPr>
          <w:spacing w:val="-4"/>
          <w:sz w:val="18"/>
        </w:rPr>
        <w:t>771.</w:t>
      </w:r>
    </w:p>
    <w:p w14:paraId="345B031B" w14:textId="77777777" w:rsidR="00BD462C" w:rsidRDefault="00033D0F">
      <w:pPr>
        <w:spacing w:before="1"/>
        <w:ind w:left="135"/>
        <w:rPr>
          <w:sz w:val="18"/>
        </w:rPr>
      </w:pPr>
      <w:bookmarkStart w:id="1598" w:name="_bookmark1376"/>
      <w:bookmarkEnd w:id="1598"/>
      <w:r>
        <w:rPr>
          <w:position w:val="5"/>
          <w:sz w:val="12"/>
        </w:rPr>
        <w:t>1188</w:t>
      </w:r>
      <w:r>
        <w:rPr>
          <w:spacing w:val="13"/>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 xml:space="preserve">para. </w:t>
      </w:r>
      <w:r>
        <w:rPr>
          <w:spacing w:val="-2"/>
          <w:sz w:val="18"/>
        </w:rPr>
        <w:t>2393.</w:t>
      </w:r>
    </w:p>
    <w:p w14:paraId="22930065" w14:textId="77777777" w:rsidR="00BD462C" w:rsidRDefault="00033D0F">
      <w:pPr>
        <w:spacing w:before="1"/>
        <w:ind w:left="135"/>
        <w:rPr>
          <w:sz w:val="18"/>
        </w:rPr>
      </w:pPr>
      <w:bookmarkStart w:id="1599" w:name="_bookmark1377"/>
      <w:bookmarkEnd w:id="1599"/>
      <w:r>
        <w:rPr>
          <w:position w:val="5"/>
          <w:sz w:val="12"/>
        </w:rPr>
        <w:t>1189</w:t>
      </w:r>
      <w:r>
        <w:rPr>
          <w:spacing w:val="13"/>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 xml:space="preserve">para. </w:t>
      </w:r>
      <w:r>
        <w:rPr>
          <w:spacing w:val="-2"/>
          <w:sz w:val="18"/>
        </w:rPr>
        <w:t>2393.</w:t>
      </w:r>
    </w:p>
    <w:p w14:paraId="7C82F782" w14:textId="77777777" w:rsidR="00BD462C" w:rsidRDefault="00BD462C">
      <w:pPr>
        <w:rPr>
          <w:sz w:val="18"/>
        </w:rPr>
        <w:sectPr w:rsidR="00BD462C">
          <w:pgSz w:w="11910" w:h="16840"/>
          <w:pgMar w:top="860" w:right="500" w:bottom="780" w:left="1280" w:header="566" w:footer="590" w:gutter="0"/>
          <w:cols w:space="720"/>
        </w:sectPr>
      </w:pPr>
    </w:p>
    <w:p w14:paraId="475E27BE" w14:textId="77777777" w:rsidR="00BD462C" w:rsidRDefault="00033D0F">
      <w:pPr>
        <w:tabs>
          <w:tab w:val="left" w:pos="6087"/>
        </w:tabs>
        <w:spacing w:before="1"/>
        <w:ind w:left="135"/>
        <w:jc w:val="both"/>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0227850F" w14:textId="77777777" w:rsidR="00BD462C" w:rsidRDefault="00033D0F">
      <w:pPr>
        <w:spacing w:before="1"/>
        <w:ind w:left="135"/>
        <w:jc w:val="both"/>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41284C8B" w14:textId="77777777" w:rsidR="00BD462C" w:rsidRDefault="00033D0F">
      <w:pPr>
        <w:tabs>
          <w:tab w:val="left" w:pos="7652"/>
        </w:tabs>
        <w:ind w:left="135"/>
        <w:jc w:val="both"/>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420D3DE6" w14:textId="77777777" w:rsidR="00BD462C" w:rsidRDefault="00033D0F">
      <w:pPr>
        <w:pStyle w:val="BodyText"/>
        <w:spacing w:before="102" w:line="360" w:lineRule="auto"/>
        <w:ind w:left="135" w:right="913"/>
        <w:jc w:val="both"/>
      </w:pPr>
      <w:r>
        <w:t>questionnaires</w:t>
      </w:r>
      <w:r>
        <w:rPr>
          <w:spacing w:val="-2"/>
        </w:rPr>
        <w:t xml:space="preserve"> </w:t>
      </w:r>
      <w:r>
        <w:t>only</w:t>
      </w:r>
      <w:r>
        <w:rPr>
          <w:spacing w:val="-2"/>
        </w:rPr>
        <w:t xml:space="preserve"> </w:t>
      </w:r>
      <w:r>
        <w:t>as</w:t>
      </w:r>
      <w:r>
        <w:rPr>
          <w:spacing w:val="-2"/>
        </w:rPr>
        <w:t xml:space="preserve"> </w:t>
      </w:r>
      <w:r>
        <w:t>a</w:t>
      </w:r>
      <w:r>
        <w:rPr>
          <w:spacing w:val="-4"/>
        </w:rPr>
        <w:t xml:space="preserve"> </w:t>
      </w:r>
      <w:r>
        <w:t>mechanism</w:t>
      </w:r>
      <w:r>
        <w:rPr>
          <w:spacing w:val="-4"/>
        </w:rPr>
        <w:t xml:space="preserve"> </w:t>
      </w:r>
      <w:r>
        <w:t>for</w:t>
      </w:r>
      <w:r>
        <w:rPr>
          <w:spacing w:val="-6"/>
        </w:rPr>
        <w:t xml:space="preserve"> </w:t>
      </w:r>
      <w:r>
        <w:t>explanations</w:t>
      </w:r>
      <w:r>
        <w:rPr>
          <w:spacing w:val="-2"/>
        </w:rPr>
        <w:t xml:space="preserve"> </w:t>
      </w:r>
      <w:r>
        <w:t>to</w:t>
      </w:r>
      <w:r>
        <w:rPr>
          <w:spacing w:val="-6"/>
        </w:rPr>
        <w:t xml:space="preserve"> </w:t>
      </w:r>
      <w:r>
        <w:t>be</w:t>
      </w:r>
      <w:r>
        <w:rPr>
          <w:spacing w:val="-4"/>
        </w:rPr>
        <w:t xml:space="preserve"> </w:t>
      </w:r>
      <w:r>
        <w:t>offered</w:t>
      </w:r>
      <w:r>
        <w:rPr>
          <w:spacing w:val="-5"/>
        </w:rPr>
        <w:t xml:space="preserve"> </w:t>
      </w:r>
      <w:r>
        <w:t>in</w:t>
      </w:r>
      <w:r>
        <w:rPr>
          <w:spacing w:val="-5"/>
        </w:rPr>
        <w:t xml:space="preserve"> </w:t>
      </w:r>
      <w:r>
        <w:t>response</w:t>
      </w:r>
      <w:r>
        <w:rPr>
          <w:spacing w:val="-3"/>
        </w:rPr>
        <w:t xml:space="preserve"> </w:t>
      </w:r>
      <w:r>
        <w:t>to</w:t>
      </w:r>
      <w:r>
        <w:rPr>
          <w:spacing w:val="-6"/>
        </w:rPr>
        <w:t xml:space="preserve"> </w:t>
      </w:r>
      <w:r>
        <w:t>the</w:t>
      </w:r>
      <w:r>
        <w:rPr>
          <w:spacing w:val="-4"/>
        </w:rPr>
        <w:t xml:space="preserve"> </w:t>
      </w:r>
      <w:r>
        <w:t xml:space="preserve">specific questions posed in them. An opportunity to offer </w:t>
      </w:r>
      <w:r>
        <w:rPr>
          <w:i/>
        </w:rPr>
        <w:t xml:space="preserve">only </w:t>
      </w:r>
      <w:r>
        <w:t>clarificatory responses to specific questions does not afford a comparable procedural right to an extension of time that would have permitted interested parties to submit detailed responses and supporting data in response to the original questionnaire.</w:t>
      </w:r>
    </w:p>
    <w:p w14:paraId="110C8363" w14:textId="77777777" w:rsidR="00BD462C" w:rsidRDefault="00BD462C">
      <w:pPr>
        <w:pStyle w:val="BodyText"/>
        <w:spacing w:before="11"/>
        <w:rPr>
          <w:sz w:val="8"/>
        </w:rPr>
      </w:pPr>
    </w:p>
    <w:p w14:paraId="281936D9" w14:textId="6566ADBA" w:rsidR="00BD462C" w:rsidRDefault="002804B4">
      <w:pPr>
        <w:pStyle w:val="BodyText"/>
        <w:spacing w:before="56"/>
        <w:ind w:left="135"/>
      </w:pPr>
      <w:r>
        <w:rPr>
          <w:noProof/>
        </w:rPr>
        <w:t>794.</w:t>
      </w:r>
      <w:r w:rsidR="00033D0F">
        <w:rPr>
          <w:rFonts w:ascii="Times New Roman"/>
          <w:spacing w:val="80"/>
          <w:position w:val="1"/>
          <w:sz w:val="20"/>
        </w:rPr>
        <w:t xml:space="preserve"> </w:t>
      </w:r>
      <w:r w:rsidR="00033D0F">
        <w:rPr>
          <w:position w:val="1"/>
        </w:rPr>
        <w:t>Prominent examples of such action by MOFCOM include:</w:t>
      </w:r>
    </w:p>
    <w:p w14:paraId="6A59DA0D" w14:textId="77777777" w:rsidR="00BD462C" w:rsidRDefault="00BD462C">
      <w:pPr>
        <w:pStyle w:val="BodyText"/>
        <w:spacing w:before="6"/>
      </w:pPr>
    </w:p>
    <w:p w14:paraId="140F1FE8" w14:textId="3815E70F" w:rsidR="00BD462C" w:rsidRDefault="00D70C7D">
      <w:pPr>
        <w:pStyle w:val="ListParagraph"/>
        <w:numPr>
          <w:ilvl w:val="0"/>
          <w:numId w:val="22"/>
        </w:numPr>
        <w:tabs>
          <w:tab w:val="left" w:pos="1835"/>
          <w:tab w:val="left" w:pos="1836"/>
        </w:tabs>
        <w:spacing w:before="0" w:line="357" w:lineRule="auto"/>
        <w:ind w:right="922" w:hanging="855"/>
        <w:rPr>
          <w:sz w:val="24"/>
        </w:rPr>
      </w:pPr>
      <w:r>
        <w:rPr>
          <w:noProof/>
        </w:rPr>
        <mc:AlternateContent>
          <mc:Choice Requires="wps">
            <w:drawing>
              <wp:anchor distT="0" distB="0" distL="114300" distR="114300" simplePos="0" relativeHeight="15987200" behindDoc="0" locked="0" layoutInCell="1" allowOverlap="1" wp14:anchorId="48AE08DA" wp14:editId="35EAE8B8">
                <wp:simplePos x="0" y="0"/>
                <wp:positionH relativeFrom="page">
                  <wp:posOffset>4980305</wp:posOffset>
                </wp:positionH>
                <wp:positionV relativeFrom="paragraph">
                  <wp:posOffset>287020</wp:posOffset>
                </wp:positionV>
                <wp:extent cx="1679575" cy="186055"/>
                <wp:effectExtent l="0" t="0" r="0" b="0"/>
                <wp:wrapNone/>
                <wp:docPr id="334" name="docshape5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957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82B95B" id="docshape555" o:spid="_x0000_s1026" alt="&quot;&quot;" style="position:absolute;margin-left:392.15pt;margin-top:22.6pt;width:132.25pt;height:14.65pt;z-index:1598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" fillcolor="black" stroked="f">
                <w10:wrap anchorx="page"/>
              </v:rect>
            </w:pict>
          </mc:Fallback>
        </mc:AlternateContent>
      </w:r>
      <w:r w:rsidR="00033D0F">
        <w:rPr>
          <w:sz w:val="24"/>
        </w:rPr>
        <w:t>resorting to facts available in respect of the production costs and expenses for Treasury Wines, because complete data for</w:t>
      </w:r>
    </w:p>
    <w:p w14:paraId="2347D270" w14:textId="6F580425" w:rsidR="00BD462C" w:rsidRDefault="00D70C7D">
      <w:pPr>
        <w:spacing w:before="5"/>
        <w:ind w:right="969"/>
        <w:jc w:val="right"/>
        <w:rPr>
          <w:sz w:val="24"/>
        </w:rPr>
      </w:pPr>
      <w:r>
        <w:rPr>
          <w:noProof/>
        </w:rPr>
        <mc:AlternateContent>
          <mc:Choice Requires="wps">
            <w:drawing>
              <wp:anchor distT="0" distB="0" distL="114300" distR="114300" simplePos="0" relativeHeight="15987712" behindDoc="0" locked="0" layoutInCell="1" allowOverlap="1" wp14:anchorId="57966AEF" wp14:editId="16450421">
                <wp:simplePos x="0" y="0"/>
                <wp:positionH relativeFrom="page">
                  <wp:posOffset>1981200</wp:posOffset>
                </wp:positionH>
                <wp:positionV relativeFrom="paragraph">
                  <wp:posOffset>3810</wp:posOffset>
                </wp:positionV>
                <wp:extent cx="4602480" cy="186055"/>
                <wp:effectExtent l="0" t="0" r="0" b="0"/>
                <wp:wrapNone/>
                <wp:docPr id="332" name="docshape5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248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5AABD9" id="docshape556" o:spid="_x0000_s1026" alt="&quot;&quot;" style="position:absolute;margin-left:156pt;margin-top:.3pt;width:362.4pt;height:14.65pt;z-index:15987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" fillcolor="black" stroked="f">
                <w10:wrap anchorx="page"/>
              </v:rect>
            </w:pict>
          </mc:Fallback>
        </mc:AlternateContent>
      </w:r>
      <w:r w:rsidR="00033D0F">
        <w:rPr>
          <w:sz w:val="24"/>
        </w:rPr>
        <w:t>;</w:t>
      </w:r>
    </w:p>
    <w:p w14:paraId="1560CD49" w14:textId="77777777" w:rsidR="00BD462C" w:rsidRDefault="00033D0F">
      <w:pPr>
        <w:pStyle w:val="BodyText"/>
        <w:spacing w:before="149"/>
        <w:ind w:left="1840"/>
      </w:pPr>
      <w:r>
        <w:rPr>
          <w:spacing w:val="-5"/>
        </w:rPr>
        <w:t>and</w:t>
      </w:r>
    </w:p>
    <w:p w14:paraId="3DB01EA5" w14:textId="77777777" w:rsidR="00BD462C" w:rsidRDefault="00BD462C">
      <w:pPr>
        <w:pStyle w:val="BodyText"/>
        <w:spacing w:before="1"/>
        <w:rPr>
          <w:sz w:val="13"/>
        </w:rPr>
      </w:pPr>
    </w:p>
    <w:p w14:paraId="28947177" w14:textId="77777777" w:rsidR="00BD462C" w:rsidRDefault="00033D0F">
      <w:pPr>
        <w:pStyle w:val="ListParagraph"/>
        <w:numPr>
          <w:ilvl w:val="0"/>
          <w:numId w:val="22"/>
        </w:numPr>
        <w:tabs>
          <w:tab w:val="left" w:pos="1835"/>
          <w:tab w:val="left" w:pos="1836"/>
        </w:tabs>
        <w:spacing w:before="101" w:line="360" w:lineRule="auto"/>
        <w:ind w:right="917" w:hanging="855"/>
        <w:jc w:val="both"/>
        <w:rPr>
          <w:sz w:val="24"/>
        </w:rPr>
      </w:pPr>
      <w:r>
        <w:rPr>
          <w:sz w:val="24"/>
        </w:rPr>
        <w:t>resorting</w:t>
      </w:r>
      <w:r>
        <w:rPr>
          <w:spacing w:val="-5"/>
          <w:sz w:val="24"/>
        </w:rPr>
        <w:t xml:space="preserve"> </w:t>
      </w:r>
      <w:r>
        <w:rPr>
          <w:sz w:val="24"/>
        </w:rPr>
        <w:t>to</w:t>
      </w:r>
      <w:r>
        <w:rPr>
          <w:spacing w:val="-8"/>
          <w:sz w:val="24"/>
        </w:rPr>
        <w:t xml:space="preserve"> </w:t>
      </w:r>
      <w:r>
        <w:rPr>
          <w:sz w:val="24"/>
        </w:rPr>
        <w:t>facts</w:t>
      </w:r>
      <w:r>
        <w:rPr>
          <w:spacing w:val="-5"/>
          <w:sz w:val="24"/>
        </w:rPr>
        <w:t xml:space="preserve"> </w:t>
      </w:r>
      <w:r>
        <w:rPr>
          <w:sz w:val="24"/>
        </w:rPr>
        <w:t>available</w:t>
      </w:r>
      <w:r>
        <w:rPr>
          <w:spacing w:val="-6"/>
          <w:sz w:val="24"/>
        </w:rPr>
        <w:t xml:space="preserve"> </w:t>
      </w:r>
      <w:r>
        <w:rPr>
          <w:sz w:val="24"/>
        </w:rPr>
        <w:t>in</w:t>
      </w:r>
      <w:r>
        <w:rPr>
          <w:spacing w:val="-8"/>
          <w:sz w:val="24"/>
        </w:rPr>
        <w:t xml:space="preserve"> </w:t>
      </w:r>
      <w:r>
        <w:rPr>
          <w:sz w:val="24"/>
        </w:rPr>
        <w:t>respect</w:t>
      </w:r>
      <w:r>
        <w:rPr>
          <w:spacing w:val="-6"/>
          <w:sz w:val="24"/>
        </w:rPr>
        <w:t xml:space="preserve"> </w:t>
      </w:r>
      <w:r>
        <w:rPr>
          <w:sz w:val="24"/>
        </w:rPr>
        <w:t>of</w:t>
      </w:r>
      <w:r>
        <w:rPr>
          <w:spacing w:val="-8"/>
          <w:sz w:val="24"/>
        </w:rPr>
        <w:t xml:space="preserve"> </w:t>
      </w:r>
      <w:r>
        <w:rPr>
          <w:sz w:val="24"/>
        </w:rPr>
        <w:t>the</w:t>
      </w:r>
      <w:r>
        <w:rPr>
          <w:spacing w:val="-6"/>
          <w:sz w:val="24"/>
        </w:rPr>
        <w:t xml:space="preserve"> </w:t>
      </w:r>
      <w:r>
        <w:rPr>
          <w:sz w:val="24"/>
        </w:rPr>
        <w:t>Casella</w:t>
      </w:r>
      <w:r>
        <w:rPr>
          <w:spacing w:val="-7"/>
          <w:sz w:val="24"/>
        </w:rPr>
        <w:t xml:space="preserve"> </w:t>
      </w:r>
      <w:r>
        <w:rPr>
          <w:sz w:val="24"/>
        </w:rPr>
        <w:t>Wines</w:t>
      </w:r>
      <w:r>
        <w:rPr>
          <w:spacing w:val="-5"/>
          <w:sz w:val="24"/>
        </w:rPr>
        <w:t xml:space="preserve"> </w:t>
      </w:r>
      <w:r>
        <w:rPr>
          <w:sz w:val="24"/>
        </w:rPr>
        <w:t>because</w:t>
      </w:r>
      <w:r>
        <w:rPr>
          <w:spacing w:val="-6"/>
          <w:sz w:val="24"/>
        </w:rPr>
        <w:t xml:space="preserve"> </w:t>
      </w:r>
      <w:r>
        <w:rPr>
          <w:sz w:val="24"/>
        </w:rPr>
        <w:t>it</w:t>
      </w:r>
      <w:r>
        <w:rPr>
          <w:spacing w:val="-6"/>
          <w:sz w:val="24"/>
        </w:rPr>
        <w:t xml:space="preserve"> </w:t>
      </w:r>
      <w:r>
        <w:rPr>
          <w:sz w:val="24"/>
        </w:rPr>
        <w:t>did</w:t>
      </w:r>
      <w:r>
        <w:rPr>
          <w:spacing w:val="-8"/>
          <w:sz w:val="24"/>
        </w:rPr>
        <w:t xml:space="preserve"> </w:t>
      </w:r>
      <w:r>
        <w:rPr>
          <w:sz w:val="24"/>
        </w:rPr>
        <w:t xml:space="preserve">not provide complete domestic sales data and cost data until after the original </w:t>
      </w:r>
      <w:r>
        <w:rPr>
          <w:spacing w:val="-2"/>
          <w:sz w:val="24"/>
        </w:rPr>
        <w:t>deadline.</w:t>
      </w:r>
    </w:p>
    <w:p w14:paraId="61D1ADAE" w14:textId="77777777" w:rsidR="00BD462C" w:rsidRDefault="00033D0F">
      <w:pPr>
        <w:pStyle w:val="Heading3"/>
        <w:numPr>
          <w:ilvl w:val="0"/>
          <w:numId w:val="25"/>
        </w:numPr>
        <w:tabs>
          <w:tab w:val="left" w:pos="2545"/>
          <w:tab w:val="left" w:pos="2546"/>
        </w:tabs>
        <w:spacing w:before="125" w:line="357" w:lineRule="auto"/>
        <w:ind w:left="2545" w:right="920" w:hanging="850"/>
        <w:jc w:val="both"/>
      </w:pPr>
      <w:bookmarkStart w:id="1600" w:name="5._MOFCOM's_treatment_of_Casella_Wines_d"/>
      <w:bookmarkStart w:id="1601" w:name="_bookmark1378"/>
      <w:bookmarkEnd w:id="1600"/>
      <w:bookmarkEnd w:id="1601"/>
      <w:r>
        <w:t xml:space="preserve">MOFCOM's treatment of Casella Wines denied it a full </w:t>
      </w:r>
      <w:proofErr w:type="spellStart"/>
      <w:r>
        <w:t>defence</w:t>
      </w:r>
      <w:proofErr w:type="spellEnd"/>
      <w:r>
        <w:t xml:space="preserve"> of its interests</w:t>
      </w:r>
    </w:p>
    <w:p w14:paraId="4400E90B" w14:textId="77777777" w:rsidR="00BD462C" w:rsidRDefault="00BD462C">
      <w:pPr>
        <w:pStyle w:val="BodyText"/>
        <w:spacing w:before="3"/>
        <w:rPr>
          <w:b/>
          <w:sz w:val="9"/>
        </w:rPr>
      </w:pPr>
    </w:p>
    <w:p w14:paraId="71F915FF" w14:textId="1E2BB561" w:rsidR="00BD462C" w:rsidRDefault="002804B4">
      <w:pPr>
        <w:pStyle w:val="BodyText"/>
        <w:spacing w:before="56" w:line="360" w:lineRule="auto"/>
        <w:ind w:left="135" w:right="915"/>
        <w:jc w:val="both"/>
      </w:pPr>
      <w:r>
        <w:rPr>
          <w:noProof/>
        </w:rPr>
        <w:t>795.</w:t>
      </w:r>
      <w:r w:rsidR="00033D0F">
        <w:rPr>
          <w:rFonts w:ascii="Times New Roman"/>
          <w:spacing w:val="80"/>
          <w:position w:val="1"/>
          <w:sz w:val="20"/>
        </w:rPr>
        <w:t xml:space="preserve"> </w:t>
      </w:r>
      <w:r w:rsidR="00033D0F">
        <w:rPr>
          <w:position w:val="1"/>
        </w:rPr>
        <w:t xml:space="preserve">MOFCOM's refusal to consider the detailed evidence submitted by Casella Wines in </w:t>
      </w:r>
      <w:r w:rsidR="00033D0F">
        <w:t xml:space="preserve">respect of the domestic sales and cost data by reason of its format, without prior communication of its intention to do so, denied Casella Wines a full opportunity for </w:t>
      </w:r>
      <w:proofErr w:type="spellStart"/>
      <w:r w:rsidR="00033D0F">
        <w:t>defence</w:t>
      </w:r>
      <w:proofErr w:type="spellEnd"/>
      <w:r w:rsidR="00033D0F">
        <w:t xml:space="preserve"> of its interests.</w:t>
      </w:r>
      <w:hyperlink w:anchor="_bookmark1379" w:history="1">
        <w:r w:rsidR="00033D0F">
          <w:rPr>
            <w:vertAlign w:val="superscript"/>
          </w:rPr>
          <w:t>1190</w:t>
        </w:r>
      </w:hyperlink>
      <w:r w:rsidR="00033D0F">
        <w:t xml:space="preserve"> China's submissions in response reiterate, rather than explain, the errors that were made by MOFCOM.</w:t>
      </w:r>
    </w:p>
    <w:p w14:paraId="7BCDD104" w14:textId="77777777" w:rsidR="00BD462C" w:rsidRDefault="00BD462C">
      <w:pPr>
        <w:pStyle w:val="BodyText"/>
        <w:spacing w:before="6"/>
        <w:rPr>
          <w:sz w:val="8"/>
        </w:rPr>
      </w:pPr>
    </w:p>
    <w:p w14:paraId="21D8908C" w14:textId="4CD4A00A" w:rsidR="00BD462C" w:rsidRDefault="002804B4">
      <w:pPr>
        <w:pStyle w:val="BodyText"/>
        <w:spacing w:before="56" w:line="360" w:lineRule="auto"/>
        <w:ind w:left="135" w:right="912"/>
        <w:jc w:val="both"/>
      </w:pPr>
      <w:r>
        <w:rPr>
          <w:noProof/>
        </w:rPr>
        <w:t>796.</w:t>
      </w:r>
      <w:r w:rsidR="00033D0F">
        <w:rPr>
          <w:rFonts w:ascii="Times New Roman" w:hAnsi="Times New Roman"/>
          <w:spacing w:val="80"/>
          <w:position w:val="1"/>
          <w:sz w:val="20"/>
        </w:rPr>
        <w:t xml:space="preserve"> </w:t>
      </w:r>
      <w:r w:rsidR="00033D0F">
        <w:rPr>
          <w:position w:val="1"/>
        </w:rPr>
        <w:t>China, like MOFCOM, complains that Casella Wines did not give any explanation</w:t>
      </w:r>
      <w:r w:rsidR="00033D0F">
        <w:rPr>
          <w:spacing w:val="40"/>
          <w:position w:val="1"/>
        </w:rPr>
        <w:t xml:space="preserve"> </w:t>
      </w:r>
      <w:r w:rsidR="00033D0F">
        <w:t>about</w:t>
      </w:r>
      <w:r w:rsidR="00033D0F">
        <w:rPr>
          <w:spacing w:val="-1"/>
        </w:rPr>
        <w:t xml:space="preserve"> </w:t>
      </w:r>
      <w:r w:rsidR="00033D0F">
        <w:t>the deficiencies in</w:t>
      </w:r>
      <w:r w:rsidR="00033D0F">
        <w:rPr>
          <w:spacing w:val="-3"/>
        </w:rPr>
        <w:t xml:space="preserve"> </w:t>
      </w:r>
      <w:r w:rsidR="00033D0F">
        <w:t>its original submission</w:t>
      </w:r>
      <w:r w:rsidR="00033D0F">
        <w:rPr>
          <w:spacing w:val="-3"/>
        </w:rPr>
        <w:t xml:space="preserve"> </w:t>
      </w:r>
      <w:r w:rsidR="00033D0F">
        <w:t>until after</w:t>
      </w:r>
      <w:r w:rsidR="00033D0F">
        <w:rPr>
          <w:spacing w:val="-4"/>
        </w:rPr>
        <w:t xml:space="preserve"> </w:t>
      </w:r>
      <w:r w:rsidR="00033D0F">
        <w:t>the</w:t>
      </w:r>
      <w:r w:rsidR="00033D0F">
        <w:rPr>
          <w:spacing w:val="-2"/>
        </w:rPr>
        <w:t xml:space="preserve"> </w:t>
      </w:r>
      <w:r w:rsidR="00033D0F">
        <w:t>Preliminary Determination.</w:t>
      </w:r>
      <w:hyperlink w:anchor="_bookmark1380" w:history="1">
        <w:r w:rsidR="00033D0F">
          <w:rPr>
            <w:vertAlign w:val="superscript"/>
          </w:rPr>
          <w:t>1191</w:t>
        </w:r>
      </w:hyperlink>
      <w:r w:rsidR="00033D0F">
        <w:t xml:space="preserve"> Given</w:t>
      </w:r>
      <w:r w:rsidR="00033D0F">
        <w:rPr>
          <w:spacing w:val="-4"/>
        </w:rPr>
        <w:t xml:space="preserve"> </w:t>
      </w:r>
      <w:r w:rsidR="00033D0F">
        <w:t>that</w:t>
      </w:r>
      <w:r w:rsidR="00033D0F">
        <w:rPr>
          <w:spacing w:val="-2"/>
        </w:rPr>
        <w:t xml:space="preserve"> </w:t>
      </w:r>
      <w:r w:rsidR="00033D0F">
        <w:t>Casella</w:t>
      </w:r>
      <w:r w:rsidR="00033D0F">
        <w:rPr>
          <w:spacing w:val="-7"/>
        </w:rPr>
        <w:t xml:space="preserve"> </w:t>
      </w:r>
      <w:r w:rsidR="00033D0F">
        <w:t>Wines</w:t>
      </w:r>
      <w:r w:rsidR="00033D0F">
        <w:rPr>
          <w:spacing w:val="-1"/>
        </w:rPr>
        <w:t xml:space="preserve"> </w:t>
      </w:r>
      <w:r w:rsidR="00033D0F">
        <w:t>did</w:t>
      </w:r>
      <w:r w:rsidR="00033D0F">
        <w:rPr>
          <w:spacing w:val="-4"/>
        </w:rPr>
        <w:t xml:space="preserve"> </w:t>
      </w:r>
      <w:r w:rsidR="00033D0F">
        <w:t>not</w:t>
      </w:r>
      <w:r w:rsidR="00033D0F">
        <w:rPr>
          <w:spacing w:val="-2"/>
        </w:rPr>
        <w:t xml:space="preserve"> </w:t>
      </w:r>
      <w:r w:rsidR="00033D0F">
        <w:t>become</w:t>
      </w:r>
      <w:r w:rsidR="00033D0F">
        <w:rPr>
          <w:spacing w:val="-2"/>
        </w:rPr>
        <w:t xml:space="preserve"> </w:t>
      </w:r>
      <w:r w:rsidR="00033D0F">
        <w:t>aware</w:t>
      </w:r>
      <w:r w:rsidR="00033D0F">
        <w:rPr>
          <w:spacing w:val="-2"/>
        </w:rPr>
        <w:t xml:space="preserve"> </w:t>
      </w:r>
      <w:r w:rsidR="00033D0F">
        <w:t>of any</w:t>
      </w:r>
      <w:r w:rsidR="00033D0F">
        <w:rPr>
          <w:spacing w:val="-1"/>
        </w:rPr>
        <w:t xml:space="preserve"> </w:t>
      </w:r>
      <w:r w:rsidR="00033D0F">
        <w:t>deficiencies</w:t>
      </w:r>
      <w:r w:rsidR="00033D0F">
        <w:rPr>
          <w:spacing w:val="-1"/>
        </w:rPr>
        <w:t xml:space="preserve"> </w:t>
      </w:r>
      <w:r w:rsidR="00033D0F">
        <w:t>–</w:t>
      </w:r>
      <w:r w:rsidR="00033D0F">
        <w:rPr>
          <w:spacing w:val="-2"/>
        </w:rPr>
        <w:t xml:space="preserve"> </w:t>
      </w:r>
      <w:r w:rsidR="00033D0F">
        <w:t>which</w:t>
      </w:r>
      <w:r w:rsidR="00033D0F">
        <w:rPr>
          <w:spacing w:val="-4"/>
        </w:rPr>
        <w:t xml:space="preserve"> </w:t>
      </w:r>
      <w:r w:rsidR="00033D0F">
        <w:t>were</w:t>
      </w:r>
      <w:r w:rsidR="00033D0F">
        <w:rPr>
          <w:spacing w:val="-2"/>
        </w:rPr>
        <w:t xml:space="preserve"> </w:t>
      </w:r>
      <w:r w:rsidR="00033D0F">
        <w:t>a</w:t>
      </w:r>
      <w:r w:rsidR="00033D0F">
        <w:rPr>
          <w:spacing w:val="-3"/>
        </w:rPr>
        <w:t xml:space="preserve"> </w:t>
      </w:r>
      <w:r w:rsidR="00033D0F">
        <w:t>result</w:t>
      </w:r>
      <w:r w:rsidR="00033D0F">
        <w:rPr>
          <w:spacing w:val="-2"/>
        </w:rPr>
        <w:t xml:space="preserve"> </w:t>
      </w:r>
      <w:r w:rsidR="00033D0F">
        <w:t>of</w:t>
      </w:r>
      <w:r w:rsidR="00033D0F">
        <w:rPr>
          <w:spacing w:val="-4"/>
        </w:rPr>
        <w:t xml:space="preserve"> </w:t>
      </w:r>
      <w:r w:rsidR="00033D0F">
        <w:t>a limitation of the software mandated by MOFCOM – until the Preliminary Determination, it is unreasonable to have expected Casella Wines to raise them any earlier. Casella Wines wrote to</w:t>
      </w:r>
      <w:r w:rsidR="00033D0F">
        <w:rPr>
          <w:spacing w:val="-9"/>
        </w:rPr>
        <w:t xml:space="preserve"> </w:t>
      </w:r>
      <w:r w:rsidR="00033D0F">
        <w:t>MOFCOM</w:t>
      </w:r>
      <w:r w:rsidR="00033D0F">
        <w:rPr>
          <w:spacing w:val="-6"/>
        </w:rPr>
        <w:t xml:space="preserve"> </w:t>
      </w:r>
      <w:r w:rsidR="00033D0F">
        <w:t>and</w:t>
      </w:r>
      <w:r w:rsidR="00033D0F">
        <w:rPr>
          <w:spacing w:val="-3"/>
        </w:rPr>
        <w:t xml:space="preserve"> </w:t>
      </w:r>
      <w:r w:rsidR="00033D0F">
        <w:t>submitted</w:t>
      </w:r>
      <w:r w:rsidR="00033D0F">
        <w:rPr>
          <w:spacing w:val="-8"/>
        </w:rPr>
        <w:t xml:space="preserve"> </w:t>
      </w:r>
      <w:r w:rsidR="00033D0F">
        <w:t>a</w:t>
      </w:r>
      <w:r w:rsidR="00033D0F">
        <w:rPr>
          <w:spacing w:val="-2"/>
        </w:rPr>
        <w:t xml:space="preserve"> </w:t>
      </w:r>
      <w:r w:rsidR="00033D0F">
        <w:t>correct</w:t>
      </w:r>
      <w:r w:rsidR="00033D0F">
        <w:rPr>
          <w:spacing w:val="-1"/>
        </w:rPr>
        <w:t xml:space="preserve"> </w:t>
      </w:r>
      <w:r w:rsidR="00033D0F">
        <w:t>set</w:t>
      </w:r>
      <w:r w:rsidR="00033D0F">
        <w:rPr>
          <w:spacing w:val="-6"/>
        </w:rPr>
        <w:t xml:space="preserve"> </w:t>
      </w:r>
      <w:r w:rsidR="00033D0F">
        <w:t>of</w:t>
      </w:r>
      <w:r w:rsidR="00033D0F">
        <w:rPr>
          <w:spacing w:val="-3"/>
        </w:rPr>
        <w:t xml:space="preserve"> </w:t>
      </w:r>
      <w:r w:rsidR="00033D0F">
        <w:t>data</w:t>
      </w:r>
      <w:r w:rsidR="00033D0F">
        <w:rPr>
          <w:spacing w:val="-2"/>
        </w:rPr>
        <w:t xml:space="preserve"> </w:t>
      </w:r>
      <w:r w:rsidR="00033D0F">
        <w:t>in</w:t>
      </w:r>
      <w:r w:rsidR="00033D0F">
        <w:rPr>
          <w:spacing w:val="-8"/>
        </w:rPr>
        <w:t xml:space="preserve"> </w:t>
      </w:r>
      <w:r w:rsidR="00033D0F">
        <w:t>Excel,</w:t>
      </w:r>
      <w:r w:rsidR="00033D0F">
        <w:rPr>
          <w:spacing w:val="-4"/>
        </w:rPr>
        <w:t xml:space="preserve"> </w:t>
      </w:r>
      <w:r w:rsidR="00033D0F">
        <w:t>an</w:t>
      </w:r>
      <w:r w:rsidR="00033D0F">
        <w:rPr>
          <w:spacing w:val="-3"/>
        </w:rPr>
        <w:t xml:space="preserve"> </w:t>
      </w:r>
      <w:r w:rsidR="00033D0F">
        <w:t>alternative</w:t>
      </w:r>
      <w:r w:rsidR="00033D0F">
        <w:rPr>
          <w:spacing w:val="-6"/>
        </w:rPr>
        <w:t xml:space="preserve"> </w:t>
      </w:r>
      <w:r w:rsidR="00033D0F">
        <w:t>format,</w:t>
      </w:r>
      <w:r w:rsidR="00033D0F">
        <w:rPr>
          <w:spacing w:val="-4"/>
        </w:rPr>
        <w:t xml:space="preserve"> </w:t>
      </w:r>
      <w:r w:rsidR="00033D0F">
        <w:t>four</w:t>
      </w:r>
      <w:r w:rsidR="00033D0F">
        <w:rPr>
          <w:spacing w:val="-4"/>
        </w:rPr>
        <w:t xml:space="preserve"> </w:t>
      </w:r>
      <w:r w:rsidR="00033D0F">
        <w:t>business</w:t>
      </w:r>
    </w:p>
    <w:p w14:paraId="0C2E1BB6" w14:textId="77777777" w:rsidR="00BD462C" w:rsidRDefault="00BD462C">
      <w:pPr>
        <w:pStyle w:val="BodyText"/>
        <w:rPr>
          <w:sz w:val="20"/>
        </w:rPr>
      </w:pPr>
    </w:p>
    <w:p w14:paraId="5FE9C837" w14:textId="77777777" w:rsidR="00BD462C" w:rsidRDefault="00BD462C">
      <w:pPr>
        <w:pStyle w:val="BodyText"/>
        <w:rPr>
          <w:sz w:val="20"/>
        </w:rPr>
      </w:pPr>
    </w:p>
    <w:p w14:paraId="26B2E18A" w14:textId="0FF82B51" w:rsidR="00BD462C" w:rsidRDefault="00D70C7D">
      <w:pPr>
        <w:pStyle w:val="BodyText"/>
        <w:rPr>
          <w:sz w:val="25"/>
        </w:rPr>
      </w:pPr>
      <w:r>
        <w:rPr>
          <w:noProof/>
        </w:rPr>
        <mc:AlternateContent>
          <mc:Choice Requires="wps">
            <w:drawing>
              <wp:anchor distT="0" distB="0" distL="0" distR="0" simplePos="0" relativeHeight="487845888" behindDoc="1" locked="0" layoutInCell="1" allowOverlap="1" wp14:anchorId="65A03107" wp14:editId="3BD1DB8E">
                <wp:simplePos x="0" y="0"/>
                <wp:positionH relativeFrom="page">
                  <wp:posOffset>899160</wp:posOffset>
                </wp:positionH>
                <wp:positionV relativeFrom="paragraph">
                  <wp:posOffset>208915</wp:posOffset>
                </wp:positionV>
                <wp:extent cx="1828800" cy="8890"/>
                <wp:effectExtent l="0" t="0" r="0" b="0"/>
                <wp:wrapTopAndBottom/>
                <wp:docPr id="330" name="docshape5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892888" id="docshape557" o:spid="_x0000_s1026" alt="&quot;&quot;" style="position:absolute;margin-left:70.8pt;margin-top:16.45pt;width:2in;height:.7pt;z-index:-1547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" fillcolor="black" stroked="f">
                <w10:wrap type="topAndBottom" anchorx="page"/>
              </v:rect>
            </w:pict>
          </mc:Fallback>
        </mc:AlternateContent>
      </w:r>
    </w:p>
    <w:p w14:paraId="378332C4" w14:textId="77777777" w:rsidR="00BD462C" w:rsidRDefault="00033D0F">
      <w:pPr>
        <w:spacing w:before="112"/>
        <w:ind w:left="135"/>
        <w:rPr>
          <w:sz w:val="18"/>
        </w:rPr>
      </w:pPr>
      <w:bookmarkStart w:id="1602" w:name="_bookmark1379"/>
      <w:bookmarkEnd w:id="1602"/>
      <w:r>
        <w:rPr>
          <w:position w:val="5"/>
          <w:sz w:val="12"/>
        </w:rPr>
        <w:t>1190</w:t>
      </w:r>
      <w:r>
        <w:rPr>
          <w:spacing w:val="12"/>
          <w:position w:val="5"/>
          <w:sz w:val="12"/>
        </w:rPr>
        <w:t xml:space="preserve"> </w:t>
      </w:r>
      <w:r>
        <w:rPr>
          <w:sz w:val="18"/>
        </w:rPr>
        <w:t>Australia's</w:t>
      </w:r>
      <w:r>
        <w:rPr>
          <w:spacing w:val="-6"/>
          <w:sz w:val="18"/>
        </w:rPr>
        <w:t xml:space="preserve"> </w:t>
      </w:r>
      <w:r>
        <w:rPr>
          <w:sz w:val="18"/>
        </w:rPr>
        <w:t>first</w:t>
      </w:r>
      <w:r>
        <w:rPr>
          <w:spacing w:val="-5"/>
          <w:sz w:val="18"/>
        </w:rPr>
        <w:t xml:space="preserve"> </w:t>
      </w:r>
      <w:r>
        <w:rPr>
          <w:sz w:val="18"/>
        </w:rPr>
        <w:t>written</w:t>
      </w:r>
      <w:r>
        <w:rPr>
          <w:spacing w:val="-2"/>
          <w:sz w:val="18"/>
        </w:rPr>
        <w:t xml:space="preserve"> </w:t>
      </w:r>
      <w:r>
        <w:rPr>
          <w:sz w:val="18"/>
        </w:rPr>
        <w:t>submission, para.</w:t>
      </w:r>
      <w:r>
        <w:rPr>
          <w:spacing w:val="-5"/>
          <w:sz w:val="18"/>
        </w:rPr>
        <w:t xml:space="preserve"> </w:t>
      </w:r>
      <w:r>
        <w:rPr>
          <w:spacing w:val="-4"/>
          <w:sz w:val="18"/>
        </w:rPr>
        <w:t>924.</w:t>
      </w:r>
    </w:p>
    <w:p w14:paraId="3F3F558E" w14:textId="77777777" w:rsidR="00BD462C" w:rsidRDefault="00033D0F">
      <w:pPr>
        <w:spacing w:before="1"/>
        <w:ind w:left="135"/>
        <w:rPr>
          <w:sz w:val="18"/>
        </w:rPr>
      </w:pPr>
      <w:bookmarkStart w:id="1603" w:name="_bookmark1380"/>
      <w:bookmarkEnd w:id="1603"/>
      <w:r>
        <w:rPr>
          <w:position w:val="5"/>
          <w:sz w:val="12"/>
        </w:rPr>
        <w:t>1191</w:t>
      </w:r>
      <w:r>
        <w:rPr>
          <w:spacing w:val="13"/>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 xml:space="preserve">para. </w:t>
      </w:r>
      <w:r>
        <w:rPr>
          <w:spacing w:val="-2"/>
          <w:sz w:val="18"/>
        </w:rPr>
        <w:t>2404.</w:t>
      </w:r>
    </w:p>
    <w:p w14:paraId="7BC205F1" w14:textId="77777777" w:rsidR="00BD462C" w:rsidRDefault="00BD462C">
      <w:pPr>
        <w:rPr>
          <w:sz w:val="18"/>
        </w:rPr>
        <w:sectPr w:rsidR="00BD462C">
          <w:pgSz w:w="11910" w:h="16840"/>
          <w:pgMar w:top="860" w:right="500" w:bottom="780" w:left="1280" w:header="566" w:footer="590" w:gutter="0"/>
          <w:cols w:space="720"/>
        </w:sectPr>
      </w:pPr>
    </w:p>
    <w:p w14:paraId="5D6AFB31"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6C335E64"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09B90922"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1AA018EC" w14:textId="77777777" w:rsidR="00BD462C" w:rsidRDefault="00033D0F">
      <w:pPr>
        <w:pStyle w:val="BodyText"/>
        <w:spacing w:before="102" w:line="360" w:lineRule="auto"/>
        <w:ind w:left="135" w:right="914"/>
        <w:jc w:val="both"/>
      </w:pPr>
      <w:r>
        <w:t>days after the Preliminary Determination.</w:t>
      </w:r>
      <w:hyperlink w:anchor="_bookmark1381" w:history="1">
        <w:r>
          <w:rPr>
            <w:vertAlign w:val="superscript"/>
          </w:rPr>
          <w:t>1192</w:t>
        </w:r>
      </w:hyperlink>
      <w:r>
        <w:t xml:space="preserve"> This was, realistically, the earliest possible opportunity for Casella Wines to respond to the issue. Casella Wines had already submitted complete data in PDF and hard copy format.</w:t>
      </w:r>
    </w:p>
    <w:p w14:paraId="0AE8D8B9" w14:textId="77777777" w:rsidR="00BD462C" w:rsidRDefault="00BD462C">
      <w:pPr>
        <w:pStyle w:val="BodyText"/>
        <w:spacing w:before="11"/>
        <w:rPr>
          <w:sz w:val="8"/>
        </w:rPr>
      </w:pPr>
    </w:p>
    <w:p w14:paraId="21CEF385" w14:textId="3545C886" w:rsidR="00BD462C" w:rsidRDefault="002804B4">
      <w:pPr>
        <w:pStyle w:val="BodyText"/>
        <w:spacing w:before="56" w:line="357" w:lineRule="auto"/>
        <w:ind w:left="135" w:right="911"/>
        <w:jc w:val="both"/>
      </w:pPr>
      <w:r>
        <w:rPr>
          <w:noProof/>
        </w:rPr>
        <w:t>797.</w:t>
      </w:r>
      <w:r w:rsidR="00033D0F">
        <w:rPr>
          <w:rFonts w:ascii="Times New Roman"/>
          <w:spacing w:val="80"/>
          <w:w w:val="150"/>
          <w:position w:val="1"/>
          <w:sz w:val="20"/>
        </w:rPr>
        <w:t xml:space="preserve"> </w:t>
      </w:r>
      <w:r w:rsidR="00033D0F">
        <w:rPr>
          <w:position w:val="1"/>
        </w:rPr>
        <w:t>MOFCOM</w:t>
      </w:r>
      <w:r w:rsidR="00033D0F">
        <w:rPr>
          <w:spacing w:val="-11"/>
          <w:position w:val="1"/>
        </w:rPr>
        <w:t xml:space="preserve"> </w:t>
      </w:r>
      <w:r w:rsidR="00033D0F">
        <w:rPr>
          <w:position w:val="1"/>
        </w:rPr>
        <w:t>then</w:t>
      </w:r>
      <w:r w:rsidR="00033D0F">
        <w:rPr>
          <w:spacing w:val="-14"/>
          <w:position w:val="1"/>
        </w:rPr>
        <w:t xml:space="preserve"> </w:t>
      </w:r>
      <w:r w:rsidR="00033D0F">
        <w:rPr>
          <w:position w:val="1"/>
        </w:rPr>
        <w:t>did</w:t>
      </w:r>
      <w:r w:rsidR="00033D0F">
        <w:rPr>
          <w:spacing w:val="-14"/>
          <w:position w:val="1"/>
        </w:rPr>
        <w:t xml:space="preserve"> </w:t>
      </w:r>
      <w:r w:rsidR="00033D0F">
        <w:rPr>
          <w:position w:val="1"/>
        </w:rPr>
        <w:t>not</w:t>
      </w:r>
      <w:r w:rsidR="00033D0F">
        <w:rPr>
          <w:spacing w:val="-10"/>
          <w:position w:val="1"/>
        </w:rPr>
        <w:t xml:space="preserve"> </w:t>
      </w:r>
      <w:r w:rsidR="00033D0F">
        <w:rPr>
          <w:position w:val="1"/>
        </w:rPr>
        <w:t>raise</w:t>
      </w:r>
      <w:r w:rsidR="00033D0F">
        <w:rPr>
          <w:spacing w:val="-12"/>
          <w:position w:val="1"/>
        </w:rPr>
        <w:t xml:space="preserve"> </w:t>
      </w:r>
      <w:r w:rsidR="00033D0F">
        <w:rPr>
          <w:position w:val="1"/>
        </w:rPr>
        <w:t>any</w:t>
      </w:r>
      <w:r w:rsidR="00033D0F">
        <w:rPr>
          <w:spacing w:val="-11"/>
          <w:position w:val="1"/>
        </w:rPr>
        <w:t xml:space="preserve"> </w:t>
      </w:r>
      <w:r w:rsidR="00033D0F">
        <w:rPr>
          <w:position w:val="1"/>
        </w:rPr>
        <w:t>concerns</w:t>
      </w:r>
      <w:r w:rsidR="00033D0F">
        <w:rPr>
          <w:spacing w:val="-10"/>
          <w:position w:val="1"/>
        </w:rPr>
        <w:t xml:space="preserve"> </w:t>
      </w:r>
      <w:r w:rsidR="00033D0F">
        <w:rPr>
          <w:position w:val="1"/>
        </w:rPr>
        <w:t>about</w:t>
      </w:r>
      <w:r w:rsidR="00033D0F">
        <w:rPr>
          <w:spacing w:val="-11"/>
          <w:position w:val="1"/>
        </w:rPr>
        <w:t xml:space="preserve"> </w:t>
      </w:r>
      <w:r w:rsidR="00033D0F">
        <w:rPr>
          <w:position w:val="1"/>
        </w:rPr>
        <w:t>the</w:t>
      </w:r>
      <w:r w:rsidR="00033D0F">
        <w:rPr>
          <w:spacing w:val="-12"/>
          <w:position w:val="1"/>
        </w:rPr>
        <w:t xml:space="preserve"> </w:t>
      </w:r>
      <w:r w:rsidR="00033D0F">
        <w:rPr>
          <w:position w:val="1"/>
        </w:rPr>
        <w:t>approach</w:t>
      </w:r>
      <w:r w:rsidR="00033D0F">
        <w:rPr>
          <w:spacing w:val="-14"/>
          <w:position w:val="1"/>
        </w:rPr>
        <w:t xml:space="preserve"> </w:t>
      </w:r>
      <w:r w:rsidR="00033D0F">
        <w:rPr>
          <w:position w:val="1"/>
        </w:rPr>
        <w:t>taken</w:t>
      </w:r>
      <w:r w:rsidR="00033D0F">
        <w:rPr>
          <w:spacing w:val="-14"/>
          <w:position w:val="1"/>
        </w:rPr>
        <w:t xml:space="preserve"> </w:t>
      </w:r>
      <w:r w:rsidR="00033D0F">
        <w:rPr>
          <w:position w:val="1"/>
        </w:rPr>
        <w:t>by</w:t>
      </w:r>
      <w:r w:rsidR="00033D0F">
        <w:rPr>
          <w:spacing w:val="-10"/>
          <w:position w:val="1"/>
        </w:rPr>
        <w:t xml:space="preserve"> </w:t>
      </w:r>
      <w:r w:rsidR="00033D0F">
        <w:rPr>
          <w:position w:val="1"/>
        </w:rPr>
        <w:t>Casella</w:t>
      </w:r>
      <w:r w:rsidR="00033D0F">
        <w:rPr>
          <w:spacing w:val="-12"/>
          <w:position w:val="1"/>
        </w:rPr>
        <w:t xml:space="preserve"> </w:t>
      </w:r>
      <w:r w:rsidR="00033D0F">
        <w:rPr>
          <w:position w:val="1"/>
        </w:rPr>
        <w:t xml:space="preserve">Wines </w:t>
      </w:r>
      <w:r w:rsidR="00033D0F">
        <w:t xml:space="preserve">to provide alternate </w:t>
      </w:r>
      <w:proofErr w:type="gramStart"/>
      <w:r w:rsidR="00033D0F">
        <w:t>data, or</w:t>
      </w:r>
      <w:proofErr w:type="gramEnd"/>
      <w:r w:rsidR="00033D0F">
        <w:t xml:space="preserve"> provide notice that it</w:t>
      </w:r>
      <w:r w:rsidR="00033D0F">
        <w:rPr>
          <w:spacing w:val="-2"/>
        </w:rPr>
        <w:t xml:space="preserve"> </w:t>
      </w:r>
      <w:r w:rsidR="00033D0F">
        <w:t>required Casella</w:t>
      </w:r>
      <w:r w:rsidR="00033D0F">
        <w:rPr>
          <w:spacing w:val="-3"/>
        </w:rPr>
        <w:t xml:space="preserve"> </w:t>
      </w:r>
      <w:r w:rsidR="00033D0F">
        <w:t>Wines to</w:t>
      </w:r>
      <w:r w:rsidR="00033D0F">
        <w:rPr>
          <w:spacing w:val="-5"/>
        </w:rPr>
        <w:t xml:space="preserve"> </w:t>
      </w:r>
      <w:r w:rsidR="00033D0F">
        <w:t>submit the data in an alternative format, until the Final Disclosure, 98 days later.</w:t>
      </w:r>
      <w:hyperlink w:anchor="_bookmark1382" w:history="1">
        <w:r w:rsidR="00033D0F">
          <w:rPr>
            <w:vertAlign w:val="superscript"/>
          </w:rPr>
          <w:t>1193</w:t>
        </w:r>
      </w:hyperlink>
    </w:p>
    <w:p w14:paraId="1B6105A4" w14:textId="77777777" w:rsidR="00BD462C" w:rsidRDefault="00BD462C">
      <w:pPr>
        <w:pStyle w:val="BodyText"/>
        <w:spacing w:before="3"/>
        <w:rPr>
          <w:sz w:val="9"/>
        </w:rPr>
      </w:pPr>
    </w:p>
    <w:p w14:paraId="742233A0" w14:textId="70FDC903" w:rsidR="00BD462C" w:rsidRDefault="002804B4">
      <w:pPr>
        <w:pStyle w:val="BodyText"/>
        <w:spacing w:before="56" w:line="360" w:lineRule="auto"/>
        <w:ind w:left="135" w:right="911"/>
        <w:jc w:val="both"/>
      </w:pPr>
      <w:r>
        <w:rPr>
          <w:noProof/>
        </w:rPr>
        <w:t>798.</w:t>
      </w:r>
      <w:r w:rsidR="00033D0F">
        <w:rPr>
          <w:rFonts w:ascii="Times New Roman"/>
          <w:spacing w:val="80"/>
          <w:position w:val="1"/>
          <w:sz w:val="20"/>
        </w:rPr>
        <w:t xml:space="preserve"> </w:t>
      </w:r>
      <w:r w:rsidR="00033D0F">
        <w:rPr>
          <w:position w:val="1"/>
        </w:rPr>
        <w:t>While MOFCOM did issue a Supplementary Questionnaire in the intervening time,</w:t>
      </w:r>
      <w:r w:rsidR="00033D0F">
        <w:rPr>
          <w:spacing w:val="40"/>
          <w:position w:val="1"/>
        </w:rPr>
        <w:t xml:space="preserve"> </w:t>
      </w:r>
      <w:r w:rsidR="00033D0F">
        <w:t>that document only outlined MOFCOM's perception of the deficiencies in the original WPS format</w:t>
      </w:r>
      <w:r w:rsidR="00033D0F">
        <w:rPr>
          <w:spacing w:val="-11"/>
        </w:rPr>
        <w:t xml:space="preserve"> </w:t>
      </w:r>
      <w:r w:rsidR="00033D0F">
        <w:t>submission,</w:t>
      </w:r>
      <w:r w:rsidR="00033D0F">
        <w:rPr>
          <w:spacing w:val="-10"/>
        </w:rPr>
        <w:t xml:space="preserve"> </w:t>
      </w:r>
      <w:r w:rsidR="00033D0F">
        <w:t>asked</w:t>
      </w:r>
      <w:r w:rsidR="00033D0F">
        <w:rPr>
          <w:spacing w:val="-14"/>
        </w:rPr>
        <w:t xml:space="preserve"> </w:t>
      </w:r>
      <w:r w:rsidR="00033D0F">
        <w:t>why</w:t>
      </w:r>
      <w:r w:rsidR="00033D0F">
        <w:rPr>
          <w:spacing w:val="-10"/>
        </w:rPr>
        <w:t xml:space="preserve"> </w:t>
      </w:r>
      <w:r w:rsidR="00033D0F">
        <w:t>the</w:t>
      </w:r>
      <w:r w:rsidR="00033D0F">
        <w:rPr>
          <w:spacing w:val="-12"/>
        </w:rPr>
        <w:t xml:space="preserve"> </w:t>
      </w:r>
      <w:r w:rsidR="00033D0F">
        <w:t>original</w:t>
      </w:r>
      <w:r w:rsidR="00033D0F">
        <w:rPr>
          <w:spacing w:val="-10"/>
        </w:rPr>
        <w:t xml:space="preserve"> </w:t>
      </w:r>
      <w:r w:rsidR="00033D0F">
        <w:t>WPS</w:t>
      </w:r>
      <w:r w:rsidR="00033D0F">
        <w:rPr>
          <w:spacing w:val="-12"/>
        </w:rPr>
        <w:t xml:space="preserve"> </w:t>
      </w:r>
      <w:r w:rsidR="00033D0F">
        <w:t>format</w:t>
      </w:r>
      <w:r w:rsidR="00033D0F">
        <w:rPr>
          <w:spacing w:val="-11"/>
        </w:rPr>
        <w:t xml:space="preserve"> </w:t>
      </w:r>
      <w:r w:rsidR="00033D0F">
        <w:t>submission</w:t>
      </w:r>
      <w:r w:rsidR="00033D0F">
        <w:rPr>
          <w:spacing w:val="-14"/>
        </w:rPr>
        <w:t xml:space="preserve"> </w:t>
      </w:r>
      <w:r w:rsidR="00033D0F">
        <w:t>was</w:t>
      </w:r>
      <w:r w:rsidR="00033D0F">
        <w:rPr>
          <w:spacing w:val="-9"/>
        </w:rPr>
        <w:t xml:space="preserve"> </w:t>
      </w:r>
      <w:r w:rsidR="00033D0F">
        <w:t>incomplete,</w:t>
      </w:r>
      <w:r w:rsidR="00033D0F">
        <w:rPr>
          <w:spacing w:val="-10"/>
        </w:rPr>
        <w:t xml:space="preserve"> </w:t>
      </w:r>
      <w:r w:rsidR="00033D0F">
        <w:t>and</w:t>
      </w:r>
      <w:r w:rsidR="00033D0F">
        <w:rPr>
          <w:spacing w:val="-14"/>
        </w:rPr>
        <w:t xml:space="preserve"> </w:t>
      </w:r>
      <w:r w:rsidR="00033D0F">
        <w:t>asked why Casella Wines had not submitted an application to provide that response in a different format</w:t>
      </w:r>
      <w:r w:rsidR="00033D0F">
        <w:rPr>
          <w:spacing w:val="-14"/>
        </w:rPr>
        <w:t xml:space="preserve"> </w:t>
      </w:r>
      <w:r w:rsidR="00033D0F">
        <w:t>within</w:t>
      </w:r>
      <w:r w:rsidR="00033D0F">
        <w:rPr>
          <w:spacing w:val="-14"/>
        </w:rPr>
        <w:t xml:space="preserve"> </w:t>
      </w:r>
      <w:r w:rsidR="00033D0F">
        <w:t>15</w:t>
      </w:r>
      <w:r w:rsidR="00033D0F">
        <w:rPr>
          <w:spacing w:val="-13"/>
        </w:rPr>
        <w:t xml:space="preserve"> </w:t>
      </w:r>
      <w:r w:rsidR="00033D0F">
        <w:t>days</w:t>
      </w:r>
      <w:r w:rsidR="00033D0F">
        <w:rPr>
          <w:spacing w:val="-11"/>
        </w:rPr>
        <w:t xml:space="preserve"> </w:t>
      </w:r>
      <w:r w:rsidR="00033D0F">
        <w:t>of</w:t>
      </w:r>
      <w:r w:rsidR="00033D0F">
        <w:rPr>
          <w:spacing w:val="-14"/>
        </w:rPr>
        <w:t xml:space="preserve"> </w:t>
      </w:r>
      <w:r w:rsidR="00033D0F">
        <w:t>receipt</w:t>
      </w:r>
      <w:r w:rsidR="00033D0F">
        <w:rPr>
          <w:spacing w:val="-11"/>
        </w:rPr>
        <w:t xml:space="preserve"> </w:t>
      </w:r>
      <w:r w:rsidR="00033D0F">
        <w:t>of</w:t>
      </w:r>
      <w:r w:rsidR="00033D0F">
        <w:rPr>
          <w:spacing w:val="-14"/>
        </w:rPr>
        <w:t xml:space="preserve"> </w:t>
      </w:r>
      <w:r w:rsidR="00033D0F">
        <w:t>the</w:t>
      </w:r>
      <w:r w:rsidR="00033D0F">
        <w:rPr>
          <w:spacing w:val="-12"/>
        </w:rPr>
        <w:t xml:space="preserve"> </w:t>
      </w:r>
      <w:r w:rsidR="00033D0F">
        <w:t>questionnaire.</w:t>
      </w:r>
      <w:hyperlink w:anchor="_bookmark1383" w:history="1">
        <w:r w:rsidR="00033D0F">
          <w:rPr>
            <w:vertAlign w:val="superscript"/>
          </w:rPr>
          <w:t>1194</w:t>
        </w:r>
      </w:hyperlink>
      <w:r w:rsidR="00033D0F">
        <w:rPr>
          <w:spacing w:val="-11"/>
        </w:rPr>
        <w:t xml:space="preserve"> </w:t>
      </w:r>
      <w:r w:rsidR="00033D0F">
        <w:t>While</w:t>
      </w:r>
      <w:r w:rsidR="00033D0F">
        <w:rPr>
          <w:spacing w:val="-14"/>
        </w:rPr>
        <w:t xml:space="preserve"> </w:t>
      </w:r>
      <w:r w:rsidR="00033D0F">
        <w:t>this</w:t>
      </w:r>
      <w:r w:rsidR="00033D0F">
        <w:rPr>
          <w:spacing w:val="-10"/>
        </w:rPr>
        <w:t xml:space="preserve"> </w:t>
      </w:r>
      <w:r w:rsidR="00033D0F">
        <w:t>reiterated</w:t>
      </w:r>
      <w:r w:rsidR="00033D0F">
        <w:rPr>
          <w:spacing w:val="-14"/>
        </w:rPr>
        <w:t xml:space="preserve"> </w:t>
      </w:r>
      <w:r w:rsidR="00033D0F">
        <w:t>the</w:t>
      </w:r>
      <w:r w:rsidR="00033D0F">
        <w:rPr>
          <w:spacing w:val="-12"/>
        </w:rPr>
        <w:t xml:space="preserve"> </w:t>
      </w:r>
      <w:r w:rsidR="00033D0F">
        <w:t>deficiencies already identified (and accepted) with the original data submission, MOFCOM made no mention of any concerns about the re-submitted data.</w:t>
      </w:r>
    </w:p>
    <w:p w14:paraId="5F23732A" w14:textId="77777777" w:rsidR="00BD462C" w:rsidRDefault="00BD462C">
      <w:pPr>
        <w:pStyle w:val="BodyText"/>
        <w:spacing w:before="5"/>
        <w:rPr>
          <w:sz w:val="8"/>
        </w:rPr>
      </w:pPr>
    </w:p>
    <w:p w14:paraId="6E05FDC7" w14:textId="5A16CF73" w:rsidR="00BD462C" w:rsidRDefault="00EA4377">
      <w:pPr>
        <w:pStyle w:val="BodyText"/>
        <w:spacing w:before="56" w:line="360" w:lineRule="auto"/>
        <w:ind w:left="135" w:right="914"/>
        <w:jc w:val="both"/>
      </w:pPr>
      <w:r>
        <w:rPr>
          <w:noProof/>
        </w:rPr>
        <w:t>799.</w:t>
      </w:r>
      <w:r w:rsidR="00033D0F">
        <w:rPr>
          <w:rFonts w:ascii="Times New Roman"/>
          <w:spacing w:val="80"/>
          <w:position w:val="1"/>
          <w:sz w:val="20"/>
        </w:rPr>
        <w:t xml:space="preserve">  </w:t>
      </w:r>
      <w:r w:rsidR="00033D0F">
        <w:rPr>
          <w:position w:val="1"/>
        </w:rPr>
        <w:t xml:space="preserve">MOFCOM in the Final Determination, and China in its first written submission, both </w:t>
      </w:r>
      <w:r w:rsidR="00033D0F">
        <w:t>strongly</w:t>
      </w:r>
      <w:r w:rsidR="00033D0F">
        <w:rPr>
          <w:spacing w:val="-12"/>
        </w:rPr>
        <w:t xml:space="preserve"> </w:t>
      </w:r>
      <w:r w:rsidR="00033D0F">
        <w:t>imply</w:t>
      </w:r>
      <w:r w:rsidR="00033D0F">
        <w:rPr>
          <w:spacing w:val="-11"/>
        </w:rPr>
        <w:t xml:space="preserve"> </w:t>
      </w:r>
      <w:r w:rsidR="00033D0F">
        <w:t>that</w:t>
      </w:r>
      <w:r w:rsidR="00033D0F">
        <w:rPr>
          <w:spacing w:val="-11"/>
        </w:rPr>
        <w:t xml:space="preserve"> </w:t>
      </w:r>
      <w:r w:rsidR="00033D0F">
        <w:t>MOFCOM</w:t>
      </w:r>
      <w:r w:rsidR="00033D0F">
        <w:rPr>
          <w:spacing w:val="-11"/>
        </w:rPr>
        <w:t xml:space="preserve"> </w:t>
      </w:r>
      <w:r w:rsidR="00033D0F">
        <w:t>would</w:t>
      </w:r>
      <w:r w:rsidR="00033D0F">
        <w:rPr>
          <w:spacing w:val="-14"/>
        </w:rPr>
        <w:t xml:space="preserve"> </w:t>
      </w:r>
      <w:r w:rsidR="00033D0F">
        <w:t>have</w:t>
      </w:r>
      <w:r w:rsidR="00033D0F">
        <w:rPr>
          <w:spacing w:val="-12"/>
        </w:rPr>
        <w:t xml:space="preserve"> </w:t>
      </w:r>
      <w:r w:rsidR="00033D0F">
        <w:t>accepted</w:t>
      </w:r>
      <w:r w:rsidR="00033D0F">
        <w:rPr>
          <w:spacing w:val="-14"/>
        </w:rPr>
        <w:t xml:space="preserve"> </w:t>
      </w:r>
      <w:r w:rsidR="00033D0F">
        <w:t>resubmitted</w:t>
      </w:r>
      <w:r w:rsidR="00033D0F">
        <w:rPr>
          <w:spacing w:val="-14"/>
        </w:rPr>
        <w:t xml:space="preserve"> </w:t>
      </w:r>
      <w:r w:rsidR="00033D0F">
        <w:t>data</w:t>
      </w:r>
      <w:r w:rsidR="00033D0F">
        <w:rPr>
          <w:spacing w:val="-11"/>
        </w:rPr>
        <w:t xml:space="preserve"> </w:t>
      </w:r>
      <w:r w:rsidR="00033D0F">
        <w:t>from</w:t>
      </w:r>
      <w:r w:rsidR="00033D0F">
        <w:rPr>
          <w:spacing w:val="-12"/>
        </w:rPr>
        <w:t xml:space="preserve"> </w:t>
      </w:r>
      <w:r w:rsidR="00033D0F">
        <w:t>Casella</w:t>
      </w:r>
      <w:r w:rsidR="00033D0F">
        <w:rPr>
          <w:spacing w:val="-12"/>
        </w:rPr>
        <w:t xml:space="preserve"> </w:t>
      </w:r>
      <w:r w:rsidR="00033D0F">
        <w:t>Wines</w:t>
      </w:r>
      <w:r w:rsidR="00033D0F">
        <w:rPr>
          <w:spacing w:val="-10"/>
        </w:rPr>
        <w:t xml:space="preserve"> </w:t>
      </w:r>
      <w:r w:rsidR="00033D0F">
        <w:t>after the publication of the Preliminary Determination if Casella Wines had attempted to split the data</w:t>
      </w:r>
      <w:r w:rsidR="00033D0F">
        <w:rPr>
          <w:spacing w:val="-8"/>
        </w:rPr>
        <w:t xml:space="preserve"> </w:t>
      </w:r>
      <w:r w:rsidR="00033D0F">
        <w:t>across</w:t>
      </w:r>
      <w:r w:rsidR="00033D0F">
        <w:rPr>
          <w:spacing w:val="-6"/>
        </w:rPr>
        <w:t xml:space="preserve"> </w:t>
      </w:r>
      <w:r w:rsidR="00033D0F">
        <w:t>multiple</w:t>
      </w:r>
      <w:r w:rsidR="00033D0F">
        <w:rPr>
          <w:spacing w:val="-12"/>
        </w:rPr>
        <w:t xml:space="preserve"> </w:t>
      </w:r>
      <w:r w:rsidR="00033D0F">
        <w:t>WPS</w:t>
      </w:r>
      <w:r w:rsidR="00033D0F">
        <w:rPr>
          <w:spacing w:val="-13"/>
        </w:rPr>
        <w:t xml:space="preserve"> </w:t>
      </w:r>
      <w:r w:rsidR="00033D0F">
        <w:t>sheets</w:t>
      </w:r>
      <w:r w:rsidR="00033D0F">
        <w:rPr>
          <w:spacing w:val="-10"/>
        </w:rPr>
        <w:t xml:space="preserve"> </w:t>
      </w:r>
      <w:r w:rsidR="00033D0F">
        <w:t>so</w:t>
      </w:r>
      <w:r w:rsidR="00033D0F">
        <w:rPr>
          <w:spacing w:val="-9"/>
        </w:rPr>
        <w:t xml:space="preserve"> </w:t>
      </w:r>
      <w:r w:rsidR="00033D0F">
        <w:t>that</w:t>
      </w:r>
      <w:r w:rsidR="00033D0F">
        <w:rPr>
          <w:spacing w:val="-7"/>
        </w:rPr>
        <w:t xml:space="preserve"> </w:t>
      </w:r>
      <w:r w:rsidR="00033D0F">
        <w:t>all</w:t>
      </w:r>
      <w:r w:rsidR="00033D0F">
        <w:rPr>
          <w:spacing w:val="-10"/>
        </w:rPr>
        <w:t xml:space="preserve"> </w:t>
      </w:r>
      <w:r w:rsidR="00033D0F">
        <w:t>the</w:t>
      </w:r>
      <w:r w:rsidR="00033D0F">
        <w:rPr>
          <w:spacing w:val="-7"/>
        </w:rPr>
        <w:t xml:space="preserve"> </w:t>
      </w:r>
      <w:r w:rsidR="00033D0F">
        <w:t>data</w:t>
      </w:r>
      <w:r w:rsidR="00033D0F">
        <w:rPr>
          <w:spacing w:val="-8"/>
        </w:rPr>
        <w:t xml:space="preserve"> </w:t>
      </w:r>
      <w:r w:rsidR="00033D0F">
        <w:t>were</w:t>
      </w:r>
      <w:r w:rsidR="00033D0F">
        <w:rPr>
          <w:spacing w:val="-7"/>
        </w:rPr>
        <w:t xml:space="preserve"> </w:t>
      </w:r>
      <w:r w:rsidR="00033D0F">
        <w:t>present.</w:t>
      </w:r>
      <w:hyperlink w:anchor="_bookmark1384" w:history="1">
        <w:r w:rsidR="00033D0F">
          <w:rPr>
            <w:vertAlign w:val="superscript"/>
          </w:rPr>
          <w:t>1195</w:t>
        </w:r>
      </w:hyperlink>
      <w:r w:rsidR="00033D0F">
        <w:rPr>
          <w:spacing w:val="-6"/>
        </w:rPr>
        <w:t xml:space="preserve"> </w:t>
      </w:r>
      <w:r w:rsidR="00033D0F">
        <w:t>If</w:t>
      </w:r>
      <w:r w:rsidR="00033D0F">
        <w:rPr>
          <w:spacing w:val="-9"/>
        </w:rPr>
        <w:t xml:space="preserve"> </w:t>
      </w:r>
      <w:r w:rsidR="00033D0F">
        <w:t>MOFCOM</w:t>
      </w:r>
      <w:r w:rsidR="00033D0F">
        <w:rPr>
          <w:spacing w:val="-7"/>
        </w:rPr>
        <w:t xml:space="preserve"> </w:t>
      </w:r>
      <w:r w:rsidR="00033D0F">
        <w:t>would</w:t>
      </w:r>
      <w:r w:rsidR="00033D0F">
        <w:rPr>
          <w:spacing w:val="-9"/>
        </w:rPr>
        <w:t xml:space="preserve"> </w:t>
      </w:r>
      <w:r w:rsidR="00033D0F">
        <w:t>have accepted</w:t>
      </w:r>
      <w:r w:rsidR="00033D0F">
        <w:rPr>
          <w:spacing w:val="-14"/>
        </w:rPr>
        <w:t xml:space="preserve"> </w:t>
      </w:r>
      <w:r w:rsidR="00033D0F">
        <w:t>the</w:t>
      </w:r>
      <w:r w:rsidR="00033D0F">
        <w:rPr>
          <w:spacing w:val="-14"/>
        </w:rPr>
        <w:t xml:space="preserve"> </w:t>
      </w:r>
      <w:r w:rsidR="00033D0F">
        <w:t>data</w:t>
      </w:r>
      <w:r w:rsidR="00033D0F">
        <w:rPr>
          <w:spacing w:val="-13"/>
        </w:rPr>
        <w:t xml:space="preserve"> </w:t>
      </w:r>
      <w:r w:rsidR="00033D0F">
        <w:t>broken</w:t>
      </w:r>
      <w:r w:rsidR="00033D0F">
        <w:rPr>
          <w:spacing w:val="-14"/>
        </w:rPr>
        <w:t xml:space="preserve"> </w:t>
      </w:r>
      <w:r w:rsidR="00033D0F">
        <w:t>across</w:t>
      </w:r>
      <w:r w:rsidR="00033D0F">
        <w:rPr>
          <w:spacing w:val="-13"/>
        </w:rPr>
        <w:t xml:space="preserve"> </w:t>
      </w:r>
      <w:r w:rsidR="00033D0F">
        <w:t>multiple</w:t>
      </w:r>
      <w:r w:rsidR="00033D0F">
        <w:rPr>
          <w:spacing w:val="-14"/>
        </w:rPr>
        <w:t xml:space="preserve"> </w:t>
      </w:r>
      <w:r w:rsidR="00033D0F">
        <w:t>WPS</w:t>
      </w:r>
      <w:r w:rsidR="00033D0F">
        <w:rPr>
          <w:spacing w:val="-13"/>
        </w:rPr>
        <w:t xml:space="preserve"> </w:t>
      </w:r>
      <w:r w:rsidR="00033D0F">
        <w:t>sheets,</w:t>
      </w:r>
      <w:r w:rsidR="00033D0F">
        <w:rPr>
          <w:spacing w:val="-14"/>
        </w:rPr>
        <w:t xml:space="preserve"> </w:t>
      </w:r>
      <w:r w:rsidR="00033D0F">
        <w:t>then</w:t>
      </w:r>
      <w:r w:rsidR="00033D0F">
        <w:rPr>
          <w:spacing w:val="-14"/>
        </w:rPr>
        <w:t xml:space="preserve"> </w:t>
      </w:r>
      <w:r w:rsidR="00033D0F">
        <w:t>it</w:t>
      </w:r>
      <w:r w:rsidR="00033D0F">
        <w:rPr>
          <w:spacing w:val="-13"/>
        </w:rPr>
        <w:t xml:space="preserve"> </w:t>
      </w:r>
      <w:r w:rsidR="00033D0F">
        <w:t>should</w:t>
      </w:r>
      <w:r w:rsidR="00033D0F">
        <w:rPr>
          <w:spacing w:val="-14"/>
        </w:rPr>
        <w:t xml:space="preserve"> </w:t>
      </w:r>
      <w:r w:rsidR="00033D0F">
        <w:t>have</w:t>
      </w:r>
      <w:r w:rsidR="00033D0F">
        <w:rPr>
          <w:spacing w:val="-12"/>
        </w:rPr>
        <w:t xml:space="preserve"> </w:t>
      </w:r>
      <w:r w:rsidR="00033D0F">
        <w:t>asked</w:t>
      </w:r>
      <w:r w:rsidR="00033D0F">
        <w:rPr>
          <w:spacing w:val="-13"/>
        </w:rPr>
        <w:t xml:space="preserve"> </w:t>
      </w:r>
      <w:r w:rsidR="00033D0F">
        <w:t>Casella</w:t>
      </w:r>
      <w:r w:rsidR="00033D0F">
        <w:rPr>
          <w:spacing w:val="-14"/>
        </w:rPr>
        <w:t xml:space="preserve"> </w:t>
      </w:r>
      <w:r w:rsidR="00033D0F">
        <w:t>Wines to provide the data in that format. Casella Wines had demonstrated a good faith willingness to</w:t>
      </w:r>
      <w:r w:rsidR="00033D0F">
        <w:rPr>
          <w:spacing w:val="-6"/>
        </w:rPr>
        <w:t xml:space="preserve"> </w:t>
      </w:r>
      <w:r w:rsidR="00033D0F">
        <w:t>provide</w:t>
      </w:r>
      <w:r w:rsidR="00033D0F">
        <w:rPr>
          <w:spacing w:val="-4"/>
        </w:rPr>
        <w:t xml:space="preserve"> </w:t>
      </w:r>
      <w:r w:rsidR="00033D0F">
        <w:t>the</w:t>
      </w:r>
      <w:r w:rsidR="00033D0F">
        <w:rPr>
          <w:spacing w:val="-4"/>
        </w:rPr>
        <w:t xml:space="preserve"> </w:t>
      </w:r>
      <w:r w:rsidR="00033D0F">
        <w:t>data,</w:t>
      </w:r>
      <w:r w:rsidR="00033D0F">
        <w:rPr>
          <w:spacing w:val="-1"/>
        </w:rPr>
        <w:t xml:space="preserve"> </w:t>
      </w:r>
      <w:r w:rsidR="00033D0F">
        <w:t>evidenced</w:t>
      </w:r>
      <w:r w:rsidR="00033D0F">
        <w:rPr>
          <w:spacing w:val="-5"/>
        </w:rPr>
        <w:t xml:space="preserve"> </w:t>
      </w:r>
      <w:r w:rsidR="00033D0F">
        <w:t>by</w:t>
      </w:r>
      <w:r w:rsidR="00033D0F">
        <w:rPr>
          <w:spacing w:val="-2"/>
        </w:rPr>
        <w:t xml:space="preserve"> </w:t>
      </w:r>
      <w:r w:rsidR="00033D0F">
        <w:t>having</w:t>
      </w:r>
      <w:r w:rsidR="00033D0F">
        <w:rPr>
          <w:spacing w:val="-2"/>
        </w:rPr>
        <w:t xml:space="preserve"> </w:t>
      </w:r>
      <w:r w:rsidR="00033D0F">
        <w:t>provided</w:t>
      </w:r>
      <w:r w:rsidR="00033D0F">
        <w:rPr>
          <w:spacing w:val="-10"/>
        </w:rPr>
        <w:t xml:space="preserve"> </w:t>
      </w:r>
      <w:r w:rsidR="00033D0F">
        <w:t>complete</w:t>
      </w:r>
      <w:r w:rsidR="00033D0F">
        <w:rPr>
          <w:spacing w:val="-3"/>
        </w:rPr>
        <w:t xml:space="preserve"> </w:t>
      </w:r>
      <w:r w:rsidR="00033D0F">
        <w:t>data</w:t>
      </w:r>
      <w:r w:rsidR="00033D0F">
        <w:rPr>
          <w:spacing w:val="-4"/>
        </w:rPr>
        <w:t xml:space="preserve"> </w:t>
      </w:r>
      <w:r w:rsidR="00033D0F">
        <w:t>in</w:t>
      </w:r>
      <w:r w:rsidR="00033D0F">
        <w:rPr>
          <w:spacing w:val="-5"/>
        </w:rPr>
        <w:t xml:space="preserve"> </w:t>
      </w:r>
      <w:r w:rsidR="00033D0F">
        <w:t>PDF,</w:t>
      </w:r>
      <w:r w:rsidR="00033D0F">
        <w:rPr>
          <w:spacing w:val="-1"/>
        </w:rPr>
        <w:t xml:space="preserve"> </w:t>
      </w:r>
      <w:r w:rsidR="00033D0F">
        <w:t>Excel</w:t>
      </w:r>
      <w:r w:rsidR="00033D0F">
        <w:rPr>
          <w:spacing w:val="-6"/>
        </w:rPr>
        <w:t xml:space="preserve"> </w:t>
      </w:r>
      <w:r w:rsidR="00033D0F">
        <w:t>and</w:t>
      </w:r>
      <w:r w:rsidR="00033D0F">
        <w:rPr>
          <w:spacing w:val="-5"/>
        </w:rPr>
        <w:t xml:space="preserve"> </w:t>
      </w:r>
      <w:r w:rsidR="00033D0F">
        <w:t>hard</w:t>
      </w:r>
      <w:r w:rsidR="00033D0F">
        <w:rPr>
          <w:spacing w:val="-5"/>
        </w:rPr>
        <w:t xml:space="preserve"> </w:t>
      </w:r>
      <w:r w:rsidR="00033D0F">
        <w:t>copy format, and an attempt</w:t>
      </w:r>
      <w:r w:rsidR="00033D0F">
        <w:rPr>
          <w:spacing w:val="-1"/>
        </w:rPr>
        <w:t xml:space="preserve"> </w:t>
      </w:r>
      <w:r w:rsidR="00033D0F">
        <w:t>to provide</w:t>
      </w:r>
      <w:r w:rsidR="00033D0F">
        <w:rPr>
          <w:spacing w:val="-2"/>
        </w:rPr>
        <w:t xml:space="preserve"> </w:t>
      </w:r>
      <w:r w:rsidR="00033D0F">
        <w:t>it</w:t>
      </w:r>
      <w:r w:rsidR="00033D0F">
        <w:rPr>
          <w:spacing w:val="-1"/>
        </w:rPr>
        <w:t xml:space="preserve"> </w:t>
      </w:r>
      <w:r w:rsidR="00033D0F">
        <w:t>in</w:t>
      </w:r>
      <w:r w:rsidR="00033D0F">
        <w:rPr>
          <w:spacing w:val="-3"/>
        </w:rPr>
        <w:t xml:space="preserve"> </w:t>
      </w:r>
      <w:r w:rsidR="00033D0F">
        <w:t>WPS format. Yet</w:t>
      </w:r>
      <w:r w:rsidR="00033D0F">
        <w:rPr>
          <w:spacing w:val="-1"/>
        </w:rPr>
        <w:t xml:space="preserve"> </w:t>
      </w:r>
      <w:r w:rsidR="00033D0F">
        <w:t>in</w:t>
      </w:r>
      <w:r w:rsidR="00033D0F">
        <w:rPr>
          <w:spacing w:val="-3"/>
        </w:rPr>
        <w:t xml:space="preserve"> </w:t>
      </w:r>
      <w:r w:rsidR="00033D0F">
        <w:t>the Supplementary Questionnaire MOFCOM</w:t>
      </w:r>
      <w:r w:rsidR="00033D0F">
        <w:rPr>
          <w:spacing w:val="-7"/>
        </w:rPr>
        <w:t xml:space="preserve"> </w:t>
      </w:r>
      <w:r w:rsidR="00033D0F">
        <w:t>chose</w:t>
      </w:r>
      <w:r w:rsidR="00033D0F">
        <w:rPr>
          <w:spacing w:val="-7"/>
        </w:rPr>
        <w:t xml:space="preserve"> </w:t>
      </w:r>
      <w:r w:rsidR="00033D0F">
        <w:t>to</w:t>
      </w:r>
      <w:r w:rsidR="00033D0F">
        <w:rPr>
          <w:spacing w:val="-5"/>
        </w:rPr>
        <w:t xml:space="preserve"> </w:t>
      </w:r>
      <w:proofErr w:type="gramStart"/>
      <w:r w:rsidR="00033D0F">
        <w:t>instead</w:t>
      </w:r>
      <w:r w:rsidR="00033D0F">
        <w:rPr>
          <w:spacing w:val="-9"/>
        </w:rPr>
        <w:t xml:space="preserve"> </w:t>
      </w:r>
      <w:r w:rsidR="00033D0F">
        <w:t>only</w:t>
      </w:r>
      <w:r w:rsidR="00033D0F">
        <w:rPr>
          <w:spacing w:val="-6"/>
        </w:rPr>
        <w:t xml:space="preserve"> </w:t>
      </w:r>
      <w:r w:rsidR="00033D0F">
        <w:t>ask</w:t>
      </w:r>
      <w:r w:rsidR="00033D0F">
        <w:rPr>
          <w:spacing w:val="-6"/>
        </w:rPr>
        <w:t xml:space="preserve"> </w:t>
      </w:r>
      <w:r w:rsidR="00033D0F">
        <w:t>about</w:t>
      </w:r>
      <w:r w:rsidR="00033D0F">
        <w:rPr>
          <w:spacing w:val="-2"/>
        </w:rPr>
        <w:t xml:space="preserve"> </w:t>
      </w:r>
      <w:r w:rsidR="00033D0F">
        <w:t>why</w:t>
      </w:r>
      <w:r w:rsidR="00033D0F">
        <w:rPr>
          <w:spacing w:val="-6"/>
        </w:rPr>
        <w:t xml:space="preserve"> </w:t>
      </w:r>
      <w:r w:rsidR="00033D0F">
        <w:t>the</w:t>
      </w:r>
      <w:r w:rsidR="00033D0F">
        <w:rPr>
          <w:spacing w:val="-3"/>
        </w:rPr>
        <w:t xml:space="preserve"> </w:t>
      </w:r>
      <w:r w:rsidR="00033D0F">
        <w:t>original</w:t>
      </w:r>
      <w:r w:rsidR="00033D0F">
        <w:rPr>
          <w:spacing w:val="-5"/>
        </w:rPr>
        <w:t xml:space="preserve"> </w:t>
      </w:r>
      <w:r w:rsidR="00033D0F">
        <w:t>data</w:t>
      </w:r>
      <w:proofErr w:type="gramEnd"/>
      <w:r w:rsidR="00033D0F">
        <w:rPr>
          <w:spacing w:val="-8"/>
        </w:rPr>
        <w:t xml:space="preserve"> </w:t>
      </w:r>
      <w:r w:rsidR="00033D0F">
        <w:t>were</w:t>
      </w:r>
      <w:r w:rsidR="00033D0F">
        <w:rPr>
          <w:spacing w:val="-2"/>
        </w:rPr>
        <w:t xml:space="preserve"> </w:t>
      </w:r>
      <w:r w:rsidR="00033D0F">
        <w:t>not</w:t>
      </w:r>
      <w:r w:rsidR="00033D0F">
        <w:rPr>
          <w:spacing w:val="-2"/>
        </w:rPr>
        <w:t xml:space="preserve"> </w:t>
      </w:r>
      <w:r w:rsidR="00033D0F">
        <w:t>complete.</w:t>
      </w:r>
      <w:r w:rsidR="00033D0F">
        <w:rPr>
          <w:spacing w:val="-6"/>
        </w:rPr>
        <w:t xml:space="preserve"> </w:t>
      </w:r>
      <w:r w:rsidR="00033D0F">
        <w:t>It</w:t>
      </w:r>
      <w:r w:rsidR="00033D0F">
        <w:rPr>
          <w:spacing w:val="-7"/>
        </w:rPr>
        <w:t xml:space="preserve"> </w:t>
      </w:r>
      <w:r w:rsidR="00033D0F">
        <w:t>did</w:t>
      </w:r>
      <w:r w:rsidR="00033D0F">
        <w:rPr>
          <w:spacing w:val="-9"/>
        </w:rPr>
        <w:t xml:space="preserve"> </w:t>
      </w:r>
      <w:r w:rsidR="00033D0F">
        <w:t xml:space="preserve">not ask for the data to be resubmitted in multiple WPS sheets, and it did not otherwise engage with Casella Wines about the resubmitted data. In the facts and circumstances of this case, that conduct denied Casella Wines a full </w:t>
      </w:r>
      <w:proofErr w:type="spellStart"/>
      <w:r w:rsidR="00033D0F">
        <w:t>defence</w:t>
      </w:r>
      <w:proofErr w:type="spellEnd"/>
      <w:r w:rsidR="00033D0F">
        <w:t xml:space="preserve"> of its interests.</w:t>
      </w:r>
    </w:p>
    <w:p w14:paraId="76E5AE3B" w14:textId="77777777" w:rsidR="00BD462C" w:rsidRDefault="00BD462C">
      <w:pPr>
        <w:pStyle w:val="BodyText"/>
        <w:rPr>
          <w:sz w:val="20"/>
        </w:rPr>
      </w:pPr>
    </w:p>
    <w:p w14:paraId="6459FFD9" w14:textId="77777777" w:rsidR="00BD462C" w:rsidRDefault="00BD462C">
      <w:pPr>
        <w:pStyle w:val="BodyText"/>
        <w:rPr>
          <w:sz w:val="20"/>
        </w:rPr>
      </w:pPr>
    </w:p>
    <w:p w14:paraId="6BB90FC1" w14:textId="77777777" w:rsidR="00BD462C" w:rsidRDefault="00BD462C">
      <w:pPr>
        <w:pStyle w:val="BodyText"/>
        <w:rPr>
          <w:sz w:val="20"/>
        </w:rPr>
      </w:pPr>
    </w:p>
    <w:p w14:paraId="359E5CD8" w14:textId="311D015F" w:rsidR="00BD462C" w:rsidRDefault="00D70C7D">
      <w:pPr>
        <w:pStyle w:val="BodyText"/>
        <w:spacing w:before="10"/>
        <w:rPr>
          <w:sz w:val="21"/>
        </w:rPr>
      </w:pPr>
      <w:r>
        <w:rPr>
          <w:noProof/>
        </w:rPr>
        <mc:AlternateContent>
          <mc:Choice Requires="wps">
            <w:drawing>
              <wp:anchor distT="0" distB="0" distL="0" distR="0" simplePos="0" relativeHeight="487847424" behindDoc="1" locked="0" layoutInCell="1" allowOverlap="1" wp14:anchorId="530B7BE6" wp14:editId="01E19658">
                <wp:simplePos x="0" y="0"/>
                <wp:positionH relativeFrom="page">
                  <wp:posOffset>899160</wp:posOffset>
                </wp:positionH>
                <wp:positionV relativeFrom="paragraph">
                  <wp:posOffset>184785</wp:posOffset>
                </wp:positionV>
                <wp:extent cx="1828800" cy="8890"/>
                <wp:effectExtent l="0" t="0" r="0" b="0"/>
                <wp:wrapTopAndBottom/>
                <wp:docPr id="328" name="docshape5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3226FF" id="docshape558" o:spid="_x0000_s1026" alt="&quot;&quot;" style="position:absolute;margin-left:70.8pt;margin-top:14.55pt;width:2in;height:.7pt;z-index:-1546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" fillcolor="black" stroked="f">
                <w10:wrap type="topAndBottom" anchorx="page"/>
              </v:rect>
            </w:pict>
          </mc:Fallback>
        </mc:AlternateContent>
      </w:r>
    </w:p>
    <w:p w14:paraId="175C9C85" w14:textId="77777777" w:rsidR="00BD462C" w:rsidRDefault="00033D0F">
      <w:pPr>
        <w:spacing w:before="107"/>
        <w:ind w:left="135"/>
        <w:rPr>
          <w:sz w:val="18"/>
        </w:rPr>
      </w:pPr>
      <w:bookmarkStart w:id="1604" w:name="_bookmark1381"/>
      <w:bookmarkEnd w:id="1604"/>
      <w:r>
        <w:rPr>
          <w:position w:val="5"/>
          <w:sz w:val="12"/>
        </w:rPr>
        <w:t>1192</w:t>
      </w:r>
      <w:r>
        <w:rPr>
          <w:spacing w:val="12"/>
          <w:position w:val="5"/>
          <w:sz w:val="12"/>
        </w:rPr>
        <w:t xml:space="preserve"> </w:t>
      </w:r>
      <w:r>
        <w:rPr>
          <w:sz w:val="18"/>
        </w:rPr>
        <w:t>See</w:t>
      </w:r>
      <w:r>
        <w:rPr>
          <w:spacing w:val="-5"/>
          <w:sz w:val="18"/>
        </w:rPr>
        <w:t xml:space="preserve"> </w:t>
      </w:r>
      <w:r>
        <w:rPr>
          <w:sz w:val="18"/>
        </w:rPr>
        <w:t>Australia's</w:t>
      </w:r>
      <w:r>
        <w:rPr>
          <w:spacing w:val="-6"/>
          <w:sz w:val="18"/>
        </w:rPr>
        <w:t xml:space="preserve"> </w:t>
      </w:r>
      <w:r>
        <w:rPr>
          <w:sz w:val="18"/>
        </w:rPr>
        <w:t>first</w:t>
      </w:r>
      <w:r>
        <w:rPr>
          <w:spacing w:val="-5"/>
          <w:sz w:val="18"/>
        </w:rPr>
        <w:t xml:space="preserve"> </w:t>
      </w:r>
      <w:r>
        <w:rPr>
          <w:sz w:val="18"/>
        </w:rPr>
        <w:t>written</w:t>
      </w:r>
      <w:r>
        <w:rPr>
          <w:spacing w:val="-2"/>
          <w:sz w:val="18"/>
        </w:rPr>
        <w:t xml:space="preserve"> </w:t>
      </w:r>
      <w:r>
        <w:rPr>
          <w:sz w:val="18"/>
        </w:rPr>
        <w:t>submission,</w:t>
      </w:r>
      <w:r>
        <w:rPr>
          <w:spacing w:val="1"/>
          <w:sz w:val="18"/>
        </w:rPr>
        <w:t xml:space="preserve"> </w:t>
      </w:r>
      <w:r>
        <w:rPr>
          <w:sz w:val="18"/>
        </w:rPr>
        <w:t>para.</w:t>
      </w:r>
      <w:r>
        <w:rPr>
          <w:spacing w:val="-5"/>
          <w:sz w:val="18"/>
        </w:rPr>
        <w:t xml:space="preserve"> </w:t>
      </w:r>
      <w:r>
        <w:rPr>
          <w:spacing w:val="-4"/>
          <w:sz w:val="18"/>
        </w:rPr>
        <w:t>925.</w:t>
      </w:r>
    </w:p>
    <w:p w14:paraId="56ED49D2" w14:textId="77777777" w:rsidR="00BD462C" w:rsidRDefault="00033D0F">
      <w:pPr>
        <w:spacing w:before="1"/>
        <w:ind w:left="135"/>
        <w:rPr>
          <w:sz w:val="18"/>
        </w:rPr>
      </w:pPr>
      <w:bookmarkStart w:id="1605" w:name="_bookmark1382"/>
      <w:bookmarkEnd w:id="1605"/>
      <w:r>
        <w:rPr>
          <w:position w:val="5"/>
          <w:sz w:val="12"/>
        </w:rPr>
        <w:t>1193</w:t>
      </w:r>
      <w:r>
        <w:rPr>
          <w:spacing w:val="12"/>
          <w:position w:val="5"/>
          <w:sz w:val="12"/>
        </w:rPr>
        <w:t xml:space="preserve"> </w:t>
      </w:r>
      <w:r>
        <w:rPr>
          <w:sz w:val="18"/>
        </w:rPr>
        <w:t>Australia's</w:t>
      </w:r>
      <w:r>
        <w:rPr>
          <w:spacing w:val="-6"/>
          <w:sz w:val="18"/>
        </w:rPr>
        <w:t xml:space="preserve"> </w:t>
      </w:r>
      <w:r>
        <w:rPr>
          <w:sz w:val="18"/>
        </w:rPr>
        <w:t>first</w:t>
      </w:r>
      <w:r>
        <w:rPr>
          <w:spacing w:val="-6"/>
          <w:sz w:val="18"/>
        </w:rPr>
        <w:t xml:space="preserve"> </w:t>
      </w:r>
      <w:r>
        <w:rPr>
          <w:sz w:val="18"/>
        </w:rPr>
        <w:t>written</w:t>
      </w:r>
      <w:r>
        <w:rPr>
          <w:spacing w:val="-2"/>
          <w:sz w:val="18"/>
        </w:rPr>
        <w:t xml:space="preserve"> </w:t>
      </w:r>
      <w:r>
        <w:rPr>
          <w:sz w:val="18"/>
        </w:rPr>
        <w:t>submission, paras.</w:t>
      </w:r>
      <w:r>
        <w:rPr>
          <w:spacing w:val="-5"/>
          <w:sz w:val="18"/>
        </w:rPr>
        <w:t xml:space="preserve"> </w:t>
      </w:r>
      <w:r>
        <w:rPr>
          <w:sz w:val="18"/>
        </w:rPr>
        <w:t>926-</w:t>
      </w:r>
      <w:r>
        <w:rPr>
          <w:spacing w:val="-4"/>
          <w:sz w:val="18"/>
        </w:rPr>
        <w:t>929.</w:t>
      </w:r>
    </w:p>
    <w:p w14:paraId="6835DD45" w14:textId="77777777" w:rsidR="00BD462C" w:rsidRDefault="00033D0F">
      <w:pPr>
        <w:spacing w:before="1"/>
        <w:ind w:left="135" w:right="908"/>
        <w:rPr>
          <w:sz w:val="18"/>
        </w:rPr>
      </w:pPr>
      <w:bookmarkStart w:id="1606" w:name="_bookmark1383"/>
      <w:bookmarkEnd w:id="1606"/>
      <w:r>
        <w:rPr>
          <w:position w:val="5"/>
          <w:sz w:val="12"/>
        </w:rPr>
        <w:t>1194</w:t>
      </w:r>
      <w:r>
        <w:rPr>
          <w:spacing w:val="16"/>
          <w:position w:val="5"/>
          <w:sz w:val="12"/>
        </w:rPr>
        <w:t xml:space="preserve"> </w:t>
      </w:r>
      <w:r>
        <w:rPr>
          <w:sz w:val="18"/>
        </w:rPr>
        <w:t>Australia's</w:t>
      </w:r>
      <w:r>
        <w:rPr>
          <w:spacing w:val="-3"/>
          <w:sz w:val="18"/>
        </w:rPr>
        <w:t xml:space="preserve"> </w:t>
      </w:r>
      <w:r>
        <w:rPr>
          <w:sz w:val="18"/>
        </w:rPr>
        <w:t>first</w:t>
      </w:r>
      <w:r>
        <w:rPr>
          <w:spacing w:val="-2"/>
          <w:sz w:val="18"/>
        </w:rPr>
        <w:t xml:space="preserve"> </w:t>
      </w:r>
      <w:r>
        <w:rPr>
          <w:sz w:val="18"/>
        </w:rPr>
        <w:t>written</w:t>
      </w:r>
      <w:r>
        <w:rPr>
          <w:spacing w:val="-4"/>
          <w:sz w:val="18"/>
        </w:rPr>
        <w:t xml:space="preserve"> </w:t>
      </w:r>
      <w:r>
        <w:rPr>
          <w:sz w:val="18"/>
        </w:rPr>
        <w:t>submission,</w:t>
      </w:r>
      <w:r>
        <w:rPr>
          <w:spacing w:val="-1"/>
          <w:sz w:val="18"/>
        </w:rPr>
        <w:t xml:space="preserve"> </w:t>
      </w:r>
      <w:r>
        <w:rPr>
          <w:sz w:val="18"/>
        </w:rPr>
        <w:t>para.</w:t>
      </w:r>
      <w:r>
        <w:rPr>
          <w:spacing w:val="-2"/>
          <w:sz w:val="18"/>
        </w:rPr>
        <w:t xml:space="preserve"> </w:t>
      </w:r>
      <w:r>
        <w:rPr>
          <w:sz w:val="18"/>
        </w:rPr>
        <w:t>927,</w:t>
      </w:r>
      <w:r>
        <w:rPr>
          <w:spacing w:val="-1"/>
          <w:sz w:val="18"/>
        </w:rPr>
        <w:t xml:space="preserve"> </w:t>
      </w:r>
      <w:r>
        <w:rPr>
          <w:sz w:val="18"/>
        </w:rPr>
        <w:t>citing</w:t>
      </w:r>
      <w:r>
        <w:rPr>
          <w:spacing w:val="-3"/>
          <w:sz w:val="18"/>
        </w:rPr>
        <w:t xml:space="preserve"> </w:t>
      </w:r>
      <w:r>
        <w:rPr>
          <w:sz w:val="18"/>
        </w:rPr>
        <w:t>Casella</w:t>
      </w:r>
      <w:r>
        <w:rPr>
          <w:spacing w:val="-5"/>
          <w:sz w:val="18"/>
        </w:rPr>
        <w:t xml:space="preserve"> </w:t>
      </w:r>
      <w:r>
        <w:rPr>
          <w:sz w:val="18"/>
        </w:rPr>
        <w:t>Wines</w:t>
      </w:r>
      <w:r>
        <w:rPr>
          <w:spacing w:val="-3"/>
          <w:sz w:val="18"/>
        </w:rPr>
        <w:t xml:space="preserve"> </w:t>
      </w:r>
      <w:r>
        <w:rPr>
          <w:sz w:val="18"/>
        </w:rPr>
        <w:t>Supplementary</w:t>
      </w:r>
      <w:r>
        <w:rPr>
          <w:spacing w:val="-5"/>
          <w:sz w:val="18"/>
        </w:rPr>
        <w:t xml:space="preserve"> </w:t>
      </w:r>
      <w:r>
        <w:rPr>
          <w:sz w:val="18"/>
        </w:rPr>
        <w:t>Questionnaire</w:t>
      </w:r>
      <w:r>
        <w:rPr>
          <w:spacing w:val="-8"/>
          <w:sz w:val="18"/>
        </w:rPr>
        <w:t xml:space="preserve"> </w:t>
      </w:r>
      <w:r>
        <w:rPr>
          <w:sz w:val="18"/>
        </w:rPr>
        <w:t>Response</w:t>
      </w:r>
      <w:r>
        <w:rPr>
          <w:spacing w:val="-3"/>
          <w:sz w:val="18"/>
        </w:rPr>
        <w:t xml:space="preserve"> </w:t>
      </w:r>
      <w:r>
        <w:rPr>
          <w:sz w:val="18"/>
        </w:rPr>
        <w:t>(Exhibit</w:t>
      </w:r>
      <w:r>
        <w:rPr>
          <w:spacing w:val="-3"/>
          <w:sz w:val="18"/>
        </w:rPr>
        <w:t xml:space="preserve"> </w:t>
      </w:r>
      <w:r>
        <w:rPr>
          <w:sz w:val="18"/>
        </w:rPr>
        <w:t>AUS- 30), pp. 5-8.</w:t>
      </w:r>
    </w:p>
    <w:p w14:paraId="7576940D" w14:textId="77777777" w:rsidR="00BD462C" w:rsidRDefault="00033D0F">
      <w:pPr>
        <w:spacing w:before="2"/>
        <w:ind w:left="135"/>
        <w:rPr>
          <w:sz w:val="18"/>
        </w:rPr>
      </w:pPr>
      <w:bookmarkStart w:id="1607" w:name="_bookmark1384"/>
      <w:bookmarkEnd w:id="1607"/>
      <w:r>
        <w:rPr>
          <w:position w:val="5"/>
          <w:sz w:val="12"/>
        </w:rPr>
        <w:t>1195</w:t>
      </w:r>
      <w:r>
        <w:rPr>
          <w:spacing w:val="13"/>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 xml:space="preserve">para. </w:t>
      </w:r>
      <w:r>
        <w:rPr>
          <w:spacing w:val="-2"/>
          <w:sz w:val="18"/>
        </w:rPr>
        <w:t>2406.</w:t>
      </w:r>
    </w:p>
    <w:p w14:paraId="611ABDD1" w14:textId="77777777" w:rsidR="00BD462C" w:rsidRDefault="00BD462C">
      <w:pPr>
        <w:rPr>
          <w:sz w:val="18"/>
        </w:rPr>
        <w:sectPr w:rsidR="00BD462C">
          <w:pgSz w:w="11910" w:h="16840"/>
          <w:pgMar w:top="860" w:right="500" w:bottom="780" w:left="1280" w:header="566" w:footer="590" w:gutter="0"/>
          <w:cols w:space="720"/>
        </w:sectPr>
      </w:pPr>
    </w:p>
    <w:p w14:paraId="59F0E7F2"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09FF13C5"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19A632C7"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17F6B757" w14:textId="77777777" w:rsidR="00BD462C" w:rsidRDefault="00033D0F">
      <w:pPr>
        <w:pStyle w:val="Heading3"/>
        <w:numPr>
          <w:ilvl w:val="0"/>
          <w:numId w:val="25"/>
        </w:numPr>
        <w:tabs>
          <w:tab w:val="left" w:pos="2545"/>
          <w:tab w:val="left" w:pos="2546"/>
        </w:tabs>
        <w:ind w:left="2545" w:hanging="850"/>
        <w:jc w:val="left"/>
      </w:pPr>
      <w:bookmarkStart w:id="1608" w:name="6._Conclusion"/>
      <w:bookmarkStart w:id="1609" w:name="_bookmark1385"/>
      <w:bookmarkEnd w:id="1608"/>
      <w:bookmarkEnd w:id="1609"/>
      <w:r>
        <w:rPr>
          <w:spacing w:val="-2"/>
        </w:rPr>
        <w:t>Conclusion</w:t>
      </w:r>
    </w:p>
    <w:p w14:paraId="6EE43D2C" w14:textId="77777777" w:rsidR="00BD462C" w:rsidRDefault="00BD462C">
      <w:pPr>
        <w:pStyle w:val="BodyText"/>
        <w:spacing w:before="7"/>
        <w:rPr>
          <w:b/>
          <w:sz w:val="20"/>
        </w:rPr>
      </w:pPr>
    </w:p>
    <w:p w14:paraId="450BC682" w14:textId="127CCE07" w:rsidR="00BD462C" w:rsidRDefault="00EA4377">
      <w:pPr>
        <w:pStyle w:val="BodyText"/>
        <w:spacing w:before="56" w:line="360" w:lineRule="auto"/>
        <w:ind w:left="135" w:right="916"/>
        <w:jc w:val="both"/>
      </w:pPr>
      <w:r>
        <w:rPr>
          <w:noProof/>
        </w:rPr>
        <w:t>800.</w:t>
      </w:r>
      <w:r w:rsidR="00033D0F">
        <w:rPr>
          <w:rFonts w:ascii="Times New Roman"/>
          <w:spacing w:val="80"/>
          <w:position w:val="1"/>
          <w:sz w:val="20"/>
        </w:rPr>
        <w:t xml:space="preserve"> </w:t>
      </w:r>
      <w:r w:rsidR="00033D0F">
        <w:rPr>
          <w:position w:val="1"/>
        </w:rPr>
        <w:t>China</w:t>
      </w:r>
      <w:r w:rsidR="00033D0F">
        <w:rPr>
          <w:spacing w:val="-3"/>
          <w:position w:val="1"/>
        </w:rPr>
        <w:t xml:space="preserve"> </w:t>
      </w:r>
      <w:r w:rsidR="00033D0F">
        <w:rPr>
          <w:position w:val="1"/>
        </w:rPr>
        <w:t>has</w:t>
      </w:r>
      <w:r w:rsidR="00033D0F">
        <w:rPr>
          <w:spacing w:val="-1"/>
          <w:position w:val="1"/>
        </w:rPr>
        <w:t xml:space="preserve"> </w:t>
      </w:r>
      <w:r w:rsidR="00033D0F">
        <w:rPr>
          <w:position w:val="1"/>
        </w:rPr>
        <w:t>failed</w:t>
      </w:r>
      <w:r w:rsidR="00033D0F">
        <w:rPr>
          <w:spacing w:val="-4"/>
          <w:position w:val="1"/>
        </w:rPr>
        <w:t xml:space="preserve"> </w:t>
      </w:r>
      <w:r w:rsidR="00033D0F">
        <w:rPr>
          <w:position w:val="1"/>
        </w:rPr>
        <w:t>to</w:t>
      </w:r>
      <w:r w:rsidR="00033D0F">
        <w:rPr>
          <w:spacing w:val="-5"/>
          <w:position w:val="1"/>
        </w:rPr>
        <w:t xml:space="preserve"> </w:t>
      </w:r>
      <w:r w:rsidR="00033D0F">
        <w:rPr>
          <w:position w:val="1"/>
        </w:rPr>
        <w:t>rebut</w:t>
      </w:r>
      <w:r w:rsidR="00033D0F">
        <w:rPr>
          <w:spacing w:val="-2"/>
          <w:position w:val="1"/>
        </w:rPr>
        <w:t xml:space="preserve"> </w:t>
      </w:r>
      <w:r w:rsidR="00033D0F">
        <w:rPr>
          <w:position w:val="1"/>
        </w:rPr>
        <w:t>Australia's</w:t>
      </w:r>
      <w:r w:rsidR="00033D0F">
        <w:rPr>
          <w:spacing w:val="-1"/>
          <w:position w:val="1"/>
        </w:rPr>
        <w:t xml:space="preserve"> </w:t>
      </w:r>
      <w:r w:rsidR="00033D0F">
        <w:rPr>
          <w:i/>
          <w:position w:val="1"/>
        </w:rPr>
        <w:t>prima</w:t>
      </w:r>
      <w:r w:rsidR="00033D0F">
        <w:rPr>
          <w:i/>
          <w:spacing w:val="-2"/>
          <w:position w:val="1"/>
        </w:rPr>
        <w:t xml:space="preserve"> </w:t>
      </w:r>
      <w:r w:rsidR="00033D0F">
        <w:rPr>
          <w:i/>
          <w:position w:val="1"/>
        </w:rPr>
        <w:t>facie</w:t>
      </w:r>
      <w:r w:rsidR="00033D0F">
        <w:rPr>
          <w:i/>
          <w:spacing w:val="-2"/>
          <w:position w:val="1"/>
        </w:rPr>
        <w:t xml:space="preserve"> </w:t>
      </w:r>
      <w:r w:rsidR="00033D0F">
        <w:rPr>
          <w:position w:val="1"/>
        </w:rPr>
        <w:t>case</w:t>
      </w:r>
      <w:r w:rsidR="00033D0F">
        <w:rPr>
          <w:spacing w:val="-2"/>
          <w:position w:val="1"/>
        </w:rPr>
        <w:t xml:space="preserve"> </w:t>
      </w:r>
      <w:r w:rsidR="00033D0F">
        <w:rPr>
          <w:position w:val="1"/>
        </w:rPr>
        <w:t>that</w:t>
      </w:r>
      <w:r w:rsidR="00033D0F">
        <w:rPr>
          <w:spacing w:val="-2"/>
          <w:position w:val="1"/>
        </w:rPr>
        <w:t xml:space="preserve"> </w:t>
      </w:r>
      <w:r w:rsidR="00033D0F">
        <w:rPr>
          <w:position w:val="1"/>
        </w:rPr>
        <w:t>MOFCOM</w:t>
      </w:r>
      <w:r w:rsidR="00033D0F">
        <w:rPr>
          <w:spacing w:val="-2"/>
          <w:position w:val="1"/>
        </w:rPr>
        <w:t xml:space="preserve"> </w:t>
      </w:r>
      <w:r w:rsidR="00033D0F">
        <w:rPr>
          <w:position w:val="1"/>
        </w:rPr>
        <w:t>failed</w:t>
      </w:r>
      <w:r w:rsidR="00033D0F">
        <w:rPr>
          <w:spacing w:val="-4"/>
          <w:position w:val="1"/>
        </w:rPr>
        <w:t xml:space="preserve"> </w:t>
      </w:r>
      <w:r w:rsidR="00033D0F">
        <w:rPr>
          <w:position w:val="1"/>
        </w:rPr>
        <w:t>to</w:t>
      </w:r>
      <w:r w:rsidR="00033D0F">
        <w:rPr>
          <w:spacing w:val="-5"/>
          <w:position w:val="1"/>
        </w:rPr>
        <w:t xml:space="preserve"> </w:t>
      </w:r>
      <w:r w:rsidR="00033D0F">
        <w:rPr>
          <w:position w:val="1"/>
        </w:rPr>
        <w:t xml:space="preserve">provide </w:t>
      </w:r>
      <w:r w:rsidR="00033D0F">
        <w:t>interested parties with ample opportunity to present in writing all evidence which they considered relevant to the investigation and denied them their fundamental right to a full opportunity to defend their interests. For the reasons set out above and in Australia's first written</w:t>
      </w:r>
      <w:r w:rsidR="00033D0F">
        <w:rPr>
          <w:spacing w:val="40"/>
        </w:rPr>
        <w:t xml:space="preserve"> </w:t>
      </w:r>
      <w:r w:rsidR="00033D0F">
        <w:t>submission,</w:t>
      </w:r>
      <w:r w:rsidR="00033D0F">
        <w:rPr>
          <w:spacing w:val="40"/>
        </w:rPr>
        <w:t xml:space="preserve"> </w:t>
      </w:r>
      <w:r w:rsidR="00033D0F">
        <w:t>China</w:t>
      </w:r>
      <w:r w:rsidR="00033D0F">
        <w:rPr>
          <w:spacing w:val="40"/>
        </w:rPr>
        <w:t xml:space="preserve"> </w:t>
      </w:r>
      <w:r w:rsidR="00033D0F">
        <w:t>acted</w:t>
      </w:r>
      <w:r w:rsidR="00033D0F">
        <w:rPr>
          <w:spacing w:val="40"/>
        </w:rPr>
        <w:t xml:space="preserve"> </w:t>
      </w:r>
      <w:r w:rsidR="00033D0F">
        <w:t>inconsistently</w:t>
      </w:r>
      <w:r w:rsidR="00033D0F">
        <w:rPr>
          <w:spacing w:val="40"/>
        </w:rPr>
        <w:t xml:space="preserve"> </w:t>
      </w:r>
      <w:r w:rsidR="00033D0F">
        <w:t>with</w:t>
      </w:r>
      <w:r w:rsidR="00033D0F">
        <w:rPr>
          <w:spacing w:val="40"/>
        </w:rPr>
        <w:t xml:space="preserve"> </w:t>
      </w:r>
      <w:r w:rsidR="00033D0F">
        <w:t>Article</w:t>
      </w:r>
      <w:r w:rsidR="00033D0F">
        <w:rPr>
          <w:spacing w:val="40"/>
        </w:rPr>
        <w:t xml:space="preserve"> </w:t>
      </w:r>
      <w:r w:rsidR="00033D0F">
        <w:t>6.1,</w:t>
      </w:r>
      <w:r w:rsidR="00033D0F">
        <w:rPr>
          <w:spacing w:val="40"/>
        </w:rPr>
        <w:t xml:space="preserve"> </w:t>
      </w:r>
      <w:r w:rsidR="00033D0F">
        <w:t>6.1.1</w:t>
      </w:r>
      <w:r w:rsidR="00033D0F">
        <w:rPr>
          <w:spacing w:val="40"/>
        </w:rPr>
        <w:t xml:space="preserve"> </w:t>
      </w:r>
      <w:r w:rsidR="00033D0F">
        <w:t>and</w:t>
      </w:r>
      <w:r w:rsidR="00033D0F">
        <w:rPr>
          <w:spacing w:val="40"/>
        </w:rPr>
        <w:t xml:space="preserve"> </w:t>
      </w:r>
      <w:r w:rsidR="00033D0F">
        <w:t>6.2</w:t>
      </w:r>
      <w:r w:rsidR="00033D0F">
        <w:rPr>
          <w:spacing w:val="40"/>
        </w:rPr>
        <w:t xml:space="preserve"> </w:t>
      </w:r>
      <w:r w:rsidR="00033D0F">
        <w:t>of</w:t>
      </w:r>
      <w:r w:rsidR="00033D0F">
        <w:rPr>
          <w:spacing w:val="40"/>
        </w:rPr>
        <w:t xml:space="preserve"> </w:t>
      </w:r>
      <w:r w:rsidR="00033D0F">
        <w:t>the</w:t>
      </w:r>
      <w:r w:rsidR="00033D0F">
        <w:rPr>
          <w:spacing w:val="80"/>
        </w:rPr>
        <w:t xml:space="preserve"> </w:t>
      </w:r>
      <w:r w:rsidR="00033D0F">
        <w:t>Anti-Dumping Agreement.</w:t>
      </w:r>
    </w:p>
    <w:p w14:paraId="6FCB3713" w14:textId="77777777" w:rsidR="00BD462C" w:rsidRDefault="00033D0F" w:rsidP="00DA02D9">
      <w:pPr>
        <w:pStyle w:val="ListParagraph"/>
        <w:numPr>
          <w:ilvl w:val="1"/>
          <w:numId w:val="72"/>
        </w:numPr>
        <w:tabs>
          <w:tab w:val="left" w:pos="1697"/>
        </w:tabs>
        <w:spacing w:before="157" w:line="381" w:lineRule="auto"/>
        <w:ind w:left="1695" w:right="917" w:hanging="850"/>
        <w:jc w:val="both"/>
        <w:rPr>
          <w:b/>
        </w:rPr>
      </w:pPr>
      <w:bookmarkStart w:id="1610" w:name="E._MOFCOM's_failure_to_satisfy_itself_as"/>
      <w:bookmarkStart w:id="1611" w:name="_bookmark1386"/>
      <w:bookmarkEnd w:id="1610"/>
      <w:bookmarkEnd w:id="1611"/>
      <w:r>
        <w:rPr>
          <w:b/>
          <w:sz w:val="28"/>
        </w:rPr>
        <w:t>MOFCOM'</w:t>
      </w:r>
      <w:r>
        <w:rPr>
          <w:b/>
        </w:rPr>
        <w:t>S</w:t>
      </w:r>
      <w:r>
        <w:rPr>
          <w:b/>
          <w:spacing w:val="-13"/>
        </w:rPr>
        <w:t xml:space="preserve"> </w:t>
      </w:r>
      <w:r>
        <w:rPr>
          <w:b/>
        </w:rPr>
        <w:t>FAILURE</w:t>
      </w:r>
      <w:r>
        <w:rPr>
          <w:b/>
          <w:spacing w:val="-12"/>
        </w:rPr>
        <w:t xml:space="preserve"> </w:t>
      </w:r>
      <w:r>
        <w:rPr>
          <w:b/>
        </w:rPr>
        <w:t>TO</w:t>
      </w:r>
      <w:r>
        <w:rPr>
          <w:b/>
          <w:spacing w:val="-12"/>
        </w:rPr>
        <w:t xml:space="preserve"> </w:t>
      </w:r>
      <w:r>
        <w:rPr>
          <w:b/>
        </w:rPr>
        <w:t>SATISFY</w:t>
      </w:r>
      <w:r>
        <w:rPr>
          <w:b/>
          <w:spacing w:val="-13"/>
        </w:rPr>
        <w:t xml:space="preserve"> </w:t>
      </w:r>
      <w:r>
        <w:rPr>
          <w:b/>
        </w:rPr>
        <w:t>ITSELF</w:t>
      </w:r>
      <w:r>
        <w:rPr>
          <w:b/>
          <w:spacing w:val="-9"/>
        </w:rPr>
        <w:t xml:space="preserve"> </w:t>
      </w:r>
      <w:r>
        <w:rPr>
          <w:b/>
        </w:rPr>
        <w:t>AS</w:t>
      </w:r>
      <w:r>
        <w:rPr>
          <w:b/>
          <w:spacing w:val="-13"/>
        </w:rPr>
        <w:t xml:space="preserve"> </w:t>
      </w:r>
      <w:r>
        <w:rPr>
          <w:b/>
        </w:rPr>
        <w:t>TO</w:t>
      </w:r>
      <w:r>
        <w:rPr>
          <w:b/>
          <w:spacing w:val="-12"/>
        </w:rPr>
        <w:t xml:space="preserve"> </w:t>
      </w:r>
      <w:r>
        <w:rPr>
          <w:b/>
        </w:rPr>
        <w:t>THE</w:t>
      </w:r>
      <w:r>
        <w:rPr>
          <w:b/>
          <w:spacing w:val="-6"/>
        </w:rPr>
        <w:t xml:space="preserve"> </w:t>
      </w:r>
      <w:r>
        <w:rPr>
          <w:b/>
        </w:rPr>
        <w:t>ACCURACY</w:t>
      </w:r>
      <w:r>
        <w:rPr>
          <w:b/>
          <w:spacing w:val="-13"/>
        </w:rPr>
        <w:t xml:space="preserve"> </w:t>
      </w:r>
      <w:r>
        <w:rPr>
          <w:b/>
        </w:rPr>
        <w:t>OF</w:t>
      </w:r>
      <w:r>
        <w:rPr>
          <w:b/>
          <w:spacing w:val="-9"/>
        </w:rPr>
        <w:t xml:space="preserve"> </w:t>
      </w:r>
      <w:r>
        <w:rPr>
          <w:b/>
        </w:rPr>
        <w:t xml:space="preserve">INFORMATION BREACHED </w:t>
      </w:r>
      <w:r>
        <w:rPr>
          <w:b/>
          <w:sz w:val="28"/>
        </w:rPr>
        <w:t>C</w:t>
      </w:r>
      <w:r>
        <w:rPr>
          <w:b/>
        </w:rPr>
        <w:t>HINA</w:t>
      </w:r>
      <w:r>
        <w:rPr>
          <w:b/>
          <w:sz w:val="28"/>
        </w:rPr>
        <w:t>'</w:t>
      </w:r>
      <w:r>
        <w:rPr>
          <w:b/>
        </w:rPr>
        <w:t xml:space="preserve">S OBLIGATIONS UNDER </w:t>
      </w:r>
      <w:r>
        <w:rPr>
          <w:b/>
          <w:sz w:val="28"/>
        </w:rPr>
        <w:t>A</w:t>
      </w:r>
      <w:r>
        <w:rPr>
          <w:b/>
        </w:rPr>
        <w:t xml:space="preserve">RTICLE </w:t>
      </w:r>
      <w:r>
        <w:rPr>
          <w:b/>
          <w:sz w:val="28"/>
        </w:rPr>
        <w:t xml:space="preserve">6.6 </w:t>
      </w:r>
      <w:r>
        <w:rPr>
          <w:b/>
        </w:rPr>
        <w:t>OF THE ANTI</w:t>
      </w:r>
      <w:r>
        <w:rPr>
          <w:b/>
          <w:sz w:val="28"/>
        </w:rPr>
        <w:t>-</w:t>
      </w:r>
      <w:r>
        <w:rPr>
          <w:b/>
        </w:rPr>
        <w:t xml:space="preserve">DUMPING </w:t>
      </w:r>
      <w:r>
        <w:rPr>
          <w:b/>
          <w:spacing w:val="-2"/>
        </w:rPr>
        <w:t>AGREEMENT</w:t>
      </w:r>
    </w:p>
    <w:p w14:paraId="620CC98A" w14:textId="77777777" w:rsidR="00BD462C" w:rsidRDefault="00BD462C">
      <w:pPr>
        <w:pStyle w:val="BodyText"/>
        <w:spacing w:before="12"/>
        <w:rPr>
          <w:b/>
          <w:sz w:val="10"/>
        </w:rPr>
      </w:pPr>
    </w:p>
    <w:p w14:paraId="1F9C93DE" w14:textId="6E63555E" w:rsidR="00BD462C" w:rsidRDefault="005F4A68">
      <w:pPr>
        <w:pStyle w:val="BodyText"/>
        <w:spacing w:before="56" w:line="355" w:lineRule="auto"/>
        <w:ind w:left="136" w:right="923"/>
      </w:pPr>
      <w:r>
        <w:rPr>
          <w:noProof/>
        </w:rPr>
        <w:t>801.</w:t>
      </w:r>
      <w:r w:rsidR="00033D0F">
        <w:rPr>
          <w:rFonts w:ascii="Times New Roman"/>
          <w:spacing w:val="80"/>
          <w:position w:val="1"/>
          <w:sz w:val="20"/>
        </w:rPr>
        <w:t xml:space="preserve">  </w:t>
      </w:r>
      <w:r w:rsidR="00033D0F">
        <w:rPr>
          <w:position w:val="1"/>
        </w:rPr>
        <w:t>Australia</w:t>
      </w:r>
      <w:r w:rsidR="00033D0F">
        <w:rPr>
          <w:spacing w:val="70"/>
          <w:position w:val="1"/>
        </w:rPr>
        <w:t xml:space="preserve"> </w:t>
      </w:r>
      <w:r w:rsidR="00033D0F">
        <w:rPr>
          <w:position w:val="1"/>
        </w:rPr>
        <w:t>has</w:t>
      </w:r>
      <w:r w:rsidR="00033D0F">
        <w:rPr>
          <w:spacing w:val="72"/>
          <w:position w:val="1"/>
        </w:rPr>
        <w:t xml:space="preserve"> </w:t>
      </w:r>
      <w:r w:rsidR="00033D0F">
        <w:rPr>
          <w:position w:val="1"/>
        </w:rPr>
        <w:t>established</w:t>
      </w:r>
      <w:r w:rsidR="00033D0F">
        <w:rPr>
          <w:spacing w:val="69"/>
          <w:position w:val="1"/>
        </w:rPr>
        <w:t xml:space="preserve"> </w:t>
      </w:r>
      <w:r w:rsidR="00033D0F">
        <w:rPr>
          <w:position w:val="1"/>
        </w:rPr>
        <w:t>a</w:t>
      </w:r>
      <w:r w:rsidR="00033D0F">
        <w:rPr>
          <w:spacing w:val="70"/>
          <w:position w:val="1"/>
        </w:rPr>
        <w:t xml:space="preserve"> </w:t>
      </w:r>
      <w:r w:rsidR="00033D0F">
        <w:rPr>
          <w:i/>
          <w:position w:val="1"/>
        </w:rPr>
        <w:t>prima</w:t>
      </w:r>
      <w:r w:rsidR="00033D0F">
        <w:rPr>
          <w:i/>
          <w:spacing w:val="71"/>
          <w:position w:val="1"/>
        </w:rPr>
        <w:t xml:space="preserve"> </w:t>
      </w:r>
      <w:r w:rsidR="00033D0F">
        <w:rPr>
          <w:i/>
          <w:position w:val="1"/>
        </w:rPr>
        <w:t>facie</w:t>
      </w:r>
      <w:r w:rsidR="00033D0F">
        <w:rPr>
          <w:i/>
          <w:spacing w:val="70"/>
          <w:position w:val="1"/>
        </w:rPr>
        <w:t xml:space="preserve"> </w:t>
      </w:r>
      <w:r w:rsidR="00033D0F">
        <w:rPr>
          <w:position w:val="1"/>
        </w:rPr>
        <w:t>case</w:t>
      </w:r>
      <w:r w:rsidR="00033D0F">
        <w:rPr>
          <w:spacing w:val="70"/>
          <w:position w:val="1"/>
        </w:rPr>
        <w:t xml:space="preserve"> </w:t>
      </w:r>
      <w:r w:rsidR="00033D0F">
        <w:rPr>
          <w:position w:val="1"/>
        </w:rPr>
        <w:t>with</w:t>
      </w:r>
      <w:r w:rsidR="00033D0F">
        <w:rPr>
          <w:spacing w:val="68"/>
          <w:position w:val="1"/>
        </w:rPr>
        <w:t xml:space="preserve"> </w:t>
      </w:r>
      <w:r w:rsidR="00033D0F">
        <w:rPr>
          <w:position w:val="1"/>
        </w:rPr>
        <w:t>respect</w:t>
      </w:r>
      <w:r w:rsidR="00033D0F">
        <w:rPr>
          <w:spacing w:val="71"/>
          <w:position w:val="1"/>
        </w:rPr>
        <w:t xml:space="preserve"> </w:t>
      </w:r>
      <w:r w:rsidR="00033D0F">
        <w:rPr>
          <w:position w:val="1"/>
        </w:rPr>
        <w:t>to</w:t>
      </w:r>
      <w:r w:rsidR="00033D0F">
        <w:rPr>
          <w:spacing w:val="68"/>
          <w:position w:val="1"/>
        </w:rPr>
        <w:t xml:space="preserve"> </w:t>
      </w:r>
      <w:r w:rsidR="00033D0F">
        <w:rPr>
          <w:position w:val="1"/>
        </w:rPr>
        <w:t>its</w:t>
      </w:r>
      <w:r w:rsidR="00033D0F">
        <w:rPr>
          <w:spacing w:val="72"/>
          <w:position w:val="1"/>
        </w:rPr>
        <w:t xml:space="preserve"> </w:t>
      </w:r>
      <w:r w:rsidR="00033D0F">
        <w:rPr>
          <w:position w:val="1"/>
        </w:rPr>
        <w:t>claims</w:t>
      </w:r>
      <w:r w:rsidR="00033D0F">
        <w:rPr>
          <w:spacing w:val="72"/>
          <w:position w:val="1"/>
        </w:rPr>
        <w:t xml:space="preserve"> </w:t>
      </w:r>
      <w:r w:rsidR="00033D0F">
        <w:rPr>
          <w:position w:val="1"/>
        </w:rPr>
        <w:t xml:space="preserve">under </w:t>
      </w:r>
      <w:r w:rsidR="00033D0F">
        <w:t>Article 6.6.</w:t>
      </w:r>
      <w:hyperlink w:anchor="_bookmark1388" w:history="1">
        <w:r w:rsidR="00033D0F">
          <w:rPr>
            <w:vertAlign w:val="superscript"/>
          </w:rPr>
          <w:t>1196</w:t>
        </w:r>
      </w:hyperlink>
      <w:r w:rsidR="00033D0F">
        <w:t xml:space="preserve"> For the reasons set out below, China has failed to rebut those claims.</w:t>
      </w:r>
      <w:hyperlink w:anchor="_bookmark1389" w:history="1">
        <w:r w:rsidR="00033D0F">
          <w:rPr>
            <w:vertAlign w:val="superscript"/>
          </w:rPr>
          <w:t>1197</w:t>
        </w:r>
      </w:hyperlink>
    </w:p>
    <w:p w14:paraId="54E1723B" w14:textId="77777777" w:rsidR="00BD462C" w:rsidRDefault="00033D0F">
      <w:pPr>
        <w:pStyle w:val="Heading3"/>
        <w:numPr>
          <w:ilvl w:val="0"/>
          <w:numId w:val="21"/>
        </w:numPr>
        <w:tabs>
          <w:tab w:val="left" w:pos="2689"/>
          <w:tab w:val="left" w:pos="2690"/>
        </w:tabs>
        <w:spacing w:before="165" w:line="362" w:lineRule="auto"/>
        <w:ind w:right="923"/>
        <w:jc w:val="left"/>
      </w:pPr>
      <w:bookmarkStart w:id="1612" w:name="1._China's_mistaken_assertion_that_Austr"/>
      <w:bookmarkStart w:id="1613" w:name="_bookmark1387"/>
      <w:bookmarkEnd w:id="1612"/>
      <w:bookmarkEnd w:id="1613"/>
      <w:r>
        <w:t xml:space="preserve">China's mistaken assertion that Australia abandoned part of its </w:t>
      </w:r>
      <w:r>
        <w:rPr>
          <w:spacing w:val="-2"/>
        </w:rPr>
        <w:t>claim</w:t>
      </w:r>
    </w:p>
    <w:p w14:paraId="67E81F51" w14:textId="77777777" w:rsidR="00BD462C" w:rsidRDefault="00BD462C">
      <w:pPr>
        <w:pStyle w:val="BodyText"/>
        <w:spacing w:before="7"/>
        <w:rPr>
          <w:b/>
          <w:sz w:val="8"/>
        </w:rPr>
      </w:pPr>
    </w:p>
    <w:p w14:paraId="4F06571E" w14:textId="10335EA5" w:rsidR="00BD462C" w:rsidRDefault="005F4A68">
      <w:pPr>
        <w:pStyle w:val="BodyText"/>
        <w:spacing w:before="57" w:line="355" w:lineRule="auto"/>
        <w:ind w:left="135" w:right="923"/>
      </w:pPr>
      <w:r>
        <w:rPr>
          <w:noProof/>
        </w:rPr>
        <w:t>802.</w:t>
      </w:r>
      <w:r w:rsidR="00033D0F">
        <w:rPr>
          <w:rFonts w:ascii="Times New Roman"/>
          <w:spacing w:val="80"/>
          <w:position w:val="1"/>
          <w:sz w:val="20"/>
        </w:rPr>
        <w:t xml:space="preserve">  </w:t>
      </w:r>
      <w:r w:rsidR="00033D0F">
        <w:rPr>
          <w:position w:val="1"/>
        </w:rPr>
        <w:t>China</w:t>
      </w:r>
      <w:r w:rsidR="00033D0F">
        <w:rPr>
          <w:spacing w:val="-4"/>
          <w:position w:val="1"/>
        </w:rPr>
        <w:t xml:space="preserve"> </w:t>
      </w:r>
      <w:r w:rsidR="00033D0F">
        <w:rPr>
          <w:position w:val="1"/>
        </w:rPr>
        <w:t>alleges</w:t>
      </w:r>
      <w:r w:rsidR="00033D0F">
        <w:rPr>
          <w:spacing w:val="-2"/>
          <w:position w:val="1"/>
        </w:rPr>
        <w:t xml:space="preserve"> </w:t>
      </w:r>
      <w:r w:rsidR="00033D0F">
        <w:rPr>
          <w:position w:val="1"/>
        </w:rPr>
        <w:t>that</w:t>
      </w:r>
      <w:r w:rsidR="00033D0F">
        <w:rPr>
          <w:spacing w:val="-3"/>
          <w:position w:val="1"/>
        </w:rPr>
        <w:t xml:space="preserve"> </w:t>
      </w:r>
      <w:r w:rsidR="00033D0F">
        <w:rPr>
          <w:position w:val="1"/>
        </w:rPr>
        <w:t>Australia</w:t>
      </w:r>
      <w:r w:rsidR="00033D0F">
        <w:rPr>
          <w:spacing w:val="-8"/>
          <w:position w:val="1"/>
        </w:rPr>
        <w:t xml:space="preserve"> </w:t>
      </w:r>
      <w:r w:rsidR="00033D0F">
        <w:rPr>
          <w:position w:val="1"/>
        </w:rPr>
        <w:t>abandoned</w:t>
      </w:r>
      <w:r w:rsidR="00033D0F">
        <w:rPr>
          <w:spacing w:val="-5"/>
          <w:position w:val="1"/>
        </w:rPr>
        <w:t xml:space="preserve"> </w:t>
      </w:r>
      <w:r w:rsidR="00033D0F">
        <w:rPr>
          <w:position w:val="1"/>
        </w:rPr>
        <w:t>the</w:t>
      </w:r>
      <w:r w:rsidR="00033D0F">
        <w:rPr>
          <w:spacing w:val="-4"/>
          <w:position w:val="1"/>
        </w:rPr>
        <w:t xml:space="preserve"> </w:t>
      </w:r>
      <w:r w:rsidR="00033D0F">
        <w:rPr>
          <w:position w:val="1"/>
        </w:rPr>
        <w:t>part</w:t>
      </w:r>
      <w:r w:rsidR="00033D0F">
        <w:rPr>
          <w:spacing w:val="-3"/>
          <w:position w:val="1"/>
        </w:rPr>
        <w:t xml:space="preserve"> </w:t>
      </w:r>
      <w:r w:rsidR="00033D0F">
        <w:rPr>
          <w:position w:val="1"/>
        </w:rPr>
        <w:t>of its</w:t>
      </w:r>
      <w:r w:rsidR="00033D0F">
        <w:rPr>
          <w:spacing w:val="-2"/>
          <w:position w:val="1"/>
        </w:rPr>
        <w:t xml:space="preserve"> </w:t>
      </w:r>
      <w:r w:rsidR="00033D0F">
        <w:rPr>
          <w:position w:val="1"/>
        </w:rPr>
        <w:t>claim</w:t>
      </w:r>
      <w:r w:rsidR="00033D0F">
        <w:rPr>
          <w:spacing w:val="-8"/>
          <w:position w:val="1"/>
        </w:rPr>
        <w:t xml:space="preserve"> </w:t>
      </w:r>
      <w:r w:rsidR="00033D0F">
        <w:rPr>
          <w:position w:val="1"/>
        </w:rPr>
        <w:t>under</w:t>
      </w:r>
      <w:r w:rsidR="00033D0F">
        <w:rPr>
          <w:spacing w:val="-6"/>
          <w:position w:val="1"/>
        </w:rPr>
        <w:t xml:space="preserve"> </w:t>
      </w:r>
      <w:r w:rsidR="00033D0F">
        <w:rPr>
          <w:position w:val="1"/>
        </w:rPr>
        <w:t>Article</w:t>
      </w:r>
      <w:r w:rsidR="00033D0F">
        <w:rPr>
          <w:spacing w:val="-3"/>
          <w:position w:val="1"/>
        </w:rPr>
        <w:t xml:space="preserve"> </w:t>
      </w:r>
      <w:r w:rsidR="00033D0F">
        <w:rPr>
          <w:position w:val="1"/>
        </w:rPr>
        <w:t>6.6</w:t>
      </w:r>
      <w:r w:rsidR="00033D0F">
        <w:rPr>
          <w:spacing w:val="-6"/>
          <w:position w:val="1"/>
        </w:rPr>
        <w:t xml:space="preserve"> </w:t>
      </w:r>
      <w:r w:rsidR="00033D0F">
        <w:rPr>
          <w:position w:val="1"/>
        </w:rPr>
        <w:t xml:space="preserve">relating </w:t>
      </w:r>
      <w:r w:rsidR="00033D0F">
        <w:t>to MOFCOM's decision to resort to facts available.</w:t>
      </w:r>
      <w:hyperlink w:anchor="_bookmark1390" w:history="1">
        <w:r w:rsidR="00033D0F">
          <w:rPr>
            <w:vertAlign w:val="superscript"/>
          </w:rPr>
          <w:t>1198</w:t>
        </w:r>
      </w:hyperlink>
      <w:r w:rsidR="00033D0F">
        <w:t xml:space="preserve"> Australia has not done so.</w:t>
      </w:r>
    </w:p>
    <w:p w14:paraId="4148FAEE" w14:textId="77777777" w:rsidR="00BD462C" w:rsidRDefault="00BD462C">
      <w:pPr>
        <w:pStyle w:val="BodyText"/>
        <w:spacing w:before="3"/>
        <w:rPr>
          <w:sz w:val="9"/>
        </w:rPr>
      </w:pPr>
    </w:p>
    <w:p w14:paraId="27CF5EEB" w14:textId="40637129" w:rsidR="00BD462C" w:rsidRDefault="005F4A68">
      <w:pPr>
        <w:pStyle w:val="BodyText"/>
        <w:spacing w:before="56" w:line="360" w:lineRule="auto"/>
        <w:ind w:left="135" w:right="914"/>
        <w:jc w:val="both"/>
      </w:pPr>
      <w:r>
        <w:rPr>
          <w:noProof/>
        </w:rPr>
        <w:t>803.</w:t>
      </w:r>
      <w:r w:rsidR="00033D0F">
        <w:rPr>
          <w:rFonts w:ascii="Times New Roman"/>
          <w:spacing w:val="80"/>
          <w:position w:val="1"/>
          <w:sz w:val="20"/>
        </w:rPr>
        <w:t xml:space="preserve">  </w:t>
      </w:r>
      <w:r w:rsidR="00033D0F">
        <w:rPr>
          <w:position w:val="1"/>
        </w:rPr>
        <w:t>China's allegation appears to be entirely based on China having been unable to find</w:t>
      </w:r>
      <w:r w:rsidR="00033D0F">
        <w:rPr>
          <w:spacing w:val="40"/>
          <w:position w:val="1"/>
        </w:rPr>
        <w:t xml:space="preserve"> </w:t>
      </w:r>
      <w:r w:rsidR="00033D0F">
        <w:t>a</w:t>
      </w:r>
      <w:r w:rsidR="00033D0F">
        <w:rPr>
          <w:spacing w:val="-2"/>
        </w:rPr>
        <w:t xml:space="preserve"> </w:t>
      </w:r>
      <w:r w:rsidR="00033D0F">
        <w:t>section</w:t>
      </w:r>
      <w:r w:rsidR="00033D0F">
        <w:rPr>
          <w:spacing w:val="-3"/>
        </w:rPr>
        <w:t xml:space="preserve"> </w:t>
      </w:r>
      <w:r w:rsidR="00033D0F">
        <w:t>with</w:t>
      </w:r>
      <w:r w:rsidR="00033D0F">
        <w:rPr>
          <w:spacing w:val="-3"/>
        </w:rPr>
        <w:t xml:space="preserve"> </w:t>
      </w:r>
      <w:r w:rsidR="00033D0F">
        <w:t>a</w:t>
      </w:r>
      <w:r w:rsidR="00033D0F">
        <w:rPr>
          <w:spacing w:val="-2"/>
        </w:rPr>
        <w:t xml:space="preserve"> </w:t>
      </w:r>
      <w:r w:rsidR="00033D0F">
        <w:t>heading using the</w:t>
      </w:r>
      <w:r w:rsidR="00033D0F">
        <w:rPr>
          <w:spacing w:val="-2"/>
        </w:rPr>
        <w:t xml:space="preserve"> </w:t>
      </w:r>
      <w:r w:rsidR="00033D0F">
        <w:t>same</w:t>
      </w:r>
      <w:r w:rsidR="00033D0F">
        <w:rPr>
          <w:spacing w:val="-1"/>
        </w:rPr>
        <w:t xml:space="preserve"> </w:t>
      </w:r>
      <w:r w:rsidR="00033D0F">
        <w:t>language</w:t>
      </w:r>
      <w:r w:rsidR="00033D0F">
        <w:rPr>
          <w:spacing w:val="-6"/>
        </w:rPr>
        <w:t xml:space="preserve"> </w:t>
      </w:r>
      <w:r w:rsidR="00033D0F">
        <w:t>as the</w:t>
      </w:r>
      <w:r w:rsidR="00033D0F">
        <w:rPr>
          <w:spacing w:val="-2"/>
        </w:rPr>
        <w:t xml:space="preserve"> </w:t>
      </w:r>
      <w:r w:rsidR="00033D0F">
        <w:t>list</w:t>
      </w:r>
      <w:r w:rsidR="00033D0F">
        <w:rPr>
          <w:spacing w:val="-1"/>
        </w:rPr>
        <w:t xml:space="preserve"> </w:t>
      </w:r>
      <w:r w:rsidR="00033D0F">
        <w:t>that</w:t>
      </w:r>
      <w:r w:rsidR="00033D0F">
        <w:rPr>
          <w:spacing w:val="-1"/>
        </w:rPr>
        <w:t xml:space="preserve"> </w:t>
      </w:r>
      <w:r w:rsidR="00033D0F">
        <w:t>appears in</w:t>
      </w:r>
      <w:r w:rsidR="00033D0F">
        <w:rPr>
          <w:spacing w:val="-3"/>
        </w:rPr>
        <w:t xml:space="preserve"> </w:t>
      </w:r>
      <w:r w:rsidR="00033D0F">
        <w:t>paragraph 936 of Australia's first written submission.</w:t>
      </w:r>
      <w:hyperlink w:anchor="_bookmark1391" w:history="1">
        <w:r w:rsidR="00033D0F">
          <w:rPr>
            <w:vertAlign w:val="superscript"/>
          </w:rPr>
          <w:t>1199</w:t>
        </w:r>
      </w:hyperlink>
      <w:r w:rsidR="00033D0F">
        <w:t xml:space="preserve"> At the same time, China acknowledges that Australia specifically</w:t>
      </w:r>
      <w:r w:rsidR="00033D0F">
        <w:rPr>
          <w:spacing w:val="80"/>
        </w:rPr>
        <w:t xml:space="preserve"> </w:t>
      </w:r>
      <w:r w:rsidR="00033D0F">
        <w:t>raised</w:t>
      </w:r>
      <w:r w:rsidR="00033D0F">
        <w:rPr>
          <w:spacing w:val="80"/>
        </w:rPr>
        <w:t xml:space="preserve"> </w:t>
      </w:r>
      <w:r w:rsidR="00033D0F">
        <w:t>this</w:t>
      </w:r>
      <w:r w:rsidR="00033D0F">
        <w:rPr>
          <w:spacing w:val="80"/>
        </w:rPr>
        <w:t xml:space="preserve"> </w:t>
      </w:r>
      <w:r w:rsidR="00033D0F">
        <w:t>claim</w:t>
      </w:r>
      <w:r w:rsidR="00033D0F">
        <w:rPr>
          <w:spacing w:val="80"/>
        </w:rPr>
        <w:t xml:space="preserve"> </w:t>
      </w:r>
      <w:r w:rsidR="00033D0F">
        <w:t>in</w:t>
      </w:r>
      <w:r w:rsidR="00033D0F">
        <w:rPr>
          <w:spacing w:val="80"/>
        </w:rPr>
        <w:t xml:space="preserve"> </w:t>
      </w:r>
      <w:r w:rsidR="00033D0F">
        <w:t>both</w:t>
      </w:r>
      <w:r w:rsidR="00033D0F">
        <w:rPr>
          <w:spacing w:val="80"/>
        </w:rPr>
        <w:t xml:space="preserve"> </w:t>
      </w:r>
      <w:r w:rsidR="00033D0F">
        <w:t>the</w:t>
      </w:r>
      <w:r w:rsidR="00033D0F">
        <w:rPr>
          <w:spacing w:val="80"/>
        </w:rPr>
        <w:t xml:space="preserve"> </w:t>
      </w:r>
      <w:r w:rsidR="00033D0F">
        <w:t>introductory</w:t>
      </w:r>
      <w:r w:rsidR="00033D0F">
        <w:rPr>
          <w:spacing w:val="80"/>
        </w:rPr>
        <w:t xml:space="preserve"> </w:t>
      </w:r>
      <w:r w:rsidR="00033D0F">
        <w:t>and</w:t>
      </w:r>
      <w:r w:rsidR="00033D0F">
        <w:rPr>
          <w:spacing w:val="80"/>
        </w:rPr>
        <w:t xml:space="preserve"> </w:t>
      </w:r>
      <w:r w:rsidR="00033D0F">
        <w:t>concluding</w:t>
      </w:r>
      <w:r w:rsidR="00033D0F">
        <w:rPr>
          <w:spacing w:val="80"/>
        </w:rPr>
        <w:t xml:space="preserve"> </w:t>
      </w:r>
      <w:r w:rsidR="00033D0F">
        <w:t>sections</w:t>
      </w:r>
      <w:r w:rsidR="00033D0F">
        <w:rPr>
          <w:spacing w:val="80"/>
        </w:rPr>
        <w:t xml:space="preserve"> </w:t>
      </w:r>
      <w:r w:rsidR="00033D0F">
        <w:t>of</w:t>
      </w:r>
      <w:r w:rsidR="00033D0F">
        <w:rPr>
          <w:spacing w:val="80"/>
        </w:rPr>
        <w:t xml:space="preserve"> </w:t>
      </w:r>
      <w:r w:rsidR="00033D0F">
        <w:t>its</w:t>
      </w:r>
    </w:p>
    <w:p w14:paraId="59792AC5" w14:textId="77777777" w:rsidR="00BD462C" w:rsidRDefault="00BD462C">
      <w:pPr>
        <w:pStyle w:val="BodyText"/>
        <w:rPr>
          <w:sz w:val="20"/>
        </w:rPr>
      </w:pPr>
    </w:p>
    <w:p w14:paraId="186AB9C3" w14:textId="77777777" w:rsidR="00BD462C" w:rsidRDefault="00BD462C">
      <w:pPr>
        <w:pStyle w:val="BodyText"/>
        <w:rPr>
          <w:sz w:val="20"/>
        </w:rPr>
      </w:pPr>
    </w:p>
    <w:p w14:paraId="51651A6C" w14:textId="04024087" w:rsidR="00BD462C" w:rsidRDefault="00D70C7D">
      <w:pPr>
        <w:pStyle w:val="BodyText"/>
        <w:spacing w:before="4"/>
        <w:rPr>
          <w:sz w:val="20"/>
        </w:rPr>
      </w:pPr>
      <w:r>
        <w:rPr>
          <w:noProof/>
        </w:rPr>
        <mc:AlternateContent>
          <mc:Choice Requires="wps">
            <w:drawing>
              <wp:anchor distT="0" distB="0" distL="0" distR="0" simplePos="0" relativeHeight="487847936" behindDoc="1" locked="0" layoutInCell="1" allowOverlap="1" wp14:anchorId="0039A902" wp14:editId="46516664">
                <wp:simplePos x="0" y="0"/>
                <wp:positionH relativeFrom="page">
                  <wp:posOffset>899160</wp:posOffset>
                </wp:positionH>
                <wp:positionV relativeFrom="paragraph">
                  <wp:posOffset>173355</wp:posOffset>
                </wp:positionV>
                <wp:extent cx="1828800" cy="8890"/>
                <wp:effectExtent l="0" t="0" r="0" b="0"/>
                <wp:wrapTopAndBottom/>
                <wp:docPr id="326" name="docshape5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A3D3F" id="docshape559" o:spid="_x0000_s1026" alt="&quot;&quot;" style="position:absolute;margin-left:70.8pt;margin-top:13.65pt;width:2in;height:.7pt;z-index:-1546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" fillcolor="black" stroked="f">
                <w10:wrap type="topAndBottom" anchorx="page"/>
              </v:rect>
            </w:pict>
          </mc:Fallback>
        </mc:AlternateContent>
      </w:r>
    </w:p>
    <w:p w14:paraId="2EB37DFF" w14:textId="77777777" w:rsidR="00BD462C" w:rsidRDefault="00033D0F">
      <w:pPr>
        <w:spacing w:before="112"/>
        <w:ind w:left="136" w:right="910" w:hanging="1"/>
        <w:jc w:val="both"/>
        <w:rPr>
          <w:sz w:val="18"/>
        </w:rPr>
      </w:pPr>
      <w:bookmarkStart w:id="1614" w:name="_bookmark1388"/>
      <w:bookmarkEnd w:id="1614"/>
      <w:r>
        <w:rPr>
          <w:position w:val="5"/>
          <w:sz w:val="12"/>
        </w:rPr>
        <w:t>1196</w:t>
      </w:r>
      <w:r>
        <w:rPr>
          <w:spacing w:val="21"/>
          <w:position w:val="5"/>
          <w:sz w:val="12"/>
        </w:rPr>
        <w:t xml:space="preserve"> </w:t>
      </w:r>
      <w:r>
        <w:rPr>
          <w:sz w:val="18"/>
        </w:rPr>
        <w:t>See Australia's first written submission, paras. 936-957; opening statement at the first meeting of the Panel, para. 121- 123; Australia’s</w:t>
      </w:r>
      <w:r>
        <w:rPr>
          <w:spacing w:val="-3"/>
          <w:sz w:val="18"/>
        </w:rPr>
        <w:t xml:space="preserve"> </w:t>
      </w:r>
      <w:r>
        <w:rPr>
          <w:sz w:val="18"/>
        </w:rPr>
        <w:t>responses</w:t>
      </w:r>
      <w:r>
        <w:rPr>
          <w:spacing w:val="-8"/>
          <w:sz w:val="18"/>
        </w:rPr>
        <w:t xml:space="preserve"> </w:t>
      </w:r>
      <w:r>
        <w:rPr>
          <w:sz w:val="18"/>
        </w:rPr>
        <w:t>to</w:t>
      </w:r>
      <w:r>
        <w:rPr>
          <w:spacing w:val="-9"/>
          <w:sz w:val="18"/>
        </w:rPr>
        <w:t xml:space="preserve"> </w:t>
      </w:r>
      <w:r>
        <w:rPr>
          <w:sz w:val="18"/>
        </w:rPr>
        <w:t>Panel</w:t>
      </w:r>
      <w:r>
        <w:rPr>
          <w:spacing w:val="-2"/>
          <w:sz w:val="18"/>
        </w:rPr>
        <w:t xml:space="preserve"> </w:t>
      </w:r>
      <w:r>
        <w:rPr>
          <w:sz w:val="18"/>
        </w:rPr>
        <w:t>questions</w:t>
      </w:r>
      <w:r>
        <w:rPr>
          <w:spacing w:val="-3"/>
          <w:sz w:val="18"/>
        </w:rPr>
        <w:t xml:space="preserve"> </w:t>
      </w:r>
      <w:r>
        <w:rPr>
          <w:sz w:val="18"/>
        </w:rPr>
        <w:t>No.</w:t>
      </w:r>
      <w:r>
        <w:rPr>
          <w:spacing w:val="-2"/>
          <w:sz w:val="18"/>
        </w:rPr>
        <w:t xml:space="preserve"> </w:t>
      </w:r>
      <w:r>
        <w:rPr>
          <w:sz w:val="18"/>
        </w:rPr>
        <w:t>18,</w:t>
      </w:r>
      <w:r>
        <w:rPr>
          <w:spacing w:val="-1"/>
          <w:sz w:val="18"/>
        </w:rPr>
        <w:t xml:space="preserve"> </w:t>
      </w:r>
      <w:r>
        <w:rPr>
          <w:sz w:val="18"/>
        </w:rPr>
        <w:t>paras.</w:t>
      </w:r>
      <w:r>
        <w:rPr>
          <w:spacing w:val="-2"/>
          <w:sz w:val="18"/>
        </w:rPr>
        <w:t xml:space="preserve"> </w:t>
      </w:r>
      <w:r>
        <w:rPr>
          <w:sz w:val="18"/>
        </w:rPr>
        <w:t>53-59;</w:t>
      </w:r>
      <w:r>
        <w:rPr>
          <w:spacing w:val="-9"/>
          <w:sz w:val="18"/>
        </w:rPr>
        <w:t xml:space="preserve"> </w:t>
      </w:r>
      <w:r>
        <w:rPr>
          <w:sz w:val="18"/>
        </w:rPr>
        <w:t>Australia's</w:t>
      </w:r>
      <w:r>
        <w:rPr>
          <w:spacing w:val="-3"/>
          <w:sz w:val="18"/>
        </w:rPr>
        <w:t xml:space="preserve"> </w:t>
      </w:r>
      <w:r>
        <w:rPr>
          <w:sz w:val="18"/>
        </w:rPr>
        <w:t>response</w:t>
      </w:r>
      <w:r>
        <w:rPr>
          <w:spacing w:val="-8"/>
          <w:sz w:val="18"/>
        </w:rPr>
        <w:t xml:space="preserve"> </w:t>
      </w:r>
      <w:r>
        <w:rPr>
          <w:sz w:val="18"/>
        </w:rPr>
        <w:t>to</w:t>
      </w:r>
      <w:r>
        <w:rPr>
          <w:spacing w:val="-4"/>
          <w:sz w:val="18"/>
        </w:rPr>
        <w:t xml:space="preserve"> </w:t>
      </w:r>
      <w:r>
        <w:rPr>
          <w:sz w:val="18"/>
        </w:rPr>
        <w:t>Panel</w:t>
      </w:r>
      <w:r>
        <w:rPr>
          <w:spacing w:val="-3"/>
          <w:sz w:val="18"/>
        </w:rPr>
        <w:t xml:space="preserve"> </w:t>
      </w:r>
      <w:r>
        <w:rPr>
          <w:sz w:val="18"/>
        </w:rPr>
        <w:t>question</w:t>
      </w:r>
      <w:r>
        <w:rPr>
          <w:spacing w:val="-8"/>
          <w:sz w:val="18"/>
        </w:rPr>
        <w:t xml:space="preserve"> </w:t>
      </w:r>
      <w:r>
        <w:rPr>
          <w:sz w:val="18"/>
        </w:rPr>
        <w:t>No. 59,</w:t>
      </w:r>
      <w:r>
        <w:rPr>
          <w:spacing w:val="-1"/>
          <w:sz w:val="18"/>
        </w:rPr>
        <w:t xml:space="preserve"> </w:t>
      </w:r>
      <w:r>
        <w:rPr>
          <w:sz w:val="18"/>
        </w:rPr>
        <w:t>paras.</w:t>
      </w:r>
      <w:r>
        <w:rPr>
          <w:spacing w:val="-2"/>
          <w:sz w:val="18"/>
        </w:rPr>
        <w:t xml:space="preserve"> </w:t>
      </w:r>
      <w:r>
        <w:rPr>
          <w:sz w:val="18"/>
        </w:rPr>
        <w:t xml:space="preserve">145- </w:t>
      </w:r>
      <w:r>
        <w:rPr>
          <w:spacing w:val="-4"/>
          <w:sz w:val="18"/>
        </w:rPr>
        <w:t>153.</w:t>
      </w:r>
    </w:p>
    <w:p w14:paraId="36F57488" w14:textId="77777777" w:rsidR="00BD462C" w:rsidRDefault="00033D0F">
      <w:pPr>
        <w:spacing w:before="6" w:line="235" w:lineRule="auto"/>
        <w:ind w:left="135" w:right="912"/>
        <w:jc w:val="both"/>
        <w:rPr>
          <w:sz w:val="18"/>
        </w:rPr>
      </w:pPr>
      <w:bookmarkStart w:id="1615" w:name="_bookmark1389"/>
      <w:bookmarkEnd w:id="1615"/>
      <w:r>
        <w:rPr>
          <w:position w:val="5"/>
          <w:sz w:val="12"/>
        </w:rPr>
        <w:t>1197</w:t>
      </w:r>
      <w:r>
        <w:rPr>
          <w:spacing w:val="25"/>
          <w:position w:val="5"/>
          <w:sz w:val="12"/>
        </w:rPr>
        <w:t xml:space="preserve"> </w:t>
      </w:r>
      <w:r>
        <w:rPr>
          <w:sz w:val="18"/>
        </w:rPr>
        <w:t xml:space="preserve">China adduces several jurisdictional or "threshold" complaints concerning Australia's claims with respect to Article 6.6. These complaints, which are entirely without merit, are addressed above. See above sections </w:t>
      </w:r>
      <w:hyperlink w:anchor="_bookmark6" w:history="1">
        <w:r>
          <w:rPr>
            <w:sz w:val="18"/>
          </w:rPr>
          <w:t>II.A</w:t>
        </w:r>
      </w:hyperlink>
      <w:r>
        <w:rPr>
          <w:sz w:val="18"/>
        </w:rPr>
        <w:t xml:space="preserve"> - </w:t>
      </w:r>
      <w:hyperlink w:anchor="_bookmark91" w:history="1">
        <w:r>
          <w:rPr>
            <w:sz w:val="18"/>
          </w:rPr>
          <w:t>II.B.</w:t>
        </w:r>
      </w:hyperlink>
    </w:p>
    <w:p w14:paraId="01845788" w14:textId="77777777" w:rsidR="00BD462C" w:rsidRDefault="00033D0F">
      <w:pPr>
        <w:spacing w:before="3"/>
        <w:ind w:left="135"/>
        <w:jc w:val="both"/>
        <w:rPr>
          <w:sz w:val="18"/>
        </w:rPr>
      </w:pPr>
      <w:bookmarkStart w:id="1616" w:name="_bookmark1390"/>
      <w:bookmarkEnd w:id="1616"/>
      <w:r>
        <w:rPr>
          <w:position w:val="5"/>
          <w:sz w:val="12"/>
        </w:rPr>
        <w:t>1198</w:t>
      </w:r>
      <w:r>
        <w:rPr>
          <w:spacing w:val="13"/>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 xml:space="preserve">para. </w:t>
      </w:r>
      <w:r>
        <w:rPr>
          <w:spacing w:val="-2"/>
          <w:sz w:val="18"/>
        </w:rPr>
        <w:t>2416.</w:t>
      </w:r>
    </w:p>
    <w:p w14:paraId="4D1EB2E1" w14:textId="77777777" w:rsidR="00BD462C" w:rsidRDefault="00033D0F">
      <w:pPr>
        <w:spacing w:before="1"/>
        <w:ind w:left="136" w:right="909" w:hanging="1"/>
        <w:jc w:val="both"/>
        <w:rPr>
          <w:sz w:val="18"/>
        </w:rPr>
      </w:pPr>
      <w:bookmarkStart w:id="1617" w:name="_bookmark1391"/>
      <w:bookmarkEnd w:id="1617"/>
      <w:r>
        <w:rPr>
          <w:position w:val="5"/>
          <w:sz w:val="12"/>
        </w:rPr>
        <w:t>1199</w:t>
      </w:r>
      <w:r>
        <w:rPr>
          <w:spacing w:val="16"/>
          <w:position w:val="5"/>
          <w:sz w:val="12"/>
        </w:rPr>
        <w:t xml:space="preserve"> </w:t>
      </w:r>
      <w:r>
        <w:rPr>
          <w:sz w:val="18"/>
        </w:rPr>
        <w:t>Indeed, China's assertion of abandonment appears to be</w:t>
      </w:r>
      <w:r>
        <w:rPr>
          <w:spacing w:val="-3"/>
          <w:sz w:val="18"/>
        </w:rPr>
        <w:t xml:space="preserve"> </w:t>
      </w:r>
      <w:r>
        <w:rPr>
          <w:sz w:val="18"/>
        </w:rPr>
        <w:t>entirely</w:t>
      </w:r>
      <w:r>
        <w:rPr>
          <w:spacing w:val="-5"/>
          <w:sz w:val="18"/>
        </w:rPr>
        <w:t xml:space="preserve"> </w:t>
      </w:r>
      <w:r>
        <w:rPr>
          <w:sz w:val="18"/>
        </w:rPr>
        <w:t>predicated on its</w:t>
      </w:r>
      <w:r>
        <w:rPr>
          <w:spacing w:val="-3"/>
          <w:sz w:val="18"/>
        </w:rPr>
        <w:t xml:space="preserve"> </w:t>
      </w:r>
      <w:r>
        <w:rPr>
          <w:sz w:val="18"/>
        </w:rPr>
        <w:t>drafting preference</w:t>
      </w:r>
      <w:r>
        <w:rPr>
          <w:spacing w:val="-3"/>
          <w:sz w:val="18"/>
        </w:rPr>
        <w:t xml:space="preserve"> </w:t>
      </w:r>
      <w:r>
        <w:rPr>
          <w:sz w:val="18"/>
        </w:rPr>
        <w:t>that</w:t>
      </w:r>
      <w:r>
        <w:rPr>
          <w:spacing w:val="-2"/>
          <w:sz w:val="18"/>
        </w:rPr>
        <w:t xml:space="preserve"> </w:t>
      </w:r>
      <w:r>
        <w:rPr>
          <w:sz w:val="18"/>
        </w:rPr>
        <w:t>para. 936 of Australia's</w:t>
      </w:r>
      <w:r>
        <w:rPr>
          <w:spacing w:val="-11"/>
          <w:sz w:val="18"/>
        </w:rPr>
        <w:t xml:space="preserve"> </w:t>
      </w:r>
      <w:r>
        <w:rPr>
          <w:sz w:val="18"/>
        </w:rPr>
        <w:t>first</w:t>
      </w:r>
      <w:r>
        <w:rPr>
          <w:spacing w:val="-10"/>
          <w:sz w:val="18"/>
        </w:rPr>
        <w:t xml:space="preserve"> </w:t>
      </w:r>
      <w:r>
        <w:rPr>
          <w:sz w:val="18"/>
        </w:rPr>
        <w:t>written</w:t>
      </w:r>
      <w:r>
        <w:rPr>
          <w:spacing w:val="-10"/>
          <w:sz w:val="18"/>
        </w:rPr>
        <w:t xml:space="preserve"> </w:t>
      </w:r>
      <w:r>
        <w:rPr>
          <w:sz w:val="18"/>
        </w:rPr>
        <w:t>submission</w:t>
      </w:r>
      <w:r>
        <w:rPr>
          <w:spacing w:val="-10"/>
          <w:sz w:val="18"/>
        </w:rPr>
        <w:t xml:space="preserve"> </w:t>
      </w:r>
      <w:r>
        <w:rPr>
          <w:sz w:val="18"/>
        </w:rPr>
        <w:t>should</w:t>
      </w:r>
      <w:r>
        <w:rPr>
          <w:spacing w:val="-10"/>
          <w:sz w:val="18"/>
        </w:rPr>
        <w:t xml:space="preserve"> </w:t>
      </w:r>
      <w:r>
        <w:rPr>
          <w:sz w:val="18"/>
        </w:rPr>
        <w:t>not</w:t>
      </w:r>
      <w:r>
        <w:rPr>
          <w:spacing w:val="-11"/>
          <w:sz w:val="18"/>
        </w:rPr>
        <w:t xml:space="preserve"> </w:t>
      </w:r>
      <w:r>
        <w:rPr>
          <w:sz w:val="18"/>
        </w:rPr>
        <w:t>have</w:t>
      </w:r>
      <w:r>
        <w:rPr>
          <w:spacing w:val="-10"/>
          <w:sz w:val="18"/>
        </w:rPr>
        <w:t xml:space="preserve"> </w:t>
      </w:r>
      <w:r>
        <w:rPr>
          <w:sz w:val="18"/>
        </w:rPr>
        <w:t>included</w:t>
      </w:r>
      <w:r>
        <w:rPr>
          <w:spacing w:val="-10"/>
          <w:sz w:val="18"/>
        </w:rPr>
        <w:t xml:space="preserve"> </w:t>
      </w:r>
      <w:r>
        <w:rPr>
          <w:sz w:val="18"/>
        </w:rPr>
        <w:t>the</w:t>
      </w:r>
      <w:r>
        <w:rPr>
          <w:spacing w:val="-10"/>
          <w:sz w:val="18"/>
        </w:rPr>
        <w:t xml:space="preserve"> </w:t>
      </w:r>
      <w:r>
        <w:rPr>
          <w:sz w:val="18"/>
        </w:rPr>
        <w:t>roman</w:t>
      </w:r>
      <w:r>
        <w:rPr>
          <w:spacing w:val="-10"/>
          <w:sz w:val="18"/>
        </w:rPr>
        <w:t xml:space="preserve"> </w:t>
      </w:r>
      <w:r>
        <w:rPr>
          <w:sz w:val="18"/>
        </w:rPr>
        <w:t>numeral</w:t>
      </w:r>
      <w:r>
        <w:rPr>
          <w:spacing w:val="-10"/>
          <w:sz w:val="18"/>
        </w:rPr>
        <w:t xml:space="preserve"> </w:t>
      </w:r>
      <w:r>
        <w:rPr>
          <w:sz w:val="18"/>
        </w:rPr>
        <w:t>"(v)"</w:t>
      </w:r>
      <w:r>
        <w:rPr>
          <w:spacing w:val="-11"/>
          <w:sz w:val="18"/>
        </w:rPr>
        <w:t xml:space="preserve"> </w:t>
      </w:r>
      <w:r>
        <w:rPr>
          <w:sz w:val="18"/>
        </w:rPr>
        <w:t>in</w:t>
      </w:r>
      <w:r>
        <w:rPr>
          <w:spacing w:val="-10"/>
          <w:sz w:val="18"/>
        </w:rPr>
        <w:t xml:space="preserve"> </w:t>
      </w:r>
      <w:r>
        <w:rPr>
          <w:sz w:val="18"/>
        </w:rPr>
        <w:t>a</w:t>
      </w:r>
      <w:r>
        <w:rPr>
          <w:spacing w:val="-10"/>
          <w:sz w:val="18"/>
        </w:rPr>
        <w:t xml:space="preserve"> </w:t>
      </w:r>
      <w:r>
        <w:rPr>
          <w:sz w:val="18"/>
        </w:rPr>
        <w:t>list</w:t>
      </w:r>
      <w:r>
        <w:rPr>
          <w:spacing w:val="-10"/>
          <w:sz w:val="18"/>
        </w:rPr>
        <w:t xml:space="preserve"> </w:t>
      </w:r>
      <w:r>
        <w:rPr>
          <w:sz w:val="18"/>
        </w:rPr>
        <w:t>format</w:t>
      </w:r>
      <w:r>
        <w:rPr>
          <w:spacing w:val="-10"/>
          <w:sz w:val="18"/>
        </w:rPr>
        <w:t xml:space="preserve"> </w:t>
      </w:r>
      <w:r>
        <w:rPr>
          <w:sz w:val="18"/>
        </w:rPr>
        <w:t>if</w:t>
      </w:r>
      <w:r>
        <w:rPr>
          <w:spacing w:val="-10"/>
          <w:sz w:val="18"/>
        </w:rPr>
        <w:t xml:space="preserve"> </w:t>
      </w:r>
      <w:r>
        <w:rPr>
          <w:sz w:val="18"/>
        </w:rPr>
        <w:t>that</w:t>
      </w:r>
      <w:r>
        <w:rPr>
          <w:spacing w:val="-11"/>
          <w:sz w:val="18"/>
        </w:rPr>
        <w:t xml:space="preserve"> </w:t>
      </w:r>
      <w:r>
        <w:rPr>
          <w:sz w:val="18"/>
        </w:rPr>
        <w:t>did</w:t>
      </w:r>
      <w:r>
        <w:rPr>
          <w:spacing w:val="-10"/>
          <w:sz w:val="18"/>
        </w:rPr>
        <w:t xml:space="preserve"> </w:t>
      </w:r>
      <w:r>
        <w:rPr>
          <w:sz w:val="18"/>
        </w:rPr>
        <w:t>not</w:t>
      </w:r>
      <w:r>
        <w:rPr>
          <w:spacing w:val="-10"/>
          <w:sz w:val="18"/>
        </w:rPr>
        <w:t xml:space="preserve"> </w:t>
      </w:r>
      <w:r>
        <w:rPr>
          <w:sz w:val="18"/>
        </w:rPr>
        <w:t>correspond to a separate heading. Presumably, China would have no</w:t>
      </w:r>
      <w:r>
        <w:rPr>
          <w:spacing w:val="-4"/>
          <w:sz w:val="18"/>
        </w:rPr>
        <w:t xml:space="preserve"> </w:t>
      </w:r>
      <w:r>
        <w:rPr>
          <w:sz w:val="18"/>
        </w:rPr>
        <w:t>objection</w:t>
      </w:r>
      <w:r>
        <w:rPr>
          <w:spacing w:val="-4"/>
          <w:sz w:val="18"/>
        </w:rPr>
        <w:t xml:space="preserve"> </w:t>
      </w:r>
      <w:r>
        <w:rPr>
          <w:sz w:val="18"/>
        </w:rPr>
        <w:t>if</w:t>
      </w:r>
      <w:r>
        <w:rPr>
          <w:spacing w:val="-2"/>
          <w:sz w:val="18"/>
        </w:rPr>
        <w:t xml:space="preserve"> </w:t>
      </w:r>
      <w:r>
        <w:rPr>
          <w:sz w:val="18"/>
        </w:rPr>
        <w:t>that single character</w:t>
      </w:r>
      <w:r>
        <w:rPr>
          <w:spacing w:val="-5"/>
          <w:sz w:val="18"/>
        </w:rPr>
        <w:t xml:space="preserve"> </w:t>
      </w:r>
      <w:r>
        <w:rPr>
          <w:sz w:val="18"/>
        </w:rPr>
        <w:t>had</w:t>
      </w:r>
      <w:r>
        <w:rPr>
          <w:spacing w:val="-4"/>
          <w:sz w:val="18"/>
        </w:rPr>
        <w:t xml:space="preserve"> </w:t>
      </w:r>
      <w:r>
        <w:rPr>
          <w:sz w:val="18"/>
        </w:rPr>
        <w:t>been omitted</w:t>
      </w:r>
      <w:r>
        <w:rPr>
          <w:spacing w:val="-4"/>
          <w:sz w:val="18"/>
        </w:rPr>
        <w:t xml:space="preserve"> </w:t>
      </w:r>
      <w:r>
        <w:rPr>
          <w:sz w:val="18"/>
        </w:rPr>
        <w:t>such</w:t>
      </w:r>
      <w:r>
        <w:rPr>
          <w:spacing w:val="-4"/>
          <w:sz w:val="18"/>
        </w:rPr>
        <w:t xml:space="preserve"> </w:t>
      </w:r>
      <w:r>
        <w:rPr>
          <w:sz w:val="18"/>
        </w:rPr>
        <w:t>that para. 936</w:t>
      </w:r>
      <w:r>
        <w:rPr>
          <w:spacing w:val="-4"/>
          <w:sz w:val="18"/>
        </w:rPr>
        <w:t xml:space="preserve"> </w:t>
      </w:r>
      <w:r>
        <w:rPr>
          <w:sz w:val="18"/>
        </w:rPr>
        <w:t>instead</w:t>
      </w:r>
      <w:r>
        <w:rPr>
          <w:spacing w:val="-7"/>
          <w:sz w:val="18"/>
        </w:rPr>
        <w:t xml:space="preserve"> </w:t>
      </w:r>
      <w:r>
        <w:rPr>
          <w:sz w:val="18"/>
        </w:rPr>
        <w:t>simply</w:t>
      </w:r>
      <w:r>
        <w:rPr>
          <w:spacing w:val="-4"/>
          <w:sz w:val="18"/>
        </w:rPr>
        <w:t xml:space="preserve"> </w:t>
      </w:r>
      <w:r>
        <w:rPr>
          <w:sz w:val="18"/>
        </w:rPr>
        <w:t>read</w:t>
      </w:r>
      <w:r>
        <w:rPr>
          <w:spacing w:val="-3"/>
          <w:sz w:val="18"/>
        </w:rPr>
        <w:t xml:space="preserve"> </w:t>
      </w:r>
      <w:r>
        <w:rPr>
          <w:sz w:val="18"/>
        </w:rPr>
        <w:t>"the</w:t>
      </w:r>
      <w:r>
        <w:rPr>
          <w:spacing w:val="-2"/>
          <w:sz w:val="18"/>
        </w:rPr>
        <w:t xml:space="preserve"> </w:t>
      </w:r>
      <w:r>
        <w:rPr>
          <w:sz w:val="18"/>
        </w:rPr>
        <w:t>methodology</w:t>
      </w:r>
      <w:r>
        <w:rPr>
          <w:spacing w:val="-9"/>
          <w:sz w:val="18"/>
        </w:rPr>
        <w:t xml:space="preserve"> </w:t>
      </w:r>
      <w:r>
        <w:rPr>
          <w:sz w:val="18"/>
        </w:rPr>
        <w:t>MOFCOM used</w:t>
      </w:r>
      <w:r>
        <w:rPr>
          <w:spacing w:val="-7"/>
          <w:sz w:val="18"/>
        </w:rPr>
        <w:t xml:space="preserve"> </w:t>
      </w:r>
      <w:r>
        <w:rPr>
          <w:sz w:val="18"/>
        </w:rPr>
        <w:t>to</w:t>
      </w:r>
      <w:r>
        <w:rPr>
          <w:spacing w:val="-3"/>
          <w:sz w:val="18"/>
        </w:rPr>
        <w:t xml:space="preserve"> </w:t>
      </w:r>
      <w:r>
        <w:rPr>
          <w:sz w:val="18"/>
        </w:rPr>
        <w:t>verify</w:t>
      </w:r>
      <w:r>
        <w:rPr>
          <w:spacing w:val="-9"/>
          <w:sz w:val="18"/>
        </w:rPr>
        <w:t xml:space="preserve"> </w:t>
      </w:r>
      <w:r>
        <w:rPr>
          <w:sz w:val="18"/>
        </w:rPr>
        <w:t>the</w:t>
      </w:r>
      <w:r>
        <w:rPr>
          <w:spacing w:val="-7"/>
          <w:sz w:val="18"/>
        </w:rPr>
        <w:t xml:space="preserve"> </w:t>
      </w:r>
      <w:r>
        <w:rPr>
          <w:sz w:val="18"/>
        </w:rPr>
        <w:t>information</w:t>
      </w:r>
      <w:r>
        <w:rPr>
          <w:spacing w:val="-7"/>
          <w:sz w:val="18"/>
        </w:rPr>
        <w:t xml:space="preserve"> </w:t>
      </w:r>
      <w:r>
        <w:rPr>
          <w:sz w:val="18"/>
        </w:rPr>
        <w:t>provided</w:t>
      </w:r>
      <w:r>
        <w:rPr>
          <w:spacing w:val="-3"/>
          <w:sz w:val="18"/>
        </w:rPr>
        <w:t xml:space="preserve"> </w:t>
      </w:r>
      <w:r>
        <w:rPr>
          <w:sz w:val="18"/>
        </w:rPr>
        <w:t>by</w:t>
      </w:r>
      <w:r>
        <w:rPr>
          <w:spacing w:val="-9"/>
          <w:sz w:val="18"/>
        </w:rPr>
        <w:t xml:space="preserve"> </w:t>
      </w:r>
      <w:r>
        <w:rPr>
          <w:sz w:val="18"/>
        </w:rPr>
        <w:t>the</w:t>
      </w:r>
      <w:r>
        <w:rPr>
          <w:spacing w:val="-2"/>
          <w:sz w:val="18"/>
        </w:rPr>
        <w:t xml:space="preserve"> </w:t>
      </w:r>
      <w:r>
        <w:rPr>
          <w:sz w:val="18"/>
        </w:rPr>
        <w:t>sampled</w:t>
      </w:r>
      <w:r>
        <w:rPr>
          <w:spacing w:val="-3"/>
          <w:sz w:val="18"/>
        </w:rPr>
        <w:t xml:space="preserve"> </w:t>
      </w:r>
      <w:r>
        <w:rPr>
          <w:sz w:val="18"/>
        </w:rPr>
        <w:t>companies</w:t>
      </w:r>
      <w:r>
        <w:rPr>
          <w:spacing w:val="-2"/>
          <w:sz w:val="18"/>
        </w:rPr>
        <w:t xml:space="preserve"> </w:t>
      </w:r>
      <w:r>
        <w:rPr>
          <w:sz w:val="18"/>
        </w:rPr>
        <w:t xml:space="preserve">and MOFCOM's decision to resort to "facts available". It is not reasonable to read Australia's submissions in this manner, particularly to purportedly infer the abandonment of an element of a claim that Australia specifically raised in those </w:t>
      </w:r>
      <w:r>
        <w:rPr>
          <w:spacing w:val="-2"/>
          <w:sz w:val="18"/>
        </w:rPr>
        <w:t>submissions.</w:t>
      </w:r>
    </w:p>
    <w:p w14:paraId="2DC13D9A" w14:textId="77777777" w:rsidR="00BD462C" w:rsidRDefault="00BD462C">
      <w:pPr>
        <w:jc w:val="both"/>
        <w:rPr>
          <w:sz w:val="18"/>
        </w:rPr>
        <w:sectPr w:rsidR="00BD462C">
          <w:pgSz w:w="11910" w:h="16840"/>
          <w:pgMar w:top="860" w:right="500" w:bottom="780" w:left="1280" w:header="566" w:footer="590" w:gutter="0"/>
          <w:cols w:space="720"/>
        </w:sectPr>
      </w:pPr>
    </w:p>
    <w:p w14:paraId="69651668"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66198F56"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7D9CC43C"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02212484" w14:textId="77777777" w:rsidR="00BD462C" w:rsidRDefault="00033D0F">
      <w:pPr>
        <w:pStyle w:val="BodyText"/>
        <w:spacing w:before="102" w:line="360" w:lineRule="auto"/>
        <w:ind w:left="136" w:right="910"/>
        <w:jc w:val="both"/>
      </w:pPr>
      <w:r>
        <w:t>submissions on Article 6.6.</w:t>
      </w:r>
      <w:hyperlink w:anchor="_bookmark1393" w:history="1">
        <w:r>
          <w:rPr>
            <w:vertAlign w:val="superscript"/>
          </w:rPr>
          <w:t>1200</w:t>
        </w:r>
      </w:hyperlink>
      <w:r>
        <w:t xml:space="preserve"> Australia's arguments about MOFCOM's decision to resort to "facts available" are made, from paragraph 953 of Australia's first written submission, in parallel to those concerning the defective assessment of the responses from the sampled companies. The defects in those assessments led to errors in the decision to resort to facts </w:t>
      </w:r>
      <w:r>
        <w:rPr>
          <w:spacing w:val="-2"/>
        </w:rPr>
        <w:t>available.</w:t>
      </w:r>
    </w:p>
    <w:p w14:paraId="4C829306" w14:textId="77777777" w:rsidR="00BD462C" w:rsidRDefault="00BD462C">
      <w:pPr>
        <w:pStyle w:val="BodyText"/>
        <w:spacing w:before="11"/>
        <w:rPr>
          <w:sz w:val="8"/>
        </w:rPr>
      </w:pPr>
    </w:p>
    <w:p w14:paraId="484F3A6D" w14:textId="50016DC4" w:rsidR="00BD462C" w:rsidRDefault="005F4A68">
      <w:pPr>
        <w:pStyle w:val="BodyText"/>
        <w:spacing w:before="56" w:line="355" w:lineRule="auto"/>
        <w:ind w:left="135" w:right="923"/>
      </w:pPr>
      <w:r>
        <w:rPr>
          <w:noProof/>
        </w:rPr>
        <w:t>804.</w:t>
      </w:r>
      <w:r w:rsidR="00033D0F">
        <w:rPr>
          <w:rFonts w:ascii="Times New Roman"/>
          <w:spacing w:val="80"/>
          <w:position w:val="1"/>
          <w:sz w:val="20"/>
        </w:rPr>
        <w:t xml:space="preserve">   </w:t>
      </w:r>
      <w:r w:rsidR="00033D0F">
        <w:rPr>
          <w:position w:val="1"/>
        </w:rPr>
        <w:t xml:space="preserve">Moreover, it is premature for China to infer that Australia has abandoned an aspect </w:t>
      </w:r>
      <w:r w:rsidR="00033D0F">
        <w:t>of its claim simply from the first written submission.</w:t>
      </w:r>
      <w:hyperlink w:anchor="_bookmark1394" w:history="1">
        <w:r w:rsidR="00033D0F">
          <w:rPr>
            <w:vertAlign w:val="superscript"/>
          </w:rPr>
          <w:t>1201</w:t>
        </w:r>
      </w:hyperlink>
    </w:p>
    <w:p w14:paraId="228151FF" w14:textId="77777777" w:rsidR="00BD462C" w:rsidRDefault="00033D0F">
      <w:pPr>
        <w:pStyle w:val="Heading3"/>
        <w:numPr>
          <w:ilvl w:val="0"/>
          <w:numId w:val="21"/>
        </w:numPr>
        <w:tabs>
          <w:tab w:val="left" w:pos="2545"/>
          <w:tab w:val="left" w:pos="2546"/>
        </w:tabs>
        <w:spacing w:before="165"/>
        <w:ind w:left="2545"/>
        <w:jc w:val="left"/>
      </w:pPr>
      <w:bookmarkStart w:id="1618" w:name="_bookmark1392"/>
      <w:bookmarkEnd w:id="1618"/>
      <w:r>
        <w:t>Legal</w:t>
      </w:r>
      <w:r>
        <w:rPr>
          <w:spacing w:val="-3"/>
        </w:rPr>
        <w:t xml:space="preserve"> </w:t>
      </w:r>
      <w:r>
        <w:rPr>
          <w:spacing w:val="-2"/>
        </w:rPr>
        <w:t>framework</w:t>
      </w:r>
    </w:p>
    <w:p w14:paraId="56337AC7" w14:textId="77777777" w:rsidR="00BD462C" w:rsidRDefault="00BD462C">
      <w:pPr>
        <w:pStyle w:val="BodyText"/>
        <w:spacing w:before="11"/>
        <w:rPr>
          <w:b/>
          <w:sz w:val="20"/>
        </w:rPr>
      </w:pPr>
    </w:p>
    <w:p w14:paraId="0FFA07A7" w14:textId="7319D1F6" w:rsidR="00BD462C" w:rsidRDefault="005F4A68">
      <w:pPr>
        <w:pStyle w:val="BodyText"/>
        <w:spacing w:before="56" w:line="360" w:lineRule="auto"/>
        <w:ind w:left="135" w:right="917"/>
        <w:jc w:val="both"/>
      </w:pPr>
      <w:r>
        <w:rPr>
          <w:noProof/>
        </w:rPr>
        <w:t>805.</w:t>
      </w:r>
      <w:r w:rsidR="00033D0F">
        <w:rPr>
          <w:rFonts w:ascii="Times New Roman"/>
          <w:spacing w:val="80"/>
          <w:w w:val="150"/>
          <w:position w:val="1"/>
          <w:sz w:val="20"/>
        </w:rPr>
        <w:t xml:space="preserve"> </w:t>
      </w:r>
      <w:r w:rsidR="00033D0F">
        <w:rPr>
          <w:position w:val="1"/>
        </w:rPr>
        <w:t>China alleges that Australia's arguments concerning Article</w:t>
      </w:r>
      <w:r w:rsidR="00033D0F">
        <w:rPr>
          <w:spacing w:val="-2"/>
          <w:position w:val="1"/>
        </w:rPr>
        <w:t xml:space="preserve"> </w:t>
      </w:r>
      <w:r w:rsidR="00033D0F">
        <w:rPr>
          <w:position w:val="1"/>
        </w:rPr>
        <w:t xml:space="preserve">6.6 are based on an </w:t>
      </w:r>
      <w:r w:rsidR="00033D0F">
        <w:t>"incorrect</w:t>
      </w:r>
      <w:r w:rsidR="00033D0F">
        <w:rPr>
          <w:spacing w:val="-7"/>
        </w:rPr>
        <w:t xml:space="preserve"> </w:t>
      </w:r>
      <w:r w:rsidR="00033D0F">
        <w:t>and/or</w:t>
      </w:r>
      <w:r w:rsidR="00033D0F">
        <w:rPr>
          <w:spacing w:val="-5"/>
        </w:rPr>
        <w:t xml:space="preserve"> </w:t>
      </w:r>
      <w:r w:rsidR="00033D0F">
        <w:t>improper</w:t>
      </w:r>
      <w:r w:rsidR="00033D0F">
        <w:rPr>
          <w:spacing w:val="-10"/>
        </w:rPr>
        <w:t xml:space="preserve"> </w:t>
      </w:r>
      <w:r w:rsidR="00033D0F">
        <w:t>interpretation"</w:t>
      </w:r>
      <w:r w:rsidR="00033D0F">
        <w:rPr>
          <w:spacing w:val="-8"/>
        </w:rPr>
        <w:t xml:space="preserve"> </w:t>
      </w:r>
      <w:r w:rsidR="00033D0F">
        <w:t>of</w:t>
      </w:r>
      <w:r w:rsidR="00033D0F">
        <w:rPr>
          <w:spacing w:val="-4"/>
        </w:rPr>
        <w:t xml:space="preserve"> </w:t>
      </w:r>
      <w:r w:rsidR="00033D0F">
        <w:t>the</w:t>
      </w:r>
      <w:r w:rsidR="00033D0F">
        <w:rPr>
          <w:spacing w:val="-3"/>
        </w:rPr>
        <w:t xml:space="preserve"> </w:t>
      </w:r>
      <w:r w:rsidR="00033D0F">
        <w:t>provision.</w:t>
      </w:r>
      <w:hyperlink w:anchor="_bookmark1395" w:history="1">
        <w:r w:rsidR="00033D0F">
          <w:rPr>
            <w:vertAlign w:val="superscript"/>
          </w:rPr>
          <w:t>1202</w:t>
        </w:r>
      </w:hyperlink>
      <w:r w:rsidR="00033D0F">
        <w:rPr>
          <w:spacing w:val="-6"/>
        </w:rPr>
        <w:t xml:space="preserve"> </w:t>
      </w:r>
      <w:r w:rsidR="00033D0F">
        <w:t>However,</w:t>
      </w:r>
      <w:r w:rsidR="00033D0F">
        <w:rPr>
          <w:spacing w:val="-5"/>
        </w:rPr>
        <w:t xml:space="preserve"> </w:t>
      </w:r>
      <w:r w:rsidR="00033D0F">
        <w:t>despite</w:t>
      </w:r>
      <w:r w:rsidR="00033D0F">
        <w:rPr>
          <w:spacing w:val="-7"/>
        </w:rPr>
        <w:t xml:space="preserve"> </w:t>
      </w:r>
      <w:r w:rsidR="00033D0F">
        <w:t>this</w:t>
      </w:r>
      <w:r w:rsidR="00033D0F">
        <w:rPr>
          <w:spacing w:val="-6"/>
        </w:rPr>
        <w:t xml:space="preserve"> </w:t>
      </w:r>
      <w:r w:rsidR="00033D0F">
        <w:t xml:space="preserve">serious allegation, there appears to be limited controversy between the parties as to the proper </w:t>
      </w:r>
      <w:r w:rsidR="00033D0F">
        <w:rPr>
          <w:spacing w:val="-2"/>
        </w:rPr>
        <w:t>interpretation.</w:t>
      </w:r>
    </w:p>
    <w:p w14:paraId="06043F9A" w14:textId="77777777" w:rsidR="00BD462C" w:rsidRDefault="00BD462C">
      <w:pPr>
        <w:pStyle w:val="BodyText"/>
        <w:spacing w:before="9"/>
        <w:rPr>
          <w:sz w:val="8"/>
        </w:rPr>
      </w:pPr>
    </w:p>
    <w:p w14:paraId="6C08B7AE" w14:textId="5B794216" w:rsidR="00BD462C" w:rsidRDefault="005F4A68">
      <w:pPr>
        <w:pStyle w:val="BodyText"/>
        <w:spacing w:before="56" w:line="360" w:lineRule="auto"/>
        <w:ind w:left="135" w:right="914"/>
        <w:jc w:val="both"/>
      </w:pPr>
      <w:r>
        <w:rPr>
          <w:noProof/>
        </w:rPr>
        <w:t>806.</w:t>
      </w:r>
      <w:r w:rsidR="00033D0F">
        <w:rPr>
          <w:rFonts w:ascii="Times New Roman"/>
          <w:spacing w:val="80"/>
          <w:w w:val="150"/>
          <w:position w:val="1"/>
          <w:sz w:val="20"/>
        </w:rPr>
        <w:t xml:space="preserve"> </w:t>
      </w:r>
      <w:r w:rsidR="00033D0F">
        <w:rPr>
          <w:position w:val="1"/>
        </w:rPr>
        <w:t xml:space="preserve">Much of China's arguments on the legal standard appear to be directed at rebutting </w:t>
      </w:r>
      <w:r w:rsidR="00033D0F">
        <w:t xml:space="preserve">the proposition that Article 6.6 does not </w:t>
      </w:r>
      <w:r w:rsidR="00033D0F">
        <w:rPr>
          <w:i/>
        </w:rPr>
        <w:t xml:space="preserve">mandate </w:t>
      </w:r>
      <w:r w:rsidR="00033D0F">
        <w:t xml:space="preserve">the </w:t>
      </w:r>
      <w:r w:rsidR="00033D0F">
        <w:rPr>
          <w:i/>
        </w:rPr>
        <w:t xml:space="preserve">verification </w:t>
      </w:r>
      <w:r w:rsidR="00033D0F">
        <w:t>of the accuracy of all information upon which the investigating authority relied.</w:t>
      </w:r>
      <w:hyperlink w:anchor="_bookmark1396" w:history="1">
        <w:r w:rsidR="00033D0F">
          <w:rPr>
            <w:vertAlign w:val="superscript"/>
          </w:rPr>
          <w:t>1203</w:t>
        </w:r>
      </w:hyperlink>
      <w:r w:rsidR="00033D0F">
        <w:t xml:space="preserve"> This is not a proposition that Australia has put forward. Australia's first written submission was clear that, in Australia's view,</w:t>
      </w:r>
      <w:r w:rsidR="00033D0F">
        <w:rPr>
          <w:spacing w:val="-10"/>
        </w:rPr>
        <w:t xml:space="preserve"> </w:t>
      </w:r>
      <w:r w:rsidR="00033D0F">
        <w:t>"an</w:t>
      </w:r>
      <w:r w:rsidR="00033D0F">
        <w:rPr>
          <w:spacing w:val="-14"/>
        </w:rPr>
        <w:t xml:space="preserve"> </w:t>
      </w:r>
      <w:r w:rsidR="00033D0F">
        <w:t>investigating</w:t>
      </w:r>
      <w:r w:rsidR="00033D0F">
        <w:rPr>
          <w:spacing w:val="-10"/>
        </w:rPr>
        <w:t xml:space="preserve"> </w:t>
      </w:r>
      <w:r w:rsidR="00033D0F">
        <w:t>authority</w:t>
      </w:r>
      <w:r w:rsidR="00033D0F">
        <w:rPr>
          <w:spacing w:val="-11"/>
        </w:rPr>
        <w:t xml:space="preserve"> </w:t>
      </w:r>
      <w:r w:rsidR="00033D0F">
        <w:t>is</w:t>
      </w:r>
      <w:r w:rsidR="00033D0F">
        <w:rPr>
          <w:spacing w:val="-10"/>
        </w:rPr>
        <w:t xml:space="preserve"> </w:t>
      </w:r>
      <w:r w:rsidR="00033D0F">
        <w:t>not</w:t>
      </w:r>
      <w:r w:rsidR="00033D0F">
        <w:rPr>
          <w:spacing w:val="-7"/>
        </w:rPr>
        <w:t xml:space="preserve"> </w:t>
      </w:r>
      <w:r w:rsidR="00033D0F">
        <w:t>required</w:t>
      </w:r>
      <w:r w:rsidR="00033D0F">
        <w:rPr>
          <w:spacing w:val="-14"/>
        </w:rPr>
        <w:t xml:space="preserve"> </w:t>
      </w:r>
      <w:r w:rsidR="00033D0F">
        <w:t>to</w:t>
      </w:r>
      <w:r w:rsidR="00033D0F">
        <w:rPr>
          <w:spacing w:val="-5"/>
        </w:rPr>
        <w:t xml:space="preserve"> </w:t>
      </w:r>
      <w:r w:rsidR="00033D0F">
        <w:t>undertake</w:t>
      </w:r>
      <w:r w:rsidR="00033D0F">
        <w:rPr>
          <w:spacing w:val="-12"/>
        </w:rPr>
        <w:t xml:space="preserve"> </w:t>
      </w:r>
      <w:r w:rsidR="00033D0F">
        <w:t>'on-the-spot'"</w:t>
      </w:r>
      <w:r w:rsidR="00033D0F">
        <w:rPr>
          <w:spacing w:val="-8"/>
        </w:rPr>
        <w:t xml:space="preserve"> </w:t>
      </w:r>
      <w:r w:rsidR="00033D0F">
        <w:t>verification</w:t>
      </w:r>
      <w:r w:rsidR="00033D0F">
        <w:rPr>
          <w:spacing w:val="-14"/>
        </w:rPr>
        <w:t xml:space="preserve"> </w:t>
      </w:r>
      <w:r w:rsidR="00033D0F">
        <w:t>of</w:t>
      </w:r>
      <w:r w:rsidR="00033D0F">
        <w:rPr>
          <w:spacing w:val="-9"/>
        </w:rPr>
        <w:t xml:space="preserve"> </w:t>
      </w:r>
      <w:r w:rsidR="00033D0F">
        <w:t>the type permitted by Article 6.7".</w:t>
      </w:r>
      <w:hyperlink w:anchor="_bookmark1397" w:history="1">
        <w:r w:rsidR="00033D0F">
          <w:rPr>
            <w:vertAlign w:val="superscript"/>
          </w:rPr>
          <w:t>1204</w:t>
        </w:r>
      </w:hyperlink>
      <w:r w:rsidR="00033D0F">
        <w:t xml:space="preserve"> The previous panel decision that Australia cited in support </w:t>
      </w:r>
      <w:r w:rsidR="00033D0F">
        <w:rPr>
          <w:spacing w:val="-2"/>
        </w:rPr>
        <w:t>of</w:t>
      </w:r>
      <w:r w:rsidR="00033D0F">
        <w:rPr>
          <w:spacing w:val="-11"/>
        </w:rPr>
        <w:t xml:space="preserve"> </w:t>
      </w:r>
      <w:r w:rsidR="00033D0F">
        <w:rPr>
          <w:spacing w:val="-2"/>
        </w:rPr>
        <w:t>this</w:t>
      </w:r>
      <w:r w:rsidR="00033D0F">
        <w:rPr>
          <w:spacing w:val="-5"/>
        </w:rPr>
        <w:t xml:space="preserve"> </w:t>
      </w:r>
      <w:r w:rsidR="00033D0F">
        <w:rPr>
          <w:spacing w:val="-2"/>
        </w:rPr>
        <w:t>view</w:t>
      </w:r>
      <w:r w:rsidR="00033D0F">
        <w:rPr>
          <w:spacing w:val="-6"/>
        </w:rPr>
        <w:t xml:space="preserve"> </w:t>
      </w:r>
      <w:r w:rsidR="00033D0F">
        <w:rPr>
          <w:spacing w:val="-2"/>
        </w:rPr>
        <w:t>is</w:t>
      </w:r>
      <w:r w:rsidR="00033D0F">
        <w:rPr>
          <w:spacing w:val="-6"/>
        </w:rPr>
        <w:t xml:space="preserve"> </w:t>
      </w:r>
      <w:r w:rsidR="00033D0F">
        <w:rPr>
          <w:spacing w:val="-2"/>
        </w:rPr>
        <w:t>the</w:t>
      </w:r>
      <w:r w:rsidR="00033D0F">
        <w:rPr>
          <w:spacing w:val="-7"/>
        </w:rPr>
        <w:t xml:space="preserve"> </w:t>
      </w:r>
      <w:r w:rsidR="00033D0F">
        <w:rPr>
          <w:spacing w:val="-2"/>
        </w:rPr>
        <w:t>same</w:t>
      </w:r>
      <w:r w:rsidR="00033D0F">
        <w:rPr>
          <w:spacing w:val="-8"/>
        </w:rPr>
        <w:t xml:space="preserve"> </w:t>
      </w:r>
      <w:r w:rsidR="00033D0F">
        <w:rPr>
          <w:spacing w:val="-2"/>
        </w:rPr>
        <w:t>that</w:t>
      </w:r>
      <w:r w:rsidR="00033D0F">
        <w:rPr>
          <w:spacing w:val="-6"/>
        </w:rPr>
        <w:t xml:space="preserve"> </w:t>
      </w:r>
      <w:r w:rsidR="00033D0F">
        <w:rPr>
          <w:spacing w:val="-2"/>
        </w:rPr>
        <w:t>China</w:t>
      </w:r>
      <w:r w:rsidR="00033D0F">
        <w:rPr>
          <w:spacing w:val="-8"/>
        </w:rPr>
        <w:t xml:space="preserve"> </w:t>
      </w:r>
      <w:proofErr w:type="spellStart"/>
      <w:r w:rsidR="00033D0F">
        <w:rPr>
          <w:spacing w:val="-2"/>
        </w:rPr>
        <w:t>emphasised</w:t>
      </w:r>
      <w:proofErr w:type="spellEnd"/>
      <w:r w:rsidR="00033D0F">
        <w:rPr>
          <w:spacing w:val="-10"/>
        </w:rPr>
        <w:t xml:space="preserve"> </w:t>
      </w:r>
      <w:r w:rsidR="00033D0F">
        <w:rPr>
          <w:spacing w:val="-2"/>
        </w:rPr>
        <w:t>in</w:t>
      </w:r>
      <w:r w:rsidR="00033D0F">
        <w:rPr>
          <w:spacing w:val="-10"/>
        </w:rPr>
        <w:t xml:space="preserve"> </w:t>
      </w:r>
      <w:r w:rsidR="00033D0F">
        <w:rPr>
          <w:spacing w:val="-2"/>
        </w:rPr>
        <w:t>its</w:t>
      </w:r>
      <w:r w:rsidR="00033D0F">
        <w:rPr>
          <w:spacing w:val="-6"/>
        </w:rPr>
        <w:t xml:space="preserve"> </w:t>
      </w:r>
      <w:r w:rsidR="00033D0F">
        <w:rPr>
          <w:spacing w:val="-2"/>
        </w:rPr>
        <w:t>responses</w:t>
      </w:r>
      <w:r w:rsidR="00033D0F">
        <w:rPr>
          <w:spacing w:val="-5"/>
        </w:rPr>
        <w:t xml:space="preserve"> </w:t>
      </w:r>
      <w:r w:rsidR="00033D0F">
        <w:rPr>
          <w:spacing w:val="-2"/>
        </w:rPr>
        <w:t>to</w:t>
      </w:r>
      <w:r w:rsidR="00033D0F">
        <w:rPr>
          <w:spacing w:val="-4"/>
        </w:rPr>
        <w:t xml:space="preserve"> </w:t>
      </w:r>
      <w:r w:rsidR="00033D0F">
        <w:rPr>
          <w:spacing w:val="-2"/>
        </w:rPr>
        <w:t>questions</w:t>
      </w:r>
      <w:r w:rsidR="00033D0F">
        <w:rPr>
          <w:spacing w:val="-5"/>
        </w:rPr>
        <w:t xml:space="preserve"> </w:t>
      </w:r>
      <w:r w:rsidR="00033D0F">
        <w:rPr>
          <w:spacing w:val="-2"/>
        </w:rPr>
        <w:t>from the</w:t>
      </w:r>
      <w:r w:rsidR="00033D0F">
        <w:rPr>
          <w:spacing w:val="-7"/>
        </w:rPr>
        <w:t xml:space="preserve"> </w:t>
      </w:r>
      <w:r w:rsidR="00033D0F">
        <w:rPr>
          <w:spacing w:val="-2"/>
        </w:rPr>
        <w:t>Panel.</w:t>
      </w:r>
      <w:hyperlink w:anchor="_bookmark1398" w:history="1">
        <w:r w:rsidR="00033D0F">
          <w:rPr>
            <w:spacing w:val="-2"/>
            <w:vertAlign w:val="superscript"/>
          </w:rPr>
          <w:t>1205</w:t>
        </w:r>
      </w:hyperlink>
    </w:p>
    <w:p w14:paraId="257B8C04" w14:textId="77777777" w:rsidR="00BD462C" w:rsidRDefault="00BD462C">
      <w:pPr>
        <w:pStyle w:val="BodyText"/>
        <w:spacing w:before="5"/>
        <w:rPr>
          <w:sz w:val="8"/>
        </w:rPr>
      </w:pPr>
    </w:p>
    <w:p w14:paraId="0FB74E65" w14:textId="449E4108" w:rsidR="00BD462C" w:rsidRDefault="005F4A68">
      <w:pPr>
        <w:pStyle w:val="BodyText"/>
        <w:spacing w:before="56" w:line="355" w:lineRule="auto"/>
        <w:ind w:left="135" w:right="923"/>
      </w:pPr>
      <w:r>
        <w:rPr>
          <w:noProof/>
        </w:rPr>
        <w:t>807.</w:t>
      </w:r>
      <w:r w:rsidR="00033D0F">
        <w:rPr>
          <w:rFonts w:ascii="Times New Roman"/>
          <w:spacing w:val="80"/>
          <w:w w:val="150"/>
          <w:position w:val="1"/>
          <w:sz w:val="20"/>
        </w:rPr>
        <w:t xml:space="preserve"> </w:t>
      </w:r>
      <w:r w:rsidR="00033D0F">
        <w:rPr>
          <w:position w:val="1"/>
        </w:rPr>
        <w:t>Accordingly,</w:t>
      </w:r>
      <w:r w:rsidR="00033D0F">
        <w:rPr>
          <w:spacing w:val="31"/>
          <w:position w:val="1"/>
        </w:rPr>
        <w:t xml:space="preserve"> </w:t>
      </w:r>
      <w:r w:rsidR="00033D0F">
        <w:rPr>
          <w:position w:val="1"/>
        </w:rPr>
        <w:t>China's</w:t>
      </w:r>
      <w:r w:rsidR="00033D0F">
        <w:rPr>
          <w:spacing w:val="31"/>
          <w:position w:val="1"/>
        </w:rPr>
        <w:t xml:space="preserve"> </w:t>
      </w:r>
      <w:r w:rsidR="00033D0F">
        <w:rPr>
          <w:position w:val="1"/>
        </w:rPr>
        <w:t>suggestion</w:t>
      </w:r>
      <w:r w:rsidR="00033D0F">
        <w:rPr>
          <w:spacing w:val="27"/>
          <w:position w:val="1"/>
        </w:rPr>
        <w:t xml:space="preserve"> </w:t>
      </w:r>
      <w:r w:rsidR="00033D0F">
        <w:rPr>
          <w:position w:val="1"/>
        </w:rPr>
        <w:t>that</w:t>
      </w:r>
      <w:r w:rsidR="00033D0F">
        <w:rPr>
          <w:spacing w:val="30"/>
          <w:position w:val="1"/>
        </w:rPr>
        <w:t xml:space="preserve"> </w:t>
      </w:r>
      <w:r w:rsidR="00033D0F">
        <w:rPr>
          <w:position w:val="1"/>
        </w:rPr>
        <w:t>Australia's</w:t>
      </w:r>
      <w:r w:rsidR="00033D0F">
        <w:rPr>
          <w:spacing w:val="31"/>
          <w:position w:val="1"/>
        </w:rPr>
        <w:t xml:space="preserve"> </w:t>
      </w:r>
      <w:r w:rsidR="00033D0F">
        <w:rPr>
          <w:position w:val="1"/>
        </w:rPr>
        <w:t>interpretation</w:t>
      </w:r>
      <w:r w:rsidR="00033D0F">
        <w:rPr>
          <w:spacing w:val="27"/>
          <w:position w:val="1"/>
        </w:rPr>
        <w:t xml:space="preserve"> </w:t>
      </w:r>
      <w:r w:rsidR="00033D0F">
        <w:rPr>
          <w:position w:val="1"/>
        </w:rPr>
        <w:t>is</w:t>
      </w:r>
      <w:r w:rsidR="00033D0F">
        <w:rPr>
          <w:spacing w:val="31"/>
          <w:position w:val="1"/>
        </w:rPr>
        <w:t xml:space="preserve"> </w:t>
      </w:r>
      <w:r w:rsidR="00033D0F">
        <w:rPr>
          <w:position w:val="1"/>
        </w:rPr>
        <w:t>"incorrect</w:t>
      </w:r>
      <w:r w:rsidR="00033D0F">
        <w:rPr>
          <w:spacing w:val="30"/>
          <w:position w:val="1"/>
        </w:rPr>
        <w:t xml:space="preserve"> </w:t>
      </w:r>
      <w:r w:rsidR="00033D0F">
        <w:rPr>
          <w:position w:val="1"/>
        </w:rPr>
        <w:t xml:space="preserve">and/or </w:t>
      </w:r>
      <w:r w:rsidR="00033D0F">
        <w:t>improper" appears to be based entirely on a straw argument that Australia never made.</w:t>
      </w:r>
    </w:p>
    <w:p w14:paraId="06474379" w14:textId="77777777" w:rsidR="00BD462C" w:rsidRDefault="00BD462C">
      <w:pPr>
        <w:pStyle w:val="BodyText"/>
        <w:spacing w:before="4"/>
        <w:rPr>
          <w:sz w:val="9"/>
        </w:rPr>
      </w:pPr>
    </w:p>
    <w:p w14:paraId="76F43712" w14:textId="100964C3" w:rsidR="00BD462C" w:rsidRDefault="005F4A68">
      <w:pPr>
        <w:pStyle w:val="BodyText"/>
        <w:spacing w:before="56" w:line="357" w:lineRule="auto"/>
        <w:ind w:left="135" w:right="923"/>
      </w:pPr>
      <w:r>
        <w:rPr>
          <w:noProof/>
        </w:rPr>
        <w:t>808.</w:t>
      </w:r>
      <w:r w:rsidR="00033D0F">
        <w:rPr>
          <w:rFonts w:ascii="Times New Roman"/>
          <w:spacing w:val="80"/>
          <w:position w:val="1"/>
          <w:sz w:val="20"/>
        </w:rPr>
        <w:t xml:space="preserve">  </w:t>
      </w:r>
      <w:r w:rsidR="00033D0F">
        <w:rPr>
          <w:position w:val="1"/>
        </w:rPr>
        <w:t xml:space="preserve">That aside, the apparent disagreement between the parties is limited to two issues </w:t>
      </w:r>
      <w:r w:rsidR="00033D0F">
        <w:t>concerning the standard and scope of the Panel's review.</w:t>
      </w:r>
    </w:p>
    <w:p w14:paraId="11F19DA3" w14:textId="77777777" w:rsidR="00BD462C" w:rsidRDefault="00BD462C">
      <w:pPr>
        <w:pStyle w:val="BodyText"/>
        <w:rPr>
          <w:sz w:val="20"/>
        </w:rPr>
      </w:pPr>
    </w:p>
    <w:p w14:paraId="7D391F7F" w14:textId="77777777" w:rsidR="00BD462C" w:rsidRDefault="00BD462C">
      <w:pPr>
        <w:pStyle w:val="BodyText"/>
        <w:rPr>
          <w:sz w:val="20"/>
        </w:rPr>
      </w:pPr>
    </w:p>
    <w:p w14:paraId="137A4E90" w14:textId="7B4781B6" w:rsidR="00BD462C" w:rsidRDefault="00D70C7D">
      <w:pPr>
        <w:pStyle w:val="BodyText"/>
        <w:spacing w:before="10"/>
        <w:rPr>
          <w:sz w:val="20"/>
        </w:rPr>
      </w:pPr>
      <w:r>
        <w:rPr>
          <w:noProof/>
        </w:rPr>
        <mc:AlternateContent>
          <mc:Choice Requires="wps">
            <w:drawing>
              <wp:anchor distT="0" distB="0" distL="0" distR="0" simplePos="0" relativeHeight="487848448" behindDoc="1" locked="0" layoutInCell="1" allowOverlap="1" wp14:anchorId="324F96E1" wp14:editId="5BEA4C51">
                <wp:simplePos x="0" y="0"/>
                <wp:positionH relativeFrom="page">
                  <wp:posOffset>899160</wp:posOffset>
                </wp:positionH>
                <wp:positionV relativeFrom="paragraph">
                  <wp:posOffset>177165</wp:posOffset>
                </wp:positionV>
                <wp:extent cx="1828800" cy="8890"/>
                <wp:effectExtent l="0" t="0" r="0" b="0"/>
                <wp:wrapTopAndBottom/>
                <wp:docPr id="324" name="docshape5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535E03" id="docshape560" o:spid="_x0000_s1026" alt="&quot;&quot;" style="position:absolute;margin-left:70.8pt;margin-top:13.95pt;width:2in;height:.7pt;z-index:-1546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" fillcolor="black" stroked="f">
                <w10:wrap type="topAndBottom" anchorx="page"/>
              </v:rect>
            </w:pict>
          </mc:Fallback>
        </mc:AlternateContent>
      </w:r>
    </w:p>
    <w:p w14:paraId="5624B4DD" w14:textId="77777777" w:rsidR="00BD462C" w:rsidRDefault="00033D0F">
      <w:pPr>
        <w:spacing w:before="112"/>
        <w:ind w:left="135"/>
        <w:rPr>
          <w:sz w:val="18"/>
        </w:rPr>
      </w:pPr>
      <w:bookmarkStart w:id="1619" w:name="_bookmark1393"/>
      <w:bookmarkEnd w:id="1619"/>
      <w:r>
        <w:rPr>
          <w:position w:val="5"/>
          <w:sz w:val="12"/>
        </w:rPr>
        <w:t>1200</w:t>
      </w:r>
      <w:r>
        <w:rPr>
          <w:spacing w:val="13"/>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 xml:space="preserve">para. </w:t>
      </w:r>
      <w:r>
        <w:rPr>
          <w:spacing w:val="-2"/>
          <w:sz w:val="18"/>
        </w:rPr>
        <w:t>2416.</w:t>
      </w:r>
    </w:p>
    <w:p w14:paraId="593B7839" w14:textId="77777777" w:rsidR="00BD462C" w:rsidRDefault="00033D0F">
      <w:pPr>
        <w:spacing w:before="1"/>
        <w:ind w:left="135"/>
        <w:rPr>
          <w:sz w:val="18"/>
        </w:rPr>
      </w:pPr>
      <w:bookmarkStart w:id="1620" w:name="_bookmark1394"/>
      <w:bookmarkEnd w:id="1620"/>
      <w:r>
        <w:rPr>
          <w:position w:val="5"/>
          <w:sz w:val="12"/>
        </w:rPr>
        <w:t>1201</w:t>
      </w:r>
      <w:r>
        <w:rPr>
          <w:spacing w:val="16"/>
          <w:position w:val="5"/>
          <w:sz w:val="12"/>
        </w:rPr>
        <w:t xml:space="preserve"> </w:t>
      </w:r>
      <w:r>
        <w:rPr>
          <w:sz w:val="18"/>
        </w:rPr>
        <w:t>See</w:t>
      </w:r>
      <w:r>
        <w:rPr>
          <w:spacing w:val="-2"/>
          <w:sz w:val="18"/>
        </w:rPr>
        <w:t xml:space="preserve"> </w:t>
      </w:r>
      <w:r>
        <w:rPr>
          <w:sz w:val="18"/>
        </w:rPr>
        <w:t>above</w:t>
      </w:r>
      <w:r>
        <w:rPr>
          <w:spacing w:val="-2"/>
          <w:sz w:val="18"/>
        </w:rPr>
        <w:t xml:space="preserve"> </w:t>
      </w:r>
      <w:r>
        <w:rPr>
          <w:sz w:val="18"/>
        </w:rPr>
        <w:t>section</w:t>
      </w:r>
      <w:r>
        <w:rPr>
          <w:spacing w:val="-3"/>
          <w:sz w:val="18"/>
        </w:rPr>
        <w:t xml:space="preserve"> </w:t>
      </w:r>
      <w:hyperlink w:anchor="_bookmark105" w:history="1">
        <w:r>
          <w:rPr>
            <w:spacing w:val="-4"/>
            <w:sz w:val="18"/>
          </w:rPr>
          <w:t>II.C.</w:t>
        </w:r>
      </w:hyperlink>
    </w:p>
    <w:p w14:paraId="597FF8CC" w14:textId="77777777" w:rsidR="00BD462C" w:rsidRDefault="00033D0F">
      <w:pPr>
        <w:spacing w:before="1" w:line="218" w:lineRule="exact"/>
        <w:ind w:left="135"/>
        <w:rPr>
          <w:sz w:val="18"/>
        </w:rPr>
      </w:pPr>
      <w:bookmarkStart w:id="1621" w:name="_bookmark1395"/>
      <w:bookmarkEnd w:id="1621"/>
      <w:r>
        <w:rPr>
          <w:position w:val="5"/>
          <w:sz w:val="12"/>
        </w:rPr>
        <w:t>1202</w:t>
      </w:r>
      <w:r>
        <w:rPr>
          <w:spacing w:val="13"/>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 xml:space="preserve">para. </w:t>
      </w:r>
      <w:r>
        <w:rPr>
          <w:spacing w:val="-2"/>
          <w:sz w:val="18"/>
        </w:rPr>
        <w:t>2418.</w:t>
      </w:r>
    </w:p>
    <w:p w14:paraId="1D789F00" w14:textId="77777777" w:rsidR="00BD462C" w:rsidRDefault="00033D0F">
      <w:pPr>
        <w:spacing w:line="218" w:lineRule="exact"/>
        <w:ind w:left="135"/>
        <w:rPr>
          <w:sz w:val="18"/>
        </w:rPr>
      </w:pPr>
      <w:bookmarkStart w:id="1622" w:name="_bookmark1396"/>
      <w:bookmarkEnd w:id="1622"/>
      <w:r>
        <w:rPr>
          <w:position w:val="5"/>
          <w:sz w:val="12"/>
        </w:rPr>
        <w:t>1203</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paras.</w:t>
      </w:r>
      <w:r>
        <w:rPr>
          <w:spacing w:val="-5"/>
          <w:sz w:val="18"/>
        </w:rPr>
        <w:t xml:space="preserve"> </w:t>
      </w:r>
      <w:r>
        <w:rPr>
          <w:sz w:val="18"/>
        </w:rPr>
        <w:t>2418-</w:t>
      </w:r>
      <w:r>
        <w:rPr>
          <w:spacing w:val="-2"/>
          <w:sz w:val="18"/>
        </w:rPr>
        <w:t>2422.</w:t>
      </w:r>
    </w:p>
    <w:p w14:paraId="37788443" w14:textId="77777777" w:rsidR="00BD462C" w:rsidRDefault="00033D0F">
      <w:pPr>
        <w:spacing w:before="1"/>
        <w:ind w:left="135"/>
        <w:jc w:val="both"/>
        <w:rPr>
          <w:sz w:val="18"/>
        </w:rPr>
      </w:pPr>
      <w:bookmarkStart w:id="1623" w:name="_bookmark1397"/>
      <w:bookmarkEnd w:id="1623"/>
      <w:r>
        <w:rPr>
          <w:position w:val="5"/>
          <w:sz w:val="12"/>
        </w:rPr>
        <w:t>1204</w:t>
      </w:r>
      <w:r>
        <w:rPr>
          <w:spacing w:val="12"/>
          <w:position w:val="5"/>
          <w:sz w:val="12"/>
        </w:rPr>
        <w:t xml:space="preserve"> </w:t>
      </w:r>
      <w:r>
        <w:rPr>
          <w:sz w:val="18"/>
        </w:rPr>
        <w:t>Australia's</w:t>
      </w:r>
      <w:r>
        <w:rPr>
          <w:spacing w:val="-6"/>
          <w:sz w:val="18"/>
        </w:rPr>
        <w:t xml:space="preserve"> </w:t>
      </w:r>
      <w:r>
        <w:rPr>
          <w:sz w:val="18"/>
        </w:rPr>
        <w:t>first</w:t>
      </w:r>
      <w:r>
        <w:rPr>
          <w:spacing w:val="-5"/>
          <w:sz w:val="18"/>
        </w:rPr>
        <w:t xml:space="preserve"> </w:t>
      </w:r>
      <w:r>
        <w:rPr>
          <w:sz w:val="18"/>
        </w:rPr>
        <w:t>written</w:t>
      </w:r>
      <w:r>
        <w:rPr>
          <w:spacing w:val="-2"/>
          <w:sz w:val="18"/>
        </w:rPr>
        <w:t xml:space="preserve"> </w:t>
      </w:r>
      <w:r>
        <w:rPr>
          <w:sz w:val="18"/>
        </w:rPr>
        <w:t>submission,</w:t>
      </w:r>
      <w:r>
        <w:rPr>
          <w:spacing w:val="1"/>
          <w:sz w:val="18"/>
        </w:rPr>
        <w:t xml:space="preserve"> </w:t>
      </w:r>
      <w:r>
        <w:rPr>
          <w:sz w:val="18"/>
        </w:rPr>
        <w:t>para.</w:t>
      </w:r>
      <w:r>
        <w:rPr>
          <w:spacing w:val="-5"/>
          <w:sz w:val="18"/>
        </w:rPr>
        <w:t xml:space="preserve"> </w:t>
      </w:r>
      <w:r>
        <w:rPr>
          <w:spacing w:val="-4"/>
          <w:sz w:val="18"/>
        </w:rPr>
        <w:t>939.</w:t>
      </w:r>
    </w:p>
    <w:p w14:paraId="2576E033" w14:textId="77777777" w:rsidR="00BD462C" w:rsidRDefault="00033D0F">
      <w:pPr>
        <w:spacing w:before="1"/>
        <w:ind w:left="136" w:right="908" w:hanging="1"/>
        <w:jc w:val="both"/>
        <w:rPr>
          <w:sz w:val="18"/>
        </w:rPr>
      </w:pPr>
      <w:bookmarkStart w:id="1624" w:name="_bookmark1398"/>
      <w:bookmarkEnd w:id="1624"/>
      <w:r>
        <w:rPr>
          <w:position w:val="5"/>
          <w:sz w:val="12"/>
        </w:rPr>
        <w:t>1205</w:t>
      </w:r>
      <w:r>
        <w:rPr>
          <w:spacing w:val="16"/>
          <w:position w:val="5"/>
          <w:sz w:val="12"/>
        </w:rPr>
        <w:t xml:space="preserve"> </w:t>
      </w:r>
      <w:r>
        <w:rPr>
          <w:sz w:val="18"/>
        </w:rPr>
        <w:t xml:space="preserve">Panel Report, </w:t>
      </w:r>
      <w:r>
        <w:rPr>
          <w:i/>
          <w:sz w:val="18"/>
        </w:rPr>
        <w:t>Argentina</w:t>
      </w:r>
      <w:r>
        <w:rPr>
          <w:i/>
          <w:spacing w:val="-1"/>
          <w:sz w:val="18"/>
        </w:rPr>
        <w:t xml:space="preserve"> </w:t>
      </w:r>
      <w:r>
        <w:rPr>
          <w:i/>
          <w:sz w:val="18"/>
        </w:rPr>
        <w:t>– Ceramic</w:t>
      </w:r>
      <w:r>
        <w:rPr>
          <w:i/>
          <w:spacing w:val="-3"/>
          <w:sz w:val="18"/>
        </w:rPr>
        <w:t xml:space="preserve"> </w:t>
      </w:r>
      <w:r>
        <w:rPr>
          <w:i/>
          <w:sz w:val="18"/>
        </w:rPr>
        <w:t>Tiles</w:t>
      </w:r>
      <w:r>
        <w:rPr>
          <w:sz w:val="18"/>
        </w:rPr>
        <w:t>, para. 6.57</w:t>
      </w:r>
      <w:r>
        <w:rPr>
          <w:spacing w:val="-5"/>
          <w:sz w:val="18"/>
        </w:rPr>
        <w:t xml:space="preserve"> </w:t>
      </w:r>
      <w:r>
        <w:rPr>
          <w:sz w:val="18"/>
        </w:rPr>
        <w:t>is cited in Australia's first</w:t>
      </w:r>
      <w:r>
        <w:rPr>
          <w:spacing w:val="-2"/>
          <w:sz w:val="18"/>
        </w:rPr>
        <w:t xml:space="preserve"> </w:t>
      </w:r>
      <w:r>
        <w:rPr>
          <w:sz w:val="18"/>
        </w:rPr>
        <w:t>written submission, para. 939 fn. 1099 and China's</w:t>
      </w:r>
      <w:r>
        <w:rPr>
          <w:spacing w:val="-3"/>
          <w:sz w:val="18"/>
        </w:rPr>
        <w:t xml:space="preserve"> </w:t>
      </w:r>
      <w:r>
        <w:rPr>
          <w:sz w:val="18"/>
        </w:rPr>
        <w:t>response</w:t>
      </w:r>
      <w:r>
        <w:rPr>
          <w:spacing w:val="-8"/>
          <w:sz w:val="18"/>
        </w:rPr>
        <w:t xml:space="preserve"> </w:t>
      </w:r>
      <w:r>
        <w:rPr>
          <w:sz w:val="18"/>
        </w:rPr>
        <w:t>to</w:t>
      </w:r>
      <w:r>
        <w:rPr>
          <w:spacing w:val="-9"/>
          <w:sz w:val="18"/>
        </w:rPr>
        <w:t xml:space="preserve"> </w:t>
      </w:r>
      <w:r>
        <w:rPr>
          <w:sz w:val="18"/>
        </w:rPr>
        <w:t>Panel</w:t>
      </w:r>
      <w:r>
        <w:rPr>
          <w:spacing w:val="-2"/>
          <w:sz w:val="18"/>
        </w:rPr>
        <w:t xml:space="preserve"> </w:t>
      </w:r>
      <w:r>
        <w:rPr>
          <w:sz w:val="18"/>
        </w:rPr>
        <w:t>question</w:t>
      </w:r>
      <w:r>
        <w:rPr>
          <w:spacing w:val="-8"/>
          <w:sz w:val="18"/>
        </w:rPr>
        <w:t xml:space="preserve"> </w:t>
      </w:r>
      <w:r>
        <w:rPr>
          <w:sz w:val="18"/>
        </w:rPr>
        <w:t>No.</w:t>
      </w:r>
      <w:r>
        <w:rPr>
          <w:spacing w:val="-2"/>
          <w:sz w:val="18"/>
        </w:rPr>
        <w:t xml:space="preserve"> </w:t>
      </w:r>
      <w:r>
        <w:rPr>
          <w:sz w:val="18"/>
        </w:rPr>
        <w:t>59,</w:t>
      </w:r>
      <w:r>
        <w:rPr>
          <w:spacing w:val="-1"/>
          <w:sz w:val="18"/>
        </w:rPr>
        <w:t xml:space="preserve"> </w:t>
      </w:r>
      <w:r>
        <w:rPr>
          <w:sz w:val="18"/>
        </w:rPr>
        <w:t>China's</w:t>
      </w:r>
      <w:r>
        <w:rPr>
          <w:spacing w:val="-3"/>
          <w:sz w:val="18"/>
        </w:rPr>
        <w:t xml:space="preserve"> </w:t>
      </w:r>
      <w:r>
        <w:rPr>
          <w:sz w:val="18"/>
        </w:rPr>
        <w:t>response</w:t>
      </w:r>
      <w:r>
        <w:rPr>
          <w:spacing w:val="-3"/>
          <w:sz w:val="18"/>
        </w:rPr>
        <w:t xml:space="preserve"> </w:t>
      </w:r>
      <w:r>
        <w:rPr>
          <w:sz w:val="18"/>
        </w:rPr>
        <w:t>to</w:t>
      </w:r>
      <w:r>
        <w:rPr>
          <w:spacing w:val="-9"/>
          <w:sz w:val="18"/>
        </w:rPr>
        <w:t xml:space="preserve"> </w:t>
      </w:r>
      <w:r>
        <w:rPr>
          <w:sz w:val="18"/>
        </w:rPr>
        <w:t>Panel</w:t>
      </w:r>
      <w:r>
        <w:rPr>
          <w:spacing w:val="-2"/>
          <w:sz w:val="18"/>
        </w:rPr>
        <w:t xml:space="preserve"> </w:t>
      </w:r>
      <w:r>
        <w:rPr>
          <w:sz w:val="18"/>
        </w:rPr>
        <w:t>question</w:t>
      </w:r>
      <w:r>
        <w:rPr>
          <w:spacing w:val="-8"/>
          <w:sz w:val="18"/>
        </w:rPr>
        <w:t xml:space="preserve"> </w:t>
      </w:r>
      <w:r>
        <w:rPr>
          <w:sz w:val="18"/>
        </w:rPr>
        <w:t>No.</w:t>
      </w:r>
      <w:r>
        <w:rPr>
          <w:spacing w:val="-2"/>
          <w:sz w:val="18"/>
        </w:rPr>
        <w:t xml:space="preserve"> </w:t>
      </w:r>
      <w:r>
        <w:rPr>
          <w:sz w:val="18"/>
        </w:rPr>
        <w:t>59,</w:t>
      </w:r>
      <w:r>
        <w:rPr>
          <w:spacing w:val="-1"/>
          <w:sz w:val="18"/>
        </w:rPr>
        <w:t xml:space="preserve"> </w:t>
      </w:r>
      <w:r>
        <w:rPr>
          <w:sz w:val="18"/>
        </w:rPr>
        <w:t>para.</w:t>
      </w:r>
      <w:r>
        <w:rPr>
          <w:spacing w:val="-2"/>
          <w:sz w:val="18"/>
        </w:rPr>
        <w:t xml:space="preserve"> </w:t>
      </w:r>
      <w:r>
        <w:rPr>
          <w:sz w:val="18"/>
        </w:rPr>
        <w:t>351,</w:t>
      </w:r>
      <w:r>
        <w:rPr>
          <w:spacing w:val="-6"/>
          <w:sz w:val="18"/>
        </w:rPr>
        <w:t xml:space="preserve"> </w:t>
      </w:r>
      <w:r>
        <w:rPr>
          <w:sz w:val="18"/>
        </w:rPr>
        <w:t>fn.</w:t>
      </w:r>
      <w:r>
        <w:rPr>
          <w:spacing w:val="-2"/>
          <w:sz w:val="18"/>
        </w:rPr>
        <w:t xml:space="preserve"> </w:t>
      </w:r>
      <w:r>
        <w:rPr>
          <w:sz w:val="18"/>
        </w:rPr>
        <w:t>223.</w:t>
      </w:r>
      <w:r>
        <w:rPr>
          <w:spacing w:val="-2"/>
          <w:sz w:val="18"/>
        </w:rPr>
        <w:t xml:space="preserve"> </w:t>
      </w:r>
      <w:r>
        <w:rPr>
          <w:sz w:val="18"/>
        </w:rPr>
        <w:t>See</w:t>
      </w:r>
      <w:r>
        <w:rPr>
          <w:spacing w:val="-3"/>
          <w:sz w:val="18"/>
        </w:rPr>
        <w:t xml:space="preserve"> </w:t>
      </w:r>
      <w:r>
        <w:rPr>
          <w:sz w:val="18"/>
        </w:rPr>
        <w:t>also</w:t>
      </w:r>
      <w:r>
        <w:rPr>
          <w:spacing w:val="-8"/>
          <w:sz w:val="18"/>
        </w:rPr>
        <w:t xml:space="preserve"> </w:t>
      </w:r>
      <w:r>
        <w:rPr>
          <w:sz w:val="18"/>
        </w:rPr>
        <w:t>fn.</w:t>
      </w:r>
      <w:r>
        <w:rPr>
          <w:spacing w:val="-2"/>
          <w:sz w:val="18"/>
        </w:rPr>
        <w:t xml:space="preserve"> </w:t>
      </w:r>
      <w:r>
        <w:rPr>
          <w:sz w:val="18"/>
        </w:rPr>
        <w:t>2357</w:t>
      </w:r>
      <w:r>
        <w:rPr>
          <w:spacing w:val="-5"/>
          <w:sz w:val="18"/>
        </w:rPr>
        <w:t xml:space="preserve"> </w:t>
      </w:r>
      <w:r>
        <w:rPr>
          <w:sz w:val="18"/>
        </w:rPr>
        <w:t>to China's first written submission.</w:t>
      </w:r>
    </w:p>
    <w:p w14:paraId="5C83C08B" w14:textId="77777777" w:rsidR="00BD462C" w:rsidRDefault="00BD462C">
      <w:pPr>
        <w:jc w:val="both"/>
        <w:rPr>
          <w:sz w:val="18"/>
        </w:rPr>
        <w:sectPr w:rsidR="00BD462C">
          <w:pgSz w:w="11910" w:h="16840"/>
          <w:pgMar w:top="860" w:right="500" w:bottom="780" w:left="1280" w:header="566" w:footer="590" w:gutter="0"/>
          <w:cols w:space="720"/>
        </w:sectPr>
      </w:pPr>
    </w:p>
    <w:p w14:paraId="457E814B"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2132EA32"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394F52BC"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3325D695" w14:textId="6F1D9CEA" w:rsidR="00BD462C" w:rsidRDefault="005F4A68">
      <w:pPr>
        <w:pStyle w:val="BodyText"/>
        <w:spacing w:before="107" w:line="357" w:lineRule="auto"/>
        <w:ind w:left="135" w:right="914"/>
        <w:jc w:val="both"/>
      </w:pPr>
      <w:r>
        <w:rPr>
          <w:noProof/>
        </w:rPr>
        <w:t>809.</w:t>
      </w:r>
      <w:r w:rsidR="00033D0F">
        <w:rPr>
          <w:rFonts w:ascii="Times New Roman"/>
          <w:spacing w:val="80"/>
          <w:position w:val="1"/>
          <w:sz w:val="20"/>
        </w:rPr>
        <w:t xml:space="preserve">  </w:t>
      </w:r>
      <w:r w:rsidR="00033D0F">
        <w:rPr>
          <w:position w:val="1"/>
        </w:rPr>
        <w:t>The</w:t>
      </w:r>
      <w:r w:rsidR="00033D0F">
        <w:rPr>
          <w:spacing w:val="-3"/>
          <w:position w:val="1"/>
        </w:rPr>
        <w:t xml:space="preserve"> </w:t>
      </w:r>
      <w:r w:rsidR="00033D0F">
        <w:rPr>
          <w:position w:val="1"/>
        </w:rPr>
        <w:t>first</w:t>
      </w:r>
      <w:r w:rsidR="00033D0F">
        <w:rPr>
          <w:spacing w:val="-2"/>
          <w:position w:val="1"/>
        </w:rPr>
        <w:t xml:space="preserve"> </w:t>
      </w:r>
      <w:r w:rsidR="00033D0F">
        <w:rPr>
          <w:position w:val="1"/>
        </w:rPr>
        <w:t>is</w:t>
      </w:r>
      <w:r w:rsidR="00033D0F">
        <w:rPr>
          <w:spacing w:val="-1"/>
          <w:position w:val="1"/>
        </w:rPr>
        <w:t xml:space="preserve"> </w:t>
      </w:r>
      <w:r w:rsidR="00033D0F">
        <w:rPr>
          <w:position w:val="1"/>
        </w:rPr>
        <w:t>China's</w:t>
      </w:r>
      <w:r w:rsidR="00033D0F">
        <w:rPr>
          <w:spacing w:val="-1"/>
          <w:position w:val="1"/>
        </w:rPr>
        <w:t xml:space="preserve"> </w:t>
      </w:r>
      <w:r w:rsidR="00033D0F">
        <w:rPr>
          <w:position w:val="1"/>
        </w:rPr>
        <w:t>assertion</w:t>
      </w:r>
      <w:r w:rsidR="00033D0F">
        <w:rPr>
          <w:spacing w:val="-4"/>
          <w:position w:val="1"/>
        </w:rPr>
        <w:t xml:space="preserve"> </w:t>
      </w:r>
      <w:r w:rsidR="00033D0F">
        <w:rPr>
          <w:position w:val="1"/>
        </w:rPr>
        <w:t>that</w:t>
      </w:r>
      <w:r w:rsidR="00033D0F">
        <w:rPr>
          <w:spacing w:val="-2"/>
          <w:position w:val="1"/>
        </w:rPr>
        <w:t xml:space="preserve"> </w:t>
      </w:r>
      <w:r w:rsidR="00033D0F">
        <w:rPr>
          <w:position w:val="1"/>
        </w:rPr>
        <w:t>the</w:t>
      </w:r>
      <w:r w:rsidR="00033D0F">
        <w:rPr>
          <w:spacing w:val="-3"/>
          <w:position w:val="1"/>
        </w:rPr>
        <w:t xml:space="preserve"> </w:t>
      </w:r>
      <w:r w:rsidR="00033D0F">
        <w:rPr>
          <w:position w:val="1"/>
        </w:rPr>
        <w:t>Panel's</w:t>
      </w:r>
      <w:r w:rsidR="00033D0F">
        <w:rPr>
          <w:spacing w:val="-1"/>
          <w:position w:val="1"/>
        </w:rPr>
        <w:t xml:space="preserve"> </w:t>
      </w:r>
      <w:r w:rsidR="00033D0F">
        <w:rPr>
          <w:position w:val="1"/>
        </w:rPr>
        <w:t>function</w:t>
      </w:r>
      <w:r w:rsidR="00033D0F">
        <w:rPr>
          <w:spacing w:val="-4"/>
          <w:position w:val="1"/>
        </w:rPr>
        <w:t xml:space="preserve"> </w:t>
      </w:r>
      <w:r w:rsidR="00033D0F">
        <w:rPr>
          <w:position w:val="1"/>
        </w:rPr>
        <w:t>in</w:t>
      </w:r>
      <w:r w:rsidR="00033D0F">
        <w:rPr>
          <w:spacing w:val="-4"/>
          <w:position w:val="1"/>
        </w:rPr>
        <w:t xml:space="preserve"> </w:t>
      </w:r>
      <w:r w:rsidR="00033D0F">
        <w:rPr>
          <w:position w:val="1"/>
        </w:rPr>
        <w:t>this</w:t>
      </w:r>
      <w:r w:rsidR="00033D0F">
        <w:rPr>
          <w:spacing w:val="-1"/>
          <w:position w:val="1"/>
        </w:rPr>
        <w:t xml:space="preserve"> </w:t>
      </w:r>
      <w:r w:rsidR="00033D0F">
        <w:rPr>
          <w:position w:val="1"/>
        </w:rPr>
        <w:t>case</w:t>
      </w:r>
      <w:r w:rsidR="00033D0F">
        <w:rPr>
          <w:spacing w:val="-2"/>
          <w:position w:val="1"/>
        </w:rPr>
        <w:t xml:space="preserve"> </w:t>
      </w:r>
      <w:r w:rsidR="00033D0F">
        <w:rPr>
          <w:position w:val="1"/>
        </w:rPr>
        <w:t>is</w:t>
      </w:r>
      <w:r w:rsidR="00033D0F">
        <w:rPr>
          <w:spacing w:val="-1"/>
          <w:position w:val="1"/>
        </w:rPr>
        <w:t xml:space="preserve"> </w:t>
      </w:r>
      <w:r w:rsidR="00033D0F">
        <w:rPr>
          <w:position w:val="1"/>
        </w:rPr>
        <w:t>to</w:t>
      </w:r>
      <w:r w:rsidR="00033D0F">
        <w:rPr>
          <w:spacing w:val="-5"/>
          <w:position w:val="1"/>
        </w:rPr>
        <w:t xml:space="preserve"> </w:t>
      </w:r>
      <w:r w:rsidR="00033D0F">
        <w:rPr>
          <w:position w:val="1"/>
        </w:rPr>
        <w:t>"simply</w:t>
      </w:r>
      <w:r w:rsidR="00033D0F">
        <w:rPr>
          <w:spacing w:val="-1"/>
          <w:position w:val="1"/>
        </w:rPr>
        <w:t xml:space="preserve"> </w:t>
      </w:r>
      <w:r w:rsidR="00033D0F">
        <w:rPr>
          <w:position w:val="1"/>
        </w:rPr>
        <w:t xml:space="preserve">check" </w:t>
      </w:r>
      <w:r w:rsidR="00033D0F">
        <w:t>whether MOFCOM's examination of the accuracy of the submitted information represented an</w:t>
      </w:r>
      <w:r w:rsidR="00033D0F">
        <w:rPr>
          <w:spacing w:val="-8"/>
        </w:rPr>
        <w:t xml:space="preserve"> </w:t>
      </w:r>
      <w:r w:rsidR="00033D0F">
        <w:t>"unbiased</w:t>
      </w:r>
      <w:r w:rsidR="00033D0F">
        <w:rPr>
          <w:spacing w:val="-8"/>
        </w:rPr>
        <w:t xml:space="preserve"> </w:t>
      </w:r>
      <w:r w:rsidR="00033D0F">
        <w:t>and</w:t>
      </w:r>
      <w:r w:rsidR="00033D0F">
        <w:rPr>
          <w:spacing w:val="-3"/>
        </w:rPr>
        <w:t xml:space="preserve"> </w:t>
      </w:r>
      <w:r w:rsidR="00033D0F">
        <w:t>objective</w:t>
      </w:r>
      <w:r w:rsidR="00033D0F">
        <w:rPr>
          <w:spacing w:val="-6"/>
        </w:rPr>
        <w:t xml:space="preserve"> </w:t>
      </w:r>
      <w:r w:rsidR="00033D0F">
        <w:t>evaluation</w:t>
      </w:r>
      <w:r w:rsidR="00033D0F">
        <w:rPr>
          <w:spacing w:val="-8"/>
        </w:rPr>
        <w:t xml:space="preserve"> </w:t>
      </w:r>
      <w:r w:rsidR="00033D0F">
        <w:t>of</w:t>
      </w:r>
      <w:r w:rsidR="00033D0F">
        <w:rPr>
          <w:spacing w:val="-8"/>
        </w:rPr>
        <w:t xml:space="preserve"> </w:t>
      </w:r>
      <w:r w:rsidR="00033D0F">
        <w:t>the</w:t>
      </w:r>
      <w:r w:rsidR="00033D0F">
        <w:rPr>
          <w:spacing w:val="-6"/>
        </w:rPr>
        <w:t xml:space="preserve"> </w:t>
      </w:r>
      <w:r w:rsidR="00033D0F">
        <w:t>facts".</w:t>
      </w:r>
      <w:hyperlink w:anchor="_bookmark1399" w:history="1">
        <w:r w:rsidR="00033D0F">
          <w:rPr>
            <w:vertAlign w:val="superscript"/>
          </w:rPr>
          <w:t>1206</w:t>
        </w:r>
      </w:hyperlink>
      <w:r w:rsidR="00033D0F">
        <w:rPr>
          <w:spacing w:val="-5"/>
        </w:rPr>
        <w:t xml:space="preserve"> </w:t>
      </w:r>
      <w:r w:rsidR="00033D0F">
        <w:t>The</w:t>
      </w:r>
      <w:r w:rsidR="00033D0F">
        <w:rPr>
          <w:spacing w:val="-6"/>
        </w:rPr>
        <w:t xml:space="preserve"> </w:t>
      </w:r>
      <w:r w:rsidR="00033D0F">
        <w:t>use</w:t>
      </w:r>
      <w:r w:rsidR="00033D0F">
        <w:rPr>
          <w:spacing w:val="-6"/>
        </w:rPr>
        <w:t xml:space="preserve"> </w:t>
      </w:r>
      <w:r w:rsidR="00033D0F">
        <w:t>of</w:t>
      </w:r>
      <w:r w:rsidR="00033D0F">
        <w:rPr>
          <w:spacing w:val="-8"/>
        </w:rPr>
        <w:t xml:space="preserve"> </w:t>
      </w:r>
      <w:r w:rsidR="00033D0F">
        <w:t>this</w:t>
      </w:r>
      <w:r w:rsidR="00033D0F">
        <w:rPr>
          <w:spacing w:val="-5"/>
        </w:rPr>
        <w:t xml:space="preserve"> </w:t>
      </w:r>
      <w:r w:rsidR="00033D0F">
        <w:t>phrase</w:t>
      </w:r>
      <w:r w:rsidR="00033D0F">
        <w:rPr>
          <w:spacing w:val="-6"/>
        </w:rPr>
        <w:t xml:space="preserve"> </w:t>
      </w:r>
      <w:r w:rsidR="00033D0F">
        <w:t>was</w:t>
      </w:r>
      <w:r w:rsidR="00033D0F">
        <w:rPr>
          <w:spacing w:val="-5"/>
        </w:rPr>
        <w:t xml:space="preserve"> </w:t>
      </w:r>
      <w:r w:rsidR="00033D0F">
        <w:t>the</w:t>
      </w:r>
      <w:r w:rsidR="00033D0F">
        <w:rPr>
          <w:spacing w:val="-6"/>
        </w:rPr>
        <w:t xml:space="preserve"> </w:t>
      </w:r>
      <w:r w:rsidR="00033D0F">
        <w:t>subject of the Panel's question No. 59 at the first substantive meeting.</w:t>
      </w:r>
    </w:p>
    <w:p w14:paraId="4DA5D544" w14:textId="77777777" w:rsidR="00BD462C" w:rsidRDefault="00BD462C">
      <w:pPr>
        <w:pStyle w:val="BodyText"/>
        <w:spacing w:before="3"/>
        <w:rPr>
          <w:sz w:val="9"/>
        </w:rPr>
      </w:pPr>
    </w:p>
    <w:p w14:paraId="6DF361F3" w14:textId="31374C21" w:rsidR="00BD462C" w:rsidRDefault="005F4A68">
      <w:pPr>
        <w:pStyle w:val="BodyText"/>
        <w:spacing w:before="56" w:line="360" w:lineRule="auto"/>
        <w:ind w:left="135" w:right="912"/>
        <w:jc w:val="both"/>
      </w:pPr>
      <w:r>
        <w:rPr>
          <w:noProof/>
        </w:rPr>
        <w:t>810.</w:t>
      </w:r>
      <w:r w:rsidR="00033D0F">
        <w:rPr>
          <w:rFonts w:ascii="Times New Roman"/>
          <w:spacing w:val="80"/>
          <w:position w:val="1"/>
          <w:sz w:val="20"/>
        </w:rPr>
        <w:t xml:space="preserve">  </w:t>
      </w:r>
      <w:r w:rsidR="00033D0F">
        <w:rPr>
          <w:position w:val="1"/>
        </w:rPr>
        <w:t xml:space="preserve">As Australia noted in its response to that question, if China interprets the word </w:t>
      </w:r>
      <w:r w:rsidR="00033D0F">
        <w:t>"simply"</w:t>
      </w:r>
      <w:r w:rsidR="00033D0F">
        <w:rPr>
          <w:spacing w:val="-5"/>
        </w:rPr>
        <w:t xml:space="preserve"> </w:t>
      </w:r>
      <w:r w:rsidR="00033D0F">
        <w:t>to</w:t>
      </w:r>
      <w:r w:rsidR="00033D0F">
        <w:rPr>
          <w:spacing w:val="-7"/>
        </w:rPr>
        <w:t xml:space="preserve"> </w:t>
      </w:r>
      <w:r w:rsidR="00033D0F">
        <w:t>mean</w:t>
      </w:r>
      <w:r w:rsidR="00033D0F">
        <w:rPr>
          <w:spacing w:val="-6"/>
        </w:rPr>
        <w:t xml:space="preserve"> </w:t>
      </w:r>
      <w:r w:rsidR="00033D0F">
        <w:t>that</w:t>
      </w:r>
      <w:r w:rsidR="00033D0F">
        <w:rPr>
          <w:spacing w:val="-4"/>
        </w:rPr>
        <w:t xml:space="preserve"> </w:t>
      </w:r>
      <w:r w:rsidR="00033D0F">
        <w:t>the</w:t>
      </w:r>
      <w:r w:rsidR="00033D0F">
        <w:rPr>
          <w:spacing w:val="-5"/>
        </w:rPr>
        <w:t xml:space="preserve"> </w:t>
      </w:r>
      <w:r w:rsidR="00033D0F">
        <w:t>Panel</w:t>
      </w:r>
      <w:r w:rsidR="00033D0F">
        <w:rPr>
          <w:spacing w:val="-2"/>
        </w:rPr>
        <w:t xml:space="preserve"> </w:t>
      </w:r>
      <w:r w:rsidR="00033D0F">
        <w:t>cannot</w:t>
      </w:r>
      <w:r w:rsidR="00033D0F">
        <w:rPr>
          <w:spacing w:val="-4"/>
        </w:rPr>
        <w:t xml:space="preserve"> </w:t>
      </w:r>
      <w:proofErr w:type="spellStart"/>
      <w:r w:rsidR="00033D0F">
        <w:t>scrutinise</w:t>
      </w:r>
      <w:proofErr w:type="spellEnd"/>
      <w:r w:rsidR="00033D0F">
        <w:rPr>
          <w:spacing w:val="-8"/>
        </w:rPr>
        <w:t xml:space="preserve"> </w:t>
      </w:r>
      <w:r w:rsidR="00033D0F">
        <w:t>the</w:t>
      </w:r>
      <w:r w:rsidR="00033D0F">
        <w:rPr>
          <w:spacing w:val="-5"/>
        </w:rPr>
        <w:t xml:space="preserve"> </w:t>
      </w:r>
      <w:r w:rsidR="00033D0F">
        <w:t>investigating</w:t>
      </w:r>
      <w:r w:rsidR="00033D0F">
        <w:rPr>
          <w:spacing w:val="-3"/>
        </w:rPr>
        <w:t xml:space="preserve"> </w:t>
      </w:r>
      <w:r w:rsidR="00033D0F">
        <w:t>authority's</w:t>
      </w:r>
      <w:r w:rsidR="00033D0F">
        <w:rPr>
          <w:spacing w:val="-3"/>
        </w:rPr>
        <w:t xml:space="preserve"> </w:t>
      </w:r>
      <w:r w:rsidR="00033D0F">
        <w:t>process,</w:t>
      </w:r>
      <w:r w:rsidR="00033D0F">
        <w:rPr>
          <w:spacing w:val="-2"/>
        </w:rPr>
        <w:t xml:space="preserve"> </w:t>
      </w:r>
      <w:r w:rsidR="00033D0F">
        <w:t>this</w:t>
      </w:r>
      <w:r w:rsidR="00033D0F">
        <w:rPr>
          <w:spacing w:val="-3"/>
        </w:rPr>
        <w:t xml:space="preserve"> </w:t>
      </w:r>
      <w:r w:rsidR="00033D0F">
        <w:t>is plainly inconsistent with the requirements of Article 17.6 the Anti-Dumping Agreement and Article 11 of the DSU.</w:t>
      </w:r>
      <w:hyperlink w:anchor="_bookmark1400" w:history="1">
        <w:r w:rsidR="00033D0F">
          <w:rPr>
            <w:vertAlign w:val="superscript"/>
          </w:rPr>
          <w:t>1207</w:t>
        </w:r>
      </w:hyperlink>
      <w:r w:rsidR="00033D0F">
        <w:t xml:space="preserve"> It remains unclear to Australia what China meant by the phrase "simply</w:t>
      </w:r>
      <w:r w:rsidR="00033D0F">
        <w:rPr>
          <w:spacing w:val="-7"/>
        </w:rPr>
        <w:t xml:space="preserve"> </w:t>
      </w:r>
      <w:r w:rsidR="00033D0F">
        <w:t>check".</w:t>
      </w:r>
      <w:r w:rsidR="00033D0F">
        <w:rPr>
          <w:spacing w:val="-7"/>
        </w:rPr>
        <w:t xml:space="preserve"> </w:t>
      </w:r>
      <w:r w:rsidR="00033D0F">
        <w:t>However,</w:t>
      </w:r>
      <w:r w:rsidR="00033D0F">
        <w:rPr>
          <w:spacing w:val="-6"/>
        </w:rPr>
        <w:t xml:space="preserve"> </w:t>
      </w:r>
      <w:r w:rsidR="00033D0F">
        <w:t>Australia</w:t>
      </w:r>
      <w:r w:rsidR="00033D0F">
        <w:rPr>
          <w:spacing w:val="-9"/>
        </w:rPr>
        <w:t xml:space="preserve"> </w:t>
      </w:r>
      <w:r w:rsidR="00033D0F">
        <w:t>notes</w:t>
      </w:r>
      <w:r w:rsidR="00033D0F">
        <w:rPr>
          <w:spacing w:val="-11"/>
        </w:rPr>
        <w:t xml:space="preserve"> </w:t>
      </w:r>
      <w:r w:rsidR="00033D0F">
        <w:t>that,</w:t>
      </w:r>
      <w:r w:rsidR="00033D0F">
        <w:rPr>
          <w:spacing w:val="-11"/>
        </w:rPr>
        <w:t xml:space="preserve"> </w:t>
      </w:r>
      <w:r w:rsidR="00033D0F">
        <w:t>in</w:t>
      </w:r>
      <w:r w:rsidR="00033D0F">
        <w:rPr>
          <w:spacing w:val="-10"/>
        </w:rPr>
        <w:t xml:space="preserve"> </w:t>
      </w:r>
      <w:r w:rsidR="00033D0F">
        <w:t>China's</w:t>
      </w:r>
      <w:r w:rsidR="00033D0F">
        <w:rPr>
          <w:spacing w:val="-7"/>
        </w:rPr>
        <w:t xml:space="preserve"> </w:t>
      </w:r>
      <w:r w:rsidR="00033D0F">
        <w:t>written</w:t>
      </w:r>
      <w:r w:rsidR="00033D0F">
        <w:rPr>
          <w:spacing w:val="-10"/>
        </w:rPr>
        <w:t xml:space="preserve"> </w:t>
      </w:r>
      <w:r w:rsidR="00033D0F">
        <w:t>response</w:t>
      </w:r>
      <w:r w:rsidR="00033D0F">
        <w:rPr>
          <w:spacing w:val="-8"/>
        </w:rPr>
        <w:t xml:space="preserve"> </w:t>
      </w:r>
      <w:r w:rsidR="00033D0F">
        <w:t>to</w:t>
      </w:r>
      <w:r w:rsidR="00033D0F">
        <w:rPr>
          <w:spacing w:val="-10"/>
        </w:rPr>
        <w:t xml:space="preserve"> </w:t>
      </w:r>
      <w:r w:rsidR="00033D0F">
        <w:t>question</w:t>
      </w:r>
      <w:r w:rsidR="00033D0F">
        <w:rPr>
          <w:spacing w:val="-10"/>
        </w:rPr>
        <w:t xml:space="preserve"> </w:t>
      </w:r>
      <w:r w:rsidR="00033D0F">
        <w:t>No.</w:t>
      </w:r>
      <w:r w:rsidR="00033D0F">
        <w:rPr>
          <w:spacing w:val="-7"/>
        </w:rPr>
        <w:t xml:space="preserve"> </w:t>
      </w:r>
      <w:r w:rsidR="00033D0F">
        <w:t>59, it stated that a reviewing panel is to "check" if the "investigating authority's assessment" of the accuracy of the information supplied by interested parties was "unbiased and objective" without any use of the qualifier "simply".</w:t>
      </w:r>
      <w:hyperlink w:anchor="_bookmark1401" w:history="1">
        <w:r w:rsidR="00033D0F">
          <w:rPr>
            <w:vertAlign w:val="superscript"/>
          </w:rPr>
          <w:t>1208</w:t>
        </w:r>
      </w:hyperlink>
      <w:r w:rsidR="00033D0F">
        <w:t xml:space="preserve"> Australia infers from this that China does not now insist on some unspecified qualification to the scope of the panel's review through the phrase "simply check".</w:t>
      </w:r>
    </w:p>
    <w:p w14:paraId="2D0195B9" w14:textId="77777777" w:rsidR="00BD462C" w:rsidRDefault="00BD462C">
      <w:pPr>
        <w:pStyle w:val="BodyText"/>
        <w:spacing w:before="7"/>
        <w:rPr>
          <w:sz w:val="8"/>
        </w:rPr>
      </w:pPr>
    </w:p>
    <w:p w14:paraId="30D9AA28" w14:textId="78BA9A5D" w:rsidR="00BD462C" w:rsidRDefault="005F4A68">
      <w:pPr>
        <w:pStyle w:val="BodyText"/>
        <w:spacing w:before="56" w:line="360" w:lineRule="auto"/>
        <w:ind w:left="135" w:right="913"/>
        <w:jc w:val="both"/>
      </w:pPr>
      <w:r>
        <w:rPr>
          <w:noProof/>
        </w:rPr>
        <w:t>811.</w:t>
      </w:r>
      <w:r w:rsidR="00033D0F">
        <w:rPr>
          <w:rFonts w:ascii="Times New Roman" w:hAnsi="Times New Roman"/>
          <w:spacing w:val="80"/>
          <w:position w:val="1"/>
          <w:sz w:val="20"/>
        </w:rPr>
        <w:t xml:space="preserve">  </w:t>
      </w:r>
      <w:r w:rsidR="00033D0F">
        <w:rPr>
          <w:position w:val="1"/>
        </w:rPr>
        <w:t xml:space="preserve">The second is China's assertion in its responses to the Panel question No. 59. In this </w:t>
      </w:r>
      <w:r w:rsidR="00033D0F">
        <w:t xml:space="preserve">response China asserted that </w:t>
      </w:r>
      <w:r w:rsidR="00033D0F">
        <w:rPr>
          <w:i/>
        </w:rPr>
        <w:t>EC</w:t>
      </w:r>
      <w:r w:rsidR="00033D0F">
        <w:rPr>
          <w:i/>
          <w:spacing w:val="-3"/>
        </w:rPr>
        <w:t xml:space="preserve"> </w:t>
      </w:r>
      <w:r w:rsidR="00033D0F">
        <w:rPr>
          <w:i/>
        </w:rPr>
        <w:t xml:space="preserve">– Fasteners (China) (Article 21.5 – China) </w:t>
      </w:r>
      <w:r w:rsidR="00033D0F">
        <w:t>stands for, among other things, the proposition that "the method (or 'process') employed by an investigating authority</w:t>
      </w:r>
      <w:r w:rsidR="00033D0F">
        <w:rPr>
          <w:spacing w:val="-7"/>
        </w:rPr>
        <w:t xml:space="preserve"> </w:t>
      </w:r>
      <w:r w:rsidR="00033D0F">
        <w:t>cannot</w:t>
      </w:r>
      <w:r w:rsidR="00033D0F">
        <w:rPr>
          <w:spacing w:val="-3"/>
        </w:rPr>
        <w:t xml:space="preserve"> </w:t>
      </w:r>
      <w:r w:rsidR="00033D0F">
        <w:t>be</w:t>
      </w:r>
      <w:r w:rsidR="00033D0F">
        <w:rPr>
          <w:spacing w:val="-4"/>
        </w:rPr>
        <w:t xml:space="preserve"> </w:t>
      </w:r>
      <w:r w:rsidR="00033D0F">
        <w:t>questioned</w:t>
      </w:r>
      <w:r w:rsidR="00033D0F">
        <w:rPr>
          <w:spacing w:val="-10"/>
        </w:rPr>
        <w:t xml:space="preserve"> </w:t>
      </w:r>
      <w:r w:rsidR="00033D0F">
        <w:t>by</w:t>
      </w:r>
      <w:r w:rsidR="00033D0F">
        <w:rPr>
          <w:spacing w:val="-7"/>
        </w:rPr>
        <w:t xml:space="preserve"> </w:t>
      </w:r>
      <w:r w:rsidR="00033D0F">
        <w:t>the</w:t>
      </w:r>
      <w:r w:rsidR="00033D0F">
        <w:rPr>
          <w:spacing w:val="-4"/>
        </w:rPr>
        <w:t xml:space="preserve"> </w:t>
      </w:r>
      <w:r w:rsidR="00033D0F">
        <w:t>complainant"</w:t>
      </w:r>
      <w:r w:rsidR="00033D0F">
        <w:rPr>
          <w:spacing w:val="-9"/>
        </w:rPr>
        <w:t xml:space="preserve"> </w:t>
      </w:r>
      <w:r w:rsidR="00033D0F">
        <w:t>and</w:t>
      </w:r>
      <w:r w:rsidR="00033D0F">
        <w:rPr>
          <w:spacing w:val="-5"/>
        </w:rPr>
        <w:t xml:space="preserve"> </w:t>
      </w:r>
      <w:r w:rsidR="00033D0F">
        <w:t>that</w:t>
      </w:r>
      <w:r w:rsidR="00033D0F">
        <w:rPr>
          <w:spacing w:val="-8"/>
        </w:rPr>
        <w:t xml:space="preserve"> </w:t>
      </w:r>
      <w:r w:rsidR="00033D0F">
        <w:t>this</w:t>
      </w:r>
      <w:r w:rsidR="00033D0F">
        <w:rPr>
          <w:spacing w:val="-7"/>
        </w:rPr>
        <w:t xml:space="preserve"> </w:t>
      </w:r>
      <w:r w:rsidR="00033D0F">
        <w:t>standard</w:t>
      </w:r>
      <w:r w:rsidR="00033D0F">
        <w:rPr>
          <w:spacing w:val="-5"/>
        </w:rPr>
        <w:t xml:space="preserve"> </w:t>
      </w:r>
      <w:r w:rsidR="00033D0F">
        <w:t>should</w:t>
      </w:r>
      <w:r w:rsidR="00033D0F">
        <w:rPr>
          <w:spacing w:val="-5"/>
        </w:rPr>
        <w:t xml:space="preserve"> </w:t>
      </w:r>
      <w:r w:rsidR="00033D0F">
        <w:t>be</w:t>
      </w:r>
      <w:r w:rsidR="00033D0F">
        <w:rPr>
          <w:spacing w:val="-8"/>
        </w:rPr>
        <w:t xml:space="preserve"> </w:t>
      </w:r>
      <w:r w:rsidR="00033D0F">
        <w:t>applied in the present dispute.</w:t>
      </w:r>
      <w:hyperlink w:anchor="_bookmark1402" w:history="1">
        <w:r w:rsidR="00033D0F">
          <w:rPr>
            <w:vertAlign w:val="superscript"/>
          </w:rPr>
          <w:t>1209</w:t>
        </w:r>
      </w:hyperlink>
      <w:r w:rsidR="00033D0F">
        <w:t xml:space="preserve"> However, the paragraphs China cites</w:t>
      </w:r>
      <w:r w:rsidR="00033D0F">
        <w:rPr>
          <w:spacing w:val="-1"/>
        </w:rPr>
        <w:t xml:space="preserve"> </w:t>
      </w:r>
      <w:r w:rsidR="00033D0F">
        <w:t xml:space="preserve">simply do not contain such a proposition. While Australia agrees that investigating authorities have discretion as to the method or </w:t>
      </w:r>
      <w:proofErr w:type="gramStart"/>
      <w:r w:rsidR="00033D0F">
        <w:t>process</w:t>
      </w:r>
      <w:proofErr w:type="gramEnd"/>
      <w:r w:rsidR="00033D0F">
        <w:t xml:space="preserve"> they use, there is no legal basis for China's apparent position that the method or process chosen is not susceptible to scrutiny by a panel. Indeed, such a position would</w:t>
      </w:r>
      <w:r w:rsidR="00033D0F">
        <w:rPr>
          <w:spacing w:val="-14"/>
        </w:rPr>
        <w:t xml:space="preserve"> </w:t>
      </w:r>
      <w:r w:rsidR="00033D0F">
        <w:t>be</w:t>
      </w:r>
      <w:r w:rsidR="00033D0F">
        <w:rPr>
          <w:spacing w:val="-12"/>
        </w:rPr>
        <w:t xml:space="preserve"> </w:t>
      </w:r>
      <w:r w:rsidR="00033D0F">
        <w:t>inconsistent</w:t>
      </w:r>
      <w:r w:rsidR="00033D0F">
        <w:rPr>
          <w:spacing w:val="-11"/>
        </w:rPr>
        <w:t xml:space="preserve"> </w:t>
      </w:r>
      <w:r w:rsidR="00033D0F">
        <w:t>with</w:t>
      </w:r>
      <w:r w:rsidR="00033D0F">
        <w:rPr>
          <w:spacing w:val="-14"/>
        </w:rPr>
        <w:t xml:space="preserve"> </w:t>
      </w:r>
      <w:r w:rsidR="00033D0F">
        <w:t>the</w:t>
      </w:r>
      <w:r w:rsidR="00033D0F">
        <w:rPr>
          <w:spacing w:val="-12"/>
        </w:rPr>
        <w:t xml:space="preserve"> </w:t>
      </w:r>
      <w:r w:rsidR="00033D0F">
        <w:t>requirements</w:t>
      </w:r>
      <w:r w:rsidR="00033D0F">
        <w:rPr>
          <w:spacing w:val="-10"/>
        </w:rPr>
        <w:t xml:space="preserve"> </w:t>
      </w:r>
      <w:r w:rsidR="00033D0F">
        <w:t>of</w:t>
      </w:r>
      <w:r w:rsidR="00033D0F">
        <w:rPr>
          <w:spacing w:val="-14"/>
        </w:rPr>
        <w:t xml:space="preserve"> </w:t>
      </w:r>
      <w:r w:rsidR="00033D0F">
        <w:t>Article</w:t>
      </w:r>
      <w:r w:rsidR="00033D0F">
        <w:rPr>
          <w:spacing w:val="-12"/>
        </w:rPr>
        <w:t xml:space="preserve"> </w:t>
      </w:r>
      <w:r w:rsidR="00033D0F">
        <w:t>17.6</w:t>
      </w:r>
      <w:r w:rsidR="00033D0F">
        <w:rPr>
          <w:spacing w:val="-14"/>
        </w:rPr>
        <w:t xml:space="preserve"> </w:t>
      </w:r>
      <w:r w:rsidR="00033D0F">
        <w:t>the</w:t>
      </w:r>
      <w:r w:rsidR="00033D0F">
        <w:rPr>
          <w:spacing w:val="-12"/>
        </w:rPr>
        <w:t xml:space="preserve"> </w:t>
      </w:r>
      <w:r w:rsidR="00033D0F">
        <w:t>Anti-Dumping</w:t>
      </w:r>
      <w:r w:rsidR="00033D0F">
        <w:rPr>
          <w:spacing w:val="-1"/>
        </w:rPr>
        <w:t xml:space="preserve"> </w:t>
      </w:r>
      <w:r w:rsidR="00033D0F">
        <w:t>Agreement</w:t>
      </w:r>
      <w:r w:rsidR="00033D0F">
        <w:rPr>
          <w:spacing w:val="-11"/>
        </w:rPr>
        <w:t xml:space="preserve"> </w:t>
      </w:r>
      <w:r w:rsidR="00033D0F">
        <w:t>and Article 11 of the DSU.</w:t>
      </w:r>
    </w:p>
    <w:p w14:paraId="2961931B" w14:textId="77777777" w:rsidR="00BD462C" w:rsidRDefault="00BD462C">
      <w:pPr>
        <w:pStyle w:val="BodyText"/>
        <w:rPr>
          <w:sz w:val="20"/>
        </w:rPr>
      </w:pPr>
    </w:p>
    <w:p w14:paraId="1F552CBB" w14:textId="77777777" w:rsidR="00BD462C" w:rsidRDefault="00BD462C">
      <w:pPr>
        <w:pStyle w:val="BodyText"/>
        <w:rPr>
          <w:sz w:val="20"/>
        </w:rPr>
      </w:pPr>
    </w:p>
    <w:p w14:paraId="21A1C512" w14:textId="77777777" w:rsidR="00BD462C" w:rsidRDefault="00BD462C">
      <w:pPr>
        <w:pStyle w:val="BodyText"/>
        <w:rPr>
          <w:sz w:val="20"/>
        </w:rPr>
      </w:pPr>
    </w:p>
    <w:p w14:paraId="561213C9" w14:textId="29F85E5C" w:rsidR="00BD462C" w:rsidRDefault="00D70C7D">
      <w:pPr>
        <w:pStyle w:val="BodyText"/>
        <w:spacing w:before="9"/>
        <w:rPr>
          <w:sz w:val="14"/>
        </w:rPr>
      </w:pPr>
      <w:r>
        <w:rPr>
          <w:noProof/>
        </w:rPr>
        <mc:AlternateContent>
          <mc:Choice Requires="wps">
            <w:drawing>
              <wp:anchor distT="0" distB="0" distL="0" distR="0" simplePos="0" relativeHeight="487848960" behindDoc="1" locked="0" layoutInCell="1" allowOverlap="1" wp14:anchorId="4E2BDAAC" wp14:editId="467E99DD">
                <wp:simplePos x="0" y="0"/>
                <wp:positionH relativeFrom="page">
                  <wp:posOffset>899160</wp:posOffset>
                </wp:positionH>
                <wp:positionV relativeFrom="paragraph">
                  <wp:posOffset>130175</wp:posOffset>
                </wp:positionV>
                <wp:extent cx="1828800" cy="8890"/>
                <wp:effectExtent l="0" t="0" r="0" b="0"/>
                <wp:wrapTopAndBottom/>
                <wp:docPr id="322" name="docshape5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0AB1C2" id="docshape561" o:spid="_x0000_s1026" alt="&quot;&quot;" style="position:absolute;margin-left:70.8pt;margin-top:10.25pt;width:2in;height:.7pt;z-index:-1546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" fillcolor="black" stroked="f">
                <w10:wrap type="topAndBottom" anchorx="page"/>
              </v:rect>
            </w:pict>
          </mc:Fallback>
        </mc:AlternateContent>
      </w:r>
    </w:p>
    <w:p w14:paraId="0E8DF478" w14:textId="77777777" w:rsidR="00BD462C" w:rsidRDefault="00033D0F">
      <w:pPr>
        <w:spacing w:before="107"/>
        <w:ind w:left="135"/>
        <w:jc w:val="both"/>
        <w:rPr>
          <w:sz w:val="18"/>
        </w:rPr>
      </w:pPr>
      <w:bookmarkStart w:id="1625" w:name="_bookmark1399"/>
      <w:bookmarkEnd w:id="1625"/>
      <w:r>
        <w:rPr>
          <w:position w:val="5"/>
          <w:sz w:val="12"/>
        </w:rPr>
        <w:t>1206</w:t>
      </w:r>
      <w:r>
        <w:rPr>
          <w:spacing w:val="13"/>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 xml:space="preserve">para. </w:t>
      </w:r>
      <w:r>
        <w:rPr>
          <w:spacing w:val="-2"/>
          <w:sz w:val="18"/>
        </w:rPr>
        <w:t>2423.</w:t>
      </w:r>
    </w:p>
    <w:p w14:paraId="76E84907" w14:textId="77777777" w:rsidR="00BD462C" w:rsidRDefault="00033D0F">
      <w:pPr>
        <w:spacing w:before="1"/>
        <w:ind w:left="135"/>
        <w:jc w:val="both"/>
        <w:rPr>
          <w:sz w:val="18"/>
        </w:rPr>
      </w:pPr>
      <w:bookmarkStart w:id="1626" w:name="_bookmark1400"/>
      <w:bookmarkEnd w:id="1626"/>
      <w:r>
        <w:rPr>
          <w:position w:val="5"/>
          <w:sz w:val="12"/>
        </w:rPr>
        <w:t>1207</w:t>
      </w:r>
      <w:r>
        <w:rPr>
          <w:spacing w:val="14"/>
          <w:position w:val="5"/>
          <w:sz w:val="12"/>
        </w:rPr>
        <w:t xml:space="preserve"> </w:t>
      </w:r>
      <w:r>
        <w:rPr>
          <w:sz w:val="18"/>
        </w:rPr>
        <w:t>Australia's response</w:t>
      </w:r>
      <w:r>
        <w:rPr>
          <w:spacing w:val="-4"/>
          <w:sz w:val="18"/>
        </w:rPr>
        <w:t xml:space="preserve"> </w:t>
      </w:r>
      <w:r>
        <w:rPr>
          <w:sz w:val="18"/>
        </w:rPr>
        <w:t>to</w:t>
      </w:r>
      <w:r>
        <w:rPr>
          <w:spacing w:val="-5"/>
          <w:sz w:val="18"/>
        </w:rPr>
        <w:t xml:space="preserve"> </w:t>
      </w:r>
      <w:r>
        <w:rPr>
          <w:sz w:val="18"/>
        </w:rPr>
        <w:t>Panel</w:t>
      </w:r>
      <w:r>
        <w:rPr>
          <w:spacing w:val="-4"/>
          <w:sz w:val="18"/>
        </w:rPr>
        <w:t xml:space="preserve"> </w:t>
      </w:r>
      <w:r>
        <w:rPr>
          <w:sz w:val="18"/>
        </w:rPr>
        <w:t>question</w:t>
      </w:r>
      <w:r>
        <w:rPr>
          <w:spacing w:val="-5"/>
          <w:sz w:val="18"/>
        </w:rPr>
        <w:t xml:space="preserve"> </w:t>
      </w:r>
      <w:r>
        <w:rPr>
          <w:sz w:val="18"/>
        </w:rPr>
        <w:t>No.</w:t>
      </w:r>
      <w:r>
        <w:rPr>
          <w:spacing w:val="-3"/>
          <w:sz w:val="18"/>
        </w:rPr>
        <w:t xml:space="preserve"> </w:t>
      </w:r>
      <w:r>
        <w:rPr>
          <w:sz w:val="18"/>
        </w:rPr>
        <w:t>59,</w:t>
      </w:r>
      <w:r>
        <w:rPr>
          <w:spacing w:val="-3"/>
          <w:sz w:val="18"/>
        </w:rPr>
        <w:t xml:space="preserve"> </w:t>
      </w:r>
      <w:r>
        <w:rPr>
          <w:sz w:val="18"/>
        </w:rPr>
        <w:t>para.</w:t>
      </w:r>
      <w:r>
        <w:rPr>
          <w:spacing w:val="1"/>
          <w:sz w:val="18"/>
        </w:rPr>
        <w:t xml:space="preserve"> </w:t>
      </w:r>
      <w:r>
        <w:rPr>
          <w:spacing w:val="-4"/>
          <w:sz w:val="18"/>
        </w:rPr>
        <w:t>145.</w:t>
      </w:r>
    </w:p>
    <w:p w14:paraId="48467C8A" w14:textId="77777777" w:rsidR="00BD462C" w:rsidRDefault="00033D0F">
      <w:pPr>
        <w:spacing w:before="1" w:line="244" w:lineRule="auto"/>
        <w:ind w:left="135" w:right="908"/>
        <w:jc w:val="both"/>
        <w:rPr>
          <w:sz w:val="18"/>
        </w:rPr>
      </w:pPr>
      <w:bookmarkStart w:id="1627" w:name="_bookmark1401"/>
      <w:bookmarkEnd w:id="1627"/>
      <w:r>
        <w:rPr>
          <w:position w:val="5"/>
          <w:sz w:val="12"/>
        </w:rPr>
        <w:t>1208</w:t>
      </w:r>
      <w:r>
        <w:rPr>
          <w:spacing w:val="16"/>
          <w:position w:val="5"/>
          <w:sz w:val="12"/>
        </w:rPr>
        <w:t xml:space="preserve"> </w:t>
      </w:r>
      <w:r>
        <w:rPr>
          <w:sz w:val="18"/>
        </w:rPr>
        <w:t>China's response</w:t>
      </w:r>
      <w:r>
        <w:rPr>
          <w:spacing w:val="-3"/>
          <w:sz w:val="18"/>
        </w:rPr>
        <w:t xml:space="preserve"> </w:t>
      </w:r>
      <w:r>
        <w:rPr>
          <w:sz w:val="18"/>
        </w:rPr>
        <w:t>to</w:t>
      </w:r>
      <w:r>
        <w:rPr>
          <w:spacing w:val="-4"/>
          <w:sz w:val="18"/>
        </w:rPr>
        <w:t xml:space="preserve"> </w:t>
      </w:r>
      <w:r>
        <w:rPr>
          <w:sz w:val="18"/>
        </w:rPr>
        <w:t>Panel</w:t>
      </w:r>
      <w:r>
        <w:rPr>
          <w:spacing w:val="-2"/>
          <w:sz w:val="18"/>
        </w:rPr>
        <w:t xml:space="preserve"> </w:t>
      </w:r>
      <w:r>
        <w:rPr>
          <w:sz w:val="18"/>
        </w:rPr>
        <w:t>question</w:t>
      </w:r>
      <w:r>
        <w:rPr>
          <w:spacing w:val="-4"/>
          <w:sz w:val="18"/>
        </w:rPr>
        <w:t xml:space="preserve"> </w:t>
      </w:r>
      <w:r>
        <w:rPr>
          <w:sz w:val="18"/>
        </w:rPr>
        <w:t>No.</w:t>
      </w:r>
      <w:r>
        <w:rPr>
          <w:spacing w:val="-2"/>
          <w:sz w:val="18"/>
        </w:rPr>
        <w:t xml:space="preserve"> </w:t>
      </w:r>
      <w:r>
        <w:rPr>
          <w:sz w:val="18"/>
        </w:rPr>
        <w:t>59,</w:t>
      </w:r>
      <w:r>
        <w:rPr>
          <w:spacing w:val="-1"/>
          <w:sz w:val="18"/>
        </w:rPr>
        <w:t xml:space="preserve"> </w:t>
      </w:r>
      <w:r>
        <w:rPr>
          <w:sz w:val="18"/>
        </w:rPr>
        <w:t>para. 353</w:t>
      </w:r>
      <w:r>
        <w:rPr>
          <w:spacing w:val="-5"/>
          <w:sz w:val="18"/>
        </w:rPr>
        <w:t xml:space="preserve"> </w:t>
      </w:r>
      <w:r>
        <w:rPr>
          <w:sz w:val="18"/>
        </w:rPr>
        <w:t>("China</w:t>
      </w:r>
      <w:r>
        <w:rPr>
          <w:spacing w:val="-5"/>
          <w:sz w:val="18"/>
        </w:rPr>
        <w:t xml:space="preserve"> </w:t>
      </w:r>
      <w:r>
        <w:rPr>
          <w:sz w:val="18"/>
        </w:rPr>
        <w:t>understands</w:t>
      </w:r>
      <w:r>
        <w:rPr>
          <w:spacing w:val="-3"/>
          <w:sz w:val="18"/>
        </w:rPr>
        <w:t xml:space="preserve"> </w:t>
      </w:r>
      <w:r>
        <w:rPr>
          <w:sz w:val="18"/>
        </w:rPr>
        <w:t>that</w:t>
      </w:r>
      <w:r>
        <w:rPr>
          <w:spacing w:val="-2"/>
          <w:sz w:val="18"/>
        </w:rPr>
        <w:t xml:space="preserve"> </w:t>
      </w:r>
      <w:r>
        <w:rPr>
          <w:sz w:val="18"/>
        </w:rPr>
        <w:t>there</w:t>
      </w:r>
      <w:r>
        <w:rPr>
          <w:spacing w:val="-3"/>
          <w:sz w:val="18"/>
        </w:rPr>
        <w:t xml:space="preserve"> </w:t>
      </w:r>
      <w:r>
        <w:rPr>
          <w:sz w:val="18"/>
        </w:rPr>
        <w:t xml:space="preserve">must be some reasonable standard that investigating authorities must follow in this regard. To this end, China finds the Panel Report in </w:t>
      </w:r>
      <w:r>
        <w:rPr>
          <w:i/>
          <w:sz w:val="18"/>
        </w:rPr>
        <w:t xml:space="preserve">EC </w:t>
      </w:r>
      <w:r>
        <w:rPr>
          <w:rFonts w:ascii="Times New Roman" w:hAnsi="Times New Roman"/>
          <w:i/>
          <w:sz w:val="19"/>
        </w:rPr>
        <w:t xml:space="preserve">– </w:t>
      </w:r>
      <w:r>
        <w:rPr>
          <w:i/>
          <w:sz w:val="18"/>
        </w:rPr>
        <w:t xml:space="preserve">Fasteners (China) (Article 21.5 </w:t>
      </w:r>
      <w:r>
        <w:rPr>
          <w:rFonts w:ascii="Times New Roman" w:hAnsi="Times New Roman"/>
          <w:i/>
          <w:sz w:val="19"/>
        </w:rPr>
        <w:t>–</w:t>
      </w:r>
      <w:r>
        <w:rPr>
          <w:rFonts w:ascii="Times New Roman" w:hAnsi="Times New Roman"/>
          <w:i/>
          <w:spacing w:val="-10"/>
          <w:sz w:val="19"/>
        </w:rPr>
        <w:t xml:space="preserve"> </w:t>
      </w:r>
      <w:r>
        <w:rPr>
          <w:i/>
          <w:sz w:val="18"/>
        </w:rPr>
        <w:t xml:space="preserve">China), </w:t>
      </w:r>
      <w:r>
        <w:rPr>
          <w:sz w:val="18"/>
        </w:rPr>
        <w:t>compelling, in</w:t>
      </w:r>
      <w:r>
        <w:rPr>
          <w:spacing w:val="-3"/>
          <w:sz w:val="18"/>
        </w:rPr>
        <w:t xml:space="preserve"> </w:t>
      </w:r>
      <w:r>
        <w:rPr>
          <w:sz w:val="18"/>
        </w:rPr>
        <w:t>that, while the method</w:t>
      </w:r>
      <w:r>
        <w:rPr>
          <w:spacing w:val="-3"/>
          <w:sz w:val="18"/>
        </w:rPr>
        <w:t xml:space="preserve"> </w:t>
      </w:r>
      <w:r>
        <w:rPr>
          <w:sz w:val="18"/>
        </w:rPr>
        <w:t>(or 'process') employed by an investigating authority cannot</w:t>
      </w:r>
      <w:r>
        <w:rPr>
          <w:spacing w:val="-1"/>
          <w:sz w:val="18"/>
        </w:rPr>
        <w:t xml:space="preserve"> </w:t>
      </w:r>
      <w:r>
        <w:rPr>
          <w:sz w:val="18"/>
        </w:rPr>
        <w:t>be questioned</w:t>
      </w:r>
      <w:r>
        <w:rPr>
          <w:spacing w:val="-11"/>
          <w:sz w:val="18"/>
        </w:rPr>
        <w:t xml:space="preserve"> </w:t>
      </w:r>
      <w:r>
        <w:rPr>
          <w:sz w:val="18"/>
        </w:rPr>
        <w:t>by</w:t>
      </w:r>
      <w:r>
        <w:rPr>
          <w:spacing w:val="-10"/>
          <w:sz w:val="18"/>
        </w:rPr>
        <w:t xml:space="preserve"> </w:t>
      </w:r>
      <w:r>
        <w:rPr>
          <w:sz w:val="18"/>
        </w:rPr>
        <w:t>the</w:t>
      </w:r>
      <w:r>
        <w:rPr>
          <w:spacing w:val="-10"/>
          <w:sz w:val="18"/>
        </w:rPr>
        <w:t xml:space="preserve"> </w:t>
      </w:r>
      <w:r>
        <w:rPr>
          <w:sz w:val="18"/>
        </w:rPr>
        <w:t>complainant,</w:t>
      </w:r>
      <w:r>
        <w:rPr>
          <w:spacing w:val="-10"/>
          <w:sz w:val="18"/>
        </w:rPr>
        <w:t xml:space="preserve"> </w:t>
      </w:r>
      <w:r>
        <w:rPr>
          <w:sz w:val="18"/>
        </w:rPr>
        <w:t>a</w:t>
      </w:r>
      <w:r>
        <w:rPr>
          <w:spacing w:val="-10"/>
          <w:sz w:val="18"/>
        </w:rPr>
        <w:t xml:space="preserve"> </w:t>
      </w:r>
      <w:r>
        <w:rPr>
          <w:sz w:val="18"/>
        </w:rPr>
        <w:t>reviewing</w:t>
      </w:r>
      <w:r>
        <w:rPr>
          <w:spacing w:val="-11"/>
          <w:sz w:val="18"/>
        </w:rPr>
        <w:t xml:space="preserve"> </w:t>
      </w:r>
      <w:r>
        <w:rPr>
          <w:sz w:val="18"/>
        </w:rPr>
        <w:t>Panel</w:t>
      </w:r>
      <w:r>
        <w:rPr>
          <w:spacing w:val="-10"/>
          <w:sz w:val="18"/>
        </w:rPr>
        <w:t xml:space="preserve"> </w:t>
      </w:r>
      <w:r>
        <w:rPr>
          <w:sz w:val="18"/>
        </w:rPr>
        <w:t>is</w:t>
      </w:r>
      <w:r>
        <w:rPr>
          <w:spacing w:val="-8"/>
          <w:sz w:val="18"/>
        </w:rPr>
        <w:t xml:space="preserve"> </w:t>
      </w:r>
      <w:r>
        <w:rPr>
          <w:sz w:val="18"/>
        </w:rPr>
        <w:t>to</w:t>
      </w:r>
      <w:r>
        <w:rPr>
          <w:spacing w:val="-9"/>
          <w:sz w:val="18"/>
        </w:rPr>
        <w:t xml:space="preserve"> </w:t>
      </w:r>
      <w:r>
        <w:rPr>
          <w:sz w:val="18"/>
        </w:rPr>
        <w:t>check</w:t>
      </w:r>
      <w:r>
        <w:rPr>
          <w:spacing w:val="-10"/>
          <w:sz w:val="18"/>
        </w:rPr>
        <w:t xml:space="preserve"> </w:t>
      </w:r>
      <w:r>
        <w:rPr>
          <w:sz w:val="18"/>
        </w:rPr>
        <w:t>whether</w:t>
      </w:r>
      <w:r>
        <w:rPr>
          <w:spacing w:val="-10"/>
          <w:sz w:val="18"/>
        </w:rPr>
        <w:t xml:space="preserve"> </w:t>
      </w:r>
      <w:r>
        <w:rPr>
          <w:sz w:val="18"/>
        </w:rPr>
        <w:t>the</w:t>
      </w:r>
      <w:r>
        <w:rPr>
          <w:spacing w:val="-9"/>
          <w:sz w:val="18"/>
        </w:rPr>
        <w:t xml:space="preserve"> </w:t>
      </w:r>
      <w:r>
        <w:rPr>
          <w:sz w:val="18"/>
        </w:rPr>
        <w:t>investigating</w:t>
      </w:r>
      <w:r>
        <w:rPr>
          <w:spacing w:val="-9"/>
          <w:sz w:val="18"/>
        </w:rPr>
        <w:t xml:space="preserve"> </w:t>
      </w:r>
      <w:r>
        <w:rPr>
          <w:sz w:val="18"/>
        </w:rPr>
        <w:t>authority's</w:t>
      </w:r>
      <w:r>
        <w:rPr>
          <w:spacing w:val="-9"/>
          <w:sz w:val="18"/>
        </w:rPr>
        <w:t xml:space="preserve"> </w:t>
      </w:r>
      <w:r>
        <w:rPr>
          <w:sz w:val="18"/>
        </w:rPr>
        <w:t>assessment</w:t>
      </w:r>
      <w:r>
        <w:rPr>
          <w:spacing w:val="-8"/>
          <w:sz w:val="18"/>
        </w:rPr>
        <w:t xml:space="preserve"> </w:t>
      </w:r>
      <w:r>
        <w:rPr>
          <w:sz w:val="18"/>
        </w:rPr>
        <w:t>was</w:t>
      </w:r>
      <w:r>
        <w:rPr>
          <w:spacing w:val="-9"/>
          <w:sz w:val="18"/>
        </w:rPr>
        <w:t xml:space="preserve"> </w:t>
      </w:r>
      <w:r>
        <w:rPr>
          <w:sz w:val="18"/>
        </w:rPr>
        <w:t>"unbiased and objective").</w:t>
      </w:r>
    </w:p>
    <w:p w14:paraId="5324A2A8" w14:textId="77777777" w:rsidR="00BD462C" w:rsidRDefault="00033D0F">
      <w:pPr>
        <w:spacing w:line="215" w:lineRule="exact"/>
        <w:ind w:left="135"/>
        <w:jc w:val="both"/>
        <w:rPr>
          <w:sz w:val="18"/>
        </w:rPr>
      </w:pPr>
      <w:bookmarkStart w:id="1628" w:name="_bookmark1402"/>
      <w:bookmarkEnd w:id="1628"/>
      <w:r>
        <w:rPr>
          <w:position w:val="5"/>
          <w:sz w:val="12"/>
        </w:rPr>
        <w:t>1209</w:t>
      </w:r>
      <w:r>
        <w:rPr>
          <w:spacing w:val="14"/>
          <w:position w:val="5"/>
          <w:sz w:val="12"/>
        </w:rPr>
        <w:t xml:space="preserve"> </w:t>
      </w:r>
      <w:r>
        <w:rPr>
          <w:sz w:val="18"/>
        </w:rPr>
        <w:t>China's</w:t>
      </w:r>
      <w:r>
        <w:rPr>
          <w:spacing w:val="2"/>
          <w:sz w:val="18"/>
        </w:rPr>
        <w:t xml:space="preserve"> </w:t>
      </w:r>
      <w:r>
        <w:rPr>
          <w:sz w:val="18"/>
        </w:rPr>
        <w:t>response</w:t>
      </w:r>
      <w:r>
        <w:rPr>
          <w:spacing w:val="-4"/>
          <w:sz w:val="18"/>
        </w:rPr>
        <w:t xml:space="preserve"> </w:t>
      </w:r>
      <w:r>
        <w:rPr>
          <w:sz w:val="18"/>
        </w:rPr>
        <w:t>to</w:t>
      </w:r>
      <w:r>
        <w:rPr>
          <w:spacing w:val="-10"/>
          <w:sz w:val="18"/>
        </w:rPr>
        <w:t xml:space="preserve"> </w:t>
      </w:r>
      <w:r>
        <w:rPr>
          <w:sz w:val="18"/>
        </w:rPr>
        <w:t>Panel</w:t>
      </w:r>
      <w:r>
        <w:rPr>
          <w:spacing w:val="-3"/>
          <w:sz w:val="18"/>
        </w:rPr>
        <w:t xml:space="preserve"> </w:t>
      </w:r>
      <w:r>
        <w:rPr>
          <w:sz w:val="18"/>
        </w:rPr>
        <w:t>question</w:t>
      </w:r>
      <w:r>
        <w:rPr>
          <w:spacing w:val="-4"/>
          <w:sz w:val="18"/>
        </w:rPr>
        <w:t xml:space="preserve"> </w:t>
      </w:r>
      <w:r>
        <w:rPr>
          <w:sz w:val="18"/>
        </w:rPr>
        <w:t>No.</w:t>
      </w:r>
      <w:r>
        <w:rPr>
          <w:spacing w:val="2"/>
          <w:sz w:val="18"/>
        </w:rPr>
        <w:t xml:space="preserve"> </w:t>
      </w:r>
      <w:r>
        <w:rPr>
          <w:sz w:val="18"/>
        </w:rPr>
        <w:t>59,</w:t>
      </w:r>
      <w:r>
        <w:rPr>
          <w:spacing w:val="-2"/>
          <w:sz w:val="18"/>
        </w:rPr>
        <w:t xml:space="preserve"> </w:t>
      </w:r>
      <w:r>
        <w:rPr>
          <w:sz w:val="18"/>
        </w:rPr>
        <w:t>para.</w:t>
      </w:r>
      <w:r>
        <w:rPr>
          <w:spacing w:val="-3"/>
          <w:sz w:val="18"/>
        </w:rPr>
        <w:t xml:space="preserve"> </w:t>
      </w:r>
      <w:r>
        <w:rPr>
          <w:spacing w:val="-4"/>
          <w:sz w:val="18"/>
        </w:rPr>
        <w:t>353.</w:t>
      </w:r>
    </w:p>
    <w:p w14:paraId="3F80EFC8" w14:textId="77777777" w:rsidR="00BD462C" w:rsidRDefault="00BD462C">
      <w:pPr>
        <w:spacing w:line="215" w:lineRule="exact"/>
        <w:jc w:val="both"/>
        <w:rPr>
          <w:sz w:val="18"/>
        </w:rPr>
        <w:sectPr w:rsidR="00BD462C">
          <w:pgSz w:w="11910" w:h="16840"/>
          <w:pgMar w:top="860" w:right="500" w:bottom="780" w:left="1280" w:header="566" w:footer="590" w:gutter="0"/>
          <w:cols w:space="720"/>
        </w:sectPr>
      </w:pPr>
    </w:p>
    <w:p w14:paraId="507BA2F2"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32270F35"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1F7F304F"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6D6D082F" w14:textId="77777777" w:rsidR="00BD462C" w:rsidRDefault="00033D0F">
      <w:pPr>
        <w:pStyle w:val="Heading3"/>
        <w:numPr>
          <w:ilvl w:val="0"/>
          <w:numId w:val="21"/>
        </w:numPr>
        <w:tabs>
          <w:tab w:val="left" w:pos="2545"/>
          <w:tab w:val="left" w:pos="2546"/>
        </w:tabs>
        <w:ind w:left="2545"/>
        <w:jc w:val="left"/>
      </w:pPr>
      <w:bookmarkStart w:id="1629" w:name="3._MOFCOM's_calculation_of_total_domesti"/>
      <w:bookmarkStart w:id="1630" w:name="_bookmark1403"/>
      <w:bookmarkEnd w:id="1629"/>
      <w:bookmarkEnd w:id="1630"/>
      <w:r>
        <w:t>MOFCOM's</w:t>
      </w:r>
      <w:r>
        <w:rPr>
          <w:spacing w:val="-5"/>
        </w:rPr>
        <w:t xml:space="preserve"> </w:t>
      </w:r>
      <w:r>
        <w:t>calculation</w:t>
      </w:r>
      <w:r>
        <w:rPr>
          <w:spacing w:val="-3"/>
        </w:rPr>
        <w:t xml:space="preserve"> </w:t>
      </w:r>
      <w:r>
        <w:t>of</w:t>
      </w:r>
      <w:r>
        <w:rPr>
          <w:spacing w:val="-4"/>
        </w:rPr>
        <w:t xml:space="preserve"> </w:t>
      </w:r>
      <w:r>
        <w:t>total</w:t>
      </w:r>
      <w:r>
        <w:rPr>
          <w:spacing w:val="-5"/>
        </w:rPr>
        <w:t xml:space="preserve"> </w:t>
      </w:r>
      <w:r>
        <w:t>domestic</w:t>
      </w:r>
      <w:r>
        <w:rPr>
          <w:spacing w:val="-4"/>
        </w:rPr>
        <w:t xml:space="preserve"> </w:t>
      </w:r>
      <w:r>
        <w:rPr>
          <w:spacing w:val="-2"/>
        </w:rPr>
        <w:t>output</w:t>
      </w:r>
    </w:p>
    <w:p w14:paraId="0ADFE9D7" w14:textId="77777777" w:rsidR="00BD462C" w:rsidRDefault="00BD462C">
      <w:pPr>
        <w:pStyle w:val="BodyText"/>
        <w:spacing w:before="7"/>
        <w:rPr>
          <w:b/>
          <w:sz w:val="20"/>
        </w:rPr>
      </w:pPr>
    </w:p>
    <w:p w14:paraId="4B1A8CD6" w14:textId="6091923A" w:rsidR="00BD462C" w:rsidRDefault="005F4A68">
      <w:pPr>
        <w:pStyle w:val="BodyText"/>
        <w:spacing w:before="56" w:line="360" w:lineRule="auto"/>
        <w:ind w:left="135" w:right="911"/>
        <w:jc w:val="both"/>
      </w:pPr>
      <w:r>
        <w:rPr>
          <w:noProof/>
        </w:rPr>
        <w:t>812.</w:t>
      </w:r>
      <w:r w:rsidR="00033D0F">
        <w:rPr>
          <w:rFonts w:ascii="Times New Roman"/>
          <w:spacing w:val="40"/>
          <w:position w:val="1"/>
          <w:sz w:val="20"/>
        </w:rPr>
        <w:t xml:space="preserve">  </w:t>
      </w:r>
      <w:r w:rsidR="00033D0F">
        <w:rPr>
          <w:position w:val="1"/>
        </w:rPr>
        <w:t xml:space="preserve">China's arguments in its first written submission relating to the calculation of total </w:t>
      </w:r>
      <w:r w:rsidR="00033D0F">
        <w:t xml:space="preserve">domestic output are misdirected and irrelevant to the arguments Australia actually </w:t>
      </w:r>
      <w:r w:rsidR="00033D0F">
        <w:rPr>
          <w:spacing w:val="-2"/>
        </w:rPr>
        <w:t>advanced.</w:t>
      </w:r>
      <w:hyperlink w:anchor="_bookmark1404" w:history="1">
        <w:r w:rsidR="00033D0F">
          <w:rPr>
            <w:spacing w:val="-2"/>
            <w:vertAlign w:val="superscript"/>
          </w:rPr>
          <w:t>1210</w:t>
        </w:r>
      </w:hyperlink>
    </w:p>
    <w:p w14:paraId="5499BC44" w14:textId="77777777" w:rsidR="00BD462C" w:rsidRDefault="00BD462C">
      <w:pPr>
        <w:pStyle w:val="BodyText"/>
        <w:spacing w:before="6"/>
        <w:rPr>
          <w:sz w:val="8"/>
        </w:rPr>
      </w:pPr>
    </w:p>
    <w:p w14:paraId="28D86455" w14:textId="059C0AD9" w:rsidR="00BD462C" w:rsidRDefault="005F4A68">
      <w:pPr>
        <w:pStyle w:val="BodyText"/>
        <w:spacing w:before="56" w:line="360" w:lineRule="auto"/>
        <w:ind w:left="135" w:right="911"/>
        <w:jc w:val="both"/>
      </w:pPr>
      <w:r>
        <w:rPr>
          <w:noProof/>
        </w:rPr>
        <w:t>813.</w:t>
      </w:r>
      <w:r w:rsidR="00033D0F">
        <w:rPr>
          <w:rFonts w:ascii="Times New Roman"/>
          <w:spacing w:val="80"/>
          <w:w w:val="150"/>
          <w:position w:val="1"/>
          <w:sz w:val="20"/>
        </w:rPr>
        <w:t xml:space="preserve">  </w:t>
      </w:r>
      <w:r w:rsidR="00033D0F">
        <w:rPr>
          <w:position w:val="1"/>
        </w:rPr>
        <w:t>Australia's</w:t>
      </w:r>
      <w:r w:rsidR="00033D0F">
        <w:rPr>
          <w:spacing w:val="-10"/>
          <w:position w:val="1"/>
        </w:rPr>
        <w:t xml:space="preserve"> </w:t>
      </w:r>
      <w:r w:rsidR="00033D0F">
        <w:rPr>
          <w:position w:val="1"/>
        </w:rPr>
        <w:t>argument</w:t>
      </w:r>
      <w:r w:rsidR="00033D0F">
        <w:rPr>
          <w:spacing w:val="-11"/>
          <w:position w:val="1"/>
        </w:rPr>
        <w:t xml:space="preserve"> </w:t>
      </w:r>
      <w:r w:rsidR="00033D0F">
        <w:rPr>
          <w:position w:val="1"/>
        </w:rPr>
        <w:t>in</w:t>
      </w:r>
      <w:r w:rsidR="00033D0F">
        <w:rPr>
          <w:spacing w:val="-14"/>
          <w:position w:val="1"/>
        </w:rPr>
        <w:t xml:space="preserve"> </w:t>
      </w:r>
      <w:r w:rsidR="00033D0F">
        <w:rPr>
          <w:position w:val="1"/>
        </w:rPr>
        <w:t>relation</w:t>
      </w:r>
      <w:r w:rsidR="00033D0F">
        <w:rPr>
          <w:spacing w:val="-13"/>
          <w:position w:val="1"/>
        </w:rPr>
        <w:t xml:space="preserve"> </w:t>
      </w:r>
      <w:r w:rsidR="00033D0F">
        <w:rPr>
          <w:position w:val="1"/>
        </w:rPr>
        <w:t>to</w:t>
      </w:r>
      <w:r w:rsidR="00033D0F">
        <w:rPr>
          <w:spacing w:val="-14"/>
          <w:position w:val="1"/>
        </w:rPr>
        <w:t xml:space="preserve"> </w:t>
      </w:r>
      <w:r w:rsidR="00033D0F">
        <w:rPr>
          <w:position w:val="1"/>
        </w:rPr>
        <w:t>the</w:t>
      </w:r>
      <w:r w:rsidR="00033D0F">
        <w:rPr>
          <w:spacing w:val="-11"/>
          <w:position w:val="1"/>
        </w:rPr>
        <w:t xml:space="preserve"> </w:t>
      </w:r>
      <w:r w:rsidR="00033D0F">
        <w:rPr>
          <w:position w:val="1"/>
        </w:rPr>
        <w:t>calculation</w:t>
      </w:r>
      <w:r w:rsidR="00033D0F">
        <w:rPr>
          <w:spacing w:val="-9"/>
          <w:position w:val="1"/>
        </w:rPr>
        <w:t xml:space="preserve"> </w:t>
      </w:r>
      <w:r w:rsidR="00033D0F">
        <w:rPr>
          <w:position w:val="1"/>
        </w:rPr>
        <w:t>of</w:t>
      </w:r>
      <w:r w:rsidR="00033D0F">
        <w:rPr>
          <w:spacing w:val="-14"/>
          <w:position w:val="1"/>
        </w:rPr>
        <w:t xml:space="preserve"> </w:t>
      </w:r>
      <w:r w:rsidR="00033D0F">
        <w:rPr>
          <w:position w:val="1"/>
        </w:rPr>
        <w:t>total</w:t>
      </w:r>
      <w:r w:rsidR="00033D0F">
        <w:rPr>
          <w:spacing w:val="-9"/>
          <w:position w:val="1"/>
        </w:rPr>
        <w:t xml:space="preserve"> </w:t>
      </w:r>
      <w:r w:rsidR="00033D0F">
        <w:rPr>
          <w:position w:val="1"/>
        </w:rPr>
        <w:t>domestic</w:t>
      </w:r>
      <w:r w:rsidR="00033D0F">
        <w:rPr>
          <w:spacing w:val="-13"/>
          <w:position w:val="1"/>
        </w:rPr>
        <w:t xml:space="preserve"> </w:t>
      </w:r>
      <w:r w:rsidR="00033D0F">
        <w:rPr>
          <w:position w:val="1"/>
        </w:rPr>
        <w:t>output</w:t>
      </w:r>
      <w:r w:rsidR="00033D0F">
        <w:rPr>
          <w:spacing w:val="-7"/>
          <w:position w:val="1"/>
        </w:rPr>
        <w:t xml:space="preserve"> </w:t>
      </w:r>
      <w:r w:rsidR="00033D0F">
        <w:rPr>
          <w:position w:val="1"/>
        </w:rPr>
        <w:t>is</w:t>
      </w:r>
      <w:r w:rsidR="00033D0F">
        <w:rPr>
          <w:spacing w:val="-10"/>
          <w:position w:val="1"/>
        </w:rPr>
        <w:t xml:space="preserve"> </w:t>
      </w:r>
      <w:r w:rsidR="00033D0F">
        <w:rPr>
          <w:position w:val="1"/>
        </w:rPr>
        <w:t xml:space="preserve">directed </w:t>
      </w:r>
      <w:r w:rsidR="00033D0F">
        <w:t xml:space="preserve">at the calculation used in the </w:t>
      </w:r>
      <w:r w:rsidR="00033D0F">
        <w:rPr>
          <w:i/>
        </w:rPr>
        <w:t>investigation</w:t>
      </w:r>
      <w:r w:rsidR="00033D0F">
        <w:t>, rather than for the purposes of initiation. The description in Australia's first written submission of MOFCOM's initial, uncritical acceptance of CADA's domestic production figures, and subsequent rejection of them, is introductory context.</w:t>
      </w:r>
      <w:hyperlink w:anchor="_bookmark1405" w:history="1">
        <w:r w:rsidR="00033D0F">
          <w:rPr>
            <w:vertAlign w:val="superscript"/>
          </w:rPr>
          <w:t>1211</w:t>
        </w:r>
      </w:hyperlink>
      <w:r w:rsidR="00033D0F">
        <w:t xml:space="preserve"> It is not, as China's submissions appear to assume, the substance of Australia's case concerning the information</w:t>
      </w:r>
      <w:r w:rsidR="00033D0F">
        <w:rPr>
          <w:spacing w:val="-1"/>
        </w:rPr>
        <w:t xml:space="preserve"> </w:t>
      </w:r>
      <w:r w:rsidR="00033D0F">
        <w:t>that MOFCOM used</w:t>
      </w:r>
      <w:r w:rsidR="00033D0F">
        <w:rPr>
          <w:spacing w:val="-1"/>
        </w:rPr>
        <w:t xml:space="preserve"> </w:t>
      </w:r>
      <w:r w:rsidR="00033D0F">
        <w:t>to</w:t>
      </w:r>
      <w:r w:rsidR="00033D0F">
        <w:rPr>
          <w:spacing w:val="-1"/>
        </w:rPr>
        <w:t xml:space="preserve"> </w:t>
      </w:r>
      <w:r w:rsidR="00033D0F">
        <w:t>calculate</w:t>
      </w:r>
      <w:r w:rsidR="00033D0F">
        <w:rPr>
          <w:spacing w:val="-3"/>
        </w:rPr>
        <w:t xml:space="preserve"> </w:t>
      </w:r>
      <w:r w:rsidR="00033D0F">
        <w:t>or</w:t>
      </w:r>
      <w:r w:rsidR="00033D0F">
        <w:rPr>
          <w:spacing w:val="-1"/>
        </w:rPr>
        <w:t xml:space="preserve"> </w:t>
      </w:r>
      <w:r w:rsidR="00033D0F">
        <w:t>construct an</w:t>
      </w:r>
      <w:r w:rsidR="00033D0F">
        <w:rPr>
          <w:spacing w:val="-1"/>
        </w:rPr>
        <w:t xml:space="preserve"> </w:t>
      </w:r>
      <w:r w:rsidR="00033D0F">
        <w:t>estimate of the volume of total domestic production.</w:t>
      </w:r>
      <w:hyperlink w:anchor="_bookmark1406" w:history="1">
        <w:r w:rsidR="00033D0F">
          <w:rPr>
            <w:vertAlign w:val="superscript"/>
          </w:rPr>
          <w:t>1212</w:t>
        </w:r>
      </w:hyperlink>
    </w:p>
    <w:p w14:paraId="108DCC60" w14:textId="77777777" w:rsidR="00BD462C" w:rsidRDefault="00BD462C">
      <w:pPr>
        <w:pStyle w:val="BodyText"/>
        <w:spacing w:before="10"/>
        <w:rPr>
          <w:sz w:val="8"/>
        </w:rPr>
      </w:pPr>
    </w:p>
    <w:p w14:paraId="2AE63AE5" w14:textId="3935F8F4" w:rsidR="00BD462C" w:rsidRDefault="005F4A68">
      <w:pPr>
        <w:pStyle w:val="BodyText"/>
        <w:spacing w:before="56" w:line="357" w:lineRule="auto"/>
        <w:ind w:left="135" w:right="913"/>
        <w:jc w:val="both"/>
      </w:pPr>
      <w:r>
        <w:rPr>
          <w:noProof/>
        </w:rPr>
        <w:t>814.</w:t>
      </w:r>
      <w:r w:rsidR="00033D0F">
        <w:rPr>
          <w:rFonts w:ascii="Times New Roman"/>
          <w:spacing w:val="80"/>
          <w:w w:val="150"/>
          <w:position w:val="1"/>
          <w:sz w:val="20"/>
        </w:rPr>
        <w:t xml:space="preserve"> </w:t>
      </w:r>
      <w:r w:rsidR="00033D0F">
        <w:rPr>
          <w:position w:val="1"/>
        </w:rPr>
        <w:t xml:space="preserve">The significance of this context for the assessment of the accuracy of the latter </w:t>
      </w:r>
      <w:r w:rsidR="00033D0F">
        <w:t>calculation of domestic output is that, by the point in time when the subsequent calculation was conducted, MOFCOM had already once been provided with unreliable data about the total output of the domestic industry. As Australia noted in its first written submission, this "should have underscored for MOFCOM the importance of ensuring the accuracy and suitability</w:t>
      </w:r>
      <w:r w:rsidR="00033D0F">
        <w:rPr>
          <w:spacing w:val="-10"/>
        </w:rPr>
        <w:t xml:space="preserve"> </w:t>
      </w:r>
      <w:r w:rsidR="00033D0F">
        <w:t>of</w:t>
      </w:r>
      <w:r w:rsidR="00033D0F">
        <w:rPr>
          <w:spacing w:val="-13"/>
        </w:rPr>
        <w:t xml:space="preserve"> </w:t>
      </w:r>
      <w:r w:rsidR="00033D0F">
        <w:t>the</w:t>
      </w:r>
      <w:r w:rsidR="00033D0F">
        <w:rPr>
          <w:spacing w:val="-11"/>
        </w:rPr>
        <w:t xml:space="preserve"> </w:t>
      </w:r>
      <w:r w:rsidR="00033D0F">
        <w:t>statistics"</w:t>
      </w:r>
      <w:r w:rsidR="00033D0F">
        <w:rPr>
          <w:spacing w:val="-12"/>
        </w:rPr>
        <w:t xml:space="preserve"> </w:t>
      </w:r>
      <w:r w:rsidR="00033D0F">
        <w:t>upon</w:t>
      </w:r>
      <w:r w:rsidR="00033D0F">
        <w:rPr>
          <w:spacing w:val="-13"/>
        </w:rPr>
        <w:t xml:space="preserve"> </w:t>
      </w:r>
      <w:r w:rsidR="00033D0F">
        <w:t>which</w:t>
      </w:r>
      <w:r w:rsidR="00033D0F">
        <w:rPr>
          <w:spacing w:val="-13"/>
        </w:rPr>
        <w:t xml:space="preserve"> </w:t>
      </w:r>
      <w:r w:rsidR="00033D0F">
        <w:t>it</w:t>
      </w:r>
      <w:r w:rsidR="00033D0F">
        <w:rPr>
          <w:spacing w:val="-10"/>
        </w:rPr>
        <w:t xml:space="preserve"> </w:t>
      </w:r>
      <w:r w:rsidR="00033D0F">
        <w:t>based</w:t>
      </w:r>
      <w:r w:rsidR="00033D0F">
        <w:rPr>
          <w:spacing w:val="-13"/>
        </w:rPr>
        <w:t xml:space="preserve"> </w:t>
      </w:r>
      <w:r w:rsidR="00033D0F">
        <w:t>its</w:t>
      </w:r>
      <w:r w:rsidR="00033D0F">
        <w:rPr>
          <w:spacing w:val="-9"/>
        </w:rPr>
        <w:t xml:space="preserve"> </w:t>
      </w:r>
      <w:r w:rsidR="00033D0F">
        <w:t>calculation</w:t>
      </w:r>
      <w:r w:rsidR="00033D0F">
        <w:rPr>
          <w:spacing w:val="-13"/>
        </w:rPr>
        <w:t xml:space="preserve"> </w:t>
      </w:r>
      <w:r w:rsidR="00033D0F">
        <w:t>of</w:t>
      </w:r>
      <w:r w:rsidR="00033D0F">
        <w:rPr>
          <w:spacing w:val="-13"/>
        </w:rPr>
        <w:t xml:space="preserve"> </w:t>
      </w:r>
      <w:r w:rsidR="00033D0F">
        <w:t>the</w:t>
      </w:r>
      <w:r w:rsidR="00033D0F">
        <w:rPr>
          <w:spacing w:val="-11"/>
        </w:rPr>
        <w:t xml:space="preserve"> </w:t>
      </w:r>
      <w:r w:rsidR="00033D0F">
        <w:t>total</w:t>
      </w:r>
      <w:r w:rsidR="00033D0F">
        <w:rPr>
          <w:spacing w:val="-9"/>
        </w:rPr>
        <w:t xml:space="preserve"> </w:t>
      </w:r>
      <w:r w:rsidR="00033D0F">
        <w:t>domestic</w:t>
      </w:r>
      <w:r w:rsidR="00033D0F">
        <w:rPr>
          <w:spacing w:val="-12"/>
        </w:rPr>
        <w:t xml:space="preserve"> </w:t>
      </w:r>
      <w:r w:rsidR="00033D0F">
        <w:t>output.</w:t>
      </w:r>
      <w:hyperlink w:anchor="_bookmark1407" w:history="1">
        <w:r w:rsidR="00033D0F">
          <w:rPr>
            <w:vertAlign w:val="superscript"/>
          </w:rPr>
          <w:t>1213</w:t>
        </w:r>
      </w:hyperlink>
    </w:p>
    <w:p w14:paraId="5D6E299F" w14:textId="77777777" w:rsidR="00BD462C" w:rsidRDefault="00BD462C">
      <w:pPr>
        <w:pStyle w:val="BodyText"/>
        <w:spacing w:before="9"/>
        <w:rPr>
          <w:sz w:val="9"/>
        </w:rPr>
      </w:pPr>
    </w:p>
    <w:p w14:paraId="663FAF12" w14:textId="66A7BBCF" w:rsidR="00BD462C" w:rsidRDefault="00D70C7D">
      <w:pPr>
        <w:pStyle w:val="BodyText"/>
        <w:spacing w:before="56" w:line="357" w:lineRule="auto"/>
        <w:ind w:left="135" w:right="915"/>
        <w:jc w:val="both"/>
      </w:pPr>
      <w:r>
        <w:rPr>
          <w:noProof/>
        </w:rPr>
        <mc:AlternateContent>
          <mc:Choice Requires="wps">
            <w:drawing>
              <wp:anchor distT="0" distB="0" distL="114300" distR="114300" simplePos="0" relativeHeight="479151104" behindDoc="1" locked="0" layoutInCell="1" allowOverlap="1" wp14:anchorId="134BA6D1" wp14:editId="54AD82A9">
                <wp:simplePos x="0" y="0"/>
                <wp:positionH relativeFrom="page">
                  <wp:posOffset>4428490</wp:posOffset>
                </wp:positionH>
                <wp:positionV relativeFrom="paragraph">
                  <wp:posOffset>589280</wp:posOffset>
                </wp:positionV>
                <wp:extent cx="2231390" cy="186055"/>
                <wp:effectExtent l="0" t="0" r="0" b="0"/>
                <wp:wrapNone/>
                <wp:docPr id="320" name="docshape5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139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4EDDDD" id="docshape562" o:spid="_x0000_s1026" alt="&quot;&quot;" style="position:absolute;margin-left:348.7pt;margin-top:46.4pt;width:175.7pt;height:14.65pt;z-index:-2416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" fillcolor="black" stroked="f">
                <w10:wrap anchorx="page"/>
              </v:rect>
            </w:pict>
          </mc:Fallback>
        </mc:AlternateContent>
      </w:r>
      <w:r w:rsidR="005F4A68">
        <w:rPr>
          <w:noProof/>
        </w:rPr>
        <w:t>815.</w:t>
      </w:r>
      <w:r w:rsidR="00033D0F">
        <w:rPr>
          <w:rFonts w:ascii="Times New Roman" w:hAnsi="Times New Roman"/>
          <w:spacing w:val="80"/>
          <w:position w:val="1"/>
          <w:sz w:val="20"/>
        </w:rPr>
        <w:t xml:space="preserve">  </w:t>
      </w:r>
      <w:r w:rsidR="00033D0F">
        <w:rPr>
          <w:position w:val="1"/>
        </w:rPr>
        <w:t>In</w:t>
      </w:r>
      <w:r w:rsidR="00033D0F">
        <w:rPr>
          <w:spacing w:val="-9"/>
          <w:position w:val="1"/>
        </w:rPr>
        <w:t xml:space="preserve"> </w:t>
      </w:r>
      <w:r w:rsidR="00033D0F">
        <w:rPr>
          <w:position w:val="1"/>
        </w:rPr>
        <w:t>its</w:t>
      </w:r>
      <w:r w:rsidR="00033D0F">
        <w:rPr>
          <w:spacing w:val="-6"/>
          <w:position w:val="1"/>
        </w:rPr>
        <w:t xml:space="preserve"> </w:t>
      </w:r>
      <w:r w:rsidR="00033D0F">
        <w:rPr>
          <w:position w:val="1"/>
        </w:rPr>
        <w:t>response</w:t>
      </w:r>
      <w:r w:rsidR="00033D0F">
        <w:rPr>
          <w:spacing w:val="-7"/>
          <w:position w:val="1"/>
        </w:rPr>
        <w:t xml:space="preserve"> </w:t>
      </w:r>
      <w:r w:rsidR="00033D0F">
        <w:rPr>
          <w:position w:val="1"/>
        </w:rPr>
        <w:t>to</w:t>
      </w:r>
      <w:r w:rsidR="00033D0F">
        <w:rPr>
          <w:spacing w:val="-10"/>
          <w:position w:val="1"/>
        </w:rPr>
        <w:t xml:space="preserve"> </w:t>
      </w:r>
      <w:r w:rsidR="00033D0F">
        <w:rPr>
          <w:position w:val="1"/>
        </w:rPr>
        <w:t>the</w:t>
      </w:r>
      <w:r w:rsidR="00033D0F">
        <w:rPr>
          <w:spacing w:val="-7"/>
          <w:position w:val="1"/>
        </w:rPr>
        <w:t xml:space="preserve"> </w:t>
      </w:r>
      <w:r w:rsidR="00033D0F">
        <w:rPr>
          <w:position w:val="1"/>
        </w:rPr>
        <w:t>Panel's</w:t>
      </w:r>
      <w:r w:rsidR="00033D0F">
        <w:rPr>
          <w:spacing w:val="-6"/>
          <w:position w:val="1"/>
        </w:rPr>
        <w:t xml:space="preserve"> </w:t>
      </w:r>
      <w:r w:rsidR="00033D0F">
        <w:rPr>
          <w:position w:val="1"/>
        </w:rPr>
        <w:t>questions</w:t>
      </w:r>
      <w:r w:rsidR="00033D0F">
        <w:rPr>
          <w:spacing w:val="-6"/>
          <w:position w:val="1"/>
        </w:rPr>
        <w:t xml:space="preserve"> </w:t>
      </w:r>
      <w:r w:rsidR="00033D0F">
        <w:rPr>
          <w:position w:val="1"/>
        </w:rPr>
        <w:t>following</w:t>
      </w:r>
      <w:r w:rsidR="00033D0F">
        <w:rPr>
          <w:spacing w:val="-6"/>
          <w:position w:val="1"/>
        </w:rPr>
        <w:t xml:space="preserve"> </w:t>
      </w:r>
      <w:r w:rsidR="00033D0F">
        <w:rPr>
          <w:position w:val="1"/>
        </w:rPr>
        <w:t>the</w:t>
      </w:r>
      <w:r w:rsidR="00033D0F">
        <w:rPr>
          <w:spacing w:val="-6"/>
          <w:position w:val="1"/>
        </w:rPr>
        <w:t xml:space="preserve"> </w:t>
      </w:r>
      <w:r w:rsidR="00033D0F">
        <w:rPr>
          <w:position w:val="1"/>
        </w:rPr>
        <w:t>first</w:t>
      </w:r>
      <w:r w:rsidR="00033D0F">
        <w:rPr>
          <w:spacing w:val="-7"/>
          <w:position w:val="1"/>
        </w:rPr>
        <w:t xml:space="preserve"> </w:t>
      </w:r>
      <w:r w:rsidR="00033D0F">
        <w:rPr>
          <w:position w:val="1"/>
        </w:rPr>
        <w:t>substantive</w:t>
      </w:r>
      <w:r w:rsidR="00033D0F">
        <w:rPr>
          <w:spacing w:val="-7"/>
          <w:position w:val="1"/>
        </w:rPr>
        <w:t xml:space="preserve"> </w:t>
      </w:r>
      <w:r w:rsidR="00033D0F">
        <w:rPr>
          <w:position w:val="1"/>
        </w:rPr>
        <w:t>meeting,</w:t>
      </w:r>
      <w:r w:rsidR="00033D0F">
        <w:rPr>
          <w:spacing w:val="-5"/>
          <w:position w:val="1"/>
        </w:rPr>
        <w:t xml:space="preserve"> </w:t>
      </w:r>
      <w:r w:rsidR="00033D0F">
        <w:rPr>
          <w:position w:val="1"/>
        </w:rPr>
        <w:t xml:space="preserve">China </w:t>
      </w:r>
      <w:r w:rsidR="00033D0F">
        <w:t>explained</w:t>
      </w:r>
      <w:r w:rsidR="00033D0F">
        <w:rPr>
          <w:spacing w:val="-9"/>
        </w:rPr>
        <w:t xml:space="preserve"> </w:t>
      </w:r>
      <w:r w:rsidR="00033D0F">
        <w:t>–</w:t>
      </w:r>
      <w:r w:rsidR="00033D0F">
        <w:rPr>
          <w:spacing w:val="-7"/>
        </w:rPr>
        <w:t xml:space="preserve"> </w:t>
      </w:r>
      <w:r w:rsidR="00033D0F">
        <w:t>for</w:t>
      </w:r>
      <w:r w:rsidR="00033D0F">
        <w:rPr>
          <w:spacing w:val="-10"/>
        </w:rPr>
        <w:t xml:space="preserve"> </w:t>
      </w:r>
      <w:r w:rsidR="00033D0F">
        <w:t>the</w:t>
      </w:r>
      <w:r w:rsidR="00033D0F">
        <w:rPr>
          <w:spacing w:val="-3"/>
        </w:rPr>
        <w:t xml:space="preserve"> </w:t>
      </w:r>
      <w:r w:rsidR="00033D0F">
        <w:t>first</w:t>
      </w:r>
      <w:r w:rsidR="00033D0F">
        <w:rPr>
          <w:spacing w:val="-7"/>
        </w:rPr>
        <w:t xml:space="preserve"> </w:t>
      </w:r>
      <w:r w:rsidR="00033D0F">
        <w:t>time</w:t>
      </w:r>
      <w:r w:rsidR="00033D0F">
        <w:rPr>
          <w:spacing w:val="-7"/>
        </w:rPr>
        <w:t xml:space="preserve"> </w:t>
      </w:r>
      <w:r w:rsidR="00033D0F">
        <w:t>–</w:t>
      </w:r>
      <w:r w:rsidR="00033D0F">
        <w:rPr>
          <w:spacing w:val="-7"/>
        </w:rPr>
        <w:t xml:space="preserve"> </w:t>
      </w:r>
      <w:r w:rsidR="00033D0F">
        <w:t>that</w:t>
      </w:r>
      <w:r w:rsidR="00033D0F">
        <w:rPr>
          <w:spacing w:val="-7"/>
        </w:rPr>
        <w:t xml:space="preserve"> </w:t>
      </w:r>
      <w:r w:rsidR="00033D0F">
        <w:t>the</w:t>
      </w:r>
      <w:r w:rsidR="00033D0F">
        <w:rPr>
          <w:spacing w:val="-7"/>
        </w:rPr>
        <w:t xml:space="preserve"> </w:t>
      </w:r>
      <w:r w:rsidR="00033D0F">
        <w:t>provenance</w:t>
      </w:r>
      <w:r w:rsidR="00033D0F">
        <w:rPr>
          <w:spacing w:val="-7"/>
        </w:rPr>
        <w:t xml:space="preserve"> </w:t>
      </w:r>
      <w:r w:rsidR="00033D0F">
        <w:t>of</w:t>
      </w:r>
      <w:r w:rsidR="00033D0F">
        <w:rPr>
          <w:spacing w:val="-9"/>
        </w:rPr>
        <w:t xml:space="preserve"> </w:t>
      </w:r>
      <w:r w:rsidR="00033D0F">
        <w:t>the</w:t>
      </w:r>
      <w:r w:rsidR="00033D0F">
        <w:rPr>
          <w:spacing w:val="-3"/>
        </w:rPr>
        <w:t xml:space="preserve"> </w:t>
      </w:r>
      <w:r w:rsidR="00033D0F">
        <w:t>information</w:t>
      </w:r>
      <w:r w:rsidR="00033D0F">
        <w:rPr>
          <w:spacing w:val="-4"/>
        </w:rPr>
        <w:t xml:space="preserve"> </w:t>
      </w:r>
      <w:r w:rsidR="00033D0F">
        <w:t>upon</w:t>
      </w:r>
      <w:r w:rsidR="00033D0F">
        <w:rPr>
          <w:spacing w:val="-9"/>
        </w:rPr>
        <w:t xml:space="preserve"> </w:t>
      </w:r>
      <w:r w:rsidR="00033D0F">
        <w:t>which</w:t>
      </w:r>
      <w:r w:rsidR="00033D0F">
        <w:rPr>
          <w:spacing w:val="-9"/>
        </w:rPr>
        <w:t xml:space="preserve"> </w:t>
      </w:r>
      <w:r w:rsidR="00033D0F">
        <w:t>it</w:t>
      </w:r>
      <w:r w:rsidR="00033D0F">
        <w:rPr>
          <w:spacing w:val="-7"/>
        </w:rPr>
        <w:t xml:space="preserve"> </w:t>
      </w:r>
      <w:r w:rsidR="00033D0F">
        <w:t>based</w:t>
      </w:r>
      <w:r w:rsidR="00033D0F">
        <w:rPr>
          <w:spacing w:val="-9"/>
        </w:rPr>
        <w:t xml:space="preserve"> </w:t>
      </w:r>
      <w:r w:rsidR="00033D0F">
        <w:t xml:space="preserve">its </w:t>
      </w:r>
      <w:proofErr w:type="gramStart"/>
      <w:r w:rsidR="00033D0F">
        <w:t>calculation</w:t>
      </w:r>
      <w:r w:rsidR="00033D0F">
        <w:rPr>
          <w:spacing w:val="40"/>
        </w:rPr>
        <w:t xml:space="preserve">  </w:t>
      </w:r>
      <w:r w:rsidR="00033D0F">
        <w:t>of</w:t>
      </w:r>
      <w:proofErr w:type="gramEnd"/>
      <w:r w:rsidR="00033D0F">
        <w:rPr>
          <w:spacing w:val="40"/>
        </w:rPr>
        <w:t xml:space="preserve">  </w:t>
      </w:r>
      <w:r w:rsidR="00033D0F">
        <w:t>total</w:t>
      </w:r>
      <w:r w:rsidR="00033D0F">
        <w:rPr>
          <w:spacing w:val="72"/>
        </w:rPr>
        <w:t xml:space="preserve">  </w:t>
      </w:r>
      <w:r w:rsidR="00033D0F">
        <w:t>domestic</w:t>
      </w:r>
      <w:r w:rsidR="00033D0F">
        <w:rPr>
          <w:spacing w:val="40"/>
        </w:rPr>
        <w:t xml:space="preserve">  </w:t>
      </w:r>
      <w:r w:rsidR="00033D0F">
        <w:t>output</w:t>
      </w:r>
      <w:r w:rsidR="00033D0F">
        <w:rPr>
          <w:spacing w:val="70"/>
        </w:rPr>
        <w:t xml:space="preserve">  </w:t>
      </w:r>
      <w:r w:rsidR="00033D0F">
        <w:t>was</w:t>
      </w:r>
      <w:r w:rsidR="00033D0F">
        <w:rPr>
          <w:spacing w:val="40"/>
        </w:rPr>
        <w:t xml:space="preserve">  </w:t>
      </w:r>
      <w:r w:rsidR="00033D0F">
        <w:t>the</w:t>
      </w:r>
    </w:p>
    <w:p w14:paraId="342C3E79" w14:textId="76FE28CF" w:rsidR="00BD462C" w:rsidRDefault="00D70C7D">
      <w:pPr>
        <w:pStyle w:val="BodyText"/>
        <w:spacing w:before="6" w:line="360" w:lineRule="auto"/>
        <w:ind w:left="135" w:right="911" w:firstLine="1516"/>
        <w:jc w:val="both"/>
      </w:pPr>
      <w:r>
        <w:rPr>
          <w:noProof/>
        </w:rPr>
        <mc:AlternateContent>
          <mc:Choice Requires="wps">
            <w:drawing>
              <wp:anchor distT="0" distB="0" distL="114300" distR="114300" simplePos="0" relativeHeight="15991296" behindDoc="0" locked="0" layoutInCell="1" allowOverlap="1" wp14:anchorId="0FD46D4D" wp14:editId="2C50144F">
                <wp:simplePos x="0" y="0"/>
                <wp:positionH relativeFrom="page">
                  <wp:posOffset>899160</wp:posOffset>
                </wp:positionH>
                <wp:positionV relativeFrom="paragraph">
                  <wp:posOffset>2540</wp:posOffset>
                </wp:positionV>
                <wp:extent cx="963295" cy="186055"/>
                <wp:effectExtent l="0" t="0" r="0" b="0"/>
                <wp:wrapNone/>
                <wp:docPr id="318" name="docshape5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329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585652" id="docshape563" o:spid="_x0000_s1026" alt="&quot;&quot;" style="position:absolute;margin-left:70.8pt;margin-top:.2pt;width:75.85pt;height:14.65pt;z-index:1599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" fillcolor="black" stroked="f">
                <w10:wrap anchorx="page"/>
              </v:rect>
            </w:pict>
          </mc:Fallback>
        </mc:AlternateContent>
      </w:r>
      <w:r w:rsidR="00033D0F">
        <w:t>.</w:t>
      </w:r>
      <w:hyperlink w:anchor="_bookmark1408" w:history="1">
        <w:r w:rsidR="00033D0F">
          <w:rPr>
            <w:vertAlign w:val="superscript"/>
          </w:rPr>
          <w:t>1214</w:t>
        </w:r>
      </w:hyperlink>
      <w:r w:rsidR="00033D0F">
        <w:rPr>
          <w:spacing w:val="-14"/>
        </w:rPr>
        <w:t xml:space="preserve"> </w:t>
      </w:r>
      <w:r w:rsidR="00033D0F">
        <w:t>Australia</w:t>
      </w:r>
      <w:r w:rsidR="00033D0F">
        <w:rPr>
          <w:spacing w:val="-14"/>
        </w:rPr>
        <w:t xml:space="preserve"> </w:t>
      </w:r>
      <w:r w:rsidR="00033D0F">
        <w:t>notes</w:t>
      </w:r>
      <w:r w:rsidR="00033D0F">
        <w:rPr>
          <w:spacing w:val="-12"/>
        </w:rPr>
        <w:t xml:space="preserve"> </w:t>
      </w:r>
      <w:r w:rsidR="00033D0F">
        <w:t>that</w:t>
      </w:r>
      <w:r w:rsidR="00033D0F">
        <w:rPr>
          <w:spacing w:val="-13"/>
        </w:rPr>
        <w:t xml:space="preserve"> </w:t>
      </w:r>
      <w:r w:rsidR="00033D0F">
        <w:t>China</w:t>
      </w:r>
      <w:r w:rsidR="00033D0F">
        <w:rPr>
          <w:spacing w:val="-12"/>
        </w:rPr>
        <w:t xml:space="preserve"> </w:t>
      </w:r>
      <w:r w:rsidR="00033D0F">
        <w:t>has</w:t>
      </w:r>
      <w:r w:rsidR="00033D0F">
        <w:rPr>
          <w:spacing w:val="-14"/>
        </w:rPr>
        <w:t xml:space="preserve"> </w:t>
      </w:r>
      <w:r w:rsidR="00033D0F">
        <w:t>given</w:t>
      </w:r>
      <w:r w:rsidR="00033D0F">
        <w:rPr>
          <w:spacing w:val="-14"/>
        </w:rPr>
        <w:t xml:space="preserve"> </w:t>
      </w:r>
      <w:r w:rsidR="00033D0F">
        <w:t>no</w:t>
      </w:r>
      <w:r w:rsidR="00033D0F">
        <w:rPr>
          <w:spacing w:val="-13"/>
        </w:rPr>
        <w:t xml:space="preserve"> </w:t>
      </w:r>
      <w:r w:rsidR="00033D0F">
        <w:t>explanation</w:t>
      </w:r>
      <w:r w:rsidR="00033D0F">
        <w:rPr>
          <w:spacing w:val="-14"/>
        </w:rPr>
        <w:t xml:space="preserve"> </w:t>
      </w:r>
      <w:r w:rsidR="00033D0F">
        <w:t>of</w:t>
      </w:r>
      <w:r w:rsidR="00033D0F">
        <w:rPr>
          <w:spacing w:val="-13"/>
        </w:rPr>
        <w:t xml:space="preserve"> </w:t>
      </w:r>
      <w:r w:rsidR="00033D0F">
        <w:t>any</w:t>
      </w:r>
      <w:r w:rsidR="00033D0F">
        <w:rPr>
          <w:spacing w:val="-11"/>
        </w:rPr>
        <w:t xml:space="preserve"> </w:t>
      </w:r>
      <w:r w:rsidR="00033D0F">
        <w:t>steps</w:t>
      </w:r>
      <w:r w:rsidR="00033D0F">
        <w:rPr>
          <w:spacing w:val="-14"/>
        </w:rPr>
        <w:t xml:space="preserve"> </w:t>
      </w:r>
      <w:r w:rsidR="00033D0F">
        <w:t>MOFCOM took to satisfy itself of the accuracy of that information. Nor is any explanation disclosed in the record. It is evident from this omission</w:t>
      </w:r>
      <w:r w:rsidR="00033D0F">
        <w:rPr>
          <w:spacing w:val="-2"/>
        </w:rPr>
        <w:t xml:space="preserve"> </w:t>
      </w:r>
      <w:r w:rsidR="00033D0F">
        <w:t>that no</w:t>
      </w:r>
      <w:r w:rsidR="00033D0F">
        <w:rPr>
          <w:spacing w:val="-2"/>
        </w:rPr>
        <w:t xml:space="preserve"> </w:t>
      </w:r>
      <w:r w:rsidR="00033D0F">
        <w:t>such</w:t>
      </w:r>
      <w:r w:rsidR="00033D0F">
        <w:rPr>
          <w:spacing w:val="-2"/>
        </w:rPr>
        <w:t xml:space="preserve"> </w:t>
      </w:r>
      <w:r w:rsidR="00033D0F">
        <w:t>steps were taken. MOFCOM's failure to take any steps in this regard is inconsistent with the obligations under Article 6.6.</w:t>
      </w:r>
    </w:p>
    <w:p w14:paraId="2065883E" w14:textId="77777777" w:rsidR="00BD462C" w:rsidRDefault="00BD462C">
      <w:pPr>
        <w:pStyle w:val="BodyText"/>
        <w:spacing w:before="1"/>
        <w:rPr>
          <w:sz w:val="9"/>
        </w:rPr>
      </w:pPr>
    </w:p>
    <w:p w14:paraId="722875A8" w14:textId="2E57C789" w:rsidR="00BD462C" w:rsidRDefault="00D70C7D">
      <w:pPr>
        <w:pStyle w:val="BodyText"/>
        <w:tabs>
          <w:tab w:val="left" w:pos="6980"/>
        </w:tabs>
        <w:spacing w:before="56" w:line="355" w:lineRule="auto"/>
        <w:ind w:left="135" w:right="920"/>
      </w:pPr>
      <w:r>
        <w:rPr>
          <w:noProof/>
        </w:rPr>
        <mc:AlternateContent>
          <mc:Choice Requires="wps">
            <w:drawing>
              <wp:anchor distT="0" distB="0" distL="114300" distR="114300" simplePos="0" relativeHeight="479152128" behindDoc="1" locked="0" layoutInCell="1" allowOverlap="1" wp14:anchorId="6371EA87" wp14:editId="0FEEA9E5">
                <wp:simplePos x="0" y="0"/>
                <wp:positionH relativeFrom="page">
                  <wp:posOffset>2453640</wp:posOffset>
                </wp:positionH>
                <wp:positionV relativeFrom="paragraph">
                  <wp:posOffset>309245</wp:posOffset>
                </wp:positionV>
                <wp:extent cx="2719070" cy="186055"/>
                <wp:effectExtent l="0" t="0" r="0" b="0"/>
                <wp:wrapNone/>
                <wp:docPr id="316" name="docshape5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907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A6097D" id="docshape564" o:spid="_x0000_s1026" alt="&quot;&quot;" style="position:absolute;margin-left:193.2pt;margin-top:24.35pt;width:214.1pt;height:14.65pt;z-index:-2416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" fillcolor="black" stroked="f">
                <w10:wrap anchorx="page"/>
              </v:rect>
            </w:pict>
          </mc:Fallback>
        </mc:AlternateContent>
      </w:r>
      <w:r w:rsidR="005F4A68">
        <w:rPr>
          <w:noProof/>
        </w:rPr>
        <w:t>816.</w:t>
      </w:r>
      <w:r w:rsidR="00033D0F">
        <w:rPr>
          <w:rFonts w:ascii="Times New Roman"/>
          <w:spacing w:val="80"/>
          <w:position w:val="1"/>
          <w:sz w:val="20"/>
        </w:rPr>
        <w:t xml:space="preserve">  </w:t>
      </w:r>
      <w:r w:rsidR="00033D0F">
        <w:rPr>
          <w:position w:val="1"/>
        </w:rPr>
        <w:t>Australia</w:t>
      </w:r>
      <w:r w:rsidR="00033D0F">
        <w:rPr>
          <w:spacing w:val="-3"/>
          <w:position w:val="1"/>
        </w:rPr>
        <w:t xml:space="preserve"> </w:t>
      </w:r>
      <w:r w:rsidR="00033D0F">
        <w:rPr>
          <w:position w:val="1"/>
        </w:rPr>
        <w:t>notes</w:t>
      </w:r>
      <w:r w:rsidR="00033D0F">
        <w:rPr>
          <w:spacing w:val="-1"/>
          <w:position w:val="1"/>
        </w:rPr>
        <w:t xml:space="preserve"> </w:t>
      </w:r>
      <w:r w:rsidR="00033D0F">
        <w:rPr>
          <w:position w:val="1"/>
        </w:rPr>
        <w:t>that</w:t>
      </w:r>
      <w:r w:rsidR="00033D0F">
        <w:rPr>
          <w:spacing w:val="-2"/>
          <w:position w:val="1"/>
        </w:rPr>
        <w:t xml:space="preserve"> </w:t>
      </w:r>
      <w:r w:rsidR="00033D0F">
        <w:rPr>
          <w:position w:val="1"/>
        </w:rPr>
        <w:t>China</w:t>
      </w:r>
      <w:r w:rsidR="00033D0F">
        <w:rPr>
          <w:spacing w:val="-3"/>
          <w:position w:val="1"/>
        </w:rPr>
        <w:t xml:space="preserve"> </w:t>
      </w:r>
      <w:r w:rsidR="00033D0F">
        <w:rPr>
          <w:position w:val="1"/>
        </w:rPr>
        <w:t>has</w:t>
      </w:r>
      <w:r w:rsidR="00033D0F">
        <w:rPr>
          <w:spacing w:val="-1"/>
          <w:position w:val="1"/>
        </w:rPr>
        <w:t xml:space="preserve"> </w:t>
      </w:r>
      <w:r w:rsidR="00033D0F">
        <w:rPr>
          <w:position w:val="1"/>
        </w:rPr>
        <w:t>not</w:t>
      </w:r>
      <w:r w:rsidR="00033D0F">
        <w:rPr>
          <w:spacing w:val="-2"/>
          <w:position w:val="1"/>
        </w:rPr>
        <w:t xml:space="preserve"> </w:t>
      </w:r>
      <w:r w:rsidR="00033D0F">
        <w:rPr>
          <w:position w:val="1"/>
        </w:rPr>
        <w:t>contended</w:t>
      </w:r>
      <w:r w:rsidR="00033D0F">
        <w:rPr>
          <w:spacing w:val="-4"/>
          <w:position w:val="1"/>
        </w:rPr>
        <w:t xml:space="preserve"> </w:t>
      </w:r>
      <w:r w:rsidR="00033D0F">
        <w:rPr>
          <w:position w:val="1"/>
        </w:rPr>
        <w:t>that Article</w:t>
      </w:r>
      <w:r w:rsidR="00033D0F">
        <w:rPr>
          <w:spacing w:val="-2"/>
          <w:position w:val="1"/>
        </w:rPr>
        <w:t xml:space="preserve"> </w:t>
      </w:r>
      <w:r w:rsidR="00033D0F">
        <w:rPr>
          <w:position w:val="1"/>
        </w:rPr>
        <w:t>6.6</w:t>
      </w:r>
      <w:r w:rsidR="00033D0F">
        <w:rPr>
          <w:spacing w:val="-5"/>
          <w:position w:val="1"/>
        </w:rPr>
        <w:t xml:space="preserve"> </w:t>
      </w:r>
      <w:r w:rsidR="00033D0F">
        <w:rPr>
          <w:position w:val="1"/>
        </w:rPr>
        <w:t>would</w:t>
      </w:r>
      <w:r w:rsidR="00033D0F">
        <w:rPr>
          <w:spacing w:val="-4"/>
          <w:position w:val="1"/>
        </w:rPr>
        <w:t xml:space="preserve"> </w:t>
      </w:r>
      <w:r w:rsidR="00033D0F">
        <w:rPr>
          <w:position w:val="1"/>
        </w:rPr>
        <w:t>not</w:t>
      </w:r>
      <w:r w:rsidR="00033D0F">
        <w:rPr>
          <w:spacing w:val="-2"/>
          <w:position w:val="1"/>
        </w:rPr>
        <w:t xml:space="preserve"> </w:t>
      </w:r>
      <w:r w:rsidR="00033D0F">
        <w:rPr>
          <w:position w:val="1"/>
        </w:rPr>
        <w:t>apply</w:t>
      </w:r>
      <w:r w:rsidR="00033D0F">
        <w:rPr>
          <w:spacing w:val="-1"/>
          <w:position w:val="1"/>
        </w:rPr>
        <w:t xml:space="preserve"> </w:t>
      </w:r>
      <w:r w:rsidR="00033D0F">
        <w:rPr>
          <w:position w:val="1"/>
        </w:rPr>
        <w:t>to</w:t>
      </w:r>
      <w:r w:rsidR="00033D0F">
        <w:rPr>
          <w:spacing w:val="-5"/>
          <w:position w:val="1"/>
        </w:rPr>
        <w:t xml:space="preserve"> </w:t>
      </w:r>
      <w:r w:rsidR="00033D0F">
        <w:rPr>
          <w:position w:val="1"/>
        </w:rPr>
        <w:t xml:space="preserve">this </w:t>
      </w:r>
      <w:r w:rsidR="00033D0F">
        <w:t>data</w:t>
      </w:r>
      <w:r w:rsidR="00033D0F">
        <w:rPr>
          <w:spacing w:val="59"/>
        </w:rPr>
        <w:t xml:space="preserve"> </w:t>
      </w:r>
      <w:r w:rsidR="00033D0F">
        <w:t>by</w:t>
      </w:r>
      <w:r w:rsidR="00033D0F">
        <w:rPr>
          <w:spacing w:val="61"/>
        </w:rPr>
        <w:t xml:space="preserve"> </w:t>
      </w:r>
      <w:r w:rsidR="00033D0F">
        <w:t>reason</w:t>
      </w:r>
      <w:r w:rsidR="00033D0F">
        <w:rPr>
          <w:spacing w:val="63"/>
        </w:rPr>
        <w:t xml:space="preserve"> </w:t>
      </w:r>
      <w:r w:rsidR="00033D0F">
        <w:t>of</w:t>
      </w:r>
      <w:r w:rsidR="00033D0F">
        <w:rPr>
          <w:spacing w:val="59"/>
        </w:rPr>
        <w:t xml:space="preserve"> </w:t>
      </w:r>
      <w:r w:rsidR="00033D0F">
        <w:rPr>
          <w:spacing w:val="-5"/>
        </w:rPr>
        <w:t>the</w:t>
      </w:r>
      <w:r w:rsidR="00033D0F">
        <w:tab/>
        <w:t>not</w:t>
      </w:r>
      <w:r w:rsidR="00033D0F">
        <w:rPr>
          <w:spacing w:val="64"/>
        </w:rPr>
        <w:t xml:space="preserve"> </w:t>
      </w:r>
      <w:r w:rsidR="00033D0F">
        <w:t>falling</w:t>
      </w:r>
      <w:r w:rsidR="00033D0F">
        <w:rPr>
          <w:spacing w:val="61"/>
        </w:rPr>
        <w:t xml:space="preserve"> </w:t>
      </w:r>
      <w:r w:rsidR="00033D0F">
        <w:t>within</w:t>
      </w:r>
      <w:r w:rsidR="00033D0F">
        <w:rPr>
          <w:spacing w:val="59"/>
        </w:rPr>
        <w:t xml:space="preserve"> </w:t>
      </w:r>
      <w:r w:rsidR="00033D0F">
        <w:rPr>
          <w:spacing w:val="-5"/>
        </w:rPr>
        <w:t>the</w:t>
      </w:r>
    </w:p>
    <w:p w14:paraId="1536A4A5" w14:textId="2340B5E2" w:rsidR="00BD462C" w:rsidRDefault="00D70C7D">
      <w:pPr>
        <w:pStyle w:val="BodyText"/>
        <w:spacing w:before="5"/>
        <w:rPr>
          <w:sz w:val="20"/>
        </w:rPr>
      </w:pPr>
      <w:r>
        <w:rPr>
          <w:noProof/>
        </w:rPr>
        <mc:AlternateContent>
          <mc:Choice Requires="wps">
            <w:drawing>
              <wp:anchor distT="0" distB="0" distL="0" distR="0" simplePos="0" relativeHeight="487849472" behindDoc="1" locked="0" layoutInCell="1" allowOverlap="1" wp14:anchorId="4F9D3A30" wp14:editId="3CA0BAB1">
                <wp:simplePos x="0" y="0"/>
                <wp:positionH relativeFrom="page">
                  <wp:posOffset>899160</wp:posOffset>
                </wp:positionH>
                <wp:positionV relativeFrom="paragraph">
                  <wp:posOffset>173990</wp:posOffset>
                </wp:positionV>
                <wp:extent cx="1828800" cy="8890"/>
                <wp:effectExtent l="0" t="0" r="0" b="0"/>
                <wp:wrapTopAndBottom/>
                <wp:docPr id="314" name="docshape5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AEF500" id="docshape565" o:spid="_x0000_s1026" alt="&quot;&quot;" style="position:absolute;margin-left:70.8pt;margin-top:13.7pt;width:2in;height:.7pt;z-index:-1546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" fillcolor="black" stroked="f">
                <w10:wrap type="topAndBottom" anchorx="page"/>
              </v:rect>
            </w:pict>
          </mc:Fallback>
        </mc:AlternateContent>
      </w:r>
    </w:p>
    <w:p w14:paraId="6C571618" w14:textId="77777777" w:rsidR="00BD462C" w:rsidRDefault="00033D0F">
      <w:pPr>
        <w:spacing w:before="107"/>
        <w:ind w:left="135"/>
        <w:rPr>
          <w:sz w:val="18"/>
        </w:rPr>
      </w:pPr>
      <w:bookmarkStart w:id="1631" w:name="_bookmark1404"/>
      <w:bookmarkEnd w:id="1631"/>
      <w:r>
        <w:rPr>
          <w:position w:val="5"/>
          <w:sz w:val="12"/>
        </w:rPr>
        <w:t>1210</w:t>
      </w:r>
      <w:r>
        <w:rPr>
          <w:spacing w:val="13"/>
          <w:position w:val="5"/>
          <w:sz w:val="12"/>
        </w:rPr>
        <w:t xml:space="preserve"> </w:t>
      </w:r>
      <w:r>
        <w:rPr>
          <w:sz w:val="18"/>
        </w:rPr>
        <w:t>China's</w:t>
      </w:r>
      <w:r>
        <w:rPr>
          <w:spacing w:val="-5"/>
          <w:sz w:val="18"/>
        </w:rPr>
        <w:t xml:space="preserve"> </w:t>
      </w:r>
      <w:r>
        <w:rPr>
          <w:sz w:val="18"/>
        </w:rPr>
        <w:t>first</w:t>
      </w:r>
      <w:r>
        <w:rPr>
          <w:spacing w:val="-4"/>
          <w:sz w:val="18"/>
        </w:rPr>
        <w:t xml:space="preserve"> </w:t>
      </w:r>
      <w:r>
        <w:rPr>
          <w:sz w:val="18"/>
        </w:rPr>
        <w:t>written</w:t>
      </w:r>
      <w:r>
        <w:rPr>
          <w:spacing w:val="-5"/>
          <w:sz w:val="18"/>
        </w:rPr>
        <w:t xml:space="preserve"> </w:t>
      </w:r>
      <w:r>
        <w:rPr>
          <w:sz w:val="18"/>
        </w:rPr>
        <w:t>submission,</w:t>
      </w:r>
      <w:r>
        <w:rPr>
          <w:spacing w:val="1"/>
          <w:sz w:val="18"/>
        </w:rPr>
        <w:t xml:space="preserve"> </w:t>
      </w:r>
      <w:r>
        <w:rPr>
          <w:sz w:val="18"/>
        </w:rPr>
        <w:t xml:space="preserve">para. </w:t>
      </w:r>
      <w:r>
        <w:rPr>
          <w:spacing w:val="-2"/>
          <w:sz w:val="18"/>
        </w:rPr>
        <w:t>2425.</w:t>
      </w:r>
    </w:p>
    <w:p w14:paraId="63F793D9" w14:textId="77777777" w:rsidR="00BD462C" w:rsidRDefault="00033D0F">
      <w:pPr>
        <w:spacing w:before="1"/>
        <w:ind w:left="135"/>
        <w:rPr>
          <w:sz w:val="18"/>
        </w:rPr>
      </w:pPr>
      <w:bookmarkStart w:id="1632" w:name="_bookmark1405"/>
      <w:bookmarkEnd w:id="1632"/>
      <w:r>
        <w:rPr>
          <w:position w:val="5"/>
          <w:sz w:val="12"/>
        </w:rPr>
        <w:t>1211</w:t>
      </w:r>
      <w:r>
        <w:rPr>
          <w:spacing w:val="12"/>
          <w:position w:val="5"/>
          <w:sz w:val="12"/>
        </w:rPr>
        <w:t xml:space="preserve"> </w:t>
      </w:r>
      <w:r>
        <w:rPr>
          <w:sz w:val="18"/>
        </w:rPr>
        <w:t>Australia's</w:t>
      </w:r>
      <w:r>
        <w:rPr>
          <w:spacing w:val="-6"/>
          <w:sz w:val="18"/>
        </w:rPr>
        <w:t xml:space="preserve"> </w:t>
      </w:r>
      <w:r>
        <w:rPr>
          <w:sz w:val="18"/>
        </w:rPr>
        <w:t>first</w:t>
      </w:r>
      <w:r>
        <w:rPr>
          <w:spacing w:val="-6"/>
          <w:sz w:val="18"/>
        </w:rPr>
        <w:t xml:space="preserve"> </w:t>
      </w:r>
      <w:r>
        <w:rPr>
          <w:sz w:val="18"/>
        </w:rPr>
        <w:t>written</w:t>
      </w:r>
      <w:r>
        <w:rPr>
          <w:spacing w:val="-2"/>
          <w:sz w:val="18"/>
        </w:rPr>
        <w:t xml:space="preserve"> </w:t>
      </w:r>
      <w:r>
        <w:rPr>
          <w:sz w:val="18"/>
        </w:rPr>
        <w:t>submission, paras.</w:t>
      </w:r>
      <w:r>
        <w:rPr>
          <w:spacing w:val="-5"/>
          <w:sz w:val="18"/>
        </w:rPr>
        <w:t xml:space="preserve"> </w:t>
      </w:r>
      <w:r>
        <w:rPr>
          <w:sz w:val="18"/>
        </w:rPr>
        <w:t>941-</w:t>
      </w:r>
      <w:r>
        <w:rPr>
          <w:spacing w:val="-4"/>
          <w:sz w:val="18"/>
        </w:rPr>
        <w:t>943.</w:t>
      </w:r>
    </w:p>
    <w:p w14:paraId="2BEFD2DC" w14:textId="77777777" w:rsidR="00BD462C" w:rsidRDefault="00033D0F">
      <w:pPr>
        <w:spacing w:before="1"/>
        <w:ind w:left="135"/>
        <w:rPr>
          <w:sz w:val="18"/>
        </w:rPr>
      </w:pPr>
      <w:bookmarkStart w:id="1633" w:name="_bookmark1406"/>
      <w:bookmarkEnd w:id="1633"/>
      <w:r>
        <w:rPr>
          <w:position w:val="5"/>
          <w:sz w:val="12"/>
        </w:rPr>
        <w:t>1212</w:t>
      </w:r>
      <w:r>
        <w:rPr>
          <w:spacing w:val="12"/>
          <w:position w:val="5"/>
          <w:sz w:val="12"/>
        </w:rPr>
        <w:t xml:space="preserve"> </w:t>
      </w:r>
      <w:r>
        <w:rPr>
          <w:sz w:val="18"/>
        </w:rPr>
        <w:t>Australia's</w:t>
      </w:r>
      <w:r>
        <w:rPr>
          <w:spacing w:val="-6"/>
          <w:sz w:val="18"/>
        </w:rPr>
        <w:t xml:space="preserve"> </w:t>
      </w:r>
      <w:r>
        <w:rPr>
          <w:sz w:val="18"/>
        </w:rPr>
        <w:t>first</w:t>
      </w:r>
      <w:r>
        <w:rPr>
          <w:spacing w:val="-5"/>
          <w:sz w:val="18"/>
        </w:rPr>
        <w:t xml:space="preserve"> </w:t>
      </w:r>
      <w:r>
        <w:rPr>
          <w:sz w:val="18"/>
        </w:rPr>
        <w:t>written</w:t>
      </w:r>
      <w:r>
        <w:rPr>
          <w:spacing w:val="-2"/>
          <w:sz w:val="18"/>
        </w:rPr>
        <w:t xml:space="preserve"> </w:t>
      </w:r>
      <w:r>
        <w:rPr>
          <w:sz w:val="18"/>
        </w:rPr>
        <w:t>submission, para.</w:t>
      </w:r>
      <w:r>
        <w:rPr>
          <w:spacing w:val="-5"/>
          <w:sz w:val="18"/>
        </w:rPr>
        <w:t xml:space="preserve"> </w:t>
      </w:r>
      <w:r>
        <w:rPr>
          <w:spacing w:val="-4"/>
          <w:sz w:val="18"/>
        </w:rPr>
        <w:t>941.</w:t>
      </w:r>
    </w:p>
    <w:p w14:paraId="2A791266" w14:textId="77777777" w:rsidR="00BD462C" w:rsidRDefault="00033D0F">
      <w:pPr>
        <w:spacing w:before="1"/>
        <w:ind w:left="135"/>
        <w:rPr>
          <w:sz w:val="18"/>
        </w:rPr>
      </w:pPr>
      <w:bookmarkStart w:id="1634" w:name="_bookmark1407"/>
      <w:bookmarkEnd w:id="1634"/>
      <w:r>
        <w:rPr>
          <w:position w:val="5"/>
          <w:sz w:val="12"/>
        </w:rPr>
        <w:t>1213</w:t>
      </w:r>
      <w:r>
        <w:rPr>
          <w:spacing w:val="12"/>
          <w:position w:val="5"/>
          <w:sz w:val="12"/>
        </w:rPr>
        <w:t xml:space="preserve"> </w:t>
      </w:r>
      <w:r>
        <w:rPr>
          <w:sz w:val="18"/>
        </w:rPr>
        <w:t>Australia's</w:t>
      </w:r>
      <w:r>
        <w:rPr>
          <w:spacing w:val="-6"/>
          <w:sz w:val="18"/>
        </w:rPr>
        <w:t xml:space="preserve"> </w:t>
      </w:r>
      <w:r>
        <w:rPr>
          <w:sz w:val="18"/>
        </w:rPr>
        <w:t>first</w:t>
      </w:r>
      <w:r>
        <w:rPr>
          <w:spacing w:val="-5"/>
          <w:sz w:val="18"/>
        </w:rPr>
        <w:t xml:space="preserve"> </w:t>
      </w:r>
      <w:r>
        <w:rPr>
          <w:sz w:val="18"/>
        </w:rPr>
        <w:t>written</w:t>
      </w:r>
      <w:r>
        <w:rPr>
          <w:spacing w:val="-2"/>
          <w:sz w:val="18"/>
        </w:rPr>
        <w:t xml:space="preserve"> </w:t>
      </w:r>
      <w:r>
        <w:rPr>
          <w:sz w:val="18"/>
        </w:rPr>
        <w:t>submission, para.</w:t>
      </w:r>
      <w:r>
        <w:rPr>
          <w:spacing w:val="-5"/>
          <w:sz w:val="18"/>
        </w:rPr>
        <w:t xml:space="preserve"> </w:t>
      </w:r>
      <w:r>
        <w:rPr>
          <w:spacing w:val="-4"/>
          <w:sz w:val="18"/>
        </w:rPr>
        <w:t>943.</w:t>
      </w:r>
    </w:p>
    <w:p w14:paraId="01C389AE" w14:textId="77777777" w:rsidR="00BD462C" w:rsidRDefault="00033D0F">
      <w:pPr>
        <w:spacing w:before="1"/>
        <w:ind w:left="135"/>
        <w:rPr>
          <w:sz w:val="18"/>
        </w:rPr>
      </w:pPr>
      <w:bookmarkStart w:id="1635" w:name="_bookmark1408"/>
      <w:bookmarkEnd w:id="1635"/>
      <w:r>
        <w:rPr>
          <w:position w:val="5"/>
          <w:sz w:val="12"/>
        </w:rPr>
        <w:t>1214</w:t>
      </w:r>
      <w:r>
        <w:rPr>
          <w:spacing w:val="14"/>
          <w:position w:val="5"/>
          <w:sz w:val="12"/>
        </w:rPr>
        <w:t xml:space="preserve"> </w:t>
      </w:r>
      <w:r>
        <w:rPr>
          <w:sz w:val="18"/>
        </w:rPr>
        <w:t>China's</w:t>
      </w:r>
      <w:r>
        <w:rPr>
          <w:spacing w:val="2"/>
          <w:sz w:val="18"/>
        </w:rPr>
        <w:t xml:space="preserve"> </w:t>
      </w:r>
      <w:r>
        <w:rPr>
          <w:sz w:val="18"/>
        </w:rPr>
        <w:t>response</w:t>
      </w:r>
      <w:r>
        <w:rPr>
          <w:spacing w:val="-4"/>
          <w:sz w:val="18"/>
        </w:rPr>
        <w:t xml:space="preserve"> </w:t>
      </w:r>
      <w:r>
        <w:rPr>
          <w:sz w:val="18"/>
        </w:rPr>
        <w:t>to</w:t>
      </w:r>
      <w:r>
        <w:rPr>
          <w:spacing w:val="-10"/>
          <w:sz w:val="18"/>
        </w:rPr>
        <w:t xml:space="preserve"> </w:t>
      </w:r>
      <w:r>
        <w:rPr>
          <w:sz w:val="18"/>
        </w:rPr>
        <w:t>Panel</w:t>
      </w:r>
      <w:r>
        <w:rPr>
          <w:spacing w:val="-3"/>
          <w:sz w:val="18"/>
        </w:rPr>
        <w:t xml:space="preserve"> </w:t>
      </w:r>
      <w:r>
        <w:rPr>
          <w:sz w:val="18"/>
        </w:rPr>
        <w:t>question</w:t>
      </w:r>
      <w:r>
        <w:rPr>
          <w:spacing w:val="-4"/>
          <w:sz w:val="18"/>
        </w:rPr>
        <w:t xml:space="preserve"> </w:t>
      </w:r>
      <w:r>
        <w:rPr>
          <w:sz w:val="18"/>
        </w:rPr>
        <w:t>No.</w:t>
      </w:r>
      <w:r>
        <w:rPr>
          <w:spacing w:val="2"/>
          <w:sz w:val="18"/>
        </w:rPr>
        <w:t xml:space="preserve"> </w:t>
      </w:r>
      <w:r>
        <w:rPr>
          <w:sz w:val="18"/>
        </w:rPr>
        <w:t>15,</w:t>
      </w:r>
      <w:r>
        <w:rPr>
          <w:spacing w:val="-2"/>
          <w:sz w:val="18"/>
        </w:rPr>
        <w:t xml:space="preserve"> </w:t>
      </w:r>
      <w:r>
        <w:rPr>
          <w:sz w:val="18"/>
        </w:rPr>
        <w:t>para.</w:t>
      </w:r>
      <w:r>
        <w:rPr>
          <w:spacing w:val="-3"/>
          <w:sz w:val="18"/>
        </w:rPr>
        <w:t xml:space="preserve"> </w:t>
      </w:r>
      <w:r>
        <w:rPr>
          <w:spacing w:val="-5"/>
          <w:sz w:val="18"/>
        </w:rPr>
        <w:t>51.</w:t>
      </w:r>
    </w:p>
    <w:p w14:paraId="45859BA5" w14:textId="77777777" w:rsidR="00BD462C" w:rsidRDefault="00BD462C">
      <w:pPr>
        <w:rPr>
          <w:sz w:val="18"/>
        </w:rPr>
        <w:sectPr w:rsidR="00BD462C">
          <w:pgSz w:w="11910" w:h="16840"/>
          <w:pgMar w:top="860" w:right="500" w:bottom="780" w:left="1280" w:header="566" w:footer="590" w:gutter="0"/>
          <w:cols w:space="720"/>
        </w:sectPr>
      </w:pPr>
    </w:p>
    <w:p w14:paraId="31B0F511"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6CB65BC6"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2AEBA987"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2DD3576B" w14:textId="77777777" w:rsidR="00BD462C" w:rsidRDefault="00033D0F">
      <w:pPr>
        <w:pStyle w:val="BodyText"/>
        <w:spacing w:before="102"/>
        <w:ind w:left="135"/>
      </w:pPr>
      <w:r>
        <w:t>categories</w:t>
      </w:r>
      <w:r>
        <w:rPr>
          <w:spacing w:val="-8"/>
        </w:rPr>
        <w:t xml:space="preserve"> </w:t>
      </w:r>
      <w:r>
        <w:t>of</w:t>
      </w:r>
      <w:r>
        <w:rPr>
          <w:spacing w:val="-10"/>
        </w:rPr>
        <w:t xml:space="preserve"> </w:t>
      </w:r>
      <w:r>
        <w:t>"interested</w:t>
      </w:r>
      <w:r>
        <w:rPr>
          <w:spacing w:val="-10"/>
        </w:rPr>
        <w:t xml:space="preserve"> </w:t>
      </w:r>
      <w:r>
        <w:t>party"</w:t>
      </w:r>
      <w:r>
        <w:rPr>
          <w:spacing w:val="-9"/>
        </w:rPr>
        <w:t xml:space="preserve"> </w:t>
      </w:r>
      <w:r>
        <w:t>set</w:t>
      </w:r>
      <w:r>
        <w:rPr>
          <w:spacing w:val="-8"/>
        </w:rPr>
        <w:t xml:space="preserve"> </w:t>
      </w:r>
      <w:r>
        <w:t>out</w:t>
      </w:r>
      <w:r>
        <w:rPr>
          <w:spacing w:val="-8"/>
        </w:rPr>
        <w:t xml:space="preserve"> </w:t>
      </w:r>
      <w:r>
        <w:t>in</w:t>
      </w:r>
      <w:r>
        <w:rPr>
          <w:spacing w:val="-14"/>
        </w:rPr>
        <w:t xml:space="preserve"> </w:t>
      </w:r>
      <w:r>
        <w:t>subparagraphs</w:t>
      </w:r>
      <w:r>
        <w:rPr>
          <w:spacing w:val="-7"/>
        </w:rPr>
        <w:t xml:space="preserve"> </w:t>
      </w:r>
      <w:r>
        <w:t>(i),</w:t>
      </w:r>
      <w:r>
        <w:rPr>
          <w:spacing w:val="-6"/>
        </w:rPr>
        <w:t xml:space="preserve"> </w:t>
      </w:r>
      <w:r>
        <w:t>(ii),</w:t>
      </w:r>
      <w:r>
        <w:rPr>
          <w:spacing w:val="-11"/>
        </w:rPr>
        <w:t xml:space="preserve"> </w:t>
      </w:r>
      <w:r>
        <w:t>(iii)</w:t>
      </w:r>
      <w:r>
        <w:rPr>
          <w:spacing w:val="-10"/>
        </w:rPr>
        <w:t xml:space="preserve"> </w:t>
      </w:r>
      <w:r>
        <w:t>of</w:t>
      </w:r>
      <w:r>
        <w:rPr>
          <w:spacing w:val="-10"/>
        </w:rPr>
        <w:t xml:space="preserve"> </w:t>
      </w:r>
      <w:r>
        <w:t>Article</w:t>
      </w:r>
      <w:r>
        <w:rPr>
          <w:spacing w:val="-13"/>
        </w:rPr>
        <w:t xml:space="preserve"> </w:t>
      </w:r>
      <w:r>
        <w:t>6.11</w:t>
      </w:r>
      <w:r>
        <w:rPr>
          <w:spacing w:val="-10"/>
        </w:rPr>
        <w:t xml:space="preserve"> </w:t>
      </w:r>
      <w:r>
        <w:t>of</w:t>
      </w:r>
      <w:r>
        <w:rPr>
          <w:spacing w:val="-10"/>
        </w:rPr>
        <w:t xml:space="preserve"> </w:t>
      </w:r>
      <w:r>
        <w:t>the</w:t>
      </w:r>
      <w:r>
        <w:rPr>
          <w:spacing w:val="-8"/>
        </w:rPr>
        <w:t xml:space="preserve"> </w:t>
      </w:r>
      <w:r>
        <w:rPr>
          <w:spacing w:val="-2"/>
        </w:rPr>
        <w:t>Anti-</w:t>
      </w:r>
    </w:p>
    <w:p w14:paraId="1FCD6044" w14:textId="01DC436E" w:rsidR="00BD462C" w:rsidRDefault="00D70C7D">
      <w:pPr>
        <w:pStyle w:val="BodyText"/>
        <w:spacing w:before="144"/>
        <w:ind w:left="135"/>
      </w:pPr>
      <w:r>
        <w:rPr>
          <w:noProof/>
        </w:rPr>
        <mc:AlternateContent>
          <mc:Choice Requires="wps">
            <w:drawing>
              <wp:anchor distT="0" distB="0" distL="114300" distR="114300" simplePos="0" relativeHeight="15992832" behindDoc="0" locked="0" layoutInCell="1" allowOverlap="1" wp14:anchorId="5DCE1E79" wp14:editId="70AC1F98">
                <wp:simplePos x="0" y="0"/>
                <wp:positionH relativeFrom="page">
                  <wp:posOffset>6246495</wp:posOffset>
                </wp:positionH>
                <wp:positionV relativeFrom="paragraph">
                  <wp:posOffset>90170</wp:posOffset>
                </wp:positionV>
                <wp:extent cx="411480" cy="186055"/>
                <wp:effectExtent l="0" t="0" r="0" b="0"/>
                <wp:wrapNone/>
                <wp:docPr id="312" name="docshape5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3F6C48" id="docshape566" o:spid="_x0000_s1026" alt="&quot;&quot;" style="position:absolute;margin-left:491.85pt;margin-top:7.1pt;width:32.4pt;height:14.65pt;z-index:1599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" fillcolor="black" stroked="f">
                <w10:wrap anchorx="page"/>
              </v:rect>
            </w:pict>
          </mc:Fallback>
        </mc:AlternateContent>
      </w:r>
      <w:r w:rsidR="00033D0F">
        <w:t>Dumping</w:t>
      </w:r>
      <w:r w:rsidR="00033D0F">
        <w:rPr>
          <w:spacing w:val="-4"/>
        </w:rPr>
        <w:t xml:space="preserve"> </w:t>
      </w:r>
      <w:r w:rsidR="00033D0F">
        <w:t>Agreement.</w:t>
      </w:r>
      <w:r w:rsidR="00033D0F">
        <w:rPr>
          <w:spacing w:val="-4"/>
        </w:rPr>
        <w:t xml:space="preserve"> </w:t>
      </w:r>
      <w:r w:rsidR="00033D0F">
        <w:t>Australia</w:t>
      </w:r>
      <w:r w:rsidR="00033D0F">
        <w:rPr>
          <w:spacing w:val="-5"/>
        </w:rPr>
        <w:t xml:space="preserve"> </w:t>
      </w:r>
      <w:r w:rsidR="00033D0F">
        <w:t>understands</w:t>
      </w:r>
      <w:r w:rsidR="00033D0F">
        <w:rPr>
          <w:spacing w:val="-4"/>
        </w:rPr>
        <w:t xml:space="preserve"> </w:t>
      </w:r>
      <w:r w:rsidR="00033D0F">
        <w:t>that</w:t>
      </w:r>
      <w:r w:rsidR="00033D0F">
        <w:rPr>
          <w:spacing w:val="-4"/>
        </w:rPr>
        <w:t xml:space="preserve"> </w:t>
      </w:r>
      <w:r w:rsidR="00033D0F">
        <w:t>this</w:t>
      </w:r>
      <w:r w:rsidR="00033D0F">
        <w:rPr>
          <w:spacing w:val="-4"/>
        </w:rPr>
        <w:t xml:space="preserve"> </w:t>
      </w:r>
      <w:r w:rsidR="00033D0F">
        <w:t>is</w:t>
      </w:r>
      <w:r w:rsidR="00033D0F">
        <w:rPr>
          <w:spacing w:val="-3"/>
        </w:rPr>
        <w:t xml:space="preserve"> </w:t>
      </w:r>
      <w:r w:rsidR="00033D0F">
        <w:t>because</w:t>
      </w:r>
      <w:r w:rsidR="00033D0F">
        <w:rPr>
          <w:spacing w:val="-5"/>
        </w:rPr>
        <w:t xml:space="preserve"> </w:t>
      </w:r>
      <w:r w:rsidR="00033D0F">
        <w:t>MOFCOM</w:t>
      </w:r>
      <w:r w:rsidR="00033D0F">
        <w:rPr>
          <w:spacing w:val="-9"/>
        </w:rPr>
        <w:t xml:space="preserve"> </w:t>
      </w:r>
      <w:r w:rsidR="00033D0F">
        <w:t>treated</w:t>
      </w:r>
      <w:r w:rsidR="00033D0F">
        <w:rPr>
          <w:spacing w:val="-6"/>
        </w:rPr>
        <w:t xml:space="preserve"> </w:t>
      </w:r>
      <w:r w:rsidR="00033D0F">
        <w:rPr>
          <w:spacing w:val="-5"/>
        </w:rPr>
        <w:t>the</w:t>
      </w:r>
    </w:p>
    <w:p w14:paraId="24F2D39E" w14:textId="2E3DE474" w:rsidR="00BD462C" w:rsidRDefault="00D70C7D">
      <w:pPr>
        <w:pStyle w:val="BodyText"/>
        <w:spacing w:before="149" w:line="360" w:lineRule="auto"/>
        <w:ind w:left="136" w:right="916" w:firstLine="3360"/>
        <w:jc w:val="both"/>
      </w:pPr>
      <w:r>
        <w:rPr>
          <w:noProof/>
        </w:rPr>
        <mc:AlternateContent>
          <mc:Choice Requires="wps">
            <w:drawing>
              <wp:anchor distT="0" distB="0" distL="114300" distR="114300" simplePos="0" relativeHeight="15993344" behindDoc="0" locked="0" layoutInCell="1" allowOverlap="1" wp14:anchorId="4773FC65" wp14:editId="7E3798B9">
                <wp:simplePos x="0" y="0"/>
                <wp:positionH relativeFrom="page">
                  <wp:posOffset>899160</wp:posOffset>
                </wp:positionH>
                <wp:positionV relativeFrom="paragraph">
                  <wp:posOffset>93345</wp:posOffset>
                </wp:positionV>
                <wp:extent cx="2072640" cy="186055"/>
                <wp:effectExtent l="0" t="0" r="0" b="0"/>
                <wp:wrapNone/>
                <wp:docPr id="310" name="docshape5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264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AA1BC" id="docshape567" o:spid="_x0000_s1026" alt="&quot;&quot;" style="position:absolute;margin-left:70.8pt;margin-top:7.35pt;width:163.2pt;height:14.65pt;z-index:1599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" fillcolor="black" stroked="f">
                <w10:wrap anchorx="page"/>
              </v:rect>
            </w:pict>
          </mc:Fallback>
        </mc:AlternateContent>
      </w:r>
      <w:r w:rsidR="00033D0F">
        <w:t xml:space="preserve">as an "interested party" within the meaning of the last sentence of Article 6.11. Australia recalls the Appellate Body's finding in </w:t>
      </w:r>
      <w:r w:rsidR="00033D0F">
        <w:rPr>
          <w:i/>
        </w:rPr>
        <w:t>EC — Fasteners (China) (Article</w:t>
      </w:r>
      <w:r w:rsidR="00033D0F">
        <w:rPr>
          <w:i/>
          <w:spacing w:val="-1"/>
        </w:rPr>
        <w:t xml:space="preserve"> </w:t>
      </w:r>
      <w:r w:rsidR="00033D0F">
        <w:rPr>
          <w:i/>
        </w:rPr>
        <w:t xml:space="preserve">21.5) </w:t>
      </w:r>
      <w:r w:rsidR="00033D0F">
        <w:t xml:space="preserve">that the treatment of an entity as an "interested party" can be inferred from the conduct of an investigating </w:t>
      </w:r>
      <w:proofErr w:type="gramStart"/>
      <w:r w:rsidR="00033D0F">
        <w:t>authority, and</w:t>
      </w:r>
      <w:proofErr w:type="gramEnd"/>
      <w:r w:rsidR="00033D0F">
        <w:t xml:space="preserve"> does not require an express finding.</w:t>
      </w:r>
      <w:hyperlink w:anchor="_bookmark1410" w:history="1">
        <w:r w:rsidR="00033D0F">
          <w:rPr>
            <w:vertAlign w:val="superscript"/>
          </w:rPr>
          <w:t>1215</w:t>
        </w:r>
      </w:hyperlink>
    </w:p>
    <w:p w14:paraId="12AD0FBF" w14:textId="77777777" w:rsidR="00BD462C" w:rsidRDefault="00033D0F">
      <w:pPr>
        <w:pStyle w:val="Heading3"/>
        <w:numPr>
          <w:ilvl w:val="0"/>
          <w:numId w:val="21"/>
        </w:numPr>
        <w:tabs>
          <w:tab w:val="left" w:pos="2545"/>
          <w:tab w:val="left" w:pos="2546"/>
        </w:tabs>
        <w:spacing w:before="157"/>
        <w:ind w:left="2545"/>
        <w:jc w:val="both"/>
      </w:pPr>
      <w:bookmarkStart w:id="1636" w:name="4._Responses_to_the_domestic_producer_qu"/>
      <w:bookmarkStart w:id="1637" w:name="_bookmark1409"/>
      <w:bookmarkEnd w:id="1636"/>
      <w:bookmarkEnd w:id="1637"/>
      <w:r>
        <w:t>Responses</w:t>
      </w:r>
      <w:r>
        <w:rPr>
          <w:spacing w:val="-5"/>
        </w:rPr>
        <w:t xml:space="preserve"> </w:t>
      </w:r>
      <w:r>
        <w:t>to</w:t>
      </w:r>
      <w:r>
        <w:rPr>
          <w:spacing w:val="-3"/>
        </w:rPr>
        <w:t xml:space="preserve"> </w:t>
      </w:r>
      <w:r>
        <w:t>the</w:t>
      </w:r>
      <w:r>
        <w:rPr>
          <w:spacing w:val="-5"/>
        </w:rPr>
        <w:t xml:space="preserve"> </w:t>
      </w:r>
      <w:r>
        <w:t>domestic</w:t>
      </w:r>
      <w:r>
        <w:rPr>
          <w:spacing w:val="1"/>
        </w:rPr>
        <w:t xml:space="preserve"> </w:t>
      </w:r>
      <w:r>
        <w:t>producer</w:t>
      </w:r>
      <w:r>
        <w:rPr>
          <w:spacing w:val="-3"/>
        </w:rPr>
        <w:t xml:space="preserve"> </w:t>
      </w:r>
      <w:r>
        <w:rPr>
          <w:spacing w:val="-2"/>
        </w:rPr>
        <w:t>questionnaires</w:t>
      </w:r>
    </w:p>
    <w:p w14:paraId="1441C078" w14:textId="77777777" w:rsidR="00BD462C" w:rsidRDefault="00BD462C">
      <w:pPr>
        <w:pStyle w:val="BodyText"/>
        <w:spacing w:before="11"/>
        <w:rPr>
          <w:b/>
          <w:sz w:val="20"/>
        </w:rPr>
      </w:pPr>
    </w:p>
    <w:p w14:paraId="39818A45" w14:textId="10AB1DED" w:rsidR="00BD462C" w:rsidRDefault="005F4A68">
      <w:pPr>
        <w:pStyle w:val="BodyText"/>
        <w:spacing w:before="57" w:line="357" w:lineRule="auto"/>
        <w:ind w:left="135" w:right="920"/>
        <w:jc w:val="both"/>
      </w:pPr>
      <w:r>
        <w:rPr>
          <w:noProof/>
        </w:rPr>
        <w:t>817.</w:t>
      </w:r>
      <w:r w:rsidR="00033D0F">
        <w:rPr>
          <w:rFonts w:ascii="Times New Roman"/>
          <w:spacing w:val="80"/>
          <w:position w:val="1"/>
          <w:sz w:val="20"/>
        </w:rPr>
        <w:t xml:space="preserve">  </w:t>
      </w:r>
      <w:r w:rsidR="00033D0F">
        <w:rPr>
          <w:position w:val="1"/>
        </w:rPr>
        <w:t xml:space="preserve">China's position on the steps taken by MOFCOM to verify the responses to the </w:t>
      </w:r>
      <w:r w:rsidR="00033D0F">
        <w:t xml:space="preserve">domestic producer questionnaires has undergone a conspicuous shift through these </w:t>
      </w:r>
      <w:r w:rsidR="00033D0F">
        <w:rPr>
          <w:spacing w:val="-2"/>
        </w:rPr>
        <w:t>proceedings.</w:t>
      </w:r>
    </w:p>
    <w:p w14:paraId="39A24844" w14:textId="77777777" w:rsidR="00BD462C" w:rsidRDefault="00BD462C">
      <w:pPr>
        <w:pStyle w:val="BodyText"/>
        <w:spacing w:before="2"/>
        <w:rPr>
          <w:sz w:val="9"/>
        </w:rPr>
      </w:pPr>
    </w:p>
    <w:p w14:paraId="21BB3252" w14:textId="55AACF52" w:rsidR="00BD462C" w:rsidRDefault="005F4A68">
      <w:pPr>
        <w:pStyle w:val="BodyText"/>
        <w:spacing w:before="56" w:line="360" w:lineRule="auto"/>
        <w:ind w:left="135" w:right="907"/>
        <w:jc w:val="both"/>
      </w:pPr>
      <w:r>
        <w:rPr>
          <w:noProof/>
        </w:rPr>
        <w:t>818.</w:t>
      </w:r>
      <w:r w:rsidR="00033D0F">
        <w:rPr>
          <w:rFonts w:ascii="Times New Roman"/>
          <w:spacing w:val="80"/>
          <w:position w:val="1"/>
          <w:sz w:val="20"/>
        </w:rPr>
        <w:t xml:space="preserve">  </w:t>
      </w:r>
      <w:r w:rsidR="00033D0F">
        <w:rPr>
          <w:position w:val="1"/>
        </w:rPr>
        <w:t>Australia</w:t>
      </w:r>
      <w:r w:rsidR="00033D0F">
        <w:rPr>
          <w:spacing w:val="-12"/>
          <w:position w:val="1"/>
        </w:rPr>
        <w:t xml:space="preserve"> </w:t>
      </w:r>
      <w:r w:rsidR="00033D0F">
        <w:rPr>
          <w:position w:val="1"/>
        </w:rPr>
        <w:t>recalls</w:t>
      </w:r>
      <w:r w:rsidR="00033D0F">
        <w:rPr>
          <w:spacing w:val="-10"/>
          <w:position w:val="1"/>
        </w:rPr>
        <w:t xml:space="preserve"> </w:t>
      </w:r>
      <w:r w:rsidR="00033D0F">
        <w:rPr>
          <w:position w:val="1"/>
        </w:rPr>
        <w:t>that</w:t>
      </w:r>
      <w:r w:rsidR="00033D0F">
        <w:rPr>
          <w:spacing w:val="-11"/>
          <w:position w:val="1"/>
        </w:rPr>
        <w:t xml:space="preserve"> </w:t>
      </w:r>
      <w:r w:rsidR="00033D0F">
        <w:rPr>
          <w:position w:val="1"/>
        </w:rPr>
        <w:t>the</w:t>
      </w:r>
      <w:r w:rsidR="00033D0F">
        <w:rPr>
          <w:spacing w:val="-12"/>
          <w:position w:val="1"/>
        </w:rPr>
        <w:t xml:space="preserve"> </w:t>
      </w:r>
      <w:r w:rsidR="00033D0F">
        <w:rPr>
          <w:position w:val="1"/>
        </w:rPr>
        <w:t>Final</w:t>
      </w:r>
      <w:r w:rsidR="00033D0F">
        <w:rPr>
          <w:spacing w:val="-10"/>
          <w:position w:val="1"/>
        </w:rPr>
        <w:t xml:space="preserve"> </w:t>
      </w:r>
      <w:r w:rsidR="00033D0F">
        <w:rPr>
          <w:position w:val="1"/>
        </w:rPr>
        <w:t>Determination</w:t>
      </w:r>
      <w:r w:rsidR="00033D0F">
        <w:rPr>
          <w:spacing w:val="-14"/>
          <w:position w:val="1"/>
        </w:rPr>
        <w:t xml:space="preserve"> </w:t>
      </w:r>
      <w:r w:rsidR="00033D0F">
        <w:rPr>
          <w:position w:val="1"/>
        </w:rPr>
        <w:t>contains</w:t>
      </w:r>
      <w:r w:rsidR="00033D0F">
        <w:rPr>
          <w:spacing w:val="-10"/>
          <w:position w:val="1"/>
        </w:rPr>
        <w:t xml:space="preserve"> </w:t>
      </w:r>
      <w:r w:rsidR="00033D0F">
        <w:rPr>
          <w:position w:val="1"/>
        </w:rPr>
        <w:t>a</w:t>
      </w:r>
      <w:r w:rsidR="00033D0F">
        <w:rPr>
          <w:spacing w:val="-12"/>
          <w:position w:val="1"/>
        </w:rPr>
        <w:t xml:space="preserve"> </w:t>
      </w:r>
      <w:r w:rsidR="00033D0F">
        <w:rPr>
          <w:position w:val="1"/>
        </w:rPr>
        <w:t>specifically</w:t>
      </w:r>
      <w:r w:rsidR="00033D0F">
        <w:rPr>
          <w:spacing w:val="-11"/>
          <w:position w:val="1"/>
        </w:rPr>
        <w:t xml:space="preserve"> </w:t>
      </w:r>
      <w:r w:rsidR="00033D0F">
        <w:rPr>
          <w:position w:val="1"/>
        </w:rPr>
        <w:t>dedicated</w:t>
      </w:r>
      <w:r w:rsidR="00033D0F">
        <w:rPr>
          <w:spacing w:val="-14"/>
          <w:position w:val="1"/>
        </w:rPr>
        <w:t xml:space="preserve"> </w:t>
      </w:r>
      <w:r w:rsidR="00033D0F">
        <w:rPr>
          <w:position w:val="1"/>
        </w:rPr>
        <w:t xml:space="preserve">section </w:t>
      </w:r>
      <w:r w:rsidR="00033D0F">
        <w:t>entitled</w:t>
      </w:r>
      <w:r w:rsidR="00033D0F">
        <w:rPr>
          <w:spacing w:val="-7"/>
        </w:rPr>
        <w:t xml:space="preserve"> </w:t>
      </w:r>
      <w:r w:rsidR="00033D0F">
        <w:t>"Domestic</w:t>
      </w:r>
      <w:r w:rsidR="00033D0F">
        <w:rPr>
          <w:spacing w:val="-6"/>
        </w:rPr>
        <w:t xml:space="preserve"> </w:t>
      </w:r>
      <w:r w:rsidR="00033D0F">
        <w:t>industry</w:t>
      </w:r>
      <w:r w:rsidR="00033D0F">
        <w:rPr>
          <w:spacing w:val="-4"/>
        </w:rPr>
        <w:t xml:space="preserve"> </w:t>
      </w:r>
      <w:r w:rsidR="00033D0F">
        <w:t>verification".</w:t>
      </w:r>
      <w:r w:rsidR="00033D0F">
        <w:rPr>
          <w:spacing w:val="-4"/>
        </w:rPr>
        <w:t xml:space="preserve"> </w:t>
      </w:r>
      <w:r w:rsidR="00033D0F">
        <w:t>Australia</w:t>
      </w:r>
      <w:r w:rsidR="00033D0F">
        <w:rPr>
          <w:spacing w:val="-10"/>
        </w:rPr>
        <w:t xml:space="preserve"> </w:t>
      </w:r>
      <w:r w:rsidR="00033D0F">
        <w:t>submits</w:t>
      </w:r>
      <w:r w:rsidR="00033D0F">
        <w:rPr>
          <w:spacing w:val="-4"/>
        </w:rPr>
        <w:t xml:space="preserve"> </w:t>
      </w:r>
      <w:r w:rsidR="00033D0F">
        <w:t>the</w:t>
      </w:r>
      <w:r w:rsidR="00033D0F">
        <w:rPr>
          <w:spacing w:val="-5"/>
        </w:rPr>
        <w:t xml:space="preserve"> </w:t>
      </w:r>
      <w:r w:rsidR="00033D0F">
        <w:t>Panel</w:t>
      </w:r>
      <w:r w:rsidR="00033D0F">
        <w:rPr>
          <w:spacing w:val="-3"/>
        </w:rPr>
        <w:t xml:space="preserve"> </w:t>
      </w:r>
      <w:r w:rsidR="00033D0F">
        <w:t>can</w:t>
      </w:r>
      <w:r w:rsidR="00033D0F">
        <w:rPr>
          <w:spacing w:val="-7"/>
        </w:rPr>
        <w:t xml:space="preserve"> </w:t>
      </w:r>
      <w:r w:rsidR="00033D0F">
        <w:t>safely</w:t>
      </w:r>
      <w:r w:rsidR="00033D0F">
        <w:rPr>
          <w:spacing w:val="-4"/>
        </w:rPr>
        <w:t xml:space="preserve"> </w:t>
      </w:r>
      <w:r w:rsidR="00033D0F">
        <w:t>infer</w:t>
      </w:r>
      <w:r w:rsidR="00033D0F">
        <w:rPr>
          <w:spacing w:val="-3"/>
        </w:rPr>
        <w:t xml:space="preserve"> </w:t>
      </w:r>
      <w:r w:rsidR="00033D0F">
        <w:t>that</w:t>
      </w:r>
      <w:r w:rsidR="00033D0F">
        <w:rPr>
          <w:spacing w:val="-5"/>
        </w:rPr>
        <w:t xml:space="preserve"> </w:t>
      </w:r>
      <w:r w:rsidR="00033D0F">
        <w:t>this was the full extent of the steps taken by MOFCOM to satisfy itself of the accuracy of the domestic industry responses. In that section, MOFCOM describes the process of seeking information from two of the companies, which is</w:t>
      </w:r>
      <w:r w:rsidR="00033D0F">
        <w:rPr>
          <w:spacing w:val="-1"/>
        </w:rPr>
        <w:t xml:space="preserve"> </w:t>
      </w:r>
      <w:r w:rsidR="00033D0F">
        <w:t>said to have been done "[i]n order to verify the documents and evidence provided in the applications and responses and gain an understanding</w:t>
      </w:r>
      <w:r w:rsidR="00033D0F">
        <w:rPr>
          <w:spacing w:val="-14"/>
        </w:rPr>
        <w:t xml:space="preserve"> </w:t>
      </w:r>
      <w:r w:rsidR="00033D0F">
        <w:t>of</w:t>
      </w:r>
      <w:r w:rsidR="00033D0F">
        <w:rPr>
          <w:spacing w:val="-14"/>
        </w:rPr>
        <w:t xml:space="preserve"> </w:t>
      </w:r>
      <w:r w:rsidR="00033D0F">
        <w:t>other</w:t>
      </w:r>
      <w:r w:rsidR="00033D0F">
        <w:rPr>
          <w:spacing w:val="-13"/>
        </w:rPr>
        <w:t xml:space="preserve"> </w:t>
      </w:r>
      <w:r w:rsidR="00033D0F">
        <w:t>respects</w:t>
      </w:r>
      <w:r w:rsidR="00033D0F">
        <w:rPr>
          <w:spacing w:val="-12"/>
        </w:rPr>
        <w:t xml:space="preserve"> </w:t>
      </w:r>
      <w:r w:rsidR="00033D0F">
        <w:t>of</w:t>
      </w:r>
      <w:r w:rsidR="00033D0F">
        <w:rPr>
          <w:spacing w:val="-13"/>
        </w:rPr>
        <w:t xml:space="preserve"> </w:t>
      </w:r>
      <w:r w:rsidR="00033D0F">
        <w:t>the</w:t>
      </w:r>
      <w:r w:rsidR="00033D0F">
        <w:rPr>
          <w:spacing w:val="-12"/>
        </w:rPr>
        <w:t xml:space="preserve"> </w:t>
      </w:r>
      <w:r w:rsidR="00033D0F">
        <w:t>investigation".</w:t>
      </w:r>
      <w:hyperlink w:anchor="_bookmark1411" w:history="1">
        <w:r w:rsidR="00033D0F">
          <w:rPr>
            <w:vertAlign w:val="superscript"/>
          </w:rPr>
          <w:t>1216</w:t>
        </w:r>
      </w:hyperlink>
      <w:r w:rsidR="00033D0F">
        <w:rPr>
          <w:spacing w:val="-11"/>
        </w:rPr>
        <w:t xml:space="preserve"> </w:t>
      </w:r>
      <w:r w:rsidR="00033D0F">
        <w:t>No</w:t>
      </w:r>
      <w:r w:rsidR="00033D0F">
        <w:rPr>
          <w:spacing w:val="-14"/>
        </w:rPr>
        <w:t xml:space="preserve"> </w:t>
      </w:r>
      <w:r w:rsidR="00033D0F">
        <w:t>reference</w:t>
      </w:r>
      <w:r w:rsidR="00033D0F">
        <w:rPr>
          <w:spacing w:val="-12"/>
        </w:rPr>
        <w:t xml:space="preserve"> </w:t>
      </w:r>
      <w:r w:rsidR="00033D0F">
        <w:t>is</w:t>
      </w:r>
      <w:r w:rsidR="00033D0F">
        <w:rPr>
          <w:spacing w:val="-10"/>
        </w:rPr>
        <w:t xml:space="preserve"> </w:t>
      </w:r>
      <w:r w:rsidR="00033D0F">
        <w:t>made,</w:t>
      </w:r>
      <w:r w:rsidR="00033D0F">
        <w:rPr>
          <w:spacing w:val="-14"/>
        </w:rPr>
        <w:t xml:space="preserve"> </w:t>
      </w:r>
      <w:r w:rsidR="00033D0F">
        <w:t>in</w:t>
      </w:r>
      <w:r w:rsidR="00033D0F">
        <w:rPr>
          <w:spacing w:val="-14"/>
        </w:rPr>
        <w:t xml:space="preserve"> </w:t>
      </w:r>
      <w:r w:rsidR="00033D0F">
        <w:t>that</w:t>
      </w:r>
      <w:r w:rsidR="00033D0F">
        <w:rPr>
          <w:spacing w:val="-13"/>
        </w:rPr>
        <w:t xml:space="preserve"> </w:t>
      </w:r>
      <w:r w:rsidR="00033D0F">
        <w:t xml:space="preserve">section or in any other section of the Final Determination, to any other steps having been taken by </w:t>
      </w:r>
      <w:r w:rsidR="00033D0F">
        <w:rPr>
          <w:spacing w:val="-2"/>
        </w:rPr>
        <w:t>MOFCOM.</w:t>
      </w:r>
    </w:p>
    <w:p w14:paraId="2586308F" w14:textId="77777777" w:rsidR="00BD462C" w:rsidRDefault="00BD462C">
      <w:pPr>
        <w:pStyle w:val="BodyText"/>
        <w:spacing w:before="5"/>
        <w:rPr>
          <w:sz w:val="8"/>
        </w:rPr>
      </w:pPr>
    </w:p>
    <w:p w14:paraId="28019D57" w14:textId="6EBD4F96" w:rsidR="00BD462C" w:rsidRDefault="005F4A68">
      <w:pPr>
        <w:pStyle w:val="BodyText"/>
        <w:spacing w:before="56" w:line="360" w:lineRule="auto"/>
        <w:ind w:left="135" w:right="920"/>
        <w:jc w:val="both"/>
      </w:pPr>
      <w:r>
        <w:rPr>
          <w:noProof/>
        </w:rPr>
        <w:t>819.</w:t>
      </w:r>
      <w:r w:rsidR="00033D0F">
        <w:rPr>
          <w:rFonts w:ascii="Times New Roman"/>
          <w:spacing w:val="80"/>
          <w:w w:val="150"/>
          <w:position w:val="1"/>
          <w:sz w:val="20"/>
        </w:rPr>
        <w:t xml:space="preserve"> </w:t>
      </w:r>
      <w:r w:rsidR="00033D0F">
        <w:rPr>
          <w:position w:val="1"/>
        </w:rPr>
        <w:t xml:space="preserve">China has not contended that this process of verifying the information from two </w:t>
      </w:r>
      <w:r w:rsidR="00033D0F">
        <w:t xml:space="preserve">domestic industry respondents was sufficient for MOFCOM to have been satisfied of the accuracy of the </w:t>
      </w:r>
      <w:r w:rsidR="00033D0F">
        <w:rPr>
          <w:i/>
        </w:rPr>
        <w:t xml:space="preserve">other </w:t>
      </w:r>
      <w:r w:rsidR="00033D0F">
        <w:t>19 domestic industry respondents' information. Rather, China argues that MOFCOM undertook a separate and entirely undisclosed process of independently assessing financial data from other sources for three of those 19 respondents. What China claims MOFCOM did in this regard has evolved through the dispute.</w:t>
      </w:r>
    </w:p>
    <w:p w14:paraId="60FDDFB4" w14:textId="77777777" w:rsidR="00BD462C" w:rsidRDefault="00BD462C">
      <w:pPr>
        <w:pStyle w:val="BodyText"/>
        <w:spacing w:before="8"/>
        <w:rPr>
          <w:sz w:val="8"/>
        </w:rPr>
      </w:pPr>
    </w:p>
    <w:p w14:paraId="067BF913" w14:textId="0412E33E" w:rsidR="00BD462C" w:rsidRDefault="005F4A68">
      <w:pPr>
        <w:pStyle w:val="BodyText"/>
        <w:spacing w:before="56" w:line="357" w:lineRule="auto"/>
        <w:ind w:left="136" w:right="923"/>
      </w:pPr>
      <w:r>
        <w:rPr>
          <w:noProof/>
        </w:rPr>
        <w:t>820.</w:t>
      </w:r>
      <w:r w:rsidR="00033D0F">
        <w:rPr>
          <w:rFonts w:ascii="Times New Roman"/>
          <w:spacing w:val="80"/>
          <w:position w:val="1"/>
          <w:sz w:val="20"/>
        </w:rPr>
        <w:t xml:space="preserve">  </w:t>
      </w:r>
      <w:r w:rsidR="00033D0F">
        <w:rPr>
          <w:position w:val="1"/>
        </w:rPr>
        <w:t>In</w:t>
      </w:r>
      <w:r w:rsidR="00033D0F">
        <w:rPr>
          <w:spacing w:val="-9"/>
          <w:position w:val="1"/>
        </w:rPr>
        <w:t xml:space="preserve"> </w:t>
      </w:r>
      <w:r w:rsidR="00033D0F">
        <w:rPr>
          <w:position w:val="1"/>
        </w:rPr>
        <w:t>China's</w:t>
      </w:r>
      <w:r w:rsidR="00033D0F">
        <w:rPr>
          <w:spacing w:val="-6"/>
          <w:position w:val="1"/>
        </w:rPr>
        <w:t xml:space="preserve"> </w:t>
      </w:r>
      <w:r w:rsidR="00033D0F">
        <w:rPr>
          <w:position w:val="1"/>
        </w:rPr>
        <w:t>first</w:t>
      </w:r>
      <w:r w:rsidR="00033D0F">
        <w:rPr>
          <w:spacing w:val="-7"/>
          <w:position w:val="1"/>
        </w:rPr>
        <w:t xml:space="preserve"> </w:t>
      </w:r>
      <w:r w:rsidR="00033D0F">
        <w:rPr>
          <w:position w:val="1"/>
        </w:rPr>
        <w:t>written</w:t>
      </w:r>
      <w:r w:rsidR="00033D0F">
        <w:rPr>
          <w:spacing w:val="-9"/>
          <w:position w:val="1"/>
        </w:rPr>
        <w:t xml:space="preserve"> </w:t>
      </w:r>
      <w:r w:rsidR="00033D0F">
        <w:rPr>
          <w:position w:val="1"/>
        </w:rPr>
        <w:t>submission,</w:t>
      </w:r>
      <w:r w:rsidR="00033D0F">
        <w:rPr>
          <w:spacing w:val="-5"/>
          <w:position w:val="1"/>
        </w:rPr>
        <w:t xml:space="preserve"> </w:t>
      </w:r>
      <w:r w:rsidR="00033D0F">
        <w:rPr>
          <w:position w:val="1"/>
        </w:rPr>
        <w:t>it</w:t>
      </w:r>
      <w:r w:rsidR="00033D0F">
        <w:rPr>
          <w:spacing w:val="-11"/>
          <w:position w:val="1"/>
        </w:rPr>
        <w:t xml:space="preserve"> </w:t>
      </w:r>
      <w:r w:rsidR="00033D0F">
        <w:rPr>
          <w:position w:val="1"/>
        </w:rPr>
        <w:t>submitted</w:t>
      </w:r>
      <w:r w:rsidR="00033D0F">
        <w:rPr>
          <w:spacing w:val="-9"/>
          <w:position w:val="1"/>
        </w:rPr>
        <w:t xml:space="preserve"> </w:t>
      </w:r>
      <w:r w:rsidR="00033D0F">
        <w:rPr>
          <w:position w:val="1"/>
        </w:rPr>
        <w:t>that</w:t>
      </w:r>
      <w:r w:rsidR="00033D0F">
        <w:rPr>
          <w:spacing w:val="-7"/>
          <w:position w:val="1"/>
        </w:rPr>
        <w:t xml:space="preserve"> </w:t>
      </w:r>
      <w:r w:rsidR="00033D0F">
        <w:rPr>
          <w:position w:val="1"/>
        </w:rPr>
        <w:t>MOFCOM</w:t>
      </w:r>
      <w:r w:rsidR="00033D0F">
        <w:rPr>
          <w:spacing w:val="-7"/>
          <w:position w:val="1"/>
        </w:rPr>
        <w:t xml:space="preserve"> </w:t>
      </w:r>
      <w:r w:rsidR="00033D0F">
        <w:rPr>
          <w:position w:val="1"/>
        </w:rPr>
        <w:t>tested</w:t>
      </w:r>
      <w:r w:rsidR="00033D0F">
        <w:rPr>
          <w:spacing w:val="-9"/>
          <w:position w:val="1"/>
        </w:rPr>
        <w:t xml:space="preserve"> </w:t>
      </w:r>
      <w:r w:rsidR="00033D0F">
        <w:rPr>
          <w:position w:val="1"/>
        </w:rPr>
        <w:t>the</w:t>
      </w:r>
      <w:r w:rsidR="00033D0F">
        <w:rPr>
          <w:spacing w:val="-7"/>
          <w:position w:val="1"/>
        </w:rPr>
        <w:t xml:space="preserve"> </w:t>
      </w:r>
      <w:r w:rsidR="00033D0F">
        <w:rPr>
          <w:position w:val="1"/>
        </w:rPr>
        <w:t>accuracy</w:t>
      </w:r>
      <w:r w:rsidR="00033D0F">
        <w:rPr>
          <w:spacing w:val="-6"/>
          <w:position w:val="1"/>
        </w:rPr>
        <w:t xml:space="preserve"> </w:t>
      </w:r>
      <w:r w:rsidR="00033D0F">
        <w:rPr>
          <w:position w:val="1"/>
        </w:rPr>
        <w:t xml:space="preserve">of </w:t>
      </w:r>
      <w:r w:rsidR="00033D0F">
        <w:t>"a</w:t>
      </w:r>
      <w:r w:rsidR="00033D0F">
        <w:rPr>
          <w:spacing w:val="49"/>
        </w:rPr>
        <w:t xml:space="preserve"> </w:t>
      </w:r>
      <w:r w:rsidR="00033D0F">
        <w:t>number"</w:t>
      </w:r>
      <w:r w:rsidR="00033D0F">
        <w:rPr>
          <w:spacing w:val="54"/>
        </w:rPr>
        <w:t xml:space="preserve"> </w:t>
      </w:r>
      <w:r w:rsidR="00033D0F">
        <w:t>of</w:t>
      </w:r>
      <w:r w:rsidR="00033D0F">
        <w:rPr>
          <w:spacing w:val="53"/>
        </w:rPr>
        <w:t xml:space="preserve"> </w:t>
      </w:r>
      <w:r w:rsidR="00033D0F">
        <w:t>non-sampled</w:t>
      </w:r>
      <w:r w:rsidR="00033D0F">
        <w:rPr>
          <w:spacing w:val="48"/>
        </w:rPr>
        <w:t xml:space="preserve"> </w:t>
      </w:r>
      <w:r w:rsidR="00033D0F">
        <w:t>companies,</w:t>
      </w:r>
      <w:r w:rsidR="00033D0F">
        <w:rPr>
          <w:spacing w:val="52"/>
        </w:rPr>
        <w:t xml:space="preserve"> </w:t>
      </w:r>
      <w:r w:rsidR="00033D0F">
        <w:t>by</w:t>
      </w:r>
      <w:r w:rsidR="00033D0F">
        <w:rPr>
          <w:spacing w:val="51"/>
        </w:rPr>
        <w:t xml:space="preserve"> </w:t>
      </w:r>
      <w:r w:rsidR="00033D0F">
        <w:t>cross-checking</w:t>
      </w:r>
      <w:r w:rsidR="00033D0F">
        <w:rPr>
          <w:spacing w:val="52"/>
        </w:rPr>
        <w:t xml:space="preserve"> </w:t>
      </w:r>
      <w:r w:rsidR="00033D0F">
        <w:t>the</w:t>
      </w:r>
      <w:r w:rsidR="00033D0F">
        <w:rPr>
          <w:spacing w:val="50"/>
        </w:rPr>
        <w:t xml:space="preserve"> </w:t>
      </w:r>
      <w:r w:rsidR="00033D0F">
        <w:t>data</w:t>
      </w:r>
      <w:r w:rsidR="00033D0F">
        <w:rPr>
          <w:spacing w:val="50"/>
        </w:rPr>
        <w:t xml:space="preserve"> </w:t>
      </w:r>
      <w:r w:rsidR="00033D0F">
        <w:t>submitted</w:t>
      </w:r>
      <w:r w:rsidR="00033D0F">
        <w:rPr>
          <w:spacing w:val="48"/>
        </w:rPr>
        <w:t xml:space="preserve"> </w:t>
      </w:r>
      <w:r w:rsidR="00033D0F">
        <w:t>by</w:t>
      </w:r>
      <w:r w:rsidR="00033D0F">
        <w:rPr>
          <w:spacing w:val="51"/>
        </w:rPr>
        <w:t xml:space="preserve"> </w:t>
      </w:r>
      <w:r w:rsidR="00033D0F">
        <w:rPr>
          <w:spacing w:val="-2"/>
        </w:rPr>
        <w:t>those</w:t>
      </w:r>
    </w:p>
    <w:p w14:paraId="5D0F0AF8" w14:textId="77777777" w:rsidR="00BD462C" w:rsidRDefault="00BD462C">
      <w:pPr>
        <w:pStyle w:val="BodyText"/>
        <w:rPr>
          <w:sz w:val="20"/>
        </w:rPr>
      </w:pPr>
    </w:p>
    <w:p w14:paraId="2524A75C" w14:textId="65D3E6C3" w:rsidR="00BD462C" w:rsidRDefault="00D70C7D">
      <w:pPr>
        <w:pStyle w:val="BodyText"/>
        <w:spacing w:before="1"/>
        <w:rPr>
          <w:sz w:val="18"/>
        </w:rPr>
      </w:pPr>
      <w:r>
        <w:rPr>
          <w:noProof/>
        </w:rPr>
        <mc:AlternateContent>
          <mc:Choice Requires="wps">
            <w:drawing>
              <wp:anchor distT="0" distB="0" distL="0" distR="0" simplePos="0" relativeHeight="487851520" behindDoc="1" locked="0" layoutInCell="1" allowOverlap="1" wp14:anchorId="0D157E93" wp14:editId="7D26FDFA">
                <wp:simplePos x="0" y="0"/>
                <wp:positionH relativeFrom="page">
                  <wp:posOffset>899160</wp:posOffset>
                </wp:positionH>
                <wp:positionV relativeFrom="paragraph">
                  <wp:posOffset>155575</wp:posOffset>
                </wp:positionV>
                <wp:extent cx="1828800" cy="8890"/>
                <wp:effectExtent l="0" t="0" r="0" b="0"/>
                <wp:wrapTopAndBottom/>
                <wp:docPr id="308" name="docshape5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6EB1B5" id="docshape568" o:spid="_x0000_s1026" alt="&quot;&quot;" style="position:absolute;margin-left:70.8pt;margin-top:12.25pt;width:2in;height:.7pt;z-index:-15464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" fillcolor="black" stroked="f">
                <w10:wrap type="topAndBottom" anchorx="page"/>
              </v:rect>
            </w:pict>
          </mc:Fallback>
        </mc:AlternateContent>
      </w:r>
    </w:p>
    <w:p w14:paraId="0A35310B" w14:textId="77777777" w:rsidR="00BD462C" w:rsidRDefault="00033D0F">
      <w:pPr>
        <w:spacing w:before="112"/>
        <w:ind w:left="135"/>
        <w:rPr>
          <w:sz w:val="18"/>
        </w:rPr>
      </w:pPr>
      <w:bookmarkStart w:id="1638" w:name="_bookmark1410"/>
      <w:bookmarkEnd w:id="1638"/>
      <w:r>
        <w:rPr>
          <w:position w:val="5"/>
          <w:sz w:val="12"/>
        </w:rPr>
        <w:t>1215</w:t>
      </w:r>
      <w:r>
        <w:rPr>
          <w:spacing w:val="15"/>
          <w:position w:val="5"/>
          <w:sz w:val="12"/>
        </w:rPr>
        <w:t xml:space="preserve"> </w:t>
      </w:r>
      <w:r>
        <w:rPr>
          <w:sz w:val="18"/>
        </w:rPr>
        <w:t>Appellate</w:t>
      </w:r>
      <w:r>
        <w:rPr>
          <w:spacing w:val="-8"/>
          <w:sz w:val="18"/>
        </w:rPr>
        <w:t xml:space="preserve"> </w:t>
      </w:r>
      <w:r>
        <w:rPr>
          <w:sz w:val="18"/>
        </w:rPr>
        <w:t>Body</w:t>
      </w:r>
      <w:r>
        <w:rPr>
          <w:spacing w:val="-5"/>
          <w:sz w:val="18"/>
        </w:rPr>
        <w:t xml:space="preserve"> </w:t>
      </w:r>
      <w:r>
        <w:rPr>
          <w:sz w:val="18"/>
        </w:rPr>
        <w:t>report,</w:t>
      </w:r>
      <w:r>
        <w:rPr>
          <w:spacing w:val="-6"/>
          <w:sz w:val="18"/>
        </w:rPr>
        <w:t xml:space="preserve"> </w:t>
      </w:r>
      <w:r>
        <w:rPr>
          <w:i/>
          <w:sz w:val="18"/>
        </w:rPr>
        <w:t>EC</w:t>
      </w:r>
      <w:r>
        <w:rPr>
          <w:i/>
          <w:spacing w:val="-3"/>
          <w:sz w:val="18"/>
        </w:rPr>
        <w:t xml:space="preserve"> </w:t>
      </w:r>
      <w:r>
        <w:rPr>
          <w:i/>
          <w:sz w:val="18"/>
        </w:rPr>
        <w:t>—</w:t>
      </w:r>
      <w:r>
        <w:rPr>
          <w:i/>
          <w:spacing w:val="-1"/>
          <w:sz w:val="18"/>
        </w:rPr>
        <w:t xml:space="preserve"> </w:t>
      </w:r>
      <w:r>
        <w:rPr>
          <w:i/>
          <w:sz w:val="18"/>
        </w:rPr>
        <w:t>Fasteners</w:t>
      </w:r>
      <w:r>
        <w:rPr>
          <w:i/>
          <w:spacing w:val="-3"/>
          <w:sz w:val="18"/>
        </w:rPr>
        <w:t xml:space="preserve"> </w:t>
      </w:r>
      <w:r>
        <w:rPr>
          <w:i/>
          <w:sz w:val="18"/>
        </w:rPr>
        <w:t>(China)</w:t>
      </w:r>
      <w:r>
        <w:rPr>
          <w:i/>
          <w:spacing w:val="-2"/>
          <w:sz w:val="18"/>
        </w:rPr>
        <w:t xml:space="preserve"> </w:t>
      </w:r>
      <w:r>
        <w:rPr>
          <w:i/>
          <w:sz w:val="18"/>
        </w:rPr>
        <w:t>(Article</w:t>
      </w:r>
      <w:r>
        <w:rPr>
          <w:i/>
          <w:spacing w:val="-4"/>
          <w:sz w:val="18"/>
        </w:rPr>
        <w:t xml:space="preserve"> </w:t>
      </w:r>
      <w:r>
        <w:rPr>
          <w:i/>
          <w:sz w:val="18"/>
        </w:rPr>
        <w:t>21.5</w:t>
      </w:r>
      <w:r>
        <w:rPr>
          <w:sz w:val="18"/>
        </w:rPr>
        <w:t>),</w:t>
      </w:r>
      <w:r>
        <w:rPr>
          <w:spacing w:val="-2"/>
          <w:sz w:val="18"/>
        </w:rPr>
        <w:t xml:space="preserve"> </w:t>
      </w:r>
      <w:r>
        <w:rPr>
          <w:sz w:val="18"/>
        </w:rPr>
        <w:t>para.</w:t>
      </w:r>
      <w:r>
        <w:rPr>
          <w:spacing w:val="-2"/>
          <w:sz w:val="18"/>
        </w:rPr>
        <w:t xml:space="preserve"> 5.150.</w:t>
      </w:r>
    </w:p>
    <w:p w14:paraId="35A72473" w14:textId="77777777" w:rsidR="00BD462C" w:rsidRDefault="00033D0F">
      <w:pPr>
        <w:spacing w:before="1"/>
        <w:ind w:left="135"/>
        <w:rPr>
          <w:sz w:val="18"/>
        </w:rPr>
      </w:pPr>
      <w:bookmarkStart w:id="1639" w:name="_bookmark1411"/>
      <w:bookmarkEnd w:id="1639"/>
      <w:r>
        <w:rPr>
          <w:position w:val="5"/>
          <w:sz w:val="12"/>
        </w:rPr>
        <w:t>1216</w:t>
      </w:r>
      <w:r>
        <w:rPr>
          <w:spacing w:val="12"/>
          <w:position w:val="5"/>
          <w:sz w:val="12"/>
        </w:rPr>
        <w:t xml:space="preserve"> </w:t>
      </w:r>
      <w:r>
        <w:rPr>
          <w:sz w:val="18"/>
        </w:rPr>
        <w:t>Anti-Dumping</w:t>
      </w:r>
      <w:r>
        <w:rPr>
          <w:spacing w:val="-6"/>
          <w:sz w:val="18"/>
        </w:rPr>
        <w:t xml:space="preserve"> </w:t>
      </w:r>
      <w:r>
        <w:rPr>
          <w:sz w:val="18"/>
        </w:rPr>
        <w:t>Final</w:t>
      </w:r>
      <w:r>
        <w:rPr>
          <w:spacing w:val="-1"/>
          <w:sz w:val="18"/>
        </w:rPr>
        <w:t xml:space="preserve"> </w:t>
      </w:r>
      <w:r>
        <w:rPr>
          <w:sz w:val="18"/>
        </w:rPr>
        <w:t>Determination</w:t>
      </w:r>
      <w:r>
        <w:rPr>
          <w:spacing w:val="-7"/>
          <w:sz w:val="18"/>
        </w:rPr>
        <w:t xml:space="preserve"> </w:t>
      </w:r>
      <w:r>
        <w:rPr>
          <w:sz w:val="18"/>
        </w:rPr>
        <w:t>(Exhibit</w:t>
      </w:r>
      <w:r>
        <w:rPr>
          <w:spacing w:val="-1"/>
          <w:sz w:val="18"/>
        </w:rPr>
        <w:t xml:space="preserve"> </w:t>
      </w:r>
      <w:r>
        <w:rPr>
          <w:sz w:val="18"/>
        </w:rPr>
        <w:t>AUS-2),</w:t>
      </w:r>
      <w:r>
        <w:rPr>
          <w:spacing w:val="-4"/>
          <w:sz w:val="18"/>
        </w:rPr>
        <w:t xml:space="preserve"> </w:t>
      </w:r>
      <w:r>
        <w:rPr>
          <w:sz w:val="18"/>
        </w:rPr>
        <w:t>p.</w:t>
      </w:r>
      <w:r>
        <w:rPr>
          <w:spacing w:val="-5"/>
          <w:sz w:val="18"/>
        </w:rPr>
        <w:t xml:space="preserve"> 28.</w:t>
      </w:r>
    </w:p>
    <w:p w14:paraId="682E251E" w14:textId="77777777" w:rsidR="00BD462C" w:rsidRDefault="00BD462C">
      <w:pPr>
        <w:rPr>
          <w:sz w:val="18"/>
        </w:rPr>
        <w:sectPr w:rsidR="00BD462C">
          <w:pgSz w:w="11910" w:h="16840"/>
          <w:pgMar w:top="860" w:right="500" w:bottom="780" w:left="1280" w:header="566" w:footer="590" w:gutter="0"/>
          <w:cols w:space="720"/>
        </w:sectPr>
      </w:pPr>
    </w:p>
    <w:p w14:paraId="4D52EBD4"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012E0E7E"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5EEEAF85"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05D0608E" w14:textId="77777777" w:rsidR="00BD462C" w:rsidRDefault="00033D0F">
      <w:pPr>
        <w:pStyle w:val="BodyText"/>
        <w:spacing w:before="102" w:line="360" w:lineRule="auto"/>
        <w:ind w:left="136" w:right="921"/>
        <w:jc w:val="both"/>
      </w:pPr>
      <w:r>
        <w:t>companies</w:t>
      </w:r>
      <w:r>
        <w:rPr>
          <w:spacing w:val="-10"/>
        </w:rPr>
        <w:t xml:space="preserve"> </w:t>
      </w:r>
      <w:r>
        <w:t>against</w:t>
      </w:r>
      <w:r>
        <w:rPr>
          <w:spacing w:val="-11"/>
        </w:rPr>
        <w:t xml:space="preserve"> </w:t>
      </w:r>
      <w:r>
        <w:t>their</w:t>
      </w:r>
      <w:r>
        <w:rPr>
          <w:spacing w:val="-14"/>
        </w:rPr>
        <w:t xml:space="preserve"> </w:t>
      </w:r>
      <w:r>
        <w:t>financial</w:t>
      </w:r>
      <w:r>
        <w:rPr>
          <w:spacing w:val="-9"/>
        </w:rPr>
        <w:t xml:space="preserve"> </w:t>
      </w:r>
      <w:r>
        <w:t>reports.</w:t>
      </w:r>
      <w:hyperlink w:anchor="_bookmark1412" w:history="1">
        <w:r>
          <w:rPr>
            <w:vertAlign w:val="superscript"/>
          </w:rPr>
          <w:t>1217</w:t>
        </w:r>
      </w:hyperlink>
      <w:r>
        <w:rPr>
          <w:spacing w:val="-11"/>
        </w:rPr>
        <w:t xml:space="preserve"> </w:t>
      </w:r>
      <w:r>
        <w:t>China</w:t>
      </w:r>
      <w:r>
        <w:rPr>
          <w:spacing w:val="-12"/>
        </w:rPr>
        <w:t xml:space="preserve"> </w:t>
      </w:r>
      <w:r>
        <w:t>says</w:t>
      </w:r>
      <w:r>
        <w:rPr>
          <w:spacing w:val="-10"/>
        </w:rPr>
        <w:t xml:space="preserve"> </w:t>
      </w:r>
      <w:r>
        <w:t>that</w:t>
      </w:r>
      <w:r>
        <w:rPr>
          <w:spacing w:val="-11"/>
        </w:rPr>
        <w:t xml:space="preserve"> </w:t>
      </w:r>
      <w:r>
        <w:t>this</w:t>
      </w:r>
      <w:r>
        <w:rPr>
          <w:spacing w:val="-10"/>
        </w:rPr>
        <w:t xml:space="preserve"> </w:t>
      </w:r>
      <w:r>
        <w:t>is</w:t>
      </w:r>
      <w:r>
        <w:rPr>
          <w:spacing w:val="-10"/>
        </w:rPr>
        <w:t xml:space="preserve"> </w:t>
      </w:r>
      <w:r>
        <w:t>"readily</w:t>
      </w:r>
      <w:r>
        <w:rPr>
          <w:spacing w:val="-11"/>
        </w:rPr>
        <w:t xml:space="preserve"> </w:t>
      </w:r>
      <w:r>
        <w:t>apparent</w:t>
      </w:r>
      <w:r>
        <w:rPr>
          <w:spacing w:val="-11"/>
        </w:rPr>
        <w:t xml:space="preserve"> </w:t>
      </w:r>
      <w:r>
        <w:t>from</w:t>
      </w:r>
      <w:r>
        <w:rPr>
          <w:spacing w:val="-12"/>
        </w:rPr>
        <w:t xml:space="preserve"> </w:t>
      </w:r>
      <w:r>
        <w:t>the investigation case-file" because these financial "reports were part of the record in Annex XIII to [CADA's] application".</w:t>
      </w:r>
      <w:hyperlink w:anchor="_bookmark1413" w:history="1">
        <w:r>
          <w:rPr>
            <w:vertAlign w:val="superscript"/>
          </w:rPr>
          <w:t>1218</w:t>
        </w:r>
      </w:hyperlink>
    </w:p>
    <w:p w14:paraId="2614E15C" w14:textId="77777777" w:rsidR="00BD462C" w:rsidRDefault="00BD462C">
      <w:pPr>
        <w:pStyle w:val="BodyText"/>
        <w:spacing w:before="11"/>
        <w:rPr>
          <w:sz w:val="8"/>
        </w:rPr>
      </w:pPr>
    </w:p>
    <w:p w14:paraId="0A163BA0" w14:textId="52CF56DC" w:rsidR="00BD462C" w:rsidRDefault="005F4A68">
      <w:pPr>
        <w:pStyle w:val="BodyText"/>
        <w:spacing w:before="56" w:line="360" w:lineRule="auto"/>
        <w:ind w:left="136" w:right="913"/>
        <w:jc w:val="both"/>
      </w:pPr>
      <w:r>
        <w:rPr>
          <w:noProof/>
        </w:rPr>
        <w:t>821.</w:t>
      </w:r>
      <w:r w:rsidR="00033D0F">
        <w:rPr>
          <w:rFonts w:ascii="Times New Roman"/>
          <w:spacing w:val="80"/>
          <w:position w:val="1"/>
          <w:sz w:val="20"/>
        </w:rPr>
        <w:t xml:space="preserve"> </w:t>
      </w:r>
      <w:r w:rsidR="00033D0F">
        <w:rPr>
          <w:position w:val="1"/>
        </w:rPr>
        <w:t xml:space="preserve">The Panel will recall that in oral exchanges at the first substantive meeting Australia </w:t>
      </w:r>
      <w:r w:rsidR="00033D0F">
        <w:t>observed</w:t>
      </w:r>
      <w:r w:rsidR="00033D0F">
        <w:rPr>
          <w:spacing w:val="-14"/>
        </w:rPr>
        <w:t xml:space="preserve"> </w:t>
      </w:r>
      <w:r w:rsidR="00033D0F">
        <w:t>that,</w:t>
      </w:r>
      <w:r w:rsidR="00033D0F">
        <w:rPr>
          <w:spacing w:val="-14"/>
        </w:rPr>
        <w:t xml:space="preserve"> </w:t>
      </w:r>
      <w:r w:rsidR="00033D0F">
        <w:t>even</w:t>
      </w:r>
      <w:r w:rsidR="00033D0F">
        <w:rPr>
          <w:spacing w:val="-13"/>
        </w:rPr>
        <w:t xml:space="preserve"> </w:t>
      </w:r>
      <w:r w:rsidR="00033D0F">
        <w:t>if</w:t>
      </w:r>
      <w:r w:rsidR="00033D0F">
        <w:rPr>
          <w:spacing w:val="-14"/>
        </w:rPr>
        <w:t xml:space="preserve"> </w:t>
      </w:r>
      <w:r w:rsidR="00033D0F">
        <w:t>this</w:t>
      </w:r>
      <w:r w:rsidR="00033D0F">
        <w:rPr>
          <w:spacing w:val="-11"/>
        </w:rPr>
        <w:t xml:space="preserve"> </w:t>
      </w:r>
      <w:r w:rsidR="00033D0F">
        <w:rPr>
          <w:i/>
        </w:rPr>
        <w:t>ex</w:t>
      </w:r>
      <w:r w:rsidR="00033D0F">
        <w:rPr>
          <w:i/>
          <w:spacing w:val="-12"/>
        </w:rPr>
        <w:t xml:space="preserve"> </w:t>
      </w:r>
      <w:r w:rsidR="00033D0F">
        <w:rPr>
          <w:i/>
        </w:rPr>
        <w:t>post</w:t>
      </w:r>
      <w:r w:rsidR="00033D0F">
        <w:rPr>
          <w:i/>
          <w:spacing w:val="-12"/>
        </w:rPr>
        <w:t xml:space="preserve"> </w:t>
      </w:r>
      <w:r w:rsidR="00033D0F">
        <w:rPr>
          <w:i/>
        </w:rPr>
        <w:t>facto</w:t>
      </w:r>
      <w:r w:rsidR="00033D0F">
        <w:rPr>
          <w:i/>
          <w:spacing w:val="-12"/>
        </w:rPr>
        <w:t xml:space="preserve"> </w:t>
      </w:r>
      <w:r w:rsidR="00033D0F">
        <w:t>justification</w:t>
      </w:r>
      <w:r w:rsidR="00033D0F">
        <w:rPr>
          <w:spacing w:val="-14"/>
        </w:rPr>
        <w:t xml:space="preserve"> </w:t>
      </w:r>
      <w:r w:rsidR="00033D0F">
        <w:t>could</w:t>
      </w:r>
      <w:r w:rsidR="00033D0F">
        <w:rPr>
          <w:spacing w:val="-14"/>
        </w:rPr>
        <w:t xml:space="preserve"> </w:t>
      </w:r>
      <w:r w:rsidR="00033D0F">
        <w:t>be</w:t>
      </w:r>
      <w:r w:rsidR="00033D0F">
        <w:rPr>
          <w:spacing w:val="-12"/>
        </w:rPr>
        <w:t xml:space="preserve"> </w:t>
      </w:r>
      <w:r w:rsidR="00033D0F">
        <w:t>accepted,</w:t>
      </w:r>
      <w:r w:rsidR="00033D0F">
        <w:rPr>
          <w:spacing w:val="-11"/>
        </w:rPr>
        <w:t xml:space="preserve"> </w:t>
      </w:r>
      <w:r w:rsidR="00033D0F">
        <w:t>the</w:t>
      </w:r>
      <w:r w:rsidR="00033D0F">
        <w:rPr>
          <w:spacing w:val="-13"/>
        </w:rPr>
        <w:t xml:space="preserve"> </w:t>
      </w:r>
      <w:r w:rsidR="00033D0F">
        <w:t>material</w:t>
      </w:r>
      <w:r w:rsidR="00033D0F">
        <w:rPr>
          <w:spacing w:val="-11"/>
        </w:rPr>
        <w:t xml:space="preserve"> </w:t>
      </w:r>
      <w:r w:rsidR="00033D0F">
        <w:t>contained in</w:t>
      </w:r>
      <w:r w:rsidR="00033D0F">
        <w:rPr>
          <w:spacing w:val="-3"/>
        </w:rPr>
        <w:t xml:space="preserve"> </w:t>
      </w:r>
      <w:r w:rsidR="00033D0F">
        <w:t>CADA's application</w:t>
      </w:r>
      <w:r w:rsidR="00033D0F">
        <w:rPr>
          <w:spacing w:val="-3"/>
        </w:rPr>
        <w:t xml:space="preserve"> </w:t>
      </w:r>
      <w:r w:rsidR="00033D0F">
        <w:t>was limited</w:t>
      </w:r>
      <w:r w:rsidR="00033D0F">
        <w:rPr>
          <w:spacing w:val="-3"/>
        </w:rPr>
        <w:t xml:space="preserve"> </w:t>
      </w:r>
      <w:r w:rsidR="00033D0F">
        <w:t>to</w:t>
      </w:r>
      <w:r w:rsidR="00033D0F">
        <w:rPr>
          <w:spacing w:val="-4"/>
        </w:rPr>
        <w:t xml:space="preserve"> </w:t>
      </w:r>
      <w:r w:rsidR="00033D0F">
        <w:t>extracts of financial reports of at most</w:t>
      </w:r>
      <w:r w:rsidR="00033D0F">
        <w:rPr>
          <w:spacing w:val="-1"/>
        </w:rPr>
        <w:t xml:space="preserve"> </w:t>
      </w:r>
      <w:r w:rsidR="00033D0F">
        <w:t>three companies. China responded that it considered those extracts relatively complete, but otherwise made no claim that MOFCOM used any other information.</w:t>
      </w:r>
    </w:p>
    <w:p w14:paraId="11FA1B41" w14:textId="77777777" w:rsidR="00BD462C" w:rsidRDefault="00BD462C">
      <w:pPr>
        <w:pStyle w:val="BodyText"/>
        <w:spacing w:before="6"/>
        <w:rPr>
          <w:sz w:val="8"/>
        </w:rPr>
      </w:pPr>
    </w:p>
    <w:p w14:paraId="42F453F2" w14:textId="2FD1A676" w:rsidR="00BD462C" w:rsidRDefault="005F4A68">
      <w:pPr>
        <w:pStyle w:val="BodyText"/>
        <w:spacing w:before="56" w:line="357" w:lineRule="auto"/>
        <w:ind w:left="136" w:right="916"/>
        <w:jc w:val="both"/>
      </w:pPr>
      <w:r>
        <w:rPr>
          <w:noProof/>
        </w:rPr>
        <w:t>822.</w:t>
      </w:r>
      <w:r w:rsidR="00033D0F">
        <w:rPr>
          <w:rFonts w:ascii="Times New Roman"/>
          <w:spacing w:val="40"/>
          <w:position w:val="1"/>
          <w:sz w:val="20"/>
        </w:rPr>
        <w:t xml:space="preserve"> </w:t>
      </w:r>
      <w:r w:rsidR="00033D0F">
        <w:rPr>
          <w:position w:val="1"/>
        </w:rPr>
        <w:t xml:space="preserve">China's position then changed markedly in its written responses to the Panel's </w:t>
      </w:r>
      <w:r w:rsidR="00033D0F">
        <w:t xml:space="preserve">questions following the first substantive meeting. China now asserts that MOFCOM </w:t>
      </w:r>
      <w:r w:rsidR="00033D0F">
        <w:rPr>
          <w:i/>
        </w:rPr>
        <w:t xml:space="preserve">did not </w:t>
      </w:r>
      <w:r w:rsidR="00033D0F">
        <w:t>rely upon the extracted financial reports attached to CADA's application, but rather used the complete financial reports of three companies for the periods 2015-2019, which MOFCOM apparently obtained from public sources, but which were not included on MOFCOM's investigation record.</w:t>
      </w:r>
      <w:hyperlink w:anchor="_bookmark1414" w:history="1">
        <w:r w:rsidR="00033D0F">
          <w:rPr>
            <w:vertAlign w:val="superscript"/>
          </w:rPr>
          <w:t>1219</w:t>
        </w:r>
      </w:hyperlink>
    </w:p>
    <w:p w14:paraId="324541C2" w14:textId="77777777" w:rsidR="00BD462C" w:rsidRDefault="00BD462C">
      <w:pPr>
        <w:pStyle w:val="BodyText"/>
        <w:spacing w:before="9"/>
        <w:rPr>
          <w:sz w:val="9"/>
        </w:rPr>
      </w:pPr>
    </w:p>
    <w:p w14:paraId="25F876F6" w14:textId="7A7C9719" w:rsidR="00BD462C" w:rsidRDefault="005F4A68">
      <w:pPr>
        <w:pStyle w:val="BodyText"/>
        <w:spacing w:before="56" w:line="360" w:lineRule="auto"/>
        <w:ind w:left="136" w:right="913"/>
        <w:jc w:val="both"/>
      </w:pPr>
      <w:r>
        <w:rPr>
          <w:noProof/>
        </w:rPr>
        <w:t>823.</w:t>
      </w:r>
      <w:r w:rsidR="00033D0F">
        <w:rPr>
          <w:rFonts w:ascii="Times New Roman"/>
          <w:spacing w:val="40"/>
          <w:position w:val="1"/>
          <w:sz w:val="20"/>
        </w:rPr>
        <w:t xml:space="preserve">  </w:t>
      </w:r>
      <w:r w:rsidR="00033D0F">
        <w:rPr>
          <w:position w:val="1"/>
        </w:rPr>
        <w:t xml:space="preserve">Neither the additional checks that China claims were conducted in its first written </w:t>
      </w:r>
      <w:r w:rsidR="00033D0F">
        <w:t>submission</w:t>
      </w:r>
      <w:r w:rsidR="00033D0F">
        <w:rPr>
          <w:spacing w:val="-14"/>
        </w:rPr>
        <w:t xml:space="preserve"> </w:t>
      </w:r>
      <w:r w:rsidR="00033D0F">
        <w:t>and</w:t>
      </w:r>
      <w:r w:rsidR="00033D0F">
        <w:rPr>
          <w:spacing w:val="-9"/>
        </w:rPr>
        <w:t xml:space="preserve"> </w:t>
      </w:r>
      <w:r w:rsidR="00033D0F">
        <w:t>at</w:t>
      </w:r>
      <w:r w:rsidR="00033D0F">
        <w:rPr>
          <w:spacing w:val="-11"/>
        </w:rPr>
        <w:t xml:space="preserve"> </w:t>
      </w:r>
      <w:r w:rsidR="00033D0F">
        <w:t>the</w:t>
      </w:r>
      <w:r w:rsidR="00033D0F">
        <w:rPr>
          <w:spacing w:val="-7"/>
        </w:rPr>
        <w:t xml:space="preserve"> </w:t>
      </w:r>
      <w:r w:rsidR="00033D0F">
        <w:t>first</w:t>
      </w:r>
      <w:r w:rsidR="00033D0F">
        <w:rPr>
          <w:spacing w:val="-11"/>
        </w:rPr>
        <w:t xml:space="preserve"> </w:t>
      </w:r>
      <w:r w:rsidR="00033D0F">
        <w:t>substantive</w:t>
      </w:r>
      <w:r w:rsidR="00033D0F">
        <w:rPr>
          <w:spacing w:val="-12"/>
        </w:rPr>
        <w:t xml:space="preserve"> </w:t>
      </w:r>
      <w:r w:rsidR="00033D0F">
        <w:t>meeting,</w:t>
      </w:r>
      <w:r w:rsidR="00033D0F">
        <w:rPr>
          <w:spacing w:val="-10"/>
        </w:rPr>
        <w:t xml:space="preserve"> </w:t>
      </w:r>
      <w:r w:rsidR="00033D0F">
        <w:t>nor</w:t>
      </w:r>
      <w:r w:rsidR="00033D0F">
        <w:rPr>
          <w:spacing w:val="-14"/>
        </w:rPr>
        <w:t xml:space="preserve"> </w:t>
      </w:r>
      <w:r w:rsidR="00033D0F">
        <w:t>the</w:t>
      </w:r>
      <w:r w:rsidR="00033D0F">
        <w:rPr>
          <w:spacing w:val="-6"/>
        </w:rPr>
        <w:t xml:space="preserve"> </w:t>
      </w:r>
      <w:r w:rsidR="00033D0F">
        <w:t>alternative</w:t>
      </w:r>
      <w:r w:rsidR="00033D0F">
        <w:rPr>
          <w:spacing w:val="-12"/>
        </w:rPr>
        <w:t xml:space="preserve"> </w:t>
      </w:r>
      <w:r w:rsidR="00033D0F">
        <w:t>or</w:t>
      </w:r>
      <w:r w:rsidR="00033D0F">
        <w:rPr>
          <w:spacing w:val="-10"/>
        </w:rPr>
        <w:t xml:space="preserve"> </w:t>
      </w:r>
      <w:r w:rsidR="00033D0F">
        <w:t>additional</w:t>
      </w:r>
      <w:r w:rsidR="00033D0F">
        <w:rPr>
          <w:spacing w:val="-10"/>
        </w:rPr>
        <w:t xml:space="preserve"> </w:t>
      </w:r>
      <w:r w:rsidR="00033D0F">
        <w:t>checks</w:t>
      </w:r>
      <w:r w:rsidR="00033D0F">
        <w:rPr>
          <w:spacing w:val="-10"/>
        </w:rPr>
        <w:t xml:space="preserve"> </w:t>
      </w:r>
      <w:r w:rsidR="00033D0F">
        <w:t>China claims were conducted in its written responses to the Panel's questions, are referred to anywhere in the investigation record. It is entirely implausible that MOFCOM would have omitted</w:t>
      </w:r>
      <w:r w:rsidR="00033D0F">
        <w:rPr>
          <w:spacing w:val="-3"/>
        </w:rPr>
        <w:t xml:space="preserve"> </w:t>
      </w:r>
      <w:r w:rsidR="00033D0F">
        <w:t>this apparently detailed</w:t>
      </w:r>
      <w:r w:rsidR="00033D0F">
        <w:rPr>
          <w:spacing w:val="-3"/>
        </w:rPr>
        <w:t xml:space="preserve"> </w:t>
      </w:r>
      <w:r w:rsidR="00033D0F">
        <w:t>process of</w:t>
      </w:r>
      <w:r w:rsidR="00033D0F">
        <w:rPr>
          <w:spacing w:val="-3"/>
        </w:rPr>
        <w:t xml:space="preserve"> </w:t>
      </w:r>
      <w:r w:rsidR="00033D0F">
        <w:t>gathering and reviewing information from</w:t>
      </w:r>
      <w:r w:rsidR="00033D0F">
        <w:rPr>
          <w:spacing w:val="-2"/>
        </w:rPr>
        <w:t xml:space="preserve"> </w:t>
      </w:r>
      <w:r w:rsidR="00033D0F">
        <w:t xml:space="preserve">a Final Determination that contained a section </w:t>
      </w:r>
      <w:r w:rsidR="00033D0F">
        <w:rPr>
          <w:i/>
        </w:rPr>
        <w:t xml:space="preserve">specifically dedicated </w:t>
      </w:r>
      <w:r w:rsidR="00033D0F">
        <w:t xml:space="preserve">to describing the steps it had taken to satisfy itself of the accuracy of the information. China's explanations are a transparently </w:t>
      </w:r>
      <w:r w:rsidR="00033D0F">
        <w:rPr>
          <w:i/>
        </w:rPr>
        <w:t xml:space="preserve">ex post facto </w:t>
      </w:r>
      <w:r w:rsidR="00033D0F">
        <w:t>account that has no connection with the record.</w:t>
      </w:r>
    </w:p>
    <w:p w14:paraId="47F879C8" w14:textId="77777777" w:rsidR="00BD462C" w:rsidRDefault="00BD462C">
      <w:pPr>
        <w:pStyle w:val="BodyText"/>
        <w:spacing w:before="7"/>
        <w:rPr>
          <w:sz w:val="8"/>
        </w:rPr>
      </w:pPr>
    </w:p>
    <w:p w14:paraId="2264D343" w14:textId="5C580226" w:rsidR="00BD462C" w:rsidRDefault="005F4A68">
      <w:pPr>
        <w:pStyle w:val="BodyText"/>
        <w:spacing w:before="56" w:line="360" w:lineRule="auto"/>
        <w:ind w:left="136" w:right="909"/>
        <w:jc w:val="both"/>
      </w:pPr>
      <w:r>
        <w:rPr>
          <w:noProof/>
        </w:rPr>
        <w:t>824.</w:t>
      </w:r>
      <w:r w:rsidR="00033D0F">
        <w:rPr>
          <w:rFonts w:ascii="Times New Roman"/>
          <w:spacing w:val="40"/>
          <w:position w:val="1"/>
          <w:sz w:val="20"/>
        </w:rPr>
        <w:t xml:space="preserve">  </w:t>
      </w:r>
      <w:r w:rsidR="00033D0F">
        <w:rPr>
          <w:position w:val="1"/>
        </w:rPr>
        <w:t xml:space="preserve">In this context, China's serious allegation in first written submission that Australia </w:t>
      </w:r>
      <w:r w:rsidR="00033D0F">
        <w:t>"deliberately choses to ignore the actual facts on the record" in respect of this claim is baseless.</w:t>
      </w:r>
      <w:hyperlink w:anchor="_bookmark1415" w:history="1">
        <w:r w:rsidR="00033D0F">
          <w:rPr>
            <w:vertAlign w:val="superscript"/>
          </w:rPr>
          <w:t>1220</w:t>
        </w:r>
      </w:hyperlink>
      <w:r w:rsidR="00033D0F">
        <w:rPr>
          <w:spacing w:val="20"/>
        </w:rPr>
        <w:t xml:space="preserve"> </w:t>
      </w:r>
      <w:r w:rsidR="00033D0F">
        <w:t>China's</w:t>
      </w:r>
      <w:r w:rsidR="00033D0F">
        <w:rPr>
          <w:spacing w:val="-11"/>
        </w:rPr>
        <w:t xml:space="preserve"> </w:t>
      </w:r>
      <w:r w:rsidR="00033D0F">
        <w:t>response</w:t>
      </w:r>
      <w:r w:rsidR="00033D0F">
        <w:rPr>
          <w:spacing w:val="-13"/>
        </w:rPr>
        <w:t xml:space="preserve"> </w:t>
      </w:r>
      <w:r w:rsidR="00033D0F">
        <w:t>to</w:t>
      </w:r>
      <w:r w:rsidR="00033D0F">
        <w:rPr>
          <w:spacing w:val="-14"/>
        </w:rPr>
        <w:t xml:space="preserve"> </w:t>
      </w:r>
      <w:r w:rsidR="00033D0F">
        <w:t>Australia's</w:t>
      </w:r>
      <w:r w:rsidR="00033D0F">
        <w:rPr>
          <w:spacing w:val="-11"/>
        </w:rPr>
        <w:t xml:space="preserve"> </w:t>
      </w:r>
      <w:r w:rsidR="00033D0F">
        <w:t>arguments</w:t>
      </w:r>
      <w:r w:rsidR="00033D0F">
        <w:rPr>
          <w:spacing w:val="-11"/>
        </w:rPr>
        <w:t xml:space="preserve"> </w:t>
      </w:r>
      <w:r w:rsidR="00033D0F">
        <w:t>relies</w:t>
      </w:r>
      <w:r w:rsidR="00033D0F">
        <w:rPr>
          <w:spacing w:val="-11"/>
        </w:rPr>
        <w:t xml:space="preserve"> </w:t>
      </w:r>
      <w:r w:rsidR="00033D0F">
        <w:t>entirely</w:t>
      </w:r>
      <w:r w:rsidR="00033D0F">
        <w:rPr>
          <w:spacing w:val="-12"/>
        </w:rPr>
        <w:t xml:space="preserve"> </w:t>
      </w:r>
      <w:r w:rsidR="00033D0F">
        <w:t>on</w:t>
      </w:r>
      <w:r w:rsidR="00033D0F">
        <w:rPr>
          <w:spacing w:val="-14"/>
        </w:rPr>
        <w:t xml:space="preserve"> </w:t>
      </w:r>
      <w:r w:rsidR="00033D0F">
        <w:t>a</w:t>
      </w:r>
      <w:r w:rsidR="00033D0F">
        <w:rPr>
          <w:spacing w:val="-14"/>
        </w:rPr>
        <w:t xml:space="preserve"> </w:t>
      </w:r>
      <w:r w:rsidR="00033D0F">
        <w:t>series</w:t>
      </w:r>
      <w:r w:rsidR="00033D0F">
        <w:rPr>
          <w:spacing w:val="-13"/>
        </w:rPr>
        <w:t xml:space="preserve"> </w:t>
      </w:r>
      <w:r w:rsidR="00033D0F">
        <w:t>of</w:t>
      </w:r>
      <w:r w:rsidR="00033D0F">
        <w:rPr>
          <w:spacing w:val="-14"/>
        </w:rPr>
        <w:t xml:space="preserve"> </w:t>
      </w:r>
      <w:r w:rsidR="00033D0F">
        <w:t>assertions, which</w:t>
      </w:r>
      <w:r w:rsidR="00033D0F">
        <w:rPr>
          <w:spacing w:val="40"/>
        </w:rPr>
        <w:t xml:space="preserve"> </w:t>
      </w:r>
      <w:r w:rsidR="00033D0F">
        <w:t>have</w:t>
      </w:r>
      <w:r w:rsidR="00033D0F">
        <w:rPr>
          <w:spacing w:val="40"/>
        </w:rPr>
        <w:t xml:space="preserve"> </w:t>
      </w:r>
      <w:r w:rsidR="00033D0F">
        <w:t>changed</w:t>
      </w:r>
      <w:r w:rsidR="00033D0F">
        <w:rPr>
          <w:spacing w:val="40"/>
        </w:rPr>
        <w:t xml:space="preserve"> </w:t>
      </w:r>
      <w:r w:rsidR="00033D0F">
        <w:t>over</w:t>
      </w:r>
      <w:r w:rsidR="00033D0F">
        <w:rPr>
          <w:spacing w:val="40"/>
        </w:rPr>
        <w:t xml:space="preserve"> </w:t>
      </w:r>
      <w:r w:rsidR="00033D0F">
        <w:t>the</w:t>
      </w:r>
      <w:r w:rsidR="00033D0F">
        <w:rPr>
          <w:spacing w:val="40"/>
        </w:rPr>
        <w:t xml:space="preserve"> </w:t>
      </w:r>
      <w:r w:rsidR="00033D0F">
        <w:t>course</w:t>
      </w:r>
      <w:r w:rsidR="00033D0F">
        <w:rPr>
          <w:spacing w:val="40"/>
        </w:rPr>
        <w:t xml:space="preserve"> </w:t>
      </w:r>
      <w:r w:rsidR="00033D0F">
        <w:t>of</w:t>
      </w:r>
      <w:r w:rsidR="00033D0F">
        <w:rPr>
          <w:spacing w:val="40"/>
        </w:rPr>
        <w:t xml:space="preserve"> </w:t>
      </w:r>
      <w:r w:rsidR="00033D0F">
        <w:t>the</w:t>
      </w:r>
      <w:r w:rsidR="00033D0F">
        <w:rPr>
          <w:spacing w:val="40"/>
        </w:rPr>
        <w:t xml:space="preserve"> </w:t>
      </w:r>
      <w:r w:rsidR="00033D0F">
        <w:t>proceeding,</w:t>
      </w:r>
      <w:r w:rsidR="00033D0F">
        <w:rPr>
          <w:spacing w:val="40"/>
        </w:rPr>
        <w:t xml:space="preserve"> </w:t>
      </w:r>
      <w:r w:rsidR="00033D0F">
        <w:t>about</w:t>
      </w:r>
      <w:r w:rsidR="00033D0F">
        <w:rPr>
          <w:spacing w:val="40"/>
        </w:rPr>
        <w:t xml:space="preserve"> </w:t>
      </w:r>
      <w:r w:rsidR="00033D0F">
        <w:t>alleged</w:t>
      </w:r>
      <w:r w:rsidR="00033D0F">
        <w:rPr>
          <w:spacing w:val="40"/>
        </w:rPr>
        <w:t xml:space="preserve"> </w:t>
      </w:r>
      <w:r w:rsidR="00033D0F">
        <w:t>actions</w:t>
      </w:r>
      <w:r w:rsidR="00033D0F">
        <w:rPr>
          <w:spacing w:val="40"/>
        </w:rPr>
        <w:t xml:space="preserve"> </w:t>
      </w:r>
      <w:r w:rsidR="00033D0F">
        <w:t>taken</w:t>
      </w:r>
      <w:r w:rsidR="00033D0F">
        <w:rPr>
          <w:spacing w:val="40"/>
        </w:rPr>
        <w:t xml:space="preserve"> </w:t>
      </w:r>
      <w:r w:rsidR="00033D0F">
        <w:t>by</w:t>
      </w:r>
    </w:p>
    <w:p w14:paraId="11097082" w14:textId="77777777" w:rsidR="00BD462C" w:rsidRDefault="00BD462C">
      <w:pPr>
        <w:pStyle w:val="BodyText"/>
        <w:rPr>
          <w:sz w:val="20"/>
        </w:rPr>
      </w:pPr>
    </w:p>
    <w:p w14:paraId="322DE36D" w14:textId="77777777" w:rsidR="00BD462C" w:rsidRDefault="00BD462C">
      <w:pPr>
        <w:pStyle w:val="BodyText"/>
        <w:rPr>
          <w:sz w:val="20"/>
        </w:rPr>
      </w:pPr>
    </w:p>
    <w:p w14:paraId="257A88EB" w14:textId="14D95D01" w:rsidR="00BD462C" w:rsidRDefault="00D70C7D">
      <w:pPr>
        <w:pStyle w:val="BodyText"/>
        <w:spacing w:before="6"/>
        <w:rPr>
          <w:sz w:val="10"/>
        </w:rPr>
      </w:pPr>
      <w:r>
        <w:rPr>
          <w:noProof/>
        </w:rPr>
        <mc:AlternateContent>
          <mc:Choice Requires="wps">
            <w:drawing>
              <wp:anchor distT="0" distB="0" distL="0" distR="0" simplePos="0" relativeHeight="487853056" behindDoc="1" locked="0" layoutInCell="1" allowOverlap="1" wp14:anchorId="695187F6" wp14:editId="024DBC89">
                <wp:simplePos x="0" y="0"/>
                <wp:positionH relativeFrom="page">
                  <wp:posOffset>899160</wp:posOffset>
                </wp:positionH>
                <wp:positionV relativeFrom="paragraph">
                  <wp:posOffset>97155</wp:posOffset>
                </wp:positionV>
                <wp:extent cx="1828800" cy="8890"/>
                <wp:effectExtent l="0" t="0" r="0" b="0"/>
                <wp:wrapTopAndBottom/>
                <wp:docPr id="306" name="docshape5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ACD2AF" id="docshape569" o:spid="_x0000_s1026" alt="&quot;&quot;" style="position:absolute;margin-left:70.8pt;margin-top:7.65pt;width:2in;height:.7pt;z-index:-1546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" fillcolor="black" stroked="f">
                <w10:wrap type="topAndBottom" anchorx="page"/>
              </v:rect>
            </w:pict>
          </mc:Fallback>
        </mc:AlternateContent>
      </w:r>
    </w:p>
    <w:p w14:paraId="68E35B50" w14:textId="77777777" w:rsidR="00BD462C" w:rsidRDefault="00033D0F">
      <w:pPr>
        <w:spacing w:before="112"/>
        <w:ind w:left="135"/>
        <w:rPr>
          <w:sz w:val="18"/>
        </w:rPr>
      </w:pPr>
      <w:bookmarkStart w:id="1640" w:name="_bookmark1412"/>
      <w:bookmarkEnd w:id="1640"/>
      <w:r>
        <w:rPr>
          <w:position w:val="5"/>
          <w:sz w:val="12"/>
        </w:rPr>
        <w:t>1217</w:t>
      </w:r>
      <w:r>
        <w:rPr>
          <w:spacing w:val="13"/>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 xml:space="preserve">para. </w:t>
      </w:r>
      <w:r>
        <w:rPr>
          <w:spacing w:val="-2"/>
          <w:sz w:val="18"/>
        </w:rPr>
        <w:t>2429.</w:t>
      </w:r>
    </w:p>
    <w:p w14:paraId="7532F1E3" w14:textId="77777777" w:rsidR="00BD462C" w:rsidRDefault="00033D0F">
      <w:pPr>
        <w:spacing w:before="1"/>
        <w:ind w:left="135"/>
        <w:rPr>
          <w:sz w:val="18"/>
        </w:rPr>
      </w:pPr>
      <w:bookmarkStart w:id="1641" w:name="_bookmark1413"/>
      <w:bookmarkEnd w:id="1641"/>
      <w:r>
        <w:rPr>
          <w:position w:val="5"/>
          <w:sz w:val="12"/>
        </w:rPr>
        <w:t>1218</w:t>
      </w:r>
      <w:r>
        <w:rPr>
          <w:spacing w:val="13"/>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 xml:space="preserve">para. </w:t>
      </w:r>
      <w:r>
        <w:rPr>
          <w:spacing w:val="-2"/>
          <w:sz w:val="18"/>
        </w:rPr>
        <w:t>2430.</w:t>
      </w:r>
    </w:p>
    <w:p w14:paraId="3E768BE6" w14:textId="77777777" w:rsidR="00BD462C" w:rsidRDefault="00033D0F">
      <w:pPr>
        <w:spacing w:before="1"/>
        <w:ind w:left="135"/>
        <w:rPr>
          <w:sz w:val="18"/>
        </w:rPr>
      </w:pPr>
      <w:bookmarkStart w:id="1642" w:name="_bookmark1414"/>
      <w:bookmarkEnd w:id="1642"/>
      <w:r>
        <w:rPr>
          <w:position w:val="5"/>
          <w:sz w:val="12"/>
        </w:rPr>
        <w:t>1219</w:t>
      </w:r>
      <w:r>
        <w:rPr>
          <w:spacing w:val="13"/>
          <w:position w:val="5"/>
          <w:sz w:val="12"/>
        </w:rPr>
        <w:t xml:space="preserve"> </w:t>
      </w:r>
      <w:r>
        <w:rPr>
          <w:sz w:val="18"/>
        </w:rPr>
        <w:t>China's response</w:t>
      </w:r>
      <w:r>
        <w:rPr>
          <w:spacing w:val="-5"/>
          <w:sz w:val="18"/>
        </w:rPr>
        <w:t xml:space="preserve"> </w:t>
      </w:r>
      <w:r>
        <w:rPr>
          <w:sz w:val="18"/>
        </w:rPr>
        <w:t>to</w:t>
      </w:r>
      <w:r>
        <w:rPr>
          <w:spacing w:val="-10"/>
          <w:sz w:val="18"/>
        </w:rPr>
        <w:t xml:space="preserve"> </w:t>
      </w:r>
      <w:r>
        <w:rPr>
          <w:sz w:val="18"/>
        </w:rPr>
        <w:t>Panel</w:t>
      </w:r>
      <w:r>
        <w:rPr>
          <w:spacing w:val="-4"/>
          <w:sz w:val="18"/>
        </w:rPr>
        <w:t xml:space="preserve"> </w:t>
      </w:r>
      <w:r>
        <w:rPr>
          <w:sz w:val="18"/>
        </w:rPr>
        <w:t>question</w:t>
      </w:r>
      <w:r>
        <w:rPr>
          <w:spacing w:val="-6"/>
          <w:sz w:val="18"/>
        </w:rPr>
        <w:t xml:space="preserve"> </w:t>
      </w:r>
      <w:r>
        <w:rPr>
          <w:sz w:val="18"/>
        </w:rPr>
        <w:t>No.</w:t>
      </w:r>
      <w:r>
        <w:rPr>
          <w:spacing w:val="1"/>
          <w:sz w:val="18"/>
        </w:rPr>
        <w:t xml:space="preserve"> </w:t>
      </w:r>
      <w:r>
        <w:rPr>
          <w:sz w:val="18"/>
        </w:rPr>
        <w:t>59,</w:t>
      </w:r>
      <w:r>
        <w:rPr>
          <w:spacing w:val="-3"/>
          <w:sz w:val="18"/>
        </w:rPr>
        <w:t xml:space="preserve"> </w:t>
      </w:r>
      <w:r>
        <w:rPr>
          <w:sz w:val="18"/>
        </w:rPr>
        <w:t>paras.</w:t>
      </w:r>
      <w:r>
        <w:rPr>
          <w:spacing w:val="1"/>
          <w:sz w:val="18"/>
        </w:rPr>
        <w:t xml:space="preserve"> </w:t>
      </w:r>
      <w:r>
        <w:rPr>
          <w:sz w:val="18"/>
        </w:rPr>
        <w:t>354-</w:t>
      </w:r>
      <w:r>
        <w:rPr>
          <w:spacing w:val="-4"/>
          <w:sz w:val="18"/>
        </w:rPr>
        <w:t>356.</w:t>
      </w:r>
    </w:p>
    <w:p w14:paraId="64E1C8E6" w14:textId="77777777" w:rsidR="00BD462C" w:rsidRDefault="00033D0F">
      <w:pPr>
        <w:spacing w:before="1"/>
        <w:ind w:left="135"/>
        <w:rPr>
          <w:sz w:val="18"/>
        </w:rPr>
      </w:pPr>
      <w:bookmarkStart w:id="1643" w:name="_bookmark1415"/>
      <w:bookmarkEnd w:id="1643"/>
      <w:r>
        <w:rPr>
          <w:position w:val="5"/>
          <w:sz w:val="12"/>
        </w:rPr>
        <w:t>1220</w:t>
      </w:r>
      <w:r>
        <w:rPr>
          <w:spacing w:val="13"/>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 xml:space="preserve">para. </w:t>
      </w:r>
      <w:r>
        <w:rPr>
          <w:spacing w:val="-2"/>
          <w:sz w:val="18"/>
        </w:rPr>
        <w:t>2428.</w:t>
      </w:r>
    </w:p>
    <w:p w14:paraId="44E5114C" w14:textId="77777777" w:rsidR="00BD462C" w:rsidRDefault="00BD462C">
      <w:pPr>
        <w:rPr>
          <w:sz w:val="18"/>
        </w:rPr>
        <w:sectPr w:rsidR="00BD462C">
          <w:pgSz w:w="11910" w:h="16840"/>
          <w:pgMar w:top="860" w:right="500" w:bottom="780" w:left="1280" w:header="566" w:footer="590" w:gutter="0"/>
          <w:cols w:space="720"/>
        </w:sectPr>
      </w:pPr>
    </w:p>
    <w:p w14:paraId="22D5601C"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6ED4E14B"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77D3F341"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1927EBF1" w14:textId="77777777" w:rsidR="00BD462C" w:rsidRDefault="00033D0F">
      <w:pPr>
        <w:pStyle w:val="BodyText"/>
        <w:spacing w:before="102" w:line="357" w:lineRule="auto"/>
        <w:ind w:left="135" w:right="923"/>
      </w:pPr>
      <w:r>
        <w:t>MOFCOM</w:t>
      </w:r>
      <w:r>
        <w:rPr>
          <w:spacing w:val="40"/>
        </w:rPr>
        <w:t xml:space="preserve"> </w:t>
      </w:r>
      <w:r>
        <w:t>that</w:t>
      </w:r>
      <w:r>
        <w:rPr>
          <w:spacing w:val="40"/>
        </w:rPr>
        <w:t xml:space="preserve"> </w:t>
      </w:r>
      <w:proofErr w:type="gramStart"/>
      <w:r>
        <w:t>were</w:t>
      </w:r>
      <w:proofErr w:type="gramEnd"/>
      <w:r>
        <w:rPr>
          <w:spacing w:val="40"/>
        </w:rPr>
        <w:t xml:space="preserve"> </w:t>
      </w:r>
      <w:r>
        <w:t>never</w:t>
      </w:r>
      <w:r>
        <w:rPr>
          <w:spacing w:val="39"/>
        </w:rPr>
        <w:t xml:space="preserve"> </w:t>
      </w:r>
      <w:r>
        <w:t>disclosed</w:t>
      </w:r>
      <w:r>
        <w:rPr>
          <w:spacing w:val="40"/>
        </w:rPr>
        <w:t xml:space="preserve"> </w:t>
      </w:r>
      <w:r>
        <w:t>to</w:t>
      </w:r>
      <w:r>
        <w:rPr>
          <w:spacing w:val="39"/>
        </w:rPr>
        <w:t xml:space="preserve"> </w:t>
      </w:r>
      <w:r>
        <w:t>the</w:t>
      </w:r>
      <w:r>
        <w:rPr>
          <w:spacing w:val="40"/>
        </w:rPr>
        <w:t xml:space="preserve"> </w:t>
      </w:r>
      <w:r>
        <w:t>interested</w:t>
      </w:r>
      <w:r>
        <w:rPr>
          <w:spacing w:val="40"/>
        </w:rPr>
        <w:t xml:space="preserve"> </w:t>
      </w:r>
      <w:r>
        <w:t>parties</w:t>
      </w:r>
      <w:r>
        <w:rPr>
          <w:spacing w:val="40"/>
        </w:rPr>
        <w:t xml:space="preserve"> </w:t>
      </w:r>
      <w:r>
        <w:t>and</w:t>
      </w:r>
      <w:r>
        <w:rPr>
          <w:spacing w:val="40"/>
        </w:rPr>
        <w:t xml:space="preserve"> </w:t>
      </w:r>
      <w:r>
        <w:t>for</w:t>
      </w:r>
      <w:r>
        <w:rPr>
          <w:spacing w:val="40"/>
        </w:rPr>
        <w:t xml:space="preserve"> </w:t>
      </w:r>
      <w:r>
        <w:t>which</w:t>
      </w:r>
      <w:r>
        <w:rPr>
          <w:spacing w:val="40"/>
        </w:rPr>
        <w:t xml:space="preserve"> </w:t>
      </w:r>
      <w:r>
        <w:t>there</w:t>
      </w:r>
      <w:r>
        <w:rPr>
          <w:spacing w:val="40"/>
        </w:rPr>
        <w:t xml:space="preserve"> </w:t>
      </w:r>
      <w:r>
        <w:t>is</w:t>
      </w:r>
      <w:r>
        <w:rPr>
          <w:spacing w:val="40"/>
        </w:rPr>
        <w:t xml:space="preserve"> </w:t>
      </w:r>
      <w:r>
        <w:t>no evidence in the investigation record.</w:t>
      </w:r>
    </w:p>
    <w:p w14:paraId="2B93429C" w14:textId="77777777" w:rsidR="00BD462C" w:rsidRDefault="00BD462C">
      <w:pPr>
        <w:pStyle w:val="BodyText"/>
        <w:spacing w:before="3"/>
        <w:rPr>
          <w:sz w:val="9"/>
        </w:rPr>
      </w:pPr>
    </w:p>
    <w:p w14:paraId="4B6F2E24" w14:textId="6F4A60C8" w:rsidR="00BD462C" w:rsidRDefault="005F4A68">
      <w:pPr>
        <w:pStyle w:val="BodyText"/>
        <w:spacing w:before="56" w:line="360" w:lineRule="auto"/>
        <w:ind w:left="135" w:right="914"/>
        <w:jc w:val="both"/>
      </w:pPr>
      <w:r>
        <w:rPr>
          <w:noProof/>
        </w:rPr>
        <w:t>825.</w:t>
      </w:r>
      <w:r w:rsidR="00033D0F">
        <w:rPr>
          <w:rFonts w:ascii="Times New Roman"/>
          <w:spacing w:val="80"/>
          <w:w w:val="150"/>
          <w:position w:val="1"/>
          <w:sz w:val="20"/>
        </w:rPr>
        <w:t xml:space="preserve"> </w:t>
      </w:r>
      <w:r w:rsidR="00033D0F">
        <w:rPr>
          <w:position w:val="1"/>
        </w:rPr>
        <w:t xml:space="preserve">In any event, even on China's currently preferred account of MOFCOM's actions, </w:t>
      </w:r>
      <w:r w:rsidR="00033D0F">
        <w:t>MOFCOM</w:t>
      </w:r>
      <w:r w:rsidR="00033D0F">
        <w:rPr>
          <w:spacing w:val="-7"/>
        </w:rPr>
        <w:t xml:space="preserve"> </w:t>
      </w:r>
      <w:r w:rsidR="00033D0F">
        <w:t>did</w:t>
      </w:r>
      <w:r w:rsidR="00033D0F">
        <w:rPr>
          <w:spacing w:val="-9"/>
        </w:rPr>
        <w:t xml:space="preserve"> </w:t>
      </w:r>
      <w:r w:rsidR="00033D0F">
        <w:t>nothing</w:t>
      </w:r>
      <w:r w:rsidR="00033D0F">
        <w:rPr>
          <w:spacing w:val="-6"/>
        </w:rPr>
        <w:t xml:space="preserve"> </w:t>
      </w:r>
      <w:r w:rsidR="00033D0F">
        <w:t>to</w:t>
      </w:r>
      <w:r w:rsidR="00033D0F">
        <w:rPr>
          <w:spacing w:val="-10"/>
        </w:rPr>
        <w:t xml:space="preserve"> </w:t>
      </w:r>
      <w:r w:rsidR="00033D0F">
        <w:t>assess</w:t>
      </w:r>
      <w:r w:rsidR="00033D0F">
        <w:rPr>
          <w:spacing w:val="-6"/>
        </w:rPr>
        <w:t xml:space="preserve"> </w:t>
      </w:r>
      <w:r w:rsidR="00033D0F">
        <w:t>the</w:t>
      </w:r>
      <w:r w:rsidR="00033D0F">
        <w:rPr>
          <w:spacing w:val="-7"/>
        </w:rPr>
        <w:t xml:space="preserve"> </w:t>
      </w:r>
      <w:r w:rsidR="00033D0F">
        <w:t>accuracy</w:t>
      </w:r>
      <w:r w:rsidR="00033D0F">
        <w:rPr>
          <w:spacing w:val="-6"/>
        </w:rPr>
        <w:t xml:space="preserve"> </w:t>
      </w:r>
      <w:r w:rsidR="00033D0F">
        <w:t>of</w:t>
      </w:r>
      <w:r w:rsidR="00033D0F">
        <w:rPr>
          <w:spacing w:val="-9"/>
        </w:rPr>
        <w:t xml:space="preserve"> </w:t>
      </w:r>
      <w:r w:rsidR="00033D0F">
        <w:t>the</w:t>
      </w:r>
      <w:r w:rsidR="00033D0F">
        <w:rPr>
          <w:spacing w:val="-7"/>
        </w:rPr>
        <w:t xml:space="preserve"> </w:t>
      </w:r>
      <w:r w:rsidR="00033D0F">
        <w:t>responses</w:t>
      </w:r>
      <w:r w:rsidR="00033D0F">
        <w:rPr>
          <w:spacing w:val="-6"/>
        </w:rPr>
        <w:t xml:space="preserve"> </w:t>
      </w:r>
      <w:r w:rsidR="00033D0F">
        <w:t>from</w:t>
      </w:r>
      <w:r w:rsidR="00033D0F">
        <w:rPr>
          <w:spacing w:val="-3"/>
        </w:rPr>
        <w:t xml:space="preserve"> </w:t>
      </w:r>
      <w:r w:rsidR="00033D0F">
        <w:t>16 out</w:t>
      </w:r>
      <w:r w:rsidR="00033D0F">
        <w:rPr>
          <w:spacing w:val="-2"/>
        </w:rPr>
        <w:t xml:space="preserve"> </w:t>
      </w:r>
      <w:r w:rsidR="00033D0F">
        <w:t>of</w:t>
      </w:r>
      <w:r w:rsidR="00033D0F">
        <w:rPr>
          <w:spacing w:val="-4"/>
        </w:rPr>
        <w:t xml:space="preserve"> </w:t>
      </w:r>
      <w:r w:rsidR="00033D0F">
        <w:t>the</w:t>
      </w:r>
      <w:r w:rsidR="00033D0F">
        <w:rPr>
          <w:spacing w:val="-2"/>
        </w:rPr>
        <w:t xml:space="preserve"> </w:t>
      </w:r>
      <w:r w:rsidR="00033D0F">
        <w:t>21</w:t>
      </w:r>
      <w:r w:rsidR="00033D0F">
        <w:rPr>
          <w:spacing w:val="-5"/>
        </w:rPr>
        <w:t xml:space="preserve"> </w:t>
      </w:r>
      <w:r w:rsidR="00033D0F">
        <w:t>domestic producers. Australia does not contend</w:t>
      </w:r>
      <w:r w:rsidR="00033D0F">
        <w:rPr>
          <w:spacing w:val="-1"/>
        </w:rPr>
        <w:t xml:space="preserve"> </w:t>
      </w:r>
      <w:r w:rsidR="00033D0F">
        <w:t>that MOFCOM was required</w:t>
      </w:r>
      <w:r w:rsidR="00033D0F">
        <w:rPr>
          <w:spacing w:val="-1"/>
        </w:rPr>
        <w:t xml:space="preserve"> </w:t>
      </w:r>
      <w:r w:rsidR="00033D0F">
        <w:t>to</w:t>
      </w:r>
      <w:r w:rsidR="00033D0F">
        <w:rPr>
          <w:spacing w:val="-1"/>
        </w:rPr>
        <w:t xml:space="preserve"> </w:t>
      </w:r>
      <w:r w:rsidR="00033D0F">
        <w:t>"verify" the responses from each of those companies, or that it was required to check "each and every" data point submitted.</w:t>
      </w:r>
      <w:hyperlink w:anchor="_bookmark1416" w:history="1">
        <w:r w:rsidR="00033D0F">
          <w:rPr>
            <w:vertAlign w:val="superscript"/>
          </w:rPr>
          <w:t>1221</w:t>
        </w:r>
      </w:hyperlink>
      <w:r w:rsidR="00033D0F">
        <w:rPr>
          <w:spacing w:val="-5"/>
        </w:rPr>
        <w:t xml:space="preserve"> </w:t>
      </w:r>
      <w:r w:rsidR="00033D0F">
        <w:t>Rather,</w:t>
      </w:r>
      <w:r w:rsidR="00033D0F">
        <w:rPr>
          <w:spacing w:val="-4"/>
        </w:rPr>
        <w:t xml:space="preserve"> </w:t>
      </w:r>
      <w:r w:rsidR="00033D0F">
        <w:t>Australia's</w:t>
      </w:r>
      <w:r w:rsidR="00033D0F">
        <w:rPr>
          <w:spacing w:val="-5"/>
        </w:rPr>
        <w:t xml:space="preserve"> </w:t>
      </w:r>
      <w:r w:rsidR="00033D0F">
        <w:t>case</w:t>
      </w:r>
      <w:r w:rsidR="00033D0F">
        <w:rPr>
          <w:spacing w:val="-11"/>
        </w:rPr>
        <w:t xml:space="preserve"> </w:t>
      </w:r>
      <w:r w:rsidR="00033D0F">
        <w:t>is</w:t>
      </w:r>
      <w:r w:rsidR="00033D0F">
        <w:rPr>
          <w:spacing w:val="-5"/>
        </w:rPr>
        <w:t xml:space="preserve"> </w:t>
      </w:r>
      <w:r w:rsidR="00033D0F">
        <w:t>that</w:t>
      </w:r>
      <w:r w:rsidR="00033D0F">
        <w:rPr>
          <w:spacing w:val="-6"/>
        </w:rPr>
        <w:t xml:space="preserve"> </w:t>
      </w:r>
      <w:r w:rsidR="00033D0F">
        <w:t>MOFCOM</w:t>
      </w:r>
      <w:r w:rsidR="00033D0F">
        <w:rPr>
          <w:spacing w:val="-6"/>
        </w:rPr>
        <w:t xml:space="preserve"> </w:t>
      </w:r>
      <w:r w:rsidR="00033D0F">
        <w:t>had</w:t>
      </w:r>
      <w:r w:rsidR="00033D0F">
        <w:rPr>
          <w:spacing w:val="-8"/>
        </w:rPr>
        <w:t xml:space="preserve"> </w:t>
      </w:r>
      <w:r w:rsidR="00033D0F">
        <w:t>to</w:t>
      </w:r>
      <w:r w:rsidR="00033D0F">
        <w:rPr>
          <w:spacing w:val="-4"/>
        </w:rPr>
        <w:t xml:space="preserve"> </w:t>
      </w:r>
      <w:r w:rsidR="00033D0F">
        <w:t>do</w:t>
      </w:r>
      <w:r w:rsidR="00033D0F">
        <w:rPr>
          <w:spacing w:val="-9"/>
        </w:rPr>
        <w:t xml:space="preserve"> </w:t>
      </w:r>
      <w:r w:rsidR="00033D0F">
        <w:t>more</w:t>
      </w:r>
      <w:r w:rsidR="00033D0F">
        <w:rPr>
          <w:spacing w:val="-6"/>
        </w:rPr>
        <w:t xml:space="preserve"> </w:t>
      </w:r>
      <w:r w:rsidR="00033D0F">
        <w:t>than</w:t>
      </w:r>
      <w:r w:rsidR="00033D0F">
        <w:rPr>
          <w:spacing w:val="-8"/>
        </w:rPr>
        <w:t xml:space="preserve"> </w:t>
      </w:r>
      <w:r w:rsidR="00033D0F">
        <w:t>rely</w:t>
      </w:r>
      <w:r w:rsidR="00033D0F">
        <w:rPr>
          <w:spacing w:val="-4"/>
        </w:rPr>
        <w:t xml:space="preserve"> </w:t>
      </w:r>
      <w:r w:rsidR="00033D0F">
        <w:t>upon</w:t>
      </w:r>
      <w:r w:rsidR="00033D0F">
        <w:rPr>
          <w:spacing w:val="-8"/>
        </w:rPr>
        <w:t xml:space="preserve"> </w:t>
      </w:r>
      <w:r w:rsidR="00033D0F">
        <w:t>simple assertions from the domestic industry in circumstances where the domestic industry had already provided inaccurate information to MOFCOM in the same investigation. China has provided no explanation why it considered it necessary to verify the information from two respondents, apparently then conduct a desktop review of the data of a further three respondents selected simply because they were named in CADA's initiating application, but then</w:t>
      </w:r>
      <w:r w:rsidR="00033D0F">
        <w:rPr>
          <w:spacing w:val="67"/>
        </w:rPr>
        <w:t xml:space="preserve"> </w:t>
      </w:r>
      <w:r w:rsidR="00033D0F">
        <w:t>to</w:t>
      </w:r>
      <w:r w:rsidR="00033D0F">
        <w:rPr>
          <w:spacing w:val="67"/>
        </w:rPr>
        <w:t xml:space="preserve"> </w:t>
      </w:r>
      <w:r w:rsidR="00033D0F">
        <w:t>do</w:t>
      </w:r>
      <w:r w:rsidR="00033D0F">
        <w:rPr>
          <w:spacing w:val="72"/>
        </w:rPr>
        <w:t xml:space="preserve"> </w:t>
      </w:r>
      <w:r w:rsidR="00033D0F">
        <w:t>nothing</w:t>
      </w:r>
      <w:r w:rsidR="00033D0F">
        <w:rPr>
          <w:spacing w:val="71"/>
        </w:rPr>
        <w:t xml:space="preserve"> </w:t>
      </w:r>
      <w:r w:rsidR="00033D0F">
        <w:t>to</w:t>
      </w:r>
      <w:r w:rsidR="00033D0F">
        <w:rPr>
          <w:spacing w:val="67"/>
        </w:rPr>
        <w:t xml:space="preserve"> </w:t>
      </w:r>
      <w:r w:rsidR="00033D0F">
        <w:t>assess</w:t>
      </w:r>
      <w:r w:rsidR="00033D0F">
        <w:rPr>
          <w:spacing w:val="66"/>
        </w:rPr>
        <w:t xml:space="preserve"> </w:t>
      </w:r>
      <w:r w:rsidR="00033D0F">
        <w:t>the</w:t>
      </w:r>
      <w:r w:rsidR="00033D0F">
        <w:rPr>
          <w:spacing w:val="69"/>
        </w:rPr>
        <w:t xml:space="preserve"> </w:t>
      </w:r>
      <w:r w:rsidR="00033D0F">
        <w:t>accuracy</w:t>
      </w:r>
      <w:r w:rsidR="00033D0F">
        <w:rPr>
          <w:spacing w:val="71"/>
        </w:rPr>
        <w:t xml:space="preserve"> </w:t>
      </w:r>
      <w:r w:rsidR="00033D0F">
        <w:t>of</w:t>
      </w:r>
      <w:r w:rsidR="00033D0F">
        <w:rPr>
          <w:spacing w:val="72"/>
        </w:rPr>
        <w:t xml:space="preserve"> </w:t>
      </w:r>
      <w:r w:rsidR="00033D0F">
        <w:t>the</w:t>
      </w:r>
      <w:r w:rsidR="00033D0F">
        <w:rPr>
          <w:spacing w:val="69"/>
        </w:rPr>
        <w:t xml:space="preserve"> </w:t>
      </w:r>
      <w:r w:rsidR="00033D0F">
        <w:t>information</w:t>
      </w:r>
      <w:r w:rsidR="00033D0F">
        <w:rPr>
          <w:spacing w:val="69"/>
        </w:rPr>
        <w:t xml:space="preserve"> </w:t>
      </w:r>
      <w:r w:rsidR="00033D0F">
        <w:t>provided</w:t>
      </w:r>
      <w:r w:rsidR="00033D0F">
        <w:rPr>
          <w:spacing w:val="67"/>
        </w:rPr>
        <w:t xml:space="preserve"> </w:t>
      </w:r>
      <w:r w:rsidR="00033D0F">
        <w:t>by</w:t>
      </w:r>
      <w:r w:rsidR="00033D0F">
        <w:rPr>
          <w:spacing w:val="70"/>
        </w:rPr>
        <w:t xml:space="preserve"> </w:t>
      </w:r>
      <w:r w:rsidR="00033D0F">
        <w:t>the</w:t>
      </w:r>
      <w:r w:rsidR="00033D0F">
        <w:rPr>
          <w:spacing w:val="69"/>
        </w:rPr>
        <w:t xml:space="preserve"> </w:t>
      </w:r>
      <w:r w:rsidR="00033D0F">
        <w:t>other 16 respondents.</w:t>
      </w:r>
    </w:p>
    <w:p w14:paraId="034A0242" w14:textId="77777777" w:rsidR="00BD462C" w:rsidRDefault="00BD462C">
      <w:pPr>
        <w:pStyle w:val="BodyText"/>
        <w:spacing w:before="6"/>
        <w:rPr>
          <w:sz w:val="8"/>
        </w:rPr>
      </w:pPr>
    </w:p>
    <w:p w14:paraId="49455606" w14:textId="53056F52" w:rsidR="00BD462C" w:rsidRDefault="005F4A68">
      <w:pPr>
        <w:pStyle w:val="BodyText"/>
        <w:spacing w:before="56" w:line="360" w:lineRule="auto"/>
        <w:ind w:left="135" w:right="910"/>
        <w:jc w:val="both"/>
      </w:pPr>
      <w:r>
        <w:rPr>
          <w:noProof/>
        </w:rPr>
        <w:t>826.</w:t>
      </w:r>
      <w:r w:rsidR="00033D0F">
        <w:rPr>
          <w:rFonts w:ascii="Times New Roman"/>
          <w:spacing w:val="80"/>
          <w:position w:val="1"/>
          <w:sz w:val="20"/>
        </w:rPr>
        <w:t xml:space="preserve">  </w:t>
      </w:r>
      <w:r w:rsidR="00033D0F">
        <w:rPr>
          <w:position w:val="1"/>
        </w:rPr>
        <w:t>Finally,</w:t>
      </w:r>
      <w:r w:rsidR="00033D0F">
        <w:rPr>
          <w:spacing w:val="40"/>
          <w:position w:val="1"/>
        </w:rPr>
        <w:t xml:space="preserve"> </w:t>
      </w:r>
      <w:r w:rsidR="00033D0F">
        <w:rPr>
          <w:position w:val="1"/>
        </w:rPr>
        <w:t>Australia</w:t>
      </w:r>
      <w:r w:rsidR="00033D0F">
        <w:rPr>
          <w:spacing w:val="40"/>
          <w:position w:val="1"/>
        </w:rPr>
        <w:t xml:space="preserve"> </w:t>
      </w:r>
      <w:r w:rsidR="00033D0F">
        <w:rPr>
          <w:position w:val="1"/>
        </w:rPr>
        <w:t>notes</w:t>
      </w:r>
      <w:r w:rsidR="00033D0F">
        <w:rPr>
          <w:spacing w:val="40"/>
          <w:position w:val="1"/>
        </w:rPr>
        <w:t xml:space="preserve"> </w:t>
      </w:r>
      <w:r w:rsidR="00033D0F">
        <w:rPr>
          <w:position w:val="1"/>
        </w:rPr>
        <w:t>that</w:t>
      </w:r>
      <w:r w:rsidR="00033D0F">
        <w:rPr>
          <w:spacing w:val="40"/>
          <w:position w:val="1"/>
        </w:rPr>
        <w:t xml:space="preserve"> </w:t>
      </w:r>
      <w:r w:rsidR="00033D0F">
        <w:rPr>
          <w:position w:val="1"/>
        </w:rPr>
        <w:t>China</w:t>
      </w:r>
      <w:r w:rsidR="00033D0F">
        <w:rPr>
          <w:spacing w:val="40"/>
          <w:position w:val="1"/>
        </w:rPr>
        <w:t xml:space="preserve"> </w:t>
      </w:r>
      <w:r w:rsidR="00033D0F">
        <w:rPr>
          <w:position w:val="1"/>
        </w:rPr>
        <w:t>has</w:t>
      </w:r>
      <w:r w:rsidR="00033D0F">
        <w:rPr>
          <w:spacing w:val="40"/>
          <w:position w:val="1"/>
        </w:rPr>
        <w:t xml:space="preserve"> </w:t>
      </w:r>
      <w:r w:rsidR="00033D0F">
        <w:rPr>
          <w:position w:val="1"/>
        </w:rPr>
        <w:t>asserted a</w:t>
      </w:r>
      <w:r w:rsidR="00033D0F">
        <w:rPr>
          <w:spacing w:val="40"/>
          <w:position w:val="1"/>
        </w:rPr>
        <w:t xml:space="preserve"> </w:t>
      </w:r>
      <w:r w:rsidR="00033D0F">
        <w:rPr>
          <w:position w:val="1"/>
        </w:rPr>
        <w:t>BCI</w:t>
      </w:r>
      <w:r w:rsidR="00033D0F">
        <w:rPr>
          <w:spacing w:val="40"/>
          <w:position w:val="1"/>
        </w:rPr>
        <w:t xml:space="preserve"> </w:t>
      </w:r>
      <w:r w:rsidR="00033D0F">
        <w:rPr>
          <w:position w:val="1"/>
        </w:rPr>
        <w:t>claim</w:t>
      </w:r>
      <w:r w:rsidR="00033D0F">
        <w:rPr>
          <w:spacing w:val="40"/>
          <w:position w:val="1"/>
        </w:rPr>
        <w:t xml:space="preserve"> </w:t>
      </w:r>
      <w:r w:rsidR="00033D0F">
        <w:rPr>
          <w:position w:val="1"/>
        </w:rPr>
        <w:t>over</w:t>
      </w:r>
      <w:r w:rsidR="00033D0F">
        <w:rPr>
          <w:spacing w:val="40"/>
          <w:position w:val="1"/>
        </w:rPr>
        <w:t xml:space="preserve"> </w:t>
      </w:r>
      <w:r w:rsidR="00033D0F">
        <w:rPr>
          <w:position w:val="1"/>
        </w:rPr>
        <w:t>the</w:t>
      </w:r>
      <w:r w:rsidR="00033D0F">
        <w:rPr>
          <w:spacing w:val="40"/>
          <w:position w:val="1"/>
        </w:rPr>
        <w:t xml:space="preserve"> </w:t>
      </w:r>
      <w:r w:rsidR="00033D0F">
        <w:rPr>
          <w:position w:val="1"/>
        </w:rPr>
        <w:t>entirety</w:t>
      </w:r>
      <w:r w:rsidR="00033D0F">
        <w:rPr>
          <w:spacing w:val="40"/>
          <w:position w:val="1"/>
        </w:rPr>
        <w:t xml:space="preserve"> </w:t>
      </w:r>
      <w:r w:rsidR="00033D0F">
        <w:rPr>
          <w:position w:val="1"/>
        </w:rPr>
        <w:t xml:space="preserve">of </w:t>
      </w:r>
      <w:r w:rsidR="00033D0F">
        <w:t>Exhibit</w:t>
      </w:r>
      <w:r w:rsidR="00033D0F">
        <w:rPr>
          <w:spacing w:val="-1"/>
        </w:rPr>
        <w:t xml:space="preserve"> </w:t>
      </w:r>
      <w:r w:rsidR="00033D0F">
        <w:t>CHN-43 where it sets out the items of financial statements that it says MOFCOM "cross-checked".</w:t>
      </w:r>
      <w:hyperlink w:anchor="_bookmark1417" w:history="1">
        <w:r w:rsidR="00033D0F">
          <w:rPr>
            <w:vertAlign w:val="superscript"/>
          </w:rPr>
          <w:t>1222</w:t>
        </w:r>
      </w:hyperlink>
      <w:r w:rsidR="00033D0F">
        <w:t xml:space="preserve"> This document is comprised entirely of links to public documents and tables</w:t>
      </w:r>
      <w:r w:rsidR="00033D0F">
        <w:rPr>
          <w:spacing w:val="-3"/>
        </w:rPr>
        <w:t xml:space="preserve"> </w:t>
      </w:r>
      <w:r w:rsidR="00033D0F">
        <w:t>that cross-reference between</w:t>
      </w:r>
      <w:r w:rsidR="00033D0F">
        <w:rPr>
          <w:spacing w:val="-2"/>
        </w:rPr>
        <w:t xml:space="preserve"> </w:t>
      </w:r>
      <w:r w:rsidR="00033D0F">
        <w:t>public</w:t>
      </w:r>
      <w:r w:rsidR="00033D0F">
        <w:rPr>
          <w:spacing w:val="-1"/>
        </w:rPr>
        <w:t xml:space="preserve"> </w:t>
      </w:r>
      <w:r w:rsidR="00033D0F">
        <w:t>documents and</w:t>
      </w:r>
      <w:r w:rsidR="00033D0F">
        <w:rPr>
          <w:spacing w:val="-2"/>
        </w:rPr>
        <w:t xml:space="preserve"> </w:t>
      </w:r>
      <w:r w:rsidR="00033D0F">
        <w:t>the non-confidential Exhibit AUS-</w:t>
      </w:r>
    </w:p>
    <w:p w14:paraId="0401F8EE" w14:textId="77777777" w:rsidR="00BD462C" w:rsidRDefault="00033D0F">
      <w:pPr>
        <w:pStyle w:val="BodyText"/>
        <w:spacing w:line="362" w:lineRule="auto"/>
        <w:ind w:left="135" w:right="917"/>
        <w:jc w:val="both"/>
      </w:pPr>
      <w:r>
        <w:t>43.</w:t>
      </w:r>
      <w:r>
        <w:rPr>
          <w:spacing w:val="-7"/>
        </w:rPr>
        <w:t xml:space="preserve"> </w:t>
      </w:r>
      <w:r>
        <w:t>Australia</w:t>
      </w:r>
      <w:r>
        <w:rPr>
          <w:spacing w:val="-8"/>
        </w:rPr>
        <w:t xml:space="preserve"> </w:t>
      </w:r>
      <w:r>
        <w:t>recalls</w:t>
      </w:r>
      <w:r>
        <w:rPr>
          <w:spacing w:val="-7"/>
        </w:rPr>
        <w:t xml:space="preserve"> </w:t>
      </w:r>
      <w:r>
        <w:t>that</w:t>
      </w:r>
      <w:r>
        <w:rPr>
          <w:spacing w:val="-8"/>
        </w:rPr>
        <w:t xml:space="preserve"> </w:t>
      </w:r>
      <w:r>
        <w:t>the</w:t>
      </w:r>
      <w:r>
        <w:rPr>
          <w:spacing w:val="-8"/>
        </w:rPr>
        <w:t xml:space="preserve"> </w:t>
      </w:r>
      <w:r>
        <w:t>Additional</w:t>
      </w:r>
      <w:r>
        <w:rPr>
          <w:spacing w:val="-6"/>
        </w:rPr>
        <w:t xml:space="preserve"> </w:t>
      </w:r>
      <w:r>
        <w:t>Working</w:t>
      </w:r>
      <w:r>
        <w:rPr>
          <w:spacing w:val="-7"/>
        </w:rPr>
        <w:t xml:space="preserve"> </w:t>
      </w:r>
      <w:r>
        <w:t>Procedures</w:t>
      </w:r>
      <w:r>
        <w:rPr>
          <w:spacing w:val="-2"/>
        </w:rPr>
        <w:t xml:space="preserve"> </w:t>
      </w:r>
      <w:r>
        <w:t>of</w:t>
      </w:r>
      <w:r>
        <w:rPr>
          <w:spacing w:val="-10"/>
        </w:rPr>
        <w:t xml:space="preserve"> </w:t>
      </w:r>
      <w:r>
        <w:t>the</w:t>
      </w:r>
      <w:r>
        <w:rPr>
          <w:spacing w:val="-4"/>
        </w:rPr>
        <w:t xml:space="preserve"> </w:t>
      </w:r>
      <w:r>
        <w:t>Panel</w:t>
      </w:r>
      <w:r>
        <w:rPr>
          <w:spacing w:val="-6"/>
        </w:rPr>
        <w:t xml:space="preserve"> </w:t>
      </w:r>
      <w:r>
        <w:t>Concerning</w:t>
      </w:r>
      <w:r>
        <w:rPr>
          <w:spacing w:val="-7"/>
        </w:rPr>
        <w:t xml:space="preserve"> </w:t>
      </w:r>
      <w:r>
        <w:t>Business Confidential Information provided at paragraph 1 that:</w:t>
      </w:r>
    </w:p>
    <w:p w14:paraId="5AB77749" w14:textId="77777777" w:rsidR="00BD462C" w:rsidRDefault="00033D0F">
      <w:pPr>
        <w:spacing w:before="151" w:line="273" w:lineRule="auto"/>
        <w:ind w:left="985" w:right="912"/>
        <w:jc w:val="both"/>
      </w:pPr>
      <w:r>
        <w:t>The</w:t>
      </w:r>
      <w:r>
        <w:rPr>
          <w:spacing w:val="-4"/>
        </w:rPr>
        <w:t xml:space="preserve"> </w:t>
      </w:r>
      <w:r>
        <w:t>parties</w:t>
      </w:r>
      <w:r>
        <w:rPr>
          <w:spacing w:val="-4"/>
        </w:rPr>
        <w:t xml:space="preserve"> </w:t>
      </w:r>
      <w:r>
        <w:t>shall</w:t>
      </w:r>
      <w:r>
        <w:rPr>
          <w:spacing w:val="-2"/>
        </w:rPr>
        <w:t xml:space="preserve"> </w:t>
      </w:r>
      <w:r>
        <w:t>only</w:t>
      </w:r>
      <w:r>
        <w:rPr>
          <w:spacing w:val="-3"/>
        </w:rPr>
        <w:t xml:space="preserve"> </w:t>
      </w:r>
      <w:r>
        <w:t>designate</w:t>
      </w:r>
      <w:r>
        <w:rPr>
          <w:spacing w:val="-4"/>
        </w:rPr>
        <w:t xml:space="preserve"> </w:t>
      </w:r>
      <w:r>
        <w:t>as</w:t>
      </w:r>
      <w:r>
        <w:rPr>
          <w:spacing w:val="-4"/>
        </w:rPr>
        <w:t xml:space="preserve"> </w:t>
      </w:r>
      <w:r>
        <w:t>BCI</w:t>
      </w:r>
      <w:r>
        <w:rPr>
          <w:spacing w:val="-2"/>
        </w:rPr>
        <w:t xml:space="preserve"> </w:t>
      </w:r>
      <w:r>
        <w:t>information</w:t>
      </w:r>
      <w:r>
        <w:rPr>
          <w:spacing w:val="-5"/>
        </w:rPr>
        <w:t xml:space="preserve"> </w:t>
      </w:r>
      <w:r>
        <w:t>that</w:t>
      </w:r>
      <w:r>
        <w:rPr>
          <w:spacing w:val="-6"/>
        </w:rPr>
        <w:t xml:space="preserve"> </w:t>
      </w:r>
      <w:r>
        <w:t>is</w:t>
      </w:r>
      <w:r>
        <w:rPr>
          <w:spacing w:val="-4"/>
        </w:rPr>
        <w:t xml:space="preserve"> </w:t>
      </w:r>
      <w:r>
        <w:t>not</w:t>
      </w:r>
      <w:r>
        <w:rPr>
          <w:spacing w:val="-6"/>
        </w:rPr>
        <w:t xml:space="preserve"> </w:t>
      </w:r>
      <w:r>
        <w:t>available</w:t>
      </w:r>
      <w:r>
        <w:rPr>
          <w:spacing w:val="-4"/>
        </w:rPr>
        <w:t xml:space="preserve"> </w:t>
      </w:r>
      <w:r>
        <w:t>in</w:t>
      </w:r>
      <w:r>
        <w:rPr>
          <w:spacing w:val="-5"/>
        </w:rPr>
        <w:t xml:space="preserve"> </w:t>
      </w:r>
      <w:r>
        <w:t>the</w:t>
      </w:r>
      <w:r>
        <w:rPr>
          <w:spacing w:val="-4"/>
        </w:rPr>
        <w:t xml:space="preserve"> </w:t>
      </w:r>
      <w:r>
        <w:t>public</w:t>
      </w:r>
      <w:r>
        <w:rPr>
          <w:spacing w:val="-6"/>
        </w:rPr>
        <w:t xml:space="preserve"> </w:t>
      </w:r>
      <w:r>
        <w:t xml:space="preserve">domain, the release of which would cause serious harm to the interests of the originator(s) of the </w:t>
      </w:r>
      <w:r>
        <w:rPr>
          <w:spacing w:val="-2"/>
        </w:rPr>
        <w:t>information.</w:t>
      </w:r>
    </w:p>
    <w:p w14:paraId="4B680788" w14:textId="77777777" w:rsidR="00BD462C" w:rsidRDefault="00BD462C">
      <w:pPr>
        <w:pStyle w:val="BodyText"/>
        <w:spacing w:before="2"/>
        <w:rPr>
          <w:sz w:val="16"/>
        </w:rPr>
      </w:pPr>
    </w:p>
    <w:p w14:paraId="70F5C857" w14:textId="5C8268D9" w:rsidR="00BD462C" w:rsidRDefault="005F4A68">
      <w:pPr>
        <w:pStyle w:val="BodyText"/>
        <w:spacing w:before="56" w:line="357" w:lineRule="auto"/>
        <w:ind w:left="135" w:right="913"/>
        <w:jc w:val="both"/>
      </w:pPr>
      <w:r>
        <w:rPr>
          <w:noProof/>
        </w:rPr>
        <w:t>827.</w:t>
      </w:r>
      <w:r w:rsidR="00033D0F">
        <w:rPr>
          <w:rFonts w:ascii="Times New Roman"/>
          <w:spacing w:val="80"/>
          <w:position w:val="1"/>
          <w:sz w:val="20"/>
        </w:rPr>
        <w:t xml:space="preserve">  </w:t>
      </w:r>
      <w:r w:rsidR="00033D0F">
        <w:rPr>
          <w:position w:val="1"/>
        </w:rPr>
        <w:t>Australia considers that</w:t>
      </w:r>
      <w:r w:rsidR="00033D0F">
        <w:rPr>
          <w:spacing w:val="-2"/>
          <w:position w:val="1"/>
        </w:rPr>
        <w:t xml:space="preserve"> </w:t>
      </w:r>
      <w:r w:rsidR="00033D0F">
        <w:rPr>
          <w:position w:val="1"/>
        </w:rPr>
        <w:t>this</w:t>
      </w:r>
      <w:r w:rsidR="00033D0F">
        <w:rPr>
          <w:spacing w:val="-1"/>
          <w:position w:val="1"/>
        </w:rPr>
        <w:t xml:space="preserve"> </w:t>
      </w:r>
      <w:r w:rsidR="00033D0F">
        <w:rPr>
          <w:position w:val="1"/>
        </w:rPr>
        <w:t xml:space="preserve">information should not have been designated as BCI, as </w:t>
      </w:r>
      <w:r w:rsidR="00033D0F">
        <w:t>it is comprised entirely of information that was "available in the public domain". As a result, the designation by China is contrary to paragraph 1 of the Additional Working Procedures of the</w:t>
      </w:r>
      <w:r w:rsidR="00033D0F">
        <w:rPr>
          <w:spacing w:val="40"/>
        </w:rPr>
        <w:t xml:space="preserve"> </w:t>
      </w:r>
      <w:r w:rsidR="00033D0F">
        <w:t>Panel</w:t>
      </w:r>
      <w:r w:rsidR="00033D0F">
        <w:rPr>
          <w:spacing w:val="40"/>
        </w:rPr>
        <w:t xml:space="preserve"> </w:t>
      </w:r>
      <w:r w:rsidR="00033D0F">
        <w:t>Concerning</w:t>
      </w:r>
      <w:r w:rsidR="00033D0F">
        <w:rPr>
          <w:spacing w:val="40"/>
        </w:rPr>
        <w:t xml:space="preserve"> </w:t>
      </w:r>
      <w:r w:rsidR="00033D0F">
        <w:t>Business</w:t>
      </w:r>
      <w:r w:rsidR="00033D0F">
        <w:rPr>
          <w:spacing w:val="40"/>
        </w:rPr>
        <w:t xml:space="preserve"> </w:t>
      </w:r>
      <w:r w:rsidR="00033D0F">
        <w:t>Confidential</w:t>
      </w:r>
      <w:r w:rsidR="00033D0F">
        <w:rPr>
          <w:spacing w:val="40"/>
        </w:rPr>
        <w:t xml:space="preserve"> </w:t>
      </w:r>
      <w:r w:rsidR="00033D0F">
        <w:t>Information.</w:t>
      </w:r>
      <w:r w:rsidR="00033D0F">
        <w:rPr>
          <w:spacing w:val="40"/>
        </w:rPr>
        <w:t xml:space="preserve"> </w:t>
      </w:r>
      <w:r w:rsidR="00033D0F">
        <w:t>Australia</w:t>
      </w:r>
      <w:r w:rsidR="00033D0F">
        <w:rPr>
          <w:spacing w:val="40"/>
        </w:rPr>
        <w:t xml:space="preserve"> </w:t>
      </w:r>
      <w:r w:rsidR="00033D0F">
        <w:t>requests</w:t>
      </w:r>
      <w:r w:rsidR="00033D0F">
        <w:rPr>
          <w:spacing w:val="40"/>
        </w:rPr>
        <w:t xml:space="preserve"> </w:t>
      </w:r>
      <w:r w:rsidR="00033D0F">
        <w:t>the</w:t>
      </w:r>
      <w:r w:rsidR="00033D0F">
        <w:rPr>
          <w:spacing w:val="40"/>
        </w:rPr>
        <w:t xml:space="preserve"> </w:t>
      </w:r>
      <w:r w:rsidR="00033D0F">
        <w:t>Panel</w:t>
      </w:r>
      <w:r w:rsidR="00033D0F">
        <w:rPr>
          <w:spacing w:val="40"/>
        </w:rPr>
        <w:t xml:space="preserve"> </w:t>
      </w:r>
      <w:r w:rsidR="00033D0F">
        <w:t>to</w:t>
      </w:r>
    </w:p>
    <w:p w14:paraId="2013ACF1" w14:textId="77777777" w:rsidR="00BD462C" w:rsidRDefault="00BD462C">
      <w:pPr>
        <w:pStyle w:val="BodyText"/>
        <w:rPr>
          <w:sz w:val="20"/>
        </w:rPr>
      </w:pPr>
    </w:p>
    <w:p w14:paraId="2DDE4C6E" w14:textId="77777777" w:rsidR="00BD462C" w:rsidRDefault="00BD462C">
      <w:pPr>
        <w:pStyle w:val="BodyText"/>
        <w:rPr>
          <w:sz w:val="20"/>
        </w:rPr>
      </w:pPr>
    </w:p>
    <w:p w14:paraId="4426D840" w14:textId="77777777" w:rsidR="00BD462C" w:rsidRDefault="00BD462C">
      <w:pPr>
        <w:pStyle w:val="BodyText"/>
        <w:rPr>
          <w:sz w:val="20"/>
        </w:rPr>
      </w:pPr>
    </w:p>
    <w:p w14:paraId="2142E33F" w14:textId="48078C45" w:rsidR="00BD462C" w:rsidRDefault="00D70C7D">
      <w:pPr>
        <w:pStyle w:val="BodyText"/>
        <w:rPr>
          <w:sz w:val="17"/>
        </w:rPr>
      </w:pPr>
      <w:r>
        <w:rPr>
          <w:noProof/>
        </w:rPr>
        <mc:AlternateContent>
          <mc:Choice Requires="wps">
            <w:drawing>
              <wp:anchor distT="0" distB="0" distL="0" distR="0" simplePos="0" relativeHeight="487853568" behindDoc="1" locked="0" layoutInCell="1" allowOverlap="1" wp14:anchorId="262709C2" wp14:editId="7B4689CA">
                <wp:simplePos x="0" y="0"/>
                <wp:positionH relativeFrom="page">
                  <wp:posOffset>899160</wp:posOffset>
                </wp:positionH>
                <wp:positionV relativeFrom="paragraph">
                  <wp:posOffset>147320</wp:posOffset>
                </wp:positionV>
                <wp:extent cx="1828800" cy="8890"/>
                <wp:effectExtent l="0" t="0" r="0" b="0"/>
                <wp:wrapTopAndBottom/>
                <wp:docPr id="304" name="docshape5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FF5F66" id="docshape570" o:spid="_x0000_s1026" alt="&quot;&quot;" style="position:absolute;margin-left:70.8pt;margin-top:11.6pt;width:2in;height:.7pt;z-index:-1546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" fillcolor="black" stroked="f">
                <w10:wrap type="topAndBottom" anchorx="page"/>
              </v:rect>
            </w:pict>
          </mc:Fallback>
        </mc:AlternateContent>
      </w:r>
    </w:p>
    <w:p w14:paraId="1E14B31E" w14:textId="77777777" w:rsidR="00BD462C" w:rsidRDefault="00033D0F">
      <w:pPr>
        <w:spacing w:before="112"/>
        <w:ind w:left="135"/>
        <w:rPr>
          <w:sz w:val="18"/>
        </w:rPr>
      </w:pPr>
      <w:bookmarkStart w:id="1644" w:name="_bookmark1416"/>
      <w:bookmarkEnd w:id="1644"/>
      <w:r>
        <w:rPr>
          <w:position w:val="5"/>
          <w:sz w:val="12"/>
        </w:rPr>
        <w:t>1221</w:t>
      </w:r>
      <w:r>
        <w:rPr>
          <w:spacing w:val="14"/>
          <w:position w:val="5"/>
          <w:sz w:val="12"/>
        </w:rPr>
        <w:t xml:space="preserve"> </w:t>
      </w:r>
      <w:r>
        <w:rPr>
          <w:sz w:val="18"/>
        </w:rPr>
        <w:t>As</w:t>
      </w:r>
      <w:r>
        <w:rPr>
          <w:spacing w:val="-5"/>
          <w:sz w:val="18"/>
        </w:rPr>
        <w:t xml:space="preserve"> </w:t>
      </w:r>
      <w:r>
        <w:rPr>
          <w:sz w:val="18"/>
        </w:rPr>
        <w:t>China</w:t>
      </w:r>
      <w:r>
        <w:rPr>
          <w:spacing w:val="-6"/>
          <w:sz w:val="18"/>
        </w:rPr>
        <w:t xml:space="preserve"> </w:t>
      </w:r>
      <w:r>
        <w:rPr>
          <w:sz w:val="18"/>
        </w:rPr>
        <w:t>has alleged:</w:t>
      </w:r>
      <w:r>
        <w:rPr>
          <w:spacing w:val="-2"/>
          <w:sz w:val="18"/>
        </w:rPr>
        <w:t xml:space="preserve"> </w:t>
      </w:r>
      <w:r>
        <w:rPr>
          <w:sz w:val="18"/>
        </w:rPr>
        <w:t>China's</w:t>
      </w:r>
      <w:r>
        <w:rPr>
          <w:spacing w:val="-4"/>
          <w:sz w:val="18"/>
        </w:rPr>
        <w:t xml:space="preserve"> </w:t>
      </w:r>
      <w:r>
        <w:rPr>
          <w:sz w:val="18"/>
        </w:rPr>
        <w:t>response</w:t>
      </w:r>
      <w:r>
        <w:rPr>
          <w:spacing w:val="-5"/>
          <w:sz w:val="18"/>
        </w:rPr>
        <w:t xml:space="preserve"> </w:t>
      </w:r>
      <w:r>
        <w:rPr>
          <w:sz w:val="18"/>
        </w:rPr>
        <w:t>to</w:t>
      </w:r>
      <w:r>
        <w:rPr>
          <w:spacing w:val="-6"/>
          <w:sz w:val="18"/>
        </w:rPr>
        <w:t xml:space="preserve"> </w:t>
      </w:r>
      <w:r>
        <w:rPr>
          <w:sz w:val="18"/>
        </w:rPr>
        <w:t>Panel</w:t>
      </w:r>
      <w:r>
        <w:rPr>
          <w:spacing w:val="-3"/>
          <w:sz w:val="18"/>
        </w:rPr>
        <w:t xml:space="preserve"> </w:t>
      </w:r>
      <w:r>
        <w:rPr>
          <w:sz w:val="18"/>
        </w:rPr>
        <w:t>question</w:t>
      </w:r>
      <w:r>
        <w:rPr>
          <w:spacing w:val="-9"/>
          <w:sz w:val="18"/>
        </w:rPr>
        <w:t xml:space="preserve"> </w:t>
      </w:r>
      <w:r>
        <w:rPr>
          <w:sz w:val="18"/>
        </w:rPr>
        <w:t>No.</w:t>
      </w:r>
      <w:r>
        <w:rPr>
          <w:spacing w:val="1"/>
          <w:sz w:val="18"/>
        </w:rPr>
        <w:t xml:space="preserve"> </w:t>
      </w:r>
      <w:r>
        <w:rPr>
          <w:sz w:val="18"/>
        </w:rPr>
        <w:t>59,</w:t>
      </w:r>
      <w:r>
        <w:rPr>
          <w:spacing w:val="-3"/>
          <w:sz w:val="18"/>
        </w:rPr>
        <w:t xml:space="preserve"> </w:t>
      </w:r>
      <w:r>
        <w:rPr>
          <w:sz w:val="18"/>
        </w:rPr>
        <w:t>paras.</w:t>
      </w:r>
      <w:r>
        <w:rPr>
          <w:spacing w:val="1"/>
          <w:sz w:val="18"/>
        </w:rPr>
        <w:t xml:space="preserve"> </w:t>
      </w:r>
      <w:r>
        <w:rPr>
          <w:sz w:val="18"/>
        </w:rPr>
        <w:t>356-</w:t>
      </w:r>
      <w:r>
        <w:rPr>
          <w:spacing w:val="-4"/>
          <w:sz w:val="18"/>
        </w:rPr>
        <w:t>355.</w:t>
      </w:r>
    </w:p>
    <w:p w14:paraId="1B284777" w14:textId="77777777" w:rsidR="00BD462C" w:rsidRDefault="00033D0F">
      <w:pPr>
        <w:spacing w:before="1"/>
        <w:ind w:left="135"/>
        <w:rPr>
          <w:sz w:val="18"/>
        </w:rPr>
      </w:pPr>
      <w:bookmarkStart w:id="1645" w:name="_bookmark1417"/>
      <w:bookmarkEnd w:id="1645"/>
      <w:r>
        <w:rPr>
          <w:position w:val="5"/>
          <w:sz w:val="12"/>
        </w:rPr>
        <w:t>1222</w:t>
      </w:r>
      <w:r>
        <w:rPr>
          <w:spacing w:val="14"/>
          <w:position w:val="5"/>
          <w:sz w:val="12"/>
        </w:rPr>
        <w:t xml:space="preserve"> </w:t>
      </w:r>
      <w:r>
        <w:rPr>
          <w:sz w:val="18"/>
        </w:rPr>
        <w:t>China's</w:t>
      </w:r>
      <w:r>
        <w:rPr>
          <w:spacing w:val="2"/>
          <w:sz w:val="18"/>
        </w:rPr>
        <w:t xml:space="preserve"> </w:t>
      </w:r>
      <w:r>
        <w:rPr>
          <w:sz w:val="18"/>
        </w:rPr>
        <w:t>response</w:t>
      </w:r>
      <w:r>
        <w:rPr>
          <w:spacing w:val="-4"/>
          <w:sz w:val="18"/>
        </w:rPr>
        <w:t xml:space="preserve"> </w:t>
      </w:r>
      <w:r>
        <w:rPr>
          <w:sz w:val="18"/>
        </w:rPr>
        <w:t>to</w:t>
      </w:r>
      <w:r>
        <w:rPr>
          <w:spacing w:val="-10"/>
          <w:sz w:val="18"/>
        </w:rPr>
        <w:t xml:space="preserve"> </w:t>
      </w:r>
      <w:r>
        <w:rPr>
          <w:sz w:val="18"/>
        </w:rPr>
        <w:t>Panel</w:t>
      </w:r>
      <w:r>
        <w:rPr>
          <w:spacing w:val="-3"/>
          <w:sz w:val="18"/>
        </w:rPr>
        <w:t xml:space="preserve"> </w:t>
      </w:r>
      <w:r>
        <w:rPr>
          <w:sz w:val="18"/>
        </w:rPr>
        <w:t>question</w:t>
      </w:r>
      <w:r>
        <w:rPr>
          <w:spacing w:val="-4"/>
          <w:sz w:val="18"/>
        </w:rPr>
        <w:t xml:space="preserve"> </w:t>
      </w:r>
      <w:r>
        <w:rPr>
          <w:sz w:val="18"/>
        </w:rPr>
        <w:t>No.</w:t>
      </w:r>
      <w:r>
        <w:rPr>
          <w:spacing w:val="2"/>
          <w:sz w:val="18"/>
        </w:rPr>
        <w:t xml:space="preserve"> </w:t>
      </w:r>
      <w:r>
        <w:rPr>
          <w:sz w:val="18"/>
        </w:rPr>
        <w:t>60,</w:t>
      </w:r>
      <w:r>
        <w:rPr>
          <w:spacing w:val="-2"/>
          <w:sz w:val="18"/>
        </w:rPr>
        <w:t xml:space="preserve"> </w:t>
      </w:r>
      <w:r>
        <w:rPr>
          <w:sz w:val="18"/>
        </w:rPr>
        <w:t>para.</w:t>
      </w:r>
      <w:r>
        <w:rPr>
          <w:spacing w:val="-3"/>
          <w:sz w:val="18"/>
        </w:rPr>
        <w:t xml:space="preserve"> </w:t>
      </w:r>
      <w:r>
        <w:rPr>
          <w:spacing w:val="-4"/>
          <w:sz w:val="18"/>
        </w:rPr>
        <w:t>354.</w:t>
      </w:r>
    </w:p>
    <w:p w14:paraId="734A513B" w14:textId="77777777" w:rsidR="00BD462C" w:rsidRDefault="00BD462C">
      <w:pPr>
        <w:rPr>
          <w:sz w:val="18"/>
        </w:rPr>
        <w:sectPr w:rsidR="00BD462C">
          <w:pgSz w:w="11910" w:h="16840"/>
          <w:pgMar w:top="860" w:right="500" w:bottom="780" w:left="1280" w:header="566" w:footer="590" w:gutter="0"/>
          <w:cols w:space="720"/>
        </w:sectPr>
      </w:pPr>
    </w:p>
    <w:p w14:paraId="051B3CB3"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00F440AD"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3561CF51"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045B1F30" w14:textId="77777777" w:rsidR="00BD462C" w:rsidRDefault="00033D0F">
      <w:pPr>
        <w:pStyle w:val="BodyText"/>
        <w:spacing w:before="102" w:line="357" w:lineRule="auto"/>
        <w:ind w:left="135" w:right="923"/>
      </w:pPr>
      <w:r>
        <w:t>making</w:t>
      </w:r>
      <w:r>
        <w:rPr>
          <w:spacing w:val="-11"/>
        </w:rPr>
        <w:t xml:space="preserve"> </w:t>
      </w:r>
      <w:r>
        <w:t>a</w:t>
      </w:r>
      <w:r>
        <w:rPr>
          <w:spacing w:val="-12"/>
        </w:rPr>
        <w:t xml:space="preserve"> </w:t>
      </w:r>
      <w:r>
        <w:t>finding,</w:t>
      </w:r>
      <w:r>
        <w:rPr>
          <w:spacing w:val="-10"/>
        </w:rPr>
        <w:t xml:space="preserve"> </w:t>
      </w:r>
      <w:r>
        <w:t>in</w:t>
      </w:r>
      <w:r>
        <w:rPr>
          <w:spacing w:val="-14"/>
        </w:rPr>
        <w:t xml:space="preserve"> </w:t>
      </w:r>
      <w:r>
        <w:t>accordance</w:t>
      </w:r>
      <w:r>
        <w:rPr>
          <w:spacing w:val="-7"/>
        </w:rPr>
        <w:t xml:space="preserve"> </w:t>
      </w:r>
      <w:r>
        <w:t>with</w:t>
      </w:r>
      <w:r>
        <w:rPr>
          <w:spacing w:val="-14"/>
        </w:rPr>
        <w:t xml:space="preserve"> </w:t>
      </w:r>
      <w:r>
        <w:t>paragraph</w:t>
      </w:r>
      <w:r>
        <w:rPr>
          <w:spacing w:val="-9"/>
        </w:rPr>
        <w:t xml:space="preserve"> </w:t>
      </w:r>
      <w:r>
        <w:t>10</w:t>
      </w:r>
      <w:r>
        <w:rPr>
          <w:spacing w:val="-6"/>
        </w:rPr>
        <w:t xml:space="preserve"> </w:t>
      </w:r>
      <w:r>
        <w:t>of</w:t>
      </w:r>
      <w:r>
        <w:rPr>
          <w:spacing w:val="-14"/>
        </w:rPr>
        <w:t xml:space="preserve"> </w:t>
      </w:r>
      <w:r>
        <w:t>the</w:t>
      </w:r>
      <w:r>
        <w:rPr>
          <w:spacing w:val="-7"/>
        </w:rPr>
        <w:t xml:space="preserve"> </w:t>
      </w:r>
      <w:r>
        <w:t>Additional</w:t>
      </w:r>
      <w:r>
        <w:rPr>
          <w:spacing w:val="-10"/>
        </w:rPr>
        <w:t xml:space="preserve"> </w:t>
      </w:r>
      <w:r>
        <w:t>Working</w:t>
      </w:r>
      <w:r>
        <w:rPr>
          <w:spacing w:val="-10"/>
        </w:rPr>
        <w:t xml:space="preserve"> </w:t>
      </w:r>
      <w:r>
        <w:t>Procedures,</w:t>
      </w:r>
      <w:r>
        <w:rPr>
          <w:spacing w:val="-10"/>
        </w:rPr>
        <w:t xml:space="preserve"> </w:t>
      </w:r>
      <w:r>
        <w:t>that the information is not BCI.</w:t>
      </w:r>
    </w:p>
    <w:p w14:paraId="36C81B67" w14:textId="77777777" w:rsidR="00BD462C" w:rsidRDefault="00033D0F">
      <w:pPr>
        <w:pStyle w:val="Heading3"/>
        <w:numPr>
          <w:ilvl w:val="0"/>
          <w:numId w:val="21"/>
        </w:numPr>
        <w:tabs>
          <w:tab w:val="left" w:pos="2545"/>
          <w:tab w:val="left" w:pos="2546"/>
        </w:tabs>
        <w:spacing w:before="164"/>
        <w:ind w:left="2545" w:hanging="851"/>
        <w:jc w:val="left"/>
      </w:pPr>
      <w:bookmarkStart w:id="1646" w:name="5._The_sampling_questionnaire"/>
      <w:bookmarkStart w:id="1647" w:name="_bookmark1418"/>
      <w:bookmarkEnd w:id="1646"/>
      <w:bookmarkEnd w:id="1647"/>
      <w:r>
        <w:t>The</w:t>
      </w:r>
      <w:r>
        <w:rPr>
          <w:spacing w:val="-4"/>
        </w:rPr>
        <w:t xml:space="preserve"> </w:t>
      </w:r>
      <w:r>
        <w:t xml:space="preserve">sampling </w:t>
      </w:r>
      <w:r>
        <w:rPr>
          <w:spacing w:val="-2"/>
        </w:rPr>
        <w:t>questionnaire</w:t>
      </w:r>
    </w:p>
    <w:p w14:paraId="35D00347" w14:textId="77777777" w:rsidR="00BD462C" w:rsidRDefault="00BD462C">
      <w:pPr>
        <w:pStyle w:val="BodyText"/>
        <w:spacing w:before="11"/>
        <w:rPr>
          <w:b/>
          <w:sz w:val="20"/>
        </w:rPr>
      </w:pPr>
    </w:p>
    <w:p w14:paraId="081A91DD" w14:textId="4041A8C0" w:rsidR="00BD462C" w:rsidRDefault="005F4A68">
      <w:pPr>
        <w:pStyle w:val="BodyText"/>
        <w:spacing w:before="56" w:line="360" w:lineRule="auto"/>
        <w:ind w:left="135" w:right="918"/>
        <w:jc w:val="both"/>
      </w:pPr>
      <w:r>
        <w:rPr>
          <w:noProof/>
        </w:rPr>
        <w:t>828.</w:t>
      </w:r>
      <w:r w:rsidR="00033D0F">
        <w:rPr>
          <w:rFonts w:ascii="Times New Roman"/>
          <w:spacing w:val="80"/>
          <w:position w:val="1"/>
          <w:sz w:val="20"/>
        </w:rPr>
        <w:t xml:space="preserve">  </w:t>
      </w:r>
      <w:r w:rsidR="00033D0F">
        <w:rPr>
          <w:position w:val="1"/>
        </w:rPr>
        <w:t>In</w:t>
      </w:r>
      <w:r w:rsidR="00033D0F">
        <w:rPr>
          <w:spacing w:val="-4"/>
          <w:position w:val="1"/>
        </w:rPr>
        <w:t xml:space="preserve"> </w:t>
      </w:r>
      <w:r w:rsidR="00033D0F">
        <w:rPr>
          <w:position w:val="1"/>
        </w:rPr>
        <w:t>its</w:t>
      </w:r>
      <w:r w:rsidR="00033D0F">
        <w:rPr>
          <w:spacing w:val="-1"/>
          <w:position w:val="1"/>
        </w:rPr>
        <w:t xml:space="preserve"> </w:t>
      </w:r>
      <w:r w:rsidR="00033D0F">
        <w:rPr>
          <w:position w:val="1"/>
        </w:rPr>
        <w:t>first</w:t>
      </w:r>
      <w:r w:rsidR="00033D0F">
        <w:rPr>
          <w:spacing w:val="-2"/>
          <w:position w:val="1"/>
        </w:rPr>
        <w:t xml:space="preserve"> </w:t>
      </w:r>
      <w:r w:rsidR="00033D0F">
        <w:rPr>
          <w:position w:val="1"/>
        </w:rPr>
        <w:t>written</w:t>
      </w:r>
      <w:r w:rsidR="00033D0F">
        <w:rPr>
          <w:spacing w:val="-4"/>
          <w:position w:val="1"/>
        </w:rPr>
        <w:t xml:space="preserve"> </w:t>
      </w:r>
      <w:r w:rsidR="00033D0F">
        <w:rPr>
          <w:position w:val="1"/>
        </w:rPr>
        <w:t>submission, Australia</w:t>
      </w:r>
      <w:r w:rsidR="00033D0F">
        <w:rPr>
          <w:spacing w:val="-3"/>
          <w:position w:val="1"/>
        </w:rPr>
        <w:t xml:space="preserve"> </w:t>
      </w:r>
      <w:r w:rsidR="00033D0F">
        <w:rPr>
          <w:position w:val="1"/>
        </w:rPr>
        <w:t>submitted</w:t>
      </w:r>
      <w:r w:rsidR="00033D0F">
        <w:rPr>
          <w:spacing w:val="-4"/>
          <w:position w:val="1"/>
        </w:rPr>
        <w:t xml:space="preserve"> </w:t>
      </w:r>
      <w:r w:rsidR="00033D0F">
        <w:rPr>
          <w:position w:val="1"/>
        </w:rPr>
        <w:t>that</w:t>
      </w:r>
      <w:r w:rsidR="00033D0F">
        <w:rPr>
          <w:spacing w:val="-2"/>
          <w:position w:val="1"/>
        </w:rPr>
        <w:t xml:space="preserve"> </w:t>
      </w:r>
      <w:r w:rsidR="00033D0F">
        <w:rPr>
          <w:position w:val="1"/>
        </w:rPr>
        <w:t>there</w:t>
      </w:r>
      <w:r w:rsidR="00033D0F">
        <w:rPr>
          <w:spacing w:val="-2"/>
          <w:position w:val="1"/>
        </w:rPr>
        <w:t xml:space="preserve"> </w:t>
      </w:r>
      <w:r w:rsidR="00033D0F">
        <w:rPr>
          <w:position w:val="1"/>
        </w:rPr>
        <w:t>is</w:t>
      </w:r>
      <w:r w:rsidR="00033D0F">
        <w:rPr>
          <w:spacing w:val="-1"/>
          <w:position w:val="1"/>
        </w:rPr>
        <w:t xml:space="preserve"> </w:t>
      </w:r>
      <w:r w:rsidR="00033D0F">
        <w:rPr>
          <w:position w:val="1"/>
        </w:rPr>
        <w:t>nothing</w:t>
      </w:r>
      <w:r w:rsidR="00033D0F">
        <w:rPr>
          <w:spacing w:val="-1"/>
          <w:position w:val="1"/>
        </w:rPr>
        <w:t xml:space="preserve"> </w:t>
      </w:r>
      <w:r w:rsidR="00033D0F">
        <w:rPr>
          <w:position w:val="1"/>
        </w:rPr>
        <w:t>in</w:t>
      </w:r>
      <w:r w:rsidR="00033D0F">
        <w:rPr>
          <w:spacing w:val="-4"/>
          <w:position w:val="1"/>
        </w:rPr>
        <w:t xml:space="preserve"> </w:t>
      </w:r>
      <w:r w:rsidR="00033D0F">
        <w:rPr>
          <w:position w:val="1"/>
        </w:rPr>
        <w:t>the</w:t>
      </w:r>
      <w:r w:rsidR="00033D0F">
        <w:rPr>
          <w:spacing w:val="-3"/>
          <w:position w:val="1"/>
        </w:rPr>
        <w:t xml:space="preserve"> </w:t>
      </w:r>
      <w:r w:rsidR="00033D0F">
        <w:rPr>
          <w:position w:val="1"/>
        </w:rPr>
        <w:t xml:space="preserve">record </w:t>
      </w:r>
      <w:r w:rsidR="00033D0F">
        <w:t>to</w:t>
      </w:r>
      <w:r w:rsidR="00033D0F">
        <w:rPr>
          <w:spacing w:val="-4"/>
        </w:rPr>
        <w:t xml:space="preserve"> </w:t>
      </w:r>
      <w:r w:rsidR="00033D0F">
        <w:t>show</w:t>
      </w:r>
      <w:r w:rsidR="00033D0F">
        <w:rPr>
          <w:spacing w:val="-1"/>
        </w:rPr>
        <w:t xml:space="preserve"> </w:t>
      </w:r>
      <w:r w:rsidR="00033D0F">
        <w:t>that MOFCOM</w:t>
      </w:r>
      <w:r w:rsidR="00033D0F">
        <w:rPr>
          <w:spacing w:val="-1"/>
        </w:rPr>
        <w:t xml:space="preserve"> </w:t>
      </w:r>
      <w:r w:rsidR="00033D0F">
        <w:t>did</w:t>
      </w:r>
      <w:r w:rsidR="00033D0F">
        <w:rPr>
          <w:spacing w:val="-3"/>
        </w:rPr>
        <w:t xml:space="preserve"> </w:t>
      </w:r>
      <w:r w:rsidR="00033D0F">
        <w:t>anything to</w:t>
      </w:r>
      <w:r w:rsidR="00033D0F">
        <w:rPr>
          <w:spacing w:val="-4"/>
        </w:rPr>
        <w:t xml:space="preserve"> </w:t>
      </w:r>
      <w:r w:rsidR="00033D0F">
        <w:t>satisfy itself</w:t>
      </w:r>
      <w:r w:rsidR="00033D0F">
        <w:rPr>
          <w:spacing w:val="-3"/>
        </w:rPr>
        <w:t xml:space="preserve"> </w:t>
      </w:r>
      <w:r w:rsidR="00033D0F">
        <w:t>of the</w:t>
      </w:r>
      <w:r w:rsidR="00033D0F">
        <w:rPr>
          <w:spacing w:val="-2"/>
        </w:rPr>
        <w:t xml:space="preserve"> </w:t>
      </w:r>
      <w:r w:rsidR="00033D0F">
        <w:t>accuracy of the data</w:t>
      </w:r>
      <w:r w:rsidR="00033D0F">
        <w:rPr>
          <w:spacing w:val="-2"/>
        </w:rPr>
        <w:t xml:space="preserve"> </w:t>
      </w:r>
      <w:r w:rsidR="00033D0F">
        <w:t>upon which</w:t>
      </w:r>
      <w:r w:rsidR="00033D0F">
        <w:rPr>
          <w:spacing w:val="-3"/>
        </w:rPr>
        <w:t xml:space="preserve"> </w:t>
      </w:r>
      <w:r w:rsidR="00033D0F">
        <w:t>it relied for the selection of the sample, despite a direct challenge to the accuracy of the data from Pernod Ricard.</w:t>
      </w:r>
      <w:hyperlink w:anchor="_bookmark1419" w:history="1">
        <w:r w:rsidR="00033D0F">
          <w:rPr>
            <w:vertAlign w:val="superscript"/>
          </w:rPr>
          <w:t>1223</w:t>
        </w:r>
      </w:hyperlink>
    </w:p>
    <w:p w14:paraId="7E5A814E" w14:textId="77777777" w:rsidR="00BD462C" w:rsidRDefault="00BD462C">
      <w:pPr>
        <w:pStyle w:val="BodyText"/>
        <w:spacing w:before="4"/>
        <w:rPr>
          <w:sz w:val="8"/>
        </w:rPr>
      </w:pPr>
    </w:p>
    <w:p w14:paraId="711F8C1D" w14:textId="1F158C3C" w:rsidR="00BD462C" w:rsidRDefault="005F4A68">
      <w:pPr>
        <w:pStyle w:val="BodyText"/>
        <w:spacing w:before="56" w:line="360" w:lineRule="auto"/>
        <w:ind w:left="135" w:right="914"/>
        <w:jc w:val="both"/>
      </w:pPr>
      <w:r>
        <w:rPr>
          <w:noProof/>
        </w:rPr>
        <w:t>829.</w:t>
      </w:r>
      <w:r w:rsidR="00033D0F">
        <w:rPr>
          <w:rFonts w:ascii="Times New Roman"/>
          <w:spacing w:val="40"/>
          <w:position w:val="1"/>
          <w:sz w:val="20"/>
        </w:rPr>
        <w:t xml:space="preserve">  </w:t>
      </w:r>
      <w:r w:rsidR="00033D0F">
        <w:rPr>
          <w:position w:val="1"/>
        </w:rPr>
        <w:t xml:space="preserve">China's response, at least initially, was to assert that there is "ample evidence" of </w:t>
      </w:r>
      <w:r w:rsidR="00033D0F">
        <w:t>MOFCOM's examination of the accuracy of the data.</w:t>
      </w:r>
      <w:hyperlink w:anchor="_bookmark1420" w:history="1">
        <w:r w:rsidR="00033D0F">
          <w:rPr>
            <w:vertAlign w:val="superscript"/>
          </w:rPr>
          <w:t>1224</w:t>
        </w:r>
      </w:hyperlink>
      <w:r w:rsidR="00033D0F">
        <w:t xml:space="preserve"> However, the sole "evidence" that China identifies is MOFCOM's statements in</w:t>
      </w:r>
      <w:r w:rsidR="00033D0F">
        <w:rPr>
          <w:spacing w:val="-1"/>
        </w:rPr>
        <w:t xml:space="preserve"> </w:t>
      </w:r>
      <w:r w:rsidR="00033D0F">
        <w:t>the Final Determination that it could only select three companies for the sample, and that Pernod Ricard "did not fall into the top three category [sic]".</w:t>
      </w:r>
      <w:hyperlink w:anchor="_bookmark1421" w:history="1">
        <w:r w:rsidR="00033D0F">
          <w:rPr>
            <w:vertAlign w:val="superscript"/>
          </w:rPr>
          <w:t>1225</w:t>
        </w:r>
      </w:hyperlink>
      <w:r w:rsidR="00033D0F">
        <w:t xml:space="preserve"> China considers that these statements show the accuracy of the data was examined by MOFCOM through "juxtaposing" Pernod Ricard's data with data submitted by the other Australian wine producers.</w:t>
      </w:r>
      <w:hyperlink w:anchor="_bookmark1422" w:history="1">
        <w:r w:rsidR="00033D0F">
          <w:rPr>
            <w:vertAlign w:val="superscript"/>
          </w:rPr>
          <w:t>1226</w:t>
        </w:r>
      </w:hyperlink>
    </w:p>
    <w:p w14:paraId="624F1B43" w14:textId="77777777" w:rsidR="00BD462C" w:rsidRDefault="00BD462C">
      <w:pPr>
        <w:pStyle w:val="BodyText"/>
        <w:spacing w:before="10"/>
        <w:rPr>
          <w:sz w:val="8"/>
        </w:rPr>
      </w:pPr>
    </w:p>
    <w:p w14:paraId="0FD5B462" w14:textId="0C31D35D" w:rsidR="00BD462C" w:rsidRDefault="005F4A68">
      <w:pPr>
        <w:pStyle w:val="BodyText"/>
        <w:spacing w:before="56" w:line="360" w:lineRule="auto"/>
        <w:ind w:left="136" w:right="919"/>
        <w:jc w:val="both"/>
      </w:pPr>
      <w:r>
        <w:rPr>
          <w:noProof/>
        </w:rPr>
        <w:t>830.</w:t>
      </w:r>
      <w:r w:rsidR="00033D0F">
        <w:rPr>
          <w:rFonts w:ascii="Times New Roman"/>
          <w:spacing w:val="80"/>
          <w:position w:val="1"/>
          <w:sz w:val="20"/>
        </w:rPr>
        <w:t xml:space="preserve">  </w:t>
      </w:r>
      <w:r w:rsidR="00033D0F">
        <w:rPr>
          <w:position w:val="1"/>
        </w:rPr>
        <w:t>None of the</w:t>
      </w:r>
      <w:r w:rsidR="00033D0F">
        <w:rPr>
          <w:spacing w:val="-3"/>
          <w:position w:val="1"/>
        </w:rPr>
        <w:t xml:space="preserve"> </w:t>
      </w:r>
      <w:r w:rsidR="00033D0F">
        <w:rPr>
          <w:position w:val="1"/>
        </w:rPr>
        <w:t>steps</w:t>
      </w:r>
      <w:r w:rsidR="00033D0F">
        <w:rPr>
          <w:spacing w:val="-1"/>
          <w:position w:val="1"/>
        </w:rPr>
        <w:t xml:space="preserve"> </w:t>
      </w:r>
      <w:r w:rsidR="00033D0F">
        <w:rPr>
          <w:position w:val="1"/>
        </w:rPr>
        <w:t>China</w:t>
      </w:r>
      <w:r w:rsidR="00033D0F">
        <w:rPr>
          <w:spacing w:val="-2"/>
          <w:position w:val="1"/>
        </w:rPr>
        <w:t xml:space="preserve"> </w:t>
      </w:r>
      <w:r w:rsidR="00033D0F">
        <w:rPr>
          <w:position w:val="1"/>
        </w:rPr>
        <w:t>described involve</w:t>
      </w:r>
      <w:r w:rsidR="00033D0F">
        <w:rPr>
          <w:spacing w:val="-2"/>
          <w:position w:val="1"/>
        </w:rPr>
        <w:t xml:space="preserve"> </w:t>
      </w:r>
      <w:r w:rsidR="00033D0F">
        <w:rPr>
          <w:position w:val="1"/>
        </w:rPr>
        <w:t>any</w:t>
      </w:r>
      <w:r w:rsidR="00033D0F">
        <w:rPr>
          <w:spacing w:val="-1"/>
          <w:position w:val="1"/>
        </w:rPr>
        <w:t xml:space="preserve"> </w:t>
      </w:r>
      <w:r w:rsidR="00033D0F">
        <w:rPr>
          <w:position w:val="1"/>
        </w:rPr>
        <w:t>attempt</w:t>
      </w:r>
      <w:r w:rsidR="00033D0F">
        <w:rPr>
          <w:spacing w:val="-2"/>
          <w:position w:val="1"/>
        </w:rPr>
        <w:t xml:space="preserve"> </w:t>
      </w:r>
      <w:r w:rsidR="00033D0F">
        <w:rPr>
          <w:position w:val="1"/>
        </w:rPr>
        <w:t>to</w:t>
      </w:r>
      <w:r w:rsidR="00033D0F">
        <w:rPr>
          <w:spacing w:val="-5"/>
          <w:position w:val="1"/>
        </w:rPr>
        <w:t xml:space="preserve"> </w:t>
      </w:r>
      <w:r w:rsidR="00033D0F">
        <w:rPr>
          <w:position w:val="1"/>
        </w:rPr>
        <w:t>assess</w:t>
      </w:r>
      <w:r w:rsidR="00033D0F">
        <w:rPr>
          <w:spacing w:val="-1"/>
          <w:position w:val="1"/>
        </w:rPr>
        <w:t xml:space="preserve"> </w:t>
      </w:r>
      <w:r w:rsidR="00033D0F">
        <w:rPr>
          <w:position w:val="1"/>
        </w:rPr>
        <w:t>the</w:t>
      </w:r>
      <w:r w:rsidR="00033D0F">
        <w:rPr>
          <w:spacing w:val="-3"/>
          <w:position w:val="1"/>
        </w:rPr>
        <w:t xml:space="preserve"> </w:t>
      </w:r>
      <w:r w:rsidR="00033D0F">
        <w:rPr>
          <w:i/>
          <w:position w:val="1"/>
        </w:rPr>
        <w:t>accuracy</w:t>
      </w:r>
      <w:r w:rsidR="00033D0F">
        <w:rPr>
          <w:i/>
          <w:spacing w:val="-4"/>
          <w:position w:val="1"/>
        </w:rPr>
        <w:t xml:space="preserve"> </w:t>
      </w:r>
      <w:r w:rsidR="00033D0F">
        <w:rPr>
          <w:position w:val="1"/>
        </w:rPr>
        <w:t>of</w:t>
      </w:r>
      <w:r w:rsidR="00033D0F">
        <w:rPr>
          <w:spacing w:val="-4"/>
          <w:position w:val="1"/>
        </w:rPr>
        <w:t xml:space="preserve"> </w:t>
      </w:r>
      <w:r w:rsidR="00033D0F">
        <w:rPr>
          <w:position w:val="1"/>
        </w:rPr>
        <w:t xml:space="preserve">the </w:t>
      </w:r>
      <w:r w:rsidR="00033D0F">
        <w:t>data</w:t>
      </w:r>
      <w:r w:rsidR="00033D0F">
        <w:rPr>
          <w:spacing w:val="-8"/>
        </w:rPr>
        <w:t xml:space="preserve"> </w:t>
      </w:r>
      <w:r w:rsidR="00033D0F">
        <w:t>used</w:t>
      </w:r>
      <w:r w:rsidR="00033D0F">
        <w:rPr>
          <w:spacing w:val="-9"/>
        </w:rPr>
        <w:t xml:space="preserve"> </w:t>
      </w:r>
      <w:r w:rsidR="00033D0F">
        <w:t>in</w:t>
      </w:r>
      <w:r w:rsidR="00033D0F">
        <w:rPr>
          <w:spacing w:val="-4"/>
        </w:rPr>
        <w:t xml:space="preserve"> </w:t>
      </w:r>
      <w:r w:rsidR="00033D0F">
        <w:t>the</w:t>
      </w:r>
      <w:r w:rsidR="00033D0F">
        <w:rPr>
          <w:spacing w:val="-7"/>
        </w:rPr>
        <w:t xml:space="preserve"> </w:t>
      </w:r>
      <w:r w:rsidR="00033D0F">
        <w:t>sample.</w:t>
      </w:r>
      <w:r w:rsidR="00033D0F">
        <w:rPr>
          <w:spacing w:val="-6"/>
        </w:rPr>
        <w:t xml:space="preserve"> </w:t>
      </w:r>
      <w:r w:rsidR="00033D0F">
        <w:t>Each</w:t>
      </w:r>
      <w:r w:rsidR="00033D0F">
        <w:rPr>
          <w:spacing w:val="-4"/>
        </w:rPr>
        <w:t xml:space="preserve"> </w:t>
      </w:r>
      <w:r w:rsidR="00033D0F">
        <w:t>of</w:t>
      </w:r>
      <w:r w:rsidR="00033D0F">
        <w:rPr>
          <w:spacing w:val="-4"/>
        </w:rPr>
        <w:t xml:space="preserve"> </w:t>
      </w:r>
      <w:r w:rsidR="00033D0F">
        <w:t>them</w:t>
      </w:r>
      <w:r w:rsidR="00033D0F">
        <w:rPr>
          <w:spacing w:val="-3"/>
        </w:rPr>
        <w:t xml:space="preserve"> </w:t>
      </w:r>
      <w:r w:rsidR="00033D0F">
        <w:t>involves</w:t>
      </w:r>
      <w:r w:rsidR="00033D0F">
        <w:rPr>
          <w:spacing w:val="-6"/>
        </w:rPr>
        <w:t xml:space="preserve"> </w:t>
      </w:r>
      <w:r w:rsidR="00033D0F">
        <w:t>MOFCOM</w:t>
      </w:r>
      <w:r w:rsidR="00033D0F">
        <w:rPr>
          <w:spacing w:val="-7"/>
        </w:rPr>
        <w:t xml:space="preserve"> </w:t>
      </w:r>
      <w:r w:rsidR="00033D0F">
        <w:t>uncritically</w:t>
      </w:r>
      <w:r w:rsidR="00033D0F">
        <w:rPr>
          <w:spacing w:val="-6"/>
        </w:rPr>
        <w:t xml:space="preserve"> </w:t>
      </w:r>
      <w:r w:rsidR="00033D0F">
        <w:t>treating</w:t>
      </w:r>
      <w:r w:rsidR="00033D0F">
        <w:rPr>
          <w:spacing w:val="-6"/>
        </w:rPr>
        <w:t xml:space="preserve"> </w:t>
      </w:r>
      <w:r w:rsidR="00033D0F">
        <w:t>the</w:t>
      </w:r>
      <w:r w:rsidR="00033D0F">
        <w:rPr>
          <w:spacing w:val="-7"/>
        </w:rPr>
        <w:t xml:space="preserve"> </w:t>
      </w:r>
      <w:r w:rsidR="00033D0F">
        <w:t>data</w:t>
      </w:r>
      <w:r w:rsidR="00033D0F">
        <w:rPr>
          <w:spacing w:val="-8"/>
        </w:rPr>
        <w:t xml:space="preserve"> </w:t>
      </w:r>
      <w:r w:rsidR="00033D0F">
        <w:t>before it as accurate. As China acknowledged in its response to the Panel's questions, the "juxtaposing"</w:t>
      </w:r>
      <w:r w:rsidR="00033D0F">
        <w:rPr>
          <w:spacing w:val="-14"/>
        </w:rPr>
        <w:t xml:space="preserve"> </w:t>
      </w:r>
      <w:r w:rsidR="00033D0F">
        <w:t>involved</w:t>
      </w:r>
      <w:r w:rsidR="00033D0F">
        <w:rPr>
          <w:spacing w:val="-14"/>
        </w:rPr>
        <w:t xml:space="preserve"> </w:t>
      </w:r>
      <w:r w:rsidR="00033D0F">
        <w:t>nothing</w:t>
      </w:r>
      <w:r w:rsidR="00033D0F">
        <w:rPr>
          <w:spacing w:val="-11"/>
        </w:rPr>
        <w:t xml:space="preserve"> </w:t>
      </w:r>
      <w:r w:rsidR="00033D0F">
        <w:t>more</w:t>
      </w:r>
      <w:r w:rsidR="00033D0F">
        <w:rPr>
          <w:spacing w:val="-8"/>
        </w:rPr>
        <w:t xml:space="preserve"> </w:t>
      </w:r>
      <w:r w:rsidR="00033D0F">
        <w:t>than</w:t>
      </w:r>
      <w:r w:rsidR="00033D0F">
        <w:rPr>
          <w:spacing w:val="-14"/>
        </w:rPr>
        <w:t xml:space="preserve"> </w:t>
      </w:r>
      <w:r w:rsidR="00033D0F">
        <w:t>a</w:t>
      </w:r>
      <w:r w:rsidR="00033D0F">
        <w:rPr>
          <w:spacing w:val="-8"/>
        </w:rPr>
        <w:t xml:space="preserve"> </w:t>
      </w:r>
      <w:r w:rsidR="00033D0F">
        <w:t>sequencing</w:t>
      </w:r>
      <w:r w:rsidR="00033D0F">
        <w:rPr>
          <w:spacing w:val="-11"/>
        </w:rPr>
        <w:t xml:space="preserve"> </w:t>
      </w:r>
      <w:r w:rsidR="00033D0F">
        <w:t>of</w:t>
      </w:r>
      <w:r w:rsidR="00033D0F">
        <w:rPr>
          <w:spacing w:val="-14"/>
        </w:rPr>
        <w:t xml:space="preserve"> </w:t>
      </w:r>
      <w:r w:rsidR="00033D0F">
        <w:t>the</w:t>
      </w:r>
      <w:r w:rsidR="00033D0F">
        <w:rPr>
          <w:spacing w:val="-7"/>
        </w:rPr>
        <w:t xml:space="preserve"> </w:t>
      </w:r>
      <w:r w:rsidR="00033D0F">
        <w:t>data</w:t>
      </w:r>
      <w:r w:rsidR="00033D0F">
        <w:rPr>
          <w:spacing w:val="-12"/>
        </w:rPr>
        <w:t xml:space="preserve"> </w:t>
      </w:r>
      <w:r w:rsidR="00033D0F">
        <w:t>to</w:t>
      </w:r>
      <w:r w:rsidR="00033D0F">
        <w:rPr>
          <w:spacing w:val="-11"/>
        </w:rPr>
        <w:t xml:space="preserve"> </w:t>
      </w:r>
      <w:r w:rsidR="00033D0F">
        <w:t>identify</w:t>
      </w:r>
      <w:r w:rsidR="00033D0F">
        <w:rPr>
          <w:spacing w:val="-12"/>
        </w:rPr>
        <w:t xml:space="preserve"> </w:t>
      </w:r>
      <w:r w:rsidR="00033D0F">
        <w:t>which</w:t>
      </w:r>
      <w:r w:rsidR="00033D0F">
        <w:rPr>
          <w:spacing w:val="-14"/>
        </w:rPr>
        <w:t xml:space="preserve"> </w:t>
      </w:r>
      <w:r w:rsidR="00033D0F">
        <w:t>company claimed</w:t>
      </w:r>
      <w:r w:rsidR="00033D0F">
        <w:rPr>
          <w:spacing w:val="-3"/>
        </w:rPr>
        <w:t xml:space="preserve"> </w:t>
      </w:r>
      <w:r w:rsidR="00033D0F">
        <w:t>the</w:t>
      </w:r>
      <w:r w:rsidR="00033D0F">
        <w:rPr>
          <w:spacing w:val="-2"/>
        </w:rPr>
        <w:t xml:space="preserve"> </w:t>
      </w:r>
      <w:r w:rsidR="00033D0F">
        <w:t>largest</w:t>
      </w:r>
      <w:r w:rsidR="00033D0F">
        <w:rPr>
          <w:spacing w:val="-1"/>
        </w:rPr>
        <w:t xml:space="preserve"> </w:t>
      </w:r>
      <w:r w:rsidR="00033D0F">
        <w:t>exports.</w:t>
      </w:r>
      <w:hyperlink w:anchor="_bookmark1423" w:history="1">
        <w:r w:rsidR="00033D0F">
          <w:rPr>
            <w:vertAlign w:val="superscript"/>
          </w:rPr>
          <w:t>1227</w:t>
        </w:r>
      </w:hyperlink>
      <w:r w:rsidR="00033D0F">
        <w:rPr>
          <w:spacing w:val="-1"/>
        </w:rPr>
        <w:t xml:space="preserve"> </w:t>
      </w:r>
      <w:r w:rsidR="00033D0F">
        <w:t>It</w:t>
      </w:r>
      <w:r w:rsidR="00033D0F">
        <w:rPr>
          <w:spacing w:val="-1"/>
        </w:rPr>
        <w:t xml:space="preserve"> </w:t>
      </w:r>
      <w:r w:rsidR="00033D0F">
        <w:t>did</w:t>
      </w:r>
      <w:r w:rsidR="00033D0F">
        <w:rPr>
          <w:spacing w:val="-3"/>
        </w:rPr>
        <w:t xml:space="preserve"> </w:t>
      </w:r>
      <w:r w:rsidR="00033D0F">
        <w:t>not</w:t>
      </w:r>
      <w:r w:rsidR="00033D0F">
        <w:rPr>
          <w:spacing w:val="-1"/>
        </w:rPr>
        <w:t xml:space="preserve"> </w:t>
      </w:r>
      <w:r w:rsidR="00033D0F">
        <w:t>involve</w:t>
      </w:r>
      <w:r w:rsidR="00033D0F">
        <w:rPr>
          <w:spacing w:val="-1"/>
        </w:rPr>
        <w:t xml:space="preserve"> </w:t>
      </w:r>
      <w:r w:rsidR="00033D0F">
        <w:t>any assessment</w:t>
      </w:r>
      <w:r w:rsidR="00033D0F">
        <w:rPr>
          <w:spacing w:val="-1"/>
        </w:rPr>
        <w:t xml:space="preserve"> </w:t>
      </w:r>
      <w:r w:rsidR="00033D0F">
        <w:t>of</w:t>
      </w:r>
      <w:r w:rsidR="00033D0F">
        <w:rPr>
          <w:spacing w:val="-3"/>
        </w:rPr>
        <w:t xml:space="preserve"> </w:t>
      </w:r>
      <w:r w:rsidR="00033D0F">
        <w:t>the</w:t>
      </w:r>
      <w:r w:rsidR="00033D0F">
        <w:rPr>
          <w:spacing w:val="-2"/>
        </w:rPr>
        <w:t xml:space="preserve"> </w:t>
      </w:r>
      <w:r w:rsidR="00033D0F">
        <w:t>accuracy of</w:t>
      </w:r>
      <w:r w:rsidR="00033D0F">
        <w:rPr>
          <w:spacing w:val="-3"/>
        </w:rPr>
        <w:t xml:space="preserve"> </w:t>
      </w:r>
      <w:r w:rsidR="00033D0F">
        <w:t>the data.</w:t>
      </w:r>
    </w:p>
    <w:p w14:paraId="1475BB51" w14:textId="77777777" w:rsidR="00BD462C" w:rsidRDefault="00BD462C">
      <w:pPr>
        <w:pStyle w:val="BodyText"/>
        <w:spacing w:before="6"/>
        <w:rPr>
          <w:sz w:val="8"/>
        </w:rPr>
      </w:pPr>
    </w:p>
    <w:p w14:paraId="039FD03F" w14:textId="1630C3CD" w:rsidR="00BD462C" w:rsidRDefault="005F4A68">
      <w:pPr>
        <w:pStyle w:val="BodyText"/>
        <w:spacing w:before="56" w:line="357" w:lineRule="auto"/>
        <w:ind w:left="135" w:right="913"/>
        <w:jc w:val="both"/>
      </w:pPr>
      <w:r>
        <w:rPr>
          <w:noProof/>
        </w:rPr>
        <w:t>831.</w:t>
      </w:r>
      <w:r w:rsidR="00033D0F">
        <w:rPr>
          <w:rFonts w:ascii="Times New Roman"/>
          <w:spacing w:val="80"/>
          <w:position w:val="1"/>
          <w:sz w:val="20"/>
        </w:rPr>
        <w:t xml:space="preserve">  </w:t>
      </w:r>
      <w:r w:rsidR="00033D0F">
        <w:rPr>
          <w:position w:val="1"/>
        </w:rPr>
        <w:t>Accordingly, even</w:t>
      </w:r>
      <w:r w:rsidR="00033D0F">
        <w:rPr>
          <w:spacing w:val="-4"/>
          <w:position w:val="1"/>
        </w:rPr>
        <w:t xml:space="preserve"> </w:t>
      </w:r>
      <w:r w:rsidR="00033D0F">
        <w:rPr>
          <w:position w:val="1"/>
        </w:rPr>
        <w:t>on</w:t>
      </w:r>
      <w:r w:rsidR="00033D0F">
        <w:rPr>
          <w:spacing w:val="-4"/>
          <w:position w:val="1"/>
        </w:rPr>
        <w:t xml:space="preserve"> </w:t>
      </w:r>
      <w:r w:rsidR="00033D0F">
        <w:rPr>
          <w:position w:val="1"/>
        </w:rPr>
        <w:t>the face of the</w:t>
      </w:r>
      <w:r w:rsidR="00033D0F">
        <w:rPr>
          <w:spacing w:val="-3"/>
          <w:position w:val="1"/>
        </w:rPr>
        <w:t xml:space="preserve"> </w:t>
      </w:r>
      <w:r w:rsidR="00033D0F">
        <w:rPr>
          <w:position w:val="1"/>
        </w:rPr>
        <w:t>arguments</w:t>
      </w:r>
      <w:r w:rsidR="00033D0F">
        <w:rPr>
          <w:spacing w:val="-1"/>
          <w:position w:val="1"/>
        </w:rPr>
        <w:t xml:space="preserve"> </w:t>
      </w:r>
      <w:r w:rsidR="00033D0F">
        <w:rPr>
          <w:position w:val="1"/>
        </w:rPr>
        <w:t>in China's</w:t>
      </w:r>
      <w:r w:rsidR="00033D0F">
        <w:rPr>
          <w:spacing w:val="-1"/>
          <w:position w:val="1"/>
        </w:rPr>
        <w:t xml:space="preserve"> </w:t>
      </w:r>
      <w:r w:rsidR="00033D0F">
        <w:rPr>
          <w:position w:val="1"/>
        </w:rPr>
        <w:t>first</w:t>
      </w:r>
      <w:r w:rsidR="00033D0F">
        <w:rPr>
          <w:spacing w:val="-2"/>
          <w:position w:val="1"/>
        </w:rPr>
        <w:t xml:space="preserve"> </w:t>
      </w:r>
      <w:r w:rsidR="00033D0F">
        <w:rPr>
          <w:position w:val="1"/>
        </w:rPr>
        <w:t>written</w:t>
      </w:r>
      <w:r w:rsidR="00033D0F">
        <w:rPr>
          <w:spacing w:val="-4"/>
          <w:position w:val="1"/>
        </w:rPr>
        <w:t xml:space="preserve"> </w:t>
      </w:r>
      <w:r w:rsidR="00033D0F">
        <w:rPr>
          <w:position w:val="1"/>
        </w:rPr>
        <w:t xml:space="preserve">submission, it </w:t>
      </w:r>
      <w:r w:rsidR="00033D0F">
        <w:t>is</w:t>
      </w:r>
      <w:r w:rsidR="00033D0F">
        <w:rPr>
          <w:spacing w:val="-7"/>
        </w:rPr>
        <w:t xml:space="preserve"> </w:t>
      </w:r>
      <w:r w:rsidR="00033D0F">
        <w:t>evident</w:t>
      </w:r>
      <w:r w:rsidR="00033D0F">
        <w:rPr>
          <w:spacing w:val="-8"/>
        </w:rPr>
        <w:t xml:space="preserve"> </w:t>
      </w:r>
      <w:r w:rsidR="00033D0F">
        <w:t>that</w:t>
      </w:r>
      <w:r w:rsidR="00033D0F">
        <w:rPr>
          <w:spacing w:val="-8"/>
        </w:rPr>
        <w:t xml:space="preserve"> </w:t>
      </w:r>
      <w:r w:rsidR="00033D0F">
        <w:t>nothing</w:t>
      </w:r>
      <w:r w:rsidR="00033D0F">
        <w:rPr>
          <w:spacing w:val="-7"/>
        </w:rPr>
        <w:t xml:space="preserve"> </w:t>
      </w:r>
      <w:r w:rsidR="00033D0F">
        <w:t>was</w:t>
      </w:r>
      <w:r w:rsidR="00033D0F">
        <w:rPr>
          <w:spacing w:val="-7"/>
        </w:rPr>
        <w:t xml:space="preserve"> </w:t>
      </w:r>
      <w:r w:rsidR="00033D0F">
        <w:t>done</w:t>
      </w:r>
      <w:r w:rsidR="00033D0F">
        <w:rPr>
          <w:spacing w:val="-8"/>
        </w:rPr>
        <w:t xml:space="preserve"> </w:t>
      </w:r>
      <w:r w:rsidR="00033D0F">
        <w:t>to</w:t>
      </w:r>
      <w:r w:rsidR="00033D0F">
        <w:rPr>
          <w:spacing w:val="-10"/>
        </w:rPr>
        <w:t xml:space="preserve"> </w:t>
      </w:r>
      <w:r w:rsidR="00033D0F">
        <w:t>assess</w:t>
      </w:r>
      <w:r w:rsidR="00033D0F">
        <w:rPr>
          <w:spacing w:val="-7"/>
        </w:rPr>
        <w:t xml:space="preserve"> </w:t>
      </w:r>
      <w:r w:rsidR="00033D0F">
        <w:t>the</w:t>
      </w:r>
      <w:r w:rsidR="00033D0F">
        <w:rPr>
          <w:spacing w:val="-8"/>
        </w:rPr>
        <w:t xml:space="preserve"> </w:t>
      </w:r>
      <w:r w:rsidR="00033D0F">
        <w:t>accuracy</w:t>
      </w:r>
      <w:r w:rsidR="00033D0F">
        <w:rPr>
          <w:spacing w:val="-7"/>
        </w:rPr>
        <w:t xml:space="preserve"> </w:t>
      </w:r>
      <w:r w:rsidR="00033D0F">
        <w:t>of</w:t>
      </w:r>
      <w:r w:rsidR="00033D0F">
        <w:rPr>
          <w:spacing w:val="-10"/>
        </w:rPr>
        <w:t xml:space="preserve"> </w:t>
      </w:r>
      <w:r w:rsidR="00033D0F">
        <w:t>the</w:t>
      </w:r>
      <w:r w:rsidR="00033D0F">
        <w:rPr>
          <w:spacing w:val="-4"/>
        </w:rPr>
        <w:t xml:space="preserve"> </w:t>
      </w:r>
      <w:r w:rsidR="00033D0F">
        <w:t>data,</w:t>
      </w:r>
      <w:r w:rsidR="00033D0F">
        <w:rPr>
          <w:spacing w:val="-6"/>
        </w:rPr>
        <w:t xml:space="preserve"> </w:t>
      </w:r>
      <w:r w:rsidR="00033D0F">
        <w:t>which</w:t>
      </w:r>
      <w:r w:rsidR="00033D0F">
        <w:rPr>
          <w:spacing w:val="-10"/>
        </w:rPr>
        <w:t xml:space="preserve"> </w:t>
      </w:r>
      <w:r w:rsidR="00033D0F">
        <w:t>was</w:t>
      </w:r>
      <w:r w:rsidR="00033D0F">
        <w:rPr>
          <w:spacing w:val="-7"/>
        </w:rPr>
        <w:t xml:space="preserve"> </w:t>
      </w:r>
      <w:r w:rsidR="00033D0F">
        <w:t>relied</w:t>
      </w:r>
      <w:r w:rsidR="00033D0F">
        <w:rPr>
          <w:spacing w:val="-10"/>
        </w:rPr>
        <w:t xml:space="preserve"> </w:t>
      </w:r>
      <w:r w:rsidR="00033D0F">
        <w:t>upon</w:t>
      </w:r>
      <w:r w:rsidR="00033D0F">
        <w:rPr>
          <w:spacing w:val="-10"/>
        </w:rPr>
        <w:t xml:space="preserve"> </w:t>
      </w:r>
      <w:r w:rsidR="00033D0F">
        <w:t>for the significant step of selecting the sampled companies.</w:t>
      </w:r>
    </w:p>
    <w:p w14:paraId="2504AEBF" w14:textId="77777777" w:rsidR="00BD462C" w:rsidRDefault="00BD462C">
      <w:pPr>
        <w:pStyle w:val="BodyText"/>
        <w:spacing w:before="3"/>
        <w:rPr>
          <w:sz w:val="9"/>
        </w:rPr>
      </w:pPr>
    </w:p>
    <w:p w14:paraId="3FB08F28" w14:textId="7D355768" w:rsidR="00BD462C" w:rsidRDefault="005F4A68">
      <w:pPr>
        <w:pStyle w:val="BodyText"/>
        <w:spacing w:before="56" w:line="357" w:lineRule="auto"/>
        <w:ind w:left="135" w:right="916"/>
        <w:jc w:val="both"/>
      </w:pPr>
      <w:r>
        <w:rPr>
          <w:noProof/>
        </w:rPr>
        <w:t>832.</w:t>
      </w:r>
      <w:r w:rsidR="00033D0F">
        <w:rPr>
          <w:rFonts w:ascii="Times New Roman" w:hAnsi="Times New Roman"/>
          <w:spacing w:val="80"/>
          <w:position w:val="1"/>
          <w:sz w:val="20"/>
        </w:rPr>
        <w:t xml:space="preserve"> </w:t>
      </w:r>
      <w:r w:rsidR="00033D0F">
        <w:rPr>
          <w:position w:val="1"/>
        </w:rPr>
        <w:t>In</w:t>
      </w:r>
      <w:r w:rsidR="00033D0F">
        <w:rPr>
          <w:spacing w:val="-4"/>
          <w:position w:val="1"/>
        </w:rPr>
        <w:t xml:space="preserve"> </w:t>
      </w:r>
      <w:r w:rsidR="00033D0F">
        <w:rPr>
          <w:position w:val="1"/>
        </w:rPr>
        <w:t>its</w:t>
      </w:r>
      <w:r w:rsidR="00033D0F">
        <w:rPr>
          <w:spacing w:val="-1"/>
          <w:position w:val="1"/>
        </w:rPr>
        <w:t xml:space="preserve"> </w:t>
      </w:r>
      <w:r w:rsidR="00033D0F">
        <w:rPr>
          <w:position w:val="1"/>
        </w:rPr>
        <w:t>response</w:t>
      </w:r>
      <w:r w:rsidR="00033D0F">
        <w:rPr>
          <w:spacing w:val="-2"/>
          <w:position w:val="1"/>
        </w:rPr>
        <w:t xml:space="preserve"> </w:t>
      </w:r>
      <w:r w:rsidR="00033D0F">
        <w:rPr>
          <w:position w:val="1"/>
        </w:rPr>
        <w:t>to</w:t>
      </w:r>
      <w:r w:rsidR="00033D0F">
        <w:rPr>
          <w:spacing w:val="-5"/>
          <w:position w:val="1"/>
        </w:rPr>
        <w:t xml:space="preserve"> </w:t>
      </w:r>
      <w:r w:rsidR="00033D0F">
        <w:rPr>
          <w:position w:val="1"/>
        </w:rPr>
        <w:t>the</w:t>
      </w:r>
      <w:r w:rsidR="00033D0F">
        <w:rPr>
          <w:spacing w:val="-3"/>
          <w:position w:val="1"/>
        </w:rPr>
        <w:t xml:space="preserve"> </w:t>
      </w:r>
      <w:r w:rsidR="00033D0F">
        <w:rPr>
          <w:position w:val="1"/>
        </w:rPr>
        <w:t>Panel's</w:t>
      </w:r>
      <w:r w:rsidR="00033D0F">
        <w:rPr>
          <w:spacing w:val="-1"/>
          <w:position w:val="1"/>
        </w:rPr>
        <w:t xml:space="preserve"> </w:t>
      </w:r>
      <w:r w:rsidR="00033D0F">
        <w:rPr>
          <w:position w:val="1"/>
        </w:rPr>
        <w:t>written</w:t>
      </w:r>
      <w:r w:rsidR="00033D0F">
        <w:rPr>
          <w:spacing w:val="-4"/>
          <w:position w:val="1"/>
        </w:rPr>
        <w:t xml:space="preserve"> </w:t>
      </w:r>
      <w:r w:rsidR="00033D0F">
        <w:rPr>
          <w:position w:val="1"/>
        </w:rPr>
        <w:t>questions, China's</w:t>
      </w:r>
      <w:r w:rsidR="00033D0F">
        <w:rPr>
          <w:spacing w:val="-1"/>
          <w:position w:val="1"/>
        </w:rPr>
        <w:t xml:space="preserve"> </w:t>
      </w:r>
      <w:r w:rsidR="00033D0F">
        <w:rPr>
          <w:position w:val="1"/>
        </w:rPr>
        <w:t>explanation</w:t>
      </w:r>
      <w:r w:rsidR="00033D0F">
        <w:rPr>
          <w:spacing w:val="-4"/>
          <w:position w:val="1"/>
        </w:rPr>
        <w:t xml:space="preserve"> </w:t>
      </w:r>
      <w:r w:rsidR="00033D0F">
        <w:rPr>
          <w:position w:val="1"/>
        </w:rPr>
        <w:t>shifted</w:t>
      </w:r>
      <w:r w:rsidR="00033D0F">
        <w:rPr>
          <w:spacing w:val="-4"/>
          <w:position w:val="1"/>
        </w:rPr>
        <w:t xml:space="preserve"> </w:t>
      </w:r>
      <w:r w:rsidR="00033D0F">
        <w:rPr>
          <w:position w:val="1"/>
        </w:rPr>
        <w:t>from</w:t>
      </w:r>
      <w:r w:rsidR="00033D0F">
        <w:rPr>
          <w:spacing w:val="-3"/>
          <w:position w:val="1"/>
        </w:rPr>
        <w:t xml:space="preserve"> </w:t>
      </w:r>
      <w:r w:rsidR="00033D0F">
        <w:rPr>
          <w:position w:val="1"/>
        </w:rPr>
        <w:t xml:space="preserve">the </w:t>
      </w:r>
      <w:r w:rsidR="00033D0F">
        <w:t xml:space="preserve">assertion made in its first written submission — </w:t>
      </w:r>
      <w:proofErr w:type="gramStart"/>
      <w:r w:rsidR="00033D0F">
        <w:t>i.e.</w:t>
      </w:r>
      <w:proofErr w:type="gramEnd"/>
      <w:r w:rsidR="00033D0F">
        <w:t xml:space="preserve"> that MOFCOM had in fact assessed the accuracy of</w:t>
      </w:r>
      <w:r w:rsidR="00033D0F">
        <w:rPr>
          <w:spacing w:val="-4"/>
        </w:rPr>
        <w:t xml:space="preserve"> </w:t>
      </w:r>
      <w:r w:rsidR="00033D0F">
        <w:t>the information</w:t>
      </w:r>
      <w:r w:rsidR="00033D0F">
        <w:rPr>
          <w:spacing w:val="-4"/>
        </w:rPr>
        <w:t xml:space="preserve"> </w:t>
      </w:r>
      <w:r w:rsidR="00033D0F">
        <w:t>— to</w:t>
      </w:r>
      <w:r w:rsidR="00033D0F">
        <w:rPr>
          <w:spacing w:val="-5"/>
        </w:rPr>
        <w:t xml:space="preserve"> </w:t>
      </w:r>
      <w:r w:rsidR="00033D0F">
        <w:t>a different</w:t>
      </w:r>
      <w:r w:rsidR="00033D0F">
        <w:rPr>
          <w:spacing w:val="-2"/>
        </w:rPr>
        <w:t xml:space="preserve"> </w:t>
      </w:r>
      <w:r w:rsidR="00033D0F">
        <w:t>assertion,</w:t>
      </w:r>
      <w:r w:rsidR="00033D0F">
        <w:rPr>
          <w:spacing w:val="-1"/>
        </w:rPr>
        <w:t xml:space="preserve"> </w:t>
      </w:r>
      <w:r w:rsidR="00033D0F">
        <w:t>which</w:t>
      </w:r>
      <w:r w:rsidR="00033D0F">
        <w:rPr>
          <w:spacing w:val="-4"/>
        </w:rPr>
        <w:t xml:space="preserve"> </w:t>
      </w:r>
      <w:r w:rsidR="00033D0F">
        <w:t>is</w:t>
      </w:r>
      <w:r w:rsidR="00033D0F">
        <w:rPr>
          <w:spacing w:val="-1"/>
        </w:rPr>
        <w:t xml:space="preserve"> </w:t>
      </w:r>
      <w:r w:rsidR="00033D0F">
        <w:t>that</w:t>
      </w:r>
      <w:r w:rsidR="00033D0F">
        <w:rPr>
          <w:spacing w:val="-2"/>
        </w:rPr>
        <w:t xml:space="preserve"> </w:t>
      </w:r>
      <w:r w:rsidR="00033D0F">
        <w:t>China</w:t>
      </w:r>
      <w:r w:rsidR="00033D0F">
        <w:rPr>
          <w:spacing w:val="-3"/>
        </w:rPr>
        <w:t xml:space="preserve"> </w:t>
      </w:r>
      <w:r w:rsidR="00033D0F">
        <w:t>considers</w:t>
      </w:r>
      <w:r w:rsidR="00033D0F">
        <w:rPr>
          <w:spacing w:val="-1"/>
        </w:rPr>
        <w:t xml:space="preserve"> </w:t>
      </w:r>
      <w:r w:rsidR="00033D0F">
        <w:t>that</w:t>
      </w:r>
      <w:r w:rsidR="00033D0F">
        <w:rPr>
          <w:spacing w:val="-2"/>
        </w:rPr>
        <w:t xml:space="preserve"> </w:t>
      </w:r>
      <w:r w:rsidR="00033D0F">
        <w:t>it</w:t>
      </w:r>
      <w:r w:rsidR="00033D0F">
        <w:rPr>
          <w:spacing w:val="-2"/>
        </w:rPr>
        <w:t xml:space="preserve"> </w:t>
      </w:r>
      <w:r w:rsidR="00033D0F">
        <w:t>is</w:t>
      </w:r>
    </w:p>
    <w:p w14:paraId="7370CD17" w14:textId="77777777" w:rsidR="00BD462C" w:rsidRDefault="00BD462C">
      <w:pPr>
        <w:pStyle w:val="BodyText"/>
        <w:rPr>
          <w:sz w:val="20"/>
        </w:rPr>
      </w:pPr>
    </w:p>
    <w:p w14:paraId="4978EA35" w14:textId="09831196" w:rsidR="00BD462C" w:rsidRDefault="00D70C7D">
      <w:pPr>
        <w:pStyle w:val="BodyText"/>
        <w:spacing w:before="2"/>
        <w:rPr>
          <w:sz w:val="23"/>
        </w:rPr>
      </w:pPr>
      <w:r>
        <w:rPr>
          <w:noProof/>
        </w:rPr>
        <mc:AlternateContent>
          <mc:Choice Requires="wps">
            <w:drawing>
              <wp:anchor distT="0" distB="0" distL="0" distR="0" simplePos="0" relativeHeight="487854080" behindDoc="1" locked="0" layoutInCell="1" allowOverlap="1" wp14:anchorId="1EFB580B" wp14:editId="5C21092A">
                <wp:simplePos x="0" y="0"/>
                <wp:positionH relativeFrom="page">
                  <wp:posOffset>899160</wp:posOffset>
                </wp:positionH>
                <wp:positionV relativeFrom="paragraph">
                  <wp:posOffset>195580</wp:posOffset>
                </wp:positionV>
                <wp:extent cx="1828800" cy="8890"/>
                <wp:effectExtent l="0" t="0" r="0" b="0"/>
                <wp:wrapTopAndBottom/>
                <wp:docPr id="302" name="docshape5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E7660F" id="docshape571" o:spid="_x0000_s1026" alt="&quot;&quot;" style="position:absolute;margin-left:70.8pt;margin-top:15.4pt;width:2in;height:.7pt;z-index:-1546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" fillcolor="black" stroked="f">
                <w10:wrap type="topAndBottom" anchorx="page"/>
              </v:rect>
            </w:pict>
          </mc:Fallback>
        </mc:AlternateContent>
      </w:r>
    </w:p>
    <w:p w14:paraId="3EBDE106" w14:textId="77777777" w:rsidR="00BD462C" w:rsidRDefault="00033D0F">
      <w:pPr>
        <w:spacing w:before="107"/>
        <w:ind w:left="135"/>
        <w:jc w:val="both"/>
        <w:rPr>
          <w:sz w:val="18"/>
        </w:rPr>
      </w:pPr>
      <w:bookmarkStart w:id="1648" w:name="_bookmark1419"/>
      <w:bookmarkEnd w:id="1648"/>
      <w:r>
        <w:rPr>
          <w:position w:val="5"/>
          <w:sz w:val="12"/>
        </w:rPr>
        <w:t>1223</w:t>
      </w:r>
      <w:r>
        <w:rPr>
          <w:spacing w:val="12"/>
          <w:position w:val="5"/>
          <w:sz w:val="12"/>
        </w:rPr>
        <w:t xml:space="preserve"> </w:t>
      </w:r>
      <w:r>
        <w:rPr>
          <w:sz w:val="18"/>
        </w:rPr>
        <w:t>Australia's</w:t>
      </w:r>
      <w:r>
        <w:rPr>
          <w:spacing w:val="-6"/>
          <w:sz w:val="18"/>
        </w:rPr>
        <w:t xml:space="preserve"> </w:t>
      </w:r>
      <w:r>
        <w:rPr>
          <w:sz w:val="18"/>
        </w:rPr>
        <w:t>first</w:t>
      </w:r>
      <w:r>
        <w:rPr>
          <w:spacing w:val="-6"/>
          <w:sz w:val="18"/>
        </w:rPr>
        <w:t xml:space="preserve"> </w:t>
      </w:r>
      <w:r>
        <w:rPr>
          <w:sz w:val="18"/>
        </w:rPr>
        <w:t>written</w:t>
      </w:r>
      <w:r>
        <w:rPr>
          <w:spacing w:val="-2"/>
          <w:sz w:val="18"/>
        </w:rPr>
        <w:t xml:space="preserve"> </w:t>
      </w:r>
      <w:r>
        <w:rPr>
          <w:sz w:val="18"/>
        </w:rPr>
        <w:t>submission, paras.</w:t>
      </w:r>
      <w:r>
        <w:rPr>
          <w:spacing w:val="-5"/>
          <w:sz w:val="18"/>
        </w:rPr>
        <w:t xml:space="preserve"> </w:t>
      </w:r>
      <w:r>
        <w:rPr>
          <w:sz w:val="18"/>
        </w:rPr>
        <w:t>949-</w:t>
      </w:r>
      <w:r>
        <w:rPr>
          <w:spacing w:val="-4"/>
          <w:sz w:val="18"/>
        </w:rPr>
        <w:t>952.</w:t>
      </w:r>
    </w:p>
    <w:p w14:paraId="156E80FE" w14:textId="77777777" w:rsidR="00BD462C" w:rsidRDefault="00033D0F">
      <w:pPr>
        <w:spacing w:before="1"/>
        <w:ind w:left="135" w:right="6493"/>
        <w:jc w:val="both"/>
        <w:rPr>
          <w:sz w:val="18"/>
        </w:rPr>
      </w:pPr>
      <w:bookmarkStart w:id="1649" w:name="_bookmark1420"/>
      <w:bookmarkEnd w:id="1649"/>
      <w:r>
        <w:rPr>
          <w:position w:val="5"/>
          <w:sz w:val="12"/>
        </w:rPr>
        <w:t>1224</w:t>
      </w:r>
      <w:r>
        <w:rPr>
          <w:spacing w:val="19"/>
          <w:position w:val="5"/>
          <w:sz w:val="12"/>
        </w:rPr>
        <w:t xml:space="preserve"> </w:t>
      </w:r>
      <w:r>
        <w:rPr>
          <w:sz w:val="18"/>
        </w:rPr>
        <w:t>China's first written</w:t>
      </w:r>
      <w:r>
        <w:rPr>
          <w:spacing w:val="-1"/>
          <w:sz w:val="18"/>
        </w:rPr>
        <w:t xml:space="preserve"> </w:t>
      </w:r>
      <w:r>
        <w:rPr>
          <w:sz w:val="18"/>
        </w:rPr>
        <w:t xml:space="preserve">submission, para. 2428 </w:t>
      </w:r>
      <w:bookmarkStart w:id="1650" w:name="_bookmark1421"/>
      <w:bookmarkEnd w:id="1650"/>
      <w:r>
        <w:rPr>
          <w:position w:val="5"/>
          <w:sz w:val="12"/>
        </w:rPr>
        <w:t>1225</w:t>
      </w:r>
      <w:r>
        <w:rPr>
          <w:spacing w:val="11"/>
          <w:position w:val="5"/>
          <w:sz w:val="12"/>
        </w:rPr>
        <w:t xml:space="preserve"> </w:t>
      </w:r>
      <w:r>
        <w:rPr>
          <w:sz w:val="18"/>
        </w:rPr>
        <w:t>China's</w:t>
      </w:r>
      <w:r>
        <w:rPr>
          <w:spacing w:val="-7"/>
          <w:sz w:val="18"/>
        </w:rPr>
        <w:t xml:space="preserve"> </w:t>
      </w:r>
      <w:r>
        <w:rPr>
          <w:sz w:val="18"/>
        </w:rPr>
        <w:t>first</w:t>
      </w:r>
      <w:r>
        <w:rPr>
          <w:spacing w:val="-6"/>
          <w:sz w:val="18"/>
        </w:rPr>
        <w:t xml:space="preserve"> </w:t>
      </w:r>
      <w:r>
        <w:rPr>
          <w:sz w:val="18"/>
        </w:rPr>
        <w:t>written</w:t>
      </w:r>
      <w:r>
        <w:rPr>
          <w:spacing w:val="-8"/>
          <w:sz w:val="18"/>
        </w:rPr>
        <w:t xml:space="preserve"> </w:t>
      </w:r>
      <w:r>
        <w:rPr>
          <w:sz w:val="18"/>
        </w:rPr>
        <w:t>submission,</w:t>
      </w:r>
      <w:r>
        <w:rPr>
          <w:spacing w:val="-1"/>
          <w:sz w:val="18"/>
        </w:rPr>
        <w:t xml:space="preserve"> </w:t>
      </w:r>
      <w:r>
        <w:rPr>
          <w:sz w:val="18"/>
        </w:rPr>
        <w:t>para.</w:t>
      </w:r>
      <w:r>
        <w:rPr>
          <w:spacing w:val="-2"/>
          <w:sz w:val="18"/>
        </w:rPr>
        <w:t xml:space="preserve"> </w:t>
      </w:r>
      <w:r>
        <w:rPr>
          <w:sz w:val="18"/>
        </w:rPr>
        <w:t xml:space="preserve">2434. </w:t>
      </w:r>
      <w:bookmarkStart w:id="1651" w:name="_bookmark1422"/>
      <w:bookmarkEnd w:id="1651"/>
      <w:r>
        <w:rPr>
          <w:position w:val="5"/>
          <w:sz w:val="12"/>
        </w:rPr>
        <w:t>1226</w:t>
      </w:r>
      <w:r>
        <w:rPr>
          <w:spacing w:val="13"/>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 xml:space="preserve">para. </w:t>
      </w:r>
      <w:r>
        <w:rPr>
          <w:spacing w:val="-2"/>
          <w:sz w:val="18"/>
        </w:rPr>
        <w:t>2434.</w:t>
      </w:r>
    </w:p>
    <w:p w14:paraId="4B5753A2" w14:textId="77777777" w:rsidR="00BD462C" w:rsidRDefault="00033D0F">
      <w:pPr>
        <w:spacing w:before="3"/>
        <w:ind w:left="135"/>
        <w:jc w:val="both"/>
        <w:rPr>
          <w:sz w:val="18"/>
        </w:rPr>
      </w:pPr>
      <w:bookmarkStart w:id="1652" w:name="_bookmark1423"/>
      <w:bookmarkEnd w:id="1652"/>
      <w:r>
        <w:rPr>
          <w:position w:val="5"/>
          <w:sz w:val="12"/>
        </w:rPr>
        <w:t>1227</w:t>
      </w:r>
      <w:r>
        <w:rPr>
          <w:spacing w:val="14"/>
          <w:position w:val="5"/>
          <w:sz w:val="12"/>
        </w:rPr>
        <w:t xml:space="preserve"> </w:t>
      </w:r>
      <w:r>
        <w:rPr>
          <w:sz w:val="18"/>
        </w:rPr>
        <w:t>China's</w:t>
      </w:r>
      <w:r>
        <w:rPr>
          <w:spacing w:val="2"/>
          <w:sz w:val="18"/>
        </w:rPr>
        <w:t xml:space="preserve"> </w:t>
      </w:r>
      <w:r>
        <w:rPr>
          <w:sz w:val="18"/>
        </w:rPr>
        <w:t>response</w:t>
      </w:r>
      <w:r>
        <w:rPr>
          <w:spacing w:val="-4"/>
          <w:sz w:val="18"/>
        </w:rPr>
        <w:t xml:space="preserve"> </w:t>
      </w:r>
      <w:r>
        <w:rPr>
          <w:sz w:val="18"/>
        </w:rPr>
        <w:t>to</w:t>
      </w:r>
      <w:r>
        <w:rPr>
          <w:spacing w:val="-10"/>
          <w:sz w:val="18"/>
        </w:rPr>
        <w:t xml:space="preserve"> </w:t>
      </w:r>
      <w:r>
        <w:rPr>
          <w:sz w:val="18"/>
        </w:rPr>
        <w:t>Panel</w:t>
      </w:r>
      <w:r>
        <w:rPr>
          <w:spacing w:val="-3"/>
          <w:sz w:val="18"/>
        </w:rPr>
        <w:t xml:space="preserve"> </w:t>
      </w:r>
      <w:r>
        <w:rPr>
          <w:sz w:val="18"/>
        </w:rPr>
        <w:t>question</w:t>
      </w:r>
      <w:r>
        <w:rPr>
          <w:spacing w:val="-4"/>
          <w:sz w:val="18"/>
        </w:rPr>
        <w:t xml:space="preserve"> </w:t>
      </w:r>
      <w:r>
        <w:rPr>
          <w:sz w:val="18"/>
        </w:rPr>
        <w:t>No.</w:t>
      </w:r>
      <w:r>
        <w:rPr>
          <w:spacing w:val="2"/>
          <w:sz w:val="18"/>
        </w:rPr>
        <w:t xml:space="preserve"> </w:t>
      </w:r>
      <w:r>
        <w:rPr>
          <w:sz w:val="18"/>
        </w:rPr>
        <w:t>62,</w:t>
      </w:r>
      <w:r>
        <w:rPr>
          <w:spacing w:val="-2"/>
          <w:sz w:val="18"/>
        </w:rPr>
        <w:t xml:space="preserve"> </w:t>
      </w:r>
      <w:r>
        <w:rPr>
          <w:sz w:val="18"/>
        </w:rPr>
        <w:t>para.</w:t>
      </w:r>
      <w:r>
        <w:rPr>
          <w:spacing w:val="-3"/>
          <w:sz w:val="18"/>
        </w:rPr>
        <w:t xml:space="preserve"> </w:t>
      </w:r>
      <w:r>
        <w:rPr>
          <w:spacing w:val="-4"/>
          <w:sz w:val="18"/>
        </w:rPr>
        <w:t>362.</w:t>
      </w:r>
    </w:p>
    <w:p w14:paraId="70305301" w14:textId="77777777" w:rsidR="00BD462C" w:rsidRDefault="00BD462C">
      <w:pPr>
        <w:jc w:val="both"/>
        <w:rPr>
          <w:sz w:val="18"/>
        </w:rPr>
        <w:sectPr w:rsidR="00BD462C">
          <w:pgSz w:w="11910" w:h="16840"/>
          <w:pgMar w:top="860" w:right="500" w:bottom="780" w:left="1280" w:header="566" w:footer="590" w:gutter="0"/>
          <w:cols w:space="720"/>
        </w:sectPr>
      </w:pPr>
    </w:p>
    <w:p w14:paraId="08ED2F73"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0E41F96A"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140A188C"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625C7FCF" w14:textId="77777777" w:rsidR="00BD462C" w:rsidRDefault="00033D0F">
      <w:pPr>
        <w:pStyle w:val="BodyText"/>
        <w:spacing w:before="102" w:line="360" w:lineRule="auto"/>
        <w:ind w:left="135" w:right="914"/>
        <w:jc w:val="both"/>
      </w:pPr>
      <w:r>
        <w:t>"entirely unreasonable" to expect such an assessment would have occurred and that no investigating authority around the world would have undertaken such an assessment.</w:t>
      </w:r>
      <w:hyperlink w:anchor="_bookmark1424" w:history="1">
        <w:r>
          <w:rPr>
            <w:vertAlign w:val="superscript"/>
          </w:rPr>
          <w:t>1228</w:t>
        </w:r>
      </w:hyperlink>
      <w:r>
        <w:t xml:space="preserve"> These two positions are entirely inconsistent: China cannot simultaneously deride the idea that </w:t>
      </w:r>
      <w:r>
        <w:rPr>
          <w:i/>
        </w:rPr>
        <w:t xml:space="preserve">any </w:t>
      </w:r>
      <w:r>
        <w:t>investigating authority would assess the accuracy of information used for a sample, while also</w:t>
      </w:r>
      <w:r>
        <w:rPr>
          <w:spacing w:val="-3"/>
        </w:rPr>
        <w:t xml:space="preserve"> </w:t>
      </w:r>
      <w:r>
        <w:t>asserting positively that MOFCOM "indeed</w:t>
      </w:r>
      <w:r>
        <w:rPr>
          <w:spacing w:val="-2"/>
        </w:rPr>
        <w:t xml:space="preserve"> </w:t>
      </w:r>
      <w:r>
        <w:t>examined</w:t>
      </w:r>
      <w:r>
        <w:rPr>
          <w:spacing w:val="-2"/>
        </w:rPr>
        <w:t xml:space="preserve"> </w:t>
      </w:r>
      <w:r>
        <w:t>the accuracy of</w:t>
      </w:r>
      <w:r>
        <w:rPr>
          <w:spacing w:val="-2"/>
        </w:rPr>
        <w:t xml:space="preserve"> </w:t>
      </w:r>
      <w:r>
        <w:t>the data"</w:t>
      </w:r>
      <w:hyperlink w:anchor="_bookmark1425" w:history="1">
        <w:r>
          <w:rPr>
            <w:vertAlign w:val="superscript"/>
          </w:rPr>
          <w:t>1229</w:t>
        </w:r>
      </w:hyperlink>
      <w:r>
        <w:t xml:space="preserve"> and "did in fact, examine the accuracy of the data".</w:t>
      </w:r>
      <w:hyperlink w:anchor="_bookmark1426" w:history="1">
        <w:r>
          <w:rPr>
            <w:vertAlign w:val="superscript"/>
          </w:rPr>
          <w:t>1230</w:t>
        </w:r>
      </w:hyperlink>
    </w:p>
    <w:p w14:paraId="11A016F2" w14:textId="77777777" w:rsidR="00BD462C" w:rsidRDefault="00BD462C">
      <w:pPr>
        <w:pStyle w:val="BodyText"/>
        <w:spacing w:before="8"/>
        <w:rPr>
          <w:sz w:val="8"/>
        </w:rPr>
      </w:pPr>
    </w:p>
    <w:p w14:paraId="459D0739" w14:textId="6FF748F5" w:rsidR="00BD462C" w:rsidRDefault="005F4A68">
      <w:pPr>
        <w:pStyle w:val="BodyText"/>
        <w:spacing w:before="56" w:line="357" w:lineRule="auto"/>
        <w:ind w:left="135" w:right="917"/>
        <w:jc w:val="both"/>
      </w:pPr>
      <w:r>
        <w:rPr>
          <w:noProof/>
        </w:rPr>
        <w:t>833.</w:t>
      </w:r>
      <w:r w:rsidR="00033D0F">
        <w:rPr>
          <w:rFonts w:ascii="Times New Roman"/>
          <w:spacing w:val="80"/>
          <w:position w:val="1"/>
          <w:sz w:val="20"/>
        </w:rPr>
        <w:t xml:space="preserve"> </w:t>
      </w:r>
      <w:r w:rsidR="00033D0F">
        <w:rPr>
          <w:position w:val="1"/>
        </w:rPr>
        <w:t xml:space="preserve">The Panel should treat China's willingness to advance two different, and objectively </w:t>
      </w:r>
      <w:r w:rsidR="00033D0F">
        <w:t xml:space="preserve">inconsistent, arguments as a strong indication that both reflect an entirely </w:t>
      </w:r>
      <w:r w:rsidR="00033D0F">
        <w:rPr>
          <w:i/>
        </w:rPr>
        <w:t>ex post</w:t>
      </w:r>
      <w:r w:rsidR="00033D0F">
        <w:rPr>
          <w:i/>
          <w:spacing w:val="-2"/>
        </w:rPr>
        <w:t xml:space="preserve"> </w:t>
      </w:r>
      <w:r w:rsidR="00033D0F">
        <w:rPr>
          <w:i/>
        </w:rPr>
        <w:t xml:space="preserve">facto </w:t>
      </w:r>
      <w:r w:rsidR="00033D0F">
        <w:rPr>
          <w:spacing w:val="-2"/>
        </w:rPr>
        <w:t>justification.</w:t>
      </w:r>
    </w:p>
    <w:p w14:paraId="342AF039" w14:textId="77777777" w:rsidR="00BD462C" w:rsidRDefault="00BD462C">
      <w:pPr>
        <w:pStyle w:val="BodyText"/>
        <w:spacing w:before="3"/>
        <w:rPr>
          <w:sz w:val="9"/>
        </w:rPr>
      </w:pPr>
    </w:p>
    <w:p w14:paraId="6E4E7E5D" w14:textId="7E2EC59B" w:rsidR="00BD462C" w:rsidRDefault="006B49CE">
      <w:pPr>
        <w:pStyle w:val="BodyText"/>
        <w:spacing w:before="56" w:line="360" w:lineRule="auto"/>
        <w:ind w:left="135" w:right="912"/>
        <w:jc w:val="both"/>
      </w:pPr>
      <w:r>
        <w:rPr>
          <w:noProof/>
        </w:rPr>
        <mc:AlternateContent>
          <mc:Choice Requires="wps">
            <w:drawing>
              <wp:anchor distT="0" distB="0" distL="114300" distR="114300" simplePos="0" relativeHeight="488040960" behindDoc="0" locked="0" layoutInCell="1" allowOverlap="1" wp14:anchorId="562D7859" wp14:editId="51F881DE">
                <wp:simplePos x="0" y="0"/>
                <wp:positionH relativeFrom="page">
                  <wp:posOffset>879231</wp:posOffset>
                </wp:positionH>
                <wp:positionV relativeFrom="paragraph">
                  <wp:posOffset>1399784</wp:posOffset>
                </wp:positionV>
                <wp:extent cx="5753686" cy="218049"/>
                <wp:effectExtent l="0" t="0" r="0" b="0"/>
                <wp:wrapNone/>
                <wp:docPr id="1496" name="docshape5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686" cy="21804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48C94B" id="docshape574" o:spid="_x0000_s1026" alt="&quot;&quot;" style="position:absolute;margin-left:69.25pt;margin-top:110.2pt;width:453.05pt;height:17.15pt;z-index:488040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" fillcolor="black" stroked="f">
                <w10:wrap anchorx="page"/>
              </v:rect>
            </w:pict>
          </mc:Fallback>
        </mc:AlternateContent>
      </w:r>
      <w:r w:rsidR="005F4A68">
        <w:rPr>
          <w:noProof/>
        </w:rPr>
        <w:t>834.</w:t>
      </w:r>
      <w:r w:rsidR="00033D0F">
        <w:rPr>
          <w:rFonts w:ascii="Times New Roman" w:hAnsi="Times New Roman"/>
          <w:spacing w:val="80"/>
          <w:position w:val="1"/>
          <w:sz w:val="20"/>
        </w:rPr>
        <w:t xml:space="preserve">  </w:t>
      </w:r>
      <w:r w:rsidR="00033D0F">
        <w:rPr>
          <w:position w:val="1"/>
        </w:rPr>
        <w:t xml:space="preserve">Further, in advancing its own inconsistent views of the obligations under Article 6.6, </w:t>
      </w:r>
      <w:r w:rsidR="00033D0F">
        <w:t>China misrepresents the arguments Australia actually made. China creates, and then takes issue</w:t>
      </w:r>
      <w:r w:rsidR="00033D0F">
        <w:rPr>
          <w:spacing w:val="-8"/>
        </w:rPr>
        <w:t xml:space="preserve"> </w:t>
      </w:r>
      <w:r w:rsidR="00033D0F">
        <w:t>with,</w:t>
      </w:r>
      <w:r w:rsidR="00033D0F">
        <w:rPr>
          <w:spacing w:val="-1"/>
        </w:rPr>
        <w:t xml:space="preserve"> </w:t>
      </w:r>
      <w:r w:rsidR="00033D0F">
        <w:t>a</w:t>
      </w:r>
      <w:r w:rsidR="00033D0F">
        <w:rPr>
          <w:spacing w:val="-4"/>
        </w:rPr>
        <w:t xml:space="preserve"> </w:t>
      </w:r>
      <w:r w:rsidR="00033D0F">
        <w:t>straw</w:t>
      </w:r>
      <w:r w:rsidR="00033D0F">
        <w:rPr>
          <w:spacing w:val="-7"/>
        </w:rPr>
        <w:t xml:space="preserve"> </w:t>
      </w:r>
      <w:r w:rsidR="00033D0F">
        <w:t>version</w:t>
      </w:r>
      <w:r w:rsidR="00033D0F">
        <w:rPr>
          <w:spacing w:val="-5"/>
        </w:rPr>
        <w:t xml:space="preserve"> </w:t>
      </w:r>
      <w:r w:rsidR="00033D0F">
        <w:t>of</w:t>
      </w:r>
      <w:r w:rsidR="00033D0F">
        <w:rPr>
          <w:spacing w:val="-5"/>
        </w:rPr>
        <w:t xml:space="preserve"> </w:t>
      </w:r>
      <w:r w:rsidR="00033D0F">
        <w:t>Australia's</w:t>
      </w:r>
      <w:r w:rsidR="00033D0F">
        <w:rPr>
          <w:spacing w:val="-2"/>
        </w:rPr>
        <w:t xml:space="preserve"> </w:t>
      </w:r>
      <w:r w:rsidR="00033D0F">
        <w:t>case.</w:t>
      </w:r>
      <w:r w:rsidR="00033D0F">
        <w:rPr>
          <w:spacing w:val="-2"/>
        </w:rPr>
        <w:t xml:space="preserve"> </w:t>
      </w:r>
      <w:r w:rsidR="00033D0F">
        <w:t>Australia</w:t>
      </w:r>
      <w:r w:rsidR="00033D0F">
        <w:rPr>
          <w:spacing w:val="-4"/>
        </w:rPr>
        <w:t xml:space="preserve"> </w:t>
      </w:r>
      <w:r w:rsidR="00033D0F">
        <w:t>has</w:t>
      </w:r>
      <w:r w:rsidR="00033D0F">
        <w:rPr>
          <w:spacing w:val="-2"/>
        </w:rPr>
        <w:t xml:space="preserve"> </w:t>
      </w:r>
      <w:r w:rsidR="00033D0F">
        <w:t>not</w:t>
      </w:r>
      <w:r w:rsidR="00033D0F">
        <w:rPr>
          <w:spacing w:val="-3"/>
        </w:rPr>
        <w:t xml:space="preserve"> </w:t>
      </w:r>
      <w:r w:rsidR="00033D0F">
        <w:t>submitted</w:t>
      </w:r>
      <w:r w:rsidR="00033D0F">
        <w:rPr>
          <w:spacing w:val="-5"/>
        </w:rPr>
        <w:t xml:space="preserve"> </w:t>
      </w:r>
      <w:r w:rsidR="00033D0F">
        <w:t>that</w:t>
      </w:r>
      <w:r w:rsidR="00033D0F">
        <w:rPr>
          <w:spacing w:val="-3"/>
        </w:rPr>
        <w:t xml:space="preserve"> </w:t>
      </w:r>
      <w:r w:rsidR="00033D0F">
        <w:t>MOFCOM</w:t>
      </w:r>
      <w:r w:rsidR="00033D0F">
        <w:rPr>
          <w:spacing w:val="-3"/>
        </w:rPr>
        <w:t xml:space="preserve"> </w:t>
      </w:r>
      <w:r w:rsidR="00033D0F">
        <w:t>was required</w:t>
      </w:r>
      <w:r w:rsidR="00033D0F">
        <w:rPr>
          <w:spacing w:val="-2"/>
        </w:rPr>
        <w:t xml:space="preserve"> </w:t>
      </w:r>
      <w:r w:rsidR="00033D0F">
        <w:t>to</w:t>
      </w:r>
      <w:r w:rsidR="00033D0F">
        <w:rPr>
          <w:spacing w:val="-9"/>
        </w:rPr>
        <w:t xml:space="preserve"> </w:t>
      </w:r>
      <w:r w:rsidR="00033D0F">
        <w:t>"verify"</w:t>
      </w:r>
      <w:hyperlink w:anchor="_bookmark1427" w:history="1">
        <w:r w:rsidR="00033D0F">
          <w:rPr>
            <w:vertAlign w:val="superscript"/>
          </w:rPr>
          <w:t>1231</w:t>
        </w:r>
      </w:hyperlink>
      <w:r w:rsidR="00033D0F">
        <w:rPr>
          <w:spacing w:val="-4"/>
        </w:rPr>
        <w:t xml:space="preserve"> </w:t>
      </w:r>
      <w:r w:rsidR="00033D0F">
        <w:t>the</w:t>
      </w:r>
      <w:r w:rsidR="00033D0F">
        <w:rPr>
          <w:spacing w:val="-5"/>
        </w:rPr>
        <w:t xml:space="preserve"> </w:t>
      </w:r>
      <w:r w:rsidR="00033D0F">
        <w:t>data</w:t>
      </w:r>
      <w:r w:rsidR="00033D0F">
        <w:rPr>
          <w:spacing w:val="-1"/>
        </w:rPr>
        <w:t xml:space="preserve"> </w:t>
      </w:r>
      <w:r w:rsidR="00033D0F">
        <w:t>or</w:t>
      </w:r>
      <w:r w:rsidR="00033D0F">
        <w:rPr>
          <w:spacing w:val="-3"/>
        </w:rPr>
        <w:t xml:space="preserve"> </w:t>
      </w:r>
      <w:r w:rsidR="00033D0F">
        <w:t>to</w:t>
      </w:r>
      <w:r w:rsidR="00033D0F">
        <w:rPr>
          <w:spacing w:val="-3"/>
        </w:rPr>
        <w:t xml:space="preserve"> </w:t>
      </w:r>
      <w:r w:rsidR="00033D0F">
        <w:t>launch</w:t>
      </w:r>
      <w:r w:rsidR="00033D0F">
        <w:rPr>
          <w:spacing w:val="-2"/>
        </w:rPr>
        <w:t xml:space="preserve"> </w:t>
      </w:r>
      <w:r w:rsidR="00033D0F">
        <w:t>a</w:t>
      </w:r>
      <w:r w:rsidR="00033D0F">
        <w:rPr>
          <w:spacing w:val="-6"/>
        </w:rPr>
        <w:t xml:space="preserve"> </w:t>
      </w:r>
      <w:r w:rsidR="00033D0F">
        <w:t>"mini-investigation".</w:t>
      </w:r>
      <w:hyperlink w:anchor="_bookmark1428" w:history="1">
        <w:r w:rsidR="00033D0F">
          <w:rPr>
            <w:vertAlign w:val="superscript"/>
          </w:rPr>
          <w:t>1232</w:t>
        </w:r>
      </w:hyperlink>
      <w:r w:rsidR="00033D0F">
        <w:rPr>
          <w:spacing w:val="-4"/>
        </w:rPr>
        <w:t xml:space="preserve"> </w:t>
      </w:r>
      <w:r w:rsidR="00033D0F">
        <w:t>Australia's</w:t>
      </w:r>
      <w:r w:rsidR="00033D0F">
        <w:rPr>
          <w:spacing w:val="-4"/>
        </w:rPr>
        <w:t xml:space="preserve"> </w:t>
      </w:r>
      <w:r w:rsidR="00033D0F">
        <w:t>submission is</w:t>
      </w:r>
      <w:r w:rsidR="00033D0F">
        <w:rPr>
          <w:spacing w:val="-3"/>
        </w:rPr>
        <w:t xml:space="preserve"> </w:t>
      </w:r>
      <w:r w:rsidR="00033D0F">
        <w:t>that, in</w:t>
      </w:r>
      <w:r w:rsidR="00033D0F">
        <w:rPr>
          <w:spacing w:val="-4"/>
        </w:rPr>
        <w:t xml:space="preserve"> </w:t>
      </w:r>
      <w:r w:rsidR="00033D0F">
        <w:t>the</w:t>
      </w:r>
      <w:r w:rsidR="00033D0F">
        <w:rPr>
          <w:spacing w:val="-3"/>
        </w:rPr>
        <w:t xml:space="preserve"> </w:t>
      </w:r>
      <w:r w:rsidR="00033D0F">
        <w:t>facts</w:t>
      </w:r>
      <w:r w:rsidR="00033D0F">
        <w:rPr>
          <w:spacing w:val="-1"/>
        </w:rPr>
        <w:t xml:space="preserve"> </w:t>
      </w:r>
      <w:r w:rsidR="00033D0F">
        <w:t>and</w:t>
      </w:r>
      <w:r w:rsidR="00033D0F">
        <w:rPr>
          <w:spacing w:val="-4"/>
        </w:rPr>
        <w:t xml:space="preserve"> </w:t>
      </w:r>
      <w:r w:rsidR="00033D0F">
        <w:t>circumstances</w:t>
      </w:r>
      <w:r w:rsidR="00033D0F">
        <w:rPr>
          <w:spacing w:val="-1"/>
        </w:rPr>
        <w:t xml:space="preserve"> </w:t>
      </w:r>
      <w:r w:rsidR="00033D0F">
        <w:t>of</w:t>
      </w:r>
      <w:r w:rsidR="00033D0F">
        <w:rPr>
          <w:spacing w:val="-4"/>
        </w:rPr>
        <w:t xml:space="preserve"> </w:t>
      </w:r>
      <w:r w:rsidR="00033D0F">
        <w:t>this case,</w:t>
      </w:r>
      <w:r w:rsidR="00033D0F">
        <w:rPr>
          <w:spacing w:val="-5"/>
        </w:rPr>
        <w:t xml:space="preserve"> </w:t>
      </w:r>
      <w:r w:rsidR="00033D0F">
        <w:t>MOFCOM</w:t>
      </w:r>
      <w:r w:rsidR="00033D0F">
        <w:rPr>
          <w:spacing w:val="-2"/>
        </w:rPr>
        <w:t xml:space="preserve"> </w:t>
      </w:r>
      <w:r w:rsidR="00033D0F">
        <w:t>–</w:t>
      </w:r>
      <w:r w:rsidR="00033D0F">
        <w:rPr>
          <w:spacing w:val="-2"/>
        </w:rPr>
        <w:t xml:space="preserve"> </w:t>
      </w:r>
      <w:r w:rsidR="00033D0F">
        <w:t>faced</w:t>
      </w:r>
      <w:r w:rsidR="00033D0F">
        <w:rPr>
          <w:spacing w:val="-4"/>
        </w:rPr>
        <w:t xml:space="preserve"> </w:t>
      </w:r>
      <w:r w:rsidR="00033D0F">
        <w:t>with</w:t>
      </w:r>
      <w:r w:rsidR="00033D0F">
        <w:rPr>
          <w:spacing w:val="-4"/>
        </w:rPr>
        <w:t xml:space="preserve"> </w:t>
      </w:r>
      <w:r w:rsidR="00033D0F">
        <w:t>a</w:t>
      </w:r>
      <w:r w:rsidR="00033D0F">
        <w:rPr>
          <w:spacing w:val="-3"/>
        </w:rPr>
        <w:t xml:space="preserve"> </w:t>
      </w:r>
      <w:r w:rsidR="00033D0F">
        <w:t>direct</w:t>
      </w:r>
      <w:r w:rsidR="00033D0F">
        <w:rPr>
          <w:spacing w:val="-1"/>
        </w:rPr>
        <w:t xml:space="preserve"> </w:t>
      </w:r>
      <w:r w:rsidR="00033D0F">
        <w:rPr>
          <w:spacing w:val="-2"/>
        </w:rPr>
        <w:t>submission</w:t>
      </w:r>
    </w:p>
    <w:p w14:paraId="5452B6D0" w14:textId="463F5225" w:rsidR="00BD462C" w:rsidRDefault="00BD462C">
      <w:pPr>
        <w:pStyle w:val="BodyText"/>
        <w:ind w:left="136"/>
        <w:rPr>
          <w:sz w:val="20"/>
        </w:rPr>
      </w:pPr>
    </w:p>
    <w:p w14:paraId="043C1B50" w14:textId="4C28DCBC" w:rsidR="00BD462C" w:rsidRDefault="00D70C7D">
      <w:pPr>
        <w:pStyle w:val="BodyText"/>
        <w:spacing w:before="113" w:line="360" w:lineRule="auto"/>
        <w:ind w:left="136" w:right="916" w:firstLine="3393"/>
        <w:jc w:val="both"/>
      </w:pPr>
      <w:r>
        <w:rPr>
          <w:noProof/>
        </w:rPr>
        <mc:AlternateContent>
          <mc:Choice Requires="wps">
            <w:drawing>
              <wp:anchor distT="0" distB="0" distL="114300" distR="114300" simplePos="0" relativeHeight="15996416" behindDoc="0" locked="0" layoutInCell="1" allowOverlap="1" wp14:anchorId="72E7798B" wp14:editId="70BC2DD8">
                <wp:simplePos x="0" y="0"/>
                <wp:positionH relativeFrom="page">
                  <wp:posOffset>899160</wp:posOffset>
                </wp:positionH>
                <wp:positionV relativeFrom="paragraph">
                  <wp:posOffset>70485</wp:posOffset>
                </wp:positionV>
                <wp:extent cx="2155190" cy="186055"/>
                <wp:effectExtent l="0" t="0" r="0" b="0"/>
                <wp:wrapNone/>
                <wp:docPr id="296" name="docshape5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519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2FF82F" id="docshape574" o:spid="_x0000_s1026" alt="&quot;&quot;" style="position:absolute;margin-left:70.8pt;margin-top:5.55pt;width:169.7pt;height:14.65pt;z-index:1599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" fillcolor="black" stroked="f">
                <w10:wrap anchorx="page"/>
              </v:rect>
            </w:pict>
          </mc:Fallback>
        </mc:AlternateContent>
      </w:r>
      <w:hyperlink w:anchor="_bookmark1429" w:history="1">
        <w:r w:rsidR="00033D0F">
          <w:rPr>
            <w:vertAlign w:val="superscript"/>
          </w:rPr>
          <w:t>1233</w:t>
        </w:r>
      </w:hyperlink>
      <w:r w:rsidR="00033D0F">
        <w:t xml:space="preserve"> – did </w:t>
      </w:r>
      <w:r w:rsidR="00033D0F">
        <w:rPr>
          <w:i/>
        </w:rPr>
        <w:t xml:space="preserve">nothing </w:t>
      </w:r>
      <w:r w:rsidR="00033D0F">
        <w:t>to satisfy itself as to the accuracy of the data upon which it would rely to select the sample. This inaction was inconsistent with the requirements of Article 6.6.</w:t>
      </w:r>
    </w:p>
    <w:p w14:paraId="10F0860F" w14:textId="77777777" w:rsidR="00BD462C" w:rsidRDefault="00BD462C">
      <w:pPr>
        <w:pStyle w:val="BodyText"/>
        <w:spacing w:before="11"/>
        <w:rPr>
          <w:sz w:val="8"/>
        </w:rPr>
      </w:pPr>
    </w:p>
    <w:p w14:paraId="7653B78D" w14:textId="18C7FF3C" w:rsidR="00BD462C" w:rsidRDefault="00925D9A">
      <w:pPr>
        <w:pStyle w:val="BodyText"/>
        <w:spacing w:before="56" w:line="357" w:lineRule="auto"/>
        <w:ind w:left="135" w:right="915"/>
        <w:jc w:val="both"/>
      </w:pPr>
      <w:r>
        <w:rPr>
          <w:noProof/>
        </w:rPr>
        <w:t>835.</w:t>
      </w:r>
      <w:r w:rsidR="00033D0F">
        <w:rPr>
          <w:rFonts w:ascii="Times New Roman" w:hAnsi="Times New Roman"/>
          <w:spacing w:val="80"/>
          <w:position w:val="1"/>
          <w:sz w:val="20"/>
        </w:rPr>
        <w:t xml:space="preserve"> </w:t>
      </w:r>
      <w:r w:rsidR="00033D0F">
        <w:rPr>
          <w:position w:val="1"/>
        </w:rPr>
        <w:t>Finally,</w:t>
      </w:r>
      <w:r w:rsidR="00033D0F">
        <w:rPr>
          <w:spacing w:val="-1"/>
          <w:position w:val="1"/>
        </w:rPr>
        <w:t xml:space="preserve"> </w:t>
      </w:r>
      <w:r w:rsidR="00033D0F">
        <w:rPr>
          <w:position w:val="1"/>
        </w:rPr>
        <w:t>in</w:t>
      </w:r>
      <w:r w:rsidR="00033D0F">
        <w:rPr>
          <w:spacing w:val="-1"/>
          <w:position w:val="1"/>
        </w:rPr>
        <w:t xml:space="preserve"> </w:t>
      </w:r>
      <w:r w:rsidR="00033D0F">
        <w:rPr>
          <w:position w:val="1"/>
        </w:rPr>
        <w:t>its response to</w:t>
      </w:r>
      <w:r w:rsidR="00033D0F">
        <w:rPr>
          <w:spacing w:val="-1"/>
          <w:position w:val="1"/>
        </w:rPr>
        <w:t xml:space="preserve"> </w:t>
      </w:r>
      <w:r w:rsidR="00033D0F">
        <w:rPr>
          <w:position w:val="1"/>
        </w:rPr>
        <w:t xml:space="preserve">the Panel's questions (although, conspicuously, not its first </w:t>
      </w:r>
      <w:r w:rsidR="00033D0F">
        <w:t>written</w:t>
      </w:r>
      <w:r w:rsidR="00033D0F">
        <w:rPr>
          <w:spacing w:val="-14"/>
        </w:rPr>
        <w:t xml:space="preserve"> </w:t>
      </w:r>
      <w:r w:rsidR="00033D0F">
        <w:t>submission),</w:t>
      </w:r>
      <w:r w:rsidR="00033D0F">
        <w:rPr>
          <w:spacing w:val="-14"/>
        </w:rPr>
        <w:t xml:space="preserve"> </w:t>
      </w:r>
      <w:r w:rsidR="00033D0F">
        <w:t>China</w:t>
      </w:r>
      <w:r w:rsidR="00033D0F">
        <w:rPr>
          <w:spacing w:val="-13"/>
        </w:rPr>
        <w:t xml:space="preserve"> </w:t>
      </w:r>
      <w:r w:rsidR="00033D0F">
        <w:t>says</w:t>
      </w:r>
      <w:r w:rsidR="00033D0F">
        <w:rPr>
          <w:spacing w:val="-14"/>
        </w:rPr>
        <w:t xml:space="preserve"> </w:t>
      </w:r>
      <w:r w:rsidR="00033D0F">
        <w:t>that</w:t>
      </w:r>
      <w:r w:rsidR="00033D0F">
        <w:rPr>
          <w:spacing w:val="-13"/>
        </w:rPr>
        <w:t xml:space="preserve"> </w:t>
      </w:r>
      <w:r w:rsidR="00033D0F">
        <w:t>a</w:t>
      </w:r>
      <w:r w:rsidR="00033D0F">
        <w:rPr>
          <w:spacing w:val="-14"/>
        </w:rPr>
        <w:t xml:space="preserve"> </w:t>
      </w:r>
      <w:r w:rsidR="00033D0F">
        <w:t>"fact</w:t>
      </w:r>
      <w:r w:rsidR="00033D0F">
        <w:rPr>
          <w:spacing w:val="-13"/>
        </w:rPr>
        <w:t xml:space="preserve"> </w:t>
      </w:r>
      <w:r w:rsidR="00033D0F">
        <w:t>[…]</w:t>
      </w:r>
      <w:r w:rsidR="00033D0F">
        <w:rPr>
          <w:spacing w:val="-14"/>
        </w:rPr>
        <w:t xml:space="preserve"> </w:t>
      </w:r>
      <w:r w:rsidR="00033D0F">
        <w:t>of</w:t>
      </w:r>
      <w:r w:rsidR="00033D0F">
        <w:rPr>
          <w:spacing w:val="-14"/>
        </w:rPr>
        <w:t xml:space="preserve"> </w:t>
      </w:r>
      <w:r w:rsidR="00033D0F">
        <w:t>great</w:t>
      </w:r>
      <w:r w:rsidR="00033D0F">
        <w:rPr>
          <w:spacing w:val="-13"/>
        </w:rPr>
        <w:t xml:space="preserve"> </w:t>
      </w:r>
      <w:r w:rsidR="00033D0F">
        <w:t>importance"</w:t>
      </w:r>
      <w:r w:rsidR="00033D0F">
        <w:rPr>
          <w:spacing w:val="-14"/>
        </w:rPr>
        <w:t xml:space="preserve"> </w:t>
      </w:r>
      <w:r w:rsidR="00033D0F">
        <w:t>is</w:t>
      </w:r>
      <w:r w:rsidR="00033D0F">
        <w:rPr>
          <w:spacing w:val="-13"/>
        </w:rPr>
        <w:t xml:space="preserve"> </w:t>
      </w:r>
      <w:r w:rsidR="00033D0F">
        <w:t>that</w:t>
      </w:r>
      <w:r w:rsidR="00033D0F">
        <w:rPr>
          <w:spacing w:val="-14"/>
        </w:rPr>
        <w:t xml:space="preserve"> </w:t>
      </w:r>
      <w:r w:rsidR="00033D0F">
        <w:t>the</w:t>
      </w:r>
      <w:r w:rsidR="00033D0F">
        <w:rPr>
          <w:spacing w:val="-13"/>
        </w:rPr>
        <w:t xml:space="preserve"> </w:t>
      </w:r>
      <w:r w:rsidR="00033D0F">
        <w:t>sampling</w:t>
      </w:r>
      <w:r w:rsidR="00033D0F">
        <w:rPr>
          <w:spacing w:val="-14"/>
        </w:rPr>
        <w:t xml:space="preserve"> </w:t>
      </w:r>
      <w:r w:rsidR="00033D0F">
        <w:t>forms contained an attestation from the companies that the information was complete, accurate and reliable.</w:t>
      </w:r>
      <w:hyperlink w:anchor="_bookmark1430" w:history="1">
        <w:r w:rsidR="00033D0F">
          <w:rPr>
            <w:vertAlign w:val="superscript"/>
          </w:rPr>
          <w:t>1234</w:t>
        </w:r>
      </w:hyperlink>
      <w:r w:rsidR="00033D0F">
        <w:t xml:space="preserve"> In Australia's view, in the circumstances of this case, where MOFCOM had received a formal communication disputing the accuracy of the data, it was inadequate to treat such an attestation as determinative.</w:t>
      </w:r>
    </w:p>
    <w:p w14:paraId="04B58EB8" w14:textId="77777777" w:rsidR="00BD462C" w:rsidRDefault="00BD462C">
      <w:pPr>
        <w:pStyle w:val="BodyText"/>
        <w:rPr>
          <w:sz w:val="20"/>
        </w:rPr>
      </w:pPr>
    </w:p>
    <w:p w14:paraId="4430CAF0" w14:textId="77777777" w:rsidR="00BD462C" w:rsidRDefault="00BD462C">
      <w:pPr>
        <w:pStyle w:val="BodyText"/>
        <w:rPr>
          <w:sz w:val="20"/>
        </w:rPr>
      </w:pPr>
    </w:p>
    <w:p w14:paraId="1EE62578" w14:textId="77777777" w:rsidR="00BD462C" w:rsidRDefault="00BD462C">
      <w:pPr>
        <w:pStyle w:val="BodyText"/>
        <w:rPr>
          <w:sz w:val="20"/>
        </w:rPr>
      </w:pPr>
    </w:p>
    <w:p w14:paraId="7E381C9F" w14:textId="06BC242E" w:rsidR="00BD462C" w:rsidRDefault="00D70C7D">
      <w:pPr>
        <w:pStyle w:val="BodyText"/>
        <w:rPr>
          <w:sz w:val="23"/>
        </w:rPr>
      </w:pPr>
      <w:r>
        <w:rPr>
          <w:noProof/>
        </w:rPr>
        <mc:AlternateContent>
          <mc:Choice Requires="wps">
            <w:drawing>
              <wp:anchor distT="0" distB="0" distL="0" distR="0" simplePos="0" relativeHeight="487855104" behindDoc="1" locked="0" layoutInCell="1" allowOverlap="1" wp14:anchorId="2E17FDAD" wp14:editId="45FAABE1">
                <wp:simplePos x="0" y="0"/>
                <wp:positionH relativeFrom="page">
                  <wp:posOffset>899160</wp:posOffset>
                </wp:positionH>
                <wp:positionV relativeFrom="paragraph">
                  <wp:posOffset>193675</wp:posOffset>
                </wp:positionV>
                <wp:extent cx="1828800" cy="8890"/>
                <wp:effectExtent l="0" t="0" r="0" b="0"/>
                <wp:wrapTopAndBottom/>
                <wp:docPr id="294" name="docshape5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1D6FC5" id="docshape575" o:spid="_x0000_s1026" alt="&quot;&quot;" style="position:absolute;margin-left:70.8pt;margin-top:15.25pt;width:2in;height:.7pt;z-index:-1546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" fillcolor="black" stroked="f">
                <w10:wrap type="topAndBottom" anchorx="page"/>
              </v:rect>
            </w:pict>
          </mc:Fallback>
        </mc:AlternateContent>
      </w:r>
    </w:p>
    <w:p w14:paraId="49AEEA29" w14:textId="77777777" w:rsidR="00BD462C" w:rsidRDefault="00033D0F">
      <w:pPr>
        <w:spacing w:before="112"/>
        <w:ind w:left="135"/>
        <w:rPr>
          <w:sz w:val="18"/>
        </w:rPr>
      </w:pPr>
      <w:bookmarkStart w:id="1653" w:name="_bookmark1424"/>
      <w:bookmarkEnd w:id="1653"/>
      <w:r>
        <w:rPr>
          <w:position w:val="5"/>
          <w:sz w:val="12"/>
        </w:rPr>
        <w:t>1228</w:t>
      </w:r>
      <w:r>
        <w:rPr>
          <w:spacing w:val="14"/>
          <w:position w:val="5"/>
          <w:sz w:val="12"/>
        </w:rPr>
        <w:t xml:space="preserve"> </w:t>
      </w:r>
      <w:r>
        <w:rPr>
          <w:sz w:val="18"/>
        </w:rPr>
        <w:t>China's</w:t>
      </w:r>
      <w:r>
        <w:rPr>
          <w:spacing w:val="2"/>
          <w:sz w:val="18"/>
        </w:rPr>
        <w:t xml:space="preserve"> </w:t>
      </w:r>
      <w:r>
        <w:rPr>
          <w:sz w:val="18"/>
        </w:rPr>
        <w:t>response</w:t>
      </w:r>
      <w:r>
        <w:rPr>
          <w:spacing w:val="-4"/>
          <w:sz w:val="18"/>
        </w:rPr>
        <w:t xml:space="preserve"> </w:t>
      </w:r>
      <w:r>
        <w:rPr>
          <w:sz w:val="18"/>
        </w:rPr>
        <w:t>to</w:t>
      </w:r>
      <w:r>
        <w:rPr>
          <w:spacing w:val="-10"/>
          <w:sz w:val="18"/>
        </w:rPr>
        <w:t xml:space="preserve"> </w:t>
      </w:r>
      <w:r>
        <w:rPr>
          <w:sz w:val="18"/>
        </w:rPr>
        <w:t>Panel</w:t>
      </w:r>
      <w:r>
        <w:rPr>
          <w:spacing w:val="-3"/>
          <w:sz w:val="18"/>
        </w:rPr>
        <w:t xml:space="preserve"> </w:t>
      </w:r>
      <w:r>
        <w:rPr>
          <w:sz w:val="18"/>
        </w:rPr>
        <w:t>question</w:t>
      </w:r>
      <w:r>
        <w:rPr>
          <w:spacing w:val="-4"/>
          <w:sz w:val="18"/>
        </w:rPr>
        <w:t xml:space="preserve"> </w:t>
      </w:r>
      <w:r>
        <w:rPr>
          <w:sz w:val="18"/>
        </w:rPr>
        <w:t>No.</w:t>
      </w:r>
      <w:r>
        <w:rPr>
          <w:spacing w:val="2"/>
          <w:sz w:val="18"/>
        </w:rPr>
        <w:t xml:space="preserve"> </w:t>
      </w:r>
      <w:r>
        <w:rPr>
          <w:sz w:val="18"/>
        </w:rPr>
        <w:t>61,</w:t>
      </w:r>
      <w:r>
        <w:rPr>
          <w:spacing w:val="-2"/>
          <w:sz w:val="18"/>
        </w:rPr>
        <w:t xml:space="preserve"> </w:t>
      </w:r>
      <w:r>
        <w:rPr>
          <w:sz w:val="18"/>
        </w:rPr>
        <w:t>para.</w:t>
      </w:r>
      <w:r>
        <w:rPr>
          <w:spacing w:val="-3"/>
          <w:sz w:val="18"/>
        </w:rPr>
        <w:t xml:space="preserve"> </w:t>
      </w:r>
      <w:r>
        <w:rPr>
          <w:spacing w:val="-4"/>
          <w:sz w:val="18"/>
        </w:rPr>
        <w:t>359.</w:t>
      </w:r>
    </w:p>
    <w:p w14:paraId="5659FE09" w14:textId="77777777" w:rsidR="00BD462C" w:rsidRDefault="00033D0F">
      <w:pPr>
        <w:spacing w:before="1" w:line="218" w:lineRule="exact"/>
        <w:ind w:left="135"/>
        <w:rPr>
          <w:sz w:val="18"/>
        </w:rPr>
      </w:pPr>
      <w:bookmarkStart w:id="1654" w:name="_bookmark1425"/>
      <w:bookmarkEnd w:id="1654"/>
      <w:r>
        <w:rPr>
          <w:position w:val="5"/>
          <w:sz w:val="12"/>
        </w:rPr>
        <w:t>1229</w:t>
      </w:r>
      <w:r>
        <w:rPr>
          <w:spacing w:val="13"/>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 xml:space="preserve">para. </w:t>
      </w:r>
      <w:r>
        <w:rPr>
          <w:spacing w:val="-2"/>
          <w:sz w:val="18"/>
        </w:rPr>
        <w:t>2434.</w:t>
      </w:r>
    </w:p>
    <w:p w14:paraId="557382A0" w14:textId="77777777" w:rsidR="00BD462C" w:rsidRDefault="00033D0F">
      <w:pPr>
        <w:spacing w:line="218" w:lineRule="exact"/>
        <w:ind w:left="135"/>
        <w:rPr>
          <w:sz w:val="18"/>
        </w:rPr>
      </w:pPr>
      <w:bookmarkStart w:id="1655" w:name="_bookmark1426"/>
      <w:bookmarkEnd w:id="1655"/>
      <w:r>
        <w:rPr>
          <w:position w:val="5"/>
          <w:sz w:val="12"/>
        </w:rPr>
        <w:t>1230</w:t>
      </w:r>
      <w:r>
        <w:rPr>
          <w:spacing w:val="13"/>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 xml:space="preserve">para. </w:t>
      </w:r>
      <w:r>
        <w:rPr>
          <w:spacing w:val="-2"/>
          <w:sz w:val="18"/>
        </w:rPr>
        <w:t>2434.</w:t>
      </w:r>
    </w:p>
    <w:p w14:paraId="4B67086B" w14:textId="77777777" w:rsidR="00BD462C" w:rsidRDefault="00033D0F">
      <w:pPr>
        <w:spacing w:before="1"/>
        <w:ind w:left="135"/>
        <w:rPr>
          <w:sz w:val="18"/>
        </w:rPr>
      </w:pPr>
      <w:bookmarkStart w:id="1656" w:name="_bookmark1427"/>
      <w:bookmarkEnd w:id="1656"/>
      <w:r>
        <w:rPr>
          <w:position w:val="5"/>
          <w:sz w:val="12"/>
        </w:rPr>
        <w:t>1231</w:t>
      </w:r>
      <w:r>
        <w:rPr>
          <w:spacing w:val="14"/>
          <w:position w:val="5"/>
          <w:sz w:val="12"/>
        </w:rPr>
        <w:t xml:space="preserve"> </w:t>
      </w:r>
      <w:r>
        <w:rPr>
          <w:sz w:val="18"/>
        </w:rPr>
        <w:t>China's</w:t>
      </w:r>
      <w:r>
        <w:rPr>
          <w:spacing w:val="2"/>
          <w:sz w:val="18"/>
        </w:rPr>
        <w:t xml:space="preserve"> </w:t>
      </w:r>
      <w:r>
        <w:rPr>
          <w:sz w:val="18"/>
        </w:rPr>
        <w:t>response</w:t>
      </w:r>
      <w:r>
        <w:rPr>
          <w:spacing w:val="-4"/>
          <w:sz w:val="18"/>
        </w:rPr>
        <w:t xml:space="preserve"> </w:t>
      </w:r>
      <w:r>
        <w:rPr>
          <w:sz w:val="18"/>
        </w:rPr>
        <w:t>to</w:t>
      </w:r>
      <w:r>
        <w:rPr>
          <w:spacing w:val="-10"/>
          <w:sz w:val="18"/>
        </w:rPr>
        <w:t xml:space="preserve"> </w:t>
      </w:r>
      <w:r>
        <w:rPr>
          <w:sz w:val="18"/>
        </w:rPr>
        <w:t>Panel</w:t>
      </w:r>
      <w:r>
        <w:rPr>
          <w:spacing w:val="-3"/>
          <w:sz w:val="18"/>
        </w:rPr>
        <w:t xml:space="preserve"> </w:t>
      </w:r>
      <w:r>
        <w:rPr>
          <w:sz w:val="18"/>
        </w:rPr>
        <w:t>question</w:t>
      </w:r>
      <w:r>
        <w:rPr>
          <w:spacing w:val="-4"/>
          <w:sz w:val="18"/>
        </w:rPr>
        <w:t xml:space="preserve"> </w:t>
      </w:r>
      <w:r>
        <w:rPr>
          <w:sz w:val="18"/>
        </w:rPr>
        <w:t>No.</w:t>
      </w:r>
      <w:r>
        <w:rPr>
          <w:spacing w:val="2"/>
          <w:sz w:val="18"/>
        </w:rPr>
        <w:t xml:space="preserve"> </w:t>
      </w:r>
      <w:r>
        <w:rPr>
          <w:sz w:val="18"/>
        </w:rPr>
        <w:t>61,</w:t>
      </w:r>
      <w:r>
        <w:rPr>
          <w:spacing w:val="-2"/>
          <w:sz w:val="18"/>
        </w:rPr>
        <w:t xml:space="preserve"> </w:t>
      </w:r>
      <w:r>
        <w:rPr>
          <w:sz w:val="18"/>
        </w:rPr>
        <w:t>para.</w:t>
      </w:r>
      <w:r>
        <w:rPr>
          <w:spacing w:val="-3"/>
          <w:sz w:val="18"/>
        </w:rPr>
        <w:t xml:space="preserve"> </w:t>
      </w:r>
      <w:r>
        <w:rPr>
          <w:spacing w:val="-4"/>
          <w:sz w:val="18"/>
        </w:rPr>
        <w:t>361.</w:t>
      </w:r>
    </w:p>
    <w:p w14:paraId="4ABAD7F9" w14:textId="77777777" w:rsidR="00BD462C" w:rsidRDefault="00033D0F">
      <w:pPr>
        <w:spacing w:before="1"/>
        <w:ind w:left="135"/>
        <w:rPr>
          <w:sz w:val="18"/>
        </w:rPr>
      </w:pPr>
      <w:bookmarkStart w:id="1657" w:name="_bookmark1428"/>
      <w:bookmarkEnd w:id="1657"/>
      <w:r>
        <w:rPr>
          <w:position w:val="5"/>
          <w:sz w:val="12"/>
        </w:rPr>
        <w:t>1232</w:t>
      </w:r>
      <w:r>
        <w:rPr>
          <w:spacing w:val="14"/>
          <w:position w:val="5"/>
          <w:sz w:val="12"/>
        </w:rPr>
        <w:t xml:space="preserve"> </w:t>
      </w:r>
      <w:r>
        <w:rPr>
          <w:sz w:val="18"/>
        </w:rPr>
        <w:t>China's</w:t>
      </w:r>
      <w:r>
        <w:rPr>
          <w:spacing w:val="2"/>
          <w:sz w:val="18"/>
        </w:rPr>
        <w:t xml:space="preserve"> </w:t>
      </w:r>
      <w:r>
        <w:rPr>
          <w:sz w:val="18"/>
        </w:rPr>
        <w:t>response</w:t>
      </w:r>
      <w:r>
        <w:rPr>
          <w:spacing w:val="-4"/>
          <w:sz w:val="18"/>
        </w:rPr>
        <w:t xml:space="preserve"> </w:t>
      </w:r>
      <w:r>
        <w:rPr>
          <w:sz w:val="18"/>
        </w:rPr>
        <w:t>to</w:t>
      </w:r>
      <w:r>
        <w:rPr>
          <w:spacing w:val="-10"/>
          <w:sz w:val="18"/>
        </w:rPr>
        <w:t xml:space="preserve"> </w:t>
      </w:r>
      <w:r>
        <w:rPr>
          <w:sz w:val="18"/>
        </w:rPr>
        <w:t>Panel</w:t>
      </w:r>
      <w:r>
        <w:rPr>
          <w:spacing w:val="-3"/>
          <w:sz w:val="18"/>
        </w:rPr>
        <w:t xml:space="preserve"> </w:t>
      </w:r>
      <w:r>
        <w:rPr>
          <w:sz w:val="18"/>
        </w:rPr>
        <w:t>question</w:t>
      </w:r>
      <w:r>
        <w:rPr>
          <w:spacing w:val="-4"/>
          <w:sz w:val="18"/>
        </w:rPr>
        <w:t xml:space="preserve"> </w:t>
      </w:r>
      <w:r>
        <w:rPr>
          <w:sz w:val="18"/>
        </w:rPr>
        <w:t>No.</w:t>
      </w:r>
      <w:r>
        <w:rPr>
          <w:spacing w:val="2"/>
          <w:sz w:val="18"/>
        </w:rPr>
        <w:t xml:space="preserve"> </w:t>
      </w:r>
      <w:r>
        <w:rPr>
          <w:sz w:val="18"/>
        </w:rPr>
        <w:t>61,</w:t>
      </w:r>
      <w:r>
        <w:rPr>
          <w:spacing w:val="-2"/>
          <w:sz w:val="18"/>
        </w:rPr>
        <w:t xml:space="preserve"> </w:t>
      </w:r>
      <w:r>
        <w:rPr>
          <w:sz w:val="18"/>
        </w:rPr>
        <w:t>para.</w:t>
      </w:r>
      <w:r>
        <w:rPr>
          <w:spacing w:val="-3"/>
          <w:sz w:val="18"/>
        </w:rPr>
        <w:t xml:space="preserve"> </w:t>
      </w:r>
      <w:r>
        <w:rPr>
          <w:spacing w:val="-4"/>
          <w:sz w:val="18"/>
        </w:rPr>
        <w:t>360.</w:t>
      </w:r>
    </w:p>
    <w:p w14:paraId="7CFC42E5" w14:textId="77777777" w:rsidR="00BD462C" w:rsidRDefault="00033D0F">
      <w:pPr>
        <w:spacing w:before="1"/>
        <w:ind w:left="135"/>
        <w:rPr>
          <w:sz w:val="18"/>
        </w:rPr>
      </w:pPr>
      <w:bookmarkStart w:id="1658" w:name="_bookmark1429"/>
      <w:bookmarkEnd w:id="1658"/>
      <w:r>
        <w:rPr>
          <w:position w:val="5"/>
          <w:sz w:val="12"/>
        </w:rPr>
        <w:t>1233</w:t>
      </w:r>
      <w:r>
        <w:rPr>
          <w:spacing w:val="13"/>
          <w:position w:val="5"/>
          <w:sz w:val="12"/>
        </w:rPr>
        <w:t xml:space="preserve"> </w:t>
      </w:r>
      <w:r>
        <w:rPr>
          <w:sz w:val="18"/>
        </w:rPr>
        <w:t>Pernod</w:t>
      </w:r>
      <w:r>
        <w:rPr>
          <w:spacing w:val="-5"/>
          <w:sz w:val="18"/>
        </w:rPr>
        <w:t xml:space="preserve"> </w:t>
      </w:r>
      <w:r>
        <w:rPr>
          <w:sz w:val="18"/>
        </w:rPr>
        <w:t>Ricard</w:t>
      </w:r>
      <w:r>
        <w:rPr>
          <w:spacing w:val="-6"/>
          <w:sz w:val="18"/>
        </w:rPr>
        <w:t xml:space="preserve"> </w:t>
      </w:r>
      <w:r>
        <w:rPr>
          <w:sz w:val="18"/>
        </w:rPr>
        <w:t>Comments on</w:t>
      </w:r>
      <w:r>
        <w:rPr>
          <w:spacing w:val="-1"/>
          <w:sz w:val="18"/>
        </w:rPr>
        <w:t xml:space="preserve"> </w:t>
      </w:r>
      <w:r>
        <w:rPr>
          <w:sz w:val="18"/>
        </w:rPr>
        <w:t>Sampling</w:t>
      </w:r>
      <w:r>
        <w:rPr>
          <w:spacing w:val="-5"/>
          <w:sz w:val="18"/>
        </w:rPr>
        <w:t xml:space="preserve"> </w:t>
      </w:r>
      <w:r>
        <w:rPr>
          <w:sz w:val="18"/>
        </w:rPr>
        <w:t>(Exhibit</w:t>
      </w:r>
      <w:r>
        <w:rPr>
          <w:spacing w:val="-4"/>
          <w:sz w:val="18"/>
        </w:rPr>
        <w:t xml:space="preserve"> </w:t>
      </w:r>
      <w:r>
        <w:rPr>
          <w:sz w:val="18"/>
        </w:rPr>
        <w:t>AUS-93),</w:t>
      </w:r>
      <w:r>
        <w:rPr>
          <w:spacing w:val="-3"/>
          <w:sz w:val="18"/>
        </w:rPr>
        <w:t xml:space="preserve"> </w:t>
      </w:r>
      <w:r>
        <w:rPr>
          <w:spacing w:val="-4"/>
          <w:sz w:val="18"/>
        </w:rPr>
        <w:t>p.2.</w:t>
      </w:r>
    </w:p>
    <w:p w14:paraId="749F4A6B" w14:textId="77777777" w:rsidR="00BD462C" w:rsidRDefault="00033D0F">
      <w:pPr>
        <w:spacing w:before="1"/>
        <w:ind w:left="135"/>
        <w:rPr>
          <w:sz w:val="18"/>
        </w:rPr>
      </w:pPr>
      <w:bookmarkStart w:id="1659" w:name="_bookmark1430"/>
      <w:bookmarkEnd w:id="1659"/>
      <w:r>
        <w:rPr>
          <w:position w:val="5"/>
          <w:sz w:val="12"/>
        </w:rPr>
        <w:t>1234</w:t>
      </w:r>
      <w:r>
        <w:rPr>
          <w:spacing w:val="14"/>
          <w:position w:val="5"/>
          <w:sz w:val="12"/>
        </w:rPr>
        <w:t xml:space="preserve"> </w:t>
      </w:r>
      <w:r>
        <w:rPr>
          <w:sz w:val="18"/>
        </w:rPr>
        <w:t>China's</w:t>
      </w:r>
      <w:r>
        <w:rPr>
          <w:spacing w:val="2"/>
          <w:sz w:val="18"/>
        </w:rPr>
        <w:t xml:space="preserve"> </w:t>
      </w:r>
      <w:r>
        <w:rPr>
          <w:sz w:val="18"/>
        </w:rPr>
        <w:t>response</w:t>
      </w:r>
      <w:r>
        <w:rPr>
          <w:spacing w:val="-4"/>
          <w:sz w:val="18"/>
        </w:rPr>
        <w:t xml:space="preserve"> </w:t>
      </w:r>
      <w:r>
        <w:rPr>
          <w:sz w:val="18"/>
        </w:rPr>
        <w:t>to</w:t>
      </w:r>
      <w:r>
        <w:rPr>
          <w:spacing w:val="-10"/>
          <w:sz w:val="18"/>
        </w:rPr>
        <w:t xml:space="preserve"> </w:t>
      </w:r>
      <w:r>
        <w:rPr>
          <w:sz w:val="18"/>
        </w:rPr>
        <w:t>Panel</w:t>
      </w:r>
      <w:r>
        <w:rPr>
          <w:spacing w:val="-3"/>
          <w:sz w:val="18"/>
        </w:rPr>
        <w:t xml:space="preserve"> </w:t>
      </w:r>
      <w:r>
        <w:rPr>
          <w:sz w:val="18"/>
        </w:rPr>
        <w:t>question</w:t>
      </w:r>
      <w:r>
        <w:rPr>
          <w:spacing w:val="-4"/>
          <w:sz w:val="18"/>
        </w:rPr>
        <w:t xml:space="preserve"> </w:t>
      </w:r>
      <w:r>
        <w:rPr>
          <w:sz w:val="18"/>
        </w:rPr>
        <w:t>No.</w:t>
      </w:r>
      <w:r>
        <w:rPr>
          <w:spacing w:val="2"/>
          <w:sz w:val="18"/>
        </w:rPr>
        <w:t xml:space="preserve"> </w:t>
      </w:r>
      <w:r>
        <w:rPr>
          <w:sz w:val="18"/>
        </w:rPr>
        <w:t>61,</w:t>
      </w:r>
      <w:r>
        <w:rPr>
          <w:spacing w:val="-2"/>
          <w:sz w:val="18"/>
        </w:rPr>
        <w:t xml:space="preserve"> </w:t>
      </w:r>
      <w:r>
        <w:rPr>
          <w:sz w:val="18"/>
        </w:rPr>
        <w:t>para.</w:t>
      </w:r>
      <w:r>
        <w:rPr>
          <w:spacing w:val="-3"/>
          <w:sz w:val="18"/>
        </w:rPr>
        <w:t xml:space="preserve"> </w:t>
      </w:r>
      <w:r>
        <w:rPr>
          <w:spacing w:val="-4"/>
          <w:sz w:val="18"/>
        </w:rPr>
        <w:t>361.</w:t>
      </w:r>
    </w:p>
    <w:p w14:paraId="1DF6D532" w14:textId="77777777" w:rsidR="00BD462C" w:rsidRDefault="00BD462C">
      <w:pPr>
        <w:rPr>
          <w:sz w:val="18"/>
        </w:rPr>
        <w:sectPr w:rsidR="00BD462C">
          <w:pgSz w:w="11910" w:h="16840"/>
          <w:pgMar w:top="860" w:right="500" w:bottom="780" w:left="1280" w:header="566" w:footer="590" w:gutter="0"/>
          <w:cols w:space="720"/>
        </w:sectPr>
      </w:pPr>
    </w:p>
    <w:p w14:paraId="215DAF6A"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221F3D97"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238A99A8"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173586AB" w14:textId="77777777" w:rsidR="00BD462C" w:rsidRDefault="00033D0F">
      <w:pPr>
        <w:pStyle w:val="Heading3"/>
        <w:numPr>
          <w:ilvl w:val="0"/>
          <w:numId w:val="21"/>
        </w:numPr>
        <w:tabs>
          <w:tab w:val="left" w:pos="2545"/>
          <w:tab w:val="left" w:pos="2546"/>
        </w:tabs>
        <w:spacing w:line="357" w:lineRule="auto"/>
        <w:ind w:left="2545" w:right="921"/>
        <w:jc w:val="left"/>
      </w:pPr>
      <w:bookmarkStart w:id="1660" w:name="6._Defective_assessment_of_the_responses"/>
      <w:bookmarkStart w:id="1661" w:name="_bookmark1431"/>
      <w:bookmarkEnd w:id="1660"/>
      <w:bookmarkEnd w:id="1661"/>
      <w:r>
        <w:t>Defective</w:t>
      </w:r>
      <w:r>
        <w:rPr>
          <w:spacing w:val="80"/>
          <w:w w:val="150"/>
        </w:rPr>
        <w:t xml:space="preserve"> </w:t>
      </w:r>
      <w:r>
        <w:t>assessment</w:t>
      </w:r>
      <w:r>
        <w:rPr>
          <w:spacing w:val="80"/>
          <w:w w:val="150"/>
        </w:rPr>
        <w:t xml:space="preserve"> </w:t>
      </w:r>
      <w:r>
        <w:t>of</w:t>
      </w:r>
      <w:r>
        <w:rPr>
          <w:spacing w:val="80"/>
          <w:w w:val="150"/>
        </w:rPr>
        <w:t xml:space="preserve"> </w:t>
      </w:r>
      <w:r>
        <w:t>the</w:t>
      </w:r>
      <w:r>
        <w:rPr>
          <w:spacing w:val="80"/>
          <w:w w:val="150"/>
        </w:rPr>
        <w:t xml:space="preserve"> </w:t>
      </w:r>
      <w:r>
        <w:t>responses</w:t>
      </w:r>
      <w:r>
        <w:rPr>
          <w:spacing w:val="80"/>
          <w:w w:val="150"/>
        </w:rPr>
        <w:t xml:space="preserve"> </w:t>
      </w:r>
      <w:r>
        <w:t>from</w:t>
      </w:r>
      <w:r>
        <w:rPr>
          <w:spacing w:val="80"/>
          <w:w w:val="150"/>
        </w:rPr>
        <w:t xml:space="preserve"> </w:t>
      </w:r>
      <w:r>
        <w:t>the</w:t>
      </w:r>
      <w:r>
        <w:rPr>
          <w:spacing w:val="80"/>
          <w:w w:val="150"/>
        </w:rPr>
        <w:t xml:space="preserve"> </w:t>
      </w:r>
      <w:r>
        <w:t xml:space="preserve">sampled </w:t>
      </w:r>
      <w:r>
        <w:rPr>
          <w:spacing w:val="-2"/>
        </w:rPr>
        <w:t>companies</w:t>
      </w:r>
    </w:p>
    <w:p w14:paraId="7B7C1048" w14:textId="77777777" w:rsidR="00BD462C" w:rsidRDefault="00BD462C">
      <w:pPr>
        <w:pStyle w:val="BodyText"/>
        <w:spacing w:before="3"/>
        <w:rPr>
          <w:b/>
          <w:sz w:val="9"/>
        </w:rPr>
      </w:pPr>
    </w:p>
    <w:p w14:paraId="618982E7" w14:textId="5C700098" w:rsidR="00BD462C" w:rsidRDefault="00925D9A">
      <w:pPr>
        <w:pStyle w:val="BodyText"/>
        <w:spacing w:before="56" w:line="360" w:lineRule="auto"/>
        <w:ind w:left="136" w:right="913"/>
        <w:jc w:val="both"/>
      </w:pPr>
      <w:r>
        <w:rPr>
          <w:noProof/>
        </w:rPr>
        <w:t xml:space="preserve">836. </w:t>
      </w:r>
      <w:r w:rsidR="00033D0F">
        <w:rPr>
          <w:position w:val="1"/>
        </w:rPr>
        <w:t>There is significant disagreement between the parties as to whether Article</w:t>
      </w:r>
      <w:r w:rsidR="00033D0F">
        <w:rPr>
          <w:spacing w:val="-3"/>
          <w:position w:val="1"/>
        </w:rPr>
        <w:t xml:space="preserve"> </w:t>
      </w:r>
      <w:r w:rsidR="00033D0F">
        <w:rPr>
          <w:position w:val="1"/>
        </w:rPr>
        <w:t>6.6</w:t>
      </w:r>
      <w:r w:rsidR="00033D0F">
        <w:rPr>
          <w:spacing w:val="40"/>
          <w:position w:val="1"/>
        </w:rPr>
        <w:t xml:space="preserve"> </w:t>
      </w:r>
      <w:r w:rsidR="00033D0F">
        <w:t>applies</w:t>
      </w:r>
      <w:r w:rsidR="00033D0F">
        <w:rPr>
          <w:spacing w:val="-14"/>
        </w:rPr>
        <w:t xml:space="preserve"> </w:t>
      </w:r>
      <w:r w:rsidR="00033D0F">
        <w:t>to</w:t>
      </w:r>
      <w:r w:rsidR="00033D0F">
        <w:rPr>
          <w:spacing w:val="-14"/>
        </w:rPr>
        <w:t xml:space="preserve"> </w:t>
      </w:r>
      <w:r w:rsidR="00033D0F">
        <w:t>MOFCOM's</w:t>
      </w:r>
      <w:r w:rsidR="00033D0F">
        <w:rPr>
          <w:spacing w:val="-13"/>
        </w:rPr>
        <w:t xml:space="preserve"> </w:t>
      </w:r>
      <w:r w:rsidR="00033D0F">
        <w:t>assessment</w:t>
      </w:r>
      <w:r w:rsidR="00033D0F">
        <w:rPr>
          <w:spacing w:val="-11"/>
        </w:rPr>
        <w:t xml:space="preserve"> </w:t>
      </w:r>
      <w:r w:rsidR="00033D0F">
        <w:t>of</w:t>
      </w:r>
      <w:r w:rsidR="00033D0F">
        <w:rPr>
          <w:spacing w:val="-14"/>
        </w:rPr>
        <w:t xml:space="preserve"> </w:t>
      </w:r>
      <w:r w:rsidR="00033D0F">
        <w:t>the</w:t>
      </w:r>
      <w:r w:rsidR="00033D0F">
        <w:rPr>
          <w:spacing w:val="-13"/>
        </w:rPr>
        <w:t xml:space="preserve"> </w:t>
      </w:r>
      <w:r w:rsidR="00033D0F">
        <w:t>responses</w:t>
      </w:r>
      <w:r w:rsidR="00033D0F">
        <w:rPr>
          <w:spacing w:val="-11"/>
        </w:rPr>
        <w:t xml:space="preserve"> </w:t>
      </w:r>
      <w:r w:rsidR="00033D0F">
        <w:t>from</w:t>
      </w:r>
      <w:r w:rsidR="00033D0F">
        <w:rPr>
          <w:spacing w:val="-13"/>
        </w:rPr>
        <w:t xml:space="preserve"> </w:t>
      </w:r>
      <w:r w:rsidR="00033D0F">
        <w:t>the</w:t>
      </w:r>
      <w:r w:rsidR="00033D0F">
        <w:rPr>
          <w:spacing w:val="-13"/>
        </w:rPr>
        <w:t xml:space="preserve"> </w:t>
      </w:r>
      <w:r w:rsidR="00033D0F">
        <w:t>sampled</w:t>
      </w:r>
      <w:r w:rsidR="00033D0F">
        <w:rPr>
          <w:spacing w:val="-14"/>
        </w:rPr>
        <w:t xml:space="preserve"> </w:t>
      </w:r>
      <w:r w:rsidR="00033D0F">
        <w:t>companies.</w:t>
      </w:r>
      <w:r w:rsidR="00033D0F">
        <w:rPr>
          <w:spacing w:val="-12"/>
        </w:rPr>
        <w:t xml:space="preserve"> </w:t>
      </w:r>
      <w:r w:rsidR="00033D0F">
        <w:t>China's</w:t>
      </w:r>
      <w:r w:rsidR="00033D0F">
        <w:rPr>
          <w:spacing w:val="-14"/>
        </w:rPr>
        <w:t xml:space="preserve"> </w:t>
      </w:r>
      <w:r w:rsidR="00033D0F">
        <w:t>view is that this assessment is solely governed by Article 6.8 and Annex II; Australia's view is that Article</w:t>
      </w:r>
      <w:r w:rsidR="00033D0F">
        <w:rPr>
          <w:spacing w:val="-13"/>
        </w:rPr>
        <w:t xml:space="preserve"> </w:t>
      </w:r>
      <w:r w:rsidR="00033D0F">
        <w:t>6.6</w:t>
      </w:r>
      <w:r w:rsidR="00033D0F">
        <w:rPr>
          <w:spacing w:val="-14"/>
        </w:rPr>
        <w:t xml:space="preserve"> </w:t>
      </w:r>
      <w:r w:rsidR="00033D0F">
        <w:t>applies</w:t>
      </w:r>
      <w:r w:rsidR="00033D0F">
        <w:rPr>
          <w:spacing w:val="-10"/>
        </w:rPr>
        <w:t xml:space="preserve"> </w:t>
      </w:r>
      <w:r w:rsidR="00033D0F">
        <w:t>to</w:t>
      </w:r>
      <w:r w:rsidR="00033D0F">
        <w:rPr>
          <w:spacing w:val="-14"/>
        </w:rPr>
        <w:t xml:space="preserve"> </w:t>
      </w:r>
      <w:r w:rsidR="00033D0F">
        <w:t>the</w:t>
      </w:r>
      <w:r w:rsidR="00033D0F">
        <w:rPr>
          <w:spacing w:val="-12"/>
        </w:rPr>
        <w:t xml:space="preserve"> </w:t>
      </w:r>
      <w:r w:rsidR="00033D0F">
        <w:t>assessment</w:t>
      </w:r>
      <w:r w:rsidR="00033D0F">
        <w:rPr>
          <w:spacing w:val="-11"/>
        </w:rPr>
        <w:t xml:space="preserve"> </w:t>
      </w:r>
      <w:r w:rsidR="00033D0F">
        <w:t>that</w:t>
      </w:r>
      <w:r w:rsidR="00033D0F">
        <w:rPr>
          <w:spacing w:val="-11"/>
        </w:rPr>
        <w:t xml:space="preserve"> </w:t>
      </w:r>
      <w:r w:rsidR="00033D0F">
        <w:t>is</w:t>
      </w:r>
      <w:r w:rsidR="00033D0F">
        <w:rPr>
          <w:spacing w:val="-10"/>
        </w:rPr>
        <w:t xml:space="preserve"> </w:t>
      </w:r>
      <w:r w:rsidR="00033D0F">
        <w:t>conducted</w:t>
      </w:r>
      <w:r w:rsidR="00033D0F">
        <w:rPr>
          <w:spacing w:val="-14"/>
        </w:rPr>
        <w:t xml:space="preserve"> </w:t>
      </w:r>
      <w:r w:rsidR="00033D0F">
        <w:t>anterior</w:t>
      </w:r>
      <w:r w:rsidR="00033D0F">
        <w:rPr>
          <w:spacing w:val="-14"/>
        </w:rPr>
        <w:t xml:space="preserve"> </w:t>
      </w:r>
      <w:r w:rsidR="00033D0F">
        <w:t>to</w:t>
      </w:r>
      <w:r w:rsidR="00033D0F">
        <w:rPr>
          <w:spacing w:val="-9"/>
        </w:rPr>
        <w:t xml:space="preserve"> </w:t>
      </w:r>
      <w:r w:rsidR="00033D0F">
        <w:t>the</w:t>
      </w:r>
      <w:r w:rsidR="00033D0F">
        <w:rPr>
          <w:spacing w:val="-12"/>
        </w:rPr>
        <w:t xml:space="preserve"> </w:t>
      </w:r>
      <w:r w:rsidR="00033D0F">
        <w:t>investigating</w:t>
      </w:r>
      <w:r w:rsidR="00033D0F">
        <w:rPr>
          <w:spacing w:val="-10"/>
        </w:rPr>
        <w:t xml:space="preserve"> </w:t>
      </w:r>
      <w:r w:rsidR="00033D0F">
        <w:t>authority's finding</w:t>
      </w:r>
      <w:r w:rsidR="00033D0F">
        <w:rPr>
          <w:spacing w:val="-1"/>
        </w:rPr>
        <w:t xml:space="preserve"> </w:t>
      </w:r>
      <w:r w:rsidR="00033D0F">
        <w:t>that</w:t>
      </w:r>
      <w:r w:rsidR="00033D0F">
        <w:rPr>
          <w:spacing w:val="-2"/>
        </w:rPr>
        <w:t xml:space="preserve"> </w:t>
      </w:r>
      <w:r w:rsidR="00033D0F">
        <w:t>the</w:t>
      </w:r>
      <w:r w:rsidR="00033D0F">
        <w:rPr>
          <w:spacing w:val="-3"/>
        </w:rPr>
        <w:t xml:space="preserve"> </w:t>
      </w:r>
      <w:r w:rsidR="00033D0F">
        <w:t>circumstances</w:t>
      </w:r>
      <w:r w:rsidR="00033D0F">
        <w:rPr>
          <w:spacing w:val="-1"/>
        </w:rPr>
        <w:t xml:space="preserve"> </w:t>
      </w:r>
      <w:r w:rsidR="00033D0F">
        <w:t>in</w:t>
      </w:r>
      <w:r w:rsidR="00033D0F">
        <w:rPr>
          <w:spacing w:val="-4"/>
        </w:rPr>
        <w:t xml:space="preserve"> </w:t>
      </w:r>
      <w:r w:rsidR="00033D0F">
        <w:t>Article</w:t>
      </w:r>
      <w:r w:rsidR="00033D0F">
        <w:rPr>
          <w:spacing w:val="-2"/>
        </w:rPr>
        <w:t xml:space="preserve"> </w:t>
      </w:r>
      <w:r w:rsidR="00033D0F">
        <w:t>6.8</w:t>
      </w:r>
      <w:r w:rsidR="00033D0F">
        <w:rPr>
          <w:spacing w:val="-5"/>
        </w:rPr>
        <w:t xml:space="preserve"> </w:t>
      </w:r>
      <w:r w:rsidR="00033D0F">
        <w:t>have</w:t>
      </w:r>
      <w:r w:rsidR="00033D0F">
        <w:rPr>
          <w:spacing w:val="-2"/>
        </w:rPr>
        <w:t xml:space="preserve"> </w:t>
      </w:r>
      <w:r w:rsidR="00033D0F">
        <w:t>arisen.</w:t>
      </w:r>
      <w:r w:rsidR="00033D0F">
        <w:rPr>
          <w:spacing w:val="-1"/>
        </w:rPr>
        <w:t xml:space="preserve"> </w:t>
      </w:r>
      <w:r w:rsidR="00033D0F">
        <w:t>This</w:t>
      </w:r>
      <w:r w:rsidR="00033D0F">
        <w:rPr>
          <w:spacing w:val="-1"/>
        </w:rPr>
        <w:t xml:space="preserve"> </w:t>
      </w:r>
      <w:r w:rsidR="00033D0F">
        <w:t>difference</w:t>
      </w:r>
      <w:r w:rsidR="00033D0F">
        <w:rPr>
          <w:spacing w:val="-2"/>
        </w:rPr>
        <w:t xml:space="preserve"> </w:t>
      </w:r>
      <w:r w:rsidR="00033D0F">
        <w:t>of views</w:t>
      </w:r>
      <w:r w:rsidR="00033D0F">
        <w:rPr>
          <w:spacing w:val="-1"/>
        </w:rPr>
        <w:t xml:space="preserve"> </w:t>
      </w:r>
      <w:r w:rsidR="00033D0F">
        <w:t>is</w:t>
      </w:r>
      <w:r w:rsidR="00033D0F">
        <w:rPr>
          <w:spacing w:val="-1"/>
        </w:rPr>
        <w:t xml:space="preserve"> </w:t>
      </w:r>
      <w:r w:rsidR="00033D0F">
        <w:t>ventilated in detail in the parties' responses to the Panel's question No. 59, and Australia will not reiterate those submissions here.</w:t>
      </w:r>
      <w:hyperlink w:anchor="_bookmark1433" w:history="1">
        <w:r w:rsidR="00033D0F">
          <w:rPr>
            <w:vertAlign w:val="superscript"/>
          </w:rPr>
          <w:t>1235</w:t>
        </w:r>
      </w:hyperlink>
    </w:p>
    <w:p w14:paraId="736FD5B8" w14:textId="77777777" w:rsidR="00BD462C" w:rsidRDefault="00BD462C">
      <w:pPr>
        <w:pStyle w:val="BodyText"/>
        <w:spacing w:before="5"/>
        <w:rPr>
          <w:sz w:val="8"/>
        </w:rPr>
      </w:pPr>
    </w:p>
    <w:p w14:paraId="2466F313" w14:textId="738556D0" w:rsidR="00BD462C" w:rsidRDefault="00925D9A">
      <w:pPr>
        <w:pStyle w:val="BodyText"/>
        <w:spacing w:before="56" w:line="360" w:lineRule="auto"/>
        <w:ind w:left="135" w:right="910"/>
        <w:jc w:val="both"/>
      </w:pPr>
      <w:r>
        <w:rPr>
          <w:noProof/>
        </w:rPr>
        <w:t>837.</w:t>
      </w:r>
      <w:r w:rsidR="00033D0F">
        <w:rPr>
          <w:rFonts w:ascii="Times New Roman"/>
          <w:spacing w:val="80"/>
          <w:position w:val="1"/>
          <w:sz w:val="20"/>
        </w:rPr>
        <w:t xml:space="preserve">  </w:t>
      </w:r>
      <w:r w:rsidR="00033D0F">
        <w:rPr>
          <w:position w:val="1"/>
        </w:rPr>
        <w:t>Aside from the threshold question of the scope of Article 6.6, China's written</w:t>
      </w:r>
      <w:r w:rsidR="00033D0F">
        <w:rPr>
          <w:spacing w:val="40"/>
          <w:position w:val="1"/>
        </w:rPr>
        <w:t xml:space="preserve"> </w:t>
      </w:r>
      <w:r w:rsidR="00033D0F">
        <w:t>response</w:t>
      </w:r>
      <w:r w:rsidR="00033D0F">
        <w:rPr>
          <w:spacing w:val="-3"/>
        </w:rPr>
        <w:t xml:space="preserve"> </w:t>
      </w:r>
      <w:proofErr w:type="spellStart"/>
      <w:r w:rsidR="00033D0F">
        <w:t>emphasises</w:t>
      </w:r>
      <w:proofErr w:type="spellEnd"/>
      <w:r w:rsidR="00033D0F">
        <w:rPr>
          <w:spacing w:val="-7"/>
        </w:rPr>
        <w:t xml:space="preserve"> </w:t>
      </w:r>
      <w:r w:rsidR="00033D0F">
        <w:t>that</w:t>
      </w:r>
      <w:r w:rsidR="00033D0F">
        <w:rPr>
          <w:spacing w:val="-3"/>
        </w:rPr>
        <w:t xml:space="preserve"> </w:t>
      </w:r>
      <w:r w:rsidR="00033D0F">
        <w:t>Article</w:t>
      </w:r>
      <w:r w:rsidR="00033D0F">
        <w:rPr>
          <w:spacing w:val="-3"/>
        </w:rPr>
        <w:t xml:space="preserve"> </w:t>
      </w:r>
      <w:r w:rsidR="00033D0F">
        <w:t>6.6</w:t>
      </w:r>
      <w:r w:rsidR="00033D0F">
        <w:rPr>
          <w:spacing w:val="-6"/>
        </w:rPr>
        <w:t xml:space="preserve"> </w:t>
      </w:r>
      <w:r w:rsidR="00033D0F">
        <w:t>does</w:t>
      </w:r>
      <w:r w:rsidR="00033D0F">
        <w:rPr>
          <w:spacing w:val="-2"/>
        </w:rPr>
        <w:t xml:space="preserve"> </w:t>
      </w:r>
      <w:r w:rsidR="00033D0F">
        <w:t>not</w:t>
      </w:r>
      <w:r w:rsidR="00033D0F">
        <w:rPr>
          <w:spacing w:val="-3"/>
        </w:rPr>
        <w:t xml:space="preserve"> </w:t>
      </w:r>
      <w:r w:rsidR="00033D0F">
        <w:t>require</w:t>
      </w:r>
      <w:r w:rsidR="00033D0F">
        <w:rPr>
          <w:spacing w:val="-3"/>
        </w:rPr>
        <w:t xml:space="preserve"> </w:t>
      </w:r>
      <w:r w:rsidR="00033D0F">
        <w:t>any</w:t>
      </w:r>
      <w:r w:rsidR="00033D0F">
        <w:rPr>
          <w:spacing w:val="-2"/>
        </w:rPr>
        <w:t xml:space="preserve"> </w:t>
      </w:r>
      <w:r w:rsidR="00033D0F">
        <w:rPr>
          <w:i/>
        </w:rPr>
        <w:t>particular</w:t>
      </w:r>
      <w:r w:rsidR="00033D0F">
        <w:rPr>
          <w:i/>
          <w:spacing w:val="-4"/>
        </w:rPr>
        <w:t xml:space="preserve"> </w:t>
      </w:r>
      <w:r w:rsidR="00033D0F">
        <w:t>process</w:t>
      </w:r>
      <w:r w:rsidR="00033D0F">
        <w:rPr>
          <w:spacing w:val="-2"/>
        </w:rPr>
        <w:t xml:space="preserve"> </w:t>
      </w:r>
      <w:r w:rsidR="00033D0F">
        <w:t>or</w:t>
      </w:r>
      <w:r w:rsidR="00033D0F">
        <w:rPr>
          <w:spacing w:val="-6"/>
        </w:rPr>
        <w:t xml:space="preserve"> </w:t>
      </w:r>
      <w:r w:rsidR="00033D0F">
        <w:t>methodology to be used.</w:t>
      </w:r>
      <w:hyperlink w:anchor="_bookmark1434" w:history="1">
        <w:r w:rsidR="00033D0F">
          <w:rPr>
            <w:vertAlign w:val="superscript"/>
          </w:rPr>
          <w:t>1236</w:t>
        </w:r>
      </w:hyperlink>
      <w:r w:rsidR="00033D0F">
        <w:t xml:space="preserve"> Australia agrees. Australia's submission is that an investigating authority has discretion to use any process it chooses, provided that the process, as applied in practice, is rationally</w:t>
      </w:r>
      <w:r w:rsidR="00033D0F">
        <w:rPr>
          <w:spacing w:val="-5"/>
        </w:rPr>
        <w:t xml:space="preserve"> </w:t>
      </w:r>
      <w:r w:rsidR="00033D0F">
        <w:t>capable</w:t>
      </w:r>
      <w:r w:rsidR="00033D0F">
        <w:rPr>
          <w:spacing w:val="-6"/>
        </w:rPr>
        <w:t xml:space="preserve"> </w:t>
      </w:r>
      <w:r w:rsidR="00033D0F">
        <w:t>of</w:t>
      </w:r>
      <w:r w:rsidR="00033D0F">
        <w:rPr>
          <w:spacing w:val="-3"/>
        </w:rPr>
        <w:t xml:space="preserve"> </w:t>
      </w:r>
      <w:r w:rsidR="00033D0F">
        <w:t>determining</w:t>
      </w:r>
      <w:r w:rsidR="00033D0F">
        <w:rPr>
          <w:spacing w:val="-5"/>
        </w:rPr>
        <w:t xml:space="preserve"> </w:t>
      </w:r>
      <w:r w:rsidR="00033D0F">
        <w:t>the</w:t>
      </w:r>
      <w:r w:rsidR="00033D0F">
        <w:rPr>
          <w:spacing w:val="-2"/>
        </w:rPr>
        <w:t xml:space="preserve"> </w:t>
      </w:r>
      <w:r w:rsidR="00033D0F">
        <w:t>reliability</w:t>
      </w:r>
      <w:r w:rsidR="00033D0F">
        <w:rPr>
          <w:spacing w:val="-5"/>
        </w:rPr>
        <w:t xml:space="preserve"> </w:t>
      </w:r>
      <w:r w:rsidR="00033D0F">
        <w:t>and</w:t>
      </w:r>
      <w:r w:rsidR="00033D0F">
        <w:rPr>
          <w:spacing w:val="-8"/>
        </w:rPr>
        <w:t xml:space="preserve"> </w:t>
      </w:r>
      <w:r w:rsidR="00033D0F">
        <w:t>probity</w:t>
      </w:r>
      <w:r w:rsidR="00033D0F">
        <w:rPr>
          <w:spacing w:val="-5"/>
        </w:rPr>
        <w:t xml:space="preserve"> </w:t>
      </w:r>
      <w:r w:rsidR="00033D0F">
        <w:t>of</w:t>
      </w:r>
      <w:r w:rsidR="00033D0F">
        <w:rPr>
          <w:spacing w:val="-8"/>
        </w:rPr>
        <w:t xml:space="preserve"> </w:t>
      </w:r>
      <w:r w:rsidR="00033D0F">
        <w:t>the</w:t>
      </w:r>
      <w:r w:rsidR="00033D0F">
        <w:rPr>
          <w:spacing w:val="-2"/>
        </w:rPr>
        <w:t xml:space="preserve"> </w:t>
      </w:r>
      <w:r w:rsidR="00033D0F">
        <w:t>information</w:t>
      </w:r>
      <w:r w:rsidR="00033D0F">
        <w:rPr>
          <w:spacing w:val="-3"/>
        </w:rPr>
        <w:t xml:space="preserve"> </w:t>
      </w:r>
      <w:r w:rsidR="00033D0F">
        <w:t>being</w:t>
      </w:r>
      <w:r w:rsidR="00033D0F">
        <w:rPr>
          <w:spacing w:val="-5"/>
        </w:rPr>
        <w:t xml:space="preserve"> </w:t>
      </w:r>
      <w:r w:rsidR="00033D0F">
        <w:t>used.</w:t>
      </w:r>
      <w:r w:rsidR="00033D0F">
        <w:rPr>
          <w:spacing w:val="-5"/>
        </w:rPr>
        <w:t xml:space="preserve"> </w:t>
      </w:r>
      <w:r w:rsidR="00033D0F">
        <w:t>An unbiased and objective investigating authority would not do otherwise.</w:t>
      </w:r>
    </w:p>
    <w:p w14:paraId="1C87E3DD" w14:textId="77777777" w:rsidR="00BD462C" w:rsidRDefault="00BD462C">
      <w:pPr>
        <w:pStyle w:val="BodyText"/>
        <w:spacing w:before="8"/>
        <w:rPr>
          <w:sz w:val="8"/>
        </w:rPr>
      </w:pPr>
    </w:p>
    <w:p w14:paraId="243D6576" w14:textId="231271B7" w:rsidR="00BD462C" w:rsidRDefault="00925D9A">
      <w:pPr>
        <w:pStyle w:val="BodyText"/>
        <w:spacing w:before="56" w:line="357" w:lineRule="auto"/>
        <w:ind w:left="135" w:right="917"/>
        <w:jc w:val="both"/>
      </w:pPr>
      <w:r>
        <w:rPr>
          <w:noProof/>
        </w:rPr>
        <w:t>838.</w:t>
      </w:r>
      <w:r w:rsidR="00033D0F">
        <w:rPr>
          <w:rFonts w:ascii="Times New Roman"/>
          <w:spacing w:val="80"/>
          <w:position w:val="1"/>
          <w:sz w:val="20"/>
        </w:rPr>
        <w:t xml:space="preserve">  </w:t>
      </w:r>
      <w:r w:rsidR="00033D0F">
        <w:rPr>
          <w:position w:val="1"/>
        </w:rPr>
        <w:t xml:space="preserve">As set out in Australia's first written submission, MOFCOM's chosen process in </w:t>
      </w:r>
      <w:r w:rsidR="00033D0F">
        <w:t>relation to its assessment of the responses from the sampled companies did not meet this standard and as such was inconsistent with the obligation under Article 6.6.</w:t>
      </w:r>
    </w:p>
    <w:p w14:paraId="626A20FA" w14:textId="77777777" w:rsidR="00BD462C" w:rsidRDefault="00033D0F">
      <w:pPr>
        <w:pStyle w:val="Heading3"/>
        <w:numPr>
          <w:ilvl w:val="0"/>
          <w:numId w:val="21"/>
        </w:numPr>
        <w:tabs>
          <w:tab w:val="left" w:pos="2545"/>
          <w:tab w:val="left" w:pos="2546"/>
        </w:tabs>
        <w:spacing w:before="164"/>
        <w:ind w:left="2545"/>
        <w:jc w:val="both"/>
      </w:pPr>
      <w:bookmarkStart w:id="1662" w:name="7._Conclusion"/>
      <w:bookmarkStart w:id="1663" w:name="_bookmark1432"/>
      <w:bookmarkEnd w:id="1662"/>
      <w:bookmarkEnd w:id="1663"/>
      <w:r>
        <w:rPr>
          <w:spacing w:val="-2"/>
        </w:rPr>
        <w:t>Conclusion</w:t>
      </w:r>
    </w:p>
    <w:p w14:paraId="1C80111B" w14:textId="77777777" w:rsidR="00BD462C" w:rsidRDefault="00BD462C">
      <w:pPr>
        <w:pStyle w:val="BodyText"/>
        <w:spacing w:before="12"/>
        <w:rPr>
          <w:b/>
          <w:sz w:val="20"/>
        </w:rPr>
      </w:pPr>
    </w:p>
    <w:p w14:paraId="781CFD11" w14:textId="4062449B" w:rsidR="00BD462C" w:rsidRDefault="00925D9A">
      <w:pPr>
        <w:pStyle w:val="BodyText"/>
        <w:spacing w:before="56" w:line="357" w:lineRule="auto"/>
        <w:ind w:left="135" w:right="913"/>
        <w:jc w:val="both"/>
      </w:pPr>
      <w:r>
        <w:rPr>
          <w:noProof/>
        </w:rPr>
        <w:t>839.</w:t>
      </w:r>
      <w:r w:rsidR="00033D0F">
        <w:rPr>
          <w:rFonts w:ascii="Times New Roman"/>
          <w:spacing w:val="80"/>
          <w:position w:val="1"/>
          <w:sz w:val="20"/>
        </w:rPr>
        <w:t xml:space="preserve">  </w:t>
      </w:r>
      <w:r w:rsidR="00033D0F">
        <w:rPr>
          <w:position w:val="1"/>
        </w:rPr>
        <w:t>For</w:t>
      </w:r>
      <w:r w:rsidR="00033D0F">
        <w:rPr>
          <w:spacing w:val="-10"/>
          <w:position w:val="1"/>
        </w:rPr>
        <w:t xml:space="preserve"> </w:t>
      </w:r>
      <w:r w:rsidR="00033D0F">
        <w:rPr>
          <w:position w:val="1"/>
        </w:rPr>
        <w:t>the</w:t>
      </w:r>
      <w:r w:rsidR="00033D0F">
        <w:rPr>
          <w:spacing w:val="-3"/>
          <w:position w:val="1"/>
        </w:rPr>
        <w:t xml:space="preserve"> </w:t>
      </w:r>
      <w:r w:rsidR="00033D0F">
        <w:rPr>
          <w:position w:val="1"/>
        </w:rPr>
        <w:t>reasons</w:t>
      </w:r>
      <w:r w:rsidR="00033D0F">
        <w:rPr>
          <w:spacing w:val="-6"/>
          <w:position w:val="1"/>
        </w:rPr>
        <w:t xml:space="preserve"> </w:t>
      </w:r>
      <w:r w:rsidR="00033D0F">
        <w:rPr>
          <w:position w:val="1"/>
        </w:rPr>
        <w:t>set</w:t>
      </w:r>
      <w:r w:rsidR="00033D0F">
        <w:rPr>
          <w:spacing w:val="-7"/>
          <w:position w:val="1"/>
        </w:rPr>
        <w:t xml:space="preserve"> </w:t>
      </w:r>
      <w:r w:rsidR="00033D0F">
        <w:rPr>
          <w:position w:val="1"/>
        </w:rPr>
        <w:t>out</w:t>
      </w:r>
      <w:r w:rsidR="00033D0F">
        <w:rPr>
          <w:spacing w:val="-7"/>
          <w:position w:val="1"/>
        </w:rPr>
        <w:t xml:space="preserve"> </w:t>
      </w:r>
      <w:r w:rsidR="00033D0F">
        <w:rPr>
          <w:position w:val="1"/>
        </w:rPr>
        <w:t>above,</w:t>
      </w:r>
      <w:r w:rsidR="00033D0F">
        <w:rPr>
          <w:spacing w:val="-5"/>
          <w:position w:val="1"/>
        </w:rPr>
        <w:t xml:space="preserve"> </w:t>
      </w:r>
      <w:r w:rsidR="00033D0F">
        <w:rPr>
          <w:position w:val="1"/>
        </w:rPr>
        <w:t>and</w:t>
      </w:r>
      <w:r w:rsidR="00033D0F">
        <w:rPr>
          <w:spacing w:val="-9"/>
          <w:position w:val="1"/>
        </w:rPr>
        <w:t xml:space="preserve"> </w:t>
      </w:r>
      <w:r w:rsidR="00033D0F">
        <w:rPr>
          <w:position w:val="1"/>
        </w:rPr>
        <w:t>in</w:t>
      </w:r>
      <w:r w:rsidR="00033D0F">
        <w:rPr>
          <w:spacing w:val="-9"/>
          <w:position w:val="1"/>
        </w:rPr>
        <w:t xml:space="preserve"> </w:t>
      </w:r>
      <w:r w:rsidR="00033D0F">
        <w:rPr>
          <w:position w:val="1"/>
        </w:rPr>
        <w:t>Australia's</w:t>
      </w:r>
      <w:r w:rsidR="00033D0F">
        <w:rPr>
          <w:spacing w:val="-6"/>
          <w:position w:val="1"/>
        </w:rPr>
        <w:t xml:space="preserve"> </w:t>
      </w:r>
      <w:r w:rsidR="00033D0F">
        <w:rPr>
          <w:position w:val="1"/>
        </w:rPr>
        <w:t>earlier</w:t>
      </w:r>
      <w:r w:rsidR="00033D0F">
        <w:rPr>
          <w:spacing w:val="-10"/>
          <w:position w:val="1"/>
        </w:rPr>
        <w:t xml:space="preserve"> </w:t>
      </w:r>
      <w:r w:rsidR="00033D0F">
        <w:rPr>
          <w:position w:val="1"/>
        </w:rPr>
        <w:t>submissions,</w:t>
      </w:r>
      <w:r w:rsidR="00033D0F">
        <w:rPr>
          <w:spacing w:val="-5"/>
          <w:position w:val="1"/>
        </w:rPr>
        <w:t xml:space="preserve"> </w:t>
      </w:r>
      <w:r w:rsidR="00033D0F">
        <w:rPr>
          <w:position w:val="1"/>
        </w:rPr>
        <w:t>MOFCOM</w:t>
      </w:r>
      <w:r w:rsidR="00033D0F">
        <w:rPr>
          <w:spacing w:val="-7"/>
          <w:position w:val="1"/>
        </w:rPr>
        <w:t xml:space="preserve"> </w:t>
      </w:r>
      <w:r w:rsidR="00033D0F">
        <w:rPr>
          <w:position w:val="1"/>
        </w:rPr>
        <w:t xml:space="preserve">acted </w:t>
      </w:r>
      <w:r w:rsidR="00033D0F">
        <w:t>inconsistently with China's obligations under Article 6.6 by failing to satisfy itself of the accuracy of the information on which its findings were based.</w:t>
      </w:r>
    </w:p>
    <w:p w14:paraId="0B25613A" w14:textId="77777777" w:rsidR="00BD462C" w:rsidRDefault="00BD462C">
      <w:pPr>
        <w:pStyle w:val="BodyText"/>
        <w:rPr>
          <w:sz w:val="20"/>
        </w:rPr>
      </w:pPr>
    </w:p>
    <w:p w14:paraId="340F9EDA" w14:textId="77777777" w:rsidR="00BD462C" w:rsidRDefault="00BD462C">
      <w:pPr>
        <w:pStyle w:val="BodyText"/>
        <w:rPr>
          <w:sz w:val="20"/>
        </w:rPr>
      </w:pPr>
    </w:p>
    <w:p w14:paraId="564DCE30" w14:textId="77777777" w:rsidR="00BD462C" w:rsidRDefault="00BD462C">
      <w:pPr>
        <w:pStyle w:val="BodyText"/>
        <w:rPr>
          <w:sz w:val="20"/>
        </w:rPr>
      </w:pPr>
    </w:p>
    <w:p w14:paraId="01EBDBBC" w14:textId="77777777" w:rsidR="00BD462C" w:rsidRDefault="00BD462C">
      <w:pPr>
        <w:pStyle w:val="BodyText"/>
        <w:rPr>
          <w:sz w:val="20"/>
        </w:rPr>
      </w:pPr>
    </w:p>
    <w:p w14:paraId="50597C09" w14:textId="77777777" w:rsidR="00BD462C" w:rsidRDefault="00BD462C">
      <w:pPr>
        <w:pStyle w:val="BodyText"/>
        <w:rPr>
          <w:sz w:val="20"/>
        </w:rPr>
      </w:pPr>
    </w:p>
    <w:p w14:paraId="13F83CB7" w14:textId="77777777" w:rsidR="00BD462C" w:rsidRDefault="00BD462C">
      <w:pPr>
        <w:pStyle w:val="BodyText"/>
        <w:rPr>
          <w:sz w:val="20"/>
        </w:rPr>
      </w:pPr>
    </w:p>
    <w:p w14:paraId="353E01FC" w14:textId="77777777" w:rsidR="00BD462C" w:rsidRDefault="00BD462C">
      <w:pPr>
        <w:pStyle w:val="BodyText"/>
        <w:rPr>
          <w:sz w:val="20"/>
        </w:rPr>
      </w:pPr>
    </w:p>
    <w:p w14:paraId="26DF01A8" w14:textId="77777777" w:rsidR="00BD462C" w:rsidRDefault="00BD462C">
      <w:pPr>
        <w:pStyle w:val="BodyText"/>
        <w:rPr>
          <w:sz w:val="20"/>
        </w:rPr>
      </w:pPr>
    </w:p>
    <w:p w14:paraId="544F4D17" w14:textId="77777777" w:rsidR="00BD462C" w:rsidRDefault="00BD462C">
      <w:pPr>
        <w:pStyle w:val="BodyText"/>
        <w:rPr>
          <w:sz w:val="20"/>
        </w:rPr>
      </w:pPr>
    </w:p>
    <w:p w14:paraId="014D5B01" w14:textId="77777777" w:rsidR="00BD462C" w:rsidRDefault="00BD462C">
      <w:pPr>
        <w:pStyle w:val="BodyText"/>
        <w:rPr>
          <w:sz w:val="20"/>
        </w:rPr>
      </w:pPr>
    </w:p>
    <w:p w14:paraId="0FA8DB35" w14:textId="601EB773" w:rsidR="00BD462C" w:rsidRDefault="00D70C7D">
      <w:pPr>
        <w:pStyle w:val="BodyText"/>
        <w:spacing w:before="2"/>
        <w:rPr>
          <w:sz w:val="18"/>
        </w:rPr>
      </w:pPr>
      <w:r>
        <w:rPr>
          <w:noProof/>
        </w:rPr>
        <mc:AlternateContent>
          <mc:Choice Requires="wps">
            <w:drawing>
              <wp:anchor distT="0" distB="0" distL="0" distR="0" simplePos="0" relativeHeight="487856128" behindDoc="1" locked="0" layoutInCell="1" allowOverlap="1" wp14:anchorId="3787473D" wp14:editId="6E761C7D">
                <wp:simplePos x="0" y="0"/>
                <wp:positionH relativeFrom="page">
                  <wp:posOffset>899160</wp:posOffset>
                </wp:positionH>
                <wp:positionV relativeFrom="paragraph">
                  <wp:posOffset>156210</wp:posOffset>
                </wp:positionV>
                <wp:extent cx="1828800" cy="8890"/>
                <wp:effectExtent l="0" t="0" r="0" b="0"/>
                <wp:wrapTopAndBottom/>
                <wp:docPr id="292" name="docshape5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B594DE" id="docshape576" o:spid="_x0000_s1026" alt="&quot;&quot;" style="position:absolute;margin-left:70.8pt;margin-top:12.3pt;width:2in;height:.7pt;z-index:-1546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" fillcolor="black" stroked="f">
                <w10:wrap type="topAndBottom" anchorx="page"/>
              </v:rect>
            </w:pict>
          </mc:Fallback>
        </mc:AlternateContent>
      </w:r>
    </w:p>
    <w:p w14:paraId="5BEE2950" w14:textId="77777777" w:rsidR="00BD462C" w:rsidRDefault="00033D0F">
      <w:pPr>
        <w:spacing w:before="112"/>
        <w:ind w:left="135"/>
        <w:rPr>
          <w:sz w:val="18"/>
        </w:rPr>
      </w:pPr>
      <w:bookmarkStart w:id="1664" w:name="_bookmark1433"/>
      <w:bookmarkEnd w:id="1664"/>
      <w:r>
        <w:rPr>
          <w:position w:val="5"/>
          <w:sz w:val="12"/>
        </w:rPr>
        <w:t>1235</w:t>
      </w:r>
      <w:r>
        <w:rPr>
          <w:spacing w:val="13"/>
          <w:position w:val="5"/>
          <w:sz w:val="12"/>
        </w:rPr>
        <w:t xml:space="preserve"> </w:t>
      </w:r>
      <w:r>
        <w:rPr>
          <w:sz w:val="18"/>
        </w:rPr>
        <w:t>China's</w:t>
      </w:r>
      <w:r>
        <w:rPr>
          <w:spacing w:val="-1"/>
          <w:sz w:val="18"/>
        </w:rPr>
        <w:t xml:space="preserve"> </w:t>
      </w:r>
      <w:r>
        <w:rPr>
          <w:sz w:val="18"/>
        </w:rPr>
        <w:t>response</w:t>
      </w:r>
      <w:r>
        <w:rPr>
          <w:spacing w:val="-5"/>
          <w:sz w:val="18"/>
        </w:rPr>
        <w:t xml:space="preserve"> </w:t>
      </w:r>
      <w:r>
        <w:rPr>
          <w:sz w:val="18"/>
        </w:rPr>
        <w:t>to</w:t>
      </w:r>
      <w:r>
        <w:rPr>
          <w:spacing w:val="-10"/>
          <w:sz w:val="18"/>
        </w:rPr>
        <w:t xml:space="preserve"> </w:t>
      </w:r>
      <w:r>
        <w:rPr>
          <w:sz w:val="18"/>
        </w:rPr>
        <w:t>Panel</w:t>
      </w:r>
      <w:r>
        <w:rPr>
          <w:spacing w:val="-4"/>
          <w:sz w:val="18"/>
        </w:rPr>
        <w:t xml:space="preserve"> </w:t>
      </w:r>
      <w:r>
        <w:rPr>
          <w:sz w:val="18"/>
        </w:rPr>
        <w:t>question</w:t>
      </w:r>
      <w:r>
        <w:rPr>
          <w:spacing w:val="-6"/>
          <w:sz w:val="18"/>
        </w:rPr>
        <w:t xml:space="preserve"> </w:t>
      </w:r>
      <w:r>
        <w:rPr>
          <w:sz w:val="18"/>
        </w:rPr>
        <w:t>No. 59,</w:t>
      </w:r>
      <w:r>
        <w:rPr>
          <w:spacing w:val="-3"/>
          <w:sz w:val="18"/>
        </w:rPr>
        <w:t xml:space="preserve"> </w:t>
      </w:r>
      <w:r>
        <w:rPr>
          <w:sz w:val="18"/>
        </w:rPr>
        <w:t>paras. 345-350;</w:t>
      </w:r>
      <w:r>
        <w:rPr>
          <w:spacing w:val="-7"/>
          <w:sz w:val="18"/>
        </w:rPr>
        <w:t xml:space="preserve"> </w:t>
      </w:r>
      <w:r>
        <w:rPr>
          <w:sz w:val="18"/>
        </w:rPr>
        <w:t>Australia's response</w:t>
      </w:r>
      <w:r>
        <w:rPr>
          <w:spacing w:val="-5"/>
          <w:sz w:val="18"/>
        </w:rPr>
        <w:t xml:space="preserve"> </w:t>
      </w:r>
      <w:r>
        <w:rPr>
          <w:sz w:val="18"/>
        </w:rPr>
        <w:t>to</w:t>
      </w:r>
      <w:r>
        <w:rPr>
          <w:spacing w:val="-6"/>
          <w:sz w:val="18"/>
        </w:rPr>
        <w:t xml:space="preserve"> </w:t>
      </w:r>
      <w:r>
        <w:rPr>
          <w:sz w:val="18"/>
        </w:rPr>
        <w:t>Panel</w:t>
      </w:r>
      <w:r>
        <w:rPr>
          <w:spacing w:val="-1"/>
          <w:sz w:val="18"/>
        </w:rPr>
        <w:t xml:space="preserve"> </w:t>
      </w:r>
      <w:r>
        <w:rPr>
          <w:sz w:val="18"/>
        </w:rPr>
        <w:t>question</w:t>
      </w:r>
      <w:r>
        <w:rPr>
          <w:spacing w:val="-6"/>
          <w:sz w:val="18"/>
        </w:rPr>
        <w:t xml:space="preserve"> </w:t>
      </w:r>
      <w:r>
        <w:rPr>
          <w:sz w:val="18"/>
        </w:rPr>
        <w:t>No. 27,</w:t>
      </w:r>
      <w:r>
        <w:rPr>
          <w:spacing w:val="-3"/>
          <w:sz w:val="18"/>
        </w:rPr>
        <w:t xml:space="preserve"> </w:t>
      </w:r>
      <w:r>
        <w:rPr>
          <w:sz w:val="18"/>
        </w:rPr>
        <w:t>para.</w:t>
      </w:r>
      <w:r>
        <w:rPr>
          <w:spacing w:val="-4"/>
          <w:sz w:val="18"/>
        </w:rPr>
        <w:t xml:space="preserve"> 145.</w:t>
      </w:r>
    </w:p>
    <w:p w14:paraId="5AB3DC15" w14:textId="77777777" w:rsidR="00BD462C" w:rsidRDefault="00033D0F">
      <w:pPr>
        <w:spacing w:before="1"/>
        <w:ind w:left="135"/>
        <w:rPr>
          <w:sz w:val="18"/>
        </w:rPr>
      </w:pPr>
      <w:bookmarkStart w:id="1665" w:name="_bookmark1434"/>
      <w:bookmarkEnd w:id="1665"/>
      <w:r>
        <w:rPr>
          <w:position w:val="5"/>
          <w:sz w:val="12"/>
        </w:rPr>
        <w:t>1236</w:t>
      </w:r>
      <w:r>
        <w:rPr>
          <w:spacing w:val="13"/>
          <w:position w:val="5"/>
          <w:sz w:val="12"/>
        </w:rPr>
        <w:t xml:space="preserve"> </w:t>
      </w:r>
      <w:r>
        <w:rPr>
          <w:sz w:val="18"/>
        </w:rPr>
        <w:t>China's response</w:t>
      </w:r>
      <w:r>
        <w:rPr>
          <w:spacing w:val="-5"/>
          <w:sz w:val="18"/>
        </w:rPr>
        <w:t xml:space="preserve"> </w:t>
      </w:r>
      <w:r>
        <w:rPr>
          <w:sz w:val="18"/>
        </w:rPr>
        <w:t>to</w:t>
      </w:r>
      <w:r>
        <w:rPr>
          <w:spacing w:val="-10"/>
          <w:sz w:val="18"/>
        </w:rPr>
        <w:t xml:space="preserve"> </w:t>
      </w:r>
      <w:r>
        <w:rPr>
          <w:sz w:val="18"/>
        </w:rPr>
        <w:t>Panel</w:t>
      </w:r>
      <w:r>
        <w:rPr>
          <w:spacing w:val="-4"/>
          <w:sz w:val="18"/>
        </w:rPr>
        <w:t xml:space="preserve"> </w:t>
      </w:r>
      <w:r>
        <w:rPr>
          <w:sz w:val="18"/>
        </w:rPr>
        <w:t>question</w:t>
      </w:r>
      <w:r>
        <w:rPr>
          <w:spacing w:val="-6"/>
          <w:sz w:val="18"/>
        </w:rPr>
        <w:t xml:space="preserve"> </w:t>
      </w:r>
      <w:r>
        <w:rPr>
          <w:sz w:val="18"/>
        </w:rPr>
        <w:t>No.</w:t>
      </w:r>
      <w:r>
        <w:rPr>
          <w:spacing w:val="1"/>
          <w:sz w:val="18"/>
        </w:rPr>
        <w:t xml:space="preserve"> </w:t>
      </w:r>
      <w:r>
        <w:rPr>
          <w:sz w:val="18"/>
        </w:rPr>
        <w:t>59,</w:t>
      </w:r>
      <w:r>
        <w:rPr>
          <w:spacing w:val="-3"/>
          <w:sz w:val="18"/>
        </w:rPr>
        <w:t xml:space="preserve"> </w:t>
      </w:r>
      <w:r>
        <w:rPr>
          <w:sz w:val="18"/>
        </w:rPr>
        <w:t>paras.</w:t>
      </w:r>
      <w:r>
        <w:rPr>
          <w:spacing w:val="1"/>
          <w:sz w:val="18"/>
        </w:rPr>
        <w:t xml:space="preserve"> </w:t>
      </w:r>
      <w:r>
        <w:rPr>
          <w:sz w:val="18"/>
        </w:rPr>
        <w:t>351-</w:t>
      </w:r>
      <w:r>
        <w:rPr>
          <w:spacing w:val="-4"/>
          <w:sz w:val="18"/>
        </w:rPr>
        <w:t>353.</w:t>
      </w:r>
    </w:p>
    <w:p w14:paraId="410EF715" w14:textId="77777777" w:rsidR="00BD462C" w:rsidRDefault="00BD462C">
      <w:pPr>
        <w:rPr>
          <w:sz w:val="18"/>
        </w:rPr>
        <w:sectPr w:rsidR="00BD462C">
          <w:pgSz w:w="11910" w:h="16840"/>
          <w:pgMar w:top="860" w:right="500" w:bottom="780" w:left="1280" w:header="566" w:footer="590" w:gutter="0"/>
          <w:cols w:space="720"/>
        </w:sectPr>
      </w:pPr>
    </w:p>
    <w:p w14:paraId="7629B838"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398D2325"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768A245F"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2CA239DD" w14:textId="77777777" w:rsidR="00BD462C" w:rsidRDefault="00033D0F" w:rsidP="00DA02D9">
      <w:pPr>
        <w:pStyle w:val="ListParagraph"/>
        <w:numPr>
          <w:ilvl w:val="1"/>
          <w:numId w:val="72"/>
        </w:numPr>
        <w:tabs>
          <w:tab w:val="left" w:pos="1840"/>
        </w:tabs>
        <w:spacing w:before="103" w:line="360" w:lineRule="auto"/>
        <w:ind w:left="1840" w:right="914"/>
        <w:jc w:val="both"/>
        <w:rPr>
          <w:b/>
        </w:rPr>
      </w:pPr>
      <w:bookmarkStart w:id="1666" w:name="F._MOFCOM's_failure_to_provide_intereste"/>
      <w:bookmarkStart w:id="1667" w:name="_bookmark1435"/>
      <w:bookmarkEnd w:id="1666"/>
      <w:bookmarkEnd w:id="1667"/>
      <w:r>
        <w:rPr>
          <w:b/>
          <w:sz w:val="28"/>
        </w:rPr>
        <w:t>MOFCOM'</w:t>
      </w:r>
      <w:r>
        <w:rPr>
          <w:b/>
        </w:rPr>
        <w:t xml:space="preserve">S FAILURE TO PROVIDE INTERESTED PARTIES TIMELY OPPORTUNITIES TO SEE ALL INFORMATION BREACHED </w:t>
      </w:r>
      <w:r>
        <w:rPr>
          <w:b/>
          <w:sz w:val="28"/>
        </w:rPr>
        <w:t>C</w:t>
      </w:r>
      <w:r>
        <w:rPr>
          <w:b/>
        </w:rPr>
        <w:t>HINA</w:t>
      </w:r>
      <w:r>
        <w:rPr>
          <w:b/>
          <w:sz w:val="28"/>
        </w:rPr>
        <w:t>'</w:t>
      </w:r>
      <w:r>
        <w:rPr>
          <w:b/>
        </w:rPr>
        <w:t xml:space="preserve">S OBLIGATIONS UNDER </w:t>
      </w:r>
      <w:r>
        <w:rPr>
          <w:b/>
          <w:sz w:val="28"/>
        </w:rPr>
        <w:t>A</w:t>
      </w:r>
      <w:r>
        <w:rPr>
          <w:b/>
        </w:rPr>
        <w:t xml:space="preserve">RTICLE </w:t>
      </w:r>
      <w:r>
        <w:rPr>
          <w:b/>
          <w:sz w:val="28"/>
        </w:rPr>
        <w:t xml:space="preserve">6.4 </w:t>
      </w:r>
      <w:r>
        <w:rPr>
          <w:b/>
        </w:rPr>
        <w:t xml:space="preserve">OF THE </w:t>
      </w:r>
      <w:r>
        <w:rPr>
          <w:b/>
          <w:sz w:val="28"/>
        </w:rPr>
        <w:t>A</w:t>
      </w:r>
      <w:r>
        <w:rPr>
          <w:b/>
        </w:rPr>
        <w:t>NTI</w:t>
      </w:r>
      <w:r>
        <w:rPr>
          <w:b/>
          <w:sz w:val="28"/>
        </w:rPr>
        <w:t>-D</w:t>
      </w:r>
      <w:r>
        <w:rPr>
          <w:b/>
        </w:rPr>
        <w:t xml:space="preserve">UMPING </w:t>
      </w:r>
      <w:r>
        <w:rPr>
          <w:b/>
          <w:sz w:val="28"/>
        </w:rPr>
        <w:t>A</w:t>
      </w:r>
      <w:r>
        <w:rPr>
          <w:b/>
        </w:rPr>
        <w:t>GREEMENT</w:t>
      </w:r>
    </w:p>
    <w:p w14:paraId="669295BF" w14:textId="77777777" w:rsidR="00BD462C" w:rsidRDefault="00033D0F">
      <w:pPr>
        <w:pStyle w:val="Heading3"/>
        <w:numPr>
          <w:ilvl w:val="0"/>
          <w:numId w:val="20"/>
        </w:numPr>
        <w:tabs>
          <w:tab w:val="left" w:pos="2689"/>
          <w:tab w:val="left" w:pos="2690"/>
        </w:tabs>
        <w:spacing w:before="156"/>
      </w:pPr>
      <w:bookmarkStart w:id="1668" w:name="_bookmark1436"/>
      <w:bookmarkEnd w:id="1668"/>
      <w:r>
        <w:rPr>
          <w:spacing w:val="-2"/>
        </w:rPr>
        <w:t>Introduction</w:t>
      </w:r>
    </w:p>
    <w:p w14:paraId="20879EA6" w14:textId="77777777" w:rsidR="00BD462C" w:rsidRDefault="00BD462C">
      <w:pPr>
        <w:pStyle w:val="BodyText"/>
        <w:spacing w:before="11"/>
        <w:rPr>
          <w:b/>
          <w:sz w:val="20"/>
        </w:rPr>
      </w:pPr>
    </w:p>
    <w:p w14:paraId="0DDE0D1E" w14:textId="7C4DDF11" w:rsidR="00BD462C" w:rsidRDefault="00925D9A">
      <w:pPr>
        <w:pStyle w:val="BodyText"/>
        <w:spacing w:before="56" w:line="360" w:lineRule="auto"/>
        <w:ind w:left="135" w:right="912"/>
        <w:jc w:val="both"/>
      </w:pPr>
      <w:r>
        <w:rPr>
          <w:noProof/>
        </w:rPr>
        <w:t>840.</w:t>
      </w:r>
      <w:r w:rsidR="00033D0F">
        <w:rPr>
          <w:rFonts w:ascii="Times New Roman"/>
          <w:spacing w:val="80"/>
          <w:position w:val="1"/>
          <w:sz w:val="20"/>
        </w:rPr>
        <w:t xml:space="preserve">  </w:t>
      </w:r>
      <w:r w:rsidR="00033D0F">
        <w:rPr>
          <w:position w:val="1"/>
        </w:rPr>
        <w:t xml:space="preserve">As set out in Australia's prior submissions, MOFCOM breached its obligations under </w:t>
      </w:r>
      <w:r w:rsidR="00033D0F">
        <w:t>Article</w:t>
      </w:r>
      <w:r w:rsidR="00033D0F">
        <w:rPr>
          <w:spacing w:val="-9"/>
        </w:rPr>
        <w:t xml:space="preserve"> </w:t>
      </w:r>
      <w:r w:rsidR="00033D0F">
        <w:t>6.4</w:t>
      </w:r>
      <w:r w:rsidR="00033D0F">
        <w:rPr>
          <w:spacing w:val="-11"/>
        </w:rPr>
        <w:t xml:space="preserve"> </w:t>
      </w:r>
      <w:r w:rsidR="00033D0F">
        <w:t>of</w:t>
      </w:r>
      <w:r w:rsidR="00033D0F">
        <w:rPr>
          <w:spacing w:val="-11"/>
        </w:rPr>
        <w:t xml:space="preserve"> </w:t>
      </w:r>
      <w:r w:rsidR="00033D0F">
        <w:t>the</w:t>
      </w:r>
      <w:r w:rsidR="00033D0F">
        <w:rPr>
          <w:spacing w:val="-9"/>
        </w:rPr>
        <w:t xml:space="preserve"> </w:t>
      </w:r>
      <w:r w:rsidR="00033D0F">
        <w:t>Anti-Dumping</w:t>
      </w:r>
      <w:r w:rsidR="00033D0F">
        <w:rPr>
          <w:spacing w:val="-8"/>
        </w:rPr>
        <w:t xml:space="preserve"> </w:t>
      </w:r>
      <w:r w:rsidR="00033D0F">
        <w:t>Agreement</w:t>
      </w:r>
      <w:r w:rsidR="00033D0F">
        <w:rPr>
          <w:spacing w:val="-13"/>
        </w:rPr>
        <w:t xml:space="preserve"> </w:t>
      </w:r>
      <w:r w:rsidR="00033D0F">
        <w:t>because</w:t>
      </w:r>
      <w:r w:rsidR="00033D0F">
        <w:rPr>
          <w:spacing w:val="-9"/>
        </w:rPr>
        <w:t xml:space="preserve"> </w:t>
      </w:r>
      <w:r w:rsidR="00033D0F">
        <w:t>it</w:t>
      </w:r>
      <w:r w:rsidR="00033D0F">
        <w:rPr>
          <w:spacing w:val="-9"/>
        </w:rPr>
        <w:t xml:space="preserve"> </w:t>
      </w:r>
      <w:r w:rsidR="00033D0F">
        <w:t>did</w:t>
      </w:r>
      <w:r w:rsidR="00033D0F">
        <w:rPr>
          <w:spacing w:val="-11"/>
        </w:rPr>
        <w:t xml:space="preserve"> </w:t>
      </w:r>
      <w:r w:rsidR="00033D0F">
        <w:t>not</w:t>
      </w:r>
      <w:r w:rsidR="00033D0F">
        <w:rPr>
          <w:spacing w:val="-9"/>
        </w:rPr>
        <w:t xml:space="preserve"> </w:t>
      </w:r>
      <w:r w:rsidR="00033D0F">
        <w:t>provide</w:t>
      </w:r>
      <w:r w:rsidR="00033D0F">
        <w:rPr>
          <w:spacing w:val="-9"/>
        </w:rPr>
        <w:t xml:space="preserve"> </w:t>
      </w:r>
      <w:r w:rsidR="00033D0F">
        <w:t>timely</w:t>
      </w:r>
      <w:r w:rsidR="00033D0F">
        <w:rPr>
          <w:spacing w:val="-8"/>
        </w:rPr>
        <w:t xml:space="preserve"> </w:t>
      </w:r>
      <w:r w:rsidR="00033D0F">
        <w:t>opportunities</w:t>
      </w:r>
      <w:r w:rsidR="00033D0F">
        <w:rPr>
          <w:spacing w:val="-8"/>
        </w:rPr>
        <w:t xml:space="preserve"> </w:t>
      </w:r>
      <w:r w:rsidR="00033D0F">
        <w:t>for interested parties to see all information relevant to the presentation of their cases that was used</w:t>
      </w:r>
      <w:r w:rsidR="00033D0F">
        <w:rPr>
          <w:spacing w:val="-13"/>
        </w:rPr>
        <w:t xml:space="preserve"> </w:t>
      </w:r>
      <w:r w:rsidR="00033D0F">
        <w:t>by</w:t>
      </w:r>
      <w:r w:rsidR="00033D0F">
        <w:rPr>
          <w:spacing w:val="-10"/>
        </w:rPr>
        <w:t xml:space="preserve"> </w:t>
      </w:r>
      <w:r w:rsidR="00033D0F">
        <w:t>MOFCOM,</w:t>
      </w:r>
      <w:r w:rsidR="00033D0F">
        <w:rPr>
          <w:spacing w:val="-9"/>
        </w:rPr>
        <w:t xml:space="preserve"> </w:t>
      </w:r>
      <w:r w:rsidR="00033D0F">
        <w:t>was</w:t>
      </w:r>
      <w:r w:rsidR="00033D0F">
        <w:rPr>
          <w:spacing w:val="-9"/>
        </w:rPr>
        <w:t xml:space="preserve"> </w:t>
      </w:r>
      <w:r w:rsidR="00033D0F">
        <w:t>practicable</w:t>
      </w:r>
      <w:r w:rsidR="00033D0F">
        <w:rPr>
          <w:spacing w:val="-11"/>
        </w:rPr>
        <w:t xml:space="preserve"> </w:t>
      </w:r>
      <w:r w:rsidR="00033D0F">
        <w:t>for</w:t>
      </w:r>
      <w:r w:rsidR="00033D0F">
        <w:rPr>
          <w:spacing w:val="-9"/>
        </w:rPr>
        <w:t xml:space="preserve"> </w:t>
      </w:r>
      <w:r w:rsidR="00033D0F">
        <w:t>MOFCOM</w:t>
      </w:r>
      <w:r w:rsidR="00033D0F">
        <w:rPr>
          <w:spacing w:val="-10"/>
        </w:rPr>
        <w:t xml:space="preserve"> </w:t>
      </w:r>
      <w:r w:rsidR="00033D0F">
        <w:t>to</w:t>
      </w:r>
      <w:r w:rsidR="00033D0F">
        <w:rPr>
          <w:spacing w:val="-13"/>
        </w:rPr>
        <w:t xml:space="preserve"> </w:t>
      </w:r>
      <w:r w:rsidR="00033D0F">
        <w:t>provide,</w:t>
      </w:r>
      <w:r w:rsidR="00033D0F">
        <w:rPr>
          <w:spacing w:val="-9"/>
        </w:rPr>
        <w:t xml:space="preserve"> </w:t>
      </w:r>
      <w:r w:rsidR="00033D0F">
        <w:t>and</w:t>
      </w:r>
      <w:r w:rsidR="00033D0F">
        <w:rPr>
          <w:spacing w:val="-13"/>
        </w:rPr>
        <w:t xml:space="preserve"> </w:t>
      </w:r>
      <w:r w:rsidR="00033D0F">
        <w:t>was</w:t>
      </w:r>
      <w:r w:rsidR="00033D0F">
        <w:rPr>
          <w:spacing w:val="-9"/>
        </w:rPr>
        <w:t xml:space="preserve"> </w:t>
      </w:r>
      <w:r w:rsidR="00033D0F">
        <w:t>not</w:t>
      </w:r>
      <w:r w:rsidR="00033D0F">
        <w:rPr>
          <w:spacing w:val="-10"/>
        </w:rPr>
        <w:t xml:space="preserve"> </w:t>
      </w:r>
      <w:r w:rsidR="00033D0F">
        <w:t>confidential.</w:t>
      </w:r>
      <w:hyperlink w:anchor="_bookmark1438" w:history="1">
        <w:r w:rsidR="00033D0F">
          <w:rPr>
            <w:vertAlign w:val="superscript"/>
          </w:rPr>
          <w:t>1237</w:t>
        </w:r>
      </w:hyperlink>
      <w:r w:rsidR="00033D0F">
        <w:rPr>
          <w:spacing w:val="-10"/>
        </w:rPr>
        <w:t xml:space="preserve"> </w:t>
      </w:r>
      <w:r w:rsidR="00033D0F">
        <w:t>This information related to MOFCOM's: (i) estimate of total production (or "total output") of domestic</w:t>
      </w:r>
      <w:r w:rsidR="00033D0F">
        <w:rPr>
          <w:spacing w:val="-5"/>
        </w:rPr>
        <w:t xml:space="preserve"> </w:t>
      </w:r>
      <w:r w:rsidR="00033D0F">
        <w:t>like</w:t>
      </w:r>
      <w:r w:rsidR="00033D0F">
        <w:rPr>
          <w:spacing w:val="-3"/>
        </w:rPr>
        <w:t xml:space="preserve"> </w:t>
      </w:r>
      <w:r w:rsidR="00033D0F">
        <w:t>products</w:t>
      </w:r>
      <w:r w:rsidR="00033D0F">
        <w:rPr>
          <w:spacing w:val="-2"/>
        </w:rPr>
        <w:t xml:space="preserve"> </w:t>
      </w:r>
      <w:r w:rsidR="00033D0F">
        <w:t>in</w:t>
      </w:r>
      <w:r w:rsidR="00033D0F">
        <w:rPr>
          <w:spacing w:val="-5"/>
        </w:rPr>
        <w:t xml:space="preserve"> </w:t>
      </w:r>
      <w:r w:rsidR="00033D0F">
        <w:t>China;</w:t>
      </w:r>
      <w:r w:rsidR="00033D0F">
        <w:rPr>
          <w:spacing w:val="-6"/>
        </w:rPr>
        <w:t xml:space="preserve"> </w:t>
      </w:r>
      <w:r w:rsidR="00033D0F">
        <w:t>(ii)</w:t>
      </w:r>
      <w:r w:rsidR="00033D0F">
        <w:rPr>
          <w:spacing w:val="-4"/>
        </w:rPr>
        <w:t xml:space="preserve"> </w:t>
      </w:r>
      <w:r w:rsidR="00033D0F">
        <w:t>determination of normal</w:t>
      </w:r>
      <w:r w:rsidR="00033D0F">
        <w:rPr>
          <w:spacing w:val="-1"/>
        </w:rPr>
        <w:t xml:space="preserve"> </w:t>
      </w:r>
      <w:r w:rsidR="00033D0F">
        <w:t>values</w:t>
      </w:r>
      <w:r w:rsidR="00033D0F">
        <w:rPr>
          <w:spacing w:val="-2"/>
        </w:rPr>
        <w:t xml:space="preserve"> </w:t>
      </w:r>
      <w:r w:rsidR="00033D0F">
        <w:t>and</w:t>
      </w:r>
      <w:r w:rsidR="00033D0F">
        <w:rPr>
          <w:spacing w:val="-5"/>
        </w:rPr>
        <w:t xml:space="preserve"> </w:t>
      </w:r>
      <w:r w:rsidR="00033D0F">
        <w:t>dumping</w:t>
      </w:r>
      <w:r w:rsidR="00033D0F">
        <w:rPr>
          <w:spacing w:val="-2"/>
        </w:rPr>
        <w:t xml:space="preserve"> </w:t>
      </w:r>
      <w:r w:rsidR="00033D0F">
        <w:t>margins</w:t>
      </w:r>
      <w:r w:rsidR="00033D0F">
        <w:rPr>
          <w:spacing w:val="-2"/>
        </w:rPr>
        <w:t xml:space="preserve"> </w:t>
      </w:r>
      <w:r w:rsidR="00033D0F">
        <w:t xml:space="preserve">for Australian interested parties; (iii) fair comparison adjustments; (iv) determination of price comparability for the price suppression analysis; and (v) determinations of injury and </w:t>
      </w:r>
      <w:r w:rsidR="00033D0F">
        <w:rPr>
          <w:spacing w:val="-2"/>
        </w:rPr>
        <w:t>causation.</w:t>
      </w:r>
    </w:p>
    <w:p w14:paraId="1AA9DDF7" w14:textId="77777777" w:rsidR="00BD462C" w:rsidRDefault="00033D0F">
      <w:pPr>
        <w:pStyle w:val="Heading3"/>
        <w:numPr>
          <w:ilvl w:val="0"/>
          <w:numId w:val="20"/>
        </w:numPr>
        <w:tabs>
          <w:tab w:val="left" w:pos="2689"/>
          <w:tab w:val="left" w:pos="2690"/>
        </w:tabs>
        <w:spacing w:before="159"/>
        <w:ind w:hanging="851"/>
      </w:pPr>
      <w:bookmarkStart w:id="1669" w:name="_bookmark1437"/>
      <w:bookmarkEnd w:id="1669"/>
      <w:r>
        <w:t>Legal</w:t>
      </w:r>
      <w:r>
        <w:rPr>
          <w:spacing w:val="-3"/>
        </w:rPr>
        <w:t xml:space="preserve"> </w:t>
      </w:r>
      <w:r>
        <w:rPr>
          <w:spacing w:val="-2"/>
        </w:rPr>
        <w:t>framework</w:t>
      </w:r>
    </w:p>
    <w:p w14:paraId="01B50AB3" w14:textId="77777777" w:rsidR="00BD462C" w:rsidRDefault="00BD462C">
      <w:pPr>
        <w:pStyle w:val="BodyText"/>
        <w:spacing w:before="6"/>
        <w:rPr>
          <w:b/>
          <w:sz w:val="20"/>
        </w:rPr>
      </w:pPr>
    </w:p>
    <w:p w14:paraId="196830D3" w14:textId="77546E90" w:rsidR="00BD462C" w:rsidRDefault="00925D9A">
      <w:pPr>
        <w:pStyle w:val="BodyText"/>
        <w:spacing w:before="56" w:line="360" w:lineRule="auto"/>
        <w:ind w:left="135" w:right="915"/>
        <w:jc w:val="both"/>
      </w:pPr>
      <w:r>
        <w:rPr>
          <w:noProof/>
        </w:rPr>
        <w:t>841.</w:t>
      </w:r>
      <w:r w:rsidR="00033D0F">
        <w:rPr>
          <w:rFonts w:ascii="Times New Roman"/>
          <w:spacing w:val="80"/>
          <w:position w:val="1"/>
          <w:sz w:val="20"/>
        </w:rPr>
        <w:t xml:space="preserve">  </w:t>
      </w:r>
      <w:r w:rsidR="00033D0F">
        <w:rPr>
          <w:position w:val="1"/>
        </w:rPr>
        <w:t xml:space="preserve">The purpose of Article 6.4 is to provide interested parties with timely opportunities </w:t>
      </w:r>
      <w:r w:rsidR="00033D0F">
        <w:t>to see all information and prepare presentations on the basis of this information. The disagreements of the parties over</w:t>
      </w:r>
      <w:r w:rsidR="00033D0F">
        <w:rPr>
          <w:spacing w:val="-1"/>
        </w:rPr>
        <w:t xml:space="preserve"> </w:t>
      </w:r>
      <w:r w:rsidR="00033D0F">
        <w:t>the proper</w:t>
      </w:r>
      <w:r w:rsidR="00033D0F">
        <w:rPr>
          <w:spacing w:val="-1"/>
        </w:rPr>
        <w:t xml:space="preserve"> </w:t>
      </w:r>
      <w:r w:rsidR="00033D0F">
        <w:t>interpretation</w:t>
      </w:r>
      <w:r w:rsidR="00033D0F">
        <w:rPr>
          <w:spacing w:val="-1"/>
        </w:rPr>
        <w:t xml:space="preserve"> </w:t>
      </w:r>
      <w:r w:rsidR="00033D0F">
        <w:t>and</w:t>
      </w:r>
      <w:r w:rsidR="00033D0F">
        <w:rPr>
          <w:spacing w:val="-1"/>
        </w:rPr>
        <w:t xml:space="preserve"> </w:t>
      </w:r>
      <w:r w:rsidR="00033D0F">
        <w:t>application</w:t>
      </w:r>
      <w:r w:rsidR="00033D0F">
        <w:rPr>
          <w:spacing w:val="-1"/>
        </w:rPr>
        <w:t xml:space="preserve"> </w:t>
      </w:r>
      <w:r w:rsidR="00033D0F">
        <w:t>of Article 6.4</w:t>
      </w:r>
      <w:r w:rsidR="00033D0F">
        <w:rPr>
          <w:spacing w:val="-1"/>
        </w:rPr>
        <w:t xml:space="preserve"> </w:t>
      </w:r>
      <w:r w:rsidR="00033D0F">
        <w:t>fall into the following five key categories:</w:t>
      </w:r>
    </w:p>
    <w:p w14:paraId="4D25C02F" w14:textId="77777777" w:rsidR="00BD462C" w:rsidRDefault="00033D0F">
      <w:pPr>
        <w:pStyle w:val="ListParagraph"/>
        <w:numPr>
          <w:ilvl w:val="0"/>
          <w:numId w:val="19"/>
        </w:numPr>
        <w:tabs>
          <w:tab w:val="left" w:pos="1835"/>
          <w:tab w:val="left" w:pos="1836"/>
        </w:tabs>
        <w:spacing w:before="155" w:line="357" w:lineRule="auto"/>
        <w:ind w:right="922"/>
        <w:jc w:val="both"/>
        <w:rPr>
          <w:sz w:val="24"/>
        </w:rPr>
      </w:pPr>
      <w:r>
        <w:rPr>
          <w:sz w:val="24"/>
        </w:rPr>
        <w:t>whether the submission of any evidence, information, or comments by interested parties precludes a claim under Article 6.4;</w:t>
      </w:r>
      <w:hyperlink w:anchor="_bookmark1439" w:history="1">
        <w:r>
          <w:rPr>
            <w:sz w:val="24"/>
            <w:vertAlign w:val="superscript"/>
          </w:rPr>
          <w:t>1238</w:t>
        </w:r>
      </w:hyperlink>
    </w:p>
    <w:p w14:paraId="3C4A9807" w14:textId="77777777" w:rsidR="00BD462C" w:rsidRDefault="00033D0F">
      <w:pPr>
        <w:pStyle w:val="ListParagraph"/>
        <w:numPr>
          <w:ilvl w:val="0"/>
          <w:numId w:val="19"/>
        </w:numPr>
        <w:tabs>
          <w:tab w:val="left" w:pos="1835"/>
          <w:tab w:val="left" w:pos="1836"/>
        </w:tabs>
        <w:spacing w:before="126" w:line="360" w:lineRule="auto"/>
        <w:ind w:right="916"/>
        <w:jc w:val="both"/>
        <w:rPr>
          <w:sz w:val="24"/>
        </w:rPr>
      </w:pPr>
      <w:r>
        <w:rPr>
          <w:sz w:val="24"/>
        </w:rPr>
        <w:t>China's semantic objections to the word "disclosure" in Australia's arguments as a</w:t>
      </w:r>
      <w:r>
        <w:rPr>
          <w:spacing w:val="-1"/>
          <w:sz w:val="24"/>
        </w:rPr>
        <w:t xml:space="preserve"> </w:t>
      </w:r>
      <w:r>
        <w:rPr>
          <w:sz w:val="24"/>
        </w:rPr>
        <w:t>description</w:t>
      </w:r>
      <w:r>
        <w:rPr>
          <w:spacing w:val="-3"/>
          <w:sz w:val="24"/>
        </w:rPr>
        <w:t xml:space="preserve"> </w:t>
      </w:r>
      <w:r>
        <w:rPr>
          <w:sz w:val="24"/>
        </w:rPr>
        <w:t>for</w:t>
      </w:r>
      <w:r>
        <w:rPr>
          <w:spacing w:val="-3"/>
          <w:sz w:val="24"/>
        </w:rPr>
        <w:t xml:space="preserve"> </w:t>
      </w:r>
      <w:r>
        <w:rPr>
          <w:sz w:val="24"/>
        </w:rPr>
        <w:t>making all relevant</w:t>
      </w:r>
      <w:r>
        <w:rPr>
          <w:spacing w:val="-4"/>
          <w:sz w:val="24"/>
        </w:rPr>
        <w:t xml:space="preserve"> </w:t>
      </w:r>
      <w:r>
        <w:rPr>
          <w:sz w:val="24"/>
        </w:rPr>
        <w:t>information</w:t>
      </w:r>
      <w:r>
        <w:rPr>
          <w:spacing w:val="-3"/>
          <w:sz w:val="24"/>
        </w:rPr>
        <w:t xml:space="preserve"> </w:t>
      </w:r>
      <w:r>
        <w:rPr>
          <w:sz w:val="24"/>
        </w:rPr>
        <w:t>available</w:t>
      </w:r>
      <w:r>
        <w:rPr>
          <w:spacing w:val="-1"/>
          <w:sz w:val="24"/>
        </w:rPr>
        <w:t xml:space="preserve"> </w:t>
      </w:r>
      <w:r>
        <w:rPr>
          <w:sz w:val="24"/>
        </w:rPr>
        <w:t xml:space="preserve">for the interested parties to </w:t>
      </w:r>
      <w:proofErr w:type="gramStart"/>
      <w:r>
        <w:rPr>
          <w:sz w:val="24"/>
        </w:rPr>
        <w:t>see;</w:t>
      </w:r>
      <w:proofErr w:type="gramEnd"/>
    </w:p>
    <w:p w14:paraId="14B70CED" w14:textId="77777777" w:rsidR="00BD462C" w:rsidRDefault="00BD462C">
      <w:pPr>
        <w:pStyle w:val="BodyText"/>
        <w:rPr>
          <w:sz w:val="20"/>
        </w:rPr>
      </w:pPr>
    </w:p>
    <w:p w14:paraId="4D77A568" w14:textId="77777777" w:rsidR="00BD462C" w:rsidRDefault="00BD462C">
      <w:pPr>
        <w:pStyle w:val="BodyText"/>
        <w:rPr>
          <w:sz w:val="20"/>
        </w:rPr>
      </w:pPr>
    </w:p>
    <w:p w14:paraId="0211614C" w14:textId="77777777" w:rsidR="00BD462C" w:rsidRDefault="00BD462C">
      <w:pPr>
        <w:pStyle w:val="BodyText"/>
        <w:rPr>
          <w:sz w:val="20"/>
        </w:rPr>
      </w:pPr>
    </w:p>
    <w:p w14:paraId="6FCE6444" w14:textId="77777777" w:rsidR="00BD462C" w:rsidRDefault="00BD462C">
      <w:pPr>
        <w:pStyle w:val="BodyText"/>
        <w:rPr>
          <w:sz w:val="20"/>
        </w:rPr>
      </w:pPr>
    </w:p>
    <w:p w14:paraId="5BE985BB" w14:textId="77777777" w:rsidR="00BD462C" w:rsidRDefault="00BD462C">
      <w:pPr>
        <w:pStyle w:val="BodyText"/>
        <w:rPr>
          <w:sz w:val="20"/>
        </w:rPr>
      </w:pPr>
    </w:p>
    <w:p w14:paraId="28BC3F9C" w14:textId="77777777" w:rsidR="00BD462C" w:rsidRDefault="00BD462C">
      <w:pPr>
        <w:pStyle w:val="BodyText"/>
        <w:rPr>
          <w:sz w:val="20"/>
        </w:rPr>
      </w:pPr>
    </w:p>
    <w:p w14:paraId="58E113FE" w14:textId="414E5BB9" w:rsidR="00BD462C" w:rsidRDefault="00D70C7D">
      <w:pPr>
        <w:pStyle w:val="BodyText"/>
        <w:spacing w:before="1"/>
        <w:rPr>
          <w:sz w:val="14"/>
        </w:rPr>
      </w:pPr>
      <w:r>
        <w:rPr>
          <w:noProof/>
        </w:rPr>
        <mc:AlternateContent>
          <mc:Choice Requires="wps">
            <w:drawing>
              <wp:anchor distT="0" distB="0" distL="0" distR="0" simplePos="0" relativeHeight="487856640" behindDoc="1" locked="0" layoutInCell="1" allowOverlap="1" wp14:anchorId="3BD73AD5" wp14:editId="459B0D05">
                <wp:simplePos x="0" y="0"/>
                <wp:positionH relativeFrom="page">
                  <wp:posOffset>899160</wp:posOffset>
                </wp:positionH>
                <wp:positionV relativeFrom="paragraph">
                  <wp:posOffset>124460</wp:posOffset>
                </wp:positionV>
                <wp:extent cx="1828800" cy="8890"/>
                <wp:effectExtent l="0" t="0" r="0" b="0"/>
                <wp:wrapTopAndBottom/>
                <wp:docPr id="290" name="docshape5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1B07D6" id="docshape577" o:spid="_x0000_s1026" alt="&quot;&quot;" style="position:absolute;margin-left:70.8pt;margin-top:9.8pt;width:2in;height:.7pt;z-index:-15459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" fillcolor="black" stroked="f">
                <w10:wrap type="topAndBottom" anchorx="page"/>
              </v:rect>
            </w:pict>
          </mc:Fallback>
        </mc:AlternateContent>
      </w:r>
    </w:p>
    <w:p w14:paraId="4DC8ECB0" w14:textId="77777777" w:rsidR="00BD462C" w:rsidRDefault="00033D0F">
      <w:pPr>
        <w:spacing w:before="112"/>
        <w:ind w:left="135" w:right="923"/>
        <w:rPr>
          <w:sz w:val="18"/>
        </w:rPr>
      </w:pPr>
      <w:bookmarkStart w:id="1670" w:name="_bookmark1438"/>
      <w:bookmarkEnd w:id="1670"/>
      <w:r>
        <w:rPr>
          <w:position w:val="5"/>
          <w:sz w:val="12"/>
        </w:rPr>
        <w:t>1237</w:t>
      </w:r>
      <w:r>
        <w:rPr>
          <w:spacing w:val="26"/>
          <w:position w:val="5"/>
          <w:sz w:val="12"/>
        </w:rPr>
        <w:t xml:space="preserve"> </w:t>
      </w:r>
      <w:r>
        <w:rPr>
          <w:sz w:val="18"/>
        </w:rPr>
        <w:t>Australia's arguments concerning MOFCOM's breaches of Article 6.4 are set out in: Australia's first written submission, section VII.F, paras. 958-1009; responses to</w:t>
      </w:r>
      <w:r>
        <w:rPr>
          <w:spacing w:val="-2"/>
          <w:sz w:val="18"/>
        </w:rPr>
        <w:t xml:space="preserve"> </w:t>
      </w:r>
      <w:r>
        <w:rPr>
          <w:sz w:val="18"/>
        </w:rPr>
        <w:t>Panel question Nos. 50, 53, and 54, paras. 123-130.</w:t>
      </w:r>
    </w:p>
    <w:p w14:paraId="302CE79E" w14:textId="77777777" w:rsidR="00BD462C" w:rsidRDefault="00033D0F">
      <w:pPr>
        <w:spacing w:before="2"/>
        <w:ind w:left="135"/>
        <w:rPr>
          <w:sz w:val="18"/>
        </w:rPr>
      </w:pPr>
      <w:bookmarkStart w:id="1671" w:name="_bookmark1439"/>
      <w:bookmarkEnd w:id="1671"/>
      <w:r>
        <w:rPr>
          <w:position w:val="5"/>
          <w:sz w:val="12"/>
        </w:rPr>
        <w:t>1238</w:t>
      </w:r>
      <w:r>
        <w:rPr>
          <w:spacing w:val="12"/>
          <w:position w:val="5"/>
          <w:sz w:val="12"/>
        </w:rPr>
        <w:t xml:space="preserve"> </w:t>
      </w:r>
      <w:r>
        <w:rPr>
          <w:sz w:val="18"/>
        </w:rPr>
        <w:t>China's</w:t>
      </w:r>
      <w:r>
        <w:rPr>
          <w:spacing w:val="-6"/>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 para. 2442,</w:t>
      </w:r>
      <w:r>
        <w:rPr>
          <w:spacing w:val="-5"/>
          <w:sz w:val="18"/>
        </w:rPr>
        <w:t xml:space="preserve"> </w:t>
      </w:r>
      <w:r>
        <w:rPr>
          <w:spacing w:val="-2"/>
          <w:sz w:val="18"/>
        </w:rPr>
        <w:t>2460.</w:t>
      </w:r>
    </w:p>
    <w:p w14:paraId="45BE5D68" w14:textId="77777777" w:rsidR="00BD462C" w:rsidRDefault="00BD462C">
      <w:pPr>
        <w:rPr>
          <w:sz w:val="18"/>
        </w:rPr>
        <w:sectPr w:rsidR="00BD462C">
          <w:pgSz w:w="11910" w:h="16840"/>
          <w:pgMar w:top="860" w:right="500" w:bottom="780" w:left="1280" w:header="566" w:footer="590" w:gutter="0"/>
          <w:cols w:space="720"/>
        </w:sectPr>
      </w:pPr>
    </w:p>
    <w:p w14:paraId="331243C9"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5EBF4A2A"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6B8D066C"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1C3C3CEC" w14:textId="77777777" w:rsidR="00BD462C" w:rsidRDefault="00033D0F">
      <w:pPr>
        <w:pStyle w:val="ListParagraph"/>
        <w:numPr>
          <w:ilvl w:val="0"/>
          <w:numId w:val="19"/>
        </w:numPr>
        <w:tabs>
          <w:tab w:val="left" w:pos="1835"/>
          <w:tab w:val="left" w:pos="1836"/>
        </w:tabs>
        <w:spacing w:before="99" w:line="357" w:lineRule="auto"/>
        <w:ind w:right="918"/>
        <w:jc w:val="both"/>
        <w:rPr>
          <w:sz w:val="24"/>
        </w:rPr>
      </w:pPr>
      <w:r>
        <w:rPr>
          <w:sz w:val="24"/>
        </w:rPr>
        <w:t>whether the obligation to provide timely opportunities for all interested parties to</w:t>
      </w:r>
      <w:r>
        <w:rPr>
          <w:spacing w:val="-2"/>
          <w:sz w:val="24"/>
        </w:rPr>
        <w:t xml:space="preserve"> </w:t>
      </w:r>
      <w:r>
        <w:rPr>
          <w:sz w:val="24"/>
        </w:rPr>
        <w:t>see all relevant</w:t>
      </w:r>
      <w:r>
        <w:rPr>
          <w:spacing w:val="-4"/>
          <w:sz w:val="24"/>
        </w:rPr>
        <w:t xml:space="preserve"> </w:t>
      </w:r>
      <w:r>
        <w:rPr>
          <w:sz w:val="24"/>
        </w:rPr>
        <w:t>information</w:t>
      </w:r>
      <w:r>
        <w:rPr>
          <w:spacing w:val="-2"/>
          <w:sz w:val="24"/>
        </w:rPr>
        <w:t xml:space="preserve"> </w:t>
      </w:r>
      <w:r>
        <w:rPr>
          <w:sz w:val="24"/>
        </w:rPr>
        <w:t>under</w:t>
      </w:r>
      <w:r>
        <w:rPr>
          <w:spacing w:val="-2"/>
          <w:sz w:val="24"/>
        </w:rPr>
        <w:t xml:space="preserve"> </w:t>
      </w:r>
      <w:r>
        <w:rPr>
          <w:sz w:val="24"/>
        </w:rPr>
        <w:t>Article 6.4</w:t>
      </w:r>
      <w:r>
        <w:rPr>
          <w:spacing w:val="-2"/>
          <w:sz w:val="24"/>
        </w:rPr>
        <w:t xml:space="preserve"> </w:t>
      </w:r>
      <w:r>
        <w:rPr>
          <w:sz w:val="24"/>
        </w:rPr>
        <w:t>only applies</w:t>
      </w:r>
      <w:r>
        <w:rPr>
          <w:spacing w:val="-3"/>
          <w:sz w:val="24"/>
        </w:rPr>
        <w:t xml:space="preserve"> </w:t>
      </w:r>
      <w:r>
        <w:rPr>
          <w:sz w:val="24"/>
        </w:rPr>
        <w:t>if</w:t>
      </w:r>
      <w:r>
        <w:rPr>
          <w:spacing w:val="-1"/>
          <w:sz w:val="24"/>
        </w:rPr>
        <w:t xml:space="preserve"> </w:t>
      </w:r>
      <w:r>
        <w:rPr>
          <w:sz w:val="24"/>
        </w:rPr>
        <w:t xml:space="preserve">there is a specific request to see certain </w:t>
      </w:r>
      <w:proofErr w:type="gramStart"/>
      <w:r>
        <w:rPr>
          <w:sz w:val="24"/>
        </w:rPr>
        <w:t>information;</w:t>
      </w:r>
      <w:proofErr w:type="gramEnd"/>
    </w:p>
    <w:p w14:paraId="4DF9DB90" w14:textId="77777777" w:rsidR="00BD462C" w:rsidRDefault="00033D0F">
      <w:pPr>
        <w:pStyle w:val="ListParagraph"/>
        <w:numPr>
          <w:ilvl w:val="0"/>
          <w:numId w:val="19"/>
        </w:numPr>
        <w:tabs>
          <w:tab w:val="left" w:pos="1835"/>
          <w:tab w:val="left" w:pos="1836"/>
        </w:tabs>
        <w:spacing w:before="127" w:line="357" w:lineRule="auto"/>
        <w:ind w:right="922"/>
        <w:jc w:val="both"/>
        <w:rPr>
          <w:sz w:val="24"/>
        </w:rPr>
      </w:pPr>
      <w:r>
        <w:rPr>
          <w:sz w:val="24"/>
        </w:rPr>
        <w:t>whether the due process and procedural rights under Article 6.4 are as limited and narrow as China suggests;</w:t>
      </w:r>
      <w:hyperlink w:anchor="_bookmark1440" w:history="1">
        <w:r>
          <w:rPr>
            <w:sz w:val="24"/>
            <w:vertAlign w:val="superscript"/>
          </w:rPr>
          <w:t>1239</w:t>
        </w:r>
      </w:hyperlink>
      <w:r>
        <w:rPr>
          <w:sz w:val="24"/>
        </w:rPr>
        <w:t xml:space="preserve"> and</w:t>
      </w:r>
    </w:p>
    <w:p w14:paraId="0568F523" w14:textId="77777777" w:rsidR="00BD462C" w:rsidRDefault="00033D0F">
      <w:pPr>
        <w:pStyle w:val="ListParagraph"/>
        <w:numPr>
          <w:ilvl w:val="0"/>
          <w:numId w:val="19"/>
        </w:numPr>
        <w:tabs>
          <w:tab w:val="left" w:pos="1835"/>
          <w:tab w:val="left" w:pos="1836"/>
        </w:tabs>
        <w:spacing w:before="126" w:line="357" w:lineRule="auto"/>
        <w:ind w:right="920"/>
        <w:jc w:val="both"/>
        <w:rPr>
          <w:sz w:val="24"/>
        </w:rPr>
      </w:pPr>
      <w:r>
        <w:rPr>
          <w:sz w:val="24"/>
        </w:rPr>
        <w:t>the scope of the investigating authority's discretion to determine that information falls within the scope of Article 6.4.</w:t>
      </w:r>
      <w:hyperlink w:anchor="_bookmark1441" w:history="1">
        <w:r>
          <w:rPr>
            <w:sz w:val="24"/>
            <w:vertAlign w:val="superscript"/>
          </w:rPr>
          <w:t>1240</w:t>
        </w:r>
      </w:hyperlink>
    </w:p>
    <w:p w14:paraId="269100AE" w14:textId="21B77774" w:rsidR="00BD462C" w:rsidRDefault="00925D9A">
      <w:pPr>
        <w:pStyle w:val="BodyText"/>
        <w:spacing w:before="130" w:line="360" w:lineRule="auto"/>
        <w:ind w:left="135" w:right="918"/>
        <w:jc w:val="both"/>
      </w:pPr>
      <w:r>
        <w:rPr>
          <w:noProof/>
        </w:rPr>
        <w:t>842.</w:t>
      </w:r>
      <w:r w:rsidR="00033D0F">
        <w:rPr>
          <w:rFonts w:ascii="Times New Roman"/>
          <w:spacing w:val="80"/>
          <w:position w:val="1"/>
          <w:sz w:val="20"/>
        </w:rPr>
        <w:t xml:space="preserve">  </w:t>
      </w:r>
      <w:r w:rsidR="00033D0F">
        <w:rPr>
          <w:position w:val="1"/>
        </w:rPr>
        <w:t>China's</w:t>
      </w:r>
      <w:r w:rsidR="00033D0F">
        <w:rPr>
          <w:spacing w:val="-6"/>
          <w:position w:val="1"/>
        </w:rPr>
        <w:t xml:space="preserve"> </w:t>
      </w:r>
      <w:r w:rsidR="00033D0F">
        <w:rPr>
          <w:position w:val="1"/>
        </w:rPr>
        <w:t>interpretation</w:t>
      </w:r>
      <w:r w:rsidR="00033D0F">
        <w:rPr>
          <w:spacing w:val="-9"/>
          <w:position w:val="1"/>
        </w:rPr>
        <w:t xml:space="preserve"> </w:t>
      </w:r>
      <w:r w:rsidR="00033D0F">
        <w:rPr>
          <w:position w:val="1"/>
        </w:rPr>
        <w:t>of</w:t>
      </w:r>
      <w:r w:rsidR="00033D0F">
        <w:rPr>
          <w:spacing w:val="-4"/>
          <w:position w:val="1"/>
        </w:rPr>
        <w:t xml:space="preserve"> </w:t>
      </w:r>
      <w:r w:rsidR="00033D0F">
        <w:rPr>
          <w:position w:val="1"/>
        </w:rPr>
        <w:t>Article</w:t>
      </w:r>
      <w:r w:rsidR="00033D0F">
        <w:rPr>
          <w:spacing w:val="-7"/>
          <w:position w:val="1"/>
        </w:rPr>
        <w:t xml:space="preserve"> </w:t>
      </w:r>
      <w:r w:rsidR="00033D0F">
        <w:rPr>
          <w:position w:val="1"/>
        </w:rPr>
        <w:t>6.4</w:t>
      </w:r>
      <w:r w:rsidR="00033D0F">
        <w:rPr>
          <w:spacing w:val="-5"/>
          <w:position w:val="1"/>
        </w:rPr>
        <w:t xml:space="preserve"> </w:t>
      </w:r>
      <w:r w:rsidR="00033D0F">
        <w:rPr>
          <w:position w:val="1"/>
        </w:rPr>
        <w:t>focuses</w:t>
      </w:r>
      <w:r w:rsidR="00033D0F">
        <w:rPr>
          <w:spacing w:val="-6"/>
          <w:position w:val="1"/>
        </w:rPr>
        <w:t xml:space="preserve"> </w:t>
      </w:r>
      <w:r w:rsidR="00033D0F">
        <w:rPr>
          <w:position w:val="1"/>
        </w:rPr>
        <w:t>explicitly</w:t>
      </w:r>
      <w:r w:rsidR="00033D0F">
        <w:rPr>
          <w:spacing w:val="-6"/>
          <w:position w:val="1"/>
        </w:rPr>
        <w:t xml:space="preserve"> </w:t>
      </w:r>
      <w:r w:rsidR="00033D0F">
        <w:rPr>
          <w:position w:val="1"/>
        </w:rPr>
        <w:t>on</w:t>
      </w:r>
      <w:r w:rsidR="00033D0F">
        <w:rPr>
          <w:spacing w:val="-9"/>
          <w:position w:val="1"/>
        </w:rPr>
        <w:t xml:space="preserve"> </w:t>
      </w:r>
      <w:r w:rsidR="00033D0F">
        <w:rPr>
          <w:position w:val="1"/>
        </w:rPr>
        <w:t>limiting</w:t>
      </w:r>
      <w:r w:rsidR="00033D0F">
        <w:rPr>
          <w:spacing w:val="-6"/>
          <w:position w:val="1"/>
        </w:rPr>
        <w:t xml:space="preserve"> </w:t>
      </w:r>
      <w:r w:rsidR="00033D0F">
        <w:rPr>
          <w:position w:val="1"/>
        </w:rPr>
        <w:t>the</w:t>
      </w:r>
      <w:r w:rsidR="00033D0F">
        <w:rPr>
          <w:spacing w:val="-7"/>
          <w:position w:val="1"/>
        </w:rPr>
        <w:t xml:space="preserve"> </w:t>
      </w:r>
      <w:r w:rsidR="00033D0F">
        <w:rPr>
          <w:position w:val="1"/>
        </w:rPr>
        <w:t>due</w:t>
      </w:r>
      <w:r w:rsidR="00033D0F">
        <w:rPr>
          <w:spacing w:val="-3"/>
          <w:position w:val="1"/>
        </w:rPr>
        <w:t xml:space="preserve"> </w:t>
      </w:r>
      <w:r w:rsidR="00033D0F">
        <w:rPr>
          <w:position w:val="1"/>
        </w:rPr>
        <w:t>process</w:t>
      </w:r>
      <w:r w:rsidR="00033D0F">
        <w:rPr>
          <w:spacing w:val="-6"/>
          <w:position w:val="1"/>
        </w:rPr>
        <w:t xml:space="preserve"> </w:t>
      </w:r>
      <w:r w:rsidR="00033D0F">
        <w:rPr>
          <w:position w:val="1"/>
        </w:rPr>
        <w:t xml:space="preserve">and </w:t>
      </w:r>
      <w:r w:rsidR="00033D0F">
        <w:t>procedural rights set forth in this provision and on narrowing the scope of the information that it covers.</w:t>
      </w:r>
      <w:hyperlink w:anchor="_bookmark1442" w:history="1">
        <w:r w:rsidR="00033D0F">
          <w:rPr>
            <w:vertAlign w:val="superscript"/>
          </w:rPr>
          <w:t>1241</w:t>
        </w:r>
      </w:hyperlink>
      <w:r w:rsidR="00033D0F">
        <w:t xml:space="preserve"> China's submissions on these points are based, in part, on errors and </w:t>
      </w:r>
      <w:proofErr w:type="spellStart"/>
      <w:r w:rsidR="00033D0F">
        <w:t>mischaracterisations</w:t>
      </w:r>
      <w:proofErr w:type="spellEnd"/>
      <w:r w:rsidR="00033D0F">
        <w:t xml:space="preserve"> of Australia's submissions. These will be addressed in detail below.</w:t>
      </w:r>
    </w:p>
    <w:p w14:paraId="23D3D932" w14:textId="77777777" w:rsidR="00BD462C" w:rsidRDefault="00BD462C">
      <w:pPr>
        <w:pStyle w:val="BodyText"/>
        <w:spacing w:before="8"/>
        <w:rPr>
          <w:sz w:val="8"/>
        </w:rPr>
      </w:pPr>
    </w:p>
    <w:p w14:paraId="11401FAB" w14:textId="232C9EFB" w:rsidR="00BD462C" w:rsidRDefault="00925D9A">
      <w:pPr>
        <w:pStyle w:val="BodyText"/>
        <w:spacing w:before="56" w:line="360" w:lineRule="auto"/>
        <w:ind w:left="135" w:right="915"/>
        <w:jc w:val="both"/>
      </w:pPr>
      <w:r>
        <w:rPr>
          <w:noProof/>
        </w:rPr>
        <w:t>843.</w:t>
      </w:r>
      <w:r w:rsidR="00033D0F">
        <w:rPr>
          <w:rFonts w:ascii="Times New Roman"/>
          <w:spacing w:val="80"/>
          <w:w w:val="150"/>
          <w:position w:val="1"/>
          <w:sz w:val="20"/>
        </w:rPr>
        <w:t xml:space="preserve">  </w:t>
      </w:r>
      <w:r w:rsidR="00033D0F">
        <w:rPr>
          <w:position w:val="1"/>
        </w:rPr>
        <w:t xml:space="preserve">In general, China argues that MOFCOM satisfied the requirements of Article 6.4 for </w:t>
      </w:r>
      <w:r w:rsidR="00033D0F">
        <w:t>the mere reason that it "provided interested parties 'regular and routine' access to the investigation's casefile".</w:t>
      </w:r>
      <w:hyperlink w:anchor="_bookmark1443" w:history="1">
        <w:r w:rsidR="00033D0F">
          <w:rPr>
            <w:vertAlign w:val="superscript"/>
          </w:rPr>
          <w:t>1242</w:t>
        </w:r>
      </w:hyperlink>
      <w:r w:rsidR="00033D0F">
        <w:t xml:space="preserve"> On this basis, China argues that Australia has not established a </w:t>
      </w:r>
      <w:r w:rsidR="00033D0F">
        <w:rPr>
          <w:i/>
        </w:rPr>
        <w:t>prima</w:t>
      </w:r>
      <w:r w:rsidR="00033D0F">
        <w:rPr>
          <w:i/>
          <w:spacing w:val="-5"/>
        </w:rPr>
        <w:t xml:space="preserve"> </w:t>
      </w:r>
      <w:r w:rsidR="00033D0F">
        <w:rPr>
          <w:i/>
        </w:rPr>
        <w:t>facie</w:t>
      </w:r>
      <w:r w:rsidR="00033D0F">
        <w:rPr>
          <w:i/>
          <w:spacing w:val="-6"/>
        </w:rPr>
        <w:t xml:space="preserve"> </w:t>
      </w:r>
      <w:r w:rsidR="00033D0F">
        <w:t>case</w:t>
      </w:r>
      <w:r w:rsidR="00033D0F">
        <w:rPr>
          <w:spacing w:val="-6"/>
        </w:rPr>
        <w:t xml:space="preserve"> </w:t>
      </w:r>
      <w:r w:rsidR="00033D0F">
        <w:t>of</w:t>
      </w:r>
      <w:r w:rsidR="00033D0F">
        <w:rPr>
          <w:spacing w:val="-3"/>
        </w:rPr>
        <w:t xml:space="preserve"> </w:t>
      </w:r>
      <w:r w:rsidR="00033D0F">
        <w:t>violation</w:t>
      </w:r>
      <w:r w:rsidR="00033D0F">
        <w:rPr>
          <w:spacing w:val="-8"/>
        </w:rPr>
        <w:t xml:space="preserve"> </w:t>
      </w:r>
      <w:r w:rsidR="00033D0F">
        <w:t>of</w:t>
      </w:r>
      <w:r w:rsidR="00033D0F">
        <w:rPr>
          <w:spacing w:val="-3"/>
        </w:rPr>
        <w:t xml:space="preserve"> </w:t>
      </w:r>
      <w:r w:rsidR="00033D0F">
        <w:t>Article</w:t>
      </w:r>
      <w:r w:rsidR="00033D0F">
        <w:rPr>
          <w:spacing w:val="-6"/>
        </w:rPr>
        <w:t xml:space="preserve"> </w:t>
      </w:r>
      <w:r w:rsidR="00033D0F">
        <w:t>6.4.</w:t>
      </w:r>
      <w:r w:rsidR="00033D0F">
        <w:rPr>
          <w:spacing w:val="-5"/>
        </w:rPr>
        <w:t xml:space="preserve"> </w:t>
      </w:r>
      <w:r w:rsidR="00033D0F">
        <w:t>Australia</w:t>
      </w:r>
      <w:r w:rsidR="00033D0F">
        <w:rPr>
          <w:spacing w:val="-7"/>
        </w:rPr>
        <w:t xml:space="preserve"> </w:t>
      </w:r>
      <w:r w:rsidR="00033D0F">
        <w:t>disagrees</w:t>
      </w:r>
      <w:r w:rsidR="00033D0F">
        <w:rPr>
          <w:spacing w:val="-5"/>
        </w:rPr>
        <w:t xml:space="preserve"> </w:t>
      </w:r>
      <w:r w:rsidR="00033D0F">
        <w:t>that</w:t>
      </w:r>
      <w:r w:rsidR="00033D0F">
        <w:rPr>
          <w:spacing w:val="-6"/>
        </w:rPr>
        <w:t xml:space="preserve"> </w:t>
      </w:r>
      <w:r w:rsidR="00033D0F">
        <w:t>providing</w:t>
      </w:r>
      <w:r w:rsidR="00033D0F">
        <w:rPr>
          <w:spacing w:val="-5"/>
        </w:rPr>
        <w:t xml:space="preserve"> </w:t>
      </w:r>
      <w:r w:rsidR="00033D0F">
        <w:t>access</w:t>
      </w:r>
      <w:r w:rsidR="00033D0F">
        <w:rPr>
          <w:spacing w:val="-5"/>
        </w:rPr>
        <w:t xml:space="preserve"> </w:t>
      </w:r>
      <w:r w:rsidR="00033D0F">
        <w:t>to</w:t>
      </w:r>
      <w:r w:rsidR="00033D0F">
        <w:rPr>
          <w:spacing w:val="-9"/>
        </w:rPr>
        <w:t xml:space="preserve"> </w:t>
      </w:r>
      <w:r w:rsidR="00033D0F">
        <w:t>a</w:t>
      </w:r>
      <w:r w:rsidR="00033D0F">
        <w:rPr>
          <w:spacing w:val="-2"/>
        </w:rPr>
        <w:t xml:space="preserve"> </w:t>
      </w:r>
      <w:r w:rsidR="00033D0F">
        <w:t>"case file", without more, is necessarily sufficient to meet the requirements of Article 6.4. Rather, Article</w:t>
      </w:r>
      <w:r w:rsidR="00033D0F">
        <w:rPr>
          <w:spacing w:val="-6"/>
        </w:rPr>
        <w:t xml:space="preserve"> </w:t>
      </w:r>
      <w:r w:rsidR="00033D0F">
        <w:t>6.4</w:t>
      </w:r>
      <w:r w:rsidR="00033D0F">
        <w:rPr>
          <w:spacing w:val="-8"/>
        </w:rPr>
        <w:t xml:space="preserve"> </w:t>
      </w:r>
      <w:r w:rsidR="00033D0F">
        <w:t>requires,</w:t>
      </w:r>
      <w:r w:rsidR="00033D0F">
        <w:rPr>
          <w:spacing w:val="-4"/>
        </w:rPr>
        <w:t xml:space="preserve"> </w:t>
      </w:r>
      <w:r w:rsidR="00033D0F">
        <w:rPr>
          <w:i/>
        </w:rPr>
        <w:t>inter</w:t>
      </w:r>
      <w:r w:rsidR="00033D0F">
        <w:rPr>
          <w:i/>
          <w:spacing w:val="-7"/>
        </w:rPr>
        <w:t xml:space="preserve"> </w:t>
      </w:r>
      <w:r w:rsidR="00033D0F">
        <w:rPr>
          <w:i/>
        </w:rPr>
        <w:t>alia</w:t>
      </w:r>
      <w:r w:rsidR="00033D0F">
        <w:t>,</w:t>
      </w:r>
      <w:r w:rsidR="00033D0F">
        <w:rPr>
          <w:spacing w:val="-4"/>
        </w:rPr>
        <w:t xml:space="preserve"> </w:t>
      </w:r>
      <w:r w:rsidR="00033D0F">
        <w:t>that</w:t>
      </w:r>
      <w:r w:rsidR="00033D0F">
        <w:rPr>
          <w:spacing w:val="-6"/>
        </w:rPr>
        <w:t xml:space="preserve"> </w:t>
      </w:r>
      <w:r w:rsidR="00033D0F">
        <w:t>"all</w:t>
      </w:r>
      <w:r w:rsidR="00033D0F">
        <w:rPr>
          <w:spacing w:val="-4"/>
        </w:rPr>
        <w:t xml:space="preserve"> </w:t>
      </w:r>
      <w:r w:rsidR="00033D0F">
        <w:t>interested</w:t>
      </w:r>
      <w:r w:rsidR="00033D0F">
        <w:rPr>
          <w:spacing w:val="-8"/>
        </w:rPr>
        <w:t xml:space="preserve"> </w:t>
      </w:r>
      <w:r w:rsidR="00033D0F">
        <w:t>parties"</w:t>
      </w:r>
      <w:r w:rsidR="00033D0F">
        <w:rPr>
          <w:spacing w:val="-7"/>
        </w:rPr>
        <w:t xml:space="preserve"> </w:t>
      </w:r>
      <w:r w:rsidR="00033D0F">
        <w:t>have</w:t>
      </w:r>
      <w:r w:rsidR="00033D0F">
        <w:rPr>
          <w:spacing w:val="-6"/>
        </w:rPr>
        <w:t xml:space="preserve"> </w:t>
      </w:r>
      <w:r w:rsidR="00033D0F">
        <w:t>access</w:t>
      </w:r>
      <w:r w:rsidR="00033D0F">
        <w:rPr>
          <w:spacing w:val="-5"/>
        </w:rPr>
        <w:t xml:space="preserve"> </w:t>
      </w:r>
      <w:r w:rsidR="00033D0F">
        <w:t>to</w:t>
      </w:r>
      <w:r w:rsidR="00033D0F">
        <w:rPr>
          <w:spacing w:val="-9"/>
        </w:rPr>
        <w:t xml:space="preserve"> </w:t>
      </w:r>
      <w:r w:rsidR="00033D0F">
        <w:t>"all</w:t>
      </w:r>
      <w:r w:rsidR="00033D0F">
        <w:rPr>
          <w:spacing w:val="-4"/>
        </w:rPr>
        <w:t xml:space="preserve"> </w:t>
      </w:r>
      <w:r w:rsidR="00033D0F">
        <w:rPr>
          <w:i/>
        </w:rPr>
        <w:t>information</w:t>
      </w:r>
      <w:r w:rsidR="00033D0F">
        <w:rPr>
          <w:i/>
          <w:spacing w:val="-4"/>
        </w:rPr>
        <w:t xml:space="preserve"> </w:t>
      </w:r>
      <w:r w:rsidR="00033D0F">
        <w:t>that is relevant to the presentation of their cases, that</w:t>
      </w:r>
      <w:r w:rsidR="00033D0F">
        <w:rPr>
          <w:spacing w:val="-1"/>
        </w:rPr>
        <w:t xml:space="preserve"> </w:t>
      </w:r>
      <w:r w:rsidR="00033D0F">
        <w:t>is not confidential as defined in paragraph 5, and that is used by the authorities in an anti-dumping investigation". To the extent that such</w:t>
      </w:r>
      <w:r w:rsidR="00033D0F">
        <w:rPr>
          <w:spacing w:val="-14"/>
        </w:rPr>
        <w:t xml:space="preserve"> </w:t>
      </w:r>
      <w:r w:rsidR="00033D0F">
        <w:t>information</w:t>
      </w:r>
      <w:r w:rsidR="00033D0F">
        <w:rPr>
          <w:spacing w:val="-14"/>
        </w:rPr>
        <w:t xml:space="preserve"> </w:t>
      </w:r>
      <w:r w:rsidR="00033D0F">
        <w:t>is</w:t>
      </w:r>
      <w:r w:rsidR="00033D0F">
        <w:rPr>
          <w:spacing w:val="-12"/>
        </w:rPr>
        <w:t xml:space="preserve"> </w:t>
      </w:r>
      <w:r w:rsidR="00033D0F">
        <w:t>not</w:t>
      </w:r>
      <w:r w:rsidR="00033D0F">
        <w:rPr>
          <w:spacing w:val="-11"/>
        </w:rPr>
        <w:t xml:space="preserve"> </w:t>
      </w:r>
      <w:r w:rsidR="00033D0F">
        <w:t>made</w:t>
      </w:r>
      <w:r w:rsidR="00033D0F">
        <w:rPr>
          <w:spacing w:val="-12"/>
        </w:rPr>
        <w:t xml:space="preserve"> </w:t>
      </w:r>
      <w:r w:rsidR="00033D0F">
        <w:t>available</w:t>
      </w:r>
      <w:r w:rsidR="00033D0F">
        <w:rPr>
          <w:spacing w:val="-12"/>
        </w:rPr>
        <w:t xml:space="preserve"> </w:t>
      </w:r>
      <w:r w:rsidR="00033D0F">
        <w:t>in</w:t>
      </w:r>
      <w:r w:rsidR="00033D0F">
        <w:rPr>
          <w:spacing w:val="-14"/>
        </w:rPr>
        <w:t xml:space="preserve"> </w:t>
      </w:r>
      <w:r w:rsidR="00033D0F">
        <w:t>the</w:t>
      </w:r>
      <w:r w:rsidR="00033D0F">
        <w:rPr>
          <w:spacing w:val="-11"/>
        </w:rPr>
        <w:t xml:space="preserve"> </w:t>
      </w:r>
      <w:r w:rsidR="00033D0F">
        <w:t>"case</w:t>
      </w:r>
      <w:r w:rsidR="00033D0F">
        <w:rPr>
          <w:spacing w:val="-14"/>
        </w:rPr>
        <w:t xml:space="preserve"> </w:t>
      </w:r>
      <w:r w:rsidR="00033D0F">
        <w:t>file",</w:t>
      </w:r>
      <w:r w:rsidR="00033D0F">
        <w:rPr>
          <w:spacing w:val="-10"/>
        </w:rPr>
        <w:t xml:space="preserve"> </w:t>
      </w:r>
      <w:r w:rsidR="00033D0F">
        <w:t>or</w:t>
      </w:r>
      <w:r w:rsidR="00033D0F">
        <w:rPr>
          <w:spacing w:val="-14"/>
        </w:rPr>
        <w:t xml:space="preserve"> </w:t>
      </w:r>
      <w:r w:rsidR="00033D0F">
        <w:t>there</w:t>
      </w:r>
      <w:r w:rsidR="00033D0F">
        <w:rPr>
          <w:spacing w:val="-11"/>
        </w:rPr>
        <w:t xml:space="preserve"> </w:t>
      </w:r>
      <w:r w:rsidR="00033D0F">
        <w:t>is</w:t>
      </w:r>
      <w:r w:rsidR="00033D0F">
        <w:rPr>
          <w:spacing w:val="-10"/>
        </w:rPr>
        <w:t xml:space="preserve"> </w:t>
      </w:r>
      <w:r w:rsidR="00033D0F">
        <w:t>no</w:t>
      </w:r>
      <w:r w:rsidR="00033D0F">
        <w:rPr>
          <w:spacing w:val="-14"/>
        </w:rPr>
        <w:t xml:space="preserve"> </w:t>
      </w:r>
      <w:r w:rsidR="00033D0F">
        <w:t>meaningful</w:t>
      </w:r>
      <w:r w:rsidR="00033D0F">
        <w:rPr>
          <w:spacing w:val="-10"/>
        </w:rPr>
        <w:t xml:space="preserve"> </w:t>
      </w:r>
      <w:r w:rsidR="00033D0F">
        <w:t>opportunity for an interested party to see it in the "case file", the requirements under Article 6.4 will not be met.</w:t>
      </w:r>
    </w:p>
    <w:p w14:paraId="640BA80E" w14:textId="77777777" w:rsidR="00BD462C" w:rsidRDefault="00BD462C">
      <w:pPr>
        <w:pStyle w:val="BodyText"/>
        <w:rPr>
          <w:sz w:val="20"/>
        </w:rPr>
      </w:pPr>
    </w:p>
    <w:p w14:paraId="2E3AFF1F" w14:textId="77777777" w:rsidR="00BD462C" w:rsidRDefault="00BD462C">
      <w:pPr>
        <w:pStyle w:val="BodyText"/>
        <w:rPr>
          <w:sz w:val="20"/>
        </w:rPr>
      </w:pPr>
    </w:p>
    <w:p w14:paraId="285A2087" w14:textId="77777777" w:rsidR="00BD462C" w:rsidRDefault="00BD462C">
      <w:pPr>
        <w:pStyle w:val="BodyText"/>
        <w:rPr>
          <w:sz w:val="20"/>
        </w:rPr>
      </w:pPr>
    </w:p>
    <w:p w14:paraId="249EB3D6" w14:textId="77777777" w:rsidR="00BD462C" w:rsidRDefault="00BD462C">
      <w:pPr>
        <w:pStyle w:val="BodyText"/>
        <w:rPr>
          <w:sz w:val="20"/>
        </w:rPr>
      </w:pPr>
    </w:p>
    <w:p w14:paraId="7765D595" w14:textId="77777777" w:rsidR="00BD462C" w:rsidRDefault="00BD462C">
      <w:pPr>
        <w:pStyle w:val="BodyText"/>
        <w:rPr>
          <w:sz w:val="20"/>
        </w:rPr>
      </w:pPr>
    </w:p>
    <w:p w14:paraId="18BFA1DA" w14:textId="77777777" w:rsidR="00BD462C" w:rsidRDefault="00BD462C">
      <w:pPr>
        <w:pStyle w:val="BodyText"/>
        <w:rPr>
          <w:sz w:val="20"/>
        </w:rPr>
      </w:pPr>
    </w:p>
    <w:p w14:paraId="0AB0F141" w14:textId="77777777" w:rsidR="00BD462C" w:rsidRDefault="00BD462C">
      <w:pPr>
        <w:pStyle w:val="BodyText"/>
        <w:rPr>
          <w:sz w:val="20"/>
        </w:rPr>
      </w:pPr>
    </w:p>
    <w:p w14:paraId="412401E9" w14:textId="77777777" w:rsidR="00BD462C" w:rsidRDefault="00BD462C">
      <w:pPr>
        <w:pStyle w:val="BodyText"/>
        <w:rPr>
          <w:sz w:val="20"/>
        </w:rPr>
      </w:pPr>
    </w:p>
    <w:p w14:paraId="1D6A236F" w14:textId="77777777" w:rsidR="00BD462C" w:rsidRDefault="00BD462C">
      <w:pPr>
        <w:pStyle w:val="BodyText"/>
        <w:rPr>
          <w:sz w:val="20"/>
        </w:rPr>
      </w:pPr>
    </w:p>
    <w:p w14:paraId="0BDE205C" w14:textId="3F57465E" w:rsidR="00BD462C" w:rsidRDefault="00AC5C65">
      <w:pPr>
        <w:pStyle w:val="BodyText"/>
        <w:spacing w:before="2"/>
        <w:rPr>
          <w:sz w:val="21"/>
        </w:rPr>
      </w:pPr>
      <w:r>
        <w:rPr>
          <w:noProof/>
        </w:rPr>
        <mc:AlternateContent>
          <mc:Choice Requires="wps">
            <w:drawing>
              <wp:anchor distT="0" distB="0" distL="0" distR="0" simplePos="0" relativeHeight="488325632" behindDoc="1" locked="0" layoutInCell="1" allowOverlap="1" wp14:anchorId="123352C1" wp14:editId="55FA6372">
                <wp:simplePos x="0" y="0"/>
                <wp:positionH relativeFrom="page">
                  <wp:posOffset>812800</wp:posOffset>
                </wp:positionH>
                <wp:positionV relativeFrom="paragraph">
                  <wp:posOffset>164465</wp:posOffset>
                </wp:positionV>
                <wp:extent cx="1828800" cy="8890"/>
                <wp:effectExtent l="0" t="0" r="0" b="0"/>
                <wp:wrapTopAndBottom/>
                <wp:docPr id="1326" name="docshape5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F7AAF7" id="docshape591" o:spid="_x0000_s1026" alt="&quot;&quot;" style="position:absolute;margin-left:64pt;margin-top:12.95pt;width:2in;height:.7pt;z-index:-14990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" fillcolor="black" stroked="f">
                <w10:wrap type="topAndBottom" anchorx="page"/>
              </v:rect>
            </w:pict>
          </mc:Fallback>
        </mc:AlternateContent>
      </w:r>
    </w:p>
    <w:p w14:paraId="638C2463" w14:textId="77777777" w:rsidR="00BD462C" w:rsidRDefault="00033D0F">
      <w:pPr>
        <w:spacing w:before="112"/>
        <w:ind w:left="135"/>
        <w:rPr>
          <w:sz w:val="18"/>
        </w:rPr>
      </w:pPr>
      <w:bookmarkStart w:id="1672" w:name="_bookmark1440"/>
      <w:bookmarkEnd w:id="1672"/>
      <w:r>
        <w:rPr>
          <w:position w:val="5"/>
          <w:sz w:val="12"/>
        </w:rPr>
        <w:t>1239</w:t>
      </w:r>
      <w:r>
        <w:rPr>
          <w:spacing w:val="13"/>
          <w:position w:val="5"/>
          <w:sz w:val="12"/>
        </w:rPr>
        <w:t xml:space="preserve"> </w:t>
      </w:r>
      <w:r>
        <w:rPr>
          <w:sz w:val="18"/>
        </w:rPr>
        <w:t>China's</w:t>
      </w:r>
      <w:r>
        <w:rPr>
          <w:spacing w:val="-6"/>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paras.</w:t>
      </w:r>
      <w:r>
        <w:rPr>
          <w:spacing w:val="-5"/>
          <w:sz w:val="18"/>
        </w:rPr>
        <w:t xml:space="preserve"> </w:t>
      </w:r>
      <w:r>
        <w:rPr>
          <w:sz w:val="18"/>
        </w:rPr>
        <w:t>2442-</w:t>
      </w:r>
      <w:r>
        <w:rPr>
          <w:spacing w:val="-2"/>
          <w:sz w:val="18"/>
        </w:rPr>
        <w:t>2454.</w:t>
      </w:r>
    </w:p>
    <w:p w14:paraId="125CE84C" w14:textId="77777777" w:rsidR="00BD462C" w:rsidRDefault="00033D0F">
      <w:pPr>
        <w:spacing w:before="1"/>
        <w:ind w:left="135"/>
        <w:rPr>
          <w:sz w:val="18"/>
        </w:rPr>
      </w:pPr>
      <w:bookmarkStart w:id="1673" w:name="_bookmark1441"/>
      <w:bookmarkEnd w:id="1673"/>
      <w:r>
        <w:rPr>
          <w:position w:val="5"/>
          <w:sz w:val="12"/>
        </w:rPr>
        <w:t>1240</w:t>
      </w:r>
      <w:r>
        <w:rPr>
          <w:spacing w:val="13"/>
          <w:position w:val="5"/>
          <w:sz w:val="12"/>
        </w:rPr>
        <w:t xml:space="preserve"> </w:t>
      </w:r>
      <w:r>
        <w:rPr>
          <w:sz w:val="18"/>
        </w:rPr>
        <w:t>China's</w:t>
      </w:r>
      <w:r>
        <w:rPr>
          <w:spacing w:val="-5"/>
          <w:sz w:val="18"/>
        </w:rPr>
        <w:t xml:space="preserve"> </w:t>
      </w:r>
      <w:r>
        <w:rPr>
          <w:sz w:val="18"/>
        </w:rPr>
        <w:t>first</w:t>
      </w:r>
      <w:r>
        <w:rPr>
          <w:spacing w:val="-4"/>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 xml:space="preserve">para. </w:t>
      </w:r>
      <w:r>
        <w:rPr>
          <w:spacing w:val="-2"/>
          <w:sz w:val="18"/>
        </w:rPr>
        <w:t>2454.</w:t>
      </w:r>
    </w:p>
    <w:p w14:paraId="11486887" w14:textId="77777777" w:rsidR="00BD462C" w:rsidRDefault="00033D0F">
      <w:pPr>
        <w:spacing w:before="1"/>
        <w:ind w:left="135"/>
        <w:rPr>
          <w:sz w:val="18"/>
        </w:rPr>
      </w:pPr>
      <w:bookmarkStart w:id="1674" w:name="_bookmark1442"/>
      <w:bookmarkEnd w:id="1674"/>
      <w:r>
        <w:rPr>
          <w:position w:val="5"/>
          <w:sz w:val="12"/>
        </w:rPr>
        <w:t>1241</w:t>
      </w:r>
      <w:r>
        <w:rPr>
          <w:spacing w:val="13"/>
          <w:position w:val="5"/>
          <w:sz w:val="12"/>
        </w:rPr>
        <w:t xml:space="preserve"> </w:t>
      </w:r>
      <w:r>
        <w:rPr>
          <w:sz w:val="18"/>
        </w:rPr>
        <w:t>See</w:t>
      </w:r>
      <w:r>
        <w:rPr>
          <w:spacing w:val="-5"/>
          <w:sz w:val="18"/>
        </w:rPr>
        <w:t xml:space="preserve"> </w:t>
      </w:r>
      <w:proofErr w:type="gramStart"/>
      <w:r>
        <w:rPr>
          <w:sz w:val="18"/>
        </w:rPr>
        <w:t>e.g.</w:t>
      </w:r>
      <w:proofErr w:type="gramEnd"/>
      <w:r>
        <w:rPr>
          <w:spacing w:val="-3"/>
          <w:sz w:val="18"/>
        </w:rPr>
        <w:t xml:space="preserve"> </w:t>
      </w:r>
      <w:r>
        <w:rPr>
          <w:sz w:val="18"/>
        </w:rPr>
        <w:t>China's</w:t>
      </w:r>
      <w:r>
        <w:rPr>
          <w:spacing w:val="-5"/>
          <w:sz w:val="18"/>
        </w:rPr>
        <w:t xml:space="preserve"> </w:t>
      </w:r>
      <w:r>
        <w:rPr>
          <w:sz w:val="18"/>
        </w:rPr>
        <w:t>first</w:t>
      </w:r>
      <w:r>
        <w:rPr>
          <w:spacing w:val="-4"/>
          <w:sz w:val="18"/>
        </w:rPr>
        <w:t xml:space="preserve"> </w:t>
      </w:r>
      <w:r>
        <w:rPr>
          <w:sz w:val="18"/>
        </w:rPr>
        <w:t>written</w:t>
      </w:r>
      <w:r>
        <w:rPr>
          <w:spacing w:val="-6"/>
          <w:sz w:val="18"/>
        </w:rPr>
        <w:t xml:space="preserve"> </w:t>
      </w:r>
      <w:r>
        <w:rPr>
          <w:sz w:val="18"/>
        </w:rPr>
        <w:t>submission,</w:t>
      </w:r>
      <w:r>
        <w:rPr>
          <w:spacing w:val="-3"/>
          <w:sz w:val="18"/>
        </w:rPr>
        <w:t xml:space="preserve"> </w:t>
      </w:r>
      <w:r>
        <w:rPr>
          <w:sz w:val="18"/>
        </w:rPr>
        <w:t>paras.</w:t>
      </w:r>
      <w:r>
        <w:rPr>
          <w:spacing w:val="1"/>
          <w:sz w:val="18"/>
        </w:rPr>
        <w:t xml:space="preserve"> </w:t>
      </w:r>
      <w:r>
        <w:rPr>
          <w:sz w:val="18"/>
        </w:rPr>
        <w:t>2444,</w:t>
      </w:r>
      <w:r>
        <w:rPr>
          <w:spacing w:val="1"/>
          <w:sz w:val="18"/>
        </w:rPr>
        <w:t xml:space="preserve"> </w:t>
      </w:r>
      <w:r>
        <w:rPr>
          <w:spacing w:val="-2"/>
          <w:sz w:val="18"/>
        </w:rPr>
        <w:t>2452.</w:t>
      </w:r>
    </w:p>
    <w:p w14:paraId="21DED05F" w14:textId="77777777" w:rsidR="00BD462C" w:rsidRDefault="00033D0F">
      <w:pPr>
        <w:spacing w:before="1"/>
        <w:ind w:left="135"/>
        <w:rPr>
          <w:sz w:val="18"/>
        </w:rPr>
      </w:pPr>
      <w:bookmarkStart w:id="1675" w:name="_bookmark1443"/>
      <w:bookmarkEnd w:id="1675"/>
      <w:r>
        <w:rPr>
          <w:position w:val="5"/>
          <w:sz w:val="12"/>
        </w:rPr>
        <w:t>1242</w:t>
      </w:r>
      <w:r>
        <w:rPr>
          <w:spacing w:val="13"/>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 xml:space="preserve">para. </w:t>
      </w:r>
      <w:r>
        <w:rPr>
          <w:spacing w:val="-2"/>
          <w:sz w:val="18"/>
        </w:rPr>
        <w:t>2457.</w:t>
      </w:r>
    </w:p>
    <w:p w14:paraId="7BEC915E" w14:textId="77777777" w:rsidR="00BD462C" w:rsidRDefault="00BD462C">
      <w:pPr>
        <w:rPr>
          <w:sz w:val="18"/>
        </w:rPr>
        <w:sectPr w:rsidR="00BD462C">
          <w:pgSz w:w="11910" w:h="16840"/>
          <w:pgMar w:top="860" w:right="500" w:bottom="780" w:left="1280" w:header="566" w:footer="590" w:gutter="0"/>
          <w:cols w:space="720"/>
        </w:sectPr>
      </w:pPr>
    </w:p>
    <w:p w14:paraId="3D91C094"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1B95CA4E"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5C7ED253"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085798A4" w14:textId="77777777" w:rsidR="00BD462C" w:rsidRDefault="00033D0F">
      <w:pPr>
        <w:pStyle w:val="ListParagraph"/>
        <w:numPr>
          <w:ilvl w:val="0"/>
          <w:numId w:val="18"/>
        </w:numPr>
        <w:tabs>
          <w:tab w:val="left" w:pos="3539"/>
          <w:tab w:val="left" w:pos="3540"/>
        </w:tabs>
        <w:spacing w:before="102" w:line="360" w:lineRule="auto"/>
        <w:ind w:right="917"/>
        <w:jc w:val="both"/>
        <w:rPr>
          <w:sz w:val="24"/>
          <w:u w:val="single"/>
        </w:rPr>
      </w:pPr>
      <w:bookmarkStart w:id="1676" w:name="(a)_Whether_the_submission_of_any_eviden"/>
      <w:bookmarkStart w:id="1677" w:name="_bookmark1444"/>
      <w:bookmarkEnd w:id="1676"/>
      <w:bookmarkEnd w:id="1677"/>
      <w:r>
        <w:rPr>
          <w:sz w:val="24"/>
          <w:u w:val="single"/>
        </w:rPr>
        <w:t>Whether the submission of any evidence, information, or</w:t>
      </w:r>
      <w:r>
        <w:rPr>
          <w:sz w:val="24"/>
        </w:rPr>
        <w:t xml:space="preserve"> </w:t>
      </w:r>
      <w:r>
        <w:rPr>
          <w:sz w:val="24"/>
          <w:u w:val="single"/>
        </w:rPr>
        <w:t>comments by interested parties precludes a claim under</w:t>
      </w:r>
      <w:r>
        <w:rPr>
          <w:sz w:val="24"/>
        </w:rPr>
        <w:t xml:space="preserve"> </w:t>
      </w:r>
      <w:r>
        <w:rPr>
          <w:sz w:val="24"/>
          <w:u w:val="single"/>
        </w:rPr>
        <w:t>Article 6.4</w:t>
      </w:r>
    </w:p>
    <w:p w14:paraId="238780EE" w14:textId="1CE5DE98" w:rsidR="00BD462C" w:rsidRDefault="00925D9A">
      <w:pPr>
        <w:pStyle w:val="BodyText"/>
        <w:spacing w:before="165" w:line="355" w:lineRule="auto"/>
        <w:ind w:left="135" w:right="910"/>
        <w:jc w:val="both"/>
      </w:pPr>
      <w:r>
        <w:rPr>
          <w:noProof/>
        </w:rPr>
        <w:t>844.</w:t>
      </w:r>
      <w:r w:rsidR="00033D0F">
        <w:rPr>
          <w:rFonts w:ascii="Times New Roman"/>
          <w:spacing w:val="80"/>
          <w:w w:val="150"/>
          <w:position w:val="1"/>
          <w:sz w:val="20"/>
        </w:rPr>
        <w:t xml:space="preserve"> </w:t>
      </w:r>
      <w:r w:rsidR="00033D0F">
        <w:rPr>
          <w:position w:val="1"/>
        </w:rPr>
        <w:t>China argues in its first written submission</w:t>
      </w:r>
      <w:hyperlink w:anchor="_bookmark1445" w:history="1">
        <w:r w:rsidR="00033D0F">
          <w:rPr>
            <w:position w:val="1"/>
            <w:vertAlign w:val="superscript"/>
          </w:rPr>
          <w:t>1243</w:t>
        </w:r>
      </w:hyperlink>
      <w:r w:rsidR="00033D0F">
        <w:rPr>
          <w:position w:val="1"/>
        </w:rPr>
        <w:t xml:space="preserve"> that MOFCOM gave opportunities to </w:t>
      </w:r>
      <w:r w:rsidR="00033D0F">
        <w:t>the interested parties "to present evidence and information during the entire course of the investigation".</w:t>
      </w:r>
      <w:hyperlink w:anchor="_bookmark1446" w:history="1">
        <w:r w:rsidR="00033D0F">
          <w:rPr>
            <w:vertAlign w:val="superscript"/>
          </w:rPr>
          <w:t>1244</w:t>
        </w:r>
      </w:hyperlink>
      <w:r w:rsidR="00033D0F">
        <w:rPr>
          <w:spacing w:val="-6"/>
        </w:rPr>
        <w:t xml:space="preserve"> </w:t>
      </w:r>
      <w:r w:rsidR="00033D0F">
        <w:t>However,</w:t>
      </w:r>
      <w:r w:rsidR="00033D0F">
        <w:rPr>
          <w:spacing w:val="-5"/>
        </w:rPr>
        <w:t xml:space="preserve"> </w:t>
      </w:r>
      <w:r w:rsidR="00033D0F">
        <w:t>such</w:t>
      </w:r>
      <w:r w:rsidR="00033D0F">
        <w:rPr>
          <w:spacing w:val="-9"/>
        </w:rPr>
        <w:t xml:space="preserve"> </w:t>
      </w:r>
      <w:r w:rsidR="00033D0F">
        <w:t>opportunities</w:t>
      </w:r>
      <w:r w:rsidR="00033D0F">
        <w:rPr>
          <w:spacing w:val="-6"/>
        </w:rPr>
        <w:t xml:space="preserve"> </w:t>
      </w:r>
      <w:r w:rsidR="00033D0F">
        <w:t>are,</w:t>
      </w:r>
      <w:r w:rsidR="00033D0F">
        <w:rPr>
          <w:spacing w:val="-5"/>
        </w:rPr>
        <w:t xml:space="preserve"> </w:t>
      </w:r>
      <w:r w:rsidR="00033D0F">
        <w:t>in</w:t>
      </w:r>
      <w:r w:rsidR="00033D0F">
        <w:rPr>
          <w:spacing w:val="-9"/>
        </w:rPr>
        <w:t xml:space="preserve"> </w:t>
      </w:r>
      <w:r w:rsidR="00033D0F">
        <w:t>an</w:t>
      </w:r>
      <w:r w:rsidR="00033D0F">
        <w:rPr>
          <w:spacing w:val="-9"/>
        </w:rPr>
        <w:t xml:space="preserve"> </w:t>
      </w:r>
      <w:r w:rsidR="00033D0F">
        <w:t>of</w:t>
      </w:r>
      <w:r w:rsidR="00033D0F">
        <w:rPr>
          <w:spacing w:val="-9"/>
        </w:rPr>
        <w:t xml:space="preserve"> </w:t>
      </w:r>
      <w:r w:rsidR="00033D0F">
        <w:t>themselves,</w:t>
      </w:r>
      <w:r w:rsidR="00033D0F">
        <w:rPr>
          <w:spacing w:val="-10"/>
        </w:rPr>
        <w:t xml:space="preserve"> </w:t>
      </w:r>
      <w:r w:rsidR="00033D0F">
        <w:t>insufficient</w:t>
      </w:r>
      <w:r w:rsidR="00033D0F">
        <w:rPr>
          <w:spacing w:val="-7"/>
        </w:rPr>
        <w:t xml:space="preserve"> </w:t>
      </w:r>
      <w:r w:rsidR="00033D0F">
        <w:t>to</w:t>
      </w:r>
      <w:r w:rsidR="00033D0F">
        <w:rPr>
          <w:spacing w:val="-10"/>
        </w:rPr>
        <w:t xml:space="preserve"> </w:t>
      </w:r>
      <w:r w:rsidR="00033D0F">
        <w:t>satisfy the requirements under Article 6.4. Article 6.4 requires:</w:t>
      </w:r>
    </w:p>
    <w:p w14:paraId="2069EA87" w14:textId="77777777" w:rsidR="00BD462C" w:rsidRDefault="00033D0F">
      <w:pPr>
        <w:pStyle w:val="ListParagraph"/>
        <w:numPr>
          <w:ilvl w:val="0"/>
          <w:numId w:val="19"/>
        </w:numPr>
        <w:tabs>
          <w:tab w:val="left" w:pos="1835"/>
          <w:tab w:val="left" w:pos="1836"/>
        </w:tabs>
        <w:spacing w:before="163" w:line="357" w:lineRule="auto"/>
        <w:ind w:right="915"/>
        <w:jc w:val="both"/>
        <w:rPr>
          <w:sz w:val="24"/>
        </w:rPr>
      </w:pPr>
      <w:r>
        <w:rPr>
          <w:sz w:val="24"/>
        </w:rPr>
        <w:t>first, that "all interested parties" have timely opportunities to "see all information" that is (i) relevant to the presentation of their cases, (ii) not confidential,</w:t>
      </w:r>
      <w:r>
        <w:rPr>
          <w:spacing w:val="-7"/>
          <w:sz w:val="24"/>
        </w:rPr>
        <w:t xml:space="preserve"> </w:t>
      </w:r>
      <w:r>
        <w:rPr>
          <w:sz w:val="24"/>
        </w:rPr>
        <w:t>and</w:t>
      </w:r>
      <w:r>
        <w:rPr>
          <w:spacing w:val="-11"/>
          <w:sz w:val="24"/>
        </w:rPr>
        <w:t xml:space="preserve"> </w:t>
      </w:r>
      <w:r>
        <w:rPr>
          <w:sz w:val="24"/>
        </w:rPr>
        <w:t>(iii)</w:t>
      </w:r>
      <w:r>
        <w:rPr>
          <w:spacing w:val="-11"/>
          <w:sz w:val="24"/>
        </w:rPr>
        <w:t xml:space="preserve"> </w:t>
      </w:r>
      <w:r>
        <w:rPr>
          <w:sz w:val="24"/>
        </w:rPr>
        <w:t>used</w:t>
      </w:r>
      <w:r>
        <w:rPr>
          <w:spacing w:val="-11"/>
          <w:sz w:val="24"/>
        </w:rPr>
        <w:t xml:space="preserve"> </w:t>
      </w:r>
      <w:r>
        <w:rPr>
          <w:sz w:val="24"/>
        </w:rPr>
        <w:t>by</w:t>
      </w:r>
      <w:r>
        <w:rPr>
          <w:spacing w:val="-8"/>
          <w:sz w:val="24"/>
        </w:rPr>
        <w:t xml:space="preserve"> </w:t>
      </w:r>
      <w:r>
        <w:rPr>
          <w:sz w:val="24"/>
        </w:rPr>
        <w:t>the</w:t>
      </w:r>
      <w:r>
        <w:rPr>
          <w:spacing w:val="-14"/>
          <w:sz w:val="24"/>
        </w:rPr>
        <w:t xml:space="preserve"> </w:t>
      </w:r>
      <w:r>
        <w:rPr>
          <w:sz w:val="24"/>
        </w:rPr>
        <w:t>investigating</w:t>
      </w:r>
      <w:r>
        <w:rPr>
          <w:spacing w:val="-8"/>
          <w:sz w:val="24"/>
        </w:rPr>
        <w:t xml:space="preserve"> </w:t>
      </w:r>
      <w:r>
        <w:rPr>
          <w:sz w:val="24"/>
        </w:rPr>
        <w:t>authority</w:t>
      </w:r>
      <w:r>
        <w:rPr>
          <w:spacing w:val="-8"/>
          <w:sz w:val="24"/>
        </w:rPr>
        <w:t xml:space="preserve"> </w:t>
      </w:r>
      <w:r>
        <w:rPr>
          <w:sz w:val="24"/>
        </w:rPr>
        <w:t>in</w:t>
      </w:r>
      <w:r>
        <w:rPr>
          <w:spacing w:val="-11"/>
          <w:sz w:val="24"/>
        </w:rPr>
        <w:t xml:space="preserve"> </w:t>
      </w:r>
      <w:r>
        <w:rPr>
          <w:sz w:val="24"/>
        </w:rPr>
        <w:t>the</w:t>
      </w:r>
      <w:r>
        <w:rPr>
          <w:spacing w:val="-9"/>
          <w:sz w:val="24"/>
        </w:rPr>
        <w:t xml:space="preserve"> </w:t>
      </w:r>
      <w:r>
        <w:rPr>
          <w:sz w:val="24"/>
        </w:rPr>
        <w:t xml:space="preserve">investigation; </w:t>
      </w:r>
      <w:r>
        <w:rPr>
          <w:spacing w:val="-4"/>
          <w:sz w:val="24"/>
        </w:rPr>
        <w:t>and</w:t>
      </w:r>
    </w:p>
    <w:p w14:paraId="1A56FC23" w14:textId="77777777" w:rsidR="00BD462C" w:rsidRDefault="00033D0F">
      <w:pPr>
        <w:pStyle w:val="ListParagraph"/>
        <w:numPr>
          <w:ilvl w:val="0"/>
          <w:numId w:val="19"/>
        </w:numPr>
        <w:tabs>
          <w:tab w:val="left" w:pos="1835"/>
          <w:tab w:val="left" w:pos="1836"/>
        </w:tabs>
        <w:spacing w:before="132" w:line="357" w:lineRule="auto"/>
        <w:ind w:right="920"/>
        <w:jc w:val="both"/>
        <w:rPr>
          <w:sz w:val="24"/>
        </w:rPr>
      </w:pPr>
      <w:r>
        <w:rPr>
          <w:sz w:val="24"/>
        </w:rPr>
        <w:t xml:space="preserve">second, that "all interested parties" have timely opportunities to "prepare presentations </w:t>
      </w:r>
      <w:r>
        <w:rPr>
          <w:i/>
          <w:sz w:val="24"/>
        </w:rPr>
        <w:t>on the basis of this information</w:t>
      </w:r>
      <w:r>
        <w:rPr>
          <w:sz w:val="24"/>
        </w:rPr>
        <w:t>."</w:t>
      </w:r>
    </w:p>
    <w:p w14:paraId="16137BF2" w14:textId="2FCE7308" w:rsidR="00BD462C" w:rsidRDefault="00925D9A">
      <w:pPr>
        <w:pStyle w:val="BodyText"/>
        <w:spacing w:before="134" w:line="360" w:lineRule="auto"/>
        <w:ind w:left="135" w:right="912"/>
        <w:jc w:val="both"/>
      </w:pPr>
      <w:r>
        <w:rPr>
          <w:noProof/>
        </w:rPr>
        <w:t>845.</w:t>
      </w:r>
      <w:r w:rsidR="00033D0F">
        <w:rPr>
          <w:rFonts w:ascii="Times New Roman"/>
          <w:spacing w:val="80"/>
          <w:w w:val="150"/>
          <w:position w:val="1"/>
          <w:sz w:val="20"/>
        </w:rPr>
        <w:t xml:space="preserve"> </w:t>
      </w:r>
      <w:r w:rsidR="00033D0F">
        <w:rPr>
          <w:position w:val="1"/>
        </w:rPr>
        <w:t xml:space="preserve">Thus, the question is whether all interested parties had opportunities to make </w:t>
      </w:r>
      <w:r w:rsidR="00033D0F">
        <w:t>presentations</w:t>
      </w:r>
      <w:r w:rsidR="00033D0F">
        <w:rPr>
          <w:spacing w:val="-14"/>
        </w:rPr>
        <w:t xml:space="preserve"> </w:t>
      </w:r>
      <w:r w:rsidR="00033D0F">
        <w:t>"on</w:t>
      </w:r>
      <w:r w:rsidR="00033D0F">
        <w:rPr>
          <w:spacing w:val="-14"/>
        </w:rPr>
        <w:t xml:space="preserve"> </w:t>
      </w:r>
      <w:r w:rsidR="00033D0F">
        <w:t>the</w:t>
      </w:r>
      <w:r w:rsidR="00033D0F">
        <w:rPr>
          <w:spacing w:val="-13"/>
        </w:rPr>
        <w:t xml:space="preserve"> </w:t>
      </w:r>
      <w:r w:rsidR="00033D0F">
        <w:t>basis</w:t>
      </w:r>
      <w:r w:rsidR="00033D0F">
        <w:rPr>
          <w:spacing w:val="-14"/>
        </w:rPr>
        <w:t xml:space="preserve"> </w:t>
      </w:r>
      <w:r w:rsidR="00033D0F">
        <w:t>of"</w:t>
      </w:r>
      <w:r w:rsidR="00033D0F">
        <w:rPr>
          <w:spacing w:val="-13"/>
        </w:rPr>
        <w:t xml:space="preserve"> </w:t>
      </w:r>
      <w:r w:rsidR="00033D0F">
        <w:t>the</w:t>
      </w:r>
      <w:r w:rsidR="00033D0F">
        <w:rPr>
          <w:spacing w:val="-14"/>
        </w:rPr>
        <w:t xml:space="preserve"> </w:t>
      </w:r>
      <w:r w:rsidR="00033D0F">
        <w:t>relevant,</w:t>
      </w:r>
      <w:r w:rsidR="00033D0F">
        <w:rPr>
          <w:spacing w:val="-13"/>
        </w:rPr>
        <w:t xml:space="preserve"> </w:t>
      </w:r>
      <w:r w:rsidR="00033D0F">
        <w:t>non-confidential</w:t>
      </w:r>
      <w:r w:rsidR="00033D0F">
        <w:rPr>
          <w:spacing w:val="-14"/>
        </w:rPr>
        <w:t xml:space="preserve"> </w:t>
      </w:r>
      <w:r w:rsidR="00033D0F">
        <w:t>information</w:t>
      </w:r>
      <w:r w:rsidR="00033D0F">
        <w:rPr>
          <w:spacing w:val="-14"/>
        </w:rPr>
        <w:t xml:space="preserve"> </w:t>
      </w:r>
      <w:r w:rsidR="00033D0F">
        <w:t>that</w:t>
      </w:r>
      <w:r w:rsidR="00033D0F">
        <w:rPr>
          <w:spacing w:val="-13"/>
        </w:rPr>
        <w:t xml:space="preserve"> </w:t>
      </w:r>
      <w:r w:rsidR="00033D0F">
        <w:t>MOFCOM</w:t>
      </w:r>
      <w:r w:rsidR="00033D0F">
        <w:rPr>
          <w:spacing w:val="-14"/>
        </w:rPr>
        <w:t xml:space="preserve"> </w:t>
      </w:r>
      <w:r w:rsidR="00033D0F">
        <w:t>used in</w:t>
      </w:r>
      <w:r w:rsidR="00033D0F">
        <w:rPr>
          <w:spacing w:val="-8"/>
        </w:rPr>
        <w:t xml:space="preserve"> </w:t>
      </w:r>
      <w:r w:rsidR="00033D0F">
        <w:t>the</w:t>
      </w:r>
      <w:r w:rsidR="00033D0F">
        <w:rPr>
          <w:spacing w:val="-6"/>
        </w:rPr>
        <w:t xml:space="preserve"> </w:t>
      </w:r>
      <w:r w:rsidR="00033D0F">
        <w:t>investigation.</w:t>
      </w:r>
      <w:r w:rsidR="00033D0F">
        <w:rPr>
          <w:spacing w:val="-5"/>
        </w:rPr>
        <w:t xml:space="preserve"> </w:t>
      </w:r>
      <w:r w:rsidR="00033D0F">
        <w:t>It</w:t>
      </w:r>
      <w:r w:rsidR="00033D0F">
        <w:rPr>
          <w:spacing w:val="-6"/>
        </w:rPr>
        <w:t xml:space="preserve"> </w:t>
      </w:r>
      <w:r w:rsidR="00033D0F">
        <w:t>is</w:t>
      </w:r>
      <w:r w:rsidR="00033D0F">
        <w:rPr>
          <w:spacing w:val="-4"/>
        </w:rPr>
        <w:t xml:space="preserve"> </w:t>
      </w:r>
      <w:r w:rsidR="00033D0F">
        <w:t>not</w:t>
      </w:r>
      <w:r w:rsidR="00033D0F">
        <w:rPr>
          <w:spacing w:val="-6"/>
        </w:rPr>
        <w:t xml:space="preserve"> </w:t>
      </w:r>
      <w:r w:rsidR="00033D0F">
        <w:t>whether</w:t>
      </w:r>
      <w:r w:rsidR="00033D0F">
        <w:rPr>
          <w:spacing w:val="-4"/>
        </w:rPr>
        <w:t xml:space="preserve"> </w:t>
      </w:r>
      <w:r w:rsidR="00033D0F">
        <w:t>MOFCOM</w:t>
      </w:r>
      <w:r w:rsidR="00033D0F">
        <w:rPr>
          <w:spacing w:val="-6"/>
        </w:rPr>
        <w:t xml:space="preserve"> </w:t>
      </w:r>
      <w:r w:rsidR="00033D0F">
        <w:t>simply</w:t>
      </w:r>
      <w:r w:rsidR="00033D0F">
        <w:rPr>
          <w:spacing w:val="-5"/>
        </w:rPr>
        <w:t xml:space="preserve"> </w:t>
      </w:r>
      <w:r w:rsidR="00033D0F">
        <w:t>permitted</w:t>
      </w:r>
      <w:r w:rsidR="00033D0F">
        <w:rPr>
          <w:spacing w:val="-8"/>
        </w:rPr>
        <w:t xml:space="preserve"> </w:t>
      </w:r>
      <w:r w:rsidR="00033D0F">
        <w:t>interested</w:t>
      </w:r>
      <w:r w:rsidR="00033D0F">
        <w:rPr>
          <w:spacing w:val="-8"/>
        </w:rPr>
        <w:t xml:space="preserve"> </w:t>
      </w:r>
      <w:r w:rsidR="00033D0F">
        <w:t>parties</w:t>
      </w:r>
      <w:r w:rsidR="00033D0F">
        <w:rPr>
          <w:spacing w:val="-5"/>
        </w:rPr>
        <w:t xml:space="preserve"> </w:t>
      </w:r>
      <w:r w:rsidR="00033D0F">
        <w:t>to</w:t>
      </w:r>
      <w:r w:rsidR="00033D0F">
        <w:rPr>
          <w:spacing w:val="-8"/>
        </w:rPr>
        <w:t xml:space="preserve"> </w:t>
      </w:r>
      <w:r w:rsidR="00033D0F">
        <w:t>submit evidence, information, or comments</w:t>
      </w:r>
      <w:r w:rsidR="00033D0F">
        <w:rPr>
          <w:spacing w:val="-1"/>
        </w:rPr>
        <w:t xml:space="preserve"> </w:t>
      </w:r>
      <w:r w:rsidR="00033D0F">
        <w:t>in general.</w:t>
      </w:r>
      <w:r w:rsidR="00033D0F">
        <w:rPr>
          <w:spacing w:val="-1"/>
        </w:rPr>
        <w:t xml:space="preserve"> </w:t>
      </w:r>
      <w:r w:rsidR="00033D0F">
        <w:t>That</w:t>
      </w:r>
      <w:r w:rsidR="00033D0F">
        <w:rPr>
          <w:spacing w:val="-2"/>
        </w:rPr>
        <w:t xml:space="preserve"> </w:t>
      </w:r>
      <w:r w:rsidR="00033D0F">
        <w:t>is, it</w:t>
      </w:r>
      <w:r w:rsidR="00033D0F">
        <w:rPr>
          <w:spacing w:val="-2"/>
        </w:rPr>
        <w:t xml:space="preserve"> </w:t>
      </w:r>
      <w:r w:rsidR="00033D0F">
        <w:t>matters</w:t>
      </w:r>
      <w:r w:rsidR="00033D0F">
        <w:rPr>
          <w:spacing w:val="-1"/>
        </w:rPr>
        <w:t xml:space="preserve"> </w:t>
      </w:r>
      <w:r w:rsidR="00033D0F">
        <w:t>whether</w:t>
      </w:r>
      <w:r w:rsidR="00033D0F">
        <w:rPr>
          <w:spacing w:val="-5"/>
        </w:rPr>
        <w:t xml:space="preserve"> </w:t>
      </w:r>
      <w:r w:rsidR="00033D0F">
        <w:t>the opportunities were meaningful.</w:t>
      </w:r>
    </w:p>
    <w:p w14:paraId="0486B35B" w14:textId="77777777" w:rsidR="00BD462C" w:rsidRDefault="00BD462C">
      <w:pPr>
        <w:pStyle w:val="BodyText"/>
        <w:spacing w:before="6"/>
        <w:rPr>
          <w:sz w:val="8"/>
        </w:rPr>
      </w:pPr>
    </w:p>
    <w:p w14:paraId="3E9B65A1" w14:textId="0D7B9505" w:rsidR="00BD462C" w:rsidRDefault="00925D9A">
      <w:pPr>
        <w:pStyle w:val="BodyText"/>
        <w:spacing w:before="56" w:line="360" w:lineRule="auto"/>
        <w:ind w:left="135" w:right="916"/>
        <w:jc w:val="both"/>
      </w:pPr>
      <w:r>
        <w:rPr>
          <w:noProof/>
        </w:rPr>
        <w:t>846.</w:t>
      </w:r>
      <w:r w:rsidR="00033D0F">
        <w:rPr>
          <w:rFonts w:ascii="Times New Roman"/>
          <w:spacing w:val="80"/>
          <w:position w:val="1"/>
          <w:sz w:val="20"/>
        </w:rPr>
        <w:t xml:space="preserve">  </w:t>
      </w:r>
      <w:r w:rsidR="00033D0F">
        <w:rPr>
          <w:position w:val="1"/>
        </w:rPr>
        <w:t xml:space="preserve">It is unambiguous from the language in the second part of Article 6.4 that the </w:t>
      </w:r>
      <w:r w:rsidR="00033D0F">
        <w:t>reference to "this information" is the information described in the first part of Article 6.4. Logically,</w:t>
      </w:r>
      <w:r w:rsidR="00033D0F">
        <w:rPr>
          <w:spacing w:val="-14"/>
        </w:rPr>
        <w:t xml:space="preserve"> </w:t>
      </w:r>
      <w:r w:rsidR="00033D0F">
        <w:t>unless</w:t>
      </w:r>
      <w:r w:rsidR="00033D0F">
        <w:rPr>
          <w:spacing w:val="-14"/>
        </w:rPr>
        <w:t xml:space="preserve"> </w:t>
      </w:r>
      <w:r w:rsidR="00033D0F">
        <w:t>there</w:t>
      </w:r>
      <w:r w:rsidR="00033D0F">
        <w:rPr>
          <w:spacing w:val="-13"/>
        </w:rPr>
        <w:t xml:space="preserve"> </w:t>
      </w:r>
      <w:r w:rsidR="00033D0F">
        <w:t>are</w:t>
      </w:r>
      <w:r w:rsidR="00033D0F">
        <w:rPr>
          <w:spacing w:val="-14"/>
        </w:rPr>
        <w:t xml:space="preserve"> </w:t>
      </w:r>
      <w:r w:rsidR="00033D0F">
        <w:t>timely</w:t>
      </w:r>
      <w:r w:rsidR="00033D0F">
        <w:rPr>
          <w:spacing w:val="-13"/>
        </w:rPr>
        <w:t xml:space="preserve"> </w:t>
      </w:r>
      <w:r w:rsidR="00033D0F">
        <w:t>opportunities</w:t>
      </w:r>
      <w:r w:rsidR="00033D0F">
        <w:rPr>
          <w:spacing w:val="-14"/>
        </w:rPr>
        <w:t xml:space="preserve"> </w:t>
      </w:r>
      <w:r w:rsidR="00033D0F">
        <w:t>to</w:t>
      </w:r>
      <w:r w:rsidR="00033D0F">
        <w:rPr>
          <w:spacing w:val="-13"/>
        </w:rPr>
        <w:t xml:space="preserve"> </w:t>
      </w:r>
      <w:r w:rsidR="00033D0F">
        <w:t>see</w:t>
      </w:r>
      <w:r w:rsidR="00033D0F">
        <w:rPr>
          <w:spacing w:val="-14"/>
        </w:rPr>
        <w:t xml:space="preserve"> </w:t>
      </w:r>
      <w:r w:rsidR="00033D0F">
        <w:t>such</w:t>
      </w:r>
      <w:r w:rsidR="00033D0F">
        <w:rPr>
          <w:spacing w:val="-14"/>
        </w:rPr>
        <w:t xml:space="preserve"> </w:t>
      </w:r>
      <w:r w:rsidR="00033D0F">
        <w:t>information,</w:t>
      </w:r>
      <w:r w:rsidR="00033D0F">
        <w:rPr>
          <w:spacing w:val="-13"/>
        </w:rPr>
        <w:t xml:space="preserve"> </w:t>
      </w:r>
      <w:r w:rsidR="00033D0F">
        <w:t>there</w:t>
      </w:r>
      <w:r w:rsidR="00033D0F">
        <w:rPr>
          <w:spacing w:val="-14"/>
        </w:rPr>
        <w:t xml:space="preserve"> </w:t>
      </w:r>
      <w:r w:rsidR="00033D0F">
        <w:t>can</w:t>
      </w:r>
      <w:r w:rsidR="00033D0F">
        <w:rPr>
          <w:spacing w:val="-13"/>
        </w:rPr>
        <w:t xml:space="preserve"> </w:t>
      </w:r>
      <w:r w:rsidR="00033D0F">
        <w:t>be</w:t>
      </w:r>
      <w:r w:rsidR="00033D0F">
        <w:rPr>
          <w:spacing w:val="-14"/>
        </w:rPr>
        <w:t xml:space="preserve"> </w:t>
      </w:r>
      <w:r w:rsidR="00033D0F">
        <w:t>no</w:t>
      </w:r>
      <w:r w:rsidR="00033D0F">
        <w:rPr>
          <w:spacing w:val="-13"/>
        </w:rPr>
        <w:t xml:space="preserve"> </w:t>
      </w:r>
      <w:r w:rsidR="00033D0F">
        <w:t>timely opportunities</w:t>
      </w:r>
      <w:r w:rsidR="00033D0F">
        <w:rPr>
          <w:spacing w:val="-6"/>
        </w:rPr>
        <w:t xml:space="preserve"> </w:t>
      </w:r>
      <w:r w:rsidR="00033D0F">
        <w:t>to</w:t>
      </w:r>
      <w:r w:rsidR="00033D0F">
        <w:rPr>
          <w:spacing w:val="-10"/>
        </w:rPr>
        <w:t xml:space="preserve"> </w:t>
      </w:r>
      <w:r w:rsidR="00033D0F">
        <w:t>"prepare</w:t>
      </w:r>
      <w:r w:rsidR="00033D0F">
        <w:rPr>
          <w:spacing w:val="-2"/>
        </w:rPr>
        <w:t xml:space="preserve"> </w:t>
      </w:r>
      <w:r w:rsidR="00033D0F">
        <w:t>presentations</w:t>
      </w:r>
      <w:r w:rsidR="00033D0F">
        <w:rPr>
          <w:spacing w:val="-6"/>
        </w:rPr>
        <w:t xml:space="preserve"> </w:t>
      </w:r>
      <w:r w:rsidR="00033D0F">
        <w:t>on</w:t>
      </w:r>
      <w:r w:rsidR="00033D0F">
        <w:rPr>
          <w:spacing w:val="-4"/>
        </w:rPr>
        <w:t xml:space="preserve"> </w:t>
      </w:r>
      <w:r w:rsidR="00033D0F">
        <w:t>the</w:t>
      </w:r>
      <w:r w:rsidR="00033D0F">
        <w:rPr>
          <w:spacing w:val="-3"/>
        </w:rPr>
        <w:t xml:space="preserve"> </w:t>
      </w:r>
      <w:r w:rsidR="00033D0F">
        <w:t>basis</w:t>
      </w:r>
      <w:r w:rsidR="00033D0F">
        <w:rPr>
          <w:spacing w:val="-6"/>
        </w:rPr>
        <w:t xml:space="preserve"> </w:t>
      </w:r>
      <w:r w:rsidR="00033D0F">
        <w:t>of</w:t>
      </w:r>
      <w:r w:rsidR="00033D0F">
        <w:rPr>
          <w:spacing w:val="-9"/>
        </w:rPr>
        <w:t xml:space="preserve"> </w:t>
      </w:r>
      <w:r w:rsidR="00033D0F">
        <w:t>that</w:t>
      </w:r>
      <w:r w:rsidR="00033D0F">
        <w:rPr>
          <w:spacing w:val="-7"/>
        </w:rPr>
        <w:t xml:space="preserve"> </w:t>
      </w:r>
      <w:r w:rsidR="00033D0F">
        <w:t>information"</w:t>
      </w:r>
      <w:r w:rsidR="00033D0F">
        <w:rPr>
          <w:spacing w:val="-8"/>
        </w:rPr>
        <w:t xml:space="preserve"> </w:t>
      </w:r>
      <w:r w:rsidR="00033D0F">
        <w:t>within</w:t>
      </w:r>
      <w:r w:rsidR="00033D0F">
        <w:rPr>
          <w:spacing w:val="-9"/>
        </w:rPr>
        <w:t xml:space="preserve"> </w:t>
      </w:r>
      <w:r w:rsidR="00033D0F">
        <w:t>the</w:t>
      </w:r>
      <w:r w:rsidR="00033D0F">
        <w:rPr>
          <w:spacing w:val="-7"/>
        </w:rPr>
        <w:t xml:space="preserve"> </w:t>
      </w:r>
      <w:r w:rsidR="00033D0F">
        <w:t xml:space="preserve">meaning of Article 6.4. Accordingly, contrary to what appears to be China's view, whether or not an interested party was able to submit </w:t>
      </w:r>
      <w:r w:rsidR="00033D0F">
        <w:rPr>
          <w:i/>
        </w:rPr>
        <w:t xml:space="preserve">any </w:t>
      </w:r>
      <w:r w:rsidR="00033D0F">
        <w:t>comments to MOFCOM cannot be determinative of whether there was a contravention of Article 6.4.</w:t>
      </w:r>
    </w:p>
    <w:p w14:paraId="6A969479" w14:textId="77777777" w:rsidR="00BD462C" w:rsidRDefault="00BD462C">
      <w:pPr>
        <w:pStyle w:val="BodyText"/>
        <w:rPr>
          <w:sz w:val="20"/>
        </w:rPr>
      </w:pPr>
    </w:p>
    <w:p w14:paraId="2DCACEA2" w14:textId="77777777" w:rsidR="00BD462C" w:rsidRDefault="00BD462C">
      <w:pPr>
        <w:pStyle w:val="BodyText"/>
        <w:rPr>
          <w:sz w:val="20"/>
        </w:rPr>
      </w:pPr>
    </w:p>
    <w:p w14:paraId="5865ED2C" w14:textId="77777777" w:rsidR="00BD462C" w:rsidRDefault="00BD462C">
      <w:pPr>
        <w:pStyle w:val="BodyText"/>
        <w:rPr>
          <w:sz w:val="20"/>
        </w:rPr>
      </w:pPr>
    </w:p>
    <w:p w14:paraId="5948A665" w14:textId="77777777" w:rsidR="00BD462C" w:rsidRDefault="00BD462C">
      <w:pPr>
        <w:pStyle w:val="BodyText"/>
        <w:rPr>
          <w:sz w:val="20"/>
        </w:rPr>
      </w:pPr>
    </w:p>
    <w:p w14:paraId="532462BB" w14:textId="77777777" w:rsidR="00BD462C" w:rsidRDefault="00BD462C">
      <w:pPr>
        <w:pStyle w:val="BodyText"/>
        <w:rPr>
          <w:sz w:val="20"/>
        </w:rPr>
      </w:pPr>
    </w:p>
    <w:p w14:paraId="35EC8B4F" w14:textId="7B611E3D" w:rsidR="00BD462C" w:rsidRDefault="00AC5C65">
      <w:pPr>
        <w:pStyle w:val="BodyText"/>
        <w:spacing w:before="11"/>
        <w:rPr>
          <w:sz w:val="13"/>
        </w:rPr>
      </w:pPr>
      <w:r>
        <w:rPr>
          <w:noProof/>
        </w:rPr>
        <mc:AlternateContent>
          <mc:Choice Requires="wps">
            <w:drawing>
              <wp:anchor distT="0" distB="0" distL="0" distR="0" simplePos="0" relativeHeight="488319488" behindDoc="1" locked="0" layoutInCell="1" allowOverlap="1" wp14:anchorId="57D207D0" wp14:editId="2F82A7EE">
                <wp:simplePos x="0" y="0"/>
                <wp:positionH relativeFrom="page">
                  <wp:posOffset>812800</wp:posOffset>
                </wp:positionH>
                <wp:positionV relativeFrom="paragraph">
                  <wp:posOffset>109855</wp:posOffset>
                </wp:positionV>
                <wp:extent cx="1828800" cy="8890"/>
                <wp:effectExtent l="0" t="0" r="0" b="0"/>
                <wp:wrapTopAndBottom/>
                <wp:docPr id="1306" name="docshape5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A1ADA5" id="docshape591" o:spid="_x0000_s1026" alt="&quot;&quot;" style="position:absolute;margin-left:64pt;margin-top:8.65pt;width:2in;height:.7pt;z-index:-14996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" fillcolor="black" stroked="f">
                <w10:wrap type="topAndBottom" anchorx="page"/>
              </v:rect>
            </w:pict>
          </mc:Fallback>
        </mc:AlternateContent>
      </w:r>
    </w:p>
    <w:p w14:paraId="4EA91457" w14:textId="77777777" w:rsidR="00BD462C" w:rsidRDefault="00033D0F">
      <w:pPr>
        <w:spacing w:before="112"/>
        <w:ind w:left="135"/>
        <w:rPr>
          <w:sz w:val="18"/>
        </w:rPr>
      </w:pPr>
      <w:bookmarkStart w:id="1678" w:name="_bookmark1445"/>
      <w:bookmarkEnd w:id="1678"/>
      <w:r>
        <w:rPr>
          <w:position w:val="5"/>
          <w:sz w:val="12"/>
        </w:rPr>
        <w:t>1243</w:t>
      </w:r>
      <w:r>
        <w:rPr>
          <w:spacing w:val="11"/>
          <w:position w:val="5"/>
          <w:sz w:val="12"/>
        </w:rPr>
        <w:t xml:space="preserve"> </w:t>
      </w:r>
      <w:r>
        <w:rPr>
          <w:sz w:val="18"/>
        </w:rPr>
        <w:t>China</w:t>
      </w:r>
      <w:r>
        <w:rPr>
          <w:spacing w:val="-8"/>
          <w:sz w:val="18"/>
        </w:rPr>
        <w:t xml:space="preserve"> </w:t>
      </w:r>
      <w:r>
        <w:rPr>
          <w:sz w:val="18"/>
        </w:rPr>
        <w:t>first</w:t>
      </w:r>
      <w:r>
        <w:rPr>
          <w:spacing w:val="-2"/>
          <w:sz w:val="18"/>
        </w:rPr>
        <w:t xml:space="preserve"> </w:t>
      </w:r>
      <w:r>
        <w:rPr>
          <w:sz w:val="18"/>
        </w:rPr>
        <w:t>written</w:t>
      </w:r>
      <w:r>
        <w:rPr>
          <w:spacing w:val="-8"/>
          <w:sz w:val="18"/>
        </w:rPr>
        <w:t xml:space="preserve"> </w:t>
      </w:r>
      <w:r>
        <w:rPr>
          <w:sz w:val="18"/>
        </w:rPr>
        <w:t>submission,</w:t>
      </w:r>
      <w:r>
        <w:rPr>
          <w:spacing w:val="-4"/>
          <w:sz w:val="18"/>
        </w:rPr>
        <w:t xml:space="preserve"> </w:t>
      </w:r>
      <w:r>
        <w:rPr>
          <w:sz w:val="18"/>
        </w:rPr>
        <w:t>paras</w:t>
      </w:r>
      <w:r>
        <w:rPr>
          <w:spacing w:val="-3"/>
          <w:sz w:val="18"/>
        </w:rPr>
        <w:t xml:space="preserve"> </w:t>
      </w:r>
      <w:r>
        <w:rPr>
          <w:sz w:val="18"/>
        </w:rPr>
        <w:t>2460, 2464, 2472,</w:t>
      </w:r>
      <w:r>
        <w:rPr>
          <w:spacing w:val="-5"/>
          <w:sz w:val="18"/>
        </w:rPr>
        <w:t xml:space="preserve"> </w:t>
      </w:r>
      <w:r>
        <w:rPr>
          <w:sz w:val="18"/>
        </w:rPr>
        <w:t>2479,</w:t>
      </w:r>
      <w:r>
        <w:rPr>
          <w:spacing w:val="-5"/>
          <w:sz w:val="18"/>
        </w:rPr>
        <w:t xml:space="preserve"> </w:t>
      </w:r>
      <w:r>
        <w:rPr>
          <w:sz w:val="18"/>
        </w:rPr>
        <w:t>2488, and</w:t>
      </w:r>
      <w:r>
        <w:rPr>
          <w:spacing w:val="-3"/>
          <w:sz w:val="18"/>
        </w:rPr>
        <w:t xml:space="preserve"> </w:t>
      </w:r>
      <w:r>
        <w:rPr>
          <w:spacing w:val="-2"/>
          <w:sz w:val="18"/>
        </w:rPr>
        <w:t>2489.</w:t>
      </w:r>
    </w:p>
    <w:p w14:paraId="477E21C0" w14:textId="77777777" w:rsidR="00BD462C" w:rsidRDefault="00033D0F">
      <w:pPr>
        <w:spacing w:before="1"/>
        <w:ind w:left="135"/>
        <w:rPr>
          <w:sz w:val="18"/>
        </w:rPr>
      </w:pPr>
      <w:bookmarkStart w:id="1679" w:name="_bookmark1446"/>
      <w:bookmarkEnd w:id="1679"/>
      <w:r>
        <w:rPr>
          <w:position w:val="5"/>
          <w:sz w:val="12"/>
        </w:rPr>
        <w:t>1244</w:t>
      </w:r>
      <w:r>
        <w:rPr>
          <w:spacing w:val="13"/>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 xml:space="preserve">para. </w:t>
      </w:r>
      <w:r>
        <w:rPr>
          <w:spacing w:val="-2"/>
          <w:sz w:val="18"/>
        </w:rPr>
        <w:t>2442.</w:t>
      </w:r>
    </w:p>
    <w:p w14:paraId="4CE19BEA" w14:textId="77777777" w:rsidR="00BD462C" w:rsidRDefault="00BD462C">
      <w:pPr>
        <w:rPr>
          <w:sz w:val="18"/>
        </w:rPr>
        <w:sectPr w:rsidR="00BD462C">
          <w:pgSz w:w="11910" w:h="16840"/>
          <w:pgMar w:top="860" w:right="500" w:bottom="780" w:left="1280" w:header="566" w:footer="590" w:gutter="0"/>
          <w:cols w:space="720"/>
        </w:sectPr>
      </w:pPr>
    </w:p>
    <w:p w14:paraId="06273FB2"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2AC3416B"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1FB170BA"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753E54A7" w14:textId="77777777" w:rsidR="00BD462C" w:rsidRDefault="00033D0F">
      <w:pPr>
        <w:pStyle w:val="ListParagraph"/>
        <w:numPr>
          <w:ilvl w:val="0"/>
          <w:numId w:val="18"/>
        </w:numPr>
        <w:tabs>
          <w:tab w:val="left" w:pos="3539"/>
          <w:tab w:val="left" w:pos="3540"/>
        </w:tabs>
        <w:spacing w:before="102" w:line="360" w:lineRule="auto"/>
        <w:ind w:right="913"/>
        <w:jc w:val="both"/>
        <w:rPr>
          <w:sz w:val="24"/>
          <w:u w:val="single"/>
        </w:rPr>
      </w:pPr>
      <w:bookmarkStart w:id="1680" w:name="(b)_China's_semantic_objections_to_the_u"/>
      <w:bookmarkEnd w:id="1680"/>
      <w:r>
        <w:rPr>
          <w:sz w:val="24"/>
          <w:u w:val="single"/>
        </w:rPr>
        <w:t>China's semantic objections to the use of the word</w:t>
      </w:r>
      <w:r>
        <w:rPr>
          <w:sz w:val="24"/>
        </w:rPr>
        <w:t xml:space="preserve"> </w:t>
      </w:r>
      <w:r>
        <w:rPr>
          <w:sz w:val="24"/>
          <w:u w:val="single"/>
        </w:rPr>
        <w:t>"disclosure" in Australia's arguments as a description for</w:t>
      </w:r>
      <w:r>
        <w:rPr>
          <w:sz w:val="24"/>
        </w:rPr>
        <w:t xml:space="preserve"> </w:t>
      </w:r>
      <w:r>
        <w:rPr>
          <w:sz w:val="24"/>
          <w:u w:val="single"/>
        </w:rPr>
        <w:t>making</w:t>
      </w:r>
      <w:r>
        <w:rPr>
          <w:spacing w:val="-14"/>
          <w:sz w:val="24"/>
          <w:u w:val="single"/>
        </w:rPr>
        <w:t xml:space="preserve"> </w:t>
      </w:r>
      <w:r>
        <w:rPr>
          <w:sz w:val="24"/>
          <w:u w:val="single"/>
        </w:rPr>
        <w:t>all</w:t>
      </w:r>
      <w:r>
        <w:rPr>
          <w:spacing w:val="-14"/>
          <w:sz w:val="24"/>
          <w:u w:val="single"/>
        </w:rPr>
        <w:t xml:space="preserve"> </w:t>
      </w:r>
      <w:r>
        <w:rPr>
          <w:sz w:val="24"/>
          <w:u w:val="single"/>
        </w:rPr>
        <w:t>relevant</w:t>
      </w:r>
      <w:r>
        <w:rPr>
          <w:spacing w:val="-13"/>
          <w:sz w:val="24"/>
          <w:u w:val="single"/>
        </w:rPr>
        <w:t xml:space="preserve"> </w:t>
      </w:r>
      <w:r>
        <w:rPr>
          <w:sz w:val="24"/>
          <w:u w:val="single"/>
        </w:rPr>
        <w:t>information</w:t>
      </w:r>
      <w:r>
        <w:rPr>
          <w:spacing w:val="-14"/>
          <w:sz w:val="24"/>
          <w:u w:val="single"/>
        </w:rPr>
        <w:t xml:space="preserve"> </w:t>
      </w:r>
      <w:r>
        <w:rPr>
          <w:sz w:val="24"/>
          <w:u w:val="single"/>
        </w:rPr>
        <w:t>available</w:t>
      </w:r>
      <w:r>
        <w:rPr>
          <w:spacing w:val="-13"/>
          <w:sz w:val="24"/>
          <w:u w:val="single"/>
        </w:rPr>
        <w:t xml:space="preserve"> </w:t>
      </w:r>
      <w:r>
        <w:rPr>
          <w:sz w:val="24"/>
          <w:u w:val="single"/>
        </w:rPr>
        <w:t>for</w:t>
      </w:r>
      <w:r>
        <w:rPr>
          <w:spacing w:val="-14"/>
          <w:sz w:val="24"/>
          <w:u w:val="single"/>
        </w:rPr>
        <w:t xml:space="preserve"> </w:t>
      </w:r>
      <w:r>
        <w:rPr>
          <w:sz w:val="24"/>
          <w:u w:val="single"/>
        </w:rPr>
        <w:t>the</w:t>
      </w:r>
      <w:r>
        <w:rPr>
          <w:spacing w:val="-13"/>
          <w:sz w:val="24"/>
          <w:u w:val="single"/>
        </w:rPr>
        <w:t xml:space="preserve"> </w:t>
      </w:r>
      <w:r>
        <w:rPr>
          <w:sz w:val="24"/>
          <w:u w:val="single"/>
        </w:rPr>
        <w:t>interested</w:t>
      </w:r>
      <w:r>
        <w:rPr>
          <w:sz w:val="24"/>
        </w:rPr>
        <w:t xml:space="preserve"> </w:t>
      </w:r>
      <w:r>
        <w:rPr>
          <w:sz w:val="24"/>
          <w:u w:val="single"/>
        </w:rPr>
        <w:t>parties to see</w:t>
      </w:r>
    </w:p>
    <w:p w14:paraId="734276A3" w14:textId="77777777" w:rsidR="00BD462C" w:rsidRDefault="00BD462C">
      <w:pPr>
        <w:pStyle w:val="BodyText"/>
        <w:spacing w:before="8"/>
        <w:rPr>
          <w:sz w:val="8"/>
        </w:rPr>
      </w:pPr>
    </w:p>
    <w:p w14:paraId="57CE41AD" w14:textId="7B420B29" w:rsidR="00BD462C" w:rsidRDefault="00925D9A">
      <w:pPr>
        <w:pStyle w:val="BodyText"/>
        <w:spacing w:before="56" w:line="360" w:lineRule="auto"/>
        <w:ind w:left="135" w:right="912"/>
        <w:jc w:val="both"/>
      </w:pPr>
      <w:r>
        <w:rPr>
          <w:noProof/>
        </w:rPr>
        <w:t>847.</w:t>
      </w:r>
      <w:r w:rsidR="00033D0F">
        <w:rPr>
          <w:rFonts w:ascii="Times New Roman"/>
          <w:spacing w:val="80"/>
          <w:position w:val="1"/>
          <w:sz w:val="20"/>
        </w:rPr>
        <w:t xml:space="preserve">  </w:t>
      </w:r>
      <w:r w:rsidR="00033D0F">
        <w:rPr>
          <w:position w:val="1"/>
        </w:rPr>
        <w:t xml:space="preserve">China complains that Australia is attempting to read the disclosure obligation under </w:t>
      </w:r>
      <w:r w:rsidR="00033D0F">
        <w:t>Article 6.9 into Article 6.4</w:t>
      </w:r>
      <w:hyperlink w:anchor="_bookmark1447" w:history="1">
        <w:r w:rsidR="00033D0F">
          <w:rPr>
            <w:vertAlign w:val="superscript"/>
          </w:rPr>
          <w:t>1245</w:t>
        </w:r>
      </w:hyperlink>
      <w:r w:rsidR="00033D0F">
        <w:t xml:space="preserve"> by using the words "disclose" and "disclosure" in its arguments.</w:t>
      </w:r>
      <w:hyperlink w:anchor="_bookmark1448" w:history="1">
        <w:r w:rsidR="00033D0F">
          <w:rPr>
            <w:vertAlign w:val="superscript"/>
          </w:rPr>
          <w:t>1246</w:t>
        </w:r>
      </w:hyperlink>
      <w:r w:rsidR="00033D0F">
        <w:rPr>
          <w:spacing w:val="-11"/>
        </w:rPr>
        <w:t xml:space="preserve"> </w:t>
      </w:r>
      <w:r w:rsidR="00033D0F">
        <w:t>They</w:t>
      </w:r>
      <w:r w:rsidR="00033D0F">
        <w:rPr>
          <w:spacing w:val="-6"/>
        </w:rPr>
        <w:t xml:space="preserve"> </w:t>
      </w:r>
      <w:r w:rsidR="00033D0F">
        <w:t>reflect</w:t>
      </w:r>
      <w:r w:rsidR="00033D0F">
        <w:rPr>
          <w:spacing w:val="-11"/>
        </w:rPr>
        <w:t xml:space="preserve"> </w:t>
      </w:r>
      <w:r w:rsidR="00033D0F">
        <w:t>an</w:t>
      </w:r>
      <w:r w:rsidR="00033D0F">
        <w:rPr>
          <w:spacing w:val="-14"/>
        </w:rPr>
        <w:t xml:space="preserve"> </w:t>
      </w:r>
      <w:r w:rsidR="00033D0F">
        <w:t>unreasonably</w:t>
      </w:r>
      <w:r w:rsidR="00033D0F">
        <w:rPr>
          <w:spacing w:val="-11"/>
        </w:rPr>
        <w:t xml:space="preserve"> </w:t>
      </w:r>
      <w:r w:rsidR="00033D0F">
        <w:t>pedantic</w:t>
      </w:r>
      <w:r w:rsidR="00033D0F">
        <w:rPr>
          <w:spacing w:val="-8"/>
        </w:rPr>
        <w:t xml:space="preserve"> </w:t>
      </w:r>
      <w:r w:rsidR="00033D0F">
        <w:t>approach</w:t>
      </w:r>
      <w:r w:rsidR="00033D0F">
        <w:rPr>
          <w:spacing w:val="-14"/>
        </w:rPr>
        <w:t xml:space="preserve"> </w:t>
      </w:r>
      <w:r w:rsidR="00033D0F">
        <w:t>to</w:t>
      </w:r>
      <w:r w:rsidR="00033D0F">
        <w:rPr>
          <w:spacing w:val="-10"/>
        </w:rPr>
        <w:t xml:space="preserve"> </w:t>
      </w:r>
      <w:r w:rsidR="00033D0F">
        <w:t>the</w:t>
      </w:r>
      <w:r w:rsidR="00033D0F">
        <w:rPr>
          <w:spacing w:val="-12"/>
        </w:rPr>
        <w:t xml:space="preserve"> </w:t>
      </w:r>
      <w:r w:rsidR="00033D0F">
        <w:t>choice</w:t>
      </w:r>
      <w:r w:rsidR="00033D0F">
        <w:rPr>
          <w:spacing w:val="-12"/>
        </w:rPr>
        <w:t xml:space="preserve"> </w:t>
      </w:r>
      <w:r w:rsidR="00033D0F">
        <w:t>of</w:t>
      </w:r>
      <w:r w:rsidR="00033D0F">
        <w:rPr>
          <w:spacing w:val="-9"/>
        </w:rPr>
        <w:t xml:space="preserve"> </w:t>
      </w:r>
      <w:r w:rsidR="00033D0F">
        <w:t>language</w:t>
      </w:r>
      <w:r w:rsidR="00033D0F">
        <w:rPr>
          <w:spacing w:val="-12"/>
        </w:rPr>
        <w:t xml:space="preserve"> </w:t>
      </w:r>
      <w:r w:rsidR="00033D0F">
        <w:t>that Australia uses to set out its arguments. Nothing turns on Australia's use of these words as a description for making all relevant, non-confidential, and used information available for the interested parties to see. In order for the interested parties to "see" information, that information has to be "disclosed".</w:t>
      </w:r>
    </w:p>
    <w:p w14:paraId="1EBA6A6F" w14:textId="77777777" w:rsidR="00BD462C" w:rsidRDefault="00BD462C">
      <w:pPr>
        <w:pStyle w:val="BodyText"/>
        <w:spacing w:before="6"/>
        <w:rPr>
          <w:sz w:val="8"/>
        </w:rPr>
      </w:pPr>
    </w:p>
    <w:p w14:paraId="7091DCF8" w14:textId="621B5B7A" w:rsidR="00BD462C" w:rsidRDefault="00925D9A">
      <w:pPr>
        <w:spacing w:before="56" w:line="360" w:lineRule="auto"/>
        <w:ind w:left="135" w:right="915"/>
        <w:jc w:val="both"/>
        <w:rPr>
          <w:sz w:val="24"/>
        </w:rPr>
      </w:pPr>
      <w:r>
        <w:rPr>
          <w:noProof/>
        </w:rPr>
        <w:t>84</w:t>
      </w:r>
      <w:r w:rsidR="00E4449D">
        <w:rPr>
          <w:noProof/>
        </w:rPr>
        <w:t>8.</w:t>
      </w:r>
      <w:r w:rsidR="00033D0F">
        <w:rPr>
          <w:rFonts w:ascii="Times New Roman" w:hAnsi="Times New Roman"/>
          <w:spacing w:val="80"/>
          <w:position w:val="1"/>
          <w:sz w:val="20"/>
        </w:rPr>
        <w:t xml:space="preserve">   </w:t>
      </w:r>
      <w:r w:rsidR="00033D0F">
        <w:rPr>
          <w:position w:val="1"/>
          <w:sz w:val="24"/>
        </w:rPr>
        <w:t xml:space="preserve">Both panels and the Appellate Body have used the term "disclosed" when referring </w:t>
      </w:r>
      <w:r w:rsidR="00033D0F">
        <w:rPr>
          <w:sz w:val="24"/>
        </w:rPr>
        <w:t>to Article 6.4 obligations.</w:t>
      </w:r>
      <w:hyperlink w:anchor="_bookmark1449" w:history="1">
        <w:r w:rsidR="00033D0F">
          <w:rPr>
            <w:sz w:val="24"/>
            <w:vertAlign w:val="superscript"/>
          </w:rPr>
          <w:t>1247</w:t>
        </w:r>
      </w:hyperlink>
      <w:r w:rsidR="00033D0F">
        <w:rPr>
          <w:sz w:val="24"/>
        </w:rPr>
        <w:t xml:space="preserve"> In </w:t>
      </w:r>
      <w:r w:rsidR="00033D0F">
        <w:rPr>
          <w:i/>
          <w:sz w:val="24"/>
        </w:rPr>
        <w:t>EC – Tube or Pipe Fittings</w:t>
      </w:r>
      <w:r w:rsidR="00033D0F">
        <w:rPr>
          <w:sz w:val="24"/>
        </w:rPr>
        <w:t xml:space="preserve">, for example, the Appellate Body considered that: " […] we are of the view that the information contained in Exhibit EC-12 should have been </w:t>
      </w:r>
      <w:r w:rsidR="00033D0F">
        <w:rPr>
          <w:i/>
          <w:sz w:val="24"/>
        </w:rPr>
        <w:t>disclosed to the interested parties, pursuant to Article 6.4</w:t>
      </w:r>
      <w:r w:rsidR="00033D0F">
        <w:rPr>
          <w:sz w:val="24"/>
        </w:rPr>
        <w:t>, because the information was relevant to the interested parties, used by the European Commission in the investigation, and not confidential";</w:t>
      </w:r>
      <w:hyperlink w:anchor="_bookmark1450" w:history="1">
        <w:r w:rsidR="00033D0F">
          <w:rPr>
            <w:sz w:val="24"/>
            <w:vertAlign w:val="superscript"/>
          </w:rPr>
          <w:t>1248</w:t>
        </w:r>
      </w:hyperlink>
      <w:r w:rsidR="00033D0F">
        <w:rPr>
          <w:sz w:val="24"/>
        </w:rPr>
        <w:t xml:space="preserve"> and "[o]</w:t>
      </w:r>
      <w:proofErr w:type="spellStart"/>
      <w:r w:rsidR="00033D0F">
        <w:rPr>
          <w:sz w:val="24"/>
        </w:rPr>
        <w:t>ne</w:t>
      </w:r>
      <w:proofErr w:type="spellEnd"/>
      <w:r w:rsidR="00033D0F">
        <w:rPr>
          <w:sz w:val="24"/>
        </w:rPr>
        <w:t xml:space="preserve"> of the stated objectives of the </w:t>
      </w:r>
      <w:r w:rsidR="00033D0F">
        <w:rPr>
          <w:i/>
          <w:sz w:val="24"/>
        </w:rPr>
        <w:t xml:space="preserve">disclosure of information required under Article 6.4 </w:t>
      </w:r>
      <w:r w:rsidR="00033D0F">
        <w:rPr>
          <w:sz w:val="24"/>
        </w:rPr>
        <w:t>is to allow interested parties 'to prepare presentations on the basis of this information'".</w:t>
      </w:r>
      <w:hyperlink w:anchor="_bookmark1451" w:history="1">
        <w:r w:rsidR="00033D0F">
          <w:rPr>
            <w:sz w:val="24"/>
            <w:vertAlign w:val="superscript"/>
          </w:rPr>
          <w:t>1249</w:t>
        </w:r>
      </w:hyperlink>
    </w:p>
    <w:p w14:paraId="26D6FC39" w14:textId="1C80BCA7" w:rsidR="00BD462C" w:rsidRDefault="00E4449D">
      <w:pPr>
        <w:pStyle w:val="BodyText"/>
        <w:spacing w:before="161" w:line="357" w:lineRule="auto"/>
        <w:ind w:left="135" w:right="915"/>
        <w:jc w:val="both"/>
      </w:pPr>
      <w:r>
        <w:rPr>
          <w:noProof/>
        </w:rPr>
        <w:t>849.</w:t>
      </w:r>
      <w:r w:rsidR="00033D0F">
        <w:rPr>
          <w:rFonts w:ascii="Times New Roman" w:hAnsi="Times New Roman"/>
          <w:spacing w:val="80"/>
          <w:w w:val="150"/>
          <w:position w:val="1"/>
          <w:sz w:val="20"/>
        </w:rPr>
        <w:t xml:space="preserve"> </w:t>
      </w:r>
      <w:r w:rsidR="00033D0F">
        <w:rPr>
          <w:position w:val="1"/>
        </w:rPr>
        <w:t>Further,</w:t>
      </w:r>
      <w:r w:rsidR="00033D0F">
        <w:rPr>
          <w:spacing w:val="-9"/>
          <w:position w:val="1"/>
        </w:rPr>
        <w:t xml:space="preserve"> </w:t>
      </w:r>
      <w:r w:rsidR="00033D0F">
        <w:rPr>
          <w:position w:val="1"/>
        </w:rPr>
        <w:t>the</w:t>
      </w:r>
      <w:r w:rsidR="00033D0F">
        <w:rPr>
          <w:spacing w:val="-6"/>
          <w:position w:val="1"/>
        </w:rPr>
        <w:t xml:space="preserve"> </w:t>
      </w:r>
      <w:r w:rsidR="00033D0F">
        <w:rPr>
          <w:position w:val="1"/>
        </w:rPr>
        <w:t>panel's</w:t>
      </w:r>
      <w:r w:rsidR="00033D0F">
        <w:rPr>
          <w:spacing w:val="-9"/>
          <w:position w:val="1"/>
        </w:rPr>
        <w:t xml:space="preserve"> </w:t>
      </w:r>
      <w:r w:rsidR="00033D0F">
        <w:rPr>
          <w:position w:val="1"/>
        </w:rPr>
        <w:t>finding</w:t>
      </w:r>
      <w:r w:rsidR="00033D0F">
        <w:rPr>
          <w:spacing w:val="-9"/>
          <w:position w:val="1"/>
        </w:rPr>
        <w:t xml:space="preserve"> </w:t>
      </w:r>
      <w:r w:rsidR="00033D0F">
        <w:rPr>
          <w:position w:val="1"/>
        </w:rPr>
        <w:t>in</w:t>
      </w:r>
      <w:r w:rsidR="00033D0F">
        <w:rPr>
          <w:spacing w:val="-8"/>
          <w:position w:val="1"/>
        </w:rPr>
        <w:t xml:space="preserve"> </w:t>
      </w:r>
      <w:r w:rsidR="00033D0F">
        <w:rPr>
          <w:i/>
          <w:position w:val="1"/>
        </w:rPr>
        <w:t>Korea</w:t>
      </w:r>
      <w:r w:rsidR="00033D0F">
        <w:rPr>
          <w:i/>
          <w:spacing w:val="-9"/>
          <w:position w:val="1"/>
        </w:rPr>
        <w:t xml:space="preserve"> </w:t>
      </w:r>
      <w:r w:rsidR="00033D0F">
        <w:rPr>
          <w:i/>
          <w:position w:val="1"/>
        </w:rPr>
        <w:t>–</w:t>
      </w:r>
      <w:r w:rsidR="00033D0F">
        <w:rPr>
          <w:i/>
          <w:spacing w:val="-11"/>
          <w:position w:val="1"/>
        </w:rPr>
        <w:t xml:space="preserve"> </w:t>
      </w:r>
      <w:r w:rsidR="00033D0F">
        <w:rPr>
          <w:i/>
          <w:position w:val="1"/>
        </w:rPr>
        <w:t>Certain</w:t>
      </w:r>
      <w:r w:rsidR="00033D0F">
        <w:rPr>
          <w:i/>
          <w:spacing w:val="-10"/>
          <w:position w:val="1"/>
        </w:rPr>
        <w:t xml:space="preserve"> </w:t>
      </w:r>
      <w:r w:rsidR="00033D0F">
        <w:rPr>
          <w:i/>
          <w:position w:val="1"/>
        </w:rPr>
        <w:t>Paper</w:t>
      </w:r>
      <w:r w:rsidR="00033D0F">
        <w:rPr>
          <w:i/>
          <w:spacing w:val="-12"/>
          <w:position w:val="1"/>
        </w:rPr>
        <w:t xml:space="preserve"> </w:t>
      </w:r>
      <w:r w:rsidR="00033D0F">
        <w:rPr>
          <w:i/>
          <w:position w:val="1"/>
        </w:rPr>
        <w:t>(Article</w:t>
      </w:r>
      <w:r w:rsidR="00033D0F">
        <w:rPr>
          <w:i/>
          <w:spacing w:val="-11"/>
          <w:position w:val="1"/>
        </w:rPr>
        <w:t xml:space="preserve"> </w:t>
      </w:r>
      <w:r w:rsidR="00033D0F">
        <w:rPr>
          <w:i/>
          <w:position w:val="1"/>
        </w:rPr>
        <w:t>21.5</w:t>
      </w:r>
      <w:r w:rsidR="00033D0F">
        <w:rPr>
          <w:i/>
          <w:spacing w:val="-13"/>
          <w:position w:val="1"/>
        </w:rPr>
        <w:t xml:space="preserve"> </w:t>
      </w:r>
      <w:r w:rsidR="00033D0F">
        <w:rPr>
          <w:i/>
          <w:position w:val="1"/>
        </w:rPr>
        <w:t>–</w:t>
      </w:r>
      <w:r w:rsidR="00033D0F">
        <w:rPr>
          <w:i/>
          <w:spacing w:val="-6"/>
          <w:position w:val="1"/>
        </w:rPr>
        <w:t xml:space="preserve"> </w:t>
      </w:r>
      <w:r w:rsidR="00033D0F">
        <w:rPr>
          <w:i/>
          <w:position w:val="1"/>
        </w:rPr>
        <w:t>Indonesia)</w:t>
      </w:r>
      <w:hyperlink w:anchor="_bookmark1452" w:history="1">
        <w:r w:rsidR="00033D0F">
          <w:rPr>
            <w:position w:val="1"/>
            <w:vertAlign w:val="superscript"/>
          </w:rPr>
          <w:t>1250</w:t>
        </w:r>
      </w:hyperlink>
      <w:r w:rsidR="00033D0F">
        <w:rPr>
          <w:spacing w:val="-10"/>
          <w:position w:val="1"/>
        </w:rPr>
        <w:t xml:space="preserve"> </w:t>
      </w:r>
      <w:r w:rsidR="00033D0F">
        <w:rPr>
          <w:position w:val="1"/>
        </w:rPr>
        <w:t xml:space="preserve">that </w:t>
      </w:r>
      <w:r w:rsidR="00033D0F">
        <w:t>the investigating authority's failure to disclose information would not amount to a violation of Article 6.4 in the circumstances of that case, should not be taken as the overarching principle of general application that China posits it to be. The point in issue in that case was whether</w:t>
      </w:r>
      <w:r w:rsidR="00033D0F">
        <w:rPr>
          <w:spacing w:val="-14"/>
        </w:rPr>
        <w:t xml:space="preserve"> </w:t>
      </w:r>
      <w:r w:rsidR="00033D0F">
        <w:t>the</w:t>
      </w:r>
      <w:r w:rsidR="00033D0F">
        <w:rPr>
          <w:spacing w:val="-14"/>
        </w:rPr>
        <w:t xml:space="preserve"> </w:t>
      </w:r>
      <w:r w:rsidR="00033D0F">
        <w:t>investigating</w:t>
      </w:r>
      <w:r w:rsidR="00033D0F">
        <w:rPr>
          <w:spacing w:val="-13"/>
        </w:rPr>
        <w:t xml:space="preserve"> </w:t>
      </w:r>
      <w:r w:rsidR="00033D0F">
        <w:t>authority</w:t>
      </w:r>
      <w:r w:rsidR="00033D0F">
        <w:rPr>
          <w:spacing w:val="-14"/>
        </w:rPr>
        <w:t xml:space="preserve"> </w:t>
      </w:r>
      <w:r w:rsidR="00033D0F">
        <w:t>should</w:t>
      </w:r>
      <w:r w:rsidR="00033D0F">
        <w:rPr>
          <w:spacing w:val="-13"/>
        </w:rPr>
        <w:t xml:space="preserve"> </w:t>
      </w:r>
      <w:r w:rsidR="00033D0F">
        <w:t>have</w:t>
      </w:r>
      <w:r w:rsidR="00033D0F">
        <w:rPr>
          <w:spacing w:val="-14"/>
        </w:rPr>
        <w:t xml:space="preserve"> </w:t>
      </w:r>
      <w:r w:rsidR="00033D0F">
        <w:t>provided</w:t>
      </w:r>
      <w:r w:rsidR="00033D0F">
        <w:rPr>
          <w:spacing w:val="-13"/>
        </w:rPr>
        <w:t xml:space="preserve"> </w:t>
      </w:r>
      <w:r w:rsidR="00033D0F">
        <w:t>a</w:t>
      </w:r>
      <w:r w:rsidR="00033D0F">
        <w:rPr>
          <w:spacing w:val="-14"/>
        </w:rPr>
        <w:t xml:space="preserve"> </w:t>
      </w:r>
      <w:r w:rsidR="00033D0F">
        <w:t>notification</w:t>
      </w:r>
      <w:r w:rsidR="00033D0F">
        <w:rPr>
          <w:spacing w:val="-14"/>
        </w:rPr>
        <w:t xml:space="preserve"> </w:t>
      </w:r>
      <w:r w:rsidR="00033D0F">
        <w:t>(i.e.,</w:t>
      </w:r>
      <w:r w:rsidR="00033D0F">
        <w:rPr>
          <w:spacing w:val="-13"/>
        </w:rPr>
        <w:t xml:space="preserve"> </w:t>
      </w:r>
      <w:r w:rsidR="00033D0F">
        <w:t>"disclosure")</w:t>
      </w:r>
      <w:r w:rsidR="00033D0F">
        <w:rPr>
          <w:spacing w:val="-14"/>
        </w:rPr>
        <w:t xml:space="preserve"> </w:t>
      </w:r>
      <w:r w:rsidR="00033D0F">
        <w:t>that it</w:t>
      </w:r>
      <w:r w:rsidR="00033D0F">
        <w:rPr>
          <w:spacing w:val="33"/>
        </w:rPr>
        <w:t xml:space="preserve"> </w:t>
      </w:r>
      <w:r w:rsidR="00033D0F">
        <w:t>intended</w:t>
      </w:r>
      <w:r w:rsidR="00033D0F">
        <w:rPr>
          <w:spacing w:val="30"/>
        </w:rPr>
        <w:t xml:space="preserve"> </w:t>
      </w:r>
      <w:r w:rsidR="00033D0F">
        <w:t>to</w:t>
      </w:r>
      <w:r w:rsidR="00033D0F">
        <w:rPr>
          <w:spacing w:val="30"/>
        </w:rPr>
        <w:t xml:space="preserve"> </w:t>
      </w:r>
      <w:r w:rsidR="00033D0F">
        <w:t>base</w:t>
      </w:r>
      <w:r w:rsidR="00033D0F">
        <w:rPr>
          <w:spacing w:val="32"/>
        </w:rPr>
        <w:t xml:space="preserve"> </w:t>
      </w:r>
      <w:r w:rsidR="00033D0F">
        <w:t>its</w:t>
      </w:r>
      <w:r w:rsidR="00033D0F">
        <w:rPr>
          <w:spacing w:val="34"/>
        </w:rPr>
        <w:t xml:space="preserve"> </w:t>
      </w:r>
      <w:r w:rsidR="00033D0F">
        <w:t>injury</w:t>
      </w:r>
      <w:r w:rsidR="00033D0F">
        <w:rPr>
          <w:spacing w:val="33"/>
        </w:rPr>
        <w:t xml:space="preserve"> </w:t>
      </w:r>
      <w:r w:rsidR="00033D0F">
        <w:t>re-determination</w:t>
      </w:r>
      <w:r w:rsidR="00033D0F">
        <w:rPr>
          <w:spacing w:val="30"/>
        </w:rPr>
        <w:t xml:space="preserve"> </w:t>
      </w:r>
      <w:r w:rsidR="00033D0F">
        <w:t>solely</w:t>
      </w:r>
      <w:r w:rsidR="00033D0F">
        <w:rPr>
          <w:spacing w:val="33"/>
        </w:rPr>
        <w:t xml:space="preserve"> </w:t>
      </w:r>
      <w:r w:rsidR="00033D0F">
        <w:t>on</w:t>
      </w:r>
      <w:r w:rsidR="00033D0F">
        <w:rPr>
          <w:spacing w:val="30"/>
        </w:rPr>
        <w:t xml:space="preserve"> </w:t>
      </w:r>
      <w:r w:rsidR="00033D0F">
        <w:t>the</w:t>
      </w:r>
      <w:r w:rsidR="00033D0F">
        <w:rPr>
          <w:spacing w:val="32"/>
        </w:rPr>
        <w:t xml:space="preserve"> </w:t>
      </w:r>
      <w:r w:rsidR="00033D0F">
        <w:t>data</w:t>
      </w:r>
      <w:r w:rsidR="00033D0F">
        <w:rPr>
          <w:spacing w:val="32"/>
        </w:rPr>
        <w:t xml:space="preserve"> </w:t>
      </w:r>
      <w:r w:rsidR="00033D0F">
        <w:t>collected</w:t>
      </w:r>
      <w:r w:rsidR="00033D0F">
        <w:rPr>
          <w:spacing w:val="30"/>
        </w:rPr>
        <w:t xml:space="preserve"> </w:t>
      </w:r>
      <w:r w:rsidR="00033D0F">
        <w:t>in</w:t>
      </w:r>
      <w:r w:rsidR="00033D0F">
        <w:rPr>
          <w:spacing w:val="30"/>
        </w:rPr>
        <w:t xml:space="preserve"> </w:t>
      </w:r>
      <w:r w:rsidR="00033D0F">
        <w:t>the</w:t>
      </w:r>
      <w:r w:rsidR="00033D0F">
        <w:rPr>
          <w:spacing w:val="32"/>
        </w:rPr>
        <w:t xml:space="preserve"> </w:t>
      </w:r>
      <w:r w:rsidR="00033D0F">
        <w:t>original</w:t>
      </w:r>
    </w:p>
    <w:p w14:paraId="2096E05D" w14:textId="77777777" w:rsidR="00BD462C" w:rsidRDefault="00BD462C">
      <w:pPr>
        <w:pStyle w:val="BodyText"/>
        <w:rPr>
          <w:sz w:val="20"/>
        </w:rPr>
      </w:pPr>
    </w:p>
    <w:p w14:paraId="572A1877" w14:textId="77777777" w:rsidR="00BD462C" w:rsidRDefault="00BD462C">
      <w:pPr>
        <w:pStyle w:val="BodyText"/>
        <w:rPr>
          <w:sz w:val="20"/>
        </w:rPr>
      </w:pPr>
    </w:p>
    <w:p w14:paraId="04F96E6B" w14:textId="2E667CAE" w:rsidR="00BD462C" w:rsidRDefault="00AC5C65">
      <w:pPr>
        <w:pStyle w:val="BodyText"/>
        <w:spacing w:before="6"/>
      </w:pPr>
      <w:r>
        <w:rPr>
          <w:noProof/>
        </w:rPr>
        <mc:AlternateContent>
          <mc:Choice Requires="wps">
            <w:drawing>
              <wp:anchor distT="0" distB="0" distL="0" distR="0" simplePos="0" relativeHeight="488317440" behindDoc="1" locked="0" layoutInCell="1" allowOverlap="1" wp14:anchorId="2CC9E233" wp14:editId="57F780D6">
                <wp:simplePos x="0" y="0"/>
                <wp:positionH relativeFrom="page">
                  <wp:posOffset>812800</wp:posOffset>
                </wp:positionH>
                <wp:positionV relativeFrom="paragraph">
                  <wp:posOffset>190500</wp:posOffset>
                </wp:positionV>
                <wp:extent cx="1828800" cy="8890"/>
                <wp:effectExtent l="0" t="0" r="0" b="0"/>
                <wp:wrapTopAndBottom/>
                <wp:docPr id="1282" name="docshape5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96E032" id="docshape591" o:spid="_x0000_s1026" alt="&quot;&quot;" style="position:absolute;margin-left:64pt;margin-top:15pt;width:2in;height:.7pt;z-index:-14999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" fillcolor="black" stroked="f">
                <w10:wrap type="topAndBottom" anchorx="page"/>
              </v:rect>
            </w:pict>
          </mc:Fallback>
        </mc:AlternateContent>
      </w:r>
    </w:p>
    <w:p w14:paraId="700DA289" w14:textId="77777777" w:rsidR="00BD462C" w:rsidRDefault="00033D0F">
      <w:pPr>
        <w:spacing w:before="112" w:line="218" w:lineRule="exact"/>
        <w:ind w:left="135"/>
        <w:rPr>
          <w:sz w:val="18"/>
        </w:rPr>
      </w:pPr>
      <w:bookmarkStart w:id="1681" w:name="_bookmark1447"/>
      <w:bookmarkEnd w:id="1681"/>
      <w:r>
        <w:rPr>
          <w:position w:val="5"/>
          <w:sz w:val="12"/>
        </w:rPr>
        <w:t>1245</w:t>
      </w:r>
      <w:r>
        <w:rPr>
          <w:spacing w:val="13"/>
          <w:position w:val="5"/>
          <w:sz w:val="12"/>
        </w:rPr>
        <w:t xml:space="preserve"> </w:t>
      </w:r>
      <w:r>
        <w:rPr>
          <w:sz w:val="18"/>
        </w:rPr>
        <w:t>For</w:t>
      </w:r>
      <w:r>
        <w:rPr>
          <w:spacing w:val="-6"/>
          <w:sz w:val="18"/>
        </w:rPr>
        <w:t xml:space="preserve"> </w:t>
      </w:r>
      <w:r>
        <w:rPr>
          <w:sz w:val="18"/>
        </w:rPr>
        <w:t>further</w:t>
      </w:r>
      <w:r>
        <w:rPr>
          <w:spacing w:val="-2"/>
          <w:sz w:val="18"/>
        </w:rPr>
        <w:t xml:space="preserve"> </w:t>
      </w:r>
      <w:r>
        <w:rPr>
          <w:sz w:val="18"/>
        </w:rPr>
        <w:t>context</w:t>
      </w:r>
      <w:r>
        <w:rPr>
          <w:spacing w:val="-4"/>
          <w:sz w:val="18"/>
        </w:rPr>
        <w:t xml:space="preserve"> </w:t>
      </w:r>
      <w:r>
        <w:rPr>
          <w:sz w:val="18"/>
        </w:rPr>
        <w:t>about</w:t>
      </w:r>
      <w:r>
        <w:rPr>
          <w:spacing w:val="-4"/>
          <w:sz w:val="18"/>
        </w:rPr>
        <w:t xml:space="preserve"> </w:t>
      </w:r>
      <w:r>
        <w:rPr>
          <w:sz w:val="18"/>
        </w:rPr>
        <w:t>the</w:t>
      </w:r>
      <w:r>
        <w:rPr>
          <w:spacing w:val="-4"/>
          <w:sz w:val="18"/>
        </w:rPr>
        <w:t xml:space="preserve"> </w:t>
      </w:r>
      <w:r>
        <w:rPr>
          <w:sz w:val="18"/>
        </w:rPr>
        <w:t>crossover</w:t>
      </w:r>
      <w:r>
        <w:rPr>
          <w:spacing w:val="-2"/>
          <w:sz w:val="18"/>
        </w:rPr>
        <w:t xml:space="preserve"> </w:t>
      </w:r>
      <w:r>
        <w:rPr>
          <w:sz w:val="18"/>
        </w:rPr>
        <w:t>between</w:t>
      </w:r>
      <w:r>
        <w:rPr>
          <w:spacing w:val="-5"/>
          <w:sz w:val="18"/>
        </w:rPr>
        <w:t xml:space="preserve"> </w:t>
      </w:r>
      <w:r>
        <w:rPr>
          <w:sz w:val="18"/>
        </w:rPr>
        <w:t>Article 6.4</w:t>
      </w:r>
      <w:r>
        <w:rPr>
          <w:spacing w:val="-2"/>
          <w:sz w:val="18"/>
        </w:rPr>
        <w:t xml:space="preserve"> </w:t>
      </w:r>
      <w:r>
        <w:rPr>
          <w:sz w:val="18"/>
        </w:rPr>
        <w:t>and</w:t>
      </w:r>
      <w:r>
        <w:rPr>
          <w:spacing w:val="-1"/>
          <w:sz w:val="18"/>
        </w:rPr>
        <w:t xml:space="preserve"> </w:t>
      </w:r>
      <w:r>
        <w:rPr>
          <w:sz w:val="18"/>
        </w:rPr>
        <w:t>6.9,</w:t>
      </w:r>
      <w:r>
        <w:rPr>
          <w:spacing w:val="-3"/>
          <w:sz w:val="18"/>
        </w:rPr>
        <w:t xml:space="preserve"> </w:t>
      </w:r>
      <w:r>
        <w:rPr>
          <w:sz w:val="18"/>
        </w:rPr>
        <w:t>see</w:t>
      </w:r>
      <w:r>
        <w:rPr>
          <w:spacing w:val="-4"/>
          <w:sz w:val="18"/>
        </w:rPr>
        <w:t xml:space="preserve"> </w:t>
      </w:r>
      <w:r>
        <w:rPr>
          <w:sz w:val="18"/>
        </w:rPr>
        <w:t>below</w:t>
      </w:r>
      <w:r>
        <w:rPr>
          <w:spacing w:val="-7"/>
          <w:sz w:val="18"/>
        </w:rPr>
        <w:t xml:space="preserve"> </w:t>
      </w:r>
      <w:r>
        <w:rPr>
          <w:sz w:val="18"/>
        </w:rPr>
        <w:t>para.</w:t>
      </w:r>
      <w:r>
        <w:rPr>
          <w:spacing w:val="1"/>
          <w:sz w:val="18"/>
        </w:rPr>
        <w:t xml:space="preserve"> </w:t>
      </w:r>
      <w:hyperlink w:anchor="_bookmark1538" w:history="1">
        <w:r>
          <w:rPr>
            <w:spacing w:val="-4"/>
            <w:sz w:val="18"/>
          </w:rPr>
          <w:t>918.</w:t>
        </w:r>
      </w:hyperlink>
    </w:p>
    <w:p w14:paraId="56214D4A" w14:textId="77777777" w:rsidR="00BD462C" w:rsidRDefault="00033D0F">
      <w:pPr>
        <w:spacing w:line="218" w:lineRule="exact"/>
        <w:ind w:left="135"/>
        <w:rPr>
          <w:sz w:val="18"/>
        </w:rPr>
      </w:pPr>
      <w:bookmarkStart w:id="1682" w:name="_bookmark1448"/>
      <w:bookmarkEnd w:id="1682"/>
      <w:r>
        <w:rPr>
          <w:position w:val="5"/>
          <w:sz w:val="12"/>
        </w:rPr>
        <w:t>1246</w:t>
      </w:r>
      <w:r>
        <w:rPr>
          <w:spacing w:val="11"/>
          <w:position w:val="5"/>
          <w:sz w:val="12"/>
        </w:rPr>
        <w:t xml:space="preserve"> </w:t>
      </w:r>
      <w:r>
        <w:rPr>
          <w:sz w:val="18"/>
        </w:rPr>
        <w:t>China's</w:t>
      </w:r>
      <w:r>
        <w:rPr>
          <w:spacing w:val="-6"/>
          <w:sz w:val="18"/>
        </w:rPr>
        <w:t xml:space="preserve"> </w:t>
      </w:r>
      <w:r>
        <w:rPr>
          <w:sz w:val="18"/>
        </w:rPr>
        <w:t>first</w:t>
      </w:r>
      <w:r>
        <w:rPr>
          <w:spacing w:val="-6"/>
          <w:sz w:val="18"/>
        </w:rPr>
        <w:t xml:space="preserve"> </w:t>
      </w:r>
      <w:r>
        <w:rPr>
          <w:sz w:val="18"/>
        </w:rPr>
        <w:t>written</w:t>
      </w:r>
      <w:r>
        <w:rPr>
          <w:spacing w:val="-7"/>
          <w:sz w:val="18"/>
        </w:rPr>
        <w:t xml:space="preserve"> </w:t>
      </w:r>
      <w:r>
        <w:rPr>
          <w:sz w:val="18"/>
        </w:rPr>
        <w:t>submission, para.</w:t>
      </w:r>
      <w:r>
        <w:rPr>
          <w:spacing w:val="-1"/>
          <w:sz w:val="18"/>
        </w:rPr>
        <w:t xml:space="preserve"> </w:t>
      </w:r>
      <w:r>
        <w:rPr>
          <w:sz w:val="18"/>
        </w:rPr>
        <w:t>2447-</w:t>
      </w:r>
      <w:r>
        <w:rPr>
          <w:spacing w:val="-2"/>
          <w:sz w:val="18"/>
        </w:rPr>
        <w:t>2449.</w:t>
      </w:r>
    </w:p>
    <w:p w14:paraId="569F02E6" w14:textId="77777777" w:rsidR="00BD462C" w:rsidRDefault="00033D0F">
      <w:pPr>
        <w:spacing w:before="1"/>
        <w:ind w:left="135"/>
        <w:rPr>
          <w:sz w:val="18"/>
        </w:rPr>
      </w:pPr>
      <w:bookmarkStart w:id="1683" w:name="_bookmark1449"/>
      <w:bookmarkEnd w:id="1683"/>
      <w:r>
        <w:rPr>
          <w:position w:val="5"/>
          <w:sz w:val="12"/>
        </w:rPr>
        <w:t>1247</w:t>
      </w:r>
      <w:r>
        <w:rPr>
          <w:spacing w:val="15"/>
          <w:position w:val="5"/>
          <w:sz w:val="12"/>
        </w:rPr>
        <w:t xml:space="preserve"> </w:t>
      </w:r>
      <w:r>
        <w:rPr>
          <w:sz w:val="18"/>
        </w:rPr>
        <w:t>See</w:t>
      </w:r>
      <w:r>
        <w:rPr>
          <w:spacing w:val="-3"/>
          <w:sz w:val="18"/>
        </w:rPr>
        <w:t xml:space="preserve"> </w:t>
      </w:r>
      <w:proofErr w:type="gramStart"/>
      <w:r>
        <w:rPr>
          <w:sz w:val="18"/>
        </w:rPr>
        <w:t>e.g.</w:t>
      </w:r>
      <w:proofErr w:type="gramEnd"/>
      <w:r>
        <w:rPr>
          <w:spacing w:val="-3"/>
          <w:sz w:val="18"/>
        </w:rPr>
        <w:t xml:space="preserve"> </w:t>
      </w:r>
      <w:r>
        <w:rPr>
          <w:sz w:val="18"/>
        </w:rPr>
        <w:t>Appellate</w:t>
      </w:r>
      <w:r>
        <w:rPr>
          <w:spacing w:val="-3"/>
          <w:sz w:val="18"/>
        </w:rPr>
        <w:t xml:space="preserve"> </w:t>
      </w:r>
      <w:r>
        <w:rPr>
          <w:sz w:val="18"/>
        </w:rPr>
        <w:t>Body</w:t>
      </w:r>
      <w:r>
        <w:rPr>
          <w:spacing w:val="-10"/>
          <w:sz w:val="18"/>
        </w:rPr>
        <w:t xml:space="preserve"> </w:t>
      </w:r>
      <w:r>
        <w:rPr>
          <w:sz w:val="18"/>
        </w:rPr>
        <w:t>Report,</w:t>
      </w:r>
      <w:r>
        <w:rPr>
          <w:spacing w:val="-7"/>
          <w:sz w:val="18"/>
        </w:rPr>
        <w:t xml:space="preserve"> </w:t>
      </w:r>
      <w:r>
        <w:rPr>
          <w:i/>
          <w:sz w:val="18"/>
        </w:rPr>
        <w:t>EC</w:t>
      </w:r>
      <w:r>
        <w:rPr>
          <w:i/>
          <w:spacing w:val="-3"/>
          <w:sz w:val="18"/>
        </w:rPr>
        <w:t xml:space="preserve"> </w:t>
      </w:r>
      <w:r>
        <w:rPr>
          <w:i/>
          <w:sz w:val="18"/>
        </w:rPr>
        <w:t>–</w:t>
      </w:r>
      <w:r>
        <w:rPr>
          <w:i/>
          <w:spacing w:val="-4"/>
          <w:sz w:val="18"/>
        </w:rPr>
        <w:t xml:space="preserve"> </w:t>
      </w:r>
      <w:r>
        <w:rPr>
          <w:i/>
          <w:sz w:val="18"/>
        </w:rPr>
        <w:t>Tube</w:t>
      </w:r>
      <w:r>
        <w:rPr>
          <w:i/>
          <w:spacing w:val="-4"/>
          <w:sz w:val="18"/>
        </w:rPr>
        <w:t xml:space="preserve"> </w:t>
      </w:r>
      <w:r>
        <w:rPr>
          <w:i/>
          <w:sz w:val="18"/>
        </w:rPr>
        <w:t>and</w:t>
      </w:r>
      <w:r>
        <w:rPr>
          <w:i/>
          <w:spacing w:val="-6"/>
          <w:sz w:val="18"/>
        </w:rPr>
        <w:t xml:space="preserve"> </w:t>
      </w:r>
      <w:r>
        <w:rPr>
          <w:i/>
          <w:sz w:val="18"/>
        </w:rPr>
        <w:t>Pipe</w:t>
      </w:r>
      <w:r>
        <w:rPr>
          <w:i/>
          <w:spacing w:val="-1"/>
          <w:sz w:val="18"/>
        </w:rPr>
        <w:t xml:space="preserve"> </w:t>
      </w:r>
      <w:r>
        <w:rPr>
          <w:i/>
          <w:sz w:val="18"/>
        </w:rPr>
        <w:t>Fittings</w:t>
      </w:r>
      <w:r>
        <w:rPr>
          <w:sz w:val="18"/>
        </w:rPr>
        <w:t>,</w:t>
      </w:r>
      <w:r>
        <w:rPr>
          <w:spacing w:val="-1"/>
          <w:sz w:val="18"/>
        </w:rPr>
        <w:t xml:space="preserve"> </w:t>
      </w:r>
      <w:r>
        <w:rPr>
          <w:sz w:val="18"/>
        </w:rPr>
        <w:t>para.</w:t>
      </w:r>
      <w:r>
        <w:rPr>
          <w:spacing w:val="-2"/>
          <w:sz w:val="18"/>
        </w:rPr>
        <w:t xml:space="preserve"> </w:t>
      </w:r>
      <w:r>
        <w:rPr>
          <w:sz w:val="18"/>
        </w:rPr>
        <w:t>148;</w:t>
      </w:r>
      <w:r>
        <w:rPr>
          <w:spacing w:val="-1"/>
          <w:sz w:val="18"/>
        </w:rPr>
        <w:t xml:space="preserve"> </w:t>
      </w:r>
      <w:r>
        <w:rPr>
          <w:sz w:val="18"/>
        </w:rPr>
        <w:t>Panel</w:t>
      </w:r>
      <w:r>
        <w:rPr>
          <w:spacing w:val="-2"/>
          <w:sz w:val="18"/>
        </w:rPr>
        <w:t xml:space="preserve"> </w:t>
      </w:r>
      <w:r>
        <w:rPr>
          <w:sz w:val="18"/>
        </w:rPr>
        <w:t>Report,</w:t>
      </w:r>
      <w:r>
        <w:rPr>
          <w:spacing w:val="-1"/>
          <w:sz w:val="18"/>
        </w:rPr>
        <w:t xml:space="preserve"> </w:t>
      </w:r>
      <w:r>
        <w:rPr>
          <w:i/>
          <w:sz w:val="18"/>
        </w:rPr>
        <w:t>Korea</w:t>
      </w:r>
      <w:r>
        <w:rPr>
          <w:i/>
          <w:spacing w:val="-3"/>
          <w:sz w:val="18"/>
        </w:rPr>
        <w:t xml:space="preserve"> </w:t>
      </w:r>
      <w:r>
        <w:rPr>
          <w:i/>
          <w:sz w:val="18"/>
        </w:rPr>
        <w:t>–</w:t>
      </w:r>
      <w:r>
        <w:rPr>
          <w:i/>
          <w:spacing w:val="-3"/>
          <w:sz w:val="18"/>
        </w:rPr>
        <w:t xml:space="preserve"> </w:t>
      </w:r>
      <w:r>
        <w:rPr>
          <w:i/>
          <w:sz w:val="18"/>
        </w:rPr>
        <w:t>Certain</w:t>
      </w:r>
      <w:r>
        <w:rPr>
          <w:i/>
          <w:spacing w:val="-2"/>
          <w:sz w:val="18"/>
        </w:rPr>
        <w:t xml:space="preserve"> </w:t>
      </w:r>
      <w:r>
        <w:rPr>
          <w:i/>
          <w:sz w:val="18"/>
        </w:rPr>
        <w:t>Paper</w:t>
      </w:r>
      <w:r>
        <w:rPr>
          <w:sz w:val="18"/>
        </w:rPr>
        <w:t>,</w:t>
      </w:r>
      <w:r>
        <w:rPr>
          <w:spacing w:val="-2"/>
          <w:sz w:val="18"/>
        </w:rPr>
        <w:t xml:space="preserve"> </w:t>
      </w:r>
      <w:r>
        <w:rPr>
          <w:sz w:val="18"/>
        </w:rPr>
        <w:t xml:space="preserve">para </w:t>
      </w:r>
      <w:r>
        <w:rPr>
          <w:spacing w:val="-2"/>
          <w:sz w:val="18"/>
        </w:rPr>
        <w:t>7.201.</w:t>
      </w:r>
    </w:p>
    <w:p w14:paraId="2D3F046D" w14:textId="77777777" w:rsidR="00BD462C" w:rsidRDefault="00033D0F">
      <w:pPr>
        <w:spacing w:before="1"/>
        <w:ind w:left="135" w:right="3830"/>
        <w:jc w:val="both"/>
        <w:rPr>
          <w:sz w:val="18"/>
        </w:rPr>
      </w:pPr>
      <w:bookmarkStart w:id="1684" w:name="_bookmark1450"/>
      <w:bookmarkEnd w:id="1684"/>
      <w:r>
        <w:rPr>
          <w:position w:val="5"/>
          <w:sz w:val="12"/>
        </w:rPr>
        <w:t>1248</w:t>
      </w:r>
      <w:r>
        <w:rPr>
          <w:spacing w:val="17"/>
          <w:position w:val="5"/>
          <w:sz w:val="12"/>
        </w:rPr>
        <w:t xml:space="preserve"> </w:t>
      </w:r>
      <w:r>
        <w:rPr>
          <w:sz w:val="18"/>
        </w:rPr>
        <w:t>Appellate</w:t>
      </w:r>
      <w:r>
        <w:rPr>
          <w:spacing w:val="-7"/>
          <w:sz w:val="18"/>
        </w:rPr>
        <w:t xml:space="preserve"> </w:t>
      </w:r>
      <w:r>
        <w:rPr>
          <w:sz w:val="18"/>
        </w:rPr>
        <w:t>Body</w:t>
      </w:r>
      <w:r>
        <w:rPr>
          <w:spacing w:val="-4"/>
          <w:sz w:val="18"/>
        </w:rPr>
        <w:t xml:space="preserve"> </w:t>
      </w:r>
      <w:r>
        <w:rPr>
          <w:sz w:val="18"/>
        </w:rPr>
        <w:t xml:space="preserve">Report, </w:t>
      </w:r>
      <w:r>
        <w:rPr>
          <w:i/>
          <w:sz w:val="18"/>
        </w:rPr>
        <w:t>EC</w:t>
      </w:r>
      <w:r>
        <w:rPr>
          <w:i/>
          <w:spacing w:val="-2"/>
          <w:sz w:val="18"/>
        </w:rPr>
        <w:t xml:space="preserve"> </w:t>
      </w:r>
      <w:r>
        <w:rPr>
          <w:i/>
          <w:sz w:val="18"/>
        </w:rPr>
        <w:t>–</w:t>
      </w:r>
      <w:r>
        <w:rPr>
          <w:i/>
          <w:spacing w:val="-2"/>
          <w:sz w:val="18"/>
        </w:rPr>
        <w:t xml:space="preserve"> </w:t>
      </w:r>
      <w:r>
        <w:rPr>
          <w:i/>
          <w:sz w:val="18"/>
        </w:rPr>
        <w:t>Tube</w:t>
      </w:r>
      <w:r>
        <w:rPr>
          <w:i/>
          <w:spacing w:val="-8"/>
          <w:sz w:val="18"/>
        </w:rPr>
        <w:t xml:space="preserve"> </w:t>
      </w:r>
      <w:r>
        <w:rPr>
          <w:i/>
          <w:sz w:val="18"/>
        </w:rPr>
        <w:t>and</w:t>
      </w:r>
      <w:r>
        <w:rPr>
          <w:i/>
          <w:spacing w:val="-1"/>
          <w:sz w:val="18"/>
        </w:rPr>
        <w:t xml:space="preserve"> </w:t>
      </w:r>
      <w:r>
        <w:rPr>
          <w:i/>
          <w:sz w:val="18"/>
        </w:rPr>
        <w:t>Pipe</w:t>
      </w:r>
      <w:r>
        <w:rPr>
          <w:i/>
          <w:spacing w:val="-4"/>
          <w:sz w:val="18"/>
        </w:rPr>
        <w:t xml:space="preserve"> </w:t>
      </w:r>
      <w:r>
        <w:rPr>
          <w:i/>
          <w:sz w:val="18"/>
        </w:rPr>
        <w:t>Fittings</w:t>
      </w:r>
      <w:r>
        <w:rPr>
          <w:sz w:val="18"/>
        </w:rPr>
        <w:t>, para.</w:t>
      </w:r>
      <w:r>
        <w:rPr>
          <w:spacing w:val="-1"/>
          <w:sz w:val="18"/>
        </w:rPr>
        <w:t xml:space="preserve"> </w:t>
      </w:r>
      <w:r>
        <w:rPr>
          <w:sz w:val="18"/>
        </w:rPr>
        <w:t>148.</w:t>
      </w:r>
      <w:r>
        <w:rPr>
          <w:spacing w:val="-1"/>
          <w:sz w:val="18"/>
        </w:rPr>
        <w:t xml:space="preserve"> </w:t>
      </w:r>
      <w:r>
        <w:rPr>
          <w:sz w:val="18"/>
        </w:rPr>
        <w:t xml:space="preserve">(emphasis added) </w:t>
      </w:r>
      <w:bookmarkStart w:id="1685" w:name="_bookmark1451"/>
      <w:bookmarkEnd w:id="1685"/>
      <w:r>
        <w:rPr>
          <w:position w:val="5"/>
          <w:sz w:val="12"/>
        </w:rPr>
        <w:t>1249</w:t>
      </w:r>
      <w:r>
        <w:rPr>
          <w:spacing w:val="17"/>
          <w:position w:val="5"/>
          <w:sz w:val="12"/>
        </w:rPr>
        <w:t xml:space="preserve"> </w:t>
      </w:r>
      <w:r>
        <w:rPr>
          <w:sz w:val="18"/>
        </w:rPr>
        <w:t>Appellate</w:t>
      </w:r>
      <w:r>
        <w:rPr>
          <w:spacing w:val="-7"/>
          <w:sz w:val="18"/>
        </w:rPr>
        <w:t xml:space="preserve"> </w:t>
      </w:r>
      <w:r>
        <w:rPr>
          <w:sz w:val="18"/>
        </w:rPr>
        <w:t>Body</w:t>
      </w:r>
      <w:r>
        <w:rPr>
          <w:spacing w:val="-4"/>
          <w:sz w:val="18"/>
        </w:rPr>
        <w:t xml:space="preserve"> </w:t>
      </w:r>
      <w:r>
        <w:rPr>
          <w:sz w:val="18"/>
        </w:rPr>
        <w:t xml:space="preserve">Report, </w:t>
      </w:r>
      <w:r>
        <w:rPr>
          <w:i/>
          <w:sz w:val="18"/>
        </w:rPr>
        <w:t>EC</w:t>
      </w:r>
      <w:r>
        <w:rPr>
          <w:i/>
          <w:spacing w:val="-2"/>
          <w:sz w:val="18"/>
        </w:rPr>
        <w:t xml:space="preserve"> </w:t>
      </w:r>
      <w:r>
        <w:rPr>
          <w:i/>
          <w:sz w:val="18"/>
        </w:rPr>
        <w:t>–</w:t>
      </w:r>
      <w:r>
        <w:rPr>
          <w:i/>
          <w:spacing w:val="-2"/>
          <w:sz w:val="18"/>
        </w:rPr>
        <w:t xml:space="preserve"> </w:t>
      </w:r>
      <w:r>
        <w:rPr>
          <w:i/>
          <w:sz w:val="18"/>
        </w:rPr>
        <w:t>Tube</w:t>
      </w:r>
      <w:r>
        <w:rPr>
          <w:i/>
          <w:spacing w:val="-8"/>
          <w:sz w:val="18"/>
        </w:rPr>
        <w:t xml:space="preserve"> </w:t>
      </w:r>
      <w:r>
        <w:rPr>
          <w:i/>
          <w:sz w:val="18"/>
        </w:rPr>
        <w:t>and</w:t>
      </w:r>
      <w:r>
        <w:rPr>
          <w:i/>
          <w:spacing w:val="-1"/>
          <w:sz w:val="18"/>
        </w:rPr>
        <w:t xml:space="preserve"> </w:t>
      </w:r>
      <w:r>
        <w:rPr>
          <w:i/>
          <w:sz w:val="18"/>
        </w:rPr>
        <w:t>Pipe</w:t>
      </w:r>
      <w:r>
        <w:rPr>
          <w:i/>
          <w:spacing w:val="-4"/>
          <w:sz w:val="18"/>
        </w:rPr>
        <w:t xml:space="preserve"> </w:t>
      </w:r>
      <w:r>
        <w:rPr>
          <w:i/>
          <w:sz w:val="18"/>
        </w:rPr>
        <w:t>Fittings</w:t>
      </w:r>
      <w:r>
        <w:rPr>
          <w:sz w:val="18"/>
        </w:rPr>
        <w:t>, para.</w:t>
      </w:r>
      <w:r>
        <w:rPr>
          <w:spacing w:val="-1"/>
          <w:sz w:val="18"/>
        </w:rPr>
        <w:t xml:space="preserve"> </w:t>
      </w:r>
      <w:r>
        <w:rPr>
          <w:sz w:val="18"/>
        </w:rPr>
        <w:t>149.</w:t>
      </w:r>
      <w:r>
        <w:rPr>
          <w:spacing w:val="-1"/>
          <w:sz w:val="18"/>
        </w:rPr>
        <w:t xml:space="preserve"> </w:t>
      </w:r>
      <w:r>
        <w:rPr>
          <w:sz w:val="18"/>
        </w:rPr>
        <w:t xml:space="preserve">(emphasis added) </w:t>
      </w:r>
      <w:bookmarkStart w:id="1686" w:name="_bookmark1452"/>
      <w:bookmarkEnd w:id="1686"/>
      <w:r>
        <w:rPr>
          <w:position w:val="5"/>
          <w:sz w:val="12"/>
        </w:rPr>
        <w:t>1250</w:t>
      </w:r>
      <w:r>
        <w:rPr>
          <w:spacing w:val="22"/>
          <w:position w:val="5"/>
          <w:sz w:val="12"/>
        </w:rPr>
        <w:t xml:space="preserve"> </w:t>
      </w:r>
      <w:r>
        <w:rPr>
          <w:sz w:val="18"/>
        </w:rPr>
        <w:t xml:space="preserve">Panel Report, </w:t>
      </w:r>
      <w:r>
        <w:rPr>
          <w:i/>
          <w:sz w:val="18"/>
        </w:rPr>
        <w:t>Korea – Certain</w:t>
      </w:r>
      <w:r>
        <w:rPr>
          <w:i/>
          <w:spacing w:val="-1"/>
          <w:sz w:val="18"/>
        </w:rPr>
        <w:t xml:space="preserve"> </w:t>
      </w:r>
      <w:r>
        <w:rPr>
          <w:i/>
          <w:sz w:val="18"/>
        </w:rPr>
        <w:t>Paper (Article 21.5 –</w:t>
      </w:r>
      <w:r>
        <w:rPr>
          <w:i/>
          <w:spacing w:val="-3"/>
          <w:sz w:val="18"/>
        </w:rPr>
        <w:t xml:space="preserve"> </w:t>
      </w:r>
      <w:r>
        <w:rPr>
          <w:i/>
          <w:sz w:val="18"/>
        </w:rPr>
        <w:t>Indonesia)</w:t>
      </w:r>
      <w:r>
        <w:rPr>
          <w:sz w:val="18"/>
        </w:rPr>
        <w:t>, paras. 6.81-6.89.</w:t>
      </w:r>
    </w:p>
    <w:p w14:paraId="65999F63" w14:textId="77777777" w:rsidR="00BD462C" w:rsidRDefault="00BD462C">
      <w:pPr>
        <w:jc w:val="both"/>
        <w:rPr>
          <w:sz w:val="18"/>
        </w:rPr>
        <w:sectPr w:rsidR="00BD462C">
          <w:pgSz w:w="11910" w:h="16840"/>
          <w:pgMar w:top="860" w:right="500" w:bottom="780" w:left="1280" w:header="566" w:footer="590" w:gutter="0"/>
          <w:cols w:space="720"/>
        </w:sectPr>
      </w:pPr>
    </w:p>
    <w:p w14:paraId="51849858"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66D539B7"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1D1401D7"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23975F36" w14:textId="77777777" w:rsidR="00BD462C" w:rsidRDefault="00033D0F">
      <w:pPr>
        <w:pStyle w:val="BodyText"/>
        <w:spacing w:before="102" w:line="360" w:lineRule="auto"/>
        <w:ind w:left="136" w:right="912"/>
        <w:jc w:val="both"/>
      </w:pPr>
      <w:r>
        <w:t>investigation.</w:t>
      </w:r>
      <w:hyperlink w:anchor="_bookmark1453" w:history="1">
        <w:r>
          <w:rPr>
            <w:vertAlign w:val="superscript"/>
          </w:rPr>
          <w:t>1251</w:t>
        </w:r>
      </w:hyperlink>
      <w:r>
        <w:t xml:space="preserve"> When the panel referred to there being no obligation of disclosure, it was referring specifically to writing to a party to give notice of the intention to use otherwise available information.</w:t>
      </w:r>
    </w:p>
    <w:p w14:paraId="012C66C0" w14:textId="77777777" w:rsidR="00BD462C" w:rsidRDefault="00BD462C">
      <w:pPr>
        <w:pStyle w:val="BodyText"/>
        <w:spacing w:before="11"/>
        <w:rPr>
          <w:sz w:val="8"/>
        </w:rPr>
      </w:pPr>
    </w:p>
    <w:p w14:paraId="1F6E75D8" w14:textId="3FFF01CD" w:rsidR="00BD462C" w:rsidRDefault="00E4449D">
      <w:pPr>
        <w:pStyle w:val="BodyText"/>
        <w:spacing w:before="56" w:line="360" w:lineRule="auto"/>
        <w:ind w:left="135" w:right="910"/>
        <w:jc w:val="both"/>
      </w:pPr>
      <w:r>
        <w:rPr>
          <w:noProof/>
        </w:rPr>
        <w:t>850.</w:t>
      </w:r>
      <w:r w:rsidR="00033D0F">
        <w:rPr>
          <w:rFonts w:ascii="Times New Roman"/>
          <w:spacing w:val="80"/>
          <w:position w:val="1"/>
          <w:sz w:val="20"/>
        </w:rPr>
        <w:t xml:space="preserve">  </w:t>
      </w:r>
      <w:r w:rsidR="00033D0F">
        <w:rPr>
          <w:position w:val="1"/>
        </w:rPr>
        <w:t xml:space="preserve">China's objections to Australia's use of the words "disclose" and "disclosure" are </w:t>
      </w:r>
      <w:r w:rsidR="00033D0F">
        <w:t>purely semantic and do not address MOFCOM's failure to comply with the substantive obligation in Article 6.4 to "provide timely opportunities for all interested parties to see all information". On a fair reading of Australia's submissions, there can be no confusion about the nature or meaning of Australia's arguments.</w:t>
      </w:r>
    </w:p>
    <w:p w14:paraId="6BABABBF" w14:textId="77777777" w:rsidR="00BD462C" w:rsidRDefault="00BD462C">
      <w:pPr>
        <w:pStyle w:val="BodyText"/>
        <w:spacing w:before="6"/>
        <w:rPr>
          <w:sz w:val="8"/>
        </w:rPr>
      </w:pPr>
    </w:p>
    <w:p w14:paraId="33E8A048" w14:textId="7E441B96" w:rsidR="00BD462C" w:rsidRDefault="00E4449D">
      <w:pPr>
        <w:pStyle w:val="BodyText"/>
        <w:spacing w:before="56" w:line="357" w:lineRule="auto"/>
        <w:ind w:left="135" w:right="912"/>
        <w:jc w:val="both"/>
      </w:pPr>
      <w:r>
        <w:rPr>
          <w:noProof/>
        </w:rPr>
        <w:t>851.</w:t>
      </w:r>
      <w:r w:rsidR="00033D0F">
        <w:rPr>
          <w:rFonts w:ascii="Times New Roman"/>
          <w:spacing w:val="80"/>
          <w:position w:val="1"/>
          <w:sz w:val="20"/>
        </w:rPr>
        <w:t xml:space="preserve">  </w:t>
      </w:r>
      <w:r w:rsidR="00033D0F">
        <w:rPr>
          <w:position w:val="1"/>
        </w:rPr>
        <w:t xml:space="preserve">By way of illustrative example, it is nonsensical, if not disingenuous, for China to </w:t>
      </w:r>
      <w:r w:rsidR="00033D0F">
        <w:t>suggest that the word "disclosure" in paragraph 960 of Australia's first written submission could mean anything other than "failed to provide interested parties opportunities to see all information</w:t>
      </w:r>
      <w:r w:rsidR="00033D0F">
        <w:rPr>
          <w:spacing w:val="-10"/>
        </w:rPr>
        <w:t xml:space="preserve"> </w:t>
      </w:r>
      <w:r w:rsidR="00033D0F">
        <w:t>that</w:t>
      </w:r>
      <w:r w:rsidR="00033D0F">
        <w:rPr>
          <w:spacing w:val="-8"/>
        </w:rPr>
        <w:t xml:space="preserve"> </w:t>
      </w:r>
      <w:r w:rsidR="00033D0F">
        <w:t>was</w:t>
      </w:r>
      <w:r w:rsidR="00033D0F">
        <w:rPr>
          <w:spacing w:val="-7"/>
        </w:rPr>
        <w:t xml:space="preserve"> </w:t>
      </w:r>
      <w:r w:rsidR="00033D0F">
        <w:t>used"</w:t>
      </w:r>
      <w:r w:rsidR="00033D0F">
        <w:rPr>
          <w:spacing w:val="-9"/>
        </w:rPr>
        <w:t xml:space="preserve"> </w:t>
      </w:r>
      <w:r w:rsidR="00033D0F">
        <w:t>given</w:t>
      </w:r>
      <w:r w:rsidR="00033D0F">
        <w:rPr>
          <w:spacing w:val="-10"/>
        </w:rPr>
        <w:t xml:space="preserve"> </w:t>
      </w:r>
      <w:r w:rsidR="00033D0F">
        <w:t>this</w:t>
      </w:r>
      <w:r w:rsidR="00033D0F">
        <w:rPr>
          <w:spacing w:val="-7"/>
        </w:rPr>
        <w:t xml:space="preserve"> </w:t>
      </w:r>
      <w:r w:rsidR="00033D0F">
        <w:t>is</w:t>
      </w:r>
      <w:r w:rsidR="00033D0F">
        <w:rPr>
          <w:spacing w:val="-7"/>
        </w:rPr>
        <w:t xml:space="preserve"> </w:t>
      </w:r>
      <w:r w:rsidR="00033D0F">
        <w:t>the</w:t>
      </w:r>
      <w:r w:rsidR="00033D0F">
        <w:rPr>
          <w:spacing w:val="-8"/>
        </w:rPr>
        <w:t xml:space="preserve"> </w:t>
      </w:r>
      <w:r w:rsidR="00033D0F">
        <w:t>phrase</w:t>
      </w:r>
      <w:r w:rsidR="00033D0F">
        <w:rPr>
          <w:spacing w:val="-8"/>
        </w:rPr>
        <w:t xml:space="preserve"> </w:t>
      </w:r>
      <w:r w:rsidR="00033D0F">
        <w:t>that</w:t>
      </w:r>
      <w:r w:rsidR="00033D0F">
        <w:rPr>
          <w:spacing w:val="-8"/>
        </w:rPr>
        <w:t xml:space="preserve"> </w:t>
      </w:r>
      <w:r w:rsidR="00033D0F">
        <w:t>appears</w:t>
      </w:r>
      <w:r w:rsidR="00033D0F">
        <w:rPr>
          <w:spacing w:val="-7"/>
        </w:rPr>
        <w:t xml:space="preserve"> </w:t>
      </w:r>
      <w:r w:rsidR="00033D0F">
        <w:t>in</w:t>
      </w:r>
      <w:r w:rsidR="00033D0F">
        <w:rPr>
          <w:spacing w:val="-10"/>
        </w:rPr>
        <w:t xml:space="preserve"> </w:t>
      </w:r>
      <w:r w:rsidR="00033D0F">
        <w:t>the</w:t>
      </w:r>
      <w:r w:rsidR="00033D0F">
        <w:rPr>
          <w:spacing w:val="-8"/>
        </w:rPr>
        <w:t xml:space="preserve"> </w:t>
      </w:r>
      <w:r w:rsidR="00033D0F">
        <w:t>immediately</w:t>
      </w:r>
      <w:r w:rsidR="00033D0F">
        <w:rPr>
          <w:spacing w:val="-7"/>
        </w:rPr>
        <w:t xml:space="preserve"> </w:t>
      </w:r>
      <w:r w:rsidR="00033D0F">
        <w:t>preceding paragraph</w:t>
      </w:r>
      <w:r w:rsidR="00033D0F">
        <w:rPr>
          <w:spacing w:val="-9"/>
        </w:rPr>
        <w:t xml:space="preserve"> </w:t>
      </w:r>
      <w:r w:rsidR="00033D0F">
        <w:t>959.</w:t>
      </w:r>
      <w:r w:rsidR="00033D0F">
        <w:rPr>
          <w:spacing w:val="-6"/>
        </w:rPr>
        <w:t xml:space="preserve"> </w:t>
      </w:r>
      <w:r w:rsidR="00033D0F">
        <w:t>There</w:t>
      </w:r>
      <w:r w:rsidR="00033D0F">
        <w:rPr>
          <w:spacing w:val="-7"/>
        </w:rPr>
        <w:t xml:space="preserve"> </w:t>
      </w:r>
      <w:r w:rsidR="00033D0F">
        <w:t>is</w:t>
      </w:r>
      <w:r w:rsidR="00033D0F">
        <w:rPr>
          <w:spacing w:val="-10"/>
        </w:rPr>
        <w:t xml:space="preserve"> </w:t>
      </w:r>
      <w:r w:rsidR="00033D0F">
        <w:t>no</w:t>
      </w:r>
      <w:r w:rsidR="00033D0F">
        <w:rPr>
          <w:spacing w:val="-10"/>
        </w:rPr>
        <w:t xml:space="preserve"> </w:t>
      </w:r>
      <w:r w:rsidR="00033D0F">
        <w:t>requirement</w:t>
      </w:r>
      <w:r w:rsidR="00033D0F">
        <w:rPr>
          <w:spacing w:val="-11"/>
        </w:rPr>
        <w:t xml:space="preserve"> </w:t>
      </w:r>
      <w:r w:rsidR="00033D0F">
        <w:t>for</w:t>
      </w:r>
      <w:r w:rsidR="00033D0F">
        <w:rPr>
          <w:spacing w:val="-10"/>
        </w:rPr>
        <w:t xml:space="preserve"> </w:t>
      </w:r>
      <w:r w:rsidR="00033D0F">
        <w:t>parties</w:t>
      </w:r>
      <w:r w:rsidR="00033D0F">
        <w:rPr>
          <w:spacing w:val="-14"/>
        </w:rPr>
        <w:t xml:space="preserve"> </w:t>
      </w:r>
      <w:r w:rsidR="00033D0F">
        <w:t>to</w:t>
      </w:r>
      <w:r w:rsidR="00033D0F">
        <w:rPr>
          <w:spacing w:val="-9"/>
        </w:rPr>
        <w:t xml:space="preserve"> </w:t>
      </w:r>
      <w:r w:rsidR="00033D0F">
        <w:t>limit</w:t>
      </w:r>
      <w:r w:rsidR="00033D0F">
        <w:rPr>
          <w:spacing w:val="-11"/>
        </w:rPr>
        <w:t xml:space="preserve"> </w:t>
      </w:r>
      <w:r w:rsidR="00033D0F">
        <w:t>themselves</w:t>
      </w:r>
      <w:r w:rsidR="00033D0F">
        <w:rPr>
          <w:spacing w:val="-10"/>
        </w:rPr>
        <w:t xml:space="preserve"> </w:t>
      </w:r>
      <w:r w:rsidR="00033D0F">
        <w:t>to</w:t>
      </w:r>
      <w:r w:rsidR="00033D0F">
        <w:rPr>
          <w:spacing w:val="-14"/>
        </w:rPr>
        <w:t xml:space="preserve"> </w:t>
      </w:r>
      <w:r w:rsidR="00033D0F">
        <w:t>verbatim</w:t>
      </w:r>
      <w:r w:rsidR="00033D0F">
        <w:rPr>
          <w:spacing w:val="-11"/>
        </w:rPr>
        <w:t xml:space="preserve"> </w:t>
      </w:r>
      <w:r w:rsidR="00033D0F">
        <w:t>recitations of the language of the Anti-Dumping Agreement in their submissions.</w:t>
      </w:r>
    </w:p>
    <w:p w14:paraId="7E59BCF3" w14:textId="77777777" w:rsidR="00BD462C" w:rsidRDefault="00033D0F">
      <w:pPr>
        <w:pStyle w:val="ListParagraph"/>
        <w:numPr>
          <w:ilvl w:val="0"/>
          <w:numId w:val="18"/>
        </w:numPr>
        <w:tabs>
          <w:tab w:val="left" w:pos="3539"/>
          <w:tab w:val="left" w:pos="3540"/>
        </w:tabs>
        <w:spacing w:before="170" w:line="360" w:lineRule="auto"/>
        <w:ind w:right="910"/>
        <w:jc w:val="both"/>
        <w:rPr>
          <w:sz w:val="24"/>
          <w:u w:val="single"/>
        </w:rPr>
      </w:pPr>
      <w:bookmarkStart w:id="1687" w:name="(c)_Whether_the_obligation_to_provide_ti"/>
      <w:bookmarkEnd w:id="1687"/>
      <w:r>
        <w:rPr>
          <w:sz w:val="24"/>
          <w:u w:val="single"/>
        </w:rPr>
        <w:t>Whether</w:t>
      </w:r>
      <w:r>
        <w:rPr>
          <w:spacing w:val="-14"/>
          <w:sz w:val="24"/>
          <w:u w:val="single"/>
        </w:rPr>
        <w:t xml:space="preserve"> </w:t>
      </w:r>
      <w:r>
        <w:rPr>
          <w:sz w:val="24"/>
          <w:u w:val="single"/>
        </w:rPr>
        <w:t>the</w:t>
      </w:r>
      <w:r>
        <w:rPr>
          <w:spacing w:val="-12"/>
          <w:sz w:val="24"/>
          <w:u w:val="single"/>
        </w:rPr>
        <w:t xml:space="preserve"> </w:t>
      </w:r>
      <w:r>
        <w:rPr>
          <w:sz w:val="24"/>
          <w:u w:val="single"/>
        </w:rPr>
        <w:t>obligation</w:t>
      </w:r>
      <w:r>
        <w:rPr>
          <w:spacing w:val="-14"/>
          <w:sz w:val="24"/>
          <w:u w:val="single"/>
        </w:rPr>
        <w:t xml:space="preserve"> </w:t>
      </w:r>
      <w:r>
        <w:rPr>
          <w:sz w:val="24"/>
          <w:u w:val="single"/>
        </w:rPr>
        <w:t>to</w:t>
      </w:r>
      <w:r>
        <w:rPr>
          <w:spacing w:val="-13"/>
          <w:sz w:val="24"/>
          <w:u w:val="single"/>
        </w:rPr>
        <w:t xml:space="preserve"> </w:t>
      </w:r>
      <w:r>
        <w:rPr>
          <w:sz w:val="24"/>
          <w:u w:val="single"/>
        </w:rPr>
        <w:t>provide</w:t>
      </w:r>
      <w:r>
        <w:rPr>
          <w:spacing w:val="-12"/>
          <w:sz w:val="24"/>
          <w:u w:val="single"/>
        </w:rPr>
        <w:t xml:space="preserve"> </w:t>
      </w:r>
      <w:r>
        <w:rPr>
          <w:sz w:val="24"/>
          <w:u w:val="single"/>
        </w:rPr>
        <w:t>timely</w:t>
      </w:r>
      <w:r>
        <w:rPr>
          <w:spacing w:val="-11"/>
          <w:sz w:val="24"/>
          <w:u w:val="single"/>
        </w:rPr>
        <w:t xml:space="preserve"> </w:t>
      </w:r>
      <w:r>
        <w:rPr>
          <w:sz w:val="24"/>
          <w:u w:val="single"/>
        </w:rPr>
        <w:t>opportunities</w:t>
      </w:r>
      <w:r>
        <w:rPr>
          <w:spacing w:val="-10"/>
          <w:sz w:val="24"/>
          <w:u w:val="single"/>
        </w:rPr>
        <w:t xml:space="preserve"> </w:t>
      </w:r>
      <w:r>
        <w:rPr>
          <w:sz w:val="24"/>
          <w:u w:val="single"/>
        </w:rPr>
        <w:t>for</w:t>
      </w:r>
      <w:r>
        <w:rPr>
          <w:sz w:val="24"/>
        </w:rPr>
        <w:t xml:space="preserve"> </w:t>
      </w:r>
      <w:r>
        <w:rPr>
          <w:sz w:val="24"/>
          <w:u w:val="single"/>
        </w:rPr>
        <w:t>all interested</w:t>
      </w:r>
      <w:r>
        <w:rPr>
          <w:spacing w:val="-3"/>
          <w:sz w:val="24"/>
          <w:u w:val="single"/>
        </w:rPr>
        <w:t xml:space="preserve"> </w:t>
      </w:r>
      <w:r>
        <w:rPr>
          <w:sz w:val="24"/>
          <w:u w:val="single"/>
        </w:rPr>
        <w:t>parties to</w:t>
      </w:r>
      <w:r>
        <w:rPr>
          <w:spacing w:val="-4"/>
          <w:sz w:val="24"/>
          <w:u w:val="single"/>
        </w:rPr>
        <w:t xml:space="preserve"> </w:t>
      </w:r>
      <w:r>
        <w:rPr>
          <w:sz w:val="24"/>
          <w:u w:val="single"/>
        </w:rPr>
        <w:t>see</w:t>
      </w:r>
      <w:r>
        <w:rPr>
          <w:spacing w:val="-1"/>
          <w:sz w:val="24"/>
          <w:u w:val="single"/>
        </w:rPr>
        <w:t xml:space="preserve"> </w:t>
      </w:r>
      <w:r>
        <w:rPr>
          <w:sz w:val="24"/>
          <w:u w:val="single"/>
        </w:rPr>
        <w:t>all relevant</w:t>
      </w:r>
      <w:r>
        <w:rPr>
          <w:spacing w:val="-1"/>
          <w:sz w:val="24"/>
          <w:u w:val="single"/>
        </w:rPr>
        <w:t xml:space="preserve"> </w:t>
      </w:r>
      <w:r>
        <w:rPr>
          <w:sz w:val="24"/>
          <w:u w:val="single"/>
        </w:rPr>
        <w:t>information</w:t>
      </w:r>
      <w:r>
        <w:rPr>
          <w:spacing w:val="-3"/>
          <w:sz w:val="24"/>
          <w:u w:val="single"/>
        </w:rPr>
        <w:t xml:space="preserve"> </w:t>
      </w:r>
      <w:r>
        <w:rPr>
          <w:sz w:val="24"/>
          <w:u w:val="single"/>
        </w:rPr>
        <w:t>under</w:t>
      </w:r>
      <w:r>
        <w:rPr>
          <w:sz w:val="24"/>
        </w:rPr>
        <w:t xml:space="preserve"> </w:t>
      </w:r>
      <w:r>
        <w:rPr>
          <w:sz w:val="24"/>
          <w:u w:val="single"/>
        </w:rPr>
        <w:t>Article 6.4 only applies if there is a specific request to see</w:t>
      </w:r>
      <w:r>
        <w:rPr>
          <w:sz w:val="24"/>
        </w:rPr>
        <w:t xml:space="preserve"> </w:t>
      </w:r>
      <w:r>
        <w:rPr>
          <w:sz w:val="24"/>
          <w:u w:val="single"/>
        </w:rPr>
        <w:t>certain information</w:t>
      </w:r>
    </w:p>
    <w:p w14:paraId="53B2AB77" w14:textId="77777777" w:rsidR="00BD462C" w:rsidRDefault="00BD462C">
      <w:pPr>
        <w:pStyle w:val="BodyText"/>
        <w:spacing w:before="1"/>
        <w:rPr>
          <w:sz w:val="9"/>
        </w:rPr>
      </w:pPr>
    </w:p>
    <w:p w14:paraId="0868D15F" w14:textId="2080B780" w:rsidR="00BD462C" w:rsidRDefault="00E4449D">
      <w:pPr>
        <w:pStyle w:val="BodyText"/>
        <w:spacing w:before="56" w:line="360" w:lineRule="auto"/>
        <w:ind w:left="135" w:right="911"/>
        <w:jc w:val="both"/>
      </w:pPr>
      <w:r>
        <w:rPr>
          <w:noProof/>
        </w:rPr>
        <w:t>852.</w:t>
      </w:r>
      <w:r w:rsidR="00033D0F">
        <w:rPr>
          <w:rFonts w:ascii="Times New Roman" w:hAnsi="Times New Roman"/>
          <w:spacing w:val="80"/>
          <w:position w:val="1"/>
          <w:sz w:val="20"/>
        </w:rPr>
        <w:t xml:space="preserve">  </w:t>
      </w:r>
      <w:r w:rsidR="00033D0F">
        <w:rPr>
          <w:position w:val="1"/>
        </w:rPr>
        <w:t>China's</w:t>
      </w:r>
      <w:r w:rsidR="00033D0F">
        <w:rPr>
          <w:spacing w:val="-10"/>
          <w:position w:val="1"/>
        </w:rPr>
        <w:t xml:space="preserve"> </w:t>
      </w:r>
      <w:r w:rsidR="00033D0F">
        <w:rPr>
          <w:position w:val="1"/>
        </w:rPr>
        <w:t>view</w:t>
      </w:r>
      <w:r w:rsidR="00033D0F">
        <w:rPr>
          <w:spacing w:val="-11"/>
          <w:position w:val="1"/>
        </w:rPr>
        <w:t xml:space="preserve"> </w:t>
      </w:r>
      <w:r w:rsidR="00033D0F">
        <w:rPr>
          <w:position w:val="1"/>
        </w:rPr>
        <w:t>appears</w:t>
      </w:r>
      <w:r w:rsidR="00033D0F">
        <w:rPr>
          <w:spacing w:val="-10"/>
          <w:position w:val="1"/>
        </w:rPr>
        <w:t xml:space="preserve"> </w:t>
      </w:r>
      <w:r w:rsidR="00033D0F">
        <w:rPr>
          <w:position w:val="1"/>
        </w:rPr>
        <w:t>to</w:t>
      </w:r>
      <w:r w:rsidR="00033D0F">
        <w:rPr>
          <w:spacing w:val="-14"/>
          <w:position w:val="1"/>
        </w:rPr>
        <w:t xml:space="preserve"> </w:t>
      </w:r>
      <w:r w:rsidR="00033D0F">
        <w:rPr>
          <w:position w:val="1"/>
        </w:rPr>
        <w:t>be</w:t>
      </w:r>
      <w:r w:rsidR="00033D0F">
        <w:rPr>
          <w:spacing w:val="-11"/>
          <w:position w:val="1"/>
        </w:rPr>
        <w:t xml:space="preserve"> </w:t>
      </w:r>
      <w:r w:rsidR="00033D0F">
        <w:rPr>
          <w:position w:val="1"/>
        </w:rPr>
        <w:t>that</w:t>
      </w:r>
      <w:r w:rsidR="00033D0F">
        <w:rPr>
          <w:spacing w:val="-11"/>
          <w:position w:val="1"/>
        </w:rPr>
        <w:t xml:space="preserve"> </w:t>
      </w:r>
      <w:r w:rsidR="00033D0F">
        <w:rPr>
          <w:position w:val="1"/>
        </w:rPr>
        <w:t>there</w:t>
      </w:r>
      <w:r w:rsidR="00033D0F">
        <w:rPr>
          <w:spacing w:val="-12"/>
          <w:position w:val="1"/>
        </w:rPr>
        <w:t xml:space="preserve"> </w:t>
      </w:r>
      <w:r w:rsidR="00033D0F">
        <w:rPr>
          <w:position w:val="1"/>
        </w:rPr>
        <w:t>is</w:t>
      </w:r>
      <w:r w:rsidR="00033D0F">
        <w:rPr>
          <w:spacing w:val="-10"/>
          <w:position w:val="1"/>
        </w:rPr>
        <w:t xml:space="preserve"> </w:t>
      </w:r>
      <w:r w:rsidR="00033D0F">
        <w:rPr>
          <w:position w:val="1"/>
        </w:rPr>
        <w:t>no</w:t>
      </w:r>
      <w:r w:rsidR="00033D0F">
        <w:rPr>
          <w:spacing w:val="-10"/>
          <w:position w:val="1"/>
        </w:rPr>
        <w:t xml:space="preserve"> </w:t>
      </w:r>
      <w:r w:rsidR="00033D0F">
        <w:rPr>
          <w:position w:val="1"/>
        </w:rPr>
        <w:t>obligation</w:t>
      </w:r>
      <w:r w:rsidR="00033D0F">
        <w:rPr>
          <w:spacing w:val="-14"/>
          <w:position w:val="1"/>
        </w:rPr>
        <w:t xml:space="preserve"> </w:t>
      </w:r>
      <w:r w:rsidR="00033D0F">
        <w:rPr>
          <w:position w:val="1"/>
        </w:rPr>
        <w:t>to</w:t>
      </w:r>
      <w:r w:rsidR="00033D0F">
        <w:rPr>
          <w:spacing w:val="-13"/>
          <w:position w:val="1"/>
        </w:rPr>
        <w:t xml:space="preserve"> </w:t>
      </w:r>
      <w:r w:rsidR="00033D0F">
        <w:rPr>
          <w:position w:val="1"/>
        </w:rPr>
        <w:t>"disclose"</w:t>
      </w:r>
      <w:r w:rsidR="00033D0F">
        <w:rPr>
          <w:spacing w:val="-13"/>
          <w:position w:val="1"/>
        </w:rPr>
        <w:t xml:space="preserve"> </w:t>
      </w:r>
      <w:r w:rsidR="00033D0F">
        <w:rPr>
          <w:position w:val="1"/>
        </w:rPr>
        <w:t>information</w:t>
      </w:r>
      <w:r w:rsidR="00033D0F">
        <w:rPr>
          <w:spacing w:val="-14"/>
          <w:position w:val="1"/>
        </w:rPr>
        <w:t xml:space="preserve"> </w:t>
      </w:r>
      <w:r w:rsidR="00033D0F">
        <w:rPr>
          <w:position w:val="1"/>
        </w:rPr>
        <w:t xml:space="preserve">unless </w:t>
      </w:r>
      <w:r w:rsidR="00033D0F">
        <w:t>there</w:t>
      </w:r>
      <w:r w:rsidR="00033D0F">
        <w:rPr>
          <w:spacing w:val="-5"/>
        </w:rPr>
        <w:t xml:space="preserve"> </w:t>
      </w:r>
      <w:r w:rsidR="00033D0F">
        <w:t>is</w:t>
      </w:r>
      <w:r w:rsidR="00033D0F">
        <w:rPr>
          <w:spacing w:val="-4"/>
        </w:rPr>
        <w:t xml:space="preserve"> </w:t>
      </w:r>
      <w:r w:rsidR="00033D0F">
        <w:t>a</w:t>
      </w:r>
      <w:r w:rsidR="00033D0F">
        <w:rPr>
          <w:spacing w:val="-1"/>
        </w:rPr>
        <w:t xml:space="preserve"> </w:t>
      </w:r>
      <w:r w:rsidR="00033D0F">
        <w:t>prior</w:t>
      </w:r>
      <w:r w:rsidR="00033D0F">
        <w:rPr>
          <w:spacing w:val="-3"/>
        </w:rPr>
        <w:t xml:space="preserve"> </w:t>
      </w:r>
      <w:r w:rsidR="00033D0F">
        <w:t>request.</w:t>
      </w:r>
      <w:hyperlink w:anchor="_bookmark1454" w:history="1">
        <w:r w:rsidR="00033D0F">
          <w:rPr>
            <w:vertAlign w:val="superscript"/>
          </w:rPr>
          <w:t>1252</w:t>
        </w:r>
      </w:hyperlink>
      <w:r w:rsidR="00033D0F">
        <w:rPr>
          <w:spacing w:val="-4"/>
        </w:rPr>
        <w:t xml:space="preserve"> </w:t>
      </w:r>
      <w:r w:rsidR="00033D0F">
        <w:t>While</w:t>
      </w:r>
      <w:r w:rsidR="00033D0F">
        <w:rPr>
          <w:spacing w:val="-5"/>
        </w:rPr>
        <w:t xml:space="preserve"> </w:t>
      </w:r>
      <w:r w:rsidR="00033D0F">
        <w:t>the</w:t>
      </w:r>
      <w:r w:rsidR="00033D0F">
        <w:rPr>
          <w:spacing w:val="-5"/>
        </w:rPr>
        <w:t xml:space="preserve"> </w:t>
      </w:r>
      <w:r w:rsidR="00033D0F">
        <w:t>panel</w:t>
      </w:r>
      <w:r w:rsidR="00033D0F">
        <w:rPr>
          <w:spacing w:val="-3"/>
        </w:rPr>
        <w:t xml:space="preserve"> </w:t>
      </w:r>
      <w:r w:rsidR="00033D0F">
        <w:t>in</w:t>
      </w:r>
      <w:r w:rsidR="00033D0F">
        <w:rPr>
          <w:spacing w:val="-7"/>
        </w:rPr>
        <w:t xml:space="preserve"> </w:t>
      </w:r>
      <w:r w:rsidR="00033D0F">
        <w:rPr>
          <w:i/>
        </w:rPr>
        <w:t>Korea</w:t>
      </w:r>
      <w:r w:rsidR="00033D0F">
        <w:rPr>
          <w:i/>
          <w:spacing w:val="-4"/>
        </w:rPr>
        <w:t xml:space="preserve"> </w:t>
      </w:r>
      <w:r w:rsidR="00033D0F">
        <w:rPr>
          <w:i/>
        </w:rPr>
        <w:t>– Certain</w:t>
      </w:r>
      <w:r w:rsidR="00033D0F">
        <w:rPr>
          <w:i/>
          <w:spacing w:val="-4"/>
        </w:rPr>
        <w:t xml:space="preserve"> </w:t>
      </w:r>
      <w:r w:rsidR="00033D0F">
        <w:rPr>
          <w:i/>
        </w:rPr>
        <w:t>Paper</w:t>
      </w:r>
      <w:r w:rsidR="00033D0F">
        <w:rPr>
          <w:i/>
          <w:spacing w:val="-6"/>
        </w:rPr>
        <w:t xml:space="preserve"> </w:t>
      </w:r>
      <w:r w:rsidR="00033D0F">
        <w:rPr>
          <w:i/>
        </w:rPr>
        <w:t>(Article</w:t>
      </w:r>
      <w:r w:rsidR="00033D0F">
        <w:rPr>
          <w:i/>
          <w:spacing w:val="-5"/>
        </w:rPr>
        <w:t xml:space="preserve"> </w:t>
      </w:r>
      <w:r w:rsidR="00033D0F">
        <w:rPr>
          <w:i/>
        </w:rPr>
        <w:t>21.5</w:t>
      </w:r>
      <w:r w:rsidR="00033D0F">
        <w:rPr>
          <w:i/>
          <w:spacing w:val="-7"/>
        </w:rPr>
        <w:t xml:space="preserve"> </w:t>
      </w:r>
      <w:r w:rsidR="00033D0F">
        <w:rPr>
          <w:i/>
        </w:rPr>
        <w:t>–</w:t>
      </w:r>
      <w:r w:rsidR="00033D0F">
        <w:rPr>
          <w:i/>
          <w:spacing w:val="-5"/>
        </w:rPr>
        <w:t xml:space="preserve"> </w:t>
      </w:r>
      <w:r w:rsidR="00033D0F">
        <w:rPr>
          <w:i/>
        </w:rPr>
        <w:t xml:space="preserve">Indonesia) </w:t>
      </w:r>
      <w:r w:rsidR="00033D0F">
        <w:t>held that Article 6.4 "[…] does not require the authorities to disclose information to the interested</w:t>
      </w:r>
      <w:r w:rsidR="00033D0F">
        <w:rPr>
          <w:spacing w:val="-12"/>
        </w:rPr>
        <w:t xml:space="preserve"> </w:t>
      </w:r>
      <w:r w:rsidR="00033D0F">
        <w:t>parties</w:t>
      </w:r>
      <w:r w:rsidR="00033D0F">
        <w:rPr>
          <w:spacing w:val="-8"/>
        </w:rPr>
        <w:t xml:space="preserve"> </w:t>
      </w:r>
      <w:r w:rsidR="00033D0F">
        <w:t>when</w:t>
      </w:r>
      <w:r w:rsidR="00033D0F">
        <w:rPr>
          <w:spacing w:val="-12"/>
        </w:rPr>
        <w:t xml:space="preserve"> </w:t>
      </w:r>
      <w:r w:rsidR="00033D0F">
        <w:t>there</w:t>
      </w:r>
      <w:r w:rsidR="00033D0F">
        <w:rPr>
          <w:spacing w:val="-10"/>
        </w:rPr>
        <w:t xml:space="preserve"> </w:t>
      </w:r>
      <w:r w:rsidR="00033D0F">
        <w:t>is</w:t>
      </w:r>
      <w:r w:rsidR="00033D0F">
        <w:rPr>
          <w:spacing w:val="-8"/>
        </w:rPr>
        <w:t xml:space="preserve"> </w:t>
      </w:r>
      <w:r w:rsidR="00033D0F">
        <w:t>no</w:t>
      </w:r>
      <w:r w:rsidR="00033D0F">
        <w:rPr>
          <w:spacing w:val="-8"/>
        </w:rPr>
        <w:t xml:space="preserve"> </w:t>
      </w:r>
      <w:r w:rsidR="00033D0F">
        <w:t>request</w:t>
      </w:r>
      <w:r w:rsidR="00033D0F">
        <w:rPr>
          <w:spacing w:val="-9"/>
        </w:rPr>
        <w:t xml:space="preserve"> </w:t>
      </w:r>
      <w:r w:rsidR="00033D0F">
        <w:t>to</w:t>
      </w:r>
      <w:r w:rsidR="00033D0F">
        <w:rPr>
          <w:spacing w:val="-8"/>
        </w:rPr>
        <w:t xml:space="preserve"> </w:t>
      </w:r>
      <w:r w:rsidR="00033D0F">
        <w:t>that</w:t>
      </w:r>
      <w:r w:rsidR="00033D0F">
        <w:rPr>
          <w:spacing w:val="-5"/>
        </w:rPr>
        <w:t xml:space="preserve"> </w:t>
      </w:r>
      <w:r w:rsidR="00033D0F">
        <w:t>effect</w:t>
      </w:r>
      <w:r w:rsidR="00033D0F">
        <w:rPr>
          <w:spacing w:val="-3"/>
        </w:rPr>
        <w:t xml:space="preserve"> </w:t>
      </w:r>
      <w:r w:rsidR="00033D0F">
        <w:t>[…]</w:t>
      </w:r>
      <w:r w:rsidR="00033D0F">
        <w:rPr>
          <w:spacing w:val="-12"/>
        </w:rPr>
        <w:t xml:space="preserve"> </w:t>
      </w:r>
      <w:r w:rsidR="00033D0F">
        <w:t>".</w:t>
      </w:r>
      <w:hyperlink w:anchor="_bookmark1455" w:history="1">
        <w:r w:rsidR="00033D0F">
          <w:rPr>
            <w:vertAlign w:val="superscript"/>
          </w:rPr>
          <w:t>1253</w:t>
        </w:r>
      </w:hyperlink>
      <w:r w:rsidR="00033D0F">
        <w:rPr>
          <w:spacing w:val="-9"/>
        </w:rPr>
        <w:t xml:space="preserve"> </w:t>
      </w:r>
      <w:r w:rsidR="00033D0F">
        <w:t>The</w:t>
      </w:r>
      <w:r w:rsidR="00033D0F">
        <w:rPr>
          <w:spacing w:val="-10"/>
        </w:rPr>
        <w:t xml:space="preserve"> </w:t>
      </w:r>
      <w:r w:rsidR="00033D0F">
        <w:t>panel</w:t>
      </w:r>
      <w:r w:rsidR="00033D0F">
        <w:rPr>
          <w:spacing w:val="-8"/>
        </w:rPr>
        <w:t xml:space="preserve"> </w:t>
      </w:r>
      <w:r w:rsidR="00033D0F">
        <w:t>in</w:t>
      </w:r>
      <w:r w:rsidR="00033D0F">
        <w:rPr>
          <w:spacing w:val="-11"/>
        </w:rPr>
        <w:t xml:space="preserve"> </w:t>
      </w:r>
      <w:r w:rsidR="00033D0F">
        <w:rPr>
          <w:i/>
        </w:rPr>
        <w:t>China</w:t>
      </w:r>
      <w:r w:rsidR="00033D0F">
        <w:rPr>
          <w:i/>
          <w:spacing w:val="-9"/>
        </w:rPr>
        <w:t xml:space="preserve"> </w:t>
      </w:r>
      <w:r w:rsidR="00033D0F">
        <w:rPr>
          <w:i/>
        </w:rPr>
        <w:t>–</w:t>
      </w:r>
      <w:r w:rsidR="00033D0F">
        <w:rPr>
          <w:i/>
          <w:spacing w:val="-10"/>
        </w:rPr>
        <w:t xml:space="preserve"> </w:t>
      </w:r>
      <w:r w:rsidR="00033D0F">
        <w:rPr>
          <w:i/>
        </w:rPr>
        <w:t xml:space="preserve">Broiler Products (Article 21.5 – US) </w:t>
      </w:r>
      <w:r w:rsidR="00033D0F">
        <w:t xml:space="preserve">provides strong counter-reasoning on this point. In Australia's view, this reasoning is more persuasive and should be preferred. In particular, the panel </w:t>
      </w:r>
      <w:r w:rsidR="00033D0F">
        <w:rPr>
          <w:spacing w:val="-2"/>
        </w:rPr>
        <w:t>stated:</w:t>
      </w:r>
    </w:p>
    <w:p w14:paraId="3834D485" w14:textId="77777777" w:rsidR="00BD462C" w:rsidRDefault="00BD462C">
      <w:pPr>
        <w:pStyle w:val="BodyText"/>
        <w:rPr>
          <w:sz w:val="20"/>
        </w:rPr>
      </w:pPr>
    </w:p>
    <w:p w14:paraId="5DC9D632" w14:textId="6AEC4DC1" w:rsidR="00BD462C" w:rsidRDefault="00AC5C65">
      <w:pPr>
        <w:pStyle w:val="BodyText"/>
        <w:rPr>
          <w:sz w:val="20"/>
        </w:rPr>
      </w:pPr>
      <w:r>
        <w:rPr>
          <w:noProof/>
        </w:rPr>
        <mc:AlternateContent>
          <mc:Choice Requires="wps">
            <w:drawing>
              <wp:anchor distT="0" distB="0" distL="0" distR="0" simplePos="0" relativeHeight="488321536" behindDoc="1" locked="0" layoutInCell="1" allowOverlap="1" wp14:anchorId="0F7B2B5B" wp14:editId="066FC9F8">
                <wp:simplePos x="0" y="0"/>
                <wp:positionH relativeFrom="page">
                  <wp:posOffset>812800</wp:posOffset>
                </wp:positionH>
                <wp:positionV relativeFrom="paragraph">
                  <wp:posOffset>239395</wp:posOffset>
                </wp:positionV>
                <wp:extent cx="1828800" cy="8890"/>
                <wp:effectExtent l="0" t="0" r="0" b="0"/>
                <wp:wrapTopAndBottom/>
                <wp:docPr id="1322" name="docshape5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1D9997" id="docshape591" o:spid="_x0000_s1026" alt="&quot;&quot;" style="position:absolute;margin-left:64pt;margin-top:18.85pt;width:2in;height:.7pt;z-index:-14994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" fillcolor="black" stroked="f">
                <w10:wrap type="topAndBottom" anchorx="page"/>
              </v:rect>
            </w:pict>
          </mc:Fallback>
        </mc:AlternateContent>
      </w:r>
    </w:p>
    <w:p w14:paraId="232B1AE0" w14:textId="4085DFED" w:rsidR="00BD462C" w:rsidRDefault="00BD462C">
      <w:pPr>
        <w:pStyle w:val="BodyText"/>
        <w:spacing w:before="8"/>
        <w:rPr>
          <w:sz w:val="10"/>
        </w:rPr>
      </w:pPr>
    </w:p>
    <w:p w14:paraId="47B2CDA1" w14:textId="77777777" w:rsidR="00BD462C" w:rsidRDefault="00033D0F">
      <w:pPr>
        <w:spacing w:before="112" w:line="218" w:lineRule="exact"/>
        <w:ind w:left="135"/>
        <w:jc w:val="both"/>
        <w:rPr>
          <w:sz w:val="18"/>
        </w:rPr>
      </w:pPr>
      <w:bookmarkStart w:id="1688" w:name="_bookmark1453"/>
      <w:bookmarkEnd w:id="1688"/>
      <w:r>
        <w:rPr>
          <w:position w:val="5"/>
          <w:sz w:val="12"/>
        </w:rPr>
        <w:t>1251</w:t>
      </w:r>
      <w:r>
        <w:rPr>
          <w:spacing w:val="15"/>
          <w:position w:val="5"/>
          <w:sz w:val="12"/>
        </w:rPr>
        <w:t xml:space="preserve"> </w:t>
      </w:r>
      <w:r>
        <w:rPr>
          <w:sz w:val="18"/>
        </w:rPr>
        <w:t>Panel</w:t>
      </w:r>
      <w:r>
        <w:rPr>
          <w:spacing w:val="-3"/>
          <w:sz w:val="18"/>
        </w:rPr>
        <w:t xml:space="preserve"> </w:t>
      </w:r>
      <w:r>
        <w:rPr>
          <w:sz w:val="18"/>
        </w:rPr>
        <w:t>Report,</w:t>
      </w:r>
      <w:r>
        <w:rPr>
          <w:spacing w:val="-2"/>
          <w:sz w:val="18"/>
        </w:rPr>
        <w:t xml:space="preserve"> </w:t>
      </w:r>
      <w:r>
        <w:rPr>
          <w:i/>
          <w:sz w:val="18"/>
        </w:rPr>
        <w:t>Korea</w:t>
      </w:r>
      <w:r>
        <w:rPr>
          <w:i/>
          <w:spacing w:val="-3"/>
          <w:sz w:val="18"/>
        </w:rPr>
        <w:t xml:space="preserve"> </w:t>
      </w:r>
      <w:r>
        <w:rPr>
          <w:i/>
          <w:sz w:val="18"/>
        </w:rPr>
        <w:t>–</w:t>
      </w:r>
      <w:r>
        <w:rPr>
          <w:i/>
          <w:spacing w:val="-3"/>
          <w:sz w:val="18"/>
        </w:rPr>
        <w:t xml:space="preserve"> </w:t>
      </w:r>
      <w:r>
        <w:rPr>
          <w:i/>
          <w:sz w:val="18"/>
        </w:rPr>
        <w:t>Certain</w:t>
      </w:r>
      <w:r>
        <w:rPr>
          <w:i/>
          <w:spacing w:val="-7"/>
          <w:sz w:val="18"/>
        </w:rPr>
        <w:t xml:space="preserve"> </w:t>
      </w:r>
      <w:r>
        <w:rPr>
          <w:i/>
          <w:sz w:val="18"/>
        </w:rPr>
        <w:t>Paper</w:t>
      </w:r>
      <w:r>
        <w:rPr>
          <w:i/>
          <w:spacing w:val="-4"/>
          <w:sz w:val="18"/>
        </w:rPr>
        <w:t xml:space="preserve"> </w:t>
      </w:r>
      <w:r>
        <w:rPr>
          <w:i/>
          <w:sz w:val="18"/>
        </w:rPr>
        <w:t>(Article</w:t>
      </w:r>
      <w:r>
        <w:rPr>
          <w:i/>
          <w:spacing w:val="-1"/>
          <w:sz w:val="18"/>
        </w:rPr>
        <w:t xml:space="preserve"> </w:t>
      </w:r>
      <w:r>
        <w:rPr>
          <w:i/>
          <w:sz w:val="18"/>
        </w:rPr>
        <w:t>21.5</w:t>
      </w:r>
      <w:r>
        <w:rPr>
          <w:i/>
          <w:spacing w:val="-1"/>
          <w:sz w:val="18"/>
        </w:rPr>
        <w:t xml:space="preserve"> </w:t>
      </w:r>
      <w:r>
        <w:rPr>
          <w:i/>
          <w:sz w:val="18"/>
        </w:rPr>
        <w:t>–</w:t>
      </w:r>
      <w:r>
        <w:rPr>
          <w:i/>
          <w:spacing w:val="-8"/>
          <w:sz w:val="18"/>
        </w:rPr>
        <w:t xml:space="preserve"> </w:t>
      </w:r>
      <w:r>
        <w:rPr>
          <w:i/>
          <w:sz w:val="18"/>
        </w:rPr>
        <w:t>Indonesia)</w:t>
      </w:r>
      <w:r>
        <w:rPr>
          <w:sz w:val="18"/>
        </w:rPr>
        <w:t>,</w:t>
      </w:r>
      <w:r>
        <w:rPr>
          <w:spacing w:val="-2"/>
          <w:sz w:val="18"/>
        </w:rPr>
        <w:t xml:space="preserve"> </w:t>
      </w:r>
      <w:r>
        <w:rPr>
          <w:sz w:val="18"/>
        </w:rPr>
        <w:t>para.</w:t>
      </w:r>
      <w:r>
        <w:rPr>
          <w:spacing w:val="2"/>
          <w:sz w:val="18"/>
        </w:rPr>
        <w:t xml:space="preserve"> </w:t>
      </w:r>
      <w:r>
        <w:rPr>
          <w:spacing w:val="-2"/>
          <w:sz w:val="18"/>
        </w:rPr>
        <w:t>6.92.</w:t>
      </w:r>
    </w:p>
    <w:p w14:paraId="3187738E" w14:textId="77777777" w:rsidR="00BD462C" w:rsidRDefault="00033D0F">
      <w:pPr>
        <w:spacing w:line="218" w:lineRule="exact"/>
        <w:ind w:left="135"/>
        <w:jc w:val="both"/>
        <w:rPr>
          <w:sz w:val="18"/>
        </w:rPr>
      </w:pPr>
      <w:bookmarkStart w:id="1689" w:name="_bookmark1454"/>
      <w:bookmarkEnd w:id="1689"/>
      <w:r>
        <w:rPr>
          <w:position w:val="5"/>
          <w:sz w:val="12"/>
        </w:rPr>
        <w:t>1252</w:t>
      </w:r>
      <w:r>
        <w:rPr>
          <w:spacing w:val="13"/>
          <w:position w:val="5"/>
          <w:sz w:val="12"/>
        </w:rPr>
        <w:t xml:space="preserve"> </w:t>
      </w:r>
      <w:r>
        <w:rPr>
          <w:sz w:val="18"/>
        </w:rPr>
        <w:t>China's</w:t>
      </w:r>
      <w:r>
        <w:rPr>
          <w:spacing w:val="-5"/>
          <w:sz w:val="18"/>
        </w:rPr>
        <w:t xml:space="preserve"> </w:t>
      </w:r>
      <w:r>
        <w:rPr>
          <w:sz w:val="18"/>
        </w:rPr>
        <w:t>first</w:t>
      </w:r>
      <w:r>
        <w:rPr>
          <w:spacing w:val="-4"/>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 xml:space="preserve">para. </w:t>
      </w:r>
      <w:r>
        <w:rPr>
          <w:spacing w:val="-2"/>
          <w:sz w:val="18"/>
        </w:rPr>
        <w:t>2446.</w:t>
      </w:r>
    </w:p>
    <w:p w14:paraId="3468CECD" w14:textId="77777777" w:rsidR="00BD462C" w:rsidRDefault="00033D0F">
      <w:pPr>
        <w:spacing w:before="1"/>
        <w:ind w:left="136" w:right="903" w:hanging="1"/>
        <w:jc w:val="both"/>
        <w:rPr>
          <w:sz w:val="18"/>
        </w:rPr>
      </w:pPr>
      <w:bookmarkStart w:id="1690" w:name="_bookmark1455"/>
      <w:bookmarkEnd w:id="1690"/>
      <w:r>
        <w:rPr>
          <w:position w:val="5"/>
          <w:sz w:val="12"/>
        </w:rPr>
        <w:t>1253</w:t>
      </w:r>
      <w:r>
        <w:rPr>
          <w:spacing w:val="18"/>
          <w:position w:val="5"/>
          <w:sz w:val="12"/>
        </w:rPr>
        <w:t xml:space="preserve"> </w:t>
      </w:r>
      <w:r>
        <w:rPr>
          <w:sz w:val="18"/>
        </w:rPr>
        <w:t>Panel</w:t>
      </w:r>
      <w:r>
        <w:rPr>
          <w:spacing w:val="-6"/>
          <w:sz w:val="18"/>
        </w:rPr>
        <w:t xml:space="preserve"> </w:t>
      </w:r>
      <w:r>
        <w:rPr>
          <w:sz w:val="18"/>
        </w:rPr>
        <w:t>Report,</w:t>
      </w:r>
      <w:r>
        <w:rPr>
          <w:spacing w:val="-5"/>
          <w:sz w:val="18"/>
        </w:rPr>
        <w:t xml:space="preserve"> </w:t>
      </w:r>
      <w:r>
        <w:rPr>
          <w:i/>
          <w:sz w:val="18"/>
        </w:rPr>
        <w:t>Korea –</w:t>
      </w:r>
      <w:r>
        <w:rPr>
          <w:i/>
          <w:spacing w:val="-2"/>
          <w:sz w:val="18"/>
        </w:rPr>
        <w:t xml:space="preserve"> </w:t>
      </w:r>
      <w:r>
        <w:rPr>
          <w:i/>
          <w:sz w:val="18"/>
        </w:rPr>
        <w:t>Certain</w:t>
      </w:r>
      <w:r>
        <w:rPr>
          <w:i/>
          <w:spacing w:val="-1"/>
          <w:sz w:val="18"/>
        </w:rPr>
        <w:t xml:space="preserve"> </w:t>
      </w:r>
      <w:r>
        <w:rPr>
          <w:i/>
          <w:sz w:val="18"/>
        </w:rPr>
        <w:t>Paper</w:t>
      </w:r>
      <w:r>
        <w:rPr>
          <w:i/>
          <w:spacing w:val="-3"/>
          <w:sz w:val="18"/>
        </w:rPr>
        <w:t xml:space="preserve"> </w:t>
      </w:r>
      <w:r>
        <w:rPr>
          <w:i/>
          <w:sz w:val="18"/>
        </w:rPr>
        <w:t>(Article</w:t>
      </w:r>
      <w:r>
        <w:rPr>
          <w:i/>
          <w:spacing w:val="-3"/>
          <w:sz w:val="18"/>
        </w:rPr>
        <w:t xml:space="preserve"> </w:t>
      </w:r>
      <w:r>
        <w:rPr>
          <w:i/>
          <w:sz w:val="18"/>
        </w:rPr>
        <w:t>21.5</w:t>
      </w:r>
      <w:r>
        <w:rPr>
          <w:i/>
          <w:spacing w:val="-4"/>
          <w:sz w:val="18"/>
        </w:rPr>
        <w:t xml:space="preserve"> </w:t>
      </w:r>
      <w:r>
        <w:rPr>
          <w:i/>
          <w:sz w:val="18"/>
        </w:rPr>
        <w:t>–</w:t>
      </w:r>
      <w:r>
        <w:rPr>
          <w:i/>
          <w:spacing w:val="-7"/>
          <w:sz w:val="18"/>
        </w:rPr>
        <w:t xml:space="preserve"> </w:t>
      </w:r>
      <w:r>
        <w:rPr>
          <w:i/>
          <w:sz w:val="18"/>
        </w:rPr>
        <w:t xml:space="preserve">Indonesia), </w:t>
      </w:r>
      <w:r>
        <w:rPr>
          <w:sz w:val="18"/>
        </w:rPr>
        <w:t>para 6.87.</w:t>
      </w:r>
      <w:r>
        <w:rPr>
          <w:spacing w:val="-1"/>
          <w:sz w:val="18"/>
        </w:rPr>
        <w:t xml:space="preserve"> </w:t>
      </w:r>
      <w:r>
        <w:rPr>
          <w:sz w:val="18"/>
        </w:rPr>
        <w:t>At</w:t>
      </w:r>
      <w:r>
        <w:rPr>
          <w:spacing w:val="-1"/>
          <w:sz w:val="18"/>
        </w:rPr>
        <w:t xml:space="preserve"> </w:t>
      </w:r>
      <w:r>
        <w:rPr>
          <w:sz w:val="18"/>
        </w:rPr>
        <w:t>other</w:t>
      </w:r>
      <w:r>
        <w:rPr>
          <w:spacing w:val="-4"/>
          <w:sz w:val="18"/>
        </w:rPr>
        <w:t xml:space="preserve"> </w:t>
      </w:r>
      <w:r>
        <w:rPr>
          <w:sz w:val="18"/>
        </w:rPr>
        <w:t>points</w:t>
      </w:r>
      <w:r>
        <w:rPr>
          <w:spacing w:val="-2"/>
          <w:sz w:val="18"/>
        </w:rPr>
        <w:t xml:space="preserve"> </w:t>
      </w:r>
      <w:r>
        <w:rPr>
          <w:sz w:val="18"/>
        </w:rPr>
        <w:t>in</w:t>
      </w:r>
      <w:r>
        <w:rPr>
          <w:spacing w:val="-3"/>
          <w:sz w:val="18"/>
        </w:rPr>
        <w:t xml:space="preserve"> </w:t>
      </w:r>
      <w:r>
        <w:rPr>
          <w:sz w:val="18"/>
        </w:rPr>
        <w:t>China's</w:t>
      </w:r>
      <w:r>
        <w:rPr>
          <w:spacing w:val="-2"/>
          <w:sz w:val="18"/>
        </w:rPr>
        <w:t xml:space="preserve"> </w:t>
      </w:r>
      <w:r>
        <w:rPr>
          <w:sz w:val="18"/>
        </w:rPr>
        <w:t>Article</w:t>
      </w:r>
      <w:r>
        <w:rPr>
          <w:spacing w:val="-2"/>
          <w:sz w:val="18"/>
        </w:rPr>
        <w:t xml:space="preserve"> </w:t>
      </w:r>
      <w:r>
        <w:rPr>
          <w:sz w:val="18"/>
        </w:rPr>
        <w:t>6.4</w:t>
      </w:r>
      <w:r>
        <w:rPr>
          <w:spacing w:val="-4"/>
          <w:sz w:val="18"/>
        </w:rPr>
        <w:t xml:space="preserve"> </w:t>
      </w:r>
      <w:r>
        <w:rPr>
          <w:sz w:val="18"/>
        </w:rPr>
        <w:t>arguments on</w:t>
      </w:r>
      <w:r>
        <w:rPr>
          <w:spacing w:val="-3"/>
          <w:sz w:val="18"/>
        </w:rPr>
        <w:t xml:space="preserve"> </w:t>
      </w:r>
      <w:r>
        <w:rPr>
          <w:sz w:val="18"/>
        </w:rPr>
        <w:t>this</w:t>
      </w:r>
      <w:r>
        <w:rPr>
          <w:spacing w:val="-7"/>
          <w:sz w:val="18"/>
        </w:rPr>
        <w:t xml:space="preserve"> </w:t>
      </w:r>
      <w:r>
        <w:rPr>
          <w:sz w:val="18"/>
        </w:rPr>
        <w:t>point</w:t>
      </w:r>
      <w:r>
        <w:rPr>
          <w:spacing w:val="-6"/>
          <w:sz w:val="18"/>
        </w:rPr>
        <w:t xml:space="preserve"> </w:t>
      </w:r>
      <w:r>
        <w:rPr>
          <w:sz w:val="18"/>
        </w:rPr>
        <w:t>in</w:t>
      </w:r>
      <w:r>
        <w:rPr>
          <w:spacing w:val="-3"/>
          <w:sz w:val="18"/>
        </w:rPr>
        <w:t xml:space="preserve"> </w:t>
      </w:r>
      <w:r>
        <w:rPr>
          <w:sz w:val="18"/>
        </w:rPr>
        <w:t>its</w:t>
      </w:r>
      <w:r>
        <w:rPr>
          <w:spacing w:val="-7"/>
          <w:sz w:val="18"/>
        </w:rPr>
        <w:t xml:space="preserve"> </w:t>
      </w:r>
      <w:r>
        <w:rPr>
          <w:sz w:val="18"/>
        </w:rPr>
        <w:t>first</w:t>
      </w:r>
      <w:r>
        <w:rPr>
          <w:spacing w:val="-1"/>
          <w:sz w:val="18"/>
        </w:rPr>
        <w:t xml:space="preserve"> </w:t>
      </w:r>
      <w:r>
        <w:rPr>
          <w:sz w:val="18"/>
        </w:rPr>
        <w:t>written</w:t>
      </w:r>
      <w:r>
        <w:rPr>
          <w:spacing w:val="-7"/>
          <w:sz w:val="18"/>
        </w:rPr>
        <w:t xml:space="preserve"> </w:t>
      </w:r>
      <w:r>
        <w:rPr>
          <w:sz w:val="18"/>
        </w:rPr>
        <w:t>submission, China</w:t>
      </w:r>
      <w:r>
        <w:rPr>
          <w:spacing w:val="-9"/>
          <w:sz w:val="18"/>
        </w:rPr>
        <w:t xml:space="preserve"> </w:t>
      </w:r>
      <w:r>
        <w:rPr>
          <w:sz w:val="18"/>
        </w:rPr>
        <w:t>also</w:t>
      </w:r>
      <w:r>
        <w:rPr>
          <w:spacing w:val="-3"/>
          <w:sz w:val="18"/>
        </w:rPr>
        <w:t xml:space="preserve"> </w:t>
      </w:r>
      <w:r>
        <w:rPr>
          <w:sz w:val="18"/>
        </w:rPr>
        <w:t>refers</w:t>
      </w:r>
      <w:r>
        <w:rPr>
          <w:spacing w:val="-7"/>
          <w:sz w:val="18"/>
        </w:rPr>
        <w:t xml:space="preserve"> </w:t>
      </w:r>
      <w:r>
        <w:rPr>
          <w:sz w:val="18"/>
        </w:rPr>
        <w:t>to</w:t>
      </w:r>
      <w:r>
        <w:rPr>
          <w:spacing w:val="-3"/>
          <w:sz w:val="18"/>
        </w:rPr>
        <w:t xml:space="preserve"> </w:t>
      </w:r>
      <w:r>
        <w:rPr>
          <w:sz w:val="18"/>
        </w:rPr>
        <w:t>reasoning</w:t>
      </w:r>
      <w:r>
        <w:rPr>
          <w:spacing w:val="-2"/>
          <w:sz w:val="18"/>
        </w:rPr>
        <w:t xml:space="preserve"> </w:t>
      </w:r>
      <w:r>
        <w:rPr>
          <w:sz w:val="18"/>
        </w:rPr>
        <w:t>in</w:t>
      </w:r>
      <w:r>
        <w:rPr>
          <w:spacing w:val="-8"/>
          <w:sz w:val="18"/>
        </w:rPr>
        <w:t xml:space="preserve"> </w:t>
      </w:r>
      <w:r>
        <w:rPr>
          <w:sz w:val="18"/>
        </w:rPr>
        <w:t>the</w:t>
      </w:r>
      <w:r>
        <w:rPr>
          <w:spacing w:val="-2"/>
          <w:sz w:val="18"/>
        </w:rPr>
        <w:t xml:space="preserve"> </w:t>
      </w:r>
      <w:r>
        <w:rPr>
          <w:sz w:val="18"/>
        </w:rPr>
        <w:t>panel</w:t>
      </w:r>
      <w:r>
        <w:rPr>
          <w:spacing w:val="-2"/>
          <w:sz w:val="18"/>
        </w:rPr>
        <w:t xml:space="preserve"> </w:t>
      </w:r>
      <w:r>
        <w:rPr>
          <w:sz w:val="18"/>
        </w:rPr>
        <w:t>reports</w:t>
      </w:r>
      <w:r>
        <w:rPr>
          <w:spacing w:val="-2"/>
          <w:sz w:val="18"/>
        </w:rPr>
        <w:t xml:space="preserve"> </w:t>
      </w:r>
      <w:r>
        <w:rPr>
          <w:sz w:val="18"/>
        </w:rPr>
        <w:t>of</w:t>
      </w:r>
      <w:r>
        <w:rPr>
          <w:spacing w:val="-5"/>
          <w:sz w:val="18"/>
        </w:rPr>
        <w:t xml:space="preserve"> </w:t>
      </w:r>
      <w:r>
        <w:rPr>
          <w:i/>
          <w:sz w:val="18"/>
        </w:rPr>
        <w:t>EC</w:t>
      </w:r>
      <w:r>
        <w:rPr>
          <w:i/>
          <w:spacing w:val="-2"/>
          <w:sz w:val="18"/>
        </w:rPr>
        <w:t xml:space="preserve"> </w:t>
      </w:r>
      <w:r>
        <w:rPr>
          <w:i/>
          <w:sz w:val="18"/>
        </w:rPr>
        <w:t>–</w:t>
      </w:r>
      <w:r>
        <w:rPr>
          <w:i/>
          <w:spacing w:val="-2"/>
          <w:sz w:val="18"/>
        </w:rPr>
        <w:t xml:space="preserve"> </w:t>
      </w:r>
      <w:r>
        <w:rPr>
          <w:i/>
          <w:sz w:val="18"/>
        </w:rPr>
        <w:t>Fasteners</w:t>
      </w:r>
      <w:r>
        <w:rPr>
          <w:i/>
          <w:spacing w:val="-7"/>
          <w:sz w:val="18"/>
        </w:rPr>
        <w:t xml:space="preserve"> </w:t>
      </w:r>
      <w:r>
        <w:rPr>
          <w:i/>
          <w:sz w:val="18"/>
        </w:rPr>
        <w:t>(China</w:t>
      </w:r>
      <w:r>
        <w:rPr>
          <w:sz w:val="18"/>
        </w:rPr>
        <w:t>)</w:t>
      </w:r>
      <w:r>
        <w:rPr>
          <w:i/>
          <w:sz w:val="18"/>
        </w:rPr>
        <w:t xml:space="preserve">, </w:t>
      </w:r>
      <w:r>
        <w:rPr>
          <w:sz w:val="18"/>
        </w:rPr>
        <w:t>para. 7.480; and</w:t>
      </w:r>
      <w:r>
        <w:rPr>
          <w:spacing w:val="-3"/>
          <w:sz w:val="18"/>
        </w:rPr>
        <w:t xml:space="preserve"> </w:t>
      </w:r>
      <w:r>
        <w:rPr>
          <w:i/>
          <w:sz w:val="18"/>
        </w:rPr>
        <w:t>EU</w:t>
      </w:r>
      <w:r>
        <w:rPr>
          <w:i/>
          <w:spacing w:val="-5"/>
          <w:sz w:val="18"/>
        </w:rPr>
        <w:t xml:space="preserve"> </w:t>
      </w:r>
      <w:r>
        <w:rPr>
          <w:i/>
          <w:sz w:val="18"/>
        </w:rPr>
        <w:t>Footwear</w:t>
      </w:r>
      <w:r>
        <w:rPr>
          <w:i/>
          <w:spacing w:val="-3"/>
          <w:sz w:val="18"/>
        </w:rPr>
        <w:t xml:space="preserve"> </w:t>
      </w:r>
      <w:r>
        <w:rPr>
          <w:i/>
          <w:sz w:val="18"/>
        </w:rPr>
        <w:t>(China</w:t>
      </w:r>
      <w:r>
        <w:rPr>
          <w:sz w:val="18"/>
        </w:rPr>
        <w:t>)</w:t>
      </w:r>
      <w:r>
        <w:rPr>
          <w:i/>
          <w:sz w:val="18"/>
        </w:rPr>
        <w:t xml:space="preserve">, </w:t>
      </w:r>
      <w:r>
        <w:rPr>
          <w:sz w:val="18"/>
        </w:rPr>
        <w:t>para.</w:t>
      </w:r>
      <w:r>
        <w:rPr>
          <w:spacing w:val="-1"/>
          <w:sz w:val="18"/>
        </w:rPr>
        <w:t xml:space="preserve"> </w:t>
      </w:r>
      <w:r>
        <w:rPr>
          <w:sz w:val="18"/>
        </w:rPr>
        <w:t>7.603.</w:t>
      </w:r>
      <w:r>
        <w:rPr>
          <w:spacing w:val="-1"/>
          <w:sz w:val="18"/>
        </w:rPr>
        <w:t xml:space="preserve"> </w:t>
      </w:r>
      <w:r>
        <w:rPr>
          <w:sz w:val="18"/>
        </w:rPr>
        <w:t>Both</w:t>
      </w:r>
      <w:r>
        <w:rPr>
          <w:spacing w:val="-3"/>
          <w:sz w:val="18"/>
        </w:rPr>
        <w:t xml:space="preserve"> </w:t>
      </w:r>
      <w:r>
        <w:rPr>
          <w:sz w:val="18"/>
        </w:rPr>
        <w:t>of</w:t>
      </w:r>
      <w:r>
        <w:rPr>
          <w:spacing w:val="-6"/>
          <w:sz w:val="18"/>
        </w:rPr>
        <w:t xml:space="preserve"> </w:t>
      </w:r>
      <w:r>
        <w:rPr>
          <w:sz w:val="18"/>
        </w:rPr>
        <w:t>these</w:t>
      </w:r>
      <w:r>
        <w:rPr>
          <w:spacing w:val="-2"/>
          <w:sz w:val="18"/>
        </w:rPr>
        <w:t xml:space="preserve"> </w:t>
      </w:r>
      <w:r>
        <w:rPr>
          <w:sz w:val="18"/>
        </w:rPr>
        <w:t>panel</w:t>
      </w:r>
      <w:r>
        <w:rPr>
          <w:spacing w:val="-1"/>
          <w:sz w:val="18"/>
        </w:rPr>
        <w:t xml:space="preserve"> </w:t>
      </w:r>
      <w:r>
        <w:rPr>
          <w:sz w:val="18"/>
        </w:rPr>
        <w:t>reports relied</w:t>
      </w:r>
      <w:r>
        <w:rPr>
          <w:spacing w:val="-3"/>
          <w:sz w:val="18"/>
        </w:rPr>
        <w:t xml:space="preserve"> </w:t>
      </w:r>
      <w:r>
        <w:rPr>
          <w:sz w:val="18"/>
        </w:rPr>
        <w:t>on</w:t>
      </w:r>
      <w:r>
        <w:rPr>
          <w:spacing w:val="-3"/>
          <w:sz w:val="18"/>
        </w:rPr>
        <w:t xml:space="preserve"> </w:t>
      </w:r>
      <w:r>
        <w:rPr>
          <w:sz w:val="18"/>
        </w:rPr>
        <w:t>the</w:t>
      </w:r>
      <w:r>
        <w:rPr>
          <w:spacing w:val="-2"/>
          <w:sz w:val="18"/>
        </w:rPr>
        <w:t xml:space="preserve"> </w:t>
      </w:r>
      <w:r>
        <w:rPr>
          <w:sz w:val="18"/>
        </w:rPr>
        <w:t>reasoning</w:t>
      </w:r>
      <w:r>
        <w:rPr>
          <w:spacing w:val="-2"/>
          <w:sz w:val="18"/>
        </w:rPr>
        <w:t xml:space="preserve"> </w:t>
      </w:r>
      <w:r>
        <w:rPr>
          <w:sz w:val="18"/>
        </w:rPr>
        <w:t>from</w:t>
      </w:r>
      <w:r>
        <w:rPr>
          <w:spacing w:val="-9"/>
          <w:sz w:val="18"/>
        </w:rPr>
        <w:t xml:space="preserve"> </w:t>
      </w:r>
      <w:r>
        <w:rPr>
          <w:i/>
          <w:sz w:val="18"/>
        </w:rPr>
        <w:t>Korea</w:t>
      </w:r>
      <w:r>
        <w:rPr>
          <w:i/>
          <w:spacing w:val="-1"/>
          <w:sz w:val="18"/>
        </w:rPr>
        <w:t xml:space="preserve"> </w:t>
      </w:r>
      <w:r>
        <w:rPr>
          <w:i/>
          <w:sz w:val="18"/>
        </w:rPr>
        <w:t>–</w:t>
      </w:r>
      <w:r>
        <w:rPr>
          <w:i/>
          <w:spacing w:val="-7"/>
          <w:sz w:val="18"/>
        </w:rPr>
        <w:t xml:space="preserve"> </w:t>
      </w:r>
      <w:r>
        <w:rPr>
          <w:i/>
          <w:sz w:val="18"/>
        </w:rPr>
        <w:t>Certain</w:t>
      </w:r>
      <w:r>
        <w:rPr>
          <w:i/>
          <w:spacing w:val="-1"/>
          <w:sz w:val="18"/>
        </w:rPr>
        <w:t xml:space="preserve"> </w:t>
      </w:r>
      <w:r>
        <w:rPr>
          <w:i/>
          <w:sz w:val="18"/>
        </w:rPr>
        <w:t xml:space="preserve">Paper (Article 21.5 – Indonesia), </w:t>
      </w:r>
      <w:r>
        <w:rPr>
          <w:sz w:val="18"/>
        </w:rPr>
        <w:t>and the panels in those cases add little to no reasoning for relying on this approach.</w:t>
      </w:r>
    </w:p>
    <w:p w14:paraId="33D25B80" w14:textId="77777777" w:rsidR="00BD462C" w:rsidRDefault="00BD462C">
      <w:pPr>
        <w:jc w:val="both"/>
        <w:rPr>
          <w:sz w:val="18"/>
        </w:rPr>
        <w:sectPr w:rsidR="00BD462C">
          <w:pgSz w:w="11910" w:h="16840"/>
          <w:pgMar w:top="860" w:right="500" w:bottom="780" w:left="1280" w:header="566" w:footer="590" w:gutter="0"/>
          <w:cols w:space="720"/>
        </w:sectPr>
      </w:pPr>
    </w:p>
    <w:p w14:paraId="280D0CDA"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17B2C863"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40BE327D"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5BA3CBE9" w14:textId="77777777" w:rsidR="00BD462C" w:rsidRDefault="00033D0F">
      <w:pPr>
        <w:pStyle w:val="ListParagraph"/>
        <w:numPr>
          <w:ilvl w:val="0"/>
          <w:numId w:val="17"/>
        </w:numPr>
        <w:tabs>
          <w:tab w:val="left" w:pos="1228"/>
        </w:tabs>
        <w:spacing w:before="102" w:line="276" w:lineRule="auto"/>
        <w:ind w:right="913" w:firstLine="0"/>
        <w:jc w:val="both"/>
      </w:pPr>
      <w:r>
        <w:t>he</w:t>
      </w:r>
      <w:r>
        <w:rPr>
          <w:spacing w:val="-7"/>
        </w:rPr>
        <w:t xml:space="preserve"> </w:t>
      </w:r>
      <w:r>
        <w:t>absence</w:t>
      </w:r>
      <w:r>
        <w:rPr>
          <w:spacing w:val="-7"/>
        </w:rPr>
        <w:t xml:space="preserve"> </w:t>
      </w:r>
      <w:r>
        <w:t>of</w:t>
      </w:r>
      <w:r>
        <w:rPr>
          <w:spacing w:val="-8"/>
        </w:rPr>
        <w:t xml:space="preserve"> </w:t>
      </w:r>
      <w:r>
        <w:t>a</w:t>
      </w:r>
      <w:r>
        <w:rPr>
          <w:spacing w:val="-8"/>
        </w:rPr>
        <w:t xml:space="preserve"> </w:t>
      </w:r>
      <w:r>
        <w:t>request</w:t>
      </w:r>
      <w:r>
        <w:rPr>
          <w:spacing w:val="-10"/>
        </w:rPr>
        <w:t xml:space="preserve"> </w:t>
      </w:r>
      <w:r>
        <w:t>by</w:t>
      </w:r>
      <w:r>
        <w:rPr>
          <w:spacing w:val="-7"/>
        </w:rPr>
        <w:t xml:space="preserve"> </w:t>
      </w:r>
      <w:r>
        <w:t>an</w:t>
      </w:r>
      <w:r>
        <w:rPr>
          <w:spacing w:val="-9"/>
        </w:rPr>
        <w:t xml:space="preserve"> </w:t>
      </w:r>
      <w:r>
        <w:t>interested</w:t>
      </w:r>
      <w:r>
        <w:rPr>
          <w:spacing w:val="-9"/>
        </w:rPr>
        <w:t xml:space="preserve"> </w:t>
      </w:r>
      <w:r>
        <w:t>party</w:t>
      </w:r>
      <w:r>
        <w:rPr>
          <w:spacing w:val="-7"/>
        </w:rPr>
        <w:t xml:space="preserve"> </w:t>
      </w:r>
      <w:r>
        <w:t>in</w:t>
      </w:r>
      <w:r>
        <w:rPr>
          <w:spacing w:val="-9"/>
        </w:rPr>
        <w:t xml:space="preserve"> </w:t>
      </w:r>
      <w:r>
        <w:t>itself</w:t>
      </w:r>
      <w:r>
        <w:rPr>
          <w:spacing w:val="-8"/>
        </w:rPr>
        <w:t xml:space="preserve"> </w:t>
      </w:r>
      <w:r>
        <w:t>does</w:t>
      </w:r>
      <w:r>
        <w:rPr>
          <w:spacing w:val="-8"/>
        </w:rPr>
        <w:t xml:space="preserve"> </w:t>
      </w:r>
      <w:r>
        <w:t>not,</w:t>
      </w:r>
      <w:r>
        <w:rPr>
          <w:spacing w:val="-5"/>
        </w:rPr>
        <w:t xml:space="preserve"> </w:t>
      </w:r>
      <w:r>
        <w:t>as</w:t>
      </w:r>
      <w:r>
        <w:rPr>
          <w:spacing w:val="-8"/>
        </w:rPr>
        <w:t xml:space="preserve"> </w:t>
      </w:r>
      <w:r>
        <w:t>a</w:t>
      </w:r>
      <w:r>
        <w:rPr>
          <w:spacing w:val="-8"/>
        </w:rPr>
        <w:t xml:space="preserve"> </w:t>
      </w:r>
      <w:r>
        <w:t>matter</w:t>
      </w:r>
      <w:r>
        <w:rPr>
          <w:spacing w:val="-8"/>
        </w:rPr>
        <w:t xml:space="preserve"> </w:t>
      </w:r>
      <w:r>
        <w:t>of</w:t>
      </w:r>
      <w:r>
        <w:rPr>
          <w:spacing w:val="-8"/>
        </w:rPr>
        <w:t xml:space="preserve"> </w:t>
      </w:r>
      <w:r>
        <w:t>law</w:t>
      </w:r>
      <w:r>
        <w:rPr>
          <w:spacing w:val="-7"/>
        </w:rPr>
        <w:t xml:space="preserve"> </w:t>
      </w:r>
      <w:r>
        <w:t>or</w:t>
      </w:r>
      <w:r>
        <w:rPr>
          <w:spacing w:val="-8"/>
        </w:rPr>
        <w:t xml:space="preserve"> </w:t>
      </w:r>
      <w:r>
        <w:t>fact, mean that an investigating authority has satisfied its obligation to provide timely opportunities to see information under Articles 6.4 and 12.3. Viewed in context, the quotation</w:t>
      </w:r>
      <w:r>
        <w:rPr>
          <w:spacing w:val="-3"/>
        </w:rPr>
        <w:t xml:space="preserve"> </w:t>
      </w:r>
      <w:r>
        <w:t>from</w:t>
      </w:r>
      <w:r>
        <w:rPr>
          <w:spacing w:val="-6"/>
        </w:rPr>
        <w:t xml:space="preserve"> </w:t>
      </w:r>
      <w:r>
        <w:rPr>
          <w:i/>
        </w:rPr>
        <w:t>EC</w:t>
      </w:r>
      <w:r>
        <w:rPr>
          <w:i/>
          <w:spacing w:val="-7"/>
        </w:rPr>
        <w:t xml:space="preserve"> </w:t>
      </w:r>
      <w:r>
        <w:rPr>
          <w:i/>
        </w:rPr>
        <w:t>–</w:t>
      </w:r>
      <w:r>
        <w:rPr>
          <w:i/>
          <w:spacing w:val="-2"/>
        </w:rPr>
        <w:t xml:space="preserve"> </w:t>
      </w:r>
      <w:r>
        <w:rPr>
          <w:i/>
        </w:rPr>
        <w:t>Fasteners</w:t>
      </w:r>
      <w:r>
        <w:rPr>
          <w:i/>
          <w:spacing w:val="-6"/>
        </w:rPr>
        <w:t xml:space="preserve"> </w:t>
      </w:r>
      <w:r>
        <w:rPr>
          <w:i/>
        </w:rPr>
        <w:t>(China)</w:t>
      </w:r>
      <w:r>
        <w:rPr>
          <w:i/>
          <w:spacing w:val="-7"/>
        </w:rPr>
        <w:t xml:space="preserve"> </w:t>
      </w:r>
      <w:r>
        <w:t>relied</w:t>
      </w:r>
      <w:r>
        <w:rPr>
          <w:spacing w:val="-8"/>
        </w:rPr>
        <w:t xml:space="preserve"> </w:t>
      </w:r>
      <w:r>
        <w:t>on</w:t>
      </w:r>
      <w:r>
        <w:rPr>
          <w:spacing w:val="-8"/>
        </w:rPr>
        <w:t xml:space="preserve"> </w:t>
      </w:r>
      <w:r>
        <w:t>by</w:t>
      </w:r>
      <w:r>
        <w:rPr>
          <w:spacing w:val="-1"/>
        </w:rPr>
        <w:t xml:space="preserve"> </w:t>
      </w:r>
      <w:r>
        <w:t>China</w:t>
      </w:r>
      <w:r>
        <w:rPr>
          <w:spacing w:val="-7"/>
        </w:rPr>
        <w:t xml:space="preserve"> </w:t>
      </w:r>
      <w:r>
        <w:t>does</w:t>
      </w:r>
      <w:r>
        <w:rPr>
          <w:spacing w:val="-2"/>
        </w:rPr>
        <w:t xml:space="preserve"> </w:t>
      </w:r>
      <w:r>
        <w:t>not</w:t>
      </w:r>
      <w:r>
        <w:rPr>
          <w:spacing w:val="-4"/>
        </w:rPr>
        <w:t xml:space="preserve"> </w:t>
      </w:r>
      <w:r>
        <w:t>support</w:t>
      </w:r>
      <w:r>
        <w:rPr>
          <w:spacing w:val="-4"/>
        </w:rPr>
        <w:t xml:space="preserve"> </w:t>
      </w:r>
      <w:r>
        <w:t>its</w:t>
      </w:r>
      <w:r>
        <w:rPr>
          <w:spacing w:val="-7"/>
        </w:rPr>
        <w:t xml:space="preserve"> </w:t>
      </w:r>
      <w:r>
        <w:t>position</w:t>
      </w:r>
      <w:r>
        <w:rPr>
          <w:spacing w:val="-3"/>
        </w:rPr>
        <w:t xml:space="preserve"> </w:t>
      </w:r>
      <w:r>
        <w:t xml:space="preserve">to the contrary. The panel in that case had already observed that Article 6.4 did not require an investigating authority to "actively disclose" </w:t>
      </w:r>
      <w:proofErr w:type="gramStart"/>
      <w:r>
        <w:t>information, and</w:t>
      </w:r>
      <w:proofErr w:type="gramEnd"/>
      <w:r>
        <w:t xml:space="preserve"> was addressing China's argument that "the investigating authorities were under the obligation to provide information</w:t>
      </w:r>
      <w:r>
        <w:rPr>
          <w:spacing w:val="-12"/>
        </w:rPr>
        <w:t xml:space="preserve"> </w:t>
      </w:r>
      <w:r>
        <w:t>even</w:t>
      </w:r>
      <w:r>
        <w:rPr>
          <w:spacing w:val="-13"/>
        </w:rPr>
        <w:t xml:space="preserve"> </w:t>
      </w:r>
      <w:r>
        <w:t>in</w:t>
      </w:r>
      <w:r>
        <w:rPr>
          <w:spacing w:val="-9"/>
        </w:rPr>
        <w:t xml:space="preserve"> </w:t>
      </w:r>
      <w:r>
        <w:t>the</w:t>
      </w:r>
      <w:r>
        <w:rPr>
          <w:spacing w:val="-8"/>
        </w:rPr>
        <w:t xml:space="preserve"> </w:t>
      </w:r>
      <w:r>
        <w:t>absence</w:t>
      </w:r>
      <w:r>
        <w:rPr>
          <w:spacing w:val="-8"/>
        </w:rPr>
        <w:t xml:space="preserve"> </w:t>
      </w:r>
      <w:r>
        <w:t>of</w:t>
      </w:r>
      <w:r>
        <w:rPr>
          <w:spacing w:val="-9"/>
        </w:rPr>
        <w:t xml:space="preserve"> </w:t>
      </w:r>
      <w:r>
        <w:t>a</w:t>
      </w:r>
      <w:r>
        <w:rPr>
          <w:spacing w:val="-9"/>
        </w:rPr>
        <w:t xml:space="preserve"> </w:t>
      </w:r>
      <w:r>
        <w:t>request.</w:t>
      </w:r>
      <w:r>
        <w:rPr>
          <w:spacing w:val="-7"/>
        </w:rPr>
        <w:t xml:space="preserve"> </w:t>
      </w:r>
      <w:r>
        <w:t>The</w:t>
      </w:r>
      <w:r>
        <w:rPr>
          <w:spacing w:val="-8"/>
        </w:rPr>
        <w:t xml:space="preserve"> </w:t>
      </w:r>
      <w:r>
        <w:t>panel</w:t>
      </w:r>
      <w:r>
        <w:rPr>
          <w:spacing w:val="-7"/>
        </w:rPr>
        <w:t xml:space="preserve"> </w:t>
      </w:r>
      <w:r>
        <w:t>rejected</w:t>
      </w:r>
      <w:r>
        <w:rPr>
          <w:spacing w:val="-10"/>
        </w:rPr>
        <w:t xml:space="preserve"> </w:t>
      </w:r>
      <w:r>
        <w:t>the</w:t>
      </w:r>
      <w:r>
        <w:rPr>
          <w:spacing w:val="-8"/>
        </w:rPr>
        <w:t xml:space="preserve"> </w:t>
      </w:r>
      <w:r>
        <w:t>view</w:t>
      </w:r>
      <w:r>
        <w:rPr>
          <w:spacing w:val="-8"/>
        </w:rPr>
        <w:t xml:space="preserve"> </w:t>
      </w:r>
      <w:r>
        <w:t>that</w:t>
      </w:r>
      <w:r>
        <w:rPr>
          <w:spacing w:val="-11"/>
        </w:rPr>
        <w:t xml:space="preserve"> </w:t>
      </w:r>
      <w:r>
        <w:t>there</w:t>
      </w:r>
      <w:r>
        <w:rPr>
          <w:spacing w:val="-8"/>
        </w:rPr>
        <w:t xml:space="preserve"> </w:t>
      </w:r>
      <w:r>
        <w:t>was</w:t>
      </w:r>
      <w:r>
        <w:rPr>
          <w:spacing w:val="-9"/>
        </w:rPr>
        <w:t xml:space="preserve"> </w:t>
      </w:r>
      <w:r>
        <w:t>any obligation to actively disclose information under Article 6.4. In this context, the statement that a "violation of Article 6.4 would normally require a showing that the investigating authorities</w:t>
      </w:r>
      <w:r>
        <w:rPr>
          <w:spacing w:val="-3"/>
        </w:rPr>
        <w:t xml:space="preserve"> </w:t>
      </w:r>
      <w:r>
        <w:t>denied</w:t>
      </w:r>
      <w:r>
        <w:rPr>
          <w:spacing w:val="-4"/>
        </w:rPr>
        <w:t xml:space="preserve"> </w:t>
      </w:r>
      <w:r>
        <w:t>an</w:t>
      </w:r>
      <w:r>
        <w:rPr>
          <w:spacing w:val="-4"/>
        </w:rPr>
        <w:t xml:space="preserve"> </w:t>
      </w:r>
      <w:r>
        <w:t>interested</w:t>
      </w:r>
      <w:r>
        <w:rPr>
          <w:spacing w:val="-4"/>
        </w:rPr>
        <w:t xml:space="preserve"> </w:t>
      </w:r>
      <w:r>
        <w:t>party's</w:t>
      </w:r>
      <w:r>
        <w:rPr>
          <w:spacing w:val="-3"/>
        </w:rPr>
        <w:t xml:space="preserve"> </w:t>
      </w:r>
      <w:r>
        <w:t>request</w:t>
      </w:r>
      <w:r>
        <w:rPr>
          <w:spacing w:val="-5"/>
        </w:rPr>
        <w:t xml:space="preserve"> </w:t>
      </w:r>
      <w:r>
        <w:t>to</w:t>
      </w:r>
      <w:r>
        <w:rPr>
          <w:spacing w:val="-5"/>
        </w:rPr>
        <w:t xml:space="preserve"> </w:t>
      </w:r>
      <w:r>
        <w:t>see</w:t>
      </w:r>
      <w:r>
        <w:rPr>
          <w:spacing w:val="-7"/>
        </w:rPr>
        <w:t xml:space="preserve"> </w:t>
      </w:r>
      <w:r>
        <w:t>information"</w:t>
      </w:r>
      <w:r>
        <w:rPr>
          <w:spacing w:val="-5"/>
        </w:rPr>
        <w:t xml:space="preserve"> </w:t>
      </w:r>
      <w:r>
        <w:t>in</w:t>
      </w:r>
      <w:r>
        <w:rPr>
          <w:spacing w:val="-4"/>
        </w:rPr>
        <w:t xml:space="preserve"> </w:t>
      </w:r>
      <w:r>
        <w:t>our</w:t>
      </w:r>
      <w:r>
        <w:rPr>
          <w:spacing w:val="-3"/>
        </w:rPr>
        <w:t xml:space="preserve"> </w:t>
      </w:r>
      <w:r>
        <w:t>view</w:t>
      </w:r>
      <w:r>
        <w:rPr>
          <w:spacing w:val="-3"/>
        </w:rPr>
        <w:t xml:space="preserve"> </w:t>
      </w:r>
      <w:r>
        <w:t>reflects</w:t>
      </w:r>
      <w:r>
        <w:rPr>
          <w:spacing w:val="-3"/>
        </w:rPr>
        <w:t xml:space="preserve"> </w:t>
      </w:r>
      <w:r>
        <w:t xml:space="preserve">that one way of demonstrating a violation of Article 6.4 would be to show that a request to see information was denied. This does not, however, mean that such a request (and denial) </w:t>
      </w:r>
      <w:proofErr w:type="gramStart"/>
      <w:r>
        <w:t>are</w:t>
      </w:r>
      <w:proofErr w:type="gramEnd"/>
      <w:r>
        <w:t xml:space="preserve"> necessary in order to demonstrate a violation of Articles 6.4 and 12.3.</w:t>
      </w:r>
      <w:hyperlink w:anchor="_bookmark1456" w:history="1">
        <w:r>
          <w:rPr>
            <w:vertAlign w:val="superscript"/>
          </w:rPr>
          <w:t>1254</w:t>
        </w:r>
      </w:hyperlink>
    </w:p>
    <w:p w14:paraId="35D29611" w14:textId="77777777" w:rsidR="00BD462C" w:rsidRDefault="00BD462C">
      <w:pPr>
        <w:pStyle w:val="BodyText"/>
        <w:spacing w:before="6"/>
        <w:rPr>
          <w:sz w:val="13"/>
        </w:rPr>
      </w:pPr>
    </w:p>
    <w:p w14:paraId="6AD3DDA5" w14:textId="684905A2" w:rsidR="00BD462C" w:rsidRDefault="00E4449D">
      <w:pPr>
        <w:spacing w:before="76" w:line="352" w:lineRule="auto"/>
        <w:ind w:left="136" w:right="914"/>
        <w:jc w:val="both"/>
        <w:rPr>
          <w:sz w:val="24"/>
        </w:rPr>
      </w:pPr>
      <w:r>
        <w:rPr>
          <w:noProof/>
        </w:rPr>
        <w:t>853.</w:t>
      </w:r>
      <w:r w:rsidR="00033D0F">
        <w:rPr>
          <w:rFonts w:ascii="Times New Roman" w:hAnsi="Times New Roman"/>
          <w:spacing w:val="80"/>
          <w:position w:val="1"/>
          <w:sz w:val="20"/>
        </w:rPr>
        <w:t xml:space="preserve">  </w:t>
      </w:r>
      <w:r w:rsidR="00033D0F">
        <w:rPr>
          <w:position w:val="1"/>
          <w:sz w:val="24"/>
        </w:rPr>
        <w:t>As Australia noted in first written submission,</w:t>
      </w:r>
      <w:hyperlink w:anchor="_bookmark1457" w:history="1">
        <w:r w:rsidR="00033D0F">
          <w:rPr>
            <w:position w:val="1"/>
            <w:sz w:val="24"/>
            <w:vertAlign w:val="superscript"/>
          </w:rPr>
          <w:t>1255</w:t>
        </w:r>
      </w:hyperlink>
      <w:r w:rsidR="00033D0F">
        <w:rPr>
          <w:position w:val="1"/>
          <w:sz w:val="24"/>
        </w:rPr>
        <w:t xml:space="preserve"> the compliance panel in </w:t>
      </w:r>
      <w:r w:rsidR="00033D0F">
        <w:rPr>
          <w:i/>
          <w:position w:val="1"/>
          <w:sz w:val="24"/>
        </w:rPr>
        <w:t xml:space="preserve">China – </w:t>
      </w:r>
      <w:r w:rsidR="00033D0F">
        <w:rPr>
          <w:i/>
          <w:sz w:val="24"/>
        </w:rPr>
        <w:t>Broiler</w:t>
      </w:r>
      <w:r w:rsidR="00033D0F">
        <w:rPr>
          <w:i/>
          <w:spacing w:val="-5"/>
          <w:sz w:val="24"/>
        </w:rPr>
        <w:t xml:space="preserve"> </w:t>
      </w:r>
      <w:r w:rsidR="00033D0F">
        <w:rPr>
          <w:i/>
          <w:sz w:val="24"/>
        </w:rPr>
        <w:t>Products</w:t>
      </w:r>
      <w:r w:rsidR="00033D0F">
        <w:rPr>
          <w:i/>
          <w:spacing w:val="-6"/>
          <w:sz w:val="24"/>
        </w:rPr>
        <w:t xml:space="preserve"> </w:t>
      </w:r>
      <w:r w:rsidR="00033D0F">
        <w:rPr>
          <w:i/>
          <w:sz w:val="24"/>
        </w:rPr>
        <w:t>(Article</w:t>
      </w:r>
      <w:r w:rsidR="00033D0F">
        <w:rPr>
          <w:i/>
          <w:spacing w:val="-3"/>
          <w:sz w:val="24"/>
        </w:rPr>
        <w:t xml:space="preserve"> </w:t>
      </w:r>
      <w:r w:rsidR="00033D0F">
        <w:rPr>
          <w:i/>
          <w:sz w:val="24"/>
        </w:rPr>
        <w:t>21.5</w:t>
      </w:r>
      <w:r w:rsidR="00033D0F">
        <w:rPr>
          <w:i/>
          <w:spacing w:val="-6"/>
          <w:sz w:val="24"/>
        </w:rPr>
        <w:t xml:space="preserve"> </w:t>
      </w:r>
      <w:r w:rsidR="00033D0F">
        <w:rPr>
          <w:i/>
          <w:sz w:val="24"/>
        </w:rPr>
        <w:t>–</w:t>
      </w:r>
      <w:r w:rsidR="00033D0F">
        <w:rPr>
          <w:i/>
          <w:spacing w:val="-4"/>
          <w:sz w:val="24"/>
        </w:rPr>
        <w:t xml:space="preserve"> </w:t>
      </w:r>
      <w:r w:rsidR="00033D0F">
        <w:rPr>
          <w:i/>
          <w:sz w:val="24"/>
        </w:rPr>
        <w:t>US)</w:t>
      </w:r>
      <w:r w:rsidR="00033D0F">
        <w:rPr>
          <w:i/>
          <w:spacing w:val="-5"/>
          <w:sz w:val="24"/>
        </w:rPr>
        <w:t xml:space="preserve"> </w:t>
      </w:r>
      <w:r w:rsidR="00033D0F">
        <w:rPr>
          <w:sz w:val="24"/>
        </w:rPr>
        <w:t>also</w:t>
      </w:r>
      <w:r w:rsidR="00033D0F">
        <w:rPr>
          <w:spacing w:val="-6"/>
          <w:sz w:val="24"/>
        </w:rPr>
        <w:t xml:space="preserve"> </w:t>
      </w:r>
      <w:r w:rsidR="00033D0F">
        <w:rPr>
          <w:sz w:val="24"/>
        </w:rPr>
        <w:t>set</w:t>
      </w:r>
      <w:r w:rsidR="00033D0F">
        <w:rPr>
          <w:spacing w:val="-3"/>
          <w:sz w:val="24"/>
        </w:rPr>
        <w:t xml:space="preserve"> </w:t>
      </w:r>
      <w:r w:rsidR="00033D0F">
        <w:rPr>
          <w:sz w:val="24"/>
        </w:rPr>
        <w:t>out</w:t>
      </w:r>
      <w:r w:rsidR="00033D0F">
        <w:rPr>
          <w:spacing w:val="-3"/>
          <w:sz w:val="24"/>
        </w:rPr>
        <w:t xml:space="preserve"> </w:t>
      </w:r>
      <w:r w:rsidR="00033D0F">
        <w:rPr>
          <w:sz w:val="24"/>
        </w:rPr>
        <w:t>a</w:t>
      </w:r>
      <w:r w:rsidR="00033D0F">
        <w:rPr>
          <w:spacing w:val="-4"/>
          <w:sz w:val="24"/>
        </w:rPr>
        <w:t xml:space="preserve"> </w:t>
      </w:r>
      <w:r w:rsidR="00033D0F">
        <w:rPr>
          <w:sz w:val="24"/>
        </w:rPr>
        <w:t>textual</w:t>
      </w:r>
      <w:r w:rsidR="00033D0F">
        <w:rPr>
          <w:spacing w:val="-1"/>
          <w:sz w:val="24"/>
        </w:rPr>
        <w:t xml:space="preserve"> </w:t>
      </w:r>
      <w:r w:rsidR="00033D0F">
        <w:rPr>
          <w:sz w:val="24"/>
        </w:rPr>
        <w:t>analysis</w:t>
      </w:r>
      <w:r w:rsidR="00033D0F">
        <w:rPr>
          <w:spacing w:val="-2"/>
          <w:sz w:val="24"/>
        </w:rPr>
        <w:t xml:space="preserve"> </w:t>
      </w:r>
      <w:r w:rsidR="00033D0F">
        <w:rPr>
          <w:sz w:val="24"/>
        </w:rPr>
        <w:t>of</w:t>
      </w:r>
      <w:r w:rsidR="00033D0F">
        <w:rPr>
          <w:spacing w:val="-5"/>
          <w:sz w:val="24"/>
        </w:rPr>
        <w:t xml:space="preserve"> </w:t>
      </w:r>
      <w:r w:rsidR="00033D0F">
        <w:rPr>
          <w:sz w:val="24"/>
        </w:rPr>
        <w:t>the</w:t>
      </w:r>
      <w:r w:rsidR="00033D0F">
        <w:rPr>
          <w:spacing w:val="-4"/>
          <w:sz w:val="24"/>
        </w:rPr>
        <w:t xml:space="preserve"> </w:t>
      </w:r>
      <w:r w:rsidR="00033D0F">
        <w:rPr>
          <w:sz w:val="24"/>
        </w:rPr>
        <w:t>wording</w:t>
      </w:r>
      <w:r w:rsidR="00033D0F">
        <w:rPr>
          <w:spacing w:val="-2"/>
          <w:sz w:val="24"/>
        </w:rPr>
        <w:t xml:space="preserve"> </w:t>
      </w:r>
      <w:r w:rsidR="00033D0F">
        <w:rPr>
          <w:sz w:val="24"/>
        </w:rPr>
        <w:t>of</w:t>
      </w:r>
      <w:r w:rsidR="00033D0F">
        <w:rPr>
          <w:spacing w:val="-5"/>
          <w:sz w:val="24"/>
        </w:rPr>
        <w:t xml:space="preserve"> </w:t>
      </w:r>
      <w:r w:rsidR="00033D0F">
        <w:rPr>
          <w:sz w:val="24"/>
        </w:rPr>
        <w:t>Article</w:t>
      </w:r>
      <w:r w:rsidR="00033D0F">
        <w:rPr>
          <w:spacing w:val="-3"/>
          <w:sz w:val="24"/>
        </w:rPr>
        <w:t xml:space="preserve"> </w:t>
      </w:r>
      <w:r w:rsidR="00033D0F">
        <w:rPr>
          <w:sz w:val="24"/>
        </w:rPr>
        <w:t>6.4, strengthening this interpretation:</w:t>
      </w:r>
    </w:p>
    <w:p w14:paraId="5CEAEA1E" w14:textId="77777777" w:rsidR="00BD462C" w:rsidRDefault="00033D0F">
      <w:pPr>
        <w:spacing w:before="172" w:line="276" w:lineRule="auto"/>
        <w:ind w:left="985" w:right="918"/>
        <w:jc w:val="both"/>
      </w:pPr>
      <w:r>
        <w:t>Textually, the obligation is for investigating authorities</w:t>
      </w:r>
      <w:r>
        <w:rPr>
          <w:spacing w:val="-2"/>
        </w:rPr>
        <w:t xml:space="preserve"> </w:t>
      </w:r>
      <w:r>
        <w:t>to "provide" opportunities. This is in contrast to other obligations in Article 6 of the Anti-Dumping Agreement and Article 12 of the SCM Agreement that condition the obligation to "provide opportunities" or to "make available" on a "request".</w:t>
      </w:r>
    </w:p>
    <w:p w14:paraId="3B245F62" w14:textId="77777777" w:rsidR="00BD462C" w:rsidRDefault="00BD462C">
      <w:pPr>
        <w:pStyle w:val="BodyText"/>
        <w:spacing w:before="11"/>
        <w:rPr>
          <w:sz w:val="19"/>
        </w:rPr>
      </w:pPr>
    </w:p>
    <w:p w14:paraId="7D6C0E4F" w14:textId="77777777" w:rsidR="00BD462C" w:rsidRDefault="00033D0F">
      <w:pPr>
        <w:pStyle w:val="ListParagraph"/>
        <w:numPr>
          <w:ilvl w:val="1"/>
          <w:numId w:val="17"/>
        </w:numPr>
        <w:tabs>
          <w:tab w:val="left" w:pos="2200"/>
        </w:tabs>
        <w:spacing w:before="0" w:line="276" w:lineRule="auto"/>
        <w:ind w:right="914"/>
        <w:jc w:val="both"/>
      </w:pPr>
      <w:r>
        <w:t>Article 6.1.3 of the Anti-Dumping Agreement and Article 12.1.3 of the SCM Agreement require that the investigating authority "shall provide"</w:t>
      </w:r>
      <w:r>
        <w:rPr>
          <w:spacing w:val="-1"/>
        </w:rPr>
        <w:t xml:space="preserve"> </w:t>
      </w:r>
      <w:r>
        <w:t>the written application to the known exporters and the authorities of the exporting Member</w:t>
      </w:r>
      <w:r>
        <w:rPr>
          <w:spacing w:val="-5"/>
        </w:rPr>
        <w:t xml:space="preserve"> </w:t>
      </w:r>
      <w:r>
        <w:t>(without</w:t>
      </w:r>
      <w:r>
        <w:rPr>
          <w:spacing w:val="-7"/>
        </w:rPr>
        <w:t xml:space="preserve"> </w:t>
      </w:r>
      <w:r>
        <w:t>reference</w:t>
      </w:r>
      <w:r>
        <w:rPr>
          <w:spacing w:val="-5"/>
        </w:rPr>
        <w:t xml:space="preserve"> </w:t>
      </w:r>
      <w:r>
        <w:t>to</w:t>
      </w:r>
      <w:r>
        <w:rPr>
          <w:spacing w:val="-7"/>
        </w:rPr>
        <w:t xml:space="preserve"> </w:t>
      </w:r>
      <w:r>
        <w:t>any</w:t>
      </w:r>
      <w:r>
        <w:rPr>
          <w:spacing w:val="-4"/>
        </w:rPr>
        <w:t xml:space="preserve"> </w:t>
      </w:r>
      <w:r>
        <w:t>request),</w:t>
      </w:r>
      <w:r>
        <w:rPr>
          <w:spacing w:val="-3"/>
        </w:rPr>
        <w:t xml:space="preserve"> </w:t>
      </w:r>
      <w:r>
        <w:t>and</w:t>
      </w:r>
      <w:r>
        <w:rPr>
          <w:spacing w:val="-6"/>
        </w:rPr>
        <w:t xml:space="preserve"> </w:t>
      </w:r>
      <w:r>
        <w:t>"shall</w:t>
      </w:r>
      <w:r>
        <w:rPr>
          <w:spacing w:val="-8"/>
        </w:rPr>
        <w:t xml:space="preserve"> </w:t>
      </w:r>
      <w:r>
        <w:t>make</w:t>
      </w:r>
      <w:r>
        <w:rPr>
          <w:spacing w:val="-9"/>
        </w:rPr>
        <w:t xml:space="preserve"> </w:t>
      </w:r>
      <w:r>
        <w:t>it</w:t>
      </w:r>
      <w:r>
        <w:rPr>
          <w:spacing w:val="-7"/>
        </w:rPr>
        <w:t xml:space="preserve"> </w:t>
      </w:r>
      <w:r>
        <w:t>available,</w:t>
      </w:r>
      <w:r>
        <w:rPr>
          <w:spacing w:val="-3"/>
        </w:rPr>
        <w:t xml:space="preserve"> </w:t>
      </w:r>
      <w:r>
        <w:t>upon request, to other interested parties involved"; and</w:t>
      </w:r>
    </w:p>
    <w:p w14:paraId="356DF97E" w14:textId="77777777" w:rsidR="00BD462C" w:rsidRDefault="00BD462C">
      <w:pPr>
        <w:pStyle w:val="BodyText"/>
        <w:spacing w:before="4"/>
        <w:rPr>
          <w:sz w:val="19"/>
        </w:rPr>
      </w:pPr>
    </w:p>
    <w:p w14:paraId="570915F0" w14:textId="77777777" w:rsidR="00BD462C" w:rsidRDefault="00033D0F">
      <w:pPr>
        <w:pStyle w:val="ListParagraph"/>
        <w:numPr>
          <w:ilvl w:val="1"/>
          <w:numId w:val="17"/>
        </w:numPr>
        <w:tabs>
          <w:tab w:val="left" w:pos="2248"/>
        </w:tabs>
        <w:spacing w:before="1" w:line="276" w:lineRule="auto"/>
        <w:ind w:right="917"/>
        <w:jc w:val="both"/>
      </w:pPr>
      <w:r>
        <w:tab/>
        <w:t xml:space="preserve">Article 6.2 of the Anti-Dumping Agreement conditions the obligation to "provide opportunities" to meet with adverse interests with the phrase "on </w:t>
      </w:r>
      <w:r>
        <w:rPr>
          <w:spacing w:val="-2"/>
        </w:rPr>
        <w:t>request".</w:t>
      </w:r>
      <w:hyperlink w:anchor="_bookmark1458" w:history="1">
        <w:r>
          <w:rPr>
            <w:spacing w:val="-2"/>
            <w:vertAlign w:val="superscript"/>
          </w:rPr>
          <w:t>1256</w:t>
        </w:r>
      </w:hyperlink>
    </w:p>
    <w:p w14:paraId="129B76C0" w14:textId="77777777" w:rsidR="00BD462C" w:rsidRDefault="00BD462C">
      <w:pPr>
        <w:pStyle w:val="BodyText"/>
        <w:spacing w:before="5"/>
        <w:rPr>
          <w:sz w:val="15"/>
        </w:rPr>
      </w:pPr>
    </w:p>
    <w:p w14:paraId="71276011" w14:textId="6A950A76" w:rsidR="00BD462C" w:rsidRDefault="00E4449D">
      <w:pPr>
        <w:pStyle w:val="BodyText"/>
        <w:spacing w:before="56" w:line="360" w:lineRule="auto"/>
        <w:ind w:left="135" w:right="921"/>
        <w:jc w:val="both"/>
      </w:pPr>
      <w:r>
        <w:rPr>
          <w:noProof/>
        </w:rPr>
        <w:t>854.</w:t>
      </w:r>
      <w:r w:rsidR="00033D0F">
        <w:rPr>
          <w:rFonts w:ascii="Times New Roman"/>
          <w:spacing w:val="80"/>
          <w:position w:val="1"/>
          <w:sz w:val="20"/>
        </w:rPr>
        <w:t xml:space="preserve">  </w:t>
      </w:r>
      <w:r w:rsidR="00033D0F">
        <w:rPr>
          <w:position w:val="1"/>
        </w:rPr>
        <w:t xml:space="preserve">Following this in-depth textual analysis, the compliance panel then concluded that </w:t>
      </w:r>
      <w:r w:rsidR="00033D0F">
        <w:t>other</w:t>
      </w:r>
      <w:r w:rsidR="00033D0F">
        <w:rPr>
          <w:spacing w:val="-14"/>
        </w:rPr>
        <w:t xml:space="preserve"> </w:t>
      </w:r>
      <w:r w:rsidR="00033D0F">
        <w:t>interpretations</w:t>
      </w:r>
      <w:r w:rsidR="00033D0F">
        <w:rPr>
          <w:spacing w:val="-14"/>
        </w:rPr>
        <w:t xml:space="preserve"> </w:t>
      </w:r>
      <w:r w:rsidR="00033D0F">
        <w:t>requiring</w:t>
      </w:r>
      <w:r w:rsidR="00033D0F">
        <w:rPr>
          <w:spacing w:val="-13"/>
        </w:rPr>
        <w:t xml:space="preserve"> </w:t>
      </w:r>
      <w:r w:rsidR="00033D0F">
        <w:t>first</w:t>
      </w:r>
      <w:r w:rsidR="00033D0F">
        <w:rPr>
          <w:spacing w:val="-13"/>
        </w:rPr>
        <w:t xml:space="preserve"> </w:t>
      </w:r>
      <w:r w:rsidR="00033D0F">
        <w:t>a</w:t>
      </w:r>
      <w:r w:rsidR="00033D0F">
        <w:rPr>
          <w:spacing w:val="-13"/>
        </w:rPr>
        <w:t xml:space="preserve"> </w:t>
      </w:r>
      <w:r w:rsidR="00033D0F">
        <w:t>request</w:t>
      </w:r>
      <w:r w:rsidR="00033D0F">
        <w:rPr>
          <w:spacing w:val="-12"/>
        </w:rPr>
        <w:t xml:space="preserve"> </w:t>
      </w:r>
      <w:r w:rsidR="00033D0F">
        <w:t>to</w:t>
      </w:r>
      <w:r w:rsidR="00033D0F">
        <w:rPr>
          <w:spacing w:val="-14"/>
        </w:rPr>
        <w:t xml:space="preserve"> </w:t>
      </w:r>
      <w:r w:rsidR="00033D0F">
        <w:t>see</w:t>
      </w:r>
      <w:r w:rsidR="00033D0F">
        <w:rPr>
          <w:spacing w:val="-13"/>
        </w:rPr>
        <w:t xml:space="preserve"> </w:t>
      </w:r>
      <w:r w:rsidR="00033D0F">
        <w:t>information,</w:t>
      </w:r>
      <w:r w:rsidR="00033D0F">
        <w:rPr>
          <w:spacing w:val="-11"/>
        </w:rPr>
        <w:t xml:space="preserve"> </w:t>
      </w:r>
      <w:r w:rsidR="00033D0F">
        <w:t>such</w:t>
      </w:r>
      <w:r w:rsidR="00033D0F">
        <w:rPr>
          <w:spacing w:val="-14"/>
        </w:rPr>
        <w:t xml:space="preserve"> </w:t>
      </w:r>
      <w:r w:rsidR="00033D0F">
        <w:t>as</w:t>
      </w:r>
      <w:r w:rsidR="00033D0F">
        <w:rPr>
          <w:spacing w:val="-11"/>
        </w:rPr>
        <w:t xml:space="preserve"> </w:t>
      </w:r>
      <w:r w:rsidR="00033D0F">
        <w:t>those</w:t>
      </w:r>
      <w:r w:rsidR="00033D0F">
        <w:rPr>
          <w:spacing w:val="-13"/>
        </w:rPr>
        <w:t xml:space="preserve"> </w:t>
      </w:r>
      <w:r w:rsidR="00033D0F">
        <w:t>in</w:t>
      </w:r>
      <w:r w:rsidR="00033D0F">
        <w:rPr>
          <w:spacing w:val="-14"/>
        </w:rPr>
        <w:t xml:space="preserve"> </w:t>
      </w:r>
      <w:r w:rsidR="00033D0F">
        <w:t>the</w:t>
      </w:r>
      <w:r w:rsidR="00033D0F">
        <w:rPr>
          <w:spacing w:val="-13"/>
        </w:rPr>
        <w:t xml:space="preserve"> </w:t>
      </w:r>
      <w:r w:rsidR="00033D0F">
        <w:t>previous panel reports relied on by China,</w:t>
      </w:r>
      <w:hyperlink w:anchor="_bookmark1459" w:history="1">
        <w:r w:rsidR="00033D0F">
          <w:rPr>
            <w:vertAlign w:val="superscript"/>
          </w:rPr>
          <w:t>1257</w:t>
        </w:r>
      </w:hyperlink>
      <w:r w:rsidR="00033D0F">
        <w:t xml:space="preserve"> would logically lead to an "unreasonable result".</w:t>
      </w:r>
    </w:p>
    <w:p w14:paraId="0E9D4E7C" w14:textId="77777777" w:rsidR="00BD462C" w:rsidRDefault="00BD462C">
      <w:pPr>
        <w:pStyle w:val="BodyText"/>
        <w:rPr>
          <w:sz w:val="20"/>
        </w:rPr>
      </w:pPr>
    </w:p>
    <w:p w14:paraId="43D8AA83" w14:textId="7DB1AEB0" w:rsidR="00BD462C" w:rsidRDefault="00AC5C65">
      <w:pPr>
        <w:pStyle w:val="BodyText"/>
        <w:rPr>
          <w:sz w:val="20"/>
        </w:rPr>
      </w:pPr>
      <w:r>
        <w:rPr>
          <w:noProof/>
        </w:rPr>
        <mc:AlternateContent>
          <mc:Choice Requires="wps">
            <w:drawing>
              <wp:anchor distT="0" distB="0" distL="0" distR="0" simplePos="0" relativeHeight="488323584" behindDoc="1" locked="0" layoutInCell="1" allowOverlap="1" wp14:anchorId="580577F4" wp14:editId="248797DD">
                <wp:simplePos x="0" y="0"/>
                <wp:positionH relativeFrom="page">
                  <wp:posOffset>812800</wp:posOffset>
                </wp:positionH>
                <wp:positionV relativeFrom="paragraph">
                  <wp:posOffset>281305</wp:posOffset>
                </wp:positionV>
                <wp:extent cx="1828800" cy="8890"/>
                <wp:effectExtent l="0" t="0" r="0" b="0"/>
                <wp:wrapTopAndBottom/>
                <wp:docPr id="1324" name="docshape5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B80F92" id="docshape591" o:spid="_x0000_s1026" alt="&quot;&quot;" style="position:absolute;margin-left:64pt;margin-top:22.15pt;width:2in;height:.7pt;z-index:-14992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" fillcolor="black" stroked="f">
                <w10:wrap type="topAndBottom" anchorx="page"/>
              </v:rect>
            </w:pict>
          </mc:Fallback>
        </mc:AlternateContent>
      </w:r>
    </w:p>
    <w:p w14:paraId="6A1237A8" w14:textId="16BA21DC" w:rsidR="00BD462C" w:rsidRDefault="00BD462C">
      <w:pPr>
        <w:pStyle w:val="BodyText"/>
        <w:spacing w:before="11"/>
        <w:rPr>
          <w:sz w:val="15"/>
        </w:rPr>
      </w:pPr>
    </w:p>
    <w:p w14:paraId="57EE2097" w14:textId="77777777" w:rsidR="00BD462C" w:rsidRDefault="00033D0F">
      <w:pPr>
        <w:spacing w:before="107"/>
        <w:ind w:left="135"/>
        <w:rPr>
          <w:sz w:val="18"/>
        </w:rPr>
      </w:pPr>
      <w:bookmarkStart w:id="1691" w:name="_bookmark1456"/>
      <w:bookmarkEnd w:id="1691"/>
      <w:r>
        <w:rPr>
          <w:position w:val="5"/>
          <w:sz w:val="12"/>
        </w:rPr>
        <w:t>1254</w:t>
      </w:r>
      <w:r>
        <w:rPr>
          <w:spacing w:val="15"/>
          <w:position w:val="5"/>
          <w:sz w:val="12"/>
        </w:rPr>
        <w:t xml:space="preserve"> </w:t>
      </w:r>
      <w:r>
        <w:rPr>
          <w:sz w:val="18"/>
        </w:rPr>
        <w:t>Panel</w:t>
      </w:r>
      <w:r>
        <w:rPr>
          <w:spacing w:val="-3"/>
          <w:sz w:val="18"/>
        </w:rPr>
        <w:t xml:space="preserve"> </w:t>
      </w:r>
      <w:r>
        <w:rPr>
          <w:sz w:val="18"/>
        </w:rPr>
        <w:t>Report,</w:t>
      </w:r>
      <w:r>
        <w:rPr>
          <w:spacing w:val="-2"/>
          <w:sz w:val="18"/>
        </w:rPr>
        <w:t xml:space="preserve"> </w:t>
      </w:r>
      <w:r>
        <w:rPr>
          <w:i/>
          <w:sz w:val="18"/>
        </w:rPr>
        <w:t>China</w:t>
      </w:r>
      <w:r>
        <w:rPr>
          <w:i/>
          <w:spacing w:val="-2"/>
          <w:sz w:val="18"/>
        </w:rPr>
        <w:t xml:space="preserve"> </w:t>
      </w:r>
      <w:r>
        <w:rPr>
          <w:i/>
          <w:sz w:val="18"/>
        </w:rPr>
        <w:t>–</w:t>
      </w:r>
      <w:r>
        <w:rPr>
          <w:i/>
          <w:spacing w:val="-4"/>
          <w:sz w:val="18"/>
        </w:rPr>
        <w:t xml:space="preserve"> </w:t>
      </w:r>
      <w:r>
        <w:rPr>
          <w:i/>
          <w:sz w:val="18"/>
        </w:rPr>
        <w:t>Broiler</w:t>
      </w:r>
      <w:r>
        <w:rPr>
          <w:i/>
          <w:spacing w:val="-5"/>
          <w:sz w:val="18"/>
        </w:rPr>
        <w:t xml:space="preserve"> </w:t>
      </w:r>
      <w:r>
        <w:rPr>
          <w:i/>
          <w:sz w:val="18"/>
        </w:rPr>
        <w:t>Products</w:t>
      </w:r>
      <w:r>
        <w:rPr>
          <w:i/>
          <w:spacing w:val="-8"/>
          <w:sz w:val="18"/>
        </w:rPr>
        <w:t xml:space="preserve"> </w:t>
      </w:r>
      <w:r>
        <w:rPr>
          <w:i/>
          <w:sz w:val="18"/>
        </w:rPr>
        <w:t>(Article</w:t>
      </w:r>
      <w:r>
        <w:rPr>
          <w:i/>
          <w:spacing w:val="-1"/>
          <w:sz w:val="18"/>
        </w:rPr>
        <w:t xml:space="preserve"> </w:t>
      </w:r>
      <w:r>
        <w:rPr>
          <w:i/>
          <w:sz w:val="18"/>
        </w:rPr>
        <w:t>21.5</w:t>
      </w:r>
      <w:r>
        <w:rPr>
          <w:i/>
          <w:spacing w:val="-5"/>
          <w:sz w:val="18"/>
        </w:rPr>
        <w:t xml:space="preserve"> </w:t>
      </w:r>
      <w:r>
        <w:rPr>
          <w:i/>
          <w:sz w:val="18"/>
        </w:rPr>
        <w:t>– US)</w:t>
      </w:r>
      <w:r>
        <w:rPr>
          <w:sz w:val="18"/>
        </w:rPr>
        <w:t>,</w:t>
      </w:r>
      <w:r>
        <w:rPr>
          <w:spacing w:val="-2"/>
          <w:sz w:val="18"/>
        </w:rPr>
        <w:t xml:space="preserve"> </w:t>
      </w:r>
      <w:r>
        <w:rPr>
          <w:sz w:val="18"/>
        </w:rPr>
        <w:t>para.</w:t>
      </w:r>
      <w:r>
        <w:rPr>
          <w:spacing w:val="2"/>
          <w:sz w:val="18"/>
        </w:rPr>
        <w:t xml:space="preserve"> </w:t>
      </w:r>
      <w:r>
        <w:rPr>
          <w:spacing w:val="-2"/>
          <w:sz w:val="18"/>
        </w:rPr>
        <w:t>7.292.</w:t>
      </w:r>
    </w:p>
    <w:p w14:paraId="656524A8" w14:textId="77777777" w:rsidR="00BD462C" w:rsidRDefault="00033D0F">
      <w:pPr>
        <w:spacing w:before="1"/>
        <w:ind w:left="135"/>
        <w:rPr>
          <w:sz w:val="18"/>
        </w:rPr>
      </w:pPr>
      <w:bookmarkStart w:id="1692" w:name="_bookmark1457"/>
      <w:bookmarkEnd w:id="1692"/>
      <w:r>
        <w:rPr>
          <w:position w:val="5"/>
          <w:sz w:val="12"/>
        </w:rPr>
        <w:t>1255</w:t>
      </w:r>
      <w:r>
        <w:rPr>
          <w:spacing w:val="12"/>
          <w:position w:val="5"/>
          <w:sz w:val="12"/>
        </w:rPr>
        <w:t xml:space="preserve"> </w:t>
      </w:r>
      <w:r>
        <w:rPr>
          <w:sz w:val="18"/>
        </w:rPr>
        <w:t>Australia's</w:t>
      </w:r>
      <w:r>
        <w:rPr>
          <w:spacing w:val="-6"/>
          <w:sz w:val="18"/>
        </w:rPr>
        <w:t xml:space="preserve"> </w:t>
      </w:r>
      <w:r>
        <w:rPr>
          <w:sz w:val="18"/>
        </w:rPr>
        <w:t>first</w:t>
      </w:r>
      <w:r>
        <w:rPr>
          <w:spacing w:val="-5"/>
          <w:sz w:val="18"/>
        </w:rPr>
        <w:t xml:space="preserve"> </w:t>
      </w:r>
      <w:r>
        <w:rPr>
          <w:sz w:val="18"/>
        </w:rPr>
        <w:t>written</w:t>
      </w:r>
      <w:r>
        <w:rPr>
          <w:spacing w:val="-2"/>
          <w:sz w:val="18"/>
        </w:rPr>
        <w:t xml:space="preserve"> </w:t>
      </w:r>
      <w:r>
        <w:rPr>
          <w:sz w:val="18"/>
        </w:rPr>
        <w:t>submission, para.</w:t>
      </w:r>
      <w:r>
        <w:rPr>
          <w:spacing w:val="-5"/>
          <w:sz w:val="18"/>
        </w:rPr>
        <w:t xml:space="preserve"> </w:t>
      </w:r>
      <w:r>
        <w:rPr>
          <w:spacing w:val="-4"/>
          <w:sz w:val="18"/>
        </w:rPr>
        <w:t>969.</w:t>
      </w:r>
    </w:p>
    <w:p w14:paraId="743C3F22" w14:textId="77777777" w:rsidR="00BD462C" w:rsidRDefault="00033D0F">
      <w:pPr>
        <w:spacing w:before="1"/>
        <w:ind w:left="135"/>
        <w:rPr>
          <w:sz w:val="18"/>
        </w:rPr>
      </w:pPr>
      <w:bookmarkStart w:id="1693" w:name="_bookmark1458"/>
      <w:bookmarkEnd w:id="1693"/>
      <w:r>
        <w:rPr>
          <w:position w:val="5"/>
          <w:sz w:val="12"/>
        </w:rPr>
        <w:t>1256</w:t>
      </w:r>
      <w:r>
        <w:rPr>
          <w:spacing w:val="15"/>
          <w:position w:val="5"/>
          <w:sz w:val="12"/>
        </w:rPr>
        <w:t xml:space="preserve"> </w:t>
      </w:r>
      <w:r>
        <w:rPr>
          <w:sz w:val="18"/>
        </w:rPr>
        <w:t>Panel</w:t>
      </w:r>
      <w:r>
        <w:rPr>
          <w:spacing w:val="-3"/>
          <w:sz w:val="18"/>
        </w:rPr>
        <w:t xml:space="preserve"> </w:t>
      </w:r>
      <w:r>
        <w:rPr>
          <w:sz w:val="18"/>
        </w:rPr>
        <w:t>Report,</w:t>
      </w:r>
      <w:r>
        <w:rPr>
          <w:spacing w:val="-2"/>
          <w:sz w:val="18"/>
        </w:rPr>
        <w:t xml:space="preserve"> </w:t>
      </w:r>
      <w:r>
        <w:rPr>
          <w:i/>
          <w:sz w:val="18"/>
        </w:rPr>
        <w:t>China</w:t>
      </w:r>
      <w:r>
        <w:rPr>
          <w:i/>
          <w:spacing w:val="-2"/>
          <w:sz w:val="18"/>
        </w:rPr>
        <w:t xml:space="preserve"> </w:t>
      </w:r>
      <w:r>
        <w:rPr>
          <w:i/>
          <w:sz w:val="18"/>
        </w:rPr>
        <w:t>–</w:t>
      </w:r>
      <w:r>
        <w:rPr>
          <w:i/>
          <w:spacing w:val="-4"/>
          <w:sz w:val="18"/>
        </w:rPr>
        <w:t xml:space="preserve"> </w:t>
      </w:r>
      <w:r>
        <w:rPr>
          <w:i/>
          <w:sz w:val="18"/>
        </w:rPr>
        <w:t>Broiler</w:t>
      </w:r>
      <w:r>
        <w:rPr>
          <w:i/>
          <w:spacing w:val="-5"/>
          <w:sz w:val="18"/>
        </w:rPr>
        <w:t xml:space="preserve"> </w:t>
      </w:r>
      <w:r>
        <w:rPr>
          <w:i/>
          <w:sz w:val="18"/>
        </w:rPr>
        <w:t>Products</w:t>
      </w:r>
      <w:r>
        <w:rPr>
          <w:i/>
          <w:spacing w:val="-8"/>
          <w:sz w:val="18"/>
        </w:rPr>
        <w:t xml:space="preserve"> </w:t>
      </w:r>
      <w:r>
        <w:rPr>
          <w:i/>
          <w:sz w:val="18"/>
        </w:rPr>
        <w:t>(Article</w:t>
      </w:r>
      <w:r>
        <w:rPr>
          <w:i/>
          <w:spacing w:val="-1"/>
          <w:sz w:val="18"/>
        </w:rPr>
        <w:t xml:space="preserve"> </w:t>
      </w:r>
      <w:r>
        <w:rPr>
          <w:i/>
          <w:sz w:val="18"/>
        </w:rPr>
        <w:t>21.5</w:t>
      </w:r>
      <w:r>
        <w:rPr>
          <w:i/>
          <w:spacing w:val="-5"/>
          <w:sz w:val="18"/>
        </w:rPr>
        <w:t xml:space="preserve"> </w:t>
      </w:r>
      <w:r>
        <w:rPr>
          <w:i/>
          <w:sz w:val="18"/>
        </w:rPr>
        <w:t>– US)</w:t>
      </w:r>
      <w:r>
        <w:rPr>
          <w:sz w:val="18"/>
        </w:rPr>
        <w:t>,</w:t>
      </w:r>
      <w:r>
        <w:rPr>
          <w:spacing w:val="-2"/>
          <w:sz w:val="18"/>
        </w:rPr>
        <w:t xml:space="preserve"> </w:t>
      </w:r>
      <w:r>
        <w:rPr>
          <w:sz w:val="18"/>
        </w:rPr>
        <w:t>para.</w:t>
      </w:r>
      <w:r>
        <w:rPr>
          <w:spacing w:val="2"/>
          <w:sz w:val="18"/>
        </w:rPr>
        <w:t xml:space="preserve"> </w:t>
      </w:r>
      <w:r>
        <w:rPr>
          <w:spacing w:val="-2"/>
          <w:sz w:val="18"/>
        </w:rPr>
        <w:t>7.291.</w:t>
      </w:r>
    </w:p>
    <w:p w14:paraId="464EF017" w14:textId="77777777" w:rsidR="00BD462C" w:rsidRDefault="00033D0F">
      <w:pPr>
        <w:spacing w:before="1"/>
        <w:ind w:left="135"/>
        <w:rPr>
          <w:sz w:val="18"/>
        </w:rPr>
      </w:pPr>
      <w:bookmarkStart w:id="1694" w:name="_bookmark1459"/>
      <w:bookmarkEnd w:id="1694"/>
      <w:r>
        <w:rPr>
          <w:position w:val="5"/>
          <w:sz w:val="12"/>
        </w:rPr>
        <w:t>1257</w:t>
      </w:r>
      <w:r>
        <w:rPr>
          <w:spacing w:val="19"/>
          <w:position w:val="5"/>
          <w:sz w:val="12"/>
        </w:rPr>
        <w:t xml:space="preserve"> </w:t>
      </w:r>
      <w:r>
        <w:rPr>
          <w:sz w:val="18"/>
        </w:rPr>
        <w:t>See</w:t>
      </w:r>
      <w:r>
        <w:rPr>
          <w:spacing w:val="6"/>
          <w:sz w:val="18"/>
        </w:rPr>
        <w:t xml:space="preserve"> </w:t>
      </w:r>
      <w:r>
        <w:rPr>
          <w:sz w:val="18"/>
        </w:rPr>
        <w:t>Panel</w:t>
      </w:r>
      <w:r>
        <w:rPr>
          <w:spacing w:val="1"/>
          <w:sz w:val="18"/>
        </w:rPr>
        <w:t xml:space="preserve"> </w:t>
      </w:r>
      <w:r>
        <w:rPr>
          <w:sz w:val="18"/>
        </w:rPr>
        <w:t>Reports,</w:t>
      </w:r>
      <w:r>
        <w:rPr>
          <w:spacing w:val="2"/>
          <w:sz w:val="18"/>
        </w:rPr>
        <w:t xml:space="preserve"> </w:t>
      </w:r>
      <w:r>
        <w:rPr>
          <w:i/>
          <w:sz w:val="18"/>
        </w:rPr>
        <w:t>Korea</w:t>
      </w:r>
      <w:r>
        <w:rPr>
          <w:i/>
          <w:spacing w:val="7"/>
          <w:sz w:val="18"/>
        </w:rPr>
        <w:t xml:space="preserve"> </w:t>
      </w:r>
      <w:r>
        <w:rPr>
          <w:i/>
          <w:sz w:val="18"/>
        </w:rPr>
        <w:t>– Certain</w:t>
      </w:r>
      <w:r>
        <w:rPr>
          <w:i/>
          <w:spacing w:val="2"/>
          <w:sz w:val="18"/>
        </w:rPr>
        <w:t xml:space="preserve"> </w:t>
      </w:r>
      <w:r>
        <w:rPr>
          <w:i/>
          <w:sz w:val="18"/>
        </w:rPr>
        <w:t>Paper</w:t>
      </w:r>
      <w:r>
        <w:rPr>
          <w:i/>
          <w:spacing w:val="1"/>
          <w:sz w:val="18"/>
        </w:rPr>
        <w:t xml:space="preserve"> </w:t>
      </w:r>
      <w:r>
        <w:rPr>
          <w:i/>
          <w:sz w:val="18"/>
        </w:rPr>
        <w:t>(Article</w:t>
      </w:r>
      <w:r>
        <w:rPr>
          <w:i/>
          <w:spacing w:val="4"/>
          <w:sz w:val="18"/>
        </w:rPr>
        <w:t xml:space="preserve"> </w:t>
      </w:r>
      <w:r>
        <w:rPr>
          <w:i/>
          <w:sz w:val="18"/>
        </w:rPr>
        <w:t>21.5</w:t>
      </w:r>
      <w:r>
        <w:rPr>
          <w:i/>
          <w:spacing w:val="4"/>
          <w:sz w:val="18"/>
        </w:rPr>
        <w:t xml:space="preserve"> </w:t>
      </w:r>
      <w:r>
        <w:rPr>
          <w:i/>
          <w:sz w:val="18"/>
        </w:rPr>
        <w:t>– Indonesia),</w:t>
      </w:r>
      <w:r>
        <w:rPr>
          <w:i/>
          <w:spacing w:val="2"/>
          <w:sz w:val="18"/>
        </w:rPr>
        <w:t xml:space="preserve"> </w:t>
      </w:r>
      <w:r>
        <w:rPr>
          <w:sz w:val="18"/>
        </w:rPr>
        <w:t>para.</w:t>
      </w:r>
      <w:r>
        <w:rPr>
          <w:spacing w:val="7"/>
          <w:sz w:val="18"/>
        </w:rPr>
        <w:t xml:space="preserve"> </w:t>
      </w:r>
      <w:r>
        <w:rPr>
          <w:sz w:val="18"/>
        </w:rPr>
        <w:t>6.87;</w:t>
      </w:r>
      <w:r>
        <w:rPr>
          <w:spacing w:val="-1"/>
          <w:sz w:val="18"/>
        </w:rPr>
        <w:t xml:space="preserve"> </w:t>
      </w:r>
      <w:r>
        <w:rPr>
          <w:i/>
          <w:sz w:val="18"/>
        </w:rPr>
        <w:t>EC</w:t>
      </w:r>
      <w:r>
        <w:rPr>
          <w:i/>
          <w:spacing w:val="2"/>
          <w:sz w:val="18"/>
        </w:rPr>
        <w:t xml:space="preserve"> </w:t>
      </w:r>
      <w:r>
        <w:rPr>
          <w:i/>
          <w:sz w:val="18"/>
        </w:rPr>
        <w:t>–</w:t>
      </w:r>
      <w:r>
        <w:rPr>
          <w:i/>
          <w:spacing w:val="5"/>
          <w:sz w:val="18"/>
        </w:rPr>
        <w:t xml:space="preserve"> </w:t>
      </w:r>
      <w:r>
        <w:rPr>
          <w:i/>
          <w:sz w:val="18"/>
        </w:rPr>
        <w:t>Fasteners</w:t>
      </w:r>
      <w:r>
        <w:rPr>
          <w:i/>
          <w:spacing w:val="6"/>
          <w:sz w:val="18"/>
        </w:rPr>
        <w:t xml:space="preserve"> </w:t>
      </w:r>
      <w:r>
        <w:rPr>
          <w:i/>
          <w:sz w:val="18"/>
        </w:rPr>
        <w:t>(China),</w:t>
      </w:r>
      <w:r>
        <w:rPr>
          <w:i/>
          <w:spacing w:val="7"/>
          <w:sz w:val="18"/>
        </w:rPr>
        <w:t xml:space="preserve"> </w:t>
      </w:r>
      <w:r>
        <w:rPr>
          <w:sz w:val="18"/>
        </w:rPr>
        <w:t>para.</w:t>
      </w:r>
      <w:r>
        <w:rPr>
          <w:spacing w:val="6"/>
          <w:sz w:val="18"/>
        </w:rPr>
        <w:t xml:space="preserve"> </w:t>
      </w:r>
      <w:r>
        <w:rPr>
          <w:sz w:val="18"/>
        </w:rPr>
        <w:t>7.480;</w:t>
      </w:r>
      <w:r>
        <w:rPr>
          <w:spacing w:val="5"/>
          <w:sz w:val="18"/>
        </w:rPr>
        <w:t xml:space="preserve"> </w:t>
      </w:r>
      <w:r>
        <w:rPr>
          <w:spacing w:val="-5"/>
          <w:sz w:val="18"/>
        </w:rPr>
        <w:t>and</w:t>
      </w:r>
    </w:p>
    <w:p w14:paraId="5D5D7C31" w14:textId="77777777" w:rsidR="00BD462C" w:rsidRDefault="00033D0F">
      <w:pPr>
        <w:spacing w:before="1"/>
        <w:ind w:left="135"/>
        <w:rPr>
          <w:sz w:val="18"/>
        </w:rPr>
      </w:pPr>
      <w:r>
        <w:rPr>
          <w:i/>
          <w:sz w:val="18"/>
        </w:rPr>
        <w:t>EU</w:t>
      </w:r>
      <w:r>
        <w:rPr>
          <w:i/>
          <w:spacing w:val="-2"/>
          <w:sz w:val="18"/>
        </w:rPr>
        <w:t xml:space="preserve"> </w:t>
      </w:r>
      <w:r>
        <w:rPr>
          <w:i/>
          <w:sz w:val="18"/>
        </w:rPr>
        <w:t>–</w:t>
      </w:r>
      <w:r>
        <w:rPr>
          <w:i/>
          <w:spacing w:val="-4"/>
          <w:sz w:val="18"/>
        </w:rPr>
        <w:t xml:space="preserve"> </w:t>
      </w:r>
      <w:r>
        <w:rPr>
          <w:i/>
          <w:sz w:val="18"/>
        </w:rPr>
        <w:t>Footwear</w:t>
      </w:r>
      <w:r>
        <w:rPr>
          <w:i/>
          <w:spacing w:val="-4"/>
          <w:sz w:val="18"/>
        </w:rPr>
        <w:t xml:space="preserve"> </w:t>
      </w:r>
      <w:r>
        <w:rPr>
          <w:i/>
          <w:sz w:val="18"/>
        </w:rPr>
        <w:t>(China)¸</w:t>
      </w:r>
      <w:r>
        <w:rPr>
          <w:i/>
          <w:spacing w:val="-3"/>
          <w:sz w:val="18"/>
        </w:rPr>
        <w:t xml:space="preserve"> </w:t>
      </w:r>
      <w:r>
        <w:rPr>
          <w:sz w:val="18"/>
        </w:rPr>
        <w:t>para.</w:t>
      </w:r>
      <w:r>
        <w:rPr>
          <w:spacing w:val="2"/>
          <w:sz w:val="18"/>
        </w:rPr>
        <w:t xml:space="preserve"> </w:t>
      </w:r>
      <w:r>
        <w:rPr>
          <w:spacing w:val="-2"/>
          <w:sz w:val="18"/>
        </w:rPr>
        <w:t>7.603.</w:t>
      </w:r>
    </w:p>
    <w:p w14:paraId="66725BD5" w14:textId="77777777" w:rsidR="00BD462C" w:rsidRDefault="00BD462C">
      <w:pPr>
        <w:rPr>
          <w:sz w:val="18"/>
        </w:rPr>
        <w:sectPr w:rsidR="00BD462C">
          <w:pgSz w:w="11910" w:h="16840"/>
          <w:pgMar w:top="860" w:right="500" w:bottom="780" w:left="1280" w:header="566" w:footer="590" w:gutter="0"/>
          <w:cols w:space="720"/>
        </w:sectPr>
      </w:pPr>
    </w:p>
    <w:p w14:paraId="4C39FA22"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673DB893"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45DED185"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1018A74C" w14:textId="77777777" w:rsidR="00BD462C" w:rsidRDefault="00033D0F">
      <w:pPr>
        <w:spacing w:before="102" w:line="276" w:lineRule="auto"/>
        <w:ind w:left="985" w:right="918"/>
        <w:jc w:val="both"/>
      </w:pPr>
      <w:r>
        <w:t>Interested parties that are not aware of the existence of certain information before the investigating authority obviously cannot make a request to see that information. Such interested parties may well be most in need of the due process protection afforded by Articles 6.4 and 12.3. Yet, a requirement for a request would render void their right to have an</w:t>
      </w:r>
      <w:r>
        <w:rPr>
          <w:spacing w:val="-5"/>
        </w:rPr>
        <w:t xml:space="preserve"> </w:t>
      </w:r>
      <w:r>
        <w:t>opportunity</w:t>
      </w:r>
      <w:r>
        <w:rPr>
          <w:spacing w:val="-3"/>
        </w:rPr>
        <w:t xml:space="preserve"> </w:t>
      </w:r>
      <w:r>
        <w:t>to</w:t>
      </w:r>
      <w:r>
        <w:rPr>
          <w:spacing w:val="-6"/>
        </w:rPr>
        <w:t xml:space="preserve"> </w:t>
      </w:r>
      <w:r>
        <w:t>see</w:t>
      </w:r>
      <w:r>
        <w:rPr>
          <w:spacing w:val="-4"/>
        </w:rPr>
        <w:t xml:space="preserve"> </w:t>
      </w:r>
      <w:r>
        <w:t>information</w:t>
      </w:r>
      <w:r>
        <w:rPr>
          <w:spacing w:val="-5"/>
        </w:rPr>
        <w:t xml:space="preserve"> </w:t>
      </w:r>
      <w:r>
        <w:t>of</w:t>
      </w:r>
      <w:r>
        <w:rPr>
          <w:spacing w:val="-4"/>
        </w:rPr>
        <w:t xml:space="preserve"> </w:t>
      </w:r>
      <w:r>
        <w:t>which</w:t>
      </w:r>
      <w:r>
        <w:rPr>
          <w:spacing w:val="-5"/>
        </w:rPr>
        <w:t xml:space="preserve"> </w:t>
      </w:r>
      <w:r>
        <w:t>they</w:t>
      </w:r>
      <w:r>
        <w:rPr>
          <w:spacing w:val="-3"/>
        </w:rPr>
        <w:t xml:space="preserve"> </w:t>
      </w:r>
      <w:r>
        <w:t>are</w:t>
      </w:r>
      <w:r>
        <w:rPr>
          <w:spacing w:val="-4"/>
        </w:rPr>
        <w:t xml:space="preserve"> </w:t>
      </w:r>
      <w:r>
        <w:t>unaware.</w:t>
      </w:r>
      <w:r>
        <w:rPr>
          <w:spacing w:val="-7"/>
        </w:rPr>
        <w:t xml:space="preserve"> </w:t>
      </w:r>
      <w:r>
        <w:t>Attributing</w:t>
      </w:r>
      <w:r>
        <w:rPr>
          <w:spacing w:val="-3"/>
        </w:rPr>
        <w:t xml:space="preserve"> </w:t>
      </w:r>
      <w:r>
        <w:t>such</w:t>
      </w:r>
      <w:r>
        <w:rPr>
          <w:spacing w:val="-5"/>
        </w:rPr>
        <w:t xml:space="preserve"> </w:t>
      </w:r>
      <w:r>
        <w:t>a</w:t>
      </w:r>
      <w:r>
        <w:rPr>
          <w:spacing w:val="-4"/>
        </w:rPr>
        <w:t xml:space="preserve"> </w:t>
      </w:r>
      <w:r>
        <w:t>meaning</w:t>
      </w:r>
      <w:r>
        <w:rPr>
          <w:spacing w:val="-3"/>
        </w:rPr>
        <w:t xml:space="preserve"> </w:t>
      </w:r>
      <w:r>
        <w:t xml:space="preserve">to a treaty provision would lead to an unreasonable result. </w:t>
      </w:r>
      <w:hyperlink w:anchor="_bookmark1460" w:history="1">
        <w:r>
          <w:rPr>
            <w:vertAlign w:val="superscript"/>
          </w:rPr>
          <w:t>1258</w:t>
        </w:r>
      </w:hyperlink>
    </w:p>
    <w:p w14:paraId="1CD6C921" w14:textId="77777777" w:rsidR="00BD462C" w:rsidRDefault="00BD462C">
      <w:pPr>
        <w:pStyle w:val="BodyText"/>
        <w:spacing w:before="5"/>
        <w:rPr>
          <w:sz w:val="15"/>
        </w:rPr>
      </w:pPr>
    </w:p>
    <w:p w14:paraId="76EECB81" w14:textId="6FB92CEB" w:rsidR="00BD462C" w:rsidRDefault="00E4449D">
      <w:pPr>
        <w:spacing w:before="56" w:line="355" w:lineRule="auto"/>
        <w:ind w:left="136" w:right="923"/>
        <w:rPr>
          <w:sz w:val="24"/>
        </w:rPr>
      </w:pPr>
      <w:r>
        <w:rPr>
          <w:noProof/>
        </w:rPr>
        <w:t>855.</w:t>
      </w:r>
      <w:r w:rsidR="00033D0F">
        <w:rPr>
          <w:rFonts w:ascii="Times New Roman" w:hAnsi="Times New Roman"/>
          <w:spacing w:val="80"/>
          <w:position w:val="1"/>
          <w:sz w:val="20"/>
        </w:rPr>
        <w:t xml:space="preserve">  </w:t>
      </w:r>
      <w:r w:rsidR="00033D0F">
        <w:rPr>
          <w:position w:val="1"/>
          <w:sz w:val="24"/>
        </w:rPr>
        <w:t>Australia</w:t>
      </w:r>
      <w:r w:rsidR="00033D0F">
        <w:rPr>
          <w:spacing w:val="-2"/>
          <w:position w:val="1"/>
          <w:sz w:val="24"/>
        </w:rPr>
        <w:t xml:space="preserve"> </w:t>
      </w:r>
      <w:r w:rsidR="00033D0F">
        <w:rPr>
          <w:position w:val="1"/>
          <w:sz w:val="24"/>
        </w:rPr>
        <w:t>agrees with</w:t>
      </w:r>
      <w:r w:rsidR="00033D0F">
        <w:rPr>
          <w:spacing w:val="-3"/>
          <w:position w:val="1"/>
          <w:sz w:val="24"/>
        </w:rPr>
        <w:t xml:space="preserve"> </w:t>
      </w:r>
      <w:r w:rsidR="00033D0F">
        <w:rPr>
          <w:position w:val="1"/>
          <w:sz w:val="24"/>
        </w:rPr>
        <w:t>the</w:t>
      </w:r>
      <w:r w:rsidR="00033D0F">
        <w:rPr>
          <w:spacing w:val="-2"/>
          <w:position w:val="1"/>
          <w:sz w:val="24"/>
        </w:rPr>
        <w:t xml:space="preserve"> </w:t>
      </w:r>
      <w:r w:rsidR="00033D0F">
        <w:rPr>
          <w:position w:val="1"/>
          <w:sz w:val="24"/>
        </w:rPr>
        <w:t>panel's reasoning and approach</w:t>
      </w:r>
      <w:r w:rsidR="00033D0F">
        <w:rPr>
          <w:spacing w:val="-3"/>
          <w:position w:val="1"/>
          <w:sz w:val="24"/>
        </w:rPr>
        <w:t xml:space="preserve"> </w:t>
      </w:r>
      <w:r w:rsidR="00033D0F">
        <w:rPr>
          <w:position w:val="1"/>
          <w:sz w:val="24"/>
        </w:rPr>
        <w:t xml:space="preserve">in </w:t>
      </w:r>
      <w:r w:rsidR="00033D0F">
        <w:rPr>
          <w:i/>
          <w:position w:val="1"/>
          <w:sz w:val="24"/>
        </w:rPr>
        <w:t>China –</w:t>
      </w:r>
      <w:r w:rsidR="00033D0F">
        <w:rPr>
          <w:i/>
          <w:spacing w:val="-1"/>
          <w:position w:val="1"/>
          <w:sz w:val="24"/>
        </w:rPr>
        <w:t xml:space="preserve"> </w:t>
      </w:r>
      <w:r w:rsidR="00033D0F">
        <w:rPr>
          <w:i/>
          <w:position w:val="1"/>
          <w:sz w:val="24"/>
        </w:rPr>
        <w:t>Broiler</w:t>
      </w:r>
      <w:r w:rsidR="00033D0F">
        <w:rPr>
          <w:i/>
          <w:spacing w:val="-3"/>
          <w:position w:val="1"/>
          <w:sz w:val="24"/>
        </w:rPr>
        <w:t xml:space="preserve"> </w:t>
      </w:r>
      <w:r w:rsidR="00033D0F">
        <w:rPr>
          <w:i/>
          <w:position w:val="1"/>
          <w:sz w:val="24"/>
        </w:rPr>
        <w:t xml:space="preserve">Products </w:t>
      </w:r>
      <w:r w:rsidR="00033D0F">
        <w:rPr>
          <w:i/>
          <w:sz w:val="24"/>
        </w:rPr>
        <w:t>(Article 21.5 – US)</w:t>
      </w:r>
      <w:r w:rsidR="00033D0F">
        <w:rPr>
          <w:sz w:val="24"/>
        </w:rPr>
        <w:t>, which is apt to the circumstances of the present matter.</w:t>
      </w:r>
    </w:p>
    <w:p w14:paraId="42020FDF" w14:textId="77777777" w:rsidR="00BD462C" w:rsidRDefault="00033D0F">
      <w:pPr>
        <w:pStyle w:val="ListParagraph"/>
        <w:numPr>
          <w:ilvl w:val="0"/>
          <w:numId w:val="18"/>
        </w:numPr>
        <w:tabs>
          <w:tab w:val="left" w:pos="3539"/>
          <w:tab w:val="left" w:pos="3540"/>
        </w:tabs>
        <w:spacing w:before="166" w:line="362" w:lineRule="auto"/>
        <w:ind w:right="917"/>
        <w:rPr>
          <w:sz w:val="24"/>
          <w:u w:val="single"/>
        </w:rPr>
      </w:pPr>
      <w:bookmarkStart w:id="1695" w:name="(d)_Whether_the_due_process_and_procedur"/>
      <w:bookmarkEnd w:id="1695"/>
      <w:r>
        <w:rPr>
          <w:sz w:val="24"/>
          <w:u w:val="single"/>
        </w:rPr>
        <w:t>Whether</w:t>
      </w:r>
      <w:r>
        <w:rPr>
          <w:spacing w:val="40"/>
          <w:sz w:val="24"/>
          <w:u w:val="single"/>
        </w:rPr>
        <w:t xml:space="preserve"> </w:t>
      </w:r>
      <w:r>
        <w:rPr>
          <w:sz w:val="24"/>
          <w:u w:val="single"/>
        </w:rPr>
        <w:t>the</w:t>
      </w:r>
      <w:r>
        <w:rPr>
          <w:spacing w:val="40"/>
          <w:sz w:val="24"/>
          <w:u w:val="single"/>
        </w:rPr>
        <w:t xml:space="preserve"> </w:t>
      </w:r>
      <w:r>
        <w:rPr>
          <w:sz w:val="24"/>
          <w:u w:val="single"/>
        </w:rPr>
        <w:t>due</w:t>
      </w:r>
      <w:r>
        <w:rPr>
          <w:spacing w:val="40"/>
          <w:sz w:val="24"/>
          <w:u w:val="single"/>
        </w:rPr>
        <w:t xml:space="preserve"> </w:t>
      </w:r>
      <w:r>
        <w:rPr>
          <w:sz w:val="24"/>
          <w:u w:val="single"/>
        </w:rPr>
        <w:t>process</w:t>
      </w:r>
      <w:r>
        <w:rPr>
          <w:spacing w:val="40"/>
          <w:sz w:val="24"/>
          <w:u w:val="single"/>
        </w:rPr>
        <w:t xml:space="preserve"> </w:t>
      </w:r>
      <w:r>
        <w:rPr>
          <w:sz w:val="24"/>
          <w:u w:val="single"/>
        </w:rPr>
        <w:t>and</w:t>
      </w:r>
      <w:r>
        <w:rPr>
          <w:spacing w:val="40"/>
          <w:sz w:val="24"/>
          <w:u w:val="single"/>
        </w:rPr>
        <w:t xml:space="preserve"> </w:t>
      </w:r>
      <w:r>
        <w:rPr>
          <w:sz w:val="24"/>
          <w:u w:val="single"/>
        </w:rPr>
        <w:t>procedural</w:t>
      </w:r>
      <w:r>
        <w:rPr>
          <w:spacing w:val="40"/>
          <w:sz w:val="24"/>
          <w:u w:val="single"/>
        </w:rPr>
        <w:t xml:space="preserve"> </w:t>
      </w:r>
      <w:r>
        <w:rPr>
          <w:sz w:val="24"/>
          <w:u w:val="single"/>
        </w:rPr>
        <w:t>rights</w:t>
      </w:r>
      <w:r>
        <w:rPr>
          <w:spacing w:val="40"/>
          <w:sz w:val="24"/>
          <w:u w:val="single"/>
        </w:rPr>
        <w:t xml:space="preserve"> </w:t>
      </w:r>
      <w:r>
        <w:rPr>
          <w:sz w:val="24"/>
          <w:u w:val="single"/>
        </w:rPr>
        <w:t>under</w:t>
      </w:r>
      <w:r>
        <w:rPr>
          <w:sz w:val="24"/>
        </w:rPr>
        <w:t xml:space="preserve"> </w:t>
      </w:r>
      <w:r>
        <w:rPr>
          <w:sz w:val="24"/>
          <w:u w:val="single"/>
        </w:rPr>
        <w:t>Article 6.4 are as limited and narrow as China suggests</w:t>
      </w:r>
    </w:p>
    <w:p w14:paraId="6427A92A" w14:textId="77777777" w:rsidR="00BD462C" w:rsidRDefault="00BD462C">
      <w:pPr>
        <w:pStyle w:val="BodyText"/>
        <w:spacing w:before="7"/>
        <w:rPr>
          <w:sz w:val="8"/>
        </w:rPr>
      </w:pPr>
    </w:p>
    <w:p w14:paraId="60919137" w14:textId="0F1A2AB1" w:rsidR="00BD462C" w:rsidRDefault="00E4449D">
      <w:pPr>
        <w:pStyle w:val="BodyText"/>
        <w:spacing w:before="56" w:line="360" w:lineRule="auto"/>
        <w:ind w:left="136" w:right="913"/>
        <w:jc w:val="both"/>
      </w:pPr>
      <w:r>
        <w:rPr>
          <w:noProof/>
        </w:rPr>
        <w:t>856.</w:t>
      </w:r>
      <w:r w:rsidR="00033D0F">
        <w:rPr>
          <w:rFonts w:ascii="Times New Roman"/>
          <w:spacing w:val="80"/>
          <w:position w:val="1"/>
          <w:sz w:val="20"/>
        </w:rPr>
        <w:t xml:space="preserve"> </w:t>
      </w:r>
      <w:r w:rsidR="00033D0F">
        <w:rPr>
          <w:position w:val="1"/>
        </w:rPr>
        <w:t xml:space="preserve">The parties disagree as to the proper application of Article 6.4 of the Anti-Dumping </w:t>
      </w:r>
      <w:r w:rsidR="00033D0F">
        <w:t xml:space="preserve">Agreement. In its first written submission, China attempts to improperly limit the scope of Article 6.4 by </w:t>
      </w:r>
      <w:proofErr w:type="spellStart"/>
      <w:r w:rsidR="00033D0F">
        <w:t>mischaracterising</w:t>
      </w:r>
      <w:proofErr w:type="spellEnd"/>
      <w:r w:rsidR="00033D0F">
        <w:t xml:space="preserve"> previous panels' findings. In particular, China has incorrectly </w:t>
      </w:r>
      <w:proofErr w:type="spellStart"/>
      <w:r w:rsidR="00033D0F">
        <w:t>categorised</w:t>
      </w:r>
      <w:proofErr w:type="spellEnd"/>
      <w:r w:rsidR="00033D0F">
        <w:t xml:space="preserve"> or labelled particular types of information as either "context" or "methodology". It</w:t>
      </w:r>
      <w:r w:rsidR="00033D0F">
        <w:rPr>
          <w:spacing w:val="-2"/>
        </w:rPr>
        <w:t xml:space="preserve"> </w:t>
      </w:r>
      <w:r w:rsidR="00033D0F">
        <w:t>then</w:t>
      </w:r>
      <w:r w:rsidR="00033D0F">
        <w:rPr>
          <w:spacing w:val="-4"/>
        </w:rPr>
        <w:t xml:space="preserve"> </w:t>
      </w:r>
      <w:r w:rsidR="00033D0F">
        <w:t>asserts</w:t>
      </w:r>
      <w:r w:rsidR="00033D0F">
        <w:rPr>
          <w:spacing w:val="-1"/>
        </w:rPr>
        <w:t xml:space="preserve"> </w:t>
      </w:r>
      <w:r w:rsidR="00033D0F">
        <w:t>that</w:t>
      </w:r>
      <w:r w:rsidR="00033D0F">
        <w:rPr>
          <w:spacing w:val="-2"/>
        </w:rPr>
        <w:t xml:space="preserve"> </w:t>
      </w:r>
      <w:r w:rsidR="00033D0F">
        <w:t>the</w:t>
      </w:r>
      <w:r w:rsidR="00033D0F">
        <w:rPr>
          <w:spacing w:val="-3"/>
        </w:rPr>
        <w:t xml:space="preserve"> </w:t>
      </w:r>
      <w:r w:rsidR="00033D0F">
        <w:t>information</w:t>
      </w:r>
      <w:r w:rsidR="00033D0F">
        <w:rPr>
          <w:spacing w:val="-4"/>
        </w:rPr>
        <w:t xml:space="preserve"> </w:t>
      </w:r>
      <w:r w:rsidR="00033D0F">
        <w:t>it</w:t>
      </w:r>
      <w:r w:rsidR="00033D0F">
        <w:rPr>
          <w:spacing w:val="-2"/>
        </w:rPr>
        <w:t xml:space="preserve"> </w:t>
      </w:r>
      <w:r w:rsidR="00033D0F">
        <w:t>places</w:t>
      </w:r>
      <w:r w:rsidR="00033D0F">
        <w:rPr>
          <w:spacing w:val="-6"/>
        </w:rPr>
        <w:t xml:space="preserve"> </w:t>
      </w:r>
      <w:r w:rsidR="00033D0F">
        <w:t>in</w:t>
      </w:r>
      <w:r w:rsidR="00033D0F">
        <w:rPr>
          <w:spacing w:val="-4"/>
        </w:rPr>
        <w:t xml:space="preserve"> </w:t>
      </w:r>
      <w:r w:rsidR="00033D0F">
        <w:t>such</w:t>
      </w:r>
      <w:r w:rsidR="00033D0F">
        <w:rPr>
          <w:spacing w:val="-4"/>
        </w:rPr>
        <w:t xml:space="preserve"> </w:t>
      </w:r>
      <w:r w:rsidR="00033D0F">
        <w:t xml:space="preserve">categories, </w:t>
      </w:r>
      <w:r w:rsidR="00033D0F">
        <w:rPr>
          <w:i/>
        </w:rPr>
        <w:t>per</w:t>
      </w:r>
      <w:r w:rsidR="00033D0F">
        <w:rPr>
          <w:i/>
          <w:spacing w:val="-4"/>
        </w:rPr>
        <w:t xml:space="preserve"> </w:t>
      </w:r>
      <w:r w:rsidR="00033D0F">
        <w:rPr>
          <w:i/>
        </w:rPr>
        <w:t>se</w:t>
      </w:r>
      <w:r w:rsidR="00033D0F">
        <w:t>, falls</w:t>
      </w:r>
      <w:r w:rsidR="00033D0F">
        <w:rPr>
          <w:spacing w:val="-1"/>
        </w:rPr>
        <w:t xml:space="preserve"> </w:t>
      </w:r>
      <w:r w:rsidR="00033D0F">
        <w:t>outside</w:t>
      </w:r>
      <w:r w:rsidR="00033D0F">
        <w:rPr>
          <w:spacing w:val="-3"/>
        </w:rPr>
        <w:t xml:space="preserve"> </w:t>
      </w:r>
      <w:r w:rsidR="00033D0F">
        <w:t>the</w:t>
      </w:r>
      <w:r w:rsidR="00033D0F">
        <w:rPr>
          <w:spacing w:val="-3"/>
        </w:rPr>
        <w:t xml:space="preserve"> </w:t>
      </w:r>
      <w:r w:rsidR="00033D0F">
        <w:t>scope of the obligation under Article 6.4. For the reasons set out below, Australia disagrees with China's approach.</w:t>
      </w:r>
    </w:p>
    <w:p w14:paraId="4B7CC678" w14:textId="77777777" w:rsidR="00BD462C" w:rsidRDefault="00BD462C">
      <w:pPr>
        <w:pStyle w:val="BodyText"/>
        <w:spacing w:before="6"/>
        <w:rPr>
          <w:sz w:val="8"/>
        </w:rPr>
      </w:pPr>
    </w:p>
    <w:p w14:paraId="0CD6BB1F" w14:textId="0A0E8669" w:rsidR="00BD462C" w:rsidRDefault="00E4449D">
      <w:pPr>
        <w:pStyle w:val="BodyText"/>
        <w:spacing w:before="56" w:line="360" w:lineRule="auto"/>
        <w:ind w:left="135" w:right="911"/>
        <w:jc w:val="both"/>
      </w:pPr>
      <w:r>
        <w:rPr>
          <w:noProof/>
        </w:rPr>
        <w:t xml:space="preserve">857. </w:t>
      </w:r>
      <w:r w:rsidR="00033D0F">
        <w:rPr>
          <w:position w:val="1"/>
        </w:rPr>
        <w:t xml:space="preserve">The issue before the Panel is whether the information identified in Australia's </w:t>
      </w:r>
      <w:r w:rsidR="00033D0F">
        <w:t>submissions is within the scope of Article 6.4. That question must be answered by reference to</w:t>
      </w:r>
      <w:r w:rsidR="00033D0F">
        <w:rPr>
          <w:spacing w:val="-9"/>
        </w:rPr>
        <w:t xml:space="preserve"> </w:t>
      </w:r>
      <w:r w:rsidR="00033D0F">
        <w:t>the</w:t>
      </w:r>
      <w:r w:rsidR="00033D0F">
        <w:rPr>
          <w:spacing w:val="-7"/>
        </w:rPr>
        <w:t xml:space="preserve"> </w:t>
      </w:r>
      <w:r w:rsidR="00033D0F">
        <w:t>text</w:t>
      </w:r>
      <w:r w:rsidR="00033D0F">
        <w:rPr>
          <w:spacing w:val="-7"/>
        </w:rPr>
        <w:t xml:space="preserve"> </w:t>
      </w:r>
      <w:r w:rsidR="00033D0F">
        <w:t>of</w:t>
      </w:r>
      <w:r w:rsidR="00033D0F">
        <w:rPr>
          <w:spacing w:val="-4"/>
        </w:rPr>
        <w:t xml:space="preserve"> </w:t>
      </w:r>
      <w:r w:rsidR="00033D0F">
        <w:t>the</w:t>
      </w:r>
      <w:r w:rsidR="00033D0F">
        <w:rPr>
          <w:spacing w:val="-7"/>
        </w:rPr>
        <w:t xml:space="preserve"> </w:t>
      </w:r>
      <w:r w:rsidR="00033D0F">
        <w:t>Anti-Dumping</w:t>
      </w:r>
      <w:r w:rsidR="00033D0F">
        <w:rPr>
          <w:spacing w:val="-6"/>
        </w:rPr>
        <w:t xml:space="preserve"> </w:t>
      </w:r>
      <w:r w:rsidR="00033D0F">
        <w:t>Agreement.</w:t>
      </w:r>
      <w:r w:rsidR="00033D0F">
        <w:rPr>
          <w:spacing w:val="-6"/>
        </w:rPr>
        <w:t xml:space="preserve"> </w:t>
      </w:r>
      <w:r w:rsidR="00033D0F">
        <w:t>There</w:t>
      </w:r>
      <w:r w:rsidR="00033D0F">
        <w:rPr>
          <w:spacing w:val="-2"/>
        </w:rPr>
        <w:t xml:space="preserve"> </w:t>
      </w:r>
      <w:r w:rsidR="00033D0F">
        <w:t>is</w:t>
      </w:r>
      <w:r w:rsidR="00033D0F">
        <w:rPr>
          <w:spacing w:val="-6"/>
        </w:rPr>
        <w:t xml:space="preserve"> </w:t>
      </w:r>
      <w:r w:rsidR="00033D0F">
        <w:t>no</w:t>
      </w:r>
      <w:r w:rsidR="00033D0F">
        <w:rPr>
          <w:spacing w:val="-10"/>
        </w:rPr>
        <w:t xml:space="preserve"> </w:t>
      </w:r>
      <w:r w:rsidR="00033D0F">
        <w:t>basis</w:t>
      </w:r>
      <w:r w:rsidR="00033D0F">
        <w:rPr>
          <w:spacing w:val="-6"/>
        </w:rPr>
        <w:t xml:space="preserve"> </w:t>
      </w:r>
      <w:r w:rsidR="00033D0F">
        <w:t>in</w:t>
      </w:r>
      <w:r w:rsidR="00033D0F">
        <w:rPr>
          <w:spacing w:val="-9"/>
        </w:rPr>
        <w:t xml:space="preserve"> </w:t>
      </w:r>
      <w:r w:rsidR="00033D0F">
        <w:t>the</w:t>
      </w:r>
      <w:r w:rsidR="00033D0F">
        <w:rPr>
          <w:spacing w:val="-7"/>
        </w:rPr>
        <w:t xml:space="preserve"> </w:t>
      </w:r>
      <w:r w:rsidR="00033D0F">
        <w:t>Anti-Dumping</w:t>
      </w:r>
      <w:r w:rsidR="00033D0F">
        <w:rPr>
          <w:spacing w:val="-6"/>
        </w:rPr>
        <w:t xml:space="preserve"> </w:t>
      </w:r>
      <w:r w:rsidR="00033D0F">
        <w:t>Agreement (or anywhere else) to approach this question by first asking whether the information fits within</w:t>
      </w:r>
      <w:r w:rsidR="00033D0F">
        <w:rPr>
          <w:spacing w:val="-9"/>
        </w:rPr>
        <w:t xml:space="preserve"> </w:t>
      </w:r>
      <w:r w:rsidR="00033D0F">
        <w:t>the</w:t>
      </w:r>
      <w:r w:rsidR="00033D0F">
        <w:rPr>
          <w:spacing w:val="-7"/>
        </w:rPr>
        <w:t xml:space="preserve"> </w:t>
      </w:r>
      <w:r w:rsidR="00033D0F">
        <w:t>scope</w:t>
      </w:r>
      <w:r w:rsidR="00033D0F">
        <w:rPr>
          <w:spacing w:val="-7"/>
        </w:rPr>
        <w:t xml:space="preserve"> </w:t>
      </w:r>
      <w:r w:rsidR="00033D0F">
        <w:t>of</w:t>
      </w:r>
      <w:r w:rsidR="00033D0F">
        <w:rPr>
          <w:spacing w:val="-9"/>
        </w:rPr>
        <w:t xml:space="preserve"> </w:t>
      </w:r>
      <w:r w:rsidR="00033D0F">
        <w:rPr>
          <w:i/>
        </w:rPr>
        <w:t>some</w:t>
      </w:r>
      <w:r w:rsidR="00033D0F">
        <w:rPr>
          <w:i/>
          <w:spacing w:val="-7"/>
        </w:rPr>
        <w:t xml:space="preserve"> </w:t>
      </w:r>
      <w:r w:rsidR="00033D0F">
        <w:rPr>
          <w:i/>
        </w:rPr>
        <w:t>other</w:t>
      </w:r>
      <w:r w:rsidR="00033D0F">
        <w:rPr>
          <w:i/>
          <w:spacing w:val="-13"/>
        </w:rPr>
        <w:t xml:space="preserve"> </w:t>
      </w:r>
      <w:r w:rsidR="00033D0F">
        <w:t>vaguely</w:t>
      </w:r>
      <w:r w:rsidR="00033D0F">
        <w:rPr>
          <w:spacing w:val="-6"/>
        </w:rPr>
        <w:t xml:space="preserve"> </w:t>
      </w:r>
      <w:r w:rsidR="00033D0F">
        <w:t>defined</w:t>
      </w:r>
      <w:r w:rsidR="00033D0F">
        <w:rPr>
          <w:spacing w:val="-9"/>
        </w:rPr>
        <w:t xml:space="preserve"> </w:t>
      </w:r>
      <w:r w:rsidR="00033D0F">
        <w:t>category</w:t>
      </w:r>
      <w:r w:rsidR="00033D0F">
        <w:rPr>
          <w:spacing w:val="-6"/>
        </w:rPr>
        <w:t xml:space="preserve"> </w:t>
      </w:r>
      <w:r w:rsidR="00033D0F">
        <w:t>such</w:t>
      </w:r>
      <w:r w:rsidR="00033D0F">
        <w:rPr>
          <w:spacing w:val="-9"/>
        </w:rPr>
        <w:t xml:space="preserve"> </w:t>
      </w:r>
      <w:r w:rsidR="00033D0F">
        <w:t>as</w:t>
      </w:r>
      <w:r w:rsidR="00033D0F">
        <w:rPr>
          <w:spacing w:val="-6"/>
        </w:rPr>
        <w:t xml:space="preserve"> </w:t>
      </w:r>
      <w:r w:rsidR="00033D0F">
        <w:t>"context"</w:t>
      </w:r>
      <w:r w:rsidR="00033D0F">
        <w:rPr>
          <w:spacing w:val="-8"/>
        </w:rPr>
        <w:t xml:space="preserve"> </w:t>
      </w:r>
      <w:r w:rsidR="00033D0F">
        <w:t>or</w:t>
      </w:r>
      <w:r w:rsidR="00033D0F">
        <w:rPr>
          <w:spacing w:val="-10"/>
        </w:rPr>
        <w:t xml:space="preserve"> </w:t>
      </w:r>
      <w:r w:rsidR="00033D0F">
        <w:t>"methodology", and then attempting</w:t>
      </w:r>
      <w:r w:rsidR="00033D0F">
        <w:rPr>
          <w:spacing w:val="-1"/>
        </w:rPr>
        <w:t xml:space="preserve"> </w:t>
      </w:r>
      <w:r w:rsidR="00033D0F">
        <w:t xml:space="preserve">to determine whether </w:t>
      </w:r>
      <w:r w:rsidR="00033D0F">
        <w:rPr>
          <w:i/>
        </w:rPr>
        <w:t>every</w:t>
      </w:r>
      <w:r w:rsidR="00033D0F">
        <w:rPr>
          <w:i/>
          <w:spacing w:val="-3"/>
        </w:rPr>
        <w:t xml:space="preserve"> </w:t>
      </w:r>
      <w:r w:rsidR="00033D0F">
        <w:t>type of information that could fall with the scope of that vague category would be within the scope of Article 6.4.</w:t>
      </w:r>
    </w:p>
    <w:p w14:paraId="24D5395A" w14:textId="77777777" w:rsidR="00BD462C" w:rsidRDefault="00033D0F">
      <w:pPr>
        <w:pStyle w:val="ListParagraph"/>
        <w:numPr>
          <w:ilvl w:val="1"/>
          <w:numId w:val="18"/>
        </w:numPr>
        <w:tabs>
          <w:tab w:val="left" w:pos="4388"/>
          <w:tab w:val="left" w:pos="4389"/>
        </w:tabs>
        <w:spacing w:before="154" w:line="357" w:lineRule="auto"/>
        <w:ind w:right="915"/>
        <w:jc w:val="both"/>
        <w:rPr>
          <w:i/>
          <w:sz w:val="24"/>
        </w:rPr>
      </w:pPr>
      <w:bookmarkStart w:id="1696" w:name="i._China's_table_at_paragraph_2455_of_it"/>
      <w:bookmarkEnd w:id="1696"/>
      <w:r>
        <w:rPr>
          <w:i/>
          <w:sz w:val="24"/>
        </w:rPr>
        <w:t>China's</w:t>
      </w:r>
      <w:r>
        <w:rPr>
          <w:i/>
          <w:spacing w:val="-11"/>
          <w:sz w:val="24"/>
        </w:rPr>
        <w:t xml:space="preserve"> </w:t>
      </w:r>
      <w:r>
        <w:rPr>
          <w:i/>
          <w:sz w:val="24"/>
        </w:rPr>
        <w:t>table</w:t>
      </w:r>
      <w:r>
        <w:rPr>
          <w:i/>
          <w:spacing w:val="-13"/>
          <w:sz w:val="24"/>
        </w:rPr>
        <w:t xml:space="preserve"> </w:t>
      </w:r>
      <w:r>
        <w:rPr>
          <w:i/>
          <w:sz w:val="24"/>
        </w:rPr>
        <w:t>at</w:t>
      </w:r>
      <w:r>
        <w:rPr>
          <w:i/>
          <w:spacing w:val="-8"/>
          <w:sz w:val="24"/>
        </w:rPr>
        <w:t xml:space="preserve"> </w:t>
      </w:r>
      <w:r>
        <w:rPr>
          <w:i/>
          <w:sz w:val="24"/>
        </w:rPr>
        <w:t>paragraph</w:t>
      </w:r>
      <w:r>
        <w:rPr>
          <w:i/>
          <w:spacing w:val="-8"/>
          <w:sz w:val="24"/>
        </w:rPr>
        <w:t xml:space="preserve"> </w:t>
      </w:r>
      <w:r>
        <w:rPr>
          <w:i/>
          <w:sz w:val="24"/>
        </w:rPr>
        <w:t>2455</w:t>
      </w:r>
      <w:r>
        <w:rPr>
          <w:i/>
          <w:spacing w:val="-10"/>
          <w:sz w:val="24"/>
        </w:rPr>
        <w:t xml:space="preserve"> </w:t>
      </w:r>
      <w:r>
        <w:rPr>
          <w:i/>
          <w:sz w:val="24"/>
        </w:rPr>
        <w:t>of</w:t>
      </w:r>
      <w:r>
        <w:rPr>
          <w:i/>
          <w:spacing w:val="-10"/>
          <w:sz w:val="24"/>
        </w:rPr>
        <w:t xml:space="preserve"> </w:t>
      </w:r>
      <w:r>
        <w:rPr>
          <w:i/>
          <w:sz w:val="24"/>
        </w:rPr>
        <w:t>its</w:t>
      </w:r>
      <w:r>
        <w:rPr>
          <w:i/>
          <w:spacing w:val="-11"/>
          <w:sz w:val="24"/>
        </w:rPr>
        <w:t xml:space="preserve"> </w:t>
      </w:r>
      <w:r>
        <w:rPr>
          <w:i/>
          <w:sz w:val="24"/>
        </w:rPr>
        <w:t>first</w:t>
      </w:r>
      <w:r>
        <w:rPr>
          <w:i/>
          <w:spacing w:val="-8"/>
          <w:sz w:val="24"/>
        </w:rPr>
        <w:t xml:space="preserve"> </w:t>
      </w:r>
      <w:r>
        <w:rPr>
          <w:i/>
          <w:sz w:val="24"/>
        </w:rPr>
        <w:t>written submission misrepresents Australia's arguments</w:t>
      </w:r>
    </w:p>
    <w:p w14:paraId="2306082A" w14:textId="77777777" w:rsidR="00BD462C" w:rsidRDefault="00BD462C">
      <w:pPr>
        <w:pStyle w:val="BodyText"/>
        <w:spacing w:before="2"/>
        <w:rPr>
          <w:i/>
          <w:sz w:val="9"/>
        </w:rPr>
      </w:pPr>
    </w:p>
    <w:p w14:paraId="3973FE43" w14:textId="5C23E74D" w:rsidR="00BD462C" w:rsidRDefault="00AC5C65">
      <w:pPr>
        <w:pStyle w:val="BodyText"/>
        <w:spacing w:before="57" w:line="357" w:lineRule="auto"/>
        <w:ind w:left="136" w:right="915"/>
        <w:jc w:val="both"/>
      </w:pPr>
      <w:r>
        <w:rPr>
          <w:noProof/>
        </w:rPr>
        <mc:AlternateContent>
          <mc:Choice Requires="wps">
            <w:drawing>
              <wp:anchor distT="0" distB="0" distL="0" distR="0" simplePos="0" relativeHeight="488315392" behindDoc="1" locked="0" layoutInCell="1" allowOverlap="1" wp14:anchorId="03C2B2C4" wp14:editId="18A35D17">
                <wp:simplePos x="0" y="0"/>
                <wp:positionH relativeFrom="page">
                  <wp:posOffset>812800</wp:posOffset>
                </wp:positionH>
                <wp:positionV relativeFrom="paragraph">
                  <wp:posOffset>1094105</wp:posOffset>
                </wp:positionV>
                <wp:extent cx="1828800" cy="8890"/>
                <wp:effectExtent l="0" t="0" r="0" b="0"/>
                <wp:wrapTopAndBottom/>
                <wp:docPr id="1160" name="docshape5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C1BA7D" id="docshape591" o:spid="_x0000_s1026" alt="&quot;&quot;" style="position:absolute;margin-left:64pt;margin-top:86.15pt;width:2in;height:.7pt;z-index:-15001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" fillcolor="black" stroked="f">
                <w10:wrap type="topAndBottom" anchorx="page"/>
              </v:rect>
            </w:pict>
          </mc:Fallback>
        </mc:AlternateContent>
      </w:r>
      <w:r w:rsidR="00E4449D">
        <w:rPr>
          <w:noProof/>
        </w:rPr>
        <w:t>858</w:t>
      </w:r>
      <w:r w:rsidR="009B0E6F">
        <w:rPr>
          <w:noProof/>
        </w:rPr>
        <w:t>.</w:t>
      </w:r>
      <w:r w:rsidR="00033D0F">
        <w:rPr>
          <w:rFonts w:ascii="Times New Roman"/>
          <w:spacing w:val="80"/>
          <w:position w:val="1"/>
          <w:sz w:val="20"/>
        </w:rPr>
        <w:t xml:space="preserve"> </w:t>
      </w:r>
      <w:r w:rsidR="00033D0F">
        <w:rPr>
          <w:position w:val="1"/>
        </w:rPr>
        <w:t xml:space="preserve">China's first written submission includes a table that purports to identify arguments </w:t>
      </w:r>
      <w:r w:rsidR="00033D0F">
        <w:t>purportedly made by Australia that are outside the scope of Article 6.4. It is a misrepresentation</w:t>
      </w:r>
      <w:r w:rsidR="00033D0F">
        <w:rPr>
          <w:spacing w:val="57"/>
        </w:rPr>
        <w:t xml:space="preserve"> </w:t>
      </w:r>
      <w:r w:rsidR="00033D0F">
        <w:t>of</w:t>
      </w:r>
      <w:r w:rsidR="00033D0F">
        <w:rPr>
          <w:spacing w:val="57"/>
        </w:rPr>
        <w:t xml:space="preserve"> </w:t>
      </w:r>
      <w:r w:rsidR="00033D0F">
        <w:t>the</w:t>
      </w:r>
      <w:r w:rsidR="00033D0F">
        <w:rPr>
          <w:spacing w:val="59"/>
        </w:rPr>
        <w:t xml:space="preserve"> </w:t>
      </w:r>
      <w:r w:rsidR="00033D0F">
        <w:t>case</w:t>
      </w:r>
      <w:r w:rsidR="00033D0F">
        <w:rPr>
          <w:spacing w:val="59"/>
        </w:rPr>
        <w:t xml:space="preserve"> </w:t>
      </w:r>
      <w:r w:rsidR="00033D0F">
        <w:t>made</w:t>
      </w:r>
      <w:r w:rsidR="00033D0F">
        <w:rPr>
          <w:spacing w:val="59"/>
        </w:rPr>
        <w:t xml:space="preserve"> </w:t>
      </w:r>
      <w:r w:rsidR="00033D0F">
        <w:t>by</w:t>
      </w:r>
      <w:r w:rsidR="00033D0F">
        <w:rPr>
          <w:spacing w:val="60"/>
        </w:rPr>
        <w:t xml:space="preserve"> </w:t>
      </w:r>
      <w:r w:rsidR="00033D0F">
        <w:t>Australia.</w:t>
      </w:r>
      <w:r w:rsidR="00033D0F">
        <w:rPr>
          <w:spacing w:val="40"/>
        </w:rPr>
        <w:t xml:space="preserve"> </w:t>
      </w:r>
      <w:r w:rsidR="00033D0F">
        <w:t>What</w:t>
      </w:r>
      <w:r w:rsidR="00033D0F">
        <w:rPr>
          <w:spacing w:val="59"/>
        </w:rPr>
        <w:t xml:space="preserve"> </w:t>
      </w:r>
      <w:r w:rsidR="00033D0F">
        <w:t>are</w:t>
      </w:r>
      <w:r w:rsidR="00033D0F">
        <w:rPr>
          <w:spacing w:val="59"/>
        </w:rPr>
        <w:t xml:space="preserve"> </w:t>
      </w:r>
      <w:r w:rsidR="00033D0F">
        <w:t>described</w:t>
      </w:r>
      <w:r w:rsidR="00033D0F">
        <w:rPr>
          <w:spacing w:val="57"/>
        </w:rPr>
        <w:t xml:space="preserve"> </w:t>
      </w:r>
      <w:r w:rsidR="00033D0F">
        <w:t>as</w:t>
      </w:r>
      <w:r w:rsidR="00033D0F">
        <w:rPr>
          <w:spacing w:val="60"/>
        </w:rPr>
        <w:t xml:space="preserve"> </w:t>
      </w:r>
      <w:r w:rsidR="00033D0F">
        <w:t>"items"</w:t>
      </w:r>
      <w:r w:rsidR="00033D0F">
        <w:rPr>
          <w:spacing w:val="58"/>
        </w:rPr>
        <w:t xml:space="preserve"> </w:t>
      </w:r>
      <w:r w:rsidR="00033D0F">
        <w:t>from</w:t>
      </w:r>
    </w:p>
    <w:p w14:paraId="31EE235D" w14:textId="1ABB7104" w:rsidR="00BD462C" w:rsidRDefault="00BD462C">
      <w:pPr>
        <w:pStyle w:val="BodyText"/>
        <w:rPr>
          <w:sz w:val="29"/>
        </w:rPr>
      </w:pPr>
    </w:p>
    <w:p w14:paraId="17CF6427" w14:textId="77777777" w:rsidR="00BD462C" w:rsidRDefault="00033D0F">
      <w:pPr>
        <w:spacing w:before="112"/>
        <w:ind w:left="135"/>
        <w:rPr>
          <w:sz w:val="18"/>
        </w:rPr>
      </w:pPr>
      <w:bookmarkStart w:id="1697" w:name="_bookmark1460"/>
      <w:bookmarkEnd w:id="1697"/>
      <w:r>
        <w:rPr>
          <w:position w:val="5"/>
          <w:sz w:val="12"/>
        </w:rPr>
        <w:t>1258</w:t>
      </w:r>
      <w:r>
        <w:rPr>
          <w:spacing w:val="15"/>
          <w:position w:val="5"/>
          <w:sz w:val="12"/>
        </w:rPr>
        <w:t xml:space="preserve"> </w:t>
      </w:r>
      <w:r>
        <w:rPr>
          <w:sz w:val="18"/>
        </w:rPr>
        <w:t>Panel</w:t>
      </w:r>
      <w:r>
        <w:rPr>
          <w:spacing w:val="-3"/>
          <w:sz w:val="18"/>
        </w:rPr>
        <w:t xml:space="preserve"> </w:t>
      </w:r>
      <w:r>
        <w:rPr>
          <w:sz w:val="18"/>
        </w:rPr>
        <w:t>Report,</w:t>
      </w:r>
      <w:r>
        <w:rPr>
          <w:spacing w:val="-2"/>
          <w:sz w:val="18"/>
        </w:rPr>
        <w:t xml:space="preserve"> </w:t>
      </w:r>
      <w:r>
        <w:rPr>
          <w:i/>
          <w:sz w:val="18"/>
        </w:rPr>
        <w:t>China</w:t>
      </w:r>
      <w:r>
        <w:rPr>
          <w:i/>
          <w:spacing w:val="-2"/>
          <w:sz w:val="18"/>
        </w:rPr>
        <w:t xml:space="preserve"> </w:t>
      </w:r>
      <w:r>
        <w:rPr>
          <w:i/>
          <w:sz w:val="18"/>
        </w:rPr>
        <w:t>–</w:t>
      </w:r>
      <w:r>
        <w:rPr>
          <w:i/>
          <w:spacing w:val="-4"/>
          <w:sz w:val="18"/>
        </w:rPr>
        <w:t xml:space="preserve"> </w:t>
      </w:r>
      <w:r>
        <w:rPr>
          <w:i/>
          <w:sz w:val="18"/>
        </w:rPr>
        <w:t>Broiler</w:t>
      </w:r>
      <w:r>
        <w:rPr>
          <w:i/>
          <w:spacing w:val="-5"/>
          <w:sz w:val="18"/>
        </w:rPr>
        <w:t xml:space="preserve"> </w:t>
      </w:r>
      <w:r>
        <w:rPr>
          <w:i/>
          <w:sz w:val="18"/>
        </w:rPr>
        <w:t>Products</w:t>
      </w:r>
      <w:r>
        <w:rPr>
          <w:i/>
          <w:spacing w:val="-8"/>
          <w:sz w:val="18"/>
        </w:rPr>
        <w:t xml:space="preserve"> </w:t>
      </w:r>
      <w:r>
        <w:rPr>
          <w:i/>
          <w:sz w:val="18"/>
        </w:rPr>
        <w:t>(Article</w:t>
      </w:r>
      <w:r>
        <w:rPr>
          <w:i/>
          <w:spacing w:val="-1"/>
          <w:sz w:val="18"/>
        </w:rPr>
        <w:t xml:space="preserve"> </w:t>
      </w:r>
      <w:r>
        <w:rPr>
          <w:i/>
          <w:sz w:val="18"/>
        </w:rPr>
        <w:t>21.5</w:t>
      </w:r>
      <w:r>
        <w:rPr>
          <w:i/>
          <w:spacing w:val="-5"/>
          <w:sz w:val="18"/>
        </w:rPr>
        <w:t xml:space="preserve"> </w:t>
      </w:r>
      <w:r>
        <w:rPr>
          <w:i/>
          <w:sz w:val="18"/>
        </w:rPr>
        <w:t>– US)</w:t>
      </w:r>
      <w:r>
        <w:rPr>
          <w:sz w:val="18"/>
        </w:rPr>
        <w:t>,</w:t>
      </w:r>
      <w:r>
        <w:rPr>
          <w:spacing w:val="-2"/>
          <w:sz w:val="18"/>
        </w:rPr>
        <w:t xml:space="preserve"> </w:t>
      </w:r>
      <w:r>
        <w:rPr>
          <w:sz w:val="18"/>
        </w:rPr>
        <w:t>para.</w:t>
      </w:r>
      <w:r>
        <w:rPr>
          <w:spacing w:val="2"/>
          <w:sz w:val="18"/>
        </w:rPr>
        <w:t xml:space="preserve"> </w:t>
      </w:r>
      <w:r>
        <w:rPr>
          <w:spacing w:val="-2"/>
          <w:sz w:val="18"/>
        </w:rPr>
        <w:t>7.291.</w:t>
      </w:r>
    </w:p>
    <w:p w14:paraId="0A41FCF2" w14:textId="77777777" w:rsidR="00BD462C" w:rsidRDefault="00BD462C">
      <w:pPr>
        <w:rPr>
          <w:sz w:val="18"/>
        </w:rPr>
        <w:sectPr w:rsidR="00BD462C">
          <w:pgSz w:w="11910" w:h="16840"/>
          <w:pgMar w:top="860" w:right="500" w:bottom="780" w:left="1280" w:header="566" w:footer="590" w:gutter="0"/>
          <w:cols w:space="720"/>
        </w:sectPr>
      </w:pPr>
    </w:p>
    <w:p w14:paraId="20917C0D"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0850B1AD"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1ABD011B"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5FE038AE" w14:textId="77777777" w:rsidR="00BD462C" w:rsidRDefault="00033D0F">
      <w:pPr>
        <w:pStyle w:val="BodyText"/>
        <w:spacing w:before="102" w:line="357" w:lineRule="auto"/>
        <w:ind w:left="135" w:right="923"/>
      </w:pPr>
      <w:r>
        <w:t>Australia's</w:t>
      </w:r>
      <w:r>
        <w:rPr>
          <w:spacing w:val="80"/>
        </w:rPr>
        <w:t xml:space="preserve"> </w:t>
      </w:r>
      <w:r>
        <w:t>submissions</w:t>
      </w:r>
      <w:r>
        <w:rPr>
          <w:spacing w:val="80"/>
        </w:rPr>
        <w:t xml:space="preserve"> </w:t>
      </w:r>
      <w:r>
        <w:t>are</w:t>
      </w:r>
      <w:r>
        <w:rPr>
          <w:spacing w:val="80"/>
        </w:rPr>
        <w:t xml:space="preserve"> </w:t>
      </w:r>
      <w:r>
        <w:t>selectively</w:t>
      </w:r>
      <w:r>
        <w:rPr>
          <w:spacing w:val="80"/>
        </w:rPr>
        <w:t xml:space="preserve"> </w:t>
      </w:r>
      <w:r>
        <w:t>cherry-picked</w:t>
      </w:r>
      <w:r>
        <w:rPr>
          <w:spacing w:val="80"/>
        </w:rPr>
        <w:t xml:space="preserve"> </w:t>
      </w:r>
      <w:r>
        <w:t>phrases</w:t>
      </w:r>
      <w:r>
        <w:rPr>
          <w:spacing w:val="80"/>
        </w:rPr>
        <w:t xml:space="preserve"> </w:t>
      </w:r>
      <w:r>
        <w:t>and</w:t>
      </w:r>
      <w:r>
        <w:rPr>
          <w:spacing w:val="80"/>
        </w:rPr>
        <w:t xml:space="preserve"> </w:t>
      </w:r>
      <w:r>
        <w:t>incomplete</w:t>
      </w:r>
      <w:r>
        <w:rPr>
          <w:spacing w:val="80"/>
        </w:rPr>
        <w:t xml:space="preserve"> </w:t>
      </w:r>
      <w:r>
        <w:t>parts</w:t>
      </w:r>
      <w:r>
        <w:rPr>
          <w:spacing w:val="80"/>
        </w:rPr>
        <w:t xml:space="preserve"> </w:t>
      </w:r>
      <w:r>
        <w:t>of sentences that are abstracted from the context in which they appear.</w:t>
      </w:r>
    </w:p>
    <w:p w14:paraId="37EB5D2D" w14:textId="77777777" w:rsidR="00BD462C" w:rsidRDefault="00BD462C">
      <w:pPr>
        <w:pStyle w:val="BodyText"/>
        <w:spacing w:before="3"/>
        <w:rPr>
          <w:sz w:val="9"/>
        </w:rPr>
      </w:pPr>
    </w:p>
    <w:p w14:paraId="5B626BC0" w14:textId="519900E9" w:rsidR="00BD462C" w:rsidRDefault="00E4449D">
      <w:pPr>
        <w:pStyle w:val="BodyText"/>
        <w:spacing w:before="56" w:line="360" w:lineRule="auto"/>
        <w:ind w:left="135" w:right="912"/>
        <w:jc w:val="both"/>
      </w:pPr>
      <w:r>
        <w:rPr>
          <w:noProof/>
        </w:rPr>
        <w:t>859.</w:t>
      </w:r>
      <w:r w:rsidR="00033D0F">
        <w:rPr>
          <w:rFonts w:ascii="Times New Roman"/>
          <w:spacing w:val="80"/>
          <w:position w:val="1"/>
          <w:sz w:val="20"/>
        </w:rPr>
        <w:t xml:space="preserve">  </w:t>
      </w:r>
      <w:r w:rsidR="00033D0F">
        <w:rPr>
          <w:position w:val="1"/>
        </w:rPr>
        <w:t>Australia submits that, when read in their proper context, it</w:t>
      </w:r>
      <w:r w:rsidR="00033D0F">
        <w:rPr>
          <w:spacing w:val="-2"/>
          <w:position w:val="1"/>
        </w:rPr>
        <w:t xml:space="preserve"> </w:t>
      </w:r>
      <w:r w:rsidR="00033D0F">
        <w:rPr>
          <w:position w:val="1"/>
        </w:rPr>
        <w:t xml:space="preserve">is clear that each of the </w:t>
      </w:r>
      <w:r w:rsidR="00033D0F">
        <w:t>instances set out in China's table at paragraph 2455 of its first written submission identifies information that was relevant, non-confidential, and used by MOFCOM. As such, the information was</w:t>
      </w:r>
      <w:r w:rsidR="00033D0F">
        <w:rPr>
          <w:spacing w:val="15"/>
        </w:rPr>
        <w:t xml:space="preserve"> </w:t>
      </w:r>
      <w:r w:rsidR="00033D0F">
        <w:t>of the kind that falls within the scope of the obligation contained in Article</w:t>
      </w:r>
    </w:p>
    <w:p w14:paraId="69CC8DDF" w14:textId="77777777" w:rsidR="00BD462C" w:rsidRDefault="00033D0F">
      <w:pPr>
        <w:pStyle w:val="BodyText"/>
        <w:spacing w:line="360" w:lineRule="auto"/>
        <w:ind w:left="135" w:right="916"/>
        <w:jc w:val="both"/>
      </w:pPr>
      <w:r>
        <w:t>6.4. To assist the Panel, Australia has provided in Annex B each of the full paragraphs in Australia's</w:t>
      </w:r>
      <w:r>
        <w:rPr>
          <w:spacing w:val="-5"/>
        </w:rPr>
        <w:t xml:space="preserve"> </w:t>
      </w:r>
      <w:r>
        <w:t>first</w:t>
      </w:r>
      <w:r>
        <w:rPr>
          <w:spacing w:val="-6"/>
        </w:rPr>
        <w:t xml:space="preserve"> </w:t>
      </w:r>
      <w:r>
        <w:t>written</w:t>
      </w:r>
      <w:r>
        <w:rPr>
          <w:spacing w:val="-8"/>
        </w:rPr>
        <w:t xml:space="preserve"> </w:t>
      </w:r>
      <w:r>
        <w:t>submission</w:t>
      </w:r>
      <w:r>
        <w:rPr>
          <w:spacing w:val="-8"/>
        </w:rPr>
        <w:t xml:space="preserve"> </w:t>
      </w:r>
      <w:r>
        <w:t>that</w:t>
      </w:r>
      <w:r>
        <w:rPr>
          <w:spacing w:val="-6"/>
        </w:rPr>
        <w:t xml:space="preserve"> </w:t>
      </w:r>
      <w:r>
        <w:t>are</w:t>
      </w:r>
      <w:r>
        <w:rPr>
          <w:spacing w:val="-1"/>
        </w:rPr>
        <w:t xml:space="preserve"> </w:t>
      </w:r>
      <w:r>
        <w:t>partially</w:t>
      </w:r>
      <w:r>
        <w:rPr>
          <w:spacing w:val="-5"/>
        </w:rPr>
        <w:t xml:space="preserve"> </w:t>
      </w:r>
      <w:r>
        <w:t>quoted</w:t>
      </w:r>
      <w:r>
        <w:rPr>
          <w:spacing w:val="-8"/>
        </w:rPr>
        <w:t xml:space="preserve"> </w:t>
      </w:r>
      <w:r>
        <w:t>in</w:t>
      </w:r>
      <w:r>
        <w:rPr>
          <w:spacing w:val="-3"/>
        </w:rPr>
        <w:t xml:space="preserve"> </w:t>
      </w:r>
      <w:r>
        <w:t>China's</w:t>
      </w:r>
      <w:r>
        <w:rPr>
          <w:spacing w:val="-5"/>
        </w:rPr>
        <w:t xml:space="preserve"> </w:t>
      </w:r>
      <w:r>
        <w:t>table.</w:t>
      </w:r>
      <w:r>
        <w:rPr>
          <w:spacing w:val="-5"/>
        </w:rPr>
        <w:t xml:space="preserve"> </w:t>
      </w:r>
      <w:r>
        <w:t>When</w:t>
      </w:r>
      <w:r>
        <w:rPr>
          <w:spacing w:val="-8"/>
        </w:rPr>
        <w:t xml:space="preserve"> </w:t>
      </w:r>
      <w:r>
        <w:t>Australia's arguments</w:t>
      </w:r>
      <w:r>
        <w:rPr>
          <w:spacing w:val="-5"/>
        </w:rPr>
        <w:t xml:space="preserve"> </w:t>
      </w:r>
      <w:r>
        <w:t>are</w:t>
      </w:r>
      <w:r>
        <w:rPr>
          <w:spacing w:val="-6"/>
        </w:rPr>
        <w:t xml:space="preserve"> </w:t>
      </w:r>
      <w:r>
        <w:t>read</w:t>
      </w:r>
      <w:r>
        <w:rPr>
          <w:spacing w:val="-8"/>
        </w:rPr>
        <w:t xml:space="preserve"> </w:t>
      </w:r>
      <w:r>
        <w:t>in</w:t>
      </w:r>
      <w:r>
        <w:rPr>
          <w:spacing w:val="-3"/>
        </w:rPr>
        <w:t xml:space="preserve"> </w:t>
      </w:r>
      <w:r>
        <w:t>their</w:t>
      </w:r>
      <w:r>
        <w:rPr>
          <w:spacing w:val="-9"/>
        </w:rPr>
        <w:t xml:space="preserve"> </w:t>
      </w:r>
      <w:r>
        <w:t>full</w:t>
      </w:r>
      <w:r>
        <w:rPr>
          <w:spacing w:val="-4"/>
        </w:rPr>
        <w:t xml:space="preserve"> </w:t>
      </w:r>
      <w:r>
        <w:t>and</w:t>
      </w:r>
      <w:r>
        <w:rPr>
          <w:spacing w:val="-8"/>
        </w:rPr>
        <w:t xml:space="preserve"> </w:t>
      </w:r>
      <w:r>
        <w:t>proper</w:t>
      </w:r>
      <w:r>
        <w:rPr>
          <w:spacing w:val="-4"/>
        </w:rPr>
        <w:t xml:space="preserve"> </w:t>
      </w:r>
      <w:r>
        <w:t>context,</w:t>
      </w:r>
      <w:r>
        <w:rPr>
          <w:spacing w:val="-4"/>
        </w:rPr>
        <w:t xml:space="preserve"> </w:t>
      </w:r>
      <w:r>
        <w:t>it</w:t>
      </w:r>
      <w:r>
        <w:rPr>
          <w:spacing w:val="-6"/>
        </w:rPr>
        <w:t xml:space="preserve"> </w:t>
      </w:r>
      <w:r>
        <w:t>is</w:t>
      </w:r>
      <w:r>
        <w:rPr>
          <w:spacing w:val="-5"/>
        </w:rPr>
        <w:t xml:space="preserve"> </w:t>
      </w:r>
      <w:r>
        <w:t>clear</w:t>
      </w:r>
      <w:r>
        <w:rPr>
          <w:spacing w:val="-9"/>
        </w:rPr>
        <w:t xml:space="preserve"> </w:t>
      </w:r>
      <w:r>
        <w:t>that</w:t>
      </w:r>
      <w:r>
        <w:rPr>
          <w:spacing w:val="-6"/>
        </w:rPr>
        <w:t xml:space="preserve"> </w:t>
      </w:r>
      <w:r>
        <w:t>China</w:t>
      </w:r>
      <w:r>
        <w:rPr>
          <w:spacing w:val="-7"/>
        </w:rPr>
        <w:t xml:space="preserve"> </w:t>
      </w:r>
      <w:r>
        <w:t>has</w:t>
      </w:r>
      <w:r>
        <w:rPr>
          <w:spacing w:val="-5"/>
        </w:rPr>
        <w:t xml:space="preserve"> </w:t>
      </w:r>
      <w:proofErr w:type="spellStart"/>
      <w:r>
        <w:t>mischaracterised</w:t>
      </w:r>
      <w:proofErr w:type="spellEnd"/>
      <w:r>
        <w:t xml:space="preserve"> </w:t>
      </w:r>
      <w:r>
        <w:rPr>
          <w:spacing w:val="-2"/>
        </w:rPr>
        <w:t>them.</w:t>
      </w:r>
    </w:p>
    <w:p w14:paraId="676B9E25" w14:textId="77777777" w:rsidR="00BD462C" w:rsidRDefault="00BD462C">
      <w:pPr>
        <w:pStyle w:val="BodyText"/>
        <w:spacing w:before="7"/>
        <w:rPr>
          <w:sz w:val="8"/>
        </w:rPr>
      </w:pPr>
    </w:p>
    <w:p w14:paraId="269ECE21" w14:textId="0DC43EF9" w:rsidR="00BD462C" w:rsidRDefault="00E4449D">
      <w:pPr>
        <w:pStyle w:val="BodyText"/>
        <w:spacing w:before="56" w:line="357" w:lineRule="auto"/>
        <w:ind w:left="135" w:right="917"/>
        <w:jc w:val="both"/>
      </w:pPr>
      <w:r>
        <w:rPr>
          <w:noProof/>
        </w:rPr>
        <w:t>860.</w:t>
      </w:r>
      <w:r w:rsidR="00033D0F">
        <w:rPr>
          <w:rFonts w:ascii="Times New Roman"/>
          <w:spacing w:val="80"/>
          <w:position w:val="1"/>
          <w:sz w:val="20"/>
        </w:rPr>
        <w:t xml:space="preserve">  </w:t>
      </w:r>
      <w:r w:rsidR="00033D0F">
        <w:rPr>
          <w:position w:val="1"/>
        </w:rPr>
        <w:t xml:space="preserve">By way of one example, Australia refers the Panel to items 4, 5, 6, and 7 in China's </w:t>
      </w:r>
      <w:r w:rsidR="00033D0F">
        <w:t xml:space="preserve">list. In item 4, the relevant paragraph of Australia's first written submission reads in full as </w:t>
      </w:r>
      <w:r w:rsidR="00033D0F">
        <w:rPr>
          <w:spacing w:val="-2"/>
        </w:rPr>
        <w:t>follows:</w:t>
      </w:r>
    </w:p>
    <w:p w14:paraId="355695EA" w14:textId="77777777" w:rsidR="00BD462C" w:rsidRDefault="00033D0F">
      <w:pPr>
        <w:spacing w:before="164" w:line="273" w:lineRule="auto"/>
        <w:ind w:left="985" w:right="918"/>
        <w:jc w:val="both"/>
      </w:pPr>
      <w:r>
        <w:t>MOFCOM did not provide to the interested parties the information it factored into this comparative analysis. It did not explain:</w:t>
      </w:r>
    </w:p>
    <w:p w14:paraId="55C20840" w14:textId="77777777" w:rsidR="00BD462C" w:rsidRDefault="00BD462C">
      <w:pPr>
        <w:pStyle w:val="BodyText"/>
        <w:spacing w:before="1"/>
        <w:rPr>
          <w:sz w:val="20"/>
        </w:rPr>
      </w:pPr>
    </w:p>
    <w:p w14:paraId="0FC35BB7" w14:textId="77777777" w:rsidR="00BD462C" w:rsidRDefault="00033D0F">
      <w:pPr>
        <w:pStyle w:val="ListParagraph"/>
        <w:numPr>
          <w:ilvl w:val="0"/>
          <w:numId w:val="16"/>
        </w:numPr>
        <w:tabs>
          <w:tab w:val="left" w:pos="1706"/>
        </w:tabs>
        <w:spacing w:before="0" w:line="273" w:lineRule="auto"/>
        <w:ind w:right="916"/>
        <w:jc w:val="both"/>
      </w:pPr>
      <w:r>
        <w:t>what</w:t>
      </w:r>
      <w:r>
        <w:rPr>
          <w:spacing w:val="-13"/>
        </w:rPr>
        <w:t xml:space="preserve"> </w:t>
      </w:r>
      <w:r>
        <w:t>"information</w:t>
      </w:r>
      <w:r>
        <w:rPr>
          <w:spacing w:val="-12"/>
        </w:rPr>
        <w:t xml:space="preserve"> </w:t>
      </w:r>
      <w:r>
        <w:t>from</w:t>
      </w:r>
      <w:r>
        <w:rPr>
          <w:spacing w:val="-13"/>
        </w:rPr>
        <w:t xml:space="preserve"> </w:t>
      </w:r>
      <w:r>
        <w:t>the</w:t>
      </w:r>
      <w:r>
        <w:rPr>
          <w:spacing w:val="-12"/>
        </w:rPr>
        <w:t xml:space="preserve"> </w:t>
      </w:r>
      <w:r>
        <w:t>investigation"</w:t>
      </w:r>
      <w:r>
        <w:rPr>
          <w:spacing w:val="-13"/>
        </w:rPr>
        <w:t xml:space="preserve"> </w:t>
      </w:r>
      <w:r>
        <w:t>was</w:t>
      </w:r>
      <w:r>
        <w:rPr>
          <w:spacing w:val="-12"/>
        </w:rPr>
        <w:t xml:space="preserve"> </w:t>
      </w:r>
      <w:r>
        <w:t>subject</w:t>
      </w:r>
      <w:r>
        <w:rPr>
          <w:spacing w:val="-13"/>
        </w:rPr>
        <w:t xml:space="preserve"> </w:t>
      </w:r>
      <w:r>
        <w:t>to</w:t>
      </w:r>
      <w:r>
        <w:rPr>
          <w:spacing w:val="-12"/>
        </w:rPr>
        <w:t xml:space="preserve"> </w:t>
      </w:r>
      <w:r>
        <w:t>the</w:t>
      </w:r>
      <w:r>
        <w:rPr>
          <w:spacing w:val="-12"/>
        </w:rPr>
        <w:t xml:space="preserve"> </w:t>
      </w:r>
      <w:r>
        <w:t>"comparative</w:t>
      </w:r>
      <w:r>
        <w:rPr>
          <w:spacing w:val="-13"/>
        </w:rPr>
        <w:t xml:space="preserve"> </w:t>
      </w:r>
      <w:r>
        <w:t xml:space="preserve">analysis", nor what the "comparative analysis" </w:t>
      </w:r>
      <w:proofErr w:type="gramStart"/>
      <w:r>
        <w:t>involved;</w:t>
      </w:r>
      <w:proofErr w:type="gramEnd"/>
    </w:p>
    <w:p w14:paraId="54A23480" w14:textId="77777777" w:rsidR="00BD462C" w:rsidRDefault="00BD462C">
      <w:pPr>
        <w:pStyle w:val="BodyText"/>
        <w:spacing w:before="5"/>
        <w:rPr>
          <w:sz w:val="20"/>
        </w:rPr>
      </w:pPr>
    </w:p>
    <w:p w14:paraId="6DC4F51A" w14:textId="77777777" w:rsidR="00BD462C" w:rsidRDefault="00033D0F">
      <w:pPr>
        <w:pStyle w:val="ListParagraph"/>
        <w:numPr>
          <w:ilvl w:val="0"/>
          <w:numId w:val="16"/>
        </w:numPr>
        <w:tabs>
          <w:tab w:val="left" w:pos="1706"/>
        </w:tabs>
        <w:spacing w:before="0" w:line="268" w:lineRule="auto"/>
        <w:ind w:right="921"/>
        <w:jc w:val="both"/>
      </w:pPr>
      <w:r>
        <w:t>which "physical properties of the product under investigation"</w:t>
      </w:r>
      <w:r>
        <w:rPr>
          <w:spacing w:val="-2"/>
        </w:rPr>
        <w:t xml:space="preserve"> </w:t>
      </w:r>
      <w:r>
        <w:t>it took into</w:t>
      </w:r>
      <w:r>
        <w:rPr>
          <w:spacing w:val="-1"/>
        </w:rPr>
        <w:t xml:space="preserve"> </w:t>
      </w:r>
      <w:r>
        <w:t xml:space="preserve">account, or for what purpose it took them into </w:t>
      </w:r>
      <w:proofErr w:type="gramStart"/>
      <w:r>
        <w:t>account;</w:t>
      </w:r>
      <w:proofErr w:type="gramEnd"/>
    </w:p>
    <w:p w14:paraId="37FBE826" w14:textId="77777777" w:rsidR="00BD462C" w:rsidRDefault="00BD462C">
      <w:pPr>
        <w:pStyle w:val="BodyText"/>
        <w:spacing w:before="11"/>
        <w:rPr>
          <w:sz w:val="20"/>
        </w:rPr>
      </w:pPr>
    </w:p>
    <w:p w14:paraId="5605BD77" w14:textId="77777777" w:rsidR="00BD462C" w:rsidRDefault="00033D0F">
      <w:pPr>
        <w:pStyle w:val="ListParagraph"/>
        <w:numPr>
          <w:ilvl w:val="0"/>
          <w:numId w:val="16"/>
        </w:numPr>
        <w:tabs>
          <w:tab w:val="left" w:pos="1706"/>
        </w:tabs>
        <w:spacing w:before="0" w:line="273" w:lineRule="auto"/>
        <w:ind w:right="916"/>
        <w:jc w:val="both"/>
      </w:pPr>
      <w:r>
        <w:t xml:space="preserve">which "costs differences in different product types" it took into account, what it determined those differences were, which data it relied upon to identify the differences or for what purpose it took them into </w:t>
      </w:r>
      <w:proofErr w:type="gramStart"/>
      <w:r>
        <w:t>account;</w:t>
      </w:r>
      <w:proofErr w:type="gramEnd"/>
    </w:p>
    <w:p w14:paraId="354258E5" w14:textId="77777777" w:rsidR="00BD462C" w:rsidRDefault="00BD462C">
      <w:pPr>
        <w:pStyle w:val="BodyText"/>
        <w:spacing w:before="2"/>
        <w:rPr>
          <w:sz w:val="20"/>
        </w:rPr>
      </w:pPr>
    </w:p>
    <w:p w14:paraId="4D591ACA" w14:textId="77777777" w:rsidR="00BD462C" w:rsidRDefault="00033D0F">
      <w:pPr>
        <w:pStyle w:val="ListParagraph"/>
        <w:numPr>
          <w:ilvl w:val="0"/>
          <w:numId w:val="16"/>
        </w:numPr>
        <w:tabs>
          <w:tab w:val="left" w:pos="1706"/>
        </w:tabs>
        <w:spacing w:before="0" w:line="273" w:lineRule="auto"/>
        <w:ind w:right="918"/>
        <w:jc w:val="both"/>
      </w:pPr>
      <w:r>
        <w:t>which</w:t>
      </w:r>
      <w:r>
        <w:rPr>
          <w:spacing w:val="-13"/>
        </w:rPr>
        <w:t xml:space="preserve"> </w:t>
      </w:r>
      <w:r>
        <w:t>"trade</w:t>
      </w:r>
      <w:r>
        <w:rPr>
          <w:spacing w:val="-12"/>
        </w:rPr>
        <w:t xml:space="preserve"> </w:t>
      </w:r>
      <w:r>
        <w:t>links"</w:t>
      </w:r>
      <w:r>
        <w:rPr>
          <w:spacing w:val="-13"/>
        </w:rPr>
        <w:t xml:space="preserve"> </w:t>
      </w:r>
      <w:r>
        <w:t>it</w:t>
      </w:r>
      <w:r>
        <w:rPr>
          <w:spacing w:val="-12"/>
        </w:rPr>
        <w:t xml:space="preserve"> </w:t>
      </w:r>
      <w:proofErr w:type="gramStart"/>
      <w:r>
        <w:t>took</w:t>
      </w:r>
      <w:r>
        <w:rPr>
          <w:spacing w:val="-13"/>
        </w:rPr>
        <w:t xml:space="preserve"> </w:t>
      </w:r>
      <w:r>
        <w:t>into</w:t>
      </w:r>
      <w:r>
        <w:rPr>
          <w:spacing w:val="-12"/>
        </w:rPr>
        <w:t xml:space="preserve"> </w:t>
      </w:r>
      <w:r>
        <w:t>account</w:t>
      </w:r>
      <w:proofErr w:type="gramEnd"/>
      <w:r>
        <w:t>,</w:t>
      </w:r>
      <w:r>
        <w:rPr>
          <w:spacing w:val="-13"/>
        </w:rPr>
        <w:t xml:space="preserve"> </w:t>
      </w:r>
      <w:r>
        <w:t>why</w:t>
      </w:r>
      <w:r>
        <w:rPr>
          <w:spacing w:val="-12"/>
        </w:rPr>
        <w:t xml:space="preserve"> </w:t>
      </w:r>
      <w:r>
        <w:t>it</w:t>
      </w:r>
      <w:r>
        <w:rPr>
          <w:spacing w:val="-12"/>
        </w:rPr>
        <w:t xml:space="preserve"> </w:t>
      </w:r>
      <w:r>
        <w:t>was</w:t>
      </w:r>
      <w:r>
        <w:rPr>
          <w:spacing w:val="-12"/>
        </w:rPr>
        <w:t xml:space="preserve"> </w:t>
      </w:r>
      <w:r>
        <w:t>considering</w:t>
      </w:r>
      <w:r>
        <w:rPr>
          <w:spacing w:val="-11"/>
        </w:rPr>
        <w:t xml:space="preserve"> </w:t>
      </w:r>
      <w:r>
        <w:t>"trade</w:t>
      </w:r>
      <w:r>
        <w:rPr>
          <w:spacing w:val="-11"/>
        </w:rPr>
        <w:t xml:space="preserve"> </w:t>
      </w:r>
      <w:r>
        <w:t>links",</w:t>
      </w:r>
      <w:r>
        <w:rPr>
          <w:spacing w:val="-10"/>
        </w:rPr>
        <w:t xml:space="preserve"> </w:t>
      </w:r>
      <w:r>
        <w:t>the</w:t>
      </w:r>
      <w:r>
        <w:rPr>
          <w:spacing w:val="-12"/>
        </w:rPr>
        <w:t xml:space="preserve"> </w:t>
      </w:r>
      <w:r>
        <w:t>data from</w:t>
      </w:r>
      <w:r>
        <w:rPr>
          <w:spacing w:val="-7"/>
        </w:rPr>
        <w:t xml:space="preserve"> </w:t>
      </w:r>
      <w:r>
        <w:t>which</w:t>
      </w:r>
      <w:r>
        <w:rPr>
          <w:spacing w:val="-9"/>
        </w:rPr>
        <w:t xml:space="preserve"> </w:t>
      </w:r>
      <w:r>
        <w:t>the</w:t>
      </w:r>
      <w:r>
        <w:rPr>
          <w:spacing w:val="-3"/>
        </w:rPr>
        <w:t xml:space="preserve"> </w:t>
      </w:r>
      <w:r>
        <w:t>"trade</w:t>
      </w:r>
      <w:r>
        <w:rPr>
          <w:spacing w:val="-3"/>
        </w:rPr>
        <w:t xml:space="preserve"> </w:t>
      </w:r>
      <w:r>
        <w:t>links"</w:t>
      </w:r>
      <w:r>
        <w:rPr>
          <w:spacing w:val="-10"/>
        </w:rPr>
        <w:t xml:space="preserve"> </w:t>
      </w:r>
      <w:r>
        <w:t>were</w:t>
      </w:r>
      <w:r>
        <w:rPr>
          <w:spacing w:val="-7"/>
        </w:rPr>
        <w:t xml:space="preserve"> </w:t>
      </w:r>
      <w:r>
        <w:t>determined</w:t>
      </w:r>
      <w:r>
        <w:rPr>
          <w:spacing w:val="-9"/>
        </w:rPr>
        <w:t xml:space="preserve"> </w:t>
      </w:r>
      <w:r>
        <w:t>or</w:t>
      </w:r>
      <w:r>
        <w:rPr>
          <w:spacing w:val="-8"/>
        </w:rPr>
        <w:t xml:space="preserve"> </w:t>
      </w:r>
      <w:r>
        <w:t>the</w:t>
      </w:r>
      <w:r>
        <w:rPr>
          <w:spacing w:val="-3"/>
        </w:rPr>
        <w:t xml:space="preserve"> </w:t>
      </w:r>
      <w:r>
        <w:t>purpose</w:t>
      </w:r>
      <w:r>
        <w:rPr>
          <w:spacing w:val="-7"/>
        </w:rPr>
        <w:t xml:space="preserve"> </w:t>
      </w:r>
      <w:r>
        <w:t>for</w:t>
      </w:r>
      <w:r>
        <w:rPr>
          <w:spacing w:val="-8"/>
        </w:rPr>
        <w:t xml:space="preserve"> </w:t>
      </w:r>
      <w:r>
        <w:t>which</w:t>
      </w:r>
      <w:r>
        <w:rPr>
          <w:spacing w:val="-4"/>
        </w:rPr>
        <w:t xml:space="preserve"> </w:t>
      </w:r>
      <w:r>
        <w:t>it</w:t>
      </w:r>
      <w:r>
        <w:rPr>
          <w:spacing w:val="-5"/>
        </w:rPr>
        <w:t xml:space="preserve"> </w:t>
      </w:r>
      <w:r>
        <w:t>took</w:t>
      </w:r>
      <w:r>
        <w:rPr>
          <w:spacing w:val="-3"/>
        </w:rPr>
        <w:t xml:space="preserve"> </w:t>
      </w:r>
      <w:r>
        <w:t>them into account; and</w:t>
      </w:r>
    </w:p>
    <w:p w14:paraId="6E6589CD" w14:textId="77777777" w:rsidR="00BD462C" w:rsidRDefault="00BD462C">
      <w:pPr>
        <w:pStyle w:val="BodyText"/>
        <w:spacing w:before="6"/>
        <w:rPr>
          <w:sz w:val="20"/>
        </w:rPr>
      </w:pPr>
    </w:p>
    <w:p w14:paraId="4864762F" w14:textId="77777777" w:rsidR="00BD462C" w:rsidRDefault="00033D0F">
      <w:pPr>
        <w:pStyle w:val="ListParagraph"/>
        <w:numPr>
          <w:ilvl w:val="0"/>
          <w:numId w:val="16"/>
        </w:numPr>
        <w:tabs>
          <w:tab w:val="left" w:pos="1707"/>
        </w:tabs>
        <w:spacing w:before="0" w:line="273" w:lineRule="auto"/>
        <w:ind w:right="917" w:hanging="360"/>
        <w:jc w:val="both"/>
      </w:pPr>
      <w:r>
        <w:t>what</w:t>
      </w:r>
      <w:r>
        <w:rPr>
          <w:spacing w:val="-10"/>
        </w:rPr>
        <w:t xml:space="preserve"> </w:t>
      </w:r>
      <w:r>
        <w:t>the</w:t>
      </w:r>
      <w:r>
        <w:rPr>
          <w:spacing w:val="-7"/>
        </w:rPr>
        <w:t xml:space="preserve"> </w:t>
      </w:r>
      <w:r>
        <w:t>"other</w:t>
      </w:r>
      <w:r>
        <w:rPr>
          <w:spacing w:val="-8"/>
        </w:rPr>
        <w:t xml:space="preserve"> </w:t>
      </w:r>
      <w:r>
        <w:t>influencing</w:t>
      </w:r>
      <w:r>
        <w:rPr>
          <w:spacing w:val="-6"/>
        </w:rPr>
        <w:t xml:space="preserve"> </w:t>
      </w:r>
      <w:r>
        <w:t>factors"</w:t>
      </w:r>
      <w:r>
        <w:rPr>
          <w:spacing w:val="-10"/>
        </w:rPr>
        <w:t xml:space="preserve"> </w:t>
      </w:r>
      <w:r>
        <w:t>were</w:t>
      </w:r>
      <w:r>
        <w:rPr>
          <w:spacing w:val="-7"/>
        </w:rPr>
        <w:t xml:space="preserve"> </w:t>
      </w:r>
      <w:r>
        <w:t>that</w:t>
      </w:r>
      <w:r>
        <w:rPr>
          <w:spacing w:val="-10"/>
        </w:rPr>
        <w:t xml:space="preserve"> </w:t>
      </w:r>
      <w:r>
        <w:t>it</w:t>
      </w:r>
      <w:r>
        <w:rPr>
          <w:spacing w:val="-10"/>
        </w:rPr>
        <w:t xml:space="preserve"> </w:t>
      </w:r>
      <w:r>
        <w:t>had</w:t>
      </w:r>
      <w:r>
        <w:rPr>
          <w:spacing w:val="-9"/>
        </w:rPr>
        <w:t xml:space="preserve"> </w:t>
      </w:r>
      <w:r>
        <w:t>regard</w:t>
      </w:r>
      <w:r>
        <w:rPr>
          <w:spacing w:val="-9"/>
        </w:rPr>
        <w:t xml:space="preserve"> </w:t>
      </w:r>
      <w:r>
        <w:t>to,</w:t>
      </w:r>
      <w:r>
        <w:rPr>
          <w:spacing w:val="-5"/>
        </w:rPr>
        <w:t xml:space="preserve"> </w:t>
      </w:r>
      <w:r>
        <w:t>why</w:t>
      </w:r>
      <w:r>
        <w:rPr>
          <w:spacing w:val="-7"/>
        </w:rPr>
        <w:t xml:space="preserve"> </w:t>
      </w:r>
      <w:r>
        <w:t>it</w:t>
      </w:r>
      <w:r>
        <w:rPr>
          <w:spacing w:val="-10"/>
        </w:rPr>
        <w:t xml:space="preserve"> </w:t>
      </w:r>
      <w:r>
        <w:t>selected</w:t>
      </w:r>
      <w:r>
        <w:rPr>
          <w:spacing w:val="-9"/>
        </w:rPr>
        <w:t xml:space="preserve"> </w:t>
      </w:r>
      <w:r>
        <w:t>those factors, which data it drew upon to assess these unknown factors, how it they [</w:t>
      </w:r>
      <w:r>
        <w:rPr>
          <w:i/>
        </w:rPr>
        <w:t>sic</w:t>
      </w:r>
      <w:r>
        <w:t>] were</w:t>
      </w:r>
      <w:r>
        <w:rPr>
          <w:spacing w:val="-2"/>
        </w:rPr>
        <w:t xml:space="preserve"> </w:t>
      </w:r>
      <w:r>
        <w:t>taken</w:t>
      </w:r>
      <w:r>
        <w:rPr>
          <w:spacing w:val="-3"/>
        </w:rPr>
        <w:t xml:space="preserve"> </w:t>
      </w:r>
      <w:r>
        <w:t>into</w:t>
      </w:r>
      <w:r>
        <w:rPr>
          <w:spacing w:val="-4"/>
        </w:rPr>
        <w:t xml:space="preserve"> </w:t>
      </w:r>
      <w:r>
        <w:t>account and weighed</w:t>
      </w:r>
      <w:r>
        <w:rPr>
          <w:spacing w:val="-3"/>
        </w:rPr>
        <w:t xml:space="preserve"> </w:t>
      </w:r>
      <w:r>
        <w:t>against</w:t>
      </w:r>
      <w:r>
        <w:rPr>
          <w:spacing w:val="-4"/>
        </w:rPr>
        <w:t xml:space="preserve"> </w:t>
      </w:r>
      <w:r>
        <w:t>each, or the</w:t>
      </w:r>
      <w:r>
        <w:rPr>
          <w:spacing w:val="-2"/>
        </w:rPr>
        <w:t xml:space="preserve"> </w:t>
      </w:r>
      <w:r>
        <w:t>purpose</w:t>
      </w:r>
      <w:r>
        <w:rPr>
          <w:spacing w:val="-2"/>
        </w:rPr>
        <w:t xml:space="preserve"> </w:t>
      </w:r>
      <w:r>
        <w:t>for</w:t>
      </w:r>
      <w:r>
        <w:rPr>
          <w:spacing w:val="-2"/>
        </w:rPr>
        <w:t xml:space="preserve"> </w:t>
      </w:r>
      <w:r>
        <w:t>which</w:t>
      </w:r>
      <w:r>
        <w:rPr>
          <w:spacing w:val="-3"/>
        </w:rPr>
        <w:t xml:space="preserve"> </w:t>
      </w:r>
      <w:r>
        <w:t>it took them into account.</w:t>
      </w:r>
      <w:hyperlink w:anchor="_bookmark1461" w:history="1">
        <w:r>
          <w:rPr>
            <w:vertAlign w:val="superscript"/>
          </w:rPr>
          <w:t>1259</w:t>
        </w:r>
      </w:hyperlink>
    </w:p>
    <w:p w14:paraId="5116B487" w14:textId="77777777" w:rsidR="00BD462C" w:rsidRDefault="00BD462C">
      <w:pPr>
        <w:pStyle w:val="BodyText"/>
        <w:rPr>
          <w:sz w:val="20"/>
        </w:rPr>
      </w:pPr>
    </w:p>
    <w:p w14:paraId="6F187582" w14:textId="77777777" w:rsidR="00BD462C" w:rsidRDefault="00BD462C">
      <w:pPr>
        <w:pStyle w:val="BodyText"/>
        <w:rPr>
          <w:sz w:val="20"/>
        </w:rPr>
      </w:pPr>
    </w:p>
    <w:p w14:paraId="1860ED99" w14:textId="77777777" w:rsidR="00BD462C" w:rsidRDefault="00BD462C">
      <w:pPr>
        <w:pStyle w:val="BodyText"/>
        <w:rPr>
          <w:sz w:val="20"/>
        </w:rPr>
      </w:pPr>
    </w:p>
    <w:p w14:paraId="5987B350" w14:textId="264B8BE1" w:rsidR="00BD462C" w:rsidRDefault="00D70C7D">
      <w:pPr>
        <w:pStyle w:val="BodyText"/>
        <w:spacing w:before="11"/>
        <w:rPr>
          <w:sz w:val="18"/>
        </w:rPr>
      </w:pPr>
      <w:r>
        <w:rPr>
          <w:noProof/>
        </w:rPr>
        <mc:AlternateContent>
          <mc:Choice Requires="wps">
            <w:drawing>
              <wp:anchor distT="0" distB="0" distL="0" distR="0" simplePos="0" relativeHeight="487860224" behindDoc="1" locked="0" layoutInCell="1" allowOverlap="1" wp14:anchorId="7EDAC090" wp14:editId="684F5DD1">
                <wp:simplePos x="0" y="0"/>
                <wp:positionH relativeFrom="page">
                  <wp:posOffset>899160</wp:posOffset>
                </wp:positionH>
                <wp:positionV relativeFrom="paragraph">
                  <wp:posOffset>161925</wp:posOffset>
                </wp:positionV>
                <wp:extent cx="1828800" cy="8890"/>
                <wp:effectExtent l="0" t="0" r="0" b="0"/>
                <wp:wrapTopAndBottom/>
                <wp:docPr id="276" name="docshape5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D4DD4E" id="docshape587" o:spid="_x0000_s1026" alt="&quot;&quot;" style="position:absolute;margin-left:70.8pt;margin-top:12.75pt;width:2in;height:.7pt;z-index:-1545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" fillcolor="black" stroked="f">
                <w10:wrap type="topAndBottom" anchorx="page"/>
              </v:rect>
            </w:pict>
          </mc:Fallback>
        </mc:AlternateContent>
      </w:r>
    </w:p>
    <w:p w14:paraId="45F6EEC3" w14:textId="77777777" w:rsidR="00BD462C" w:rsidRDefault="00033D0F">
      <w:pPr>
        <w:spacing w:before="112"/>
        <w:ind w:left="135"/>
        <w:rPr>
          <w:sz w:val="18"/>
        </w:rPr>
      </w:pPr>
      <w:bookmarkStart w:id="1698" w:name="_bookmark1461"/>
      <w:bookmarkEnd w:id="1698"/>
      <w:r>
        <w:rPr>
          <w:position w:val="5"/>
          <w:sz w:val="12"/>
        </w:rPr>
        <w:t>1259</w:t>
      </w:r>
      <w:r>
        <w:rPr>
          <w:spacing w:val="12"/>
          <w:position w:val="5"/>
          <w:sz w:val="12"/>
        </w:rPr>
        <w:t xml:space="preserve"> </w:t>
      </w:r>
      <w:r>
        <w:rPr>
          <w:sz w:val="18"/>
        </w:rPr>
        <w:t>Australia's</w:t>
      </w:r>
      <w:r>
        <w:rPr>
          <w:spacing w:val="-6"/>
          <w:sz w:val="18"/>
        </w:rPr>
        <w:t xml:space="preserve"> </w:t>
      </w:r>
      <w:r>
        <w:rPr>
          <w:sz w:val="18"/>
        </w:rPr>
        <w:t>first</w:t>
      </w:r>
      <w:r>
        <w:rPr>
          <w:spacing w:val="-5"/>
          <w:sz w:val="18"/>
        </w:rPr>
        <w:t xml:space="preserve"> </w:t>
      </w:r>
      <w:r>
        <w:rPr>
          <w:sz w:val="18"/>
        </w:rPr>
        <w:t>written</w:t>
      </w:r>
      <w:r>
        <w:rPr>
          <w:spacing w:val="-2"/>
          <w:sz w:val="18"/>
        </w:rPr>
        <w:t xml:space="preserve"> </w:t>
      </w:r>
      <w:r>
        <w:rPr>
          <w:sz w:val="18"/>
        </w:rPr>
        <w:t>submission, para.</w:t>
      </w:r>
      <w:r>
        <w:rPr>
          <w:spacing w:val="-5"/>
          <w:sz w:val="18"/>
        </w:rPr>
        <w:t xml:space="preserve"> </w:t>
      </w:r>
      <w:r>
        <w:rPr>
          <w:spacing w:val="-4"/>
          <w:sz w:val="18"/>
        </w:rPr>
        <w:t>980.</w:t>
      </w:r>
    </w:p>
    <w:p w14:paraId="2D327B7E" w14:textId="77777777" w:rsidR="00BD462C" w:rsidRDefault="00BD462C">
      <w:pPr>
        <w:rPr>
          <w:sz w:val="18"/>
        </w:rPr>
        <w:sectPr w:rsidR="00BD462C">
          <w:headerReference w:type="default" r:id="rId27"/>
          <w:footerReference w:type="default" r:id="rId28"/>
          <w:pgSz w:w="11910" w:h="16840"/>
          <w:pgMar w:top="860" w:right="500" w:bottom="780" w:left="1280" w:header="566" w:footer="590" w:gutter="0"/>
          <w:cols w:space="720"/>
        </w:sectPr>
      </w:pPr>
    </w:p>
    <w:p w14:paraId="04B863A6"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30D386BC"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3DE4B350"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09BFD5D0" w14:textId="60301446" w:rsidR="00BD462C" w:rsidRDefault="009B0E6F">
      <w:pPr>
        <w:pStyle w:val="BodyText"/>
        <w:spacing w:before="107" w:line="360" w:lineRule="auto"/>
        <w:ind w:left="136" w:right="913"/>
        <w:jc w:val="both"/>
      </w:pPr>
      <w:r>
        <w:rPr>
          <w:noProof/>
        </w:rPr>
        <w:t>861.</w:t>
      </w:r>
      <w:r w:rsidR="00033D0F">
        <w:rPr>
          <w:rFonts w:ascii="Times New Roman"/>
          <w:spacing w:val="80"/>
          <w:w w:val="150"/>
          <w:position w:val="1"/>
          <w:sz w:val="20"/>
        </w:rPr>
        <w:t xml:space="preserve"> </w:t>
      </w:r>
      <w:r w:rsidR="00033D0F">
        <w:rPr>
          <w:position w:val="1"/>
        </w:rPr>
        <w:t>China</w:t>
      </w:r>
      <w:r w:rsidR="00033D0F">
        <w:rPr>
          <w:spacing w:val="-12"/>
          <w:position w:val="1"/>
        </w:rPr>
        <w:t xml:space="preserve"> </w:t>
      </w:r>
      <w:r w:rsidR="00033D0F">
        <w:rPr>
          <w:position w:val="1"/>
        </w:rPr>
        <w:t>has</w:t>
      </w:r>
      <w:r w:rsidR="00033D0F">
        <w:rPr>
          <w:spacing w:val="-10"/>
          <w:position w:val="1"/>
        </w:rPr>
        <w:t xml:space="preserve"> </w:t>
      </w:r>
      <w:r w:rsidR="00033D0F">
        <w:rPr>
          <w:position w:val="1"/>
        </w:rPr>
        <w:t>attempted</w:t>
      </w:r>
      <w:r w:rsidR="00033D0F">
        <w:rPr>
          <w:spacing w:val="-14"/>
          <w:position w:val="1"/>
        </w:rPr>
        <w:t xml:space="preserve"> </w:t>
      </w:r>
      <w:r w:rsidR="00033D0F">
        <w:rPr>
          <w:position w:val="1"/>
        </w:rPr>
        <w:t>to</w:t>
      </w:r>
      <w:r w:rsidR="00033D0F">
        <w:rPr>
          <w:spacing w:val="-14"/>
          <w:position w:val="1"/>
        </w:rPr>
        <w:t xml:space="preserve"> </w:t>
      </w:r>
      <w:r w:rsidR="00033D0F">
        <w:rPr>
          <w:position w:val="1"/>
        </w:rPr>
        <w:t>take</w:t>
      </w:r>
      <w:r w:rsidR="00033D0F">
        <w:rPr>
          <w:spacing w:val="-12"/>
          <w:position w:val="1"/>
        </w:rPr>
        <w:t xml:space="preserve"> </w:t>
      </w:r>
      <w:r w:rsidR="00033D0F">
        <w:rPr>
          <w:position w:val="1"/>
        </w:rPr>
        <w:t>the</w:t>
      </w:r>
      <w:r w:rsidR="00033D0F">
        <w:rPr>
          <w:spacing w:val="-12"/>
          <w:position w:val="1"/>
        </w:rPr>
        <w:t xml:space="preserve"> </w:t>
      </w:r>
      <w:r w:rsidR="00033D0F">
        <w:rPr>
          <w:position w:val="1"/>
        </w:rPr>
        <w:t>chapeau</w:t>
      </w:r>
      <w:r w:rsidR="00033D0F">
        <w:rPr>
          <w:spacing w:val="-14"/>
          <w:position w:val="1"/>
        </w:rPr>
        <w:t xml:space="preserve"> </w:t>
      </w:r>
      <w:r w:rsidR="00033D0F">
        <w:rPr>
          <w:position w:val="1"/>
        </w:rPr>
        <w:t>and</w:t>
      </w:r>
      <w:r w:rsidR="00033D0F">
        <w:rPr>
          <w:spacing w:val="-14"/>
          <w:position w:val="1"/>
        </w:rPr>
        <w:t xml:space="preserve"> </w:t>
      </w:r>
      <w:r w:rsidR="00033D0F">
        <w:rPr>
          <w:position w:val="1"/>
        </w:rPr>
        <w:t>the</w:t>
      </w:r>
      <w:r w:rsidR="00033D0F">
        <w:rPr>
          <w:spacing w:val="-12"/>
          <w:position w:val="1"/>
        </w:rPr>
        <w:t xml:space="preserve"> </w:t>
      </w:r>
      <w:r w:rsidR="00033D0F">
        <w:rPr>
          <w:position w:val="1"/>
        </w:rPr>
        <w:t>dot</w:t>
      </w:r>
      <w:r w:rsidR="00033D0F">
        <w:rPr>
          <w:spacing w:val="-11"/>
          <w:position w:val="1"/>
        </w:rPr>
        <w:t xml:space="preserve"> </w:t>
      </w:r>
      <w:r w:rsidR="00033D0F">
        <w:rPr>
          <w:position w:val="1"/>
        </w:rPr>
        <w:t>points</w:t>
      </w:r>
      <w:r w:rsidR="00033D0F">
        <w:rPr>
          <w:spacing w:val="-10"/>
          <w:position w:val="1"/>
        </w:rPr>
        <w:t xml:space="preserve"> </w:t>
      </w:r>
      <w:r w:rsidR="00033D0F">
        <w:rPr>
          <w:position w:val="1"/>
        </w:rPr>
        <w:t>out</w:t>
      </w:r>
      <w:r w:rsidR="00033D0F">
        <w:rPr>
          <w:spacing w:val="-11"/>
          <w:position w:val="1"/>
        </w:rPr>
        <w:t xml:space="preserve"> </w:t>
      </w:r>
      <w:r w:rsidR="00033D0F">
        <w:rPr>
          <w:position w:val="1"/>
        </w:rPr>
        <w:t>of</w:t>
      </w:r>
      <w:r w:rsidR="00033D0F">
        <w:rPr>
          <w:spacing w:val="-14"/>
          <w:position w:val="1"/>
        </w:rPr>
        <w:t xml:space="preserve"> </w:t>
      </w:r>
      <w:r w:rsidR="00033D0F">
        <w:rPr>
          <w:position w:val="1"/>
        </w:rPr>
        <w:t>its</w:t>
      </w:r>
      <w:r w:rsidR="00033D0F">
        <w:rPr>
          <w:spacing w:val="-9"/>
          <w:position w:val="1"/>
        </w:rPr>
        <w:t xml:space="preserve"> </w:t>
      </w:r>
      <w:r w:rsidR="00033D0F">
        <w:rPr>
          <w:position w:val="1"/>
        </w:rPr>
        <w:t>proper</w:t>
      </w:r>
      <w:r w:rsidR="00033D0F">
        <w:rPr>
          <w:spacing w:val="-14"/>
          <w:position w:val="1"/>
        </w:rPr>
        <w:t xml:space="preserve"> </w:t>
      </w:r>
      <w:r w:rsidR="00033D0F">
        <w:rPr>
          <w:position w:val="1"/>
        </w:rPr>
        <w:t xml:space="preserve">context, </w:t>
      </w:r>
      <w:r w:rsidR="00033D0F">
        <w:t>asserting that this amounts to "reasoning", "context to information" and/or "methodology", which falls outside the scope of Article 6.4. Once read in context, China's assertions in this regard are clearly misplaced. In particular, the above-referenced text clearly details specific information that MOFCOM used in its investigation that was relevant to the presentation of the</w:t>
      </w:r>
      <w:r w:rsidR="00033D0F">
        <w:rPr>
          <w:spacing w:val="-12"/>
        </w:rPr>
        <w:t xml:space="preserve"> </w:t>
      </w:r>
      <w:r w:rsidR="00033D0F">
        <w:t>interested</w:t>
      </w:r>
      <w:r w:rsidR="00033D0F">
        <w:rPr>
          <w:spacing w:val="-14"/>
        </w:rPr>
        <w:t xml:space="preserve"> </w:t>
      </w:r>
      <w:r w:rsidR="00033D0F">
        <w:t>parties'</w:t>
      </w:r>
      <w:r w:rsidR="00033D0F">
        <w:rPr>
          <w:spacing w:val="-12"/>
        </w:rPr>
        <w:t xml:space="preserve"> </w:t>
      </w:r>
      <w:r w:rsidR="00033D0F">
        <w:t>cases.</w:t>
      </w:r>
      <w:r w:rsidR="00033D0F">
        <w:rPr>
          <w:spacing w:val="-11"/>
        </w:rPr>
        <w:t xml:space="preserve"> </w:t>
      </w:r>
      <w:r w:rsidR="00033D0F">
        <w:t>As</w:t>
      </w:r>
      <w:r w:rsidR="00033D0F">
        <w:rPr>
          <w:spacing w:val="-10"/>
        </w:rPr>
        <w:t xml:space="preserve"> </w:t>
      </w:r>
      <w:r w:rsidR="00033D0F">
        <w:t>such,</w:t>
      </w:r>
      <w:r w:rsidR="00033D0F">
        <w:rPr>
          <w:spacing w:val="-10"/>
        </w:rPr>
        <w:t xml:space="preserve"> </w:t>
      </w:r>
      <w:r w:rsidR="00033D0F">
        <w:t>it</w:t>
      </w:r>
      <w:r w:rsidR="00033D0F">
        <w:rPr>
          <w:spacing w:val="-11"/>
        </w:rPr>
        <w:t xml:space="preserve"> </w:t>
      </w:r>
      <w:r w:rsidR="00033D0F">
        <w:t>was</w:t>
      </w:r>
      <w:r w:rsidR="00033D0F">
        <w:rPr>
          <w:spacing w:val="-10"/>
        </w:rPr>
        <w:t xml:space="preserve"> </w:t>
      </w:r>
      <w:r w:rsidR="00033D0F">
        <w:t>information</w:t>
      </w:r>
      <w:r w:rsidR="00033D0F">
        <w:rPr>
          <w:spacing w:val="-14"/>
        </w:rPr>
        <w:t xml:space="preserve"> </w:t>
      </w:r>
      <w:r w:rsidR="00033D0F">
        <w:t>of</w:t>
      </w:r>
      <w:r w:rsidR="00033D0F">
        <w:rPr>
          <w:spacing w:val="-13"/>
        </w:rPr>
        <w:t xml:space="preserve"> </w:t>
      </w:r>
      <w:r w:rsidR="00033D0F">
        <w:t>a</w:t>
      </w:r>
      <w:r w:rsidR="00033D0F">
        <w:rPr>
          <w:spacing w:val="-12"/>
        </w:rPr>
        <w:t xml:space="preserve"> </w:t>
      </w:r>
      <w:r w:rsidR="00033D0F">
        <w:t>kind</w:t>
      </w:r>
      <w:r w:rsidR="00033D0F">
        <w:rPr>
          <w:spacing w:val="-14"/>
        </w:rPr>
        <w:t xml:space="preserve"> </w:t>
      </w:r>
      <w:r w:rsidR="00033D0F">
        <w:t>that</w:t>
      </w:r>
      <w:r w:rsidR="00033D0F">
        <w:rPr>
          <w:spacing w:val="-10"/>
        </w:rPr>
        <w:t xml:space="preserve"> </w:t>
      </w:r>
      <w:r w:rsidR="00033D0F">
        <w:t>should</w:t>
      </w:r>
      <w:r w:rsidR="00033D0F">
        <w:rPr>
          <w:spacing w:val="-14"/>
        </w:rPr>
        <w:t xml:space="preserve"> </w:t>
      </w:r>
      <w:r w:rsidR="00033D0F">
        <w:t>have</w:t>
      </w:r>
      <w:r w:rsidR="00033D0F">
        <w:rPr>
          <w:spacing w:val="-11"/>
        </w:rPr>
        <w:t xml:space="preserve"> </w:t>
      </w:r>
      <w:r w:rsidR="00033D0F">
        <w:t>been</w:t>
      </w:r>
      <w:r w:rsidR="00033D0F">
        <w:rPr>
          <w:spacing w:val="-14"/>
        </w:rPr>
        <w:t xml:space="preserve"> </w:t>
      </w:r>
      <w:r w:rsidR="00033D0F">
        <w:t>made available to the parties for the purposes of Article 6.4.</w:t>
      </w:r>
    </w:p>
    <w:p w14:paraId="1F7A468F" w14:textId="77777777" w:rsidR="00BD462C" w:rsidRDefault="00033D0F">
      <w:pPr>
        <w:pStyle w:val="ListParagraph"/>
        <w:numPr>
          <w:ilvl w:val="1"/>
          <w:numId w:val="18"/>
        </w:numPr>
        <w:tabs>
          <w:tab w:val="left" w:pos="4388"/>
          <w:tab w:val="left" w:pos="4389"/>
        </w:tabs>
        <w:spacing w:before="154" w:line="357" w:lineRule="auto"/>
        <w:ind w:right="912"/>
        <w:jc w:val="both"/>
        <w:rPr>
          <w:i/>
          <w:sz w:val="24"/>
        </w:rPr>
      </w:pPr>
      <w:bookmarkStart w:id="1699" w:name="ii._China_mischaracterises_what_informat"/>
      <w:bookmarkEnd w:id="1699"/>
      <w:r>
        <w:rPr>
          <w:i/>
          <w:sz w:val="24"/>
        </w:rPr>
        <w:t xml:space="preserve">China </w:t>
      </w:r>
      <w:proofErr w:type="spellStart"/>
      <w:r>
        <w:rPr>
          <w:i/>
          <w:sz w:val="24"/>
        </w:rPr>
        <w:t>mischaracterises</w:t>
      </w:r>
      <w:proofErr w:type="spellEnd"/>
      <w:r>
        <w:rPr>
          <w:i/>
          <w:sz w:val="24"/>
        </w:rPr>
        <w:t xml:space="preserve"> what information of "context" is captured under Article 6.4</w:t>
      </w:r>
    </w:p>
    <w:p w14:paraId="30F1A60E" w14:textId="77777777" w:rsidR="00BD462C" w:rsidRDefault="00BD462C">
      <w:pPr>
        <w:pStyle w:val="BodyText"/>
        <w:spacing w:before="3"/>
        <w:rPr>
          <w:i/>
          <w:sz w:val="9"/>
        </w:rPr>
      </w:pPr>
    </w:p>
    <w:p w14:paraId="417C3337" w14:textId="4ECD9701" w:rsidR="00BD462C" w:rsidRDefault="009B0E6F">
      <w:pPr>
        <w:pStyle w:val="BodyText"/>
        <w:spacing w:before="56" w:line="360" w:lineRule="auto"/>
        <w:ind w:left="136" w:right="914"/>
        <w:jc w:val="both"/>
      </w:pPr>
      <w:r>
        <w:rPr>
          <w:noProof/>
        </w:rPr>
        <w:t>862.</w:t>
      </w:r>
      <w:r w:rsidR="00033D0F">
        <w:rPr>
          <w:rFonts w:ascii="Times New Roman" w:hAnsi="Times New Roman"/>
          <w:spacing w:val="80"/>
          <w:position w:val="1"/>
          <w:sz w:val="20"/>
        </w:rPr>
        <w:t xml:space="preserve"> </w:t>
      </w:r>
      <w:r w:rsidR="00033D0F">
        <w:rPr>
          <w:position w:val="1"/>
        </w:rPr>
        <w:t xml:space="preserve">China relies on </w:t>
      </w:r>
      <w:r w:rsidR="00033D0F">
        <w:rPr>
          <w:i/>
          <w:position w:val="1"/>
        </w:rPr>
        <w:t xml:space="preserve">China – Broiler Products (Article 21.5 – US) </w:t>
      </w:r>
      <w:r w:rsidR="00033D0F">
        <w:rPr>
          <w:position w:val="1"/>
        </w:rPr>
        <w:t xml:space="preserve">for the proposition that </w:t>
      </w:r>
      <w:r w:rsidR="00033D0F">
        <w:t>"context" is outside the scope of "information" for the purposes of Article 6.4. This misrepresents that panel's analysis on this issue.</w:t>
      </w:r>
      <w:hyperlink w:anchor="_bookmark1462" w:history="1">
        <w:r w:rsidR="00033D0F">
          <w:rPr>
            <w:vertAlign w:val="superscript"/>
          </w:rPr>
          <w:t>1260</w:t>
        </w:r>
      </w:hyperlink>
      <w:r w:rsidR="00033D0F">
        <w:t xml:space="preserve"> The panel in that case did not find that "context" or "contextual details" fell outside the scope of Article 6.4. Rather, the panel determined that the United States did not, in that dispute, demonstrate that the items of "context" themselves </w:t>
      </w:r>
      <w:proofErr w:type="spellStart"/>
      <w:r w:rsidR="00033D0F">
        <w:t>consituted</w:t>
      </w:r>
      <w:proofErr w:type="spellEnd"/>
      <w:r w:rsidR="00033D0F">
        <w:t xml:space="preserve"> information that was relevant, non-confidential and used with the meaning of Article 6.4.</w:t>
      </w:r>
      <w:hyperlink w:anchor="_bookmark1463" w:history="1">
        <w:r w:rsidR="00033D0F">
          <w:rPr>
            <w:vertAlign w:val="superscript"/>
          </w:rPr>
          <w:t>1261</w:t>
        </w:r>
      </w:hyperlink>
    </w:p>
    <w:p w14:paraId="54C58D6F" w14:textId="77777777" w:rsidR="00BD462C" w:rsidRDefault="00BD462C">
      <w:pPr>
        <w:pStyle w:val="BodyText"/>
        <w:spacing w:before="5"/>
        <w:rPr>
          <w:sz w:val="8"/>
        </w:rPr>
      </w:pPr>
    </w:p>
    <w:p w14:paraId="39CFCDF7" w14:textId="0A87B487" w:rsidR="00BD462C" w:rsidRDefault="009B0E6F">
      <w:pPr>
        <w:pStyle w:val="BodyText"/>
        <w:spacing w:before="56" w:line="360" w:lineRule="auto"/>
        <w:ind w:left="136" w:right="914"/>
        <w:jc w:val="both"/>
      </w:pPr>
      <w:r>
        <w:rPr>
          <w:noProof/>
        </w:rPr>
        <w:t>863.</w:t>
      </w:r>
      <w:r w:rsidR="00033D0F">
        <w:rPr>
          <w:rFonts w:ascii="Times New Roman" w:hAnsi="Times New Roman"/>
          <w:spacing w:val="80"/>
          <w:position w:val="1"/>
          <w:sz w:val="20"/>
        </w:rPr>
        <w:t xml:space="preserve"> </w:t>
      </w:r>
      <w:r w:rsidR="00033D0F">
        <w:rPr>
          <w:position w:val="1"/>
        </w:rPr>
        <w:t xml:space="preserve">Moreover, the items of "context" which the panel in that dispute considered to be </w:t>
      </w:r>
      <w:r w:rsidR="00033D0F">
        <w:t>outside the Article</w:t>
      </w:r>
      <w:r w:rsidR="00033D0F">
        <w:rPr>
          <w:spacing w:val="-3"/>
        </w:rPr>
        <w:t xml:space="preserve"> </w:t>
      </w:r>
      <w:r w:rsidR="00033D0F">
        <w:t>6.4 included "the specific products for which pricing was requested, whether the pricing was requested and/or reported on the basis of one sale, quarterly sales, annual sales, or sampled invoices; and what quantity of each producer's sales, or of the domestic industry's sales, were represented by the pricing sample".</w:t>
      </w:r>
      <w:hyperlink w:anchor="_bookmark1464" w:history="1">
        <w:r w:rsidR="00033D0F">
          <w:rPr>
            <w:vertAlign w:val="superscript"/>
          </w:rPr>
          <w:t>1262</w:t>
        </w:r>
      </w:hyperlink>
      <w:r w:rsidR="00033D0F">
        <w:t xml:space="preserve"> In the present case, none of the information Australia</w:t>
      </w:r>
      <w:r w:rsidR="00033D0F">
        <w:rPr>
          <w:spacing w:val="-4"/>
        </w:rPr>
        <w:t xml:space="preserve"> </w:t>
      </w:r>
      <w:r w:rsidR="00033D0F">
        <w:t>is</w:t>
      </w:r>
      <w:r w:rsidR="00033D0F">
        <w:rPr>
          <w:spacing w:val="-2"/>
        </w:rPr>
        <w:t xml:space="preserve"> </w:t>
      </w:r>
      <w:r w:rsidR="00033D0F">
        <w:t>requesting,</w:t>
      </w:r>
      <w:r w:rsidR="00033D0F">
        <w:rPr>
          <w:spacing w:val="-1"/>
        </w:rPr>
        <w:t xml:space="preserve"> </w:t>
      </w:r>
      <w:r w:rsidR="00033D0F">
        <w:t>and</w:t>
      </w:r>
      <w:r w:rsidR="00033D0F">
        <w:rPr>
          <w:spacing w:val="-5"/>
        </w:rPr>
        <w:t xml:space="preserve"> </w:t>
      </w:r>
      <w:r w:rsidR="00033D0F">
        <w:t>indeed none of the information outlined by China in its table,</w:t>
      </w:r>
      <w:hyperlink w:anchor="_bookmark1465" w:history="1">
        <w:r w:rsidR="00033D0F">
          <w:rPr>
            <w:vertAlign w:val="superscript"/>
          </w:rPr>
          <w:t>1263</w:t>
        </w:r>
      </w:hyperlink>
      <w:r w:rsidR="00033D0F">
        <w:t xml:space="preserve"> was information of the kind referred to as "context" by the panel in </w:t>
      </w:r>
      <w:r w:rsidR="00033D0F">
        <w:rPr>
          <w:i/>
        </w:rPr>
        <w:t>China – Broiler Products (Article 21.5 – US)</w:t>
      </w:r>
      <w:r w:rsidR="00033D0F">
        <w:t>. As a consequence, Australia does not see any legitimate basis for such information to be excluded from the scope of the obligation under Article</w:t>
      </w:r>
      <w:r w:rsidR="00033D0F">
        <w:rPr>
          <w:spacing w:val="15"/>
        </w:rPr>
        <w:t xml:space="preserve"> </w:t>
      </w:r>
      <w:r w:rsidR="00033D0F">
        <w:t>6.4.</w:t>
      </w:r>
      <w:r w:rsidR="00033D0F">
        <w:rPr>
          <w:spacing w:val="16"/>
        </w:rPr>
        <w:t xml:space="preserve"> </w:t>
      </w:r>
      <w:r w:rsidR="00033D0F">
        <w:t>To the</w:t>
      </w:r>
      <w:r w:rsidR="00033D0F">
        <w:rPr>
          <w:spacing w:val="15"/>
        </w:rPr>
        <w:t xml:space="preserve"> </w:t>
      </w:r>
      <w:r w:rsidR="00033D0F">
        <w:t>extent that</w:t>
      </w:r>
      <w:r w:rsidR="00033D0F">
        <w:rPr>
          <w:spacing w:val="15"/>
        </w:rPr>
        <w:t xml:space="preserve"> </w:t>
      </w:r>
      <w:r w:rsidR="00033D0F">
        <w:t>China</w:t>
      </w:r>
      <w:r w:rsidR="00033D0F">
        <w:rPr>
          <w:spacing w:val="14"/>
        </w:rPr>
        <w:t xml:space="preserve"> </w:t>
      </w:r>
      <w:r w:rsidR="00033D0F">
        <w:t>claims</w:t>
      </w:r>
      <w:r w:rsidR="00033D0F">
        <w:rPr>
          <w:spacing w:val="16"/>
        </w:rPr>
        <w:t xml:space="preserve"> </w:t>
      </w:r>
      <w:r w:rsidR="00033D0F">
        <w:t>any</w:t>
      </w:r>
      <w:r w:rsidR="00033D0F">
        <w:rPr>
          <w:spacing w:val="16"/>
        </w:rPr>
        <w:t xml:space="preserve"> </w:t>
      </w:r>
      <w:r w:rsidR="00033D0F">
        <w:t>of</w:t>
      </w:r>
      <w:r w:rsidR="00033D0F">
        <w:rPr>
          <w:spacing w:val="13"/>
        </w:rPr>
        <w:t xml:space="preserve"> </w:t>
      </w:r>
      <w:r w:rsidR="00033D0F">
        <w:t>this</w:t>
      </w:r>
      <w:r w:rsidR="00033D0F">
        <w:rPr>
          <w:spacing w:val="16"/>
        </w:rPr>
        <w:t xml:space="preserve"> </w:t>
      </w:r>
      <w:r w:rsidR="00033D0F">
        <w:t>information</w:t>
      </w:r>
      <w:r w:rsidR="00033D0F">
        <w:rPr>
          <w:spacing w:val="13"/>
        </w:rPr>
        <w:t xml:space="preserve"> </w:t>
      </w:r>
      <w:r w:rsidR="00033D0F">
        <w:t>was</w:t>
      </w:r>
      <w:r w:rsidR="00033D0F">
        <w:rPr>
          <w:spacing w:val="16"/>
        </w:rPr>
        <w:t xml:space="preserve"> </w:t>
      </w:r>
      <w:r w:rsidR="00033D0F">
        <w:t>confidential,</w:t>
      </w:r>
      <w:r w:rsidR="00033D0F">
        <w:rPr>
          <w:spacing w:val="17"/>
        </w:rPr>
        <w:t xml:space="preserve"> </w:t>
      </w:r>
      <w:r w:rsidR="00033D0F">
        <w:t>a</w:t>
      </w:r>
      <w:r w:rsidR="00033D0F">
        <w:rPr>
          <w:spacing w:val="14"/>
        </w:rPr>
        <w:t xml:space="preserve"> </w:t>
      </w:r>
      <w:r w:rsidR="00033D0F">
        <w:t>non-</w:t>
      </w:r>
    </w:p>
    <w:p w14:paraId="741D531F" w14:textId="77777777" w:rsidR="00BD462C" w:rsidRDefault="00BD462C">
      <w:pPr>
        <w:pStyle w:val="BodyText"/>
        <w:rPr>
          <w:sz w:val="20"/>
        </w:rPr>
      </w:pPr>
    </w:p>
    <w:p w14:paraId="240AB6A9" w14:textId="7D016024" w:rsidR="00BD462C" w:rsidRDefault="00D70C7D">
      <w:pPr>
        <w:pStyle w:val="BodyText"/>
        <w:spacing w:before="1"/>
        <w:rPr>
          <w:sz w:val="26"/>
        </w:rPr>
      </w:pPr>
      <w:r>
        <w:rPr>
          <w:noProof/>
        </w:rPr>
        <mc:AlternateContent>
          <mc:Choice Requires="wps">
            <w:drawing>
              <wp:anchor distT="0" distB="0" distL="0" distR="0" simplePos="0" relativeHeight="487860736" behindDoc="1" locked="0" layoutInCell="1" allowOverlap="1" wp14:anchorId="7DCE2392" wp14:editId="1F7A69B5">
                <wp:simplePos x="0" y="0"/>
                <wp:positionH relativeFrom="page">
                  <wp:posOffset>899160</wp:posOffset>
                </wp:positionH>
                <wp:positionV relativeFrom="paragraph">
                  <wp:posOffset>217805</wp:posOffset>
                </wp:positionV>
                <wp:extent cx="1828800" cy="8890"/>
                <wp:effectExtent l="0" t="0" r="0" b="0"/>
                <wp:wrapTopAndBottom/>
                <wp:docPr id="274" name="docshape5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670C89" id="docshape588" o:spid="_x0000_s1026" alt="&quot;&quot;" style="position:absolute;margin-left:70.8pt;margin-top:17.15pt;width:2in;height:.7pt;z-index:-15455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" fillcolor="black" stroked="f">
                <w10:wrap type="topAndBottom" anchorx="page"/>
              </v:rect>
            </w:pict>
          </mc:Fallback>
        </mc:AlternateContent>
      </w:r>
    </w:p>
    <w:p w14:paraId="4A0E4889" w14:textId="77777777" w:rsidR="00BD462C" w:rsidRDefault="00033D0F">
      <w:pPr>
        <w:spacing w:before="107"/>
        <w:ind w:left="135"/>
        <w:rPr>
          <w:sz w:val="18"/>
        </w:rPr>
      </w:pPr>
      <w:bookmarkStart w:id="1700" w:name="_bookmark1462"/>
      <w:bookmarkEnd w:id="1700"/>
      <w:r>
        <w:rPr>
          <w:position w:val="5"/>
          <w:sz w:val="12"/>
        </w:rPr>
        <w:t>1260</w:t>
      </w:r>
      <w:r>
        <w:rPr>
          <w:spacing w:val="13"/>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 xml:space="preserve">para. </w:t>
      </w:r>
      <w:r>
        <w:rPr>
          <w:spacing w:val="-2"/>
          <w:sz w:val="18"/>
        </w:rPr>
        <w:t>2452.</w:t>
      </w:r>
    </w:p>
    <w:p w14:paraId="21019320" w14:textId="77777777" w:rsidR="00BD462C" w:rsidRDefault="00033D0F">
      <w:pPr>
        <w:spacing w:before="1"/>
        <w:ind w:left="135"/>
        <w:rPr>
          <w:sz w:val="18"/>
        </w:rPr>
      </w:pPr>
      <w:bookmarkStart w:id="1701" w:name="_bookmark1463"/>
      <w:bookmarkEnd w:id="1701"/>
      <w:r>
        <w:rPr>
          <w:position w:val="5"/>
          <w:sz w:val="12"/>
        </w:rPr>
        <w:t>1261</w:t>
      </w:r>
      <w:r>
        <w:rPr>
          <w:spacing w:val="14"/>
          <w:position w:val="5"/>
          <w:sz w:val="12"/>
        </w:rPr>
        <w:t xml:space="preserve"> </w:t>
      </w:r>
      <w:r>
        <w:rPr>
          <w:sz w:val="18"/>
        </w:rPr>
        <w:t>Panel</w:t>
      </w:r>
      <w:r>
        <w:rPr>
          <w:spacing w:val="-3"/>
          <w:sz w:val="18"/>
        </w:rPr>
        <w:t xml:space="preserve"> </w:t>
      </w:r>
      <w:r>
        <w:rPr>
          <w:sz w:val="18"/>
        </w:rPr>
        <w:t>Report</w:t>
      </w:r>
      <w:r>
        <w:rPr>
          <w:i/>
          <w:sz w:val="18"/>
        </w:rPr>
        <w:t>,</w:t>
      </w:r>
      <w:r>
        <w:rPr>
          <w:i/>
          <w:spacing w:val="-2"/>
          <w:sz w:val="18"/>
        </w:rPr>
        <w:t xml:space="preserve"> </w:t>
      </w:r>
      <w:r>
        <w:rPr>
          <w:i/>
          <w:sz w:val="18"/>
        </w:rPr>
        <w:t>China</w:t>
      </w:r>
      <w:r>
        <w:rPr>
          <w:i/>
          <w:spacing w:val="-3"/>
          <w:sz w:val="18"/>
        </w:rPr>
        <w:t xml:space="preserve"> </w:t>
      </w:r>
      <w:r>
        <w:rPr>
          <w:i/>
          <w:sz w:val="18"/>
        </w:rPr>
        <w:t>–</w:t>
      </w:r>
      <w:r>
        <w:rPr>
          <w:i/>
          <w:spacing w:val="-5"/>
          <w:sz w:val="18"/>
        </w:rPr>
        <w:t xml:space="preserve"> </w:t>
      </w:r>
      <w:r>
        <w:rPr>
          <w:i/>
          <w:sz w:val="18"/>
        </w:rPr>
        <w:t>Broiler</w:t>
      </w:r>
      <w:r>
        <w:rPr>
          <w:i/>
          <w:spacing w:val="-5"/>
          <w:sz w:val="18"/>
        </w:rPr>
        <w:t xml:space="preserve"> </w:t>
      </w:r>
      <w:r>
        <w:rPr>
          <w:i/>
          <w:sz w:val="18"/>
        </w:rPr>
        <w:t>Products</w:t>
      </w:r>
      <w:r>
        <w:rPr>
          <w:i/>
          <w:spacing w:val="-8"/>
          <w:sz w:val="18"/>
        </w:rPr>
        <w:t xml:space="preserve"> </w:t>
      </w:r>
      <w:r>
        <w:rPr>
          <w:i/>
          <w:sz w:val="18"/>
        </w:rPr>
        <w:t>(Article</w:t>
      </w:r>
      <w:r>
        <w:rPr>
          <w:i/>
          <w:spacing w:val="-2"/>
          <w:sz w:val="18"/>
        </w:rPr>
        <w:t xml:space="preserve"> </w:t>
      </w:r>
      <w:r>
        <w:rPr>
          <w:i/>
          <w:sz w:val="18"/>
        </w:rPr>
        <w:t>21.5</w:t>
      </w:r>
      <w:r>
        <w:rPr>
          <w:i/>
          <w:spacing w:val="-6"/>
          <w:sz w:val="18"/>
        </w:rPr>
        <w:t xml:space="preserve"> </w:t>
      </w:r>
      <w:r>
        <w:rPr>
          <w:i/>
          <w:sz w:val="18"/>
        </w:rPr>
        <w:t>– US),</w:t>
      </w:r>
      <w:r>
        <w:rPr>
          <w:i/>
          <w:spacing w:val="-2"/>
          <w:sz w:val="18"/>
        </w:rPr>
        <w:t xml:space="preserve"> </w:t>
      </w:r>
      <w:r>
        <w:rPr>
          <w:sz w:val="18"/>
        </w:rPr>
        <w:t>paras.</w:t>
      </w:r>
      <w:r>
        <w:rPr>
          <w:spacing w:val="-3"/>
          <w:sz w:val="18"/>
        </w:rPr>
        <w:t xml:space="preserve"> </w:t>
      </w:r>
      <w:r>
        <w:rPr>
          <w:sz w:val="18"/>
        </w:rPr>
        <w:t>7.316-</w:t>
      </w:r>
      <w:r>
        <w:rPr>
          <w:spacing w:val="-2"/>
          <w:sz w:val="18"/>
        </w:rPr>
        <w:t>7.319.</w:t>
      </w:r>
    </w:p>
    <w:p w14:paraId="547606EB" w14:textId="77777777" w:rsidR="00BD462C" w:rsidRDefault="00033D0F">
      <w:pPr>
        <w:spacing w:before="1"/>
        <w:ind w:left="135"/>
        <w:rPr>
          <w:sz w:val="18"/>
        </w:rPr>
      </w:pPr>
      <w:bookmarkStart w:id="1702" w:name="_bookmark1464"/>
      <w:bookmarkEnd w:id="1702"/>
      <w:r>
        <w:rPr>
          <w:position w:val="5"/>
          <w:sz w:val="12"/>
        </w:rPr>
        <w:t>1262</w:t>
      </w:r>
      <w:r>
        <w:rPr>
          <w:spacing w:val="15"/>
          <w:position w:val="5"/>
          <w:sz w:val="12"/>
        </w:rPr>
        <w:t xml:space="preserve"> </w:t>
      </w:r>
      <w:r>
        <w:rPr>
          <w:sz w:val="18"/>
        </w:rPr>
        <w:t>Panel</w:t>
      </w:r>
      <w:r>
        <w:rPr>
          <w:spacing w:val="-3"/>
          <w:sz w:val="18"/>
        </w:rPr>
        <w:t xml:space="preserve"> </w:t>
      </w:r>
      <w:r>
        <w:rPr>
          <w:sz w:val="18"/>
        </w:rPr>
        <w:t>Report</w:t>
      </w:r>
      <w:r>
        <w:rPr>
          <w:i/>
          <w:sz w:val="18"/>
        </w:rPr>
        <w:t>,</w:t>
      </w:r>
      <w:r>
        <w:rPr>
          <w:i/>
          <w:spacing w:val="-2"/>
          <w:sz w:val="18"/>
        </w:rPr>
        <w:t xml:space="preserve"> </w:t>
      </w:r>
      <w:r>
        <w:rPr>
          <w:i/>
          <w:sz w:val="18"/>
        </w:rPr>
        <w:t>China</w:t>
      </w:r>
      <w:r>
        <w:rPr>
          <w:i/>
          <w:spacing w:val="-3"/>
          <w:sz w:val="18"/>
        </w:rPr>
        <w:t xml:space="preserve"> </w:t>
      </w:r>
      <w:r>
        <w:rPr>
          <w:i/>
          <w:sz w:val="18"/>
        </w:rPr>
        <w:t>–</w:t>
      </w:r>
      <w:r>
        <w:rPr>
          <w:i/>
          <w:spacing w:val="-3"/>
          <w:sz w:val="18"/>
        </w:rPr>
        <w:t xml:space="preserve"> </w:t>
      </w:r>
      <w:r>
        <w:rPr>
          <w:i/>
          <w:sz w:val="18"/>
        </w:rPr>
        <w:t>Broiler</w:t>
      </w:r>
      <w:r>
        <w:rPr>
          <w:i/>
          <w:spacing w:val="-5"/>
          <w:sz w:val="18"/>
        </w:rPr>
        <w:t xml:space="preserve"> </w:t>
      </w:r>
      <w:r>
        <w:rPr>
          <w:i/>
          <w:sz w:val="18"/>
        </w:rPr>
        <w:t>Products</w:t>
      </w:r>
      <w:r>
        <w:rPr>
          <w:i/>
          <w:spacing w:val="-9"/>
          <w:sz w:val="18"/>
        </w:rPr>
        <w:t xml:space="preserve"> </w:t>
      </w:r>
      <w:r>
        <w:rPr>
          <w:i/>
          <w:sz w:val="18"/>
        </w:rPr>
        <w:t>(Article 21.5</w:t>
      </w:r>
      <w:r>
        <w:rPr>
          <w:i/>
          <w:spacing w:val="-6"/>
          <w:sz w:val="18"/>
        </w:rPr>
        <w:t xml:space="preserve"> </w:t>
      </w:r>
      <w:r>
        <w:rPr>
          <w:i/>
          <w:sz w:val="18"/>
        </w:rPr>
        <w:t>– US),</w:t>
      </w:r>
      <w:r>
        <w:rPr>
          <w:i/>
          <w:spacing w:val="-2"/>
          <w:sz w:val="18"/>
        </w:rPr>
        <w:t xml:space="preserve"> </w:t>
      </w:r>
      <w:r>
        <w:rPr>
          <w:sz w:val="18"/>
        </w:rPr>
        <w:t>para.</w:t>
      </w:r>
      <w:r>
        <w:rPr>
          <w:spacing w:val="2"/>
          <w:sz w:val="18"/>
        </w:rPr>
        <w:t xml:space="preserve"> </w:t>
      </w:r>
      <w:r>
        <w:rPr>
          <w:spacing w:val="-2"/>
          <w:sz w:val="18"/>
        </w:rPr>
        <w:t>7.316.</w:t>
      </w:r>
    </w:p>
    <w:p w14:paraId="4EF44C79" w14:textId="77777777" w:rsidR="00BD462C" w:rsidRDefault="00033D0F">
      <w:pPr>
        <w:spacing w:before="1"/>
        <w:ind w:left="135" w:right="912"/>
        <w:rPr>
          <w:sz w:val="18"/>
        </w:rPr>
      </w:pPr>
      <w:bookmarkStart w:id="1703" w:name="_bookmark1465"/>
      <w:bookmarkEnd w:id="1703"/>
      <w:r>
        <w:rPr>
          <w:position w:val="5"/>
          <w:sz w:val="12"/>
        </w:rPr>
        <w:t>1263</w:t>
      </w:r>
      <w:r>
        <w:rPr>
          <w:spacing w:val="17"/>
          <w:position w:val="5"/>
          <w:sz w:val="12"/>
        </w:rPr>
        <w:t xml:space="preserve"> </w:t>
      </w:r>
      <w:r>
        <w:rPr>
          <w:sz w:val="18"/>
        </w:rPr>
        <w:t>China</w:t>
      </w:r>
      <w:r>
        <w:rPr>
          <w:spacing w:val="-4"/>
          <w:sz w:val="18"/>
        </w:rPr>
        <w:t xml:space="preserve"> </w:t>
      </w:r>
      <w:r>
        <w:rPr>
          <w:sz w:val="18"/>
        </w:rPr>
        <w:t>argues</w:t>
      </w:r>
      <w:r>
        <w:rPr>
          <w:spacing w:val="-2"/>
          <w:sz w:val="18"/>
        </w:rPr>
        <w:t xml:space="preserve"> </w:t>
      </w:r>
      <w:r>
        <w:rPr>
          <w:sz w:val="18"/>
        </w:rPr>
        <w:t>that</w:t>
      </w:r>
      <w:r>
        <w:rPr>
          <w:spacing w:val="-1"/>
          <w:sz w:val="18"/>
        </w:rPr>
        <w:t xml:space="preserve"> </w:t>
      </w:r>
      <w:r>
        <w:rPr>
          <w:sz w:val="18"/>
        </w:rPr>
        <w:t>information</w:t>
      </w:r>
      <w:r>
        <w:rPr>
          <w:spacing w:val="-3"/>
          <w:sz w:val="18"/>
        </w:rPr>
        <w:t xml:space="preserve"> </w:t>
      </w:r>
      <w:r>
        <w:rPr>
          <w:sz w:val="18"/>
        </w:rPr>
        <w:t>is</w:t>
      </w:r>
      <w:r>
        <w:rPr>
          <w:spacing w:val="-2"/>
          <w:sz w:val="18"/>
        </w:rPr>
        <w:t xml:space="preserve"> </w:t>
      </w:r>
      <w:r>
        <w:rPr>
          <w:sz w:val="18"/>
        </w:rPr>
        <w:t>"context</w:t>
      </w:r>
      <w:r>
        <w:rPr>
          <w:spacing w:val="-1"/>
          <w:sz w:val="18"/>
        </w:rPr>
        <w:t xml:space="preserve"> </w:t>
      </w:r>
      <w:r>
        <w:rPr>
          <w:sz w:val="18"/>
        </w:rPr>
        <w:t>to</w:t>
      </w:r>
      <w:r>
        <w:rPr>
          <w:spacing w:val="-3"/>
          <w:sz w:val="18"/>
        </w:rPr>
        <w:t xml:space="preserve"> </w:t>
      </w:r>
      <w:r>
        <w:rPr>
          <w:sz w:val="18"/>
        </w:rPr>
        <w:t>information"</w:t>
      </w:r>
      <w:r>
        <w:rPr>
          <w:spacing w:val="-4"/>
          <w:sz w:val="18"/>
        </w:rPr>
        <w:t xml:space="preserve"> </w:t>
      </w:r>
      <w:r>
        <w:rPr>
          <w:sz w:val="18"/>
        </w:rPr>
        <w:t>in table</w:t>
      </w:r>
      <w:r>
        <w:rPr>
          <w:spacing w:val="-3"/>
          <w:sz w:val="18"/>
        </w:rPr>
        <w:t xml:space="preserve"> </w:t>
      </w:r>
      <w:r>
        <w:rPr>
          <w:sz w:val="18"/>
        </w:rPr>
        <w:t>items</w:t>
      </w:r>
      <w:r>
        <w:rPr>
          <w:spacing w:val="-2"/>
          <w:sz w:val="18"/>
        </w:rPr>
        <w:t xml:space="preserve"> </w:t>
      </w:r>
      <w:r>
        <w:rPr>
          <w:sz w:val="18"/>
        </w:rPr>
        <w:t>4, 7, 8, 10, 12, 13, 14, 17, 18 and 19. See China's first written submission, para. 2455.</w:t>
      </w:r>
    </w:p>
    <w:p w14:paraId="0D269567" w14:textId="77777777" w:rsidR="00BD462C" w:rsidRDefault="00BD462C">
      <w:pPr>
        <w:rPr>
          <w:sz w:val="18"/>
        </w:rPr>
        <w:sectPr w:rsidR="00BD462C">
          <w:pgSz w:w="11910" w:h="16840"/>
          <w:pgMar w:top="860" w:right="500" w:bottom="780" w:left="1280" w:header="566" w:footer="590" w:gutter="0"/>
          <w:cols w:space="720"/>
        </w:sectPr>
      </w:pPr>
    </w:p>
    <w:p w14:paraId="1C3E42EC"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1B9A1B8C"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021F8C1A"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0F4E6471" w14:textId="77777777" w:rsidR="00BD462C" w:rsidRDefault="00033D0F">
      <w:pPr>
        <w:pStyle w:val="BodyText"/>
        <w:spacing w:before="102" w:line="357" w:lineRule="auto"/>
        <w:ind w:left="136"/>
      </w:pPr>
      <w:r>
        <w:t>confidential summary should have been provided in sufficient detail to permit a reasonable understanding of the substance of that information.</w:t>
      </w:r>
    </w:p>
    <w:p w14:paraId="4D6FEFDC" w14:textId="77777777" w:rsidR="00BD462C" w:rsidRDefault="00033D0F">
      <w:pPr>
        <w:pStyle w:val="ListParagraph"/>
        <w:numPr>
          <w:ilvl w:val="1"/>
          <w:numId w:val="18"/>
        </w:numPr>
        <w:tabs>
          <w:tab w:val="left" w:pos="4388"/>
          <w:tab w:val="left" w:pos="4389"/>
        </w:tabs>
        <w:spacing w:before="164" w:line="362" w:lineRule="auto"/>
        <w:ind w:right="911"/>
        <w:rPr>
          <w:i/>
          <w:sz w:val="24"/>
        </w:rPr>
      </w:pPr>
      <w:bookmarkStart w:id="1704" w:name="iii._China_incorrectly_argues_that_all_m"/>
      <w:bookmarkStart w:id="1705" w:name="_bookmark1466"/>
      <w:bookmarkEnd w:id="1704"/>
      <w:bookmarkEnd w:id="1705"/>
      <w:r>
        <w:rPr>
          <w:i/>
          <w:sz w:val="24"/>
        </w:rPr>
        <w:t>China</w:t>
      </w:r>
      <w:r>
        <w:rPr>
          <w:i/>
          <w:spacing w:val="40"/>
          <w:sz w:val="24"/>
        </w:rPr>
        <w:t xml:space="preserve"> </w:t>
      </w:r>
      <w:r>
        <w:rPr>
          <w:i/>
          <w:sz w:val="24"/>
        </w:rPr>
        <w:t>incorrectly</w:t>
      </w:r>
      <w:r>
        <w:rPr>
          <w:i/>
          <w:spacing w:val="38"/>
          <w:sz w:val="24"/>
        </w:rPr>
        <w:t xml:space="preserve"> </w:t>
      </w:r>
      <w:r>
        <w:rPr>
          <w:i/>
          <w:sz w:val="24"/>
        </w:rPr>
        <w:t>argues</w:t>
      </w:r>
      <w:r>
        <w:rPr>
          <w:i/>
          <w:spacing w:val="38"/>
          <w:sz w:val="24"/>
        </w:rPr>
        <w:t xml:space="preserve"> </w:t>
      </w:r>
      <w:r>
        <w:rPr>
          <w:i/>
          <w:sz w:val="24"/>
        </w:rPr>
        <w:t>that</w:t>
      </w:r>
      <w:r>
        <w:rPr>
          <w:i/>
          <w:spacing w:val="40"/>
          <w:sz w:val="24"/>
        </w:rPr>
        <w:t xml:space="preserve"> </w:t>
      </w:r>
      <w:r>
        <w:rPr>
          <w:i/>
          <w:sz w:val="24"/>
        </w:rPr>
        <w:t>all</w:t>
      </w:r>
      <w:r>
        <w:rPr>
          <w:i/>
          <w:spacing w:val="40"/>
          <w:sz w:val="24"/>
        </w:rPr>
        <w:t xml:space="preserve"> </w:t>
      </w:r>
      <w:r>
        <w:rPr>
          <w:i/>
          <w:sz w:val="24"/>
        </w:rPr>
        <w:t>methodologies are outside the scope of Article 6.4</w:t>
      </w:r>
    </w:p>
    <w:p w14:paraId="5A51AD3A" w14:textId="77777777" w:rsidR="00BD462C" w:rsidRDefault="00BD462C">
      <w:pPr>
        <w:pStyle w:val="BodyText"/>
        <w:spacing w:before="3"/>
        <w:rPr>
          <w:i/>
          <w:sz w:val="8"/>
        </w:rPr>
      </w:pPr>
    </w:p>
    <w:p w14:paraId="0A6F6FE7" w14:textId="7BD6D75C" w:rsidR="00BD462C" w:rsidRDefault="009B0E6F">
      <w:pPr>
        <w:pStyle w:val="BodyText"/>
        <w:spacing w:before="56" w:line="360" w:lineRule="auto"/>
        <w:ind w:left="135" w:right="913"/>
        <w:jc w:val="both"/>
      </w:pPr>
      <w:r>
        <w:rPr>
          <w:noProof/>
        </w:rPr>
        <w:t>864.</w:t>
      </w:r>
      <w:bookmarkStart w:id="1706" w:name="_bookmark1467"/>
      <w:bookmarkEnd w:id="1706"/>
      <w:r w:rsidR="00033D0F">
        <w:rPr>
          <w:rFonts w:ascii="Times New Roman" w:hAnsi="Times New Roman"/>
          <w:spacing w:val="384"/>
          <w:position w:val="1"/>
          <w:sz w:val="20"/>
        </w:rPr>
        <w:t xml:space="preserve"> </w:t>
      </w:r>
      <w:r w:rsidR="00033D0F">
        <w:rPr>
          <w:position w:val="1"/>
        </w:rPr>
        <w:t xml:space="preserve">Regarding China's related argument that "methodologies" are not considered to be </w:t>
      </w:r>
      <w:r w:rsidR="00033D0F">
        <w:t>information</w:t>
      </w:r>
      <w:r w:rsidR="00033D0F">
        <w:rPr>
          <w:spacing w:val="-4"/>
        </w:rPr>
        <w:t xml:space="preserve"> </w:t>
      </w:r>
      <w:r w:rsidR="00033D0F">
        <w:t>within</w:t>
      </w:r>
      <w:r w:rsidR="00033D0F">
        <w:rPr>
          <w:spacing w:val="-4"/>
        </w:rPr>
        <w:t xml:space="preserve"> </w:t>
      </w:r>
      <w:r w:rsidR="00033D0F">
        <w:t>the</w:t>
      </w:r>
      <w:r w:rsidR="00033D0F">
        <w:rPr>
          <w:spacing w:val="-3"/>
        </w:rPr>
        <w:t xml:space="preserve"> </w:t>
      </w:r>
      <w:r w:rsidR="00033D0F">
        <w:t>scope of Article</w:t>
      </w:r>
      <w:r w:rsidR="00033D0F">
        <w:rPr>
          <w:spacing w:val="-2"/>
        </w:rPr>
        <w:t xml:space="preserve"> </w:t>
      </w:r>
      <w:r w:rsidR="00033D0F">
        <w:t>6.4, China relies</w:t>
      </w:r>
      <w:r w:rsidR="00033D0F">
        <w:rPr>
          <w:spacing w:val="-1"/>
        </w:rPr>
        <w:t xml:space="preserve"> </w:t>
      </w:r>
      <w:r w:rsidR="00033D0F">
        <w:t>on</w:t>
      </w:r>
      <w:r w:rsidR="00033D0F">
        <w:rPr>
          <w:spacing w:val="-4"/>
        </w:rPr>
        <w:t xml:space="preserve"> </w:t>
      </w:r>
      <w:r w:rsidR="00033D0F">
        <w:t>the</w:t>
      </w:r>
      <w:r w:rsidR="00033D0F">
        <w:rPr>
          <w:spacing w:val="-3"/>
        </w:rPr>
        <w:t xml:space="preserve"> </w:t>
      </w:r>
      <w:r w:rsidR="00033D0F">
        <w:t>panel report</w:t>
      </w:r>
      <w:r w:rsidR="00033D0F">
        <w:rPr>
          <w:spacing w:val="-2"/>
        </w:rPr>
        <w:t xml:space="preserve"> </w:t>
      </w:r>
      <w:r w:rsidR="00033D0F">
        <w:t xml:space="preserve">in </w:t>
      </w:r>
      <w:r w:rsidR="00033D0F">
        <w:rPr>
          <w:i/>
        </w:rPr>
        <w:t>EU</w:t>
      </w:r>
      <w:r w:rsidR="00033D0F">
        <w:rPr>
          <w:i/>
          <w:spacing w:val="-3"/>
        </w:rPr>
        <w:t xml:space="preserve"> </w:t>
      </w:r>
      <w:r w:rsidR="00033D0F">
        <w:rPr>
          <w:i/>
        </w:rPr>
        <w:t xml:space="preserve">– Footwear (China) </w:t>
      </w:r>
      <w:r w:rsidR="00033D0F">
        <w:t>which states " […] the text of Article 6.4 makes it clear that the obligation on investigating authorities applies to 'information', and not to the methodologies, reasoning, analysis, and determinations of investigating authorities".</w:t>
      </w:r>
      <w:hyperlink w:anchor="_bookmark1468" w:history="1">
        <w:r w:rsidR="00033D0F">
          <w:rPr>
            <w:vertAlign w:val="superscript"/>
          </w:rPr>
          <w:t>1264</w:t>
        </w:r>
      </w:hyperlink>
      <w:r w:rsidR="00033D0F">
        <w:t xml:space="preserve"> However, upon closer inspection</w:t>
      </w:r>
      <w:r w:rsidR="00033D0F">
        <w:rPr>
          <w:spacing w:val="-1"/>
        </w:rPr>
        <w:t xml:space="preserve"> </w:t>
      </w:r>
      <w:r w:rsidR="00033D0F">
        <w:t>of the context of this</w:t>
      </w:r>
      <w:r w:rsidR="00033D0F">
        <w:rPr>
          <w:spacing w:val="-2"/>
        </w:rPr>
        <w:t xml:space="preserve"> </w:t>
      </w:r>
      <w:r w:rsidR="00033D0F">
        <w:t>quote, it is clear</w:t>
      </w:r>
      <w:r w:rsidR="00033D0F">
        <w:rPr>
          <w:spacing w:val="-1"/>
        </w:rPr>
        <w:t xml:space="preserve"> </w:t>
      </w:r>
      <w:r w:rsidR="00033D0F">
        <w:t>that the panel in</w:t>
      </w:r>
      <w:r w:rsidR="00033D0F">
        <w:rPr>
          <w:spacing w:val="-1"/>
        </w:rPr>
        <w:t xml:space="preserve"> </w:t>
      </w:r>
      <w:r w:rsidR="00033D0F">
        <w:t>that case did</w:t>
      </w:r>
      <w:r w:rsidR="00033D0F">
        <w:rPr>
          <w:spacing w:val="-1"/>
        </w:rPr>
        <w:t xml:space="preserve"> </w:t>
      </w:r>
      <w:r w:rsidR="00033D0F">
        <w:t>not intend</w:t>
      </w:r>
      <w:r w:rsidR="00033D0F">
        <w:rPr>
          <w:spacing w:val="-1"/>
        </w:rPr>
        <w:t xml:space="preserve"> </w:t>
      </w:r>
      <w:r w:rsidR="00033D0F">
        <w:t>to posit a general principle precluding any type of "methodology" from being within the scope of "information" in Article 6.4.</w:t>
      </w:r>
    </w:p>
    <w:p w14:paraId="70249E9F" w14:textId="77777777" w:rsidR="00BD462C" w:rsidRDefault="00BD462C">
      <w:pPr>
        <w:pStyle w:val="BodyText"/>
        <w:spacing w:before="7"/>
        <w:rPr>
          <w:sz w:val="8"/>
        </w:rPr>
      </w:pPr>
    </w:p>
    <w:p w14:paraId="47E63252" w14:textId="4BA5256A" w:rsidR="00BD462C" w:rsidRDefault="009B0E6F">
      <w:pPr>
        <w:pStyle w:val="BodyText"/>
        <w:spacing w:before="56" w:line="360" w:lineRule="auto"/>
        <w:ind w:left="135" w:right="916"/>
        <w:jc w:val="both"/>
      </w:pPr>
      <w:r>
        <w:rPr>
          <w:noProof/>
        </w:rPr>
        <w:t>865.</w:t>
      </w:r>
      <w:r w:rsidR="00033D0F">
        <w:rPr>
          <w:rFonts w:ascii="Times New Roman" w:hAnsi="Times New Roman"/>
          <w:spacing w:val="80"/>
          <w:position w:val="1"/>
          <w:sz w:val="20"/>
        </w:rPr>
        <w:t xml:space="preserve">   </w:t>
      </w:r>
      <w:r w:rsidR="00033D0F">
        <w:rPr>
          <w:position w:val="1"/>
        </w:rPr>
        <w:t>Moreover,</w:t>
      </w:r>
      <w:r w:rsidR="00033D0F">
        <w:rPr>
          <w:spacing w:val="80"/>
          <w:position w:val="1"/>
        </w:rPr>
        <w:t xml:space="preserve"> </w:t>
      </w:r>
      <w:r w:rsidR="00033D0F">
        <w:rPr>
          <w:position w:val="1"/>
        </w:rPr>
        <w:t>none</w:t>
      </w:r>
      <w:r w:rsidR="00033D0F">
        <w:rPr>
          <w:spacing w:val="80"/>
          <w:position w:val="1"/>
        </w:rPr>
        <w:t xml:space="preserve"> </w:t>
      </w:r>
      <w:r w:rsidR="00033D0F">
        <w:rPr>
          <w:position w:val="1"/>
        </w:rPr>
        <w:t>of</w:t>
      </w:r>
      <w:r w:rsidR="00033D0F">
        <w:rPr>
          <w:spacing w:val="80"/>
          <w:position w:val="1"/>
        </w:rPr>
        <w:t xml:space="preserve"> </w:t>
      </w:r>
      <w:r w:rsidR="00033D0F">
        <w:rPr>
          <w:position w:val="1"/>
        </w:rPr>
        <w:t>the</w:t>
      </w:r>
      <w:r w:rsidR="00033D0F">
        <w:rPr>
          <w:spacing w:val="80"/>
          <w:position w:val="1"/>
        </w:rPr>
        <w:t xml:space="preserve"> </w:t>
      </w:r>
      <w:r w:rsidR="00033D0F">
        <w:rPr>
          <w:position w:val="1"/>
        </w:rPr>
        <w:t>prior</w:t>
      </w:r>
      <w:r w:rsidR="00033D0F">
        <w:rPr>
          <w:spacing w:val="80"/>
          <w:position w:val="1"/>
        </w:rPr>
        <w:t xml:space="preserve"> </w:t>
      </w:r>
      <w:r w:rsidR="00033D0F">
        <w:rPr>
          <w:position w:val="1"/>
        </w:rPr>
        <w:t>reports</w:t>
      </w:r>
      <w:r w:rsidR="00033D0F">
        <w:rPr>
          <w:spacing w:val="80"/>
          <w:position w:val="1"/>
        </w:rPr>
        <w:t xml:space="preserve"> </w:t>
      </w:r>
      <w:r w:rsidR="00033D0F">
        <w:rPr>
          <w:position w:val="1"/>
        </w:rPr>
        <w:t>cited</w:t>
      </w:r>
      <w:r w:rsidR="00033D0F">
        <w:rPr>
          <w:spacing w:val="77"/>
          <w:position w:val="1"/>
        </w:rPr>
        <w:t xml:space="preserve"> </w:t>
      </w:r>
      <w:r w:rsidR="00033D0F">
        <w:rPr>
          <w:position w:val="1"/>
        </w:rPr>
        <w:t>and</w:t>
      </w:r>
      <w:r w:rsidR="00033D0F">
        <w:rPr>
          <w:spacing w:val="77"/>
          <w:position w:val="1"/>
        </w:rPr>
        <w:t xml:space="preserve"> </w:t>
      </w:r>
      <w:r w:rsidR="00033D0F">
        <w:rPr>
          <w:position w:val="1"/>
        </w:rPr>
        <w:t>relied</w:t>
      </w:r>
      <w:r w:rsidR="00033D0F">
        <w:rPr>
          <w:spacing w:val="77"/>
          <w:position w:val="1"/>
        </w:rPr>
        <w:t xml:space="preserve"> </w:t>
      </w:r>
      <w:r w:rsidR="00033D0F">
        <w:rPr>
          <w:position w:val="1"/>
        </w:rPr>
        <w:t>upon</w:t>
      </w:r>
      <w:r w:rsidR="00033D0F">
        <w:rPr>
          <w:spacing w:val="80"/>
          <w:position w:val="1"/>
        </w:rPr>
        <w:t xml:space="preserve"> </w:t>
      </w:r>
      <w:r w:rsidR="00033D0F">
        <w:rPr>
          <w:position w:val="1"/>
        </w:rPr>
        <w:t>by</w:t>
      </w:r>
      <w:r w:rsidR="00033D0F">
        <w:rPr>
          <w:spacing w:val="80"/>
          <w:position w:val="1"/>
        </w:rPr>
        <w:t xml:space="preserve"> </w:t>
      </w:r>
      <w:r w:rsidR="00033D0F">
        <w:rPr>
          <w:position w:val="1"/>
        </w:rPr>
        <w:t>the</w:t>
      </w:r>
      <w:r w:rsidR="00033D0F">
        <w:rPr>
          <w:spacing w:val="79"/>
          <w:position w:val="1"/>
        </w:rPr>
        <w:t xml:space="preserve"> </w:t>
      </w:r>
      <w:r w:rsidR="00033D0F">
        <w:rPr>
          <w:position w:val="1"/>
        </w:rPr>
        <w:t>panel</w:t>
      </w:r>
      <w:r w:rsidR="00033D0F">
        <w:rPr>
          <w:spacing w:val="80"/>
          <w:position w:val="1"/>
        </w:rPr>
        <w:t xml:space="preserve"> </w:t>
      </w:r>
      <w:r w:rsidR="00033D0F">
        <w:rPr>
          <w:position w:val="1"/>
        </w:rPr>
        <w:t xml:space="preserve">in </w:t>
      </w:r>
      <w:r w:rsidR="00033D0F">
        <w:rPr>
          <w:i/>
        </w:rPr>
        <w:t>EU</w:t>
      </w:r>
      <w:r w:rsidR="00033D0F">
        <w:rPr>
          <w:i/>
          <w:spacing w:val="-2"/>
        </w:rPr>
        <w:t xml:space="preserve"> </w:t>
      </w:r>
      <w:r w:rsidR="00033D0F">
        <w:rPr>
          <w:i/>
        </w:rPr>
        <w:t>–</w:t>
      </w:r>
      <w:r w:rsidR="00033D0F">
        <w:rPr>
          <w:i/>
          <w:spacing w:val="-1"/>
        </w:rPr>
        <w:t xml:space="preserve"> </w:t>
      </w:r>
      <w:r w:rsidR="00033D0F">
        <w:rPr>
          <w:i/>
        </w:rPr>
        <w:t>Footwear</w:t>
      </w:r>
      <w:r w:rsidR="00033D0F">
        <w:rPr>
          <w:i/>
          <w:spacing w:val="-8"/>
        </w:rPr>
        <w:t xml:space="preserve"> </w:t>
      </w:r>
      <w:r w:rsidR="00033D0F">
        <w:rPr>
          <w:i/>
        </w:rPr>
        <w:t>(China)</w:t>
      </w:r>
      <w:r w:rsidR="00033D0F">
        <w:rPr>
          <w:i/>
          <w:spacing w:val="-8"/>
        </w:rPr>
        <w:t xml:space="preserve"> </w:t>
      </w:r>
      <w:r w:rsidR="00033D0F">
        <w:t>contain</w:t>
      </w:r>
      <w:r w:rsidR="00033D0F">
        <w:rPr>
          <w:spacing w:val="-8"/>
        </w:rPr>
        <w:t xml:space="preserve"> </w:t>
      </w:r>
      <w:r w:rsidR="00033D0F">
        <w:t>any reference</w:t>
      </w:r>
      <w:r w:rsidR="00033D0F">
        <w:rPr>
          <w:spacing w:val="-6"/>
        </w:rPr>
        <w:t xml:space="preserve"> </w:t>
      </w:r>
      <w:r w:rsidR="00033D0F">
        <w:t>to</w:t>
      </w:r>
      <w:r w:rsidR="00033D0F">
        <w:rPr>
          <w:spacing w:val="-4"/>
        </w:rPr>
        <w:t xml:space="preserve"> </w:t>
      </w:r>
      <w:r w:rsidR="00033D0F">
        <w:t>"methodology".</w:t>
      </w:r>
      <w:r w:rsidR="00033D0F">
        <w:rPr>
          <w:spacing w:val="-5"/>
        </w:rPr>
        <w:t xml:space="preserve"> </w:t>
      </w:r>
      <w:r w:rsidR="00033D0F">
        <w:t>They</w:t>
      </w:r>
      <w:r w:rsidR="00033D0F">
        <w:rPr>
          <w:spacing w:val="-5"/>
        </w:rPr>
        <w:t xml:space="preserve"> </w:t>
      </w:r>
      <w:r w:rsidR="00033D0F">
        <w:t>simply</w:t>
      </w:r>
      <w:r w:rsidR="00033D0F">
        <w:rPr>
          <w:spacing w:val="-5"/>
        </w:rPr>
        <w:t xml:space="preserve"> </w:t>
      </w:r>
      <w:r w:rsidR="00033D0F">
        <w:t>focus instead</w:t>
      </w:r>
      <w:r w:rsidR="00033D0F">
        <w:rPr>
          <w:spacing w:val="-8"/>
        </w:rPr>
        <w:t xml:space="preserve"> </w:t>
      </w:r>
      <w:r w:rsidR="00033D0F">
        <w:t>on the</w:t>
      </w:r>
      <w:r w:rsidR="00033D0F">
        <w:rPr>
          <w:spacing w:val="-14"/>
        </w:rPr>
        <w:t xml:space="preserve"> </w:t>
      </w:r>
      <w:r w:rsidR="00033D0F">
        <w:t>"analysis</w:t>
      </w:r>
      <w:r w:rsidR="00033D0F">
        <w:rPr>
          <w:spacing w:val="-13"/>
        </w:rPr>
        <w:t xml:space="preserve"> </w:t>
      </w:r>
      <w:r w:rsidR="00033D0F">
        <w:t>and</w:t>
      </w:r>
      <w:r w:rsidR="00033D0F">
        <w:rPr>
          <w:spacing w:val="-13"/>
        </w:rPr>
        <w:t xml:space="preserve"> </w:t>
      </w:r>
      <w:r w:rsidR="00033D0F">
        <w:t>determination",</w:t>
      </w:r>
      <w:r w:rsidR="00033D0F">
        <w:rPr>
          <w:spacing w:val="-11"/>
        </w:rPr>
        <w:t xml:space="preserve"> </w:t>
      </w:r>
      <w:r w:rsidR="00033D0F">
        <w:t>"reasoning"</w:t>
      </w:r>
      <w:r w:rsidR="00033D0F">
        <w:rPr>
          <w:spacing w:val="-14"/>
        </w:rPr>
        <w:t xml:space="preserve"> </w:t>
      </w:r>
      <w:r w:rsidR="00033D0F">
        <w:t>and</w:t>
      </w:r>
      <w:r w:rsidR="00033D0F">
        <w:rPr>
          <w:spacing w:val="-14"/>
        </w:rPr>
        <w:t xml:space="preserve"> </w:t>
      </w:r>
      <w:r w:rsidR="00033D0F">
        <w:t>"conclusions"</w:t>
      </w:r>
      <w:r w:rsidR="00033D0F">
        <w:rPr>
          <w:spacing w:val="-13"/>
        </w:rPr>
        <w:t xml:space="preserve"> </w:t>
      </w:r>
      <w:r w:rsidR="00033D0F">
        <w:t>of</w:t>
      </w:r>
      <w:r w:rsidR="00033D0F">
        <w:rPr>
          <w:spacing w:val="-14"/>
        </w:rPr>
        <w:t xml:space="preserve"> </w:t>
      </w:r>
      <w:r w:rsidR="00033D0F">
        <w:t>the</w:t>
      </w:r>
      <w:r w:rsidR="00033D0F">
        <w:rPr>
          <w:spacing w:val="-12"/>
        </w:rPr>
        <w:t xml:space="preserve"> </w:t>
      </w:r>
      <w:r w:rsidR="00033D0F">
        <w:t>investigating</w:t>
      </w:r>
      <w:r w:rsidR="00033D0F">
        <w:rPr>
          <w:spacing w:val="-11"/>
        </w:rPr>
        <w:t xml:space="preserve"> </w:t>
      </w:r>
      <w:r w:rsidR="00033D0F">
        <w:t xml:space="preserve">authority not being "information" </w:t>
      </w:r>
      <w:r w:rsidR="00033D0F">
        <w:rPr>
          <w:i/>
        </w:rPr>
        <w:t>per se</w:t>
      </w:r>
      <w:r w:rsidR="00033D0F">
        <w:t>.</w:t>
      </w:r>
      <w:hyperlink w:anchor="_bookmark1469" w:history="1">
        <w:r w:rsidR="00033D0F">
          <w:rPr>
            <w:vertAlign w:val="superscript"/>
          </w:rPr>
          <w:t>1265</w:t>
        </w:r>
      </w:hyperlink>
      <w:r w:rsidR="00033D0F">
        <w:t xml:space="preserve"> This suggests that the panel report does not represent reasoning of general application concerning the </w:t>
      </w:r>
      <w:proofErr w:type="spellStart"/>
      <w:r w:rsidR="00033D0F">
        <w:t>characterisation</w:t>
      </w:r>
      <w:proofErr w:type="spellEnd"/>
      <w:r w:rsidR="00033D0F">
        <w:t xml:space="preserve"> of information as "methodology" in the sense that China is arguing.</w:t>
      </w:r>
    </w:p>
    <w:p w14:paraId="652557AB" w14:textId="77777777" w:rsidR="00BD462C" w:rsidRDefault="00BD462C">
      <w:pPr>
        <w:pStyle w:val="BodyText"/>
        <w:spacing w:before="8"/>
        <w:rPr>
          <w:sz w:val="8"/>
        </w:rPr>
      </w:pPr>
    </w:p>
    <w:p w14:paraId="64A119D4" w14:textId="4941D2D6" w:rsidR="00BD462C" w:rsidRDefault="009B0E6F">
      <w:pPr>
        <w:pStyle w:val="BodyText"/>
        <w:spacing w:before="56" w:line="360" w:lineRule="auto"/>
        <w:ind w:left="135" w:right="912"/>
        <w:jc w:val="both"/>
      </w:pPr>
      <w:r>
        <w:rPr>
          <w:noProof/>
        </w:rPr>
        <w:t>866.</w:t>
      </w:r>
      <w:r w:rsidR="00033D0F">
        <w:rPr>
          <w:rFonts w:ascii="Times New Roman" w:hAnsi="Times New Roman"/>
          <w:spacing w:val="80"/>
          <w:w w:val="150"/>
          <w:position w:val="1"/>
          <w:sz w:val="20"/>
        </w:rPr>
        <w:t xml:space="preserve"> </w:t>
      </w:r>
      <w:r w:rsidR="00033D0F">
        <w:rPr>
          <w:position w:val="1"/>
        </w:rPr>
        <w:t xml:space="preserve">Other panel and Appellate Body reports have clearly left open the possibility for </w:t>
      </w:r>
      <w:r w:rsidR="00033D0F">
        <w:t>"methodologies" to be</w:t>
      </w:r>
      <w:r w:rsidR="00033D0F">
        <w:rPr>
          <w:spacing w:val="-3"/>
        </w:rPr>
        <w:t xml:space="preserve"> </w:t>
      </w:r>
      <w:r w:rsidR="00033D0F">
        <w:t>information under Article</w:t>
      </w:r>
      <w:r w:rsidR="00033D0F">
        <w:rPr>
          <w:spacing w:val="-2"/>
        </w:rPr>
        <w:t xml:space="preserve"> </w:t>
      </w:r>
      <w:r w:rsidR="00033D0F">
        <w:t>6.4.</w:t>
      </w:r>
      <w:hyperlink w:anchor="_bookmark1470" w:history="1">
        <w:r w:rsidR="00033D0F">
          <w:rPr>
            <w:vertAlign w:val="superscript"/>
          </w:rPr>
          <w:t>1266</w:t>
        </w:r>
      </w:hyperlink>
      <w:r w:rsidR="00033D0F">
        <w:t xml:space="preserve"> As set out in Australia's first</w:t>
      </w:r>
      <w:r w:rsidR="00033D0F">
        <w:rPr>
          <w:spacing w:val="-2"/>
        </w:rPr>
        <w:t xml:space="preserve"> </w:t>
      </w:r>
      <w:r w:rsidR="00033D0F">
        <w:t>written submission,</w:t>
      </w:r>
      <w:hyperlink w:anchor="_bookmark1471" w:history="1">
        <w:r w:rsidR="00033D0F">
          <w:rPr>
            <w:vertAlign w:val="superscript"/>
          </w:rPr>
          <w:t>1267</w:t>
        </w:r>
      </w:hyperlink>
      <w:r w:rsidR="00033D0F">
        <w:t xml:space="preserve"> the Appellate Body in </w:t>
      </w:r>
      <w:r w:rsidR="00033D0F">
        <w:rPr>
          <w:i/>
        </w:rPr>
        <w:t xml:space="preserve">EC – Fasteners (China) (Article 21.5 – China) </w:t>
      </w:r>
      <w:r w:rsidR="00033D0F">
        <w:t>confirmed that a wide variety of information is captured under Article 6.4:</w:t>
      </w:r>
    </w:p>
    <w:p w14:paraId="1368CAA3" w14:textId="77777777" w:rsidR="00BD462C" w:rsidRDefault="00033D0F">
      <w:pPr>
        <w:spacing w:before="153" w:line="276" w:lineRule="auto"/>
        <w:ind w:left="985" w:right="912"/>
        <w:jc w:val="both"/>
      </w:pPr>
      <w:r>
        <w:t xml:space="preserve">Indeed, the broad range of information subject to the obligation under Article 6.4 may take various forms, including data submitted by the interested parties, and </w:t>
      </w:r>
      <w:r>
        <w:rPr>
          <w:i/>
        </w:rPr>
        <w:t>information that has been processed, organized, or summarized by the authority</w:t>
      </w:r>
      <w:r>
        <w:t>. We do not see why only facts and raw data would be relevant to the parties' presentation of their cases. A proper interpretation</w:t>
      </w:r>
      <w:r>
        <w:rPr>
          <w:spacing w:val="40"/>
        </w:rPr>
        <w:t xml:space="preserve"> </w:t>
      </w:r>
      <w:r>
        <w:t>of</w:t>
      </w:r>
      <w:r>
        <w:rPr>
          <w:spacing w:val="40"/>
        </w:rPr>
        <w:t xml:space="preserve"> </w:t>
      </w:r>
      <w:r>
        <w:t>Article</w:t>
      </w:r>
      <w:r>
        <w:rPr>
          <w:spacing w:val="40"/>
        </w:rPr>
        <w:t xml:space="preserve"> </w:t>
      </w:r>
      <w:r>
        <w:t>6.4</w:t>
      </w:r>
      <w:r>
        <w:rPr>
          <w:spacing w:val="40"/>
        </w:rPr>
        <w:t xml:space="preserve"> </w:t>
      </w:r>
      <w:r>
        <w:t>does</w:t>
      </w:r>
      <w:r>
        <w:rPr>
          <w:spacing w:val="40"/>
        </w:rPr>
        <w:t xml:space="preserve"> </w:t>
      </w:r>
      <w:r>
        <w:t>not</w:t>
      </w:r>
      <w:r>
        <w:rPr>
          <w:spacing w:val="40"/>
        </w:rPr>
        <w:t xml:space="preserve"> </w:t>
      </w:r>
      <w:r>
        <w:t>mean,</w:t>
      </w:r>
      <w:r>
        <w:rPr>
          <w:spacing w:val="40"/>
        </w:rPr>
        <w:t xml:space="preserve"> </w:t>
      </w:r>
      <w:r>
        <w:t>however,</w:t>
      </w:r>
      <w:r>
        <w:rPr>
          <w:spacing w:val="40"/>
        </w:rPr>
        <w:t xml:space="preserve"> </w:t>
      </w:r>
      <w:r>
        <w:t>that</w:t>
      </w:r>
      <w:r>
        <w:rPr>
          <w:spacing w:val="40"/>
        </w:rPr>
        <w:t xml:space="preserve"> </w:t>
      </w:r>
      <w:r>
        <w:t>an</w:t>
      </w:r>
      <w:r>
        <w:rPr>
          <w:spacing w:val="40"/>
        </w:rPr>
        <w:t xml:space="preserve"> </w:t>
      </w:r>
      <w:r>
        <w:t>investigating</w:t>
      </w:r>
      <w:r>
        <w:rPr>
          <w:spacing w:val="40"/>
        </w:rPr>
        <w:t xml:space="preserve"> </w:t>
      </w:r>
      <w:r>
        <w:t>authority's</w:t>
      </w:r>
    </w:p>
    <w:p w14:paraId="363282EB" w14:textId="77777777" w:rsidR="00BD462C" w:rsidRDefault="00BD462C">
      <w:pPr>
        <w:pStyle w:val="BodyText"/>
        <w:rPr>
          <w:sz w:val="20"/>
        </w:rPr>
      </w:pPr>
    </w:p>
    <w:p w14:paraId="4AD53196" w14:textId="2BDBBF81" w:rsidR="00BD462C" w:rsidRDefault="00D70C7D">
      <w:pPr>
        <w:pStyle w:val="BodyText"/>
        <w:spacing w:before="9"/>
        <w:rPr>
          <w:sz w:val="17"/>
        </w:rPr>
      </w:pPr>
      <w:r>
        <w:rPr>
          <w:noProof/>
        </w:rPr>
        <mc:AlternateContent>
          <mc:Choice Requires="wps">
            <w:drawing>
              <wp:anchor distT="0" distB="0" distL="0" distR="0" simplePos="0" relativeHeight="487861248" behindDoc="1" locked="0" layoutInCell="1" allowOverlap="1" wp14:anchorId="305E962F" wp14:editId="72A68642">
                <wp:simplePos x="0" y="0"/>
                <wp:positionH relativeFrom="page">
                  <wp:posOffset>899160</wp:posOffset>
                </wp:positionH>
                <wp:positionV relativeFrom="paragraph">
                  <wp:posOffset>153035</wp:posOffset>
                </wp:positionV>
                <wp:extent cx="1828800" cy="8890"/>
                <wp:effectExtent l="0" t="0" r="0" b="0"/>
                <wp:wrapTopAndBottom/>
                <wp:docPr id="272" name="docshape5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46B4B0" id="docshape589" o:spid="_x0000_s1026" alt="&quot;&quot;" style="position:absolute;margin-left:70.8pt;margin-top:12.05pt;width:2in;height:.7pt;z-index:-1545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" fillcolor="black" stroked="f">
                <w10:wrap type="topAndBottom" anchorx="page"/>
              </v:rect>
            </w:pict>
          </mc:Fallback>
        </mc:AlternateContent>
      </w:r>
    </w:p>
    <w:p w14:paraId="6FDC1484" w14:textId="77777777" w:rsidR="00BD462C" w:rsidRDefault="00033D0F">
      <w:pPr>
        <w:spacing w:before="107"/>
        <w:ind w:left="135"/>
        <w:rPr>
          <w:sz w:val="18"/>
        </w:rPr>
      </w:pPr>
      <w:bookmarkStart w:id="1707" w:name="_bookmark1468"/>
      <w:bookmarkEnd w:id="1707"/>
      <w:r>
        <w:rPr>
          <w:position w:val="5"/>
          <w:sz w:val="12"/>
        </w:rPr>
        <w:t>1264</w:t>
      </w:r>
      <w:r>
        <w:rPr>
          <w:spacing w:val="16"/>
          <w:position w:val="5"/>
          <w:sz w:val="12"/>
        </w:rPr>
        <w:t xml:space="preserve"> </w:t>
      </w:r>
      <w:r>
        <w:rPr>
          <w:sz w:val="18"/>
        </w:rPr>
        <w:t>Panel</w:t>
      </w:r>
      <w:r>
        <w:rPr>
          <w:spacing w:val="-2"/>
          <w:sz w:val="18"/>
        </w:rPr>
        <w:t xml:space="preserve"> </w:t>
      </w:r>
      <w:r>
        <w:rPr>
          <w:sz w:val="18"/>
        </w:rPr>
        <w:t>Report,</w:t>
      </w:r>
      <w:r>
        <w:rPr>
          <w:spacing w:val="-6"/>
          <w:sz w:val="18"/>
        </w:rPr>
        <w:t xml:space="preserve"> </w:t>
      </w:r>
      <w:r>
        <w:rPr>
          <w:i/>
          <w:sz w:val="18"/>
        </w:rPr>
        <w:t>EU</w:t>
      </w:r>
      <w:r>
        <w:rPr>
          <w:i/>
          <w:spacing w:val="-1"/>
          <w:sz w:val="18"/>
        </w:rPr>
        <w:t xml:space="preserve"> </w:t>
      </w:r>
      <w:r>
        <w:rPr>
          <w:i/>
          <w:sz w:val="18"/>
        </w:rPr>
        <w:t>–</w:t>
      </w:r>
      <w:r>
        <w:rPr>
          <w:i/>
          <w:spacing w:val="-3"/>
          <w:sz w:val="18"/>
        </w:rPr>
        <w:t xml:space="preserve"> </w:t>
      </w:r>
      <w:r>
        <w:rPr>
          <w:i/>
          <w:sz w:val="18"/>
        </w:rPr>
        <w:t>Footwear</w:t>
      </w:r>
      <w:r>
        <w:rPr>
          <w:i/>
          <w:spacing w:val="-4"/>
          <w:sz w:val="18"/>
        </w:rPr>
        <w:t xml:space="preserve"> </w:t>
      </w:r>
      <w:r>
        <w:rPr>
          <w:i/>
          <w:sz w:val="18"/>
        </w:rPr>
        <w:t>(China)</w:t>
      </w:r>
      <w:r>
        <w:rPr>
          <w:sz w:val="18"/>
        </w:rPr>
        <w:t>,</w:t>
      </w:r>
      <w:r>
        <w:rPr>
          <w:spacing w:val="-1"/>
          <w:sz w:val="18"/>
        </w:rPr>
        <w:t xml:space="preserve"> </w:t>
      </w:r>
      <w:r>
        <w:rPr>
          <w:sz w:val="18"/>
        </w:rPr>
        <w:t>para.</w:t>
      </w:r>
      <w:r>
        <w:rPr>
          <w:spacing w:val="-2"/>
          <w:sz w:val="18"/>
        </w:rPr>
        <w:t xml:space="preserve"> 7.603.</w:t>
      </w:r>
    </w:p>
    <w:p w14:paraId="690C01AA" w14:textId="77777777" w:rsidR="00BD462C" w:rsidRDefault="00033D0F">
      <w:pPr>
        <w:spacing w:before="1"/>
        <w:ind w:left="136" w:right="910" w:hanging="1"/>
        <w:rPr>
          <w:sz w:val="18"/>
        </w:rPr>
      </w:pPr>
      <w:bookmarkStart w:id="1708" w:name="_bookmark1469"/>
      <w:bookmarkEnd w:id="1708"/>
      <w:r>
        <w:rPr>
          <w:position w:val="5"/>
          <w:sz w:val="12"/>
        </w:rPr>
        <w:t>1265</w:t>
      </w:r>
      <w:r>
        <w:rPr>
          <w:spacing w:val="36"/>
          <w:position w:val="5"/>
          <w:sz w:val="12"/>
        </w:rPr>
        <w:t xml:space="preserve"> </w:t>
      </w:r>
      <w:r>
        <w:rPr>
          <w:sz w:val="18"/>
        </w:rPr>
        <w:t>See Panel Report,</w:t>
      </w:r>
      <w:r>
        <w:rPr>
          <w:spacing w:val="19"/>
          <w:sz w:val="18"/>
        </w:rPr>
        <w:t xml:space="preserve"> </w:t>
      </w:r>
      <w:r>
        <w:rPr>
          <w:i/>
          <w:sz w:val="18"/>
        </w:rPr>
        <w:t>EC</w:t>
      </w:r>
      <w:r>
        <w:rPr>
          <w:i/>
          <w:spacing w:val="17"/>
          <w:sz w:val="18"/>
        </w:rPr>
        <w:t xml:space="preserve"> </w:t>
      </w:r>
      <w:r>
        <w:rPr>
          <w:i/>
          <w:sz w:val="18"/>
        </w:rPr>
        <w:t>–</w:t>
      </w:r>
      <w:r>
        <w:rPr>
          <w:i/>
          <w:spacing w:val="17"/>
          <w:sz w:val="18"/>
        </w:rPr>
        <w:t xml:space="preserve"> </w:t>
      </w:r>
      <w:r>
        <w:rPr>
          <w:i/>
          <w:sz w:val="18"/>
        </w:rPr>
        <w:t>Fasteners (China)</w:t>
      </w:r>
      <w:r>
        <w:rPr>
          <w:sz w:val="18"/>
        </w:rPr>
        <w:t>,</w:t>
      </w:r>
      <w:r>
        <w:rPr>
          <w:spacing w:val="19"/>
          <w:sz w:val="18"/>
        </w:rPr>
        <w:t xml:space="preserve"> </w:t>
      </w:r>
      <w:r>
        <w:rPr>
          <w:sz w:val="18"/>
        </w:rPr>
        <w:t>para.</w:t>
      </w:r>
      <w:r>
        <w:rPr>
          <w:spacing w:val="18"/>
          <w:sz w:val="18"/>
        </w:rPr>
        <w:t xml:space="preserve"> </w:t>
      </w:r>
      <w:r>
        <w:rPr>
          <w:sz w:val="18"/>
        </w:rPr>
        <w:t>7.539;</w:t>
      </w:r>
      <w:r>
        <w:rPr>
          <w:spacing w:val="16"/>
          <w:sz w:val="18"/>
        </w:rPr>
        <w:t xml:space="preserve"> </w:t>
      </w:r>
      <w:r>
        <w:rPr>
          <w:i/>
          <w:sz w:val="18"/>
        </w:rPr>
        <w:t>US</w:t>
      </w:r>
      <w:r>
        <w:rPr>
          <w:i/>
          <w:spacing w:val="15"/>
          <w:sz w:val="18"/>
        </w:rPr>
        <w:t xml:space="preserve"> </w:t>
      </w:r>
      <w:r>
        <w:rPr>
          <w:i/>
          <w:sz w:val="18"/>
        </w:rPr>
        <w:t>– Oil Country Tubular</w:t>
      </w:r>
      <w:r>
        <w:rPr>
          <w:i/>
          <w:spacing w:val="16"/>
          <w:sz w:val="18"/>
        </w:rPr>
        <w:t xml:space="preserve"> </w:t>
      </w:r>
      <w:r>
        <w:rPr>
          <w:i/>
          <w:sz w:val="18"/>
        </w:rPr>
        <w:t>Goods</w:t>
      </w:r>
      <w:r>
        <w:rPr>
          <w:i/>
          <w:spacing w:val="17"/>
          <w:sz w:val="18"/>
        </w:rPr>
        <w:t xml:space="preserve"> </w:t>
      </w:r>
      <w:r>
        <w:rPr>
          <w:i/>
          <w:sz w:val="18"/>
        </w:rPr>
        <w:t>Sunset Reviews (Article</w:t>
      </w:r>
      <w:r>
        <w:rPr>
          <w:i/>
          <w:spacing w:val="16"/>
          <w:sz w:val="18"/>
        </w:rPr>
        <w:t xml:space="preserve"> </w:t>
      </w:r>
      <w:r>
        <w:rPr>
          <w:i/>
          <w:sz w:val="18"/>
        </w:rPr>
        <w:t>21.5 – Argentina)</w:t>
      </w:r>
      <w:r>
        <w:rPr>
          <w:sz w:val="18"/>
        </w:rPr>
        <w:t>, para. 7.124.</w:t>
      </w:r>
    </w:p>
    <w:p w14:paraId="0CA8BE63" w14:textId="77777777" w:rsidR="00BD462C" w:rsidRDefault="00033D0F">
      <w:pPr>
        <w:spacing w:before="2"/>
        <w:ind w:left="135"/>
        <w:rPr>
          <w:sz w:val="18"/>
        </w:rPr>
      </w:pPr>
      <w:bookmarkStart w:id="1709" w:name="_bookmark1470"/>
      <w:bookmarkEnd w:id="1709"/>
      <w:r>
        <w:rPr>
          <w:position w:val="5"/>
          <w:sz w:val="12"/>
        </w:rPr>
        <w:t>1266</w:t>
      </w:r>
      <w:r>
        <w:rPr>
          <w:spacing w:val="15"/>
          <w:position w:val="5"/>
          <w:sz w:val="12"/>
        </w:rPr>
        <w:t xml:space="preserve"> </w:t>
      </w:r>
      <w:r>
        <w:rPr>
          <w:sz w:val="18"/>
        </w:rPr>
        <w:t>Panel</w:t>
      </w:r>
      <w:r>
        <w:rPr>
          <w:spacing w:val="-3"/>
          <w:sz w:val="18"/>
        </w:rPr>
        <w:t xml:space="preserve"> </w:t>
      </w:r>
      <w:r>
        <w:rPr>
          <w:sz w:val="18"/>
        </w:rPr>
        <w:t>Report,</w:t>
      </w:r>
      <w:r>
        <w:rPr>
          <w:spacing w:val="-1"/>
          <w:sz w:val="18"/>
        </w:rPr>
        <w:t xml:space="preserve"> </w:t>
      </w:r>
      <w:r>
        <w:rPr>
          <w:i/>
          <w:sz w:val="18"/>
        </w:rPr>
        <w:t>Korea</w:t>
      </w:r>
      <w:r>
        <w:rPr>
          <w:i/>
          <w:spacing w:val="-3"/>
          <w:sz w:val="18"/>
        </w:rPr>
        <w:t xml:space="preserve"> </w:t>
      </w:r>
      <w:r>
        <w:rPr>
          <w:i/>
          <w:sz w:val="18"/>
        </w:rPr>
        <w:t>–</w:t>
      </w:r>
      <w:r>
        <w:rPr>
          <w:i/>
          <w:spacing w:val="-3"/>
          <w:sz w:val="18"/>
        </w:rPr>
        <w:t xml:space="preserve"> </w:t>
      </w:r>
      <w:r>
        <w:rPr>
          <w:i/>
          <w:sz w:val="18"/>
        </w:rPr>
        <w:t>Certain</w:t>
      </w:r>
      <w:r>
        <w:rPr>
          <w:i/>
          <w:spacing w:val="-6"/>
          <w:sz w:val="18"/>
        </w:rPr>
        <w:t xml:space="preserve"> </w:t>
      </w:r>
      <w:r>
        <w:rPr>
          <w:i/>
          <w:sz w:val="18"/>
        </w:rPr>
        <w:t>Paper,</w:t>
      </w:r>
      <w:r>
        <w:rPr>
          <w:i/>
          <w:spacing w:val="-2"/>
          <w:sz w:val="18"/>
        </w:rPr>
        <w:t xml:space="preserve"> </w:t>
      </w:r>
      <w:r>
        <w:rPr>
          <w:sz w:val="18"/>
        </w:rPr>
        <w:t>para</w:t>
      </w:r>
      <w:r>
        <w:rPr>
          <w:spacing w:val="-1"/>
          <w:sz w:val="18"/>
        </w:rPr>
        <w:t xml:space="preserve"> </w:t>
      </w:r>
      <w:r>
        <w:rPr>
          <w:sz w:val="18"/>
        </w:rPr>
        <w:t>7.20;</w:t>
      </w:r>
      <w:r>
        <w:rPr>
          <w:spacing w:val="-5"/>
          <w:sz w:val="18"/>
        </w:rPr>
        <w:t xml:space="preserve"> </w:t>
      </w:r>
      <w:r>
        <w:rPr>
          <w:sz w:val="18"/>
        </w:rPr>
        <w:t>Appellate</w:t>
      </w:r>
      <w:r>
        <w:rPr>
          <w:spacing w:val="-3"/>
          <w:sz w:val="18"/>
        </w:rPr>
        <w:t xml:space="preserve"> </w:t>
      </w:r>
      <w:r>
        <w:rPr>
          <w:sz w:val="18"/>
        </w:rPr>
        <w:t>Body</w:t>
      </w:r>
      <w:r>
        <w:rPr>
          <w:spacing w:val="-6"/>
          <w:sz w:val="18"/>
        </w:rPr>
        <w:t xml:space="preserve"> </w:t>
      </w:r>
      <w:r>
        <w:rPr>
          <w:sz w:val="18"/>
        </w:rPr>
        <w:t>Report,</w:t>
      </w:r>
      <w:r>
        <w:rPr>
          <w:spacing w:val="-1"/>
          <w:sz w:val="18"/>
        </w:rPr>
        <w:t xml:space="preserve"> </w:t>
      </w:r>
      <w:r>
        <w:rPr>
          <w:i/>
          <w:sz w:val="18"/>
        </w:rPr>
        <w:t>EC</w:t>
      </w:r>
      <w:r>
        <w:rPr>
          <w:i/>
          <w:spacing w:val="-4"/>
          <w:sz w:val="18"/>
        </w:rPr>
        <w:t xml:space="preserve"> </w:t>
      </w:r>
      <w:r>
        <w:rPr>
          <w:i/>
          <w:sz w:val="18"/>
        </w:rPr>
        <w:t>–</w:t>
      </w:r>
      <w:r>
        <w:rPr>
          <w:i/>
          <w:spacing w:val="-3"/>
          <w:sz w:val="18"/>
        </w:rPr>
        <w:t xml:space="preserve"> </w:t>
      </w:r>
      <w:r>
        <w:rPr>
          <w:i/>
          <w:sz w:val="18"/>
        </w:rPr>
        <w:t>Fasteners</w:t>
      </w:r>
      <w:r>
        <w:rPr>
          <w:i/>
          <w:spacing w:val="-8"/>
          <w:sz w:val="18"/>
        </w:rPr>
        <w:t xml:space="preserve"> </w:t>
      </w:r>
      <w:r>
        <w:rPr>
          <w:i/>
          <w:sz w:val="18"/>
        </w:rPr>
        <w:t>(China)</w:t>
      </w:r>
      <w:r>
        <w:rPr>
          <w:sz w:val="18"/>
        </w:rPr>
        <w:t>,</w:t>
      </w:r>
      <w:r>
        <w:rPr>
          <w:spacing w:val="-1"/>
          <w:sz w:val="18"/>
        </w:rPr>
        <w:t xml:space="preserve"> </w:t>
      </w:r>
      <w:r>
        <w:rPr>
          <w:sz w:val="18"/>
        </w:rPr>
        <w:t>para.</w:t>
      </w:r>
      <w:r>
        <w:rPr>
          <w:spacing w:val="-3"/>
          <w:sz w:val="18"/>
        </w:rPr>
        <w:t xml:space="preserve"> </w:t>
      </w:r>
      <w:r>
        <w:rPr>
          <w:spacing w:val="-4"/>
          <w:sz w:val="18"/>
        </w:rPr>
        <w:t>480.</w:t>
      </w:r>
    </w:p>
    <w:p w14:paraId="409C9775" w14:textId="77777777" w:rsidR="00BD462C" w:rsidRDefault="00033D0F">
      <w:pPr>
        <w:spacing w:before="1"/>
        <w:ind w:left="135"/>
        <w:rPr>
          <w:sz w:val="18"/>
        </w:rPr>
      </w:pPr>
      <w:bookmarkStart w:id="1710" w:name="_bookmark1471"/>
      <w:bookmarkEnd w:id="1710"/>
      <w:r>
        <w:rPr>
          <w:position w:val="5"/>
          <w:sz w:val="12"/>
        </w:rPr>
        <w:t>1267</w:t>
      </w:r>
      <w:r>
        <w:rPr>
          <w:spacing w:val="12"/>
          <w:position w:val="5"/>
          <w:sz w:val="12"/>
        </w:rPr>
        <w:t xml:space="preserve"> </w:t>
      </w:r>
      <w:r>
        <w:rPr>
          <w:sz w:val="18"/>
        </w:rPr>
        <w:t>Australia's</w:t>
      </w:r>
      <w:r>
        <w:rPr>
          <w:spacing w:val="-6"/>
          <w:sz w:val="18"/>
        </w:rPr>
        <w:t xml:space="preserve"> </w:t>
      </w:r>
      <w:r>
        <w:rPr>
          <w:sz w:val="18"/>
        </w:rPr>
        <w:t>first</w:t>
      </w:r>
      <w:r>
        <w:rPr>
          <w:spacing w:val="-5"/>
          <w:sz w:val="18"/>
        </w:rPr>
        <w:t xml:space="preserve"> </w:t>
      </w:r>
      <w:r>
        <w:rPr>
          <w:sz w:val="18"/>
        </w:rPr>
        <w:t>written</w:t>
      </w:r>
      <w:r>
        <w:rPr>
          <w:spacing w:val="-2"/>
          <w:sz w:val="18"/>
        </w:rPr>
        <w:t xml:space="preserve"> </w:t>
      </w:r>
      <w:r>
        <w:rPr>
          <w:sz w:val="18"/>
        </w:rPr>
        <w:t>submission, para.</w:t>
      </w:r>
      <w:r>
        <w:rPr>
          <w:spacing w:val="-5"/>
          <w:sz w:val="18"/>
        </w:rPr>
        <w:t xml:space="preserve"> </w:t>
      </w:r>
      <w:r>
        <w:rPr>
          <w:spacing w:val="-4"/>
          <w:sz w:val="18"/>
        </w:rPr>
        <w:t>966.</w:t>
      </w:r>
    </w:p>
    <w:p w14:paraId="526B45E2" w14:textId="77777777" w:rsidR="00BD462C" w:rsidRDefault="00BD462C">
      <w:pPr>
        <w:rPr>
          <w:sz w:val="18"/>
        </w:rPr>
        <w:sectPr w:rsidR="00BD462C">
          <w:pgSz w:w="11910" w:h="16840"/>
          <w:pgMar w:top="860" w:right="500" w:bottom="780" w:left="1280" w:header="566" w:footer="590" w:gutter="0"/>
          <w:cols w:space="720"/>
        </w:sectPr>
      </w:pPr>
    </w:p>
    <w:p w14:paraId="7864DBE5"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5054D681"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61B5E582"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1A32937B" w14:textId="77777777" w:rsidR="00BD462C" w:rsidRDefault="00033D0F">
      <w:pPr>
        <w:spacing w:before="102" w:line="273" w:lineRule="auto"/>
        <w:ind w:left="985" w:right="923"/>
      </w:pPr>
      <w:r>
        <w:t>reasoning or internal deliberation in reaching its final determination is also subject to the</w:t>
      </w:r>
      <w:r>
        <w:rPr>
          <w:spacing w:val="40"/>
        </w:rPr>
        <w:t xml:space="preserve"> </w:t>
      </w:r>
      <w:r>
        <w:t>obligation under Article 6.4.</w:t>
      </w:r>
      <w:hyperlink w:anchor="_bookmark1472" w:history="1">
        <w:r>
          <w:rPr>
            <w:vertAlign w:val="superscript"/>
          </w:rPr>
          <w:t>1268</w:t>
        </w:r>
      </w:hyperlink>
    </w:p>
    <w:p w14:paraId="215094B3" w14:textId="77777777" w:rsidR="00BD462C" w:rsidRDefault="00BD462C">
      <w:pPr>
        <w:pStyle w:val="BodyText"/>
        <w:spacing w:before="8"/>
        <w:rPr>
          <w:sz w:val="15"/>
        </w:rPr>
      </w:pPr>
    </w:p>
    <w:p w14:paraId="2B6567A7" w14:textId="2869BFCF" w:rsidR="00BD462C" w:rsidRDefault="009B0E6F">
      <w:pPr>
        <w:pStyle w:val="BodyText"/>
        <w:spacing w:before="56" w:line="360" w:lineRule="auto"/>
        <w:ind w:left="135" w:right="909"/>
        <w:jc w:val="both"/>
      </w:pPr>
      <w:r>
        <w:rPr>
          <w:noProof/>
        </w:rPr>
        <w:t>867.</w:t>
      </w:r>
      <w:r w:rsidR="00033D0F">
        <w:rPr>
          <w:rFonts w:ascii="Times New Roman" w:hAnsi="Times New Roman"/>
          <w:spacing w:val="80"/>
          <w:w w:val="150"/>
          <w:position w:val="1"/>
          <w:sz w:val="20"/>
        </w:rPr>
        <w:t xml:space="preserve">  </w:t>
      </w:r>
      <w:r w:rsidR="00033D0F">
        <w:rPr>
          <w:position w:val="1"/>
        </w:rPr>
        <w:t xml:space="preserve">On this note, the panel in </w:t>
      </w:r>
      <w:r w:rsidR="00033D0F">
        <w:rPr>
          <w:i/>
          <w:position w:val="1"/>
        </w:rPr>
        <w:t xml:space="preserve">Korea – Certain Paper </w:t>
      </w:r>
      <w:r w:rsidR="00033D0F">
        <w:rPr>
          <w:position w:val="1"/>
        </w:rPr>
        <w:t xml:space="preserve">found that "information relating to </w:t>
      </w:r>
      <w:r w:rsidR="00033D0F">
        <w:t>the</w:t>
      </w:r>
      <w:r w:rsidR="00033D0F">
        <w:rPr>
          <w:spacing w:val="-12"/>
        </w:rPr>
        <w:t xml:space="preserve"> </w:t>
      </w:r>
      <w:r w:rsidR="00033D0F">
        <w:t>[investigating</w:t>
      </w:r>
      <w:r w:rsidR="00033D0F">
        <w:rPr>
          <w:spacing w:val="-10"/>
        </w:rPr>
        <w:t xml:space="preserve"> </w:t>
      </w:r>
      <w:r w:rsidR="00033D0F">
        <w:t>authority's]</w:t>
      </w:r>
      <w:r w:rsidR="00033D0F">
        <w:rPr>
          <w:spacing w:val="-14"/>
        </w:rPr>
        <w:t xml:space="preserve"> </w:t>
      </w:r>
      <w:r w:rsidR="00033D0F">
        <w:t>calculation</w:t>
      </w:r>
      <w:r w:rsidR="00033D0F">
        <w:rPr>
          <w:spacing w:val="-13"/>
        </w:rPr>
        <w:t xml:space="preserve"> </w:t>
      </w:r>
      <w:r w:rsidR="00033D0F">
        <w:t>of</w:t>
      </w:r>
      <w:r w:rsidR="00033D0F">
        <w:rPr>
          <w:spacing w:val="-14"/>
        </w:rPr>
        <w:t xml:space="preserve"> </w:t>
      </w:r>
      <w:r w:rsidR="00033D0F">
        <w:t>the</w:t>
      </w:r>
      <w:r w:rsidR="00033D0F">
        <w:rPr>
          <w:spacing w:val="-11"/>
        </w:rPr>
        <w:t xml:space="preserve"> </w:t>
      </w:r>
      <w:r w:rsidR="00033D0F">
        <w:t>constructed</w:t>
      </w:r>
      <w:r w:rsidR="00033D0F">
        <w:rPr>
          <w:spacing w:val="-14"/>
        </w:rPr>
        <w:t xml:space="preserve"> </w:t>
      </w:r>
      <w:r w:rsidR="00033D0F">
        <w:t>normal</w:t>
      </w:r>
      <w:r w:rsidR="00033D0F">
        <w:rPr>
          <w:spacing w:val="-9"/>
        </w:rPr>
        <w:t xml:space="preserve"> </w:t>
      </w:r>
      <w:r w:rsidR="00033D0F">
        <w:t>values",</w:t>
      </w:r>
      <w:hyperlink w:anchor="_bookmark1473" w:history="1">
        <w:r w:rsidR="00033D0F">
          <w:rPr>
            <w:vertAlign w:val="superscript"/>
          </w:rPr>
          <w:t>1269</w:t>
        </w:r>
      </w:hyperlink>
      <w:r w:rsidR="00033D0F">
        <w:rPr>
          <w:spacing w:val="-11"/>
        </w:rPr>
        <w:t xml:space="preserve"> </w:t>
      </w:r>
      <w:r w:rsidR="00033D0F">
        <w:t>"details</w:t>
      </w:r>
      <w:r w:rsidR="00033D0F">
        <w:rPr>
          <w:spacing w:val="-10"/>
        </w:rPr>
        <w:t xml:space="preserve"> </w:t>
      </w:r>
      <w:r w:rsidR="00033D0F">
        <w:t>of</w:t>
      </w:r>
      <w:r w:rsidR="00033D0F">
        <w:rPr>
          <w:spacing w:val="-14"/>
        </w:rPr>
        <w:t xml:space="preserve"> </w:t>
      </w:r>
      <w:r w:rsidR="00033D0F">
        <w:t>the calculations made</w:t>
      </w:r>
      <w:r w:rsidR="00033D0F">
        <w:rPr>
          <w:spacing w:val="-2"/>
        </w:rPr>
        <w:t xml:space="preserve"> </w:t>
      </w:r>
      <w:r w:rsidR="00033D0F">
        <w:t>to</w:t>
      </w:r>
      <w:r w:rsidR="00033D0F">
        <w:rPr>
          <w:spacing w:val="-4"/>
        </w:rPr>
        <w:t xml:space="preserve"> </w:t>
      </w:r>
      <w:r w:rsidR="00033D0F">
        <w:t>reach these</w:t>
      </w:r>
      <w:r w:rsidR="00033D0F">
        <w:rPr>
          <w:spacing w:val="-1"/>
        </w:rPr>
        <w:t xml:space="preserve"> </w:t>
      </w:r>
      <w:r w:rsidR="00033D0F">
        <w:t>final figures [i.e.,</w:t>
      </w:r>
      <w:r w:rsidR="00033D0F">
        <w:rPr>
          <w:spacing w:val="-4"/>
        </w:rPr>
        <w:t xml:space="preserve"> </w:t>
      </w:r>
      <w:r w:rsidR="00033D0F">
        <w:t>normal values and</w:t>
      </w:r>
      <w:r w:rsidR="00033D0F">
        <w:rPr>
          <w:spacing w:val="-3"/>
        </w:rPr>
        <w:t xml:space="preserve"> </w:t>
      </w:r>
      <w:r w:rsidR="00033D0F">
        <w:t>export prices]",</w:t>
      </w:r>
      <w:hyperlink w:anchor="_bookmark1474" w:history="1">
        <w:r w:rsidR="00033D0F">
          <w:rPr>
            <w:vertAlign w:val="superscript"/>
          </w:rPr>
          <w:t>1270</w:t>
        </w:r>
      </w:hyperlink>
      <w:r w:rsidR="00033D0F">
        <w:rPr>
          <w:spacing w:val="-1"/>
        </w:rPr>
        <w:t xml:space="preserve"> </w:t>
      </w:r>
      <w:r w:rsidR="00033D0F">
        <w:t>and "information regarding the calculation of the constructed normal values"</w:t>
      </w:r>
      <w:hyperlink w:anchor="_bookmark1475" w:history="1">
        <w:r w:rsidR="00033D0F">
          <w:rPr>
            <w:vertAlign w:val="superscript"/>
          </w:rPr>
          <w:t>1271</w:t>
        </w:r>
      </w:hyperlink>
      <w:r w:rsidR="00033D0F">
        <w:t xml:space="preserve"> are within the scope of Article 6.4. Australia understands that this information, as described by the panel, could be simplified into the terminology of calculation </w:t>
      </w:r>
      <w:r w:rsidR="00033D0F">
        <w:rPr>
          <w:i/>
        </w:rPr>
        <w:t xml:space="preserve">methodologies </w:t>
      </w:r>
      <w:r w:rsidR="00033D0F">
        <w:t>used by the investigating authority to determine normal value. In this regard, Australia also understands that</w:t>
      </w:r>
      <w:r w:rsidR="00033D0F">
        <w:rPr>
          <w:spacing w:val="-6"/>
        </w:rPr>
        <w:t xml:space="preserve"> </w:t>
      </w:r>
      <w:r w:rsidR="00033D0F">
        <w:t>the</w:t>
      </w:r>
      <w:r w:rsidR="00033D0F">
        <w:rPr>
          <w:spacing w:val="-6"/>
        </w:rPr>
        <w:t xml:space="preserve"> </w:t>
      </w:r>
      <w:r w:rsidR="00033D0F">
        <w:t>panel's</w:t>
      </w:r>
      <w:r w:rsidR="00033D0F">
        <w:rPr>
          <w:spacing w:val="-5"/>
        </w:rPr>
        <w:t xml:space="preserve"> </w:t>
      </w:r>
      <w:r w:rsidR="00033D0F">
        <w:t>findings</w:t>
      </w:r>
      <w:r w:rsidR="00033D0F">
        <w:rPr>
          <w:spacing w:val="-5"/>
        </w:rPr>
        <w:t xml:space="preserve"> </w:t>
      </w:r>
      <w:r w:rsidR="00033D0F">
        <w:t>were</w:t>
      </w:r>
      <w:r w:rsidR="00033D0F">
        <w:rPr>
          <w:spacing w:val="-6"/>
        </w:rPr>
        <w:t xml:space="preserve"> </w:t>
      </w:r>
      <w:r w:rsidR="00033D0F">
        <w:t>made</w:t>
      </w:r>
      <w:r w:rsidR="00033D0F">
        <w:rPr>
          <w:spacing w:val="-6"/>
        </w:rPr>
        <w:t xml:space="preserve"> </w:t>
      </w:r>
      <w:r w:rsidR="00033D0F">
        <w:t>in</w:t>
      </w:r>
      <w:r w:rsidR="00033D0F">
        <w:rPr>
          <w:spacing w:val="-3"/>
        </w:rPr>
        <w:t xml:space="preserve"> </w:t>
      </w:r>
      <w:r w:rsidR="00033D0F">
        <w:t>relation</w:t>
      </w:r>
      <w:r w:rsidR="00033D0F">
        <w:rPr>
          <w:spacing w:val="-8"/>
        </w:rPr>
        <w:t xml:space="preserve"> </w:t>
      </w:r>
      <w:r w:rsidR="00033D0F">
        <w:t>to</w:t>
      </w:r>
      <w:r w:rsidR="00033D0F">
        <w:rPr>
          <w:spacing w:val="-4"/>
        </w:rPr>
        <w:t xml:space="preserve"> </w:t>
      </w:r>
      <w:r w:rsidR="00033D0F">
        <w:t>Indonesia's</w:t>
      </w:r>
      <w:r w:rsidR="00033D0F">
        <w:rPr>
          <w:spacing w:val="-5"/>
        </w:rPr>
        <w:t xml:space="preserve"> </w:t>
      </w:r>
      <w:r w:rsidR="00033D0F">
        <w:t>argument</w:t>
      </w:r>
      <w:r w:rsidR="00033D0F">
        <w:rPr>
          <w:spacing w:val="-6"/>
        </w:rPr>
        <w:t xml:space="preserve"> </w:t>
      </w:r>
      <w:r w:rsidR="00033D0F">
        <w:t>that</w:t>
      </w:r>
      <w:r w:rsidR="00033D0F">
        <w:rPr>
          <w:spacing w:val="-1"/>
        </w:rPr>
        <w:t xml:space="preserve"> </w:t>
      </w:r>
      <w:r w:rsidR="00033D0F">
        <w:t>the</w:t>
      </w:r>
      <w:r w:rsidR="00033D0F">
        <w:rPr>
          <w:spacing w:val="-6"/>
        </w:rPr>
        <w:t xml:space="preserve"> </w:t>
      </w:r>
      <w:r w:rsidR="00033D0F">
        <w:t>investigating authority</w:t>
      </w:r>
      <w:r w:rsidR="00033D0F">
        <w:rPr>
          <w:spacing w:val="-5"/>
        </w:rPr>
        <w:t xml:space="preserve"> </w:t>
      </w:r>
      <w:r w:rsidR="00033D0F">
        <w:t>"fail[ed]</w:t>
      </w:r>
      <w:r w:rsidR="00033D0F">
        <w:rPr>
          <w:spacing w:val="-8"/>
        </w:rPr>
        <w:t xml:space="preserve"> </w:t>
      </w:r>
      <w:r w:rsidR="00033D0F">
        <w:t>to</w:t>
      </w:r>
      <w:r w:rsidR="00033D0F">
        <w:rPr>
          <w:spacing w:val="-9"/>
        </w:rPr>
        <w:t xml:space="preserve"> </w:t>
      </w:r>
      <w:r w:rsidR="00033D0F">
        <w:t>disclose</w:t>
      </w:r>
      <w:r w:rsidR="00033D0F">
        <w:rPr>
          <w:spacing w:val="-6"/>
        </w:rPr>
        <w:t xml:space="preserve"> </w:t>
      </w:r>
      <w:r w:rsidR="00033D0F">
        <w:t>…</w:t>
      </w:r>
      <w:r w:rsidR="00033D0F">
        <w:rPr>
          <w:spacing w:val="-4"/>
        </w:rPr>
        <w:t xml:space="preserve"> </w:t>
      </w:r>
      <w:r w:rsidR="00033D0F">
        <w:t>on</w:t>
      </w:r>
      <w:r w:rsidR="00033D0F">
        <w:rPr>
          <w:spacing w:val="-8"/>
        </w:rPr>
        <w:t xml:space="preserve"> </w:t>
      </w:r>
      <w:r w:rsidR="00033D0F">
        <w:t>what</w:t>
      </w:r>
      <w:r w:rsidR="00033D0F">
        <w:rPr>
          <w:spacing w:val="-6"/>
        </w:rPr>
        <w:t xml:space="preserve"> </w:t>
      </w:r>
      <w:r w:rsidR="00033D0F">
        <w:t>basis</w:t>
      </w:r>
      <w:r w:rsidR="00033D0F">
        <w:rPr>
          <w:spacing w:val="-5"/>
        </w:rPr>
        <w:t xml:space="preserve"> </w:t>
      </w:r>
      <w:r w:rsidR="00033D0F">
        <w:t>and</w:t>
      </w:r>
      <w:r w:rsidR="00033D0F">
        <w:rPr>
          <w:spacing w:val="-8"/>
        </w:rPr>
        <w:t xml:space="preserve"> </w:t>
      </w:r>
      <w:r w:rsidR="00033D0F">
        <w:rPr>
          <w:i/>
        </w:rPr>
        <w:t>how,</w:t>
      </w:r>
      <w:r w:rsidR="00033D0F">
        <w:rPr>
          <w:i/>
          <w:spacing w:val="-9"/>
        </w:rPr>
        <w:t xml:space="preserve"> </w:t>
      </w:r>
      <w:r w:rsidR="00033D0F">
        <w:rPr>
          <w:i/>
        </w:rPr>
        <w:t>in</w:t>
      </w:r>
      <w:r w:rsidR="00033D0F">
        <w:rPr>
          <w:i/>
          <w:spacing w:val="-5"/>
        </w:rPr>
        <w:t xml:space="preserve"> </w:t>
      </w:r>
      <w:r w:rsidR="00033D0F">
        <w:rPr>
          <w:i/>
        </w:rPr>
        <w:t>terms</w:t>
      </w:r>
      <w:r w:rsidR="00033D0F">
        <w:rPr>
          <w:i/>
          <w:spacing w:val="-9"/>
        </w:rPr>
        <w:t xml:space="preserve"> </w:t>
      </w:r>
      <w:r w:rsidR="00033D0F">
        <w:rPr>
          <w:i/>
        </w:rPr>
        <w:t>of</w:t>
      </w:r>
      <w:r w:rsidR="00033D0F">
        <w:rPr>
          <w:i/>
          <w:spacing w:val="-8"/>
        </w:rPr>
        <w:t xml:space="preserve"> </w:t>
      </w:r>
      <w:r w:rsidR="00033D0F">
        <w:rPr>
          <w:i/>
        </w:rPr>
        <w:t>its</w:t>
      </w:r>
      <w:r w:rsidR="00033D0F">
        <w:rPr>
          <w:i/>
          <w:spacing w:val="-9"/>
        </w:rPr>
        <w:t xml:space="preserve"> </w:t>
      </w:r>
      <w:r w:rsidR="00033D0F">
        <w:rPr>
          <w:i/>
        </w:rPr>
        <w:t>mechanics</w:t>
      </w:r>
      <w:r w:rsidR="00033D0F">
        <w:t>,</w:t>
      </w:r>
      <w:r w:rsidR="00033D0F">
        <w:rPr>
          <w:spacing w:val="-9"/>
        </w:rPr>
        <w:t xml:space="preserve"> </w:t>
      </w:r>
      <w:r w:rsidR="00033D0F">
        <w:t>it</w:t>
      </w:r>
      <w:r w:rsidR="00033D0F">
        <w:rPr>
          <w:spacing w:val="-6"/>
        </w:rPr>
        <w:t xml:space="preserve"> </w:t>
      </w:r>
      <w:r w:rsidR="00033D0F">
        <w:t>calculated the constructed normal values".</w:t>
      </w:r>
      <w:hyperlink w:anchor="_bookmark1476" w:history="1">
        <w:r w:rsidR="00033D0F">
          <w:rPr>
            <w:vertAlign w:val="superscript"/>
          </w:rPr>
          <w:t>1272</w:t>
        </w:r>
      </w:hyperlink>
      <w:r w:rsidR="00033D0F">
        <w:t xml:space="preserve"> As such, it is clear that information relating to the methods that an investigating authority uses to determine normal values — i.e. the "methodology" — is captured under Article 6.4.</w:t>
      </w:r>
    </w:p>
    <w:p w14:paraId="6C46363A" w14:textId="77777777" w:rsidR="00BD462C" w:rsidRDefault="00BD462C">
      <w:pPr>
        <w:pStyle w:val="BodyText"/>
        <w:spacing w:before="6"/>
        <w:rPr>
          <w:sz w:val="8"/>
        </w:rPr>
      </w:pPr>
    </w:p>
    <w:p w14:paraId="5C9B30A0" w14:textId="71C83FAF" w:rsidR="00BD462C" w:rsidRDefault="00814580">
      <w:pPr>
        <w:pStyle w:val="BodyText"/>
        <w:spacing w:before="56" w:line="360" w:lineRule="auto"/>
        <w:ind w:left="135" w:right="910"/>
        <w:jc w:val="both"/>
      </w:pPr>
      <w:r>
        <w:rPr>
          <w:noProof/>
        </w:rPr>
        <w:t>868.</w:t>
      </w:r>
      <w:r w:rsidR="00033D0F">
        <w:rPr>
          <w:rFonts w:ascii="Times New Roman" w:hAnsi="Times New Roman"/>
          <w:spacing w:val="80"/>
          <w:position w:val="1"/>
          <w:sz w:val="20"/>
        </w:rPr>
        <w:t xml:space="preserve">  </w:t>
      </w:r>
      <w:r w:rsidR="00033D0F">
        <w:rPr>
          <w:position w:val="1"/>
        </w:rPr>
        <w:t>In</w:t>
      </w:r>
      <w:r w:rsidR="00033D0F">
        <w:rPr>
          <w:spacing w:val="-4"/>
          <w:position w:val="1"/>
        </w:rPr>
        <w:t xml:space="preserve"> </w:t>
      </w:r>
      <w:r w:rsidR="00033D0F">
        <w:rPr>
          <w:position w:val="1"/>
        </w:rPr>
        <w:t>the</w:t>
      </w:r>
      <w:r w:rsidR="00033D0F">
        <w:rPr>
          <w:spacing w:val="-3"/>
          <w:position w:val="1"/>
        </w:rPr>
        <w:t xml:space="preserve"> </w:t>
      </w:r>
      <w:r w:rsidR="00033D0F">
        <w:rPr>
          <w:position w:val="1"/>
        </w:rPr>
        <w:t>present</w:t>
      </w:r>
      <w:r w:rsidR="00033D0F">
        <w:rPr>
          <w:spacing w:val="-2"/>
          <w:position w:val="1"/>
        </w:rPr>
        <w:t xml:space="preserve"> </w:t>
      </w:r>
      <w:r w:rsidR="00033D0F">
        <w:rPr>
          <w:position w:val="1"/>
        </w:rPr>
        <w:t>case, China</w:t>
      </w:r>
      <w:r w:rsidR="00033D0F">
        <w:rPr>
          <w:spacing w:val="-3"/>
          <w:position w:val="1"/>
        </w:rPr>
        <w:t xml:space="preserve"> </w:t>
      </w:r>
      <w:r w:rsidR="00033D0F">
        <w:rPr>
          <w:position w:val="1"/>
        </w:rPr>
        <w:t>claims</w:t>
      </w:r>
      <w:r w:rsidR="00033D0F">
        <w:rPr>
          <w:spacing w:val="-1"/>
          <w:position w:val="1"/>
        </w:rPr>
        <w:t xml:space="preserve"> </w:t>
      </w:r>
      <w:r w:rsidR="00033D0F">
        <w:rPr>
          <w:position w:val="1"/>
        </w:rPr>
        <w:t>that</w:t>
      </w:r>
      <w:r w:rsidR="00033D0F">
        <w:rPr>
          <w:spacing w:val="-7"/>
          <w:position w:val="1"/>
        </w:rPr>
        <w:t xml:space="preserve"> </w:t>
      </w:r>
      <w:r w:rsidR="00033D0F">
        <w:rPr>
          <w:position w:val="1"/>
        </w:rPr>
        <w:t>several items</w:t>
      </w:r>
      <w:r w:rsidR="00033D0F">
        <w:rPr>
          <w:spacing w:val="-1"/>
          <w:position w:val="1"/>
        </w:rPr>
        <w:t xml:space="preserve"> </w:t>
      </w:r>
      <w:r w:rsidR="00033D0F">
        <w:rPr>
          <w:position w:val="1"/>
        </w:rPr>
        <w:t>in</w:t>
      </w:r>
      <w:r w:rsidR="00033D0F">
        <w:rPr>
          <w:spacing w:val="-9"/>
          <w:position w:val="1"/>
        </w:rPr>
        <w:t xml:space="preserve"> </w:t>
      </w:r>
      <w:r w:rsidR="00033D0F">
        <w:rPr>
          <w:position w:val="1"/>
        </w:rPr>
        <w:t>its</w:t>
      </w:r>
      <w:r w:rsidR="00033D0F">
        <w:rPr>
          <w:spacing w:val="-6"/>
          <w:position w:val="1"/>
        </w:rPr>
        <w:t xml:space="preserve"> </w:t>
      </w:r>
      <w:r w:rsidR="00033D0F">
        <w:rPr>
          <w:position w:val="1"/>
        </w:rPr>
        <w:t>table</w:t>
      </w:r>
      <w:r w:rsidR="00033D0F">
        <w:rPr>
          <w:spacing w:val="-2"/>
          <w:position w:val="1"/>
        </w:rPr>
        <w:t xml:space="preserve"> </w:t>
      </w:r>
      <w:r w:rsidR="00033D0F">
        <w:rPr>
          <w:position w:val="1"/>
        </w:rPr>
        <w:t>refer</w:t>
      </w:r>
      <w:r w:rsidR="00033D0F">
        <w:rPr>
          <w:spacing w:val="-5"/>
          <w:position w:val="1"/>
        </w:rPr>
        <w:t xml:space="preserve"> </w:t>
      </w:r>
      <w:r w:rsidR="00033D0F">
        <w:rPr>
          <w:position w:val="1"/>
        </w:rPr>
        <w:t>to</w:t>
      </w:r>
      <w:r w:rsidR="00033D0F">
        <w:rPr>
          <w:spacing w:val="-5"/>
          <w:position w:val="1"/>
        </w:rPr>
        <w:t xml:space="preserve"> </w:t>
      </w:r>
      <w:r w:rsidR="00033D0F">
        <w:rPr>
          <w:position w:val="1"/>
        </w:rPr>
        <w:t>information</w:t>
      </w:r>
      <w:r w:rsidR="00033D0F">
        <w:rPr>
          <w:spacing w:val="-4"/>
          <w:position w:val="1"/>
        </w:rPr>
        <w:t xml:space="preserve"> </w:t>
      </w:r>
      <w:r w:rsidR="00033D0F">
        <w:rPr>
          <w:position w:val="1"/>
        </w:rPr>
        <w:t xml:space="preserve">it </w:t>
      </w:r>
      <w:proofErr w:type="spellStart"/>
      <w:r w:rsidR="00033D0F">
        <w:t>characterises</w:t>
      </w:r>
      <w:proofErr w:type="spellEnd"/>
      <w:r w:rsidR="00033D0F">
        <w:t xml:space="preserve"> as "methodology".</w:t>
      </w:r>
      <w:hyperlink w:anchor="_bookmark1477" w:history="1">
        <w:r w:rsidR="00033D0F">
          <w:rPr>
            <w:vertAlign w:val="superscript"/>
          </w:rPr>
          <w:t>1273</w:t>
        </w:r>
      </w:hyperlink>
      <w:r w:rsidR="00033D0F">
        <w:t xml:space="preserve"> For the reasons outlined above, Australia submits that the</w:t>
      </w:r>
      <w:r w:rsidR="00033D0F">
        <w:rPr>
          <w:spacing w:val="-8"/>
        </w:rPr>
        <w:t xml:space="preserve"> </w:t>
      </w:r>
      <w:r w:rsidR="00033D0F">
        <w:t>information</w:t>
      </w:r>
      <w:r w:rsidR="00033D0F">
        <w:rPr>
          <w:spacing w:val="-10"/>
        </w:rPr>
        <w:t xml:space="preserve"> </w:t>
      </w:r>
      <w:r w:rsidR="00033D0F">
        <w:t>identified</w:t>
      </w:r>
      <w:r w:rsidR="00033D0F">
        <w:rPr>
          <w:spacing w:val="-10"/>
        </w:rPr>
        <w:t xml:space="preserve"> </w:t>
      </w:r>
      <w:r w:rsidR="00033D0F">
        <w:t>in</w:t>
      </w:r>
      <w:r w:rsidR="00033D0F">
        <w:rPr>
          <w:spacing w:val="-10"/>
        </w:rPr>
        <w:t xml:space="preserve"> </w:t>
      </w:r>
      <w:r w:rsidR="00033D0F">
        <w:t>those</w:t>
      </w:r>
      <w:r w:rsidR="00033D0F">
        <w:rPr>
          <w:spacing w:val="-13"/>
        </w:rPr>
        <w:t xml:space="preserve"> </w:t>
      </w:r>
      <w:r w:rsidR="00033D0F">
        <w:t>items</w:t>
      </w:r>
      <w:r w:rsidR="00033D0F">
        <w:rPr>
          <w:spacing w:val="-7"/>
        </w:rPr>
        <w:t xml:space="preserve"> </w:t>
      </w:r>
      <w:r w:rsidR="00033D0F">
        <w:t>which</w:t>
      </w:r>
      <w:r w:rsidR="00033D0F">
        <w:rPr>
          <w:spacing w:val="-10"/>
        </w:rPr>
        <w:t xml:space="preserve"> </w:t>
      </w:r>
      <w:r w:rsidR="00033D0F">
        <w:t>China</w:t>
      </w:r>
      <w:r w:rsidR="00033D0F">
        <w:rPr>
          <w:spacing w:val="-9"/>
        </w:rPr>
        <w:t xml:space="preserve"> </w:t>
      </w:r>
      <w:r w:rsidR="00033D0F">
        <w:t>has</w:t>
      </w:r>
      <w:r w:rsidR="00033D0F">
        <w:rPr>
          <w:spacing w:val="-7"/>
        </w:rPr>
        <w:t xml:space="preserve"> </w:t>
      </w:r>
      <w:proofErr w:type="spellStart"/>
      <w:r w:rsidR="00033D0F">
        <w:t>categorised</w:t>
      </w:r>
      <w:proofErr w:type="spellEnd"/>
      <w:r w:rsidR="00033D0F">
        <w:rPr>
          <w:spacing w:val="-10"/>
        </w:rPr>
        <w:t xml:space="preserve"> </w:t>
      </w:r>
      <w:r w:rsidR="00033D0F">
        <w:t>as</w:t>
      </w:r>
      <w:r w:rsidR="00033D0F">
        <w:rPr>
          <w:spacing w:val="-7"/>
        </w:rPr>
        <w:t xml:space="preserve"> </w:t>
      </w:r>
      <w:r w:rsidR="00033D0F">
        <w:t>"methodology",</w:t>
      </w:r>
      <w:r w:rsidR="00033D0F">
        <w:rPr>
          <w:spacing w:val="-11"/>
        </w:rPr>
        <w:t xml:space="preserve"> </w:t>
      </w:r>
      <w:r w:rsidR="00033D0F">
        <w:t>such as normal value calculations, are of the kind that fall within the scope of Article 6.4. Indeed, the</w:t>
      </w:r>
      <w:r w:rsidR="00033D0F">
        <w:rPr>
          <w:spacing w:val="-6"/>
        </w:rPr>
        <w:t xml:space="preserve"> </w:t>
      </w:r>
      <w:r w:rsidR="00033D0F">
        <w:t>panel</w:t>
      </w:r>
      <w:r w:rsidR="00033D0F">
        <w:rPr>
          <w:spacing w:val="-4"/>
        </w:rPr>
        <w:t xml:space="preserve"> </w:t>
      </w:r>
      <w:r w:rsidR="00033D0F">
        <w:t>in</w:t>
      </w:r>
      <w:r w:rsidR="00033D0F">
        <w:rPr>
          <w:spacing w:val="-8"/>
        </w:rPr>
        <w:t xml:space="preserve"> </w:t>
      </w:r>
      <w:r w:rsidR="00033D0F">
        <w:rPr>
          <w:i/>
        </w:rPr>
        <w:t>Korea</w:t>
      </w:r>
      <w:r w:rsidR="00033D0F">
        <w:rPr>
          <w:i/>
          <w:spacing w:val="-5"/>
        </w:rPr>
        <w:t xml:space="preserve"> </w:t>
      </w:r>
      <w:r w:rsidR="00033D0F">
        <w:rPr>
          <w:i/>
        </w:rPr>
        <w:t>–</w:t>
      </w:r>
      <w:r w:rsidR="00033D0F">
        <w:rPr>
          <w:i/>
          <w:spacing w:val="-6"/>
        </w:rPr>
        <w:t xml:space="preserve"> </w:t>
      </w:r>
      <w:r w:rsidR="00033D0F">
        <w:rPr>
          <w:i/>
        </w:rPr>
        <w:t>Certain</w:t>
      </w:r>
      <w:r w:rsidR="00033D0F">
        <w:rPr>
          <w:i/>
          <w:spacing w:val="-5"/>
        </w:rPr>
        <w:t xml:space="preserve"> </w:t>
      </w:r>
      <w:r w:rsidR="00033D0F">
        <w:rPr>
          <w:i/>
        </w:rPr>
        <w:t>Paper</w:t>
      </w:r>
      <w:r w:rsidR="00033D0F">
        <w:rPr>
          <w:i/>
          <w:spacing w:val="-8"/>
        </w:rPr>
        <w:t xml:space="preserve"> </w:t>
      </w:r>
      <w:r w:rsidR="00033D0F">
        <w:t>explicitly</w:t>
      </w:r>
      <w:r w:rsidR="00033D0F">
        <w:rPr>
          <w:spacing w:val="-5"/>
        </w:rPr>
        <w:t xml:space="preserve"> </w:t>
      </w:r>
      <w:r w:rsidR="00033D0F">
        <w:t>made</w:t>
      </w:r>
      <w:r w:rsidR="00033D0F">
        <w:rPr>
          <w:spacing w:val="-11"/>
        </w:rPr>
        <w:t xml:space="preserve"> </w:t>
      </w:r>
      <w:r w:rsidR="00033D0F">
        <w:t>such</w:t>
      </w:r>
      <w:r w:rsidR="00033D0F">
        <w:rPr>
          <w:spacing w:val="-8"/>
        </w:rPr>
        <w:t xml:space="preserve"> </w:t>
      </w:r>
      <w:r w:rsidR="00033D0F">
        <w:t>a</w:t>
      </w:r>
      <w:r w:rsidR="00033D0F">
        <w:rPr>
          <w:spacing w:val="-7"/>
        </w:rPr>
        <w:t xml:space="preserve"> </w:t>
      </w:r>
      <w:r w:rsidR="00033D0F">
        <w:t>finding</w:t>
      </w:r>
      <w:r w:rsidR="00033D0F">
        <w:rPr>
          <w:i/>
        </w:rPr>
        <w:t>.</w:t>
      </w:r>
      <w:hyperlink w:anchor="_bookmark1478" w:history="1">
        <w:r w:rsidR="00033D0F">
          <w:rPr>
            <w:vertAlign w:val="superscript"/>
          </w:rPr>
          <w:t>1274</w:t>
        </w:r>
      </w:hyperlink>
      <w:r w:rsidR="00033D0F">
        <w:rPr>
          <w:spacing w:val="-5"/>
        </w:rPr>
        <w:t xml:space="preserve"> </w:t>
      </w:r>
      <w:r w:rsidR="00033D0F">
        <w:t>In</w:t>
      </w:r>
      <w:r w:rsidR="00033D0F">
        <w:rPr>
          <w:spacing w:val="-8"/>
        </w:rPr>
        <w:t xml:space="preserve"> </w:t>
      </w:r>
      <w:r w:rsidR="00033D0F">
        <w:t>sum,</w:t>
      </w:r>
      <w:r w:rsidR="00033D0F">
        <w:rPr>
          <w:spacing w:val="-4"/>
        </w:rPr>
        <w:t xml:space="preserve"> </w:t>
      </w:r>
      <w:r w:rsidR="00033D0F">
        <w:t>when</w:t>
      </w:r>
      <w:r w:rsidR="00033D0F">
        <w:rPr>
          <w:spacing w:val="-8"/>
        </w:rPr>
        <w:t xml:space="preserve"> </w:t>
      </w:r>
      <w:r w:rsidR="00033D0F">
        <w:t>put</w:t>
      </w:r>
      <w:r w:rsidR="00033D0F">
        <w:rPr>
          <w:spacing w:val="-6"/>
        </w:rPr>
        <w:t xml:space="preserve"> </w:t>
      </w:r>
      <w:r w:rsidR="00033D0F">
        <w:t>in</w:t>
      </w:r>
      <w:r w:rsidR="00033D0F">
        <w:rPr>
          <w:spacing w:val="-8"/>
        </w:rPr>
        <w:t xml:space="preserve"> </w:t>
      </w:r>
      <w:r w:rsidR="00033D0F">
        <w:t>their proper</w:t>
      </w:r>
      <w:r w:rsidR="00033D0F">
        <w:rPr>
          <w:spacing w:val="-4"/>
        </w:rPr>
        <w:t xml:space="preserve"> </w:t>
      </w:r>
      <w:r w:rsidR="00033D0F">
        <w:t>context, it</w:t>
      </w:r>
      <w:r w:rsidR="00033D0F">
        <w:rPr>
          <w:spacing w:val="-1"/>
        </w:rPr>
        <w:t xml:space="preserve"> </w:t>
      </w:r>
      <w:r w:rsidR="00033D0F">
        <w:t>is clear</w:t>
      </w:r>
      <w:r w:rsidR="00033D0F">
        <w:rPr>
          <w:spacing w:val="-4"/>
        </w:rPr>
        <w:t xml:space="preserve"> </w:t>
      </w:r>
      <w:r w:rsidR="00033D0F">
        <w:t>that</w:t>
      </w:r>
      <w:r w:rsidR="00033D0F">
        <w:rPr>
          <w:spacing w:val="-1"/>
        </w:rPr>
        <w:t xml:space="preserve"> </w:t>
      </w:r>
      <w:r w:rsidR="00033D0F">
        <w:t>the</w:t>
      </w:r>
      <w:r w:rsidR="00033D0F">
        <w:rPr>
          <w:spacing w:val="-2"/>
        </w:rPr>
        <w:t xml:space="preserve"> </w:t>
      </w:r>
      <w:r w:rsidR="00033D0F">
        <w:t>information</w:t>
      </w:r>
      <w:r w:rsidR="00033D0F">
        <w:rPr>
          <w:spacing w:val="-3"/>
        </w:rPr>
        <w:t xml:space="preserve"> </w:t>
      </w:r>
      <w:r w:rsidR="00033D0F">
        <w:t>set out</w:t>
      </w:r>
      <w:r w:rsidR="00033D0F">
        <w:rPr>
          <w:spacing w:val="-1"/>
        </w:rPr>
        <w:t xml:space="preserve"> </w:t>
      </w:r>
      <w:r w:rsidR="00033D0F">
        <w:t>in</w:t>
      </w:r>
      <w:r w:rsidR="00033D0F">
        <w:rPr>
          <w:spacing w:val="-3"/>
        </w:rPr>
        <w:t xml:space="preserve"> </w:t>
      </w:r>
      <w:r w:rsidR="00033D0F">
        <w:t>the relevant</w:t>
      </w:r>
      <w:r w:rsidR="00033D0F">
        <w:rPr>
          <w:spacing w:val="-1"/>
        </w:rPr>
        <w:t xml:space="preserve"> </w:t>
      </w:r>
      <w:r w:rsidR="00033D0F">
        <w:t>items of</w:t>
      </w:r>
      <w:r w:rsidR="00033D0F">
        <w:rPr>
          <w:spacing w:val="-3"/>
        </w:rPr>
        <w:t xml:space="preserve"> </w:t>
      </w:r>
      <w:r w:rsidR="00033D0F">
        <w:t>China's table</w:t>
      </w:r>
      <w:r w:rsidR="00033D0F">
        <w:rPr>
          <w:spacing w:val="-1"/>
        </w:rPr>
        <w:t xml:space="preserve"> </w:t>
      </w:r>
      <w:r w:rsidR="00033D0F">
        <w:t>is information</w:t>
      </w:r>
      <w:r w:rsidR="00033D0F">
        <w:rPr>
          <w:spacing w:val="-14"/>
        </w:rPr>
        <w:t xml:space="preserve"> </w:t>
      </w:r>
      <w:r w:rsidR="00033D0F">
        <w:t>that</w:t>
      </w:r>
      <w:r w:rsidR="00033D0F">
        <w:rPr>
          <w:spacing w:val="-11"/>
        </w:rPr>
        <w:t xml:space="preserve"> </w:t>
      </w:r>
      <w:r w:rsidR="00033D0F">
        <w:t>was</w:t>
      </w:r>
      <w:r w:rsidR="00033D0F">
        <w:rPr>
          <w:spacing w:val="-10"/>
        </w:rPr>
        <w:t xml:space="preserve"> </w:t>
      </w:r>
      <w:r w:rsidR="00033D0F">
        <w:t>relevant,</w:t>
      </w:r>
      <w:r w:rsidR="00033D0F">
        <w:rPr>
          <w:spacing w:val="-10"/>
        </w:rPr>
        <w:t xml:space="preserve"> </w:t>
      </w:r>
      <w:r w:rsidR="00033D0F">
        <w:t>not</w:t>
      </w:r>
      <w:r w:rsidR="00033D0F">
        <w:rPr>
          <w:spacing w:val="-11"/>
        </w:rPr>
        <w:t xml:space="preserve"> </w:t>
      </w:r>
      <w:r w:rsidR="00033D0F">
        <w:t>confidential,</w:t>
      </w:r>
      <w:r w:rsidR="00033D0F">
        <w:rPr>
          <w:spacing w:val="-10"/>
        </w:rPr>
        <w:t xml:space="preserve"> </w:t>
      </w:r>
      <w:r w:rsidR="00033D0F">
        <w:t>and</w:t>
      </w:r>
      <w:r w:rsidR="00033D0F">
        <w:rPr>
          <w:spacing w:val="-14"/>
        </w:rPr>
        <w:t xml:space="preserve"> </w:t>
      </w:r>
      <w:r w:rsidR="00033D0F">
        <w:t>used</w:t>
      </w:r>
      <w:r w:rsidR="00033D0F">
        <w:rPr>
          <w:spacing w:val="-14"/>
        </w:rPr>
        <w:t xml:space="preserve"> </w:t>
      </w:r>
      <w:r w:rsidR="00033D0F">
        <w:t>by</w:t>
      </w:r>
      <w:r w:rsidR="00033D0F">
        <w:rPr>
          <w:spacing w:val="-5"/>
        </w:rPr>
        <w:t xml:space="preserve"> </w:t>
      </w:r>
      <w:r w:rsidR="00033D0F">
        <w:t>the</w:t>
      </w:r>
      <w:r w:rsidR="00033D0F">
        <w:rPr>
          <w:spacing w:val="-12"/>
        </w:rPr>
        <w:t xml:space="preserve"> </w:t>
      </w:r>
      <w:r w:rsidR="00033D0F">
        <w:t>investigating</w:t>
      </w:r>
      <w:r w:rsidR="00033D0F">
        <w:rPr>
          <w:spacing w:val="-10"/>
        </w:rPr>
        <w:t xml:space="preserve"> </w:t>
      </w:r>
      <w:r w:rsidR="00033D0F">
        <w:t>authority.</w:t>
      </w:r>
      <w:r w:rsidR="00033D0F">
        <w:rPr>
          <w:spacing w:val="-11"/>
        </w:rPr>
        <w:t xml:space="preserve"> </w:t>
      </w:r>
      <w:r w:rsidR="00033D0F">
        <w:t>It</w:t>
      </w:r>
      <w:r w:rsidR="00033D0F">
        <w:rPr>
          <w:spacing w:val="-11"/>
        </w:rPr>
        <w:t xml:space="preserve"> </w:t>
      </w:r>
      <w:r w:rsidR="00033D0F">
        <w:t>was therefore information subject to the obligations under Article 6.4.</w:t>
      </w:r>
    </w:p>
    <w:p w14:paraId="48A55725" w14:textId="77777777" w:rsidR="00BD462C" w:rsidRDefault="00BD462C">
      <w:pPr>
        <w:pStyle w:val="BodyText"/>
        <w:spacing w:before="8"/>
        <w:rPr>
          <w:sz w:val="8"/>
        </w:rPr>
      </w:pPr>
    </w:p>
    <w:p w14:paraId="0A0D0B4C" w14:textId="116B0CCB" w:rsidR="00BD462C" w:rsidRDefault="00814580">
      <w:pPr>
        <w:pStyle w:val="BodyText"/>
        <w:spacing w:before="56" w:line="357" w:lineRule="auto"/>
        <w:ind w:left="135" w:right="918"/>
        <w:jc w:val="both"/>
      </w:pPr>
      <w:r>
        <w:rPr>
          <w:noProof/>
        </w:rPr>
        <w:t>869.</w:t>
      </w:r>
      <w:r w:rsidR="00033D0F">
        <w:rPr>
          <w:rFonts w:ascii="Times New Roman"/>
          <w:spacing w:val="80"/>
          <w:position w:val="1"/>
          <w:sz w:val="20"/>
        </w:rPr>
        <w:t xml:space="preserve">  </w:t>
      </w:r>
      <w:r w:rsidR="00033D0F">
        <w:rPr>
          <w:position w:val="1"/>
        </w:rPr>
        <w:t xml:space="preserve">Further, contrary to China's narrow and selective approach to the consideration of </w:t>
      </w:r>
      <w:r w:rsidR="00033D0F">
        <w:t>prior reports, it</w:t>
      </w:r>
      <w:r w:rsidR="00033D0F">
        <w:rPr>
          <w:spacing w:val="-2"/>
        </w:rPr>
        <w:t xml:space="preserve"> </w:t>
      </w:r>
      <w:r w:rsidR="00033D0F">
        <w:t>is</w:t>
      </w:r>
      <w:r w:rsidR="00033D0F">
        <w:rPr>
          <w:spacing w:val="-1"/>
        </w:rPr>
        <w:t xml:space="preserve"> </w:t>
      </w:r>
      <w:r w:rsidR="00033D0F">
        <w:t>clear</w:t>
      </w:r>
      <w:r w:rsidR="00033D0F">
        <w:rPr>
          <w:spacing w:val="-5"/>
        </w:rPr>
        <w:t xml:space="preserve"> </w:t>
      </w:r>
      <w:r w:rsidR="00033D0F">
        <w:t>that</w:t>
      </w:r>
      <w:r w:rsidR="00033D0F">
        <w:rPr>
          <w:spacing w:val="-2"/>
        </w:rPr>
        <w:t xml:space="preserve"> </w:t>
      </w:r>
      <w:r w:rsidR="00033D0F">
        <w:t>in</w:t>
      </w:r>
      <w:r w:rsidR="00033D0F">
        <w:rPr>
          <w:spacing w:val="-4"/>
        </w:rPr>
        <w:t xml:space="preserve"> </w:t>
      </w:r>
      <w:r w:rsidR="00033D0F">
        <w:t>some</w:t>
      </w:r>
      <w:r w:rsidR="00033D0F">
        <w:rPr>
          <w:spacing w:val="-2"/>
        </w:rPr>
        <w:t xml:space="preserve"> </w:t>
      </w:r>
      <w:r w:rsidR="00033D0F">
        <w:t>cases</w:t>
      </w:r>
      <w:r w:rsidR="00033D0F">
        <w:rPr>
          <w:spacing w:val="-1"/>
        </w:rPr>
        <w:t xml:space="preserve"> </w:t>
      </w:r>
      <w:r w:rsidR="00033D0F">
        <w:t>additional details</w:t>
      </w:r>
      <w:r w:rsidR="00033D0F">
        <w:rPr>
          <w:spacing w:val="-1"/>
        </w:rPr>
        <w:t xml:space="preserve"> </w:t>
      </w:r>
      <w:r w:rsidR="00033D0F">
        <w:t>of</w:t>
      </w:r>
      <w:r w:rsidR="00033D0F">
        <w:rPr>
          <w:spacing w:val="-4"/>
        </w:rPr>
        <w:t xml:space="preserve"> </w:t>
      </w:r>
      <w:r w:rsidR="00033D0F">
        <w:t>a</w:t>
      </w:r>
      <w:r w:rsidR="00033D0F">
        <w:rPr>
          <w:spacing w:val="-3"/>
        </w:rPr>
        <w:t xml:space="preserve"> </w:t>
      </w:r>
      <w:r w:rsidR="00033D0F">
        <w:t>methodology</w:t>
      </w:r>
      <w:r w:rsidR="00033D0F">
        <w:rPr>
          <w:spacing w:val="-1"/>
        </w:rPr>
        <w:t xml:space="preserve"> </w:t>
      </w:r>
      <w:r w:rsidR="00033D0F">
        <w:t>adopted by</w:t>
      </w:r>
      <w:r w:rsidR="00033D0F">
        <w:rPr>
          <w:spacing w:val="-1"/>
        </w:rPr>
        <w:t xml:space="preserve"> </w:t>
      </w:r>
      <w:r w:rsidR="00033D0F">
        <w:t>an investigating authority can also be considered information within the scope of Article 6.4, as</w:t>
      </w:r>
    </w:p>
    <w:p w14:paraId="317728D2" w14:textId="77777777" w:rsidR="00BD462C" w:rsidRDefault="00BD462C">
      <w:pPr>
        <w:pStyle w:val="BodyText"/>
        <w:rPr>
          <w:sz w:val="20"/>
        </w:rPr>
      </w:pPr>
    </w:p>
    <w:p w14:paraId="4365BB55" w14:textId="1EE56AC2" w:rsidR="00BD462C" w:rsidRDefault="00D70C7D">
      <w:pPr>
        <w:pStyle w:val="BodyText"/>
        <w:spacing w:before="2"/>
        <w:rPr>
          <w:sz w:val="23"/>
        </w:rPr>
      </w:pPr>
      <w:r>
        <w:rPr>
          <w:noProof/>
        </w:rPr>
        <mc:AlternateContent>
          <mc:Choice Requires="wps">
            <w:drawing>
              <wp:anchor distT="0" distB="0" distL="0" distR="0" simplePos="0" relativeHeight="487861760" behindDoc="1" locked="0" layoutInCell="1" allowOverlap="1" wp14:anchorId="3C2DF1E8" wp14:editId="7EFD1025">
                <wp:simplePos x="0" y="0"/>
                <wp:positionH relativeFrom="page">
                  <wp:posOffset>899160</wp:posOffset>
                </wp:positionH>
                <wp:positionV relativeFrom="paragraph">
                  <wp:posOffset>194945</wp:posOffset>
                </wp:positionV>
                <wp:extent cx="1828800" cy="8890"/>
                <wp:effectExtent l="0" t="0" r="0" b="0"/>
                <wp:wrapTopAndBottom/>
                <wp:docPr id="270" name="docshape5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BA6D42" id="docshape590" o:spid="_x0000_s1026" alt="&quot;&quot;" style="position:absolute;margin-left:70.8pt;margin-top:15.35pt;width:2in;height:.7pt;z-index:-15454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" fillcolor="black" stroked="f">
                <w10:wrap type="topAndBottom" anchorx="page"/>
              </v:rect>
            </w:pict>
          </mc:Fallback>
        </mc:AlternateContent>
      </w:r>
    </w:p>
    <w:p w14:paraId="30D08AD0" w14:textId="77777777" w:rsidR="00BD462C" w:rsidRDefault="00033D0F">
      <w:pPr>
        <w:spacing w:before="112"/>
        <w:ind w:left="135"/>
        <w:jc w:val="both"/>
        <w:rPr>
          <w:sz w:val="18"/>
        </w:rPr>
      </w:pPr>
      <w:bookmarkStart w:id="1711" w:name="_bookmark1472"/>
      <w:bookmarkEnd w:id="1711"/>
      <w:r>
        <w:rPr>
          <w:position w:val="5"/>
          <w:sz w:val="12"/>
        </w:rPr>
        <w:t>1268</w:t>
      </w:r>
      <w:r>
        <w:rPr>
          <w:spacing w:val="14"/>
          <w:position w:val="5"/>
          <w:sz w:val="12"/>
        </w:rPr>
        <w:t xml:space="preserve"> </w:t>
      </w:r>
      <w:r>
        <w:rPr>
          <w:sz w:val="18"/>
        </w:rPr>
        <w:t>Appellate</w:t>
      </w:r>
      <w:r>
        <w:rPr>
          <w:spacing w:val="-9"/>
          <w:sz w:val="18"/>
        </w:rPr>
        <w:t xml:space="preserve"> </w:t>
      </w:r>
      <w:r>
        <w:rPr>
          <w:sz w:val="18"/>
        </w:rPr>
        <w:t>Body</w:t>
      </w:r>
      <w:r>
        <w:rPr>
          <w:spacing w:val="-6"/>
          <w:sz w:val="18"/>
        </w:rPr>
        <w:t xml:space="preserve"> </w:t>
      </w:r>
      <w:r>
        <w:rPr>
          <w:sz w:val="18"/>
        </w:rPr>
        <w:t>Report,</w:t>
      </w:r>
      <w:r>
        <w:rPr>
          <w:spacing w:val="-2"/>
          <w:sz w:val="18"/>
        </w:rPr>
        <w:t xml:space="preserve"> </w:t>
      </w:r>
      <w:r>
        <w:rPr>
          <w:i/>
          <w:sz w:val="18"/>
        </w:rPr>
        <w:t>EC</w:t>
      </w:r>
      <w:r>
        <w:rPr>
          <w:i/>
          <w:spacing w:val="-5"/>
          <w:sz w:val="18"/>
        </w:rPr>
        <w:t xml:space="preserve"> </w:t>
      </w:r>
      <w:r>
        <w:rPr>
          <w:i/>
          <w:sz w:val="18"/>
        </w:rPr>
        <w:t>– Fasteners</w:t>
      </w:r>
      <w:r>
        <w:rPr>
          <w:i/>
          <w:spacing w:val="-3"/>
          <w:sz w:val="18"/>
        </w:rPr>
        <w:t xml:space="preserve"> </w:t>
      </w:r>
      <w:r>
        <w:rPr>
          <w:i/>
          <w:sz w:val="18"/>
        </w:rPr>
        <w:t>(China)</w:t>
      </w:r>
      <w:r>
        <w:rPr>
          <w:sz w:val="18"/>
        </w:rPr>
        <w:t>,</w:t>
      </w:r>
      <w:r>
        <w:rPr>
          <w:spacing w:val="-3"/>
          <w:sz w:val="18"/>
        </w:rPr>
        <w:t xml:space="preserve"> </w:t>
      </w:r>
      <w:r>
        <w:rPr>
          <w:sz w:val="18"/>
        </w:rPr>
        <w:t>para.</w:t>
      </w:r>
      <w:r>
        <w:rPr>
          <w:spacing w:val="2"/>
          <w:sz w:val="18"/>
        </w:rPr>
        <w:t xml:space="preserve"> </w:t>
      </w:r>
      <w:r>
        <w:rPr>
          <w:sz w:val="18"/>
        </w:rPr>
        <w:t>480</w:t>
      </w:r>
      <w:r>
        <w:rPr>
          <w:spacing w:val="-6"/>
          <w:sz w:val="18"/>
        </w:rPr>
        <w:t xml:space="preserve"> </w:t>
      </w:r>
      <w:r>
        <w:rPr>
          <w:sz w:val="18"/>
        </w:rPr>
        <w:t xml:space="preserve">(emphasis </w:t>
      </w:r>
      <w:r>
        <w:rPr>
          <w:spacing w:val="-2"/>
          <w:sz w:val="18"/>
        </w:rPr>
        <w:t>added).</w:t>
      </w:r>
    </w:p>
    <w:p w14:paraId="4B6A2CB9" w14:textId="77777777" w:rsidR="00BD462C" w:rsidRDefault="00033D0F">
      <w:pPr>
        <w:spacing w:before="2" w:line="237" w:lineRule="auto"/>
        <w:ind w:left="135" w:right="6113"/>
        <w:jc w:val="both"/>
        <w:rPr>
          <w:sz w:val="18"/>
        </w:rPr>
      </w:pPr>
      <w:bookmarkStart w:id="1712" w:name="_bookmark1473"/>
      <w:bookmarkEnd w:id="1712"/>
      <w:r>
        <w:rPr>
          <w:position w:val="5"/>
          <w:sz w:val="12"/>
        </w:rPr>
        <w:t>1269</w:t>
      </w:r>
      <w:r>
        <w:rPr>
          <w:spacing w:val="14"/>
          <w:position w:val="5"/>
          <w:sz w:val="12"/>
        </w:rPr>
        <w:t xml:space="preserve"> </w:t>
      </w:r>
      <w:r>
        <w:rPr>
          <w:sz w:val="18"/>
        </w:rPr>
        <w:t>Panel</w:t>
      </w:r>
      <w:r>
        <w:rPr>
          <w:spacing w:val="-3"/>
          <w:sz w:val="18"/>
        </w:rPr>
        <w:t xml:space="preserve"> </w:t>
      </w:r>
      <w:r>
        <w:rPr>
          <w:sz w:val="18"/>
        </w:rPr>
        <w:t>Report,</w:t>
      </w:r>
      <w:r>
        <w:rPr>
          <w:spacing w:val="-2"/>
          <w:sz w:val="18"/>
        </w:rPr>
        <w:t xml:space="preserve"> </w:t>
      </w:r>
      <w:r>
        <w:rPr>
          <w:i/>
          <w:sz w:val="18"/>
        </w:rPr>
        <w:t>Korea</w:t>
      </w:r>
      <w:r>
        <w:rPr>
          <w:i/>
          <w:spacing w:val="-3"/>
          <w:sz w:val="18"/>
        </w:rPr>
        <w:t xml:space="preserve"> </w:t>
      </w:r>
      <w:r>
        <w:rPr>
          <w:i/>
          <w:sz w:val="18"/>
        </w:rPr>
        <w:t>–</w:t>
      </w:r>
      <w:r>
        <w:rPr>
          <w:i/>
          <w:spacing w:val="-4"/>
          <w:sz w:val="18"/>
        </w:rPr>
        <w:t xml:space="preserve"> </w:t>
      </w:r>
      <w:r>
        <w:rPr>
          <w:i/>
          <w:sz w:val="18"/>
        </w:rPr>
        <w:t>Certain</w:t>
      </w:r>
      <w:r>
        <w:rPr>
          <w:i/>
          <w:spacing w:val="-7"/>
          <w:sz w:val="18"/>
        </w:rPr>
        <w:t xml:space="preserve"> </w:t>
      </w:r>
      <w:r>
        <w:rPr>
          <w:i/>
          <w:sz w:val="18"/>
        </w:rPr>
        <w:t>Paper</w:t>
      </w:r>
      <w:r>
        <w:rPr>
          <w:sz w:val="18"/>
        </w:rPr>
        <w:t>,</w:t>
      </w:r>
      <w:r>
        <w:rPr>
          <w:spacing w:val="-2"/>
          <w:sz w:val="18"/>
        </w:rPr>
        <w:t xml:space="preserve"> </w:t>
      </w:r>
      <w:r>
        <w:rPr>
          <w:sz w:val="18"/>
        </w:rPr>
        <w:t>para.</w:t>
      </w:r>
      <w:r>
        <w:rPr>
          <w:spacing w:val="-3"/>
          <w:sz w:val="18"/>
        </w:rPr>
        <w:t xml:space="preserve"> </w:t>
      </w:r>
      <w:r>
        <w:rPr>
          <w:sz w:val="18"/>
        </w:rPr>
        <w:t xml:space="preserve">7.197. </w:t>
      </w:r>
      <w:bookmarkStart w:id="1713" w:name="_bookmark1474"/>
      <w:bookmarkEnd w:id="1713"/>
      <w:r>
        <w:rPr>
          <w:position w:val="5"/>
          <w:sz w:val="12"/>
        </w:rPr>
        <w:t>1270</w:t>
      </w:r>
      <w:r>
        <w:rPr>
          <w:spacing w:val="14"/>
          <w:position w:val="5"/>
          <w:sz w:val="12"/>
        </w:rPr>
        <w:t xml:space="preserve"> </w:t>
      </w:r>
      <w:r>
        <w:rPr>
          <w:sz w:val="18"/>
        </w:rPr>
        <w:t>Panel</w:t>
      </w:r>
      <w:r>
        <w:rPr>
          <w:spacing w:val="-3"/>
          <w:sz w:val="18"/>
        </w:rPr>
        <w:t xml:space="preserve"> </w:t>
      </w:r>
      <w:r>
        <w:rPr>
          <w:sz w:val="18"/>
        </w:rPr>
        <w:t>Report,</w:t>
      </w:r>
      <w:r>
        <w:rPr>
          <w:spacing w:val="-2"/>
          <w:sz w:val="18"/>
        </w:rPr>
        <w:t xml:space="preserve"> </w:t>
      </w:r>
      <w:r>
        <w:rPr>
          <w:i/>
          <w:sz w:val="18"/>
        </w:rPr>
        <w:t>Korea</w:t>
      </w:r>
      <w:r>
        <w:rPr>
          <w:i/>
          <w:spacing w:val="-3"/>
          <w:sz w:val="18"/>
        </w:rPr>
        <w:t xml:space="preserve"> </w:t>
      </w:r>
      <w:r>
        <w:rPr>
          <w:i/>
          <w:sz w:val="18"/>
        </w:rPr>
        <w:t>–</w:t>
      </w:r>
      <w:r>
        <w:rPr>
          <w:i/>
          <w:spacing w:val="-4"/>
          <w:sz w:val="18"/>
        </w:rPr>
        <w:t xml:space="preserve"> </w:t>
      </w:r>
      <w:r>
        <w:rPr>
          <w:i/>
          <w:sz w:val="18"/>
        </w:rPr>
        <w:t>Certain</w:t>
      </w:r>
      <w:r>
        <w:rPr>
          <w:i/>
          <w:spacing w:val="-7"/>
          <w:sz w:val="18"/>
        </w:rPr>
        <w:t xml:space="preserve"> </w:t>
      </w:r>
      <w:r>
        <w:rPr>
          <w:i/>
          <w:sz w:val="18"/>
        </w:rPr>
        <w:t>Paper</w:t>
      </w:r>
      <w:r>
        <w:rPr>
          <w:sz w:val="18"/>
        </w:rPr>
        <w:t>,</w:t>
      </w:r>
      <w:r>
        <w:rPr>
          <w:spacing w:val="-2"/>
          <w:sz w:val="18"/>
        </w:rPr>
        <w:t xml:space="preserve"> </w:t>
      </w:r>
      <w:r>
        <w:rPr>
          <w:sz w:val="18"/>
        </w:rPr>
        <w:t>para.</w:t>
      </w:r>
      <w:r>
        <w:rPr>
          <w:spacing w:val="-3"/>
          <w:sz w:val="18"/>
        </w:rPr>
        <w:t xml:space="preserve"> </w:t>
      </w:r>
      <w:r>
        <w:rPr>
          <w:sz w:val="18"/>
        </w:rPr>
        <w:t xml:space="preserve">7.199. </w:t>
      </w:r>
      <w:bookmarkStart w:id="1714" w:name="_bookmark1475"/>
      <w:bookmarkEnd w:id="1714"/>
      <w:r>
        <w:rPr>
          <w:position w:val="5"/>
          <w:sz w:val="12"/>
        </w:rPr>
        <w:t>1271</w:t>
      </w:r>
      <w:r>
        <w:rPr>
          <w:spacing w:val="15"/>
          <w:position w:val="5"/>
          <w:sz w:val="12"/>
        </w:rPr>
        <w:t xml:space="preserve"> </w:t>
      </w:r>
      <w:r>
        <w:rPr>
          <w:sz w:val="18"/>
        </w:rPr>
        <w:t>Panel</w:t>
      </w:r>
      <w:r>
        <w:rPr>
          <w:spacing w:val="-2"/>
          <w:sz w:val="18"/>
        </w:rPr>
        <w:t xml:space="preserve"> </w:t>
      </w:r>
      <w:r>
        <w:rPr>
          <w:sz w:val="18"/>
        </w:rPr>
        <w:t>Report,</w:t>
      </w:r>
      <w:r>
        <w:rPr>
          <w:spacing w:val="-2"/>
          <w:sz w:val="18"/>
        </w:rPr>
        <w:t xml:space="preserve"> </w:t>
      </w:r>
      <w:r>
        <w:rPr>
          <w:i/>
          <w:sz w:val="18"/>
        </w:rPr>
        <w:t>Korea</w:t>
      </w:r>
      <w:r>
        <w:rPr>
          <w:i/>
          <w:spacing w:val="-2"/>
          <w:sz w:val="18"/>
        </w:rPr>
        <w:t xml:space="preserve"> </w:t>
      </w:r>
      <w:r>
        <w:rPr>
          <w:i/>
          <w:sz w:val="18"/>
        </w:rPr>
        <w:t>–</w:t>
      </w:r>
      <w:r>
        <w:rPr>
          <w:i/>
          <w:spacing w:val="-3"/>
          <w:sz w:val="18"/>
        </w:rPr>
        <w:t xml:space="preserve"> </w:t>
      </w:r>
      <w:r>
        <w:rPr>
          <w:i/>
          <w:sz w:val="18"/>
        </w:rPr>
        <w:t>Certain</w:t>
      </w:r>
      <w:r>
        <w:rPr>
          <w:i/>
          <w:spacing w:val="-6"/>
          <w:sz w:val="18"/>
        </w:rPr>
        <w:t xml:space="preserve"> </w:t>
      </w:r>
      <w:r>
        <w:rPr>
          <w:i/>
          <w:sz w:val="18"/>
        </w:rPr>
        <w:t>Paper</w:t>
      </w:r>
      <w:r>
        <w:rPr>
          <w:sz w:val="18"/>
        </w:rPr>
        <w:t>,</w:t>
      </w:r>
      <w:r>
        <w:rPr>
          <w:spacing w:val="-2"/>
          <w:sz w:val="18"/>
        </w:rPr>
        <w:t xml:space="preserve"> </w:t>
      </w:r>
      <w:r>
        <w:rPr>
          <w:sz w:val="18"/>
        </w:rPr>
        <w:t>para.</w:t>
      </w:r>
      <w:r>
        <w:rPr>
          <w:spacing w:val="-2"/>
          <w:sz w:val="18"/>
        </w:rPr>
        <w:t xml:space="preserve"> 7.201.</w:t>
      </w:r>
    </w:p>
    <w:p w14:paraId="434282E8" w14:textId="77777777" w:rsidR="00BD462C" w:rsidRDefault="00033D0F">
      <w:pPr>
        <w:spacing w:before="4"/>
        <w:ind w:left="135"/>
        <w:rPr>
          <w:sz w:val="18"/>
        </w:rPr>
      </w:pPr>
      <w:bookmarkStart w:id="1715" w:name="_bookmark1476"/>
      <w:bookmarkEnd w:id="1715"/>
      <w:r>
        <w:rPr>
          <w:position w:val="5"/>
          <w:sz w:val="12"/>
        </w:rPr>
        <w:t>1272</w:t>
      </w:r>
      <w:r>
        <w:rPr>
          <w:spacing w:val="14"/>
          <w:position w:val="5"/>
          <w:sz w:val="12"/>
        </w:rPr>
        <w:t xml:space="preserve"> </w:t>
      </w:r>
      <w:r>
        <w:rPr>
          <w:sz w:val="18"/>
        </w:rPr>
        <w:t>Panel</w:t>
      </w:r>
      <w:r>
        <w:rPr>
          <w:spacing w:val="-3"/>
          <w:sz w:val="18"/>
        </w:rPr>
        <w:t xml:space="preserve"> </w:t>
      </w:r>
      <w:r>
        <w:rPr>
          <w:sz w:val="18"/>
        </w:rPr>
        <w:t>Report,</w:t>
      </w:r>
      <w:r>
        <w:rPr>
          <w:spacing w:val="-2"/>
          <w:sz w:val="18"/>
        </w:rPr>
        <w:t xml:space="preserve"> </w:t>
      </w:r>
      <w:r>
        <w:rPr>
          <w:i/>
          <w:sz w:val="18"/>
        </w:rPr>
        <w:t>Korea</w:t>
      </w:r>
      <w:r>
        <w:rPr>
          <w:i/>
          <w:spacing w:val="-3"/>
          <w:sz w:val="18"/>
        </w:rPr>
        <w:t xml:space="preserve"> </w:t>
      </w:r>
      <w:r>
        <w:rPr>
          <w:i/>
          <w:sz w:val="18"/>
        </w:rPr>
        <w:t>–</w:t>
      </w:r>
      <w:r>
        <w:rPr>
          <w:i/>
          <w:spacing w:val="-4"/>
          <w:sz w:val="18"/>
        </w:rPr>
        <w:t xml:space="preserve"> </w:t>
      </w:r>
      <w:r>
        <w:rPr>
          <w:i/>
          <w:sz w:val="18"/>
        </w:rPr>
        <w:t>Certain</w:t>
      </w:r>
      <w:r>
        <w:rPr>
          <w:i/>
          <w:spacing w:val="-7"/>
          <w:sz w:val="18"/>
        </w:rPr>
        <w:t xml:space="preserve"> </w:t>
      </w:r>
      <w:r>
        <w:rPr>
          <w:i/>
          <w:sz w:val="18"/>
        </w:rPr>
        <w:t>Paper</w:t>
      </w:r>
      <w:r>
        <w:rPr>
          <w:sz w:val="18"/>
        </w:rPr>
        <w:t>,</w:t>
      </w:r>
      <w:r>
        <w:rPr>
          <w:spacing w:val="-2"/>
          <w:sz w:val="18"/>
        </w:rPr>
        <w:t xml:space="preserve"> </w:t>
      </w:r>
      <w:r>
        <w:rPr>
          <w:sz w:val="18"/>
        </w:rPr>
        <w:t>para.</w:t>
      </w:r>
      <w:r>
        <w:rPr>
          <w:spacing w:val="-3"/>
          <w:sz w:val="18"/>
        </w:rPr>
        <w:t xml:space="preserve"> </w:t>
      </w:r>
      <w:r>
        <w:rPr>
          <w:sz w:val="18"/>
        </w:rPr>
        <w:t>7.194.</w:t>
      </w:r>
      <w:r>
        <w:rPr>
          <w:spacing w:val="-3"/>
          <w:sz w:val="18"/>
        </w:rPr>
        <w:t xml:space="preserve"> </w:t>
      </w:r>
      <w:r>
        <w:rPr>
          <w:sz w:val="18"/>
        </w:rPr>
        <w:t>(</w:t>
      </w:r>
      <w:proofErr w:type="gramStart"/>
      <w:r>
        <w:rPr>
          <w:sz w:val="18"/>
        </w:rPr>
        <w:t>emphasis</w:t>
      </w:r>
      <w:proofErr w:type="gramEnd"/>
      <w:r>
        <w:rPr>
          <w:spacing w:val="-4"/>
          <w:sz w:val="18"/>
        </w:rPr>
        <w:t xml:space="preserve"> </w:t>
      </w:r>
      <w:r>
        <w:rPr>
          <w:spacing w:val="-2"/>
          <w:sz w:val="18"/>
        </w:rPr>
        <w:t>added)</w:t>
      </w:r>
    </w:p>
    <w:p w14:paraId="69A4E5FB" w14:textId="77777777" w:rsidR="00BD462C" w:rsidRDefault="00033D0F">
      <w:pPr>
        <w:spacing w:before="1"/>
        <w:ind w:left="136" w:right="912" w:hanging="1"/>
        <w:rPr>
          <w:sz w:val="18"/>
        </w:rPr>
      </w:pPr>
      <w:bookmarkStart w:id="1716" w:name="_bookmark1477"/>
      <w:bookmarkEnd w:id="1716"/>
      <w:r>
        <w:rPr>
          <w:position w:val="5"/>
          <w:sz w:val="12"/>
        </w:rPr>
        <w:t>1273</w:t>
      </w:r>
      <w:r>
        <w:rPr>
          <w:spacing w:val="10"/>
          <w:position w:val="5"/>
          <w:sz w:val="12"/>
        </w:rPr>
        <w:t xml:space="preserve"> </w:t>
      </w:r>
      <w:r>
        <w:rPr>
          <w:sz w:val="18"/>
        </w:rPr>
        <w:t>China</w:t>
      </w:r>
      <w:r>
        <w:rPr>
          <w:spacing w:val="-6"/>
          <w:sz w:val="18"/>
        </w:rPr>
        <w:t xml:space="preserve"> </w:t>
      </w:r>
      <w:r>
        <w:rPr>
          <w:sz w:val="18"/>
        </w:rPr>
        <w:t>argues</w:t>
      </w:r>
      <w:r>
        <w:rPr>
          <w:spacing w:val="-4"/>
          <w:sz w:val="18"/>
        </w:rPr>
        <w:t xml:space="preserve"> </w:t>
      </w:r>
      <w:r>
        <w:rPr>
          <w:sz w:val="18"/>
        </w:rPr>
        <w:t>that</w:t>
      </w:r>
      <w:r>
        <w:rPr>
          <w:spacing w:val="-3"/>
          <w:sz w:val="18"/>
        </w:rPr>
        <w:t xml:space="preserve"> </w:t>
      </w:r>
      <w:r>
        <w:rPr>
          <w:sz w:val="18"/>
        </w:rPr>
        <w:t>information</w:t>
      </w:r>
      <w:r>
        <w:rPr>
          <w:spacing w:val="-5"/>
          <w:sz w:val="18"/>
        </w:rPr>
        <w:t xml:space="preserve"> </w:t>
      </w:r>
      <w:r>
        <w:rPr>
          <w:sz w:val="18"/>
        </w:rPr>
        <w:t>is</w:t>
      </w:r>
      <w:r>
        <w:rPr>
          <w:spacing w:val="-4"/>
          <w:sz w:val="18"/>
        </w:rPr>
        <w:t xml:space="preserve"> </w:t>
      </w:r>
      <w:r>
        <w:rPr>
          <w:sz w:val="18"/>
        </w:rPr>
        <w:t>"methodology"</w:t>
      </w:r>
      <w:r>
        <w:rPr>
          <w:spacing w:val="-6"/>
          <w:sz w:val="18"/>
        </w:rPr>
        <w:t xml:space="preserve"> </w:t>
      </w:r>
      <w:r>
        <w:rPr>
          <w:sz w:val="18"/>
        </w:rPr>
        <w:t>in</w:t>
      </w:r>
      <w:r>
        <w:rPr>
          <w:spacing w:val="-10"/>
          <w:sz w:val="18"/>
        </w:rPr>
        <w:t xml:space="preserve"> </w:t>
      </w:r>
      <w:r>
        <w:rPr>
          <w:sz w:val="18"/>
        </w:rPr>
        <w:t>table</w:t>
      </w:r>
      <w:r>
        <w:rPr>
          <w:spacing w:val="-4"/>
          <w:sz w:val="18"/>
        </w:rPr>
        <w:t xml:space="preserve"> </w:t>
      </w:r>
      <w:r>
        <w:rPr>
          <w:sz w:val="18"/>
        </w:rPr>
        <w:t>items</w:t>
      </w:r>
      <w:r>
        <w:rPr>
          <w:spacing w:val="-4"/>
          <w:sz w:val="18"/>
        </w:rPr>
        <w:t xml:space="preserve"> </w:t>
      </w:r>
      <w:r>
        <w:rPr>
          <w:sz w:val="18"/>
        </w:rPr>
        <w:t>1,</w:t>
      </w:r>
      <w:r>
        <w:rPr>
          <w:spacing w:val="-2"/>
          <w:sz w:val="18"/>
        </w:rPr>
        <w:t xml:space="preserve"> </w:t>
      </w:r>
      <w:r>
        <w:rPr>
          <w:sz w:val="18"/>
        </w:rPr>
        <w:t>2,</w:t>
      </w:r>
      <w:r>
        <w:rPr>
          <w:spacing w:val="-7"/>
          <w:sz w:val="18"/>
        </w:rPr>
        <w:t xml:space="preserve"> </w:t>
      </w:r>
      <w:r>
        <w:rPr>
          <w:sz w:val="18"/>
        </w:rPr>
        <w:t>3,</w:t>
      </w:r>
      <w:r>
        <w:rPr>
          <w:spacing w:val="-2"/>
          <w:sz w:val="18"/>
        </w:rPr>
        <w:t xml:space="preserve"> </w:t>
      </w:r>
      <w:r>
        <w:rPr>
          <w:sz w:val="18"/>
        </w:rPr>
        <w:t>5,</w:t>
      </w:r>
      <w:r>
        <w:rPr>
          <w:spacing w:val="-7"/>
          <w:sz w:val="18"/>
        </w:rPr>
        <w:t xml:space="preserve"> </w:t>
      </w:r>
      <w:r>
        <w:rPr>
          <w:sz w:val="18"/>
        </w:rPr>
        <w:t>6,</w:t>
      </w:r>
      <w:r>
        <w:rPr>
          <w:spacing w:val="-2"/>
          <w:sz w:val="18"/>
        </w:rPr>
        <w:t xml:space="preserve"> </w:t>
      </w:r>
      <w:r>
        <w:rPr>
          <w:sz w:val="18"/>
        </w:rPr>
        <w:t>7,</w:t>
      </w:r>
      <w:r>
        <w:rPr>
          <w:spacing w:val="-2"/>
          <w:sz w:val="18"/>
        </w:rPr>
        <w:t xml:space="preserve"> </w:t>
      </w:r>
      <w:r>
        <w:rPr>
          <w:sz w:val="18"/>
        </w:rPr>
        <w:t>9,</w:t>
      </w:r>
      <w:r>
        <w:rPr>
          <w:spacing w:val="-2"/>
          <w:sz w:val="18"/>
        </w:rPr>
        <w:t xml:space="preserve"> </w:t>
      </w:r>
      <w:r>
        <w:rPr>
          <w:sz w:val="18"/>
        </w:rPr>
        <w:t>11,</w:t>
      </w:r>
      <w:r>
        <w:rPr>
          <w:spacing w:val="-2"/>
          <w:sz w:val="18"/>
        </w:rPr>
        <w:t xml:space="preserve"> </w:t>
      </w:r>
      <w:r>
        <w:rPr>
          <w:sz w:val="18"/>
        </w:rPr>
        <w:t>12,</w:t>
      </w:r>
      <w:r>
        <w:rPr>
          <w:spacing w:val="-2"/>
          <w:sz w:val="18"/>
        </w:rPr>
        <w:t xml:space="preserve"> </w:t>
      </w:r>
      <w:r>
        <w:rPr>
          <w:sz w:val="18"/>
        </w:rPr>
        <w:t>14,</w:t>
      </w:r>
      <w:r>
        <w:rPr>
          <w:spacing w:val="-2"/>
          <w:sz w:val="18"/>
        </w:rPr>
        <w:t xml:space="preserve"> </w:t>
      </w:r>
      <w:r>
        <w:rPr>
          <w:sz w:val="18"/>
        </w:rPr>
        <w:t>15,</w:t>
      </w:r>
      <w:r>
        <w:rPr>
          <w:spacing w:val="-2"/>
          <w:sz w:val="18"/>
        </w:rPr>
        <w:t xml:space="preserve"> </w:t>
      </w:r>
      <w:r>
        <w:rPr>
          <w:sz w:val="18"/>
        </w:rPr>
        <w:t>17</w:t>
      </w:r>
      <w:r>
        <w:rPr>
          <w:spacing w:val="-6"/>
          <w:sz w:val="18"/>
        </w:rPr>
        <w:t xml:space="preserve"> </w:t>
      </w:r>
      <w:r>
        <w:rPr>
          <w:sz w:val="18"/>
        </w:rPr>
        <w:t>and</w:t>
      </w:r>
      <w:r>
        <w:rPr>
          <w:spacing w:val="-5"/>
          <w:sz w:val="18"/>
        </w:rPr>
        <w:t xml:space="preserve"> </w:t>
      </w:r>
      <w:r>
        <w:rPr>
          <w:sz w:val="18"/>
        </w:rPr>
        <w:t>18.</w:t>
      </w:r>
      <w:r>
        <w:rPr>
          <w:spacing w:val="-2"/>
          <w:sz w:val="18"/>
        </w:rPr>
        <w:t xml:space="preserve"> </w:t>
      </w:r>
      <w:r>
        <w:rPr>
          <w:sz w:val="18"/>
        </w:rPr>
        <w:t>See</w:t>
      </w:r>
      <w:r>
        <w:rPr>
          <w:spacing w:val="-9"/>
          <w:sz w:val="18"/>
        </w:rPr>
        <w:t xml:space="preserve"> </w:t>
      </w:r>
      <w:r>
        <w:rPr>
          <w:sz w:val="18"/>
        </w:rPr>
        <w:t>China's</w:t>
      </w:r>
      <w:r>
        <w:rPr>
          <w:spacing w:val="-4"/>
          <w:sz w:val="18"/>
        </w:rPr>
        <w:t xml:space="preserve"> </w:t>
      </w:r>
      <w:r>
        <w:rPr>
          <w:sz w:val="18"/>
        </w:rPr>
        <w:t>first written submission, para. 2455.</w:t>
      </w:r>
    </w:p>
    <w:p w14:paraId="7617B701" w14:textId="77777777" w:rsidR="00BD462C" w:rsidRDefault="00033D0F">
      <w:pPr>
        <w:spacing w:before="2"/>
        <w:ind w:left="135"/>
        <w:rPr>
          <w:sz w:val="18"/>
        </w:rPr>
      </w:pPr>
      <w:bookmarkStart w:id="1717" w:name="_bookmark1478"/>
      <w:bookmarkEnd w:id="1717"/>
      <w:r>
        <w:rPr>
          <w:position w:val="5"/>
          <w:sz w:val="12"/>
        </w:rPr>
        <w:t>1274</w:t>
      </w:r>
      <w:r>
        <w:rPr>
          <w:spacing w:val="15"/>
          <w:position w:val="5"/>
          <w:sz w:val="12"/>
        </w:rPr>
        <w:t xml:space="preserve"> </w:t>
      </w:r>
      <w:r>
        <w:rPr>
          <w:sz w:val="18"/>
        </w:rPr>
        <w:t>Panel</w:t>
      </w:r>
      <w:r>
        <w:rPr>
          <w:spacing w:val="-2"/>
          <w:sz w:val="18"/>
        </w:rPr>
        <w:t xml:space="preserve"> </w:t>
      </w:r>
      <w:r>
        <w:rPr>
          <w:sz w:val="18"/>
        </w:rPr>
        <w:t>Report,</w:t>
      </w:r>
      <w:r>
        <w:rPr>
          <w:spacing w:val="-2"/>
          <w:sz w:val="18"/>
        </w:rPr>
        <w:t xml:space="preserve"> </w:t>
      </w:r>
      <w:r>
        <w:rPr>
          <w:i/>
          <w:sz w:val="18"/>
        </w:rPr>
        <w:t>Korea</w:t>
      </w:r>
      <w:r>
        <w:rPr>
          <w:i/>
          <w:spacing w:val="-2"/>
          <w:sz w:val="18"/>
        </w:rPr>
        <w:t xml:space="preserve"> </w:t>
      </w:r>
      <w:r>
        <w:rPr>
          <w:i/>
          <w:sz w:val="18"/>
        </w:rPr>
        <w:t>–</w:t>
      </w:r>
      <w:r>
        <w:rPr>
          <w:i/>
          <w:spacing w:val="-3"/>
          <w:sz w:val="18"/>
        </w:rPr>
        <w:t xml:space="preserve"> </w:t>
      </w:r>
      <w:r>
        <w:rPr>
          <w:i/>
          <w:sz w:val="18"/>
        </w:rPr>
        <w:t>Certain</w:t>
      </w:r>
      <w:r>
        <w:rPr>
          <w:i/>
          <w:spacing w:val="-6"/>
          <w:sz w:val="18"/>
        </w:rPr>
        <w:t xml:space="preserve"> </w:t>
      </w:r>
      <w:r>
        <w:rPr>
          <w:i/>
          <w:sz w:val="18"/>
        </w:rPr>
        <w:t>Paper</w:t>
      </w:r>
      <w:r>
        <w:rPr>
          <w:sz w:val="18"/>
        </w:rPr>
        <w:t>,</w:t>
      </w:r>
      <w:r>
        <w:rPr>
          <w:spacing w:val="-2"/>
          <w:sz w:val="18"/>
        </w:rPr>
        <w:t xml:space="preserve"> </w:t>
      </w:r>
      <w:r>
        <w:rPr>
          <w:sz w:val="18"/>
        </w:rPr>
        <w:t>para.</w:t>
      </w:r>
      <w:r>
        <w:rPr>
          <w:spacing w:val="-2"/>
          <w:sz w:val="18"/>
        </w:rPr>
        <w:t xml:space="preserve"> 7.201.</w:t>
      </w:r>
    </w:p>
    <w:p w14:paraId="06D4A5FD" w14:textId="77777777" w:rsidR="00BD462C" w:rsidRDefault="00BD462C">
      <w:pPr>
        <w:rPr>
          <w:sz w:val="18"/>
        </w:rPr>
        <w:sectPr w:rsidR="00BD462C">
          <w:pgSz w:w="11910" w:h="16840"/>
          <w:pgMar w:top="860" w:right="500" w:bottom="780" w:left="1280" w:header="566" w:footer="590" w:gutter="0"/>
          <w:cols w:space="720"/>
        </w:sectPr>
      </w:pPr>
    </w:p>
    <w:p w14:paraId="26F0A1DE"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787E9C02"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2C33FB2E"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6137D054" w14:textId="77777777" w:rsidR="00BD462C" w:rsidRDefault="00033D0F">
      <w:pPr>
        <w:pStyle w:val="BodyText"/>
        <w:spacing w:before="102" w:line="360" w:lineRule="auto"/>
        <w:ind w:left="135" w:right="914"/>
        <w:jc w:val="both"/>
      </w:pPr>
      <w:r>
        <w:t>it</w:t>
      </w:r>
      <w:r>
        <w:rPr>
          <w:spacing w:val="-3"/>
        </w:rPr>
        <w:t xml:space="preserve"> </w:t>
      </w:r>
      <w:r>
        <w:t>is</w:t>
      </w:r>
      <w:r>
        <w:rPr>
          <w:spacing w:val="-2"/>
        </w:rPr>
        <w:t xml:space="preserve"> </w:t>
      </w:r>
      <w:r>
        <w:t>considered</w:t>
      </w:r>
      <w:r>
        <w:rPr>
          <w:spacing w:val="-5"/>
        </w:rPr>
        <w:t xml:space="preserve"> </w:t>
      </w:r>
      <w:r>
        <w:t>to</w:t>
      </w:r>
      <w:r>
        <w:rPr>
          <w:spacing w:val="-6"/>
        </w:rPr>
        <w:t xml:space="preserve"> </w:t>
      </w:r>
      <w:r>
        <w:t>be</w:t>
      </w:r>
      <w:r>
        <w:rPr>
          <w:spacing w:val="-4"/>
        </w:rPr>
        <w:t xml:space="preserve"> </w:t>
      </w:r>
      <w:r>
        <w:t>"information</w:t>
      </w:r>
      <w:r>
        <w:rPr>
          <w:spacing w:val="-5"/>
        </w:rPr>
        <w:t xml:space="preserve"> </w:t>
      </w:r>
      <w:r>
        <w:t>that</w:t>
      </w:r>
      <w:r>
        <w:rPr>
          <w:spacing w:val="-3"/>
        </w:rPr>
        <w:t xml:space="preserve"> </w:t>
      </w:r>
      <w:r>
        <w:t>has</w:t>
      </w:r>
      <w:r>
        <w:rPr>
          <w:spacing w:val="-2"/>
        </w:rPr>
        <w:t xml:space="preserve"> </w:t>
      </w:r>
      <w:r>
        <w:t>been</w:t>
      </w:r>
      <w:r>
        <w:rPr>
          <w:spacing w:val="-5"/>
        </w:rPr>
        <w:t xml:space="preserve"> </w:t>
      </w:r>
      <w:r>
        <w:t>processed,</w:t>
      </w:r>
      <w:r>
        <w:rPr>
          <w:spacing w:val="-2"/>
        </w:rPr>
        <w:t xml:space="preserve"> </w:t>
      </w:r>
      <w:r>
        <w:t>organized,</w:t>
      </w:r>
      <w:r>
        <w:rPr>
          <w:spacing w:val="-2"/>
        </w:rPr>
        <w:t xml:space="preserve"> </w:t>
      </w:r>
      <w:r>
        <w:t>or</w:t>
      </w:r>
      <w:r>
        <w:rPr>
          <w:spacing w:val="-6"/>
        </w:rPr>
        <w:t xml:space="preserve"> </w:t>
      </w:r>
      <w:r>
        <w:t>summarized</w:t>
      </w:r>
      <w:r>
        <w:rPr>
          <w:spacing w:val="-5"/>
        </w:rPr>
        <w:t xml:space="preserve"> </w:t>
      </w:r>
      <w:r>
        <w:t>by</w:t>
      </w:r>
      <w:r>
        <w:rPr>
          <w:spacing w:val="-7"/>
        </w:rPr>
        <w:t xml:space="preserve"> </w:t>
      </w:r>
      <w:r>
        <w:t>the authority “as distinct from "reasoning and analysis".</w:t>
      </w:r>
      <w:hyperlink w:anchor="_bookmark1479" w:history="1">
        <w:r>
          <w:rPr>
            <w:vertAlign w:val="superscript"/>
          </w:rPr>
          <w:t>1275</w:t>
        </w:r>
      </w:hyperlink>
      <w:r>
        <w:t xml:space="preserve"> For the same reason, Australia submits</w:t>
      </w:r>
      <w:r>
        <w:rPr>
          <w:spacing w:val="-2"/>
        </w:rPr>
        <w:t xml:space="preserve"> </w:t>
      </w:r>
      <w:r>
        <w:t>that,</w:t>
      </w:r>
      <w:r>
        <w:rPr>
          <w:spacing w:val="-1"/>
        </w:rPr>
        <w:t xml:space="preserve"> </w:t>
      </w:r>
      <w:r>
        <w:t>read</w:t>
      </w:r>
      <w:r>
        <w:rPr>
          <w:spacing w:val="-5"/>
        </w:rPr>
        <w:t xml:space="preserve"> </w:t>
      </w:r>
      <w:r>
        <w:t>in</w:t>
      </w:r>
      <w:r>
        <w:rPr>
          <w:spacing w:val="-5"/>
        </w:rPr>
        <w:t xml:space="preserve"> </w:t>
      </w:r>
      <w:r>
        <w:t>its</w:t>
      </w:r>
      <w:r>
        <w:rPr>
          <w:spacing w:val="-2"/>
        </w:rPr>
        <w:t xml:space="preserve"> </w:t>
      </w:r>
      <w:r>
        <w:t>proper</w:t>
      </w:r>
      <w:r>
        <w:rPr>
          <w:spacing w:val="-6"/>
        </w:rPr>
        <w:t xml:space="preserve"> </w:t>
      </w:r>
      <w:r>
        <w:t>context,</w:t>
      </w:r>
      <w:r>
        <w:rPr>
          <w:spacing w:val="-1"/>
        </w:rPr>
        <w:t xml:space="preserve"> </w:t>
      </w:r>
      <w:r>
        <w:t>the</w:t>
      </w:r>
      <w:r>
        <w:rPr>
          <w:spacing w:val="-3"/>
        </w:rPr>
        <w:t xml:space="preserve"> </w:t>
      </w:r>
      <w:r>
        <w:t>information</w:t>
      </w:r>
      <w:r>
        <w:rPr>
          <w:spacing w:val="-5"/>
        </w:rPr>
        <w:t xml:space="preserve"> </w:t>
      </w:r>
      <w:r>
        <w:t>in</w:t>
      </w:r>
      <w:r>
        <w:rPr>
          <w:spacing w:val="-5"/>
        </w:rPr>
        <w:t xml:space="preserve"> </w:t>
      </w:r>
      <w:r>
        <w:t>items</w:t>
      </w:r>
      <w:r>
        <w:rPr>
          <w:spacing w:val="-2"/>
        </w:rPr>
        <w:t xml:space="preserve"> </w:t>
      </w:r>
      <w:r>
        <w:t>2,</w:t>
      </w:r>
      <w:r>
        <w:rPr>
          <w:spacing w:val="-2"/>
        </w:rPr>
        <w:t xml:space="preserve"> </w:t>
      </w:r>
      <w:r>
        <w:t>4,</w:t>
      </w:r>
      <w:r>
        <w:rPr>
          <w:spacing w:val="-2"/>
        </w:rPr>
        <w:t xml:space="preserve"> </w:t>
      </w:r>
      <w:r>
        <w:t>5,</w:t>
      </w:r>
      <w:r>
        <w:rPr>
          <w:spacing w:val="-2"/>
        </w:rPr>
        <w:t xml:space="preserve"> </w:t>
      </w:r>
      <w:r>
        <w:t>6,</w:t>
      </w:r>
      <w:r>
        <w:rPr>
          <w:spacing w:val="-2"/>
        </w:rPr>
        <w:t xml:space="preserve"> </w:t>
      </w:r>
      <w:r>
        <w:t>7,</w:t>
      </w:r>
      <w:r>
        <w:rPr>
          <w:spacing w:val="-2"/>
        </w:rPr>
        <w:t xml:space="preserve"> </w:t>
      </w:r>
      <w:r>
        <w:t>9,</w:t>
      </w:r>
      <w:r>
        <w:rPr>
          <w:spacing w:val="-2"/>
        </w:rPr>
        <w:t xml:space="preserve"> </w:t>
      </w:r>
      <w:r>
        <w:t>12,</w:t>
      </w:r>
      <w:r>
        <w:rPr>
          <w:spacing w:val="-2"/>
        </w:rPr>
        <w:t xml:space="preserve"> </w:t>
      </w:r>
      <w:r>
        <w:t>15</w:t>
      </w:r>
      <w:r>
        <w:rPr>
          <w:spacing w:val="-6"/>
        </w:rPr>
        <w:t xml:space="preserve"> </w:t>
      </w:r>
      <w:r>
        <w:t>and</w:t>
      </w:r>
      <w:r>
        <w:rPr>
          <w:spacing w:val="-5"/>
        </w:rPr>
        <w:t xml:space="preserve"> </w:t>
      </w:r>
      <w:r>
        <w:t>16 of China's table, is within the scope of Article 6.4.</w:t>
      </w:r>
    </w:p>
    <w:p w14:paraId="353FFE55" w14:textId="77777777" w:rsidR="00BD462C" w:rsidRDefault="00BD462C">
      <w:pPr>
        <w:pStyle w:val="BodyText"/>
        <w:spacing w:before="8"/>
        <w:rPr>
          <w:sz w:val="8"/>
        </w:rPr>
      </w:pPr>
    </w:p>
    <w:p w14:paraId="730CD838" w14:textId="1AB7F778" w:rsidR="00BD462C" w:rsidRDefault="00814580">
      <w:pPr>
        <w:pStyle w:val="BodyText"/>
        <w:spacing w:before="56" w:line="360" w:lineRule="auto"/>
        <w:ind w:left="135" w:right="912"/>
        <w:jc w:val="both"/>
      </w:pPr>
      <w:r>
        <w:rPr>
          <w:noProof/>
        </w:rPr>
        <w:t>870.</w:t>
      </w:r>
      <w:r w:rsidR="00033D0F">
        <w:rPr>
          <w:rFonts w:ascii="Times New Roman"/>
          <w:spacing w:val="80"/>
          <w:position w:val="1"/>
          <w:sz w:val="20"/>
        </w:rPr>
        <w:t xml:space="preserve">  </w:t>
      </w:r>
      <w:r w:rsidR="00033D0F">
        <w:rPr>
          <w:position w:val="1"/>
        </w:rPr>
        <w:t>For</w:t>
      </w:r>
      <w:r w:rsidR="00033D0F">
        <w:rPr>
          <w:spacing w:val="-4"/>
          <w:position w:val="1"/>
        </w:rPr>
        <w:t xml:space="preserve"> </w:t>
      </w:r>
      <w:r w:rsidR="00033D0F">
        <w:rPr>
          <w:position w:val="1"/>
        </w:rPr>
        <w:t>completeness, in</w:t>
      </w:r>
      <w:r w:rsidR="00033D0F">
        <w:rPr>
          <w:spacing w:val="-3"/>
          <w:position w:val="1"/>
        </w:rPr>
        <w:t xml:space="preserve"> </w:t>
      </w:r>
      <w:r w:rsidR="00033D0F">
        <w:rPr>
          <w:position w:val="1"/>
        </w:rPr>
        <w:t>the</w:t>
      </w:r>
      <w:r w:rsidR="00033D0F">
        <w:rPr>
          <w:spacing w:val="-2"/>
          <w:position w:val="1"/>
        </w:rPr>
        <w:t xml:space="preserve"> </w:t>
      </w:r>
      <w:r w:rsidR="00033D0F">
        <w:rPr>
          <w:position w:val="1"/>
        </w:rPr>
        <w:t>event</w:t>
      </w:r>
      <w:r w:rsidR="00033D0F">
        <w:rPr>
          <w:spacing w:val="-1"/>
          <w:position w:val="1"/>
        </w:rPr>
        <w:t xml:space="preserve"> </w:t>
      </w:r>
      <w:r w:rsidR="00033D0F">
        <w:rPr>
          <w:position w:val="1"/>
        </w:rPr>
        <w:t>that</w:t>
      </w:r>
      <w:r w:rsidR="00033D0F">
        <w:rPr>
          <w:spacing w:val="-1"/>
          <w:position w:val="1"/>
        </w:rPr>
        <w:t xml:space="preserve"> </w:t>
      </w:r>
      <w:r w:rsidR="00033D0F">
        <w:rPr>
          <w:position w:val="1"/>
        </w:rPr>
        <w:t>China</w:t>
      </w:r>
      <w:r w:rsidR="00033D0F">
        <w:rPr>
          <w:spacing w:val="-2"/>
          <w:position w:val="1"/>
        </w:rPr>
        <w:t xml:space="preserve"> </w:t>
      </w:r>
      <w:r w:rsidR="00033D0F">
        <w:rPr>
          <w:position w:val="1"/>
        </w:rPr>
        <w:t>claims any of</w:t>
      </w:r>
      <w:r w:rsidR="00033D0F">
        <w:rPr>
          <w:spacing w:val="-3"/>
          <w:position w:val="1"/>
        </w:rPr>
        <w:t xml:space="preserve"> </w:t>
      </w:r>
      <w:r w:rsidR="00033D0F">
        <w:rPr>
          <w:position w:val="1"/>
        </w:rPr>
        <w:t>the</w:t>
      </w:r>
      <w:r w:rsidR="00033D0F">
        <w:rPr>
          <w:spacing w:val="-2"/>
          <w:position w:val="1"/>
        </w:rPr>
        <w:t xml:space="preserve"> </w:t>
      </w:r>
      <w:r w:rsidR="00033D0F">
        <w:rPr>
          <w:position w:val="1"/>
        </w:rPr>
        <w:t>information</w:t>
      </w:r>
      <w:r w:rsidR="00033D0F">
        <w:rPr>
          <w:spacing w:val="-3"/>
          <w:position w:val="1"/>
        </w:rPr>
        <w:t xml:space="preserve"> </w:t>
      </w:r>
      <w:r w:rsidR="00033D0F">
        <w:rPr>
          <w:position w:val="1"/>
        </w:rPr>
        <w:t>identified</w:t>
      </w:r>
      <w:r w:rsidR="00033D0F">
        <w:rPr>
          <w:spacing w:val="-3"/>
          <w:position w:val="1"/>
        </w:rPr>
        <w:t xml:space="preserve"> </w:t>
      </w:r>
      <w:r w:rsidR="00033D0F">
        <w:rPr>
          <w:position w:val="1"/>
        </w:rPr>
        <w:t xml:space="preserve">in </w:t>
      </w:r>
      <w:r w:rsidR="00033D0F">
        <w:t>Australia's</w:t>
      </w:r>
      <w:r w:rsidR="00033D0F">
        <w:rPr>
          <w:spacing w:val="-14"/>
        </w:rPr>
        <w:t xml:space="preserve"> </w:t>
      </w:r>
      <w:r w:rsidR="00033D0F">
        <w:t>claim</w:t>
      </w:r>
      <w:r w:rsidR="00033D0F">
        <w:rPr>
          <w:spacing w:val="-14"/>
        </w:rPr>
        <w:t xml:space="preserve"> </w:t>
      </w:r>
      <w:r w:rsidR="00033D0F">
        <w:t>was</w:t>
      </w:r>
      <w:r w:rsidR="00033D0F">
        <w:rPr>
          <w:spacing w:val="-13"/>
        </w:rPr>
        <w:t xml:space="preserve"> </w:t>
      </w:r>
      <w:r w:rsidR="00033D0F">
        <w:t>confidential,</w:t>
      </w:r>
      <w:r w:rsidR="00033D0F">
        <w:rPr>
          <w:spacing w:val="-14"/>
        </w:rPr>
        <w:t xml:space="preserve"> </w:t>
      </w:r>
      <w:r w:rsidR="00033D0F">
        <w:t>Australia</w:t>
      </w:r>
      <w:r w:rsidR="00033D0F">
        <w:rPr>
          <w:spacing w:val="-13"/>
        </w:rPr>
        <w:t xml:space="preserve"> </w:t>
      </w:r>
      <w:r w:rsidR="00033D0F">
        <w:t>submits</w:t>
      </w:r>
      <w:r w:rsidR="00033D0F">
        <w:rPr>
          <w:spacing w:val="-14"/>
        </w:rPr>
        <w:t xml:space="preserve"> </w:t>
      </w:r>
      <w:r w:rsidR="00033D0F">
        <w:t>that</w:t>
      </w:r>
      <w:r w:rsidR="00033D0F">
        <w:rPr>
          <w:spacing w:val="-13"/>
        </w:rPr>
        <w:t xml:space="preserve"> </w:t>
      </w:r>
      <w:r w:rsidR="00033D0F">
        <w:t>effective</w:t>
      </w:r>
      <w:r w:rsidR="00033D0F">
        <w:rPr>
          <w:spacing w:val="-14"/>
        </w:rPr>
        <w:t xml:space="preserve"> </w:t>
      </w:r>
      <w:r w:rsidR="00033D0F">
        <w:t>non-confidential</w:t>
      </w:r>
      <w:r w:rsidR="00033D0F">
        <w:rPr>
          <w:spacing w:val="-14"/>
        </w:rPr>
        <w:t xml:space="preserve"> </w:t>
      </w:r>
      <w:r w:rsidR="00033D0F">
        <w:t>summaries should have been required in sufficient detail that would allow the interested parties to prepare presentations on the basis on the information. This did not occur.</w:t>
      </w:r>
    </w:p>
    <w:p w14:paraId="4ECFD846" w14:textId="77777777" w:rsidR="00BD462C" w:rsidRDefault="00033D0F">
      <w:pPr>
        <w:pStyle w:val="ListParagraph"/>
        <w:numPr>
          <w:ilvl w:val="0"/>
          <w:numId w:val="18"/>
        </w:numPr>
        <w:tabs>
          <w:tab w:val="left" w:pos="3540"/>
        </w:tabs>
        <w:spacing w:before="158" w:line="360" w:lineRule="auto"/>
        <w:ind w:right="917"/>
        <w:jc w:val="both"/>
        <w:rPr>
          <w:rFonts w:ascii="Times New Roman"/>
          <w:sz w:val="24"/>
          <w:u w:val="single"/>
        </w:rPr>
      </w:pPr>
      <w:bookmarkStart w:id="1718" w:name="(e)_The_scope_of_the_investigating_autho"/>
      <w:bookmarkEnd w:id="1718"/>
      <w:r>
        <w:rPr>
          <w:sz w:val="24"/>
          <w:u w:val="single"/>
        </w:rPr>
        <w:t>The scope of the investigating authority's discretion to</w:t>
      </w:r>
      <w:r>
        <w:rPr>
          <w:sz w:val="24"/>
        </w:rPr>
        <w:t xml:space="preserve"> </w:t>
      </w:r>
      <w:r>
        <w:rPr>
          <w:sz w:val="24"/>
          <w:u w:val="single"/>
        </w:rPr>
        <w:t>determine</w:t>
      </w:r>
      <w:r>
        <w:rPr>
          <w:spacing w:val="-14"/>
          <w:sz w:val="24"/>
          <w:u w:val="single"/>
        </w:rPr>
        <w:t xml:space="preserve"> </w:t>
      </w:r>
      <w:r>
        <w:rPr>
          <w:sz w:val="24"/>
          <w:u w:val="single"/>
        </w:rPr>
        <w:t>that</w:t>
      </w:r>
      <w:r>
        <w:rPr>
          <w:spacing w:val="-14"/>
          <w:sz w:val="24"/>
          <w:u w:val="single"/>
        </w:rPr>
        <w:t xml:space="preserve"> </w:t>
      </w:r>
      <w:r>
        <w:rPr>
          <w:sz w:val="24"/>
          <w:u w:val="single"/>
        </w:rPr>
        <w:t>information</w:t>
      </w:r>
      <w:r>
        <w:rPr>
          <w:spacing w:val="-13"/>
          <w:sz w:val="24"/>
          <w:u w:val="single"/>
        </w:rPr>
        <w:t xml:space="preserve"> </w:t>
      </w:r>
      <w:r>
        <w:rPr>
          <w:sz w:val="24"/>
          <w:u w:val="single"/>
        </w:rPr>
        <w:t>falls</w:t>
      </w:r>
      <w:r>
        <w:rPr>
          <w:spacing w:val="-14"/>
          <w:sz w:val="24"/>
          <w:u w:val="single"/>
        </w:rPr>
        <w:t xml:space="preserve"> </w:t>
      </w:r>
      <w:r>
        <w:rPr>
          <w:sz w:val="24"/>
          <w:u w:val="single"/>
        </w:rPr>
        <w:t>within</w:t>
      </w:r>
      <w:r>
        <w:rPr>
          <w:spacing w:val="-13"/>
          <w:sz w:val="24"/>
          <w:u w:val="single"/>
        </w:rPr>
        <w:t xml:space="preserve"> </w:t>
      </w:r>
      <w:r>
        <w:rPr>
          <w:sz w:val="24"/>
          <w:u w:val="single"/>
        </w:rPr>
        <w:t>the</w:t>
      </w:r>
      <w:r>
        <w:rPr>
          <w:spacing w:val="-14"/>
          <w:sz w:val="24"/>
          <w:u w:val="single"/>
        </w:rPr>
        <w:t xml:space="preserve"> </w:t>
      </w:r>
      <w:r>
        <w:rPr>
          <w:sz w:val="24"/>
          <w:u w:val="single"/>
        </w:rPr>
        <w:t>scope</w:t>
      </w:r>
      <w:r>
        <w:rPr>
          <w:spacing w:val="-13"/>
          <w:sz w:val="24"/>
          <w:u w:val="single"/>
        </w:rPr>
        <w:t xml:space="preserve"> </w:t>
      </w:r>
      <w:r>
        <w:rPr>
          <w:sz w:val="24"/>
          <w:u w:val="single"/>
        </w:rPr>
        <w:t>of</w:t>
      </w:r>
      <w:r>
        <w:rPr>
          <w:spacing w:val="-14"/>
          <w:sz w:val="24"/>
          <w:u w:val="single"/>
        </w:rPr>
        <w:t xml:space="preserve"> </w:t>
      </w:r>
      <w:r>
        <w:rPr>
          <w:sz w:val="24"/>
          <w:u w:val="single"/>
        </w:rPr>
        <w:t>Article</w:t>
      </w:r>
      <w:r>
        <w:rPr>
          <w:sz w:val="24"/>
        </w:rPr>
        <w:t xml:space="preserve"> </w:t>
      </w:r>
      <w:r>
        <w:rPr>
          <w:spacing w:val="-4"/>
          <w:sz w:val="24"/>
          <w:u w:val="single"/>
        </w:rPr>
        <w:t>6.4</w:t>
      </w:r>
    </w:p>
    <w:p w14:paraId="16A8E00E" w14:textId="77777777" w:rsidR="00BD462C" w:rsidRDefault="00BD462C">
      <w:pPr>
        <w:pStyle w:val="BodyText"/>
        <w:spacing w:before="11"/>
        <w:rPr>
          <w:sz w:val="8"/>
        </w:rPr>
      </w:pPr>
    </w:p>
    <w:p w14:paraId="67A83EC4" w14:textId="4FDCDF2A" w:rsidR="00BD462C" w:rsidRDefault="00814580">
      <w:pPr>
        <w:pStyle w:val="BodyText"/>
        <w:spacing w:before="56" w:line="357" w:lineRule="auto"/>
        <w:ind w:left="135" w:right="916"/>
        <w:jc w:val="both"/>
      </w:pPr>
      <w:r>
        <w:rPr>
          <w:noProof/>
        </w:rPr>
        <w:t>871.</w:t>
      </w:r>
      <w:r w:rsidR="00033D0F">
        <w:rPr>
          <w:rFonts w:ascii="Times New Roman"/>
          <w:spacing w:val="80"/>
          <w:position w:val="1"/>
          <w:sz w:val="20"/>
        </w:rPr>
        <w:t xml:space="preserve"> </w:t>
      </w:r>
      <w:r w:rsidR="00033D0F">
        <w:rPr>
          <w:position w:val="1"/>
        </w:rPr>
        <w:t xml:space="preserve">China asserts that the investigating authority's discretion to determine what </w:t>
      </w:r>
      <w:r w:rsidR="00033D0F">
        <w:t>information</w:t>
      </w:r>
      <w:r w:rsidR="00033D0F">
        <w:rPr>
          <w:spacing w:val="-14"/>
        </w:rPr>
        <w:t xml:space="preserve"> </w:t>
      </w:r>
      <w:r w:rsidR="00033D0F">
        <w:t>is</w:t>
      </w:r>
      <w:r w:rsidR="00033D0F">
        <w:rPr>
          <w:spacing w:val="-14"/>
        </w:rPr>
        <w:t xml:space="preserve"> </w:t>
      </w:r>
      <w:r w:rsidR="00033D0F">
        <w:t>"relevant",</w:t>
      </w:r>
      <w:r w:rsidR="00033D0F">
        <w:rPr>
          <w:spacing w:val="-13"/>
        </w:rPr>
        <w:t xml:space="preserve"> </w:t>
      </w:r>
      <w:r w:rsidR="00033D0F">
        <w:t>"practicable",</w:t>
      </w:r>
      <w:r w:rsidR="00033D0F">
        <w:rPr>
          <w:spacing w:val="-14"/>
        </w:rPr>
        <w:t xml:space="preserve"> </w:t>
      </w:r>
      <w:r w:rsidR="00033D0F">
        <w:t>"used",</w:t>
      </w:r>
      <w:r w:rsidR="00033D0F">
        <w:rPr>
          <w:spacing w:val="-13"/>
        </w:rPr>
        <w:t xml:space="preserve"> </w:t>
      </w:r>
      <w:r w:rsidR="00033D0F">
        <w:t>and</w:t>
      </w:r>
      <w:r w:rsidR="00033D0F">
        <w:rPr>
          <w:spacing w:val="-14"/>
        </w:rPr>
        <w:t xml:space="preserve"> </w:t>
      </w:r>
      <w:r w:rsidR="00033D0F">
        <w:t>"not</w:t>
      </w:r>
      <w:r w:rsidR="00033D0F">
        <w:rPr>
          <w:spacing w:val="-13"/>
        </w:rPr>
        <w:t xml:space="preserve"> </w:t>
      </w:r>
      <w:r w:rsidR="00033D0F">
        <w:t>confidential",</w:t>
      </w:r>
      <w:r w:rsidR="00033D0F">
        <w:rPr>
          <w:spacing w:val="-14"/>
        </w:rPr>
        <w:t xml:space="preserve"> </w:t>
      </w:r>
      <w:r w:rsidR="00033D0F">
        <w:t>is</w:t>
      </w:r>
      <w:r w:rsidR="00033D0F">
        <w:rPr>
          <w:spacing w:val="-14"/>
        </w:rPr>
        <w:t xml:space="preserve"> </w:t>
      </w:r>
      <w:r w:rsidR="00033D0F">
        <w:t>not</w:t>
      </w:r>
      <w:r w:rsidR="00033D0F">
        <w:rPr>
          <w:spacing w:val="-13"/>
        </w:rPr>
        <w:t xml:space="preserve"> </w:t>
      </w:r>
      <w:r w:rsidR="00033D0F">
        <w:t>subject</w:t>
      </w:r>
      <w:r w:rsidR="00033D0F">
        <w:rPr>
          <w:spacing w:val="-14"/>
        </w:rPr>
        <w:t xml:space="preserve"> </w:t>
      </w:r>
      <w:r w:rsidR="00033D0F">
        <w:t>to</w:t>
      </w:r>
      <w:r w:rsidR="00033D0F">
        <w:rPr>
          <w:spacing w:val="-13"/>
        </w:rPr>
        <w:t xml:space="preserve"> </w:t>
      </w:r>
      <w:r w:rsidR="00033D0F">
        <w:t>review by a panel for the purposes of assessing whether Article 6.4 obligations have been satisfied.</w:t>
      </w:r>
      <w:hyperlink w:anchor="_bookmark1480" w:history="1">
        <w:r w:rsidR="00033D0F">
          <w:rPr>
            <w:vertAlign w:val="superscript"/>
          </w:rPr>
          <w:t>1276</w:t>
        </w:r>
      </w:hyperlink>
      <w:r w:rsidR="00033D0F">
        <w:t xml:space="preserve"> Australia disagrees.</w:t>
      </w:r>
    </w:p>
    <w:p w14:paraId="3C7CE28F" w14:textId="77777777" w:rsidR="00BD462C" w:rsidRDefault="00BD462C">
      <w:pPr>
        <w:pStyle w:val="BodyText"/>
        <w:spacing w:before="3"/>
        <w:rPr>
          <w:sz w:val="9"/>
        </w:rPr>
      </w:pPr>
    </w:p>
    <w:p w14:paraId="1E0C5D5F" w14:textId="342ADED4" w:rsidR="00BD462C" w:rsidRDefault="00814580">
      <w:pPr>
        <w:pStyle w:val="BodyText"/>
        <w:spacing w:before="56" w:line="360" w:lineRule="auto"/>
        <w:ind w:left="136" w:right="909"/>
        <w:jc w:val="both"/>
      </w:pPr>
      <w:r>
        <w:rPr>
          <w:noProof/>
        </w:rPr>
        <w:t>872.</w:t>
      </w:r>
      <w:r w:rsidR="00033D0F">
        <w:rPr>
          <w:rFonts w:ascii="Times New Roman"/>
          <w:spacing w:val="80"/>
          <w:w w:val="150"/>
          <w:position w:val="1"/>
          <w:sz w:val="20"/>
        </w:rPr>
        <w:t xml:space="preserve">  </w:t>
      </w:r>
      <w:r w:rsidR="00033D0F">
        <w:rPr>
          <w:position w:val="1"/>
        </w:rPr>
        <w:t>First,</w:t>
      </w:r>
      <w:r w:rsidR="00033D0F">
        <w:rPr>
          <w:spacing w:val="-14"/>
          <w:position w:val="1"/>
        </w:rPr>
        <w:t xml:space="preserve"> </w:t>
      </w:r>
      <w:r w:rsidR="00033D0F">
        <w:rPr>
          <w:position w:val="1"/>
        </w:rPr>
        <w:t>whether</w:t>
      </w:r>
      <w:r w:rsidR="00033D0F">
        <w:rPr>
          <w:spacing w:val="-14"/>
          <w:position w:val="1"/>
        </w:rPr>
        <w:t xml:space="preserve"> </w:t>
      </w:r>
      <w:r w:rsidR="00033D0F">
        <w:rPr>
          <w:position w:val="1"/>
        </w:rPr>
        <w:t>it</w:t>
      </w:r>
      <w:r w:rsidR="00033D0F">
        <w:rPr>
          <w:spacing w:val="-13"/>
          <w:position w:val="1"/>
        </w:rPr>
        <w:t xml:space="preserve"> </w:t>
      </w:r>
      <w:r w:rsidR="00033D0F">
        <w:rPr>
          <w:position w:val="1"/>
        </w:rPr>
        <w:t>was</w:t>
      </w:r>
      <w:r w:rsidR="00033D0F">
        <w:rPr>
          <w:spacing w:val="-14"/>
          <w:position w:val="1"/>
        </w:rPr>
        <w:t xml:space="preserve"> </w:t>
      </w:r>
      <w:r w:rsidR="00033D0F">
        <w:rPr>
          <w:position w:val="1"/>
        </w:rPr>
        <w:t>"practicable"</w:t>
      </w:r>
      <w:r w:rsidR="00033D0F">
        <w:rPr>
          <w:spacing w:val="-13"/>
          <w:position w:val="1"/>
        </w:rPr>
        <w:t xml:space="preserve"> </w:t>
      </w:r>
      <w:r w:rsidR="00033D0F">
        <w:rPr>
          <w:position w:val="1"/>
        </w:rPr>
        <w:t>to</w:t>
      </w:r>
      <w:r w:rsidR="00033D0F">
        <w:rPr>
          <w:spacing w:val="-14"/>
          <w:position w:val="1"/>
        </w:rPr>
        <w:t xml:space="preserve"> </w:t>
      </w:r>
      <w:r w:rsidR="00033D0F">
        <w:rPr>
          <w:position w:val="1"/>
        </w:rPr>
        <w:t>provide</w:t>
      </w:r>
      <w:r w:rsidR="00033D0F">
        <w:rPr>
          <w:spacing w:val="-13"/>
          <w:position w:val="1"/>
        </w:rPr>
        <w:t xml:space="preserve"> </w:t>
      </w:r>
      <w:r w:rsidR="00033D0F">
        <w:rPr>
          <w:position w:val="1"/>
        </w:rPr>
        <w:t>timely</w:t>
      </w:r>
      <w:r w:rsidR="00033D0F">
        <w:rPr>
          <w:spacing w:val="-14"/>
          <w:position w:val="1"/>
        </w:rPr>
        <w:t xml:space="preserve"> </w:t>
      </w:r>
      <w:r w:rsidR="00033D0F">
        <w:rPr>
          <w:position w:val="1"/>
        </w:rPr>
        <w:t>opportunities</w:t>
      </w:r>
      <w:r w:rsidR="00033D0F">
        <w:rPr>
          <w:spacing w:val="-14"/>
          <w:position w:val="1"/>
        </w:rPr>
        <w:t xml:space="preserve"> </w:t>
      </w:r>
      <w:r w:rsidR="00033D0F">
        <w:rPr>
          <w:position w:val="1"/>
        </w:rPr>
        <w:t>within</w:t>
      </w:r>
      <w:r w:rsidR="00033D0F">
        <w:rPr>
          <w:spacing w:val="-13"/>
          <w:position w:val="1"/>
        </w:rPr>
        <w:t xml:space="preserve"> </w:t>
      </w:r>
      <w:r w:rsidR="00033D0F">
        <w:rPr>
          <w:position w:val="1"/>
        </w:rPr>
        <w:t>the</w:t>
      </w:r>
      <w:r w:rsidR="00033D0F">
        <w:rPr>
          <w:spacing w:val="-14"/>
          <w:position w:val="1"/>
        </w:rPr>
        <w:t xml:space="preserve"> </w:t>
      </w:r>
      <w:r w:rsidR="00033D0F">
        <w:rPr>
          <w:position w:val="1"/>
        </w:rPr>
        <w:t xml:space="preserve">meaning </w:t>
      </w:r>
      <w:r w:rsidR="00033D0F">
        <w:t>of Article 6.4 must be assessed on a case-by-case basis, having regard to all of the relevant circumstances, including the nature of the information in question. Australia submits that all information received, generated, and used during MOFCOM's investigation was readily available to be disclosed to interested parties because: (i) the information was not unreasonably</w:t>
      </w:r>
      <w:r w:rsidR="00033D0F">
        <w:rPr>
          <w:spacing w:val="-5"/>
        </w:rPr>
        <w:t xml:space="preserve"> </w:t>
      </w:r>
      <w:r w:rsidR="00033D0F">
        <w:t>difficult</w:t>
      </w:r>
      <w:r w:rsidR="00033D0F">
        <w:rPr>
          <w:spacing w:val="-6"/>
        </w:rPr>
        <w:t xml:space="preserve"> </w:t>
      </w:r>
      <w:r w:rsidR="00033D0F">
        <w:t>to</w:t>
      </w:r>
      <w:r w:rsidR="00033D0F">
        <w:rPr>
          <w:spacing w:val="-9"/>
        </w:rPr>
        <w:t xml:space="preserve"> </w:t>
      </w:r>
      <w:r w:rsidR="00033D0F">
        <w:t>disclose</w:t>
      </w:r>
      <w:r w:rsidR="00033D0F">
        <w:rPr>
          <w:spacing w:val="-6"/>
        </w:rPr>
        <w:t xml:space="preserve"> </w:t>
      </w:r>
      <w:r w:rsidR="00033D0F">
        <w:t>(in</w:t>
      </w:r>
      <w:r w:rsidR="00033D0F">
        <w:rPr>
          <w:spacing w:val="-8"/>
        </w:rPr>
        <w:t xml:space="preserve"> </w:t>
      </w:r>
      <w:r w:rsidR="00033D0F">
        <w:t>terms</w:t>
      </w:r>
      <w:r w:rsidR="00033D0F">
        <w:rPr>
          <w:spacing w:val="-5"/>
        </w:rPr>
        <w:t xml:space="preserve"> </w:t>
      </w:r>
      <w:r w:rsidR="00033D0F">
        <w:t>of</w:t>
      </w:r>
      <w:r w:rsidR="00033D0F">
        <w:rPr>
          <w:spacing w:val="-8"/>
        </w:rPr>
        <w:t xml:space="preserve"> </w:t>
      </w:r>
      <w:r w:rsidR="00033D0F">
        <w:t>quantity</w:t>
      </w:r>
      <w:r w:rsidR="00033D0F">
        <w:rPr>
          <w:spacing w:val="-5"/>
        </w:rPr>
        <w:t xml:space="preserve"> </w:t>
      </w:r>
      <w:r w:rsidR="00033D0F">
        <w:t>and</w:t>
      </w:r>
      <w:r w:rsidR="00033D0F">
        <w:rPr>
          <w:spacing w:val="-8"/>
        </w:rPr>
        <w:t xml:space="preserve"> </w:t>
      </w:r>
      <w:r w:rsidR="00033D0F">
        <w:t>format);</w:t>
      </w:r>
      <w:r w:rsidR="00033D0F">
        <w:rPr>
          <w:spacing w:val="-9"/>
        </w:rPr>
        <w:t xml:space="preserve"> </w:t>
      </w:r>
      <w:r w:rsidR="00033D0F">
        <w:t>and</w:t>
      </w:r>
      <w:r w:rsidR="00033D0F">
        <w:rPr>
          <w:spacing w:val="-8"/>
        </w:rPr>
        <w:t xml:space="preserve"> </w:t>
      </w:r>
      <w:r w:rsidR="00033D0F">
        <w:t>(ii)</w:t>
      </w:r>
      <w:r w:rsidR="00033D0F">
        <w:rPr>
          <w:spacing w:val="-8"/>
        </w:rPr>
        <w:t xml:space="preserve"> </w:t>
      </w:r>
      <w:r w:rsidR="00033D0F">
        <w:t>time</w:t>
      </w:r>
      <w:r w:rsidR="00033D0F">
        <w:rPr>
          <w:spacing w:val="-6"/>
        </w:rPr>
        <w:t xml:space="preserve"> </w:t>
      </w:r>
      <w:r w:rsidR="00033D0F">
        <w:t>was</w:t>
      </w:r>
      <w:r w:rsidR="00033D0F">
        <w:rPr>
          <w:spacing w:val="-5"/>
        </w:rPr>
        <w:t xml:space="preserve"> </w:t>
      </w:r>
      <w:r w:rsidR="00033D0F">
        <w:t>available in the investigation to disclose the information and provide timely opportunities for the interested</w:t>
      </w:r>
      <w:r w:rsidR="00033D0F">
        <w:rPr>
          <w:spacing w:val="-11"/>
        </w:rPr>
        <w:t xml:space="preserve"> </w:t>
      </w:r>
      <w:r w:rsidR="00033D0F">
        <w:t>parties</w:t>
      </w:r>
      <w:r w:rsidR="00033D0F">
        <w:rPr>
          <w:spacing w:val="-8"/>
        </w:rPr>
        <w:t xml:space="preserve"> </w:t>
      </w:r>
      <w:r w:rsidR="00033D0F">
        <w:t>to</w:t>
      </w:r>
      <w:r w:rsidR="00033D0F">
        <w:rPr>
          <w:spacing w:val="-12"/>
        </w:rPr>
        <w:t xml:space="preserve"> </w:t>
      </w:r>
      <w:r w:rsidR="00033D0F">
        <w:t>see</w:t>
      </w:r>
      <w:r w:rsidR="00033D0F">
        <w:rPr>
          <w:spacing w:val="-9"/>
        </w:rPr>
        <w:t xml:space="preserve"> </w:t>
      </w:r>
      <w:r w:rsidR="00033D0F">
        <w:t>and</w:t>
      </w:r>
      <w:r w:rsidR="00033D0F">
        <w:rPr>
          <w:spacing w:val="-11"/>
        </w:rPr>
        <w:t xml:space="preserve"> </w:t>
      </w:r>
      <w:r w:rsidR="00033D0F">
        <w:t>prepare</w:t>
      </w:r>
      <w:r w:rsidR="00033D0F">
        <w:rPr>
          <w:spacing w:val="-9"/>
        </w:rPr>
        <w:t xml:space="preserve"> </w:t>
      </w:r>
      <w:r w:rsidR="00033D0F">
        <w:t>presentations</w:t>
      </w:r>
      <w:r w:rsidR="00033D0F">
        <w:rPr>
          <w:spacing w:val="-8"/>
        </w:rPr>
        <w:t xml:space="preserve"> </w:t>
      </w:r>
      <w:r w:rsidR="00033D0F">
        <w:t>on</w:t>
      </w:r>
      <w:r w:rsidR="00033D0F">
        <w:rPr>
          <w:spacing w:val="-11"/>
        </w:rPr>
        <w:t xml:space="preserve"> </w:t>
      </w:r>
      <w:r w:rsidR="00033D0F">
        <w:t>the</w:t>
      </w:r>
      <w:r w:rsidR="00033D0F">
        <w:rPr>
          <w:spacing w:val="-9"/>
        </w:rPr>
        <w:t xml:space="preserve"> </w:t>
      </w:r>
      <w:r w:rsidR="00033D0F">
        <w:t>basis</w:t>
      </w:r>
      <w:r w:rsidR="00033D0F">
        <w:rPr>
          <w:spacing w:val="-8"/>
        </w:rPr>
        <w:t xml:space="preserve"> </w:t>
      </w:r>
      <w:r w:rsidR="00033D0F">
        <w:t>of</w:t>
      </w:r>
      <w:r w:rsidR="00033D0F">
        <w:rPr>
          <w:spacing w:val="-11"/>
        </w:rPr>
        <w:t xml:space="preserve"> </w:t>
      </w:r>
      <w:r w:rsidR="00033D0F">
        <w:t>that</w:t>
      </w:r>
      <w:r w:rsidR="00033D0F">
        <w:rPr>
          <w:spacing w:val="-9"/>
        </w:rPr>
        <w:t xml:space="preserve"> </w:t>
      </w:r>
      <w:r w:rsidR="00033D0F">
        <w:t>information.</w:t>
      </w:r>
      <w:r w:rsidR="00033D0F">
        <w:rPr>
          <w:spacing w:val="-8"/>
        </w:rPr>
        <w:t xml:space="preserve"> </w:t>
      </w:r>
      <w:r w:rsidR="00033D0F">
        <w:t>All</w:t>
      </w:r>
      <w:r w:rsidR="00033D0F">
        <w:rPr>
          <w:spacing w:val="-7"/>
        </w:rPr>
        <w:t xml:space="preserve"> </w:t>
      </w:r>
      <w:r w:rsidR="00033D0F">
        <w:t>of</w:t>
      </w:r>
      <w:r w:rsidR="00033D0F">
        <w:rPr>
          <w:spacing w:val="-9"/>
        </w:rPr>
        <w:t xml:space="preserve"> </w:t>
      </w:r>
      <w:r w:rsidR="00033D0F">
        <w:t>the information that Australia identifies in its submissions that should have been disclosed by MOFCOM meets these criteria. China has not demonstrated otherwise.</w:t>
      </w:r>
    </w:p>
    <w:p w14:paraId="5B66BBAF" w14:textId="77777777" w:rsidR="00BD462C" w:rsidRDefault="00BD462C">
      <w:pPr>
        <w:pStyle w:val="BodyText"/>
        <w:spacing w:before="7"/>
        <w:rPr>
          <w:sz w:val="8"/>
        </w:rPr>
      </w:pPr>
    </w:p>
    <w:p w14:paraId="0F3B0EEE" w14:textId="2ACC5BF7" w:rsidR="00BD462C" w:rsidRDefault="00814580">
      <w:pPr>
        <w:pStyle w:val="BodyText"/>
        <w:spacing w:before="56" w:line="357" w:lineRule="auto"/>
        <w:ind w:left="135" w:right="923"/>
      </w:pPr>
      <w:r>
        <w:rPr>
          <w:noProof/>
        </w:rPr>
        <w:t>873.</w:t>
      </w:r>
      <w:r w:rsidR="00033D0F">
        <w:rPr>
          <w:rFonts w:ascii="Times New Roman"/>
          <w:spacing w:val="80"/>
          <w:position w:val="1"/>
          <w:sz w:val="20"/>
        </w:rPr>
        <w:t xml:space="preserve">   </w:t>
      </w:r>
      <w:r w:rsidR="00033D0F">
        <w:rPr>
          <w:position w:val="1"/>
        </w:rPr>
        <w:t>Second,</w:t>
      </w:r>
      <w:r w:rsidR="00033D0F">
        <w:rPr>
          <w:spacing w:val="28"/>
          <w:position w:val="1"/>
        </w:rPr>
        <w:t xml:space="preserve"> </w:t>
      </w:r>
      <w:r w:rsidR="00033D0F">
        <w:rPr>
          <w:position w:val="1"/>
        </w:rPr>
        <w:t>whether</w:t>
      </w:r>
      <w:r w:rsidR="00033D0F">
        <w:rPr>
          <w:spacing w:val="24"/>
          <w:position w:val="1"/>
        </w:rPr>
        <w:t xml:space="preserve"> </w:t>
      </w:r>
      <w:r w:rsidR="00033D0F">
        <w:rPr>
          <w:position w:val="1"/>
        </w:rPr>
        <w:t>information</w:t>
      </w:r>
      <w:r w:rsidR="00033D0F">
        <w:rPr>
          <w:spacing w:val="24"/>
          <w:position w:val="1"/>
        </w:rPr>
        <w:t xml:space="preserve"> </w:t>
      </w:r>
      <w:r w:rsidR="00033D0F">
        <w:rPr>
          <w:position w:val="1"/>
        </w:rPr>
        <w:t>was</w:t>
      </w:r>
      <w:r w:rsidR="00033D0F">
        <w:rPr>
          <w:spacing w:val="28"/>
          <w:position w:val="1"/>
        </w:rPr>
        <w:t xml:space="preserve"> </w:t>
      </w:r>
      <w:r w:rsidR="00033D0F">
        <w:rPr>
          <w:position w:val="1"/>
        </w:rPr>
        <w:t>"used"</w:t>
      </w:r>
      <w:r w:rsidR="00033D0F">
        <w:rPr>
          <w:spacing w:val="26"/>
          <w:position w:val="1"/>
        </w:rPr>
        <w:t xml:space="preserve"> </w:t>
      </w:r>
      <w:r w:rsidR="00033D0F">
        <w:rPr>
          <w:position w:val="1"/>
        </w:rPr>
        <w:t>is</w:t>
      </w:r>
      <w:r w:rsidR="00033D0F">
        <w:rPr>
          <w:spacing w:val="28"/>
          <w:position w:val="1"/>
        </w:rPr>
        <w:t xml:space="preserve"> </w:t>
      </w:r>
      <w:r w:rsidR="00033D0F">
        <w:rPr>
          <w:position w:val="1"/>
        </w:rPr>
        <w:t>to</w:t>
      </w:r>
      <w:r w:rsidR="00033D0F">
        <w:rPr>
          <w:spacing w:val="29"/>
          <w:position w:val="1"/>
        </w:rPr>
        <w:t xml:space="preserve"> </w:t>
      </w:r>
      <w:r w:rsidR="00033D0F">
        <w:rPr>
          <w:position w:val="1"/>
        </w:rPr>
        <w:t>be</w:t>
      </w:r>
      <w:r w:rsidR="00033D0F">
        <w:rPr>
          <w:spacing w:val="26"/>
          <w:position w:val="1"/>
        </w:rPr>
        <w:t xml:space="preserve"> </w:t>
      </w:r>
      <w:r w:rsidR="00033D0F">
        <w:rPr>
          <w:position w:val="1"/>
        </w:rPr>
        <w:t>determined</w:t>
      </w:r>
      <w:r w:rsidR="00033D0F">
        <w:rPr>
          <w:spacing w:val="24"/>
          <w:position w:val="1"/>
        </w:rPr>
        <w:t xml:space="preserve"> </w:t>
      </w:r>
      <w:r w:rsidR="00033D0F">
        <w:rPr>
          <w:position w:val="1"/>
        </w:rPr>
        <w:t>on</w:t>
      </w:r>
      <w:r w:rsidR="00033D0F">
        <w:rPr>
          <w:spacing w:val="29"/>
          <w:position w:val="1"/>
        </w:rPr>
        <w:t xml:space="preserve"> </w:t>
      </w:r>
      <w:r w:rsidR="00033D0F">
        <w:rPr>
          <w:position w:val="1"/>
        </w:rPr>
        <w:t>the</w:t>
      </w:r>
      <w:r w:rsidR="00033D0F">
        <w:rPr>
          <w:spacing w:val="26"/>
          <w:position w:val="1"/>
        </w:rPr>
        <w:t xml:space="preserve"> </w:t>
      </w:r>
      <w:r w:rsidR="00033D0F">
        <w:rPr>
          <w:position w:val="1"/>
        </w:rPr>
        <w:t>basis</w:t>
      </w:r>
      <w:r w:rsidR="00033D0F">
        <w:rPr>
          <w:spacing w:val="28"/>
          <w:position w:val="1"/>
        </w:rPr>
        <w:t xml:space="preserve"> </w:t>
      </w:r>
      <w:r w:rsidR="00033D0F">
        <w:rPr>
          <w:position w:val="1"/>
        </w:rPr>
        <w:t>of</w:t>
      </w:r>
      <w:r w:rsidR="00033D0F">
        <w:rPr>
          <w:spacing w:val="25"/>
          <w:position w:val="1"/>
        </w:rPr>
        <w:t xml:space="preserve"> </w:t>
      </w:r>
      <w:r w:rsidR="00033D0F">
        <w:rPr>
          <w:position w:val="1"/>
        </w:rPr>
        <w:t xml:space="preserve">the </w:t>
      </w:r>
      <w:r w:rsidR="00033D0F">
        <w:t>evidence</w:t>
      </w:r>
      <w:r w:rsidR="00033D0F">
        <w:rPr>
          <w:spacing w:val="-3"/>
        </w:rPr>
        <w:t xml:space="preserve"> </w:t>
      </w:r>
      <w:r w:rsidR="00033D0F">
        <w:t>on</w:t>
      </w:r>
      <w:r w:rsidR="00033D0F">
        <w:rPr>
          <w:spacing w:val="-3"/>
        </w:rPr>
        <w:t xml:space="preserve"> </w:t>
      </w:r>
      <w:r w:rsidR="00033D0F">
        <w:t>the</w:t>
      </w:r>
      <w:r w:rsidR="00033D0F">
        <w:rPr>
          <w:spacing w:val="-2"/>
        </w:rPr>
        <w:t xml:space="preserve"> </w:t>
      </w:r>
      <w:r w:rsidR="00033D0F">
        <w:t>investigation</w:t>
      </w:r>
      <w:r w:rsidR="00033D0F">
        <w:rPr>
          <w:spacing w:val="-3"/>
        </w:rPr>
        <w:t xml:space="preserve"> </w:t>
      </w:r>
      <w:r w:rsidR="00033D0F">
        <w:t>record, viewed</w:t>
      </w:r>
      <w:r w:rsidR="00033D0F">
        <w:rPr>
          <w:spacing w:val="-3"/>
        </w:rPr>
        <w:t xml:space="preserve"> </w:t>
      </w:r>
      <w:r w:rsidR="00033D0F">
        <w:t>in</w:t>
      </w:r>
      <w:r w:rsidR="00033D0F">
        <w:rPr>
          <w:spacing w:val="-3"/>
        </w:rPr>
        <w:t xml:space="preserve"> </w:t>
      </w:r>
      <w:r w:rsidR="00033D0F">
        <w:t>light</w:t>
      </w:r>
      <w:r w:rsidR="00033D0F">
        <w:rPr>
          <w:spacing w:val="-1"/>
        </w:rPr>
        <w:t xml:space="preserve"> </w:t>
      </w:r>
      <w:r w:rsidR="00033D0F">
        <w:t>of</w:t>
      </w:r>
      <w:r w:rsidR="00033D0F">
        <w:rPr>
          <w:spacing w:val="2"/>
        </w:rPr>
        <w:t xml:space="preserve"> </w:t>
      </w:r>
      <w:r w:rsidR="00033D0F">
        <w:t>the</w:t>
      </w:r>
      <w:r w:rsidR="00033D0F">
        <w:rPr>
          <w:spacing w:val="3"/>
        </w:rPr>
        <w:t xml:space="preserve"> </w:t>
      </w:r>
      <w:r w:rsidR="00033D0F">
        <w:t>relevant</w:t>
      </w:r>
      <w:r w:rsidR="00033D0F">
        <w:rPr>
          <w:spacing w:val="-1"/>
        </w:rPr>
        <w:t xml:space="preserve"> </w:t>
      </w:r>
      <w:r w:rsidR="00033D0F">
        <w:t>step</w:t>
      </w:r>
      <w:r w:rsidR="00033D0F">
        <w:rPr>
          <w:spacing w:val="-3"/>
        </w:rPr>
        <w:t xml:space="preserve"> </w:t>
      </w:r>
      <w:r w:rsidR="00033D0F">
        <w:t>in</w:t>
      </w:r>
      <w:r w:rsidR="00033D0F">
        <w:rPr>
          <w:spacing w:val="-3"/>
        </w:rPr>
        <w:t xml:space="preserve"> </w:t>
      </w:r>
      <w:r w:rsidR="00033D0F">
        <w:t>the</w:t>
      </w:r>
      <w:r w:rsidR="00033D0F">
        <w:rPr>
          <w:spacing w:val="-1"/>
        </w:rPr>
        <w:t xml:space="preserve"> </w:t>
      </w:r>
      <w:r w:rsidR="00033D0F">
        <w:t>anti-</w:t>
      </w:r>
      <w:r w:rsidR="00033D0F">
        <w:rPr>
          <w:spacing w:val="-2"/>
        </w:rPr>
        <w:t>dumping</w:t>
      </w:r>
    </w:p>
    <w:p w14:paraId="67B87895" w14:textId="77777777" w:rsidR="00BD462C" w:rsidRDefault="00BD462C">
      <w:pPr>
        <w:pStyle w:val="BodyText"/>
        <w:rPr>
          <w:sz w:val="20"/>
        </w:rPr>
      </w:pPr>
    </w:p>
    <w:p w14:paraId="2AF6C7D8" w14:textId="4E4C24E4" w:rsidR="00BD462C" w:rsidRDefault="00D70C7D">
      <w:pPr>
        <w:pStyle w:val="BodyText"/>
        <w:spacing w:before="1"/>
        <w:rPr>
          <w:sz w:val="18"/>
        </w:rPr>
      </w:pPr>
      <w:r>
        <w:rPr>
          <w:noProof/>
        </w:rPr>
        <mc:AlternateContent>
          <mc:Choice Requires="wps">
            <w:drawing>
              <wp:anchor distT="0" distB="0" distL="0" distR="0" simplePos="0" relativeHeight="487862272" behindDoc="1" locked="0" layoutInCell="1" allowOverlap="1" wp14:anchorId="0AEFED24" wp14:editId="7B6D91FF">
                <wp:simplePos x="0" y="0"/>
                <wp:positionH relativeFrom="page">
                  <wp:posOffset>899160</wp:posOffset>
                </wp:positionH>
                <wp:positionV relativeFrom="paragraph">
                  <wp:posOffset>155575</wp:posOffset>
                </wp:positionV>
                <wp:extent cx="1828800" cy="8890"/>
                <wp:effectExtent l="0" t="0" r="0" b="0"/>
                <wp:wrapTopAndBottom/>
                <wp:docPr id="268" name="docshape5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7D32A2" id="docshape591" o:spid="_x0000_s1026" alt="&quot;&quot;" style="position:absolute;margin-left:70.8pt;margin-top:12.25pt;width:2in;height:.7pt;z-index:-1545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" fillcolor="black" stroked="f">
                <w10:wrap type="topAndBottom" anchorx="page"/>
              </v:rect>
            </w:pict>
          </mc:Fallback>
        </mc:AlternateContent>
      </w:r>
    </w:p>
    <w:p w14:paraId="585D6988" w14:textId="77777777" w:rsidR="00BD462C" w:rsidRDefault="00033D0F">
      <w:pPr>
        <w:spacing w:before="112"/>
        <w:ind w:left="135"/>
        <w:rPr>
          <w:sz w:val="18"/>
        </w:rPr>
      </w:pPr>
      <w:bookmarkStart w:id="1719" w:name="_bookmark1479"/>
      <w:bookmarkEnd w:id="1719"/>
      <w:r>
        <w:rPr>
          <w:position w:val="5"/>
          <w:sz w:val="12"/>
        </w:rPr>
        <w:t>1275</w:t>
      </w:r>
      <w:r>
        <w:rPr>
          <w:spacing w:val="15"/>
          <w:position w:val="5"/>
          <w:sz w:val="12"/>
        </w:rPr>
        <w:t xml:space="preserve"> </w:t>
      </w:r>
      <w:r>
        <w:rPr>
          <w:sz w:val="18"/>
        </w:rPr>
        <w:t>Appellate</w:t>
      </w:r>
      <w:r>
        <w:rPr>
          <w:spacing w:val="-9"/>
          <w:sz w:val="18"/>
        </w:rPr>
        <w:t xml:space="preserve"> </w:t>
      </w:r>
      <w:r>
        <w:rPr>
          <w:sz w:val="18"/>
        </w:rPr>
        <w:t>Body</w:t>
      </w:r>
      <w:r>
        <w:rPr>
          <w:spacing w:val="-5"/>
          <w:sz w:val="18"/>
        </w:rPr>
        <w:t xml:space="preserve"> </w:t>
      </w:r>
      <w:r>
        <w:rPr>
          <w:sz w:val="18"/>
        </w:rPr>
        <w:t>Report,</w:t>
      </w:r>
      <w:r>
        <w:rPr>
          <w:spacing w:val="-2"/>
          <w:sz w:val="18"/>
        </w:rPr>
        <w:t xml:space="preserve"> </w:t>
      </w:r>
      <w:r>
        <w:rPr>
          <w:i/>
          <w:sz w:val="18"/>
        </w:rPr>
        <w:t>EC</w:t>
      </w:r>
      <w:r>
        <w:rPr>
          <w:i/>
          <w:spacing w:val="-4"/>
          <w:sz w:val="18"/>
        </w:rPr>
        <w:t xml:space="preserve"> </w:t>
      </w:r>
      <w:r>
        <w:rPr>
          <w:i/>
          <w:sz w:val="18"/>
        </w:rPr>
        <w:t>– Fasteners</w:t>
      </w:r>
      <w:r>
        <w:rPr>
          <w:i/>
          <w:spacing w:val="-2"/>
          <w:sz w:val="18"/>
        </w:rPr>
        <w:t xml:space="preserve"> </w:t>
      </w:r>
      <w:r>
        <w:rPr>
          <w:i/>
          <w:sz w:val="18"/>
        </w:rPr>
        <w:t>(China)</w:t>
      </w:r>
      <w:r>
        <w:rPr>
          <w:sz w:val="18"/>
        </w:rPr>
        <w:t>,</w:t>
      </w:r>
      <w:r>
        <w:rPr>
          <w:spacing w:val="-2"/>
          <w:sz w:val="18"/>
        </w:rPr>
        <w:t xml:space="preserve"> </w:t>
      </w:r>
      <w:r>
        <w:rPr>
          <w:sz w:val="18"/>
        </w:rPr>
        <w:t>para.</w:t>
      </w:r>
      <w:r>
        <w:rPr>
          <w:spacing w:val="2"/>
          <w:sz w:val="18"/>
        </w:rPr>
        <w:t xml:space="preserve"> </w:t>
      </w:r>
      <w:r>
        <w:rPr>
          <w:spacing w:val="-4"/>
          <w:sz w:val="18"/>
        </w:rPr>
        <w:t>480.</w:t>
      </w:r>
    </w:p>
    <w:p w14:paraId="12A66BDD" w14:textId="77777777" w:rsidR="00BD462C" w:rsidRDefault="00033D0F">
      <w:pPr>
        <w:spacing w:before="1"/>
        <w:ind w:left="135"/>
        <w:rPr>
          <w:sz w:val="18"/>
        </w:rPr>
      </w:pPr>
      <w:bookmarkStart w:id="1720" w:name="_bookmark1480"/>
      <w:bookmarkEnd w:id="1720"/>
      <w:r>
        <w:rPr>
          <w:position w:val="5"/>
          <w:sz w:val="12"/>
        </w:rPr>
        <w:t>1276</w:t>
      </w:r>
      <w:r>
        <w:rPr>
          <w:spacing w:val="13"/>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 xml:space="preserve">para. </w:t>
      </w:r>
      <w:r>
        <w:rPr>
          <w:spacing w:val="-2"/>
          <w:sz w:val="18"/>
        </w:rPr>
        <w:t>2454.</w:t>
      </w:r>
    </w:p>
    <w:p w14:paraId="1584AE84" w14:textId="77777777" w:rsidR="00BD462C" w:rsidRDefault="00BD462C">
      <w:pPr>
        <w:rPr>
          <w:sz w:val="18"/>
        </w:rPr>
        <w:sectPr w:rsidR="00BD462C">
          <w:pgSz w:w="11910" w:h="16840"/>
          <w:pgMar w:top="860" w:right="500" w:bottom="780" w:left="1280" w:header="566" w:footer="590" w:gutter="0"/>
          <w:cols w:space="720"/>
        </w:sectPr>
      </w:pPr>
    </w:p>
    <w:p w14:paraId="1E27BE65"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75BFE442"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5DA4A153"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0FCDD5FB" w14:textId="77777777" w:rsidR="00BD462C" w:rsidRDefault="00033D0F">
      <w:pPr>
        <w:pStyle w:val="BodyText"/>
        <w:spacing w:before="102" w:line="357" w:lineRule="auto"/>
        <w:ind w:left="136" w:right="916"/>
        <w:jc w:val="both"/>
      </w:pPr>
      <w:r>
        <w:t>investigation.</w:t>
      </w:r>
      <w:hyperlink w:anchor="_bookmark1481" w:history="1">
        <w:r>
          <w:rPr>
            <w:vertAlign w:val="superscript"/>
          </w:rPr>
          <w:t>1277</w:t>
        </w:r>
      </w:hyperlink>
      <w:r>
        <w:t xml:space="preserve"> The Appellate Body in </w:t>
      </w:r>
      <w:r>
        <w:rPr>
          <w:i/>
        </w:rPr>
        <w:t xml:space="preserve">EC – Fasteners (China) </w:t>
      </w:r>
      <w:r>
        <w:t>has helpfully discussed the scope of what information is considered to be "used by" the investigating authority.</w:t>
      </w:r>
    </w:p>
    <w:p w14:paraId="6696B614" w14:textId="77777777" w:rsidR="00BD462C" w:rsidRDefault="00033D0F">
      <w:pPr>
        <w:spacing w:before="164" w:line="276" w:lineRule="auto"/>
        <w:ind w:left="984" w:right="913"/>
        <w:jc w:val="both"/>
      </w:pPr>
      <w:r>
        <w:t>[W]</w:t>
      </w:r>
      <w:proofErr w:type="spellStart"/>
      <w:r>
        <w:t>hether</w:t>
      </w:r>
      <w:proofErr w:type="spellEnd"/>
      <w:r>
        <w:t xml:space="preserve"> the information was "used" by the authority does not depend on whether the authority specifically relied on that information. Rather, it depends on whether the information</w:t>
      </w:r>
      <w:r>
        <w:rPr>
          <w:spacing w:val="-13"/>
        </w:rPr>
        <w:t xml:space="preserve"> </w:t>
      </w:r>
      <w:r>
        <w:t>is</w:t>
      </w:r>
      <w:r>
        <w:rPr>
          <w:spacing w:val="-11"/>
        </w:rPr>
        <w:t xml:space="preserve"> </w:t>
      </w:r>
      <w:r>
        <w:t>related</w:t>
      </w:r>
      <w:r>
        <w:rPr>
          <w:spacing w:val="-13"/>
        </w:rPr>
        <w:t xml:space="preserve"> </w:t>
      </w:r>
      <w:r>
        <w:t>to</w:t>
      </w:r>
      <w:r>
        <w:rPr>
          <w:spacing w:val="-7"/>
        </w:rPr>
        <w:t xml:space="preserve"> </w:t>
      </w:r>
      <w:r>
        <w:t>"a</w:t>
      </w:r>
      <w:r>
        <w:rPr>
          <w:spacing w:val="-12"/>
        </w:rPr>
        <w:t xml:space="preserve"> </w:t>
      </w:r>
      <w:r>
        <w:t>required</w:t>
      </w:r>
      <w:r>
        <w:rPr>
          <w:spacing w:val="-13"/>
        </w:rPr>
        <w:t xml:space="preserve"> </w:t>
      </w:r>
      <w:r>
        <w:t>step</w:t>
      </w:r>
      <w:r>
        <w:rPr>
          <w:spacing w:val="-12"/>
        </w:rPr>
        <w:t xml:space="preserve"> </w:t>
      </w:r>
      <w:r>
        <w:t>in</w:t>
      </w:r>
      <w:r>
        <w:rPr>
          <w:spacing w:val="-8"/>
        </w:rPr>
        <w:t xml:space="preserve"> </w:t>
      </w:r>
      <w:r>
        <w:t>the</w:t>
      </w:r>
      <w:r>
        <w:rPr>
          <w:spacing w:val="-11"/>
        </w:rPr>
        <w:t xml:space="preserve"> </w:t>
      </w:r>
      <w:r>
        <w:t>anti-dumping</w:t>
      </w:r>
      <w:r>
        <w:rPr>
          <w:spacing w:val="-10"/>
        </w:rPr>
        <w:t xml:space="preserve"> </w:t>
      </w:r>
      <w:r>
        <w:t>investigation".</w:t>
      </w:r>
      <w:r>
        <w:rPr>
          <w:spacing w:val="-10"/>
        </w:rPr>
        <w:t xml:space="preserve"> </w:t>
      </w:r>
      <w:r>
        <w:t>Thus,</w:t>
      </w:r>
      <w:r>
        <w:rPr>
          <w:spacing w:val="-9"/>
        </w:rPr>
        <w:t xml:space="preserve"> </w:t>
      </w:r>
      <w:r>
        <w:t>Article</w:t>
      </w:r>
      <w:r>
        <w:rPr>
          <w:spacing w:val="-11"/>
        </w:rPr>
        <w:t xml:space="preserve"> </w:t>
      </w:r>
      <w:r>
        <w:t>6.4 concerns information relating to 'issues which the investigating authority is required to consider under the [Anti-Dumping Agreement], or which it does, in fact, consider, in the exercise</w:t>
      </w:r>
      <w:r>
        <w:rPr>
          <w:spacing w:val="-3"/>
        </w:rPr>
        <w:t xml:space="preserve"> </w:t>
      </w:r>
      <w:r>
        <w:t>of</w:t>
      </w:r>
      <w:r>
        <w:rPr>
          <w:spacing w:val="-4"/>
        </w:rPr>
        <w:t xml:space="preserve"> </w:t>
      </w:r>
      <w:r>
        <w:t>its</w:t>
      </w:r>
      <w:r>
        <w:rPr>
          <w:spacing w:val="-3"/>
        </w:rPr>
        <w:t xml:space="preserve"> </w:t>
      </w:r>
      <w:r>
        <w:t>discretion,</w:t>
      </w:r>
      <w:r>
        <w:rPr>
          <w:spacing w:val="-1"/>
        </w:rPr>
        <w:t xml:space="preserve"> </w:t>
      </w:r>
      <w:r>
        <w:t>during</w:t>
      </w:r>
      <w:r>
        <w:rPr>
          <w:spacing w:val="-2"/>
        </w:rPr>
        <w:t xml:space="preserve"> </w:t>
      </w:r>
      <w:r>
        <w:t>the course of</w:t>
      </w:r>
      <w:r>
        <w:rPr>
          <w:spacing w:val="-4"/>
        </w:rPr>
        <w:t xml:space="preserve"> </w:t>
      </w:r>
      <w:r>
        <w:t>an anti-dumping</w:t>
      </w:r>
      <w:r>
        <w:rPr>
          <w:spacing w:val="-2"/>
        </w:rPr>
        <w:t xml:space="preserve"> </w:t>
      </w:r>
      <w:r>
        <w:t>investigation.</w:t>
      </w:r>
      <w:r>
        <w:rPr>
          <w:spacing w:val="-1"/>
        </w:rPr>
        <w:t xml:space="preserve"> </w:t>
      </w:r>
      <w:r>
        <w:t>The</w:t>
      </w:r>
      <w:r>
        <w:rPr>
          <w:spacing w:val="-3"/>
        </w:rPr>
        <w:t xml:space="preserve"> </w:t>
      </w:r>
      <w:r>
        <w:t>interested parties right under Article 6.4, therefore, is to see all non-confidential information relevant to the presentation of their cases and used by the investigating authority. Article 6.4 thus applies</w:t>
      </w:r>
      <w:r>
        <w:rPr>
          <w:spacing w:val="-13"/>
        </w:rPr>
        <w:t xml:space="preserve"> </w:t>
      </w:r>
      <w:r>
        <w:t>to</w:t>
      </w:r>
      <w:r>
        <w:rPr>
          <w:spacing w:val="-12"/>
        </w:rPr>
        <w:t xml:space="preserve"> </w:t>
      </w:r>
      <w:r>
        <w:t>a</w:t>
      </w:r>
      <w:r>
        <w:rPr>
          <w:spacing w:val="-13"/>
        </w:rPr>
        <w:t xml:space="preserve"> </w:t>
      </w:r>
      <w:r>
        <w:t>broad</w:t>
      </w:r>
      <w:r>
        <w:rPr>
          <w:spacing w:val="-12"/>
        </w:rPr>
        <w:t xml:space="preserve"> </w:t>
      </w:r>
      <w:r>
        <w:t>range</w:t>
      </w:r>
      <w:r>
        <w:rPr>
          <w:spacing w:val="-13"/>
        </w:rPr>
        <w:t xml:space="preserve"> </w:t>
      </w:r>
      <w:r>
        <w:t>of</w:t>
      </w:r>
      <w:r>
        <w:rPr>
          <w:spacing w:val="-12"/>
        </w:rPr>
        <w:t xml:space="preserve"> </w:t>
      </w:r>
      <w:r>
        <w:t>information</w:t>
      </w:r>
      <w:r>
        <w:rPr>
          <w:spacing w:val="-13"/>
        </w:rPr>
        <w:t xml:space="preserve"> </w:t>
      </w:r>
      <w:r>
        <w:t>that</w:t>
      </w:r>
      <w:r>
        <w:rPr>
          <w:spacing w:val="-12"/>
        </w:rPr>
        <w:t xml:space="preserve"> </w:t>
      </w:r>
      <w:r>
        <w:t>is</w:t>
      </w:r>
      <w:r>
        <w:rPr>
          <w:spacing w:val="-12"/>
        </w:rPr>
        <w:t xml:space="preserve"> </w:t>
      </w:r>
      <w:r>
        <w:t>used</w:t>
      </w:r>
      <w:r>
        <w:rPr>
          <w:spacing w:val="-13"/>
        </w:rPr>
        <w:t xml:space="preserve"> </w:t>
      </w:r>
      <w:r>
        <w:t>by</w:t>
      </w:r>
      <w:r>
        <w:rPr>
          <w:spacing w:val="-11"/>
        </w:rPr>
        <w:t xml:space="preserve"> </w:t>
      </w:r>
      <w:r>
        <w:t>an</w:t>
      </w:r>
      <w:r>
        <w:rPr>
          <w:spacing w:val="-12"/>
        </w:rPr>
        <w:t xml:space="preserve"> </w:t>
      </w:r>
      <w:r>
        <w:t>investigating</w:t>
      </w:r>
      <w:r>
        <w:rPr>
          <w:spacing w:val="-10"/>
        </w:rPr>
        <w:t xml:space="preserve"> </w:t>
      </w:r>
      <w:r>
        <w:t>authority</w:t>
      </w:r>
      <w:r>
        <w:rPr>
          <w:spacing w:val="-11"/>
        </w:rPr>
        <w:t xml:space="preserve"> </w:t>
      </w:r>
      <w:r>
        <w:t>for</w:t>
      </w:r>
      <w:r>
        <w:rPr>
          <w:spacing w:val="-12"/>
        </w:rPr>
        <w:t xml:space="preserve"> </w:t>
      </w:r>
      <w:r>
        <w:t>purposes of carrying out a required step in an anti-dumping investigation. …</w:t>
      </w:r>
      <w:r>
        <w:rPr>
          <w:spacing w:val="-2"/>
        </w:rPr>
        <w:t xml:space="preserve"> </w:t>
      </w:r>
      <w:r>
        <w:t>In sum, under Article 6.4 of the Anti-Dumping Agreement, what information is considered 'relevant to the presentation of [the interested parties'] cases' and "used by the authorities" would depend on the specific "step" of the anti-dumping investigation and the particular issue before the investigating authority.</w:t>
      </w:r>
      <w:hyperlink w:anchor="_bookmark1482" w:history="1">
        <w:r>
          <w:rPr>
            <w:vertAlign w:val="superscript"/>
          </w:rPr>
          <w:t>1278</w:t>
        </w:r>
      </w:hyperlink>
    </w:p>
    <w:p w14:paraId="3ED40A70" w14:textId="77777777" w:rsidR="00BD462C" w:rsidRDefault="00BD462C">
      <w:pPr>
        <w:pStyle w:val="BodyText"/>
        <w:spacing w:before="6"/>
        <w:rPr>
          <w:sz w:val="15"/>
        </w:rPr>
      </w:pPr>
    </w:p>
    <w:p w14:paraId="67A1371D" w14:textId="2CCADD9A" w:rsidR="00BD462C" w:rsidRDefault="00814580">
      <w:pPr>
        <w:pStyle w:val="BodyText"/>
        <w:spacing w:before="56" w:line="360" w:lineRule="auto"/>
        <w:ind w:left="135" w:right="913"/>
        <w:jc w:val="both"/>
      </w:pPr>
      <w:r>
        <w:rPr>
          <w:noProof/>
        </w:rPr>
        <w:t>874.</w:t>
      </w:r>
      <w:r w:rsidR="00033D0F">
        <w:rPr>
          <w:rFonts w:ascii="Times New Roman"/>
          <w:spacing w:val="80"/>
          <w:w w:val="150"/>
          <w:position w:val="1"/>
          <w:sz w:val="20"/>
        </w:rPr>
        <w:t xml:space="preserve">  </w:t>
      </w:r>
      <w:r w:rsidR="00033D0F">
        <w:rPr>
          <w:position w:val="1"/>
        </w:rPr>
        <w:t xml:space="preserve">As such, whether information was "used by" the investigating authority will depend </w:t>
      </w:r>
      <w:r w:rsidR="00033D0F">
        <w:t>on the specific circumstances of each case. It is insufficient to merely assert, as China does, that MOFCOM considered it was not "used" as a response to Australia's claims. As Australia detailed in its prior submissions, the "information" identified was indeed "used by" the investigating authority in this case.</w:t>
      </w:r>
      <w:hyperlink w:anchor="_bookmark1483" w:history="1">
        <w:r w:rsidR="00033D0F">
          <w:rPr>
            <w:vertAlign w:val="superscript"/>
          </w:rPr>
          <w:t>1279</w:t>
        </w:r>
      </w:hyperlink>
    </w:p>
    <w:p w14:paraId="2ECC37DE" w14:textId="77777777" w:rsidR="00BD462C" w:rsidRDefault="00BD462C">
      <w:pPr>
        <w:pStyle w:val="BodyText"/>
        <w:spacing w:before="6"/>
        <w:rPr>
          <w:sz w:val="8"/>
        </w:rPr>
      </w:pPr>
    </w:p>
    <w:p w14:paraId="6B87FB70" w14:textId="5101A138" w:rsidR="00BD462C" w:rsidRDefault="00814580">
      <w:pPr>
        <w:pStyle w:val="BodyText"/>
        <w:spacing w:before="56" w:line="360" w:lineRule="auto"/>
        <w:ind w:left="135" w:right="910"/>
        <w:jc w:val="both"/>
      </w:pPr>
      <w:r>
        <w:rPr>
          <w:noProof/>
        </w:rPr>
        <w:t>875.</w:t>
      </w:r>
      <w:r w:rsidR="00033D0F">
        <w:rPr>
          <w:rFonts w:ascii="Times New Roman"/>
          <w:spacing w:val="40"/>
          <w:position w:val="1"/>
          <w:sz w:val="20"/>
        </w:rPr>
        <w:t xml:space="preserve">  </w:t>
      </w:r>
      <w:r w:rsidR="00033D0F">
        <w:rPr>
          <w:position w:val="1"/>
        </w:rPr>
        <w:t>Finally,</w:t>
      </w:r>
      <w:r w:rsidR="00033D0F">
        <w:rPr>
          <w:spacing w:val="40"/>
          <w:position w:val="1"/>
        </w:rPr>
        <w:t xml:space="preserve"> </w:t>
      </w:r>
      <w:r w:rsidR="00033D0F">
        <w:rPr>
          <w:position w:val="1"/>
        </w:rPr>
        <w:t>since</w:t>
      </w:r>
      <w:r w:rsidR="00033D0F">
        <w:rPr>
          <w:spacing w:val="40"/>
          <w:position w:val="1"/>
        </w:rPr>
        <w:t xml:space="preserve"> </w:t>
      </w:r>
      <w:r w:rsidR="00033D0F">
        <w:rPr>
          <w:position w:val="1"/>
        </w:rPr>
        <w:t>MOFCOM</w:t>
      </w:r>
      <w:r w:rsidR="00033D0F">
        <w:rPr>
          <w:spacing w:val="40"/>
          <w:position w:val="1"/>
        </w:rPr>
        <w:t xml:space="preserve"> </w:t>
      </w:r>
      <w:r w:rsidR="00033D0F">
        <w:rPr>
          <w:position w:val="1"/>
        </w:rPr>
        <w:t>failed</w:t>
      </w:r>
      <w:r w:rsidR="00033D0F">
        <w:rPr>
          <w:spacing w:val="40"/>
          <w:position w:val="1"/>
        </w:rPr>
        <w:t xml:space="preserve"> </w:t>
      </w:r>
      <w:r w:rsidR="00033D0F">
        <w:rPr>
          <w:position w:val="1"/>
        </w:rPr>
        <w:t>to</w:t>
      </w:r>
      <w:r w:rsidR="00033D0F">
        <w:rPr>
          <w:spacing w:val="40"/>
          <w:position w:val="1"/>
        </w:rPr>
        <w:t xml:space="preserve"> </w:t>
      </w:r>
      <w:r w:rsidR="00033D0F">
        <w:rPr>
          <w:position w:val="1"/>
        </w:rPr>
        <w:t>assess</w:t>
      </w:r>
      <w:r w:rsidR="00033D0F">
        <w:rPr>
          <w:spacing w:val="40"/>
          <w:position w:val="1"/>
        </w:rPr>
        <w:t xml:space="preserve"> </w:t>
      </w:r>
      <w:r w:rsidR="00033D0F">
        <w:rPr>
          <w:position w:val="1"/>
        </w:rPr>
        <w:t>whether</w:t>
      </w:r>
      <w:r w:rsidR="00033D0F">
        <w:rPr>
          <w:spacing w:val="40"/>
          <w:position w:val="1"/>
        </w:rPr>
        <w:t xml:space="preserve"> </w:t>
      </w:r>
      <w:r w:rsidR="00033D0F">
        <w:rPr>
          <w:position w:val="1"/>
        </w:rPr>
        <w:t>good</w:t>
      </w:r>
      <w:r w:rsidR="00033D0F">
        <w:rPr>
          <w:spacing w:val="40"/>
          <w:position w:val="1"/>
        </w:rPr>
        <w:t xml:space="preserve"> </w:t>
      </w:r>
      <w:r w:rsidR="00033D0F">
        <w:rPr>
          <w:position w:val="1"/>
        </w:rPr>
        <w:t>cause</w:t>
      </w:r>
      <w:r w:rsidR="00033D0F">
        <w:rPr>
          <w:spacing w:val="40"/>
          <w:position w:val="1"/>
        </w:rPr>
        <w:t xml:space="preserve"> </w:t>
      </w:r>
      <w:r w:rsidR="00033D0F">
        <w:rPr>
          <w:position w:val="1"/>
        </w:rPr>
        <w:t>for</w:t>
      </w:r>
      <w:r w:rsidR="00033D0F">
        <w:rPr>
          <w:spacing w:val="40"/>
          <w:position w:val="1"/>
        </w:rPr>
        <w:t xml:space="preserve"> </w:t>
      </w:r>
      <w:r w:rsidR="00033D0F">
        <w:rPr>
          <w:position w:val="1"/>
        </w:rPr>
        <w:t xml:space="preserve">confidential </w:t>
      </w:r>
      <w:r w:rsidR="00033D0F">
        <w:t>treatment</w:t>
      </w:r>
      <w:r w:rsidR="00033D0F">
        <w:rPr>
          <w:spacing w:val="-10"/>
        </w:rPr>
        <w:t xml:space="preserve"> </w:t>
      </w:r>
      <w:r w:rsidR="00033D0F">
        <w:t>existed</w:t>
      </w:r>
      <w:r w:rsidR="00033D0F">
        <w:rPr>
          <w:spacing w:val="-13"/>
        </w:rPr>
        <w:t xml:space="preserve"> </w:t>
      </w:r>
      <w:r w:rsidR="00033D0F">
        <w:t>within</w:t>
      </w:r>
      <w:r w:rsidR="00033D0F">
        <w:rPr>
          <w:spacing w:val="-13"/>
        </w:rPr>
        <w:t xml:space="preserve"> </w:t>
      </w:r>
      <w:r w:rsidR="00033D0F">
        <w:t>the</w:t>
      </w:r>
      <w:r w:rsidR="00033D0F">
        <w:rPr>
          <w:spacing w:val="-11"/>
        </w:rPr>
        <w:t xml:space="preserve"> </w:t>
      </w:r>
      <w:r w:rsidR="00033D0F">
        <w:t>meaning</w:t>
      </w:r>
      <w:r w:rsidR="00033D0F">
        <w:rPr>
          <w:spacing w:val="-9"/>
        </w:rPr>
        <w:t xml:space="preserve"> </w:t>
      </w:r>
      <w:r w:rsidR="00033D0F">
        <w:t>of</w:t>
      </w:r>
      <w:r w:rsidR="00033D0F">
        <w:rPr>
          <w:spacing w:val="-13"/>
        </w:rPr>
        <w:t xml:space="preserve"> </w:t>
      </w:r>
      <w:r w:rsidR="00033D0F">
        <w:t>Article</w:t>
      </w:r>
      <w:r w:rsidR="00033D0F">
        <w:rPr>
          <w:spacing w:val="-11"/>
        </w:rPr>
        <w:t xml:space="preserve"> </w:t>
      </w:r>
      <w:r w:rsidR="00033D0F">
        <w:t>6.5,</w:t>
      </w:r>
      <w:r w:rsidR="00033D0F">
        <w:rPr>
          <w:spacing w:val="-9"/>
        </w:rPr>
        <w:t xml:space="preserve"> </w:t>
      </w:r>
      <w:r w:rsidR="00033D0F">
        <w:t>it</w:t>
      </w:r>
      <w:r w:rsidR="00033D0F">
        <w:rPr>
          <w:spacing w:val="-10"/>
        </w:rPr>
        <w:t xml:space="preserve"> </w:t>
      </w:r>
      <w:r w:rsidR="00033D0F">
        <w:t>could</w:t>
      </w:r>
      <w:r w:rsidR="00033D0F">
        <w:rPr>
          <w:spacing w:val="-13"/>
        </w:rPr>
        <w:t xml:space="preserve"> </w:t>
      </w:r>
      <w:r w:rsidR="00033D0F">
        <w:t>not</w:t>
      </w:r>
      <w:r w:rsidR="00033D0F">
        <w:rPr>
          <w:spacing w:val="-10"/>
        </w:rPr>
        <w:t xml:space="preserve"> </w:t>
      </w:r>
      <w:r w:rsidR="00033D0F">
        <w:t>have</w:t>
      </w:r>
      <w:r w:rsidR="00033D0F">
        <w:rPr>
          <w:spacing w:val="-11"/>
        </w:rPr>
        <w:t xml:space="preserve"> </w:t>
      </w:r>
      <w:r w:rsidR="00033D0F">
        <w:t>been</w:t>
      </w:r>
      <w:r w:rsidR="00033D0F">
        <w:rPr>
          <w:spacing w:val="-8"/>
        </w:rPr>
        <w:t xml:space="preserve"> </w:t>
      </w:r>
      <w:r w:rsidR="00033D0F">
        <w:t>satisfied</w:t>
      </w:r>
      <w:r w:rsidR="00033D0F">
        <w:rPr>
          <w:spacing w:val="-13"/>
        </w:rPr>
        <w:t xml:space="preserve"> </w:t>
      </w:r>
      <w:r w:rsidR="00033D0F">
        <w:t>that</w:t>
      </w:r>
      <w:r w:rsidR="00033D0F">
        <w:rPr>
          <w:spacing w:val="-10"/>
        </w:rPr>
        <w:t xml:space="preserve"> </w:t>
      </w:r>
      <w:r w:rsidR="00033D0F">
        <w:t>there was a basis for withholding the information under Article 6.4. While Australia acknowledges that this would not automatically result in a violation of Article 6.4, it is clear that whether information is "not confidential" cannot solely be determined from the perspective of the investigating authority.</w:t>
      </w:r>
    </w:p>
    <w:p w14:paraId="5AC5F5F1" w14:textId="77777777" w:rsidR="00BD462C" w:rsidRDefault="00BD462C">
      <w:pPr>
        <w:pStyle w:val="BodyText"/>
        <w:rPr>
          <w:sz w:val="20"/>
        </w:rPr>
      </w:pPr>
    </w:p>
    <w:p w14:paraId="7778FAEF" w14:textId="77777777" w:rsidR="00BD462C" w:rsidRDefault="00BD462C">
      <w:pPr>
        <w:pStyle w:val="BodyText"/>
        <w:rPr>
          <w:sz w:val="20"/>
        </w:rPr>
      </w:pPr>
    </w:p>
    <w:p w14:paraId="773FA19A" w14:textId="77777777" w:rsidR="00BD462C" w:rsidRDefault="00BD462C">
      <w:pPr>
        <w:pStyle w:val="BodyText"/>
        <w:rPr>
          <w:sz w:val="20"/>
        </w:rPr>
      </w:pPr>
    </w:p>
    <w:p w14:paraId="5F2777AC" w14:textId="77777777" w:rsidR="00BD462C" w:rsidRDefault="00BD462C">
      <w:pPr>
        <w:pStyle w:val="BodyText"/>
        <w:rPr>
          <w:sz w:val="20"/>
        </w:rPr>
      </w:pPr>
    </w:p>
    <w:p w14:paraId="0826DC87" w14:textId="77777777" w:rsidR="00BD462C" w:rsidRDefault="00BD462C">
      <w:pPr>
        <w:pStyle w:val="BodyText"/>
        <w:rPr>
          <w:sz w:val="20"/>
        </w:rPr>
      </w:pPr>
    </w:p>
    <w:p w14:paraId="55E6CEC1" w14:textId="77777777" w:rsidR="00BD462C" w:rsidRDefault="00BD462C">
      <w:pPr>
        <w:pStyle w:val="BodyText"/>
        <w:rPr>
          <w:sz w:val="20"/>
        </w:rPr>
      </w:pPr>
    </w:p>
    <w:p w14:paraId="1296A64C" w14:textId="77777777" w:rsidR="00BD462C" w:rsidRDefault="00BD462C">
      <w:pPr>
        <w:pStyle w:val="BodyText"/>
        <w:rPr>
          <w:sz w:val="20"/>
        </w:rPr>
      </w:pPr>
    </w:p>
    <w:p w14:paraId="38765F77" w14:textId="77777777" w:rsidR="00BD462C" w:rsidRDefault="00BD462C">
      <w:pPr>
        <w:pStyle w:val="BodyText"/>
        <w:rPr>
          <w:sz w:val="20"/>
        </w:rPr>
      </w:pPr>
    </w:p>
    <w:p w14:paraId="3039385D" w14:textId="714B0DB1" w:rsidR="00BD462C" w:rsidRDefault="00D70C7D">
      <w:pPr>
        <w:pStyle w:val="BodyText"/>
        <w:spacing w:before="11"/>
        <w:rPr>
          <w:sz w:val="28"/>
        </w:rPr>
      </w:pPr>
      <w:r>
        <w:rPr>
          <w:noProof/>
        </w:rPr>
        <mc:AlternateContent>
          <mc:Choice Requires="wps">
            <w:drawing>
              <wp:anchor distT="0" distB="0" distL="0" distR="0" simplePos="0" relativeHeight="487862784" behindDoc="1" locked="0" layoutInCell="1" allowOverlap="1" wp14:anchorId="4B9BDD28" wp14:editId="1AB78342">
                <wp:simplePos x="0" y="0"/>
                <wp:positionH relativeFrom="page">
                  <wp:posOffset>899160</wp:posOffset>
                </wp:positionH>
                <wp:positionV relativeFrom="paragraph">
                  <wp:posOffset>239395</wp:posOffset>
                </wp:positionV>
                <wp:extent cx="1828800" cy="8890"/>
                <wp:effectExtent l="0" t="0" r="0" b="0"/>
                <wp:wrapTopAndBottom/>
                <wp:docPr id="266" name="docshape5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A0414A" id="docshape592" o:spid="_x0000_s1026" alt="&quot;&quot;" style="position:absolute;margin-left:70.8pt;margin-top:18.85pt;width:2in;height:.7pt;z-index:-15453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" fillcolor="black" stroked="f">
                <w10:wrap type="topAndBottom" anchorx="page"/>
              </v:rect>
            </w:pict>
          </mc:Fallback>
        </mc:AlternateContent>
      </w:r>
    </w:p>
    <w:p w14:paraId="1E34235A" w14:textId="77777777" w:rsidR="00BD462C" w:rsidRDefault="00033D0F">
      <w:pPr>
        <w:spacing w:before="112"/>
        <w:ind w:left="135" w:right="4761"/>
        <w:jc w:val="both"/>
        <w:rPr>
          <w:sz w:val="18"/>
        </w:rPr>
      </w:pPr>
      <w:bookmarkStart w:id="1721" w:name="_bookmark1481"/>
      <w:bookmarkEnd w:id="1721"/>
      <w:r>
        <w:rPr>
          <w:position w:val="5"/>
          <w:sz w:val="12"/>
        </w:rPr>
        <w:t>1277</w:t>
      </w:r>
      <w:r>
        <w:rPr>
          <w:spacing w:val="14"/>
          <w:position w:val="5"/>
          <w:sz w:val="12"/>
        </w:rPr>
        <w:t xml:space="preserve"> </w:t>
      </w:r>
      <w:r>
        <w:rPr>
          <w:sz w:val="18"/>
        </w:rPr>
        <w:t>Appellate</w:t>
      </w:r>
      <w:r>
        <w:rPr>
          <w:spacing w:val="-9"/>
          <w:sz w:val="18"/>
        </w:rPr>
        <w:t xml:space="preserve"> </w:t>
      </w:r>
      <w:r>
        <w:rPr>
          <w:sz w:val="18"/>
        </w:rPr>
        <w:t>Body</w:t>
      </w:r>
      <w:r>
        <w:rPr>
          <w:spacing w:val="-6"/>
          <w:sz w:val="18"/>
        </w:rPr>
        <w:t xml:space="preserve"> </w:t>
      </w:r>
      <w:r>
        <w:rPr>
          <w:sz w:val="18"/>
        </w:rPr>
        <w:t>Report,</w:t>
      </w:r>
      <w:r>
        <w:rPr>
          <w:spacing w:val="-2"/>
          <w:sz w:val="18"/>
        </w:rPr>
        <w:t xml:space="preserve"> </w:t>
      </w:r>
      <w:r>
        <w:rPr>
          <w:i/>
          <w:sz w:val="18"/>
        </w:rPr>
        <w:t>EC</w:t>
      </w:r>
      <w:r>
        <w:rPr>
          <w:i/>
          <w:spacing w:val="-4"/>
          <w:sz w:val="18"/>
        </w:rPr>
        <w:t xml:space="preserve"> </w:t>
      </w:r>
      <w:r>
        <w:rPr>
          <w:i/>
          <w:sz w:val="18"/>
        </w:rPr>
        <w:t>– Fasteners</w:t>
      </w:r>
      <w:r>
        <w:rPr>
          <w:i/>
          <w:spacing w:val="-4"/>
          <w:sz w:val="18"/>
        </w:rPr>
        <w:t xml:space="preserve"> </w:t>
      </w:r>
      <w:r>
        <w:rPr>
          <w:i/>
          <w:sz w:val="18"/>
        </w:rPr>
        <w:t>(China)</w:t>
      </w:r>
      <w:r>
        <w:rPr>
          <w:sz w:val="18"/>
        </w:rPr>
        <w:t>,</w:t>
      </w:r>
      <w:r>
        <w:rPr>
          <w:spacing w:val="-2"/>
          <w:sz w:val="18"/>
        </w:rPr>
        <w:t xml:space="preserve"> </w:t>
      </w:r>
      <w:r>
        <w:rPr>
          <w:sz w:val="18"/>
        </w:rPr>
        <w:t>paras.</w:t>
      </w:r>
      <w:r>
        <w:rPr>
          <w:spacing w:val="-3"/>
          <w:sz w:val="18"/>
        </w:rPr>
        <w:t xml:space="preserve"> </w:t>
      </w:r>
      <w:r>
        <w:rPr>
          <w:sz w:val="18"/>
        </w:rPr>
        <w:t xml:space="preserve">479-480, 485. </w:t>
      </w:r>
      <w:bookmarkStart w:id="1722" w:name="_bookmark1482"/>
      <w:bookmarkEnd w:id="1722"/>
      <w:r>
        <w:rPr>
          <w:position w:val="5"/>
          <w:sz w:val="12"/>
        </w:rPr>
        <w:t>1278</w:t>
      </w:r>
      <w:r>
        <w:rPr>
          <w:spacing w:val="14"/>
          <w:position w:val="5"/>
          <w:sz w:val="12"/>
        </w:rPr>
        <w:t xml:space="preserve"> </w:t>
      </w:r>
      <w:r>
        <w:rPr>
          <w:sz w:val="18"/>
        </w:rPr>
        <w:t>Appellate</w:t>
      </w:r>
      <w:r>
        <w:rPr>
          <w:spacing w:val="-9"/>
          <w:sz w:val="18"/>
        </w:rPr>
        <w:t xml:space="preserve"> </w:t>
      </w:r>
      <w:r>
        <w:rPr>
          <w:sz w:val="18"/>
        </w:rPr>
        <w:t>Body</w:t>
      </w:r>
      <w:r>
        <w:rPr>
          <w:spacing w:val="-6"/>
          <w:sz w:val="18"/>
        </w:rPr>
        <w:t xml:space="preserve"> </w:t>
      </w:r>
      <w:r>
        <w:rPr>
          <w:sz w:val="18"/>
        </w:rPr>
        <w:t>Report,</w:t>
      </w:r>
      <w:r>
        <w:rPr>
          <w:spacing w:val="-2"/>
          <w:sz w:val="18"/>
        </w:rPr>
        <w:t xml:space="preserve"> </w:t>
      </w:r>
      <w:r>
        <w:rPr>
          <w:i/>
          <w:sz w:val="18"/>
        </w:rPr>
        <w:t>EC</w:t>
      </w:r>
      <w:r>
        <w:rPr>
          <w:i/>
          <w:spacing w:val="-4"/>
          <w:sz w:val="18"/>
        </w:rPr>
        <w:t xml:space="preserve"> </w:t>
      </w:r>
      <w:r>
        <w:rPr>
          <w:i/>
          <w:sz w:val="18"/>
        </w:rPr>
        <w:t>– Fasteners</w:t>
      </w:r>
      <w:r>
        <w:rPr>
          <w:i/>
          <w:spacing w:val="-4"/>
          <w:sz w:val="18"/>
        </w:rPr>
        <w:t xml:space="preserve"> </w:t>
      </w:r>
      <w:r>
        <w:rPr>
          <w:i/>
          <w:sz w:val="18"/>
        </w:rPr>
        <w:t>(China)</w:t>
      </w:r>
      <w:r>
        <w:rPr>
          <w:sz w:val="18"/>
        </w:rPr>
        <w:t>,</w:t>
      </w:r>
      <w:r>
        <w:rPr>
          <w:spacing w:val="-2"/>
          <w:sz w:val="18"/>
        </w:rPr>
        <w:t xml:space="preserve"> </w:t>
      </w:r>
      <w:r>
        <w:rPr>
          <w:sz w:val="18"/>
        </w:rPr>
        <w:t>paras.</w:t>
      </w:r>
      <w:r>
        <w:rPr>
          <w:spacing w:val="-3"/>
          <w:sz w:val="18"/>
        </w:rPr>
        <w:t xml:space="preserve"> </w:t>
      </w:r>
      <w:r>
        <w:rPr>
          <w:sz w:val="18"/>
        </w:rPr>
        <w:t xml:space="preserve">479-480, 485. </w:t>
      </w:r>
      <w:bookmarkStart w:id="1723" w:name="_bookmark1483"/>
      <w:bookmarkEnd w:id="1723"/>
      <w:r>
        <w:rPr>
          <w:position w:val="5"/>
          <w:sz w:val="12"/>
        </w:rPr>
        <w:t>1279</w:t>
      </w:r>
      <w:r>
        <w:rPr>
          <w:spacing w:val="40"/>
          <w:position w:val="5"/>
          <w:sz w:val="12"/>
        </w:rPr>
        <w:t xml:space="preserve"> </w:t>
      </w:r>
      <w:r>
        <w:rPr>
          <w:sz w:val="18"/>
        </w:rPr>
        <w:t>Australia's first written submission, paras. 972-1008.</w:t>
      </w:r>
    </w:p>
    <w:p w14:paraId="513CE5D2" w14:textId="77777777" w:rsidR="00BD462C" w:rsidRDefault="00BD462C">
      <w:pPr>
        <w:jc w:val="both"/>
        <w:rPr>
          <w:sz w:val="18"/>
        </w:rPr>
        <w:sectPr w:rsidR="00BD462C">
          <w:pgSz w:w="11910" w:h="16840"/>
          <w:pgMar w:top="860" w:right="500" w:bottom="780" w:left="1280" w:header="566" w:footer="590" w:gutter="0"/>
          <w:cols w:space="720"/>
        </w:sectPr>
      </w:pPr>
    </w:p>
    <w:p w14:paraId="284996FC"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2A321864"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5EDE7BCF"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184098FB" w14:textId="77777777" w:rsidR="00BD462C" w:rsidRDefault="00033D0F">
      <w:pPr>
        <w:pStyle w:val="Heading3"/>
        <w:numPr>
          <w:ilvl w:val="0"/>
          <w:numId w:val="20"/>
        </w:numPr>
        <w:tabs>
          <w:tab w:val="left" w:pos="2689"/>
          <w:tab w:val="left" w:pos="2690"/>
        </w:tabs>
        <w:spacing w:line="357" w:lineRule="auto"/>
        <w:ind w:right="918"/>
      </w:pPr>
      <w:bookmarkStart w:id="1724" w:name="3._MOFCOM_failed_to_provide_opportunitie"/>
      <w:bookmarkStart w:id="1725" w:name="_bookmark1484"/>
      <w:bookmarkEnd w:id="1724"/>
      <w:bookmarkEnd w:id="1725"/>
      <w:r>
        <w:t>MOFCOM</w:t>
      </w:r>
      <w:r>
        <w:rPr>
          <w:spacing w:val="-6"/>
        </w:rPr>
        <w:t xml:space="preserve"> </w:t>
      </w:r>
      <w:r>
        <w:t>failed</w:t>
      </w:r>
      <w:r>
        <w:rPr>
          <w:spacing w:val="-6"/>
        </w:rPr>
        <w:t xml:space="preserve"> </w:t>
      </w:r>
      <w:r>
        <w:t>to</w:t>
      </w:r>
      <w:r>
        <w:rPr>
          <w:spacing w:val="-6"/>
        </w:rPr>
        <w:t xml:space="preserve"> </w:t>
      </w:r>
      <w:r>
        <w:t>provide</w:t>
      </w:r>
      <w:r>
        <w:rPr>
          <w:spacing w:val="-8"/>
        </w:rPr>
        <w:t xml:space="preserve"> </w:t>
      </w:r>
      <w:r>
        <w:t>opportunities</w:t>
      </w:r>
      <w:r>
        <w:rPr>
          <w:spacing w:val="-7"/>
        </w:rPr>
        <w:t xml:space="preserve"> </w:t>
      </w:r>
      <w:r>
        <w:t>for</w:t>
      </w:r>
      <w:r>
        <w:rPr>
          <w:spacing w:val="-6"/>
        </w:rPr>
        <w:t xml:space="preserve"> </w:t>
      </w:r>
      <w:r>
        <w:t>interested</w:t>
      </w:r>
      <w:r>
        <w:rPr>
          <w:spacing w:val="-6"/>
        </w:rPr>
        <w:t xml:space="preserve"> </w:t>
      </w:r>
      <w:r>
        <w:t>parties</w:t>
      </w:r>
      <w:r>
        <w:rPr>
          <w:spacing w:val="-7"/>
        </w:rPr>
        <w:t xml:space="preserve"> </w:t>
      </w:r>
      <w:r>
        <w:t>to see information relevant to their cases</w:t>
      </w:r>
    </w:p>
    <w:p w14:paraId="0139946D" w14:textId="77777777" w:rsidR="00BD462C" w:rsidRDefault="00033D0F">
      <w:pPr>
        <w:pStyle w:val="ListParagraph"/>
        <w:numPr>
          <w:ilvl w:val="1"/>
          <w:numId w:val="20"/>
        </w:numPr>
        <w:tabs>
          <w:tab w:val="left" w:pos="2972"/>
          <w:tab w:val="left" w:pos="2973"/>
        </w:tabs>
        <w:spacing w:before="164" w:line="360" w:lineRule="auto"/>
        <w:ind w:right="913"/>
        <w:jc w:val="both"/>
        <w:rPr>
          <w:sz w:val="24"/>
        </w:rPr>
      </w:pPr>
      <w:bookmarkStart w:id="1726" w:name="(a)_Calculation_of_the_production_of_dom"/>
      <w:bookmarkEnd w:id="1726"/>
      <w:r>
        <w:rPr>
          <w:sz w:val="24"/>
          <w:u w:val="single"/>
        </w:rPr>
        <w:t>Calculation of the production of domestic industry and the</w:t>
      </w:r>
      <w:r>
        <w:rPr>
          <w:sz w:val="24"/>
        </w:rPr>
        <w:t xml:space="preserve"> </w:t>
      </w:r>
      <w:r>
        <w:rPr>
          <w:sz w:val="24"/>
          <w:u w:val="single"/>
        </w:rPr>
        <w:t>proportion</w:t>
      </w:r>
      <w:r>
        <w:rPr>
          <w:spacing w:val="-7"/>
          <w:sz w:val="24"/>
          <w:u w:val="single"/>
        </w:rPr>
        <w:t xml:space="preserve"> </w:t>
      </w:r>
      <w:r>
        <w:rPr>
          <w:sz w:val="24"/>
          <w:u w:val="single"/>
        </w:rPr>
        <w:t>of</w:t>
      </w:r>
      <w:r>
        <w:rPr>
          <w:spacing w:val="-12"/>
          <w:sz w:val="24"/>
          <w:u w:val="single"/>
        </w:rPr>
        <w:t xml:space="preserve"> </w:t>
      </w:r>
      <w:r>
        <w:rPr>
          <w:sz w:val="24"/>
          <w:u w:val="single"/>
        </w:rPr>
        <w:t>that</w:t>
      </w:r>
      <w:r>
        <w:rPr>
          <w:spacing w:val="-10"/>
          <w:sz w:val="24"/>
          <w:u w:val="single"/>
        </w:rPr>
        <w:t xml:space="preserve"> </w:t>
      </w:r>
      <w:r>
        <w:rPr>
          <w:sz w:val="24"/>
          <w:u w:val="single"/>
        </w:rPr>
        <w:t>production</w:t>
      </w:r>
      <w:r>
        <w:rPr>
          <w:spacing w:val="-12"/>
          <w:sz w:val="24"/>
          <w:u w:val="single"/>
        </w:rPr>
        <w:t xml:space="preserve"> </w:t>
      </w:r>
      <w:r>
        <w:rPr>
          <w:sz w:val="24"/>
          <w:u w:val="single"/>
        </w:rPr>
        <w:t>accounted</w:t>
      </w:r>
      <w:r>
        <w:rPr>
          <w:spacing w:val="-7"/>
          <w:sz w:val="24"/>
          <w:u w:val="single"/>
        </w:rPr>
        <w:t xml:space="preserve"> </w:t>
      </w:r>
      <w:r>
        <w:rPr>
          <w:sz w:val="24"/>
          <w:u w:val="single"/>
        </w:rPr>
        <w:t>for</w:t>
      </w:r>
      <w:r>
        <w:rPr>
          <w:spacing w:val="-8"/>
          <w:sz w:val="24"/>
          <w:u w:val="single"/>
        </w:rPr>
        <w:t xml:space="preserve"> </w:t>
      </w:r>
      <w:r>
        <w:rPr>
          <w:sz w:val="24"/>
          <w:u w:val="single"/>
        </w:rPr>
        <w:t>by</w:t>
      </w:r>
      <w:r>
        <w:rPr>
          <w:spacing w:val="-9"/>
          <w:sz w:val="24"/>
          <w:u w:val="single"/>
        </w:rPr>
        <w:t xml:space="preserve"> </w:t>
      </w:r>
      <w:r>
        <w:rPr>
          <w:sz w:val="24"/>
          <w:u w:val="single"/>
        </w:rPr>
        <w:t>the</w:t>
      </w:r>
      <w:r>
        <w:rPr>
          <w:spacing w:val="-10"/>
          <w:sz w:val="24"/>
          <w:u w:val="single"/>
        </w:rPr>
        <w:t xml:space="preserve"> </w:t>
      </w:r>
      <w:r>
        <w:rPr>
          <w:sz w:val="24"/>
          <w:u w:val="single"/>
        </w:rPr>
        <w:t>participating</w:t>
      </w:r>
      <w:r>
        <w:rPr>
          <w:sz w:val="24"/>
        </w:rPr>
        <w:t xml:space="preserve"> </w:t>
      </w:r>
      <w:r>
        <w:rPr>
          <w:sz w:val="24"/>
          <w:u w:val="single"/>
        </w:rPr>
        <w:t>Chinese producers</w:t>
      </w:r>
    </w:p>
    <w:p w14:paraId="18FFD8C4" w14:textId="77777777" w:rsidR="00BD462C" w:rsidRDefault="00BD462C">
      <w:pPr>
        <w:pStyle w:val="BodyText"/>
        <w:spacing w:before="11"/>
        <w:rPr>
          <w:sz w:val="8"/>
        </w:rPr>
      </w:pPr>
    </w:p>
    <w:p w14:paraId="2A2B8F67" w14:textId="7DDD9DC2" w:rsidR="00BD462C" w:rsidRDefault="00D34854">
      <w:pPr>
        <w:pStyle w:val="BodyText"/>
        <w:spacing w:before="56"/>
        <w:ind w:left="135"/>
        <w:jc w:val="both"/>
      </w:pPr>
      <w:r>
        <w:rPr>
          <w:noProof/>
        </w:rPr>
        <w:t>876.</w:t>
      </w:r>
      <w:r w:rsidR="00033D0F">
        <w:rPr>
          <w:rFonts w:ascii="Times New Roman"/>
          <w:spacing w:val="80"/>
          <w:position w:val="1"/>
          <w:sz w:val="20"/>
        </w:rPr>
        <w:t xml:space="preserve">   </w:t>
      </w:r>
      <w:r w:rsidR="00033D0F">
        <w:rPr>
          <w:position w:val="1"/>
        </w:rPr>
        <w:t>China</w:t>
      </w:r>
      <w:r w:rsidR="00033D0F">
        <w:rPr>
          <w:spacing w:val="31"/>
          <w:position w:val="1"/>
        </w:rPr>
        <w:t xml:space="preserve"> </w:t>
      </w:r>
      <w:proofErr w:type="spellStart"/>
      <w:r w:rsidR="00033D0F">
        <w:rPr>
          <w:position w:val="1"/>
        </w:rPr>
        <w:t>mischaracterises</w:t>
      </w:r>
      <w:proofErr w:type="spellEnd"/>
      <w:r w:rsidR="00033D0F">
        <w:rPr>
          <w:spacing w:val="33"/>
          <w:position w:val="1"/>
        </w:rPr>
        <w:t xml:space="preserve"> </w:t>
      </w:r>
      <w:r w:rsidR="00033D0F">
        <w:rPr>
          <w:position w:val="1"/>
        </w:rPr>
        <w:t>Australia's</w:t>
      </w:r>
      <w:r w:rsidR="00033D0F">
        <w:rPr>
          <w:spacing w:val="33"/>
          <w:position w:val="1"/>
        </w:rPr>
        <w:t xml:space="preserve"> </w:t>
      </w:r>
      <w:r w:rsidR="00033D0F">
        <w:rPr>
          <w:position w:val="1"/>
        </w:rPr>
        <w:t>submission</w:t>
      </w:r>
      <w:r w:rsidR="00033D0F">
        <w:rPr>
          <w:spacing w:val="30"/>
          <w:position w:val="1"/>
        </w:rPr>
        <w:t xml:space="preserve"> </w:t>
      </w:r>
      <w:r w:rsidR="00033D0F">
        <w:rPr>
          <w:position w:val="1"/>
        </w:rPr>
        <w:t>as</w:t>
      </w:r>
      <w:r w:rsidR="00033D0F">
        <w:rPr>
          <w:spacing w:val="39"/>
          <w:position w:val="1"/>
        </w:rPr>
        <w:t xml:space="preserve"> </w:t>
      </w:r>
      <w:r w:rsidR="00033D0F">
        <w:rPr>
          <w:position w:val="1"/>
        </w:rPr>
        <w:t>falling</w:t>
      </w:r>
      <w:r w:rsidR="00033D0F">
        <w:rPr>
          <w:spacing w:val="33"/>
          <w:position w:val="1"/>
        </w:rPr>
        <w:t xml:space="preserve"> </w:t>
      </w:r>
      <w:r w:rsidR="00033D0F">
        <w:rPr>
          <w:position w:val="1"/>
        </w:rPr>
        <w:t>within</w:t>
      </w:r>
      <w:r w:rsidR="00033D0F">
        <w:rPr>
          <w:spacing w:val="30"/>
          <w:position w:val="1"/>
        </w:rPr>
        <w:t xml:space="preserve"> </w:t>
      </w:r>
      <w:r w:rsidR="00033D0F">
        <w:rPr>
          <w:position w:val="1"/>
        </w:rPr>
        <w:t>the</w:t>
      </w:r>
      <w:r w:rsidR="00033D0F">
        <w:rPr>
          <w:spacing w:val="31"/>
          <w:position w:val="1"/>
        </w:rPr>
        <w:t xml:space="preserve"> </w:t>
      </w:r>
      <w:r w:rsidR="00033D0F">
        <w:rPr>
          <w:position w:val="1"/>
        </w:rPr>
        <w:t>scope</w:t>
      </w:r>
      <w:r w:rsidR="00033D0F">
        <w:rPr>
          <w:spacing w:val="31"/>
          <w:position w:val="1"/>
        </w:rPr>
        <w:t xml:space="preserve"> </w:t>
      </w:r>
      <w:r w:rsidR="00033D0F">
        <w:rPr>
          <w:position w:val="1"/>
        </w:rPr>
        <w:t>of</w:t>
      </w:r>
      <w:r w:rsidR="00033D0F">
        <w:rPr>
          <w:spacing w:val="30"/>
          <w:position w:val="1"/>
        </w:rPr>
        <w:t xml:space="preserve"> </w:t>
      </w:r>
      <w:r w:rsidR="00033D0F">
        <w:rPr>
          <w:position w:val="1"/>
        </w:rPr>
        <w:t>Article</w:t>
      </w:r>
    </w:p>
    <w:p w14:paraId="64292A3C" w14:textId="77777777" w:rsidR="00BD462C" w:rsidRDefault="00033D0F">
      <w:pPr>
        <w:pStyle w:val="BodyText"/>
        <w:spacing w:before="144" w:line="360" w:lineRule="auto"/>
        <w:ind w:left="135" w:right="910"/>
        <w:jc w:val="both"/>
      </w:pPr>
      <w:r>
        <w:t>6.6.</w:t>
      </w:r>
      <w:r>
        <w:rPr>
          <w:spacing w:val="-5"/>
        </w:rPr>
        <w:t xml:space="preserve"> </w:t>
      </w:r>
      <w:r>
        <w:t>While</w:t>
      </w:r>
      <w:r>
        <w:rPr>
          <w:spacing w:val="-6"/>
        </w:rPr>
        <w:t xml:space="preserve"> </w:t>
      </w:r>
      <w:r>
        <w:t>Australia</w:t>
      </w:r>
      <w:r>
        <w:rPr>
          <w:spacing w:val="-7"/>
        </w:rPr>
        <w:t xml:space="preserve"> </w:t>
      </w:r>
      <w:r>
        <w:rPr>
          <w:i/>
        </w:rPr>
        <w:t>also</w:t>
      </w:r>
      <w:r>
        <w:rPr>
          <w:i/>
          <w:spacing w:val="-5"/>
        </w:rPr>
        <w:t xml:space="preserve"> </w:t>
      </w:r>
      <w:r>
        <w:t>has</w:t>
      </w:r>
      <w:r>
        <w:rPr>
          <w:spacing w:val="-5"/>
        </w:rPr>
        <w:t xml:space="preserve"> </w:t>
      </w:r>
      <w:r>
        <w:t>an</w:t>
      </w:r>
      <w:r>
        <w:rPr>
          <w:spacing w:val="-8"/>
        </w:rPr>
        <w:t xml:space="preserve"> </w:t>
      </w:r>
      <w:r>
        <w:t>Article</w:t>
      </w:r>
      <w:r>
        <w:rPr>
          <w:spacing w:val="-6"/>
        </w:rPr>
        <w:t xml:space="preserve"> </w:t>
      </w:r>
      <w:r>
        <w:t>6.6</w:t>
      </w:r>
      <w:r>
        <w:rPr>
          <w:spacing w:val="-8"/>
        </w:rPr>
        <w:t xml:space="preserve"> </w:t>
      </w:r>
      <w:r>
        <w:t>claim</w:t>
      </w:r>
      <w:r>
        <w:rPr>
          <w:spacing w:val="-6"/>
        </w:rPr>
        <w:t xml:space="preserve"> </w:t>
      </w:r>
      <w:r>
        <w:t>in</w:t>
      </w:r>
      <w:r>
        <w:rPr>
          <w:spacing w:val="-8"/>
        </w:rPr>
        <w:t xml:space="preserve"> </w:t>
      </w:r>
      <w:r>
        <w:t>respect</w:t>
      </w:r>
      <w:r>
        <w:rPr>
          <w:spacing w:val="-6"/>
        </w:rPr>
        <w:t xml:space="preserve"> </w:t>
      </w:r>
      <w:r>
        <w:t>of</w:t>
      </w:r>
      <w:r>
        <w:rPr>
          <w:spacing w:val="-8"/>
        </w:rPr>
        <w:t xml:space="preserve"> </w:t>
      </w:r>
      <w:r>
        <w:t>this</w:t>
      </w:r>
      <w:r>
        <w:rPr>
          <w:spacing w:val="-5"/>
        </w:rPr>
        <w:t xml:space="preserve"> </w:t>
      </w:r>
      <w:r>
        <w:t>information</w:t>
      </w:r>
      <w:r>
        <w:rPr>
          <w:spacing w:val="-8"/>
        </w:rPr>
        <w:t xml:space="preserve"> </w:t>
      </w:r>
      <w:r>
        <w:t>and</w:t>
      </w:r>
      <w:r>
        <w:rPr>
          <w:spacing w:val="-8"/>
        </w:rPr>
        <w:t xml:space="preserve"> </w:t>
      </w:r>
      <w:r>
        <w:t xml:space="preserve">MOFCOM's failure to satisfy itself as to the accuracy of the information, it has a distinct Article 6.4 claim arising from MOFCOM's failure to disclose </w:t>
      </w:r>
      <w:r>
        <w:rPr>
          <w:i/>
        </w:rPr>
        <w:t>what</w:t>
      </w:r>
      <w:r>
        <w:rPr>
          <w:i/>
          <w:spacing w:val="-1"/>
        </w:rPr>
        <w:t xml:space="preserve"> </w:t>
      </w:r>
      <w:r>
        <w:t>it</w:t>
      </w:r>
      <w:r>
        <w:rPr>
          <w:spacing w:val="-1"/>
        </w:rPr>
        <w:t xml:space="preserve"> </w:t>
      </w:r>
      <w:r>
        <w:t>did (if it did anything at all) to satisfy itself of the accuracy of the data. If China's position</w:t>
      </w:r>
      <w:r>
        <w:rPr>
          <w:spacing w:val="-1"/>
        </w:rPr>
        <w:t xml:space="preserve"> </w:t>
      </w:r>
      <w:r>
        <w:t>is that MOFCOM did</w:t>
      </w:r>
      <w:r>
        <w:rPr>
          <w:spacing w:val="-1"/>
        </w:rPr>
        <w:t xml:space="preserve"> </w:t>
      </w:r>
      <w:r>
        <w:t>nothing</w:t>
      </w:r>
      <w:r>
        <w:rPr>
          <w:spacing w:val="-2"/>
        </w:rPr>
        <w:t xml:space="preserve"> </w:t>
      </w:r>
      <w:r>
        <w:t>to</w:t>
      </w:r>
      <w:r>
        <w:rPr>
          <w:spacing w:val="-1"/>
        </w:rPr>
        <w:t xml:space="preserve"> </w:t>
      </w:r>
      <w:r>
        <w:t>satisfy</w:t>
      </w:r>
      <w:r>
        <w:rPr>
          <w:spacing w:val="-2"/>
        </w:rPr>
        <w:t xml:space="preserve"> </w:t>
      </w:r>
      <w:r>
        <w:t>itself of the</w:t>
      </w:r>
      <w:r>
        <w:rPr>
          <w:spacing w:val="-8"/>
        </w:rPr>
        <w:t xml:space="preserve"> </w:t>
      </w:r>
      <w:r>
        <w:t>accuracy</w:t>
      </w:r>
      <w:r>
        <w:rPr>
          <w:spacing w:val="-7"/>
        </w:rPr>
        <w:t xml:space="preserve"> </w:t>
      </w:r>
      <w:r>
        <w:t>of</w:t>
      </w:r>
      <w:r>
        <w:rPr>
          <w:spacing w:val="-5"/>
        </w:rPr>
        <w:t xml:space="preserve"> </w:t>
      </w:r>
      <w:r>
        <w:t>the</w:t>
      </w:r>
      <w:r>
        <w:rPr>
          <w:spacing w:val="-8"/>
        </w:rPr>
        <w:t xml:space="preserve"> </w:t>
      </w:r>
      <w:r>
        <w:t>information,</w:t>
      </w:r>
      <w:r>
        <w:rPr>
          <w:spacing w:val="-6"/>
        </w:rPr>
        <w:t xml:space="preserve"> </w:t>
      </w:r>
      <w:r>
        <w:t>then</w:t>
      </w:r>
      <w:r>
        <w:rPr>
          <w:spacing w:val="-10"/>
        </w:rPr>
        <w:t xml:space="preserve"> </w:t>
      </w:r>
      <w:r>
        <w:t>Australia</w:t>
      </w:r>
      <w:r>
        <w:rPr>
          <w:spacing w:val="-9"/>
        </w:rPr>
        <w:t xml:space="preserve"> </w:t>
      </w:r>
      <w:r>
        <w:t>accepts</w:t>
      </w:r>
      <w:r>
        <w:rPr>
          <w:spacing w:val="-7"/>
        </w:rPr>
        <w:t xml:space="preserve"> </w:t>
      </w:r>
      <w:r>
        <w:t>an</w:t>
      </w:r>
      <w:r>
        <w:rPr>
          <w:spacing w:val="-10"/>
        </w:rPr>
        <w:t xml:space="preserve"> </w:t>
      </w:r>
      <w:r>
        <w:t>Article</w:t>
      </w:r>
      <w:r>
        <w:rPr>
          <w:spacing w:val="-8"/>
        </w:rPr>
        <w:t xml:space="preserve"> </w:t>
      </w:r>
      <w:r>
        <w:t>6.4</w:t>
      </w:r>
      <w:r>
        <w:rPr>
          <w:spacing w:val="-10"/>
        </w:rPr>
        <w:t xml:space="preserve"> </w:t>
      </w:r>
      <w:r>
        <w:t>claim</w:t>
      </w:r>
      <w:r>
        <w:rPr>
          <w:spacing w:val="-8"/>
        </w:rPr>
        <w:t xml:space="preserve"> </w:t>
      </w:r>
      <w:r>
        <w:t>could</w:t>
      </w:r>
      <w:r>
        <w:rPr>
          <w:spacing w:val="-10"/>
        </w:rPr>
        <w:t xml:space="preserve"> </w:t>
      </w:r>
      <w:r>
        <w:t>not</w:t>
      </w:r>
      <w:r>
        <w:rPr>
          <w:spacing w:val="-8"/>
        </w:rPr>
        <w:t xml:space="preserve"> </w:t>
      </w:r>
      <w:r>
        <w:t>be</w:t>
      </w:r>
      <w:r>
        <w:rPr>
          <w:spacing w:val="-8"/>
        </w:rPr>
        <w:t xml:space="preserve"> </w:t>
      </w:r>
      <w:r>
        <w:t>made out. Australia considers such a situation would affirmatively establish a contravention of Article 6.6.</w:t>
      </w:r>
    </w:p>
    <w:p w14:paraId="1A4630C1" w14:textId="77777777" w:rsidR="00BD462C" w:rsidRDefault="00BD462C">
      <w:pPr>
        <w:pStyle w:val="BodyText"/>
        <w:spacing w:before="10"/>
        <w:rPr>
          <w:sz w:val="8"/>
        </w:rPr>
      </w:pPr>
    </w:p>
    <w:p w14:paraId="11C91BF5" w14:textId="1BE72E88" w:rsidR="00BD462C" w:rsidRDefault="00D70C7D">
      <w:pPr>
        <w:pStyle w:val="BodyText"/>
        <w:tabs>
          <w:tab w:val="left" w:pos="2329"/>
        </w:tabs>
        <w:spacing w:before="56" w:line="360" w:lineRule="auto"/>
        <w:ind w:left="135" w:right="912"/>
        <w:jc w:val="both"/>
      </w:pPr>
      <w:r>
        <w:rPr>
          <w:noProof/>
        </w:rPr>
        <mc:AlternateContent>
          <mc:Choice Requires="wps">
            <w:drawing>
              <wp:anchor distT="0" distB="0" distL="114300" distR="114300" simplePos="0" relativeHeight="479164928" behindDoc="1" locked="0" layoutInCell="1" allowOverlap="1" wp14:anchorId="15789ED3" wp14:editId="084F0E5A">
                <wp:simplePos x="0" y="0"/>
                <wp:positionH relativeFrom="page">
                  <wp:posOffset>1673225</wp:posOffset>
                </wp:positionH>
                <wp:positionV relativeFrom="paragraph">
                  <wp:posOffset>866775</wp:posOffset>
                </wp:positionV>
                <wp:extent cx="582295" cy="186055"/>
                <wp:effectExtent l="0" t="0" r="0" b="0"/>
                <wp:wrapNone/>
                <wp:docPr id="264" name="docshape5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29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2E58D2" id="docshape593" o:spid="_x0000_s1026" alt="&quot;&quot;" style="position:absolute;margin-left:131.75pt;margin-top:68.25pt;width:45.85pt;height:14.65pt;z-index:-2415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" fillcolor="black" stroked="f">
                <w10:wrap anchorx="page"/>
              </v:rect>
            </w:pict>
          </mc:Fallback>
        </mc:AlternateContent>
      </w:r>
      <w:r w:rsidR="00D34854">
        <w:rPr>
          <w:noProof/>
        </w:rPr>
        <w:t>877.</w:t>
      </w:r>
      <w:r w:rsidR="00033D0F">
        <w:rPr>
          <w:rFonts w:ascii="Times New Roman"/>
          <w:spacing w:val="80"/>
          <w:position w:val="1"/>
          <w:sz w:val="20"/>
        </w:rPr>
        <w:t xml:space="preserve"> </w:t>
      </w:r>
      <w:r w:rsidR="00033D0F">
        <w:rPr>
          <w:position w:val="1"/>
        </w:rPr>
        <w:t xml:space="preserve">What is important to Australia's claims under Article 6.4 is whether this information </w:t>
      </w:r>
      <w:r w:rsidR="00033D0F">
        <w:t>meets the standard for disclosures under the provision. At the outset, Australia does not accept China's assertion that the data used in the estimate of total domestic production provided by</w:t>
      </w:r>
      <w:r w:rsidR="00033D0F">
        <w:tab/>
        <w:t>was confidential and therefore excluded from the scope of Article</w:t>
      </w:r>
      <w:r w:rsidR="00033D0F">
        <w:rPr>
          <w:spacing w:val="-1"/>
        </w:rPr>
        <w:t xml:space="preserve"> </w:t>
      </w:r>
      <w:r w:rsidR="00033D0F">
        <w:t>6.4. In this respect, Australia has set out its claims in relation to the related breach of Articles 6.5 and 6.5.1 separately in this submission.</w:t>
      </w:r>
      <w:hyperlink w:anchor="_bookmark1485" w:history="1">
        <w:r w:rsidR="00033D0F">
          <w:rPr>
            <w:vertAlign w:val="superscript"/>
          </w:rPr>
          <w:t>1280</w:t>
        </w:r>
      </w:hyperlink>
      <w:r w:rsidR="00033D0F">
        <w:t xml:space="preserve"> What remains to be determined for the purposes of</w:t>
      </w:r>
      <w:r w:rsidR="00033D0F">
        <w:rPr>
          <w:spacing w:val="-14"/>
        </w:rPr>
        <w:t xml:space="preserve"> </w:t>
      </w:r>
      <w:r w:rsidR="00033D0F">
        <w:t>Australia's</w:t>
      </w:r>
      <w:r w:rsidR="00033D0F">
        <w:rPr>
          <w:spacing w:val="-14"/>
        </w:rPr>
        <w:t xml:space="preserve"> </w:t>
      </w:r>
      <w:r w:rsidR="00033D0F">
        <w:t>Article</w:t>
      </w:r>
      <w:r w:rsidR="00033D0F">
        <w:rPr>
          <w:spacing w:val="-13"/>
        </w:rPr>
        <w:t xml:space="preserve"> </w:t>
      </w:r>
      <w:r w:rsidR="00033D0F">
        <w:t>6.4</w:t>
      </w:r>
      <w:r w:rsidR="00033D0F">
        <w:rPr>
          <w:spacing w:val="-14"/>
        </w:rPr>
        <w:t xml:space="preserve"> </w:t>
      </w:r>
      <w:r w:rsidR="00033D0F">
        <w:t>claim</w:t>
      </w:r>
      <w:r w:rsidR="00033D0F">
        <w:rPr>
          <w:spacing w:val="-13"/>
        </w:rPr>
        <w:t xml:space="preserve"> </w:t>
      </w:r>
      <w:r w:rsidR="00033D0F">
        <w:t>is</w:t>
      </w:r>
      <w:r w:rsidR="00033D0F">
        <w:rPr>
          <w:spacing w:val="-14"/>
        </w:rPr>
        <w:t xml:space="preserve"> </w:t>
      </w:r>
      <w:r w:rsidR="00033D0F">
        <w:t>whether</w:t>
      </w:r>
      <w:r w:rsidR="00033D0F">
        <w:rPr>
          <w:spacing w:val="-13"/>
        </w:rPr>
        <w:t xml:space="preserve"> </w:t>
      </w:r>
      <w:r w:rsidR="00033D0F">
        <w:t>the</w:t>
      </w:r>
      <w:r w:rsidR="00033D0F">
        <w:rPr>
          <w:spacing w:val="-14"/>
        </w:rPr>
        <w:t xml:space="preserve"> </w:t>
      </w:r>
      <w:r w:rsidR="00033D0F">
        <w:t>information</w:t>
      </w:r>
      <w:r w:rsidR="00033D0F">
        <w:rPr>
          <w:spacing w:val="-14"/>
        </w:rPr>
        <w:t xml:space="preserve"> </w:t>
      </w:r>
      <w:r w:rsidR="00033D0F">
        <w:t>in</w:t>
      </w:r>
      <w:r w:rsidR="00033D0F">
        <w:rPr>
          <w:spacing w:val="-13"/>
        </w:rPr>
        <w:t xml:space="preserve"> </w:t>
      </w:r>
      <w:r w:rsidR="00033D0F">
        <w:t>question</w:t>
      </w:r>
      <w:r w:rsidR="00033D0F">
        <w:rPr>
          <w:spacing w:val="-14"/>
        </w:rPr>
        <w:t xml:space="preserve"> </w:t>
      </w:r>
      <w:r w:rsidR="00033D0F">
        <w:t>was</w:t>
      </w:r>
      <w:r w:rsidR="00033D0F">
        <w:rPr>
          <w:spacing w:val="-11"/>
        </w:rPr>
        <w:t xml:space="preserve"> </w:t>
      </w:r>
      <w:r w:rsidR="00033D0F">
        <w:t>"relevant"</w:t>
      </w:r>
      <w:r w:rsidR="00033D0F">
        <w:rPr>
          <w:spacing w:val="-13"/>
        </w:rPr>
        <w:t xml:space="preserve"> </w:t>
      </w:r>
      <w:r w:rsidR="00033D0F">
        <w:t>and</w:t>
      </w:r>
      <w:r w:rsidR="00033D0F">
        <w:rPr>
          <w:spacing w:val="-14"/>
        </w:rPr>
        <w:t xml:space="preserve"> </w:t>
      </w:r>
      <w:r w:rsidR="00033D0F">
        <w:t>"used by" the investigating authority.</w:t>
      </w:r>
    </w:p>
    <w:p w14:paraId="6B423030" w14:textId="77777777" w:rsidR="00BD462C" w:rsidRDefault="00BD462C">
      <w:pPr>
        <w:pStyle w:val="BodyText"/>
        <w:spacing w:before="7"/>
        <w:rPr>
          <w:sz w:val="8"/>
        </w:rPr>
      </w:pPr>
    </w:p>
    <w:p w14:paraId="653F8564" w14:textId="457D0DD5" w:rsidR="00BD462C" w:rsidRDefault="00D34854">
      <w:pPr>
        <w:pStyle w:val="BodyText"/>
        <w:spacing w:before="56" w:line="357" w:lineRule="auto"/>
        <w:ind w:left="135" w:right="912"/>
        <w:jc w:val="both"/>
      </w:pPr>
      <w:r>
        <w:rPr>
          <w:noProof/>
        </w:rPr>
        <w:t>878.</w:t>
      </w:r>
      <w:r w:rsidR="00033D0F">
        <w:rPr>
          <w:rFonts w:ascii="Times New Roman"/>
          <w:spacing w:val="80"/>
          <w:position w:val="1"/>
          <w:sz w:val="20"/>
        </w:rPr>
        <w:t xml:space="preserve"> </w:t>
      </w:r>
      <w:r w:rsidR="00033D0F">
        <w:rPr>
          <w:position w:val="1"/>
        </w:rPr>
        <w:t>The information</w:t>
      </w:r>
      <w:r w:rsidR="00033D0F">
        <w:rPr>
          <w:spacing w:val="-1"/>
          <w:position w:val="1"/>
        </w:rPr>
        <w:t xml:space="preserve"> </w:t>
      </w:r>
      <w:r w:rsidR="00033D0F">
        <w:rPr>
          <w:position w:val="1"/>
        </w:rPr>
        <w:t>was highly relevant to</w:t>
      </w:r>
      <w:r w:rsidR="00033D0F">
        <w:rPr>
          <w:spacing w:val="-1"/>
          <w:position w:val="1"/>
        </w:rPr>
        <w:t xml:space="preserve"> </w:t>
      </w:r>
      <w:r w:rsidR="00033D0F">
        <w:rPr>
          <w:position w:val="1"/>
        </w:rPr>
        <w:t>the presentation</w:t>
      </w:r>
      <w:r w:rsidR="00033D0F">
        <w:rPr>
          <w:spacing w:val="-1"/>
          <w:position w:val="1"/>
        </w:rPr>
        <w:t xml:space="preserve"> </w:t>
      </w:r>
      <w:r w:rsidR="00033D0F">
        <w:rPr>
          <w:position w:val="1"/>
        </w:rPr>
        <w:t>of interested</w:t>
      </w:r>
      <w:r w:rsidR="00033D0F">
        <w:rPr>
          <w:spacing w:val="-1"/>
          <w:position w:val="1"/>
        </w:rPr>
        <w:t xml:space="preserve"> </w:t>
      </w:r>
      <w:r w:rsidR="00033D0F">
        <w:rPr>
          <w:position w:val="1"/>
        </w:rPr>
        <w:t xml:space="preserve">parties' cases. </w:t>
      </w:r>
      <w:r w:rsidR="00033D0F">
        <w:t>Without it, interested parties were not able to prepare presentations on the basis of this information concerning the investigating authority's calculation of the production of the domestic industry. Further, as MOFCOM relied heavily on this data to determine the output of the domestic industry, it was clearly "used" by the investigating authority in the course of the anti-dumping investigation. The information was also "used" by MOFCOM in estimating</w:t>
      </w:r>
    </w:p>
    <w:p w14:paraId="50ED3328" w14:textId="77777777" w:rsidR="00BD462C" w:rsidRDefault="00BD462C">
      <w:pPr>
        <w:pStyle w:val="BodyText"/>
        <w:rPr>
          <w:sz w:val="20"/>
        </w:rPr>
      </w:pPr>
    </w:p>
    <w:p w14:paraId="36D0599A" w14:textId="77777777" w:rsidR="00BD462C" w:rsidRDefault="00BD462C">
      <w:pPr>
        <w:pStyle w:val="BodyText"/>
        <w:rPr>
          <w:sz w:val="20"/>
        </w:rPr>
      </w:pPr>
    </w:p>
    <w:p w14:paraId="720A3B24" w14:textId="77777777" w:rsidR="00BD462C" w:rsidRDefault="00BD462C">
      <w:pPr>
        <w:pStyle w:val="BodyText"/>
        <w:rPr>
          <w:sz w:val="20"/>
        </w:rPr>
      </w:pPr>
    </w:p>
    <w:p w14:paraId="0D8BB7E3" w14:textId="1C1EB8B6" w:rsidR="00BD462C" w:rsidRDefault="00D70C7D">
      <w:pPr>
        <w:pStyle w:val="BodyText"/>
        <w:rPr>
          <w:sz w:val="10"/>
        </w:rPr>
      </w:pPr>
      <w:r>
        <w:rPr>
          <w:noProof/>
        </w:rPr>
        <mc:AlternateContent>
          <mc:Choice Requires="wps">
            <w:drawing>
              <wp:anchor distT="0" distB="0" distL="0" distR="0" simplePos="0" relativeHeight="487863296" behindDoc="1" locked="0" layoutInCell="1" allowOverlap="1" wp14:anchorId="503F21F7" wp14:editId="507A72CE">
                <wp:simplePos x="0" y="0"/>
                <wp:positionH relativeFrom="page">
                  <wp:posOffset>899160</wp:posOffset>
                </wp:positionH>
                <wp:positionV relativeFrom="paragraph">
                  <wp:posOffset>93345</wp:posOffset>
                </wp:positionV>
                <wp:extent cx="1828800" cy="8890"/>
                <wp:effectExtent l="0" t="0" r="0" b="0"/>
                <wp:wrapTopAndBottom/>
                <wp:docPr id="262" name="docshape5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A65006" id="docshape594" o:spid="_x0000_s1026" alt="&quot;&quot;" style="position:absolute;margin-left:70.8pt;margin-top:7.35pt;width:2in;height:.7pt;z-index:-1545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" fillcolor="black" stroked="f">
                <w10:wrap type="topAndBottom" anchorx="page"/>
              </v:rect>
            </w:pict>
          </mc:Fallback>
        </mc:AlternateContent>
      </w:r>
    </w:p>
    <w:p w14:paraId="441A30D8" w14:textId="77777777" w:rsidR="00BD462C" w:rsidRDefault="00033D0F">
      <w:pPr>
        <w:spacing w:before="112"/>
        <w:ind w:left="135"/>
        <w:rPr>
          <w:sz w:val="18"/>
        </w:rPr>
      </w:pPr>
      <w:bookmarkStart w:id="1727" w:name="_bookmark1485"/>
      <w:bookmarkEnd w:id="1727"/>
      <w:r>
        <w:rPr>
          <w:position w:val="5"/>
          <w:sz w:val="12"/>
        </w:rPr>
        <w:t>1280</w:t>
      </w:r>
      <w:r>
        <w:rPr>
          <w:spacing w:val="15"/>
          <w:position w:val="5"/>
          <w:sz w:val="12"/>
        </w:rPr>
        <w:t xml:space="preserve"> </w:t>
      </w:r>
      <w:r>
        <w:rPr>
          <w:sz w:val="18"/>
        </w:rPr>
        <w:t>See</w:t>
      </w:r>
      <w:r>
        <w:rPr>
          <w:spacing w:val="-3"/>
          <w:sz w:val="18"/>
        </w:rPr>
        <w:t xml:space="preserve"> </w:t>
      </w:r>
      <w:r>
        <w:rPr>
          <w:sz w:val="18"/>
        </w:rPr>
        <w:t>above,</w:t>
      </w:r>
      <w:r>
        <w:rPr>
          <w:spacing w:val="-1"/>
          <w:sz w:val="18"/>
        </w:rPr>
        <w:t xml:space="preserve"> </w:t>
      </w:r>
      <w:r>
        <w:rPr>
          <w:sz w:val="18"/>
        </w:rPr>
        <w:t>section</w:t>
      </w:r>
      <w:r>
        <w:rPr>
          <w:spacing w:val="-5"/>
          <w:sz w:val="18"/>
        </w:rPr>
        <w:t xml:space="preserve"> </w:t>
      </w:r>
      <w:hyperlink w:anchor="_bookmark1194" w:history="1">
        <w:r>
          <w:rPr>
            <w:spacing w:val="-2"/>
            <w:sz w:val="18"/>
          </w:rPr>
          <w:t>VII.B.</w:t>
        </w:r>
      </w:hyperlink>
    </w:p>
    <w:p w14:paraId="3BD09CD8" w14:textId="77777777" w:rsidR="00BD462C" w:rsidRDefault="00BD462C">
      <w:pPr>
        <w:rPr>
          <w:sz w:val="18"/>
        </w:rPr>
        <w:sectPr w:rsidR="00BD462C">
          <w:pgSz w:w="11910" w:h="16840"/>
          <w:pgMar w:top="860" w:right="500" w:bottom="780" w:left="1280" w:header="566" w:footer="590" w:gutter="0"/>
          <w:cols w:space="720"/>
        </w:sectPr>
      </w:pPr>
    </w:p>
    <w:p w14:paraId="4D1DE428"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0EC6BCA2"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793F4E1E"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0CA4C8BE" w14:textId="77777777" w:rsidR="00BD462C" w:rsidRDefault="00033D0F">
      <w:pPr>
        <w:pStyle w:val="BodyText"/>
        <w:spacing w:before="102" w:line="357" w:lineRule="auto"/>
        <w:ind w:left="135" w:right="923"/>
      </w:pPr>
      <w:r>
        <w:t>apparent</w:t>
      </w:r>
      <w:r>
        <w:rPr>
          <w:spacing w:val="33"/>
        </w:rPr>
        <w:t xml:space="preserve"> </w:t>
      </w:r>
      <w:r>
        <w:t>consumption</w:t>
      </w:r>
      <w:r>
        <w:rPr>
          <w:spacing w:val="31"/>
        </w:rPr>
        <w:t xml:space="preserve"> </w:t>
      </w:r>
      <w:r>
        <w:t>volumes</w:t>
      </w:r>
      <w:r>
        <w:rPr>
          <w:spacing w:val="34"/>
        </w:rPr>
        <w:t xml:space="preserve"> </w:t>
      </w:r>
      <w:r>
        <w:t>and</w:t>
      </w:r>
      <w:r>
        <w:rPr>
          <w:spacing w:val="31"/>
        </w:rPr>
        <w:t xml:space="preserve"> </w:t>
      </w:r>
      <w:r>
        <w:t>market</w:t>
      </w:r>
      <w:r>
        <w:rPr>
          <w:spacing w:val="33"/>
        </w:rPr>
        <w:t xml:space="preserve"> </w:t>
      </w:r>
      <w:r>
        <w:t>shares,</w:t>
      </w:r>
      <w:r>
        <w:rPr>
          <w:spacing w:val="35"/>
        </w:rPr>
        <w:t xml:space="preserve"> </w:t>
      </w:r>
      <w:r>
        <w:t>and</w:t>
      </w:r>
      <w:r>
        <w:rPr>
          <w:spacing w:val="31"/>
        </w:rPr>
        <w:t xml:space="preserve"> </w:t>
      </w:r>
      <w:r>
        <w:t>in</w:t>
      </w:r>
      <w:r>
        <w:rPr>
          <w:spacing w:val="31"/>
        </w:rPr>
        <w:t xml:space="preserve"> </w:t>
      </w:r>
      <w:r>
        <w:t>evaluating</w:t>
      </w:r>
      <w:r>
        <w:rPr>
          <w:spacing w:val="34"/>
        </w:rPr>
        <w:t xml:space="preserve"> </w:t>
      </w:r>
      <w:r>
        <w:t>price</w:t>
      </w:r>
      <w:r>
        <w:rPr>
          <w:spacing w:val="33"/>
        </w:rPr>
        <w:t xml:space="preserve"> </w:t>
      </w:r>
      <w:r>
        <w:t>effects,</w:t>
      </w:r>
      <w:r>
        <w:rPr>
          <w:spacing w:val="30"/>
        </w:rPr>
        <w:t xml:space="preserve"> </w:t>
      </w:r>
      <w:r>
        <w:t>injury factors, and causation.</w:t>
      </w:r>
    </w:p>
    <w:p w14:paraId="28B5CD9C" w14:textId="77777777" w:rsidR="00BD462C" w:rsidRDefault="00033D0F">
      <w:pPr>
        <w:pStyle w:val="ListParagraph"/>
        <w:numPr>
          <w:ilvl w:val="1"/>
          <w:numId w:val="20"/>
        </w:numPr>
        <w:tabs>
          <w:tab w:val="left" w:pos="3539"/>
          <w:tab w:val="left" w:pos="3540"/>
        </w:tabs>
        <w:spacing w:before="164"/>
        <w:ind w:left="3539" w:hanging="851"/>
        <w:jc w:val="left"/>
        <w:rPr>
          <w:sz w:val="24"/>
        </w:rPr>
      </w:pPr>
      <w:bookmarkStart w:id="1728" w:name="(b)_Determination_of_normal_value"/>
      <w:bookmarkEnd w:id="1728"/>
      <w:r>
        <w:rPr>
          <w:sz w:val="24"/>
          <w:u w:val="single"/>
        </w:rPr>
        <w:t>Determination</w:t>
      </w:r>
      <w:r>
        <w:rPr>
          <w:spacing w:val="-6"/>
          <w:sz w:val="24"/>
          <w:u w:val="single"/>
        </w:rPr>
        <w:t xml:space="preserve"> </w:t>
      </w:r>
      <w:r>
        <w:rPr>
          <w:sz w:val="24"/>
          <w:u w:val="single"/>
        </w:rPr>
        <w:t>of</w:t>
      </w:r>
      <w:r>
        <w:rPr>
          <w:spacing w:val="-6"/>
          <w:sz w:val="24"/>
          <w:u w:val="single"/>
        </w:rPr>
        <w:t xml:space="preserve"> </w:t>
      </w:r>
      <w:r>
        <w:rPr>
          <w:sz w:val="24"/>
          <w:u w:val="single"/>
        </w:rPr>
        <w:t>normal</w:t>
      </w:r>
      <w:r>
        <w:rPr>
          <w:spacing w:val="-2"/>
          <w:sz w:val="24"/>
          <w:u w:val="single"/>
        </w:rPr>
        <w:t xml:space="preserve"> value</w:t>
      </w:r>
    </w:p>
    <w:p w14:paraId="619D9011" w14:textId="77777777" w:rsidR="00BD462C" w:rsidRDefault="00BD462C">
      <w:pPr>
        <w:pStyle w:val="BodyText"/>
        <w:spacing w:before="11"/>
        <w:rPr>
          <w:sz w:val="20"/>
        </w:rPr>
      </w:pPr>
    </w:p>
    <w:p w14:paraId="74ACD76E" w14:textId="4366FE18" w:rsidR="00BD462C" w:rsidRDefault="00D34854">
      <w:pPr>
        <w:pStyle w:val="BodyText"/>
        <w:spacing w:before="56" w:line="357" w:lineRule="auto"/>
        <w:ind w:left="135" w:right="914"/>
        <w:jc w:val="both"/>
      </w:pPr>
      <w:r>
        <w:rPr>
          <w:noProof/>
        </w:rPr>
        <w:t>879.</w:t>
      </w:r>
      <w:r w:rsidR="00033D0F">
        <w:rPr>
          <w:rFonts w:ascii="Times New Roman"/>
          <w:spacing w:val="80"/>
          <w:position w:val="1"/>
          <w:sz w:val="20"/>
        </w:rPr>
        <w:t xml:space="preserve">   </w:t>
      </w:r>
      <w:r w:rsidR="00033D0F">
        <w:rPr>
          <w:position w:val="1"/>
        </w:rPr>
        <w:t>There</w:t>
      </w:r>
      <w:r w:rsidR="00033D0F">
        <w:rPr>
          <w:spacing w:val="-2"/>
          <w:position w:val="1"/>
        </w:rPr>
        <w:t xml:space="preserve"> </w:t>
      </w:r>
      <w:r w:rsidR="00033D0F">
        <w:rPr>
          <w:position w:val="1"/>
        </w:rPr>
        <w:t>is</w:t>
      </w:r>
      <w:r w:rsidR="00033D0F">
        <w:rPr>
          <w:spacing w:val="-1"/>
          <w:position w:val="1"/>
        </w:rPr>
        <w:t xml:space="preserve"> </w:t>
      </w:r>
      <w:r w:rsidR="00033D0F">
        <w:rPr>
          <w:position w:val="1"/>
        </w:rPr>
        <w:t>a</w:t>
      </w:r>
      <w:r w:rsidR="00033D0F">
        <w:rPr>
          <w:spacing w:val="-3"/>
          <w:position w:val="1"/>
        </w:rPr>
        <w:t xml:space="preserve"> </w:t>
      </w:r>
      <w:r w:rsidR="00033D0F">
        <w:rPr>
          <w:position w:val="1"/>
        </w:rPr>
        <w:t>fundamental inconsistency</w:t>
      </w:r>
      <w:r w:rsidR="00033D0F">
        <w:rPr>
          <w:spacing w:val="-6"/>
          <w:position w:val="1"/>
        </w:rPr>
        <w:t xml:space="preserve"> </w:t>
      </w:r>
      <w:r w:rsidR="00033D0F">
        <w:rPr>
          <w:position w:val="1"/>
        </w:rPr>
        <w:t>in</w:t>
      </w:r>
      <w:r w:rsidR="00033D0F">
        <w:rPr>
          <w:spacing w:val="-4"/>
          <w:position w:val="1"/>
        </w:rPr>
        <w:t xml:space="preserve"> </w:t>
      </w:r>
      <w:r w:rsidR="00033D0F">
        <w:rPr>
          <w:position w:val="1"/>
        </w:rPr>
        <w:t>China's</w:t>
      </w:r>
      <w:r w:rsidR="00033D0F">
        <w:rPr>
          <w:spacing w:val="-6"/>
          <w:position w:val="1"/>
        </w:rPr>
        <w:t xml:space="preserve"> </w:t>
      </w:r>
      <w:r w:rsidR="00033D0F">
        <w:rPr>
          <w:position w:val="1"/>
        </w:rPr>
        <w:t>submission</w:t>
      </w:r>
      <w:r w:rsidR="00033D0F">
        <w:rPr>
          <w:spacing w:val="-4"/>
          <w:position w:val="1"/>
        </w:rPr>
        <w:t xml:space="preserve"> </w:t>
      </w:r>
      <w:r w:rsidR="00033D0F">
        <w:rPr>
          <w:position w:val="1"/>
        </w:rPr>
        <w:t>in</w:t>
      </w:r>
      <w:r w:rsidR="00033D0F">
        <w:rPr>
          <w:spacing w:val="-4"/>
          <w:position w:val="1"/>
        </w:rPr>
        <w:t xml:space="preserve"> </w:t>
      </w:r>
      <w:r w:rsidR="00033D0F">
        <w:rPr>
          <w:position w:val="1"/>
        </w:rPr>
        <w:t>respect</w:t>
      </w:r>
      <w:r w:rsidR="00033D0F">
        <w:rPr>
          <w:spacing w:val="-2"/>
          <w:position w:val="1"/>
        </w:rPr>
        <w:t xml:space="preserve"> </w:t>
      </w:r>
      <w:r w:rsidR="00033D0F">
        <w:rPr>
          <w:position w:val="1"/>
        </w:rPr>
        <w:t>of</w:t>
      </w:r>
      <w:r w:rsidR="00033D0F">
        <w:rPr>
          <w:spacing w:val="-4"/>
          <w:position w:val="1"/>
        </w:rPr>
        <w:t xml:space="preserve"> </w:t>
      </w:r>
      <w:r w:rsidR="00033D0F">
        <w:rPr>
          <w:position w:val="1"/>
        </w:rPr>
        <w:t>the</w:t>
      </w:r>
      <w:r w:rsidR="00033D0F">
        <w:rPr>
          <w:spacing w:val="-3"/>
          <w:position w:val="1"/>
        </w:rPr>
        <w:t xml:space="preserve"> </w:t>
      </w:r>
      <w:r w:rsidR="00033D0F">
        <w:rPr>
          <w:position w:val="1"/>
        </w:rPr>
        <w:t xml:space="preserve">position </w:t>
      </w:r>
      <w:r w:rsidR="00033D0F">
        <w:t>it takes on whether it made information available about the basis of the normal value calculation for Casella Wines and Swan Vintage.</w:t>
      </w:r>
    </w:p>
    <w:p w14:paraId="25D18F73" w14:textId="77777777" w:rsidR="00BD462C" w:rsidRDefault="00BD462C">
      <w:pPr>
        <w:pStyle w:val="BodyText"/>
        <w:spacing w:before="3"/>
        <w:rPr>
          <w:sz w:val="9"/>
        </w:rPr>
      </w:pPr>
    </w:p>
    <w:p w14:paraId="7378E53F" w14:textId="5AD4A8D6" w:rsidR="00BD462C" w:rsidRDefault="00D34854">
      <w:pPr>
        <w:pStyle w:val="BodyText"/>
        <w:spacing w:before="56" w:line="360" w:lineRule="auto"/>
        <w:ind w:left="135" w:right="910"/>
        <w:jc w:val="both"/>
      </w:pPr>
      <w:r>
        <w:rPr>
          <w:noProof/>
        </w:rPr>
        <w:t>880.</w:t>
      </w:r>
      <w:r w:rsidR="00033D0F">
        <w:rPr>
          <w:rFonts w:ascii="Times New Roman"/>
          <w:spacing w:val="80"/>
          <w:w w:val="150"/>
          <w:position w:val="1"/>
          <w:sz w:val="20"/>
        </w:rPr>
        <w:t xml:space="preserve">  </w:t>
      </w:r>
      <w:r w:rsidR="00033D0F">
        <w:rPr>
          <w:position w:val="1"/>
        </w:rPr>
        <w:t>In</w:t>
      </w:r>
      <w:r w:rsidR="00033D0F">
        <w:rPr>
          <w:spacing w:val="-14"/>
          <w:position w:val="1"/>
        </w:rPr>
        <w:t xml:space="preserve"> </w:t>
      </w:r>
      <w:r w:rsidR="00033D0F">
        <w:rPr>
          <w:position w:val="1"/>
        </w:rPr>
        <w:t>its</w:t>
      </w:r>
      <w:r w:rsidR="00033D0F">
        <w:rPr>
          <w:spacing w:val="-14"/>
          <w:position w:val="1"/>
        </w:rPr>
        <w:t xml:space="preserve"> </w:t>
      </w:r>
      <w:r w:rsidR="00033D0F">
        <w:rPr>
          <w:position w:val="1"/>
        </w:rPr>
        <w:t>first</w:t>
      </w:r>
      <w:r w:rsidR="00033D0F">
        <w:rPr>
          <w:spacing w:val="-13"/>
          <w:position w:val="1"/>
        </w:rPr>
        <w:t xml:space="preserve"> </w:t>
      </w:r>
      <w:r w:rsidR="00033D0F">
        <w:rPr>
          <w:position w:val="1"/>
        </w:rPr>
        <w:t>written</w:t>
      </w:r>
      <w:r w:rsidR="00033D0F">
        <w:rPr>
          <w:spacing w:val="-14"/>
          <w:position w:val="1"/>
        </w:rPr>
        <w:t xml:space="preserve"> </w:t>
      </w:r>
      <w:r w:rsidR="00033D0F">
        <w:rPr>
          <w:position w:val="1"/>
        </w:rPr>
        <w:t>submission,</w:t>
      </w:r>
      <w:r w:rsidR="00033D0F">
        <w:rPr>
          <w:spacing w:val="-13"/>
          <w:position w:val="1"/>
        </w:rPr>
        <w:t xml:space="preserve"> </w:t>
      </w:r>
      <w:r w:rsidR="00033D0F">
        <w:rPr>
          <w:position w:val="1"/>
        </w:rPr>
        <w:t>China</w:t>
      </w:r>
      <w:r w:rsidR="00033D0F">
        <w:rPr>
          <w:spacing w:val="-14"/>
          <w:position w:val="1"/>
        </w:rPr>
        <w:t xml:space="preserve"> </w:t>
      </w:r>
      <w:r w:rsidR="00033D0F">
        <w:rPr>
          <w:position w:val="1"/>
        </w:rPr>
        <w:t>contends</w:t>
      </w:r>
      <w:r w:rsidR="00033D0F">
        <w:rPr>
          <w:spacing w:val="-9"/>
          <w:position w:val="1"/>
        </w:rPr>
        <w:t xml:space="preserve"> </w:t>
      </w:r>
      <w:r w:rsidR="00033D0F">
        <w:rPr>
          <w:position w:val="1"/>
        </w:rPr>
        <w:t>that</w:t>
      </w:r>
      <w:r w:rsidR="00033D0F">
        <w:rPr>
          <w:spacing w:val="-14"/>
          <w:position w:val="1"/>
        </w:rPr>
        <w:t xml:space="preserve"> </w:t>
      </w:r>
      <w:r w:rsidR="00033D0F">
        <w:rPr>
          <w:position w:val="1"/>
        </w:rPr>
        <w:t>it</w:t>
      </w:r>
      <w:r w:rsidR="00033D0F">
        <w:rPr>
          <w:spacing w:val="-14"/>
          <w:position w:val="1"/>
        </w:rPr>
        <w:t xml:space="preserve"> </w:t>
      </w:r>
      <w:r w:rsidR="00033D0F">
        <w:rPr>
          <w:position w:val="1"/>
        </w:rPr>
        <w:t>was</w:t>
      </w:r>
      <w:r w:rsidR="00033D0F">
        <w:rPr>
          <w:spacing w:val="-13"/>
          <w:position w:val="1"/>
        </w:rPr>
        <w:t xml:space="preserve"> </w:t>
      </w:r>
      <w:r w:rsidR="00033D0F">
        <w:rPr>
          <w:position w:val="1"/>
        </w:rPr>
        <w:t>obvious</w:t>
      </w:r>
      <w:r w:rsidR="00033D0F">
        <w:rPr>
          <w:spacing w:val="-14"/>
          <w:position w:val="1"/>
        </w:rPr>
        <w:t xml:space="preserve"> </w:t>
      </w:r>
      <w:r w:rsidR="00033D0F">
        <w:rPr>
          <w:position w:val="1"/>
        </w:rPr>
        <w:t>that</w:t>
      </w:r>
      <w:r w:rsidR="00033D0F">
        <w:rPr>
          <w:spacing w:val="-13"/>
          <w:position w:val="1"/>
        </w:rPr>
        <w:t xml:space="preserve"> </w:t>
      </w:r>
      <w:r w:rsidR="00033D0F">
        <w:rPr>
          <w:position w:val="1"/>
        </w:rPr>
        <w:t>the</w:t>
      </w:r>
      <w:r w:rsidR="00033D0F">
        <w:rPr>
          <w:spacing w:val="-11"/>
          <w:position w:val="1"/>
        </w:rPr>
        <w:t xml:space="preserve"> </w:t>
      </w:r>
      <w:r w:rsidR="00033D0F">
        <w:rPr>
          <w:position w:val="1"/>
        </w:rPr>
        <w:t>term</w:t>
      </w:r>
      <w:r w:rsidR="00033D0F">
        <w:rPr>
          <w:spacing w:val="-11"/>
          <w:position w:val="1"/>
        </w:rPr>
        <w:t xml:space="preserve"> </w:t>
      </w:r>
      <w:r w:rsidR="00033D0F">
        <w:rPr>
          <w:position w:val="1"/>
        </w:rPr>
        <w:t xml:space="preserve">"other </w:t>
      </w:r>
      <w:r w:rsidR="00033D0F">
        <w:t>respondent(s)" meant Treasury Wines, stating: "[i]t is clear from various documents on the investigation file that the normal value for both Casella Wines and Swan Vintage was established on the basis of the domestic sales of Treasury Wines only".</w:t>
      </w:r>
      <w:hyperlink w:anchor="_bookmark1486" w:history="1">
        <w:r w:rsidR="00033D0F">
          <w:rPr>
            <w:vertAlign w:val="superscript"/>
          </w:rPr>
          <w:t>1281</w:t>
        </w:r>
      </w:hyperlink>
      <w:r w:rsidR="00033D0F">
        <w:t xml:space="preserve"> Yet elsewhere, China takes the opposite position, insisting that the use of "other respondent(s)" was specifically used so as to avoid identifying Treasury Wines. At the first substantive meeting, China admitted it purposefully used this term, which could mean both one </w:t>
      </w:r>
      <w:proofErr w:type="gramStart"/>
      <w:r w:rsidR="00033D0F">
        <w:t>or</w:t>
      </w:r>
      <w:proofErr w:type="gramEnd"/>
      <w:r w:rsidR="00033D0F">
        <w:t xml:space="preserve"> multiple respondents in Mandarin, to be deliberately vague to the sampled companies. China confirmed this contradictory position in its response to Panel question No. 56. Here, China stated</w:t>
      </w:r>
      <w:r w:rsidR="00033D0F">
        <w:rPr>
          <w:spacing w:val="-14"/>
        </w:rPr>
        <w:t xml:space="preserve"> </w:t>
      </w:r>
      <w:r w:rsidR="00033D0F">
        <w:t>that</w:t>
      </w:r>
      <w:r w:rsidR="00033D0F">
        <w:rPr>
          <w:spacing w:val="-11"/>
        </w:rPr>
        <w:t xml:space="preserve"> </w:t>
      </w:r>
      <w:r w:rsidR="00033D0F">
        <w:t>"[s]</w:t>
      </w:r>
      <w:proofErr w:type="spellStart"/>
      <w:r w:rsidR="00033D0F">
        <w:t>ince</w:t>
      </w:r>
      <w:proofErr w:type="spellEnd"/>
      <w:r w:rsidR="00033D0F">
        <w:rPr>
          <w:spacing w:val="-12"/>
        </w:rPr>
        <w:t xml:space="preserve"> </w:t>
      </w:r>
      <w:r w:rsidR="00033D0F">
        <w:t>the</w:t>
      </w:r>
      <w:r w:rsidR="00033D0F">
        <w:rPr>
          <w:spacing w:val="-12"/>
        </w:rPr>
        <w:t xml:space="preserve"> </w:t>
      </w:r>
      <w:r w:rsidR="00033D0F">
        <w:t>sales</w:t>
      </w:r>
      <w:r w:rsidR="00033D0F">
        <w:rPr>
          <w:spacing w:val="-10"/>
        </w:rPr>
        <w:t xml:space="preserve"> </w:t>
      </w:r>
      <w:r w:rsidR="00033D0F">
        <w:t>data</w:t>
      </w:r>
      <w:r w:rsidR="00033D0F">
        <w:rPr>
          <w:spacing w:val="-12"/>
        </w:rPr>
        <w:t xml:space="preserve"> </w:t>
      </w:r>
      <w:r w:rsidR="00033D0F">
        <w:t>of</w:t>
      </w:r>
      <w:r w:rsidR="00033D0F">
        <w:rPr>
          <w:spacing w:val="-14"/>
        </w:rPr>
        <w:t xml:space="preserve"> </w:t>
      </w:r>
      <w:r w:rsidR="00033D0F">
        <w:t>only</w:t>
      </w:r>
      <w:r w:rsidR="00033D0F">
        <w:rPr>
          <w:spacing w:val="-10"/>
        </w:rPr>
        <w:t xml:space="preserve"> </w:t>
      </w:r>
      <w:r w:rsidR="00033D0F">
        <w:t>one</w:t>
      </w:r>
      <w:r w:rsidR="00033D0F">
        <w:rPr>
          <w:spacing w:val="-7"/>
        </w:rPr>
        <w:t xml:space="preserve"> </w:t>
      </w:r>
      <w:r w:rsidR="00033D0F">
        <w:t>producer</w:t>
      </w:r>
      <w:r w:rsidR="00033D0F">
        <w:rPr>
          <w:spacing w:val="-14"/>
        </w:rPr>
        <w:t xml:space="preserve"> </w:t>
      </w:r>
      <w:r w:rsidR="00033D0F">
        <w:t>(Treasury</w:t>
      </w:r>
      <w:r w:rsidR="00033D0F">
        <w:rPr>
          <w:spacing w:val="-10"/>
        </w:rPr>
        <w:t xml:space="preserve"> </w:t>
      </w:r>
      <w:r w:rsidR="00033D0F">
        <w:t>Wines)</w:t>
      </w:r>
      <w:r w:rsidR="00033D0F">
        <w:rPr>
          <w:spacing w:val="-13"/>
        </w:rPr>
        <w:t xml:space="preserve"> </w:t>
      </w:r>
      <w:r w:rsidR="00033D0F">
        <w:t>was</w:t>
      </w:r>
      <w:r w:rsidR="00033D0F">
        <w:rPr>
          <w:spacing w:val="-10"/>
        </w:rPr>
        <w:t xml:space="preserve"> </w:t>
      </w:r>
      <w:r w:rsidR="00033D0F">
        <w:t>used</w:t>
      </w:r>
      <w:r w:rsidR="00033D0F">
        <w:rPr>
          <w:spacing w:val="-14"/>
        </w:rPr>
        <w:t xml:space="preserve"> </w:t>
      </w:r>
      <w:r w:rsidR="00033D0F">
        <w:t>to</w:t>
      </w:r>
      <w:r w:rsidR="00033D0F">
        <w:rPr>
          <w:spacing w:val="-13"/>
        </w:rPr>
        <w:t xml:space="preserve"> </w:t>
      </w:r>
      <w:r w:rsidR="00033D0F">
        <w:t>calculate the normal value of Casella Wines and Swan Vintage, the term "other respondent(s)", which is ambiguous, was used, in order to preserve confidentiality."</w:t>
      </w:r>
      <w:hyperlink w:anchor="_bookmark1487" w:history="1">
        <w:r w:rsidR="00033D0F">
          <w:rPr>
            <w:vertAlign w:val="superscript"/>
          </w:rPr>
          <w:t>1282</w:t>
        </w:r>
      </w:hyperlink>
    </w:p>
    <w:p w14:paraId="7FFFA41C" w14:textId="77777777" w:rsidR="00BD462C" w:rsidRDefault="00BD462C">
      <w:pPr>
        <w:pStyle w:val="BodyText"/>
        <w:spacing w:before="7"/>
        <w:rPr>
          <w:sz w:val="8"/>
        </w:rPr>
      </w:pPr>
    </w:p>
    <w:p w14:paraId="0D47BAB0" w14:textId="080A220E" w:rsidR="00BD462C" w:rsidRDefault="00D34854">
      <w:pPr>
        <w:pStyle w:val="BodyText"/>
        <w:spacing w:before="56" w:line="360" w:lineRule="auto"/>
        <w:ind w:left="135" w:right="911"/>
        <w:jc w:val="both"/>
      </w:pPr>
      <w:r>
        <w:rPr>
          <w:noProof/>
        </w:rPr>
        <w:t>881.</w:t>
      </w:r>
      <w:r w:rsidR="00033D0F">
        <w:rPr>
          <w:rFonts w:ascii="Times New Roman" w:hAnsi="Times New Roman"/>
          <w:spacing w:val="80"/>
          <w:position w:val="1"/>
          <w:sz w:val="20"/>
        </w:rPr>
        <w:t xml:space="preserve">  </w:t>
      </w:r>
      <w:r w:rsidR="00033D0F">
        <w:rPr>
          <w:position w:val="1"/>
        </w:rPr>
        <w:t>Australia's</w:t>
      </w:r>
      <w:r w:rsidR="00033D0F">
        <w:rPr>
          <w:spacing w:val="-6"/>
          <w:position w:val="1"/>
        </w:rPr>
        <w:t xml:space="preserve"> </w:t>
      </w:r>
      <w:r w:rsidR="00033D0F">
        <w:rPr>
          <w:position w:val="1"/>
        </w:rPr>
        <w:t>submission</w:t>
      </w:r>
      <w:r w:rsidR="00033D0F">
        <w:rPr>
          <w:spacing w:val="-9"/>
          <w:position w:val="1"/>
        </w:rPr>
        <w:t xml:space="preserve"> </w:t>
      </w:r>
      <w:r w:rsidR="00033D0F">
        <w:rPr>
          <w:position w:val="1"/>
        </w:rPr>
        <w:t>is</w:t>
      </w:r>
      <w:r w:rsidR="00033D0F">
        <w:rPr>
          <w:spacing w:val="-6"/>
          <w:position w:val="1"/>
        </w:rPr>
        <w:t xml:space="preserve"> </w:t>
      </w:r>
      <w:r w:rsidR="00033D0F">
        <w:rPr>
          <w:position w:val="1"/>
        </w:rPr>
        <w:t>that</w:t>
      </w:r>
      <w:r w:rsidR="00033D0F">
        <w:rPr>
          <w:spacing w:val="-7"/>
          <w:position w:val="1"/>
        </w:rPr>
        <w:t xml:space="preserve"> </w:t>
      </w:r>
      <w:r w:rsidR="00033D0F">
        <w:rPr>
          <w:position w:val="1"/>
        </w:rPr>
        <w:t>it</w:t>
      </w:r>
      <w:r w:rsidR="00033D0F">
        <w:rPr>
          <w:spacing w:val="-7"/>
          <w:position w:val="1"/>
        </w:rPr>
        <w:t xml:space="preserve"> </w:t>
      </w:r>
      <w:r w:rsidR="00033D0F">
        <w:rPr>
          <w:position w:val="1"/>
        </w:rPr>
        <w:t>is</w:t>
      </w:r>
      <w:r w:rsidR="00033D0F">
        <w:rPr>
          <w:spacing w:val="-6"/>
          <w:position w:val="1"/>
        </w:rPr>
        <w:t xml:space="preserve"> </w:t>
      </w:r>
      <w:r w:rsidR="00033D0F">
        <w:rPr>
          <w:position w:val="1"/>
        </w:rPr>
        <w:t>clear</w:t>
      </w:r>
      <w:r w:rsidR="00033D0F">
        <w:rPr>
          <w:spacing w:val="-10"/>
          <w:position w:val="1"/>
        </w:rPr>
        <w:t xml:space="preserve"> </w:t>
      </w:r>
      <w:r w:rsidR="00033D0F">
        <w:rPr>
          <w:position w:val="1"/>
        </w:rPr>
        <w:t>from</w:t>
      </w:r>
      <w:r w:rsidR="00033D0F">
        <w:rPr>
          <w:spacing w:val="-3"/>
          <w:position w:val="1"/>
        </w:rPr>
        <w:t xml:space="preserve"> </w:t>
      </w:r>
      <w:r w:rsidR="00033D0F">
        <w:rPr>
          <w:position w:val="1"/>
        </w:rPr>
        <w:t>the</w:t>
      </w:r>
      <w:r w:rsidR="00033D0F">
        <w:rPr>
          <w:spacing w:val="-7"/>
          <w:position w:val="1"/>
        </w:rPr>
        <w:t xml:space="preserve"> </w:t>
      </w:r>
      <w:r w:rsidR="00033D0F">
        <w:rPr>
          <w:position w:val="1"/>
        </w:rPr>
        <w:t>record</w:t>
      </w:r>
      <w:r w:rsidR="00033D0F">
        <w:rPr>
          <w:spacing w:val="-4"/>
          <w:position w:val="1"/>
        </w:rPr>
        <w:t xml:space="preserve"> </w:t>
      </w:r>
      <w:r w:rsidR="00033D0F">
        <w:rPr>
          <w:position w:val="1"/>
        </w:rPr>
        <w:t>that</w:t>
      </w:r>
      <w:r w:rsidR="00033D0F">
        <w:rPr>
          <w:spacing w:val="-7"/>
          <w:position w:val="1"/>
        </w:rPr>
        <w:t xml:space="preserve"> </w:t>
      </w:r>
      <w:r w:rsidR="00033D0F">
        <w:rPr>
          <w:position w:val="1"/>
        </w:rPr>
        <w:t>this</w:t>
      </w:r>
      <w:r w:rsidR="00033D0F">
        <w:rPr>
          <w:spacing w:val="-6"/>
          <w:position w:val="1"/>
        </w:rPr>
        <w:t xml:space="preserve"> </w:t>
      </w:r>
      <w:r w:rsidR="00033D0F">
        <w:rPr>
          <w:position w:val="1"/>
        </w:rPr>
        <w:t>relevant</w:t>
      </w:r>
      <w:r w:rsidR="00033D0F">
        <w:rPr>
          <w:spacing w:val="-7"/>
          <w:position w:val="1"/>
        </w:rPr>
        <w:t xml:space="preserve"> </w:t>
      </w:r>
      <w:r w:rsidR="00033D0F">
        <w:rPr>
          <w:position w:val="1"/>
        </w:rPr>
        <w:t xml:space="preserve">information </w:t>
      </w:r>
      <w:r w:rsidR="00033D0F">
        <w:t>was</w:t>
      </w:r>
      <w:r w:rsidR="00033D0F">
        <w:rPr>
          <w:spacing w:val="-2"/>
        </w:rPr>
        <w:t xml:space="preserve"> </w:t>
      </w:r>
      <w:r w:rsidR="00033D0F">
        <w:t>never</w:t>
      </w:r>
      <w:r w:rsidR="00033D0F">
        <w:rPr>
          <w:spacing w:val="-6"/>
        </w:rPr>
        <w:t xml:space="preserve"> </w:t>
      </w:r>
      <w:r w:rsidR="00033D0F">
        <w:t>made</w:t>
      </w:r>
      <w:r w:rsidR="00033D0F">
        <w:rPr>
          <w:spacing w:val="-4"/>
        </w:rPr>
        <w:t xml:space="preserve"> </w:t>
      </w:r>
      <w:r w:rsidR="00033D0F">
        <w:t>available</w:t>
      </w:r>
      <w:r w:rsidR="00033D0F">
        <w:rPr>
          <w:spacing w:val="-3"/>
        </w:rPr>
        <w:t xml:space="preserve"> </w:t>
      </w:r>
      <w:r w:rsidR="00033D0F">
        <w:t>to</w:t>
      </w:r>
      <w:r w:rsidR="00033D0F">
        <w:rPr>
          <w:spacing w:val="-6"/>
        </w:rPr>
        <w:t xml:space="preserve"> </w:t>
      </w:r>
      <w:r w:rsidR="00033D0F">
        <w:t>Casella</w:t>
      </w:r>
      <w:r w:rsidR="00033D0F">
        <w:rPr>
          <w:spacing w:val="-8"/>
        </w:rPr>
        <w:t xml:space="preserve"> </w:t>
      </w:r>
      <w:r w:rsidR="00033D0F">
        <w:t>Wines</w:t>
      </w:r>
      <w:r w:rsidR="00033D0F">
        <w:rPr>
          <w:spacing w:val="-2"/>
        </w:rPr>
        <w:t xml:space="preserve"> </w:t>
      </w:r>
      <w:r w:rsidR="00033D0F">
        <w:t>and</w:t>
      </w:r>
      <w:r w:rsidR="00033D0F">
        <w:rPr>
          <w:spacing w:val="-5"/>
        </w:rPr>
        <w:t xml:space="preserve"> </w:t>
      </w:r>
      <w:r w:rsidR="00033D0F">
        <w:t>Swan</w:t>
      </w:r>
      <w:r w:rsidR="00033D0F">
        <w:rPr>
          <w:spacing w:val="-5"/>
        </w:rPr>
        <w:t xml:space="preserve"> </w:t>
      </w:r>
      <w:r w:rsidR="00033D0F">
        <w:t>Vintage.</w:t>
      </w:r>
      <w:r w:rsidR="00033D0F">
        <w:rPr>
          <w:spacing w:val="-2"/>
        </w:rPr>
        <w:t xml:space="preserve"> </w:t>
      </w:r>
      <w:r w:rsidR="00033D0F">
        <w:t>Moreover,</w:t>
      </w:r>
      <w:r w:rsidR="00033D0F">
        <w:rPr>
          <w:spacing w:val="-1"/>
        </w:rPr>
        <w:t xml:space="preserve"> </w:t>
      </w:r>
      <w:r w:rsidR="00033D0F">
        <w:t>it</w:t>
      </w:r>
      <w:r w:rsidR="00033D0F">
        <w:rPr>
          <w:spacing w:val="-3"/>
        </w:rPr>
        <w:t xml:space="preserve"> </w:t>
      </w:r>
      <w:r w:rsidR="00033D0F">
        <w:t>should</w:t>
      </w:r>
      <w:r w:rsidR="00033D0F">
        <w:rPr>
          <w:spacing w:val="-5"/>
        </w:rPr>
        <w:t xml:space="preserve"> </w:t>
      </w:r>
      <w:r w:rsidR="00033D0F">
        <w:t>have</w:t>
      </w:r>
      <w:r w:rsidR="00033D0F">
        <w:rPr>
          <w:spacing w:val="-3"/>
        </w:rPr>
        <w:t xml:space="preserve"> </w:t>
      </w:r>
      <w:r w:rsidR="00033D0F">
        <w:t>been made available, noting that China – at least on some occasions – contends that this was information that could have been disclosed.</w:t>
      </w:r>
      <w:hyperlink w:anchor="_bookmark1488" w:history="1">
        <w:r w:rsidR="00033D0F">
          <w:rPr>
            <w:vertAlign w:val="superscript"/>
          </w:rPr>
          <w:t>1283</w:t>
        </w:r>
      </w:hyperlink>
      <w:r w:rsidR="00033D0F">
        <w:rPr>
          <w:spacing w:val="-5"/>
        </w:rPr>
        <w:t xml:space="preserve"> </w:t>
      </w:r>
      <w:r w:rsidR="00033D0F">
        <w:t>The first time that China disclosed that the "other respondent(s)" was Treasury Wines was in China's first written submission,</w:t>
      </w:r>
      <w:hyperlink w:anchor="_bookmark1489" w:history="1">
        <w:r w:rsidR="00033D0F">
          <w:rPr>
            <w:vertAlign w:val="superscript"/>
          </w:rPr>
          <w:t>1284</w:t>
        </w:r>
      </w:hyperlink>
      <w:r w:rsidR="00033D0F">
        <w:t xml:space="preserve"> and China confirmed this in its written answer to the</w:t>
      </w:r>
      <w:r w:rsidR="00033D0F">
        <w:rPr>
          <w:spacing w:val="18"/>
        </w:rPr>
        <w:t xml:space="preserve"> </w:t>
      </w:r>
      <w:r w:rsidR="00033D0F">
        <w:t>Panel question No. 54.</w:t>
      </w:r>
      <w:hyperlink w:anchor="_bookmark1490" w:history="1">
        <w:r w:rsidR="00033D0F">
          <w:rPr>
            <w:vertAlign w:val="superscript"/>
          </w:rPr>
          <w:t>1285</w:t>
        </w:r>
      </w:hyperlink>
      <w:r w:rsidR="00033D0F">
        <w:t xml:space="preserve"> As such, China's</w:t>
      </w:r>
    </w:p>
    <w:p w14:paraId="13D1B6CD" w14:textId="77777777" w:rsidR="00BD462C" w:rsidRDefault="00BD462C">
      <w:pPr>
        <w:pStyle w:val="BodyText"/>
        <w:rPr>
          <w:sz w:val="20"/>
        </w:rPr>
      </w:pPr>
    </w:p>
    <w:p w14:paraId="6F5E872C" w14:textId="77777777" w:rsidR="00BD462C" w:rsidRDefault="00BD462C">
      <w:pPr>
        <w:pStyle w:val="BodyText"/>
        <w:rPr>
          <w:sz w:val="20"/>
        </w:rPr>
      </w:pPr>
    </w:p>
    <w:p w14:paraId="1874A5BD" w14:textId="77777777" w:rsidR="00BD462C" w:rsidRDefault="00BD462C">
      <w:pPr>
        <w:pStyle w:val="BodyText"/>
        <w:rPr>
          <w:sz w:val="20"/>
        </w:rPr>
      </w:pPr>
    </w:p>
    <w:p w14:paraId="4E06F5C9" w14:textId="1A73FDC1" w:rsidR="00BD462C" w:rsidRDefault="00D70C7D">
      <w:pPr>
        <w:pStyle w:val="BodyText"/>
        <w:spacing w:before="8"/>
        <w:rPr>
          <w:sz w:val="26"/>
        </w:rPr>
      </w:pPr>
      <w:r>
        <w:rPr>
          <w:noProof/>
        </w:rPr>
        <mc:AlternateContent>
          <mc:Choice Requires="wps">
            <w:drawing>
              <wp:anchor distT="0" distB="0" distL="0" distR="0" simplePos="0" relativeHeight="487864320" behindDoc="1" locked="0" layoutInCell="1" allowOverlap="1" wp14:anchorId="190926D0" wp14:editId="574A17A8">
                <wp:simplePos x="0" y="0"/>
                <wp:positionH relativeFrom="page">
                  <wp:posOffset>899160</wp:posOffset>
                </wp:positionH>
                <wp:positionV relativeFrom="paragraph">
                  <wp:posOffset>222250</wp:posOffset>
                </wp:positionV>
                <wp:extent cx="1828800" cy="8890"/>
                <wp:effectExtent l="0" t="0" r="0" b="0"/>
                <wp:wrapTopAndBottom/>
                <wp:docPr id="260" name="docshape5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561CD3" id="docshape595" o:spid="_x0000_s1026" alt="&quot;&quot;" style="position:absolute;margin-left:70.8pt;margin-top:17.5pt;width:2in;height:.7pt;z-index:-1545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" fillcolor="black" stroked="f">
                <w10:wrap type="topAndBottom" anchorx="page"/>
              </v:rect>
            </w:pict>
          </mc:Fallback>
        </mc:AlternateContent>
      </w:r>
    </w:p>
    <w:p w14:paraId="7C100DB6" w14:textId="77777777" w:rsidR="00BD462C" w:rsidRDefault="00033D0F">
      <w:pPr>
        <w:spacing w:before="112" w:line="218" w:lineRule="exact"/>
        <w:ind w:left="135"/>
        <w:rPr>
          <w:sz w:val="18"/>
        </w:rPr>
      </w:pPr>
      <w:bookmarkStart w:id="1729" w:name="_bookmark1486"/>
      <w:bookmarkEnd w:id="1729"/>
      <w:r>
        <w:rPr>
          <w:position w:val="5"/>
          <w:sz w:val="12"/>
        </w:rPr>
        <w:t>1281</w:t>
      </w:r>
      <w:r>
        <w:rPr>
          <w:spacing w:val="13"/>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 xml:space="preserve">para. </w:t>
      </w:r>
      <w:r>
        <w:rPr>
          <w:spacing w:val="-2"/>
          <w:sz w:val="18"/>
        </w:rPr>
        <w:t>2461.</w:t>
      </w:r>
    </w:p>
    <w:p w14:paraId="0EEAFC53" w14:textId="77777777" w:rsidR="00BD462C" w:rsidRDefault="00033D0F">
      <w:pPr>
        <w:spacing w:line="218" w:lineRule="exact"/>
        <w:ind w:left="135"/>
        <w:rPr>
          <w:sz w:val="18"/>
        </w:rPr>
      </w:pPr>
      <w:bookmarkStart w:id="1730" w:name="_bookmark1487"/>
      <w:bookmarkEnd w:id="1730"/>
      <w:r>
        <w:rPr>
          <w:position w:val="5"/>
          <w:sz w:val="12"/>
        </w:rPr>
        <w:t>1282</w:t>
      </w:r>
      <w:r>
        <w:rPr>
          <w:spacing w:val="15"/>
          <w:position w:val="5"/>
          <w:sz w:val="12"/>
        </w:rPr>
        <w:t xml:space="preserve"> </w:t>
      </w:r>
      <w:r>
        <w:rPr>
          <w:sz w:val="18"/>
        </w:rPr>
        <w:t>China's</w:t>
      </w:r>
      <w:r>
        <w:rPr>
          <w:spacing w:val="1"/>
          <w:sz w:val="18"/>
        </w:rPr>
        <w:t xml:space="preserve"> </w:t>
      </w:r>
      <w:r>
        <w:rPr>
          <w:sz w:val="18"/>
        </w:rPr>
        <w:t>responses</w:t>
      </w:r>
      <w:r>
        <w:rPr>
          <w:spacing w:val="-4"/>
          <w:sz w:val="18"/>
        </w:rPr>
        <w:t xml:space="preserve"> </w:t>
      </w:r>
      <w:r>
        <w:rPr>
          <w:sz w:val="18"/>
        </w:rPr>
        <w:t>to</w:t>
      </w:r>
      <w:r>
        <w:rPr>
          <w:spacing w:val="-5"/>
          <w:sz w:val="18"/>
        </w:rPr>
        <w:t xml:space="preserve"> </w:t>
      </w:r>
      <w:r>
        <w:rPr>
          <w:sz w:val="18"/>
        </w:rPr>
        <w:t>Panel</w:t>
      </w:r>
      <w:r>
        <w:rPr>
          <w:spacing w:val="-2"/>
          <w:sz w:val="18"/>
        </w:rPr>
        <w:t xml:space="preserve"> </w:t>
      </w:r>
      <w:r>
        <w:rPr>
          <w:sz w:val="18"/>
        </w:rPr>
        <w:t>question</w:t>
      </w:r>
      <w:r>
        <w:rPr>
          <w:spacing w:val="-9"/>
          <w:sz w:val="18"/>
        </w:rPr>
        <w:t xml:space="preserve"> </w:t>
      </w:r>
      <w:r>
        <w:rPr>
          <w:sz w:val="18"/>
        </w:rPr>
        <w:t>No.</w:t>
      </w:r>
      <w:r>
        <w:rPr>
          <w:spacing w:val="-3"/>
          <w:sz w:val="18"/>
        </w:rPr>
        <w:t xml:space="preserve"> </w:t>
      </w:r>
      <w:r>
        <w:rPr>
          <w:sz w:val="18"/>
        </w:rPr>
        <w:t>54,</w:t>
      </w:r>
      <w:r>
        <w:rPr>
          <w:spacing w:val="-1"/>
          <w:sz w:val="18"/>
        </w:rPr>
        <w:t xml:space="preserve"> </w:t>
      </w:r>
      <w:r>
        <w:rPr>
          <w:sz w:val="18"/>
        </w:rPr>
        <w:t>para.</w:t>
      </w:r>
      <w:r>
        <w:rPr>
          <w:spacing w:val="2"/>
          <w:sz w:val="18"/>
        </w:rPr>
        <w:t xml:space="preserve"> </w:t>
      </w:r>
      <w:r>
        <w:rPr>
          <w:spacing w:val="-4"/>
          <w:sz w:val="18"/>
        </w:rPr>
        <w:t>332.</w:t>
      </w:r>
    </w:p>
    <w:p w14:paraId="67DEC3B5" w14:textId="77777777" w:rsidR="00BD462C" w:rsidRDefault="00033D0F">
      <w:pPr>
        <w:spacing w:before="1"/>
        <w:ind w:left="136" w:right="923" w:hanging="1"/>
        <w:rPr>
          <w:sz w:val="18"/>
        </w:rPr>
      </w:pPr>
      <w:bookmarkStart w:id="1731" w:name="_bookmark1488"/>
      <w:bookmarkEnd w:id="1731"/>
      <w:r>
        <w:rPr>
          <w:position w:val="5"/>
          <w:sz w:val="12"/>
        </w:rPr>
        <w:t>1283</w:t>
      </w:r>
      <w:r>
        <w:rPr>
          <w:spacing w:val="30"/>
          <w:position w:val="5"/>
          <w:sz w:val="12"/>
        </w:rPr>
        <w:t xml:space="preserve"> </w:t>
      </w:r>
      <w:r>
        <w:rPr>
          <w:sz w:val="18"/>
        </w:rPr>
        <w:t xml:space="preserve">See </w:t>
      </w:r>
      <w:proofErr w:type="gramStart"/>
      <w:r>
        <w:rPr>
          <w:sz w:val="18"/>
        </w:rPr>
        <w:t>e.g.</w:t>
      </w:r>
      <w:proofErr w:type="gramEnd"/>
      <w:r>
        <w:rPr>
          <w:sz w:val="18"/>
        </w:rPr>
        <w:t xml:space="preserve"> China's first written submission, paras. 2463, 2542. China states it was "obvious" that the sales data Treasury Wines was used for Casella Wines and Swan Vintage.</w:t>
      </w:r>
    </w:p>
    <w:p w14:paraId="6806E280" w14:textId="77777777" w:rsidR="00BD462C" w:rsidRDefault="00033D0F">
      <w:pPr>
        <w:spacing w:before="2"/>
        <w:ind w:left="135"/>
        <w:rPr>
          <w:sz w:val="18"/>
        </w:rPr>
      </w:pPr>
      <w:bookmarkStart w:id="1732" w:name="_bookmark1489"/>
      <w:bookmarkEnd w:id="1732"/>
      <w:r>
        <w:rPr>
          <w:position w:val="5"/>
          <w:sz w:val="12"/>
        </w:rPr>
        <w:t>1284</w:t>
      </w:r>
      <w:r>
        <w:rPr>
          <w:spacing w:val="13"/>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 xml:space="preserve">para. </w:t>
      </w:r>
      <w:r>
        <w:rPr>
          <w:spacing w:val="-2"/>
          <w:sz w:val="18"/>
        </w:rPr>
        <w:t>2461.</w:t>
      </w:r>
    </w:p>
    <w:p w14:paraId="6B2C29FB" w14:textId="77777777" w:rsidR="00BD462C" w:rsidRDefault="00033D0F">
      <w:pPr>
        <w:spacing w:before="1"/>
        <w:ind w:left="135"/>
        <w:rPr>
          <w:sz w:val="18"/>
        </w:rPr>
      </w:pPr>
      <w:bookmarkStart w:id="1733" w:name="_bookmark1490"/>
      <w:bookmarkEnd w:id="1733"/>
      <w:r>
        <w:rPr>
          <w:position w:val="5"/>
          <w:sz w:val="12"/>
        </w:rPr>
        <w:t>1285</w:t>
      </w:r>
      <w:r>
        <w:rPr>
          <w:spacing w:val="14"/>
          <w:position w:val="5"/>
          <w:sz w:val="12"/>
        </w:rPr>
        <w:t xml:space="preserve"> </w:t>
      </w:r>
      <w:r>
        <w:rPr>
          <w:sz w:val="18"/>
        </w:rPr>
        <w:t>China's responses</w:t>
      </w:r>
      <w:r>
        <w:rPr>
          <w:spacing w:val="-4"/>
          <w:sz w:val="18"/>
        </w:rPr>
        <w:t xml:space="preserve"> </w:t>
      </w:r>
      <w:r>
        <w:rPr>
          <w:sz w:val="18"/>
        </w:rPr>
        <w:t>to</w:t>
      </w:r>
      <w:r>
        <w:rPr>
          <w:spacing w:val="35"/>
          <w:sz w:val="18"/>
        </w:rPr>
        <w:t xml:space="preserve"> </w:t>
      </w:r>
      <w:r>
        <w:rPr>
          <w:sz w:val="18"/>
        </w:rPr>
        <w:t>Panel question</w:t>
      </w:r>
      <w:r>
        <w:rPr>
          <w:spacing w:val="-5"/>
          <w:sz w:val="18"/>
        </w:rPr>
        <w:t xml:space="preserve"> </w:t>
      </w:r>
      <w:r>
        <w:rPr>
          <w:sz w:val="18"/>
        </w:rPr>
        <w:t>No.</w:t>
      </w:r>
      <w:r>
        <w:rPr>
          <w:spacing w:val="1"/>
          <w:sz w:val="18"/>
        </w:rPr>
        <w:t xml:space="preserve"> </w:t>
      </w:r>
      <w:r>
        <w:rPr>
          <w:sz w:val="18"/>
        </w:rPr>
        <w:t>54,</w:t>
      </w:r>
      <w:r>
        <w:rPr>
          <w:spacing w:val="-2"/>
          <w:sz w:val="18"/>
        </w:rPr>
        <w:t xml:space="preserve"> </w:t>
      </w:r>
      <w:r>
        <w:rPr>
          <w:sz w:val="18"/>
        </w:rPr>
        <w:t>para</w:t>
      </w:r>
      <w:r>
        <w:rPr>
          <w:spacing w:val="-2"/>
          <w:sz w:val="18"/>
        </w:rPr>
        <w:t xml:space="preserve"> </w:t>
      </w:r>
      <w:r>
        <w:rPr>
          <w:spacing w:val="-4"/>
          <w:sz w:val="18"/>
        </w:rPr>
        <w:t>332.</w:t>
      </w:r>
    </w:p>
    <w:p w14:paraId="18536817" w14:textId="77777777" w:rsidR="00BD462C" w:rsidRDefault="00BD462C">
      <w:pPr>
        <w:rPr>
          <w:sz w:val="18"/>
        </w:rPr>
        <w:sectPr w:rsidR="00BD462C">
          <w:pgSz w:w="11910" w:h="16840"/>
          <w:pgMar w:top="860" w:right="500" w:bottom="780" w:left="1280" w:header="566" w:footer="590" w:gutter="0"/>
          <w:cols w:space="720"/>
        </w:sectPr>
      </w:pPr>
    </w:p>
    <w:p w14:paraId="52CCEF07"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1AFAD3FC"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23A3285D"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45504C01" w14:textId="77777777" w:rsidR="00BD462C" w:rsidRDefault="00033D0F">
      <w:pPr>
        <w:pStyle w:val="BodyText"/>
        <w:spacing w:before="102" w:line="357" w:lineRule="auto"/>
        <w:ind w:left="136" w:right="912"/>
      </w:pPr>
      <w:r>
        <w:t>argument</w:t>
      </w:r>
      <w:r>
        <w:rPr>
          <w:spacing w:val="32"/>
        </w:rPr>
        <w:t xml:space="preserve"> </w:t>
      </w:r>
      <w:r>
        <w:t>that</w:t>
      </w:r>
      <w:r>
        <w:rPr>
          <w:spacing w:val="32"/>
        </w:rPr>
        <w:t xml:space="preserve"> </w:t>
      </w:r>
      <w:r>
        <w:t>it</w:t>
      </w:r>
      <w:r>
        <w:rPr>
          <w:spacing w:val="32"/>
        </w:rPr>
        <w:t xml:space="preserve"> </w:t>
      </w:r>
      <w:r>
        <w:t>was</w:t>
      </w:r>
      <w:r>
        <w:rPr>
          <w:spacing w:val="33"/>
        </w:rPr>
        <w:t xml:space="preserve"> </w:t>
      </w:r>
      <w:r>
        <w:t>clear</w:t>
      </w:r>
      <w:r>
        <w:rPr>
          <w:spacing w:val="28"/>
        </w:rPr>
        <w:t xml:space="preserve"> </w:t>
      </w:r>
      <w:r>
        <w:t>the</w:t>
      </w:r>
      <w:r>
        <w:rPr>
          <w:spacing w:val="31"/>
        </w:rPr>
        <w:t xml:space="preserve"> </w:t>
      </w:r>
      <w:r>
        <w:t>ex-factory</w:t>
      </w:r>
      <w:r>
        <w:rPr>
          <w:spacing w:val="32"/>
        </w:rPr>
        <w:t xml:space="preserve"> </w:t>
      </w:r>
      <w:r>
        <w:t>price</w:t>
      </w:r>
      <w:r>
        <w:rPr>
          <w:spacing w:val="36"/>
        </w:rPr>
        <w:t xml:space="preserve"> </w:t>
      </w:r>
      <w:r>
        <w:t>was</w:t>
      </w:r>
      <w:r>
        <w:rPr>
          <w:spacing w:val="33"/>
        </w:rPr>
        <w:t xml:space="preserve"> </w:t>
      </w:r>
      <w:r>
        <w:t>based</w:t>
      </w:r>
      <w:r>
        <w:rPr>
          <w:spacing w:val="29"/>
        </w:rPr>
        <w:t xml:space="preserve"> </w:t>
      </w:r>
      <w:r>
        <w:t>on</w:t>
      </w:r>
      <w:r>
        <w:rPr>
          <w:spacing w:val="29"/>
        </w:rPr>
        <w:t xml:space="preserve"> </w:t>
      </w:r>
      <w:r>
        <w:t>Treasury</w:t>
      </w:r>
      <w:r>
        <w:rPr>
          <w:spacing w:val="32"/>
        </w:rPr>
        <w:t xml:space="preserve"> </w:t>
      </w:r>
      <w:r>
        <w:t>Wines'</w:t>
      </w:r>
      <w:r>
        <w:rPr>
          <w:spacing w:val="30"/>
        </w:rPr>
        <w:t xml:space="preserve"> </w:t>
      </w:r>
      <w:r>
        <w:t>data,</w:t>
      </w:r>
      <w:hyperlink w:anchor="_bookmark1491" w:history="1">
        <w:r>
          <w:rPr>
            <w:vertAlign w:val="superscript"/>
          </w:rPr>
          <w:t>1286</w:t>
        </w:r>
      </w:hyperlink>
      <w:r>
        <w:rPr>
          <w:spacing w:val="32"/>
        </w:rPr>
        <w:t xml:space="preserve"> </w:t>
      </w:r>
      <w:r>
        <w:t>is neither accurate nor consistent with the facts or China's own submissions.</w:t>
      </w:r>
      <w:hyperlink w:anchor="_bookmark1492" w:history="1">
        <w:r>
          <w:rPr>
            <w:vertAlign w:val="superscript"/>
          </w:rPr>
          <w:t>1287</w:t>
        </w:r>
      </w:hyperlink>
    </w:p>
    <w:p w14:paraId="3480A27F" w14:textId="77777777" w:rsidR="00BD462C" w:rsidRDefault="00BD462C">
      <w:pPr>
        <w:pStyle w:val="BodyText"/>
        <w:spacing w:before="3"/>
        <w:rPr>
          <w:sz w:val="9"/>
        </w:rPr>
      </w:pPr>
    </w:p>
    <w:p w14:paraId="45E6BDB3" w14:textId="018FEAE0" w:rsidR="00BD462C" w:rsidRDefault="00D34854">
      <w:pPr>
        <w:pStyle w:val="BodyText"/>
        <w:spacing w:before="56" w:line="360" w:lineRule="auto"/>
        <w:ind w:left="135" w:right="913"/>
        <w:jc w:val="both"/>
      </w:pPr>
      <w:r>
        <w:rPr>
          <w:noProof/>
        </w:rPr>
        <w:t>882.</w:t>
      </w:r>
      <w:r w:rsidR="00033D0F">
        <w:rPr>
          <w:rFonts w:ascii="Times New Roman" w:hAnsi="Times New Roman"/>
          <w:spacing w:val="80"/>
          <w:position w:val="1"/>
          <w:sz w:val="20"/>
        </w:rPr>
        <w:t xml:space="preserve">   </w:t>
      </w:r>
      <w:r w:rsidR="00033D0F">
        <w:rPr>
          <w:position w:val="1"/>
        </w:rPr>
        <w:t>Further,</w:t>
      </w:r>
      <w:r w:rsidR="00033D0F">
        <w:rPr>
          <w:spacing w:val="-10"/>
          <w:position w:val="1"/>
        </w:rPr>
        <w:t xml:space="preserve"> </w:t>
      </w:r>
      <w:r w:rsidR="00033D0F">
        <w:rPr>
          <w:position w:val="1"/>
        </w:rPr>
        <w:t>China</w:t>
      </w:r>
      <w:r w:rsidR="00033D0F">
        <w:rPr>
          <w:spacing w:val="-12"/>
          <w:position w:val="1"/>
        </w:rPr>
        <w:t xml:space="preserve"> </w:t>
      </w:r>
      <w:r w:rsidR="00033D0F">
        <w:rPr>
          <w:position w:val="1"/>
        </w:rPr>
        <w:t>states</w:t>
      </w:r>
      <w:r w:rsidR="00033D0F">
        <w:rPr>
          <w:spacing w:val="-10"/>
          <w:position w:val="1"/>
        </w:rPr>
        <w:t xml:space="preserve"> </w:t>
      </w:r>
      <w:r w:rsidR="00033D0F">
        <w:rPr>
          <w:position w:val="1"/>
        </w:rPr>
        <w:t>that</w:t>
      </w:r>
      <w:r w:rsidR="00033D0F">
        <w:rPr>
          <w:spacing w:val="-14"/>
          <w:position w:val="1"/>
        </w:rPr>
        <w:t xml:space="preserve"> </w:t>
      </w:r>
      <w:r w:rsidR="00033D0F">
        <w:rPr>
          <w:position w:val="1"/>
        </w:rPr>
        <w:t>it</w:t>
      </w:r>
      <w:r w:rsidR="00033D0F">
        <w:rPr>
          <w:spacing w:val="-11"/>
          <w:position w:val="1"/>
        </w:rPr>
        <w:t xml:space="preserve"> </w:t>
      </w:r>
      <w:r w:rsidR="00033D0F">
        <w:rPr>
          <w:position w:val="1"/>
        </w:rPr>
        <w:t>was</w:t>
      </w:r>
      <w:r w:rsidR="00033D0F">
        <w:rPr>
          <w:spacing w:val="-10"/>
          <w:position w:val="1"/>
        </w:rPr>
        <w:t xml:space="preserve"> </w:t>
      </w:r>
      <w:r w:rsidR="00033D0F">
        <w:rPr>
          <w:position w:val="1"/>
        </w:rPr>
        <w:t>clear</w:t>
      </w:r>
      <w:r w:rsidR="00033D0F">
        <w:rPr>
          <w:spacing w:val="-14"/>
          <w:position w:val="1"/>
        </w:rPr>
        <w:t xml:space="preserve"> </w:t>
      </w:r>
      <w:r w:rsidR="00033D0F">
        <w:rPr>
          <w:position w:val="1"/>
        </w:rPr>
        <w:t>from</w:t>
      </w:r>
      <w:r w:rsidR="00033D0F">
        <w:rPr>
          <w:spacing w:val="-12"/>
          <w:position w:val="1"/>
        </w:rPr>
        <w:t xml:space="preserve"> </w:t>
      </w:r>
      <w:r w:rsidR="00033D0F">
        <w:rPr>
          <w:position w:val="1"/>
        </w:rPr>
        <w:t>the</w:t>
      </w:r>
      <w:r w:rsidR="00033D0F">
        <w:rPr>
          <w:spacing w:val="-12"/>
          <w:position w:val="1"/>
        </w:rPr>
        <w:t xml:space="preserve"> </w:t>
      </w:r>
      <w:r w:rsidR="00033D0F">
        <w:rPr>
          <w:position w:val="1"/>
        </w:rPr>
        <w:t>explanation</w:t>
      </w:r>
      <w:r w:rsidR="00033D0F">
        <w:rPr>
          <w:spacing w:val="-14"/>
          <w:position w:val="1"/>
        </w:rPr>
        <w:t xml:space="preserve"> </w:t>
      </w:r>
      <w:r w:rsidR="00033D0F">
        <w:rPr>
          <w:position w:val="1"/>
        </w:rPr>
        <w:t>in</w:t>
      </w:r>
      <w:r w:rsidR="00033D0F">
        <w:rPr>
          <w:spacing w:val="-14"/>
          <w:position w:val="1"/>
        </w:rPr>
        <w:t xml:space="preserve"> </w:t>
      </w:r>
      <w:r w:rsidR="00033D0F">
        <w:rPr>
          <w:position w:val="1"/>
        </w:rPr>
        <w:t>the</w:t>
      </w:r>
      <w:r w:rsidR="00033D0F">
        <w:rPr>
          <w:spacing w:val="-12"/>
          <w:position w:val="1"/>
        </w:rPr>
        <w:t xml:space="preserve"> </w:t>
      </w:r>
      <w:r w:rsidR="00033D0F">
        <w:rPr>
          <w:position w:val="1"/>
        </w:rPr>
        <w:t>Final</w:t>
      </w:r>
      <w:r w:rsidR="00033D0F">
        <w:rPr>
          <w:spacing w:val="-14"/>
          <w:position w:val="1"/>
        </w:rPr>
        <w:t xml:space="preserve"> </w:t>
      </w:r>
      <w:r w:rsidR="00033D0F">
        <w:rPr>
          <w:position w:val="1"/>
        </w:rPr>
        <w:t xml:space="preserve">Determination </w:t>
      </w:r>
      <w:r w:rsidR="00033D0F">
        <w:t xml:space="preserve">– i.e., that MOFCOM used the "weighted average" </w:t>
      </w:r>
      <w:r w:rsidR="00033D0F">
        <w:rPr>
          <w:i/>
        </w:rPr>
        <w:t>–</w:t>
      </w:r>
      <w:r w:rsidR="00033D0F">
        <w:t>that the normal values for Casella Wines and</w:t>
      </w:r>
      <w:r w:rsidR="00033D0F">
        <w:rPr>
          <w:spacing w:val="-8"/>
        </w:rPr>
        <w:t xml:space="preserve"> </w:t>
      </w:r>
      <w:r w:rsidR="00033D0F">
        <w:t>Swan</w:t>
      </w:r>
      <w:r w:rsidR="00033D0F">
        <w:rPr>
          <w:spacing w:val="-3"/>
        </w:rPr>
        <w:t xml:space="preserve"> </w:t>
      </w:r>
      <w:r w:rsidR="00033D0F">
        <w:t>Vintage</w:t>
      </w:r>
      <w:r w:rsidR="00033D0F">
        <w:rPr>
          <w:spacing w:val="-6"/>
        </w:rPr>
        <w:t xml:space="preserve"> </w:t>
      </w:r>
      <w:r w:rsidR="00033D0F">
        <w:t>were</w:t>
      </w:r>
      <w:r w:rsidR="00033D0F">
        <w:rPr>
          <w:spacing w:val="-1"/>
        </w:rPr>
        <w:t xml:space="preserve"> </w:t>
      </w:r>
      <w:r w:rsidR="00033D0F">
        <w:t>"based</w:t>
      </w:r>
      <w:r w:rsidR="00033D0F">
        <w:rPr>
          <w:spacing w:val="-3"/>
        </w:rPr>
        <w:t xml:space="preserve"> </w:t>
      </w:r>
      <w:r w:rsidR="00033D0F">
        <w:t>on</w:t>
      </w:r>
      <w:r w:rsidR="00033D0F">
        <w:rPr>
          <w:spacing w:val="-3"/>
        </w:rPr>
        <w:t xml:space="preserve"> </w:t>
      </w:r>
      <w:r w:rsidR="00033D0F">
        <w:t>the</w:t>
      </w:r>
      <w:r w:rsidR="00033D0F">
        <w:rPr>
          <w:spacing w:val="-6"/>
        </w:rPr>
        <w:t xml:space="preserve"> </w:t>
      </w:r>
      <w:r w:rsidR="00033D0F">
        <w:t>weighted</w:t>
      </w:r>
      <w:r w:rsidR="00033D0F">
        <w:rPr>
          <w:spacing w:val="-8"/>
        </w:rPr>
        <w:t xml:space="preserve"> </w:t>
      </w:r>
      <w:r w:rsidR="00033D0F">
        <w:t>average</w:t>
      </w:r>
      <w:r w:rsidR="00033D0F">
        <w:rPr>
          <w:spacing w:val="-6"/>
        </w:rPr>
        <w:t xml:space="preserve"> </w:t>
      </w:r>
      <w:r w:rsidR="00033D0F">
        <w:t>ex-factory</w:t>
      </w:r>
      <w:r w:rsidR="00033D0F">
        <w:rPr>
          <w:spacing w:val="-5"/>
        </w:rPr>
        <w:t xml:space="preserve"> </w:t>
      </w:r>
      <w:r w:rsidR="00033D0F">
        <w:t>price</w:t>
      </w:r>
      <w:r w:rsidR="00033D0F">
        <w:rPr>
          <w:spacing w:val="-6"/>
        </w:rPr>
        <w:t xml:space="preserve"> </w:t>
      </w:r>
      <w:r w:rsidR="00033D0F">
        <w:t>of</w:t>
      </w:r>
      <w:r w:rsidR="00033D0F">
        <w:rPr>
          <w:spacing w:val="-8"/>
        </w:rPr>
        <w:t xml:space="preserve"> </w:t>
      </w:r>
      <w:r w:rsidR="00033D0F">
        <w:rPr>
          <w:i/>
        </w:rPr>
        <w:t>all</w:t>
      </w:r>
      <w:r w:rsidR="00033D0F">
        <w:rPr>
          <w:i/>
          <w:spacing w:val="-4"/>
        </w:rPr>
        <w:t xml:space="preserve"> </w:t>
      </w:r>
      <w:r w:rsidR="00033D0F">
        <w:t>domestic</w:t>
      </w:r>
      <w:r w:rsidR="00033D0F">
        <w:rPr>
          <w:spacing w:val="-7"/>
        </w:rPr>
        <w:t xml:space="preserve"> </w:t>
      </w:r>
      <w:r w:rsidR="00033D0F">
        <w:t>sales of Treasury Wines".</w:t>
      </w:r>
      <w:hyperlink w:anchor="_bookmark1493" w:history="1">
        <w:r w:rsidR="00033D0F">
          <w:rPr>
            <w:vertAlign w:val="superscript"/>
          </w:rPr>
          <w:t>1288</w:t>
        </w:r>
      </w:hyperlink>
      <w:r w:rsidR="00033D0F">
        <w:t xml:space="preserve"> However, as this information was not provided to interested parties throughout the investigation, it was not at all clear how MOFCOM determined the weighted average for the other sampled companies during the course of the investigation. Regarding MOFCOM's</w:t>
      </w:r>
      <w:r w:rsidR="00033D0F">
        <w:rPr>
          <w:spacing w:val="-2"/>
        </w:rPr>
        <w:t xml:space="preserve"> </w:t>
      </w:r>
      <w:r w:rsidR="00033D0F">
        <w:t>comparative</w:t>
      </w:r>
      <w:r w:rsidR="00033D0F">
        <w:rPr>
          <w:spacing w:val="-3"/>
        </w:rPr>
        <w:t xml:space="preserve"> </w:t>
      </w:r>
      <w:r w:rsidR="00033D0F">
        <w:t>analysis,</w:t>
      </w:r>
      <w:r w:rsidR="00033D0F">
        <w:rPr>
          <w:spacing w:val="-1"/>
        </w:rPr>
        <w:t xml:space="preserve"> </w:t>
      </w:r>
      <w:r w:rsidR="00033D0F">
        <w:t>China's</w:t>
      </w:r>
      <w:r w:rsidR="00033D0F">
        <w:rPr>
          <w:spacing w:val="-2"/>
        </w:rPr>
        <w:t xml:space="preserve"> </w:t>
      </w:r>
      <w:r w:rsidR="00033D0F">
        <w:t>arguments</w:t>
      </w:r>
      <w:r w:rsidR="00033D0F">
        <w:rPr>
          <w:spacing w:val="-2"/>
        </w:rPr>
        <w:t xml:space="preserve"> </w:t>
      </w:r>
      <w:r w:rsidR="00033D0F">
        <w:t>that,</w:t>
      </w:r>
      <w:r w:rsidR="00033D0F">
        <w:rPr>
          <w:spacing w:val="-1"/>
        </w:rPr>
        <w:t xml:space="preserve"> </w:t>
      </w:r>
      <w:r w:rsidR="00033D0F">
        <w:t>as</w:t>
      </w:r>
      <w:r w:rsidR="00033D0F">
        <w:rPr>
          <w:spacing w:val="-2"/>
        </w:rPr>
        <w:t xml:space="preserve"> </w:t>
      </w:r>
      <w:r w:rsidR="00033D0F">
        <w:t>MOFCOM</w:t>
      </w:r>
      <w:r w:rsidR="00033D0F">
        <w:rPr>
          <w:spacing w:val="-3"/>
        </w:rPr>
        <w:t xml:space="preserve"> </w:t>
      </w:r>
      <w:r w:rsidR="00033D0F">
        <w:t>used</w:t>
      </w:r>
      <w:r w:rsidR="00033D0F">
        <w:rPr>
          <w:spacing w:val="-5"/>
        </w:rPr>
        <w:t xml:space="preserve"> </w:t>
      </w:r>
      <w:r w:rsidR="00033D0F">
        <w:t>Treasury</w:t>
      </w:r>
      <w:r w:rsidR="00033D0F">
        <w:rPr>
          <w:spacing w:val="-2"/>
        </w:rPr>
        <w:t xml:space="preserve"> </w:t>
      </w:r>
      <w:r w:rsidR="00033D0F">
        <w:t>Wines' data it was "obvious" it compared Casella Wines and Swan Vintage's data to those of Treasury</w:t>
      </w:r>
      <w:r w:rsidR="00033D0F">
        <w:rPr>
          <w:spacing w:val="-1"/>
        </w:rPr>
        <w:t xml:space="preserve"> </w:t>
      </w:r>
      <w:r w:rsidR="00033D0F">
        <w:t>Wines, are equally unsupported by the facts.</w:t>
      </w:r>
      <w:hyperlink w:anchor="_bookmark1494" w:history="1">
        <w:r w:rsidR="00033D0F">
          <w:rPr>
            <w:vertAlign w:val="superscript"/>
          </w:rPr>
          <w:t>1289</w:t>
        </w:r>
      </w:hyperlink>
      <w:r w:rsidR="00033D0F">
        <w:t xml:space="preserve"> At the time of the investigation, MOFCOM's disclosures were completely inadequate; China has provided no justification for this failure.</w:t>
      </w:r>
    </w:p>
    <w:p w14:paraId="40085485" w14:textId="77777777" w:rsidR="00BD462C" w:rsidRDefault="00BD462C">
      <w:pPr>
        <w:pStyle w:val="BodyText"/>
        <w:spacing w:before="4"/>
        <w:rPr>
          <w:sz w:val="8"/>
        </w:rPr>
      </w:pPr>
    </w:p>
    <w:p w14:paraId="1A9F39A7" w14:textId="3729709A" w:rsidR="00BD462C" w:rsidRDefault="00D70C7D">
      <w:pPr>
        <w:pStyle w:val="BodyText"/>
        <w:spacing w:before="56" w:line="360" w:lineRule="auto"/>
        <w:ind w:left="135" w:right="913"/>
        <w:jc w:val="both"/>
      </w:pPr>
      <w:r>
        <w:rPr>
          <w:noProof/>
        </w:rPr>
        <mc:AlternateContent>
          <mc:Choice Requires="wps">
            <w:drawing>
              <wp:anchor distT="0" distB="0" distL="114300" distR="114300" simplePos="0" relativeHeight="479167488" behindDoc="1" locked="0" layoutInCell="1" allowOverlap="1" wp14:anchorId="70F1D3DD" wp14:editId="7D62EDCF">
                <wp:simplePos x="0" y="0"/>
                <wp:positionH relativeFrom="page">
                  <wp:posOffset>3559810</wp:posOffset>
                </wp:positionH>
                <wp:positionV relativeFrom="paragraph">
                  <wp:posOffset>869950</wp:posOffset>
                </wp:positionV>
                <wp:extent cx="3100070" cy="186055"/>
                <wp:effectExtent l="0" t="0" r="0" b="0"/>
                <wp:wrapNone/>
                <wp:docPr id="258" name="docshape5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007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AEAE11" id="docshape596" o:spid="_x0000_s1026" alt="&quot;&quot;" style="position:absolute;margin-left:280.3pt;margin-top:68.5pt;width:244.1pt;height:14.65pt;z-index:-2414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" fillcolor="black" stroked="f">
                <w10:wrap anchorx="page"/>
              </v:rect>
            </w:pict>
          </mc:Fallback>
        </mc:AlternateContent>
      </w:r>
      <w:r w:rsidR="00D34854">
        <w:rPr>
          <w:noProof/>
        </w:rPr>
        <w:t>883.</w:t>
      </w:r>
      <w:r w:rsidR="00033D0F">
        <w:rPr>
          <w:rFonts w:ascii="Times New Roman"/>
          <w:spacing w:val="80"/>
          <w:position w:val="1"/>
          <w:sz w:val="20"/>
        </w:rPr>
        <w:t xml:space="preserve">  </w:t>
      </w:r>
      <w:r w:rsidR="00033D0F">
        <w:rPr>
          <w:position w:val="1"/>
        </w:rPr>
        <w:t>China</w:t>
      </w:r>
      <w:r w:rsidR="00033D0F">
        <w:rPr>
          <w:spacing w:val="-4"/>
          <w:position w:val="1"/>
        </w:rPr>
        <w:t xml:space="preserve"> </w:t>
      </w:r>
      <w:r w:rsidR="00033D0F">
        <w:rPr>
          <w:position w:val="1"/>
        </w:rPr>
        <w:t>incorrectly</w:t>
      </w:r>
      <w:r w:rsidR="00033D0F">
        <w:rPr>
          <w:spacing w:val="-2"/>
          <w:position w:val="1"/>
        </w:rPr>
        <w:t xml:space="preserve"> </w:t>
      </w:r>
      <w:r w:rsidR="00033D0F">
        <w:rPr>
          <w:position w:val="1"/>
        </w:rPr>
        <w:t>claims</w:t>
      </w:r>
      <w:r w:rsidR="00033D0F">
        <w:rPr>
          <w:spacing w:val="-2"/>
          <w:position w:val="1"/>
        </w:rPr>
        <w:t xml:space="preserve"> </w:t>
      </w:r>
      <w:r w:rsidR="00033D0F">
        <w:rPr>
          <w:position w:val="1"/>
        </w:rPr>
        <w:t>that,</w:t>
      </w:r>
      <w:r w:rsidR="00033D0F">
        <w:rPr>
          <w:spacing w:val="-1"/>
          <w:position w:val="1"/>
        </w:rPr>
        <w:t xml:space="preserve"> </w:t>
      </w:r>
      <w:r w:rsidR="00033D0F">
        <w:rPr>
          <w:position w:val="1"/>
        </w:rPr>
        <w:t>because</w:t>
      </w:r>
      <w:r w:rsidR="00033D0F">
        <w:rPr>
          <w:spacing w:val="-3"/>
          <w:position w:val="1"/>
        </w:rPr>
        <w:t xml:space="preserve"> </w:t>
      </w:r>
      <w:r w:rsidR="00033D0F">
        <w:rPr>
          <w:position w:val="1"/>
        </w:rPr>
        <w:t>some</w:t>
      </w:r>
      <w:r w:rsidR="00033D0F">
        <w:rPr>
          <w:spacing w:val="-3"/>
          <w:position w:val="1"/>
        </w:rPr>
        <w:t xml:space="preserve"> </w:t>
      </w:r>
      <w:r w:rsidR="00033D0F">
        <w:rPr>
          <w:position w:val="1"/>
        </w:rPr>
        <w:t>comments</w:t>
      </w:r>
      <w:r w:rsidR="00033D0F">
        <w:rPr>
          <w:spacing w:val="-2"/>
          <w:position w:val="1"/>
        </w:rPr>
        <w:t xml:space="preserve"> </w:t>
      </w:r>
      <w:r w:rsidR="00033D0F">
        <w:rPr>
          <w:position w:val="1"/>
        </w:rPr>
        <w:t>were</w:t>
      </w:r>
      <w:r w:rsidR="00033D0F">
        <w:rPr>
          <w:spacing w:val="-3"/>
          <w:position w:val="1"/>
        </w:rPr>
        <w:t xml:space="preserve"> </w:t>
      </w:r>
      <w:r w:rsidR="00033D0F">
        <w:rPr>
          <w:position w:val="1"/>
        </w:rPr>
        <w:t>submitted,</w:t>
      </w:r>
      <w:r w:rsidR="00033D0F">
        <w:rPr>
          <w:spacing w:val="-1"/>
          <w:position w:val="1"/>
        </w:rPr>
        <w:t xml:space="preserve"> </w:t>
      </w:r>
      <w:r w:rsidR="00033D0F">
        <w:rPr>
          <w:position w:val="1"/>
        </w:rPr>
        <w:t>this</w:t>
      </w:r>
      <w:r w:rsidR="00033D0F">
        <w:rPr>
          <w:spacing w:val="-2"/>
          <w:position w:val="1"/>
        </w:rPr>
        <w:t xml:space="preserve"> </w:t>
      </w:r>
      <w:r w:rsidR="00033D0F">
        <w:rPr>
          <w:position w:val="1"/>
        </w:rPr>
        <w:t>is</w:t>
      </w:r>
      <w:r w:rsidR="00033D0F">
        <w:rPr>
          <w:spacing w:val="-2"/>
          <w:position w:val="1"/>
        </w:rPr>
        <w:t xml:space="preserve"> </w:t>
      </w:r>
      <w:r w:rsidR="00033D0F">
        <w:rPr>
          <w:position w:val="1"/>
        </w:rPr>
        <w:t xml:space="preserve">proof </w:t>
      </w:r>
      <w:r w:rsidR="00033D0F">
        <w:t>that its Article 6.4 obligations were met. To the contrary, comments provided by interested parties</w:t>
      </w:r>
      <w:r w:rsidR="00033D0F">
        <w:rPr>
          <w:spacing w:val="-14"/>
        </w:rPr>
        <w:t xml:space="preserve"> </w:t>
      </w:r>
      <w:r w:rsidR="00033D0F">
        <w:t>routinely</w:t>
      </w:r>
      <w:r w:rsidR="00033D0F">
        <w:rPr>
          <w:spacing w:val="-14"/>
        </w:rPr>
        <w:t xml:space="preserve"> </w:t>
      </w:r>
      <w:r w:rsidR="00033D0F">
        <w:t>addressed</w:t>
      </w:r>
      <w:r w:rsidR="00033D0F">
        <w:rPr>
          <w:spacing w:val="-13"/>
        </w:rPr>
        <w:t xml:space="preserve"> </w:t>
      </w:r>
      <w:r w:rsidR="00033D0F">
        <w:t>the</w:t>
      </w:r>
      <w:r w:rsidR="00033D0F">
        <w:rPr>
          <w:spacing w:val="-14"/>
        </w:rPr>
        <w:t xml:space="preserve"> </w:t>
      </w:r>
      <w:r w:rsidR="00033D0F">
        <w:t>insufficient</w:t>
      </w:r>
      <w:r w:rsidR="00033D0F">
        <w:rPr>
          <w:spacing w:val="-13"/>
        </w:rPr>
        <w:t xml:space="preserve"> </w:t>
      </w:r>
      <w:r w:rsidR="00033D0F">
        <w:t>nature</w:t>
      </w:r>
      <w:r w:rsidR="00033D0F">
        <w:rPr>
          <w:spacing w:val="-14"/>
        </w:rPr>
        <w:t xml:space="preserve"> </w:t>
      </w:r>
      <w:r w:rsidR="00033D0F">
        <w:t>of</w:t>
      </w:r>
      <w:r w:rsidR="00033D0F">
        <w:rPr>
          <w:spacing w:val="-13"/>
        </w:rPr>
        <w:t xml:space="preserve"> </w:t>
      </w:r>
      <w:r w:rsidR="00033D0F">
        <w:t>MOFCOM's</w:t>
      </w:r>
      <w:r w:rsidR="00033D0F">
        <w:rPr>
          <w:spacing w:val="-14"/>
        </w:rPr>
        <w:t xml:space="preserve"> </w:t>
      </w:r>
      <w:r w:rsidR="00033D0F">
        <w:t>disclosures.</w:t>
      </w:r>
      <w:r w:rsidR="00033D0F">
        <w:rPr>
          <w:spacing w:val="-14"/>
        </w:rPr>
        <w:t xml:space="preserve"> </w:t>
      </w:r>
      <w:r w:rsidR="00033D0F">
        <w:t>For</w:t>
      </w:r>
      <w:r w:rsidR="00033D0F">
        <w:rPr>
          <w:spacing w:val="-13"/>
        </w:rPr>
        <w:t xml:space="preserve"> </w:t>
      </w:r>
      <w:r w:rsidR="00033D0F">
        <w:t>example,</w:t>
      </w:r>
      <w:r w:rsidR="00033D0F">
        <w:rPr>
          <w:spacing w:val="-14"/>
        </w:rPr>
        <w:t xml:space="preserve"> </w:t>
      </w:r>
      <w:r w:rsidR="00033D0F">
        <w:t>the comments</w:t>
      </w:r>
      <w:r w:rsidR="00033D0F">
        <w:rPr>
          <w:spacing w:val="40"/>
        </w:rPr>
        <w:t xml:space="preserve"> </w:t>
      </w:r>
      <w:r w:rsidR="00033D0F">
        <w:t>provided</w:t>
      </w:r>
      <w:r w:rsidR="00033D0F">
        <w:rPr>
          <w:spacing w:val="40"/>
        </w:rPr>
        <w:t xml:space="preserve"> </w:t>
      </w:r>
      <w:r w:rsidR="00033D0F">
        <w:t>on</w:t>
      </w:r>
      <w:r w:rsidR="00033D0F">
        <w:rPr>
          <w:spacing w:val="40"/>
        </w:rPr>
        <w:t xml:space="preserve"> </w:t>
      </w:r>
      <w:r w:rsidR="00033D0F">
        <w:t>normal</w:t>
      </w:r>
      <w:r w:rsidR="00033D0F">
        <w:rPr>
          <w:spacing w:val="40"/>
        </w:rPr>
        <w:t xml:space="preserve"> </w:t>
      </w:r>
      <w:r w:rsidR="00033D0F">
        <w:t>value</w:t>
      </w:r>
      <w:r w:rsidR="00033D0F">
        <w:rPr>
          <w:spacing w:val="40"/>
        </w:rPr>
        <w:t xml:space="preserve"> </w:t>
      </w:r>
      <w:r w:rsidR="00033D0F">
        <w:t>by</w:t>
      </w:r>
    </w:p>
    <w:p w14:paraId="69736C25" w14:textId="4372885D" w:rsidR="00BD462C" w:rsidRDefault="00D70C7D">
      <w:pPr>
        <w:pStyle w:val="BodyText"/>
        <w:ind w:left="136"/>
        <w:rPr>
          <w:sz w:val="20"/>
        </w:rPr>
      </w:pPr>
      <w:r>
        <w:rPr>
          <w:noProof/>
          <w:sz w:val="20"/>
        </w:rPr>
        <mc:AlternateContent>
          <mc:Choice Requires="wpg">
            <w:drawing>
              <wp:inline distT="0" distB="0" distL="0" distR="0" wp14:anchorId="4BA73ABD" wp14:editId="62F3F107">
                <wp:extent cx="5697220" cy="186055"/>
                <wp:effectExtent l="3810" t="3810" r="4445" b="635"/>
                <wp:docPr id="254" name="docshapegroup597" descr="Redac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7220" cy="186055"/>
                          <a:chOff x="0" y="0"/>
                          <a:chExt cx="8972" cy="293"/>
                        </a:xfrm>
                      </wpg:grpSpPr>
                      <wps:wsp>
                        <wps:cNvPr id="256" name="docshape598"/>
                        <wps:cNvSpPr>
                          <a:spLocks noChangeArrowheads="1"/>
                        </wps:cNvSpPr>
                        <wps:spPr bwMode="auto">
                          <a:xfrm>
                            <a:off x="0" y="0"/>
                            <a:ext cx="8972" cy="29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4BB2041" id="docshapegroup597" o:spid="_x0000_s1026" alt="Redacted" style="width:448.6pt;height:14.65pt;mso-position-horizontal-relative:char;mso-position-vertical-relative:line" coordsize="8972,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">
                <v:rect id="docshape598" o:spid="_x0000_s1027" style="position:absolute;width:8972;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" fillcolor="black" stroked="f"/>
                <w10:anchorlock/>
              </v:group>
            </w:pict>
          </mc:Fallback>
        </mc:AlternateContent>
      </w:r>
    </w:p>
    <w:p w14:paraId="0C08B54A" w14:textId="13522952" w:rsidR="00BD462C" w:rsidRDefault="00D70C7D">
      <w:pPr>
        <w:pStyle w:val="BodyText"/>
        <w:rPr>
          <w:sz w:val="7"/>
        </w:rPr>
      </w:pPr>
      <w:r>
        <w:rPr>
          <w:noProof/>
        </w:rPr>
        <mc:AlternateContent>
          <mc:Choice Requires="wps">
            <w:drawing>
              <wp:anchor distT="0" distB="0" distL="0" distR="0" simplePos="0" relativeHeight="487865344" behindDoc="1" locked="0" layoutInCell="1" allowOverlap="1" wp14:anchorId="6985411F" wp14:editId="5094F409">
                <wp:simplePos x="0" y="0"/>
                <wp:positionH relativeFrom="page">
                  <wp:posOffset>899160</wp:posOffset>
                </wp:positionH>
                <wp:positionV relativeFrom="paragraph">
                  <wp:posOffset>69850</wp:posOffset>
                </wp:positionV>
                <wp:extent cx="5696585" cy="186055"/>
                <wp:effectExtent l="0" t="0" r="0" b="0"/>
                <wp:wrapTopAndBottom/>
                <wp:docPr id="252" name="docshape5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658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F62C2F" id="docshape599" o:spid="_x0000_s1026" alt="&quot;&quot;" style="position:absolute;margin-left:70.8pt;margin-top:5.5pt;width:448.55pt;height:14.65pt;z-index:-1545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" fillcolor="black" stroked="f">
                <w10:wrap type="topAndBottom" anchorx="page"/>
              </v:rect>
            </w:pict>
          </mc:Fallback>
        </mc:AlternateContent>
      </w:r>
    </w:p>
    <w:p w14:paraId="451F964C" w14:textId="77777777" w:rsidR="00BD462C" w:rsidRDefault="00BD462C">
      <w:pPr>
        <w:pStyle w:val="BodyText"/>
        <w:spacing w:before="5"/>
        <w:rPr>
          <w:sz w:val="6"/>
        </w:rPr>
      </w:pPr>
    </w:p>
    <w:p w14:paraId="67D5C736" w14:textId="06C74236" w:rsidR="00BD462C" w:rsidRDefault="00D70C7D">
      <w:pPr>
        <w:pStyle w:val="BodyText"/>
        <w:spacing w:before="72" w:line="360" w:lineRule="auto"/>
        <w:ind w:left="135" w:right="910" w:firstLine="1152"/>
        <w:jc w:val="both"/>
      </w:pPr>
      <w:r>
        <w:rPr>
          <w:noProof/>
        </w:rPr>
        <mc:AlternateContent>
          <mc:Choice Requires="wps">
            <w:drawing>
              <wp:anchor distT="0" distB="0" distL="114300" distR="114300" simplePos="0" relativeHeight="16007680" behindDoc="0" locked="0" layoutInCell="1" allowOverlap="1" wp14:anchorId="382021A5" wp14:editId="0D4FFC76">
                <wp:simplePos x="0" y="0"/>
                <wp:positionH relativeFrom="page">
                  <wp:posOffset>899160</wp:posOffset>
                </wp:positionH>
                <wp:positionV relativeFrom="paragraph">
                  <wp:posOffset>44450</wp:posOffset>
                </wp:positionV>
                <wp:extent cx="731520" cy="186055"/>
                <wp:effectExtent l="0" t="0" r="0" b="0"/>
                <wp:wrapNone/>
                <wp:docPr id="250" name="docshape6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FFB4BD" id="docshape600" o:spid="_x0000_s1026" alt="&quot;&quot;" style="position:absolute;margin-left:70.8pt;margin-top:3.5pt;width:57.6pt;height:14.65pt;z-index:1600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" fillcolor="black" stroked="f">
                <w10:wrap anchorx="page"/>
              </v:rect>
            </w:pict>
          </mc:Fallback>
        </mc:AlternateContent>
      </w:r>
      <w:hyperlink w:anchor="_bookmark1495" w:history="1">
        <w:r w:rsidR="00033D0F">
          <w:rPr>
            <w:vertAlign w:val="superscript"/>
          </w:rPr>
          <w:t>1290</w:t>
        </w:r>
      </w:hyperlink>
      <w:r w:rsidR="00033D0F">
        <w:rPr>
          <w:spacing w:val="-14"/>
        </w:rPr>
        <w:t xml:space="preserve"> </w:t>
      </w:r>
      <w:r w:rsidR="00033D0F">
        <w:t>Without</w:t>
      </w:r>
      <w:r w:rsidR="00033D0F">
        <w:rPr>
          <w:spacing w:val="-14"/>
        </w:rPr>
        <w:t xml:space="preserve"> </w:t>
      </w:r>
      <w:r w:rsidR="00033D0F">
        <w:t>this</w:t>
      </w:r>
      <w:r w:rsidR="00033D0F">
        <w:rPr>
          <w:spacing w:val="-13"/>
        </w:rPr>
        <w:t xml:space="preserve"> </w:t>
      </w:r>
      <w:r w:rsidR="00033D0F">
        <w:t>information,</w:t>
      </w:r>
      <w:r w:rsidR="00033D0F">
        <w:rPr>
          <w:spacing w:val="-13"/>
        </w:rPr>
        <w:t xml:space="preserve"> </w:t>
      </w:r>
      <w:r w:rsidR="00033D0F">
        <w:t>interested</w:t>
      </w:r>
      <w:r w:rsidR="00033D0F">
        <w:rPr>
          <w:spacing w:val="-13"/>
        </w:rPr>
        <w:t xml:space="preserve"> </w:t>
      </w:r>
      <w:r w:rsidR="00033D0F">
        <w:t>parties</w:t>
      </w:r>
      <w:r w:rsidR="00033D0F">
        <w:rPr>
          <w:spacing w:val="-11"/>
        </w:rPr>
        <w:t xml:space="preserve"> </w:t>
      </w:r>
      <w:r w:rsidR="00033D0F">
        <w:t>were</w:t>
      </w:r>
      <w:r w:rsidR="00033D0F">
        <w:rPr>
          <w:spacing w:val="-13"/>
        </w:rPr>
        <w:t xml:space="preserve"> </w:t>
      </w:r>
      <w:r w:rsidR="00033D0F">
        <w:t>not</w:t>
      </w:r>
      <w:r w:rsidR="00033D0F">
        <w:rPr>
          <w:spacing w:val="-12"/>
        </w:rPr>
        <w:t xml:space="preserve"> </w:t>
      </w:r>
      <w:r w:rsidR="00033D0F">
        <w:t>properly</w:t>
      </w:r>
      <w:r w:rsidR="00033D0F">
        <w:rPr>
          <w:spacing w:val="-12"/>
        </w:rPr>
        <w:t xml:space="preserve"> </w:t>
      </w:r>
      <w:r w:rsidR="00033D0F">
        <w:t>able</w:t>
      </w:r>
      <w:r w:rsidR="00033D0F">
        <w:rPr>
          <w:spacing w:val="-13"/>
        </w:rPr>
        <w:t xml:space="preserve"> </w:t>
      </w:r>
      <w:r w:rsidR="00033D0F">
        <w:t>to</w:t>
      </w:r>
      <w:r w:rsidR="00033D0F">
        <w:rPr>
          <w:spacing w:val="-14"/>
        </w:rPr>
        <w:t xml:space="preserve"> </w:t>
      </w:r>
      <w:r w:rsidR="00033D0F">
        <w:t xml:space="preserve">prepare presentations or to defend their interests on this issue. Whether or not an interested party was able to submit </w:t>
      </w:r>
      <w:r w:rsidR="00033D0F">
        <w:rPr>
          <w:i/>
        </w:rPr>
        <w:t xml:space="preserve">any </w:t>
      </w:r>
      <w:r w:rsidR="00033D0F">
        <w:t>comments to MOFCOM cannot be determinative of whether there was a contravention of Article 6.4.</w:t>
      </w:r>
      <w:hyperlink w:anchor="_bookmark1496" w:history="1">
        <w:r w:rsidR="00033D0F">
          <w:rPr>
            <w:vertAlign w:val="superscript"/>
          </w:rPr>
          <w:t>1291</w:t>
        </w:r>
      </w:hyperlink>
      <w:r w:rsidR="00033D0F">
        <w:t xml:space="preserve"> In particular, comments which clearly </w:t>
      </w:r>
      <w:proofErr w:type="spellStart"/>
      <w:r w:rsidR="00033D0F">
        <w:t>criticise</w:t>
      </w:r>
      <w:proofErr w:type="spellEnd"/>
      <w:r w:rsidR="00033D0F">
        <w:t xml:space="preserve"> MOFCOM's disclosure as deficient cannot be considered to be proof that MOFCOM met the Article 6.4 standard.</w:t>
      </w:r>
    </w:p>
    <w:p w14:paraId="0F484826" w14:textId="77777777" w:rsidR="00BD462C" w:rsidRDefault="00BD462C">
      <w:pPr>
        <w:pStyle w:val="BodyText"/>
        <w:rPr>
          <w:sz w:val="20"/>
        </w:rPr>
      </w:pPr>
    </w:p>
    <w:p w14:paraId="63049200" w14:textId="77777777" w:rsidR="00BD462C" w:rsidRDefault="00BD462C">
      <w:pPr>
        <w:pStyle w:val="BodyText"/>
        <w:rPr>
          <w:sz w:val="20"/>
        </w:rPr>
      </w:pPr>
    </w:p>
    <w:p w14:paraId="4161ECAE" w14:textId="77777777" w:rsidR="00BD462C" w:rsidRDefault="00BD462C">
      <w:pPr>
        <w:pStyle w:val="BodyText"/>
        <w:rPr>
          <w:sz w:val="20"/>
        </w:rPr>
      </w:pPr>
    </w:p>
    <w:p w14:paraId="64C1B184" w14:textId="4DF3CF3E" w:rsidR="00BD462C" w:rsidRDefault="00D70C7D">
      <w:pPr>
        <w:pStyle w:val="BodyText"/>
        <w:spacing w:before="2"/>
        <w:rPr>
          <w:sz w:val="17"/>
        </w:rPr>
      </w:pPr>
      <w:r>
        <w:rPr>
          <w:noProof/>
        </w:rPr>
        <mc:AlternateContent>
          <mc:Choice Requires="wps">
            <w:drawing>
              <wp:anchor distT="0" distB="0" distL="0" distR="0" simplePos="0" relativeHeight="487865856" behindDoc="1" locked="0" layoutInCell="1" allowOverlap="1" wp14:anchorId="43B7998C" wp14:editId="5F4FA3E9">
                <wp:simplePos x="0" y="0"/>
                <wp:positionH relativeFrom="page">
                  <wp:posOffset>899160</wp:posOffset>
                </wp:positionH>
                <wp:positionV relativeFrom="paragraph">
                  <wp:posOffset>148590</wp:posOffset>
                </wp:positionV>
                <wp:extent cx="1828800" cy="8890"/>
                <wp:effectExtent l="0" t="0" r="0" b="0"/>
                <wp:wrapTopAndBottom/>
                <wp:docPr id="248" name="docshape6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833786" id="docshape601" o:spid="_x0000_s1026" alt="&quot;&quot;" style="position:absolute;margin-left:70.8pt;margin-top:11.7pt;width:2in;height:.7pt;z-index:-15450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" fillcolor="black" stroked="f">
                <w10:wrap type="topAndBottom" anchorx="page"/>
              </v:rect>
            </w:pict>
          </mc:Fallback>
        </mc:AlternateContent>
      </w:r>
    </w:p>
    <w:p w14:paraId="75C3FAC7" w14:textId="77777777" w:rsidR="00BD462C" w:rsidRDefault="00033D0F">
      <w:pPr>
        <w:spacing w:before="112" w:line="218" w:lineRule="exact"/>
        <w:ind w:left="135"/>
        <w:jc w:val="both"/>
        <w:rPr>
          <w:sz w:val="18"/>
        </w:rPr>
      </w:pPr>
      <w:bookmarkStart w:id="1734" w:name="_bookmark1491"/>
      <w:bookmarkEnd w:id="1734"/>
      <w:r>
        <w:rPr>
          <w:position w:val="5"/>
          <w:sz w:val="12"/>
        </w:rPr>
        <w:t>1286</w:t>
      </w:r>
      <w:r>
        <w:rPr>
          <w:spacing w:val="13"/>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 xml:space="preserve">para. </w:t>
      </w:r>
      <w:r>
        <w:rPr>
          <w:spacing w:val="-2"/>
          <w:sz w:val="18"/>
        </w:rPr>
        <w:t>2462.</w:t>
      </w:r>
    </w:p>
    <w:p w14:paraId="7A789EB9" w14:textId="77777777" w:rsidR="00BD462C" w:rsidRDefault="00033D0F">
      <w:pPr>
        <w:spacing w:line="218" w:lineRule="exact"/>
        <w:ind w:left="135"/>
        <w:jc w:val="both"/>
        <w:rPr>
          <w:sz w:val="18"/>
        </w:rPr>
      </w:pPr>
      <w:bookmarkStart w:id="1735" w:name="_bookmark1492"/>
      <w:bookmarkEnd w:id="1735"/>
      <w:r>
        <w:rPr>
          <w:position w:val="5"/>
          <w:sz w:val="12"/>
        </w:rPr>
        <w:t>1287</w:t>
      </w:r>
      <w:r>
        <w:rPr>
          <w:spacing w:val="13"/>
          <w:position w:val="5"/>
          <w:sz w:val="12"/>
        </w:rPr>
        <w:t xml:space="preserve"> </w:t>
      </w:r>
      <w:r>
        <w:rPr>
          <w:sz w:val="18"/>
        </w:rPr>
        <w:t>See</w:t>
      </w:r>
      <w:r>
        <w:rPr>
          <w:spacing w:val="-5"/>
          <w:sz w:val="18"/>
        </w:rPr>
        <w:t xml:space="preserve"> </w:t>
      </w:r>
      <w:proofErr w:type="gramStart"/>
      <w:r>
        <w:rPr>
          <w:sz w:val="18"/>
        </w:rPr>
        <w:t>e.g.</w:t>
      </w:r>
      <w:proofErr w:type="gramEnd"/>
      <w:r>
        <w:rPr>
          <w:spacing w:val="-3"/>
          <w:sz w:val="18"/>
        </w:rPr>
        <w:t xml:space="preserve"> </w:t>
      </w:r>
      <w:r>
        <w:rPr>
          <w:sz w:val="18"/>
        </w:rPr>
        <w:t>China's</w:t>
      </w:r>
      <w:r>
        <w:rPr>
          <w:spacing w:val="-5"/>
          <w:sz w:val="18"/>
        </w:rPr>
        <w:t xml:space="preserve"> </w:t>
      </w:r>
      <w:r>
        <w:rPr>
          <w:sz w:val="18"/>
        </w:rPr>
        <w:t>first</w:t>
      </w:r>
      <w:r>
        <w:rPr>
          <w:spacing w:val="-4"/>
          <w:sz w:val="18"/>
        </w:rPr>
        <w:t xml:space="preserve"> </w:t>
      </w:r>
      <w:r>
        <w:rPr>
          <w:sz w:val="18"/>
        </w:rPr>
        <w:t>written</w:t>
      </w:r>
      <w:r>
        <w:rPr>
          <w:spacing w:val="-6"/>
          <w:sz w:val="18"/>
        </w:rPr>
        <w:t xml:space="preserve"> </w:t>
      </w:r>
      <w:r>
        <w:rPr>
          <w:sz w:val="18"/>
        </w:rPr>
        <w:t>submission,</w:t>
      </w:r>
      <w:r>
        <w:rPr>
          <w:spacing w:val="-3"/>
          <w:sz w:val="18"/>
        </w:rPr>
        <w:t xml:space="preserve"> </w:t>
      </w:r>
      <w:r>
        <w:rPr>
          <w:sz w:val="18"/>
        </w:rPr>
        <w:t>paras.</w:t>
      </w:r>
      <w:r>
        <w:rPr>
          <w:spacing w:val="1"/>
          <w:sz w:val="18"/>
        </w:rPr>
        <w:t xml:space="preserve"> </w:t>
      </w:r>
      <w:r>
        <w:rPr>
          <w:sz w:val="18"/>
        </w:rPr>
        <w:t>2463,</w:t>
      </w:r>
      <w:r>
        <w:rPr>
          <w:spacing w:val="1"/>
          <w:sz w:val="18"/>
        </w:rPr>
        <w:t xml:space="preserve"> </w:t>
      </w:r>
      <w:r>
        <w:rPr>
          <w:spacing w:val="-2"/>
          <w:sz w:val="18"/>
        </w:rPr>
        <w:t>2542.</w:t>
      </w:r>
    </w:p>
    <w:p w14:paraId="006E17EC" w14:textId="080FD2BE" w:rsidR="00BD462C" w:rsidRDefault="00D70C7D">
      <w:pPr>
        <w:spacing w:before="1" w:line="247" w:lineRule="auto"/>
        <w:ind w:left="135" w:right="6493"/>
        <w:jc w:val="both"/>
        <w:rPr>
          <w:sz w:val="12"/>
        </w:rPr>
      </w:pPr>
      <w:r>
        <w:rPr>
          <w:noProof/>
        </w:rPr>
        <mc:AlternateContent>
          <mc:Choice Requires="wps">
            <w:drawing>
              <wp:anchor distT="0" distB="0" distL="114300" distR="114300" simplePos="0" relativeHeight="16008192" behindDoc="0" locked="0" layoutInCell="1" allowOverlap="1" wp14:anchorId="758A6B32" wp14:editId="3517ADBC">
                <wp:simplePos x="0" y="0"/>
                <wp:positionH relativeFrom="page">
                  <wp:posOffset>1085215</wp:posOffset>
                </wp:positionH>
                <wp:positionV relativeFrom="paragraph">
                  <wp:posOffset>280035</wp:posOffset>
                </wp:positionV>
                <wp:extent cx="4234180" cy="140335"/>
                <wp:effectExtent l="0" t="0" r="0" b="0"/>
                <wp:wrapNone/>
                <wp:docPr id="246" name="docshape6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4180" cy="140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2FF2D1" w14:textId="5ABE2B13" w:rsidR="00BD462C" w:rsidRDefault="00BD462C">
                            <w:pPr>
                              <w:spacing w:before="1" w:line="219" w:lineRule="exact"/>
                              <w:rPr>
                                <w:color w:val="000000"/>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A6B32" id="docshape602" o:spid="_x0000_s1062" type="#_x0000_t202" alt="&quot;&quot;" style="position:absolute;left:0;text-align:left;margin-left:85.45pt;margin-top:22.05pt;width:333.4pt;height:11.05pt;z-index:16008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" fillcolor="black" stroked="f">
                <v:textbox inset="0,0,0,0">
                  <w:txbxContent>
                    <w:p w14:paraId="492FF2D1" w14:textId="5ABE2B13" w:rsidR="00BD462C" w:rsidRDefault="00BD462C">
                      <w:pPr>
                        <w:spacing w:before="1" w:line="219" w:lineRule="exact"/>
                        <w:rPr>
                          <w:color w:val="000000"/>
                          <w:sz w:val="18"/>
                        </w:rPr>
                      </w:pPr>
                    </w:p>
                  </w:txbxContent>
                </v:textbox>
                <w10:wrap anchorx="page"/>
              </v:shape>
            </w:pict>
          </mc:Fallback>
        </mc:AlternateContent>
      </w:r>
      <w:bookmarkStart w:id="1736" w:name="_bookmark1493"/>
      <w:bookmarkEnd w:id="1736"/>
      <w:r w:rsidR="00033D0F">
        <w:rPr>
          <w:position w:val="5"/>
          <w:sz w:val="12"/>
        </w:rPr>
        <w:t>1288</w:t>
      </w:r>
      <w:r w:rsidR="00033D0F">
        <w:rPr>
          <w:spacing w:val="11"/>
          <w:position w:val="5"/>
          <w:sz w:val="12"/>
        </w:rPr>
        <w:t xml:space="preserve"> </w:t>
      </w:r>
      <w:r w:rsidR="00033D0F">
        <w:rPr>
          <w:sz w:val="18"/>
        </w:rPr>
        <w:t>China's</w:t>
      </w:r>
      <w:r w:rsidR="00033D0F">
        <w:rPr>
          <w:spacing w:val="-7"/>
          <w:sz w:val="18"/>
        </w:rPr>
        <w:t xml:space="preserve"> </w:t>
      </w:r>
      <w:r w:rsidR="00033D0F">
        <w:rPr>
          <w:sz w:val="18"/>
        </w:rPr>
        <w:t>first</w:t>
      </w:r>
      <w:r w:rsidR="00033D0F">
        <w:rPr>
          <w:spacing w:val="-6"/>
          <w:sz w:val="18"/>
        </w:rPr>
        <w:t xml:space="preserve"> </w:t>
      </w:r>
      <w:r w:rsidR="00033D0F">
        <w:rPr>
          <w:sz w:val="18"/>
        </w:rPr>
        <w:t>written</w:t>
      </w:r>
      <w:r w:rsidR="00033D0F">
        <w:rPr>
          <w:spacing w:val="-8"/>
          <w:sz w:val="18"/>
        </w:rPr>
        <w:t xml:space="preserve"> </w:t>
      </w:r>
      <w:r w:rsidR="00033D0F">
        <w:rPr>
          <w:sz w:val="18"/>
        </w:rPr>
        <w:t>submission,</w:t>
      </w:r>
      <w:r w:rsidR="00033D0F">
        <w:rPr>
          <w:spacing w:val="-1"/>
          <w:sz w:val="18"/>
        </w:rPr>
        <w:t xml:space="preserve"> </w:t>
      </w:r>
      <w:r w:rsidR="00033D0F">
        <w:rPr>
          <w:sz w:val="18"/>
        </w:rPr>
        <w:t>para.</w:t>
      </w:r>
      <w:r w:rsidR="00033D0F">
        <w:rPr>
          <w:spacing w:val="-2"/>
          <w:sz w:val="18"/>
        </w:rPr>
        <w:t xml:space="preserve"> </w:t>
      </w:r>
      <w:r w:rsidR="00033D0F">
        <w:rPr>
          <w:sz w:val="18"/>
        </w:rPr>
        <w:t xml:space="preserve">2462. </w:t>
      </w:r>
      <w:bookmarkStart w:id="1737" w:name="_bookmark1494"/>
      <w:bookmarkEnd w:id="1737"/>
      <w:r w:rsidR="00033D0F">
        <w:rPr>
          <w:position w:val="5"/>
          <w:sz w:val="12"/>
        </w:rPr>
        <w:t>1289</w:t>
      </w:r>
      <w:r w:rsidR="00033D0F">
        <w:rPr>
          <w:spacing w:val="11"/>
          <w:position w:val="5"/>
          <w:sz w:val="12"/>
        </w:rPr>
        <w:t xml:space="preserve"> </w:t>
      </w:r>
      <w:r w:rsidR="00033D0F">
        <w:rPr>
          <w:sz w:val="18"/>
        </w:rPr>
        <w:t>China's</w:t>
      </w:r>
      <w:r w:rsidR="00033D0F">
        <w:rPr>
          <w:spacing w:val="-7"/>
          <w:sz w:val="18"/>
        </w:rPr>
        <w:t xml:space="preserve"> </w:t>
      </w:r>
      <w:r w:rsidR="00033D0F">
        <w:rPr>
          <w:sz w:val="18"/>
        </w:rPr>
        <w:t>first</w:t>
      </w:r>
      <w:r w:rsidR="00033D0F">
        <w:rPr>
          <w:spacing w:val="-6"/>
          <w:sz w:val="18"/>
        </w:rPr>
        <w:t xml:space="preserve"> </w:t>
      </w:r>
      <w:r w:rsidR="00033D0F">
        <w:rPr>
          <w:sz w:val="18"/>
        </w:rPr>
        <w:t>written</w:t>
      </w:r>
      <w:r w:rsidR="00033D0F">
        <w:rPr>
          <w:spacing w:val="-8"/>
          <w:sz w:val="18"/>
        </w:rPr>
        <w:t xml:space="preserve"> </w:t>
      </w:r>
      <w:r w:rsidR="00033D0F">
        <w:rPr>
          <w:sz w:val="18"/>
        </w:rPr>
        <w:t>submission,</w:t>
      </w:r>
      <w:r w:rsidR="00033D0F">
        <w:rPr>
          <w:spacing w:val="-1"/>
          <w:sz w:val="18"/>
        </w:rPr>
        <w:t xml:space="preserve"> </w:t>
      </w:r>
      <w:r w:rsidR="00033D0F">
        <w:rPr>
          <w:sz w:val="18"/>
        </w:rPr>
        <w:t>para.</w:t>
      </w:r>
      <w:r w:rsidR="00033D0F">
        <w:rPr>
          <w:spacing w:val="-2"/>
          <w:sz w:val="18"/>
        </w:rPr>
        <w:t xml:space="preserve"> </w:t>
      </w:r>
      <w:r w:rsidR="00033D0F">
        <w:rPr>
          <w:sz w:val="18"/>
        </w:rPr>
        <w:t xml:space="preserve">2463. </w:t>
      </w:r>
      <w:bookmarkStart w:id="1738" w:name="_bookmark1495"/>
      <w:bookmarkEnd w:id="1738"/>
      <w:r w:rsidR="00033D0F">
        <w:rPr>
          <w:spacing w:val="-4"/>
          <w:sz w:val="12"/>
        </w:rPr>
        <w:t>1290</w:t>
      </w:r>
    </w:p>
    <w:p w14:paraId="1A985DD4" w14:textId="77777777" w:rsidR="00BD462C" w:rsidRDefault="00033D0F">
      <w:pPr>
        <w:spacing w:before="58"/>
        <w:ind w:left="135"/>
        <w:jc w:val="both"/>
        <w:rPr>
          <w:sz w:val="18"/>
        </w:rPr>
      </w:pPr>
      <w:bookmarkStart w:id="1739" w:name="_bookmark1496"/>
      <w:bookmarkEnd w:id="1739"/>
      <w:r>
        <w:rPr>
          <w:position w:val="5"/>
          <w:sz w:val="12"/>
        </w:rPr>
        <w:t>1291</w:t>
      </w:r>
      <w:r>
        <w:rPr>
          <w:spacing w:val="15"/>
          <w:position w:val="5"/>
          <w:sz w:val="12"/>
        </w:rPr>
        <w:t xml:space="preserve"> </w:t>
      </w:r>
      <w:r>
        <w:rPr>
          <w:sz w:val="18"/>
        </w:rPr>
        <w:t>See</w:t>
      </w:r>
      <w:r>
        <w:rPr>
          <w:spacing w:val="-3"/>
          <w:sz w:val="18"/>
        </w:rPr>
        <w:t xml:space="preserve"> </w:t>
      </w:r>
      <w:r>
        <w:rPr>
          <w:sz w:val="18"/>
        </w:rPr>
        <w:t>above,</w:t>
      </w:r>
      <w:r>
        <w:rPr>
          <w:spacing w:val="-1"/>
          <w:sz w:val="18"/>
        </w:rPr>
        <w:t xml:space="preserve"> </w:t>
      </w:r>
      <w:r>
        <w:rPr>
          <w:sz w:val="18"/>
        </w:rPr>
        <w:t>section</w:t>
      </w:r>
      <w:r>
        <w:rPr>
          <w:spacing w:val="-5"/>
          <w:sz w:val="18"/>
        </w:rPr>
        <w:t xml:space="preserve"> </w:t>
      </w:r>
      <w:hyperlink w:anchor="_bookmark1444" w:history="1">
        <w:r>
          <w:rPr>
            <w:spacing w:val="-2"/>
            <w:sz w:val="18"/>
          </w:rPr>
          <w:t>VII.F.2(a).</w:t>
        </w:r>
      </w:hyperlink>
    </w:p>
    <w:p w14:paraId="62543E1E" w14:textId="77777777" w:rsidR="00BD462C" w:rsidRDefault="00BD462C">
      <w:pPr>
        <w:jc w:val="both"/>
        <w:rPr>
          <w:sz w:val="18"/>
        </w:rPr>
        <w:sectPr w:rsidR="00BD462C">
          <w:pgSz w:w="11910" w:h="16840"/>
          <w:pgMar w:top="860" w:right="500" w:bottom="780" w:left="1280" w:header="566" w:footer="590" w:gutter="0"/>
          <w:cols w:space="720"/>
        </w:sectPr>
      </w:pPr>
    </w:p>
    <w:p w14:paraId="54E001C4"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30B09DE9"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02A6C818"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5356E908" w14:textId="0C05981C" w:rsidR="00BD462C" w:rsidRDefault="00D34854">
      <w:pPr>
        <w:pStyle w:val="BodyText"/>
        <w:spacing w:before="107" w:line="357" w:lineRule="auto"/>
        <w:ind w:left="135" w:right="915"/>
        <w:jc w:val="both"/>
      </w:pPr>
      <w:r>
        <w:rPr>
          <w:noProof/>
        </w:rPr>
        <w:t>884.</w:t>
      </w:r>
      <w:r w:rsidR="00033D0F">
        <w:rPr>
          <w:rFonts w:ascii="Times New Roman"/>
          <w:spacing w:val="80"/>
          <w:position w:val="1"/>
          <w:sz w:val="20"/>
        </w:rPr>
        <w:t xml:space="preserve">  </w:t>
      </w:r>
      <w:r w:rsidR="00033D0F">
        <w:rPr>
          <w:position w:val="1"/>
        </w:rPr>
        <w:t xml:space="preserve">As set out above and in Australia's first written submission, the information in </w:t>
      </w:r>
      <w:r w:rsidR="00033D0F">
        <w:t>question was "relevant", "non-confidential" and "used". As such, timely opportunities to see this information, and to prepare presentations on the basis of such, should have been provided to the relevant sampled companies as required under Article 6.4.</w:t>
      </w:r>
    </w:p>
    <w:p w14:paraId="4836A71C" w14:textId="77777777" w:rsidR="00BD462C" w:rsidRDefault="00033D0F">
      <w:pPr>
        <w:pStyle w:val="ListParagraph"/>
        <w:numPr>
          <w:ilvl w:val="1"/>
          <w:numId w:val="20"/>
        </w:numPr>
        <w:tabs>
          <w:tab w:val="left" w:pos="3539"/>
          <w:tab w:val="left" w:pos="3540"/>
        </w:tabs>
        <w:spacing w:before="164"/>
        <w:ind w:left="3539" w:hanging="851"/>
        <w:jc w:val="both"/>
        <w:rPr>
          <w:sz w:val="24"/>
        </w:rPr>
      </w:pPr>
      <w:r>
        <w:rPr>
          <w:sz w:val="24"/>
          <w:u w:val="single"/>
        </w:rPr>
        <w:t>Fair</w:t>
      </w:r>
      <w:r>
        <w:rPr>
          <w:spacing w:val="-2"/>
          <w:sz w:val="24"/>
          <w:u w:val="single"/>
        </w:rPr>
        <w:t xml:space="preserve"> comparison</w:t>
      </w:r>
    </w:p>
    <w:p w14:paraId="73B5A76C" w14:textId="77777777" w:rsidR="00BD462C" w:rsidRDefault="00BD462C">
      <w:pPr>
        <w:pStyle w:val="BodyText"/>
        <w:spacing w:before="12"/>
        <w:rPr>
          <w:sz w:val="20"/>
        </w:rPr>
      </w:pPr>
    </w:p>
    <w:p w14:paraId="1AE4DAAA" w14:textId="3FA34AC3" w:rsidR="00BD462C" w:rsidRDefault="00D34854">
      <w:pPr>
        <w:pStyle w:val="BodyText"/>
        <w:spacing w:before="56" w:line="357" w:lineRule="auto"/>
        <w:ind w:left="135" w:right="917"/>
        <w:jc w:val="both"/>
      </w:pPr>
      <w:r>
        <w:rPr>
          <w:noProof/>
        </w:rPr>
        <w:t>885.</w:t>
      </w:r>
      <w:r w:rsidR="00033D0F">
        <w:rPr>
          <w:rFonts w:ascii="Times New Roman"/>
          <w:spacing w:val="80"/>
          <w:w w:val="150"/>
          <w:position w:val="1"/>
          <w:sz w:val="20"/>
        </w:rPr>
        <w:t xml:space="preserve"> </w:t>
      </w:r>
      <w:r w:rsidR="00033D0F">
        <w:rPr>
          <w:position w:val="1"/>
        </w:rPr>
        <w:t xml:space="preserve">Australia's submission is that MOFCOM failed to provide all information that was </w:t>
      </w:r>
      <w:r w:rsidR="00033D0F">
        <w:t>relevant</w:t>
      </w:r>
      <w:r w:rsidR="00033D0F">
        <w:rPr>
          <w:spacing w:val="-7"/>
        </w:rPr>
        <w:t xml:space="preserve"> </w:t>
      </w:r>
      <w:r w:rsidR="00033D0F">
        <w:t>in</w:t>
      </w:r>
      <w:r w:rsidR="00033D0F">
        <w:rPr>
          <w:spacing w:val="-9"/>
        </w:rPr>
        <w:t xml:space="preserve"> </w:t>
      </w:r>
      <w:r w:rsidR="00033D0F">
        <w:t>determining</w:t>
      </w:r>
      <w:r w:rsidR="00033D0F">
        <w:rPr>
          <w:spacing w:val="-6"/>
        </w:rPr>
        <w:t xml:space="preserve"> </w:t>
      </w:r>
      <w:r w:rsidR="00033D0F">
        <w:t>the</w:t>
      </w:r>
      <w:r w:rsidR="00033D0F">
        <w:rPr>
          <w:spacing w:val="-7"/>
        </w:rPr>
        <w:t xml:space="preserve"> </w:t>
      </w:r>
      <w:r w:rsidR="00033D0F">
        <w:t>differences</w:t>
      </w:r>
      <w:r w:rsidR="00033D0F">
        <w:rPr>
          <w:spacing w:val="-6"/>
        </w:rPr>
        <w:t xml:space="preserve"> </w:t>
      </w:r>
      <w:r w:rsidR="00033D0F">
        <w:t>in</w:t>
      </w:r>
      <w:r w:rsidR="00033D0F">
        <w:rPr>
          <w:spacing w:val="-4"/>
        </w:rPr>
        <w:t xml:space="preserve"> </w:t>
      </w:r>
      <w:r w:rsidR="00033D0F">
        <w:t>price</w:t>
      </w:r>
      <w:r w:rsidR="00033D0F">
        <w:rPr>
          <w:spacing w:val="-7"/>
        </w:rPr>
        <w:t xml:space="preserve"> </w:t>
      </w:r>
      <w:r w:rsidR="00033D0F">
        <w:t>comparability</w:t>
      </w:r>
      <w:r w:rsidR="00033D0F">
        <w:rPr>
          <w:spacing w:val="-6"/>
        </w:rPr>
        <w:t xml:space="preserve"> </w:t>
      </w:r>
      <w:r w:rsidR="00033D0F">
        <w:t>in</w:t>
      </w:r>
      <w:r w:rsidR="00033D0F">
        <w:rPr>
          <w:spacing w:val="-8"/>
        </w:rPr>
        <w:t xml:space="preserve"> </w:t>
      </w:r>
      <w:r w:rsidR="00033D0F">
        <w:t>conducting</w:t>
      </w:r>
      <w:r w:rsidR="00033D0F">
        <w:rPr>
          <w:spacing w:val="-6"/>
        </w:rPr>
        <w:t xml:space="preserve"> </w:t>
      </w:r>
      <w:r w:rsidR="00033D0F">
        <w:t>a</w:t>
      </w:r>
      <w:r w:rsidR="00033D0F">
        <w:rPr>
          <w:spacing w:val="-8"/>
        </w:rPr>
        <w:t xml:space="preserve"> </w:t>
      </w:r>
      <w:r w:rsidR="00033D0F">
        <w:t>fair</w:t>
      </w:r>
      <w:r w:rsidR="00033D0F">
        <w:rPr>
          <w:spacing w:val="-5"/>
        </w:rPr>
        <w:t xml:space="preserve"> </w:t>
      </w:r>
      <w:r w:rsidR="00033D0F">
        <w:t>comparison under Article 2.4 of the Anti-Dumping Agreement.</w:t>
      </w:r>
    </w:p>
    <w:p w14:paraId="58A56C1F" w14:textId="77777777" w:rsidR="00BD462C" w:rsidRDefault="00BD462C">
      <w:pPr>
        <w:pStyle w:val="BodyText"/>
        <w:spacing w:before="3"/>
        <w:rPr>
          <w:sz w:val="9"/>
        </w:rPr>
      </w:pPr>
    </w:p>
    <w:p w14:paraId="5D31BC39" w14:textId="7ACA94A7" w:rsidR="00BD462C" w:rsidRDefault="00D34854">
      <w:pPr>
        <w:pStyle w:val="BodyText"/>
        <w:spacing w:before="56" w:line="360" w:lineRule="auto"/>
        <w:ind w:left="135" w:right="911"/>
        <w:jc w:val="both"/>
      </w:pPr>
      <w:r>
        <w:rPr>
          <w:noProof/>
        </w:rPr>
        <w:t>886.</w:t>
      </w:r>
      <w:r w:rsidR="00033D0F">
        <w:rPr>
          <w:rFonts w:ascii="Times New Roman"/>
          <w:spacing w:val="40"/>
          <w:position w:val="1"/>
          <w:sz w:val="20"/>
        </w:rPr>
        <w:t xml:space="preserve">  </w:t>
      </w:r>
      <w:r w:rsidR="00033D0F">
        <w:rPr>
          <w:position w:val="1"/>
        </w:rPr>
        <w:t xml:space="preserve">As Australia notes in its first written submission, MOFCOM states that it made the </w:t>
      </w:r>
      <w:r w:rsidR="00033D0F">
        <w:t>comparison between normal value and export price: (i) "on the basis of considering various comparable factors"; and (ii) "in a fair and reasonable manner".</w:t>
      </w:r>
      <w:hyperlink w:anchor="_bookmark1497" w:history="1">
        <w:r w:rsidR="00033D0F">
          <w:rPr>
            <w:vertAlign w:val="superscript"/>
          </w:rPr>
          <w:t>1292</w:t>
        </w:r>
      </w:hyperlink>
      <w:r w:rsidR="00033D0F">
        <w:t xml:space="preserve"> Despite these assertions, MOFCOM</w:t>
      </w:r>
      <w:r w:rsidR="00033D0F">
        <w:rPr>
          <w:spacing w:val="-8"/>
        </w:rPr>
        <w:t xml:space="preserve"> </w:t>
      </w:r>
      <w:r w:rsidR="00033D0F">
        <w:t>did</w:t>
      </w:r>
      <w:r w:rsidR="00033D0F">
        <w:rPr>
          <w:spacing w:val="-10"/>
        </w:rPr>
        <w:t xml:space="preserve"> </w:t>
      </w:r>
      <w:r w:rsidR="00033D0F">
        <w:t>not</w:t>
      </w:r>
      <w:r w:rsidR="00033D0F">
        <w:rPr>
          <w:spacing w:val="-8"/>
        </w:rPr>
        <w:t xml:space="preserve"> </w:t>
      </w:r>
      <w:r w:rsidR="00033D0F">
        <w:t>provide</w:t>
      </w:r>
      <w:r w:rsidR="00033D0F">
        <w:rPr>
          <w:spacing w:val="-8"/>
        </w:rPr>
        <w:t xml:space="preserve"> </w:t>
      </w:r>
      <w:r w:rsidR="00033D0F">
        <w:t>any</w:t>
      </w:r>
      <w:r w:rsidR="00033D0F">
        <w:rPr>
          <w:spacing w:val="-7"/>
        </w:rPr>
        <w:t xml:space="preserve"> </w:t>
      </w:r>
      <w:r w:rsidR="00033D0F">
        <w:t>information</w:t>
      </w:r>
      <w:r w:rsidR="00033D0F">
        <w:rPr>
          <w:spacing w:val="-10"/>
        </w:rPr>
        <w:t xml:space="preserve"> </w:t>
      </w:r>
      <w:r w:rsidR="00033D0F">
        <w:t>about</w:t>
      </w:r>
      <w:r w:rsidR="00033D0F">
        <w:rPr>
          <w:spacing w:val="-4"/>
        </w:rPr>
        <w:t xml:space="preserve"> </w:t>
      </w:r>
      <w:r w:rsidR="00033D0F">
        <w:t>what</w:t>
      </w:r>
      <w:r w:rsidR="00033D0F">
        <w:rPr>
          <w:spacing w:val="-8"/>
        </w:rPr>
        <w:t xml:space="preserve"> </w:t>
      </w:r>
      <w:r w:rsidR="00033D0F">
        <w:t>the</w:t>
      </w:r>
      <w:r w:rsidR="00033D0F">
        <w:rPr>
          <w:spacing w:val="-8"/>
        </w:rPr>
        <w:t xml:space="preserve"> </w:t>
      </w:r>
      <w:r w:rsidR="00033D0F">
        <w:t>"various</w:t>
      </w:r>
      <w:r w:rsidR="00033D0F">
        <w:rPr>
          <w:spacing w:val="-7"/>
        </w:rPr>
        <w:t xml:space="preserve"> </w:t>
      </w:r>
      <w:r w:rsidR="00033D0F">
        <w:t>comparable</w:t>
      </w:r>
      <w:r w:rsidR="00033D0F">
        <w:rPr>
          <w:spacing w:val="-8"/>
        </w:rPr>
        <w:t xml:space="preserve"> </w:t>
      </w:r>
      <w:r w:rsidR="00033D0F">
        <w:t>factors</w:t>
      </w:r>
      <w:r w:rsidR="00033D0F">
        <w:rPr>
          <w:spacing w:val="-7"/>
        </w:rPr>
        <w:t xml:space="preserve"> </w:t>
      </w:r>
      <w:r w:rsidR="00033D0F">
        <w:t>were" or</w:t>
      </w:r>
      <w:r w:rsidR="00033D0F">
        <w:rPr>
          <w:spacing w:val="-10"/>
        </w:rPr>
        <w:t xml:space="preserve"> </w:t>
      </w:r>
      <w:r w:rsidR="00033D0F">
        <w:t>what</w:t>
      </w:r>
      <w:r w:rsidR="00033D0F">
        <w:rPr>
          <w:spacing w:val="-8"/>
        </w:rPr>
        <w:t xml:space="preserve"> </w:t>
      </w:r>
      <w:r w:rsidR="00033D0F">
        <w:t>it</w:t>
      </w:r>
      <w:r w:rsidR="00033D0F">
        <w:rPr>
          <w:spacing w:val="-8"/>
        </w:rPr>
        <w:t xml:space="preserve"> </w:t>
      </w:r>
      <w:r w:rsidR="00033D0F">
        <w:t>did</w:t>
      </w:r>
      <w:r w:rsidR="00033D0F">
        <w:rPr>
          <w:spacing w:val="-9"/>
        </w:rPr>
        <w:t xml:space="preserve"> </w:t>
      </w:r>
      <w:r w:rsidR="00033D0F">
        <w:t>that</w:t>
      </w:r>
      <w:r w:rsidR="00033D0F">
        <w:rPr>
          <w:spacing w:val="-8"/>
        </w:rPr>
        <w:t xml:space="preserve"> </w:t>
      </w:r>
      <w:r w:rsidR="00033D0F">
        <w:t>apparently</w:t>
      </w:r>
      <w:r w:rsidR="00033D0F">
        <w:rPr>
          <w:spacing w:val="-7"/>
        </w:rPr>
        <w:t xml:space="preserve"> </w:t>
      </w:r>
      <w:r w:rsidR="00033D0F">
        <w:t>meant</w:t>
      </w:r>
      <w:r w:rsidR="00033D0F">
        <w:rPr>
          <w:spacing w:val="-11"/>
        </w:rPr>
        <w:t xml:space="preserve"> </w:t>
      </w:r>
      <w:r w:rsidR="00033D0F">
        <w:t>that</w:t>
      </w:r>
      <w:r w:rsidR="00033D0F">
        <w:rPr>
          <w:spacing w:val="-8"/>
        </w:rPr>
        <w:t xml:space="preserve"> </w:t>
      </w:r>
      <w:r w:rsidR="00033D0F">
        <w:t>the</w:t>
      </w:r>
      <w:r w:rsidR="00033D0F">
        <w:rPr>
          <w:spacing w:val="-8"/>
        </w:rPr>
        <w:t xml:space="preserve"> </w:t>
      </w:r>
      <w:r w:rsidR="00033D0F">
        <w:t>comparison</w:t>
      </w:r>
      <w:r w:rsidR="00033D0F">
        <w:rPr>
          <w:spacing w:val="-9"/>
        </w:rPr>
        <w:t xml:space="preserve"> </w:t>
      </w:r>
      <w:r w:rsidR="00033D0F">
        <w:t>was</w:t>
      </w:r>
      <w:r w:rsidR="00033D0F">
        <w:rPr>
          <w:spacing w:val="-7"/>
        </w:rPr>
        <w:t xml:space="preserve"> </w:t>
      </w:r>
      <w:r w:rsidR="00033D0F">
        <w:t>made</w:t>
      </w:r>
      <w:r w:rsidR="00033D0F">
        <w:rPr>
          <w:spacing w:val="-8"/>
        </w:rPr>
        <w:t xml:space="preserve"> </w:t>
      </w:r>
      <w:r w:rsidR="00033D0F">
        <w:t>in</w:t>
      </w:r>
      <w:r w:rsidR="00033D0F">
        <w:rPr>
          <w:spacing w:val="-9"/>
        </w:rPr>
        <w:t xml:space="preserve"> </w:t>
      </w:r>
      <w:r w:rsidR="00033D0F">
        <w:t>a</w:t>
      </w:r>
      <w:r w:rsidR="00033D0F">
        <w:rPr>
          <w:spacing w:val="-9"/>
        </w:rPr>
        <w:t xml:space="preserve"> </w:t>
      </w:r>
      <w:r w:rsidR="00033D0F">
        <w:t>"fair</w:t>
      </w:r>
      <w:r w:rsidR="00033D0F">
        <w:rPr>
          <w:spacing w:val="-10"/>
        </w:rPr>
        <w:t xml:space="preserve"> </w:t>
      </w:r>
      <w:r w:rsidR="00033D0F">
        <w:t>and</w:t>
      </w:r>
      <w:r w:rsidR="00033D0F">
        <w:rPr>
          <w:spacing w:val="-9"/>
        </w:rPr>
        <w:t xml:space="preserve"> </w:t>
      </w:r>
      <w:r w:rsidR="00033D0F">
        <w:t xml:space="preserve">reasonable" </w:t>
      </w:r>
      <w:r w:rsidR="00033D0F">
        <w:rPr>
          <w:spacing w:val="-2"/>
        </w:rPr>
        <w:t>manner.</w:t>
      </w:r>
      <w:hyperlink w:anchor="_bookmark1498" w:history="1">
        <w:r w:rsidR="00033D0F">
          <w:rPr>
            <w:spacing w:val="-2"/>
            <w:vertAlign w:val="superscript"/>
          </w:rPr>
          <w:t>1293</w:t>
        </w:r>
      </w:hyperlink>
    </w:p>
    <w:p w14:paraId="580EC42D" w14:textId="77777777" w:rsidR="00BD462C" w:rsidRDefault="00BD462C">
      <w:pPr>
        <w:pStyle w:val="BodyText"/>
        <w:spacing w:before="8"/>
        <w:rPr>
          <w:sz w:val="8"/>
        </w:rPr>
      </w:pPr>
    </w:p>
    <w:p w14:paraId="4988DAA6" w14:textId="4CB55831" w:rsidR="00BD462C" w:rsidRDefault="00D34854">
      <w:pPr>
        <w:pStyle w:val="BodyText"/>
        <w:spacing w:before="56" w:line="360" w:lineRule="auto"/>
        <w:ind w:left="135" w:right="914"/>
        <w:jc w:val="both"/>
      </w:pPr>
      <w:r>
        <w:rPr>
          <w:noProof/>
        </w:rPr>
        <w:t>887.</w:t>
      </w:r>
      <w:r w:rsidR="00033D0F">
        <w:rPr>
          <w:rFonts w:ascii="Times New Roman"/>
          <w:spacing w:val="80"/>
          <w:position w:val="1"/>
          <w:sz w:val="20"/>
        </w:rPr>
        <w:t xml:space="preserve">   </w:t>
      </w:r>
      <w:r w:rsidR="00033D0F">
        <w:rPr>
          <w:position w:val="1"/>
        </w:rPr>
        <w:t xml:space="preserve">Australia does not know what the "various comparable factors" MOFCOM referred </w:t>
      </w:r>
      <w:r w:rsidR="00033D0F">
        <w:t>to</w:t>
      </w:r>
      <w:r w:rsidR="00033D0F">
        <w:rPr>
          <w:spacing w:val="-5"/>
        </w:rPr>
        <w:t xml:space="preserve"> </w:t>
      </w:r>
      <w:r w:rsidR="00033D0F">
        <w:t>were, because</w:t>
      </w:r>
      <w:r w:rsidR="00033D0F">
        <w:rPr>
          <w:spacing w:val="-2"/>
        </w:rPr>
        <w:t xml:space="preserve"> </w:t>
      </w:r>
      <w:r w:rsidR="00033D0F">
        <w:t>at</w:t>
      </w:r>
      <w:r w:rsidR="00033D0F">
        <w:rPr>
          <w:spacing w:val="-2"/>
        </w:rPr>
        <w:t xml:space="preserve"> </w:t>
      </w:r>
      <w:r w:rsidR="00033D0F">
        <w:t>no</w:t>
      </w:r>
      <w:r w:rsidR="00033D0F">
        <w:rPr>
          <w:spacing w:val="-5"/>
        </w:rPr>
        <w:t xml:space="preserve"> </w:t>
      </w:r>
      <w:r w:rsidR="00033D0F">
        <w:t>time</w:t>
      </w:r>
      <w:r w:rsidR="00033D0F">
        <w:rPr>
          <w:spacing w:val="-2"/>
        </w:rPr>
        <w:t xml:space="preserve"> </w:t>
      </w:r>
      <w:r w:rsidR="00033D0F">
        <w:t>have</w:t>
      </w:r>
      <w:r w:rsidR="00033D0F">
        <w:rPr>
          <w:spacing w:val="-2"/>
        </w:rPr>
        <w:t xml:space="preserve"> </w:t>
      </w:r>
      <w:r w:rsidR="00033D0F">
        <w:t>MOFCOM</w:t>
      </w:r>
      <w:r w:rsidR="00033D0F">
        <w:rPr>
          <w:spacing w:val="-2"/>
        </w:rPr>
        <w:t xml:space="preserve"> </w:t>
      </w:r>
      <w:r w:rsidR="00033D0F">
        <w:t>or China</w:t>
      </w:r>
      <w:r w:rsidR="00033D0F">
        <w:rPr>
          <w:spacing w:val="-3"/>
        </w:rPr>
        <w:t xml:space="preserve"> </w:t>
      </w:r>
      <w:r w:rsidR="00033D0F">
        <w:t>identified</w:t>
      </w:r>
      <w:r w:rsidR="00033D0F">
        <w:rPr>
          <w:spacing w:val="-4"/>
        </w:rPr>
        <w:t xml:space="preserve"> </w:t>
      </w:r>
      <w:r w:rsidR="00033D0F">
        <w:t>what</w:t>
      </w:r>
      <w:r w:rsidR="00033D0F">
        <w:rPr>
          <w:spacing w:val="-2"/>
        </w:rPr>
        <w:t xml:space="preserve"> </w:t>
      </w:r>
      <w:r w:rsidR="00033D0F">
        <w:t>occurred. The</w:t>
      </w:r>
      <w:r w:rsidR="00033D0F">
        <w:rPr>
          <w:spacing w:val="-3"/>
        </w:rPr>
        <w:t xml:space="preserve"> </w:t>
      </w:r>
      <w:r w:rsidR="00033D0F">
        <w:t>examples given</w:t>
      </w:r>
      <w:r w:rsidR="00033D0F">
        <w:rPr>
          <w:spacing w:val="-14"/>
        </w:rPr>
        <w:t xml:space="preserve"> </w:t>
      </w:r>
      <w:r w:rsidR="00033D0F">
        <w:t>by</w:t>
      </w:r>
      <w:r w:rsidR="00033D0F">
        <w:rPr>
          <w:spacing w:val="-14"/>
        </w:rPr>
        <w:t xml:space="preserve"> </w:t>
      </w:r>
      <w:r w:rsidR="00033D0F">
        <w:t>Australia</w:t>
      </w:r>
      <w:r w:rsidR="00033D0F">
        <w:rPr>
          <w:spacing w:val="-13"/>
        </w:rPr>
        <w:t xml:space="preserve"> </w:t>
      </w:r>
      <w:r w:rsidR="00033D0F">
        <w:t>of</w:t>
      </w:r>
      <w:r w:rsidR="00033D0F">
        <w:rPr>
          <w:spacing w:val="-14"/>
        </w:rPr>
        <w:t xml:space="preserve"> </w:t>
      </w:r>
      <w:r w:rsidR="00033D0F">
        <w:t>a</w:t>
      </w:r>
      <w:r w:rsidR="00033D0F">
        <w:rPr>
          <w:spacing w:val="-13"/>
        </w:rPr>
        <w:t xml:space="preserve"> </w:t>
      </w:r>
      <w:r w:rsidR="00033D0F">
        <w:t>failure</w:t>
      </w:r>
      <w:r w:rsidR="00033D0F">
        <w:rPr>
          <w:spacing w:val="-14"/>
        </w:rPr>
        <w:t xml:space="preserve"> </w:t>
      </w:r>
      <w:r w:rsidR="00033D0F">
        <w:t>to</w:t>
      </w:r>
      <w:r w:rsidR="00033D0F">
        <w:rPr>
          <w:spacing w:val="-13"/>
        </w:rPr>
        <w:t xml:space="preserve"> </w:t>
      </w:r>
      <w:r w:rsidR="00033D0F">
        <w:t>provide</w:t>
      </w:r>
      <w:r w:rsidR="00033D0F">
        <w:rPr>
          <w:spacing w:val="-14"/>
        </w:rPr>
        <w:t xml:space="preserve"> </w:t>
      </w:r>
      <w:r w:rsidR="00033D0F">
        <w:t>any</w:t>
      </w:r>
      <w:r w:rsidR="00033D0F">
        <w:rPr>
          <w:spacing w:val="-14"/>
        </w:rPr>
        <w:t xml:space="preserve"> </w:t>
      </w:r>
      <w:r w:rsidR="00033D0F">
        <w:t>indication</w:t>
      </w:r>
      <w:r w:rsidR="00033D0F">
        <w:rPr>
          <w:spacing w:val="-13"/>
        </w:rPr>
        <w:t xml:space="preserve"> </w:t>
      </w:r>
      <w:r w:rsidR="00033D0F">
        <w:t>of</w:t>
      </w:r>
      <w:r w:rsidR="00033D0F">
        <w:rPr>
          <w:spacing w:val="-14"/>
        </w:rPr>
        <w:t xml:space="preserve"> </w:t>
      </w:r>
      <w:r w:rsidR="00033D0F">
        <w:t>how</w:t>
      </w:r>
      <w:r w:rsidR="00033D0F">
        <w:rPr>
          <w:spacing w:val="-13"/>
        </w:rPr>
        <w:t xml:space="preserve"> </w:t>
      </w:r>
      <w:r w:rsidR="00033D0F">
        <w:t>MOFCOM</w:t>
      </w:r>
      <w:r w:rsidR="00033D0F">
        <w:rPr>
          <w:spacing w:val="-14"/>
        </w:rPr>
        <w:t xml:space="preserve"> </w:t>
      </w:r>
      <w:r w:rsidR="00033D0F">
        <w:t>dealt</w:t>
      </w:r>
      <w:r w:rsidR="00033D0F">
        <w:rPr>
          <w:spacing w:val="-13"/>
        </w:rPr>
        <w:t xml:space="preserve"> </w:t>
      </w:r>
      <w:r w:rsidR="00033D0F">
        <w:t>with</w:t>
      </w:r>
      <w:r w:rsidR="00033D0F">
        <w:rPr>
          <w:spacing w:val="-14"/>
        </w:rPr>
        <w:t xml:space="preserve"> </w:t>
      </w:r>
      <w:r w:rsidR="00033D0F">
        <w:t>differences in</w:t>
      </w:r>
      <w:r w:rsidR="00033D0F">
        <w:rPr>
          <w:spacing w:val="-9"/>
        </w:rPr>
        <w:t xml:space="preserve"> </w:t>
      </w:r>
      <w:r w:rsidR="00033D0F">
        <w:t>comparability</w:t>
      </w:r>
      <w:r w:rsidR="00033D0F">
        <w:rPr>
          <w:spacing w:val="-6"/>
        </w:rPr>
        <w:t xml:space="preserve"> </w:t>
      </w:r>
      <w:r w:rsidR="00033D0F">
        <w:t>of</w:t>
      </w:r>
      <w:r w:rsidR="00033D0F">
        <w:rPr>
          <w:spacing w:val="-9"/>
        </w:rPr>
        <w:t xml:space="preserve"> </w:t>
      </w:r>
      <w:r w:rsidR="00033D0F">
        <w:t>wine</w:t>
      </w:r>
      <w:r w:rsidR="00033D0F">
        <w:rPr>
          <w:spacing w:val="-7"/>
        </w:rPr>
        <w:t xml:space="preserve"> </w:t>
      </w:r>
      <w:r w:rsidR="00033D0F">
        <w:t>of</w:t>
      </w:r>
      <w:r w:rsidR="00033D0F">
        <w:rPr>
          <w:spacing w:val="-9"/>
        </w:rPr>
        <w:t xml:space="preserve"> </w:t>
      </w:r>
      <w:r w:rsidR="00033D0F">
        <w:t>different</w:t>
      </w:r>
      <w:r w:rsidR="00033D0F">
        <w:rPr>
          <w:spacing w:val="-7"/>
        </w:rPr>
        <w:t xml:space="preserve"> </w:t>
      </w:r>
      <w:r w:rsidR="00033D0F">
        <w:t>qualities</w:t>
      </w:r>
      <w:r w:rsidR="00033D0F">
        <w:rPr>
          <w:spacing w:val="-6"/>
        </w:rPr>
        <w:t xml:space="preserve"> </w:t>
      </w:r>
      <w:r w:rsidR="00033D0F">
        <w:t>or</w:t>
      </w:r>
      <w:r w:rsidR="00033D0F">
        <w:rPr>
          <w:spacing w:val="-10"/>
        </w:rPr>
        <w:t xml:space="preserve"> </w:t>
      </w:r>
      <w:r w:rsidR="00033D0F">
        <w:t>of</w:t>
      </w:r>
      <w:r w:rsidR="00033D0F">
        <w:rPr>
          <w:spacing w:val="-4"/>
        </w:rPr>
        <w:t xml:space="preserve"> </w:t>
      </w:r>
      <w:r w:rsidR="00033D0F">
        <w:t>the</w:t>
      </w:r>
      <w:r w:rsidR="00033D0F">
        <w:rPr>
          <w:spacing w:val="-7"/>
        </w:rPr>
        <w:t xml:space="preserve"> </w:t>
      </w:r>
      <w:r w:rsidR="00033D0F">
        <w:t>consideration</w:t>
      </w:r>
      <w:r w:rsidR="00033D0F">
        <w:rPr>
          <w:spacing w:val="-9"/>
        </w:rPr>
        <w:t xml:space="preserve"> </w:t>
      </w:r>
      <w:r w:rsidR="00033D0F">
        <w:t>of</w:t>
      </w:r>
      <w:r w:rsidR="00033D0F">
        <w:rPr>
          <w:spacing w:val="-9"/>
        </w:rPr>
        <w:t xml:space="preserve"> </w:t>
      </w:r>
      <w:r w:rsidR="00033D0F">
        <w:t>the</w:t>
      </w:r>
      <w:r w:rsidR="00033D0F">
        <w:rPr>
          <w:spacing w:val="-7"/>
        </w:rPr>
        <w:t xml:space="preserve"> </w:t>
      </w:r>
      <w:r w:rsidR="00033D0F">
        <w:t>timing</w:t>
      </w:r>
      <w:r w:rsidR="00033D0F">
        <w:rPr>
          <w:spacing w:val="-6"/>
        </w:rPr>
        <w:t xml:space="preserve"> </w:t>
      </w:r>
      <w:r w:rsidR="00033D0F">
        <w:t>of</w:t>
      </w:r>
      <w:r w:rsidR="00033D0F">
        <w:rPr>
          <w:spacing w:val="-9"/>
        </w:rPr>
        <w:t xml:space="preserve"> </w:t>
      </w:r>
      <w:r w:rsidR="00033D0F">
        <w:t>sales</w:t>
      </w:r>
      <w:r w:rsidR="00033D0F">
        <w:rPr>
          <w:spacing w:val="-6"/>
        </w:rPr>
        <w:t xml:space="preserve"> </w:t>
      </w:r>
      <w:r w:rsidR="00033D0F">
        <w:t>are matters</w:t>
      </w:r>
      <w:r w:rsidR="00033D0F">
        <w:rPr>
          <w:spacing w:val="-3"/>
        </w:rPr>
        <w:t xml:space="preserve"> </w:t>
      </w:r>
      <w:r w:rsidR="00033D0F">
        <w:t>that</w:t>
      </w:r>
      <w:r w:rsidR="00033D0F">
        <w:rPr>
          <w:spacing w:val="-4"/>
        </w:rPr>
        <w:t xml:space="preserve"> </w:t>
      </w:r>
      <w:r w:rsidR="00033D0F">
        <w:t>Australia</w:t>
      </w:r>
      <w:r w:rsidR="00033D0F">
        <w:rPr>
          <w:spacing w:val="-5"/>
        </w:rPr>
        <w:t xml:space="preserve"> </w:t>
      </w:r>
      <w:r w:rsidR="00033D0F">
        <w:t>envisaged</w:t>
      </w:r>
      <w:r w:rsidR="00033D0F">
        <w:rPr>
          <w:spacing w:val="-6"/>
        </w:rPr>
        <w:t xml:space="preserve"> </w:t>
      </w:r>
      <w:r w:rsidR="00033D0F">
        <w:t>might</w:t>
      </w:r>
      <w:r w:rsidR="00033D0F">
        <w:rPr>
          <w:spacing w:val="-4"/>
        </w:rPr>
        <w:t xml:space="preserve"> </w:t>
      </w:r>
      <w:r w:rsidR="00033D0F">
        <w:t>have</w:t>
      </w:r>
      <w:r w:rsidR="00033D0F">
        <w:rPr>
          <w:spacing w:val="-4"/>
        </w:rPr>
        <w:t xml:space="preserve"> </w:t>
      </w:r>
      <w:r w:rsidR="00033D0F">
        <w:t>been</w:t>
      </w:r>
      <w:r w:rsidR="00033D0F">
        <w:rPr>
          <w:spacing w:val="-11"/>
        </w:rPr>
        <w:t xml:space="preserve"> </w:t>
      </w:r>
      <w:r w:rsidR="00033D0F">
        <w:t>part</w:t>
      </w:r>
      <w:r w:rsidR="00033D0F">
        <w:rPr>
          <w:spacing w:val="-4"/>
        </w:rPr>
        <w:t xml:space="preserve"> </w:t>
      </w:r>
      <w:r w:rsidR="00033D0F">
        <w:t>of</w:t>
      </w:r>
      <w:r w:rsidR="00033D0F">
        <w:rPr>
          <w:spacing w:val="-6"/>
        </w:rPr>
        <w:t xml:space="preserve"> </w:t>
      </w:r>
      <w:r w:rsidR="00033D0F">
        <w:t>the</w:t>
      </w:r>
      <w:r w:rsidR="00033D0F">
        <w:rPr>
          <w:spacing w:val="-5"/>
        </w:rPr>
        <w:t xml:space="preserve"> </w:t>
      </w:r>
      <w:r w:rsidR="00033D0F">
        <w:t>assessment</w:t>
      </w:r>
      <w:r w:rsidR="00033D0F">
        <w:rPr>
          <w:spacing w:val="-4"/>
        </w:rPr>
        <w:t xml:space="preserve"> </w:t>
      </w:r>
      <w:r w:rsidR="00033D0F">
        <w:t>opaquely</w:t>
      </w:r>
      <w:r w:rsidR="00033D0F">
        <w:rPr>
          <w:spacing w:val="-3"/>
        </w:rPr>
        <w:t xml:space="preserve"> </w:t>
      </w:r>
      <w:r w:rsidR="00033D0F">
        <w:t>described in</w:t>
      </w:r>
      <w:r w:rsidR="00033D0F">
        <w:rPr>
          <w:spacing w:val="-14"/>
        </w:rPr>
        <w:t xml:space="preserve"> </w:t>
      </w:r>
      <w:r w:rsidR="00033D0F">
        <w:t>the</w:t>
      </w:r>
      <w:r w:rsidR="00033D0F">
        <w:rPr>
          <w:spacing w:val="-14"/>
        </w:rPr>
        <w:t xml:space="preserve"> </w:t>
      </w:r>
      <w:r w:rsidR="00033D0F">
        <w:t>Final</w:t>
      </w:r>
      <w:r w:rsidR="00033D0F">
        <w:rPr>
          <w:spacing w:val="-11"/>
        </w:rPr>
        <w:t xml:space="preserve"> </w:t>
      </w:r>
      <w:r w:rsidR="00033D0F">
        <w:t>Determination.</w:t>
      </w:r>
      <w:r w:rsidR="00033D0F">
        <w:rPr>
          <w:spacing w:val="-12"/>
        </w:rPr>
        <w:t xml:space="preserve"> </w:t>
      </w:r>
      <w:r w:rsidR="00033D0F">
        <w:t>China's</w:t>
      </w:r>
      <w:r w:rsidR="00033D0F">
        <w:rPr>
          <w:spacing w:val="-11"/>
        </w:rPr>
        <w:t xml:space="preserve"> </w:t>
      </w:r>
      <w:r w:rsidR="00033D0F">
        <w:t>response</w:t>
      </w:r>
      <w:r w:rsidR="00033D0F">
        <w:rPr>
          <w:spacing w:val="-13"/>
        </w:rPr>
        <w:t xml:space="preserve"> </w:t>
      </w:r>
      <w:r w:rsidR="00033D0F">
        <w:t>that</w:t>
      </w:r>
      <w:r w:rsidR="00033D0F">
        <w:rPr>
          <w:spacing w:val="-12"/>
        </w:rPr>
        <w:t xml:space="preserve"> </w:t>
      </w:r>
      <w:r w:rsidR="00033D0F">
        <w:t>in</w:t>
      </w:r>
      <w:r w:rsidR="00033D0F">
        <w:rPr>
          <w:spacing w:val="-14"/>
        </w:rPr>
        <w:t xml:space="preserve"> </w:t>
      </w:r>
      <w:r w:rsidR="00033D0F">
        <w:t>fact</w:t>
      </w:r>
      <w:r w:rsidR="00033D0F">
        <w:rPr>
          <w:spacing w:val="-11"/>
        </w:rPr>
        <w:t xml:space="preserve"> </w:t>
      </w:r>
      <w:r w:rsidR="00033D0F">
        <w:t>MOFCOM</w:t>
      </w:r>
      <w:r w:rsidR="00033D0F">
        <w:rPr>
          <w:spacing w:val="-12"/>
        </w:rPr>
        <w:t xml:space="preserve"> </w:t>
      </w:r>
      <w:r w:rsidR="00033D0F">
        <w:t>considered</w:t>
      </w:r>
      <w:r w:rsidR="00033D0F">
        <w:rPr>
          <w:spacing w:val="-14"/>
        </w:rPr>
        <w:t xml:space="preserve"> </w:t>
      </w:r>
      <w:r w:rsidR="00033D0F">
        <w:t>neither</w:t>
      </w:r>
      <w:r w:rsidR="00033D0F">
        <w:rPr>
          <w:spacing w:val="-14"/>
        </w:rPr>
        <w:t xml:space="preserve"> </w:t>
      </w:r>
      <w:r w:rsidR="00033D0F">
        <w:t>of</w:t>
      </w:r>
      <w:r w:rsidR="00033D0F">
        <w:rPr>
          <w:spacing w:val="-13"/>
        </w:rPr>
        <w:t xml:space="preserve"> </w:t>
      </w:r>
      <w:r w:rsidR="00033D0F">
        <w:t>those factors, and therefore did not need to disclose them, provides no answer to Australia's primary complaint.</w:t>
      </w:r>
    </w:p>
    <w:p w14:paraId="2238E627" w14:textId="77777777" w:rsidR="00BD462C" w:rsidRDefault="00BD462C">
      <w:pPr>
        <w:pStyle w:val="BodyText"/>
        <w:spacing w:before="2"/>
        <w:rPr>
          <w:sz w:val="8"/>
        </w:rPr>
      </w:pPr>
    </w:p>
    <w:p w14:paraId="7BE22375" w14:textId="04331C7B" w:rsidR="00BD462C" w:rsidRDefault="00D34854">
      <w:pPr>
        <w:pStyle w:val="BodyText"/>
        <w:spacing w:before="56" w:line="360" w:lineRule="auto"/>
        <w:ind w:left="136" w:right="914"/>
        <w:jc w:val="both"/>
      </w:pPr>
      <w:r>
        <w:rPr>
          <w:noProof/>
        </w:rPr>
        <w:t>888.</w:t>
      </w:r>
      <w:r w:rsidR="00033D0F">
        <w:rPr>
          <w:rFonts w:ascii="Times New Roman"/>
          <w:spacing w:val="80"/>
          <w:position w:val="1"/>
          <w:sz w:val="20"/>
        </w:rPr>
        <w:t xml:space="preserve"> </w:t>
      </w:r>
      <w:r w:rsidR="00033D0F">
        <w:rPr>
          <w:position w:val="1"/>
        </w:rPr>
        <w:t xml:space="preserve">Further, and in any event, China's argument that information relating to price </w:t>
      </w:r>
      <w:r w:rsidR="00033D0F">
        <w:t>comparability was not "used" by MOFCOM does not answer</w:t>
      </w:r>
      <w:r w:rsidR="00033D0F">
        <w:rPr>
          <w:spacing w:val="-2"/>
        </w:rPr>
        <w:t xml:space="preserve"> </w:t>
      </w:r>
      <w:r w:rsidR="00033D0F">
        <w:t>Australia's concern</w:t>
      </w:r>
      <w:r w:rsidR="00033D0F">
        <w:rPr>
          <w:spacing w:val="-2"/>
        </w:rPr>
        <w:t xml:space="preserve"> </w:t>
      </w:r>
      <w:r w:rsidR="00033D0F">
        <w:t>with</w:t>
      </w:r>
      <w:r w:rsidR="00033D0F">
        <w:rPr>
          <w:spacing w:val="-2"/>
        </w:rPr>
        <w:t xml:space="preserve"> </w:t>
      </w:r>
      <w:r w:rsidR="00033D0F">
        <w:t>respect to that particular example. As the Appellate Body explained "whether the information was 'used' by the authority does not depend on whether the authority specifically relied on that information. Rather, it depends on whether the information is related to 'a required step in</w:t>
      </w:r>
    </w:p>
    <w:p w14:paraId="2D772FAC" w14:textId="77777777" w:rsidR="00BD462C" w:rsidRDefault="00BD462C">
      <w:pPr>
        <w:pStyle w:val="BodyText"/>
        <w:rPr>
          <w:sz w:val="20"/>
        </w:rPr>
      </w:pPr>
    </w:p>
    <w:p w14:paraId="506CB02D" w14:textId="0059B0C5" w:rsidR="00BD462C" w:rsidRDefault="00D70C7D">
      <w:pPr>
        <w:pStyle w:val="BodyText"/>
        <w:spacing w:before="9"/>
        <w:rPr>
          <w:sz w:val="17"/>
        </w:rPr>
      </w:pPr>
      <w:r>
        <w:rPr>
          <w:noProof/>
        </w:rPr>
        <mc:AlternateContent>
          <mc:Choice Requires="wps">
            <w:drawing>
              <wp:anchor distT="0" distB="0" distL="0" distR="0" simplePos="0" relativeHeight="487867904" behindDoc="1" locked="0" layoutInCell="1" allowOverlap="1" wp14:anchorId="75362684" wp14:editId="2E4C02E4">
                <wp:simplePos x="0" y="0"/>
                <wp:positionH relativeFrom="page">
                  <wp:posOffset>899160</wp:posOffset>
                </wp:positionH>
                <wp:positionV relativeFrom="paragraph">
                  <wp:posOffset>153035</wp:posOffset>
                </wp:positionV>
                <wp:extent cx="1828800" cy="8890"/>
                <wp:effectExtent l="0" t="0" r="0" b="0"/>
                <wp:wrapTopAndBottom/>
                <wp:docPr id="244" name="docshape6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AEEFD8" id="docshape603" o:spid="_x0000_s1026" alt="&quot;&quot;" style="position:absolute;margin-left:70.8pt;margin-top:12.05pt;width:2in;height:.7pt;z-index:-15448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" fillcolor="black" stroked="f">
                <w10:wrap type="topAndBottom" anchorx="page"/>
              </v:rect>
            </w:pict>
          </mc:Fallback>
        </mc:AlternateContent>
      </w:r>
    </w:p>
    <w:p w14:paraId="74AF8E41" w14:textId="77777777" w:rsidR="00BD462C" w:rsidRDefault="00033D0F">
      <w:pPr>
        <w:spacing w:before="112"/>
        <w:ind w:left="135"/>
        <w:rPr>
          <w:sz w:val="18"/>
        </w:rPr>
      </w:pPr>
      <w:bookmarkStart w:id="1740" w:name="_bookmark1497"/>
      <w:bookmarkEnd w:id="1740"/>
      <w:r>
        <w:rPr>
          <w:position w:val="5"/>
          <w:sz w:val="12"/>
        </w:rPr>
        <w:t>1292</w:t>
      </w:r>
      <w:r>
        <w:rPr>
          <w:spacing w:val="13"/>
          <w:position w:val="5"/>
          <w:sz w:val="12"/>
        </w:rPr>
        <w:t xml:space="preserve"> </w:t>
      </w:r>
      <w:r>
        <w:rPr>
          <w:sz w:val="18"/>
        </w:rPr>
        <w:t>Australia's</w:t>
      </w:r>
      <w:r>
        <w:rPr>
          <w:spacing w:val="-5"/>
          <w:sz w:val="18"/>
        </w:rPr>
        <w:t xml:space="preserve"> </w:t>
      </w:r>
      <w:r>
        <w:rPr>
          <w:sz w:val="18"/>
        </w:rPr>
        <w:t>first</w:t>
      </w:r>
      <w:r>
        <w:rPr>
          <w:spacing w:val="-5"/>
          <w:sz w:val="18"/>
        </w:rPr>
        <w:t xml:space="preserve"> </w:t>
      </w:r>
      <w:r>
        <w:rPr>
          <w:sz w:val="18"/>
        </w:rPr>
        <w:t>written</w:t>
      </w:r>
      <w:r>
        <w:rPr>
          <w:spacing w:val="-1"/>
          <w:sz w:val="18"/>
        </w:rPr>
        <w:t xml:space="preserve"> </w:t>
      </w:r>
      <w:r>
        <w:rPr>
          <w:sz w:val="18"/>
        </w:rPr>
        <w:t>submission,</w:t>
      </w:r>
      <w:r>
        <w:rPr>
          <w:spacing w:val="1"/>
          <w:sz w:val="18"/>
        </w:rPr>
        <w:t xml:space="preserve"> </w:t>
      </w:r>
      <w:r>
        <w:rPr>
          <w:sz w:val="18"/>
        </w:rPr>
        <w:t>para.</w:t>
      </w:r>
      <w:r>
        <w:rPr>
          <w:spacing w:val="-5"/>
          <w:sz w:val="18"/>
        </w:rPr>
        <w:t xml:space="preserve"> </w:t>
      </w:r>
      <w:r>
        <w:rPr>
          <w:sz w:val="18"/>
        </w:rPr>
        <w:t>990</w:t>
      </w:r>
      <w:r>
        <w:rPr>
          <w:spacing w:val="-2"/>
          <w:sz w:val="18"/>
        </w:rPr>
        <w:t xml:space="preserve"> </w:t>
      </w:r>
      <w:r>
        <w:rPr>
          <w:sz w:val="18"/>
        </w:rPr>
        <w:t>and</w:t>
      </w:r>
      <w:r>
        <w:rPr>
          <w:spacing w:val="-6"/>
          <w:sz w:val="18"/>
        </w:rPr>
        <w:t xml:space="preserve"> </w:t>
      </w:r>
      <w:r>
        <w:rPr>
          <w:sz w:val="18"/>
        </w:rPr>
        <w:t>footnotes</w:t>
      </w:r>
      <w:r>
        <w:rPr>
          <w:spacing w:val="-6"/>
          <w:sz w:val="18"/>
        </w:rPr>
        <w:t xml:space="preserve"> </w:t>
      </w:r>
      <w:r>
        <w:rPr>
          <w:spacing w:val="-2"/>
          <w:sz w:val="18"/>
        </w:rPr>
        <w:t>thereto.</w:t>
      </w:r>
    </w:p>
    <w:p w14:paraId="0DF140A3" w14:textId="77777777" w:rsidR="00BD462C" w:rsidRDefault="00033D0F">
      <w:pPr>
        <w:spacing w:before="1"/>
        <w:ind w:left="135"/>
        <w:rPr>
          <w:sz w:val="18"/>
        </w:rPr>
      </w:pPr>
      <w:bookmarkStart w:id="1741" w:name="_bookmark1498"/>
      <w:bookmarkEnd w:id="1741"/>
      <w:r>
        <w:rPr>
          <w:position w:val="5"/>
          <w:sz w:val="12"/>
        </w:rPr>
        <w:t>1293</w:t>
      </w:r>
      <w:r>
        <w:rPr>
          <w:spacing w:val="13"/>
          <w:position w:val="5"/>
          <w:sz w:val="12"/>
        </w:rPr>
        <w:t xml:space="preserve"> </w:t>
      </w:r>
      <w:r>
        <w:rPr>
          <w:sz w:val="18"/>
        </w:rPr>
        <w:t>Australia's</w:t>
      </w:r>
      <w:r>
        <w:rPr>
          <w:spacing w:val="-5"/>
          <w:sz w:val="18"/>
        </w:rPr>
        <w:t xml:space="preserve"> </w:t>
      </w:r>
      <w:r>
        <w:rPr>
          <w:sz w:val="18"/>
        </w:rPr>
        <w:t>first</w:t>
      </w:r>
      <w:r>
        <w:rPr>
          <w:spacing w:val="-5"/>
          <w:sz w:val="18"/>
        </w:rPr>
        <w:t xml:space="preserve"> </w:t>
      </w:r>
      <w:r>
        <w:rPr>
          <w:sz w:val="18"/>
        </w:rPr>
        <w:t>written</w:t>
      </w:r>
      <w:r>
        <w:rPr>
          <w:spacing w:val="-1"/>
          <w:sz w:val="18"/>
        </w:rPr>
        <w:t xml:space="preserve"> </w:t>
      </w:r>
      <w:r>
        <w:rPr>
          <w:sz w:val="18"/>
        </w:rPr>
        <w:t>submission,</w:t>
      </w:r>
      <w:r>
        <w:rPr>
          <w:spacing w:val="1"/>
          <w:sz w:val="18"/>
        </w:rPr>
        <w:t xml:space="preserve"> </w:t>
      </w:r>
      <w:r>
        <w:rPr>
          <w:sz w:val="18"/>
        </w:rPr>
        <w:t>para.</w:t>
      </w:r>
      <w:r>
        <w:rPr>
          <w:spacing w:val="-5"/>
          <w:sz w:val="18"/>
        </w:rPr>
        <w:t xml:space="preserve"> </w:t>
      </w:r>
      <w:r>
        <w:rPr>
          <w:sz w:val="18"/>
        </w:rPr>
        <w:t>990</w:t>
      </w:r>
      <w:r>
        <w:rPr>
          <w:spacing w:val="-2"/>
          <w:sz w:val="18"/>
        </w:rPr>
        <w:t xml:space="preserve"> </w:t>
      </w:r>
      <w:r>
        <w:rPr>
          <w:sz w:val="18"/>
        </w:rPr>
        <w:t>and</w:t>
      </w:r>
      <w:r>
        <w:rPr>
          <w:spacing w:val="-6"/>
          <w:sz w:val="18"/>
        </w:rPr>
        <w:t xml:space="preserve"> </w:t>
      </w:r>
      <w:r>
        <w:rPr>
          <w:sz w:val="18"/>
        </w:rPr>
        <w:t>footnotes</w:t>
      </w:r>
      <w:r>
        <w:rPr>
          <w:spacing w:val="-6"/>
          <w:sz w:val="18"/>
        </w:rPr>
        <w:t xml:space="preserve"> </w:t>
      </w:r>
      <w:r>
        <w:rPr>
          <w:spacing w:val="-2"/>
          <w:sz w:val="18"/>
        </w:rPr>
        <w:t>thereto.</w:t>
      </w:r>
    </w:p>
    <w:p w14:paraId="7B496BC7" w14:textId="77777777" w:rsidR="00BD462C" w:rsidRDefault="00BD462C">
      <w:pPr>
        <w:rPr>
          <w:sz w:val="18"/>
        </w:rPr>
        <w:sectPr w:rsidR="00BD462C">
          <w:pgSz w:w="11910" w:h="16840"/>
          <w:pgMar w:top="860" w:right="500" w:bottom="780" w:left="1280" w:header="566" w:footer="590" w:gutter="0"/>
          <w:cols w:space="720"/>
        </w:sectPr>
      </w:pPr>
    </w:p>
    <w:p w14:paraId="4AB8A4D5"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28985CD1"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782D84CE"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054CCC99" w14:textId="77777777" w:rsidR="00BD462C" w:rsidRDefault="00033D0F">
      <w:pPr>
        <w:pStyle w:val="BodyText"/>
        <w:spacing w:before="102" w:line="360" w:lineRule="auto"/>
        <w:ind w:left="135" w:right="912"/>
        <w:jc w:val="both"/>
      </w:pPr>
      <w:r>
        <w:t>the anti-dumping investigation'."</w:t>
      </w:r>
      <w:hyperlink w:anchor="_bookmark1499" w:history="1">
        <w:r>
          <w:rPr>
            <w:vertAlign w:val="superscript"/>
          </w:rPr>
          <w:t>1294</w:t>
        </w:r>
      </w:hyperlink>
      <w:r>
        <w:t xml:space="preserve"> The requirement to ensure price comparability and to make a fair comparison, including applying any adjustments, is a required step of an anti- dumping investigation under Article 2.4.</w:t>
      </w:r>
    </w:p>
    <w:p w14:paraId="6E51C380" w14:textId="77777777" w:rsidR="00BD462C" w:rsidRDefault="00BD462C">
      <w:pPr>
        <w:pStyle w:val="BodyText"/>
        <w:spacing w:before="11"/>
        <w:rPr>
          <w:sz w:val="8"/>
        </w:rPr>
      </w:pPr>
    </w:p>
    <w:p w14:paraId="51C5EF00" w14:textId="5A676885" w:rsidR="00BD462C" w:rsidRDefault="00D34854">
      <w:pPr>
        <w:pStyle w:val="BodyText"/>
        <w:spacing w:before="56" w:line="357" w:lineRule="auto"/>
        <w:ind w:left="135" w:right="909"/>
        <w:jc w:val="both"/>
      </w:pPr>
      <w:r>
        <w:rPr>
          <w:noProof/>
        </w:rPr>
        <w:t>889.</w:t>
      </w:r>
      <w:r w:rsidR="00033D0F">
        <w:rPr>
          <w:rFonts w:ascii="Times New Roman" w:hAnsi="Times New Roman"/>
          <w:spacing w:val="40"/>
          <w:position w:val="1"/>
          <w:sz w:val="20"/>
        </w:rPr>
        <w:t xml:space="preserve">  </w:t>
      </w:r>
      <w:r w:rsidR="00033D0F">
        <w:rPr>
          <w:position w:val="1"/>
        </w:rPr>
        <w:t xml:space="preserve">China states that there was "no additional requirement upon MOFCOM to test for </w:t>
      </w:r>
      <w:r w:rsidR="00033D0F">
        <w:t>whether the timing of the sales affected price comparison",</w:t>
      </w:r>
      <w:hyperlink w:anchor="_bookmark1500" w:history="1">
        <w:r w:rsidR="00033D0F">
          <w:rPr>
            <w:vertAlign w:val="superscript"/>
          </w:rPr>
          <w:t>1295</w:t>
        </w:r>
      </w:hyperlink>
      <w:r w:rsidR="00033D0F">
        <w:t xml:space="preserve"> relying on the panel in </w:t>
      </w:r>
      <w:r w:rsidR="00033D0F">
        <w:rPr>
          <w:i/>
        </w:rPr>
        <w:t>US – Stainless Steel (Korea)</w:t>
      </w:r>
      <w:r w:rsidR="00033D0F">
        <w:t>. In that dispute, the panel stated:</w:t>
      </w:r>
    </w:p>
    <w:p w14:paraId="316EA340" w14:textId="77777777" w:rsidR="00BD462C" w:rsidRDefault="00033D0F">
      <w:pPr>
        <w:spacing w:before="164" w:line="276" w:lineRule="auto"/>
        <w:ind w:left="985" w:right="914"/>
        <w:jc w:val="both"/>
      </w:pPr>
      <w:r>
        <w:t>[W]e consider that, in the context of weighted average to weighted average comparisons, the</w:t>
      </w:r>
      <w:r>
        <w:rPr>
          <w:spacing w:val="-7"/>
        </w:rPr>
        <w:t xml:space="preserve"> </w:t>
      </w:r>
      <w:r>
        <w:t>requirement</w:t>
      </w:r>
      <w:r>
        <w:rPr>
          <w:spacing w:val="-10"/>
        </w:rPr>
        <w:t xml:space="preserve"> </w:t>
      </w:r>
      <w:r>
        <w:t>that</w:t>
      </w:r>
      <w:r>
        <w:rPr>
          <w:spacing w:val="-10"/>
        </w:rPr>
        <w:t xml:space="preserve"> </w:t>
      </w:r>
      <w:r>
        <w:t>a</w:t>
      </w:r>
      <w:r>
        <w:rPr>
          <w:spacing w:val="-8"/>
        </w:rPr>
        <w:t xml:space="preserve"> </w:t>
      </w:r>
      <w:r>
        <w:t>comparison</w:t>
      </w:r>
      <w:r>
        <w:rPr>
          <w:spacing w:val="-9"/>
        </w:rPr>
        <w:t xml:space="preserve"> </w:t>
      </w:r>
      <w:r>
        <w:t>be</w:t>
      </w:r>
      <w:r>
        <w:rPr>
          <w:spacing w:val="-7"/>
        </w:rPr>
        <w:t xml:space="preserve"> </w:t>
      </w:r>
      <w:r>
        <w:t>made</w:t>
      </w:r>
      <w:r>
        <w:rPr>
          <w:spacing w:val="-7"/>
        </w:rPr>
        <w:t xml:space="preserve"> </w:t>
      </w:r>
      <w:r>
        <w:t>between</w:t>
      </w:r>
      <w:r>
        <w:rPr>
          <w:spacing w:val="-9"/>
        </w:rPr>
        <w:t xml:space="preserve"> </w:t>
      </w:r>
      <w:r>
        <w:t>sales</w:t>
      </w:r>
      <w:r>
        <w:rPr>
          <w:spacing w:val="-8"/>
        </w:rPr>
        <w:t xml:space="preserve"> </w:t>
      </w:r>
      <w:r>
        <w:t>made</w:t>
      </w:r>
      <w:r>
        <w:rPr>
          <w:spacing w:val="-7"/>
        </w:rPr>
        <w:t xml:space="preserve"> </w:t>
      </w:r>
      <w:r>
        <w:t>at</w:t>
      </w:r>
      <w:r>
        <w:rPr>
          <w:spacing w:val="-10"/>
        </w:rPr>
        <w:t xml:space="preserve"> </w:t>
      </w:r>
      <w:r>
        <w:t>as</w:t>
      </w:r>
      <w:r>
        <w:rPr>
          <w:spacing w:val="-8"/>
        </w:rPr>
        <w:t xml:space="preserve"> </w:t>
      </w:r>
      <w:r>
        <w:t>nearly</w:t>
      </w:r>
      <w:r>
        <w:rPr>
          <w:spacing w:val="-7"/>
        </w:rPr>
        <w:t xml:space="preserve"> </w:t>
      </w:r>
      <w:r>
        <w:t>as</w:t>
      </w:r>
      <w:r>
        <w:rPr>
          <w:spacing w:val="-8"/>
        </w:rPr>
        <w:t xml:space="preserve"> </w:t>
      </w:r>
      <w:r>
        <w:t>possible</w:t>
      </w:r>
      <w:r>
        <w:rPr>
          <w:spacing w:val="-7"/>
        </w:rPr>
        <w:t xml:space="preserve"> </w:t>
      </w:r>
      <w:r>
        <w:t>the same time requires as a</w:t>
      </w:r>
      <w:r>
        <w:rPr>
          <w:spacing w:val="-3"/>
        </w:rPr>
        <w:t xml:space="preserve"> </w:t>
      </w:r>
      <w:r>
        <w:t>general</w:t>
      </w:r>
      <w:r>
        <w:rPr>
          <w:spacing w:val="-1"/>
        </w:rPr>
        <w:t xml:space="preserve"> </w:t>
      </w:r>
      <w:r>
        <w:t xml:space="preserve">matter that the periods on the basis of which the weighted average normal value and the weighted average export price are calculated must be the </w:t>
      </w:r>
      <w:r>
        <w:rPr>
          <w:spacing w:val="-2"/>
        </w:rPr>
        <w:t>same.</w:t>
      </w:r>
      <w:hyperlink w:anchor="_bookmark1501" w:history="1">
        <w:r>
          <w:rPr>
            <w:spacing w:val="-2"/>
            <w:vertAlign w:val="superscript"/>
          </w:rPr>
          <w:t>1296</w:t>
        </w:r>
      </w:hyperlink>
    </w:p>
    <w:p w14:paraId="7C799654" w14:textId="77777777" w:rsidR="00BD462C" w:rsidRDefault="00BD462C">
      <w:pPr>
        <w:pStyle w:val="BodyText"/>
        <w:spacing w:before="2"/>
        <w:rPr>
          <w:sz w:val="15"/>
        </w:rPr>
      </w:pPr>
    </w:p>
    <w:p w14:paraId="5F890AAD" w14:textId="7903206E" w:rsidR="00BD462C" w:rsidRDefault="00D34854">
      <w:pPr>
        <w:pStyle w:val="BodyText"/>
        <w:spacing w:before="56" w:line="360" w:lineRule="auto"/>
        <w:ind w:left="135" w:right="915"/>
        <w:jc w:val="both"/>
      </w:pPr>
      <w:r>
        <w:rPr>
          <w:noProof/>
        </w:rPr>
        <w:t>890.</w:t>
      </w:r>
      <w:r w:rsidR="00033D0F">
        <w:rPr>
          <w:rFonts w:ascii="Times New Roman"/>
          <w:spacing w:val="80"/>
          <w:position w:val="1"/>
          <w:sz w:val="20"/>
        </w:rPr>
        <w:t xml:space="preserve">  </w:t>
      </w:r>
      <w:r w:rsidR="00033D0F">
        <w:rPr>
          <w:position w:val="1"/>
        </w:rPr>
        <w:t xml:space="preserve">While this paragraph indeed does not state that an additional "test" is required </w:t>
      </w:r>
      <w:r w:rsidR="00033D0F">
        <w:t>relating</w:t>
      </w:r>
      <w:r w:rsidR="00033D0F">
        <w:rPr>
          <w:spacing w:val="-14"/>
        </w:rPr>
        <w:t xml:space="preserve"> </w:t>
      </w:r>
      <w:r w:rsidR="00033D0F">
        <w:t>to</w:t>
      </w:r>
      <w:r w:rsidR="00033D0F">
        <w:rPr>
          <w:spacing w:val="-14"/>
        </w:rPr>
        <w:t xml:space="preserve"> </w:t>
      </w:r>
      <w:r w:rsidR="00033D0F">
        <w:t>timing</w:t>
      </w:r>
      <w:r w:rsidR="00033D0F">
        <w:rPr>
          <w:spacing w:val="-13"/>
        </w:rPr>
        <w:t xml:space="preserve"> </w:t>
      </w:r>
      <w:r w:rsidR="00033D0F">
        <w:t>of</w:t>
      </w:r>
      <w:r w:rsidR="00033D0F">
        <w:rPr>
          <w:spacing w:val="-14"/>
        </w:rPr>
        <w:t xml:space="preserve"> </w:t>
      </w:r>
      <w:r w:rsidR="00033D0F">
        <w:t>sales,</w:t>
      </w:r>
      <w:r w:rsidR="00033D0F">
        <w:rPr>
          <w:spacing w:val="-13"/>
        </w:rPr>
        <w:t xml:space="preserve"> </w:t>
      </w:r>
      <w:r w:rsidR="00033D0F">
        <w:t>it</w:t>
      </w:r>
      <w:r w:rsidR="00033D0F">
        <w:rPr>
          <w:spacing w:val="-14"/>
        </w:rPr>
        <w:t xml:space="preserve"> </w:t>
      </w:r>
      <w:r w:rsidR="00033D0F">
        <w:t>clearly</w:t>
      </w:r>
      <w:r w:rsidR="00033D0F">
        <w:rPr>
          <w:spacing w:val="-13"/>
        </w:rPr>
        <w:t xml:space="preserve"> </w:t>
      </w:r>
      <w:r w:rsidR="00033D0F">
        <w:t>does</w:t>
      </w:r>
      <w:r w:rsidR="00033D0F">
        <w:rPr>
          <w:spacing w:val="-14"/>
        </w:rPr>
        <w:t xml:space="preserve"> </w:t>
      </w:r>
      <w:r w:rsidR="00033D0F">
        <w:t>state</w:t>
      </w:r>
      <w:r w:rsidR="00033D0F">
        <w:rPr>
          <w:spacing w:val="-14"/>
        </w:rPr>
        <w:t xml:space="preserve"> </w:t>
      </w:r>
      <w:r w:rsidR="00033D0F">
        <w:t>that</w:t>
      </w:r>
      <w:r w:rsidR="00033D0F">
        <w:rPr>
          <w:spacing w:val="-13"/>
        </w:rPr>
        <w:t xml:space="preserve"> </w:t>
      </w:r>
      <w:r w:rsidR="00033D0F">
        <w:t>in</w:t>
      </w:r>
      <w:r w:rsidR="00033D0F">
        <w:rPr>
          <w:spacing w:val="-14"/>
        </w:rPr>
        <w:t xml:space="preserve"> </w:t>
      </w:r>
      <w:r w:rsidR="00033D0F">
        <w:t>conducting</w:t>
      </w:r>
      <w:r w:rsidR="00033D0F">
        <w:rPr>
          <w:spacing w:val="-12"/>
        </w:rPr>
        <w:t xml:space="preserve"> </w:t>
      </w:r>
      <w:r w:rsidR="00033D0F">
        <w:t>this</w:t>
      </w:r>
      <w:r w:rsidR="00033D0F">
        <w:rPr>
          <w:spacing w:val="-11"/>
        </w:rPr>
        <w:t xml:space="preserve"> </w:t>
      </w:r>
      <w:r w:rsidR="00033D0F">
        <w:t>comparison,</w:t>
      </w:r>
      <w:r w:rsidR="00033D0F">
        <w:rPr>
          <w:spacing w:val="-11"/>
        </w:rPr>
        <w:t xml:space="preserve"> </w:t>
      </w:r>
      <w:r w:rsidR="00033D0F">
        <w:t>the</w:t>
      </w:r>
      <w:r w:rsidR="00033D0F">
        <w:rPr>
          <w:spacing w:val="-12"/>
        </w:rPr>
        <w:t xml:space="preserve"> </w:t>
      </w:r>
      <w:r w:rsidR="00033D0F">
        <w:t>"periods [of</w:t>
      </w:r>
      <w:r w:rsidR="00033D0F">
        <w:rPr>
          <w:spacing w:val="-3"/>
        </w:rPr>
        <w:t xml:space="preserve"> </w:t>
      </w:r>
      <w:r w:rsidR="00033D0F">
        <w:t>time] on</w:t>
      </w:r>
      <w:r w:rsidR="00033D0F">
        <w:rPr>
          <w:spacing w:val="-3"/>
        </w:rPr>
        <w:t xml:space="preserve"> </w:t>
      </w:r>
      <w:r w:rsidR="00033D0F">
        <w:t>the basis of</w:t>
      </w:r>
      <w:r w:rsidR="00033D0F">
        <w:rPr>
          <w:spacing w:val="-3"/>
        </w:rPr>
        <w:t xml:space="preserve"> </w:t>
      </w:r>
      <w:r w:rsidR="00033D0F">
        <w:t>which</w:t>
      </w:r>
      <w:r w:rsidR="00033D0F">
        <w:rPr>
          <w:spacing w:val="-3"/>
        </w:rPr>
        <w:t xml:space="preserve"> </w:t>
      </w:r>
      <w:r w:rsidR="00033D0F">
        <w:t>the</w:t>
      </w:r>
      <w:r w:rsidR="00033D0F">
        <w:rPr>
          <w:spacing w:val="-2"/>
        </w:rPr>
        <w:t xml:space="preserve"> </w:t>
      </w:r>
      <w:r w:rsidR="00033D0F">
        <w:t>weighted</w:t>
      </w:r>
      <w:r w:rsidR="00033D0F">
        <w:rPr>
          <w:spacing w:val="-3"/>
        </w:rPr>
        <w:t xml:space="preserve"> </w:t>
      </w:r>
      <w:r w:rsidR="00033D0F">
        <w:t>average</w:t>
      </w:r>
      <w:r w:rsidR="00033D0F">
        <w:rPr>
          <w:spacing w:val="-1"/>
        </w:rPr>
        <w:t xml:space="preserve"> </w:t>
      </w:r>
      <w:r w:rsidR="00033D0F">
        <w:t>normal value</w:t>
      </w:r>
      <w:r w:rsidR="00033D0F">
        <w:rPr>
          <w:spacing w:val="-2"/>
        </w:rPr>
        <w:t xml:space="preserve"> </w:t>
      </w:r>
      <w:r w:rsidR="00033D0F">
        <w:t>and</w:t>
      </w:r>
      <w:r w:rsidR="00033D0F">
        <w:rPr>
          <w:spacing w:val="-3"/>
        </w:rPr>
        <w:t xml:space="preserve"> </w:t>
      </w:r>
      <w:r w:rsidR="00033D0F">
        <w:t>the</w:t>
      </w:r>
      <w:r w:rsidR="00033D0F">
        <w:rPr>
          <w:spacing w:val="-2"/>
        </w:rPr>
        <w:t xml:space="preserve"> </w:t>
      </w:r>
      <w:r w:rsidR="00033D0F">
        <w:t>weighted</w:t>
      </w:r>
      <w:r w:rsidR="00033D0F">
        <w:rPr>
          <w:spacing w:val="-3"/>
        </w:rPr>
        <w:t xml:space="preserve"> </w:t>
      </w:r>
      <w:r w:rsidR="00033D0F">
        <w:t>average export price are calculated must be the same". This is in line with both the express requirement</w:t>
      </w:r>
      <w:r w:rsidR="00033D0F">
        <w:rPr>
          <w:spacing w:val="-14"/>
        </w:rPr>
        <w:t xml:space="preserve"> </w:t>
      </w:r>
      <w:r w:rsidR="00033D0F">
        <w:t>in</w:t>
      </w:r>
      <w:r w:rsidR="00033D0F">
        <w:rPr>
          <w:spacing w:val="-14"/>
        </w:rPr>
        <w:t xml:space="preserve"> </w:t>
      </w:r>
      <w:r w:rsidR="00033D0F">
        <w:t>Article</w:t>
      </w:r>
      <w:r w:rsidR="00033D0F">
        <w:rPr>
          <w:spacing w:val="-13"/>
        </w:rPr>
        <w:t xml:space="preserve"> </w:t>
      </w:r>
      <w:r w:rsidR="00033D0F">
        <w:t>2.4</w:t>
      </w:r>
      <w:r w:rsidR="00033D0F">
        <w:rPr>
          <w:spacing w:val="-14"/>
        </w:rPr>
        <w:t xml:space="preserve"> </w:t>
      </w:r>
      <w:r w:rsidR="00033D0F">
        <w:t>and</w:t>
      </w:r>
      <w:r w:rsidR="00033D0F">
        <w:rPr>
          <w:spacing w:val="-13"/>
        </w:rPr>
        <w:t xml:space="preserve"> </w:t>
      </w:r>
      <w:r w:rsidR="00033D0F">
        <w:t>Australia's</w:t>
      </w:r>
      <w:r w:rsidR="00033D0F">
        <w:rPr>
          <w:spacing w:val="-14"/>
        </w:rPr>
        <w:t xml:space="preserve"> </w:t>
      </w:r>
      <w:r w:rsidR="00033D0F">
        <w:t>arguments</w:t>
      </w:r>
      <w:r w:rsidR="00033D0F">
        <w:rPr>
          <w:spacing w:val="-13"/>
        </w:rPr>
        <w:t xml:space="preserve"> </w:t>
      </w:r>
      <w:r w:rsidR="00033D0F">
        <w:t>in</w:t>
      </w:r>
      <w:r w:rsidR="00033D0F">
        <w:rPr>
          <w:spacing w:val="-14"/>
        </w:rPr>
        <w:t xml:space="preserve"> </w:t>
      </w:r>
      <w:r w:rsidR="00033D0F">
        <w:t>its</w:t>
      </w:r>
      <w:r w:rsidR="00033D0F">
        <w:rPr>
          <w:spacing w:val="-10"/>
        </w:rPr>
        <w:t xml:space="preserve"> </w:t>
      </w:r>
      <w:r w:rsidR="00033D0F">
        <w:t>first</w:t>
      </w:r>
      <w:r w:rsidR="00033D0F">
        <w:rPr>
          <w:spacing w:val="-12"/>
        </w:rPr>
        <w:t xml:space="preserve"> </w:t>
      </w:r>
      <w:r w:rsidR="00033D0F">
        <w:t>written</w:t>
      </w:r>
      <w:r w:rsidR="00033D0F">
        <w:rPr>
          <w:spacing w:val="-14"/>
        </w:rPr>
        <w:t xml:space="preserve"> </w:t>
      </w:r>
      <w:r w:rsidR="00033D0F">
        <w:t>submission.</w:t>
      </w:r>
      <w:hyperlink w:anchor="_bookmark1502" w:history="1">
        <w:r w:rsidR="00033D0F">
          <w:rPr>
            <w:vertAlign w:val="superscript"/>
          </w:rPr>
          <w:t>1297</w:t>
        </w:r>
      </w:hyperlink>
      <w:r w:rsidR="00033D0F">
        <w:rPr>
          <w:spacing w:val="-11"/>
        </w:rPr>
        <w:t xml:space="preserve"> </w:t>
      </w:r>
      <w:r w:rsidR="00033D0F">
        <w:t>As</w:t>
      </w:r>
      <w:r w:rsidR="00033D0F">
        <w:rPr>
          <w:spacing w:val="-14"/>
        </w:rPr>
        <w:t xml:space="preserve"> </w:t>
      </w:r>
      <w:r w:rsidR="00033D0F">
        <w:t>such, MOFCOM had an obligation to consider in its assessment of price comparability if sales</w:t>
      </w:r>
      <w:r w:rsidR="00033D0F">
        <w:rPr>
          <w:spacing w:val="-1"/>
        </w:rPr>
        <w:t xml:space="preserve"> </w:t>
      </w:r>
      <w:r w:rsidR="00033D0F">
        <w:t>were made at nearly as possible the same time. In failing to provide interested parties with this information that was "used", "not confidential" and "relevant", MOFCOM prohibited the interested parties from making presentations on the basis of this information, breaching the requirements of Article 6.4.</w:t>
      </w:r>
    </w:p>
    <w:p w14:paraId="276B79EC" w14:textId="77777777" w:rsidR="00BD462C" w:rsidRDefault="00BD462C">
      <w:pPr>
        <w:pStyle w:val="BodyText"/>
        <w:spacing w:before="7"/>
        <w:rPr>
          <w:sz w:val="8"/>
        </w:rPr>
      </w:pPr>
    </w:p>
    <w:p w14:paraId="61311BDD" w14:textId="18A5E040" w:rsidR="00BD462C" w:rsidRDefault="00D34854">
      <w:pPr>
        <w:pStyle w:val="BodyText"/>
        <w:spacing w:before="56" w:line="360" w:lineRule="auto"/>
        <w:ind w:left="136" w:right="913"/>
        <w:jc w:val="both"/>
      </w:pPr>
      <w:r>
        <w:rPr>
          <w:noProof/>
        </w:rPr>
        <w:t>891.</w:t>
      </w:r>
      <w:r w:rsidR="00033D0F">
        <w:rPr>
          <w:rFonts w:ascii="Times New Roman"/>
          <w:spacing w:val="80"/>
          <w:w w:val="150"/>
          <w:position w:val="1"/>
          <w:sz w:val="20"/>
        </w:rPr>
        <w:t xml:space="preserve"> </w:t>
      </w:r>
      <w:r w:rsidR="00033D0F">
        <w:rPr>
          <w:position w:val="1"/>
        </w:rPr>
        <w:t xml:space="preserve">In its first written submission, Australia considers there to be two categories of </w:t>
      </w:r>
      <w:r w:rsidR="00033D0F">
        <w:t>information</w:t>
      </w:r>
      <w:r w:rsidR="00033D0F">
        <w:rPr>
          <w:spacing w:val="-14"/>
        </w:rPr>
        <w:t xml:space="preserve"> </w:t>
      </w:r>
      <w:r w:rsidR="00033D0F">
        <w:t>that</w:t>
      </w:r>
      <w:r w:rsidR="00033D0F">
        <w:rPr>
          <w:spacing w:val="-14"/>
        </w:rPr>
        <w:t xml:space="preserve"> </w:t>
      </w:r>
      <w:r w:rsidR="00033D0F">
        <w:t>MOFCOM</w:t>
      </w:r>
      <w:r w:rsidR="00033D0F">
        <w:rPr>
          <w:spacing w:val="-13"/>
        </w:rPr>
        <w:t xml:space="preserve"> </w:t>
      </w:r>
      <w:r w:rsidR="00033D0F">
        <w:t>failed</w:t>
      </w:r>
      <w:r w:rsidR="00033D0F">
        <w:rPr>
          <w:spacing w:val="-14"/>
        </w:rPr>
        <w:t xml:space="preserve"> </w:t>
      </w:r>
      <w:r w:rsidR="00033D0F">
        <w:t>to</w:t>
      </w:r>
      <w:r w:rsidR="00033D0F">
        <w:rPr>
          <w:spacing w:val="-13"/>
        </w:rPr>
        <w:t xml:space="preserve"> </w:t>
      </w:r>
      <w:r w:rsidR="00033D0F">
        <w:t>disclose</w:t>
      </w:r>
      <w:r w:rsidR="00033D0F">
        <w:rPr>
          <w:spacing w:val="-14"/>
        </w:rPr>
        <w:t xml:space="preserve"> </w:t>
      </w:r>
      <w:r w:rsidR="00033D0F">
        <w:t>with</w:t>
      </w:r>
      <w:r w:rsidR="00033D0F">
        <w:rPr>
          <w:spacing w:val="-13"/>
        </w:rPr>
        <w:t xml:space="preserve"> </w:t>
      </w:r>
      <w:r w:rsidR="00033D0F">
        <w:t>respect</w:t>
      </w:r>
      <w:r w:rsidR="00033D0F">
        <w:rPr>
          <w:spacing w:val="-14"/>
        </w:rPr>
        <w:t xml:space="preserve"> </w:t>
      </w:r>
      <w:r w:rsidR="00033D0F">
        <w:t>to</w:t>
      </w:r>
      <w:r w:rsidR="00033D0F">
        <w:rPr>
          <w:spacing w:val="-14"/>
        </w:rPr>
        <w:t xml:space="preserve"> </w:t>
      </w:r>
      <w:r w:rsidR="00033D0F">
        <w:t>a</w:t>
      </w:r>
      <w:r w:rsidR="00033D0F">
        <w:rPr>
          <w:spacing w:val="-13"/>
        </w:rPr>
        <w:t xml:space="preserve"> </w:t>
      </w:r>
      <w:r w:rsidR="00033D0F">
        <w:t>fair</w:t>
      </w:r>
      <w:r w:rsidR="00033D0F">
        <w:rPr>
          <w:spacing w:val="-14"/>
        </w:rPr>
        <w:t xml:space="preserve"> </w:t>
      </w:r>
      <w:r w:rsidR="00033D0F">
        <w:t>comparison.</w:t>
      </w:r>
      <w:r w:rsidR="00033D0F">
        <w:rPr>
          <w:spacing w:val="-13"/>
        </w:rPr>
        <w:t xml:space="preserve"> </w:t>
      </w:r>
      <w:r w:rsidR="00033D0F">
        <w:t>The</w:t>
      </w:r>
      <w:r w:rsidR="00033D0F">
        <w:rPr>
          <w:spacing w:val="-14"/>
        </w:rPr>
        <w:t xml:space="preserve"> </w:t>
      </w:r>
      <w:r w:rsidR="00033D0F">
        <w:t>first</w:t>
      </w:r>
      <w:r w:rsidR="00033D0F">
        <w:rPr>
          <w:spacing w:val="-13"/>
        </w:rPr>
        <w:t xml:space="preserve"> </w:t>
      </w:r>
      <w:r w:rsidR="00033D0F">
        <w:t>relates to information that the interested parties needed to know in order to substantiate their requests</w:t>
      </w:r>
      <w:r w:rsidR="00033D0F">
        <w:rPr>
          <w:spacing w:val="-7"/>
        </w:rPr>
        <w:t xml:space="preserve"> </w:t>
      </w:r>
      <w:r w:rsidR="00033D0F">
        <w:t>for</w:t>
      </w:r>
      <w:r w:rsidR="00033D0F">
        <w:rPr>
          <w:spacing w:val="-11"/>
        </w:rPr>
        <w:t xml:space="preserve"> </w:t>
      </w:r>
      <w:r w:rsidR="00033D0F">
        <w:t>adjustments,</w:t>
      </w:r>
      <w:r w:rsidR="00033D0F">
        <w:rPr>
          <w:spacing w:val="-6"/>
        </w:rPr>
        <w:t xml:space="preserve"> </w:t>
      </w:r>
      <w:r w:rsidR="00033D0F">
        <w:t>while</w:t>
      </w:r>
      <w:r w:rsidR="00033D0F">
        <w:rPr>
          <w:spacing w:val="-8"/>
        </w:rPr>
        <w:t xml:space="preserve"> </w:t>
      </w:r>
      <w:r w:rsidR="00033D0F">
        <w:t>the</w:t>
      </w:r>
      <w:r w:rsidR="00033D0F">
        <w:rPr>
          <w:spacing w:val="-13"/>
        </w:rPr>
        <w:t xml:space="preserve"> </w:t>
      </w:r>
      <w:r w:rsidR="00033D0F">
        <w:t>second</w:t>
      </w:r>
      <w:r w:rsidR="00033D0F">
        <w:rPr>
          <w:spacing w:val="-10"/>
        </w:rPr>
        <w:t xml:space="preserve"> </w:t>
      </w:r>
      <w:r w:rsidR="00033D0F">
        <w:t>was</w:t>
      </w:r>
      <w:r w:rsidR="00033D0F">
        <w:rPr>
          <w:spacing w:val="-7"/>
        </w:rPr>
        <w:t xml:space="preserve"> </w:t>
      </w:r>
      <w:r w:rsidR="00033D0F">
        <w:t>the</w:t>
      </w:r>
      <w:r w:rsidR="00033D0F">
        <w:rPr>
          <w:spacing w:val="-8"/>
        </w:rPr>
        <w:t xml:space="preserve"> </w:t>
      </w:r>
      <w:r w:rsidR="00033D0F">
        <w:t>information</w:t>
      </w:r>
      <w:r w:rsidR="00033D0F">
        <w:rPr>
          <w:spacing w:val="-10"/>
        </w:rPr>
        <w:t xml:space="preserve"> </w:t>
      </w:r>
      <w:r w:rsidR="00033D0F">
        <w:t>that</w:t>
      </w:r>
      <w:r w:rsidR="00033D0F">
        <w:rPr>
          <w:spacing w:val="-8"/>
        </w:rPr>
        <w:t xml:space="preserve"> </w:t>
      </w:r>
      <w:r w:rsidR="00033D0F">
        <w:t>MOFCOM</w:t>
      </w:r>
      <w:r w:rsidR="00033D0F">
        <w:rPr>
          <w:spacing w:val="-8"/>
        </w:rPr>
        <w:t xml:space="preserve"> </w:t>
      </w:r>
      <w:r w:rsidR="00033D0F">
        <w:t>relied</w:t>
      </w:r>
      <w:r w:rsidR="00033D0F">
        <w:rPr>
          <w:spacing w:val="-10"/>
        </w:rPr>
        <w:t xml:space="preserve"> </w:t>
      </w:r>
      <w:r w:rsidR="00033D0F">
        <w:t>upon</w:t>
      </w:r>
      <w:r w:rsidR="00033D0F">
        <w:rPr>
          <w:spacing w:val="-10"/>
        </w:rPr>
        <w:t xml:space="preserve"> </w:t>
      </w:r>
      <w:r w:rsidR="00033D0F">
        <w:t>to accept or reject the requested adjustments.</w:t>
      </w:r>
      <w:hyperlink w:anchor="_bookmark1503" w:history="1">
        <w:r w:rsidR="00033D0F">
          <w:rPr>
            <w:vertAlign w:val="superscript"/>
          </w:rPr>
          <w:t>1298</w:t>
        </w:r>
      </w:hyperlink>
      <w:r w:rsidR="00033D0F">
        <w:t xml:space="preserve"> China appears to misunderstand Australia's </w:t>
      </w:r>
      <w:r w:rsidR="00033D0F">
        <w:rPr>
          <w:spacing w:val="-2"/>
        </w:rPr>
        <w:t>argument.</w:t>
      </w:r>
    </w:p>
    <w:p w14:paraId="3406D1EA" w14:textId="77777777" w:rsidR="00BD462C" w:rsidRDefault="00BD462C">
      <w:pPr>
        <w:pStyle w:val="BodyText"/>
        <w:rPr>
          <w:sz w:val="20"/>
        </w:rPr>
      </w:pPr>
    </w:p>
    <w:p w14:paraId="04AFD5AE" w14:textId="393159EB" w:rsidR="00BD462C" w:rsidRDefault="00D70C7D">
      <w:pPr>
        <w:pStyle w:val="BodyText"/>
        <w:spacing w:before="10"/>
        <w:rPr>
          <w:sz w:val="23"/>
        </w:rPr>
      </w:pPr>
      <w:r>
        <w:rPr>
          <w:noProof/>
        </w:rPr>
        <mc:AlternateContent>
          <mc:Choice Requires="wps">
            <w:drawing>
              <wp:anchor distT="0" distB="0" distL="0" distR="0" simplePos="0" relativeHeight="487868416" behindDoc="1" locked="0" layoutInCell="1" allowOverlap="1" wp14:anchorId="46BDBF71" wp14:editId="2B246539">
                <wp:simplePos x="0" y="0"/>
                <wp:positionH relativeFrom="page">
                  <wp:posOffset>899160</wp:posOffset>
                </wp:positionH>
                <wp:positionV relativeFrom="paragraph">
                  <wp:posOffset>200025</wp:posOffset>
                </wp:positionV>
                <wp:extent cx="1828800" cy="8890"/>
                <wp:effectExtent l="0" t="0" r="0" b="0"/>
                <wp:wrapTopAndBottom/>
                <wp:docPr id="242" name="docshape6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E3E239" id="docshape604" o:spid="_x0000_s1026" alt="&quot;&quot;" style="position:absolute;margin-left:70.8pt;margin-top:15.75pt;width:2in;height:.7pt;z-index:-1544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" fillcolor="black" stroked="f">
                <w10:wrap type="topAndBottom" anchorx="page"/>
              </v:rect>
            </w:pict>
          </mc:Fallback>
        </mc:AlternateContent>
      </w:r>
    </w:p>
    <w:p w14:paraId="68A51541" w14:textId="77777777" w:rsidR="00BD462C" w:rsidRDefault="00033D0F">
      <w:pPr>
        <w:spacing w:before="107"/>
        <w:ind w:left="135"/>
        <w:rPr>
          <w:sz w:val="18"/>
        </w:rPr>
      </w:pPr>
      <w:bookmarkStart w:id="1742" w:name="_bookmark1499"/>
      <w:bookmarkEnd w:id="1742"/>
      <w:r>
        <w:rPr>
          <w:position w:val="5"/>
          <w:sz w:val="12"/>
        </w:rPr>
        <w:t>1294</w:t>
      </w:r>
      <w:r>
        <w:rPr>
          <w:spacing w:val="14"/>
          <w:position w:val="5"/>
          <w:sz w:val="12"/>
        </w:rPr>
        <w:t xml:space="preserve"> </w:t>
      </w:r>
      <w:r>
        <w:rPr>
          <w:sz w:val="18"/>
        </w:rPr>
        <w:t>Appellate</w:t>
      </w:r>
      <w:r>
        <w:rPr>
          <w:spacing w:val="-9"/>
          <w:sz w:val="18"/>
        </w:rPr>
        <w:t xml:space="preserve"> </w:t>
      </w:r>
      <w:r>
        <w:rPr>
          <w:sz w:val="18"/>
        </w:rPr>
        <w:t>Body</w:t>
      </w:r>
      <w:r>
        <w:rPr>
          <w:spacing w:val="-6"/>
          <w:sz w:val="18"/>
        </w:rPr>
        <w:t xml:space="preserve"> </w:t>
      </w:r>
      <w:r>
        <w:rPr>
          <w:sz w:val="18"/>
        </w:rPr>
        <w:t>Report,</w:t>
      </w:r>
      <w:r>
        <w:rPr>
          <w:spacing w:val="-3"/>
          <w:sz w:val="18"/>
        </w:rPr>
        <w:t xml:space="preserve"> </w:t>
      </w:r>
      <w:r>
        <w:rPr>
          <w:i/>
          <w:sz w:val="18"/>
        </w:rPr>
        <w:t>EC</w:t>
      </w:r>
      <w:r>
        <w:rPr>
          <w:i/>
          <w:spacing w:val="-4"/>
          <w:sz w:val="18"/>
        </w:rPr>
        <w:t xml:space="preserve"> </w:t>
      </w:r>
      <w:r>
        <w:rPr>
          <w:i/>
          <w:sz w:val="18"/>
        </w:rPr>
        <w:t>– Fasteners</w:t>
      </w:r>
      <w:r>
        <w:rPr>
          <w:i/>
          <w:spacing w:val="-5"/>
          <w:sz w:val="18"/>
        </w:rPr>
        <w:t xml:space="preserve"> </w:t>
      </w:r>
      <w:r>
        <w:rPr>
          <w:i/>
          <w:sz w:val="18"/>
        </w:rPr>
        <w:t>(China)</w:t>
      </w:r>
      <w:r>
        <w:rPr>
          <w:sz w:val="18"/>
        </w:rPr>
        <w:t>,</w:t>
      </w:r>
      <w:r>
        <w:rPr>
          <w:spacing w:val="-2"/>
          <w:sz w:val="18"/>
        </w:rPr>
        <w:t xml:space="preserve"> </w:t>
      </w:r>
      <w:r>
        <w:rPr>
          <w:sz w:val="18"/>
        </w:rPr>
        <w:t>paras.</w:t>
      </w:r>
      <w:r>
        <w:rPr>
          <w:spacing w:val="-3"/>
          <w:sz w:val="18"/>
        </w:rPr>
        <w:t xml:space="preserve"> </w:t>
      </w:r>
      <w:r>
        <w:rPr>
          <w:sz w:val="18"/>
        </w:rPr>
        <w:t>479-480,</w:t>
      </w:r>
      <w:r>
        <w:rPr>
          <w:spacing w:val="2"/>
          <w:sz w:val="18"/>
        </w:rPr>
        <w:t xml:space="preserve"> </w:t>
      </w:r>
      <w:r>
        <w:rPr>
          <w:spacing w:val="-4"/>
          <w:sz w:val="18"/>
        </w:rPr>
        <w:t>485.</w:t>
      </w:r>
    </w:p>
    <w:p w14:paraId="202D3C6D" w14:textId="77777777" w:rsidR="00BD462C" w:rsidRDefault="00033D0F">
      <w:pPr>
        <w:spacing w:before="1"/>
        <w:ind w:left="135"/>
        <w:rPr>
          <w:sz w:val="18"/>
        </w:rPr>
      </w:pPr>
      <w:bookmarkStart w:id="1743" w:name="_bookmark1500"/>
      <w:bookmarkEnd w:id="1743"/>
      <w:r>
        <w:rPr>
          <w:position w:val="5"/>
          <w:sz w:val="12"/>
        </w:rPr>
        <w:t>1295</w:t>
      </w:r>
      <w:r>
        <w:rPr>
          <w:spacing w:val="13"/>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 xml:space="preserve">para. </w:t>
      </w:r>
      <w:r>
        <w:rPr>
          <w:spacing w:val="-2"/>
          <w:sz w:val="18"/>
        </w:rPr>
        <w:t>2470.</w:t>
      </w:r>
    </w:p>
    <w:p w14:paraId="0273E4F6" w14:textId="77777777" w:rsidR="00BD462C" w:rsidRDefault="00033D0F">
      <w:pPr>
        <w:spacing w:before="1"/>
        <w:ind w:left="135"/>
        <w:rPr>
          <w:sz w:val="18"/>
        </w:rPr>
      </w:pPr>
      <w:bookmarkStart w:id="1744" w:name="_bookmark1501"/>
      <w:bookmarkEnd w:id="1744"/>
      <w:r>
        <w:rPr>
          <w:position w:val="5"/>
          <w:sz w:val="12"/>
        </w:rPr>
        <w:t>1296</w:t>
      </w:r>
      <w:r>
        <w:rPr>
          <w:spacing w:val="15"/>
          <w:position w:val="5"/>
          <w:sz w:val="12"/>
        </w:rPr>
        <w:t xml:space="preserve"> </w:t>
      </w:r>
      <w:r>
        <w:rPr>
          <w:sz w:val="18"/>
        </w:rPr>
        <w:t>Panel</w:t>
      </w:r>
      <w:r>
        <w:rPr>
          <w:spacing w:val="-3"/>
          <w:sz w:val="18"/>
        </w:rPr>
        <w:t xml:space="preserve"> </w:t>
      </w:r>
      <w:r>
        <w:rPr>
          <w:sz w:val="18"/>
        </w:rPr>
        <w:t>Report,</w:t>
      </w:r>
      <w:r>
        <w:rPr>
          <w:spacing w:val="-2"/>
          <w:sz w:val="18"/>
        </w:rPr>
        <w:t xml:space="preserve"> </w:t>
      </w:r>
      <w:r>
        <w:rPr>
          <w:i/>
          <w:sz w:val="18"/>
        </w:rPr>
        <w:t>US</w:t>
      </w:r>
      <w:r>
        <w:rPr>
          <w:i/>
          <w:spacing w:val="-5"/>
          <w:sz w:val="18"/>
        </w:rPr>
        <w:t xml:space="preserve"> </w:t>
      </w:r>
      <w:r>
        <w:rPr>
          <w:i/>
          <w:sz w:val="18"/>
        </w:rPr>
        <w:t>– Stainless</w:t>
      </w:r>
      <w:r>
        <w:rPr>
          <w:i/>
          <w:spacing w:val="1"/>
          <w:sz w:val="18"/>
        </w:rPr>
        <w:t xml:space="preserve"> </w:t>
      </w:r>
      <w:r>
        <w:rPr>
          <w:i/>
          <w:sz w:val="18"/>
        </w:rPr>
        <w:t>Steel</w:t>
      </w:r>
      <w:r>
        <w:rPr>
          <w:i/>
          <w:spacing w:val="-7"/>
          <w:sz w:val="18"/>
        </w:rPr>
        <w:t xml:space="preserve"> </w:t>
      </w:r>
      <w:r>
        <w:rPr>
          <w:i/>
          <w:sz w:val="18"/>
        </w:rPr>
        <w:t>(Korea)</w:t>
      </w:r>
      <w:r>
        <w:rPr>
          <w:sz w:val="18"/>
        </w:rPr>
        <w:t>,</w:t>
      </w:r>
      <w:r>
        <w:rPr>
          <w:spacing w:val="-2"/>
          <w:sz w:val="18"/>
        </w:rPr>
        <w:t xml:space="preserve"> </w:t>
      </w:r>
      <w:r>
        <w:rPr>
          <w:sz w:val="18"/>
        </w:rPr>
        <w:t>para.</w:t>
      </w:r>
      <w:r>
        <w:rPr>
          <w:spacing w:val="-3"/>
          <w:sz w:val="18"/>
        </w:rPr>
        <w:t xml:space="preserve"> </w:t>
      </w:r>
      <w:r>
        <w:rPr>
          <w:spacing w:val="-2"/>
          <w:sz w:val="18"/>
        </w:rPr>
        <w:t>6.121.</w:t>
      </w:r>
    </w:p>
    <w:p w14:paraId="33237029" w14:textId="77777777" w:rsidR="00BD462C" w:rsidRDefault="00033D0F">
      <w:pPr>
        <w:spacing w:before="1"/>
        <w:ind w:left="135"/>
        <w:rPr>
          <w:sz w:val="18"/>
        </w:rPr>
      </w:pPr>
      <w:bookmarkStart w:id="1745" w:name="_bookmark1502"/>
      <w:bookmarkEnd w:id="1745"/>
      <w:r>
        <w:rPr>
          <w:position w:val="5"/>
          <w:sz w:val="12"/>
        </w:rPr>
        <w:t>1297</w:t>
      </w:r>
      <w:r>
        <w:rPr>
          <w:spacing w:val="12"/>
          <w:position w:val="5"/>
          <w:sz w:val="12"/>
        </w:rPr>
        <w:t xml:space="preserve"> </w:t>
      </w:r>
      <w:r>
        <w:rPr>
          <w:sz w:val="18"/>
        </w:rPr>
        <w:t>Australia's</w:t>
      </w:r>
      <w:r>
        <w:rPr>
          <w:spacing w:val="-6"/>
          <w:sz w:val="18"/>
        </w:rPr>
        <w:t xml:space="preserve"> </w:t>
      </w:r>
      <w:r>
        <w:rPr>
          <w:sz w:val="18"/>
        </w:rPr>
        <w:t>first</w:t>
      </w:r>
      <w:r>
        <w:rPr>
          <w:spacing w:val="-5"/>
          <w:sz w:val="18"/>
        </w:rPr>
        <w:t xml:space="preserve"> </w:t>
      </w:r>
      <w:r>
        <w:rPr>
          <w:sz w:val="18"/>
        </w:rPr>
        <w:t>written</w:t>
      </w:r>
      <w:r>
        <w:rPr>
          <w:spacing w:val="-2"/>
          <w:sz w:val="18"/>
        </w:rPr>
        <w:t xml:space="preserve"> </w:t>
      </w:r>
      <w:r>
        <w:rPr>
          <w:sz w:val="18"/>
        </w:rPr>
        <w:t>submission, para.</w:t>
      </w:r>
      <w:r>
        <w:rPr>
          <w:spacing w:val="-5"/>
          <w:sz w:val="18"/>
        </w:rPr>
        <w:t xml:space="preserve"> </w:t>
      </w:r>
      <w:r>
        <w:rPr>
          <w:spacing w:val="-4"/>
          <w:sz w:val="18"/>
        </w:rPr>
        <w:t>991.</w:t>
      </w:r>
    </w:p>
    <w:p w14:paraId="7192909D" w14:textId="77777777" w:rsidR="00BD462C" w:rsidRDefault="00033D0F">
      <w:pPr>
        <w:spacing w:before="1"/>
        <w:ind w:left="135"/>
        <w:rPr>
          <w:sz w:val="18"/>
        </w:rPr>
      </w:pPr>
      <w:bookmarkStart w:id="1746" w:name="_bookmark1503"/>
      <w:bookmarkEnd w:id="1746"/>
      <w:r>
        <w:rPr>
          <w:position w:val="5"/>
          <w:sz w:val="12"/>
        </w:rPr>
        <w:t>1298</w:t>
      </w:r>
      <w:r>
        <w:rPr>
          <w:spacing w:val="12"/>
          <w:position w:val="5"/>
          <w:sz w:val="12"/>
        </w:rPr>
        <w:t xml:space="preserve"> </w:t>
      </w:r>
      <w:r>
        <w:rPr>
          <w:sz w:val="18"/>
        </w:rPr>
        <w:t>Australia's</w:t>
      </w:r>
      <w:r>
        <w:rPr>
          <w:spacing w:val="-6"/>
          <w:sz w:val="18"/>
        </w:rPr>
        <w:t xml:space="preserve"> </w:t>
      </w:r>
      <w:r>
        <w:rPr>
          <w:sz w:val="18"/>
        </w:rPr>
        <w:t>first</w:t>
      </w:r>
      <w:r>
        <w:rPr>
          <w:spacing w:val="-5"/>
          <w:sz w:val="18"/>
        </w:rPr>
        <w:t xml:space="preserve"> </w:t>
      </w:r>
      <w:r>
        <w:rPr>
          <w:sz w:val="18"/>
        </w:rPr>
        <w:t>written</w:t>
      </w:r>
      <w:r>
        <w:rPr>
          <w:spacing w:val="-2"/>
          <w:sz w:val="18"/>
        </w:rPr>
        <w:t xml:space="preserve"> </w:t>
      </w:r>
      <w:r>
        <w:rPr>
          <w:sz w:val="18"/>
        </w:rPr>
        <w:t>submission, para.</w:t>
      </w:r>
      <w:r>
        <w:rPr>
          <w:spacing w:val="-5"/>
          <w:sz w:val="18"/>
        </w:rPr>
        <w:t xml:space="preserve"> </w:t>
      </w:r>
      <w:r>
        <w:rPr>
          <w:spacing w:val="-4"/>
          <w:sz w:val="18"/>
        </w:rPr>
        <w:t>982.</w:t>
      </w:r>
    </w:p>
    <w:p w14:paraId="1EC2BEF7" w14:textId="77777777" w:rsidR="00BD462C" w:rsidRDefault="00BD462C">
      <w:pPr>
        <w:rPr>
          <w:sz w:val="18"/>
        </w:rPr>
        <w:sectPr w:rsidR="00BD462C">
          <w:pgSz w:w="11910" w:h="16840"/>
          <w:pgMar w:top="860" w:right="500" w:bottom="780" w:left="1280" w:header="566" w:footer="590" w:gutter="0"/>
          <w:cols w:space="720"/>
        </w:sectPr>
      </w:pPr>
    </w:p>
    <w:p w14:paraId="3024BACF" w14:textId="77777777" w:rsidR="00BD462C" w:rsidRDefault="00033D0F">
      <w:pPr>
        <w:tabs>
          <w:tab w:val="left" w:pos="6087"/>
        </w:tabs>
        <w:spacing w:before="1"/>
        <w:ind w:left="135"/>
        <w:jc w:val="both"/>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0C1F7011" w14:textId="77777777" w:rsidR="00BD462C" w:rsidRDefault="00033D0F">
      <w:pPr>
        <w:spacing w:before="1"/>
        <w:ind w:left="135"/>
        <w:jc w:val="both"/>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2D1AFFFD" w14:textId="77777777" w:rsidR="00BD462C" w:rsidRDefault="00033D0F">
      <w:pPr>
        <w:tabs>
          <w:tab w:val="left" w:pos="7652"/>
        </w:tabs>
        <w:ind w:left="135"/>
        <w:jc w:val="both"/>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7FDB4F25" w14:textId="644EAAEA" w:rsidR="00BD462C" w:rsidRDefault="00D34854">
      <w:pPr>
        <w:pStyle w:val="BodyText"/>
        <w:spacing w:before="107" w:line="360" w:lineRule="auto"/>
        <w:ind w:left="135" w:right="916"/>
        <w:jc w:val="both"/>
      </w:pPr>
      <w:r>
        <w:rPr>
          <w:noProof/>
        </w:rPr>
        <w:t>892.</w:t>
      </w:r>
      <w:r w:rsidR="00033D0F">
        <w:rPr>
          <w:rFonts w:ascii="Times New Roman"/>
          <w:spacing w:val="80"/>
          <w:position w:val="1"/>
          <w:sz w:val="20"/>
        </w:rPr>
        <w:t xml:space="preserve"> </w:t>
      </w:r>
      <w:r w:rsidR="00033D0F">
        <w:rPr>
          <w:position w:val="1"/>
        </w:rPr>
        <w:t xml:space="preserve">Here, Australia is referring to the fact that MOFCOM used the data of "other </w:t>
      </w:r>
      <w:r w:rsidR="00033D0F">
        <w:t>respondent(s)" for Casella Wines and Swan Vintage's normal value, export price, and fair comparison determinations. However, Australia's argument is not confined to the adjustments requested by the interested parties on their own data. In the event that the investigating authority did not use the sampled companies' own data, it needed to provide a non-confidential summary to interested parties in sufficient detail to permit a reasonable understanding of the information in order to enable to them make presentations on the information actually used.</w:t>
      </w:r>
    </w:p>
    <w:p w14:paraId="1B782E29" w14:textId="77777777" w:rsidR="00BD462C" w:rsidRDefault="00BD462C">
      <w:pPr>
        <w:pStyle w:val="BodyText"/>
        <w:spacing w:before="2"/>
        <w:rPr>
          <w:sz w:val="8"/>
        </w:rPr>
      </w:pPr>
    </w:p>
    <w:p w14:paraId="6C8FAE23" w14:textId="537D29C5" w:rsidR="00BD462C" w:rsidRDefault="00D34854">
      <w:pPr>
        <w:pStyle w:val="BodyText"/>
        <w:spacing w:before="56" w:line="360" w:lineRule="auto"/>
        <w:ind w:left="135" w:right="915"/>
        <w:jc w:val="both"/>
      </w:pPr>
      <w:r>
        <w:rPr>
          <w:noProof/>
        </w:rPr>
        <w:t>893.</w:t>
      </w:r>
      <w:r w:rsidR="00033D0F">
        <w:rPr>
          <w:rFonts w:ascii="Times New Roman"/>
          <w:spacing w:val="80"/>
          <w:position w:val="1"/>
          <w:sz w:val="20"/>
        </w:rPr>
        <w:t xml:space="preserve"> </w:t>
      </w:r>
      <w:r w:rsidR="00033D0F">
        <w:rPr>
          <w:position w:val="1"/>
        </w:rPr>
        <w:t xml:space="preserve">China also argues that accepted adjustments were presented in the Final </w:t>
      </w:r>
      <w:r w:rsidR="00033D0F">
        <w:t>Determination, contending that "the Investigating Authority decided to accept adjustment items</w:t>
      </w:r>
      <w:r w:rsidR="00033D0F">
        <w:rPr>
          <w:spacing w:val="-6"/>
        </w:rPr>
        <w:t xml:space="preserve"> </w:t>
      </w:r>
      <w:r w:rsidR="00033D0F">
        <w:t>s</w:t>
      </w:r>
      <w:r w:rsidR="00033D0F">
        <w:rPr>
          <w:i/>
        </w:rPr>
        <w:t>uch</w:t>
      </w:r>
      <w:r w:rsidR="00033D0F">
        <w:rPr>
          <w:i/>
          <w:spacing w:val="-6"/>
        </w:rPr>
        <w:t xml:space="preserve"> </w:t>
      </w:r>
      <w:r w:rsidR="00033D0F">
        <w:rPr>
          <w:i/>
        </w:rPr>
        <w:t>as</w:t>
      </w:r>
      <w:r w:rsidR="00033D0F">
        <w:rPr>
          <w:i/>
          <w:spacing w:val="-10"/>
        </w:rPr>
        <w:t xml:space="preserve"> </w:t>
      </w:r>
      <w:r w:rsidR="00033D0F">
        <w:t>invoice</w:t>
      </w:r>
      <w:r w:rsidR="00033D0F">
        <w:rPr>
          <w:spacing w:val="-7"/>
        </w:rPr>
        <w:t xml:space="preserve"> </w:t>
      </w:r>
      <w:r w:rsidR="00033D0F">
        <w:t>discount,</w:t>
      </w:r>
      <w:r w:rsidR="00033D0F">
        <w:rPr>
          <w:spacing w:val="-5"/>
        </w:rPr>
        <w:t xml:space="preserve"> </w:t>
      </w:r>
      <w:r w:rsidR="00033D0F">
        <w:t>rebate,</w:t>
      </w:r>
      <w:r w:rsidR="00033D0F">
        <w:rPr>
          <w:spacing w:val="-5"/>
        </w:rPr>
        <w:t xml:space="preserve"> </w:t>
      </w:r>
      <w:r w:rsidR="00033D0F">
        <w:t>credit</w:t>
      </w:r>
      <w:r w:rsidR="00033D0F">
        <w:rPr>
          <w:spacing w:val="-7"/>
        </w:rPr>
        <w:t xml:space="preserve"> </w:t>
      </w:r>
      <w:r w:rsidR="00033D0F">
        <w:t>fee, and</w:t>
      </w:r>
      <w:r w:rsidR="00033D0F">
        <w:rPr>
          <w:spacing w:val="-9"/>
        </w:rPr>
        <w:t xml:space="preserve"> </w:t>
      </w:r>
      <w:r w:rsidR="00033D0F">
        <w:t>inland</w:t>
      </w:r>
      <w:r w:rsidR="00033D0F">
        <w:rPr>
          <w:spacing w:val="-4"/>
        </w:rPr>
        <w:t xml:space="preserve"> </w:t>
      </w:r>
      <w:r w:rsidR="00033D0F">
        <w:t>freight</w:t>
      </w:r>
      <w:r w:rsidR="00033D0F">
        <w:rPr>
          <w:spacing w:val="-7"/>
        </w:rPr>
        <w:t xml:space="preserve"> </w:t>
      </w:r>
      <w:r w:rsidR="00033D0F">
        <w:t>(from</w:t>
      </w:r>
      <w:r w:rsidR="00033D0F">
        <w:rPr>
          <w:spacing w:val="-7"/>
        </w:rPr>
        <w:t xml:space="preserve"> </w:t>
      </w:r>
      <w:r w:rsidR="00033D0F">
        <w:t>factory/warehouse to</w:t>
      </w:r>
      <w:r w:rsidR="00033D0F">
        <w:rPr>
          <w:spacing w:val="-9"/>
        </w:rPr>
        <w:t xml:space="preserve"> </w:t>
      </w:r>
      <w:r w:rsidR="00033D0F">
        <w:t>clients)</w:t>
      </w:r>
      <w:r w:rsidR="00033D0F">
        <w:rPr>
          <w:spacing w:val="-8"/>
        </w:rPr>
        <w:t xml:space="preserve"> </w:t>
      </w:r>
      <w:r w:rsidR="00033D0F">
        <w:t>claimed</w:t>
      </w:r>
      <w:r w:rsidR="00033D0F">
        <w:rPr>
          <w:spacing w:val="-8"/>
        </w:rPr>
        <w:t xml:space="preserve"> </w:t>
      </w:r>
      <w:r w:rsidR="00033D0F">
        <w:t>by</w:t>
      </w:r>
      <w:r w:rsidR="00033D0F">
        <w:rPr>
          <w:spacing w:val="-5"/>
        </w:rPr>
        <w:t xml:space="preserve"> </w:t>
      </w:r>
      <w:r w:rsidR="00033D0F">
        <w:t>the</w:t>
      </w:r>
      <w:r w:rsidR="00033D0F">
        <w:rPr>
          <w:spacing w:val="-6"/>
        </w:rPr>
        <w:t xml:space="preserve"> </w:t>
      </w:r>
      <w:r w:rsidR="00033D0F">
        <w:t>company"</w:t>
      </w:r>
      <w:r w:rsidR="00033D0F">
        <w:rPr>
          <w:spacing w:val="-1"/>
        </w:rPr>
        <w:t xml:space="preserve"> </w:t>
      </w:r>
      <w:r w:rsidR="00033D0F">
        <w:t>and</w:t>
      </w:r>
      <w:r w:rsidR="00033D0F">
        <w:rPr>
          <w:spacing w:val="-2"/>
        </w:rPr>
        <w:t xml:space="preserve"> </w:t>
      </w:r>
      <w:r w:rsidR="00033D0F">
        <w:t>that</w:t>
      </w:r>
      <w:r w:rsidR="00033D0F">
        <w:rPr>
          <w:spacing w:val="-6"/>
        </w:rPr>
        <w:t xml:space="preserve"> </w:t>
      </w:r>
      <w:r w:rsidR="00033D0F">
        <w:t>this</w:t>
      </w:r>
      <w:r w:rsidR="00033D0F">
        <w:rPr>
          <w:spacing w:val="-5"/>
        </w:rPr>
        <w:t xml:space="preserve"> </w:t>
      </w:r>
      <w:r w:rsidR="00033D0F">
        <w:t>is</w:t>
      </w:r>
      <w:r w:rsidR="00033D0F">
        <w:rPr>
          <w:spacing w:val="-5"/>
        </w:rPr>
        <w:t xml:space="preserve"> </w:t>
      </w:r>
      <w:r w:rsidR="00033D0F">
        <w:t>an</w:t>
      </w:r>
      <w:r w:rsidR="00033D0F">
        <w:rPr>
          <w:spacing w:val="-8"/>
        </w:rPr>
        <w:t xml:space="preserve"> </w:t>
      </w:r>
      <w:r w:rsidR="00033D0F">
        <w:t>appropriate</w:t>
      </w:r>
      <w:r w:rsidR="00033D0F">
        <w:rPr>
          <w:spacing w:val="-6"/>
        </w:rPr>
        <w:t xml:space="preserve"> </w:t>
      </w:r>
      <w:r w:rsidR="00033D0F">
        <w:t>level</w:t>
      </w:r>
      <w:r w:rsidR="00033D0F">
        <w:rPr>
          <w:spacing w:val="-4"/>
        </w:rPr>
        <w:t xml:space="preserve"> </w:t>
      </w:r>
      <w:r w:rsidR="00033D0F">
        <w:t>of</w:t>
      </w:r>
      <w:r w:rsidR="00033D0F">
        <w:rPr>
          <w:spacing w:val="-8"/>
        </w:rPr>
        <w:t xml:space="preserve"> </w:t>
      </w:r>
      <w:r w:rsidR="00033D0F">
        <w:t>detail</w:t>
      </w:r>
      <w:r w:rsidR="00033D0F">
        <w:rPr>
          <w:spacing w:val="-4"/>
        </w:rPr>
        <w:t xml:space="preserve"> </w:t>
      </w:r>
      <w:r w:rsidR="00033D0F">
        <w:t>to</w:t>
      </w:r>
      <w:r w:rsidR="00033D0F">
        <w:rPr>
          <w:spacing w:val="-4"/>
        </w:rPr>
        <w:t xml:space="preserve"> </w:t>
      </w:r>
      <w:r w:rsidR="00033D0F">
        <w:t>discharge the</w:t>
      </w:r>
      <w:r w:rsidR="00033D0F">
        <w:rPr>
          <w:spacing w:val="-6"/>
        </w:rPr>
        <w:t xml:space="preserve"> </w:t>
      </w:r>
      <w:r w:rsidR="00033D0F">
        <w:t>obligation.</w:t>
      </w:r>
      <w:hyperlink w:anchor="_bookmark1504" w:history="1">
        <w:r w:rsidR="00033D0F">
          <w:rPr>
            <w:vertAlign w:val="superscript"/>
          </w:rPr>
          <w:t>1299</w:t>
        </w:r>
      </w:hyperlink>
      <w:r w:rsidR="00033D0F">
        <w:rPr>
          <w:spacing w:val="-5"/>
        </w:rPr>
        <w:t xml:space="preserve"> </w:t>
      </w:r>
      <w:r w:rsidR="00033D0F">
        <w:t>Australia</w:t>
      </w:r>
      <w:r w:rsidR="00033D0F">
        <w:rPr>
          <w:spacing w:val="-7"/>
        </w:rPr>
        <w:t xml:space="preserve"> </w:t>
      </w:r>
      <w:r w:rsidR="00033D0F">
        <w:t>disagrees.</w:t>
      </w:r>
      <w:r w:rsidR="00033D0F">
        <w:rPr>
          <w:spacing w:val="-5"/>
        </w:rPr>
        <w:t xml:space="preserve"> </w:t>
      </w:r>
      <w:r w:rsidR="00033D0F">
        <w:t>By</w:t>
      </w:r>
      <w:r w:rsidR="00033D0F">
        <w:rPr>
          <w:spacing w:val="-5"/>
        </w:rPr>
        <w:t xml:space="preserve"> </w:t>
      </w:r>
      <w:r w:rsidR="00033D0F">
        <w:t>using</w:t>
      </w:r>
      <w:r w:rsidR="00033D0F">
        <w:rPr>
          <w:spacing w:val="-5"/>
        </w:rPr>
        <w:t xml:space="preserve"> </w:t>
      </w:r>
      <w:r w:rsidR="00033D0F">
        <w:t>the</w:t>
      </w:r>
      <w:r w:rsidR="00033D0F">
        <w:rPr>
          <w:spacing w:val="-6"/>
        </w:rPr>
        <w:t xml:space="preserve"> </w:t>
      </w:r>
      <w:r w:rsidR="00033D0F">
        <w:t>term</w:t>
      </w:r>
      <w:r w:rsidR="00033D0F">
        <w:rPr>
          <w:spacing w:val="-6"/>
        </w:rPr>
        <w:t xml:space="preserve"> </w:t>
      </w:r>
      <w:r w:rsidR="00033D0F">
        <w:t>"such</w:t>
      </w:r>
      <w:r w:rsidR="00033D0F">
        <w:rPr>
          <w:spacing w:val="-3"/>
        </w:rPr>
        <w:t xml:space="preserve"> </w:t>
      </w:r>
      <w:r w:rsidR="00033D0F">
        <w:t>as"</w:t>
      </w:r>
      <w:r w:rsidR="00033D0F">
        <w:rPr>
          <w:spacing w:val="-7"/>
        </w:rPr>
        <w:t xml:space="preserve"> </w:t>
      </w:r>
      <w:r w:rsidR="00033D0F">
        <w:t>in</w:t>
      </w:r>
      <w:r w:rsidR="00033D0F">
        <w:rPr>
          <w:spacing w:val="-3"/>
        </w:rPr>
        <w:t xml:space="preserve"> </w:t>
      </w:r>
      <w:r w:rsidR="00033D0F">
        <w:t>the</w:t>
      </w:r>
      <w:r w:rsidR="00033D0F">
        <w:rPr>
          <w:spacing w:val="-6"/>
        </w:rPr>
        <w:t xml:space="preserve"> </w:t>
      </w:r>
      <w:r w:rsidR="00033D0F">
        <w:t>Final</w:t>
      </w:r>
      <w:r w:rsidR="00033D0F">
        <w:rPr>
          <w:spacing w:val="-4"/>
        </w:rPr>
        <w:t xml:space="preserve"> </w:t>
      </w:r>
      <w:r w:rsidR="00033D0F">
        <w:t>Determination, MOFCOM</w:t>
      </w:r>
      <w:r w:rsidR="00033D0F">
        <w:rPr>
          <w:spacing w:val="-6"/>
        </w:rPr>
        <w:t xml:space="preserve"> </w:t>
      </w:r>
      <w:r w:rsidR="00033D0F">
        <w:t>introduced</w:t>
      </w:r>
      <w:r w:rsidR="00033D0F">
        <w:rPr>
          <w:spacing w:val="-3"/>
        </w:rPr>
        <w:t xml:space="preserve"> </w:t>
      </w:r>
      <w:r w:rsidR="00033D0F">
        <w:t>a</w:t>
      </w:r>
      <w:r w:rsidR="00033D0F">
        <w:rPr>
          <w:spacing w:val="-2"/>
        </w:rPr>
        <w:t xml:space="preserve"> </w:t>
      </w:r>
      <w:r w:rsidR="00033D0F">
        <w:t>level</w:t>
      </w:r>
      <w:r w:rsidR="00033D0F">
        <w:rPr>
          <w:spacing w:val="-4"/>
        </w:rPr>
        <w:t xml:space="preserve"> </w:t>
      </w:r>
      <w:r w:rsidR="00033D0F">
        <w:t>of</w:t>
      </w:r>
      <w:r w:rsidR="00033D0F">
        <w:rPr>
          <w:spacing w:val="-8"/>
        </w:rPr>
        <w:t xml:space="preserve"> </w:t>
      </w:r>
      <w:r w:rsidR="00033D0F">
        <w:t>ambiguity</w:t>
      </w:r>
      <w:r w:rsidR="00033D0F">
        <w:rPr>
          <w:spacing w:val="-5"/>
        </w:rPr>
        <w:t xml:space="preserve"> </w:t>
      </w:r>
      <w:r w:rsidR="00033D0F">
        <w:t>regarding</w:t>
      </w:r>
      <w:r w:rsidR="00033D0F">
        <w:rPr>
          <w:spacing w:val="-5"/>
        </w:rPr>
        <w:t xml:space="preserve"> </w:t>
      </w:r>
      <w:r w:rsidR="00033D0F">
        <w:t>the</w:t>
      </w:r>
      <w:r w:rsidR="00033D0F">
        <w:rPr>
          <w:spacing w:val="-6"/>
        </w:rPr>
        <w:t xml:space="preserve"> </w:t>
      </w:r>
      <w:r w:rsidR="00033D0F">
        <w:t>extent</w:t>
      </w:r>
      <w:r w:rsidR="00033D0F">
        <w:rPr>
          <w:spacing w:val="-6"/>
        </w:rPr>
        <w:t xml:space="preserve"> </w:t>
      </w:r>
      <w:r w:rsidR="00033D0F">
        <w:t>of</w:t>
      </w:r>
      <w:r w:rsidR="00033D0F">
        <w:rPr>
          <w:spacing w:val="-8"/>
        </w:rPr>
        <w:t xml:space="preserve"> </w:t>
      </w:r>
      <w:r w:rsidR="00033D0F">
        <w:t>adjustments</w:t>
      </w:r>
      <w:r w:rsidR="00033D0F">
        <w:rPr>
          <w:spacing w:val="-5"/>
        </w:rPr>
        <w:t xml:space="preserve"> </w:t>
      </w:r>
      <w:r w:rsidR="00033D0F">
        <w:t>that</w:t>
      </w:r>
      <w:r w:rsidR="00033D0F">
        <w:rPr>
          <w:spacing w:val="-6"/>
        </w:rPr>
        <w:t xml:space="preserve"> </w:t>
      </w:r>
      <w:r w:rsidR="00033D0F">
        <w:t>MOFCOM actually accepted. This prevented interested parties from understanding whether MOFCOM had not accepted adjustments it should have.</w:t>
      </w:r>
    </w:p>
    <w:p w14:paraId="5F186D59" w14:textId="77777777" w:rsidR="00BD462C" w:rsidRDefault="00BD462C">
      <w:pPr>
        <w:pStyle w:val="BodyText"/>
        <w:spacing w:before="8"/>
        <w:rPr>
          <w:sz w:val="8"/>
        </w:rPr>
      </w:pPr>
    </w:p>
    <w:p w14:paraId="4727DA41" w14:textId="0F63FC1D" w:rsidR="00BD462C" w:rsidRDefault="00D34854">
      <w:pPr>
        <w:pStyle w:val="BodyText"/>
        <w:spacing w:before="56" w:line="360" w:lineRule="auto"/>
        <w:ind w:left="135" w:right="914"/>
        <w:jc w:val="both"/>
      </w:pPr>
      <w:r>
        <w:rPr>
          <w:noProof/>
        </w:rPr>
        <w:t>894.</w:t>
      </w:r>
      <w:r w:rsidR="00033D0F">
        <w:rPr>
          <w:rFonts w:ascii="Times New Roman"/>
          <w:spacing w:val="80"/>
          <w:position w:val="1"/>
          <w:sz w:val="20"/>
        </w:rPr>
        <w:t xml:space="preserve">  </w:t>
      </w:r>
      <w:r w:rsidR="00033D0F">
        <w:rPr>
          <w:position w:val="1"/>
        </w:rPr>
        <w:t xml:space="preserve">As the Panel will appreciate, with Casella Wines and Swan Vintage being faced with </w:t>
      </w:r>
      <w:r w:rsidR="00033D0F">
        <w:t>ambiguous terms including "other respondent(s)" and "such as", they were not given the opportunity to see the information relevant to the presentation of their case, completely inhibiting their ability to make presentations, including to request further adjustments.</w:t>
      </w:r>
    </w:p>
    <w:p w14:paraId="5EECD12B" w14:textId="77777777" w:rsidR="00BD462C" w:rsidRDefault="00BD462C">
      <w:pPr>
        <w:pStyle w:val="BodyText"/>
        <w:spacing w:before="8"/>
        <w:rPr>
          <w:sz w:val="8"/>
        </w:rPr>
      </w:pPr>
    </w:p>
    <w:p w14:paraId="3E214B7E" w14:textId="1DAC4C65" w:rsidR="00BD462C" w:rsidRDefault="00D34854">
      <w:pPr>
        <w:pStyle w:val="BodyText"/>
        <w:spacing w:before="57" w:line="355" w:lineRule="auto"/>
        <w:ind w:left="135" w:right="915"/>
        <w:jc w:val="both"/>
      </w:pPr>
      <w:r>
        <w:rPr>
          <w:noProof/>
        </w:rPr>
        <w:t>895.</w:t>
      </w:r>
      <w:r w:rsidR="00033D0F">
        <w:rPr>
          <w:rFonts w:ascii="Times New Roman"/>
          <w:spacing w:val="80"/>
          <w:position w:val="1"/>
          <w:sz w:val="20"/>
        </w:rPr>
        <w:t xml:space="preserve">  </w:t>
      </w:r>
      <w:r w:rsidR="00033D0F">
        <w:rPr>
          <w:position w:val="1"/>
        </w:rPr>
        <w:t xml:space="preserve">Finally, China argues that the question of whether the information relating to price </w:t>
      </w:r>
      <w:r w:rsidR="00033D0F">
        <w:t>adjustments was confidential in its entirety</w:t>
      </w:r>
      <w:hyperlink w:anchor="_bookmark1505" w:history="1">
        <w:r w:rsidR="00033D0F">
          <w:rPr>
            <w:vertAlign w:val="superscript"/>
          </w:rPr>
          <w:t>1300</w:t>
        </w:r>
      </w:hyperlink>
      <w:r w:rsidR="00033D0F">
        <w:t xml:space="preserve"> should be dealt with under Australia's Article</w:t>
      </w:r>
    </w:p>
    <w:p w14:paraId="1E59F7B1" w14:textId="77777777" w:rsidR="00BD462C" w:rsidRDefault="00033D0F">
      <w:pPr>
        <w:pStyle w:val="BodyText"/>
        <w:spacing w:before="6" w:line="360" w:lineRule="auto"/>
        <w:ind w:left="136" w:right="912"/>
        <w:jc w:val="both"/>
      </w:pPr>
      <w:r>
        <w:t>6.5 arguments. However, this is a misunderstanding by China of Australia's claims. Here, Australia is not challenging a decision of MOFCOM to grant confidential treatment to information</w:t>
      </w:r>
      <w:r>
        <w:rPr>
          <w:spacing w:val="-12"/>
        </w:rPr>
        <w:t xml:space="preserve"> </w:t>
      </w:r>
      <w:r>
        <w:t>(which</w:t>
      </w:r>
      <w:r>
        <w:rPr>
          <w:spacing w:val="-7"/>
        </w:rPr>
        <w:t xml:space="preserve"> </w:t>
      </w:r>
      <w:r>
        <w:t>Australia</w:t>
      </w:r>
      <w:r>
        <w:rPr>
          <w:spacing w:val="-10"/>
        </w:rPr>
        <w:t xml:space="preserve"> </w:t>
      </w:r>
      <w:r>
        <w:t>agrees</w:t>
      </w:r>
      <w:r>
        <w:rPr>
          <w:spacing w:val="-8"/>
        </w:rPr>
        <w:t xml:space="preserve"> </w:t>
      </w:r>
      <w:r>
        <w:t>would</w:t>
      </w:r>
      <w:r>
        <w:rPr>
          <w:spacing w:val="-7"/>
        </w:rPr>
        <w:t xml:space="preserve"> </w:t>
      </w:r>
      <w:r>
        <w:t>be</w:t>
      </w:r>
      <w:r>
        <w:rPr>
          <w:spacing w:val="-10"/>
        </w:rPr>
        <w:t xml:space="preserve"> </w:t>
      </w:r>
      <w:r>
        <w:t>an</w:t>
      </w:r>
      <w:r>
        <w:rPr>
          <w:spacing w:val="-12"/>
        </w:rPr>
        <w:t xml:space="preserve"> </w:t>
      </w:r>
      <w:r>
        <w:t>Article</w:t>
      </w:r>
      <w:r>
        <w:rPr>
          <w:spacing w:val="-10"/>
        </w:rPr>
        <w:t xml:space="preserve"> </w:t>
      </w:r>
      <w:r>
        <w:t>6.5</w:t>
      </w:r>
      <w:r>
        <w:rPr>
          <w:spacing w:val="-12"/>
        </w:rPr>
        <w:t xml:space="preserve"> </w:t>
      </w:r>
      <w:r>
        <w:t>claim).</w:t>
      </w:r>
      <w:r>
        <w:rPr>
          <w:spacing w:val="-9"/>
        </w:rPr>
        <w:t xml:space="preserve"> </w:t>
      </w:r>
      <w:r>
        <w:t>Rather,</w:t>
      </w:r>
      <w:r>
        <w:rPr>
          <w:spacing w:val="-8"/>
        </w:rPr>
        <w:t xml:space="preserve"> </w:t>
      </w:r>
      <w:r>
        <w:t>Australia</w:t>
      </w:r>
      <w:r>
        <w:rPr>
          <w:spacing w:val="-10"/>
        </w:rPr>
        <w:t xml:space="preserve"> </w:t>
      </w:r>
      <w:r>
        <w:t>is</w:t>
      </w:r>
      <w:r>
        <w:rPr>
          <w:spacing w:val="-9"/>
        </w:rPr>
        <w:t xml:space="preserve"> </w:t>
      </w:r>
      <w:r>
        <w:t>arguing that since information relating to price adjustment was not confidential in its entirety, the non-confidential information should have been disclosed. Failure to do so breached the obligations under Article 6.4.</w:t>
      </w:r>
    </w:p>
    <w:p w14:paraId="7C800FBF" w14:textId="3E56E57B" w:rsidR="00BD462C" w:rsidRDefault="00D70C7D">
      <w:pPr>
        <w:pStyle w:val="BodyText"/>
        <w:spacing w:before="1"/>
        <w:rPr>
          <w:sz w:val="28"/>
        </w:rPr>
      </w:pPr>
      <w:r>
        <w:rPr>
          <w:noProof/>
        </w:rPr>
        <mc:AlternateContent>
          <mc:Choice Requires="wps">
            <w:drawing>
              <wp:anchor distT="0" distB="0" distL="0" distR="0" simplePos="0" relativeHeight="487868928" behindDoc="1" locked="0" layoutInCell="1" allowOverlap="1" wp14:anchorId="6581C651" wp14:editId="7E816BB7">
                <wp:simplePos x="0" y="0"/>
                <wp:positionH relativeFrom="page">
                  <wp:posOffset>899160</wp:posOffset>
                </wp:positionH>
                <wp:positionV relativeFrom="paragraph">
                  <wp:posOffset>233045</wp:posOffset>
                </wp:positionV>
                <wp:extent cx="1828800" cy="8890"/>
                <wp:effectExtent l="0" t="0" r="0" b="0"/>
                <wp:wrapTopAndBottom/>
                <wp:docPr id="240" name="docshape6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413829" id="docshape605" o:spid="_x0000_s1026" alt="&quot;&quot;" style="position:absolute;margin-left:70.8pt;margin-top:18.35pt;width:2in;height:.7pt;z-index:-15447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" fillcolor="black" stroked="f">
                <w10:wrap type="topAndBottom" anchorx="page"/>
              </v:rect>
            </w:pict>
          </mc:Fallback>
        </mc:AlternateContent>
      </w:r>
    </w:p>
    <w:p w14:paraId="57E91968" w14:textId="77777777" w:rsidR="00BD462C" w:rsidRDefault="00033D0F">
      <w:pPr>
        <w:spacing w:before="112"/>
        <w:ind w:left="135"/>
        <w:rPr>
          <w:sz w:val="18"/>
        </w:rPr>
      </w:pPr>
      <w:bookmarkStart w:id="1747" w:name="_bookmark1504"/>
      <w:bookmarkEnd w:id="1747"/>
      <w:r>
        <w:rPr>
          <w:position w:val="5"/>
          <w:sz w:val="12"/>
        </w:rPr>
        <w:t>1299</w:t>
      </w:r>
      <w:r>
        <w:rPr>
          <w:spacing w:val="13"/>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 xml:space="preserve">para. </w:t>
      </w:r>
      <w:r>
        <w:rPr>
          <w:spacing w:val="-2"/>
          <w:sz w:val="18"/>
        </w:rPr>
        <w:t>2466.</w:t>
      </w:r>
    </w:p>
    <w:p w14:paraId="248090E9" w14:textId="77777777" w:rsidR="00BD462C" w:rsidRDefault="00033D0F">
      <w:pPr>
        <w:spacing w:before="1"/>
        <w:ind w:left="135"/>
        <w:rPr>
          <w:sz w:val="18"/>
        </w:rPr>
      </w:pPr>
      <w:bookmarkStart w:id="1748" w:name="_bookmark1505"/>
      <w:bookmarkEnd w:id="1748"/>
      <w:r>
        <w:rPr>
          <w:position w:val="5"/>
          <w:sz w:val="12"/>
        </w:rPr>
        <w:t>1300</w:t>
      </w:r>
      <w:r>
        <w:rPr>
          <w:spacing w:val="12"/>
          <w:position w:val="5"/>
          <w:sz w:val="12"/>
        </w:rPr>
        <w:t xml:space="preserve"> </w:t>
      </w:r>
      <w:r>
        <w:rPr>
          <w:sz w:val="18"/>
        </w:rPr>
        <w:t>See</w:t>
      </w:r>
      <w:r>
        <w:rPr>
          <w:spacing w:val="-5"/>
          <w:sz w:val="18"/>
        </w:rPr>
        <w:t xml:space="preserve"> </w:t>
      </w:r>
      <w:r>
        <w:rPr>
          <w:sz w:val="18"/>
        </w:rPr>
        <w:t>Australia's</w:t>
      </w:r>
      <w:r>
        <w:rPr>
          <w:spacing w:val="-6"/>
          <w:sz w:val="18"/>
        </w:rPr>
        <w:t xml:space="preserve"> </w:t>
      </w:r>
      <w:r>
        <w:rPr>
          <w:sz w:val="18"/>
        </w:rPr>
        <w:t>first</w:t>
      </w:r>
      <w:r>
        <w:rPr>
          <w:spacing w:val="-5"/>
          <w:sz w:val="18"/>
        </w:rPr>
        <w:t xml:space="preserve"> </w:t>
      </w:r>
      <w:r>
        <w:rPr>
          <w:sz w:val="18"/>
        </w:rPr>
        <w:t>written</w:t>
      </w:r>
      <w:r>
        <w:rPr>
          <w:spacing w:val="-2"/>
          <w:sz w:val="18"/>
        </w:rPr>
        <w:t xml:space="preserve"> </w:t>
      </w:r>
      <w:r>
        <w:rPr>
          <w:sz w:val="18"/>
        </w:rPr>
        <w:t>submission,</w:t>
      </w:r>
      <w:r>
        <w:rPr>
          <w:spacing w:val="1"/>
          <w:sz w:val="18"/>
        </w:rPr>
        <w:t xml:space="preserve"> </w:t>
      </w:r>
      <w:r>
        <w:rPr>
          <w:sz w:val="18"/>
        </w:rPr>
        <w:t>para.</w:t>
      </w:r>
      <w:r>
        <w:rPr>
          <w:spacing w:val="-5"/>
          <w:sz w:val="18"/>
        </w:rPr>
        <w:t xml:space="preserve"> </w:t>
      </w:r>
      <w:r>
        <w:rPr>
          <w:spacing w:val="-4"/>
          <w:sz w:val="18"/>
        </w:rPr>
        <w:t>988.</w:t>
      </w:r>
    </w:p>
    <w:p w14:paraId="73440439" w14:textId="77777777" w:rsidR="00BD462C" w:rsidRDefault="00BD462C">
      <w:pPr>
        <w:rPr>
          <w:sz w:val="18"/>
        </w:rPr>
        <w:sectPr w:rsidR="00BD462C">
          <w:pgSz w:w="11910" w:h="16840"/>
          <w:pgMar w:top="860" w:right="500" w:bottom="780" w:left="1280" w:header="566" w:footer="590" w:gutter="0"/>
          <w:cols w:space="720"/>
        </w:sectPr>
      </w:pPr>
    </w:p>
    <w:p w14:paraId="1362E6C9"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543C6C09"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2D0965E5"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5C96C6C0" w14:textId="77777777" w:rsidR="00BD462C" w:rsidRDefault="00033D0F">
      <w:pPr>
        <w:pStyle w:val="ListParagraph"/>
        <w:numPr>
          <w:ilvl w:val="1"/>
          <w:numId w:val="20"/>
        </w:numPr>
        <w:tabs>
          <w:tab w:val="left" w:pos="3539"/>
          <w:tab w:val="left" w:pos="3540"/>
        </w:tabs>
        <w:spacing w:before="102"/>
        <w:ind w:left="3539" w:hanging="851"/>
        <w:jc w:val="left"/>
        <w:rPr>
          <w:sz w:val="24"/>
        </w:rPr>
      </w:pPr>
      <w:bookmarkStart w:id="1749" w:name="(d)_Calculation_of_dumping_margins"/>
      <w:bookmarkEnd w:id="1749"/>
      <w:r>
        <w:rPr>
          <w:sz w:val="24"/>
          <w:u w:val="single"/>
        </w:rPr>
        <w:t>Calculation</w:t>
      </w:r>
      <w:r>
        <w:rPr>
          <w:spacing w:val="-5"/>
          <w:sz w:val="24"/>
          <w:u w:val="single"/>
        </w:rPr>
        <w:t xml:space="preserve"> </w:t>
      </w:r>
      <w:r>
        <w:rPr>
          <w:sz w:val="24"/>
          <w:u w:val="single"/>
        </w:rPr>
        <w:t>of</w:t>
      </w:r>
      <w:r>
        <w:rPr>
          <w:spacing w:val="-5"/>
          <w:sz w:val="24"/>
          <w:u w:val="single"/>
        </w:rPr>
        <w:t xml:space="preserve"> </w:t>
      </w:r>
      <w:r>
        <w:rPr>
          <w:sz w:val="24"/>
          <w:u w:val="single"/>
        </w:rPr>
        <w:t>dumping</w:t>
      </w:r>
      <w:r>
        <w:rPr>
          <w:spacing w:val="-1"/>
          <w:sz w:val="24"/>
          <w:u w:val="single"/>
        </w:rPr>
        <w:t xml:space="preserve"> </w:t>
      </w:r>
      <w:r>
        <w:rPr>
          <w:spacing w:val="-2"/>
          <w:sz w:val="24"/>
          <w:u w:val="single"/>
        </w:rPr>
        <w:t>margins</w:t>
      </w:r>
    </w:p>
    <w:p w14:paraId="1F53954F" w14:textId="77777777" w:rsidR="00BD462C" w:rsidRDefault="00BD462C">
      <w:pPr>
        <w:pStyle w:val="BodyText"/>
        <w:spacing w:before="7"/>
        <w:rPr>
          <w:sz w:val="20"/>
        </w:rPr>
      </w:pPr>
    </w:p>
    <w:p w14:paraId="6493BE34" w14:textId="2055292D" w:rsidR="00BD462C" w:rsidRDefault="00D34854">
      <w:pPr>
        <w:pStyle w:val="BodyText"/>
        <w:spacing w:before="56" w:line="357" w:lineRule="auto"/>
        <w:ind w:left="135" w:right="923"/>
      </w:pPr>
      <w:r>
        <w:rPr>
          <w:noProof/>
        </w:rPr>
        <w:t>89</w:t>
      </w:r>
      <w:r w:rsidR="00063A8C">
        <w:rPr>
          <w:noProof/>
        </w:rPr>
        <w:t>6.</w:t>
      </w:r>
      <w:r w:rsidR="00033D0F">
        <w:rPr>
          <w:rFonts w:ascii="Times New Roman"/>
          <w:spacing w:val="80"/>
          <w:position w:val="1"/>
          <w:sz w:val="20"/>
        </w:rPr>
        <w:t xml:space="preserve">   </w:t>
      </w:r>
      <w:r w:rsidR="00033D0F">
        <w:rPr>
          <w:position w:val="1"/>
        </w:rPr>
        <w:t>Australia's</w:t>
      </w:r>
      <w:r w:rsidR="00033D0F">
        <w:rPr>
          <w:spacing w:val="-7"/>
          <w:position w:val="1"/>
        </w:rPr>
        <w:t xml:space="preserve"> </w:t>
      </w:r>
      <w:r w:rsidR="00033D0F">
        <w:rPr>
          <w:position w:val="1"/>
        </w:rPr>
        <w:t>argument</w:t>
      </w:r>
      <w:r w:rsidR="00033D0F">
        <w:rPr>
          <w:spacing w:val="-12"/>
          <w:position w:val="1"/>
        </w:rPr>
        <w:t xml:space="preserve"> </w:t>
      </w:r>
      <w:r w:rsidR="00033D0F">
        <w:rPr>
          <w:position w:val="1"/>
        </w:rPr>
        <w:t>in</w:t>
      </w:r>
      <w:r w:rsidR="00033D0F">
        <w:rPr>
          <w:spacing w:val="-10"/>
          <w:position w:val="1"/>
        </w:rPr>
        <w:t xml:space="preserve"> </w:t>
      </w:r>
      <w:r w:rsidR="00033D0F">
        <w:rPr>
          <w:position w:val="1"/>
        </w:rPr>
        <w:t>relation</w:t>
      </w:r>
      <w:r w:rsidR="00033D0F">
        <w:rPr>
          <w:spacing w:val="-10"/>
          <w:position w:val="1"/>
        </w:rPr>
        <w:t xml:space="preserve"> </w:t>
      </w:r>
      <w:r w:rsidR="00033D0F">
        <w:rPr>
          <w:position w:val="1"/>
        </w:rPr>
        <w:t>to</w:t>
      </w:r>
      <w:r w:rsidR="00033D0F">
        <w:rPr>
          <w:spacing w:val="-10"/>
          <w:position w:val="1"/>
        </w:rPr>
        <w:t xml:space="preserve"> </w:t>
      </w:r>
      <w:r w:rsidR="00033D0F">
        <w:rPr>
          <w:position w:val="1"/>
        </w:rPr>
        <w:t>the</w:t>
      </w:r>
      <w:r w:rsidR="00033D0F">
        <w:rPr>
          <w:spacing w:val="-8"/>
          <w:position w:val="1"/>
        </w:rPr>
        <w:t xml:space="preserve"> </w:t>
      </w:r>
      <w:r w:rsidR="00033D0F">
        <w:rPr>
          <w:position w:val="1"/>
        </w:rPr>
        <w:t>calculation</w:t>
      </w:r>
      <w:r w:rsidR="00033D0F">
        <w:rPr>
          <w:spacing w:val="-10"/>
          <w:position w:val="1"/>
        </w:rPr>
        <w:t xml:space="preserve"> </w:t>
      </w:r>
      <w:r w:rsidR="00033D0F">
        <w:rPr>
          <w:position w:val="1"/>
        </w:rPr>
        <w:t>of</w:t>
      </w:r>
      <w:r w:rsidR="00033D0F">
        <w:rPr>
          <w:spacing w:val="-10"/>
          <w:position w:val="1"/>
        </w:rPr>
        <w:t xml:space="preserve"> </w:t>
      </w:r>
      <w:r w:rsidR="00033D0F">
        <w:rPr>
          <w:position w:val="1"/>
        </w:rPr>
        <w:t>dumping</w:t>
      </w:r>
      <w:r w:rsidR="00033D0F">
        <w:rPr>
          <w:spacing w:val="-7"/>
          <w:position w:val="1"/>
        </w:rPr>
        <w:t xml:space="preserve"> </w:t>
      </w:r>
      <w:r w:rsidR="00033D0F">
        <w:rPr>
          <w:position w:val="1"/>
        </w:rPr>
        <w:t>margins</w:t>
      </w:r>
      <w:r w:rsidR="00033D0F">
        <w:rPr>
          <w:spacing w:val="-7"/>
          <w:position w:val="1"/>
        </w:rPr>
        <w:t xml:space="preserve"> </w:t>
      </w:r>
      <w:r w:rsidR="00033D0F">
        <w:rPr>
          <w:position w:val="1"/>
        </w:rPr>
        <w:t>focuses</w:t>
      </w:r>
      <w:r w:rsidR="00033D0F">
        <w:rPr>
          <w:spacing w:val="-7"/>
          <w:position w:val="1"/>
        </w:rPr>
        <w:t xml:space="preserve"> </w:t>
      </w:r>
      <w:r w:rsidR="00033D0F">
        <w:rPr>
          <w:position w:val="1"/>
        </w:rPr>
        <w:t>on</w:t>
      </w:r>
      <w:r w:rsidR="00033D0F">
        <w:rPr>
          <w:spacing w:val="-10"/>
          <w:position w:val="1"/>
        </w:rPr>
        <w:t xml:space="preserve"> </w:t>
      </w:r>
      <w:r w:rsidR="00033D0F">
        <w:rPr>
          <w:position w:val="1"/>
        </w:rPr>
        <w:t xml:space="preserve">the </w:t>
      </w:r>
      <w:r w:rsidR="00033D0F">
        <w:t>"Other named Australian exporters" and "All Others" categories of exporters.</w:t>
      </w:r>
    </w:p>
    <w:p w14:paraId="12F4CE2C" w14:textId="77777777" w:rsidR="00BD462C" w:rsidRDefault="00BD462C">
      <w:pPr>
        <w:pStyle w:val="BodyText"/>
        <w:spacing w:before="2"/>
        <w:rPr>
          <w:sz w:val="9"/>
        </w:rPr>
      </w:pPr>
    </w:p>
    <w:p w14:paraId="54963C6F" w14:textId="10A88BD8" w:rsidR="00BD462C" w:rsidRDefault="00063A8C">
      <w:pPr>
        <w:pStyle w:val="BodyText"/>
        <w:spacing w:before="57" w:line="360" w:lineRule="auto"/>
        <w:ind w:left="135" w:right="910"/>
        <w:jc w:val="both"/>
      </w:pPr>
      <w:r>
        <w:rPr>
          <w:noProof/>
        </w:rPr>
        <w:t>897.</w:t>
      </w:r>
      <w:r w:rsidR="00033D0F">
        <w:rPr>
          <w:rFonts w:ascii="Times New Roman"/>
          <w:spacing w:val="80"/>
          <w:w w:val="150"/>
          <w:position w:val="1"/>
          <w:sz w:val="20"/>
        </w:rPr>
        <w:t xml:space="preserve"> </w:t>
      </w:r>
      <w:r w:rsidR="00033D0F">
        <w:rPr>
          <w:position w:val="1"/>
        </w:rPr>
        <w:t xml:space="preserve">Both parties agree the approach MOFCOM took to the "Other named Australian </w:t>
      </w:r>
      <w:r w:rsidR="00033D0F">
        <w:t>exporters" category is that "the weighted</w:t>
      </w:r>
      <w:r w:rsidR="00033D0F">
        <w:rPr>
          <w:spacing w:val="-1"/>
        </w:rPr>
        <w:t xml:space="preserve"> </w:t>
      </w:r>
      <w:r w:rsidR="00033D0F">
        <w:t>average</w:t>
      </w:r>
      <w:r w:rsidR="00033D0F">
        <w:rPr>
          <w:spacing w:val="-3"/>
        </w:rPr>
        <w:t xml:space="preserve"> </w:t>
      </w:r>
      <w:r w:rsidR="00033D0F">
        <w:t>margin</w:t>
      </w:r>
      <w:r w:rsidR="00033D0F">
        <w:rPr>
          <w:spacing w:val="-1"/>
        </w:rPr>
        <w:t xml:space="preserve"> </w:t>
      </w:r>
      <w:r w:rsidR="00033D0F">
        <w:t>of the sampled</w:t>
      </w:r>
      <w:r w:rsidR="00033D0F">
        <w:rPr>
          <w:spacing w:val="-1"/>
        </w:rPr>
        <w:t xml:space="preserve"> </w:t>
      </w:r>
      <w:r w:rsidR="00033D0F">
        <w:t>companies shall be used</w:t>
      </w:r>
      <w:r w:rsidR="00033D0F">
        <w:rPr>
          <w:spacing w:val="-10"/>
        </w:rPr>
        <w:t xml:space="preserve"> </w:t>
      </w:r>
      <w:r w:rsidR="00033D0F">
        <w:t>to</w:t>
      </w:r>
      <w:r w:rsidR="00033D0F">
        <w:rPr>
          <w:spacing w:val="-11"/>
        </w:rPr>
        <w:t xml:space="preserve"> </w:t>
      </w:r>
      <w:r w:rsidR="00033D0F">
        <w:t>determine</w:t>
      </w:r>
      <w:r w:rsidR="00033D0F">
        <w:rPr>
          <w:spacing w:val="-8"/>
        </w:rPr>
        <w:t xml:space="preserve"> </w:t>
      </w:r>
      <w:r w:rsidR="00033D0F">
        <w:t>the</w:t>
      </w:r>
      <w:r w:rsidR="00033D0F">
        <w:rPr>
          <w:spacing w:val="-8"/>
        </w:rPr>
        <w:t xml:space="preserve"> </w:t>
      </w:r>
      <w:r w:rsidR="00033D0F">
        <w:t>dumping</w:t>
      </w:r>
      <w:r w:rsidR="00033D0F">
        <w:rPr>
          <w:spacing w:val="-7"/>
        </w:rPr>
        <w:t xml:space="preserve"> </w:t>
      </w:r>
      <w:r w:rsidR="00033D0F">
        <w:t>margin</w:t>
      </w:r>
      <w:r w:rsidR="00033D0F">
        <w:rPr>
          <w:spacing w:val="-10"/>
        </w:rPr>
        <w:t xml:space="preserve"> </w:t>
      </w:r>
      <w:r w:rsidR="00033D0F">
        <w:t>for</w:t>
      </w:r>
      <w:r w:rsidR="00033D0F">
        <w:rPr>
          <w:spacing w:val="-11"/>
        </w:rPr>
        <w:t xml:space="preserve"> </w:t>
      </w:r>
      <w:r w:rsidR="00033D0F">
        <w:t>them".</w:t>
      </w:r>
      <w:hyperlink w:anchor="_bookmark1506" w:history="1">
        <w:r w:rsidR="00033D0F">
          <w:rPr>
            <w:vertAlign w:val="superscript"/>
          </w:rPr>
          <w:t>1301</w:t>
        </w:r>
      </w:hyperlink>
      <w:r w:rsidR="00033D0F">
        <w:rPr>
          <w:spacing w:val="-7"/>
        </w:rPr>
        <w:t xml:space="preserve"> </w:t>
      </w:r>
      <w:r w:rsidR="00033D0F">
        <w:t>For</w:t>
      </w:r>
      <w:r w:rsidR="00033D0F">
        <w:rPr>
          <w:spacing w:val="-11"/>
        </w:rPr>
        <w:t xml:space="preserve"> </w:t>
      </w:r>
      <w:r w:rsidR="00033D0F">
        <w:t>the</w:t>
      </w:r>
      <w:r w:rsidR="00033D0F">
        <w:rPr>
          <w:spacing w:val="-8"/>
        </w:rPr>
        <w:t xml:space="preserve"> </w:t>
      </w:r>
      <w:r w:rsidR="00033D0F">
        <w:t>"All</w:t>
      </w:r>
      <w:r w:rsidR="00033D0F">
        <w:rPr>
          <w:spacing w:val="-6"/>
        </w:rPr>
        <w:t xml:space="preserve"> </w:t>
      </w:r>
      <w:r w:rsidR="00033D0F">
        <w:t>others"</w:t>
      </w:r>
      <w:r w:rsidR="00033D0F">
        <w:rPr>
          <w:spacing w:val="-9"/>
        </w:rPr>
        <w:t xml:space="preserve"> </w:t>
      </w:r>
      <w:r w:rsidR="00033D0F">
        <w:t>category,</w:t>
      </w:r>
      <w:r w:rsidR="00033D0F">
        <w:rPr>
          <w:spacing w:val="-6"/>
        </w:rPr>
        <w:t xml:space="preserve"> </w:t>
      </w:r>
      <w:r w:rsidR="00033D0F">
        <w:t>MOFCOM stated that it compared "the weighted average normal value with the weighted average export</w:t>
      </w:r>
      <w:r w:rsidR="00033D0F">
        <w:rPr>
          <w:spacing w:val="-5"/>
        </w:rPr>
        <w:t xml:space="preserve"> </w:t>
      </w:r>
      <w:r w:rsidR="00033D0F">
        <w:t>price</w:t>
      </w:r>
      <w:r w:rsidR="00033D0F">
        <w:rPr>
          <w:spacing w:val="-5"/>
        </w:rPr>
        <w:t xml:space="preserve"> </w:t>
      </w:r>
      <w:r w:rsidR="00033D0F">
        <w:t>to</w:t>
      </w:r>
      <w:r w:rsidR="00033D0F">
        <w:rPr>
          <w:spacing w:val="-3"/>
        </w:rPr>
        <w:t xml:space="preserve"> </w:t>
      </w:r>
      <w:r w:rsidR="00033D0F">
        <w:t>obtain</w:t>
      </w:r>
      <w:r w:rsidR="00033D0F">
        <w:rPr>
          <w:spacing w:val="-7"/>
        </w:rPr>
        <w:t xml:space="preserve"> </w:t>
      </w:r>
      <w:r w:rsidR="00033D0F">
        <w:t>the</w:t>
      </w:r>
      <w:r w:rsidR="00033D0F">
        <w:rPr>
          <w:spacing w:val="-1"/>
        </w:rPr>
        <w:t xml:space="preserve"> </w:t>
      </w:r>
      <w:r w:rsidR="00033D0F">
        <w:t>dumping</w:t>
      </w:r>
      <w:r w:rsidR="00033D0F">
        <w:rPr>
          <w:spacing w:val="-4"/>
        </w:rPr>
        <w:t xml:space="preserve"> </w:t>
      </w:r>
      <w:r w:rsidR="00033D0F">
        <w:t>margin".</w:t>
      </w:r>
      <w:hyperlink w:anchor="_bookmark1507" w:history="1">
        <w:r w:rsidR="00033D0F">
          <w:rPr>
            <w:vertAlign w:val="superscript"/>
          </w:rPr>
          <w:t>1302</w:t>
        </w:r>
      </w:hyperlink>
      <w:r w:rsidR="00033D0F">
        <w:rPr>
          <w:spacing w:val="-4"/>
        </w:rPr>
        <w:t xml:space="preserve"> </w:t>
      </w:r>
      <w:r w:rsidR="00033D0F">
        <w:t>In</w:t>
      </w:r>
      <w:r w:rsidR="00033D0F">
        <w:rPr>
          <w:spacing w:val="-7"/>
        </w:rPr>
        <w:t xml:space="preserve"> </w:t>
      </w:r>
      <w:r w:rsidR="00033D0F">
        <w:t>both</w:t>
      </w:r>
      <w:r w:rsidR="00033D0F">
        <w:rPr>
          <w:spacing w:val="-7"/>
        </w:rPr>
        <w:t xml:space="preserve"> </w:t>
      </w:r>
      <w:r w:rsidR="00033D0F">
        <w:t>instances,</w:t>
      </w:r>
      <w:r w:rsidR="00033D0F">
        <w:rPr>
          <w:spacing w:val="-3"/>
        </w:rPr>
        <w:t xml:space="preserve"> </w:t>
      </w:r>
      <w:r w:rsidR="00033D0F">
        <w:t>MOFCOM</w:t>
      </w:r>
      <w:r w:rsidR="00033D0F">
        <w:rPr>
          <w:spacing w:val="-5"/>
        </w:rPr>
        <w:t xml:space="preserve"> </w:t>
      </w:r>
      <w:r w:rsidR="00033D0F">
        <w:t>failed</w:t>
      </w:r>
      <w:r w:rsidR="00033D0F">
        <w:rPr>
          <w:spacing w:val="-7"/>
        </w:rPr>
        <w:t xml:space="preserve"> </w:t>
      </w:r>
      <w:r w:rsidR="00033D0F">
        <w:t>to</w:t>
      </w:r>
      <w:r w:rsidR="00033D0F">
        <w:rPr>
          <w:spacing w:val="-8"/>
        </w:rPr>
        <w:t xml:space="preserve"> </w:t>
      </w:r>
      <w:r w:rsidR="00033D0F">
        <w:t>provide to the interested parties the necessary non-confidential information to understand or make submissions on the final dumping margins.</w:t>
      </w:r>
    </w:p>
    <w:p w14:paraId="22994EFC" w14:textId="77777777" w:rsidR="00BD462C" w:rsidRDefault="00BD462C">
      <w:pPr>
        <w:pStyle w:val="BodyText"/>
        <w:spacing w:before="5"/>
        <w:rPr>
          <w:sz w:val="8"/>
        </w:rPr>
      </w:pPr>
    </w:p>
    <w:p w14:paraId="6E77D929" w14:textId="74534B8D" w:rsidR="00BD462C" w:rsidRDefault="00063A8C">
      <w:pPr>
        <w:pStyle w:val="BodyText"/>
        <w:spacing w:before="56" w:line="360" w:lineRule="auto"/>
        <w:ind w:left="136" w:right="911"/>
        <w:jc w:val="both"/>
      </w:pPr>
      <w:r>
        <w:rPr>
          <w:noProof/>
        </w:rPr>
        <w:t>898.</w:t>
      </w:r>
      <w:r w:rsidR="00033D0F">
        <w:rPr>
          <w:rFonts w:ascii="Times New Roman"/>
          <w:spacing w:val="80"/>
          <w:position w:val="1"/>
          <w:sz w:val="20"/>
        </w:rPr>
        <w:t xml:space="preserve">  </w:t>
      </w:r>
      <w:r w:rsidR="00033D0F">
        <w:rPr>
          <w:position w:val="1"/>
        </w:rPr>
        <w:t>China states it disagrees that interested parties were not able to understand and</w:t>
      </w:r>
      <w:r w:rsidR="00033D0F">
        <w:rPr>
          <w:spacing w:val="40"/>
          <w:position w:val="1"/>
        </w:rPr>
        <w:t xml:space="preserve"> </w:t>
      </w:r>
      <w:r w:rsidR="00033D0F">
        <w:t>make submissions on the final dumping margin simply because AGW "made extensive comments regarding the calculation of dumping margins".</w:t>
      </w:r>
      <w:hyperlink w:anchor="_bookmark1508" w:history="1">
        <w:r w:rsidR="00033D0F">
          <w:rPr>
            <w:vertAlign w:val="superscript"/>
          </w:rPr>
          <w:t>1303</w:t>
        </w:r>
      </w:hyperlink>
      <w:r w:rsidR="00033D0F">
        <w:t xml:space="preserve"> In reality, AGW provided four short paragraphs which began with the proposition that it could not understand how the margin had been calculated, and continued with the observation that it appeared </w:t>
      </w:r>
      <w:r w:rsidR="00033D0F">
        <w:rPr>
          <w:spacing w:val="-2"/>
        </w:rPr>
        <w:t>unrealistic.</w:t>
      </w:r>
      <w:hyperlink w:anchor="_bookmark1509" w:history="1">
        <w:r w:rsidR="00033D0F">
          <w:rPr>
            <w:spacing w:val="-2"/>
            <w:vertAlign w:val="superscript"/>
          </w:rPr>
          <w:t>1304</w:t>
        </w:r>
      </w:hyperlink>
    </w:p>
    <w:p w14:paraId="06D2DBE8" w14:textId="77777777" w:rsidR="00BD462C" w:rsidRDefault="00BD462C">
      <w:pPr>
        <w:pStyle w:val="BodyText"/>
        <w:spacing w:before="8"/>
        <w:rPr>
          <w:sz w:val="8"/>
        </w:rPr>
      </w:pPr>
    </w:p>
    <w:p w14:paraId="624AF6DF" w14:textId="25770ED0" w:rsidR="00BD462C" w:rsidRDefault="00063A8C">
      <w:pPr>
        <w:pStyle w:val="BodyText"/>
        <w:spacing w:before="56" w:line="360" w:lineRule="auto"/>
        <w:ind w:left="135" w:right="916"/>
        <w:jc w:val="both"/>
      </w:pPr>
      <w:r>
        <w:rPr>
          <w:noProof/>
        </w:rPr>
        <w:t>899.</w:t>
      </w:r>
      <w:r w:rsidR="00033D0F">
        <w:rPr>
          <w:rFonts w:ascii="Times New Roman"/>
          <w:spacing w:val="80"/>
          <w:position w:val="1"/>
          <w:sz w:val="20"/>
        </w:rPr>
        <w:t xml:space="preserve">  </w:t>
      </w:r>
      <w:r w:rsidR="00033D0F">
        <w:rPr>
          <w:position w:val="1"/>
        </w:rPr>
        <w:t>This</w:t>
      </w:r>
      <w:r w:rsidR="00033D0F">
        <w:rPr>
          <w:spacing w:val="40"/>
          <w:position w:val="1"/>
        </w:rPr>
        <w:t xml:space="preserve"> </w:t>
      </w:r>
      <w:r w:rsidR="00033D0F">
        <w:rPr>
          <w:position w:val="1"/>
        </w:rPr>
        <w:t>submission by</w:t>
      </w:r>
      <w:r w:rsidR="00033D0F">
        <w:rPr>
          <w:spacing w:val="40"/>
          <w:position w:val="1"/>
        </w:rPr>
        <w:t xml:space="preserve"> </w:t>
      </w:r>
      <w:r w:rsidR="00033D0F">
        <w:rPr>
          <w:position w:val="1"/>
        </w:rPr>
        <w:t>AGW</w:t>
      </w:r>
      <w:r w:rsidR="00033D0F">
        <w:rPr>
          <w:spacing w:val="40"/>
          <w:position w:val="1"/>
        </w:rPr>
        <w:t xml:space="preserve"> </w:t>
      </w:r>
      <w:r w:rsidR="00033D0F">
        <w:rPr>
          <w:position w:val="1"/>
        </w:rPr>
        <w:t>highlights,</w:t>
      </w:r>
      <w:r w:rsidR="00033D0F">
        <w:rPr>
          <w:spacing w:val="40"/>
          <w:position w:val="1"/>
        </w:rPr>
        <w:t xml:space="preserve"> </w:t>
      </w:r>
      <w:r w:rsidR="00033D0F">
        <w:rPr>
          <w:position w:val="1"/>
        </w:rPr>
        <w:t>rather than excuses,</w:t>
      </w:r>
      <w:r w:rsidR="00033D0F">
        <w:rPr>
          <w:spacing w:val="40"/>
          <w:position w:val="1"/>
        </w:rPr>
        <w:t xml:space="preserve"> </w:t>
      </w:r>
      <w:r w:rsidR="00033D0F">
        <w:rPr>
          <w:position w:val="1"/>
        </w:rPr>
        <w:t>MOFCOM's</w:t>
      </w:r>
      <w:r w:rsidR="00033D0F">
        <w:rPr>
          <w:spacing w:val="40"/>
          <w:position w:val="1"/>
        </w:rPr>
        <w:t xml:space="preserve"> </w:t>
      </w:r>
      <w:r w:rsidR="00033D0F">
        <w:rPr>
          <w:position w:val="1"/>
        </w:rPr>
        <w:t>failure</w:t>
      </w:r>
      <w:r w:rsidR="00033D0F">
        <w:rPr>
          <w:spacing w:val="40"/>
          <w:position w:val="1"/>
        </w:rPr>
        <w:t xml:space="preserve"> </w:t>
      </w:r>
      <w:r w:rsidR="00033D0F">
        <w:rPr>
          <w:position w:val="1"/>
        </w:rPr>
        <w:t xml:space="preserve">to </w:t>
      </w:r>
      <w:r w:rsidR="00033D0F">
        <w:t xml:space="preserve">provide opportunities to see this information. It demonstrates that whether or not an interested party was able to submit </w:t>
      </w:r>
      <w:r w:rsidR="00033D0F">
        <w:rPr>
          <w:i/>
        </w:rPr>
        <w:t xml:space="preserve">any </w:t>
      </w:r>
      <w:r w:rsidR="00033D0F">
        <w:t>comments to MOFCOM cannot be determinative of whether there was a contravention of Article 6.4.</w:t>
      </w:r>
      <w:hyperlink w:anchor="_bookmark1510" w:history="1">
        <w:r w:rsidR="00033D0F">
          <w:rPr>
            <w:vertAlign w:val="superscript"/>
          </w:rPr>
          <w:t>1305</w:t>
        </w:r>
      </w:hyperlink>
      <w:r w:rsidR="00033D0F">
        <w:t xml:space="preserve"> Particularly where such comments clearly </w:t>
      </w:r>
      <w:proofErr w:type="spellStart"/>
      <w:r w:rsidR="00033D0F">
        <w:t>criticise</w:t>
      </w:r>
      <w:proofErr w:type="spellEnd"/>
      <w:r w:rsidR="00033D0F">
        <w:t xml:space="preserve"> information provided as deficient.</w:t>
      </w:r>
    </w:p>
    <w:p w14:paraId="70EDAD90" w14:textId="77777777" w:rsidR="00BD462C" w:rsidRDefault="00BD462C">
      <w:pPr>
        <w:pStyle w:val="BodyText"/>
        <w:spacing w:before="6"/>
        <w:rPr>
          <w:sz w:val="8"/>
        </w:rPr>
      </w:pPr>
    </w:p>
    <w:p w14:paraId="6928645F" w14:textId="04E74E2B" w:rsidR="00BD462C" w:rsidRDefault="00063A8C">
      <w:pPr>
        <w:pStyle w:val="BodyText"/>
        <w:spacing w:before="56" w:line="360" w:lineRule="auto"/>
        <w:ind w:left="135" w:right="913"/>
        <w:jc w:val="both"/>
      </w:pPr>
      <w:r>
        <w:rPr>
          <w:noProof/>
        </w:rPr>
        <w:t>900.</w:t>
      </w:r>
      <w:r w:rsidR="00033D0F">
        <w:rPr>
          <w:rFonts w:ascii="Times New Roman"/>
          <w:spacing w:val="80"/>
          <w:w w:val="150"/>
          <w:position w:val="1"/>
          <w:sz w:val="20"/>
        </w:rPr>
        <w:t xml:space="preserve"> </w:t>
      </w:r>
      <w:r w:rsidR="00033D0F">
        <w:rPr>
          <w:position w:val="1"/>
        </w:rPr>
        <w:t xml:space="preserve">In relation to the "All Others" category, interested parties did not receive any </w:t>
      </w:r>
      <w:r w:rsidR="00033D0F">
        <w:t>information concerning what information was selected as "facts available" to calculate this margin and the basis for selecting these facts. It was impossible for the interested parties to even</w:t>
      </w:r>
      <w:r w:rsidR="00033D0F">
        <w:rPr>
          <w:spacing w:val="-14"/>
        </w:rPr>
        <w:t xml:space="preserve"> </w:t>
      </w:r>
      <w:r w:rsidR="00033D0F">
        <w:t>speculate</w:t>
      </w:r>
      <w:r w:rsidR="00033D0F">
        <w:rPr>
          <w:spacing w:val="-14"/>
        </w:rPr>
        <w:t xml:space="preserve"> </w:t>
      </w:r>
      <w:r w:rsidR="00033D0F">
        <w:t>on</w:t>
      </w:r>
      <w:r w:rsidR="00033D0F">
        <w:rPr>
          <w:spacing w:val="-13"/>
        </w:rPr>
        <w:t xml:space="preserve"> </w:t>
      </w:r>
      <w:r w:rsidR="00033D0F">
        <w:t>the</w:t>
      </w:r>
      <w:r w:rsidR="00033D0F">
        <w:rPr>
          <w:spacing w:val="-13"/>
        </w:rPr>
        <w:t xml:space="preserve"> </w:t>
      </w:r>
      <w:r w:rsidR="00033D0F">
        <w:t>basis</w:t>
      </w:r>
      <w:r w:rsidR="00033D0F">
        <w:rPr>
          <w:spacing w:val="-10"/>
        </w:rPr>
        <w:t xml:space="preserve"> </w:t>
      </w:r>
      <w:r w:rsidR="00033D0F">
        <w:t>of</w:t>
      </w:r>
      <w:r w:rsidR="00033D0F">
        <w:rPr>
          <w:spacing w:val="-14"/>
        </w:rPr>
        <w:t xml:space="preserve"> </w:t>
      </w:r>
      <w:r w:rsidR="00033D0F">
        <w:t>the</w:t>
      </w:r>
      <w:r w:rsidR="00033D0F">
        <w:rPr>
          <w:spacing w:val="-12"/>
        </w:rPr>
        <w:t xml:space="preserve"> </w:t>
      </w:r>
      <w:r w:rsidR="00033D0F">
        <w:t>calculations,</w:t>
      </w:r>
      <w:r w:rsidR="00033D0F">
        <w:rPr>
          <w:spacing w:val="-10"/>
        </w:rPr>
        <w:t xml:space="preserve"> </w:t>
      </w:r>
      <w:r w:rsidR="00033D0F">
        <w:t>as</w:t>
      </w:r>
      <w:r w:rsidR="00033D0F">
        <w:rPr>
          <w:spacing w:val="-14"/>
        </w:rPr>
        <w:t xml:space="preserve"> </w:t>
      </w:r>
      <w:r w:rsidR="00033D0F">
        <w:t>the</w:t>
      </w:r>
      <w:r w:rsidR="00033D0F">
        <w:rPr>
          <w:spacing w:val="-12"/>
        </w:rPr>
        <w:t xml:space="preserve"> </w:t>
      </w:r>
      <w:r w:rsidR="00033D0F">
        <w:t>rates</w:t>
      </w:r>
      <w:r w:rsidR="00033D0F">
        <w:rPr>
          <w:spacing w:val="-10"/>
        </w:rPr>
        <w:t xml:space="preserve"> </w:t>
      </w:r>
      <w:r w:rsidR="00033D0F">
        <w:t>set</w:t>
      </w:r>
      <w:r w:rsidR="00033D0F">
        <w:rPr>
          <w:spacing w:val="-11"/>
        </w:rPr>
        <w:t xml:space="preserve"> </w:t>
      </w:r>
      <w:r w:rsidR="00033D0F">
        <w:t>appear</w:t>
      </w:r>
      <w:r w:rsidR="00033D0F">
        <w:rPr>
          <w:spacing w:val="-14"/>
        </w:rPr>
        <w:t xml:space="preserve"> </w:t>
      </w:r>
      <w:r w:rsidR="00033D0F">
        <w:t>to</w:t>
      </w:r>
      <w:r w:rsidR="00033D0F">
        <w:rPr>
          <w:spacing w:val="-14"/>
        </w:rPr>
        <w:t xml:space="preserve"> </w:t>
      </w:r>
      <w:r w:rsidR="00033D0F">
        <w:t>be</w:t>
      </w:r>
      <w:r w:rsidR="00033D0F">
        <w:rPr>
          <w:spacing w:val="-11"/>
        </w:rPr>
        <w:t xml:space="preserve"> </w:t>
      </w:r>
      <w:r w:rsidR="00033D0F">
        <w:t>entirely</w:t>
      </w:r>
      <w:r w:rsidR="00033D0F">
        <w:rPr>
          <w:spacing w:val="-11"/>
        </w:rPr>
        <w:t xml:space="preserve"> </w:t>
      </w:r>
      <w:r w:rsidR="00033D0F">
        <w:t>unrelated to</w:t>
      </w:r>
      <w:r w:rsidR="00033D0F">
        <w:rPr>
          <w:spacing w:val="-5"/>
        </w:rPr>
        <w:t xml:space="preserve"> </w:t>
      </w:r>
      <w:r w:rsidR="00033D0F">
        <w:t>the</w:t>
      </w:r>
      <w:r w:rsidR="00033D0F">
        <w:rPr>
          <w:spacing w:val="-2"/>
        </w:rPr>
        <w:t xml:space="preserve"> </w:t>
      </w:r>
      <w:r w:rsidR="00033D0F">
        <w:t>rates</w:t>
      </w:r>
      <w:r w:rsidR="00033D0F">
        <w:rPr>
          <w:spacing w:val="-1"/>
        </w:rPr>
        <w:t xml:space="preserve"> </w:t>
      </w:r>
      <w:r w:rsidR="00033D0F">
        <w:t>fixed</w:t>
      </w:r>
      <w:r w:rsidR="00033D0F">
        <w:rPr>
          <w:spacing w:val="-4"/>
        </w:rPr>
        <w:t xml:space="preserve"> </w:t>
      </w:r>
      <w:r w:rsidR="00033D0F">
        <w:t>for</w:t>
      </w:r>
      <w:r w:rsidR="00033D0F">
        <w:rPr>
          <w:spacing w:val="-5"/>
        </w:rPr>
        <w:t xml:space="preserve"> </w:t>
      </w:r>
      <w:r w:rsidR="00033D0F">
        <w:t>the</w:t>
      </w:r>
      <w:r w:rsidR="00033D0F">
        <w:rPr>
          <w:spacing w:val="-3"/>
        </w:rPr>
        <w:t xml:space="preserve"> </w:t>
      </w:r>
      <w:r w:rsidR="00033D0F">
        <w:t>sampled</w:t>
      </w:r>
      <w:r w:rsidR="00033D0F">
        <w:rPr>
          <w:spacing w:val="-4"/>
        </w:rPr>
        <w:t xml:space="preserve"> </w:t>
      </w:r>
      <w:r w:rsidR="00033D0F">
        <w:t>companies.</w:t>
      </w:r>
      <w:r w:rsidR="00033D0F">
        <w:rPr>
          <w:spacing w:val="-6"/>
        </w:rPr>
        <w:t xml:space="preserve"> </w:t>
      </w:r>
      <w:r w:rsidR="00033D0F">
        <w:t>China</w:t>
      </w:r>
      <w:r w:rsidR="00033D0F">
        <w:rPr>
          <w:spacing w:val="-3"/>
        </w:rPr>
        <w:t xml:space="preserve"> </w:t>
      </w:r>
      <w:r w:rsidR="00033D0F">
        <w:t>attempts</w:t>
      </w:r>
      <w:r w:rsidR="00033D0F">
        <w:rPr>
          <w:spacing w:val="-6"/>
        </w:rPr>
        <w:t xml:space="preserve"> </w:t>
      </w:r>
      <w:r w:rsidR="00033D0F">
        <w:t>to</w:t>
      </w:r>
      <w:r w:rsidR="00033D0F">
        <w:rPr>
          <w:spacing w:val="-5"/>
        </w:rPr>
        <w:t xml:space="preserve"> </w:t>
      </w:r>
      <w:r w:rsidR="00033D0F">
        <w:t>excuse</w:t>
      </w:r>
      <w:r w:rsidR="00033D0F">
        <w:rPr>
          <w:spacing w:val="-7"/>
        </w:rPr>
        <w:t xml:space="preserve"> </w:t>
      </w:r>
      <w:r w:rsidR="00033D0F">
        <w:t>MOFCOM's</w:t>
      </w:r>
      <w:r w:rsidR="00033D0F">
        <w:rPr>
          <w:spacing w:val="-6"/>
        </w:rPr>
        <w:t xml:space="preserve"> </w:t>
      </w:r>
      <w:r w:rsidR="00033D0F">
        <w:t>failure</w:t>
      </w:r>
      <w:r w:rsidR="00033D0F">
        <w:rPr>
          <w:spacing w:val="-2"/>
        </w:rPr>
        <w:t xml:space="preserve"> </w:t>
      </w:r>
      <w:r w:rsidR="00033D0F">
        <w:t>by</w:t>
      </w:r>
    </w:p>
    <w:p w14:paraId="4D9F827A" w14:textId="0994DAB4" w:rsidR="00BD462C" w:rsidRDefault="00D70C7D">
      <w:pPr>
        <w:pStyle w:val="BodyText"/>
        <w:spacing w:before="7"/>
        <w:rPr>
          <w:sz w:val="19"/>
        </w:rPr>
      </w:pPr>
      <w:r>
        <w:rPr>
          <w:noProof/>
        </w:rPr>
        <mc:AlternateContent>
          <mc:Choice Requires="wps">
            <w:drawing>
              <wp:anchor distT="0" distB="0" distL="0" distR="0" simplePos="0" relativeHeight="487869440" behindDoc="1" locked="0" layoutInCell="1" allowOverlap="1" wp14:anchorId="70869FEB" wp14:editId="41BEFED4">
                <wp:simplePos x="0" y="0"/>
                <wp:positionH relativeFrom="page">
                  <wp:posOffset>899160</wp:posOffset>
                </wp:positionH>
                <wp:positionV relativeFrom="paragraph">
                  <wp:posOffset>167640</wp:posOffset>
                </wp:positionV>
                <wp:extent cx="1828800" cy="8890"/>
                <wp:effectExtent l="0" t="0" r="0" b="0"/>
                <wp:wrapTopAndBottom/>
                <wp:docPr id="238" name="docshape6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EFD207" id="docshape606" o:spid="_x0000_s1026" alt="&quot;&quot;" style="position:absolute;margin-left:70.8pt;margin-top:13.2pt;width:2in;height:.7pt;z-index:-1544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" fillcolor="black" stroked="f">
                <w10:wrap type="topAndBottom" anchorx="page"/>
              </v:rect>
            </w:pict>
          </mc:Fallback>
        </mc:AlternateContent>
      </w:r>
    </w:p>
    <w:p w14:paraId="7B5D66B9" w14:textId="77777777" w:rsidR="00BD462C" w:rsidRDefault="00033D0F">
      <w:pPr>
        <w:spacing w:before="107"/>
        <w:ind w:left="135" w:right="6493"/>
        <w:jc w:val="both"/>
        <w:rPr>
          <w:sz w:val="18"/>
        </w:rPr>
      </w:pPr>
      <w:bookmarkStart w:id="1750" w:name="_bookmark1506"/>
      <w:bookmarkEnd w:id="1750"/>
      <w:r>
        <w:rPr>
          <w:position w:val="5"/>
          <w:sz w:val="12"/>
        </w:rPr>
        <w:t>1301</w:t>
      </w:r>
      <w:r>
        <w:rPr>
          <w:spacing w:val="21"/>
          <w:position w:val="5"/>
          <w:sz w:val="12"/>
        </w:rPr>
        <w:t xml:space="preserve"> </w:t>
      </w:r>
      <w:r>
        <w:rPr>
          <w:sz w:val="18"/>
        </w:rPr>
        <w:t xml:space="preserve">Final Determination, (Exhibit CHN-1), p. 46. </w:t>
      </w:r>
      <w:bookmarkStart w:id="1751" w:name="_bookmark1507"/>
      <w:bookmarkEnd w:id="1751"/>
      <w:r>
        <w:rPr>
          <w:position w:val="5"/>
          <w:sz w:val="12"/>
        </w:rPr>
        <w:t>1302</w:t>
      </w:r>
      <w:r>
        <w:rPr>
          <w:spacing w:val="21"/>
          <w:position w:val="5"/>
          <w:sz w:val="12"/>
        </w:rPr>
        <w:t xml:space="preserve"> </w:t>
      </w:r>
      <w:r>
        <w:rPr>
          <w:sz w:val="18"/>
        </w:rPr>
        <w:t xml:space="preserve">Final Determination, (Exhibit CHN-1), p. 48. </w:t>
      </w:r>
      <w:bookmarkStart w:id="1752" w:name="_bookmark1508"/>
      <w:bookmarkEnd w:id="1752"/>
      <w:r>
        <w:rPr>
          <w:position w:val="5"/>
          <w:sz w:val="12"/>
        </w:rPr>
        <w:t>1303</w:t>
      </w:r>
      <w:r>
        <w:rPr>
          <w:spacing w:val="13"/>
          <w:position w:val="5"/>
          <w:sz w:val="12"/>
        </w:rPr>
        <w:t xml:space="preserve"> </w:t>
      </w:r>
      <w:r>
        <w:rPr>
          <w:sz w:val="18"/>
        </w:rPr>
        <w:t>China's</w:t>
      </w:r>
      <w:r>
        <w:rPr>
          <w:spacing w:val="-5"/>
          <w:sz w:val="18"/>
        </w:rPr>
        <w:t xml:space="preserve"> </w:t>
      </w:r>
      <w:r>
        <w:rPr>
          <w:sz w:val="18"/>
        </w:rPr>
        <w:t>first</w:t>
      </w:r>
      <w:r>
        <w:rPr>
          <w:spacing w:val="-4"/>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 xml:space="preserve">para. </w:t>
      </w:r>
      <w:r>
        <w:rPr>
          <w:spacing w:val="-2"/>
          <w:sz w:val="18"/>
        </w:rPr>
        <w:t>2472.</w:t>
      </w:r>
    </w:p>
    <w:p w14:paraId="493AB055" w14:textId="77777777" w:rsidR="00BD462C" w:rsidRDefault="00033D0F">
      <w:pPr>
        <w:spacing w:before="3"/>
        <w:ind w:left="135"/>
        <w:jc w:val="both"/>
        <w:rPr>
          <w:sz w:val="18"/>
        </w:rPr>
      </w:pPr>
      <w:bookmarkStart w:id="1753" w:name="_bookmark1509"/>
      <w:bookmarkEnd w:id="1753"/>
      <w:r>
        <w:rPr>
          <w:position w:val="5"/>
          <w:sz w:val="12"/>
        </w:rPr>
        <w:t>1304</w:t>
      </w:r>
      <w:r>
        <w:rPr>
          <w:spacing w:val="13"/>
          <w:position w:val="5"/>
          <w:sz w:val="12"/>
        </w:rPr>
        <w:t xml:space="preserve"> </w:t>
      </w:r>
      <w:r>
        <w:rPr>
          <w:sz w:val="18"/>
        </w:rPr>
        <w:t>AGW</w:t>
      </w:r>
      <w:r>
        <w:rPr>
          <w:spacing w:val="-1"/>
          <w:sz w:val="18"/>
        </w:rPr>
        <w:t xml:space="preserve"> </w:t>
      </w:r>
      <w:r>
        <w:rPr>
          <w:sz w:val="18"/>
        </w:rPr>
        <w:t>Comments</w:t>
      </w:r>
      <w:r>
        <w:rPr>
          <w:spacing w:val="-5"/>
          <w:sz w:val="18"/>
        </w:rPr>
        <w:t xml:space="preserve"> </w:t>
      </w:r>
      <w:r>
        <w:rPr>
          <w:sz w:val="18"/>
        </w:rPr>
        <w:t>on</w:t>
      </w:r>
      <w:r>
        <w:rPr>
          <w:spacing w:val="-7"/>
          <w:sz w:val="18"/>
        </w:rPr>
        <w:t xml:space="preserve"> </w:t>
      </w:r>
      <w:r>
        <w:rPr>
          <w:sz w:val="18"/>
        </w:rPr>
        <w:t>Final Disclosure,</w:t>
      </w:r>
      <w:r>
        <w:rPr>
          <w:spacing w:val="-4"/>
          <w:sz w:val="18"/>
        </w:rPr>
        <w:t xml:space="preserve"> </w:t>
      </w:r>
      <w:r>
        <w:rPr>
          <w:sz w:val="18"/>
        </w:rPr>
        <w:t>(Exhibit</w:t>
      </w:r>
      <w:r>
        <w:rPr>
          <w:spacing w:val="-1"/>
          <w:sz w:val="18"/>
        </w:rPr>
        <w:t xml:space="preserve"> </w:t>
      </w:r>
      <w:r>
        <w:rPr>
          <w:sz w:val="18"/>
        </w:rPr>
        <w:t>AUS-97),</w:t>
      </w:r>
      <w:r>
        <w:rPr>
          <w:spacing w:val="-3"/>
          <w:sz w:val="18"/>
        </w:rPr>
        <w:t xml:space="preserve"> </w:t>
      </w:r>
      <w:r>
        <w:rPr>
          <w:sz w:val="18"/>
        </w:rPr>
        <w:t>p.</w:t>
      </w:r>
      <w:r>
        <w:rPr>
          <w:spacing w:val="-5"/>
          <w:sz w:val="18"/>
        </w:rPr>
        <w:t xml:space="preserve"> </w:t>
      </w:r>
      <w:r>
        <w:rPr>
          <w:sz w:val="18"/>
        </w:rPr>
        <w:t>7.</w:t>
      </w:r>
      <w:r>
        <w:rPr>
          <w:spacing w:val="-4"/>
          <w:sz w:val="18"/>
        </w:rPr>
        <w:t xml:space="preserve"> </w:t>
      </w:r>
      <w:r>
        <w:rPr>
          <w:sz w:val="18"/>
        </w:rPr>
        <w:t>(</w:t>
      </w:r>
      <w:proofErr w:type="gramStart"/>
      <w:r>
        <w:rPr>
          <w:sz w:val="18"/>
        </w:rPr>
        <w:t>emphasis</w:t>
      </w:r>
      <w:proofErr w:type="gramEnd"/>
      <w:r>
        <w:rPr>
          <w:spacing w:val="-5"/>
          <w:sz w:val="18"/>
        </w:rPr>
        <w:t xml:space="preserve"> </w:t>
      </w:r>
      <w:r>
        <w:rPr>
          <w:spacing w:val="-2"/>
          <w:sz w:val="18"/>
        </w:rPr>
        <w:t>added)</w:t>
      </w:r>
    </w:p>
    <w:p w14:paraId="6B8B80B9" w14:textId="77777777" w:rsidR="00BD462C" w:rsidRDefault="00033D0F">
      <w:pPr>
        <w:spacing w:before="1"/>
        <w:ind w:left="135"/>
        <w:jc w:val="both"/>
        <w:rPr>
          <w:sz w:val="18"/>
        </w:rPr>
      </w:pPr>
      <w:bookmarkStart w:id="1754" w:name="_bookmark1510"/>
      <w:bookmarkEnd w:id="1754"/>
      <w:r>
        <w:rPr>
          <w:position w:val="5"/>
          <w:sz w:val="12"/>
        </w:rPr>
        <w:t>1305</w:t>
      </w:r>
      <w:r>
        <w:rPr>
          <w:spacing w:val="15"/>
          <w:position w:val="5"/>
          <w:sz w:val="12"/>
        </w:rPr>
        <w:t xml:space="preserve"> </w:t>
      </w:r>
      <w:r>
        <w:rPr>
          <w:sz w:val="18"/>
        </w:rPr>
        <w:t>See</w:t>
      </w:r>
      <w:r>
        <w:rPr>
          <w:spacing w:val="-3"/>
          <w:sz w:val="18"/>
        </w:rPr>
        <w:t xml:space="preserve"> </w:t>
      </w:r>
      <w:r>
        <w:rPr>
          <w:sz w:val="18"/>
        </w:rPr>
        <w:t>above,</w:t>
      </w:r>
      <w:r>
        <w:rPr>
          <w:spacing w:val="-1"/>
          <w:sz w:val="18"/>
        </w:rPr>
        <w:t xml:space="preserve"> </w:t>
      </w:r>
      <w:r>
        <w:rPr>
          <w:sz w:val="18"/>
        </w:rPr>
        <w:t>section</w:t>
      </w:r>
      <w:r>
        <w:rPr>
          <w:spacing w:val="-5"/>
          <w:sz w:val="18"/>
        </w:rPr>
        <w:t xml:space="preserve"> </w:t>
      </w:r>
      <w:hyperlink w:anchor="_bookmark1444" w:history="1">
        <w:r>
          <w:rPr>
            <w:spacing w:val="-2"/>
            <w:sz w:val="18"/>
          </w:rPr>
          <w:t>VII.F.2(a).</w:t>
        </w:r>
      </w:hyperlink>
    </w:p>
    <w:p w14:paraId="61D61CDC" w14:textId="77777777" w:rsidR="00BD462C" w:rsidRDefault="00BD462C">
      <w:pPr>
        <w:jc w:val="both"/>
        <w:rPr>
          <w:sz w:val="18"/>
        </w:rPr>
        <w:sectPr w:rsidR="00BD462C">
          <w:pgSz w:w="11910" w:h="16840"/>
          <w:pgMar w:top="860" w:right="500" w:bottom="780" w:left="1280" w:header="566" w:footer="590" w:gutter="0"/>
          <w:cols w:space="720"/>
        </w:sectPr>
      </w:pPr>
    </w:p>
    <w:p w14:paraId="6E1E143D"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12FB4CB8"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4DBAD954"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143044FC" w14:textId="77777777" w:rsidR="00BD462C" w:rsidRDefault="00033D0F">
      <w:pPr>
        <w:pStyle w:val="BodyText"/>
        <w:spacing w:before="102"/>
        <w:ind w:left="135"/>
      </w:pPr>
      <w:r>
        <w:t>arguing</w:t>
      </w:r>
      <w:r>
        <w:rPr>
          <w:spacing w:val="30"/>
        </w:rPr>
        <w:t xml:space="preserve"> </w:t>
      </w:r>
      <w:r>
        <w:t>that</w:t>
      </w:r>
      <w:r>
        <w:rPr>
          <w:spacing w:val="32"/>
        </w:rPr>
        <w:t xml:space="preserve"> </w:t>
      </w:r>
      <w:r>
        <w:t>the</w:t>
      </w:r>
      <w:r>
        <w:rPr>
          <w:spacing w:val="31"/>
        </w:rPr>
        <w:t xml:space="preserve"> </w:t>
      </w:r>
      <w:r>
        <w:t>companies</w:t>
      </w:r>
      <w:r>
        <w:rPr>
          <w:spacing w:val="33"/>
        </w:rPr>
        <w:t xml:space="preserve"> </w:t>
      </w:r>
      <w:r>
        <w:t>caught</w:t>
      </w:r>
      <w:r>
        <w:rPr>
          <w:spacing w:val="32"/>
        </w:rPr>
        <w:t xml:space="preserve"> </w:t>
      </w:r>
      <w:r>
        <w:t>in</w:t>
      </w:r>
      <w:r>
        <w:rPr>
          <w:spacing w:val="29"/>
        </w:rPr>
        <w:t xml:space="preserve"> </w:t>
      </w:r>
      <w:r>
        <w:t>the</w:t>
      </w:r>
      <w:r>
        <w:rPr>
          <w:spacing w:val="37"/>
        </w:rPr>
        <w:t xml:space="preserve"> </w:t>
      </w:r>
      <w:r>
        <w:t>"All</w:t>
      </w:r>
      <w:r>
        <w:rPr>
          <w:spacing w:val="33"/>
        </w:rPr>
        <w:t xml:space="preserve"> </w:t>
      </w:r>
      <w:r>
        <w:t>Others"</w:t>
      </w:r>
      <w:r>
        <w:rPr>
          <w:spacing w:val="30"/>
        </w:rPr>
        <w:t xml:space="preserve"> </w:t>
      </w:r>
      <w:r>
        <w:t>rate</w:t>
      </w:r>
      <w:r>
        <w:rPr>
          <w:spacing w:val="31"/>
        </w:rPr>
        <w:t xml:space="preserve"> </w:t>
      </w:r>
      <w:r>
        <w:t>are</w:t>
      </w:r>
      <w:r>
        <w:rPr>
          <w:spacing w:val="36"/>
        </w:rPr>
        <w:t xml:space="preserve"> </w:t>
      </w:r>
      <w:r>
        <w:t>not</w:t>
      </w:r>
      <w:r>
        <w:rPr>
          <w:spacing w:val="32"/>
        </w:rPr>
        <w:t xml:space="preserve"> </w:t>
      </w:r>
      <w:r>
        <w:t>interested</w:t>
      </w:r>
      <w:r>
        <w:rPr>
          <w:spacing w:val="30"/>
        </w:rPr>
        <w:t xml:space="preserve"> </w:t>
      </w:r>
      <w:r>
        <w:rPr>
          <w:spacing w:val="-2"/>
        </w:rPr>
        <w:t>parties.</w:t>
      </w:r>
      <w:hyperlink w:anchor="_bookmark1511" w:history="1">
        <w:r>
          <w:rPr>
            <w:spacing w:val="-2"/>
            <w:vertAlign w:val="superscript"/>
          </w:rPr>
          <w:t>1306</w:t>
        </w:r>
      </w:hyperlink>
    </w:p>
    <w:p w14:paraId="1AD32661" w14:textId="77777777" w:rsidR="00BD462C" w:rsidRDefault="00033D0F">
      <w:pPr>
        <w:pStyle w:val="BodyText"/>
        <w:spacing w:before="144"/>
        <w:ind w:left="136"/>
      </w:pPr>
      <w:r>
        <w:t>Australia</w:t>
      </w:r>
      <w:r>
        <w:rPr>
          <w:spacing w:val="-5"/>
        </w:rPr>
        <w:t xml:space="preserve"> </w:t>
      </w:r>
      <w:r>
        <w:t>categorically</w:t>
      </w:r>
      <w:r>
        <w:rPr>
          <w:spacing w:val="-3"/>
        </w:rPr>
        <w:t xml:space="preserve"> </w:t>
      </w:r>
      <w:r>
        <w:rPr>
          <w:spacing w:val="-2"/>
        </w:rPr>
        <w:t>disagrees.</w:t>
      </w:r>
    </w:p>
    <w:p w14:paraId="31741EDF" w14:textId="77777777" w:rsidR="00BD462C" w:rsidRDefault="00BD462C">
      <w:pPr>
        <w:pStyle w:val="BodyText"/>
        <w:spacing w:before="11"/>
        <w:rPr>
          <w:sz w:val="20"/>
        </w:rPr>
      </w:pPr>
    </w:p>
    <w:p w14:paraId="4ED11D5D" w14:textId="32EC2F39" w:rsidR="00BD462C" w:rsidRDefault="00C63D13">
      <w:pPr>
        <w:pStyle w:val="BodyText"/>
        <w:spacing w:before="56" w:line="360" w:lineRule="auto"/>
        <w:ind w:left="135" w:right="911"/>
        <w:jc w:val="both"/>
      </w:pPr>
      <w:r>
        <w:rPr>
          <w:noProof/>
        </w:rPr>
        <w:t>901.</w:t>
      </w:r>
      <w:r w:rsidR="00033D0F">
        <w:rPr>
          <w:rFonts w:ascii="Times New Roman" w:hAnsi="Times New Roman"/>
          <w:spacing w:val="80"/>
          <w:position w:val="1"/>
          <w:sz w:val="20"/>
        </w:rPr>
        <w:t xml:space="preserve">  </w:t>
      </w:r>
      <w:r w:rsidR="00033D0F">
        <w:rPr>
          <w:position w:val="1"/>
        </w:rPr>
        <w:t xml:space="preserve">There is no question that exporters in the "All Others" category meet the criteria </w:t>
      </w:r>
      <w:r w:rsidR="00033D0F">
        <w:t xml:space="preserve">under Article 6.11(i), being that they are "an exporter or foreign producer or the importer of a product subject to investigation". China's argument that the "All Others" group were not interested parties is based entirely on a citation to the Appellate Body decision in </w:t>
      </w:r>
      <w:r w:rsidR="00033D0F">
        <w:rPr>
          <w:i/>
        </w:rPr>
        <w:t>EC – Fasteners</w:t>
      </w:r>
      <w:r w:rsidR="00033D0F">
        <w:rPr>
          <w:i/>
          <w:spacing w:val="-4"/>
        </w:rPr>
        <w:t xml:space="preserve"> </w:t>
      </w:r>
      <w:r w:rsidR="00033D0F">
        <w:rPr>
          <w:i/>
        </w:rPr>
        <w:t>(China)</w:t>
      </w:r>
      <w:r w:rsidR="00033D0F">
        <w:rPr>
          <w:i/>
          <w:spacing w:val="-3"/>
        </w:rPr>
        <w:t xml:space="preserve"> </w:t>
      </w:r>
      <w:r w:rsidR="00033D0F">
        <w:rPr>
          <w:i/>
        </w:rPr>
        <w:t>(Article</w:t>
      </w:r>
      <w:r w:rsidR="00033D0F">
        <w:rPr>
          <w:i/>
          <w:spacing w:val="-1"/>
        </w:rPr>
        <w:t xml:space="preserve"> </w:t>
      </w:r>
      <w:r w:rsidR="00033D0F">
        <w:rPr>
          <w:i/>
        </w:rPr>
        <w:t>21.5</w:t>
      </w:r>
      <w:r w:rsidR="00033D0F">
        <w:rPr>
          <w:i/>
          <w:spacing w:val="-4"/>
        </w:rPr>
        <w:t xml:space="preserve"> </w:t>
      </w:r>
      <w:r w:rsidR="00033D0F">
        <w:rPr>
          <w:i/>
        </w:rPr>
        <w:t>–</w:t>
      </w:r>
      <w:r w:rsidR="00033D0F">
        <w:rPr>
          <w:i/>
          <w:spacing w:val="-2"/>
        </w:rPr>
        <w:t xml:space="preserve"> </w:t>
      </w:r>
      <w:r w:rsidR="00033D0F">
        <w:rPr>
          <w:i/>
        </w:rPr>
        <w:t>China)</w:t>
      </w:r>
      <w:r w:rsidR="00033D0F">
        <w:t>, which</w:t>
      </w:r>
      <w:r w:rsidR="00033D0F">
        <w:rPr>
          <w:spacing w:val="-3"/>
        </w:rPr>
        <w:t xml:space="preserve"> </w:t>
      </w:r>
      <w:r w:rsidR="00033D0F">
        <w:t>China</w:t>
      </w:r>
      <w:r w:rsidR="00033D0F">
        <w:rPr>
          <w:spacing w:val="-2"/>
        </w:rPr>
        <w:t xml:space="preserve"> </w:t>
      </w:r>
      <w:r w:rsidR="00033D0F">
        <w:t>says set</w:t>
      </w:r>
      <w:r w:rsidR="00033D0F">
        <w:rPr>
          <w:spacing w:val="-1"/>
        </w:rPr>
        <w:t xml:space="preserve"> </w:t>
      </w:r>
      <w:r w:rsidR="00033D0F">
        <w:t>out</w:t>
      </w:r>
      <w:r w:rsidR="00033D0F">
        <w:rPr>
          <w:spacing w:val="-1"/>
        </w:rPr>
        <w:t xml:space="preserve"> </w:t>
      </w:r>
      <w:r w:rsidR="00033D0F">
        <w:t>"criteria"</w:t>
      </w:r>
      <w:r w:rsidR="00033D0F">
        <w:rPr>
          <w:spacing w:val="-2"/>
        </w:rPr>
        <w:t xml:space="preserve"> </w:t>
      </w:r>
      <w:r w:rsidR="00033D0F">
        <w:t>for</w:t>
      </w:r>
      <w:r w:rsidR="00033D0F">
        <w:rPr>
          <w:spacing w:val="-4"/>
        </w:rPr>
        <w:t xml:space="preserve"> </w:t>
      </w:r>
      <w:r w:rsidR="00033D0F">
        <w:t>when an</w:t>
      </w:r>
      <w:r w:rsidR="00033D0F">
        <w:rPr>
          <w:spacing w:val="-3"/>
        </w:rPr>
        <w:t xml:space="preserve"> </w:t>
      </w:r>
      <w:r w:rsidR="00033D0F">
        <w:t>entity is an</w:t>
      </w:r>
      <w:r w:rsidR="00033D0F">
        <w:rPr>
          <w:spacing w:val="-2"/>
        </w:rPr>
        <w:t xml:space="preserve"> </w:t>
      </w:r>
      <w:r w:rsidR="00033D0F">
        <w:t>interested</w:t>
      </w:r>
      <w:r w:rsidR="00033D0F">
        <w:rPr>
          <w:spacing w:val="-2"/>
        </w:rPr>
        <w:t xml:space="preserve"> </w:t>
      </w:r>
      <w:r w:rsidR="00033D0F">
        <w:t>party. However, that citation</w:t>
      </w:r>
      <w:r w:rsidR="00033D0F">
        <w:rPr>
          <w:spacing w:val="-2"/>
        </w:rPr>
        <w:t xml:space="preserve"> </w:t>
      </w:r>
      <w:r w:rsidR="00033D0F">
        <w:t>concerns the</w:t>
      </w:r>
      <w:r w:rsidR="00033D0F">
        <w:rPr>
          <w:spacing w:val="-1"/>
        </w:rPr>
        <w:t xml:space="preserve"> </w:t>
      </w:r>
      <w:r w:rsidR="00033D0F">
        <w:t>situation</w:t>
      </w:r>
      <w:r w:rsidR="00033D0F">
        <w:rPr>
          <w:spacing w:val="-2"/>
        </w:rPr>
        <w:t xml:space="preserve"> </w:t>
      </w:r>
      <w:r w:rsidR="00033D0F">
        <w:t>in</w:t>
      </w:r>
      <w:r w:rsidR="00033D0F">
        <w:rPr>
          <w:spacing w:val="-2"/>
        </w:rPr>
        <w:t xml:space="preserve"> </w:t>
      </w:r>
      <w:r w:rsidR="00033D0F">
        <w:t>which</w:t>
      </w:r>
      <w:r w:rsidR="00033D0F">
        <w:rPr>
          <w:spacing w:val="-2"/>
        </w:rPr>
        <w:t xml:space="preserve"> </w:t>
      </w:r>
      <w:r w:rsidR="00033D0F">
        <w:t>an</w:t>
      </w:r>
      <w:r w:rsidR="00033D0F">
        <w:rPr>
          <w:spacing w:val="-2"/>
        </w:rPr>
        <w:t xml:space="preserve"> </w:t>
      </w:r>
      <w:r w:rsidR="00033D0F">
        <w:t>entity that is not of a type listed in Article 6.11 can nonetheless constitute an interested party.</w:t>
      </w:r>
      <w:hyperlink w:anchor="_bookmark1512" w:history="1">
        <w:r w:rsidR="00033D0F">
          <w:rPr>
            <w:vertAlign w:val="superscript"/>
          </w:rPr>
          <w:t>1307</w:t>
        </w:r>
      </w:hyperlink>
      <w:r w:rsidR="00033D0F">
        <w:t xml:space="preserve"> It is irrelevant to the present situation.</w:t>
      </w:r>
    </w:p>
    <w:p w14:paraId="47605625" w14:textId="77777777" w:rsidR="00BD462C" w:rsidRDefault="00BD462C">
      <w:pPr>
        <w:pStyle w:val="BodyText"/>
        <w:spacing w:before="8"/>
        <w:rPr>
          <w:sz w:val="8"/>
        </w:rPr>
      </w:pPr>
    </w:p>
    <w:p w14:paraId="55D5AFB8" w14:textId="11306820" w:rsidR="00BD462C" w:rsidRDefault="00C63D13">
      <w:pPr>
        <w:pStyle w:val="BodyText"/>
        <w:spacing w:before="56" w:line="360" w:lineRule="auto"/>
        <w:ind w:left="135" w:right="914"/>
        <w:jc w:val="both"/>
      </w:pPr>
      <w:r>
        <w:rPr>
          <w:noProof/>
        </w:rPr>
        <w:t>902.</w:t>
      </w:r>
      <w:r w:rsidR="00033D0F">
        <w:rPr>
          <w:rFonts w:ascii="Times New Roman"/>
          <w:spacing w:val="80"/>
          <w:position w:val="1"/>
          <w:sz w:val="20"/>
        </w:rPr>
        <w:t xml:space="preserve">  </w:t>
      </w:r>
      <w:r w:rsidR="00033D0F">
        <w:rPr>
          <w:position w:val="1"/>
        </w:rPr>
        <w:t>Moreover, in</w:t>
      </w:r>
      <w:r w:rsidR="00033D0F">
        <w:rPr>
          <w:spacing w:val="-4"/>
          <w:position w:val="1"/>
        </w:rPr>
        <w:t xml:space="preserve"> </w:t>
      </w:r>
      <w:r w:rsidR="00033D0F">
        <w:rPr>
          <w:position w:val="1"/>
        </w:rPr>
        <w:t>addition</w:t>
      </w:r>
      <w:r w:rsidR="00033D0F">
        <w:rPr>
          <w:spacing w:val="-4"/>
          <w:position w:val="1"/>
        </w:rPr>
        <w:t xml:space="preserve"> </w:t>
      </w:r>
      <w:r w:rsidR="00033D0F">
        <w:rPr>
          <w:position w:val="1"/>
        </w:rPr>
        <w:t>to</w:t>
      </w:r>
      <w:r w:rsidR="00033D0F">
        <w:rPr>
          <w:spacing w:val="-5"/>
          <w:position w:val="1"/>
        </w:rPr>
        <w:t xml:space="preserve"> </w:t>
      </w:r>
      <w:r w:rsidR="00033D0F">
        <w:rPr>
          <w:position w:val="1"/>
        </w:rPr>
        <w:t>the</w:t>
      </w:r>
      <w:r w:rsidR="00033D0F">
        <w:rPr>
          <w:spacing w:val="-3"/>
          <w:position w:val="1"/>
        </w:rPr>
        <w:t xml:space="preserve"> </w:t>
      </w:r>
      <w:r w:rsidR="00033D0F">
        <w:rPr>
          <w:position w:val="1"/>
        </w:rPr>
        <w:t>companies</w:t>
      </w:r>
      <w:r w:rsidR="00033D0F">
        <w:rPr>
          <w:spacing w:val="-1"/>
          <w:position w:val="1"/>
        </w:rPr>
        <w:t xml:space="preserve"> </w:t>
      </w:r>
      <w:r w:rsidR="00033D0F">
        <w:rPr>
          <w:position w:val="1"/>
        </w:rPr>
        <w:t>in</w:t>
      </w:r>
      <w:r w:rsidR="00033D0F">
        <w:rPr>
          <w:spacing w:val="-4"/>
          <w:position w:val="1"/>
        </w:rPr>
        <w:t xml:space="preserve"> </w:t>
      </w:r>
      <w:r w:rsidR="00033D0F">
        <w:rPr>
          <w:position w:val="1"/>
        </w:rPr>
        <w:t>the</w:t>
      </w:r>
      <w:r w:rsidR="00033D0F">
        <w:rPr>
          <w:spacing w:val="-3"/>
          <w:position w:val="1"/>
        </w:rPr>
        <w:t xml:space="preserve"> </w:t>
      </w:r>
      <w:r w:rsidR="00033D0F">
        <w:rPr>
          <w:position w:val="1"/>
        </w:rPr>
        <w:t>"All</w:t>
      </w:r>
      <w:r w:rsidR="00033D0F">
        <w:rPr>
          <w:spacing w:val="-5"/>
          <w:position w:val="1"/>
        </w:rPr>
        <w:t xml:space="preserve"> </w:t>
      </w:r>
      <w:r w:rsidR="00033D0F">
        <w:rPr>
          <w:position w:val="1"/>
        </w:rPr>
        <w:t>Others"</w:t>
      </w:r>
      <w:r w:rsidR="00033D0F">
        <w:rPr>
          <w:spacing w:val="-3"/>
          <w:position w:val="1"/>
        </w:rPr>
        <w:t xml:space="preserve"> </w:t>
      </w:r>
      <w:r w:rsidR="00033D0F">
        <w:rPr>
          <w:position w:val="1"/>
        </w:rPr>
        <w:t>category, industry</w:t>
      </w:r>
      <w:r w:rsidR="00033D0F">
        <w:rPr>
          <w:spacing w:val="-1"/>
          <w:position w:val="1"/>
        </w:rPr>
        <w:t xml:space="preserve"> </w:t>
      </w:r>
      <w:r w:rsidR="00033D0F">
        <w:rPr>
          <w:position w:val="1"/>
        </w:rPr>
        <w:t xml:space="preserve">bodies </w:t>
      </w:r>
      <w:r w:rsidR="00033D0F">
        <w:t>such as Australian Grape and Wine that represented the interests of the wider industry, and the</w:t>
      </w:r>
      <w:r w:rsidR="00033D0F">
        <w:rPr>
          <w:spacing w:val="-3"/>
        </w:rPr>
        <w:t xml:space="preserve"> </w:t>
      </w:r>
      <w:r w:rsidR="00033D0F">
        <w:t>Australian</w:t>
      </w:r>
      <w:r w:rsidR="00033D0F">
        <w:rPr>
          <w:spacing w:val="-4"/>
        </w:rPr>
        <w:t xml:space="preserve"> </w:t>
      </w:r>
      <w:r w:rsidR="00033D0F">
        <w:t>Government, undoubtedly</w:t>
      </w:r>
      <w:r w:rsidR="00033D0F">
        <w:rPr>
          <w:spacing w:val="-1"/>
        </w:rPr>
        <w:t xml:space="preserve"> </w:t>
      </w:r>
      <w:r w:rsidR="00033D0F">
        <w:t>were "interested</w:t>
      </w:r>
      <w:r w:rsidR="00033D0F">
        <w:rPr>
          <w:spacing w:val="-4"/>
        </w:rPr>
        <w:t xml:space="preserve"> </w:t>
      </w:r>
      <w:r w:rsidR="00033D0F">
        <w:t>parties"</w:t>
      </w:r>
      <w:r w:rsidR="00033D0F">
        <w:rPr>
          <w:spacing w:val="-3"/>
        </w:rPr>
        <w:t xml:space="preserve"> </w:t>
      </w:r>
      <w:r w:rsidR="00033D0F">
        <w:t>who had a direct</w:t>
      </w:r>
      <w:r w:rsidR="00033D0F">
        <w:rPr>
          <w:spacing w:val="-2"/>
        </w:rPr>
        <w:t xml:space="preserve"> </w:t>
      </w:r>
      <w:r w:rsidR="00033D0F">
        <w:t>interest in the calculation of the "All Others" rate, and to which MOFCOM also failed to provide opportunities to see the information in relation to the calculation of dumping margins.</w:t>
      </w:r>
    </w:p>
    <w:p w14:paraId="01C2FD5D" w14:textId="77777777" w:rsidR="00BD462C" w:rsidRDefault="00033D0F">
      <w:pPr>
        <w:pStyle w:val="ListParagraph"/>
        <w:numPr>
          <w:ilvl w:val="1"/>
          <w:numId w:val="20"/>
        </w:numPr>
        <w:tabs>
          <w:tab w:val="left" w:pos="3539"/>
          <w:tab w:val="left" w:pos="3540"/>
        </w:tabs>
        <w:spacing w:before="155"/>
        <w:ind w:left="3539" w:hanging="851"/>
        <w:jc w:val="both"/>
        <w:rPr>
          <w:sz w:val="24"/>
        </w:rPr>
      </w:pPr>
      <w:r>
        <w:rPr>
          <w:sz w:val="24"/>
          <w:u w:val="single"/>
        </w:rPr>
        <w:t>Determination</w:t>
      </w:r>
      <w:r>
        <w:rPr>
          <w:spacing w:val="-6"/>
          <w:sz w:val="24"/>
          <w:u w:val="single"/>
        </w:rPr>
        <w:t xml:space="preserve"> </w:t>
      </w:r>
      <w:r>
        <w:rPr>
          <w:sz w:val="24"/>
          <w:u w:val="single"/>
        </w:rPr>
        <w:t>of</w:t>
      </w:r>
      <w:r>
        <w:rPr>
          <w:spacing w:val="-5"/>
          <w:sz w:val="24"/>
          <w:u w:val="single"/>
        </w:rPr>
        <w:t xml:space="preserve"> </w:t>
      </w:r>
      <w:r>
        <w:rPr>
          <w:sz w:val="24"/>
          <w:u w:val="single"/>
        </w:rPr>
        <w:t>injury</w:t>
      </w:r>
      <w:r>
        <w:rPr>
          <w:spacing w:val="-2"/>
          <w:sz w:val="24"/>
          <w:u w:val="single"/>
        </w:rPr>
        <w:t xml:space="preserve"> </w:t>
      </w:r>
      <w:r>
        <w:rPr>
          <w:sz w:val="24"/>
          <w:u w:val="single"/>
        </w:rPr>
        <w:t>and</w:t>
      </w:r>
      <w:r>
        <w:rPr>
          <w:spacing w:val="-1"/>
          <w:sz w:val="24"/>
          <w:u w:val="single"/>
        </w:rPr>
        <w:t xml:space="preserve"> </w:t>
      </w:r>
      <w:r>
        <w:rPr>
          <w:spacing w:val="-2"/>
          <w:sz w:val="24"/>
          <w:u w:val="single"/>
        </w:rPr>
        <w:t>causation</w:t>
      </w:r>
    </w:p>
    <w:p w14:paraId="307E9242" w14:textId="77777777" w:rsidR="00BD462C" w:rsidRDefault="00BD462C">
      <w:pPr>
        <w:pStyle w:val="BodyText"/>
        <w:spacing w:before="11"/>
        <w:rPr>
          <w:sz w:val="20"/>
        </w:rPr>
      </w:pPr>
    </w:p>
    <w:p w14:paraId="02BDADAC" w14:textId="03D8E9D6" w:rsidR="00BD462C" w:rsidRDefault="00C63D13">
      <w:pPr>
        <w:pStyle w:val="BodyText"/>
        <w:spacing w:before="56" w:line="357" w:lineRule="auto"/>
        <w:ind w:left="135" w:right="916"/>
        <w:jc w:val="both"/>
      </w:pPr>
      <w:r>
        <w:rPr>
          <w:noProof/>
        </w:rPr>
        <w:t>903.</w:t>
      </w:r>
      <w:r w:rsidR="00033D0F">
        <w:rPr>
          <w:rFonts w:ascii="Times New Roman"/>
          <w:spacing w:val="80"/>
          <w:position w:val="1"/>
          <w:sz w:val="20"/>
        </w:rPr>
        <w:t xml:space="preserve">  </w:t>
      </w:r>
      <w:r w:rsidR="00033D0F">
        <w:rPr>
          <w:position w:val="1"/>
        </w:rPr>
        <w:t xml:space="preserve">In its first written submission, Australia outlines a large number of instances where </w:t>
      </w:r>
      <w:r w:rsidR="00033D0F">
        <w:t>MOFCOM</w:t>
      </w:r>
      <w:r w:rsidR="00033D0F">
        <w:rPr>
          <w:spacing w:val="-13"/>
        </w:rPr>
        <w:t xml:space="preserve"> </w:t>
      </w:r>
      <w:r w:rsidR="00033D0F">
        <w:t>breached</w:t>
      </w:r>
      <w:r w:rsidR="00033D0F">
        <w:rPr>
          <w:spacing w:val="-14"/>
        </w:rPr>
        <w:t xml:space="preserve"> </w:t>
      </w:r>
      <w:r w:rsidR="00033D0F">
        <w:t>its</w:t>
      </w:r>
      <w:r w:rsidR="00033D0F">
        <w:rPr>
          <w:spacing w:val="-9"/>
        </w:rPr>
        <w:t xml:space="preserve"> </w:t>
      </w:r>
      <w:r w:rsidR="00033D0F">
        <w:t>obligations</w:t>
      </w:r>
      <w:r w:rsidR="00033D0F">
        <w:rPr>
          <w:spacing w:val="-10"/>
        </w:rPr>
        <w:t xml:space="preserve"> </w:t>
      </w:r>
      <w:r w:rsidR="00033D0F">
        <w:t>under</w:t>
      </w:r>
      <w:r w:rsidR="00033D0F">
        <w:rPr>
          <w:spacing w:val="-14"/>
        </w:rPr>
        <w:t xml:space="preserve"> </w:t>
      </w:r>
      <w:r w:rsidR="00033D0F">
        <w:t>Article</w:t>
      </w:r>
      <w:r w:rsidR="00033D0F">
        <w:rPr>
          <w:spacing w:val="-12"/>
        </w:rPr>
        <w:t xml:space="preserve"> </w:t>
      </w:r>
      <w:r w:rsidR="00033D0F">
        <w:t>6.4.</w:t>
      </w:r>
      <w:r w:rsidR="00033D0F">
        <w:rPr>
          <w:spacing w:val="-11"/>
        </w:rPr>
        <w:t xml:space="preserve"> </w:t>
      </w:r>
      <w:r w:rsidR="00033D0F">
        <w:t>China</w:t>
      </w:r>
      <w:r w:rsidR="00033D0F">
        <w:rPr>
          <w:spacing w:val="-12"/>
        </w:rPr>
        <w:t xml:space="preserve"> </w:t>
      </w:r>
      <w:r w:rsidR="00033D0F">
        <w:t>takes</w:t>
      </w:r>
      <w:r w:rsidR="00033D0F">
        <w:rPr>
          <w:spacing w:val="-10"/>
        </w:rPr>
        <w:t xml:space="preserve"> </w:t>
      </w:r>
      <w:r w:rsidR="00033D0F">
        <w:t>issue</w:t>
      </w:r>
      <w:r w:rsidR="00033D0F">
        <w:rPr>
          <w:spacing w:val="-12"/>
        </w:rPr>
        <w:t xml:space="preserve"> </w:t>
      </w:r>
      <w:r w:rsidR="00033D0F">
        <w:t>with</w:t>
      </w:r>
      <w:r w:rsidR="00033D0F">
        <w:rPr>
          <w:spacing w:val="-14"/>
        </w:rPr>
        <w:t xml:space="preserve"> </w:t>
      </w:r>
      <w:r w:rsidR="00033D0F">
        <w:t>only</w:t>
      </w:r>
      <w:r w:rsidR="00033D0F">
        <w:rPr>
          <w:spacing w:val="-11"/>
        </w:rPr>
        <w:t xml:space="preserve"> </w:t>
      </w:r>
      <w:r w:rsidR="00033D0F">
        <w:t>some</w:t>
      </w:r>
      <w:r w:rsidR="00033D0F">
        <w:rPr>
          <w:spacing w:val="-11"/>
        </w:rPr>
        <w:t xml:space="preserve"> </w:t>
      </w:r>
      <w:r w:rsidR="00033D0F">
        <w:t>of</w:t>
      </w:r>
      <w:r w:rsidR="00033D0F">
        <w:rPr>
          <w:spacing w:val="-14"/>
        </w:rPr>
        <w:t xml:space="preserve"> </w:t>
      </w:r>
      <w:r w:rsidR="00033D0F">
        <w:t xml:space="preserve">these </w:t>
      </w:r>
      <w:r w:rsidR="00033D0F">
        <w:rPr>
          <w:spacing w:val="-2"/>
        </w:rPr>
        <w:t>claims.</w:t>
      </w:r>
    </w:p>
    <w:p w14:paraId="41BC52BC" w14:textId="77777777" w:rsidR="00BD462C" w:rsidRDefault="00BD462C">
      <w:pPr>
        <w:pStyle w:val="BodyText"/>
        <w:spacing w:before="3"/>
        <w:rPr>
          <w:sz w:val="9"/>
        </w:rPr>
      </w:pPr>
    </w:p>
    <w:p w14:paraId="70BED96D" w14:textId="2EF8610F" w:rsidR="00BD462C" w:rsidRDefault="00C63D13">
      <w:pPr>
        <w:pStyle w:val="BodyText"/>
        <w:spacing w:before="56" w:line="360" w:lineRule="auto"/>
        <w:ind w:left="135" w:right="914"/>
        <w:jc w:val="both"/>
      </w:pPr>
      <w:r>
        <w:rPr>
          <w:noProof/>
        </w:rPr>
        <w:t>904.</w:t>
      </w:r>
      <w:r w:rsidR="00033D0F">
        <w:rPr>
          <w:rFonts w:ascii="Times New Roman"/>
          <w:spacing w:val="80"/>
          <w:w w:val="150"/>
          <w:position w:val="1"/>
          <w:sz w:val="20"/>
        </w:rPr>
        <w:t xml:space="preserve"> </w:t>
      </w:r>
      <w:r w:rsidR="00033D0F">
        <w:rPr>
          <w:position w:val="1"/>
        </w:rPr>
        <w:t xml:space="preserve">First, in response to Australia's claim that MOFCOM failed to provide all non- </w:t>
      </w:r>
      <w:r w:rsidR="00033D0F">
        <w:t>confidential information relating to average import price, China simply copies and pastes in the same section of the Final Determination</w:t>
      </w:r>
      <w:hyperlink w:anchor="_bookmark1513" w:history="1">
        <w:r w:rsidR="00033D0F">
          <w:rPr>
            <w:vertAlign w:val="superscript"/>
          </w:rPr>
          <w:t>1308</w:t>
        </w:r>
      </w:hyperlink>
      <w:r w:rsidR="00033D0F">
        <w:t xml:space="preserve"> that Australia argued was insufficient.</w:t>
      </w:r>
      <w:hyperlink w:anchor="_bookmark1514" w:history="1">
        <w:r w:rsidR="00033D0F">
          <w:rPr>
            <w:vertAlign w:val="superscript"/>
          </w:rPr>
          <w:t>1309</w:t>
        </w:r>
      </w:hyperlink>
      <w:r w:rsidR="00033D0F">
        <w:t xml:space="preserve"> China has dedicated over 40 pages of its first written submission to describing MOFCOM's price calculation methodology and the sources of the underlying data on which MOFCOM relied.</w:t>
      </w:r>
      <w:hyperlink w:anchor="_bookmark1515" w:history="1">
        <w:r w:rsidR="00033D0F">
          <w:rPr>
            <w:vertAlign w:val="superscript"/>
          </w:rPr>
          <w:t>1310</w:t>
        </w:r>
      </w:hyperlink>
      <w:r w:rsidR="00033D0F">
        <w:t xml:space="preserve"> This level of detail does not appear anywhere on the investigation record. While some</w:t>
      </w:r>
      <w:r w:rsidR="00033D0F">
        <w:rPr>
          <w:spacing w:val="-2"/>
        </w:rPr>
        <w:t xml:space="preserve"> </w:t>
      </w:r>
      <w:r w:rsidR="00033D0F">
        <w:t>of</w:t>
      </w:r>
      <w:r w:rsidR="00033D0F">
        <w:rPr>
          <w:spacing w:val="-4"/>
        </w:rPr>
        <w:t xml:space="preserve"> </w:t>
      </w:r>
      <w:r w:rsidR="00033D0F">
        <w:t>the</w:t>
      </w:r>
      <w:r w:rsidR="00033D0F">
        <w:rPr>
          <w:spacing w:val="-3"/>
        </w:rPr>
        <w:t xml:space="preserve"> </w:t>
      </w:r>
      <w:r w:rsidR="00033D0F">
        <w:t>information</w:t>
      </w:r>
      <w:r w:rsidR="00033D0F">
        <w:rPr>
          <w:spacing w:val="-4"/>
        </w:rPr>
        <w:t xml:space="preserve"> </w:t>
      </w:r>
      <w:r w:rsidR="00033D0F">
        <w:t>relied</w:t>
      </w:r>
      <w:r w:rsidR="00033D0F">
        <w:rPr>
          <w:spacing w:val="-4"/>
        </w:rPr>
        <w:t xml:space="preserve"> </w:t>
      </w:r>
      <w:r w:rsidR="00033D0F">
        <w:t>on</w:t>
      </w:r>
      <w:r w:rsidR="00033D0F">
        <w:rPr>
          <w:spacing w:val="-4"/>
        </w:rPr>
        <w:t xml:space="preserve"> </w:t>
      </w:r>
      <w:r w:rsidR="00033D0F">
        <w:t>for</w:t>
      </w:r>
      <w:r w:rsidR="00033D0F">
        <w:rPr>
          <w:spacing w:val="-5"/>
        </w:rPr>
        <w:t xml:space="preserve"> </w:t>
      </w:r>
      <w:r w:rsidR="00033D0F">
        <w:t>the</w:t>
      </w:r>
      <w:r w:rsidR="00033D0F">
        <w:rPr>
          <w:spacing w:val="-3"/>
        </w:rPr>
        <w:t xml:space="preserve"> </w:t>
      </w:r>
      <w:r w:rsidR="00033D0F">
        <w:t>calculation</w:t>
      </w:r>
      <w:r w:rsidR="00033D0F">
        <w:rPr>
          <w:spacing w:val="-4"/>
        </w:rPr>
        <w:t xml:space="preserve"> </w:t>
      </w:r>
      <w:r w:rsidR="00033D0F">
        <w:t>of</w:t>
      </w:r>
      <w:r w:rsidR="00033D0F">
        <w:rPr>
          <w:spacing w:val="-4"/>
        </w:rPr>
        <w:t xml:space="preserve"> </w:t>
      </w:r>
      <w:r w:rsidR="00033D0F">
        <w:t>the</w:t>
      </w:r>
      <w:r w:rsidR="00033D0F">
        <w:rPr>
          <w:spacing w:val="-3"/>
        </w:rPr>
        <w:t xml:space="preserve"> </w:t>
      </w:r>
      <w:r w:rsidR="00033D0F">
        <w:t>liquidation</w:t>
      </w:r>
      <w:r w:rsidR="00033D0F">
        <w:rPr>
          <w:spacing w:val="-4"/>
        </w:rPr>
        <w:t xml:space="preserve"> </w:t>
      </w:r>
      <w:r w:rsidR="00033D0F">
        <w:t>price</w:t>
      </w:r>
      <w:r w:rsidR="00033D0F">
        <w:rPr>
          <w:spacing w:val="-2"/>
        </w:rPr>
        <w:t xml:space="preserve"> </w:t>
      </w:r>
      <w:r w:rsidR="00033D0F">
        <w:t>also</w:t>
      </w:r>
      <w:r w:rsidR="00033D0F">
        <w:rPr>
          <w:spacing w:val="-5"/>
        </w:rPr>
        <w:t xml:space="preserve"> </w:t>
      </w:r>
      <w:r w:rsidR="00033D0F">
        <w:t>appeared</w:t>
      </w:r>
      <w:r w:rsidR="00033D0F">
        <w:rPr>
          <w:spacing w:val="-4"/>
        </w:rPr>
        <w:t xml:space="preserve"> </w:t>
      </w:r>
      <w:r w:rsidR="00033D0F">
        <w:t>to</w:t>
      </w:r>
    </w:p>
    <w:p w14:paraId="64A8275A" w14:textId="0B391622" w:rsidR="00BD462C" w:rsidRDefault="00D70C7D">
      <w:pPr>
        <w:pStyle w:val="BodyText"/>
        <w:spacing w:before="7"/>
        <w:rPr>
          <w:sz w:val="19"/>
        </w:rPr>
      </w:pPr>
      <w:r>
        <w:rPr>
          <w:noProof/>
        </w:rPr>
        <mc:AlternateContent>
          <mc:Choice Requires="wps">
            <w:drawing>
              <wp:anchor distT="0" distB="0" distL="0" distR="0" simplePos="0" relativeHeight="487869952" behindDoc="1" locked="0" layoutInCell="1" allowOverlap="1" wp14:anchorId="5C0A620B" wp14:editId="5742E3CE">
                <wp:simplePos x="0" y="0"/>
                <wp:positionH relativeFrom="page">
                  <wp:posOffset>899160</wp:posOffset>
                </wp:positionH>
                <wp:positionV relativeFrom="paragraph">
                  <wp:posOffset>167640</wp:posOffset>
                </wp:positionV>
                <wp:extent cx="1828800" cy="8890"/>
                <wp:effectExtent l="0" t="0" r="0" b="0"/>
                <wp:wrapTopAndBottom/>
                <wp:docPr id="236" name="docshape6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763844" id="docshape607" o:spid="_x0000_s1026" alt="&quot;&quot;" style="position:absolute;margin-left:70.8pt;margin-top:13.2pt;width:2in;height:.7pt;z-index:-15446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" fillcolor="black" stroked="f">
                <w10:wrap type="topAndBottom" anchorx="page"/>
              </v:rect>
            </w:pict>
          </mc:Fallback>
        </mc:AlternateContent>
      </w:r>
    </w:p>
    <w:p w14:paraId="21FA922C" w14:textId="77777777" w:rsidR="00BD462C" w:rsidRDefault="00033D0F">
      <w:pPr>
        <w:spacing w:before="107"/>
        <w:ind w:left="135"/>
        <w:rPr>
          <w:sz w:val="18"/>
        </w:rPr>
      </w:pPr>
      <w:bookmarkStart w:id="1755" w:name="_bookmark1511"/>
      <w:bookmarkEnd w:id="1755"/>
      <w:r>
        <w:rPr>
          <w:position w:val="5"/>
          <w:sz w:val="12"/>
        </w:rPr>
        <w:t>1306</w:t>
      </w:r>
      <w:r>
        <w:rPr>
          <w:spacing w:val="13"/>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 xml:space="preserve">para. </w:t>
      </w:r>
      <w:r>
        <w:rPr>
          <w:spacing w:val="-2"/>
          <w:sz w:val="18"/>
        </w:rPr>
        <w:t>2473.</w:t>
      </w:r>
    </w:p>
    <w:p w14:paraId="24C659BC" w14:textId="77777777" w:rsidR="00BD462C" w:rsidRDefault="00033D0F">
      <w:pPr>
        <w:spacing w:before="1"/>
        <w:ind w:left="135"/>
        <w:rPr>
          <w:sz w:val="18"/>
        </w:rPr>
      </w:pPr>
      <w:bookmarkStart w:id="1756" w:name="_bookmark1512"/>
      <w:bookmarkEnd w:id="1756"/>
      <w:r>
        <w:rPr>
          <w:position w:val="5"/>
          <w:sz w:val="12"/>
        </w:rPr>
        <w:t>1307</w:t>
      </w:r>
      <w:r>
        <w:rPr>
          <w:spacing w:val="14"/>
          <w:position w:val="5"/>
          <w:sz w:val="12"/>
        </w:rPr>
        <w:t xml:space="preserve"> </w:t>
      </w:r>
      <w:r>
        <w:rPr>
          <w:i/>
          <w:sz w:val="18"/>
        </w:rPr>
        <w:t>EC –</w:t>
      </w:r>
      <w:r>
        <w:rPr>
          <w:i/>
          <w:spacing w:val="-4"/>
          <w:sz w:val="18"/>
        </w:rPr>
        <w:t xml:space="preserve"> </w:t>
      </w:r>
      <w:r>
        <w:rPr>
          <w:i/>
          <w:sz w:val="18"/>
        </w:rPr>
        <w:t>Fasteners</w:t>
      </w:r>
      <w:r>
        <w:rPr>
          <w:i/>
          <w:spacing w:val="-4"/>
          <w:sz w:val="18"/>
        </w:rPr>
        <w:t xml:space="preserve"> </w:t>
      </w:r>
      <w:r>
        <w:rPr>
          <w:i/>
          <w:sz w:val="18"/>
        </w:rPr>
        <w:t>(China)</w:t>
      </w:r>
      <w:r>
        <w:rPr>
          <w:i/>
          <w:spacing w:val="-2"/>
          <w:sz w:val="18"/>
        </w:rPr>
        <w:t xml:space="preserve"> </w:t>
      </w:r>
      <w:r>
        <w:rPr>
          <w:i/>
          <w:sz w:val="18"/>
        </w:rPr>
        <w:t>(Article</w:t>
      </w:r>
      <w:r>
        <w:rPr>
          <w:i/>
          <w:spacing w:val="-2"/>
          <w:sz w:val="18"/>
        </w:rPr>
        <w:t xml:space="preserve"> </w:t>
      </w:r>
      <w:r>
        <w:rPr>
          <w:i/>
          <w:sz w:val="18"/>
        </w:rPr>
        <w:t>21.5</w:t>
      </w:r>
      <w:r>
        <w:rPr>
          <w:i/>
          <w:spacing w:val="-6"/>
          <w:sz w:val="18"/>
        </w:rPr>
        <w:t xml:space="preserve"> </w:t>
      </w:r>
      <w:r>
        <w:rPr>
          <w:i/>
          <w:sz w:val="18"/>
        </w:rPr>
        <w:t>–</w:t>
      </w:r>
      <w:r>
        <w:rPr>
          <w:i/>
          <w:spacing w:val="-4"/>
          <w:sz w:val="18"/>
        </w:rPr>
        <w:t xml:space="preserve"> </w:t>
      </w:r>
      <w:r>
        <w:rPr>
          <w:i/>
          <w:sz w:val="18"/>
        </w:rPr>
        <w:t>China),</w:t>
      </w:r>
      <w:r>
        <w:rPr>
          <w:i/>
          <w:spacing w:val="2"/>
          <w:sz w:val="18"/>
        </w:rPr>
        <w:t xml:space="preserve"> </w:t>
      </w:r>
      <w:r>
        <w:rPr>
          <w:sz w:val="18"/>
        </w:rPr>
        <w:t>para.</w:t>
      </w:r>
      <w:r>
        <w:rPr>
          <w:spacing w:val="2"/>
          <w:sz w:val="18"/>
        </w:rPr>
        <w:t xml:space="preserve"> </w:t>
      </w:r>
      <w:r>
        <w:rPr>
          <w:spacing w:val="-2"/>
          <w:sz w:val="18"/>
        </w:rPr>
        <w:t>5.139.</w:t>
      </w:r>
    </w:p>
    <w:p w14:paraId="686D3A2A" w14:textId="77777777" w:rsidR="00BD462C" w:rsidRDefault="00033D0F">
      <w:pPr>
        <w:spacing w:before="1"/>
        <w:ind w:left="135"/>
        <w:rPr>
          <w:sz w:val="18"/>
        </w:rPr>
      </w:pPr>
      <w:bookmarkStart w:id="1757" w:name="_bookmark1513"/>
      <w:bookmarkEnd w:id="1757"/>
      <w:r>
        <w:rPr>
          <w:position w:val="5"/>
          <w:sz w:val="12"/>
        </w:rPr>
        <w:t>1308</w:t>
      </w:r>
      <w:r>
        <w:rPr>
          <w:spacing w:val="13"/>
          <w:position w:val="5"/>
          <w:sz w:val="12"/>
        </w:rPr>
        <w:t xml:space="preserve"> </w:t>
      </w:r>
      <w:r>
        <w:rPr>
          <w:sz w:val="18"/>
        </w:rPr>
        <w:t>China'</w:t>
      </w:r>
      <w:r>
        <w:rPr>
          <w:spacing w:val="-3"/>
          <w:sz w:val="18"/>
        </w:rPr>
        <w:t xml:space="preserve"> </w:t>
      </w:r>
      <w:r>
        <w:rPr>
          <w:sz w:val="18"/>
        </w:rPr>
        <w:t>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w:t>
      </w:r>
      <w:r>
        <w:rPr>
          <w:spacing w:val="-3"/>
          <w:sz w:val="18"/>
        </w:rPr>
        <w:t xml:space="preserve"> </w:t>
      </w:r>
      <w:r>
        <w:rPr>
          <w:sz w:val="18"/>
        </w:rPr>
        <w:t>para.</w:t>
      </w:r>
      <w:r>
        <w:rPr>
          <w:spacing w:val="-4"/>
          <w:sz w:val="18"/>
        </w:rPr>
        <w:t xml:space="preserve"> </w:t>
      </w:r>
      <w:r>
        <w:rPr>
          <w:sz w:val="18"/>
        </w:rPr>
        <w:t>2475</w:t>
      </w:r>
      <w:r>
        <w:rPr>
          <w:spacing w:val="-6"/>
          <w:sz w:val="18"/>
        </w:rPr>
        <w:t xml:space="preserve"> </w:t>
      </w:r>
      <w:r>
        <w:rPr>
          <w:sz w:val="18"/>
        </w:rPr>
        <w:t>(referring</w:t>
      </w:r>
      <w:r>
        <w:rPr>
          <w:spacing w:val="-5"/>
          <w:sz w:val="18"/>
        </w:rPr>
        <w:t xml:space="preserve"> </w:t>
      </w:r>
      <w:r>
        <w:rPr>
          <w:sz w:val="18"/>
        </w:rPr>
        <w:t>to</w:t>
      </w:r>
      <w:r>
        <w:rPr>
          <w:spacing w:val="-6"/>
          <w:sz w:val="18"/>
        </w:rPr>
        <w:t xml:space="preserve"> </w:t>
      </w:r>
      <w:r>
        <w:rPr>
          <w:sz w:val="18"/>
        </w:rPr>
        <w:t>Final</w:t>
      </w:r>
      <w:r>
        <w:rPr>
          <w:spacing w:val="-1"/>
          <w:sz w:val="18"/>
        </w:rPr>
        <w:t xml:space="preserve"> </w:t>
      </w:r>
      <w:r>
        <w:rPr>
          <w:sz w:val="18"/>
        </w:rPr>
        <w:t>Determination</w:t>
      </w:r>
      <w:r>
        <w:rPr>
          <w:spacing w:val="-9"/>
          <w:sz w:val="18"/>
        </w:rPr>
        <w:t xml:space="preserve"> </w:t>
      </w:r>
      <w:r>
        <w:rPr>
          <w:sz w:val="18"/>
        </w:rPr>
        <w:t>(Exhibit</w:t>
      </w:r>
      <w:r>
        <w:rPr>
          <w:spacing w:val="-1"/>
          <w:sz w:val="18"/>
        </w:rPr>
        <w:t xml:space="preserve"> </w:t>
      </w:r>
      <w:r>
        <w:rPr>
          <w:sz w:val="18"/>
        </w:rPr>
        <w:t>CHN-1),</w:t>
      </w:r>
      <w:r>
        <w:rPr>
          <w:spacing w:val="1"/>
          <w:sz w:val="18"/>
        </w:rPr>
        <w:t xml:space="preserve"> </w:t>
      </w:r>
      <w:r>
        <w:rPr>
          <w:sz w:val="18"/>
        </w:rPr>
        <w:t>p.</w:t>
      </w:r>
      <w:r>
        <w:rPr>
          <w:spacing w:val="-5"/>
          <w:sz w:val="18"/>
        </w:rPr>
        <w:t xml:space="preserve"> </w:t>
      </w:r>
      <w:r>
        <w:rPr>
          <w:spacing w:val="-4"/>
          <w:sz w:val="18"/>
        </w:rPr>
        <w:t>55).</w:t>
      </w:r>
    </w:p>
    <w:p w14:paraId="415D584A" w14:textId="77777777" w:rsidR="00BD462C" w:rsidRDefault="00033D0F">
      <w:pPr>
        <w:spacing w:before="1"/>
        <w:ind w:left="135"/>
        <w:rPr>
          <w:sz w:val="18"/>
        </w:rPr>
      </w:pPr>
      <w:bookmarkStart w:id="1758" w:name="_bookmark1514"/>
      <w:bookmarkEnd w:id="1758"/>
      <w:r>
        <w:rPr>
          <w:position w:val="5"/>
          <w:sz w:val="12"/>
        </w:rPr>
        <w:t>1309</w:t>
      </w:r>
      <w:r>
        <w:rPr>
          <w:spacing w:val="13"/>
          <w:position w:val="5"/>
          <w:sz w:val="12"/>
        </w:rPr>
        <w:t xml:space="preserve"> </w:t>
      </w:r>
      <w:r>
        <w:rPr>
          <w:sz w:val="18"/>
        </w:rPr>
        <w:t>Australia's</w:t>
      </w:r>
      <w:r>
        <w:rPr>
          <w:spacing w:val="-6"/>
          <w:sz w:val="18"/>
        </w:rPr>
        <w:t xml:space="preserve"> </w:t>
      </w:r>
      <w:r>
        <w:rPr>
          <w:sz w:val="18"/>
        </w:rPr>
        <w:t>first</w:t>
      </w:r>
      <w:r>
        <w:rPr>
          <w:spacing w:val="-4"/>
          <w:sz w:val="18"/>
        </w:rPr>
        <w:t xml:space="preserve"> </w:t>
      </w:r>
      <w:r>
        <w:rPr>
          <w:sz w:val="18"/>
        </w:rPr>
        <w:t>written</w:t>
      </w:r>
      <w:r>
        <w:rPr>
          <w:spacing w:val="-2"/>
          <w:sz w:val="18"/>
        </w:rPr>
        <w:t xml:space="preserve"> </w:t>
      </w:r>
      <w:r>
        <w:rPr>
          <w:sz w:val="18"/>
        </w:rPr>
        <w:t>submission,</w:t>
      </w:r>
      <w:r>
        <w:rPr>
          <w:spacing w:val="1"/>
          <w:sz w:val="18"/>
        </w:rPr>
        <w:t xml:space="preserve"> </w:t>
      </w:r>
      <w:r>
        <w:rPr>
          <w:sz w:val="18"/>
        </w:rPr>
        <w:t>para</w:t>
      </w:r>
      <w:r>
        <w:rPr>
          <w:spacing w:val="-3"/>
          <w:sz w:val="18"/>
        </w:rPr>
        <w:t xml:space="preserve"> </w:t>
      </w:r>
      <w:r>
        <w:rPr>
          <w:sz w:val="18"/>
        </w:rPr>
        <w:t>100</w:t>
      </w:r>
      <w:r>
        <w:rPr>
          <w:spacing w:val="-7"/>
          <w:sz w:val="18"/>
        </w:rPr>
        <w:t xml:space="preserve"> </w:t>
      </w:r>
      <w:r>
        <w:rPr>
          <w:sz w:val="18"/>
        </w:rPr>
        <w:t>(referring</w:t>
      </w:r>
      <w:r>
        <w:rPr>
          <w:spacing w:val="-5"/>
          <w:sz w:val="18"/>
        </w:rPr>
        <w:t xml:space="preserve"> </w:t>
      </w:r>
      <w:r>
        <w:rPr>
          <w:sz w:val="18"/>
        </w:rPr>
        <w:t>to</w:t>
      </w:r>
      <w:r>
        <w:rPr>
          <w:spacing w:val="-7"/>
          <w:sz w:val="18"/>
        </w:rPr>
        <w:t xml:space="preserve"> </w:t>
      </w:r>
      <w:r>
        <w:rPr>
          <w:sz w:val="18"/>
        </w:rPr>
        <w:t>Anti-Dumping</w:t>
      </w:r>
      <w:r>
        <w:rPr>
          <w:spacing w:val="-5"/>
          <w:sz w:val="18"/>
        </w:rPr>
        <w:t xml:space="preserve"> </w:t>
      </w:r>
      <w:r>
        <w:rPr>
          <w:sz w:val="18"/>
        </w:rPr>
        <w:t>Final</w:t>
      </w:r>
      <w:r>
        <w:rPr>
          <w:spacing w:val="-1"/>
          <w:sz w:val="18"/>
        </w:rPr>
        <w:t xml:space="preserve"> </w:t>
      </w:r>
      <w:r>
        <w:rPr>
          <w:sz w:val="18"/>
        </w:rPr>
        <w:t>Determination</w:t>
      </w:r>
      <w:r>
        <w:rPr>
          <w:spacing w:val="-10"/>
          <w:sz w:val="18"/>
        </w:rPr>
        <w:t xml:space="preserve"> </w:t>
      </w:r>
      <w:r>
        <w:rPr>
          <w:sz w:val="18"/>
        </w:rPr>
        <w:t>(Exhibit</w:t>
      </w:r>
      <w:r>
        <w:rPr>
          <w:spacing w:val="-4"/>
          <w:sz w:val="18"/>
        </w:rPr>
        <w:t xml:space="preserve"> </w:t>
      </w:r>
      <w:r>
        <w:rPr>
          <w:sz w:val="18"/>
        </w:rPr>
        <w:t>AUS-2),</w:t>
      </w:r>
      <w:r>
        <w:rPr>
          <w:spacing w:val="-4"/>
          <w:sz w:val="18"/>
        </w:rPr>
        <w:t xml:space="preserve"> </w:t>
      </w:r>
      <w:r>
        <w:rPr>
          <w:sz w:val="18"/>
        </w:rPr>
        <w:t xml:space="preserve">p. </w:t>
      </w:r>
      <w:r>
        <w:rPr>
          <w:spacing w:val="-2"/>
          <w:sz w:val="18"/>
        </w:rPr>
        <w:t>113).</w:t>
      </w:r>
    </w:p>
    <w:p w14:paraId="3510F277" w14:textId="77777777" w:rsidR="00BD462C" w:rsidRDefault="00033D0F">
      <w:pPr>
        <w:spacing w:before="1"/>
        <w:ind w:left="135"/>
        <w:rPr>
          <w:sz w:val="18"/>
        </w:rPr>
      </w:pPr>
      <w:bookmarkStart w:id="1759" w:name="_bookmark1515"/>
      <w:bookmarkEnd w:id="1759"/>
      <w:r>
        <w:rPr>
          <w:position w:val="5"/>
          <w:sz w:val="12"/>
        </w:rPr>
        <w:t>1310</w:t>
      </w:r>
      <w:r>
        <w:rPr>
          <w:spacing w:val="13"/>
          <w:position w:val="5"/>
          <w:sz w:val="12"/>
        </w:rPr>
        <w:t xml:space="preserve"> </w:t>
      </w:r>
      <w:r>
        <w:rPr>
          <w:sz w:val="18"/>
        </w:rPr>
        <w:t>China's</w:t>
      </w:r>
      <w:r>
        <w:rPr>
          <w:spacing w:val="-6"/>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paras.</w:t>
      </w:r>
      <w:r>
        <w:rPr>
          <w:spacing w:val="-5"/>
          <w:sz w:val="18"/>
        </w:rPr>
        <w:t xml:space="preserve"> </w:t>
      </w:r>
      <w:r>
        <w:rPr>
          <w:sz w:val="18"/>
        </w:rPr>
        <w:t>944-</w:t>
      </w:r>
      <w:r>
        <w:rPr>
          <w:spacing w:val="-2"/>
          <w:sz w:val="18"/>
        </w:rPr>
        <w:t>1078.</w:t>
      </w:r>
    </w:p>
    <w:p w14:paraId="66328211" w14:textId="77777777" w:rsidR="00BD462C" w:rsidRDefault="00BD462C">
      <w:pPr>
        <w:rPr>
          <w:sz w:val="18"/>
        </w:rPr>
        <w:sectPr w:rsidR="00BD462C">
          <w:pgSz w:w="11910" w:h="16840"/>
          <w:pgMar w:top="860" w:right="500" w:bottom="780" w:left="1280" w:header="566" w:footer="590" w:gutter="0"/>
          <w:cols w:space="720"/>
        </w:sectPr>
      </w:pPr>
    </w:p>
    <w:p w14:paraId="3AB4A0EA"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3E8E0993"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6A121AB3"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53973E1C" w14:textId="77777777" w:rsidR="00BD462C" w:rsidRDefault="00033D0F">
      <w:pPr>
        <w:pStyle w:val="BodyText"/>
        <w:spacing w:before="102" w:line="360" w:lineRule="auto"/>
        <w:ind w:left="135" w:right="912"/>
        <w:jc w:val="both"/>
      </w:pPr>
      <w:r>
        <w:t>be included in annexures to CADA's application,</w:t>
      </w:r>
      <w:hyperlink w:anchor="_bookmark1516" w:history="1">
        <w:r>
          <w:rPr>
            <w:vertAlign w:val="superscript"/>
          </w:rPr>
          <w:t>1311</w:t>
        </w:r>
      </w:hyperlink>
      <w:r>
        <w:t xml:space="preserve"> there is nothing on the investigation record that confirms that this was an accurate representation of the actual data used by MOFCOM.</w:t>
      </w:r>
      <w:r>
        <w:rPr>
          <w:spacing w:val="-5"/>
        </w:rPr>
        <w:t xml:space="preserve"> </w:t>
      </w:r>
      <w:r>
        <w:t>Indeed,</w:t>
      </w:r>
      <w:r>
        <w:rPr>
          <w:spacing w:val="-4"/>
        </w:rPr>
        <w:t xml:space="preserve"> </w:t>
      </w:r>
      <w:r>
        <w:t>MOFCOM</w:t>
      </w:r>
      <w:r>
        <w:rPr>
          <w:spacing w:val="-6"/>
        </w:rPr>
        <w:t xml:space="preserve"> </w:t>
      </w:r>
      <w:r>
        <w:t>rejected</w:t>
      </w:r>
      <w:r>
        <w:rPr>
          <w:spacing w:val="-8"/>
        </w:rPr>
        <w:t xml:space="preserve"> </w:t>
      </w:r>
      <w:r>
        <w:t>data</w:t>
      </w:r>
      <w:r>
        <w:rPr>
          <w:spacing w:val="-2"/>
        </w:rPr>
        <w:t xml:space="preserve"> </w:t>
      </w:r>
      <w:r>
        <w:t>included</w:t>
      </w:r>
      <w:r>
        <w:rPr>
          <w:spacing w:val="-8"/>
        </w:rPr>
        <w:t xml:space="preserve"> </w:t>
      </w:r>
      <w:r>
        <w:t>in</w:t>
      </w:r>
      <w:r>
        <w:rPr>
          <w:spacing w:val="-8"/>
        </w:rPr>
        <w:t xml:space="preserve"> </w:t>
      </w:r>
      <w:r>
        <w:t>CADA's</w:t>
      </w:r>
      <w:r>
        <w:rPr>
          <w:spacing w:val="-5"/>
        </w:rPr>
        <w:t xml:space="preserve"> </w:t>
      </w:r>
      <w:r>
        <w:t>Application</w:t>
      </w:r>
      <w:r>
        <w:rPr>
          <w:spacing w:val="-8"/>
        </w:rPr>
        <w:t xml:space="preserve"> </w:t>
      </w:r>
      <w:r>
        <w:t>on</w:t>
      </w:r>
      <w:r>
        <w:rPr>
          <w:spacing w:val="-3"/>
        </w:rPr>
        <w:t xml:space="preserve"> </w:t>
      </w:r>
      <w:r>
        <w:t>the</w:t>
      </w:r>
      <w:r>
        <w:rPr>
          <w:spacing w:val="-2"/>
        </w:rPr>
        <w:t xml:space="preserve"> </w:t>
      </w:r>
      <w:r>
        <w:t>basis</w:t>
      </w:r>
      <w:r>
        <w:rPr>
          <w:spacing w:val="-5"/>
        </w:rPr>
        <w:t xml:space="preserve"> </w:t>
      </w:r>
      <w:r>
        <w:t>that</w:t>
      </w:r>
      <w:r>
        <w:rPr>
          <w:spacing w:val="-6"/>
        </w:rPr>
        <w:t xml:space="preserve"> </w:t>
      </w:r>
      <w:r>
        <w:t>it was not accurate for the purposes of the investigation.</w:t>
      </w:r>
      <w:hyperlink w:anchor="_bookmark1517" w:history="1">
        <w:r>
          <w:rPr>
            <w:vertAlign w:val="superscript"/>
          </w:rPr>
          <w:t>1312</w:t>
        </w:r>
      </w:hyperlink>
    </w:p>
    <w:p w14:paraId="6C36A664" w14:textId="77777777" w:rsidR="00BD462C" w:rsidRDefault="00BD462C">
      <w:pPr>
        <w:pStyle w:val="BodyText"/>
        <w:spacing w:before="8"/>
        <w:rPr>
          <w:sz w:val="8"/>
        </w:rPr>
      </w:pPr>
    </w:p>
    <w:p w14:paraId="079A2B97" w14:textId="088475AE" w:rsidR="00BD462C" w:rsidRDefault="00C63D13">
      <w:pPr>
        <w:pStyle w:val="BodyText"/>
        <w:spacing w:before="56" w:line="360" w:lineRule="auto"/>
        <w:ind w:left="135" w:right="915"/>
        <w:jc w:val="both"/>
      </w:pPr>
      <w:r>
        <w:rPr>
          <w:noProof/>
        </w:rPr>
        <w:t>905.</w:t>
      </w:r>
      <w:r w:rsidR="00033D0F">
        <w:rPr>
          <w:rFonts w:ascii="Times New Roman"/>
          <w:spacing w:val="80"/>
          <w:w w:val="150"/>
          <w:position w:val="1"/>
          <w:sz w:val="20"/>
        </w:rPr>
        <w:t xml:space="preserve">  </w:t>
      </w:r>
      <w:r w:rsidR="00033D0F">
        <w:rPr>
          <w:position w:val="1"/>
        </w:rPr>
        <w:t xml:space="preserve">Even if such disclosure was sufficiently timely, it did not include all information that </w:t>
      </w:r>
      <w:r w:rsidR="00033D0F">
        <w:t>was relevant, non-confidential and used by MOFCOM, as required under Article 6.4. For example, the information relating to pre-adjustment CIF price and adjustments clearly meet these</w:t>
      </w:r>
      <w:r w:rsidR="00033D0F">
        <w:rPr>
          <w:spacing w:val="-6"/>
        </w:rPr>
        <w:t xml:space="preserve"> </w:t>
      </w:r>
      <w:r w:rsidR="00033D0F">
        <w:t>criteria</w:t>
      </w:r>
      <w:r w:rsidR="00033D0F">
        <w:rPr>
          <w:spacing w:val="-7"/>
        </w:rPr>
        <w:t xml:space="preserve"> </w:t>
      </w:r>
      <w:r w:rsidR="00033D0F">
        <w:t>and</w:t>
      </w:r>
      <w:r w:rsidR="00033D0F">
        <w:rPr>
          <w:spacing w:val="-8"/>
        </w:rPr>
        <w:t xml:space="preserve"> </w:t>
      </w:r>
      <w:r w:rsidR="00033D0F">
        <w:t>is</w:t>
      </w:r>
      <w:r w:rsidR="00033D0F">
        <w:rPr>
          <w:spacing w:val="-4"/>
        </w:rPr>
        <w:t xml:space="preserve"> </w:t>
      </w:r>
      <w:r w:rsidR="00033D0F">
        <w:t>well</w:t>
      </w:r>
      <w:r w:rsidR="00033D0F">
        <w:rPr>
          <w:spacing w:val="-4"/>
        </w:rPr>
        <w:t xml:space="preserve"> </w:t>
      </w:r>
      <w:r w:rsidR="00033D0F">
        <w:t>within</w:t>
      </w:r>
      <w:r w:rsidR="00033D0F">
        <w:rPr>
          <w:spacing w:val="-8"/>
        </w:rPr>
        <w:t xml:space="preserve"> </w:t>
      </w:r>
      <w:r w:rsidR="00033D0F">
        <w:t>the</w:t>
      </w:r>
      <w:r w:rsidR="00033D0F">
        <w:rPr>
          <w:spacing w:val="-6"/>
        </w:rPr>
        <w:t xml:space="preserve"> </w:t>
      </w:r>
      <w:r w:rsidR="00033D0F">
        <w:t>scope</w:t>
      </w:r>
      <w:r w:rsidR="00033D0F">
        <w:rPr>
          <w:spacing w:val="-6"/>
        </w:rPr>
        <w:t xml:space="preserve"> </w:t>
      </w:r>
      <w:r w:rsidR="00033D0F">
        <w:t>of</w:t>
      </w:r>
      <w:r w:rsidR="00033D0F">
        <w:rPr>
          <w:spacing w:val="-8"/>
        </w:rPr>
        <w:t xml:space="preserve"> </w:t>
      </w:r>
      <w:r w:rsidR="00033D0F">
        <w:t>Article</w:t>
      </w:r>
      <w:r w:rsidR="00033D0F">
        <w:rPr>
          <w:spacing w:val="-6"/>
        </w:rPr>
        <w:t xml:space="preserve"> </w:t>
      </w:r>
      <w:r w:rsidR="00033D0F">
        <w:t>6.4.</w:t>
      </w:r>
      <w:r w:rsidR="00033D0F">
        <w:rPr>
          <w:spacing w:val="-5"/>
        </w:rPr>
        <w:t xml:space="preserve"> </w:t>
      </w:r>
      <w:r w:rsidR="00033D0F">
        <w:t>AGW</w:t>
      </w:r>
      <w:r w:rsidR="00033D0F">
        <w:rPr>
          <w:spacing w:val="-4"/>
        </w:rPr>
        <w:t xml:space="preserve"> </w:t>
      </w:r>
      <w:r w:rsidR="00033D0F">
        <w:t>made</w:t>
      </w:r>
      <w:r w:rsidR="00033D0F">
        <w:rPr>
          <w:spacing w:val="-6"/>
        </w:rPr>
        <w:t xml:space="preserve"> </w:t>
      </w:r>
      <w:r w:rsidR="00033D0F">
        <w:t>comments</w:t>
      </w:r>
      <w:r w:rsidR="00033D0F">
        <w:rPr>
          <w:spacing w:val="-5"/>
        </w:rPr>
        <w:t xml:space="preserve"> </w:t>
      </w:r>
      <w:r w:rsidR="00033D0F">
        <w:t>that</w:t>
      </w:r>
      <w:r w:rsidR="00033D0F">
        <w:rPr>
          <w:spacing w:val="-6"/>
        </w:rPr>
        <w:t xml:space="preserve"> </w:t>
      </w:r>
      <w:r w:rsidR="00033D0F">
        <w:t>it</w:t>
      </w:r>
      <w:r w:rsidR="00033D0F">
        <w:rPr>
          <w:spacing w:val="-6"/>
        </w:rPr>
        <w:t xml:space="preserve"> </w:t>
      </w:r>
      <w:r w:rsidR="00033D0F">
        <w:t>"cannot understand the analysis", the analysis was "misconceived", "irrelevant", "fundamentally flawed", and "[i]t does not and cannot demonstrate whether one has had an effect on the other</w:t>
      </w:r>
      <w:r w:rsidR="00033D0F">
        <w:rPr>
          <w:spacing w:val="-4"/>
        </w:rPr>
        <w:t xml:space="preserve"> </w:t>
      </w:r>
      <w:r w:rsidR="00033D0F">
        <w:t>and, if</w:t>
      </w:r>
      <w:r w:rsidR="00033D0F">
        <w:rPr>
          <w:spacing w:val="-3"/>
        </w:rPr>
        <w:t xml:space="preserve"> </w:t>
      </w:r>
      <w:r w:rsidR="00033D0F">
        <w:t>so, where, when, how, why and to what</w:t>
      </w:r>
      <w:r w:rsidR="00033D0F">
        <w:rPr>
          <w:spacing w:val="-1"/>
        </w:rPr>
        <w:t xml:space="preserve"> </w:t>
      </w:r>
      <w:r w:rsidR="00033D0F">
        <w:t>extent. It</w:t>
      </w:r>
      <w:r w:rsidR="00033D0F">
        <w:rPr>
          <w:spacing w:val="-1"/>
        </w:rPr>
        <w:t xml:space="preserve"> </w:t>
      </w:r>
      <w:r w:rsidR="00033D0F">
        <w:t>is simply a</w:t>
      </w:r>
      <w:r w:rsidR="00033D0F">
        <w:rPr>
          <w:spacing w:val="-2"/>
        </w:rPr>
        <w:t xml:space="preserve"> </w:t>
      </w:r>
      <w:r w:rsidR="00033D0F">
        <w:t>comparison of two prices, nothing more and hence of no utility."</w:t>
      </w:r>
      <w:hyperlink w:anchor="_bookmark1518" w:history="1">
        <w:r w:rsidR="00033D0F">
          <w:rPr>
            <w:vertAlign w:val="superscript"/>
          </w:rPr>
          <w:t>1313</w:t>
        </w:r>
      </w:hyperlink>
    </w:p>
    <w:p w14:paraId="4086EAA4" w14:textId="77777777" w:rsidR="00BD462C" w:rsidRDefault="00BD462C">
      <w:pPr>
        <w:pStyle w:val="BodyText"/>
        <w:spacing w:before="8"/>
        <w:rPr>
          <w:sz w:val="8"/>
        </w:rPr>
      </w:pPr>
    </w:p>
    <w:p w14:paraId="12E4648E" w14:textId="3C7AE68D" w:rsidR="00BD462C" w:rsidRDefault="00C63D13">
      <w:pPr>
        <w:pStyle w:val="BodyText"/>
        <w:spacing w:before="56" w:line="360" w:lineRule="auto"/>
        <w:ind w:left="135" w:right="909"/>
        <w:jc w:val="both"/>
      </w:pPr>
      <w:r>
        <w:rPr>
          <w:noProof/>
        </w:rPr>
        <w:t>906.</w:t>
      </w:r>
      <w:r w:rsidR="00033D0F">
        <w:rPr>
          <w:rFonts w:ascii="Times New Roman"/>
          <w:spacing w:val="80"/>
          <w:w w:val="150"/>
          <w:position w:val="1"/>
          <w:sz w:val="20"/>
        </w:rPr>
        <w:t xml:space="preserve">  </w:t>
      </w:r>
      <w:r w:rsidR="00033D0F">
        <w:rPr>
          <w:position w:val="1"/>
        </w:rPr>
        <w:t xml:space="preserve">These comments on the inadequate nature of this information and how it inhibited </w:t>
      </w:r>
      <w:r w:rsidR="00033D0F">
        <w:t>the</w:t>
      </w:r>
      <w:r w:rsidR="00033D0F">
        <w:rPr>
          <w:spacing w:val="-9"/>
        </w:rPr>
        <w:t xml:space="preserve"> </w:t>
      </w:r>
      <w:r w:rsidR="00033D0F">
        <w:t>interested</w:t>
      </w:r>
      <w:r w:rsidR="00033D0F">
        <w:rPr>
          <w:spacing w:val="-11"/>
        </w:rPr>
        <w:t xml:space="preserve"> </w:t>
      </w:r>
      <w:r w:rsidR="00033D0F">
        <w:t>parties'</w:t>
      </w:r>
      <w:r w:rsidR="00033D0F">
        <w:rPr>
          <w:spacing w:val="-10"/>
        </w:rPr>
        <w:t xml:space="preserve"> </w:t>
      </w:r>
      <w:r w:rsidR="00033D0F">
        <w:t>ability</w:t>
      </w:r>
      <w:r w:rsidR="00033D0F">
        <w:rPr>
          <w:spacing w:val="-8"/>
        </w:rPr>
        <w:t xml:space="preserve"> </w:t>
      </w:r>
      <w:r w:rsidR="00033D0F">
        <w:t>to</w:t>
      </w:r>
      <w:r w:rsidR="00033D0F">
        <w:rPr>
          <w:spacing w:val="-12"/>
        </w:rPr>
        <w:t xml:space="preserve"> </w:t>
      </w:r>
      <w:r w:rsidR="00033D0F">
        <w:t>prepare</w:t>
      </w:r>
      <w:r w:rsidR="00033D0F">
        <w:rPr>
          <w:spacing w:val="-9"/>
        </w:rPr>
        <w:t xml:space="preserve"> </w:t>
      </w:r>
      <w:r w:rsidR="00033D0F">
        <w:t>meaningful</w:t>
      </w:r>
      <w:r w:rsidR="00033D0F">
        <w:rPr>
          <w:spacing w:val="-7"/>
        </w:rPr>
        <w:t xml:space="preserve"> </w:t>
      </w:r>
      <w:r w:rsidR="00033D0F">
        <w:t>presentations</w:t>
      </w:r>
      <w:r w:rsidR="00033D0F">
        <w:rPr>
          <w:spacing w:val="-8"/>
        </w:rPr>
        <w:t xml:space="preserve"> </w:t>
      </w:r>
      <w:r w:rsidR="00033D0F">
        <w:t>does</w:t>
      </w:r>
      <w:r w:rsidR="00033D0F">
        <w:rPr>
          <w:spacing w:val="-8"/>
        </w:rPr>
        <w:t xml:space="preserve"> </w:t>
      </w:r>
      <w:r w:rsidR="00033D0F">
        <w:t>not</w:t>
      </w:r>
      <w:r w:rsidR="00033D0F">
        <w:rPr>
          <w:spacing w:val="-9"/>
        </w:rPr>
        <w:t xml:space="preserve"> </w:t>
      </w:r>
      <w:r w:rsidR="00033D0F">
        <w:t>demonstrate</w:t>
      </w:r>
      <w:r w:rsidR="00033D0F">
        <w:rPr>
          <w:spacing w:val="-9"/>
        </w:rPr>
        <w:t xml:space="preserve"> </w:t>
      </w:r>
      <w:r w:rsidR="00033D0F">
        <w:t>that interested parties were able to prepare presentations, as China claims.</w:t>
      </w:r>
      <w:hyperlink w:anchor="_bookmark1519" w:history="1">
        <w:r w:rsidR="00033D0F">
          <w:rPr>
            <w:vertAlign w:val="superscript"/>
          </w:rPr>
          <w:t>1314</w:t>
        </w:r>
      </w:hyperlink>
      <w:r w:rsidR="00033D0F">
        <w:t xml:space="preserve"> Instead, these comments confirm that MOFCOM failed to provide interested parties the opportunity to see the information relevant to their case that was used by the investigating authority.</w:t>
      </w:r>
    </w:p>
    <w:p w14:paraId="5EF2604B" w14:textId="77777777" w:rsidR="00BD462C" w:rsidRDefault="00BD462C">
      <w:pPr>
        <w:pStyle w:val="BodyText"/>
        <w:spacing w:before="6"/>
        <w:rPr>
          <w:sz w:val="8"/>
        </w:rPr>
      </w:pPr>
    </w:p>
    <w:p w14:paraId="13650CBE" w14:textId="3B7B8B98" w:rsidR="00BD462C" w:rsidRDefault="00C63D13">
      <w:pPr>
        <w:pStyle w:val="BodyText"/>
        <w:spacing w:before="56" w:line="360" w:lineRule="auto"/>
        <w:ind w:left="135" w:right="914"/>
        <w:jc w:val="both"/>
      </w:pPr>
      <w:r>
        <w:rPr>
          <w:noProof/>
        </w:rPr>
        <w:t>907.</w:t>
      </w:r>
      <w:r w:rsidR="00033D0F">
        <w:rPr>
          <w:rFonts w:ascii="Times New Roman"/>
          <w:spacing w:val="40"/>
          <w:position w:val="1"/>
          <w:sz w:val="20"/>
        </w:rPr>
        <w:t xml:space="preserve">  </w:t>
      </w:r>
      <w:r w:rsidR="00033D0F">
        <w:rPr>
          <w:position w:val="1"/>
        </w:rPr>
        <w:t xml:space="preserve">Third, in response to Australia's arguments concerning information relating to the </w:t>
      </w:r>
      <w:r w:rsidR="00033D0F">
        <w:t>"yearly average import price of non-subject imports", China argues that the specific information</w:t>
      </w:r>
      <w:r w:rsidR="00033D0F">
        <w:rPr>
          <w:spacing w:val="-3"/>
        </w:rPr>
        <w:t xml:space="preserve"> </w:t>
      </w:r>
      <w:r w:rsidR="00033D0F">
        <w:t>Australia</w:t>
      </w:r>
      <w:r w:rsidR="00033D0F">
        <w:rPr>
          <w:spacing w:val="-2"/>
        </w:rPr>
        <w:t xml:space="preserve"> </w:t>
      </w:r>
      <w:r w:rsidR="00033D0F">
        <w:t>refers to</w:t>
      </w:r>
      <w:r w:rsidR="00033D0F">
        <w:rPr>
          <w:spacing w:val="-4"/>
        </w:rPr>
        <w:t xml:space="preserve"> </w:t>
      </w:r>
      <w:r w:rsidR="00033D0F">
        <w:t>in its first</w:t>
      </w:r>
      <w:r w:rsidR="00033D0F">
        <w:rPr>
          <w:spacing w:val="-1"/>
        </w:rPr>
        <w:t xml:space="preserve"> </w:t>
      </w:r>
      <w:r w:rsidR="00033D0F">
        <w:t>written</w:t>
      </w:r>
      <w:r w:rsidR="00033D0F">
        <w:rPr>
          <w:spacing w:val="-3"/>
        </w:rPr>
        <w:t xml:space="preserve"> </w:t>
      </w:r>
      <w:r w:rsidR="00033D0F">
        <w:t>submission</w:t>
      </w:r>
      <w:r w:rsidR="00033D0F">
        <w:rPr>
          <w:spacing w:val="-3"/>
        </w:rPr>
        <w:t xml:space="preserve"> </w:t>
      </w:r>
      <w:r w:rsidR="00033D0F">
        <w:t>should</w:t>
      </w:r>
      <w:r w:rsidR="00033D0F">
        <w:rPr>
          <w:spacing w:val="-3"/>
        </w:rPr>
        <w:t xml:space="preserve"> </w:t>
      </w:r>
      <w:r w:rsidR="00033D0F">
        <w:t>be</w:t>
      </w:r>
      <w:r w:rsidR="00033D0F">
        <w:rPr>
          <w:spacing w:val="-2"/>
        </w:rPr>
        <w:t xml:space="preserve"> </w:t>
      </w:r>
      <w:r w:rsidR="00033D0F">
        <w:t>considered</w:t>
      </w:r>
      <w:r w:rsidR="00033D0F">
        <w:rPr>
          <w:spacing w:val="-3"/>
        </w:rPr>
        <w:t xml:space="preserve"> </w:t>
      </w:r>
      <w:r w:rsidR="00033D0F">
        <w:t>matters of "context".</w:t>
      </w:r>
      <w:hyperlink w:anchor="_bookmark1520" w:history="1">
        <w:r w:rsidR="00033D0F">
          <w:rPr>
            <w:vertAlign w:val="superscript"/>
          </w:rPr>
          <w:t>1315</w:t>
        </w:r>
      </w:hyperlink>
      <w:r w:rsidR="00033D0F">
        <w:rPr>
          <w:spacing w:val="-6"/>
        </w:rPr>
        <w:t xml:space="preserve"> </w:t>
      </w:r>
      <w:r w:rsidR="00033D0F">
        <w:t>As</w:t>
      </w:r>
      <w:r w:rsidR="00033D0F">
        <w:rPr>
          <w:spacing w:val="-6"/>
        </w:rPr>
        <w:t xml:space="preserve"> </w:t>
      </w:r>
      <w:r w:rsidR="00033D0F">
        <w:t>previously</w:t>
      </w:r>
      <w:r w:rsidR="00033D0F">
        <w:rPr>
          <w:spacing w:val="-6"/>
        </w:rPr>
        <w:t xml:space="preserve"> </w:t>
      </w:r>
      <w:r w:rsidR="00033D0F">
        <w:t>discussed,</w:t>
      </w:r>
      <w:r w:rsidR="00033D0F">
        <w:rPr>
          <w:spacing w:val="-5"/>
        </w:rPr>
        <w:t xml:space="preserve"> </w:t>
      </w:r>
      <w:r w:rsidR="00033D0F">
        <w:t>such</w:t>
      </w:r>
      <w:r w:rsidR="00033D0F">
        <w:rPr>
          <w:spacing w:val="-9"/>
        </w:rPr>
        <w:t xml:space="preserve"> </w:t>
      </w:r>
      <w:r w:rsidR="00033D0F">
        <w:t>information</w:t>
      </w:r>
      <w:r w:rsidR="00033D0F">
        <w:rPr>
          <w:spacing w:val="-9"/>
        </w:rPr>
        <w:t xml:space="preserve"> </w:t>
      </w:r>
      <w:r w:rsidR="00033D0F">
        <w:t>is</w:t>
      </w:r>
      <w:r w:rsidR="00033D0F">
        <w:rPr>
          <w:spacing w:val="-6"/>
        </w:rPr>
        <w:t xml:space="preserve"> </w:t>
      </w:r>
      <w:r w:rsidR="00033D0F">
        <w:t>clearly</w:t>
      </w:r>
      <w:r w:rsidR="00033D0F">
        <w:rPr>
          <w:spacing w:val="-5"/>
        </w:rPr>
        <w:t xml:space="preserve"> </w:t>
      </w:r>
      <w:r w:rsidR="00033D0F">
        <w:t>captured</w:t>
      </w:r>
      <w:r w:rsidR="00033D0F">
        <w:rPr>
          <w:spacing w:val="-9"/>
        </w:rPr>
        <w:t xml:space="preserve"> </w:t>
      </w:r>
      <w:r w:rsidR="00033D0F">
        <w:t>under</w:t>
      </w:r>
      <w:r w:rsidR="00033D0F">
        <w:rPr>
          <w:spacing w:val="-10"/>
        </w:rPr>
        <w:t xml:space="preserve"> </w:t>
      </w:r>
      <w:r w:rsidR="00033D0F">
        <w:t>Article</w:t>
      </w:r>
      <w:r w:rsidR="00033D0F">
        <w:rPr>
          <w:spacing w:val="-7"/>
        </w:rPr>
        <w:t xml:space="preserve"> </w:t>
      </w:r>
      <w:r w:rsidR="00033D0F">
        <w:t>6.4</w:t>
      </w:r>
      <w:r w:rsidR="00033D0F">
        <w:rPr>
          <w:spacing w:val="-9"/>
        </w:rPr>
        <w:t xml:space="preserve"> </w:t>
      </w:r>
      <w:r w:rsidR="00033D0F">
        <w:t>if it</w:t>
      </w:r>
      <w:r w:rsidR="00033D0F">
        <w:rPr>
          <w:spacing w:val="40"/>
        </w:rPr>
        <w:t xml:space="preserve"> </w:t>
      </w:r>
      <w:r w:rsidR="00033D0F">
        <w:t>is "information" that was "relevant", "non-confidential" and "used".</w:t>
      </w:r>
      <w:hyperlink w:anchor="_bookmark1521" w:history="1">
        <w:r w:rsidR="00033D0F">
          <w:rPr>
            <w:vertAlign w:val="superscript"/>
          </w:rPr>
          <w:t>1316</w:t>
        </w:r>
      </w:hyperlink>
    </w:p>
    <w:p w14:paraId="26A6934A" w14:textId="77777777" w:rsidR="00BD462C" w:rsidRDefault="00BD462C">
      <w:pPr>
        <w:pStyle w:val="BodyText"/>
        <w:spacing w:before="6"/>
        <w:rPr>
          <w:sz w:val="8"/>
        </w:rPr>
      </w:pPr>
    </w:p>
    <w:p w14:paraId="5F6D558C" w14:textId="5C49B9E4" w:rsidR="00BD462C" w:rsidRDefault="00C63D13">
      <w:pPr>
        <w:pStyle w:val="BodyText"/>
        <w:spacing w:before="56" w:line="360" w:lineRule="auto"/>
        <w:ind w:left="135" w:right="915" w:hanging="5"/>
        <w:jc w:val="both"/>
      </w:pPr>
      <w:r>
        <w:rPr>
          <w:noProof/>
        </w:rPr>
        <w:t>908.</w:t>
      </w:r>
      <w:r w:rsidR="00033D0F">
        <w:rPr>
          <w:rFonts w:ascii="Times New Roman"/>
          <w:spacing w:val="80"/>
          <w:position w:val="1"/>
          <w:sz w:val="20"/>
        </w:rPr>
        <w:t xml:space="preserve"> </w:t>
      </w:r>
      <w:r w:rsidR="00033D0F">
        <w:rPr>
          <w:position w:val="1"/>
        </w:rPr>
        <w:t xml:space="preserve">Each of these categories of information was clearly used by MOFCOM in the </w:t>
      </w:r>
      <w:r w:rsidR="00033D0F">
        <w:t>investigation,</w:t>
      </w:r>
      <w:r w:rsidR="00033D0F">
        <w:rPr>
          <w:spacing w:val="-7"/>
        </w:rPr>
        <w:t xml:space="preserve"> </w:t>
      </w:r>
      <w:r w:rsidR="00033D0F">
        <w:t>and</w:t>
      </w:r>
      <w:r w:rsidR="00033D0F">
        <w:rPr>
          <w:spacing w:val="-14"/>
        </w:rPr>
        <w:t xml:space="preserve"> </w:t>
      </w:r>
      <w:r w:rsidR="00033D0F">
        <w:t>it</w:t>
      </w:r>
      <w:r w:rsidR="00033D0F">
        <w:rPr>
          <w:spacing w:val="-8"/>
        </w:rPr>
        <w:t xml:space="preserve"> </w:t>
      </w:r>
      <w:r w:rsidR="00033D0F">
        <w:t>was</w:t>
      </w:r>
      <w:r w:rsidR="00033D0F">
        <w:rPr>
          <w:spacing w:val="-7"/>
        </w:rPr>
        <w:t xml:space="preserve"> </w:t>
      </w:r>
      <w:r w:rsidR="00033D0F">
        <w:t>extremely</w:t>
      </w:r>
      <w:r w:rsidR="00033D0F">
        <w:rPr>
          <w:spacing w:val="-7"/>
        </w:rPr>
        <w:t xml:space="preserve"> </w:t>
      </w:r>
      <w:r w:rsidR="00033D0F">
        <w:t>relevant</w:t>
      </w:r>
      <w:r w:rsidR="00033D0F">
        <w:rPr>
          <w:spacing w:val="-12"/>
        </w:rPr>
        <w:t xml:space="preserve"> </w:t>
      </w:r>
      <w:r w:rsidR="00033D0F">
        <w:t>to</w:t>
      </w:r>
      <w:r w:rsidR="00033D0F">
        <w:rPr>
          <w:spacing w:val="-10"/>
        </w:rPr>
        <w:t xml:space="preserve"> </w:t>
      </w:r>
      <w:r w:rsidR="00033D0F">
        <w:t>the</w:t>
      </w:r>
      <w:r w:rsidR="00033D0F">
        <w:rPr>
          <w:spacing w:val="-13"/>
        </w:rPr>
        <w:t xml:space="preserve"> </w:t>
      </w:r>
      <w:r w:rsidR="00033D0F">
        <w:t>determination</w:t>
      </w:r>
      <w:r w:rsidR="00033D0F">
        <w:rPr>
          <w:spacing w:val="-10"/>
        </w:rPr>
        <w:t xml:space="preserve"> </w:t>
      </w:r>
      <w:r w:rsidR="00033D0F">
        <w:t>that</w:t>
      </w:r>
      <w:r w:rsidR="00033D0F">
        <w:rPr>
          <w:spacing w:val="-8"/>
        </w:rPr>
        <w:t xml:space="preserve"> </w:t>
      </w:r>
      <w:r w:rsidR="00033D0F">
        <w:t>Australian</w:t>
      </w:r>
      <w:r w:rsidR="00033D0F">
        <w:rPr>
          <w:spacing w:val="-10"/>
        </w:rPr>
        <w:t xml:space="preserve"> </w:t>
      </w:r>
      <w:r w:rsidR="00033D0F">
        <w:t>bottled</w:t>
      </w:r>
      <w:r w:rsidR="00033D0F">
        <w:rPr>
          <w:spacing w:val="-10"/>
        </w:rPr>
        <w:t xml:space="preserve"> </w:t>
      </w:r>
      <w:r w:rsidR="00033D0F">
        <w:t>wine exports</w:t>
      </w:r>
      <w:r w:rsidR="00033D0F">
        <w:rPr>
          <w:spacing w:val="-1"/>
        </w:rPr>
        <w:t xml:space="preserve"> </w:t>
      </w:r>
      <w:r w:rsidR="00033D0F">
        <w:t>to</w:t>
      </w:r>
      <w:r w:rsidR="00033D0F">
        <w:rPr>
          <w:spacing w:val="-5"/>
        </w:rPr>
        <w:t xml:space="preserve"> </w:t>
      </w:r>
      <w:r w:rsidR="00033D0F">
        <w:t>China</w:t>
      </w:r>
      <w:r w:rsidR="00033D0F">
        <w:rPr>
          <w:spacing w:val="-3"/>
        </w:rPr>
        <w:t xml:space="preserve"> </w:t>
      </w:r>
      <w:r w:rsidR="00033D0F">
        <w:t>were causing</w:t>
      </w:r>
      <w:r w:rsidR="00033D0F">
        <w:rPr>
          <w:spacing w:val="-1"/>
        </w:rPr>
        <w:t xml:space="preserve"> </w:t>
      </w:r>
      <w:r w:rsidR="00033D0F">
        <w:t>injury</w:t>
      </w:r>
      <w:r w:rsidR="00033D0F">
        <w:rPr>
          <w:spacing w:val="-1"/>
        </w:rPr>
        <w:t xml:space="preserve"> </w:t>
      </w:r>
      <w:r w:rsidR="00033D0F">
        <w:t>to</w:t>
      </w:r>
      <w:r w:rsidR="00033D0F">
        <w:rPr>
          <w:spacing w:val="-5"/>
        </w:rPr>
        <w:t xml:space="preserve"> </w:t>
      </w:r>
      <w:r w:rsidR="00033D0F">
        <w:t>the domestic</w:t>
      </w:r>
      <w:r w:rsidR="00033D0F">
        <w:rPr>
          <w:spacing w:val="-4"/>
        </w:rPr>
        <w:t xml:space="preserve"> </w:t>
      </w:r>
      <w:r w:rsidR="00033D0F">
        <w:t>industry.</w:t>
      </w:r>
      <w:r w:rsidR="00033D0F">
        <w:rPr>
          <w:spacing w:val="-1"/>
        </w:rPr>
        <w:t xml:space="preserve"> </w:t>
      </w:r>
      <w:r w:rsidR="00033D0F">
        <w:t>Access</w:t>
      </w:r>
      <w:r w:rsidR="00033D0F">
        <w:rPr>
          <w:spacing w:val="-1"/>
        </w:rPr>
        <w:t xml:space="preserve"> </w:t>
      </w:r>
      <w:r w:rsidR="00033D0F">
        <w:t>to</w:t>
      </w:r>
      <w:r w:rsidR="00033D0F">
        <w:rPr>
          <w:spacing w:val="-5"/>
        </w:rPr>
        <w:t xml:space="preserve"> </w:t>
      </w:r>
      <w:r w:rsidR="00033D0F">
        <w:t>the</w:t>
      </w:r>
      <w:r w:rsidR="00033D0F">
        <w:rPr>
          <w:spacing w:val="-2"/>
        </w:rPr>
        <w:t xml:space="preserve"> </w:t>
      </w:r>
      <w:r w:rsidR="00033D0F">
        <w:t>non-confidential versions</w:t>
      </w:r>
      <w:r w:rsidR="00033D0F">
        <w:rPr>
          <w:spacing w:val="-16"/>
        </w:rPr>
        <w:t xml:space="preserve"> </w:t>
      </w:r>
      <w:r w:rsidR="00033D0F">
        <w:t>of</w:t>
      </w:r>
      <w:r w:rsidR="00033D0F">
        <w:rPr>
          <w:spacing w:val="-14"/>
        </w:rPr>
        <w:t xml:space="preserve"> </w:t>
      </w:r>
      <w:r w:rsidR="00033D0F">
        <w:t>this</w:t>
      </w:r>
      <w:r w:rsidR="00033D0F">
        <w:rPr>
          <w:spacing w:val="-14"/>
        </w:rPr>
        <w:t xml:space="preserve"> </w:t>
      </w:r>
      <w:r w:rsidR="00033D0F">
        <w:t>information</w:t>
      </w:r>
      <w:r w:rsidR="00033D0F">
        <w:rPr>
          <w:spacing w:val="-13"/>
        </w:rPr>
        <w:t xml:space="preserve"> </w:t>
      </w:r>
      <w:r w:rsidR="00033D0F">
        <w:t>would</w:t>
      </w:r>
      <w:r w:rsidR="00033D0F">
        <w:rPr>
          <w:spacing w:val="-14"/>
        </w:rPr>
        <w:t xml:space="preserve"> </w:t>
      </w:r>
      <w:r w:rsidR="00033D0F">
        <w:t>have</w:t>
      </w:r>
      <w:r w:rsidR="00033D0F">
        <w:rPr>
          <w:spacing w:val="-13"/>
        </w:rPr>
        <w:t xml:space="preserve"> </w:t>
      </w:r>
      <w:r w:rsidR="00033D0F">
        <w:t>enabled</w:t>
      </w:r>
      <w:r w:rsidR="00033D0F">
        <w:rPr>
          <w:spacing w:val="-14"/>
        </w:rPr>
        <w:t xml:space="preserve"> </w:t>
      </w:r>
      <w:r w:rsidR="00033D0F">
        <w:t>the</w:t>
      </w:r>
      <w:r w:rsidR="00033D0F">
        <w:rPr>
          <w:spacing w:val="-13"/>
        </w:rPr>
        <w:t xml:space="preserve"> </w:t>
      </w:r>
      <w:r w:rsidR="00033D0F">
        <w:t>interested</w:t>
      </w:r>
      <w:r w:rsidR="00033D0F">
        <w:rPr>
          <w:spacing w:val="-14"/>
        </w:rPr>
        <w:t xml:space="preserve"> </w:t>
      </w:r>
      <w:r w:rsidR="00033D0F">
        <w:t>parties</w:t>
      </w:r>
      <w:r w:rsidR="00033D0F">
        <w:rPr>
          <w:spacing w:val="-11"/>
        </w:rPr>
        <w:t xml:space="preserve"> </w:t>
      </w:r>
      <w:r w:rsidR="00033D0F">
        <w:t>to</w:t>
      </w:r>
      <w:r w:rsidR="00033D0F">
        <w:rPr>
          <w:spacing w:val="-14"/>
        </w:rPr>
        <w:t xml:space="preserve"> </w:t>
      </w:r>
      <w:r w:rsidR="00033D0F">
        <w:t>prepare</w:t>
      </w:r>
      <w:r w:rsidR="00033D0F">
        <w:rPr>
          <w:spacing w:val="-12"/>
        </w:rPr>
        <w:t xml:space="preserve"> </w:t>
      </w:r>
      <w:r w:rsidR="00033D0F">
        <w:t>submissions</w:t>
      </w:r>
    </w:p>
    <w:p w14:paraId="0077C9A2" w14:textId="6BB7DE6E" w:rsidR="00BD462C" w:rsidRDefault="00D70C7D">
      <w:pPr>
        <w:pStyle w:val="BodyText"/>
        <w:spacing w:before="9"/>
        <w:rPr>
          <w:sz w:val="14"/>
        </w:rPr>
      </w:pPr>
      <w:r>
        <w:rPr>
          <w:noProof/>
        </w:rPr>
        <mc:AlternateContent>
          <mc:Choice Requires="wps">
            <w:drawing>
              <wp:anchor distT="0" distB="0" distL="0" distR="0" simplePos="0" relativeHeight="487870464" behindDoc="1" locked="0" layoutInCell="1" allowOverlap="1" wp14:anchorId="79FC494F" wp14:editId="3C2A390B">
                <wp:simplePos x="0" y="0"/>
                <wp:positionH relativeFrom="page">
                  <wp:posOffset>899160</wp:posOffset>
                </wp:positionH>
                <wp:positionV relativeFrom="paragraph">
                  <wp:posOffset>129540</wp:posOffset>
                </wp:positionV>
                <wp:extent cx="1828800" cy="8890"/>
                <wp:effectExtent l="0" t="0" r="0" b="0"/>
                <wp:wrapTopAndBottom/>
                <wp:docPr id="234" name="docshape6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38072D" id="docshape608" o:spid="_x0000_s1026" alt="&quot;&quot;" style="position:absolute;margin-left:70.8pt;margin-top:10.2pt;width:2in;height:.7pt;z-index:-1544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" fillcolor="black" stroked="f">
                <w10:wrap type="topAndBottom" anchorx="page"/>
              </v:rect>
            </w:pict>
          </mc:Fallback>
        </mc:AlternateContent>
      </w:r>
    </w:p>
    <w:p w14:paraId="0E7F034D" w14:textId="77777777" w:rsidR="00BD462C" w:rsidRDefault="00033D0F">
      <w:pPr>
        <w:spacing w:before="112" w:line="218" w:lineRule="exact"/>
        <w:ind w:left="135"/>
        <w:rPr>
          <w:sz w:val="18"/>
        </w:rPr>
      </w:pPr>
      <w:bookmarkStart w:id="1760" w:name="_bookmark1516"/>
      <w:bookmarkEnd w:id="1760"/>
      <w:r>
        <w:rPr>
          <w:position w:val="5"/>
          <w:sz w:val="12"/>
        </w:rPr>
        <w:t>1311</w:t>
      </w:r>
      <w:r>
        <w:rPr>
          <w:spacing w:val="10"/>
          <w:position w:val="5"/>
          <w:sz w:val="12"/>
        </w:rPr>
        <w:t xml:space="preserve"> </w:t>
      </w:r>
      <w:r>
        <w:rPr>
          <w:sz w:val="18"/>
        </w:rPr>
        <w:t>China's</w:t>
      </w:r>
      <w:r>
        <w:rPr>
          <w:spacing w:val="-7"/>
          <w:sz w:val="18"/>
        </w:rPr>
        <w:t xml:space="preserve"> </w:t>
      </w:r>
      <w:r>
        <w:rPr>
          <w:sz w:val="18"/>
        </w:rPr>
        <w:t>first</w:t>
      </w:r>
      <w:r>
        <w:rPr>
          <w:spacing w:val="-6"/>
          <w:sz w:val="18"/>
        </w:rPr>
        <w:t xml:space="preserve"> </w:t>
      </w:r>
      <w:r>
        <w:rPr>
          <w:sz w:val="18"/>
        </w:rPr>
        <w:t>written</w:t>
      </w:r>
      <w:r>
        <w:rPr>
          <w:spacing w:val="-8"/>
          <w:sz w:val="18"/>
        </w:rPr>
        <w:t xml:space="preserve"> </w:t>
      </w:r>
      <w:r>
        <w:rPr>
          <w:sz w:val="18"/>
        </w:rPr>
        <w:t>submission,</w:t>
      </w:r>
      <w:r>
        <w:rPr>
          <w:spacing w:val="-2"/>
          <w:sz w:val="18"/>
        </w:rPr>
        <w:t xml:space="preserve"> </w:t>
      </w:r>
      <w:r>
        <w:rPr>
          <w:sz w:val="18"/>
        </w:rPr>
        <w:t>paras.</w:t>
      </w:r>
      <w:r>
        <w:rPr>
          <w:spacing w:val="-6"/>
          <w:sz w:val="18"/>
        </w:rPr>
        <w:t xml:space="preserve"> </w:t>
      </w:r>
      <w:r>
        <w:rPr>
          <w:sz w:val="18"/>
        </w:rPr>
        <w:t>1025-1026,</w:t>
      </w:r>
      <w:r>
        <w:rPr>
          <w:spacing w:val="-1"/>
          <w:sz w:val="18"/>
        </w:rPr>
        <w:t xml:space="preserve"> </w:t>
      </w:r>
      <w:r>
        <w:rPr>
          <w:sz w:val="18"/>
        </w:rPr>
        <w:t>1048-1051,</w:t>
      </w:r>
      <w:r>
        <w:rPr>
          <w:spacing w:val="-2"/>
          <w:sz w:val="18"/>
        </w:rPr>
        <w:t xml:space="preserve"> </w:t>
      </w:r>
      <w:r>
        <w:rPr>
          <w:sz w:val="18"/>
        </w:rPr>
        <w:t>and</w:t>
      </w:r>
      <w:r>
        <w:rPr>
          <w:spacing w:val="-4"/>
          <w:sz w:val="18"/>
        </w:rPr>
        <w:t xml:space="preserve"> </w:t>
      </w:r>
      <w:r>
        <w:rPr>
          <w:spacing w:val="-2"/>
          <w:sz w:val="18"/>
        </w:rPr>
        <w:t>1055.</w:t>
      </w:r>
    </w:p>
    <w:p w14:paraId="39AE6456" w14:textId="77777777" w:rsidR="00BD462C" w:rsidRDefault="00033D0F">
      <w:pPr>
        <w:spacing w:line="218" w:lineRule="exact"/>
        <w:ind w:left="135"/>
        <w:rPr>
          <w:sz w:val="18"/>
        </w:rPr>
      </w:pPr>
      <w:bookmarkStart w:id="1761" w:name="_bookmark1517"/>
      <w:bookmarkEnd w:id="1761"/>
      <w:r>
        <w:rPr>
          <w:position w:val="5"/>
          <w:sz w:val="12"/>
        </w:rPr>
        <w:t>1312</w:t>
      </w:r>
      <w:r>
        <w:rPr>
          <w:spacing w:val="12"/>
          <w:position w:val="5"/>
          <w:sz w:val="12"/>
        </w:rPr>
        <w:t xml:space="preserve"> </w:t>
      </w:r>
      <w:r>
        <w:rPr>
          <w:sz w:val="18"/>
        </w:rPr>
        <w:t>Anti-Dumping</w:t>
      </w:r>
      <w:r>
        <w:rPr>
          <w:spacing w:val="-7"/>
          <w:sz w:val="18"/>
        </w:rPr>
        <w:t xml:space="preserve"> </w:t>
      </w:r>
      <w:r>
        <w:rPr>
          <w:sz w:val="18"/>
        </w:rPr>
        <w:t>Final</w:t>
      </w:r>
      <w:r>
        <w:rPr>
          <w:spacing w:val="-2"/>
          <w:sz w:val="18"/>
        </w:rPr>
        <w:t xml:space="preserve"> </w:t>
      </w:r>
      <w:r>
        <w:rPr>
          <w:sz w:val="18"/>
        </w:rPr>
        <w:t>Determination,</w:t>
      </w:r>
      <w:r>
        <w:rPr>
          <w:spacing w:val="-4"/>
          <w:sz w:val="18"/>
        </w:rPr>
        <w:t xml:space="preserve"> </w:t>
      </w:r>
      <w:r>
        <w:rPr>
          <w:sz w:val="18"/>
        </w:rPr>
        <w:t>(Exhibit</w:t>
      </w:r>
      <w:r>
        <w:rPr>
          <w:spacing w:val="-6"/>
          <w:sz w:val="18"/>
        </w:rPr>
        <w:t xml:space="preserve"> </w:t>
      </w:r>
      <w:r>
        <w:rPr>
          <w:sz w:val="18"/>
        </w:rPr>
        <w:t>AUS-2), pp.</w:t>
      </w:r>
      <w:r>
        <w:rPr>
          <w:spacing w:val="-5"/>
          <w:sz w:val="18"/>
        </w:rPr>
        <w:t xml:space="preserve"> </w:t>
      </w:r>
      <w:r>
        <w:rPr>
          <w:sz w:val="18"/>
        </w:rPr>
        <w:t>107-</w:t>
      </w:r>
      <w:r>
        <w:rPr>
          <w:spacing w:val="-4"/>
          <w:sz w:val="18"/>
        </w:rPr>
        <w:t>109.</w:t>
      </w:r>
    </w:p>
    <w:p w14:paraId="724C0188" w14:textId="77777777" w:rsidR="00BD462C" w:rsidRDefault="00033D0F">
      <w:pPr>
        <w:spacing w:before="1"/>
        <w:ind w:left="135"/>
        <w:rPr>
          <w:sz w:val="18"/>
        </w:rPr>
      </w:pPr>
      <w:bookmarkStart w:id="1762" w:name="_bookmark1518"/>
      <w:bookmarkEnd w:id="1762"/>
      <w:r>
        <w:rPr>
          <w:position w:val="5"/>
          <w:sz w:val="12"/>
        </w:rPr>
        <w:t>1313</w:t>
      </w:r>
      <w:r>
        <w:rPr>
          <w:spacing w:val="12"/>
          <w:position w:val="5"/>
          <w:sz w:val="12"/>
        </w:rPr>
        <w:t xml:space="preserve"> </w:t>
      </w:r>
      <w:r>
        <w:rPr>
          <w:sz w:val="18"/>
        </w:rPr>
        <w:t>AGW</w:t>
      </w:r>
      <w:r>
        <w:rPr>
          <w:spacing w:val="-1"/>
          <w:sz w:val="18"/>
        </w:rPr>
        <w:t xml:space="preserve"> </w:t>
      </w:r>
      <w:r>
        <w:rPr>
          <w:sz w:val="18"/>
        </w:rPr>
        <w:t>Comments</w:t>
      </w:r>
      <w:r>
        <w:rPr>
          <w:spacing w:val="-5"/>
          <w:sz w:val="18"/>
        </w:rPr>
        <w:t xml:space="preserve"> </w:t>
      </w:r>
      <w:r>
        <w:rPr>
          <w:sz w:val="18"/>
        </w:rPr>
        <w:t>on</w:t>
      </w:r>
      <w:r>
        <w:rPr>
          <w:spacing w:val="-7"/>
          <w:sz w:val="18"/>
        </w:rPr>
        <w:t xml:space="preserve"> </w:t>
      </w:r>
      <w:r>
        <w:rPr>
          <w:sz w:val="18"/>
        </w:rPr>
        <w:t>Final</w:t>
      </w:r>
      <w:r>
        <w:rPr>
          <w:spacing w:val="-1"/>
          <w:sz w:val="18"/>
        </w:rPr>
        <w:t xml:space="preserve"> </w:t>
      </w:r>
      <w:r>
        <w:rPr>
          <w:sz w:val="18"/>
        </w:rPr>
        <w:t>Disclosure,</w:t>
      </w:r>
      <w:r>
        <w:rPr>
          <w:spacing w:val="-4"/>
          <w:sz w:val="18"/>
        </w:rPr>
        <w:t xml:space="preserve"> </w:t>
      </w:r>
      <w:r>
        <w:rPr>
          <w:sz w:val="18"/>
        </w:rPr>
        <w:t>(Exhibit</w:t>
      </w:r>
      <w:r>
        <w:rPr>
          <w:spacing w:val="-1"/>
          <w:sz w:val="18"/>
        </w:rPr>
        <w:t xml:space="preserve"> </w:t>
      </w:r>
      <w:r>
        <w:rPr>
          <w:sz w:val="18"/>
        </w:rPr>
        <w:t>AUS-97),</w:t>
      </w:r>
      <w:r>
        <w:rPr>
          <w:spacing w:val="-3"/>
          <w:sz w:val="18"/>
        </w:rPr>
        <w:t xml:space="preserve"> </w:t>
      </w:r>
      <w:r>
        <w:rPr>
          <w:sz w:val="18"/>
        </w:rPr>
        <w:t>p.</w:t>
      </w:r>
      <w:r>
        <w:rPr>
          <w:spacing w:val="-5"/>
          <w:sz w:val="18"/>
        </w:rPr>
        <w:t xml:space="preserve"> 6.</w:t>
      </w:r>
    </w:p>
    <w:p w14:paraId="68E3AF19" w14:textId="77777777" w:rsidR="00BD462C" w:rsidRDefault="00033D0F">
      <w:pPr>
        <w:spacing w:before="1"/>
        <w:ind w:left="135" w:right="6493"/>
        <w:jc w:val="both"/>
        <w:rPr>
          <w:sz w:val="18"/>
        </w:rPr>
      </w:pPr>
      <w:bookmarkStart w:id="1763" w:name="_bookmark1519"/>
      <w:bookmarkEnd w:id="1763"/>
      <w:r>
        <w:rPr>
          <w:position w:val="5"/>
          <w:sz w:val="12"/>
        </w:rPr>
        <w:t>1314</w:t>
      </w:r>
      <w:r>
        <w:rPr>
          <w:spacing w:val="11"/>
          <w:position w:val="5"/>
          <w:sz w:val="12"/>
        </w:rPr>
        <w:t xml:space="preserve"> </w:t>
      </w:r>
      <w:r>
        <w:rPr>
          <w:sz w:val="18"/>
        </w:rPr>
        <w:t>China's</w:t>
      </w:r>
      <w:r>
        <w:rPr>
          <w:spacing w:val="-7"/>
          <w:sz w:val="18"/>
        </w:rPr>
        <w:t xml:space="preserve"> </w:t>
      </w:r>
      <w:r>
        <w:rPr>
          <w:sz w:val="18"/>
        </w:rPr>
        <w:t>first</w:t>
      </w:r>
      <w:r>
        <w:rPr>
          <w:spacing w:val="-6"/>
          <w:sz w:val="18"/>
        </w:rPr>
        <w:t xml:space="preserve"> </w:t>
      </w:r>
      <w:r>
        <w:rPr>
          <w:sz w:val="18"/>
        </w:rPr>
        <w:t>written</w:t>
      </w:r>
      <w:r>
        <w:rPr>
          <w:spacing w:val="-8"/>
          <w:sz w:val="18"/>
        </w:rPr>
        <w:t xml:space="preserve"> </w:t>
      </w:r>
      <w:r>
        <w:rPr>
          <w:sz w:val="18"/>
        </w:rPr>
        <w:t>submission,</w:t>
      </w:r>
      <w:r>
        <w:rPr>
          <w:spacing w:val="-1"/>
          <w:sz w:val="18"/>
        </w:rPr>
        <w:t xml:space="preserve"> </w:t>
      </w:r>
      <w:r>
        <w:rPr>
          <w:sz w:val="18"/>
        </w:rPr>
        <w:t>para.</w:t>
      </w:r>
      <w:r>
        <w:rPr>
          <w:spacing w:val="-2"/>
          <w:sz w:val="18"/>
        </w:rPr>
        <w:t xml:space="preserve"> </w:t>
      </w:r>
      <w:r>
        <w:rPr>
          <w:sz w:val="18"/>
        </w:rPr>
        <w:t xml:space="preserve">2479. </w:t>
      </w:r>
      <w:bookmarkStart w:id="1764" w:name="_bookmark1520"/>
      <w:bookmarkEnd w:id="1764"/>
      <w:r>
        <w:rPr>
          <w:position w:val="5"/>
          <w:sz w:val="12"/>
        </w:rPr>
        <w:t>1315</w:t>
      </w:r>
      <w:r>
        <w:rPr>
          <w:spacing w:val="11"/>
          <w:position w:val="5"/>
          <w:sz w:val="12"/>
        </w:rPr>
        <w:t xml:space="preserve"> </w:t>
      </w:r>
      <w:r>
        <w:rPr>
          <w:sz w:val="18"/>
        </w:rPr>
        <w:t>China's</w:t>
      </w:r>
      <w:r>
        <w:rPr>
          <w:spacing w:val="-7"/>
          <w:sz w:val="18"/>
        </w:rPr>
        <w:t xml:space="preserve"> </w:t>
      </w:r>
      <w:r>
        <w:rPr>
          <w:sz w:val="18"/>
        </w:rPr>
        <w:t>first</w:t>
      </w:r>
      <w:r>
        <w:rPr>
          <w:spacing w:val="-6"/>
          <w:sz w:val="18"/>
        </w:rPr>
        <w:t xml:space="preserve"> </w:t>
      </w:r>
      <w:r>
        <w:rPr>
          <w:sz w:val="18"/>
        </w:rPr>
        <w:t>written</w:t>
      </w:r>
      <w:r>
        <w:rPr>
          <w:spacing w:val="-8"/>
          <w:sz w:val="18"/>
        </w:rPr>
        <w:t xml:space="preserve"> </w:t>
      </w:r>
      <w:r>
        <w:rPr>
          <w:sz w:val="18"/>
        </w:rPr>
        <w:t>submission,</w:t>
      </w:r>
      <w:r>
        <w:rPr>
          <w:spacing w:val="-1"/>
          <w:sz w:val="18"/>
        </w:rPr>
        <w:t xml:space="preserve"> </w:t>
      </w:r>
      <w:r>
        <w:rPr>
          <w:sz w:val="18"/>
        </w:rPr>
        <w:t>para.</w:t>
      </w:r>
      <w:r>
        <w:rPr>
          <w:spacing w:val="-2"/>
          <w:sz w:val="18"/>
        </w:rPr>
        <w:t xml:space="preserve"> </w:t>
      </w:r>
      <w:r>
        <w:rPr>
          <w:sz w:val="18"/>
        </w:rPr>
        <w:t xml:space="preserve">2486. </w:t>
      </w:r>
      <w:bookmarkStart w:id="1765" w:name="_bookmark1521"/>
      <w:bookmarkEnd w:id="1765"/>
      <w:r>
        <w:rPr>
          <w:position w:val="5"/>
          <w:sz w:val="12"/>
        </w:rPr>
        <w:t>1316</w:t>
      </w:r>
      <w:r>
        <w:rPr>
          <w:spacing w:val="40"/>
          <w:position w:val="5"/>
          <w:sz w:val="12"/>
        </w:rPr>
        <w:t xml:space="preserve"> </w:t>
      </w:r>
      <w:r>
        <w:rPr>
          <w:sz w:val="18"/>
        </w:rPr>
        <w:t xml:space="preserve">See above, section </w:t>
      </w:r>
      <w:hyperlink w:anchor="_bookmark1467" w:history="1">
        <w:r>
          <w:rPr>
            <w:sz w:val="18"/>
          </w:rPr>
          <w:t>864</w:t>
        </w:r>
      </w:hyperlink>
      <w:hyperlink w:anchor="_bookmark1466" w:history="1">
        <w:r>
          <w:rPr>
            <w:sz w:val="18"/>
          </w:rPr>
          <w:t>VII.F.2(d)iii.</w:t>
        </w:r>
      </w:hyperlink>
    </w:p>
    <w:p w14:paraId="01C1331E" w14:textId="77777777" w:rsidR="00BD462C" w:rsidRDefault="00BD462C">
      <w:pPr>
        <w:jc w:val="both"/>
        <w:rPr>
          <w:sz w:val="18"/>
        </w:rPr>
        <w:sectPr w:rsidR="00BD462C">
          <w:pgSz w:w="11910" w:h="16840"/>
          <w:pgMar w:top="860" w:right="500" w:bottom="780" w:left="1280" w:header="566" w:footer="590" w:gutter="0"/>
          <w:cols w:space="720"/>
        </w:sectPr>
      </w:pPr>
    </w:p>
    <w:p w14:paraId="6BD2C1FD"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0F68FAAE"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4965A1AE"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5AF85A17" w14:textId="77777777" w:rsidR="00BD462C" w:rsidRDefault="00033D0F">
      <w:pPr>
        <w:pStyle w:val="BodyText"/>
        <w:spacing w:before="102" w:line="357" w:lineRule="auto"/>
        <w:ind w:left="135" w:right="923"/>
      </w:pPr>
      <w:r>
        <w:t>in</w:t>
      </w:r>
      <w:r>
        <w:rPr>
          <w:spacing w:val="-10"/>
        </w:rPr>
        <w:t xml:space="preserve"> </w:t>
      </w:r>
      <w:proofErr w:type="spellStart"/>
      <w:r>
        <w:t>defence</w:t>
      </w:r>
      <w:proofErr w:type="spellEnd"/>
      <w:r>
        <w:rPr>
          <w:spacing w:val="-8"/>
        </w:rPr>
        <w:t xml:space="preserve"> </w:t>
      </w:r>
      <w:r>
        <w:t>of</w:t>
      </w:r>
      <w:r>
        <w:rPr>
          <w:spacing w:val="-10"/>
        </w:rPr>
        <w:t xml:space="preserve"> </w:t>
      </w:r>
      <w:r>
        <w:t>their</w:t>
      </w:r>
      <w:r>
        <w:rPr>
          <w:spacing w:val="-11"/>
        </w:rPr>
        <w:t xml:space="preserve"> </w:t>
      </w:r>
      <w:r>
        <w:t>case,</w:t>
      </w:r>
      <w:r>
        <w:rPr>
          <w:spacing w:val="-6"/>
        </w:rPr>
        <w:t xml:space="preserve"> </w:t>
      </w:r>
      <w:r>
        <w:t>showing</w:t>
      </w:r>
      <w:r>
        <w:rPr>
          <w:spacing w:val="-7"/>
        </w:rPr>
        <w:t xml:space="preserve"> </w:t>
      </w:r>
      <w:r>
        <w:t>that</w:t>
      </w:r>
      <w:r>
        <w:rPr>
          <w:spacing w:val="-8"/>
        </w:rPr>
        <w:t xml:space="preserve"> </w:t>
      </w:r>
      <w:r>
        <w:t>subject</w:t>
      </w:r>
      <w:r>
        <w:rPr>
          <w:spacing w:val="-8"/>
        </w:rPr>
        <w:t xml:space="preserve"> </w:t>
      </w:r>
      <w:r>
        <w:t>imports</w:t>
      </w:r>
      <w:r>
        <w:rPr>
          <w:spacing w:val="-7"/>
        </w:rPr>
        <w:t xml:space="preserve"> </w:t>
      </w:r>
      <w:r>
        <w:t>of</w:t>
      </w:r>
      <w:r>
        <w:rPr>
          <w:spacing w:val="-10"/>
        </w:rPr>
        <w:t xml:space="preserve"> </w:t>
      </w:r>
      <w:r>
        <w:t>Australian</w:t>
      </w:r>
      <w:r>
        <w:rPr>
          <w:spacing w:val="-10"/>
        </w:rPr>
        <w:t xml:space="preserve"> </w:t>
      </w:r>
      <w:r>
        <w:t>wine</w:t>
      </w:r>
      <w:r>
        <w:rPr>
          <w:spacing w:val="-8"/>
        </w:rPr>
        <w:t xml:space="preserve"> </w:t>
      </w:r>
      <w:r>
        <w:t>were</w:t>
      </w:r>
      <w:r>
        <w:rPr>
          <w:spacing w:val="-8"/>
        </w:rPr>
        <w:t xml:space="preserve"> </w:t>
      </w:r>
      <w:r>
        <w:t>not</w:t>
      </w:r>
      <w:r>
        <w:rPr>
          <w:spacing w:val="-8"/>
        </w:rPr>
        <w:t xml:space="preserve"> </w:t>
      </w:r>
      <w:r>
        <w:t>causing</w:t>
      </w:r>
      <w:r>
        <w:rPr>
          <w:spacing w:val="-7"/>
        </w:rPr>
        <w:t xml:space="preserve"> </w:t>
      </w:r>
      <w:r>
        <w:t>the alleged injury to domestic producers.</w:t>
      </w:r>
    </w:p>
    <w:p w14:paraId="04A501F2" w14:textId="77777777" w:rsidR="00BD462C" w:rsidRDefault="00033D0F">
      <w:pPr>
        <w:pStyle w:val="ListParagraph"/>
        <w:numPr>
          <w:ilvl w:val="1"/>
          <w:numId w:val="20"/>
        </w:numPr>
        <w:tabs>
          <w:tab w:val="left" w:pos="3539"/>
          <w:tab w:val="left" w:pos="3540"/>
        </w:tabs>
        <w:spacing w:before="164" w:line="360" w:lineRule="auto"/>
        <w:ind w:left="3539" w:right="911" w:hanging="850"/>
        <w:jc w:val="both"/>
        <w:rPr>
          <w:sz w:val="24"/>
        </w:rPr>
      </w:pPr>
      <w:bookmarkStart w:id="1766" w:name="(f)_To_the_extent_that_non-confidential_"/>
      <w:bookmarkEnd w:id="1766"/>
      <w:r>
        <w:rPr>
          <w:sz w:val="24"/>
          <w:u w:val="single"/>
        </w:rPr>
        <w:t>To the extent that non-confidential information was</w:t>
      </w:r>
      <w:r>
        <w:rPr>
          <w:sz w:val="24"/>
        </w:rPr>
        <w:t xml:space="preserve"> </w:t>
      </w:r>
      <w:r>
        <w:rPr>
          <w:sz w:val="24"/>
          <w:u w:val="single"/>
        </w:rPr>
        <w:t>disclosed to some interested parties, MOFCOM failed to</w:t>
      </w:r>
      <w:r>
        <w:rPr>
          <w:sz w:val="24"/>
        </w:rPr>
        <w:t xml:space="preserve"> </w:t>
      </w:r>
      <w:r>
        <w:rPr>
          <w:sz w:val="24"/>
          <w:u w:val="single"/>
        </w:rPr>
        <w:t>provide those parties timely opportunities to see the</w:t>
      </w:r>
      <w:r>
        <w:rPr>
          <w:sz w:val="24"/>
        </w:rPr>
        <w:t xml:space="preserve"> </w:t>
      </w:r>
      <w:r>
        <w:rPr>
          <w:sz w:val="24"/>
          <w:u w:val="single"/>
        </w:rPr>
        <w:t>information and prepare presentations</w:t>
      </w:r>
    </w:p>
    <w:p w14:paraId="49484F5F" w14:textId="77777777" w:rsidR="00BD462C" w:rsidRDefault="00BD462C">
      <w:pPr>
        <w:pStyle w:val="BodyText"/>
        <w:spacing w:before="1"/>
        <w:rPr>
          <w:sz w:val="9"/>
        </w:rPr>
      </w:pPr>
    </w:p>
    <w:p w14:paraId="7619BAA9" w14:textId="7825B33C" w:rsidR="00BD462C" w:rsidRDefault="00C63D13">
      <w:pPr>
        <w:pStyle w:val="BodyText"/>
        <w:spacing w:before="56" w:line="360" w:lineRule="auto"/>
        <w:ind w:left="135" w:right="910"/>
        <w:jc w:val="both"/>
      </w:pPr>
      <w:r>
        <w:rPr>
          <w:noProof/>
        </w:rPr>
        <w:t>909.</w:t>
      </w:r>
      <w:r w:rsidR="00033D0F">
        <w:rPr>
          <w:rFonts w:ascii="Times New Roman"/>
          <w:spacing w:val="80"/>
          <w:position w:val="1"/>
          <w:sz w:val="20"/>
        </w:rPr>
        <w:t xml:space="preserve">  </w:t>
      </w:r>
      <w:r w:rsidR="00033D0F">
        <w:rPr>
          <w:position w:val="1"/>
        </w:rPr>
        <w:t>In Australia's first written submission, Australia identified certain information that</w:t>
      </w:r>
      <w:r w:rsidR="00033D0F">
        <w:rPr>
          <w:spacing w:val="80"/>
          <w:position w:val="1"/>
        </w:rPr>
        <w:t xml:space="preserve"> </w:t>
      </w:r>
      <w:r w:rsidR="00033D0F">
        <w:t>was disclosed by MOFCOM to interested parties for the very first time in the Final Disclosure.</w:t>
      </w:r>
      <w:hyperlink w:anchor="_bookmark1523" w:history="1">
        <w:r w:rsidR="00033D0F">
          <w:rPr>
            <w:vertAlign w:val="superscript"/>
          </w:rPr>
          <w:t>1317</w:t>
        </w:r>
      </w:hyperlink>
      <w:r w:rsidR="00033D0F">
        <w:rPr>
          <w:spacing w:val="-6"/>
        </w:rPr>
        <w:t xml:space="preserve"> </w:t>
      </w:r>
      <w:r w:rsidR="00033D0F">
        <w:t>China's</w:t>
      </w:r>
      <w:r w:rsidR="00033D0F">
        <w:rPr>
          <w:spacing w:val="-10"/>
        </w:rPr>
        <w:t xml:space="preserve"> </w:t>
      </w:r>
      <w:r w:rsidR="00033D0F">
        <w:t>response</w:t>
      </w:r>
      <w:r w:rsidR="00033D0F">
        <w:rPr>
          <w:spacing w:val="-7"/>
        </w:rPr>
        <w:t xml:space="preserve"> </w:t>
      </w:r>
      <w:r w:rsidR="00033D0F">
        <w:t>confirms</w:t>
      </w:r>
      <w:r w:rsidR="00033D0F">
        <w:rPr>
          <w:spacing w:val="-6"/>
        </w:rPr>
        <w:t xml:space="preserve"> </w:t>
      </w:r>
      <w:r w:rsidR="00033D0F">
        <w:t>that</w:t>
      </w:r>
      <w:r w:rsidR="00033D0F">
        <w:rPr>
          <w:spacing w:val="-7"/>
        </w:rPr>
        <w:t xml:space="preserve"> </w:t>
      </w:r>
      <w:r w:rsidR="00033D0F">
        <w:t>was</w:t>
      </w:r>
      <w:r w:rsidR="00033D0F">
        <w:rPr>
          <w:spacing w:val="-6"/>
        </w:rPr>
        <w:t xml:space="preserve"> </w:t>
      </w:r>
      <w:r w:rsidR="00033D0F">
        <w:t>the</w:t>
      </w:r>
      <w:r w:rsidR="00033D0F">
        <w:rPr>
          <w:spacing w:val="-12"/>
        </w:rPr>
        <w:t xml:space="preserve"> </w:t>
      </w:r>
      <w:r w:rsidR="00033D0F">
        <w:t>case.</w:t>
      </w:r>
      <w:hyperlink w:anchor="_bookmark1524" w:history="1">
        <w:r w:rsidR="00033D0F">
          <w:rPr>
            <w:vertAlign w:val="superscript"/>
          </w:rPr>
          <w:t>1318</w:t>
        </w:r>
      </w:hyperlink>
      <w:r w:rsidR="00033D0F">
        <w:rPr>
          <w:spacing w:val="-6"/>
        </w:rPr>
        <w:t xml:space="preserve"> </w:t>
      </w:r>
      <w:r w:rsidR="00033D0F">
        <w:t>Australia</w:t>
      </w:r>
      <w:r w:rsidR="00033D0F">
        <w:rPr>
          <w:spacing w:val="-12"/>
        </w:rPr>
        <w:t xml:space="preserve"> </w:t>
      </w:r>
      <w:r w:rsidR="00033D0F">
        <w:t>infers</w:t>
      </w:r>
      <w:r w:rsidR="00033D0F">
        <w:rPr>
          <w:spacing w:val="-6"/>
        </w:rPr>
        <w:t xml:space="preserve"> </w:t>
      </w:r>
      <w:r w:rsidR="00033D0F">
        <w:t>that</w:t>
      </w:r>
      <w:r w:rsidR="00033D0F">
        <w:rPr>
          <w:spacing w:val="-11"/>
        </w:rPr>
        <w:t xml:space="preserve"> </w:t>
      </w:r>
      <w:r w:rsidR="00033D0F">
        <w:t>MOFCOM must</w:t>
      </w:r>
      <w:r w:rsidR="00033D0F">
        <w:rPr>
          <w:spacing w:val="-6"/>
        </w:rPr>
        <w:t xml:space="preserve"> </w:t>
      </w:r>
      <w:r w:rsidR="00033D0F">
        <w:t>have</w:t>
      </w:r>
      <w:r w:rsidR="00033D0F">
        <w:rPr>
          <w:spacing w:val="-6"/>
        </w:rPr>
        <w:t xml:space="preserve"> </w:t>
      </w:r>
      <w:r w:rsidR="00033D0F">
        <w:t>had</w:t>
      </w:r>
      <w:r w:rsidR="00033D0F">
        <w:rPr>
          <w:spacing w:val="-8"/>
        </w:rPr>
        <w:t xml:space="preserve"> </w:t>
      </w:r>
      <w:r w:rsidR="00033D0F">
        <w:t>this</w:t>
      </w:r>
      <w:r w:rsidR="00033D0F">
        <w:rPr>
          <w:spacing w:val="-5"/>
        </w:rPr>
        <w:t xml:space="preserve"> </w:t>
      </w:r>
      <w:r w:rsidR="00033D0F">
        <w:t>information</w:t>
      </w:r>
      <w:r w:rsidR="00033D0F">
        <w:rPr>
          <w:spacing w:val="-8"/>
        </w:rPr>
        <w:t xml:space="preserve"> </w:t>
      </w:r>
      <w:r w:rsidR="00033D0F">
        <w:t>available</w:t>
      </w:r>
      <w:r w:rsidR="00033D0F">
        <w:rPr>
          <w:spacing w:val="-6"/>
        </w:rPr>
        <w:t xml:space="preserve"> </w:t>
      </w:r>
      <w:r w:rsidR="00033D0F">
        <w:t>to</w:t>
      </w:r>
      <w:r w:rsidR="00033D0F">
        <w:rPr>
          <w:spacing w:val="-9"/>
        </w:rPr>
        <w:t xml:space="preserve"> </w:t>
      </w:r>
      <w:r w:rsidR="00033D0F">
        <w:t>it</w:t>
      </w:r>
      <w:r w:rsidR="00033D0F">
        <w:rPr>
          <w:spacing w:val="-6"/>
        </w:rPr>
        <w:t xml:space="preserve"> </w:t>
      </w:r>
      <w:r w:rsidR="00033D0F">
        <w:t>for</w:t>
      </w:r>
      <w:r w:rsidR="00033D0F">
        <w:rPr>
          <w:spacing w:val="-9"/>
        </w:rPr>
        <w:t xml:space="preserve"> </w:t>
      </w:r>
      <w:r w:rsidR="00033D0F">
        <w:t>some</w:t>
      </w:r>
      <w:r w:rsidR="00033D0F">
        <w:rPr>
          <w:spacing w:val="-6"/>
        </w:rPr>
        <w:t xml:space="preserve"> </w:t>
      </w:r>
      <w:r w:rsidR="00033D0F">
        <w:t>period</w:t>
      </w:r>
      <w:r w:rsidR="00033D0F">
        <w:rPr>
          <w:spacing w:val="-3"/>
        </w:rPr>
        <w:t xml:space="preserve"> </w:t>
      </w:r>
      <w:r w:rsidR="00033D0F">
        <w:t>of</w:t>
      </w:r>
      <w:r w:rsidR="00033D0F">
        <w:rPr>
          <w:spacing w:val="-3"/>
        </w:rPr>
        <w:t xml:space="preserve"> </w:t>
      </w:r>
      <w:r w:rsidR="00033D0F">
        <w:t>time</w:t>
      </w:r>
      <w:r w:rsidR="00033D0F">
        <w:rPr>
          <w:spacing w:val="-6"/>
        </w:rPr>
        <w:t xml:space="preserve"> </w:t>
      </w:r>
      <w:r w:rsidR="00033D0F">
        <w:t>prior</w:t>
      </w:r>
      <w:r w:rsidR="00033D0F">
        <w:rPr>
          <w:spacing w:val="-4"/>
        </w:rPr>
        <w:t xml:space="preserve"> </w:t>
      </w:r>
      <w:r w:rsidR="00033D0F">
        <w:t>to</w:t>
      </w:r>
      <w:r w:rsidR="00033D0F">
        <w:rPr>
          <w:spacing w:val="-9"/>
        </w:rPr>
        <w:t xml:space="preserve"> </w:t>
      </w:r>
      <w:r w:rsidR="00033D0F">
        <w:t>the</w:t>
      </w:r>
      <w:r w:rsidR="00033D0F">
        <w:rPr>
          <w:spacing w:val="-6"/>
        </w:rPr>
        <w:t xml:space="preserve"> </w:t>
      </w:r>
      <w:r w:rsidR="00033D0F">
        <w:t>issue</w:t>
      </w:r>
      <w:r w:rsidR="00033D0F">
        <w:rPr>
          <w:spacing w:val="-6"/>
        </w:rPr>
        <w:t xml:space="preserve"> </w:t>
      </w:r>
      <w:r w:rsidR="00033D0F">
        <w:t>of</w:t>
      </w:r>
      <w:r w:rsidR="00033D0F">
        <w:rPr>
          <w:spacing w:val="-3"/>
        </w:rPr>
        <w:t xml:space="preserve"> </w:t>
      </w:r>
      <w:r w:rsidR="00033D0F">
        <w:t>the Final Disclosure and China has not suggested otherwise in its first written submission. If, as appears to be the case, MOFCOM had that information available to it from an earlier period (perhaps</w:t>
      </w:r>
      <w:r w:rsidR="00033D0F">
        <w:rPr>
          <w:spacing w:val="-6"/>
        </w:rPr>
        <w:t xml:space="preserve"> </w:t>
      </w:r>
      <w:r w:rsidR="00033D0F">
        <w:t>many</w:t>
      </w:r>
      <w:r w:rsidR="00033D0F">
        <w:rPr>
          <w:spacing w:val="-1"/>
        </w:rPr>
        <w:t xml:space="preserve"> </w:t>
      </w:r>
      <w:r w:rsidR="00033D0F">
        <w:t>months</w:t>
      </w:r>
      <w:r w:rsidR="00033D0F">
        <w:rPr>
          <w:spacing w:val="-6"/>
        </w:rPr>
        <w:t xml:space="preserve"> </w:t>
      </w:r>
      <w:r w:rsidR="00033D0F">
        <w:t>earlier),</w:t>
      </w:r>
      <w:r w:rsidR="00033D0F">
        <w:rPr>
          <w:spacing w:val="-5"/>
        </w:rPr>
        <w:t xml:space="preserve"> </w:t>
      </w:r>
      <w:r w:rsidR="00033D0F">
        <w:t>then</w:t>
      </w:r>
      <w:r w:rsidR="00033D0F">
        <w:rPr>
          <w:spacing w:val="-9"/>
        </w:rPr>
        <w:t xml:space="preserve"> </w:t>
      </w:r>
      <w:r w:rsidR="00033D0F">
        <w:t>it</w:t>
      </w:r>
      <w:r w:rsidR="00033D0F">
        <w:rPr>
          <w:spacing w:val="-7"/>
        </w:rPr>
        <w:t xml:space="preserve"> </w:t>
      </w:r>
      <w:r w:rsidR="00033D0F">
        <w:t>should</w:t>
      </w:r>
      <w:r w:rsidR="00033D0F">
        <w:rPr>
          <w:spacing w:val="-9"/>
        </w:rPr>
        <w:t xml:space="preserve"> </w:t>
      </w:r>
      <w:r w:rsidR="00033D0F">
        <w:t>have</w:t>
      </w:r>
      <w:r w:rsidR="00033D0F">
        <w:rPr>
          <w:spacing w:val="-7"/>
        </w:rPr>
        <w:t xml:space="preserve"> </w:t>
      </w:r>
      <w:r w:rsidR="00033D0F">
        <w:t>been</w:t>
      </w:r>
      <w:r w:rsidR="00033D0F">
        <w:rPr>
          <w:spacing w:val="-9"/>
        </w:rPr>
        <w:t xml:space="preserve"> </w:t>
      </w:r>
      <w:r w:rsidR="00033D0F">
        <w:t>made</w:t>
      </w:r>
      <w:r w:rsidR="00033D0F">
        <w:rPr>
          <w:spacing w:val="-2"/>
        </w:rPr>
        <w:t xml:space="preserve"> </w:t>
      </w:r>
      <w:r w:rsidR="00033D0F">
        <w:t>available</w:t>
      </w:r>
      <w:r w:rsidR="00033D0F">
        <w:rPr>
          <w:spacing w:val="-7"/>
        </w:rPr>
        <w:t xml:space="preserve"> </w:t>
      </w:r>
      <w:r w:rsidR="00033D0F">
        <w:t>to</w:t>
      </w:r>
      <w:r w:rsidR="00033D0F">
        <w:rPr>
          <w:spacing w:val="-10"/>
        </w:rPr>
        <w:t xml:space="preserve"> </w:t>
      </w:r>
      <w:r w:rsidR="00033D0F">
        <w:t>interested</w:t>
      </w:r>
      <w:r w:rsidR="00033D0F">
        <w:rPr>
          <w:spacing w:val="-9"/>
        </w:rPr>
        <w:t xml:space="preserve"> </w:t>
      </w:r>
      <w:r w:rsidR="00033D0F">
        <w:t>parties in</w:t>
      </w:r>
      <w:r w:rsidR="00033D0F">
        <w:rPr>
          <w:spacing w:val="-14"/>
        </w:rPr>
        <w:t xml:space="preserve"> </w:t>
      </w:r>
      <w:r w:rsidR="00033D0F">
        <w:t>a</w:t>
      </w:r>
      <w:r w:rsidR="00033D0F">
        <w:rPr>
          <w:spacing w:val="-14"/>
        </w:rPr>
        <w:t xml:space="preserve"> </w:t>
      </w:r>
      <w:r w:rsidR="00033D0F">
        <w:t>timely</w:t>
      </w:r>
      <w:r w:rsidR="00033D0F">
        <w:rPr>
          <w:spacing w:val="-13"/>
        </w:rPr>
        <w:t xml:space="preserve"> </w:t>
      </w:r>
      <w:r w:rsidR="00033D0F">
        <w:t>manner.</w:t>
      </w:r>
      <w:r w:rsidR="00033D0F">
        <w:rPr>
          <w:spacing w:val="-14"/>
        </w:rPr>
        <w:t xml:space="preserve"> </w:t>
      </w:r>
      <w:r w:rsidR="00033D0F">
        <w:t>An</w:t>
      </w:r>
      <w:r w:rsidR="00033D0F">
        <w:rPr>
          <w:spacing w:val="-13"/>
        </w:rPr>
        <w:t xml:space="preserve"> </w:t>
      </w:r>
      <w:r w:rsidR="00033D0F">
        <w:t>investigating</w:t>
      </w:r>
      <w:r w:rsidR="00033D0F">
        <w:rPr>
          <w:spacing w:val="-14"/>
        </w:rPr>
        <w:t xml:space="preserve"> </w:t>
      </w:r>
      <w:r w:rsidR="00033D0F">
        <w:t>authority</w:t>
      </w:r>
      <w:r w:rsidR="00033D0F">
        <w:rPr>
          <w:spacing w:val="-13"/>
        </w:rPr>
        <w:t xml:space="preserve"> </w:t>
      </w:r>
      <w:r w:rsidR="00033D0F">
        <w:t>cannot</w:t>
      </w:r>
      <w:r w:rsidR="00033D0F">
        <w:rPr>
          <w:spacing w:val="-14"/>
        </w:rPr>
        <w:t xml:space="preserve"> </w:t>
      </w:r>
      <w:r w:rsidR="00033D0F">
        <w:t>comply</w:t>
      </w:r>
      <w:r w:rsidR="00033D0F">
        <w:rPr>
          <w:spacing w:val="-14"/>
        </w:rPr>
        <w:t xml:space="preserve"> </w:t>
      </w:r>
      <w:r w:rsidR="00033D0F">
        <w:t>with</w:t>
      </w:r>
      <w:r w:rsidR="00033D0F">
        <w:rPr>
          <w:spacing w:val="-13"/>
        </w:rPr>
        <w:t xml:space="preserve"> </w:t>
      </w:r>
      <w:r w:rsidR="00033D0F">
        <w:t>Article</w:t>
      </w:r>
      <w:r w:rsidR="00033D0F">
        <w:rPr>
          <w:spacing w:val="-14"/>
        </w:rPr>
        <w:t xml:space="preserve"> </w:t>
      </w:r>
      <w:r w:rsidR="00033D0F">
        <w:t>6.4</w:t>
      </w:r>
      <w:r w:rsidR="00033D0F">
        <w:rPr>
          <w:spacing w:val="-13"/>
        </w:rPr>
        <w:t xml:space="preserve"> </w:t>
      </w:r>
      <w:r w:rsidR="00033D0F">
        <w:t>by</w:t>
      </w:r>
      <w:r w:rsidR="00033D0F">
        <w:rPr>
          <w:spacing w:val="-14"/>
        </w:rPr>
        <w:t xml:space="preserve"> </w:t>
      </w:r>
      <w:r w:rsidR="00033D0F">
        <w:t>only</w:t>
      </w:r>
      <w:r w:rsidR="00033D0F">
        <w:rPr>
          <w:spacing w:val="-13"/>
        </w:rPr>
        <w:t xml:space="preserve"> </w:t>
      </w:r>
      <w:r w:rsidR="00033D0F">
        <w:t>disclosing information at the stage of the Final Disclosure where it holds that information at earlier stages. This is particularly so where only a short time is allowed to interested parties to respond to the Final Disclosure.</w:t>
      </w:r>
    </w:p>
    <w:p w14:paraId="541AECB7" w14:textId="77777777" w:rsidR="00BD462C" w:rsidRDefault="00BD462C">
      <w:pPr>
        <w:pStyle w:val="BodyText"/>
        <w:spacing w:before="4"/>
        <w:rPr>
          <w:sz w:val="8"/>
        </w:rPr>
      </w:pPr>
    </w:p>
    <w:p w14:paraId="27F8041F" w14:textId="2F7270CC" w:rsidR="00BD462C" w:rsidRDefault="00C63D13">
      <w:pPr>
        <w:pStyle w:val="BodyText"/>
        <w:spacing w:before="56" w:line="360" w:lineRule="auto"/>
        <w:ind w:left="136" w:right="913"/>
        <w:jc w:val="both"/>
      </w:pPr>
      <w:r>
        <w:rPr>
          <w:noProof/>
        </w:rPr>
        <w:t>910.</w:t>
      </w:r>
      <w:r w:rsidR="00033D0F">
        <w:rPr>
          <w:rFonts w:ascii="Times New Roman"/>
          <w:spacing w:val="80"/>
          <w:w w:val="150"/>
          <w:position w:val="1"/>
          <w:sz w:val="20"/>
        </w:rPr>
        <w:t xml:space="preserve"> </w:t>
      </w:r>
      <w:r w:rsidR="00033D0F">
        <w:rPr>
          <w:position w:val="1"/>
        </w:rPr>
        <w:t xml:space="preserve">China's response in its first written submission does not engage with Australia's </w:t>
      </w:r>
      <w:r w:rsidR="00033D0F">
        <w:t>arguments with respect to timeliness. It is instead directed to the general question of how long should be permitted for a response to a Final Disclosure. This is insufficient to explain why MOFCOM did not provide the information in a timely manner</w:t>
      </w:r>
      <w:r w:rsidR="00033D0F">
        <w:rPr>
          <w:spacing w:val="-1"/>
        </w:rPr>
        <w:t xml:space="preserve"> </w:t>
      </w:r>
      <w:r w:rsidR="00033D0F">
        <w:t>as required by Article 6.4.</w:t>
      </w:r>
    </w:p>
    <w:p w14:paraId="70C2D25B" w14:textId="77777777" w:rsidR="00BD462C" w:rsidRDefault="00033D0F">
      <w:pPr>
        <w:pStyle w:val="Heading3"/>
        <w:numPr>
          <w:ilvl w:val="0"/>
          <w:numId w:val="20"/>
        </w:numPr>
        <w:tabs>
          <w:tab w:val="left" w:pos="2689"/>
          <w:tab w:val="left" w:pos="2690"/>
        </w:tabs>
        <w:spacing w:before="158"/>
      </w:pPr>
      <w:bookmarkStart w:id="1767" w:name="_bookmark1522"/>
      <w:bookmarkEnd w:id="1767"/>
      <w:r>
        <w:rPr>
          <w:spacing w:val="-2"/>
        </w:rPr>
        <w:t>Conclusion</w:t>
      </w:r>
    </w:p>
    <w:p w14:paraId="7D0CD6A1" w14:textId="77777777" w:rsidR="00BD462C" w:rsidRDefault="00BD462C">
      <w:pPr>
        <w:pStyle w:val="BodyText"/>
        <w:spacing w:before="6"/>
        <w:rPr>
          <w:b/>
          <w:sz w:val="20"/>
        </w:rPr>
      </w:pPr>
    </w:p>
    <w:p w14:paraId="7092DC24" w14:textId="5AAD1930" w:rsidR="00BD462C" w:rsidRDefault="00C63D13">
      <w:pPr>
        <w:pStyle w:val="BodyText"/>
        <w:spacing w:before="56" w:line="360" w:lineRule="auto"/>
        <w:ind w:left="135" w:right="916"/>
        <w:jc w:val="both"/>
      </w:pPr>
      <w:r>
        <w:rPr>
          <w:noProof/>
        </w:rPr>
        <w:t>911.</w:t>
      </w:r>
      <w:r w:rsidR="00033D0F">
        <w:rPr>
          <w:rFonts w:ascii="Times New Roman"/>
          <w:spacing w:val="80"/>
          <w:w w:val="150"/>
          <w:position w:val="1"/>
          <w:sz w:val="20"/>
        </w:rPr>
        <w:t xml:space="preserve">  </w:t>
      </w:r>
      <w:r w:rsidR="00033D0F">
        <w:rPr>
          <w:position w:val="1"/>
        </w:rPr>
        <w:t xml:space="preserve">China has failed to rebut Australia's </w:t>
      </w:r>
      <w:r w:rsidR="00033D0F">
        <w:rPr>
          <w:i/>
          <w:position w:val="1"/>
        </w:rPr>
        <w:t xml:space="preserve">prima facie </w:t>
      </w:r>
      <w:r w:rsidR="00033D0F">
        <w:rPr>
          <w:position w:val="1"/>
        </w:rPr>
        <w:t xml:space="preserve">case. For the reasons set out above </w:t>
      </w:r>
      <w:r w:rsidR="00033D0F">
        <w:t>and in Australia's first written submission, China acted inconsistently with Article 6.4 of the Anti-Dumping Agreement, by failing to allow interested parties to see all non-confidential information</w:t>
      </w:r>
      <w:r w:rsidR="00033D0F">
        <w:rPr>
          <w:spacing w:val="-9"/>
        </w:rPr>
        <w:t xml:space="preserve"> </w:t>
      </w:r>
      <w:r w:rsidR="00033D0F">
        <w:t>that</w:t>
      </w:r>
      <w:r w:rsidR="00033D0F">
        <w:rPr>
          <w:spacing w:val="-7"/>
        </w:rPr>
        <w:t xml:space="preserve"> </w:t>
      </w:r>
      <w:r w:rsidR="00033D0F">
        <w:t>was</w:t>
      </w:r>
      <w:r w:rsidR="00033D0F">
        <w:rPr>
          <w:spacing w:val="-1"/>
        </w:rPr>
        <w:t xml:space="preserve"> </w:t>
      </w:r>
      <w:r w:rsidR="00033D0F">
        <w:t>relevant</w:t>
      </w:r>
      <w:r w:rsidR="00033D0F">
        <w:rPr>
          <w:spacing w:val="-7"/>
        </w:rPr>
        <w:t xml:space="preserve"> </w:t>
      </w:r>
      <w:r w:rsidR="00033D0F">
        <w:t>to</w:t>
      </w:r>
      <w:r w:rsidR="00033D0F">
        <w:rPr>
          <w:spacing w:val="-9"/>
        </w:rPr>
        <w:t xml:space="preserve"> </w:t>
      </w:r>
      <w:r w:rsidR="00033D0F">
        <w:t>the</w:t>
      </w:r>
      <w:r w:rsidR="00033D0F">
        <w:rPr>
          <w:spacing w:val="-3"/>
        </w:rPr>
        <w:t xml:space="preserve"> </w:t>
      </w:r>
      <w:r w:rsidR="00033D0F">
        <w:t>presentation</w:t>
      </w:r>
      <w:r w:rsidR="00033D0F">
        <w:rPr>
          <w:spacing w:val="-4"/>
        </w:rPr>
        <w:t xml:space="preserve"> </w:t>
      </w:r>
      <w:r w:rsidR="00033D0F">
        <w:t>of</w:t>
      </w:r>
      <w:r w:rsidR="00033D0F">
        <w:rPr>
          <w:spacing w:val="-9"/>
        </w:rPr>
        <w:t xml:space="preserve"> </w:t>
      </w:r>
      <w:r w:rsidR="00033D0F">
        <w:t>their</w:t>
      </w:r>
      <w:r w:rsidR="00033D0F">
        <w:rPr>
          <w:spacing w:val="-5"/>
        </w:rPr>
        <w:t xml:space="preserve"> </w:t>
      </w:r>
      <w:r w:rsidR="00033D0F">
        <w:t>cases</w:t>
      </w:r>
      <w:r w:rsidR="00033D0F">
        <w:rPr>
          <w:spacing w:val="-5"/>
        </w:rPr>
        <w:t xml:space="preserve"> </w:t>
      </w:r>
      <w:r w:rsidR="00033D0F">
        <w:t>and</w:t>
      </w:r>
      <w:r w:rsidR="00033D0F">
        <w:rPr>
          <w:spacing w:val="-4"/>
        </w:rPr>
        <w:t xml:space="preserve"> </w:t>
      </w:r>
      <w:r w:rsidR="00033D0F">
        <w:t>used</w:t>
      </w:r>
      <w:r w:rsidR="00033D0F">
        <w:rPr>
          <w:spacing w:val="-9"/>
        </w:rPr>
        <w:t xml:space="preserve"> </w:t>
      </w:r>
      <w:r w:rsidR="00033D0F">
        <w:t>by</w:t>
      </w:r>
      <w:r w:rsidR="00033D0F">
        <w:rPr>
          <w:spacing w:val="-1"/>
        </w:rPr>
        <w:t xml:space="preserve"> </w:t>
      </w:r>
      <w:r w:rsidR="00033D0F">
        <w:t>the</w:t>
      </w:r>
      <w:r w:rsidR="00033D0F">
        <w:rPr>
          <w:spacing w:val="-7"/>
        </w:rPr>
        <w:t xml:space="preserve"> </w:t>
      </w:r>
      <w:r w:rsidR="00033D0F">
        <w:t>investigating authority.</w:t>
      </w:r>
      <w:r w:rsidR="00033D0F">
        <w:rPr>
          <w:spacing w:val="30"/>
        </w:rPr>
        <w:t xml:space="preserve"> </w:t>
      </w:r>
      <w:r w:rsidR="00033D0F">
        <w:t>As</w:t>
      </w:r>
      <w:r w:rsidR="00033D0F">
        <w:rPr>
          <w:spacing w:val="26"/>
        </w:rPr>
        <w:t xml:space="preserve"> </w:t>
      </w:r>
      <w:r w:rsidR="00033D0F">
        <w:t>such,</w:t>
      </w:r>
      <w:r w:rsidR="00033D0F">
        <w:rPr>
          <w:spacing w:val="31"/>
        </w:rPr>
        <w:t xml:space="preserve"> </w:t>
      </w:r>
      <w:r w:rsidR="00033D0F">
        <w:t>interested</w:t>
      </w:r>
      <w:r w:rsidR="00033D0F">
        <w:rPr>
          <w:spacing w:val="27"/>
        </w:rPr>
        <w:t xml:space="preserve"> </w:t>
      </w:r>
      <w:r w:rsidR="00033D0F">
        <w:t>parties</w:t>
      </w:r>
      <w:r w:rsidR="00033D0F">
        <w:rPr>
          <w:spacing w:val="26"/>
        </w:rPr>
        <w:t xml:space="preserve"> </w:t>
      </w:r>
      <w:r w:rsidR="00033D0F">
        <w:t>were</w:t>
      </w:r>
      <w:r w:rsidR="00033D0F">
        <w:rPr>
          <w:spacing w:val="29"/>
        </w:rPr>
        <w:t xml:space="preserve"> </w:t>
      </w:r>
      <w:r w:rsidR="00033D0F">
        <w:t>unable</w:t>
      </w:r>
      <w:r w:rsidR="00033D0F">
        <w:rPr>
          <w:spacing w:val="29"/>
        </w:rPr>
        <w:t xml:space="preserve"> </w:t>
      </w:r>
      <w:r w:rsidR="00033D0F">
        <w:t>to</w:t>
      </w:r>
      <w:r w:rsidR="00033D0F">
        <w:rPr>
          <w:spacing w:val="27"/>
        </w:rPr>
        <w:t xml:space="preserve"> </w:t>
      </w:r>
      <w:r w:rsidR="00033D0F">
        <w:t>prepare</w:t>
      </w:r>
      <w:r w:rsidR="00033D0F">
        <w:rPr>
          <w:spacing w:val="29"/>
        </w:rPr>
        <w:t xml:space="preserve"> </w:t>
      </w:r>
      <w:r w:rsidR="00033D0F">
        <w:t>presentations</w:t>
      </w:r>
      <w:r w:rsidR="00033D0F">
        <w:rPr>
          <w:spacing w:val="30"/>
        </w:rPr>
        <w:t xml:space="preserve"> </w:t>
      </w:r>
      <w:r w:rsidR="00033D0F">
        <w:t>on</w:t>
      </w:r>
      <w:r w:rsidR="00033D0F">
        <w:rPr>
          <w:spacing w:val="27"/>
        </w:rPr>
        <w:t xml:space="preserve"> </w:t>
      </w:r>
      <w:r w:rsidR="00033D0F">
        <w:t>key</w:t>
      </w:r>
      <w:r w:rsidR="00033D0F">
        <w:rPr>
          <w:spacing w:val="30"/>
        </w:rPr>
        <w:t xml:space="preserve"> </w:t>
      </w:r>
      <w:r w:rsidR="00033D0F">
        <w:t>issues</w:t>
      </w:r>
    </w:p>
    <w:p w14:paraId="4D144272" w14:textId="77777777" w:rsidR="00BD462C" w:rsidRDefault="00BD462C">
      <w:pPr>
        <w:pStyle w:val="BodyText"/>
        <w:rPr>
          <w:sz w:val="20"/>
        </w:rPr>
      </w:pPr>
    </w:p>
    <w:p w14:paraId="1D45E283" w14:textId="33297D69" w:rsidR="00BD462C" w:rsidRDefault="00D70C7D">
      <w:pPr>
        <w:pStyle w:val="BodyText"/>
        <w:spacing w:before="9"/>
        <w:rPr>
          <w:sz w:val="17"/>
        </w:rPr>
      </w:pPr>
      <w:r>
        <w:rPr>
          <w:noProof/>
        </w:rPr>
        <mc:AlternateContent>
          <mc:Choice Requires="wps">
            <w:drawing>
              <wp:anchor distT="0" distB="0" distL="0" distR="0" simplePos="0" relativeHeight="487870976" behindDoc="1" locked="0" layoutInCell="1" allowOverlap="1" wp14:anchorId="670A4436" wp14:editId="6870D505">
                <wp:simplePos x="0" y="0"/>
                <wp:positionH relativeFrom="page">
                  <wp:posOffset>899160</wp:posOffset>
                </wp:positionH>
                <wp:positionV relativeFrom="paragraph">
                  <wp:posOffset>153035</wp:posOffset>
                </wp:positionV>
                <wp:extent cx="1828800" cy="8890"/>
                <wp:effectExtent l="0" t="0" r="0" b="0"/>
                <wp:wrapTopAndBottom/>
                <wp:docPr id="232" name="docshape6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F8D71E" id="docshape609" o:spid="_x0000_s1026" alt="&quot;&quot;" style="position:absolute;margin-left:70.8pt;margin-top:12.05pt;width:2in;height:.7pt;z-index:-15445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" fillcolor="black" stroked="f">
                <w10:wrap type="topAndBottom" anchorx="page"/>
              </v:rect>
            </w:pict>
          </mc:Fallback>
        </mc:AlternateContent>
      </w:r>
    </w:p>
    <w:p w14:paraId="1D0F7FED" w14:textId="77777777" w:rsidR="00BD462C" w:rsidRDefault="00033D0F">
      <w:pPr>
        <w:spacing w:before="112"/>
        <w:ind w:left="135"/>
        <w:rPr>
          <w:sz w:val="18"/>
        </w:rPr>
      </w:pPr>
      <w:bookmarkStart w:id="1768" w:name="_bookmark1523"/>
      <w:bookmarkEnd w:id="1768"/>
      <w:r>
        <w:rPr>
          <w:position w:val="5"/>
          <w:sz w:val="12"/>
        </w:rPr>
        <w:t>1317</w:t>
      </w:r>
      <w:r>
        <w:rPr>
          <w:spacing w:val="12"/>
          <w:position w:val="5"/>
          <w:sz w:val="12"/>
        </w:rPr>
        <w:t xml:space="preserve"> </w:t>
      </w:r>
      <w:r>
        <w:rPr>
          <w:sz w:val="18"/>
        </w:rPr>
        <w:t>Australia's</w:t>
      </w:r>
      <w:r>
        <w:rPr>
          <w:spacing w:val="-6"/>
          <w:sz w:val="18"/>
        </w:rPr>
        <w:t xml:space="preserve"> </w:t>
      </w:r>
      <w:r>
        <w:rPr>
          <w:sz w:val="18"/>
        </w:rPr>
        <w:t>first</w:t>
      </w:r>
      <w:r>
        <w:rPr>
          <w:spacing w:val="-5"/>
          <w:sz w:val="18"/>
        </w:rPr>
        <w:t xml:space="preserve"> </w:t>
      </w:r>
      <w:r>
        <w:rPr>
          <w:sz w:val="18"/>
        </w:rPr>
        <w:t>written</w:t>
      </w:r>
      <w:r>
        <w:rPr>
          <w:spacing w:val="-2"/>
          <w:sz w:val="18"/>
        </w:rPr>
        <w:t xml:space="preserve"> </w:t>
      </w:r>
      <w:r>
        <w:rPr>
          <w:sz w:val="18"/>
        </w:rPr>
        <w:t>submission, para.</w:t>
      </w:r>
      <w:r>
        <w:rPr>
          <w:spacing w:val="-5"/>
          <w:sz w:val="18"/>
        </w:rPr>
        <w:t xml:space="preserve"> </w:t>
      </w:r>
      <w:r>
        <w:rPr>
          <w:spacing w:val="-2"/>
          <w:sz w:val="18"/>
        </w:rPr>
        <w:t>1004.</w:t>
      </w:r>
    </w:p>
    <w:p w14:paraId="76AB73BF" w14:textId="77777777" w:rsidR="00BD462C" w:rsidRDefault="00033D0F">
      <w:pPr>
        <w:spacing w:before="1"/>
        <w:ind w:left="135"/>
        <w:rPr>
          <w:sz w:val="18"/>
        </w:rPr>
      </w:pPr>
      <w:bookmarkStart w:id="1769" w:name="_bookmark1524"/>
      <w:bookmarkEnd w:id="1769"/>
      <w:r>
        <w:rPr>
          <w:position w:val="5"/>
          <w:sz w:val="12"/>
        </w:rPr>
        <w:t>1318</w:t>
      </w:r>
      <w:r>
        <w:rPr>
          <w:spacing w:val="13"/>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 xml:space="preserve">para. </w:t>
      </w:r>
      <w:r>
        <w:rPr>
          <w:spacing w:val="-2"/>
          <w:sz w:val="18"/>
        </w:rPr>
        <w:t>2461.</w:t>
      </w:r>
    </w:p>
    <w:p w14:paraId="2A845F9F" w14:textId="77777777" w:rsidR="00BD462C" w:rsidRDefault="00BD462C">
      <w:pPr>
        <w:rPr>
          <w:sz w:val="18"/>
        </w:rPr>
        <w:sectPr w:rsidR="00BD462C">
          <w:pgSz w:w="11910" w:h="16840"/>
          <w:pgMar w:top="860" w:right="500" w:bottom="780" w:left="1280" w:header="566" w:footer="590" w:gutter="0"/>
          <w:cols w:space="720"/>
        </w:sectPr>
      </w:pPr>
    </w:p>
    <w:p w14:paraId="33552CB5"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65A0DC57"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6731E579"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003D3411" w14:textId="77777777" w:rsidR="00BD462C" w:rsidRDefault="00033D0F">
      <w:pPr>
        <w:pStyle w:val="BodyText"/>
        <w:spacing w:before="102" w:line="357" w:lineRule="auto"/>
        <w:ind w:left="135" w:right="912"/>
      </w:pPr>
      <w:r>
        <w:t>considered</w:t>
      </w:r>
      <w:r>
        <w:rPr>
          <w:spacing w:val="26"/>
        </w:rPr>
        <w:t xml:space="preserve"> </w:t>
      </w:r>
      <w:r>
        <w:t>by</w:t>
      </w:r>
      <w:r>
        <w:rPr>
          <w:spacing w:val="29"/>
        </w:rPr>
        <w:t xml:space="preserve"> </w:t>
      </w:r>
      <w:r>
        <w:t>MOFCOM,</w:t>
      </w:r>
      <w:r>
        <w:rPr>
          <w:spacing w:val="30"/>
        </w:rPr>
        <w:t xml:space="preserve"> </w:t>
      </w:r>
      <w:r>
        <w:t>ultimately</w:t>
      </w:r>
      <w:r>
        <w:rPr>
          <w:spacing w:val="29"/>
        </w:rPr>
        <w:t xml:space="preserve"> </w:t>
      </w:r>
      <w:r>
        <w:t>denying</w:t>
      </w:r>
      <w:r>
        <w:rPr>
          <w:spacing w:val="30"/>
        </w:rPr>
        <w:t xml:space="preserve"> </w:t>
      </w:r>
      <w:r>
        <w:t>those</w:t>
      </w:r>
      <w:r>
        <w:rPr>
          <w:spacing w:val="28"/>
        </w:rPr>
        <w:t xml:space="preserve"> </w:t>
      </w:r>
      <w:r>
        <w:t>interested</w:t>
      </w:r>
      <w:r>
        <w:rPr>
          <w:spacing w:val="26"/>
        </w:rPr>
        <w:t xml:space="preserve"> </w:t>
      </w:r>
      <w:r>
        <w:t>parties</w:t>
      </w:r>
      <w:r>
        <w:rPr>
          <w:spacing w:val="30"/>
        </w:rPr>
        <w:t xml:space="preserve"> </w:t>
      </w:r>
      <w:r>
        <w:t>a</w:t>
      </w:r>
      <w:r>
        <w:rPr>
          <w:spacing w:val="28"/>
        </w:rPr>
        <w:t xml:space="preserve"> </w:t>
      </w:r>
      <w:r>
        <w:t>full</w:t>
      </w:r>
      <w:r>
        <w:rPr>
          <w:spacing w:val="30"/>
        </w:rPr>
        <w:t xml:space="preserve"> </w:t>
      </w:r>
      <w:r>
        <w:t>opportunity</w:t>
      </w:r>
      <w:r>
        <w:rPr>
          <w:spacing w:val="29"/>
        </w:rPr>
        <w:t xml:space="preserve"> </w:t>
      </w:r>
      <w:r>
        <w:t>to defend their interests.</w:t>
      </w:r>
    </w:p>
    <w:p w14:paraId="4703333D" w14:textId="77777777" w:rsidR="00BD462C" w:rsidRDefault="00033D0F" w:rsidP="00DA02D9">
      <w:pPr>
        <w:pStyle w:val="ListParagraph"/>
        <w:numPr>
          <w:ilvl w:val="1"/>
          <w:numId w:val="72"/>
        </w:numPr>
        <w:tabs>
          <w:tab w:val="left" w:pos="1839"/>
          <w:tab w:val="left" w:pos="1840"/>
          <w:tab w:val="left" w:pos="3385"/>
          <w:tab w:val="left" w:pos="4374"/>
          <w:tab w:val="left" w:pos="4863"/>
          <w:tab w:val="left" w:pos="5967"/>
          <w:tab w:val="left" w:pos="6557"/>
          <w:tab w:val="left" w:pos="7753"/>
          <w:tab w:val="left" w:pos="8549"/>
        </w:tabs>
        <w:spacing w:before="164" w:line="360" w:lineRule="auto"/>
        <w:ind w:left="1840" w:right="915"/>
        <w:rPr>
          <w:b/>
        </w:rPr>
      </w:pPr>
      <w:bookmarkStart w:id="1770" w:name="G._MOFCOM's_failure_to_disclose_the_esse"/>
      <w:bookmarkStart w:id="1771" w:name="_bookmark1525"/>
      <w:bookmarkEnd w:id="1770"/>
      <w:bookmarkEnd w:id="1771"/>
      <w:r>
        <w:rPr>
          <w:b/>
          <w:spacing w:val="-2"/>
          <w:sz w:val="28"/>
        </w:rPr>
        <w:t>MOFCOM'</w:t>
      </w:r>
      <w:r>
        <w:rPr>
          <w:b/>
          <w:spacing w:val="-2"/>
        </w:rPr>
        <w:t>S</w:t>
      </w:r>
      <w:r>
        <w:rPr>
          <w:b/>
        </w:rPr>
        <w:tab/>
      </w:r>
      <w:r>
        <w:rPr>
          <w:b/>
          <w:spacing w:val="-2"/>
        </w:rPr>
        <w:t>FAILURE</w:t>
      </w:r>
      <w:r>
        <w:rPr>
          <w:b/>
        </w:rPr>
        <w:tab/>
      </w:r>
      <w:r>
        <w:rPr>
          <w:b/>
          <w:spacing w:val="-6"/>
        </w:rPr>
        <w:t>TO</w:t>
      </w:r>
      <w:r>
        <w:rPr>
          <w:b/>
        </w:rPr>
        <w:tab/>
      </w:r>
      <w:r>
        <w:rPr>
          <w:b/>
          <w:spacing w:val="-2"/>
        </w:rPr>
        <w:t>DISCLOSE</w:t>
      </w:r>
      <w:r>
        <w:rPr>
          <w:b/>
        </w:rPr>
        <w:tab/>
      </w:r>
      <w:r>
        <w:rPr>
          <w:b/>
          <w:spacing w:val="-4"/>
        </w:rPr>
        <w:t>THE</w:t>
      </w:r>
      <w:r>
        <w:rPr>
          <w:b/>
        </w:rPr>
        <w:tab/>
      </w:r>
      <w:r>
        <w:rPr>
          <w:b/>
          <w:spacing w:val="-2"/>
        </w:rPr>
        <w:t>ESSENTIAL</w:t>
      </w:r>
      <w:r>
        <w:rPr>
          <w:b/>
        </w:rPr>
        <w:tab/>
      </w:r>
      <w:r>
        <w:rPr>
          <w:b/>
          <w:spacing w:val="-2"/>
        </w:rPr>
        <w:t>FACTS</w:t>
      </w:r>
      <w:r>
        <w:rPr>
          <w:b/>
        </w:rPr>
        <w:tab/>
      </w:r>
      <w:r>
        <w:rPr>
          <w:b/>
          <w:spacing w:val="-2"/>
        </w:rPr>
        <w:t xml:space="preserve">UNDER </w:t>
      </w:r>
      <w:r>
        <w:rPr>
          <w:b/>
        </w:rPr>
        <w:t>CONSIDERATION</w:t>
      </w:r>
      <w:r>
        <w:rPr>
          <w:b/>
          <w:spacing w:val="-11"/>
        </w:rPr>
        <w:t xml:space="preserve"> </w:t>
      </w:r>
      <w:r>
        <w:rPr>
          <w:b/>
        </w:rPr>
        <w:t>BREACHED</w:t>
      </w:r>
      <w:r>
        <w:rPr>
          <w:b/>
          <w:spacing w:val="-7"/>
        </w:rPr>
        <w:t xml:space="preserve"> </w:t>
      </w:r>
      <w:r>
        <w:rPr>
          <w:b/>
          <w:sz w:val="28"/>
        </w:rPr>
        <w:t>C</w:t>
      </w:r>
      <w:r>
        <w:rPr>
          <w:b/>
        </w:rPr>
        <w:t>HINA</w:t>
      </w:r>
      <w:r>
        <w:rPr>
          <w:b/>
          <w:sz w:val="28"/>
        </w:rPr>
        <w:t>'</w:t>
      </w:r>
      <w:r>
        <w:rPr>
          <w:b/>
        </w:rPr>
        <w:t>S</w:t>
      </w:r>
      <w:r>
        <w:rPr>
          <w:b/>
          <w:spacing w:val="-5"/>
        </w:rPr>
        <w:t xml:space="preserve"> </w:t>
      </w:r>
      <w:r>
        <w:rPr>
          <w:b/>
        </w:rPr>
        <w:t>OBLIGATIONS</w:t>
      </w:r>
      <w:r>
        <w:rPr>
          <w:b/>
          <w:spacing w:val="-5"/>
        </w:rPr>
        <w:t xml:space="preserve"> </w:t>
      </w:r>
      <w:r>
        <w:rPr>
          <w:b/>
        </w:rPr>
        <w:t>UNDER</w:t>
      </w:r>
      <w:r>
        <w:rPr>
          <w:b/>
          <w:spacing w:val="-6"/>
        </w:rPr>
        <w:t xml:space="preserve"> </w:t>
      </w:r>
      <w:r>
        <w:rPr>
          <w:b/>
          <w:sz w:val="28"/>
        </w:rPr>
        <w:t>A</w:t>
      </w:r>
      <w:r>
        <w:rPr>
          <w:b/>
        </w:rPr>
        <w:t>RTICLE</w:t>
      </w:r>
      <w:r>
        <w:rPr>
          <w:b/>
          <w:spacing w:val="-4"/>
        </w:rPr>
        <w:t xml:space="preserve"> </w:t>
      </w:r>
      <w:r>
        <w:rPr>
          <w:b/>
          <w:sz w:val="28"/>
        </w:rPr>
        <w:t>6.9</w:t>
      </w:r>
      <w:r>
        <w:rPr>
          <w:b/>
          <w:spacing w:val="-18"/>
          <w:sz w:val="28"/>
        </w:rPr>
        <w:t xml:space="preserve"> </w:t>
      </w:r>
      <w:r>
        <w:rPr>
          <w:b/>
        </w:rPr>
        <w:t>OF</w:t>
      </w:r>
      <w:r>
        <w:rPr>
          <w:b/>
          <w:spacing w:val="-7"/>
        </w:rPr>
        <w:t xml:space="preserve"> </w:t>
      </w:r>
      <w:r>
        <w:rPr>
          <w:b/>
        </w:rPr>
        <w:t>THE</w:t>
      </w:r>
    </w:p>
    <w:p w14:paraId="60D17471" w14:textId="77777777" w:rsidR="00BD462C" w:rsidRDefault="00033D0F">
      <w:pPr>
        <w:pStyle w:val="Heading2"/>
        <w:spacing w:before="2"/>
        <w:ind w:left="1840"/>
      </w:pPr>
      <w:r>
        <w:rPr>
          <w:smallCaps/>
          <w:spacing w:val="-2"/>
        </w:rPr>
        <w:t>Anti-Dumping</w:t>
      </w:r>
      <w:r>
        <w:rPr>
          <w:smallCaps/>
          <w:spacing w:val="10"/>
        </w:rPr>
        <w:t xml:space="preserve"> </w:t>
      </w:r>
      <w:r>
        <w:rPr>
          <w:smallCaps/>
          <w:spacing w:val="-2"/>
        </w:rPr>
        <w:t>Agreement</w:t>
      </w:r>
    </w:p>
    <w:p w14:paraId="5E6CEDA3" w14:textId="77777777" w:rsidR="00BD462C" w:rsidRDefault="00BD462C">
      <w:pPr>
        <w:pStyle w:val="BodyText"/>
        <w:rPr>
          <w:b/>
          <w:sz w:val="27"/>
        </w:rPr>
      </w:pPr>
    </w:p>
    <w:p w14:paraId="13E57736" w14:textId="77777777" w:rsidR="00BD462C" w:rsidRDefault="00033D0F">
      <w:pPr>
        <w:pStyle w:val="Heading3"/>
        <w:numPr>
          <w:ilvl w:val="0"/>
          <w:numId w:val="15"/>
        </w:numPr>
        <w:tabs>
          <w:tab w:val="left" w:pos="2689"/>
          <w:tab w:val="left" w:pos="2690"/>
        </w:tabs>
        <w:spacing w:before="1"/>
      </w:pPr>
      <w:bookmarkStart w:id="1772" w:name="_bookmark1526"/>
      <w:bookmarkEnd w:id="1772"/>
      <w:r>
        <w:rPr>
          <w:spacing w:val="-2"/>
        </w:rPr>
        <w:t>Introduction</w:t>
      </w:r>
    </w:p>
    <w:p w14:paraId="651B02CB" w14:textId="77777777" w:rsidR="00BD462C" w:rsidRDefault="00BD462C">
      <w:pPr>
        <w:pStyle w:val="BodyText"/>
        <w:spacing w:before="11"/>
        <w:rPr>
          <w:b/>
          <w:sz w:val="20"/>
        </w:rPr>
      </w:pPr>
    </w:p>
    <w:p w14:paraId="58471E14" w14:textId="3F604ADA" w:rsidR="00BD462C" w:rsidRDefault="00C63D13">
      <w:pPr>
        <w:pStyle w:val="BodyText"/>
        <w:spacing w:before="56" w:line="360" w:lineRule="auto"/>
        <w:ind w:left="135" w:right="914"/>
        <w:jc w:val="both"/>
      </w:pPr>
      <w:r>
        <w:rPr>
          <w:noProof/>
        </w:rPr>
        <w:t>912.</w:t>
      </w:r>
      <w:r w:rsidR="00033D0F">
        <w:rPr>
          <w:rFonts w:ascii="Times New Roman"/>
          <w:spacing w:val="40"/>
          <w:position w:val="1"/>
          <w:sz w:val="20"/>
        </w:rPr>
        <w:t xml:space="preserve">  </w:t>
      </w:r>
      <w:r w:rsidR="00033D0F">
        <w:rPr>
          <w:position w:val="1"/>
        </w:rPr>
        <w:t xml:space="preserve">As established in Australia's prior submissions, MOFCOM failed to disclose to </w:t>
      </w:r>
      <w:r w:rsidR="00033D0F">
        <w:t>interested parties all of the essential facts related to MOFCOM's: (i) estimate of total production (or "total output") of domestic like products in China; (ii) recourse to "facts available" to determine normal value; (iii) fair comparison adjustments; (iv) differences affecting price comparability; (v) methodology for calculating dumping margins; (vi) determination of injury and causation; and (vii) treatment of the "Other named Australian exporters" and the "All Others" category of Australian companies.</w:t>
      </w:r>
      <w:hyperlink w:anchor="_bookmark1527" w:history="1">
        <w:r w:rsidR="00033D0F">
          <w:rPr>
            <w:vertAlign w:val="superscript"/>
          </w:rPr>
          <w:t>1319</w:t>
        </w:r>
      </w:hyperlink>
      <w:r w:rsidR="00033D0F">
        <w:t xml:space="preserve"> MOFCOM's failure to disclose</w:t>
      </w:r>
      <w:r w:rsidR="00033D0F">
        <w:rPr>
          <w:spacing w:val="-2"/>
        </w:rPr>
        <w:t xml:space="preserve"> </w:t>
      </w:r>
      <w:r w:rsidR="00033D0F">
        <w:t>this</w:t>
      </w:r>
      <w:r w:rsidR="00033D0F">
        <w:rPr>
          <w:spacing w:val="-1"/>
        </w:rPr>
        <w:t xml:space="preserve"> </w:t>
      </w:r>
      <w:r w:rsidR="00033D0F">
        <w:t>information</w:t>
      </w:r>
      <w:r w:rsidR="00033D0F">
        <w:rPr>
          <w:spacing w:val="-4"/>
        </w:rPr>
        <w:t xml:space="preserve"> </w:t>
      </w:r>
      <w:r w:rsidR="00033D0F">
        <w:t>is</w:t>
      </w:r>
      <w:r w:rsidR="00033D0F">
        <w:rPr>
          <w:spacing w:val="-1"/>
        </w:rPr>
        <w:t xml:space="preserve"> </w:t>
      </w:r>
      <w:r w:rsidR="00033D0F">
        <w:t>inconsistent</w:t>
      </w:r>
      <w:r w:rsidR="00033D0F">
        <w:rPr>
          <w:spacing w:val="-2"/>
        </w:rPr>
        <w:t xml:space="preserve"> </w:t>
      </w:r>
      <w:r w:rsidR="00033D0F">
        <w:t>with</w:t>
      </w:r>
      <w:r w:rsidR="00033D0F">
        <w:rPr>
          <w:spacing w:val="-4"/>
        </w:rPr>
        <w:t xml:space="preserve"> </w:t>
      </w:r>
      <w:r w:rsidR="00033D0F">
        <w:t>China's obligations</w:t>
      </w:r>
      <w:r w:rsidR="00033D0F">
        <w:rPr>
          <w:spacing w:val="-1"/>
        </w:rPr>
        <w:t xml:space="preserve"> </w:t>
      </w:r>
      <w:r w:rsidR="00033D0F">
        <w:t>under Article</w:t>
      </w:r>
      <w:r w:rsidR="00033D0F">
        <w:rPr>
          <w:spacing w:val="-2"/>
        </w:rPr>
        <w:t xml:space="preserve"> </w:t>
      </w:r>
      <w:r w:rsidR="00033D0F">
        <w:t>6.9 of the Anti- Dumping Agreement.</w:t>
      </w:r>
    </w:p>
    <w:p w14:paraId="3B59DA87" w14:textId="77777777" w:rsidR="00BD462C" w:rsidRDefault="00BD462C">
      <w:pPr>
        <w:pStyle w:val="BodyText"/>
        <w:spacing w:before="5"/>
        <w:rPr>
          <w:sz w:val="8"/>
        </w:rPr>
      </w:pPr>
    </w:p>
    <w:p w14:paraId="01215127" w14:textId="5FD524F7" w:rsidR="00BD462C" w:rsidRDefault="00C63D13">
      <w:pPr>
        <w:pStyle w:val="BodyText"/>
        <w:spacing w:before="56" w:line="360" w:lineRule="auto"/>
        <w:ind w:left="135" w:right="917"/>
        <w:jc w:val="both"/>
      </w:pPr>
      <w:r>
        <w:rPr>
          <w:noProof/>
        </w:rPr>
        <w:t>913.</w:t>
      </w:r>
      <w:r w:rsidR="00033D0F">
        <w:rPr>
          <w:rFonts w:ascii="Times New Roman"/>
          <w:spacing w:val="40"/>
          <w:position w:val="1"/>
          <w:sz w:val="20"/>
        </w:rPr>
        <w:t xml:space="preserve">  </w:t>
      </w:r>
      <w:r w:rsidR="00033D0F">
        <w:rPr>
          <w:position w:val="1"/>
        </w:rPr>
        <w:t xml:space="preserve">In response, China argues that MOFCOM satisfied the requirements of Article 6.9 </w:t>
      </w:r>
      <w:r w:rsidR="00033D0F">
        <w:t>because</w:t>
      </w:r>
      <w:r w:rsidR="00033D0F">
        <w:rPr>
          <w:spacing w:val="-6"/>
        </w:rPr>
        <w:t xml:space="preserve"> </w:t>
      </w:r>
      <w:r w:rsidR="00033D0F">
        <w:t>it</w:t>
      </w:r>
      <w:r w:rsidR="00033D0F">
        <w:rPr>
          <w:spacing w:val="-6"/>
        </w:rPr>
        <w:t xml:space="preserve"> </w:t>
      </w:r>
      <w:r w:rsidR="00033D0F">
        <w:t>disclosed</w:t>
      </w:r>
      <w:r w:rsidR="00033D0F">
        <w:rPr>
          <w:spacing w:val="-8"/>
        </w:rPr>
        <w:t xml:space="preserve"> </w:t>
      </w:r>
      <w:r w:rsidR="00033D0F">
        <w:t>to</w:t>
      </w:r>
      <w:r w:rsidR="00033D0F">
        <w:rPr>
          <w:spacing w:val="-9"/>
        </w:rPr>
        <w:t xml:space="preserve"> </w:t>
      </w:r>
      <w:r w:rsidR="00033D0F">
        <w:t>interested</w:t>
      </w:r>
      <w:r w:rsidR="00033D0F">
        <w:rPr>
          <w:spacing w:val="-8"/>
        </w:rPr>
        <w:t xml:space="preserve"> </w:t>
      </w:r>
      <w:r w:rsidR="00033D0F">
        <w:t>parties</w:t>
      </w:r>
      <w:r w:rsidR="00033D0F">
        <w:rPr>
          <w:spacing w:val="-5"/>
        </w:rPr>
        <w:t xml:space="preserve"> </w:t>
      </w:r>
      <w:r w:rsidR="00033D0F">
        <w:t>all</w:t>
      </w:r>
      <w:r w:rsidR="00033D0F">
        <w:rPr>
          <w:spacing w:val="-4"/>
        </w:rPr>
        <w:t xml:space="preserve"> </w:t>
      </w:r>
      <w:r w:rsidR="00033D0F">
        <w:t>"essential</w:t>
      </w:r>
      <w:r w:rsidR="00033D0F">
        <w:rPr>
          <w:spacing w:val="-4"/>
        </w:rPr>
        <w:t xml:space="preserve"> </w:t>
      </w:r>
      <w:r w:rsidR="00033D0F">
        <w:t>facts"</w:t>
      </w:r>
      <w:r w:rsidR="00033D0F">
        <w:rPr>
          <w:spacing w:val="-7"/>
        </w:rPr>
        <w:t xml:space="preserve"> </w:t>
      </w:r>
      <w:r w:rsidR="00033D0F">
        <w:t>that</w:t>
      </w:r>
      <w:r w:rsidR="00033D0F">
        <w:rPr>
          <w:spacing w:val="-6"/>
        </w:rPr>
        <w:t xml:space="preserve"> </w:t>
      </w:r>
      <w:r w:rsidR="00033D0F">
        <w:t>formed</w:t>
      </w:r>
      <w:r w:rsidR="00033D0F">
        <w:rPr>
          <w:spacing w:val="-3"/>
        </w:rPr>
        <w:t xml:space="preserve"> </w:t>
      </w:r>
      <w:r w:rsidR="00033D0F">
        <w:t>its</w:t>
      </w:r>
      <w:r w:rsidR="00033D0F">
        <w:rPr>
          <w:spacing w:val="-5"/>
        </w:rPr>
        <w:t xml:space="preserve"> </w:t>
      </w:r>
      <w:r w:rsidR="00033D0F">
        <w:t>decision</w:t>
      </w:r>
      <w:r w:rsidR="00033D0F">
        <w:rPr>
          <w:spacing w:val="-8"/>
        </w:rPr>
        <w:t xml:space="preserve"> </w:t>
      </w:r>
      <w:r w:rsidR="00033D0F">
        <w:t>to</w:t>
      </w:r>
      <w:r w:rsidR="00033D0F">
        <w:rPr>
          <w:spacing w:val="-4"/>
        </w:rPr>
        <w:t xml:space="preserve"> </w:t>
      </w:r>
      <w:r w:rsidR="00033D0F">
        <w:t>apply final anti-dumping duties, and because interested parties submitted comments based on disclosed</w:t>
      </w:r>
      <w:r w:rsidR="00033D0F">
        <w:rPr>
          <w:spacing w:val="-11"/>
        </w:rPr>
        <w:t xml:space="preserve"> </w:t>
      </w:r>
      <w:r w:rsidR="00033D0F">
        <w:t>facts.</w:t>
      </w:r>
      <w:hyperlink w:anchor="_bookmark1528" w:history="1">
        <w:r w:rsidR="00033D0F">
          <w:rPr>
            <w:vertAlign w:val="superscript"/>
          </w:rPr>
          <w:t>1320</w:t>
        </w:r>
      </w:hyperlink>
      <w:r w:rsidR="00033D0F">
        <w:rPr>
          <w:spacing w:val="-8"/>
        </w:rPr>
        <w:t xml:space="preserve"> </w:t>
      </w:r>
      <w:r w:rsidR="00033D0F">
        <w:t>As</w:t>
      </w:r>
      <w:r w:rsidR="00033D0F">
        <w:rPr>
          <w:spacing w:val="-8"/>
        </w:rPr>
        <w:t xml:space="preserve"> </w:t>
      </w:r>
      <w:r w:rsidR="00033D0F">
        <w:t>Australia</w:t>
      </w:r>
      <w:r w:rsidR="00033D0F">
        <w:rPr>
          <w:spacing w:val="-9"/>
        </w:rPr>
        <w:t xml:space="preserve"> </w:t>
      </w:r>
      <w:r w:rsidR="00033D0F">
        <w:t>will</w:t>
      </w:r>
      <w:r w:rsidR="00033D0F">
        <w:rPr>
          <w:spacing w:val="-7"/>
        </w:rPr>
        <w:t xml:space="preserve"> </w:t>
      </w:r>
      <w:r w:rsidR="00033D0F">
        <w:t>outline</w:t>
      </w:r>
      <w:r w:rsidR="00033D0F">
        <w:rPr>
          <w:spacing w:val="-9"/>
        </w:rPr>
        <w:t xml:space="preserve"> </w:t>
      </w:r>
      <w:r w:rsidR="00033D0F">
        <w:t>below,</w:t>
      </w:r>
      <w:r w:rsidR="00033D0F">
        <w:rPr>
          <w:spacing w:val="-7"/>
        </w:rPr>
        <w:t xml:space="preserve"> </w:t>
      </w:r>
      <w:r w:rsidR="00033D0F">
        <w:t>China's</w:t>
      </w:r>
      <w:r w:rsidR="00033D0F">
        <w:rPr>
          <w:spacing w:val="-8"/>
        </w:rPr>
        <w:t xml:space="preserve"> </w:t>
      </w:r>
      <w:r w:rsidR="00033D0F">
        <w:t>responses</w:t>
      </w:r>
      <w:r w:rsidR="00033D0F">
        <w:rPr>
          <w:spacing w:val="-8"/>
        </w:rPr>
        <w:t xml:space="preserve"> </w:t>
      </w:r>
      <w:r w:rsidR="00033D0F">
        <w:t>are</w:t>
      </w:r>
      <w:r w:rsidR="00033D0F">
        <w:rPr>
          <w:spacing w:val="-9"/>
        </w:rPr>
        <w:t xml:space="preserve"> </w:t>
      </w:r>
      <w:r w:rsidR="00033D0F">
        <w:t>without</w:t>
      </w:r>
      <w:r w:rsidR="00033D0F">
        <w:rPr>
          <w:spacing w:val="-9"/>
        </w:rPr>
        <w:t xml:space="preserve"> </w:t>
      </w:r>
      <w:r w:rsidR="00033D0F">
        <w:t>merit</w:t>
      </w:r>
      <w:r w:rsidR="00033D0F">
        <w:rPr>
          <w:spacing w:val="-13"/>
        </w:rPr>
        <w:t xml:space="preserve"> </w:t>
      </w:r>
      <w:r w:rsidR="00033D0F">
        <w:t>and</w:t>
      </w:r>
      <w:r w:rsidR="00033D0F">
        <w:rPr>
          <w:spacing w:val="-11"/>
        </w:rPr>
        <w:t xml:space="preserve"> </w:t>
      </w:r>
      <w:r w:rsidR="00033D0F">
        <w:t xml:space="preserve">do not rebut the </w:t>
      </w:r>
      <w:r w:rsidR="00033D0F">
        <w:rPr>
          <w:i/>
        </w:rPr>
        <w:t xml:space="preserve">prima facie </w:t>
      </w:r>
      <w:r w:rsidR="00033D0F">
        <w:t>case put forward by Australia.</w:t>
      </w:r>
    </w:p>
    <w:p w14:paraId="7632EC0E" w14:textId="77777777" w:rsidR="00BD462C" w:rsidRDefault="00BD462C">
      <w:pPr>
        <w:pStyle w:val="BodyText"/>
        <w:spacing w:before="5"/>
        <w:rPr>
          <w:sz w:val="8"/>
        </w:rPr>
      </w:pPr>
    </w:p>
    <w:p w14:paraId="1A96B958" w14:textId="173563EE" w:rsidR="00BD462C" w:rsidRDefault="00C63D13">
      <w:pPr>
        <w:pStyle w:val="BodyText"/>
        <w:spacing w:before="57" w:line="360" w:lineRule="auto"/>
        <w:ind w:left="135" w:right="915"/>
        <w:jc w:val="both"/>
      </w:pPr>
      <w:r>
        <w:rPr>
          <w:noProof/>
        </w:rPr>
        <w:t>914.</w:t>
      </w:r>
      <w:r w:rsidR="00033D0F">
        <w:rPr>
          <w:rFonts w:ascii="Times New Roman"/>
          <w:spacing w:val="80"/>
          <w:position w:val="1"/>
          <w:sz w:val="20"/>
        </w:rPr>
        <w:t xml:space="preserve"> </w:t>
      </w:r>
      <w:r w:rsidR="00033D0F">
        <w:rPr>
          <w:position w:val="1"/>
        </w:rPr>
        <w:t xml:space="preserve">As a preliminary issue, Australia notes that China takes issue with Australia's </w:t>
      </w:r>
      <w:proofErr w:type="spellStart"/>
      <w:r w:rsidR="00033D0F">
        <w:t>characterisation</w:t>
      </w:r>
      <w:proofErr w:type="spellEnd"/>
      <w:r w:rsidR="00033D0F">
        <w:t xml:space="preserve"> of Exhibit AUS-101 as an "Additional Final Disclosure".</w:t>
      </w:r>
      <w:hyperlink w:anchor="_bookmark1529" w:history="1">
        <w:r w:rsidR="00033D0F">
          <w:rPr>
            <w:vertAlign w:val="superscript"/>
          </w:rPr>
          <w:t>1321</w:t>
        </w:r>
      </w:hyperlink>
      <w:r w:rsidR="00033D0F">
        <w:t xml:space="preserve"> There is nothing misleading or unfair about Australia's use of this label for a disclosure document that was provided to Australia after the Final Disclosure. Contrary to what is implied by China's submissions,</w:t>
      </w:r>
      <w:hyperlink w:anchor="_bookmark1530" w:history="1">
        <w:r w:rsidR="00033D0F">
          <w:rPr>
            <w:vertAlign w:val="superscript"/>
          </w:rPr>
          <w:t>1322</w:t>
        </w:r>
      </w:hyperlink>
      <w:r w:rsidR="00033D0F">
        <w:rPr>
          <w:spacing w:val="-14"/>
        </w:rPr>
        <w:t xml:space="preserve"> </w:t>
      </w:r>
      <w:r w:rsidR="00033D0F">
        <w:t>the</w:t>
      </w:r>
      <w:r w:rsidR="00033D0F">
        <w:rPr>
          <w:spacing w:val="-14"/>
        </w:rPr>
        <w:t xml:space="preserve"> </w:t>
      </w:r>
      <w:r w:rsidR="00033D0F">
        <w:t>information</w:t>
      </w:r>
      <w:r w:rsidR="00033D0F">
        <w:rPr>
          <w:spacing w:val="-13"/>
        </w:rPr>
        <w:t xml:space="preserve"> </w:t>
      </w:r>
      <w:r w:rsidR="00033D0F">
        <w:t>contained</w:t>
      </w:r>
      <w:r w:rsidR="00033D0F">
        <w:rPr>
          <w:spacing w:val="-14"/>
        </w:rPr>
        <w:t xml:space="preserve"> </w:t>
      </w:r>
      <w:r w:rsidR="00033D0F">
        <w:t>in</w:t>
      </w:r>
      <w:r w:rsidR="00033D0F">
        <w:rPr>
          <w:spacing w:val="-13"/>
        </w:rPr>
        <w:t xml:space="preserve"> </w:t>
      </w:r>
      <w:r w:rsidR="00033D0F">
        <w:t>Exhibit</w:t>
      </w:r>
      <w:r w:rsidR="00033D0F">
        <w:rPr>
          <w:spacing w:val="-15"/>
        </w:rPr>
        <w:t xml:space="preserve"> </w:t>
      </w:r>
      <w:r w:rsidR="00033D0F">
        <w:t>AUS-101,</w:t>
      </w:r>
      <w:r w:rsidR="00033D0F">
        <w:rPr>
          <w:spacing w:val="-14"/>
        </w:rPr>
        <w:t xml:space="preserve"> </w:t>
      </w:r>
      <w:r w:rsidR="00033D0F">
        <w:t>the</w:t>
      </w:r>
      <w:r w:rsidR="00033D0F">
        <w:rPr>
          <w:spacing w:val="-13"/>
        </w:rPr>
        <w:t xml:space="preserve"> </w:t>
      </w:r>
      <w:r w:rsidR="00033D0F">
        <w:t>Additional</w:t>
      </w:r>
      <w:r w:rsidR="00033D0F">
        <w:rPr>
          <w:spacing w:val="-13"/>
        </w:rPr>
        <w:t xml:space="preserve"> </w:t>
      </w:r>
      <w:r w:rsidR="00033D0F">
        <w:t>Final</w:t>
      </w:r>
      <w:r w:rsidR="00033D0F">
        <w:rPr>
          <w:spacing w:val="-11"/>
        </w:rPr>
        <w:t xml:space="preserve"> </w:t>
      </w:r>
      <w:r w:rsidR="00033D0F">
        <w:rPr>
          <w:spacing w:val="-2"/>
        </w:rPr>
        <w:t>Disclosure,</w:t>
      </w:r>
    </w:p>
    <w:p w14:paraId="23512556" w14:textId="77777777" w:rsidR="00BD462C" w:rsidRDefault="00BD462C">
      <w:pPr>
        <w:pStyle w:val="BodyText"/>
        <w:rPr>
          <w:sz w:val="20"/>
        </w:rPr>
      </w:pPr>
    </w:p>
    <w:p w14:paraId="7B1208D7" w14:textId="28A769DE" w:rsidR="00BD462C" w:rsidRDefault="00D70C7D">
      <w:pPr>
        <w:pStyle w:val="BodyText"/>
        <w:spacing w:before="8"/>
        <w:rPr>
          <w:sz w:val="17"/>
        </w:rPr>
      </w:pPr>
      <w:r>
        <w:rPr>
          <w:noProof/>
        </w:rPr>
        <mc:AlternateContent>
          <mc:Choice Requires="wps">
            <w:drawing>
              <wp:anchor distT="0" distB="0" distL="0" distR="0" simplePos="0" relativeHeight="487871488" behindDoc="1" locked="0" layoutInCell="1" allowOverlap="1" wp14:anchorId="52F64324" wp14:editId="3ADB215B">
                <wp:simplePos x="0" y="0"/>
                <wp:positionH relativeFrom="page">
                  <wp:posOffset>899160</wp:posOffset>
                </wp:positionH>
                <wp:positionV relativeFrom="paragraph">
                  <wp:posOffset>152400</wp:posOffset>
                </wp:positionV>
                <wp:extent cx="1828800" cy="8890"/>
                <wp:effectExtent l="0" t="0" r="0" b="0"/>
                <wp:wrapTopAndBottom/>
                <wp:docPr id="230" name="docshape6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D80E88" id="docshape610" o:spid="_x0000_s1026" alt="&quot;&quot;" style="position:absolute;margin-left:70.8pt;margin-top:12pt;width:2in;height:.7pt;z-index:-1544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" fillcolor="black" stroked="f">
                <w10:wrap type="topAndBottom" anchorx="page"/>
              </v:rect>
            </w:pict>
          </mc:Fallback>
        </mc:AlternateContent>
      </w:r>
    </w:p>
    <w:p w14:paraId="7DEA0D92" w14:textId="77777777" w:rsidR="00BD462C" w:rsidRDefault="00033D0F">
      <w:pPr>
        <w:spacing w:before="107"/>
        <w:ind w:left="135" w:right="910"/>
        <w:rPr>
          <w:sz w:val="18"/>
        </w:rPr>
      </w:pPr>
      <w:bookmarkStart w:id="1773" w:name="_bookmark1527"/>
      <w:bookmarkEnd w:id="1773"/>
      <w:r>
        <w:rPr>
          <w:position w:val="5"/>
          <w:sz w:val="12"/>
        </w:rPr>
        <w:t>1319</w:t>
      </w:r>
      <w:r>
        <w:rPr>
          <w:spacing w:val="27"/>
          <w:position w:val="5"/>
          <w:sz w:val="12"/>
        </w:rPr>
        <w:t xml:space="preserve"> </w:t>
      </w:r>
      <w:r>
        <w:rPr>
          <w:sz w:val="18"/>
        </w:rPr>
        <w:t>Australia's arguments concerning MOFCOM's breaches of Article 6.9 are set out in Australia's first written submission, Section VII.G, paras. 1010-1069; Australia's responses to Panel question Nos 63, 64, 66, and 68, paras. 155 – 222.</w:t>
      </w:r>
    </w:p>
    <w:p w14:paraId="1717A8C8" w14:textId="77777777" w:rsidR="00BD462C" w:rsidRDefault="00033D0F">
      <w:pPr>
        <w:spacing w:before="2"/>
        <w:ind w:left="135"/>
        <w:rPr>
          <w:sz w:val="18"/>
        </w:rPr>
      </w:pPr>
      <w:bookmarkStart w:id="1774" w:name="_bookmark1528"/>
      <w:bookmarkEnd w:id="1774"/>
      <w:r>
        <w:rPr>
          <w:position w:val="5"/>
          <w:sz w:val="12"/>
        </w:rPr>
        <w:t>1320</w:t>
      </w:r>
      <w:r>
        <w:rPr>
          <w:spacing w:val="13"/>
          <w:position w:val="5"/>
          <w:sz w:val="12"/>
        </w:rPr>
        <w:t xml:space="preserve"> </w:t>
      </w:r>
      <w:r>
        <w:rPr>
          <w:sz w:val="18"/>
        </w:rPr>
        <w:t>China's</w:t>
      </w:r>
      <w:r>
        <w:rPr>
          <w:spacing w:val="-6"/>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paras.</w:t>
      </w:r>
      <w:r>
        <w:rPr>
          <w:spacing w:val="-5"/>
          <w:sz w:val="18"/>
        </w:rPr>
        <w:t xml:space="preserve"> </w:t>
      </w:r>
      <w:r>
        <w:rPr>
          <w:sz w:val="18"/>
        </w:rPr>
        <w:t>2533-</w:t>
      </w:r>
      <w:r>
        <w:rPr>
          <w:spacing w:val="-2"/>
          <w:sz w:val="18"/>
        </w:rPr>
        <w:t>2570.</w:t>
      </w:r>
    </w:p>
    <w:p w14:paraId="01B2B52F" w14:textId="77777777" w:rsidR="00BD462C" w:rsidRDefault="00033D0F">
      <w:pPr>
        <w:spacing w:before="1"/>
        <w:ind w:left="135"/>
        <w:rPr>
          <w:sz w:val="18"/>
        </w:rPr>
      </w:pPr>
      <w:bookmarkStart w:id="1775" w:name="_bookmark1529"/>
      <w:bookmarkEnd w:id="1775"/>
      <w:r>
        <w:rPr>
          <w:position w:val="5"/>
          <w:sz w:val="12"/>
        </w:rPr>
        <w:t>1321</w:t>
      </w:r>
      <w:r>
        <w:rPr>
          <w:spacing w:val="13"/>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 xml:space="preserve">para. </w:t>
      </w:r>
      <w:r>
        <w:rPr>
          <w:spacing w:val="-2"/>
          <w:sz w:val="18"/>
        </w:rPr>
        <w:t>2509.</w:t>
      </w:r>
    </w:p>
    <w:p w14:paraId="3FDD8C37" w14:textId="77777777" w:rsidR="00BD462C" w:rsidRDefault="00033D0F">
      <w:pPr>
        <w:spacing w:before="1"/>
        <w:ind w:left="135"/>
        <w:rPr>
          <w:sz w:val="18"/>
        </w:rPr>
      </w:pPr>
      <w:bookmarkStart w:id="1776" w:name="_bookmark1530"/>
      <w:bookmarkEnd w:id="1776"/>
      <w:r>
        <w:rPr>
          <w:position w:val="5"/>
          <w:sz w:val="12"/>
        </w:rPr>
        <w:t>1322</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paras.</w:t>
      </w:r>
      <w:r>
        <w:rPr>
          <w:spacing w:val="-5"/>
          <w:sz w:val="18"/>
        </w:rPr>
        <w:t xml:space="preserve"> </w:t>
      </w:r>
      <w:r>
        <w:rPr>
          <w:sz w:val="18"/>
        </w:rPr>
        <w:t>2509-</w:t>
      </w:r>
      <w:r>
        <w:rPr>
          <w:spacing w:val="-2"/>
          <w:sz w:val="18"/>
        </w:rPr>
        <w:t>2513.</w:t>
      </w:r>
    </w:p>
    <w:p w14:paraId="3158E00B" w14:textId="77777777" w:rsidR="00BD462C" w:rsidRDefault="00BD462C">
      <w:pPr>
        <w:rPr>
          <w:sz w:val="18"/>
        </w:rPr>
        <w:sectPr w:rsidR="00BD462C">
          <w:pgSz w:w="11910" w:h="16840"/>
          <w:pgMar w:top="860" w:right="500" w:bottom="780" w:left="1280" w:header="566" w:footer="590" w:gutter="0"/>
          <w:cols w:space="720"/>
        </w:sectPr>
      </w:pPr>
    </w:p>
    <w:p w14:paraId="3997CA1B"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0F314BEC"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713A559A"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65F2EFFA" w14:textId="77777777" w:rsidR="00BD462C" w:rsidRDefault="00033D0F">
      <w:pPr>
        <w:pStyle w:val="BodyText"/>
        <w:spacing w:before="102" w:line="360" w:lineRule="auto"/>
        <w:ind w:left="135" w:right="915"/>
        <w:jc w:val="both"/>
      </w:pPr>
      <w:r>
        <w:t xml:space="preserve">was </w:t>
      </w:r>
      <w:r>
        <w:rPr>
          <w:i/>
        </w:rPr>
        <w:t xml:space="preserve">not </w:t>
      </w:r>
      <w:r>
        <w:t>contained in what China described as the "General Disclosure" document (Exhibit CHN-2). It is true that the Additional Final Disclosure contains additional information</w:t>
      </w:r>
      <w:r>
        <w:rPr>
          <w:spacing w:val="-2"/>
        </w:rPr>
        <w:t xml:space="preserve"> </w:t>
      </w:r>
      <w:r>
        <w:t>to</w:t>
      </w:r>
      <w:r>
        <w:rPr>
          <w:spacing w:val="-2"/>
        </w:rPr>
        <w:t xml:space="preserve"> </w:t>
      </w:r>
      <w:r>
        <w:t>what was provided in the first disclosure to the Australian government, because it sets out, rather than excising, the</w:t>
      </w:r>
      <w:r>
        <w:rPr>
          <w:spacing w:val="-3"/>
        </w:rPr>
        <w:t xml:space="preserve"> </w:t>
      </w:r>
      <w:r>
        <w:t>section relating to the "[p]articular market situation of the Australian wine industry".</w:t>
      </w:r>
      <w:hyperlink w:anchor="_bookmark1532" w:history="1">
        <w:r>
          <w:rPr>
            <w:vertAlign w:val="superscript"/>
          </w:rPr>
          <w:t>1323</w:t>
        </w:r>
      </w:hyperlink>
      <w:r>
        <w:t xml:space="preserve"> However, it still does not contain</w:t>
      </w:r>
      <w:r>
        <w:rPr>
          <w:spacing w:val="-1"/>
        </w:rPr>
        <w:t xml:space="preserve"> </w:t>
      </w:r>
      <w:r>
        <w:t>the non-confidential findings about the three sampled companies that were disclosed in Exhibit AUS-101. China's affirmative submission that it was done without "negligence or fault" suggest it was not an oversight or innocent mistake, but rather</w:t>
      </w:r>
      <w:r>
        <w:rPr>
          <w:spacing w:val="-1"/>
        </w:rPr>
        <w:t xml:space="preserve"> </w:t>
      </w:r>
      <w:r>
        <w:t>a deliberate choice MOFCOM</w:t>
      </w:r>
      <w:r>
        <w:rPr>
          <w:spacing w:val="-2"/>
        </w:rPr>
        <w:t xml:space="preserve"> </w:t>
      </w:r>
      <w:r>
        <w:t>made to</w:t>
      </w:r>
      <w:r>
        <w:rPr>
          <w:spacing w:val="-1"/>
        </w:rPr>
        <w:t xml:space="preserve"> </w:t>
      </w:r>
      <w:r>
        <w:t>withhold</w:t>
      </w:r>
      <w:r>
        <w:rPr>
          <w:spacing w:val="-1"/>
        </w:rPr>
        <w:t xml:space="preserve"> </w:t>
      </w:r>
      <w:r>
        <w:t>this obviously</w:t>
      </w:r>
      <w:r>
        <w:rPr>
          <w:spacing w:val="-2"/>
        </w:rPr>
        <w:t xml:space="preserve"> </w:t>
      </w:r>
      <w:r>
        <w:t xml:space="preserve">significant </w:t>
      </w:r>
      <w:r>
        <w:rPr>
          <w:spacing w:val="-2"/>
        </w:rPr>
        <w:t>information.</w:t>
      </w:r>
      <w:hyperlink w:anchor="_bookmark1533" w:history="1">
        <w:r>
          <w:rPr>
            <w:spacing w:val="-2"/>
            <w:vertAlign w:val="superscript"/>
          </w:rPr>
          <w:t>1324</w:t>
        </w:r>
      </w:hyperlink>
    </w:p>
    <w:p w14:paraId="33ED2D8D" w14:textId="77777777" w:rsidR="00BD462C" w:rsidRDefault="00BD462C">
      <w:pPr>
        <w:pStyle w:val="BodyText"/>
        <w:spacing w:before="10"/>
        <w:rPr>
          <w:sz w:val="8"/>
        </w:rPr>
      </w:pPr>
    </w:p>
    <w:p w14:paraId="2CF94AFF" w14:textId="7E7FE22E" w:rsidR="00BD462C" w:rsidRDefault="00C63D13">
      <w:pPr>
        <w:pStyle w:val="BodyText"/>
        <w:spacing w:before="56" w:line="360" w:lineRule="auto"/>
        <w:ind w:left="135" w:right="918"/>
        <w:jc w:val="both"/>
      </w:pPr>
      <w:r>
        <w:rPr>
          <w:noProof/>
        </w:rPr>
        <w:t>915.</w:t>
      </w:r>
      <w:r w:rsidR="00033D0F">
        <w:rPr>
          <w:rFonts w:ascii="Times New Roman"/>
          <w:spacing w:val="80"/>
          <w:w w:val="150"/>
          <w:position w:val="1"/>
          <w:sz w:val="20"/>
        </w:rPr>
        <w:t xml:space="preserve"> </w:t>
      </w:r>
      <w:r w:rsidR="00033D0F">
        <w:rPr>
          <w:position w:val="1"/>
        </w:rPr>
        <w:t xml:space="preserve">Australia notes that China has made several jurisdictional objections concerning </w:t>
      </w:r>
      <w:r w:rsidR="00033D0F">
        <w:t>Australia's</w:t>
      </w:r>
      <w:r w:rsidR="00033D0F">
        <w:rPr>
          <w:spacing w:val="-2"/>
        </w:rPr>
        <w:t xml:space="preserve"> </w:t>
      </w:r>
      <w:r w:rsidR="00033D0F">
        <w:t>claims</w:t>
      </w:r>
      <w:r w:rsidR="00033D0F">
        <w:rPr>
          <w:spacing w:val="-2"/>
        </w:rPr>
        <w:t xml:space="preserve"> </w:t>
      </w:r>
      <w:r w:rsidR="00033D0F">
        <w:t>pursuant</w:t>
      </w:r>
      <w:r w:rsidR="00033D0F">
        <w:rPr>
          <w:spacing w:val="-3"/>
        </w:rPr>
        <w:t xml:space="preserve"> </w:t>
      </w:r>
      <w:r w:rsidR="00033D0F">
        <w:t>to</w:t>
      </w:r>
      <w:r w:rsidR="00033D0F">
        <w:rPr>
          <w:spacing w:val="-5"/>
        </w:rPr>
        <w:t xml:space="preserve"> </w:t>
      </w:r>
      <w:r w:rsidR="00033D0F">
        <w:t>Article</w:t>
      </w:r>
      <w:r w:rsidR="00033D0F">
        <w:rPr>
          <w:spacing w:val="-3"/>
        </w:rPr>
        <w:t xml:space="preserve"> </w:t>
      </w:r>
      <w:r w:rsidR="00033D0F">
        <w:t>6.9.</w:t>
      </w:r>
      <w:hyperlink w:anchor="_bookmark1534" w:history="1">
        <w:r w:rsidR="00033D0F">
          <w:rPr>
            <w:vertAlign w:val="superscript"/>
          </w:rPr>
          <w:t>1325</w:t>
        </w:r>
      </w:hyperlink>
      <w:r w:rsidR="00033D0F">
        <w:rPr>
          <w:spacing w:val="-3"/>
        </w:rPr>
        <w:t xml:space="preserve"> </w:t>
      </w:r>
      <w:r w:rsidR="00033D0F">
        <w:t>These</w:t>
      </w:r>
      <w:r w:rsidR="00033D0F">
        <w:rPr>
          <w:spacing w:val="-3"/>
        </w:rPr>
        <w:t xml:space="preserve"> </w:t>
      </w:r>
      <w:r w:rsidR="00033D0F">
        <w:t>objections</w:t>
      </w:r>
      <w:r w:rsidR="00033D0F">
        <w:rPr>
          <w:spacing w:val="-2"/>
        </w:rPr>
        <w:t xml:space="preserve"> </w:t>
      </w:r>
      <w:r w:rsidR="00033D0F">
        <w:t>are</w:t>
      </w:r>
      <w:r w:rsidR="00033D0F">
        <w:rPr>
          <w:spacing w:val="-3"/>
        </w:rPr>
        <w:t xml:space="preserve"> </w:t>
      </w:r>
      <w:r w:rsidR="00033D0F">
        <w:t>entirely</w:t>
      </w:r>
      <w:r w:rsidR="00033D0F">
        <w:rPr>
          <w:spacing w:val="-2"/>
        </w:rPr>
        <w:t xml:space="preserve"> </w:t>
      </w:r>
      <w:r w:rsidR="00033D0F">
        <w:t>without</w:t>
      </w:r>
      <w:r w:rsidR="00033D0F">
        <w:rPr>
          <w:spacing w:val="-3"/>
        </w:rPr>
        <w:t xml:space="preserve"> </w:t>
      </w:r>
      <w:r w:rsidR="00033D0F">
        <w:t>merit,</w:t>
      </w:r>
      <w:r w:rsidR="00033D0F">
        <w:rPr>
          <w:spacing w:val="-1"/>
        </w:rPr>
        <w:t xml:space="preserve"> </w:t>
      </w:r>
      <w:r w:rsidR="00033D0F">
        <w:t xml:space="preserve">and Australia addresses China's specific allegations under the appropriate subsections of this </w:t>
      </w:r>
      <w:r w:rsidR="00033D0F">
        <w:rPr>
          <w:spacing w:val="-2"/>
        </w:rPr>
        <w:t>submission.</w:t>
      </w:r>
      <w:hyperlink w:anchor="_bookmark1535" w:history="1">
        <w:r w:rsidR="00033D0F">
          <w:rPr>
            <w:spacing w:val="-2"/>
            <w:vertAlign w:val="superscript"/>
          </w:rPr>
          <w:t>1326</w:t>
        </w:r>
      </w:hyperlink>
    </w:p>
    <w:p w14:paraId="72BEEB21" w14:textId="77777777" w:rsidR="00BD462C" w:rsidRDefault="00033D0F">
      <w:pPr>
        <w:pStyle w:val="Heading3"/>
        <w:numPr>
          <w:ilvl w:val="0"/>
          <w:numId w:val="15"/>
        </w:numPr>
        <w:tabs>
          <w:tab w:val="left" w:pos="2689"/>
          <w:tab w:val="left" w:pos="2690"/>
        </w:tabs>
        <w:spacing w:before="153"/>
      </w:pPr>
      <w:bookmarkStart w:id="1777" w:name="_bookmark1531"/>
      <w:bookmarkEnd w:id="1777"/>
      <w:r>
        <w:t>Legal</w:t>
      </w:r>
      <w:r>
        <w:rPr>
          <w:spacing w:val="-3"/>
        </w:rPr>
        <w:t xml:space="preserve"> </w:t>
      </w:r>
      <w:r>
        <w:rPr>
          <w:spacing w:val="-2"/>
        </w:rPr>
        <w:t>framework</w:t>
      </w:r>
    </w:p>
    <w:p w14:paraId="214F50AB" w14:textId="77777777" w:rsidR="00BD462C" w:rsidRDefault="00BD462C">
      <w:pPr>
        <w:pStyle w:val="BodyText"/>
        <w:spacing w:before="11"/>
        <w:rPr>
          <w:b/>
          <w:sz w:val="20"/>
        </w:rPr>
      </w:pPr>
    </w:p>
    <w:p w14:paraId="7AD67760" w14:textId="3B7D7385" w:rsidR="00BD462C" w:rsidRDefault="00C63D13">
      <w:pPr>
        <w:pStyle w:val="BodyText"/>
        <w:spacing w:before="56" w:line="357" w:lineRule="auto"/>
        <w:ind w:left="135" w:right="916"/>
        <w:jc w:val="both"/>
      </w:pPr>
      <w:r>
        <w:rPr>
          <w:noProof/>
        </w:rPr>
        <w:t>916.</w:t>
      </w:r>
      <w:r w:rsidR="00033D0F">
        <w:rPr>
          <w:rFonts w:ascii="Times New Roman"/>
          <w:spacing w:val="80"/>
          <w:position w:val="1"/>
          <w:sz w:val="20"/>
        </w:rPr>
        <w:t xml:space="preserve">  </w:t>
      </w:r>
      <w:r w:rsidR="00033D0F">
        <w:rPr>
          <w:position w:val="1"/>
        </w:rPr>
        <w:t>Article</w:t>
      </w:r>
      <w:r w:rsidR="00033D0F">
        <w:rPr>
          <w:spacing w:val="-8"/>
          <w:position w:val="1"/>
        </w:rPr>
        <w:t xml:space="preserve"> </w:t>
      </w:r>
      <w:r w:rsidR="00033D0F">
        <w:rPr>
          <w:position w:val="1"/>
        </w:rPr>
        <w:t>6.9</w:t>
      </w:r>
      <w:r w:rsidR="00033D0F">
        <w:rPr>
          <w:spacing w:val="-10"/>
          <w:position w:val="1"/>
        </w:rPr>
        <w:t xml:space="preserve"> </w:t>
      </w:r>
      <w:r w:rsidR="00033D0F">
        <w:rPr>
          <w:position w:val="1"/>
        </w:rPr>
        <w:t>reinforces</w:t>
      </w:r>
      <w:r w:rsidR="00033D0F">
        <w:rPr>
          <w:spacing w:val="-7"/>
          <w:position w:val="1"/>
        </w:rPr>
        <w:t xml:space="preserve"> </w:t>
      </w:r>
      <w:r w:rsidR="00033D0F">
        <w:rPr>
          <w:position w:val="1"/>
        </w:rPr>
        <w:t>the</w:t>
      </w:r>
      <w:r w:rsidR="00033D0F">
        <w:rPr>
          <w:spacing w:val="-8"/>
          <w:position w:val="1"/>
        </w:rPr>
        <w:t xml:space="preserve"> </w:t>
      </w:r>
      <w:r w:rsidR="00033D0F">
        <w:rPr>
          <w:position w:val="1"/>
        </w:rPr>
        <w:t>fundamental</w:t>
      </w:r>
      <w:r w:rsidR="00033D0F">
        <w:rPr>
          <w:spacing w:val="-6"/>
          <w:position w:val="1"/>
        </w:rPr>
        <w:t xml:space="preserve"> </w:t>
      </w:r>
      <w:r w:rsidR="00033D0F">
        <w:rPr>
          <w:position w:val="1"/>
        </w:rPr>
        <w:t>due</w:t>
      </w:r>
      <w:r w:rsidR="00033D0F">
        <w:rPr>
          <w:spacing w:val="-8"/>
          <w:position w:val="1"/>
        </w:rPr>
        <w:t xml:space="preserve"> </w:t>
      </w:r>
      <w:r w:rsidR="00033D0F">
        <w:rPr>
          <w:position w:val="1"/>
        </w:rPr>
        <w:t>process</w:t>
      </w:r>
      <w:r w:rsidR="00033D0F">
        <w:rPr>
          <w:spacing w:val="-7"/>
          <w:position w:val="1"/>
        </w:rPr>
        <w:t xml:space="preserve"> </w:t>
      </w:r>
      <w:r w:rsidR="00033D0F">
        <w:rPr>
          <w:position w:val="1"/>
        </w:rPr>
        <w:t>rights</w:t>
      </w:r>
      <w:r w:rsidR="00033D0F">
        <w:rPr>
          <w:spacing w:val="-7"/>
          <w:position w:val="1"/>
        </w:rPr>
        <w:t xml:space="preserve"> </w:t>
      </w:r>
      <w:r w:rsidR="00033D0F">
        <w:rPr>
          <w:position w:val="1"/>
        </w:rPr>
        <w:t>provided</w:t>
      </w:r>
      <w:r w:rsidR="00033D0F">
        <w:rPr>
          <w:spacing w:val="-10"/>
          <w:position w:val="1"/>
        </w:rPr>
        <w:t xml:space="preserve"> </w:t>
      </w:r>
      <w:r w:rsidR="00033D0F">
        <w:rPr>
          <w:position w:val="1"/>
        </w:rPr>
        <w:t>to</w:t>
      </w:r>
      <w:r w:rsidR="00033D0F">
        <w:rPr>
          <w:spacing w:val="-11"/>
          <w:position w:val="1"/>
        </w:rPr>
        <w:t xml:space="preserve"> </w:t>
      </w:r>
      <w:r w:rsidR="00033D0F">
        <w:rPr>
          <w:position w:val="1"/>
        </w:rPr>
        <w:t>parties</w:t>
      </w:r>
      <w:r w:rsidR="00033D0F">
        <w:rPr>
          <w:spacing w:val="-7"/>
          <w:position w:val="1"/>
        </w:rPr>
        <w:t xml:space="preserve"> </w:t>
      </w:r>
      <w:r w:rsidR="00033D0F">
        <w:rPr>
          <w:position w:val="1"/>
        </w:rPr>
        <w:t>to</w:t>
      </w:r>
      <w:r w:rsidR="00033D0F">
        <w:rPr>
          <w:spacing w:val="-11"/>
          <w:position w:val="1"/>
        </w:rPr>
        <w:t xml:space="preserve"> </w:t>
      </w:r>
      <w:r w:rsidR="00033D0F">
        <w:rPr>
          <w:position w:val="1"/>
        </w:rPr>
        <w:t xml:space="preserve">allow </w:t>
      </w:r>
      <w:r w:rsidR="00033D0F">
        <w:t>them</w:t>
      </w:r>
      <w:r w:rsidR="00033D0F">
        <w:rPr>
          <w:spacing w:val="-4"/>
        </w:rPr>
        <w:t xml:space="preserve"> </w:t>
      </w:r>
      <w:r w:rsidR="00033D0F">
        <w:t>to</w:t>
      </w:r>
      <w:r w:rsidR="00033D0F">
        <w:rPr>
          <w:spacing w:val="-6"/>
        </w:rPr>
        <w:t xml:space="preserve"> </w:t>
      </w:r>
      <w:r w:rsidR="00033D0F">
        <w:t>defend their</w:t>
      </w:r>
      <w:r w:rsidR="00033D0F">
        <w:rPr>
          <w:spacing w:val="-6"/>
        </w:rPr>
        <w:t xml:space="preserve"> </w:t>
      </w:r>
      <w:r w:rsidR="00033D0F">
        <w:t>interests</w:t>
      </w:r>
      <w:r w:rsidR="00033D0F">
        <w:rPr>
          <w:spacing w:val="-2"/>
        </w:rPr>
        <w:t xml:space="preserve"> </w:t>
      </w:r>
      <w:r w:rsidR="00033D0F">
        <w:t>by</w:t>
      </w:r>
      <w:r w:rsidR="00033D0F">
        <w:rPr>
          <w:spacing w:val="-2"/>
        </w:rPr>
        <w:t xml:space="preserve"> </w:t>
      </w:r>
      <w:r w:rsidR="00033D0F">
        <w:t>understanding</w:t>
      </w:r>
      <w:r w:rsidR="00033D0F">
        <w:rPr>
          <w:spacing w:val="-2"/>
        </w:rPr>
        <w:t xml:space="preserve"> </w:t>
      </w:r>
      <w:r w:rsidR="00033D0F">
        <w:t>the</w:t>
      </w:r>
      <w:r w:rsidR="00033D0F">
        <w:rPr>
          <w:spacing w:val="-4"/>
        </w:rPr>
        <w:t xml:space="preserve"> </w:t>
      </w:r>
      <w:r w:rsidR="00033D0F">
        <w:t>essential</w:t>
      </w:r>
      <w:r w:rsidR="00033D0F">
        <w:rPr>
          <w:spacing w:val="-1"/>
        </w:rPr>
        <w:t xml:space="preserve"> </w:t>
      </w:r>
      <w:r w:rsidR="00033D0F">
        <w:t>facts</w:t>
      </w:r>
      <w:r w:rsidR="00033D0F">
        <w:rPr>
          <w:spacing w:val="-2"/>
        </w:rPr>
        <w:t xml:space="preserve"> </w:t>
      </w:r>
      <w:r w:rsidR="00033D0F">
        <w:t>an</w:t>
      </w:r>
      <w:r w:rsidR="00033D0F">
        <w:rPr>
          <w:spacing w:val="-5"/>
        </w:rPr>
        <w:t xml:space="preserve"> </w:t>
      </w:r>
      <w:r w:rsidR="00033D0F">
        <w:t>investigating</w:t>
      </w:r>
      <w:r w:rsidR="00033D0F">
        <w:rPr>
          <w:spacing w:val="-2"/>
        </w:rPr>
        <w:t xml:space="preserve"> </w:t>
      </w:r>
      <w:r w:rsidR="00033D0F">
        <w:t>authority is relying on when making decisions whether to apply definitive measures.</w:t>
      </w:r>
    </w:p>
    <w:p w14:paraId="10AE941D" w14:textId="77777777" w:rsidR="00BD462C" w:rsidRDefault="00BD462C">
      <w:pPr>
        <w:pStyle w:val="BodyText"/>
        <w:spacing w:before="3"/>
        <w:rPr>
          <w:sz w:val="9"/>
        </w:rPr>
      </w:pPr>
    </w:p>
    <w:p w14:paraId="1474E84A" w14:textId="2E1BBD08" w:rsidR="00BD462C" w:rsidRDefault="00C63D13">
      <w:pPr>
        <w:pStyle w:val="BodyText"/>
        <w:spacing w:before="56"/>
        <w:ind w:left="135"/>
      </w:pPr>
      <w:r>
        <w:rPr>
          <w:noProof/>
        </w:rPr>
        <w:t>917.</w:t>
      </w:r>
      <w:r w:rsidR="00033D0F">
        <w:rPr>
          <w:rFonts w:ascii="Times New Roman"/>
          <w:spacing w:val="80"/>
          <w:position w:val="1"/>
          <w:sz w:val="20"/>
        </w:rPr>
        <w:t xml:space="preserve">   </w:t>
      </w:r>
      <w:r w:rsidR="00033D0F">
        <w:rPr>
          <w:position w:val="1"/>
        </w:rPr>
        <w:t>Australia</w:t>
      </w:r>
      <w:r w:rsidR="00033D0F">
        <w:rPr>
          <w:spacing w:val="-1"/>
          <w:position w:val="1"/>
        </w:rPr>
        <w:t xml:space="preserve"> </w:t>
      </w:r>
      <w:r w:rsidR="00033D0F">
        <w:rPr>
          <w:position w:val="1"/>
        </w:rPr>
        <w:t>and</w:t>
      </w:r>
      <w:r w:rsidR="00033D0F">
        <w:rPr>
          <w:spacing w:val="-2"/>
          <w:position w:val="1"/>
        </w:rPr>
        <w:t xml:space="preserve"> </w:t>
      </w:r>
      <w:r w:rsidR="00033D0F">
        <w:rPr>
          <w:position w:val="1"/>
        </w:rPr>
        <w:t>China</w:t>
      </w:r>
      <w:r w:rsidR="00033D0F">
        <w:rPr>
          <w:spacing w:val="-1"/>
          <w:position w:val="1"/>
        </w:rPr>
        <w:t xml:space="preserve"> </w:t>
      </w:r>
      <w:r w:rsidR="00033D0F">
        <w:rPr>
          <w:position w:val="1"/>
        </w:rPr>
        <w:t>disagree over</w:t>
      </w:r>
      <w:r w:rsidR="00033D0F">
        <w:rPr>
          <w:spacing w:val="-3"/>
          <w:position w:val="1"/>
        </w:rPr>
        <w:t xml:space="preserve"> </w:t>
      </w:r>
      <w:r w:rsidR="00033D0F">
        <w:rPr>
          <w:position w:val="1"/>
        </w:rPr>
        <w:t>the proper</w:t>
      </w:r>
      <w:r w:rsidR="00033D0F">
        <w:rPr>
          <w:spacing w:val="-3"/>
          <w:position w:val="1"/>
        </w:rPr>
        <w:t xml:space="preserve"> </w:t>
      </w:r>
      <w:r w:rsidR="00033D0F">
        <w:rPr>
          <w:position w:val="1"/>
        </w:rPr>
        <w:t>interpretation</w:t>
      </w:r>
      <w:r w:rsidR="00033D0F">
        <w:rPr>
          <w:spacing w:val="-2"/>
          <w:position w:val="1"/>
        </w:rPr>
        <w:t xml:space="preserve"> </w:t>
      </w:r>
      <w:r w:rsidR="00033D0F">
        <w:rPr>
          <w:position w:val="1"/>
        </w:rPr>
        <w:t>and</w:t>
      </w:r>
      <w:r w:rsidR="00033D0F">
        <w:rPr>
          <w:spacing w:val="-2"/>
          <w:position w:val="1"/>
        </w:rPr>
        <w:t xml:space="preserve"> </w:t>
      </w:r>
      <w:r w:rsidR="00033D0F">
        <w:rPr>
          <w:position w:val="1"/>
        </w:rPr>
        <w:t>application</w:t>
      </w:r>
      <w:r w:rsidR="00033D0F">
        <w:rPr>
          <w:spacing w:val="-2"/>
          <w:position w:val="1"/>
        </w:rPr>
        <w:t xml:space="preserve"> </w:t>
      </w:r>
      <w:r w:rsidR="00033D0F">
        <w:rPr>
          <w:position w:val="1"/>
        </w:rPr>
        <w:t>of</w:t>
      </w:r>
      <w:r w:rsidR="00033D0F">
        <w:rPr>
          <w:spacing w:val="-2"/>
          <w:position w:val="1"/>
        </w:rPr>
        <w:t xml:space="preserve"> </w:t>
      </w:r>
      <w:r w:rsidR="00033D0F">
        <w:rPr>
          <w:position w:val="1"/>
        </w:rPr>
        <w:t>Article</w:t>
      </w:r>
    </w:p>
    <w:p w14:paraId="64002ADC" w14:textId="77777777" w:rsidR="00BD462C" w:rsidRDefault="00033D0F">
      <w:pPr>
        <w:pStyle w:val="BodyText"/>
        <w:spacing w:before="144"/>
        <w:ind w:left="135"/>
      </w:pPr>
      <w:r>
        <w:t>6.9</w:t>
      </w:r>
      <w:r>
        <w:rPr>
          <w:spacing w:val="-7"/>
        </w:rPr>
        <w:t xml:space="preserve"> </w:t>
      </w:r>
      <w:r>
        <w:t>of</w:t>
      </w:r>
      <w:r>
        <w:rPr>
          <w:spacing w:val="-1"/>
        </w:rPr>
        <w:t xml:space="preserve"> </w:t>
      </w:r>
      <w:r>
        <w:t>the</w:t>
      </w:r>
      <w:r>
        <w:rPr>
          <w:spacing w:val="-4"/>
        </w:rPr>
        <w:t xml:space="preserve"> </w:t>
      </w:r>
      <w:r>
        <w:t>Anti-Dumping</w:t>
      </w:r>
      <w:r>
        <w:rPr>
          <w:spacing w:val="-3"/>
        </w:rPr>
        <w:t xml:space="preserve"> </w:t>
      </w:r>
      <w:r>
        <w:t>Agreement,</w:t>
      </w:r>
      <w:r>
        <w:rPr>
          <w:spacing w:val="-2"/>
        </w:rPr>
        <w:t xml:space="preserve"> </w:t>
      </w:r>
      <w:r>
        <w:t>including</w:t>
      </w:r>
      <w:r>
        <w:rPr>
          <w:spacing w:val="-3"/>
        </w:rPr>
        <w:t xml:space="preserve"> </w:t>
      </w:r>
      <w:r>
        <w:t>with</w:t>
      </w:r>
      <w:r>
        <w:rPr>
          <w:spacing w:val="-6"/>
        </w:rPr>
        <w:t xml:space="preserve"> </w:t>
      </w:r>
      <w:r>
        <w:t>respect</w:t>
      </w:r>
      <w:r>
        <w:rPr>
          <w:spacing w:val="-3"/>
        </w:rPr>
        <w:t xml:space="preserve"> </w:t>
      </w:r>
      <w:r>
        <w:rPr>
          <w:spacing w:val="-5"/>
        </w:rPr>
        <w:t>to:</w:t>
      </w:r>
    </w:p>
    <w:p w14:paraId="75791ACD" w14:textId="77777777" w:rsidR="00BD462C" w:rsidRDefault="00BD462C">
      <w:pPr>
        <w:pStyle w:val="BodyText"/>
        <w:spacing w:before="11"/>
      </w:pPr>
    </w:p>
    <w:p w14:paraId="4206255B" w14:textId="77777777" w:rsidR="00BD462C" w:rsidRDefault="00033D0F">
      <w:pPr>
        <w:pStyle w:val="ListParagraph"/>
        <w:numPr>
          <w:ilvl w:val="0"/>
          <w:numId w:val="14"/>
        </w:numPr>
        <w:tabs>
          <w:tab w:val="left" w:pos="1835"/>
          <w:tab w:val="left" w:pos="1836"/>
        </w:tabs>
        <w:spacing w:before="0" w:line="357" w:lineRule="auto"/>
        <w:ind w:right="917" w:hanging="855"/>
        <w:rPr>
          <w:sz w:val="24"/>
        </w:rPr>
      </w:pPr>
      <w:r>
        <w:rPr>
          <w:sz w:val="24"/>
        </w:rPr>
        <w:t>the</w:t>
      </w:r>
      <w:r>
        <w:rPr>
          <w:spacing w:val="-8"/>
          <w:sz w:val="24"/>
        </w:rPr>
        <w:t xml:space="preserve"> </w:t>
      </w:r>
      <w:r>
        <w:rPr>
          <w:sz w:val="24"/>
        </w:rPr>
        <w:t>relationship</w:t>
      </w:r>
      <w:r>
        <w:rPr>
          <w:spacing w:val="-10"/>
          <w:sz w:val="24"/>
        </w:rPr>
        <w:t xml:space="preserve"> </w:t>
      </w:r>
      <w:r>
        <w:rPr>
          <w:sz w:val="24"/>
        </w:rPr>
        <w:t>between</w:t>
      </w:r>
      <w:r>
        <w:rPr>
          <w:spacing w:val="-10"/>
          <w:sz w:val="24"/>
        </w:rPr>
        <w:t xml:space="preserve"> </w:t>
      </w:r>
      <w:r>
        <w:rPr>
          <w:sz w:val="24"/>
        </w:rPr>
        <w:t>Articles</w:t>
      </w:r>
      <w:r>
        <w:rPr>
          <w:spacing w:val="-7"/>
          <w:sz w:val="24"/>
        </w:rPr>
        <w:t xml:space="preserve"> </w:t>
      </w:r>
      <w:r>
        <w:rPr>
          <w:sz w:val="24"/>
        </w:rPr>
        <w:t>6.9</w:t>
      </w:r>
      <w:r>
        <w:rPr>
          <w:spacing w:val="-10"/>
          <w:sz w:val="24"/>
        </w:rPr>
        <w:t xml:space="preserve"> </w:t>
      </w:r>
      <w:r>
        <w:rPr>
          <w:sz w:val="24"/>
        </w:rPr>
        <w:t>and</w:t>
      </w:r>
      <w:r>
        <w:rPr>
          <w:spacing w:val="-10"/>
          <w:sz w:val="24"/>
        </w:rPr>
        <w:t xml:space="preserve"> </w:t>
      </w:r>
      <w:r>
        <w:rPr>
          <w:sz w:val="24"/>
        </w:rPr>
        <w:t>other</w:t>
      </w:r>
      <w:r>
        <w:rPr>
          <w:spacing w:val="-6"/>
          <w:sz w:val="24"/>
        </w:rPr>
        <w:t xml:space="preserve"> </w:t>
      </w:r>
      <w:r>
        <w:rPr>
          <w:sz w:val="24"/>
        </w:rPr>
        <w:t>articles</w:t>
      </w:r>
      <w:r>
        <w:rPr>
          <w:spacing w:val="-7"/>
          <w:sz w:val="24"/>
        </w:rPr>
        <w:t xml:space="preserve"> </w:t>
      </w:r>
      <w:r>
        <w:rPr>
          <w:sz w:val="24"/>
        </w:rPr>
        <w:t>of</w:t>
      </w:r>
      <w:r>
        <w:rPr>
          <w:spacing w:val="-10"/>
          <w:sz w:val="24"/>
        </w:rPr>
        <w:t xml:space="preserve"> </w:t>
      </w:r>
      <w:r>
        <w:rPr>
          <w:sz w:val="24"/>
        </w:rPr>
        <w:t>the</w:t>
      </w:r>
      <w:r>
        <w:rPr>
          <w:spacing w:val="-8"/>
          <w:sz w:val="24"/>
        </w:rPr>
        <w:t xml:space="preserve"> </w:t>
      </w:r>
      <w:r>
        <w:rPr>
          <w:sz w:val="24"/>
        </w:rPr>
        <w:t xml:space="preserve">Anti-Dumping </w:t>
      </w:r>
      <w:r>
        <w:rPr>
          <w:spacing w:val="-2"/>
          <w:sz w:val="24"/>
        </w:rPr>
        <w:t>Agreement;</w:t>
      </w:r>
      <w:hyperlink w:anchor="_bookmark1536" w:history="1">
        <w:r>
          <w:rPr>
            <w:spacing w:val="-2"/>
            <w:sz w:val="24"/>
            <w:vertAlign w:val="superscript"/>
          </w:rPr>
          <w:t>1327</w:t>
        </w:r>
      </w:hyperlink>
    </w:p>
    <w:p w14:paraId="00D3E9B5" w14:textId="77777777" w:rsidR="00BD462C" w:rsidRDefault="00033D0F">
      <w:pPr>
        <w:pStyle w:val="ListParagraph"/>
        <w:numPr>
          <w:ilvl w:val="0"/>
          <w:numId w:val="14"/>
        </w:numPr>
        <w:tabs>
          <w:tab w:val="left" w:pos="1835"/>
          <w:tab w:val="left" w:pos="1836"/>
        </w:tabs>
        <w:spacing w:before="126"/>
        <w:ind w:left="1835" w:hanging="851"/>
        <w:rPr>
          <w:sz w:val="24"/>
        </w:rPr>
      </w:pPr>
      <w:r>
        <w:rPr>
          <w:sz w:val="24"/>
        </w:rPr>
        <w:t>the</w:t>
      </w:r>
      <w:r>
        <w:rPr>
          <w:spacing w:val="-3"/>
          <w:sz w:val="24"/>
        </w:rPr>
        <w:t xml:space="preserve"> </w:t>
      </w:r>
      <w:r>
        <w:rPr>
          <w:sz w:val="24"/>
        </w:rPr>
        <w:t>scope</w:t>
      </w:r>
      <w:r>
        <w:rPr>
          <w:spacing w:val="-2"/>
          <w:sz w:val="24"/>
        </w:rPr>
        <w:t xml:space="preserve"> </w:t>
      </w:r>
      <w:r>
        <w:rPr>
          <w:sz w:val="24"/>
        </w:rPr>
        <w:t>of</w:t>
      </w:r>
      <w:r>
        <w:rPr>
          <w:spacing w:val="1"/>
          <w:sz w:val="24"/>
        </w:rPr>
        <w:t xml:space="preserve"> </w:t>
      </w:r>
      <w:r>
        <w:rPr>
          <w:sz w:val="24"/>
        </w:rPr>
        <w:t>Article</w:t>
      </w:r>
      <w:r>
        <w:rPr>
          <w:spacing w:val="-2"/>
          <w:sz w:val="24"/>
        </w:rPr>
        <w:t xml:space="preserve"> 6.9;</w:t>
      </w:r>
      <w:hyperlink w:anchor="_bookmark1537" w:history="1">
        <w:r>
          <w:rPr>
            <w:spacing w:val="-2"/>
            <w:sz w:val="24"/>
            <w:vertAlign w:val="superscript"/>
          </w:rPr>
          <w:t>1328</w:t>
        </w:r>
      </w:hyperlink>
    </w:p>
    <w:p w14:paraId="5CB96978" w14:textId="77777777" w:rsidR="00BD462C" w:rsidRDefault="00BD462C">
      <w:pPr>
        <w:pStyle w:val="BodyText"/>
        <w:rPr>
          <w:sz w:val="20"/>
        </w:rPr>
      </w:pPr>
    </w:p>
    <w:p w14:paraId="500FFA95" w14:textId="77777777" w:rsidR="00BD462C" w:rsidRDefault="00BD462C">
      <w:pPr>
        <w:pStyle w:val="BodyText"/>
        <w:rPr>
          <w:sz w:val="20"/>
        </w:rPr>
      </w:pPr>
    </w:p>
    <w:p w14:paraId="100D1134" w14:textId="77777777" w:rsidR="00BD462C" w:rsidRDefault="00BD462C">
      <w:pPr>
        <w:pStyle w:val="BodyText"/>
        <w:rPr>
          <w:sz w:val="20"/>
        </w:rPr>
      </w:pPr>
    </w:p>
    <w:p w14:paraId="6059C105" w14:textId="77777777" w:rsidR="00BD462C" w:rsidRDefault="00BD462C">
      <w:pPr>
        <w:pStyle w:val="BodyText"/>
        <w:rPr>
          <w:sz w:val="20"/>
        </w:rPr>
      </w:pPr>
    </w:p>
    <w:p w14:paraId="6E4EC171" w14:textId="29AA13E0" w:rsidR="00BD462C" w:rsidRDefault="00D70C7D">
      <w:pPr>
        <w:pStyle w:val="BodyText"/>
        <w:spacing w:before="12"/>
        <w:rPr>
          <w:sz w:val="29"/>
        </w:rPr>
      </w:pPr>
      <w:r>
        <w:rPr>
          <w:noProof/>
        </w:rPr>
        <mc:AlternateContent>
          <mc:Choice Requires="wps">
            <w:drawing>
              <wp:anchor distT="0" distB="0" distL="0" distR="0" simplePos="0" relativeHeight="487872000" behindDoc="1" locked="0" layoutInCell="1" allowOverlap="1" wp14:anchorId="3B72EF04" wp14:editId="19F0079D">
                <wp:simplePos x="0" y="0"/>
                <wp:positionH relativeFrom="page">
                  <wp:posOffset>899160</wp:posOffset>
                </wp:positionH>
                <wp:positionV relativeFrom="paragraph">
                  <wp:posOffset>247650</wp:posOffset>
                </wp:positionV>
                <wp:extent cx="1828800" cy="8890"/>
                <wp:effectExtent l="0" t="0" r="0" b="0"/>
                <wp:wrapTopAndBottom/>
                <wp:docPr id="228" name="docshape6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5A3396" id="docshape611" o:spid="_x0000_s1026" alt="&quot;&quot;" style="position:absolute;margin-left:70.8pt;margin-top:19.5pt;width:2in;height:.7pt;z-index:-15444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" fillcolor="black" stroked="f">
                <w10:wrap type="topAndBottom" anchorx="page"/>
              </v:rect>
            </w:pict>
          </mc:Fallback>
        </mc:AlternateContent>
      </w:r>
    </w:p>
    <w:p w14:paraId="5E600A14" w14:textId="77777777" w:rsidR="00BD462C" w:rsidRDefault="00033D0F">
      <w:pPr>
        <w:spacing w:before="112"/>
        <w:ind w:left="136" w:right="914" w:hanging="1"/>
        <w:jc w:val="both"/>
        <w:rPr>
          <w:sz w:val="18"/>
        </w:rPr>
      </w:pPr>
      <w:bookmarkStart w:id="1778" w:name="_bookmark1532"/>
      <w:bookmarkEnd w:id="1778"/>
      <w:r>
        <w:rPr>
          <w:position w:val="5"/>
          <w:sz w:val="12"/>
        </w:rPr>
        <w:t>1323</w:t>
      </w:r>
      <w:r>
        <w:rPr>
          <w:spacing w:val="40"/>
          <w:position w:val="5"/>
          <w:sz w:val="12"/>
        </w:rPr>
        <w:t xml:space="preserve"> </w:t>
      </w:r>
      <w:r>
        <w:rPr>
          <w:sz w:val="18"/>
        </w:rPr>
        <w:t>Australia observes that 12 pages of non-confidential information relating to the "particular market situation" were purposefully</w:t>
      </w:r>
      <w:r>
        <w:rPr>
          <w:spacing w:val="-11"/>
          <w:sz w:val="18"/>
        </w:rPr>
        <w:t xml:space="preserve"> </w:t>
      </w:r>
      <w:r>
        <w:rPr>
          <w:sz w:val="18"/>
        </w:rPr>
        <w:t>removed</w:t>
      </w:r>
      <w:r>
        <w:rPr>
          <w:spacing w:val="-10"/>
          <w:sz w:val="18"/>
        </w:rPr>
        <w:t xml:space="preserve"> </w:t>
      </w:r>
      <w:r>
        <w:rPr>
          <w:sz w:val="18"/>
        </w:rPr>
        <w:t>from</w:t>
      </w:r>
      <w:r>
        <w:rPr>
          <w:spacing w:val="-10"/>
          <w:sz w:val="18"/>
        </w:rPr>
        <w:t xml:space="preserve"> </w:t>
      </w:r>
      <w:r>
        <w:rPr>
          <w:sz w:val="18"/>
        </w:rPr>
        <w:t>this</w:t>
      </w:r>
      <w:r>
        <w:rPr>
          <w:spacing w:val="-10"/>
          <w:sz w:val="18"/>
        </w:rPr>
        <w:t xml:space="preserve"> </w:t>
      </w:r>
      <w:r>
        <w:rPr>
          <w:sz w:val="18"/>
        </w:rPr>
        <w:t>Final</w:t>
      </w:r>
      <w:r>
        <w:rPr>
          <w:spacing w:val="-7"/>
          <w:sz w:val="18"/>
        </w:rPr>
        <w:t xml:space="preserve"> </w:t>
      </w:r>
      <w:r>
        <w:rPr>
          <w:sz w:val="18"/>
        </w:rPr>
        <w:t>Disclosure</w:t>
      </w:r>
      <w:r>
        <w:rPr>
          <w:spacing w:val="-7"/>
          <w:sz w:val="18"/>
        </w:rPr>
        <w:t xml:space="preserve"> </w:t>
      </w:r>
      <w:r>
        <w:rPr>
          <w:sz w:val="18"/>
        </w:rPr>
        <w:t>to</w:t>
      </w:r>
      <w:r>
        <w:rPr>
          <w:spacing w:val="-11"/>
          <w:sz w:val="18"/>
        </w:rPr>
        <w:t xml:space="preserve"> </w:t>
      </w:r>
      <w:r>
        <w:rPr>
          <w:sz w:val="18"/>
        </w:rPr>
        <w:t>Australian</w:t>
      </w:r>
      <w:r>
        <w:rPr>
          <w:spacing w:val="-7"/>
          <w:sz w:val="18"/>
        </w:rPr>
        <w:t xml:space="preserve"> </w:t>
      </w:r>
      <w:r>
        <w:rPr>
          <w:sz w:val="18"/>
        </w:rPr>
        <w:t>Embassy,</w:t>
      </w:r>
      <w:r>
        <w:rPr>
          <w:spacing w:val="-11"/>
          <w:sz w:val="18"/>
        </w:rPr>
        <w:t xml:space="preserve"> </w:t>
      </w:r>
      <w:r>
        <w:rPr>
          <w:sz w:val="18"/>
        </w:rPr>
        <w:t>(Exhibit</w:t>
      </w:r>
      <w:r>
        <w:rPr>
          <w:spacing w:val="-6"/>
          <w:sz w:val="18"/>
        </w:rPr>
        <w:t xml:space="preserve"> </w:t>
      </w:r>
      <w:r>
        <w:rPr>
          <w:sz w:val="18"/>
        </w:rPr>
        <w:t>CHN-26),</w:t>
      </w:r>
      <w:r>
        <w:rPr>
          <w:spacing w:val="-11"/>
          <w:sz w:val="18"/>
        </w:rPr>
        <w:t xml:space="preserve"> </w:t>
      </w:r>
      <w:r>
        <w:rPr>
          <w:sz w:val="18"/>
        </w:rPr>
        <w:t>p.</w:t>
      </w:r>
      <w:r>
        <w:rPr>
          <w:spacing w:val="-6"/>
          <w:sz w:val="18"/>
        </w:rPr>
        <w:t xml:space="preserve"> </w:t>
      </w:r>
      <w:r>
        <w:rPr>
          <w:sz w:val="18"/>
        </w:rPr>
        <w:t>15.</w:t>
      </w:r>
      <w:r>
        <w:rPr>
          <w:spacing w:val="-7"/>
          <w:sz w:val="18"/>
        </w:rPr>
        <w:t xml:space="preserve"> </w:t>
      </w:r>
      <w:r>
        <w:rPr>
          <w:sz w:val="18"/>
        </w:rPr>
        <w:t>This</w:t>
      </w:r>
      <w:r>
        <w:rPr>
          <w:spacing w:val="-11"/>
          <w:sz w:val="18"/>
        </w:rPr>
        <w:t xml:space="preserve"> </w:t>
      </w:r>
      <w:r>
        <w:rPr>
          <w:sz w:val="18"/>
        </w:rPr>
        <w:t>information</w:t>
      </w:r>
      <w:r>
        <w:rPr>
          <w:spacing w:val="-7"/>
          <w:sz w:val="18"/>
        </w:rPr>
        <w:t xml:space="preserve"> </w:t>
      </w:r>
      <w:r>
        <w:rPr>
          <w:sz w:val="18"/>
        </w:rPr>
        <w:t>was</w:t>
      </w:r>
      <w:r>
        <w:rPr>
          <w:spacing w:val="-8"/>
          <w:sz w:val="18"/>
        </w:rPr>
        <w:t xml:space="preserve"> </w:t>
      </w:r>
      <w:r>
        <w:rPr>
          <w:sz w:val="18"/>
        </w:rPr>
        <w:t>included in the Disclosure of the Essential Facts, (Exhibit CHN-2), pp. 14-26.</w:t>
      </w:r>
    </w:p>
    <w:p w14:paraId="256F8F30" w14:textId="77777777" w:rsidR="00BD462C" w:rsidRDefault="00033D0F">
      <w:pPr>
        <w:spacing w:line="218" w:lineRule="exact"/>
        <w:ind w:left="135"/>
        <w:jc w:val="both"/>
        <w:rPr>
          <w:sz w:val="18"/>
        </w:rPr>
      </w:pPr>
      <w:bookmarkStart w:id="1779" w:name="_bookmark1533"/>
      <w:bookmarkEnd w:id="1779"/>
      <w:r>
        <w:rPr>
          <w:position w:val="5"/>
          <w:sz w:val="12"/>
        </w:rPr>
        <w:t>1324</w:t>
      </w:r>
      <w:r>
        <w:rPr>
          <w:spacing w:val="13"/>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 xml:space="preserve">para. </w:t>
      </w:r>
      <w:r>
        <w:rPr>
          <w:spacing w:val="-2"/>
          <w:sz w:val="18"/>
        </w:rPr>
        <w:t>2513.</w:t>
      </w:r>
    </w:p>
    <w:p w14:paraId="43D4E9D2" w14:textId="77777777" w:rsidR="00BD462C" w:rsidRDefault="00033D0F">
      <w:pPr>
        <w:spacing w:before="1"/>
        <w:ind w:left="135"/>
        <w:rPr>
          <w:sz w:val="18"/>
        </w:rPr>
      </w:pPr>
      <w:bookmarkStart w:id="1780" w:name="_bookmark1534"/>
      <w:bookmarkEnd w:id="1780"/>
      <w:r>
        <w:rPr>
          <w:position w:val="5"/>
          <w:sz w:val="12"/>
        </w:rPr>
        <w:t>1325</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paras.</w:t>
      </w:r>
      <w:r>
        <w:rPr>
          <w:spacing w:val="-5"/>
          <w:sz w:val="18"/>
        </w:rPr>
        <w:t xml:space="preserve"> </w:t>
      </w:r>
      <w:r>
        <w:rPr>
          <w:sz w:val="18"/>
        </w:rPr>
        <w:t>2498-</w:t>
      </w:r>
      <w:r>
        <w:rPr>
          <w:spacing w:val="-2"/>
          <w:sz w:val="18"/>
        </w:rPr>
        <w:t>2508.</w:t>
      </w:r>
    </w:p>
    <w:p w14:paraId="5A1AFEC5" w14:textId="77777777" w:rsidR="00BD462C" w:rsidRDefault="00033D0F">
      <w:pPr>
        <w:spacing w:before="1"/>
        <w:ind w:left="135"/>
        <w:rPr>
          <w:sz w:val="18"/>
        </w:rPr>
      </w:pPr>
      <w:bookmarkStart w:id="1781" w:name="_bookmark1535"/>
      <w:bookmarkEnd w:id="1781"/>
      <w:r>
        <w:rPr>
          <w:position w:val="5"/>
          <w:sz w:val="12"/>
        </w:rPr>
        <w:t>1326</w:t>
      </w:r>
      <w:r>
        <w:rPr>
          <w:spacing w:val="16"/>
          <w:position w:val="5"/>
          <w:sz w:val="12"/>
        </w:rPr>
        <w:t xml:space="preserve"> </w:t>
      </w:r>
      <w:r>
        <w:rPr>
          <w:sz w:val="18"/>
        </w:rPr>
        <w:t>See</w:t>
      </w:r>
      <w:r>
        <w:rPr>
          <w:spacing w:val="-2"/>
          <w:sz w:val="18"/>
        </w:rPr>
        <w:t xml:space="preserve"> </w:t>
      </w:r>
      <w:r>
        <w:rPr>
          <w:sz w:val="18"/>
        </w:rPr>
        <w:t>section</w:t>
      </w:r>
      <w:r>
        <w:rPr>
          <w:spacing w:val="-3"/>
          <w:sz w:val="18"/>
        </w:rPr>
        <w:t xml:space="preserve"> </w:t>
      </w:r>
      <w:hyperlink w:anchor="_bookmark6" w:history="1">
        <w:r>
          <w:rPr>
            <w:sz w:val="18"/>
          </w:rPr>
          <w:t>II.A</w:t>
        </w:r>
      </w:hyperlink>
      <w:r>
        <w:rPr>
          <w:sz w:val="18"/>
        </w:rPr>
        <w:t>;</w:t>
      </w:r>
      <w:r>
        <w:rPr>
          <w:spacing w:val="-5"/>
          <w:sz w:val="18"/>
        </w:rPr>
        <w:t xml:space="preserve"> </w:t>
      </w:r>
      <w:r>
        <w:rPr>
          <w:sz w:val="18"/>
        </w:rPr>
        <w:t>Annex</w:t>
      </w:r>
      <w:r>
        <w:rPr>
          <w:spacing w:val="-5"/>
          <w:sz w:val="18"/>
        </w:rPr>
        <w:t xml:space="preserve"> </w:t>
      </w:r>
      <w:r>
        <w:rPr>
          <w:sz w:val="18"/>
        </w:rPr>
        <w:t>A, section</w:t>
      </w:r>
      <w:r>
        <w:rPr>
          <w:spacing w:val="-3"/>
          <w:sz w:val="18"/>
        </w:rPr>
        <w:t xml:space="preserve"> </w:t>
      </w:r>
      <w:hyperlink w:anchor="_bookmark1816" w:history="1">
        <w:r>
          <w:rPr>
            <w:spacing w:val="-2"/>
            <w:sz w:val="18"/>
          </w:rPr>
          <w:t>A.5.4.</w:t>
        </w:r>
      </w:hyperlink>
    </w:p>
    <w:p w14:paraId="58ACB178" w14:textId="77777777" w:rsidR="00BD462C" w:rsidRDefault="00033D0F">
      <w:pPr>
        <w:spacing w:before="1"/>
        <w:ind w:left="135"/>
        <w:rPr>
          <w:sz w:val="18"/>
        </w:rPr>
      </w:pPr>
      <w:bookmarkStart w:id="1782" w:name="_bookmark1536"/>
      <w:bookmarkEnd w:id="1782"/>
      <w:r>
        <w:rPr>
          <w:position w:val="5"/>
          <w:sz w:val="12"/>
        </w:rPr>
        <w:t>1327</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paras.</w:t>
      </w:r>
      <w:r>
        <w:rPr>
          <w:spacing w:val="-5"/>
          <w:sz w:val="18"/>
        </w:rPr>
        <w:t xml:space="preserve"> </w:t>
      </w:r>
      <w:r>
        <w:rPr>
          <w:sz w:val="18"/>
        </w:rPr>
        <w:t>2514-</w:t>
      </w:r>
      <w:r>
        <w:rPr>
          <w:spacing w:val="-2"/>
          <w:sz w:val="18"/>
        </w:rPr>
        <w:t>2521.</w:t>
      </w:r>
    </w:p>
    <w:p w14:paraId="742123A1" w14:textId="77777777" w:rsidR="00BD462C" w:rsidRDefault="00033D0F">
      <w:pPr>
        <w:spacing w:before="1"/>
        <w:ind w:left="135"/>
        <w:rPr>
          <w:sz w:val="18"/>
        </w:rPr>
      </w:pPr>
      <w:bookmarkStart w:id="1783" w:name="_bookmark1537"/>
      <w:bookmarkEnd w:id="1783"/>
      <w:r>
        <w:rPr>
          <w:position w:val="5"/>
          <w:sz w:val="12"/>
        </w:rPr>
        <w:t>1328</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paras.</w:t>
      </w:r>
      <w:r>
        <w:rPr>
          <w:spacing w:val="-5"/>
          <w:sz w:val="18"/>
        </w:rPr>
        <w:t xml:space="preserve"> </w:t>
      </w:r>
      <w:r>
        <w:rPr>
          <w:sz w:val="18"/>
        </w:rPr>
        <w:t>2522-</w:t>
      </w:r>
      <w:r>
        <w:rPr>
          <w:spacing w:val="-2"/>
          <w:sz w:val="18"/>
        </w:rPr>
        <w:t>2526.</w:t>
      </w:r>
    </w:p>
    <w:p w14:paraId="3660CBEE" w14:textId="77777777" w:rsidR="00BD462C" w:rsidRDefault="00BD462C">
      <w:pPr>
        <w:rPr>
          <w:sz w:val="18"/>
        </w:rPr>
        <w:sectPr w:rsidR="00BD462C">
          <w:pgSz w:w="11910" w:h="16840"/>
          <w:pgMar w:top="860" w:right="500" w:bottom="780" w:left="1280" w:header="566" w:footer="590" w:gutter="0"/>
          <w:cols w:space="720"/>
        </w:sectPr>
      </w:pPr>
    </w:p>
    <w:p w14:paraId="3A7C276D"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480162C1"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78365E00"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58C128AC" w14:textId="77777777" w:rsidR="00BD462C" w:rsidRDefault="00033D0F">
      <w:pPr>
        <w:pStyle w:val="ListParagraph"/>
        <w:numPr>
          <w:ilvl w:val="0"/>
          <w:numId w:val="14"/>
        </w:numPr>
        <w:tabs>
          <w:tab w:val="left" w:pos="1835"/>
          <w:tab w:val="left" w:pos="1836"/>
        </w:tabs>
        <w:spacing w:before="99" w:line="357" w:lineRule="auto"/>
        <w:ind w:right="917" w:hanging="855"/>
        <w:rPr>
          <w:sz w:val="24"/>
        </w:rPr>
      </w:pPr>
      <w:r>
        <w:rPr>
          <w:sz w:val="24"/>
        </w:rPr>
        <w:t>the level of detail required to comply with the disclosure obligation under Article 6.9;</w:t>
      </w:r>
      <w:hyperlink w:anchor="_bookmark1539" w:history="1">
        <w:r>
          <w:rPr>
            <w:sz w:val="24"/>
            <w:vertAlign w:val="superscript"/>
          </w:rPr>
          <w:t>1329</w:t>
        </w:r>
      </w:hyperlink>
      <w:r>
        <w:rPr>
          <w:sz w:val="24"/>
        </w:rPr>
        <w:t xml:space="preserve"> and</w:t>
      </w:r>
    </w:p>
    <w:p w14:paraId="0542464C" w14:textId="77777777" w:rsidR="00BD462C" w:rsidRDefault="00033D0F">
      <w:pPr>
        <w:pStyle w:val="ListParagraph"/>
        <w:numPr>
          <w:ilvl w:val="0"/>
          <w:numId w:val="14"/>
        </w:numPr>
        <w:tabs>
          <w:tab w:val="left" w:pos="1835"/>
          <w:tab w:val="left" w:pos="1836"/>
        </w:tabs>
        <w:spacing w:before="122" w:line="360" w:lineRule="auto"/>
        <w:ind w:right="920" w:hanging="855"/>
        <w:rPr>
          <w:sz w:val="24"/>
        </w:rPr>
      </w:pPr>
      <w:r>
        <w:rPr>
          <w:sz w:val="24"/>
        </w:rPr>
        <w:t>whether</w:t>
      </w:r>
      <w:r>
        <w:rPr>
          <w:spacing w:val="40"/>
          <w:sz w:val="24"/>
        </w:rPr>
        <w:t xml:space="preserve"> </w:t>
      </w:r>
      <w:r>
        <w:rPr>
          <w:sz w:val="24"/>
        </w:rPr>
        <w:t>comments</w:t>
      </w:r>
      <w:r>
        <w:rPr>
          <w:spacing w:val="40"/>
          <w:sz w:val="24"/>
        </w:rPr>
        <w:t xml:space="preserve"> </w:t>
      </w:r>
      <w:r>
        <w:rPr>
          <w:sz w:val="24"/>
        </w:rPr>
        <w:t>from</w:t>
      </w:r>
      <w:r>
        <w:rPr>
          <w:spacing w:val="40"/>
          <w:sz w:val="24"/>
        </w:rPr>
        <w:t xml:space="preserve"> </w:t>
      </w:r>
      <w:r>
        <w:rPr>
          <w:sz w:val="24"/>
        </w:rPr>
        <w:t>an</w:t>
      </w:r>
      <w:r>
        <w:rPr>
          <w:spacing w:val="40"/>
          <w:sz w:val="24"/>
        </w:rPr>
        <w:t xml:space="preserve"> </w:t>
      </w:r>
      <w:r>
        <w:rPr>
          <w:sz w:val="24"/>
        </w:rPr>
        <w:t>interested</w:t>
      </w:r>
      <w:r>
        <w:rPr>
          <w:spacing w:val="40"/>
          <w:sz w:val="24"/>
        </w:rPr>
        <w:t xml:space="preserve"> </w:t>
      </w:r>
      <w:r>
        <w:rPr>
          <w:sz w:val="24"/>
        </w:rPr>
        <w:t>party</w:t>
      </w:r>
      <w:r>
        <w:rPr>
          <w:spacing w:val="40"/>
          <w:sz w:val="24"/>
        </w:rPr>
        <w:t xml:space="preserve"> </w:t>
      </w:r>
      <w:r>
        <w:rPr>
          <w:sz w:val="24"/>
        </w:rPr>
        <w:t>can</w:t>
      </w:r>
      <w:r>
        <w:rPr>
          <w:spacing w:val="40"/>
          <w:sz w:val="24"/>
        </w:rPr>
        <w:t xml:space="preserve"> </w:t>
      </w:r>
      <w:r>
        <w:rPr>
          <w:sz w:val="24"/>
        </w:rPr>
        <w:t>be</w:t>
      </w:r>
      <w:r>
        <w:rPr>
          <w:spacing w:val="40"/>
          <w:sz w:val="24"/>
        </w:rPr>
        <w:t xml:space="preserve"> </w:t>
      </w:r>
      <w:r>
        <w:rPr>
          <w:sz w:val="24"/>
        </w:rPr>
        <w:t>evidence</w:t>
      </w:r>
      <w:r>
        <w:rPr>
          <w:spacing w:val="40"/>
          <w:sz w:val="24"/>
        </w:rPr>
        <w:t xml:space="preserve"> </w:t>
      </w:r>
      <w:r>
        <w:rPr>
          <w:sz w:val="24"/>
        </w:rPr>
        <w:t>that</w:t>
      </w:r>
      <w:r>
        <w:rPr>
          <w:spacing w:val="40"/>
          <w:sz w:val="24"/>
        </w:rPr>
        <w:t xml:space="preserve"> </w:t>
      </w:r>
      <w:r>
        <w:rPr>
          <w:sz w:val="24"/>
        </w:rPr>
        <w:t>the requirements of Article 6.9 have been met.</w:t>
      </w:r>
      <w:hyperlink w:anchor="_bookmark1540" w:history="1">
        <w:r>
          <w:rPr>
            <w:sz w:val="24"/>
            <w:vertAlign w:val="superscript"/>
          </w:rPr>
          <w:t>1330</w:t>
        </w:r>
      </w:hyperlink>
    </w:p>
    <w:p w14:paraId="5A8F9618" w14:textId="77777777" w:rsidR="00BD462C" w:rsidRDefault="00033D0F">
      <w:pPr>
        <w:pStyle w:val="ListParagraph"/>
        <w:numPr>
          <w:ilvl w:val="1"/>
          <w:numId w:val="14"/>
        </w:numPr>
        <w:tabs>
          <w:tab w:val="left" w:pos="3539"/>
          <w:tab w:val="left" w:pos="3540"/>
        </w:tabs>
        <w:spacing w:before="124"/>
        <w:ind w:hanging="851"/>
        <w:rPr>
          <w:sz w:val="24"/>
        </w:rPr>
      </w:pPr>
      <w:bookmarkStart w:id="1784" w:name="(a)_Australia_does_not_conflate_the_obli"/>
      <w:bookmarkEnd w:id="1784"/>
      <w:r>
        <w:rPr>
          <w:sz w:val="24"/>
          <w:u w:val="single"/>
        </w:rPr>
        <w:t>Australia</w:t>
      </w:r>
      <w:r>
        <w:rPr>
          <w:spacing w:val="23"/>
          <w:sz w:val="24"/>
          <w:u w:val="single"/>
        </w:rPr>
        <w:t xml:space="preserve"> </w:t>
      </w:r>
      <w:r>
        <w:rPr>
          <w:sz w:val="24"/>
          <w:u w:val="single"/>
        </w:rPr>
        <w:t>does</w:t>
      </w:r>
      <w:r>
        <w:rPr>
          <w:spacing w:val="27"/>
          <w:sz w:val="24"/>
          <w:u w:val="single"/>
        </w:rPr>
        <w:t xml:space="preserve"> </w:t>
      </w:r>
      <w:r>
        <w:rPr>
          <w:sz w:val="24"/>
          <w:u w:val="single"/>
        </w:rPr>
        <w:t>not</w:t>
      </w:r>
      <w:r>
        <w:rPr>
          <w:spacing w:val="27"/>
          <w:sz w:val="24"/>
          <w:u w:val="single"/>
        </w:rPr>
        <w:t xml:space="preserve"> </w:t>
      </w:r>
      <w:r>
        <w:rPr>
          <w:sz w:val="24"/>
          <w:u w:val="single"/>
        </w:rPr>
        <w:t>conflate</w:t>
      </w:r>
      <w:r>
        <w:rPr>
          <w:spacing w:val="25"/>
          <w:sz w:val="24"/>
          <w:u w:val="single"/>
        </w:rPr>
        <w:t xml:space="preserve"> </w:t>
      </w:r>
      <w:r>
        <w:rPr>
          <w:sz w:val="24"/>
          <w:u w:val="single"/>
        </w:rPr>
        <w:t>the</w:t>
      </w:r>
      <w:r>
        <w:rPr>
          <w:spacing w:val="31"/>
          <w:sz w:val="24"/>
          <w:u w:val="single"/>
        </w:rPr>
        <w:t xml:space="preserve"> </w:t>
      </w:r>
      <w:r>
        <w:rPr>
          <w:sz w:val="24"/>
          <w:u w:val="single"/>
        </w:rPr>
        <w:t>obligations</w:t>
      </w:r>
      <w:r>
        <w:rPr>
          <w:spacing w:val="27"/>
          <w:sz w:val="24"/>
          <w:u w:val="single"/>
        </w:rPr>
        <w:t xml:space="preserve"> </w:t>
      </w:r>
      <w:r>
        <w:rPr>
          <w:sz w:val="24"/>
          <w:u w:val="single"/>
        </w:rPr>
        <w:t>under</w:t>
      </w:r>
      <w:r>
        <w:rPr>
          <w:spacing w:val="24"/>
          <w:sz w:val="24"/>
          <w:u w:val="single"/>
        </w:rPr>
        <w:t xml:space="preserve"> </w:t>
      </w:r>
      <w:r>
        <w:rPr>
          <w:spacing w:val="-2"/>
          <w:sz w:val="24"/>
          <w:u w:val="single"/>
        </w:rPr>
        <w:t>Article</w:t>
      </w:r>
    </w:p>
    <w:p w14:paraId="517DF14E" w14:textId="77777777" w:rsidR="00BD462C" w:rsidRDefault="00033D0F">
      <w:pPr>
        <w:pStyle w:val="BodyText"/>
        <w:spacing w:before="148" w:line="357" w:lineRule="auto"/>
        <w:ind w:left="3539" w:right="923"/>
      </w:pPr>
      <w:r>
        <w:rPr>
          <w:u w:val="single"/>
        </w:rPr>
        <w:t>6.9</w:t>
      </w:r>
      <w:r>
        <w:rPr>
          <w:spacing w:val="80"/>
          <w:u w:val="single"/>
        </w:rPr>
        <w:t xml:space="preserve"> </w:t>
      </w:r>
      <w:r>
        <w:rPr>
          <w:u w:val="single"/>
        </w:rPr>
        <w:t>with</w:t>
      </w:r>
      <w:r>
        <w:rPr>
          <w:spacing w:val="80"/>
          <w:u w:val="single"/>
        </w:rPr>
        <w:t xml:space="preserve"> </w:t>
      </w:r>
      <w:r>
        <w:rPr>
          <w:u w:val="single"/>
        </w:rPr>
        <w:t>Articles</w:t>
      </w:r>
      <w:r>
        <w:rPr>
          <w:spacing w:val="80"/>
          <w:u w:val="single"/>
        </w:rPr>
        <w:t xml:space="preserve"> </w:t>
      </w:r>
      <w:r>
        <w:rPr>
          <w:u w:val="single"/>
        </w:rPr>
        <w:t>6.4</w:t>
      </w:r>
      <w:r>
        <w:rPr>
          <w:spacing w:val="80"/>
          <w:u w:val="single"/>
        </w:rPr>
        <w:t xml:space="preserve"> </w:t>
      </w:r>
      <w:r>
        <w:rPr>
          <w:u w:val="single"/>
        </w:rPr>
        <w:t>and</w:t>
      </w:r>
      <w:r>
        <w:rPr>
          <w:spacing w:val="80"/>
          <w:u w:val="single"/>
        </w:rPr>
        <w:t xml:space="preserve"> </w:t>
      </w:r>
      <w:r>
        <w:rPr>
          <w:u w:val="single"/>
        </w:rPr>
        <w:t>12.2</w:t>
      </w:r>
      <w:r>
        <w:rPr>
          <w:spacing w:val="80"/>
          <w:u w:val="single"/>
        </w:rPr>
        <w:t xml:space="preserve"> </w:t>
      </w:r>
      <w:r>
        <w:rPr>
          <w:u w:val="single"/>
        </w:rPr>
        <w:t>of</w:t>
      </w:r>
      <w:r>
        <w:rPr>
          <w:spacing w:val="80"/>
          <w:u w:val="single"/>
        </w:rPr>
        <w:t xml:space="preserve"> </w:t>
      </w:r>
      <w:r>
        <w:rPr>
          <w:u w:val="single"/>
        </w:rPr>
        <w:t>the</w:t>
      </w:r>
      <w:r>
        <w:rPr>
          <w:spacing w:val="80"/>
          <w:u w:val="single"/>
        </w:rPr>
        <w:t xml:space="preserve"> </w:t>
      </w:r>
      <w:r>
        <w:rPr>
          <w:u w:val="single"/>
        </w:rPr>
        <w:t>Anti-Dumping</w:t>
      </w:r>
      <w:r>
        <w:t xml:space="preserve"> </w:t>
      </w:r>
      <w:r>
        <w:rPr>
          <w:spacing w:val="-2"/>
          <w:u w:val="single"/>
        </w:rPr>
        <w:t>Agreement</w:t>
      </w:r>
    </w:p>
    <w:p w14:paraId="679F2E53" w14:textId="77777777" w:rsidR="00BD462C" w:rsidRDefault="00BD462C">
      <w:pPr>
        <w:pStyle w:val="BodyText"/>
        <w:spacing w:before="2"/>
        <w:rPr>
          <w:sz w:val="9"/>
        </w:rPr>
      </w:pPr>
    </w:p>
    <w:p w14:paraId="60C1230E" w14:textId="5D873670" w:rsidR="00BD462C" w:rsidRDefault="00C63D13">
      <w:pPr>
        <w:pStyle w:val="BodyText"/>
        <w:spacing w:before="57" w:line="360" w:lineRule="auto"/>
        <w:ind w:left="135" w:right="911"/>
        <w:jc w:val="both"/>
      </w:pPr>
      <w:r>
        <w:rPr>
          <w:noProof/>
        </w:rPr>
        <w:t>918.</w:t>
      </w:r>
      <w:r w:rsidR="00033D0F">
        <w:rPr>
          <w:rFonts w:ascii="Times New Roman" w:hAnsi="Times New Roman"/>
          <w:spacing w:val="384"/>
          <w:position w:val="1"/>
          <w:sz w:val="20"/>
        </w:rPr>
        <w:t xml:space="preserve"> </w:t>
      </w:r>
      <w:bookmarkStart w:id="1785" w:name="_bookmark1538"/>
      <w:bookmarkEnd w:id="1785"/>
      <w:r w:rsidR="00033D0F">
        <w:rPr>
          <w:position w:val="1"/>
        </w:rPr>
        <w:t xml:space="preserve">China states that Australia has conflated the obligations in Articles 6.9 and 6.4 </w:t>
      </w:r>
      <w:r w:rsidR="00033D0F">
        <w:t>because "Australia has raised similar (if not identical) arguments […] with respect to the alleged violations of [these provisions]".</w:t>
      </w:r>
      <w:hyperlink w:anchor="_bookmark1541" w:history="1">
        <w:r w:rsidR="00033D0F">
          <w:rPr>
            <w:vertAlign w:val="superscript"/>
          </w:rPr>
          <w:t>1331</w:t>
        </w:r>
      </w:hyperlink>
      <w:r w:rsidR="00033D0F">
        <w:t xml:space="preserve"> China's reliance on the report of the panel in </w:t>
      </w:r>
      <w:r w:rsidR="00033D0F">
        <w:rPr>
          <w:i/>
        </w:rPr>
        <w:t xml:space="preserve">Korea – Certain Paper (Article 21.5 – Indonesia) </w:t>
      </w:r>
      <w:r w:rsidR="00033D0F">
        <w:t>to support its argument in this regard is misplaced.</w:t>
      </w:r>
      <w:hyperlink w:anchor="_bookmark1542" w:history="1">
        <w:r w:rsidR="00033D0F">
          <w:rPr>
            <w:vertAlign w:val="superscript"/>
          </w:rPr>
          <w:t>1332</w:t>
        </w:r>
      </w:hyperlink>
      <w:r w:rsidR="00033D0F">
        <w:t xml:space="preserve"> Australia is not "conflating" these obligations. Australia properly understands that</w:t>
      </w:r>
      <w:r w:rsidR="00033D0F">
        <w:rPr>
          <w:spacing w:val="-3"/>
        </w:rPr>
        <w:t xml:space="preserve"> </w:t>
      </w:r>
      <w:r w:rsidR="00033D0F">
        <w:t>Articles</w:t>
      </w:r>
      <w:r w:rsidR="00033D0F">
        <w:rPr>
          <w:spacing w:val="-2"/>
        </w:rPr>
        <w:t xml:space="preserve"> </w:t>
      </w:r>
      <w:r w:rsidR="00033D0F">
        <w:t>6.9</w:t>
      </w:r>
      <w:r w:rsidR="00033D0F">
        <w:rPr>
          <w:spacing w:val="-6"/>
        </w:rPr>
        <w:t xml:space="preserve"> </w:t>
      </w:r>
      <w:r w:rsidR="00033D0F">
        <w:t>and</w:t>
      </w:r>
      <w:r w:rsidR="00033D0F">
        <w:rPr>
          <w:spacing w:val="-5"/>
        </w:rPr>
        <w:t xml:space="preserve"> </w:t>
      </w:r>
      <w:r w:rsidR="00033D0F">
        <w:t>6.4</w:t>
      </w:r>
      <w:r w:rsidR="00033D0F">
        <w:rPr>
          <w:spacing w:val="-6"/>
        </w:rPr>
        <w:t xml:space="preserve"> </w:t>
      </w:r>
      <w:r w:rsidR="00033D0F">
        <w:t>establish</w:t>
      </w:r>
      <w:r w:rsidR="00033D0F">
        <w:rPr>
          <w:spacing w:val="-5"/>
        </w:rPr>
        <w:t xml:space="preserve"> </w:t>
      </w:r>
      <w:r w:rsidR="00033D0F">
        <w:t>separate</w:t>
      </w:r>
      <w:r w:rsidR="00033D0F">
        <w:rPr>
          <w:spacing w:val="-3"/>
        </w:rPr>
        <w:t xml:space="preserve"> </w:t>
      </w:r>
      <w:r w:rsidR="00033D0F">
        <w:t>obligations</w:t>
      </w:r>
      <w:r w:rsidR="00033D0F">
        <w:rPr>
          <w:spacing w:val="-2"/>
        </w:rPr>
        <w:t xml:space="preserve"> </w:t>
      </w:r>
      <w:r w:rsidR="00033D0F">
        <w:t>related</w:t>
      </w:r>
      <w:r w:rsidR="00033D0F">
        <w:rPr>
          <w:spacing w:val="-5"/>
        </w:rPr>
        <w:t xml:space="preserve"> </w:t>
      </w:r>
      <w:r w:rsidR="00033D0F">
        <w:t>to</w:t>
      </w:r>
      <w:r w:rsidR="00033D0F">
        <w:rPr>
          <w:spacing w:val="-6"/>
        </w:rPr>
        <w:t xml:space="preserve"> </w:t>
      </w:r>
      <w:r w:rsidR="00033D0F">
        <w:t>"essential</w:t>
      </w:r>
      <w:r w:rsidR="00033D0F">
        <w:rPr>
          <w:spacing w:val="-1"/>
        </w:rPr>
        <w:t xml:space="preserve"> </w:t>
      </w:r>
      <w:r w:rsidR="00033D0F">
        <w:t>facts"</w:t>
      </w:r>
      <w:r w:rsidR="00033D0F">
        <w:rPr>
          <w:spacing w:val="-4"/>
        </w:rPr>
        <w:t xml:space="preserve"> </w:t>
      </w:r>
      <w:r w:rsidR="00033D0F">
        <w:t>and</w:t>
      </w:r>
      <w:r w:rsidR="00033D0F">
        <w:rPr>
          <w:spacing w:val="-5"/>
        </w:rPr>
        <w:t xml:space="preserve"> </w:t>
      </w:r>
      <w:r w:rsidR="00033D0F">
        <w:t>"timely opportunities to see information", and Australia has treated them as such. The provisions of the</w:t>
      </w:r>
      <w:r w:rsidR="00033D0F">
        <w:rPr>
          <w:spacing w:val="-14"/>
        </w:rPr>
        <w:t xml:space="preserve"> </w:t>
      </w:r>
      <w:r w:rsidR="00033D0F">
        <w:t>Anti-Dumping</w:t>
      </w:r>
      <w:r w:rsidR="00033D0F">
        <w:rPr>
          <w:spacing w:val="-11"/>
        </w:rPr>
        <w:t xml:space="preserve"> </w:t>
      </w:r>
      <w:r w:rsidR="00033D0F">
        <w:t>Agreement,</w:t>
      </w:r>
      <w:r w:rsidR="00033D0F">
        <w:rPr>
          <w:spacing w:val="-11"/>
        </w:rPr>
        <w:t xml:space="preserve"> </w:t>
      </w:r>
      <w:r w:rsidR="00033D0F">
        <w:t>including</w:t>
      </w:r>
      <w:r w:rsidR="00033D0F">
        <w:rPr>
          <w:spacing w:val="-11"/>
        </w:rPr>
        <w:t xml:space="preserve"> </w:t>
      </w:r>
      <w:r w:rsidR="00033D0F">
        <w:t>Articles</w:t>
      </w:r>
      <w:r w:rsidR="00033D0F">
        <w:rPr>
          <w:spacing w:val="-11"/>
        </w:rPr>
        <w:t xml:space="preserve"> </w:t>
      </w:r>
      <w:r w:rsidR="00033D0F">
        <w:t>6.9</w:t>
      </w:r>
      <w:r w:rsidR="00033D0F">
        <w:rPr>
          <w:spacing w:val="-14"/>
        </w:rPr>
        <w:t xml:space="preserve"> </w:t>
      </w:r>
      <w:r w:rsidR="00033D0F">
        <w:t>and</w:t>
      </w:r>
      <w:r w:rsidR="00033D0F">
        <w:rPr>
          <w:spacing w:val="-10"/>
        </w:rPr>
        <w:t xml:space="preserve"> </w:t>
      </w:r>
      <w:r w:rsidR="00033D0F">
        <w:t>6.4,</w:t>
      </w:r>
      <w:r w:rsidR="00033D0F">
        <w:rPr>
          <w:spacing w:val="-11"/>
        </w:rPr>
        <w:t xml:space="preserve"> </w:t>
      </w:r>
      <w:r w:rsidR="00033D0F">
        <w:t>apply</w:t>
      </w:r>
      <w:r w:rsidR="00033D0F">
        <w:rPr>
          <w:spacing w:val="-12"/>
        </w:rPr>
        <w:t xml:space="preserve"> </w:t>
      </w:r>
      <w:r w:rsidR="00033D0F">
        <w:t>cumulatively,</w:t>
      </w:r>
      <w:r w:rsidR="00033D0F">
        <w:rPr>
          <w:spacing w:val="-11"/>
        </w:rPr>
        <w:t xml:space="preserve"> </w:t>
      </w:r>
      <w:r w:rsidR="00033D0F">
        <w:t>and</w:t>
      </w:r>
      <w:r w:rsidR="00033D0F">
        <w:rPr>
          <w:spacing w:val="-14"/>
        </w:rPr>
        <w:t xml:space="preserve"> </w:t>
      </w:r>
      <w:r w:rsidR="00033D0F">
        <w:t>the</w:t>
      </w:r>
      <w:r w:rsidR="00033D0F">
        <w:rPr>
          <w:spacing w:val="-12"/>
        </w:rPr>
        <w:t xml:space="preserve"> </w:t>
      </w:r>
      <w:r w:rsidR="00033D0F">
        <w:t>same actions</w:t>
      </w:r>
      <w:r w:rsidR="00033D0F">
        <w:rPr>
          <w:spacing w:val="-6"/>
        </w:rPr>
        <w:t xml:space="preserve"> </w:t>
      </w:r>
      <w:r w:rsidR="00033D0F">
        <w:t>or</w:t>
      </w:r>
      <w:r w:rsidR="00033D0F">
        <w:rPr>
          <w:spacing w:val="-10"/>
        </w:rPr>
        <w:t xml:space="preserve"> </w:t>
      </w:r>
      <w:r w:rsidR="00033D0F">
        <w:t>inactions</w:t>
      </w:r>
      <w:r w:rsidR="00033D0F">
        <w:rPr>
          <w:spacing w:val="-6"/>
        </w:rPr>
        <w:t xml:space="preserve"> </w:t>
      </w:r>
      <w:r w:rsidR="00033D0F">
        <w:t>can</w:t>
      </w:r>
      <w:r w:rsidR="00033D0F">
        <w:rPr>
          <w:spacing w:val="-9"/>
        </w:rPr>
        <w:t xml:space="preserve"> </w:t>
      </w:r>
      <w:r w:rsidR="00033D0F">
        <w:t>be</w:t>
      </w:r>
      <w:r w:rsidR="00033D0F">
        <w:rPr>
          <w:spacing w:val="-3"/>
        </w:rPr>
        <w:t xml:space="preserve"> </w:t>
      </w:r>
      <w:r w:rsidR="00033D0F">
        <w:t>subject</w:t>
      </w:r>
      <w:r w:rsidR="00033D0F">
        <w:rPr>
          <w:spacing w:val="-7"/>
        </w:rPr>
        <w:t xml:space="preserve"> </w:t>
      </w:r>
      <w:r w:rsidR="00033D0F">
        <w:t>to</w:t>
      </w:r>
      <w:r w:rsidR="00033D0F">
        <w:rPr>
          <w:spacing w:val="-10"/>
        </w:rPr>
        <w:t xml:space="preserve"> </w:t>
      </w:r>
      <w:r w:rsidR="00033D0F">
        <w:t>discipline</w:t>
      </w:r>
      <w:r w:rsidR="00033D0F">
        <w:rPr>
          <w:spacing w:val="-7"/>
        </w:rPr>
        <w:t xml:space="preserve"> </w:t>
      </w:r>
      <w:r w:rsidR="00033D0F">
        <w:t>under</w:t>
      </w:r>
      <w:r w:rsidR="00033D0F">
        <w:rPr>
          <w:spacing w:val="-10"/>
        </w:rPr>
        <w:t xml:space="preserve"> </w:t>
      </w:r>
      <w:r w:rsidR="00033D0F">
        <w:t>multiple</w:t>
      </w:r>
      <w:r w:rsidR="00033D0F">
        <w:rPr>
          <w:spacing w:val="-7"/>
        </w:rPr>
        <w:t xml:space="preserve"> </w:t>
      </w:r>
      <w:r w:rsidR="00033D0F">
        <w:t>provisions.</w:t>
      </w:r>
      <w:r w:rsidR="00033D0F">
        <w:rPr>
          <w:spacing w:val="-6"/>
        </w:rPr>
        <w:t xml:space="preserve"> </w:t>
      </w:r>
      <w:r w:rsidR="00033D0F">
        <w:t>This</w:t>
      </w:r>
      <w:r w:rsidR="00033D0F">
        <w:rPr>
          <w:spacing w:val="-10"/>
        </w:rPr>
        <w:t xml:space="preserve"> </w:t>
      </w:r>
      <w:r w:rsidR="00033D0F">
        <w:t>is</w:t>
      </w:r>
      <w:r w:rsidR="00033D0F">
        <w:rPr>
          <w:spacing w:val="-6"/>
        </w:rPr>
        <w:t xml:space="preserve"> </w:t>
      </w:r>
      <w:r w:rsidR="00033D0F">
        <w:t>precisely</w:t>
      </w:r>
      <w:r w:rsidR="00033D0F">
        <w:rPr>
          <w:spacing w:val="-6"/>
        </w:rPr>
        <w:t xml:space="preserve"> </w:t>
      </w:r>
      <w:r w:rsidR="00033D0F">
        <w:t>the case</w:t>
      </w:r>
      <w:r w:rsidR="00033D0F">
        <w:rPr>
          <w:spacing w:val="-2"/>
        </w:rPr>
        <w:t xml:space="preserve"> </w:t>
      </w:r>
      <w:r w:rsidR="00033D0F">
        <w:t>in</w:t>
      </w:r>
      <w:r w:rsidR="00033D0F">
        <w:rPr>
          <w:spacing w:val="-4"/>
        </w:rPr>
        <w:t xml:space="preserve"> </w:t>
      </w:r>
      <w:r w:rsidR="00033D0F">
        <w:t>the</w:t>
      </w:r>
      <w:r w:rsidR="00033D0F">
        <w:rPr>
          <w:spacing w:val="-3"/>
        </w:rPr>
        <w:t xml:space="preserve"> </w:t>
      </w:r>
      <w:r w:rsidR="00033D0F">
        <w:t>present</w:t>
      </w:r>
      <w:r w:rsidR="00033D0F">
        <w:rPr>
          <w:spacing w:val="-2"/>
        </w:rPr>
        <w:t xml:space="preserve"> </w:t>
      </w:r>
      <w:r w:rsidR="00033D0F">
        <w:t>matter.</w:t>
      </w:r>
      <w:r w:rsidR="00033D0F">
        <w:rPr>
          <w:spacing w:val="-1"/>
        </w:rPr>
        <w:t xml:space="preserve"> </w:t>
      </w:r>
      <w:r w:rsidR="00033D0F">
        <w:t>That</w:t>
      </w:r>
      <w:r w:rsidR="00033D0F">
        <w:rPr>
          <w:spacing w:val="-2"/>
        </w:rPr>
        <w:t xml:space="preserve"> </w:t>
      </w:r>
      <w:r w:rsidR="00033D0F">
        <w:t>is, any</w:t>
      </w:r>
      <w:r w:rsidR="00033D0F">
        <w:rPr>
          <w:spacing w:val="-1"/>
        </w:rPr>
        <w:t xml:space="preserve"> </w:t>
      </w:r>
      <w:r w:rsidR="00033D0F">
        <w:t>apparent overlap</w:t>
      </w:r>
      <w:r w:rsidR="00033D0F">
        <w:rPr>
          <w:spacing w:val="-4"/>
        </w:rPr>
        <w:t xml:space="preserve"> </w:t>
      </w:r>
      <w:r w:rsidR="00033D0F">
        <w:t>in</w:t>
      </w:r>
      <w:r w:rsidR="00033D0F">
        <w:rPr>
          <w:spacing w:val="-4"/>
        </w:rPr>
        <w:t xml:space="preserve"> </w:t>
      </w:r>
      <w:r w:rsidR="00033D0F">
        <w:t>Australia's</w:t>
      </w:r>
      <w:r w:rsidR="00033D0F">
        <w:rPr>
          <w:spacing w:val="-1"/>
        </w:rPr>
        <w:t xml:space="preserve"> </w:t>
      </w:r>
      <w:r w:rsidR="00033D0F">
        <w:t>arguments</w:t>
      </w:r>
      <w:r w:rsidR="00033D0F">
        <w:rPr>
          <w:spacing w:val="-1"/>
        </w:rPr>
        <w:t xml:space="preserve"> </w:t>
      </w:r>
      <w:r w:rsidR="00033D0F">
        <w:t>concerning the</w:t>
      </w:r>
      <w:r w:rsidR="00033D0F">
        <w:rPr>
          <w:spacing w:val="-14"/>
        </w:rPr>
        <w:t xml:space="preserve"> </w:t>
      </w:r>
      <w:r w:rsidR="00033D0F">
        <w:t>provisions</w:t>
      </w:r>
      <w:r w:rsidR="00033D0F">
        <w:rPr>
          <w:spacing w:val="-14"/>
        </w:rPr>
        <w:t xml:space="preserve"> </w:t>
      </w:r>
      <w:r w:rsidR="00033D0F">
        <w:t>arises</w:t>
      </w:r>
      <w:r w:rsidR="00033D0F">
        <w:rPr>
          <w:spacing w:val="-13"/>
        </w:rPr>
        <w:t xml:space="preserve"> </w:t>
      </w:r>
      <w:r w:rsidR="00033D0F">
        <w:t>not</w:t>
      </w:r>
      <w:r w:rsidR="00033D0F">
        <w:rPr>
          <w:spacing w:val="-14"/>
        </w:rPr>
        <w:t xml:space="preserve"> </w:t>
      </w:r>
      <w:r w:rsidR="00033D0F">
        <w:t>from</w:t>
      </w:r>
      <w:r w:rsidR="00033D0F">
        <w:rPr>
          <w:spacing w:val="-13"/>
        </w:rPr>
        <w:t xml:space="preserve"> </w:t>
      </w:r>
      <w:r w:rsidR="00033D0F">
        <w:t>conflation</w:t>
      </w:r>
      <w:r w:rsidR="00033D0F">
        <w:rPr>
          <w:spacing w:val="-14"/>
        </w:rPr>
        <w:t xml:space="preserve"> </w:t>
      </w:r>
      <w:r w:rsidR="00033D0F">
        <w:t>of</w:t>
      </w:r>
      <w:r w:rsidR="00033D0F">
        <w:rPr>
          <w:spacing w:val="-13"/>
        </w:rPr>
        <w:t xml:space="preserve"> </w:t>
      </w:r>
      <w:r w:rsidR="00033D0F">
        <w:t>the</w:t>
      </w:r>
      <w:r w:rsidR="00033D0F">
        <w:rPr>
          <w:spacing w:val="-14"/>
        </w:rPr>
        <w:t xml:space="preserve"> </w:t>
      </w:r>
      <w:r w:rsidR="00033D0F">
        <w:t>obligations</w:t>
      </w:r>
      <w:r w:rsidR="00033D0F">
        <w:rPr>
          <w:spacing w:val="-14"/>
        </w:rPr>
        <w:t xml:space="preserve"> </w:t>
      </w:r>
      <w:r w:rsidR="00033D0F">
        <w:t>but</w:t>
      </w:r>
      <w:r w:rsidR="00033D0F">
        <w:rPr>
          <w:spacing w:val="-13"/>
        </w:rPr>
        <w:t xml:space="preserve"> </w:t>
      </w:r>
      <w:r w:rsidR="00033D0F">
        <w:t>rather</w:t>
      </w:r>
      <w:r w:rsidR="00033D0F">
        <w:rPr>
          <w:spacing w:val="-14"/>
        </w:rPr>
        <w:t xml:space="preserve"> </w:t>
      </w:r>
      <w:r w:rsidR="00033D0F">
        <w:t>because</w:t>
      </w:r>
      <w:r w:rsidR="00033D0F">
        <w:rPr>
          <w:spacing w:val="-13"/>
        </w:rPr>
        <w:t xml:space="preserve"> </w:t>
      </w:r>
      <w:r w:rsidR="00033D0F">
        <w:t>MOFCOM</w:t>
      </w:r>
      <w:r w:rsidR="00033D0F">
        <w:rPr>
          <w:spacing w:val="-14"/>
        </w:rPr>
        <w:t xml:space="preserve"> </w:t>
      </w:r>
      <w:r w:rsidR="00033D0F">
        <w:rPr>
          <w:i/>
        </w:rPr>
        <w:t xml:space="preserve">never </w:t>
      </w:r>
      <w:r w:rsidR="00033D0F">
        <w:t>disclosed</w:t>
      </w:r>
      <w:r w:rsidR="00033D0F">
        <w:rPr>
          <w:spacing w:val="-14"/>
        </w:rPr>
        <w:t xml:space="preserve"> </w:t>
      </w:r>
      <w:r w:rsidR="00033D0F">
        <w:t>(or</w:t>
      </w:r>
      <w:r w:rsidR="00033D0F">
        <w:rPr>
          <w:spacing w:val="-14"/>
        </w:rPr>
        <w:t xml:space="preserve"> </w:t>
      </w:r>
      <w:r w:rsidR="00033D0F">
        <w:t>made</w:t>
      </w:r>
      <w:r w:rsidR="00033D0F">
        <w:rPr>
          <w:spacing w:val="-11"/>
        </w:rPr>
        <w:t xml:space="preserve"> </w:t>
      </w:r>
      <w:r w:rsidR="00033D0F">
        <w:t>available</w:t>
      </w:r>
      <w:r w:rsidR="00033D0F">
        <w:rPr>
          <w:spacing w:val="-12"/>
        </w:rPr>
        <w:t xml:space="preserve"> </w:t>
      </w:r>
      <w:r w:rsidR="00033D0F">
        <w:t>to</w:t>
      </w:r>
      <w:r w:rsidR="00033D0F">
        <w:rPr>
          <w:spacing w:val="-14"/>
        </w:rPr>
        <w:t xml:space="preserve"> </w:t>
      </w:r>
      <w:r w:rsidR="00033D0F">
        <w:t>the</w:t>
      </w:r>
      <w:r w:rsidR="00033D0F">
        <w:rPr>
          <w:spacing w:val="-11"/>
        </w:rPr>
        <w:t xml:space="preserve"> </w:t>
      </w:r>
      <w:r w:rsidR="00033D0F">
        <w:t>parties)</w:t>
      </w:r>
      <w:r w:rsidR="00033D0F">
        <w:rPr>
          <w:spacing w:val="-13"/>
        </w:rPr>
        <w:t xml:space="preserve"> </w:t>
      </w:r>
      <w:r w:rsidR="00033D0F">
        <w:t>certain</w:t>
      </w:r>
      <w:r w:rsidR="00033D0F">
        <w:rPr>
          <w:spacing w:val="-14"/>
        </w:rPr>
        <w:t xml:space="preserve"> </w:t>
      </w:r>
      <w:r w:rsidR="00033D0F">
        <w:t>information</w:t>
      </w:r>
      <w:r w:rsidR="00033D0F">
        <w:rPr>
          <w:spacing w:val="-13"/>
        </w:rPr>
        <w:t xml:space="preserve"> </w:t>
      </w:r>
      <w:r w:rsidR="00033D0F">
        <w:t>that</w:t>
      </w:r>
      <w:r w:rsidR="00033D0F">
        <w:rPr>
          <w:spacing w:val="-11"/>
        </w:rPr>
        <w:t xml:space="preserve"> </w:t>
      </w:r>
      <w:r w:rsidR="00033D0F">
        <w:t>it</w:t>
      </w:r>
      <w:r w:rsidR="00033D0F">
        <w:rPr>
          <w:spacing w:val="-11"/>
        </w:rPr>
        <w:t xml:space="preserve"> </w:t>
      </w:r>
      <w:r w:rsidR="00033D0F">
        <w:t>was</w:t>
      </w:r>
      <w:r w:rsidR="00033D0F">
        <w:rPr>
          <w:spacing w:val="-10"/>
        </w:rPr>
        <w:t xml:space="preserve"> </w:t>
      </w:r>
      <w:r w:rsidR="00033D0F">
        <w:t>required</w:t>
      </w:r>
      <w:r w:rsidR="00033D0F">
        <w:rPr>
          <w:spacing w:val="-14"/>
        </w:rPr>
        <w:t xml:space="preserve"> </w:t>
      </w:r>
      <w:r w:rsidR="00033D0F">
        <w:t>to</w:t>
      </w:r>
      <w:r w:rsidR="00033D0F">
        <w:rPr>
          <w:spacing w:val="-13"/>
        </w:rPr>
        <w:t xml:space="preserve"> </w:t>
      </w:r>
      <w:r w:rsidR="00033D0F">
        <w:t>disclose under multiple obligations.</w:t>
      </w:r>
    </w:p>
    <w:p w14:paraId="6C6AC86B" w14:textId="77777777" w:rsidR="00BD462C" w:rsidRDefault="00BD462C">
      <w:pPr>
        <w:pStyle w:val="BodyText"/>
        <w:spacing w:before="8"/>
        <w:rPr>
          <w:sz w:val="8"/>
        </w:rPr>
      </w:pPr>
    </w:p>
    <w:p w14:paraId="5797A622" w14:textId="02B40E6A" w:rsidR="00BD462C" w:rsidRDefault="00C63D13">
      <w:pPr>
        <w:pStyle w:val="BodyText"/>
        <w:spacing w:before="56"/>
        <w:ind w:left="135"/>
      </w:pPr>
      <w:r>
        <w:rPr>
          <w:noProof/>
        </w:rPr>
        <w:t>919.</w:t>
      </w:r>
      <w:r w:rsidR="00033D0F">
        <w:rPr>
          <w:rFonts w:ascii="Times New Roman"/>
          <w:spacing w:val="80"/>
          <w:position w:val="1"/>
          <w:sz w:val="20"/>
        </w:rPr>
        <w:t xml:space="preserve">   </w:t>
      </w:r>
      <w:r w:rsidR="00033D0F">
        <w:rPr>
          <w:position w:val="1"/>
        </w:rPr>
        <w:t>For completeness,</w:t>
      </w:r>
      <w:r w:rsidR="00033D0F">
        <w:rPr>
          <w:spacing w:val="19"/>
          <w:position w:val="1"/>
        </w:rPr>
        <w:t xml:space="preserve"> </w:t>
      </w:r>
      <w:r w:rsidR="00033D0F">
        <w:rPr>
          <w:position w:val="1"/>
        </w:rPr>
        <w:t>Australia has</w:t>
      </w:r>
      <w:r w:rsidR="00033D0F">
        <w:rPr>
          <w:spacing w:val="19"/>
          <w:position w:val="1"/>
        </w:rPr>
        <w:t xml:space="preserve"> </w:t>
      </w:r>
      <w:r w:rsidR="00033D0F">
        <w:rPr>
          <w:position w:val="1"/>
        </w:rPr>
        <w:t>not improperly conflated the obligations</w:t>
      </w:r>
      <w:r w:rsidR="00033D0F">
        <w:rPr>
          <w:spacing w:val="19"/>
          <w:position w:val="1"/>
        </w:rPr>
        <w:t xml:space="preserve"> </w:t>
      </w:r>
      <w:r w:rsidR="00033D0F">
        <w:rPr>
          <w:position w:val="1"/>
        </w:rPr>
        <w:t>in Articles</w:t>
      </w:r>
    </w:p>
    <w:p w14:paraId="6FCD4A87" w14:textId="77777777" w:rsidR="00BD462C" w:rsidRDefault="00033D0F">
      <w:pPr>
        <w:pStyle w:val="BodyText"/>
        <w:spacing w:before="140"/>
        <w:ind w:left="135"/>
      </w:pPr>
      <w:r>
        <w:t>6.9</w:t>
      </w:r>
      <w:r>
        <w:rPr>
          <w:spacing w:val="40"/>
        </w:rPr>
        <w:t xml:space="preserve"> </w:t>
      </w:r>
      <w:r>
        <w:t>and</w:t>
      </w:r>
      <w:r>
        <w:rPr>
          <w:spacing w:val="43"/>
        </w:rPr>
        <w:t xml:space="preserve"> </w:t>
      </w:r>
      <w:r>
        <w:t>12.2.2</w:t>
      </w:r>
      <w:r>
        <w:rPr>
          <w:spacing w:val="47"/>
        </w:rPr>
        <w:t xml:space="preserve"> </w:t>
      </w:r>
      <w:r>
        <w:t>of</w:t>
      </w:r>
      <w:r>
        <w:rPr>
          <w:spacing w:val="44"/>
        </w:rPr>
        <w:t xml:space="preserve"> </w:t>
      </w:r>
      <w:r>
        <w:t>the</w:t>
      </w:r>
      <w:r>
        <w:rPr>
          <w:spacing w:val="44"/>
        </w:rPr>
        <w:t xml:space="preserve"> </w:t>
      </w:r>
      <w:r>
        <w:t>Anti-Dumping</w:t>
      </w:r>
      <w:r>
        <w:rPr>
          <w:spacing w:val="46"/>
        </w:rPr>
        <w:t xml:space="preserve"> </w:t>
      </w:r>
      <w:r>
        <w:t>Agreement</w:t>
      </w:r>
      <w:r>
        <w:rPr>
          <w:spacing w:val="41"/>
        </w:rPr>
        <w:t xml:space="preserve"> </w:t>
      </w:r>
      <w:r>
        <w:t>in</w:t>
      </w:r>
      <w:r>
        <w:rPr>
          <w:spacing w:val="42"/>
        </w:rPr>
        <w:t xml:space="preserve"> </w:t>
      </w:r>
      <w:r>
        <w:t>respect</w:t>
      </w:r>
      <w:r>
        <w:rPr>
          <w:spacing w:val="46"/>
        </w:rPr>
        <w:t xml:space="preserve"> </w:t>
      </w:r>
      <w:r>
        <w:t>of</w:t>
      </w:r>
      <w:r>
        <w:rPr>
          <w:spacing w:val="43"/>
        </w:rPr>
        <w:t xml:space="preserve"> </w:t>
      </w:r>
      <w:r>
        <w:t>its</w:t>
      </w:r>
      <w:r>
        <w:rPr>
          <w:spacing w:val="46"/>
        </w:rPr>
        <w:t xml:space="preserve"> </w:t>
      </w:r>
      <w:r>
        <w:t>panel</w:t>
      </w:r>
      <w:r>
        <w:rPr>
          <w:spacing w:val="42"/>
        </w:rPr>
        <w:t xml:space="preserve"> </w:t>
      </w:r>
      <w:r>
        <w:t>request,</w:t>
      </w:r>
      <w:r>
        <w:rPr>
          <w:spacing w:val="47"/>
        </w:rPr>
        <w:t xml:space="preserve"> </w:t>
      </w:r>
      <w:r>
        <w:t>or</w:t>
      </w:r>
      <w:r>
        <w:rPr>
          <w:spacing w:val="42"/>
        </w:rPr>
        <w:t xml:space="preserve"> </w:t>
      </w:r>
      <w:r>
        <w:t>in</w:t>
      </w:r>
      <w:r>
        <w:rPr>
          <w:spacing w:val="43"/>
        </w:rPr>
        <w:t xml:space="preserve"> </w:t>
      </w:r>
      <w:r>
        <w:rPr>
          <w:spacing w:val="-5"/>
        </w:rPr>
        <w:t>its</w:t>
      </w:r>
    </w:p>
    <w:p w14:paraId="31B117A0" w14:textId="77777777" w:rsidR="00BD462C" w:rsidRDefault="00BD462C">
      <w:pPr>
        <w:pStyle w:val="BodyText"/>
        <w:rPr>
          <w:sz w:val="20"/>
        </w:rPr>
      </w:pPr>
    </w:p>
    <w:p w14:paraId="71E43541" w14:textId="77777777" w:rsidR="00BD462C" w:rsidRDefault="00BD462C">
      <w:pPr>
        <w:pStyle w:val="BodyText"/>
        <w:rPr>
          <w:sz w:val="20"/>
        </w:rPr>
      </w:pPr>
    </w:p>
    <w:p w14:paraId="5ADC008A" w14:textId="77777777" w:rsidR="00BD462C" w:rsidRDefault="00BD462C">
      <w:pPr>
        <w:pStyle w:val="BodyText"/>
        <w:rPr>
          <w:sz w:val="20"/>
        </w:rPr>
      </w:pPr>
    </w:p>
    <w:p w14:paraId="450D86C6" w14:textId="77777777" w:rsidR="00BD462C" w:rsidRDefault="00BD462C">
      <w:pPr>
        <w:pStyle w:val="BodyText"/>
        <w:rPr>
          <w:sz w:val="20"/>
        </w:rPr>
      </w:pPr>
    </w:p>
    <w:p w14:paraId="32F82F33" w14:textId="77777777" w:rsidR="00BD462C" w:rsidRDefault="00BD462C">
      <w:pPr>
        <w:pStyle w:val="BodyText"/>
        <w:rPr>
          <w:sz w:val="20"/>
        </w:rPr>
      </w:pPr>
    </w:p>
    <w:p w14:paraId="76378620" w14:textId="77777777" w:rsidR="00BD462C" w:rsidRDefault="00BD462C">
      <w:pPr>
        <w:pStyle w:val="BodyText"/>
        <w:rPr>
          <w:sz w:val="20"/>
        </w:rPr>
      </w:pPr>
    </w:p>
    <w:p w14:paraId="4B216838" w14:textId="77777777" w:rsidR="00BD462C" w:rsidRDefault="00BD462C">
      <w:pPr>
        <w:pStyle w:val="BodyText"/>
        <w:rPr>
          <w:sz w:val="20"/>
        </w:rPr>
      </w:pPr>
    </w:p>
    <w:p w14:paraId="5BA80A14" w14:textId="77777777" w:rsidR="00BD462C" w:rsidRDefault="00BD462C">
      <w:pPr>
        <w:pStyle w:val="BodyText"/>
        <w:rPr>
          <w:sz w:val="20"/>
        </w:rPr>
      </w:pPr>
    </w:p>
    <w:p w14:paraId="58978405" w14:textId="32ADC808" w:rsidR="00BD462C" w:rsidRDefault="00D70C7D">
      <w:pPr>
        <w:pStyle w:val="BodyText"/>
        <w:spacing w:before="7"/>
        <w:rPr>
          <w:sz w:val="15"/>
        </w:rPr>
      </w:pPr>
      <w:r>
        <w:rPr>
          <w:noProof/>
        </w:rPr>
        <mc:AlternateContent>
          <mc:Choice Requires="wps">
            <w:drawing>
              <wp:anchor distT="0" distB="0" distL="0" distR="0" simplePos="0" relativeHeight="487872512" behindDoc="1" locked="0" layoutInCell="1" allowOverlap="1" wp14:anchorId="48C55951" wp14:editId="2860DB04">
                <wp:simplePos x="0" y="0"/>
                <wp:positionH relativeFrom="page">
                  <wp:posOffset>899160</wp:posOffset>
                </wp:positionH>
                <wp:positionV relativeFrom="paragraph">
                  <wp:posOffset>135890</wp:posOffset>
                </wp:positionV>
                <wp:extent cx="1828800" cy="8890"/>
                <wp:effectExtent l="0" t="0" r="0" b="0"/>
                <wp:wrapTopAndBottom/>
                <wp:docPr id="226" name="docshape6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87E5F9" id="docshape612" o:spid="_x0000_s1026" alt="&quot;&quot;" style="position:absolute;margin-left:70.8pt;margin-top:10.7pt;width:2in;height:.7pt;z-index:-1544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" fillcolor="black" stroked="f">
                <w10:wrap type="topAndBottom" anchorx="page"/>
              </v:rect>
            </w:pict>
          </mc:Fallback>
        </mc:AlternateContent>
      </w:r>
    </w:p>
    <w:p w14:paraId="47B09D17" w14:textId="77777777" w:rsidR="00BD462C" w:rsidRDefault="00033D0F">
      <w:pPr>
        <w:spacing w:before="112" w:line="218" w:lineRule="exact"/>
        <w:ind w:left="135"/>
        <w:jc w:val="both"/>
        <w:rPr>
          <w:sz w:val="18"/>
        </w:rPr>
      </w:pPr>
      <w:bookmarkStart w:id="1786" w:name="_bookmark1539"/>
      <w:bookmarkEnd w:id="1786"/>
      <w:r>
        <w:rPr>
          <w:position w:val="5"/>
          <w:sz w:val="12"/>
        </w:rPr>
        <w:t>1329</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paras.</w:t>
      </w:r>
      <w:r>
        <w:rPr>
          <w:spacing w:val="-5"/>
          <w:sz w:val="18"/>
        </w:rPr>
        <w:t xml:space="preserve"> </w:t>
      </w:r>
      <w:r>
        <w:rPr>
          <w:sz w:val="18"/>
        </w:rPr>
        <w:t>2527-</w:t>
      </w:r>
      <w:r>
        <w:rPr>
          <w:spacing w:val="-2"/>
          <w:sz w:val="18"/>
        </w:rPr>
        <w:t>2531.</w:t>
      </w:r>
    </w:p>
    <w:p w14:paraId="5D875D0F" w14:textId="77777777" w:rsidR="00BD462C" w:rsidRDefault="00033D0F">
      <w:pPr>
        <w:spacing w:line="218" w:lineRule="exact"/>
        <w:ind w:left="135"/>
        <w:jc w:val="both"/>
        <w:rPr>
          <w:sz w:val="18"/>
        </w:rPr>
      </w:pPr>
      <w:bookmarkStart w:id="1787" w:name="_bookmark1540"/>
      <w:bookmarkEnd w:id="1787"/>
      <w:r>
        <w:rPr>
          <w:position w:val="5"/>
          <w:sz w:val="12"/>
        </w:rPr>
        <w:t>1330</w:t>
      </w:r>
      <w:r>
        <w:rPr>
          <w:spacing w:val="13"/>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 xml:space="preserve">para. </w:t>
      </w:r>
      <w:r>
        <w:rPr>
          <w:spacing w:val="-2"/>
          <w:sz w:val="18"/>
        </w:rPr>
        <w:t>2532.</w:t>
      </w:r>
    </w:p>
    <w:p w14:paraId="2D0A0342" w14:textId="77777777" w:rsidR="00BD462C" w:rsidRDefault="00033D0F">
      <w:pPr>
        <w:spacing w:before="1"/>
        <w:ind w:left="135"/>
        <w:jc w:val="both"/>
        <w:rPr>
          <w:sz w:val="18"/>
        </w:rPr>
      </w:pPr>
      <w:bookmarkStart w:id="1788" w:name="_bookmark1541"/>
      <w:bookmarkEnd w:id="1788"/>
      <w:r>
        <w:rPr>
          <w:position w:val="5"/>
          <w:sz w:val="12"/>
        </w:rPr>
        <w:t>1331</w:t>
      </w:r>
      <w:r>
        <w:rPr>
          <w:spacing w:val="13"/>
          <w:position w:val="5"/>
          <w:sz w:val="12"/>
        </w:rPr>
        <w:t xml:space="preserve"> </w:t>
      </w:r>
      <w:r>
        <w:rPr>
          <w:sz w:val="18"/>
        </w:rPr>
        <w:t>China’s</w:t>
      </w:r>
      <w:r>
        <w:rPr>
          <w:spacing w:val="-6"/>
          <w:sz w:val="18"/>
        </w:rPr>
        <w:t xml:space="preserve"> </w:t>
      </w:r>
      <w:r>
        <w:rPr>
          <w:sz w:val="18"/>
        </w:rPr>
        <w:t>first</w:t>
      </w:r>
      <w:r>
        <w:rPr>
          <w:spacing w:val="-1"/>
          <w:sz w:val="18"/>
        </w:rPr>
        <w:t xml:space="preserve"> </w:t>
      </w:r>
      <w:r>
        <w:rPr>
          <w:sz w:val="18"/>
        </w:rPr>
        <w:t>written</w:t>
      </w:r>
      <w:r>
        <w:rPr>
          <w:spacing w:val="-6"/>
          <w:sz w:val="18"/>
        </w:rPr>
        <w:t xml:space="preserve"> </w:t>
      </w:r>
      <w:r>
        <w:rPr>
          <w:sz w:val="18"/>
        </w:rPr>
        <w:t>submission,</w:t>
      </w:r>
      <w:r>
        <w:rPr>
          <w:spacing w:val="-4"/>
          <w:sz w:val="18"/>
        </w:rPr>
        <w:t xml:space="preserve"> </w:t>
      </w:r>
      <w:r>
        <w:rPr>
          <w:sz w:val="18"/>
        </w:rPr>
        <w:t xml:space="preserve">para. </w:t>
      </w:r>
      <w:r>
        <w:rPr>
          <w:spacing w:val="-2"/>
          <w:sz w:val="18"/>
        </w:rPr>
        <w:t>2520.</w:t>
      </w:r>
    </w:p>
    <w:p w14:paraId="742BC9A6" w14:textId="77777777" w:rsidR="00BD462C" w:rsidRDefault="00033D0F">
      <w:pPr>
        <w:spacing w:before="1"/>
        <w:ind w:left="136" w:right="910" w:hanging="1"/>
        <w:jc w:val="both"/>
        <w:rPr>
          <w:sz w:val="18"/>
        </w:rPr>
      </w:pPr>
      <w:bookmarkStart w:id="1789" w:name="_bookmark1542"/>
      <w:bookmarkEnd w:id="1789"/>
      <w:r>
        <w:rPr>
          <w:position w:val="5"/>
          <w:sz w:val="12"/>
        </w:rPr>
        <w:t>1332</w:t>
      </w:r>
      <w:r>
        <w:rPr>
          <w:spacing w:val="22"/>
          <w:position w:val="5"/>
          <w:sz w:val="12"/>
        </w:rPr>
        <w:t xml:space="preserve"> </w:t>
      </w:r>
      <w:r>
        <w:rPr>
          <w:sz w:val="18"/>
        </w:rPr>
        <w:t xml:space="preserve">Panel Report, </w:t>
      </w:r>
      <w:r>
        <w:rPr>
          <w:i/>
          <w:sz w:val="18"/>
        </w:rPr>
        <w:t xml:space="preserve">Korea – Certain Paper (Article 21.5 – Indonesia), </w:t>
      </w:r>
      <w:r>
        <w:rPr>
          <w:sz w:val="18"/>
        </w:rPr>
        <w:t xml:space="preserve">paras. 6.90-6.92. The cited quotation is simply the panel </w:t>
      </w:r>
      <w:proofErr w:type="spellStart"/>
      <w:r>
        <w:rPr>
          <w:sz w:val="18"/>
        </w:rPr>
        <w:t>summarising</w:t>
      </w:r>
      <w:proofErr w:type="spellEnd"/>
      <w:r>
        <w:rPr>
          <w:sz w:val="18"/>
        </w:rPr>
        <w:t xml:space="preserve"> what it viewed Indonesia's argument to be. It was not making a finding. The panel in that dispute dealt with each argument under Article 6.4 and 6.9 separately, as Australia would similarly expect in this dispute.</w:t>
      </w:r>
    </w:p>
    <w:p w14:paraId="4EE3DADE" w14:textId="77777777" w:rsidR="00BD462C" w:rsidRDefault="00BD462C">
      <w:pPr>
        <w:jc w:val="both"/>
        <w:rPr>
          <w:sz w:val="18"/>
        </w:rPr>
        <w:sectPr w:rsidR="00BD462C">
          <w:pgSz w:w="11910" w:h="16840"/>
          <w:pgMar w:top="860" w:right="500" w:bottom="780" w:left="1280" w:header="566" w:footer="590" w:gutter="0"/>
          <w:cols w:space="720"/>
        </w:sectPr>
      </w:pPr>
    </w:p>
    <w:p w14:paraId="16505057"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2226DD58"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4806343D"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310ED5A3" w14:textId="77777777" w:rsidR="00BD462C" w:rsidRDefault="00033D0F">
      <w:pPr>
        <w:pStyle w:val="BodyText"/>
        <w:spacing w:before="102" w:line="357" w:lineRule="auto"/>
        <w:ind w:left="136" w:right="912"/>
      </w:pPr>
      <w:r>
        <w:t>arguments.</w:t>
      </w:r>
      <w:hyperlink w:anchor="_bookmark1543" w:history="1">
        <w:r>
          <w:rPr>
            <w:vertAlign w:val="superscript"/>
          </w:rPr>
          <w:t>1333</w:t>
        </w:r>
      </w:hyperlink>
      <w:r>
        <w:rPr>
          <w:spacing w:val="-3"/>
        </w:rPr>
        <w:t xml:space="preserve"> </w:t>
      </w:r>
      <w:r>
        <w:t>To</w:t>
      </w:r>
      <w:r>
        <w:rPr>
          <w:spacing w:val="-6"/>
        </w:rPr>
        <w:t xml:space="preserve"> </w:t>
      </w:r>
      <w:r>
        <w:t>clarify,</w:t>
      </w:r>
      <w:r>
        <w:rPr>
          <w:spacing w:val="-1"/>
        </w:rPr>
        <w:t xml:space="preserve"> </w:t>
      </w:r>
      <w:r>
        <w:t>Australia</w:t>
      </w:r>
      <w:r>
        <w:rPr>
          <w:spacing w:val="-4"/>
        </w:rPr>
        <w:t xml:space="preserve"> </w:t>
      </w:r>
      <w:proofErr w:type="spellStart"/>
      <w:r>
        <w:t>recognises</w:t>
      </w:r>
      <w:proofErr w:type="spellEnd"/>
      <w:r>
        <w:rPr>
          <w:spacing w:val="-7"/>
        </w:rPr>
        <w:t xml:space="preserve"> </w:t>
      </w:r>
      <w:r>
        <w:t>that</w:t>
      </w:r>
      <w:r>
        <w:rPr>
          <w:spacing w:val="-3"/>
        </w:rPr>
        <w:t xml:space="preserve"> </w:t>
      </w:r>
      <w:r>
        <w:t>Article</w:t>
      </w:r>
      <w:r>
        <w:rPr>
          <w:spacing w:val="-3"/>
        </w:rPr>
        <w:t xml:space="preserve"> </w:t>
      </w:r>
      <w:r>
        <w:t>6.9</w:t>
      </w:r>
      <w:r>
        <w:rPr>
          <w:spacing w:val="-6"/>
        </w:rPr>
        <w:t xml:space="preserve"> </w:t>
      </w:r>
      <w:r>
        <w:t>applies</w:t>
      </w:r>
      <w:r>
        <w:rPr>
          <w:spacing w:val="-2"/>
        </w:rPr>
        <w:t xml:space="preserve"> </w:t>
      </w:r>
      <w:r>
        <w:t>only</w:t>
      </w:r>
      <w:r>
        <w:rPr>
          <w:spacing w:val="-2"/>
        </w:rPr>
        <w:t xml:space="preserve"> </w:t>
      </w:r>
      <w:r>
        <w:t>to</w:t>
      </w:r>
      <w:r>
        <w:rPr>
          <w:spacing w:val="-11"/>
        </w:rPr>
        <w:t xml:space="preserve"> </w:t>
      </w:r>
      <w:r>
        <w:t>the</w:t>
      </w:r>
      <w:r>
        <w:rPr>
          <w:spacing w:val="-4"/>
        </w:rPr>
        <w:t xml:space="preserve"> </w:t>
      </w:r>
      <w:r>
        <w:t>disclosure</w:t>
      </w:r>
      <w:r>
        <w:rPr>
          <w:spacing w:val="-3"/>
        </w:rPr>
        <w:t xml:space="preserve"> </w:t>
      </w:r>
      <w:r>
        <w:t>of "essential facts" and has properly made out its claim on this basis.</w:t>
      </w:r>
      <w:hyperlink w:anchor="_bookmark1544" w:history="1">
        <w:r>
          <w:rPr>
            <w:vertAlign w:val="superscript"/>
          </w:rPr>
          <w:t>1334</w:t>
        </w:r>
      </w:hyperlink>
    </w:p>
    <w:p w14:paraId="2126A103" w14:textId="77777777" w:rsidR="00BD462C" w:rsidRDefault="00033D0F">
      <w:pPr>
        <w:pStyle w:val="ListParagraph"/>
        <w:numPr>
          <w:ilvl w:val="1"/>
          <w:numId w:val="14"/>
        </w:numPr>
        <w:tabs>
          <w:tab w:val="left" w:pos="3539"/>
          <w:tab w:val="left" w:pos="3540"/>
        </w:tabs>
        <w:spacing w:before="164"/>
        <w:ind w:hanging="851"/>
        <w:rPr>
          <w:sz w:val="24"/>
        </w:rPr>
      </w:pPr>
      <w:bookmarkStart w:id="1790" w:name="(b)_Australia's_claims_are_within_the_sc"/>
      <w:bookmarkEnd w:id="1790"/>
      <w:r>
        <w:rPr>
          <w:sz w:val="24"/>
          <w:u w:val="single"/>
        </w:rPr>
        <w:t>Australia's</w:t>
      </w:r>
      <w:r>
        <w:rPr>
          <w:spacing w:val="-4"/>
          <w:sz w:val="24"/>
          <w:u w:val="single"/>
        </w:rPr>
        <w:t xml:space="preserve"> </w:t>
      </w:r>
      <w:r>
        <w:rPr>
          <w:sz w:val="24"/>
          <w:u w:val="single"/>
        </w:rPr>
        <w:t>claims</w:t>
      </w:r>
      <w:r>
        <w:rPr>
          <w:spacing w:val="-1"/>
          <w:sz w:val="24"/>
          <w:u w:val="single"/>
        </w:rPr>
        <w:t xml:space="preserve"> </w:t>
      </w:r>
      <w:r>
        <w:rPr>
          <w:sz w:val="24"/>
          <w:u w:val="single"/>
        </w:rPr>
        <w:t>are</w:t>
      </w:r>
      <w:r>
        <w:rPr>
          <w:spacing w:val="-2"/>
          <w:sz w:val="24"/>
          <w:u w:val="single"/>
        </w:rPr>
        <w:t xml:space="preserve"> </w:t>
      </w:r>
      <w:r>
        <w:rPr>
          <w:sz w:val="24"/>
          <w:u w:val="single"/>
        </w:rPr>
        <w:t>within</w:t>
      </w:r>
      <w:r>
        <w:rPr>
          <w:spacing w:val="-4"/>
          <w:sz w:val="24"/>
          <w:u w:val="single"/>
        </w:rPr>
        <w:t xml:space="preserve"> </w:t>
      </w:r>
      <w:r>
        <w:rPr>
          <w:sz w:val="24"/>
          <w:u w:val="single"/>
        </w:rPr>
        <w:t>the</w:t>
      </w:r>
      <w:r>
        <w:rPr>
          <w:spacing w:val="-2"/>
          <w:sz w:val="24"/>
          <w:u w:val="single"/>
        </w:rPr>
        <w:t xml:space="preserve"> </w:t>
      </w:r>
      <w:r>
        <w:rPr>
          <w:sz w:val="24"/>
          <w:u w:val="single"/>
        </w:rPr>
        <w:t>scope</w:t>
      </w:r>
      <w:r>
        <w:rPr>
          <w:spacing w:val="-2"/>
          <w:sz w:val="24"/>
          <w:u w:val="single"/>
        </w:rPr>
        <w:t xml:space="preserve"> </w:t>
      </w:r>
      <w:r>
        <w:rPr>
          <w:sz w:val="24"/>
          <w:u w:val="single"/>
        </w:rPr>
        <w:t>of</w:t>
      </w:r>
      <w:r>
        <w:rPr>
          <w:spacing w:val="-4"/>
          <w:sz w:val="24"/>
          <w:u w:val="single"/>
        </w:rPr>
        <w:t xml:space="preserve"> </w:t>
      </w:r>
      <w:r>
        <w:rPr>
          <w:sz w:val="24"/>
          <w:u w:val="single"/>
        </w:rPr>
        <w:t>Article</w:t>
      </w:r>
      <w:r>
        <w:rPr>
          <w:spacing w:val="-3"/>
          <w:sz w:val="24"/>
          <w:u w:val="single"/>
        </w:rPr>
        <w:t xml:space="preserve"> </w:t>
      </w:r>
      <w:r>
        <w:rPr>
          <w:spacing w:val="-5"/>
          <w:sz w:val="24"/>
          <w:u w:val="single"/>
        </w:rPr>
        <w:t>6.9</w:t>
      </w:r>
    </w:p>
    <w:p w14:paraId="61FBBEEA" w14:textId="77777777" w:rsidR="00BD462C" w:rsidRDefault="00BD462C">
      <w:pPr>
        <w:pStyle w:val="BodyText"/>
        <w:spacing w:before="11"/>
        <w:rPr>
          <w:sz w:val="20"/>
        </w:rPr>
      </w:pPr>
    </w:p>
    <w:p w14:paraId="11D7F426" w14:textId="27CC6069" w:rsidR="00BD462C" w:rsidRDefault="00C63D13">
      <w:pPr>
        <w:pStyle w:val="BodyText"/>
        <w:spacing w:before="56" w:line="360" w:lineRule="auto"/>
        <w:ind w:left="135" w:right="910"/>
        <w:jc w:val="both"/>
      </w:pPr>
      <w:r>
        <w:rPr>
          <w:noProof/>
        </w:rPr>
        <w:t>920.</w:t>
      </w:r>
      <w:r w:rsidR="00033D0F">
        <w:rPr>
          <w:rFonts w:ascii="Times New Roman"/>
          <w:spacing w:val="80"/>
          <w:position w:val="1"/>
          <w:sz w:val="20"/>
        </w:rPr>
        <w:t xml:space="preserve"> </w:t>
      </w:r>
      <w:r w:rsidR="00033D0F">
        <w:rPr>
          <w:position w:val="1"/>
        </w:rPr>
        <w:t xml:space="preserve">China appears to attempt to evade MOFCOM's obligations to disclose certain </w:t>
      </w:r>
      <w:r w:rsidR="00033D0F">
        <w:t xml:space="preserve">information under Article 6.9 by </w:t>
      </w:r>
      <w:proofErr w:type="spellStart"/>
      <w:r w:rsidR="00033D0F">
        <w:t>categorising</w:t>
      </w:r>
      <w:proofErr w:type="spellEnd"/>
      <w:r w:rsidR="00033D0F">
        <w:t xml:space="preserve"> information at issue as "reasoning" or "explanations", "decisions" or "intentions", "methodologies", and/or "calculations".</w:t>
      </w:r>
      <w:hyperlink w:anchor="_bookmark1545" w:history="1">
        <w:r w:rsidR="00033D0F">
          <w:rPr>
            <w:vertAlign w:val="superscript"/>
          </w:rPr>
          <w:t>1335</w:t>
        </w:r>
      </w:hyperlink>
      <w:r w:rsidR="00033D0F">
        <w:t xml:space="preserve"> It then argues that certain categories of information are outside the scope of Article 6.9. Australia has dealt with China's arguments at length in its response to the Panel's questions.</w:t>
      </w:r>
      <w:hyperlink w:anchor="_bookmark1546" w:history="1">
        <w:r w:rsidR="00033D0F">
          <w:rPr>
            <w:vertAlign w:val="superscript"/>
          </w:rPr>
          <w:t>1336</w:t>
        </w:r>
      </w:hyperlink>
      <w:r w:rsidR="00033D0F">
        <w:t xml:space="preserve"> In particular, as set out in Australia's response to Panel question No. 64, Australia's submission</w:t>
      </w:r>
      <w:r w:rsidR="00033D0F">
        <w:rPr>
          <w:spacing w:val="-1"/>
        </w:rPr>
        <w:t xml:space="preserve"> </w:t>
      </w:r>
      <w:r w:rsidR="00033D0F">
        <w:t>is</w:t>
      </w:r>
      <w:r w:rsidR="00033D0F">
        <w:rPr>
          <w:spacing w:val="-2"/>
        </w:rPr>
        <w:t xml:space="preserve"> </w:t>
      </w:r>
      <w:r w:rsidR="00033D0F">
        <w:t>that each</w:t>
      </w:r>
      <w:r w:rsidR="00033D0F">
        <w:rPr>
          <w:spacing w:val="-1"/>
        </w:rPr>
        <w:t xml:space="preserve"> </w:t>
      </w:r>
      <w:r w:rsidR="00033D0F">
        <w:t>of the instances provided</w:t>
      </w:r>
      <w:r w:rsidR="00033D0F">
        <w:rPr>
          <w:spacing w:val="-1"/>
        </w:rPr>
        <w:t xml:space="preserve"> </w:t>
      </w:r>
      <w:r w:rsidR="00033D0F">
        <w:t>for</w:t>
      </w:r>
      <w:r w:rsidR="00033D0F">
        <w:rPr>
          <w:spacing w:val="-1"/>
        </w:rPr>
        <w:t xml:space="preserve"> </w:t>
      </w:r>
      <w:r w:rsidR="00033D0F">
        <w:t>in</w:t>
      </w:r>
      <w:r w:rsidR="00033D0F">
        <w:rPr>
          <w:spacing w:val="-1"/>
        </w:rPr>
        <w:t xml:space="preserve"> </w:t>
      </w:r>
      <w:r w:rsidR="00033D0F">
        <w:t>China's table at paragraph 2524 are "essential facts" for the purposes of Article 6.9, except in two cases which are headings, as opposed to arguments made by Australia in its first written submission.</w:t>
      </w:r>
      <w:hyperlink w:anchor="_bookmark1547" w:history="1">
        <w:r w:rsidR="00033D0F">
          <w:rPr>
            <w:vertAlign w:val="superscript"/>
          </w:rPr>
          <w:t>1337</w:t>
        </w:r>
      </w:hyperlink>
    </w:p>
    <w:p w14:paraId="24BE00D1" w14:textId="77777777" w:rsidR="00BD462C" w:rsidRDefault="00033D0F">
      <w:pPr>
        <w:pStyle w:val="ListParagraph"/>
        <w:numPr>
          <w:ilvl w:val="1"/>
          <w:numId w:val="14"/>
        </w:numPr>
        <w:tabs>
          <w:tab w:val="left" w:pos="3539"/>
          <w:tab w:val="left" w:pos="3540"/>
        </w:tabs>
        <w:spacing w:before="155" w:line="362" w:lineRule="auto"/>
        <w:ind w:right="917"/>
        <w:jc w:val="both"/>
        <w:rPr>
          <w:sz w:val="24"/>
        </w:rPr>
      </w:pPr>
      <w:bookmarkStart w:id="1791" w:name="(c)_A_&quot;narrative_description&quot;_of_the_&quot;es"/>
      <w:bookmarkEnd w:id="1791"/>
      <w:r>
        <w:rPr>
          <w:sz w:val="24"/>
          <w:u w:val="single"/>
        </w:rPr>
        <w:t>A "narrative description" of the "essential facts" is</w:t>
      </w:r>
      <w:r>
        <w:rPr>
          <w:sz w:val="24"/>
        </w:rPr>
        <w:t xml:space="preserve"> </w:t>
      </w:r>
      <w:r>
        <w:rPr>
          <w:sz w:val="24"/>
          <w:u w:val="single"/>
        </w:rPr>
        <w:t>insufficient for the purposes of Article 6.9</w:t>
      </w:r>
    </w:p>
    <w:p w14:paraId="28320F72" w14:textId="77777777" w:rsidR="00BD462C" w:rsidRDefault="00BD462C">
      <w:pPr>
        <w:pStyle w:val="BodyText"/>
        <w:spacing w:before="7"/>
        <w:rPr>
          <w:sz w:val="8"/>
        </w:rPr>
      </w:pPr>
    </w:p>
    <w:p w14:paraId="238740C3" w14:textId="598DD91E" w:rsidR="00BD462C" w:rsidRDefault="00C63D13">
      <w:pPr>
        <w:pStyle w:val="BodyText"/>
        <w:spacing w:before="56" w:line="360" w:lineRule="auto"/>
        <w:ind w:left="136" w:right="911"/>
        <w:jc w:val="both"/>
      </w:pPr>
      <w:r>
        <w:rPr>
          <w:noProof/>
        </w:rPr>
        <w:t>921.</w:t>
      </w:r>
      <w:r w:rsidR="00033D0F">
        <w:rPr>
          <w:rFonts w:ascii="Times New Roman" w:hAnsi="Times New Roman"/>
          <w:spacing w:val="80"/>
          <w:w w:val="150"/>
          <w:position w:val="1"/>
          <w:sz w:val="20"/>
        </w:rPr>
        <w:t xml:space="preserve">  </w:t>
      </w:r>
      <w:r w:rsidR="00033D0F">
        <w:rPr>
          <w:position w:val="1"/>
        </w:rPr>
        <w:t>China</w:t>
      </w:r>
      <w:r w:rsidR="00033D0F">
        <w:rPr>
          <w:spacing w:val="-7"/>
          <w:position w:val="1"/>
        </w:rPr>
        <w:t xml:space="preserve"> </w:t>
      </w:r>
      <w:r w:rsidR="00033D0F">
        <w:rPr>
          <w:position w:val="1"/>
        </w:rPr>
        <w:t>relies</w:t>
      </w:r>
      <w:r w:rsidR="00033D0F">
        <w:rPr>
          <w:spacing w:val="-5"/>
          <w:position w:val="1"/>
        </w:rPr>
        <w:t xml:space="preserve"> </w:t>
      </w:r>
      <w:r w:rsidR="00033D0F">
        <w:rPr>
          <w:position w:val="1"/>
        </w:rPr>
        <w:t>on</w:t>
      </w:r>
      <w:r w:rsidR="00033D0F">
        <w:rPr>
          <w:spacing w:val="-8"/>
          <w:position w:val="1"/>
        </w:rPr>
        <w:t xml:space="preserve"> </w:t>
      </w:r>
      <w:r w:rsidR="00033D0F">
        <w:rPr>
          <w:position w:val="1"/>
        </w:rPr>
        <w:t>the</w:t>
      </w:r>
      <w:r w:rsidR="00033D0F">
        <w:rPr>
          <w:spacing w:val="-6"/>
          <w:position w:val="1"/>
        </w:rPr>
        <w:t xml:space="preserve"> </w:t>
      </w:r>
      <w:r w:rsidR="00033D0F">
        <w:rPr>
          <w:position w:val="1"/>
        </w:rPr>
        <w:t>panel</w:t>
      </w:r>
      <w:r w:rsidR="00033D0F">
        <w:rPr>
          <w:spacing w:val="-4"/>
          <w:position w:val="1"/>
        </w:rPr>
        <w:t xml:space="preserve"> </w:t>
      </w:r>
      <w:r w:rsidR="00033D0F">
        <w:rPr>
          <w:position w:val="1"/>
        </w:rPr>
        <w:t>report</w:t>
      </w:r>
      <w:r w:rsidR="00033D0F">
        <w:rPr>
          <w:spacing w:val="-6"/>
          <w:position w:val="1"/>
        </w:rPr>
        <w:t xml:space="preserve"> </w:t>
      </w:r>
      <w:r w:rsidR="00033D0F">
        <w:rPr>
          <w:position w:val="1"/>
        </w:rPr>
        <w:t>in</w:t>
      </w:r>
      <w:r w:rsidR="00033D0F">
        <w:rPr>
          <w:spacing w:val="-8"/>
          <w:position w:val="1"/>
        </w:rPr>
        <w:t xml:space="preserve"> </w:t>
      </w:r>
      <w:r w:rsidR="00033D0F">
        <w:rPr>
          <w:i/>
          <w:position w:val="1"/>
        </w:rPr>
        <w:t>China</w:t>
      </w:r>
      <w:r w:rsidR="00033D0F">
        <w:rPr>
          <w:i/>
          <w:spacing w:val="-5"/>
          <w:position w:val="1"/>
        </w:rPr>
        <w:t xml:space="preserve"> </w:t>
      </w:r>
      <w:r w:rsidR="00033D0F">
        <w:rPr>
          <w:i/>
          <w:position w:val="1"/>
        </w:rPr>
        <w:t>–</w:t>
      </w:r>
      <w:r w:rsidR="00033D0F">
        <w:rPr>
          <w:i/>
          <w:spacing w:val="-6"/>
          <w:position w:val="1"/>
        </w:rPr>
        <w:t xml:space="preserve"> </w:t>
      </w:r>
      <w:r w:rsidR="00033D0F">
        <w:rPr>
          <w:i/>
          <w:position w:val="1"/>
        </w:rPr>
        <w:t>HP-SSST</w:t>
      </w:r>
      <w:r w:rsidR="00033D0F">
        <w:rPr>
          <w:i/>
          <w:spacing w:val="-13"/>
          <w:position w:val="1"/>
        </w:rPr>
        <w:t xml:space="preserve"> </w:t>
      </w:r>
      <w:r w:rsidR="00033D0F">
        <w:rPr>
          <w:i/>
          <w:position w:val="1"/>
        </w:rPr>
        <w:t>(Japan)</w:t>
      </w:r>
      <w:r w:rsidR="00033D0F">
        <w:rPr>
          <w:i/>
          <w:spacing w:val="-8"/>
          <w:position w:val="1"/>
        </w:rPr>
        <w:t xml:space="preserve"> </w:t>
      </w:r>
      <w:r w:rsidR="00033D0F">
        <w:rPr>
          <w:i/>
          <w:position w:val="1"/>
        </w:rPr>
        <w:t>/</w:t>
      </w:r>
      <w:r w:rsidR="00033D0F">
        <w:rPr>
          <w:i/>
          <w:spacing w:val="-9"/>
          <w:position w:val="1"/>
        </w:rPr>
        <w:t xml:space="preserve"> </w:t>
      </w:r>
      <w:r w:rsidR="00033D0F">
        <w:rPr>
          <w:i/>
          <w:position w:val="1"/>
        </w:rPr>
        <w:t>China</w:t>
      </w:r>
      <w:r w:rsidR="00033D0F">
        <w:rPr>
          <w:i/>
          <w:spacing w:val="-5"/>
          <w:position w:val="1"/>
        </w:rPr>
        <w:t xml:space="preserve"> </w:t>
      </w:r>
      <w:r w:rsidR="00033D0F">
        <w:rPr>
          <w:i/>
          <w:position w:val="1"/>
        </w:rPr>
        <w:t>–</w:t>
      </w:r>
      <w:r w:rsidR="00033D0F">
        <w:rPr>
          <w:i/>
          <w:spacing w:val="-6"/>
          <w:position w:val="1"/>
        </w:rPr>
        <w:t xml:space="preserve"> </w:t>
      </w:r>
      <w:r w:rsidR="00033D0F">
        <w:rPr>
          <w:i/>
          <w:position w:val="1"/>
        </w:rPr>
        <w:t>HP-SSST</w:t>
      </w:r>
      <w:r w:rsidR="00033D0F">
        <w:rPr>
          <w:i/>
          <w:spacing w:val="-8"/>
          <w:position w:val="1"/>
        </w:rPr>
        <w:t xml:space="preserve"> </w:t>
      </w:r>
      <w:r w:rsidR="00033D0F">
        <w:rPr>
          <w:i/>
          <w:position w:val="1"/>
        </w:rPr>
        <w:t>(EU)</w:t>
      </w:r>
      <w:r w:rsidR="00033D0F">
        <w:rPr>
          <w:i/>
          <w:spacing w:val="-8"/>
          <w:position w:val="1"/>
        </w:rPr>
        <w:t xml:space="preserve"> </w:t>
      </w:r>
      <w:r w:rsidR="00033D0F">
        <w:rPr>
          <w:position w:val="1"/>
        </w:rPr>
        <w:t xml:space="preserve">for </w:t>
      </w:r>
      <w:r w:rsidR="00033D0F">
        <w:t>the proposition that "[i]f facts are already within the possession of the interested parties, a 'narrative</w:t>
      </w:r>
      <w:r w:rsidR="00033D0F">
        <w:rPr>
          <w:spacing w:val="-14"/>
        </w:rPr>
        <w:t xml:space="preserve"> </w:t>
      </w:r>
      <w:r w:rsidR="00033D0F">
        <w:t>description'</w:t>
      </w:r>
      <w:r w:rsidR="00033D0F">
        <w:rPr>
          <w:spacing w:val="-14"/>
        </w:rPr>
        <w:t xml:space="preserve"> </w:t>
      </w:r>
      <w:r w:rsidR="00033D0F">
        <w:t>of</w:t>
      </w:r>
      <w:r w:rsidR="00033D0F">
        <w:rPr>
          <w:spacing w:val="-13"/>
        </w:rPr>
        <w:t xml:space="preserve"> </w:t>
      </w:r>
      <w:r w:rsidR="00033D0F">
        <w:t>the</w:t>
      </w:r>
      <w:r w:rsidR="00033D0F">
        <w:rPr>
          <w:spacing w:val="-14"/>
        </w:rPr>
        <w:t xml:space="preserve"> </w:t>
      </w:r>
      <w:r w:rsidR="00033D0F">
        <w:t>facts</w:t>
      </w:r>
      <w:r w:rsidR="00033D0F">
        <w:rPr>
          <w:spacing w:val="-13"/>
        </w:rPr>
        <w:t xml:space="preserve"> </w:t>
      </w:r>
      <w:r w:rsidR="00033D0F">
        <w:t>would</w:t>
      </w:r>
      <w:r w:rsidR="00033D0F">
        <w:rPr>
          <w:spacing w:val="-14"/>
        </w:rPr>
        <w:t xml:space="preserve"> </w:t>
      </w:r>
      <w:r w:rsidR="00033D0F">
        <w:t>also</w:t>
      </w:r>
      <w:r w:rsidR="00033D0F">
        <w:rPr>
          <w:spacing w:val="-13"/>
        </w:rPr>
        <w:t xml:space="preserve"> </w:t>
      </w:r>
      <w:r w:rsidR="00033D0F">
        <w:t>suffice".</w:t>
      </w:r>
      <w:hyperlink w:anchor="_bookmark1548" w:history="1">
        <w:r w:rsidR="00033D0F">
          <w:rPr>
            <w:vertAlign w:val="superscript"/>
          </w:rPr>
          <w:t>1338</w:t>
        </w:r>
      </w:hyperlink>
      <w:r w:rsidR="00033D0F">
        <w:rPr>
          <w:spacing w:val="-12"/>
        </w:rPr>
        <w:t xml:space="preserve"> </w:t>
      </w:r>
      <w:r w:rsidR="00033D0F">
        <w:t>However,</w:t>
      </w:r>
      <w:r w:rsidR="00033D0F">
        <w:rPr>
          <w:spacing w:val="-11"/>
        </w:rPr>
        <w:t xml:space="preserve"> </w:t>
      </w:r>
      <w:r w:rsidR="00033D0F">
        <w:t>China</w:t>
      </w:r>
      <w:r w:rsidR="00033D0F">
        <w:rPr>
          <w:spacing w:val="-13"/>
        </w:rPr>
        <w:t xml:space="preserve"> </w:t>
      </w:r>
      <w:r w:rsidR="00033D0F">
        <w:t>omits</w:t>
      </w:r>
      <w:r w:rsidR="00033D0F">
        <w:rPr>
          <w:spacing w:val="-14"/>
        </w:rPr>
        <w:t xml:space="preserve"> </w:t>
      </w:r>
      <w:r w:rsidR="00033D0F">
        <w:t>that</w:t>
      </w:r>
      <w:r w:rsidR="00033D0F">
        <w:rPr>
          <w:spacing w:val="-12"/>
        </w:rPr>
        <w:t xml:space="preserve"> </w:t>
      </w:r>
      <w:r w:rsidR="00033D0F">
        <w:t>this</w:t>
      </w:r>
      <w:r w:rsidR="00033D0F">
        <w:rPr>
          <w:spacing w:val="-11"/>
        </w:rPr>
        <w:t xml:space="preserve"> </w:t>
      </w:r>
      <w:r w:rsidR="00033D0F">
        <w:t>point of law was overturned by the Appellate Body, which held that a "narrative description of the data used" is not sufficient disclosure under Article 6.9.</w:t>
      </w:r>
      <w:hyperlink w:anchor="_bookmark1549" w:history="1">
        <w:r w:rsidR="00033D0F">
          <w:rPr>
            <w:vertAlign w:val="superscript"/>
          </w:rPr>
          <w:t>1339</w:t>
        </w:r>
      </w:hyperlink>
    </w:p>
    <w:p w14:paraId="16CC4319" w14:textId="77777777" w:rsidR="00BD462C" w:rsidRDefault="00BD462C">
      <w:pPr>
        <w:pStyle w:val="BodyText"/>
        <w:spacing w:before="6"/>
        <w:rPr>
          <w:sz w:val="8"/>
        </w:rPr>
      </w:pPr>
    </w:p>
    <w:p w14:paraId="3536C9C9" w14:textId="555A036E" w:rsidR="00BD462C" w:rsidRDefault="00C63D13">
      <w:pPr>
        <w:pStyle w:val="BodyText"/>
        <w:spacing w:before="56" w:line="357" w:lineRule="auto"/>
        <w:ind w:left="135" w:right="916"/>
        <w:jc w:val="both"/>
      </w:pPr>
      <w:r>
        <w:rPr>
          <w:noProof/>
        </w:rPr>
        <w:t>922.</w:t>
      </w:r>
      <w:r w:rsidR="00033D0F">
        <w:rPr>
          <w:rFonts w:ascii="Times New Roman" w:hAnsi="Times New Roman"/>
          <w:spacing w:val="80"/>
          <w:w w:val="150"/>
          <w:position w:val="1"/>
          <w:sz w:val="20"/>
        </w:rPr>
        <w:t xml:space="preserve">  </w:t>
      </w:r>
      <w:r w:rsidR="00033D0F">
        <w:rPr>
          <w:position w:val="1"/>
        </w:rPr>
        <w:t>The</w:t>
      </w:r>
      <w:r w:rsidR="00033D0F">
        <w:rPr>
          <w:spacing w:val="-14"/>
          <w:position w:val="1"/>
        </w:rPr>
        <w:t xml:space="preserve"> </w:t>
      </w:r>
      <w:r w:rsidR="00033D0F">
        <w:rPr>
          <w:position w:val="1"/>
        </w:rPr>
        <w:t>purpose</w:t>
      </w:r>
      <w:r w:rsidR="00033D0F">
        <w:rPr>
          <w:spacing w:val="-14"/>
          <w:position w:val="1"/>
        </w:rPr>
        <w:t xml:space="preserve"> </w:t>
      </w:r>
      <w:r w:rsidR="00033D0F">
        <w:rPr>
          <w:position w:val="1"/>
        </w:rPr>
        <w:t>of</w:t>
      </w:r>
      <w:r w:rsidR="00033D0F">
        <w:rPr>
          <w:spacing w:val="-13"/>
          <w:position w:val="1"/>
        </w:rPr>
        <w:t xml:space="preserve"> </w:t>
      </w:r>
      <w:r w:rsidR="00033D0F">
        <w:rPr>
          <w:position w:val="1"/>
        </w:rPr>
        <w:t>the</w:t>
      </w:r>
      <w:r w:rsidR="00033D0F">
        <w:rPr>
          <w:spacing w:val="-11"/>
          <w:position w:val="1"/>
        </w:rPr>
        <w:t xml:space="preserve"> </w:t>
      </w:r>
      <w:r w:rsidR="00033D0F">
        <w:rPr>
          <w:position w:val="1"/>
        </w:rPr>
        <w:t>disclosure</w:t>
      </w:r>
      <w:r w:rsidR="00033D0F">
        <w:rPr>
          <w:spacing w:val="-14"/>
          <w:position w:val="1"/>
        </w:rPr>
        <w:t xml:space="preserve"> </w:t>
      </w:r>
      <w:r w:rsidR="00033D0F">
        <w:rPr>
          <w:position w:val="1"/>
        </w:rPr>
        <w:t>required</w:t>
      </w:r>
      <w:r w:rsidR="00033D0F">
        <w:rPr>
          <w:spacing w:val="-13"/>
          <w:position w:val="1"/>
        </w:rPr>
        <w:t xml:space="preserve"> </w:t>
      </w:r>
      <w:r w:rsidR="00033D0F">
        <w:rPr>
          <w:position w:val="1"/>
        </w:rPr>
        <w:t>under</w:t>
      </w:r>
      <w:r w:rsidR="00033D0F">
        <w:rPr>
          <w:spacing w:val="-14"/>
          <w:position w:val="1"/>
        </w:rPr>
        <w:t xml:space="preserve"> </w:t>
      </w:r>
      <w:r w:rsidR="00033D0F">
        <w:rPr>
          <w:position w:val="1"/>
        </w:rPr>
        <w:t>Article</w:t>
      </w:r>
      <w:r w:rsidR="00033D0F">
        <w:rPr>
          <w:spacing w:val="-14"/>
          <w:position w:val="1"/>
        </w:rPr>
        <w:t xml:space="preserve"> </w:t>
      </w:r>
      <w:r w:rsidR="00033D0F">
        <w:rPr>
          <w:position w:val="1"/>
        </w:rPr>
        <w:t>6.9</w:t>
      </w:r>
      <w:r w:rsidR="00033D0F">
        <w:rPr>
          <w:spacing w:val="-13"/>
          <w:position w:val="1"/>
        </w:rPr>
        <w:t xml:space="preserve"> </w:t>
      </w:r>
      <w:r w:rsidR="00033D0F">
        <w:rPr>
          <w:position w:val="1"/>
        </w:rPr>
        <w:t>is</w:t>
      </w:r>
      <w:r w:rsidR="00033D0F">
        <w:rPr>
          <w:spacing w:val="-14"/>
          <w:position w:val="1"/>
        </w:rPr>
        <w:t xml:space="preserve"> </w:t>
      </w:r>
      <w:r w:rsidR="00033D0F">
        <w:rPr>
          <w:position w:val="1"/>
        </w:rPr>
        <w:t>to</w:t>
      </w:r>
      <w:r w:rsidR="00033D0F">
        <w:rPr>
          <w:spacing w:val="-13"/>
          <w:position w:val="1"/>
        </w:rPr>
        <w:t xml:space="preserve"> </w:t>
      </w:r>
      <w:r w:rsidR="00033D0F">
        <w:rPr>
          <w:position w:val="1"/>
        </w:rPr>
        <w:t>"allow</w:t>
      </w:r>
      <w:r w:rsidR="00033D0F">
        <w:rPr>
          <w:spacing w:val="-14"/>
          <w:position w:val="1"/>
        </w:rPr>
        <w:t xml:space="preserve"> </w:t>
      </w:r>
      <w:r w:rsidR="00033D0F">
        <w:rPr>
          <w:position w:val="1"/>
        </w:rPr>
        <w:t>interested</w:t>
      </w:r>
      <w:r w:rsidR="00033D0F">
        <w:rPr>
          <w:spacing w:val="-13"/>
          <w:position w:val="1"/>
        </w:rPr>
        <w:t xml:space="preserve"> </w:t>
      </w:r>
      <w:r w:rsidR="00033D0F">
        <w:rPr>
          <w:position w:val="1"/>
        </w:rPr>
        <w:t xml:space="preserve">parties </w:t>
      </w:r>
      <w:r w:rsidR="00033D0F">
        <w:t>to</w:t>
      </w:r>
      <w:r w:rsidR="00033D0F">
        <w:rPr>
          <w:spacing w:val="-10"/>
        </w:rPr>
        <w:t xml:space="preserve"> </w:t>
      </w:r>
      <w:r w:rsidR="00033D0F">
        <w:t>understand</w:t>
      </w:r>
      <w:r w:rsidR="00033D0F">
        <w:rPr>
          <w:spacing w:val="-9"/>
        </w:rPr>
        <w:t xml:space="preserve"> </w:t>
      </w:r>
      <w:r w:rsidR="00033D0F">
        <w:t>the</w:t>
      </w:r>
      <w:r w:rsidR="00033D0F">
        <w:rPr>
          <w:spacing w:val="-3"/>
        </w:rPr>
        <w:t xml:space="preserve"> </w:t>
      </w:r>
      <w:r w:rsidR="00033D0F">
        <w:t>factual</w:t>
      </w:r>
      <w:r w:rsidR="00033D0F">
        <w:rPr>
          <w:spacing w:val="-5"/>
        </w:rPr>
        <w:t xml:space="preserve"> </w:t>
      </w:r>
      <w:r w:rsidR="00033D0F">
        <w:t>basis</w:t>
      </w:r>
      <w:r w:rsidR="00033D0F">
        <w:rPr>
          <w:spacing w:val="-6"/>
        </w:rPr>
        <w:t xml:space="preserve"> </w:t>
      </w:r>
      <w:r w:rsidR="00033D0F">
        <w:t>for</w:t>
      </w:r>
      <w:r w:rsidR="00033D0F">
        <w:rPr>
          <w:spacing w:val="-10"/>
        </w:rPr>
        <w:t xml:space="preserve"> </w:t>
      </w:r>
      <w:r w:rsidR="00033D0F">
        <w:t>the</w:t>
      </w:r>
      <w:r w:rsidR="00033D0F">
        <w:rPr>
          <w:spacing w:val="-3"/>
        </w:rPr>
        <w:t xml:space="preserve"> </w:t>
      </w:r>
      <w:r w:rsidR="00033D0F">
        <w:t>decision</w:t>
      </w:r>
      <w:r w:rsidR="00033D0F">
        <w:rPr>
          <w:spacing w:val="-9"/>
        </w:rPr>
        <w:t xml:space="preserve"> </w:t>
      </w:r>
      <w:r w:rsidR="00033D0F">
        <w:t>whether</w:t>
      </w:r>
      <w:r w:rsidR="00033D0F">
        <w:rPr>
          <w:spacing w:val="-10"/>
        </w:rPr>
        <w:t xml:space="preserve"> </w:t>
      </w:r>
      <w:r w:rsidR="00033D0F">
        <w:t>to</w:t>
      </w:r>
      <w:r w:rsidR="00033D0F">
        <w:rPr>
          <w:spacing w:val="-5"/>
        </w:rPr>
        <w:t xml:space="preserve"> </w:t>
      </w:r>
      <w:r w:rsidR="00033D0F">
        <w:t>apply</w:t>
      </w:r>
      <w:r w:rsidR="00033D0F">
        <w:rPr>
          <w:spacing w:val="-6"/>
        </w:rPr>
        <w:t xml:space="preserve"> </w:t>
      </w:r>
      <w:r w:rsidR="00033D0F">
        <w:t>definitive</w:t>
      </w:r>
      <w:r w:rsidR="00033D0F">
        <w:rPr>
          <w:spacing w:val="-7"/>
        </w:rPr>
        <w:t xml:space="preserve"> </w:t>
      </w:r>
      <w:r w:rsidR="00033D0F">
        <w:t>measures</w:t>
      </w:r>
      <w:r w:rsidR="00033D0F">
        <w:rPr>
          <w:spacing w:val="-6"/>
        </w:rPr>
        <w:t xml:space="preserve"> </w:t>
      </w:r>
      <w:r w:rsidR="00033D0F">
        <w:t>in</w:t>
      </w:r>
      <w:r w:rsidR="00033D0F">
        <w:rPr>
          <w:spacing w:val="-9"/>
        </w:rPr>
        <w:t xml:space="preserve"> </w:t>
      </w:r>
      <w:r w:rsidR="00033D0F">
        <w:t>order to be able to defend their interests, before a final determination is actually made".</w:t>
      </w:r>
      <w:hyperlink w:anchor="_bookmark1550" w:history="1">
        <w:r w:rsidR="00033D0F">
          <w:rPr>
            <w:vertAlign w:val="superscript"/>
          </w:rPr>
          <w:t>1340</w:t>
        </w:r>
      </w:hyperlink>
      <w:r w:rsidR="00033D0F">
        <w:t xml:space="preserve"> The Appellate</w:t>
      </w:r>
      <w:r w:rsidR="00033D0F">
        <w:rPr>
          <w:spacing w:val="25"/>
        </w:rPr>
        <w:t xml:space="preserve"> </w:t>
      </w:r>
      <w:r w:rsidR="00033D0F">
        <w:t>Body</w:t>
      </w:r>
      <w:r w:rsidR="00033D0F">
        <w:rPr>
          <w:spacing w:val="28"/>
        </w:rPr>
        <w:t xml:space="preserve"> </w:t>
      </w:r>
      <w:r w:rsidR="00033D0F">
        <w:t>in</w:t>
      </w:r>
      <w:r w:rsidR="00033D0F">
        <w:rPr>
          <w:spacing w:val="25"/>
        </w:rPr>
        <w:t xml:space="preserve"> </w:t>
      </w:r>
      <w:r w:rsidR="00033D0F">
        <w:rPr>
          <w:i/>
        </w:rPr>
        <w:t>China</w:t>
      </w:r>
      <w:r w:rsidR="00033D0F">
        <w:rPr>
          <w:i/>
          <w:spacing w:val="29"/>
        </w:rPr>
        <w:t xml:space="preserve"> </w:t>
      </w:r>
      <w:r w:rsidR="00033D0F">
        <w:rPr>
          <w:i/>
        </w:rPr>
        <w:t>–</w:t>
      </w:r>
      <w:r w:rsidR="00033D0F">
        <w:rPr>
          <w:i/>
          <w:spacing w:val="27"/>
        </w:rPr>
        <w:t xml:space="preserve"> </w:t>
      </w:r>
      <w:r w:rsidR="00033D0F">
        <w:rPr>
          <w:i/>
        </w:rPr>
        <w:t>GOES</w:t>
      </w:r>
      <w:r w:rsidR="00033D0F">
        <w:rPr>
          <w:i/>
          <w:spacing w:val="28"/>
        </w:rPr>
        <w:t xml:space="preserve"> </w:t>
      </w:r>
      <w:r w:rsidR="00033D0F">
        <w:t>stated</w:t>
      </w:r>
      <w:r w:rsidR="00033D0F">
        <w:rPr>
          <w:spacing w:val="26"/>
        </w:rPr>
        <w:t xml:space="preserve"> </w:t>
      </w:r>
      <w:r w:rsidR="00033D0F">
        <w:t>"[i]n</w:t>
      </w:r>
      <w:r w:rsidR="00033D0F">
        <w:rPr>
          <w:spacing w:val="31"/>
        </w:rPr>
        <w:t xml:space="preserve"> </w:t>
      </w:r>
      <w:r w:rsidR="00033D0F">
        <w:t>our</w:t>
      </w:r>
      <w:r w:rsidR="00033D0F">
        <w:rPr>
          <w:spacing w:val="29"/>
        </w:rPr>
        <w:t xml:space="preserve"> </w:t>
      </w:r>
      <w:r w:rsidR="00033D0F">
        <w:t>view,</w:t>
      </w:r>
      <w:r w:rsidR="00033D0F">
        <w:rPr>
          <w:spacing w:val="29"/>
        </w:rPr>
        <w:t xml:space="preserve"> </w:t>
      </w:r>
      <w:r w:rsidR="00033D0F">
        <w:t>disclosing</w:t>
      </w:r>
      <w:r w:rsidR="00033D0F">
        <w:rPr>
          <w:spacing w:val="30"/>
        </w:rPr>
        <w:t xml:space="preserve"> </w:t>
      </w:r>
      <w:r w:rsidR="00033D0F">
        <w:t>the</w:t>
      </w:r>
      <w:r w:rsidR="00033D0F">
        <w:rPr>
          <w:spacing w:val="27"/>
        </w:rPr>
        <w:t xml:space="preserve"> </w:t>
      </w:r>
      <w:r w:rsidR="00033D0F">
        <w:t>essential</w:t>
      </w:r>
      <w:r w:rsidR="00033D0F">
        <w:rPr>
          <w:spacing w:val="29"/>
        </w:rPr>
        <w:t xml:space="preserve"> </w:t>
      </w:r>
      <w:r w:rsidR="00033D0F">
        <w:t>facts</w:t>
      </w:r>
      <w:r w:rsidR="00033D0F">
        <w:rPr>
          <w:spacing w:val="30"/>
        </w:rPr>
        <w:t xml:space="preserve"> </w:t>
      </w:r>
      <w:r w:rsidR="00033D0F">
        <w:rPr>
          <w:spacing w:val="-2"/>
        </w:rPr>
        <w:t>under</w:t>
      </w:r>
    </w:p>
    <w:p w14:paraId="11E7E43C" w14:textId="77777777" w:rsidR="00BD462C" w:rsidRDefault="00BD462C">
      <w:pPr>
        <w:pStyle w:val="BodyText"/>
        <w:rPr>
          <w:sz w:val="20"/>
        </w:rPr>
      </w:pPr>
    </w:p>
    <w:p w14:paraId="082B9ED4" w14:textId="1CEF880E" w:rsidR="00BD462C" w:rsidRDefault="00D70C7D">
      <w:pPr>
        <w:pStyle w:val="BodyText"/>
        <w:spacing w:before="6"/>
        <w:rPr>
          <w:sz w:val="18"/>
        </w:rPr>
      </w:pPr>
      <w:r>
        <w:rPr>
          <w:noProof/>
        </w:rPr>
        <mc:AlternateContent>
          <mc:Choice Requires="wps">
            <w:drawing>
              <wp:anchor distT="0" distB="0" distL="0" distR="0" simplePos="0" relativeHeight="487873024" behindDoc="1" locked="0" layoutInCell="1" allowOverlap="1" wp14:anchorId="725D8F15" wp14:editId="460E3C19">
                <wp:simplePos x="0" y="0"/>
                <wp:positionH relativeFrom="page">
                  <wp:posOffset>899160</wp:posOffset>
                </wp:positionH>
                <wp:positionV relativeFrom="paragraph">
                  <wp:posOffset>158750</wp:posOffset>
                </wp:positionV>
                <wp:extent cx="1828800" cy="8890"/>
                <wp:effectExtent l="0" t="0" r="0" b="0"/>
                <wp:wrapTopAndBottom/>
                <wp:docPr id="224" name="docshape6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E95269" id="docshape613" o:spid="_x0000_s1026" alt="&quot;&quot;" style="position:absolute;margin-left:70.8pt;margin-top:12.5pt;width:2in;height:.7pt;z-index:-15443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" fillcolor="black" stroked="f">
                <w10:wrap type="topAndBottom" anchorx="page"/>
              </v:rect>
            </w:pict>
          </mc:Fallback>
        </mc:AlternateContent>
      </w:r>
    </w:p>
    <w:p w14:paraId="0C78D401" w14:textId="77777777" w:rsidR="00BD462C" w:rsidRDefault="00033D0F">
      <w:pPr>
        <w:spacing w:before="115" w:line="235" w:lineRule="auto"/>
        <w:ind w:left="135" w:right="923"/>
        <w:rPr>
          <w:sz w:val="18"/>
        </w:rPr>
      </w:pPr>
      <w:bookmarkStart w:id="1792" w:name="_bookmark1543"/>
      <w:bookmarkEnd w:id="1792"/>
      <w:r>
        <w:rPr>
          <w:position w:val="5"/>
          <w:sz w:val="12"/>
        </w:rPr>
        <w:t>1333</w:t>
      </w:r>
      <w:r>
        <w:rPr>
          <w:spacing w:val="21"/>
          <w:position w:val="5"/>
          <w:sz w:val="12"/>
        </w:rPr>
        <w:t xml:space="preserve"> </w:t>
      </w:r>
      <w:r>
        <w:rPr>
          <w:sz w:val="18"/>
        </w:rPr>
        <w:t>China’s first</w:t>
      </w:r>
      <w:r>
        <w:rPr>
          <w:spacing w:val="-2"/>
          <w:sz w:val="18"/>
        </w:rPr>
        <w:t xml:space="preserve"> </w:t>
      </w:r>
      <w:r>
        <w:rPr>
          <w:sz w:val="18"/>
        </w:rPr>
        <w:t>written</w:t>
      </w:r>
      <w:r>
        <w:rPr>
          <w:spacing w:val="-4"/>
          <w:sz w:val="18"/>
        </w:rPr>
        <w:t xml:space="preserve"> </w:t>
      </w:r>
      <w:r>
        <w:rPr>
          <w:sz w:val="18"/>
        </w:rPr>
        <w:t>submission, paras. 2375 and 2517-2519.</w:t>
      </w:r>
      <w:r>
        <w:rPr>
          <w:spacing w:val="-2"/>
          <w:sz w:val="18"/>
        </w:rPr>
        <w:t xml:space="preserve"> </w:t>
      </w:r>
      <w:r>
        <w:rPr>
          <w:sz w:val="18"/>
        </w:rPr>
        <w:t>Australia has addressed</w:t>
      </w:r>
      <w:r>
        <w:rPr>
          <w:spacing w:val="-4"/>
          <w:sz w:val="18"/>
        </w:rPr>
        <w:t xml:space="preserve"> </w:t>
      </w:r>
      <w:r>
        <w:rPr>
          <w:sz w:val="18"/>
        </w:rPr>
        <w:t>MOFCOM's arguments concerning its</w:t>
      </w:r>
      <w:r>
        <w:rPr>
          <w:spacing w:val="-1"/>
          <w:sz w:val="18"/>
        </w:rPr>
        <w:t xml:space="preserve"> </w:t>
      </w:r>
      <w:r>
        <w:rPr>
          <w:sz w:val="18"/>
        </w:rPr>
        <w:t>panel</w:t>
      </w:r>
      <w:r>
        <w:rPr>
          <w:spacing w:val="4"/>
          <w:sz w:val="18"/>
        </w:rPr>
        <w:t xml:space="preserve"> </w:t>
      </w:r>
      <w:r>
        <w:rPr>
          <w:sz w:val="18"/>
        </w:rPr>
        <w:t>request</w:t>
      </w:r>
      <w:r>
        <w:rPr>
          <w:spacing w:val="4"/>
          <w:sz w:val="18"/>
        </w:rPr>
        <w:t xml:space="preserve"> </w:t>
      </w:r>
      <w:r>
        <w:rPr>
          <w:sz w:val="18"/>
        </w:rPr>
        <w:t>separately.</w:t>
      </w:r>
      <w:r>
        <w:rPr>
          <w:spacing w:val="3"/>
          <w:sz w:val="18"/>
        </w:rPr>
        <w:t xml:space="preserve"> </w:t>
      </w:r>
      <w:r>
        <w:rPr>
          <w:sz w:val="18"/>
        </w:rPr>
        <w:t>See</w:t>
      </w:r>
      <w:r>
        <w:rPr>
          <w:spacing w:val="-1"/>
          <w:sz w:val="18"/>
        </w:rPr>
        <w:t xml:space="preserve"> </w:t>
      </w:r>
      <w:r>
        <w:rPr>
          <w:sz w:val="18"/>
        </w:rPr>
        <w:t>Australia's</w:t>
      </w:r>
      <w:r>
        <w:rPr>
          <w:spacing w:val="3"/>
          <w:sz w:val="18"/>
        </w:rPr>
        <w:t xml:space="preserve"> </w:t>
      </w:r>
      <w:r>
        <w:rPr>
          <w:sz w:val="18"/>
        </w:rPr>
        <w:t>response</w:t>
      </w:r>
      <w:r>
        <w:rPr>
          <w:spacing w:val="-2"/>
          <w:sz w:val="18"/>
        </w:rPr>
        <w:t xml:space="preserve"> </w:t>
      </w:r>
      <w:r>
        <w:rPr>
          <w:sz w:val="18"/>
        </w:rPr>
        <w:t>to</w:t>
      </w:r>
      <w:r>
        <w:rPr>
          <w:spacing w:val="3"/>
          <w:sz w:val="18"/>
        </w:rPr>
        <w:t xml:space="preserve"> </w:t>
      </w:r>
      <w:r>
        <w:rPr>
          <w:sz w:val="18"/>
        </w:rPr>
        <w:t>China's Preliminary</w:t>
      </w:r>
      <w:r>
        <w:rPr>
          <w:spacing w:val="-3"/>
          <w:sz w:val="18"/>
        </w:rPr>
        <w:t xml:space="preserve"> </w:t>
      </w:r>
      <w:r>
        <w:rPr>
          <w:sz w:val="18"/>
        </w:rPr>
        <w:t>Ruling</w:t>
      </w:r>
      <w:r>
        <w:rPr>
          <w:spacing w:val="-2"/>
          <w:sz w:val="18"/>
        </w:rPr>
        <w:t xml:space="preserve"> </w:t>
      </w:r>
      <w:r>
        <w:rPr>
          <w:sz w:val="18"/>
        </w:rPr>
        <w:t>Request,</w:t>
      </w:r>
      <w:r>
        <w:rPr>
          <w:spacing w:val="5"/>
          <w:sz w:val="18"/>
        </w:rPr>
        <w:t xml:space="preserve"> </w:t>
      </w:r>
      <w:r>
        <w:rPr>
          <w:sz w:val="18"/>
        </w:rPr>
        <w:t>paras.</w:t>
      </w:r>
      <w:r>
        <w:rPr>
          <w:spacing w:val="5"/>
          <w:sz w:val="18"/>
        </w:rPr>
        <w:t xml:space="preserve"> </w:t>
      </w:r>
      <w:r>
        <w:rPr>
          <w:sz w:val="18"/>
        </w:rPr>
        <w:t>274-281;</w:t>
      </w:r>
      <w:r>
        <w:rPr>
          <w:spacing w:val="2"/>
          <w:sz w:val="18"/>
        </w:rPr>
        <w:t xml:space="preserve"> </w:t>
      </w:r>
      <w:r>
        <w:rPr>
          <w:sz w:val="18"/>
        </w:rPr>
        <w:t>above,</w:t>
      </w:r>
      <w:r>
        <w:rPr>
          <w:spacing w:val="5"/>
          <w:sz w:val="18"/>
        </w:rPr>
        <w:t xml:space="preserve"> </w:t>
      </w:r>
      <w:r>
        <w:rPr>
          <w:spacing w:val="-2"/>
          <w:sz w:val="18"/>
        </w:rPr>
        <w:t>section</w:t>
      </w:r>
    </w:p>
    <w:p w14:paraId="1269EB8E" w14:textId="77777777" w:rsidR="00BD462C" w:rsidRDefault="00000000">
      <w:pPr>
        <w:spacing w:before="3"/>
        <w:ind w:left="135"/>
        <w:rPr>
          <w:sz w:val="18"/>
        </w:rPr>
      </w:pPr>
      <w:hyperlink w:anchor="_bookmark6" w:history="1">
        <w:r w:rsidR="00033D0F">
          <w:rPr>
            <w:sz w:val="18"/>
          </w:rPr>
          <w:t>II.A</w:t>
        </w:r>
      </w:hyperlink>
      <w:r w:rsidR="00033D0F">
        <w:rPr>
          <w:spacing w:val="-2"/>
          <w:sz w:val="18"/>
        </w:rPr>
        <w:t xml:space="preserve"> </w:t>
      </w:r>
      <w:r w:rsidR="00033D0F">
        <w:rPr>
          <w:sz w:val="18"/>
        </w:rPr>
        <w:t>and</w:t>
      </w:r>
      <w:r w:rsidR="00033D0F">
        <w:rPr>
          <w:spacing w:val="-2"/>
          <w:sz w:val="18"/>
        </w:rPr>
        <w:t xml:space="preserve"> </w:t>
      </w:r>
      <w:r w:rsidR="00033D0F">
        <w:rPr>
          <w:sz w:val="18"/>
        </w:rPr>
        <w:t>Annex</w:t>
      </w:r>
      <w:r w:rsidR="00033D0F">
        <w:rPr>
          <w:spacing w:val="1"/>
          <w:sz w:val="18"/>
        </w:rPr>
        <w:t xml:space="preserve"> </w:t>
      </w:r>
      <w:r w:rsidR="00033D0F">
        <w:rPr>
          <w:spacing w:val="-5"/>
          <w:sz w:val="18"/>
        </w:rPr>
        <w:t>A.</w:t>
      </w:r>
    </w:p>
    <w:p w14:paraId="047E5B1D" w14:textId="77777777" w:rsidR="00BD462C" w:rsidRDefault="00033D0F">
      <w:pPr>
        <w:spacing w:before="1"/>
        <w:ind w:left="135"/>
        <w:rPr>
          <w:sz w:val="18"/>
        </w:rPr>
      </w:pPr>
      <w:bookmarkStart w:id="1793" w:name="_bookmark1544"/>
      <w:bookmarkEnd w:id="1793"/>
      <w:r>
        <w:rPr>
          <w:position w:val="5"/>
          <w:sz w:val="12"/>
        </w:rPr>
        <w:t>1334</w:t>
      </w:r>
      <w:r>
        <w:rPr>
          <w:spacing w:val="13"/>
          <w:position w:val="5"/>
          <w:sz w:val="12"/>
        </w:rPr>
        <w:t xml:space="preserve"> </w:t>
      </w:r>
      <w:r>
        <w:rPr>
          <w:sz w:val="18"/>
        </w:rPr>
        <w:t>Australia's</w:t>
      </w:r>
      <w:r>
        <w:rPr>
          <w:spacing w:val="-5"/>
          <w:sz w:val="18"/>
        </w:rPr>
        <w:t xml:space="preserve"> </w:t>
      </w:r>
      <w:r>
        <w:rPr>
          <w:sz w:val="18"/>
        </w:rPr>
        <w:t>first</w:t>
      </w:r>
      <w:r>
        <w:rPr>
          <w:spacing w:val="-5"/>
          <w:sz w:val="18"/>
        </w:rPr>
        <w:t xml:space="preserve"> </w:t>
      </w:r>
      <w:r>
        <w:rPr>
          <w:sz w:val="18"/>
        </w:rPr>
        <w:t>written</w:t>
      </w:r>
      <w:r>
        <w:rPr>
          <w:spacing w:val="-1"/>
          <w:sz w:val="18"/>
        </w:rPr>
        <w:t xml:space="preserve"> </w:t>
      </w:r>
      <w:r>
        <w:rPr>
          <w:sz w:val="18"/>
        </w:rPr>
        <w:t>submission,</w:t>
      </w:r>
      <w:r>
        <w:rPr>
          <w:spacing w:val="-4"/>
          <w:sz w:val="18"/>
        </w:rPr>
        <w:t xml:space="preserve"> </w:t>
      </w:r>
      <w:r>
        <w:rPr>
          <w:sz w:val="18"/>
        </w:rPr>
        <w:t>section</w:t>
      </w:r>
      <w:r>
        <w:rPr>
          <w:spacing w:val="-10"/>
          <w:sz w:val="18"/>
        </w:rPr>
        <w:t xml:space="preserve"> </w:t>
      </w:r>
      <w:r>
        <w:rPr>
          <w:spacing w:val="-2"/>
          <w:sz w:val="18"/>
        </w:rPr>
        <w:t>VII.G.</w:t>
      </w:r>
    </w:p>
    <w:p w14:paraId="7E7A27AC" w14:textId="77777777" w:rsidR="00BD462C" w:rsidRDefault="00033D0F">
      <w:pPr>
        <w:spacing w:before="1" w:line="218" w:lineRule="exact"/>
        <w:ind w:left="135"/>
        <w:rPr>
          <w:sz w:val="18"/>
        </w:rPr>
      </w:pPr>
      <w:bookmarkStart w:id="1794" w:name="_bookmark1545"/>
      <w:bookmarkEnd w:id="1794"/>
      <w:r>
        <w:rPr>
          <w:position w:val="5"/>
          <w:sz w:val="12"/>
        </w:rPr>
        <w:t>1335</w:t>
      </w:r>
      <w:r>
        <w:rPr>
          <w:spacing w:val="13"/>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 xml:space="preserve">para. </w:t>
      </w:r>
      <w:r>
        <w:rPr>
          <w:spacing w:val="-2"/>
          <w:sz w:val="18"/>
        </w:rPr>
        <w:t>2524.</w:t>
      </w:r>
    </w:p>
    <w:p w14:paraId="2F50DDE8" w14:textId="77777777" w:rsidR="00BD462C" w:rsidRDefault="00033D0F">
      <w:pPr>
        <w:ind w:left="135" w:right="4952"/>
        <w:rPr>
          <w:sz w:val="18"/>
        </w:rPr>
      </w:pPr>
      <w:bookmarkStart w:id="1795" w:name="_bookmark1546"/>
      <w:bookmarkEnd w:id="1795"/>
      <w:r>
        <w:rPr>
          <w:position w:val="5"/>
          <w:sz w:val="12"/>
        </w:rPr>
        <w:t>1336</w:t>
      </w:r>
      <w:r>
        <w:rPr>
          <w:spacing w:val="22"/>
          <w:position w:val="5"/>
          <w:sz w:val="12"/>
        </w:rPr>
        <w:t xml:space="preserve"> </w:t>
      </w:r>
      <w:r>
        <w:rPr>
          <w:sz w:val="18"/>
        </w:rPr>
        <w:t xml:space="preserve">Australia's response to Panel question No. 64, paras. 159-214. </w:t>
      </w:r>
      <w:bookmarkStart w:id="1796" w:name="_bookmark1547"/>
      <w:bookmarkEnd w:id="1796"/>
      <w:r>
        <w:rPr>
          <w:position w:val="5"/>
          <w:sz w:val="12"/>
        </w:rPr>
        <w:t>1337</w:t>
      </w:r>
      <w:r>
        <w:rPr>
          <w:spacing w:val="14"/>
          <w:position w:val="5"/>
          <w:sz w:val="12"/>
        </w:rPr>
        <w:t xml:space="preserve"> </w:t>
      </w:r>
      <w:r>
        <w:rPr>
          <w:sz w:val="18"/>
        </w:rPr>
        <w:t>China's</w:t>
      </w:r>
      <w:r>
        <w:rPr>
          <w:spacing w:val="-5"/>
          <w:sz w:val="18"/>
        </w:rPr>
        <w:t xml:space="preserve"> </w:t>
      </w:r>
      <w:r>
        <w:rPr>
          <w:sz w:val="18"/>
        </w:rPr>
        <w:t>first</w:t>
      </w:r>
      <w:r>
        <w:rPr>
          <w:spacing w:val="-4"/>
          <w:sz w:val="18"/>
        </w:rPr>
        <w:t xml:space="preserve"> </w:t>
      </w:r>
      <w:r>
        <w:rPr>
          <w:sz w:val="18"/>
        </w:rPr>
        <w:t>written</w:t>
      </w:r>
      <w:r>
        <w:rPr>
          <w:spacing w:val="-6"/>
          <w:sz w:val="18"/>
        </w:rPr>
        <w:t xml:space="preserve"> </w:t>
      </w:r>
      <w:r>
        <w:rPr>
          <w:sz w:val="18"/>
        </w:rPr>
        <w:t>submission, para. 2524,</w:t>
      </w:r>
      <w:r>
        <w:rPr>
          <w:spacing w:val="-3"/>
          <w:sz w:val="18"/>
        </w:rPr>
        <w:t xml:space="preserve"> </w:t>
      </w:r>
      <w:r>
        <w:rPr>
          <w:sz w:val="18"/>
        </w:rPr>
        <w:t>table</w:t>
      </w:r>
      <w:r>
        <w:rPr>
          <w:spacing w:val="-5"/>
          <w:sz w:val="18"/>
        </w:rPr>
        <w:t xml:space="preserve"> </w:t>
      </w:r>
      <w:r>
        <w:rPr>
          <w:sz w:val="18"/>
        </w:rPr>
        <w:t>items</w:t>
      </w:r>
      <w:r>
        <w:rPr>
          <w:spacing w:val="-5"/>
          <w:sz w:val="18"/>
        </w:rPr>
        <w:t xml:space="preserve"> </w:t>
      </w:r>
      <w:r>
        <w:rPr>
          <w:sz w:val="18"/>
        </w:rPr>
        <w:t>10,</w:t>
      </w:r>
      <w:r>
        <w:rPr>
          <w:spacing w:val="-3"/>
          <w:sz w:val="18"/>
        </w:rPr>
        <w:t xml:space="preserve"> </w:t>
      </w:r>
      <w:r>
        <w:rPr>
          <w:sz w:val="18"/>
        </w:rPr>
        <w:t xml:space="preserve">13. </w:t>
      </w:r>
      <w:bookmarkStart w:id="1797" w:name="_bookmark1548"/>
      <w:bookmarkEnd w:id="1797"/>
      <w:r>
        <w:rPr>
          <w:position w:val="5"/>
          <w:sz w:val="12"/>
        </w:rPr>
        <w:t>1338</w:t>
      </w:r>
      <w:r>
        <w:rPr>
          <w:spacing w:val="40"/>
          <w:position w:val="5"/>
          <w:sz w:val="12"/>
        </w:rPr>
        <w:t xml:space="preserve"> </w:t>
      </w:r>
      <w:r>
        <w:rPr>
          <w:sz w:val="18"/>
        </w:rPr>
        <w:t>China first written submission, para 2530.</w:t>
      </w:r>
    </w:p>
    <w:p w14:paraId="4C5DE0D3" w14:textId="77777777" w:rsidR="00BD462C" w:rsidRDefault="00033D0F">
      <w:pPr>
        <w:spacing w:before="1"/>
        <w:ind w:left="135"/>
        <w:rPr>
          <w:sz w:val="18"/>
        </w:rPr>
      </w:pPr>
      <w:bookmarkStart w:id="1798" w:name="_bookmark1549"/>
      <w:bookmarkEnd w:id="1798"/>
      <w:r>
        <w:rPr>
          <w:position w:val="5"/>
          <w:sz w:val="12"/>
        </w:rPr>
        <w:t>1339</w:t>
      </w:r>
      <w:r>
        <w:rPr>
          <w:spacing w:val="15"/>
          <w:position w:val="5"/>
          <w:sz w:val="12"/>
        </w:rPr>
        <w:t xml:space="preserve"> </w:t>
      </w:r>
      <w:r>
        <w:rPr>
          <w:sz w:val="18"/>
        </w:rPr>
        <w:t>Appellate</w:t>
      </w:r>
      <w:r>
        <w:rPr>
          <w:spacing w:val="-9"/>
          <w:sz w:val="18"/>
        </w:rPr>
        <w:t xml:space="preserve"> </w:t>
      </w:r>
      <w:r>
        <w:rPr>
          <w:sz w:val="18"/>
        </w:rPr>
        <w:t>Body</w:t>
      </w:r>
      <w:r>
        <w:rPr>
          <w:spacing w:val="-6"/>
          <w:sz w:val="18"/>
        </w:rPr>
        <w:t xml:space="preserve"> </w:t>
      </w:r>
      <w:r>
        <w:rPr>
          <w:sz w:val="18"/>
        </w:rPr>
        <w:t>Report,</w:t>
      </w:r>
      <w:r>
        <w:rPr>
          <w:spacing w:val="-2"/>
          <w:sz w:val="18"/>
        </w:rPr>
        <w:t xml:space="preserve"> </w:t>
      </w:r>
      <w:r>
        <w:rPr>
          <w:i/>
          <w:sz w:val="18"/>
        </w:rPr>
        <w:t>China</w:t>
      </w:r>
      <w:r>
        <w:rPr>
          <w:i/>
          <w:spacing w:val="2"/>
          <w:sz w:val="18"/>
        </w:rPr>
        <w:t xml:space="preserve"> </w:t>
      </w:r>
      <w:r>
        <w:rPr>
          <w:i/>
          <w:sz w:val="18"/>
        </w:rPr>
        <w:t>–</w:t>
      </w:r>
      <w:r>
        <w:rPr>
          <w:i/>
          <w:spacing w:val="-8"/>
          <w:sz w:val="18"/>
        </w:rPr>
        <w:t xml:space="preserve"> </w:t>
      </w:r>
      <w:r>
        <w:rPr>
          <w:i/>
          <w:sz w:val="18"/>
        </w:rPr>
        <w:t>HP-SSST</w:t>
      </w:r>
      <w:r>
        <w:rPr>
          <w:i/>
          <w:spacing w:val="-2"/>
          <w:sz w:val="18"/>
        </w:rPr>
        <w:t xml:space="preserve"> </w:t>
      </w:r>
      <w:r>
        <w:rPr>
          <w:i/>
          <w:sz w:val="18"/>
        </w:rPr>
        <w:t>(Japan)</w:t>
      </w:r>
      <w:r>
        <w:rPr>
          <w:i/>
          <w:spacing w:val="-3"/>
          <w:sz w:val="18"/>
        </w:rPr>
        <w:t xml:space="preserve"> </w:t>
      </w:r>
      <w:r>
        <w:rPr>
          <w:i/>
          <w:sz w:val="18"/>
        </w:rPr>
        <w:t>/</w:t>
      </w:r>
      <w:r>
        <w:rPr>
          <w:i/>
          <w:spacing w:val="-3"/>
          <w:sz w:val="18"/>
        </w:rPr>
        <w:t xml:space="preserve"> </w:t>
      </w:r>
      <w:r>
        <w:rPr>
          <w:i/>
          <w:sz w:val="18"/>
        </w:rPr>
        <w:t>China</w:t>
      </w:r>
      <w:r>
        <w:rPr>
          <w:i/>
          <w:spacing w:val="-2"/>
          <w:sz w:val="18"/>
        </w:rPr>
        <w:t xml:space="preserve"> </w:t>
      </w:r>
      <w:r>
        <w:rPr>
          <w:i/>
          <w:sz w:val="18"/>
        </w:rPr>
        <w:t>–</w:t>
      </w:r>
      <w:r>
        <w:rPr>
          <w:i/>
          <w:spacing w:val="-4"/>
          <w:sz w:val="18"/>
        </w:rPr>
        <w:t xml:space="preserve"> </w:t>
      </w:r>
      <w:r>
        <w:rPr>
          <w:i/>
          <w:sz w:val="18"/>
        </w:rPr>
        <w:t>HP-SSST</w:t>
      </w:r>
      <w:r>
        <w:rPr>
          <w:i/>
          <w:spacing w:val="-2"/>
          <w:sz w:val="18"/>
        </w:rPr>
        <w:t xml:space="preserve"> </w:t>
      </w:r>
      <w:r>
        <w:rPr>
          <w:i/>
          <w:sz w:val="18"/>
        </w:rPr>
        <w:t>(EU)</w:t>
      </w:r>
      <w:r>
        <w:rPr>
          <w:sz w:val="18"/>
        </w:rPr>
        <w:t>,</w:t>
      </w:r>
      <w:r>
        <w:rPr>
          <w:spacing w:val="3"/>
          <w:sz w:val="18"/>
        </w:rPr>
        <w:t xml:space="preserve"> </w:t>
      </w:r>
      <w:r>
        <w:rPr>
          <w:sz w:val="18"/>
        </w:rPr>
        <w:t>para.</w:t>
      </w:r>
      <w:r>
        <w:rPr>
          <w:spacing w:val="2"/>
          <w:sz w:val="18"/>
        </w:rPr>
        <w:t xml:space="preserve"> </w:t>
      </w:r>
      <w:r>
        <w:rPr>
          <w:spacing w:val="-2"/>
          <w:sz w:val="18"/>
        </w:rPr>
        <w:t>5.133</w:t>
      </w:r>
    </w:p>
    <w:p w14:paraId="4886ECCC" w14:textId="77777777" w:rsidR="00BD462C" w:rsidRDefault="00033D0F">
      <w:pPr>
        <w:spacing w:before="1"/>
        <w:ind w:left="135"/>
        <w:rPr>
          <w:sz w:val="18"/>
        </w:rPr>
      </w:pPr>
      <w:bookmarkStart w:id="1799" w:name="_bookmark1550"/>
      <w:bookmarkEnd w:id="1799"/>
      <w:r>
        <w:rPr>
          <w:position w:val="5"/>
          <w:sz w:val="12"/>
        </w:rPr>
        <w:t>1340</w:t>
      </w:r>
      <w:r>
        <w:rPr>
          <w:spacing w:val="15"/>
          <w:position w:val="5"/>
          <w:sz w:val="12"/>
        </w:rPr>
        <w:t xml:space="preserve"> </w:t>
      </w:r>
      <w:r>
        <w:rPr>
          <w:sz w:val="18"/>
        </w:rPr>
        <w:t>Panel</w:t>
      </w:r>
      <w:r>
        <w:rPr>
          <w:spacing w:val="-3"/>
          <w:sz w:val="18"/>
        </w:rPr>
        <w:t xml:space="preserve"> </w:t>
      </w:r>
      <w:r>
        <w:rPr>
          <w:sz w:val="18"/>
        </w:rPr>
        <w:t>Report,</w:t>
      </w:r>
      <w:r>
        <w:rPr>
          <w:spacing w:val="-3"/>
          <w:sz w:val="18"/>
        </w:rPr>
        <w:t xml:space="preserve"> </w:t>
      </w:r>
      <w:r>
        <w:rPr>
          <w:i/>
          <w:sz w:val="18"/>
        </w:rPr>
        <w:t>China</w:t>
      </w:r>
      <w:r>
        <w:rPr>
          <w:i/>
          <w:spacing w:val="-3"/>
          <w:sz w:val="18"/>
        </w:rPr>
        <w:t xml:space="preserve"> </w:t>
      </w:r>
      <w:r>
        <w:rPr>
          <w:i/>
          <w:sz w:val="18"/>
        </w:rPr>
        <w:t>-</w:t>
      </w:r>
      <w:r>
        <w:rPr>
          <w:i/>
          <w:spacing w:val="-2"/>
          <w:sz w:val="18"/>
        </w:rPr>
        <w:t xml:space="preserve"> </w:t>
      </w:r>
      <w:r>
        <w:rPr>
          <w:i/>
          <w:sz w:val="18"/>
        </w:rPr>
        <w:t>HP-SSST</w:t>
      </w:r>
      <w:r>
        <w:rPr>
          <w:i/>
          <w:spacing w:val="-2"/>
          <w:sz w:val="18"/>
        </w:rPr>
        <w:t xml:space="preserve"> </w:t>
      </w:r>
      <w:r>
        <w:rPr>
          <w:i/>
          <w:sz w:val="18"/>
        </w:rPr>
        <w:t>(Japan)</w:t>
      </w:r>
      <w:r>
        <w:rPr>
          <w:i/>
          <w:spacing w:val="-2"/>
          <w:sz w:val="18"/>
        </w:rPr>
        <w:t xml:space="preserve"> </w:t>
      </w:r>
      <w:r>
        <w:rPr>
          <w:i/>
          <w:sz w:val="18"/>
        </w:rPr>
        <w:t>/</w:t>
      </w:r>
      <w:r>
        <w:rPr>
          <w:i/>
          <w:spacing w:val="-3"/>
          <w:sz w:val="18"/>
        </w:rPr>
        <w:t xml:space="preserve"> </w:t>
      </w:r>
      <w:r>
        <w:rPr>
          <w:i/>
          <w:sz w:val="18"/>
        </w:rPr>
        <w:t>China</w:t>
      </w:r>
      <w:r>
        <w:rPr>
          <w:i/>
          <w:spacing w:val="-3"/>
          <w:sz w:val="18"/>
        </w:rPr>
        <w:t xml:space="preserve"> </w:t>
      </w:r>
      <w:r>
        <w:rPr>
          <w:i/>
          <w:sz w:val="18"/>
        </w:rPr>
        <w:t>–</w:t>
      </w:r>
      <w:r>
        <w:rPr>
          <w:i/>
          <w:spacing w:val="-3"/>
          <w:sz w:val="18"/>
        </w:rPr>
        <w:t xml:space="preserve"> </w:t>
      </w:r>
      <w:r>
        <w:rPr>
          <w:i/>
          <w:sz w:val="18"/>
        </w:rPr>
        <w:t>HP-SSST</w:t>
      </w:r>
      <w:r>
        <w:rPr>
          <w:i/>
          <w:spacing w:val="-2"/>
          <w:sz w:val="18"/>
        </w:rPr>
        <w:t xml:space="preserve"> </w:t>
      </w:r>
      <w:r>
        <w:rPr>
          <w:i/>
          <w:sz w:val="18"/>
        </w:rPr>
        <w:t>(EU)</w:t>
      </w:r>
      <w:r>
        <w:rPr>
          <w:sz w:val="18"/>
        </w:rPr>
        <w:t>,</w:t>
      </w:r>
      <w:r>
        <w:rPr>
          <w:spacing w:val="-2"/>
          <w:sz w:val="18"/>
        </w:rPr>
        <w:t xml:space="preserve"> </w:t>
      </w:r>
      <w:r>
        <w:rPr>
          <w:sz w:val="18"/>
        </w:rPr>
        <w:t>para</w:t>
      </w:r>
      <w:r>
        <w:rPr>
          <w:spacing w:val="-6"/>
          <w:sz w:val="18"/>
        </w:rPr>
        <w:t xml:space="preserve"> </w:t>
      </w:r>
      <w:r>
        <w:rPr>
          <w:spacing w:val="-2"/>
          <w:sz w:val="18"/>
        </w:rPr>
        <w:t>7.240.</w:t>
      </w:r>
    </w:p>
    <w:p w14:paraId="7B372865" w14:textId="77777777" w:rsidR="00BD462C" w:rsidRDefault="00BD462C">
      <w:pPr>
        <w:rPr>
          <w:sz w:val="18"/>
        </w:rPr>
        <w:sectPr w:rsidR="00BD462C">
          <w:pgSz w:w="11910" w:h="16840"/>
          <w:pgMar w:top="860" w:right="500" w:bottom="780" w:left="1280" w:header="566" w:footer="590" w:gutter="0"/>
          <w:cols w:space="720"/>
        </w:sectPr>
      </w:pPr>
    </w:p>
    <w:p w14:paraId="0E15A62D"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6F94CD02"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3A89BC90"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5113BD73" w14:textId="77777777" w:rsidR="00BD462C" w:rsidRDefault="00033D0F">
      <w:pPr>
        <w:pStyle w:val="BodyText"/>
        <w:spacing w:before="102" w:line="360" w:lineRule="auto"/>
        <w:ind w:left="135" w:right="910"/>
        <w:jc w:val="both"/>
      </w:pPr>
      <w:r>
        <w:t xml:space="preserve">consideration pursuant to Articles 6.9 and 12.8 is </w:t>
      </w:r>
      <w:r>
        <w:rPr>
          <w:i/>
        </w:rPr>
        <w:t xml:space="preserve">paramount </w:t>
      </w:r>
      <w:r>
        <w:t>for ensuring the ability of the parties concerned to defend their interests".</w:t>
      </w:r>
      <w:hyperlink w:anchor="_bookmark1552" w:history="1">
        <w:r>
          <w:rPr>
            <w:vertAlign w:val="superscript"/>
          </w:rPr>
          <w:t>1341</w:t>
        </w:r>
      </w:hyperlink>
      <w:r>
        <w:t xml:space="preserve"> In this vein, the panel in </w:t>
      </w:r>
      <w:r>
        <w:rPr>
          <w:i/>
        </w:rPr>
        <w:t xml:space="preserve">EC – Salmon (Norway) </w:t>
      </w:r>
      <w:r>
        <w:t>considered this standard to be whether the level of disclosure enabled parties to comment on the "completeness and correctness" of the facts under consideration by the investigating authority.</w:t>
      </w:r>
      <w:hyperlink w:anchor="_bookmark1553" w:history="1">
        <w:r>
          <w:rPr>
            <w:vertAlign w:val="superscript"/>
          </w:rPr>
          <w:t>1342</w:t>
        </w:r>
      </w:hyperlink>
    </w:p>
    <w:p w14:paraId="7D57B625" w14:textId="77777777" w:rsidR="00BD462C" w:rsidRDefault="00BD462C">
      <w:pPr>
        <w:pStyle w:val="BodyText"/>
        <w:spacing w:before="11"/>
        <w:rPr>
          <w:sz w:val="8"/>
        </w:rPr>
      </w:pPr>
    </w:p>
    <w:p w14:paraId="28F3B3B0" w14:textId="1F59EF38" w:rsidR="00BD462C" w:rsidRDefault="00C63D13">
      <w:pPr>
        <w:pStyle w:val="BodyText"/>
        <w:spacing w:before="56" w:line="355" w:lineRule="auto"/>
        <w:ind w:left="135" w:right="918"/>
        <w:jc w:val="both"/>
      </w:pPr>
      <w:r>
        <w:rPr>
          <w:noProof/>
        </w:rPr>
        <w:t>923.</w:t>
      </w:r>
      <w:r w:rsidR="00033D0F">
        <w:rPr>
          <w:rFonts w:ascii="Times New Roman" w:hAnsi="Times New Roman"/>
          <w:spacing w:val="80"/>
          <w:position w:val="1"/>
          <w:sz w:val="20"/>
        </w:rPr>
        <w:t xml:space="preserve">  </w:t>
      </w:r>
      <w:r w:rsidR="00033D0F">
        <w:rPr>
          <w:position w:val="1"/>
        </w:rPr>
        <w:t xml:space="preserve">For the same reason, investigating authorities are also required to present the </w:t>
      </w:r>
      <w:r w:rsidR="00033D0F">
        <w:t xml:space="preserve">essential facts in a coherent manner. The panel in </w:t>
      </w:r>
      <w:r w:rsidR="00033D0F">
        <w:rPr>
          <w:i/>
        </w:rPr>
        <w:t>Ukraine – Ammonium Nitrate</w:t>
      </w:r>
      <w:r w:rsidR="00033D0F">
        <w:rPr>
          <w:i/>
          <w:spacing w:val="-16"/>
        </w:rPr>
        <w:t xml:space="preserve"> </w:t>
      </w:r>
      <w:r w:rsidR="00033D0F">
        <w:t>held that:</w:t>
      </w:r>
    </w:p>
    <w:p w14:paraId="28411F5C" w14:textId="77777777" w:rsidR="00BD462C" w:rsidRDefault="00033D0F">
      <w:pPr>
        <w:spacing w:before="165" w:line="276" w:lineRule="auto"/>
        <w:ind w:left="985" w:right="916"/>
        <w:jc w:val="both"/>
      </w:pPr>
      <w:r>
        <w:t>[E]</w:t>
      </w:r>
      <w:proofErr w:type="spellStart"/>
      <w:r>
        <w:t>ssential</w:t>
      </w:r>
      <w:proofErr w:type="spellEnd"/>
      <w:r>
        <w:t xml:space="preserve"> facts must be disclosed</w:t>
      </w:r>
      <w:r>
        <w:rPr>
          <w:spacing w:val="-4"/>
        </w:rPr>
        <w:t xml:space="preserve"> </w:t>
      </w:r>
      <w:r>
        <w:t>in a coherent manner so as to permit an interested party to understand the basis for the decision to apply definitive measures. This means that the interested</w:t>
      </w:r>
      <w:r>
        <w:rPr>
          <w:spacing w:val="-4"/>
        </w:rPr>
        <w:t xml:space="preserve"> </w:t>
      </w:r>
      <w:r>
        <w:t>party</w:t>
      </w:r>
      <w:r>
        <w:rPr>
          <w:spacing w:val="-2"/>
        </w:rPr>
        <w:t xml:space="preserve"> </w:t>
      </w:r>
      <w:r>
        <w:t>must</w:t>
      </w:r>
      <w:r>
        <w:rPr>
          <w:spacing w:val="-5"/>
        </w:rPr>
        <w:t xml:space="preserve"> </w:t>
      </w:r>
      <w:r>
        <w:t>be</w:t>
      </w:r>
      <w:r>
        <w:rPr>
          <w:spacing w:val="-3"/>
        </w:rPr>
        <w:t xml:space="preserve"> </w:t>
      </w:r>
      <w:r>
        <w:t>able</w:t>
      </w:r>
      <w:r>
        <w:rPr>
          <w:spacing w:val="-3"/>
        </w:rPr>
        <w:t xml:space="preserve"> </w:t>
      </w:r>
      <w:r>
        <w:t>to</w:t>
      </w:r>
      <w:r>
        <w:rPr>
          <w:spacing w:val="-5"/>
        </w:rPr>
        <w:t xml:space="preserve"> </w:t>
      </w:r>
      <w:r>
        <w:t>clearly</w:t>
      </w:r>
      <w:r>
        <w:rPr>
          <w:spacing w:val="-2"/>
        </w:rPr>
        <w:t xml:space="preserve"> </w:t>
      </w:r>
      <w:r>
        <w:t>understand</w:t>
      </w:r>
      <w:r>
        <w:rPr>
          <w:spacing w:val="-4"/>
        </w:rPr>
        <w:t xml:space="preserve"> </w:t>
      </w:r>
      <w:r>
        <w:t>what</w:t>
      </w:r>
      <w:r>
        <w:rPr>
          <w:spacing w:val="-5"/>
        </w:rPr>
        <w:t xml:space="preserve"> </w:t>
      </w:r>
      <w:r>
        <w:t>data</w:t>
      </w:r>
      <w:r>
        <w:rPr>
          <w:spacing w:val="-3"/>
        </w:rPr>
        <w:t xml:space="preserve"> </w:t>
      </w:r>
      <w:r>
        <w:t>was</w:t>
      </w:r>
      <w:r>
        <w:rPr>
          <w:spacing w:val="-3"/>
        </w:rPr>
        <w:t xml:space="preserve"> </w:t>
      </w:r>
      <w:r>
        <w:t>used</w:t>
      </w:r>
      <w:r>
        <w:rPr>
          <w:spacing w:val="-4"/>
        </w:rPr>
        <w:t xml:space="preserve"> </w:t>
      </w:r>
      <w:r>
        <w:t>by the</w:t>
      </w:r>
      <w:r>
        <w:rPr>
          <w:spacing w:val="-3"/>
        </w:rPr>
        <w:t xml:space="preserve"> </w:t>
      </w:r>
      <w:r>
        <w:t>investigating authorities in their determinations, and how, so that it can defend its interests.</w:t>
      </w:r>
      <w:hyperlink w:anchor="_bookmark1554" w:history="1">
        <w:r>
          <w:rPr>
            <w:vertAlign w:val="superscript"/>
          </w:rPr>
          <w:t>1343</w:t>
        </w:r>
      </w:hyperlink>
    </w:p>
    <w:p w14:paraId="655CDDA4" w14:textId="77777777" w:rsidR="00BD462C" w:rsidRDefault="00BD462C">
      <w:pPr>
        <w:pStyle w:val="BodyText"/>
        <w:spacing w:before="3"/>
        <w:rPr>
          <w:sz w:val="15"/>
        </w:rPr>
      </w:pPr>
    </w:p>
    <w:p w14:paraId="36AFD8E3" w14:textId="672657CD" w:rsidR="00BD462C" w:rsidRDefault="00C63D13">
      <w:pPr>
        <w:pStyle w:val="BodyText"/>
        <w:spacing w:before="56" w:line="360" w:lineRule="auto"/>
        <w:ind w:left="135" w:right="913"/>
        <w:jc w:val="both"/>
      </w:pPr>
      <w:r>
        <w:rPr>
          <w:noProof/>
        </w:rPr>
        <w:t>924.</w:t>
      </w:r>
      <w:r w:rsidR="00033D0F">
        <w:rPr>
          <w:rFonts w:ascii="Times New Roman"/>
          <w:spacing w:val="80"/>
          <w:position w:val="1"/>
          <w:sz w:val="20"/>
        </w:rPr>
        <w:t xml:space="preserve">  </w:t>
      </w:r>
      <w:r w:rsidR="00033D0F">
        <w:rPr>
          <w:position w:val="1"/>
        </w:rPr>
        <w:t xml:space="preserve">The panel went on to state that "interested parties are not expected to engage in </w:t>
      </w:r>
      <w:r w:rsidR="00033D0F">
        <w:t>back-calculations and</w:t>
      </w:r>
      <w:r w:rsidR="00033D0F">
        <w:rPr>
          <w:spacing w:val="-1"/>
        </w:rPr>
        <w:t xml:space="preserve"> </w:t>
      </w:r>
      <w:r w:rsidR="00033D0F">
        <w:t>inferential reasoning,</w:t>
      </w:r>
      <w:r w:rsidR="00033D0F">
        <w:rPr>
          <w:spacing w:val="-1"/>
        </w:rPr>
        <w:t xml:space="preserve"> </w:t>
      </w:r>
      <w:r w:rsidR="00033D0F">
        <w:t>or</w:t>
      </w:r>
      <w:r w:rsidR="00033D0F">
        <w:rPr>
          <w:spacing w:val="-1"/>
        </w:rPr>
        <w:t xml:space="preserve"> </w:t>
      </w:r>
      <w:r w:rsidR="00033D0F">
        <w:t>piece together</w:t>
      </w:r>
      <w:r w:rsidR="00033D0F">
        <w:rPr>
          <w:spacing w:val="-1"/>
        </w:rPr>
        <w:t xml:space="preserve"> </w:t>
      </w:r>
      <w:r w:rsidR="00033D0F">
        <w:t>a puzzle</w:t>
      </w:r>
      <w:r w:rsidR="00033D0F">
        <w:rPr>
          <w:spacing w:val="-3"/>
        </w:rPr>
        <w:t xml:space="preserve"> </w:t>
      </w:r>
      <w:r w:rsidR="00033D0F">
        <w:t>to</w:t>
      </w:r>
      <w:r w:rsidR="00033D0F">
        <w:rPr>
          <w:spacing w:val="-1"/>
        </w:rPr>
        <w:t xml:space="preserve"> </w:t>
      </w:r>
      <w:r w:rsidR="00033D0F">
        <w:t>derive the essential facts".</w:t>
      </w:r>
      <w:hyperlink w:anchor="_bookmark1555" w:history="1">
        <w:r w:rsidR="00033D0F">
          <w:rPr>
            <w:vertAlign w:val="superscript"/>
          </w:rPr>
          <w:t>1344</w:t>
        </w:r>
      </w:hyperlink>
      <w:r w:rsidR="00033D0F">
        <w:rPr>
          <w:spacing w:val="-2"/>
        </w:rPr>
        <w:t xml:space="preserve"> </w:t>
      </w:r>
      <w:r w:rsidR="00033D0F">
        <w:t>Accordingly,</w:t>
      </w:r>
      <w:r w:rsidR="00033D0F">
        <w:rPr>
          <w:spacing w:val="-5"/>
        </w:rPr>
        <w:t xml:space="preserve"> </w:t>
      </w:r>
      <w:r w:rsidR="00033D0F">
        <w:t>if</w:t>
      </w:r>
      <w:r w:rsidR="00033D0F">
        <w:rPr>
          <w:spacing w:val="-4"/>
        </w:rPr>
        <w:t xml:space="preserve"> </w:t>
      </w:r>
      <w:r w:rsidR="00033D0F">
        <w:t>interested</w:t>
      </w:r>
      <w:r w:rsidR="00033D0F">
        <w:rPr>
          <w:spacing w:val="-4"/>
        </w:rPr>
        <w:t xml:space="preserve"> </w:t>
      </w:r>
      <w:r w:rsidR="00033D0F">
        <w:t>parties</w:t>
      </w:r>
      <w:r w:rsidR="00033D0F">
        <w:rPr>
          <w:spacing w:val="-1"/>
        </w:rPr>
        <w:t xml:space="preserve"> </w:t>
      </w:r>
      <w:r w:rsidR="00033D0F">
        <w:t>are</w:t>
      </w:r>
      <w:r w:rsidR="00033D0F">
        <w:rPr>
          <w:spacing w:val="-2"/>
        </w:rPr>
        <w:t xml:space="preserve"> </w:t>
      </w:r>
      <w:r w:rsidR="00033D0F">
        <w:t>not</w:t>
      </w:r>
      <w:r w:rsidR="00033D0F">
        <w:rPr>
          <w:spacing w:val="-2"/>
        </w:rPr>
        <w:t xml:space="preserve"> </w:t>
      </w:r>
      <w:r w:rsidR="00033D0F">
        <w:t>able</w:t>
      </w:r>
      <w:r w:rsidR="00033D0F">
        <w:rPr>
          <w:spacing w:val="-2"/>
        </w:rPr>
        <w:t xml:space="preserve"> </w:t>
      </w:r>
      <w:r w:rsidR="00033D0F">
        <w:t>to</w:t>
      </w:r>
      <w:r w:rsidR="00033D0F">
        <w:rPr>
          <w:spacing w:val="-5"/>
        </w:rPr>
        <w:t xml:space="preserve"> </w:t>
      </w:r>
      <w:r w:rsidR="00033D0F">
        <w:t>ascertain</w:t>
      </w:r>
      <w:r w:rsidR="00033D0F">
        <w:rPr>
          <w:spacing w:val="-4"/>
        </w:rPr>
        <w:t xml:space="preserve"> </w:t>
      </w:r>
      <w:r w:rsidR="00033D0F">
        <w:t>certain</w:t>
      </w:r>
      <w:r w:rsidR="00033D0F">
        <w:rPr>
          <w:spacing w:val="-4"/>
        </w:rPr>
        <w:t xml:space="preserve"> </w:t>
      </w:r>
      <w:r w:rsidR="00033D0F">
        <w:t>essential facts</w:t>
      </w:r>
      <w:r w:rsidR="00033D0F">
        <w:rPr>
          <w:spacing w:val="-1"/>
        </w:rPr>
        <w:t xml:space="preserve"> </w:t>
      </w:r>
      <w:r w:rsidR="00033D0F">
        <w:t>on the basis of the information disclosed, the investigating authority has failed to comply with the</w:t>
      </w:r>
      <w:r w:rsidR="00033D0F">
        <w:rPr>
          <w:spacing w:val="-3"/>
        </w:rPr>
        <w:t xml:space="preserve"> </w:t>
      </w:r>
      <w:r w:rsidR="00033D0F">
        <w:t>obligations</w:t>
      </w:r>
      <w:r w:rsidR="00033D0F">
        <w:rPr>
          <w:spacing w:val="-1"/>
        </w:rPr>
        <w:t xml:space="preserve"> </w:t>
      </w:r>
      <w:r w:rsidR="00033D0F">
        <w:t>in</w:t>
      </w:r>
      <w:r w:rsidR="00033D0F">
        <w:rPr>
          <w:spacing w:val="-4"/>
        </w:rPr>
        <w:t xml:space="preserve"> </w:t>
      </w:r>
      <w:r w:rsidR="00033D0F">
        <w:t>Article</w:t>
      </w:r>
      <w:r w:rsidR="00033D0F">
        <w:rPr>
          <w:spacing w:val="-2"/>
        </w:rPr>
        <w:t xml:space="preserve"> </w:t>
      </w:r>
      <w:r w:rsidR="00033D0F">
        <w:t>6.9.</w:t>
      </w:r>
      <w:r w:rsidR="00033D0F">
        <w:rPr>
          <w:spacing w:val="-1"/>
        </w:rPr>
        <w:t xml:space="preserve"> </w:t>
      </w:r>
      <w:r w:rsidR="00033D0F">
        <w:t>In</w:t>
      </w:r>
      <w:r w:rsidR="00033D0F">
        <w:rPr>
          <w:spacing w:val="-4"/>
        </w:rPr>
        <w:t xml:space="preserve"> </w:t>
      </w:r>
      <w:r w:rsidR="00033D0F">
        <w:t>the</w:t>
      </w:r>
      <w:r w:rsidR="00033D0F">
        <w:rPr>
          <w:spacing w:val="-3"/>
        </w:rPr>
        <w:t xml:space="preserve"> </w:t>
      </w:r>
      <w:r w:rsidR="00033D0F">
        <w:t>present</w:t>
      </w:r>
      <w:r w:rsidR="00033D0F">
        <w:rPr>
          <w:spacing w:val="-2"/>
        </w:rPr>
        <w:t xml:space="preserve"> </w:t>
      </w:r>
      <w:r w:rsidR="00033D0F">
        <w:t>case, interested</w:t>
      </w:r>
      <w:r w:rsidR="00033D0F">
        <w:rPr>
          <w:spacing w:val="-4"/>
        </w:rPr>
        <w:t xml:space="preserve"> </w:t>
      </w:r>
      <w:r w:rsidR="00033D0F">
        <w:t>parties</w:t>
      </w:r>
      <w:r w:rsidR="00033D0F">
        <w:rPr>
          <w:spacing w:val="-1"/>
        </w:rPr>
        <w:t xml:space="preserve"> </w:t>
      </w:r>
      <w:r w:rsidR="00033D0F">
        <w:t>had</w:t>
      </w:r>
      <w:r w:rsidR="00033D0F">
        <w:rPr>
          <w:spacing w:val="-4"/>
        </w:rPr>
        <w:t xml:space="preserve"> </w:t>
      </w:r>
      <w:r w:rsidR="00033D0F">
        <w:t>to</w:t>
      </w:r>
      <w:r w:rsidR="00033D0F">
        <w:rPr>
          <w:spacing w:val="-5"/>
        </w:rPr>
        <w:t xml:space="preserve"> </w:t>
      </w:r>
      <w:r w:rsidR="00033D0F">
        <w:t>engage</w:t>
      </w:r>
      <w:r w:rsidR="00033D0F">
        <w:rPr>
          <w:spacing w:val="-2"/>
        </w:rPr>
        <w:t xml:space="preserve"> </w:t>
      </w:r>
      <w:r w:rsidR="00033D0F">
        <w:t>in</w:t>
      </w:r>
      <w:r w:rsidR="00033D0F">
        <w:rPr>
          <w:spacing w:val="-4"/>
        </w:rPr>
        <w:t xml:space="preserve"> </w:t>
      </w:r>
      <w:r w:rsidR="00033D0F">
        <w:t>detailed back calculations in</w:t>
      </w:r>
      <w:r w:rsidR="00033D0F">
        <w:rPr>
          <w:spacing w:val="-1"/>
        </w:rPr>
        <w:t xml:space="preserve"> </w:t>
      </w:r>
      <w:r w:rsidR="00033D0F">
        <w:t>order</w:t>
      </w:r>
      <w:r w:rsidR="00033D0F">
        <w:rPr>
          <w:spacing w:val="-1"/>
        </w:rPr>
        <w:t xml:space="preserve"> </w:t>
      </w:r>
      <w:r w:rsidR="00033D0F">
        <w:t>to comprehend how MOFCOM made its determinations. The need to engage in this process demonstrates that MOFCOM's disclosures were inadequate.</w:t>
      </w:r>
    </w:p>
    <w:p w14:paraId="13203D0E" w14:textId="77777777" w:rsidR="00BD462C" w:rsidRDefault="00033D0F">
      <w:pPr>
        <w:pStyle w:val="ListParagraph"/>
        <w:numPr>
          <w:ilvl w:val="1"/>
          <w:numId w:val="14"/>
        </w:numPr>
        <w:tabs>
          <w:tab w:val="left" w:pos="3539"/>
          <w:tab w:val="left" w:pos="3540"/>
        </w:tabs>
        <w:spacing w:before="160" w:line="360" w:lineRule="auto"/>
        <w:ind w:right="916"/>
        <w:jc w:val="both"/>
        <w:rPr>
          <w:sz w:val="24"/>
        </w:rPr>
      </w:pPr>
      <w:bookmarkStart w:id="1800" w:name="(d)_The_provision_of_comments_by_an_inte"/>
      <w:bookmarkStart w:id="1801" w:name="_bookmark1551"/>
      <w:bookmarkEnd w:id="1800"/>
      <w:bookmarkEnd w:id="1801"/>
      <w:r>
        <w:rPr>
          <w:sz w:val="24"/>
          <w:u w:val="single"/>
        </w:rPr>
        <w:t>The provision of comments by an interested party is not</w:t>
      </w:r>
      <w:r>
        <w:rPr>
          <w:sz w:val="24"/>
        </w:rPr>
        <w:t xml:space="preserve"> </w:t>
      </w:r>
      <w:r>
        <w:rPr>
          <w:sz w:val="24"/>
          <w:u w:val="single"/>
        </w:rPr>
        <w:t>evidence that the requirements of Article 6.9 have been</w:t>
      </w:r>
      <w:r>
        <w:rPr>
          <w:sz w:val="24"/>
        </w:rPr>
        <w:t xml:space="preserve"> </w:t>
      </w:r>
      <w:r>
        <w:rPr>
          <w:spacing w:val="-4"/>
          <w:sz w:val="24"/>
          <w:u w:val="single"/>
        </w:rPr>
        <w:t>met</w:t>
      </w:r>
    </w:p>
    <w:p w14:paraId="56D30B97" w14:textId="77777777" w:rsidR="00BD462C" w:rsidRDefault="00BD462C">
      <w:pPr>
        <w:pStyle w:val="BodyText"/>
        <w:spacing w:before="11"/>
        <w:rPr>
          <w:sz w:val="8"/>
        </w:rPr>
      </w:pPr>
    </w:p>
    <w:p w14:paraId="797080F6" w14:textId="7528DBF7" w:rsidR="00BD462C" w:rsidRDefault="00C63D13">
      <w:pPr>
        <w:pStyle w:val="BodyText"/>
        <w:spacing w:before="56" w:line="360" w:lineRule="auto"/>
        <w:ind w:left="135" w:right="914"/>
        <w:jc w:val="both"/>
      </w:pPr>
      <w:r>
        <w:rPr>
          <w:noProof/>
        </w:rPr>
        <w:t>925.</w:t>
      </w:r>
      <w:r w:rsidR="00033D0F">
        <w:rPr>
          <w:rFonts w:ascii="Times New Roman"/>
          <w:spacing w:val="80"/>
          <w:position w:val="1"/>
          <w:sz w:val="20"/>
        </w:rPr>
        <w:t xml:space="preserve">  </w:t>
      </w:r>
      <w:r w:rsidR="00033D0F">
        <w:rPr>
          <w:position w:val="1"/>
        </w:rPr>
        <w:t>Further, China</w:t>
      </w:r>
      <w:r w:rsidR="00033D0F">
        <w:rPr>
          <w:spacing w:val="40"/>
          <w:position w:val="1"/>
        </w:rPr>
        <w:t xml:space="preserve"> </w:t>
      </w:r>
      <w:r w:rsidR="00033D0F">
        <w:rPr>
          <w:position w:val="1"/>
        </w:rPr>
        <w:t>seems to contend that the</w:t>
      </w:r>
      <w:r w:rsidR="00033D0F">
        <w:rPr>
          <w:spacing w:val="40"/>
          <w:position w:val="1"/>
        </w:rPr>
        <w:t xml:space="preserve"> </w:t>
      </w:r>
      <w:r w:rsidR="00033D0F">
        <w:rPr>
          <w:position w:val="1"/>
        </w:rPr>
        <w:t xml:space="preserve">provision of comments by interested </w:t>
      </w:r>
      <w:r w:rsidR="00033D0F">
        <w:t xml:space="preserve">parties is proof that the requirement in Article 6.9 has been met. Australia disagrees. The comments provided by interested parties often </w:t>
      </w:r>
      <w:proofErr w:type="spellStart"/>
      <w:r w:rsidR="00033D0F">
        <w:t>criticised</w:t>
      </w:r>
      <w:proofErr w:type="spellEnd"/>
      <w:r w:rsidR="00033D0F">
        <w:t xml:space="preserve"> MOFCOM for the lack of disclosure of necessary information that would have allowed them to defend their interests. As such, China's arguments are significantly flawed.</w:t>
      </w:r>
    </w:p>
    <w:p w14:paraId="6C1046CA" w14:textId="77777777" w:rsidR="00BD462C" w:rsidRDefault="00BD462C">
      <w:pPr>
        <w:pStyle w:val="BodyText"/>
        <w:rPr>
          <w:sz w:val="20"/>
        </w:rPr>
      </w:pPr>
    </w:p>
    <w:p w14:paraId="4778A31A" w14:textId="77777777" w:rsidR="00BD462C" w:rsidRDefault="00BD462C">
      <w:pPr>
        <w:pStyle w:val="BodyText"/>
        <w:rPr>
          <w:sz w:val="20"/>
        </w:rPr>
      </w:pPr>
    </w:p>
    <w:p w14:paraId="7A15EFB0" w14:textId="77777777" w:rsidR="00BD462C" w:rsidRDefault="00BD462C">
      <w:pPr>
        <w:pStyle w:val="BodyText"/>
        <w:rPr>
          <w:sz w:val="20"/>
        </w:rPr>
      </w:pPr>
    </w:p>
    <w:p w14:paraId="36992B93" w14:textId="415DB825" w:rsidR="00BD462C" w:rsidRDefault="00D70C7D">
      <w:pPr>
        <w:pStyle w:val="BodyText"/>
        <w:spacing w:before="6"/>
        <w:rPr>
          <w:sz w:val="13"/>
        </w:rPr>
      </w:pPr>
      <w:r>
        <w:rPr>
          <w:noProof/>
        </w:rPr>
        <mc:AlternateContent>
          <mc:Choice Requires="wps">
            <w:drawing>
              <wp:anchor distT="0" distB="0" distL="0" distR="0" simplePos="0" relativeHeight="487873536" behindDoc="1" locked="0" layoutInCell="1" allowOverlap="1" wp14:anchorId="3438B920" wp14:editId="26BEFF26">
                <wp:simplePos x="0" y="0"/>
                <wp:positionH relativeFrom="page">
                  <wp:posOffset>899160</wp:posOffset>
                </wp:positionH>
                <wp:positionV relativeFrom="paragraph">
                  <wp:posOffset>120015</wp:posOffset>
                </wp:positionV>
                <wp:extent cx="1828800" cy="8890"/>
                <wp:effectExtent l="0" t="0" r="0" b="0"/>
                <wp:wrapTopAndBottom/>
                <wp:docPr id="222" name="docshape6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8BE72B" id="docshape614" o:spid="_x0000_s1026" alt="&quot;&quot;" style="position:absolute;margin-left:70.8pt;margin-top:9.45pt;width:2in;height:.7pt;z-index:-1544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" fillcolor="black" stroked="f">
                <w10:wrap type="topAndBottom" anchorx="page"/>
              </v:rect>
            </w:pict>
          </mc:Fallback>
        </mc:AlternateContent>
      </w:r>
    </w:p>
    <w:p w14:paraId="2D296AF7" w14:textId="77777777" w:rsidR="00BD462C" w:rsidRDefault="00033D0F">
      <w:pPr>
        <w:spacing w:before="112"/>
        <w:ind w:left="135"/>
        <w:rPr>
          <w:sz w:val="18"/>
        </w:rPr>
      </w:pPr>
      <w:bookmarkStart w:id="1802" w:name="_bookmark1552"/>
      <w:bookmarkEnd w:id="1802"/>
      <w:r>
        <w:rPr>
          <w:position w:val="5"/>
          <w:sz w:val="12"/>
        </w:rPr>
        <w:t>1341</w:t>
      </w:r>
      <w:r>
        <w:rPr>
          <w:spacing w:val="15"/>
          <w:position w:val="5"/>
          <w:sz w:val="12"/>
        </w:rPr>
        <w:t xml:space="preserve"> </w:t>
      </w:r>
      <w:r>
        <w:rPr>
          <w:sz w:val="18"/>
        </w:rPr>
        <w:t>Appellate</w:t>
      </w:r>
      <w:r>
        <w:rPr>
          <w:spacing w:val="-8"/>
          <w:sz w:val="18"/>
        </w:rPr>
        <w:t xml:space="preserve"> </w:t>
      </w:r>
      <w:r>
        <w:rPr>
          <w:sz w:val="18"/>
        </w:rPr>
        <w:t>Body</w:t>
      </w:r>
      <w:r>
        <w:rPr>
          <w:spacing w:val="-6"/>
          <w:sz w:val="18"/>
        </w:rPr>
        <w:t xml:space="preserve"> </w:t>
      </w:r>
      <w:r>
        <w:rPr>
          <w:sz w:val="18"/>
        </w:rPr>
        <w:t>Report,</w:t>
      </w:r>
      <w:r>
        <w:rPr>
          <w:spacing w:val="-1"/>
          <w:sz w:val="18"/>
        </w:rPr>
        <w:t xml:space="preserve"> </w:t>
      </w:r>
      <w:r>
        <w:rPr>
          <w:i/>
          <w:sz w:val="18"/>
        </w:rPr>
        <w:t>China</w:t>
      </w:r>
      <w:r>
        <w:rPr>
          <w:i/>
          <w:spacing w:val="2"/>
          <w:sz w:val="18"/>
        </w:rPr>
        <w:t xml:space="preserve"> </w:t>
      </w:r>
      <w:r>
        <w:rPr>
          <w:i/>
          <w:sz w:val="18"/>
        </w:rPr>
        <w:t>–</w:t>
      </w:r>
      <w:r>
        <w:rPr>
          <w:i/>
          <w:spacing w:val="-3"/>
          <w:sz w:val="18"/>
        </w:rPr>
        <w:t xml:space="preserve"> </w:t>
      </w:r>
      <w:r>
        <w:rPr>
          <w:i/>
          <w:sz w:val="18"/>
        </w:rPr>
        <w:t>GOES</w:t>
      </w:r>
      <w:r>
        <w:rPr>
          <w:sz w:val="18"/>
        </w:rPr>
        <w:t>,</w:t>
      </w:r>
      <w:r>
        <w:rPr>
          <w:spacing w:val="-2"/>
          <w:sz w:val="18"/>
        </w:rPr>
        <w:t xml:space="preserve"> </w:t>
      </w:r>
      <w:r>
        <w:rPr>
          <w:sz w:val="18"/>
        </w:rPr>
        <w:t>para</w:t>
      </w:r>
      <w:r>
        <w:rPr>
          <w:spacing w:val="-5"/>
          <w:sz w:val="18"/>
        </w:rPr>
        <w:t xml:space="preserve"> </w:t>
      </w:r>
      <w:r>
        <w:rPr>
          <w:sz w:val="18"/>
        </w:rPr>
        <w:t>240.</w:t>
      </w:r>
      <w:r>
        <w:rPr>
          <w:spacing w:val="-2"/>
          <w:sz w:val="18"/>
        </w:rPr>
        <w:t xml:space="preserve"> </w:t>
      </w:r>
      <w:r>
        <w:rPr>
          <w:sz w:val="18"/>
        </w:rPr>
        <w:t>(</w:t>
      </w:r>
      <w:proofErr w:type="gramStart"/>
      <w:r>
        <w:rPr>
          <w:sz w:val="18"/>
        </w:rPr>
        <w:t>emphasis</w:t>
      </w:r>
      <w:proofErr w:type="gramEnd"/>
      <w:r>
        <w:rPr>
          <w:spacing w:val="-4"/>
          <w:sz w:val="18"/>
        </w:rPr>
        <w:t xml:space="preserve"> </w:t>
      </w:r>
      <w:r>
        <w:rPr>
          <w:spacing w:val="-2"/>
          <w:sz w:val="18"/>
        </w:rPr>
        <w:t>added)</w:t>
      </w:r>
    </w:p>
    <w:p w14:paraId="28F940ED" w14:textId="77777777" w:rsidR="00BD462C" w:rsidRDefault="00033D0F">
      <w:pPr>
        <w:spacing w:before="1"/>
        <w:ind w:left="135"/>
        <w:rPr>
          <w:sz w:val="18"/>
        </w:rPr>
      </w:pPr>
      <w:bookmarkStart w:id="1803" w:name="_bookmark1553"/>
      <w:bookmarkEnd w:id="1803"/>
      <w:r>
        <w:rPr>
          <w:position w:val="5"/>
          <w:sz w:val="12"/>
        </w:rPr>
        <w:t>1342</w:t>
      </w:r>
      <w:r>
        <w:rPr>
          <w:spacing w:val="15"/>
          <w:position w:val="5"/>
          <w:sz w:val="12"/>
        </w:rPr>
        <w:t xml:space="preserve"> </w:t>
      </w:r>
      <w:r>
        <w:rPr>
          <w:sz w:val="18"/>
        </w:rPr>
        <w:t>Panel</w:t>
      </w:r>
      <w:r>
        <w:rPr>
          <w:spacing w:val="-3"/>
          <w:sz w:val="18"/>
        </w:rPr>
        <w:t xml:space="preserve"> </w:t>
      </w:r>
      <w:r>
        <w:rPr>
          <w:sz w:val="18"/>
        </w:rPr>
        <w:t>Report,</w:t>
      </w:r>
      <w:r>
        <w:rPr>
          <w:spacing w:val="-7"/>
          <w:sz w:val="18"/>
        </w:rPr>
        <w:t xml:space="preserve"> </w:t>
      </w:r>
      <w:r>
        <w:rPr>
          <w:i/>
          <w:sz w:val="18"/>
        </w:rPr>
        <w:t>EC</w:t>
      </w:r>
      <w:r>
        <w:rPr>
          <w:i/>
          <w:spacing w:val="-3"/>
          <w:sz w:val="18"/>
        </w:rPr>
        <w:t xml:space="preserve"> </w:t>
      </w:r>
      <w:r>
        <w:rPr>
          <w:i/>
          <w:sz w:val="18"/>
        </w:rPr>
        <w:t>– Salmon</w:t>
      </w:r>
      <w:r>
        <w:rPr>
          <w:i/>
          <w:spacing w:val="-3"/>
          <w:sz w:val="18"/>
        </w:rPr>
        <w:t xml:space="preserve"> </w:t>
      </w:r>
      <w:r>
        <w:rPr>
          <w:i/>
          <w:sz w:val="18"/>
        </w:rPr>
        <w:t>(Norway)</w:t>
      </w:r>
      <w:r>
        <w:rPr>
          <w:sz w:val="18"/>
        </w:rPr>
        <w:t>,</w:t>
      </w:r>
      <w:r>
        <w:rPr>
          <w:spacing w:val="3"/>
          <w:sz w:val="18"/>
        </w:rPr>
        <w:t xml:space="preserve"> </w:t>
      </w:r>
      <w:r>
        <w:rPr>
          <w:sz w:val="18"/>
        </w:rPr>
        <w:t>para</w:t>
      </w:r>
      <w:r>
        <w:rPr>
          <w:spacing w:val="-5"/>
          <w:sz w:val="18"/>
        </w:rPr>
        <w:t xml:space="preserve"> </w:t>
      </w:r>
      <w:r>
        <w:rPr>
          <w:spacing w:val="-2"/>
          <w:sz w:val="18"/>
        </w:rPr>
        <w:t>7.805.</w:t>
      </w:r>
    </w:p>
    <w:p w14:paraId="7D3C8A9A" w14:textId="77777777" w:rsidR="00BD462C" w:rsidRDefault="00033D0F">
      <w:pPr>
        <w:spacing w:before="1"/>
        <w:ind w:left="135"/>
        <w:rPr>
          <w:sz w:val="18"/>
        </w:rPr>
      </w:pPr>
      <w:bookmarkStart w:id="1804" w:name="_bookmark1554"/>
      <w:bookmarkEnd w:id="1804"/>
      <w:r>
        <w:rPr>
          <w:position w:val="5"/>
          <w:sz w:val="12"/>
        </w:rPr>
        <w:t>1343</w:t>
      </w:r>
      <w:r>
        <w:rPr>
          <w:spacing w:val="14"/>
          <w:position w:val="5"/>
          <w:sz w:val="12"/>
        </w:rPr>
        <w:t xml:space="preserve"> </w:t>
      </w:r>
      <w:r>
        <w:rPr>
          <w:sz w:val="18"/>
        </w:rPr>
        <w:t>See</w:t>
      </w:r>
      <w:r>
        <w:rPr>
          <w:spacing w:val="-4"/>
          <w:sz w:val="18"/>
        </w:rPr>
        <w:t xml:space="preserve"> </w:t>
      </w:r>
      <w:r>
        <w:rPr>
          <w:sz w:val="18"/>
        </w:rPr>
        <w:t>Panel</w:t>
      </w:r>
      <w:r>
        <w:rPr>
          <w:spacing w:val="-3"/>
          <w:sz w:val="18"/>
        </w:rPr>
        <w:t xml:space="preserve"> </w:t>
      </w:r>
      <w:r>
        <w:rPr>
          <w:sz w:val="18"/>
        </w:rPr>
        <w:t>Report,</w:t>
      </w:r>
      <w:r>
        <w:rPr>
          <w:spacing w:val="-3"/>
          <w:sz w:val="18"/>
        </w:rPr>
        <w:t xml:space="preserve"> </w:t>
      </w:r>
      <w:r>
        <w:rPr>
          <w:i/>
          <w:sz w:val="18"/>
        </w:rPr>
        <w:t>Ukraine</w:t>
      </w:r>
      <w:r>
        <w:rPr>
          <w:i/>
          <w:spacing w:val="-6"/>
          <w:sz w:val="18"/>
        </w:rPr>
        <w:t xml:space="preserve"> </w:t>
      </w:r>
      <w:r>
        <w:rPr>
          <w:i/>
          <w:sz w:val="18"/>
        </w:rPr>
        <w:t>– Ammonium</w:t>
      </w:r>
      <w:r>
        <w:rPr>
          <w:i/>
          <w:spacing w:val="-5"/>
          <w:sz w:val="18"/>
        </w:rPr>
        <w:t xml:space="preserve"> </w:t>
      </w:r>
      <w:r>
        <w:rPr>
          <w:i/>
          <w:sz w:val="18"/>
        </w:rPr>
        <w:t>Nitrate</w:t>
      </w:r>
      <w:r>
        <w:rPr>
          <w:sz w:val="18"/>
        </w:rPr>
        <w:t>,</w:t>
      </w:r>
      <w:r>
        <w:rPr>
          <w:spacing w:val="-2"/>
          <w:sz w:val="18"/>
        </w:rPr>
        <w:t xml:space="preserve"> </w:t>
      </w:r>
      <w:r>
        <w:rPr>
          <w:sz w:val="18"/>
        </w:rPr>
        <w:t>para.</w:t>
      </w:r>
      <w:r>
        <w:rPr>
          <w:spacing w:val="1"/>
          <w:sz w:val="18"/>
        </w:rPr>
        <w:t xml:space="preserve"> </w:t>
      </w:r>
      <w:r>
        <w:rPr>
          <w:spacing w:val="-2"/>
          <w:sz w:val="18"/>
        </w:rPr>
        <w:t>7.207.</w:t>
      </w:r>
    </w:p>
    <w:p w14:paraId="169E333A" w14:textId="77777777" w:rsidR="00BD462C" w:rsidRDefault="00033D0F">
      <w:pPr>
        <w:spacing w:before="1"/>
        <w:ind w:left="135"/>
        <w:rPr>
          <w:sz w:val="18"/>
        </w:rPr>
      </w:pPr>
      <w:bookmarkStart w:id="1805" w:name="_bookmark1555"/>
      <w:bookmarkEnd w:id="1805"/>
      <w:r>
        <w:rPr>
          <w:position w:val="5"/>
          <w:sz w:val="12"/>
        </w:rPr>
        <w:t>1344</w:t>
      </w:r>
      <w:r>
        <w:rPr>
          <w:spacing w:val="14"/>
          <w:position w:val="5"/>
          <w:sz w:val="12"/>
        </w:rPr>
        <w:t xml:space="preserve"> </w:t>
      </w:r>
      <w:r>
        <w:rPr>
          <w:sz w:val="18"/>
        </w:rPr>
        <w:t>See</w:t>
      </w:r>
      <w:r>
        <w:rPr>
          <w:spacing w:val="-4"/>
          <w:sz w:val="18"/>
        </w:rPr>
        <w:t xml:space="preserve"> </w:t>
      </w:r>
      <w:r>
        <w:rPr>
          <w:sz w:val="18"/>
        </w:rPr>
        <w:t>Panel</w:t>
      </w:r>
      <w:r>
        <w:rPr>
          <w:spacing w:val="-3"/>
          <w:sz w:val="18"/>
        </w:rPr>
        <w:t xml:space="preserve"> </w:t>
      </w:r>
      <w:r>
        <w:rPr>
          <w:sz w:val="18"/>
        </w:rPr>
        <w:t>Report,</w:t>
      </w:r>
      <w:r>
        <w:rPr>
          <w:spacing w:val="-3"/>
          <w:sz w:val="18"/>
        </w:rPr>
        <w:t xml:space="preserve"> </w:t>
      </w:r>
      <w:r>
        <w:rPr>
          <w:i/>
          <w:sz w:val="18"/>
        </w:rPr>
        <w:t>Ukraine</w:t>
      </w:r>
      <w:r>
        <w:rPr>
          <w:i/>
          <w:spacing w:val="-6"/>
          <w:sz w:val="18"/>
        </w:rPr>
        <w:t xml:space="preserve"> </w:t>
      </w:r>
      <w:r>
        <w:rPr>
          <w:i/>
          <w:sz w:val="18"/>
        </w:rPr>
        <w:t>– Ammonium</w:t>
      </w:r>
      <w:r>
        <w:rPr>
          <w:i/>
          <w:spacing w:val="-5"/>
          <w:sz w:val="18"/>
        </w:rPr>
        <w:t xml:space="preserve"> </w:t>
      </w:r>
      <w:r>
        <w:rPr>
          <w:i/>
          <w:sz w:val="18"/>
        </w:rPr>
        <w:t>Nitrate</w:t>
      </w:r>
      <w:r>
        <w:rPr>
          <w:sz w:val="18"/>
        </w:rPr>
        <w:t>,</w:t>
      </w:r>
      <w:r>
        <w:rPr>
          <w:spacing w:val="-2"/>
          <w:sz w:val="18"/>
        </w:rPr>
        <w:t xml:space="preserve"> </w:t>
      </w:r>
      <w:r>
        <w:rPr>
          <w:sz w:val="18"/>
        </w:rPr>
        <w:t>para.</w:t>
      </w:r>
      <w:r>
        <w:rPr>
          <w:spacing w:val="1"/>
          <w:sz w:val="18"/>
        </w:rPr>
        <w:t xml:space="preserve"> </w:t>
      </w:r>
      <w:r>
        <w:rPr>
          <w:spacing w:val="-2"/>
          <w:sz w:val="18"/>
        </w:rPr>
        <w:t>7.227.</w:t>
      </w:r>
    </w:p>
    <w:p w14:paraId="4E200685" w14:textId="77777777" w:rsidR="00BD462C" w:rsidRDefault="00BD462C">
      <w:pPr>
        <w:rPr>
          <w:sz w:val="18"/>
        </w:rPr>
        <w:sectPr w:rsidR="00BD462C">
          <w:pgSz w:w="11910" w:h="16840"/>
          <w:pgMar w:top="860" w:right="500" w:bottom="780" w:left="1280" w:header="566" w:footer="590" w:gutter="0"/>
          <w:cols w:space="720"/>
        </w:sectPr>
      </w:pPr>
    </w:p>
    <w:p w14:paraId="3DA6FCF9"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4A43C26F"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2486FE55"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69D7CCD5" w14:textId="77777777" w:rsidR="00BD462C" w:rsidRDefault="00033D0F">
      <w:pPr>
        <w:pStyle w:val="Heading3"/>
        <w:numPr>
          <w:ilvl w:val="0"/>
          <w:numId w:val="15"/>
        </w:numPr>
        <w:tabs>
          <w:tab w:val="left" w:pos="2689"/>
          <w:tab w:val="left" w:pos="2690"/>
        </w:tabs>
      </w:pPr>
      <w:bookmarkStart w:id="1806" w:name="3._MOFCOM_failed_to_disclose_all_essenti"/>
      <w:bookmarkStart w:id="1807" w:name="_bookmark1556"/>
      <w:bookmarkEnd w:id="1806"/>
      <w:bookmarkEnd w:id="1807"/>
      <w:r>
        <w:t>MOFCOM</w:t>
      </w:r>
      <w:r>
        <w:rPr>
          <w:spacing w:val="-6"/>
        </w:rPr>
        <w:t xml:space="preserve"> </w:t>
      </w:r>
      <w:r>
        <w:t>failed</w:t>
      </w:r>
      <w:r>
        <w:rPr>
          <w:spacing w:val="-3"/>
        </w:rPr>
        <w:t xml:space="preserve"> </w:t>
      </w:r>
      <w:r>
        <w:t>to</w:t>
      </w:r>
      <w:r>
        <w:rPr>
          <w:spacing w:val="-4"/>
        </w:rPr>
        <w:t xml:space="preserve"> </w:t>
      </w:r>
      <w:r>
        <w:t>disclose</w:t>
      </w:r>
      <w:r>
        <w:rPr>
          <w:spacing w:val="-5"/>
        </w:rPr>
        <w:t xml:space="preserve"> </w:t>
      </w:r>
      <w:r>
        <w:t>all</w:t>
      </w:r>
      <w:r>
        <w:rPr>
          <w:spacing w:val="-5"/>
        </w:rPr>
        <w:t xml:space="preserve"> </w:t>
      </w:r>
      <w:r>
        <w:t>essential</w:t>
      </w:r>
      <w:r>
        <w:rPr>
          <w:spacing w:val="-6"/>
        </w:rPr>
        <w:t xml:space="preserve"> </w:t>
      </w:r>
      <w:r>
        <w:t>facts</w:t>
      </w:r>
      <w:r>
        <w:rPr>
          <w:spacing w:val="-4"/>
        </w:rPr>
        <w:t xml:space="preserve"> </w:t>
      </w:r>
      <w:r>
        <w:t>under</w:t>
      </w:r>
      <w:r>
        <w:rPr>
          <w:spacing w:val="-3"/>
        </w:rPr>
        <w:t xml:space="preserve"> </w:t>
      </w:r>
      <w:r>
        <w:rPr>
          <w:spacing w:val="-2"/>
        </w:rPr>
        <w:t>consideration</w:t>
      </w:r>
    </w:p>
    <w:p w14:paraId="16D9EBEF" w14:textId="77777777" w:rsidR="00BD462C" w:rsidRDefault="00BD462C">
      <w:pPr>
        <w:pStyle w:val="BodyText"/>
        <w:spacing w:before="9"/>
        <w:rPr>
          <w:b/>
        </w:rPr>
      </w:pPr>
    </w:p>
    <w:p w14:paraId="413D0086" w14:textId="77777777" w:rsidR="00BD462C" w:rsidRDefault="00033D0F">
      <w:pPr>
        <w:pStyle w:val="ListParagraph"/>
        <w:numPr>
          <w:ilvl w:val="1"/>
          <w:numId w:val="15"/>
        </w:numPr>
        <w:tabs>
          <w:tab w:val="left" w:pos="3539"/>
          <w:tab w:val="left" w:pos="3540"/>
        </w:tabs>
        <w:spacing w:before="1" w:line="362" w:lineRule="auto"/>
        <w:ind w:right="918"/>
        <w:jc w:val="both"/>
        <w:rPr>
          <w:sz w:val="24"/>
        </w:rPr>
      </w:pPr>
      <w:r>
        <w:rPr>
          <w:sz w:val="24"/>
          <w:u w:val="single"/>
        </w:rPr>
        <w:t>MOFCOM's estimate of total domestic output and the</w:t>
      </w:r>
      <w:r>
        <w:rPr>
          <w:sz w:val="24"/>
        </w:rPr>
        <w:t xml:space="preserve"> </w:t>
      </w:r>
      <w:r>
        <w:rPr>
          <w:sz w:val="24"/>
          <w:u w:val="single"/>
        </w:rPr>
        <w:t>proportion accounted for by the domestic producers</w:t>
      </w:r>
      <w:r>
        <w:rPr>
          <w:sz w:val="24"/>
        </w:rPr>
        <w:t xml:space="preserve"> </w:t>
      </w:r>
      <w:r>
        <w:rPr>
          <w:sz w:val="24"/>
          <w:u w:val="single"/>
        </w:rPr>
        <w:t>defining "domestic industry"</w:t>
      </w:r>
    </w:p>
    <w:p w14:paraId="5C49E035" w14:textId="0403D22A" w:rsidR="00BD462C" w:rsidRDefault="00C63D13">
      <w:pPr>
        <w:pStyle w:val="BodyText"/>
        <w:spacing w:before="155" w:line="360" w:lineRule="auto"/>
        <w:ind w:left="135" w:right="918"/>
        <w:jc w:val="both"/>
      </w:pPr>
      <w:r>
        <w:rPr>
          <w:noProof/>
        </w:rPr>
        <w:t>926.</w:t>
      </w:r>
      <w:r w:rsidR="00033D0F">
        <w:rPr>
          <w:rFonts w:ascii="Times New Roman"/>
          <w:spacing w:val="80"/>
          <w:w w:val="150"/>
          <w:position w:val="1"/>
          <w:sz w:val="20"/>
        </w:rPr>
        <w:t xml:space="preserve">  </w:t>
      </w:r>
      <w:r w:rsidR="00033D0F">
        <w:rPr>
          <w:position w:val="1"/>
        </w:rPr>
        <w:t>As</w:t>
      </w:r>
      <w:r w:rsidR="00033D0F">
        <w:rPr>
          <w:spacing w:val="-1"/>
          <w:position w:val="1"/>
        </w:rPr>
        <w:t xml:space="preserve"> </w:t>
      </w:r>
      <w:r w:rsidR="00033D0F">
        <w:rPr>
          <w:position w:val="1"/>
        </w:rPr>
        <w:t>set</w:t>
      </w:r>
      <w:r w:rsidR="00033D0F">
        <w:rPr>
          <w:spacing w:val="-2"/>
          <w:position w:val="1"/>
        </w:rPr>
        <w:t xml:space="preserve"> </w:t>
      </w:r>
      <w:r w:rsidR="00033D0F">
        <w:rPr>
          <w:position w:val="1"/>
        </w:rPr>
        <w:t>out</w:t>
      </w:r>
      <w:r w:rsidR="00033D0F">
        <w:rPr>
          <w:spacing w:val="-2"/>
          <w:position w:val="1"/>
        </w:rPr>
        <w:t xml:space="preserve"> </w:t>
      </w:r>
      <w:r w:rsidR="00033D0F">
        <w:rPr>
          <w:position w:val="1"/>
        </w:rPr>
        <w:t>in</w:t>
      </w:r>
      <w:r w:rsidR="00033D0F">
        <w:rPr>
          <w:spacing w:val="-4"/>
          <w:position w:val="1"/>
        </w:rPr>
        <w:t xml:space="preserve"> </w:t>
      </w:r>
      <w:r w:rsidR="00033D0F">
        <w:rPr>
          <w:position w:val="1"/>
        </w:rPr>
        <w:t>its</w:t>
      </w:r>
      <w:r w:rsidR="00033D0F">
        <w:rPr>
          <w:spacing w:val="-1"/>
          <w:position w:val="1"/>
        </w:rPr>
        <w:t xml:space="preserve"> </w:t>
      </w:r>
      <w:r w:rsidR="00033D0F">
        <w:rPr>
          <w:position w:val="1"/>
        </w:rPr>
        <w:t>first</w:t>
      </w:r>
      <w:r w:rsidR="00033D0F">
        <w:rPr>
          <w:spacing w:val="-2"/>
          <w:position w:val="1"/>
        </w:rPr>
        <w:t xml:space="preserve"> </w:t>
      </w:r>
      <w:r w:rsidR="00033D0F">
        <w:rPr>
          <w:position w:val="1"/>
        </w:rPr>
        <w:t>written</w:t>
      </w:r>
      <w:r w:rsidR="00033D0F">
        <w:rPr>
          <w:spacing w:val="-4"/>
          <w:position w:val="1"/>
        </w:rPr>
        <w:t xml:space="preserve"> </w:t>
      </w:r>
      <w:r w:rsidR="00033D0F">
        <w:rPr>
          <w:position w:val="1"/>
        </w:rPr>
        <w:t>submission,</w:t>
      </w:r>
      <w:r w:rsidR="00033D0F">
        <w:rPr>
          <w:spacing w:val="-1"/>
          <w:position w:val="1"/>
        </w:rPr>
        <w:t xml:space="preserve"> </w:t>
      </w:r>
      <w:r w:rsidR="00033D0F">
        <w:rPr>
          <w:position w:val="1"/>
        </w:rPr>
        <w:t>Australia</w:t>
      </w:r>
      <w:r w:rsidR="00033D0F">
        <w:rPr>
          <w:spacing w:val="-8"/>
          <w:position w:val="1"/>
        </w:rPr>
        <w:t xml:space="preserve"> </w:t>
      </w:r>
      <w:r w:rsidR="00033D0F">
        <w:rPr>
          <w:position w:val="1"/>
        </w:rPr>
        <w:t>has</w:t>
      </w:r>
      <w:r w:rsidR="00033D0F">
        <w:rPr>
          <w:spacing w:val="-1"/>
          <w:position w:val="1"/>
        </w:rPr>
        <w:t xml:space="preserve"> </w:t>
      </w:r>
      <w:r w:rsidR="00033D0F">
        <w:rPr>
          <w:position w:val="1"/>
        </w:rPr>
        <w:t>established</w:t>
      </w:r>
      <w:r w:rsidR="00033D0F">
        <w:rPr>
          <w:spacing w:val="-4"/>
          <w:position w:val="1"/>
        </w:rPr>
        <w:t xml:space="preserve"> </w:t>
      </w:r>
      <w:r w:rsidR="00033D0F">
        <w:rPr>
          <w:position w:val="1"/>
        </w:rPr>
        <w:t>that</w:t>
      </w:r>
      <w:r w:rsidR="00033D0F">
        <w:rPr>
          <w:spacing w:val="-2"/>
          <w:position w:val="1"/>
        </w:rPr>
        <w:t xml:space="preserve"> </w:t>
      </w:r>
      <w:r w:rsidR="00033D0F">
        <w:rPr>
          <w:position w:val="1"/>
        </w:rPr>
        <w:t>MOFCOM</w:t>
      </w:r>
      <w:r w:rsidR="00033D0F">
        <w:rPr>
          <w:spacing w:val="-2"/>
          <w:position w:val="1"/>
        </w:rPr>
        <w:t xml:space="preserve"> </w:t>
      </w:r>
      <w:r w:rsidR="00033D0F">
        <w:rPr>
          <w:position w:val="1"/>
        </w:rPr>
        <w:t xml:space="preserve">did </w:t>
      </w:r>
      <w:r w:rsidR="00033D0F">
        <w:t xml:space="preserve">not disclose the essential facts with </w:t>
      </w:r>
      <w:r w:rsidR="00033D0F">
        <w:rPr>
          <w:i/>
        </w:rPr>
        <w:t xml:space="preserve">respect to the underlying </w:t>
      </w:r>
      <w:r w:rsidR="00033D0F">
        <w:t>statistical data or the methodology that it used to calculate the estimate of total domestic output.</w:t>
      </w:r>
      <w:hyperlink w:anchor="_bookmark1557" w:history="1">
        <w:r w:rsidR="00033D0F">
          <w:rPr>
            <w:vertAlign w:val="superscript"/>
          </w:rPr>
          <w:t>1345</w:t>
        </w:r>
      </w:hyperlink>
    </w:p>
    <w:p w14:paraId="192B2EB1" w14:textId="77777777" w:rsidR="00BD462C" w:rsidRDefault="00BD462C">
      <w:pPr>
        <w:pStyle w:val="BodyText"/>
        <w:spacing w:before="7"/>
        <w:rPr>
          <w:sz w:val="8"/>
        </w:rPr>
      </w:pPr>
    </w:p>
    <w:p w14:paraId="28AB032F" w14:textId="147B17EE" w:rsidR="00BD462C" w:rsidRDefault="00D70C7D">
      <w:pPr>
        <w:pStyle w:val="BodyText"/>
        <w:tabs>
          <w:tab w:val="left" w:pos="6164"/>
        </w:tabs>
        <w:spacing w:before="56" w:line="360" w:lineRule="auto"/>
        <w:ind w:left="135" w:right="917"/>
        <w:jc w:val="both"/>
      </w:pPr>
      <w:r>
        <w:rPr>
          <w:noProof/>
        </w:rPr>
        <mc:AlternateContent>
          <mc:Choice Requires="wps">
            <w:drawing>
              <wp:anchor distT="0" distB="0" distL="114300" distR="114300" simplePos="0" relativeHeight="479175680" behindDoc="1" locked="0" layoutInCell="1" allowOverlap="1" wp14:anchorId="09F7F8C6" wp14:editId="4BA904D8">
                <wp:simplePos x="0" y="0"/>
                <wp:positionH relativeFrom="page">
                  <wp:posOffset>4105910</wp:posOffset>
                </wp:positionH>
                <wp:positionV relativeFrom="paragraph">
                  <wp:posOffset>311785</wp:posOffset>
                </wp:positionV>
                <wp:extent cx="582295" cy="186055"/>
                <wp:effectExtent l="0" t="0" r="0" b="0"/>
                <wp:wrapNone/>
                <wp:docPr id="220" name="docshape6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29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1FCC3B" id="docshape615" o:spid="_x0000_s1026" alt="&quot;&quot;" style="position:absolute;margin-left:323.3pt;margin-top:24.55pt;width:45.85pt;height:14.65pt;z-index:-2414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" fillcolor="black" stroked="f">
                <w10:wrap anchorx="page"/>
              </v:rect>
            </w:pict>
          </mc:Fallback>
        </mc:AlternateContent>
      </w:r>
      <w:r w:rsidR="00C63D13">
        <w:rPr>
          <w:noProof/>
        </w:rPr>
        <w:t>927.</w:t>
      </w:r>
      <w:r w:rsidR="00033D0F">
        <w:rPr>
          <w:rFonts w:ascii="Times New Roman"/>
          <w:spacing w:val="80"/>
          <w:position w:val="1"/>
          <w:sz w:val="20"/>
        </w:rPr>
        <w:t xml:space="preserve">  </w:t>
      </w:r>
      <w:r w:rsidR="00033D0F">
        <w:rPr>
          <w:position w:val="1"/>
        </w:rPr>
        <w:t xml:space="preserve">At the outset, Australia does not accept China's assertion that the data used in the </w:t>
      </w:r>
      <w:r w:rsidR="00033D0F">
        <w:t>estimate of total domestic production provided by</w:t>
      </w:r>
      <w:r w:rsidR="00033D0F">
        <w:tab/>
        <w:t>was confidential and</w:t>
      </w:r>
      <w:r w:rsidR="00033D0F">
        <w:rPr>
          <w:spacing w:val="-1"/>
        </w:rPr>
        <w:t xml:space="preserve"> </w:t>
      </w:r>
      <w:r w:rsidR="00033D0F">
        <w:t xml:space="preserve">therefore excluded from the scope of Articles 12.2 and 12.2.2. In this respect, Australia has set out its claims in relation to the related breach of Articles 6.5 and 6.5.1 separately in this </w:t>
      </w:r>
      <w:r w:rsidR="00033D0F">
        <w:rPr>
          <w:spacing w:val="-2"/>
        </w:rPr>
        <w:t>submission.</w:t>
      </w:r>
      <w:hyperlink w:anchor="_bookmark1558" w:history="1">
        <w:r w:rsidR="00033D0F">
          <w:rPr>
            <w:spacing w:val="-2"/>
            <w:vertAlign w:val="superscript"/>
          </w:rPr>
          <w:t>1346</w:t>
        </w:r>
      </w:hyperlink>
    </w:p>
    <w:p w14:paraId="43A5F578" w14:textId="77777777" w:rsidR="00BD462C" w:rsidRDefault="00BD462C">
      <w:pPr>
        <w:pStyle w:val="BodyText"/>
        <w:spacing w:before="10"/>
        <w:rPr>
          <w:sz w:val="8"/>
        </w:rPr>
      </w:pPr>
    </w:p>
    <w:p w14:paraId="50C6DCCD" w14:textId="0C89BAF9" w:rsidR="00BD462C" w:rsidRDefault="00C63D13">
      <w:pPr>
        <w:pStyle w:val="BodyText"/>
        <w:spacing w:before="56" w:line="357" w:lineRule="auto"/>
        <w:ind w:left="136" w:right="914"/>
        <w:jc w:val="both"/>
      </w:pPr>
      <w:r>
        <w:rPr>
          <w:noProof/>
        </w:rPr>
        <w:t>928.</w:t>
      </w:r>
      <w:r w:rsidR="00033D0F">
        <w:rPr>
          <w:rFonts w:ascii="Times New Roman"/>
          <w:spacing w:val="80"/>
          <w:position w:val="1"/>
          <w:sz w:val="20"/>
        </w:rPr>
        <w:t xml:space="preserve">  </w:t>
      </w:r>
      <w:r w:rsidR="00033D0F">
        <w:rPr>
          <w:position w:val="1"/>
        </w:rPr>
        <w:t>On</w:t>
      </w:r>
      <w:r w:rsidR="00033D0F">
        <w:rPr>
          <w:spacing w:val="-4"/>
          <w:position w:val="1"/>
        </w:rPr>
        <w:t xml:space="preserve"> </w:t>
      </w:r>
      <w:r w:rsidR="00033D0F">
        <w:rPr>
          <w:position w:val="1"/>
        </w:rPr>
        <w:t>the</w:t>
      </w:r>
      <w:r w:rsidR="00033D0F">
        <w:rPr>
          <w:spacing w:val="-3"/>
          <w:position w:val="1"/>
        </w:rPr>
        <w:t xml:space="preserve"> </w:t>
      </w:r>
      <w:r w:rsidR="00033D0F">
        <w:rPr>
          <w:position w:val="1"/>
        </w:rPr>
        <w:t>question</w:t>
      </w:r>
      <w:r w:rsidR="00033D0F">
        <w:rPr>
          <w:spacing w:val="-4"/>
          <w:position w:val="1"/>
        </w:rPr>
        <w:t xml:space="preserve"> </w:t>
      </w:r>
      <w:r w:rsidR="00033D0F">
        <w:rPr>
          <w:position w:val="1"/>
        </w:rPr>
        <w:t>or whether</w:t>
      </w:r>
      <w:r w:rsidR="00033D0F">
        <w:rPr>
          <w:spacing w:val="-5"/>
          <w:position w:val="1"/>
        </w:rPr>
        <w:t xml:space="preserve"> </w:t>
      </w:r>
      <w:r w:rsidR="00033D0F">
        <w:rPr>
          <w:position w:val="1"/>
        </w:rPr>
        <w:t>the information</w:t>
      </w:r>
      <w:r w:rsidR="00033D0F">
        <w:rPr>
          <w:spacing w:val="-4"/>
          <w:position w:val="1"/>
        </w:rPr>
        <w:t xml:space="preserve"> </w:t>
      </w:r>
      <w:r w:rsidR="00033D0F">
        <w:rPr>
          <w:position w:val="1"/>
        </w:rPr>
        <w:t>at issue</w:t>
      </w:r>
      <w:r w:rsidR="00033D0F">
        <w:rPr>
          <w:spacing w:val="-2"/>
          <w:position w:val="1"/>
        </w:rPr>
        <w:t xml:space="preserve"> </w:t>
      </w:r>
      <w:r w:rsidR="00033D0F">
        <w:rPr>
          <w:position w:val="1"/>
        </w:rPr>
        <w:t>was</w:t>
      </w:r>
      <w:r w:rsidR="00033D0F">
        <w:rPr>
          <w:spacing w:val="-1"/>
          <w:position w:val="1"/>
        </w:rPr>
        <w:t xml:space="preserve"> </w:t>
      </w:r>
      <w:r w:rsidR="00033D0F">
        <w:rPr>
          <w:position w:val="1"/>
        </w:rPr>
        <w:t>"essential facts"</w:t>
      </w:r>
      <w:r w:rsidR="00033D0F">
        <w:rPr>
          <w:spacing w:val="-3"/>
          <w:position w:val="1"/>
        </w:rPr>
        <w:t xml:space="preserve"> </w:t>
      </w:r>
      <w:r w:rsidR="00033D0F">
        <w:rPr>
          <w:position w:val="1"/>
        </w:rPr>
        <w:t>within</w:t>
      </w:r>
      <w:r w:rsidR="00033D0F">
        <w:rPr>
          <w:spacing w:val="-4"/>
          <w:position w:val="1"/>
        </w:rPr>
        <w:t xml:space="preserve"> </w:t>
      </w:r>
      <w:r w:rsidR="00033D0F">
        <w:rPr>
          <w:position w:val="1"/>
        </w:rPr>
        <w:t xml:space="preserve">the </w:t>
      </w:r>
      <w:r w:rsidR="00033D0F">
        <w:t>meaning of Article 6.9, MOFCOM's estimate of total domestic output was central to its definition of the domestic industry under Article 4.1. This definition is a "keystone" of an investigation because it lays the foundation for the injury and causation analyses.</w:t>
      </w:r>
      <w:hyperlink w:anchor="_bookmark1559" w:history="1">
        <w:r w:rsidR="00033D0F">
          <w:rPr>
            <w:vertAlign w:val="superscript"/>
          </w:rPr>
          <w:t>1347</w:t>
        </w:r>
      </w:hyperlink>
      <w:r w:rsidR="00033D0F">
        <w:t xml:space="preserve"> Moreover,</w:t>
      </w:r>
      <w:r w:rsidR="00033D0F">
        <w:rPr>
          <w:spacing w:val="-3"/>
        </w:rPr>
        <w:t xml:space="preserve"> </w:t>
      </w:r>
      <w:r w:rsidR="00033D0F">
        <w:t>it</w:t>
      </w:r>
      <w:r w:rsidR="00033D0F">
        <w:rPr>
          <w:spacing w:val="-4"/>
        </w:rPr>
        <w:t xml:space="preserve"> </w:t>
      </w:r>
      <w:r w:rsidR="00033D0F">
        <w:t>was</w:t>
      </w:r>
      <w:r w:rsidR="00033D0F">
        <w:rPr>
          <w:spacing w:val="-3"/>
        </w:rPr>
        <w:t xml:space="preserve"> </w:t>
      </w:r>
      <w:r w:rsidR="00033D0F">
        <w:t>an</w:t>
      </w:r>
      <w:r w:rsidR="00033D0F">
        <w:rPr>
          <w:spacing w:val="-6"/>
        </w:rPr>
        <w:t xml:space="preserve"> </w:t>
      </w:r>
      <w:r w:rsidR="00033D0F">
        <w:t>essential</w:t>
      </w:r>
      <w:r w:rsidR="00033D0F">
        <w:rPr>
          <w:spacing w:val="-3"/>
        </w:rPr>
        <w:t xml:space="preserve"> </w:t>
      </w:r>
      <w:r w:rsidR="00033D0F">
        <w:t>element</w:t>
      </w:r>
      <w:r w:rsidR="00033D0F">
        <w:rPr>
          <w:spacing w:val="-4"/>
        </w:rPr>
        <w:t xml:space="preserve"> </w:t>
      </w:r>
      <w:r w:rsidR="00033D0F">
        <w:t>in</w:t>
      </w:r>
      <w:r w:rsidR="00033D0F">
        <w:rPr>
          <w:spacing w:val="-11"/>
        </w:rPr>
        <w:t xml:space="preserve"> </w:t>
      </w:r>
      <w:r w:rsidR="00033D0F">
        <w:t>MOFCOM's</w:t>
      </w:r>
      <w:r w:rsidR="00033D0F">
        <w:rPr>
          <w:spacing w:val="-3"/>
        </w:rPr>
        <w:t xml:space="preserve"> </w:t>
      </w:r>
      <w:r w:rsidR="00033D0F">
        <w:t>estimates</w:t>
      </w:r>
      <w:r w:rsidR="00033D0F">
        <w:rPr>
          <w:spacing w:val="-3"/>
        </w:rPr>
        <w:t xml:space="preserve"> </w:t>
      </w:r>
      <w:r w:rsidR="00033D0F">
        <w:t>of</w:t>
      </w:r>
      <w:r w:rsidR="00033D0F">
        <w:rPr>
          <w:spacing w:val="-6"/>
        </w:rPr>
        <w:t xml:space="preserve"> </w:t>
      </w:r>
      <w:r w:rsidR="00033D0F">
        <w:t>apparent</w:t>
      </w:r>
      <w:r w:rsidR="00033D0F">
        <w:rPr>
          <w:spacing w:val="-4"/>
        </w:rPr>
        <w:t xml:space="preserve"> </w:t>
      </w:r>
      <w:r w:rsidR="00033D0F">
        <w:t>consumption</w:t>
      </w:r>
      <w:r w:rsidR="00033D0F">
        <w:rPr>
          <w:spacing w:val="-6"/>
        </w:rPr>
        <w:t xml:space="preserve"> </w:t>
      </w:r>
      <w:r w:rsidR="00033D0F">
        <w:t>and the market shares of subject imports and domestic like products (relative to consumption).</w:t>
      </w:r>
    </w:p>
    <w:p w14:paraId="78118700" w14:textId="77777777" w:rsidR="00BD462C" w:rsidRDefault="00BD462C">
      <w:pPr>
        <w:pStyle w:val="BodyText"/>
        <w:spacing w:before="9"/>
        <w:rPr>
          <w:sz w:val="9"/>
        </w:rPr>
      </w:pPr>
    </w:p>
    <w:p w14:paraId="537505BB" w14:textId="1CBCDC14" w:rsidR="00BD462C" w:rsidRDefault="00C63D13">
      <w:pPr>
        <w:pStyle w:val="BodyText"/>
        <w:spacing w:before="56" w:line="357" w:lineRule="auto"/>
        <w:ind w:left="135" w:right="914"/>
        <w:jc w:val="both"/>
      </w:pPr>
      <w:r>
        <w:rPr>
          <w:noProof/>
        </w:rPr>
        <w:t>929.</w:t>
      </w:r>
      <w:r w:rsidR="00033D0F">
        <w:rPr>
          <w:rFonts w:ascii="Times New Roman"/>
          <w:spacing w:val="80"/>
          <w:position w:val="1"/>
          <w:sz w:val="20"/>
        </w:rPr>
        <w:t xml:space="preserve">  </w:t>
      </w:r>
      <w:r w:rsidR="00033D0F">
        <w:rPr>
          <w:position w:val="1"/>
        </w:rPr>
        <w:t>In</w:t>
      </w:r>
      <w:r w:rsidR="00033D0F">
        <w:rPr>
          <w:spacing w:val="-3"/>
          <w:position w:val="1"/>
        </w:rPr>
        <w:t xml:space="preserve"> </w:t>
      </w:r>
      <w:r w:rsidR="00033D0F">
        <w:rPr>
          <w:position w:val="1"/>
        </w:rPr>
        <w:t>its first</w:t>
      </w:r>
      <w:r w:rsidR="00033D0F">
        <w:rPr>
          <w:spacing w:val="-1"/>
          <w:position w:val="1"/>
        </w:rPr>
        <w:t xml:space="preserve"> </w:t>
      </w:r>
      <w:r w:rsidR="00033D0F">
        <w:rPr>
          <w:position w:val="1"/>
        </w:rPr>
        <w:t>written</w:t>
      </w:r>
      <w:r w:rsidR="00033D0F">
        <w:rPr>
          <w:spacing w:val="-3"/>
          <w:position w:val="1"/>
        </w:rPr>
        <w:t xml:space="preserve"> </w:t>
      </w:r>
      <w:r w:rsidR="00033D0F">
        <w:rPr>
          <w:position w:val="1"/>
        </w:rPr>
        <w:t>submission, China</w:t>
      </w:r>
      <w:r w:rsidR="00033D0F">
        <w:rPr>
          <w:spacing w:val="-2"/>
          <w:position w:val="1"/>
        </w:rPr>
        <w:t xml:space="preserve"> </w:t>
      </w:r>
      <w:r w:rsidR="00033D0F">
        <w:rPr>
          <w:position w:val="1"/>
        </w:rPr>
        <w:t>erroneously argues that</w:t>
      </w:r>
      <w:r w:rsidR="00033D0F">
        <w:rPr>
          <w:spacing w:val="-1"/>
          <w:position w:val="1"/>
        </w:rPr>
        <w:t xml:space="preserve"> </w:t>
      </w:r>
      <w:r w:rsidR="00033D0F">
        <w:rPr>
          <w:position w:val="1"/>
        </w:rPr>
        <w:t>Australia</w:t>
      </w:r>
      <w:r w:rsidR="00033D0F">
        <w:rPr>
          <w:spacing w:val="-2"/>
          <w:position w:val="1"/>
        </w:rPr>
        <w:t xml:space="preserve"> </w:t>
      </w:r>
      <w:r w:rsidR="00033D0F">
        <w:rPr>
          <w:position w:val="1"/>
        </w:rPr>
        <w:t>admitted</w:t>
      </w:r>
      <w:r w:rsidR="00033D0F">
        <w:rPr>
          <w:spacing w:val="-3"/>
          <w:position w:val="1"/>
        </w:rPr>
        <w:t xml:space="preserve"> </w:t>
      </w:r>
      <w:r w:rsidR="00033D0F">
        <w:rPr>
          <w:position w:val="1"/>
        </w:rPr>
        <w:t xml:space="preserve">that </w:t>
      </w:r>
      <w:r w:rsidR="00033D0F">
        <w:t>MOFCOM explained its calculation methodology for determining domestic output.</w:t>
      </w:r>
      <w:hyperlink w:anchor="_bookmark1560" w:history="1">
        <w:r w:rsidR="00033D0F">
          <w:rPr>
            <w:vertAlign w:val="superscript"/>
          </w:rPr>
          <w:t>1348</w:t>
        </w:r>
      </w:hyperlink>
      <w:r w:rsidR="00033D0F">
        <w:t xml:space="preserve"> The part of Australia's first written submission to which China refers reads as follows:</w:t>
      </w:r>
    </w:p>
    <w:p w14:paraId="4B69C527" w14:textId="77777777" w:rsidR="00BD462C" w:rsidRDefault="00033D0F">
      <w:pPr>
        <w:spacing w:before="164" w:line="276" w:lineRule="auto"/>
        <w:ind w:left="985" w:right="910"/>
        <w:jc w:val="both"/>
      </w:pPr>
      <w:r>
        <w:t>MOFCOM</w:t>
      </w:r>
      <w:r>
        <w:rPr>
          <w:spacing w:val="-11"/>
        </w:rPr>
        <w:t xml:space="preserve"> </w:t>
      </w:r>
      <w:r>
        <w:t>explained</w:t>
      </w:r>
      <w:r>
        <w:rPr>
          <w:spacing w:val="-10"/>
        </w:rPr>
        <w:t xml:space="preserve"> </w:t>
      </w:r>
      <w:r>
        <w:t>that</w:t>
      </w:r>
      <w:r>
        <w:rPr>
          <w:spacing w:val="-11"/>
        </w:rPr>
        <w:t xml:space="preserve"> </w:t>
      </w:r>
      <w:r>
        <w:t>its</w:t>
      </w:r>
      <w:r>
        <w:rPr>
          <w:spacing w:val="-9"/>
        </w:rPr>
        <w:t xml:space="preserve"> </w:t>
      </w:r>
      <w:r>
        <w:t>findings</w:t>
      </w:r>
      <w:r>
        <w:rPr>
          <w:spacing w:val="-9"/>
        </w:rPr>
        <w:t xml:space="preserve"> </w:t>
      </w:r>
      <w:r>
        <w:t>were</w:t>
      </w:r>
      <w:r>
        <w:rPr>
          <w:spacing w:val="-8"/>
        </w:rPr>
        <w:t xml:space="preserve"> </w:t>
      </w:r>
      <w:r>
        <w:t>not</w:t>
      </w:r>
      <w:r>
        <w:rPr>
          <w:spacing w:val="-11"/>
        </w:rPr>
        <w:t xml:space="preserve"> </w:t>
      </w:r>
      <w:r>
        <w:t>based</w:t>
      </w:r>
      <w:r>
        <w:rPr>
          <w:spacing w:val="-10"/>
        </w:rPr>
        <w:t xml:space="preserve"> </w:t>
      </w:r>
      <w:r>
        <w:t>on</w:t>
      </w:r>
      <w:r>
        <w:rPr>
          <w:spacing w:val="-10"/>
        </w:rPr>
        <w:t xml:space="preserve"> </w:t>
      </w:r>
      <w:r>
        <w:t>actually</w:t>
      </w:r>
      <w:r>
        <w:rPr>
          <w:spacing w:val="-8"/>
        </w:rPr>
        <w:t xml:space="preserve"> </w:t>
      </w:r>
      <w:r>
        <w:t>identifying</w:t>
      </w:r>
      <w:r>
        <w:rPr>
          <w:spacing w:val="-7"/>
        </w:rPr>
        <w:t xml:space="preserve"> </w:t>
      </w:r>
      <w:r>
        <w:t>the</w:t>
      </w:r>
      <w:r>
        <w:rPr>
          <w:spacing w:val="-8"/>
        </w:rPr>
        <w:t xml:space="preserve"> </w:t>
      </w:r>
      <w:r>
        <w:t>real</w:t>
      </w:r>
      <w:r>
        <w:rPr>
          <w:spacing w:val="-7"/>
        </w:rPr>
        <w:t xml:space="preserve"> </w:t>
      </w:r>
      <w:r>
        <w:t xml:space="preserve">domestic output, but rather by calculating "the overall output by the area of wine grapes, output per acre, wine yield, output and loss of finished wines made from imported wines, and the production proportion of different wines" based on statistics from "authoritative domestic </w:t>
      </w:r>
      <w:r>
        <w:rPr>
          <w:spacing w:val="-2"/>
        </w:rPr>
        <w:t>organisations".</w:t>
      </w:r>
      <w:hyperlink w:anchor="_bookmark1561" w:history="1">
        <w:r>
          <w:rPr>
            <w:spacing w:val="-2"/>
            <w:vertAlign w:val="superscript"/>
          </w:rPr>
          <w:t>1349</w:t>
        </w:r>
      </w:hyperlink>
    </w:p>
    <w:p w14:paraId="33BD4A6D" w14:textId="77777777" w:rsidR="00BD462C" w:rsidRDefault="00BD462C">
      <w:pPr>
        <w:pStyle w:val="BodyText"/>
        <w:rPr>
          <w:sz w:val="20"/>
        </w:rPr>
      </w:pPr>
    </w:p>
    <w:p w14:paraId="7FDD0897" w14:textId="77777777" w:rsidR="00BD462C" w:rsidRDefault="00BD462C">
      <w:pPr>
        <w:pStyle w:val="BodyText"/>
        <w:rPr>
          <w:sz w:val="20"/>
        </w:rPr>
      </w:pPr>
    </w:p>
    <w:p w14:paraId="5D9F969E" w14:textId="6D520883" w:rsidR="00BD462C" w:rsidRDefault="00D70C7D">
      <w:pPr>
        <w:pStyle w:val="BodyText"/>
        <w:spacing w:before="6"/>
        <w:rPr>
          <w:sz w:val="20"/>
        </w:rPr>
      </w:pPr>
      <w:r>
        <w:rPr>
          <w:noProof/>
        </w:rPr>
        <mc:AlternateContent>
          <mc:Choice Requires="wps">
            <w:drawing>
              <wp:anchor distT="0" distB="0" distL="0" distR="0" simplePos="0" relativeHeight="487874048" behindDoc="1" locked="0" layoutInCell="1" allowOverlap="1" wp14:anchorId="121D2D15" wp14:editId="2E2BBF1E">
                <wp:simplePos x="0" y="0"/>
                <wp:positionH relativeFrom="page">
                  <wp:posOffset>899160</wp:posOffset>
                </wp:positionH>
                <wp:positionV relativeFrom="paragraph">
                  <wp:posOffset>174625</wp:posOffset>
                </wp:positionV>
                <wp:extent cx="1828800" cy="8890"/>
                <wp:effectExtent l="0" t="0" r="0" b="0"/>
                <wp:wrapTopAndBottom/>
                <wp:docPr id="218" name="docshape6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6843C2" id="docshape616" o:spid="_x0000_s1026" alt="&quot;&quot;" style="position:absolute;margin-left:70.8pt;margin-top:13.75pt;width:2in;height:.7pt;z-index:-15442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" fillcolor="black" stroked="f">
                <w10:wrap type="topAndBottom" anchorx="page"/>
              </v:rect>
            </w:pict>
          </mc:Fallback>
        </mc:AlternateContent>
      </w:r>
    </w:p>
    <w:p w14:paraId="4E621EB6" w14:textId="77777777" w:rsidR="00BD462C" w:rsidRDefault="00033D0F">
      <w:pPr>
        <w:spacing w:before="107"/>
        <w:ind w:left="135"/>
        <w:rPr>
          <w:sz w:val="18"/>
        </w:rPr>
      </w:pPr>
      <w:bookmarkStart w:id="1808" w:name="_bookmark1557"/>
      <w:bookmarkEnd w:id="1808"/>
      <w:r>
        <w:rPr>
          <w:position w:val="5"/>
          <w:sz w:val="12"/>
        </w:rPr>
        <w:t>1345</w:t>
      </w:r>
      <w:r>
        <w:rPr>
          <w:spacing w:val="12"/>
          <w:position w:val="5"/>
          <w:sz w:val="12"/>
        </w:rPr>
        <w:t xml:space="preserve"> </w:t>
      </w:r>
      <w:r>
        <w:rPr>
          <w:sz w:val="18"/>
        </w:rPr>
        <w:t>Australia's</w:t>
      </w:r>
      <w:r>
        <w:rPr>
          <w:spacing w:val="-6"/>
          <w:sz w:val="18"/>
        </w:rPr>
        <w:t xml:space="preserve"> </w:t>
      </w:r>
      <w:r>
        <w:rPr>
          <w:sz w:val="18"/>
        </w:rPr>
        <w:t>first</w:t>
      </w:r>
      <w:r>
        <w:rPr>
          <w:spacing w:val="-5"/>
          <w:sz w:val="18"/>
        </w:rPr>
        <w:t xml:space="preserve"> </w:t>
      </w:r>
      <w:r>
        <w:rPr>
          <w:sz w:val="18"/>
        </w:rPr>
        <w:t>written</w:t>
      </w:r>
      <w:r>
        <w:rPr>
          <w:spacing w:val="-2"/>
          <w:sz w:val="18"/>
        </w:rPr>
        <w:t xml:space="preserve"> </w:t>
      </w:r>
      <w:r>
        <w:rPr>
          <w:sz w:val="18"/>
        </w:rPr>
        <w:t>submission, para.</w:t>
      </w:r>
      <w:r>
        <w:rPr>
          <w:spacing w:val="-5"/>
          <w:sz w:val="18"/>
        </w:rPr>
        <w:t xml:space="preserve"> </w:t>
      </w:r>
      <w:r>
        <w:rPr>
          <w:spacing w:val="-2"/>
          <w:sz w:val="18"/>
        </w:rPr>
        <w:t>1021.</w:t>
      </w:r>
    </w:p>
    <w:p w14:paraId="25411ADD" w14:textId="77777777" w:rsidR="00BD462C" w:rsidRDefault="00033D0F">
      <w:pPr>
        <w:spacing w:before="1"/>
        <w:ind w:left="135"/>
        <w:rPr>
          <w:sz w:val="18"/>
        </w:rPr>
      </w:pPr>
      <w:bookmarkStart w:id="1809" w:name="_bookmark1558"/>
      <w:bookmarkEnd w:id="1809"/>
      <w:r>
        <w:rPr>
          <w:position w:val="5"/>
          <w:sz w:val="12"/>
        </w:rPr>
        <w:t>1346</w:t>
      </w:r>
      <w:r>
        <w:rPr>
          <w:spacing w:val="16"/>
          <w:position w:val="5"/>
          <w:sz w:val="12"/>
        </w:rPr>
        <w:t xml:space="preserve"> </w:t>
      </w:r>
      <w:r>
        <w:rPr>
          <w:sz w:val="18"/>
        </w:rPr>
        <w:t>See</w:t>
      </w:r>
      <w:r>
        <w:rPr>
          <w:spacing w:val="-2"/>
          <w:sz w:val="18"/>
        </w:rPr>
        <w:t xml:space="preserve"> </w:t>
      </w:r>
      <w:r>
        <w:rPr>
          <w:sz w:val="18"/>
        </w:rPr>
        <w:t>section</w:t>
      </w:r>
      <w:r>
        <w:rPr>
          <w:spacing w:val="-4"/>
          <w:sz w:val="18"/>
        </w:rPr>
        <w:t xml:space="preserve"> </w:t>
      </w:r>
      <w:hyperlink w:anchor="_bookmark1194" w:history="1">
        <w:r>
          <w:rPr>
            <w:spacing w:val="-2"/>
            <w:sz w:val="18"/>
          </w:rPr>
          <w:t>VII.B.</w:t>
        </w:r>
      </w:hyperlink>
    </w:p>
    <w:p w14:paraId="4DB05598" w14:textId="77777777" w:rsidR="00BD462C" w:rsidRDefault="00033D0F">
      <w:pPr>
        <w:spacing w:before="1"/>
        <w:ind w:left="135"/>
        <w:rPr>
          <w:sz w:val="18"/>
        </w:rPr>
      </w:pPr>
      <w:bookmarkStart w:id="1810" w:name="_bookmark1559"/>
      <w:bookmarkEnd w:id="1810"/>
      <w:r>
        <w:rPr>
          <w:position w:val="5"/>
          <w:sz w:val="12"/>
        </w:rPr>
        <w:t>1347</w:t>
      </w:r>
      <w:r>
        <w:rPr>
          <w:spacing w:val="16"/>
          <w:position w:val="5"/>
          <w:sz w:val="12"/>
        </w:rPr>
        <w:t xml:space="preserve"> </w:t>
      </w:r>
      <w:r>
        <w:rPr>
          <w:sz w:val="18"/>
        </w:rPr>
        <w:t>Panel</w:t>
      </w:r>
      <w:r>
        <w:rPr>
          <w:spacing w:val="-1"/>
          <w:sz w:val="18"/>
        </w:rPr>
        <w:t xml:space="preserve"> </w:t>
      </w:r>
      <w:r>
        <w:rPr>
          <w:sz w:val="18"/>
        </w:rPr>
        <w:t>Report,</w:t>
      </w:r>
      <w:r>
        <w:rPr>
          <w:spacing w:val="-5"/>
          <w:sz w:val="18"/>
        </w:rPr>
        <w:t xml:space="preserve"> </w:t>
      </w:r>
      <w:r>
        <w:rPr>
          <w:i/>
          <w:sz w:val="18"/>
        </w:rPr>
        <w:t>EC</w:t>
      </w:r>
      <w:r>
        <w:rPr>
          <w:i/>
          <w:spacing w:val="-2"/>
          <w:sz w:val="18"/>
        </w:rPr>
        <w:t xml:space="preserve"> </w:t>
      </w:r>
      <w:r>
        <w:rPr>
          <w:i/>
          <w:sz w:val="18"/>
        </w:rPr>
        <w:t>–</w:t>
      </w:r>
      <w:r>
        <w:rPr>
          <w:i/>
          <w:spacing w:val="-2"/>
          <w:sz w:val="18"/>
        </w:rPr>
        <w:t xml:space="preserve"> </w:t>
      </w:r>
      <w:r>
        <w:rPr>
          <w:i/>
          <w:sz w:val="18"/>
        </w:rPr>
        <w:t>Tube</w:t>
      </w:r>
      <w:r>
        <w:rPr>
          <w:i/>
          <w:spacing w:val="-4"/>
          <w:sz w:val="18"/>
        </w:rPr>
        <w:t xml:space="preserve"> </w:t>
      </w:r>
      <w:r>
        <w:rPr>
          <w:i/>
          <w:sz w:val="18"/>
        </w:rPr>
        <w:t>or</w:t>
      </w:r>
      <w:r>
        <w:rPr>
          <w:i/>
          <w:spacing w:val="-3"/>
          <w:sz w:val="18"/>
        </w:rPr>
        <w:t xml:space="preserve"> </w:t>
      </w:r>
      <w:r>
        <w:rPr>
          <w:i/>
          <w:sz w:val="18"/>
        </w:rPr>
        <w:t>Pipe</w:t>
      </w:r>
      <w:r>
        <w:rPr>
          <w:i/>
          <w:spacing w:val="-3"/>
          <w:sz w:val="18"/>
        </w:rPr>
        <w:t xml:space="preserve"> </w:t>
      </w:r>
      <w:r>
        <w:rPr>
          <w:i/>
          <w:sz w:val="18"/>
        </w:rPr>
        <w:t>Fittings</w:t>
      </w:r>
      <w:r>
        <w:rPr>
          <w:sz w:val="18"/>
        </w:rPr>
        <w:t>, para.</w:t>
      </w:r>
      <w:r>
        <w:rPr>
          <w:spacing w:val="-1"/>
          <w:sz w:val="18"/>
        </w:rPr>
        <w:t xml:space="preserve"> </w:t>
      </w:r>
      <w:r>
        <w:rPr>
          <w:spacing w:val="-2"/>
          <w:sz w:val="18"/>
        </w:rPr>
        <w:t>7.397.</w:t>
      </w:r>
    </w:p>
    <w:p w14:paraId="00D082BC" w14:textId="77777777" w:rsidR="00BD462C" w:rsidRDefault="00033D0F">
      <w:pPr>
        <w:spacing w:before="1"/>
        <w:ind w:left="135"/>
        <w:rPr>
          <w:sz w:val="18"/>
        </w:rPr>
      </w:pPr>
      <w:bookmarkStart w:id="1811" w:name="_bookmark1560"/>
      <w:bookmarkEnd w:id="1811"/>
      <w:r>
        <w:rPr>
          <w:position w:val="5"/>
          <w:sz w:val="12"/>
        </w:rPr>
        <w:t>1348</w:t>
      </w:r>
      <w:r>
        <w:rPr>
          <w:spacing w:val="13"/>
          <w:position w:val="5"/>
          <w:sz w:val="12"/>
        </w:rPr>
        <w:t xml:space="preserve"> </w:t>
      </w:r>
      <w:r>
        <w:rPr>
          <w:sz w:val="18"/>
        </w:rPr>
        <w:t>China's</w:t>
      </w:r>
      <w:r>
        <w:rPr>
          <w:spacing w:val="-5"/>
          <w:sz w:val="18"/>
        </w:rPr>
        <w:t xml:space="preserve"> </w:t>
      </w:r>
      <w:r>
        <w:rPr>
          <w:sz w:val="18"/>
        </w:rPr>
        <w:t>first</w:t>
      </w:r>
      <w:r>
        <w:rPr>
          <w:spacing w:val="-4"/>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 xml:space="preserve">para. </w:t>
      </w:r>
      <w:r>
        <w:rPr>
          <w:spacing w:val="-2"/>
          <w:sz w:val="18"/>
        </w:rPr>
        <w:t>2535.</w:t>
      </w:r>
    </w:p>
    <w:p w14:paraId="5A3429F5" w14:textId="77777777" w:rsidR="00BD462C" w:rsidRDefault="00033D0F">
      <w:pPr>
        <w:spacing w:before="1"/>
        <w:ind w:left="135"/>
        <w:rPr>
          <w:sz w:val="18"/>
        </w:rPr>
      </w:pPr>
      <w:bookmarkStart w:id="1812" w:name="_bookmark1561"/>
      <w:bookmarkEnd w:id="1812"/>
      <w:r>
        <w:rPr>
          <w:position w:val="5"/>
          <w:sz w:val="12"/>
        </w:rPr>
        <w:t>1349</w:t>
      </w:r>
      <w:r>
        <w:rPr>
          <w:spacing w:val="12"/>
          <w:position w:val="5"/>
          <w:sz w:val="12"/>
        </w:rPr>
        <w:t xml:space="preserve"> </w:t>
      </w:r>
      <w:r>
        <w:rPr>
          <w:sz w:val="18"/>
        </w:rPr>
        <w:t>Australia's</w:t>
      </w:r>
      <w:r>
        <w:rPr>
          <w:spacing w:val="-6"/>
          <w:sz w:val="18"/>
        </w:rPr>
        <w:t xml:space="preserve"> </w:t>
      </w:r>
      <w:r>
        <w:rPr>
          <w:sz w:val="18"/>
        </w:rPr>
        <w:t>first</w:t>
      </w:r>
      <w:r>
        <w:rPr>
          <w:spacing w:val="-5"/>
          <w:sz w:val="18"/>
        </w:rPr>
        <w:t xml:space="preserve"> </w:t>
      </w:r>
      <w:r>
        <w:rPr>
          <w:sz w:val="18"/>
        </w:rPr>
        <w:t>written</w:t>
      </w:r>
      <w:r>
        <w:rPr>
          <w:spacing w:val="-2"/>
          <w:sz w:val="18"/>
        </w:rPr>
        <w:t xml:space="preserve"> </w:t>
      </w:r>
      <w:r>
        <w:rPr>
          <w:sz w:val="18"/>
        </w:rPr>
        <w:t>submission, para.</w:t>
      </w:r>
      <w:r>
        <w:rPr>
          <w:spacing w:val="-5"/>
          <w:sz w:val="18"/>
        </w:rPr>
        <w:t xml:space="preserve"> </w:t>
      </w:r>
      <w:r>
        <w:rPr>
          <w:spacing w:val="-2"/>
          <w:sz w:val="18"/>
        </w:rPr>
        <w:t>1021.</w:t>
      </w:r>
    </w:p>
    <w:p w14:paraId="1E3A76AC" w14:textId="77777777" w:rsidR="00BD462C" w:rsidRDefault="00BD462C">
      <w:pPr>
        <w:rPr>
          <w:sz w:val="18"/>
        </w:rPr>
        <w:sectPr w:rsidR="00BD462C">
          <w:pgSz w:w="11910" w:h="16840"/>
          <w:pgMar w:top="860" w:right="500" w:bottom="780" w:left="1280" w:header="566" w:footer="590" w:gutter="0"/>
          <w:cols w:space="720"/>
        </w:sectPr>
      </w:pPr>
    </w:p>
    <w:p w14:paraId="43E75B2F" w14:textId="77777777" w:rsidR="00BD462C" w:rsidRDefault="00033D0F">
      <w:pPr>
        <w:tabs>
          <w:tab w:val="left" w:pos="6087"/>
        </w:tabs>
        <w:spacing w:before="1"/>
        <w:ind w:left="135"/>
        <w:jc w:val="both"/>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1DA1E47B" w14:textId="77777777" w:rsidR="00BD462C" w:rsidRDefault="00033D0F">
      <w:pPr>
        <w:spacing w:before="1"/>
        <w:ind w:left="135"/>
        <w:jc w:val="both"/>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66C70452" w14:textId="77777777" w:rsidR="00BD462C" w:rsidRDefault="00033D0F">
      <w:pPr>
        <w:tabs>
          <w:tab w:val="left" w:pos="7652"/>
        </w:tabs>
        <w:ind w:left="135"/>
        <w:jc w:val="both"/>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7BFD9C1F" w14:textId="7D5371FE" w:rsidR="00BD462C" w:rsidRDefault="00C63D13">
      <w:pPr>
        <w:pStyle w:val="BodyText"/>
        <w:spacing w:before="107" w:line="360" w:lineRule="auto"/>
        <w:ind w:left="136" w:right="917"/>
        <w:jc w:val="both"/>
      </w:pPr>
      <w:r>
        <w:rPr>
          <w:noProof/>
        </w:rPr>
        <w:t>930.</w:t>
      </w:r>
      <w:r w:rsidR="00033D0F">
        <w:rPr>
          <w:rFonts w:ascii="Times New Roman"/>
          <w:spacing w:val="80"/>
          <w:w w:val="150"/>
          <w:position w:val="1"/>
          <w:sz w:val="20"/>
        </w:rPr>
        <w:t xml:space="preserve">  </w:t>
      </w:r>
      <w:r w:rsidR="00033D0F">
        <w:rPr>
          <w:position w:val="1"/>
        </w:rPr>
        <w:t>Contrary</w:t>
      </w:r>
      <w:r w:rsidR="00033D0F">
        <w:rPr>
          <w:spacing w:val="-1"/>
          <w:position w:val="1"/>
        </w:rPr>
        <w:t xml:space="preserve"> </w:t>
      </w:r>
      <w:r w:rsidR="00033D0F">
        <w:rPr>
          <w:position w:val="1"/>
        </w:rPr>
        <w:t>to China's</w:t>
      </w:r>
      <w:r w:rsidR="00033D0F">
        <w:rPr>
          <w:spacing w:val="-1"/>
          <w:position w:val="1"/>
        </w:rPr>
        <w:t xml:space="preserve"> </w:t>
      </w:r>
      <w:r w:rsidR="00033D0F">
        <w:rPr>
          <w:position w:val="1"/>
        </w:rPr>
        <w:t>assertion,</w:t>
      </w:r>
      <w:r w:rsidR="00033D0F">
        <w:rPr>
          <w:spacing w:val="-1"/>
          <w:position w:val="1"/>
        </w:rPr>
        <w:t xml:space="preserve"> </w:t>
      </w:r>
      <w:r w:rsidR="00033D0F">
        <w:rPr>
          <w:position w:val="1"/>
        </w:rPr>
        <w:t>the</w:t>
      </w:r>
      <w:r w:rsidR="00033D0F">
        <w:rPr>
          <w:spacing w:val="-3"/>
          <w:position w:val="1"/>
        </w:rPr>
        <w:t xml:space="preserve"> </w:t>
      </w:r>
      <w:r w:rsidR="00033D0F">
        <w:rPr>
          <w:position w:val="1"/>
        </w:rPr>
        <w:t>above</w:t>
      </w:r>
      <w:r w:rsidR="00033D0F">
        <w:rPr>
          <w:spacing w:val="-2"/>
          <w:position w:val="1"/>
        </w:rPr>
        <w:t xml:space="preserve"> </w:t>
      </w:r>
      <w:r w:rsidR="00033D0F">
        <w:rPr>
          <w:position w:val="1"/>
        </w:rPr>
        <w:t>passage</w:t>
      </w:r>
      <w:r w:rsidR="00033D0F">
        <w:rPr>
          <w:spacing w:val="-2"/>
          <w:position w:val="1"/>
        </w:rPr>
        <w:t xml:space="preserve"> </w:t>
      </w:r>
      <w:r w:rsidR="00033D0F">
        <w:rPr>
          <w:position w:val="1"/>
        </w:rPr>
        <w:t>was written</w:t>
      </w:r>
      <w:r w:rsidR="00033D0F">
        <w:rPr>
          <w:spacing w:val="-4"/>
          <w:position w:val="1"/>
        </w:rPr>
        <w:t xml:space="preserve"> </w:t>
      </w:r>
      <w:r w:rsidR="00033D0F">
        <w:rPr>
          <w:position w:val="1"/>
        </w:rPr>
        <w:t>by</w:t>
      </w:r>
      <w:r w:rsidR="00033D0F">
        <w:rPr>
          <w:spacing w:val="-1"/>
          <w:position w:val="1"/>
        </w:rPr>
        <w:t xml:space="preserve"> </w:t>
      </w:r>
      <w:r w:rsidR="00033D0F">
        <w:rPr>
          <w:position w:val="1"/>
        </w:rPr>
        <w:t>Australia</w:t>
      </w:r>
      <w:r w:rsidR="00033D0F">
        <w:rPr>
          <w:spacing w:val="-3"/>
          <w:position w:val="1"/>
        </w:rPr>
        <w:t xml:space="preserve"> </w:t>
      </w:r>
      <w:r w:rsidR="00033D0F">
        <w:rPr>
          <w:position w:val="1"/>
        </w:rPr>
        <w:t>to</w:t>
      </w:r>
      <w:r w:rsidR="00033D0F">
        <w:rPr>
          <w:spacing w:val="-5"/>
          <w:position w:val="1"/>
        </w:rPr>
        <w:t xml:space="preserve"> </w:t>
      </w:r>
      <w:r w:rsidR="00033D0F">
        <w:rPr>
          <w:position w:val="1"/>
        </w:rPr>
        <w:t xml:space="preserve">identify </w:t>
      </w:r>
      <w:r w:rsidR="00033D0F">
        <w:t>the insufficient nature of the disclosure. MOFCOM's explanation does not inform interested parties</w:t>
      </w:r>
      <w:r w:rsidR="00033D0F">
        <w:rPr>
          <w:spacing w:val="-3"/>
        </w:rPr>
        <w:t xml:space="preserve"> </w:t>
      </w:r>
      <w:r w:rsidR="00033D0F">
        <w:t>about</w:t>
      </w:r>
      <w:r w:rsidR="00033D0F">
        <w:rPr>
          <w:spacing w:val="-4"/>
        </w:rPr>
        <w:t xml:space="preserve"> </w:t>
      </w:r>
      <w:r w:rsidR="00033D0F">
        <w:t>the</w:t>
      </w:r>
      <w:r w:rsidR="00033D0F">
        <w:rPr>
          <w:spacing w:val="-5"/>
        </w:rPr>
        <w:t xml:space="preserve"> </w:t>
      </w:r>
      <w:r w:rsidR="00033D0F">
        <w:t>weightings</w:t>
      </w:r>
      <w:r w:rsidR="00033D0F">
        <w:rPr>
          <w:spacing w:val="-8"/>
        </w:rPr>
        <w:t xml:space="preserve"> </w:t>
      </w:r>
      <w:r w:rsidR="00033D0F">
        <w:t>of</w:t>
      </w:r>
      <w:r w:rsidR="00033D0F">
        <w:rPr>
          <w:spacing w:val="-6"/>
        </w:rPr>
        <w:t xml:space="preserve"> </w:t>
      </w:r>
      <w:r w:rsidR="00033D0F">
        <w:t>any</w:t>
      </w:r>
      <w:r w:rsidR="00033D0F">
        <w:rPr>
          <w:spacing w:val="-3"/>
        </w:rPr>
        <w:t xml:space="preserve"> </w:t>
      </w:r>
      <w:r w:rsidR="00033D0F">
        <w:t>of</w:t>
      </w:r>
      <w:r w:rsidR="00033D0F">
        <w:rPr>
          <w:spacing w:val="-6"/>
        </w:rPr>
        <w:t xml:space="preserve"> </w:t>
      </w:r>
      <w:r w:rsidR="00033D0F">
        <w:t>the</w:t>
      </w:r>
      <w:r w:rsidR="00033D0F">
        <w:rPr>
          <w:spacing w:val="-5"/>
        </w:rPr>
        <w:t xml:space="preserve"> </w:t>
      </w:r>
      <w:r w:rsidR="00033D0F">
        <w:t>factors,</w:t>
      </w:r>
      <w:r w:rsidR="00033D0F">
        <w:rPr>
          <w:spacing w:val="-7"/>
        </w:rPr>
        <w:t xml:space="preserve"> </w:t>
      </w:r>
      <w:r w:rsidR="00033D0F">
        <w:t>how</w:t>
      </w:r>
      <w:r w:rsidR="00033D0F">
        <w:rPr>
          <w:spacing w:val="-4"/>
        </w:rPr>
        <w:t xml:space="preserve"> </w:t>
      </w:r>
      <w:r w:rsidR="00033D0F">
        <w:t>the</w:t>
      </w:r>
      <w:r w:rsidR="00033D0F">
        <w:rPr>
          <w:spacing w:val="-5"/>
        </w:rPr>
        <w:t xml:space="preserve"> </w:t>
      </w:r>
      <w:r w:rsidR="00033D0F">
        <w:t>factors</w:t>
      </w:r>
      <w:r w:rsidR="00033D0F">
        <w:rPr>
          <w:spacing w:val="-3"/>
        </w:rPr>
        <w:t xml:space="preserve"> </w:t>
      </w:r>
      <w:r w:rsidR="00033D0F">
        <w:t>were</w:t>
      </w:r>
      <w:r w:rsidR="00033D0F">
        <w:rPr>
          <w:spacing w:val="-4"/>
        </w:rPr>
        <w:t xml:space="preserve"> </w:t>
      </w:r>
      <w:r w:rsidR="00033D0F">
        <w:t>calculated</w:t>
      </w:r>
      <w:r w:rsidR="00033D0F">
        <w:rPr>
          <w:spacing w:val="-11"/>
        </w:rPr>
        <w:t xml:space="preserve"> </w:t>
      </w:r>
      <w:r w:rsidR="00033D0F">
        <w:t>in</w:t>
      </w:r>
      <w:r w:rsidR="00033D0F">
        <w:rPr>
          <w:spacing w:val="-6"/>
        </w:rPr>
        <w:t xml:space="preserve"> </w:t>
      </w:r>
      <w:r w:rsidR="00033D0F">
        <w:t>relation to</w:t>
      </w:r>
      <w:r w:rsidR="00033D0F">
        <w:rPr>
          <w:spacing w:val="-10"/>
        </w:rPr>
        <w:t xml:space="preserve"> </w:t>
      </w:r>
      <w:r w:rsidR="00033D0F">
        <w:t>each</w:t>
      </w:r>
      <w:r w:rsidR="00033D0F">
        <w:rPr>
          <w:spacing w:val="-9"/>
        </w:rPr>
        <w:t xml:space="preserve"> </w:t>
      </w:r>
      <w:r w:rsidR="00033D0F">
        <w:t>other,</w:t>
      </w:r>
      <w:r w:rsidR="00033D0F">
        <w:rPr>
          <w:spacing w:val="-5"/>
        </w:rPr>
        <w:t xml:space="preserve"> </w:t>
      </w:r>
      <w:r w:rsidR="00033D0F">
        <w:t>or</w:t>
      </w:r>
      <w:r w:rsidR="00033D0F">
        <w:rPr>
          <w:spacing w:val="-5"/>
        </w:rPr>
        <w:t xml:space="preserve"> </w:t>
      </w:r>
      <w:r w:rsidR="00033D0F">
        <w:t>any</w:t>
      </w:r>
      <w:r w:rsidR="00033D0F">
        <w:rPr>
          <w:spacing w:val="-6"/>
        </w:rPr>
        <w:t xml:space="preserve"> </w:t>
      </w:r>
      <w:r w:rsidR="00033D0F">
        <w:t>other</w:t>
      </w:r>
      <w:r w:rsidR="00033D0F">
        <w:rPr>
          <w:spacing w:val="-10"/>
        </w:rPr>
        <w:t xml:space="preserve"> </w:t>
      </w:r>
      <w:r w:rsidR="00033D0F">
        <w:t>necessary</w:t>
      </w:r>
      <w:r w:rsidR="00033D0F">
        <w:rPr>
          <w:spacing w:val="-6"/>
        </w:rPr>
        <w:t xml:space="preserve"> </w:t>
      </w:r>
      <w:r w:rsidR="00033D0F">
        <w:t>information</w:t>
      </w:r>
      <w:r w:rsidR="00033D0F">
        <w:rPr>
          <w:spacing w:val="-4"/>
        </w:rPr>
        <w:t xml:space="preserve"> </w:t>
      </w:r>
      <w:r w:rsidR="00033D0F">
        <w:t>that</w:t>
      </w:r>
      <w:r w:rsidR="00033D0F">
        <w:rPr>
          <w:spacing w:val="-7"/>
        </w:rPr>
        <w:t xml:space="preserve"> </w:t>
      </w:r>
      <w:r w:rsidR="00033D0F">
        <w:t>would</w:t>
      </w:r>
      <w:r w:rsidR="00033D0F">
        <w:rPr>
          <w:spacing w:val="-9"/>
        </w:rPr>
        <w:t xml:space="preserve"> </w:t>
      </w:r>
      <w:r w:rsidR="00033D0F">
        <w:t>be</w:t>
      </w:r>
      <w:r w:rsidR="00033D0F">
        <w:rPr>
          <w:spacing w:val="-7"/>
        </w:rPr>
        <w:t xml:space="preserve"> </w:t>
      </w:r>
      <w:r w:rsidR="00033D0F">
        <w:t>needed</w:t>
      </w:r>
      <w:r w:rsidR="00033D0F">
        <w:rPr>
          <w:spacing w:val="-4"/>
        </w:rPr>
        <w:t xml:space="preserve"> </w:t>
      </w:r>
      <w:r w:rsidR="00033D0F">
        <w:t>for</w:t>
      </w:r>
      <w:r w:rsidR="00033D0F">
        <w:rPr>
          <w:spacing w:val="-10"/>
        </w:rPr>
        <w:t xml:space="preserve"> </w:t>
      </w:r>
      <w:r w:rsidR="00033D0F">
        <w:t>such</w:t>
      </w:r>
      <w:r w:rsidR="00033D0F">
        <w:rPr>
          <w:spacing w:val="-4"/>
        </w:rPr>
        <w:t xml:space="preserve"> </w:t>
      </w:r>
      <w:r w:rsidR="00033D0F">
        <w:t>a</w:t>
      </w:r>
      <w:r w:rsidR="00033D0F">
        <w:rPr>
          <w:spacing w:val="-8"/>
        </w:rPr>
        <w:t xml:space="preserve"> </w:t>
      </w:r>
      <w:r w:rsidR="00033D0F">
        <w:t>statement to be considered a "methodology".</w:t>
      </w:r>
    </w:p>
    <w:p w14:paraId="4B5B4566" w14:textId="77777777" w:rsidR="00BD462C" w:rsidRDefault="00BD462C">
      <w:pPr>
        <w:pStyle w:val="BodyText"/>
        <w:spacing w:before="6"/>
        <w:rPr>
          <w:sz w:val="8"/>
        </w:rPr>
      </w:pPr>
    </w:p>
    <w:p w14:paraId="078248E1" w14:textId="6B72E1AC" w:rsidR="00BD462C" w:rsidRDefault="00C63D13">
      <w:pPr>
        <w:pStyle w:val="BodyText"/>
        <w:spacing w:before="56" w:line="360" w:lineRule="auto"/>
        <w:ind w:left="135" w:right="911"/>
        <w:jc w:val="both"/>
      </w:pPr>
      <w:r>
        <w:rPr>
          <w:noProof/>
        </w:rPr>
        <w:t>931.</w:t>
      </w:r>
      <w:r w:rsidR="00033D0F">
        <w:rPr>
          <w:rFonts w:ascii="Times New Roman"/>
          <w:spacing w:val="40"/>
          <w:position w:val="1"/>
          <w:sz w:val="20"/>
        </w:rPr>
        <w:t xml:space="preserve">  </w:t>
      </w:r>
      <w:r w:rsidR="00033D0F">
        <w:rPr>
          <w:position w:val="1"/>
        </w:rPr>
        <w:t xml:space="preserve">China goes on to refer to a remark made by the Australian Government in its </w:t>
      </w:r>
      <w:r w:rsidR="00033D0F">
        <w:t>Comments on the Final Disclosure that MOFCOM "was unable to distinguish the production volume of the product under investigation from other products such as sparkling wine and liqueurs".</w:t>
      </w:r>
      <w:hyperlink w:anchor="_bookmark1562" w:history="1">
        <w:r w:rsidR="00033D0F">
          <w:rPr>
            <w:vertAlign w:val="superscript"/>
          </w:rPr>
          <w:t>1350</w:t>
        </w:r>
      </w:hyperlink>
      <w:r w:rsidR="00033D0F">
        <w:t xml:space="preserve"> China argues that this comment is evidence that MOFCOM satisfied the requirements of Article 6.9. As explained above, the mere fact that interested parties made comments on the Final Disclosure does not mean that the requirements of the provision are met.</w:t>
      </w:r>
      <w:hyperlink w:anchor="_bookmark1563" w:history="1">
        <w:r w:rsidR="00033D0F">
          <w:rPr>
            <w:vertAlign w:val="superscript"/>
          </w:rPr>
          <w:t>1351</w:t>
        </w:r>
      </w:hyperlink>
      <w:r w:rsidR="00033D0F">
        <w:t xml:space="preserve"> Australia could not comment on the calculation methodology used to determine output from the industry using the statistics, as that methodology and the underlying statistical data were essential facts that were not disclosed. As such, interested parties were prevented</w:t>
      </w:r>
      <w:r w:rsidR="00033D0F">
        <w:rPr>
          <w:spacing w:val="-4"/>
        </w:rPr>
        <w:t xml:space="preserve"> </w:t>
      </w:r>
      <w:r w:rsidR="00033D0F">
        <w:t>from</w:t>
      </w:r>
      <w:r w:rsidR="00033D0F">
        <w:rPr>
          <w:spacing w:val="-3"/>
        </w:rPr>
        <w:t xml:space="preserve"> </w:t>
      </w:r>
      <w:r w:rsidR="00033D0F">
        <w:t>commenting</w:t>
      </w:r>
      <w:r w:rsidR="00033D0F">
        <w:rPr>
          <w:spacing w:val="-1"/>
        </w:rPr>
        <w:t xml:space="preserve"> </w:t>
      </w:r>
      <w:r w:rsidR="00033D0F">
        <w:t>on the</w:t>
      </w:r>
      <w:r w:rsidR="00033D0F">
        <w:rPr>
          <w:spacing w:val="-3"/>
        </w:rPr>
        <w:t xml:space="preserve"> </w:t>
      </w:r>
      <w:r w:rsidR="00033D0F">
        <w:t>completeness</w:t>
      </w:r>
      <w:r w:rsidR="00033D0F">
        <w:rPr>
          <w:spacing w:val="-1"/>
        </w:rPr>
        <w:t xml:space="preserve"> </w:t>
      </w:r>
      <w:r w:rsidR="00033D0F">
        <w:t>and</w:t>
      </w:r>
      <w:r w:rsidR="00033D0F">
        <w:rPr>
          <w:spacing w:val="-4"/>
        </w:rPr>
        <w:t xml:space="preserve"> </w:t>
      </w:r>
      <w:r w:rsidR="00033D0F">
        <w:t>correctness</w:t>
      </w:r>
      <w:r w:rsidR="00033D0F">
        <w:rPr>
          <w:spacing w:val="-1"/>
        </w:rPr>
        <w:t xml:space="preserve"> </w:t>
      </w:r>
      <w:r w:rsidR="00033D0F">
        <w:t>of</w:t>
      </w:r>
      <w:r w:rsidR="00033D0F">
        <w:rPr>
          <w:spacing w:val="-4"/>
        </w:rPr>
        <w:t xml:space="preserve"> </w:t>
      </w:r>
      <w:r w:rsidR="00033D0F">
        <w:t>MOFCOM's</w:t>
      </w:r>
      <w:r w:rsidR="00033D0F">
        <w:rPr>
          <w:spacing w:val="-1"/>
        </w:rPr>
        <w:t xml:space="preserve"> </w:t>
      </w:r>
      <w:r w:rsidR="00033D0F">
        <w:t>calculation of</w:t>
      </w:r>
      <w:r w:rsidR="00033D0F">
        <w:rPr>
          <w:spacing w:val="-14"/>
        </w:rPr>
        <w:t xml:space="preserve"> </w:t>
      </w:r>
      <w:r w:rsidR="00033D0F">
        <w:t>the</w:t>
      </w:r>
      <w:r w:rsidR="00033D0F">
        <w:rPr>
          <w:spacing w:val="-7"/>
        </w:rPr>
        <w:t xml:space="preserve"> </w:t>
      </w:r>
      <w:r w:rsidR="00033D0F">
        <w:t>output</w:t>
      </w:r>
      <w:r w:rsidR="00033D0F">
        <w:rPr>
          <w:spacing w:val="-7"/>
        </w:rPr>
        <w:t xml:space="preserve"> </w:t>
      </w:r>
      <w:r w:rsidR="00033D0F">
        <w:t>of</w:t>
      </w:r>
      <w:r w:rsidR="00033D0F">
        <w:rPr>
          <w:spacing w:val="-9"/>
        </w:rPr>
        <w:t xml:space="preserve"> </w:t>
      </w:r>
      <w:r w:rsidR="00033D0F">
        <w:t>domestic</w:t>
      </w:r>
      <w:r w:rsidR="00033D0F">
        <w:rPr>
          <w:spacing w:val="-13"/>
        </w:rPr>
        <w:t xml:space="preserve"> </w:t>
      </w:r>
      <w:r w:rsidR="00033D0F">
        <w:t>industry</w:t>
      </w:r>
      <w:r w:rsidR="00033D0F">
        <w:rPr>
          <w:spacing w:val="-11"/>
        </w:rPr>
        <w:t xml:space="preserve"> </w:t>
      </w:r>
      <w:r w:rsidR="00033D0F">
        <w:t>and</w:t>
      </w:r>
      <w:r w:rsidR="00033D0F">
        <w:rPr>
          <w:spacing w:val="-9"/>
        </w:rPr>
        <w:t xml:space="preserve"> </w:t>
      </w:r>
      <w:r w:rsidR="00033D0F">
        <w:t>the</w:t>
      </w:r>
      <w:r w:rsidR="00033D0F">
        <w:rPr>
          <w:spacing w:val="-12"/>
        </w:rPr>
        <w:t xml:space="preserve"> </w:t>
      </w:r>
      <w:r w:rsidR="00033D0F">
        <w:t>proportion</w:t>
      </w:r>
      <w:r w:rsidR="00033D0F">
        <w:rPr>
          <w:spacing w:val="-13"/>
        </w:rPr>
        <w:t xml:space="preserve"> </w:t>
      </w:r>
      <w:r w:rsidR="00033D0F">
        <w:t>of</w:t>
      </w:r>
      <w:r w:rsidR="00033D0F">
        <w:rPr>
          <w:spacing w:val="-9"/>
        </w:rPr>
        <w:t xml:space="preserve"> </w:t>
      </w:r>
      <w:r w:rsidR="00033D0F">
        <w:t>that</w:t>
      </w:r>
      <w:r w:rsidR="00033D0F">
        <w:rPr>
          <w:spacing w:val="-11"/>
        </w:rPr>
        <w:t xml:space="preserve"> </w:t>
      </w:r>
      <w:r w:rsidR="00033D0F">
        <w:t>production</w:t>
      </w:r>
      <w:r w:rsidR="00033D0F">
        <w:rPr>
          <w:spacing w:val="-14"/>
        </w:rPr>
        <w:t xml:space="preserve"> </w:t>
      </w:r>
      <w:r w:rsidR="00033D0F">
        <w:t>accounted</w:t>
      </w:r>
      <w:r w:rsidR="00033D0F">
        <w:rPr>
          <w:spacing w:val="-9"/>
        </w:rPr>
        <w:t xml:space="preserve"> </w:t>
      </w:r>
      <w:r w:rsidR="00033D0F">
        <w:t>for</w:t>
      </w:r>
      <w:r w:rsidR="00033D0F">
        <w:rPr>
          <w:spacing w:val="-14"/>
        </w:rPr>
        <w:t xml:space="preserve"> </w:t>
      </w:r>
      <w:r w:rsidR="00033D0F">
        <w:t>by</w:t>
      </w:r>
      <w:r w:rsidR="00033D0F">
        <w:rPr>
          <w:spacing w:val="-11"/>
        </w:rPr>
        <w:t xml:space="preserve"> </w:t>
      </w:r>
      <w:r w:rsidR="00033D0F">
        <w:t>the participating Chinese producers.</w:t>
      </w:r>
    </w:p>
    <w:p w14:paraId="2C3285A7" w14:textId="77777777" w:rsidR="00BD462C" w:rsidRDefault="00033D0F">
      <w:pPr>
        <w:pStyle w:val="ListParagraph"/>
        <w:numPr>
          <w:ilvl w:val="1"/>
          <w:numId w:val="15"/>
        </w:numPr>
        <w:tabs>
          <w:tab w:val="left" w:pos="3539"/>
          <w:tab w:val="left" w:pos="3540"/>
        </w:tabs>
        <w:spacing w:before="155" w:line="357" w:lineRule="auto"/>
        <w:ind w:right="914"/>
        <w:jc w:val="both"/>
        <w:rPr>
          <w:sz w:val="24"/>
        </w:rPr>
      </w:pPr>
      <w:r>
        <w:rPr>
          <w:sz w:val="24"/>
          <w:u w:val="single"/>
        </w:rPr>
        <w:t>MOFCOM's recourse to "facts available" to determine</w:t>
      </w:r>
      <w:r>
        <w:rPr>
          <w:sz w:val="24"/>
        </w:rPr>
        <w:t xml:space="preserve"> </w:t>
      </w:r>
      <w:r>
        <w:rPr>
          <w:sz w:val="24"/>
          <w:u w:val="single"/>
        </w:rPr>
        <w:t>normal value and selection of the facts available</w:t>
      </w:r>
    </w:p>
    <w:p w14:paraId="293E2E10" w14:textId="77777777" w:rsidR="00BD462C" w:rsidRDefault="00BD462C">
      <w:pPr>
        <w:pStyle w:val="BodyText"/>
        <w:spacing w:before="3"/>
        <w:rPr>
          <w:sz w:val="9"/>
        </w:rPr>
      </w:pPr>
    </w:p>
    <w:p w14:paraId="5179DFD9" w14:textId="039F75F9" w:rsidR="00BD462C" w:rsidRDefault="00C63D13">
      <w:pPr>
        <w:pStyle w:val="BodyText"/>
        <w:spacing w:before="56" w:line="357" w:lineRule="auto"/>
        <w:ind w:left="135" w:right="916"/>
        <w:jc w:val="both"/>
      </w:pPr>
      <w:r>
        <w:rPr>
          <w:noProof/>
        </w:rPr>
        <w:t>932.</w:t>
      </w:r>
      <w:r w:rsidR="00033D0F">
        <w:rPr>
          <w:rFonts w:ascii="Times New Roman"/>
          <w:spacing w:val="80"/>
          <w:position w:val="1"/>
          <w:sz w:val="20"/>
        </w:rPr>
        <w:t xml:space="preserve">  </w:t>
      </w:r>
      <w:r w:rsidR="00033D0F">
        <w:rPr>
          <w:position w:val="1"/>
        </w:rPr>
        <w:t>Australia</w:t>
      </w:r>
      <w:r w:rsidR="00033D0F">
        <w:rPr>
          <w:spacing w:val="-8"/>
          <w:position w:val="1"/>
        </w:rPr>
        <w:t xml:space="preserve"> </w:t>
      </w:r>
      <w:r w:rsidR="00033D0F">
        <w:rPr>
          <w:position w:val="1"/>
        </w:rPr>
        <w:t>has</w:t>
      </w:r>
      <w:r w:rsidR="00033D0F">
        <w:rPr>
          <w:spacing w:val="-6"/>
          <w:position w:val="1"/>
        </w:rPr>
        <w:t xml:space="preserve"> </w:t>
      </w:r>
      <w:r w:rsidR="00033D0F">
        <w:rPr>
          <w:position w:val="1"/>
        </w:rPr>
        <w:t>established</w:t>
      </w:r>
      <w:r w:rsidR="00033D0F">
        <w:rPr>
          <w:spacing w:val="-9"/>
          <w:position w:val="1"/>
        </w:rPr>
        <w:t xml:space="preserve"> </w:t>
      </w:r>
      <w:r w:rsidR="00033D0F">
        <w:rPr>
          <w:position w:val="1"/>
        </w:rPr>
        <w:t>that,</w:t>
      </w:r>
      <w:r w:rsidR="00033D0F">
        <w:rPr>
          <w:spacing w:val="-5"/>
          <w:position w:val="1"/>
        </w:rPr>
        <w:t xml:space="preserve"> </w:t>
      </w:r>
      <w:r w:rsidR="00033D0F">
        <w:rPr>
          <w:position w:val="1"/>
        </w:rPr>
        <w:t>in</w:t>
      </w:r>
      <w:r w:rsidR="00033D0F">
        <w:rPr>
          <w:spacing w:val="-9"/>
          <w:position w:val="1"/>
        </w:rPr>
        <w:t xml:space="preserve"> </w:t>
      </w:r>
      <w:r w:rsidR="00033D0F">
        <w:rPr>
          <w:position w:val="1"/>
        </w:rPr>
        <w:t>relation</w:t>
      </w:r>
      <w:r w:rsidR="00033D0F">
        <w:rPr>
          <w:spacing w:val="-9"/>
          <w:position w:val="1"/>
        </w:rPr>
        <w:t xml:space="preserve"> </w:t>
      </w:r>
      <w:r w:rsidR="00033D0F">
        <w:rPr>
          <w:position w:val="1"/>
        </w:rPr>
        <w:t>to</w:t>
      </w:r>
      <w:r w:rsidR="00033D0F">
        <w:rPr>
          <w:spacing w:val="-10"/>
          <w:position w:val="1"/>
        </w:rPr>
        <w:t xml:space="preserve"> </w:t>
      </w:r>
      <w:r w:rsidR="00033D0F">
        <w:rPr>
          <w:position w:val="1"/>
        </w:rPr>
        <w:t>the</w:t>
      </w:r>
      <w:r w:rsidR="00033D0F">
        <w:rPr>
          <w:spacing w:val="-7"/>
          <w:position w:val="1"/>
        </w:rPr>
        <w:t xml:space="preserve"> </w:t>
      </w:r>
      <w:r w:rsidR="00033D0F">
        <w:rPr>
          <w:position w:val="1"/>
        </w:rPr>
        <w:t>three</w:t>
      </w:r>
      <w:r w:rsidR="00033D0F">
        <w:rPr>
          <w:spacing w:val="-7"/>
          <w:position w:val="1"/>
        </w:rPr>
        <w:t xml:space="preserve"> </w:t>
      </w:r>
      <w:r w:rsidR="00033D0F">
        <w:rPr>
          <w:position w:val="1"/>
        </w:rPr>
        <w:t>sampled</w:t>
      </w:r>
      <w:r w:rsidR="00033D0F">
        <w:rPr>
          <w:spacing w:val="-9"/>
          <w:position w:val="1"/>
        </w:rPr>
        <w:t xml:space="preserve"> </w:t>
      </w:r>
      <w:r w:rsidR="00033D0F">
        <w:rPr>
          <w:position w:val="1"/>
        </w:rPr>
        <w:t>companies,</w:t>
      </w:r>
      <w:r w:rsidR="00033D0F">
        <w:rPr>
          <w:spacing w:val="-5"/>
          <w:position w:val="1"/>
        </w:rPr>
        <w:t xml:space="preserve"> </w:t>
      </w:r>
      <w:r w:rsidR="00033D0F">
        <w:rPr>
          <w:position w:val="1"/>
        </w:rPr>
        <w:t xml:space="preserve">MOFCOM </w:t>
      </w:r>
      <w:r w:rsidR="00033D0F">
        <w:t>failed to disclose essential facts related to its recourse to facts available and the selection of replacement facts as the best information available.</w:t>
      </w:r>
      <w:hyperlink w:anchor="_bookmark1564" w:history="1">
        <w:r w:rsidR="00033D0F">
          <w:rPr>
            <w:vertAlign w:val="superscript"/>
          </w:rPr>
          <w:t>1352</w:t>
        </w:r>
      </w:hyperlink>
    </w:p>
    <w:p w14:paraId="4B8D5EF9" w14:textId="77777777" w:rsidR="00BD462C" w:rsidRDefault="00033D0F">
      <w:pPr>
        <w:pStyle w:val="ListParagraph"/>
        <w:numPr>
          <w:ilvl w:val="2"/>
          <w:numId w:val="15"/>
        </w:numPr>
        <w:tabs>
          <w:tab w:val="left" w:pos="4388"/>
          <w:tab w:val="left" w:pos="4389"/>
        </w:tabs>
        <w:spacing w:before="164"/>
        <w:jc w:val="both"/>
        <w:rPr>
          <w:i/>
          <w:sz w:val="24"/>
        </w:rPr>
      </w:pPr>
      <w:r>
        <w:rPr>
          <w:i/>
          <w:sz w:val="24"/>
        </w:rPr>
        <w:t>Treasury</w:t>
      </w:r>
      <w:r>
        <w:rPr>
          <w:i/>
          <w:spacing w:val="-11"/>
          <w:sz w:val="24"/>
        </w:rPr>
        <w:t xml:space="preserve"> </w:t>
      </w:r>
      <w:r>
        <w:rPr>
          <w:i/>
          <w:spacing w:val="-4"/>
          <w:sz w:val="24"/>
        </w:rPr>
        <w:t>Wines</w:t>
      </w:r>
    </w:p>
    <w:p w14:paraId="098159D1" w14:textId="77777777" w:rsidR="00BD462C" w:rsidRDefault="00BD462C">
      <w:pPr>
        <w:pStyle w:val="BodyText"/>
        <w:spacing w:before="11"/>
        <w:rPr>
          <w:i/>
          <w:sz w:val="20"/>
        </w:rPr>
      </w:pPr>
    </w:p>
    <w:p w14:paraId="425F54DB" w14:textId="27942F2F" w:rsidR="00BD462C" w:rsidRDefault="00C63D13">
      <w:pPr>
        <w:pStyle w:val="BodyText"/>
        <w:spacing w:before="56" w:line="357" w:lineRule="auto"/>
        <w:ind w:left="135" w:right="917"/>
        <w:jc w:val="both"/>
      </w:pPr>
      <w:r>
        <w:rPr>
          <w:noProof/>
        </w:rPr>
        <w:t>933.</w:t>
      </w:r>
      <w:r w:rsidR="00033D0F">
        <w:rPr>
          <w:rFonts w:ascii="Times New Roman"/>
          <w:spacing w:val="80"/>
          <w:position w:val="1"/>
          <w:sz w:val="20"/>
        </w:rPr>
        <w:t xml:space="preserve">  </w:t>
      </w:r>
      <w:r w:rsidR="00033D0F">
        <w:rPr>
          <w:position w:val="1"/>
        </w:rPr>
        <w:t xml:space="preserve">For Treasury Wines, the Final Disclosure did not disclose what costs and expenses </w:t>
      </w:r>
      <w:r w:rsidR="00033D0F">
        <w:t>were accepted, and what information was relied upon when having recourse to facts available.</w:t>
      </w:r>
      <w:r w:rsidR="00033D0F">
        <w:rPr>
          <w:spacing w:val="-14"/>
        </w:rPr>
        <w:t xml:space="preserve"> </w:t>
      </w:r>
      <w:r w:rsidR="00033D0F">
        <w:t>China</w:t>
      </w:r>
      <w:r w:rsidR="00033D0F">
        <w:rPr>
          <w:spacing w:val="-9"/>
        </w:rPr>
        <w:t xml:space="preserve"> </w:t>
      </w:r>
      <w:r w:rsidR="00033D0F">
        <w:t>argues</w:t>
      </w:r>
      <w:r w:rsidR="00033D0F">
        <w:rPr>
          <w:spacing w:val="-11"/>
        </w:rPr>
        <w:t xml:space="preserve"> </w:t>
      </w:r>
      <w:r w:rsidR="00033D0F">
        <w:t>that</w:t>
      </w:r>
      <w:r w:rsidR="00033D0F">
        <w:rPr>
          <w:spacing w:val="-8"/>
        </w:rPr>
        <w:t xml:space="preserve"> </w:t>
      </w:r>
      <w:r w:rsidR="00033D0F">
        <w:t>MOFCOM's</w:t>
      </w:r>
      <w:r w:rsidR="00033D0F">
        <w:rPr>
          <w:spacing w:val="-7"/>
        </w:rPr>
        <w:t xml:space="preserve"> </w:t>
      </w:r>
      <w:r w:rsidR="00033D0F">
        <w:t>disclosure</w:t>
      </w:r>
      <w:r w:rsidR="00033D0F">
        <w:rPr>
          <w:spacing w:val="-13"/>
        </w:rPr>
        <w:t xml:space="preserve"> </w:t>
      </w:r>
      <w:r w:rsidR="00033D0F">
        <w:t>of</w:t>
      </w:r>
      <w:r w:rsidR="00033D0F">
        <w:rPr>
          <w:spacing w:val="-9"/>
        </w:rPr>
        <w:t xml:space="preserve"> </w:t>
      </w:r>
      <w:r w:rsidR="00033D0F">
        <w:t>essential</w:t>
      </w:r>
      <w:r w:rsidR="00033D0F">
        <w:rPr>
          <w:spacing w:val="-6"/>
        </w:rPr>
        <w:t xml:space="preserve"> </w:t>
      </w:r>
      <w:r w:rsidR="00033D0F">
        <w:t>facts</w:t>
      </w:r>
      <w:r w:rsidR="00033D0F">
        <w:rPr>
          <w:spacing w:val="-11"/>
        </w:rPr>
        <w:t xml:space="preserve"> </w:t>
      </w:r>
      <w:r w:rsidR="00033D0F">
        <w:t>was</w:t>
      </w:r>
      <w:r w:rsidR="00033D0F">
        <w:rPr>
          <w:spacing w:val="-7"/>
        </w:rPr>
        <w:t xml:space="preserve"> </w:t>
      </w:r>
      <w:r w:rsidR="00033D0F">
        <w:t>complete</w:t>
      </w:r>
      <w:r w:rsidR="00033D0F">
        <w:rPr>
          <w:spacing w:val="-13"/>
        </w:rPr>
        <w:t xml:space="preserve"> </w:t>
      </w:r>
      <w:r w:rsidR="00033D0F">
        <w:t>and</w:t>
      </w:r>
      <w:r w:rsidR="00033D0F">
        <w:rPr>
          <w:spacing w:val="-10"/>
        </w:rPr>
        <w:t xml:space="preserve"> </w:t>
      </w:r>
      <w:r w:rsidR="00033D0F">
        <w:t>did</w:t>
      </w:r>
      <w:r w:rsidR="00033D0F">
        <w:rPr>
          <w:spacing w:val="-9"/>
        </w:rPr>
        <w:t xml:space="preserve"> </w:t>
      </w:r>
      <w:r w:rsidR="00033D0F">
        <w:rPr>
          <w:spacing w:val="-5"/>
        </w:rPr>
        <w:t>not</w:t>
      </w:r>
    </w:p>
    <w:p w14:paraId="5E473CA9" w14:textId="77777777" w:rsidR="00BD462C" w:rsidRDefault="00BD462C">
      <w:pPr>
        <w:pStyle w:val="BodyText"/>
        <w:rPr>
          <w:sz w:val="20"/>
        </w:rPr>
      </w:pPr>
    </w:p>
    <w:p w14:paraId="6DEEF6D5" w14:textId="7CCFA912" w:rsidR="00BD462C" w:rsidRDefault="00D70C7D">
      <w:pPr>
        <w:pStyle w:val="BodyText"/>
        <w:spacing w:before="1"/>
        <w:rPr>
          <w:sz w:val="18"/>
        </w:rPr>
      </w:pPr>
      <w:r>
        <w:rPr>
          <w:noProof/>
        </w:rPr>
        <mc:AlternateContent>
          <mc:Choice Requires="wps">
            <w:drawing>
              <wp:anchor distT="0" distB="0" distL="0" distR="0" simplePos="0" relativeHeight="487875072" behindDoc="1" locked="0" layoutInCell="1" allowOverlap="1" wp14:anchorId="6E331B1F" wp14:editId="04931C76">
                <wp:simplePos x="0" y="0"/>
                <wp:positionH relativeFrom="page">
                  <wp:posOffset>899160</wp:posOffset>
                </wp:positionH>
                <wp:positionV relativeFrom="paragraph">
                  <wp:posOffset>156210</wp:posOffset>
                </wp:positionV>
                <wp:extent cx="1828800" cy="8890"/>
                <wp:effectExtent l="0" t="0" r="0" b="0"/>
                <wp:wrapTopAndBottom/>
                <wp:docPr id="216" name="docshape6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75555F" id="docshape617" o:spid="_x0000_s1026" alt="&quot;&quot;" style="position:absolute;margin-left:70.8pt;margin-top:12.3pt;width:2in;height:.7pt;z-index:-1544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" fillcolor="black" stroked="f">
                <w10:wrap type="topAndBottom" anchorx="page"/>
              </v:rect>
            </w:pict>
          </mc:Fallback>
        </mc:AlternateContent>
      </w:r>
    </w:p>
    <w:p w14:paraId="0380489C" w14:textId="77777777" w:rsidR="00BD462C" w:rsidRDefault="00033D0F">
      <w:pPr>
        <w:spacing w:before="112"/>
        <w:ind w:left="136" w:right="907" w:hanging="1"/>
        <w:rPr>
          <w:sz w:val="18"/>
        </w:rPr>
      </w:pPr>
      <w:bookmarkStart w:id="1813" w:name="_bookmark1562"/>
      <w:bookmarkEnd w:id="1813"/>
      <w:r>
        <w:rPr>
          <w:position w:val="5"/>
          <w:sz w:val="12"/>
        </w:rPr>
        <w:t>1350</w:t>
      </w:r>
      <w:r>
        <w:rPr>
          <w:spacing w:val="20"/>
          <w:position w:val="5"/>
          <w:sz w:val="12"/>
        </w:rPr>
        <w:t xml:space="preserve"> </w:t>
      </w:r>
      <w:r>
        <w:rPr>
          <w:sz w:val="18"/>
        </w:rPr>
        <w:t>China's first written submission, para. 2536</w:t>
      </w:r>
      <w:r>
        <w:rPr>
          <w:spacing w:val="-1"/>
          <w:sz w:val="18"/>
        </w:rPr>
        <w:t xml:space="preserve"> </w:t>
      </w:r>
      <w:r>
        <w:rPr>
          <w:sz w:val="18"/>
        </w:rPr>
        <w:t>(referring to Australian Government Comments on Final Disclosure, (Exhibit AUS-96), p. 3).</w:t>
      </w:r>
    </w:p>
    <w:p w14:paraId="6B6E4CA1" w14:textId="77777777" w:rsidR="00BD462C" w:rsidRDefault="00033D0F">
      <w:pPr>
        <w:spacing w:before="2"/>
        <w:ind w:left="135"/>
        <w:rPr>
          <w:sz w:val="18"/>
        </w:rPr>
      </w:pPr>
      <w:bookmarkStart w:id="1814" w:name="_bookmark1563"/>
      <w:bookmarkEnd w:id="1814"/>
      <w:r>
        <w:rPr>
          <w:position w:val="5"/>
          <w:sz w:val="12"/>
        </w:rPr>
        <w:t>1351</w:t>
      </w:r>
      <w:r>
        <w:rPr>
          <w:spacing w:val="16"/>
          <w:position w:val="5"/>
          <w:sz w:val="12"/>
        </w:rPr>
        <w:t xml:space="preserve"> </w:t>
      </w:r>
      <w:r>
        <w:rPr>
          <w:sz w:val="18"/>
        </w:rPr>
        <w:t>See</w:t>
      </w:r>
      <w:r>
        <w:rPr>
          <w:spacing w:val="-2"/>
          <w:sz w:val="18"/>
        </w:rPr>
        <w:t xml:space="preserve"> </w:t>
      </w:r>
      <w:r>
        <w:rPr>
          <w:sz w:val="18"/>
        </w:rPr>
        <w:t>section</w:t>
      </w:r>
      <w:r>
        <w:rPr>
          <w:spacing w:val="-4"/>
          <w:sz w:val="18"/>
        </w:rPr>
        <w:t xml:space="preserve"> </w:t>
      </w:r>
      <w:hyperlink w:anchor="_bookmark1551" w:history="1">
        <w:r>
          <w:rPr>
            <w:spacing w:val="-2"/>
            <w:sz w:val="18"/>
          </w:rPr>
          <w:t>VII.G.2(d).</w:t>
        </w:r>
      </w:hyperlink>
    </w:p>
    <w:p w14:paraId="017EB307" w14:textId="77777777" w:rsidR="00BD462C" w:rsidRDefault="00033D0F">
      <w:pPr>
        <w:spacing w:before="1"/>
        <w:ind w:left="135"/>
        <w:rPr>
          <w:sz w:val="18"/>
        </w:rPr>
      </w:pPr>
      <w:bookmarkStart w:id="1815" w:name="_bookmark1564"/>
      <w:bookmarkEnd w:id="1815"/>
      <w:r>
        <w:rPr>
          <w:position w:val="5"/>
          <w:sz w:val="12"/>
        </w:rPr>
        <w:t>1352</w:t>
      </w:r>
      <w:r>
        <w:rPr>
          <w:spacing w:val="13"/>
          <w:position w:val="5"/>
          <w:sz w:val="12"/>
        </w:rPr>
        <w:t xml:space="preserve"> </w:t>
      </w:r>
      <w:r>
        <w:rPr>
          <w:sz w:val="18"/>
        </w:rPr>
        <w:t>See</w:t>
      </w:r>
      <w:r>
        <w:rPr>
          <w:spacing w:val="-4"/>
          <w:sz w:val="18"/>
        </w:rPr>
        <w:t xml:space="preserve"> </w:t>
      </w:r>
      <w:r>
        <w:rPr>
          <w:sz w:val="18"/>
        </w:rPr>
        <w:t>section</w:t>
      </w:r>
      <w:r>
        <w:rPr>
          <w:spacing w:val="-6"/>
          <w:sz w:val="18"/>
        </w:rPr>
        <w:t xml:space="preserve"> </w:t>
      </w:r>
      <w:r>
        <w:rPr>
          <w:sz w:val="18"/>
        </w:rPr>
        <w:t>III;</w:t>
      </w:r>
      <w:r>
        <w:rPr>
          <w:spacing w:val="-7"/>
          <w:sz w:val="18"/>
        </w:rPr>
        <w:t xml:space="preserve"> </w:t>
      </w:r>
      <w:r>
        <w:rPr>
          <w:sz w:val="18"/>
        </w:rPr>
        <w:t>Australia's</w:t>
      </w:r>
      <w:r>
        <w:rPr>
          <w:spacing w:val="-4"/>
          <w:sz w:val="18"/>
        </w:rPr>
        <w:t xml:space="preserve"> </w:t>
      </w:r>
      <w:r>
        <w:rPr>
          <w:sz w:val="18"/>
        </w:rPr>
        <w:t>first</w:t>
      </w:r>
      <w:r>
        <w:rPr>
          <w:spacing w:val="-4"/>
          <w:sz w:val="18"/>
        </w:rPr>
        <w:t xml:space="preserve"> </w:t>
      </w:r>
      <w:r>
        <w:rPr>
          <w:sz w:val="18"/>
        </w:rPr>
        <w:t>written</w:t>
      </w:r>
      <w:r>
        <w:rPr>
          <w:spacing w:val="-6"/>
          <w:sz w:val="18"/>
        </w:rPr>
        <w:t xml:space="preserve"> </w:t>
      </w:r>
      <w:r>
        <w:rPr>
          <w:sz w:val="18"/>
        </w:rPr>
        <w:t>submission,</w:t>
      </w:r>
      <w:r>
        <w:rPr>
          <w:spacing w:val="2"/>
          <w:sz w:val="18"/>
        </w:rPr>
        <w:t xml:space="preserve"> </w:t>
      </w:r>
      <w:r>
        <w:rPr>
          <w:sz w:val="18"/>
        </w:rPr>
        <w:t>paras.</w:t>
      </w:r>
      <w:r>
        <w:rPr>
          <w:spacing w:val="-4"/>
          <w:sz w:val="18"/>
        </w:rPr>
        <w:t xml:space="preserve"> </w:t>
      </w:r>
      <w:r>
        <w:rPr>
          <w:sz w:val="18"/>
        </w:rPr>
        <w:t>1023-</w:t>
      </w:r>
      <w:r>
        <w:rPr>
          <w:spacing w:val="-2"/>
          <w:sz w:val="18"/>
        </w:rPr>
        <w:t>1035.</w:t>
      </w:r>
    </w:p>
    <w:p w14:paraId="74A6D4CD" w14:textId="77777777" w:rsidR="00BD462C" w:rsidRDefault="00BD462C">
      <w:pPr>
        <w:rPr>
          <w:sz w:val="18"/>
        </w:rPr>
        <w:sectPr w:rsidR="00BD462C">
          <w:pgSz w:w="11910" w:h="16840"/>
          <w:pgMar w:top="860" w:right="500" w:bottom="780" w:left="1280" w:header="566" w:footer="590" w:gutter="0"/>
          <w:cols w:space="720"/>
        </w:sectPr>
      </w:pPr>
    </w:p>
    <w:p w14:paraId="3F3EC4B2"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660CA838"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0E9E5818"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6BA64BD6" w14:textId="77777777" w:rsidR="00BD462C" w:rsidRDefault="00033D0F">
      <w:pPr>
        <w:pStyle w:val="BodyText"/>
        <w:spacing w:before="102" w:line="360" w:lineRule="auto"/>
        <w:ind w:left="135" w:right="912"/>
        <w:jc w:val="both"/>
      </w:pPr>
      <w:r>
        <w:t>deprive interested parties of the opportunity to understand the basis of MOFCOM's decision and respond accordingly.</w:t>
      </w:r>
      <w:hyperlink w:anchor="_bookmark1565" w:history="1">
        <w:r>
          <w:rPr>
            <w:vertAlign w:val="superscript"/>
          </w:rPr>
          <w:t>1353</w:t>
        </w:r>
      </w:hyperlink>
      <w:r>
        <w:t xml:space="preserve"> However, MOFCOM's disclosure was deficient on its face. MOFCOM stated in the Final Disclosure that it would "use the data of </w:t>
      </w:r>
      <w:r>
        <w:rPr>
          <w:i/>
        </w:rPr>
        <w:t xml:space="preserve">some </w:t>
      </w:r>
      <w:r>
        <w:t>product types reported by the Company to determine the production costs and expenses of the product under</w:t>
      </w:r>
      <w:r>
        <w:rPr>
          <w:spacing w:val="-7"/>
        </w:rPr>
        <w:t xml:space="preserve"> </w:t>
      </w:r>
      <w:r>
        <w:t>investigation</w:t>
      </w:r>
      <w:r>
        <w:rPr>
          <w:spacing w:val="-6"/>
        </w:rPr>
        <w:t xml:space="preserve"> </w:t>
      </w:r>
      <w:r>
        <w:t>and</w:t>
      </w:r>
      <w:r>
        <w:rPr>
          <w:spacing w:val="-6"/>
        </w:rPr>
        <w:t xml:space="preserve"> </w:t>
      </w:r>
      <w:r>
        <w:t>like</w:t>
      </w:r>
      <w:r>
        <w:rPr>
          <w:spacing w:val="-4"/>
        </w:rPr>
        <w:t xml:space="preserve"> </w:t>
      </w:r>
      <w:r>
        <w:t>products".</w:t>
      </w:r>
      <w:r>
        <w:rPr>
          <w:spacing w:val="-3"/>
        </w:rPr>
        <w:t xml:space="preserve"> </w:t>
      </w:r>
      <w:r>
        <w:t>However,</w:t>
      </w:r>
      <w:r>
        <w:rPr>
          <w:spacing w:val="-7"/>
        </w:rPr>
        <w:t xml:space="preserve"> </w:t>
      </w:r>
      <w:r>
        <w:t>it</w:t>
      </w:r>
      <w:r>
        <w:rPr>
          <w:spacing w:val="-4"/>
        </w:rPr>
        <w:t xml:space="preserve"> </w:t>
      </w:r>
      <w:r>
        <w:t>did</w:t>
      </w:r>
      <w:r>
        <w:rPr>
          <w:spacing w:val="-6"/>
        </w:rPr>
        <w:t xml:space="preserve"> </w:t>
      </w:r>
      <w:r>
        <w:t>not</w:t>
      </w:r>
      <w:r>
        <w:rPr>
          <w:spacing w:val="-4"/>
        </w:rPr>
        <w:t xml:space="preserve"> </w:t>
      </w:r>
      <w:r>
        <w:t>identify</w:t>
      </w:r>
      <w:r>
        <w:rPr>
          <w:spacing w:val="-7"/>
        </w:rPr>
        <w:t xml:space="preserve"> </w:t>
      </w:r>
      <w:r>
        <w:t>which</w:t>
      </w:r>
      <w:r>
        <w:rPr>
          <w:spacing w:val="-6"/>
        </w:rPr>
        <w:t xml:space="preserve"> </w:t>
      </w:r>
      <w:r>
        <w:t>product</w:t>
      </w:r>
      <w:r>
        <w:rPr>
          <w:spacing w:val="-4"/>
        </w:rPr>
        <w:t xml:space="preserve"> </w:t>
      </w:r>
      <w:r>
        <w:t>types</w:t>
      </w:r>
      <w:r>
        <w:rPr>
          <w:spacing w:val="-3"/>
        </w:rPr>
        <w:t xml:space="preserve"> </w:t>
      </w:r>
      <w:r>
        <w:t>were included in its reference to "some". As such, interested parties were unable to defend their interests</w:t>
      </w:r>
      <w:r>
        <w:rPr>
          <w:spacing w:val="-10"/>
        </w:rPr>
        <w:t xml:space="preserve"> </w:t>
      </w:r>
      <w:r>
        <w:t>as</w:t>
      </w:r>
      <w:r>
        <w:rPr>
          <w:spacing w:val="-10"/>
        </w:rPr>
        <w:t xml:space="preserve"> </w:t>
      </w:r>
      <w:r>
        <w:t>they</w:t>
      </w:r>
      <w:r>
        <w:rPr>
          <w:spacing w:val="-11"/>
        </w:rPr>
        <w:t xml:space="preserve"> </w:t>
      </w:r>
      <w:r>
        <w:t>did</w:t>
      </w:r>
      <w:r>
        <w:rPr>
          <w:spacing w:val="-14"/>
        </w:rPr>
        <w:t xml:space="preserve"> </w:t>
      </w:r>
      <w:r>
        <w:t>not</w:t>
      </w:r>
      <w:r>
        <w:rPr>
          <w:spacing w:val="-10"/>
        </w:rPr>
        <w:t xml:space="preserve"> </w:t>
      </w:r>
      <w:r>
        <w:t>know</w:t>
      </w:r>
      <w:r>
        <w:rPr>
          <w:spacing w:val="-7"/>
        </w:rPr>
        <w:t xml:space="preserve"> </w:t>
      </w:r>
      <w:r>
        <w:t>how</w:t>
      </w:r>
      <w:r>
        <w:rPr>
          <w:spacing w:val="-7"/>
        </w:rPr>
        <w:t xml:space="preserve"> </w:t>
      </w:r>
      <w:r>
        <w:t>many</w:t>
      </w:r>
      <w:r>
        <w:rPr>
          <w:spacing w:val="-11"/>
        </w:rPr>
        <w:t xml:space="preserve"> </w:t>
      </w:r>
      <w:r>
        <w:t>or</w:t>
      </w:r>
      <w:r>
        <w:rPr>
          <w:spacing w:val="-14"/>
        </w:rPr>
        <w:t xml:space="preserve"> </w:t>
      </w:r>
      <w:r>
        <w:t>which</w:t>
      </w:r>
      <w:r>
        <w:rPr>
          <w:spacing w:val="-3"/>
        </w:rPr>
        <w:t xml:space="preserve"> </w:t>
      </w:r>
      <w:r>
        <w:t>product</w:t>
      </w:r>
      <w:r>
        <w:rPr>
          <w:spacing w:val="-11"/>
        </w:rPr>
        <w:t xml:space="preserve"> </w:t>
      </w:r>
      <w:r>
        <w:t>type</w:t>
      </w:r>
      <w:r>
        <w:rPr>
          <w:spacing w:val="-12"/>
        </w:rPr>
        <w:t xml:space="preserve"> </w:t>
      </w:r>
      <w:r>
        <w:t>data</w:t>
      </w:r>
      <w:r>
        <w:rPr>
          <w:spacing w:val="-8"/>
        </w:rPr>
        <w:t xml:space="preserve"> </w:t>
      </w:r>
      <w:r>
        <w:t>they</w:t>
      </w:r>
      <w:r>
        <w:rPr>
          <w:spacing w:val="-11"/>
        </w:rPr>
        <w:t xml:space="preserve"> </w:t>
      </w:r>
      <w:r>
        <w:t>chose</w:t>
      </w:r>
      <w:r>
        <w:rPr>
          <w:spacing w:val="-12"/>
        </w:rPr>
        <w:t xml:space="preserve"> </w:t>
      </w:r>
      <w:r>
        <w:t>to</w:t>
      </w:r>
      <w:r>
        <w:rPr>
          <w:spacing w:val="-14"/>
        </w:rPr>
        <w:t xml:space="preserve"> </w:t>
      </w:r>
      <w:r>
        <w:t>accept</w:t>
      </w:r>
      <w:r>
        <w:rPr>
          <w:spacing w:val="-10"/>
        </w:rPr>
        <w:t xml:space="preserve"> </w:t>
      </w:r>
      <w:r>
        <w:t>and use, and what they did not have regard to.</w:t>
      </w:r>
      <w:hyperlink w:anchor="_bookmark1566" w:history="1">
        <w:r>
          <w:rPr>
            <w:vertAlign w:val="superscript"/>
          </w:rPr>
          <w:t>1354</w:t>
        </w:r>
      </w:hyperlink>
    </w:p>
    <w:p w14:paraId="65B836A5" w14:textId="77777777" w:rsidR="00BD462C" w:rsidRDefault="00BD462C">
      <w:pPr>
        <w:pStyle w:val="BodyText"/>
        <w:spacing w:before="7"/>
        <w:rPr>
          <w:sz w:val="8"/>
        </w:rPr>
      </w:pPr>
    </w:p>
    <w:p w14:paraId="671532FA" w14:textId="67EF8E55" w:rsidR="00BD462C" w:rsidRDefault="00C8372C">
      <w:pPr>
        <w:pStyle w:val="BodyText"/>
        <w:spacing w:before="56" w:line="360" w:lineRule="auto"/>
        <w:ind w:left="135" w:right="916"/>
        <w:jc w:val="both"/>
      </w:pPr>
      <w:r>
        <w:rPr>
          <w:noProof/>
        </w:rPr>
        <w:t>934.</w:t>
      </w:r>
      <w:r w:rsidR="00033D0F">
        <w:rPr>
          <w:rFonts w:ascii="Times New Roman"/>
          <w:spacing w:val="80"/>
          <w:position w:val="1"/>
          <w:sz w:val="20"/>
        </w:rPr>
        <w:t xml:space="preserve">  </w:t>
      </w:r>
      <w:r w:rsidR="00033D0F">
        <w:rPr>
          <w:position w:val="1"/>
        </w:rPr>
        <w:t xml:space="preserve">Further, China cannot rely on the fact that Treasury Wines made comments on the </w:t>
      </w:r>
      <w:r w:rsidR="00033D0F">
        <w:t>Final</w:t>
      </w:r>
      <w:r w:rsidR="00033D0F">
        <w:rPr>
          <w:spacing w:val="-6"/>
        </w:rPr>
        <w:t xml:space="preserve"> </w:t>
      </w:r>
      <w:r w:rsidR="00033D0F">
        <w:t>Disclosure</w:t>
      </w:r>
      <w:r w:rsidR="00033D0F">
        <w:rPr>
          <w:spacing w:val="-8"/>
        </w:rPr>
        <w:t xml:space="preserve"> </w:t>
      </w:r>
      <w:r w:rsidR="00033D0F">
        <w:t>as</w:t>
      </w:r>
      <w:r w:rsidR="00033D0F">
        <w:rPr>
          <w:spacing w:val="-7"/>
        </w:rPr>
        <w:t xml:space="preserve"> </w:t>
      </w:r>
      <w:r w:rsidR="00033D0F">
        <w:t>a</w:t>
      </w:r>
      <w:r w:rsidR="00033D0F">
        <w:rPr>
          <w:spacing w:val="-9"/>
        </w:rPr>
        <w:t xml:space="preserve"> </w:t>
      </w:r>
      <w:r w:rsidR="00033D0F">
        <w:t>basis</w:t>
      </w:r>
      <w:r w:rsidR="00033D0F">
        <w:rPr>
          <w:spacing w:val="-7"/>
        </w:rPr>
        <w:t xml:space="preserve"> </w:t>
      </w:r>
      <w:r w:rsidR="00033D0F">
        <w:t>to</w:t>
      </w:r>
      <w:r w:rsidR="00033D0F">
        <w:rPr>
          <w:spacing w:val="-11"/>
        </w:rPr>
        <w:t xml:space="preserve"> </w:t>
      </w:r>
      <w:r w:rsidR="00033D0F">
        <w:t>argue</w:t>
      </w:r>
      <w:r w:rsidR="00033D0F">
        <w:rPr>
          <w:spacing w:val="-8"/>
        </w:rPr>
        <w:t xml:space="preserve"> </w:t>
      </w:r>
      <w:r w:rsidR="00033D0F">
        <w:t>that</w:t>
      </w:r>
      <w:r w:rsidR="00033D0F">
        <w:rPr>
          <w:spacing w:val="-8"/>
        </w:rPr>
        <w:t xml:space="preserve"> </w:t>
      </w:r>
      <w:r w:rsidR="00033D0F">
        <w:t>the</w:t>
      </w:r>
      <w:r w:rsidR="00033D0F">
        <w:rPr>
          <w:spacing w:val="-8"/>
        </w:rPr>
        <w:t xml:space="preserve"> </w:t>
      </w:r>
      <w:r w:rsidR="00033D0F">
        <w:t>disclosure</w:t>
      </w:r>
      <w:r w:rsidR="00033D0F">
        <w:rPr>
          <w:spacing w:val="-8"/>
        </w:rPr>
        <w:t xml:space="preserve"> </w:t>
      </w:r>
      <w:r w:rsidR="00033D0F">
        <w:t>obligation</w:t>
      </w:r>
      <w:r w:rsidR="00033D0F">
        <w:rPr>
          <w:spacing w:val="-10"/>
        </w:rPr>
        <w:t xml:space="preserve"> </w:t>
      </w:r>
      <w:r w:rsidR="00033D0F">
        <w:t>was</w:t>
      </w:r>
      <w:r w:rsidR="00033D0F">
        <w:rPr>
          <w:spacing w:val="-7"/>
        </w:rPr>
        <w:t xml:space="preserve"> </w:t>
      </w:r>
      <w:r w:rsidR="00033D0F">
        <w:t>met.</w:t>
      </w:r>
      <w:hyperlink w:anchor="_bookmark1567" w:history="1">
        <w:r w:rsidR="00033D0F">
          <w:rPr>
            <w:vertAlign w:val="superscript"/>
          </w:rPr>
          <w:t>1355</w:t>
        </w:r>
      </w:hyperlink>
      <w:r w:rsidR="00033D0F">
        <w:rPr>
          <w:spacing w:val="-7"/>
        </w:rPr>
        <w:t xml:space="preserve"> </w:t>
      </w:r>
      <w:r w:rsidR="00033D0F">
        <w:t>To</w:t>
      </w:r>
      <w:r w:rsidR="00033D0F">
        <w:rPr>
          <w:spacing w:val="-11"/>
        </w:rPr>
        <w:t xml:space="preserve"> </w:t>
      </w:r>
      <w:r w:rsidR="00033D0F">
        <w:t>the</w:t>
      </w:r>
      <w:r w:rsidR="00033D0F">
        <w:rPr>
          <w:spacing w:val="-8"/>
        </w:rPr>
        <w:t xml:space="preserve"> </w:t>
      </w:r>
      <w:r w:rsidR="00033D0F">
        <w:t>contrary, the comments submitted by Treasury Wines confirm that it was required to engage in extensive back calculations to attempt to comprehend how MOFCOM determined what was the "best information available".</w:t>
      </w:r>
      <w:hyperlink w:anchor="_bookmark1568" w:history="1">
        <w:r w:rsidR="00033D0F">
          <w:rPr>
            <w:vertAlign w:val="superscript"/>
          </w:rPr>
          <w:t>1356</w:t>
        </w:r>
      </w:hyperlink>
    </w:p>
    <w:p w14:paraId="33519543" w14:textId="77777777" w:rsidR="00BD462C" w:rsidRDefault="00BD462C">
      <w:pPr>
        <w:pStyle w:val="BodyText"/>
        <w:spacing w:before="6"/>
        <w:rPr>
          <w:sz w:val="8"/>
        </w:rPr>
      </w:pPr>
    </w:p>
    <w:p w14:paraId="5BD7E928" w14:textId="06E66DF1" w:rsidR="00BD462C" w:rsidRDefault="00D70C7D">
      <w:pPr>
        <w:pStyle w:val="BodyText"/>
        <w:tabs>
          <w:tab w:val="left" w:pos="7321"/>
        </w:tabs>
        <w:spacing w:before="56" w:line="357" w:lineRule="auto"/>
        <w:ind w:left="136" w:right="912"/>
      </w:pPr>
      <w:r>
        <w:rPr>
          <w:noProof/>
        </w:rPr>
        <mc:AlternateContent>
          <mc:Choice Requires="wps">
            <w:drawing>
              <wp:anchor distT="0" distB="0" distL="114300" distR="114300" simplePos="0" relativeHeight="479177216" behindDoc="1" locked="0" layoutInCell="1" allowOverlap="1" wp14:anchorId="6B39D07C" wp14:editId="5D1963B4">
                <wp:simplePos x="0" y="0"/>
                <wp:positionH relativeFrom="page">
                  <wp:posOffset>1508125</wp:posOffset>
                </wp:positionH>
                <wp:positionV relativeFrom="paragraph">
                  <wp:posOffset>314325</wp:posOffset>
                </wp:positionV>
                <wp:extent cx="3887470" cy="203835"/>
                <wp:effectExtent l="0" t="0" r="0" b="0"/>
                <wp:wrapNone/>
                <wp:docPr id="214" name="docshape6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7470" cy="2038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A1748E" id="docshape618" o:spid="_x0000_s1026" alt="&quot;&quot;" style="position:absolute;margin-left:118.75pt;margin-top:24.75pt;width:306.1pt;height:16.05pt;z-index:-2413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" fillcolor="black" stroked="f">
                <w10:wrap anchorx="page"/>
              </v:rect>
            </w:pict>
          </mc:Fallback>
        </mc:AlternateContent>
      </w:r>
      <w:r w:rsidR="00C8372C">
        <w:rPr>
          <w:noProof/>
        </w:rPr>
        <w:t>935.</w:t>
      </w:r>
      <w:r w:rsidR="00033D0F">
        <w:rPr>
          <w:rFonts w:ascii="Times New Roman" w:hAnsi="Times New Roman"/>
          <w:spacing w:val="80"/>
          <w:position w:val="1"/>
          <w:sz w:val="20"/>
        </w:rPr>
        <w:t xml:space="preserve">   </w:t>
      </w:r>
      <w:r w:rsidR="00033D0F">
        <w:rPr>
          <w:position w:val="1"/>
        </w:rPr>
        <w:t>Moreover,</w:t>
      </w:r>
      <w:r w:rsidR="00033D0F">
        <w:rPr>
          <w:spacing w:val="19"/>
          <w:position w:val="1"/>
        </w:rPr>
        <w:t xml:space="preserve"> </w:t>
      </w:r>
      <w:r w:rsidR="00033D0F">
        <w:rPr>
          <w:position w:val="1"/>
        </w:rPr>
        <w:t>even after</w:t>
      </w:r>
      <w:r w:rsidR="00033D0F">
        <w:rPr>
          <w:spacing w:val="19"/>
          <w:position w:val="1"/>
        </w:rPr>
        <w:t xml:space="preserve"> </w:t>
      </w:r>
      <w:r w:rsidR="00033D0F">
        <w:rPr>
          <w:position w:val="1"/>
        </w:rPr>
        <w:t>Treasury</w:t>
      </w:r>
      <w:r w:rsidR="00033D0F">
        <w:rPr>
          <w:spacing w:val="23"/>
          <w:position w:val="1"/>
        </w:rPr>
        <w:t xml:space="preserve"> </w:t>
      </w:r>
      <w:r w:rsidR="00033D0F">
        <w:rPr>
          <w:position w:val="1"/>
        </w:rPr>
        <w:t xml:space="preserve">Wines put to MOFCOM its speculation – ultimately </w:t>
      </w:r>
      <w:r w:rsidR="00033D0F">
        <w:t>correct</w:t>
      </w:r>
      <w:r w:rsidR="00033D0F">
        <w:rPr>
          <w:spacing w:val="23"/>
        </w:rPr>
        <w:t xml:space="preserve"> </w:t>
      </w:r>
      <w:r w:rsidR="00033D0F">
        <w:rPr>
          <w:spacing w:val="-10"/>
        </w:rPr>
        <w:t>–</w:t>
      </w:r>
      <w:r w:rsidR="00033D0F">
        <w:tab/>
        <w:t>MOFCOM</w:t>
      </w:r>
      <w:r w:rsidR="00033D0F">
        <w:rPr>
          <w:spacing w:val="27"/>
        </w:rPr>
        <w:t xml:space="preserve"> </w:t>
      </w:r>
      <w:r w:rsidR="00033D0F">
        <w:t>failed</w:t>
      </w:r>
      <w:r w:rsidR="00033D0F">
        <w:rPr>
          <w:spacing w:val="26"/>
        </w:rPr>
        <w:t xml:space="preserve"> </w:t>
      </w:r>
      <w:r w:rsidR="00033D0F">
        <w:rPr>
          <w:spacing w:val="-5"/>
        </w:rPr>
        <w:t>to</w:t>
      </w:r>
    </w:p>
    <w:p w14:paraId="051877C1" w14:textId="77777777" w:rsidR="00BD462C" w:rsidRDefault="00033D0F">
      <w:pPr>
        <w:pStyle w:val="BodyText"/>
        <w:spacing w:before="6" w:line="357" w:lineRule="auto"/>
        <w:ind w:left="136" w:right="923"/>
      </w:pPr>
      <w:r>
        <w:t>confirm or explain its approach in its Final Determination. This failure was a clear breach of the obligations under Article 6.9.</w:t>
      </w:r>
    </w:p>
    <w:p w14:paraId="16B6E0E3" w14:textId="77777777" w:rsidR="00BD462C" w:rsidRDefault="00033D0F">
      <w:pPr>
        <w:pStyle w:val="ListParagraph"/>
        <w:numPr>
          <w:ilvl w:val="2"/>
          <w:numId w:val="15"/>
        </w:numPr>
        <w:tabs>
          <w:tab w:val="left" w:pos="4388"/>
          <w:tab w:val="left" w:pos="4389"/>
        </w:tabs>
        <w:spacing w:before="164"/>
        <w:rPr>
          <w:i/>
          <w:sz w:val="24"/>
        </w:rPr>
      </w:pPr>
      <w:r>
        <w:rPr>
          <w:i/>
          <w:sz w:val="24"/>
        </w:rPr>
        <w:t>Casella Wines</w:t>
      </w:r>
      <w:r>
        <w:rPr>
          <w:i/>
          <w:spacing w:val="-2"/>
          <w:sz w:val="24"/>
        </w:rPr>
        <w:t xml:space="preserve"> </w:t>
      </w:r>
      <w:r>
        <w:rPr>
          <w:i/>
          <w:sz w:val="24"/>
        </w:rPr>
        <w:t>and</w:t>
      </w:r>
      <w:r>
        <w:rPr>
          <w:i/>
          <w:spacing w:val="-4"/>
          <w:sz w:val="24"/>
        </w:rPr>
        <w:t xml:space="preserve"> </w:t>
      </w:r>
      <w:r>
        <w:rPr>
          <w:i/>
          <w:sz w:val="24"/>
        </w:rPr>
        <w:t>Swan</w:t>
      </w:r>
      <w:r>
        <w:rPr>
          <w:i/>
          <w:spacing w:val="1"/>
          <w:sz w:val="24"/>
        </w:rPr>
        <w:t xml:space="preserve"> </w:t>
      </w:r>
      <w:r>
        <w:rPr>
          <w:i/>
          <w:spacing w:val="-2"/>
          <w:sz w:val="24"/>
        </w:rPr>
        <w:t>Vintage</w:t>
      </w:r>
    </w:p>
    <w:p w14:paraId="00DE19AB" w14:textId="77777777" w:rsidR="00BD462C" w:rsidRDefault="00BD462C">
      <w:pPr>
        <w:pStyle w:val="BodyText"/>
        <w:spacing w:before="11"/>
        <w:rPr>
          <w:i/>
          <w:sz w:val="20"/>
        </w:rPr>
      </w:pPr>
    </w:p>
    <w:p w14:paraId="638B673F" w14:textId="4AC1D3E2" w:rsidR="00BD462C" w:rsidRDefault="00C8372C">
      <w:pPr>
        <w:pStyle w:val="BodyText"/>
        <w:spacing w:before="56" w:line="360" w:lineRule="auto"/>
        <w:ind w:left="135" w:right="912"/>
        <w:jc w:val="both"/>
      </w:pPr>
      <w:r>
        <w:rPr>
          <w:noProof/>
        </w:rPr>
        <w:t>936.</w:t>
      </w:r>
      <w:r w:rsidR="00033D0F">
        <w:rPr>
          <w:rFonts w:ascii="Times New Roman"/>
          <w:spacing w:val="80"/>
          <w:w w:val="150"/>
          <w:position w:val="1"/>
          <w:sz w:val="20"/>
        </w:rPr>
        <w:t xml:space="preserve"> </w:t>
      </w:r>
      <w:r w:rsidR="00033D0F">
        <w:rPr>
          <w:position w:val="1"/>
        </w:rPr>
        <w:t xml:space="preserve">Regarding Casella Wines and Swan Vintage, China states that specific information </w:t>
      </w:r>
      <w:r w:rsidR="00033D0F">
        <w:t>relating to "product types, trade links and other influencing factors" is not captured under Article 6.9. Australia disagrees. Contrary to China's contention, the information to which Australia</w:t>
      </w:r>
      <w:r w:rsidR="00033D0F">
        <w:rPr>
          <w:spacing w:val="-4"/>
        </w:rPr>
        <w:t xml:space="preserve"> </w:t>
      </w:r>
      <w:r w:rsidR="00033D0F">
        <w:t>is referring does not include the decisions MOFCOM made on</w:t>
      </w:r>
      <w:r w:rsidR="00033D0F">
        <w:rPr>
          <w:spacing w:val="-1"/>
        </w:rPr>
        <w:t xml:space="preserve"> </w:t>
      </w:r>
      <w:r w:rsidR="00033D0F">
        <w:t>these facts, but what "product</w:t>
      </w:r>
      <w:r w:rsidR="00033D0F">
        <w:rPr>
          <w:spacing w:val="-14"/>
        </w:rPr>
        <w:t xml:space="preserve"> </w:t>
      </w:r>
      <w:r w:rsidR="00033D0F">
        <w:t>types",</w:t>
      </w:r>
      <w:r w:rsidR="00033D0F">
        <w:rPr>
          <w:spacing w:val="-13"/>
        </w:rPr>
        <w:t xml:space="preserve"> </w:t>
      </w:r>
      <w:r w:rsidR="00033D0F">
        <w:t>"trade</w:t>
      </w:r>
      <w:r w:rsidR="00033D0F">
        <w:rPr>
          <w:spacing w:val="-13"/>
        </w:rPr>
        <w:t xml:space="preserve"> </w:t>
      </w:r>
      <w:r w:rsidR="00033D0F">
        <w:t>links",</w:t>
      </w:r>
      <w:r w:rsidR="00033D0F">
        <w:rPr>
          <w:spacing w:val="-12"/>
        </w:rPr>
        <w:t xml:space="preserve"> </w:t>
      </w:r>
      <w:r w:rsidR="00033D0F">
        <w:t>and</w:t>
      </w:r>
      <w:r w:rsidR="00033D0F">
        <w:rPr>
          <w:spacing w:val="-14"/>
        </w:rPr>
        <w:t xml:space="preserve"> </w:t>
      </w:r>
      <w:r w:rsidR="00033D0F">
        <w:t>"other</w:t>
      </w:r>
      <w:r w:rsidR="00033D0F">
        <w:rPr>
          <w:spacing w:val="-14"/>
        </w:rPr>
        <w:t xml:space="preserve"> </w:t>
      </w:r>
      <w:r w:rsidR="00033D0F">
        <w:t>influencing</w:t>
      </w:r>
      <w:r w:rsidR="00033D0F">
        <w:rPr>
          <w:spacing w:val="-11"/>
        </w:rPr>
        <w:t xml:space="preserve"> </w:t>
      </w:r>
      <w:r w:rsidR="00033D0F">
        <w:t>factors"</w:t>
      </w:r>
      <w:r w:rsidR="00033D0F">
        <w:rPr>
          <w:spacing w:val="-14"/>
        </w:rPr>
        <w:t xml:space="preserve"> </w:t>
      </w:r>
      <w:r w:rsidR="00033D0F">
        <w:t>that</w:t>
      </w:r>
      <w:r w:rsidR="00033D0F">
        <w:rPr>
          <w:spacing w:val="-12"/>
        </w:rPr>
        <w:t xml:space="preserve"> </w:t>
      </w:r>
      <w:r w:rsidR="00033D0F">
        <w:t>MOFCOM</w:t>
      </w:r>
      <w:r w:rsidR="00033D0F">
        <w:rPr>
          <w:spacing w:val="-12"/>
        </w:rPr>
        <w:t xml:space="preserve"> </w:t>
      </w:r>
      <w:r w:rsidR="00033D0F">
        <w:t>considered.</w:t>
      </w:r>
      <w:r w:rsidR="00033D0F">
        <w:rPr>
          <w:spacing w:val="-12"/>
        </w:rPr>
        <w:t xml:space="preserve"> </w:t>
      </w:r>
      <w:r w:rsidR="00033D0F">
        <w:t xml:space="preserve">Such information is, without any doubt, essential facts relied on by MOFCOM when </w:t>
      </w:r>
      <w:proofErr w:type="gramStart"/>
      <w:r w:rsidR="00033D0F">
        <w:t>making a decision</w:t>
      </w:r>
      <w:proofErr w:type="gramEnd"/>
      <w:r w:rsidR="00033D0F">
        <w:t xml:space="preserve"> on whether or not to impose anti-dumping duties. And yet MOFCOM failed to disclose this information.</w:t>
      </w:r>
    </w:p>
    <w:p w14:paraId="7604C994" w14:textId="77777777" w:rsidR="00BD462C" w:rsidRDefault="00BD462C">
      <w:pPr>
        <w:pStyle w:val="BodyText"/>
        <w:rPr>
          <w:sz w:val="20"/>
        </w:rPr>
      </w:pPr>
    </w:p>
    <w:p w14:paraId="30B63B70" w14:textId="55FF2AA8" w:rsidR="00BD462C" w:rsidRDefault="00752F01">
      <w:pPr>
        <w:pStyle w:val="BodyText"/>
        <w:rPr>
          <w:sz w:val="20"/>
        </w:rPr>
      </w:pPr>
      <w:r>
        <w:rPr>
          <w:noProof/>
        </w:rPr>
        <mc:AlternateContent>
          <mc:Choice Requires="wps">
            <w:drawing>
              <wp:anchor distT="0" distB="0" distL="0" distR="0" simplePos="0" relativeHeight="488301056" behindDoc="1" locked="0" layoutInCell="1" allowOverlap="1" wp14:anchorId="1AF54203" wp14:editId="39145BFA">
                <wp:simplePos x="0" y="0"/>
                <wp:positionH relativeFrom="page">
                  <wp:posOffset>812800</wp:posOffset>
                </wp:positionH>
                <wp:positionV relativeFrom="paragraph">
                  <wp:posOffset>238760</wp:posOffset>
                </wp:positionV>
                <wp:extent cx="1828800" cy="8890"/>
                <wp:effectExtent l="0" t="0" r="0" b="0"/>
                <wp:wrapTopAndBottom/>
                <wp:docPr id="378" name="docshape5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B8336B" id="docshape529" o:spid="_x0000_s1026" alt="&quot;&quot;" style="position:absolute;margin-left:64pt;margin-top:18.8pt;width:2in;height:.7pt;z-index:-15015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" fillcolor="black" stroked="f">
                <w10:wrap type="topAndBottom" anchorx="page"/>
              </v:rect>
            </w:pict>
          </mc:Fallback>
        </mc:AlternateContent>
      </w:r>
    </w:p>
    <w:p w14:paraId="5A12F727" w14:textId="63FF58D1" w:rsidR="00BD462C" w:rsidRDefault="00BD462C">
      <w:pPr>
        <w:pStyle w:val="BodyText"/>
        <w:spacing w:before="5"/>
        <w:rPr>
          <w:sz w:val="10"/>
        </w:rPr>
      </w:pPr>
    </w:p>
    <w:p w14:paraId="24A0673D" w14:textId="77777777" w:rsidR="00BD462C" w:rsidRDefault="00033D0F">
      <w:pPr>
        <w:spacing w:before="112"/>
        <w:ind w:left="135"/>
        <w:rPr>
          <w:sz w:val="18"/>
        </w:rPr>
      </w:pPr>
      <w:bookmarkStart w:id="1816" w:name="_bookmark1565"/>
      <w:bookmarkEnd w:id="1816"/>
      <w:r>
        <w:rPr>
          <w:position w:val="5"/>
          <w:sz w:val="12"/>
        </w:rPr>
        <w:t>1353</w:t>
      </w:r>
      <w:r>
        <w:rPr>
          <w:spacing w:val="13"/>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 xml:space="preserve">para. </w:t>
      </w:r>
      <w:r>
        <w:rPr>
          <w:spacing w:val="-2"/>
          <w:sz w:val="18"/>
        </w:rPr>
        <w:t>2537.</w:t>
      </w:r>
    </w:p>
    <w:p w14:paraId="38A5615B" w14:textId="77777777" w:rsidR="00BD462C" w:rsidRDefault="00033D0F">
      <w:pPr>
        <w:spacing w:before="1"/>
        <w:ind w:left="135"/>
        <w:rPr>
          <w:sz w:val="18"/>
        </w:rPr>
      </w:pPr>
      <w:bookmarkStart w:id="1817" w:name="_bookmark1566"/>
      <w:bookmarkEnd w:id="1817"/>
      <w:r>
        <w:rPr>
          <w:position w:val="5"/>
          <w:sz w:val="12"/>
        </w:rPr>
        <w:t>1354</w:t>
      </w:r>
      <w:r>
        <w:rPr>
          <w:spacing w:val="13"/>
          <w:position w:val="5"/>
          <w:sz w:val="12"/>
        </w:rPr>
        <w:t xml:space="preserve"> </w:t>
      </w:r>
      <w:r>
        <w:rPr>
          <w:sz w:val="18"/>
        </w:rPr>
        <w:t>Anti-Dumping</w:t>
      </w:r>
      <w:r>
        <w:rPr>
          <w:spacing w:val="-6"/>
          <w:sz w:val="18"/>
        </w:rPr>
        <w:t xml:space="preserve"> </w:t>
      </w:r>
      <w:r>
        <w:rPr>
          <w:sz w:val="18"/>
        </w:rPr>
        <w:t>Additional</w:t>
      </w:r>
      <w:r>
        <w:rPr>
          <w:spacing w:val="-1"/>
          <w:sz w:val="18"/>
        </w:rPr>
        <w:t xml:space="preserve"> </w:t>
      </w:r>
      <w:r>
        <w:rPr>
          <w:sz w:val="18"/>
        </w:rPr>
        <w:t>Final</w:t>
      </w:r>
      <w:r>
        <w:rPr>
          <w:spacing w:val="-4"/>
          <w:sz w:val="18"/>
        </w:rPr>
        <w:t xml:space="preserve"> </w:t>
      </w:r>
      <w:r>
        <w:rPr>
          <w:sz w:val="18"/>
        </w:rPr>
        <w:t>Disclosure</w:t>
      </w:r>
      <w:r>
        <w:rPr>
          <w:spacing w:val="-5"/>
          <w:sz w:val="18"/>
        </w:rPr>
        <w:t xml:space="preserve"> </w:t>
      </w:r>
      <w:r>
        <w:rPr>
          <w:sz w:val="18"/>
        </w:rPr>
        <w:t>(Exhibit</w:t>
      </w:r>
      <w:r>
        <w:rPr>
          <w:spacing w:val="-5"/>
          <w:sz w:val="18"/>
        </w:rPr>
        <w:t xml:space="preserve"> </w:t>
      </w:r>
      <w:r>
        <w:rPr>
          <w:sz w:val="18"/>
        </w:rPr>
        <w:t>AUS-101),</w:t>
      </w:r>
      <w:r>
        <w:rPr>
          <w:spacing w:val="-3"/>
          <w:sz w:val="18"/>
        </w:rPr>
        <w:t xml:space="preserve"> </w:t>
      </w:r>
      <w:r>
        <w:rPr>
          <w:sz w:val="18"/>
        </w:rPr>
        <w:t>p.</w:t>
      </w:r>
      <w:r>
        <w:rPr>
          <w:spacing w:val="-5"/>
          <w:sz w:val="18"/>
        </w:rPr>
        <w:t xml:space="preserve"> </w:t>
      </w:r>
      <w:r>
        <w:rPr>
          <w:sz w:val="18"/>
        </w:rPr>
        <w:t>39.</w:t>
      </w:r>
      <w:r>
        <w:rPr>
          <w:spacing w:val="-9"/>
          <w:sz w:val="18"/>
        </w:rPr>
        <w:t xml:space="preserve"> </w:t>
      </w:r>
      <w:r>
        <w:rPr>
          <w:sz w:val="18"/>
        </w:rPr>
        <w:t>(</w:t>
      </w:r>
      <w:proofErr w:type="gramStart"/>
      <w:r>
        <w:rPr>
          <w:sz w:val="18"/>
        </w:rPr>
        <w:t>emphasis</w:t>
      </w:r>
      <w:proofErr w:type="gramEnd"/>
      <w:r>
        <w:rPr>
          <w:spacing w:val="-1"/>
          <w:sz w:val="18"/>
        </w:rPr>
        <w:t xml:space="preserve"> </w:t>
      </w:r>
      <w:r>
        <w:rPr>
          <w:spacing w:val="-2"/>
          <w:sz w:val="18"/>
        </w:rPr>
        <w:t>added)</w:t>
      </w:r>
    </w:p>
    <w:p w14:paraId="3B94C3DD" w14:textId="77777777" w:rsidR="00BD462C" w:rsidRDefault="00033D0F">
      <w:pPr>
        <w:spacing w:before="1"/>
        <w:ind w:left="135"/>
        <w:rPr>
          <w:sz w:val="18"/>
        </w:rPr>
      </w:pPr>
      <w:bookmarkStart w:id="1818" w:name="_bookmark1567"/>
      <w:bookmarkEnd w:id="1818"/>
      <w:r>
        <w:rPr>
          <w:position w:val="5"/>
          <w:sz w:val="12"/>
        </w:rPr>
        <w:t>1355</w:t>
      </w:r>
      <w:r>
        <w:rPr>
          <w:spacing w:val="13"/>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 xml:space="preserve">para. </w:t>
      </w:r>
      <w:r>
        <w:rPr>
          <w:spacing w:val="-2"/>
          <w:sz w:val="18"/>
        </w:rPr>
        <w:t>2537.</w:t>
      </w:r>
    </w:p>
    <w:p w14:paraId="552ACD06" w14:textId="77777777" w:rsidR="00BD462C" w:rsidRDefault="00033D0F">
      <w:pPr>
        <w:spacing w:before="1"/>
        <w:ind w:left="135"/>
        <w:rPr>
          <w:sz w:val="18"/>
        </w:rPr>
      </w:pPr>
      <w:bookmarkStart w:id="1819" w:name="_bookmark1568"/>
      <w:bookmarkEnd w:id="1819"/>
      <w:r>
        <w:rPr>
          <w:position w:val="5"/>
          <w:sz w:val="12"/>
        </w:rPr>
        <w:t>1356</w:t>
      </w:r>
      <w:r>
        <w:rPr>
          <w:spacing w:val="14"/>
          <w:position w:val="5"/>
          <w:sz w:val="12"/>
        </w:rPr>
        <w:t xml:space="preserve"> </w:t>
      </w:r>
      <w:r>
        <w:rPr>
          <w:sz w:val="18"/>
        </w:rPr>
        <w:t>See</w:t>
      </w:r>
      <w:r>
        <w:rPr>
          <w:spacing w:val="-4"/>
          <w:sz w:val="18"/>
        </w:rPr>
        <w:t xml:space="preserve"> </w:t>
      </w:r>
      <w:r>
        <w:rPr>
          <w:sz w:val="18"/>
        </w:rPr>
        <w:t>Panel</w:t>
      </w:r>
      <w:r>
        <w:rPr>
          <w:spacing w:val="-3"/>
          <w:sz w:val="18"/>
        </w:rPr>
        <w:t xml:space="preserve"> </w:t>
      </w:r>
      <w:r>
        <w:rPr>
          <w:sz w:val="18"/>
        </w:rPr>
        <w:t>Report,</w:t>
      </w:r>
      <w:r>
        <w:rPr>
          <w:spacing w:val="-3"/>
          <w:sz w:val="18"/>
        </w:rPr>
        <w:t xml:space="preserve"> </w:t>
      </w:r>
      <w:r>
        <w:rPr>
          <w:i/>
          <w:sz w:val="18"/>
        </w:rPr>
        <w:t>Ukraine</w:t>
      </w:r>
      <w:r>
        <w:rPr>
          <w:i/>
          <w:spacing w:val="-6"/>
          <w:sz w:val="18"/>
        </w:rPr>
        <w:t xml:space="preserve"> </w:t>
      </w:r>
      <w:r>
        <w:rPr>
          <w:i/>
          <w:sz w:val="18"/>
        </w:rPr>
        <w:t>– Ammonium</w:t>
      </w:r>
      <w:r>
        <w:rPr>
          <w:i/>
          <w:spacing w:val="-5"/>
          <w:sz w:val="18"/>
        </w:rPr>
        <w:t xml:space="preserve"> </w:t>
      </w:r>
      <w:r>
        <w:rPr>
          <w:i/>
          <w:sz w:val="18"/>
        </w:rPr>
        <w:t>Nitrate</w:t>
      </w:r>
      <w:r>
        <w:rPr>
          <w:sz w:val="18"/>
        </w:rPr>
        <w:t>,</w:t>
      </w:r>
      <w:r>
        <w:rPr>
          <w:spacing w:val="-2"/>
          <w:sz w:val="18"/>
        </w:rPr>
        <w:t xml:space="preserve"> </w:t>
      </w:r>
      <w:r>
        <w:rPr>
          <w:sz w:val="18"/>
        </w:rPr>
        <w:t>para.</w:t>
      </w:r>
      <w:r>
        <w:rPr>
          <w:spacing w:val="1"/>
          <w:sz w:val="18"/>
        </w:rPr>
        <w:t xml:space="preserve"> </w:t>
      </w:r>
      <w:r>
        <w:rPr>
          <w:spacing w:val="-2"/>
          <w:sz w:val="18"/>
        </w:rPr>
        <w:t>7.227.</w:t>
      </w:r>
    </w:p>
    <w:p w14:paraId="660853EA" w14:textId="77777777" w:rsidR="00BD462C" w:rsidRDefault="00BD462C">
      <w:pPr>
        <w:rPr>
          <w:sz w:val="18"/>
        </w:rPr>
        <w:sectPr w:rsidR="00BD462C">
          <w:pgSz w:w="11910" w:h="16840"/>
          <w:pgMar w:top="860" w:right="500" w:bottom="780" w:left="1280" w:header="566" w:footer="590" w:gutter="0"/>
          <w:cols w:space="720"/>
        </w:sectPr>
      </w:pPr>
    </w:p>
    <w:p w14:paraId="6888380F"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4CDB818C"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1C05B97E"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22A9E440" w14:textId="75DEC1DA" w:rsidR="00BD462C" w:rsidRDefault="00C8372C">
      <w:pPr>
        <w:pStyle w:val="BodyText"/>
        <w:spacing w:before="107" w:line="360" w:lineRule="auto"/>
        <w:ind w:left="135" w:right="913"/>
        <w:jc w:val="both"/>
      </w:pPr>
      <w:r>
        <w:rPr>
          <w:noProof/>
        </w:rPr>
        <w:t>937.</w:t>
      </w:r>
      <w:r w:rsidR="00033D0F">
        <w:rPr>
          <w:rFonts w:ascii="Times New Roman" w:hAnsi="Times New Roman"/>
          <w:spacing w:val="40"/>
          <w:position w:val="1"/>
          <w:sz w:val="20"/>
        </w:rPr>
        <w:t xml:space="preserve">  </w:t>
      </w:r>
      <w:r w:rsidR="00033D0F">
        <w:rPr>
          <w:position w:val="1"/>
        </w:rPr>
        <w:t>China goes on to argue that "[i]t was clear from the disclosures […] that all</w:t>
      </w:r>
      <w:r w:rsidR="00033D0F">
        <w:rPr>
          <w:spacing w:val="40"/>
          <w:position w:val="1"/>
        </w:rPr>
        <w:t xml:space="preserve"> </w:t>
      </w:r>
      <w:r w:rsidR="00033D0F">
        <w:t>adjustments that were requested by Treasury Wines (whose data formed the basis for the normal</w:t>
      </w:r>
      <w:r w:rsidR="00033D0F">
        <w:rPr>
          <w:spacing w:val="-4"/>
        </w:rPr>
        <w:t xml:space="preserve"> </w:t>
      </w:r>
      <w:r w:rsidR="00033D0F">
        <w:t>value</w:t>
      </w:r>
      <w:r w:rsidR="00033D0F">
        <w:rPr>
          <w:spacing w:val="-6"/>
        </w:rPr>
        <w:t xml:space="preserve"> </w:t>
      </w:r>
      <w:r w:rsidR="00033D0F">
        <w:t>for</w:t>
      </w:r>
      <w:r w:rsidR="00033D0F">
        <w:rPr>
          <w:spacing w:val="-4"/>
        </w:rPr>
        <w:t xml:space="preserve"> </w:t>
      </w:r>
      <w:r w:rsidR="00033D0F">
        <w:t>Casella</w:t>
      </w:r>
      <w:r w:rsidR="00033D0F">
        <w:rPr>
          <w:spacing w:val="-7"/>
        </w:rPr>
        <w:t xml:space="preserve"> </w:t>
      </w:r>
      <w:r w:rsidR="00033D0F">
        <w:t>Wines</w:t>
      </w:r>
      <w:r w:rsidR="00033D0F">
        <w:rPr>
          <w:spacing w:val="-5"/>
        </w:rPr>
        <w:t xml:space="preserve"> </w:t>
      </w:r>
      <w:r w:rsidR="00033D0F">
        <w:t>and</w:t>
      </w:r>
      <w:r w:rsidR="00033D0F">
        <w:rPr>
          <w:spacing w:val="-8"/>
        </w:rPr>
        <w:t xml:space="preserve"> </w:t>
      </w:r>
      <w:r w:rsidR="00033D0F">
        <w:t>Swan</w:t>
      </w:r>
      <w:r w:rsidR="00033D0F">
        <w:rPr>
          <w:spacing w:val="-3"/>
        </w:rPr>
        <w:t xml:space="preserve"> </w:t>
      </w:r>
      <w:r w:rsidR="00033D0F">
        <w:t>Vintage)</w:t>
      </w:r>
      <w:r w:rsidR="00033D0F">
        <w:rPr>
          <w:spacing w:val="-8"/>
        </w:rPr>
        <w:t xml:space="preserve"> </w:t>
      </w:r>
      <w:r w:rsidR="00033D0F">
        <w:t>were</w:t>
      </w:r>
      <w:r w:rsidR="00033D0F">
        <w:rPr>
          <w:spacing w:val="-6"/>
        </w:rPr>
        <w:t xml:space="preserve"> </w:t>
      </w:r>
      <w:r w:rsidR="00033D0F">
        <w:t>accepted</w:t>
      </w:r>
      <w:r w:rsidR="00033D0F">
        <w:rPr>
          <w:spacing w:val="-3"/>
        </w:rPr>
        <w:t xml:space="preserve"> </w:t>
      </w:r>
      <w:r w:rsidR="00033D0F">
        <w:t>for</w:t>
      </w:r>
      <w:r w:rsidR="00033D0F">
        <w:rPr>
          <w:spacing w:val="-4"/>
        </w:rPr>
        <w:t xml:space="preserve"> </w:t>
      </w:r>
      <w:r w:rsidR="00033D0F">
        <w:t>Casella</w:t>
      </w:r>
      <w:r w:rsidR="00033D0F">
        <w:rPr>
          <w:spacing w:val="-7"/>
        </w:rPr>
        <w:t xml:space="preserve"> </w:t>
      </w:r>
      <w:r w:rsidR="00033D0F">
        <w:t>Wines</w:t>
      </w:r>
      <w:r w:rsidR="00033D0F">
        <w:rPr>
          <w:spacing w:val="-5"/>
        </w:rPr>
        <w:t xml:space="preserve"> </w:t>
      </w:r>
      <w:r w:rsidR="00033D0F">
        <w:t>and</w:t>
      </w:r>
      <w:r w:rsidR="00033D0F">
        <w:rPr>
          <w:spacing w:val="-8"/>
        </w:rPr>
        <w:t xml:space="preserve"> </w:t>
      </w:r>
      <w:r w:rsidR="00033D0F">
        <w:t>Swan Vintage." However, as explained earlier,</w:t>
      </w:r>
      <w:hyperlink w:anchor="_bookmark1569" w:history="1">
        <w:r w:rsidR="00033D0F">
          <w:rPr>
            <w:vertAlign w:val="superscript"/>
          </w:rPr>
          <w:t>1357</w:t>
        </w:r>
      </w:hyperlink>
      <w:r w:rsidR="00033D0F">
        <w:t xml:space="preserve"> this position by China is contradictory to its response</w:t>
      </w:r>
      <w:r w:rsidR="00033D0F">
        <w:rPr>
          <w:spacing w:val="-7"/>
        </w:rPr>
        <w:t xml:space="preserve"> </w:t>
      </w:r>
      <w:r w:rsidR="00033D0F">
        <w:t>to</w:t>
      </w:r>
      <w:r w:rsidR="00033D0F">
        <w:rPr>
          <w:spacing w:val="-9"/>
        </w:rPr>
        <w:t xml:space="preserve"> </w:t>
      </w:r>
      <w:r w:rsidR="00033D0F">
        <w:t>the</w:t>
      </w:r>
      <w:r w:rsidR="00033D0F">
        <w:rPr>
          <w:spacing w:val="-7"/>
        </w:rPr>
        <w:t xml:space="preserve"> </w:t>
      </w:r>
      <w:r w:rsidR="00033D0F">
        <w:t>Panel</w:t>
      </w:r>
      <w:r w:rsidR="00033D0F">
        <w:rPr>
          <w:spacing w:val="-5"/>
        </w:rPr>
        <w:t xml:space="preserve"> </w:t>
      </w:r>
      <w:r w:rsidR="00033D0F">
        <w:t>question</w:t>
      </w:r>
      <w:r w:rsidR="00033D0F">
        <w:rPr>
          <w:spacing w:val="-9"/>
        </w:rPr>
        <w:t xml:space="preserve"> </w:t>
      </w:r>
      <w:r w:rsidR="00033D0F">
        <w:t>No.</w:t>
      </w:r>
      <w:r w:rsidR="00033D0F">
        <w:rPr>
          <w:spacing w:val="-1"/>
        </w:rPr>
        <w:t xml:space="preserve"> </w:t>
      </w:r>
      <w:r w:rsidR="00033D0F">
        <w:t>56</w:t>
      </w:r>
      <w:r w:rsidR="00033D0F">
        <w:rPr>
          <w:spacing w:val="-9"/>
        </w:rPr>
        <w:t xml:space="preserve"> </w:t>
      </w:r>
      <w:r w:rsidR="00033D0F">
        <w:t>and</w:t>
      </w:r>
      <w:r w:rsidR="00033D0F">
        <w:rPr>
          <w:spacing w:val="-9"/>
        </w:rPr>
        <w:t xml:space="preserve"> </w:t>
      </w:r>
      <w:r w:rsidR="00033D0F">
        <w:t>its</w:t>
      </w:r>
      <w:r w:rsidR="00033D0F">
        <w:rPr>
          <w:spacing w:val="-6"/>
        </w:rPr>
        <w:t xml:space="preserve"> </w:t>
      </w:r>
      <w:r w:rsidR="00033D0F">
        <w:t>response</w:t>
      </w:r>
      <w:r w:rsidR="00033D0F">
        <w:rPr>
          <w:spacing w:val="-6"/>
        </w:rPr>
        <w:t xml:space="preserve"> </w:t>
      </w:r>
      <w:r w:rsidR="00033D0F">
        <w:t>in</w:t>
      </w:r>
      <w:r w:rsidR="00033D0F">
        <w:rPr>
          <w:spacing w:val="-9"/>
        </w:rPr>
        <w:t xml:space="preserve"> </w:t>
      </w:r>
      <w:r w:rsidR="00033D0F">
        <w:t>the</w:t>
      </w:r>
      <w:r w:rsidR="00033D0F">
        <w:rPr>
          <w:spacing w:val="-7"/>
        </w:rPr>
        <w:t xml:space="preserve"> </w:t>
      </w:r>
      <w:r w:rsidR="00033D0F">
        <w:t>first</w:t>
      </w:r>
      <w:r w:rsidR="00033D0F">
        <w:rPr>
          <w:spacing w:val="-7"/>
        </w:rPr>
        <w:t xml:space="preserve"> </w:t>
      </w:r>
      <w:r w:rsidR="00033D0F">
        <w:t>substantive</w:t>
      </w:r>
      <w:r w:rsidR="00033D0F">
        <w:rPr>
          <w:spacing w:val="-7"/>
        </w:rPr>
        <w:t xml:space="preserve"> </w:t>
      </w:r>
      <w:r w:rsidR="00033D0F">
        <w:t>meeting</w:t>
      </w:r>
      <w:r w:rsidR="00033D0F">
        <w:rPr>
          <w:spacing w:val="-6"/>
        </w:rPr>
        <w:t xml:space="preserve"> </w:t>
      </w:r>
      <w:r w:rsidR="00033D0F">
        <w:t>where China</w:t>
      </w:r>
      <w:r w:rsidR="00033D0F">
        <w:rPr>
          <w:spacing w:val="-8"/>
        </w:rPr>
        <w:t xml:space="preserve"> </w:t>
      </w:r>
      <w:r w:rsidR="00033D0F">
        <w:t>admitted</w:t>
      </w:r>
      <w:r w:rsidR="00033D0F">
        <w:rPr>
          <w:spacing w:val="-9"/>
        </w:rPr>
        <w:t xml:space="preserve"> </w:t>
      </w:r>
      <w:r w:rsidR="00033D0F">
        <w:t>that</w:t>
      </w:r>
      <w:r w:rsidR="00033D0F">
        <w:rPr>
          <w:spacing w:val="-7"/>
        </w:rPr>
        <w:t xml:space="preserve"> </w:t>
      </w:r>
      <w:r w:rsidR="00033D0F">
        <w:t>MOFCOM</w:t>
      </w:r>
      <w:r w:rsidR="00033D0F">
        <w:rPr>
          <w:spacing w:val="-7"/>
        </w:rPr>
        <w:t xml:space="preserve"> </w:t>
      </w:r>
      <w:r w:rsidR="00033D0F">
        <w:t>used</w:t>
      </w:r>
      <w:r w:rsidR="00033D0F">
        <w:rPr>
          <w:spacing w:val="-9"/>
        </w:rPr>
        <w:t xml:space="preserve"> </w:t>
      </w:r>
      <w:r w:rsidR="00033D0F">
        <w:t>the</w:t>
      </w:r>
      <w:r w:rsidR="00033D0F">
        <w:rPr>
          <w:spacing w:val="-7"/>
        </w:rPr>
        <w:t xml:space="preserve"> </w:t>
      </w:r>
      <w:r w:rsidR="00033D0F">
        <w:t>term</w:t>
      </w:r>
      <w:r w:rsidR="00033D0F">
        <w:rPr>
          <w:spacing w:val="-7"/>
        </w:rPr>
        <w:t xml:space="preserve"> </w:t>
      </w:r>
      <w:r w:rsidR="00033D0F">
        <w:t>"other</w:t>
      </w:r>
      <w:r w:rsidR="00033D0F">
        <w:rPr>
          <w:spacing w:val="-10"/>
        </w:rPr>
        <w:t xml:space="preserve"> </w:t>
      </w:r>
      <w:r w:rsidR="00033D0F">
        <w:t>respondent(s)"</w:t>
      </w:r>
      <w:r w:rsidR="00033D0F">
        <w:rPr>
          <w:spacing w:val="-8"/>
        </w:rPr>
        <w:t xml:space="preserve"> </w:t>
      </w:r>
      <w:r w:rsidR="00033D0F">
        <w:t>(instead</w:t>
      </w:r>
      <w:r w:rsidR="00033D0F">
        <w:rPr>
          <w:spacing w:val="-9"/>
        </w:rPr>
        <w:t xml:space="preserve"> </w:t>
      </w:r>
      <w:r w:rsidR="00033D0F">
        <w:t>of</w:t>
      </w:r>
      <w:r w:rsidR="00033D0F">
        <w:rPr>
          <w:spacing w:val="-9"/>
        </w:rPr>
        <w:t xml:space="preserve"> </w:t>
      </w:r>
      <w:r w:rsidR="00033D0F">
        <w:t>stating</w:t>
      </w:r>
      <w:r w:rsidR="00033D0F">
        <w:rPr>
          <w:spacing w:val="-6"/>
        </w:rPr>
        <w:t xml:space="preserve"> </w:t>
      </w:r>
      <w:r w:rsidR="00033D0F">
        <w:t>it</w:t>
      </w:r>
      <w:r w:rsidR="00033D0F">
        <w:rPr>
          <w:spacing w:val="-7"/>
        </w:rPr>
        <w:t xml:space="preserve"> </w:t>
      </w:r>
      <w:r w:rsidR="00033D0F">
        <w:t>used Treasury</w:t>
      </w:r>
      <w:r w:rsidR="00033D0F">
        <w:rPr>
          <w:spacing w:val="-14"/>
        </w:rPr>
        <w:t xml:space="preserve"> </w:t>
      </w:r>
      <w:r w:rsidR="00033D0F">
        <w:t>Wines'</w:t>
      </w:r>
      <w:r w:rsidR="00033D0F">
        <w:rPr>
          <w:spacing w:val="-14"/>
        </w:rPr>
        <w:t xml:space="preserve"> </w:t>
      </w:r>
      <w:r w:rsidR="00033D0F">
        <w:t>data)</w:t>
      </w:r>
      <w:r w:rsidR="00033D0F">
        <w:rPr>
          <w:spacing w:val="-13"/>
        </w:rPr>
        <w:t xml:space="preserve"> </w:t>
      </w:r>
      <w:r w:rsidR="00033D0F">
        <w:t>to</w:t>
      </w:r>
      <w:r w:rsidR="00033D0F">
        <w:rPr>
          <w:spacing w:val="-14"/>
        </w:rPr>
        <w:t xml:space="preserve"> </w:t>
      </w:r>
      <w:r w:rsidR="00033D0F">
        <w:t>be</w:t>
      </w:r>
      <w:r w:rsidR="00033D0F">
        <w:rPr>
          <w:spacing w:val="-13"/>
        </w:rPr>
        <w:t xml:space="preserve"> </w:t>
      </w:r>
      <w:r w:rsidR="00033D0F">
        <w:t>deliberately</w:t>
      </w:r>
      <w:r w:rsidR="00033D0F">
        <w:rPr>
          <w:spacing w:val="-14"/>
        </w:rPr>
        <w:t xml:space="preserve"> </w:t>
      </w:r>
      <w:r w:rsidR="00033D0F">
        <w:t>vague.</w:t>
      </w:r>
      <w:hyperlink w:anchor="_bookmark1570" w:history="1">
        <w:r w:rsidR="00033D0F">
          <w:rPr>
            <w:vertAlign w:val="superscript"/>
          </w:rPr>
          <w:t>1358</w:t>
        </w:r>
      </w:hyperlink>
      <w:r w:rsidR="00033D0F">
        <w:rPr>
          <w:spacing w:val="-13"/>
        </w:rPr>
        <w:t xml:space="preserve"> </w:t>
      </w:r>
      <w:r w:rsidR="00033D0F">
        <w:t>China</w:t>
      </w:r>
      <w:r w:rsidR="00033D0F">
        <w:rPr>
          <w:spacing w:val="-14"/>
        </w:rPr>
        <w:t xml:space="preserve"> </w:t>
      </w:r>
      <w:r w:rsidR="00033D0F">
        <w:t>now</w:t>
      </w:r>
      <w:r w:rsidR="00033D0F">
        <w:rPr>
          <w:spacing w:val="-14"/>
        </w:rPr>
        <w:t xml:space="preserve"> </w:t>
      </w:r>
      <w:r w:rsidR="00033D0F">
        <w:t>cannot</w:t>
      </w:r>
      <w:r w:rsidR="00033D0F">
        <w:rPr>
          <w:spacing w:val="-13"/>
        </w:rPr>
        <w:t xml:space="preserve"> </w:t>
      </w:r>
      <w:r w:rsidR="00033D0F">
        <w:t>argue</w:t>
      </w:r>
      <w:r w:rsidR="00033D0F">
        <w:rPr>
          <w:spacing w:val="-14"/>
        </w:rPr>
        <w:t xml:space="preserve"> </w:t>
      </w:r>
      <w:r w:rsidR="00033D0F">
        <w:t>that</w:t>
      </w:r>
      <w:r w:rsidR="00033D0F">
        <w:rPr>
          <w:spacing w:val="-13"/>
        </w:rPr>
        <w:t xml:space="preserve"> </w:t>
      </w:r>
      <w:r w:rsidR="00033D0F">
        <w:t>it</w:t>
      </w:r>
      <w:r w:rsidR="00033D0F">
        <w:rPr>
          <w:spacing w:val="-14"/>
        </w:rPr>
        <w:t xml:space="preserve"> </w:t>
      </w:r>
      <w:r w:rsidR="00033D0F">
        <w:t>was</w:t>
      </w:r>
      <w:r w:rsidR="00033D0F">
        <w:rPr>
          <w:spacing w:val="-13"/>
        </w:rPr>
        <w:t xml:space="preserve"> </w:t>
      </w:r>
      <w:r w:rsidR="00033D0F">
        <w:t>obvious Treasury</w:t>
      </w:r>
      <w:r w:rsidR="00033D0F">
        <w:rPr>
          <w:spacing w:val="-7"/>
        </w:rPr>
        <w:t xml:space="preserve"> </w:t>
      </w:r>
      <w:r w:rsidR="00033D0F">
        <w:t>Wines'</w:t>
      </w:r>
      <w:r w:rsidR="00033D0F">
        <w:rPr>
          <w:spacing w:val="-9"/>
        </w:rPr>
        <w:t xml:space="preserve"> </w:t>
      </w:r>
      <w:r w:rsidR="00033D0F">
        <w:t>data</w:t>
      </w:r>
      <w:r w:rsidR="00033D0F">
        <w:rPr>
          <w:spacing w:val="-9"/>
        </w:rPr>
        <w:t xml:space="preserve"> </w:t>
      </w:r>
      <w:r w:rsidR="00033D0F">
        <w:t>was</w:t>
      </w:r>
      <w:r w:rsidR="00033D0F">
        <w:rPr>
          <w:spacing w:val="-7"/>
        </w:rPr>
        <w:t xml:space="preserve"> </w:t>
      </w:r>
      <w:r w:rsidR="00033D0F">
        <w:t>used</w:t>
      </w:r>
      <w:r w:rsidR="00033D0F">
        <w:rPr>
          <w:spacing w:val="-10"/>
        </w:rPr>
        <w:t xml:space="preserve"> </w:t>
      </w:r>
      <w:r w:rsidR="00033D0F">
        <w:t>when</w:t>
      </w:r>
      <w:r w:rsidR="00033D0F">
        <w:rPr>
          <w:spacing w:val="-10"/>
        </w:rPr>
        <w:t xml:space="preserve"> </w:t>
      </w:r>
      <w:r w:rsidR="00033D0F">
        <w:t>MOFCOM</w:t>
      </w:r>
      <w:r w:rsidR="00033D0F">
        <w:rPr>
          <w:spacing w:val="-8"/>
        </w:rPr>
        <w:t xml:space="preserve"> </w:t>
      </w:r>
      <w:r w:rsidR="00033D0F">
        <w:t>purposefully</w:t>
      </w:r>
      <w:r w:rsidR="00033D0F">
        <w:rPr>
          <w:spacing w:val="-7"/>
        </w:rPr>
        <w:t xml:space="preserve"> </w:t>
      </w:r>
      <w:r w:rsidR="00033D0F">
        <w:t>introduced</w:t>
      </w:r>
      <w:r w:rsidR="00033D0F">
        <w:rPr>
          <w:spacing w:val="-10"/>
        </w:rPr>
        <w:t xml:space="preserve"> </w:t>
      </w:r>
      <w:r w:rsidR="00033D0F">
        <w:t>ambiguity</w:t>
      </w:r>
      <w:r w:rsidR="00033D0F">
        <w:rPr>
          <w:spacing w:val="-7"/>
        </w:rPr>
        <w:t xml:space="preserve"> </w:t>
      </w:r>
      <w:r w:rsidR="00033D0F">
        <w:t>to</w:t>
      </w:r>
      <w:r w:rsidR="00033D0F">
        <w:rPr>
          <w:spacing w:val="-11"/>
        </w:rPr>
        <w:t xml:space="preserve"> </w:t>
      </w:r>
      <w:r w:rsidR="00033D0F">
        <w:t>prevent this from</w:t>
      </w:r>
      <w:r w:rsidR="00033D0F">
        <w:rPr>
          <w:spacing w:val="-2"/>
        </w:rPr>
        <w:t xml:space="preserve"> </w:t>
      </w:r>
      <w:r w:rsidR="00033D0F">
        <w:t>indeed being "obvious". As such, in</w:t>
      </w:r>
      <w:r w:rsidR="00033D0F">
        <w:rPr>
          <w:spacing w:val="-3"/>
        </w:rPr>
        <w:t xml:space="preserve"> </w:t>
      </w:r>
      <w:r w:rsidR="00033D0F">
        <w:t>order</w:t>
      </w:r>
      <w:r w:rsidR="00033D0F">
        <w:rPr>
          <w:spacing w:val="-4"/>
        </w:rPr>
        <w:t xml:space="preserve"> </w:t>
      </w:r>
      <w:r w:rsidR="00033D0F">
        <w:t>for interested</w:t>
      </w:r>
      <w:r w:rsidR="00033D0F">
        <w:rPr>
          <w:spacing w:val="-3"/>
        </w:rPr>
        <w:t xml:space="preserve"> </w:t>
      </w:r>
      <w:r w:rsidR="00033D0F">
        <w:t>parties to</w:t>
      </w:r>
      <w:r w:rsidR="00033D0F">
        <w:rPr>
          <w:spacing w:val="-4"/>
        </w:rPr>
        <w:t xml:space="preserve"> </w:t>
      </w:r>
      <w:r w:rsidR="00033D0F">
        <w:t>develop</w:t>
      </w:r>
      <w:r w:rsidR="00033D0F">
        <w:rPr>
          <w:spacing w:val="-3"/>
        </w:rPr>
        <w:t xml:space="preserve"> </w:t>
      </w:r>
      <w:r w:rsidR="00033D0F">
        <w:t>any idea of how MOFCOM reached their determinations, interested parties were forced to engage in extensive back calculations (to the extent possible) to attempt to comprehend MOFCOM's methodology and defend their interests in the investigation.</w:t>
      </w:r>
      <w:hyperlink w:anchor="_bookmark1571" w:history="1">
        <w:r w:rsidR="00033D0F">
          <w:rPr>
            <w:vertAlign w:val="superscript"/>
          </w:rPr>
          <w:t>1359</w:t>
        </w:r>
      </w:hyperlink>
    </w:p>
    <w:p w14:paraId="6AA63E0B" w14:textId="77777777" w:rsidR="00BD462C" w:rsidRDefault="00033D0F">
      <w:pPr>
        <w:pStyle w:val="ListParagraph"/>
        <w:numPr>
          <w:ilvl w:val="1"/>
          <w:numId w:val="15"/>
        </w:numPr>
        <w:tabs>
          <w:tab w:val="left" w:pos="3539"/>
          <w:tab w:val="left" w:pos="3540"/>
        </w:tabs>
        <w:spacing w:before="156"/>
        <w:ind w:hanging="851"/>
        <w:jc w:val="both"/>
        <w:rPr>
          <w:sz w:val="24"/>
        </w:rPr>
      </w:pPr>
      <w:r>
        <w:rPr>
          <w:sz w:val="24"/>
        </w:rPr>
        <w:t>Fair</w:t>
      </w:r>
      <w:r>
        <w:rPr>
          <w:spacing w:val="-2"/>
          <w:sz w:val="24"/>
        </w:rPr>
        <w:t xml:space="preserve"> comparison</w:t>
      </w:r>
    </w:p>
    <w:p w14:paraId="06A72130" w14:textId="77777777" w:rsidR="00BD462C" w:rsidRDefault="00BD462C">
      <w:pPr>
        <w:pStyle w:val="BodyText"/>
        <w:spacing w:before="6"/>
        <w:rPr>
          <w:sz w:val="20"/>
        </w:rPr>
      </w:pPr>
    </w:p>
    <w:p w14:paraId="54B0E536" w14:textId="7E713722" w:rsidR="00BD462C" w:rsidRDefault="0076345F">
      <w:pPr>
        <w:pStyle w:val="BodyText"/>
        <w:spacing w:before="56" w:line="360" w:lineRule="auto"/>
        <w:ind w:left="135" w:right="911"/>
        <w:jc w:val="both"/>
      </w:pPr>
      <w:r>
        <w:rPr>
          <w:noProof/>
        </w:rPr>
        <w:t>938.</w:t>
      </w:r>
      <w:r w:rsidR="00033D0F">
        <w:rPr>
          <w:rFonts w:ascii="Times New Roman"/>
          <w:spacing w:val="80"/>
          <w:position w:val="1"/>
          <w:sz w:val="20"/>
        </w:rPr>
        <w:t xml:space="preserve">  </w:t>
      </w:r>
      <w:r w:rsidR="00033D0F">
        <w:rPr>
          <w:position w:val="1"/>
        </w:rPr>
        <w:t>Australia</w:t>
      </w:r>
      <w:r w:rsidR="00033D0F">
        <w:rPr>
          <w:spacing w:val="-4"/>
          <w:position w:val="1"/>
        </w:rPr>
        <w:t xml:space="preserve"> </w:t>
      </w:r>
      <w:r w:rsidR="00033D0F">
        <w:rPr>
          <w:position w:val="1"/>
        </w:rPr>
        <w:t>has</w:t>
      </w:r>
      <w:r w:rsidR="00033D0F">
        <w:rPr>
          <w:spacing w:val="-2"/>
          <w:position w:val="1"/>
        </w:rPr>
        <w:t xml:space="preserve"> </w:t>
      </w:r>
      <w:r w:rsidR="00033D0F">
        <w:rPr>
          <w:position w:val="1"/>
        </w:rPr>
        <w:t>established</w:t>
      </w:r>
      <w:r w:rsidR="00033D0F">
        <w:rPr>
          <w:spacing w:val="-5"/>
          <w:position w:val="1"/>
        </w:rPr>
        <w:t xml:space="preserve"> </w:t>
      </w:r>
      <w:r w:rsidR="00033D0F">
        <w:rPr>
          <w:position w:val="1"/>
        </w:rPr>
        <w:t>that</w:t>
      </w:r>
      <w:r w:rsidR="00033D0F">
        <w:rPr>
          <w:spacing w:val="-3"/>
          <w:position w:val="1"/>
        </w:rPr>
        <w:t xml:space="preserve"> </w:t>
      </w:r>
      <w:r w:rsidR="00033D0F">
        <w:rPr>
          <w:position w:val="1"/>
        </w:rPr>
        <w:t>MOFCOM</w:t>
      </w:r>
      <w:r w:rsidR="00033D0F">
        <w:rPr>
          <w:spacing w:val="-8"/>
          <w:position w:val="1"/>
        </w:rPr>
        <w:t xml:space="preserve"> </w:t>
      </w:r>
      <w:r w:rsidR="00033D0F">
        <w:rPr>
          <w:position w:val="1"/>
        </w:rPr>
        <w:t>did</w:t>
      </w:r>
      <w:r w:rsidR="00033D0F">
        <w:rPr>
          <w:spacing w:val="-5"/>
          <w:position w:val="1"/>
        </w:rPr>
        <w:t xml:space="preserve"> </w:t>
      </w:r>
      <w:r w:rsidR="00033D0F">
        <w:rPr>
          <w:position w:val="1"/>
        </w:rPr>
        <w:t>not</w:t>
      </w:r>
      <w:r w:rsidR="00033D0F">
        <w:rPr>
          <w:spacing w:val="-3"/>
          <w:position w:val="1"/>
        </w:rPr>
        <w:t xml:space="preserve"> </w:t>
      </w:r>
      <w:r w:rsidR="00033D0F">
        <w:rPr>
          <w:position w:val="1"/>
        </w:rPr>
        <w:t>provide</w:t>
      </w:r>
      <w:r w:rsidR="00033D0F">
        <w:rPr>
          <w:spacing w:val="-4"/>
          <w:position w:val="1"/>
        </w:rPr>
        <w:t xml:space="preserve"> </w:t>
      </w:r>
      <w:r w:rsidR="00033D0F">
        <w:rPr>
          <w:position w:val="1"/>
        </w:rPr>
        <w:t>all</w:t>
      </w:r>
      <w:r w:rsidR="00033D0F">
        <w:rPr>
          <w:spacing w:val="-1"/>
          <w:position w:val="1"/>
        </w:rPr>
        <w:t xml:space="preserve"> </w:t>
      </w:r>
      <w:r w:rsidR="00033D0F">
        <w:rPr>
          <w:position w:val="1"/>
        </w:rPr>
        <w:t>of</w:t>
      </w:r>
      <w:r w:rsidR="00033D0F">
        <w:rPr>
          <w:spacing w:val="-5"/>
          <w:position w:val="1"/>
        </w:rPr>
        <w:t xml:space="preserve"> </w:t>
      </w:r>
      <w:r w:rsidR="00033D0F">
        <w:rPr>
          <w:position w:val="1"/>
        </w:rPr>
        <w:t>the</w:t>
      </w:r>
      <w:r w:rsidR="00033D0F">
        <w:rPr>
          <w:spacing w:val="-4"/>
          <w:position w:val="1"/>
        </w:rPr>
        <w:t xml:space="preserve"> </w:t>
      </w:r>
      <w:r w:rsidR="00033D0F">
        <w:rPr>
          <w:position w:val="1"/>
        </w:rPr>
        <w:t>essential</w:t>
      </w:r>
      <w:r w:rsidR="00033D0F">
        <w:rPr>
          <w:spacing w:val="-1"/>
          <w:position w:val="1"/>
        </w:rPr>
        <w:t xml:space="preserve"> </w:t>
      </w:r>
      <w:r w:rsidR="00033D0F">
        <w:rPr>
          <w:position w:val="1"/>
        </w:rPr>
        <w:t>facts</w:t>
      </w:r>
      <w:r w:rsidR="00033D0F">
        <w:rPr>
          <w:spacing w:val="-2"/>
          <w:position w:val="1"/>
        </w:rPr>
        <w:t xml:space="preserve"> </w:t>
      </w:r>
      <w:r w:rsidR="00033D0F">
        <w:rPr>
          <w:position w:val="1"/>
        </w:rPr>
        <w:t xml:space="preserve">that </w:t>
      </w:r>
      <w:r w:rsidR="00033D0F">
        <w:t>were relevant to accounting for differences in price comparability, including price adjustments, to enable a fair comparison under Article 2.4.</w:t>
      </w:r>
      <w:hyperlink w:anchor="_bookmark1572" w:history="1">
        <w:r w:rsidR="00033D0F">
          <w:rPr>
            <w:vertAlign w:val="superscript"/>
          </w:rPr>
          <w:t>1360</w:t>
        </w:r>
      </w:hyperlink>
    </w:p>
    <w:p w14:paraId="215619FE" w14:textId="77777777" w:rsidR="00BD462C" w:rsidRDefault="00BD462C">
      <w:pPr>
        <w:pStyle w:val="BodyText"/>
        <w:spacing w:before="6"/>
        <w:rPr>
          <w:sz w:val="8"/>
        </w:rPr>
      </w:pPr>
    </w:p>
    <w:p w14:paraId="7F2FE2C9" w14:textId="145740D3" w:rsidR="00BD462C" w:rsidRDefault="0076345F">
      <w:pPr>
        <w:pStyle w:val="BodyText"/>
        <w:spacing w:before="56" w:line="360" w:lineRule="auto"/>
        <w:ind w:left="135" w:right="913"/>
        <w:jc w:val="both"/>
      </w:pPr>
      <w:r>
        <w:rPr>
          <w:noProof/>
        </w:rPr>
        <w:t>939.</w:t>
      </w:r>
      <w:r w:rsidR="00033D0F">
        <w:rPr>
          <w:rFonts w:ascii="Times New Roman"/>
          <w:spacing w:val="80"/>
          <w:position w:val="1"/>
          <w:sz w:val="20"/>
        </w:rPr>
        <w:t xml:space="preserve">  </w:t>
      </w:r>
      <w:r w:rsidR="00033D0F">
        <w:rPr>
          <w:position w:val="1"/>
        </w:rPr>
        <w:t>China's</w:t>
      </w:r>
      <w:r w:rsidR="00033D0F">
        <w:rPr>
          <w:spacing w:val="-2"/>
          <w:position w:val="1"/>
        </w:rPr>
        <w:t xml:space="preserve"> </w:t>
      </w:r>
      <w:r w:rsidR="00033D0F">
        <w:rPr>
          <w:position w:val="1"/>
        </w:rPr>
        <w:t>submission</w:t>
      </w:r>
      <w:r w:rsidR="00033D0F">
        <w:rPr>
          <w:spacing w:val="-5"/>
          <w:position w:val="1"/>
        </w:rPr>
        <w:t xml:space="preserve"> </w:t>
      </w:r>
      <w:r w:rsidR="00033D0F">
        <w:rPr>
          <w:position w:val="1"/>
        </w:rPr>
        <w:t>appears</w:t>
      </w:r>
      <w:r w:rsidR="00033D0F">
        <w:rPr>
          <w:spacing w:val="-2"/>
          <w:position w:val="1"/>
        </w:rPr>
        <w:t xml:space="preserve"> </w:t>
      </w:r>
      <w:r w:rsidR="00033D0F">
        <w:rPr>
          <w:position w:val="1"/>
        </w:rPr>
        <w:t>to</w:t>
      </w:r>
      <w:r w:rsidR="00033D0F">
        <w:rPr>
          <w:spacing w:val="-6"/>
          <w:position w:val="1"/>
        </w:rPr>
        <w:t xml:space="preserve"> </w:t>
      </w:r>
      <w:r w:rsidR="00033D0F">
        <w:rPr>
          <w:position w:val="1"/>
        </w:rPr>
        <w:t>be</w:t>
      </w:r>
      <w:r w:rsidR="00033D0F">
        <w:rPr>
          <w:spacing w:val="-4"/>
          <w:position w:val="1"/>
        </w:rPr>
        <w:t xml:space="preserve"> </w:t>
      </w:r>
      <w:r w:rsidR="00033D0F">
        <w:rPr>
          <w:position w:val="1"/>
        </w:rPr>
        <w:t>that</w:t>
      </w:r>
      <w:r w:rsidR="00033D0F">
        <w:rPr>
          <w:spacing w:val="-3"/>
          <w:position w:val="1"/>
        </w:rPr>
        <w:t xml:space="preserve"> </w:t>
      </w:r>
      <w:r w:rsidR="00033D0F">
        <w:rPr>
          <w:position w:val="1"/>
        </w:rPr>
        <w:t>as</w:t>
      </w:r>
      <w:r w:rsidR="00033D0F">
        <w:rPr>
          <w:spacing w:val="-2"/>
          <w:position w:val="1"/>
        </w:rPr>
        <w:t xml:space="preserve"> </w:t>
      </w:r>
      <w:r w:rsidR="00033D0F">
        <w:rPr>
          <w:position w:val="1"/>
        </w:rPr>
        <w:t>no</w:t>
      </w:r>
      <w:r w:rsidR="00033D0F">
        <w:rPr>
          <w:spacing w:val="-6"/>
          <w:position w:val="1"/>
        </w:rPr>
        <w:t xml:space="preserve"> </w:t>
      </w:r>
      <w:r w:rsidR="00033D0F">
        <w:rPr>
          <w:position w:val="1"/>
        </w:rPr>
        <w:t>adjustments</w:t>
      </w:r>
      <w:r w:rsidR="00033D0F">
        <w:rPr>
          <w:spacing w:val="-2"/>
          <w:position w:val="1"/>
        </w:rPr>
        <w:t xml:space="preserve"> </w:t>
      </w:r>
      <w:r w:rsidR="00033D0F">
        <w:rPr>
          <w:position w:val="1"/>
        </w:rPr>
        <w:t>were</w:t>
      </w:r>
      <w:r w:rsidR="00033D0F">
        <w:rPr>
          <w:spacing w:val="-3"/>
          <w:position w:val="1"/>
        </w:rPr>
        <w:t xml:space="preserve"> </w:t>
      </w:r>
      <w:r w:rsidR="00033D0F">
        <w:rPr>
          <w:position w:val="1"/>
        </w:rPr>
        <w:t>requested</w:t>
      </w:r>
      <w:r w:rsidR="00033D0F">
        <w:rPr>
          <w:spacing w:val="-5"/>
          <w:position w:val="1"/>
        </w:rPr>
        <w:t xml:space="preserve"> </w:t>
      </w:r>
      <w:r w:rsidR="00033D0F">
        <w:rPr>
          <w:position w:val="1"/>
        </w:rPr>
        <w:t>or</w:t>
      </w:r>
      <w:r w:rsidR="00033D0F">
        <w:rPr>
          <w:spacing w:val="-6"/>
          <w:position w:val="1"/>
        </w:rPr>
        <w:t xml:space="preserve"> </w:t>
      </w:r>
      <w:r w:rsidR="00033D0F">
        <w:rPr>
          <w:position w:val="1"/>
        </w:rPr>
        <w:t xml:space="preserve">needed, </w:t>
      </w:r>
      <w:r w:rsidR="00033D0F">
        <w:t>MOFCOM was under no obligation to disclose them. Australia acknowledges that no details needed</w:t>
      </w:r>
      <w:r w:rsidR="00033D0F">
        <w:rPr>
          <w:spacing w:val="-1"/>
        </w:rPr>
        <w:t xml:space="preserve"> </w:t>
      </w:r>
      <w:r w:rsidR="00033D0F">
        <w:t>to</w:t>
      </w:r>
      <w:r w:rsidR="00033D0F">
        <w:rPr>
          <w:spacing w:val="-1"/>
        </w:rPr>
        <w:t xml:space="preserve"> </w:t>
      </w:r>
      <w:r w:rsidR="00033D0F">
        <w:t>be disclosed</w:t>
      </w:r>
      <w:r w:rsidR="00033D0F">
        <w:rPr>
          <w:spacing w:val="-1"/>
        </w:rPr>
        <w:t xml:space="preserve"> </w:t>
      </w:r>
      <w:r w:rsidR="00033D0F">
        <w:t>by MOFCOM of an</w:t>
      </w:r>
      <w:r w:rsidR="00033D0F">
        <w:rPr>
          <w:spacing w:val="-1"/>
        </w:rPr>
        <w:t xml:space="preserve"> </w:t>
      </w:r>
      <w:r w:rsidR="00033D0F">
        <w:t>adjustment that was never</w:t>
      </w:r>
      <w:r w:rsidR="00033D0F">
        <w:rPr>
          <w:spacing w:val="-1"/>
        </w:rPr>
        <w:t xml:space="preserve"> </w:t>
      </w:r>
      <w:r w:rsidR="00033D0F">
        <w:t>undertaken. However, Australia maintains that MOFCOM did not provide the non-confidential data, formulae or methodology used to conduct its price comparison. Even in the absence of any adjustments, MOFCOM's simple statement that it "compared the normal value and export price at the ex- factory level"</w:t>
      </w:r>
      <w:hyperlink w:anchor="_bookmark1573" w:history="1">
        <w:r w:rsidR="00033D0F">
          <w:rPr>
            <w:vertAlign w:val="superscript"/>
          </w:rPr>
          <w:t>1361</w:t>
        </w:r>
      </w:hyperlink>
      <w:r w:rsidR="00033D0F">
        <w:t xml:space="preserve"> is not an essential fact under Article 6.9, but simply the actual requirement presented</w:t>
      </w:r>
      <w:r w:rsidR="00033D0F">
        <w:rPr>
          <w:spacing w:val="40"/>
        </w:rPr>
        <w:t xml:space="preserve"> </w:t>
      </w:r>
      <w:r w:rsidR="00033D0F">
        <w:t>in</w:t>
      </w:r>
      <w:r w:rsidR="00033D0F">
        <w:rPr>
          <w:spacing w:val="40"/>
        </w:rPr>
        <w:t xml:space="preserve"> </w:t>
      </w:r>
      <w:r w:rsidR="00033D0F">
        <w:t>Article</w:t>
      </w:r>
      <w:r w:rsidR="00033D0F">
        <w:rPr>
          <w:spacing w:val="40"/>
        </w:rPr>
        <w:t xml:space="preserve"> </w:t>
      </w:r>
      <w:r w:rsidR="00033D0F">
        <w:t>2.4.</w:t>
      </w:r>
      <w:hyperlink w:anchor="_bookmark1574" w:history="1">
        <w:r w:rsidR="00033D0F">
          <w:rPr>
            <w:vertAlign w:val="superscript"/>
          </w:rPr>
          <w:t>1362</w:t>
        </w:r>
      </w:hyperlink>
      <w:r w:rsidR="00033D0F">
        <w:rPr>
          <w:spacing w:val="40"/>
        </w:rPr>
        <w:t xml:space="preserve"> </w:t>
      </w:r>
      <w:r w:rsidR="00033D0F">
        <w:t>Such</w:t>
      </w:r>
      <w:r w:rsidR="00033D0F">
        <w:rPr>
          <w:spacing w:val="40"/>
        </w:rPr>
        <w:t xml:space="preserve"> </w:t>
      </w:r>
      <w:r w:rsidR="00033D0F">
        <w:t>sparse</w:t>
      </w:r>
      <w:r w:rsidR="00033D0F">
        <w:rPr>
          <w:spacing w:val="40"/>
        </w:rPr>
        <w:t xml:space="preserve"> </w:t>
      </w:r>
      <w:r w:rsidR="00033D0F">
        <w:t>information</w:t>
      </w:r>
      <w:r w:rsidR="00033D0F">
        <w:rPr>
          <w:spacing w:val="40"/>
        </w:rPr>
        <w:t xml:space="preserve"> </w:t>
      </w:r>
      <w:r w:rsidR="00033D0F">
        <w:t>did</w:t>
      </w:r>
      <w:r w:rsidR="00033D0F">
        <w:rPr>
          <w:spacing w:val="40"/>
        </w:rPr>
        <w:t xml:space="preserve"> </w:t>
      </w:r>
      <w:r w:rsidR="00033D0F">
        <w:t>not</w:t>
      </w:r>
      <w:r w:rsidR="00033D0F">
        <w:rPr>
          <w:spacing w:val="40"/>
        </w:rPr>
        <w:t xml:space="preserve"> </w:t>
      </w:r>
      <w:r w:rsidR="00033D0F">
        <w:t>allow</w:t>
      </w:r>
      <w:r w:rsidR="00033D0F">
        <w:rPr>
          <w:spacing w:val="40"/>
        </w:rPr>
        <w:t xml:space="preserve"> </w:t>
      </w:r>
      <w:r w:rsidR="00033D0F">
        <w:t>interested</w:t>
      </w:r>
      <w:r w:rsidR="00033D0F">
        <w:rPr>
          <w:spacing w:val="40"/>
        </w:rPr>
        <w:t xml:space="preserve"> </w:t>
      </w:r>
      <w:r w:rsidR="00033D0F">
        <w:t>parties</w:t>
      </w:r>
      <w:r w:rsidR="00033D0F">
        <w:rPr>
          <w:spacing w:val="40"/>
        </w:rPr>
        <w:t xml:space="preserve"> </w:t>
      </w:r>
      <w:r w:rsidR="00033D0F">
        <w:t>to</w:t>
      </w:r>
    </w:p>
    <w:p w14:paraId="6B1C3E17" w14:textId="77777777" w:rsidR="00BD462C" w:rsidRDefault="00BD462C">
      <w:pPr>
        <w:pStyle w:val="BodyText"/>
        <w:rPr>
          <w:sz w:val="20"/>
        </w:rPr>
      </w:pPr>
    </w:p>
    <w:p w14:paraId="3586E8F9" w14:textId="77777777" w:rsidR="00BD462C" w:rsidRDefault="00BD462C">
      <w:pPr>
        <w:pStyle w:val="BodyText"/>
        <w:rPr>
          <w:sz w:val="20"/>
        </w:rPr>
      </w:pPr>
    </w:p>
    <w:p w14:paraId="13A47299" w14:textId="49EB3A4B" w:rsidR="00BD462C" w:rsidRDefault="00752F01">
      <w:pPr>
        <w:pStyle w:val="BodyText"/>
        <w:rPr>
          <w:sz w:val="20"/>
        </w:rPr>
      </w:pPr>
      <w:r>
        <w:rPr>
          <w:noProof/>
        </w:rPr>
        <mc:AlternateContent>
          <mc:Choice Requires="wps">
            <w:drawing>
              <wp:anchor distT="0" distB="0" distL="0" distR="0" simplePos="0" relativeHeight="488299008" behindDoc="1" locked="0" layoutInCell="1" allowOverlap="1" wp14:anchorId="1186A57E" wp14:editId="60283E23">
                <wp:simplePos x="0" y="0"/>
                <wp:positionH relativeFrom="page">
                  <wp:posOffset>812800</wp:posOffset>
                </wp:positionH>
                <wp:positionV relativeFrom="paragraph">
                  <wp:posOffset>328295</wp:posOffset>
                </wp:positionV>
                <wp:extent cx="1828800" cy="8890"/>
                <wp:effectExtent l="0" t="0" r="0" b="0"/>
                <wp:wrapTopAndBottom/>
                <wp:docPr id="300" name="docshape5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E10711" id="docshape529" o:spid="_x0000_s1026" alt="&quot;&quot;" style="position:absolute;margin-left:64pt;margin-top:25.85pt;width:2in;height:.7pt;z-index:-15017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" fillcolor="black" stroked="f">
                <w10:wrap type="topAndBottom" anchorx="page"/>
              </v:rect>
            </w:pict>
          </mc:Fallback>
        </mc:AlternateContent>
      </w:r>
    </w:p>
    <w:p w14:paraId="26CD1EC4" w14:textId="47EF7F16" w:rsidR="00BD462C" w:rsidRDefault="00BD462C">
      <w:pPr>
        <w:pStyle w:val="BodyText"/>
        <w:spacing w:before="11"/>
        <w:rPr>
          <w:sz w:val="21"/>
        </w:rPr>
      </w:pPr>
    </w:p>
    <w:p w14:paraId="26220E1C" w14:textId="77777777" w:rsidR="00BD462C" w:rsidRDefault="00033D0F">
      <w:pPr>
        <w:spacing w:before="112"/>
        <w:ind w:left="135"/>
        <w:rPr>
          <w:sz w:val="18"/>
        </w:rPr>
      </w:pPr>
      <w:bookmarkStart w:id="1820" w:name="_bookmark1569"/>
      <w:bookmarkEnd w:id="1820"/>
      <w:r>
        <w:rPr>
          <w:position w:val="5"/>
          <w:sz w:val="12"/>
        </w:rPr>
        <w:t>1357</w:t>
      </w:r>
      <w:r>
        <w:rPr>
          <w:spacing w:val="15"/>
          <w:position w:val="5"/>
          <w:sz w:val="12"/>
        </w:rPr>
        <w:t xml:space="preserve"> </w:t>
      </w:r>
      <w:r>
        <w:rPr>
          <w:sz w:val="18"/>
        </w:rPr>
        <w:t>See</w:t>
      </w:r>
      <w:r>
        <w:rPr>
          <w:spacing w:val="-4"/>
          <w:sz w:val="18"/>
        </w:rPr>
        <w:t xml:space="preserve"> </w:t>
      </w:r>
      <w:r>
        <w:rPr>
          <w:sz w:val="18"/>
        </w:rPr>
        <w:t>generally</w:t>
      </w:r>
      <w:r>
        <w:rPr>
          <w:spacing w:val="-1"/>
          <w:sz w:val="18"/>
        </w:rPr>
        <w:t xml:space="preserve"> </w:t>
      </w:r>
      <w:r>
        <w:rPr>
          <w:sz w:val="18"/>
        </w:rPr>
        <w:t>section</w:t>
      </w:r>
      <w:r>
        <w:rPr>
          <w:spacing w:val="-8"/>
          <w:sz w:val="18"/>
        </w:rPr>
        <w:t xml:space="preserve"> </w:t>
      </w:r>
      <w:hyperlink w:anchor="_bookmark1435" w:history="1">
        <w:r>
          <w:rPr>
            <w:spacing w:val="-2"/>
            <w:sz w:val="18"/>
          </w:rPr>
          <w:t>VII.F.</w:t>
        </w:r>
      </w:hyperlink>
    </w:p>
    <w:p w14:paraId="038417E6" w14:textId="77777777" w:rsidR="00BD462C" w:rsidRDefault="00033D0F">
      <w:pPr>
        <w:spacing w:before="1" w:line="218" w:lineRule="exact"/>
        <w:ind w:left="135"/>
        <w:rPr>
          <w:sz w:val="18"/>
        </w:rPr>
      </w:pPr>
      <w:bookmarkStart w:id="1821" w:name="_bookmark1570"/>
      <w:bookmarkEnd w:id="1821"/>
      <w:r>
        <w:rPr>
          <w:position w:val="5"/>
          <w:sz w:val="12"/>
        </w:rPr>
        <w:t>1358</w:t>
      </w:r>
      <w:r>
        <w:rPr>
          <w:spacing w:val="13"/>
          <w:position w:val="5"/>
          <w:sz w:val="12"/>
        </w:rPr>
        <w:t xml:space="preserve"> </w:t>
      </w:r>
      <w:r>
        <w:rPr>
          <w:sz w:val="18"/>
        </w:rPr>
        <w:t>China's responses</w:t>
      </w:r>
      <w:r>
        <w:rPr>
          <w:spacing w:val="-5"/>
          <w:sz w:val="18"/>
        </w:rPr>
        <w:t xml:space="preserve"> </w:t>
      </w:r>
      <w:r>
        <w:rPr>
          <w:sz w:val="18"/>
        </w:rPr>
        <w:t>Panel</w:t>
      </w:r>
      <w:r>
        <w:rPr>
          <w:spacing w:val="-4"/>
          <w:sz w:val="18"/>
        </w:rPr>
        <w:t xml:space="preserve"> </w:t>
      </w:r>
      <w:r>
        <w:rPr>
          <w:sz w:val="18"/>
        </w:rPr>
        <w:t>question</w:t>
      </w:r>
      <w:r>
        <w:rPr>
          <w:spacing w:val="-6"/>
          <w:sz w:val="18"/>
        </w:rPr>
        <w:t xml:space="preserve"> </w:t>
      </w:r>
      <w:r>
        <w:rPr>
          <w:sz w:val="18"/>
        </w:rPr>
        <w:t>No.</w:t>
      </w:r>
      <w:r>
        <w:rPr>
          <w:spacing w:val="-4"/>
          <w:sz w:val="18"/>
        </w:rPr>
        <w:t xml:space="preserve"> </w:t>
      </w:r>
      <w:r>
        <w:rPr>
          <w:sz w:val="18"/>
        </w:rPr>
        <w:t>56,</w:t>
      </w:r>
      <w:r>
        <w:rPr>
          <w:spacing w:val="-3"/>
          <w:sz w:val="18"/>
        </w:rPr>
        <w:t xml:space="preserve"> </w:t>
      </w:r>
      <w:r>
        <w:rPr>
          <w:sz w:val="18"/>
        </w:rPr>
        <w:t>para.</w:t>
      </w:r>
      <w:r>
        <w:rPr>
          <w:spacing w:val="1"/>
          <w:sz w:val="18"/>
        </w:rPr>
        <w:t xml:space="preserve"> </w:t>
      </w:r>
      <w:r>
        <w:rPr>
          <w:spacing w:val="-4"/>
          <w:sz w:val="18"/>
        </w:rPr>
        <w:t>332.</w:t>
      </w:r>
    </w:p>
    <w:p w14:paraId="7D959038" w14:textId="77777777" w:rsidR="00BD462C" w:rsidRDefault="00033D0F">
      <w:pPr>
        <w:spacing w:line="218" w:lineRule="exact"/>
        <w:ind w:left="135"/>
        <w:rPr>
          <w:sz w:val="18"/>
        </w:rPr>
      </w:pPr>
      <w:bookmarkStart w:id="1822" w:name="_bookmark1571"/>
      <w:bookmarkEnd w:id="1822"/>
      <w:r>
        <w:rPr>
          <w:position w:val="5"/>
          <w:sz w:val="12"/>
        </w:rPr>
        <w:t>1359</w:t>
      </w:r>
      <w:r>
        <w:rPr>
          <w:spacing w:val="14"/>
          <w:position w:val="5"/>
          <w:sz w:val="12"/>
        </w:rPr>
        <w:t xml:space="preserve"> </w:t>
      </w:r>
      <w:r>
        <w:rPr>
          <w:sz w:val="18"/>
        </w:rPr>
        <w:t>See</w:t>
      </w:r>
      <w:r>
        <w:rPr>
          <w:spacing w:val="-4"/>
          <w:sz w:val="18"/>
        </w:rPr>
        <w:t xml:space="preserve"> </w:t>
      </w:r>
      <w:r>
        <w:rPr>
          <w:sz w:val="18"/>
        </w:rPr>
        <w:t>Panel</w:t>
      </w:r>
      <w:r>
        <w:rPr>
          <w:spacing w:val="-3"/>
          <w:sz w:val="18"/>
        </w:rPr>
        <w:t xml:space="preserve"> </w:t>
      </w:r>
      <w:r>
        <w:rPr>
          <w:sz w:val="18"/>
        </w:rPr>
        <w:t>Report,</w:t>
      </w:r>
      <w:r>
        <w:rPr>
          <w:spacing w:val="-3"/>
          <w:sz w:val="18"/>
        </w:rPr>
        <w:t xml:space="preserve"> </w:t>
      </w:r>
      <w:r>
        <w:rPr>
          <w:i/>
          <w:sz w:val="18"/>
        </w:rPr>
        <w:t>Ukraine</w:t>
      </w:r>
      <w:r>
        <w:rPr>
          <w:i/>
          <w:spacing w:val="-6"/>
          <w:sz w:val="18"/>
        </w:rPr>
        <w:t xml:space="preserve"> </w:t>
      </w:r>
      <w:r>
        <w:rPr>
          <w:i/>
          <w:sz w:val="18"/>
        </w:rPr>
        <w:t>– Ammonium</w:t>
      </w:r>
      <w:r>
        <w:rPr>
          <w:i/>
          <w:spacing w:val="-5"/>
          <w:sz w:val="18"/>
        </w:rPr>
        <w:t xml:space="preserve"> </w:t>
      </w:r>
      <w:r>
        <w:rPr>
          <w:i/>
          <w:sz w:val="18"/>
        </w:rPr>
        <w:t>Nitrate</w:t>
      </w:r>
      <w:r>
        <w:rPr>
          <w:sz w:val="18"/>
        </w:rPr>
        <w:t>,</w:t>
      </w:r>
      <w:r>
        <w:rPr>
          <w:spacing w:val="-2"/>
          <w:sz w:val="18"/>
        </w:rPr>
        <w:t xml:space="preserve"> </w:t>
      </w:r>
      <w:r>
        <w:rPr>
          <w:sz w:val="18"/>
        </w:rPr>
        <w:t>para.</w:t>
      </w:r>
      <w:r>
        <w:rPr>
          <w:spacing w:val="1"/>
          <w:sz w:val="18"/>
        </w:rPr>
        <w:t xml:space="preserve"> </w:t>
      </w:r>
      <w:r>
        <w:rPr>
          <w:spacing w:val="-2"/>
          <w:sz w:val="18"/>
        </w:rPr>
        <w:t>7.227.</w:t>
      </w:r>
    </w:p>
    <w:p w14:paraId="6DCAA0FD" w14:textId="77777777" w:rsidR="00BD462C" w:rsidRDefault="00033D0F">
      <w:pPr>
        <w:spacing w:before="1"/>
        <w:ind w:left="135"/>
        <w:rPr>
          <w:sz w:val="18"/>
        </w:rPr>
      </w:pPr>
      <w:bookmarkStart w:id="1823" w:name="_bookmark1572"/>
      <w:bookmarkEnd w:id="1823"/>
      <w:r>
        <w:rPr>
          <w:position w:val="5"/>
          <w:sz w:val="12"/>
        </w:rPr>
        <w:t>1360</w:t>
      </w:r>
      <w:r>
        <w:rPr>
          <w:sz w:val="18"/>
        </w:rPr>
        <w:t>See</w:t>
      </w:r>
      <w:r>
        <w:rPr>
          <w:spacing w:val="-3"/>
          <w:sz w:val="18"/>
        </w:rPr>
        <w:t xml:space="preserve"> </w:t>
      </w:r>
      <w:r>
        <w:rPr>
          <w:sz w:val="18"/>
        </w:rPr>
        <w:t>paras.</w:t>
      </w:r>
      <w:r>
        <w:rPr>
          <w:spacing w:val="-5"/>
          <w:sz w:val="18"/>
        </w:rPr>
        <w:t xml:space="preserve"> </w:t>
      </w:r>
      <w:hyperlink w:anchor="_bookmark167" w:history="1">
        <w:r>
          <w:rPr>
            <w:sz w:val="18"/>
          </w:rPr>
          <w:t>91</w:t>
        </w:r>
      </w:hyperlink>
      <w:hyperlink w:anchor="_bookmark234" w:history="1">
        <w:r>
          <w:rPr>
            <w:sz w:val="18"/>
          </w:rPr>
          <w:t>-119</w:t>
        </w:r>
      </w:hyperlink>
      <w:r>
        <w:rPr>
          <w:sz w:val="18"/>
        </w:rPr>
        <w:t>;</w:t>
      </w:r>
      <w:r>
        <w:rPr>
          <w:spacing w:val="-8"/>
          <w:sz w:val="18"/>
        </w:rPr>
        <w:t xml:space="preserve"> </w:t>
      </w:r>
      <w:r>
        <w:rPr>
          <w:sz w:val="18"/>
        </w:rPr>
        <w:t>Australia's</w:t>
      </w:r>
      <w:r>
        <w:rPr>
          <w:spacing w:val="-7"/>
          <w:sz w:val="18"/>
        </w:rPr>
        <w:t xml:space="preserve"> </w:t>
      </w:r>
      <w:r>
        <w:rPr>
          <w:sz w:val="18"/>
        </w:rPr>
        <w:t>first</w:t>
      </w:r>
      <w:r>
        <w:rPr>
          <w:spacing w:val="-6"/>
          <w:sz w:val="18"/>
        </w:rPr>
        <w:t xml:space="preserve"> </w:t>
      </w:r>
      <w:r>
        <w:rPr>
          <w:sz w:val="18"/>
        </w:rPr>
        <w:t>written</w:t>
      </w:r>
      <w:r>
        <w:rPr>
          <w:spacing w:val="-7"/>
          <w:sz w:val="18"/>
        </w:rPr>
        <w:t xml:space="preserve"> </w:t>
      </w:r>
      <w:r>
        <w:rPr>
          <w:sz w:val="18"/>
        </w:rPr>
        <w:t>submission,</w:t>
      </w:r>
      <w:r>
        <w:rPr>
          <w:spacing w:val="-5"/>
          <w:sz w:val="18"/>
        </w:rPr>
        <w:t xml:space="preserve"> </w:t>
      </w:r>
      <w:r>
        <w:rPr>
          <w:sz w:val="18"/>
        </w:rPr>
        <w:t>paras.</w:t>
      </w:r>
      <w:r>
        <w:rPr>
          <w:spacing w:val="-1"/>
          <w:sz w:val="18"/>
        </w:rPr>
        <w:t xml:space="preserve"> </w:t>
      </w:r>
      <w:r>
        <w:rPr>
          <w:sz w:val="18"/>
        </w:rPr>
        <w:t>493-523, paras.</w:t>
      </w:r>
      <w:r>
        <w:rPr>
          <w:spacing w:val="-6"/>
          <w:sz w:val="18"/>
        </w:rPr>
        <w:t xml:space="preserve"> </w:t>
      </w:r>
      <w:r>
        <w:rPr>
          <w:sz w:val="18"/>
        </w:rPr>
        <w:t>1036-</w:t>
      </w:r>
      <w:r>
        <w:rPr>
          <w:spacing w:val="-2"/>
          <w:sz w:val="18"/>
        </w:rPr>
        <w:t>1041.</w:t>
      </w:r>
    </w:p>
    <w:p w14:paraId="118EF270" w14:textId="77777777" w:rsidR="00BD462C" w:rsidRDefault="00033D0F">
      <w:pPr>
        <w:spacing w:before="1"/>
        <w:ind w:left="135"/>
        <w:rPr>
          <w:sz w:val="18"/>
        </w:rPr>
      </w:pPr>
      <w:bookmarkStart w:id="1824" w:name="_bookmark1573"/>
      <w:bookmarkEnd w:id="1824"/>
      <w:r>
        <w:rPr>
          <w:position w:val="5"/>
          <w:sz w:val="12"/>
        </w:rPr>
        <w:t>1361</w:t>
      </w:r>
      <w:r>
        <w:rPr>
          <w:spacing w:val="13"/>
          <w:position w:val="5"/>
          <w:sz w:val="12"/>
        </w:rPr>
        <w:t xml:space="preserve"> </w:t>
      </w:r>
      <w:r>
        <w:rPr>
          <w:sz w:val="18"/>
        </w:rPr>
        <w:t>Anti-Dumping</w:t>
      </w:r>
      <w:r>
        <w:rPr>
          <w:spacing w:val="-4"/>
          <w:sz w:val="18"/>
        </w:rPr>
        <w:t xml:space="preserve"> </w:t>
      </w:r>
      <w:r>
        <w:rPr>
          <w:sz w:val="18"/>
        </w:rPr>
        <w:t>Final</w:t>
      </w:r>
      <w:r>
        <w:rPr>
          <w:spacing w:val="-1"/>
          <w:sz w:val="18"/>
        </w:rPr>
        <w:t xml:space="preserve"> </w:t>
      </w:r>
      <w:r>
        <w:rPr>
          <w:sz w:val="18"/>
        </w:rPr>
        <w:t>Disclosure</w:t>
      </w:r>
      <w:r>
        <w:rPr>
          <w:spacing w:val="-9"/>
          <w:sz w:val="18"/>
        </w:rPr>
        <w:t xml:space="preserve"> </w:t>
      </w:r>
      <w:r>
        <w:rPr>
          <w:sz w:val="18"/>
        </w:rPr>
        <w:t>(Exhibit</w:t>
      </w:r>
      <w:r>
        <w:rPr>
          <w:spacing w:val="-4"/>
          <w:sz w:val="18"/>
        </w:rPr>
        <w:t xml:space="preserve"> </w:t>
      </w:r>
      <w:r>
        <w:rPr>
          <w:sz w:val="18"/>
        </w:rPr>
        <w:t>AUS-16),</w:t>
      </w:r>
      <w:r>
        <w:rPr>
          <w:spacing w:val="-3"/>
          <w:sz w:val="18"/>
        </w:rPr>
        <w:t xml:space="preserve"> </w:t>
      </w:r>
      <w:r>
        <w:rPr>
          <w:sz w:val="18"/>
        </w:rPr>
        <w:t>p.</w:t>
      </w:r>
      <w:r>
        <w:rPr>
          <w:spacing w:val="1"/>
          <w:sz w:val="18"/>
        </w:rPr>
        <w:t xml:space="preserve"> </w:t>
      </w:r>
      <w:r>
        <w:rPr>
          <w:spacing w:val="-5"/>
          <w:sz w:val="18"/>
        </w:rPr>
        <w:t>51.</w:t>
      </w:r>
    </w:p>
    <w:p w14:paraId="33F77526" w14:textId="77777777" w:rsidR="00BD462C" w:rsidRDefault="00033D0F">
      <w:pPr>
        <w:spacing w:before="1"/>
        <w:ind w:left="136" w:right="910" w:hanging="1"/>
        <w:rPr>
          <w:sz w:val="18"/>
        </w:rPr>
      </w:pPr>
      <w:bookmarkStart w:id="1825" w:name="_bookmark1574"/>
      <w:bookmarkEnd w:id="1825"/>
      <w:r>
        <w:rPr>
          <w:position w:val="5"/>
          <w:sz w:val="12"/>
        </w:rPr>
        <w:t>1362</w:t>
      </w:r>
      <w:r>
        <w:rPr>
          <w:spacing w:val="11"/>
          <w:position w:val="5"/>
          <w:sz w:val="12"/>
        </w:rPr>
        <w:t xml:space="preserve"> </w:t>
      </w:r>
      <w:r>
        <w:rPr>
          <w:sz w:val="18"/>
        </w:rPr>
        <w:t>In</w:t>
      </w:r>
      <w:r>
        <w:rPr>
          <w:spacing w:val="-8"/>
          <w:sz w:val="18"/>
        </w:rPr>
        <w:t xml:space="preserve"> </w:t>
      </w:r>
      <w:r>
        <w:rPr>
          <w:sz w:val="18"/>
        </w:rPr>
        <w:t>relevant</w:t>
      </w:r>
      <w:r>
        <w:rPr>
          <w:spacing w:val="-2"/>
          <w:sz w:val="18"/>
        </w:rPr>
        <w:t xml:space="preserve"> </w:t>
      </w:r>
      <w:r>
        <w:rPr>
          <w:sz w:val="18"/>
        </w:rPr>
        <w:t>part,</w:t>
      </w:r>
      <w:r>
        <w:rPr>
          <w:spacing w:val="-6"/>
          <w:sz w:val="18"/>
        </w:rPr>
        <w:t xml:space="preserve"> </w:t>
      </w:r>
      <w:r>
        <w:rPr>
          <w:sz w:val="18"/>
        </w:rPr>
        <w:t>Article</w:t>
      </w:r>
      <w:r>
        <w:rPr>
          <w:spacing w:val="-3"/>
          <w:sz w:val="18"/>
        </w:rPr>
        <w:t xml:space="preserve"> </w:t>
      </w:r>
      <w:r>
        <w:rPr>
          <w:sz w:val="18"/>
        </w:rPr>
        <w:t>2.4</w:t>
      </w:r>
      <w:r>
        <w:rPr>
          <w:spacing w:val="-5"/>
          <w:sz w:val="18"/>
        </w:rPr>
        <w:t xml:space="preserve"> </w:t>
      </w:r>
      <w:r>
        <w:rPr>
          <w:sz w:val="18"/>
        </w:rPr>
        <w:t>reads:</w:t>
      </w:r>
      <w:r>
        <w:rPr>
          <w:spacing w:val="-9"/>
          <w:sz w:val="18"/>
        </w:rPr>
        <w:t xml:space="preserve"> </w:t>
      </w:r>
      <w:r>
        <w:rPr>
          <w:sz w:val="18"/>
        </w:rPr>
        <w:t>"[a]</w:t>
      </w:r>
      <w:r>
        <w:rPr>
          <w:spacing w:val="-7"/>
          <w:sz w:val="18"/>
        </w:rPr>
        <w:t xml:space="preserve"> </w:t>
      </w:r>
      <w:r>
        <w:rPr>
          <w:sz w:val="18"/>
        </w:rPr>
        <w:t>fair</w:t>
      </w:r>
      <w:r>
        <w:rPr>
          <w:spacing w:val="-10"/>
          <w:sz w:val="18"/>
        </w:rPr>
        <w:t xml:space="preserve"> </w:t>
      </w:r>
      <w:r>
        <w:rPr>
          <w:sz w:val="18"/>
        </w:rPr>
        <w:t>comparison</w:t>
      </w:r>
      <w:r>
        <w:rPr>
          <w:spacing w:val="-8"/>
          <w:sz w:val="18"/>
        </w:rPr>
        <w:t xml:space="preserve"> </w:t>
      </w:r>
      <w:r>
        <w:rPr>
          <w:sz w:val="18"/>
        </w:rPr>
        <w:t>shall</w:t>
      </w:r>
      <w:r>
        <w:rPr>
          <w:spacing w:val="-7"/>
          <w:sz w:val="18"/>
        </w:rPr>
        <w:t xml:space="preserve"> </w:t>
      </w:r>
      <w:r>
        <w:rPr>
          <w:sz w:val="18"/>
        </w:rPr>
        <w:t>be</w:t>
      </w:r>
      <w:r>
        <w:rPr>
          <w:spacing w:val="-8"/>
          <w:sz w:val="18"/>
        </w:rPr>
        <w:t xml:space="preserve"> </w:t>
      </w:r>
      <w:r>
        <w:rPr>
          <w:sz w:val="18"/>
        </w:rPr>
        <w:t>made</w:t>
      </w:r>
      <w:r>
        <w:rPr>
          <w:spacing w:val="-3"/>
          <w:sz w:val="18"/>
        </w:rPr>
        <w:t xml:space="preserve"> </w:t>
      </w:r>
      <w:r>
        <w:rPr>
          <w:sz w:val="18"/>
        </w:rPr>
        <w:t>between</w:t>
      </w:r>
      <w:r>
        <w:rPr>
          <w:spacing w:val="-8"/>
          <w:sz w:val="18"/>
        </w:rPr>
        <w:t xml:space="preserve"> </w:t>
      </w:r>
      <w:r>
        <w:rPr>
          <w:sz w:val="18"/>
        </w:rPr>
        <w:t>the</w:t>
      </w:r>
      <w:r>
        <w:rPr>
          <w:spacing w:val="-3"/>
          <w:sz w:val="18"/>
        </w:rPr>
        <w:t xml:space="preserve"> </w:t>
      </w:r>
      <w:r>
        <w:rPr>
          <w:sz w:val="18"/>
        </w:rPr>
        <w:t>export</w:t>
      </w:r>
      <w:r>
        <w:rPr>
          <w:spacing w:val="-7"/>
          <w:sz w:val="18"/>
        </w:rPr>
        <w:t xml:space="preserve"> </w:t>
      </w:r>
      <w:r>
        <w:rPr>
          <w:sz w:val="18"/>
        </w:rPr>
        <w:t>price</w:t>
      </w:r>
      <w:r>
        <w:rPr>
          <w:spacing w:val="-3"/>
          <w:sz w:val="18"/>
        </w:rPr>
        <w:t xml:space="preserve"> </w:t>
      </w:r>
      <w:r>
        <w:rPr>
          <w:sz w:val="18"/>
        </w:rPr>
        <w:t>and</w:t>
      </w:r>
      <w:r>
        <w:rPr>
          <w:spacing w:val="-8"/>
          <w:sz w:val="18"/>
        </w:rPr>
        <w:t xml:space="preserve"> </w:t>
      </w:r>
      <w:r>
        <w:rPr>
          <w:sz w:val="18"/>
        </w:rPr>
        <w:t>the</w:t>
      </w:r>
      <w:r>
        <w:rPr>
          <w:spacing w:val="-8"/>
          <w:sz w:val="18"/>
        </w:rPr>
        <w:t xml:space="preserve"> </w:t>
      </w:r>
      <w:r>
        <w:rPr>
          <w:sz w:val="18"/>
        </w:rPr>
        <w:t>normal</w:t>
      </w:r>
      <w:r>
        <w:rPr>
          <w:spacing w:val="-2"/>
          <w:sz w:val="18"/>
        </w:rPr>
        <w:t xml:space="preserve"> </w:t>
      </w:r>
      <w:r>
        <w:rPr>
          <w:sz w:val="18"/>
        </w:rPr>
        <w:t>value.</w:t>
      </w:r>
      <w:r>
        <w:rPr>
          <w:spacing w:val="-7"/>
          <w:sz w:val="18"/>
        </w:rPr>
        <w:t xml:space="preserve"> </w:t>
      </w:r>
      <w:r>
        <w:rPr>
          <w:sz w:val="18"/>
        </w:rPr>
        <w:t>This comparison shall be made at the same level of trade, normally at the ex-factory level […] ".</w:t>
      </w:r>
    </w:p>
    <w:p w14:paraId="37561111" w14:textId="77777777" w:rsidR="00BD462C" w:rsidRDefault="00BD462C">
      <w:pPr>
        <w:rPr>
          <w:sz w:val="18"/>
        </w:rPr>
        <w:sectPr w:rsidR="00BD462C">
          <w:pgSz w:w="11910" w:h="16840"/>
          <w:pgMar w:top="860" w:right="500" w:bottom="780" w:left="1280" w:header="566" w:footer="590" w:gutter="0"/>
          <w:cols w:space="720"/>
        </w:sectPr>
      </w:pPr>
    </w:p>
    <w:p w14:paraId="7BD97FFB"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620FB2F9"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0F51DECA"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52DCA72D" w14:textId="77777777" w:rsidR="00BD462C" w:rsidRDefault="00033D0F">
      <w:pPr>
        <w:pStyle w:val="BodyText"/>
        <w:spacing w:before="102" w:line="357" w:lineRule="auto"/>
        <w:ind w:left="136" w:right="910"/>
      </w:pPr>
      <w:r>
        <w:t>comment</w:t>
      </w:r>
      <w:r>
        <w:rPr>
          <w:spacing w:val="40"/>
        </w:rPr>
        <w:t xml:space="preserve"> </w:t>
      </w:r>
      <w:r>
        <w:t>on</w:t>
      </w:r>
      <w:r>
        <w:rPr>
          <w:spacing w:val="40"/>
        </w:rPr>
        <w:t xml:space="preserve"> </w:t>
      </w:r>
      <w:r>
        <w:t>the</w:t>
      </w:r>
      <w:r>
        <w:rPr>
          <w:spacing w:val="40"/>
        </w:rPr>
        <w:t xml:space="preserve"> </w:t>
      </w:r>
      <w:r>
        <w:t>completeness</w:t>
      </w:r>
      <w:r>
        <w:rPr>
          <w:spacing w:val="40"/>
        </w:rPr>
        <w:t xml:space="preserve"> </w:t>
      </w:r>
      <w:r>
        <w:t>and</w:t>
      </w:r>
      <w:r>
        <w:rPr>
          <w:spacing w:val="40"/>
        </w:rPr>
        <w:t xml:space="preserve"> </w:t>
      </w:r>
      <w:r>
        <w:t>correctness</w:t>
      </w:r>
      <w:r>
        <w:rPr>
          <w:spacing w:val="40"/>
        </w:rPr>
        <w:t xml:space="preserve"> </w:t>
      </w:r>
      <w:r>
        <w:t>of</w:t>
      </w:r>
      <w:r>
        <w:rPr>
          <w:spacing w:val="40"/>
        </w:rPr>
        <w:t xml:space="preserve"> </w:t>
      </w:r>
      <w:r>
        <w:t>how</w:t>
      </w:r>
      <w:r>
        <w:rPr>
          <w:spacing w:val="40"/>
        </w:rPr>
        <w:t xml:space="preserve"> </w:t>
      </w:r>
      <w:r>
        <w:t>MOFCOM</w:t>
      </w:r>
      <w:r>
        <w:rPr>
          <w:spacing w:val="40"/>
        </w:rPr>
        <w:t xml:space="preserve"> </w:t>
      </w:r>
      <w:r>
        <w:t>undertook</w:t>
      </w:r>
      <w:r>
        <w:rPr>
          <w:spacing w:val="40"/>
        </w:rPr>
        <w:t xml:space="preserve"> </w:t>
      </w:r>
      <w:r>
        <w:t>the</w:t>
      </w:r>
      <w:r>
        <w:rPr>
          <w:spacing w:val="40"/>
        </w:rPr>
        <w:t xml:space="preserve"> </w:t>
      </w:r>
      <w:r>
        <w:t>price comparability analysis.</w:t>
      </w:r>
    </w:p>
    <w:p w14:paraId="7606413C" w14:textId="77777777" w:rsidR="00BD462C" w:rsidRDefault="00033D0F">
      <w:pPr>
        <w:pStyle w:val="ListParagraph"/>
        <w:numPr>
          <w:ilvl w:val="2"/>
          <w:numId w:val="15"/>
        </w:numPr>
        <w:tabs>
          <w:tab w:val="left" w:pos="4388"/>
          <w:tab w:val="left" w:pos="4389"/>
        </w:tabs>
        <w:spacing w:before="164"/>
        <w:rPr>
          <w:i/>
          <w:sz w:val="24"/>
        </w:rPr>
      </w:pPr>
      <w:r>
        <w:rPr>
          <w:i/>
          <w:sz w:val="24"/>
        </w:rPr>
        <w:t>Treasury</w:t>
      </w:r>
      <w:r>
        <w:rPr>
          <w:i/>
          <w:spacing w:val="-11"/>
          <w:sz w:val="24"/>
        </w:rPr>
        <w:t xml:space="preserve"> </w:t>
      </w:r>
      <w:r>
        <w:rPr>
          <w:i/>
          <w:spacing w:val="-4"/>
          <w:sz w:val="24"/>
        </w:rPr>
        <w:t>Wines</w:t>
      </w:r>
    </w:p>
    <w:p w14:paraId="69019D78" w14:textId="03223103" w:rsidR="00BD462C" w:rsidRDefault="007D270C">
      <w:pPr>
        <w:pStyle w:val="BodyText"/>
        <w:spacing w:before="11"/>
        <w:rPr>
          <w:i/>
          <w:sz w:val="20"/>
        </w:rPr>
      </w:pPr>
      <w:r>
        <w:rPr>
          <w:noProof/>
        </w:rPr>
        <mc:AlternateContent>
          <mc:Choice Requires="wps">
            <w:drawing>
              <wp:anchor distT="0" distB="0" distL="114300" distR="114300" simplePos="0" relativeHeight="479180288" behindDoc="1" locked="0" layoutInCell="1" allowOverlap="1" wp14:anchorId="67C12BFE" wp14:editId="0BF39035">
                <wp:simplePos x="0" y="0"/>
                <wp:positionH relativeFrom="page">
                  <wp:posOffset>2185670</wp:posOffset>
                </wp:positionH>
                <wp:positionV relativeFrom="paragraph">
                  <wp:posOffset>458047</wp:posOffset>
                </wp:positionV>
                <wp:extent cx="4267200" cy="186055"/>
                <wp:effectExtent l="0" t="0" r="0" b="4445"/>
                <wp:wrapNone/>
                <wp:docPr id="202" name="docshape6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720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CDC018" id="docshape624" o:spid="_x0000_s1026" alt="&quot;&quot;" style="position:absolute;margin-left:172.1pt;margin-top:36.05pt;width:336pt;height:14.65pt;z-index:-2413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" fillcolor="black" stroked="f">
                <w10:wrap anchorx="page"/>
              </v:rect>
            </w:pict>
          </mc:Fallback>
        </mc:AlternateContent>
      </w:r>
    </w:p>
    <w:p w14:paraId="7E02FC67" w14:textId="77777777" w:rsidR="00BD462C" w:rsidRDefault="00BD462C">
      <w:pPr>
        <w:rPr>
          <w:sz w:val="20"/>
        </w:rPr>
        <w:sectPr w:rsidR="00BD462C">
          <w:pgSz w:w="11910" w:h="16840"/>
          <w:pgMar w:top="860" w:right="500" w:bottom="780" w:left="1280" w:header="566" w:footer="590" w:gutter="0"/>
          <w:cols w:space="720"/>
        </w:sectPr>
      </w:pPr>
    </w:p>
    <w:p w14:paraId="5399E644" w14:textId="16E05B5A" w:rsidR="00BD462C" w:rsidRPr="004A60C3" w:rsidRDefault="004A60C3">
      <w:pPr>
        <w:pStyle w:val="BodyText"/>
        <w:rPr>
          <w:iCs/>
        </w:rPr>
      </w:pPr>
      <w:r>
        <w:rPr>
          <w:iCs/>
        </w:rPr>
        <w:t>940.</w:t>
      </w:r>
    </w:p>
    <w:p w14:paraId="52239971" w14:textId="3CD9C0ED" w:rsidR="00BD462C" w:rsidRDefault="00033D0F">
      <w:pPr>
        <w:pStyle w:val="BodyText"/>
        <w:spacing w:before="196"/>
        <w:ind w:left="135"/>
      </w:pPr>
      <w:r>
        <w:rPr>
          <w:spacing w:val="-2"/>
        </w:rPr>
        <w:t>"clear"</w:t>
      </w:r>
    </w:p>
    <w:p w14:paraId="3AC25C9E" w14:textId="77777777" w:rsidR="00BD462C" w:rsidRDefault="00033D0F">
      <w:pPr>
        <w:pStyle w:val="BodyText"/>
        <w:tabs>
          <w:tab w:val="right" w:pos="8358"/>
        </w:tabs>
        <w:spacing w:before="52" w:line="357" w:lineRule="auto"/>
        <w:ind w:left="140" w:right="914" w:hanging="5"/>
      </w:pPr>
      <w:r>
        <w:br w:type="column"/>
      </w:r>
      <w:r>
        <w:t xml:space="preserve">In relation to Treasury Wines, China argues that the "quantum" of adjustments was </w:t>
      </w:r>
      <w:proofErr w:type="gramStart"/>
      <w:r>
        <w:t>from</w:t>
      </w:r>
      <w:r>
        <w:rPr>
          <w:spacing w:val="35"/>
        </w:rPr>
        <w:t xml:space="preserve">  </w:t>
      </w:r>
      <w:r>
        <w:rPr>
          <w:spacing w:val="-5"/>
        </w:rPr>
        <w:t>the</w:t>
      </w:r>
      <w:proofErr w:type="gramEnd"/>
      <w:r>
        <w:tab/>
      </w:r>
      <w:hyperlink w:anchor="_bookmark1575" w:history="1">
        <w:r>
          <w:rPr>
            <w:spacing w:val="-4"/>
            <w:vertAlign w:val="superscript"/>
          </w:rPr>
          <w:t>1363</w:t>
        </w:r>
      </w:hyperlink>
    </w:p>
    <w:p w14:paraId="4D67E7B3" w14:textId="77777777" w:rsidR="00BD462C" w:rsidRDefault="00BD462C">
      <w:pPr>
        <w:spacing w:line="357" w:lineRule="auto"/>
        <w:sectPr w:rsidR="00BD462C">
          <w:type w:val="continuous"/>
          <w:pgSz w:w="11910" w:h="16840"/>
          <w:pgMar w:top="1700" w:right="500" w:bottom="280" w:left="1280" w:header="566" w:footer="590" w:gutter="0"/>
          <w:cols w:num="2" w:space="720" w:equalWidth="0">
            <w:col w:w="802" w:space="48"/>
            <w:col w:w="9280"/>
          </w:cols>
        </w:sectPr>
      </w:pPr>
    </w:p>
    <w:p w14:paraId="263090C0" w14:textId="32ABC7F1" w:rsidR="00BD462C" w:rsidRDefault="00D70C7D">
      <w:pPr>
        <w:pStyle w:val="BodyText"/>
        <w:spacing w:before="5"/>
        <w:ind w:left="135"/>
      </w:pPr>
      <w:r>
        <w:rPr>
          <w:noProof/>
        </w:rPr>
        <mc:AlternateContent>
          <mc:Choice Requires="wps">
            <w:drawing>
              <wp:anchor distT="0" distB="0" distL="114300" distR="114300" simplePos="0" relativeHeight="16020480" behindDoc="0" locked="0" layoutInCell="1" allowOverlap="1" wp14:anchorId="78C1A668" wp14:editId="77C66340">
                <wp:simplePos x="0" y="0"/>
                <wp:positionH relativeFrom="page">
                  <wp:posOffset>3636010</wp:posOffset>
                </wp:positionH>
                <wp:positionV relativeFrom="paragraph">
                  <wp:posOffset>3810</wp:posOffset>
                </wp:positionV>
                <wp:extent cx="3023870" cy="186055"/>
                <wp:effectExtent l="0" t="0" r="0" b="0"/>
                <wp:wrapNone/>
                <wp:docPr id="200" name="docshape6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D065E6" id="docshape625" o:spid="_x0000_s1026" alt="&quot;&quot;" style="position:absolute;margin-left:286.3pt;margin-top:.3pt;width:238.1pt;height:14.65pt;z-index:16020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" fillcolor="black" stroked="f">
                <w10:wrap anchorx="page"/>
              </v:rect>
            </w:pict>
          </mc:Fallback>
        </mc:AlternateContent>
      </w:r>
      <w:r>
        <w:rPr>
          <w:noProof/>
        </w:rPr>
        <mc:AlternateContent>
          <mc:Choice Requires="wps">
            <w:drawing>
              <wp:anchor distT="0" distB="0" distL="114300" distR="114300" simplePos="0" relativeHeight="16020992" behindDoc="0" locked="0" layoutInCell="1" allowOverlap="1" wp14:anchorId="3819DCA4" wp14:editId="1D5601C6">
                <wp:simplePos x="0" y="0"/>
                <wp:positionH relativeFrom="page">
                  <wp:posOffset>899160</wp:posOffset>
                </wp:positionH>
                <wp:positionV relativeFrom="paragraph">
                  <wp:posOffset>280670</wp:posOffset>
                </wp:positionV>
                <wp:extent cx="4443730" cy="186055"/>
                <wp:effectExtent l="0" t="0" r="0" b="0"/>
                <wp:wrapNone/>
                <wp:docPr id="198" name="docshape6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373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6756FE" id="docshape626" o:spid="_x0000_s1026" alt="&quot;&quot;" style="position:absolute;margin-left:70.8pt;margin-top:22.1pt;width:349.9pt;height:14.65pt;z-index:1602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" fillcolor="black" stroked="f">
                <w10:wrap anchorx="page"/>
              </v:rect>
            </w:pict>
          </mc:Fallback>
        </mc:AlternateContent>
      </w:r>
      <w:r w:rsidR="00033D0F">
        <w:t>However,</w:t>
      </w:r>
      <w:r w:rsidR="00033D0F">
        <w:rPr>
          <w:spacing w:val="20"/>
        </w:rPr>
        <w:t xml:space="preserve"> </w:t>
      </w:r>
      <w:r w:rsidR="00033D0F">
        <w:t>it</w:t>
      </w:r>
      <w:r w:rsidR="00033D0F">
        <w:rPr>
          <w:spacing w:val="18"/>
        </w:rPr>
        <w:t xml:space="preserve"> </w:t>
      </w:r>
      <w:r w:rsidR="00033D0F">
        <w:t>was</w:t>
      </w:r>
      <w:r w:rsidR="00033D0F">
        <w:rPr>
          <w:spacing w:val="19"/>
        </w:rPr>
        <w:t xml:space="preserve"> </w:t>
      </w:r>
      <w:r w:rsidR="00033D0F">
        <w:t>not</w:t>
      </w:r>
      <w:r w:rsidR="00033D0F">
        <w:rPr>
          <w:spacing w:val="18"/>
        </w:rPr>
        <w:t xml:space="preserve"> </w:t>
      </w:r>
      <w:r w:rsidR="00033D0F">
        <w:t>clear</w:t>
      </w:r>
      <w:r w:rsidR="00033D0F">
        <w:rPr>
          <w:spacing w:val="15"/>
        </w:rPr>
        <w:t xml:space="preserve"> </w:t>
      </w:r>
      <w:r w:rsidR="00033D0F">
        <w:t>at</w:t>
      </w:r>
      <w:r w:rsidR="00033D0F">
        <w:rPr>
          <w:spacing w:val="23"/>
        </w:rPr>
        <w:t xml:space="preserve"> </w:t>
      </w:r>
      <w:r w:rsidR="00033D0F">
        <w:t>all.</w:t>
      </w:r>
      <w:r w:rsidR="00033D0F">
        <w:rPr>
          <w:spacing w:val="19"/>
        </w:rPr>
        <w:t xml:space="preserve"> </w:t>
      </w:r>
      <w:r w:rsidR="00033D0F">
        <w:t>While</w:t>
      </w:r>
      <w:r w:rsidR="00033D0F">
        <w:rPr>
          <w:spacing w:val="18"/>
        </w:rPr>
        <w:t xml:space="preserve"> </w:t>
      </w:r>
      <w:r w:rsidR="00033D0F">
        <w:rPr>
          <w:spacing w:val="-5"/>
        </w:rPr>
        <w:t>the</w:t>
      </w:r>
    </w:p>
    <w:p w14:paraId="302DDD9C" w14:textId="6CCC19BD" w:rsidR="00BD462C" w:rsidRDefault="00D70C7D">
      <w:pPr>
        <w:pStyle w:val="BodyText"/>
        <w:spacing w:before="586"/>
        <w:ind w:left="135"/>
      </w:pPr>
      <w:r>
        <w:rPr>
          <w:noProof/>
        </w:rPr>
        <mc:AlternateContent>
          <mc:Choice Requires="wps">
            <w:drawing>
              <wp:anchor distT="0" distB="0" distL="114300" distR="114300" simplePos="0" relativeHeight="16021504" behindDoc="0" locked="0" layoutInCell="1" allowOverlap="1" wp14:anchorId="533258F7" wp14:editId="7EC35E26">
                <wp:simplePos x="0" y="0"/>
                <wp:positionH relativeFrom="page">
                  <wp:posOffset>5164667</wp:posOffset>
                </wp:positionH>
                <wp:positionV relativeFrom="paragraph">
                  <wp:posOffset>370840</wp:posOffset>
                </wp:positionV>
                <wp:extent cx="1497118" cy="186055"/>
                <wp:effectExtent l="0" t="0" r="8255" b="4445"/>
                <wp:wrapNone/>
                <wp:docPr id="196" name="docshape6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7118"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535921" id="docshape627" o:spid="_x0000_s1026" alt="&quot;&quot;" style="position:absolute;margin-left:406.65pt;margin-top:29.2pt;width:117.9pt;height:14.65pt;z-index:1602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" fillcolor="black" stroked="f">
                <w10:wrap anchorx="page"/>
              </v:rect>
            </w:pict>
          </mc:Fallback>
        </mc:AlternateContent>
      </w:r>
      <w:r w:rsidR="00033D0F">
        <w:t>to</w:t>
      </w:r>
      <w:r w:rsidR="00033D0F">
        <w:rPr>
          <w:spacing w:val="-11"/>
        </w:rPr>
        <w:t xml:space="preserve"> </w:t>
      </w:r>
      <w:r w:rsidR="00033D0F">
        <w:t>the</w:t>
      </w:r>
      <w:r w:rsidR="00033D0F">
        <w:rPr>
          <w:spacing w:val="-8"/>
        </w:rPr>
        <w:t xml:space="preserve"> </w:t>
      </w:r>
      <w:r w:rsidR="00033D0F">
        <w:t>actual</w:t>
      </w:r>
      <w:r w:rsidR="00033D0F">
        <w:rPr>
          <w:spacing w:val="-6"/>
        </w:rPr>
        <w:t xml:space="preserve"> </w:t>
      </w:r>
      <w:r w:rsidR="00033D0F">
        <w:t>quantum</w:t>
      </w:r>
      <w:r w:rsidR="00033D0F">
        <w:rPr>
          <w:spacing w:val="-10"/>
        </w:rPr>
        <w:t xml:space="preserve"> </w:t>
      </w:r>
      <w:r w:rsidR="00033D0F">
        <w:t>of</w:t>
      </w:r>
      <w:r w:rsidR="00033D0F">
        <w:rPr>
          <w:spacing w:val="-10"/>
        </w:rPr>
        <w:t xml:space="preserve"> </w:t>
      </w:r>
      <w:r w:rsidR="00033D0F">
        <w:t>adjustments</w:t>
      </w:r>
      <w:r w:rsidR="00033D0F">
        <w:rPr>
          <w:spacing w:val="-7"/>
        </w:rPr>
        <w:t xml:space="preserve"> </w:t>
      </w:r>
      <w:r w:rsidR="00033D0F">
        <w:t>for</w:t>
      </w:r>
      <w:r w:rsidR="00033D0F">
        <w:rPr>
          <w:spacing w:val="-11"/>
        </w:rPr>
        <w:t xml:space="preserve"> </w:t>
      </w:r>
      <w:r w:rsidR="00033D0F">
        <w:t>Treasury</w:t>
      </w:r>
      <w:r w:rsidR="00033D0F">
        <w:rPr>
          <w:spacing w:val="-8"/>
        </w:rPr>
        <w:t xml:space="preserve"> </w:t>
      </w:r>
      <w:r w:rsidR="00033D0F">
        <w:t>Wines</w:t>
      </w:r>
      <w:r w:rsidR="00033D0F">
        <w:rPr>
          <w:spacing w:val="-11"/>
        </w:rPr>
        <w:t xml:space="preserve"> </w:t>
      </w:r>
      <w:r w:rsidR="00033D0F">
        <w:t>were</w:t>
      </w:r>
      <w:r w:rsidR="00033D0F">
        <w:rPr>
          <w:spacing w:val="-8"/>
        </w:rPr>
        <w:t xml:space="preserve"> </w:t>
      </w:r>
      <w:r w:rsidR="00033D0F">
        <w:t>not</w:t>
      </w:r>
      <w:r w:rsidR="00033D0F">
        <w:rPr>
          <w:spacing w:val="-8"/>
        </w:rPr>
        <w:t xml:space="preserve"> </w:t>
      </w:r>
      <w:r w:rsidR="00033D0F">
        <w:rPr>
          <w:spacing w:val="-5"/>
        </w:rPr>
        <w:t>di</w:t>
      </w:r>
    </w:p>
    <w:p w14:paraId="6A9B6490" w14:textId="77777777" w:rsidR="00BD462C" w:rsidRDefault="00033D0F">
      <w:pPr>
        <w:pStyle w:val="BodyText"/>
        <w:spacing w:before="447"/>
        <w:ind w:left="136"/>
      </w:pPr>
      <w:r>
        <w:br w:type="column"/>
      </w:r>
      <w:r>
        <w:t>,</w:t>
      </w:r>
      <w:r>
        <w:rPr>
          <w:spacing w:val="-3"/>
        </w:rPr>
        <w:t xml:space="preserve"> </w:t>
      </w:r>
      <w:r>
        <w:t>information</w:t>
      </w:r>
      <w:r>
        <w:rPr>
          <w:spacing w:val="-5"/>
        </w:rPr>
        <w:t xml:space="preserve"> </w:t>
      </w:r>
      <w:r>
        <w:rPr>
          <w:spacing w:val="-2"/>
        </w:rPr>
        <w:t>relating</w:t>
      </w:r>
    </w:p>
    <w:p w14:paraId="666DDFAC" w14:textId="77777777" w:rsidR="00BD462C" w:rsidRDefault="00BD462C">
      <w:pPr>
        <w:sectPr w:rsidR="00BD462C">
          <w:type w:val="continuous"/>
          <w:pgSz w:w="11910" w:h="16840"/>
          <w:pgMar w:top="1700" w:right="500" w:bottom="280" w:left="1280" w:header="566" w:footer="590" w:gutter="0"/>
          <w:cols w:num="2" w:space="720" w:equalWidth="0">
            <w:col w:w="6873" w:space="126"/>
            <w:col w:w="3131"/>
          </w:cols>
        </w:sectPr>
      </w:pPr>
    </w:p>
    <w:p w14:paraId="202AB0E3" w14:textId="77777777" w:rsidR="00BD462C" w:rsidRDefault="00BD462C">
      <w:pPr>
        <w:pStyle w:val="BodyText"/>
        <w:rPr>
          <w:sz w:val="12"/>
        </w:rPr>
      </w:pPr>
    </w:p>
    <w:p w14:paraId="20D0C16B" w14:textId="77B1C6BE" w:rsidR="00BD462C" w:rsidRDefault="00D70C7D">
      <w:pPr>
        <w:pStyle w:val="BodyText"/>
        <w:ind w:left="136"/>
        <w:rPr>
          <w:sz w:val="20"/>
        </w:rPr>
      </w:pPr>
      <w:r>
        <w:rPr>
          <w:noProof/>
          <w:sz w:val="20"/>
        </w:rPr>
        <mc:AlternateContent>
          <mc:Choice Requires="wpg">
            <w:drawing>
              <wp:inline distT="0" distB="0" distL="0" distR="0" wp14:anchorId="0C8F458C" wp14:editId="44BF3DC7">
                <wp:extent cx="5760720" cy="186055"/>
                <wp:effectExtent l="3810" t="4445" r="0" b="0"/>
                <wp:docPr id="192" name="docshapegroup628" descr="Redac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86055"/>
                          <a:chOff x="0" y="0"/>
                          <a:chExt cx="9072" cy="293"/>
                        </a:xfrm>
                      </wpg:grpSpPr>
                      <wps:wsp>
                        <wps:cNvPr id="194" name="docshape629"/>
                        <wps:cNvSpPr>
                          <a:spLocks noChangeArrowheads="1"/>
                        </wps:cNvSpPr>
                        <wps:spPr bwMode="auto">
                          <a:xfrm>
                            <a:off x="0" y="0"/>
                            <a:ext cx="9072" cy="29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7BA6733" id="docshapegroup628" o:spid="_x0000_s1026" alt="Redacted" style="width:453.6pt;height:14.65pt;mso-position-horizontal-relative:char;mso-position-vertical-relative:line" coordsize="9072,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">
                <v:rect id="docshape629" o:spid="_x0000_s1027" style="position:absolute;width:9072;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" fillcolor="black" stroked="f"/>
                <w10:anchorlock/>
              </v:group>
            </w:pict>
          </mc:Fallback>
        </mc:AlternateContent>
      </w:r>
    </w:p>
    <w:p w14:paraId="0398EE41" w14:textId="1F71FDC2" w:rsidR="00BD462C" w:rsidRDefault="00D70C7D">
      <w:pPr>
        <w:pStyle w:val="BodyText"/>
        <w:spacing w:before="2"/>
        <w:rPr>
          <w:sz w:val="7"/>
        </w:rPr>
      </w:pPr>
      <w:r>
        <w:rPr>
          <w:noProof/>
        </w:rPr>
        <mc:AlternateContent>
          <mc:Choice Requires="wps">
            <w:drawing>
              <wp:anchor distT="0" distB="0" distL="0" distR="0" simplePos="0" relativeHeight="487877632" behindDoc="1" locked="0" layoutInCell="1" allowOverlap="1" wp14:anchorId="6F6BB179" wp14:editId="41B05E37">
                <wp:simplePos x="0" y="0"/>
                <wp:positionH relativeFrom="page">
                  <wp:posOffset>899160</wp:posOffset>
                </wp:positionH>
                <wp:positionV relativeFrom="paragraph">
                  <wp:posOffset>71120</wp:posOffset>
                </wp:positionV>
                <wp:extent cx="3858895" cy="186055"/>
                <wp:effectExtent l="0" t="0" r="0" b="0"/>
                <wp:wrapTopAndBottom/>
                <wp:docPr id="190" name="docshape6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889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B0670E" id="docshape630" o:spid="_x0000_s1026" alt="&quot;&quot;" style="position:absolute;margin-left:70.8pt;margin-top:5.6pt;width:303.85pt;height:14.65pt;z-index:-1543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" fillcolor="black" stroked="f">
                <w10:wrap type="topAndBottom" anchorx="page"/>
              </v:rect>
            </w:pict>
          </mc:Fallback>
        </mc:AlternateContent>
      </w:r>
    </w:p>
    <w:p w14:paraId="1CF8F8ED" w14:textId="77777777" w:rsidR="00BD462C" w:rsidRDefault="00BD462C">
      <w:pPr>
        <w:pStyle w:val="BodyText"/>
        <w:spacing w:before="8"/>
        <w:rPr>
          <w:sz w:val="25"/>
        </w:rPr>
      </w:pPr>
    </w:p>
    <w:p w14:paraId="16725040" w14:textId="7E99DC80" w:rsidR="00BD462C" w:rsidRDefault="004A60C3">
      <w:pPr>
        <w:pStyle w:val="BodyText"/>
        <w:spacing w:line="360" w:lineRule="auto"/>
        <w:ind w:left="135" w:right="921"/>
        <w:jc w:val="both"/>
      </w:pPr>
      <w:r>
        <w:rPr>
          <w:noProof/>
        </w:rPr>
        <w:t>941.</w:t>
      </w:r>
      <w:r w:rsidR="00033D0F">
        <w:rPr>
          <w:rFonts w:ascii="Times New Roman"/>
          <w:spacing w:val="80"/>
          <w:position w:val="1"/>
          <w:sz w:val="20"/>
        </w:rPr>
        <w:t xml:space="preserve">   </w:t>
      </w:r>
      <w:r w:rsidR="00033D0F">
        <w:rPr>
          <w:position w:val="1"/>
        </w:rPr>
        <w:t>As Australia explains</w:t>
      </w:r>
      <w:r w:rsidR="00033D0F">
        <w:rPr>
          <w:spacing w:val="-1"/>
          <w:position w:val="1"/>
        </w:rPr>
        <w:t xml:space="preserve"> </w:t>
      </w:r>
      <w:r w:rsidR="00033D0F">
        <w:rPr>
          <w:position w:val="1"/>
        </w:rPr>
        <w:t xml:space="preserve">in detail in its response to Panel question No. 68, the quantum </w:t>
      </w:r>
      <w:r w:rsidR="00033D0F">
        <w:t>of adjustments is an essential fact, as "[w]</w:t>
      </w:r>
      <w:proofErr w:type="spellStart"/>
      <w:r w:rsidR="00033D0F">
        <w:t>ithout</w:t>
      </w:r>
      <w:proofErr w:type="spellEnd"/>
      <w:r w:rsidR="00033D0F">
        <w:t xml:space="preserve"> this disclosure, interested parties would be unable to comment on the completeness and correctness of the adjustments or provide additional information or correct perceived errors in relation to the adjustments."</w:t>
      </w:r>
      <w:hyperlink w:anchor="_bookmark1577" w:history="1">
        <w:r w:rsidR="00033D0F">
          <w:rPr>
            <w:vertAlign w:val="superscript"/>
          </w:rPr>
          <w:t>1365</w:t>
        </w:r>
      </w:hyperlink>
    </w:p>
    <w:p w14:paraId="3A7D6AE9" w14:textId="77777777" w:rsidR="00BD462C" w:rsidRDefault="00033D0F">
      <w:pPr>
        <w:pStyle w:val="ListParagraph"/>
        <w:numPr>
          <w:ilvl w:val="2"/>
          <w:numId w:val="15"/>
        </w:numPr>
        <w:tabs>
          <w:tab w:val="left" w:pos="4388"/>
          <w:tab w:val="left" w:pos="4389"/>
        </w:tabs>
        <w:spacing w:before="158"/>
        <w:jc w:val="both"/>
        <w:rPr>
          <w:i/>
          <w:sz w:val="24"/>
        </w:rPr>
      </w:pPr>
      <w:bookmarkStart w:id="1826" w:name="ii._Casella_Wines,_Swan_Vintage_and_All_"/>
      <w:bookmarkEnd w:id="1826"/>
      <w:r>
        <w:rPr>
          <w:i/>
          <w:sz w:val="24"/>
        </w:rPr>
        <w:t>Casella</w:t>
      </w:r>
      <w:r>
        <w:rPr>
          <w:i/>
          <w:spacing w:val="-2"/>
          <w:sz w:val="24"/>
        </w:rPr>
        <w:t xml:space="preserve"> </w:t>
      </w:r>
      <w:r>
        <w:rPr>
          <w:i/>
          <w:sz w:val="24"/>
        </w:rPr>
        <w:t>Wines,</w:t>
      </w:r>
      <w:r>
        <w:rPr>
          <w:i/>
          <w:spacing w:val="-5"/>
          <w:sz w:val="24"/>
        </w:rPr>
        <w:t xml:space="preserve"> </w:t>
      </w:r>
      <w:r>
        <w:rPr>
          <w:i/>
          <w:sz w:val="24"/>
        </w:rPr>
        <w:t>Swan</w:t>
      </w:r>
      <w:r>
        <w:rPr>
          <w:i/>
          <w:spacing w:val="-2"/>
          <w:sz w:val="24"/>
        </w:rPr>
        <w:t xml:space="preserve"> </w:t>
      </w:r>
      <w:r>
        <w:rPr>
          <w:i/>
          <w:sz w:val="24"/>
        </w:rPr>
        <w:t>Vintage</w:t>
      </w:r>
      <w:r>
        <w:rPr>
          <w:i/>
          <w:spacing w:val="-3"/>
          <w:sz w:val="24"/>
        </w:rPr>
        <w:t xml:space="preserve"> </w:t>
      </w:r>
      <w:r>
        <w:rPr>
          <w:i/>
          <w:sz w:val="24"/>
        </w:rPr>
        <w:t>and</w:t>
      </w:r>
      <w:r>
        <w:rPr>
          <w:i/>
          <w:spacing w:val="-2"/>
          <w:sz w:val="24"/>
        </w:rPr>
        <w:t xml:space="preserve"> </w:t>
      </w:r>
      <w:r>
        <w:rPr>
          <w:i/>
          <w:sz w:val="24"/>
        </w:rPr>
        <w:t xml:space="preserve">All </w:t>
      </w:r>
      <w:r>
        <w:rPr>
          <w:i/>
          <w:spacing w:val="-2"/>
          <w:sz w:val="24"/>
        </w:rPr>
        <w:t>Others</w:t>
      </w:r>
    </w:p>
    <w:p w14:paraId="787B474E" w14:textId="77777777" w:rsidR="00BD462C" w:rsidRDefault="00BD462C">
      <w:pPr>
        <w:pStyle w:val="BodyText"/>
        <w:spacing w:before="11"/>
        <w:rPr>
          <w:i/>
          <w:sz w:val="20"/>
        </w:rPr>
      </w:pPr>
    </w:p>
    <w:p w14:paraId="2C6B734C" w14:textId="1BA6CFC4" w:rsidR="00BD462C" w:rsidRDefault="004A60C3">
      <w:pPr>
        <w:pStyle w:val="BodyText"/>
        <w:spacing w:before="56" w:line="360" w:lineRule="auto"/>
        <w:ind w:left="135" w:right="914"/>
        <w:jc w:val="both"/>
      </w:pPr>
      <w:r>
        <w:rPr>
          <w:noProof/>
        </w:rPr>
        <w:t>942.</w:t>
      </w:r>
      <w:r w:rsidR="00033D0F">
        <w:rPr>
          <w:rFonts w:ascii="Times New Roman"/>
          <w:spacing w:val="40"/>
          <w:position w:val="1"/>
          <w:sz w:val="20"/>
        </w:rPr>
        <w:t xml:space="preserve">  </w:t>
      </w:r>
      <w:r w:rsidR="00033D0F">
        <w:rPr>
          <w:position w:val="1"/>
        </w:rPr>
        <w:t xml:space="preserve">In respect of the quantum of adjustments for Casella Wines and Swan Vintage, as </w:t>
      </w:r>
      <w:r w:rsidR="00033D0F">
        <w:t>Australia submits in its response to the Panel question No. 68,</w:t>
      </w:r>
      <w:hyperlink w:anchor="_bookmark1578" w:history="1">
        <w:r w:rsidR="00033D0F">
          <w:rPr>
            <w:vertAlign w:val="superscript"/>
          </w:rPr>
          <w:t>1366</w:t>
        </w:r>
      </w:hyperlink>
      <w:r w:rsidR="00033D0F">
        <w:t xml:space="preserve"> Australia accepts that disclosure</w:t>
      </w:r>
      <w:r w:rsidR="00033D0F">
        <w:rPr>
          <w:spacing w:val="-14"/>
        </w:rPr>
        <w:t xml:space="preserve"> </w:t>
      </w:r>
      <w:r w:rsidR="00033D0F">
        <w:t>of</w:t>
      </w:r>
      <w:r w:rsidR="00033D0F">
        <w:rPr>
          <w:spacing w:val="-14"/>
        </w:rPr>
        <w:t xml:space="preserve"> </w:t>
      </w:r>
      <w:r w:rsidR="00033D0F">
        <w:t>the</w:t>
      </w:r>
      <w:r w:rsidR="00033D0F">
        <w:rPr>
          <w:spacing w:val="-13"/>
        </w:rPr>
        <w:t xml:space="preserve"> </w:t>
      </w:r>
      <w:r w:rsidR="00033D0F">
        <w:t>data</w:t>
      </w:r>
      <w:r w:rsidR="00033D0F">
        <w:rPr>
          <w:spacing w:val="-14"/>
        </w:rPr>
        <w:t xml:space="preserve"> </w:t>
      </w:r>
      <w:r w:rsidR="00033D0F">
        <w:t>relied</w:t>
      </w:r>
      <w:r w:rsidR="00033D0F">
        <w:rPr>
          <w:spacing w:val="-13"/>
        </w:rPr>
        <w:t xml:space="preserve"> </w:t>
      </w:r>
      <w:r w:rsidR="00033D0F">
        <w:t>on</w:t>
      </w:r>
      <w:r w:rsidR="00033D0F">
        <w:rPr>
          <w:spacing w:val="-14"/>
        </w:rPr>
        <w:t xml:space="preserve"> </w:t>
      </w:r>
      <w:r w:rsidR="00033D0F">
        <w:t>to</w:t>
      </w:r>
      <w:r w:rsidR="00033D0F">
        <w:rPr>
          <w:spacing w:val="-13"/>
        </w:rPr>
        <w:t xml:space="preserve"> </w:t>
      </w:r>
      <w:r w:rsidR="00033D0F">
        <w:t>determine</w:t>
      </w:r>
      <w:r w:rsidR="00033D0F">
        <w:rPr>
          <w:spacing w:val="-14"/>
        </w:rPr>
        <w:t xml:space="preserve"> </w:t>
      </w:r>
      <w:r w:rsidR="00033D0F">
        <w:t>their</w:t>
      </w:r>
      <w:r w:rsidR="00033D0F">
        <w:rPr>
          <w:spacing w:val="-14"/>
        </w:rPr>
        <w:t xml:space="preserve"> </w:t>
      </w:r>
      <w:r w:rsidR="00033D0F">
        <w:t>normal</w:t>
      </w:r>
      <w:r w:rsidR="00033D0F">
        <w:rPr>
          <w:spacing w:val="-13"/>
        </w:rPr>
        <w:t xml:space="preserve"> </w:t>
      </w:r>
      <w:r w:rsidR="00033D0F">
        <w:t>values</w:t>
      </w:r>
      <w:r w:rsidR="00033D0F">
        <w:rPr>
          <w:spacing w:val="-13"/>
        </w:rPr>
        <w:t xml:space="preserve"> </w:t>
      </w:r>
      <w:r w:rsidR="00033D0F">
        <w:t>was</w:t>
      </w:r>
      <w:r w:rsidR="00033D0F">
        <w:rPr>
          <w:spacing w:val="-10"/>
        </w:rPr>
        <w:t xml:space="preserve"> </w:t>
      </w:r>
      <w:r w:rsidR="00033D0F">
        <w:t>limited</w:t>
      </w:r>
      <w:r w:rsidR="00033D0F">
        <w:rPr>
          <w:spacing w:val="-14"/>
        </w:rPr>
        <w:t xml:space="preserve"> </w:t>
      </w:r>
      <w:r w:rsidR="00033D0F">
        <w:t>by</w:t>
      </w:r>
      <w:r w:rsidR="00033D0F">
        <w:rPr>
          <w:spacing w:val="-12"/>
        </w:rPr>
        <w:t xml:space="preserve"> </w:t>
      </w:r>
      <w:r w:rsidR="00033D0F">
        <w:t>confidentiality considerations. However, while the actual quantum could not be disclosed, MOFCOM was required to provide non-confidential summaries of the adjustment data on which it relied, which</w:t>
      </w:r>
      <w:r w:rsidR="00033D0F">
        <w:rPr>
          <w:spacing w:val="-5"/>
        </w:rPr>
        <w:t xml:space="preserve"> </w:t>
      </w:r>
      <w:r w:rsidR="00033D0F">
        <w:t>could</w:t>
      </w:r>
      <w:r w:rsidR="00033D0F">
        <w:rPr>
          <w:spacing w:val="-5"/>
        </w:rPr>
        <w:t xml:space="preserve"> </w:t>
      </w:r>
      <w:r w:rsidR="00033D0F">
        <w:t>have</w:t>
      </w:r>
      <w:r w:rsidR="00033D0F">
        <w:rPr>
          <w:spacing w:val="-3"/>
        </w:rPr>
        <w:t xml:space="preserve"> </w:t>
      </w:r>
      <w:r w:rsidR="00033D0F">
        <w:t>included</w:t>
      </w:r>
      <w:r w:rsidR="00033D0F">
        <w:rPr>
          <w:spacing w:val="-5"/>
        </w:rPr>
        <w:t xml:space="preserve"> </w:t>
      </w:r>
      <w:r w:rsidR="00033D0F">
        <w:t>an</w:t>
      </w:r>
      <w:r w:rsidR="00033D0F">
        <w:rPr>
          <w:spacing w:val="-5"/>
        </w:rPr>
        <w:t xml:space="preserve"> </w:t>
      </w:r>
      <w:r w:rsidR="00033D0F">
        <w:t>indicative</w:t>
      </w:r>
      <w:r w:rsidR="00033D0F">
        <w:rPr>
          <w:spacing w:val="-3"/>
        </w:rPr>
        <w:t xml:space="preserve"> </w:t>
      </w:r>
      <w:r w:rsidR="00033D0F">
        <w:t>range.</w:t>
      </w:r>
      <w:r w:rsidR="00033D0F">
        <w:rPr>
          <w:spacing w:val="-2"/>
        </w:rPr>
        <w:t xml:space="preserve"> </w:t>
      </w:r>
      <w:r w:rsidR="00033D0F">
        <w:t>This</w:t>
      </w:r>
      <w:r w:rsidR="00033D0F">
        <w:rPr>
          <w:spacing w:val="-2"/>
        </w:rPr>
        <w:t xml:space="preserve"> </w:t>
      </w:r>
      <w:r w:rsidR="00033D0F">
        <w:t>would</w:t>
      </w:r>
      <w:r w:rsidR="00033D0F">
        <w:rPr>
          <w:spacing w:val="-5"/>
        </w:rPr>
        <w:t xml:space="preserve"> </w:t>
      </w:r>
      <w:r w:rsidR="00033D0F">
        <w:t>have</w:t>
      </w:r>
      <w:r w:rsidR="00033D0F">
        <w:rPr>
          <w:spacing w:val="-3"/>
        </w:rPr>
        <w:t xml:space="preserve"> </w:t>
      </w:r>
      <w:r w:rsidR="00033D0F">
        <w:t>enabled</w:t>
      </w:r>
      <w:r w:rsidR="00033D0F">
        <w:rPr>
          <w:spacing w:val="-5"/>
        </w:rPr>
        <w:t xml:space="preserve"> </w:t>
      </w:r>
      <w:r w:rsidR="00033D0F">
        <w:t>some</w:t>
      </w:r>
      <w:r w:rsidR="00033D0F">
        <w:rPr>
          <w:spacing w:val="-3"/>
        </w:rPr>
        <w:t xml:space="preserve"> </w:t>
      </w:r>
      <w:r w:rsidR="00033D0F">
        <w:t>visibility</w:t>
      </w:r>
      <w:r w:rsidR="00033D0F">
        <w:rPr>
          <w:spacing w:val="-2"/>
        </w:rPr>
        <w:t xml:space="preserve"> </w:t>
      </w:r>
      <w:r w:rsidR="00033D0F">
        <w:t>of</w:t>
      </w:r>
      <w:r w:rsidR="00033D0F">
        <w:rPr>
          <w:spacing w:val="-5"/>
        </w:rPr>
        <w:t xml:space="preserve"> </w:t>
      </w:r>
      <w:r w:rsidR="00033D0F">
        <w:t>the methodology MOFCOM applied. Without such a summary, Casella Wines and Swan Vintage were in no position to request adjustments for differences affecting price comparability, should such adjustments be necessary.</w:t>
      </w:r>
    </w:p>
    <w:p w14:paraId="3132FD1B" w14:textId="77777777" w:rsidR="00BD462C" w:rsidRDefault="00BD462C">
      <w:pPr>
        <w:pStyle w:val="BodyText"/>
        <w:spacing w:before="5"/>
        <w:rPr>
          <w:sz w:val="8"/>
        </w:rPr>
      </w:pPr>
    </w:p>
    <w:p w14:paraId="0C24CE20" w14:textId="72017D09" w:rsidR="00BD462C" w:rsidRDefault="00E14314">
      <w:pPr>
        <w:pStyle w:val="BodyText"/>
        <w:spacing w:before="56" w:line="355" w:lineRule="auto"/>
        <w:ind w:left="135" w:right="923"/>
      </w:pPr>
      <w:r>
        <w:rPr>
          <w:noProof/>
        </w:rPr>
        <mc:AlternateContent>
          <mc:Choice Requires="wps">
            <w:drawing>
              <wp:anchor distT="0" distB="0" distL="0" distR="0" simplePos="0" relativeHeight="488067584" behindDoc="1" locked="0" layoutInCell="1" allowOverlap="1" wp14:anchorId="4CC0AC29" wp14:editId="5C020AAD">
                <wp:simplePos x="0" y="0"/>
                <wp:positionH relativeFrom="page">
                  <wp:posOffset>812800</wp:posOffset>
                </wp:positionH>
                <wp:positionV relativeFrom="paragraph">
                  <wp:posOffset>785495</wp:posOffset>
                </wp:positionV>
                <wp:extent cx="1828800" cy="8890"/>
                <wp:effectExtent l="0" t="0" r="0" b="0"/>
                <wp:wrapTopAndBottom/>
                <wp:docPr id="45" name="docshape2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EC6F10" id="docshape267" o:spid="_x0000_s1026" alt="&quot;&quot;" style="position:absolute;margin-left:64pt;margin-top:61.85pt;width:2in;height:.7pt;z-index:-15248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" fillcolor="black" stroked="f">
                <w10:wrap type="topAndBottom" anchorx="page"/>
              </v:rect>
            </w:pict>
          </mc:Fallback>
        </mc:AlternateContent>
      </w:r>
      <w:r w:rsidR="004A60C3">
        <w:rPr>
          <w:noProof/>
        </w:rPr>
        <w:t>943.</w:t>
      </w:r>
      <w:r w:rsidR="00033D0F">
        <w:rPr>
          <w:rFonts w:ascii="Times New Roman"/>
          <w:spacing w:val="80"/>
          <w:position w:val="1"/>
          <w:sz w:val="20"/>
        </w:rPr>
        <w:t xml:space="preserve">   </w:t>
      </w:r>
      <w:r w:rsidR="00033D0F">
        <w:rPr>
          <w:position w:val="1"/>
        </w:rPr>
        <w:t>Australia</w:t>
      </w:r>
      <w:r w:rsidR="00033D0F">
        <w:rPr>
          <w:spacing w:val="20"/>
          <w:position w:val="1"/>
        </w:rPr>
        <w:t xml:space="preserve"> </w:t>
      </w:r>
      <w:r w:rsidR="00033D0F">
        <w:rPr>
          <w:position w:val="1"/>
        </w:rPr>
        <w:t>has</w:t>
      </w:r>
      <w:r w:rsidR="00033D0F">
        <w:rPr>
          <w:spacing w:val="22"/>
          <w:position w:val="1"/>
        </w:rPr>
        <w:t xml:space="preserve"> </w:t>
      </w:r>
      <w:r w:rsidR="00033D0F">
        <w:rPr>
          <w:position w:val="1"/>
        </w:rPr>
        <w:t>similarly established</w:t>
      </w:r>
      <w:r w:rsidR="00033D0F">
        <w:rPr>
          <w:spacing w:val="19"/>
          <w:position w:val="1"/>
        </w:rPr>
        <w:t xml:space="preserve"> </w:t>
      </w:r>
      <w:r w:rsidR="00033D0F">
        <w:rPr>
          <w:position w:val="1"/>
        </w:rPr>
        <w:t>the</w:t>
      </w:r>
      <w:r w:rsidR="00033D0F">
        <w:rPr>
          <w:spacing w:val="20"/>
          <w:position w:val="1"/>
        </w:rPr>
        <w:t xml:space="preserve"> </w:t>
      </w:r>
      <w:r w:rsidR="00033D0F">
        <w:rPr>
          <w:position w:val="1"/>
        </w:rPr>
        <w:t>insufficient</w:t>
      </w:r>
      <w:r w:rsidR="00033D0F">
        <w:rPr>
          <w:spacing w:val="21"/>
          <w:position w:val="1"/>
        </w:rPr>
        <w:t xml:space="preserve"> </w:t>
      </w:r>
      <w:r w:rsidR="00033D0F">
        <w:rPr>
          <w:position w:val="1"/>
        </w:rPr>
        <w:t>nature</w:t>
      </w:r>
      <w:r w:rsidR="00033D0F">
        <w:rPr>
          <w:spacing w:val="21"/>
          <w:position w:val="1"/>
        </w:rPr>
        <w:t xml:space="preserve"> </w:t>
      </w:r>
      <w:r w:rsidR="00033D0F">
        <w:rPr>
          <w:position w:val="1"/>
        </w:rPr>
        <w:t>of</w:t>
      </w:r>
      <w:r w:rsidR="00033D0F">
        <w:rPr>
          <w:spacing w:val="19"/>
          <w:position w:val="1"/>
        </w:rPr>
        <w:t xml:space="preserve"> </w:t>
      </w:r>
      <w:r w:rsidR="00033D0F">
        <w:rPr>
          <w:position w:val="1"/>
        </w:rPr>
        <w:t>the</w:t>
      </w:r>
      <w:r w:rsidR="00033D0F">
        <w:rPr>
          <w:spacing w:val="20"/>
          <w:position w:val="1"/>
        </w:rPr>
        <w:t xml:space="preserve"> </w:t>
      </w:r>
      <w:r w:rsidR="00033D0F">
        <w:rPr>
          <w:position w:val="1"/>
        </w:rPr>
        <w:t>Final</w:t>
      </w:r>
      <w:r w:rsidR="00033D0F">
        <w:rPr>
          <w:spacing w:val="23"/>
          <w:position w:val="1"/>
        </w:rPr>
        <w:t xml:space="preserve"> </w:t>
      </w:r>
      <w:r w:rsidR="00033D0F">
        <w:rPr>
          <w:position w:val="1"/>
        </w:rPr>
        <w:t>Disclosure</w:t>
      </w:r>
      <w:r w:rsidR="00033D0F">
        <w:rPr>
          <w:spacing w:val="21"/>
          <w:position w:val="1"/>
        </w:rPr>
        <w:t xml:space="preserve"> </w:t>
      </w:r>
      <w:r w:rsidR="00033D0F">
        <w:rPr>
          <w:position w:val="1"/>
        </w:rPr>
        <w:t xml:space="preserve">to </w:t>
      </w:r>
      <w:r w:rsidR="00033D0F">
        <w:t>the</w:t>
      </w:r>
      <w:r w:rsidR="00033D0F">
        <w:rPr>
          <w:spacing w:val="14"/>
        </w:rPr>
        <w:t xml:space="preserve"> </w:t>
      </w:r>
      <w:r w:rsidR="00033D0F">
        <w:t>"All</w:t>
      </w:r>
      <w:r w:rsidR="00033D0F">
        <w:rPr>
          <w:spacing w:val="19"/>
        </w:rPr>
        <w:t xml:space="preserve"> </w:t>
      </w:r>
      <w:r w:rsidR="00033D0F">
        <w:t>Others"</w:t>
      </w:r>
      <w:r w:rsidR="00033D0F">
        <w:rPr>
          <w:spacing w:val="16"/>
        </w:rPr>
        <w:t xml:space="preserve"> </w:t>
      </w:r>
      <w:r w:rsidR="00033D0F">
        <w:t>group</w:t>
      </w:r>
      <w:r w:rsidR="00033D0F">
        <w:rPr>
          <w:spacing w:val="20"/>
        </w:rPr>
        <w:t xml:space="preserve"> </w:t>
      </w:r>
      <w:r w:rsidR="00033D0F">
        <w:t>of</w:t>
      </w:r>
      <w:r w:rsidR="00033D0F">
        <w:rPr>
          <w:spacing w:val="20"/>
        </w:rPr>
        <w:t xml:space="preserve"> </w:t>
      </w:r>
      <w:r w:rsidR="00033D0F">
        <w:t>exporters</w:t>
      </w:r>
      <w:r w:rsidR="00033D0F">
        <w:rPr>
          <w:spacing w:val="18"/>
        </w:rPr>
        <w:t xml:space="preserve"> </w:t>
      </w:r>
      <w:r w:rsidR="00033D0F">
        <w:t>and</w:t>
      </w:r>
      <w:r w:rsidR="00033D0F">
        <w:rPr>
          <w:spacing w:val="19"/>
        </w:rPr>
        <w:t xml:space="preserve"> </w:t>
      </w:r>
      <w:r w:rsidR="00033D0F">
        <w:t>how</w:t>
      </w:r>
      <w:r w:rsidR="00033D0F">
        <w:rPr>
          <w:spacing w:val="17"/>
        </w:rPr>
        <w:t xml:space="preserve"> </w:t>
      </w:r>
      <w:r w:rsidR="00033D0F">
        <w:t>MOFCOM</w:t>
      </w:r>
      <w:r w:rsidR="00033D0F">
        <w:rPr>
          <w:spacing w:val="17"/>
        </w:rPr>
        <w:t xml:space="preserve"> </w:t>
      </w:r>
      <w:r w:rsidR="00033D0F">
        <w:t>failed</w:t>
      </w:r>
      <w:r w:rsidR="00033D0F">
        <w:rPr>
          <w:spacing w:val="15"/>
        </w:rPr>
        <w:t xml:space="preserve"> </w:t>
      </w:r>
      <w:r w:rsidR="00033D0F">
        <w:t>to</w:t>
      </w:r>
      <w:r w:rsidR="00033D0F">
        <w:rPr>
          <w:spacing w:val="14"/>
        </w:rPr>
        <w:t xml:space="preserve"> </w:t>
      </w:r>
      <w:r w:rsidR="00033D0F">
        <w:t>conduct</w:t>
      </w:r>
      <w:r w:rsidR="00033D0F">
        <w:rPr>
          <w:spacing w:val="17"/>
        </w:rPr>
        <w:t xml:space="preserve"> </w:t>
      </w:r>
      <w:r w:rsidR="00033D0F">
        <w:t>a</w:t>
      </w:r>
      <w:r w:rsidR="00033D0F">
        <w:rPr>
          <w:spacing w:val="21"/>
        </w:rPr>
        <w:t xml:space="preserve"> </w:t>
      </w:r>
      <w:r w:rsidR="00033D0F">
        <w:t>fair</w:t>
      </w:r>
      <w:r w:rsidR="00033D0F">
        <w:rPr>
          <w:spacing w:val="14"/>
        </w:rPr>
        <w:t xml:space="preserve"> </w:t>
      </w:r>
      <w:r w:rsidR="00033D0F">
        <w:rPr>
          <w:spacing w:val="-2"/>
        </w:rPr>
        <w:t>comparison</w:t>
      </w:r>
    </w:p>
    <w:p w14:paraId="7B0468E1" w14:textId="157882B4" w:rsidR="00BD462C" w:rsidRDefault="00BD462C">
      <w:pPr>
        <w:pStyle w:val="BodyText"/>
        <w:spacing w:before="2"/>
        <w:rPr>
          <w:sz w:val="25"/>
        </w:rPr>
      </w:pPr>
    </w:p>
    <w:p w14:paraId="733875F9" w14:textId="1D558204" w:rsidR="00BD462C" w:rsidRDefault="00BD462C">
      <w:pPr>
        <w:pStyle w:val="BodyText"/>
        <w:spacing w:before="11"/>
        <w:rPr>
          <w:sz w:val="9"/>
        </w:rPr>
      </w:pPr>
    </w:p>
    <w:p w14:paraId="5812C392" w14:textId="705D5EF0" w:rsidR="00BD462C" w:rsidRDefault="00D70C7D">
      <w:pPr>
        <w:ind w:left="135"/>
        <w:rPr>
          <w:sz w:val="12"/>
        </w:rPr>
      </w:pPr>
      <w:r>
        <w:rPr>
          <w:noProof/>
        </w:rPr>
        <mc:AlternateContent>
          <mc:Choice Requires="wpg">
            <w:drawing>
              <wp:anchor distT="0" distB="0" distL="114300" distR="114300" simplePos="0" relativeHeight="16022016" behindDoc="0" locked="0" layoutInCell="1" allowOverlap="1" wp14:anchorId="39175911" wp14:editId="66E6F0F7">
                <wp:simplePos x="0" y="0"/>
                <wp:positionH relativeFrom="page">
                  <wp:posOffset>1085215</wp:posOffset>
                </wp:positionH>
                <wp:positionV relativeFrom="paragraph">
                  <wp:posOffset>-6985</wp:posOffset>
                </wp:positionV>
                <wp:extent cx="4590415" cy="280670"/>
                <wp:effectExtent l="0" t="0" r="0" b="0"/>
                <wp:wrapNone/>
                <wp:docPr id="180" name="docshapegroup6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0415" cy="280670"/>
                          <a:chOff x="1709" y="-11"/>
                          <a:chExt cx="7229" cy="442"/>
                        </a:xfrm>
                      </wpg:grpSpPr>
                      <wps:wsp>
                        <wps:cNvPr id="182" name="docshape633" descr="Redacted"/>
                        <wps:cNvSpPr>
                          <a:spLocks/>
                        </wps:cNvSpPr>
                        <wps:spPr bwMode="auto">
                          <a:xfrm>
                            <a:off x="1708" y="-11"/>
                            <a:ext cx="7229" cy="442"/>
                          </a:xfrm>
                          <a:custGeom>
                            <a:avLst/>
                            <a:gdLst>
                              <a:gd name="T0" fmla="+- 0 8842 1709"/>
                              <a:gd name="T1" fmla="*/ T0 w 7229"/>
                              <a:gd name="T2" fmla="+- 0 210 -11"/>
                              <a:gd name="T3" fmla="*/ 210 h 442"/>
                              <a:gd name="T4" fmla="+- 0 1709 1709"/>
                              <a:gd name="T5" fmla="*/ T4 w 7229"/>
                              <a:gd name="T6" fmla="+- 0 210 -11"/>
                              <a:gd name="T7" fmla="*/ 210 h 442"/>
                              <a:gd name="T8" fmla="+- 0 1709 1709"/>
                              <a:gd name="T9" fmla="*/ T8 w 7229"/>
                              <a:gd name="T10" fmla="+- 0 431 -11"/>
                              <a:gd name="T11" fmla="*/ 431 h 442"/>
                              <a:gd name="T12" fmla="+- 0 8842 1709"/>
                              <a:gd name="T13" fmla="*/ T12 w 7229"/>
                              <a:gd name="T14" fmla="+- 0 431 -11"/>
                              <a:gd name="T15" fmla="*/ 431 h 442"/>
                              <a:gd name="T16" fmla="+- 0 8842 1709"/>
                              <a:gd name="T17" fmla="*/ T16 w 7229"/>
                              <a:gd name="T18" fmla="+- 0 210 -11"/>
                              <a:gd name="T19" fmla="*/ 210 h 442"/>
                              <a:gd name="T20" fmla="+- 0 8938 1709"/>
                              <a:gd name="T21" fmla="*/ T20 w 7229"/>
                              <a:gd name="T22" fmla="+- 0 -11 -11"/>
                              <a:gd name="T23" fmla="*/ -11 h 442"/>
                              <a:gd name="T24" fmla="+- 0 1709 1709"/>
                              <a:gd name="T25" fmla="*/ T24 w 7229"/>
                              <a:gd name="T26" fmla="+- 0 -11 -11"/>
                              <a:gd name="T27" fmla="*/ -11 h 442"/>
                              <a:gd name="T28" fmla="+- 0 1709 1709"/>
                              <a:gd name="T29" fmla="*/ T28 w 7229"/>
                              <a:gd name="T30" fmla="+- 0 210 -11"/>
                              <a:gd name="T31" fmla="*/ 210 h 442"/>
                              <a:gd name="T32" fmla="+- 0 8938 1709"/>
                              <a:gd name="T33" fmla="*/ T32 w 7229"/>
                              <a:gd name="T34" fmla="+- 0 210 -11"/>
                              <a:gd name="T35" fmla="*/ 210 h 442"/>
                              <a:gd name="T36" fmla="+- 0 8938 1709"/>
                              <a:gd name="T37" fmla="*/ T36 w 7229"/>
                              <a:gd name="T38" fmla="+- 0 -11 -11"/>
                              <a:gd name="T39" fmla="*/ -11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229" h="442">
                                <a:moveTo>
                                  <a:pt x="7133" y="221"/>
                                </a:moveTo>
                                <a:lnTo>
                                  <a:pt x="0" y="221"/>
                                </a:lnTo>
                                <a:lnTo>
                                  <a:pt x="0" y="442"/>
                                </a:lnTo>
                                <a:lnTo>
                                  <a:pt x="7133" y="442"/>
                                </a:lnTo>
                                <a:lnTo>
                                  <a:pt x="7133" y="221"/>
                                </a:lnTo>
                                <a:close/>
                                <a:moveTo>
                                  <a:pt x="7229" y="0"/>
                                </a:moveTo>
                                <a:lnTo>
                                  <a:pt x="0" y="0"/>
                                </a:lnTo>
                                <a:lnTo>
                                  <a:pt x="0" y="221"/>
                                </a:lnTo>
                                <a:lnTo>
                                  <a:pt x="7229" y="221"/>
                                </a:lnTo>
                                <a:lnTo>
                                  <a:pt x="72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docshape634"/>
                        <wps:cNvSpPr txBox="1">
                          <a:spLocks noChangeArrowheads="1"/>
                        </wps:cNvSpPr>
                        <wps:spPr bwMode="auto">
                          <a:xfrm>
                            <a:off x="1708" y="25"/>
                            <a:ext cx="76"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0CBAA" w14:textId="77777777" w:rsidR="00BD462C" w:rsidRDefault="00033D0F">
                              <w:pPr>
                                <w:spacing w:line="185" w:lineRule="exact"/>
                                <w:rPr>
                                  <w:sz w:val="18"/>
                                </w:rPr>
                              </w:pPr>
                              <w:r>
                                <w:rPr>
                                  <w:w w:val="101"/>
                                  <w:sz w:val="18"/>
                                </w:rPr>
                                <w:t>[</w:t>
                              </w:r>
                            </w:p>
                            <w:p w14:paraId="49423284" w14:textId="77777777" w:rsidR="00BD462C" w:rsidRDefault="00033D0F">
                              <w:pPr>
                                <w:spacing w:before="1" w:line="217" w:lineRule="exact"/>
                                <w:rPr>
                                  <w:sz w:val="18"/>
                                </w:rPr>
                              </w:pPr>
                              <w:r>
                                <w:rPr>
                                  <w:w w:val="101"/>
                                  <w:sz w:val="18"/>
                                </w:rPr>
                                <w:t>[</w:t>
                              </w:r>
                            </w:p>
                          </w:txbxContent>
                        </wps:txbx>
                        <wps:bodyPr rot="0" vert="horz" wrap="square" lIns="0" tIns="0" rIns="0" bIns="0" anchor="t" anchorCtr="0" upright="1">
                          <a:noAutofit/>
                        </wps:bodyPr>
                      </wps:wsp>
                      <wps:wsp>
                        <wps:cNvPr id="186" name="docshape635"/>
                        <wps:cNvSpPr txBox="1">
                          <a:spLocks noChangeArrowheads="1"/>
                        </wps:cNvSpPr>
                        <wps:spPr bwMode="auto">
                          <a:xfrm>
                            <a:off x="8788" y="246"/>
                            <a:ext cx="7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6314D" w14:textId="77777777" w:rsidR="00BD462C" w:rsidRDefault="00033D0F">
                              <w:pPr>
                                <w:spacing w:line="182" w:lineRule="exact"/>
                                <w:rPr>
                                  <w:sz w:val="18"/>
                                </w:rPr>
                              </w:pPr>
                              <w:r>
                                <w:rPr>
                                  <w:w w:val="101"/>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175911" id="docshapegroup632" o:spid="_x0000_s1063" alt="&quot;&quot;" style="position:absolute;left:0;text-align:left;margin-left:85.45pt;margin-top:-.55pt;width:361.45pt;height:22.1pt;z-index:16022016;mso-position-horizontal-relative:page;mso-position-vertical-relative:text" coordorigin="1709,-11" coordsize="7229,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">
                <v:shape id="docshape633" o:spid="_x0000_s1064" alt="Redacted" style="position:absolute;left:1708;top:-11;width:7229;height:442;visibility:visible;mso-wrap-style:square;v-text-anchor:top" coordsize="7229,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" path="m7133,221l,221,,442r7133,l7133,221xm7229,l,,,221r7229,l7229,xe" fillcolor="black" stroked="f">
                  <v:path arrowok="t" o:connecttype="custom" o:connectlocs="7133,210;0,210;0,431;7133,431;7133,210;7229,-11;0,-11;0,210;7229,210;7229,-11" o:connectangles="0,0,0,0,0,0,0,0,0,0"/>
                </v:shape>
                <v:shape id="docshape634" o:spid="_x0000_s1065" type="#_x0000_t202" style="position:absolute;left:1708;top:25;width:7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7370CBAA" w14:textId="77777777" w:rsidR="00BD462C" w:rsidRDefault="00033D0F">
                        <w:pPr>
                          <w:spacing w:line="185" w:lineRule="exact"/>
                          <w:rPr>
                            <w:sz w:val="18"/>
                          </w:rPr>
                        </w:pPr>
                        <w:r>
                          <w:rPr>
                            <w:w w:val="101"/>
                            <w:sz w:val="18"/>
                          </w:rPr>
                          <w:t>[</w:t>
                        </w:r>
                      </w:p>
                      <w:p w14:paraId="49423284" w14:textId="77777777" w:rsidR="00BD462C" w:rsidRDefault="00033D0F">
                        <w:pPr>
                          <w:spacing w:before="1" w:line="217" w:lineRule="exact"/>
                          <w:rPr>
                            <w:sz w:val="18"/>
                          </w:rPr>
                        </w:pPr>
                        <w:r>
                          <w:rPr>
                            <w:w w:val="101"/>
                            <w:sz w:val="18"/>
                          </w:rPr>
                          <w:t>[</w:t>
                        </w:r>
                      </w:p>
                    </w:txbxContent>
                  </v:textbox>
                </v:shape>
                <v:shape id="docshape635" o:spid="_x0000_s1066" type="#_x0000_t202" style="position:absolute;left:8788;top:246;width:7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00C6314D" w14:textId="77777777" w:rsidR="00BD462C" w:rsidRDefault="00033D0F">
                        <w:pPr>
                          <w:spacing w:line="182" w:lineRule="exact"/>
                          <w:rPr>
                            <w:sz w:val="18"/>
                          </w:rPr>
                        </w:pPr>
                        <w:r>
                          <w:rPr>
                            <w:w w:val="101"/>
                            <w:sz w:val="18"/>
                          </w:rPr>
                          <w:t>]</w:t>
                        </w:r>
                      </w:p>
                    </w:txbxContent>
                  </v:textbox>
                </v:shape>
                <w10:wrap anchorx="page"/>
              </v:group>
            </w:pict>
          </mc:Fallback>
        </mc:AlternateContent>
      </w:r>
      <w:bookmarkStart w:id="1827" w:name="_bookmark1575"/>
      <w:bookmarkEnd w:id="1827"/>
      <w:r w:rsidR="00033D0F">
        <w:rPr>
          <w:spacing w:val="-4"/>
          <w:sz w:val="12"/>
        </w:rPr>
        <w:t>1363</w:t>
      </w:r>
    </w:p>
    <w:p w14:paraId="62E5AA74" w14:textId="57B25B17" w:rsidR="00BD462C" w:rsidRDefault="00033D0F">
      <w:pPr>
        <w:spacing w:before="74"/>
        <w:ind w:left="135"/>
        <w:rPr>
          <w:sz w:val="12"/>
        </w:rPr>
      </w:pPr>
      <w:r>
        <w:rPr>
          <w:spacing w:val="-4"/>
          <w:sz w:val="12"/>
        </w:rPr>
        <w:t>1364</w:t>
      </w:r>
    </w:p>
    <w:p w14:paraId="1FC90BFE" w14:textId="77777777" w:rsidR="00BD462C" w:rsidRDefault="00033D0F">
      <w:pPr>
        <w:spacing w:before="65"/>
        <w:ind w:left="135"/>
        <w:rPr>
          <w:sz w:val="18"/>
        </w:rPr>
      </w:pPr>
      <w:bookmarkStart w:id="1828" w:name="_bookmark1577"/>
      <w:bookmarkEnd w:id="1828"/>
      <w:r>
        <w:rPr>
          <w:position w:val="5"/>
          <w:sz w:val="12"/>
        </w:rPr>
        <w:lastRenderedPageBreak/>
        <w:t>1365</w:t>
      </w:r>
      <w:r>
        <w:rPr>
          <w:spacing w:val="13"/>
          <w:position w:val="5"/>
          <w:sz w:val="12"/>
        </w:rPr>
        <w:t xml:space="preserve"> </w:t>
      </w:r>
      <w:r>
        <w:rPr>
          <w:sz w:val="18"/>
        </w:rPr>
        <w:t>Australia's response</w:t>
      </w:r>
      <w:r>
        <w:rPr>
          <w:spacing w:val="-5"/>
          <w:sz w:val="18"/>
        </w:rPr>
        <w:t xml:space="preserve"> </w:t>
      </w:r>
      <w:r>
        <w:rPr>
          <w:sz w:val="18"/>
        </w:rPr>
        <w:t>to</w:t>
      </w:r>
      <w:r>
        <w:rPr>
          <w:spacing w:val="-6"/>
          <w:sz w:val="18"/>
        </w:rPr>
        <w:t xml:space="preserve"> </w:t>
      </w:r>
      <w:r>
        <w:rPr>
          <w:sz w:val="18"/>
        </w:rPr>
        <w:t>Panel</w:t>
      </w:r>
      <w:r>
        <w:rPr>
          <w:spacing w:val="-4"/>
          <w:sz w:val="18"/>
        </w:rPr>
        <w:t xml:space="preserve"> </w:t>
      </w:r>
      <w:r>
        <w:rPr>
          <w:sz w:val="18"/>
        </w:rPr>
        <w:t>question</w:t>
      </w:r>
      <w:r>
        <w:rPr>
          <w:spacing w:val="-5"/>
          <w:sz w:val="18"/>
        </w:rPr>
        <w:t xml:space="preserve"> </w:t>
      </w:r>
      <w:r>
        <w:rPr>
          <w:sz w:val="18"/>
        </w:rPr>
        <w:t>No.</w:t>
      </w:r>
      <w:r>
        <w:rPr>
          <w:spacing w:val="-4"/>
          <w:sz w:val="18"/>
        </w:rPr>
        <w:t xml:space="preserve"> </w:t>
      </w:r>
      <w:r>
        <w:rPr>
          <w:sz w:val="18"/>
        </w:rPr>
        <w:t>68,</w:t>
      </w:r>
      <w:r>
        <w:rPr>
          <w:spacing w:val="-3"/>
          <w:sz w:val="18"/>
        </w:rPr>
        <w:t xml:space="preserve"> </w:t>
      </w:r>
      <w:r>
        <w:rPr>
          <w:sz w:val="18"/>
        </w:rPr>
        <w:t>paras. 217-</w:t>
      </w:r>
      <w:r>
        <w:rPr>
          <w:spacing w:val="-4"/>
          <w:sz w:val="18"/>
        </w:rPr>
        <w:t>218.</w:t>
      </w:r>
    </w:p>
    <w:p w14:paraId="7EDDDFAB" w14:textId="77777777" w:rsidR="00BD462C" w:rsidRDefault="00033D0F">
      <w:pPr>
        <w:spacing w:before="1"/>
        <w:ind w:left="135"/>
        <w:rPr>
          <w:sz w:val="18"/>
        </w:rPr>
      </w:pPr>
      <w:bookmarkStart w:id="1829" w:name="_bookmark1578"/>
      <w:bookmarkEnd w:id="1829"/>
      <w:r>
        <w:rPr>
          <w:position w:val="5"/>
          <w:sz w:val="12"/>
        </w:rPr>
        <w:t>1366</w:t>
      </w:r>
      <w:r>
        <w:rPr>
          <w:spacing w:val="13"/>
          <w:position w:val="5"/>
          <w:sz w:val="12"/>
        </w:rPr>
        <w:t xml:space="preserve"> </w:t>
      </w:r>
      <w:r>
        <w:rPr>
          <w:sz w:val="18"/>
        </w:rPr>
        <w:t>Australia's response</w:t>
      </w:r>
      <w:r>
        <w:rPr>
          <w:spacing w:val="-5"/>
          <w:sz w:val="18"/>
        </w:rPr>
        <w:t xml:space="preserve"> </w:t>
      </w:r>
      <w:r>
        <w:rPr>
          <w:sz w:val="18"/>
        </w:rPr>
        <w:t>to</w:t>
      </w:r>
      <w:r>
        <w:rPr>
          <w:spacing w:val="-5"/>
          <w:sz w:val="18"/>
        </w:rPr>
        <w:t xml:space="preserve"> </w:t>
      </w:r>
      <w:r>
        <w:rPr>
          <w:sz w:val="18"/>
        </w:rPr>
        <w:t>Panel</w:t>
      </w:r>
      <w:r>
        <w:rPr>
          <w:spacing w:val="-4"/>
          <w:sz w:val="18"/>
        </w:rPr>
        <w:t xml:space="preserve"> </w:t>
      </w:r>
      <w:r>
        <w:rPr>
          <w:sz w:val="18"/>
        </w:rPr>
        <w:t>question</w:t>
      </w:r>
      <w:r>
        <w:rPr>
          <w:spacing w:val="-6"/>
          <w:sz w:val="18"/>
        </w:rPr>
        <w:t xml:space="preserve"> </w:t>
      </w:r>
      <w:r>
        <w:rPr>
          <w:sz w:val="18"/>
        </w:rPr>
        <w:t>No.</w:t>
      </w:r>
      <w:r>
        <w:rPr>
          <w:spacing w:val="-4"/>
          <w:sz w:val="18"/>
        </w:rPr>
        <w:t xml:space="preserve"> </w:t>
      </w:r>
      <w:r>
        <w:rPr>
          <w:sz w:val="18"/>
        </w:rPr>
        <w:t>68,</w:t>
      </w:r>
      <w:r>
        <w:rPr>
          <w:spacing w:val="-2"/>
          <w:sz w:val="18"/>
        </w:rPr>
        <w:t xml:space="preserve"> </w:t>
      </w:r>
      <w:r>
        <w:rPr>
          <w:sz w:val="18"/>
        </w:rPr>
        <w:t>paras. 219-</w:t>
      </w:r>
      <w:r>
        <w:rPr>
          <w:spacing w:val="-4"/>
          <w:sz w:val="18"/>
        </w:rPr>
        <w:t>222.</w:t>
      </w:r>
    </w:p>
    <w:p w14:paraId="20DA9F81" w14:textId="77777777" w:rsidR="00BD462C" w:rsidRDefault="00BD462C">
      <w:pPr>
        <w:rPr>
          <w:sz w:val="18"/>
        </w:rPr>
        <w:sectPr w:rsidR="00BD462C">
          <w:type w:val="continuous"/>
          <w:pgSz w:w="11910" w:h="16840"/>
          <w:pgMar w:top="1700" w:right="500" w:bottom="280" w:left="1280" w:header="566" w:footer="590" w:gutter="0"/>
          <w:cols w:space="720"/>
        </w:sectPr>
      </w:pPr>
    </w:p>
    <w:p w14:paraId="7E25DF6B"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0DF8F79F"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23404A08"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7464E261" w14:textId="77777777" w:rsidR="00BD462C" w:rsidRDefault="00033D0F">
      <w:pPr>
        <w:pStyle w:val="BodyText"/>
        <w:spacing w:before="102" w:line="357" w:lineRule="auto"/>
        <w:ind w:left="136" w:right="912"/>
      </w:pPr>
      <w:r>
        <w:t>when</w:t>
      </w:r>
      <w:r>
        <w:rPr>
          <w:spacing w:val="-14"/>
        </w:rPr>
        <w:t xml:space="preserve"> </w:t>
      </w:r>
      <w:r>
        <w:t>calculating</w:t>
      </w:r>
      <w:r>
        <w:rPr>
          <w:spacing w:val="-14"/>
        </w:rPr>
        <w:t xml:space="preserve"> </w:t>
      </w:r>
      <w:r>
        <w:t>the</w:t>
      </w:r>
      <w:r>
        <w:rPr>
          <w:spacing w:val="-13"/>
        </w:rPr>
        <w:t xml:space="preserve"> </w:t>
      </w:r>
      <w:r>
        <w:t>extremely</w:t>
      </w:r>
      <w:r>
        <w:rPr>
          <w:spacing w:val="-14"/>
        </w:rPr>
        <w:t xml:space="preserve"> </w:t>
      </w:r>
      <w:r>
        <w:t>high</w:t>
      </w:r>
      <w:r>
        <w:rPr>
          <w:spacing w:val="-13"/>
        </w:rPr>
        <w:t xml:space="preserve"> </w:t>
      </w:r>
      <w:r>
        <w:t>margin</w:t>
      </w:r>
      <w:r>
        <w:rPr>
          <w:spacing w:val="-14"/>
        </w:rPr>
        <w:t xml:space="preserve"> </w:t>
      </w:r>
      <w:r>
        <w:t>applied</w:t>
      </w:r>
      <w:r>
        <w:rPr>
          <w:spacing w:val="-13"/>
        </w:rPr>
        <w:t xml:space="preserve"> </w:t>
      </w:r>
      <w:r>
        <w:t>to</w:t>
      </w:r>
      <w:r>
        <w:rPr>
          <w:spacing w:val="-14"/>
        </w:rPr>
        <w:t xml:space="preserve"> </w:t>
      </w:r>
      <w:r>
        <w:t>this</w:t>
      </w:r>
      <w:r>
        <w:rPr>
          <w:spacing w:val="-14"/>
        </w:rPr>
        <w:t xml:space="preserve"> </w:t>
      </w:r>
      <w:r>
        <w:t>group.</w:t>
      </w:r>
      <w:hyperlink w:anchor="_bookmark1579" w:history="1">
        <w:r>
          <w:rPr>
            <w:vertAlign w:val="superscript"/>
          </w:rPr>
          <w:t>1367</w:t>
        </w:r>
      </w:hyperlink>
      <w:r>
        <w:rPr>
          <w:spacing w:val="-14"/>
        </w:rPr>
        <w:t xml:space="preserve"> </w:t>
      </w:r>
      <w:r>
        <w:t>China</w:t>
      </w:r>
      <w:r>
        <w:rPr>
          <w:spacing w:val="-13"/>
        </w:rPr>
        <w:t xml:space="preserve"> </w:t>
      </w:r>
      <w:r>
        <w:t>has</w:t>
      </w:r>
      <w:r>
        <w:rPr>
          <w:spacing w:val="-14"/>
        </w:rPr>
        <w:t xml:space="preserve"> </w:t>
      </w:r>
      <w:r>
        <w:t>not</w:t>
      </w:r>
      <w:r>
        <w:rPr>
          <w:spacing w:val="-13"/>
        </w:rPr>
        <w:t xml:space="preserve"> </w:t>
      </w:r>
      <w:r>
        <w:t>responded to Australia's arguments on this point.</w:t>
      </w:r>
    </w:p>
    <w:p w14:paraId="5D4D9C65" w14:textId="77777777" w:rsidR="00BD462C" w:rsidRDefault="00033D0F">
      <w:pPr>
        <w:pStyle w:val="ListParagraph"/>
        <w:numPr>
          <w:ilvl w:val="1"/>
          <w:numId w:val="15"/>
        </w:numPr>
        <w:tabs>
          <w:tab w:val="left" w:pos="3539"/>
          <w:tab w:val="left" w:pos="3540"/>
        </w:tabs>
        <w:spacing w:before="164" w:line="362" w:lineRule="auto"/>
        <w:ind w:right="921"/>
        <w:rPr>
          <w:sz w:val="24"/>
        </w:rPr>
      </w:pPr>
      <w:bookmarkStart w:id="1830" w:name="(d)_Details_of_the_methodologies_and_cal"/>
      <w:bookmarkEnd w:id="1830"/>
      <w:r>
        <w:rPr>
          <w:sz w:val="24"/>
          <w:u w:val="single"/>
        </w:rPr>
        <w:t>Details</w:t>
      </w:r>
      <w:r>
        <w:rPr>
          <w:spacing w:val="40"/>
          <w:sz w:val="24"/>
          <w:u w:val="single"/>
        </w:rPr>
        <w:t xml:space="preserve"> </w:t>
      </w:r>
      <w:r>
        <w:rPr>
          <w:sz w:val="24"/>
          <w:u w:val="single"/>
        </w:rPr>
        <w:t>of</w:t>
      </w:r>
      <w:r>
        <w:rPr>
          <w:spacing w:val="40"/>
          <w:sz w:val="24"/>
          <w:u w:val="single"/>
        </w:rPr>
        <w:t xml:space="preserve"> </w:t>
      </w:r>
      <w:r>
        <w:rPr>
          <w:sz w:val="24"/>
          <w:u w:val="single"/>
        </w:rPr>
        <w:t>the</w:t>
      </w:r>
      <w:r>
        <w:rPr>
          <w:spacing w:val="40"/>
          <w:sz w:val="24"/>
          <w:u w:val="single"/>
        </w:rPr>
        <w:t xml:space="preserve"> </w:t>
      </w:r>
      <w:r>
        <w:rPr>
          <w:sz w:val="24"/>
          <w:u w:val="single"/>
        </w:rPr>
        <w:t>methodologies</w:t>
      </w:r>
      <w:r>
        <w:rPr>
          <w:spacing w:val="40"/>
          <w:sz w:val="24"/>
          <w:u w:val="single"/>
        </w:rPr>
        <w:t xml:space="preserve"> </w:t>
      </w:r>
      <w:r>
        <w:rPr>
          <w:sz w:val="24"/>
          <w:u w:val="single"/>
        </w:rPr>
        <w:t>and</w:t>
      </w:r>
      <w:r>
        <w:rPr>
          <w:spacing w:val="40"/>
          <w:sz w:val="24"/>
          <w:u w:val="single"/>
        </w:rPr>
        <w:t xml:space="preserve"> </w:t>
      </w:r>
      <w:r>
        <w:rPr>
          <w:sz w:val="24"/>
          <w:u w:val="single"/>
        </w:rPr>
        <w:t>calculations</w:t>
      </w:r>
      <w:r>
        <w:rPr>
          <w:spacing w:val="40"/>
          <w:sz w:val="24"/>
          <w:u w:val="single"/>
        </w:rPr>
        <w:t xml:space="preserve"> </w:t>
      </w:r>
      <w:r>
        <w:rPr>
          <w:sz w:val="24"/>
          <w:u w:val="single"/>
        </w:rPr>
        <w:t>of</w:t>
      </w:r>
      <w:r>
        <w:rPr>
          <w:spacing w:val="40"/>
          <w:sz w:val="24"/>
          <w:u w:val="single"/>
        </w:rPr>
        <w:t xml:space="preserve"> </w:t>
      </w:r>
      <w:r>
        <w:rPr>
          <w:sz w:val="24"/>
          <w:u w:val="single"/>
        </w:rPr>
        <w:t>the</w:t>
      </w:r>
      <w:r>
        <w:rPr>
          <w:spacing w:val="80"/>
          <w:sz w:val="24"/>
        </w:rPr>
        <w:t xml:space="preserve"> </w:t>
      </w:r>
      <w:r>
        <w:rPr>
          <w:sz w:val="24"/>
          <w:u w:val="single"/>
        </w:rPr>
        <w:t>dumping margins</w:t>
      </w:r>
    </w:p>
    <w:p w14:paraId="0575C3F5" w14:textId="77777777" w:rsidR="00BD462C" w:rsidRDefault="00BD462C">
      <w:pPr>
        <w:pStyle w:val="BodyText"/>
        <w:spacing w:before="3"/>
        <w:rPr>
          <w:sz w:val="8"/>
        </w:rPr>
      </w:pPr>
    </w:p>
    <w:p w14:paraId="11EB4BBF" w14:textId="2229CBFA" w:rsidR="00BD462C" w:rsidRDefault="004A60C3">
      <w:pPr>
        <w:pStyle w:val="BodyText"/>
        <w:spacing w:before="56" w:line="357" w:lineRule="auto"/>
        <w:ind w:left="135" w:right="923"/>
      </w:pPr>
      <w:r>
        <w:rPr>
          <w:noProof/>
        </w:rPr>
        <w:t>944.</w:t>
      </w:r>
      <w:r w:rsidR="00033D0F">
        <w:rPr>
          <w:rFonts w:ascii="Times New Roman"/>
          <w:spacing w:val="80"/>
          <w:position w:val="1"/>
          <w:sz w:val="20"/>
        </w:rPr>
        <w:t xml:space="preserve">   </w:t>
      </w:r>
      <w:r w:rsidR="00033D0F">
        <w:rPr>
          <w:position w:val="1"/>
        </w:rPr>
        <w:t>Australia has established that MOFCOM failed to adequately disclose the essential</w:t>
      </w:r>
      <w:r w:rsidR="00033D0F">
        <w:rPr>
          <w:spacing w:val="40"/>
          <w:position w:val="1"/>
        </w:rPr>
        <w:t xml:space="preserve"> </w:t>
      </w:r>
      <w:r w:rsidR="00033D0F">
        <w:t>facts underpinning its dumping margin methodology and calculations.</w:t>
      </w:r>
      <w:hyperlink w:anchor="_bookmark1580" w:history="1">
        <w:r w:rsidR="00033D0F">
          <w:rPr>
            <w:vertAlign w:val="superscript"/>
          </w:rPr>
          <w:t>1368</w:t>
        </w:r>
      </w:hyperlink>
    </w:p>
    <w:p w14:paraId="0AC5ABA4" w14:textId="77777777" w:rsidR="00BD462C" w:rsidRDefault="00BD462C">
      <w:pPr>
        <w:pStyle w:val="BodyText"/>
        <w:spacing w:before="3"/>
        <w:rPr>
          <w:sz w:val="9"/>
        </w:rPr>
      </w:pPr>
    </w:p>
    <w:p w14:paraId="5C567078" w14:textId="1F3B8ADA" w:rsidR="00BD462C" w:rsidRDefault="004A60C3">
      <w:pPr>
        <w:spacing w:before="56" w:line="360" w:lineRule="auto"/>
        <w:ind w:left="135" w:right="908"/>
        <w:jc w:val="both"/>
        <w:rPr>
          <w:sz w:val="24"/>
        </w:rPr>
      </w:pPr>
      <w:r>
        <w:rPr>
          <w:noProof/>
        </w:rPr>
        <w:t>945.</w:t>
      </w:r>
      <w:r w:rsidR="00033D0F">
        <w:rPr>
          <w:rFonts w:ascii="Times New Roman" w:hAnsi="Times New Roman"/>
          <w:spacing w:val="80"/>
          <w:w w:val="150"/>
          <w:position w:val="1"/>
          <w:sz w:val="20"/>
        </w:rPr>
        <w:t xml:space="preserve"> </w:t>
      </w:r>
      <w:r w:rsidR="00033D0F">
        <w:rPr>
          <w:position w:val="1"/>
          <w:sz w:val="24"/>
        </w:rPr>
        <w:t xml:space="preserve">In response to Panel question No. 63, Australia provided a detailed explanation </w:t>
      </w:r>
      <w:r w:rsidR="00033D0F">
        <w:rPr>
          <w:sz w:val="24"/>
        </w:rPr>
        <w:t>regarding</w:t>
      </w:r>
      <w:r w:rsidR="00033D0F">
        <w:rPr>
          <w:spacing w:val="-5"/>
          <w:sz w:val="24"/>
        </w:rPr>
        <w:t xml:space="preserve"> </w:t>
      </w:r>
      <w:r w:rsidR="00033D0F">
        <w:rPr>
          <w:sz w:val="24"/>
        </w:rPr>
        <w:t>how</w:t>
      </w:r>
      <w:r w:rsidR="00033D0F">
        <w:rPr>
          <w:spacing w:val="-6"/>
          <w:sz w:val="24"/>
        </w:rPr>
        <w:t xml:space="preserve"> </w:t>
      </w:r>
      <w:r w:rsidR="00033D0F">
        <w:rPr>
          <w:sz w:val="24"/>
        </w:rPr>
        <w:t>and</w:t>
      </w:r>
      <w:r w:rsidR="00033D0F">
        <w:rPr>
          <w:spacing w:val="-8"/>
          <w:sz w:val="24"/>
        </w:rPr>
        <w:t xml:space="preserve"> </w:t>
      </w:r>
      <w:r w:rsidR="00033D0F">
        <w:rPr>
          <w:sz w:val="24"/>
        </w:rPr>
        <w:t>why dumping</w:t>
      </w:r>
      <w:r w:rsidR="00033D0F">
        <w:rPr>
          <w:spacing w:val="-5"/>
          <w:sz w:val="24"/>
        </w:rPr>
        <w:t xml:space="preserve"> </w:t>
      </w:r>
      <w:r w:rsidR="00033D0F">
        <w:rPr>
          <w:sz w:val="24"/>
        </w:rPr>
        <w:t>margin</w:t>
      </w:r>
      <w:r w:rsidR="00033D0F">
        <w:rPr>
          <w:spacing w:val="-8"/>
          <w:sz w:val="24"/>
        </w:rPr>
        <w:t xml:space="preserve"> </w:t>
      </w:r>
      <w:r w:rsidR="00033D0F">
        <w:rPr>
          <w:sz w:val="24"/>
        </w:rPr>
        <w:t>calculation</w:t>
      </w:r>
      <w:r w:rsidR="00033D0F">
        <w:rPr>
          <w:spacing w:val="-8"/>
          <w:sz w:val="24"/>
        </w:rPr>
        <w:t xml:space="preserve"> </w:t>
      </w:r>
      <w:r w:rsidR="00033D0F">
        <w:rPr>
          <w:sz w:val="24"/>
        </w:rPr>
        <w:t>methodologies</w:t>
      </w:r>
      <w:r w:rsidR="00033D0F">
        <w:rPr>
          <w:spacing w:val="-5"/>
          <w:sz w:val="24"/>
        </w:rPr>
        <w:t xml:space="preserve"> </w:t>
      </w:r>
      <w:r w:rsidR="00033D0F">
        <w:rPr>
          <w:sz w:val="24"/>
        </w:rPr>
        <w:t>are</w:t>
      </w:r>
      <w:r w:rsidR="00033D0F">
        <w:rPr>
          <w:spacing w:val="-6"/>
          <w:sz w:val="24"/>
        </w:rPr>
        <w:t xml:space="preserve"> </w:t>
      </w:r>
      <w:r w:rsidR="00033D0F">
        <w:rPr>
          <w:sz w:val="24"/>
        </w:rPr>
        <w:t>indeed</w:t>
      </w:r>
      <w:r w:rsidR="00033D0F">
        <w:rPr>
          <w:spacing w:val="-8"/>
          <w:sz w:val="24"/>
        </w:rPr>
        <w:t xml:space="preserve"> </w:t>
      </w:r>
      <w:r w:rsidR="00033D0F">
        <w:rPr>
          <w:sz w:val="24"/>
        </w:rPr>
        <w:t>essential</w:t>
      </w:r>
      <w:r w:rsidR="00033D0F">
        <w:rPr>
          <w:spacing w:val="-4"/>
          <w:sz w:val="24"/>
        </w:rPr>
        <w:t xml:space="preserve"> </w:t>
      </w:r>
      <w:r w:rsidR="00033D0F">
        <w:rPr>
          <w:sz w:val="24"/>
        </w:rPr>
        <w:t>facts under</w:t>
      </w:r>
      <w:r w:rsidR="00033D0F">
        <w:rPr>
          <w:spacing w:val="-4"/>
          <w:sz w:val="24"/>
        </w:rPr>
        <w:t xml:space="preserve"> </w:t>
      </w:r>
      <w:r w:rsidR="00033D0F">
        <w:rPr>
          <w:sz w:val="24"/>
        </w:rPr>
        <w:t>Article</w:t>
      </w:r>
      <w:r w:rsidR="00033D0F">
        <w:rPr>
          <w:spacing w:val="-6"/>
          <w:sz w:val="24"/>
        </w:rPr>
        <w:t xml:space="preserve"> </w:t>
      </w:r>
      <w:r w:rsidR="00033D0F">
        <w:rPr>
          <w:sz w:val="24"/>
        </w:rPr>
        <w:t>6.9,</w:t>
      </w:r>
      <w:r w:rsidR="00033D0F">
        <w:rPr>
          <w:spacing w:val="-4"/>
          <w:sz w:val="24"/>
        </w:rPr>
        <w:t xml:space="preserve"> </w:t>
      </w:r>
      <w:r w:rsidR="00033D0F">
        <w:rPr>
          <w:sz w:val="24"/>
        </w:rPr>
        <w:t>as</w:t>
      </w:r>
      <w:r w:rsidR="00033D0F">
        <w:rPr>
          <w:spacing w:val="-5"/>
          <w:sz w:val="24"/>
        </w:rPr>
        <w:t xml:space="preserve"> </w:t>
      </w:r>
      <w:r w:rsidR="00033D0F">
        <w:rPr>
          <w:sz w:val="24"/>
        </w:rPr>
        <w:t>confirmed</w:t>
      </w:r>
      <w:r w:rsidR="00033D0F">
        <w:rPr>
          <w:spacing w:val="-3"/>
          <w:sz w:val="24"/>
        </w:rPr>
        <w:t xml:space="preserve"> </w:t>
      </w:r>
      <w:r w:rsidR="00033D0F">
        <w:rPr>
          <w:sz w:val="24"/>
        </w:rPr>
        <w:t>by</w:t>
      </w:r>
      <w:r w:rsidR="00033D0F">
        <w:rPr>
          <w:spacing w:val="-5"/>
          <w:sz w:val="24"/>
        </w:rPr>
        <w:t xml:space="preserve"> </w:t>
      </w:r>
      <w:r w:rsidR="00033D0F">
        <w:rPr>
          <w:sz w:val="24"/>
        </w:rPr>
        <w:t>the</w:t>
      </w:r>
      <w:r w:rsidR="00033D0F">
        <w:rPr>
          <w:spacing w:val="-6"/>
          <w:sz w:val="24"/>
        </w:rPr>
        <w:t xml:space="preserve"> </w:t>
      </w:r>
      <w:r w:rsidR="00033D0F">
        <w:rPr>
          <w:sz w:val="24"/>
        </w:rPr>
        <w:t>Appellate</w:t>
      </w:r>
      <w:r w:rsidR="00033D0F">
        <w:rPr>
          <w:spacing w:val="-6"/>
          <w:sz w:val="24"/>
        </w:rPr>
        <w:t xml:space="preserve"> </w:t>
      </w:r>
      <w:r w:rsidR="00033D0F">
        <w:rPr>
          <w:sz w:val="24"/>
        </w:rPr>
        <w:t>Body</w:t>
      </w:r>
      <w:r w:rsidR="00033D0F">
        <w:rPr>
          <w:spacing w:val="-5"/>
          <w:sz w:val="24"/>
        </w:rPr>
        <w:t xml:space="preserve"> </w:t>
      </w:r>
      <w:r w:rsidR="00033D0F">
        <w:rPr>
          <w:sz w:val="24"/>
        </w:rPr>
        <w:t>in</w:t>
      </w:r>
      <w:r w:rsidR="00033D0F">
        <w:rPr>
          <w:spacing w:val="-8"/>
          <w:sz w:val="24"/>
        </w:rPr>
        <w:t xml:space="preserve"> </w:t>
      </w:r>
      <w:r w:rsidR="00033D0F">
        <w:rPr>
          <w:i/>
          <w:sz w:val="24"/>
        </w:rPr>
        <w:t>Russia</w:t>
      </w:r>
      <w:r w:rsidR="00033D0F">
        <w:rPr>
          <w:i/>
          <w:spacing w:val="-1"/>
          <w:sz w:val="24"/>
        </w:rPr>
        <w:t xml:space="preserve"> </w:t>
      </w:r>
      <w:r w:rsidR="00033D0F">
        <w:rPr>
          <w:i/>
          <w:sz w:val="24"/>
        </w:rPr>
        <w:t>–</w:t>
      </w:r>
      <w:r w:rsidR="00033D0F">
        <w:rPr>
          <w:i/>
          <w:spacing w:val="-1"/>
          <w:sz w:val="24"/>
        </w:rPr>
        <w:t xml:space="preserve"> </w:t>
      </w:r>
      <w:r w:rsidR="00033D0F">
        <w:rPr>
          <w:i/>
          <w:sz w:val="24"/>
        </w:rPr>
        <w:t>Commercial</w:t>
      </w:r>
      <w:r w:rsidR="00033D0F">
        <w:rPr>
          <w:i/>
          <w:spacing w:val="-4"/>
          <w:sz w:val="24"/>
        </w:rPr>
        <w:t xml:space="preserve"> </w:t>
      </w:r>
      <w:r w:rsidR="00033D0F">
        <w:rPr>
          <w:i/>
          <w:sz w:val="24"/>
        </w:rPr>
        <w:t>Vehicles</w:t>
      </w:r>
      <w:hyperlink w:anchor="_bookmark1581" w:history="1">
        <w:r w:rsidR="00033D0F">
          <w:rPr>
            <w:sz w:val="24"/>
            <w:vertAlign w:val="superscript"/>
          </w:rPr>
          <w:t>1369</w:t>
        </w:r>
      </w:hyperlink>
      <w:r w:rsidR="00033D0F">
        <w:rPr>
          <w:spacing w:val="-5"/>
          <w:sz w:val="24"/>
        </w:rPr>
        <w:t xml:space="preserve"> </w:t>
      </w:r>
      <w:r w:rsidR="00033D0F">
        <w:rPr>
          <w:sz w:val="24"/>
        </w:rPr>
        <w:t xml:space="preserve">and </w:t>
      </w:r>
      <w:r w:rsidR="00033D0F">
        <w:rPr>
          <w:i/>
          <w:sz w:val="24"/>
        </w:rPr>
        <w:t>China – HP-SSST (Japan) / China – HP-SSST (EU),</w:t>
      </w:r>
      <w:hyperlink w:anchor="_bookmark1582" w:history="1">
        <w:r w:rsidR="00033D0F">
          <w:rPr>
            <w:sz w:val="24"/>
            <w:vertAlign w:val="superscript"/>
          </w:rPr>
          <w:t>1370</w:t>
        </w:r>
      </w:hyperlink>
      <w:r w:rsidR="00033D0F">
        <w:rPr>
          <w:sz w:val="24"/>
        </w:rPr>
        <w:t xml:space="preserve"> and by the panels in </w:t>
      </w:r>
      <w:r w:rsidR="00033D0F">
        <w:rPr>
          <w:i/>
          <w:sz w:val="24"/>
        </w:rPr>
        <w:t>China – Broiler Products</w:t>
      </w:r>
      <w:r w:rsidR="00033D0F">
        <w:rPr>
          <w:i/>
          <w:spacing w:val="-14"/>
          <w:sz w:val="24"/>
        </w:rPr>
        <w:t xml:space="preserve"> </w:t>
      </w:r>
      <w:r w:rsidR="00033D0F">
        <w:rPr>
          <w:i/>
          <w:sz w:val="24"/>
        </w:rPr>
        <w:t>(Article</w:t>
      </w:r>
      <w:r w:rsidR="00033D0F">
        <w:rPr>
          <w:i/>
          <w:spacing w:val="-14"/>
          <w:sz w:val="24"/>
        </w:rPr>
        <w:t xml:space="preserve"> </w:t>
      </w:r>
      <w:r w:rsidR="00033D0F">
        <w:rPr>
          <w:i/>
          <w:sz w:val="24"/>
        </w:rPr>
        <w:t>21.5</w:t>
      </w:r>
      <w:r w:rsidR="00033D0F">
        <w:rPr>
          <w:i/>
          <w:spacing w:val="-13"/>
          <w:sz w:val="24"/>
        </w:rPr>
        <w:t xml:space="preserve"> </w:t>
      </w:r>
      <w:r w:rsidR="00033D0F">
        <w:rPr>
          <w:i/>
          <w:sz w:val="24"/>
        </w:rPr>
        <w:t>US)</w:t>
      </w:r>
      <w:r w:rsidR="00033D0F">
        <w:rPr>
          <w:sz w:val="24"/>
        </w:rPr>
        <w:t>,</w:t>
      </w:r>
      <w:hyperlink w:anchor="_bookmark1583" w:history="1">
        <w:r w:rsidR="00033D0F">
          <w:rPr>
            <w:sz w:val="24"/>
            <w:vertAlign w:val="superscript"/>
          </w:rPr>
          <w:t>1371</w:t>
        </w:r>
      </w:hyperlink>
      <w:r w:rsidR="00033D0F">
        <w:rPr>
          <w:spacing w:val="-14"/>
          <w:sz w:val="24"/>
        </w:rPr>
        <w:t xml:space="preserve"> </w:t>
      </w:r>
      <w:r w:rsidR="00033D0F">
        <w:rPr>
          <w:i/>
          <w:sz w:val="24"/>
        </w:rPr>
        <w:t>China</w:t>
      </w:r>
      <w:r w:rsidR="00033D0F">
        <w:rPr>
          <w:i/>
          <w:spacing w:val="-13"/>
          <w:sz w:val="24"/>
        </w:rPr>
        <w:t xml:space="preserve"> </w:t>
      </w:r>
      <w:r w:rsidR="00033D0F">
        <w:rPr>
          <w:i/>
          <w:sz w:val="24"/>
        </w:rPr>
        <w:t>–</w:t>
      </w:r>
      <w:r w:rsidR="00033D0F">
        <w:rPr>
          <w:i/>
          <w:spacing w:val="-7"/>
          <w:sz w:val="24"/>
        </w:rPr>
        <w:t xml:space="preserve"> </w:t>
      </w:r>
      <w:r w:rsidR="00033D0F">
        <w:rPr>
          <w:i/>
          <w:sz w:val="24"/>
        </w:rPr>
        <w:t>HP-SSST</w:t>
      </w:r>
      <w:r w:rsidR="00033D0F">
        <w:rPr>
          <w:i/>
          <w:spacing w:val="-1"/>
          <w:sz w:val="24"/>
        </w:rPr>
        <w:t xml:space="preserve"> </w:t>
      </w:r>
      <w:r w:rsidR="00033D0F">
        <w:rPr>
          <w:i/>
          <w:sz w:val="24"/>
        </w:rPr>
        <w:t>(Japan)</w:t>
      </w:r>
      <w:r w:rsidR="00033D0F">
        <w:rPr>
          <w:i/>
          <w:spacing w:val="-14"/>
          <w:sz w:val="24"/>
        </w:rPr>
        <w:t xml:space="preserve"> </w:t>
      </w:r>
      <w:r w:rsidR="00033D0F">
        <w:rPr>
          <w:sz w:val="24"/>
        </w:rPr>
        <w:t>/</w:t>
      </w:r>
      <w:r w:rsidR="00033D0F">
        <w:rPr>
          <w:spacing w:val="-14"/>
          <w:sz w:val="24"/>
        </w:rPr>
        <w:t xml:space="preserve"> </w:t>
      </w:r>
      <w:r w:rsidR="00033D0F">
        <w:rPr>
          <w:sz w:val="24"/>
        </w:rPr>
        <w:t>C</w:t>
      </w:r>
      <w:r w:rsidR="00033D0F">
        <w:rPr>
          <w:i/>
          <w:sz w:val="24"/>
        </w:rPr>
        <w:t>hina – HP- SSST</w:t>
      </w:r>
      <w:r w:rsidR="00033D0F">
        <w:rPr>
          <w:i/>
          <w:spacing w:val="-1"/>
          <w:sz w:val="24"/>
        </w:rPr>
        <w:t xml:space="preserve"> </w:t>
      </w:r>
      <w:r w:rsidR="00033D0F">
        <w:rPr>
          <w:i/>
          <w:sz w:val="24"/>
        </w:rPr>
        <w:t>(EU)</w:t>
      </w:r>
      <w:r w:rsidR="00033D0F">
        <w:rPr>
          <w:sz w:val="24"/>
        </w:rPr>
        <w:t>,</w:t>
      </w:r>
      <w:hyperlink w:anchor="_bookmark1584" w:history="1">
        <w:r w:rsidR="00033D0F">
          <w:rPr>
            <w:sz w:val="24"/>
            <w:vertAlign w:val="superscript"/>
          </w:rPr>
          <w:t>1372</w:t>
        </w:r>
        <w:r w:rsidR="00033D0F">
          <w:rPr>
            <w:spacing w:val="-14"/>
            <w:sz w:val="24"/>
          </w:rPr>
          <w:t xml:space="preserve"> </w:t>
        </w:r>
      </w:hyperlink>
      <w:r w:rsidR="00033D0F">
        <w:rPr>
          <w:sz w:val="24"/>
        </w:rPr>
        <w:t>and</w:t>
      </w:r>
      <w:r w:rsidR="00033D0F">
        <w:rPr>
          <w:spacing w:val="-10"/>
          <w:sz w:val="24"/>
        </w:rPr>
        <w:t xml:space="preserve"> </w:t>
      </w:r>
      <w:r w:rsidR="00033D0F">
        <w:rPr>
          <w:i/>
          <w:sz w:val="24"/>
        </w:rPr>
        <w:t>Ukraine – Ammonium Nitrate</w:t>
      </w:r>
      <w:r w:rsidR="00033D0F">
        <w:rPr>
          <w:sz w:val="24"/>
        </w:rPr>
        <w:t>.</w:t>
      </w:r>
      <w:hyperlink w:anchor="_bookmark1585" w:history="1">
        <w:r w:rsidR="00033D0F">
          <w:rPr>
            <w:sz w:val="24"/>
            <w:vertAlign w:val="superscript"/>
          </w:rPr>
          <w:t>1373</w:t>
        </w:r>
      </w:hyperlink>
    </w:p>
    <w:p w14:paraId="7B2586C7" w14:textId="77777777" w:rsidR="00BD462C" w:rsidRDefault="00BD462C">
      <w:pPr>
        <w:pStyle w:val="BodyText"/>
        <w:spacing w:before="8"/>
        <w:rPr>
          <w:sz w:val="8"/>
        </w:rPr>
      </w:pPr>
    </w:p>
    <w:p w14:paraId="69B082AA" w14:textId="1B85DC26" w:rsidR="00BD462C" w:rsidRDefault="004A60C3">
      <w:pPr>
        <w:pStyle w:val="BodyText"/>
        <w:spacing w:before="56" w:line="357" w:lineRule="auto"/>
        <w:ind w:left="135" w:right="912"/>
        <w:jc w:val="both"/>
      </w:pPr>
      <w:r>
        <w:rPr>
          <w:noProof/>
        </w:rPr>
        <w:t>946.</w:t>
      </w:r>
      <w:r w:rsidR="00033D0F">
        <w:rPr>
          <w:rFonts w:ascii="Times New Roman"/>
          <w:spacing w:val="80"/>
          <w:w w:val="150"/>
          <w:position w:val="1"/>
          <w:sz w:val="20"/>
        </w:rPr>
        <w:t xml:space="preserve">  </w:t>
      </w:r>
      <w:r w:rsidR="00033D0F">
        <w:rPr>
          <w:position w:val="1"/>
        </w:rPr>
        <w:t>China</w:t>
      </w:r>
      <w:r w:rsidR="00033D0F">
        <w:rPr>
          <w:spacing w:val="-3"/>
          <w:position w:val="1"/>
        </w:rPr>
        <w:t xml:space="preserve"> </w:t>
      </w:r>
      <w:r w:rsidR="00033D0F">
        <w:rPr>
          <w:position w:val="1"/>
        </w:rPr>
        <w:t>also</w:t>
      </w:r>
      <w:r w:rsidR="00033D0F">
        <w:rPr>
          <w:spacing w:val="-5"/>
          <w:position w:val="1"/>
        </w:rPr>
        <w:t xml:space="preserve"> </w:t>
      </w:r>
      <w:r w:rsidR="00033D0F">
        <w:rPr>
          <w:position w:val="1"/>
        </w:rPr>
        <w:t>appears</w:t>
      </w:r>
      <w:r w:rsidR="00033D0F">
        <w:rPr>
          <w:spacing w:val="-1"/>
          <w:position w:val="1"/>
        </w:rPr>
        <w:t xml:space="preserve"> </w:t>
      </w:r>
      <w:r w:rsidR="00033D0F">
        <w:rPr>
          <w:position w:val="1"/>
        </w:rPr>
        <w:t>to</w:t>
      </w:r>
      <w:r w:rsidR="00033D0F">
        <w:rPr>
          <w:spacing w:val="-5"/>
          <w:position w:val="1"/>
        </w:rPr>
        <w:t xml:space="preserve"> </w:t>
      </w:r>
      <w:r w:rsidR="00033D0F">
        <w:rPr>
          <w:position w:val="1"/>
        </w:rPr>
        <w:t>agree, stating</w:t>
      </w:r>
      <w:r w:rsidR="00033D0F">
        <w:rPr>
          <w:spacing w:val="-1"/>
          <w:position w:val="1"/>
        </w:rPr>
        <w:t xml:space="preserve"> </w:t>
      </w:r>
      <w:r w:rsidR="00033D0F">
        <w:rPr>
          <w:position w:val="1"/>
        </w:rPr>
        <w:t>that</w:t>
      </w:r>
      <w:r w:rsidR="00033D0F">
        <w:rPr>
          <w:spacing w:val="-2"/>
          <w:position w:val="1"/>
        </w:rPr>
        <w:t xml:space="preserve"> </w:t>
      </w:r>
      <w:r w:rsidR="00033D0F">
        <w:rPr>
          <w:position w:val="1"/>
        </w:rPr>
        <w:t>"the</w:t>
      </w:r>
      <w:r w:rsidR="00033D0F">
        <w:rPr>
          <w:spacing w:val="-3"/>
          <w:position w:val="1"/>
        </w:rPr>
        <w:t xml:space="preserve"> </w:t>
      </w:r>
      <w:r w:rsidR="00033D0F">
        <w:rPr>
          <w:position w:val="1"/>
        </w:rPr>
        <w:t>dumping</w:t>
      </w:r>
      <w:r w:rsidR="00033D0F">
        <w:rPr>
          <w:spacing w:val="-1"/>
          <w:position w:val="1"/>
        </w:rPr>
        <w:t xml:space="preserve"> </w:t>
      </w:r>
      <w:r w:rsidR="00033D0F">
        <w:rPr>
          <w:position w:val="1"/>
        </w:rPr>
        <w:t>margin</w:t>
      </w:r>
      <w:r w:rsidR="00033D0F">
        <w:rPr>
          <w:spacing w:val="-4"/>
          <w:position w:val="1"/>
        </w:rPr>
        <w:t xml:space="preserve"> </w:t>
      </w:r>
      <w:r w:rsidR="00033D0F">
        <w:rPr>
          <w:position w:val="1"/>
        </w:rPr>
        <w:t>methodology</w:t>
      </w:r>
      <w:r w:rsidR="00033D0F">
        <w:rPr>
          <w:spacing w:val="-1"/>
          <w:position w:val="1"/>
        </w:rPr>
        <w:t xml:space="preserve"> </w:t>
      </w:r>
      <w:r w:rsidR="00033D0F">
        <w:rPr>
          <w:position w:val="1"/>
        </w:rPr>
        <w:t>used</w:t>
      </w:r>
      <w:r w:rsidR="00033D0F">
        <w:rPr>
          <w:spacing w:val="-4"/>
          <w:position w:val="1"/>
        </w:rPr>
        <w:t xml:space="preserve"> </w:t>
      </w:r>
      <w:r w:rsidR="00033D0F">
        <w:rPr>
          <w:position w:val="1"/>
        </w:rPr>
        <w:t xml:space="preserve">by </w:t>
      </w:r>
      <w:r w:rsidR="00033D0F">
        <w:t>an investigating authority can be considered as an essential fact that needs to be disclosed under</w:t>
      </w:r>
      <w:r w:rsidR="00033D0F">
        <w:rPr>
          <w:spacing w:val="-10"/>
        </w:rPr>
        <w:t xml:space="preserve"> </w:t>
      </w:r>
      <w:r w:rsidR="00033D0F">
        <w:t>Article</w:t>
      </w:r>
      <w:r w:rsidR="00033D0F">
        <w:rPr>
          <w:spacing w:val="-7"/>
        </w:rPr>
        <w:t xml:space="preserve"> </w:t>
      </w:r>
      <w:r w:rsidR="00033D0F">
        <w:t>6.9".</w:t>
      </w:r>
      <w:hyperlink w:anchor="_bookmark1586" w:history="1">
        <w:r w:rsidR="00033D0F">
          <w:rPr>
            <w:vertAlign w:val="superscript"/>
          </w:rPr>
          <w:t>1374</w:t>
        </w:r>
      </w:hyperlink>
      <w:r w:rsidR="00033D0F">
        <w:rPr>
          <w:spacing w:val="-6"/>
        </w:rPr>
        <w:t xml:space="preserve"> </w:t>
      </w:r>
      <w:r w:rsidR="00033D0F">
        <w:t>However,</w:t>
      </w:r>
      <w:r w:rsidR="00033D0F">
        <w:rPr>
          <w:spacing w:val="-5"/>
        </w:rPr>
        <w:t xml:space="preserve"> </w:t>
      </w:r>
      <w:r w:rsidR="00033D0F">
        <w:t>China</w:t>
      </w:r>
      <w:r w:rsidR="00033D0F">
        <w:rPr>
          <w:spacing w:val="-8"/>
        </w:rPr>
        <w:t xml:space="preserve"> </w:t>
      </w:r>
      <w:r w:rsidR="00033D0F">
        <w:t>attempts</w:t>
      </w:r>
      <w:r w:rsidR="00033D0F">
        <w:rPr>
          <w:spacing w:val="-6"/>
        </w:rPr>
        <w:t xml:space="preserve"> </w:t>
      </w:r>
      <w:r w:rsidR="00033D0F">
        <w:t>to</w:t>
      </w:r>
      <w:r w:rsidR="00033D0F">
        <w:rPr>
          <w:spacing w:val="-10"/>
        </w:rPr>
        <w:t xml:space="preserve"> </w:t>
      </w:r>
      <w:proofErr w:type="spellStart"/>
      <w:r w:rsidR="00033D0F">
        <w:t>minimise</w:t>
      </w:r>
      <w:proofErr w:type="spellEnd"/>
      <w:r w:rsidR="00033D0F">
        <w:rPr>
          <w:spacing w:val="-12"/>
        </w:rPr>
        <w:t xml:space="preserve"> </w:t>
      </w:r>
      <w:r w:rsidR="00033D0F">
        <w:t>the</w:t>
      </w:r>
      <w:r w:rsidR="00033D0F">
        <w:rPr>
          <w:spacing w:val="-7"/>
        </w:rPr>
        <w:t xml:space="preserve"> </w:t>
      </w:r>
      <w:r w:rsidR="00033D0F">
        <w:t>definition</w:t>
      </w:r>
      <w:r w:rsidR="00033D0F">
        <w:rPr>
          <w:spacing w:val="-9"/>
        </w:rPr>
        <w:t xml:space="preserve"> </w:t>
      </w:r>
      <w:r w:rsidR="00033D0F">
        <w:t>of</w:t>
      </w:r>
      <w:r w:rsidR="00033D0F">
        <w:rPr>
          <w:spacing w:val="-9"/>
        </w:rPr>
        <w:t xml:space="preserve"> </w:t>
      </w:r>
      <w:r w:rsidR="00033D0F">
        <w:t>methodology</w:t>
      </w:r>
      <w:r w:rsidR="00033D0F">
        <w:rPr>
          <w:spacing w:val="-6"/>
        </w:rPr>
        <w:t xml:space="preserve"> </w:t>
      </w:r>
      <w:r w:rsidR="00033D0F">
        <w:t>by stating that:</w:t>
      </w:r>
    </w:p>
    <w:p w14:paraId="3391B60F" w14:textId="77777777" w:rsidR="00BD462C" w:rsidRDefault="00033D0F">
      <w:pPr>
        <w:spacing w:before="164" w:line="276" w:lineRule="auto"/>
        <w:ind w:left="985" w:right="918"/>
        <w:jc w:val="both"/>
      </w:pPr>
      <w:r>
        <w:t>[A] dumping margin methodology has to be distinguished from the dumping "calculations". These</w:t>
      </w:r>
      <w:r>
        <w:rPr>
          <w:spacing w:val="-13"/>
        </w:rPr>
        <w:t xml:space="preserve"> </w:t>
      </w:r>
      <w:r>
        <w:t>calculations,</w:t>
      </w:r>
      <w:r>
        <w:rPr>
          <w:spacing w:val="-12"/>
        </w:rPr>
        <w:t xml:space="preserve"> </w:t>
      </w:r>
      <w:r>
        <w:t>in</w:t>
      </w:r>
      <w:r>
        <w:rPr>
          <w:spacing w:val="-13"/>
        </w:rPr>
        <w:t xml:space="preserve"> </w:t>
      </w:r>
      <w:r>
        <w:t>turn,</w:t>
      </w:r>
      <w:r>
        <w:rPr>
          <w:spacing w:val="-12"/>
        </w:rPr>
        <w:t xml:space="preserve"> </w:t>
      </w:r>
      <w:r>
        <w:t>consist</w:t>
      </w:r>
      <w:r>
        <w:rPr>
          <w:spacing w:val="-13"/>
        </w:rPr>
        <w:t xml:space="preserve"> </w:t>
      </w:r>
      <w:r>
        <w:t>of</w:t>
      </w:r>
      <w:r>
        <w:rPr>
          <w:spacing w:val="-12"/>
        </w:rPr>
        <w:t xml:space="preserve"> </w:t>
      </w:r>
      <w:r>
        <w:t>the</w:t>
      </w:r>
      <w:r>
        <w:rPr>
          <w:spacing w:val="-13"/>
        </w:rPr>
        <w:t xml:space="preserve"> </w:t>
      </w:r>
      <w:r>
        <w:t>underlying</w:t>
      </w:r>
      <w:r>
        <w:rPr>
          <w:spacing w:val="-12"/>
        </w:rPr>
        <w:t xml:space="preserve"> </w:t>
      </w:r>
      <w:r>
        <w:t>data,</w:t>
      </w:r>
      <w:r>
        <w:rPr>
          <w:spacing w:val="-10"/>
        </w:rPr>
        <w:t xml:space="preserve"> </w:t>
      </w:r>
      <w:r>
        <w:t>and</w:t>
      </w:r>
      <w:r>
        <w:rPr>
          <w:spacing w:val="-13"/>
        </w:rPr>
        <w:t xml:space="preserve"> </w:t>
      </w:r>
      <w:r>
        <w:t>the</w:t>
      </w:r>
      <w:r>
        <w:rPr>
          <w:spacing w:val="-11"/>
        </w:rPr>
        <w:t xml:space="preserve"> </w:t>
      </w:r>
      <w:r>
        <w:t>formulae</w:t>
      </w:r>
      <w:r>
        <w:rPr>
          <w:spacing w:val="-12"/>
        </w:rPr>
        <w:t xml:space="preserve"> </w:t>
      </w:r>
      <w:r>
        <w:t>to</w:t>
      </w:r>
      <w:r>
        <w:rPr>
          <w:spacing w:val="-13"/>
        </w:rPr>
        <w:t xml:space="preserve"> </w:t>
      </w:r>
      <w:r>
        <w:t>which</w:t>
      </w:r>
      <w:r>
        <w:rPr>
          <w:spacing w:val="-12"/>
        </w:rPr>
        <w:t xml:space="preserve"> </w:t>
      </w:r>
      <w:r>
        <w:t>the</w:t>
      </w:r>
      <w:r>
        <w:rPr>
          <w:spacing w:val="-12"/>
        </w:rPr>
        <w:t xml:space="preserve"> </w:t>
      </w:r>
      <w:r>
        <w:t>data are actually applied by the investigating authority.</w:t>
      </w:r>
      <w:hyperlink w:anchor="_bookmark1587" w:history="1">
        <w:r>
          <w:rPr>
            <w:vertAlign w:val="superscript"/>
          </w:rPr>
          <w:t>1375</w:t>
        </w:r>
      </w:hyperlink>
    </w:p>
    <w:p w14:paraId="7802326A" w14:textId="77777777" w:rsidR="00BD462C" w:rsidRDefault="00BD462C">
      <w:pPr>
        <w:pStyle w:val="BodyText"/>
        <w:spacing w:before="5"/>
        <w:rPr>
          <w:sz w:val="15"/>
        </w:rPr>
      </w:pPr>
    </w:p>
    <w:p w14:paraId="07550BF7" w14:textId="0210F4B0" w:rsidR="00BD462C" w:rsidRDefault="004A60C3">
      <w:pPr>
        <w:pStyle w:val="BodyText"/>
        <w:spacing w:before="56" w:line="360" w:lineRule="auto"/>
        <w:ind w:left="136" w:right="916"/>
        <w:jc w:val="both"/>
      </w:pPr>
      <w:r>
        <w:rPr>
          <w:noProof/>
        </w:rPr>
        <w:t>947.</w:t>
      </w:r>
      <w:r w:rsidR="00033D0F">
        <w:rPr>
          <w:rFonts w:ascii="Times New Roman" w:hAnsi="Times New Roman"/>
          <w:spacing w:val="80"/>
          <w:position w:val="1"/>
          <w:sz w:val="20"/>
        </w:rPr>
        <w:t xml:space="preserve">  </w:t>
      </w:r>
      <w:r w:rsidR="00033D0F">
        <w:rPr>
          <w:position w:val="1"/>
        </w:rPr>
        <w:t xml:space="preserve">China elaborates on this point further in its response to Panel question No. 78 by </w:t>
      </w:r>
      <w:r w:rsidR="00033D0F">
        <w:t>splitting</w:t>
      </w:r>
      <w:r w:rsidR="00033D0F">
        <w:rPr>
          <w:spacing w:val="-14"/>
        </w:rPr>
        <w:t xml:space="preserve"> </w:t>
      </w:r>
      <w:r w:rsidR="00033D0F">
        <w:t>the</w:t>
      </w:r>
      <w:r w:rsidR="00033D0F">
        <w:rPr>
          <w:spacing w:val="-14"/>
        </w:rPr>
        <w:t xml:space="preserve"> </w:t>
      </w:r>
      <w:r w:rsidR="00033D0F">
        <w:t>definition</w:t>
      </w:r>
      <w:r w:rsidR="00033D0F">
        <w:rPr>
          <w:spacing w:val="-13"/>
        </w:rPr>
        <w:t xml:space="preserve"> </w:t>
      </w:r>
      <w:r w:rsidR="00033D0F">
        <w:t>of</w:t>
      </w:r>
      <w:r w:rsidR="00033D0F">
        <w:rPr>
          <w:spacing w:val="-14"/>
        </w:rPr>
        <w:t xml:space="preserve"> </w:t>
      </w:r>
      <w:r w:rsidR="00033D0F">
        <w:t>"formula"</w:t>
      </w:r>
      <w:r w:rsidR="00033D0F">
        <w:rPr>
          <w:spacing w:val="-13"/>
        </w:rPr>
        <w:t xml:space="preserve"> </w:t>
      </w:r>
      <w:r w:rsidR="00033D0F">
        <w:t>into</w:t>
      </w:r>
      <w:r w:rsidR="00033D0F">
        <w:rPr>
          <w:spacing w:val="-14"/>
        </w:rPr>
        <w:t xml:space="preserve"> </w:t>
      </w:r>
      <w:r w:rsidR="00033D0F">
        <w:t>two</w:t>
      </w:r>
      <w:r w:rsidR="00033D0F">
        <w:rPr>
          <w:spacing w:val="-13"/>
        </w:rPr>
        <w:t xml:space="preserve"> </w:t>
      </w:r>
      <w:r w:rsidR="00033D0F">
        <w:t>sections</w:t>
      </w:r>
      <w:r w:rsidR="00033D0F">
        <w:rPr>
          <w:spacing w:val="-14"/>
        </w:rPr>
        <w:t xml:space="preserve"> </w:t>
      </w:r>
      <w:r w:rsidR="00033D0F">
        <w:t>–</w:t>
      </w:r>
      <w:r w:rsidR="00033D0F">
        <w:rPr>
          <w:spacing w:val="-14"/>
        </w:rPr>
        <w:t xml:space="preserve"> </w:t>
      </w:r>
      <w:r w:rsidR="00033D0F">
        <w:t>"as</w:t>
      </w:r>
      <w:r w:rsidR="00033D0F">
        <w:rPr>
          <w:spacing w:val="-13"/>
        </w:rPr>
        <w:t xml:space="preserve"> </w:t>
      </w:r>
      <w:r w:rsidR="00033D0F">
        <w:t>such"</w:t>
      </w:r>
      <w:r w:rsidR="00033D0F">
        <w:rPr>
          <w:spacing w:val="-14"/>
        </w:rPr>
        <w:t xml:space="preserve"> </w:t>
      </w:r>
      <w:r w:rsidR="00033D0F">
        <w:t>and</w:t>
      </w:r>
      <w:r w:rsidR="00033D0F">
        <w:rPr>
          <w:spacing w:val="-13"/>
        </w:rPr>
        <w:t xml:space="preserve"> </w:t>
      </w:r>
      <w:r w:rsidR="00033D0F">
        <w:t>"as</w:t>
      </w:r>
      <w:r w:rsidR="00033D0F">
        <w:rPr>
          <w:spacing w:val="-14"/>
        </w:rPr>
        <w:t xml:space="preserve"> </w:t>
      </w:r>
      <w:r w:rsidR="00033D0F">
        <w:t>applied".</w:t>
      </w:r>
      <w:r w:rsidR="00033D0F">
        <w:rPr>
          <w:spacing w:val="-13"/>
        </w:rPr>
        <w:t xml:space="preserve"> </w:t>
      </w:r>
      <w:r w:rsidR="00033D0F">
        <w:t>China</w:t>
      </w:r>
      <w:r w:rsidR="00033D0F">
        <w:rPr>
          <w:spacing w:val="-14"/>
        </w:rPr>
        <w:t xml:space="preserve"> </w:t>
      </w:r>
      <w:r w:rsidR="00033D0F">
        <w:t xml:space="preserve">states that the following lines from the panel reports in </w:t>
      </w:r>
      <w:r w:rsidR="00033D0F">
        <w:rPr>
          <w:i/>
        </w:rPr>
        <w:t xml:space="preserve">China – Autos (US) </w:t>
      </w:r>
      <w:r w:rsidR="00033D0F">
        <w:t xml:space="preserve">and </w:t>
      </w:r>
      <w:r w:rsidR="00033D0F">
        <w:rPr>
          <w:i/>
        </w:rPr>
        <w:t>China – Broiler Products</w:t>
      </w:r>
      <w:r w:rsidR="00033D0F">
        <w:t>, are relevant:</w:t>
      </w:r>
      <w:hyperlink w:anchor="_bookmark1588" w:history="1">
        <w:r w:rsidR="00033D0F">
          <w:rPr>
            <w:vertAlign w:val="superscript"/>
          </w:rPr>
          <w:t>1376</w:t>
        </w:r>
      </w:hyperlink>
      <w:r w:rsidR="00033D0F">
        <w:t xml:space="preserve"> "we see a formula [as such], which in our view is a fact within the</w:t>
      </w:r>
    </w:p>
    <w:p w14:paraId="64B8B528" w14:textId="77777777" w:rsidR="00BD462C" w:rsidRDefault="00BD462C">
      <w:pPr>
        <w:pStyle w:val="BodyText"/>
        <w:rPr>
          <w:sz w:val="20"/>
        </w:rPr>
      </w:pPr>
    </w:p>
    <w:p w14:paraId="1D0AA2BD" w14:textId="03D076D7" w:rsidR="00BD462C" w:rsidRDefault="00E14314">
      <w:pPr>
        <w:pStyle w:val="BodyText"/>
        <w:spacing w:before="1"/>
        <w:rPr>
          <w:sz w:val="12"/>
        </w:rPr>
      </w:pPr>
      <w:r>
        <w:rPr>
          <w:noProof/>
        </w:rPr>
        <mc:AlternateContent>
          <mc:Choice Requires="wps">
            <w:drawing>
              <wp:anchor distT="0" distB="0" distL="0" distR="0" simplePos="0" relativeHeight="488069632" behindDoc="1" locked="0" layoutInCell="1" allowOverlap="1" wp14:anchorId="6F6BD185" wp14:editId="1651DD18">
                <wp:simplePos x="0" y="0"/>
                <wp:positionH relativeFrom="page">
                  <wp:posOffset>812800</wp:posOffset>
                </wp:positionH>
                <wp:positionV relativeFrom="paragraph">
                  <wp:posOffset>97790</wp:posOffset>
                </wp:positionV>
                <wp:extent cx="1828800" cy="8890"/>
                <wp:effectExtent l="0" t="0" r="0" b="0"/>
                <wp:wrapTopAndBottom/>
                <wp:docPr id="47" name="docshape2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97F5F0" id="docshape267" o:spid="_x0000_s1026" alt="&quot;&quot;" style="position:absolute;margin-left:64pt;margin-top:7.7pt;width:2in;height:.7pt;z-index:-15246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" fillcolor="black" stroked="f">
                <w10:wrap type="topAndBottom" anchorx="page"/>
              </v:rect>
            </w:pict>
          </mc:Fallback>
        </mc:AlternateContent>
      </w:r>
    </w:p>
    <w:p w14:paraId="3C11F305" w14:textId="77777777" w:rsidR="00BD462C" w:rsidRDefault="00033D0F">
      <w:pPr>
        <w:spacing w:before="112"/>
        <w:ind w:left="135"/>
        <w:rPr>
          <w:sz w:val="18"/>
        </w:rPr>
      </w:pPr>
      <w:bookmarkStart w:id="1831" w:name="_bookmark1579"/>
      <w:bookmarkEnd w:id="1831"/>
      <w:r>
        <w:rPr>
          <w:position w:val="5"/>
          <w:sz w:val="12"/>
        </w:rPr>
        <w:t>1367</w:t>
      </w:r>
      <w:r>
        <w:rPr>
          <w:spacing w:val="12"/>
          <w:position w:val="5"/>
          <w:sz w:val="12"/>
        </w:rPr>
        <w:t xml:space="preserve"> </w:t>
      </w:r>
      <w:r>
        <w:rPr>
          <w:sz w:val="18"/>
        </w:rPr>
        <w:t>Australia's</w:t>
      </w:r>
      <w:r>
        <w:rPr>
          <w:spacing w:val="-7"/>
          <w:sz w:val="18"/>
        </w:rPr>
        <w:t xml:space="preserve"> </w:t>
      </w:r>
      <w:r>
        <w:rPr>
          <w:sz w:val="18"/>
        </w:rPr>
        <w:t>first</w:t>
      </w:r>
      <w:r>
        <w:rPr>
          <w:spacing w:val="-5"/>
          <w:sz w:val="18"/>
        </w:rPr>
        <w:t xml:space="preserve"> </w:t>
      </w:r>
      <w:r>
        <w:rPr>
          <w:sz w:val="18"/>
        </w:rPr>
        <w:t>written</w:t>
      </w:r>
      <w:r>
        <w:rPr>
          <w:spacing w:val="-3"/>
          <w:sz w:val="18"/>
        </w:rPr>
        <w:t xml:space="preserve"> </w:t>
      </w:r>
      <w:r>
        <w:rPr>
          <w:sz w:val="18"/>
        </w:rPr>
        <w:t>submission, paras.</w:t>
      </w:r>
      <w:r>
        <w:rPr>
          <w:spacing w:val="-5"/>
          <w:sz w:val="18"/>
        </w:rPr>
        <w:t xml:space="preserve"> </w:t>
      </w:r>
      <w:r>
        <w:rPr>
          <w:sz w:val="18"/>
        </w:rPr>
        <w:t>1046-</w:t>
      </w:r>
      <w:r>
        <w:rPr>
          <w:spacing w:val="-2"/>
          <w:sz w:val="18"/>
        </w:rPr>
        <w:t>1048.</w:t>
      </w:r>
    </w:p>
    <w:p w14:paraId="17A4CFCD" w14:textId="77777777" w:rsidR="00BD462C" w:rsidRDefault="00033D0F">
      <w:pPr>
        <w:spacing w:before="1" w:line="218" w:lineRule="exact"/>
        <w:ind w:left="135"/>
        <w:rPr>
          <w:sz w:val="18"/>
        </w:rPr>
      </w:pPr>
      <w:bookmarkStart w:id="1832" w:name="_bookmark1580"/>
      <w:bookmarkEnd w:id="1832"/>
      <w:r>
        <w:rPr>
          <w:position w:val="5"/>
          <w:sz w:val="12"/>
        </w:rPr>
        <w:t>1368</w:t>
      </w:r>
      <w:r>
        <w:rPr>
          <w:spacing w:val="12"/>
          <w:position w:val="5"/>
          <w:sz w:val="12"/>
        </w:rPr>
        <w:t xml:space="preserve"> </w:t>
      </w:r>
      <w:r>
        <w:rPr>
          <w:sz w:val="18"/>
        </w:rPr>
        <w:t>Australia's</w:t>
      </w:r>
      <w:r>
        <w:rPr>
          <w:spacing w:val="-7"/>
          <w:sz w:val="18"/>
        </w:rPr>
        <w:t xml:space="preserve"> </w:t>
      </w:r>
      <w:r>
        <w:rPr>
          <w:sz w:val="18"/>
        </w:rPr>
        <w:t>first</w:t>
      </w:r>
      <w:r>
        <w:rPr>
          <w:spacing w:val="-5"/>
          <w:sz w:val="18"/>
        </w:rPr>
        <w:t xml:space="preserve"> </w:t>
      </w:r>
      <w:r>
        <w:rPr>
          <w:sz w:val="18"/>
        </w:rPr>
        <w:t>written</w:t>
      </w:r>
      <w:r>
        <w:rPr>
          <w:spacing w:val="-3"/>
          <w:sz w:val="18"/>
        </w:rPr>
        <w:t xml:space="preserve"> </w:t>
      </w:r>
      <w:r>
        <w:rPr>
          <w:sz w:val="18"/>
        </w:rPr>
        <w:t>submission, paras.</w:t>
      </w:r>
      <w:r>
        <w:rPr>
          <w:spacing w:val="-5"/>
          <w:sz w:val="18"/>
        </w:rPr>
        <w:t xml:space="preserve"> </w:t>
      </w:r>
      <w:r>
        <w:rPr>
          <w:sz w:val="18"/>
        </w:rPr>
        <w:t>1049-</w:t>
      </w:r>
      <w:r>
        <w:rPr>
          <w:spacing w:val="-2"/>
          <w:sz w:val="18"/>
        </w:rPr>
        <w:t>1051.</w:t>
      </w:r>
    </w:p>
    <w:p w14:paraId="28C49BCE" w14:textId="77777777" w:rsidR="00BD462C" w:rsidRDefault="00033D0F">
      <w:pPr>
        <w:spacing w:line="218" w:lineRule="exact"/>
        <w:ind w:left="135"/>
        <w:rPr>
          <w:sz w:val="18"/>
        </w:rPr>
      </w:pPr>
      <w:bookmarkStart w:id="1833" w:name="_bookmark1581"/>
      <w:bookmarkEnd w:id="1833"/>
      <w:r>
        <w:rPr>
          <w:position w:val="5"/>
          <w:sz w:val="12"/>
        </w:rPr>
        <w:t>1369</w:t>
      </w:r>
      <w:r>
        <w:rPr>
          <w:spacing w:val="15"/>
          <w:position w:val="5"/>
          <w:sz w:val="12"/>
        </w:rPr>
        <w:t xml:space="preserve"> </w:t>
      </w:r>
      <w:r>
        <w:rPr>
          <w:sz w:val="18"/>
        </w:rPr>
        <w:t>Appellate</w:t>
      </w:r>
      <w:r>
        <w:rPr>
          <w:spacing w:val="-8"/>
          <w:sz w:val="18"/>
        </w:rPr>
        <w:t xml:space="preserve"> </w:t>
      </w:r>
      <w:r>
        <w:rPr>
          <w:sz w:val="18"/>
        </w:rPr>
        <w:t>Body</w:t>
      </w:r>
      <w:r>
        <w:rPr>
          <w:spacing w:val="-5"/>
          <w:sz w:val="18"/>
        </w:rPr>
        <w:t xml:space="preserve"> </w:t>
      </w:r>
      <w:r>
        <w:rPr>
          <w:sz w:val="18"/>
        </w:rPr>
        <w:t>Report,</w:t>
      </w:r>
      <w:r>
        <w:rPr>
          <w:spacing w:val="-1"/>
          <w:sz w:val="18"/>
        </w:rPr>
        <w:t xml:space="preserve"> </w:t>
      </w:r>
      <w:r>
        <w:rPr>
          <w:i/>
          <w:sz w:val="18"/>
        </w:rPr>
        <w:t>Russia</w:t>
      </w:r>
      <w:r>
        <w:rPr>
          <w:i/>
          <w:spacing w:val="-3"/>
          <w:sz w:val="18"/>
        </w:rPr>
        <w:t xml:space="preserve"> </w:t>
      </w:r>
      <w:r>
        <w:rPr>
          <w:i/>
          <w:sz w:val="18"/>
        </w:rPr>
        <w:t>–</w:t>
      </w:r>
      <w:r>
        <w:rPr>
          <w:i/>
          <w:spacing w:val="-3"/>
          <w:sz w:val="18"/>
        </w:rPr>
        <w:t xml:space="preserve"> </w:t>
      </w:r>
      <w:r>
        <w:rPr>
          <w:i/>
          <w:sz w:val="18"/>
        </w:rPr>
        <w:t>Commercial</w:t>
      </w:r>
      <w:r>
        <w:rPr>
          <w:i/>
          <w:spacing w:val="-7"/>
          <w:sz w:val="18"/>
        </w:rPr>
        <w:t xml:space="preserve"> </w:t>
      </w:r>
      <w:r>
        <w:rPr>
          <w:i/>
          <w:sz w:val="18"/>
        </w:rPr>
        <w:t>Vehicles</w:t>
      </w:r>
      <w:r>
        <w:rPr>
          <w:sz w:val="18"/>
        </w:rPr>
        <w:t>,</w:t>
      </w:r>
      <w:r>
        <w:rPr>
          <w:spacing w:val="-1"/>
          <w:sz w:val="18"/>
        </w:rPr>
        <w:t xml:space="preserve"> </w:t>
      </w:r>
      <w:r>
        <w:rPr>
          <w:sz w:val="18"/>
        </w:rPr>
        <w:t xml:space="preserve">para </w:t>
      </w:r>
      <w:r>
        <w:rPr>
          <w:spacing w:val="-2"/>
          <w:sz w:val="18"/>
        </w:rPr>
        <w:t>5.230.</w:t>
      </w:r>
    </w:p>
    <w:p w14:paraId="1999E762" w14:textId="77777777" w:rsidR="00BD462C" w:rsidRDefault="00033D0F">
      <w:pPr>
        <w:spacing w:before="1"/>
        <w:ind w:left="135"/>
        <w:rPr>
          <w:sz w:val="18"/>
        </w:rPr>
      </w:pPr>
      <w:bookmarkStart w:id="1834" w:name="_bookmark1582"/>
      <w:bookmarkEnd w:id="1834"/>
      <w:r>
        <w:rPr>
          <w:position w:val="5"/>
          <w:sz w:val="12"/>
        </w:rPr>
        <w:t>1370</w:t>
      </w:r>
      <w:r>
        <w:rPr>
          <w:spacing w:val="15"/>
          <w:position w:val="5"/>
          <w:sz w:val="12"/>
        </w:rPr>
        <w:t xml:space="preserve"> </w:t>
      </w:r>
      <w:r>
        <w:rPr>
          <w:sz w:val="18"/>
        </w:rPr>
        <w:t>Appellate</w:t>
      </w:r>
      <w:r>
        <w:rPr>
          <w:spacing w:val="-9"/>
          <w:sz w:val="18"/>
        </w:rPr>
        <w:t xml:space="preserve"> </w:t>
      </w:r>
      <w:r>
        <w:rPr>
          <w:sz w:val="18"/>
        </w:rPr>
        <w:t>Body</w:t>
      </w:r>
      <w:r>
        <w:rPr>
          <w:spacing w:val="-6"/>
          <w:sz w:val="18"/>
        </w:rPr>
        <w:t xml:space="preserve"> </w:t>
      </w:r>
      <w:r>
        <w:rPr>
          <w:sz w:val="18"/>
        </w:rPr>
        <w:t>Report,</w:t>
      </w:r>
      <w:r>
        <w:rPr>
          <w:spacing w:val="-2"/>
          <w:sz w:val="18"/>
        </w:rPr>
        <w:t xml:space="preserve"> </w:t>
      </w:r>
      <w:r>
        <w:rPr>
          <w:i/>
          <w:sz w:val="18"/>
        </w:rPr>
        <w:t>China</w:t>
      </w:r>
      <w:r>
        <w:rPr>
          <w:i/>
          <w:spacing w:val="2"/>
          <w:sz w:val="18"/>
        </w:rPr>
        <w:t xml:space="preserve"> </w:t>
      </w:r>
      <w:r>
        <w:rPr>
          <w:i/>
          <w:sz w:val="18"/>
        </w:rPr>
        <w:t>–</w:t>
      </w:r>
      <w:r>
        <w:rPr>
          <w:i/>
          <w:spacing w:val="-8"/>
          <w:sz w:val="18"/>
        </w:rPr>
        <w:t xml:space="preserve"> </w:t>
      </w:r>
      <w:r>
        <w:rPr>
          <w:i/>
          <w:sz w:val="18"/>
        </w:rPr>
        <w:t>HP-SSST</w:t>
      </w:r>
      <w:r>
        <w:rPr>
          <w:i/>
          <w:spacing w:val="-2"/>
          <w:sz w:val="18"/>
        </w:rPr>
        <w:t xml:space="preserve"> </w:t>
      </w:r>
      <w:r>
        <w:rPr>
          <w:i/>
          <w:sz w:val="18"/>
        </w:rPr>
        <w:t>(Japan)</w:t>
      </w:r>
      <w:r>
        <w:rPr>
          <w:i/>
          <w:spacing w:val="-3"/>
          <w:sz w:val="18"/>
        </w:rPr>
        <w:t xml:space="preserve"> </w:t>
      </w:r>
      <w:r>
        <w:rPr>
          <w:i/>
          <w:sz w:val="18"/>
        </w:rPr>
        <w:t>/</w:t>
      </w:r>
      <w:r>
        <w:rPr>
          <w:i/>
          <w:spacing w:val="-3"/>
          <w:sz w:val="18"/>
        </w:rPr>
        <w:t xml:space="preserve"> </w:t>
      </w:r>
      <w:r>
        <w:rPr>
          <w:i/>
          <w:sz w:val="18"/>
        </w:rPr>
        <w:t>China</w:t>
      </w:r>
      <w:r>
        <w:rPr>
          <w:i/>
          <w:spacing w:val="-2"/>
          <w:sz w:val="18"/>
        </w:rPr>
        <w:t xml:space="preserve"> </w:t>
      </w:r>
      <w:r>
        <w:rPr>
          <w:i/>
          <w:sz w:val="18"/>
        </w:rPr>
        <w:t>–</w:t>
      </w:r>
      <w:r>
        <w:rPr>
          <w:i/>
          <w:spacing w:val="-4"/>
          <w:sz w:val="18"/>
        </w:rPr>
        <w:t xml:space="preserve"> </w:t>
      </w:r>
      <w:r>
        <w:rPr>
          <w:i/>
          <w:sz w:val="18"/>
        </w:rPr>
        <w:t>HP-SSST</w:t>
      </w:r>
      <w:r>
        <w:rPr>
          <w:i/>
          <w:spacing w:val="-2"/>
          <w:sz w:val="18"/>
        </w:rPr>
        <w:t xml:space="preserve"> </w:t>
      </w:r>
      <w:r>
        <w:rPr>
          <w:i/>
          <w:sz w:val="18"/>
        </w:rPr>
        <w:t>(EU)</w:t>
      </w:r>
      <w:r>
        <w:rPr>
          <w:sz w:val="18"/>
        </w:rPr>
        <w:t>,</w:t>
      </w:r>
      <w:r>
        <w:rPr>
          <w:spacing w:val="3"/>
          <w:sz w:val="18"/>
        </w:rPr>
        <w:t xml:space="preserve"> </w:t>
      </w:r>
      <w:r>
        <w:rPr>
          <w:sz w:val="18"/>
        </w:rPr>
        <w:t>para.</w:t>
      </w:r>
      <w:r>
        <w:rPr>
          <w:spacing w:val="2"/>
          <w:sz w:val="18"/>
        </w:rPr>
        <w:t xml:space="preserve"> </w:t>
      </w:r>
      <w:r>
        <w:rPr>
          <w:spacing w:val="-2"/>
          <w:sz w:val="18"/>
        </w:rPr>
        <w:t>5.125.</w:t>
      </w:r>
    </w:p>
    <w:p w14:paraId="404E6142" w14:textId="77777777" w:rsidR="00BD462C" w:rsidRDefault="00033D0F">
      <w:pPr>
        <w:spacing w:before="1"/>
        <w:ind w:left="135"/>
        <w:rPr>
          <w:sz w:val="18"/>
        </w:rPr>
      </w:pPr>
      <w:bookmarkStart w:id="1835" w:name="_bookmark1583"/>
      <w:bookmarkEnd w:id="1835"/>
      <w:r>
        <w:rPr>
          <w:position w:val="5"/>
          <w:sz w:val="12"/>
        </w:rPr>
        <w:t>1371</w:t>
      </w:r>
      <w:r>
        <w:rPr>
          <w:spacing w:val="15"/>
          <w:position w:val="5"/>
          <w:sz w:val="12"/>
        </w:rPr>
        <w:t xml:space="preserve"> </w:t>
      </w:r>
      <w:r>
        <w:rPr>
          <w:sz w:val="18"/>
        </w:rPr>
        <w:t>Panel</w:t>
      </w:r>
      <w:r>
        <w:rPr>
          <w:spacing w:val="-3"/>
          <w:sz w:val="18"/>
        </w:rPr>
        <w:t xml:space="preserve"> </w:t>
      </w:r>
      <w:r>
        <w:rPr>
          <w:sz w:val="18"/>
        </w:rPr>
        <w:t>Report,</w:t>
      </w:r>
      <w:r>
        <w:rPr>
          <w:spacing w:val="-2"/>
          <w:sz w:val="18"/>
        </w:rPr>
        <w:t xml:space="preserve"> </w:t>
      </w:r>
      <w:r>
        <w:rPr>
          <w:i/>
          <w:sz w:val="18"/>
        </w:rPr>
        <w:t>China</w:t>
      </w:r>
      <w:r>
        <w:rPr>
          <w:i/>
          <w:spacing w:val="-2"/>
          <w:sz w:val="18"/>
        </w:rPr>
        <w:t xml:space="preserve"> </w:t>
      </w:r>
      <w:r>
        <w:rPr>
          <w:i/>
          <w:sz w:val="18"/>
        </w:rPr>
        <w:t>–</w:t>
      </w:r>
      <w:r>
        <w:rPr>
          <w:i/>
          <w:spacing w:val="-4"/>
          <w:sz w:val="18"/>
        </w:rPr>
        <w:t xml:space="preserve"> </w:t>
      </w:r>
      <w:r>
        <w:rPr>
          <w:i/>
          <w:sz w:val="18"/>
        </w:rPr>
        <w:t>Broiler</w:t>
      </w:r>
      <w:r>
        <w:rPr>
          <w:i/>
          <w:spacing w:val="-5"/>
          <w:sz w:val="18"/>
        </w:rPr>
        <w:t xml:space="preserve"> </w:t>
      </w:r>
      <w:r>
        <w:rPr>
          <w:i/>
          <w:sz w:val="18"/>
        </w:rPr>
        <w:t>Products</w:t>
      </w:r>
      <w:r>
        <w:rPr>
          <w:i/>
          <w:spacing w:val="-8"/>
          <w:sz w:val="18"/>
        </w:rPr>
        <w:t xml:space="preserve"> </w:t>
      </w:r>
      <w:r>
        <w:rPr>
          <w:i/>
          <w:sz w:val="18"/>
        </w:rPr>
        <w:t>(Article</w:t>
      </w:r>
      <w:r>
        <w:rPr>
          <w:i/>
          <w:spacing w:val="-1"/>
          <w:sz w:val="18"/>
        </w:rPr>
        <w:t xml:space="preserve"> </w:t>
      </w:r>
      <w:r>
        <w:rPr>
          <w:i/>
          <w:sz w:val="18"/>
        </w:rPr>
        <w:t>21.5</w:t>
      </w:r>
      <w:r>
        <w:rPr>
          <w:i/>
          <w:spacing w:val="-5"/>
          <w:sz w:val="18"/>
        </w:rPr>
        <w:t xml:space="preserve"> </w:t>
      </w:r>
      <w:r>
        <w:rPr>
          <w:i/>
          <w:sz w:val="18"/>
        </w:rPr>
        <w:t>– US)</w:t>
      </w:r>
      <w:r>
        <w:rPr>
          <w:sz w:val="18"/>
        </w:rPr>
        <w:t>,</w:t>
      </w:r>
      <w:r>
        <w:rPr>
          <w:spacing w:val="-2"/>
          <w:sz w:val="18"/>
        </w:rPr>
        <w:t xml:space="preserve"> </w:t>
      </w:r>
      <w:r>
        <w:rPr>
          <w:sz w:val="18"/>
        </w:rPr>
        <w:t>para.</w:t>
      </w:r>
      <w:r>
        <w:rPr>
          <w:spacing w:val="2"/>
          <w:sz w:val="18"/>
        </w:rPr>
        <w:t xml:space="preserve"> </w:t>
      </w:r>
      <w:r>
        <w:rPr>
          <w:spacing w:val="-2"/>
          <w:sz w:val="18"/>
        </w:rPr>
        <w:t>7.376.</w:t>
      </w:r>
    </w:p>
    <w:p w14:paraId="19F605D5" w14:textId="77777777" w:rsidR="00BD462C" w:rsidRDefault="00033D0F">
      <w:pPr>
        <w:spacing w:before="1" w:line="218" w:lineRule="exact"/>
        <w:ind w:left="135"/>
        <w:rPr>
          <w:sz w:val="18"/>
        </w:rPr>
      </w:pPr>
      <w:bookmarkStart w:id="1836" w:name="_bookmark1584"/>
      <w:bookmarkEnd w:id="1836"/>
      <w:r>
        <w:rPr>
          <w:position w:val="5"/>
          <w:sz w:val="12"/>
        </w:rPr>
        <w:t>1372</w:t>
      </w:r>
      <w:r>
        <w:rPr>
          <w:spacing w:val="14"/>
          <w:position w:val="5"/>
          <w:sz w:val="12"/>
        </w:rPr>
        <w:t xml:space="preserve"> </w:t>
      </w:r>
      <w:r>
        <w:rPr>
          <w:sz w:val="18"/>
        </w:rPr>
        <w:t>Panel</w:t>
      </w:r>
      <w:r>
        <w:rPr>
          <w:spacing w:val="-4"/>
          <w:sz w:val="18"/>
        </w:rPr>
        <w:t xml:space="preserve"> </w:t>
      </w:r>
      <w:r>
        <w:rPr>
          <w:sz w:val="18"/>
        </w:rPr>
        <w:t>Report,</w:t>
      </w:r>
      <w:r>
        <w:rPr>
          <w:spacing w:val="-2"/>
          <w:sz w:val="18"/>
        </w:rPr>
        <w:t xml:space="preserve"> </w:t>
      </w:r>
      <w:r>
        <w:rPr>
          <w:i/>
          <w:sz w:val="18"/>
        </w:rPr>
        <w:t>China</w:t>
      </w:r>
      <w:r>
        <w:rPr>
          <w:i/>
          <w:spacing w:val="-4"/>
          <w:sz w:val="18"/>
        </w:rPr>
        <w:t xml:space="preserve"> </w:t>
      </w:r>
      <w:r>
        <w:rPr>
          <w:i/>
          <w:sz w:val="18"/>
        </w:rPr>
        <w:t>–</w:t>
      </w:r>
      <w:r>
        <w:rPr>
          <w:i/>
          <w:spacing w:val="-4"/>
          <w:sz w:val="18"/>
        </w:rPr>
        <w:t xml:space="preserve"> </w:t>
      </w:r>
      <w:r>
        <w:rPr>
          <w:i/>
          <w:sz w:val="18"/>
        </w:rPr>
        <w:t>HP-SSST</w:t>
      </w:r>
      <w:r>
        <w:rPr>
          <w:i/>
          <w:spacing w:val="-3"/>
          <w:sz w:val="18"/>
        </w:rPr>
        <w:t xml:space="preserve"> </w:t>
      </w:r>
      <w:r>
        <w:rPr>
          <w:i/>
          <w:sz w:val="18"/>
        </w:rPr>
        <w:t>(Japan)</w:t>
      </w:r>
      <w:r>
        <w:rPr>
          <w:i/>
          <w:spacing w:val="-2"/>
          <w:sz w:val="18"/>
        </w:rPr>
        <w:t xml:space="preserve"> </w:t>
      </w:r>
      <w:r>
        <w:rPr>
          <w:i/>
          <w:sz w:val="18"/>
        </w:rPr>
        <w:t>/ China</w:t>
      </w:r>
      <w:r>
        <w:rPr>
          <w:i/>
          <w:spacing w:val="-3"/>
          <w:sz w:val="18"/>
        </w:rPr>
        <w:t xml:space="preserve"> </w:t>
      </w:r>
      <w:r>
        <w:rPr>
          <w:i/>
          <w:sz w:val="18"/>
        </w:rPr>
        <w:t>–</w:t>
      </w:r>
      <w:r>
        <w:rPr>
          <w:i/>
          <w:spacing w:val="-5"/>
          <w:sz w:val="18"/>
        </w:rPr>
        <w:t xml:space="preserve"> </w:t>
      </w:r>
      <w:r>
        <w:rPr>
          <w:i/>
          <w:sz w:val="18"/>
        </w:rPr>
        <w:t>HP-SSST</w:t>
      </w:r>
      <w:r>
        <w:rPr>
          <w:i/>
          <w:spacing w:val="-2"/>
          <w:sz w:val="18"/>
        </w:rPr>
        <w:t xml:space="preserve"> </w:t>
      </w:r>
      <w:r>
        <w:rPr>
          <w:i/>
          <w:sz w:val="18"/>
        </w:rPr>
        <w:t>(EU)</w:t>
      </w:r>
      <w:r>
        <w:rPr>
          <w:sz w:val="18"/>
        </w:rPr>
        <w:t>,</w:t>
      </w:r>
      <w:r>
        <w:rPr>
          <w:spacing w:val="-3"/>
          <w:sz w:val="18"/>
        </w:rPr>
        <w:t xml:space="preserve"> </w:t>
      </w:r>
      <w:r>
        <w:rPr>
          <w:sz w:val="18"/>
        </w:rPr>
        <w:t>para.</w:t>
      </w:r>
      <w:r>
        <w:rPr>
          <w:spacing w:val="1"/>
          <w:sz w:val="18"/>
        </w:rPr>
        <w:t xml:space="preserve"> </w:t>
      </w:r>
      <w:r>
        <w:rPr>
          <w:spacing w:val="-2"/>
          <w:sz w:val="18"/>
        </w:rPr>
        <w:t>7.239.</w:t>
      </w:r>
    </w:p>
    <w:p w14:paraId="0E4A8297" w14:textId="77777777" w:rsidR="00BD462C" w:rsidRDefault="00033D0F">
      <w:pPr>
        <w:spacing w:line="218" w:lineRule="exact"/>
        <w:ind w:left="135"/>
        <w:rPr>
          <w:sz w:val="18"/>
        </w:rPr>
      </w:pPr>
      <w:bookmarkStart w:id="1837" w:name="_bookmark1585"/>
      <w:bookmarkEnd w:id="1837"/>
      <w:r>
        <w:rPr>
          <w:position w:val="5"/>
          <w:sz w:val="12"/>
        </w:rPr>
        <w:t>1373</w:t>
      </w:r>
      <w:r>
        <w:rPr>
          <w:spacing w:val="14"/>
          <w:position w:val="5"/>
          <w:sz w:val="12"/>
        </w:rPr>
        <w:t xml:space="preserve"> </w:t>
      </w:r>
      <w:r>
        <w:rPr>
          <w:sz w:val="18"/>
        </w:rPr>
        <w:t>Panel</w:t>
      </w:r>
      <w:r>
        <w:rPr>
          <w:spacing w:val="-4"/>
          <w:sz w:val="18"/>
        </w:rPr>
        <w:t xml:space="preserve"> </w:t>
      </w:r>
      <w:r>
        <w:rPr>
          <w:sz w:val="18"/>
        </w:rPr>
        <w:t>Report,</w:t>
      </w:r>
      <w:r>
        <w:rPr>
          <w:spacing w:val="-2"/>
          <w:sz w:val="18"/>
        </w:rPr>
        <w:t xml:space="preserve"> </w:t>
      </w:r>
      <w:r>
        <w:rPr>
          <w:i/>
          <w:sz w:val="18"/>
        </w:rPr>
        <w:t>Ukraine</w:t>
      </w:r>
      <w:r>
        <w:rPr>
          <w:i/>
          <w:spacing w:val="-6"/>
          <w:sz w:val="18"/>
        </w:rPr>
        <w:t xml:space="preserve"> </w:t>
      </w:r>
      <w:r>
        <w:rPr>
          <w:i/>
          <w:sz w:val="18"/>
        </w:rPr>
        <w:t>–</w:t>
      </w:r>
      <w:r>
        <w:rPr>
          <w:i/>
          <w:spacing w:val="-1"/>
          <w:sz w:val="18"/>
        </w:rPr>
        <w:t xml:space="preserve"> </w:t>
      </w:r>
      <w:r>
        <w:rPr>
          <w:i/>
          <w:sz w:val="18"/>
        </w:rPr>
        <w:t>Ammonium</w:t>
      </w:r>
      <w:r>
        <w:rPr>
          <w:i/>
          <w:spacing w:val="-5"/>
          <w:sz w:val="18"/>
        </w:rPr>
        <w:t xml:space="preserve"> </w:t>
      </w:r>
      <w:r>
        <w:rPr>
          <w:i/>
          <w:sz w:val="18"/>
        </w:rPr>
        <w:t>Nitrate</w:t>
      </w:r>
      <w:r>
        <w:rPr>
          <w:sz w:val="18"/>
        </w:rPr>
        <w:t>,</w:t>
      </w:r>
      <w:r>
        <w:rPr>
          <w:spacing w:val="-3"/>
          <w:sz w:val="18"/>
        </w:rPr>
        <w:t xml:space="preserve"> </w:t>
      </w:r>
      <w:r>
        <w:rPr>
          <w:sz w:val="18"/>
        </w:rPr>
        <w:t>para.</w:t>
      </w:r>
      <w:r>
        <w:rPr>
          <w:spacing w:val="1"/>
          <w:sz w:val="18"/>
        </w:rPr>
        <w:t xml:space="preserve"> </w:t>
      </w:r>
      <w:r>
        <w:rPr>
          <w:spacing w:val="-2"/>
          <w:sz w:val="18"/>
        </w:rPr>
        <w:t>7.206.</w:t>
      </w:r>
    </w:p>
    <w:p w14:paraId="5B8095E6" w14:textId="77777777" w:rsidR="00BD462C" w:rsidRDefault="00033D0F">
      <w:pPr>
        <w:spacing w:before="1"/>
        <w:ind w:left="135"/>
        <w:rPr>
          <w:sz w:val="18"/>
        </w:rPr>
      </w:pPr>
      <w:bookmarkStart w:id="1838" w:name="_bookmark1586"/>
      <w:bookmarkEnd w:id="1838"/>
      <w:r>
        <w:rPr>
          <w:position w:val="5"/>
          <w:sz w:val="12"/>
        </w:rPr>
        <w:t>1374</w:t>
      </w:r>
      <w:r>
        <w:rPr>
          <w:spacing w:val="14"/>
          <w:position w:val="5"/>
          <w:sz w:val="12"/>
        </w:rPr>
        <w:t xml:space="preserve"> </w:t>
      </w:r>
      <w:r>
        <w:rPr>
          <w:sz w:val="18"/>
        </w:rPr>
        <w:t>China's response</w:t>
      </w:r>
      <w:r>
        <w:rPr>
          <w:spacing w:val="-4"/>
          <w:sz w:val="18"/>
        </w:rPr>
        <w:t xml:space="preserve"> </w:t>
      </w:r>
      <w:r>
        <w:rPr>
          <w:sz w:val="18"/>
        </w:rPr>
        <w:t>to</w:t>
      </w:r>
      <w:r>
        <w:rPr>
          <w:spacing w:val="-10"/>
          <w:sz w:val="18"/>
        </w:rPr>
        <w:t xml:space="preserve"> </w:t>
      </w:r>
      <w:r>
        <w:rPr>
          <w:sz w:val="18"/>
        </w:rPr>
        <w:t>Panel</w:t>
      </w:r>
      <w:r>
        <w:rPr>
          <w:spacing w:val="-4"/>
          <w:sz w:val="18"/>
        </w:rPr>
        <w:t xml:space="preserve"> </w:t>
      </w:r>
      <w:r>
        <w:rPr>
          <w:sz w:val="18"/>
        </w:rPr>
        <w:t>question</w:t>
      </w:r>
      <w:r>
        <w:rPr>
          <w:spacing w:val="-5"/>
          <w:sz w:val="18"/>
        </w:rPr>
        <w:t xml:space="preserve"> </w:t>
      </w:r>
      <w:r>
        <w:rPr>
          <w:sz w:val="18"/>
        </w:rPr>
        <w:t>No.</w:t>
      </w:r>
      <w:r>
        <w:rPr>
          <w:spacing w:val="1"/>
          <w:sz w:val="18"/>
        </w:rPr>
        <w:t xml:space="preserve"> </w:t>
      </w:r>
      <w:r>
        <w:rPr>
          <w:sz w:val="18"/>
        </w:rPr>
        <w:t>63,</w:t>
      </w:r>
      <w:r>
        <w:rPr>
          <w:spacing w:val="-3"/>
          <w:sz w:val="18"/>
        </w:rPr>
        <w:t xml:space="preserve"> </w:t>
      </w:r>
      <w:r>
        <w:rPr>
          <w:sz w:val="18"/>
        </w:rPr>
        <w:t>para.</w:t>
      </w:r>
      <w:r>
        <w:rPr>
          <w:spacing w:val="-3"/>
          <w:sz w:val="18"/>
        </w:rPr>
        <w:t xml:space="preserve"> </w:t>
      </w:r>
      <w:r>
        <w:rPr>
          <w:sz w:val="18"/>
        </w:rPr>
        <w:t>363.</w:t>
      </w:r>
      <w:r>
        <w:rPr>
          <w:spacing w:val="-4"/>
          <w:sz w:val="18"/>
        </w:rPr>
        <w:t xml:space="preserve"> </w:t>
      </w:r>
      <w:r>
        <w:rPr>
          <w:sz w:val="18"/>
        </w:rPr>
        <w:t>(footnotes</w:t>
      </w:r>
      <w:r>
        <w:rPr>
          <w:spacing w:val="-4"/>
          <w:sz w:val="18"/>
        </w:rPr>
        <w:t xml:space="preserve"> </w:t>
      </w:r>
      <w:r>
        <w:rPr>
          <w:spacing w:val="-2"/>
          <w:sz w:val="18"/>
        </w:rPr>
        <w:t>omitted)</w:t>
      </w:r>
    </w:p>
    <w:p w14:paraId="6F03777C" w14:textId="77777777" w:rsidR="00BD462C" w:rsidRDefault="00033D0F">
      <w:pPr>
        <w:spacing w:before="1"/>
        <w:ind w:left="135"/>
        <w:rPr>
          <w:sz w:val="18"/>
        </w:rPr>
      </w:pPr>
      <w:bookmarkStart w:id="1839" w:name="_bookmark1587"/>
      <w:bookmarkEnd w:id="1839"/>
      <w:r>
        <w:rPr>
          <w:position w:val="5"/>
          <w:sz w:val="12"/>
        </w:rPr>
        <w:t>1375</w:t>
      </w:r>
      <w:r>
        <w:rPr>
          <w:spacing w:val="14"/>
          <w:position w:val="5"/>
          <w:sz w:val="12"/>
        </w:rPr>
        <w:t xml:space="preserve"> </w:t>
      </w:r>
      <w:r>
        <w:rPr>
          <w:sz w:val="18"/>
        </w:rPr>
        <w:t>China's response</w:t>
      </w:r>
      <w:r>
        <w:rPr>
          <w:spacing w:val="-4"/>
          <w:sz w:val="18"/>
        </w:rPr>
        <w:t xml:space="preserve"> </w:t>
      </w:r>
      <w:r>
        <w:rPr>
          <w:sz w:val="18"/>
        </w:rPr>
        <w:t>to</w:t>
      </w:r>
      <w:r>
        <w:rPr>
          <w:spacing w:val="-10"/>
          <w:sz w:val="18"/>
        </w:rPr>
        <w:t xml:space="preserve"> </w:t>
      </w:r>
      <w:r>
        <w:rPr>
          <w:sz w:val="18"/>
        </w:rPr>
        <w:t>Panel</w:t>
      </w:r>
      <w:r>
        <w:rPr>
          <w:spacing w:val="-4"/>
          <w:sz w:val="18"/>
        </w:rPr>
        <w:t xml:space="preserve"> </w:t>
      </w:r>
      <w:r>
        <w:rPr>
          <w:sz w:val="18"/>
        </w:rPr>
        <w:t>question</w:t>
      </w:r>
      <w:r>
        <w:rPr>
          <w:spacing w:val="-5"/>
          <w:sz w:val="18"/>
        </w:rPr>
        <w:t xml:space="preserve"> </w:t>
      </w:r>
      <w:r>
        <w:rPr>
          <w:sz w:val="18"/>
        </w:rPr>
        <w:t>No.</w:t>
      </w:r>
      <w:r>
        <w:rPr>
          <w:spacing w:val="1"/>
          <w:sz w:val="18"/>
        </w:rPr>
        <w:t xml:space="preserve"> </w:t>
      </w:r>
      <w:r>
        <w:rPr>
          <w:sz w:val="18"/>
        </w:rPr>
        <w:t>63,</w:t>
      </w:r>
      <w:r>
        <w:rPr>
          <w:spacing w:val="-3"/>
          <w:sz w:val="18"/>
        </w:rPr>
        <w:t xml:space="preserve"> </w:t>
      </w:r>
      <w:r>
        <w:rPr>
          <w:sz w:val="18"/>
        </w:rPr>
        <w:t>para.</w:t>
      </w:r>
      <w:r>
        <w:rPr>
          <w:spacing w:val="-3"/>
          <w:sz w:val="18"/>
        </w:rPr>
        <w:t xml:space="preserve"> </w:t>
      </w:r>
      <w:r>
        <w:rPr>
          <w:sz w:val="18"/>
        </w:rPr>
        <w:t>364.</w:t>
      </w:r>
      <w:r>
        <w:rPr>
          <w:spacing w:val="-4"/>
          <w:sz w:val="18"/>
        </w:rPr>
        <w:t xml:space="preserve"> </w:t>
      </w:r>
      <w:r>
        <w:rPr>
          <w:sz w:val="18"/>
        </w:rPr>
        <w:t>(footnotes</w:t>
      </w:r>
      <w:r>
        <w:rPr>
          <w:spacing w:val="-4"/>
          <w:sz w:val="18"/>
        </w:rPr>
        <w:t xml:space="preserve"> </w:t>
      </w:r>
      <w:r>
        <w:rPr>
          <w:spacing w:val="-2"/>
          <w:sz w:val="18"/>
        </w:rPr>
        <w:t>omitted)</w:t>
      </w:r>
    </w:p>
    <w:p w14:paraId="730BD591" w14:textId="77777777" w:rsidR="00BD462C" w:rsidRDefault="00033D0F">
      <w:pPr>
        <w:spacing w:before="1"/>
        <w:ind w:left="136" w:right="910" w:hanging="1"/>
        <w:rPr>
          <w:sz w:val="18"/>
        </w:rPr>
      </w:pPr>
      <w:bookmarkStart w:id="1840" w:name="_bookmark1588"/>
      <w:bookmarkEnd w:id="1840"/>
      <w:r>
        <w:rPr>
          <w:position w:val="5"/>
          <w:sz w:val="12"/>
        </w:rPr>
        <w:t>1376</w:t>
      </w:r>
      <w:r>
        <w:rPr>
          <w:spacing w:val="16"/>
          <w:position w:val="5"/>
          <w:sz w:val="12"/>
        </w:rPr>
        <w:t xml:space="preserve"> </w:t>
      </w:r>
      <w:r>
        <w:rPr>
          <w:sz w:val="18"/>
        </w:rPr>
        <w:t>China's responses</w:t>
      </w:r>
      <w:r>
        <w:rPr>
          <w:spacing w:val="-3"/>
          <w:sz w:val="18"/>
        </w:rPr>
        <w:t xml:space="preserve"> </w:t>
      </w:r>
      <w:r>
        <w:rPr>
          <w:sz w:val="18"/>
        </w:rPr>
        <w:t>to</w:t>
      </w:r>
      <w:r>
        <w:rPr>
          <w:spacing w:val="-4"/>
          <w:sz w:val="18"/>
        </w:rPr>
        <w:t xml:space="preserve"> </w:t>
      </w:r>
      <w:r>
        <w:rPr>
          <w:sz w:val="18"/>
        </w:rPr>
        <w:t>Panel</w:t>
      </w:r>
      <w:r>
        <w:rPr>
          <w:spacing w:val="-2"/>
          <w:sz w:val="18"/>
        </w:rPr>
        <w:t xml:space="preserve"> </w:t>
      </w:r>
      <w:r>
        <w:rPr>
          <w:sz w:val="18"/>
        </w:rPr>
        <w:t>question</w:t>
      </w:r>
      <w:r>
        <w:rPr>
          <w:spacing w:val="-4"/>
          <w:sz w:val="18"/>
        </w:rPr>
        <w:t xml:space="preserve"> </w:t>
      </w:r>
      <w:r>
        <w:rPr>
          <w:sz w:val="18"/>
        </w:rPr>
        <w:t>No.</w:t>
      </w:r>
      <w:r>
        <w:rPr>
          <w:spacing w:val="-2"/>
          <w:sz w:val="18"/>
        </w:rPr>
        <w:t xml:space="preserve"> </w:t>
      </w:r>
      <w:r>
        <w:rPr>
          <w:sz w:val="18"/>
        </w:rPr>
        <w:t>63,</w:t>
      </w:r>
      <w:r>
        <w:rPr>
          <w:spacing w:val="-1"/>
          <w:sz w:val="18"/>
        </w:rPr>
        <w:t xml:space="preserve"> </w:t>
      </w:r>
      <w:r>
        <w:rPr>
          <w:sz w:val="18"/>
        </w:rPr>
        <w:t>para. 398</w:t>
      </w:r>
      <w:r>
        <w:rPr>
          <w:spacing w:val="-10"/>
          <w:sz w:val="18"/>
        </w:rPr>
        <w:t xml:space="preserve"> </w:t>
      </w:r>
      <w:r>
        <w:rPr>
          <w:sz w:val="18"/>
        </w:rPr>
        <w:t>(referring</w:t>
      </w:r>
      <w:r>
        <w:rPr>
          <w:spacing w:val="-3"/>
          <w:sz w:val="18"/>
        </w:rPr>
        <w:t xml:space="preserve"> </w:t>
      </w:r>
      <w:r>
        <w:rPr>
          <w:sz w:val="18"/>
        </w:rPr>
        <w:t>to</w:t>
      </w:r>
      <w:r>
        <w:rPr>
          <w:spacing w:val="-4"/>
          <w:sz w:val="18"/>
        </w:rPr>
        <w:t xml:space="preserve"> </w:t>
      </w:r>
      <w:r>
        <w:rPr>
          <w:sz w:val="18"/>
        </w:rPr>
        <w:t>Panel</w:t>
      </w:r>
      <w:r>
        <w:rPr>
          <w:spacing w:val="-7"/>
          <w:sz w:val="18"/>
        </w:rPr>
        <w:t xml:space="preserve"> </w:t>
      </w:r>
      <w:r>
        <w:rPr>
          <w:sz w:val="18"/>
        </w:rPr>
        <w:t xml:space="preserve">Reports, </w:t>
      </w:r>
      <w:r>
        <w:rPr>
          <w:i/>
          <w:sz w:val="18"/>
        </w:rPr>
        <w:t>China</w:t>
      </w:r>
      <w:r>
        <w:rPr>
          <w:i/>
          <w:spacing w:val="-2"/>
          <w:sz w:val="18"/>
        </w:rPr>
        <w:t xml:space="preserve"> </w:t>
      </w:r>
      <w:r>
        <w:rPr>
          <w:i/>
          <w:sz w:val="18"/>
        </w:rPr>
        <w:t>–</w:t>
      </w:r>
      <w:r>
        <w:rPr>
          <w:i/>
          <w:spacing w:val="-3"/>
          <w:sz w:val="18"/>
        </w:rPr>
        <w:t xml:space="preserve"> </w:t>
      </w:r>
      <w:r>
        <w:rPr>
          <w:i/>
          <w:sz w:val="18"/>
        </w:rPr>
        <w:t>Autos</w:t>
      </w:r>
      <w:r>
        <w:rPr>
          <w:i/>
          <w:spacing w:val="-3"/>
          <w:sz w:val="18"/>
        </w:rPr>
        <w:t xml:space="preserve"> </w:t>
      </w:r>
      <w:r>
        <w:rPr>
          <w:i/>
          <w:sz w:val="18"/>
        </w:rPr>
        <w:t>(US)</w:t>
      </w:r>
      <w:r>
        <w:rPr>
          <w:sz w:val="18"/>
        </w:rPr>
        <w:t>,</w:t>
      </w:r>
      <w:r>
        <w:rPr>
          <w:spacing w:val="-1"/>
          <w:sz w:val="18"/>
        </w:rPr>
        <w:t xml:space="preserve"> </w:t>
      </w:r>
      <w:r>
        <w:rPr>
          <w:sz w:val="18"/>
        </w:rPr>
        <w:t>para. 7.73;</w:t>
      </w:r>
      <w:r>
        <w:rPr>
          <w:spacing w:val="-5"/>
          <w:sz w:val="18"/>
        </w:rPr>
        <w:t xml:space="preserve"> </w:t>
      </w:r>
      <w:r>
        <w:rPr>
          <w:i/>
          <w:sz w:val="18"/>
        </w:rPr>
        <w:t>China</w:t>
      </w:r>
      <w:r>
        <w:rPr>
          <w:i/>
          <w:spacing w:val="-2"/>
          <w:sz w:val="18"/>
        </w:rPr>
        <w:t xml:space="preserve"> </w:t>
      </w:r>
      <w:r>
        <w:rPr>
          <w:i/>
          <w:sz w:val="18"/>
        </w:rPr>
        <w:t>– Broiler Products</w:t>
      </w:r>
      <w:r>
        <w:rPr>
          <w:sz w:val="18"/>
        </w:rPr>
        <w:t>, para. 7.92).</w:t>
      </w:r>
    </w:p>
    <w:p w14:paraId="280D0FE4" w14:textId="77777777" w:rsidR="00BD462C" w:rsidRDefault="00BD462C">
      <w:pPr>
        <w:rPr>
          <w:sz w:val="18"/>
        </w:rPr>
        <w:sectPr w:rsidR="00BD462C">
          <w:pgSz w:w="11910" w:h="16840"/>
          <w:pgMar w:top="860" w:right="500" w:bottom="780" w:left="1280" w:header="566" w:footer="590" w:gutter="0"/>
          <w:cols w:space="720"/>
        </w:sectPr>
      </w:pPr>
    </w:p>
    <w:p w14:paraId="18276D2E"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3B943EE6"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413DD871"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7CA54D8D" w14:textId="77777777" w:rsidR="00BD462C" w:rsidRDefault="00033D0F">
      <w:pPr>
        <w:pStyle w:val="BodyText"/>
        <w:spacing w:before="102" w:line="360" w:lineRule="auto"/>
        <w:ind w:left="135" w:right="918"/>
        <w:jc w:val="both"/>
      </w:pPr>
      <w:r>
        <w:t>meaning of Article 6.9, as being different from the application of such a formula in a given investigation,</w:t>
      </w:r>
      <w:r>
        <w:rPr>
          <w:spacing w:val="-5"/>
        </w:rPr>
        <w:t xml:space="preserve"> </w:t>
      </w:r>
      <w:r>
        <w:t>which</w:t>
      </w:r>
      <w:r>
        <w:rPr>
          <w:spacing w:val="-9"/>
        </w:rPr>
        <w:t xml:space="preserve"> </w:t>
      </w:r>
      <w:r>
        <w:t>represents</w:t>
      </w:r>
      <w:r>
        <w:rPr>
          <w:spacing w:val="-6"/>
        </w:rPr>
        <w:t xml:space="preserve"> </w:t>
      </w:r>
      <w:r>
        <w:t>an</w:t>
      </w:r>
      <w:r>
        <w:rPr>
          <w:spacing w:val="-9"/>
        </w:rPr>
        <w:t xml:space="preserve"> </w:t>
      </w:r>
      <w:r>
        <w:t>aspect</w:t>
      </w:r>
      <w:r>
        <w:rPr>
          <w:spacing w:val="-7"/>
        </w:rPr>
        <w:t xml:space="preserve"> </w:t>
      </w:r>
      <w:r>
        <w:t>of</w:t>
      </w:r>
      <w:r>
        <w:rPr>
          <w:spacing w:val="-9"/>
        </w:rPr>
        <w:t xml:space="preserve"> </w:t>
      </w:r>
      <w:r>
        <w:t>the</w:t>
      </w:r>
      <w:r>
        <w:rPr>
          <w:spacing w:val="-3"/>
        </w:rPr>
        <w:t xml:space="preserve"> </w:t>
      </w:r>
      <w:r>
        <w:t>IA's</w:t>
      </w:r>
      <w:r>
        <w:rPr>
          <w:spacing w:val="-6"/>
        </w:rPr>
        <w:t xml:space="preserve"> </w:t>
      </w:r>
      <w:r>
        <w:t>reasoning".</w:t>
      </w:r>
      <w:hyperlink w:anchor="_bookmark1589" w:history="1">
        <w:r>
          <w:rPr>
            <w:vertAlign w:val="superscript"/>
          </w:rPr>
          <w:t>1377</w:t>
        </w:r>
      </w:hyperlink>
      <w:r>
        <w:rPr>
          <w:spacing w:val="-6"/>
        </w:rPr>
        <w:t xml:space="preserve"> </w:t>
      </w:r>
      <w:r>
        <w:t>The</w:t>
      </w:r>
      <w:r>
        <w:rPr>
          <w:spacing w:val="-7"/>
        </w:rPr>
        <w:t xml:space="preserve"> </w:t>
      </w:r>
      <w:r>
        <w:t>formulae</w:t>
      </w:r>
      <w:r>
        <w:rPr>
          <w:spacing w:val="-7"/>
        </w:rPr>
        <w:t xml:space="preserve"> </w:t>
      </w:r>
      <w:r>
        <w:t>(as</w:t>
      </w:r>
      <w:r>
        <w:rPr>
          <w:spacing w:val="-6"/>
        </w:rPr>
        <w:t xml:space="preserve"> </w:t>
      </w:r>
      <w:r>
        <w:t>applied) and data are contained in "files or spreadsheets created during the calculations".</w:t>
      </w:r>
      <w:hyperlink w:anchor="_bookmark1590" w:history="1">
        <w:r>
          <w:rPr>
            <w:vertAlign w:val="superscript"/>
          </w:rPr>
          <w:t>1378</w:t>
        </w:r>
      </w:hyperlink>
    </w:p>
    <w:p w14:paraId="6C9D06A4" w14:textId="77777777" w:rsidR="00BD462C" w:rsidRDefault="00BD462C">
      <w:pPr>
        <w:pStyle w:val="BodyText"/>
        <w:spacing w:before="11"/>
        <w:rPr>
          <w:sz w:val="8"/>
        </w:rPr>
      </w:pPr>
    </w:p>
    <w:p w14:paraId="5F14BB7C" w14:textId="788BAE34" w:rsidR="00BD462C" w:rsidRDefault="004A60C3">
      <w:pPr>
        <w:pStyle w:val="BodyText"/>
        <w:spacing w:before="56" w:line="360" w:lineRule="auto"/>
        <w:ind w:left="135" w:right="915"/>
        <w:jc w:val="both"/>
      </w:pPr>
      <w:r>
        <w:rPr>
          <w:noProof/>
        </w:rPr>
        <w:t>948.</w:t>
      </w:r>
      <w:r w:rsidR="00033D0F">
        <w:rPr>
          <w:rFonts w:ascii="Times New Roman" w:hAnsi="Times New Roman"/>
          <w:spacing w:val="80"/>
          <w:w w:val="150"/>
          <w:position w:val="1"/>
          <w:sz w:val="20"/>
        </w:rPr>
        <w:t xml:space="preserve">  </w:t>
      </w:r>
      <w:r w:rsidR="00033D0F">
        <w:rPr>
          <w:position w:val="1"/>
        </w:rPr>
        <w:t xml:space="preserve">In Australia's view, the application of a formula (i.e., China's "as applied" formula) is </w:t>
      </w:r>
      <w:r w:rsidR="00033D0F">
        <w:t>not formula at all, as once the formula is applied to the data, it then becomes the actual calculations. Therefore, logically, there is no distinction between two types of formula as China suggests, as the formula would</w:t>
      </w:r>
      <w:r w:rsidR="00033D0F">
        <w:rPr>
          <w:spacing w:val="-1"/>
        </w:rPr>
        <w:t xml:space="preserve"> </w:t>
      </w:r>
      <w:r w:rsidR="00033D0F">
        <w:t xml:space="preserve">always be "as such" until it becomes the calculation. In </w:t>
      </w:r>
      <w:r w:rsidR="00033D0F">
        <w:rPr>
          <w:i/>
        </w:rPr>
        <w:t>China – Broiler Products (Article 21.5 – US)</w:t>
      </w:r>
      <w:r w:rsidR="00033D0F">
        <w:t>, the panel indeed found that while calculations themselves were out of scope of Article 6.9, the underlying data and formulae were considered to be essential facts.</w:t>
      </w:r>
      <w:hyperlink w:anchor="_bookmark1591" w:history="1">
        <w:r w:rsidR="00033D0F">
          <w:rPr>
            <w:vertAlign w:val="superscript"/>
          </w:rPr>
          <w:t>1379</w:t>
        </w:r>
      </w:hyperlink>
    </w:p>
    <w:p w14:paraId="39697244" w14:textId="77777777" w:rsidR="00BD462C" w:rsidRDefault="00033D0F">
      <w:pPr>
        <w:pStyle w:val="ListParagraph"/>
        <w:numPr>
          <w:ilvl w:val="0"/>
          <w:numId w:val="13"/>
        </w:numPr>
        <w:tabs>
          <w:tab w:val="left" w:pos="4388"/>
          <w:tab w:val="left" w:pos="4389"/>
        </w:tabs>
        <w:spacing w:before="155"/>
        <w:jc w:val="both"/>
        <w:rPr>
          <w:i/>
          <w:sz w:val="24"/>
        </w:rPr>
      </w:pPr>
      <w:r>
        <w:rPr>
          <w:i/>
          <w:sz w:val="24"/>
        </w:rPr>
        <w:t>Treasury</w:t>
      </w:r>
      <w:r>
        <w:rPr>
          <w:i/>
          <w:spacing w:val="-11"/>
          <w:sz w:val="24"/>
        </w:rPr>
        <w:t xml:space="preserve"> </w:t>
      </w:r>
      <w:r>
        <w:rPr>
          <w:i/>
          <w:spacing w:val="-4"/>
          <w:sz w:val="24"/>
        </w:rPr>
        <w:t>Wines</w:t>
      </w:r>
    </w:p>
    <w:p w14:paraId="1D517BF6" w14:textId="77777777" w:rsidR="00BD462C" w:rsidRDefault="00BD462C">
      <w:pPr>
        <w:pStyle w:val="BodyText"/>
        <w:spacing w:before="11"/>
        <w:rPr>
          <w:i/>
          <w:sz w:val="20"/>
        </w:rPr>
      </w:pPr>
    </w:p>
    <w:p w14:paraId="5A0D5D5D" w14:textId="779F704C" w:rsidR="00BD462C" w:rsidRDefault="00D70C7D" w:rsidP="004A60C3">
      <w:pPr>
        <w:pStyle w:val="BodyText"/>
        <w:spacing w:before="52"/>
      </w:pPr>
      <w:r>
        <w:rPr>
          <w:noProof/>
        </w:rPr>
        <mc:AlternateContent>
          <mc:Choice Requires="wps">
            <w:drawing>
              <wp:anchor distT="0" distB="0" distL="114300" distR="114300" simplePos="0" relativeHeight="16026624" behindDoc="0" locked="0" layoutInCell="1" allowOverlap="1" wp14:anchorId="1C47608C" wp14:editId="078ED74F">
                <wp:simplePos x="0" y="0"/>
                <wp:positionH relativeFrom="page">
                  <wp:posOffset>5538470</wp:posOffset>
                </wp:positionH>
                <wp:positionV relativeFrom="paragraph">
                  <wp:posOffset>31750</wp:posOffset>
                </wp:positionV>
                <wp:extent cx="1121410" cy="186055"/>
                <wp:effectExtent l="0" t="0" r="0" b="0"/>
                <wp:wrapNone/>
                <wp:docPr id="176" name="docshape6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141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308E9C" id="docshape637" o:spid="_x0000_s1026" alt="&quot;&quot;" style="position:absolute;margin-left:436.1pt;margin-top:2.5pt;width:88.3pt;height:14.65pt;z-index:16026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" fillcolor="black" stroked="f">
                <w10:wrap anchorx="page"/>
              </v:rect>
            </w:pict>
          </mc:Fallback>
        </mc:AlternateContent>
      </w:r>
      <w:r w:rsidR="00AA1FFD">
        <w:t xml:space="preserve">949.  </w:t>
      </w:r>
      <w:r w:rsidR="00033D0F">
        <w:t>While</w:t>
      </w:r>
      <w:r w:rsidR="00033D0F">
        <w:rPr>
          <w:spacing w:val="7"/>
        </w:rPr>
        <w:t xml:space="preserve"> </w:t>
      </w:r>
      <w:r w:rsidR="00033D0F">
        <w:t>some</w:t>
      </w:r>
      <w:r w:rsidR="00033D0F">
        <w:rPr>
          <w:spacing w:val="12"/>
        </w:rPr>
        <w:t xml:space="preserve"> </w:t>
      </w:r>
      <w:r w:rsidR="00033D0F">
        <w:t>information</w:t>
      </w:r>
      <w:r w:rsidR="00033D0F">
        <w:rPr>
          <w:spacing w:val="11"/>
        </w:rPr>
        <w:t xml:space="preserve"> </w:t>
      </w:r>
      <w:r w:rsidR="00033D0F">
        <w:t>for</w:t>
      </w:r>
      <w:r w:rsidR="00033D0F">
        <w:rPr>
          <w:spacing w:val="9"/>
        </w:rPr>
        <w:t xml:space="preserve"> </w:t>
      </w:r>
      <w:r w:rsidR="00033D0F">
        <w:t>Treasury</w:t>
      </w:r>
      <w:r w:rsidR="00033D0F">
        <w:rPr>
          <w:spacing w:val="13"/>
        </w:rPr>
        <w:t xml:space="preserve"> </w:t>
      </w:r>
      <w:r w:rsidR="00033D0F">
        <w:t>Wines</w:t>
      </w:r>
      <w:r w:rsidR="00033D0F">
        <w:rPr>
          <w:spacing w:val="14"/>
        </w:rPr>
        <w:t xml:space="preserve"> </w:t>
      </w:r>
      <w:r w:rsidR="00033D0F">
        <w:t>was</w:t>
      </w:r>
      <w:r w:rsidR="00033D0F">
        <w:rPr>
          <w:spacing w:val="10"/>
        </w:rPr>
        <w:t xml:space="preserve"> </w:t>
      </w:r>
      <w:r w:rsidR="00033D0F">
        <w:t>disclosed</w:t>
      </w:r>
      <w:r w:rsidR="00033D0F">
        <w:rPr>
          <w:spacing w:val="5"/>
        </w:rPr>
        <w:t xml:space="preserve"> </w:t>
      </w:r>
      <w:r w:rsidR="00033D0F">
        <w:t>in</w:t>
      </w:r>
      <w:r w:rsidR="00033D0F">
        <w:rPr>
          <w:spacing w:val="12"/>
        </w:rPr>
        <w:t xml:space="preserve"> </w:t>
      </w:r>
      <w:r w:rsidR="00033D0F">
        <w:rPr>
          <w:spacing w:val="-5"/>
        </w:rPr>
        <w:t>the</w:t>
      </w:r>
    </w:p>
    <w:p w14:paraId="4DC3A030" w14:textId="5D8281EC" w:rsidR="00BD462C" w:rsidRDefault="00D70C7D">
      <w:pPr>
        <w:pStyle w:val="BodyText"/>
        <w:spacing w:before="143" w:line="362" w:lineRule="auto"/>
        <w:ind w:left="135" w:firstLine="1627"/>
      </w:pPr>
      <w:r>
        <w:rPr>
          <w:noProof/>
        </w:rPr>
        <mc:AlternateContent>
          <mc:Choice Requires="wps">
            <w:drawing>
              <wp:anchor distT="0" distB="0" distL="114300" distR="114300" simplePos="0" relativeHeight="16027648" behindDoc="0" locked="0" layoutInCell="1" allowOverlap="1" wp14:anchorId="7F6724A1" wp14:editId="7E1763A1">
                <wp:simplePos x="0" y="0"/>
                <wp:positionH relativeFrom="page">
                  <wp:posOffset>899160</wp:posOffset>
                </wp:positionH>
                <wp:positionV relativeFrom="paragraph">
                  <wp:posOffset>89535</wp:posOffset>
                </wp:positionV>
                <wp:extent cx="1002665" cy="186055"/>
                <wp:effectExtent l="0" t="0" r="0" b="0"/>
                <wp:wrapNone/>
                <wp:docPr id="168" name="docshape6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266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037C69" id="docshape641" o:spid="_x0000_s1026" alt="&quot;&quot;" style="position:absolute;margin-left:70.8pt;margin-top:7.05pt;width:78.95pt;height:14.65pt;z-index:16027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" fillcolor="black" stroked="f">
                <w10:wrap anchorx="page"/>
              </v:rect>
            </w:pict>
          </mc:Fallback>
        </mc:AlternateContent>
      </w:r>
      <w:r w:rsidR="00033D0F">
        <w:t>important</w:t>
      </w:r>
      <w:r w:rsidR="00033D0F">
        <w:rPr>
          <w:spacing w:val="-6"/>
        </w:rPr>
        <w:t xml:space="preserve"> </w:t>
      </w:r>
      <w:r w:rsidR="00033D0F">
        <w:t>information</w:t>
      </w:r>
      <w:r w:rsidR="00033D0F">
        <w:rPr>
          <w:spacing w:val="-8"/>
        </w:rPr>
        <w:t xml:space="preserve"> </w:t>
      </w:r>
      <w:r w:rsidR="00033D0F">
        <w:t>was</w:t>
      </w:r>
      <w:r w:rsidR="00033D0F">
        <w:rPr>
          <w:spacing w:val="-5"/>
        </w:rPr>
        <w:t xml:space="preserve"> </w:t>
      </w:r>
      <w:r w:rsidR="00033D0F">
        <w:t>absent</w:t>
      </w:r>
      <w:r w:rsidR="00033D0F">
        <w:rPr>
          <w:spacing w:val="-6"/>
        </w:rPr>
        <w:t xml:space="preserve"> </w:t>
      </w:r>
      <w:r w:rsidR="00033D0F">
        <w:t>relating</w:t>
      </w:r>
      <w:r w:rsidR="00033D0F">
        <w:rPr>
          <w:spacing w:val="-5"/>
        </w:rPr>
        <w:t xml:space="preserve"> </w:t>
      </w:r>
      <w:r w:rsidR="00033D0F">
        <w:t>to</w:t>
      </w:r>
      <w:r w:rsidR="00033D0F">
        <w:rPr>
          <w:spacing w:val="-9"/>
        </w:rPr>
        <w:t xml:space="preserve"> </w:t>
      </w:r>
      <w:r w:rsidR="00033D0F">
        <w:t>methodology</w:t>
      </w:r>
      <w:r w:rsidR="00033D0F">
        <w:rPr>
          <w:spacing w:val="-5"/>
        </w:rPr>
        <w:t xml:space="preserve"> </w:t>
      </w:r>
      <w:r w:rsidR="00033D0F">
        <w:t>or</w:t>
      </w:r>
      <w:r w:rsidR="00033D0F">
        <w:rPr>
          <w:spacing w:val="-4"/>
        </w:rPr>
        <w:t xml:space="preserve"> </w:t>
      </w:r>
      <w:r w:rsidR="00033D0F">
        <w:t>formula</w:t>
      </w:r>
      <w:r w:rsidR="00033D0F">
        <w:rPr>
          <w:spacing w:val="-7"/>
        </w:rPr>
        <w:t xml:space="preserve"> </w:t>
      </w:r>
      <w:r w:rsidR="00033D0F">
        <w:t>to</w:t>
      </w:r>
      <w:r w:rsidR="00033D0F">
        <w:rPr>
          <w:spacing w:val="-4"/>
        </w:rPr>
        <w:t xml:space="preserve"> </w:t>
      </w:r>
      <w:r w:rsidR="00033D0F">
        <w:t>aid interested</w:t>
      </w:r>
      <w:r w:rsidR="00033D0F">
        <w:rPr>
          <w:spacing w:val="-7"/>
        </w:rPr>
        <w:t xml:space="preserve"> </w:t>
      </w:r>
      <w:r w:rsidR="00033D0F">
        <w:t>parties</w:t>
      </w:r>
      <w:r w:rsidR="00033D0F">
        <w:rPr>
          <w:spacing w:val="-3"/>
        </w:rPr>
        <w:t xml:space="preserve"> </w:t>
      </w:r>
      <w:r w:rsidR="00033D0F">
        <w:t>to</w:t>
      </w:r>
      <w:r w:rsidR="00033D0F">
        <w:rPr>
          <w:spacing w:val="-5"/>
        </w:rPr>
        <w:t xml:space="preserve"> </w:t>
      </w:r>
      <w:r w:rsidR="00033D0F">
        <w:t>understand</w:t>
      </w:r>
      <w:r w:rsidR="00033D0F">
        <w:rPr>
          <w:spacing w:val="-5"/>
        </w:rPr>
        <w:t xml:space="preserve"> </w:t>
      </w:r>
      <w:r w:rsidR="00033D0F">
        <w:t>how</w:t>
      </w:r>
      <w:r w:rsidR="00033D0F">
        <w:rPr>
          <w:spacing w:val="-3"/>
        </w:rPr>
        <w:t xml:space="preserve"> </w:t>
      </w:r>
      <w:r w:rsidR="00033D0F">
        <w:t>MOFCOM</w:t>
      </w:r>
      <w:r w:rsidR="00033D0F">
        <w:rPr>
          <w:spacing w:val="-3"/>
        </w:rPr>
        <w:t xml:space="preserve"> </w:t>
      </w:r>
      <w:r w:rsidR="00033D0F">
        <w:t>arrived</w:t>
      </w:r>
      <w:r w:rsidR="00033D0F">
        <w:rPr>
          <w:spacing w:val="-5"/>
        </w:rPr>
        <w:t xml:space="preserve"> </w:t>
      </w:r>
      <w:r w:rsidR="00033D0F">
        <w:t>at</w:t>
      </w:r>
      <w:r w:rsidR="00033D0F">
        <w:rPr>
          <w:spacing w:val="-3"/>
        </w:rPr>
        <w:t xml:space="preserve"> </w:t>
      </w:r>
      <w:r w:rsidR="00033D0F">
        <w:t>the</w:t>
      </w:r>
      <w:r w:rsidR="00033D0F">
        <w:rPr>
          <w:spacing w:val="-4"/>
        </w:rPr>
        <w:t xml:space="preserve"> </w:t>
      </w:r>
      <w:r w:rsidR="00033D0F">
        <w:t>dumping</w:t>
      </w:r>
      <w:r w:rsidR="00033D0F">
        <w:rPr>
          <w:spacing w:val="-3"/>
        </w:rPr>
        <w:t xml:space="preserve"> </w:t>
      </w:r>
      <w:r w:rsidR="00033D0F">
        <w:t>margin.</w:t>
      </w:r>
      <w:r w:rsidR="00033D0F">
        <w:rPr>
          <w:spacing w:val="-2"/>
        </w:rPr>
        <w:t xml:space="preserve"> </w:t>
      </w:r>
      <w:r w:rsidR="00033D0F">
        <w:t>For</w:t>
      </w:r>
      <w:r w:rsidR="00033D0F">
        <w:rPr>
          <w:spacing w:val="-5"/>
        </w:rPr>
        <w:t xml:space="preserve"> </w:t>
      </w:r>
      <w:r w:rsidR="00033D0F">
        <w:rPr>
          <w:spacing w:val="-2"/>
        </w:rPr>
        <w:t>example,</w:t>
      </w:r>
    </w:p>
    <w:p w14:paraId="64E51E63" w14:textId="19D2F256" w:rsidR="00BD462C" w:rsidRDefault="00D70C7D">
      <w:pPr>
        <w:pStyle w:val="BodyText"/>
        <w:ind w:left="136"/>
        <w:rPr>
          <w:sz w:val="20"/>
        </w:rPr>
      </w:pPr>
      <w:r>
        <w:rPr>
          <w:noProof/>
          <w:sz w:val="20"/>
        </w:rPr>
        <mc:AlternateContent>
          <mc:Choice Requires="wpg">
            <w:drawing>
              <wp:inline distT="0" distB="0" distL="0" distR="0" wp14:anchorId="0512AF1E" wp14:editId="5AC38505">
                <wp:extent cx="5712460" cy="186055"/>
                <wp:effectExtent l="3810" t="3175" r="0" b="1270"/>
                <wp:docPr id="164" name="docshapegroup642" descr="Redac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2460" cy="186055"/>
                          <a:chOff x="0" y="0"/>
                          <a:chExt cx="8996" cy="293"/>
                        </a:xfrm>
                      </wpg:grpSpPr>
                      <wps:wsp>
                        <wps:cNvPr id="166" name="docshape643"/>
                        <wps:cNvSpPr>
                          <a:spLocks noChangeArrowheads="1"/>
                        </wps:cNvSpPr>
                        <wps:spPr bwMode="auto">
                          <a:xfrm>
                            <a:off x="0" y="0"/>
                            <a:ext cx="8996" cy="29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6BDFA24" id="docshapegroup642" o:spid="_x0000_s1026" alt="Redacted" style="width:449.8pt;height:14.65pt;mso-position-horizontal-relative:char;mso-position-vertical-relative:line" coordsize="8996,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">
                <v:rect id="docshape643" o:spid="_x0000_s1027" style="position:absolute;width:8996;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" fillcolor="black" stroked="f"/>
                <w10:anchorlock/>
              </v:group>
            </w:pict>
          </mc:Fallback>
        </mc:AlternateContent>
      </w:r>
    </w:p>
    <w:p w14:paraId="44CBAAB5" w14:textId="7C894502" w:rsidR="00BD462C" w:rsidRDefault="00D70C7D">
      <w:pPr>
        <w:pStyle w:val="BodyText"/>
        <w:spacing w:before="11"/>
        <w:rPr>
          <w:sz w:val="6"/>
        </w:rPr>
      </w:pPr>
      <w:r>
        <w:rPr>
          <w:noProof/>
        </w:rPr>
        <mc:AlternateContent>
          <mc:Choice Requires="wps">
            <w:drawing>
              <wp:anchor distT="0" distB="0" distL="0" distR="0" simplePos="0" relativeHeight="487882752" behindDoc="1" locked="0" layoutInCell="1" allowOverlap="1" wp14:anchorId="38D4D5C9" wp14:editId="261B2BD7">
                <wp:simplePos x="0" y="0"/>
                <wp:positionH relativeFrom="page">
                  <wp:posOffset>899160</wp:posOffset>
                </wp:positionH>
                <wp:positionV relativeFrom="paragraph">
                  <wp:posOffset>69215</wp:posOffset>
                </wp:positionV>
                <wp:extent cx="5696585" cy="186055"/>
                <wp:effectExtent l="0" t="0" r="0" b="0"/>
                <wp:wrapTopAndBottom/>
                <wp:docPr id="162" name="docshape6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658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66482C" id="docshape644" o:spid="_x0000_s1026" alt="&quot;&quot;" style="position:absolute;margin-left:70.8pt;margin-top:5.45pt;width:448.55pt;height:14.65pt;z-index:-15433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" fillcolor="black" stroked="f">
                <w10:wrap type="topAndBottom" anchorx="page"/>
              </v:rect>
            </w:pict>
          </mc:Fallback>
        </mc:AlternateContent>
      </w:r>
    </w:p>
    <w:p w14:paraId="5460CD6D" w14:textId="77777777" w:rsidR="00BD462C" w:rsidRDefault="00BD462C">
      <w:pPr>
        <w:pStyle w:val="BodyText"/>
        <w:rPr>
          <w:sz w:val="6"/>
        </w:rPr>
      </w:pPr>
    </w:p>
    <w:p w14:paraId="20B5A91D" w14:textId="008034A3" w:rsidR="00BD462C" w:rsidRDefault="00D70C7D">
      <w:pPr>
        <w:pStyle w:val="BodyText"/>
        <w:spacing w:before="72"/>
        <w:ind w:left="4393"/>
      </w:pPr>
      <w:r>
        <w:rPr>
          <w:noProof/>
        </w:rPr>
        <mc:AlternateContent>
          <mc:Choice Requires="wps">
            <w:drawing>
              <wp:anchor distT="0" distB="0" distL="114300" distR="114300" simplePos="0" relativeHeight="16028160" behindDoc="0" locked="0" layoutInCell="1" allowOverlap="1" wp14:anchorId="581A4939" wp14:editId="62F624E3">
                <wp:simplePos x="0" y="0"/>
                <wp:positionH relativeFrom="page">
                  <wp:posOffset>899160</wp:posOffset>
                </wp:positionH>
                <wp:positionV relativeFrom="paragraph">
                  <wp:posOffset>44450</wp:posOffset>
                </wp:positionV>
                <wp:extent cx="2703830" cy="186055"/>
                <wp:effectExtent l="0" t="0" r="0" b="0"/>
                <wp:wrapNone/>
                <wp:docPr id="160" name="docshape6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383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D83045" id="docshape645" o:spid="_x0000_s1026" alt="&quot;&quot;" style="position:absolute;margin-left:70.8pt;margin-top:3.5pt;width:212.9pt;height:14.65pt;z-index:1602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" fillcolor="black" stroked="f">
                <w10:wrap anchorx="page"/>
              </v:rect>
            </w:pict>
          </mc:Fallback>
        </mc:AlternateContent>
      </w:r>
      <w:r w:rsidR="00033D0F">
        <w:t>.</w:t>
      </w:r>
      <w:hyperlink w:anchor="_bookmark1592" w:history="1">
        <w:r w:rsidR="00033D0F">
          <w:rPr>
            <w:vertAlign w:val="superscript"/>
          </w:rPr>
          <w:t>1380</w:t>
        </w:r>
      </w:hyperlink>
      <w:r w:rsidR="00033D0F">
        <w:rPr>
          <w:spacing w:val="-1"/>
        </w:rPr>
        <w:t xml:space="preserve"> </w:t>
      </w:r>
      <w:r w:rsidR="00033D0F">
        <w:t>Moreover,</w:t>
      </w:r>
      <w:r w:rsidR="00033D0F">
        <w:rPr>
          <w:spacing w:val="1"/>
        </w:rPr>
        <w:t xml:space="preserve"> </w:t>
      </w:r>
      <w:r w:rsidR="00033D0F">
        <w:t>MOFCOM</w:t>
      </w:r>
      <w:r w:rsidR="00033D0F">
        <w:rPr>
          <w:spacing w:val="-1"/>
        </w:rPr>
        <w:t xml:space="preserve"> </w:t>
      </w:r>
      <w:r w:rsidR="00033D0F">
        <w:t>failed</w:t>
      </w:r>
      <w:r w:rsidR="00033D0F">
        <w:rPr>
          <w:spacing w:val="-3"/>
        </w:rPr>
        <w:t xml:space="preserve"> </w:t>
      </w:r>
      <w:r w:rsidR="00033D0F">
        <w:t>to</w:t>
      </w:r>
      <w:r w:rsidR="00033D0F">
        <w:rPr>
          <w:spacing w:val="-4"/>
        </w:rPr>
        <w:t xml:space="preserve"> </w:t>
      </w:r>
      <w:r w:rsidR="00033D0F">
        <w:t>disclose</w:t>
      </w:r>
      <w:r w:rsidR="00033D0F">
        <w:rPr>
          <w:spacing w:val="-1"/>
        </w:rPr>
        <w:t xml:space="preserve"> </w:t>
      </w:r>
      <w:r w:rsidR="00033D0F">
        <w:t>that</w:t>
      </w:r>
      <w:r w:rsidR="00033D0F">
        <w:rPr>
          <w:spacing w:val="-1"/>
        </w:rPr>
        <w:t xml:space="preserve"> </w:t>
      </w:r>
      <w:r w:rsidR="00033D0F">
        <w:rPr>
          <w:spacing w:val="-10"/>
        </w:rPr>
        <w:t>a</w:t>
      </w:r>
    </w:p>
    <w:p w14:paraId="74258131" w14:textId="16FBCF69" w:rsidR="00BD462C" w:rsidRDefault="00D70C7D">
      <w:pPr>
        <w:pStyle w:val="BodyText"/>
        <w:spacing w:before="1"/>
        <w:rPr>
          <w:sz w:val="10"/>
        </w:rPr>
      </w:pPr>
      <w:r>
        <w:rPr>
          <w:noProof/>
        </w:rPr>
        <mc:AlternateContent>
          <mc:Choice Requires="wps">
            <w:drawing>
              <wp:anchor distT="0" distB="0" distL="0" distR="0" simplePos="0" relativeHeight="487883264" behindDoc="1" locked="0" layoutInCell="1" allowOverlap="1" wp14:anchorId="0377FB4F" wp14:editId="0D332AC9">
                <wp:simplePos x="0" y="0"/>
                <wp:positionH relativeFrom="page">
                  <wp:posOffset>899160</wp:posOffset>
                </wp:positionH>
                <wp:positionV relativeFrom="paragraph">
                  <wp:posOffset>93345</wp:posOffset>
                </wp:positionV>
                <wp:extent cx="5711825" cy="186055"/>
                <wp:effectExtent l="0" t="0" r="0" b="0"/>
                <wp:wrapTopAndBottom/>
                <wp:docPr id="158" name="docshape6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182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D75CF4" id="docshape646" o:spid="_x0000_s1026" alt="&quot;&quot;" style="position:absolute;margin-left:70.8pt;margin-top:7.35pt;width:449.75pt;height:14.65pt;z-index:-15433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" fillcolor="black" stroked="f">
                <w10:wrap type="topAndBottom" anchorx="page"/>
              </v:rect>
            </w:pict>
          </mc:Fallback>
        </mc:AlternateContent>
      </w:r>
      <w:r>
        <w:rPr>
          <w:noProof/>
        </w:rPr>
        <mc:AlternateContent>
          <mc:Choice Requires="wps">
            <w:drawing>
              <wp:anchor distT="0" distB="0" distL="0" distR="0" simplePos="0" relativeHeight="487883776" behindDoc="1" locked="0" layoutInCell="1" allowOverlap="1" wp14:anchorId="2CF0B2E2" wp14:editId="17F20BC8">
                <wp:simplePos x="0" y="0"/>
                <wp:positionH relativeFrom="page">
                  <wp:posOffset>899160</wp:posOffset>
                </wp:positionH>
                <wp:positionV relativeFrom="paragraph">
                  <wp:posOffset>374015</wp:posOffset>
                </wp:positionV>
                <wp:extent cx="5696585" cy="186055"/>
                <wp:effectExtent l="0" t="0" r="0" b="0"/>
                <wp:wrapTopAndBottom/>
                <wp:docPr id="156" name="docshape6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658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2A2B49" id="docshape647" o:spid="_x0000_s1026" alt="&quot;&quot;" style="position:absolute;margin-left:70.8pt;margin-top:29.45pt;width:448.55pt;height:14.65pt;z-index:-1543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" fillcolor="black" stroked="f">
                <w10:wrap type="topAndBottom" anchorx="page"/>
              </v:rect>
            </w:pict>
          </mc:Fallback>
        </mc:AlternateContent>
      </w:r>
      <w:r>
        <w:rPr>
          <w:noProof/>
        </w:rPr>
        <mc:AlternateContent>
          <mc:Choice Requires="wps">
            <w:drawing>
              <wp:anchor distT="0" distB="0" distL="0" distR="0" simplePos="0" relativeHeight="487884288" behindDoc="1" locked="0" layoutInCell="1" allowOverlap="1" wp14:anchorId="290B4FE2" wp14:editId="3BBAC00A">
                <wp:simplePos x="0" y="0"/>
                <wp:positionH relativeFrom="page">
                  <wp:posOffset>899160</wp:posOffset>
                </wp:positionH>
                <wp:positionV relativeFrom="paragraph">
                  <wp:posOffset>651510</wp:posOffset>
                </wp:positionV>
                <wp:extent cx="5696585" cy="186055"/>
                <wp:effectExtent l="0" t="0" r="0" b="0"/>
                <wp:wrapTopAndBottom/>
                <wp:docPr id="154" name="docshape6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658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9E7952" id="docshape648" o:spid="_x0000_s1026" alt="&quot;&quot;" style="position:absolute;margin-left:70.8pt;margin-top:51.3pt;width:448.55pt;height:14.65pt;z-index:-15432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" fillcolor="black" stroked="f">
                <w10:wrap type="topAndBottom" anchorx="page"/>
              </v:rect>
            </w:pict>
          </mc:Fallback>
        </mc:AlternateContent>
      </w:r>
      <w:r>
        <w:rPr>
          <w:noProof/>
        </w:rPr>
        <mc:AlternateContent>
          <mc:Choice Requires="wps">
            <w:drawing>
              <wp:anchor distT="0" distB="0" distL="0" distR="0" simplePos="0" relativeHeight="487884800" behindDoc="1" locked="0" layoutInCell="1" allowOverlap="1" wp14:anchorId="32046B64" wp14:editId="09572936">
                <wp:simplePos x="0" y="0"/>
                <wp:positionH relativeFrom="page">
                  <wp:posOffset>899160</wp:posOffset>
                </wp:positionH>
                <wp:positionV relativeFrom="paragraph">
                  <wp:posOffset>931545</wp:posOffset>
                </wp:positionV>
                <wp:extent cx="5038090" cy="186055"/>
                <wp:effectExtent l="0" t="0" r="0" b="0"/>
                <wp:wrapTopAndBottom/>
                <wp:docPr id="152" name="docshape6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809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C1714C" id="docshape649" o:spid="_x0000_s1026" alt="&quot;&quot;" style="position:absolute;margin-left:70.8pt;margin-top:73.35pt;width:396.7pt;height:14.65pt;z-index:-15431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" fillcolor="black" stroked="f">
                <w10:wrap type="topAndBottom" anchorx="page"/>
              </v:rect>
            </w:pict>
          </mc:Fallback>
        </mc:AlternateContent>
      </w:r>
    </w:p>
    <w:p w14:paraId="5DDA35D3" w14:textId="77777777" w:rsidR="00BD462C" w:rsidRDefault="00BD462C">
      <w:pPr>
        <w:pStyle w:val="BodyText"/>
        <w:spacing w:before="2"/>
        <w:rPr>
          <w:sz w:val="10"/>
        </w:rPr>
      </w:pPr>
    </w:p>
    <w:p w14:paraId="174FD7C4" w14:textId="77777777" w:rsidR="00BD462C" w:rsidRDefault="00BD462C">
      <w:pPr>
        <w:pStyle w:val="BodyText"/>
        <w:spacing w:before="10"/>
        <w:rPr>
          <w:sz w:val="9"/>
        </w:rPr>
      </w:pPr>
    </w:p>
    <w:p w14:paraId="6D153432" w14:textId="77777777" w:rsidR="00BD462C" w:rsidRDefault="00BD462C">
      <w:pPr>
        <w:pStyle w:val="BodyText"/>
        <w:spacing w:before="2"/>
        <w:rPr>
          <w:sz w:val="10"/>
        </w:rPr>
      </w:pPr>
    </w:p>
    <w:p w14:paraId="618052A1" w14:textId="77777777" w:rsidR="00BD462C" w:rsidRDefault="00BD462C">
      <w:pPr>
        <w:pStyle w:val="BodyText"/>
        <w:spacing w:before="1"/>
        <w:rPr>
          <w:sz w:val="21"/>
        </w:rPr>
      </w:pPr>
    </w:p>
    <w:p w14:paraId="12EEDD0F" w14:textId="7F255065" w:rsidR="00BD462C" w:rsidRDefault="00AA1FFD">
      <w:pPr>
        <w:pStyle w:val="BodyText"/>
        <w:spacing w:before="56" w:line="355" w:lineRule="auto"/>
        <w:ind w:left="135" w:right="923"/>
      </w:pPr>
      <w:r>
        <w:rPr>
          <w:noProof/>
        </w:rPr>
        <w:t>950.</w:t>
      </w:r>
      <w:r w:rsidR="00033D0F">
        <w:rPr>
          <w:rFonts w:ascii="Times New Roman"/>
          <w:spacing w:val="80"/>
          <w:position w:val="1"/>
          <w:sz w:val="20"/>
        </w:rPr>
        <w:t xml:space="preserve">   </w:t>
      </w:r>
      <w:r w:rsidR="00033D0F">
        <w:rPr>
          <w:position w:val="1"/>
        </w:rPr>
        <w:t>As</w:t>
      </w:r>
      <w:r w:rsidR="00033D0F">
        <w:rPr>
          <w:spacing w:val="-5"/>
          <w:position w:val="1"/>
        </w:rPr>
        <w:t xml:space="preserve"> </w:t>
      </w:r>
      <w:r w:rsidR="00033D0F">
        <w:rPr>
          <w:position w:val="1"/>
        </w:rPr>
        <w:t>such,</w:t>
      </w:r>
      <w:r w:rsidR="00033D0F">
        <w:rPr>
          <w:spacing w:val="-4"/>
          <w:position w:val="1"/>
        </w:rPr>
        <w:t xml:space="preserve"> </w:t>
      </w:r>
      <w:r w:rsidR="00033D0F">
        <w:rPr>
          <w:position w:val="1"/>
        </w:rPr>
        <w:t>Treasury Wines</w:t>
      </w:r>
      <w:r w:rsidR="00033D0F">
        <w:rPr>
          <w:spacing w:val="-5"/>
          <w:position w:val="1"/>
        </w:rPr>
        <w:t xml:space="preserve"> </w:t>
      </w:r>
      <w:r w:rsidR="00033D0F">
        <w:rPr>
          <w:position w:val="1"/>
        </w:rPr>
        <w:t>had</w:t>
      </w:r>
      <w:r w:rsidR="00033D0F">
        <w:rPr>
          <w:spacing w:val="-8"/>
          <w:position w:val="1"/>
        </w:rPr>
        <w:t xml:space="preserve"> </w:t>
      </w:r>
      <w:r w:rsidR="00033D0F">
        <w:rPr>
          <w:position w:val="1"/>
        </w:rPr>
        <w:t>to</w:t>
      </w:r>
      <w:r w:rsidR="00033D0F">
        <w:rPr>
          <w:spacing w:val="-4"/>
          <w:position w:val="1"/>
        </w:rPr>
        <w:t xml:space="preserve"> </w:t>
      </w:r>
      <w:r w:rsidR="00033D0F">
        <w:rPr>
          <w:position w:val="1"/>
        </w:rPr>
        <w:t>engage</w:t>
      </w:r>
      <w:r w:rsidR="00033D0F">
        <w:rPr>
          <w:spacing w:val="-6"/>
          <w:position w:val="1"/>
        </w:rPr>
        <w:t xml:space="preserve"> </w:t>
      </w:r>
      <w:r w:rsidR="00033D0F">
        <w:rPr>
          <w:position w:val="1"/>
        </w:rPr>
        <w:t>in</w:t>
      </w:r>
      <w:r w:rsidR="00033D0F">
        <w:rPr>
          <w:spacing w:val="-8"/>
          <w:position w:val="1"/>
        </w:rPr>
        <w:t xml:space="preserve"> </w:t>
      </w:r>
      <w:r w:rsidR="00033D0F">
        <w:rPr>
          <w:position w:val="1"/>
        </w:rPr>
        <w:t>detailed</w:t>
      </w:r>
      <w:r w:rsidR="00033D0F">
        <w:rPr>
          <w:spacing w:val="-8"/>
          <w:position w:val="1"/>
        </w:rPr>
        <w:t xml:space="preserve"> </w:t>
      </w:r>
      <w:r w:rsidR="00033D0F">
        <w:rPr>
          <w:position w:val="1"/>
        </w:rPr>
        <w:t>back</w:t>
      </w:r>
      <w:r w:rsidR="00033D0F">
        <w:rPr>
          <w:spacing w:val="-5"/>
          <w:position w:val="1"/>
        </w:rPr>
        <w:t xml:space="preserve"> </w:t>
      </w:r>
      <w:r w:rsidR="00033D0F">
        <w:rPr>
          <w:position w:val="1"/>
        </w:rPr>
        <w:t>calculations</w:t>
      </w:r>
      <w:r w:rsidR="00033D0F">
        <w:rPr>
          <w:spacing w:val="-5"/>
          <w:position w:val="1"/>
        </w:rPr>
        <w:t xml:space="preserve"> </w:t>
      </w:r>
      <w:r w:rsidR="00033D0F">
        <w:rPr>
          <w:position w:val="1"/>
        </w:rPr>
        <w:t>in</w:t>
      </w:r>
      <w:r w:rsidR="00033D0F">
        <w:rPr>
          <w:spacing w:val="-8"/>
          <w:position w:val="1"/>
        </w:rPr>
        <w:t xml:space="preserve"> </w:t>
      </w:r>
      <w:r w:rsidR="00033D0F">
        <w:rPr>
          <w:position w:val="1"/>
        </w:rPr>
        <w:t>order</w:t>
      </w:r>
      <w:r w:rsidR="00033D0F">
        <w:rPr>
          <w:spacing w:val="-9"/>
          <w:position w:val="1"/>
        </w:rPr>
        <w:t xml:space="preserve"> </w:t>
      </w:r>
      <w:r w:rsidR="00033D0F">
        <w:rPr>
          <w:position w:val="1"/>
        </w:rPr>
        <w:t>to</w:t>
      </w:r>
      <w:r w:rsidR="00033D0F">
        <w:rPr>
          <w:spacing w:val="-9"/>
          <w:position w:val="1"/>
        </w:rPr>
        <w:t xml:space="preserve"> </w:t>
      </w:r>
      <w:r w:rsidR="00033D0F">
        <w:rPr>
          <w:position w:val="1"/>
        </w:rPr>
        <w:t xml:space="preserve">piece </w:t>
      </w:r>
      <w:r w:rsidR="00033D0F">
        <w:t>together</w:t>
      </w:r>
      <w:r w:rsidR="00033D0F">
        <w:rPr>
          <w:spacing w:val="-3"/>
        </w:rPr>
        <w:t xml:space="preserve"> </w:t>
      </w:r>
      <w:r w:rsidR="00033D0F">
        <w:t>what MOFCOM did.</w:t>
      </w:r>
      <w:hyperlink w:anchor="_bookmark1593" w:history="1">
        <w:r w:rsidR="00033D0F">
          <w:rPr>
            <w:vertAlign w:val="superscript"/>
          </w:rPr>
          <w:t>1381</w:t>
        </w:r>
      </w:hyperlink>
      <w:r w:rsidR="00033D0F">
        <w:t xml:space="preserve"> This does not meet the</w:t>
      </w:r>
      <w:r w:rsidR="00033D0F">
        <w:rPr>
          <w:spacing w:val="-1"/>
        </w:rPr>
        <w:t xml:space="preserve"> </w:t>
      </w:r>
      <w:r w:rsidR="00033D0F">
        <w:t>standard required under Article 6.9.</w:t>
      </w:r>
    </w:p>
    <w:p w14:paraId="70A33182" w14:textId="77777777" w:rsidR="00BD462C" w:rsidRDefault="00BD462C">
      <w:pPr>
        <w:pStyle w:val="BodyText"/>
        <w:rPr>
          <w:sz w:val="20"/>
        </w:rPr>
      </w:pPr>
    </w:p>
    <w:p w14:paraId="3FAF36BF" w14:textId="77777777" w:rsidR="00BD462C" w:rsidRDefault="00BD462C">
      <w:pPr>
        <w:pStyle w:val="BodyText"/>
        <w:rPr>
          <w:sz w:val="20"/>
        </w:rPr>
      </w:pPr>
    </w:p>
    <w:p w14:paraId="3FD4143B" w14:textId="77777777" w:rsidR="00BD462C" w:rsidRDefault="00BD462C">
      <w:pPr>
        <w:pStyle w:val="BodyText"/>
        <w:rPr>
          <w:sz w:val="20"/>
        </w:rPr>
      </w:pPr>
    </w:p>
    <w:p w14:paraId="4618E2EA" w14:textId="77777777" w:rsidR="00BD462C" w:rsidRDefault="00BD462C">
      <w:pPr>
        <w:pStyle w:val="BodyText"/>
        <w:rPr>
          <w:sz w:val="20"/>
        </w:rPr>
      </w:pPr>
    </w:p>
    <w:p w14:paraId="43C60FC9" w14:textId="77777777" w:rsidR="00BD462C" w:rsidRDefault="00BD462C">
      <w:pPr>
        <w:pStyle w:val="BodyText"/>
        <w:rPr>
          <w:sz w:val="20"/>
        </w:rPr>
      </w:pPr>
    </w:p>
    <w:p w14:paraId="205877A0" w14:textId="12D86C11" w:rsidR="00BD462C" w:rsidRDefault="007D270C">
      <w:pPr>
        <w:pStyle w:val="BodyText"/>
        <w:spacing w:before="6"/>
        <w:rPr>
          <w:sz w:val="23"/>
        </w:rPr>
      </w:pPr>
      <w:r>
        <w:rPr>
          <w:noProof/>
        </w:rPr>
        <mc:AlternateContent>
          <mc:Choice Requires="wps">
            <w:drawing>
              <wp:anchor distT="0" distB="0" distL="0" distR="0" simplePos="0" relativeHeight="488339968" behindDoc="1" locked="0" layoutInCell="1" allowOverlap="1" wp14:anchorId="13B68BD7" wp14:editId="5D1F6B67">
                <wp:simplePos x="0" y="0"/>
                <wp:positionH relativeFrom="page">
                  <wp:posOffset>812800</wp:posOffset>
                </wp:positionH>
                <wp:positionV relativeFrom="paragraph">
                  <wp:posOffset>182245</wp:posOffset>
                </wp:positionV>
                <wp:extent cx="1828800" cy="8890"/>
                <wp:effectExtent l="0" t="0" r="0" b="0"/>
                <wp:wrapTopAndBottom/>
                <wp:docPr id="1374" name="docshape1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D20BB6" id="docshape146" o:spid="_x0000_s1026" alt="&quot;&quot;" style="position:absolute;margin-left:64pt;margin-top:14.35pt;width:2in;height:.7pt;z-index:-14976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" fillcolor="black" stroked="f">
                <w10:wrap type="topAndBottom" anchorx="page"/>
              </v:rect>
            </w:pict>
          </mc:Fallback>
        </mc:AlternateContent>
      </w:r>
    </w:p>
    <w:p w14:paraId="7CF1F449" w14:textId="77777777" w:rsidR="00BD462C" w:rsidRDefault="00033D0F">
      <w:pPr>
        <w:spacing w:before="112" w:line="218" w:lineRule="exact"/>
        <w:ind w:left="135"/>
        <w:rPr>
          <w:sz w:val="18"/>
        </w:rPr>
      </w:pPr>
      <w:bookmarkStart w:id="1841" w:name="_bookmark1589"/>
      <w:bookmarkEnd w:id="1841"/>
      <w:r>
        <w:rPr>
          <w:position w:val="5"/>
          <w:sz w:val="12"/>
        </w:rPr>
        <w:t>1377</w:t>
      </w:r>
      <w:r>
        <w:rPr>
          <w:spacing w:val="14"/>
          <w:position w:val="5"/>
          <w:sz w:val="12"/>
        </w:rPr>
        <w:t xml:space="preserve"> </w:t>
      </w:r>
      <w:r>
        <w:rPr>
          <w:sz w:val="18"/>
        </w:rPr>
        <w:t>Panel</w:t>
      </w:r>
      <w:r>
        <w:rPr>
          <w:spacing w:val="-3"/>
          <w:sz w:val="18"/>
        </w:rPr>
        <w:t xml:space="preserve"> </w:t>
      </w:r>
      <w:r>
        <w:rPr>
          <w:sz w:val="18"/>
        </w:rPr>
        <w:t>Report,</w:t>
      </w:r>
      <w:r>
        <w:rPr>
          <w:spacing w:val="-3"/>
          <w:sz w:val="18"/>
        </w:rPr>
        <w:t xml:space="preserve"> </w:t>
      </w:r>
      <w:r>
        <w:rPr>
          <w:i/>
          <w:sz w:val="18"/>
        </w:rPr>
        <w:t>China</w:t>
      </w:r>
      <w:r>
        <w:rPr>
          <w:i/>
          <w:spacing w:val="-3"/>
          <w:sz w:val="18"/>
        </w:rPr>
        <w:t xml:space="preserve"> </w:t>
      </w:r>
      <w:r>
        <w:rPr>
          <w:i/>
          <w:sz w:val="18"/>
        </w:rPr>
        <w:t>– Autos</w:t>
      </w:r>
      <w:r>
        <w:rPr>
          <w:i/>
          <w:spacing w:val="-5"/>
          <w:sz w:val="18"/>
        </w:rPr>
        <w:t xml:space="preserve"> </w:t>
      </w:r>
      <w:r>
        <w:rPr>
          <w:i/>
          <w:sz w:val="18"/>
        </w:rPr>
        <w:t>(US)</w:t>
      </w:r>
      <w:r>
        <w:rPr>
          <w:sz w:val="18"/>
        </w:rPr>
        <w:t>,</w:t>
      </w:r>
      <w:r>
        <w:rPr>
          <w:spacing w:val="-2"/>
          <w:sz w:val="18"/>
        </w:rPr>
        <w:t xml:space="preserve"> </w:t>
      </w:r>
      <w:r>
        <w:rPr>
          <w:sz w:val="18"/>
        </w:rPr>
        <w:t>para.</w:t>
      </w:r>
      <w:r>
        <w:rPr>
          <w:spacing w:val="1"/>
          <w:sz w:val="18"/>
        </w:rPr>
        <w:t xml:space="preserve"> </w:t>
      </w:r>
      <w:r>
        <w:rPr>
          <w:spacing w:val="-4"/>
          <w:sz w:val="18"/>
        </w:rPr>
        <w:t>7.73.</w:t>
      </w:r>
    </w:p>
    <w:p w14:paraId="69359971" w14:textId="77777777" w:rsidR="00BD462C" w:rsidRDefault="00033D0F">
      <w:pPr>
        <w:spacing w:line="218" w:lineRule="exact"/>
        <w:ind w:left="135"/>
        <w:rPr>
          <w:sz w:val="18"/>
        </w:rPr>
      </w:pPr>
      <w:bookmarkStart w:id="1842" w:name="_bookmark1590"/>
      <w:bookmarkEnd w:id="1842"/>
      <w:r>
        <w:rPr>
          <w:position w:val="5"/>
          <w:sz w:val="12"/>
        </w:rPr>
        <w:t>1378</w:t>
      </w:r>
      <w:r>
        <w:rPr>
          <w:spacing w:val="15"/>
          <w:position w:val="5"/>
          <w:sz w:val="12"/>
        </w:rPr>
        <w:t xml:space="preserve"> </w:t>
      </w:r>
      <w:r>
        <w:rPr>
          <w:sz w:val="18"/>
        </w:rPr>
        <w:t>Panel</w:t>
      </w:r>
      <w:r>
        <w:rPr>
          <w:spacing w:val="-3"/>
          <w:sz w:val="18"/>
        </w:rPr>
        <w:t xml:space="preserve"> </w:t>
      </w:r>
      <w:r>
        <w:rPr>
          <w:sz w:val="18"/>
        </w:rPr>
        <w:t>Report,</w:t>
      </w:r>
      <w:r>
        <w:rPr>
          <w:spacing w:val="-2"/>
          <w:sz w:val="18"/>
        </w:rPr>
        <w:t xml:space="preserve"> </w:t>
      </w:r>
      <w:r>
        <w:rPr>
          <w:i/>
          <w:sz w:val="18"/>
        </w:rPr>
        <w:t>China</w:t>
      </w:r>
      <w:r>
        <w:rPr>
          <w:i/>
          <w:spacing w:val="-3"/>
          <w:sz w:val="18"/>
        </w:rPr>
        <w:t xml:space="preserve"> </w:t>
      </w:r>
      <w:r>
        <w:rPr>
          <w:i/>
          <w:sz w:val="18"/>
        </w:rPr>
        <w:t>–</w:t>
      </w:r>
      <w:r>
        <w:rPr>
          <w:i/>
          <w:spacing w:val="-3"/>
          <w:sz w:val="18"/>
        </w:rPr>
        <w:t xml:space="preserve"> </w:t>
      </w:r>
      <w:r>
        <w:rPr>
          <w:i/>
          <w:sz w:val="18"/>
        </w:rPr>
        <w:t>Broiler</w:t>
      </w:r>
      <w:r>
        <w:rPr>
          <w:i/>
          <w:spacing w:val="-5"/>
          <w:sz w:val="18"/>
        </w:rPr>
        <w:t xml:space="preserve"> </w:t>
      </w:r>
      <w:r>
        <w:rPr>
          <w:i/>
          <w:sz w:val="18"/>
        </w:rPr>
        <w:t>Products</w:t>
      </w:r>
      <w:r>
        <w:rPr>
          <w:sz w:val="18"/>
        </w:rPr>
        <w:t>,</w:t>
      </w:r>
      <w:r>
        <w:rPr>
          <w:spacing w:val="-2"/>
          <w:sz w:val="18"/>
        </w:rPr>
        <w:t xml:space="preserve"> </w:t>
      </w:r>
      <w:r>
        <w:rPr>
          <w:sz w:val="18"/>
        </w:rPr>
        <w:t>para.</w:t>
      </w:r>
      <w:r>
        <w:rPr>
          <w:spacing w:val="-3"/>
          <w:sz w:val="18"/>
        </w:rPr>
        <w:t xml:space="preserve"> </w:t>
      </w:r>
      <w:r>
        <w:rPr>
          <w:spacing w:val="-2"/>
          <w:sz w:val="18"/>
        </w:rPr>
        <w:t>7.92.</w:t>
      </w:r>
    </w:p>
    <w:bookmarkStart w:id="1843" w:name="_bookmark1591"/>
    <w:bookmarkEnd w:id="1843"/>
    <w:p w14:paraId="484C66E2" w14:textId="579FFBCC" w:rsidR="00BD462C" w:rsidRDefault="00A9044D">
      <w:pPr>
        <w:spacing w:before="1"/>
        <w:ind w:left="135"/>
        <w:rPr>
          <w:sz w:val="18"/>
        </w:rPr>
      </w:pPr>
      <w:r>
        <w:rPr>
          <w:noProof/>
        </w:rPr>
        <mc:AlternateContent>
          <mc:Choice Requires="wps">
            <w:drawing>
              <wp:anchor distT="0" distB="0" distL="114300" distR="114300" simplePos="0" relativeHeight="487932416" behindDoc="0" locked="0" layoutInCell="1" allowOverlap="1" wp14:anchorId="7DC565EE" wp14:editId="518B9681">
                <wp:simplePos x="0" y="0"/>
                <wp:positionH relativeFrom="column">
                  <wp:posOffset>273050</wp:posOffset>
                </wp:positionH>
                <wp:positionV relativeFrom="paragraph">
                  <wp:posOffset>140335</wp:posOffset>
                </wp:positionV>
                <wp:extent cx="3223895" cy="154305"/>
                <wp:effectExtent l="0" t="0" r="14605" b="17145"/>
                <wp:wrapNone/>
                <wp:docPr id="1456" name="Rectangle 14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23895" cy="15430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AD925" id="Rectangle 1456" o:spid="_x0000_s1026" alt="&quot;&quot;" style="position:absolute;margin-left:21.5pt;margin-top:11.05pt;width:253.85pt;height:12.15pt;z-index:4879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" fillcolor="black [3200]" strokecolor="black [1600]" strokeweight="2pt"/>
            </w:pict>
          </mc:Fallback>
        </mc:AlternateContent>
      </w:r>
      <w:r w:rsidR="00033D0F">
        <w:rPr>
          <w:position w:val="5"/>
          <w:sz w:val="12"/>
        </w:rPr>
        <w:t>1379</w:t>
      </w:r>
      <w:r w:rsidR="00033D0F">
        <w:rPr>
          <w:spacing w:val="15"/>
          <w:position w:val="5"/>
          <w:sz w:val="12"/>
        </w:rPr>
        <w:t xml:space="preserve"> </w:t>
      </w:r>
      <w:r w:rsidR="00033D0F">
        <w:rPr>
          <w:sz w:val="18"/>
        </w:rPr>
        <w:t>Panel</w:t>
      </w:r>
      <w:r w:rsidR="00033D0F">
        <w:rPr>
          <w:spacing w:val="-3"/>
          <w:sz w:val="18"/>
        </w:rPr>
        <w:t xml:space="preserve"> </w:t>
      </w:r>
      <w:r w:rsidR="00033D0F">
        <w:rPr>
          <w:sz w:val="18"/>
        </w:rPr>
        <w:t>Report,</w:t>
      </w:r>
      <w:r w:rsidR="00033D0F">
        <w:rPr>
          <w:spacing w:val="-2"/>
          <w:sz w:val="18"/>
        </w:rPr>
        <w:t xml:space="preserve"> </w:t>
      </w:r>
      <w:r w:rsidR="00033D0F">
        <w:rPr>
          <w:i/>
          <w:sz w:val="18"/>
        </w:rPr>
        <w:t>China</w:t>
      </w:r>
      <w:r w:rsidR="00033D0F">
        <w:rPr>
          <w:i/>
          <w:spacing w:val="-2"/>
          <w:sz w:val="18"/>
        </w:rPr>
        <w:t xml:space="preserve"> </w:t>
      </w:r>
      <w:r w:rsidR="00033D0F">
        <w:rPr>
          <w:i/>
          <w:sz w:val="18"/>
        </w:rPr>
        <w:t>–</w:t>
      </w:r>
      <w:r w:rsidR="00033D0F">
        <w:rPr>
          <w:i/>
          <w:spacing w:val="-4"/>
          <w:sz w:val="18"/>
        </w:rPr>
        <w:t xml:space="preserve"> </w:t>
      </w:r>
      <w:r w:rsidR="00033D0F">
        <w:rPr>
          <w:i/>
          <w:sz w:val="18"/>
        </w:rPr>
        <w:t>Broiler</w:t>
      </w:r>
      <w:r w:rsidR="00033D0F">
        <w:rPr>
          <w:i/>
          <w:spacing w:val="-5"/>
          <w:sz w:val="18"/>
        </w:rPr>
        <w:t xml:space="preserve"> </w:t>
      </w:r>
      <w:r w:rsidR="00033D0F">
        <w:rPr>
          <w:i/>
          <w:sz w:val="18"/>
        </w:rPr>
        <w:t>Products</w:t>
      </w:r>
      <w:r w:rsidR="00033D0F">
        <w:rPr>
          <w:i/>
          <w:spacing w:val="-8"/>
          <w:sz w:val="18"/>
        </w:rPr>
        <w:t xml:space="preserve"> </w:t>
      </w:r>
      <w:r w:rsidR="00033D0F">
        <w:rPr>
          <w:i/>
          <w:sz w:val="18"/>
        </w:rPr>
        <w:t>(Article</w:t>
      </w:r>
      <w:r w:rsidR="00033D0F">
        <w:rPr>
          <w:i/>
          <w:spacing w:val="-1"/>
          <w:sz w:val="18"/>
        </w:rPr>
        <w:t xml:space="preserve"> </w:t>
      </w:r>
      <w:r w:rsidR="00033D0F">
        <w:rPr>
          <w:i/>
          <w:sz w:val="18"/>
        </w:rPr>
        <w:t>21.5</w:t>
      </w:r>
      <w:r w:rsidR="00033D0F">
        <w:rPr>
          <w:i/>
          <w:spacing w:val="-5"/>
          <w:sz w:val="18"/>
        </w:rPr>
        <w:t xml:space="preserve"> </w:t>
      </w:r>
      <w:r w:rsidR="00033D0F">
        <w:rPr>
          <w:i/>
          <w:sz w:val="18"/>
        </w:rPr>
        <w:t>– US)</w:t>
      </w:r>
      <w:r w:rsidR="00033D0F">
        <w:rPr>
          <w:sz w:val="18"/>
        </w:rPr>
        <w:t>,</w:t>
      </w:r>
      <w:r w:rsidR="00033D0F">
        <w:rPr>
          <w:spacing w:val="-2"/>
          <w:sz w:val="18"/>
        </w:rPr>
        <w:t xml:space="preserve"> </w:t>
      </w:r>
      <w:r w:rsidR="00033D0F">
        <w:rPr>
          <w:sz w:val="18"/>
        </w:rPr>
        <w:t>para.</w:t>
      </w:r>
      <w:r w:rsidR="00033D0F">
        <w:rPr>
          <w:spacing w:val="2"/>
          <w:sz w:val="18"/>
        </w:rPr>
        <w:t xml:space="preserve"> </w:t>
      </w:r>
      <w:r w:rsidR="00033D0F">
        <w:rPr>
          <w:spacing w:val="-2"/>
          <w:sz w:val="18"/>
        </w:rPr>
        <w:t>7.376.</w:t>
      </w:r>
    </w:p>
    <w:p w14:paraId="3613B5FB" w14:textId="3A9A9702" w:rsidR="00BD462C" w:rsidRDefault="00033D0F">
      <w:pPr>
        <w:spacing w:before="10"/>
        <w:ind w:left="135"/>
        <w:rPr>
          <w:sz w:val="12"/>
        </w:rPr>
      </w:pPr>
      <w:bookmarkStart w:id="1844" w:name="_bookmark1592"/>
      <w:bookmarkEnd w:id="1844"/>
      <w:r>
        <w:rPr>
          <w:spacing w:val="-4"/>
          <w:sz w:val="12"/>
        </w:rPr>
        <w:t>1380</w:t>
      </w:r>
    </w:p>
    <w:p w14:paraId="2D393BC5" w14:textId="77777777" w:rsidR="00BD462C" w:rsidRDefault="00033D0F">
      <w:pPr>
        <w:spacing w:before="65"/>
        <w:ind w:left="136" w:right="923" w:hanging="1"/>
        <w:rPr>
          <w:sz w:val="18"/>
        </w:rPr>
      </w:pPr>
      <w:bookmarkStart w:id="1845" w:name="_bookmark1593"/>
      <w:bookmarkEnd w:id="1845"/>
      <w:r>
        <w:rPr>
          <w:position w:val="5"/>
          <w:sz w:val="12"/>
        </w:rPr>
        <w:t>1381</w:t>
      </w:r>
      <w:r>
        <w:rPr>
          <w:spacing w:val="30"/>
          <w:position w:val="5"/>
          <w:sz w:val="12"/>
        </w:rPr>
        <w:t xml:space="preserve"> </w:t>
      </w:r>
      <w:r>
        <w:rPr>
          <w:sz w:val="18"/>
        </w:rPr>
        <w:t xml:space="preserve">See Panel Report, </w:t>
      </w:r>
      <w:r>
        <w:rPr>
          <w:i/>
          <w:sz w:val="18"/>
        </w:rPr>
        <w:t>Ukraine – Ammonium Nitrate</w:t>
      </w:r>
      <w:r>
        <w:rPr>
          <w:sz w:val="18"/>
        </w:rPr>
        <w:t>, para. 7.227. ("interested parties are not expected to engage in back- calculations and inferential reasoning, or piece together a puzzle to derive the essential facts")</w:t>
      </w:r>
    </w:p>
    <w:p w14:paraId="07B6C964" w14:textId="77777777" w:rsidR="00BD462C" w:rsidRDefault="00BD462C">
      <w:pPr>
        <w:rPr>
          <w:sz w:val="18"/>
        </w:rPr>
        <w:sectPr w:rsidR="00BD462C">
          <w:pgSz w:w="11910" w:h="16840"/>
          <w:pgMar w:top="860" w:right="500" w:bottom="780" w:left="1280" w:header="566" w:footer="590" w:gutter="0"/>
          <w:cols w:space="720"/>
        </w:sectPr>
      </w:pPr>
    </w:p>
    <w:p w14:paraId="0A58A61F"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05E9ADDC"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70BF860B"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7E864BE1" w14:textId="77777777" w:rsidR="00BD462C" w:rsidRDefault="00033D0F">
      <w:pPr>
        <w:pStyle w:val="ListParagraph"/>
        <w:numPr>
          <w:ilvl w:val="0"/>
          <w:numId w:val="13"/>
        </w:numPr>
        <w:tabs>
          <w:tab w:val="left" w:pos="4388"/>
          <w:tab w:val="left" w:pos="4389"/>
        </w:tabs>
        <w:spacing w:before="102"/>
        <w:rPr>
          <w:i/>
          <w:sz w:val="24"/>
        </w:rPr>
      </w:pPr>
      <w:r>
        <w:rPr>
          <w:i/>
          <w:sz w:val="24"/>
        </w:rPr>
        <w:t>Casella Wines</w:t>
      </w:r>
      <w:r>
        <w:rPr>
          <w:i/>
          <w:spacing w:val="-2"/>
          <w:sz w:val="24"/>
        </w:rPr>
        <w:t xml:space="preserve"> </w:t>
      </w:r>
      <w:r>
        <w:rPr>
          <w:i/>
          <w:sz w:val="24"/>
        </w:rPr>
        <w:t>and</w:t>
      </w:r>
      <w:r>
        <w:rPr>
          <w:i/>
          <w:spacing w:val="-4"/>
          <w:sz w:val="24"/>
        </w:rPr>
        <w:t xml:space="preserve"> </w:t>
      </w:r>
      <w:r>
        <w:rPr>
          <w:i/>
          <w:sz w:val="24"/>
        </w:rPr>
        <w:t>Swan</w:t>
      </w:r>
      <w:r>
        <w:rPr>
          <w:i/>
          <w:spacing w:val="1"/>
          <w:sz w:val="24"/>
        </w:rPr>
        <w:t xml:space="preserve"> </w:t>
      </w:r>
      <w:r>
        <w:rPr>
          <w:i/>
          <w:spacing w:val="-2"/>
          <w:sz w:val="24"/>
        </w:rPr>
        <w:t>Vintage</w:t>
      </w:r>
    </w:p>
    <w:p w14:paraId="0119E88F" w14:textId="77777777" w:rsidR="00BD462C" w:rsidRDefault="00BD462C">
      <w:pPr>
        <w:pStyle w:val="BodyText"/>
        <w:spacing w:before="7"/>
        <w:rPr>
          <w:i/>
          <w:sz w:val="20"/>
        </w:rPr>
      </w:pPr>
    </w:p>
    <w:p w14:paraId="59FB6620" w14:textId="1DC783F4" w:rsidR="00BD462C" w:rsidRDefault="00D70C7D">
      <w:pPr>
        <w:pStyle w:val="BodyText"/>
        <w:spacing w:before="56" w:line="360" w:lineRule="auto"/>
        <w:ind w:left="135" w:right="913"/>
        <w:jc w:val="both"/>
      </w:pPr>
      <w:r>
        <w:rPr>
          <w:noProof/>
        </w:rPr>
        <mc:AlternateContent>
          <mc:Choice Requires="wps">
            <w:drawing>
              <wp:anchor distT="0" distB="0" distL="114300" distR="114300" simplePos="0" relativeHeight="479191040" behindDoc="1" locked="0" layoutInCell="1" allowOverlap="1" wp14:anchorId="6B78CD51" wp14:editId="2E6F9295">
                <wp:simplePos x="0" y="0"/>
                <wp:positionH relativeFrom="page">
                  <wp:posOffset>3242945</wp:posOffset>
                </wp:positionH>
                <wp:positionV relativeFrom="paragraph">
                  <wp:posOffset>1425575</wp:posOffset>
                </wp:positionV>
                <wp:extent cx="3416935" cy="186055"/>
                <wp:effectExtent l="0" t="0" r="0" b="0"/>
                <wp:wrapNone/>
                <wp:docPr id="146" name="docshape6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693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E9B9DC" id="docshape652" o:spid="_x0000_s1026" alt="&quot;&quot;" style="position:absolute;margin-left:255.35pt;margin-top:112.25pt;width:269.05pt;height:14.65pt;z-index:-2412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" fillcolor="black" stroked="f">
                <w10:wrap anchorx="page"/>
              </v:rect>
            </w:pict>
          </mc:Fallback>
        </mc:AlternateContent>
      </w:r>
      <w:r w:rsidR="00AA1FFD">
        <w:rPr>
          <w:noProof/>
        </w:rPr>
        <w:t>951.</w:t>
      </w:r>
      <w:r w:rsidR="00033D0F">
        <w:rPr>
          <w:rFonts w:ascii="Times New Roman"/>
          <w:spacing w:val="80"/>
          <w:position w:val="1"/>
          <w:sz w:val="20"/>
        </w:rPr>
        <w:t xml:space="preserve">  </w:t>
      </w:r>
      <w:r w:rsidR="00033D0F">
        <w:rPr>
          <w:position w:val="1"/>
        </w:rPr>
        <w:t xml:space="preserve">In respect of Casella Wines and Swan Vintage, while Australia accepts that the data </w:t>
      </w:r>
      <w:r w:rsidR="00033D0F">
        <w:t>itself was subject to confidentiality restrictions (which we now know was based on the data of</w:t>
      </w:r>
      <w:r w:rsidR="00033D0F">
        <w:rPr>
          <w:spacing w:val="-1"/>
        </w:rPr>
        <w:t xml:space="preserve"> </w:t>
      </w:r>
      <w:r w:rsidR="00033D0F">
        <w:t>Treasury Wines), MOFCOM</w:t>
      </w:r>
      <w:r w:rsidR="00033D0F">
        <w:rPr>
          <w:spacing w:val="-4"/>
        </w:rPr>
        <w:t xml:space="preserve"> </w:t>
      </w:r>
      <w:r w:rsidR="00033D0F">
        <w:t>was required</w:t>
      </w:r>
      <w:r w:rsidR="00033D0F">
        <w:rPr>
          <w:spacing w:val="-2"/>
        </w:rPr>
        <w:t xml:space="preserve"> </w:t>
      </w:r>
      <w:r w:rsidR="00033D0F">
        <w:t>to</w:t>
      </w:r>
      <w:r w:rsidR="00033D0F">
        <w:rPr>
          <w:spacing w:val="-2"/>
        </w:rPr>
        <w:t xml:space="preserve"> </w:t>
      </w:r>
      <w:r w:rsidR="00033D0F">
        <w:t>disclose the non-confidential dumping margin calculation</w:t>
      </w:r>
      <w:r w:rsidR="00033D0F">
        <w:rPr>
          <w:spacing w:val="-13"/>
        </w:rPr>
        <w:t xml:space="preserve"> </w:t>
      </w:r>
      <w:r w:rsidR="00033D0F">
        <w:t>methodology.</w:t>
      </w:r>
      <w:hyperlink w:anchor="_bookmark1594" w:history="1">
        <w:r w:rsidR="00033D0F">
          <w:rPr>
            <w:vertAlign w:val="superscript"/>
          </w:rPr>
          <w:t>1382</w:t>
        </w:r>
      </w:hyperlink>
      <w:r w:rsidR="00033D0F">
        <w:rPr>
          <w:spacing w:val="-10"/>
        </w:rPr>
        <w:t xml:space="preserve"> </w:t>
      </w:r>
      <w:r w:rsidR="00033D0F">
        <w:t>It</w:t>
      </w:r>
      <w:r w:rsidR="00033D0F">
        <w:rPr>
          <w:spacing w:val="-10"/>
        </w:rPr>
        <w:t xml:space="preserve"> </w:t>
      </w:r>
      <w:r w:rsidR="00033D0F">
        <w:t>did</w:t>
      </w:r>
      <w:r w:rsidR="00033D0F">
        <w:rPr>
          <w:spacing w:val="-8"/>
        </w:rPr>
        <w:t xml:space="preserve"> </w:t>
      </w:r>
      <w:r w:rsidR="00033D0F">
        <w:t>not</w:t>
      </w:r>
      <w:r w:rsidR="00033D0F">
        <w:rPr>
          <w:spacing w:val="-6"/>
        </w:rPr>
        <w:t xml:space="preserve"> </w:t>
      </w:r>
      <w:r w:rsidR="00033D0F">
        <w:t>do</w:t>
      </w:r>
      <w:r w:rsidR="00033D0F">
        <w:rPr>
          <w:spacing w:val="-13"/>
        </w:rPr>
        <w:t xml:space="preserve"> </w:t>
      </w:r>
      <w:r w:rsidR="00033D0F">
        <w:t>so.</w:t>
      </w:r>
      <w:r w:rsidR="00033D0F">
        <w:rPr>
          <w:spacing w:val="-10"/>
        </w:rPr>
        <w:t xml:space="preserve"> </w:t>
      </w:r>
      <w:r w:rsidR="00033D0F">
        <w:t>China</w:t>
      </w:r>
      <w:r w:rsidR="00033D0F">
        <w:rPr>
          <w:spacing w:val="-7"/>
        </w:rPr>
        <w:t xml:space="preserve"> </w:t>
      </w:r>
      <w:r w:rsidR="00033D0F">
        <w:t>asserts</w:t>
      </w:r>
      <w:r w:rsidR="00033D0F">
        <w:rPr>
          <w:spacing w:val="-9"/>
        </w:rPr>
        <w:t xml:space="preserve"> </w:t>
      </w:r>
      <w:r w:rsidR="00033D0F">
        <w:t>that</w:t>
      </w:r>
      <w:r w:rsidR="00033D0F">
        <w:rPr>
          <w:spacing w:val="-10"/>
        </w:rPr>
        <w:t xml:space="preserve"> </w:t>
      </w:r>
      <w:r w:rsidR="00033D0F">
        <w:t>this</w:t>
      </w:r>
      <w:r w:rsidR="00033D0F">
        <w:rPr>
          <w:spacing w:val="-9"/>
        </w:rPr>
        <w:t xml:space="preserve"> </w:t>
      </w:r>
      <w:r w:rsidR="00033D0F">
        <w:t>information</w:t>
      </w:r>
      <w:r w:rsidR="00033D0F">
        <w:rPr>
          <w:spacing w:val="-13"/>
        </w:rPr>
        <w:t xml:space="preserve"> </w:t>
      </w:r>
      <w:r w:rsidR="00033D0F">
        <w:t>was</w:t>
      </w:r>
      <w:r w:rsidR="00033D0F">
        <w:rPr>
          <w:spacing w:val="-9"/>
        </w:rPr>
        <w:t xml:space="preserve"> </w:t>
      </w:r>
      <w:r w:rsidR="00033D0F">
        <w:t>provided to each sampled company, referencing Exhibit CHN-9 as an example of such disclosure.</w:t>
      </w:r>
      <w:hyperlink w:anchor="_bookmark1595" w:history="1">
        <w:r w:rsidR="00033D0F">
          <w:rPr>
            <w:vertAlign w:val="superscript"/>
          </w:rPr>
          <w:t>1383</w:t>
        </w:r>
      </w:hyperlink>
      <w:r w:rsidR="00033D0F">
        <w:t xml:space="preserve"> However, a review of Exhibit CHN-9</w:t>
      </w:r>
    </w:p>
    <w:p w14:paraId="1C89D1F7" w14:textId="6DCA973A" w:rsidR="00BD462C" w:rsidRDefault="00D70C7D">
      <w:pPr>
        <w:pStyle w:val="BodyText"/>
        <w:ind w:left="136"/>
        <w:rPr>
          <w:sz w:val="20"/>
        </w:rPr>
      </w:pPr>
      <w:r>
        <w:rPr>
          <w:noProof/>
          <w:sz w:val="20"/>
        </w:rPr>
        <mc:AlternateContent>
          <mc:Choice Requires="wpg">
            <w:drawing>
              <wp:inline distT="0" distB="0" distL="0" distR="0" wp14:anchorId="38C8DC28" wp14:editId="4D55C099">
                <wp:extent cx="5697220" cy="186055"/>
                <wp:effectExtent l="3810" t="0" r="4445" b="0"/>
                <wp:docPr id="142" name="docshapegroup653" descr="Redac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7220" cy="186055"/>
                          <a:chOff x="0" y="0"/>
                          <a:chExt cx="8972" cy="293"/>
                        </a:xfrm>
                      </wpg:grpSpPr>
                      <wps:wsp>
                        <wps:cNvPr id="144" name="docshape654"/>
                        <wps:cNvSpPr>
                          <a:spLocks noChangeArrowheads="1"/>
                        </wps:cNvSpPr>
                        <wps:spPr bwMode="auto">
                          <a:xfrm>
                            <a:off x="0" y="0"/>
                            <a:ext cx="8972" cy="29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90B14C5" id="docshapegroup653" o:spid="_x0000_s1026" alt="Redacted" style="width:448.6pt;height:14.65pt;mso-position-horizontal-relative:char;mso-position-vertical-relative:line" coordsize="8972,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">
                <v:rect id="docshape654" o:spid="_x0000_s1027" style="position:absolute;width:8972;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" fillcolor="black" stroked="f"/>
                <w10:anchorlock/>
              </v:group>
            </w:pict>
          </mc:Fallback>
        </mc:AlternateContent>
      </w:r>
    </w:p>
    <w:p w14:paraId="6E48A4BA" w14:textId="24CB23D2" w:rsidR="00BD462C" w:rsidRDefault="00D70C7D">
      <w:pPr>
        <w:pStyle w:val="BodyText"/>
        <w:spacing w:before="11"/>
        <w:rPr>
          <w:sz w:val="6"/>
        </w:rPr>
      </w:pPr>
      <w:r>
        <w:rPr>
          <w:noProof/>
        </w:rPr>
        <mc:AlternateContent>
          <mc:Choice Requires="wps">
            <w:drawing>
              <wp:anchor distT="0" distB="0" distL="0" distR="0" simplePos="0" relativeHeight="487888896" behindDoc="1" locked="0" layoutInCell="1" allowOverlap="1" wp14:anchorId="0CB2BE01" wp14:editId="6AAA2DDC">
                <wp:simplePos x="0" y="0"/>
                <wp:positionH relativeFrom="page">
                  <wp:posOffset>899160</wp:posOffset>
                </wp:positionH>
                <wp:positionV relativeFrom="paragraph">
                  <wp:posOffset>69215</wp:posOffset>
                </wp:positionV>
                <wp:extent cx="1240790" cy="186055"/>
                <wp:effectExtent l="0" t="0" r="0" b="0"/>
                <wp:wrapTopAndBottom/>
                <wp:docPr id="140" name="docshape6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079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916808" id="docshape655" o:spid="_x0000_s1026" alt="&quot;&quot;" style="position:absolute;margin-left:70.8pt;margin-top:5.45pt;width:97.7pt;height:14.65pt;z-index:-1542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" fillcolor="black" stroked="f">
                <w10:wrap type="topAndBottom" anchorx="page"/>
              </v:rect>
            </w:pict>
          </mc:Fallback>
        </mc:AlternateContent>
      </w:r>
    </w:p>
    <w:p w14:paraId="73E47605" w14:textId="77777777" w:rsidR="00BD462C" w:rsidRDefault="00BD462C">
      <w:pPr>
        <w:pStyle w:val="BodyText"/>
        <w:spacing w:before="1"/>
        <w:rPr>
          <w:sz w:val="21"/>
        </w:rPr>
      </w:pPr>
    </w:p>
    <w:p w14:paraId="1E9080CD" w14:textId="78275C9D" w:rsidR="00BD462C" w:rsidRDefault="00AA1FFD">
      <w:pPr>
        <w:pStyle w:val="BodyText"/>
        <w:spacing w:before="56" w:line="360" w:lineRule="auto"/>
        <w:ind w:left="135" w:right="916"/>
        <w:jc w:val="both"/>
      </w:pPr>
      <w:r>
        <w:rPr>
          <w:noProof/>
        </w:rPr>
        <w:t>952.</w:t>
      </w:r>
      <w:r w:rsidR="00033D0F">
        <w:rPr>
          <w:rFonts w:ascii="Times New Roman"/>
          <w:spacing w:val="80"/>
          <w:position w:val="1"/>
          <w:sz w:val="20"/>
        </w:rPr>
        <w:t xml:space="preserve">  </w:t>
      </w:r>
      <w:r w:rsidR="00033D0F">
        <w:rPr>
          <w:position w:val="1"/>
        </w:rPr>
        <w:t xml:space="preserve">The mere fact that Swan Vintage provided comments on the Final Disclosure is not </w:t>
      </w:r>
      <w:r w:rsidR="00033D0F">
        <w:t xml:space="preserve">evidence that MOFCOM fulfilled its </w:t>
      </w:r>
      <w:proofErr w:type="gramStart"/>
      <w:r w:rsidR="00033D0F">
        <w:t>Article</w:t>
      </w:r>
      <w:proofErr w:type="gramEnd"/>
      <w:r w:rsidR="00033D0F">
        <w:t xml:space="preserve"> 6.9 obligation.</w:t>
      </w:r>
      <w:hyperlink w:anchor="_bookmark1596" w:history="1">
        <w:r w:rsidR="00033D0F">
          <w:rPr>
            <w:vertAlign w:val="superscript"/>
          </w:rPr>
          <w:t>1384</w:t>
        </w:r>
      </w:hyperlink>
      <w:r w:rsidR="00033D0F">
        <w:t xml:space="preserve"> Those comments only confirm that MOFCOM did not provide sufficient disclosure. In particular, Swan Vintage states in the opening paragraph of its comments that:</w:t>
      </w:r>
    </w:p>
    <w:p w14:paraId="28A9EA01" w14:textId="77777777" w:rsidR="00BD462C" w:rsidRDefault="00033D0F">
      <w:pPr>
        <w:spacing w:before="157" w:line="276" w:lineRule="auto"/>
        <w:ind w:left="985" w:right="915"/>
        <w:jc w:val="both"/>
      </w:pPr>
      <w:r>
        <w:t>The Final Ruling Disclosure of the Bureau is oversimplified, which makes it impossible for Swan</w:t>
      </w:r>
      <w:r>
        <w:rPr>
          <w:spacing w:val="-10"/>
        </w:rPr>
        <w:t xml:space="preserve"> </w:t>
      </w:r>
      <w:r>
        <w:t>Vintage</w:t>
      </w:r>
      <w:r>
        <w:rPr>
          <w:spacing w:val="-8"/>
        </w:rPr>
        <w:t xml:space="preserve"> </w:t>
      </w:r>
      <w:r>
        <w:t>to</w:t>
      </w:r>
      <w:r>
        <w:rPr>
          <w:spacing w:val="-10"/>
        </w:rPr>
        <w:t xml:space="preserve"> </w:t>
      </w:r>
      <w:r>
        <w:t>know</w:t>
      </w:r>
      <w:r>
        <w:rPr>
          <w:spacing w:val="-8"/>
        </w:rPr>
        <w:t xml:space="preserve"> </w:t>
      </w:r>
      <w:r>
        <w:t>the</w:t>
      </w:r>
      <w:r>
        <w:rPr>
          <w:spacing w:val="-8"/>
        </w:rPr>
        <w:t xml:space="preserve"> </w:t>
      </w:r>
      <w:r>
        <w:t>method</w:t>
      </w:r>
      <w:r>
        <w:rPr>
          <w:spacing w:val="-10"/>
        </w:rPr>
        <w:t xml:space="preserve"> </w:t>
      </w:r>
      <w:r>
        <w:t>and</w:t>
      </w:r>
      <w:r>
        <w:rPr>
          <w:spacing w:val="-10"/>
        </w:rPr>
        <w:t xml:space="preserve"> </w:t>
      </w:r>
      <w:r>
        <w:t>basis</w:t>
      </w:r>
      <w:r>
        <w:rPr>
          <w:spacing w:val="-9"/>
        </w:rPr>
        <w:t xml:space="preserve"> </w:t>
      </w:r>
      <w:r>
        <w:t>for</w:t>
      </w:r>
      <w:r>
        <w:rPr>
          <w:spacing w:val="-9"/>
        </w:rPr>
        <w:t xml:space="preserve"> </w:t>
      </w:r>
      <w:r>
        <w:t>calculating</w:t>
      </w:r>
      <w:r>
        <w:rPr>
          <w:spacing w:val="-7"/>
        </w:rPr>
        <w:t xml:space="preserve"> </w:t>
      </w:r>
      <w:r>
        <w:t>normal</w:t>
      </w:r>
      <w:r>
        <w:rPr>
          <w:spacing w:val="-7"/>
        </w:rPr>
        <w:t xml:space="preserve"> </w:t>
      </w:r>
      <w:r>
        <w:t>value</w:t>
      </w:r>
      <w:r>
        <w:rPr>
          <w:spacing w:val="-8"/>
        </w:rPr>
        <w:t xml:space="preserve"> </w:t>
      </w:r>
      <w:r>
        <w:t>and</w:t>
      </w:r>
      <w:r>
        <w:rPr>
          <w:spacing w:val="-10"/>
        </w:rPr>
        <w:t xml:space="preserve"> </w:t>
      </w:r>
      <w:r>
        <w:t>export</w:t>
      </w:r>
      <w:r>
        <w:rPr>
          <w:spacing w:val="-11"/>
        </w:rPr>
        <w:t xml:space="preserve"> </w:t>
      </w:r>
      <w:r>
        <w:t>price</w:t>
      </w:r>
      <w:r>
        <w:rPr>
          <w:spacing w:val="-8"/>
        </w:rPr>
        <w:t xml:space="preserve"> </w:t>
      </w:r>
      <w:r>
        <w:t>on the basis of which the Bureau calculated the dumping margin, limiting the right of Swan Vintage to make an effective defence.</w:t>
      </w:r>
      <w:hyperlink w:anchor="_bookmark1597" w:history="1">
        <w:r>
          <w:rPr>
            <w:vertAlign w:val="superscript"/>
          </w:rPr>
          <w:t>1385</w:t>
        </w:r>
      </w:hyperlink>
    </w:p>
    <w:p w14:paraId="1982DE50" w14:textId="77777777" w:rsidR="00BD462C" w:rsidRDefault="00BD462C">
      <w:pPr>
        <w:pStyle w:val="BodyText"/>
        <w:spacing w:before="4"/>
        <w:rPr>
          <w:sz w:val="15"/>
        </w:rPr>
      </w:pPr>
    </w:p>
    <w:p w14:paraId="4C977482" w14:textId="7C82182C" w:rsidR="00BD462C" w:rsidRDefault="00AA1FFD">
      <w:pPr>
        <w:pStyle w:val="BodyText"/>
        <w:spacing w:before="56" w:line="360" w:lineRule="auto"/>
        <w:ind w:left="135" w:right="912"/>
        <w:jc w:val="both"/>
      </w:pPr>
      <w:r>
        <w:rPr>
          <w:noProof/>
        </w:rPr>
        <w:t>953.</w:t>
      </w:r>
      <w:r w:rsidR="00033D0F">
        <w:rPr>
          <w:rFonts w:ascii="Times New Roman" w:hAnsi="Times New Roman"/>
          <w:spacing w:val="80"/>
          <w:position w:val="1"/>
          <w:sz w:val="20"/>
        </w:rPr>
        <w:t xml:space="preserve">  </w:t>
      </w:r>
      <w:r w:rsidR="00033D0F">
        <w:rPr>
          <w:position w:val="1"/>
        </w:rPr>
        <w:t xml:space="preserve">In attempting to defend MOFCOM's failure, China asserts that " […] when an </w:t>
      </w:r>
      <w:r w:rsidR="00033D0F">
        <w:t>exporter's own data are used for calculating the dumping margin (without any adjustments being made), the</w:t>
      </w:r>
      <w:r w:rsidR="00033D0F">
        <w:rPr>
          <w:spacing w:val="-2"/>
        </w:rPr>
        <w:t xml:space="preserve"> </w:t>
      </w:r>
      <w:r w:rsidR="00033D0F">
        <w:t>requirement</w:t>
      </w:r>
      <w:r w:rsidR="00033D0F">
        <w:rPr>
          <w:spacing w:val="-1"/>
        </w:rPr>
        <w:t xml:space="preserve"> </w:t>
      </w:r>
      <w:r w:rsidR="00033D0F">
        <w:t>to disclose</w:t>
      </w:r>
      <w:r w:rsidR="00033D0F">
        <w:rPr>
          <w:spacing w:val="-1"/>
        </w:rPr>
        <w:t xml:space="preserve"> </w:t>
      </w:r>
      <w:r w:rsidR="00033D0F">
        <w:t>the</w:t>
      </w:r>
      <w:r w:rsidR="00033D0F">
        <w:rPr>
          <w:spacing w:val="-2"/>
        </w:rPr>
        <w:t xml:space="preserve"> </w:t>
      </w:r>
      <w:r w:rsidR="00033D0F">
        <w:t>formulae</w:t>
      </w:r>
      <w:r w:rsidR="00033D0F">
        <w:rPr>
          <w:spacing w:val="-1"/>
        </w:rPr>
        <w:t xml:space="preserve"> </w:t>
      </w:r>
      <w:r w:rsidR="00033D0F">
        <w:t>used</w:t>
      </w:r>
      <w:r w:rsidR="00033D0F">
        <w:rPr>
          <w:spacing w:val="-3"/>
        </w:rPr>
        <w:t xml:space="preserve"> </w:t>
      </w:r>
      <w:r w:rsidR="00033D0F">
        <w:t>in</w:t>
      </w:r>
      <w:r w:rsidR="00033D0F">
        <w:rPr>
          <w:spacing w:val="-3"/>
        </w:rPr>
        <w:t xml:space="preserve"> </w:t>
      </w:r>
      <w:r w:rsidR="00033D0F">
        <w:t>great</w:t>
      </w:r>
      <w:r w:rsidR="00033D0F">
        <w:rPr>
          <w:spacing w:val="-1"/>
        </w:rPr>
        <w:t xml:space="preserve"> </w:t>
      </w:r>
      <w:r w:rsidR="00033D0F">
        <w:t>detail applies to</w:t>
      </w:r>
      <w:r w:rsidR="00033D0F">
        <w:rPr>
          <w:spacing w:val="-4"/>
        </w:rPr>
        <w:t xml:space="preserve"> </w:t>
      </w:r>
      <w:r w:rsidR="00033D0F">
        <w:t>a</w:t>
      </w:r>
      <w:r w:rsidR="00033D0F">
        <w:rPr>
          <w:spacing w:val="-2"/>
        </w:rPr>
        <w:t xml:space="preserve"> </w:t>
      </w:r>
      <w:r w:rsidR="00033D0F">
        <w:t>much lesser extent".</w:t>
      </w:r>
      <w:hyperlink w:anchor="_bookmark1598" w:history="1">
        <w:r w:rsidR="00033D0F">
          <w:rPr>
            <w:vertAlign w:val="superscript"/>
          </w:rPr>
          <w:t>1386</w:t>
        </w:r>
      </w:hyperlink>
      <w:r w:rsidR="00033D0F">
        <w:t xml:space="preserve"> However, the Panel does not need to decide on the correctness of the proposition, as it would not be applicable in this dispute.</w:t>
      </w:r>
      <w:hyperlink w:anchor="_bookmark1599" w:history="1">
        <w:r w:rsidR="00033D0F">
          <w:rPr>
            <w:vertAlign w:val="superscript"/>
          </w:rPr>
          <w:t>1387</w:t>
        </w:r>
      </w:hyperlink>
      <w:r w:rsidR="00033D0F">
        <w:t xml:space="preserve"> As MOFCOM had recourse to facts available in determining the dumping margin, it used only limited amounts of Casella Wines'</w:t>
      </w:r>
      <w:r w:rsidR="00033D0F">
        <w:rPr>
          <w:spacing w:val="-8"/>
        </w:rPr>
        <w:t xml:space="preserve"> </w:t>
      </w:r>
      <w:r w:rsidR="00033D0F">
        <w:t>data</w:t>
      </w:r>
      <w:r w:rsidR="00033D0F">
        <w:rPr>
          <w:spacing w:val="-8"/>
        </w:rPr>
        <w:t xml:space="preserve"> </w:t>
      </w:r>
      <w:r w:rsidR="00033D0F">
        <w:t>and</w:t>
      </w:r>
      <w:r w:rsidR="00033D0F">
        <w:rPr>
          <w:spacing w:val="-9"/>
        </w:rPr>
        <w:t xml:space="preserve"> </w:t>
      </w:r>
      <w:r w:rsidR="00033D0F">
        <w:t>none</w:t>
      </w:r>
      <w:r w:rsidR="00033D0F">
        <w:rPr>
          <w:spacing w:val="-7"/>
        </w:rPr>
        <w:t xml:space="preserve"> </w:t>
      </w:r>
      <w:r w:rsidR="00033D0F">
        <w:t>of</w:t>
      </w:r>
      <w:r w:rsidR="00033D0F">
        <w:rPr>
          <w:spacing w:val="-9"/>
        </w:rPr>
        <w:t xml:space="preserve"> </w:t>
      </w:r>
      <w:r w:rsidR="00033D0F">
        <w:t>Swan</w:t>
      </w:r>
      <w:r w:rsidR="00033D0F">
        <w:rPr>
          <w:spacing w:val="-9"/>
        </w:rPr>
        <w:t xml:space="preserve"> </w:t>
      </w:r>
      <w:r w:rsidR="00033D0F">
        <w:t>Vintage's</w:t>
      </w:r>
      <w:r w:rsidR="00033D0F">
        <w:rPr>
          <w:spacing w:val="-6"/>
        </w:rPr>
        <w:t xml:space="preserve"> </w:t>
      </w:r>
      <w:r w:rsidR="00033D0F">
        <w:t>own</w:t>
      </w:r>
      <w:r w:rsidR="00033D0F">
        <w:rPr>
          <w:spacing w:val="-9"/>
        </w:rPr>
        <w:t xml:space="preserve"> </w:t>
      </w:r>
      <w:r w:rsidR="00033D0F">
        <w:t>data.</w:t>
      </w:r>
      <w:r w:rsidR="00033D0F">
        <w:rPr>
          <w:spacing w:val="-11"/>
        </w:rPr>
        <w:t xml:space="preserve"> </w:t>
      </w:r>
      <w:r w:rsidR="00033D0F">
        <w:t>In</w:t>
      </w:r>
      <w:r w:rsidR="00033D0F">
        <w:rPr>
          <w:spacing w:val="-9"/>
        </w:rPr>
        <w:t xml:space="preserve"> </w:t>
      </w:r>
      <w:r w:rsidR="00033D0F">
        <w:t>other</w:t>
      </w:r>
      <w:r w:rsidR="00033D0F">
        <w:rPr>
          <w:spacing w:val="-10"/>
        </w:rPr>
        <w:t xml:space="preserve"> </w:t>
      </w:r>
      <w:r w:rsidR="00033D0F">
        <w:t>words,</w:t>
      </w:r>
      <w:r w:rsidR="00033D0F">
        <w:rPr>
          <w:spacing w:val="-5"/>
        </w:rPr>
        <w:t xml:space="preserve"> </w:t>
      </w:r>
      <w:r w:rsidR="00033D0F">
        <w:t>even</w:t>
      </w:r>
      <w:r w:rsidR="00033D0F">
        <w:rPr>
          <w:spacing w:val="-9"/>
        </w:rPr>
        <w:t xml:space="preserve"> </w:t>
      </w:r>
      <w:r w:rsidR="00033D0F">
        <w:t>based</w:t>
      </w:r>
      <w:r w:rsidR="00033D0F">
        <w:rPr>
          <w:spacing w:val="-9"/>
        </w:rPr>
        <w:t xml:space="preserve"> </w:t>
      </w:r>
      <w:r w:rsidR="00033D0F">
        <w:t>on</w:t>
      </w:r>
      <w:r w:rsidR="00033D0F">
        <w:rPr>
          <w:spacing w:val="-9"/>
        </w:rPr>
        <w:t xml:space="preserve"> </w:t>
      </w:r>
      <w:r w:rsidR="00033D0F">
        <w:t>China's</w:t>
      </w:r>
      <w:r w:rsidR="00033D0F">
        <w:rPr>
          <w:spacing w:val="-4"/>
        </w:rPr>
        <w:t xml:space="preserve"> </w:t>
      </w:r>
      <w:r w:rsidR="00033D0F">
        <w:t>self- implemented "lesser" standard, MOFCOM was still required to disclose its dumping margin calculation methodology for the purposes of Article 6.9. It failed to do so.</w:t>
      </w:r>
    </w:p>
    <w:p w14:paraId="695D8A12" w14:textId="77777777" w:rsidR="00BD462C" w:rsidRDefault="00BD462C">
      <w:pPr>
        <w:pStyle w:val="BodyText"/>
        <w:rPr>
          <w:sz w:val="20"/>
        </w:rPr>
      </w:pPr>
    </w:p>
    <w:p w14:paraId="4486D57E" w14:textId="4DA2B0A8" w:rsidR="00BD462C" w:rsidRDefault="00752F01">
      <w:pPr>
        <w:pStyle w:val="BodyText"/>
        <w:rPr>
          <w:sz w:val="20"/>
        </w:rPr>
      </w:pPr>
      <w:r>
        <w:rPr>
          <w:noProof/>
        </w:rPr>
        <mc:AlternateContent>
          <mc:Choice Requires="wps">
            <w:drawing>
              <wp:anchor distT="0" distB="0" distL="0" distR="0" simplePos="0" relativeHeight="488307200" behindDoc="1" locked="0" layoutInCell="1" allowOverlap="1" wp14:anchorId="7C09BDF2" wp14:editId="75600780">
                <wp:simplePos x="0" y="0"/>
                <wp:positionH relativeFrom="page">
                  <wp:posOffset>812800</wp:posOffset>
                </wp:positionH>
                <wp:positionV relativeFrom="paragraph">
                  <wp:posOffset>243205</wp:posOffset>
                </wp:positionV>
                <wp:extent cx="1828800" cy="8890"/>
                <wp:effectExtent l="0" t="0" r="0" b="0"/>
                <wp:wrapTopAndBottom/>
                <wp:docPr id="1124" name="docshape5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5BE221" id="docshape529" o:spid="_x0000_s1026" alt="&quot;&quot;" style="position:absolute;margin-left:64pt;margin-top:19.15pt;width:2in;height:.7pt;z-index:-15009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" fillcolor="black" stroked="f">
                <w10:wrap type="topAndBottom" anchorx="page"/>
              </v:rect>
            </w:pict>
          </mc:Fallback>
        </mc:AlternateContent>
      </w:r>
    </w:p>
    <w:p w14:paraId="03B90D68" w14:textId="4BC48803" w:rsidR="00BD462C" w:rsidRDefault="00BD462C">
      <w:pPr>
        <w:pStyle w:val="BodyText"/>
        <w:rPr>
          <w:sz w:val="11"/>
        </w:rPr>
      </w:pPr>
    </w:p>
    <w:p w14:paraId="6D43FEF5" w14:textId="77777777" w:rsidR="00BD462C" w:rsidRDefault="00033D0F">
      <w:pPr>
        <w:spacing w:before="112" w:line="218" w:lineRule="exact"/>
        <w:ind w:left="135"/>
        <w:rPr>
          <w:sz w:val="18"/>
        </w:rPr>
      </w:pPr>
      <w:bookmarkStart w:id="1846" w:name="_bookmark1594"/>
      <w:bookmarkEnd w:id="1846"/>
      <w:r>
        <w:rPr>
          <w:position w:val="5"/>
          <w:sz w:val="12"/>
        </w:rPr>
        <w:t>1382</w:t>
      </w:r>
      <w:r>
        <w:rPr>
          <w:spacing w:val="15"/>
          <w:position w:val="5"/>
          <w:sz w:val="12"/>
        </w:rPr>
        <w:t xml:space="preserve"> </w:t>
      </w:r>
      <w:r>
        <w:rPr>
          <w:sz w:val="18"/>
        </w:rPr>
        <w:t>Australia's</w:t>
      </w:r>
      <w:r>
        <w:rPr>
          <w:spacing w:val="1"/>
          <w:sz w:val="18"/>
        </w:rPr>
        <w:t xml:space="preserve"> </w:t>
      </w:r>
      <w:r>
        <w:rPr>
          <w:sz w:val="18"/>
        </w:rPr>
        <w:t>response</w:t>
      </w:r>
      <w:r>
        <w:rPr>
          <w:spacing w:val="-3"/>
          <w:sz w:val="18"/>
        </w:rPr>
        <w:t xml:space="preserve"> </w:t>
      </w:r>
      <w:r>
        <w:rPr>
          <w:sz w:val="18"/>
        </w:rPr>
        <w:t>to</w:t>
      </w:r>
      <w:r>
        <w:rPr>
          <w:spacing w:val="-5"/>
          <w:sz w:val="18"/>
        </w:rPr>
        <w:t xml:space="preserve"> </w:t>
      </w:r>
      <w:r>
        <w:rPr>
          <w:sz w:val="18"/>
        </w:rPr>
        <w:t>Panel</w:t>
      </w:r>
      <w:r>
        <w:rPr>
          <w:spacing w:val="-2"/>
          <w:sz w:val="18"/>
        </w:rPr>
        <w:t xml:space="preserve"> </w:t>
      </w:r>
      <w:r>
        <w:rPr>
          <w:sz w:val="18"/>
        </w:rPr>
        <w:t>question</w:t>
      </w:r>
      <w:r>
        <w:rPr>
          <w:spacing w:val="-5"/>
          <w:sz w:val="18"/>
        </w:rPr>
        <w:t xml:space="preserve"> </w:t>
      </w:r>
      <w:r>
        <w:rPr>
          <w:sz w:val="18"/>
        </w:rPr>
        <w:t>No.</w:t>
      </w:r>
      <w:r>
        <w:rPr>
          <w:spacing w:val="-3"/>
          <w:sz w:val="18"/>
        </w:rPr>
        <w:t xml:space="preserve"> </w:t>
      </w:r>
      <w:r>
        <w:rPr>
          <w:sz w:val="18"/>
        </w:rPr>
        <w:t>63,</w:t>
      </w:r>
      <w:r>
        <w:rPr>
          <w:spacing w:val="-1"/>
          <w:sz w:val="18"/>
        </w:rPr>
        <w:t xml:space="preserve"> </w:t>
      </w:r>
      <w:r>
        <w:rPr>
          <w:sz w:val="18"/>
        </w:rPr>
        <w:t>paras</w:t>
      </w:r>
      <w:r>
        <w:rPr>
          <w:spacing w:val="-4"/>
          <w:sz w:val="18"/>
        </w:rPr>
        <w:t xml:space="preserve"> </w:t>
      </w:r>
      <w:r>
        <w:rPr>
          <w:sz w:val="18"/>
        </w:rPr>
        <w:t>155</w:t>
      </w:r>
      <w:r>
        <w:rPr>
          <w:spacing w:val="-4"/>
          <w:sz w:val="18"/>
        </w:rPr>
        <w:t xml:space="preserve"> </w:t>
      </w:r>
      <w:r>
        <w:rPr>
          <w:sz w:val="18"/>
        </w:rPr>
        <w:t xml:space="preserve">– </w:t>
      </w:r>
      <w:r>
        <w:rPr>
          <w:spacing w:val="-4"/>
          <w:sz w:val="18"/>
        </w:rPr>
        <w:t>158.</w:t>
      </w:r>
    </w:p>
    <w:p w14:paraId="6498F556" w14:textId="77777777" w:rsidR="00BD462C" w:rsidRDefault="00033D0F">
      <w:pPr>
        <w:spacing w:line="218" w:lineRule="exact"/>
        <w:ind w:left="135"/>
        <w:rPr>
          <w:sz w:val="18"/>
        </w:rPr>
      </w:pPr>
      <w:bookmarkStart w:id="1847" w:name="_bookmark1595"/>
      <w:bookmarkEnd w:id="1847"/>
      <w:r>
        <w:rPr>
          <w:position w:val="5"/>
          <w:sz w:val="12"/>
        </w:rPr>
        <w:t>1383</w:t>
      </w:r>
      <w:r>
        <w:rPr>
          <w:spacing w:val="14"/>
          <w:position w:val="5"/>
          <w:sz w:val="12"/>
        </w:rPr>
        <w:t xml:space="preserve"> </w:t>
      </w:r>
      <w:r>
        <w:rPr>
          <w:sz w:val="18"/>
        </w:rPr>
        <w:t>China's</w:t>
      </w:r>
      <w:r>
        <w:rPr>
          <w:spacing w:val="2"/>
          <w:sz w:val="18"/>
        </w:rPr>
        <w:t xml:space="preserve"> </w:t>
      </w:r>
      <w:r>
        <w:rPr>
          <w:sz w:val="18"/>
        </w:rPr>
        <w:t>response</w:t>
      </w:r>
      <w:r>
        <w:rPr>
          <w:spacing w:val="-4"/>
          <w:sz w:val="18"/>
        </w:rPr>
        <w:t xml:space="preserve"> </w:t>
      </w:r>
      <w:r>
        <w:rPr>
          <w:sz w:val="18"/>
        </w:rPr>
        <w:t>to</w:t>
      </w:r>
      <w:r>
        <w:rPr>
          <w:spacing w:val="-10"/>
          <w:sz w:val="18"/>
        </w:rPr>
        <w:t xml:space="preserve"> </w:t>
      </w:r>
      <w:r>
        <w:rPr>
          <w:sz w:val="18"/>
        </w:rPr>
        <w:t>Panel</w:t>
      </w:r>
      <w:r>
        <w:rPr>
          <w:spacing w:val="-3"/>
          <w:sz w:val="18"/>
        </w:rPr>
        <w:t xml:space="preserve"> </w:t>
      </w:r>
      <w:r>
        <w:rPr>
          <w:sz w:val="18"/>
        </w:rPr>
        <w:t>question</w:t>
      </w:r>
      <w:r>
        <w:rPr>
          <w:spacing w:val="-4"/>
          <w:sz w:val="18"/>
        </w:rPr>
        <w:t xml:space="preserve"> </w:t>
      </w:r>
      <w:r>
        <w:rPr>
          <w:sz w:val="18"/>
        </w:rPr>
        <w:t>No.</w:t>
      </w:r>
      <w:r>
        <w:rPr>
          <w:spacing w:val="2"/>
          <w:sz w:val="18"/>
        </w:rPr>
        <w:t xml:space="preserve"> </w:t>
      </w:r>
      <w:r>
        <w:rPr>
          <w:sz w:val="18"/>
        </w:rPr>
        <w:t>63,</w:t>
      </w:r>
      <w:r>
        <w:rPr>
          <w:spacing w:val="-2"/>
          <w:sz w:val="18"/>
        </w:rPr>
        <w:t xml:space="preserve"> </w:t>
      </w:r>
      <w:r>
        <w:rPr>
          <w:sz w:val="18"/>
        </w:rPr>
        <w:t>para.</w:t>
      </w:r>
      <w:r>
        <w:rPr>
          <w:spacing w:val="-3"/>
          <w:sz w:val="18"/>
        </w:rPr>
        <w:t xml:space="preserve"> </w:t>
      </w:r>
      <w:r>
        <w:rPr>
          <w:spacing w:val="-4"/>
          <w:sz w:val="18"/>
        </w:rPr>
        <w:t>365.</w:t>
      </w:r>
    </w:p>
    <w:p w14:paraId="5B08D9A7" w14:textId="77777777" w:rsidR="00BD462C" w:rsidRDefault="00033D0F">
      <w:pPr>
        <w:spacing w:before="1"/>
        <w:ind w:left="135"/>
        <w:rPr>
          <w:sz w:val="18"/>
        </w:rPr>
      </w:pPr>
      <w:bookmarkStart w:id="1848" w:name="_bookmark1596"/>
      <w:bookmarkEnd w:id="1848"/>
      <w:r>
        <w:rPr>
          <w:position w:val="5"/>
          <w:sz w:val="12"/>
        </w:rPr>
        <w:t>1384</w:t>
      </w:r>
      <w:r>
        <w:rPr>
          <w:spacing w:val="15"/>
          <w:position w:val="5"/>
          <w:sz w:val="12"/>
        </w:rPr>
        <w:t xml:space="preserve"> </w:t>
      </w:r>
      <w:r>
        <w:rPr>
          <w:sz w:val="18"/>
        </w:rPr>
        <w:t>See</w:t>
      </w:r>
      <w:r>
        <w:rPr>
          <w:spacing w:val="-3"/>
          <w:sz w:val="18"/>
        </w:rPr>
        <w:t xml:space="preserve"> </w:t>
      </w:r>
      <w:r>
        <w:rPr>
          <w:sz w:val="18"/>
        </w:rPr>
        <w:t>above,</w:t>
      </w:r>
      <w:r>
        <w:rPr>
          <w:spacing w:val="-1"/>
          <w:sz w:val="18"/>
        </w:rPr>
        <w:t xml:space="preserve"> </w:t>
      </w:r>
      <w:r>
        <w:rPr>
          <w:sz w:val="18"/>
        </w:rPr>
        <w:t>section</w:t>
      </w:r>
      <w:r>
        <w:rPr>
          <w:spacing w:val="-5"/>
          <w:sz w:val="18"/>
        </w:rPr>
        <w:t xml:space="preserve"> </w:t>
      </w:r>
      <w:hyperlink w:anchor="_bookmark1525" w:history="1">
        <w:r>
          <w:rPr>
            <w:spacing w:val="-2"/>
            <w:sz w:val="18"/>
          </w:rPr>
          <w:t>VII.G.</w:t>
        </w:r>
      </w:hyperlink>
    </w:p>
    <w:p w14:paraId="7D92CDB5" w14:textId="77777777" w:rsidR="00BD462C" w:rsidRDefault="00033D0F">
      <w:pPr>
        <w:spacing w:before="1"/>
        <w:ind w:left="135"/>
        <w:rPr>
          <w:sz w:val="18"/>
        </w:rPr>
      </w:pPr>
      <w:bookmarkStart w:id="1849" w:name="_bookmark1597"/>
      <w:bookmarkEnd w:id="1849"/>
      <w:r>
        <w:rPr>
          <w:position w:val="5"/>
          <w:sz w:val="12"/>
        </w:rPr>
        <w:t>1385</w:t>
      </w:r>
      <w:r>
        <w:rPr>
          <w:spacing w:val="13"/>
          <w:position w:val="5"/>
          <w:sz w:val="12"/>
        </w:rPr>
        <w:t xml:space="preserve"> </w:t>
      </w:r>
      <w:r>
        <w:rPr>
          <w:sz w:val="18"/>
        </w:rPr>
        <w:t>Swan</w:t>
      </w:r>
      <w:r>
        <w:rPr>
          <w:spacing w:val="-5"/>
          <w:sz w:val="18"/>
        </w:rPr>
        <w:t xml:space="preserve"> </w:t>
      </w:r>
      <w:r>
        <w:rPr>
          <w:sz w:val="18"/>
        </w:rPr>
        <w:t>Vintage</w:t>
      </w:r>
      <w:r>
        <w:rPr>
          <w:spacing w:val="-2"/>
          <w:sz w:val="18"/>
        </w:rPr>
        <w:t xml:space="preserve"> </w:t>
      </w:r>
      <w:r>
        <w:rPr>
          <w:sz w:val="18"/>
        </w:rPr>
        <w:t>Comments</w:t>
      </w:r>
      <w:r>
        <w:rPr>
          <w:spacing w:val="-4"/>
          <w:sz w:val="18"/>
        </w:rPr>
        <w:t xml:space="preserve"> </w:t>
      </w:r>
      <w:r>
        <w:rPr>
          <w:sz w:val="18"/>
        </w:rPr>
        <w:t>on</w:t>
      </w:r>
      <w:r>
        <w:rPr>
          <w:spacing w:val="-6"/>
          <w:sz w:val="18"/>
        </w:rPr>
        <w:t xml:space="preserve"> </w:t>
      </w:r>
      <w:r>
        <w:rPr>
          <w:sz w:val="18"/>
        </w:rPr>
        <w:t>the</w:t>
      </w:r>
      <w:r>
        <w:rPr>
          <w:spacing w:val="-1"/>
          <w:sz w:val="18"/>
        </w:rPr>
        <w:t xml:space="preserve"> </w:t>
      </w:r>
      <w:r>
        <w:rPr>
          <w:sz w:val="18"/>
        </w:rPr>
        <w:t>Final</w:t>
      </w:r>
      <w:r>
        <w:rPr>
          <w:spacing w:val="-4"/>
          <w:sz w:val="18"/>
        </w:rPr>
        <w:t xml:space="preserve"> </w:t>
      </w:r>
      <w:r>
        <w:rPr>
          <w:sz w:val="18"/>
        </w:rPr>
        <w:t>Disclosure,</w:t>
      </w:r>
      <w:r>
        <w:rPr>
          <w:spacing w:val="-3"/>
          <w:sz w:val="18"/>
        </w:rPr>
        <w:t xml:space="preserve"> </w:t>
      </w:r>
      <w:r>
        <w:rPr>
          <w:sz w:val="18"/>
        </w:rPr>
        <w:t>(Exhibit</w:t>
      </w:r>
      <w:r>
        <w:rPr>
          <w:spacing w:val="-4"/>
          <w:sz w:val="18"/>
        </w:rPr>
        <w:t xml:space="preserve"> </w:t>
      </w:r>
      <w:r>
        <w:rPr>
          <w:sz w:val="18"/>
        </w:rPr>
        <w:t>AUS-39),</w:t>
      </w:r>
      <w:r>
        <w:rPr>
          <w:spacing w:val="-3"/>
          <w:sz w:val="18"/>
        </w:rPr>
        <w:t xml:space="preserve"> </w:t>
      </w:r>
      <w:r>
        <w:rPr>
          <w:sz w:val="18"/>
        </w:rPr>
        <w:t>p.</w:t>
      </w:r>
      <w:r>
        <w:rPr>
          <w:spacing w:val="-4"/>
          <w:sz w:val="18"/>
        </w:rPr>
        <w:t xml:space="preserve"> </w:t>
      </w:r>
      <w:r>
        <w:rPr>
          <w:spacing w:val="-5"/>
          <w:sz w:val="18"/>
        </w:rPr>
        <w:t>1.</w:t>
      </w:r>
    </w:p>
    <w:p w14:paraId="03EA8421" w14:textId="77777777" w:rsidR="00BD462C" w:rsidRDefault="00033D0F">
      <w:pPr>
        <w:spacing w:before="1"/>
        <w:ind w:left="135"/>
        <w:rPr>
          <w:sz w:val="18"/>
        </w:rPr>
      </w:pPr>
      <w:bookmarkStart w:id="1850" w:name="_bookmark1598"/>
      <w:bookmarkEnd w:id="1850"/>
      <w:r>
        <w:rPr>
          <w:position w:val="5"/>
          <w:sz w:val="12"/>
        </w:rPr>
        <w:t>1386</w:t>
      </w:r>
      <w:r>
        <w:rPr>
          <w:spacing w:val="15"/>
          <w:position w:val="5"/>
          <w:sz w:val="12"/>
        </w:rPr>
        <w:t xml:space="preserve"> </w:t>
      </w:r>
      <w:r>
        <w:rPr>
          <w:sz w:val="18"/>
        </w:rPr>
        <w:t>China's</w:t>
      </w:r>
      <w:r>
        <w:rPr>
          <w:spacing w:val="1"/>
          <w:sz w:val="18"/>
        </w:rPr>
        <w:t xml:space="preserve"> </w:t>
      </w:r>
      <w:r>
        <w:rPr>
          <w:sz w:val="18"/>
        </w:rPr>
        <w:t>response</w:t>
      </w:r>
      <w:r>
        <w:rPr>
          <w:spacing w:val="-4"/>
          <w:sz w:val="18"/>
        </w:rPr>
        <w:t xml:space="preserve"> </w:t>
      </w:r>
      <w:r>
        <w:rPr>
          <w:sz w:val="18"/>
        </w:rPr>
        <w:t>to</w:t>
      </w:r>
      <w:r>
        <w:rPr>
          <w:spacing w:val="-9"/>
          <w:sz w:val="18"/>
        </w:rPr>
        <w:t xml:space="preserve"> </w:t>
      </w:r>
      <w:r>
        <w:rPr>
          <w:sz w:val="18"/>
        </w:rPr>
        <w:t>Panel</w:t>
      </w:r>
      <w:r>
        <w:rPr>
          <w:spacing w:val="-3"/>
          <w:sz w:val="18"/>
        </w:rPr>
        <w:t xml:space="preserve"> </w:t>
      </w:r>
      <w:r>
        <w:rPr>
          <w:sz w:val="18"/>
        </w:rPr>
        <w:t>question</w:t>
      </w:r>
      <w:r>
        <w:rPr>
          <w:spacing w:val="-5"/>
          <w:sz w:val="18"/>
        </w:rPr>
        <w:t xml:space="preserve"> </w:t>
      </w:r>
      <w:r>
        <w:rPr>
          <w:sz w:val="18"/>
        </w:rPr>
        <w:t>No.</w:t>
      </w:r>
      <w:r>
        <w:rPr>
          <w:spacing w:val="3"/>
          <w:sz w:val="18"/>
        </w:rPr>
        <w:t xml:space="preserve"> </w:t>
      </w:r>
      <w:r>
        <w:rPr>
          <w:sz w:val="18"/>
        </w:rPr>
        <w:t>78,</w:t>
      </w:r>
      <w:r>
        <w:rPr>
          <w:spacing w:val="-1"/>
          <w:sz w:val="18"/>
        </w:rPr>
        <w:t xml:space="preserve"> </w:t>
      </w:r>
      <w:r>
        <w:rPr>
          <w:sz w:val="18"/>
        </w:rPr>
        <w:t>para.</w:t>
      </w:r>
      <w:r>
        <w:rPr>
          <w:spacing w:val="-3"/>
          <w:sz w:val="18"/>
        </w:rPr>
        <w:t xml:space="preserve"> </w:t>
      </w:r>
      <w:r>
        <w:rPr>
          <w:spacing w:val="-4"/>
          <w:sz w:val="18"/>
        </w:rPr>
        <w:t>404.</w:t>
      </w:r>
    </w:p>
    <w:p w14:paraId="56DBA4B4" w14:textId="77777777" w:rsidR="00BD462C" w:rsidRDefault="00033D0F">
      <w:pPr>
        <w:spacing w:before="1"/>
        <w:ind w:left="135"/>
        <w:rPr>
          <w:sz w:val="18"/>
        </w:rPr>
      </w:pPr>
      <w:bookmarkStart w:id="1851" w:name="_bookmark1599"/>
      <w:bookmarkEnd w:id="1851"/>
      <w:r>
        <w:rPr>
          <w:position w:val="5"/>
          <w:sz w:val="12"/>
        </w:rPr>
        <w:t>1387</w:t>
      </w:r>
      <w:r>
        <w:rPr>
          <w:spacing w:val="14"/>
          <w:position w:val="5"/>
          <w:sz w:val="12"/>
        </w:rPr>
        <w:t xml:space="preserve"> </w:t>
      </w:r>
      <w:r>
        <w:rPr>
          <w:sz w:val="18"/>
        </w:rPr>
        <w:t>For</w:t>
      </w:r>
      <w:r>
        <w:rPr>
          <w:spacing w:val="-1"/>
          <w:sz w:val="18"/>
        </w:rPr>
        <w:t xml:space="preserve"> </w:t>
      </w:r>
      <w:r>
        <w:rPr>
          <w:sz w:val="18"/>
        </w:rPr>
        <w:t>clarity,</w:t>
      </w:r>
      <w:r>
        <w:rPr>
          <w:spacing w:val="-2"/>
          <w:sz w:val="18"/>
        </w:rPr>
        <w:t xml:space="preserve"> </w:t>
      </w:r>
      <w:r>
        <w:rPr>
          <w:sz w:val="18"/>
        </w:rPr>
        <w:t>Australia</w:t>
      </w:r>
      <w:r>
        <w:rPr>
          <w:spacing w:val="-5"/>
          <w:sz w:val="18"/>
        </w:rPr>
        <w:t xml:space="preserve"> </w:t>
      </w:r>
      <w:r>
        <w:rPr>
          <w:sz w:val="18"/>
        </w:rPr>
        <w:t>does</w:t>
      </w:r>
      <w:r>
        <w:rPr>
          <w:spacing w:val="-4"/>
          <w:sz w:val="18"/>
        </w:rPr>
        <w:t xml:space="preserve"> </w:t>
      </w:r>
      <w:r>
        <w:rPr>
          <w:sz w:val="18"/>
        </w:rPr>
        <w:t>not</w:t>
      </w:r>
      <w:r>
        <w:rPr>
          <w:spacing w:val="1"/>
          <w:sz w:val="18"/>
        </w:rPr>
        <w:t xml:space="preserve"> </w:t>
      </w:r>
      <w:r>
        <w:rPr>
          <w:sz w:val="18"/>
        </w:rPr>
        <w:t>accept</w:t>
      </w:r>
      <w:r>
        <w:rPr>
          <w:spacing w:val="-3"/>
          <w:sz w:val="18"/>
        </w:rPr>
        <w:t xml:space="preserve"> </w:t>
      </w:r>
      <w:r>
        <w:rPr>
          <w:sz w:val="18"/>
        </w:rPr>
        <w:t>this argument</w:t>
      </w:r>
      <w:r>
        <w:rPr>
          <w:spacing w:val="-3"/>
          <w:sz w:val="18"/>
        </w:rPr>
        <w:t xml:space="preserve"> </w:t>
      </w:r>
      <w:r>
        <w:rPr>
          <w:sz w:val="18"/>
        </w:rPr>
        <w:t>made</w:t>
      </w:r>
      <w:r>
        <w:rPr>
          <w:spacing w:val="-4"/>
          <w:sz w:val="18"/>
        </w:rPr>
        <w:t xml:space="preserve"> </w:t>
      </w:r>
      <w:r>
        <w:rPr>
          <w:sz w:val="18"/>
        </w:rPr>
        <w:t>by</w:t>
      </w:r>
      <w:r>
        <w:rPr>
          <w:spacing w:val="-6"/>
          <w:sz w:val="18"/>
        </w:rPr>
        <w:t xml:space="preserve"> </w:t>
      </w:r>
      <w:r>
        <w:rPr>
          <w:spacing w:val="-2"/>
          <w:sz w:val="18"/>
        </w:rPr>
        <w:t>China.</w:t>
      </w:r>
    </w:p>
    <w:p w14:paraId="434A6881" w14:textId="77777777" w:rsidR="00BD462C" w:rsidRDefault="00BD462C">
      <w:pPr>
        <w:rPr>
          <w:sz w:val="18"/>
        </w:rPr>
        <w:sectPr w:rsidR="00BD462C">
          <w:pgSz w:w="11910" w:h="16840"/>
          <w:pgMar w:top="860" w:right="500" w:bottom="780" w:left="1280" w:header="566" w:footer="590" w:gutter="0"/>
          <w:cols w:space="720"/>
        </w:sectPr>
      </w:pPr>
    </w:p>
    <w:p w14:paraId="1897F1E9"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18283158"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58F9AB33"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7D29A023" w14:textId="77777777" w:rsidR="00BD462C" w:rsidRDefault="00033D0F">
      <w:pPr>
        <w:pStyle w:val="ListParagraph"/>
        <w:numPr>
          <w:ilvl w:val="1"/>
          <w:numId w:val="15"/>
        </w:numPr>
        <w:tabs>
          <w:tab w:val="left" w:pos="3539"/>
          <w:tab w:val="left" w:pos="3540"/>
        </w:tabs>
        <w:spacing w:before="102"/>
        <w:ind w:hanging="851"/>
        <w:rPr>
          <w:sz w:val="24"/>
        </w:rPr>
      </w:pPr>
      <w:r>
        <w:rPr>
          <w:sz w:val="24"/>
        </w:rPr>
        <w:t>Determination</w:t>
      </w:r>
      <w:r>
        <w:rPr>
          <w:spacing w:val="-6"/>
          <w:sz w:val="24"/>
        </w:rPr>
        <w:t xml:space="preserve"> </w:t>
      </w:r>
      <w:r>
        <w:rPr>
          <w:sz w:val="24"/>
        </w:rPr>
        <w:t>of</w:t>
      </w:r>
      <w:r>
        <w:rPr>
          <w:spacing w:val="-5"/>
          <w:sz w:val="24"/>
        </w:rPr>
        <w:t xml:space="preserve"> </w:t>
      </w:r>
      <w:r>
        <w:rPr>
          <w:sz w:val="24"/>
        </w:rPr>
        <w:t>injury</w:t>
      </w:r>
      <w:r>
        <w:rPr>
          <w:spacing w:val="-2"/>
          <w:sz w:val="24"/>
        </w:rPr>
        <w:t xml:space="preserve"> </w:t>
      </w:r>
      <w:r>
        <w:rPr>
          <w:sz w:val="24"/>
        </w:rPr>
        <w:t xml:space="preserve">and </w:t>
      </w:r>
      <w:r>
        <w:rPr>
          <w:spacing w:val="-2"/>
          <w:sz w:val="24"/>
        </w:rPr>
        <w:t>causation</w:t>
      </w:r>
    </w:p>
    <w:p w14:paraId="40F14C09" w14:textId="77777777" w:rsidR="00BD462C" w:rsidRDefault="00BD462C">
      <w:pPr>
        <w:pStyle w:val="BodyText"/>
        <w:spacing w:before="7"/>
        <w:rPr>
          <w:sz w:val="20"/>
        </w:rPr>
      </w:pPr>
    </w:p>
    <w:p w14:paraId="03FECFB6" w14:textId="3E4800A2" w:rsidR="00BD462C" w:rsidRDefault="00AA1FFD">
      <w:pPr>
        <w:pStyle w:val="BodyText"/>
        <w:spacing w:before="56" w:line="360" w:lineRule="auto"/>
        <w:ind w:left="136" w:right="911"/>
        <w:jc w:val="both"/>
      </w:pPr>
      <w:r>
        <w:rPr>
          <w:noProof/>
        </w:rPr>
        <w:t>954.</w:t>
      </w:r>
      <w:r w:rsidR="00033D0F">
        <w:rPr>
          <w:rFonts w:ascii="Times New Roman"/>
          <w:spacing w:val="80"/>
          <w:w w:val="150"/>
          <w:position w:val="1"/>
          <w:sz w:val="20"/>
        </w:rPr>
        <w:t xml:space="preserve"> </w:t>
      </w:r>
      <w:r w:rsidR="00033D0F">
        <w:rPr>
          <w:position w:val="1"/>
        </w:rPr>
        <w:t xml:space="preserve">Australia has established that MOFCOM did not provide all the non-confidential, </w:t>
      </w:r>
      <w:r w:rsidR="00033D0F">
        <w:t>essential facts that formed the basis of its determination of injury and causation pursuant to Article</w:t>
      </w:r>
      <w:r w:rsidR="00033D0F">
        <w:rPr>
          <w:spacing w:val="-14"/>
        </w:rPr>
        <w:t xml:space="preserve"> </w:t>
      </w:r>
      <w:r w:rsidR="00033D0F">
        <w:t>3.</w:t>
      </w:r>
      <w:hyperlink w:anchor="_bookmark1600" w:history="1">
        <w:r w:rsidR="00033D0F">
          <w:rPr>
            <w:vertAlign w:val="superscript"/>
          </w:rPr>
          <w:t>1388</w:t>
        </w:r>
      </w:hyperlink>
      <w:r w:rsidR="00033D0F">
        <w:rPr>
          <w:spacing w:val="-12"/>
        </w:rPr>
        <w:t xml:space="preserve"> </w:t>
      </w:r>
      <w:r w:rsidR="00033D0F">
        <w:t>In</w:t>
      </w:r>
      <w:r w:rsidR="00033D0F">
        <w:rPr>
          <w:spacing w:val="-14"/>
        </w:rPr>
        <w:t xml:space="preserve"> </w:t>
      </w:r>
      <w:r w:rsidR="00033D0F">
        <w:t>response,</w:t>
      </w:r>
      <w:r w:rsidR="00033D0F">
        <w:rPr>
          <w:spacing w:val="-10"/>
        </w:rPr>
        <w:t xml:space="preserve"> </w:t>
      </w:r>
      <w:r w:rsidR="00033D0F">
        <w:t>China</w:t>
      </w:r>
      <w:r w:rsidR="00033D0F">
        <w:rPr>
          <w:spacing w:val="-13"/>
        </w:rPr>
        <w:t xml:space="preserve"> </w:t>
      </w:r>
      <w:r w:rsidR="00033D0F">
        <w:t>has</w:t>
      </w:r>
      <w:r w:rsidR="00033D0F">
        <w:rPr>
          <w:spacing w:val="-11"/>
        </w:rPr>
        <w:t xml:space="preserve"> </w:t>
      </w:r>
      <w:r w:rsidR="00033D0F">
        <w:t>made</w:t>
      </w:r>
      <w:r w:rsidR="00033D0F">
        <w:rPr>
          <w:spacing w:val="-13"/>
        </w:rPr>
        <w:t xml:space="preserve"> </w:t>
      </w:r>
      <w:r w:rsidR="00033D0F">
        <w:t>a</w:t>
      </w:r>
      <w:r w:rsidR="00033D0F">
        <w:rPr>
          <w:spacing w:val="-13"/>
        </w:rPr>
        <w:t xml:space="preserve"> </w:t>
      </w:r>
      <w:r w:rsidR="00033D0F">
        <w:t>number</w:t>
      </w:r>
      <w:r w:rsidR="00033D0F">
        <w:rPr>
          <w:spacing w:val="-14"/>
        </w:rPr>
        <w:t xml:space="preserve"> </w:t>
      </w:r>
      <w:r w:rsidR="00033D0F">
        <w:t>of</w:t>
      </w:r>
      <w:r w:rsidR="00033D0F">
        <w:rPr>
          <w:spacing w:val="-9"/>
        </w:rPr>
        <w:t xml:space="preserve"> </w:t>
      </w:r>
      <w:r w:rsidR="00033D0F">
        <w:t>arguments,</w:t>
      </w:r>
      <w:r w:rsidR="00033D0F">
        <w:rPr>
          <w:spacing w:val="-11"/>
        </w:rPr>
        <w:t xml:space="preserve"> </w:t>
      </w:r>
      <w:r w:rsidR="00033D0F">
        <w:t>which</w:t>
      </w:r>
      <w:r w:rsidR="00033D0F">
        <w:rPr>
          <w:spacing w:val="-14"/>
        </w:rPr>
        <w:t xml:space="preserve"> </w:t>
      </w:r>
      <w:r w:rsidR="00033D0F">
        <w:t>Australia</w:t>
      </w:r>
      <w:r w:rsidR="00033D0F">
        <w:rPr>
          <w:spacing w:val="-12"/>
        </w:rPr>
        <w:t xml:space="preserve"> </w:t>
      </w:r>
      <w:r w:rsidR="00033D0F">
        <w:t>will</w:t>
      </w:r>
      <w:r w:rsidR="00033D0F">
        <w:rPr>
          <w:spacing w:val="-11"/>
        </w:rPr>
        <w:t xml:space="preserve"> </w:t>
      </w:r>
      <w:r w:rsidR="00033D0F">
        <w:t xml:space="preserve">address </w:t>
      </w:r>
      <w:r w:rsidR="00033D0F">
        <w:rPr>
          <w:spacing w:val="-2"/>
        </w:rPr>
        <w:t>below.</w:t>
      </w:r>
    </w:p>
    <w:p w14:paraId="617335CF" w14:textId="77777777" w:rsidR="00BD462C" w:rsidRDefault="00BD462C">
      <w:pPr>
        <w:pStyle w:val="BodyText"/>
        <w:spacing w:before="8"/>
        <w:rPr>
          <w:sz w:val="8"/>
        </w:rPr>
      </w:pPr>
    </w:p>
    <w:p w14:paraId="1BE424FC" w14:textId="10CE0A14" w:rsidR="00BD462C" w:rsidRDefault="00AA1FFD">
      <w:pPr>
        <w:pStyle w:val="BodyText"/>
        <w:spacing w:before="56" w:line="360" w:lineRule="auto"/>
        <w:ind w:left="135" w:right="909"/>
        <w:jc w:val="both"/>
      </w:pPr>
      <w:r>
        <w:rPr>
          <w:noProof/>
        </w:rPr>
        <w:t>955.</w:t>
      </w:r>
      <w:r w:rsidR="00033D0F">
        <w:rPr>
          <w:rFonts w:ascii="Times New Roman" w:hAnsi="Times New Roman"/>
          <w:spacing w:val="80"/>
          <w:position w:val="1"/>
          <w:sz w:val="20"/>
        </w:rPr>
        <w:t xml:space="preserve">  </w:t>
      </w:r>
      <w:r w:rsidR="00033D0F">
        <w:rPr>
          <w:position w:val="1"/>
        </w:rPr>
        <w:t>First, China</w:t>
      </w:r>
      <w:r w:rsidR="00033D0F">
        <w:rPr>
          <w:spacing w:val="-3"/>
          <w:position w:val="1"/>
        </w:rPr>
        <w:t xml:space="preserve"> </w:t>
      </w:r>
      <w:r w:rsidR="00033D0F">
        <w:rPr>
          <w:position w:val="1"/>
        </w:rPr>
        <w:t>has</w:t>
      </w:r>
      <w:r w:rsidR="00033D0F">
        <w:rPr>
          <w:spacing w:val="-1"/>
          <w:position w:val="1"/>
        </w:rPr>
        <w:t xml:space="preserve"> </w:t>
      </w:r>
      <w:r w:rsidR="00033D0F">
        <w:rPr>
          <w:position w:val="1"/>
        </w:rPr>
        <w:t>responded that Australia</w:t>
      </w:r>
      <w:r w:rsidR="00033D0F">
        <w:rPr>
          <w:spacing w:val="-3"/>
          <w:position w:val="1"/>
        </w:rPr>
        <w:t xml:space="preserve"> </w:t>
      </w:r>
      <w:r w:rsidR="00033D0F">
        <w:rPr>
          <w:position w:val="1"/>
        </w:rPr>
        <w:t>has</w:t>
      </w:r>
      <w:r w:rsidR="00033D0F">
        <w:rPr>
          <w:spacing w:val="-1"/>
          <w:position w:val="1"/>
        </w:rPr>
        <w:t xml:space="preserve"> </w:t>
      </w:r>
      <w:r w:rsidR="00033D0F">
        <w:rPr>
          <w:position w:val="1"/>
        </w:rPr>
        <w:t>improperly</w:t>
      </w:r>
      <w:r w:rsidR="00033D0F">
        <w:rPr>
          <w:spacing w:val="-1"/>
          <w:position w:val="1"/>
        </w:rPr>
        <w:t xml:space="preserve"> </w:t>
      </w:r>
      <w:r w:rsidR="00033D0F">
        <w:rPr>
          <w:position w:val="1"/>
        </w:rPr>
        <w:t>made arguments</w:t>
      </w:r>
      <w:r w:rsidR="00033D0F">
        <w:rPr>
          <w:spacing w:val="-1"/>
          <w:position w:val="1"/>
        </w:rPr>
        <w:t xml:space="preserve"> </w:t>
      </w:r>
      <w:r w:rsidR="00033D0F">
        <w:rPr>
          <w:position w:val="1"/>
        </w:rPr>
        <w:t>related</w:t>
      </w:r>
      <w:r w:rsidR="00033D0F">
        <w:rPr>
          <w:spacing w:val="-4"/>
          <w:position w:val="1"/>
        </w:rPr>
        <w:t xml:space="preserve"> </w:t>
      </w:r>
      <w:r w:rsidR="00033D0F">
        <w:rPr>
          <w:position w:val="1"/>
        </w:rPr>
        <w:t xml:space="preserve">to </w:t>
      </w:r>
      <w:r w:rsidR="00033D0F">
        <w:t>obligations under Article 3 in the context of its Article 6.9 claim.</w:t>
      </w:r>
      <w:hyperlink w:anchor="_bookmark1601" w:history="1">
        <w:r w:rsidR="00033D0F">
          <w:rPr>
            <w:vertAlign w:val="superscript"/>
          </w:rPr>
          <w:t>1389</w:t>
        </w:r>
      </w:hyperlink>
      <w:r w:rsidR="00033D0F">
        <w:t xml:space="preserve"> Australia disagrees. The Appellate Body in </w:t>
      </w:r>
      <w:r w:rsidR="00033D0F">
        <w:rPr>
          <w:i/>
        </w:rPr>
        <w:t xml:space="preserve">China – GOES </w:t>
      </w:r>
      <w:r w:rsidR="00033D0F">
        <w:t>explained the link between procedural obligations under Article 6.9 and substantive obligations under Articles 3.1, 3.2, 3.4, and 3.5 as follows:</w:t>
      </w:r>
    </w:p>
    <w:p w14:paraId="1A6BA8C6" w14:textId="77777777" w:rsidR="00BD462C" w:rsidRDefault="00033D0F">
      <w:pPr>
        <w:spacing w:before="158" w:line="276" w:lineRule="auto"/>
        <w:ind w:left="985" w:right="914"/>
        <w:jc w:val="both"/>
      </w:pPr>
      <w:r>
        <w:t>What</w:t>
      </w:r>
      <w:r>
        <w:rPr>
          <w:spacing w:val="-11"/>
        </w:rPr>
        <w:t xml:space="preserve"> </w:t>
      </w:r>
      <w:r>
        <w:t>constitutes</w:t>
      </w:r>
      <w:r>
        <w:rPr>
          <w:spacing w:val="-9"/>
        </w:rPr>
        <w:t xml:space="preserve"> </w:t>
      </w:r>
      <w:r>
        <w:t>an</w:t>
      </w:r>
      <w:r>
        <w:rPr>
          <w:spacing w:val="-10"/>
        </w:rPr>
        <w:t xml:space="preserve"> </w:t>
      </w:r>
      <w:r>
        <w:t>"essential</w:t>
      </w:r>
      <w:r>
        <w:rPr>
          <w:spacing w:val="-7"/>
        </w:rPr>
        <w:t xml:space="preserve"> </w:t>
      </w:r>
      <w:r>
        <w:t>fact"</w:t>
      </w:r>
      <w:r>
        <w:rPr>
          <w:spacing w:val="-11"/>
        </w:rPr>
        <w:t xml:space="preserve"> </w:t>
      </w:r>
      <w:r>
        <w:t>must</w:t>
      </w:r>
      <w:r>
        <w:rPr>
          <w:spacing w:val="-6"/>
        </w:rPr>
        <w:t xml:space="preserve"> </w:t>
      </w:r>
      <w:r>
        <w:t>therefore</w:t>
      </w:r>
      <w:r>
        <w:rPr>
          <w:spacing w:val="-8"/>
        </w:rPr>
        <w:t xml:space="preserve"> </w:t>
      </w:r>
      <w:r>
        <w:t>be</w:t>
      </w:r>
      <w:r>
        <w:rPr>
          <w:spacing w:val="-8"/>
        </w:rPr>
        <w:t xml:space="preserve"> </w:t>
      </w:r>
      <w:r>
        <w:t>understood</w:t>
      </w:r>
      <w:r>
        <w:rPr>
          <w:spacing w:val="-10"/>
        </w:rPr>
        <w:t xml:space="preserve"> </w:t>
      </w:r>
      <w:r>
        <w:t>in</w:t>
      </w:r>
      <w:r>
        <w:rPr>
          <w:spacing w:val="-10"/>
        </w:rPr>
        <w:t xml:space="preserve"> </w:t>
      </w:r>
      <w:r>
        <w:t>the</w:t>
      </w:r>
      <w:r>
        <w:rPr>
          <w:spacing w:val="-8"/>
        </w:rPr>
        <w:t xml:space="preserve"> </w:t>
      </w:r>
      <w:r>
        <w:t>light</w:t>
      </w:r>
      <w:r>
        <w:rPr>
          <w:spacing w:val="-11"/>
        </w:rPr>
        <w:t xml:space="preserve"> </w:t>
      </w:r>
      <w:r>
        <w:t>of</w:t>
      </w:r>
      <w:r>
        <w:rPr>
          <w:spacing w:val="-9"/>
        </w:rPr>
        <w:t xml:space="preserve"> </w:t>
      </w:r>
      <w:r>
        <w:t>the</w:t>
      </w:r>
      <w:r>
        <w:rPr>
          <w:spacing w:val="-8"/>
        </w:rPr>
        <w:t xml:space="preserve"> </w:t>
      </w:r>
      <w:r>
        <w:t>content of the findings needed to satisfy the substantive obligations with respect to the application of</w:t>
      </w:r>
      <w:r>
        <w:rPr>
          <w:spacing w:val="-3"/>
        </w:rPr>
        <w:t xml:space="preserve"> </w:t>
      </w:r>
      <w:r>
        <w:t>definitive</w:t>
      </w:r>
      <w:r>
        <w:rPr>
          <w:spacing w:val="-3"/>
        </w:rPr>
        <w:t xml:space="preserve"> </w:t>
      </w:r>
      <w:r>
        <w:t>measures</w:t>
      </w:r>
      <w:r>
        <w:rPr>
          <w:spacing w:val="-3"/>
        </w:rPr>
        <w:t xml:space="preserve"> </w:t>
      </w:r>
      <w:r>
        <w:t>under</w:t>
      </w:r>
      <w:r>
        <w:rPr>
          <w:spacing w:val="-3"/>
        </w:rPr>
        <w:t xml:space="preserve"> </w:t>
      </w:r>
      <w:r>
        <w:t>the</w:t>
      </w:r>
      <w:r>
        <w:rPr>
          <w:spacing w:val="-3"/>
        </w:rPr>
        <w:t xml:space="preserve"> </w:t>
      </w:r>
      <w:r>
        <w:t>Anti-Dumping</w:t>
      </w:r>
      <w:r>
        <w:rPr>
          <w:spacing w:val="-2"/>
        </w:rPr>
        <w:t xml:space="preserve"> </w:t>
      </w:r>
      <w:r>
        <w:t>Agreement</w:t>
      </w:r>
      <w:r>
        <w:rPr>
          <w:spacing w:val="-5"/>
        </w:rPr>
        <w:t xml:space="preserve"> </w:t>
      </w:r>
      <w:r>
        <w:t>and</w:t>
      </w:r>
      <w:r>
        <w:rPr>
          <w:spacing w:val="-4"/>
        </w:rPr>
        <w:t xml:space="preserve"> </w:t>
      </w:r>
      <w:r>
        <w:t>the</w:t>
      </w:r>
      <w:r>
        <w:rPr>
          <w:spacing w:val="-3"/>
        </w:rPr>
        <w:t xml:space="preserve"> </w:t>
      </w:r>
      <w:r>
        <w:t>SCM</w:t>
      </w:r>
      <w:r>
        <w:rPr>
          <w:spacing w:val="-5"/>
        </w:rPr>
        <w:t xml:space="preserve"> </w:t>
      </w:r>
      <w:r>
        <w:t>Agreement,</w:t>
      </w:r>
      <w:r>
        <w:rPr>
          <w:spacing w:val="-1"/>
        </w:rPr>
        <w:t xml:space="preserve"> </w:t>
      </w:r>
      <w:r>
        <w:t>as</w:t>
      </w:r>
      <w:r>
        <w:rPr>
          <w:spacing w:val="-3"/>
        </w:rPr>
        <w:t xml:space="preserve"> </w:t>
      </w:r>
      <w:r>
        <w:t>well as the factual circumstances of each case. These findings each rest</w:t>
      </w:r>
      <w:r>
        <w:rPr>
          <w:spacing w:val="-1"/>
        </w:rPr>
        <w:t xml:space="preserve"> </w:t>
      </w:r>
      <w:r>
        <w:t>on an analysis of various elements</w:t>
      </w:r>
      <w:r>
        <w:rPr>
          <w:spacing w:val="-8"/>
        </w:rPr>
        <w:t xml:space="preserve"> </w:t>
      </w:r>
      <w:r>
        <w:t>that</w:t>
      </w:r>
      <w:r>
        <w:rPr>
          <w:spacing w:val="-10"/>
        </w:rPr>
        <w:t xml:space="preserve"> </w:t>
      </w:r>
      <w:r>
        <w:t>an</w:t>
      </w:r>
      <w:r>
        <w:rPr>
          <w:spacing w:val="-9"/>
        </w:rPr>
        <w:t xml:space="preserve"> </w:t>
      </w:r>
      <w:r>
        <w:t>authority</w:t>
      </w:r>
      <w:r>
        <w:rPr>
          <w:spacing w:val="-7"/>
        </w:rPr>
        <w:t xml:space="preserve"> </w:t>
      </w:r>
      <w:r>
        <w:t>is</w:t>
      </w:r>
      <w:r>
        <w:rPr>
          <w:spacing w:val="-8"/>
        </w:rPr>
        <w:t xml:space="preserve"> </w:t>
      </w:r>
      <w:r>
        <w:t>required</w:t>
      </w:r>
      <w:r>
        <w:rPr>
          <w:spacing w:val="-9"/>
        </w:rPr>
        <w:t xml:space="preserve"> </w:t>
      </w:r>
      <w:r>
        <w:t>to</w:t>
      </w:r>
      <w:r>
        <w:rPr>
          <w:spacing w:val="-9"/>
        </w:rPr>
        <w:t xml:space="preserve"> </w:t>
      </w:r>
      <w:r>
        <w:t>examine,</w:t>
      </w:r>
      <w:r>
        <w:rPr>
          <w:spacing w:val="-5"/>
        </w:rPr>
        <w:t xml:space="preserve"> </w:t>
      </w:r>
      <w:r>
        <w:t>which,</w:t>
      </w:r>
      <w:r>
        <w:rPr>
          <w:spacing w:val="-5"/>
        </w:rPr>
        <w:t xml:space="preserve"> </w:t>
      </w:r>
      <w:r>
        <w:t>in</w:t>
      </w:r>
      <w:r>
        <w:rPr>
          <w:spacing w:val="-9"/>
        </w:rPr>
        <w:t xml:space="preserve"> </w:t>
      </w:r>
      <w:r>
        <w:t>the</w:t>
      </w:r>
      <w:r>
        <w:rPr>
          <w:spacing w:val="-7"/>
        </w:rPr>
        <w:t xml:space="preserve"> </w:t>
      </w:r>
      <w:r>
        <w:t>context</w:t>
      </w:r>
      <w:r>
        <w:rPr>
          <w:spacing w:val="-5"/>
        </w:rPr>
        <w:t xml:space="preserve"> </w:t>
      </w:r>
      <w:r>
        <w:t>of</w:t>
      </w:r>
      <w:r>
        <w:rPr>
          <w:spacing w:val="-8"/>
        </w:rPr>
        <w:t xml:space="preserve"> </w:t>
      </w:r>
      <w:r>
        <w:t>an</w:t>
      </w:r>
      <w:r>
        <w:rPr>
          <w:spacing w:val="-9"/>
        </w:rPr>
        <w:t xml:space="preserve"> </w:t>
      </w:r>
      <w:r>
        <w:t>injury</w:t>
      </w:r>
      <w:r>
        <w:rPr>
          <w:spacing w:val="-7"/>
        </w:rPr>
        <w:t xml:space="preserve"> </w:t>
      </w:r>
      <w:r>
        <w:t>analysis, are set out in, inter alia, Articles 3.1, 3.2, 3.4, and 3.5 of the Anti-Dumping Agreement.</w:t>
      </w:r>
      <w:hyperlink w:anchor="_bookmark1602" w:history="1">
        <w:r>
          <w:rPr>
            <w:vertAlign w:val="superscript"/>
          </w:rPr>
          <w:t>1390</w:t>
        </w:r>
      </w:hyperlink>
    </w:p>
    <w:p w14:paraId="2F366383" w14:textId="77777777" w:rsidR="00BD462C" w:rsidRDefault="00BD462C">
      <w:pPr>
        <w:pStyle w:val="BodyText"/>
        <w:spacing w:before="5"/>
        <w:rPr>
          <w:sz w:val="15"/>
        </w:rPr>
      </w:pPr>
    </w:p>
    <w:p w14:paraId="5494592D" w14:textId="782E9635" w:rsidR="00BD462C" w:rsidRDefault="007B694A">
      <w:pPr>
        <w:pStyle w:val="BodyText"/>
        <w:spacing w:before="56" w:line="357" w:lineRule="auto"/>
        <w:ind w:left="135" w:right="913"/>
        <w:jc w:val="both"/>
      </w:pPr>
      <w:r>
        <w:rPr>
          <w:noProof/>
        </w:rPr>
        <w:t>956.</w:t>
      </w:r>
      <w:r w:rsidR="00033D0F">
        <w:rPr>
          <w:rFonts w:ascii="Times New Roman"/>
          <w:spacing w:val="80"/>
          <w:position w:val="1"/>
          <w:sz w:val="20"/>
        </w:rPr>
        <w:t xml:space="preserve">  </w:t>
      </w:r>
      <w:r w:rsidR="00033D0F">
        <w:rPr>
          <w:position w:val="1"/>
        </w:rPr>
        <w:t>Australia is therefore not, as China is alleging, confusing its arguments between</w:t>
      </w:r>
      <w:r w:rsidR="00033D0F">
        <w:rPr>
          <w:spacing w:val="40"/>
          <w:position w:val="1"/>
        </w:rPr>
        <w:t xml:space="preserve"> </w:t>
      </w:r>
      <w:r w:rsidR="00033D0F">
        <w:t>Article 6.9 and the provisions of Article 3. Rather, the Appellate Body has confirmed that Article</w:t>
      </w:r>
      <w:r w:rsidR="00033D0F">
        <w:rPr>
          <w:spacing w:val="80"/>
        </w:rPr>
        <w:t xml:space="preserve"> </w:t>
      </w:r>
      <w:r w:rsidR="00033D0F">
        <w:t>6.9</w:t>
      </w:r>
      <w:r w:rsidR="00033D0F">
        <w:rPr>
          <w:spacing w:val="80"/>
        </w:rPr>
        <w:t xml:space="preserve"> </w:t>
      </w:r>
      <w:r w:rsidR="00033D0F">
        <w:t>needs</w:t>
      </w:r>
      <w:r w:rsidR="00033D0F">
        <w:rPr>
          <w:spacing w:val="80"/>
        </w:rPr>
        <w:t xml:space="preserve"> </w:t>
      </w:r>
      <w:r w:rsidR="00033D0F">
        <w:t>to</w:t>
      </w:r>
      <w:r w:rsidR="00033D0F">
        <w:rPr>
          <w:spacing w:val="80"/>
        </w:rPr>
        <w:t xml:space="preserve"> </w:t>
      </w:r>
      <w:r w:rsidR="00033D0F">
        <w:t>be</w:t>
      </w:r>
      <w:r w:rsidR="00033D0F">
        <w:rPr>
          <w:spacing w:val="80"/>
        </w:rPr>
        <w:t xml:space="preserve"> </w:t>
      </w:r>
      <w:r w:rsidR="00033D0F">
        <w:t>read</w:t>
      </w:r>
      <w:r w:rsidR="00033D0F">
        <w:rPr>
          <w:spacing w:val="80"/>
        </w:rPr>
        <w:t xml:space="preserve"> </w:t>
      </w:r>
      <w:r w:rsidR="00033D0F">
        <w:t>in</w:t>
      </w:r>
      <w:r w:rsidR="00033D0F">
        <w:rPr>
          <w:spacing w:val="80"/>
        </w:rPr>
        <w:t xml:space="preserve"> </w:t>
      </w:r>
      <w:r w:rsidR="00033D0F">
        <w:t>the</w:t>
      </w:r>
      <w:r w:rsidR="00033D0F">
        <w:rPr>
          <w:spacing w:val="80"/>
        </w:rPr>
        <w:t xml:space="preserve"> </w:t>
      </w:r>
      <w:r w:rsidR="00033D0F">
        <w:t>light</w:t>
      </w:r>
      <w:r w:rsidR="00033D0F">
        <w:rPr>
          <w:spacing w:val="80"/>
        </w:rPr>
        <w:t xml:space="preserve"> </w:t>
      </w:r>
      <w:r w:rsidR="00033D0F">
        <w:t>of</w:t>
      </w:r>
      <w:r w:rsidR="00033D0F">
        <w:rPr>
          <w:spacing w:val="80"/>
        </w:rPr>
        <w:t xml:space="preserve"> </w:t>
      </w:r>
      <w:r w:rsidR="00033D0F">
        <w:t>the</w:t>
      </w:r>
      <w:r w:rsidR="00033D0F">
        <w:rPr>
          <w:spacing w:val="80"/>
        </w:rPr>
        <w:t xml:space="preserve"> </w:t>
      </w:r>
      <w:r w:rsidR="00033D0F">
        <w:t>other</w:t>
      </w:r>
      <w:r w:rsidR="00033D0F">
        <w:rPr>
          <w:spacing w:val="80"/>
        </w:rPr>
        <w:t xml:space="preserve"> </w:t>
      </w:r>
      <w:r w:rsidR="00033D0F">
        <w:t>obligations</w:t>
      </w:r>
      <w:r w:rsidR="00033D0F">
        <w:rPr>
          <w:spacing w:val="80"/>
        </w:rPr>
        <w:t xml:space="preserve"> </w:t>
      </w:r>
      <w:r w:rsidR="00033D0F">
        <w:t>set</w:t>
      </w:r>
      <w:r w:rsidR="00033D0F">
        <w:rPr>
          <w:spacing w:val="80"/>
        </w:rPr>
        <w:t xml:space="preserve"> </w:t>
      </w:r>
      <w:r w:rsidR="00033D0F">
        <w:t>out</w:t>
      </w:r>
      <w:r w:rsidR="00033D0F">
        <w:rPr>
          <w:spacing w:val="80"/>
        </w:rPr>
        <w:t xml:space="preserve"> </w:t>
      </w:r>
      <w:r w:rsidR="00033D0F">
        <w:t>in</w:t>
      </w:r>
      <w:r w:rsidR="00033D0F">
        <w:rPr>
          <w:spacing w:val="80"/>
        </w:rPr>
        <w:t xml:space="preserve"> </w:t>
      </w:r>
      <w:r w:rsidR="00033D0F">
        <w:t>the Anti-Dumping Agreement, including Article 3.</w:t>
      </w:r>
    </w:p>
    <w:p w14:paraId="5A2E0337" w14:textId="77777777" w:rsidR="00BD462C" w:rsidRDefault="00BD462C">
      <w:pPr>
        <w:pStyle w:val="BodyText"/>
        <w:spacing w:before="3"/>
        <w:rPr>
          <w:sz w:val="9"/>
        </w:rPr>
      </w:pPr>
    </w:p>
    <w:p w14:paraId="323E3617" w14:textId="632D8903" w:rsidR="00BD462C" w:rsidRDefault="007B694A" w:rsidP="007B694A">
      <w:pPr>
        <w:pStyle w:val="BodyText"/>
        <w:spacing w:before="52" w:line="360" w:lineRule="auto"/>
        <w:ind w:left="135" w:right="913"/>
        <w:jc w:val="both"/>
      </w:pPr>
      <w:r>
        <w:rPr>
          <w:noProof/>
        </w:rPr>
        <w:t xml:space="preserve">957. </w:t>
      </w:r>
      <w:r w:rsidR="00033D0F">
        <w:t>Second, turning to MOFCOM's failure to disclose its methodology regarding price suppression, China attempts to argue that the methodology was disclosed, but Australia misunderstands</w:t>
      </w:r>
      <w:r w:rsidR="00033D0F">
        <w:rPr>
          <w:spacing w:val="-1"/>
        </w:rPr>
        <w:t xml:space="preserve"> </w:t>
      </w:r>
      <w:r w:rsidR="00033D0F">
        <w:t>it.</w:t>
      </w:r>
      <w:hyperlink w:anchor="_bookmark1603" w:history="1">
        <w:r w:rsidR="00033D0F">
          <w:rPr>
            <w:vertAlign w:val="superscript"/>
          </w:rPr>
          <w:t>1391</w:t>
        </w:r>
      </w:hyperlink>
      <w:r w:rsidR="00033D0F">
        <w:rPr>
          <w:spacing w:val="-2"/>
        </w:rPr>
        <w:t xml:space="preserve"> </w:t>
      </w:r>
      <w:r w:rsidR="00033D0F">
        <w:t>This</w:t>
      </w:r>
      <w:r w:rsidR="00033D0F">
        <w:rPr>
          <w:spacing w:val="-1"/>
        </w:rPr>
        <w:t xml:space="preserve"> </w:t>
      </w:r>
      <w:r w:rsidR="00033D0F">
        <w:t>is</w:t>
      </w:r>
      <w:r w:rsidR="00033D0F">
        <w:rPr>
          <w:spacing w:val="-1"/>
        </w:rPr>
        <w:t xml:space="preserve"> </w:t>
      </w:r>
      <w:r w:rsidR="00033D0F">
        <w:t>not</w:t>
      </w:r>
      <w:r w:rsidR="00033D0F">
        <w:rPr>
          <w:spacing w:val="-2"/>
        </w:rPr>
        <w:t xml:space="preserve"> </w:t>
      </w:r>
      <w:r w:rsidR="00033D0F">
        <w:t>the</w:t>
      </w:r>
      <w:r w:rsidR="00033D0F">
        <w:rPr>
          <w:spacing w:val="-2"/>
        </w:rPr>
        <w:t xml:space="preserve"> </w:t>
      </w:r>
      <w:r w:rsidR="00033D0F">
        <w:t>case.</w:t>
      </w:r>
      <w:r w:rsidR="00033D0F">
        <w:rPr>
          <w:spacing w:val="-1"/>
        </w:rPr>
        <w:t xml:space="preserve"> </w:t>
      </w:r>
      <w:r w:rsidR="00033D0F">
        <w:t>The</w:t>
      </w:r>
      <w:r w:rsidR="00033D0F">
        <w:rPr>
          <w:spacing w:val="-2"/>
        </w:rPr>
        <w:t xml:space="preserve"> </w:t>
      </w:r>
      <w:r w:rsidR="00033D0F">
        <w:t>significant</w:t>
      </w:r>
      <w:r w:rsidR="00033D0F">
        <w:rPr>
          <w:spacing w:val="-2"/>
        </w:rPr>
        <w:t xml:space="preserve"> </w:t>
      </w:r>
      <w:r w:rsidR="00033D0F">
        <w:rPr>
          <w:i/>
        </w:rPr>
        <w:t>ex</w:t>
      </w:r>
      <w:r w:rsidR="00033D0F">
        <w:rPr>
          <w:i/>
          <w:spacing w:val="-1"/>
        </w:rPr>
        <w:t xml:space="preserve"> </w:t>
      </w:r>
      <w:r w:rsidR="00033D0F">
        <w:rPr>
          <w:i/>
        </w:rPr>
        <w:t>post</w:t>
      </w:r>
      <w:r w:rsidR="00033D0F">
        <w:rPr>
          <w:i/>
          <w:spacing w:val="-2"/>
        </w:rPr>
        <w:t xml:space="preserve"> </w:t>
      </w:r>
      <w:r w:rsidR="00033D0F">
        <w:rPr>
          <w:i/>
        </w:rPr>
        <w:t>facto</w:t>
      </w:r>
      <w:r w:rsidR="00033D0F">
        <w:rPr>
          <w:i/>
          <w:spacing w:val="-1"/>
        </w:rPr>
        <w:t xml:space="preserve"> </w:t>
      </w:r>
      <w:proofErr w:type="spellStart"/>
      <w:r w:rsidR="00033D0F">
        <w:t>rationalisations</w:t>
      </w:r>
      <w:proofErr w:type="spellEnd"/>
      <w:r w:rsidR="00033D0F">
        <w:rPr>
          <w:spacing w:val="-1"/>
        </w:rPr>
        <w:t xml:space="preserve"> </w:t>
      </w:r>
      <w:r w:rsidR="00033D0F">
        <w:t>which China now asserts,</w:t>
      </w:r>
      <w:hyperlink w:anchor="_bookmark1604" w:history="1">
        <w:r w:rsidR="00033D0F">
          <w:rPr>
            <w:vertAlign w:val="superscript"/>
          </w:rPr>
          <w:t>1392</w:t>
        </w:r>
      </w:hyperlink>
      <w:r w:rsidR="00033D0F">
        <w:t xml:space="preserve"> including details related to MOFCOM's consideration of price suppression, do not appear anywhere on the investigation record. As such, the Panel should</w:t>
      </w:r>
    </w:p>
    <w:p w14:paraId="17ADD36B" w14:textId="77777777" w:rsidR="00BD462C" w:rsidRDefault="00BD462C">
      <w:pPr>
        <w:pStyle w:val="BodyText"/>
        <w:rPr>
          <w:sz w:val="20"/>
        </w:rPr>
      </w:pPr>
    </w:p>
    <w:p w14:paraId="02947928" w14:textId="77777777" w:rsidR="00BD462C" w:rsidRDefault="00BD462C">
      <w:pPr>
        <w:pStyle w:val="BodyText"/>
        <w:rPr>
          <w:sz w:val="20"/>
        </w:rPr>
      </w:pPr>
    </w:p>
    <w:p w14:paraId="14F8995F" w14:textId="78081445" w:rsidR="00BD462C" w:rsidRDefault="00E14314">
      <w:pPr>
        <w:pStyle w:val="BodyText"/>
        <w:spacing w:before="9"/>
        <w:rPr>
          <w:sz w:val="19"/>
        </w:rPr>
      </w:pPr>
      <w:r>
        <w:rPr>
          <w:noProof/>
        </w:rPr>
        <mc:AlternateContent>
          <mc:Choice Requires="wps">
            <w:drawing>
              <wp:anchor distT="0" distB="0" distL="0" distR="0" simplePos="0" relativeHeight="488071680" behindDoc="1" locked="0" layoutInCell="1" allowOverlap="1" wp14:anchorId="68FE8E27" wp14:editId="08A06E60">
                <wp:simplePos x="0" y="0"/>
                <wp:positionH relativeFrom="page">
                  <wp:posOffset>812800</wp:posOffset>
                </wp:positionH>
                <wp:positionV relativeFrom="paragraph">
                  <wp:posOffset>155575</wp:posOffset>
                </wp:positionV>
                <wp:extent cx="1828800" cy="8890"/>
                <wp:effectExtent l="0" t="0" r="0" b="0"/>
                <wp:wrapTopAndBottom/>
                <wp:docPr id="49" name="docshape2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CB8226" id="docshape267" o:spid="_x0000_s1026" alt="&quot;&quot;" style="position:absolute;margin-left:64pt;margin-top:12.25pt;width:2in;height:.7pt;z-index:-15244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" fillcolor="black" stroked="f">
                <w10:wrap type="topAndBottom" anchorx="page"/>
              </v:rect>
            </w:pict>
          </mc:Fallback>
        </mc:AlternateContent>
      </w:r>
    </w:p>
    <w:p w14:paraId="2020A0F1" w14:textId="77777777" w:rsidR="00BD462C" w:rsidRDefault="00033D0F">
      <w:pPr>
        <w:spacing w:before="112" w:line="218" w:lineRule="exact"/>
        <w:ind w:left="135"/>
        <w:rPr>
          <w:sz w:val="18"/>
        </w:rPr>
      </w:pPr>
      <w:bookmarkStart w:id="1852" w:name="_bookmark1600"/>
      <w:bookmarkEnd w:id="1852"/>
      <w:r>
        <w:rPr>
          <w:position w:val="5"/>
          <w:sz w:val="12"/>
        </w:rPr>
        <w:t>1388</w:t>
      </w:r>
      <w:r>
        <w:rPr>
          <w:spacing w:val="12"/>
          <w:position w:val="5"/>
          <w:sz w:val="12"/>
        </w:rPr>
        <w:t xml:space="preserve"> </w:t>
      </w:r>
      <w:r>
        <w:rPr>
          <w:sz w:val="18"/>
        </w:rPr>
        <w:t>Australia's</w:t>
      </w:r>
      <w:r>
        <w:rPr>
          <w:spacing w:val="-7"/>
          <w:sz w:val="18"/>
        </w:rPr>
        <w:t xml:space="preserve"> </w:t>
      </w:r>
      <w:r>
        <w:rPr>
          <w:sz w:val="18"/>
        </w:rPr>
        <w:t>first</w:t>
      </w:r>
      <w:r>
        <w:rPr>
          <w:spacing w:val="-5"/>
          <w:sz w:val="18"/>
        </w:rPr>
        <w:t xml:space="preserve"> </w:t>
      </w:r>
      <w:r>
        <w:rPr>
          <w:sz w:val="18"/>
        </w:rPr>
        <w:t>written</w:t>
      </w:r>
      <w:r>
        <w:rPr>
          <w:spacing w:val="-3"/>
          <w:sz w:val="18"/>
        </w:rPr>
        <w:t xml:space="preserve"> </w:t>
      </w:r>
      <w:r>
        <w:rPr>
          <w:sz w:val="18"/>
        </w:rPr>
        <w:t>submission, paras.</w:t>
      </w:r>
      <w:r>
        <w:rPr>
          <w:spacing w:val="-5"/>
          <w:sz w:val="18"/>
        </w:rPr>
        <w:t xml:space="preserve"> </w:t>
      </w:r>
      <w:r>
        <w:rPr>
          <w:sz w:val="18"/>
        </w:rPr>
        <w:t>1052-</w:t>
      </w:r>
      <w:r>
        <w:rPr>
          <w:spacing w:val="-2"/>
          <w:sz w:val="18"/>
        </w:rPr>
        <w:t>1058.</w:t>
      </w:r>
    </w:p>
    <w:p w14:paraId="1ECAF659" w14:textId="77777777" w:rsidR="00BD462C" w:rsidRDefault="00033D0F">
      <w:pPr>
        <w:ind w:left="135" w:right="5770"/>
        <w:rPr>
          <w:sz w:val="18"/>
        </w:rPr>
      </w:pPr>
      <w:bookmarkStart w:id="1853" w:name="_bookmark1601"/>
      <w:bookmarkEnd w:id="1853"/>
      <w:r>
        <w:rPr>
          <w:position w:val="5"/>
          <w:sz w:val="12"/>
        </w:rPr>
        <w:t>1389</w:t>
      </w:r>
      <w:r>
        <w:rPr>
          <w:spacing w:val="40"/>
          <w:position w:val="5"/>
          <w:sz w:val="12"/>
        </w:rPr>
        <w:t xml:space="preserve"> </w:t>
      </w:r>
      <w:r>
        <w:rPr>
          <w:sz w:val="18"/>
        </w:rPr>
        <w:t xml:space="preserve">China's first written submission, paras. 2557-2558. </w:t>
      </w:r>
      <w:bookmarkStart w:id="1854" w:name="_bookmark1602"/>
      <w:bookmarkEnd w:id="1854"/>
      <w:r>
        <w:rPr>
          <w:position w:val="5"/>
          <w:sz w:val="12"/>
        </w:rPr>
        <w:t>1390</w:t>
      </w:r>
      <w:r>
        <w:rPr>
          <w:spacing w:val="14"/>
          <w:position w:val="5"/>
          <w:sz w:val="12"/>
        </w:rPr>
        <w:t xml:space="preserve"> </w:t>
      </w:r>
      <w:r>
        <w:rPr>
          <w:sz w:val="18"/>
        </w:rPr>
        <w:t>Appellate</w:t>
      </w:r>
      <w:r>
        <w:rPr>
          <w:spacing w:val="-10"/>
          <w:sz w:val="18"/>
        </w:rPr>
        <w:t xml:space="preserve"> </w:t>
      </w:r>
      <w:r>
        <w:rPr>
          <w:sz w:val="18"/>
        </w:rPr>
        <w:t>Body</w:t>
      </w:r>
      <w:r>
        <w:rPr>
          <w:spacing w:val="-7"/>
          <w:sz w:val="18"/>
        </w:rPr>
        <w:t xml:space="preserve"> </w:t>
      </w:r>
      <w:r>
        <w:rPr>
          <w:sz w:val="18"/>
        </w:rPr>
        <w:t>Report,</w:t>
      </w:r>
      <w:r>
        <w:rPr>
          <w:spacing w:val="-3"/>
          <w:sz w:val="18"/>
        </w:rPr>
        <w:t xml:space="preserve"> </w:t>
      </w:r>
      <w:r>
        <w:rPr>
          <w:i/>
          <w:sz w:val="18"/>
        </w:rPr>
        <w:t>China –</w:t>
      </w:r>
      <w:r>
        <w:rPr>
          <w:i/>
          <w:spacing w:val="-5"/>
          <w:sz w:val="18"/>
        </w:rPr>
        <w:t xml:space="preserve"> </w:t>
      </w:r>
      <w:r>
        <w:rPr>
          <w:i/>
          <w:sz w:val="18"/>
        </w:rPr>
        <w:t>GOES,</w:t>
      </w:r>
      <w:r>
        <w:rPr>
          <w:i/>
          <w:spacing w:val="-3"/>
          <w:sz w:val="18"/>
        </w:rPr>
        <w:t xml:space="preserve"> </w:t>
      </w:r>
      <w:r>
        <w:rPr>
          <w:sz w:val="18"/>
        </w:rPr>
        <w:t xml:space="preserve">para. 241-242. </w:t>
      </w:r>
      <w:bookmarkStart w:id="1855" w:name="_bookmark1603"/>
      <w:bookmarkEnd w:id="1855"/>
      <w:r>
        <w:rPr>
          <w:position w:val="5"/>
          <w:sz w:val="12"/>
        </w:rPr>
        <w:t>1391</w:t>
      </w:r>
      <w:r>
        <w:rPr>
          <w:spacing w:val="40"/>
          <w:position w:val="5"/>
          <w:sz w:val="12"/>
        </w:rPr>
        <w:t xml:space="preserve"> </w:t>
      </w:r>
      <w:r>
        <w:rPr>
          <w:sz w:val="18"/>
        </w:rPr>
        <w:t>China's first written submission, para. 2559.</w:t>
      </w:r>
    </w:p>
    <w:p w14:paraId="6B598208" w14:textId="77777777" w:rsidR="00BD462C" w:rsidRDefault="00033D0F">
      <w:pPr>
        <w:spacing w:before="1"/>
        <w:ind w:left="135" w:right="909"/>
        <w:jc w:val="both"/>
        <w:rPr>
          <w:sz w:val="18"/>
        </w:rPr>
      </w:pPr>
      <w:bookmarkStart w:id="1856" w:name="_bookmark1604"/>
      <w:bookmarkEnd w:id="1856"/>
      <w:r>
        <w:rPr>
          <w:position w:val="5"/>
          <w:sz w:val="12"/>
        </w:rPr>
        <w:t>1392</w:t>
      </w:r>
      <w:r>
        <w:rPr>
          <w:spacing w:val="40"/>
          <w:position w:val="5"/>
          <w:sz w:val="12"/>
        </w:rPr>
        <w:t xml:space="preserve"> </w:t>
      </w:r>
      <w:r>
        <w:rPr>
          <w:sz w:val="18"/>
        </w:rPr>
        <w:t>For example, Australia notes China's explanation that: "… China purely used the customs import statistics for the applicable</w:t>
      </w:r>
      <w:r>
        <w:rPr>
          <w:spacing w:val="-2"/>
          <w:sz w:val="18"/>
        </w:rPr>
        <w:t xml:space="preserve"> </w:t>
      </w:r>
      <w:r>
        <w:rPr>
          <w:sz w:val="18"/>
        </w:rPr>
        <w:t>tariff</w:t>
      </w:r>
      <w:r>
        <w:rPr>
          <w:spacing w:val="-1"/>
          <w:sz w:val="18"/>
        </w:rPr>
        <w:t xml:space="preserve"> </w:t>
      </w:r>
      <w:r>
        <w:rPr>
          <w:sz w:val="18"/>
        </w:rPr>
        <w:t>code.</w:t>
      </w:r>
      <w:r>
        <w:rPr>
          <w:spacing w:val="-6"/>
          <w:sz w:val="18"/>
        </w:rPr>
        <w:t xml:space="preserve"> </w:t>
      </w:r>
      <w:r>
        <w:rPr>
          <w:sz w:val="18"/>
        </w:rPr>
        <w:t>To</w:t>
      </w:r>
      <w:r>
        <w:rPr>
          <w:spacing w:val="-8"/>
          <w:sz w:val="18"/>
        </w:rPr>
        <w:t xml:space="preserve"> </w:t>
      </w:r>
      <w:r>
        <w:rPr>
          <w:sz w:val="18"/>
        </w:rPr>
        <w:t>the</w:t>
      </w:r>
      <w:r>
        <w:rPr>
          <w:spacing w:val="-7"/>
          <w:sz w:val="18"/>
        </w:rPr>
        <w:t xml:space="preserve"> </w:t>
      </w:r>
      <w:r>
        <w:rPr>
          <w:sz w:val="18"/>
        </w:rPr>
        <w:t>extent</w:t>
      </w:r>
      <w:r>
        <w:rPr>
          <w:spacing w:val="-6"/>
          <w:sz w:val="18"/>
        </w:rPr>
        <w:t xml:space="preserve"> </w:t>
      </w:r>
      <w:r>
        <w:rPr>
          <w:sz w:val="18"/>
        </w:rPr>
        <w:t>there</w:t>
      </w:r>
      <w:r>
        <w:rPr>
          <w:spacing w:val="-2"/>
          <w:sz w:val="18"/>
        </w:rPr>
        <w:t xml:space="preserve"> </w:t>
      </w:r>
      <w:r>
        <w:rPr>
          <w:sz w:val="18"/>
        </w:rPr>
        <w:t>was</w:t>
      </w:r>
      <w:r>
        <w:rPr>
          <w:spacing w:val="-2"/>
          <w:sz w:val="18"/>
        </w:rPr>
        <w:t xml:space="preserve"> </w:t>
      </w:r>
      <w:r>
        <w:rPr>
          <w:sz w:val="18"/>
        </w:rPr>
        <w:t>a</w:t>
      </w:r>
      <w:r>
        <w:rPr>
          <w:spacing w:val="-9"/>
          <w:sz w:val="18"/>
        </w:rPr>
        <w:t xml:space="preserve"> </w:t>
      </w:r>
      <w:r>
        <w:rPr>
          <w:sz w:val="18"/>
        </w:rPr>
        <w:t>methodology</w:t>
      </w:r>
      <w:r>
        <w:rPr>
          <w:spacing w:val="-9"/>
          <w:sz w:val="18"/>
        </w:rPr>
        <w:t xml:space="preserve"> </w:t>
      </w:r>
      <w:r>
        <w:rPr>
          <w:sz w:val="18"/>
        </w:rPr>
        <w:t>involved,</w:t>
      </w:r>
      <w:r>
        <w:rPr>
          <w:spacing w:val="-5"/>
          <w:sz w:val="18"/>
        </w:rPr>
        <w:t xml:space="preserve"> </w:t>
      </w:r>
      <w:r>
        <w:rPr>
          <w:sz w:val="18"/>
        </w:rPr>
        <w:t>it</w:t>
      </w:r>
      <w:r>
        <w:rPr>
          <w:spacing w:val="-6"/>
          <w:sz w:val="18"/>
        </w:rPr>
        <w:t xml:space="preserve"> </w:t>
      </w:r>
      <w:r>
        <w:rPr>
          <w:sz w:val="18"/>
        </w:rPr>
        <w:t>entailed</w:t>
      </w:r>
      <w:r>
        <w:rPr>
          <w:spacing w:val="-6"/>
          <w:sz w:val="18"/>
        </w:rPr>
        <w:t xml:space="preserve"> </w:t>
      </w:r>
      <w:r>
        <w:rPr>
          <w:sz w:val="18"/>
          <w:u w:val="single"/>
        </w:rPr>
        <w:t>a</w:t>
      </w:r>
      <w:r>
        <w:rPr>
          <w:spacing w:val="-4"/>
          <w:sz w:val="18"/>
          <w:u w:val="single"/>
        </w:rPr>
        <w:t xml:space="preserve"> </w:t>
      </w:r>
      <w:r>
        <w:rPr>
          <w:sz w:val="18"/>
          <w:u w:val="single"/>
        </w:rPr>
        <w:t>simple</w:t>
      </w:r>
      <w:r>
        <w:rPr>
          <w:spacing w:val="-2"/>
          <w:sz w:val="18"/>
          <w:u w:val="single"/>
        </w:rPr>
        <w:t xml:space="preserve"> </w:t>
      </w:r>
      <w:r>
        <w:rPr>
          <w:sz w:val="18"/>
          <w:u w:val="single"/>
        </w:rPr>
        <w:t>data</w:t>
      </w:r>
      <w:r>
        <w:rPr>
          <w:spacing w:val="-9"/>
          <w:sz w:val="18"/>
          <w:u w:val="single"/>
        </w:rPr>
        <w:t xml:space="preserve"> </w:t>
      </w:r>
      <w:r>
        <w:rPr>
          <w:sz w:val="18"/>
          <w:u w:val="single"/>
        </w:rPr>
        <w:t>extraction</w:t>
      </w:r>
      <w:r>
        <w:rPr>
          <w:spacing w:val="-7"/>
          <w:sz w:val="18"/>
          <w:u w:val="single"/>
        </w:rPr>
        <w:t xml:space="preserve"> </w:t>
      </w:r>
      <w:r>
        <w:rPr>
          <w:sz w:val="18"/>
          <w:u w:val="single"/>
        </w:rPr>
        <w:t>of</w:t>
      </w:r>
      <w:r>
        <w:rPr>
          <w:spacing w:val="-6"/>
          <w:sz w:val="18"/>
          <w:u w:val="single"/>
        </w:rPr>
        <w:t xml:space="preserve"> </w:t>
      </w:r>
      <w:r>
        <w:rPr>
          <w:sz w:val="18"/>
          <w:u w:val="single"/>
        </w:rPr>
        <w:t>the</w:t>
      </w:r>
      <w:r>
        <w:rPr>
          <w:spacing w:val="-2"/>
          <w:sz w:val="18"/>
          <w:u w:val="single"/>
        </w:rPr>
        <w:t xml:space="preserve"> </w:t>
      </w:r>
      <w:r>
        <w:rPr>
          <w:sz w:val="18"/>
          <w:u w:val="single"/>
        </w:rPr>
        <w:t>total</w:t>
      </w:r>
      <w:r>
        <w:rPr>
          <w:spacing w:val="-2"/>
          <w:sz w:val="18"/>
          <w:u w:val="single"/>
        </w:rPr>
        <w:t xml:space="preserve"> </w:t>
      </w:r>
      <w:r>
        <w:rPr>
          <w:sz w:val="18"/>
          <w:u w:val="single"/>
        </w:rPr>
        <w:t>yearly</w:t>
      </w:r>
      <w:r>
        <w:rPr>
          <w:sz w:val="18"/>
        </w:rPr>
        <w:t xml:space="preserve"> </w:t>
      </w:r>
      <w:r>
        <w:rPr>
          <w:sz w:val="18"/>
          <w:u w:val="single"/>
        </w:rPr>
        <w:t>volume (</w:t>
      </w:r>
      <w:proofErr w:type="spellStart"/>
      <w:r>
        <w:rPr>
          <w:sz w:val="18"/>
          <w:u w:val="single"/>
        </w:rPr>
        <w:t>litre</w:t>
      </w:r>
      <w:proofErr w:type="spellEnd"/>
      <w:r>
        <w:rPr>
          <w:sz w:val="18"/>
          <w:u w:val="single"/>
        </w:rPr>
        <w:t>) and yearly value (in USD) of the dumped imports, classified in tariff code 22042100</w:t>
      </w:r>
      <w:r>
        <w:rPr>
          <w:sz w:val="18"/>
        </w:rPr>
        <w:t xml:space="preserve"> from the website of the General</w:t>
      </w:r>
      <w:r>
        <w:rPr>
          <w:spacing w:val="-11"/>
          <w:sz w:val="18"/>
        </w:rPr>
        <w:t xml:space="preserve"> </w:t>
      </w:r>
      <w:r>
        <w:rPr>
          <w:sz w:val="18"/>
        </w:rPr>
        <w:t>Administration</w:t>
      </w:r>
      <w:r>
        <w:rPr>
          <w:spacing w:val="-10"/>
          <w:sz w:val="18"/>
        </w:rPr>
        <w:t xml:space="preserve"> </w:t>
      </w:r>
      <w:r>
        <w:rPr>
          <w:sz w:val="18"/>
        </w:rPr>
        <w:t>of</w:t>
      </w:r>
      <w:r>
        <w:rPr>
          <w:spacing w:val="-6"/>
          <w:sz w:val="18"/>
        </w:rPr>
        <w:t xml:space="preserve"> </w:t>
      </w:r>
      <w:r>
        <w:rPr>
          <w:sz w:val="18"/>
        </w:rPr>
        <w:t>Customs</w:t>
      </w:r>
      <w:r>
        <w:rPr>
          <w:spacing w:val="-8"/>
          <w:sz w:val="18"/>
        </w:rPr>
        <w:t xml:space="preserve"> </w:t>
      </w:r>
      <w:r>
        <w:rPr>
          <w:sz w:val="18"/>
        </w:rPr>
        <w:t>of</w:t>
      </w:r>
      <w:r>
        <w:rPr>
          <w:spacing w:val="-7"/>
          <w:sz w:val="18"/>
        </w:rPr>
        <w:t xml:space="preserve"> </w:t>
      </w:r>
      <w:r>
        <w:rPr>
          <w:sz w:val="18"/>
        </w:rPr>
        <w:t>China,</w:t>
      </w:r>
      <w:r>
        <w:rPr>
          <w:spacing w:val="-11"/>
          <w:sz w:val="18"/>
        </w:rPr>
        <w:t xml:space="preserve"> </w:t>
      </w:r>
      <w:r>
        <w:rPr>
          <w:sz w:val="18"/>
        </w:rPr>
        <w:t>and</w:t>
      </w:r>
      <w:r>
        <w:rPr>
          <w:spacing w:val="-7"/>
          <w:sz w:val="18"/>
        </w:rPr>
        <w:t xml:space="preserve"> </w:t>
      </w:r>
      <w:r>
        <w:rPr>
          <w:sz w:val="18"/>
        </w:rPr>
        <w:t>dividing</w:t>
      </w:r>
      <w:r>
        <w:rPr>
          <w:spacing w:val="-8"/>
          <w:sz w:val="18"/>
        </w:rPr>
        <w:t xml:space="preserve"> </w:t>
      </w:r>
      <w:r>
        <w:rPr>
          <w:sz w:val="18"/>
        </w:rPr>
        <w:t>the</w:t>
      </w:r>
      <w:r>
        <w:rPr>
          <w:spacing w:val="-8"/>
          <w:sz w:val="18"/>
        </w:rPr>
        <w:t xml:space="preserve"> </w:t>
      </w:r>
      <w:r>
        <w:rPr>
          <w:sz w:val="18"/>
        </w:rPr>
        <w:t>total</w:t>
      </w:r>
      <w:r>
        <w:rPr>
          <w:spacing w:val="-7"/>
          <w:sz w:val="18"/>
        </w:rPr>
        <w:t xml:space="preserve"> </w:t>
      </w:r>
      <w:r>
        <w:rPr>
          <w:sz w:val="18"/>
        </w:rPr>
        <w:t>yearly</w:t>
      </w:r>
      <w:r>
        <w:rPr>
          <w:spacing w:val="-10"/>
          <w:sz w:val="18"/>
        </w:rPr>
        <w:t xml:space="preserve"> </w:t>
      </w:r>
      <w:r>
        <w:rPr>
          <w:sz w:val="18"/>
        </w:rPr>
        <w:t>value</w:t>
      </w:r>
      <w:r>
        <w:rPr>
          <w:spacing w:val="-8"/>
          <w:sz w:val="18"/>
        </w:rPr>
        <w:t xml:space="preserve"> </w:t>
      </w:r>
      <w:r>
        <w:rPr>
          <w:sz w:val="18"/>
        </w:rPr>
        <w:t>by</w:t>
      </w:r>
      <w:r>
        <w:rPr>
          <w:spacing w:val="-11"/>
          <w:sz w:val="18"/>
        </w:rPr>
        <w:t xml:space="preserve"> </w:t>
      </w:r>
      <w:r>
        <w:rPr>
          <w:sz w:val="18"/>
        </w:rPr>
        <w:t>the</w:t>
      </w:r>
      <w:r>
        <w:rPr>
          <w:spacing w:val="-10"/>
          <w:sz w:val="18"/>
        </w:rPr>
        <w:t xml:space="preserve"> </w:t>
      </w:r>
      <w:r>
        <w:rPr>
          <w:sz w:val="18"/>
        </w:rPr>
        <w:t>total</w:t>
      </w:r>
      <w:r>
        <w:rPr>
          <w:spacing w:val="-6"/>
          <w:sz w:val="18"/>
        </w:rPr>
        <w:t xml:space="preserve"> </w:t>
      </w:r>
      <w:r>
        <w:rPr>
          <w:sz w:val="18"/>
        </w:rPr>
        <w:t>yearly</w:t>
      </w:r>
      <w:r>
        <w:rPr>
          <w:spacing w:val="-10"/>
          <w:sz w:val="18"/>
        </w:rPr>
        <w:t xml:space="preserve"> </w:t>
      </w:r>
      <w:r>
        <w:rPr>
          <w:sz w:val="18"/>
        </w:rPr>
        <w:t>volume</w:t>
      </w:r>
      <w:r>
        <w:rPr>
          <w:spacing w:val="-8"/>
          <w:sz w:val="18"/>
        </w:rPr>
        <w:t xml:space="preserve"> </w:t>
      </w:r>
      <w:r>
        <w:rPr>
          <w:sz w:val="18"/>
        </w:rPr>
        <w:t>to</w:t>
      </w:r>
      <w:r>
        <w:rPr>
          <w:spacing w:val="-9"/>
          <w:sz w:val="18"/>
        </w:rPr>
        <w:t xml:space="preserve"> </w:t>
      </w:r>
      <w:r>
        <w:rPr>
          <w:sz w:val="18"/>
        </w:rPr>
        <w:t>get</w:t>
      </w:r>
      <w:r>
        <w:rPr>
          <w:spacing w:val="-7"/>
          <w:sz w:val="18"/>
        </w:rPr>
        <w:t xml:space="preserve"> </w:t>
      </w:r>
      <w:r>
        <w:rPr>
          <w:sz w:val="18"/>
        </w:rPr>
        <w:t>the</w:t>
      </w:r>
      <w:r>
        <w:rPr>
          <w:spacing w:val="-8"/>
          <w:sz w:val="18"/>
        </w:rPr>
        <w:t xml:space="preserve"> </w:t>
      </w:r>
      <w:r>
        <w:rPr>
          <w:sz w:val="18"/>
        </w:rPr>
        <w:t>weighted average</w:t>
      </w:r>
      <w:r>
        <w:rPr>
          <w:spacing w:val="-3"/>
          <w:sz w:val="18"/>
        </w:rPr>
        <w:t xml:space="preserve"> </w:t>
      </w:r>
      <w:r>
        <w:rPr>
          <w:sz w:val="18"/>
        </w:rPr>
        <w:t>unit</w:t>
      </w:r>
      <w:r>
        <w:rPr>
          <w:spacing w:val="-2"/>
          <w:sz w:val="18"/>
        </w:rPr>
        <w:t xml:space="preserve"> </w:t>
      </w:r>
      <w:r>
        <w:rPr>
          <w:sz w:val="18"/>
        </w:rPr>
        <w:t>price</w:t>
      </w:r>
      <w:r>
        <w:rPr>
          <w:spacing w:val="-3"/>
          <w:sz w:val="18"/>
        </w:rPr>
        <w:t xml:space="preserve"> </w:t>
      </w:r>
      <w:r>
        <w:rPr>
          <w:sz w:val="18"/>
        </w:rPr>
        <w:t>of</w:t>
      </w:r>
      <w:r>
        <w:rPr>
          <w:spacing w:val="-2"/>
          <w:sz w:val="18"/>
        </w:rPr>
        <w:t xml:space="preserve"> </w:t>
      </w:r>
      <w:r>
        <w:rPr>
          <w:sz w:val="18"/>
        </w:rPr>
        <w:t>the</w:t>
      </w:r>
      <w:r>
        <w:rPr>
          <w:spacing w:val="-3"/>
          <w:sz w:val="18"/>
        </w:rPr>
        <w:t xml:space="preserve"> </w:t>
      </w:r>
      <w:r>
        <w:rPr>
          <w:sz w:val="18"/>
        </w:rPr>
        <w:t>dumped</w:t>
      </w:r>
      <w:r>
        <w:rPr>
          <w:spacing w:val="-4"/>
          <w:sz w:val="18"/>
        </w:rPr>
        <w:t xml:space="preserve"> </w:t>
      </w:r>
      <w:r>
        <w:rPr>
          <w:sz w:val="18"/>
        </w:rPr>
        <w:t>imports per year</w:t>
      </w:r>
      <w:r>
        <w:rPr>
          <w:spacing w:val="-5"/>
          <w:sz w:val="18"/>
        </w:rPr>
        <w:t xml:space="preserve"> </w:t>
      </w:r>
      <w:r>
        <w:rPr>
          <w:sz w:val="18"/>
        </w:rPr>
        <w:t>of</w:t>
      </w:r>
      <w:r>
        <w:rPr>
          <w:spacing w:val="-2"/>
          <w:sz w:val="18"/>
        </w:rPr>
        <w:t xml:space="preserve"> </w:t>
      </w:r>
      <w:r>
        <w:rPr>
          <w:sz w:val="18"/>
        </w:rPr>
        <w:t>the</w:t>
      </w:r>
      <w:r>
        <w:rPr>
          <w:spacing w:val="-3"/>
          <w:sz w:val="18"/>
        </w:rPr>
        <w:t xml:space="preserve"> </w:t>
      </w:r>
      <w:r>
        <w:rPr>
          <w:sz w:val="18"/>
        </w:rPr>
        <w:t>injury</w:t>
      </w:r>
      <w:r>
        <w:rPr>
          <w:spacing w:val="-10"/>
          <w:sz w:val="18"/>
        </w:rPr>
        <w:t xml:space="preserve"> </w:t>
      </w:r>
      <w:r>
        <w:rPr>
          <w:sz w:val="18"/>
        </w:rPr>
        <w:t>POI".</w:t>
      </w:r>
      <w:r>
        <w:rPr>
          <w:spacing w:val="-2"/>
          <w:sz w:val="18"/>
        </w:rPr>
        <w:t xml:space="preserve"> </w:t>
      </w:r>
      <w:r>
        <w:rPr>
          <w:sz w:val="18"/>
        </w:rPr>
        <w:t>China's</w:t>
      </w:r>
      <w:r>
        <w:rPr>
          <w:spacing w:val="-3"/>
          <w:sz w:val="18"/>
        </w:rPr>
        <w:t xml:space="preserve"> </w:t>
      </w:r>
      <w:r>
        <w:rPr>
          <w:sz w:val="18"/>
        </w:rPr>
        <w:t>first</w:t>
      </w:r>
      <w:r>
        <w:rPr>
          <w:spacing w:val="-2"/>
          <w:sz w:val="18"/>
        </w:rPr>
        <w:t xml:space="preserve"> </w:t>
      </w:r>
      <w:r>
        <w:rPr>
          <w:sz w:val="18"/>
        </w:rPr>
        <w:t>written</w:t>
      </w:r>
      <w:r>
        <w:rPr>
          <w:spacing w:val="-4"/>
          <w:sz w:val="18"/>
        </w:rPr>
        <w:t xml:space="preserve"> </w:t>
      </w:r>
      <w:r>
        <w:rPr>
          <w:sz w:val="18"/>
        </w:rPr>
        <w:t>submission,</w:t>
      </w:r>
      <w:r>
        <w:rPr>
          <w:spacing w:val="-1"/>
          <w:sz w:val="18"/>
        </w:rPr>
        <w:t xml:space="preserve"> </w:t>
      </w:r>
      <w:r>
        <w:rPr>
          <w:sz w:val="18"/>
        </w:rPr>
        <w:t>para.</w:t>
      </w:r>
      <w:r>
        <w:rPr>
          <w:spacing w:val="-2"/>
          <w:sz w:val="18"/>
        </w:rPr>
        <w:t xml:space="preserve"> </w:t>
      </w:r>
      <w:r>
        <w:rPr>
          <w:sz w:val="18"/>
        </w:rPr>
        <w:t>1023.</w:t>
      </w:r>
      <w:r>
        <w:rPr>
          <w:spacing w:val="-2"/>
          <w:sz w:val="18"/>
        </w:rPr>
        <w:t xml:space="preserve"> </w:t>
      </w:r>
      <w:r>
        <w:rPr>
          <w:sz w:val="18"/>
        </w:rPr>
        <w:t xml:space="preserve">(emphasis </w:t>
      </w:r>
      <w:r>
        <w:rPr>
          <w:spacing w:val="-2"/>
          <w:sz w:val="18"/>
        </w:rPr>
        <w:t>added)</w:t>
      </w:r>
    </w:p>
    <w:p w14:paraId="63DE549B" w14:textId="77777777" w:rsidR="00BD462C" w:rsidRDefault="00BD462C">
      <w:pPr>
        <w:jc w:val="both"/>
        <w:rPr>
          <w:sz w:val="18"/>
        </w:rPr>
        <w:sectPr w:rsidR="00BD462C">
          <w:pgSz w:w="11910" w:h="16840"/>
          <w:pgMar w:top="860" w:right="500" w:bottom="780" w:left="1280" w:header="566" w:footer="590" w:gutter="0"/>
          <w:cols w:space="720"/>
        </w:sectPr>
      </w:pPr>
    </w:p>
    <w:p w14:paraId="6360A722"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0DF8A19D"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165CCAD8"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00DE8CE6" w14:textId="77777777" w:rsidR="00BD462C" w:rsidRDefault="00033D0F">
      <w:pPr>
        <w:pStyle w:val="BodyText"/>
        <w:spacing w:before="102" w:line="360" w:lineRule="auto"/>
        <w:ind w:left="135" w:right="916"/>
        <w:jc w:val="both"/>
      </w:pPr>
      <w:r>
        <w:t>disregard this information.</w:t>
      </w:r>
      <w:hyperlink w:anchor="_bookmark1605" w:history="1">
        <w:r>
          <w:rPr>
            <w:vertAlign w:val="superscript"/>
          </w:rPr>
          <w:t>1393</w:t>
        </w:r>
      </w:hyperlink>
      <w:r>
        <w:t xml:space="preserve"> However, if this was genuinely information concerning MOFCOM's analytical methodology, it should have been disclosed as essential facts under Article 6.9. The absence of this detail during the investigation deprived interested parties of their</w:t>
      </w:r>
      <w:r>
        <w:rPr>
          <w:spacing w:val="-6"/>
        </w:rPr>
        <w:t xml:space="preserve"> </w:t>
      </w:r>
      <w:r>
        <w:t>ability</w:t>
      </w:r>
      <w:r>
        <w:rPr>
          <w:spacing w:val="-2"/>
        </w:rPr>
        <w:t xml:space="preserve"> </w:t>
      </w:r>
      <w:r>
        <w:t>to</w:t>
      </w:r>
      <w:r>
        <w:rPr>
          <w:spacing w:val="-6"/>
        </w:rPr>
        <w:t xml:space="preserve"> </w:t>
      </w:r>
      <w:r>
        <w:t>comment</w:t>
      </w:r>
      <w:r>
        <w:rPr>
          <w:spacing w:val="-3"/>
        </w:rPr>
        <w:t xml:space="preserve"> </w:t>
      </w:r>
      <w:r>
        <w:t>on</w:t>
      </w:r>
      <w:r>
        <w:rPr>
          <w:spacing w:val="-5"/>
        </w:rPr>
        <w:t xml:space="preserve"> </w:t>
      </w:r>
      <w:r>
        <w:t>the</w:t>
      </w:r>
      <w:r>
        <w:rPr>
          <w:spacing w:val="-4"/>
        </w:rPr>
        <w:t xml:space="preserve"> </w:t>
      </w:r>
      <w:r>
        <w:t>completeness</w:t>
      </w:r>
      <w:r>
        <w:rPr>
          <w:spacing w:val="-2"/>
        </w:rPr>
        <w:t xml:space="preserve"> </w:t>
      </w:r>
      <w:r>
        <w:t>and</w:t>
      </w:r>
      <w:r>
        <w:rPr>
          <w:spacing w:val="-10"/>
        </w:rPr>
        <w:t xml:space="preserve"> </w:t>
      </w:r>
      <w:r>
        <w:t>correctness</w:t>
      </w:r>
      <w:r>
        <w:rPr>
          <w:spacing w:val="-2"/>
        </w:rPr>
        <w:t xml:space="preserve"> </w:t>
      </w:r>
      <w:r>
        <w:t>of</w:t>
      </w:r>
      <w:r>
        <w:rPr>
          <w:spacing w:val="-5"/>
        </w:rPr>
        <w:t xml:space="preserve"> </w:t>
      </w:r>
      <w:r>
        <w:t>the</w:t>
      </w:r>
      <w:r>
        <w:rPr>
          <w:spacing w:val="-4"/>
        </w:rPr>
        <w:t xml:space="preserve"> </w:t>
      </w:r>
      <w:r>
        <w:t>information</w:t>
      </w:r>
      <w:r>
        <w:rPr>
          <w:spacing w:val="-5"/>
        </w:rPr>
        <w:t xml:space="preserve"> </w:t>
      </w:r>
      <w:r>
        <w:t>relied</w:t>
      </w:r>
      <w:r>
        <w:rPr>
          <w:spacing w:val="-5"/>
        </w:rPr>
        <w:t xml:space="preserve"> </w:t>
      </w:r>
      <w:r>
        <w:t>upon by MOFCOM.</w:t>
      </w:r>
    </w:p>
    <w:p w14:paraId="74D01184" w14:textId="77777777" w:rsidR="00BD462C" w:rsidRDefault="00BD462C">
      <w:pPr>
        <w:pStyle w:val="BodyText"/>
        <w:spacing w:before="11"/>
        <w:rPr>
          <w:sz w:val="8"/>
        </w:rPr>
      </w:pPr>
    </w:p>
    <w:p w14:paraId="6D3CFD79" w14:textId="48F79203" w:rsidR="00BD462C" w:rsidRDefault="00D719C9">
      <w:pPr>
        <w:pStyle w:val="BodyText"/>
        <w:spacing w:before="56" w:line="360" w:lineRule="auto"/>
        <w:ind w:left="135" w:right="913"/>
        <w:jc w:val="both"/>
      </w:pPr>
      <w:r>
        <w:rPr>
          <w:noProof/>
        </w:rPr>
        <w:t>958.</w:t>
      </w:r>
      <w:r w:rsidR="00033D0F">
        <w:rPr>
          <w:rFonts w:ascii="Times New Roman" w:hAnsi="Times New Roman"/>
          <w:spacing w:val="80"/>
          <w:position w:val="1"/>
          <w:sz w:val="20"/>
        </w:rPr>
        <w:t xml:space="preserve">  </w:t>
      </w:r>
      <w:r w:rsidR="00033D0F">
        <w:rPr>
          <w:position w:val="1"/>
        </w:rPr>
        <w:t>Third,</w:t>
      </w:r>
      <w:r w:rsidR="00033D0F">
        <w:rPr>
          <w:spacing w:val="-6"/>
          <w:position w:val="1"/>
        </w:rPr>
        <w:t xml:space="preserve"> </w:t>
      </w:r>
      <w:r w:rsidR="00033D0F">
        <w:rPr>
          <w:position w:val="1"/>
        </w:rPr>
        <w:t>contrary</w:t>
      </w:r>
      <w:r w:rsidR="00033D0F">
        <w:rPr>
          <w:spacing w:val="-7"/>
          <w:position w:val="1"/>
        </w:rPr>
        <w:t xml:space="preserve"> </w:t>
      </w:r>
      <w:r w:rsidR="00033D0F">
        <w:rPr>
          <w:position w:val="1"/>
        </w:rPr>
        <w:t>to</w:t>
      </w:r>
      <w:r w:rsidR="00033D0F">
        <w:rPr>
          <w:spacing w:val="-11"/>
          <w:position w:val="1"/>
        </w:rPr>
        <w:t xml:space="preserve"> </w:t>
      </w:r>
      <w:r w:rsidR="00033D0F">
        <w:rPr>
          <w:position w:val="1"/>
        </w:rPr>
        <w:t>China's</w:t>
      </w:r>
      <w:r w:rsidR="00033D0F">
        <w:rPr>
          <w:spacing w:val="-7"/>
          <w:position w:val="1"/>
        </w:rPr>
        <w:t xml:space="preserve"> </w:t>
      </w:r>
      <w:r w:rsidR="00033D0F">
        <w:rPr>
          <w:position w:val="1"/>
        </w:rPr>
        <w:t>claims,</w:t>
      </w:r>
      <w:r w:rsidR="00033D0F">
        <w:rPr>
          <w:spacing w:val="-6"/>
          <w:position w:val="1"/>
        </w:rPr>
        <w:t xml:space="preserve"> </w:t>
      </w:r>
      <w:r w:rsidR="00033D0F">
        <w:rPr>
          <w:position w:val="1"/>
        </w:rPr>
        <w:t>Australia</w:t>
      </w:r>
      <w:r w:rsidR="00033D0F">
        <w:rPr>
          <w:spacing w:val="-13"/>
          <w:position w:val="1"/>
        </w:rPr>
        <w:t xml:space="preserve"> </w:t>
      </w:r>
      <w:r w:rsidR="00033D0F">
        <w:rPr>
          <w:position w:val="1"/>
        </w:rPr>
        <w:t>does</w:t>
      </w:r>
      <w:r w:rsidR="00033D0F">
        <w:rPr>
          <w:spacing w:val="-7"/>
          <w:position w:val="1"/>
        </w:rPr>
        <w:t xml:space="preserve"> </w:t>
      </w:r>
      <w:r w:rsidR="00033D0F">
        <w:rPr>
          <w:position w:val="1"/>
        </w:rPr>
        <w:t>not</w:t>
      </w:r>
      <w:r w:rsidR="00033D0F">
        <w:rPr>
          <w:spacing w:val="-8"/>
          <w:position w:val="1"/>
        </w:rPr>
        <w:t xml:space="preserve"> </w:t>
      </w:r>
      <w:r w:rsidR="00033D0F">
        <w:rPr>
          <w:position w:val="1"/>
        </w:rPr>
        <w:t>consider</w:t>
      </w:r>
      <w:r w:rsidR="00033D0F">
        <w:rPr>
          <w:spacing w:val="-11"/>
          <w:position w:val="1"/>
        </w:rPr>
        <w:t xml:space="preserve"> </w:t>
      </w:r>
      <w:r w:rsidR="00033D0F">
        <w:rPr>
          <w:position w:val="1"/>
        </w:rPr>
        <w:t>that</w:t>
      </w:r>
      <w:r w:rsidR="00033D0F">
        <w:rPr>
          <w:spacing w:val="-8"/>
          <w:position w:val="1"/>
        </w:rPr>
        <w:t xml:space="preserve"> </w:t>
      </w:r>
      <w:r w:rsidR="00033D0F">
        <w:rPr>
          <w:position w:val="1"/>
        </w:rPr>
        <w:t>the</w:t>
      </w:r>
      <w:r w:rsidR="00033D0F">
        <w:rPr>
          <w:spacing w:val="-8"/>
          <w:position w:val="1"/>
        </w:rPr>
        <w:t xml:space="preserve"> </w:t>
      </w:r>
      <w:r w:rsidR="00033D0F">
        <w:rPr>
          <w:position w:val="1"/>
        </w:rPr>
        <w:t>"yearly</w:t>
      </w:r>
      <w:r w:rsidR="00033D0F">
        <w:rPr>
          <w:spacing w:val="-7"/>
          <w:position w:val="1"/>
        </w:rPr>
        <w:t xml:space="preserve"> </w:t>
      </w:r>
      <w:r w:rsidR="00033D0F">
        <w:rPr>
          <w:position w:val="1"/>
        </w:rPr>
        <w:t xml:space="preserve">average </w:t>
      </w:r>
      <w:r w:rsidR="00033D0F">
        <w:t>import price" provided by MOFCOM was sufficient to meet the Article 6.9 standard of disclosure of essential facts.</w:t>
      </w:r>
      <w:hyperlink w:anchor="_bookmark1606" w:history="1">
        <w:r w:rsidR="00033D0F">
          <w:rPr>
            <w:vertAlign w:val="superscript"/>
          </w:rPr>
          <w:t>1394</w:t>
        </w:r>
      </w:hyperlink>
      <w:r w:rsidR="00033D0F">
        <w:t xml:space="preserve"> MOFCOM failed to provide: (i) the underlying data used to determine</w:t>
      </w:r>
      <w:r w:rsidR="00033D0F">
        <w:rPr>
          <w:spacing w:val="-7"/>
        </w:rPr>
        <w:t xml:space="preserve"> </w:t>
      </w:r>
      <w:r w:rsidR="00033D0F">
        <w:t>the</w:t>
      </w:r>
      <w:r w:rsidR="00033D0F">
        <w:rPr>
          <w:spacing w:val="-7"/>
        </w:rPr>
        <w:t xml:space="preserve"> </w:t>
      </w:r>
      <w:r w:rsidR="00033D0F">
        <w:t>average</w:t>
      </w:r>
      <w:r w:rsidR="00033D0F">
        <w:rPr>
          <w:spacing w:val="-7"/>
        </w:rPr>
        <w:t xml:space="preserve"> </w:t>
      </w:r>
      <w:r w:rsidR="00033D0F">
        <w:t>unit</w:t>
      </w:r>
      <w:r w:rsidR="00033D0F">
        <w:rPr>
          <w:spacing w:val="-7"/>
        </w:rPr>
        <w:t xml:space="preserve"> </w:t>
      </w:r>
      <w:r w:rsidR="00033D0F">
        <w:t>price</w:t>
      </w:r>
      <w:r w:rsidR="00033D0F">
        <w:rPr>
          <w:spacing w:val="-7"/>
        </w:rPr>
        <w:t xml:space="preserve"> </w:t>
      </w:r>
      <w:r w:rsidR="00033D0F">
        <w:t>of</w:t>
      </w:r>
      <w:r w:rsidR="00033D0F">
        <w:rPr>
          <w:spacing w:val="-4"/>
        </w:rPr>
        <w:t xml:space="preserve"> </w:t>
      </w:r>
      <w:r w:rsidR="00033D0F">
        <w:t>subject</w:t>
      </w:r>
      <w:r w:rsidR="00033D0F">
        <w:rPr>
          <w:spacing w:val="-6"/>
        </w:rPr>
        <w:t xml:space="preserve"> </w:t>
      </w:r>
      <w:r w:rsidR="00033D0F">
        <w:t>imports,</w:t>
      </w:r>
      <w:r w:rsidR="00033D0F">
        <w:rPr>
          <w:spacing w:val="-5"/>
        </w:rPr>
        <w:t xml:space="preserve"> </w:t>
      </w:r>
      <w:r w:rsidR="00033D0F">
        <w:t>and</w:t>
      </w:r>
      <w:r w:rsidR="00033D0F">
        <w:rPr>
          <w:spacing w:val="-9"/>
        </w:rPr>
        <w:t xml:space="preserve"> </w:t>
      </w:r>
      <w:r w:rsidR="00033D0F">
        <w:t>(ii)</w:t>
      </w:r>
      <w:r w:rsidR="00033D0F">
        <w:rPr>
          <w:spacing w:val="-9"/>
        </w:rPr>
        <w:t xml:space="preserve"> </w:t>
      </w:r>
      <w:r w:rsidR="00033D0F">
        <w:t>a</w:t>
      </w:r>
      <w:r w:rsidR="00033D0F">
        <w:rPr>
          <w:spacing w:val="-8"/>
        </w:rPr>
        <w:t xml:space="preserve"> </w:t>
      </w:r>
      <w:r w:rsidR="00033D0F">
        <w:t>description</w:t>
      </w:r>
      <w:r w:rsidR="00033D0F">
        <w:rPr>
          <w:spacing w:val="-9"/>
        </w:rPr>
        <w:t xml:space="preserve"> </w:t>
      </w:r>
      <w:r w:rsidR="00033D0F">
        <w:t>of</w:t>
      </w:r>
      <w:r w:rsidR="00033D0F">
        <w:rPr>
          <w:spacing w:val="-9"/>
        </w:rPr>
        <w:t xml:space="preserve"> </w:t>
      </w:r>
      <w:r w:rsidR="00033D0F">
        <w:t>the</w:t>
      </w:r>
      <w:r w:rsidR="00033D0F">
        <w:rPr>
          <w:spacing w:val="-3"/>
        </w:rPr>
        <w:t xml:space="preserve"> </w:t>
      </w:r>
      <w:r w:rsidR="00033D0F">
        <w:t>methodology that</w:t>
      </w:r>
      <w:r w:rsidR="00033D0F">
        <w:rPr>
          <w:spacing w:val="-3"/>
        </w:rPr>
        <w:t xml:space="preserve"> </w:t>
      </w:r>
      <w:r w:rsidR="00033D0F">
        <w:t>it</w:t>
      </w:r>
      <w:r w:rsidR="00033D0F">
        <w:rPr>
          <w:spacing w:val="-3"/>
        </w:rPr>
        <w:t xml:space="preserve"> </w:t>
      </w:r>
      <w:r w:rsidR="00033D0F">
        <w:t>applied</w:t>
      </w:r>
      <w:r w:rsidR="00033D0F">
        <w:rPr>
          <w:spacing w:val="-5"/>
        </w:rPr>
        <w:t xml:space="preserve"> </w:t>
      </w:r>
      <w:r w:rsidR="00033D0F">
        <w:t>to</w:t>
      </w:r>
      <w:r w:rsidR="00033D0F">
        <w:rPr>
          <w:spacing w:val="-5"/>
        </w:rPr>
        <w:t xml:space="preserve"> </w:t>
      </w:r>
      <w:r w:rsidR="00033D0F">
        <w:t>calculate</w:t>
      </w:r>
      <w:r w:rsidR="00033D0F">
        <w:rPr>
          <w:spacing w:val="-3"/>
        </w:rPr>
        <w:t xml:space="preserve"> </w:t>
      </w:r>
      <w:r w:rsidR="00033D0F">
        <w:t>the</w:t>
      </w:r>
      <w:r w:rsidR="00033D0F">
        <w:rPr>
          <w:spacing w:val="-4"/>
        </w:rPr>
        <w:t xml:space="preserve"> </w:t>
      </w:r>
      <w:r w:rsidR="00033D0F">
        <w:t>average</w:t>
      </w:r>
      <w:r w:rsidR="00033D0F">
        <w:rPr>
          <w:spacing w:val="-3"/>
        </w:rPr>
        <w:t xml:space="preserve"> </w:t>
      </w:r>
      <w:r w:rsidR="00033D0F">
        <w:t>unit</w:t>
      </w:r>
      <w:r w:rsidR="00033D0F">
        <w:rPr>
          <w:spacing w:val="-3"/>
        </w:rPr>
        <w:t xml:space="preserve"> </w:t>
      </w:r>
      <w:r w:rsidR="00033D0F">
        <w:t>price</w:t>
      </w:r>
      <w:r w:rsidR="00033D0F">
        <w:rPr>
          <w:spacing w:val="-3"/>
        </w:rPr>
        <w:t xml:space="preserve"> </w:t>
      </w:r>
      <w:r w:rsidR="00033D0F">
        <w:t>of</w:t>
      </w:r>
      <w:r w:rsidR="00033D0F">
        <w:rPr>
          <w:spacing w:val="-5"/>
        </w:rPr>
        <w:t xml:space="preserve"> </w:t>
      </w:r>
      <w:r w:rsidR="00033D0F">
        <w:t>subject</w:t>
      </w:r>
      <w:r w:rsidR="00033D0F">
        <w:rPr>
          <w:spacing w:val="-3"/>
        </w:rPr>
        <w:t xml:space="preserve"> </w:t>
      </w:r>
      <w:r w:rsidR="00033D0F">
        <w:t>imports</w:t>
      </w:r>
      <w:r w:rsidR="00033D0F">
        <w:rPr>
          <w:spacing w:val="-2"/>
        </w:rPr>
        <w:t xml:space="preserve"> </w:t>
      </w:r>
      <w:r w:rsidR="00033D0F">
        <w:t>–</w:t>
      </w:r>
      <w:r w:rsidR="00033D0F">
        <w:rPr>
          <w:spacing w:val="-3"/>
        </w:rPr>
        <w:t xml:space="preserve"> </w:t>
      </w:r>
      <w:r w:rsidR="00033D0F">
        <w:t>in</w:t>
      </w:r>
      <w:r w:rsidR="00033D0F">
        <w:rPr>
          <w:spacing w:val="-5"/>
        </w:rPr>
        <w:t xml:space="preserve"> </w:t>
      </w:r>
      <w:r w:rsidR="00033D0F">
        <w:t>particular,</w:t>
      </w:r>
      <w:r w:rsidR="00033D0F">
        <w:rPr>
          <w:spacing w:val="-1"/>
        </w:rPr>
        <w:t xml:space="preserve"> </w:t>
      </w:r>
      <w:r w:rsidR="00033D0F">
        <w:t>in</w:t>
      </w:r>
      <w:r w:rsidR="00033D0F">
        <w:rPr>
          <w:spacing w:val="-5"/>
        </w:rPr>
        <w:t xml:space="preserve"> </w:t>
      </w:r>
      <w:r w:rsidR="00033D0F">
        <w:t>relation to the adjustments that were made – with sufficient clarity and in sufficient detail to permit interested parties to understand the basis of MOFCOM's determinations.</w:t>
      </w:r>
    </w:p>
    <w:p w14:paraId="57D4EE63" w14:textId="77777777" w:rsidR="00BD462C" w:rsidRDefault="00BD462C">
      <w:pPr>
        <w:pStyle w:val="BodyText"/>
        <w:spacing w:before="5"/>
        <w:rPr>
          <w:sz w:val="8"/>
        </w:rPr>
      </w:pPr>
    </w:p>
    <w:p w14:paraId="1ECA274E" w14:textId="4CA4D7E6" w:rsidR="00BD462C" w:rsidRDefault="00D719C9">
      <w:pPr>
        <w:pStyle w:val="BodyText"/>
        <w:spacing w:before="56" w:line="360" w:lineRule="auto"/>
        <w:ind w:left="135" w:right="916"/>
        <w:jc w:val="both"/>
      </w:pPr>
      <w:r>
        <w:rPr>
          <w:noProof/>
        </w:rPr>
        <w:t>959.</w:t>
      </w:r>
      <w:r w:rsidR="00033D0F">
        <w:rPr>
          <w:rFonts w:ascii="Times New Roman"/>
          <w:spacing w:val="80"/>
          <w:w w:val="150"/>
          <w:position w:val="1"/>
          <w:sz w:val="20"/>
        </w:rPr>
        <w:t xml:space="preserve">  </w:t>
      </w:r>
      <w:r w:rsidR="00033D0F">
        <w:rPr>
          <w:position w:val="1"/>
        </w:rPr>
        <w:t>Fourth, China further attempts to justify MOFCOM's failure to disclose information</w:t>
      </w:r>
      <w:r w:rsidR="00033D0F">
        <w:rPr>
          <w:spacing w:val="40"/>
          <w:position w:val="1"/>
        </w:rPr>
        <w:t xml:space="preserve"> </w:t>
      </w:r>
      <w:r w:rsidR="00033D0F">
        <w:t>on</w:t>
      </w:r>
      <w:r w:rsidR="00033D0F">
        <w:rPr>
          <w:spacing w:val="-14"/>
        </w:rPr>
        <w:t xml:space="preserve"> </w:t>
      </w:r>
      <w:r w:rsidR="00033D0F">
        <w:t>the</w:t>
      </w:r>
      <w:r w:rsidR="00033D0F">
        <w:rPr>
          <w:spacing w:val="-6"/>
        </w:rPr>
        <w:t xml:space="preserve"> </w:t>
      </w:r>
      <w:r w:rsidR="00033D0F">
        <w:t>basis</w:t>
      </w:r>
      <w:r w:rsidR="00033D0F">
        <w:rPr>
          <w:spacing w:val="-10"/>
        </w:rPr>
        <w:t xml:space="preserve"> </w:t>
      </w:r>
      <w:r w:rsidR="00033D0F">
        <w:t>that</w:t>
      </w:r>
      <w:r w:rsidR="00033D0F">
        <w:rPr>
          <w:spacing w:val="-11"/>
        </w:rPr>
        <w:t xml:space="preserve"> </w:t>
      </w:r>
      <w:r w:rsidR="00033D0F">
        <w:t>the</w:t>
      </w:r>
      <w:r w:rsidR="00033D0F">
        <w:rPr>
          <w:spacing w:val="-12"/>
        </w:rPr>
        <w:t xml:space="preserve"> </w:t>
      </w:r>
      <w:r w:rsidR="00033D0F">
        <w:t>information</w:t>
      </w:r>
      <w:r w:rsidR="00033D0F">
        <w:rPr>
          <w:spacing w:val="-9"/>
        </w:rPr>
        <w:t xml:space="preserve"> </w:t>
      </w:r>
      <w:r w:rsidR="00033D0F">
        <w:t>relating</w:t>
      </w:r>
      <w:r w:rsidR="00033D0F">
        <w:rPr>
          <w:spacing w:val="-10"/>
        </w:rPr>
        <w:t xml:space="preserve"> </w:t>
      </w:r>
      <w:r w:rsidR="00033D0F">
        <w:t>to</w:t>
      </w:r>
      <w:r w:rsidR="00033D0F">
        <w:rPr>
          <w:spacing w:val="-14"/>
        </w:rPr>
        <w:t xml:space="preserve"> </w:t>
      </w:r>
      <w:r w:rsidR="00033D0F">
        <w:t>the</w:t>
      </w:r>
      <w:r w:rsidR="00033D0F">
        <w:rPr>
          <w:spacing w:val="-11"/>
        </w:rPr>
        <w:t xml:space="preserve"> </w:t>
      </w:r>
      <w:r w:rsidR="00033D0F">
        <w:t>CIF</w:t>
      </w:r>
      <w:r w:rsidR="00033D0F">
        <w:rPr>
          <w:spacing w:val="-13"/>
        </w:rPr>
        <w:t xml:space="preserve"> </w:t>
      </w:r>
      <w:r w:rsidR="00033D0F">
        <w:t>price</w:t>
      </w:r>
      <w:r w:rsidR="00033D0F">
        <w:rPr>
          <w:spacing w:val="-7"/>
        </w:rPr>
        <w:t xml:space="preserve"> </w:t>
      </w:r>
      <w:r w:rsidR="00033D0F">
        <w:t>data,</w:t>
      </w:r>
      <w:r w:rsidR="00033D0F">
        <w:rPr>
          <w:spacing w:val="-10"/>
        </w:rPr>
        <w:t xml:space="preserve"> </w:t>
      </w:r>
      <w:r w:rsidR="00033D0F">
        <w:t>exchange</w:t>
      </w:r>
      <w:r w:rsidR="00033D0F">
        <w:rPr>
          <w:spacing w:val="-12"/>
        </w:rPr>
        <w:t xml:space="preserve"> </w:t>
      </w:r>
      <w:r w:rsidR="00033D0F">
        <w:t>rates,</w:t>
      </w:r>
      <w:r w:rsidR="00033D0F">
        <w:rPr>
          <w:spacing w:val="-10"/>
        </w:rPr>
        <w:t xml:space="preserve"> </w:t>
      </w:r>
      <w:r w:rsidR="00033D0F">
        <w:t>tariff</w:t>
      </w:r>
      <w:r w:rsidR="00033D0F">
        <w:rPr>
          <w:spacing w:val="-9"/>
        </w:rPr>
        <w:t xml:space="preserve"> </w:t>
      </w:r>
      <w:r w:rsidR="00033D0F">
        <w:t>rates</w:t>
      </w:r>
      <w:r w:rsidR="00033D0F">
        <w:rPr>
          <w:spacing w:val="-10"/>
        </w:rPr>
        <w:t xml:space="preserve"> </w:t>
      </w:r>
      <w:r w:rsidR="00033D0F">
        <w:t>and non-subject</w:t>
      </w:r>
      <w:r w:rsidR="00033D0F">
        <w:rPr>
          <w:spacing w:val="-14"/>
        </w:rPr>
        <w:t xml:space="preserve"> </w:t>
      </w:r>
      <w:r w:rsidR="00033D0F">
        <w:t>imports</w:t>
      </w:r>
      <w:r w:rsidR="00033D0F">
        <w:rPr>
          <w:spacing w:val="-14"/>
        </w:rPr>
        <w:t xml:space="preserve"> </w:t>
      </w:r>
      <w:r w:rsidR="00033D0F">
        <w:t>was</w:t>
      </w:r>
      <w:r w:rsidR="00033D0F">
        <w:rPr>
          <w:spacing w:val="-13"/>
        </w:rPr>
        <w:t xml:space="preserve"> </w:t>
      </w:r>
      <w:r w:rsidR="00033D0F">
        <w:t>publicly</w:t>
      </w:r>
      <w:r w:rsidR="00033D0F">
        <w:rPr>
          <w:spacing w:val="-14"/>
        </w:rPr>
        <w:t xml:space="preserve"> </w:t>
      </w:r>
      <w:r w:rsidR="00033D0F">
        <w:t>available,</w:t>
      </w:r>
      <w:r w:rsidR="00033D0F">
        <w:rPr>
          <w:spacing w:val="-13"/>
        </w:rPr>
        <w:t xml:space="preserve"> </w:t>
      </w:r>
      <w:r w:rsidR="00033D0F">
        <w:t>and</w:t>
      </w:r>
      <w:r w:rsidR="00033D0F">
        <w:rPr>
          <w:spacing w:val="-14"/>
        </w:rPr>
        <w:t xml:space="preserve"> </w:t>
      </w:r>
      <w:r w:rsidR="00033D0F">
        <w:t>that</w:t>
      </w:r>
      <w:r w:rsidR="00033D0F">
        <w:rPr>
          <w:spacing w:val="-13"/>
        </w:rPr>
        <w:t xml:space="preserve"> </w:t>
      </w:r>
      <w:r w:rsidR="00033D0F">
        <w:t>Australia</w:t>
      </w:r>
      <w:r w:rsidR="00033D0F">
        <w:rPr>
          <w:spacing w:val="-14"/>
        </w:rPr>
        <w:t xml:space="preserve"> </w:t>
      </w:r>
      <w:r w:rsidR="00033D0F">
        <w:t>or</w:t>
      </w:r>
      <w:r w:rsidR="00033D0F">
        <w:rPr>
          <w:spacing w:val="-14"/>
        </w:rPr>
        <w:t xml:space="preserve"> </w:t>
      </w:r>
      <w:r w:rsidR="00033D0F">
        <w:t>other</w:t>
      </w:r>
      <w:r w:rsidR="00033D0F">
        <w:rPr>
          <w:spacing w:val="-13"/>
        </w:rPr>
        <w:t xml:space="preserve"> </w:t>
      </w:r>
      <w:r w:rsidR="00033D0F">
        <w:t>interested</w:t>
      </w:r>
      <w:r w:rsidR="00033D0F">
        <w:rPr>
          <w:spacing w:val="-14"/>
        </w:rPr>
        <w:t xml:space="preserve"> </w:t>
      </w:r>
      <w:r w:rsidR="00033D0F">
        <w:t>parties</w:t>
      </w:r>
      <w:r w:rsidR="00033D0F">
        <w:rPr>
          <w:spacing w:val="-13"/>
        </w:rPr>
        <w:t xml:space="preserve"> </w:t>
      </w:r>
      <w:r w:rsidR="00033D0F">
        <w:t xml:space="preserve">could have collected it from the appropriate websites. However, </w:t>
      </w:r>
      <w:proofErr w:type="gramStart"/>
      <w:r w:rsidR="00033D0F">
        <w:t>public</w:t>
      </w:r>
      <w:proofErr w:type="gramEnd"/>
      <w:r w:rsidR="00033D0F">
        <w:t xml:space="preserve"> or not, this information constituted essential facts that MOFCOM should have provided to the interested parties, either in a document on the record (or even simply through a link in a record document).</w:t>
      </w:r>
    </w:p>
    <w:p w14:paraId="4C529EEC" w14:textId="77777777" w:rsidR="00BD462C" w:rsidRDefault="00BD462C">
      <w:pPr>
        <w:pStyle w:val="BodyText"/>
        <w:spacing w:before="8"/>
        <w:rPr>
          <w:sz w:val="8"/>
        </w:rPr>
      </w:pPr>
    </w:p>
    <w:p w14:paraId="18A7976F" w14:textId="11FF6D4F" w:rsidR="00BD462C" w:rsidRDefault="00D719C9">
      <w:pPr>
        <w:pStyle w:val="BodyText"/>
        <w:spacing w:before="56" w:line="360" w:lineRule="auto"/>
        <w:ind w:left="135" w:right="916"/>
        <w:jc w:val="both"/>
      </w:pPr>
      <w:r>
        <w:rPr>
          <w:noProof/>
        </w:rPr>
        <w:t>960.</w:t>
      </w:r>
      <w:r w:rsidR="00033D0F">
        <w:rPr>
          <w:rFonts w:ascii="Times New Roman"/>
          <w:spacing w:val="80"/>
          <w:w w:val="150"/>
          <w:position w:val="1"/>
          <w:sz w:val="20"/>
        </w:rPr>
        <w:t xml:space="preserve"> </w:t>
      </w:r>
      <w:r w:rsidR="00033D0F">
        <w:rPr>
          <w:position w:val="1"/>
        </w:rPr>
        <w:t xml:space="preserve">Fifth, Australia observes that China now asserts that MOFCOM had recourse to facts </w:t>
      </w:r>
      <w:r w:rsidR="00033D0F">
        <w:t>available for</w:t>
      </w:r>
      <w:r w:rsidR="00033D0F">
        <w:rPr>
          <w:spacing w:val="-1"/>
        </w:rPr>
        <w:t xml:space="preserve"> </w:t>
      </w:r>
      <w:r w:rsidR="00033D0F">
        <w:t>the purposes of its price calculation</w:t>
      </w:r>
      <w:r w:rsidR="00033D0F">
        <w:rPr>
          <w:spacing w:val="-1"/>
        </w:rPr>
        <w:t xml:space="preserve"> </w:t>
      </w:r>
      <w:r w:rsidR="00033D0F">
        <w:t>for</w:t>
      </w:r>
      <w:r w:rsidR="00033D0F">
        <w:rPr>
          <w:spacing w:val="-1"/>
        </w:rPr>
        <w:t xml:space="preserve"> </w:t>
      </w:r>
      <w:r w:rsidR="00033D0F">
        <w:t>subject imports and</w:t>
      </w:r>
      <w:r w:rsidR="00033D0F">
        <w:rPr>
          <w:spacing w:val="-1"/>
        </w:rPr>
        <w:t xml:space="preserve"> </w:t>
      </w:r>
      <w:r w:rsidR="00033D0F">
        <w:t>domestic like prices under Article 3.2.</w:t>
      </w:r>
      <w:hyperlink w:anchor="_bookmark1607" w:history="1">
        <w:r w:rsidR="00033D0F">
          <w:rPr>
            <w:vertAlign w:val="superscript"/>
          </w:rPr>
          <w:t>1395</w:t>
        </w:r>
      </w:hyperlink>
      <w:r w:rsidR="00033D0F">
        <w:t xml:space="preserve"> While Australia does not accept this assertion,</w:t>
      </w:r>
      <w:hyperlink w:anchor="_bookmark1608" w:history="1">
        <w:r w:rsidR="00033D0F">
          <w:rPr>
            <w:vertAlign w:val="superscript"/>
          </w:rPr>
          <w:t>1396</w:t>
        </w:r>
      </w:hyperlink>
      <w:r w:rsidR="00033D0F">
        <w:t xml:space="preserve"> if this in fact was the case, MOFCOM's failure to disclose this information as an essential fact would have been a clear breach of the requirements of Article 6.9.</w:t>
      </w:r>
    </w:p>
    <w:p w14:paraId="70692CAD" w14:textId="77777777" w:rsidR="00BD462C" w:rsidRDefault="00BD462C">
      <w:pPr>
        <w:pStyle w:val="BodyText"/>
        <w:spacing w:before="6"/>
        <w:rPr>
          <w:sz w:val="8"/>
        </w:rPr>
      </w:pPr>
    </w:p>
    <w:p w14:paraId="0DE3E143" w14:textId="0FDEBD38" w:rsidR="00BD462C" w:rsidRDefault="00D719C9">
      <w:pPr>
        <w:pStyle w:val="BodyText"/>
        <w:spacing w:before="56" w:line="357" w:lineRule="auto"/>
        <w:ind w:left="135" w:right="916"/>
        <w:jc w:val="both"/>
      </w:pPr>
      <w:r>
        <w:rPr>
          <w:noProof/>
        </w:rPr>
        <w:t>961.</w:t>
      </w:r>
      <w:r w:rsidR="00033D0F">
        <w:rPr>
          <w:rFonts w:ascii="Times New Roman"/>
          <w:spacing w:val="80"/>
          <w:position w:val="1"/>
          <w:sz w:val="20"/>
        </w:rPr>
        <w:t xml:space="preserve">  </w:t>
      </w:r>
      <w:r w:rsidR="00033D0F">
        <w:rPr>
          <w:position w:val="1"/>
        </w:rPr>
        <w:t xml:space="preserve">Finally, China's reliance on the proposition that where an interested party provided </w:t>
      </w:r>
      <w:r w:rsidR="00033D0F">
        <w:t>comments</w:t>
      </w:r>
      <w:r w:rsidR="00033D0F">
        <w:rPr>
          <w:spacing w:val="-3"/>
        </w:rPr>
        <w:t xml:space="preserve"> </w:t>
      </w:r>
      <w:r w:rsidR="00033D0F">
        <w:t>on</w:t>
      </w:r>
      <w:r w:rsidR="00033D0F">
        <w:rPr>
          <w:spacing w:val="-5"/>
        </w:rPr>
        <w:t xml:space="preserve"> </w:t>
      </w:r>
      <w:r w:rsidR="00033D0F">
        <w:t>an</w:t>
      </w:r>
      <w:r w:rsidR="00033D0F">
        <w:rPr>
          <w:spacing w:val="-5"/>
        </w:rPr>
        <w:t xml:space="preserve"> </w:t>
      </w:r>
      <w:r w:rsidR="00033D0F">
        <w:t>issue,</w:t>
      </w:r>
      <w:r w:rsidR="00033D0F">
        <w:rPr>
          <w:spacing w:val="-2"/>
        </w:rPr>
        <w:t xml:space="preserve"> </w:t>
      </w:r>
      <w:r w:rsidR="00033D0F">
        <w:t>this</w:t>
      </w:r>
      <w:r w:rsidR="00033D0F">
        <w:rPr>
          <w:spacing w:val="-3"/>
        </w:rPr>
        <w:t xml:space="preserve"> </w:t>
      </w:r>
      <w:r w:rsidR="00033D0F">
        <w:t>meant</w:t>
      </w:r>
      <w:r w:rsidR="00033D0F">
        <w:rPr>
          <w:spacing w:val="-8"/>
        </w:rPr>
        <w:t xml:space="preserve"> </w:t>
      </w:r>
      <w:r w:rsidR="00033D0F">
        <w:t>that</w:t>
      </w:r>
      <w:r w:rsidR="00033D0F">
        <w:rPr>
          <w:spacing w:val="-4"/>
        </w:rPr>
        <w:t xml:space="preserve"> </w:t>
      </w:r>
      <w:r w:rsidR="00033D0F">
        <w:t>they</w:t>
      </w:r>
      <w:r w:rsidR="00033D0F">
        <w:rPr>
          <w:spacing w:val="-7"/>
        </w:rPr>
        <w:t xml:space="preserve"> </w:t>
      </w:r>
      <w:r w:rsidR="00033D0F">
        <w:t>were</w:t>
      </w:r>
      <w:r w:rsidR="00033D0F">
        <w:rPr>
          <w:spacing w:val="-8"/>
        </w:rPr>
        <w:t xml:space="preserve"> </w:t>
      </w:r>
      <w:r w:rsidR="00033D0F">
        <w:t>appropriately</w:t>
      </w:r>
      <w:r w:rsidR="00033D0F">
        <w:rPr>
          <w:spacing w:val="-3"/>
        </w:rPr>
        <w:t xml:space="preserve"> </w:t>
      </w:r>
      <w:r w:rsidR="00033D0F">
        <w:t>able</w:t>
      </w:r>
      <w:r w:rsidR="00033D0F">
        <w:rPr>
          <w:spacing w:val="-4"/>
        </w:rPr>
        <w:t xml:space="preserve"> </w:t>
      </w:r>
      <w:r w:rsidR="00033D0F">
        <w:t>to</w:t>
      </w:r>
      <w:r w:rsidR="00033D0F">
        <w:rPr>
          <w:spacing w:val="-6"/>
        </w:rPr>
        <w:t xml:space="preserve"> </w:t>
      </w:r>
      <w:r w:rsidR="00033D0F">
        <w:t>defend</w:t>
      </w:r>
      <w:r w:rsidR="00033D0F">
        <w:rPr>
          <w:spacing w:val="-5"/>
        </w:rPr>
        <w:t xml:space="preserve"> </w:t>
      </w:r>
      <w:r w:rsidR="00033D0F">
        <w:t>their</w:t>
      </w:r>
      <w:r w:rsidR="00033D0F">
        <w:rPr>
          <w:spacing w:val="-6"/>
        </w:rPr>
        <w:t xml:space="preserve"> </w:t>
      </w:r>
      <w:r w:rsidR="00033D0F">
        <w:t>interests is both incorrect as a matter of law, but also unsustainable</w:t>
      </w:r>
      <w:r w:rsidR="00033D0F">
        <w:rPr>
          <w:spacing w:val="-2"/>
        </w:rPr>
        <w:t xml:space="preserve"> </w:t>
      </w:r>
      <w:r w:rsidR="00033D0F">
        <w:t>in light of the submission actually</w:t>
      </w:r>
    </w:p>
    <w:p w14:paraId="7A4576EB" w14:textId="77777777" w:rsidR="00BD462C" w:rsidRDefault="00BD462C">
      <w:pPr>
        <w:pStyle w:val="BodyText"/>
        <w:rPr>
          <w:sz w:val="20"/>
        </w:rPr>
      </w:pPr>
    </w:p>
    <w:p w14:paraId="55EFFC52" w14:textId="332233E5" w:rsidR="00BD462C" w:rsidRDefault="00E14314">
      <w:pPr>
        <w:pStyle w:val="BodyText"/>
        <w:rPr>
          <w:sz w:val="20"/>
        </w:rPr>
      </w:pPr>
      <w:r>
        <w:rPr>
          <w:noProof/>
        </w:rPr>
        <mc:AlternateContent>
          <mc:Choice Requires="wps">
            <w:drawing>
              <wp:anchor distT="0" distB="0" distL="0" distR="0" simplePos="0" relativeHeight="488100352" behindDoc="1" locked="0" layoutInCell="1" allowOverlap="1" wp14:anchorId="1B9D3A41" wp14:editId="422DACA3">
                <wp:simplePos x="0" y="0"/>
                <wp:positionH relativeFrom="page">
                  <wp:posOffset>812800</wp:posOffset>
                </wp:positionH>
                <wp:positionV relativeFrom="paragraph">
                  <wp:posOffset>243205</wp:posOffset>
                </wp:positionV>
                <wp:extent cx="1828800" cy="8890"/>
                <wp:effectExtent l="0" t="0" r="0" b="0"/>
                <wp:wrapTopAndBottom/>
                <wp:docPr id="73" name="docshape7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AC52E2" id="docshape705" o:spid="_x0000_s1026" alt="&quot;&quot;" style="position:absolute;margin-left:64pt;margin-top:19.15pt;width:2in;height:.7pt;z-index:-15216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" fillcolor="black" stroked="f">
                <w10:wrap type="topAndBottom" anchorx="page"/>
              </v:rect>
            </w:pict>
          </mc:Fallback>
        </mc:AlternateContent>
      </w:r>
    </w:p>
    <w:p w14:paraId="72AFC5CE" w14:textId="7A373611" w:rsidR="00BD462C" w:rsidRDefault="00BD462C">
      <w:pPr>
        <w:pStyle w:val="BodyText"/>
        <w:spacing w:before="1"/>
        <w:rPr>
          <w:sz w:val="11"/>
        </w:rPr>
      </w:pPr>
    </w:p>
    <w:p w14:paraId="5C445EE1" w14:textId="77777777" w:rsidR="00BD462C" w:rsidRDefault="00033D0F">
      <w:pPr>
        <w:spacing w:before="112"/>
        <w:ind w:left="135"/>
        <w:rPr>
          <w:sz w:val="18"/>
        </w:rPr>
      </w:pPr>
      <w:bookmarkStart w:id="1857" w:name="_bookmark1605"/>
      <w:bookmarkEnd w:id="1857"/>
      <w:r>
        <w:rPr>
          <w:position w:val="5"/>
          <w:sz w:val="12"/>
        </w:rPr>
        <w:t>1393</w:t>
      </w:r>
      <w:r>
        <w:rPr>
          <w:spacing w:val="15"/>
          <w:position w:val="5"/>
          <w:sz w:val="12"/>
        </w:rPr>
        <w:t xml:space="preserve"> </w:t>
      </w:r>
      <w:r>
        <w:rPr>
          <w:sz w:val="18"/>
        </w:rPr>
        <w:t>See</w:t>
      </w:r>
      <w:r>
        <w:rPr>
          <w:spacing w:val="-3"/>
          <w:sz w:val="18"/>
        </w:rPr>
        <w:t xml:space="preserve"> </w:t>
      </w:r>
      <w:r>
        <w:rPr>
          <w:sz w:val="18"/>
        </w:rPr>
        <w:t>above,</w:t>
      </w:r>
      <w:r>
        <w:rPr>
          <w:spacing w:val="-1"/>
          <w:sz w:val="18"/>
        </w:rPr>
        <w:t xml:space="preserve"> </w:t>
      </w:r>
      <w:r>
        <w:rPr>
          <w:sz w:val="18"/>
        </w:rPr>
        <w:t>section</w:t>
      </w:r>
      <w:r>
        <w:rPr>
          <w:spacing w:val="-5"/>
          <w:sz w:val="18"/>
        </w:rPr>
        <w:t xml:space="preserve"> </w:t>
      </w:r>
      <w:hyperlink w:anchor="_bookmark878" w:history="1">
        <w:r>
          <w:rPr>
            <w:spacing w:val="-4"/>
            <w:sz w:val="18"/>
          </w:rPr>
          <w:t>V.B.6</w:t>
        </w:r>
      </w:hyperlink>
    </w:p>
    <w:p w14:paraId="45F8BF12" w14:textId="77777777" w:rsidR="00BD462C" w:rsidRDefault="00033D0F">
      <w:pPr>
        <w:spacing w:before="1"/>
        <w:ind w:left="135"/>
        <w:rPr>
          <w:sz w:val="18"/>
        </w:rPr>
      </w:pPr>
      <w:bookmarkStart w:id="1858" w:name="_bookmark1606"/>
      <w:bookmarkEnd w:id="1858"/>
      <w:r>
        <w:rPr>
          <w:position w:val="5"/>
          <w:sz w:val="12"/>
        </w:rPr>
        <w:t>1394</w:t>
      </w:r>
      <w:r>
        <w:rPr>
          <w:spacing w:val="13"/>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 xml:space="preserve">para. </w:t>
      </w:r>
      <w:r>
        <w:rPr>
          <w:spacing w:val="-2"/>
          <w:sz w:val="18"/>
        </w:rPr>
        <w:t>2560.</w:t>
      </w:r>
    </w:p>
    <w:p w14:paraId="72C6ED81" w14:textId="77777777" w:rsidR="00BD462C" w:rsidRDefault="00033D0F">
      <w:pPr>
        <w:spacing w:before="1"/>
        <w:ind w:left="135"/>
        <w:rPr>
          <w:sz w:val="18"/>
        </w:rPr>
      </w:pPr>
      <w:bookmarkStart w:id="1859" w:name="_bookmark1607"/>
      <w:bookmarkEnd w:id="1859"/>
      <w:r>
        <w:rPr>
          <w:position w:val="5"/>
          <w:sz w:val="12"/>
        </w:rPr>
        <w:t>1395</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paras.</w:t>
      </w:r>
      <w:r>
        <w:rPr>
          <w:spacing w:val="-5"/>
          <w:sz w:val="18"/>
        </w:rPr>
        <w:t xml:space="preserve"> </w:t>
      </w:r>
      <w:r>
        <w:rPr>
          <w:sz w:val="18"/>
        </w:rPr>
        <w:t>1089-</w:t>
      </w:r>
      <w:r>
        <w:rPr>
          <w:spacing w:val="-2"/>
          <w:sz w:val="18"/>
        </w:rPr>
        <w:t>1092.</w:t>
      </w:r>
    </w:p>
    <w:p w14:paraId="54925124" w14:textId="77777777" w:rsidR="00BD462C" w:rsidRDefault="00033D0F">
      <w:pPr>
        <w:spacing w:before="1"/>
        <w:ind w:left="135"/>
        <w:rPr>
          <w:sz w:val="18"/>
        </w:rPr>
      </w:pPr>
      <w:bookmarkStart w:id="1860" w:name="_bookmark1608"/>
      <w:bookmarkEnd w:id="1860"/>
      <w:r>
        <w:rPr>
          <w:position w:val="5"/>
          <w:sz w:val="12"/>
        </w:rPr>
        <w:t>1396</w:t>
      </w:r>
      <w:r>
        <w:rPr>
          <w:spacing w:val="15"/>
          <w:position w:val="5"/>
          <w:sz w:val="12"/>
        </w:rPr>
        <w:t xml:space="preserve"> </w:t>
      </w:r>
      <w:r>
        <w:rPr>
          <w:sz w:val="18"/>
        </w:rPr>
        <w:t>See</w:t>
      </w:r>
      <w:r>
        <w:rPr>
          <w:spacing w:val="-3"/>
          <w:sz w:val="18"/>
        </w:rPr>
        <w:t xml:space="preserve"> </w:t>
      </w:r>
      <w:r>
        <w:rPr>
          <w:sz w:val="18"/>
        </w:rPr>
        <w:t>above,</w:t>
      </w:r>
      <w:r>
        <w:rPr>
          <w:spacing w:val="-1"/>
          <w:sz w:val="18"/>
        </w:rPr>
        <w:t xml:space="preserve"> </w:t>
      </w:r>
      <w:r>
        <w:rPr>
          <w:sz w:val="18"/>
        </w:rPr>
        <w:t>section</w:t>
      </w:r>
      <w:r>
        <w:rPr>
          <w:spacing w:val="-5"/>
          <w:sz w:val="18"/>
        </w:rPr>
        <w:t xml:space="preserve"> </w:t>
      </w:r>
      <w:hyperlink w:anchor="_bookmark717" w:history="1">
        <w:r>
          <w:rPr>
            <w:spacing w:val="-4"/>
            <w:sz w:val="18"/>
          </w:rPr>
          <w:t>V.B.</w:t>
        </w:r>
      </w:hyperlink>
    </w:p>
    <w:p w14:paraId="0C3FC5D9" w14:textId="77777777" w:rsidR="00BD462C" w:rsidRDefault="00BD462C">
      <w:pPr>
        <w:rPr>
          <w:sz w:val="18"/>
        </w:rPr>
        <w:sectPr w:rsidR="00BD462C">
          <w:pgSz w:w="11910" w:h="16840"/>
          <w:pgMar w:top="860" w:right="500" w:bottom="780" w:left="1280" w:header="566" w:footer="590" w:gutter="0"/>
          <w:cols w:space="720"/>
        </w:sectPr>
      </w:pPr>
    </w:p>
    <w:p w14:paraId="0595BB4D"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5C3F258E"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7D909558"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2EBE4C3A" w14:textId="77777777" w:rsidR="00BD462C" w:rsidRDefault="00033D0F">
      <w:pPr>
        <w:pStyle w:val="BodyText"/>
        <w:spacing w:before="102" w:line="360" w:lineRule="auto"/>
        <w:ind w:left="135" w:right="911"/>
        <w:jc w:val="both"/>
      </w:pPr>
      <w:r>
        <w:t>made.</w:t>
      </w:r>
      <w:hyperlink w:anchor="_bookmark1610" w:history="1">
        <w:r>
          <w:rPr>
            <w:vertAlign w:val="superscript"/>
          </w:rPr>
          <w:t>1397</w:t>
        </w:r>
      </w:hyperlink>
      <w:r>
        <w:rPr>
          <w:spacing w:val="-7"/>
        </w:rPr>
        <w:t xml:space="preserve"> </w:t>
      </w:r>
      <w:r>
        <w:t>The</w:t>
      </w:r>
      <w:r>
        <w:rPr>
          <w:spacing w:val="-8"/>
        </w:rPr>
        <w:t xml:space="preserve"> </w:t>
      </w:r>
      <w:r>
        <w:t>opening</w:t>
      </w:r>
      <w:r>
        <w:rPr>
          <w:spacing w:val="-7"/>
        </w:rPr>
        <w:t xml:space="preserve"> </w:t>
      </w:r>
      <w:r>
        <w:t>sentence</w:t>
      </w:r>
      <w:r>
        <w:rPr>
          <w:spacing w:val="-8"/>
        </w:rPr>
        <w:t xml:space="preserve"> </w:t>
      </w:r>
      <w:r>
        <w:t>of</w:t>
      </w:r>
      <w:r>
        <w:rPr>
          <w:spacing w:val="-10"/>
        </w:rPr>
        <w:t xml:space="preserve"> </w:t>
      </w:r>
      <w:r>
        <w:t>AGW's</w:t>
      </w:r>
      <w:r>
        <w:rPr>
          <w:spacing w:val="-7"/>
        </w:rPr>
        <w:t xml:space="preserve"> </w:t>
      </w:r>
      <w:r>
        <w:t>comments</w:t>
      </w:r>
      <w:r>
        <w:rPr>
          <w:spacing w:val="-11"/>
        </w:rPr>
        <w:t xml:space="preserve"> </w:t>
      </w:r>
      <w:r>
        <w:t>regarding</w:t>
      </w:r>
      <w:r>
        <w:rPr>
          <w:spacing w:val="-7"/>
        </w:rPr>
        <w:t xml:space="preserve"> </w:t>
      </w:r>
      <w:r>
        <w:t>injury</w:t>
      </w:r>
      <w:r>
        <w:rPr>
          <w:spacing w:val="-7"/>
        </w:rPr>
        <w:t xml:space="preserve"> </w:t>
      </w:r>
      <w:r>
        <w:t>and</w:t>
      </w:r>
      <w:r>
        <w:rPr>
          <w:spacing w:val="-10"/>
        </w:rPr>
        <w:t xml:space="preserve"> </w:t>
      </w:r>
      <w:r>
        <w:t>causation</w:t>
      </w:r>
      <w:r>
        <w:rPr>
          <w:spacing w:val="-10"/>
        </w:rPr>
        <w:t xml:space="preserve"> </w:t>
      </w:r>
      <w:r>
        <w:t>on</w:t>
      </w:r>
      <w:r>
        <w:rPr>
          <w:spacing w:val="-10"/>
        </w:rPr>
        <w:t xml:space="preserve"> </w:t>
      </w:r>
      <w:r>
        <w:t>which China</w:t>
      </w:r>
      <w:r>
        <w:rPr>
          <w:spacing w:val="-5"/>
        </w:rPr>
        <w:t xml:space="preserve"> </w:t>
      </w:r>
      <w:r>
        <w:t>relies</w:t>
      </w:r>
      <w:r>
        <w:rPr>
          <w:spacing w:val="-3"/>
        </w:rPr>
        <w:t xml:space="preserve"> </w:t>
      </w:r>
      <w:r>
        <w:t>states</w:t>
      </w:r>
      <w:r>
        <w:rPr>
          <w:spacing w:val="-3"/>
        </w:rPr>
        <w:t xml:space="preserve"> </w:t>
      </w:r>
      <w:r>
        <w:t>that</w:t>
      </w:r>
      <w:r>
        <w:rPr>
          <w:spacing w:val="-4"/>
        </w:rPr>
        <w:t xml:space="preserve"> </w:t>
      </w:r>
      <w:r>
        <w:t>MOFCOM's</w:t>
      </w:r>
      <w:r>
        <w:rPr>
          <w:spacing w:val="-3"/>
        </w:rPr>
        <w:t xml:space="preserve"> </w:t>
      </w:r>
      <w:r>
        <w:t>Final</w:t>
      </w:r>
      <w:r>
        <w:rPr>
          <w:spacing w:val="-7"/>
        </w:rPr>
        <w:t xml:space="preserve"> </w:t>
      </w:r>
      <w:r>
        <w:t>Disclosure</w:t>
      </w:r>
      <w:r>
        <w:rPr>
          <w:spacing w:val="-4"/>
        </w:rPr>
        <w:t xml:space="preserve"> </w:t>
      </w:r>
      <w:r>
        <w:t>is</w:t>
      </w:r>
      <w:r>
        <w:rPr>
          <w:spacing w:val="-3"/>
        </w:rPr>
        <w:t xml:space="preserve"> </w:t>
      </w:r>
      <w:r>
        <w:t>"deficient</w:t>
      </w:r>
      <w:r>
        <w:rPr>
          <w:spacing w:val="-9"/>
        </w:rPr>
        <w:t xml:space="preserve"> </w:t>
      </w:r>
      <w:r>
        <w:t>in</w:t>
      </w:r>
      <w:r>
        <w:rPr>
          <w:spacing w:val="-6"/>
        </w:rPr>
        <w:t xml:space="preserve"> </w:t>
      </w:r>
      <w:r>
        <w:t>that</w:t>
      </w:r>
      <w:r>
        <w:rPr>
          <w:spacing w:val="-4"/>
        </w:rPr>
        <w:t xml:space="preserve"> </w:t>
      </w:r>
      <w:r>
        <w:t>there</w:t>
      </w:r>
      <w:r>
        <w:rPr>
          <w:spacing w:val="-4"/>
        </w:rPr>
        <w:t xml:space="preserve"> </w:t>
      </w:r>
      <w:r>
        <w:t>are</w:t>
      </w:r>
      <w:r>
        <w:rPr>
          <w:spacing w:val="-4"/>
        </w:rPr>
        <w:t xml:space="preserve"> </w:t>
      </w:r>
      <w:r>
        <w:t>no</w:t>
      </w:r>
      <w:r>
        <w:rPr>
          <w:spacing w:val="-7"/>
        </w:rPr>
        <w:t xml:space="preserve"> </w:t>
      </w:r>
      <w:r>
        <w:t>facts</w:t>
      </w:r>
      <w:r>
        <w:rPr>
          <w:spacing w:val="-3"/>
        </w:rPr>
        <w:t xml:space="preserve"> </w:t>
      </w:r>
      <w:r>
        <w:t>that support that injury is being caused to a domestic industry".</w:t>
      </w:r>
      <w:hyperlink w:anchor="_bookmark1611" w:history="1">
        <w:r>
          <w:rPr>
            <w:vertAlign w:val="superscript"/>
          </w:rPr>
          <w:t>1398</w:t>
        </w:r>
      </w:hyperlink>
      <w:r>
        <w:t xml:space="preserve"> It is nonsensical that China is attempting to rely on such comments as proof that interested parties were able to defend their</w:t>
      </w:r>
      <w:r>
        <w:rPr>
          <w:spacing w:val="-18"/>
        </w:rPr>
        <w:t xml:space="preserve"> </w:t>
      </w:r>
      <w:r>
        <w:t>interests.</w:t>
      </w:r>
      <w:r>
        <w:rPr>
          <w:spacing w:val="-15"/>
        </w:rPr>
        <w:t xml:space="preserve"> </w:t>
      </w:r>
      <w:r>
        <w:t>To</w:t>
      </w:r>
      <w:r>
        <w:rPr>
          <w:spacing w:val="-18"/>
        </w:rPr>
        <w:t xml:space="preserve"> </w:t>
      </w:r>
      <w:r>
        <w:t>the</w:t>
      </w:r>
      <w:r>
        <w:rPr>
          <w:spacing w:val="-11"/>
        </w:rPr>
        <w:t xml:space="preserve"> </w:t>
      </w:r>
      <w:r>
        <w:t>contrary,</w:t>
      </w:r>
      <w:r>
        <w:rPr>
          <w:spacing w:val="-14"/>
        </w:rPr>
        <w:t xml:space="preserve"> </w:t>
      </w:r>
      <w:r>
        <w:t>the</w:t>
      </w:r>
      <w:r>
        <w:rPr>
          <w:spacing w:val="-11"/>
        </w:rPr>
        <w:t xml:space="preserve"> </w:t>
      </w:r>
      <w:r>
        <w:t>comments</w:t>
      </w:r>
      <w:r>
        <w:rPr>
          <w:spacing w:val="-14"/>
        </w:rPr>
        <w:t xml:space="preserve"> </w:t>
      </w:r>
      <w:r>
        <w:t>themselves</w:t>
      </w:r>
      <w:r>
        <w:rPr>
          <w:spacing w:val="-14"/>
        </w:rPr>
        <w:t xml:space="preserve"> </w:t>
      </w:r>
      <w:r>
        <w:t>complain</w:t>
      </w:r>
      <w:r>
        <w:rPr>
          <w:spacing w:val="-18"/>
        </w:rPr>
        <w:t xml:space="preserve"> </w:t>
      </w:r>
      <w:r>
        <w:t>that</w:t>
      </w:r>
      <w:r>
        <w:rPr>
          <w:spacing w:val="-15"/>
        </w:rPr>
        <w:t xml:space="preserve"> </w:t>
      </w:r>
      <w:r>
        <w:t>this</w:t>
      </w:r>
      <w:r>
        <w:rPr>
          <w:spacing w:val="-14"/>
        </w:rPr>
        <w:t xml:space="preserve"> </w:t>
      </w:r>
      <w:r>
        <w:t>was</w:t>
      </w:r>
      <w:r>
        <w:rPr>
          <w:spacing w:val="-14"/>
        </w:rPr>
        <w:t xml:space="preserve"> </w:t>
      </w:r>
      <w:r>
        <w:t>not</w:t>
      </w:r>
      <w:r>
        <w:rPr>
          <w:spacing w:val="-10"/>
        </w:rPr>
        <w:t xml:space="preserve"> </w:t>
      </w:r>
      <w:r>
        <w:t>possible.</w:t>
      </w:r>
    </w:p>
    <w:p w14:paraId="557F1F44" w14:textId="77777777" w:rsidR="00BD462C" w:rsidRDefault="00033D0F">
      <w:pPr>
        <w:pStyle w:val="ListParagraph"/>
        <w:numPr>
          <w:ilvl w:val="1"/>
          <w:numId w:val="15"/>
        </w:numPr>
        <w:tabs>
          <w:tab w:val="left" w:pos="3539"/>
          <w:tab w:val="left" w:pos="3540"/>
        </w:tabs>
        <w:spacing w:before="160"/>
        <w:ind w:hanging="851"/>
        <w:jc w:val="both"/>
        <w:rPr>
          <w:sz w:val="24"/>
        </w:rPr>
      </w:pPr>
      <w:bookmarkStart w:id="1861" w:name="(f)_Treatment_of_Other_named_Australian_"/>
      <w:bookmarkEnd w:id="1861"/>
      <w:r>
        <w:rPr>
          <w:sz w:val="24"/>
          <w:u w:val="single"/>
        </w:rPr>
        <w:t>Treatment</w:t>
      </w:r>
      <w:r>
        <w:rPr>
          <w:spacing w:val="-3"/>
          <w:sz w:val="24"/>
          <w:u w:val="single"/>
        </w:rPr>
        <w:t xml:space="preserve"> </w:t>
      </w:r>
      <w:r>
        <w:rPr>
          <w:sz w:val="24"/>
          <w:u w:val="single"/>
        </w:rPr>
        <w:t>of</w:t>
      </w:r>
      <w:r>
        <w:rPr>
          <w:spacing w:val="-3"/>
          <w:sz w:val="24"/>
          <w:u w:val="single"/>
        </w:rPr>
        <w:t xml:space="preserve"> </w:t>
      </w:r>
      <w:r>
        <w:rPr>
          <w:sz w:val="24"/>
          <w:u w:val="single"/>
        </w:rPr>
        <w:t>Other</w:t>
      </w:r>
      <w:r>
        <w:rPr>
          <w:spacing w:val="-5"/>
          <w:sz w:val="24"/>
          <w:u w:val="single"/>
        </w:rPr>
        <w:t xml:space="preserve"> </w:t>
      </w:r>
      <w:r>
        <w:rPr>
          <w:sz w:val="24"/>
          <w:u w:val="single"/>
        </w:rPr>
        <w:t>named Australian</w:t>
      </w:r>
      <w:r>
        <w:rPr>
          <w:spacing w:val="-3"/>
          <w:sz w:val="24"/>
          <w:u w:val="single"/>
        </w:rPr>
        <w:t xml:space="preserve"> </w:t>
      </w:r>
      <w:r>
        <w:rPr>
          <w:spacing w:val="-2"/>
          <w:sz w:val="24"/>
          <w:u w:val="single"/>
        </w:rPr>
        <w:t>exporters</w:t>
      </w:r>
    </w:p>
    <w:p w14:paraId="08DF5783" w14:textId="77777777" w:rsidR="00BD462C" w:rsidRDefault="00BD462C">
      <w:pPr>
        <w:pStyle w:val="BodyText"/>
        <w:spacing w:before="11"/>
        <w:rPr>
          <w:sz w:val="20"/>
        </w:rPr>
      </w:pPr>
    </w:p>
    <w:p w14:paraId="7B2CEDF7" w14:textId="5F43AF38" w:rsidR="00BD462C" w:rsidRDefault="00D719C9">
      <w:pPr>
        <w:pStyle w:val="BodyText"/>
        <w:spacing w:before="56" w:line="357" w:lineRule="auto"/>
        <w:ind w:left="135" w:right="909"/>
        <w:jc w:val="both"/>
      </w:pPr>
      <w:r>
        <w:rPr>
          <w:noProof/>
        </w:rPr>
        <w:t>962.</w:t>
      </w:r>
      <w:r w:rsidR="00033D0F">
        <w:rPr>
          <w:rFonts w:ascii="Times New Roman"/>
          <w:spacing w:val="80"/>
          <w:position w:val="1"/>
          <w:sz w:val="20"/>
        </w:rPr>
        <w:t xml:space="preserve">  </w:t>
      </w:r>
      <w:r w:rsidR="00033D0F">
        <w:rPr>
          <w:position w:val="1"/>
        </w:rPr>
        <w:t>In</w:t>
      </w:r>
      <w:r w:rsidR="00033D0F">
        <w:rPr>
          <w:spacing w:val="-8"/>
          <w:position w:val="1"/>
        </w:rPr>
        <w:t xml:space="preserve"> </w:t>
      </w:r>
      <w:r w:rsidR="00033D0F">
        <w:rPr>
          <w:position w:val="1"/>
        </w:rPr>
        <w:t>relation</w:t>
      </w:r>
      <w:r w:rsidR="00033D0F">
        <w:rPr>
          <w:spacing w:val="-8"/>
          <w:position w:val="1"/>
        </w:rPr>
        <w:t xml:space="preserve"> </w:t>
      </w:r>
      <w:r w:rsidR="00033D0F">
        <w:rPr>
          <w:position w:val="1"/>
        </w:rPr>
        <w:t>to</w:t>
      </w:r>
      <w:r w:rsidR="00033D0F">
        <w:rPr>
          <w:spacing w:val="-4"/>
          <w:position w:val="1"/>
        </w:rPr>
        <w:t xml:space="preserve"> </w:t>
      </w:r>
      <w:r w:rsidR="00033D0F">
        <w:rPr>
          <w:position w:val="1"/>
        </w:rPr>
        <w:t>Other</w:t>
      </w:r>
      <w:r w:rsidR="00033D0F">
        <w:rPr>
          <w:spacing w:val="-4"/>
          <w:position w:val="1"/>
        </w:rPr>
        <w:t xml:space="preserve"> </w:t>
      </w:r>
      <w:r w:rsidR="00033D0F">
        <w:rPr>
          <w:position w:val="1"/>
        </w:rPr>
        <w:t>named</w:t>
      </w:r>
      <w:r w:rsidR="00033D0F">
        <w:rPr>
          <w:spacing w:val="-8"/>
          <w:position w:val="1"/>
        </w:rPr>
        <w:t xml:space="preserve"> </w:t>
      </w:r>
      <w:r w:rsidR="00033D0F">
        <w:rPr>
          <w:position w:val="1"/>
        </w:rPr>
        <w:t>Australian</w:t>
      </w:r>
      <w:r w:rsidR="00033D0F">
        <w:rPr>
          <w:spacing w:val="-8"/>
          <w:position w:val="1"/>
        </w:rPr>
        <w:t xml:space="preserve"> </w:t>
      </w:r>
      <w:r w:rsidR="00033D0F">
        <w:rPr>
          <w:position w:val="1"/>
        </w:rPr>
        <w:t>exporters,</w:t>
      </w:r>
      <w:r w:rsidR="00033D0F">
        <w:rPr>
          <w:spacing w:val="-4"/>
          <w:position w:val="1"/>
        </w:rPr>
        <w:t xml:space="preserve"> </w:t>
      </w:r>
      <w:r w:rsidR="00033D0F">
        <w:rPr>
          <w:position w:val="1"/>
        </w:rPr>
        <w:t>China</w:t>
      </w:r>
      <w:r w:rsidR="00033D0F">
        <w:rPr>
          <w:spacing w:val="-7"/>
          <w:position w:val="1"/>
        </w:rPr>
        <w:t xml:space="preserve"> </w:t>
      </w:r>
      <w:r w:rsidR="00033D0F">
        <w:rPr>
          <w:position w:val="1"/>
        </w:rPr>
        <w:t>submits</w:t>
      </w:r>
      <w:r w:rsidR="00033D0F">
        <w:rPr>
          <w:spacing w:val="-5"/>
          <w:position w:val="1"/>
        </w:rPr>
        <w:t xml:space="preserve"> </w:t>
      </w:r>
      <w:r w:rsidR="00033D0F">
        <w:rPr>
          <w:position w:val="1"/>
        </w:rPr>
        <w:t>that</w:t>
      </w:r>
      <w:r w:rsidR="00033D0F">
        <w:rPr>
          <w:spacing w:val="-6"/>
          <w:position w:val="1"/>
        </w:rPr>
        <w:t xml:space="preserve"> </w:t>
      </w:r>
      <w:r w:rsidR="00033D0F">
        <w:rPr>
          <w:position w:val="1"/>
        </w:rPr>
        <w:t>simply</w:t>
      </w:r>
      <w:r w:rsidR="00033D0F">
        <w:rPr>
          <w:spacing w:val="-5"/>
          <w:position w:val="1"/>
        </w:rPr>
        <w:t xml:space="preserve"> </w:t>
      </w:r>
      <w:r w:rsidR="00033D0F">
        <w:rPr>
          <w:position w:val="1"/>
        </w:rPr>
        <w:t xml:space="preserve">providing </w:t>
      </w:r>
      <w:r w:rsidR="00033D0F">
        <w:t>the</w:t>
      </w:r>
      <w:r w:rsidR="00033D0F">
        <w:rPr>
          <w:spacing w:val="-2"/>
        </w:rPr>
        <w:t xml:space="preserve"> </w:t>
      </w:r>
      <w:r w:rsidR="00033D0F">
        <w:t>statement</w:t>
      </w:r>
      <w:r w:rsidR="00033D0F">
        <w:rPr>
          <w:spacing w:val="-1"/>
        </w:rPr>
        <w:t xml:space="preserve"> </w:t>
      </w:r>
      <w:r w:rsidR="00033D0F">
        <w:t>that</w:t>
      </w:r>
      <w:r w:rsidR="00033D0F">
        <w:rPr>
          <w:spacing w:val="-1"/>
        </w:rPr>
        <w:t xml:space="preserve"> </w:t>
      </w:r>
      <w:r w:rsidR="00033D0F">
        <w:t>the</w:t>
      </w:r>
      <w:r w:rsidR="00033D0F">
        <w:rPr>
          <w:spacing w:val="-2"/>
        </w:rPr>
        <w:t xml:space="preserve"> </w:t>
      </w:r>
      <w:r w:rsidR="00033D0F">
        <w:t>"weighted</w:t>
      </w:r>
      <w:r w:rsidR="00033D0F">
        <w:rPr>
          <w:spacing w:val="-3"/>
        </w:rPr>
        <w:t xml:space="preserve"> </w:t>
      </w:r>
      <w:r w:rsidR="00033D0F">
        <w:t>average</w:t>
      </w:r>
      <w:r w:rsidR="00033D0F">
        <w:rPr>
          <w:spacing w:val="-1"/>
        </w:rPr>
        <w:t xml:space="preserve"> </w:t>
      </w:r>
      <w:r w:rsidR="00033D0F">
        <w:t>margin</w:t>
      </w:r>
      <w:r w:rsidR="00033D0F">
        <w:rPr>
          <w:spacing w:val="-3"/>
        </w:rPr>
        <w:t xml:space="preserve"> </w:t>
      </w:r>
      <w:r w:rsidR="00033D0F">
        <w:t>of</w:t>
      </w:r>
      <w:r w:rsidR="00033D0F">
        <w:rPr>
          <w:spacing w:val="-3"/>
        </w:rPr>
        <w:t xml:space="preserve"> </w:t>
      </w:r>
      <w:r w:rsidR="00033D0F">
        <w:t>the sampled</w:t>
      </w:r>
      <w:r w:rsidR="00033D0F">
        <w:rPr>
          <w:spacing w:val="-3"/>
        </w:rPr>
        <w:t xml:space="preserve"> </w:t>
      </w:r>
      <w:r w:rsidR="00033D0F">
        <w:t>companies shall be</w:t>
      </w:r>
      <w:r w:rsidR="00033D0F">
        <w:rPr>
          <w:spacing w:val="-2"/>
        </w:rPr>
        <w:t xml:space="preserve"> </w:t>
      </w:r>
      <w:r w:rsidR="00033D0F">
        <w:t>used</w:t>
      </w:r>
      <w:r w:rsidR="00033D0F">
        <w:rPr>
          <w:spacing w:val="-3"/>
        </w:rPr>
        <w:t xml:space="preserve"> </w:t>
      </w:r>
      <w:r w:rsidR="00033D0F">
        <w:t>to determine the dumping margin" was sufficient disclosure of essential facts.</w:t>
      </w:r>
      <w:hyperlink w:anchor="_bookmark1612" w:history="1">
        <w:r w:rsidR="00033D0F">
          <w:rPr>
            <w:vertAlign w:val="superscript"/>
          </w:rPr>
          <w:t>1399</w:t>
        </w:r>
      </w:hyperlink>
      <w:r w:rsidR="00033D0F">
        <w:t xml:space="preserve"> Australia disagrees.</w:t>
      </w:r>
      <w:r w:rsidR="00033D0F">
        <w:rPr>
          <w:spacing w:val="-4"/>
        </w:rPr>
        <w:t xml:space="preserve"> </w:t>
      </w:r>
      <w:r w:rsidR="00033D0F">
        <w:t>MOFCOM</w:t>
      </w:r>
      <w:r w:rsidR="00033D0F">
        <w:rPr>
          <w:spacing w:val="-5"/>
        </w:rPr>
        <w:t xml:space="preserve"> </w:t>
      </w:r>
      <w:r w:rsidR="00033D0F">
        <w:t>was</w:t>
      </w:r>
      <w:r w:rsidR="00033D0F">
        <w:rPr>
          <w:spacing w:val="-4"/>
        </w:rPr>
        <w:t xml:space="preserve"> </w:t>
      </w:r>
      <w:r w:rsidR="00033D0F">
        <w:t>required</w:t>
      </w:r>
      <w:r w:rsidR="00033D0F">
        <w:rPr>
          <w:spacing w:val="-7"/>
        </w:rPr>
        <w:t xml:space="preserve"> </w:t>
      </w:r>
      <w:r w:rsidR="00033D0F">
        <w:t>to</w:t>
      </w:r>
      <w:r w:rsidR="00033D0F">
        <w:rPr>
          <w:spacing w:val="-3"/>
        </w:rPr>
        <w:t xml:space="preserve"> </w:t>
      </w:r>
      <w:r w:rsidR="00033D0F">
        <w:t>provide</w:t>
      </w:r>
      <w:r w:rsidR="00033D0F">
        <w:rPr>
          <w:spacing w:val="-5"/>
        </w:rPr>
        <w:t xml:space="preserve"> </w:t>
      </w:r>
      <w:r w:rsidR="00033D0F">
        <w:t>sufficient</w:t>
      </w:r>
      <w:r w:rsidR="00033D0F">
        <w:rPr>
          <w:spacing w:val="-5"/>
        </w:rPr>
        <w:t xml:space="preserve"> </w:t>
      </w:r>
      <w:r w:rsidR="00033D0F">
        <w:t>detail</w:t>
      </w:r>
      <w:r w:rsidR="00033D0F">
        <w:rPr>
          <w:spacing w:val="-3"/>
        </w:rPr>
        <w:t xml:space="preserve"> </w:t>
      </w:r>
      <w:r w:rsidR="00033D0F">
        <w:t>for</w:t>
      </w:r>
      <w:r w:rsidR="00033D0F">
        <w:rPr>
          <w:spacing w:val="-8"/>
        </w:rPr>
        <w:t xml:space="preserve"> </w:t>
      </w:r>
      <w:r w:rsidR="00033D0F">
        <w:t>interested</w:t>
      </w:r>
      <w:r w:rsidR="00033D0F">
        <w:rPr>
          <w:spacing w:val="-7"/>
        </w:rPr>
        <w:t xml:space="preserve"> </w:t>
      </w:r>
      <w:r w:rsidR="00033D0F">
        <w:t>parties</w:t>
      </w:r>
      <w:r w:rsidR="00033D0F">
        <w:rPr>
          <w:spacing w:val="-4"/>
        </w:rPr>
        <w:t xml:space="preserve"> </w:t>
      </w:r>
      <w:r w:rsidR="00033D0F">
        <w:t>to</w:t>
      </w:r>
      <w:r w:rsidR="00033D0F">
        <w:rPr>
          <w:spacing w:val="-8"/>
        </w:rPr>
        <w:t xml:space="preserve"> </w:t>
      </w:r>
      <w:r w:rsidR="00033D0F">
        <w:t>be</w:t>
      </w:r>
      <w:r w:rsidR="00033D0F">
        <w:rPr>
          <w:spacing w:val="-1"/>
        </w:rPr>
        <w:t xml:space="preserve"> </w:t>
      </w:r>
      <w:r w:rsidR="00033D0F">
        <w:t>able to comment on the completeness and correctness of the data being relied upon by the investigating authority.</w:t>
      </w:r>
      <w:hyperlink w:anchor="_bookmark1613" w:history="1">
        <w:r w:rsidR="00033D0F">
          <w:rPr>
            <w:vertAlign w:val="superscript"/>
          </w:rPr>
          <w:t>1400</w:t>
        </w:r>
      </w:hyperlink>
      <w:r w:rsidR="00033D0F">
        <w:t xml:space="preserve"> It failed to do so.</w:t>
      </w:r>
    </w:p>
    <w:p w14:paraId="05B21179" w14:textId="77777777" w:rsidR="00BD462C" w:rsidRDefault="00033D0F">
      <w:pPr>
        <w:pStyle w:val="ListParagraph"/>
        <w:numPr>
          <w:ilvl w:val="1"/>
          <w:numId w:val="15"/>
        </w:numPr>
        <w:tabs>
          <w:tab w:val="left" w:pos="3539"/>
          <w:tab w:val="left" w:pos="3540"/>
        </w:tabs>
        <w:spacing w:before="170"/>
        <w:ind w:hanging="851"/>
        <w:jc w:val="both"/>
        <w:rPr>
          <w:sz w:val="24"/>
        </w:rPr>
      </w:pPr>
      <w:bookmarkStart w:id="1862" w:name="(g)_Treatment_of_the_&quot;All_Others&quot;_catego"/>
      <w:bookmarkEnd w:id="1862"/>
      <w:r>
        <w:rPr>
          <w:sz w:val="24"/>
          <w:u w:val="single"/>
        </w:rPr>
        <w:t>Treatment</w:t>
      </w:r>
      <w:r>
        <w:rPr>
          <w:spacing w:val="-4"/>
          <w:sz w:val="24"/>
          <w:u w:val="single"/>
        </w:rPr>
        <w:t xml:space="preserve"> </w:t>
      </w:r>
      <w:r>
        <w:rPr>
          <w:sz w:val="24"/>
          <w:u w:val="single"/>
        </w:rPr>
        <w:t>of</w:t>
      </w:r>
      <w:r>
        <w:rPr>
          <w:spacing w:val="-5"/>
          <w:sz w:val="24"/>
          <w:u w:val="single"/>
        </w:rPr>
        <w:t xml:space="preserve"> </w:t>
      </w:r>
      <w:r>
        <w:rPr>
          <w:sz w:val="24"/>
          <w:u w:val="single"/>
        </w:rPr>
        <w:t>the</w:t>
      </w:r>
      <w:r>
        <w:rPr>
          <w:spacing w:val="1"/>
          <w:sz w:val="24"/>
          <w:u w:val="single"/>
        </w:rPr>
        <w:t xml:space="preserve"> </w:t>
      </w:r>
      <w:r>
        <w:rPr>
          <w:sz w:val="24"/>
          <w:u w:val="single"/>
        </w:rPr>
        <w:t>"All</w:t>
      </w:r>
      <w:r>
        <w:rPr>
          <w:spacing w:val="-1"/>
          <w:sz w:val="24"/>
          <w:u w:val="single"/>
        </w:rPr>
        <w:t xml:space="preserve"> </w:t>
      </w:r>
      <w:r>
        <w:rPr>
          <w:sz w:val="24"/>
          <w:u w:val="single"/>
        </w:rPr>
        <w:t>Others"</w:t>
      </w:r>
      <w:r>
        <w:rPr>
          <w:spacing w:val="-4"/>
          <w:sz w:val="24"/>
          <w:u w:val="single"/>
        </w:rPr>
        <w:t xml:space="preserve"> </w:t>
      </w:r>
      <w:r>
        <w:rPr>
          <w:spacing w:val="-2"/>
          <w:sz w:val="24"/>
          <w:u w:val="single"/>
        </w:rPr>
        <w:t>category</w:t>
      </w:r>
    </w:p>
    <w:p w14:paraId="1B55026F" w14:textId="77777777" w:rsidR="00BD462C" w:rsidRDefault="00BD462C">
      <w:pPr>
        <w:pStyle w:val="BodyText"/>
        <w:spacing w:before="11"/>
        <w:rPr>
          <w:sz w:val="20"/>
        </w:rPr>
      </w:pPr>
    </w:p>
    <w:p w14:paraId="274B2DFF" w14:textId="74D4EFE1" w:rsidR="00BD462C" w:rsidRDefault="00D719C9">
      <w:pPr>
        <w:pStyle w:val="BodyText"/>
        <w:spacing w:before="57" w:line="360" w:lineRule="auto"/>
        <w:ind w:left="135" w:right="911"/>
        <w:jc w:val="both"/>
      </w:pPr>
      <w:r>
        <w:rPr>
          <w:noProof/>
        </w:rPr>
        <w:t>963.</w:t>
      </w:r>
      <w:r w:rsidR="00033D0F">
        <w:rPr>
          <w:rFonts w:ascii="Times New Roman"/>
          <w:spacing w:val="80"/>
          <w:w w:val="150"/>
          <w:position w:val="1"/>
          <w:sz w:val="20"/>
        </w:rPr>
        <w:t xml:space="preserve"> </w:t>
      </w:r>
      <w:r w:rsidR="00033D0F">
        <w:rPr>
          <w:position w:val="1"/>
        </w:rPr>
        <w:t>MOFCOM was required to</w:t>
      </w:r>
      <w:r w:rsidR="00033D0F">
        <w:rPr>
          <w:spacing w:val="40"/>
          <w:position w:val="1"/>
        </w:rPr>
        <w:t xml:space="preserve"> </w:t>
      </w:r>
      <w:r w:rsidR="00033D0F">
        <w:rPr>
          <w:position w:val="1"/>
        </w:rPr>
        <w:t>provide additional</w:t>
      </w:r>
      <w:r w:rsidR="00033D0F">
        <w:rPr>
          <w:spacing w:val="40"/>
          <w:position w:val="1"/>
        </w:rPr>
        <w:t xml:space="preserve"> </w:t>
      </w:r>
      <w:r w:rsidR="00033D0F">
        <w:rPr>
          <w:position w:val="1"/>
        </w:rPr>
        <w:t>information regarding how it</w:t>
      </w:r>
      <w:r w:rsidR="00033D0F">
        <w:rPr>
          <w:spacing w:val="40"/>
          <w:position w:val="1"/>
        </w:rPr>
        <w:t xml:space="preserve"> </w:t>
      </w:r>
      <w:r w:rsidR="00033D0F">
        <w:t>determined the excessive dumping margin which it applied to the "All Others" category. This information is without a doubt considered to be essential facts within the meaning of Article 6.9, and it was information that was missing from MOFCOM's disclosures.</w:t>
      </w:r>
      <w:hyperlink w:anchor="_bookmark1614" w:history="1">
        <w:r w:rsidR="00033D0F">
          <w:rPr>
            <w:vertAlign w:val="superscript"/>
          </w:rPr>
          <w:t>1401</w:t>
        </w:r>
      </w:hyperlink>
    </w:p>
    <w:p w14:paraId="0A306908" w14:textId="77777777" w:rsidR="00BD462C" w:rsidRDefault="00033D0F">
      <w:pPr>
        <w:pStyle w:val="Heading3"/>
        <w:numPr>
          <w:ilvl w:val="0"/>
          <w:numId w:val="15"/>
        </w:numPr>
        <w:tabs>
          <w:tab w:val="left" w:pos="2689"/>
          <w:tab w:val="left" w:pos="2690"/>
        </w:tabs>
        <w:spacing w:before="157"/>
      </w:pPr>
      <w:bookmarkStart w:id="1863" w:name="_bookmark1609"/>
      <w:bookmarkEnd w:id="1863"/>
      <w:r>
        <w:rPr>
          <w:spacing w:val="-2"/>
        </w:rPr>
        <w:t>Conclusion</w:t>
      </w:r>
    </w:p>
    <w:p w14:paraId="7E39FFC4" w14:textId="77777777" w:rsidR="00BD462C" w:rsidRDefault="00BD462C">
      <w:pPr>
        <w:pStyle w:val="BodyText"/>
        <w:spacing w:before="12"/>
        <w:rPr>
          <w:b/>
          <w:sz w:val="20"/>
        </w:rPr>
      </w:pPr>
    </w:p>
    <w:p w14:paraId="1215F452" w14:textId="2A0C04A8" w:rsidR="00BD462C" w:rsidRDefault="00D719C9">
      <w:pPr>
        <w:pStyle w:val="BodyText"/>
        <w:spacing w:before="56" w:line="357" w:lineRule="auto"/>
        <w:ind w:left="135" w:right="917"/>
        <w:jc w:val="both"/>
      </w:pPr>
      <w:r>
        <w:rPr>
          <w:noProof/>
        </w:rPr>
        <w:t>964.</w:t>
      </w:r>
      <w:r w:rsidR="00033D0F">
        <w:rPr>
          <w:rFonts w:ascii="Times New Roman"/>
          <w:spacing w:val="80"/>
          <w:w w:val="150"/>
          <w:position w:val="1"/>
          <w:sz w:val="20"/>
        </w:rPr>
        <w:t xml:space="preserve">  </w:t>
      </w:r>
      <w:r w:rsidR="00033D0F">
        <w:rPr>
          <w:position w:val="1"/>
        </w:rPr>
        <w:t xml:space="preserve">China has failed to rebut Australia's </w:t>
      </w:r>
      <w:r w:rsidR="00033D0F">
        <w:rPr>
          <w:i/>
          <w:position w:val="1"/>
        </w:rPr>
        <w:t xml:space="preserve">prima facie </w:t>
      </w:r>
      <w:r w:rsidR="00033D0F">
        <w:rPr>
          <w:position w:val="1"/>
        </w:rPr>
        <w:t xml:space="preserve">case. For the reasons set out above </w:t>
      </w:r>
      <w:r w:rsidR="00033D0F">
        <w:t>and in Australia's first written submission, China acted inconsistently with Article 6.9 of the Anti-Dumping Agreement as MOFCOM failed to</w:t>
      </w:r>
      <w:r w:rsidR="00033D0F">
        <w:rPr>
          <w:spacing w:val="-1"/>
        </w:rPr>
        <w:t xml:space="preserve"> </w:t>
      </w:r>
      <w:r w:rsidR="00033D0F">
        <w:t>inform interested parties of all the essential facts which formed the basis of its decision to impose definitive anti-dumping measures.</w:t>
      </w:r>
    </w:p>
    <w:p w14:paraId="6F4AB9D7" w14:textId="77777777" w:rsidR="00BD462C" w:rsidRDefault="00BD462C">
      <w:pPr>
        <w:pStyle w:val="BodyText"/>
        <w:rPr>
          <w:sz w:val="20"/>
        </w:rPr>
      </w:pPr>
    </w:p>
    <w:p w14:paraId="20C854F5" w14:textId="77777777" w:rsidR="00BD462C" w:rsidRDefault="00BD462C">
      <w:pPr>
        <w:pStyle w:val="BodyText"/>
        <w:rPr>
          <w:sz w:val="20"/>
        </w:rPr>
      </w:pPr>
    </w:p>
    <w:p w14:paraId="40700B8D" w14:textId="77777777" w:rsidR="00BD462C" w:rsidRDefault="00BD462C">
      <w:pPr>
        <w:pStyle w:val="BodyText"/>
        <w:rPr>
          <w:sz w:val="20"/>
        </w:rPr>
      </w:pPr>
    </w:p>
    <w:p w14:paraId="2578042E" w14:textId="77777777" w:rsidR="00BD462C" w:rsidRDefault="00BD462C">
      <w:pPr>
        <w:pStyle w:val="BodyText"/>
        <w:rPr>
          <w:sz w:val="20"/>
        </w:rPr>
      </w:pPr>
    </w:p>
    <w:p w14:paraId="08451807" w14:textId="77777777" w:rsidR="00BD462C" w:rsidRDefault="00BD462C">
      <w:pPr>
        <w:pStyle w:val="BodyText"/>
        <w:rPr>
          <w:sz w:val="20"/>
        </w:rPr>
      </w:pPr>
    </w:p>
    <w:p w14:paraId="5DB78AAD" w14:textId="77777777" w:rsidR="00BD462C" w:rsidRDefault="00BD462C">
      <w:pPr>
        <w:pStyle w:val="BodyText"/>
        <w:rPr>
          <w:sz w:val="20"/>
        </w:rPr>
      </w:pPr>
    </w:p>
    <w:p w14:paraId="654FE949" w14:textId="77777777" w:rsidR="00BD462C" w:rsidRDefault="00BD462C">
      <w:pPr>
        <w:pStyle w:val="BodyText"/>
        <w:rPr>
          <w:sz w:val="20"/>
        </w:rPr>
      </w:pPr>
    </w:p>
    <w:p w14:paraId="45B57893" w14:textId="698D5AF6" w:rsidR="00BD462C" w:rsidRDefault="00D600FD">
      <w:pPr>
        <w:pStyle w:val="BodyText"/>
        <w:spacing w:before="4"/>
        <w:rPr>
          <w:sz w:val="11"/>
        </w:rPr>
      </w:pPr>
      <w:r>
        <w:rPr>
          <w:noProof/>
        </w:rPr>
        <mc:AlternateContent>
          <mc:Choice Requires="wps">
            <w:drawing>
              <wp:anchor distT="0" distB="0" distL="0" distR="0" simplePos="0" relativeHeight="488172032" behindDoc="1" locked="0" layoutInCell="1" allowOverlap="1" wp14:anchorId="6EE78CDF" wp14:editId="44142A5E">
                <wp:simplePos x="0" y="0"/>
                <wp:positionH relativeFrom="page">
                  <wp:posOffset>812800</wp:posOffset>
                </wp:positionH>
                <wp:positionV relativeFrom="paragraph">
                  <wp:posOffset>88265</wp:posOffset>
                </wp:positionV>
                <wp:extent cx="1828800" cy="8890"/>
                <wp:effectExtent l="0" t="0" r="0" b="0"/>
                <wp:wrapTopAndBottom/>
                <wp:docPr id="147" name="docshape7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23D7A1" id="docshape705" o:spid="_x0000_s1026" alt="&quot;&quot;" style="position:absolute;margin-left:64pt;margin-top:6.95pt;width:2in;height:.7pt;z-index:-1514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" fillcolor="black" stroked="f">
                <w10:wrap type="topAndBottom" anchorx="page"/>
              </v:rect>
            </w:pict>
          </mc:Fallback>
        </mc:AlternateContent>
      </w:r>
    </w:p>
    <w:p w14:paraId="5DDF7E2F" w14:textId="77777777" w:rsidR="00BD462C" w:rsidRDefault="00033D0F">
      <w:pPr>
        <w:spacing w:before="107"/>
        <w:ind w:left="135"/>
        <w:rPr>
          <w:sz w:val="18"/>
        </w:rPr>
      </w:pPr>
      <w:bookmarkStart w:id="1864" w:name="_bookmark1610"/>
      <w:bookmarkEnd w:id="1864"/>
      <w:r>
        <w:rPr>
          <w:position w:val="5"/>
          <w:sz w:val="12"/>
        </w:rPr>
        <w:t>1397</w:t>
      </w:r>
      <w:r>
        <w:rPr>
          <w:spacing w:val="16"/>
          <w:position w:val="5"/>
          <w:sz w:val="12"/>
        </w:rPr>
        <w:t xml:space="preserve"> </w:t>
      </w:r>
      <w:r>
        <w:rPr>
          <w:sz w:val="18"/>
        </w:rPr>
        <w:t>See</w:t>
      </w:r>
      <w:r>
        <w:rPr>
          <w:spacing w:val="-2"/>
          <w:sz w:val="18"/>
        </w:rPr>
        <w:t xml:space="preserve"> </w:t>
      </w:r>
      <w:r>
        <w:rPr>
          <w:sz w:val="18"/>
        </w:rPr>
        <w:t>section</w:t>
      </w:r>
      <w:r>
        <w:rPr>
          <w:spacing w:val="-4"/>
          <w:sz w:val="18"/>
        </w:rPr>
        <w:t xml:space="preserve"> </w:t>
      </w:r>
      <w:hyperlink w:anchor="_bookmark1551" w:history="1">
        <w:r>
          <w:rPr>
            <w:spacing w:val="-2"/>
            <w:sz w:val="18"/>
          </w:rPr>
          <w:t>VII.G.2(d).</w:t>
        </w:r>
      </w:hyperlink>
    </w:p>
    <w:p w14:paraId="61F8C8A8" w14:textId="77777777" w:rsidR="00BD462C" w:rsidRDefault="00033D0F">
      <w:pPr>
        <w:spacing w:before="1"/>
        <w:ind w:left="135"/>
        <w:rPr>
          <w:sz w:val="18"/>
        </w:rPr>
      </w:pPr>
      <w:bookmarkStart w:id="1865" w:name="_bookmark1611"/>
      <w:bookmarkEnd w:id="1865"/>
      <w:r>
        <w:rPr>
          <w:position w:val="5"/>
          <w:sz w:val="12"/>
        </w:rPr>
        <w:t>1398</w:t>
      </w:r>
      <w:r>
        <w:rPr>
          <w:spacing w:val="12"/>
          <w:position w:val="5"/>
          <w:sz w:val="12"/>
        </w:rPr>
        <w:t xml:space="preserve"> </w:t>
      </w:r>
      <w:r>
        <w:rPr>
          <w:sz w:val="18"/>
        </w:rPr>
        <w:t>AGW</w:t>
      </w:r>
      <w:r>
        <w:rPr>
          <w:spacing w:val="-1"/>
          <w:sz w:val="18"/>
        </w:rPr>
        <w:t xml:space="preserve"> </w:t>
      </w:r>
      <w:r>
        <w:rPr>
          <w:sz w:val="18"/>
        </w:rPr>
        <w:t>Comments</w:t>
      </w:r>
      <w:r>
        <w:rPr>
          <w:spacing w:val="-5"/>
          <w:sz w:val="18"/>
        </w:rPr>
        <w:t xml:space="preserve"> </w:t>
      </w:r>
      <w:r>
        <w:rPr>
          <w:sz w:val="18"/>
        </w:rPr>
        <w:t>on</w:t>
      </w:r>
      <w:r>
        <w:rPr>
          <w:spacing w:val="-7"/>
          <w:sz w:val="18"/>
        </w:rPr>
        <w:t xml:space="preserve"> </w:t>
      </w:r>
      <w:r>
        <w:rPr>
          <w:sz w:val="18"/>
        </w:rPr>
        <w:t>Final</w:t>
      </w:r>
      <w:r>
        <w:rPr>
          <w:spacing w:val="-1"/>
          <w:sz w:val="18"/>
        </w:rPr>
        <w:t xml:space="preserve"> </w:t>
      </w:r>
      <w:r>
        <w:rPr>
          <w:sz w:val="18"/>
        </w:rPr>
        <w:t>Disclosure,</w:t>
      </w:r>
      <w:r>
        <w:rPr>
          <w:spacing w:val="-4"/>
          <w:sz w:val="18"/>
        </w:rPr>
        <w:t xml:space="preserve"> </w:t>
      </w:r>
      <w:r>
        <w:rPr>
          <w:sz w:val="18"/>
        </w:rPr>
        <w:t>(Exhibit</w:t>
      </w:r>
      <w:r>
        <w:rPr>
          <w:spacing w:val="-1"/>
          <w:sz w:val="18"/>
        </w:rPr>
        <w:t xml:space="preserve"> </w:t>
      </w:r>
      <w:r>
        <w:rPr>
          <w:sz w:val="18"/>
        </w:rPr>
        <w:t>AUS-97),</w:t>
      </w:r>
      <w:r>
        <w:rPr>
          <w:spacing w:val="-3"/>
          <w:sz w:val="18"/>
        </w:rPr>
        <w:t xml:space="preserve"> </w:t>
      </w:r>
      <w:r>
        <w:rPr>
          <w:sz w:val="18"/>
        </w:rPr>
        <w:t>p.</w:t>
      </w:r>
      <w:r>
        <w:rPr>
          <w:spacing w:val="-5"/>
          <w:sz w:val="18"/>
        </w:rPr>
        <w:t xml:space="preserve"> 5.</w:t>
      </w:r>
    </w:p>
    <w:p w14:paraId="2036D157" w14:textId="77777777" w:rsidR="00BD462C" w:rsidRDefault="00033D0F">
      <w:pPr>
        <w:spacing w:before="1"/>
        <w:ind w:left="135"/>
        <w:rPr>
          <w:sz w:val="18"/>
        </w:rPr>
      </w:pPr>
      <w:bookmarkStart w:id="1866" w:name="_bookmark1612"/>
      <w:bookmarkEnd w:id="1866"/>
      <w:r>
        <w:rPr>
          <w:position w:val="5"/>
          <w:sz w:val="12"/>
        </w:rPr>
        <w:t>1399</w:t>
      </w:r>
      <w:r>
        <w:rPr>
          <w:spacing w:val="14"/>
          <w:position w:val="5"/>
          <w:sz w:val="12"/>
        </w:rPr>
        <w:t xml:space="preserve"> </w:t>
      </w:r>
      <w:r>
        <w:rPr>
          <w:sz w:val="18"/>
        </w:rPr>
        <w:t>Disclosure</w:t>
      </w:r>
      <w:r>
        <w:rPr>
          <w:spacing w:val="-5"/>
          <w:sz w:val="18"/>
        </w:rPr>
        <w:t xml:space="preserve"> </w:t>
      </w:r>
      <w:r>
        <w:rPr>
          <w:sz w:val="18"/>
        </w:rPr>
        <w:t>of</w:t>
      </w:r>
      <w:r>
        <w:rPr>
          <w:spacing w:val="-3"/>
          <w:sz w:val="18"/>
        </w:rPr>
        <w:t xml:space="preserve"> </w:t>
      </w:r>
      <w:r>
        <w:rPr>
          <w:sz w:val="18"/>
        </w:rPr>
        <w:t>the</w:t>
      </w:r>
      <w:r>
        <w:rPr>
          <w:spacing w:val="-5"/>
          <w:sz w:val="18"/>
        </w:rPr>
        <w:t xml:space="preserve"> </w:t>
      </w:r>
      <w:r>
        <w:rPr>
          <w:sz w:val="18"/>
        </w:rPr>
        <w:t>Essential</w:t>
      </w:r>
      <w:r>
        <w:rPr>
          <w:spacing w:val="1"/>
          <w:sz w:val="18"/>
        </w:rPr>
        <w:t xml:space="preserve"> </w:t>
      </w:r>
      <w:r>
        <w:rPr>
          <w:sz w:val="18"/>
        </w:rPr>
        <w:t>Facts</w:t>
      </w:r>
      <w:r>
        <w:rPr>
          <w:spacing w:val="-5"/>
          <w:sz w:val="18"/>
        </w:rPr>
        <w:t xml:space="preserve"> </w:t>
      </w:r>
      <w:r>
        <w:rPr>
          <w:sz w:val="18"/>
        </w:rPr>
        <w:t>(Exhibit</w:t>
      </w:r>
      <w:r>
        <w:rPr>
          <w:spacing w:val="-3"/>
          <w:sz w:val="18"/>
        </w:rPr>
        <w:t xml:space="preserve"> </w:t>
      </w:r>
      <w:r>
        <w:rPr>
          <w:sz w:val="18"/>
        </w:rPr>
        <w:t>CHN-2),</w:t>
      </w:r>
      <w:r>
        <w:rPr>
          <w:spacing w:val="-3"/>
          <w:sz w:val="18"/>
        </w:rPr>
        <w:t xml:space="preserve"> </w:t>
      </w:r>
      <w:r>
        <w:rPr>
          <w:sz w:val="18"/>
        </w:rPr>
        <w:t>p.</w:t>
      </w:r>
      <w:r>
        <w:rPr>
          <w:spacing w:val="-3"/>
          <w:sz w:val="18"/>
        </w:rPr>
        <w:t xml:space="preserve"> </w:t>
      </w:r>
      <w:r>
        <w:rPr>
          <w:spacing w:val="-5"/>
          <w:sz w:val="18"/>
        </w:rPr>
        <w:t>26.</w:t>
      </w:r>
    </w:p>
    <w:p w14:paraId="7209B731" w14:textId="77777777" w:rsidR="00BD462C" w:rsidRDefault="00033D0F">
      <w:pPr>
        <w:spacing w:before="1"/>
        <w:ind w:left="135"/>
        <w:rPr>
          <w:sz w:val="18"/>
        </w:rPr>
      </w:pPr>
      <w:bookmarkStart w:id="1867" w:name="_bookmark1613"/>
      <w:bookmarkEnd w:id="1867"/>
      <w:r>
        <w:rPr>
          <w:position w:val="5"/>
          <w:sz w:val="12"/>
        </w:rPr>
        <w:t>1400</w:t>
      </w:r>
      <w:r>
        <w:rPr>
          <w:spacing w:val="14"/>
          <w:position w:val="5"/>
          <w:sz w:val="12"/>
        </w:rPr>
        <w:t xml:space="preserve"> </w:t>
      </w:r>
      <w:r>
        <w:rPr>
          <w:sz w:val="18"/>
        </w:rPr>
        <w:t>Panel</w:t>
      </w:r>
      <w:r>
        <w:rPr>
          <w:spacing w:val="-3"/>
          <w:sz w:val="18"/>
        </w:rPr>
        <w:t xml:space="preserve"> </w:t>
      </w:r>
      <w:r>
        <w:rPr>
          <w:sz w:val="18"/>
        </w:rPr>
        <w:t>Report,</w:t>
      </w:r>
      <w:r>
        <w:rPr>
          <w:spacing w:val="-7"/>
          <w:sz w:val="18"/>
        </w:rPr>
        <w:t xml:space="preserve"> </w:t>
      </w:r>
      <w:r>
        <w:rPr>
          <w:i/>
          <w:sz w:val="18"/>
        </w:rPr>
        <w:t>EC</w:t>
      </w:r>
      <w:r>
        <w:rPr>
          <w:i/>
          <w:spacing w:val="-5"/>
          <w:sz w:val="18"/>
        </w:rPr>
        <w:t xml:space="preserve"> </w:t>
      </w:r>
      <w:r>
        <w:rPr>
          <w:i/>
          <w:sz w:val="18"/>
        </w:rPr>
        <w:t>– Salmon</w:t>
      </w:r>
      <w:r>
        <w:rPr>
          <w:i/>
          <w:spacing w:val="-4"/>
          <w:sz w:val="18"/>
        </w:rPr>
        <w:t xml:space="preserve"> </w:t>
      </w:r>
      <w:r>
        <w:rPr>
          <w:i/>
          <w:sz w:val="18"/>
        </w:rPr>
        <w:t>(Norway)</w:t>
      </w:r>
      <w:r>
        <w:rPr>
          <w:sz w:val="18"/>
        </w:rPr>
        <w:t>,</w:t>
      </w:r>
      <w:r>
        <w:rPr>
          <w:spacing w:val="3"/>
          <w:sz w:val="18"/>
        </w:rPr>
        <w:t xml:space="preserve"> </w:t>
      </w:r>
      <w:r>
        <w:rPr>
          <w:sz w:val="18"/>
        </w:rPr>
        <w:t>para.</w:t>
      </w:r>
      <w:r>
        <w:rPr>
          <w:spacing w:val="1"/>
          <w:sz w:val="18"/>
        </w:rPr>
        <w:t xml:space="preserve"> </w:t>
      </w:r>
      <w:r>
        <w:rPr>
          <w:spacing w:val="-2"/>
          <w:sz w:val="18"/>
        </w:rPr>
        <w:t>7.805.</w:t>
      </w:r>
    </w:p>
    <w:p w14:paraId="79C5C2AA" w14:textId="77777777" w:rsidR="00BD462C" w:rsidRDefault="00033D0F">
      <w:pPr>
        <w:spacing w:before="1"/>
        <w:ind w:left="135"/>
        <w:rPr>
          <w:sz w:val="18"/>
        </w:rPr>
      </w:pPr>
      <w:bookmarkStart w:id="1868" w:name="_bookmark1614"/>
      <w:bookmarkEnd w:id="1868"/>
      <w:r>
        <w:rPr>
          <w:position w:val="5"/>
          <w:sz w:val="12"/>
        </w:rPr>
        <w:t>1401</w:t>
      </w:r>
      <w:r>
        <w:rPr>
          <w:spacing w:val="12"/>
          <w:position w:val="5"/>
          <w:sz w:val="12"/>
        </w:rPr>
        <w:t xml:space="preserve"> </w:t>
      </w:r>
      <w:r>
        <w:rPr>
          <w:sz w:val="18"/>
        </w:rPr>
        <w:t>Australia's</w:t>
      </w:r>
      <w:r>
        <w:rPr>
          <w:spacing w:val="-7"/>
          <w:sz w:val="18"/>
        </w:rPr>
        <w:t xml:space="preserve"> </w:t>
      </w:r>
      <w:r>
        <w:rPr>
          <w:sz w:val="18"/>
        </w:rPr>
        <w:t>first</w:t>
      </w:r>
      <w:r>
        <w:rPr>
          <w:spacing w:val="-5"/>
          <w:sz w:val="18"/>
        </w:rPr>
        <w:t xml:space="preserve"> </w:t>
      </w:r>
      <w:r>
        <w:rPr>
          <w:sz w:val="18"/>
        </w:rPr>
        <w:t>written</w:t>
      </w:r>
      <w:r>
        <w:rPr>
          <w:spacing w:val="-3"/>
          <w:sz w:val="18"/>
        </w:rPr>
        <w:t xml:space="preserve"> </w:t>
      </w:r>
      <w:r>
        <w:rPr>
          <w:sz w:val="18"/>
        </w:rPr>
        <w:t>submission, paras.</w:t>
      </w:r>
      <w:r>
        <w:rPr>
          <w:spacing w:val="-5"/>
          <w:sz w:val="18"/>
        </w:rPr>
        <w:t xml:space="preserve"> </w:t>
      </w:r>
      <w:r>
        <w:rPr>
          <w:sz w:val="18"/>
        </w:rPr>
        <w:t>1062-</w:t>
      </w:r>
      <w:r>
        <w:rPr>
          <w:spacing w:val="-2"/>
          <w:sz w:val="18"/>
        </w:rPr>
        <w:t>1068.</w:t>
      </w:r>
    </w:p>
    <w:p w14:paraId="32C9FB4E" w14:textId="77777777" w:rsidR="00BD462C" w:rsidRDefault="00BD462C">
      <w:pPr>
        <w:rPr>
          <w:sz w:val="18"/>
        </w:rPr>
        <w:sectPr w:rsidR="00BD462C">
          <w:pgSz w:w="11910" w:h="16840"/>
          <w:pgMar w:top="860" w:right="500" w:bottom="780" w:left="1280" w:header="566" w:footer="590" w:gutter="0"/>
          <w:cols w:space="720"/>
        </w:sectPr>
      </w:pPr>
    </w:p>
    <w:p w14:paraId="09BAA972"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5903202D"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67F64D2A"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6EFB36E5" w14:textId="77777777" w:rsidR="00BD462C" w:rsidRDefault="00033D0F" w:rsidP="00DA02D9">
      <w:pPr>
        <w:pStyle w:val="ListParagraph"/>
        <w:numPr>
          <w:ilvl w:val="1"/>
          <w:numId w:val="72"/>
        </w:numPr>
        <w:tabs>
          <w:tab w:val="left" w:pos="1839"/>
          <w:tab w:val="left" w:pos="1840"/>
        </w:tabs>
        <w:spacing w:before="103" w:line="398" w:lineRule="auto"/>
        <w:ind w:left="1840" w:right="909"/>
        <w:rPr>
          <w:b/>
        </w:rPr>
      </w:pPr>
      <w:bookmarkStart w:id="1869" w:name="H._MOFCOM's_public_notice_of_initiation_"/>
      <w:bookmarkStart w:id="1870" w:name="_bookmark1615"/>
      <w:bookmarkEnd w:id="1869"/>
      <w:bookmarkEnd w:id="1870"/>
      <w:r>
        <w:rPr>
          <w:b/>
          <w:sz w:val="28"/>
        </w:rPr>
        <w:t>MOFCOM'</w:t>
      </w:r>
      <w:r>
        <w:rPr>
          <w:b/>
        </w:rPr>
        <w:t>S PUBLIC NOTICE OF INITIATION FAILED TO CONTAIN A SUMMARY OF THE FACTORS ON WHICH THE ALLEGATION OF INJURY IS BASED</w:t>
      </w:r>
    </w:p>
    <w:p w14:paraId="3675EBF3" w14:textId="77777777" w:rsidR="00BD462C" w:rsidRDefault="00BD462C">
      <w:pPr>
        <w:pStyle w:val="BodyText"/>
        <w:spacing w:before="10"/>
        <w:rPr>
          <w:b/>
          <w:sz w:val="9"/>
        </w:rPr>
      </w:pPr>
    </w:p>
    <w:p w14:paraId="64E98D63" w14:textId="56D57671" w:rsidR="00BD462C" w:rsidRDefault="00D443C8">
      <w:pPr>
        <w:pStyle w:val="BodyText"/>
        <w:spacing w:before="56" w:line="357" w:lineRule="auto"/>
        <w:ind w:left="135" w:right="917"/>
        <w:jc w:val="both"/>
      </w:pPr>
      <w:r>
        <w:rPr>
          <w:noProof/>
        </w:rPr>
        <w:t>965.</w:t>
      </w:r>
      <w:r w:rsidR="00033D0F">
        <w:rPr>
          <w:rFonts w:ascii="Times New Roman"/>
          <w:spacing w:val="80"/>
          <w:position w:val="1"/>
          <w:sz w:val="20"/>
        </w:rPr>
        <w:t xml:space="preserve">  </w:t>
      </w:r>
      <w:r w:rsidR="00033D0F">
        <w:rPr>
          <w:position w:val="1"/>
        </w:rPr>
        <w:t>There</w:t>
      </w:r>
      <w:r w:rsidR="00033D0F">
        <w:rPr>
          <w:spacing w:val="-7"/>
          <w:position w:val="1"/>
        </w:rPr>
        <w:t xml:space="preserve"> </w:t>
      </w:r>
      <w:r w:rsidR="00033D0F">
        <w:rPr>
          <w:position w:val="1"/>
        </w:rPr>
        <w:t>appears</w:t>
      </w:r>
      <w:r w:rsidR="00033D0F">
        <w:rPr>
          <w:spacing w:val="-6"/>
          <w:position w:val="1"/>
        </w:rPr>
        <w:t xml:space="preserve"> </w:t>
      </w:r>
      <w:r w:rsidR="00033D0F">
        <w:rPr>
          <w:position w:val="1"/>
        </w:rPr>
        <w:t>to</w:t>
      </w:r>
      <w:r w:rsidR="00033D0F">
        <w:rPr>
          <w:spacing w:val="-5"/>
          <w:position w:val="1"/>
        </w:rPr>
        <w:t xml:space="preserve"> </w:t>
      </w:r>
      <w:r w:rsidR="00033D0F">
        <w:rPr>
          <w:position w:val="1"/>
        </w:rPr>
        <w:t>be</w:t>
      </w:r>
      <w:r w:rsidR="00033D0F">
        <w:rPr>
          <w:spacing w:val="-7"/>
          <w:position w:val="1"/>
        </w:rPr>
        <w:t xml:space="preserve"> </w:t>
      </w:r>
      <w:r w:rsidR="00033D0F">
        <w:rPr>
          <w:position w:val="1"/>
        </w:rPr>
        <w:t>no</w:t>
      </w:r>
      <w:r w:rsidR="00033D0F">
        <w:rPr>
          <w:spacing w:val="-5"/>
          <w:position w:val="1"/>
        </w:rPr>
        <w:t xml:space="preserve"> </w:t>
      </w:r>
      <w:r w:rsidR="00033D0F">
        <w:rPr>
          <w:position w:val="1"/>
        </w:rPr>
        <w:t>disagreement</w:t>
      </w:r>
      <w:r w:rsidR="00033D0F">
        <w:rPr>
          <w:spacing w:val="-7"/>
          <w:position w:val="1"/>
        </w:rPr>
        <w:t xml:space="preserve"> </w:t>
      </w:r>
      <w:r w:rsidR="00033D0F">
        <w:rPr>
          <w:position w:val="1"/>
        </w:rPr>
        <w:t>between</w:t>
      </w:r>
      <w:r w:rsidR="00033D0F">
        <w:rPr>
          <w:spacing w:val="-9"/>
          <w:position w:val="1"/>
        </w:rPr>
        <w:t xml:space="preserve"> </w:t>
      </w:r>
      <w:r w:rsidR="00033D0F">
        <w:rPr>
          <w:position w:val="1"/>
        </w:rPr>
        <w:t>Australia</w:t>
      </w:r>
      <w:r w:rsidR="00033D0F">
        <w:rPr>
          <w:spacing w:val="-8"/>
          <w:position w:val="1"/>
        </w:rPr>
        <w:t xml:space="preserve"> </w:t>
      </w:r>
      <w:r w:rsidR="00033D0F">
        <w:rPr>
          <w:position w:val="1"/>
        </w:rPr>
        <w:t>and</w:t>
      </w:r>
      <w:r w:rsidR="00033D0F">
        <w:rPr>
          <w:spacing w:val="-9"/>
          <w:position w:val="1"/>
        </w:rPr>
        <w:t xml:space="preserve"> </w:t>
      </w:r>
      <w:r w:rsidR="00033D0F">
        <w:rPr>
          <w:position w:val="1"/>
        </w:rPr>
        <w:t>China</w:t>
      </w:r>
      <w:r w:rsidR="00033D0F">
        <w:rPr>
          <w:spacing w:val="-8"/>
          <w:position w:val="1"/>
        </w:rPr>
        <w:t xml:space="preserve"> </w:t>
      </w:r>
      <w:r w:rsidR="00033D0F">
        <w:rPr>
          <w:position w:val="1"/>
        </w:rPr>
        <w:t>that</w:t>
      </w:r>
      <w:r w:rsidR="00033D0F">
        <w:rPr>
          <w:spacing w:val="-7"/>
          <w:position w:val="1"/>
        </w:rPr>
        <w:t xml:space="preserve"> </w:t>
      </w:r>
      <w:r w:rsidR="00033D0F">
        <w:rPr>
          <w:position w:val="1"/>
        </w:rPr>
        <w:t>the</w:t>
      </w:r>
      <w:r w:rsidR="00033D0F">
        <w:rPr>
          <w:spacing w:val="-7"/>
          <w:position w:val="1"/>
        </w:rPr>
        <w:t xml:space="preserve"> </w:t>
      </w:r>
      <w:r w:rsidR="00033D0F">
        <w:rPr>
          <w:position w:val="1"/>
        </w:rPr>
        <w:t>notice</w:t>
      </w:r>
      <w:r w:rsidR="00033D0F">
        <w:rPr>
          <w:spacing w:val="-7"/>
          <w:position w:val="1"/>
        </w:rPr>
        <w:t xml:space="preserve"> </w:t>
      </w:r>
      <w:r w:rsidR="00033D0F">
        <w:rPr>
          <w:position w:val="1"/>
        </w:rPr>
        <w:t xml:space="preserve">of </w:t>
      </w:r>
      <w:r w:rsidR="00033D0F">
        <w:t xml:space="preserve">initiation issued by MOFCOM did not contain any </w:t>
      </w:r>
      <w:proofErr w:type="spellStart"/>
      <w:r w:rsidR="00033D0F">
        <w:t>summarisation</w:t>
      </w:r>
      <w:proofErr w:type="spellEnd"/>
      <w:r w:rsidR="00033D0F">
        <w:t xml:space="preserve"> of the factors on which the allegation</w:t>
      </w:r>
      <w:r w:rsidR="00033D0F">
        <w:rPr>
          <w:spacing w:val="-5"/>
        </w:rPr>
        <w:t xml:space="preserve"> </w:t>
      </w:r>
      <w:r w:rsidR="00033D0F">
        <w:t>of injury</w:t>
      </w:r>
      <w:r w:rsidR="00033D0F">
        <w:rPr>
          <w:spacing w:val="-2"/>
        </w:rPr>
        <w:t xml:space="preserve"> </w:t>
      </w:r>
      <w:r w:rsidR="00033D0F">
        <w:t>was</w:t>
      </w:r>
      <w:r w:rsidR="00033D0F">
        <w:rPr>
          <w:spacing w:val="-2"/>
        </w:rPr>
        <w:t xml:space="preserve"> </w:t>
      </w:r>
      <w:proofErr w:type="gramStart"/>
      <w:r w:rsidR="00033D0F">
        <w:t>based,</w:t>
      </w:r>
      <w:r w:rsidR="00033D0F">
        <w:rPr>
          <w:spacing w:val="-2"/>
        </w:rPr>
        <w:t xml:space="preserve"> </w:t>
      </w:r>
      <w:r w:rsidR="00033D0F">
        <w:t>but</w:t>
      </w:r>
      <w:proofErr w:type="gramEnd"/>
      <w:r w:rsidR="00033D0F">
        <w:t xml:space="preserve"> did</w:t>
      </w:r>
      <w:r w:rsidR="00033D0F">
        <w:rPr>
          <w:spacing w:val="-5"/>
        </w:rPr>
        <w:t xml:space="preserve"> </w:t>
      </w:r>
      <w:r w:rsidR="00033D0F">
        <w:t>include</w:t>
      </w:r>
      <w:r w:rsidR="00033D0F">
        <w:rPr>
          <w:spacing w:val="-4"/>
        </w:rPr>
        <w:t xml:space="preserve"> </w:t>
      </w:r>
      <w:r w:rsidR="00033D0F">
        <w:t>the non-confidential</w:t>
      </w:r>
      <w:r w:rsidR="00033D0F">
        <w:rPr>
          <w:spacing w:val="-1"/>
        </w:rPr>
        <w:t xml:space="preserve"> </w:t>
      </w:r>
      <w:r w:rsidR="00033D0F">
        <w:t>version</w:t>
      </w:r>
      <w:r w:rsidR="00033D0F">
        <w:rPr>
          <w:spacing w:val="-5"/>
        </w:rPr>
        <w:t xml:space="preserve"> </w:t>
      </w:r>
      <w:r w:rsidR="00033D0F">
        <w:t>of</w:t>
      </w:r>
      <w:r w:rsidR="00033D0F">
        <w:rPr>
          <w:spacing w:val="-5"/>
        </w:rPr>
        <w:t xml:space="preserve"> </w:t>
      </w:r>
      <w:r w:rsidR="00033D0F">
        <w:t>CADA's</w:t>
      </w:r>
      <w:r w:rsidR="00033D0F">
        <w:rPr>
          <w:spacing w:val="-2"/>
        </w:rPr>
        <w:t xml:space="preserve"> </w:t>
      </w:r>
      <w:r w:rsidR="00033D0F">
        <w:t>written application and its annexes.</w:t>
      </w:r>
      <w:hyperlink w:anchor="_bookmark1618" w:history="1">
        <w:r w:rsidR="00033D0F">
          <w:rPr>
            <w:vertAlign w:val="superscript"/>
          </w:rPr>
          <w:t>1402</w:t>
        </w:r>
      </w:hyperlink>
    </w:p>
    <w:p w14:paraId="6EE1ED12" w14:textId="77777777" w:rsidR="00BD462C" w:rsidRDefault="00BD462C">
      <w:pPr>
        <w:pStyle w:val="BodyText"/>
        <w:spacing w:before="3"/>
        <w:rPr>
          <w:sz w:val="9"/>
        </w:rPr>
      </w:pPr>
    </w:p>
    <w:p w14:paraId="6C50D122" w14:textId="27E83C1E" w:rsidR="00BD462C" w:rsidRDefault="00D443C8">
      <w:pPr>
        <w:pStyle w:val="BodyText"/>
        <w:spacing w:before="57" w:line="360" w:lineRule="auto"/>
        <w:ind w:left="136" w:right="913"/>
        <w:jc w:val="both"/>
      </w:pPr>
      <w:r>
        <w:rPr>
          <w:noProof/>
        </w:rPr>
        <w:t>966.</w:t>
      </w:r>
      <w:r w:rsidR="00033D0F">
        <w:rPr>
          <w:rFonts w:ascii="Times New Roman"/>
          <w:spacing w:val="80"/>
          <w:w w:val="150"/>
          <w:position w:val="1"/>
          <w:sz w:val="20"/>
        </w:rPr>
        <w:t xml:space="preserve">  </w:t>
      </w:r>
      <w:r w:rsidR="00033D0F">
        <w:rPr>
          <w:position w:val="1"/>
        </w:rPr>
        <w:t>The</w:t>
      </w:r>
      <w:r w:rsidR="00033D0F">
        <w:rPr>
          <w:spacing w:val="-12"/>
          <w:position w:val="1"/>
        </w:rPr>
        <w:t xml:space="preserve"> </w:t>
      </w:r>
      <w:r w:rsidR="00033D0F">
        <w:rPr>
          <w:position w:val="1"/>
        </w:rPr>
        <w:t>point</w:t>
      </w:r>
      <w:r w:rsidR="00033D0F">
        <w:rPr>
          <w:spacing w:val="-11"/>
          <w:position w:val="1"/>
        </w:rPr>
        <w:t xml:space="preserve"> </w:t>
      </w:r>
      <w:r w:rsidR="00033D0F">
        <w:rPr>
          <w:position w:val="1"/>
        </w:rPr>
        <w:t>of</w:t>
      </w:r>
      <w:r w:rsidR="00033D0F">
        <w:rPr>
          <w:spacing w:val="-14"/>
          <w:position w:val="1"/>
        </w:rPr>
        <w:t xml:space="preserve"> </w:t>
      </w:r>
      <w:r w:rsidR="00033D0F">
        <w:rPr>
          <w:position w:val="1"/>
        </w:rPr>
        <w:t>disagreement</w:t>
      </w:r>
      <w:r w:rsidR="00033D0F">
        <w:rPr>
          <w:spacing w:val="-11"/>
          <w:position w:val="1"/>
        </w:rPr>
        <w:t xml:space="preserve"> </w:t>
      </w:r>
      <w:r w:rsidR="00033D0F">
        <w:rPr>
          <w:position w:val="1"/>
        </w:rPr>
        <w:t>between</w:t>
      </w:r>
      <w:r w:rsidR="00033D0F">
        <w:rPr>
          <w:spacing w:val="-14"/>
          <w:position w:val="1"/>
        </w:rPr>
        <w:t xml:space="preserve"> </w:t>
      </w:r>
      <w:r w:rsidR="00033D0F">
        <w:rPr>
          <w:position w:val="1"/>
        </w:rPr>
        <w:t>the</w:t>
      </w:r>
      <w:r w:rsidR="00033D0F">
        <w:rPr>
          <w:spacing w:val="-12"/>
          <w:position w:val="1"/>
        </w:rPr>
        <w:t xml:space="preserve"> </w:t>
      </w:r>
      <w:r w:rsidR="00033D0F">
        <w:rPr>
          <w:position w:val="1"/>
        </w:rPr>
        <w:t>parties</w:t>
      </w:r>
      <w:r w:rsidR="00033D0F">
        <w:rPr>
          <w:spacing w:val="-14"/>
          <w:position w:val="1"/>
        </w:rPr>
        <w:t xml:space="preserve"> </w:t>
      </w:r>
      <w:r w:rsidR="00033D0F">
        <w:rPr>
          <w:position w:val="1"/>
        </w:rPr>
        <w:t>is</w:t>
      </w:r>
      <w:r w:rsidR="00033D0F">
        <w:rPr>
          <w:spacing w:val="-14"/>
          <w:position w:val="1"/>
        </w:rPr>
        <w:t xml:space="preserve"> </w:t>
      </w:r>
      <w:r w:rsidR="00033D0F">
        <w:rPr>
          <w:position w:val="1"/>
        </w:rPr>
        <w:t>therefore</w:t>
      </w:r>
      <w:r w:rsidR="00033D0F">
        <w:rPr>
          <w:spacing w:val="-12"/>
          <w:position w:val="1"/>
        </w:rPr>
        <w:t xml:space="preserve"> </w:t>
      </w:r>
      <w:r w:rsidR="00033D0F">
        <w:rPr>
          <w:position w:val="1"/>
        </w:rPr>
        <w:t>whether</w:t>
      </w:r>
      <w:r w:rsidR="00033D0F">
        <w:rPr>
          <w:spacing w:val="-14"/>
          <w:position w:val="1"/>
        </w:rPr>
        <w:t xml:space="preserve"> </w:t>
      </w:r>
      <w:r w:rsidR="00033D0F">
        <w:rPr>
          <w:position w:val="1"/>
        </w:rPr>
        <w:t>the</w:t>
      </w:r>
      <w:r w:rsidR="00033D0F">
        <w:rPr>
          <w:spacing w:val="-12"/>
          <w:position w:val="1"/>
        </w:rPr>
        <w:t xml:space="preserve"> </w:t>
      </w:r>
      <w:r w:rsidR="00033D0F">
        <w:rPr>
          <w:position w:val="1"/>
        </w:rPr>
        <w:t xml:space="preserve">requirement </w:t>
      </w:r>
      <w:r w:rsidR="00033D0F">
        <w:t>in Article 12.1.1 to provide a "summary of the factors on which the allegation of injury is based" can be discharged by provision of the entirety of the information submitted in connection</w:t>
      </w:r>
      <w:r w:rsidR="00033D0F">
        <w:rPr>
          <w:spacing w:val="-5"/>
        </w:rPr>
        <w:t xml:space="preserve"> </w:t>
      </w:r>
      <w:r w:rsidR="00033D0F">
        <w:t>with</w:t>
      </w:r>
      <w:r w:rsidR="00033D0F">
        <w:rPr>
          <w:spacing w:val="-5"/>
        </w:rPr>
        <w:t xml:space="preserve"> </w:t>
      </w:r>
      <w:r w:rsidR="00033D0F">
        <w:t>the</w:t>
      </w:r>
      <w:r w:rsidR="00033D0F">
        <w:rPr>
          <w:spacing w:val="-5"/>
        </w:rPr>
        <w:t xml:space="preserve"> </w:t>
      </w:r>
      <w:r w:rsidR="00033D0F">
        <w:t>allegation</w:t>
      </w:r>
      <w:r w:rsidR="00033D0F">
        <w:rPr>
          <w:spacing w:val="-5"/>
        </w:rPr>
        <w:t xml:space="preserve"> </w:t>
      </w:r>
      <w:r w:rsidR="00033D0F">
        <w:t>of</w:t>
      </w:r>
      <w:r w:rsidR="00033D0F">
        <w:rPr>
          <w:spacing w:val="-5"/>
        </w:rPr>
        <w:t xml:space="preserve"> </w:t>
      </w:r>
      <w:r w:rsidR="00033D0F">
        <w:t>injury.</w:t>
      </w:r>
      <w:r w:rsidR="00033D0F">
        <w:rPr>
          <w:spacing w:val="-3"/>
        </w:rPr>
        <w:t xml:space="preserve"> </w:t>
      </w:r>
      <w:r w:rsidR="00033D0F">
        <w:t>In</w:t>
      </w:r>
      <w:r w:rsidR="00033D0F">
        <w:rPr>
          <w:spacing w:val="-5"/>
        </w:rPr>
        <w:t xml:space="preserve"> </w:t>
      </w:r>
      <w:r w:rsidR="00033D0F">
        <w:t>Australia's</w:t>
      </w:r>
      <w:r w:rsidR="00033D0F">
        <w:rPr>
          <w:spacing w:val="-7"/>
        </w:rPr>
        <w:t xml:space="preserve"> </w:t>
      </w:r>
      <w:r w:rsidR="00033D0F">
        <w:t>view,</w:t>
      </w:r>
      <w:r w:rsidR="00033D0F">
        <w:rPr>
          <w:spacing w:val="-2"/>
        </w:rPr>
        <w:t xml:space="preserve"> </w:t>
      </w:r>
      <w:r w:rsidR="00033D0F">
        <w:t>the</w:t>
      </w:r>
      <w:r w:rsidR="00033D0F">
        <w:rPr>
          <w:spacing w:val="-8"/>
        </w:rPr>
        <w:t xml:space="preserve"> </w:t>
      </w:r>
      <w:r w:rsidR="00033D0F">
        <w:t>requirement</w:t>
      </w:r>
      <w:r w:rsidR="00033D0F">
        <w:rPr>
          <w:spacing w:val="-4"/>
        </w:rPr>
        <w:t xml:space="preserve"> </w:t>
      </w:r>
      <w:r w:rsidR="00033D0F">
        <w:t>for</w:t>
      </w:r>
      <w:r w:rsidR="00033D0F">
        <w:rPr>
          <w:spacing w:val="-6"/>
        </w:rPr>
        <w:t xml:space="preserve"> </w:t>
      </w:r>
      <w:r w:rsidR="00033D0F">
        <w:t>a</w:t>
      </w:r>
      <w:r w:rsidR="00033D0F">
        <w:rPr>
          <w:spacing w:val="-5"/>
        </w:rPr>
        <w:t xml:space="preserve"> </w:t>
      </w:r>
      <w:r w:rsidR="00033D0F">
        <w:t>"summary" to be provided places a positive duty on MOFCOM to disclose, by way of a summary, the factors</w:t>
      </w:r>
      <w:r w:rsidR="00033D0F">
        <w:rPr>
          <w:spacing w:val="-8"/>
        </w:rPr>
        <w:t xml:space="preserve"> </w:t>
      </w:r>
      <w:r w:rsidR="00033D0F">
        <w:t>on</w:t>
      </w:r>
      <w:r w:rsidR="00033D0F">
        <w:rPr>
          <w:spacing w:val="-10"/>
        </w:rPr>
        <w:t xml:space="preserve"> </w:t>
      </w:r>
      <w:r w:rsidR="00033D0F">
        <w:t>which</w:t>
      </w:r>
      <w:r w:rsidR="00033D0F">
        <w:rPr>
          <w:spacing w:val="-10"/>
        </w:rPr>
        <w:t xml:space="preserve"> </w:t>
      </w:r>
      <w:r w:rsidR="00033D0F">
        <w:t>the</w:t>
      </w:r>
      <w:r w:rsidR="00033D0F">
        <w:rPr>
          <w:spacing w:val="-9"/>
        </w:rPr>
        <w:t xml:space="preserve"> </w:t>
      </w:r>
      <w:r w:rsidR="00033D0F">
        <w:t>allegation</w:t>
      </w:r>
      <w:r w:rsidR="00033D0F">
        <w:rPr>
          <w:spacing w:val="-10"/>
        </w:rPr>
        <w:t xml:space="preserve"> </w:t>
      </w:r>
      <w:r w:rsidR="00033D0F">
        <w:t>is</w:t>
      </w:r>
      <w:r w:rsidR="00033D0F">
        <w:rPr>
          <w:spacing w:val="-8"/>
        </w:rPr>
        <w:t xml:space="preserve"> </w:t>
      </w:r>
      <w:r w:rsidR="00033D0F">
        <w:t>based.</w:t>
      </w:r>
      <w:r w:rsidR="00033D0F">
        <w:rPr>
          <w:spacing w:val="-8"/>
        </w:rPr>
        <w:t xml:space="preserve"> </w:t>
      </w:r>
      <w:r w:rsidR="00033D0F">
        <w:t>The</w:t>
      </w:r>
      <w:r w:rsidR="00033D0F">
        <w:rPr>
          <w:spacing w:val="-9"/>
        </w:rPr>
        <w:t xml:space="preserve"> </w:t>
      </w:r>
      <w:r w:rsidR="00033D0F">
        <w:t>investigating</w:t>
      </w:r>
      <w:r w:rsidR="00033D0F">
        <w:rPr>
          <w:spacing w:val="-8"/>
        </w:rPr>
        <w:t xml:space="preserve"> </w:t>
      </w:r>
      <w:r w:rsidR="00033D0F">
        <w:t>authority's</w:t>
      </w:r>
      <w:r w:rsidR="00033D0F">
        <w:rPr>
          <w:spacing w:val="-8"/>
        </w:rPr>
        <w:t xml:space="preserve"> </w:t>
      </w:r>
      <w:r w:rsidR="00033D0F">
        <w:t>obligation</w:t>
      </w:r>
      <w:r w:rsidR="00033D0F">
        <w:rPr>
          <w:spacing w:val="-10"/>
        </w:rPr>
        <w:t xml:space="preserve"> </w:t>
      </w:r>
      <w:r w:rsidR="00033D0F">
        <w:t>to</w:t>
      </w:r>
      <w:r w:rsidR="00033D0F">
        <w:rPr>
          <w:spacing w:val="-11"/>
        </w:rPr>
        <w:t xml:space="preserve"> </w:t>
      </w:r>
      <w:proofErr w:type="spellStart"/>
      <w:r w:rsidR="00033D0F">
        <w:t>summarise</w:t>
      </w:r>
      <w:proofErr w:type="spellEnd"/>
      <w:r w:rsidR="00033D0F">
        <w:t xml:space="preserve"> cannot</w:t>
      </w:r>
      <w:r w:rsidR="00033D0F">
        <w:rPr>
          <w:spacing w:val="-14"/>
        </w:rPr>
        <w:t xml:space="preserve"> </w:t>
      </w:r>
      <w:r w:rsidR="00033D0F">
        <w:t>be</w:t>
      </w:r>
      <w:r w:rsidR="00033D0F">
        <w:rPr>
          <w:spacing w:val="-14"/>
        </w:rPr>
        <w:t xml:space="preserve"> </w:t>
      </w:r>
      <w:r w:rsidR="00033D0F">
        <w:t>discharged</w:t>
      </w:r>
      <w:r w:rsidR="00033D0F">
        <w:rPr>
          <w:spacing w:val="-13"/>
        </w:rPr>
        <w:t xml:space="preserve"> </w:t>
      </w:r>
      <w:r w:rsidR="00033D0F">
        <w:t>by</w:t>
      </w:r>
      <w:r w:rsidR="00033D0F">
        <w:rPr>
          <w:spacing w:val="-14"/>
        </w:rPr>
        <w:t xml:space="preserve"> </w:t>
      </w:r>
      <w:r w:rsidR="00033D0F">
        <w:t>providing</w:t>
      </w:r>
      <w:r w:rsidR="00033D0F">
        <w:rPr>
          <w:spacing w:val="-13"/>
        </w:rPr>
        <w:t xml:space="preserve"> </w:t>
      </w:r>
      <w:r w:rsidR="00033D0F">
        <w:t>the</w:t>
      </w:r>
      <w:r w:rsidR="00033D0F">
        <w:rPr>
          <w:spacing w:val="-14"/>
        </w:rPr>
        <w:t xml:space="preserve"> </w:t>
      </w:r>
      <w:r w:rsidR="00033D0F">
        <w:t>entire</w:t>
      </w:r>
      <w:r w:rsidR="00033D0F">
        <w:rPr>
          <w:spacing w:val="-13"/>
        </w:rPr>
        <w:t xml:space="preserve"> </w:t>
      </w:r>
      <w:r w:rsidR="00033D0F">
        <w:t>application,</w:t>
      </w:r>
      <w:r w:rsidR="00033D0F">
        <w:rPr>
          <w:spacing w:val="-14"/>
        </w:rPr>
        <w:t xml:space="preserve"> </w:t>
      </w:r>
      <w:r w:rsidR="00033D0F">
        <w:t>unless</w:t>
      </w:r>
      <w:r w:rsidR="00033D0F">
        <w:rPr>
          <w:spacing w:val="-14"/>
        </w:rPr>
        <w:t xml:space="preserve"> </w:t>
      </w:r>
      <w:r w:rsidR="00033D0F">
        <w:t>that</w:t>
      </w:r>
      <w:r w:rsidR="00033D0F">
        <w:rPr>
          <w:spacing w:val="-13"/>
        </w:rPr>
        <w:t xml:space="preserve"> </w:t>
      </w:r>
      <w:r w:rsidR="00033D0F">
        <w:t>application</w:t>
      </w:r>
      <w:r w:rsidR="00033D0F">
        <w:rPr>
          <w:spacing w:val="-14"/>
        </w:rPr>
        <w:t xml:space="preserve"> </w:t>
      </w:r>
      <w:r w:rsidR="00033D0F">
        <w:t>itself</w:t>
      </w:r>
      <w:r w:rsidR="00033D0F">
        <w:rPr>
          <w:spacing w:val="-13"/>
        </w:rPr>
        <w:t xml:space="preserve"> </w:t>
      </w:r>
      <w:r w:rsidR="00033D0F">
        <w:t>includes a</w:t>
      </w:r>
      <w:r w:rsidR="00033D0F">
        <w:rPr>
          <w:spacing w:val="-8"/>
        </w:rPr>
        <w:t xml:space="preserve"> </w:t>
      </w:r>
      <w:r w:rsidR="00033D0F">
        <w:t>summary</w:t>
      </w:r>
      <w:r w:rsidR="00033D0F">
        <w:rPr>
          <w:spacing w:val="-6"/>
        </w:rPr>
        <w:t xml:space="preserve"> </w:t>
      </w:r>
      <w:r w:rsidR="00033D0F">
        <w:t>that</w:t>
      </w:r>
      <w:r w:rsidR="00033D0F">
        <w:rPr>
          <w:spacing w:val="-7"/>
        </w:rPr>
        <w:t xml:space="preserve"> </w:t>
      </w:r>
      <w:r w:rsidR="00033D0F">
        <w:t>is</w:t>
      </w:r>
      <w:r w:rsidR="00033D0F">
        <w:rPr>
          <w:spacing w:val="-6"/>
        </w:rPr>
        <w:t xml:space="preserve"> </w:t>
      </w:r>
      <w:r w:rsidR="00033D0F">
        <w:t>adequate</w:t>
      </w:r>
      <w:r w:rsidR="00033D0F">
        <w:rPr>
          <w:spacing w:val="-7"/>
        </w:rPr>
        <w:t xml:space="preserve"> </w:t>
      </w:r>
      <w:r w:rsidR="00033D0F">
        <w:t>to</w:t>
      </w:r>
      <w:r w:rsidR="00033D0F">
        <w:rPr>
          <w:spacing w:val="-5"/>
        </w:rPr>
        <w:t xml:space="preserve"> </w:t>
      </w:r>
      <w:r w:rsidR="00033D0F">
        <w:t>meet</w:t>
      </w:r>
      <w:r w:rsidR="00033D0F">
        <w:rPr>
          <w:spacing w:val="-7"/>
        </w:rPr>
        <w:t xml:space="preserve"> </w:t>
      </w:r>
      <w:r w:rsidR="00033D0F">
        <w:t>the</w:t>
      </w:r>
      <w:r w:rsidR="00033D0F">
        <w:rPr>
          <w:spacing w:val="-3"/>
        </w:rPr>
        <w:t xml:space="preserve"> </w:t>
      </w:r>
      <w:r w:rsidR="00033D0F">
        <w:t>requirements</w:t>
      </w:r>
      <w:r w:rsidR="00033D0F">
        <w:rPr>
          <w:spacing w:val="-6"/>
        </w:rPr>
        <w:t xml:space="preserve"> </w:t>
      </w:r>
      <w:r w:rsidR="00033D0F">
        <w:t>of</w:t>
      </w:r>
      <w:r w:rsidR="00033D0F">
        <w:rPr>
          <w:spacing w:val="-9"/>
        </w:rPr>
        <w:t xml:space="preserve"> </w:t>
      </w:r>
      <w:r w:rsidR="00033D0F">
        <w:t>Article</w:t>
      </w:r>
      <w:r w:rsidR="00033D0F">
        <w:rPr>
          <w:spacing w:val="-7"/>
        </w:rPr>
        <w:t xml:space="preserve"> </w:t>
      </w:r>
      <w:r w:rsidR="00033D0F">
        <w:t>12.1.1(iv),</w:t>
      </w:r>
      <w:r w:rsidR="00033D0F">
        <w:rPr>
          <w:spacing w:val="-5"/>
        </w:rPr>
        <w:t xml:space="preserve"> </w:t>
      </w:r>
      <w:r w:rsidR="00033D0F">
        <w:t>and</w:t>
      </w:r>
      <w:r w:rsidR="00033D0F">
        <w:rPr>
          <w:spacing w:val="-4"/>
        </w:rPr>
        <w:t xml:space="preserve"> </w:t>
      </w:r>
      <w:r w:rsidR="00033D0F">
        <w:t>that</w:t>
      </w:r>
      <w:r w:rsidR="00033D0F">
        <w:rPr>
          <w:spacing w:val="-7"/>
        </w:rPr>
        <w:t xml:space="preserve"> </w:t>
      </w:r>
      <w:r w:rsidR="00033D0F">
        <w:t>summary is expressly adopted by the investigating authority as its own. The "injuries of the domestic industry" section of CADA's written application was approximately 20 pages long and was in no</w:t>
      </w:r>
      <w:r w:rsidR="00033D0F">
        <w:rPr>
          <w:spacing w:val="-5"/>
        </w:rPr>
        <w:t xml:space="preserve"> </w:t>
      </w:r>
      <w:r w:rsidR="00033D0F">
        <w:t>sense</w:t>
      </w:r>
      <w:r w:rsidR="00033D0F">
        <w:rPr>
          <w:spacing w:val="-2"/>
        </w:rPr>
        <w:t xml:space="preserve"> </w:t>
      </w:r>
      <w:r w:rsidR="00033D0F">
        <w:t>a</w:t>
      </w:r>
      <w:r w:rsidR="00033D0F">
        <w:rPr>
          <w:spacing w:val="-3"/>
        </w:rPr>
        <w:t xml:space="preserve"> </w:t>
      </w:r>
      <w:r w:rsidR="00033D0F">
        <w:t>"summary". No other part of the</w:t>
      </w:r>
      <w:r w:rsidR="00033D0F">
        <w:rPr>
          <w:spacing w:val="-3"/>
        </w:rPr>
        <w:t xml:space="preserve"> </w:t>
      </w:r>
      <w:r w:rsidR="00033D0F">
        <w:t>application</w:t>
      </w:r>
      <w:r w:rsidR="00033D0F">
        <w:rPr>
          <w:spacing w:val="-4"/>
        </w:rPr>
        <w:t xml:space="preserve"> </w:t>
      </w:r>
      <w:r w:rsidR="00033D0F">
        <w:t>purported to</w:t>
      </w:r>
      <w:r w:rsidR="00033D0F">
        <w:rPr>
          <w:spacing w:val="-5"/>
        </w:rPr>
        <w:t xml:space="preserve"> </w:t>
      </w:r>
      <w:proofErr w:type="spellStart"/>
      <w:r w:rsidR="00033D0F">
        <w:t>summarise</w:t>
      </w:r>
      <w:proofErr w:type="spellEnd"/>
      <w:r w:rsidR="00033D0F">
        <w:rPr>
          <w:spacing w:val="-2"/>
        </w:rPr>
        <w:t xml:space="preserve"> </w:t>
      </w:r>
      <w:r w:rsidR="00033D0F">
        <w:t>that</w:t>
      </w:r>
      <w:r w:rsidR="00033D0F">
        <w:rPr>
          <w:spacing w:val="-2"/>
        </w:rPr>
        <w:t xml:space="preserve"> </w:t>
      </w:r>
      <w:r w:rsidR="00033D0F">
        <w:t>section in</w:t>
      </w:r>
      <w:r w:rsidR="00033D0F">
        <w:rPr>
          <w:spacing w:val="-14"/>
        </w:rPr>
        <w:t xml:space="preserve"> </w:t>
      </w:r>
      <w:r w:rsidR="00033D0F">
        <w:t>a</w:t>
      </w:r>
      <w:r w:rsidR="00033D0F">
        <w:rPr>
          <w:spacing w:val="-11"/>
        </w:rPr>
        <w:t xml:space="preserve"> </w:t>
      </w:r>
      <w:r w:rsidR="00033D0F">
        <w:t>manner</w:t>
      </w:r>
      <w:r w:rsidR="00033D0F">
        <w:rPr>
          <w:spacing w:val="-10"/>
        </w:rPr>
        <w:t xml:space="preserve"> </w:t>
      </w:r>
      <w:r w:rsidR="00033D0F">
        <w:t>that</w:t>
      </w:r>
      <w:r w:rsidR="00033D0F">
        <w:rPr>
          <w:spacing w:val="-11"/>
        </w:rPr>
        <w:t xml:space="preserve"> </w:t>
      </w:r>
      <w:r w:rsidR="00033D0F">
        <w:t>met</w:t>
      </w:r>
      <w:r w:rsidR="00033D0F">
        <w:rPr>
          <w:spacing w:val="-11"/>
        </w:rPr>
        <w:t xml:space="preserve"> </w:t>
      </w:r>
      <w:r w:rsidR="00033D0F">
        <w:t>the</w:t>
      </w:r>
      <w:r w:rsidR="00033D0F">
        <w:rPr>
          <w:spacing w:val="-7"/>
        </w:rPr>
        <w:t xml:space="preserve"> </w:t>
      </w:r>
      <w:r w:rsidR="00033D0F">
        <w:t>requirements</w:t>
      </w:r>
      <w:r w:rsidR="00033D0F">
        <w:rPr>
          <w:spacing w:val="-10"/>
        </w:rPr>
        <w:t xml:space="preserve"> </w:t>
      </w:r>
      <w:r w:rsidR="00033D0F">
        <w:t>of</w:t>
      </w:r>
      <w:r w:rsidR="00033D0F">
        <w:rPr>
          <w:spacing w:val="-14"/>
        </w:rPr>
        <w:t xml:space="preserve"> </w:t>
      </w:r>
      <w:r w:rsidR="00033D0F">
        <w:t>Article</w:t>
      </w:r>
      <w:r w:rsidR="00033D0F">
        <w:rPr>
          <w:spacing w:val="-11"/>
        </w:rPr>
        <w:t xml:space="preserve"> </w:t>
      </w:r>
      <w:r w:rsidR="00033D0F">
        <w:t>12.1.1(iv).</w:t>
      </w:r>
      <w:r w:rsidR="00033D0F">
        <w:rPr>
          <w:spacing w:val="-11"/>
        </w:rPr>
        <w:t xml:space="preserve"> </w:t>
      </w:r>
      <w:r w:rsidR="00033D0F">
        <w:t>In</w:t>
      </w:r>
      <w:r w:rsidR="00033D0F">
        <w:rPr>
          <w:spacing w:val="-14"/>
        </w:rPr>
        <w:t xml:space="preserve"> </w:t>
      </w:r>
      <w:r w:rsidR="00033D0F">
        <w:t>any</w:t>
      </w:r>
      <w:r w:rsidR="00033D0F">
        <w:rPr>
          <w:spacing w:val="-10"/>
        </w:rPr>
        <w:t xml:space="preserve"> </w:t>
      </w:r>
      <w:r w:rsidR="00033D0F">
        <w:t>event,</w:t>
      </w:r>
      <w:r w:rsidR="00033D0F">
        <w:rPr>
          <w:spacing w:val="-10"/>
        </w:rPr>
        <w:t xml:space="preserve"> </w:t>
      </w:r>
      <w:r w:rsidR="00033D0F">
        <w:t>there</w:t>
      </w:r>
      <w:r w:rsidR="00033D0F">
        <w:rPr>
          <w:spacing w:val="-12"/>
        </w:rPr>
        <w:t xml:space="preserve"> </w:t>
      </w:r>
      <w:r w:rsidR="00033D0F">
        <w:t>is</w:t>
      </w:r>
      <w:r w:rsidR="00033D0F">
        <w:rPr>
          <w:spacing w:val="-10"/>
        </w:rPr>
        <w:t xml:space="preserve"> </w:t>
      </w:r>
      <w:r w:rsidR="00033D0F">
        <w:t>no</w:t>
      </w:r>
      <w:r w:rsidR="00033D0F">
        <w:rPr>
          <w:spacing w:val="-10"/>
        </w:rPr>
        <w:t xml:space="preserve"> </w:t>
      </w:r>
      <w:r w:rsidR="00033D0F">
        <w:t>reference to MOFCOM adopting such a summary, had it existed.</w:t>
      </w:r>
    </w:p>
    <w:p w14:paraId="73740075" w14:textId="77777777" w:rsidR="00BD462C" w:rsidRDefault="00033D0F" w:rsidP="00DA02D9">
      <w:pPr>
        <w:pStyle w:val="ListParagraph"/>
        <w:numPr>
          <w:ilvl w:val="1"/>
          <w:numId w:val="72"/>
        </w:numPr>
        <w:tabs>
          <w:tab w:val="left" w:pos="1839"/>
          <w:tab w:val="left" w:pos="1840"/>
        </w:tabs>
        <w:spacing w:before="158" w:line="379" w:lineRule="auto"/>
        <w:ind w:right="912"/>
        <w:jc w:val="both"/>
        <w:rPr>
          <w:b/>
        </w:rPr>
      </w:pPr>
      <w:bookmarkStart w:id="1871" w:name="I._China_violated_Articles_12.2_and_12.2"/>
      <w:bookmarkStart w:id="1872" w:name="_bookmark1616"/>
      <w:bookmarkEnd w:id="1871"/>
      <w:bookmarkEnd w:id="1872"/>
      <w:r>
        <w:rPr>
          <w:b/>
          <w:sz w:val="28"/>
        </w:rPr>
        <w:t>C</w:t>
      </w:r>
      <w:r>
        <w:rPr>
          <w:b/>
        </w:rPr>
        <w:t xml:space="preserve">HINA VIOLATED </w:t>
      </w:r>
      <w:r>
        <w:rPr>
          <w:b/>
          <w:sz w:val="28"/>
        </w:rPr>
        <w:t>A</w:t>
      </w:r>
      <w:r>
        <w:rPr>
          <w:b/>
        </w:rPr>
        <w:t xml:space="preserve">RTICLES </w:t>
      </w:r>
      <w:r>
        <w:rPr>
          <w:b/>
          <w:sz w:val="28"/>
        </w:rPr>
        <w:t>12.2</w:t>
      </w:r>
      <w:r>
        <w:rPr>
          <w:b/>
          <w:spacing w:val="-6"/>
          <w:sz w:val="28"/>
        </w:rPr>
        <w:t xml:space="preserve"> </w:t>
      </w:r>
      <w:r>
        <w:rPr>
          <w:b/>
        </w:rPr>
        <w:t xml:space="preserve">AND </w:t>
      </w:r>
      <w:r>
        <w:rPr>
          <w:b/>
          <w:sz w:val="28"/>
        </w:rPr>
        <w:t>12.2.2</w:t>
      </w:r>
      <w:r>
        <w:rPr>
          <w:b/>
          <w:spacing w:val="-6"/>
          <w:sz w:val="28"/>
        </w:rPr>
        <w:t xml:space="preserve"> </w:t>
      </w:r>
      <w:r>
        <w:rPr>
          <w:b/>
        </w:rPr>
        <w:t xml:space="preserve">BECAUSE </w:t>
      </w:r>
      <w:r>
        <w:rPr>
          <w:b/>
          <w:sz w:val="28"/>
        </w:rPr>
        <w:t>MOFCOM'</w:t>
      </w:r>
      <w:r>
        <w:rPr>
          <w:b/>
        </w:rPr>
        <w:t xml:space="preserve">S PUBLIC NOTICE OF THE </w:t>
      </w:r>
      <w:r>
        <w:rPr>
          <w:b/>
          <w:sz w:val="28"/>
        </w:rPr>
        <w:t>F</w:t>
      </w:r>
      <w:r>
        <w:rPr>
          <w:b/>
        </w:rPr>
        <w:t xml:space="preserve">INAL </w:t>
      </w:r>
      <w:r>
        <w:rPr>
          <w:b/>
          <w:sz w:val="28"/>
        </w:rPr>
        <w:t>D</w:t>
      </w:r>
      <w:r>
        <w:rPr>
          <w:b/>
        </w:rPr>
        <w:t xml:space="preserve">ETERMINATION FAILED TO CONTAIN ALL RELEVANT </w:t>
      </w:r>
      <w:r>
        <w:rPr>
          <w:b/>
          <w:spacing w:val="-2"/>
        </w:rPr>
        <w:t>INFORMATION</w:t>
      </w:r>
    </w:p>
    <w:p w14:paraId="44427320" w14:textId="77777777" w:rsidR="00BD462C" w:rsidRDefault="00033D0F">
      <w:pPr>
        <w:pStyle w:val="Heading3"/>
        <w:numPr>
          <w:ilvl w:val="0"/>
          <w:numId w:val="12"/>
        </w:numPr>
        <w:tabs>
          <w:tab w:val="left" w:pos="2689"/>
          <w:tab w:val="left" w:pos="2690"/>
        </w:tabs>
        <w:spacing w:before="189"/>
        <w:jc w:val="left"/>
      </w:pPr>
      <w:bookmarkStart w:id="1873" w:name="1._Introduction"/>
      <w:bookmarkStart w:id="1874" w:name="_bookmark1617"/>
      <w:bookmarkEnd w:id="1873"/>
      <w:bookmarkEnd w:id="1874"/>
      <w:r>
        <w:rPr>
          <w:spacing w:val="-2"/>
        </w:rPr>
        <w:t>Introduction</w:t>
      </w:r>
    </w:p>
    <w:p w14:paraId="44477EBF" w14:textId="77777777" w:rsidR="00BD462C" w:rsidRDefault="00BD462C">
      <w:pPr>
        <w:pStyle w:val="BodyText"/>
        <w:spacing w:before="3"/>
        <w:rPr>
          <w:b/>
          <w:sz w:val="19"/>
        </w:rPr>
      </w:pPr>
    </w:p>
    <w:p w14:paraId="05D6435A" w14:textId="4A432EA1" w:rsidR="00BD462C" w:rsidRDefault="00752F01">
      <w:pPr>
        <w:pStyle w:val="BodyText"/>
        <w:spacing w:before="77" w:line="352" w:lineRule="auto"/>
        <w:ind w:left="136" w:right="913"/>
        <w:jc w:val="both"/>
      </w:pPr>
      <w:r>
        <w:rPr>
          <w:noProof/>
        </w:rPr>
        <mc:AlternateContent>
          <mc:Choice Requires="wps">
            <w:drawing>
              <wp:anchor distT="0" distB="0" distL="0" distR="0" simplePos="0" relativeHeight="488305152" behindDoc="1" locked="0" layoutInCell="1" allowOverlap="1" wp14:anchorId="310B67E1" wp14:editId="2D54B7AE">
                <wp:simplePos x="0" y="0"/>
                <wp:positionH relativeFrom="page">
                  <wp:posOffset>812800</wp:posOffset>
                </wp:positionH>
                <wp:positionV relativeFrom="paragraph">
                  <wp:posOffset>1078230</wp:posOffset>
                </wp:positionV>
                <wp:extent cx="1828800" cy="8890"/>
                <wp:effectExtent l="0" t="0" r="0" b="0"/>
                <wp:wrapTopAndBottom/>
                <wp:docPr id="1110" name="docshape5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6C9BD2" id="docshape529" o:spid="_x0000_s1026" alt="&quot;&quot;" style="position:absolute;margin-left:64pt;margin-top:84.9pt;width:2in;height:.7pt;z-index:-15011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" fillcolor="black" stroked="f">
                <w10:wrap type="topAndBottom" anchorx="page"/>
              </v:rect>
            </w:pict>
          </mc:Fallback>
        </mc:AlternateContent>
      </w:r>
      <w:r w:rsidR="00D443C8">
        <w:rPr>
          <w:noProof/>
        </w:rPr>
        <w:t>967.</w:t>
      </w:r>
      <w:r w:rsidR="00033D0F">
        <w:rPr>
          <w:rFonts w:ascii="Times New Roman"/>
          <w:spacing w:val="80"/>
          <w:position w:val="1"/>
          <w:sz w:val="20"/>
        </w:rPr>
        <w:t xml:space="preserve">  </w:t>
      </w:r>
      <w:r w:rsidR="00033D0F">
        <w:rPr>
          <w:position w:val="1"/>
        </w:rPr>
        <w:t>In</w:t>
      </w:r>
      <w:r w:rsidR="00033D0F">
        <w:rPr>
          <w:spacing w:val="-14"/>
          <w:position w:val="1"/>
        </w:rPr>
        <w:t xml:space="preserve"> </w:t>
      </w:r>
      <w:r w:rsidR="00033D0F">
        <w:rPr>
          <w:position w:val="1"/>
        </w:rPr>
        <w:t>its</w:t>
      </w:r>
      <w:r w:rsidR="00033D0F">
        <w:rPr>
          <w:spacing w:val="-9"/>
          <w:position w:val="1"/>
        </w:rPr>
        <w:t xml:space="preserve"> </w:t>
      </w:r>
      <w:r w:rsidR="00033D0F">
        <w:rPr>
          <w:position w:val="1"/>
        </w:rPr>
        <w:t>first</w:t>
      </w:r>
      <w:r w:rsidR="00033D0F">
        <w:rPr>
          <w:spacing w:val="-11"/>
          <w:position w:val="1"/>
        </w:rPr>
        <w:t xml:space="preserve"> </w:t>
      </w:r>
      <w:r w:rsidR="00033D0F">
        <w:rPr>
          <w:position w:val="1"/>
        </w:rPr>
        <w:t>written</w:t>
      </w:r>
      <w:r w:rsidR="00033D0F">
        <w:rPr>
          <w:spacing w:val="-14"/>
          <w:position w:val="1"/>
        </w:rPr>
        <w:t xml:space="preserve"> </w:t>
      </w:r>
      <w:r w:rsidR="00033D0F">
        <w:rPr>
          <w:position w:val="1"/>
        </w:rPr>
        <w:t>submission,</w:t>
      </w:r>
      <w:hyperlink w:anchor="_bookmark1619" w:history="1">
        <w:r w:rsidR="00033D0F">
          <w:rPr>
            <w:position w:val="1"/>
            <w:vertAlign w:val="superscript"/>
          </w:rPr>
          <w:t>1403</w:t>
        </w:r>
      </w:hyperlink>
      <w:r w:rsidR="00033D0F">
        <w:rPr>
          <w:spacing w:val="-10"/>
          <w:position w:val="1"/>
        </w:rPr>
        <w:t xml:space="preserve"> </w:t>
      </w:r>
      <w:r w:rsidR="00033D0F">
        <w:rPr>
          <w:position w:val="1"/>
        </w:rPr>
        <w:t>and</w:t>
      </w:r>
      <w:r w:rsidR="00033D0F">
        <w:rPr>
          <w:spacing w:val="-14"/>
          <w:position w:val="1"/>
        </w:rPr>
        <w:t xml:space="preserve"> </w:t>
      </w:r>
      <w:r w:rsidR="00033D0F">
        <w:rPr>
          <w:position w:val="1"/>
        </w:rPr>
        <w:t>response</w:t>
      </w:r>
      <w:r w:rsidR="00033D0F">
        <w:rPr>
          <w:spacing w:val="-11"/>
          <w:position w:val="1"/>
        </w:rPr>
        <w:t xml:space="preserve"> </w:t>
      </w:r>
      <w:r w:rsidR="00033D0F">
        <w:rPr>
          <w:position w:val="1"/>
        </w:rPr>
        <w:t>to</w:t>
      </w:r>
      <w:r w:rsidR="00033D0F">
        <w:rPr>
          <w:spacing w:val="-14"/>
          <w:position w:val="1"/>
        </w:rPr>
        <w:t xml:space="preserve"> </w:t>
      </w:r>
      <w:r w:rsidR="00033D0F">
        <w:rPr>
          <w:position w:val="1"/>
        </w:rPr>
        <w:t>Panel</w:t>
      </w:r>
      <w:r w:rsidR="00033D0F">
        <w:rPr>
          <w:spacing w:val="-9"/>
          <w:position w:val="1"/>
        </w:rPr>
        <w:t xml:space="preserve"> </w:t>
      </w:r>
      <w:r w:rsidR="00033D0F">
        <w:rPr>
          <w:position w:val="1"/>
        </w:rPr>
        <w:t>question</w:t>
      </w:r>
      <w:r w:rsidR="00033D0F">
        <w:rPr>
          <w:spacing w:val="-13"/>
          <w:position w:val="1"/>
        </w:rPr>
        <w:t xml:space="preserve"> </w:t>
      </w:r>
      <w:r w:rsidR="00033D0F">
        <w:rPr>
          <w:position w:val="1"/>
        </w:rPr>
        <w:t>No.</w:t>
      </w:r>
      <w:r w:rsidR="00033D0F">
        <w:rPr>
          <w:spacing w:val="-11"/>
          <w:position w:val="1"/>
        </w:rPr>
        <w:t xml:space="preserve"> </w:t>
      </w:r>
      <w:r w:rsidR="00033D0F">
        <w:rPr>
          <w:position w:val="1"/>
        </w:rPr>
        <w:t>70,</w:t>
      </w:r>
      <w:hyperlink w:anchor="_bookmark1620" w:history="1">
        <w:r w:rsidR="00033D0F">
          <w:rPr>
            <w:position w:val="1"/>
            <w:vertAlign w:val="superscript"/>
          </w:rPr>
          <w:t>1404</w:t>
        </w:r>
      </w:hyperlink>
      <w:r w:rsidR="00033D0F">
        <w:rPr>
          <w:spacing w:val="-11"/>
          <w:position w:val="1"/>
        </w:rPr>
        <w:t xml:space="preserve"> </w:t>
      </w:r>
      <w:r w:rsidR="00033D0F">
        <w:rPr>
          <w:position w:val="1"/>
        </w:rPr>
        <w:t xml:space="preserve">Australia </w:t>
      </w:r>
      <w:r w:rsidR="00033D0F">
        <w:t>has established that MOFCOM did not provide its findings and conclusions reached on all matters of fact and law and reasons in its Final Determination which led to the imposition of</w:t>
      </w:r>
    </w:p>
    <w:p w14:paraId="07E27EA2" w14:textId="6CCC4DCE" w:rsidR="00BD462C" w:rsidRDefault="00BD462C">
      <w:pPr>
        <w:pStyle w:val="BodyText"/>
        <w:spacing w:before="11"/>
        <w:rPr>
          <w:sz w:val="26"/>
        </w:rPr>
      </w:pPr>
    </w:p>
    <w:p w14:paraId="1720C367" w14:textId="77777777" w:rsidR="00BD462C" w:rsidRDefault="00033D0F">
      <w:pPr>
        <w:spacing w:before="112"/>
        <w:ind w:left="135"/>
        <w:rPr>
          <w:sz w:val="18"/>
        </w:rPr>
      </w:pPr>
      <w:bookmarkStart w:id="1875" w:name="_bookmark1618"/>
      <w:bookmarkEnd w:id="1875"/>
      <w:r>
        <w:rPr>
          <w:position w:val="5"/>
          <w:sz w:val="12"/>
        </w:rPr>
        <w:t>1402</w:t>
      </w:r>
      <w:r>
        <w:rPr>
          <w:spacing w:val="11"/>
          <w:position w:val="5"/>
          <w:sz w:val="12"/>
        </w:rPr>
        <w:t xml:space="preserve"> </w:t>
      </w:r>
      <w:r>
        <w:rPr>
          <w:sz w:val="18"/>
        </w:rPr>
        <w:t>Australia's</w:t>
      </w:r>
      <w:r>
        <w:rPr>
          <w:spacing w:val="-6"/>
          <w:sz w:val="18"/>
        </w:rPr>
        <w:t xml:space="preserve"> </w:t>
      </w:r>
      <w:r>
        <w:rPr>
          <w:sz w:val="18"/>
        </w:rPr>
        <w:t>first</w:t>
      </w:r>
      <w:r>
        <w:rPr>
          <w:spacing w:val="-6"/>
          <w:sz w:val="18"/>
        </w:rPr>
        <w:t xml:space="preserve"> </w:t>
      </w:r>
      <w:r>
        <w:rPr>
          <w:sz w:val="18"/>
        </w:rPr>
        <w:t>written</w:t>
      </w:r>
      <w:r>
        <w:rPr>
          <w:spacing w:val="-3"/>
          <w:sz w:val="18"/>
        </w:rPr>
        <w:t xml:space="preserve"> </w:t>
      </w:r>
      <w:r>
        <w:rPr>
          <w:sz w:val="18"/>
        </w:rPr>
        <w:t>submission, para.</w:t>
      </w:r>
      <w:r>
        <w:rPr>
          <w:spacing w:val="-6"/>
          <w:sz w:val="18"/>
        </w:rPr>
        <w:t xml:space="preserve"> </w:t>
      </w:r>
      <w:r>
        <w:rPr>
          <w:sz w:val="18"/>
        </w:rPr>
        <w:t>1073;</w:t>
      </w:r>
      <w:r>
        <w:rPr>
          <w:spacing w:val="-4"/>
          <w:sz w:val="18"/>
        </w:rPr>
        <w:t xml:space="preserve"> </w:t>
      </w:r>
      <w:r>
        <w:rPr>
          <w:sz w:val="18"/>
        </w:rPr>
        <w:t>China's</w:t>
      </w:r>
      <w:r>
        <w:rPr>
          <w:spacing w:val="-6"/>
          <w:sz w:val="18"/>
        </w:rPr>
        <w:t xml:space="preserve"> </w:t>
      </w:r>
      <w:r>
        <w:rPr>
          <w:sz w:val="18"/>
        </w:rPr>
        <w:t>first</w:t>
      </w:r>
      <w:r>
        <w:rPr>
          <w:spacing w:val="-6"/>
          <w:sz w:val="18"/>
        </w:rPr>
        <w:t xml:space="preserve"> </w:t>
      </w:r>
      <w:r>
        <w:rPr>
          <w:sz w:val="18"/>
        </w:rPr>
        <w:t>written</w:t>
      </w:r>
      <w:r>
        <w:rPr>
          <w:spacing w:val="-3"/>
          <w:sz w:val="18"/>
        </w:rPr>
        <w:t xml:space="preserve"> </w:t>
      </w:r>
      <w:r>
        <w:rPr>
          <w:sz w:val="18"/>
        </w:rPr>
        <w:t>submission,</w:t>
      </w:r>
      <w:r>
        <w:rPr>
          <w:spacing w:val="-5"/>
          <w:sz w:val="18"/>
        </w:rPr>
        <w:t xml:space="preserve"> </w:t>
      </w:r>
      <w:r>
        <w:rPr>
          <w:sz w:val="18"/>
        </w:rPr>
        <w:t>paras.</w:t>
      </w:r>
      <w:r>
        <w:rPr>
          <w:spacing w:val="-5"/>
          <w:sz w:val="18"/>
        </w:rPr>
        <w:t xml:space="preserve"> </w:t>
      </w:r>
      <w:r>
        <w:rPr>
          <w:sz w:val="18"/>
        </w:rPr>
        <w:t>2582-</w:t>
      </w:r>
      <w:r>
        <w:rPr>
          <w:spacing w:val="-2"/>
          <w:sz w:val="18"/>
        </w:rPr>
        <w:t>2583.</w:t>
      </w:r>
    </w:p>
    <w:p w14:paraId="5EF502E2" w14:textId="77777777" w:rsidR="00BD462C" w:rsidRDefault="00033D0F">
      <w:pPr>
        <w:spacing w:before="1"/>
        <w:ind w:left="135"/>
        <w:rPr>
          <w:sz w:val="18"/>
        </w:rPr>
      </w:pPr>
      <w:bookmarkStart w:id="1876" w:name="_bookmark1619"/>
      <w:bookmarkEnd w:id="1876"/>
      <w:r>
        <w:rPr>
          <w:position w:val="5"/>
          <w:sz w:val="12"/>
        </w:rPr>
        <w:t>1403</w:t>
      </w:r>
      <w:r>
        <w:rPr>
          <w:spacing w:val="12"/>
          <w:position w:val="5"/>
          <w:sz w:val="12"/>
        </w:rPr>
        <w:t xml:space="preserve"> </w:t>
      </w:r>
      <w:r>
        <w:rPr>
          <w:sz w:val="18"/>
        </w:rPr>
        <w:t>Australia's</w:t>
      </w:r>
      <w:r>
        <w:rPr>
          <w:spacing w:val="-5"/>
          <w:sz w:val="18"/>
        </w:rPr>
        <w:t xml:space="preserve"> </w:t>
      </w:r>
      <w:r>
        <w:rPr>
          <w:sz w:val="18"/>
        </w:rPr>
        <w:t>first</w:t>
      </w:r>
      <w:r>
        <w:rPr>
          <w:spacing w:val="-5"/>
          <w:sz w:val="18"/>
        </w:rPr>
        <w:t xml:space="preserve"> </w:t>
      </w:r>
      <w:r>
        <w:rPr>
          <w:sz w:val="18"/>
        </w:rPr>
        <w:t>written</w:t>
      </w:r>
      <w:r>
        <w:rPr>
          <w:spacing w:val="-2"/>
          <w:sz w:val="18"/>
        </w:rPr>
        <w:t xml:space="preserve"> </w:t>
      </w:r>
      <w:r>
        <w:rPr>
          <w:sz w:val="18"/>
        </w:rPr>
        <w:t>submission,</w:t>
      </w:r>
      <w:r>
        <w:rPr>
          <w:spacing w:val="-3"/>
          <w:sz w:val="18"/>
        </w:rPr>
        <w:t xml:space="preserve"> </w:t>
      </w:r>
      <w:r>
        <w:rPr>
          <w:sz w:val="18"/>
        </w:rPr>
        <w:t>section</w:t>
      </w:r>
      <w:r>
        <w:rPr>
          <w:spacing w:val="-10"/>
          <w:sz w:val="18"/>
        </w:rPr>
        <w:t xml:space="preserve"> </w:t>
      </w:r>
      <w:r>
        <w:rPr>
          <w:sz w:val="18"/>
        </w:rPr>
        <w:t>VII.H,</w:t>
      </w:r>
      <w:r>
        <w:rPr>
          <w:spacing w:val="-1"/>
          <w:sz w:val="18"/>
        </w:rPr>
        <w:t xml:space="preserve"> </w:t>
      </w:r>
      <w:r>
        <w:rPr>
          <w:sz w:val="18"/>
        </w:rPr>
        <w:t>paras.</w:t>
      </w:r>
      <w:r>
        <w:rPr>
          <w:spacing w:val="-4"/>
          <w:sz w:val="18"/>
        </w:rPr>
        <w:t xml:space="preserve"> </w:t>
      </w:r>
      <w:r>
        <w:rPr>
          <w:sz w:val="18"/>
        </w:rPr>
        <w:t>1070-</w:t>
      </w:r>
      <w:r>
        <w:rPr>
          <w:spacing w:val="-4"/>
          <w:sz w:val="18"/>
        </w:rPr>
        <w:t>1129.</w:t>
      </w:r>
    </w:p>
    <w:p w14:paraId="787C8857" w14:textId="77777777" w:rsidR="00BD462C" w:rsidRDefault="00033D0F">
      <w:pPr>
        <w:spacing w:before="1"/>
        <w:ind w:left="135"/>
        <w:rPr>
          <w:sz w:val="18"/>
        </w:rPr>
      </w:pPr>
      <w:bookmarkStart w:id="1877" w:name="_bookmark1620"/>
      <w:bookmarkEnd w:id="1877"/>
      <w:r>
        <w:rPr>
          <w:position w:val="5"/>
          <w:sz w:val="12"/>
        </w:rPr>
        <w:t>1404</w:t>
      </w:r>
      <w:r>
        <w:rPr>
          <w:spacing w:val="13"/>
          <w:position w:val="5"/>
          <w:sz w:val="12"/>
        </w:rPr>
        <w:t xml:space="preserve"> </w:t>
      </w:r>
      <w:r>
        <w:rPr>
          <w:sz w:val="18"/>
        </w:rPr>
        <w:t>Australia's response</w:t>
      </w:r>
      <w:r>
        <w:rPr>
          <w:spacing w:val="-5"/>
          <w:sz w:val="18"/>
        </w:rPr>
        <w:t xml:space="preserve"> </w:t>
      </w:r>
      <w:r>
        <w:rPr>
          <w:sz w:val="18"/>
        </w:rPr>
        <w:t>to</w:t>
      </w:r>
      <w:r>
        <w:rPr>
          <w:spacing w:val="-6"/>
          <w:sz w:val="18"/>
        </w:rPr>
        <w:t xml:space="preserve"> </w:t>
      </w:r>
      <w:r>
        <w:rPr>
          <w:sz w:val="18"/>
        </w:rPr>
        <w:t>Panel</w:t>
      </w:r>
      <w:r>
        <w:rPr>
          <w:spacing w:val="-4"/>
          <w:sz w:val="18"/>
        </w:rPr>
        <w:t xml:space="preserve"> </w:t>
      </w:r>
      <w:r>
        <w:rPr>
          <w:sz w:val="18"/>
        </w:rPr>
        <w:t>question</w:t>
      </w:r>
      <w:r>
        <w:rPr>
          <w:spacing w:val="-5"/>
          <w:sz w:val="18"/>
        </w:rPr>
        <w:t xml:space="preserve"> </w:t>
      </w:r>
      <w:r>
        <w:rPr>
          <w:sz w:val="18"/>
        </w:rPr>
        <w:t>No.</w:t>
      </w:r>
      <w:r>
        <w:rPr>
          <w:spacing w:val="-4"/>
          <w:sz w:val="18"/>
        </w:rPr>
        <w:t xml:space="preserve"> </w:t>
      </w:r>
      <w:r>
        <w:rPr>
          <w:sz w:val="18"/>
        </w:rPr>
        <w:t>70,</w:t>
      </w:r>
      <w:r>
        <w:rPr>
          <w:spacing w:val="-3"/>
          <w:sz w:val="18"/>
        </w:rPr>
        <w:t xml:space="preserve"> </w:t>
      </w:r>
      <w:r>
        <w:rPr>
          <w:sz w:val="18"/>
        </w:rPr>
        <w:t>paras. 223-</w:t>
      </w:r>
      <w:r>
        <w:rPr>
          <w:spacing w:val="-4"/>
          <w:sz w:val="18"/>
        </w:rPr>
        <w:t>226.</w:t>
      </w:r>
    </w:p>
    <w:p w14:paraId="5C87758E" w14:textId="77777777" w:rsidR="00BD462C" w:rsidRDefault="00BD462C">
      <w:pPr>
        <w:rPr>
          <w:sz w:val="18"/>
        </w:rPr>
        <w:sectPr w:rsidR="00BD462C">
          <w:pgSz w:w="11910" w:h="16840"/>
          <w:pgMar w:top="860" w:right="500" w:bottom="780" w:left="1280" w:header="566" w:footer="590" w:gutter="0"/>
          <w:cols w:space="720"/>
        </w:sectPr>
      </w:pPr>
    </w:p>
    <w:p w14:paraId="53B59D7B" w14:textId="77777777" w:rsidR="00BD462C" w:rsidRDefault="00033D0F">
      <w:pPr>
        <w:tabs>
          <w:tab w:val="left" w:pos="6087"/>
        </w:tabs>
        <w:spacing w:before="1"/>
        <w:ind w:left="135"/>
        <w:jc w:val="both"/>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796749CD" w14:textId="77777777" w:rsidR="00BD462C" w:rsidRDefault="00033D0F">
      <w:pPr>
        <w:spacing w:before="1"/>
        <w:ind w:left="135"/>
        <w:jc w:val="both"/>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0A8740AD" w14:textId="77777777" w:rsidR="00BD462C" w:rsidRDefault="00033D0F">
      <w:pPr>
        <w:tabs>
          <w:tab w:val="left" w:pos="7652"/>
        </w:tabs>
        <w:ind w:left="135"/>
        <w:jc w:val="both"/>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01C8E26D" w14:textId="77777777" w:rsidR="00BD462C" w:rsidRDefault="00033D0F">
      <w:pPr>
        <w:pStyle w:val="BodyText"/>
        <w:spacing w:before="102" w:line="360" w:lineRule="auto"/>
        <w:ind w:left="136" w:right="910"/>
        <w:jc w:val="both"/>
      </w:pPr>
      <w:r>
        <w:t>final measures, as required by Articles 12.2 and 12.2.2 of the Anti-Dumping Agreement. In particular,</w:t>
      </w:r>
      <w:r>
        <w:rPr>
          <w:spacing w:val="-1"/>
        </w:rPr>
        <w:t xml:space="preserve"> </w:t>
      </w:r>
      <w:r>
        <w:t>MOFCOM</w:t>
      </w:r>
      <w:r>
        <w:rPr>
          <w:spacing w:val="-3"/>
        </w:rPr>
        <w:t xml:space="preserve"> </w:t>
      </w:r>
      <w:r>
        <w:t>failed</w:t>
      </w:r>
      <w:r>
        <w:rPr>
          <w:spacing w:val="-5"/>
        </w:rPr>
        <w:t xml:space="preserve"> </w:t>
      </w:r>
      <w:r>
        <w:t>to</w:t>
      </w:r>
      <w:r>
        <w:rPr>
          <w:spacing w:val="-6"/>
        </w:rPr>
        <w:t xml:space="preserve"> </w:t>
      </w:r>
      <w:r>
        <w:t>provide</w:t>
      </w:r>
      <w:r>
        <w:rPr>
          <w:spacing w:val="-4"/>
        </w:rPr>
        <w:t xml:space="preserve"> </w:t>
      </w:r>
      <w:r>
        <w:t>all</w:t>
      </w:r>
      <w:r>
        <w:rPr>
          <w:spacing w:val="-1"/>
        </w:rPr>
        <w:t xml:space="preserve"> </w:t>
      </w:r>
      <w:r>
        <w:t>relevant</w:t>
      </w:r>
      <w:r>
        <w:rPr>
          <w:spacing w:val="-8"/>
        </w:rPr>
        <w:t xml:space="preserve"> </w:t>
      </w:r>
      <w:r>
        <w:t>information</w:t>
      </w:r>
      <w:r>
        <w:rPr>
          <w:spacing w:val="-5"/>
        </w:rPr>
        <w:t xml:space="preserve"> </w:t>
      </w:r>
      <w:r>
        <w:t>and</w:t>
      </w:r>
      <w:r>
        <w:rPr>
          <w:spacing w:val="-5"/>
        </w:rPr>
        <w:t xml:space="preserve"> </w:t>
      </w:r>
      <w:r>
        <w:t>reasons</w:t>
      </w:r>
      <w:r>
        <w:rPr>
          <w:spacing w:val="-2"/>
        </w:rPr>
        <w:t xml:space="preserve"> </w:t>
      </w:r>
      <w:r>
        <w:t>on:</w:t>
      </w:r>
      <w:r>
        <w:rPr>
          <w:spacing w:val="-6"/>
        </w:rPr>
        <w:t xml:space="preserve"> </w:t>
      </w:r>
      <w:r>
        <w:t>(i)</w:t>
      </w:r>
      <w:r>
        <w:rPr>
          <w:spacing w:val="-5"/>
        </w:rPr>
        <w:t xml:space="preserve"> </w:t>
      </w:r>
      <w:r>
        <w:t>its</w:t>
      </w:r>
      <w:r>
        <w:rPr>
          <w:spacing w:val="-2"/>
        </w:rPr>
        <w:t xml:space="preserve"> </w:t>
      </w:r>
      <w:r>
        <w:t>estimate of the volume of total domestic production (output); (ii) its recourse to "facts available" to determine normal value; (iii) the average unit prices of subject imports and domestic like products; (iv) adjustments to ensure a fair comparison of normal value and export price; (v) the differences affecting price comparability; (vi) the methodology for calculating dumping margins; and (vii) the determination of injury and causation.</w:t>
      </w:r>
    </w:p>
    <w:p w14:paraId="12A31E35" w14:textId="77777777" w:rsidR="00BD462C" w:rsidRDefault="00BD462C">
      <w:pPr>
        <w:pStyle w:val="BodyText"/>
        <w:spacing w:before="10"/>
        <w:rPr>
          <w:sz w:val="8"/>
        </w:rPr>
      </w:pPr>
    </w:p>
    <w:p w14:paraId="16CA89FC" w14:textId="337481D6" w:rsidR="00BD462C" w:rsidRDefault="00D443C8">
      <w:pPr>
        <w:pStyle w:val="BodyText"/>
        <w:spacing w:before="56" w:line="357" w:lineRule="auto"/>
        <w:ind w:left="136" w:right="917"/>
        <w:jc w:val="both"/>
      </w:pPr>
      <w:r>
        <w:rPr>
          <w:noProof/>
        </w:rPr>
        <w:t>968.</w:t>
      </w:r>
      <w:r w:rsidR="00033D0F">
        <w:rPr>
          <w:rFonts w:ascii="Times New Roman"/>
          <w:spacing w:val="80"/>
          <w:position w:val="1"/>
          <w:sz w:val="20"/>
        </w:rPr>
        <w:t xml:space="preserve"> </w:t>
      </w:r>
      <w:r w:rsidR="00033D0F">
        <w:rPr>
          <w:position w:val="1"/>
        </w:rPr>
        <w:t xml:space="preserve">In relation to this claim, Australia notes that China has raised certain jurisdictional </w:t>
      </w:r>
      <w:r w:rsidR="00033D0F">
        <w:t xml:space="preserve">objections in its first written submission. These objections are entirely without merit, and Australia has addressed these objections where appropriate in this submission. </w:t>
      </w:r>
      <w:hyperlink w:anchor="_bookmark1622" w:history="1">
        <w:r w:rsidR="00033D0F">
          <w:rPr>
            <w:vertAlign w:val="superscript"/>
          </w:rPr>
          <w:t>1405</w:t>
        </w:r>
      </w:hyperlink>
    </w:p>
    <w:p w14:paraId="731C51E6" w14:textId="77777777" w:rsidR="00BD462C" w:rsidRDefault="00033D0F">
      <w:pPr>
        <w:pStyle w:val="Heading3"/>
        <w:numPr>
          <w:ilvl w:val="0"/>
          <w:numId w:val="12"/>
        </w:numPr>
        <w:tabs>
          <w:tab w:val="left" w:pos="2689"/>
          <w:tab w:val="left" w:pos="2690"/>
        </w:tabs>
        <w:spacing w:before="165"/>
        <w:jc w:val="both"/>
      </w:pPr>
      <w:bookmarkStart w:id="1878" w:name="2._Legal_Framework"/>
      <w:bookmarkStart w:id="1879" w:name="_bookmark1621"/>
      <w:bookmarkEnd w:id="1878"/>
      <w:bookmarkEnd w:id="1879"/>
      <w:r>
        <w:t>Legal</w:t>
      </w:r>
      <w:r>
        <w:rPr>
          <w:spacing w:val="-3"/>
        </w:rPr>
        <w:t xml:space="preserve"> </w:t>
      </w:r>
      <w:r>
        <w:rPr>
          <w:spacing w:val="-2"/>
        </w:rPr>
        <w:t>Framework</w:t>
      </w:r>
    </w:p>
    <w:p w14:paraId="207EDE17" w14:textId="77777777" w:rsidR="00BD462C" w:rsidRDefault="00BD462C">
      <w:pPr>
        <w:pStyle w:val="BodyText"/>
        <w:spacing w:before="11"/>
        <w:rPr>
          <w:b/>
          <w:sz w:val="20"/>
        </w:rPr>
      </w:pPr>
    </w:p>
    <w:p w14:paraId="3E1AE3CF" w14:textId="41E587F8" w:rsidR="00BD462C" w:rsidRDefault="00D443C8">
      <w:pPr>
        <w:pStyle w:val="BodyText"/>
        <w:spacing w:before="56" w:line="357" w:lineRule="auto"/>
        <w:ind w:left="136" w:right="916"/>
        <w:jc w:val="both"/>
      </w:pPr>
      <w:r>
        <w:rPr>
          <w:noProof/>
        </w:rPr>
        <w:t>969.</w:t>
      </w:r>
      <w:r w:rsidR="00033D0F">
        <w:rPr>
          <w:rFonts w:ascii="Times New Roman"/>
          <w:spacing w:val="80"/>
          <w:position w:val="1"/>
          <w:sz w:val="20"/>
        </w:rPr>
        <w:t xml:space="preserve">  </w:t>
      </w:r>
      <w:r w:rsidR="00033D0F">
        <w:rPr>
          <w:position w:val="1"/>
        </w:rPr>
        <w:t>It is essential for all relevant information on the</w:t>
      </w:r>
      <w:r w:rsidR="00033D0F">
        <w:rPr>
          <w:spacing w:val="17"/>
          <w:position w:val="1"/>
        </w:rPr>
        <w:t xml:space="preserve"> </w:t>
      </w:r>
      <w:r w:rsidR="00033D0F">
        <w:rPr>
          <w:position w:val="1"/>
        </w:rPr>
        <w:t xml:space="preserve">matters of fact and law and reasons </w:t>
      </w:r>
      <w:r w:rsidR="00033D0F">
        <w:t xml:space="preserve">to be provided in the public notice under Articles 12.2 and 12.2.2 to allow for interested entities and the public to understand the reasoning behind an investigating authority's </w:t>
      </w:r>
      <w:r w:rsidR="00033D0F">
        <w:rPr>
          <w:spacing w:val="-2"/>
        </w:rPr>
        <w:t>determination.</w:t>
      </w:r>
    </w:p>
    <w:p w14:paraId="28A252AB" w14:textId="77777777" w:rsidR="00BD462C" w:rsidRDefault="00BD462C">
      <w:pPr>
        <w:pStyle w:val="BodyText"/>
        <w:spacing w:before="3"/>
        <w:rPr>
          <w:sz w:val="9"/>
        </w:rPr>
      </w:pPr>
    </w:p>
    <w:p w14:paraId="764A351F" w14:textId="5D583726" w:rsidR="00BD462C" w:rsidRDefault="00D443C8">
      <w:pPr>
        <w:pStyle w:val="BodyText"/>
        <w:spacing w:before="56" w:line="357" w:lineRule="auto"/>
        <w:ind w:left="135" w:right="923"/>
      </w:pPr>
      <w:r>
        <w:rPr>
          <w:noProof/>
        </w:rPr>
        <w:t>970.</w:t>
      </w:r>
      <w:r w:rsidR="00033D0F">
        <w:rPr>
          <w:rFonts w:ascii="Times New Roman"/>
          <w:spacing w:val="80"/>
          <w:position w:val="1"/>
          <w:sz w:val="20"/>
        </w:rPr>
        <w:t xml:space="preserve">  </w:t>
      </w:r>
      <w:r w:rsidR="00033D0F">
        <w:rPr>
          <w:position w:val="1"/>
        </w:rPr>
        <w:t>Australia</w:t>
      </w:r>
      <w:r w:rsidR="00033D0F">
        <w:rPr>
          <w:spacing w:val="-3"/>
          <w:position w:val="1"/>
        </w:rPr>
        <w:t xml:space="preserve"> </w:t>
      </w:r>
      <w:r w:rsidR="00033D0F">
        <w:rPr>
          <w:position w:val="1"/>
        </w:rPr>
        <w:t>and</w:t>
      </w:r>
      <w:r w:rsidR="00033D0F">
        <w:rPr>
          <w:spacing w:val="-4"/>
          <w:position w:val="1"/>
        </w:rPr>
        <w:t xml:space="preserve"> </w:t>
      </w:r>
      <w:r w:rsidR="00033D0F">
        <w:rPr>
          <w:position w:val="1"/>
        </w:rPr>
        <w:t>China</w:t>
      </w:r>
      <w:r w:rsidR="00033D0F">
        <w:rPr>
          <w:spacing w:val="-3"/>
          <w:position w:val="1"/>
        </w:rPr>
        <w:t xml:space="preserve"> </w:t>
      </w:r>
      <w:r w:rsidR="00033D0F">
        <w:rPr>
          <w:position w:val="1"/>
        </w:rPr>
        <w:t>disagree</w:t>
      </w:r>
      <w:r w:rsidR="00033D0F">
        <w:rPr>
          <w:spacing w:val="-2"/>
          <w:position w:val="1"/>
        </w:rPr>
        <w:t xml:space="preserve"> </w:t>
      </w:r>
      <w:r w:rsidR="00033D0F">
        <w:rPr>
          <w:position w:val="1"/>
        </w:rPr>
        <w:t>on</w:t>
      </w:r>
      <w:r w:rsidR="00033D0F">
        <w:rPr>
          <w:spacing w:val="-4"/>
          <w:position w:val="1"/>
        </w:rPr>
        <w:t xml:space="preserve"> </w:t>
      </w:r>
      <w:r w:rsidR="00033D0F">
        <w:rPr>
          <w:position w:val="1"/>
        </w:rPr>
        <w:t>certain</w:t>
      </w:r>
      <w:r w:rsidR="00033D0F">
        <w:rPr>
          <w:spacing w:val="-4"/>
          <w:position w:val="1"/>
        </w:rPr>
        <w:t xml:space="preserve"> </w:t>
      </w:r>
      <w:r w:rsidR="00033D0F">
        <w:rPr>
          <w:position w:val="1"/>
        </w:rPr>
        <w:t>aspects</w:t>
      </w:r>
      <w:r w:rsidR="00033D0F">
        <w:rPr>
          <w:spacing w:val="-1"/>
          <w:position w:val="1"/>
        </w:rPr>
        <w:t xml:space="preserve"> </w:t>
      </w:r>
      <w:r w:rsidR="00033D0F">
        <w:rPr>
          <w:position w:val="1"/>
        </w:rPr>
        <w:t>of the</w:t>
      </w:r>
      <w:r w:rsidR="00033D0F">
        <w:rPr>
          <w:spacing w:val="-3"/>
          <w:position w:val="1"/>
        </w:rPr>
        <w:t xml:space="preserve"> </w:t>
      </w:r>
      <w:r w:rsidR="00033D0F">
        <w:rPr>
          <w:position w:val="1"/>
        </w:rPr>
        <w:t>applicable</w:t>
      </w:r>
      <w:r w:rsidR="00033D0F">
        <w:rPr>
          <w:spacing w:val="-2"/>
          <w:position w:val="1"/>
        </w:rPr>
        <w:t xml:space="preserve"> </w:t>
      </w:r>
      <w:r w:rsidR="00033D0F">
        <w:rPr>
          <w:position w:val="1"/>
        </w:rPr>
        <w:t>legal standard</w:t>
      </w:r>
      <w:r w:rsidR="00033D0F">
        <w:rPr>
          <w:spacing w:val="-4"/>
          <w:position w:val="1"/>
        </w:rPr>
        <w:t xml:space="preserve"> </w:t>
      </w:r>
      <w:r w:rsidR="00033D0F">
        <w:rPr>
          <w:position w:val="1"/>
        </w:rPr>
        <w:t xml:space="preserve">under </w:t>
      </w:r>
      <w:r w:rsidR="00033D0F">
        <w:t>Articles 12.2 and 12.2.2, including:</w:t>
      </w:r>
    </w:p>
    <w:p w14:paraId="17E4DFA6" w14:textId="77777777" w:rsidR="00BD462C" w:rsidRDefault="00033D0F">
      <w:pPr>
        <w:pStyle w:val="ListParagraph"/>
        <w:numPr>
          <w:ilvl w:val="0"/>
          <w:numId w:val="11"/>
        </w:numPr>
        <w:tabs>
          <w:tab w:val="left" w:pos="1835"/>
          <w:tab w:val="left" w:pos="1836"/>
        </w:tabs>
        <w:spacing w:before="161" w:line="357" w:lineRule="auto"/>
        <w:ind w:right="918" w:hanging="855"/>
        <w:rPr>
          <w:sz w:val="24"/>
        </w:rPr>
      </w:pPr>
      <w:r>
        <w:rPr>
          <w:sz w:val="24"/>
        </w:rPr>
        <w:t>whether</w:t>
      </w:r>
      <w:r>
        <w:rPr>
          <w:spacing w:val="-14"/>
          <w:sz w:val="24"/>
        </w:rPr>
        <w:t xml:space="preserve"> </w:t>
      </w:r>
      <w:r>
        <w:rPr>
          <w:sz w:val="24"/>
        </w:rPr>
        <w:t>the</w:t>
      </w:r>
      <w:r>
        <w:rPr>
          <w:spacing w:val="-13"/>
          <w:sz w:val="24"/>
        </w:rPr>
        <w:t xml:space="preserve"> </w:t>
      </w:r>
      <w:r>
        <w:rPr>
          <w:sz w:val="24"/>
        </w:rPr>
        <w:t>link</w:t>
      </w:r>
      <w:r>
        <w:rPr>
          <w:spacing w:val="-11"/>
          <w:sz w:val="24"/>
        </w:rPr>
        <w:t xml:space="preserve"> </w:t>
      </w:r>
      <w:r>
        <w:rPr>
          <w:sz w:val="24"/>
        </w:rPr>
        <w:t>between</w:t>
      </w:r>
      <w:r>
        <w:rPr>
          <w:spacing w:val="-14"/>
          <w:sz w:val="24"/>
        </w:rPr>
        <w:t xml:space="preserve"> </w:t>
      </w:r>
      <w:r>
        <w:rPr>
          <w:sz w:val="24"/>
        </w:rPr>
        <w:t>an</w:t>
      </w:r>
      <w:r>
        <w:rPr>
          <w:spacing w:val="-14"/>
          <w:sz w:val="24"/>
        </w:rPr>
        <w:t xml:space="preserve"> </w:t>
      </w:r>
      <w:r>
        <w:rPr>
          <w:sz w:val="24"/>
        </w:rPr>
        <w:t>Article</w:t>
      </w:r>
      <w:r>
        <w:rPr>
          <w:spacing w:val="-11"/>
          <w:sz w:val="24"/>
        </w:rPr>
        <w:t xml:space="preserve"> </w:t>
      </w:r>
      <w:r>
        <w:rPr>
          <w:sz w:val="24"/>
        </w:rPr>
        <w:t>6.9</w:t>
      </w:r>
      <w:r>
        <w:rPr>
          <w:spacing w:val="-14"/>
          <w:sz w:val="24"/>
        </w:rPr>
        <w:t xml:space="preserve"> </w:t>
      </w:r>
      <w:r>
        <w:rPr>
          <w:sz w:val="24"/>
        </w:rPr>
        <w:t>claim</w:t>
      </w:r>
      <w:r>
        <w:rPr>
          <w:spacing w:val="-12"/>
          <w:sz w:val="24"/>
        </w:rPr>
        <w:t xml:space="preserve"> </w:t>
      </w:r>
      <w:r>
        <w:rPr>
          <w:sz w:val="24"/>
        </w:rPr>
        <w:t>and</w:t>
      </w:r>
      <w:r>
        <w:rPr>
          <w:spacing w:val="-14"/>
          <w:sz w:val="24"/>
        </w:rPr>
        <w:t xml:space="preserve"> </w:t>
      </w:r>
      <w:r>
        <w:rPr>
          <w:sz w:val="24"/>
        </w:rPr>
        <w:t>a</w:t>
      </w:r>
      <w:r>
        <w:rPr>
          <w:spacing w:val="-12"/>
          <w:sz w:val="24"/>
        </w:rPr>
        <w:t xml:space="preserve"> </w:t>
      </w:r>
      <w:r>
        <w:rPr>
          <w:sz w:val="24"/>
        </w:rPr>
        <w:t>claim</w:t>
      </w:r>
      <w:r>
        <w:rPr>
          <w:spacing w:val="-12"/>
          <w:sz w:val="24"/>
        </w:rPr>
        <w:t xml:space="preserve"> </w:t>
      </w:r>
      <w:r>
        <w:rPr>
          <w:sz w:val="24"/>
        </w:rPr>
        <w:t>under</w:t>
      </w:r>
      <w:r>
        <w:rPr>
          <w:spacing w:val="-14"/>
          <w:sz w:val="24"/>
        </w:rPr>
        <w:t xml:space="preserve"> </w:t>
      </w:r>
      <w:r>
        <w:rPr>
          <w:sz w:val="24"/>
        </w:rPr>
        <w:t>Articles</w:t>
      </w:r>
      <w:r>
        <w:rPr>
          <w:spacing w:val="-10"/>
          <w:sz w:val="24"/>
        </w:rPr>
        <w:t xml:space="preserve"> </w:t>
      </w:r>
      <w:r>
        <w:rPr>
          <w:sz w:val="24"/>
        </w:rPr>
        <w:t xml:space="preserve">12.2 and 12.2.2 applies as China </w:t>
      </w:r>
      <w:proofErr w:type="gramStart"/>
      <w:r>
        <w:rPr>
          <w:sz w:val="24"/>
        </w:rPr>
        <w:t>suggests;</w:t>
      </w:r>
      <w:proofErr w:type="gramEnd"/>
    </w:p>
    <w:p w14:paraId="4264A0AC" w14:textId="77777777" w:rsidR="00BD462C" w:rsidRDefault="00033D0F">
      <w:pPr>
        <w:pStyle w:val="ListParagraph"/>
        <w:numPr>
          <w:ilvl w:val="0"/>
          <w:numId w:val="11"/>
        </w:numPr>
        <w:tabs>
          <w:tab w:val="left" w:pos="1835"/>
          <w:tab w:val="left" w:pos="1836"/>
        </w:tabs>
        <w:spacing w:before="122" w:line="360" w:lineRule="auto"/>
        <w:ind w:right="917" w:hanging="855"/>
        <w:rPr>
          <w:sz w:val="24"/>
        </w:rPr>
      </w:pPr>
      <w:r>
        <w:rPr>
          <w:sz w:val="24"/>
        </w:rPr>
        <w:t>whether</w:t>
      </w:r>
      <w:r>
        <w:rPr>
          <w:spacing w:val="-6"/>
          <w:sz w:val="24"/>
        </w:rPr>
        <w:t xml:space="preserve"> </w:t>
      </w:r>
      <w:r>
        <w:rPr>
          <w:sz w:val="24"/>
        </w:rPr>
        <w:t>the</w:t>
      </w:r>
      <w:r>
        <w:rPr>
          <w:spacing w:val="-4"/>
          <w:sz w:val="24"/>
        </w:rPr>
        <w:t xml:space="preserve"> </w:t>
      </w:r>
      <w:r>
        <w:rPr>
          <w:sz w:val="24"/>
        </w:rPr>
        <w:t>scope</w:t>
      </w:r>
      <w:r>
        <w:rPr>
          <w:spacing w:val="-4"/>
          <w:sz w:val="24"/>
        </w:rPr>
        <w:t xml:space="preserve"> </w:t>
      </w:r>
      <w:r>
        <w:rPr>
          <w:sz w:val="24"/>
        </w:rPr>
        <w:t>of</w:t>
      </w:r>
      <w:r>
        <w:rPr>
          <w:spacing w:val="-5"/>
          <w:sz w:val="24"/>
        </w:rPr>
        <w:t xml:space="preserve"> </w:t>
      </w:r>
      <w:r>
        <w:rPr>
          <w:sz w:val="24"/>
        </w:rPr>
        <w:t>Articles</w:t>
      </w:r>
      <w:r>
        <w:rPr>
          <w:spacing w:val="-2"/>
          <w:sz w:val="24"/>
        </w:rPr>
        <w:t xml:space="preserve"> </w:t>
      </w:r>
      <w:r>
        <w:rPr>
          <w:sz w:val="24"/>
        </w:rPr>
        <w:t>12.2</w:t>
      </w:r>
      <w:r>
        <w:rPr>
          <w:spacing w:val="-6"/>
          <w:sz w:val="24"/>
        </w:rPr>
        <w:t xml:space="preserve"> </w:t>
      </w:r>
      <w:r>
        <w:rPr>
          <w:sz w:val="24"/>
        </w:rPr>
        <w:t>and</w:t>
      </w:r>
      <w:r>
        <w:rPr>
          <w:spacing w:val="-5"/>
          <w:sz w:val="24"/>
        </w:rPr>
        <w:t xml:space="preserve"> </w:t>
      </w:r>
      <w:r>
        <w:rPr>
          <w:sz w:val="24"/>
        </w:rPr>
        <w:t>12.2.2</w:t>
      </w:r>
      <w:r>
        <w:rPr>
          <w:spacing w:val="-6"/>
          <w:sz w:val="24"/>
        </w:rPr>
        <w:t xml:space="preserve"> </w:t>
      </w:r>
      <w:r>
        <w:rPr>
          <w:sz w:val="24"/>
        </w:rPr>
        <w:t>is</w:t>
      </w:r>
      <w:r>
        <w:rPr>
          <w:spacing w:val="-2"/>
          <w:sz w:val="24"/>
        </w:rPr>
        <w:t xml:space="preserve"> </w:t>
      </w:r>
      <w:r>
        <w:rPr>
          <w:sz w:val="24"/>
        </w:rPr>
        <w:t>as</w:t>
      </w:r>
      <w:r>
        <w:rPr>
          <w:spacing w:val="-7"/>
          <w:sz w:val="24"/>
        </w:rPr>
        <w:t xml:space="preserve"> </w:t>
      </w:r>
      <w:r>
        <w:rPr>
          <w:sz w:val="24"/>
        </w:rPr>
        <w:t>limited</w:t>
      </w:r>
      <w:r>
        <w:rPr>
          <w:spacing w:val="-5"/>
          <w:sz w:val="24"/>
        </w:rPr>
        <w:t xml:space="preserve"> </w:t>
      </w:r>
      <w:r>
        <w:rPr>
          <w:sz w:val="24"/>
        </w:rPr>
        <w:t>as</w:t>
      </w:r>
      <w:r>
        <w:rPr>
          <w:spacing w:val="-2"/>
          <w:sz w:val="24"/>
        </w:rPr>
        <w:t xml:space="preserve"> </w:t>
      </w:r>
      <w:r>
        <w:rPr>
          <w:sz w:val="24"/>
        </w:rPr>
        <w:t>China</w:t>
      </w:r>
      <w:r>
        <w:rPr>
          <w:spacing w:val="-4"/>
          <w:sz w:val="24"/>
        </w:rPr>
        <w:t xml:space="preserve"> </w:t>
      </w:r>
      <w:r>
        <w:rPr>
          <w:sz w:val="24"/>
        </w:rPr>
        <w:t xml:space="preserve">submits; </w:t>
      </w:r>
      <w:r>
        <w:rPr>
          <w:spacing w:val="-4"/>
          <w:sz w:val="24"/>
        </w:rPr>
        <w:t>and</w:t>
      </w:r>
    </w:p>
    <w:p w14:paraId="2974B742" w14:textId="77777777" w:rsidR="00BD462C" w:rsidRDefault="00033D0F">
      <w:pPr>
        <w:pStyle w:val="ListParagraph"/>
        <w:numPr>
          <w:ilvl w:val="0"/>
          <w:numId w:val="11"/>
        </w:numPr>
        <w:tabs>
          <w:tab w:val="left" w:pos="1835"/>
          <w:tab w:val="left" w:pos="1836"/>
        </w:tabs>
        <w:spacing w:line="357" w:lineRule="auto"/>
        <w:ind w:right="917" w:hanging="855"/>
        <w:rPr>
          <w:sz w:val="24"/>
        </w:rPr>
      </w:pPr>
      <w:r>
        <w:rPr>
          <w:sz w:val="24"/>
        </w:rPr>
        <w:t>whether</w:t>
      </w:r>
      <w:r>
        <w:rPr>
          <w:spacing w:val="80"/>
          <w:sz w:val="24"/>
        </w:rPr>
        <w:t xml:space="preserve"> </w:t>
      </w:r>
      <w:r>
        <w:rPr>
          <w:sz w:val="24"/>
        </w:rPr>
        <w:t>methodologies</w:t>
      </w:r>
      <w:r>
        <w:rPr>
          <w:spacing w:val="80"/>
          <w:sz w:val="24"/>
        </w:rPr>
        <w:t xml:space="preserve"> </w:t>
      </w:r>
      <w:r>
        <w:rPr>
          <w:sz w:val="24"/>
        </w:rPr>
        <w:t>developed</w:t>
      </w:r>
      <w:r>
        <w:rPr>
          <w:spacing w:val="80"/>
          <w:sz w:val="24"/>
        </w:rPr>
        <w:t xml:space="preserve"> </w:t>
      </w:r>
      <w:r>
        <w:rPr>
          <w:sz w:val="24"/>
        </w:rPr>
        <w:t>and</w:t>
      </w:r>
      <w:r>
        <w:rPr>
          <w:spacing w:val="80"/>
          <w:sz w:val="24"/>
        </w:rPr>
        <w:t xml:space="preserve"> </w:t>
      </w:r>
      <w:r>
        <w:rPr>
          <w:sz w:val="24"/>
        </w:rPr>
        <w:t>applied</w:t>
      </w:r>
      <w:r>
        <w:rPr>
          <w:spacing w:val="80"/>
          <w:sz w:val="24"/>
        </w:rPr>
        <w:t xml:space="preserve"> </w:t>
      </w:r>
      <w:r>
        <w:rPr>
          <w:sz w:val="24"/>
        </w:rPr>
        <w:t>by</w:t>
      </w:r>
      <w:r>
        <w:rPr>
          <w:spacing w:val="80"/>
          <w:sz w:val="24"/>
        </w:rPr>
        <w:t xml:space="preserve"> </w:t>
      </w:r>
      <w:r>
        <w:rPr>
          <w:sz w:val="24"/>
        </w:rPr>
        <w:t>the</w:t>
      </w:r>
      <w:r>
        <w:rPr>
          <w:spacing w:val="80"/>
          <w:sz w:val="24"/>
        </w:rPr>
        <w:t xml:space="preserve"> </w:t>
      </w:r>
      <w:r>
        <w:rPr>
          <w:sz w:val="24"/>
        </w:rPr>
        <w:t>investigating authority are required to be disclosed under Articles 12.2 and 12.2.2.</w:t>
      </w:r>
    </w:p>
    <w:p w14:paraId="7DA73178" w14:textId="77777777" w:rsidR="00BD462C" w:rsidRDefault="00BD462C">
      <w:pPr>
        <w:pStyle w:val="BodyText"/>
        <w:rPr>
          <w:sz w:val="20"/>
        </w:rPr>
      </w:pPr>
    </w:p>
    <w:p w14:paraId="1221C846" w14:textId="77777777" w:rsidR="00BD462C" w:rsidRDefault="00BD462C">
      <w:pPr>
        <w:pStyle w:val="BodyText"/>
        <w:rPr>
          <w:sz w:val="20"/>
        </w:rPr>
      </w:pPr>
    </w:p>
    <w:p w14:paraId="350CECB0" w14:textId="77777777" w:rsidR="00BD462C" w:rsidRDefault="00BD462C">
      <w:pPr>
        <w:pStyle w:val="BodyText"/>
        <w:rPr>
          <w:sz w:val="20"/>
        </w:rPr>
      </w:pPr>
    </w:p>
    <w:p w14:paraId="4BE0EBD0" w14:textId="77777777" w:rsidR="00BD462C" w:rsidRDefault="00BD462C">
      <w:pPr>
        <w:pStyle w:val="BodyText"/>
        <w:rPr>
          <w:sz w:val="20"/>
        </w:rPr>
      </w:pPr>
    </w:p>
    <w:p w14:paraId="0EC3562B" w14:textId="77777777" w:rsidR="00BD462C" w:rsidRDefault="00BD462C">
      <w:pPr>
        <w:pStyle w:val="BodyText"/>
        <w:rPr>
          <w:sz w:val="20"/>
        </w:rPr>
      </w:pPr>
    </w:p>
    <w:p w14:paraId="76CD6DA9" w14:textId="77777777" w:rsidR="00BD462C" w:rsidRDefault="00BD462C">
      <w:pPr>
        <w:pStyle w:val="BodyText"/>
        <w:rPr>
          <w:sz w:val="20"/>
        </w:rPr>
      </w:pPr>
    </w:p>
    <w:p w14:paraId="41F4D585" w14:textId="77777777" w:rsidR="00BD462C" w:rsidRDefault="00BD462C">
      <w:pPr>
        <w:pStyle w:val="BodyText"/>
        <w:rPr>
          <w:sz w:val="20"/>
        </w:rPr>
      </w:pPr>
    </w:p>
    <w:p w14:paraId="68B02329" w14:textId="77777777" w:rsidR="00BD462C" w:rsidRDefault="00BD462C">
      <w:pPr>
        <w:pStyle w:val="BodyText"/>
        <w:rPr>
          <w:sz w:val="20"/>
        </w:rPr>
      </w:pPr>
    </w:p>
    <w:p w14:paraId="4841BF8D" w14:textId="78A56264" w:rsidR="00BD462C" w:rsidRDefault="007E218F">
      <w:pPr>
        <w:pStyle w:val="BodyText"/>
        <w:rPr>
          <w:sz w:val="18"/>
        </w:rPr>
      </w:pPr>
      <w:r>
        <w:rPr>
          <w:noProof/>
        </w:rPr>
        <mc:AlternateContent>
          <mc:Choice Requires="wps">
            <w:drawing>
              <wp:anchor distT="0" distB="0" distL="0" distR="0" simplePos="0" relativeHeight="488180224" behindDoc="1" locked="0" layoutInCell="1" allowOverlap="1" wp14:anchorId="7BBC93D4" wp14:editId="0C8035D0">
                <wp:simplePos x="0" y="0"/>
                <wp:positionH relativeFrom="page">
                  <wp:posOffset>812800</wp:posOffset>
                </wp:positionH>
                <wp:positionV relativeFrom="paragraph">
                  <wp:posOffset>139700</wp:posOffset>
                </wp:positionV>
                <wp:extent cx="1828800" cy="8890"/>
                <wp:effectExtent l="0" t="0" r="0" b="0"/>
                <wp:wrapTopAndBottom/>
                <wp:docPr id="155" name="docshape6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6DDB01" id="docshape664" o:spid="_x0000_s1026" alt="&quot;&quot;" style="position:absolute;margin-left:64pt;margin-top:11pt;width:2in;height:.7pt;z-index:-1513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" fillcolor="black" stroked="f">
                <w10:wrap type="topAndBottom" anchorx="page"/>
              </v:rect>
            </w:pict>
          </mc:Fallback>
        </mc:AlternateContent>
      </w:r>
    </w:p>
    <w:p w14:paraId="1D5E4E08" w14:textId="77777777" w:rsidR="00BD462C" w:rsidRDefault="00033D0F">
      <w:pPr>
        <w:spacing w:before="112"/>
        <w:ind w:left="135"/>
        <w:rPr>
          <w:sz w:val="18"/>
        </w:rPr>
      </w:pPr>
      <w:bookmarkStart w:id="1880" w:name="_bookmark1622"/>
      <w:bookmarkEnd w:id="1880"/>
      <w:r>
        <w:rPr>
          <w:position w:val="5"/>
          <w:sz w:val="12"/>
        </w:rPr>
        <w:t>1405</w:t>
      </w:r>
      <w:r>
        <w:rPr>
          <w:spacing w:val="16"/>
          <w:position w:val="5"/>
          <w:sz w:val="12"/>
        </w:rPr>
        <w:t xml:space="preserve"> </w:t>
      </w:r>
      <w:r>
        <w:rPr>
          <w:sz w:val="18"/>
        </w:rPr>
        <w:t>See</w:t>
      </w:r>
      <w:r>
        <w:rPr>
          <w:spacing w:val="-3"/>
          <w:sz w:val="18"/>
        </w:rPr>
        <w:t xml:space="preserve"> </w:t>
      </w:r>
      <w:r>
        <w:rPr>
          <w:sz w:val="18"/>
        </w:rPr>
        <w:t>above</w:t>
      </w:r>
      <w:r>
        <w:rPr>
          <w:spacing w:val="-3"/>
          <w:sz w:val="18"/>
        </w:rPr>
        <w:t xml:space="preserve"> </w:t>
      </w:r>
      <w:r>
        <w:rPr>
          <w:sz w:val="18"/>
        </w:rPr>
        <w:t>section</w:t>
      </w:r>
      <w:r>
        <w:rPr>
          <w:spacing w:val="-4"/>
          <w:sz w:val="18"/>
        </w:rPr>
        <w:t xml:space="preserve"> </w:t>
      </w:r>
      <w:hyperlink w:anchor="_bookmark6" w:history="1">
        <w:r>
          <w:rPr>
            <w:sz w:val="18"/>
          </w:rPr>
          <w:t>II.A;</w:t>
        </w:r>
      </w:hyperlink>
      <w:r>
        <w:rPr>
          <w:sz w:val="18"/>
        </w:rPr>
        <w:t xml:space="preserve"> see</w:t>
      </w:r>
      <w:r>
        <w:rPr>
          <w:spacing w:val="-3"/>
          <w:sz w:val="18"/>
        </w:rPr>
        <w:t xml:space="preserve"> </w:t>
      </w:r>
      <w:r>
        <w:rPr>
          <w:sz w:val="18"/>
        </w:rPr>
        <w:t>below</w:t>
      </w:r>
      <w:r>
        <w:rPr>
          <w:spacing w:val="-4"/>
          <w:sz w:val="18"/>
        </w:rPr>
        <w:t xml:space="preserve"> </w:t>
      </w:r>
      <w:r>
        <w:rPr>
          <w:sz w:val="18"/>
        </w:rPr>
        <w:t>Annex</w:t>
      </w:r>
      <w:r>
        <w:rPr>
          <w:spacing w:val="-6"/>
          <w:sz w:val="18"/>
        </w:rPr>
        <w:t xml:space="preserve"> </w:t>
      </w:r>
      <w:r>
        <w:rPr>
          <w:sz w:val="18"/>
        </w:rPr>
        <w:t>A,</w:t>
      </w:r>
      <w:r>
        <w:rPr>
          <w:spacing w:val="-1"/>
          <w:sz w:val="18"/>
        </w:rPr>
        <w:t xml:space="preserve"> </w:t>
      </w:r>
      <w:r>
        <w:rPr>
          <w:sz w:val="18"/>
        </w:rPr>
        <w:t>section</w:t>
      </w:r>
      <w:r>
        <w:rPr>
          <w:spacing w:val="-4"/>
          <w:sz w:val="18"/>
        </w:rPr>
        <w:t xml:space="preserve"> </w:t>
      </w:r>
      <w:hyperlink w:anchor="_bookmark1822" w:history="1">
        <w:r>
          <w:rPr>
            <w:spacing w:val="-2"/>
            <w:sz w:val="18"/>
          </w:rPr>
          <w:t>A.5.5.</w:t>
        </w:r>
      </w:hyperlink>
    </w:p>
    <w:p w14:paraId="45E43929" w14:textId="77777777" w:rsidR="00BD462C" w:rsidRDefault="00BD462C">
      <w:pPr>
        <w:rPr>
          <w:sz w:val="18"/>
        </w:rPr>
        <w:sectPr w:rsidR="00BD462C">
          <w:pgSz w:w="11910" w:h="16840"/>
          <w:pgMar w:top="860" w:right="500" w:bottom="780" w:left="1280" w:header="566" w:footer="590" w:gutter="0"/>
          <w:cols w:space="720"/>
        </w:sectPr>
      </w:pPr>
    </w:p>
    <w:p w14:paraId="5F71B2D5"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27E68686"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51C380CB"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5430DBD7" w14:textId="77777777" w:rsidR="00BD462C" w:rsidRDefault="00033D0F">
      <w:pPr>
        <w:pStyle w:val="ListParagraph"/>
        <w:numPr>
          <w:ilvl w:val="0"/>
          <w:numId w:val="10"/>
        </w:numPr>
        <w:tabs>
          <w:tab w:val="left" w:pos="3539"/>
          <w:tab w:val="left" w:pos="3540"/>
        </w:tabs>
        <w:spacing w:before="102" w:line="357" w:lineRule="auto"/>
        <w:ind w:right="918"/>
        <w:rPr>
          <w:sz w:val="24"/>
        </w:rPr>
      </w:pPr>
      <w:bookmarkStart w:id="1881" w:name="(a)_China_misrepresents_the_link_between"/>
      <w:bookmarkEnd w:id="1881"/>
      <w:r>
        <w:rPr>
          <w:sz w:val="24"/>
          <w:u w:val="single"/>
        </w:rPr>
        <w:t>China</w:t>
      </w:r>
      <w:r>
        <w:rPr>
          <w:spacing w:val="37"/>
          <w:sz w:val="24"/>
          <w:u w:val="single"/>
        </w:rPr>
        <w:t xml:space="preserve"> </w:t>
      </w:r>
      <w:r>
        <w:rPr>
          <w:sz w:val="24"/>
          <w:u w:val="single"/>
        </w:rPr>
        <w:t>misrepresents</w:t>
      </w:r>
      <w:r>
        <w:rPr>
          <w:spacing w:val="39"/>
          <w:sz w:val="24"/>
          <w:u w:val="single"/>
        </w:rPr>
        <w:t xml:space="preserve"> </w:t>
      </w:r>
      <w:r>
        <w:rPr>
          <w:sz w:val="24"/>
          <w:u w:val="single"/>
        </w:rPr>
        <w:t>the</w:t>
      </w:r>
      <w:r>
        <w:rPr>
          <w:spacing w:val="33"/>
          <w:sz w:val="24"/>
          <w:u w:val="single"/>
        </w:rPr>
        <w:t xml:space="preserve"> </w:t>
      </w:r>
      <w:r>
        <w:rPr>
          <w:sz w:val="24"/>
          <w:u w:val="single"/>
        </w:rPr>
        <w:t>link</w:t>
      </w:r>
      <w:r>
        <w:rPr>
          <w:spacing w:val="38"/>
          <w:sz w:val="24"/>
          <w:u w:val="single"/>
        </w:rPr>
        <w:t xml:space="preserve"> </w:t>
      </w:r>
      <w:r>
        <w:rPr>
          <w:sz w:val="24"/>
          <w:u w:val="single"/>
        </w:rPr>
        <w:t>between</w:t>
      </w:r>
      <w:r>
        <w:rPr>
          <w:spacing w:val="36"/>
          <w:sz w:val="24"/>
          <w:u w:val="single"/>
        </w:rPr>
        <w:t xml:space="preserve"> </w:t>
      </w:r>
      <w:r>
        <w:rPr>
          <w:sz w:val="24"/>
          <w:u w:val="single"/>
        </w:rPr>
        <w:t>Articles</w:t>
      </w:r>
      <w:r>
        <w:rPr>
          <w:spacing w:val="39"/>
          <w:sz w:val="24"/>
          <w:u w:val="single"/>
        </w:rPr>
        <w:t xml:space="preserve"> </w:t>
      </w:r>
      <w:r>
        <w:rPr>
          <w:sz w:val="24"/>
          <w:u w:val="single"/>
        </w:rPr>
        <w:t>6.9,</w:t>
      </w:r>
      <w:r>
        <w:rPr>
          <w:spacing w:val="40"/>
          <w:sz w:val="24"/>
          <w:u w:val="single"/>
        </w:rPr>
        <w:t xml:space="preserve"> </w:t>
      </w:r>
      <w:r>
        <w:rPr>
          <w:sz w:val="24"/>
          <w:u w:val="single"/>
        </w:rPr>
        <w:t>12.2</w:t>
      </w:r>
      <w:r>
        <w:rPr>
          <w:sz w:val="24"/>
        </w:rPr>
        <w:t xml:space="preserve"> </w:t>
      </w:r>
      <w:r>
        <w:rPr>
          <w:sz w:val="24"/>
          <w:u w:val="single"/>
        </w:rPr>
        <w:t>and 12.2.2</w:t>
      </w:r>
    </w:p>
    <w:p w14:paraId="716E96C0" w14:textId="77777777" w:rsidR="00BD462C" w:rsidRDefault="00BD462C">
      <w:pPr>
        <w:pStyle w:val="BodyText"/>
        <w:spacing w:before="3"/>
        <w:rPr>
          <w:sz w:val="9"/>
        </w:rPr>
      </w:pPr>
    </w:p>
    <w:p w14:paraId="3A9A472D" w14:textId="77B8E4B0" w:rsidR="00BD462C" w:rsidRDefault="00D443C8">
      <w:pPr>
        <w:pStyle w:val="BodyText"/>
        <w:spacing w:before="56" w:line="360" w:lineRule="auto"/>
        <w:ind w:left="135" w:right="913"/>
        <w:jc w:val="both"/>
      </w:pPr>
      <w:r>
        <w:rPr>
          <w:noProof/>
        </w:rPr>
        <w:t>971.</w:t>
      </w:r>
      <w:r w:rsidR="00033D0F">
        <w:rPr>
          <w:rFonts w:ascii="Times New Roman" w:hAnsi="Times New Roman"/>
          <w:spacing w:val="80"/>
          <w:position w:val="1"/>
          <w:sz w:val="20"/>
        </w:rPr>
        <w:t xml:space="preserve">  </w:t>
      </w:r>
      <w:r w:rsidR="00033D0F">
        <w:rPr>
          <w:position w:val="1"/>
        </w:rPr>
        <w:t>In</w:t>
      </w:r>
      <w:r w:rsidR="00033D0F">
        <w:rPr>
          <w:spacing w:val="34"/>
          <w:position w:val="1"/>
        </w:rPr>
        <w:t xml:space="preserve"> </w:t>
      </w:r>
      <w:r w:rsidR="00033D0F">
        <w:rPr>
          <w:position w:val="1"/>
        </w:rPr>
        <w:t>its</w:t>
      </w:r>
      <w:r w:rsidR="00033D0F">
        <w:rPr>
          <w:spacing w:val="36"/>
          <w:position w:val="1"/>
        </w:rPr>
        <w:t xml:space="preserve"> </w:t>
      </w:r>
      <w:r w:rsidR="00033D0F">
        <w:rPr>
          <w:position w:val="1"/>
        </w:rPr>
        <w:t>first</w:t>
      </w:r>
      <w:r w:rsidR="00033D0F">
        <w:rPr>
          <w:spacing w:val="35"/>
          <w:position w:val="1"/>
        </w:rPr>
        <w:t xml:space="preserve"> </w:t>
      </w:r>
      <w:r w:rsidR="00033D0F">
        <w:rPr>
          <w:position w:val="1"/>
        </w:rPr>
        <w:t>written</w:t>
      </w:r>
      <w:r w:rsidR="00033D0F">
        <w:rPr>
          <w:spacing w:val="34"/>
          <w:position w:val="1"/>
        </w:rPr>
        <w:t xml:space="preserve"> </w:t>
      </w:r>
      <w:r w:rsidR="00033D0F">
        <w:rPr>
          <w:position w:val="1"/>
        </w:rPr>
        <w:t>submission,</w:t>
      </w:r>
      <w:r w:rsidR="00033D0F">
        <w:rPr>
          <w:spacing w:val="37"/>
          <w:position w:val="1"/>
        </w:rPr>
        <w:t xml:space="preserve"> </w:t>
      </w:r>
      <w:r w:rsidR="00033D0F">
        <w:rPr>
          <w:position w:val="1"/>
        </w:rPr>
        <w:t>China</w:t>
      </w:r>
      <w:r w:rsidR="00033D0F">
        <w:rPr>
          <w:spacing w:val="31"/>
          <w:position w:val="1"/>
        </w:rPr>
        <w:t xml:space="preserve"> </w:t>
      </w:r>
      <w:r w:rsidR="00033D0F">
        <w:rPr>
          <w:position w:val="1"/>
        </w:rPr>
        <w:t>states</w:t>
      </w:r>
      <w:r w:rsidR="00033D0F">
        <w:rPr>
          <w:spacing w:val="36"/>
          <w:position w:val="1"/>
        </w:rPr>
        <w:t xml:space="preserve"> </w:t>
      </w:r>
      <w:r w:rsidR="00033D0F">
        <w:rPr>
          <w:position w:val="1"/>
        </w:rPr>
        <w:t>that</w:t>
      </w:r>
      <w:r w:rsidR="00033D0F">
        <w:rPr>
          <w:spacing w:val="32"/>
          <w:position w:val="1"/>
        </w:rPr>
        <w:t xml:space="preserve"> </w:t>
      </w:r>
      <w:r w:rsidR="00033D0F">
        <w:rPr>
          <w:position w:val="1"/>
        </w:rPr>
        <w:t>according</w:t>
      </w:r>
      <w:r w:rsidR="00033D0F">
        <w:rPr>
          <w:spacing w:val="36"/>
          <w:position w:val="1"/>
        </w:rPr>
        <w:t xml:space="preserve"> </w:t>
      </w:r>
      <w:r w:rsidR="00033D0F">
        <w:rPr>
          <w:position w:val="1"/>
        </w:rPr>
        <w:t>to</w:t>
      </w:r>
      <w:r w:rsidR="00033D0F">
        <w:rPr>
          <w:spacing w:val="33"/>
          <w:position w:val="1"/>
        </w:rPr>
        <w:t xml:space="preserve"> </w:t>
      </w:r>
      <w:r w:rsidR="00033D0F">
        <w:rPr>
          <w:position w:val="1"/>
        </w:rPr>
        <w:t>the</w:t>
      </w:r>
      <w:r w:rsidR="00033D0F">
        <w:rPr>
          <w:spacing w:val="35"/>
          <w:position w:val="1"/>
        </w:rPr>
        <w:t xml:space="preserve"> </w:t>
      </w:r>
      <w:r w:rsidR="00033D0F">
        <w:rPr>
          <w:position w:val="1"/>
        </w:rPr>
        <w:t>panel</w:t>
      </w:r>
      <w:r w:rsidR="00033D0F">
        <w:rPr>
          <w:spacing w:val="37"/>
          <w:position w:val="1"/>
        </w:rPr>
        <w:t xml:space="preserve"> </w:t>
      </w:r>
      <w:r w:rsidR="00033D0F">
        <w:rPr>
          <w:position w:val="1"/>
        </w:rPr>
        <w:t>in</w:t>
      </w:r>
      <w:r w:rsidR="00033D0F">
        <w:rPr>
          <w:spacing w:val="34"/>
          <w:position w:val="1"/>
        </w:rPr>
        <w:t xml:space="preserve"> </w:t>
      </w:r>
      <w:r w:rsidR="00033D0F">
        <w:rPr>
          <w:i/>
          <w:position w:val="1"/>
        </w:rPr>
        <w:t>China</w:t>
      </w:r>
      <w:r w:rsidR="00033D0F">
        <w:rPr>
          <w:i/>
          <w:spacing w:val="33"/>
          <w:position w:val="1"/>
        </w:rPr>
        <w:t xml:space="preserve"> </w:t>
      </w:r>
      <w:r w:rsidR="00033D0F">
        <w:rPr>
          <w:i/>
          <w:position w:val="1"/>
        </w:rPr>
        <w:t xml:space="preserve">– </w:t>
      </w:r>
      <w:r w:rsidR="00033D0F">
        <w:rPr>
          <w:i/>
        </w:rPr>
        <w:t xml:space="preserve">HP-SSST (Japan) / China – HP-SSST (EU), </w:t>
      </w:r>
      <w:r w:rsidR="00033D0F">
        <w:t>if an Article 6.9 claim "essentially mirrors" a claim under</w:t>
      </w:r>
      <w:r w:rsidR="00033D0F">
        <w:rPr>
          <w:spacing w:val="-10"/>
        </w:rPr>
        <w:t xml:space="preserve"> </w:t>
      </w:r>
      <w:r w:rsidR="00033D0F">
        <w:t>Articles</w:t>
      </w:r>
      <w:r w:rsidR="00033D0F">
        <w:rPr>
          <w:spacing w:val="-10"/>
        </w:rPr>
        <w:t xml:space="preserve"> </w:t>
      </w:r>
      <w:r w:rsidR="00033D0F">
        <w:t>12.2</w:t>
      </w:r>
      <w:r w:rsidR="00033D0F">
        <w:rPr>
          <w:spacing w:val="-9"/>
        </w:rPr>
        <w:t xml:space="preserve"> </w:t>
      </w:r>
      <w:r w:rsidR="00033D0F">
        <w:t>and</w:t>
      </w:r>
      <w:r w:rsidR="00033D0F">
        <w:rPr>
          <w:spacing w:val="-9"/>
        </w:rPr>
        <w:t xml:space="preserve"> </w:t>
      </w:r>
      <w:r w:rsidR="00033D0F">
        <w:t>12.2.2,</w:t>
      </w:r>
      <w:r w:rsidR="00033D0F">
        <w:rPr>
          <w:spacing w:val="-10"/>
        </w:rPr>
        <w:t xml:space="preserve"> </w:t>
      </w:r>
      <w:r w:rsidR="00033D0F">
        <w:t>and</w:t>
      </w:r>
      <w:r w:rsidR="00033D0F">
        <w:rPr>
          <w:spacing w:val="-9"/>
        </w:rPr>
        <w:t xml:space="preserve"> </w:t>
      </w:r>
      <w:r w:rsidR="00033D0F">
        <w:t>the</w:t>
      </w:r>
      <w:r w:rsidR="00033D0F">
        <w:rPr>
          <w:spacing w:val="-7"/>
        </w:rPr>
        <w:t xml:space="preserve"> </w:t>
      </w:r>
      <w:r w:rsidR="00033D0F">
        <w:t>Article</w:t>
      </w:r>
      <w:r w:rsidR="00033D0F">
        <w:rPr>
          <w:spacing w:val="-12"/>
        </w:rPr>
        <w:t xml:space="preserve"> </w:t>
      </w:r>
      <w:r w:rsidR="00033D0F">
        <w:t>6.9</w:t>
      </w:r>
      <w:r w:rsidR="00033D0F">
        <w:rPr>
          <w:spacing w:val="-9"/>
        </w:rPr>
        <w:t xml:space="preserve"> </w:t>
      </w:r>
      <w:r w:rsidR="00033D0F">
        <w:t>claim</w:t>
      </w:r>
      <w:r w:rsidR="00033D0F">
        <w:rPr>
          <w:spacing w:val="-12"/>
        </w:rPr>
        <w:t xml:space="preserve"> </w:t>
      </w:r>
      <w:r w:rsidR="00033D0F">
        <w:t>is</w:t>
      </w:r>
      <w:r w:rsidR="00033D0F">
        <w:rPr>
          <w:spacing w:val="-11"/>
        </w:rPr>
        <w:t xml:space="preserve"> </w:t>
      </w:r>
      <w:r w:rsidR="00033D0F">
        <w:t>defeated</w:t>
      </w:r>
      <w:r w:rsidR="00033D0F">
        <w:rPr>
          <w:spacing w:val="-14"/>
        </w:rPr>
        <w:t xml:space="preserve"> </w:t>
      </w:r>
      <w:r w:rsidR="00033D0F">
        <w:t>or</w:t>
      </w:r>
      <w:r w:rsidR="00033D0F">
        <w:rPr>
          <w:spacing w:val="-9"/>
        </w:rPr>
        <w:t xml:space="preserve"> </w:t>
      </w:r>
      <w:r w:rsidR="00033D0F">
        <w:t>rejected,</w:t>
      </w:r>
      <w:r w:rsidR="00033D0F">
        <w:rPr>
          <w:spacing w:val="-10"/>
        </w:rPr>
        <w:t xml:space="preserve"> </w:t>
      </w:r>
      <w:r w:rsidR="00033D0F">
        <w:t>then</w:t>
      </w:r>
      <w:r w:rsidR="00033D0F">
        <w:rPr>
          <w:spacing w:val="-9"/>
        </w:rPr>
        <w:t xml:space="preserve"> </w:t>
      </w:r>
      <w:r w:rsidR="00033D0F">
        <w:t>the</w:t>
      </w:r>
      <w:r w:rsidR="00033D0F">
        <w:rPr>
          <w:spacing w:val="-7"/>
        </w:rPr>
        <w:t xml:space="preserve"> </w:t>
      </w:r>
      <w:r w:rsidR="00033D0F">
        <w:t>claim under Articles 12.2 and 12.2.2 would also fail.</w:t>
      </w:r>
      <w:hyperlink w:anchor="_bookmark1623" w:history="1">
        <w:r w:rsidR="00033D0F">
          <w:rPr>
            <w:vertAlign w:val="superscript"/>
          </w:rPr>
          <w:t>1406</w:t>
        </w:r>
      </w:hyperlink>
      <w:r w:rsidR="00033D0F">
        <w:t xml:space="preserve"> However, China fails to clarify that the panel's</w:t>
      </w:r>
      <w:r w:rsidR="00033D0F">
        <w:rPr>
          <w:spacing w:val="-10"/>
        </w:rPr>
        <w:t xml:space="preserve"> </w:t>
      </w:r>
      <w:r w:rsidR="00033D0F">
        <w:t>findings</w:t>
      </w:r>
      <w:r w:rsidR="00033D0F">
        <w:rPr>
          <w:spacing w:val="-10"/>
        </w:rPr>
        <w:t xml:space="preserve"> </w:t>
      </w:r>
      <w:r w:rsidR="00033D0F">
        <w:t>were</w:t>
      </w:r>
      <w:r w:rsidR="00033D0F">
        <w:rPr>
          <w:spacing w:val="-12"/>
        </w:rPr>
        <w:t xml:space="preserve"> </w:t>
      </w:r>
      <w:r w:rsidR="00033D0F">
        <w:t>specific</w:t>
      </w:r>
      <w:r w:rsidR="00033D0F">
        <w:rPr>
          <w:spacing w:val="-13"/>
        </w:rPr>
        <w:t xml:space="preserve"> </w:t>
      </w:r>
      <w:r w:rsidR="00033D0F">
        <w:t>to</w:t>
      </w:r>
      <w:r w:rsidR="00033D0F">
        <w:rPr>
          <w:spacing w:val="-14"/>
        </w:rPr>
        <w:t xml:space="preserve"> </w:t>
      </w:r>
      <w:r w:rsidR="00033D0F">
        <w:t>the</w:t>
      </w:r>
      <w:r w:rsidR="00033D0F">
        <w:rPr>
          <w:spacing w:val="-11"/>
        </w:rPr>
        <w:t xml:space="preserve"> </w:t>
      </w:r>
      <w:r w:rsidR="00033D0F">
        <w:rPr>
          <w:i/>
        </w:rPr>
        <w:t>factual</w:t>
      </w:r>
      <w:r w:rsidR="00033D0F">
        <w:rPr>
          <w:i/>
          <w:spacing w:val="-9"/>
        </w:rPr>
        <w:t xml:space="preserve"> </w:t>
      </w:r>
      <w:r w:rsidR="00033D0F">
        <w:t>circumstances</w:t>
      </w:r>
      <w:r w:rsidR="00033D0F">
        <w:rPr>
          <w:spacing w:val="-10"/>
        </w:rPr>
        <w:t xml:space="preserve"> </w:t>
      </w:r>
      <w:r w:rsidR="00033D0F">
        <w:t>of</w:t>
      </w:r>
      <w:r w:rsidR="00033D0F">
        <w:rPr>
          <w:spacing w:val="-14"/>
        </w:rPr>
        <w:t xml:space="preserve"> </w:t>
      </w:r>
      <w:r w:rsidR="00033D0F">
        <w:t>that</w:t>
      </w:r>
      <w:r w:rsidR="00033D0F">
        <w:rPr>
          <w:spacing w:val="-10"/>
        </w:rPr>
        <w:t xml:space="preserve"> </w:t>
      </w:r>
      <w:r w:rsidR="00033D0F">
        <w:t>case.</w:t>
      </w:r>
      <w:r w:rsidR="00033D0F">
        <w:rPr>
          <w:spacing w:val="-11"/>
        </w:rPr>
        <w:t xml:space="preserve"> </w:t>
      </w:r>
      <w:r w:rsidR="00033D0F">
        <w:t>In</w:t>
      </w:r>
      <w:r w:rsidR="00033D0F">
        <w:rPr>
          <w:spacing w:val="-9"/>
        </w:rPr>
        <w:t xml:space="preserve"> </w:t>
      </w:r>
      <w:r w:rsidR="00033D0F">
        <w:t>particular,</w:t>
      </w:r>
      <w:r w:rsidR="00033D0F">
        <w:rPr>
          <w:spacing w:val="-10"/>
        </w:rPr>
        <w:t xml:space="preserve"> </w:t>
      </w:r>
      <w:r w:rsidR="00033D0F">
        <w:t>the</w:t>
      </w:r>
      <w:r w:rsidR="00033D0F">
        <w:rPr>
          <w:spacing w:val="-12"/>
        </w:rPr>
        <w:t xml:space="preserve"> </w:t>
      </w:r>
      <w:r w:rsidR="00033D0F">
        <w:t xml:space="preserve">panel reasoned that, relating to the </w:t>
      </w:r>
      <w:r w:rsidR="00033D0F">
        <w:rPr>
          <w:i/>
        </w:rPr>
        <w:t xml:space="preserve">facts </w:t>
      </w:r>
      <w:r w:rsidR="00033D0F">
        <w:t>to be disclosed, the Article 6.9 standard is broader than the</w:t>
      </w:r>
      <w:r w:rsidR="00033D0F">
        <w:rPr>
          <w:spacing w:val="-11"/>
        </w:rPr>
        <w:t xml:space="preserve"> </w:t>
      </w:r>
      <w:r w:rsidR="00033D0F">
        <w:t>relevant</w:t>
      </w:r>
      <w:r w:rsidR="00033D0F">
        <w:rPr>
          <w:spacing w:val="-11"/>
        </w:rPr>
        <w:t xml:space="preserve"> </w:t>
      </w:r>
      <w:r w:rsidR="00033D0F">
        <w:t>factual</w:t>
      </w:r>
      <w:r w:rsidR="00033D0F">
        <w:rPr>
          <w:spacing w:val="-9"/>
        </w:rPr>
        <w:t xml:space="preserve"> </w:t>
      </w:r>
      <w:r w:rsidR="00033D0F">
        <w:t>element</w:t>
      </w:r>
      <w:r w:rsidR="00033D0F">
        <w:rPr>
          <w:spacing w:val="-10"/>
        </w:rPr>
        <w:t xml:space="preserve"> </w:t>
      </w:r>
      <w:r w:rsidR="00033D0F">
        <w:t>of</w:t>
      </w:r>
      <w:r w:rsidR="00033D0F">
        <w:rPr>
          <w:spacing w:val="-13"/>
        </w:rPr>
        <w:t xml:space="preserve"> </w:t>
      </w:r>
      <w:r w:rsidR="00033D0F">
        <w:t>Articles</w:t>
      </w:r>
      <w:r w:rsidR="00033D0F">
        <w:rPr>
          <w:spacing w:val="-9"/>
        </w:rPr>
        <w:t xml:space="preserve"> </w:t>
      </w:r>
      <w:r w:rsidR="00033D0F">
        <w:t>12.2</w:t>
      </w:r>
      <w:r w:rsidR="00033D0F">
        <w:rPr>
          <w:spacing w:val="-13"/>
        </w:rPr>
        <w:t xml:space="preserve"> </w:t>
      </w:r>
      <w:r w:rsidR="00033D0F">
        <w:t>and</w:t>
      </w:r>
      <w:r w:rsidR="00033D0F">
        <w:rPr>
          <w:spacing w:val="-8"/>
        </w:rPr>
        <w:t xml:space="preserve"> </w:t>
      </w:r>
      <w:r w:rsidR="00033D0F">
        <w:t>12.2.2.</w:t>
      </w:r>
      <w:r w:rsidR="00033D0F">
        <w:rPr>
          <w:spacing w:val="-10"/>
        </w:rPr>
        <w:t xml:space="preserve"> </w:t>
      </w:r>
      <w:r w:rsidR="00033D0F">
        <w:t>Therefore,</w:t>
      </w:r>
      <w:r w:rsidR="00033D0F">
        <w:rPr>
          <w:spacing w:val="-4"/>
        </w:rPr>
        <w:t xml:space="preserve"> </w:t>
      </w:r>
      <w:r w:rsidR="00033D0F">
        <w:t>when</w:t>
      </w:r>
      <w:r w:rsidR="00033D0F">
        <w:rPr>
          <w:spacing w:val="-13"/>
        </w:rPr>
        <w:t xml:space="preserve"> </w:t>
      </w:r>
      <w:r w:rsidR="00033D0F">
        <w:t>the</w:t>
      </w:r>
      <w:r w:rsidR="00033D0F">
        <w:rPr>
          <w:spacing w:val="-6"/>
        </w:rPr>
        <w:t xml:space="preserve"> </w:t>
      </w:r>
      <w:r w:rsidR="00033D0F">
        <w:t>Articles</w:t>
      </w:r>
      <w:r w:rsidR="00033D0F">
        <w:rPr>
          <w:spacing w:val="-9"/>
        </w:rPr>
        <w:t xml:space="preserve"> </w:t>
      </w:r>
      <w:r w:rsidR="00033D0F">
        <w:t>6.9,</w:t>
      </w:r>
      <w:r w:rsidR="00033D0F">
        <w:rPr>
          <w:spacing w:val="-9"/>
        </w:rPr>
        <w:t xml:space="preserve"> </w:t>
      </w:r>
      <w:r w:rsidR="00033D0F">
        <w:t xml:space="preserve">12.2 and 12.2.2 claims are "essentially mirrored", and the disclosure of </w:t>
      </w:r>
      <w:r w:rsidR="00033D0F">
        <w:rPr>
          <w:i/>
        </w:rPr>
        <w:t xml:space="preserve">facts </w:t>
      </w:r>
      <w:r w:rsidR="00033D0F">
        <w:t>under Article 6.9 is found</w:t>
      </w:r>
      <w:r w:rsidR="00033D0F">
        <w:rPr>
          <w:spacing w:val="-4"/>
        </w:rPr>
        <w:t xml:space="preserve"> </w:t>
      </w:r>
      <w:r w:rsidR="00033D0F">
        <w:t>to</w:t>
      </w:r>
      <w:r w:rsidR="00033D0F">
        <w:rPr>
          <w:spacing w:val="-10"/>
        </w:rPr>
        <w:t xml:space="preserve"> </w:t>
      </w:r>
      <w:r w:rsidR="00033D0F">
        <w:t>be</w:t>
      </w:r>
      <w:r w:rsidR="00033D0F">
        <w:rPr>
          <w:spacing w:val="-7"/>
        </w:rPr>
        <w:t xml:space="preserve"> </w:t>
      </w:r>
      <w:r w:rsidR="00033D0F">
        <w:t>sufficient,</w:t>
      </w:r>
      <w:r w:rsidR="00033D0F">
        <w:rPr>
          <w:spacing w:val="-5"/>
        </w:rPr>
        <w:t xml:space="preserve"> </w:t>
      </w:r>
      <w:r w:rsidR="00033D0F">
        <w:t>then</w:t>
      </w:r>
      <w:r w:rsidR="00033D0F">
        <w:rPr>
          <w:spacing w:val="-9"/>
        </w:rPr>
        <w:t xml:space="preserve"> </w:t>
      </w:r>
      <w:r w:rsidR="00033D0F">
        <w:t>such</w:t>
      </w:r>
      <w:r w:rsidR="00033D0F">
        <w:rPr>
          <w:spacing w:val="-9"/>
        </w:rPr>
        <w:t xml:space="preserve"> </w:t>
      </w:r>
      <w:r w:rsidR="00033D0F">
        <w:t>disclosure</w:t>
      </w:r>
      <w:r w:rsidR="00033D0F">
        <w:rPr>
          <w:spacing w:val="-7"/>
        </w:rPr>
        <w:t xml:space="preserve"> </w:t>
      </w:r>
      <w:r w:rsidR="00033D0F">
        <w:t>would</w:t>
      </w:r>
      <w:r w:rsidR="00033D0F">
        <w:rPr>
          <w:spacing w:val="-9"/>
        </w:rPr>
        <w:t xml:space="preserve"> </w:t>
      </w:r>
      <w:r w:rsidR="00033D0F">
        <w:t>also</w:t>
      </w:r>
      <w:r w:rsidR="00033D0F">
        <w:rPr>
          <w:spacing w:val="-10"/>
        </w:rPr>
        <w:t xml:space="preserve"> </w:t>
      </w:r>
      <w:r w:rsidR="00033D0F">
        <w:t>meet</w:t>
      </w:r>
      <w:r w:rsidR="00033D0F">
        <w:rPr>
          <w:spacing w:val="-7"/>
        </w:rPr>
        <w:t xml:space="preserve"> </w:t>
      </w:r>
      <w:r w:rsidR="00033D0F">
        <w:t>the</w:t>
      </w:r>
      <w:r w:rsidR="00033D0F">
        <w:rPr>
          <w:spacing w:val="-7"/>
        </w:rPr>
        <w:t xml:space="preserve"> </w:t>
      </w:r>
      <w:r w:rsidR="00033D0F">
        <w:t>requirements</w:t>
      </w:r>
      <w:r w:rsidR="00033D0F">
        <w:rPr>
          <w:spacing w:val="-6"/>
        </w:rPr>
        <w:t xml:space="preserve"> </w:t>
      </w:r>
      <w:r w:rsidR="00033D0F">
        <w:t>of</w:t>
      </w:r>
      <w:r w:rsidR="00033D0F">
        <w:rPr>
          <w:spacing w:val="-9"/>
        </w:rPr>
        <w:t xml:space="preserve"> </w:t>
      </w:r>
      <w:r w:rsidR="00033D0F">
        <w:t>Articles</w:t>
      </w:r>
      <w:r w:rsidR="00033D0F">
        <w:rPr>
          <w:spacing w:val="-6"/>
        </w:rPr>
        <w:t xml:space="preserve"> </w:t>
      </w:r>
      <w:r w:rsidR="00033D0F">
        <w:t>12.2 and 12.2.2.</w:t>
      </w:r>
      <w:hyperlink w:anchor="_bookmark1624" w:history="1">
        <w:r w:rsidR="00033D0F">
          <w:rPr>
            <w:vertAlign w:val="superscript"/>
          </w:rPr>
          <w:t>1407</w:t>
        </w:r>
      </w:hyperlink>
    </w:p>
    <w:p w14:paraId="4BA953E7" w14:textId="77777777" w:rsidR="00BD462C" w:rsidRDefault="00BD462C">
      <w:pPr>
        <w:pStyle w:val="BodyText"/>
        <w:spacing w:before="7"/>
        <w:rPr>
          <w:sz w:val="8"/>
        </w:rPr>
      </w:pPr>
    </w:p>
    <w:p w14:paraId="3A04947E" w14:textId="02C9877B" w:rsidR="00BD462C" w:rsidRDefault="00D443C8">
      <w:pPr>
        <w:pStyle w:val="BodyText"/>
        <w:spacing w:before="56" w:line="360" w:lineRule="auto"/>
        <w:ind w:left="135" w:right="914"/>
        <w:jc w:val="both"/>
      </w:pPr>
      <w:r>
        <w:rPr>
          <w:noProof/>
        </w:rPr>
        <w:t>972.</w:t>
      </w:r>
      <w:r w:rsidR="00033D0F">
        <w:rPr>
          <w:rFonts w:ascii="Times New Roman" w:hAnsi="Times New Roman"/>
          <w:spacing w:val="40"/>
          <w:position w:val="1"/>
          <w:sz w:val="20"/>
        </w:rPr>
        <w:t xml:space="preserve">  </w:t>
      </w:r>
      <w:r w:rsidR="00033D0F">
        <w:rPr>
          <w:position w:val="1"/>
        </w:rPr>
        <w:t xml:space="preserve">In contrast, in relation to the </w:t>
      </w:r>
      <w:r w:rsidR="00033D0F">
        <w:rPr>
          <w:i/>
          <w:position w:val="1"/>
        </w:rPr>
        <w:t xml:space="preserve">reasons </w:t>
      </w:r>
      <w:r w:rsidR="00033D0F">
        <w:rPr>
          <w:position w:val="1"/>
        </w:rPr>
        <w:t xml:space="preserve">provided in the disclosure, the opposite is true, </w:t>
      </w:r>
      <w:r w:rsidR="00033D0F">
        <w:t>that</w:t>
      </w:r>
      <w:r w:rsidR="00033D0F">
        <w:rPr>
          <w:spacing w:val="-6"/>
        </w:rPr>
        <w:t xml:space="preserve"> </w:t>
      </w:r>
      <w:r w:rsidR="00033D0F">
        <w:t>is</w:t>
      </w:r>
      <w:r w:rsidR="00033D0F">
        <w:rPr>
          <w:spacing w:val="-5"/>
        </w:rPr>
        <w:t xml:space="preserve"> </w:t>
      </w:r>
      <w:r w:rsidR="00033D0F">
        <w:t>the</w:t>
      </w:r>
      <w:r w:rsidR="00033D0F">
        <w:rPr>
          <w:spacing w:val="-6"/>
        </w:rPr>
        <w:t xml:space="preserve"> </w:t>
      </w:r>
      <w:r w:rsidR="00033D0F">
        <w:t>scope</w:t>
      </w:r>
      <w:r w:rsidR="00033D0F">
        <w:rPr>
          <w:spacing w:val="-2"/>
        </w:rPr>
        <w:t xml:space="preserve"> </w:t>
      </w:r>
      <w:r w:rsidR="00033D0F">
        <w:t>under</w:t>
      </w:r>
      <w:r w:rsidR="00033D0F">
        <w:rPr>
          <w:spacing w:val="-4"/>
        </w:rPr>
        <w:t xml:space="preserve"> </w:t>
      </w:r>
      <w:r w:rsidR="00033D0F">
        <w:t>Articles</w:t>
      </w:r>
      <w:r w:rsidR="00033D0F">
        <w:rPr>
          <w:spacing w:val="-5"/>
        </w:rPr>
        <w:t xml:space="preserve"> </w:t>
      </w:r>
      <w:r w:rsidR="00033D0F">
        <w:t>12.2</w:t>
      </w:r>
      <w:r w:rsidR="00033D0F">
        <w:rPr>
          <w:spacing w:val="-4"/>
        </w:rPr>
        <w:t xml:space="preserve"> </w:t>
      </w:r>
      <w:r w:rsidR="00033D0F">
        <w:t>and</w:t>
      </w:r>
      <w:r w:rsidR="00033D0F">
        <w:rPr>
          <w:spacing w:val="-3"/>
        </w:rPr>
        <w:t xml:space="preserve"> </w:t>
      </w:r>
      <w:r w:rsidR="00033D0F">
        <w:t>12.2.2</w:t>
      </w:r>
      <w:r w:rsidR="00033D0F">
        <w:rPr>
          <w:spacing w:val="-8"/>
        </w:rPr>
        <w:t xml:space="preserve"> </w:t>
      </w:r>
      <w:r w:rsidR="00033D0F">
        <w:t>is broader</w:t>
      </w:r>
      <w:r w:rsidR="00033D0F">
        <w:rPr>
          <w:spacing w:val="-9"/>
        </w:rPr>
        <w:t xml:space="preserve"> </w:t>
      </w:r>
      <w:r w:rsidR="00033D0F">
        <w:t>than</w:t>
      </w:r>
      <w:r w:rsidR="00033D0F">
        <w:rPr>
          <w:spacing w:val="-8"/>
        </w:rPr>
        <w:t xml:space="preserve"> </w:t>
      </w:r>
      <w:r w:rsidR="00033D0F">
        <w:t>the</w:t>
      </w:r>
      <w:r w:rsidR="00033D0F">
        <w:rPr>
          <w:spacing w:val="-2"/>
        </w:rPr>
        <w:t xml:space="preserve"> </w:t>
      </w:r>
      <w:r w:rsidR="00033D0F">
        <w:t>scope</w:t>
      </w:r>
      <w:r w:rsidR="00033D0F">
        <w:rPr>
          <w:spacing w:val="-2"/>
        </w:rPr>
        <w:t xml:space="preserve"> </w:t>
      </w:r>
      <w:r w:rsidR="00033D0F">
        <w:t>under</w:t>
      </w:r>
      <w:r w:rsidR="00033D0F">
        <w:rPr>
          <w:spacing w:val="-4"/>
        </w:rPr>
        <w:t xml:space="preserve"> </w:t>
      </w:r>
      <w:r w:rsidR="00033D0F">
        <w:t>Article</w:t>
      </w:r>
      <w:r w:rsidR="00033D0F">
        <w:rPr>
          <w:spacing w:val="-6"/>
        </w:rPr>
        <w:t xml:space="preserve"> </w:t>
      </w:r>
      <w:r w:rsidR="00033D0F">
        <w:t>6.9.</w:t>
      </w:r>
      <w:r w:rsidR="00033D0F">
        <w:rPr>
          <w:spacing w:val="-5"/>
        </w:rPr>
        <w:t xml:space="preserve"> </w:t>
      </w:r>
      <w:r w:rsidR="00033D0F">
        <w:t>In the above case, the panel considered that reasoning relating to why the "All Others" rate – calculated based on the highest margin of dumping for the cooperating exporters – was not within the scope of Article 6.9. The panel found that this reasoning would indeed have been captured</w:t>
      </w:r>
      <w:r w:rsidR="00033D0F">
        <w:rPr>
          <w:spacing w:val="-5"/>
        </w:rPr>
        <w:t xml:space="preserve"> </w:t>
      </w:r>
      <w:r w:rsidR="00033D0F">
        <w:t>within</w:t>
      </w:r>
      <w:r w:rsidR="00033D0F">
        <w:rPr>
          <w:spacing w:val="-5"/>
        </w:rPr>
        <w:t xml:space="preserve"> </w:t>
      </w:r>
      <w:r w:rsidR="00033D0F">
        <w:t>the</w:t>
      </w:r>
      <w:r w:rsidR="00033D0F">
        <w:rPr>
          <w:spacing w:val="-4"/>
        </w:rPr>
        <w:t xml:space="preserve"> </w:t>
      </w:r>
      <w:r w:rsidR="00033D0F">
        <w:t>scope</w:t>
      </w:r>
      <w:r w:rsidR="00033D0F">
        <w:rPr>
          <w:spacing w:val="-4"/>
        </w:rPr>
        <w:t xml:space="preserve"> </w:t>
      </w:r>
      <w:r w:rsidR="00033D0F">
        <w:t>of</w:t>
      </w:r>
      <w:r w:rsidR="00033D0F">
        <w:rPr>
          <w:spacing w:val="-5"/>
        </w:rPr>
        <w:t xml:space="preserve"> </w:t>
      </w:r>
      <w:r w:rsidR="00033D0F">
        <w:t>Articles</w:t>
      </w:r>
      <w:r w:rsidR="00033D0F">
        <w:rPr>
          <w:spacing w:val="-2"/>
        </w:rPr>
        <w:t xml:space="preserve"> </w:t>
      </w:r>
      <w:r w:rsidR="00033D0F">
        <w:t>12.2</w:t>
      </w:r>
      <w:r w:rsidR="00033D0F">
        <w:rPr>
          <w:spacing w:val="-6"/>
        </w:rPr>
        <w:t xml:space="preserve"> </w:t>
      </w:r>
      <w:r w:rsidR="00033D0F">
        <w:t>and</w:t>
      </w:r>
      <w:r w:rsidR="00033D0F">
        <w:rPr>
          <w:spacing w:val="-5"/>
        </w:rPr>
        <w:t xml:space="preserve"> </w:t>
      </w:r>
      <w:r w:rsidR="00033D0F">
        <w:t>12.2.2.</w:t>
      </w:r>
      <w:r w:rsidR="00033D0F">
        <w:rPr>
          <w:spacing w:val="-2"/>
        </w:rPr>
        <w:t xml:space="preserve"> </w:t>
      </w:r>
      <w:r w:rsidR="00033D0F">
        <w:t>As</w:t>
      </w:r>
      <w:r w:rsidR="00033D0F">
        <w:rPr>
          <w:spacing w:val="-2"/>
        </w:rPr>
        <w:t xml:space="preserve"> </w:t>
      </w:r>
      <w:r w:rsidR="00033D0F">
        <w:t>such,</w:t>
      </w:r>
      <w:r w:rsidR="00033D0F">
        <w:rPr>
          <w:spacing w:val="-2"/>
        </w:rPr>
        <w:t xml:space="preserve"> </w:t>
      </w:r>
      <w:r w:rsidR="00033D0F">
        <w:t>the</w:t>
      </w:r>
      <w:r w:rsidR="00033D0F">
        <w:rPr>
          <w:spacing w:val="-4"/>
        </w:rPr>
        <w:t xml:space="preserve"> </w:t>
      </w:r>
      <w:r w:rsidR="00033D0F">
        <w:t>panel</w:t>
      </w:r>
      <w:r w:rsidR="00033D0F">
        <w:rPr>
          <w:spacing w:val="-4"/>
        </w:rPr>
        <w:t xml:space="preserve"> </w:t>
      </w:r>
      <w:r w:rsidR="00033D0F">
        <w:t>went</w:t>
      </w:r>
      <w:r w:rsidR="00033D0F">
        <w:rPr>
          <w:spacing w:val="-3"/>
        </w:rPr>
        <w:t xml:space="preserve"> </w:t>
      </w:r>
      <w:r w:rsidR="00033D0F">
        <w:t>on</w:t>
      </w:r>
      <w:r w:rsidR="00033D0F">
        <w:rPr>
          <w:spacing w:val="-5"/>
        </w:rPr>
        <w:t xml:space="preserve"> </w:t>
      </w:r>
      <w:r w:rsidR="00033D0F">
        <w:t>to</w:t>
      </w:r>
      <w:r w:rsidR="00033D0F">
        <w:rPr>
          <w:spacing w:val="-6"/>
        </w:rPr>
        <w:t xml:space="preserve"> </w:t>
      </w:r>
      <w:r w:rsidR="00033D0F">
        <w:t>hold</w:t>
      </w:r>
      <w:r w:rsidR="00033D0F">
        <w:rPr>
          <w:spacing w:val="-5"/>
        </w:rPr>
        <w:t xml:space="preserve"> </w:t>
      </w:r>
      <w:r w:rsidR="00033D0F">
        <w:t>that the</w:t>
      </w:r>
      <w:r w:rsidR="00033D0F">
        <w:rPr>
          <w:spacing w:val="-1"/>
        </w:rPr>
        <w:t xml:space="preserve"> </w:t>
      </w:r>
      <w:r w:rsidR="00033D0F">
        <w:rPr>
          <w:i/>
        </w:rPr>
        <w:t>reasons</w:t>
      </w:r>
      <w:r w:rsidR="00033D0F">
        <w:rPr>
          <w:i/>
          <w:spacing w:val="-4"/>
        </w:rPr>
        <w:t xml:space="preserve"> </w:t>
      </w:r>
      <w:r w:rsidR="00033D0F">
        <w:t>provided by MOFCOM</w:t>
      </w:r>
      <w:r w:rsidR="00033D0F">
        <w:rPr>
          <w:spacing w:val="-1"/>
        </w:rPr>
        <w:t xml:space="preserve"> </w:t>
      </w:r>
      <w:r w:rsidR="00033D0F">
        <w:t>in</w:t>
      </w:r>
      <w:r w:rsidR="00033D0F">
        <w:rPr>
          <w:spacing w:val="-3"/>
        </w:rPr>
        <w:t xml:space="preserve"> </w:t>
      </w:r>
      <w:r w:rsidR="00033D0F">
        <w:t>the Final Determination</w:t>
      </w:r>
      <w:r w:rsidR="00033D0F">
        <w:rPr>
          <w:spacing w:val="-3"/>
        </w:rPr>
        <w:t xml:space="preserve"> </w:t>
      </w:r>
      <w:r w:rsidR="00033D0F">
        <w:t>were</w:t>
      </w:r>
      <w:r w:rsidR="00033D0F">
        <w:rPr>
          <w:spacing w:val="-1"/>
        </w:rPr>
        <w:t xml:space="preserve"> </w:t>
      </w:r>
      <w:r w:rsidR="00033D0F">
        <w:t>in</w:t>
      </w:r>
      <w:r w:rsidR="00033D0F">
        <w:rPr>
          <w:spacing w:val="-3"/>
        </w:rPr>
        <w:t xml:space="preserve"> </w:t>
      </w:r>
      <w:r w:rsidR="00033D0F">
        <w:t>fact insufficient</w:t>
      </w:r>
      <w:r w:rsidR="00033D0F">
        <w:rPr>
          <w:spacing w:val="-1"/>
        </w:rPr>
        <w:t xml:space="preserve"> </w:t>
      </w:r>
      <w:r w:rsidR="00033D0F">
        <w:t>for</w:t>
      </w:r>
      <w:r w:rsidR="00033D0F">
        <w:rPr>
          <w:spacing w:val="-4"/>
        </w:rPr>
        <w:t xml:space="preserve"> </w:t>
      </w:r>
      <w:r w:rsidR="00033D0F">
        <w:t>the purposes of Articles 12.2 and 12.2.2.</w:t>
      </w:r>
      <w:hyperlink w:anchor="_bookmark1625" w:history="1">
        <w:r w:rsidR="00033D0F">
          <w:rPr>
            <w:vertAlign w:val="superscript"/>
          </w:rPr>
          <w:t>1408</w:t>
        </w:r>
      </w:hyperlink>
    </w:p>
    <w:p w14:paraId="5CC17BDD" w14:textId="77777777" w:rsidR="00BD462C" w:rsidRDefault="00BD462C">
      <w:pPr>
        <w:pStyle w:val="BodyText"/>
        <w:spacing w:before="7"/>
        <w:rPr>
          <w:sz w:val="8"/>
        </w:rPr>
      </w:pPr>
    </w:p>
    <w:p w14:paraId="05B9C22D" w14:textId="5141B23D" w:rsidR="00BD462C" w:rsidRDefault="00D443C8">
      <w:pPr>
        <w:pStyle w:val="BodyText"/>
        <w:spacing w:before="56" w:line="357" w:lineRule="auto"/>
        <w:ind w:left="135" w:right="910"/>
        <w:jc w:val="both"/>
      </w:pPr>
      <w:r>
        <w:rPr>
          <w:noProof/>
        </w:rPr>
        <w:t>973.</w:t>
      </w:r>
      <w:r w:rsidR="00033D0F">
        <w:rPr>
          <w:rFonts w:ascii="Times New Roman" w:hAnsi="Times New Roman"/>
          <w:spacing w:val="40"/>
          <w:position w:val="1"/>
          <w:sz w:val="20"/>
        </w:rPr>
        <w:t xml:space="preserve"> </w:t>
      </w:r>
      <w:r w:rsidR="00033D0F">
        <w:rPr>
          <w:position w:val="1"/>
        </w:rPr>
        <w:t xml:space="preserve">As such, Australia cautions the Panel against accepting China's attempts to </w:t>
      </w:r>
      <w:r w:rsidR="00033D0F">
        <w:t xml:space="preserve">impermissibly expand the application of the panel's reasoning in </w:t>
      </w:r>
      <w:r w:rsidR="00033D0F">
        <w:rPr>
          <w:i/>
        </w:rPr>
        <w:t>China – HP-SSST (Japan)/China</w:t>
      </w:r>
      <w:r w:rsidR="00033D0F">
        <w:rPr>
          <w:i/>
          <w:spacing w:val="35"/>
        </w:rPr>
        <w:t xml:space="preserve"> </w:t>
      </w:r>
      <w:r w:rsidR="00033D0F">
        <w:rPr>
          <w:i/>
        </w:rPr>
        <w:t>–</w:t>
      </w:r>
      <w:r w:rsidR="00033D0F">
        <w:rPr>
          <w:i/>
          <w:spacing w:val="34"/>
        </w:rPr>
        <w:t xml:space="preserve"> </w:t>
      </w:r>
      <w:r w:rsidR="00033D0F">
        <w:rPr>
          <w:i/>
        </w:rPr>
        <w:t>HP-SSST</w:t>
      </w:r>
      <w:r w:rsidR="00033D0F">
        <w:rPr>
          <w:i/>
          <w:spacing w:val="32"/>
        </w:rPr>
        <w:t xml:space="preserve"> </w:t>
      </w:r>
      <w:r w:rsidR="00033D0F">
        <w:rPr>
          <w:i/>
        </w:rPr>
        <w:t>(EU),</w:t>
      </w:r>
      <w:r w:rsidR="00033D0F">
        <w:rPr>
          <w:i/>
          <w:spacing w:val="36"/>
        </w:rPr>
        <w:t xml:space="preserve"> </w:t>
      </w:r>
      <w:r w:rsidR="00033D0F">
        <w:t>concerning</w:t>
      </w:r>
      <w:r w:rsidR="00033D0F">
        <w:rPr>
          <w:spacing w:val="36"/>
        </w:rPr>
        <w:t xml:space="preserve"> </w:t>
      </w:r>
      <w:r w:rsidR="00033D0F">
        <w:t>the</w:t>
      </w:r>
      <w:r w:rsidR="00033D0F">
        <w:rPr>
          <w:spacing w:val="34"/>
        </w:rPr>
        <w:t xml:space="preserve"> </w:t>
      </w:r>
      <w:r w:rsidR="00033D0F">
        <w:t>relationship</w:t>
      </w:r>
      <w:r w:rsidR="00033D0F">
        <w:rPr>
          <w:spacing w:val="33"/>
        </w:rPr>
        <w:t xml:space="preserve"> </w:t>
      </w:r>
      <w:r w:rsidR="00033D0F">
        <w:t>between</w:t>
      </w:r>
      <w:r w:rsidR="00033D0F">
        <w:rPr>
          <w:spacing w:val="32"/>
        </w:rPr>
        <w:t xml:space="preserve"> </w:t>
      </w:r>
      <w:r w:rsidR="00033D0F">
        <w:t>Articles</w:t>
      </w:r>
      <w:r w:rsidR="00033D0F">
        <w:rPr>
          <w:spacing w:val="36"/>
        </w:rPr>
        <w:t xml:space="preserve"> </w:t>
      </w:r>
      <w:r w:rsidR="00033D0F">
        <w:t>6.9,</w:t>
      </w:r>
      <w:r w:rsidR="00033D0F">
        <w:rPr>
          <w:spacing w:val="36"/>
        </w:rPr>
        <w:t xml:space="preserve"> </w:t>
      </w:r>
      <w:r w:rsidR="00033D0F">
        <w:t>12.2</w:t>
      </w:r>
      <w:r w:rsidR="00033D0F">
        <w:rPr>
          <w:spacing w:val="33"/>
        </w:rPr>
        <w:t xml:space="preserve"> </w:t>
      </w:r>
      <w:r w:rsidR="00033D0F">
        <w:rPr>
          <w:spacing w:val="-5"/>
        </w:rPr>
        <w:t>and</w:t>
      </w:r>
    </w:p>
    <w:p w14:paraId="425AF99C" w14:textId="77777777" w:rsidR="00BD462C" w:rsidRDefault="00033D0F">
      <w:pPr>
        <w:pStyle w:val="BodyText"/>
        <w:spacing w:before="1"/>
        <w:ind w:left="136"/>
        <w:jc w:val="both"/>
      </w:pPr>
      <w:r>
        <w:t>12.2.2</w:t>
      </w:r>
      <w:r>
        <w:rPr>
          <w:spacing w:val="16"/>
        </w:rPr>
        <w:t xml:space="preserve"> </w:t>
      </w:r>
      <w:r>
        <w:t>in</w:t>
      </w:r>
      <w:r>
        <w:rPr>
          <w:spacing w:val="24"/>
        </w:rPr>
        <w:t xml:space="preserve"> </w:t>
      </w:r>
      <w:r>
        <w:t>relation</w:t>
      </w:r>
      <w:r>
        <w:rPr>
          <w:spacing w:val="20"/>
        </w:rPr>
        <w:t xml:space="preserve"> </w:t>
      </w:r>
      <w:r>
        <w:t>to</w:t>
      </w:r>
      <w:r>
        <w:rPr>
          <w:spacing w:val="19"/>
        </w:rPr>
        <w:t xml:space="preserve"> </w:t>
      </w:r>
      <w:r>
        <w:t>the</w:t>
      </w:r>
      <w:r>
        <w:rPr>
          <w:spacing w:val="25"/>
        </w:rPr>
        <w:t xml:space="preserve"> </w:t>
      </w:r>
      <w:r>
        <w:t>disclosure</w:t>
      </w:r>
      <w:r>
        <w:rPr>
          <w:spacing w:val="22"/>
        </w:rPr>
        <w:t xml:space="preserve"> </w:t>
      </w:r>
      <w:r>
        <w:t>of</w:t>
      </w:r>
      <w:r>
        <w:rPr>
          <w:spacing w:val="25"/>
        </w:rPr>
        <w:t xml:space="preserve"> </w:t>
      </w:r>
      <w:r>
        <w:rPr>
          <w:i/>
        </w:rPr>
        <w:t>facts</w:t>
      </w:r>
      <w:r>
        <w:t>,</w:t>
      </w:r>
      <w:r>
        <w:rPr>
          <w:spacing w:val="24"/>
        </w:rPr>
        <w:t xml:space="preserve"> </w:t>
      </w:r>
      <w:r>
        <w:t>to</w:t>
      </w:r>
      <w:r>
        <w:rPr>
          <w:spacing w:val="19"/>
        </w:rPr>
        <w:t xml:space="preserve"> </w:t>
      </w:r>
      <w:r>
        <w:t>the</w:t>
      </w:r>
      <w:r>
        <w:rPr>
          <w:spacing w:val="20"/>
        </w:rPr>
        <w:t xml:space="preserve"> </w:t>
      </w:r>
      <w:r>
        <w:t>arguments</w:t>
      </w:r>
      <w:r>
        <w:rPr>
          <w:spacing w:val="23"/>
        </w:rPr>
        <w:t xml:space="preserve"> </w:t>
      </w:r>
      <w:r>
        <w:t>concerning</w:t>
      </w:r>
      <w:r>
        <w:rPr>
          <w:spacing w:val="23"/>
        </w:rPr>
        <w:t xml:space="preserve"> </w:t>
      </w:r>
      <w:r>
        <w:t>the</w:t>
      </w:r>
      <w:r>
        <w:rPr>
          <w:spacing w:val="26"/>
        </w:rPr>
        <w:t xml:space="preserve"> </w:t>
      </w:r>
      <w:r>
        <w:t>disclosure</w:t>
      </w:r>
      <w:r>
        <w:rPr>
          <w:spacing w:val="22"/>
        </w:rPr>
        <w:t xml:space="preserve"> </w:t>
      </w:r>
      <w:r>
        <w:rPr>
          <w:spacing w:val="-5"/>
        </w:rPr>
        <w:t>of</w:t>
      </w:r>
    </w:p>
    <w:p w14:paraId="3726B787" w14:textId="77777777" w:rsidR="00BD462C" w:rsidRDefault="00033D0F">
      <w:pPr>
        <w:spacing w:before="149"/>
        <w:ind w:left="136"/>
        <w:rPr>
          <w:sz w:val="24"/>
        </w:rPr>
      </w:pPr>
      <w:r>
        <w:rPr>
          <w:i/>
          <w:spacing w:val="-2"/>
          <w:sz w:val="24"/>
        </w:rPr>
        <w:t>reasons</w:t>
      </w:r>
      <w:r>
        <w:rPr>
          <w:spacing w:val="-2"/>
          <w:sz w:val="24"/>
        </w:rPr>
        <w:t>.</w:t>
      </w:r>
    </w:p>
    <w:p w14:paraId="635B986C" w14:textId="77777777" w:rsidR="00BD462C" w:rsidRDefault="00BD462C">
      <w:pPr>
        <w:pStyle w:val="BodyText"/>
        <w:rPr>
          <w:sz w:val="20"/>
        </w:rPr>
      </w:pPr>
    </w:p>
    <w:p w14:paraId="4BF35408" w14:textId="77777777" w:rsidR="00BD462C" w:rsidRDefault="00BD462C">
      <w:pPr>
        <w:pStyle w:val="BodyText"/>
        <w:rPr>
          <w:sz w:val="20"/>
        </w:rPr>
      </w:pPr>
    </w:p>
    <w:p w14:paraId="50EB86DB" w14:textId="77777777" w:rsidR="00BD462C" w:rsidRDefault="00BD462C">
      <w:pPr>
        <w:pStyle w:val="BodyText"/>
        <w:rPr>
          <w:sz w:val="20"/>
        </w:rPr>
      </w:pPr>
    </w:p>
    <w:p w14:paraId="76A15220" w14:textId="77777777" w:rsidR="00BD462C" w:rsidRDefault="00BD462C">
      <w:pPr>
        <w:pStyle w:val="BodyText"/>
        <w:rPr>
          <w:sz w:val="20"/>
        </w:rPr>
      </w:pPr>
    </w:p>
    <w:p w14:paraId="25D89C46" w14:textId="77777777" w:rsidR="00BD462C" w:rsidRDefault="00BD462C">
      <w:pPr>
        <w:pStyle w:val="BodyText"/>
        <w:rPr>
          <w:sz w:val="20"/>
        </w:rPr>
      </w:pPr>
    </w:p>
    <w:p w14:paraId="01EFECA5" w14:textId="2AD902FC" w:rsidR="00BD462C" w:rsidRDefault="007E218F">
      <w:pPr>
        <w:pStyle w:val="BodyText"/>
        <w:rPr>
          <w:sz w:val="20"/>
        </w:rPr>
      </w:pPr>
      <w:r>
        <w:rPr>
          <w:noProof/>
        </w:rPr>
        <mc:AlternateContent>
          <mc:Choice Requires="wps">
            <w:drawing>
              <wp:anchor distT="0" distB="0" distL="0" distR="0" simplePos="0" relativeHeight="488178176" behindDoc="1" locked="0" layoutInCell="1" allowOverlap="1" wp14:anchorId="313C488A" wp14:editId="625449D2">
                <wp:simplePos x="0" y="0"/>
                <wp:positionH relativeFrom="page">
                  <wp:posOffset>812800</wp:posOffset>
                </wp:positionH>
                <wp:positionV relativeFrom="paragraph">
                  <wp:posOffset>234950</wp:posOffset>
                </wp:positionV>
                <wp:extent cx="1828800" cy="8890"/>
                <wp:effectExtent l="0" t="0" r="0" b="0"/>
                <wp:wrapTopAndBottom/>
                <wp:docPr id="153" name="docshape6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7D8C0E" id="docshape664" o:spid="_x0000_s1026" alt="&quot;&quot;" style="position:absolute;margin-left:64pt;margin-top:18.5pt;width:2in;height:.7pt;z-index:-1513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" fillcolor="black" stroked="f">
                <w10:wrap type="topAndBottom" anchorx="page"/>
              </v:rect>
            </w:pict>
          </mc:Fallback>
        </mc:AlternateContent>
      </w:r>
    </w:p>
    <w:p w14:paraId="6C5626CB" w14:textId="22A18E33" w:rsidR="00BD462C" w:rsidRDefault="00BD462C">
      <w:pPr>
        <w:pStyle w:val="BodyText"/>
        <w:rPr>
          <w:sz w:val="10"/>
        </w:rPr>
      </w:pPr>
    </w:p>
    <w:p w14:paraId="401B2412" w14:textId="77777777" w:rsidR="00BD462C" w:rsidRDefault="00033D0F">
      <w:pPr>
        <w:spacing w:before="112"/>
        <w:ind w:left="135"/>
        <w:rPr>
          <w:sz w:val="18"/>
        </w:rPr>
      </w:pPr>
      <w:bookmarkStart w:id="1882" w:name="_bookmark1623"/>
      <w:bookmarkEnd w:id="1882"/>
      <w:r>
        <w:rPr>
          <w:position w:val="5"/>
          <w:sz w:val="12"/>
        </w:rPr>
        <w:t>1406</w:t>
      </w:r>
      <w:r>
        <w:rPr>
          <w:spacing w:val="13"/>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 xml:space="preserve">para. </w:t>
      </w:r>
      <w:r>
        <w:rPr>
          <w:spacing w:val="-2"/>
          <w:sz w:val="18"/>
        </w:rPr>
        <w:t>2598.</w:t>
      </w:r>
    </w:p>
    <w:p w14:paraId="6C43ADB7" w14:textId="77777777" w:rsidR="00BD462C" w:rsidRDefault="00033D0F">
      <w:pPr>
        <w:spacing w:before="1"/>
        <w:ind w:left="135"/>
        <w:rPr>
          <w:sz w:val="18"/>
        </w:rPr>
      </w:pPr>
      <w:bookmarkStart w:id="1883" w:name="_bookmark1624"/>
      <w:bookmarkEnd w:id="1883"/>
      <w:r>
        <w:rPr>
          <w:position w:val="5"/>
          <w:sz w:val="12"/>
        </w:rPr>
        <w:t>1407</w:t>
      </w:r>
      <w:r>
        <w:rPr>
          <w:spacing w:val="14"/>
          <w:position w:val="5"/>
          <w:sz w:val="12"/>
        </w:rPr>
        <w:t xml:space="preserve"> </w:t>
      </w:r>
      <w:r>
        <w:rPr>
          <w:sz w:val="18"/>
        </w:rPr>
        <w:t>Panel</w:t>
      </w:r>
      <w:r>
        <w:rPr>
          <w:spacing w:val="-4"/>
          <w:sz w:val="18"/>
        </w:rPr>
        <w:t xml:space="preserve"> </w:t>
      </w:r>
      <w:r>
        <w:rPr>
          <w:sz w:val="18"/>
        </w:rPr>
        <w:t>Report,</w:t>
      </w:r>
      <w:r>
        <w:rPr>
          <w:spacing w:val="-2"/>
          <w:sz w:val="18"/>
        </w:rPr>
        <w:t xml:space="preserve"> </w:t>
      </w:r>
      <w:r>
        <w:rPr>
          <w:i/>
          <w:sz w:val="18"/>
        </w:rPr>
        <w:t>China</w:t>
      </w:r>
      <w:r>
        <w:rPr>
          <w:i/>
          <w:spacing w:val="-3"/>
          <w:sz w:val="18"/>
        </w:rPr>
        <w:t xml:space="preserve"> </w:t>
      </w:r>
      <w:r>
        <w:rPr>
          <w:i/>
          <w:sz w:val="18"/>
        </w:rPr>
        <w:t>–</w:t>
      </w:r>
      <w:r>
        <w:rPr>
          <w:i/>
          <w:spacing w:val="-5"/>
          <w:sz w:val="18"/>
        </w:rPr>
        <w:t xml:space="preserve"> </w:t>
      </w:r>
      <w:r>
        <w:rPr>
          <w:i/>
          <w:sz w:val="18"/>
        </w:rPr>
        <w:t>HP-SSST</w:t>
      </w:r>
      <w:r>
        <w:rPr>
          <w:i/>
          <w:spacing w:val="-2"/>
          <w:sz w:val="18"/>
        </w:rPr>
        <w:t xml:space="preserve"> </w:t>
      </w:r>
      <w:r>
        <w:rPr>
          <w:i/>
          <w:sz w:val="18"/>
        </w:rPr>
        <w:t>(Japan)</w:t>
      </w:r>
      <w:r>
        <w:rPr>
          <w:i/>
          <w:spacing w:val="-3"/>
          <w:sz w:val="18"/>
        </w:rPr>
        <w:t xml:space="preserve"> </w:t>
      </w:r>
      <w:r>
        <w:rPr>
          <w:i/>
          <w:sz w:val="18"/>
        </w:rPr>
        <w:t>/</w:t>
      </w:r>
      <w:r>
        <w:rPr>
          <w:i/>
          <w:spacing w:val="1"/>
          <w:sz w:val="18"/>
        </w:rPr>
        <w:t xml:space="preserve"> </w:t>
      </w:r>
      <w:r>
        <w:rPr>
          <w:i/>
          <w:sz w:val="18"/>
        </w:rPr>
        <w:t>China</w:t>
      </w:r>
      <w:r>
        <w:rPr>
          <w:i/>
          <w:spacing w:val="-4"/>
          <w:sz w:val="18"/>
        </w:rPr>
        <w:t xml:space="preserve"> </w:t>
      </w:r>
      <w:r>
        <w:rPr>
          <w:i/>
          <w:sz w:val="18"/>
        </w:rPr>
        <w:t>–</w:t>
      </w:r>
      <w:r>
        <w:rPr>
          <w:i/>
          <w:spacing w:val="-4"/>
          <w:sz w:val="18"/>
        </w:rPr>
        <w:t xml:space="preserve"> </w:t>
      </w:r>
      <w:r>
        <w:rPr>
          <w:i/>
          <w:sz w:val="18"/>
        </w:rPr>
        <w:t>HP-SSST</w:t>
      </w:r>
      <w:r>
        <w:rPr>
          <w:i/>
          <w:spacing w:val="-3"/>
          <w:sz w:val="18"/>
        </w:rPr>
        <w:t xml:space="preserve"> </w:t>
      </w:r>
      <w:r>
        <w:rPr>
          <w:i/>
          <w:sz w:val="18"/>
        </w:rPr>
        <w:t>(EU),</w:t>
      </w:r>
      <w:r>
        <w:rPr>
          <w:i/>
          <w:spacing w:val="-2"/>
          <w:sz w:val="18"/>
        </w:rPr>
        <w:t xml:space="preserve"> </w:t>
      </w:r>
      <w:r>
        <w:rPr>
          <w:sz w:val="18"/>
        </w:rPr>
        <w:t>para.</w:t>
      </w:r>
      <w:r>
        <w:rPr>
          <w:spacing w:val="1"/>
          <w:sz w:val="18"/>
        </w:rPr>
        <w:t xml:space="preserve"> </w:t>
      </w:r>
      <w:r>
        <w:rPr>
          <w:spacing w:val="-2"/>
          <w:sz w:val="18"/>
        </w:rPr>
        <w:t>7.279.</w:t>
      </w:r>
    </w:p>
    <w:p w14:paraId="7B6C23E3" w14:textId="77777777" w:rsidR="00BD462C" w:rsidRDefault="00033D0F">
      <w:pPr>
        <w:spacing w:before="1"/>
        <w:ind w:left="135"/>
        <w:rPr>
          <w:sz w:val="18"/>
        </w:rPr>
      </w:pPr>
      <w:bookmarkStart w:id="1884" w:name="_bookmark1625"/>
      <w:bookmarkEnd w:id="1884"/>
      <w:r>
        <w:rPr>
          <w:position w:val="5"/>
          <w:sz w:val="12"/>
        </w:rPr>
        <w:t>1408</w:t>
      </w:r>
      <w:r>
        <w:rPr>
          <w:spacing w:val="13"/>
          <w:position w:val="5"/>
          <w:sz w:val="12"/>
        </w:rPr>
        <w:t xml:space="preserve"> </w:t>
      </w:r>
      <w:r>
        <w:rPr>
          <w:sz w:val="18"/>
        </w:rPr>
        <w:t>Panel</w:t>
      </w:r>
      <w:r>
        <w:rPr>
          <w:spacing w:val="-3"/>
          <w:sz w:val="18"/>
        </w:rPr>
        <w:t xml:space="preserve"> </w:t>
      </w:r>
      <w:r>
        <w:rPr>
          <w:sz w:val="18"/>
        </w:rPr>
        <w:t>Report,</w:t>
      </w:r>
      <w:r>
        <w:rPr>
          <w:spacing w:val="-3"/>
          <w:sz w:val="18"/>
        </w:rPr>
        <w:t xml:space="preserve"> </w:t>
      </w:r>
      <w:r>
        <w:rPr>
          <w:i/>
          <w:sz w:val="18"/>
        </w:rPr>
        <w:t>China</w:t>
      </w:r>
      <w:r>
        <w:rPr>
          <w:i/>
          <w:spacing w:val="-4"/>
          <w:sz w:val="18"/>
        </w:rPr>
        <w:t xml:space="preserve"> </w:t>
      </w:r>
      <w:r>
        <w:rPr>
          <w:i/>
          <w:sz w:val="18"/>
        </w:rPr>
        <w:t>–</w:t>
      </w:r>
      <w:r>
        <w:rPr>
          <w:i/>
          <w:spacing w:val="-4"/>
          <w:sz w:val="18"/>
        </w:rPr>
        <w:t xml:space="preserve"> </w:t>
      </w:r>
      <w:r>
        <w:rPr>
          <w:i/>
          <w:sz w:val="18"/>
        </w:rPr>
        <w:t>HP-SSST</w:t>
      </w:r>
      <w:r>
        <w:rPr>
          <w:i/>
          <w:spacing w:val="-3"/>
          <w:sz w:val="18"/>
        </w:rPr>
        <w:t xml:space="preserve"> </w:t>
      </w:r>
      <w:r>
        <w:rPr>
          <w:i/>
          <w:sz w:val="18"/>
        </w:rPr>
        <w:t>(Japan)</w:t>
      </w:r>
      <w:r>
        <w:rPr>
          <w:i/>
          <w:spacing w:val="-3"/>
          <w:sz w:val="18"/>
        </w:rPr>
        <w:t xml:space="preserve"> </w:t>
      </w:r>
      <w:r>
        <w:rPr>
          <w:i/>
          <w:sz w:val="18"/>
        </w:rPr>
        <w:t>/ China</w:t>
      </w:r>
      <w:r>
        <w:rPr>
          <w:i/>
          <w:spacing w:val="-4"/>
          <w:sz w:val="18"/>
        </w:rPr>
        <w:t xml:space="preserve"> </w:t>
      </w:r>
      <w:r>
        <w:rPr>
          <w:i/>
          <w:sz w:val="18"/>
        </w:rPr>
        <w:t>–</w:t>
      </w:r>
      <w:r>
        <w:rPr>
          <w:i/>
          <w:spacing w:val="-4"/>
          <w:sz w:val="18"/>
        </w:rPr>
        <w:t xml:space="preserve"> </w:t>
      </w:r>
      <w:r>
        <w:rPr>
          <w:i/>
          <w:sz w:val="18"/>
        </w:rPr>
        <w:t>HP-SSST</w:t>
      </w:r>
      <w:r>
        <w:rPr>
          <w:i/>
          <w:spacing w:val="-3"/>
          <w:sz w:val="18"/>
        </w:rPr>
        <w:t xml:space="preserve"> </w:t>
      </w:r>
      <w:r>
        <w:rPr>
          <w:i/>
          <w:sz w:val="18"/>
        </w:rPr>
        <w:t>(EU),</w:t>
      </w:r>
      <w:r>
        <w:rPr>
          <w:i/>
          <w:spacing w:val="-3"/>
          <w:sz w:val="18"/>
        </w:rPr>
        <w:t xml:space="preserve"> </w:t>
      </w:r>
      <w:r>
        <w:rPr>
          <w:sz w:val="18"/>
        </w:rPr>
        <w:t>para.</w:t>
      </w:r>
      <w:r>
        <w:rPr>
          <w:spacing w:val="1"/>
          <w:sz w:val="18"/>
        </w:rPr>
        <w:t xml:space="preserve"> </w:t>
      </w:r>
      <w:r>
        <w:rPr>
          <w:sz w:val="18"/>
        </w:rPr>
        <w:t>7.280-</w:t>
      </w:r>
      <w:r>
        <w:rPr>
          <w:spacing w:val="-2"/>
          <w:sz w:val="18"/>
        </w:rPr>
        <w:t>7.281.</w:t>
      </w:r>
    </w:p>
    <w:p w14:paraId="7EA9B692" w14:textId="77777777" w:rsidR="00BD462C" w:rsidRDefault="00BD462C">
      <w:pPr>
        <w:rPr>
          <w:sz w:val="18"/>
        </w:rPr>
        <w:sectPr w:rsidR="00BD462C">
          <w:pgSz w:w="11910" w:h="16840"/>
          <w:pgMar w:top="860" w:right="500" w:bottom="780" w:left="1280" w:header="566" w:footer="590" w:gutter="0"/>
          <w:cols w:space="720"/>
        </w:sectPr>
      </w:pPr>
    </w:p>
    <w:p w14:paraId="4FCDE9A9"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2989E485"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2A1079EA"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5521D74E" w14:textId="77777777" w:rsidR="00BD462C" w:rsidRDefault="00033D0F">
      <w:pPr>
        <w:pStyle w:val="ListParagraph"/>
        <w:numPr>
          <w:ilvl w:val="0"/>
          <w:numId w:val="10"/>
        </w:numPr>
        <w:tabs>
          <w:tab w:val="left" w:pos="3539"/>
          <w:tab w:val="left" w:pos="3540"/>
        </w:tabs>
        <w:spacing w:before="102" w:line="357" w:lineRule="auto"/>
        <w:ind w:right="915"/>
        <w:rPr>
          <w:sz w:val="24"/>
        </w:rPr>
      </w:pPr>
      <w:bookmarkStart w:id="1885" w:name="(b)_The_scope_of_Articles_12.2_and_12.2."/>
      <w:bookmarkStart w:id="1886" w:name="_bookmark1626"/>
      <w:bookmarkEnd w:id="1885"/>
      <w:bookmarkEnd w:id="1886"/>
      <w:r>
        <w:rPr>
          <w:sz w:val="24"/>
          <w:u w:val="single"/>
        </w:rPr>
        <w:t>The scope of Articles 12.2</w:t>
      </w:r>
      <w:r>
        <w:rPr>
          <w:spacing w:val="-2"/>
          <w:sz w:val="24"/>
          <w:u w:val="single"/>
        </w:rPr>
        <w:t xml:space="preserve"> </w:t>
      </w:r>
      <w:r>
        <w:rPr>
          <w:sz w:val="24"/>
          <w:u w:val="single"/>
        </w:rPr>
        <w:t>and 12.2.2 are not as limited</w:t>
      </w:r>
      <w:r>
        <w:rPr>
          <w:spacing w:val="-1"/>
          <w:sz w:val="24"/>
          <w:u w:val="single"/>
        </w:rPr>
        <w:t xml:space="preserve"> </w:t>
      </w:r>
      <w:r>
        <w:rPr>
          <w:sz w:val="24"/>
          <w:u w:val="single"/>
        </w:rPr>
        <w:t>as</w:t>
      </w:r>
      <w:r>
        <w:rPr>
          <w:sz w:val="24"/>
        </w:rPr>
        <w:t xml:space="preserve"> </w:t>
      </w:r>
      <w:r>
        <w:rPr>
          <w:sz w:val="24"/>
          <w:u w:val="single"/>
        </w:rPr>
        <w:t>China submits</w:t>
      </w:r>
    </w:p>
    <w:p w14:paraId="0E4DA840" w14:textId="122CA6CB" w:rsidR="00BD462C" w:rsidRDefault="00D443C8">
      <w:pPr>
        <w:pStyle w:val="BodyText"/>
        <w:spacing w:before="169" w:line="360" w:lineRule="auto"/>
        <w:ind w:left="135" w:right="910"/>
        <w:jc w:val="both"/>
      </w:pPr>
      <w:r>
        <w:rPr>
          <w:noProof/>
        </w:rPr>
        <w:t>974.</w:t>
      </w:r>
      <w:r w:rsidR="00033D0F">
        <w:rPr>
          <w:rFonts w:ascii="Times New Roman"/>
          <w:spacing w:val="80"/>
          <w:w w:val="150"/>
          <w:position w:val="1"/>
          <w:sz w:val="20"/>
        </w:rPr>
        <w:t xml:space="preserve"> </w:t>
      </w:r>
      <w:r w:rsidR="00033D0F">
        <w:rPr>
          <w:position w:val="1"/>
        </w:rPr>
        <w:t>As a starting point, both Australia</w:t>
      </w:r>
      <w:hyperlink w:anchor="_bookmark1627" w:history="1">
        <w:r w:rsidR="00033D0F">
          <w:rPr>
            <w:position w:val="1"/>
            <w:vertAlign w:val="superscript"/>
          </w:rPr>
          <w:t>1409</w:t>
        </w:r>
      </w:hyperlink>
      <w:r w:rsidR="00033D0F">
        <w:rPr>
          <w:position w:val="1"/>
        </w:rPr>
        <w:t xml:space="preserve"> and China</w:t>
      </w:r>
      <w:hyperlink w:anchor="_bookmark1628" w:history="1">
        <w:r w:rsidR="00033D0F">
          <w:rPr>
            <w:position w:val="1"/>
            <w:vertAlign w:val="superscript"/>
          </w:rPr>
          <w:t>1410</w:t>
        </w:r>
      </w:hyperlink>
      <w:r w:rsidR="00033D0F">
        <w:rPr>
          <w:position w:val="1"/>
        </w:rPr>
        <w:t xml:space="preserve"> agree that previous panels have </w:t>
      </w:r>
      <w:r w:rsidR="00033D0F">
        <w:t>understood</w:t>
      </w:r>
      <w:r w:rsidR="00033D0F">
        <w:rPr>
          <w:spacing w:val="-3"/>
        </w:rPr>
        <w:t xml:space="preserve"> </w:t>
      </w:r>
      <w:r w:rsidR="00033D0F">
        <w:t>the</w:t>
      </w:r>
      <w:r w:rsidR="00033D0F">
        <w:rPr>
          <w:spacing w:val="-6"/>
        </w:rPr>
        <w:t xml:space="preserve"> </w:t>
      </w:r>
      <w:r w:rsidR="00033D0F">
        <w:t>word</w:t>
      </w:r>
      <w:r w:rsidR="00033D0F">
        <w:rPr>
          <w:spacing w:val="-8"/>
        </w:rPr>
        <w:t xml:space="preserve"> </w:t>
      </w:r>
      <w:r w:rsidR="00033D0F">
        <w:t>"material"</w:t>
      </w:r>
      <w:r w:rsidR="00033D0F">
        <w:rPr>
          <w:spacing w:val="-7"/>
        </w:rPr>
        <w:t xml:space="preserve"> </w:t>
      </w:r>
      <w:r w:rsidR="00033D0F">
        <w:t>in</w:t>
      </w:r>
      <w:r w:rsidR="00033D0F">
        <w:rPr>
          <w:spacing w:val="-8"/>
        </w:rPr>
        <w:t xml:space="preserve"> </w:t>
      </w:r>
      <w:r w:rsidR="00033D0F">
        <w:t>the</w:t>
      </w:r>
      <w:r w:rsidR="00033D0F">
        <w:rPr>
          <w:spacing w:val="-6"/>
        </w:rPr>
        <w:t xml:space="preserve"> </w:t>
      </w:r>
      <w:r w:rsidR="00033D0F">
        <w:t>context</w:t>
      </w:r>
      <w:r w:rsidR="00033D0F">
        <w:rPr>
          <w:spacing w:val="-6"/>
        </w:rPr>
        <w:t xml:space="preserve"> </w:t>
      </w:r>
      <w:r w:rsidR="00033D0F">
        <w:t>of</w:t>
      </w:r>
      <w:r w:rsidR="00033D0F">
        <w:rPr>
          <w:spacing w:val="-3"/>
        </w:rPr>
        <w:t xml:space="preserve"> </w:t>
      </w:r>
      <w:r w:rsidR="00033D0F">
        <w:t>Article</w:t>
      </w:r>
      <w:r w:rsidR="00033D0F">
        <w:rPr>
          <w:spacing w:val="-6"/>
        </w:rPr>
        <w:t xml:space="preserve"> </w:t>
      </w:r>
      <w:r w:rsidR="00033D0F">
        <w:t>12.2</w:t>
      </w:r>
      <w:r w:rsidR="00033D0F">
        <w:rPr>
          <w:spacing w:val="-8"/>
        </w:rPr>
        <w:t xml:space="preserve"> </w:t>
      </w:r>
      <w:r w:rsidR="00033D0F">
        <w:t>to</w:t>
      </w:r>
      <w:r w:rsidR="00033D0F">
        <w:rPr>
          <w:spacing w:val="-9"/>
        </w:rPr>
        <w:t xml:space="preserve"> </w:t>
      </w:r>
      <w:r w:rsidR="00033D0F">
        <w:t>"refer</w:t>
      </w:r>
      <w:r w:rsidR="00033D0F">
        <w:rPr>
          <w:spacing w:val="-9"/>
        </w:rPr>
        <w:t xml:space="preserve"> </w:t>
      </w:r>
      <w:r w:rsidR="00033D0F">
        <w:t>to</w:t>
      </w:r>
      <w:r w:rsidR="00033D0F">
        <w:rPr>
          <w:spacing w:val="-4"/>
        </w:rPr>
        <w:t xml:space="preserve"> </w:t>
      </w:r>
      <w:r w:rsidR="00033D0F">
        <w:t>an</w:t>
      </w:r>
      <w:r w:rsidR="00033D0F">
        <w:rPr>
          <w:spacing w:val="-8"/>
        </w:rPr>
        <w:t xml:space="preserve"> </w:t>
      </w:r>
      <w:r w:rsidR="00033D0F">
        <w:t>issue</w:t>
      </w:r>
      <w:r w:rsidR="00033D0F">
        <w:rPr>
          <w:spacing w:val="-6"/>
        </w:rPr>
        <w:t xml:space="preserve"> </w:t>
      </w:r>
      <w:r w:rsidR="00033D0F">
        <w:t>which</w:t>
      </w:r>
      <w:r w:rsidR="00033D0F">
        <w:rPr>
          <w:spacing w:val="-8"/>
        </w:rPr>
        <w:t xml:space="preserve"> </w:t>
      </w:r>
      <w:r w:rsidR="00033D0F">
        <w:t>must be</w:t>
      </w:r>
      <w:r w:rsidR="00033D0F">
        <w:rPr>
          <w:spacing w:val="-2"/>
        </w:rPr>
        <w:t xml:space="preserve"> </w:t>
      </w:r>
      <w:r w:rsidR="00033D0F">
        <w:t>resolved</w:t>
      </w:r>
      <w:r w:rsidR="00033D0F">
        <w:rPr>
          <w:spacing w:val="-3"/>
        </w:rPr>
        <w:t xml:space="preserve"> </w:t>
      </w:r>
      <w:r w:rsidR="00033D0F">
        <w:t>in</w:t>
      </w:r>
      <w:r w:rsidR="00033D0F">
        <w:rPr>
          <w:spacing w:val="-3"/>
        </w:rPr>
        <w:t xml:space="preserve"> </w:t>
      </w:r>
      <w:r w:rsidR="00033D0F">
        <w:t>the</w:t>
      </w:r>
      <w:r w:rsidR="00033D0F">
        <w:rPr>
          <w:spacing w:val="-2"/>
        </w:rPr>
        <w:t xml:space="preserve"> </w:t>
      </w:r>
      <w:r w:rsidR="00033D0F">
        <w:t>course of</w:t>
      </w:r>
      <w:r w:rsidR="00033D0F">
        <w:rPr>
          <w:spacing w:val="-3"/>
        </w:rPr>
        <w:t xml:space="preserve"> </w:t>
      </w:r>
      <w:r w:rsidR="00033D0F">
        <w:t>the investigation</w:t>
      </w:r>
      <w:r w:rsidR="00033D0F">
        <w:rPr>
          <w:spacing w:val="-3"/>
        </w:rPr>
        <w:t xml:space="preserve"> </w:t>
      </w:r>
      <w:r w:rsidR="00033D0F">
        <w:t>in</w:t>
      </w:r>
      <w:r w:rsidR="00033D0F">
        <w:rPr>
          <w:spacing w:val="-3"/>
        </w:rPr>
        <w:t xml:space="preserve"> </w:t>
      </w:r>
      <w:r w:rsidR="00033D0F">
        <w:t>order</w:t>
      </w:r>
      <w:r w:rsidR="00033D0F">
        <w:rPr>
          <w:spacing w:val="-4"/>
        </w:rPr>
        <w:t xml:space="preserve"> </w:t>
      </w:r>
      <w:r w:rsidR="00033D0F">
        <w:t>for the</w:t>
      </w:r>
      <w:r w:rsidR="00033D0F">
        <w:rPr>
          <w:spacing w:val="-2"/>
        </w:rPr>
        <w:t xml:space="preserve"> </w:t>
      </w:r>
      <w:r w:rsidR="00033D0F">
        <w:t>investigating authority to</w:t>
      </w:r>
      <w:r w:rsidR="00033D0F">
        <w:rPr>
          <w:spacing w:val="-4"/>
        </w:rPr>
        <w:t xml:space="preserve"> </w:t>
      </w:r>
      <w:r w:rsidR="00033D0F">
        <w:t>reach its determination".</w:t>
      </w:r>
      <w:hyperlink w:anchor="_bookmark1629" w:history="1">
        <w:r w:rsidR="00033D0F">
          <w:rPr>
            <w:vertAlign w:val="superscript"/>
          </w:rPr>
          <w:t>1411</w:t>
        </w:r>
      </w:hyperlink>
      <w:r w:rsidR="00033D0F">
        <w:t xml:space="preserve"> China then appears to submit that the investigating authority has unfettered discretion to determine what is "material". While Australia accepts there is a degree of discretion afforded to the investigating authority in this regard,</w:t>
      </w:r>
      <w:hyperlink w:anchor="_bookmark1630" w:history="1">
        <w:r w:rsidR="00033D0F">
          <w:rPr>
            <w:vertAlign w:val="superscript"/>
          </w:rPr>
          <w:t>1412</w:t>
        </w:r>
      </w:hyperlink>
      <w:r w:rsidR="00033D0F">
        <w:t xml:space="preserve"> that discretion is not unfettered. Rather, what is material depends on the substantive provision of the Anti- Dumping Agreement at issue,</w:t>
      </w:r>
      <w:hyperlink w:anchor="_bookmark1631" w:history="1">
        <w:r w:rsidR="00033D0F">
          <w:rPr>
            <w:vertAlign w:val="superscript"/>
          </w:rPr>
          <w:t>1413</w:t>
        </w:r>
      </w:hyperlink>
      <w:r w:rsidR="00033D0F">
        <w:t xml:space="preserve"> and there are "certain objective requirements that would necessarily require reflection in the public report of the investigation".</w:t>
      </w:r>
      <w:hyperlink w:anchor="_bookmark1632" w:history="1">
        <w:r w:rsidR="00033D0F">
          <w:rPr>
            <w:vertAlign w:val="superscript"/>
          </w:rPr>
          <w:t>1414</w:t>
        </w:r>
      </w:hyperlink>
      <w:r w:rsidR="00033D0F">
        <w:t xml:space="preserve"> Thus, the investigating authority's determination in this regard is properly subject to review by the Panel, to undertake an "objective assessment of the facts", including with respect to MOFCOM's</w:t>
      </w:r>
      <w:r w:rsidR="00033D0F">
        <w:rPr>
          <w:spacing w:val="-5"/>
        </w:rPr>
        <w:t xml:space="preserve"> </w:t>
      </w:r>
      <w:r w:rsidR="00033D0F">
        <w:t>determination</w:t>
      </w:r>
      <w:r w:rsidR="00033D0F">
        <w:rPr>
          <w:spacing w:val="-8"/>
        </w:rPr>
        <w:t xml:space="preserve"> </w:t>
      </w:r>
      <w:r w:rsidR="00033D0F">
        <w:t>of</w:t>
      </w:r>
      <w:r w:rsidR="00033D0F">
        <w:rPr>
          <w:spacing w:val="-8"/>
        </w:rPr>
        <w:t xml:space="preserve"> </w:t>
      </w:r>
      <w:r w:rsidR="00033D0F">
        <w:t>materiality</w:t>
      </w:r>
      <w:r w:rsidR="00033D0F">
        <w:rPr>
          <w:spacing w:val="-5"/>
        </w:rPr>
        <w:t xml:space="preserve"> </w:t>
      </w:r>
      <w:r w:rsidR="00033D0F">
        <w:t>of</w:t>
      </w:r>
      <w:r w:rsidR="00033D0F">
        <w:rPr>
          <w:spacing w:val="-8"/>
        </w:rPr>
        <w:t xml:space="preserve"> </w:t>
      </w:r>
      <w:r w:rsidR="00033D0F">
        <w:t>"issues</w:t>
      </w:r>
      <w:r w:rsidR="00033D0F">
        <w:rPr>
          <w:spacing w:val="-9"/>
        </w:rPr>
        <w:t xml:space="preserve"> </w:t>
      </w:r>
      <w:r w:rsidR="00033D0F">
        <w:t>of</w:t>
      </w:r>
      <w:r w:rsidR="00033D0F">
        <w:rPr>
          <w:spacing w:val="-3"/>
        </w:rPr>
        <w:t xml:space="preserve"> </w:t>
      </w:r>
      <w:r w:rsidR="00033D0F">
        <w:t>fact</w:t>
      </w:r>
      <w:r w:rsidR="00033D0F">
        <w:rPr>
          <w:spacing w:val="-6"/>
        </w:rPr>
        <w:t xml:space="preserve"> </w:t>
      </w:r>
      <w:r w:rsidR="00033D0F">
        <w:t>and</w:t>
      </w:r>
      <w:r w:rsidR="00033D0F">
        <w:rPr>
          <w:spacing w:val="-3"/>
        </w:rPr>
        <w:t xml:space="preserve"> </w:t>
      </w:r>
      <w:r w:rsidR="00033D0F">
        <w:t>law"</w:t>
      </w:r>
      <w:r w:rsidR="00033D0F">
        <w:rPr>
          <w:spacing w:val="-7"/>
        </w:rPr>
        <w:t xml:space="preserve"> </w:t>
      </w:r>
      <w:r w:rsidR="00033D0F">
        <w:t>for</w:t>
      </w:r>
      <w:r w:rsidR="00033D0F">
        <w:rPr>
          <w:spacing w:val="-9"/>
        </w:rPr>
        <w:t xml:space="preserve"> </w:t>
      </w:r>
      <w:r w:rsidR="00033D0F">
        <w:t>the</w:t>
      </w:r>
      <w:r w:rsidR="00033D0F">
        <w:rPr>
          <w:spacing w:val="-2"/>
        </w:rPr>
        <w:t xml:space="preserve"> </w:t>
      </w:r>
      <w:r w:rsidR="00033D0F">
        <w:t>purposes</w:t>
      </w:r>
      <w:r w:rsidR="00033D0F">
        <w:rPr>
          <w:spacing w:val="-5"/>
        </w:rPr>
        <w:t xml:space="preserve"> </w:t>
      </w:r>
      <w:r w:rsidR="00033D0F">
        <w:t>of</w:t>
      </w:r>
      <w:r w:rsidR="00033D0F">
        <w:rPr>
          <w:spacing w:val="-8"/>
        </w:rPr>
        <w:t xml:space="preserve"> </w:t>
      </w:r>
      <w:r w:rsidR="00033D0F">
        <w:t xml:space="preserve">Article </w:t>
      </w:r>
      <w:r w:rsidR="00033D0F">
        <w:rPr>
          <w:spacing w:val="-2"/>
        </w:rPr>
        <w:t>12.2.</w:t>
      </w:r>
    </w:p>
    <w:p w14:paraId="543C5BB7" w14:textId="74F9492D" w:rsidR="00BD462C" w:rsidRDefault="00D443C8">
      <w:pPr>
        <w:pStyle w:val="BodyText"/>
        <w:spacing w:before="152" w:line="360" w:lineRule="auto"/>
        <w:ind w:left="135" w:right="908"/>
        <w:jc w:val="both"/>
      </w:pPr>
      <w:r>
        <w:rPr>
          <w:noProof/>
        </w:rPr>
        <w:t>975.</w:t>
      </w:r>
      <w:r w:rsidR="00033D0F">
        <w:rPr>
          <w:rFonts w:ascii="Times New Roman"/>
          <w:spacing w:val="80"/>
          <w:position w:val="1"/>
          <w:sz w:val="20"/>
        </w:rPr>
        <w:t xml:space="preserve">  </w:t>
      </w:r>
      <w:r w:rsidR="00033D0F">
        <w:rPr>
          <w:position w:val="1"/>
        </w:rPr>
        <w:t xml:space="preserve">China further attempts to limit the scope of Articles 12.2 and 12.2.2 by arguing that </w:t>
      </w:r>
      <w:r w:rsidR="00033D0F">
        <w:t>"the</w:t>
      </w:r>
      <w:r w:rsidR="00033D0F">
        <w:rPr>
          <w:spacing w:val="-4"/>
        </w:rPr>
        <w:t xml:space="preserve"> </w:t>
      </w:r>
      <w:r w:rsidR="00033D0F">
        <w:t>methodology</w:t>
      </w:r>
      <w:r w:rsidR="00033D0F">
        <w:rPr>
          <w:spacing w:val="-2"/>
        </w:rPr>
        <w:t xml:space="preserve"> </w:t>
      </w:r>
      <w:r w:rsidR="00033D0F">
        <w:t>adopted</w:t>
      </w:r>
      <w:r w:rsidR="00033D0F">
        <w:rPr>
          <w:spacing w:val="-5"/>
        </w:rPr>
        <w:t xml:space="preserve"> </w:t>
      </w:r>
      <w:r w:rsidR="00033D0F">
        <w:t>by</w:t>
      </w:r>
      <w:r w:rsidR="00033D0F">
        <w:rPr>
          <w:spacing w:val="-2"/>
        </w:rPr>
        <w:t xml:space="preserve"> </w:t>
      </w:r>
      <w:r w:rsidR="00033D0F">
        <w:t>an investigating</w:t>
      </w:r>
      <w:r w:rsidR="00033D0F">
        <w:rPr>
          <w:spacing w:val="-2"/>
        </w:rPr>
        <w:t xml:space="preserve"> </w:t>
      </w:r>
      <w:r w:rsidR="00033D0F">
        <w:t>authority</w:t>
      </w:r>
      <w:r w:rsidR="00033D0F">
        <w:rPr>
          <w:spacing w:val="-2"/>
        </w:rPr>
        <w:t xml:space="preserve"> </w:t>
      </w:r>
      <w:r w:rsidR="00033D0F">
        <w:t>as</w:t>
      </w:r>
      <w:r w:rsidR="00033D0F">
        <w:rPr>
          <w:spacing w:val="-2"/>
        </w:rPr>
        <w:t xml:space="preserve"> </w:t>
      </w:r>
      <w:r w:rsidR="00033D0F">
        <w:t>well</w:t>
      </w:r>
      <w:r w:rsidR="00033D0F">
        <w:rPr>
          <w:spacing w:val="-1"/>
        </w:rPr>
        <w:t xml:space="preserve"> </w:t>
      </w:r>
      <w:r w:rsidR="00033D0F">
        <w:t>as</w:t>
      </w:r>
      <w:r w:rsidR="00033D0F">
        <w:rPr>
          <w:spacing w:val="-2"/>
        </w:rPr>
        <w:t xml:space="preserve"> </w:t>
      </w:r>
      <w:r w:rsidR="00033D0F">
        <w:t>the</w:t>
      </w:r>
      <w:r w:rsidR="00033D0F">
        <w:rPr>
          <w:spacing w:val="-4"/>
        </w:rPr>
        <w:t xml:space="preserve"> </w:t>
      </w:r>
      <w:r w:rsidR="00033D0F">
        <w:t>decisions</w:t>
      </w:r>
      <w:r w:rsidR="00033D0F">
        <w:rPr>
          <w:spacing w:val="-2"/>
        </w:rPr>
        <w:t xml:space="preserve"> </w:t>
      </w:r>
      <w:r w:rsidR="00033D0F">
        <w:t>made</w:t>
      </w:r>
      <w:r w:rsidR="00033D0F">
        <w:rPr>
          <w:spacing w:val="-4"/>
        </w:rPr>
        <w:t xml:space="preserve"> </w:t>
      </w:r>
      <w:r w:rsidR="00033D0F">
        <w:t>by</w:t>
      </w:r>
      <w:r w:rsidR="00033D0F">
        <w:rPr>
          <w:spacing w:val="-2"/>
        </w:rPr>
        <w:t xml:space="preserve"> </w:t>
      </w:r>
      <w:r w:rsidR="00033D0F">
        <w:t>the authority" are not subject to Articles 12.2 and 12.2.2.</w:t>
      </w:r>
      <w:hyperlink w:anchor="_bookmark1633" w:history="1">
        <w:r w:rsidR="00033D0F">
          <w:rPr>
            <w:vertAlign w:val="superscript"/>
          </w:rPr>
          <w:t>1415</w:t>
        </w:r>
      </w:hyperlink>
      <w:r w:rsidR="00033D0F">
        <w:t xml:space="preserve"> However, as set out in Australia's response to Panel question No. 70,</w:t>
      </w:r>
      <w:hyperlink w:anchor="_bookmark1634" w:history="1">
        <w:r w:rsidR="00033D0F">
          <w:rPr>
            <w:vertAlign w:val="superscript"/>
          </w:rPr>
          <w:t>1416</w:t>
        </w:r>
      </w:hyperlink>
      <w:r w:rsidR="00033D0F">
        <w:t xml:space="preserve"> China's argument in this respect is inconsistent with the</w:t>
      </w:r>
      <w:r w:rsidR="00033D0F">
        <w:rPr>
          <w:spacing w:val="-4"/>
        </w:rPr>
        <w:t xml:space="preserve"> </w:t>
      </w:r>
      <w:r w:rsidR="00033D0F">
        <w:t>terms</w:t>
      </w:r>
      <w:r w:rsidR="00033D0F">
        <w:rPr>
          <w:spacing w:val="-2"/>
        </w:rPr>
        <w:t xml:space="preserve"> </w:t>
      </w:r>
      <w:r w:rsidR="00033D0F">
        <w:t>of</w:t>
      </w:r>
      <w:r w:rsidR="00033D0F">
        <w:rPr>
          <w:spacing w:val="-5"/>
        </w:rPr>
        <w:t xml:space="preserve"> </w:t>
      </w:r>
      <w:r w:rsidR="00033D0F">
        <w:t>the</w:t>
      </w:r>
      <w:r w:rsidR="00033D0F">
        <w:rPr>
          <w:spacing w:val="-4"/>
        </w:rPr>
        <w:t xml:space="preserve"> </w:t>
      </w:r>
      <w:r w:rsidR="00033D0F">
        <w:t>Anti-Dumping</w:t>
      </w:r>
      <w:r w:rsidR="00033D0F">
        <w:rPr>
          <w:spacing w:val="-2"/>
        </w:rPr>
        <w:t xml:space="preserve"> </w:t>
      </w:r>
      <w:r w:rsidR="00033D0F">
        <w:t>Agreement</w:t>
      </w:r>
      <w:r w:rsidR="00033D0F">
        <w:rPr>
          <w:spacing w:val="-8"/>
        </w:rPr>
        <w:t xml:space="preserve"> </w:t>
      </w:r>
      <w:r w:rsidR="00033D0F">
        <w:t>itself.</w:t>
      </w:r>
      <w:r w:rsidR="00033D0F">
        <w:rPr>
          <w:spacing w:val="-7"/>
        </w:rPr>
        <w:t xml:space="preserve"> </w:t>
      </w:r>
      <w:r w:rsidR="00033D0F">
        <w:t>In</w:t>
      </w:r>
      <w:r w:rsidR="00033D0F">
        <w:rPr>
          <w:spacing w:val="-5"/>
        </w:rPr>
        <w:t xml:space="preserve"> </w:t>
      </w:r>
      <w:r w:rsidR="00033D0F">
        <w:t>particular,</w:t>
      </w:r>
      <w:r w:rsidR="00033D0F">
        <w:rPr>
          <w:spacing w:val="-1"/>
        </w:rPr>
        <w:t xml:space="preserve"> </w:t>
      </w:r>
      <w:r w:rsidR="00033D0F">
        <w:t>the</w:t>
      </w:r>
      <w:r w:rsidR="00033D0F">
        <w:rPr>
          <w:spacing w:val="-4"/>
        </w:rPr>
        <w:t xml:space="preserve"> </w:t>
      </w:r>
      <w:r w:rsidR="00033D0F">
        <w:t>incorporation</w:t>
      </w:r>
      <w:r w:rsidR="00033D0F">
        <w:rPr>
          <w:spacing w:val="-1"/>
        </w:rPr>
        <w:t xml:space="preserve"> </w:t>
      </w:r>
      <w:r w:rsidR="00033D0F">
        <w:t>by</w:t>
      </w:r>
      <w:r w:rsidR="00033D0F">
        <w:rPr>
          <w:spacing w:val="-2"/>
        </w:rPr>
        <w:t xml:space="preserve"> </w:t>
      </w:r>
      <w:r w:rsidR="00033D0F">
        <w:t xml:space="preserve">reference of the information required under Article 12.2.1(iii) into Article 12.2.2 means that a Final Determination must contain "a </w:t>
      </w:r>
      <w:r w:rsidR="00033D0F">
        <w:rPr>
          <w:i/>
        </w:rPr>
        <w:t xml:space="preserve">full explanation </w:t>
      </w:r>
      <w:r w:rsidR="00033D0F">
        <w:t>of the reasons for the methodology used in the</w:t>
      </w:r>
      <w:r w:rsidR="00033D0F">
        <w:rPr>
          <w:spacing w:val="-8"/>
        </w:rPr>
        <w:t xml:space="preserve"> </w:t>
      </w:r>
      <w:r w:rsidR="00033D0F">
        <w:t>establishment</w:t>
      </w:r>
      <w:r w:rsidR="00033D0F">
        <w:rPr>
          <w:spacing w:val="-8"/>
        </w:rPr>
        <w:t xml:space="preserve"> </w:t>
      </w:r>
      <w:r w:rsidR="00033D0F">
        <w:t>and</w:t>
      </w:r>
      <w:r w:rsidR="00033D0F">
        <w:rPr>
          <w:spacing w:val="-10"/>
        </w:rPr>
        <w:t xml:space="preserve"> </w:t>
      </w:r>
      <w:r w:rsidR="00033D0F">
        <w:t>comparison</w:t>
      </w:r>
      <w:r w:rsidR="00033D0F">
        <w:rPr>
          <w:spacing w:val="-10"/>
        </w:rPr>
        <w:t xml:space="preserve"> </w:t>
      </w:r>
      <w:r w:rsidR="00033D0F">
        <w:t>of</w:t>
      </w:r>
      <w:r w:rsidR="00033D0F">
        <w:rPr>
          <w:spacing w:val="-10"/>
        </w:rPr>
        <w:t xml:space="preserve"> </w:t>
      </w:r>
      <w:r w:rsidR="00033D0F">
        <w:t>the</w:t>
      </w:r>
      <w:r w:rsidR="00033D0F">
        <w:rPr>
          <w:spacing w:val="-8"/>
        </w:rPr>
        <w:t xml:space="preserve"> </w:t>
      </w:r>
      <w:r w:rsidR="00033D0F">
        <w:t>export</w:t>
      </w:r>
      <w:r w:rsidR="00033D0F">
        <w:rPr>
          <w:spacing w:val="-8"/>
        </w:rPr>
        <w:t xml:space="preserve"> </w:t>
      </w:r>
      <w:r w:rsidR="00033D0F">
        <w:t>price</w:t>
      </w:r>
      <w:r w:rsidR="00033D0F">
        <w:rPr>
          <w:spacing w:val="-8"/>
        </w:rPr>
        <w:t xml:space="preserve"> </w:t>
      </w:r>
      <w:r w:rsidR="00033D0F">
        <w:t>and</w:t>
      </w:r>
      <w:r w:rsidR="00033D0F">
        <w:rPr>
          <w:spacing w:val="-10"/>
        </w:rPr>
        <w:t xml:space="preserve"> </w:t>
      </w:r>
      <w:r w:rsidR="00033D0F">
        <w:t>the</w:t>
      </w:r>
      <w:r w:rsidR="00033D0F">
        <w:rPr>
          <w:spacing w:val="-8"/>
        </w:rPr>
        <w:t xml:space="preserve"> </w:t>
      </w:r>
      <w:r w:rsidR="00033D0F">
        <w:t>normal</w:t>
      </w:r>
      <w:r w:rsidR="00033D0F">
        <w:rPr>
          <w:spacing w:val="-6"/>
        </w:rPr>
        <w:t xml:space="preserve"> </w:t>
      </w:r>
      <w:r w:rsidR="00033D0F">
        <w:t>value".</w:t>
      </w:r>
      <w:r w:rsidR="00033D0F">
        <w:rPr>
          <w:spacing w:val="-7"/>
        </w:rPr>
        <w:t xml:space="preserve"> </w:t>
      </w:r>
      <w:r w:rsidR="00033D0F">
        <w:t>It</w:t>
      </w:r>
      <w:r w:rsidR="00033D0F">
        <w:rPr>
          <w:spacing w:val="-8"/>
        </w:rPr>
        <w:t xml:space="preserve"> </w:t>
      </w:r>
      <w:r w:rsidR="00033D0F">
        <w:t>would</w:t>
      </w:r>
      <w:r w:rsidR="00033D0F">
        <w:rPr>
          <w:spacing w:val="-10"/>
        </w:rPr>
        <w:t xml:space="preserve"> </w:t>
      </w:r>
      <w:r w:rsidR="00033D0F">
        <w:t>be</w:t>
      </w:r>
      <w:r w:rsidR="00033D0F">
        <w:rPr>
          <w:spacing w:val="-8"/>
        </w:rPr>
        <w:t xml:space="preserve"> </w:t>
      </w:r>
      <w:r w:rsidR="00033D0F">
        <w:t>very difficult for China to provide a full explanation of the reasons for a methodology without explaining the methodology itself.</w:t>
      </w:r>
    </w:p>
    <w:p w14:paraId="2A976BBA" w14:textId="77777777" w:rsidR="00BD462C" w:rsidRDefault="00BD462C">
      <w:pPr>
        <w:pStyle w:val="BodyText"/>
        <w:rPr>
          <w:sz w:val="20"/>
        </w:rPr>
      </w:pPr>
    </w:p>
    <w:p w14:paraId="0E0C75CC" w14:textId="15911C67" w:rsidR="00BD462C" w:rsidRDefault="00D600FD">
      <w:pPr>
        <w:pStyle w:val="BodyText"/>
        <w:spacing w:before="7"/>
        <w:rPr>
          <w:sz w:val="20"/>
        </w:rPr>
      </w:pPr>
      <w:r>
        <w:rPr>
          <w:noProof/>
        </w:rPr>
        <mc:AlternateContent>
          <mc:Choice Requires="wps">
            <w:drawing>
              <wp:anchor distT="0" distB="0" distL="0" distR="0" simplePos="0" relativeHeight="488176128" behindDoc="1" locked="0" layoutInCell="1" allowOverlap="1" wp14:anchorId="7AFB5B1B" wp14:editId="17E303C9">
                <wp:simplePos x="0" y="0"/>
                <wp:positionH relativeFrom="page">
                  <wp:posOffset>812800</wp:posOffset>
                </wp:positionH>
                <wp:positionV relativeFrom="paragraph">
                  <wp:posOffset>160020</wp:posOffset>
                </wp:positionV>
                <wp:extent cx="1828800" cy="8890"/>
                <wp:effectExtent l="0" t="0" r="0" b="0"/>
                <wp:wrapTopAndBottom/>
                <wp:docPr id="151" name="docshape7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B028A8" id="docshape705" o:spid="_x0000_s1026" alt="&quot;&quot;" style="position:absolute;margin-left:64pt;margin-top:12.6pt;width:2in;height:.7pt;z-index:-1514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" fillcolor="black" stroked="f">
                <w10:wrap type="topAndBottom" anchorx="page"/>
              </v:rect>
            </w:pict>
          </mc:Fallback>
        </mc:AlternateContent>
      </w:r>
    </w:p>
    <w:p w14:paraId="0F0FC191" w14:textId="77777777" w:rsidR="00BD462C" w:rsidRDefault="00033D0F">
      <w:pPr>
        <w:spacing w:before="112"/>
        <w:ind w:left="135"/>
        <w:rPr>
          <w:sz w:val="18"/>
        </w:rPr>
      </w:pPr>
      <w:bookmarkStart w:id="1887" w:name="_bookmark1627"/>
      <w:bookmarkEnd w:id="1887"/>
      <w:r>
        <w:rPr>
          <w:position w:val="5"/>
          <w:sz w:val="12"/>
        </w:rPr>
        <w:t>1409</w:t>
      </w:r>
      <w:r>
        <w:rPr>
          <w:spacing w:val="12"/>
          <w:position w:val="5"/>
          <w:sz w:val="12"/>
        </w:rPr>
        <w:t xml:space="preserve"> </w:t>
      </w:r>
      <w:r>
        <w:rPr>
          <w:sz w:val="18"/>
        </w:rPr>
        <w:t>Australia's</w:t>
      </w:r>
      <w:r>
        <w:rPr>
          <w:spacing w:val="-6"/>
          <w:sz w:val="18"/>
        </w:rPr>
        <w:t xml:space="preserve"> </w:t>
      </w:r>
      <w:r>
        <w:rPr>
          <w:sz w:val="18"/>
        </w:rPr>
        <w:t>first</w:t>
      </w:r>
      <w:r>
        <w:rPr>
          <w:spacing w:val="-5"/>
          <w:sz w:val="18"/>
        </w:rPr>
        <w:t xml:space="preserve"> </w:t>
      </w:r>
      <w:r>
        <w:rPr>
          <w:sz w:val="18"/>
        </w:rPr>
        <w:t>written</w:t>
      </w:r>
      <w:r>
        <w:rPr>
          <w:spacing w:val="-2"/>
          <w:sz w:val="18"/>
        </w:rPr>
        <w:t xml:space="preserve"> </w:t>
      </w:r>
      <w:r>
        <w:rPr>
          <w:sz w:val="18"/>
        </w:rPr>
        <w:t>submission, para.</w:t>
      </w:r>
      <w:r>
        <w:rPr>
          <w:spacing w:val="-5"/>
          <w:sz w:val="18"/>
        </w:rPr>
        <w:t xml:space="preserve"> </w:t>
      </w:r>
      <w:r>
        <w:rPr>
          <w:spacing w:val="-2"/>
          <w:sz w:val="18"/>
        </w:rPr>
        <w:t>1080.</w:t>
      </w:r>
    </w:p>
    <w:p w14:paraId="6A81A2D4" w14:textId="77777777" w:rsidR="00BD462C" w:rsidRDefault="00033D0F">
      <w:pPr>
        <w:spacing w:before="1"/>
        <w:ind w:left="135"/>
        <w:rPr>
          <w:sz w:val="18"/>
        </w:rPr>
      </w:pPr>
      <w:bookmarkStart w:id="1888" w:name="_bookmark1628"/>
      <w:bookmarkEnd w:id="1888"/>
      <w:r>
        <w:rPr>
          <w:position w:val="5"/>
          <w:sz w:val="12"/>
        </w:rPr>
        <w:t>1410</w:t>
      </w:r>
      <w:r>
        <w:rPr>
          <w:spacing w:val="13"/>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 xml:space="preserve">para. </w:t>
      </w:r>
      <w:r>
        <w:rPr>
          <w:spacing w:val="-2"/>
          <w:sz w:val="18"/>
        </w:rPr>
        <w:t>2599.</w:t>
      </w:r>
    </w:p>
    <w:p w14:paraId="0A507FFA" w14:textId="77777777" w:rsidR="00BD462C" w:rsidRDefault="00033D0F">
      <w:pPr>
        <w:spacing w:before="1" w:line="218" w:lineRule="exact"/>
        <w:ind w:left="135"/>
        <w:rPr>
          <w:sz w:val="18"/>
        </w:rPr>
      </w:pPr>
      <w:bookmarkStart w:id="1889" w:name="_bookmark1629"/>
      <w:bookmarkEnd w:id="1889"/>
      <w:r>
        <w:rPr>
          <w:position w:val="5"/>
          <w:sz w:val="12"/>
        </w:rPr>
        <w:t>1411</w:t>
      </w:r>
      <w:r>
        <w:rPr>
          <w:spacing w:val="16"/>
          <w:position w:val="5"/>
          <w:sz w:val="12"/>
        </w:rPr>
        <w:t xml:space="preserve"> </w:t>
      </w:r>
      <w:r>
        <w:rPr>
          <w:sz w:val="18"/>
        </w:rPr>
        <w:t>Panel</w:t>
      </w:r>
      <w:r>
        <w:rPr>
          <w:spacing w:val="-2"/>
          <w:sz w:val="18"/>
        </w:rPr>
        <w:t xml:space="preserve"> </w:t>
      </w:r>
      <w:r>
        <w:rPr>
          <w:sz w:val="18"/>
        </w:rPr>
        <w:t>Report,</w:t>
      </w:r>
      <w:r>
        <w:rPr>
          <w:spacing w:val="-6"/>
          <w:sz w:val="18"/>
        </w:rPr>
        <w:t xml:space="preserve"> </w:t>
      </w:r>
      <w:r>
        <w:rPr>
          <w:i/>
          <w:sz w:val="18"/>
        </w:rPr>
        <w:t>EU</w:t>
      </w:r>
      <w:r>
        <w:rPr>
          <w:i/>
          <w:spacing w:val="-1"/>
          <w:sz w:val="18"/>
        </w:rPr>
        <w:t xml:space="preserve"> </w:t>
      </w:r>
      <w:r>
        <w:rPr>
          <w:i/>
          <w:sz w:val="18"/>
        </w:rPr>
        <w:t>–</w:t>
      </w:r>
      <w:r>
        <w:rPr>
          <w:i/>
          <w:spacing w:val="-3"/>
          <w:sz w:val="18"/>
        </w:rPr>
        <w:t xml:space="preserve"> </w:t>
      </w:r>
      <w:r>
        <w:rPr>
          <w:i/>
          <w:sz w:val="18"/>
        </w:rPr>
        <w:t>Footwear</w:t>
      </w:r>
      <w:r>
        <w:rPr>
          <w:i/>
          <w:spacing w:val="-4"/>
          <w:sz w:val="18"/>
        </w:rPr>
        <w:t xml:space="preserve"> </w:t>
      </w:r>
      <w:r>
        <w:rPr>
          <w:i/>
          <w:sz w:val="18"/>
        </w:rPr>
        <w:t>(China),</w:t>
      </w:r>
      <w:r>
        <w:rPr>
          <w:i/>
          <w:spacing w:val="-1"/>
          <w:sz w:val="18"/>
        </w:rPr>
        <w:t xml:space="preserve"> </w:t>
      </w:r>
      <w:r>
        <w:rPr>
          <w:sz w:val="18"/>
        </w:rPr>
        <w:t>para.</w:t>
      </w:r>
      <w:r>
        <w:rPr>
          <w:spacing w:val="-2"/>
          <w:sz w:val="18"/>
        </w:rPr>
        <w:t xml:space="preserve"> 7.844</w:t>
      </w:r>
    </w:p>
    <w:p w14:paraId="4D4A4EF2" w14:textId="77777777" w:rsidR="00BD462C" w:rsidRDefault="00033D0F">
      <w:pPr>
        <w:spacing w:line="218" w:lineRule="exact"/>
        <w:ind w:left="135"/>
        <w:rPr>
          <w:sz w:val="18"/>
        </w:rPr>
      </w:pPr>
      <w:bookmarkStart w:id="1890" w:name="_bookmark1630"/>
      <w:bookmarkEnd w:id="1890"/>
      <w:r>
        <w:rPr>
          <w:position w:val="5"/>
          <w:sz w:val="12"/>
        </w:rPr>
        <w:t>1412</w:t>
      </w:r>
      <w:r>
        <w:rPr>
          <w:spacing w:val="12"/>
          <w:position w:val="5"/>
          <w:sz w:val="12"/>
        </w:rPr>
        <w:t xml:space="preserve"> </w:t>
      </w:r>
      <w:r>
        <w:rPr>
          <w:sz w:val="18"/>
        </w:rPr>
        <w:t>Australia's</w:t>
      </w:r>
      <w:r>
        <w:rPr>
          <w:spacing w:val="-6"/>
          <w:sz w:val="18"/>
        </w:rPr>
        <w:t xml:space="preserve"> </w:t>
      </w:r>
      <w:r>
        <w:rPr>
          <w:sz w:val="18"/>
        </w:rPr>
        <w:t>first</w:t>
      </w:r>
      <w:r>
        <w:rPr>
          <w:spacing w:val="-5"/>
          <w:sz w:val="18"/>
        </w:rPr>
        <w:t xml:space="preserve"> </w:t>
      </w:r>
      <w:r>
        <w:rPr>
          <w:sz w:val="18"/>
        </w:rPr>
        <w:t>written</w:t>
      </w:r>
      <w:r>
        <w:rPr>
          <w:spacing w:val="-2"/>
          <w:sz w:val="18"/>
        </w:rPr>
        <w:t xml:space="preserve"> </w:t>
      </w:r>
      <w:r>
        <w:rPr>
          <w:sz w:val="18"/>
        </w:rPr>
        <w:t>submission, para.</w:t>
      </w:r>
      <w:r>
        <w:rPr>
          <w:spacing w:val="-5"/>
          <w:sz w:val="18"/>
        </w:rPr>
        <w:t xml:space="preserve"> </w:t>
      </w:r>
      <w:r>
        <w:rPr>
          <w:spacing w:val="-2"/>
          <w:sz w:val="18"/>
        </w:rPr>
        <w:t>1080.</w:t>
      </w:r>
    </w:p>
    <w:p w14:paraId="36C36B70" w14:textId="77777777" w:rsidR="00BD462C" w:rsidRDefault="00033D0F">
      <w:pPr>
        <w:spacing w:before="1"/>
        <w:ind w:left="135"/>
        <w:rPr>
          <w:sz w:val="18"/>
        </w:rPr>
      </w:pPr>
      <w:bookmarkStart w:id="1891" w:name="_bookmark1631"/>
      <w:bookmarkEnd w:id="1891"/>
      <w:r>
        <w:rPr>
          <w:position w:val="5"/>
          <w:sz w:val="12"/>
        </w:rPr>
        <w:t>1413</w:t>
      </w:r>
      <w:r>
        <w:rPr>
          <w:spacing w:val="13"/>
          <w:position w:val="5"/>
          <w:sz w:val="12"/>
        </w:rPr>
        <w:t xml:space="preserve"> </w:t>
      </w:r>
      <w:r>
        <w:rPr>
          <w:sz w:val="18"/>
        </w:rPr>
        <w:t>Appellate</w:t>
      </w:r>
      <w:r>
        <w:rPr>
          <w:spacing w:val="-9"/>
          <w:sz w:val="18"/>
        </w:rPr>
        <w:t xml:space="preserve"> </w:t>
      </w:r>
      <w:r>
        <w:rPr>
          <w:sz w:val="18"/>
        </w:rPr>
        <w:t>Body</w:t>
      </w:r>
      <w:r>
        <w:rPr>
          <w:spacing w:val="-7"/>
          <w:sz w:val="18"/>
        </w:rPr>
        <w:t xml:space="preserve"> </w:t>
      </w:r>
      <w:r>
        <w:rPr>
          <w:sz w:val="18"/>
        </w:rPr>
        <w:t>Report,</w:t>
      </w:r>
      <w:r>
        <w:rPr>
          <w:spacing w:val="-3"/>
          <w:sz w:val="18"/>
        </w:rPr>
        <w:t xml:space="preserve"> </w:t>
      </w:r>
      <w:r>
        <w:rPr>
          <w:i/>
          <w:sz w:val="18"/>
        </w:rPr>
        <w:t>China</w:t>
      </w:r>
      <w:r>
        <w:rPr>
          <w:i/>
          <w:spacing w:val="1"/>
          <w:sz w:val="18"/>
        </w:rPr>
        <w:t xml:space="preserve"> </w:t>
      </w:r>
      <w:r>
        <w:rPr>
          <w:i/>
          <w:sz w:val="18"/>
        </w:rPr>
        <w:t>–</w:t>
      </w:r>
      <w:r>
        <w:rPr>
          <w:i/>
          <w:spacing w:val="-4"/>
          <w:sz w:val="18"/>
        </w:rPr>
        <w:t xml:space="preserve"> </w:t>
      </w:r>
      <w:r>
        <w:rPr>
          <w:i/>
          <w:sz w:val="18"/>
        </w:rPr>
        <w:t>GOES,</w:t>
      </w:r>
      <w:r>
        <w:rPr>
          <w:i/>
          <w:spacing w:val="-3"/>
          <w:sz w:val="18"/>
        </w:rPr>
        <w:t xml:space="preserve"> </w:t>
      </w:r>
      <w:r>
        <w:rPr>
          <w:sz w:val="18"/>
        </w:rPr>
        <w:t>para. 265.</w:t>
      </w:r>
      <w:r>
        <w:rPr>
          <w:spacing w:val="1"/>
          <w:sz w:val="18"/>
        </w:rPr>
        <w:t xml:space="preserve"> </w:t>
      </w:r>
      <w:r>
        <w:rPr>
          <w:sz w:val="18"/>
        </w:rPr>
        <w:t>See</w:t>
      </w:r>
      <w:r>
        <w:rPr>
          <w:spacing w:val="-1"/>
          <w:sz w:val="18"/>
        </w:rPr>
        <w:t xml:space="preserve"> </w:t>
      </w:r>
      <w:r>
        <w:rPr>
          <w:sz w:val="18"/>
        </w:rPr>
        <w:t>also</w:t>
      </w:r>
      <w:r>
        <w:rPr>
          <w:spacing w:val="-5"/>
          <w:sz w:val="18"/>
        </w:rPr>
        <w:t xml:space="preserve"> </w:t>
      </w:r>
      <w:r>
        <w:rPr>
          <w:sz w:val="18"/>
        </w:rPr>
        <w:t>Panel</w:t>
      </w:r>
      <w:r>
        <w:rPr>
          <w:spacing w:val="-9"/>
          <w:sz w:val="18"/>
        </w:rPr>
        <w:t xml:space="preserve"> </w:t>
      </w:r>
      <w:r>
        <w:rPr>
          <w:sz w:val="18"/>
        </w:rPr>
        <w:t>Report,</w:t>
      </w:r>
      <w:r>
        <w:rPr>
          <w:spacing w:val="-3"/>
          <w:sz w:val="18"/>
        </w:rPr>
        <w:t xml:space="preserve"> </w:t>
      </w:r>
      <w:r>
        <w:rPr>
          <w:i/>
          <w:sz w:val="18"/>
        </w:rPr>
        <w:t>EC</w:t>
      </w:r>
      <w:r>
        <w:rPr>
          <w:i/>
          <w:spacing w:val="-5"/>
          <w:sz w:val="18"/>
        </w:rPr>
        <w:t xml:space="preserve"> </w:t>
      </w:r>
      <w:r>
        <w:rPr>
          <w:i/>
          <w:sz w:val="18"/>
        </w:rPr>
        <w:t>–</w:t>
      </w:r>
      <w:r>
        <w:rPr>
          <w:i/>
          <w:spacing w:val="-4"/>
          <w:sz w:val="18"/>
        </w:rPr>
        <w:t xml:space="preserve"> </w:t>
      </w:r>
      <w:r>
        <w:rPr>
          <w:i/>
          <w:sz w:val="18"/>
        </w:rPr>
        <w:t>Salmon</w:t>
      </w:r>
      <w:r>
        <w:rPr>
          <w:i/>
          <w:spacing w:val="-3"/>
          <w:sz w:val="18"/>
        </w:rPr>
        <w:t xml:space="preserve"> </w:t>
      </w:r>
      <w:r>
        <w:rPr>
          <w:i/>
          <w:sz w:val="18"/>
        </w:rPr>
        <w:t>(Norway),</w:t>
      </w:r>
      <w:r>
        <w:rPr>
          <w:i/>
          <w:spacing w:val="-3"/>
          <w:sz w:val="18"/>
        </w:rPr>
        <w:t xml:space="preserve"> </w:t>
      </w:r>
      <w:r>
        <w:rPr>
          <w:sz w:val="18"/>
        </w:rPr>
        <w:t>paras.</w:t>
      </w:r>
      <w:r>
        <w:rPr>
          <w:spacing w:val="1"/>
          <w:sz w:val="18"/>
        </w:rPr>
        <w:t xml:space="preserve"> </w:t>
      </w:r>
      <w:r>
        <w:rPr>
          <w:sz w:val="18"/>
        </w:rPr>
        <w:t>7.828-</w:t>
      </w:r>
      <w:r>
        <w:rPr>
          <w:spacing w:val="-2"/>
          <w:sz w:val="18"/>
        </w:rPr>
        <w:t>7.834.</w:t>
      </w:r>
    </w:p>
    <w:p w14:paraId="01FD7325" w14:textId="77777777" w:rsidR="00BD462C" w:rsidRDefault="00033D0F">
      <w:pPr>
        <w:spacing w:before="1"/>
        <w:ind w:left="135"/>
        <w:rPr>
          <w:sz w:val="18"/>
        </w:rPr>
      </w:pPr>
      <w:bookmarkStart w:id="1892" w:name="_bookmark1632"/>
      <w:bookmarkEnd w:id="1892"/>
      <w:r>
        <w:rPr>
          <w:position w:val="5"/>
          <w:sz w:val="12"/>
        </w:rPr>
        <w:t>1414</w:t>
      </w:r>
      <w:r>
        <w:rPr>
          <w:spacing w:val="16"/>
          <w:position w:val="5"/>
          <w:sz w:val="12"/>
        </w:rPr>
        <w:t xml:space="preserve"> </w:t>
      </w:r>
      <w:r>
        <w:rPr>
          <w:sz w:val="18"/>
        </w:rPr>
        <w:t>Panel</w:t>
      </w:r>
      <w:r>
        <w:rPr>
          <w:spacing w:val="-1"/>
          <w:sz w:val="18"/>
        </w:rPr>
        <w:t xml:space="preserve"> </w:t>
      </w:r>
      <w:r>
        <w:rPr>
          <w:sz w:val="18"/>
        </w:rPr>
        <w:t>Report,</w:t>
      </w:r>
      <w:r>
        <w:rPr>
          <w:spacing w:val="-5"/>
          <w:sz w:val="18"/>
        </w:rPr>
        <w:t xml:space="preserve"> </w:t>
      </w:r>
      <w:r>
        <w:rPr>
          <w:i/>
          <w:sz w:val="18"/>
        </w:rPr>
        <w:t>EC</w:t>
      </w:r>
      <w:r>
        <w:rPr>
          <w:i/>
          <w:spacing w:val="-2"/>
          <w:sz w:val="18"/>
        </w:rPr>
        <w:t xml:space="preserve"> </w:t>
      </w:r>
      <w:r>
        <w:rPr>
          <w:i/>
          <w:sz w:val="18"/>
        </w:rPr>
        <w:t>–</w:t>
      </w:r>
      <w:r>
        <w:rPr>
          <w:i/>
          <w:spacing w:val="-2"/>
          <w:sz w:val="18"/>
        </w:rPr>
        <w:t xml:space="preserve"> </w:t>
      </w:r>
      <w:r>
        <w:rPr>
          <w:i/>
          <w:sz w:val="18"/>
        </w:rPr>
        <w:t>Tube</w:t>
      </w:r>
      <w:r>
        <w:rPr>
          <w:i/>
          <w:spacing w:val="-4"/>
          <w:sz w:val="18"/>
        </w:rPr>
        <w:t xml:space="preserve"> </w:t>
      </w:r>
      <w:r>
        <w:rPr>
          <w:i/>
          <w:sz w:val="18"/>
        </w:rPr>
        <w:t>or</w:t>
      </w:r>
      <w:r>
        <w:rPr>
          <w:i/>
          <w:spacing w:val="-3"/>
          <w:sz w:val="18"/>
        </w:rPr>
        <w:t xml:space="preserve"> </w:t>
      </w:r>
      <w:r>
        <w:rPr>
          <w:i/>
          <w:sz w:val="18"/>
        </w:rPr>
        <w:t>Pipe</w:t>
      </w:r>
      <w:r>
        <w:rPr>
          <w:i/>
          <w:spacing w:val="-3"/>
          <w:sz w:val="18"/>
        </w:rPr>
        <w:t xml:space="preserve"> </w:t>
      </w:r>
      <w:r>
        <w:rPr>
          <w:i/>
          <w:sz w:val="18"/>
        </w:rPr>
        <w:t>Fittings</w:t>
      </w:r>
      <w:r>
        <w:rPr>
          <w:sz w:val="18"/>
        </w:rPr>
        <w:t>, para.</w:t>
      </w:r>
      <w:r>
        <w:rPr>
          <w:spacing w:val="-1"/>
          <w:sz w:val="18"/>
        </w:rPr>
        <w:t xml:space="preserve"> </w:t>
      </w:r>
      <w:r>
        <w:rPr>
          <w:spacing w:val="-2"/>
          <w:sz w:val="18"/>
        </w:rPr>
        <w:t>7.422.</w:t>
      </w:r>
    </w:p>
    <w:p w14:paraId="7337028B" w14:textId="77777777" w:rsidR="00BD462C" w:rsidRDefault="00033D0F">
      <w:pPr>
        <w:spacing w:before="1"/>
        <w:ind w:left="135"/>
        <w:rPr>
          <w:sz w:val="18"/>
        </w:rPr>
      </w:pPr>
      <w:bookmarkStart w:id="1893" w:name="_bookmark1633"/>
      <w:bookmarkEnd w:id="1893"/>
      <w:r>
        <w:rPr>
          <w:position w:val="5"/>
          <w:sz w:val="12"/>
        </w:rPr>
        <w:t>1415</w:t>
      </w:r>
      <w:r>
        <w:rPr>
          <w:spacing w:val="13"/>
          <w:position w:val="5"/>
          <w:sz w:val="12"/>
        </w:rPr>
        <w:t xml:space="preserve"> </w:t>
      </w:r>
      <w:r>
        <w:rPr>
          <w:sz w:val="18"/>
        </w:rPr>
        <w:t>Australia's response</w:t>
      </w:r>
      <w:r>
        <w:rPr>
          <w:spacing w:val="-5"/>
          <w:sz w:val="18"/>
        </w:rPr>
        <w:t xml:space="preserve"> </w:t>
      </w:r>
      <w:r>
        <w:rPr>
          <w:sz w:val="18"/>
        </w:rPr>
        <w:t>to</w:t>
      </w:r>
      <w:r>
        <w:rPr>
          <w:spacing w:val="-6"/>
          <w:sz w:val="18"/>
        </w:rPr>
        <w:t xml:space="preserve"> </w:t>
      </w:r>
      <w:r>
        <w:rPr>
          <w:sz w:val="18"/>
        </w:rPr>
        <w:t>Panel</w:t>
      </w:r>
      <w:r>
        <w:rPr>
          <w:spacing w:val="-4"/>
          <w:sz w:val="18"/>
        </w:rPr>
        <w:t xml:space="preserve"> </w:t>
      </w:r>
      <w:r>
        <w:rPr>
          <w:sz w:val="18"/>
        </w:rPr>
        <w:t>question</w:t>
      </w:r>
      <w:r>
        <w:rPr>
          <w:spacing w:val="-5"/>
          <w:sz w:val="18"/>
        </w:rPr>
        <w:t xml:space="preserve"> </w:t>
      </w:r>
      <w:r>
        <w:rPr>
          <w:sz w:val="18"/>
        </w:rPr>
        <w:t>No.</w:t>
      </w:r>
      <w:r>
        <w:rPr>
          <w:spacing w:val="-4"/>
          <w:sz w:val="18"/>
        </w:rPr>
        <w:t xml:space="preserve"> </w:t>
      </w:r>
      <w:r>
        <w:rPr>
          <w:sz w:val="18"/>
        </w:rPr>
        <w:t>70,</w:t>
      </w:r>
      <w:r>
        <w:rPr>
          <w:spacing w:val="-3"/>
          <w:sz w:val="18"/>
        </w:rPr>
        <w:t xml:space="preserve"> </w:t>
      </w:r>
      <w:r>
        <w:rPr>
          <w:sz w:val="18"/>
        </w:rPr>
        <w:t>paras. 223-</w:t>
      </w:r>
      <w:r>
        <w:rPr>
          <w:spacing w:val="-4"/>
          <w:sz w:val="18"/>
        </w:rPr>
        <w:t>226.</w:t>
      </w:r>
    </w:p>
    <w:p w14:paraId="20697FDE" w14:textId="77777777" w:rsidR="00BD462C" w:rsidRDefault="00033D0F">
      <w:pPr>
        <w:spacing w:before="1"/>
        <w:ind w:left="135"/>
        <w:rPr>
          <w:sz w:val="18"/>
        </w:rPr>
      </w:pPr>
      <w:bookmarkStart w:id="1894" w:name="_bookmark1634"/>
      <w:bookmarkEnd w:id="1894"/>
      <w:r>
        <w:rPr>
          <w:position w:val="5"/>
          <w:sz w:val="12"/>
        </w:rPr>
        <w:t>1416</w:t>
      </w:r>
      <w:r>
        <w:rPr>
          <w:spacing w:val="13"/>
          <w:position w:val="5"/>
          <w:sz w:val="12"/>
        </w:rPr>
        <w:t xml:space="preserve"> </w:t>
      </w:r>
      <w:r>
        <w:rPr>
          <w:sz w:val="18"/>
        </w:rPr>
        <w:t>China's response</w:t>
      </w:r>
      <w:r>
        <w:rPr>
          <w:spacing w:val="-5"/>
          <w:sz w:val="18"/>
        </w:rPr>
        <w:t xml:space="preserve"> </w:t>
      </w:r>
      <w:r>
        <w:rPr>
          <w:sz w:val="18"/>
        </w:rPr>
        <w:t>to</w:t>
      </w:r>
      <w:r>
        <w:rPr>
          <w:spacing w:val="-10"/>
          <w:sz w:val="18"/>
        </w:rPr>
        <w:t xml:space="preserve"> </w:t>
      </w:r>
      <w:r>
        <w:rPr>
          <w:sz w:val="18"/>
        </w:rPr>
        <w:t>Panel</w:t>
      </w:r>
      <w:r>
        <w:rPr>
          <w:spacing w:val="-4"/>
          <w:sz w:val="18"/>
        </w:rPr>
        <w:t xml:space="preserve"> </w:t>
      </w:r>
      <w:r>
        <w:rPr>
          <w:sz w:val="18"/>
        </w:rPr>
        <w:t>question</w:t>
      </w:r>
      <w:r>
        <w:rPr>
          <w:spacing w:val="-6"/>
          <w:sz w:val="18"/>
        </w:rPr>
        <w:t xml:space="preserve"> </w:t>
      </w:r>
      <w:r>
        <w:rPr>
          <w:sz w:val="18"/>
        </w:rPr>
        <w:t>No.</w:t>
      </w:r>
      <w:r>
        <w:rPr>
          <w:spacing w:val="1"/>
          <w:sz w:val="18"/>
        </w:rPr>
        <w:t xml:space="preserve"> </w:t>
      </w:r>
      <w:r>
        <w:rPr>
          <w:sz w:val="18"/>
        </w:rPr>
        <w:t>70,</w:t>
      </w:r>
      <w:r>
        <w:rPr>
          <w:spacing w:val="-3"/>
          <w:sz w:val="18"/>
        </w:rPr>
        <w:t xml:space="preserve"> </w:t>
      </w:r>
      <w:r>
        <w:rPr>
          <w:sz w:val="18"/>
        </w:rPr>
        <w:t>paras.</w:t>
      </w:r>
      <w:r>
        <w:rPr>
          <w:spacing w:val="2"/>
          <w:sz w:val="18"/>
        </w:rPr>
        <w:t xml:space="preserve"> </w:t>
      </w:r>
      <w:r>
        <w:rPr>
          <w:sz w:val="18"/>
        </w:rPr>
        <w:t>373-</w:t>
      </w:r>
      <w:r>
        <w:rPr>
          <w:spacing w:val="-4"/>
          <w:sz w:val="18"/>
        </w:rPr>
        <w:t>378.</w:t>
      </w:r>
    </w:p>
    <w:p w14:paraId="0A5B2B50" w14:textId="77777777" w:rsidR="00BD462C" w:rsidRDefault="00BD462C">
      <w:pPr>
        <w:rPr>
          <w:sz w:val="18"/>
        </w:rPr>
        <w:sectPr w:rsidR="00BD462C">
          <w:pgSz w:w="11910" w:h="16840"/>
          <w:pgMar w:top="860" w:right="500" w:bottom="780" w:left="1280" w:header="566" w:footer="590" w:gutter="0"/>
          <w:cols w:space="720"/>
        </w:sectPr>
      </w:pPr>
    </w:p>
    <w:p w14:paraId="6699505C"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22ACD162"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5AE96F05"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48550B87" w14:textId="24CDA95F" w:rsidR="00BD462C" w:rsidRDefault="00D443C8">
      <w:pPr>
        <w:pStyle w:val="BodyText"/>
        <w:spacing w:before="107"/>
        <w:ind w:left="135"/>
      </w:pPr>
      <w:r>
        <w:rPr>
          <w:noProof/>
        </w:rPr>
        <w:t>976.</w:t>
      </w:r>
      <w:r w:rsidR="00033D0F">
        <w:rPr>
          <w:rFonts w:ascii="Times New Roman" w:hAnsi="Times New Roman"/>
          <w:spacing w:val="80"/>
          <w:w w:val="150"/>
          <w:position w:val="1"/>
          <w:sz w:val="20"/>
        </w:rPr>
        <w:t xml:space="preserve"> </w:t>
      </w:r>
      <w:r w:rsidR="00033D0F">
        <w:rPr>
          <w:position w:val="1"/>
        </w:rPr>
        <w:t>China</w:t>
      </w:r>
      <w:r w:rsidR="00033D0F">
        <w:rPr>
          <w:spacing w:val="-6"/>
          <w:position w:val="1"/>
        </w:rPr>
        <w:t xml:space="preserve"> </w:t>
      </w:r>
      <w:r w:rsidR="00033D0F">
        <w:rPr>
          <w:position w:val="1"/>
        </w:rPr>
        <w:t>cites</w:t>
      </w:r>
      <w:r w:rsidR="00033D0F">
        <w:rPr>
          <w:spacing w:val="-4"/>
          <w:position w:val="1"/>
        </w:rPr>
        <w:t xml:space="preserve"> </w:t>
      </w:r>
      <w:r w:rsidR="00033D0F">
        <w:rPr>
          <w:position w:val="1"/>
        </w:rPr>
        <w:t>the</w:t>
      </w:r>
      <w:r w:rsidR="00033D0F">
        <w:rPr>
          <w:spacing w:val="-6"/>
          <w:position w:val="1"/>
        </w:rPr>
        <w:t xml:space="preserve"> </w:t>
      </w:r>
      <w:r w:rsidR="00033D0F">
        <w:rPr>
          <w:position w:val="1"/>
        </w:rPr>
        <w:t>panel</w:t>
      </w:r>
      <w:r w:rsidR="00033D0F">
        <w:rPr>
          <w:spacing w:val="-4"/>
          <w:position w:val="1"/>
        </w:rPr>
        <w:t xml:space="preserve"> </w:t>
      </w:r>
      <w:r w:rsidR="00033D0F">
        <w:rPr>
          <w:position w:val="1"/>
        </w:rPr>
        <w:t>report</w:t>
      </w:r>
      <w:r w:rsidR="00033D0F">
        <w:rPr>
          <w:spacing w:val="-5"/>
          <w:position w:val="1"/>
        </w:rPr>
        <w:t xml:space="preserve"> </w:t>
      </w:r>
      <w:r w:rsidR="00033D0F">
        <w:rPr>
          <w:position w:val="1"/>
        </w:rPr>
        <w:t>in</w:t>
      </w:r>
      <w:r w:rsidR="00033D0F">
        <w:rPr>
          <w:spacing w:val="-8"/>
          <w:position w:val="1"/>
        </w:rPr>
        <w:t xml:space="preserve"> </w:t>
      </w:r>
      <w:r w:rsidR="00033D0F">
        <w:rPr>
          <w:i/>
          <w:position w:val="1"/>
        </w:rPr>
        <w:t>EC</w:t>
      </w:r>
      <w:r w:rsidR="00033D0F">
        <w:rPr>
          <w:i/>
          <w:spacing w:val="-6"/>
          <w:position w:val="1"/>
        </w:rPr>
        <w:t xml:space="preserve"> </w:t>
      </w:r>
      <w:r w:rsidR="00033D0F">
        <w:rPr>
          <w:i/>
          <w:position w:val="1"/>
        </w:rPr>
        <w:t>–</w:t>
      </w:r>
      <w:r w:rsidR="00033D0F">
        <w:rPr>
          <w:i/>
          <w:spacing w:val="-6"/>
          <w:position w:val="1"/>
        </w:rPr>
        <w:t xml:space="preserve"> </w:t>
      </w:r>
      <w:r w:rsidR="00033D0F">
        <w:rPr>
          <w:i/>
          <w:position w:val="1"/>
        </w:rPr>
        <w:t>Bed</w:t>
      </w:r>
      <w:r w:rsidR="00033D0F">
        <w:rPr>
          <w:i/>
          <w:spacing w:val="-5"/>
          <w:position w:val="1"/>
        </w:rPr>
        <w:t xml:space="preserve"> </w:t>
      </w:r>
      <w:r w:rsidR="00033D0F">
        <w:rPr>
          <w:i/>
          <w:position w:val="1"/>
        </w:rPr>
        <w:t>Linen</w:t>
      </w:r>
      <w:r w:rsidR="00033D0F">
        <w:rPr>
          <w:i/>
          <w:spacing w:val="-5"/>
          <w:position w:val="1"/>
        </w:rPr>
        <w:t xml:space="preserve"> </w:t>
      </w:r>
      <w:r w:rsidR="00033D0F">
        <w:rPr>
          <w:position w:val="1"/>
        </w:rPr>
        <w:t>as</w:t>
      </w:r>
      <w:r w:rsidR="00033D0F">
        <w:rPr>
          <w:spacing w:val="-9"/>
          <w:position w:val="1"/>
        </w:rPr>
        <w:t xml:space="preserve"> </w:t>
      </w:r>
      <w:r w:rsidR="00033D0F">
        <w:rPr>
          <w:position w:val="1"/>
        </w:rPr>
        <w:t>support</w:t>
      </w:r>
      <w:r w:rsidR="00033D0F">
        <w:rPr>
          <w:spacing w:val="-5"/>
          <w:position w:val="1"/>
        </w:rPr>
        <w:t xml:space="preserve"> </w:t>
      </w:r>
      <w:r w:rsidR="00033D0F">
        <w:rPr>
          <w:position w:val="1"/>
        </w:rPr>
        <w:t>for</w:t>
      </w:r>
      <w:r w:rsidR="00033D0F">
        <w:rPr>
          <w:spacing w:val="-9"/>
          <w:position w:val="1"/>
        </w:rPr>
        <w:t xml:space="preserve"> </w:t>
      </w:r>
      <w:r w:rsidR="00033D0F">
        <w:rPr>
          <w:position w:val="1"/>
        </w:rPr>
        <w:t>its</w:t>
      </w:r>
      <w:r w:rsidR="00033D0F">
        <w:rPr>
          <w:spacing w:val="-4"/>
          <w:position w:val="1"/>
        </w:rPr>
        <w:t xml:space="preserve"> </w:t>
      </w:r>
      <w:r w:rsidR="00033D0F">
        <w:rPr>
          <w:position w:val="1"/>
        </w:rPr>
        <w:t>proposition</w:t>
      </w:r>
      <w:r w:rsidR="00033D0F">
        <w:rPr>
          <w:spacing w:val="-8"/>
          <w:position w:val="1"/>
        </w:rPr>
        <w:t xml:space="preserve"> </w:t>
      </w:r>
      <w:r w:rsidR="00033D0F">
        <w:rPr>
          <w:position w:val="1"/>
        </w:rPr>
        <w:t>that</w:t>
      </w:r>
      <w:r w:rsidR="00033D0F">
        <w:rPr>
          <w:spacing w:val="-5"/>
          <w:position w:val="1"/>
        </w:rPr>
        <w:t xml:space="preserve"> </w:t>
      </w:r>
      <w:r w:rsidR="00033D0F">
        <w:rPr>
          <w:position w:val="1"/>
        </w:rPr>
        <w:t>Articles</w:t>
      </w:r>
    </w:p>
    <w:p w14:paraId="01A8056D" w14:textId="77777777" w:rsidR="00BD462C" w:rsidRDefault="00033D0F">
      <w:pPr>
        <w:pStyle w:val="BodyText"/>
        <w:spacing w:before="139" w:line="360" w:lineRule="auto"/>
        <w:ind w:left="136" w:right="917"/>
        <w:jc w:val="both"/>
      </w:pPr>
      <w:r>
        <w:t>12.2 and 12.2.2 do not require investigating authorities to make available information concerning the methodologies adopted in investigations.</w:t>
      </w:r>
      <w:hyperlink w:anchor="_bookmark1636" w:history="1">
        <w:r>
          <w:rPr>
            <w:vertAlign w:val="superscript"/>
          </w:rPr>
          <w:t>1417</w:t>
        </w:r>
      </w:hyperlink>
      <w:r>
        <w:t xml:space="preserve"> However, the panel's reasoning in that dispute does not support China's proposition. In relevant part, the paragraph of the panel report that China cites provides:</w:t>
      </w:r>
    </w:p>
    <w:p w14:paraId="25E4CFBC" w14:textId="77777777" w:rsidR="00BD462C" w:rsidRDefault="00033D0F">
      <w:pPr>
        <w:spacing w:before="162" w:line="276" w:lineRule="auto"/>
        <w:ind w:left="985" w:right="914"/>
        <w:jc w:val="both"/>
      </w:pPr>
      <w:r>
        <w:t>[T]he European Communities resorted to the methodology set out in paragraph 2.2.2(ii) [of the</w:t>
      </w:r>
      <w:r>
        <w:rPr>
          <w:spacing w:val="-7"/>
        </w:rPr>
        <w:t xml:space="preserve"> </w:t>
      </w:r>
      <w:r>
        <w:t>Anti-Dumping</w:t>
      </w:r>
      <w:r>
        <w:rPr>
          <w:spacing w:val="-6"/>
        </w:rPr>
        <w:t xml:space="preserve"> </w:t>
      </w:r>
      <w:r>
        <w:t>Agreement]</w:t>
      </w:r>
      <w:r>
        <w:rPr>
          <w:spacing w:val="-8"/>
        </w:rPr>
        <w:t xml:space="preserve"> </w:t>
      </w:r>
      <w:r>
        <w:t>in</w:t>
      </w:r>
      <w:r>
        <w:rPr>
          <w:spacing w:val="-9"/>
        </w:rPr>
        <w:t xml:space="preserve"> </w:t>
      </w:r>
      <w:r>
        <w:t>accordance</w:t>
      </w:r>
      <w:r>
        <w:rPr>
          <w:spacing w:val="-7"/>
        </w:rPr>
        <w:t xml:space="preserve"> </w:t>
      </w:r>
      <w:r>
        <w:t>with</w:t>
      </w:r>
      <w:r>
        <w:rPr>
          <w:spacing w:val="-9"/>
        </w:rPr>
        <w:t xml:space="preserve"> </w:t>
      </w:r>
      <w:r>
        <w:t>Article</w:t>
      </w:r>
      <w:r>
        <w:rPr>
          <w:spacing w:val="-7"/>
        </w:rPr>
        <w:t xml:space="preserve"> </w:t>
      </w:r>
      <w:r>
        <w:t>2(6)</w:t>
      </w:r>
      <w:r>
        <w:rPr>
          <w:spacing w:val="-8"/>
        </w:rPr>
        <w:t xml:space="preserve"> </w:t>
      </w:r>
      <w:r>
        <w:t>of</w:t>
      </w:r>
      <w:r>
        <w:rPr>
          <w:spacing w:val="-8"/>
        </w:rPr>
        <w:t xml:space="preserve"> </w:t>
      </w:r>
      <w:r>
        <w:t>its</w:t>
      </w:r>
      <w:r>
        <w:rPr>
          <w:spacing w:val="-8"/>
        </w:rPr>
        <w:t xml:space="preserve"> </w:t>
      </w:r>
      <w:r>
        <w:t>Regulation.</w:t>
      </w:r>
      <w:r>
        <w:rPr>
          <w:spacing w:val="-12"/>
        </w:rPr>
        <w:t xml:space="preserve"> </w:t>
      </w:r>
      <w:r>
        <w:t>In</w:t>
      </w:r>
      <w:r>
        <w:rPr>
          <w:spacing w:val="-9"/>
        </w:rPr>
        <w:t xml:space="preserve"> </w:t>
      </w:r>
      <w:r>
        <w:t>light</w:t>
      </w:r>
      <w:r>
        <w:rPr>
          <w:spacing w:val="-10"/>
        </w:rPr>
        <w:t xml:space="preserve"> </w:t>
      </w:r>
      <w:r>
        <w:t>of</w:t>
      </w:r>
      <w:r>
        <w:rPr>
          <w:spacing w:val="-8"/>
        </w:rPr>
        <w:t xml:space="preserve"> </w:t>
      </w:r>
      <w:r>
        <w:t>our finding in respect of the order of options set out in Article 2.2.2 and the fact that the European Communities applied what is its customary methodology for the calculation of SG&amp;A</w:t>
      </w:r>
      <w:r>
        <w:rPr>
          <w:spacing w:val="-10"/>
        </w:rPr>
        <w:t xml:space="preserve"> </w:t>
      </w:r>
      <w:r>
        <w:t>and</w:t>
      </w:r>
      <w:r>
        <w:rPr>
          <w:spacing w:val="-12"/>
        </w:rPr>
        <w:t xml:space="preserve"> </w:t>
      </w:r>
      <w:r>
        <w:t>profit</w:t>
      </w:r>
      <w:r>
        <w:rPr>
          <w:spacing w:val="-13"/>
        </w:rPr>
        <w:t xml:space="preserve"> </w:t>
      </w:r>
      <w:r>
        <w:t>rates,</w:t>
      </w:r>
      <w:r>
        <w:rPr>
          <w:spacing w:val="-8"/>
        </w:rPr>
        <w:t xml:space="preserve"> </w:t>
      </w:r>
      <w:r>
        <w:t>and</w:t>
      </w:r>
      <w:r>
        <w:rPr>
          <w:spacing w:val="-2"/>
        </w:rPr>
        <w:t xml:space="preserve"> </w:t>
      </w:r>
      <w:r>
        <w:t>the</w:t>
      </w:r>
      <w:r>
        <w:rPr>
          <w:spacing w:val="-10"/>
        </w:rPr>
        <w:t xml:space="preserve"> </w:t>
      </w:r>
      <w:r>
        <w:t>basis</w:t>
      </w:r>
      <w:r>
        <w:rPr>
          <w:spacing w:val="-11"/>
        </w:rPr>
        <w:t xml:space="preserve"> </w:t>
      </w:r>
      <w:r>
        <w:t>for</w:t>
      </w:r>
      <w:r>
        <w:rPr>
          <w:spacing w:val="-11"/>
        </w:rPr>
        <w:t xml:space="preserve"> </w:t>
      </w:r>
      <w:r>
        <w:t>its</w:t>
      </w:r>
      <w:r>
        <w:rPr>
          <w:spacing w:val="-6"/>
        </w:rPr>
        <w:t xml:space="preserve"> </w:t>
      </w:r>
      <w:r>
        <w:t>determination</w:t>
      </w:r>
      <w:r>
        <w:rPr>
          <w:spacing w:val="-12"/>
        </w:rPr>
        <w:t xml:space="preserve"> </w:t>
      </w:r>
      <w:r>
        <w:t>in</w:t>
      </w:r>
      <w:r>
        <w:rPr>
          <w:spacing w:val="-7"/>
        </w:rPr>
        <w:t xml:space="preserve"> </w:t>
      </w:r>
      <w:r>
        <w:t>this</w:t>
      </w:r>
      <w:r>
        <w:rPr>
          <w:spacing w:val="-11"/>
        </w:rPr>
        <w:t xml:space="preserve"> </w:t>
      </w:r>
      <w:r>
        <w:t>regard</w:t>
      </w:r>
      <w:r>
        <w:rPr>
          <w:spacing w:val="-12"/>
        </w:rPr>
        <w:t xml:space="preserve"> </w:t>
      </w:r>
      <w:r>
        <w:t>is</w:t>
      </w:r>
      <w:r>
        <w:rPr>
          <w:spacing w:val="-6"/>
        </w:rPr>
        <w:t xml:space="preserve"> </w:t>
      </w:r>
      <w:r>
        <w:t>clear</w:t>
      </w:r>
      <w:r>
        <w:rPr>
          <w:spacing w:val="-11"/>
        </w:rPr>
        <w:t xml:space="preserve"> </w:t>
      </w:r>
      <w:r>
        <w:t>from</w:t>
      </w:r>
      <w:r>
        <w:rPr>
          <w:spacing w:val="-10"/>
        </w:rPr>
        <w:t xml:space="preserve"> </w:t>
      </w:r>
      <w:r>
        <w:t>the</w:t>
      </w:r>
      <w:r>
        <w:rPr>
          <w:spacing w:val="-10"/>
        </w:rPr>
        <w:t xml:space="preserve"> </w:t>
      </w:r>
      <w:r>
        <w:t>Final Determination, we do not consider that Article 12.2.2 requires the European Communities to explain its choice of methodology.</w:t>
      </w:r>
      <w:hyperlink w:anchor="_bookmark1637" w:history="1">
        <w:r>
          <w:rPr>
            <w:vertAlign w:val="superscript"/>
          </w:rPr>
          <w:t>1418</w:t>
        </w:r>
      </w:hyperlink>
    </w:p>
    <w:p w14:paraId="56022E6C" w14:textId="77777777" w:rsidR="00BD462C" w:rsidRDefault="00BD462C">
      <w:pPr>
        <w:pStyle w:val="BodyText"/>
        <w:spacing w:before="4"/>
        <w:rPr>
          <w:sz w:val="15"/>
        </w:rPr>
      </w:pPr>
    </w:p>
    <w:p w14:paraId="2CBBC362" w14:textId="0CB6AB2A" w:rsidR="00BD462C" w:rsidRDefault="00D443C8">
      <w:pPr>
        <w:pStyle w:val="BodyText"/>
        <w:spacing w:before="56" w:line="360" w:lineRule="auto"/>
        <w:ind w:left="135" w:right="911"/>
        <w:jc w:val="both"/>
      </w:pPr>
      <w:r>
        <w:rPr>
          <w:noProof/>
        </w:rPr>
        <w:t>977.</w:t>
      </w:r>
      <w:r w:rsidR="00033D0F">
        <w:rPr>
          <w:rFonts w:ascii="Times New Roman" w:hAnsi="Times New Roman"/>
          <w:spacing w:val="80"/>
          <w:position w:val="1"/>
          <w:sz w:val="20"/>
        </w:rPr>
        <w:t xml:space="preserve">  </w:t>
      </w:r>
      <w:r w:rsidR="00033D0F">
        <w:rPr>
          <w:position w:val="1"/>
        </w:rPr>
        <w:t>It</w:t>
      </w:r>
      <w:r w:rsidR="00033D0F">
        <w:rPr>
          <w:spacing w:val="-8"/>
          <w:position w:val="1"/>
        </w:rPr>
        <w:t xml:space="preserve"> </w:t>
      </w:r>
      <w:r w:rsidR="00033D0F">
        <w:rPr>
          <w:position w:val="1"/>
        </w:rPr>
        <w:t>is</w:t>
      </w:r>
      <w:r w:rsidR="00033D0F">
        <w:rPr>
          <w:spacing w:val="-7"/>
          <w:position w:val="1"/>
        </w:rPr>
        <w:t xml:space="preserve"> </w:t>
      </w:r>
      <w:r w:rsidR="00033D0F">
        <w:rPr>
          <w:position w:val="1"/>
        </w:rPr>
        <w:t>clear</w:t>
      </w:r>
      <w:r w:rsidR="00033D0F">
        <w:rPr>
          <w:spacing w:val="-11"/>
          <w:position w:val="1"/>
        </w:rPr>
        <w:t xml:space="preserve"> </w:t>
      </w:r>
      <w:r w:rsidR="00033D0F">
        <w:rPr>
          <w:position w:val="1"/>
        </w:rPr>
        <w:t>from</w:t>
      </w:r>
      <w:r w:rsidR="00033D0F">
        <w:rPr>
          <w:spacing w:val="-8"/>
          <w:position w:val="1"/>
        </w:rPr>
        <w:t xml:space="preserve"> </w:t>
      </w:r>
      <w:r w:rsidR="00033D0F">
        <w:rPr>
          <w:position w:val="1"/>
        </w:rPr>
        <w:t>this</w:t>
      </w:r>
      <w:r w:rsidR="00033D0F">
        <w:rPr>
          <w:spacing w:val="-7"/>
          <w:position w:val="1"/>
        </w:rPr>
        <w:t xml:space="preserve"> </w:t>
      </w:r>
      <w:r w:rsidR="00033D0F">
        <w:rPr>
          <w:position w:val="1"/>
        </w:rPr>
        <w:t>citation</w:t>
      </w:r>
      <w:r w:rsidR="00033D0F">
        <w:rPr>
          <w:spacing w:val="-10"/>
          <w:position w:val="1"/>
        </w:rPr>
        <w:t xml:space="preserve"> </w:t>
      </w:r>
      <w:r w:rsidR="00033D0F">
        <w:rPr>
          <w:position w:val="1"/>
        </w:rPr>
        <w:t>that</w:t>
      </w:r>
      <w:r w:rsidR="00033D0F">
        <w:rPr>
          <w:spacing w:val="-8"/>
          <w:position w:val="1"/>
        </w:rPr>
        <w:t xml:space="preserve"> </w:t>
      </w:r>
      <w:r w:rsidR="00033D0F">
        <w:rPr>
          <w:position w:val="1"/>
        </w:rPr>
        <w:t>the</w:t>
      </w:r>
      <w:r w:rsidR="00033D0F">
        <w:rPr>
          <w:spacing w:val="-8"/>
          <w:position w:val="1"/>
        </w:rPr>
        <w:t xml:space="preserve"> </w:t>
      </w:r>
      <w:r w:rsidR="00033D0F">
        <w:rPr>
          <w:position w:val="1"/>
        </w:rPr>
        <w:t>panel's</w:t>
      </w:r>
      <w:r w:rsidR="00033D0F">
        <w:rPr>
          <w:spacing w:val="-7"/>
          <w:position w:val="1"/>
        </w:rPr>
        <w:t xml:space="preserve"> </w:t>
      </w:r>
      <w:r w:rsidR="00033D0F">
        <w:rPr>
          <w:position w:val="1"/>
        </w:rPr>
        <w:t>findings</w:t>
      </w:r>
      <w:r w:rsidR="00033D0F">
        <w:rPr>
          <w:spacing w:val="-7"/>
          <w:position w:val="1"/>
        </w:rPr>
        <w:t xml:space="preserve"> </w:t>
      </w:r>
      <w:r w:rsidR="00033D0F">
        <w:rPr>
          <w:position w:val="1"/>
        </w:rPr>
        <w:t>in</w:t>
      </w:r>
      <w:r w:rsidR="00033D0F">
        <w:rPr>
          <w:spacing w:val="-10"/>
          <w:position w:val="1"/>
        </w:rPr>
        <w:t xml:space="preserve"> </w:t>
      </w:r>
      <w:r w:rsidR="00033D0F">
        <w:rPr>
          <w:position w:val="1"/>
        </w:rPr>
        <w:t>that</w:t>
      </w:r>
      <w:r w:rsidR="00033D0F">
        <w:rPr>
          <w:spacing w:val="-8"/>
          <w:position w:val="1"/>
        </w:rPr>
        <w:t xml:space="preserve"> </w:t>
      </w:r>
      <w:r w:rsidR="00033D0F">
        <w:rPr>
          <w:position w:val="1"/>
        </w:rPr>
        <w:t>dispute</w:t>
      </w:r>
      <w:r w:rsidR="00033D0F">
        <w:rPr>
          <w:spacing w:val="-8"/>
          <w:position w:val="1"/>
        </w:rPr>
        <w:t xml:space="preserve"> </w:t>
      </w:r>
      <w:r w:rsidR="00033D0F">
        <w:rPr>
          <w:position w:val="1"/>
        </w:rPr>
        <w:t>were</w:t>
      </w:r>
      <w:r w:rsidR="00033D0F">
        <w:rPr>
          <w:spacing w:val="-8"/>
          <w:position w:val="1"/>
        </w:rPr>
        <w:t xml:space="preserve"> </w:t>
      </w:r>
      <w:r w:rsidR="00033D0F">
        <w:rPr>
          <w:position w:val="1"/>
        </w:rPr>
        <w:t>contingent</w:t>
      </w:r>
      <w:r w:rsidR="00033D0F">
        <w:rPr>
          <w:spacing w:val="-8"/>
          <w:position w:val="1"/>
        </w:rPr>
        <w:t xml:space="preserve"> </w:t>
      </w:r>
      <w:r w:rsidR="00033D0F">
        <w:rPr>
          <w:position w:val="1"/>
        </w:rPr>
        <w:t xml:space="preserve">on </w:t>
      </w:r>
      <w:r w:rsidR="00033D0F">
        <w:t xml:space="preserve">the specific facts of that case. In particular, the panel found that " […] the basis for [the investigating authority's] determination" was "clear from the final determination", such that further explanation of the choice of methodology was not necessary. Contrary to China's contention, the panel's reasoning does </w:t>
      </w:r>
      <w:r w:rsidR="00033D0F">
        <w:rPr>
          <w:i/>
        </w:rPr>
        <w:t xml:space="preserve">not </w:t>
      </w:r>
      <w:r w:rsidR="00033D0F">
        <w:t>stand for the proposition that, as a general rule, methodologies adopted and used by investigating authorities to reach findings and conclusions on material issues of fact and law are not subject to the obligations under Articles 12.2</w:t>
      </w:r>
      <w:r w:rsidR="00033D0F">
        <w:rPr>
          <w:spacing w:val="-4"/>
        </w:rPr>
        <w:t xml:space="preserve"> </w:t>
      </w:r>
      <w:r w:rsidR="00033D0F">
        <w:t>and</w:t>
      </w:r>
      <w:r w:rsidR="00033D0F">
        <w:rPr>
          <w:spacing w:val="-3"/>
        </w:rPr>
        <w:t xml:space="preserve"> </w:t>
      </w:r>
      <w:r w:rsidR="00033D0F">
        <w:t>12.2.2. Rather, as Australia</w:t>
      </w:r>
      <w:r w:rsidR="00033D0F">
        <w:rPr>
          <w:spacing w:val="-2"/>
        </w:rPr>
        <w:t xml:space="preserve"> </w:t>
      </w:r>
      <w:r w:rsidR="00033D0F">
        <w:t>has set</w:t>
      </w:r>
      <w:r w:rsidR="00033D0F">
        <w:rPr>
          <w:spacing w:val="-1"/>
        </w:rPr>
        <w:t xml:space="preserve"> </w:t>
      </w:r>
      <w:r w:rsidR="00033D0F">
        <w:t>out</w:t>
      </w:r>
      <w:r w:rsidR="00033D0F">
        <w:rPr>
          <w:spacing w:val="-1"/>
        </w:rPr>
        <w:t xml:space="preserve"> </w:t>
      </w:r>
      <w:r w:rsidR="00033D0F">
        <w:t>in</w:t>
      </w:r>
      <w:r w:rsidR="00033D0F">
        <w:rPr>
          <w:spacing w:val="-3"/>
        </w:rPr>
        <w:t xml:space="preserve"> </w:t>
      </w:r>
      <w:r w:rsidR="00033D0F">
        <w:t>its submissions,</w:t>
      </w:r>
      <w:hyperlink w:anchor="_bookmark1638" w:history="1">
        <w:r w:rsidR="00033D0F">
          <w:rPr>
            <w:vertAlign w:val="superscript"/>
          </w:rPr>
          <w:t>1419</w:t>
        </w:r>
      </w:hyperlink>
      <w:r w:rsidR="00033D0F">
        <w:rPr>
          <w:spacing w:val="-1"/>
        </w:rPr>
        <w:t xml:space="preserve"> </w:t>
      </w:r>
      <w:r w:rsidR="00033D0F">
        <w:t>the</w:t>
      </w:r>
      <w:r w:rsidR="00033D0F">
        <w:rPr>
          <w:spacing w:val="-1"/>
        </w:rPr>
        <w:t xml:space="preserve"> </w:t>
      </w:r>
      <w:r w:rsidR="00033D0F">
        <w:t>opposite</w:t>
      </w:r>
      <w:r w:rsidR="00033D0F">
        <w:rPr>
          <w:spacing w:val="-1"/>
        </w:rPr>
        <w:t xml:space="preserve"> </w:t>
      </w:r>
      <w:r w:rsidR="00033D0F">
        <w:t>is in fact the case.</w:t>
      </w:r>
    </w:p>
    <w:p w14:paraId="3A43562D" w14:textId="77777777" w:rsidR="00BD462C" w:rsidRDefault="00033D0F">
      <w:pPr>
        <w:pStyle w:val="Heading3"/>
        <w:numPr>
          <w:ilvl w:val="0"/>
          <w:numId w:val="12"/>
        </w:numPr>
        <w:tabs>
          <w:tab w:val="left" w:pos="2689"/>
          <w:tab w:val="left" w:pos="2690"/>
        </w:tabs>
        <w:spacing w:before="154" w:line="362" w:lineRule="auto"/>
        <w:ind w:right="923"/>
        <w:jc w:val="both"/>
      </w:pPr>
      <w:bookmarkStart w:id="1895" w:name="3._MOFCOM's_public_notice_of_the_Final_D"/>
      <w:bookmarkStart w:id="1896" w:name="_bookmark1635"/>
      <w:bookmarkEnd w:id="1895"/>
      <w:bookmarkEnd w:id="1896"/>
      <w:r>
        <w:t>MOFCOM's public notice of the Final Determination failed to contain all relevant information</w:t>
      </w:r>
    </w:p>
    <w:p w14:paraId="444DD271" w14:textId="77777777" w:rsidR="00BD462C" w:rsidRDefault="00033D0F">
      <w:pPr>
        <w:pStyle w:val="ListParagraph"/>
        <w:numPr>
          <w:ilvl w:val="1"/>
          <w:numId w:val="12"/>
        </w:numPr>
        <w:tabs>
          <w:tab w:val="left" w:pos="3539"/>
          <w:tab w:val="left" w:pos="3540"/>
        </w:tabs>
        <w:spacing w:before="157" w:line="360" w:lineRule="auto"/>
        <w:ind w:right="918"/>
        <w:jc w:val="both"/>
        <w:rPr>
          <w:sz w:val="24"/>
        </w:rPr>
      </w:pPr>
      <w:bookmarkStart w:id="1897" w:name="(a)_MOFCOM's_estimate_of_total_domestic_"/>
      <w:bookmarkEnd w:id="1897"/>
      <w:r>
        <w:rPr>
          <w:sz w:val="24"/>
          <w:u w:val="single"/>
        </w:rPr>
        <w:t>MOFCOM's estimate of total domestic output and the</w:t>
      </w:r>
      <w:r>
        <w:rPr>
          <w:sz w:val="24"/>
        </w:rPr>
        <w:t xml:space="preserve"> </w:t>
      </w:r>
      <w:r>
        <w:rPr>
          <w:sz w:val="24"/>
          <w:u w:val="single"/>
        </w:rPr>
        <w:t>proportion accounted for by the domestic producers</w:t>
      </w:r>
      <w:r>
        <w:rPr>
          <w:sz w:val="24"/>
        </w:rPr>
        <w:t xml:space="preserve"> </w:t>
      </w:r>
      <w:r>
        <w:rPr>
          <w:sz w:val="24"/>
          <w:u w:val="single"/>
        </w:rPr>
        <w:t>defining "domestic industry"</w:t>
      </w:r>
    </w:p>
    <w:p w14:paraId="788F0793" w14:textId="77777777" w:rsidR="00BD462C" w:rsidRDefault="00BD462C">
      <w:pPr>
        <w:pStyle w:val="BodyText"/>
        <w:spacing w:before="10"/>
        <w:rPr>
          <w:sz w:val="8"/>
        </w:rPr>
      </w:pPr>
    </w:p>
    <w:p w14:paraId="22227A08" w14:textId="48228277" w:rsidR="00BD462C" w:rsidRDefault="00D443C8">
      <w:pPr>
        <w:pStyle w:val="BodyText"/>
        <w:spacing w:before="57" w:line="357" w:lineRule="auto"/>
        <w:ind w:left="135" w:right="910"/>
        <w:jc w:val="both"/>
      </w:pPr>
      <w:r>
        <w:rPr>
          <w:noProof/>
        </w:rPr>
        <w:t>978.</w:t>
      </w:r>
      <w:r w:rsidR="00033D0F">
        <w:rPr>
          <w:rFonts w:ascii="Times New Roman"/>
          <w:spacing w:val="80"/>
          <w:position w:val="1"/>
          <w:sz w:val="20"/>
        </w:rPr>
        <w:t xml:space="preserve">  </w:t>
      </w:r>
      <w:r w:rsidR="00033D0F">
        <w:rPr>
          <w:position w:val="1"/>
        </w:rPr>
        <w:t>In</w:t>
      </w:r>
      <w:r w:rsidR="00033D0F">
        <w:rPr>
          <w:spacing w:val="-14"/>
          <w:position w:val="1"/>
        </w:rPr>
        <w:t xml:space="preserve"> </w:t>
      </w:r>
      <w:r w:rsidR="00033D0F">
        <w:rPr>
          <w:position w:val="1"/>
        </w:rPr>
        <w:t>its</w:t>
      </w:r>
      <w:r w:rsidR="00033D0F">
        <w:rPr>
          <w:spacing w:val="-14"/>
          <w:position w:val="1"/>
        </w:rPr>
        <w:t xml:space="preserve"> </w:t>
      </w:r>
      <w:r w:rsidR="00033D0F">
        <w:rPr>
          <w:position w:val="1"/>
        </w:rPr>
        <w:t>prior</w:t>
      </w:r>
      <w:r w:rsidR="00033D0F">
        <w:rPr>
          <w:spacing w:val="-13"/>
          <w:position w:val="1"/>
        </w:rPr>
        <w:t xml:space="preserve"> </w:t>
      </w:r>
      <w:r w:rsidR="00033D0F">
        <w:rPr>
          <w:position w:val="1"/>
        </w:rPr>
        <w:t>submissions,</w:t>
      </w:r>
      <w:r w:rsidR="00033D0F">
        <w:rPr>
          <w:spacing w:val="-14"/>
          <w:position w:val="1"/>
        </w:rPr>
        <w:t xml:space="preserve"> </w:t>
      </w:r>
      <w:r w:rsidR="00033D0F">
        <w:rPr>
          <w:position w:val="1"/>
        </w:rPr>
        <w:t>Australia</w:t>
      </w:r>
      <w:r w:rsidR="00033D0F">
        <w:rPr>
          <w:spacing w:val="-13"/>
          <w:position w:val="1"/>
        </w:rPr>
        <w:t xml:space="preserve"> </w:t>
      </w:r>
      <w:r w:rsidR="00033D0F">
        <w:rPr>
          <w:position w:val="1"/>
        </w:rPr>
        <w:t>has</w:t>
      </w:r>
      <w:r w:rsidR="00033D0F">
        <w:rPr>
          <w:spacing w:val="-14"/>
          <w:position w:val="1"/>
        </w:rPr>
        <w:t xml:space="preserve"> </w:t>
      </w:r>
      <w:r w:rsidR="00033D0F">
        <w:rPr>
          <w:position w:val="1"/>
        </w:rPr>
        <w:t>established</w:t>
      </w:r>
      <w:r w:rsidR="00033D0F">
        <w:rPr>
          <w:spacing w:val="-13"/>
          <w:position w:val="1"/>
        </w:rPr>
        <w:t xml:space="preserve"> </w:t>
      </w:r>
      <w:r w:rsidR="00033D0F">
        <w:rPr>
          <w:position w:val="1"/>
        </w:rPr>
        <w:t>that</w:t>
      </w:r>
      <w:r w:rsidR="00033D0F">
        <w:rPr>
          <w:spacing w:val="-14"/>
          <w:position w:val="1"/>
        </w:rPr>
        <w:t xml:space="preserve"> </w:t>
      </w:r>
      <w:r w:rsidR="00033D0F">
        <w:rPr>
          <w:position w:val="1"/>
        </w:rPr>
        <w:t>MOFCOM</w:t>
      </w:r>
      <w:r w:rsidR="00033D0F">
        <w:rPr>
          <w:spacing w:val="-14"/>
          <w:position w:val="1"/>
        </w:rPr>
        <w:t xml:space="preserve"> </w:t>
      </w:r>
      <w:r w:rsidR="00033D0F">
        <w:rPr>
          <w:position w:val="1"/>
        </w:rPr>
        <w:t>did</w:t>
      </w:r>
      <w:r w:rsidR="00033D0F">
        <w:rPr>
          <w:spacing w:val="-12"/>
          <w:position w:val="1"/>
        </w:rPr>
        <w:t xml:space="preserve"> </w:t>
      </w:r>
      <w:r w:rsidR="00033D0F">
        <w:rPr>
          <w:position w:val="1"/>
        </w:rPr>
        <w:t>not</w:t>
      </w:r>
      <w:r w:rsidR="00033D0F">
        <w:rPr>
          <w:spacing w:val="-14"/>
          <w:position w:val="1"/>
        </w:rPr>
        <w:t xml:space="preserve"> </w:t>
      </w:r>
      <w:r w:rsidR="00033D0F">
        <w:rPr>
          <w:position w:val="1"/>
        </w:rPr>
        <w:t>make</w:t>
      </w:r>
      <w:r w:rsidR="00033D0F">
        <w:rPr>
          <w:spacing w:val="-11"/>
          <w:position w:val="1"/>
        </w:rPr>
        <w:t xml:space="preserve"> </w:t>
      </w:r>
      <w:r w:rsidR="00033D0F">
        <w:rPr>
          <w:position w:val="1"/>
        </w:rPr>
        <w:t xml:space="preserve">available </w:t>
      </w:r>
      <w:r w:rsidR="00033D0F">
        <w:t>all</w:t>
      </w:r>
      <w:r w:rsidR="00033D0F">
        <w:rPr>
          <w:spacing w:val="-6"/>
        </w:rPr>
        <w:t xml:space="preserve"> </w:t>
      </w:r>
      <w:r w:rsidR="00033D0F">
        <w:t>relevant</w:t>
      </w:r>
      <w:r w:rsidR="00033D0F">
        <w:rPr>
          <w:spacing w:val="-8"/>
        </w:rPr>
        <w:t xml:space="preserve"> </w:t>
      </w:r>
      <w:r w:rsidR="00033D0F">
        <w:t>information</w:t>
      </w:r>
      <w:r w:rsidR="00033D0F">
        <w:rPr>
          <w:spacing w:val="-10"/>
        </w:rPr>
        <w:t xml:space="preserve"> </w:t>
      </w:r>
      <w:r w:rsidR="00033D0F">
        <w:t>relating</w:t>
      </w:r>
      <w:r w:rsidR="00033D0F">
        <w:rPr>
          <w:spacing w:val="-7"/>
        </w:rPr>
        <w:t xml:space="preserve"> </w:t>
      </w:r>
      <w:r w:rsidR="00033D0F">
        <w:t>to</w:t>
      </w:r>
      <w:r w:rsidR="00033D0F">
        <w:rPr>
          <w:spacing w:val="-11"/>
        </w:rPr>
        <w:t xml:space="preserve"> </w:t>
      </w:r>
      <w:r w:rsidR="00033D0F">
        <w:t>the</w:t>
      </w:r>
      <w:r w:rsidR="00033D0F">
        <w:rPr>
          <w:spacing w:val="-8"/>
        </w:rPr>
        <w:t xml:space="preserve"> </w:t>
      </w:r>
      <w:r w:rsidR="00033D0F">
        <w:t>calculation</w:t>
      </w:r>
      <w:r w:rsidR="00033D0F">
        <w:rPr>
          <w:spacing w:val="-10"/>
        </w:rPr>
        <w:t xml:space="preserve"> </w:t>
      </w:r>
      <w:r w:rsidR="00033D0F">
        <w:t>of</w:t>
      </w:r>
      <w:r w:rsidR="00033D0F">
        <w:rPr>
          <w:spacing w:val="-10"/>
        </w:rPr>
        <w:t xml:space="preserve"> </w:t>
      </w:r>
      <w:r w:rsidR="00033D0F">
        <w:t>its</w:t>
      </w:r>
      <w:r w:rsidR="00033D0F">
        <w:rPr>
          <w:spacing w:val="-7"/>
        </w:rPr>
        <w:t xml:space="preserve"> </w:t>
      </w:r>
      <w:r w:rsidR="00033D0F">
        <w:t>estimate</w:t>
      </w:r>
      <w:r w:rsidR="00033D0F">
        <w:rPr>
          <w:spacing w:val="-8"/>
        </w:rPr>
        <w:t xml:space="preserve"> </w:t>
      </w:r>
      <w:r w:rsidR="00033D0F">
        <w:t>of</w:t>
      </w:r>
      <w:r w:rsidR="00033D0F">
        <w:rPr>
          <w:spacing w:val="-10"/>
        </w:rPr>
        <w:t xml:space="preserve"> </w:t>
      </w:r>
      <w:r w:rsidR="00033D0F">
        <w:t>total</w:t>
      </w:r>
      <w:r w:rsidR="00033D0F">
        <w:rPr>
          <w:spacing w:val="-6"/>
        </w:rPr>
        <w:t xml:space="preserve"> </w:t>
      </w:r>
      <w:r w:rsidR="00033D0F">
        <w:t>domestic</w:t>
      </w:r>
      <w:r w:rsidR="00033D0F">
        <w:rPr>
          <w:spacing w:val="-10"/>
        </w:rPr>
        <w:t xml:space="preserve"> </w:t>
      </w:r>
      <w:r w:rsidR="00033D0F">
        <w:t>production of</w:t>
      </w:r>
      <w:r w:rsidR="00033D0F">
        <w:rPr>
          <w:spacing w:val="34"/>
        </w:rPr>
        <w:t xml:space="preserve"> </w:t>
      </w:r>
      <w:r w:rsidR="00033D0F">
        <w:t>like</w:t>
      </w:r>
      <w:r w:rsidR="00033D0F">
        <w:rPr>
          <w:spacing w:val="36"/>
        </w:rPr>
        <w:t xml:space="preserve"> </w:t>
      </w:r>
      <w:r w:rsidR="00033D0F">
        <w:t>products</w:t>
      </w:r>
      <w:r w:rsidR="00033D0F">
        <w:rPr>
          <w:spacing w:val="37"/>
        </w:rPr>
        <w:t xml:space="preserve"> </w:t>
      </w:r>
      <w:r w:rsidR="00033D0F">
        <w:t>(referred</w:t>
      </w:r>
      <w:r w:rsidR="00033D0F">
        <w:rPr>
          <w:spacing w:val="34"/>
        </w:rPr>
        <w:t xml:space="preserve"> </w:t>
      </w:r>
      <w:r w:rsidR="00033D0F">
        <w:t>to</w:t>
      </w:r>
      <w:r w:rsidR="00033D0F">
        <w:rPr>
          <w:spacing w:val="38"/>
        </w:rPr>
        <w:t xml:space="preserve"> </w:t>
      </w:r>
      <w:r w:rsidR="00033D0F">
        <w:t>as</w:t>
      </w:r>
      <w:r w:rsidR="00033D0F">
        <w:rPr>
          <w:spacing w:val="37"/>
        </w:rPr>
        <w:t xml:space="preserve"> </w:t>
      </w:r>
      <w:r w:rsidR="00033D0F">
        <w:t>"total</w:t>
      </w:r>
      <w:r w:rsidR="00033D0F">
        <w:rPr>
          <w:spacing w:val="38"/>
        </w:rPr>
        <w:t xml:space="preserve"> </w:t>
      </w:r>
      <w:r w:rsidR="00033D0F">
        <w:t>output"</w:t>
      </w:r>
      <w:r w:rsidR="00033D0F">
        <w:rPr>
          <w:spacing w:val="35"/>
        </w:rPr>
        <w:t xml:space="preserve"> </w:t>
      </w:r>
      <w:r w:rsidR="00033D0F">
        <w:t>in</w:t>
      </w:r>
      <w:r w:rsidR="00033D0F">
        <w:rPr>
          <w:spacing w:val="34"/>
        </w:rPr>
        <w:t xml:space="preserve"> </w:t>
      </w:r>
      <w:r w:rsidR="00033D0F">
        <w:t>the</w:t>
      </w:r>
      <w:r w:rsidR="00033D0F">
        <w:rPr>
          <w:spacing w:val="36"/>
        </w:rPr>
        <w:t xml:space="preserve"> </w:t>
      </w:r>
      <w:r w:rsidR="00033D0F">
        <w:t>Final</w:t>
      </w:r>
      <w:r w:rsidR="00033D0F">
        <w:rPr>
          <w:spacing w:val="38"/>
        </w:rPr>
        <w:t xml:space="preserve"> </w:t>
      </w:r>
      <w:r w:rsidR="00033D0F">
        <w:t>Determination),</w:t>
      </w:r>
      <w:r w:rsidR="00033D0F">
        <w:rPr>
          <w:spacing w:val="38"/>
        </w:rPr>
        <w:t xml:space="preserve"> </w:t>
      </w:r>
      <w:r w:rsidR="00033D0F">
        <w:t>including</w:t>
      </w:r>
      <w:r w:rsidR="00033D0F">
        <w:rPr>
          <w:spacing w:val="37"/>
        </w:rPr>
        <w:t xml:space="preserve"> </w:t>
      </w:r>
      <w:r w:rsidR="00033D0F">
        <w:t>with</w:t>
      </w:r>
    </w:p>
    <w:p w14:paraId="1FB0407A" w14:textId="5B9FEADF" w:rsidR="00BD462C" w:rsidRDefault="00D70C7D">
      <w:pPr>
        <w:pStyle w:val="BodyText"/>
        <w:spacing w:before="5"/>
        <w:rPr>
          <w:sz w:val="16"/>
        </w:rPr>
      </w:pPr>
      <w:r>
        <w:rPr>
          <w:noProof/>
        </w:rPr>
        <mc:AlternateContent>
          <mc:Choice Requires="wps">
            <w:drawing>
              <wp:anchor distT="0" distB="0" distL="0" distR="0" simplePos="0" relativeHeight="487894528" behindDoc="1" locked="0" layoutInCell="1" allowOverlap="1" wp14:anchorId="5E6C0832" wp14:editId="21A4ACA4">
                <wp:simplePos x="0" y="0"/>
                <wp:positionH relativeFrom="page">
                  <wp:posOffset>899160</wp:posOffset>
                </wp:positionH>
                <wp:positionV relativeFrom="paragraph">
                  <wp:posOffset>142875</wp:posOffset>
                </wp:positionV>
                <wp:extent cx="1828800" cy="8890"/>
                <wp:effectExtent l="0" t="0" r="0" b="0"/>
                <wp:wrapTopAndBottom/>
                <wp:docPr id="122" name="docshape6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8934B9" id="docshape664" o:spid="_x0000_s1026" alt="&quot;&quot;" style="position:absolute;margin-left:70.8pt;margin-top:11.25pt;width:2in;height:.7pt;z-index:-15421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" fillcolor="black" stroked="f">
                <w10:wrap type="topAndBottom" anchorx="page"/>
              </v:rect>
            </w:pict>
          </mc:Fallback>
        </mc:AlternateContent>
      </w:r>
    </w:p>
    <w:p w14:paraId="47A64B4E" w14:textId="77777777" w:rsidR="00BD462C" w:rsidRDefault="00033D0F">
      <w:pPr>
        <w:spacing w:before="112"/>
        <w:ind w:left="135"/>
        <w:rPr>
          <w:sz w:val="18"/>
        </w:rPr>
      </w:pPr>
      <w:bookmarkStart w:id="1898" w:name="_bookmark1636"/>
      <w:bookmarkEnd w:id="1898"/>
      <w:r>
        <w:rPr>
          <w:position w:val="5"/>
          <w:sz w:val="12"/>
        </w:rPr>
        <w:t>1417</w:t>
      </w:r>
      <w:r>
        <w:rPr>
          <w:spacing w:val="13"/>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 xml:space="preserve">para. </w:t>
      </w:r>
      <w:r>
        <w:rPr>
          <w:spacing w:val="-2"/>
          <w:sz w:val="18"/>
        </w:rPr>
        <w:t>2605.</w:t>
      </w:r>
    </w:p>
    <w:p w14:paraId="51A3D803" w14:textId="77777777" w:rsidR="00BD462C" w:rsidRDefault="00033D0F">
      <w:pPr>
        <w:spacing w:before="1"/>
        <w:ind w:left="135"/>
        <w:rPr>
          <w:sz w:val="18"/>
        </w:rPr>
      </w:pPr>
      <w:bookmarkStart w:id="1899" w:name="_bookmark1637"/>
      <w:bookmarkEnd w:id="1899"/>
      <w:r>
        <w:rPr>
          <w:position w:val="5"/>
          <w:sz w:val="12"/>
        </w:rPr>
        <w:t>1418</w:t>
      </w:r>
      <w:r>
        <w:rPr>
          <w:spacing w:val="16"/>
          <w:position w:val="5"/>
          <w:sz w:val="12"/>
        </w:rPr>
        <w:t xml:space="preserve"> </w:t>
      </w:r>
      <w:r>
        <w:rPr>
          <w:sz w:val="18"/>
        </w:rPr>
        <w:t>Panel</w:t>
      </w:r>
      <w:r>
        <w:rPr>
          <w:spacing w:val="-2"/>
          <w:sz w:val="18"/>
        </w:rPr>
        <w:t xml:space="preserve"> </w:t>
      </w:r>
      <w:r>
        <w:rPr>
          <w:sz w:val="18"/>
        </w:rPr>
        <w:t>Report,</w:t>
      </w:r>
      <w:r>
        <w:rPr>
          <w:spacing w:val="-6"/>
          <w:sz w:val="18"/>
        </w:rPr>
        <w:t xml:space="preserve"> </w:t>
      </w:r>
      <w:r>
        <w:rPr>
          <w:i/>
          <w:sz w:val="18"/>
        </w:rPr>
        <w:t>EC</w:t>
      </w:r>
      <w:r>
        <w:rPr>
          <w:i/>
          <w:spacing w:val="-3"/>
          <w:sz w:val="18"/>
        </w:rPr>
        <w:t xml:space="preserve"> </w:t>
      </w:r>
      <w:r>
        <w:rPr>
          <w:i/>
          <w:sz w:val="18"/>
        </w:rPr>
        <w:t>–</w:t>
      </w:r>
      <w:r>
        <w:rPr>
          <w:i/>
          <w:spacing w:val="-3"/>
          <w:sz w:val="18"/>
        </w:rPr>
        <w:t xml:space="preserve"> </w:t>
      </w:r>
      <w:r>
        <w:rPr>
          <w:i/>
          <w:sz w:val="18"/>
        </w:rPr>
        <w:t>Bed</w:t>
      </w:r>
      <w:r>
        <w:rPr>
          <w:i/>
          <w:spacing w:val="3"/>
          <w:sz w:val="18"/>
        </w:rPr>
        <w:t xml:space="preserve"> </w:t>
      </w:r>
      <w:r>
        <w:rPr>
          <w:i/>
          <w:sz w:val="18"/>
        </w:rPr>
        <w:t>Linen,</w:t>
      </w:r>
      <w:r>
        <w:rPr>
          <w:i/>
          <w:spacing w:val="-1"/>
          <w:sz w:val="18"/>
        </w:rPr>
        <w:t xml:space="preserve"> </w:t>
      </w:r>
      <w:r>
        <w:rPr>
          <w:sz w:val="18"/>
        </w:rPr>
        <w:t>para.</w:t>
      </w:r>
      <w:r>
        <w:rPr>
          <w:spacing w:val="-1"/>
          <w:sz w:val="18"/>
        </w:rPr>
        <w:t xml:space="preserve"> </w:t>
      </w:r>
      <w:r>
        <w:rPr>
          <w:spacing w:val="-2"/>
          <w:sz w:val="18"/>
        </w:rPr>
        <w:t>6.252.</w:t>
      </w:r>
    </w:p>
    <w:p w14:paraId="15A2BB6A" w14:textId="77777777" w:rsidR="00BD462C" w:rsidRDefault="00033D0F">
      <w:pPr>
        <w:spacing w:before="1"/>
        <w:ind w:left="135"/>
        <w:rPr>
          <w:sz w:val="18"/>
        </w:rPr>
      </w:pPr>
      <w:bookmarkStart w:id="1900" w:name="_bookmark1638"/>
      <w:bookmarkEnd w:id="1900"/>
      <w:r>
        <w:rPr>
          <w:position w:val="5"/>
          <w:sz w:val="12"/>
        </w:rPr>
        <w:t>1419</w:t>
      </w:r>
      <w:r>
        <w:rPr>
          <w:spacing w:val="13"/>
          <w:position w:val="5"/>
          <w:sz w:val="12"/>
        </w:rPr>
        <w:t xml:space="preserve"> </w:t>
      </w:r>
      <w:r>
        <w:rPr>
          <w:sz w:val="18"/>
        </w:rPr>
        <w:t>Australia’s</w:t>
      </w:r>
      <w:r>
        <w:rPr>
          <w:spacing w:val="-5"/>
          <w:sz w:val="18"/>
        </w:rPr>
        <w:t xml:space="preserve"> </w:t>
      </w:r>
      <w:r>
        <w:rPr>
          <w:sz w:val="18"/>
        </w:rPr>
        <w:t>first</w:t>
      </w:r>
      <w:r>
        <w:rPr>
          <w:spacing w:val="-4"/>
          <w:sz w:val="18"/>
        </w:rPr>
        <w:t xml:space="preserve"> </w:t>
      </w:r>
      <w:r>
        <w:rPr>
          <w:sz w:val="18"/>
        </w:rPr>
        <w:t>written</w:t>
      </w:r>
      <w:r>
        <w:rPr>
          <w:spacing w:val="-7"/>
          <w:sz w:val="18"/>
        </w:rPr>
        <w:t xml:space="preserve"> </w:t>
      </w:r>
      <w:r>
        <w:rPr>
          <w:sz w:val="18"/>
        </w:rPr>
        <w:t>submission,</w:t>
      </w:r>
      <w:r>
        <w:rPr>
          <w:spacing w:val="2"/>
          <w:sz w:val="18"/>
        </w:rPr>
        <w:t xml:space="preserve"> </w:t>
      </w:r>
      <w:r>
        <w:rPr>
          <w:sz w:val="18"/>
        </w:rPr>
        <w:t>paras.</w:t>
      </w:r>
      <w:r>
        <w:rPr>
          <w:spacing w:val="-5"/>
          <w:sz w:val="18"/>
        </w:rPr>
        <w:t xml:space="preserve"> </w:t>
      </w:r>
      <w:r>
        <w:rPr>
          <w:sz w:val="18"/>
        </w:rPr>
        <w:t>1076-1129;</w:t>
      </w:r>
      <w:r>
        <w:rPr>
          <w:spacing w:val="-7"/>
          <w:sz w:val="18"/>
        </w:rPr>
        <w:t xml:space="preserve"> </w:t>
      </w:r>
      <w:r>
        <w:rPr>
          <w:sz w:val="18"/>
        </w:rPr>
        <w:t>response</w:t>
      </w:r>
      <w:r>
        <w:rPr>
          <w:spacing w:val="-5"/>
          <w:sz w:val="18"/>
        </w:rPr>
        <w:t xml:space="preserve"> </w:t>
      </w:r>
      <w:r>
        <w:rPr>
          <w:sz w:val="18"/>
        </w:rPr>
        <w:t>to</w:t>
      </w:r>
      <w:r>
        <w:rPr>
          <w:spacing w:val="-6"/>
          <w:sz w:val="18"/>
        </w:rPr>
        <w:t xml:space="preserve"> </w:t>
      </w:r>
      <w:r>
        <w:rPr>
          <w:sz w:val="18"/>
        </w:rPr>
        <w:t>Panel</w:t>
      </w:r>
      <w:r>
        <w:rPr>
          <w:spacing w:val="-4"/>
          <w:sz w:val="18"/>
        </w:rPr>
        <w:t xml:space="preserve"> </w:t>
      </w:r>
      <w:r>
        <w:rPr>
          <w:sz w:val="18"/>
        </w:rPr>
        <w:t>question</w:t>
      </w:r>
      <w:r>
        <w:rPr>
          <w:spacing w:val="-10"/>
          <w:sz w:val="18"/>
        </w:rPr>
        <w:t xml:space="preserve"> </w:t>
      </w:r>
      <w:r>
        <w:rPr>
          <w:sz w:val="18"/>
        </w:rPr>
        <w:t>No.</w:t>
      </w:r>
      <w:r>
        <w:rPr>
          <w:spacing w:val="-4"/>
          <w:sz w:val="18"/>
        </w:rPr>
        <w:t xml:space="preserve"> </w:t>
      </w:r>
      <w:r>
        <w:rPr>
          <w:sz w:val="18"/>
        </w:rPr>
        <w:t>70,</w:t>
      </w:r>
      <w:r>
        <w:rPr>
          <w:spacing w:val="1"/>
          <w:sz w:val="18"/>
        </w:rPr>
        <w:t xml:space="preserve"> </w:t>
      </w:r>
      <w:r>
        <w:rPr>
          <w:sz w:val="18"/>
        </w:rPr>
        <w:t>paras.</w:t>
      </w:r>
      <w:r>
        <w:rPr>
          <w:spacing w:val="-4"/>
          <w:sz w:val="18"/>
        </w:rPr>
        <w:t xml:space="preserve"> </w:t>
      </w:r>
      <w:r>
        <w:rPr>
          <w:sz w:val="18"/>
        </w:rPr>
        <w:t>223-</w:t>
      </w:r>
      <w:r>
        <w:rPr>
          <w:spacing w:val="-4"/>
          <w:sz w:val="18"/>
        </w:rPr>
        <w:t>226.</w:t>
      </w:r>
    </w:p>
    <w:p w14:paraId="1EFCA08F" w14:textId="77777777" w:rsidR="00BD462C" w:rsidRDefault="00BD462C">
      <w:pPr>
        <w:rPr>
          <w:sz w:val="18"/>
        </w:rPr>
        <w:sectPr w:rsidR="00BD462C">
          <w:pgSz w:w="11910" w:h="16840"/>
          <w:pgMar w:top="860" w:right="500" w:bottom="780" w:left="1280" w:header="566" w:footer="590" w:gutter="0"/>
          <w:cols w:space="720"/>
        </w:sectPr>
      </w:pPr>
    </w:p>
    <w:p w14:paraId="5CA859A0"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41833A7F"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6267FF23"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4AB3DC39" w14:textId="77777777" w:rsidR="00BD462C" w:rsidRDefault="00033D0F">
      <w:pPr>
        <w:pStyle w:val="BodyText"/>
        <w:spacing w:before="102" w:line="360" w:lineRule="auto"/>
        <w:ind w:left="135" w:right="917"/>
        <w:jc w:val="both"/>
      </w:pPr>
      <w:r>
        <w:t>respect</w:t>
      </w:r>
      <w:r>
        <w:rPr>
          <w:spacing w:val="-7"/>
        </w:rPr>
        <w:t xml:space="preserve"> </w:t>
      </w:r>
      <w:r>
        <w:t>to</w:t>
      </w:r>
      <w:r>
        <w:rPr>
          <w:spacing w:val="-10"/>
        </w:rPr>
        <w:t xml:space="preserve"> </w:t>
      </w:r>
      <w:r>
        <w:t>the</w:t>
      </w:r>
      <w:r>
        <w:rPr>
          <w:spacing w:val="-3"/>
        </w:rPr>
        <w:t xml:space="preserve"> </w:t>
      </w:r>
      <w:r>
        <w:t>calculation</w:t>
      </w:r>
      <w:r>
        <w:rPr>
          <w:spacing w:val="-9"/>
        </w:rPr>
        <w:t xml:space="preserve"> </w:t>
      </w:r>
      <w:r>
        <w:t>methodology</w:t>
      </w:r>
      <w:r>
        <w:rPr>
          <w:spacing w:val="-6"/>
        </w:rPr>
        <w:t xml:space="preserve"> </w:t>
      </w:r>
      <w:r>
        <w:t>and</w:t>
      </w:r>
      <w:r>
        <w:rPr>
          <w:spacing w:val="-4"/>
        </w:rPr>
        <w:t xml:space="preserve"> </w:t>
      </w:r>
      <w:r>
        <w:t>the</w:t>
      </w:r>
      <w:r>
        <w:rPr>
          <w:spacing w:val="-7"/>
        </w:rPr>
        <w:t xml:space="preserve"> </w:t>
      </w:r>
      <w:r>
        <w:t>underlying</w:t>
      </w:r>
      <w:r>
        <w:rPr>
          <w:spacing w:val="-6"/>
        </w:rPr>
        <w:t xml:space="preserve"> </w:t>
      </w:r>
      <w:r>
        <w:t>data</w:t>
      </w:r>
      <w:r>
        <w:rPr>
          <w:spacing w:val="-8"/>
        </w:rPr>
        <w:t xml:space="preserve"> </w:t>
      </w:r>
      <w:r>
        <w:t>upon</w:t>
      </w:r>
      <w:r>
        <w:rPr>
          <w:spacing w:val="-9"/>
        </w:rPr>
        <w:t xml:space="preserve"> </w:t>
      </w:r>
      <w:r>
        <w:t>which</w:t>
      </w:r>
      <w:r>
        <w:rPr>
          <w:spacing w:val="-3"/>
        </w:rPr>
        <w:t xml:space="preserve"> </w:t>
      </w:r>
      <w:r>
        <w:t>MOFCOM</w:t>
      </w:r>
      <w:r>
        <w:rPr>
          <w:spacing w:val="-7"/>
        </w:rPr>
        <w:t xml:space="preserve"> </w:t>
      </w:r>
      <w:r>
        <w:t>relied. As a result of this failure, MOFCOM breached the obligations under Article 12.2.2 the Anti- Dumping Agreement.</w:t>
      </w:r>
      <w:hyperlink w:anchor="_bookmark1639" w:history="1">
        <w:r>
          <w:rPr>
            <w:vertAlign w:val="superscript"/>
          </w:rPr>
          <w:t>1420</w:t>
        </w:r>
      </w:hyperlink>
    </w:p>
    <w:p w14:paraId="71144FDE" w14:textId="77777777" w:rsidR="00BD462C" w:rsidRDefault="00BD462C">
      <w:pPr>
        <w:pStyle w:val="BodyText"/>
        <w:spacing w:before="11"/>
        <w:rPr>
          <w:sz w:val="8"/>
        </w:rPr>
      </w:pPr>
    </w:p>
    <w:p w14:paraId="3348FDB2" w14:textId="2524A47B" w:rsidR="00BD462C" w:rsidRDefault="00D70C7D">
      <w:pPr>
        <w:pStyle w:val="BodyText"/>
        <w:tabs>
          <w:tab w:val="left" w:pos="7052"/>
        </w:tabs>
        <w:spacing w:before="56" w:line="360" w:lineRule="auto"/>
        <w:ind w:left="135" w:right="913"/>
        <w:jc w:val="both"/>
      </w:pPr>
      <w:r>
        <w:rPr>
          <w:noProof/>
        </w:rPr>
        <mc:AlternateContent>
          <mc:Choice Requires="wps">
            <w:drawing>
              <wp:anchor distT="0" distB="0" distL="114300" distR="114300" simplePos="0" relativeHeight="479196672" behindDoc="1" locked="0" layoutInCell="1" allowOverlap="1" wp14:anchorId="718348EB" wp14:editId="69634D98">
                <wp:simplePos x="0" y="0"/>
                <wp:positionH relativeFrom="page">
                  <wp:posOffset>4195233</wp:posOffset>
                </wp:positionH>
                <wp:positionV relativeFrom="paragraph">
                  <wp:posOffset>311362</wp:posOffset>
                </wp:positionV>
                <wp:extent cx="1019387" cy="186055"/>
                <wp:effectExtent l="0" t="0" r="9525" b="4445"/>
                <wp:wrapNone/>
                <wp:docPr id="120" name="docshape6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387"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096B91" id="docshape665" o:spid="_x0000_s1026" alt="&quot;&quot;" style="position:absolute;margin-left:330.35pt;margin-top:24.5pt;width:80.25pt;height:14.65pt;z-index:-2411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" fillcolor="black" stroked="f">
                <w10:wrap anchorx="page"/>
              </v:rect>
            </w:pict>
          </mc:Fallback>
        </mc:AlternateContent>
      </w:r>
      <w:r w:rsidR="00D443C8">
        <w:rPr>
          <w:noProof/>
        </w:rPr>
        <w:t>979.</w:t>
      </w:r>
      <w:r w:rsidR="00033D0F">
        <w:rPr>
          <w:rFonts w:ascii="Times New Roman"/>
          <w:spacing w:val="80"/>
          <w:position w:val="1"/>
          <w:sz w:val="20"/>
        </w:rPr>
        <w:t xml:space="preserve">  </w:t>
      </w:r>
      <w:r w:rsidR="00033D0F">
        <w:rPr>
          <w:position w:val="1"/>
        </w:rPr>
        <w:t xml:space="preserve">First, at the outset, Australia does not accept China's assertion that the data used in </w:t>
      </w:r>
      <w:r w:rsidR="00033D0F">
        <w:t>the estimate of total domestic production provided by</w:t>
      </w:r>
      <w:r w:rsidR="00033D0F">
        <w:tab/>
        <w:t xml:space="preserve">was confidential and therefore excluded from the scope of Articles 12.2 and 12.2.2. In this respect, Australia has set out its claims in relation to the related breach of Articles 6.5 and 6.5.1 separately in this </w:t>
      </w:r>
      <w:r w:rsidR="00033D0F">
        <w:rPr>
          <w:spacing w:val="-2"/>
        </w:rPr>
        <w:t>submission.</w:t>
      </w:r>
      <w:hyperlink w:anchor="_bookmark1640" w:history="1">
        <w:r w:rsidR="00033D0F">
          <w:rPr>
            <w:spacing w:val="-2"/>
            <w:vertAlign w:val="superscript"/>
          </w:rPr>
          <w:t>1421</w:t>
        </w:r>
      </w:hyperlink>
    </w:p>
    <w:p w14:paraId="12396DDC" w14:textId="77777777" w:rsidR="00BD462C" w:rsidRDefault="00BD462C">
      <w:pPr>
        <w:pStyle w:val="BodyText"/>
        <w:spacing w:before="6"/>
        <w:rPr>
          <w:sz w:val="8"/>
        </w:rPr>
      </w:pPr>
    </w:p>
    <w:p w14:paraId="40383C61" w14:textId="5A4551FB" w:rsidR="00BD462C" w:rsidRDefault="00D443C8">
      <w:pPr>
        <w:pStyle w:val="BodyText"/>
        <w:spacing w:before="56" w:line="355" w:lineRule="auto"/>
        <w:ind w:left="135" w:right="916"/>
        <w:jc w:val="both"/>
      </w:pPr>
      <w:r>
        <w:rPr>
          <w:noProof/>
        </w:rPr>
        <w:t>980.</w:t>
      </w:r>
      <w:r w:rsidR="00033D0F">
        <w:rPr>
          <w:rFonts w:ascii="Times New Roman"/>
          <w:spacing w:val="80"/>
          <w:w w:val="150"/>
          <w:position w:val="1"/>
          <w:sz w:val="20"/>
        </w:rPr>
        <w:t xml:space="preserve"> </w:t>
      </w:r>
      <w:r w:rsidR="00033D0F">
        <w:rPr>
          <w:position w:val="1"/>
        </w:rPr>
        <w:t xml:space="preserve">Second, in an apparent attempt to justify MOFCOM's failure in this regard, China </w:t>
      </w:r>
      <w:r w:rsidR="00033D0F">
        <w:t>asserts</w:t>
      </w:r>
      <w:r w:rsidR="007E218F">
        <w:rPr>
          <w:spacing w:val="40"/>
        </w:rPr>
        <w:t xml:space="preserve"> </w:t>
      </w:r>
      <w:proofErr w:type="gramStart"/>
      <w:r w:rsidR="00033D0F">
        <w:t>that</w:t>
      </w:r>
      <w:r w:rsidR="00033D0F">
        <w:rPr>
          <w:spacing w:val="50"/>
        </w:rPr>
        <w:t xml:space="preserve">  </w:t>
      </w:r>
      <w:r w:rsidR="00033D0F">
        <w:t>"</w:t>
      </w:r>
      <w:proofErr w:type="gramEnd"/>
      <w:r w:rsidR="00033D0F">
        <w:t>essential</w:t>
      </w:r>
      <w:r w:rsidR="00033D0F">
        <w:rPr>
          <w:spacing w:val="51"/>
        </w:rPr>
        <w:t xml:space="preserve">  </w:t>
      </w:r>
      <w:r w:rsidR="00033D0F">
        <w:t>facts"</w:t>
      </w:r>
      <w:r w:rsidR="00033D0F">
        <w:rPr>
          <w:spacing w:val="49"/>
        </w:rPr>
        <w:t xml:space="preserve">  </w:t>
      </w:r>
      <w:r w:rsidR="00033D0F">
        <w:t>are</w:t>
      </w:r>
      <w:r w:rsidR="00033D0F">
        <w:rPr>
          <w:spacing w:val="50"/>
        </w:rPr>
        <w:t xml:space="preserve">  </w:t>
      </w:r>
      <w:r w:rsidR="00033D0F">
        <w:t>not</w:t>
      </w:r>
      <w:r w:rsidR="00033D0F">
        <w:rPr>
          <w:spacing w:val="50"/>
        </w:rPr>
        <w:t xml:space="preserve">  </w:t>
      </w:r>
      <w:r w:rsidR="00033D0F">
        <w:t>required</w:t>
      </w:r>
      <w:r w:rsidR="00033D0F">
        <w:rPr>
          <w:spacing w:val="49"/>
        </w:rPr>
        <w:t xml:space="preserve">  </w:t>
      </w:r>
      <w:r w:rsidR="00033D0F">
        <w:t>to</w:t>
      </w:r>
      <w:r w:rsidR="00033D0F">
        <w:rPr>
          <w:spacing w:val="49"/>
        </w:rPr>
        <w:t xml:space="preserve">  </w:t>
      </w:r>
      <w:r w:rsidR="00033D0F">
        <w:t>be</w:t>
      </w:r>
      <w:r w:rsidR="00033D0F">
        <w:rPr>
          <w:spacing w:val="50"/>
        </w:rPr>
        <w:t xml:space="preserve">  </w:t>
      </w:r>
      <w:r w:rsidR="00033D0F">
        <w:t>disclosed</w:t>
      </w:r>
      <w:r w:rsidR="00033D0F">
        <w:rPr>
          <w:spacing w:val="49"/>
        </w:rPr>
        <w:t xml:space="preserve">  </w:t>
      </w:r>
      <w:r w:rsidR="00033D0F">
        <w:t>under</w:t>
      </w:r>
      <w:r w:rsidR="00033D0F">
        <w:rPr>
          <w:spacing w:val="49"/>
        </w:rPr>
        <w:t xml:space="preserve">  </w:t>
      </w:r>
      <w:r w:rsidR="00033D0F">
        <w:t>Articles</w:t>
      </w:r>
    </w:p>
    <w:p w14:paraId="48713C90" w14:textId="77777777" w:rsidR="00BD462C" w:rsidRDefault="00033D0F">
      <w:pPr>
        <w:pStyle w:val="BodyText"/>
        <w:spacing w:before="7" w:line="360" w:lineRule="auto"/>
        <w:ind w:left="135" w:right="918"/>
        <w:jc w:val="both"/>
      </w:pPr>
      <w:r>
        <w:t>12.2and</w:t>
      </w:r>
      <w:r>
        <w:rPr>
          <w:spacing w:val="-1"/>
        </w:rPr>
        <w:t xml:space="preserve"> </w:t>
      </w:r>
      <w:r>
        <w:t>12.2.2.</w:t>
      </w:r>
      <w:hyperlink w:anchor="_bookmark1641" w:history="1">
        <w:r>
          <w:rPr>
            <w:vertAlign w:val="superscript"/>
          </w:rPr>
          <w:t>1422</w:t>
        </w:r>
      </w:hyperlink>
      <w:r>
        <w:t xml:space="preserve"> However, China's assertion</w:t>
      </w:r>
      <w:r>
        <w:rPr>
          <w:spacing w:val="-1"/>
        </w:rPr>
        <w:t xml:space="preserve"> </w:t>
      </w:r>
      <w:r>
        <w:t xml:space="preserve">is not supported by the report of the panel in </w:t>
      </w:r>
      <w:r>
        <w:rPr>
          <w:i/>
        </w:rPr>
        <w:t xml:space="preserve">China – X-Ray Equipment </w:t>
      </w:r>
      <w:r>
        <w:t>on which it relies. In particular, the panel report in that dispute provided as follows:</w:t>
      </w:r>
    </w:p>
    <w:p w14:paraId="3B2D4CA9" w14:textId="77777777" w:rsidR="00BD462C" w:rsidRDefault="00033D0F">
      <w:pPr>
        <w:spacing w:before="160" w:line="276" w:lineRule="auto"/>
        <w:ind w:left="985" w:right="913"/>
        <w:jc w:val="both"/>
      </w:pPr>
      <w:r>
        <w:t>In</w:t>
      </w:r>
      <w:r>
        <w:rPr>
          <w:spacing w:val="-13"/>
        </w:rPr>
        <w:t xml:space="preserve"> </w:t>
      </w:r>
      <w:r>
        <w:t>our</w:t>
      </w:r>
      <w:r>
        <w:rPr>
          <w:spacing w:val="-12"/>
        </w:rPr>
        <w:t xml:space="preserve"> </w:t>
      </w:r>
      <w:r>
        <w:t>view,</w:t>
      </w:r>
      <w:r>
        <w:rPr>
          <w:spacing w:val="-9"/>
        </w:rPr>
        <w:t xml:space="preserve"> </w:t>
      </w:r>
      <w:r>
        <w:t>[…]</w:t>
      </w:r>
      <w:r>
        <w:rPr>
          <w:spacing w:val="-12"/>
        </w:rPr>
        <w:t xml:space="preserve"> </w:t>
      </w:r>
      <w:r>
        <w:t>Article</w:t>
      </w:r>
      <w:r>
        <w:rPr>
          <w:spacing w:val="-11"/>
        </w:rPr>
        <w:t xml:space="preserve"> </w:t>
      </w:r>
      <w:r>
        <w:t>12.2.2</w:t>
      </w:r>
      <w:r>
        <w:rPr>
          <w:spacing w:val="-13"/>
        </w:rPr>
        <w:t xml:space="preserve"> </w:t>
      </w:r>
      <w:r>
        <w:t>does</w:t>
      </w:r>
      <w:r>
        <w:rPr>
          <w:spacing w:val="-11"/>
        </w:rPr>
        <w:t xml:space="preserve"> </w:t>
      </w:r>
      <w:r>
        <w:t>not</w:t>
      </w:r>
      <w:r>
        <w:rPr>
          <w:spacing w:val="-9"/>
        </w:rPr>
        <w:t xml:space="preserve"> </w:t>
      </w:r>
      <w:r>
        <w:t>require</w:t>
      </w:r>
      <w:r>
        <w:rPr>
          <w:spacing w:val="-11"/>
        </w:rPr>
        <w:t xml:space="preserve"> </w:t>
      </w:r>
      <w:r>
        <w:t>that</w:t>
      </w:r>
      <w:r>
        <w:rPr>
          <w:spacing w:val="-9"/>
        </w:rPr>
        <w:t xml:space="preserve"> </w:t>
      </w:r>
      <w:r>
        <w:rPr>
          <w:u w:val="single"/>
        </w:rPr>
        <w:t>all</w:t>
      </w:r>
      <w:r>
        <w:rPr>
          <w:spacing w:val="-10"/>
        </w:rPr>
        <w:t xml:space="preserve"> </w:t>
      </w:r>
      <w:r>
        <w:t>"essential</w:t>
      </w:r>
      <w:r>
        <w:rPr>
          <w:spacing w:val="-10"/>
        </w:rPr>
        <w:t xml:space="preserve"> </w:t>
      </w:r>
      <w:r>
        <w:t>facts"</w:t>
      </w:r>
      <w:r>
        <w:rPr>
          <w:spacing w:val="-13"/>
        </w:rPr>
        <w:t xml:space="preserve"> </w:t>
      </w:r>
      <w:r>
        <w:t>underlying</w:t>
      </w:r>
      <w:r>
        <w:rPr>
          <w:spacing w:val="-9"/>
        </w:rPr>
        <w:t xml:space="preserve"> </w:t>
      </w:r>
      <w:r>
        <w:t>the</w:t>
      </w:r>
      <w:r>
        <w:rPr>
          <w:spacing w:val="-11"/>
        </w:rPr>
        <w:t xml:space="preserve"> </w:t>
      </w:r>
      <w:r>
        <w:t xml:space="preserve">margin of dumping should be included in the public notice. The scope of Article 12.2.2 is more </w:t>
      </w:r>
      <w:proofErr w:type="gramStart"/>
      <w:r>
        <w:t>nuanced,</w:t>
      </w:r>
      <w:r>
        <w:rPr>
          <w:spacing w:val="-1"/>
        </w:rPr>
        <w:t xml:space="preserve"> </w:t>
      </w:r>
      <w:r>
        <w:t>and</w:t>
      </w:r>
      <w:proofErr w:type="gramEnd"/>
      <w:r>
        <w:rPr>
          <w:spacing w:val="-4"/>
        </w:rPr>
        <w:t xml:space="preserve"> </w:t>
      </w:r>
      <w:r>
        <w:t>would</w:t>
      </w:r>
      <w:r>
        <w:rPr>
          <w:spacing w:val="-4"/>
        </w:rPr>
        <w:t xml:space="preserve"> </w:t>
      </w:r>
      <w:r>
        <w:t>not</w:t>
      </w:r>
      <w:r>
        <w:rPr>
          <w:spacing w:val="-5"/>
        </w:rPr>
        <w:t xml:space="preserve"> </w:t>
      </w:r>
      <w:r>
        <w:t>require</w:t>
      </w:r>
      <w:r>
        <w:rPr>
          <w:spacing w:val="-3"/>
        </w:rPr>
        <w:t xml:space="preserve"> </w:t>
      </w:r>
      <w:r>
        <w:t>the</w:t>
      </w:r>
      <w:r>
        <w:rPr>
          <w:spacing w:val="-3"/>
        </w:rPr>
        <w:t xml:space="preserve"> </w:t>
      </w:r>
      <w:r>
        <w:t>inclusion</w:t>
      </w:r>
      <w:r>
        <w:rPr>
          <w:spacing w:val="-4"/>
        </w:rPr>
        <w:t xml:space="preserve"> </w:t>
      </w:r>
      <w:r>
        <w:t>of</w:t>
      </w:r>
      <w:r>
        <w:rPr>
          <w:spacing w:val="-4"/>
        </w:rPr>
        <w:t xml:space="preserve"> </w:t>
      </w:r>
      <w:r>
        <w:rPr>
          <w:u w:val="single"/>
        </w:rPr>
        <w:t>all</w:t>
      </w:r>
      <w:r>
        <w:t xml:space="preserve"> underlying</w:t>
      </w:r>
      <w:r>
        <w:rPr>
          <w:spacing w:val="-2"/>
        </w:rPr>
        <w:t xml:space="preserve"> </w:t>
      </w:r>
      <w:r>
        <w:t>data.</w:t>
      </w:r>
      <w:r>
        <w:rPr>
          <w:spacing w:val="-1"/>
        </w:rPr>
        <w:t xml:space="preserve"> </w:t>
      </w:r>
      <w:r>
        <w:t>Without</w:t>
      </w:r>
      <w:r>
        <w:rPr>
          <w:spacing w:val="-5"/>
        </w:rPr>
        <w:t xml:space="preserve"> </w:t>
      </w:r>
      <w:r>
        <w:t>a</w:t>
      </w:r>
      <w:r>
        <w:rPr>
          <w:spacing w:val="-3"/>
        </w:rPr>
        <w:t xml:space="preserve"> </w:t>
      </w:r>
      <w:r>
        <w:t>more</w:t>
      </w:r>
      <w:r>
        <w:rPr>
          <w:spacing w:val="-3"/>
        </w:rPr>
        <w:t xml:space="preserve"> </w:t>
      </w:r>
      <w:r>
        <w:t>precise description by the European Union of the specific underlying data that, in its view, should have been reflected in the public notice, there is no basis for us to uphold the European Union's claim.</w:t>
      </w:r>
      <w:hyperlink w:anchor="_bookmark1642" w:history="1">
        <w:r>
          <w:rPr>
            <w:vertAlign w:val="superscript"/>
          </w:rPr>
          <w:t>1423</w:t>
        </w:r>
      </w:hyperlink>
    </w:p>
    <w:p w14:paraId="53E2BBE5" w14:textId="77777777" w:rsidR="00BD462C" w:rsidRDefault="00BD462C">
      <w:pPr>
        <w:pStyle w:val="BodyText"/>
        <w:spacing w:before="5"/>
        <w:rPr>
          <w:sz w:val="15"/>
        </w:rPr>
      </w:pPr>
    </w:p>
    <w:p w14:paraId="3C4F2B7D" w14:textId="452A0247" w:rsidR="00BD462C" w:rsidRDefault="00D443C8">
      <w:pPr>
        <w:pStyle w:val="BodyText"/>
        <w:spacing w:before="56" w:line="360" w:lineRule="auto"/>
        <w:ind w:left="136" w:right="911"/>
        <w:jc w:val="both"/>
      </w:pPr>
      <w:r>
        <w:rPr>
          <w:noProof/>
        </w:rPr>
        <w:t>981.</w:t>
      </w:r>
      <w:r w:rsidR="00033D0F">
        <w:rPr>
          <w:rFonts w:ascii="Times New Roman" w:hAnsi="Times New Roman"/>
          <w:spacing w:val="80"/>
          <w:position w:val="1"/>
          <w:sz w:val="20"/>
        </w:rPr>
        <w:t xml:space="preserve">  </w:t>
      </w:r>
      <w:r w:rsidR="00033D0F">
        <w:rPr>
          <w:position w:val="1"/>
        </w:rPr>
        <w:t xml:space="preserve">Thus, the panel in </w:t>
      </w:r>
      <w:r w:rsidR="00033D0F">
        <w:rPr>
          <w:i/>
          <w:position w:val="1"/>
        </w:rPr>
        <w:t xml:space="preserve">China – X-Ray Equipment </w:t>
      </w:r>
      <w:r w:rsidR="00033D0F">
        <w:rPr>
          <w:position w:val="1"/>
        </w:rPr>
        <w:t xml:space="preserve">was not suggesting that "essential facts" </w:t>
      </w:r>
      <w:r w:rsidR="00033D0F">
        <w:rPr>
          <w:i/>
        </w:rPr>
        <w:t>per se</w:t>
      </w:r>
      <w:r w:rsidR="00033D0F">
        <w:t xml:space="preserve">, fall outside the scope of Article 12.2.2, as a general rule, but rather that the scope of Article 12.2.2 does not necessarily cover </w:t>
      </w:r>
      <w:r w:rsidR="00033D0F">
        <w:rPr>
          <w:i/>
        </w:rPr>
        <w:t xml:space="preserve">all </w:t>
      </w:r>
      <w:r w:rsidR="00033D0F">
        <w:t>of the "essential facts" that are covered under Article 6.9. Australia agrees. In Australia's view, although Article 12.2.2 does not require the notice</w:t>
      </w:r>
      <w:r w:rsidR="00033D0F">
        <w:rPr>
          <w:spacing w:val="-8"/>
        </w:rPr>
        <w:t xml:space="preserve"> </w:t>
      </w:r>
      <w:r w:rsidR="00033D0F">
        <w:t>of</w:t>
      </w:r>
      <w:r w:rsidR="00033D0F">
        <w:rPr>
          <w:spacing w:val="-10"/>
        </w:rPr>
        <w:t xml:space="preserve"> </w:t>
      </w:r>
      <w:r w:rsidR="00033D0F">
        <w:t>Final</w:t>
      </w:r>
      <w:r w:rsidR="00033D0F">
        <w:rPr>
          <w:spacing w:val="-6"/>
        </w:rPr>
        <w:t xml:space="preserve"> </w:t>
      </w:r>
      <w:r w:rsidR="00033D0F">
        <w:t>Determination</w:t>
      </w:r>
      <w:r w:rsidR="00033D0F">
        <w:rPr>
          <w:spacing w:val="-10"/>
        </w:rPr>
        <w:t xml:space="preserve"> </w:t>
      </w:r>
      <w:r w:rsidR="00033D0F">
        <w:t>to</w:t>
      </w:r>
      <w:r w:rsidR="00033D0F">
        <w:rPr>
          <w:spacing w:val="-11"/>
        </w:rPr>
        <w:t xml:space="preserve"> </w:t>
      </w:r>
      <w:r w:rsidR="00033D0F">
        <w:t>provide</w:t>
      </w:r>
      <w:r w:rsidR="00033D0F">
        <w:rPr>
          <w:spacing w:val="-8"/>
        </w:rPr>
        <w:t xml:space="preserve"> </w:t>
      </w:r>
      <w:r w:rsidR="00033D0F">
        <w:rPr>
          <w:i/>
        </w:rPr>
        <w:t>all</w:t>
      </w:r>
      <w:r w:rsidR="00033D0F">
        <w:rPr>
          <w:i/>
          <w:spacing w:val="-6"/>
        </w:rPr>
        <w:t xml:space="preserve"> </w:t>
      </w:r>
      <w:r w:rsidR="00033D0F">
        <w:t>the</w:t>
      </w:r>
      <w:r w:rsidR="00033D0F">
        <w:rPr>
          <w:spacing w:val="-8"/>
        </w:rPr>
        <w:t xml:space="preserve"> </w:t>
      </w:r>
      <w:r w:rsidR="00033D0F">
        <w:t>underlying</w:t>
      </w:r>
      <w:r w:rsidR="00033D0F">
        <w:rPr>
          <w:spacing w:val="-7"/>
        </w:rPr>
        <w:t xml:space="preserve"> </w:t>
      </w:r>
      <w:r w:rsidR="00033D0F">
        <w:t>facts,</w:t>
      </w:r>
      <w:r w:rsidR="00033D0F">
        <w:rPr>
          <w:spacing w:val="-6"/>
        </w:rPr>
        <w:t xml:space="preserve"> </w:t>
      </w:r>
      <w:r w:rsidR="00033D0F">
        <w:t>it</w:t>
      </w:r>
      <w:r w:rsidR="00033D0F">
        <w:rPr>
          <w:spacing w:val="-8"/>
        </w:rPr>
        <w:t xml:space="preserve"> </w:t>
      </w:r>
      <w:r w:rsidR="00033D0F">
        <w:t>does,</w:t>
      </w:r>
      <w:r w:rsidR="00033D0F">
        <w:rPr>
          <w:spacing w:val="-6"/>
        </w:rPr>
        <w:t xml:space="preserve"> </w:t>
      </w:r>
      <w:r w:rsidR="00033D0F">
        <w:t>however,</w:t>
      </w:r>
      <w:r w:rsidR="00033D0F">
        <w:rPr>
          <w:spacing w:val="-6"/>
        </w:rPr>
        <w:t xml:space="preserve"> </w:t>
      </w:r>
      <w:r w:rsidR="00033D0F">
        <w:t>require</w:t>
      </w:r>
      <w:r w:rsidR="00033D0F">
        <w:rPr>
          <w:spacing w:val="-8"/>
        </w:rPr>
        <w:t xml:space="preserve"> </w:t>
      </w:r>
      <w:r w:rsidR="00033D0F">
        <w:t>"all relevant information on the matters of fact and law and reasons which have led to the imposition of final measures" to be provided.</w:t>
      </w:r>
      <w:hyperlink w:anchor="_bookmark1643" w:history="1">
        <w:r w:rsidR="00033D0F">
          <w:rPr>
            <w:vertAlign w:val="superscript"/>
          </w:rPr>
          <w:t>1424</w:t>
        </w:r>
      </w:hyperlink>
    </w:p>
    <w:p w14:paraId="44443872" w14:textId="77777777" w:rsidR="00BD462C" w:rsidRDefault="00BD462C">
      <w:pPr>
        <w:pStyle w:val="BodyText"/>
        <w:rPr>
          <w:sz w:val="20"/>
        </w:rPr>
      </w:pPr>
    </w:p>
    <w:p w14:paraId="083645AF" w14:textId="77777777" w:rsidR="00BD462C" w:rsidRDefault="00BD462C">
      <w:pPr>
        <w:pStyle w:val="BodyText"/>
        <w:rPr>
          <w:sz w:val="20"/>
        </w:rPr>
      </w:pPr>
    </w:p>
    <w:p w14:paraId="251BFD01" w14:textId="77777777" w:rsidR="00BD462C" w:rsidRDefault="00BD462C">
      <w:pPr>
        <w:pStyle w:val="BodyText"/>
        <w:rPr>
          <w:sz w:val="20"/>
        </w:rPr>
      </w:pPr>
    </w:p>
    <w:p w14:paraId="3DC5CC35" w14:textId="77777777" w:rsidR="00BD462C" w:rsidRDefault="00BD462C">
      <w:pPr>
        <w:pStyle w:val="BodyText"/>
        <w:rPr>
          <w:sz w:val="20"/>
        </w:rPr>
      </w:pPr>
    </w:p>
    <w:p w14:paraId="6837D39C" w14:textId="5BFAA303" w:rsidR="00BD462C" w:rsidRDefault="00D600FD">
      <w:pPr>
        <w:pStyle w:val="BodyText"/>
        <w:spacing w:before="4"/>
        <w:rPr>
          <w:sz w:val="10"/>
        </w:rPr>
      </w:pPr>
      <w:r>
        <w:rPr>
          <w:noProof/>
        </w:rPr>
        <mc:AlternateContent>
          <mc:Choice Requires="wps">
            <w:drawing>
              <wp:anchor distT="0" distB="0" distL="0" distR="0" simplePos="0" relativeHeight="488161792" behindDoc="1" locked="0" layoutInCell="1" allowOverlap="1" wp14:anchorId="394C9995" wp14:editId="4AACCDC2">
                <wp:simplePos x="0" y="0"/>
                <wp:positionH relativeFrom="page">
                  <wp:posOffset>812800</wp:posOffset>
                </wp:positionH>
                <wp:positionV relativeFrom="paragraph">
                  <wp:posOffset>80645</wp:posOffset>
                </wp:positionV>
                <wp:extent cx="1828800" cy="8890"/>
                <wp:effectExtent l="0" t="0" r="0" b="0"/>
                <wp:wrapTopAndBottom/>
                <wp:docPr id="137" name="docshape7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24779C" id="docshape705" o:spid="_x0000_s1026" alt="&quot;&quot;" style="position:absolute;margin-left:64pt;margin-top:6.35pt;width:2in;height:.7pt;z-index:-1515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" fillcolor="black" stroked="f">
                <w10:wrap type="topAndBottom" anchorx="page"/>
              </v:rect>
            </w:pict>
          </mc:Fallback>
        </mc:AlternateContent>
      </w:r>
    </w:p>
    <w:p w14:paraId="40BDF704" w14:textId="77777777" w:rsidR="00BD462C" w:rsidRDefault="00033D0F">
      <w:pPr>
        <w:spacing w:before="107"/>
        <w:ind w:left="135"/>
        <w:rPr>
          <w:sz w:val="18"/>
        </w:rPr>
      </w:pPr>
      <w:bookmarkStart w:id="1901" w:name="_bookmark1639"/>
      <w:bookmarkEnd w:id="1901"/>
      <w:r>
        <w:rPr>
          <w:position w:val="5"/>
          <w:sz w:val="12"/>
        </w:rPr>
        <w:t>1420</w:t>
      </w:r>
      <w:r>
        <w:rPr>
          <w:spacing w:val="12"/>
          <w:position w:val="5"/>
          <w:sz w:val="12"/>
        </w:rPr>
        <w:t xml:space="preserve"> </w:t>
      </w:r>
      <w:r>
        <w:rPr>
          <w:sz w:val="18"/>
        </w:rPr>
        <w:t>Australia's</w:t>
      </w:r>
      <w:r>
        <w:rPr>
          <w:spacing w:val="-7"/>
          <w:sz w:val="18"/>
        </w:rPr>
        <w:t xml:space="preserve"> </w:t>
      </w:r>
      <w:r>
        <w:rPr>
          <w:sz w:val="18"/>
        </w:rPr>
        <w:t>first</w:t>
      </w:r>
      <w:r>
        <w:rPr>
          <w:spacing w:val="-5"/>
          <w:sz w:val="18"/>
        </w:rPr>
        <w:t xml:space="preserve"> </w:t>
      </w:r>
      <w:r>
        <w:rPr>
          <w:sz w:val="18"/>
        </w:rPr>
        <w:t>written</w:t>
      </w:r>
      <w:r>
        <w:rPr>
          <w:spacing w:val="-3"/>
          <w:sz w:val="18"/>
        </w:rPr>
        <w:t xml:space="preserve"> </w:t>
      </w:r>
      <w:r>
        <w:rPr>
          <w:sz w:val="18"/>
        </w:rPr>
        <w:t>submission, paras.</w:t>
      </w:r>
      <w:r>
        <w:rPr>
          <w:spacing w:val="-5"/>
          <w:sz w:val="18"/>
        </w:rPr>
        <w:t xml:space="preserve"> </w:t>
      </w:r>
      <w:r>
        <w:rPr>
          <w:sz w:val="18"/>
        </w:rPr>
        <w:t>1086-</w:t>
      </w:r>
      <w:r>
        <w:rPr>
          <w:spacing w:val="-2"/>
          <w:sz w:val="18"/>
        </w:rPr>
        <w:t>1091.</w:t>
      </w:r>
    </w:p>
    <w:p w14:paraId="52BA2B25" w14:textId="77777777" w:rsidR="00BD462C" w:rsidRDefault="00033D0F">
      <w:pPr>
        <w:spacing w:before="1"/>
        <w:ind w:left="135"/>
        <w:rPr>
          <w:sz w:val="18"/>
        </w:rPr>
      </w:pPr>
      <w:bookmarkStart w:id="1902" w:name="_bookmark1640"/>
      <w:bookmarkEnd w:id="1902"/>
      <w:r>
        <w:rPr>
          <w:position w:val="5"/>
          <w:sz w:val="12"/>
        </w:rPr>
        <w:t>1421</w:t>
      </w:r>
      <w:r>
        <w:rPr>
          <w:spacing w:val="16"/>
          <w:position w:val="5"/>
          <w:sz w:val="12"/>
        </w:rPr>
        <w:t xml:space="preserve"> </w:t>
      </w:r>
      <w:r>
        <w:rPr>
          <w:sz w:val="18"/>
        </w:rPr>
        <w:t>See</w:t>
      </w:r>
      <w:r>
        <w:rPr>
          <w:spacing w:val="-2"/>
          <w:sz w:val="18"/>
        </w:rPr>
        <w:t xml:space="preserve"> </w:t>
      </w:r>
      <w:r>
        <w:rPr>
          <w:sz w:val="18"/>
        </w:rPr>
        <w:t>section</w:t>
      </w:r>
      <w:r>
        <w:rPr>
          <w:spacing w:val="-4"/>
          <w:sz w:val="18"/>
        </w:rPr>
        <w:t xml:space="preserve"> </w:t>
      </w:r>
      <w:hyperlink w:anchor="_bookmark1194" w:history="1">
        <w:r>
          <w:rPr>
            <w:spacing w:val="-2"/>
            <w:sz w:val="18"/>
          </w:rPr>
          <w:t>VII.B.</w:t>
        </w:r>
      </w:hyperlink>
    </w:p>
    <w:p w14:paraId="4B160A59" w14:textId="77777777" w:rsidR="00BD462C" w:rsidRDefault="00033D0F">
      <w:pPr>
        <w:spacing w:before="1"/>
        <w:ind w:left="135"/>
        <w:rPr>
          <w:sz w:val="18"/>
        </w:rPr>
      </w:pPr>
      <w:bookmarkStart w:id="1903" w:name="_bookmark1641"/>
      <w:bookmarkEnd w:id="1903"/>
      <w:r>
        <w:rPr>
          <w:position w:val="5"/>
          <w:sz w:val="12"/>
        </w:rPr>
        <w:t>1422</w:t>
      </w:r>
      <w:r>
        <w:rPr>
          <w:spacing w:val="13"/>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 xml:space="preserve">para. </w:t>
      </w:r>
      <w:r>
        <w:rPr>
          <w:spacing w:val="-2"/>
          <w:sz w:val="18"/>
        </w:rPr>
        <w:t>2609.</w:t>
      </w:r>
    </w:p>
    <w:p w14:paraId="2797E55B" w14:textId="77777777" w:rsidR="00BD462C" w:rsidRDefault="00033D0F">
      <w:pPr>
        <w:spacing w:before="1"/>
        <w:ind w:left="135"/>
        <w:rPr>
          <w:sz w:val="18"/>
        </w:rPr>
      </w:pPr>
      <w:bookmarkStart w:id="1904" w:name="_bookmark1642"/>
      <w:bookmarkEnd w:id="1904"/>
      <w:r>
        <w:rPr>
          <w:position w:val="5"/>
          <w:sz w:val="12"/>
        </w:rPr>
        <w:t>1423</w:t>
      </w:r>
      <w:r>
        <w:rPr>
          <w:spacing w:val="13"/>
          <w:position w:val="5"/>
          <w:sz w:val="12"/>
        </w:rPr>
        <w:t xml:space="preserve"> </w:t>
      </w:r>
      <w:r>
        <w:rPr>
          <w:sz w:val="18"/>
        </w:rPr>
        <w:t>Panel</w:t>
      </w:r>
      <w:r>
        <w:rPr>
          <w:spacing w:val="-4"/>
          <w:sz w:val="18"/>
        </w:rPr>
        <w:t xml:space="preserve"> </w:t>
      </w:r>
      <w:r>
        <w:rPr>
          <w:sz w:val="18"/>
        </w:rPr>
        <w:t>Report,</w:t>
      </w:r>
      <w:r>
        <w:rPr>
          <w:spacing w:val="-2"/>
          <w:sz w:val="18"/>
        </w:rPr>
        <w:t xml:space="preserve"> </w:t>
      </w:r>
      <w:r>
        <w:rPr>
          <w:i/>
          <w:sz w:val="18"/>
        </w:rPr>
        <w:t>China</w:t>
      </w:r>
      <w:r>
        <w:rPr>
          <w:i/>
          <w:spacing w:val="-4"/>
          <w:sz w:val="18"/>
        </w:rPr>
        <w:t xml:space="preserve"> </w:t>
      </w:r>
      <w:r>
        <w:rPr>
          <w:i/>
          <w:sz w:val="18"/>
        </w:rPr>
        <w:t>–</w:t>
      </w:r>
      <w:r>
        <w:rPr>
          <w:i/>
          <w:spacing w:val="-5"/>
          <w:sz w:val="18"/>
        </w:rPr>
        <w:t xml:space="preserve"> </w:t>
      </w:r>
      <w:r>
        <w:rPr>
          <w:i/>
          <w:sz w:val="18"/>
        </w:rPr>
        <w:t>X-Ray</w:t>
      </w:r>
      <w:r>
        <w:rPr>
          <w:i/>
          <w:spacing w:val="-6"/>
          <w:sz w:val="18"/>
        </w:rPr>
        <w:t xml:space="preserve"> </w:t>
      </w:r>
      <w:r>
        <w:rPr>
          <w:i/>
          <w:sz w:val="18"/>
        </w:rPr>
        <w:t>Equipment</w:t>
      </w:r>
      <w:r>
        <w:rPr>
          <w:sz w:val="18"/>
        </w:rPr>
        <w:t>,</w:t>
      </w:r>
      <w:r>
        <w:rPr>
          <w:spacing w:val="-3"/>
          <w:sz w:val="18"/>
        </w:rPr>
        <w:t xml:space="preserve"> </w:t>
      </w:r>
      <w:r>
        <w:rPr>
          <w:sz w:val="18"/>
        </w:rPr>
        <w:t>para.</w:t>
      </w:r>
      <w:r>
        <w:rPr>
          <w:spacing w:val="-4"/>
          <w:sz w:val="18"/>
        </w:rPr>
        <w:t xml:space="preserve"> </w:t>
      </w:r>
      <w:r>
        <w:rPr>
          <w:sz w:val="18"/>
        </w:rPr>
        <w:t>7.465.</w:t>
      </w:r>
      <w:r>
        <w:rPr>
          <w:spacing w:val="-3"/>
          <w:sz w:val="18"/>
        </w:rPr>
        <w:t xml:space="preserve"> </w:t>
      </w:r>
      <w:r>
        <w:rPr>
          <w:sz w:val="18"/>
        </w:rPr>
        <w:t>(</w:t>
      </w:r>
      <w:proofErr w:type="gramStart"/>
      <w:r>
        <w:rPr>
          <w:sz w:val="18"/>
        </w:rPr>
        <w:t>underline</w:t>
      </w:r>
      <w:proofErr w:type="gramEnd"/>
      <w:r>
        <w:rPr>
          <w:spacing w:val="-2"/>
          <w:sz w:val="18"/>
        </w:rPr>
        <w:t xml:space="preserve"> </w:t>
      </w:r>
      <w:r>
        <w:rPr>
          <w:sz w:val="18"/>
        </w:rPr>
        <w:t xml:space="preserve">emphasis </w:t>
      </w:r>
      <w:r>
        <w:rPr>
          <w:spacing w:val="-2"/>
          <w:sz w:val="18"/>
        </w:rPr>
        <w:t>added)</w:t>
      </w:r>
    </w:p>
    <w:p w14:paraId="0946928D" w14:textId="77777777" w:rsidR="00BD462C" w:rsidRDefault="00033D0F">
      <w:pPr>
        <w:spacing w:before="1"/>
        <w:ind w:left="135"/>
        <w:rPr>
          <w:sz w:val="18"/>
        </w:rPr>
      </w:pPr>
      <w:bookmarkStart w:id="1905" w:name="_bookmark1643"/>
      <w:bookmarkEnd w:id="1905"/>
      <w:r>
        <w:rPr>
          <w:position w:val="5"/>
          <w:sz w:val="12"/>
        </w:rPr>
        <w:t>1424</w:t>
      </w:r>
      <w:r>
        <w:rPr>
          <w:spacing w:val="13"/>
          <w:position w:val="5"/>
          <w:sz w:val="12"/>
        </w:rPr>
        <w:t xml:space="preserve"> </w:t>
      </w:r>
      <w:r>
        <w:rPr>
          <w:sz w:val="18"/>
        </w:rPr>
        <w:t>Panel</w:t>
      </w:r>
      <w:r>
        <w:rPr>
          <w:spacing w:val="-4"/>
          <w:sz w:val="18"/>
        </w:rPr>
        <w:t xml:space="preserve"> </w:t>
      </w:r>
      <w:r>
        <w:rPr>
          <w:sz w:val="18"/>
        </w:rPr>
        <w:t>Report,</w:t>
      </w:r>
      <w:r>
        <w:rPr>
          <w:spacing w:val="-4"/>
          <w:sz w:val="18"/>
        </w:rPr>
        <w:t xml:space="preserve"> </w:t>
      </w:r>
      <w:r>
        <w:rPr>
          <w:i/>
          <w:sz w:val="18"/>
        </w:rPr>
        <w:t>China</w:t>
      </w:r>
      <w:r>
        <w:rPr>
          <w:i/>
          <w:spacing w:val="-4"/>
          <w:sz w:val="18"/>
        </w:rPr>
        <w:t xml:space="preserve"> </w:t>
      </w:r>
      <w:r>
        <w:rPr>
          <w:i/>
          <w:sz w:val="18"/>
        </w:rPr>
        <w:t>–</w:t>
      </w:r>
      <w:r>
        <w:rPr>
          <w:i/>
          <w:spacing w:val="-5"/>
          <w:sz w:val="18"/>
        </w:rPr>
        <w:t xml:space="preserve"> </w:t>
      </w:r>
      <w:r>
        <w:rPr>
          <w:i/>
          <w:sz w:val="18"/>
        </w:rPr>
        <w:t>X-Ray</w:t>
      </w:r>
      <w:r>
        <w:rPr>
          <w:i/>
          <w:spacing w:val="-6"/>
          <w:sz w:val="18"/>
        </w:rPr>
        <w:t xml:space="preserve"> </w:t>
      </w:r>
      <w:r>
        <w:rPr>
          <w:i/>
          <w:sz w:val="18"/>
        </w:rPr>
        <w:t>Equipment</w:t>
      </w:r>
      <w:r>
        <w:rPr>
          <w:sz w:val="18"/>
        </w:rPr>
        <w:t>,</w:t>
      </w:r>
      <w:r>
        <w:rPr>
          <w:spacing w:val="-4"/>
          <w:sz w:val="18"/>
        </w:rPr>
        <w:t xml:space="preserve"> </w:t>
      </w:r>
      <w:r>
        <w:rPr>
          <w:sz w:val="18"/>
        </w:rPr>
        <w:t>paras.</w:t>
      </w:r>
      <w:r>
        <w:rPr>
          <w:spacing w:val="1"/>
          <w:sz w:val="18"/>
        </w:rPr>
        <w:t xml:space="preserve"> </w:t>
      </w:r>
      <w:r>
        <w:rPr>
          <w:sz w:val="18"/>
        </w:rPr>
        <w:t>7.466-</w:t>
      </w:r>
      <w:r>
        <w:rPr>
          <w:spacing w:val="-2"/>
          <w:sz w:val="18"/>
        </w:rPr>
        <w:t>7.469.</w:t>
      </w:r>
    </w:p>
    <w:p w14:paraId="7370F16D" w14:textId="77777777" w:rsidR="00BD462C" w:rsidRDefault="00BD462C">
      <w:pPr>
        <w:rPr>
          <w:sz w:val="18"/>
        </w:rPr>
        <w:sectPr w:rsidR="00BD462C">
          <w:pgSz w:w="11910" w:h="16840"/>
          <w:pgMar w:top="860" w:right="500" w:bottom="780" w:left="1280" w:header="566" w:footer="590" w:gutter="0"/>
          <w:cols w:space="720"/>
        </w:sectPr>
      </w:pPr>
    </w:p>
    <w:p w14:paraId="4EEAEA5E"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252DF716"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6F6CBFC9"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3A067616" w14:textId="1D7D46D3" w:rsidR="00BD462C" w:rsidRDefault="00D443C8">
      <w:pPr>
        <w:pStyle w:val="BodyText"/>
        <w:spacing w:before="107" w:line="360" w:lineRule="auto"/>
        <w:ind w:left="136" w:right="914"/>
        <w:jc w:val="both"/>
      </w:pPr>
      <w:r>
        <w:rPr>
          <w:noProof/>
        </w:rPr>
        <w:t>982.</w:t>
      </w:r>
      <w:r w:rsidR="00033D0F">
        <w:rPr>
          <w:rFonts w:ascii="Times New Roman"/>
          <w:spacing w:val="80"/>
          <w:position w:val="1"/>
          <w:sz w:val="20"/>
        </w:rPr>
        <w:t xml:space="preserve"> </w:t>
      </w:r>
      <w:r w:rsidR="00033D0F">
        <w:rPr>
          <w:position w:val="1"/>
        </w:rPr>
        <w:t xml:space="preserve">Third, China goes on to misquote Australia by stating that Australia "admit[s]" that </w:t>
      </w:r>
      <w:r w:rsidR="00033D0F">
        <w:t>MOFCOM provided the methodology it used when calculating the total domestic output of wine</w:t>
      </w:r>
      <w:r w:rsidR="00033D0F">
        <w:rPr>
          <w:spacing w:val="-14"/>
        </w:rPr>
        <w:t xml:space="preserve"> </w:t>
      </w:r>
      <w:r w:rsidR="00033D0F">
        <w:t>in</w:t>
      </w:r>
      <w:r w:rsidR="00033D0F">
        <w:rPr>
          <w:spacing w:val="-14"/>
        </w:rPr>
        <w:t xml:space="preserve"> </w:t>
      </w:r>
      <w:r w:rsidR="00033D0F">
        <w:t>China.</w:t>
      </w:r>
      <w:hyperlink w:anchor="_bookmark1644" w:history="1">
        <w:r w:rsidR="00033D0F">
          <w:rPr>
            <w:vertAlign w:val="superscript"/>
          </w:rPr>
          <w:t>1425</w:t>
        </w:r>
      </w:hyperlink>
      <w:r w:rsidR="00033D0F">
        <w:rPr>
          <w:spacing w:val="-13"/>
        </w:rPr>
        <w:t xml:space="preserve"> </w:t>
      </w:r>
      <w:r w:rsidR="00033D0F">
        <w:t>This</w:t>
      </w:r>
      <w:r w:rsidR="00033D0F">
        <w:rPr>
          <w:spacing w:val="-14"/>
        </w:rPr>
        <w:t xml:space="preserve"> </w:t>
      </w:r>
      <w:r w:rsidR="00033D0F">
        <w:t>is</w:t>
      </w:r>
      <w:r w:rsidR="00033D0F">
        <w:rPr>
          <w:spacing w:val="-13"/>
        </w:rPr>
        <w:t xml:space="preserve"> </w:t>
      </w:r>
      <w:r w:rsidR="00033D0F">
        <w:t>not</w:t>
      </w:r>
      <w:r w:rsidR="00033D0F">
        <w:rPr>
          <w:spacing w:val="-14"/>
        </w:rPr>
        <w:t xml:space="preserve"> </w:t>
      </w:r>
      <w:r w:rsidR="00033D0F">
        <w:t>the</w:t>
      </w:r>
      <w:r w:rsidR="00033D0F">
        <w:rPr>
          <w:spacing w:val="-13"/>
        </w:rPr>
        <w:t xml:space="preserve"> </w:t>
      </w:r>
      <w:r w:rsidR="00033D0F">
        <w:t>case.</w:t>
      </w:r>
      <w:r w:rsidR="00033D0F">
        <w:rPr>
          <w:spacing w:val="-14"/>
        </w:rPr>
        <w:t xml:space="preserve"> </w:t>
      </w:r>
      <w:r w:rsidR="00033D0F">
        <w:t>The</w:t>
      </w:r>
      <w:r w:rsidR="00033D0F">
        <w:rPr>
          <w:spacing w:val="-14"/>
        </w:rPr>
        <w:t xml:space="preserve"> </w:t>
      </w:r>
      <w:r w:rsidR="00033D0F">
        <w:t>part</w:t>
      </w:r>
      <w:r w:rsidR="00033D0F">
        <w:rPr>
          <w:spacing w:val="-13"/>
        </w:rPr>
        <w:t xml:space="preserve"> </w:t>
      </w:r>
      <w:r w:rsidR="00033D0F">
        <w:t>of</w:t>
      </w:r>
      <w:r w:rsidR="00033D0F">
        <w:rPr>
          <w:spacing w:val="-14"/>
        </w:rPr>
        <w:t xml:space="preserve"> </w:t>
      </w:r>
      <w:r w:rsidR="00033D0F">
        <w:t>Australia's</w:t>
      </w:r>
      <w:r w:rsidR="00033D0F">
        <w:rPr>
          <w:spacing w:val="-13"/>
        </w:rPr>
        <w:t xml:space="preserve"> </w:t>
      </w:r>
      <w:r w:rsidR="00033D0F">
        <w:t>first</w:t>
      </w:r>
      <w:r w:rsidR="00033D0F">
        <w:rPr>
          <w:spacing w:val="-14"/>
        </w:rPr>
        <w:t xml:space="preserve"> </w:t>
      </w:r>
      <w:r w:rsidR="00033D0F">
        <w:t>written</w:t>
      </w:r>
      <w:r w:rsidR="00033D0F">
        <w:rPr>
          <w:spacing w:val="-13"/>
        </w:rPr>
        <w:t xml:space="preserve"> </w:t>
      </w:r>
      <w:r w:rsidR="00033D0F">
        <w:t>submission</w:t>
      </w:r>
      <w:r w:rsidR="00033D0F">
        <w:rPr>
          <w:spacing w:val="-14"/>
        </w:rPr>
        <w:t xml:space="preserve"> </w:t>
      </w:r>
      <w:r w:rsidR="00033D0F">
        <w:t>that</w:t>
      </w:r>
      <w:r w:rsidR="00033D0F">
        <w:rPr>
          <w:spacing w:val="-14"/>
        </w:rPr>
        <w:t xml:space="preserve"> </w:t>
      </w:r>
      <w:r w:rsidR="00033D0F">
        <w:t>China cites</w:t>
      </w:r>
      <w:r w:rsidR="00033D0F">
        <w:rPr>
          <w:spacing w:val="-11"/>
        </w:rPr>
        <w:t xml:space="preserve"> </w:t>
      </w:r>
      <w:r w:rsidR="00033D0F">
        <w:t>in</w:t>
      </w:r>
      <w:r w:rsidR="00033D0F">
        <w:rPr>
          <w:spacing w:val="-10"/>
        </w:rPr>
        <w:t xml:space="preserve"> </w:t>
      </w:r>
      <w:r w:rsidR="00033D0F">
        <w:t>support</w:t>
      </w:r>
      <w:r w:rsidR="00033D0F">
        <w:rPr>
          <w:spacing w:val="-8"/>
        </w:rPr>
        <w:t xml:space="preserve"> </w:t>
      </w:r>
      <w:r w:rsidR="00033D0F">
        <w:t>of</w:t>
      </w:r>
      <w:r w:rsidR="00033D0F">
        <w:rPr>
          <w:spacing w:val="-10"/>
        </w:rPr>
        <w:t xml:space="preserve"> </w:t>
      </w:r>
      <w:r w:rsidR="00033D0F">
        <w:t>the</w:t>
      </w:r>
      <w:r w:rsidR="00033D0F">
        <w:rPr>
          <w:spacing w:val="-8"/>
        </w:rPr>
        <w:t xml:space="preserve"> </w:t>
      </w:r>
      <w:r w:rsidR="00033D0F">
        <w:t>alleged</w:t>
      </w:r>
      <w:r w:rsidR="00033D0F">
        <w:rPr>
          <w:spacing w:val="-10"/>
        </w:rPr>
        <w:t xml:space="preserve"> </w:t>
      </w:r>
      <w:r w:rsidR="00033D0F">
        <w:t>admission</w:t>
      </w:r>
      <w:r w:rsidR="00033D0F">
        <w:rPr>
          <w:spacing w:val="-10"/>
        </w:rPr>
        <w:t xml:space="preserve"> </w:t>
      </w:r>
      <w:r w:rsidR="00033D0F">
        <w:t>is</w:t>
      </w:r>
      <w:r w:rsidR="00033D0F">
        <w:rPr>
          <w:spacing w:val="-7"/>
        </w:rPr>
        <w:t xml:space="preserve"> </w:t>
      </w:r>
      <w:r w:rsidR="00033D0F">
        <w:t>simply</w:t>
      </w:r>
      <w:r w:rsidR="00033D0F">
        <w:rPr>
          <w:spacing w:val="-12"/>
        </w:rPr>
        <w:t xml:space="preserve"> </w:t>
      </w:r>
      <w:r w:rsidR="00033D0F">
        <w:t>a</w:t>
      </w:r>
      <w:r w:rsidR="00033D0F">
        <w:rPr>
          <w:spacing w:val="-9"/>
        </w:rPr>
        <w:t xml:space="preserve"> </w:t>
      </w:r>
      <w:r w:rsidR="00033D0F">
        <w:t>reproduction</w:t>
      </w:r>
      <w:r w:rsidR="00033D0F">
        <w:rPr>
          <w:spacing w:val="-10"/>
        </w:rPr>
        <w:t xml:space="preserve"> </w:t>
      </w:r>
      <w:r w:rsidR="00033D0F">
        <w:t>of</w:t>
      </w:r>
      <w:r w:rsidR="00033D0F">
        <w:rPr>
          <w:spacing w:val="-5"/>
        </w:rPr>
        <w:t xml:space="preserve"> </w:t>
      </w:r>
      <w:r w:rsidR="00033D0F">
        <w:t>the</w:t>
      </w:r>
      <w:r w:rsidR="00033D0F">
        <w:rPr>
          <w:spacing w:val="-8"/>
        </w:rPr>
        <w:t xml:space="preserve"> </w:t>
      </w:r>
      <w:r w:rsidR="00033D0F">
        <w:t>insufficient</w:t>
      </w:r>
      <w:r w:rsidR="00033D0F">
        <w:rPr>
          <w:spacing w:val="-8"/>
        </w:rPr>
        <w:t xml:space="preserve"> </w:t>
      </w:r>
      <w:r w:rsidR="00033D0F">
        <w:t>paragraph from</w:t>
      </w:r>
      <w:r w:rsidR="00033D0F">
        <w:rPr>
          <w:spacing w:val="-3"/>
        </w:rPr>
        <w:t xml:space="preserve"> </w:t>
      </w:r>
      <w:r w:rsidR="00033D0F">
        <w:t>MOFCOM's</w:t>
      </w:r>
      <w:r w:rsidR="00033D0F">
        <w:rPr>
          <w:spacing w:val="-6"/>
        </w:rPr>
        <w:t xml:space="preserve"> </w:t>
      </w:r>
      <w:r w:rsidR="00033D0F">
        <w:t>Final</w:t>
      </w:r>
      <w:r w:rsidR="00033D0F">
        <w:rPr>
          <w:spacing w:val="-5"/>
        </w:rPr>
        <w:t xml:space="preserve"> </w:t>
      </w:r>
      <w:r w:rsidR="00033D0F">
        <w:t>Determination,</w:t>
      </w:r>
      <w:r w:rsidR="00033D0F">
        <w:rPr>
          <w:spacing w:val="-5"/>
        </w:rPr>
        <w:t xml:space="preserve"> </w:t>
      </w:r>
      <w:r w:rsidR="00033D0F">
        <w:t>followed</w:t>
      </w:r>
      <w:r w:rsidR="00033D0F">
        <w:rPr>
          <w:spacing w:val="-9"/>
        </w:rPr>
        <w:t xml:space="preserve"> </w:t>
      </w:r>
      <w:r w:rsidR="00033D0F">
        <w:t>by</w:t>
      </w:r>
      <w:r w:rsidR="00033D0F">
        <w:rPr>
          <w:spacing w:val="-6"/>
        </w:rPr>
        <w:t xml:space="preserve"> </w:t>
      </w:r>
      <w:r w:rsidR="00033D0F">
        <w:t>a</w:t>
      </w:r>
      <w:r w:rsidR="00033D0F">
        <w:rPr>
          <w:spacing w:val="-8"/>
        </w:rPr>
        <w:t xml:space="preserve"> </w:t>
      </w:r>
      <w:r w:rsidR="00033D0F">
        <w:t>summation</w:t>
      </w:r>
      <w:r w:rsidR="00033D0F">
        <w:rPr>
          <w:spacing w:val="-4"/>
        </w:rPr>
        <w:t xml:space="preserve"> </w:t>
      </w:r>
      <w:r w:rsidR="00033D0F">
        <w:t>of</w:t>
      </w:r>
      <w:r w:rsidR="00033D0F">
        <w:rPr>
          <w:spacing w:val="-4"/>
        </w:rPr>
        <w:t xml:space="preserve"> </w:t>
      </w:r>
      <w:r w:rsidR="00033D0F">
        <w:t>MOFCOM's</w:t>
      </w:r>
      <w:r w:rsidR="00033D0F">
        <w:rPr>
          <w:spacing w:val="-6"/>
        </w:rPr>
        <w:t xml:space="preserve"> </w:t>
      </w:r>
      <w:r w:rsidR="00033D0F">
        <w:t>findings</w:t>
      </w:r>
      <w:r w:rsidR="00033D0F">
        <w:rPr>
          <w:spacing w:val="-6"/>
        </w:rPr>
        <w:t xml:space="preserve"> </w:t>
      </w:r>
      <w:r w:rsidR="00033D0F">
        <w:t>of</w:t>
      </w:r>
      <w:r w:rsidR="00033D0F">
        <w:rPr>
          <w:spacing w:val="-4"/>
        </w:rPr>
        <w:t xml:space="preserve"> </w:t>
      </w:r>
      <w:r w:rsidR="00033D0F">
        <w:t>the total output of the domestic industry. Far from an admission that MOFCOM provided methodology, Australia</w:t>
      </w:r>
      <w:r w:rsidR="00033D0F">
        <w:rPr>
          <w:spacing w:val="-3"/>
        </w:rPr>
        <w:t xml:space="preserve"> </w:t>
      </w:r>
      <w:r w:rsidR="00033D0F">
        <w:t>is</w:t>
      </w:r>
      <w:r w:rsidR="00033D0F">
        <w:rPr>
          <w:spacing w:val="-1"/>
        </w:rPr>
        <w:t xml:space="preserve"> </w:t>
      </w:r>
      <w:r w:rsidR="00033D0F">
        <w:t>asserting</w:t>
      </w:r>
      <w:r w:rsidR="00033D0F">
        <w:rPr>
          <w:spacing w:val="-1"/>
        </w:rPr>
        <w:t xml:space="preserve"> </w:t>
      </w:r>
      <w:r w:rsidR="00033D0F">
        <w:t>the</w:t>
      </w:r>
      <w:r w:rsidR="00033D0F">
        <w:rPr>
          <w:spacing w:val="-3"/>
        </w:rPr>
        <w:t xml:space="preserve"> </w:t>
      </w:r>
      <w:r w:rsidR="00033D0F">
        <w:t>insufficiency</w:t>
      </w:r>
      <w:r w:rsidR="00033D0F">
        <w:rPr>
          <w:spacing w:val="-1"/>
        </w:rPr>
        <w:t xml:space="preserve"> </w:t>
      </w:r>
      <w:r w:rsidR="00033D0F">
        <w:t>of</w:t>
      </w:r>
      <w:r w:rsidR="00033D0F">
        <w:rPr>
          <w:spacing w:val="-4"/>
        </w:rPr>
        <w:t xml:space="preserve"> </w:t>
      </w:r>
      <w:r w:rsidR="00033D0F">
        <w:t>MOFCOM's</w:t>
      </w:r>
      <w:r w:rsidR="00033D0F">
        <w:rPr>
          <w:spacing w:val="-1"/>
        </w:rPr>
        <w:t xml:space="preserve"> </w:t>
      </w:r>
      <w:r w:rsidR="00033D0F">
        <w:t>disclosures.</w:t>
      </w:r>
      <w:hyperlink w:anchor="_bookmark1645" w:history="1">
        <w:r w:rsidR="00033D0F">
          <w:rPr>
            <w:vertAlign w:val="superscript"/>
          </w:rPr>
          <w:t>1426</w:t>
        </w:r>
      </w:hyperlink>
      <w:r w:rsidR="00033D0F">
        <w:rPr>
          <w:spacing w:val="-2"/>
        </w:rPr>
        <w:t xml:space="preserve"> </w:t>
      </w:r>
      <w:r w:rsidR="00033D0F">
        <w:t>In</w:t>
      </w:r>
      <w:r w:rsidR="00033D0F">
        <w:rPr>
          <w:spacing w:val="-4"/>
        </w:rPr>
        <w:t xml:space="preserve"> </w:t>
      </w:r>
      <w:r w:rsidR="00033D0F">
        <w:t>short, it merely amounted to a statement of conclusion and did not provide the level of information on the facts, law and reasoning required under Articles 12.2 and 12.2.2.</w:t>
      </w:r>
    </w:p>
    <w:p w14:paraId="24ECEB68" w14:textId="77777777" w:rsidR="00BD462C" w:rsidRDefault="00BD462C">
      <w:pPr>
        <w:pStyle w:val="BodyText"/>
        <w:spacing w:before="5"/>
        <w:rPr>
          <w:sz w:val="8"/>
        </w:rPr>
      </w:pPr>
    </w:p>
    <w:p w14:paraId="300FBE36" w14:textId="1F8B48A4" w:rsidR="00BD462C" w:rsidRDefault="00D443C8">
      <w:pPr>
        <w:pStyle w:val="BodyText"/>
        <w:spacing w:before="56" w:line="360" w:lineRule="auto"/>
        <w:ind w:left="135" w:right="911"/>
        <w:jc w:val="both"/>
      </w:pPr>
      <w:r>
        <w:rPr>
          <w:noProof/>
        </w:rPr>
        <w:t>983.</w:t>
      </w:r>
      <w:r w:rsidR="00033D0F">
        <w:rPr>
          <w:rFonts w:ascii="Times New Roman"/>
          <w:spacing w:val="80"/>
          <w:position w:val="1"/>
          <w:sz w:val="20"/>
        </w:rPr>
        <w:t xml:space="preserve">  </w:t>
      </w:r>
      <w:r w:rsidR="00033D0F">
        <w:rPr>
          <w:position w:val="1"/>
        </w:rPr>
        <w:t>The</w:t>
      </w:r>
      <w:r w:rsidR="00033D0F">
        <w:rPr>
          <w:spacing w:val="-7"/>
          <w:position w:val="1"/>
        </w:rPr>
        <w:t xml:space="preserve"> </w:t>
      </w:r>
      <w:r w:rsidR="00033D0F">
        <w:rPr>
          <w:position w:val="1"/>
        </w:rPr>
        <w:t>calculation</w:t>
      </w:r>
      <w:r w:rsidR="00033D0F">
        <w:rPr>
          <w:spacing w:val="-9"/>
          <w:position w:val="1"/>
        </w:rPr>
        <w:t xml:space="preserve"> </w:t>
      </w:r>
      <w:r w:rsidR="00033D0F">
        <w:rPr>
          <w:position w:val="1"/>
        </w:rPr>
        <w:t>methodology</w:t>
      </w:r>
      <w:r w:rsidR="00033D0F">
        <w:rPr>
          <w:spacing w:val="-6"/>
          <w:position w:val="1"/>
        </w:rPr>
        <w:t xml:space="preserve"> </w:t>
      </w:r>
      <w:r w:rsidR="00033D0F">
        <w:rPr>
          <w:position w:val="1"/>
        </w:rPr>
        <w:t>relied</w:t>
      </w:r>
      <w:r w:rsidR="00033D0F">
        <w:rPr>
          <w:spacing w:val="-9"/>
          <w:position w:val="1"/>
        </w:rPr>
        <w:t xml:space="preserve"> </w:t>
      </w:r>
      <w:r w:rsidR="00033D0F">
        <w:rPr>
          <w:position w:val="1"/>
        </w:rPr>
        <w:t>on</w:t>
      </w:r>
      <w:r w:rsidR="00033D0F">
        <w:rPr>
          <w:spacing w:val="-9"/>
          <w:position w:val="1"/>
        </w:rPr>
        <w:t xml:space="preserve"> </w:t>
      </w:r>
      <w:r w:rsidR="00033D0F">
        <w:rPr>
          <w:position w:val="1"/>
        </w:rPr>
        <w:t>by</w:t>
      </w:r>
      <w:r w:rsidR="00033D0F">
        <w:rPr>
          <w:spacing w:val="-6"/>
          <w:position w:val="1"/>
        </w:rPr>
        <w:t xml:space="preserve"> </w:t>
      </w:r>
      <w:r w:rsidR="00033D0F">
        <w:rPr>
          <w:position w:val="1"/>
        </w:rPr>
        <w:t>MOFCOM</w:t>
      </w:r>
      <w:r w:rsidR="00033D0F">
        <w:rPr>
          <w:spacing w:val="-7"/>
          <w:position w:val="1"/>
        </w:rPr>
        <w:t xml:space="preserve"> </w:t>
      </w:r>
      <w:r w:rsidR="00033D0F">
        <w:rPr>
          <w:position w:val="1"/>
        </w:rPr>
        <w:t>was</w:t>
      </w:r>
      <w:r w:rsidR="00033D0F">
        <w:rPr>
          <w:spacing w:val="-6"/>
          <w:position w:val="1"/>
        </w:rPr>
        <w:t xml:space="preserve"> </w:t>
      </w:r>
      <w:r w:rsidR="00033D0F">
        <w:rPr>
          <w:position w:val="1"/>
        </w:rPr>
        <w:t>essential</w:t>
      </w:r>
      <w:r w:rsidR="00033D0F">
        <w:rPr>
          <w:spacing w:val="-5"/>
          <w:position w:val="1"/>
        </w:rPr>
        <w:t xml:space="preserve"> </w:t>
      </w:r>
      <w:r w:rsidR="00033D0F">
        <w:rPr>
          <w:position w:val="1"/>
        </w:rPr>
        <w:t>to</w:t>
      </w:r>
      <w:r w:rsidR="00033D0F">
        <w:rPr>
          <w:spacing w:val="-10"/>
          <w:position w:val="1"/>
        </w:rPr>
        <w:t xml:space="preserve"> </w:t>
      </w:r>
      <w:r w:rsidR="00033D0F">
        <w:rPr>
          <w:position w:val="1"/>
        </w:rPr>
        <w:t>its</w:t>
      </w:r>
      <w:r w:rsidR="00033D0F">
        <w:rPr>
          <w:spacing w:val="-6"/>
          <w:position w:val="1"/>
        </w:rPr>
        <w:t xml:space="preserve"> </w:t>
      </w:r>
      <w:r w:rsidR="00033D0F">
        <w:rPr>
          <w:position w:val="1"/>
        </w:rPr>
        <w:t xml:space="preserve">determination </w:t>
      </w:r>
      <w:r w:rsidR="00033D0F">
        <w:t>of total domestic output. This determination was then used to further estimate apparent consumption in China's market and the market shares of subject imports and domestic like products (i.e., volumes relative to consumption), which China claims were material findings for the ultimate determinations of injury and causation. As such, the information was of the kind</w:t>
      </w:r>
      <w:r w:rsidR="00033D0F">
        <w:rPr>
          <w:spacing w:val="-8"/>
        </w:rPr>
        <w:t xml:space="preserve"> </w:t>
      </w:r>
      <w:r w:rsidR="00033D0F">
        <w:t>that</w:t>
      </w:r>
      <w:r w:rsidR="00033D0F">
        <w:rPr>
          <w:spacing w:val="-6"/>
        </w:rPr>
        <w:t xml:space="preserve"> </w:t>
      </w:r>
      <w:r w:rsidR="00033D0F">
        <w:t>should</w:t>
      </w:r>
      <w:r w:rsidR="00033D0F">
        <w:rPr>
          <w:spacing w:val="-3"/>
        </w:rPr>
        <w:t xml:space="preserve"> </w:t>
      </w:r>
      <w:r w:rsidR="00033D0F">
        <w:t>have</w:t>
      </w:r>
      <w:r w:rsidR="00033D0F">
        <w:rPr>
          <w:spacing w:val="-6"/>
        </w:rPr>
        <w:t xml:space="preserve"> </w:t>
      </w:r>
      <w:r w:rsidR="00033D0F">
        <w:t>been</w:t>
      </w:r>
      <w:r w:rsidR="00033D0F">
        <w:rPr>
          <w:spacing w:val="-3"/>
        </w:rPr>
        <w:t xml:space="preserve"> </w:t>
      </w:r>
      <w:r w:rsidR="00033D0F">
        <w:t>disclosed</w:t>
      </w:r>
      <w:r w:rsidR="00033D0F">
        <w:rPr>
          <w:spacing w:val="-8"/>
        </w:rPr>
        <w:t xml:space="preserve"> </w:t>
      </w:r>
      <w:r w:rsidR="00033D0F">
        <w:t>in</w:t>
      </w:r>
      <w:r w:rsidR="00033D0F">
        <w:rPr>
          <w:spacing w:val="-8"/>
        </w:rPr>
        <w:t xml:space="preserve"> </w:t>
      </w:r>
      <w:r w:rsidR="00033D0F">
        <w:t>the</w:t>
      </w:r>
      <w:r w:rsidR="00033D0F">
        <w:rPr>
          <w:spacing w:val="-2"/>
        </w:rPr>
        <w:t xml:space="preserve"> </w:t>
      </w:r>
      <w:r w:rsidR="00033D0F">
        <w:t>appropriate</w:t>
      </w:r>
      <w:r w:rsidR="00033D0F">
        <w:rPr>
          <w:spacing w:val="-6"/>
        </w:rPr>
        <w:t xml:space="preserve"> </w:t>
      </w:r>
      <w:r w:rsidR="00033D0F">
        <w:t>level</w:t>
      </w:r>
      <w:r w:rsidR="00033D0F">
        <w:rPr>
          <w:spacing w:val="-4"/>
        </w:rPr>
        <w:t xml:space="preserve"> </w:t>
      </w:r>
      <w:r w:rsidR="00033D0F">
        <w:t>of</w:t>
      </w:r>
      <w:r w:rsidR="00033D0F">
        <w:rPr>
          <w:spacing w:val="-8"/>
        </w:rPr>
        <w:t xml:space="preserve"> </w:t>
      </w:r>
      <w:r w:rsidR="00033D0F">
        <w:t>detail</w:t>
      </w:r>
      <w:r w:rsidR="00033D0F">
        <w:rPr>
          <w:spacing w:val="-4"/>
        </w:rPr>
        <w:t xml:space="preserve"> </w:t>
      </w:r>
      <w:r w:rsidR="00033D0F">
        <w:t>required</w:t>
      </w:r>
      <w:r w:rsidR="00033D0F">
        <w:rPr>
          <w:spacing w:val="-3"/>
        </w:rPr>
        <w:t xml:space="preserve"> </w:t>
      </w:r>
      <w:r w:rsidR="00033D0F">
        <w:t>under</w:t>
      </w:r>
      <w:r w:rsidR="00033D0F">
        <w:rPr>
          <w:spacing w:val="-4"/>
        </w:rPr>
        <w:t xml:space="preserve"> </w:t>
      </w:r>
      <w:r w:rsidR="00033D0F">
        <w:t>Articles</w:t>
      </w:r>
    </w:p>
    <w:p w14:paraId="6700F7C1" w14:textId="77777777" w:rsidR="00BD462C" w:rsidRDefault="00033D0F">
      <w:pPr>
        <w:pStyle w:val="BodyText"/>
        <w:spacing w:line="360" w:lineRule="auto"/>
        <w:ind w:left="135" w:right="911"/>
        <w:jc w:val="both"/>
      </w:pPr>
      <w:r>
        <w:t>12.2 and 12.2.2. And yet, despite the length of the excerpt from MOFCOM's Final Determination which China reproduced in its first written submission,</w:t>
      </w:r>
      <w:hyperlink w:anchor="_bookmark1646" w:history="1">
        <w:r>
          <w:rPr>
            <w:vertAlign w:val="superscript"/>
          </w:rPr>
          <w:t>1427</w:t>
        </w:r>
      </w:hyperlink>
      <w:r>
        <w:t xml:space="preserve"> the explanation of how the estimate of total domestic output was calculated consists of only a single sentence.</w:t>
      </w:r>
      <w:hyperlink w:anchor="_bookmark1647" w:history="1">
        <w:r>
          <w:rPr>
            <w:vertAlign w:val="superscript"/>
          </w:rPr>
          <w:t>1428</w:t>
        </w:r>
      </w:hyperlink>
      <w:r>
        <w:rPr>
          <w:spacing w:val="-11"/>
        </w:rPr>
        <w:t xml:space="preserve"> </w:t>
      </w:r>
      <w:r>
        <w:t>At</w:t>
      </w:r>
      <w:r>
        <w:rPr>
          <w:spacing w:val="-11"/>
        </w:rPr>
        <w:t xml:space="preserve"> </w:t>
      </w:r>
      <w:r>
        <w:t>no</w:t>
      </w:r>
      <w:r>
        <w:rPr>
          <w:spacing w:val="-10"/>
        </w:rPr>
        <w:t xml:space="preserve"> </w:t>
      </w:r>
      <w:r>
        <w:t>point</w:t>
      </w:r>
      <w:r>
        <w:rPr>
          <w:spacing w:val="-11"/>
        </w:rPr>
        <w:t xml:space="preserve"> </w:t>
      </w:r>
      <w:r>
        <w:t>in</w:t>
      </w:r>
      <w:r>
        <w:rPr>
          <w:spacing w:val="-14"/>
        </w:rPr>
        <w:t xml:space="preserve"> </w:t>
      </w:r>
      <w:r>
        <w:t>the</w:t>
      </w:r>
      <w:r>
        <w:rPr>
          <w:spacing w:val="-6"/>
        </w:rPr>
        <w:t xml:space="preserve"> </w:t>
      </w:r>
      <w:r>
        <w:t>Final</w:t>
      </w:r>
      <w:r>
        <w:rPr>
          <w:spacing w:val="-10"/>
        </w:rPr>
        <w:t xml:space="preserve"> </w:t>
      </w:r>
      <w:r>
        <w:t>Determination</w:t>
      </w:r>
      <w:r>
        <w:rPr>
          <w:spacing w:val="-14"/>
        </w:rPr>
        <w:t xml:space="preserve"> </w:t>
      </w:r>
      <w:r>
        <w:t>did</w:t>
      </w:r>
      <w:r>
        <w:rPr>
          <w:spacing w:val="-13"/>
        </w:rPr>
        <w:t xml:space="preserve"> </w:t>
      </w:r>
      <w:r>
        <w:t>MOFCOM</w:t>
      </w:r>
      <w:r>
        <w:rPr>
          <w:spacing w:val="-11"/>
        </w:rPr>
        <w:t xml:space="preserve"> </w:t>
      </w:r>
      <w:r>
        <w:t>provide</w:t>
      </w:r>
      <w:r>
        <w:rPr>
          <w:spacing w:val="-12"/>
        </w:rPr>
        <w:t xml:space="preserve"> </w:t>
      </w:r>
      <w:r>
        <w:t>a</w:t>
      </w:r>
      <w:r>
        <w:rPr>
          <w:spacing w:val="-8"/>
        </w:rPr>
        <w:t xml:space="preserve"> </w:t>
      </w:r>
      <w:r>
        <w:t>reasoned</w:t>
      </w:r>
      <w:r>
        <w:rPr>
          <w:spacing w:val="-14"/>
        </w:rPr>
        <w:t xml:space="preserve"> </w:t>
      </w:r>
      <w:r>
        <w:t>account of</w:t>
      </w:r>
      <w:r>
        <w:rPr>
          <w:spacing w:val="-9"/>
        </w:rPr>
        <w:t xml:space="preserve"> </w:t>
      </w:r>
      <w:r>
        <w:t>the</w:t>
      </w:r>
      <w:r>
        <w:rPr>
          <w:spacing w:val="-3"/>
        </w:rPr>
        <w:t xml:space="preserve"> </w:t>
      </w:r>
      <w:r>
        <w:t>factual</w:t>
      </w:r>
      <w:r>
        <w:rPr>
          <w:spacing w:val="-5"/>
        </w:rPr>
        <w:t xml:space="preserve"> </w:t>
      </w:r>
      <w:r>
        <w:t>basis</w:t>
      </w:r>
      <w:r>
        <w:rPr>
          <w:spacing w:val="-6"/>
        </w:rPr>
        <w:t xml:space="preserve"> </w:t>
      </w:r>
      <w:r>
        <w:t>for</w:t>
      </w:r>
      <w:r>
        <w:rPr>
          <w:spacing w:val="-10"/>
        </w:rPr>
        <w:t xml:space="preserve"> </w:t>
      </w:r>
      <w:r>
        <w:t>the</w:t>
      </w:r>
      <w:r>
        <w:rPr>
          <w:spacing w:val="-7"/>
        </w:rPr>
        <w:t xml:space="preserve"> </w:t>
      </w:r>
      <w:r>
        <w:t>estimate,</w:t>
      </w:r>
      <w:r>
        <w:rPr>
          <w:spacing w:val="-5"/>
        </w:rPr>
        <w:t xml:space="preserve"> </w:t>
      </w:r>
      <w:r>
        <w:t>including</w:t>
      </w:r>
      <w:r>
        <w:rPr>
          <w:spacing w:val="-6"/>
        </w:rPr>
        <w:t xml:space="preserve"> </w:t>
      </w:r>
      <w:r>
        <w:t>the</w:t>
      </w:r>
      <w:r>
        <w:rPr>
          <w:spacing w:val="-7"/>
        </w:rPr>
        <w:t xml:space="preserve"> </w:t>
      </w:r>
      <w:r>
        <w:t>statistical</w:t>
      </w:r>
      <w:r>
        <w:rPr>
          <w:spacing w:val="-5"/>
        </w:rPr>
        <w:t xml:space="preserve"> </w:t>
      </w:r>
      <w:r>
        <w:t>information</w:t>
      </w:r>
      <w:r>
        <w:rPr>
          <w:spacing w:val="-9"/>
        </w:rPr>
        <w:t xml:space="preserve"> </w:t>
      </w:r>
      <w:r>
        <w:t>that</w:t>
      </w:r>
      <w:r>
        <w:rPr>
          <w:spacing w:val="-7"/>
        </w:rPr>
        <w:t xml:space="preserve"> </w:t>
      </w:r>
      <w:r>
        <w:t>MOFCOM</w:t>
      </w:r>
      <w:r>
        <w:rPr>
          <w:spacing w:val="-7"/>
        </w:rPr>
        <w:t xml:space="preserve"> </w:t>
      </w:r>
      <w:r>
        <w:t>relied upon, or</w:t>
      </w:r>
      <w:r>
        <w:rPr>
          <w:spacing w:val="-1"/>
        </w:rPr>
        <w:t xml:space="preserve"> </w:t>
      </w:r>
      <w:r>
        <w:t>sufficient details of the methodology that it used. The further</w:t>
      </w:r>
      <w:r>
        <w:rPr>
          <w:spacing w:val="-1"/>
        </w:rPr>
        <w:t xml:space="preserve"> </w:t>
      </w:r>
      <w:r>
        <w:t>details relating to</w:t>
      </w:r>
      <w:r>
        <w:rPr>
          <w:spacing w:val="-1"/>
        </w:rPr>
        <w:t xml:space="preserve"> </w:t>
      </w:r>
      <w:r>
        <w:t>the confidentiality</w:t>
      </w:r>
      <w:r>
        <w:rPr>
          <w:spacing w:val="-2"/>
        </w:rPr>
        <w:t xml:space="preserve"> </w:t>
      </w:r>
      <w:r>
        <w:t>of</w:t>
      </w:r>
      <w:r>
        <w:rPr>
          <w:spacing w:val="-5"/>
        </w:rPr>
        <w:t xml:space="preserve"> </w:t>
      </w:r>
      <w:r>
        <w:t>the</w:t>
      </w:r>
      <w:r>
        <w:rPr>
          <w:spacing w:val="-4"/>
        </w:rPr>
        <w:t xml:space="preserve"> </w:t>
      </w:r>
      <w:r>
        <w:t>data</w:t>
      </w:r>
      <w:r>
        <w:rPr>
          <w:spacing w:val="-4"/>
        </w:rPr>
        <w:t xml:space="preserve"> </w:t>
      </w:r>
      <w:r>
        <w:t>and</w:t>
      </w:r>
      <w:r>
        <w:rPr>
          <w:spacing w:val="-5"/>
        </w:rPr>
        <w:t xml:space="preserve"> </w:t>
      </w:r>
      <w:r>
        <w:t>their</w:t>
      </w:r>
      <w:r>
        <w:rPr>
          <w:spacing w:val="-5"/>
        </w:rPr>
        <w:t xml:space="preserve"> </w:t>
      </w:r>
      <w:r>
        <w:t>source</w:t>
      </w:r>
      <w:r>
        <w:rPr>
          <w:spacing w:val="-3"/>
        </w:rPr>
        <w:t xml:space="preserve"> </w:t>
      </w:r>
      <w:r>
        <w:t>provided</w:t>
      </w:r>
      <w:r>
        <w:rPr>
          <w:spacing w:val="-5"/>
        </w:rPr>
        <w:t xml:space="preserve"> </w:t>
      </w:r>
      <w:r>
        <w:t>by</w:t>
      </w:r>
      <w:r>
        <w:rPr>
          <w:spacing w:val="-2"/>
        </w:rPr>
        <w:t xml:space="preserve"> </w:t>
      </w:r>
      <w:r>
        <w:t>China</w:t>
      </w:r>
      <w:r>
        <w:rPr>
          <w:spacing w:val="-4"/>
        </w:rPr>
        <w:t xml:space="preserve"> </w:t>
      </w:r>
      <w:r>
        <w:t>at</w:t>
      </w:r>
      <w:r>
        <w:rPr>
          <w:spacing w:val="-8"/>
        </w:rPr>
        <w:t xml:space="preserve"> </w:t>
      </w:r>
      <w:r>
        <w:t>the</w:t>
      </w:r>
      <w:r>
        <w:rPr>
          <w:spacing w:val="-4"/>
        </w:rPr>
        <w:t xml:space="preserve"> </w:t>
      </w:r>
      <w:r>
        <w:t>first</w:t>
      </w:r>
      <w:r>
        <w:rPr>
          <w:spacing w:val="-8"/>
        </w:rPr>
        <w:t xml:space="preserve"> </w:t>
      </w:r>
      <w:r>
        <w:t>substantive</w:t>
      </w:r>
      <w:r>
        <w:rPr>
          <w:spacing w:val="-3"/>
        </w:rPr>
        <w:t xml:space="preserve"> </w:t>
      </w:r>
      <w:r>
        <w:t>meeting and following Panel questions cannot retrospectively rectify MOFCOM's failures in this regard.</w:t>
      </w:r>
      <w:hyperlink w:anchor="_bookmark1648" w:history="1">
        <w:r>
          <w:rPr>
            <w:vertAlign w:val="superscript"/>
          </w:rPr>
          <w:t>1429</w:t>
        </w:r>
      </w:hyperlink>
      <w:r>
        <w:rPr>
          <w:spacing w:val="-5"/>
        </w:rPr>
        <w:t xml:space="preserve"> </w:t>
      </w:r>
      <w:r>
        <w:t>It</w:t>
      </w:r>
      <w:r>
        <w:rPr>
          <w:spacing w:val="-6"/>
        </w:rPr>
        <w:t xml:space="preserve"> </w:t>
      </w:r>
      <w:r>
        <w:t>remains</w:t>
      </w:r>
      <w:r>
        <w:rPr>
          <w:spacing w:val="-5"/>
        </w:rPr>
        <w:t xml:space="preserve"> </w:t>
      </w:r>
      <w:r>
        <w:t>the</w:t>
      </w:r>
      <w:r>
        <w:rPr>
          <w:spacing w:val="-6"/>
        </w:rPr>
        <w:t xml:space="preserve"> </w:t>
      </w:r>
      <w:r>
        <w:t>case</w:t>
      </w:r>
      <w:r>
        <w:rPr>
          <w:spacing w:val="-6"/>
        </w:rPr>
        <w:t xml:space="preserve"> </w:t>
      </w:r>
      <w:r>
        <w:t>that</w:t>
      </w:r>
      <w:r>
        <w:rPr>
          <w:spacing w:val="-6"/>
        </w:rPr>
        <w:t xml:space="preserve"> </w:t>
      </w:r>
      <w:r>
        <w:t>MOFCOM</w:t>
      </w:r>
      <w:r>
        <w:rPr>
          <w:spacing w:val="-6"/>
        </w:rPr>
        <w:t xml:space="preserve"> </w:t>
      </w:r>
      <w:r>
        <w:t>provided</w:t>
      </w:r>
      <w:r>
        <w:rPr>
          <w:spacing w:val="-8"/>
        </w:rPr>
        <w:t xml:space="preserve"> </w:t>
      </w:r>
      <w:r>
        <w:t>no</w:t>
      </w:r>
      <w:r>
        <w:rPr>
          <w:spacing w:val="-9"/>
        </w:rPr>
        <w:t xml:space="preserve"> </w:t>
      </w:r>
      <w:r>
        <w:t>explanation</w:t>
      </w:r>
      <w:r>
        <w:rPr>
          <w:spacing w:val="-8"/>
        </w:rPr>
        <w:t xml:space="preserve"> </w:t>
      </w:r>
      <w:r>
        <w:t>or</w:t>
      </w:r>
      <w:r>
        <w:rPr>
          <w:spacing w:val="-4"/>
        </w:rPr>
        <w:t xml:space="preserve"> </w:t>
      </w:r>
      <w:r>
        <w:t>reasoning</w:t>
      </w:r>
      <w:r>
        <w:rPr>
          <w:spacing w:val="-5"/>
        </w:rPr>
        <w:t xml:space="preserve"> </w:t>
      </w:r>
      <w:r>
        <w:t>about</w:t>
      </w:r>
      <w:r>
        <w:rPr>
          <w:spacing w:val="-6"/>
        </w:rPr>
        <w:t xml:space="preserve"> </w:t>
      </w:r>
      <w:r>
        <w:t>the adequacy</w:t>
      </w:r>
      <w:r>
        <w:rPr>
          <w:spacing w:val="40"/>
        </w:rPr>
        <w:t xml:space="preserve"> </w:t>
      </w:r>
      <w:r>
        <w:t>of</w:t>
      </w:r>
      <w:r>
        <w:rPr>
          <w:spacing w:val="40"/>
        </w:rPr>
        <w:t xml:space="preserve"> </w:t>
      </w:r>
      <w:r>
        <w:t>the</w:t>
      </w:r>
      <w:r>
        <w:rPr>
          <w:spacing w:val="40"/>
        </w:rPr>
        <w:t xml:space="preserve"> </w:t>
      </w:r>
      <w:r>
        <w:t>data</w:t>
      </w:r>
      <w:r>
        <w:rPr>
          <w:spacing w:val="40"/>
        </w:rPr>
        <w:t xml:space="preserve"> </w:t>
      </w:r>
      <w:r>
        <w:t>and</w:t>
      </w:r>
      <w:r>
        <w:rPr>
          <w:spacing w:val="40"/>
        </w:rPr>
        <w:t xml:space="preserve"> </w:t>
      </w:r>
      <w:r>
        <w:t>how</w:t>
      </w:r>
      <w:r>
        <w:rPr>
          <w:spacing w:val="40"/>
        </w:rPr>
        <w:t xml:space="preserve"> </w:t>
      </w:r>
      <w:r>
        <w:t>it</w:t>
      </w:r>
      <w:r>
        <w:rPr>
          <w:spacing w:val="40"/>
        </w:rPr>
        <w:t xml:space="preserve"> </w:t>
      </w:r>
      <w:r>
        <w:t>determined</w:t>
      </w:r>
      <w:r>
        <w:rPr>
          <w:spacing w:val="40"/>
        </w:rPr>
        <w:t xml:space="preserve"> </w:t>
      </w:r>
      <w:r>
        <w:t>that</w:t>
      </w:r>
      <w:r>
        <w:rPr>
          <w:spacing w:val="40"/>
        </w:rPr>
        <w:t xml:space="preserve"> </w:t>
      </w:r>
      <w:r>
        <w:t>the</w:t>
      </w:r>
      <w:r>
        <w:rPr>
          <w:spacing w:val="40"/>
        </w:rPr>
        <w:t xml:space="preserve"> </w:t>
      </w:r>
      <w:r>
        <w:t>identified</w:t>
      </w:r>
      <w:r>
        <w:rPr>
          <w:spacing w:val="40"/>
        </w:rPr>
        <w:t xml:space="preserve"> </w:t>
      </w:r>
      <w:r>
        <w:t>21</w:t>
      </w:r>
      <w:r>
        <w:rPr>
          <w:spacing w:val="40"/>
        </w:rPr>
        <w:t xml:space="preserve"> </w:t>
      </w:r>
      <w:r>
        <w:t>domestic</w:t>
      </w:r>
      <w:r>
        <w:rPr>
          <w:spacing w:val="40"/>
        </w:rPr>
        <w:t xml:space="preserve"> </w:t>
      </w:r>
      <w:r>
        <w:t>producers</w:t>
      </w:r>
    </w:p>
    <w:p w14:paraId="2B2D94A9" w14:textId="0B0478EF" w:rsidR="00BD462C" w:rsidRDefault="00D600FD">
      <w:pPr>
        <w:pStyle w:val="BodyText"/>
        <w:rPr>
          <w:sz w:val="20"/>
        </w:rPr>
      </w:pPr>
      <w:r>
        <w:rPr>
          <w:noProof/>
        </w:rPr>
        <mc:AlternateContent>
          <mc:Choice Requires="wps">
            <w:drawing>
              <wp:anchor distT="0" distB="0" distL="0" distR="0" simplePos="0" relativeHeight="488159744" behindDoc="1" locked="0" layoutInCell="1" allowOverlap="1" wp14:anchorId="1E258582" wp14:editId="45A0139C">
                <wp:simplePos x="0" y="0"/>
                <wp:positionH relativeFrom="page">
                  <wp:posOffset>812800</wp:posOffset>
                </wp:positionH>
                <wp:positionV relativeFrom="paragraph">
                  <wp:posOffset>277495</wp:posOffset>
                </wp:positionV>
                <wp:extent cx="1828800" cy="8890"/>
                <wp:effectExtent l="0" t="0" r="0" b="0"/>
                <wp:wrapTopAndBottom/>
                <wp:docPr id="135" name="docshape7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4412C3" id="docshape705" o:spid="_x0000_s1026" alt="&quot;&quot;" style="position:absolute;margin-left:64pt;margin-top:21.85pt;width:2in;height:.7pt;z-index:-1515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" fillcolor="black" stroked="f">
                <w10:wrap type="topAndBottom" anchorx="page"/>
              </v:rect>
            </w:pict>
          </mc:Fallback>
        </mc:AlternateContent>
      </w:r>
    </w:p>
    <w:p w14:paraId="0EACE04E" w14:textId="3E63857A" w:rsidR="00BD462C" w:rsidRDefault="00BD462C">
      <w:pPr>
        <w:pStyle w:val="BodyText"/>
        <w:spacing w:before="8"/>
        <w:rPr>
          <w:sz w:val="15"/>
        </w:rPr>
      </w:pPr>
    </w:p>
    <w:p w14:paraId="1925B9B3" w14:textId="77777777" w:rsidR="00BD462C" w:rsidRDefault="00033D0F">
      <w:pPr>
        <w:spacing w:before="112"/>
        <w:ind w:left="135" w:right="6258"/>
        <w:rPr>
          <w:sz w:val="18"/>
        </w:rPr>
      </w:pPr>
      <w:bookmarkStart w:id="1906" w:name="_bookmark1644"/>
      <w:bookmarkEnd w:id="1906"/>
      <w:r>
        <w:rPr>
          <w:position w:val="5"/>
          <w:sz w:val="12"/>
        </w:rPr>
        <w:t>1425</w:t>
      </w:r>
      <w:r>
        <w:rPr>
          <w:spacing w:val="40"/>
          <w:position w:val="5"/>
          <w:sz w:val="12"/>
        </w:rPr>
        <w:t xml:space="preserve"> </w:t>
      </w:r>
      <w:r>
        <w:rPr>
          <w:sz w:val="18"/>
        </w:rPr>
        <w:t xml:space="preserve">China's first written submission, para. 2611. </w:t>
      </w:r>
      <w:bookmarkStart w:id="1907" w:name="_bookmark1645"/>
      <w:bookmarkEnd w:id="1907"/>
      <w:r>
        <w:rPr>
          <w:position w:val="5"/>
          <w:sz w:val="12"/>
        </w:rPr>
        <w:t>1426</w:t>
      </w:r>
      <w:r>
        <w:rPr>
          <w:spacing w:val="12"/>
          <w:position w:val="5"/>
          <w:sz w:val="12"/>
        </w:rPr>
        <w:t xml:space="preserve"> </w:t>
      </w:r>
      <w:r>
        <w:rPr>
          <w:sz w:val="18"/>
        </w:rPr>
        <w:t>Australia's</w:t>
      </w:r>
      <w:r>
        <w:rPr>
          <w:spacing w:val="-7"/>
          <w:sz w:val="18"/>
        </w:rPr>
        <w:t xml:space="preserve"> </w:t>
      </w:r>
      <w:r>
        <w:rPr>
          <w:sz w:val="18"/>
        </w:rPr>
        <w:t>first</w:t>
      </w:r>
      <w:r>
        <w:rPr>
          <w:spacing w:val="-6"/>
          <w:sz w:val="18"/>
        </w:rPr>
        <w:t xml:space="preserve"> </w:t>
      </w:r>
      <w:r>
        <w:rPr>
          <w:sz w:val="18"/>
        </w:rPr>
        <w:t>written</w:t>
      </w:r>
      <w:r>
        <w:rPr>
          <w:spacing w:val="-3"/>
          <w:sz w:val="18"/>
        </w:rPr>
        <w:t xml:space="preserve"> </w:t>
      </w:r>
      <w:r>
        <w:rPr>
          <w:sz w:val="18"/>
        </w:rPr>
        <w:t>submission,</w:t>
      </w:r>
      <w:r>
        <w:rPr>
          <w:spacing w:val="-1"/>
          <w:sz w:val="18"/>
        </w:rPr>
        <w:t xml:space="preserve"> </w:t>
      </w:r>
      <w:r>
        <w:rPr>
          <w:sz w:val="18"/>
        </w:rPr>
        <w:t>para.</w:t>
      </w:r>
      <w:r>
        <w:rPr>
          <w:spacing w:val="-6"/>
          <w:sz w:val="18"/>
        </w:rPr>
        <w:t xml:space="preserve"> </w:t>
      </w:r>
      <w:r>
        <w:rPr>
          <w:sz w:val="18"/>
        </w:rPr>
        <w:t xml:space="preserve">1087. </w:t>
      </w:r>
      <w:bookmarkStart w:id="1908" w:name="_bookmark1646"/>
      <w:bookmarkEnd w:id="1908"/>
      <w:r>
        <w:rPr>
          <w:position w:val="5"/>
          <w:sz w:val="12"/>
        </w:rPr>
        <w:t>1427</w:t>
      </w:r>
      <w:r>
        <w:rPr>
          <w:spacing w:val="40"/>
          <w:position w:val="5"/>
          <w:sz w:val="12"/>
        </w:rPr>
        <w:t xml:space="preserve"> </w:t>
      </w:r>
      <w:r>
        <w:rPr>
          <w:sz w:val="18"/>
        </w:rPr>
        <w:t>China's first written submission, para. 2611.</w:t>
      </w:r>
    </w:p>
    <w:p w14:paraId="5751C5B1" w14:textId="77777777" w:rsidR="00BD462C" w:rsidRDefault="00033D0F">
      <w:pPr>
        <w:spacing w:before="3"/>
        <w:ind w:left="136" w:right="904" w:hanging="1"/>
        <w:jc w:val="both"/>
        <w:rPr>
          <w:sz w:val="18"/>
        </w:rPr>
      </w:pPr>
      <w:bookmarkStart w:id="1909" w:name="_bookmark1647"/>
      <w:bookmarkEnd w:id="1909"/>
      <w:r>
        <w:rPr>
          <w:position w:val="5"/>
          <w:sz w:val="12"/>
        </w:rPr>
        <w:t>1428</w:t>
      </w:r>
      <w:r>
        <w:rPr>
          <w:spacing w:val="-6"/>
          <w:position w:val="5"/>
          <w:sz w:val="12"/>
        </w:rPr>
        <w:t xml:space="preserve"> </w:t>
      </w:r>
      <w:r>
        <w:rPr>
          <w:sz w:val="18"/>
        </w:rPr>
        <w:t>China's</w:t>
      </w:r>
      <w:r>
        <w:rPr>
          <w:spacing w:val="-10"/>
          <w:sz w:val="18"/>
        </w:rPr>
        <w:t xml:space="preserve"> </w:t>
      </w:r>
      <w:r>
        <w:rPr>
          <w:sz w:val="18"/>
        </w:rPr>
        <w:t>first</w:t>
      </w:r>
      <w:r>
        <w:rPr>
          <w:spacing w:val="-6"/>
          <w:sz w:val="18"/>
        </w:rPr>
        <w:t xml:space="preserve"> </w:t>
      </w:r>
      <w:r>
        <w:rPr>
          <w:sz w:val="18"/>
        </w:rPr>
        <w:t>written</w:t>
      </w:r>
      <w:r>
        <w:rPr>
          <w:spacing w:val="-11"/>
          <w:sz w:val="18"/>
        </w:rPr>
        <w:t xml:space="preserve"> </w:t>
      </w:r>
      <w:r>
        <w:rPr>
          <w:sz w:val="18"/>
        </w:rPr>
        <w:t>submission,</w:t>
      </w:r>
      <w:r>
        <w:rPr>
          <w:spacing w:val="-4"/>
          <w:sz w:val="18"/>
        </w:rPr>
        <w:t xml:space="preserve"> </w:t>
      </w:r>
      <w:r>
        <w:rPr>
          <w:sz w:val="18"/>
        </w:rPr>
        <w:t>para.</w:t>
      </w:r>
      <w:r>
        <w:rPr>
          <w:spacing w:val="-6"/>
          <w:sz w:val="18"/>
        </w:rPr>
        <w:t xml:space="preserve"> </w:t>
      </w:r>
      <w:r>
        <w:rPr>
          <w:sz w:val="18"/>
        </w:rPr>
        <w:t>2611</w:t>
      </w:r>
      <w:r>
        <w:rPr>
          <w:spacing w:val="-11"/>
          <w:sz w:val="18"/>
        </w:rPr>
        <w:t xml:space="preserve"> </w:t>
      </w:r>
      <w:r>
        <w:rPr>
          <w:sz w:val="18"/>
        </w:rPr>
        <w:t>("</w:t>
      </w:r>
      <w:r>
        <w:rPr>
          <w:spacing w:val="-8"/>
          <w:sz w:val="18"/>
        </w:rPr>
        <w:t xml:space="preserve"> </w:t>
      </w:r>
      <w:r>
        <w:rPr>
          <w:sz w:val="18"/>
        </w:rPr>
        <w:t>[…]</w:t>
      </w:r>
      <w:r>
        <w:rPr>
          <w:spacing w:val="-6"/>
          <w:sz w:val="18"/>
        </w:rPr>
        <w:t xml:space="preserve"> </w:t>
      </w:r>
      <w:r>
        <w:rPr>
          <w:sz w:val="18"/>
        </w:rPr>
        <w:t>On</w:t>
      </w:r>
      <w:r>
        <w:rPr>
          <w:spacing w:val="-11"/>
          <w:sz w:val="18"/>
        </w:rPr>
        <w:t xml:space="preserve"> </w:t>
      </w:r>
      <w:r>
        <w:rPr>
          <w:sz w:val="18"/>
        </w:rPr>
        <w:t>the</w:t>
      </w:r>
      <w:r>
        <w:rPr>
          <w:spacing w:val="-10"/>
          <w:sz w:val="18"/>
        </w:rPr>
        <w:t xml:space="preserve"> </w:t>
      </w:r>
      <w:r>
        <w:rPr>
          <w:sz w:val="18"/>
        </w:rPr>
        <w:t>condition</w:t>
      </w:r>
      <w:r>
        <w:rPr>
          <w:spacing w:val="-10"/>
          <w:sz w:val="18"/>
        </w:rPr>
        <w:t xml:space="preserve"> </w:t>
      </w:r>
      <w:r>
        <w:rPr>
          <w:sz w:val="18"/>
        </w:rPr>
        <w:t>that</w:t>
      </w:r>
      <w:r>
        <w:rPr>
          <w:spacing w:val="-10"/>
          <w:sz w:val="18"/>
        </w:rPr>
        <w:t xml:space="preserve"> </w:t>
      </w:r>
      <w:r>
        <w:rPr>
          <w:sz w:val="18"/>
        </w:rPr>
        <w:t>the</w:t>
      </w:r>
      <w:r>
        <w:rPr>
          <w:spacing w:val="-10"/>
          <w:sz w:val="18"/>
        </w:rPr>
        <w:t xml:space="preserve"> </w:t>
      </w:r>
      <w:r>
        <w:rPr>
          <w:sz w:val="18"/>
        </w:rPr>
        <w:t>overall</w:t>
      </w:r>
      <w:r>
        <w:rPr>
          <w:spacing w:val="-6"/>
          <w:sz w:val="18"/>
        </w:rPr>
        <w:t xml:space="preserve"> </w:t>
      </w:r>
      <w:r>
        <w:rPr>
          <w:sz w:val="18"/>
        </w:rPr>
        <w:t>output</w:t>
      </w:r>
      <w:r>
        <w:rPr>
          <w:spacing w:val="-6"/>
          <w:sz w:val="18"/>
        </w:rPr>
        <w:t xml:space="preserve"> </w:t>
      </w:r>
      <w:r>
        <w:rPr>
          <w:sz w:val="18"/>
        </w:rPr>
        <w:t>of</w:t>
      </w:r>
      <w:r>
        <w:rPr>
          <w:spacing w:val="-6"/>
          <w:sz w:val="18"/>
        </w:rPr>
        <w:t xml:space="preserve"> </w:t>
      </w:r>
      <w:r>
        <w:rPr>
          <w:sz w:val="18"/>
        </w:rPr>
        <w:t>domestic</w:t>
      </w:r>
      <w:r>
        <w:rPr>
          <w:spacing w:val="-8"/>
          <w:sz w:val="18"/>
        </w:rPr>
        <w:t xml:space="preserve"> </w:t>
      </w:r>
      <w:r>
        <w:rPr>
          <w:sz w:val="18"/>
        </w:rPr>
        <w:t>certain</w:t>
      </w:r>
      <w:r>
        <w:rPr>
          <w:spacing w:val="-7"/>
          <w:sz w:val="18"/>
        </w:rPr>
        <w:t xml:space="preserve"> </w:t>
      </w:r>
      <w:r>
        <w:rPr>
          <w:sz w:val="18"/>
        </w:rPr>
        <w:t>wines</w:t>
      </w:r>
      <w:r>
        <w:rPr>
          <w:spacing w:val="-7"/>
          <w:sz w:val="18"/>
        </w:rPr>
        <w:t xml:space="preserve"> </w:t>
      </w:r>
      <w:r>
        <w:rPr>
          <w:sz w:val="18"/>
        </w:rPr>
        <w:t>could not be directly acquired, the IA surveyed the actual domestic output through different means and believed that the output data, calculated by way of</w:t>
      </w:r>
      <w:r>
        <w:rPr>
          <w:spacing w:val="-1"/>
          <w:sz w:val="18"/>
        </w:rPr>
        <w:t xml:space="preserve"> </w:t>
      </w:r>
      <w:r>
        <w:rPr>
          <w:sz w:val="18"/>
        </w:rPr>
        <w:t>the area of wine grapes, output per acre, wine yield, the volume of</w:t>
      </w:r>
      <w:r>
        <w:rPr>
          <w:spacing w:val="-1"/>
          <w:sz w:val="18"/>
        </w:rPr>
        <w:t xml:space="preserve"> </w:t>
      </w:r>
      <w:r>
        <w:rPr>
          <w:sz w:val="18"/>
        </w:rPr>
        <w:t xml:space="preserve">finished wine products made of imported bulk wines and the loss rate, as well as the production proportion of different finished wine products, was </w:t>
      </w:r>
      <w:r>
        <w:rPr>
          <w:spacing w:val="-2"/>
          <w:sz w:val="18"/>
        </w:rPr>
        <w:t>reasonable").</w:t>
      </w:r>
    </w:p>
    <w:p w14:paraId="771A03F2" w14:textId="77777777" w:rsidR="00BD462C" w:rsidRDefault="00033D0F">
      <w:pPr>
        <w:ind w:left="135"/>
        <w:jc w:val="both"/>
        <w:rPr>
          <w:sz w:val="18"/>
        </w:rPr>
      </w:pPr>
      <w:bookmarkStart w:id="1910" w:name="_bookmark1648"/>
      <w:bookmarkEnd w:id="1910"/>
      <w:r>
        <w:rPr>
          <w:position w:val="5"/>
          <w:sz w:val="12"/>
        </w:rPr>
        <w:t>1429</w:t>
      </w:r>
      <w:r>
        <w:rPr>
          <w:spacing w:val="14"/>
          <w:position w:val="5"/>
          <w:sz w:val="12"/>
        </w:rPr>
        <w:t xml:space="preserve"> </w:t>
      </w:r>
      <w:r>
        <w:rPr>
          <w:sz w:val="18"/>
        </w:rPr>
        <w:t>China's</w:t>
      </w:r>
      <w:r>
        <w:rPr>
          <w:spacing w:val="2"/>
          <w:sz w:val="18"/>
        </w:rPr>
        <w:t xml:space="preserve"> </w:t>
      </w:r>
      <w:r>
        <w:rPr>
          <w:sz w:val="18"/>
        </w:rPr>
        <w:t>response</w:t>
      </w:r>
      <w:r>
        <w:rPr>
          <w:spacing w:val="-4"/>
          <w:sz w:val="18"/>
        </w:rPr>
        <w:t xml:space="preserve"> </w:t>
      </w:r>
      <w:r>
        <w:rPr>
          <w:sz w:val="18"/>
        </w:rPr>
        <w:t>to</w:t>
      </w:r>
      <w:r>
        <w:rPr>
          <w:spacing w:val="-10"/>
          <w:sz w:val="18"/>
        </w:rPr>
        <w:t xml:space="preserve"> </w:t>
      </w:r>
      <w:r>
        <w:rPr>
          <w:sz w:val="18"/>
        </w:rPr>
        <w:t>Panel</w:t>
      </w:r>
      <w:r>
        <w:rPr>
          <w:spacing w:val="-3"/>
          <w:sz w:val="18"/>
        </w:rPr>
        <w:t xml:space="preserve"> </w:t>
      </w:r>
      <w:r>
        <w:rPr>
          <w:sz w:val="18"/>
        </w:rPr>
        <w:t>question</w:t>
      </w:r>
      <w:r>
        <w:rPr>
          <w:spacing w:val="-4"/>
          <w:sz w:val="18"/>
        </w:rPr>
        <w:t xml:space="preserve"> </w:t>
      </w:r>
      <w:r>
        <w:rPr>
          <w:sz w:val="18"/>
        </w:rPr>
        <w:t>No.</w:t>
      </w:r>
      <w:r>
        <w:rPr>
          <w:spacing w:val="2"/>
          <w:sz w:val="18"/>
        </w:rPr>
        <w:t xml:space="preserve"> </w:t>
      </w:r>
      <w:r>
        <w:rPr>
          <w:sz w:val="18"/>
        </w:rPr>
        <w:t>15,</w:t>
      </w:r>
      <w:r>
        <w:rPr>
          <w:spacing w:val="-2"/>
          <w:sz w:val="18"/>
        </w:rPr>
        <w:t xml:space="preserve"> </w:t>
      </w:r>
      <w:r>
        <w:rPr>
          <w:sz w:val="18"/>
        </w:rPr>
        <w:t>para.</w:t>
      </w:r>
      <w:r>
        <w:rPr>
          <w:spacing w:val="-3"/>
          <w:sz w:val="18"/>
        </w:rPr>
        <w:t xml:space="preserve"> </w:t>
      </w:r>
      <w:r>
        <w:rPr>
          <w:spacing w:val="-5"/>
          <w:sz w:val="18"/>
        </w:rPr>
        <w:t>51.</w:t>
      </w:r>
    </w:p>
    <w:p w14:paraId="3C16434A" w14:textId="77777777" w:rsidR="00BD462C" w:rsidRDefault="00BD462C">
      <w:pPr>
        <w:jc w:val="both"/>
        <w:rPr>
          <w:sz w:val="18"/>
        </w:rPr>
        <w:sectPr w:rsidR="00BD462C">
          <w:pgSz w:w="11910" w:h="16840"/>
          <w:pgMar w:top="860" w:right="500" w:bottom="780" w:left="1280" w:header="566" w:footer="590" w:gutter="0"/>
          <w:cols w:space="720"/>
        </w:sectPr>
      </w:pPr>
    </w:p>
    <w:p w14:paraId="3D2048C5"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1A949412"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51013C99"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377E8D0E" w14:textId="77777777" w:rsidR="00BD462C" w:rsidRDefault="00033D0F">
      <w:pPr>
        <w:pStyle w:val="BodyText"/>
        <w:spacing w:before="102" w:line="357" w:lineRule="auto"/>
        <w:ind w:left="135" w:right="910"/>
      </w:pPr>
      <w:r>
        <w:t>legitimately</w:t>
      </w:r>
      <w:r>
        <w:rPr>
          <w:spacing w:val="-1"/>
        </w:rPr>
        <w:t xml:space="preserve"> </w:t>
      </w:r>
      <w:r>
        <w:t>accounted for</w:t>
      </w:r>
      <w:r>
        <w:rPr>
          <w:spacing w:val="-5"/>
        </w:rPr>
        <w:t xml:space="preserve"> </w:t>
      </w:r>
      <w:r>
        <w:t>a major proportion of the</w:t>
      </w:r>
      <w:r>
        <w:rPr>
          <w:spacing w:val="-3"/>
        </w:rPr>
        <w:t xml:space="preserve"> </w:t>
      </w:r>
      <w:r>
        <w:t>domestic</w:t>
      </w:r>
      <w:r>
        <w:rPr>
          <w:spacing w:val="-4"/>
        </w:rPr>
        <w:t xml:space="preserve"> </w:t>
      </w:r>
      <w:r>
        <w:t>industry.</w:t>
      </w:r>
      <w:r>
        <w:rPr>
          <w:spacing w:val="-1"/>
        </w:rPr>
        <w:t xml:space="preserve"> </w:t>
      </w:r>
      <w:r>
        <w:t>MOFCOM's</w:t>
      </w:r>
      <w:r>
        <w:rPr>
          <w:spacing w:val="-1"/>
        </w:rPr>
        <w:t xml:space="preserve"> </w:t>
      </w:r>
      <w:r>
        <w:t>estimate of</w:t>
      </w:r>
      <w:r>
        <w:rPr>
          <w:spacing w:val="7"/>
        </w:rPr>
        <w:t xml:space="preserve"> </w:t>
      </w:r>
      <w:r>
        <w:t>total</w:t>
      </w:r>
      <w:r>
        <w:rPr>
          <w:spacing w:val="14"/>
        </w:rPr>
        <w:t xml:space="preserve"> </w:t>
      </w:r>
      <w:r>
        <w:t>domestic</w:t>
      </w:r>
      <w:r>
        <w:rPr>
          <w:spacing w:val="11"/>
        </w:rPr>
        <w:t xml:space="preserve"> </w:t>
      </w:r>
      <w:r>
        <w:t>output</w:t>
      </w:r>
      <w:r>
        <w:rPr>
          <w:spacing w:val="13"/>
        </w:rPr>
        <w:t xml:space="preserve"> </w:t>
      </w:r>
      <w:r>
        <w:t>was</w:t>
      </w:r>
      <w:r>
        <w:rPr>
          <w:spacing w:val="14"/>
        </w:rPr>
        <w:t xml:space="preserve"> </w:t>
      </w:r>
      <w:r>
        <w:t>central</w:t>
      </w:r>
      <w:r>
        <w:rPr>
          <w:spacing w:val="14"/>
        </w:rPr>
        <w:t xml:space="preserve"> </w:t>
      </w:r>
      <w:r>
        <w:t>to</w:t>
      </w:r>
      <w:r>
        <w:rPr>
          <w:spacing w:val="14"/>
        </w:rPr>
        <w:t xml:space="preserve"> </w:t>
      </w:r>
      <w:r>
        <w:t>its</w:t>
      </w:r>
      <w:r>
        <w:rPr>
          <w:spacing w:val="14"/>
        </w:rPr>
        <w:t xml:space="preserve"> </w:t>
      </w:r>
      <w:r>
        <w:t>definition</w:t>
      </w:r>
      <w:r>
        <w:rPr>
          <w:spacing w:val="10"/>
        </w:rPr>
        <w:t xml:space="preserve"> </w:t>
      </w:r>
      <w:r>
        <w:t>of</w:t>
      </w:r>
      <w:r>
        <w:rPr>
          <w:spacing w:val="15"/>
        </w:rPr>
        <w:t xml:space="preserve"> </w:t>
      </w:r>
      <w:r>
        <w:t>the</w:t>
      </w:r>
      <w:r>
        <w:rPr>
          <w:spacing w:val="12"/>
        </w:rPr>
        <w:t xml:space="preserve"> </w:t>
      </w:r>
      <w:r>
        <w:t>domestic</w:t>
      </w:r>
      <w:r>
        <w:rPr>
          <w:spacing w:val="11"/>
        </w:rPr>
        <w:t xml:space="preserve"> </w:t>
      </w:r>
      <w:r>
        <w:t>industry</w:t>
      </w:r>
      <w:r>
        <w:rPr>
          <w:spacing w:val="13"/>
        </w:rPr>
        <w:t xml:space="preserve"> </w:t>
      </w:r>
      <w:r>
        <w:t>under</w:t>
      </w:r>
      <w:r>
        <w:rPr>
          <w:spacing w:val="14"/>
        </w:rPr>
        <w:t xml:space="preserve"> </w:t>
      </w:r>
      <w:r>
        <w:rPr>
          <w:spacing w:val="-2"/>
        </w:rPr>
        <w:t>Article</w:t>
      </w:r>
    </w:p>
    <w:p w14:paraId="0CF612E7" w14:textId="77777777" w:rsidR="00BD462C" w:rsidRDefault="00033D0F">
      <w:pPr>
        <w:pStyle w:val="ListParagraph"/>
        <w:numPr>
          <w:ilvl w:val="0"/>
          <w:numId w:val="12"/>
        </w:numPr>
        <w:tabs>
          <w:tab w:val="left" w:pos="319"/>
        </w:tabs>
        <w:spacing w:before="6" w:line="357" w:lineRule="auto"/>
        <w:ind w:left="136" w:right="916" w:firstLine="0"/>
        <w:jc w:val="left"/>
      </w:pPr>
      <w:r>
        <w:rPr>
          <w:sz w:val="24"/>
        </w:rPr>
        <w:t>1 of the Anti-Dumping Agreement. In turn, this definition was a "keystone" of MOFCOM's investigation because it laid the foundation for its injury and causation analyses.</w:t>
      </w:r>
      <w:hyperlink w:anchor="_bookmark1649" w:history="1">
        <w:r>
          <w:rPr>
            <w:sz w:val="24"/>
            <w:vertAlign w:val="superscript"/>
          </w:rPr>
          <w:t>1430</w:t>
        </w:r>
      </w:hyperlink>
    </w:p>
    <w:p w14:paraId="573FDFF7" w14:textId="684AC3C2" w:rsidR="00BD462C" w:rsidRDefault="00D443C8">
      <w:pPr>
        <w:pStyle w:val="BodyText"/>
        <w:spacing w:before="168"/>
        <w:ind w:left="135"/>
        <w:jc w:val="both"/>
      </w:pPr>
      <w:r>
        <w:rPr>
          <w:noProof/>
        </w:rPr>
        <w:t>984.</w:t>
      </w:r>
      <w:r w:rsidR="00033D0F">
        <w:rPr>
          <w:rFonts w:ascii="Times New Roman"/>
          <w:spacing w:val="80"/>
          <w:position w:val="1"/>
          <w:sz w:val="20"/>
        </w:rPr>
        <w:t xml:space="preserve">   </w:t>
      </w:r>
      <w:r w:rsidR="00033D0F">
        <w:rPr>
          <w:position w:val="1"/>
        </w:rPr>
        <w:t>As</w:t>
      </w:r>
      <w:r w:rsidR="00033D0F">
        <w:rPr>
          <w:spacing w:val="40"/>
          <w:position w:val="1"/>
        </w:rPr>
        <w:t xml:space="preserve"> </w:t>
      </w:r>
      <w:r w:rsidR="00033D0F">
        <w:rPr>
          <w:position w:val="1"/>
        </w:rPr>
        <w:t>China</w:t>
      </w:r>
      <w:r w:rsidR="00033D0F">
        <w:rPr>
          <w:spacing w:val="39"/>
          <w:position w:val="1"/>
        </w:rPr>
        <w:t xml:space="preserve"> </w:t>
      </w:r>
      <w:r w:rsidR="00033D0F">
        <w:rPr>
          <w:position w:val="1"/>
        </w:rPr>
        <w:t>itself</w:t>
      </w:r>
      <w:r w:rsidR="00033D0F">
        <w:rPr>
          <w:spacing w:val="37"/>
          <w:position w:val="1"/>
        </w:rPr>
        <w:t xml:space="preserve"> </w:t>
      </w:r>
      <w:r w:rsidR="00033D0F">
        <w:rPr>
          <w:position w:val="1"/>
        </w:rPr>
        <w:t>argues,</w:t>
      </w:r>
      <w:hyperlink w:anchor="_bookmark1650" w:history="1">
        <w:r w:rsidR="00033D0F">
          <w:rPr>
            <w:position w:val="1"/>
            <w:vertAlign w:val="superscript"/>
          </w:rPr>
          <w:t>1431</w:t>
        </w:r>
      </w:hyperlink>
      <w:r w:rsidR="00033D0F">
        <w:rPr>
          <w:spacing w:val="40"/>
          <w:position w:val="1"/>
        </w:rPr>
        <w:t xml:space="preserve"> </w:t>
      </w:r>
      <w:r w:rsidR="00033D0F">
        <w:rPr>
          <w:position w:val="1"/>
        </w:rPr>
        <w:t>what</w:t>
      </w:r>
      <w:r w:rsidR="00033D0F">
        <w:rPr>
          <w:spacing w:val="35"/>
          <w:position w:val="1"/>
        </w:rPr>
        <w:t xml:space="preserve"> </w:t>
      </w:r>
      <w:r w:rsidR="00033D0F">
        <w:rPr>
          <w:position w:val="1"/>
        </w:rPr>
        <w:t>is</w:t>
      </w:r>
      <w:r w:rsidR="00033D0F">
        <w:rPr>
          <w:spacing w:val="40"/>
          <w:position w:val="1"/>
        </w:rPr>
        <w:t xml:space="preserve"> </w:t>
      </w:r>
      <w:r w:rsidR="00033D0F">
        <w:rPr>
          <w:position w:val="1"/>
        </w:rPr>
        <w:t>"material"</w:t>
      </w:r>
      <w:r w:rsidR="00033D0F">
        <w:rPr>
          <w:spacing w:val="38"/>
          <w:position w:val="1"/>
        </w:rPr>
        <w:t xml:space="preserve"> </w:t>
      </w:r>
      <w:r w:rsidR="00033D0F">
        <w:rPr>
          <w:position w:val="1"/>
        </w:rPr>
        <w:t>for</w:t>
      </w:r>
      <w:r w:rsidR="00033D0F">
        <w:rPr>
          <w:spacing w:val="36"/>
          <w:position w:val="1"/>
        </w:rPr>
        <w:t xml:space="preserve"> </w:t>
      </w:r>
      <w:r w:rsidR="00033D0F">
        <w:rPr>
          <w:position w:val="1"/>
        </w:rPr>
        <w:t>the</w:t>
      </w:r>
      <w:r w:rsidR="00033D0F">
        <w:rPr>
          <w:spacing w:val="39"/>
          <w:position w:val="1"/>
        </w:rPr>
        <w:t xml:space="preserve"> </w:t>
      </w:r>
      <w:r w:rsidR="00033D0F">
        <w:rPr>
          <w:position w:val="1"/>
        </w:rPr>
        <w:t>purposes</w:t>
      </w:r>
      <w:r w:rsidR="00033D0F">
        <w:rPr>
          <w:spacing w:val="40"/>
          <w:position w:val="1"/>
        </w:rPr>
        <w:t xml:space="preserve"> </w:t>
      </w:r>
      <w:r w:rsidR="00033D0F">
        <w:rPr>
          <w:position w:val="1"/>
        </w:rPr>
        <w:t>of</w:t>
      </w:r>
      <w:r w:rsidR="00033D0F">
        <w:rPr>
          <w:spacing w:val="37"/>
          <w:position w:val="1"/>
        </w:rPr>
        <w:t xml:space="preserve"> </w:t>
      </w:r>
      <w:r w:rsidR="00033D0F">
        <w:rPr>
          <w:position w:val="1"/>
        </w:rPr>
        <w:t>Articles</w:t>
      </w:r>
      <w:r w:rsidR="00033D0F">
        <w:rPr>
          <w:spacing w:val="40"/>
          <w:position w:val="1"/>
        </w:rPr>
        <w:t xml:space="preserve"> </w:t>
      </w:r>
      <w:r w:rsidR="00033D0F">
        <w:rPr>
          <w:position w:val="1"/>
        </w:rPr>
        <w:t>12.2</w:t>
      </w:r>
      <w:r w:rsidR="00033D0F">
        <w:rPr>
          <w:spacing w:val="37"/>
          <w:position w:val="1"/>
        </w:rPr>
        <w:t xml:space="preserve"> </w:t>
      </w:r>
      <w:r w:rsidR="00033D0F">
        <w:rPr>
          <w:position w:val="1"/>
        </w:rPr>
        <w:t>and</w:t>
      </w:r>
    </w:p>
    <w:p w14:paraId="487FDB79" w14:textId="77777777" w:rsidR="00BD462C" w:rsidRDefault="00033D0F">
      <w:pPr>
        <w:pStyle w:val="BodyText"/>
        <w:spacing w:before="134" w:line="360" w:lineRule="auto"/>
        <w:ind w:left="136" w:right="915"/>
        <w:jc w:val="both"/>
      </w:pPr>
      <w:r>
        <w:t>12.2.2 should be considered in light of the substantive provision at issue. The information at issue was relevant and material to defining the domestic output, and as such the determination of injury and causation. Australia submits that an unbiased and objective investigating authority could not have found otherwise. MOFCOM's failure to provide such disclosure deprived interested parties and the public from understanding the basis of MOFCOM's</w:t>
      </w:r>
      <w:r>
        <w:rPr>
          <w:spacing w:val="-6"/>
        </w:rPr>
        <w:t xml:space="preserve"> </w:t>
      </w:r>
      <w:r>
        <w:t>decision</w:t>
      </w:r>
      <w:r>
        <w:rPr>
          <w:spacing w:val="-9"/>
        </w:rPr>
        <w:t xml:space="preserve"> </w:t>
      </w:r>
      <w:r>
        <w:t>to</w:t>
      </w:r>
      <w:r>
        <w:rPr>
          <w:spacing w:val="-10"/>
        </w:rPr>
        <w:t xml:space="preserve"> </w:t>
      </w:r>
      <w:r>
        <w:t>impose</w:t>
      </w:r>
      <w:r>
        <w:rPr>
          <w:spacing w:val="-2"/>
        </w:rPr>
        <w:t xml:space="preserve"> </w:t>
      </w:r>
      <w:r>
        <w:t>definitive</w:t>
      </w:r>
      <w:r>
        <w:rPr>
          <w:spacing w:val="-7"/>
        </w:rPr>
        <w:t xml:space="preserve"> </w:t>
      </w:r>
      <w:r>
        <w:t>measures</w:t>
      </w:r>
      <w:r>
        <w:rPr>
          <w:spacing w:val="-6"/>
        </w:rPr>
        <w:t xml:space="preserve"> </w:t>
      </w:r>
      <w:r>
        <w:t>in</w:t>
      </w:r>
      <w:r>
        <w:rPr>
          <w:spacing w:val="-9"/>
        </w:rPr>
        <w:t xml:space="preserve"> </w:t>
      </w:r>
      <w:r>
        <w:t>breach</w:t>
      </w:r>
      <w:r>
        <w:rPr>
          <w:spacing w:val="-4"/>
        </w:rPr>
        <w:t xml:space="preserve"> </w:t>
      </w:r>
      <w:r>
        <w:t>of</w:t>
      </w:r>
      <w:r>
        <w:rPr>
          <w:spacing w:val="-9"/>
        </w:rPr>
        <w:t xml:space="preserve"> </w:t>
      </w:r>
      <w:r>
        <w:t>the</w:t>
      </w:r>
      <w:r>
        <w:rPr>
          <w:spacing w:val="-3"/>
        </w:rPr>
        <w:t xml:space="preserve"> </w:t>
      </w:r>
      <w:r>
        <w:t>obligations</w:t>
      </w:r>
      <w:r>
        <w:rPr>
          <w:spacing w:val="-6"/>
        </w:rPr>
        <w:t xml:space="preserve"> </w:t>
      </w:r>
      <w:r>
        <w:t>under</w:t>
      </w:r>
      <w:r>
        <w:rPr>
          <w:spacing w:val="-5"/>
        </w:rPr>
        <w:t xml:space="preserve"> </w:t>
      </w:r>
      <w:r>
        <w:t>Articles</w:t>
      </w:r>
    </w:p>
    <w:p w14:paraId="6C139B81" w14:textId="77777777" w:rsidR="00BD462C" w:rsidRDefault="00033D0F">
      <w:pPr>
        <w:pStyle w:val="BodyText"/>
        <w:spacing w:line="291" w:lineRule="exact"/>
        <w:ind w:left="136"/>
        <w:jc w:val="both"/>
      </w:pPr>
      <w:r>
        <w:t>12.2</w:t>
      </w:r>
      <w:r>
        <w:rPr>
          <w:spacing w:val="-7"/>
        </w:rPr>
        <w:t xml:space="preserve"> </w:t>
      </w:r>
      <w:r>
        <w:t xml:space="preserve">and </w:t>
      </w:r>
      <w:r>
        <w:rPr>
          <w:spacing w:val="-2"/>
        </w:rPr>
        <w:t>12.2.2.</w:t>
      </w:r>
    </w:p>
    <w:p w14:paraId="474188F1" w14:textId="77777777" w:rsidR="00BD462C" w:rsidRDefault="00BD462C">
      <w:pPr>
        <w:pStyle w:val="BodyText"/>
        <w:spacing w:before="11"/>
        <w:rPr>
          <w:sz w:val="20"/>
        </w:rPr>
      </w:pPr>
    </w:p>
    <w:p w14:paraId="382F60BD" w14:textId="567AC0C6" w:rsidR="00BD462C" w:rsidRDefault="00D443C8">
      <w:pPr>
        <w:pStyle w:val="BodyText"/>
        <w:spacing w:before="56" w:line="360" w:lineRule="auto"/>
        <w:ind w:left="135" w:right="915"/>
        <w:jc w:val="both"/>
      </w:pPr>
      <w:r>
        <w:rPr>
          <w:noProof/>
        </w:rPr>
        <w:t>985.</w:t>
      </w:r>
      <w:r w:rsidR="00033D0F">
        <w:rPr>
          <w:rFonts w:ascii="Times New Roman"/>
          <w:spacing w:val="40"/>
          <w:position w:val="1"/>
          <w:sz w:val="20"/>
        </w:rPr>
        <w:t xml:space="preserve"> </w:t>
      </w:r>
      <w:r w:rsidR="00033D0F">
        <w:rPr>
          <w:position w:val="1"/>
        </w:rPr>
        <w:t xml:space="preserve">Finally, China argues that because "the Australian Government itself provided </w:t>
      </w:r>
      <w:r w:rsidR="00033D0F">
        <w:t>comments regarding the output of the domestic industry, at various stages of the investigation"</w:t>
      </w:r>
      <w:r w:rsidR="00033D0F">
        <w:rPr>
          <w:spacing w:val="-8"/>
        </w:rPr>
        <w:t xml:space="preserve"> </w:t>
      </w:r>
      <w:r w:rsidR="00033D0F">
        <w:t>this</w:t>
      </w:r>
      <w:r w:rsidR="00033D0F">
        <w:rPr>
          <w:spacing w:val="-6"/>
        </w:rPr>
        <w:t xml:space="preserve"> </w:t>
      </w:r>
      <w:r w:rsidR="00033D0F">
        <w:t>is</w:t>
      </w:r>
      <w:r w:rsidR="00033D0F">
        <w:rPr>
          <w:spacing w:val="-6"/>
        </w:rPr>
        <w:t xml:space="preserve"> </w:t>
      </w:r>
      <w:r w:rsidR="00033D0F">
        <w:t>somehow</w:t>
      </w:r>
      <w:r w:rsidR="00033D0F">
        <w:rPr>
          <w:spacing w:val="-7"/>
        </w:rPr>
        <w:t xml:space="preserve"> </w:t>
      </w:r>
      <w:r w:rsidR="00033D0F">
        <w:t>evidence</w:t>
      </w:r>
      <w:r w:rsidR="00033D0F">
        <w:rPr>
          <w:spacing w:val="-7"/>
        </w:rPr>
        <w:t xml:space="preserve"> </w:t>
      </w:r>
      <w:r w:rsidR="00033D0F">
        <w:t>that</w:t>
      </w:r>
      <w:r w:rsidR="00033D0F">
        <w:rPr>
          <w:spacing w:val="-7"/>
        </w:rPr>
        <w:t xml:space="preserve"> </w:t>
      </w:r>
      <w:r w:rsidR="00033D0F">
        <w:t>MOFCOM</w:t>
      </w:r>
      <w:r w:rsidR="00033D0F">
        <w:rPr>
          <w:spacing w:val="-7"/>
        </w:rPr>
        <w:t xml:space="preserve"> </w:t>
      </w:r>
      <w:r w:rsidR="00033D0F">
        <w:t>met</w:t>
      </w:r>
      <w:r w:rsidR="00033D0F">
        <w:rPr>
          <w:spacing w:val="-7"/>
        </w:rPr>
        <w:t xml:space="preserve"> </w:t>
      </w:r>
      <w:r w:rsidR="00033D0F">
        <w:t>its</w:t>
      </w:r>
      <w:r w:rsidR="00033D0F">
        <w:rPr>
          <w:spacing w:val="-6"/>
        </w:rPr>
        <w:t xml:space="preserve"> </w:t>
      </w:r>
      <w:r w:rsidR="00033D0F">
        <w:t>disclosure</w:t>
      </w:r>
      <w:r w:rsidR="00033D0F">
        <w:rPr>
          <w:spacing w:val="-7"/>
        </w:rPr>
        <w:t xml:space="preserve"> </w:t>
      </w:r>
      <w:r w:rsidR="00033D0F">
        <w:t>obligations.</w:t>
      </w:r>
      <w:hyperlink w:anchor="_bookmark1651" w:history="1">
        <w:r w:rsidR="00033D0F">
          <w:rPr>
            <w:vertAlign w:val="superscript"/>
          </w:rPr>
          <w:t>1432</w:t>
        </w:r>
      </w:hyperlink>
      <w:r w:rsidR="00033D0F">
        <w:rPr>
          <w:spacing w:val="-6"/>
        </w:rPr>
        <w:t xml:space="preserve"> </w:t>
      </w:r>
      <w:r w:rsidR="00033D0F">
        <w:t xml:space="preserve">This argument is without merit. Not only did the comments referred to by China </w:t>
      </w:r>
      <w:proofErr w:type="spellStart"/>
      <w:r w:rsidR="00033D0F">
        <w:t>criticise</w:t>
      </w:r>
      <w:proofErr w:type="spellEnd"/>
      <w:r w:rsidR="00033D0F">
        <w:t xml:space="preserve"> MOFCOM's</w:t>
      </w:r>
      <w:r w:rsidR="00033D0F">
        <w:rPr>
          <w:spacing w:val="-11"/>
        </w:rPr>
        <w:t xml:space="preserve"> </w:t>
      </w:r>
      <w:r w:rsidR="00033D0F">
        <w:t>lack</w:t>
      </w:r>
      <w:r w:rsidR="00033D0F">
        <w:rPr>
          <w:spacing w:val="-7"/>
        </w:rPr>
        <w:t xml:space="preserve"> </w:t>
      </w:r>
      <w:r w:rsidR="00033D0F">
        <w:t>of</w:t>
      </w:r>
      <w:r w:rsidR="00033D0F">
        <w:rPr>
          <w:spacing w:val="-10"/>
        </w:rPr>
        <w:t xml:space="preserve"> </w:t>
      </w:r>
      <w:r w:rsidR="00033D0F">
        <w:t>necessary</w:t>
      </w:r>
      <w:r w:rsidR="00033D0F">
        <w:rPr>
          <w:spacing w:val="-7"/>
        </w:rPr>
        <w:t xml:space="preserve"> </w:t>
      </w:r>
      <w:r w:rsidR="00033D0F">
        <w:t>detail</w:t>
      </w:r>
      <w:r w:rsidR="00033D0F">
        <w:rPr>
          <w:spacing w:val="-6"/>
        </w:rPr>
        <w:t xml:space="preserve"> </w:t>
      </w:r>
      <w:r w:rsidR="00033D0F">
        <w:t>in</w:t>
      </w:r>
      <w:r w:rsidR="00033D0F">
        <w:rPr>
          <w:spacing w:val="-10"/>
        </w:rPr>
        <w:t xml:space="preserve"> </w:t>
      </w:r>
      <w:r w:rsidR="00033D0F">
        <w:t>its</w:t>
      </w:r>
      <w:r w:rsidR="00033D0F">
        <w:rPr>
          <w:spacing w:val="-7"/>
        </w:rPr>
        <w:t xml:space="preserve"> </w:t>
      </w:r>
      <w:r w:rsidR="00033D0F">
        <w:t>earlier</w:t>
      </w:r>
      <w:r w:rsidR="00033D0F">
        <w:rPr>
          <w:spacing w:val="-11"/>
        </w:rPr>
        <w:t xml:space="preserve"> </w:t>
      </w:r>
      <w:r w:rsidR="00033D0F">
        <w:t>disclosures,</w:t>
      </w:r>
      <w:r w:rsidR="00033D0F">
        <w:rPr>
          <w:spacing w:val="-6"/>
        </w:rPr>
        <w:t xml:space="preserve"> </w:t>
      </w:r>
      <w:r w:rsidR="00033D0F">
        <w:t>but</w:t>
      </w:r>
      <w:r w:rsidR="00033D0F">
        <w:rPr>
          <w:spacing w:val="-8"/>
        </w:rPr>
        <w:t xml:space="preserve"> </w:t>
      </w:r>
      <w:r w:rsidR="00033D0F">
        <w:t>the</w:t>
      </w:r>
      <w:r w:rsidR="00033D0F">
        <w:rPr>
          <w:spacing w:val="-8"/>
        </w:rPr>
        <w:t xml:space="preserve"> </w:t>
      </w:r>
      <w:r w:rsidR="00033D0F">
        <w:t>comments</w:t>
      </w:r>
      <w:r w:rsidR="00033D0F">
        <w:rPr>
          <w:spacing w:val="-7"/>
        </w:rPr>
        <w:t xml:space="preserve"> </w:t>
      </w:r>
      <w:r w:rsidR="00033D0F">
        <w:t>were</w:t>
      </w:r>
      <w:r w:rsidR="00033D0F">
        <w:rPr>
          <w:spacing w:val="-8"/>
        </w:rPr>
        <w:t xml:space="preserve"> </w:t>
      </w:r>
      <w:r w:rsidR="00033D0F">
        <w:t>provided prior to the Final Determination being released. In this light, China's observations about Australian Government comments are misplaced and irrelevant. The fact remains that MOFCOM's Final Determination did not contain all of the information required to meet the obligations under Articles 12.2 and 12.2.2.</w:t>
      </w:r>
    </w:p>
    <w:p w14:paraId="0C9F0EAD" w14:textId="77777777" w:rsidR="00BD462C" w:rsidRDefault="00033D0F">
      <w:pPr>
        <w:pStyle w:val="ListParagraph"/>
        <w:numPr>
          <w:ilvl w:val="0"/>
          <w:numId w:val="9"/>
        </w:numPr>
        <w:tabs>
          <w:tab w:val="left" w:pos="3539"/>
          <w:tab w:val="left" w:pos="3540"/>
        </w:tabs>
        <w:spacing w:before="155" w:line="362" w:lineRule="auto"/>
        <w:ind w:right="914"/>
        <w:jc w:val="both"/>
        <w:rPr>
          <w:sz w:val="24"/>
        </w:rPr>
      </w:pPr>
      <w:bookmarkStart w:id="1911" w:name="(b)_MOFCOM's_recourse_to_&quot;facts_availabl"/>
      <w:bookmarkEnd w:id="1911"/>
      <w:r>
        <w:rPr>
          <w:sz w:val="24"/>
          <w:u w:val="single"/>
        </w:rPr>
        <w:t>MOFCOM's recourse to "facts available" to determine</w:t>
      </w:r>
      <w:r>
        <w:rPr>
          <w:sz w:val="24"/>
        </w:rPr>
        <w:t xml:space="preserve"> </w:t>
      </w:r>
      <w:r>
        <w:rPr>
          <w:sz w:val="24"/>
          <w:u w:val="single"/>
        </w:rPr>
        <w:t>normal value and selection of the facts available</w:t>
      </w:r>
    </w:p>
    <w:p w14:paraId="4D02B86C" w14:textId="77777777" w:rsidR="00BD462C" w:rsidRDefault="00BD462C">
      <w:pPr>
        <w:pStyle w:val="BodyText"/>
        <w:spacing w:before="7"/>
        <w:rPr>
          <w:sz w:val="8"/>
        </w:rPr>
      </w:pPr>
    </w:p>
    <w:p w14:paraId="7C69DC33" w14:textId="32831E56" w:rsidR="00BD462C" w:rsidRDefault="00D443C8">
      <w:pPr>
        <w:pStyle w:val="BodyText"/>
        <w:spacing w:before="56" w:line="357" w:lineRule="auto"/>
        <w:ind w:left="135" w:right="914"/>
        <w:jc w:val="both"/>
      </w:pPr>
      <w:r>
        <w:rPr>
          <w:noProof/>
        </w:rPr>
        <w:t>986.</w:t>
      </w:r>
      <w:r w:rsidR="00033D0F">
        <w:rPr>
          <w:rFonts w:ascii="Times New Roman"/>
          <w:spacing w:val="80"/>
          <w:position w:val="1"/>
          <w:sz w:val="20"/>
        </w:rPr>
        <w:t xml:space="preserve"> </w:t>
      </w:r>
      <w:r w:rsidR="00033D0F">
        <w:rPr>
          <w:position w:val="1"/>
        </w:rPr>
        <w:t xml:space="preserve">Australia has established that MOFCOM failed to make available all relevant </w:t>
      </w:r>
      <w:r w:rsidR="00033D0F">
        <w:t>information on the matters of fact and law and reasons relating to its decision to resort to "facts</w:t>
      </w:r>
      <w:r w:rsidR="00033D0F">
        <w:rPr>
          <w:spacing w:val="40"/>
        </w:rPr>
        <w:t xml:space="preserve"> </w:t>
      </w:r>
      <w:r w:rsidR="00033D0F">
        <w:t>available",</w:t>
      </w:r>
      <w:r w:rsidR="00033D0F">
        <w:rPr>
          <w:spacing w:val="40"/>
        </w:rPr>
        <w:t xml:space="preserve"> </w:t>
      </w:r>
      <w:r w:rsidR="00033D0F">
        <w:t>as</w:t>
      </w:r>
      <w:r w:rsidR="00033D0F">
        <w:rPr>
          <w:spacing w:val="40"/>
        </w:rPr>
        <w:t xml:space="preserve"> </w:t>
      </w:r>
      <w:r w:rsidR="00033D0F">
        <w:t>well</w:t>
      </w:r>
      <w:r w:rsidR="00033D0F">
        <w:rPr>
          <w:spacing w:val="40"/>
        </w:rPr>
        <w:t xml:space="preserve"> </w:t>
      </w:r>
      <w:r w:rsidR="00033D0F">
        <w:t>as</w:t>
      </w:r>
      <w:r w:rsidR="00033D0F">
        <w:rPr>
          <w:spacing w:val="40"/>
        </w:rPr>
        <w:t xml:space="preserve"> </w:t>
      </w:r>
      <w:r w:rsidR="00033D0F">
        <w:t>MOFCOM's</w:t>
      </w:r>
      <w:r w:rsidR="00033D0F">
        <w:rPr>
          <w:spacing w:val="40"/>
        </w:rPr>
        <w:t xml:space="preserve"> </w:t>
      </w:r>
      <w:r w:rsidR="00033D0F">
        <w:t>failures</w:t>
      </w:r>
      <w:r w:rsidR="00033D0F">
        <w:rPr>
          <w:spacing w:val="40"/>
        </w:rPr>
        <w:t xml:space="preserve"> </w:t>
      </w:r>
      <w:r w:rsidR="00033D0F">
        <w:t>to</w:t>
      </w:r>
      <w:r w:rsidR="00033D0F">
        <w:rPr>
          <w:spacing w:val="40"/>
        </w:rPr>
        <w:t xml:space="preserve"> </w:t>
      </w:r>
      <w:r w:rsidR="00033D0F">
        <w:t>disclose</w:t>
      </w:r>
      <w:r w:rsidR="00033D0F">
        <w:rPr>
          <w:spacing w:val="40"/>
        </w:rPr>
        <w:t xml:space="preserve"> </w:t>
      </w:r>
      <w:r w:rsidR="00033D0F">
        <w:t>certain</w:t>
      </w:r>
      <w:r w:rsidR="00033D0F">
        <w:rPr>
          <w:spacing w:val="40"/>
        </w:rPr>
        <w:t xml:space="preserve"> </w:t>
      </w:r>
      <w:r w:rsidR="00033D0F">
        <w:t>data</w:t>
      </w:r>
      <w:r w:rsidR="00033D0F">
        <w:rPr>
          <w:spacing w:val="40"/>
        </w:rPr>
        <w:t xml:space="preserve"> </w:t>
      </w:r>
      <w:r w:rsidR="00033D0F">
        <w:t>and</w:t>
      </w:r>
      <w:r w:rsidR="00033D0F">
        <w:rPr>
          <w:spacing w:val="40"/>
        </w:rPr>
        <w:t xml:space="preserve"> </w:t>
      </w:r>
      <w:r w:rsidR="00033D0F">
        <w:t>information</w:t>
      </w:r>
    </w:p>
    <w:p w14:paraId="04318FFC" w14:textId="77777777" w:rsidR="00BD462C" w:rsidRDefault="00BD462C">
      <w:pPr>
        <w:pStyle w:val="BodyText"/>
        <w:rPr>
          <w:sz w:val="20"/>
        </w:rPr>
      </w:pPr>
    </w:p>
    <w:p w14:paraId="7C6D68F8" w14:textId="77777777" w:rsidR="00BD462C" w:rsidRDefault="00BD462C">
      <w:pPr>
        <w:pStyle w:val="BodyText"/>
        <w:rPr>
          <w:sz w:val="20"/>
        </w:rPr>
      </w:pPr>
    </w:p>
    <w:p w14:paraId="0C60FBAA" w14:textId="2D1086C2" w:rsidR="00BD462C" w:rsidRDefault="00D600FD">
      <w:pPr>
        <w:pStyle w:val="BodyText"/>
        <w:spacing w:before="2"/>
        <w:rPr>
          <w:sz w:val="29"/>
        </w:rPr>
      </w:pPr>
      <w:r>
        <w:rPr>
          <w:noProof/>
        </w:rPr>
        <mc:AlternateContent>
          <mc:Choice Requires="wps">
            <w:drawing>
              <wp:anchor distT="0" distB="0" distL="0" distR="0" simplePos="0" relativeHeight="488157696" behindDoc="1" locked="0" layoutInCell="1" allowOverlap="1" wp14:anchorId="6E0E9E49" wp14:editId="41DB403E">
                <wp:simplePos x="0" y="0"/>
                <wp:positionH relativeFrom="page">
                  <wp:posOffset>812800</wp:posOffset>
                </wp:positionH>
                <wp:positionV relativeFrom="paragraph">
                  <wp:posOffset>227965</wp:posOffset>
                </wp:positionV>
                <wp:extent cx="1828800" cy="8890"/>
                <wp:effectExtent l="0" t="0" r="0" b="0"/>
                <wp:wrapTopAndBottom/>
                <wp:docPr id="133" name="docshape7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5DAAB3" id="docshape705" o:spid="_x0000_s1026" alt="&quot;&quot;" style="position:absolute;margin-left:64pt;margin-top:17.95pt;width:2in;height:.7pt;z-index:-1515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" fillcolor="black" stroked="f">
                <w10:wrap type="topAndBottom" anchorx="page"/>
              </v:rect>
            </w:pict>
          </mc:Fallback>
        </mc:AlternateContent>
      </w:r>
    </w:p>
    <w:p w14:paraId="7FA36F1D" w14:textId="77777777" w:rsidR="00BD462C" w:rsidRDefault="00033D0F">
      <w:pPr>
        <w:spacing w:before="112"/>
        <w:ind w:left="135"/>
        <w:rPr>
          <w:sz w:val="18"/>
        </w:rPr>
      </w:pPr>
      <w:bookmarkStart w:id="1912" w:name="_bookmark1649"/>
      <w:bookmarkEnd w:id="1912"/>
      <w:r>
        <w:rPr>
          <w:position w:val="5"/>
          <w:sz w:val="12"/>
        </w:rPr>
        <w:t>1430</w:t>
      </w:r>
      <w:r>
        <w:rPr>
          <w:spacing w:val="16"/>
          <w:position w:val="5"/>
          <w:sz w:val="12"/>
        </w:rPr>
        <w:t xml:space="preserve"> </w:t>
      </w:r>
      <w:r>
        <w:rPr>
          <w:sz w:val="18"/>
        </w:rPr>
        <w:t>Panel</w:t>
      </w:r>
      <w:r>
        <w:rPr>
          <w:spacing w:val="-1"/>
          <w:sz w:val="18"/>
        </w:rPr>
        <w:t xml:space="preserve"> </w:t>
      </w:r>
      <w:r>
        <w:rPr>
          <w:sz w:val="18"/>
        </w:rPr>
        <w:t>Report,</w:t>
      </w:r>
      <w:r>
        <w:rPr>
          <w:spacing w:val="-5"/>
          <w:sz w:val="18"/>
        </w:rPr>
        <w:t xml:space="preserve"> </w:t>
      </w:r>
      <w:r>
        <w:rPr>
          <w:i/>
          <w:sz w:val="18"/>
        </w:rPr>
        <w:t>EC</w:t>
      </w:r>
      <w:r>
        <w:rPr>
          <w:i/>
          <w:spacing w:val="-2"/>
          <w:sz w:val="18"/>
        </w:rPr>
        <w:t xml:space="preserve"> </w:t>
      </w:r>
      <w:r>
        <w:rPr>
          <w:i/>
          <w:sz w:val="18"/>
        </w:rPr>
        <w:t>–</w:t>
      </w:r>
      <w:r>
        <w:rPr>
          <w:i/>
          <w:spacing w:val="-2"/>
          <w:sz w:val="18"/>
        </w:rPr>
        <w:t xml:space="preserve"> </w:t>
      </w:r>
      <w:r>
        <w:rPr>
          <w:i/>
          <w:sz w:val="18"/>
        </w:rPr>
        <w:t>Tube</w:t>
      </w:r>
      <w:r>
        <w:rPr>
          <w:i/>
          <w:spacing w:val="-4"/>
          <w:sz w:val="18"/>
        </w:rPr>
        <w:t xml:space="preserve"> </w:t>
      </w:r>
      <w:r>
        <w:rPr>
          <w:i/>
          <w:sz w:val="18"/>
        </w:rPr>
        <w:t>or</w:t>
      </w:r>
      <w:r>
        <w:rPr>
          <w:i/>
          <w:spacing w:val="-3"/>
          <w:sz w:val="18"/>
        </w:rPr>
        <w:t xml:space="preserve"> </w:t>
      </w:r>
      <w:r>
        <w:rPr>
          <w:i/>
          <w:sz w:val="18"/>
        </w:rPr>
        <w:t>Pipe</w:t>
      </w:r>
      <w:r>
        <w:rPr>
          <w:i/>
          <w:spacing w:val="-3"/>
          <w:sz w:val="18"/>
        </w:rPr>
        <w:t xml:space="preserve"> </w:t>
      </w:r>
      <w:r>
        <w:rPr>
          <w:i/>
          <w:sz w:val="18"/>
        </w:rPr>
        <w:t>Fittings</w:t>
      </w:r>
      <w:r>
        <w:rPr>
          <w:sz w:val="18"/>
        </w:rPr>
        <w:t>, para.</w:t>
      </w:r>
      <w:r>
        <w:rPr>
          <w:spacing w:val="-1"/>
          <w:sz w:val="18"/>
        </w:rPr>
        <w:t xml:space="preserve"> </w:t>
      </w:r>
      <w:r>
        <w:rPr>
          <w:spacing w:val="-2"/>
          <w:sz w:val="18"/>
        </w:rPr>
        <w:t>7.397.</w:t>
      </w:r>
    </w:p>
    <w:p w14:paraId="3BEA9AE1" w14:textId="77777777" w:rsidR="00BD462C" w:rsidRDefault="00033D0F">
      <w:pPr>
        <w:spacing w:before="1"/>
        <w:ind w:left="135"/>
        <w:rPr>
          <w:sz w:val="18"/>
        </w:rPr>
      </w:pPr>
      <w:bookmarkStart w:id="1913" w:name="_bookmark1650"/>
      <w:bookmarkEnd w:id="1913"/>
      <w:r>
        <w:rPr>
          <w:position w:val="5"/>
          <w:sz w:val="12"/>
        </w:rPr>
        <w:t>1431</w:t>
      </w:r>
      <w:r>
        <w:rPr>
          <w:spacing w:val="13"/>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 xml:space="preserve">para. </w:t>
      </w:r>
      <w:r>
        <w:rPr>
          <w:spacing w:val="-2"/>
          <w:sz w:val="18"/>
        </w:rPr>
        <w:t>2600.</w:t>
      </w:r>
    </w:p>
    <w:p w14:paraId="32448095" w14:textId="77777777" w:rsidR="00BD462C" w:rsidRDefault="00033D0F">
      <w:pPr>
        <w:spacing w:before="1"/>
        <w:ind w:left="135"/>
        <w:rPr>
          <w:sz w:val="18"/>
        </w:rPr>
      </w:pPr>
      <w:bookmarkStart w:id="1914" w:name="_bookmark1651"/>
      <w:bookmarkEnd w:id="1914"/>
      <w:r>
        <w:rPr>
          <w:position w:val="5"/>
          <w:sz w:val="12"/>
        </w:rPr>
        <w:t>1432</w:t>
      </w:r>
      <w:r>
        <w:rPr>
          <w:spacing w:val="13"/>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 xml:space="preserve">para. </w:t>
      </w:r>
      <w:r>
        <w:rPr>
          <w:spacing w:val="-2"/>
          <w:sz w:val="18"/>
        </w:rPr>
        <w:t>2614.</w:t>
      </w:r>
    </w:p>
    <w:p w14:paraId="09059B9D" w14:textId="77777777" w:rsidR="00BD462C" w:rsidRDefault="00BD462C">
      <w:pPr>
        <w:rPr>
          <w:sz w:val="18"/>
        </w:rPr>
        <w:sectPr w:rsidR="00BD462C">
          <w:pgSz w:w="11910" w:h="16840"/>
          <w:pgMar w:top="860" w:right="500" w:bottom="780" w:left="1280" w:header="566" w:footer="590" w:gutter="0"/>
          <w:cols w:space="720"/>
        </w:sectPr>
      </w:pPr>
    </w:p>
    <w:p w14:paraId="372F9474"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375EE562"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4E929FC4"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6A0800C3" w14:textId="77777777" w:rsidR="00BD462C" w:rsidRDefault="00033D0F">
      <w:pPr>
        <w:pStyle w:val="BodyText"/>
        <w:spacing w:before="102" w:line="357" w:lineRule="auto"/>
        <w:ind w:left="135" w:right="910"/>
      </w:pPr>
      <w:r>
        <w:t>relating</w:t>
      </w:r>
      <w:r>
        <w:rPr>
          <w:spacing w:val="80"/>
        </w:rPr>
        <w:t xml:space="preserve"> </w:t>
      </w:r>
      <w:r>
        <w:t>to</w:t>
      </w:r>
      <w:r>
        <w:rPr>
          <w:spacing w:val="80"/>
        </w:rPr>
        <w:t xml:space="preserve"> </w:t>
      </w:r>
      <w:r>
        <w:t>its</w:t>
      </w:r>
      <w:r>
        <w:rPr>
          <w:spacing w:val="80"/>
        </w:rPr>
        <w:t xml:space="preserve"> </w:t>
      </w:r>
      <w:r>
        <w:t>determination</w:t>
      </w:r>
      <w:r>
        <w:rPr>
          <w:spacing w:val="80"/>
        </w:rPr>
        <w:t xml:space="preserve"> </w:t>
      </w:r>
      <w:r>
        <w:t>of</w:t>
      </w:r>
      <w:r>
        <w:rPr>
          <w:spacing w:val="80"/>
        </w:rPr>
        <w:t xml:space="preserve"> </w:t>
      </w:r>
      <w:r>
        <w:t>what</w:t>
      </w:r>
      <w:r>
        <w:rPr>
          <w:spacing w:val="80"/>
        </w:rPr>
        <w:t xml:space="preserve"> </w:t>
      </w:r>
      <w:r>
        <w:t>information</w:t>
      </w:r>
      <w:r>
        <w:rPr>
          <w:spacing w:val="80"/>
        </w:rPr>
        <w:t xml:space="preserve"> </w:t>
      </w:r>
      <w:r>
        <w:t>constituted</w:t>
      </w:r>
      <w:r>
        <w:rPr>
          <w:spacing w:val="80"/>
        </w:rPr>
        <w:t xml:space="preserve"> </w:t>
      </w:r>
      <w:r>
        <w:t>the</w:t>
      </w:r>
      <w:r>
        <w:rPr>
          <w:spacing w:val="80"/>
        </w:rPr>
        <w:t xml:space="preserve"> </w:t>
      </w:r>
      <w:r>
        <w:t>"best</w:t>
      </w:r>
      <w:r>
        <w:rPr>
          <w:spacing w:val="80"/>
        </w:rPr>
        <w:t xml:space="preserve"> </w:t>
      </w:r>
      <w:r>
        <w:t xml:space="preserve">information </w:t>
      </w:r>
      <w:r>
        <w:rPr>
          <w:spacing w:val="-2"/>
        </w:rPr>
        <w:t>available".</w:t>
      </w:r>
      <w:hyperlink w:anchor="_bookmark1652" w:history="1">
        <w:r>
          <w:rPr>
            <w:spacing w:val="-2"/>
            <w:vertAlign w:val="superscript"/>
          </w:rPr>
          <w:t>1433</w:t>
        </w:r>
      </w:hyperlink>
    </w:p>
    <w:p w14:paraId="50121B85" w14:textId="77777777" w:rsidR="00BD462C" w:rsidRDefault="00033D0F">
      <w:pPr>
        <w:pStyle w:val="ListParagraph"/>
        <w:numPr>
          <w:ilvl w:val="1"/>
          <w:numId w:val="9"/>
        </w:numPr>
        <w:tabs>
          <w:tab w:val="left" w:pos="4388"/>
          <w:tab w:val="left" w:pos="4389"/>
        </w:tabs>
        <w:spacing w:before="164"/>
        <w:rPr>
          <w:i/>
          <w:sz w:val="24"/>
        </w:rPr>
      </w:pPr>
      <w:r>
        <w:rPr>
          <w:i/>
          <w:sz w:val="24"/>
        </w:rPr>
        <w:t>Treasury</w:t>
      </w:r>
      <w:r>
        <w:rPr>
          <w:i/>
          <w:spacing w:val="-11"/>
          <w:sz w:val="24"/>
        </w:rPr>
        <w:t xml:space="preserve"> </w:t>
      </w:r>
      <w:r>
        <w:rPr>
          <w:i/>
          <w:spacing w:val="-4"/>
          <w:sz w:val="24"/>
        </w:rPr>
        <w:t>Wines</w:t>
      </w:r>
    </w:p>
    <w:p w14:paraId="61B69F9F" w14:textId="77777777" w:rsidR="00BD462C" w:rsidRDefault="00BD462C">
      <w:pPr>
        <w:pStyle w:val="BodyText"/>
        <w:spacing w:before="11"/>
        <w:rPr>
          <w:i/>
          <w:sz w:val="20"/>
        </w:rPr>
      </w:pPr>
    </w:p>
    <w:p w14:paraId="36167C97" w14:textId="4BFD6EE8" w:rsidR="00BD462C" w:rsidRDefault="00D600FD">
      <w:pPr>
        <w:pStyle w:val="BodyText"/>
        <w:tabs>
          <w:tab w:val="left" w:pos="2123"/>
          <w:tab w:val="left" w:pos="6332"/>
          <w:tab w:val="left" w:pos="8822"/>
        </w:tabs>
        <w:spacing w:before="56" w:line="360" w:lineRule="auto"/>
        <w:ind w:left="135" w:right="912"/>
        <w:jc w:val="both"/>
      </w:pPr>
      <w:r>
        <w:rPr>
          <w:noProof/>
        </w:rPr>
        <mc:AlternateContent>
          <mc:Choice Requires="wps">
            <w:drawing>
              <wp:anchor distT="0" distB="0" distL="114300" distR="114300" simplePos="0" relativeHeight="479198720" behindDoc="1" locked="0" layoutInCell="1" allowOverlap="1" wp14:anchorId="3A0E878B" wp14:editId="66C31558">
                <wp:simplePos x="0" y="0"/>
                <wp:positionH relativeFrom="page">
                  <wp:posOffset>3852333</wp:posOffset>
                </wp:positionH>
                <wp:positionV relativeFrom="paragraph">
                  <wp:posOffset>592667</wp:posOffset>
                </wp:positionV>
                <wp:extent cx="969010" cy="203835"/>
                <wp:effectExtent l="0" t="0" r="2540" b="5715"/>
                <wp:wrapNone/>
                <wp:docPr id="112" name="docshape6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9010" cy="2038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2316E8" id="docshape669" o:spid="_x0000_s1026" alt="&quot;&quot;" style="position:absolute;margin-left:303.35pt;margin-top:46.65pt;width:76.3pt;height:16.05pt;z-index:-2411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" fillcolor="black" stroked="f">
                <w10:wrap anchorx="page"/>
              </v:rect>
            </w:pict>
          </mc:Fallback>
        </mc:AlternateContent>
      </w:r>
      <w:r w:rsidR="006E6DEA">
        <w:rPr>
          <w:noProof/>
        </w:rPr>
        <mc:AlternateContent>
          <mc:Choice Requires="wps">
            <w:drawing>
              <wp:anchor distT="0" distB="0" distL="114300" distR="114300" simplePos="0" relativeHeight="479199744" behindDoc="1" locked="0" layoutInCell="1" allowOverlap="1" wp14:anchorId="7FA159E0" wp14:editId="688D1FCB">
                <wp:simplePos x="0" y="0"/>
                <wp:positionH relativeFrom="page">
                  <wp:posOffset>5164667</wp:posOffset>
                </wp:positionH>
                <wp:positionV relativeFrom="paragraph">
                  <wp:posOffset>872067</wp:posOffset>
                </wp:positionV>
                <wp:extent cx="1156546" cy="203835"/>
                <wp:effectExtent l="0" t="0" r="5715" b="5715"/>
                <wp:wrapNone/>
                <wp:docPr id="108" name="docshape6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6546" cy="2038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A10445" id="docshape671" o:spid="_x0000_s1026" alt="&quot;&quot;" style="position:absolute;margin-left:406.65pt;margin-top:68.65pt;width:91.05pt;height:16.05pt;z-index:-2411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" fillcolor="black" stroked="f">
                <w10:wrap anchorx="page"/>
              </v:rect>
            </w:pict>
          </mc:Fallback>
        </mc:AlternateContent>
      </w:r>
      <w:r w:rsidR="00D70C7D">
        <w:rPr>
          <w:noProof/>
        </w:rPr>
        <mc:AlternateContent>
          <mc:Choice Requires="wps">
            <w:drawing>
              <wp:anchor distT="0" distB="0" distL="114300" distR="114300" simplePos="0" relativeHeight="479199232" behindDoc="1" locked="0" layoutInCell="1" allowOverlap="1" wp14:anchorId="5A72C2A0" wp14:editId="378E1B17">
                <wp:simplePos x="0" y="0"/>
                <wp:positionH relativeFrom="page">
                  <wp:posOffset>1404620</wp:posOffset>
                </wp:positionH>
                <wp:positionV relativeFrom="paragraph">
                  <wp:posOffset>872490</wp:posOffset>
                </wp:positionV>
                <wp:extent cx="744855" cy="203835"/>
                <wp:effectExtent l="0" t="0" r="0" b="0"/>
                <wp:wrapNone/>
                <wp:docPr id="110" name="docshape6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4855" cy="2038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A9C2EE" id="docshape670" o:spid="_x0000_s1026" alt="&quot;&quot;" style="position:absolute;margin-left:110.6pt;margin-top:68.7pt;width:58.65pt;height:16.05pt;z-index:-2411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" fillcolor="black" stroked="f">
                <w10:wrap anchorx="page"/>
              </v:rect>
            </w:pict>
          </mc:Fallback>
        </mc:AlternateContent>
      </w:r>
      <w:r w:rsidR="00D443C8">
        <w:rPr>
          <w:noProof/>
        </w:rPr>
        <w:t>987.</w:t>
      </w:r>
      <w:r w:rsidR="00033D0F">
        <w:rPr>
          <w:rFonts w:ascii="Times New Roman" w:hAnsi="Times New Roman"/>
          <w:spacing w:val="80"/>
          <w:w w:val="150"/>
          <w:position w:val="1"/>
          <w:sz w:val="20"/>
        </w:rPr>
        <w:t xml:space="preserve"> </w:t>
      </w:r>
      <w:r w:rsidR="00033D0F">
        <w:rPr>
          <w:position w:val="1"/>
        </w:rPr>
        <w:t xml:space="preserve">With respect to Treasury Wines, Australia has established that MOFCOM did not </w:t>
      </w:r>
      <w:r w:rsidR="00033D0F">
        <w:t>explain</w:t>
      </w:r>
      <w:r w:rsidR="00033D0F">
        <w:rPr>
          <w:spacing w:val="-14"/>
        </w:rPr>
        <w:t xml:space="preserve"> </w:t>
      </w:r>
      <w:r w:rsidR="00033D0F">
        <w:t>—</w:t>
      </w:r>
      <w:r w:rsidR="00033D0F">
        <w:rPr>
          <w:spacing w:val="-13"/>
        </w:rPr>
        <w:t xml:space="preserve"> </w:t>
      </w:r>
      <w:r w:rsidR="00033D0F">
        <w:t>that</w:t>
      </w:r>
      <w:r w:rsidR="00033D0F">
        <w:rPr>
          <w:spacing w:val="-10"/>
        </w:rPr>
        <w:t xml:space="preserve"> </w:t>
      </w:r>
      <w:r w:rsidR="00033D0F">
        <w:t>is,</w:t>
      </w:r>
      <w:r w:rsidR="00033D0F">
        <w:rPr>
          <w:spacing w:val="-9"/>
        </w:rPr>
        <w:t xml:space="preserve"> </w:t>
      </w:r>
      <w:r w:rsidR="00033D0F">
        <w:t>it</w:t>
      </w:r>
      <w:r w:rsidR="00033D0F">
        <w:rPr>
          <w:spacing w:val="-10"/>
        </w:rPr>
        <w:t xml:space="preserve"> </w:t>
      </w:r>
      <w:r w:rsidR="00033D0F">
        <w:t>did</w:t>
      </w:r>
      <w:r w:rsidR="00033D0F">
        <w:rPr>
          <w:spacing w:val="-13"/>
        </w:rPr>
        <w:t xml:space="preserve"> </w:t>
      </w:r>
      <w:r w:rsidR="00033D0F">
        <w:t>not</w:t>
      </w:r>
      <w:r w:rsidR="00033D0F">
        <w:rPr>
          <w:spacing w:val="-10"/>
        </w:rPr>
        <w:t xml:space="preserve"> </w:t>
      </w:r>
      <w:r w:rsidR="00033D0F">
        <w:t>provide</w:t>
      </w:r>
      <w:r w:rsidR="00033D0F">
        <w:rPr>
          <w:spacing w:val="-11"/>
        </w:rPr>
        <w:t xml:space="preserve"> </w:t>
      </w:r>
      <w:r w:rsidR="00033D0F">
        <w:t>a</w:t>
      </w:r>
      <w:r w:rsidR="00033D0F">
        <w:rPr>
          <w:spacing w:val="-11"/>
        </w:rPr>
        <w:t xml:space="preserve"> </w:t>
      </w:r>
      <w:r w:rsidR="00033D0F">
        <w:t>reasoned</w:t>
      </w:r>
      <w:r w:rsidR="00033D0F">
        <w:rPr>
          <w:spacing w:val="-13"/>
        </w:rPr>
        <w:t xml:space="preserve"> </w:t>
      </w:r>
      <w:r w:rsidR="00033D0F">
        <w:t>account</w:t>
      </w:r>
      <w:r w:rsidR="00033D0F">
        <w:rPr>
          <w:spacing w:val="-10"/>
        </w:rPr>
        <w:t xml:space="preserve"> </w:t>
      </w:r>
      <w:r w:rsidR="00033D0F">
        <w:t>of</w:t>
      </w:r>
      <w:r w:rsidR="00033D0F">
        <w:rPr>
          <w:spacing w:val="-13"/>
        </w:rPr>
        <w:t xml:space="preserve"> </w:t>
      </w:r>
      <w:r w:rsidR="00033D0F">
        <w:t>the</w:t>
      </w:r>
      <w:r w:rsidR="00033D0F">
        <w:rPr>
          <w:spacing w:val="-6"/>
        </w:rPr>
        <w:t xml:space="preserve"> </w:t>
      </w:r>
      <w:r w:rsidR="00033D0F">
        <w:t>factual</w:t>
      </w:r>
      <w:r w:rsidR="00033D0F">
        <w:rPr>
          <w:spacing w:val="-9"/>
        </w:rPr>
        <w:t xml:space="preserve"> </w:t>
      </w:r>
      <w:r w:rsidR="00033D0F">
        <w:t>basis</w:t>
      </w:r>
      <w:r w:rsidR="00033D0F">
        <w:rPr>
          <w:spacing w:val="-9"/>
        </w:rPr>
        <w:t xml:space="preserve"> </w:t>
      </w:r>
      <w:r w:rsidR="00033D0F">
        <w:t>for</w:t>
      </w:r>
      <w:r w:rsidR="00033D0F">
        <w:rPr>
          <w:spacing w:val="-14"/>
        </w:rPr>
        <w:t xml:space="preserve"> </w:t>
      </w:r>
      <w:r w:rsidR="00033D0F">
        <w:t>—</w:t>
      </w:r>
      <w:r w:rsidR="00033D0F">
        <w:rPr>
          <w:spacing w:val="-7"/>
        </w:rPr>
        <w:t xml:space="preserve"> </w:t>
      </w:r>
      <w:r w:rsidR="00033D0F">
        <w:t>the</w:t>
      </w:r>
      <w:r w:rsidR="00033D0F">
        <w:rPr>
          <w:spacing w:val="-11"/>
        </w:rPr>
        <w:t xml:space="preserve"> </w:t>
      </w:r>
      <w:r w:rsidR="00033D0F">
        <w:t>following matters of fact and law: (i) the basis for using a single</w:t>
      </w:r>
      <w:r w:rsidR="00033D0F">
        <w:tab/>
        <w:t>;</w:t>
      </w:r>
      <w:r w:rsidR="00033D0F">
        <w:rPr>
          <w:spacing w:val="-14"/>
        </w:rPr>
        <w:t xml:space="preserve"> </w:t>
      </w:r>
      <w:r w:rsidR="00033D0F">
        <w:t>(ii)</w:t>
      </w:r>
      <w:r w:rsidR="00033D0F">
        <w:rPr>
          <w:spacing w:val="-14"/>
        </w:rPr>
        <w:t xml:space="preserve"> </w:t>
      </w:r>
      <w:r w:rsidR="00033D0F">
        <w:t>the</w:t>
      </w:r>
      <w:r w:rsidR="00033D0F">
        <w:rPr>
          <w:spacing w:val="-13"/>
        </w:rPr>
        <w:t xml:space="preserve"> </w:t>
      </w:r>
      <w:r w:rsidR="00033D0F">
        <w:t>basis</w:t>
      </w:r>
      <w:r w:rsidR="00033D0F">
        <w:rPr>
          <w:spacing w:val="-14"/>
        </w:rPr>
        <w:t xml:space="preserve"> </w:t>
      </w:r>
      <w:r w:rsidR="00033D0F">
        <w:t>for</w:t>
      </w:r>
      <w:r w:rsidR="00033D0F">
        <w:rPr>
          <w:spacing w:val="-13"/>
        </w:rPr>
        <w:t xml:space="preserve"> </w:t>
      </w:r>
      <w:r w:rsidR="00033D0F">
        <w:t>the</w:t>
      </w:r>
      <w:r w:rsidR="00033D0F">
        <w:rPr>
          <w:spacing w:val="-14"/>
        </w:rPr>
        <w:t xml:space="preserve"> </w:t>
      </w:r>
      <w:r w:rsidR="00033D0F">
        <w:t>selection of this</w:t>
      </w:r>
      <w:r w:rsidR="00033D0F">
        <w:tab/>
        <w:t>; and (iii) the reasons for its conclusion that the</w:t>
      </w:r>
      <w:r w:rsidR="00033D0F">
        <w:tab/>
      </w:r>
      <w:r w:rsidR="00033D0F">
        <w:rPr>
          <w:spacing w:val="-4"/>
        </w:rPr>
        <w:t xml:space="preserve">was </w:t>
      </w:r>
      <w:r w:rsidR="00033D0F">
        <w:t>representative of Treasury Wines' portfolio of Chinese domestic sales.</w:t>
      </w:r>
      <w:hyperlink w:anchor="_bookmark1653" w:history="1">
        <w:r w:rsidR="00033D0F">
          <w:rPr>
            <w:vertAlign w:val="superscript"/>
          </w:rPr>
          <w:t>1434</w:t>
        </w:r>
      </w:hyperlink>
      <w:r w:rsidR="00033D0F">
        <w:t xml:space="preserve"> China asserts that this level of detail outlined by Australia is not required under Articles 12.2 and 12.2.2.</w:t>
      </w:r>
      <w:hyperlink w:anchor="_bookmark1654" w:history="1">
        <w:r w:rsidR="00033D0F">
          <w:rPr>
            <w:vertAlign w:val="superscript"/>
          </w:rPr>
          <w:t>1435</w:t>
        </w:r>
      </w:hyperlink>
      <w:r w:rsidR="00033D0F">
        <w:t xml:space="preserve"> Australia disagrees. This information was required to have been reflected in the Final Determination because MOFCOM's recourse to</w:t>
      </w:r>
      <w:r w:rsidR="00033D0F">
        <w:rPr>
          <w:spacing w:val="-1"/>
        </w:rPr>
        <w:t xml:space="preserve"> </w:t>
      </w:r>
      <w:r w:rsidR="00033D0F">
        <w:t>facts available</w:t>
      </w:r>
      <w:r w:rsidR="00033D0F">
        <w:rPr>
          <w:spacing w:val="-3"/>
        </w:rPr>
        <w:t xml:space="preserve"> </w:t>
      </w:r>
      <w:r w:rsidR="00033D0F">
        <w:t>was material to</w:t>
      </w:r>
      <w:r w:rsidR="00033D0F">
        <w:rPr>
          <w:spacing w:val="-1"/>
        </w:rPr>
        <w:t xml:space="preserve"> </w:t>
      </w:r>
      <w:r w:rsidR="00033D0F">
        <w:t>its decision to impose definitive measures.</w:t>
      </w:r>
    </w:p>
    <w:p w14:paraId="17B680EE" w14:textId="77777777" w:rsidR="00BD462C" w:rsidRDefault="00BD462C">
      <w:pPr>
        <w:pStyle w:val="BodyText"/>
        <w:spacing w:before="5"/>
        <w:rPr>
          <w:sz w:val="8"/>
        </w:rPr>
      </w:pPr>
    </w:p>
    <w:p w14:paraId="4F7CD64B" w14:textId="3F99DFAC" w:rsidR="00BD462C" w:rsidRDefault="00D443C8">
      <w:pPr>
        <w:pStyle w:val="BodyText"/>
        <w:spacing w:before="56" w:line="360" w:lineRule="auto"/>
        <w:ind w:left="135" w:right="914"/>
        <w:jc w:val="both"/>
      </w:pPr>
      <w:r>
        <w:rPr>
          <w:noProof/>
        </w:rPr>
        <w:t>988.</w:t>
      </w:r>
      <w:r w:rsidR="00033D0F">
        <w:rPr>
          <w:rFonts w:ascii="Times New Roman"/>
          <w:spacing w:val="80"/>
          <w:position w:val="1"/>
          <w:sz w:val="20"/>
        </w:rPr>
        <w:t xml:space="preserve"> </w:t>
      </w:r>
      <w:r w:rsidR="00033D0F">
        <w:rPr>
          <w:position w:val="1"/>
        </w:rPr>
        <w:t xml:space="preserve">Australia has not contended that the same level of disclosure should have been </w:t>
      </w:r>
      <w:r w:rsidR="00033D0F">
        <w:t>provided to the other sampled companies as MOFCOM provided to Treasury Wines. Rather, Australia</w:t>
      </w:r>
      <w:r w:rsidR="00033D0F">
        <w:rPr>
          <w:spacing w:val="-2"/>
        </w:rPr>
        <w:t xml:space="preserve"> </w:t>
      </w:r>
      <w:r w:rsidR="00033D0F">
        <w:t>has submitted</w:t>
      </w:r>
      <w:r w:rsidR="00033D0F">
        <w:rPr>
          <w:spacing w:val="-3"/>
        </w:rPr>
        <w:t xml:space="preserve"> </w:t>
      </w:r>
      <w:r w:rsidR="00033D0F">
        <w:t>that</w:t>
      </w:r>
      <w:r w:rsidR="00033D0F">
        <w:rPr>
          <w:spacing w:val="-1"/>
        </w:rPr>
        <w:t xml:space="preserve"> </w:t>
      </w:r>
      <w:r w:rsidR="00033D0F">
        <w:t>the</w:t>
      </w:r>
      <w:r w:rsidR="00033D0F">
        <w:rPr>
          <w:spacing w:val="-2"/>
        </w:rPr>
        <w:t xml:space="preserve"> </w:t>
      </w:r>
      <w:r w:rsidR="00033D0F">
        <w:t>specific</w:t>
      </w:r>
      <w:r w:rsidR="00033D0F">
        <w:rPr>
          <w:spacing w:val="-3"/>
        </w:rPr>
        <w:t xml:space="preserve"> </w:t>
      </w:r>
      <w:r w:rsidR="00033D0F">
        <w:t>elements</w:t>
      </w:r>
      <w:r w:rsidR="00033D0F">
        <w:rPr>
          <w:spacing w:val="-5"/>
        </w:rPr>
        <w:t xml:space="preserve"> </w:t>
      </w:r>
      <w:r w:rsidR="00033D0F">
        <w:t>listed</w:t>
      </w:r>
      <w:r w:rsidR="00033D0F">
        <w:rPr>
          <w:spacing w:val="-3"/>
        </w:rPr>
        <w:t xml:space="preserve"> </w:t>
      </w:r>
      <w:r w:rsidR="00033D0F">
        <w:t>in</w:t>
      </w:r>
      <w:r w:rsidR="00033D0F">
        <w:rPr>
          <w:spacing w:val="-3"/>
        </w:rPr>
        <w:t xml:space="preserve"> </w:t>
      </w:r>
      <w:r w:rsidR="00033D0F">
        <w:t>paragraph</w:t>
      </w:r>
      <w:r w:rsidR="00033D0F">
        <w:rPr>
          <w:spacing w:val="-3"/>
        </w:rPr>
        <w:t xml:space="preserve"> </w:t>
      </w:r>
      <w:r w:rsidR="00033D0F">
        <w:t>1096 of</w:t>
      </w:r>
      <w:r w:rsidR="00033D0F">
        <w:rPr>
          <w:spacing w:val="-3"/>
        </w:rPr>
        <w:t xml:space="preserve"> </w:t>
      </w:r>
      <w:r w:rsidR="00033D0F">
        <w:t>Australia's first written</w:t>
      </w:r>
      <w:r w:rsidR="00033D0F">
        <w:rPr>
          <w:spacing w:val="-14"/>
        </w:rPr>
        <w:t xml:space="preserve"> </w:t>
      </w:r>
      <w:r w:rsidR="00033D0F">
        <w:t>submission</w:t>
      </w:r>
      <w:r w:rsidR="00033D0F">
        <w:rPr>
          <w:spacing w:val="-14"/>
        </w:rPr>
        <w:t xml:space="preserve"> </w:t>
      </w:r>
      <w:r w:rsidR="00033D0F">
        <w:t>should</w:t>
      </w:r>
      <w:r w:rsidR="00033D0F">
        <w:rPr>
          <w:spacing w:val="-13"/>
        </w:rPr>
        <w:t xml:space="preserve"> </w:t>
      </w:r>
      <w:r w:rsidR="00033D0F">
        <w:t>have</w:t>
      </w:r>
      <w:r w:rsidR="00033D0F">
        <w:rPr>
          <w:spacing w:val="-14"/>
        </w:rPr>
        <w:t xml:space="preserve"> </w:t>
      </w:r>
      <w:r w:rsidR="00033D0F">
        <w:t>been</w:t>
      </w:r>
      <w:r w:rsidR="00033D0F">
        <w:rPr>
          <w:spacing w:val="-13"/>
        </w:rPr>
        <w:t xml:space="preserve"> </w:t>
      </w:r>
      <w:r w:rsidR="00033D0F">
        <w:t>outlined</w:t>
      </w:r>
      <w:r w:rsidR="00033D0F">
        <w:rPr>
          <w:spacing w:val="-14"/>
        </w:rPr>
        <w:t xml:space="preserve"> </w:t>
      </w:r>
      <w:r w:rsidR="00033D0F">
        <w:t>in</w:t>
      </w:r>
      <w:r w:rsidR="00033D0F">
        <w:rPr>
          <w:spacing w:val="-13"/>
        </w:rPr>
        <w:t xml:space="preserve"> </w:t>
      </w:r>
      <w:r w:rsidR="00033D0F">
        <w:t>MOFCOM's</w:t>
      </w:r>
      <w:r w:rsidR="00033D0F">
        <w:rPr>
          <w:spacing w:val="-14"/>
        </w:rPr>
        <w:t xml:space="preserve"> </w:t>
      </w:r>
      <w:r w:rsidR="00033D0F">
        <w:t>Final</w:t>
      </w:r>
      <w:r w:rsidR="00033D0F">
        <w:rPr>
          <w:spacing w:val="-14"/>
        </w:rPr>
        <w:t xml:space="preserve"> </w:t>
      </w:r>
      <w:r w:rsidR="00033D0F">
        <w:t>Determination</w:t>
      </w:r>
      <w:r w:rsidR="00033D0F">
        <w:rPr>
          <w:spacing w:val="-13"/>
        </w:rPr>
        <w:t xml:space="preserve"> </w:t>
      </w:r>
      <w:r w:rsidR="00033D0F">
        <w:t>as</w:t>
      </w:r>
      <w:r w:rsidR="00033D0F">
        <w:rPr>
          <w:spacing w:val="-14"/>
        </w:rPr>
        <w:t xml:space="preserve"> </w:t>
      </w:r>
      <w:r w:rsidR="00033D0F">
        <w:t>they</w:t>
      </w:r>
      <w:r w:rsidR="00033D0F">
        <w:rPr>
          <w:spacing w:val="-13"/>
        </w:rPr>
        <w:t xml:space="preserve"> </w:t>
      </w:r>
      <w:r w:rsidR="00033D0F">
        <w:t>were not subject to the same confidentiality restrictions as Treasury Wines' data.</w:t>
      </w:r>
    </w:p>
    <w:p w14:paraId="0335DF0E" w14:textId="77777777" w:rsidR="00BD462C" w:rsidRDefault="00BD462C">
      <w:pPr>
        <w:pStyle w:val="BodyText"/>
        <w:spacing w:before="6"/>
        <w:rPr>
          <w:sz w:val="8"/>
        </w:rPr>
      </w:pPr>
    </w:p>
    <w:p w14:paraId="44BACD77" w14:textId="2AD443CA" w:rsidR="00BD462C" w:rsidRDefault="00D443C8">
      <w:pPr>
        <w:pStyle w:val="BodyText"/>
        <w:spacing w:before="56" w:line="360" w:lineRule="auto"/>
        <w:ind w:left="136" w:right="916"/>
        <w:jc w:val="both"/>
      </w:pPr>
      <w:r>
        <w:rPr>
          <w:noProof/>
        </w:rPr>
        <w:t>989.</w:t>
      </w:r>
      <w:r w:rsidR="00033D0F">
        <w:rPr>
          <w:rFonts w:ascii="Times New Roman"/>
          <w:spacing w:val="40"/>
          <w:position w:val="1"/>
          <w:sz w:val="20"/>
        </w:rPr>
        <w:t xml:space="preserve">  </w:t>
      </w:r>
      <w:r w:rsidR="00033D0F">
        <w:rPr>
          <w:position w:val="1"/>
        </w:rPr>
        <w:t>Once</w:t>
      </w:r>
      <w:r w:rsidR="00033D0F">
        <w:rPr>
          <w:spacing w:val="-2"/>
          <w:position w:val="1"/>
        </w:rPr>
        <w:t xml:space="preserve"> </w:t>
      </w:r>
      <w:r w:rsidR="00033D0F">
        <w:rPr>
          <w:position w:val="1"/>
        </w:rPr>
        <w:t>again,</w:t>
      </w:r>
      <w:r w:rsidR="00033D0F">
        <w:rPr>
          <w:spacing w:val="-1"/>
          <w:position w:val="1"/>
        </w:rPr>
        <w:t xml:space="preserve"> </w:t>
      </w:r>
      <w:r w:rsidR="00033D0F">
        <w:rPr>
          <w:position w:val="1"/>
        </w:rPr>
        <w:t>China's</w:t>
      </w:r>
      <w:r w:rsidR="00033D0F">
        <w:rPr>
          <w:spacing w:val="-1"/>
          <w:position w:val="1"/>
        </w:rPr>
        <w:t xml:space="preserve"> </w:t>
      </w:r>
      <w:r w:rsidR="00033D0F">
        <w:rPr>
          <w:position w:val="1"/>
        </w:rPr>
        <w:t>only</w:t>
      </w:r>
      <w:r w:rsidR="00033D0F">
        <w:rPr>
          <w:spacing w:val="-1"/>
          <w:position w:val="1"/>
        </w:rPr>
        <w:t xml:space="preserve"> </w:t>
      </w:r>
      <w:r w:rsidR="00033D0F">
        <w:rPr>
          <w:position w:val="1"/>
        </w:rPr>
        <w:t>response</w:t>
      </w:r>
      <w:r w:rsidR="00033D0F">
        <w:rPr>
          <w:spacing w:val="-2"/>
          <w:position w:val="1"/>
        </w:rPr>
        <w:t xml:space="preserve"> </w:t>
      </w:r>
      <w:r w:rsidR="00033D0F">
        <w:rPr>
          <w:position w:val="1"/>
        </w:rPr>
        <w:t>to Australia's</w:t>
      </w:r>
      <w:r w:rsidR="00033D0F">
        <w:rPr>
          <w:spacing w:val="-1"/>
          <w:position w:val="1"/>
        </w:rPr>
        <w:t xml:space="preserve"> </w:t>
      </w:r>
      <w:r w:rsidR="00033D0F">
        <w:rPr>
          <w:position w:val="1"/>
        </w:rPr>
        <w:t>arguments</w:t>
      </w:r>
      <w:r w:rsidR="00033D0F">
        <w:rPr>
          <w:spacing w:val="-1"/>
          <w:position w:val="1"/>
        </w:rPr>
        <w:t xml:space="preserve"> </w:t>
      </w:r>
      <w:r w:rsidR="00033D0F">
        <w:rPr>
          <w:position w:val="1"/>
        </w:rPr>
        <w:t>is to</w:t>
      </w:r>
      <w:r w:rsidR="00033D0F">
        <w:rPr>
          <w:spacing w:val="-5"/>
          <w:position w:val="1"/>
        </w:rPr>
        <w:t xml:space="preserve"> </w:t>
      </w:r>
      <w:r w:rsidR="00033D0F">
        <w:rPr>
          <w:position w:val="1"/>
        </w:rPr>
        <w:t>simply</w:t>
      </w:r>
      <w:r w:rsidR="00033D0F">
        <w:rPr>
          <w:spacing w:val="-1"/>
          <w:position w:val="1"/>
        </w:rPr>
        <w:t xml:space="preserve"> </w:t>
      </w:r>
      <w:r w:rsidR="00033D0F">
        <w:rPr>
          <w:position w:val="1"/>
        </w:rPr>
        <w:t>reproduce</w:t>
      </w:r>
      <w:r w:rsidR="00033D0F">
        <w:rPr>
          <w:spacing w:val="-2"/>
          <w:position w:val="1"/>
        </w:rPr>
        <w:t xml:space="preserve"> </w:t>
      </w:r>
      <w:r w:rsidR="00033D0F">
        <w:rPr>
          <w:position w:val="1"/>
        </w:rPr>
        <w:t xml:space="preserve">the </w:t>
      </w:r>
      <w:r w:rsidR="00033D0F">
        <w:t>same passages of MOFCOM's Final Determination that Australia has already established are insufficient in substance to meet the requirements of Articles 12.2 and 12.2.2.</w:t>
      </w:r>
      <w:hyperlink w:anchor="_bookmark1655" w:history="1">
        <w:r w:rsidR="00033D0F">
          <w:rPr>
            <w:vertAlign w:val="superscript"/>
          </w:rPr>
          <w:t>1436</w:t>
        </w:r>
      </w:hyperlink>
      <w:r w:rsidR="00033D0F">
        <w:t xml:space="preserve"> The pages provided by China do not disclose all matters of fact and law and reasons relating to the information</w:t>
      </w:r>
      <w:r w:rsidR="00033D0F">
        <w:rPr>
          <w:spacing w:val="-1"/>
        </w:rPr>
        <w:t xml:space="preserve"> </w:t>
      </w:r>
      <w:r w:rsidR="00033D0F">
        <w:t>set out in</w:t>
      </w:r>
      <w:r w:rsidR="00033D0F">
        <w:rPr>
          <w:spacing w:val="-1"/>
        </w:rPr>
        <w:t xml:space="preserve"> </w:t>
      </w:r>
      <w:r w:rsidR="00033D0F">
        <w:t>Australia's first written</w:t>
      </w:r>
      <w:r w:rsidR="00033D0F">
        <w:rPr>
          <w:spacing w:val="-1"/>
        </w:rPr>
        <w:t xml:space="preserve"> </w:t>
      </w:r>
      <w:r w:rsidR="00033D0F">
        <w:t>submission.</w:t>
      </w:r>
      <w:hyperlink w:anchor="_bookmark1656" w:history="1">
        <w:r w:rsidR="00033D0F">
          <w:rPr>
            <w:vertAlign w:val="superscript"/>
          </w:rPr>
          <w:t>1437</w:t>
        </w:r>
      </w:hyperlink>
      <w:r w:rsidR="00033D0F">
        <w:t xml:space="preserve"> None of the above information was provided to a level that allowed interested parties to discern and understand the reasoning for MOFCOM's decisions and determinations regarding each of these issues.</w:t>
      </w:r>
    </w:p>
    <w:p w14:paraId="4D691C9B" w14:textId="77777777" w:rsidR="00BD462C" w:rsidRDefault="00BD462C">
      <w:pPr>
        <w:pStyle w:val="BodyText"/>
        <w:rPr>
          <w:sz w:val="20"/>
        </w:rPr>
      </w:pPr>
    </w:p>
    <w:p w14:paraId="547B5700" w14:textId="77777777" w:rsidR="00BD462C" w:rsidRDefault="00BD462C">
      <w:pPr>
        <w:pStyle w:val="BodyText"/>
        <w:rPr>
          <w:sz w:val="20"/>
        </w:rPr>
      </w:pPr>
    </w:p>
    <w:p w14:paraId="1AC57C09" w14:textId="77777777" w:rsidR="00BD462C" w:rsidRDefault="00BD462C">
      <w:pPr>
        <w:pStyle w:val="BodyText"/>
        <w:rPr>
          <w:sz w:val="20"/>
        </w:rPr>
      </w:pPr>
    </w:p>
    <w:p w14:paraId="2534215D" w14:textId="77777777" w:rsidR="00BD462C" w:rsidRDefault="00BD462C">
      <w:pPr>
        <w:pStyle w:val="BodyText"/>
        <w:rPr>
          <w:sz w:val="20"/>
        </w:rPr>
      </w:pPr>
    </w:p>
    <w:p w14:paraId="5BF0BA2F" w14:textId="39CF8238" w:rsidR="00BD462C" w:rsidRDefault="006E6DEA">
      <w:pPr>
        <w:pStyle w:val="BodyText"/>
        <w:spacing w:before="11"/>
      </w:pPr>
      <w:r>
        <w:rPr>
          <w:noProof/>
        </w:rPr>
        <mc:AlternateContent>
          <mc:Choice Requires="wps">
            <w:drawing>
              <wp:anchor distT="0" distB="0" distL="0" distR="0" simplePos="0" relativeHeight="488139264" behindDoc="1" locked="0" layoutInCell="1" allowOverlap="1" wp14:anchorId="68C36347" wp14:editId="2AC478D4">
                <wp:simplePos x="0" y="0"/>
                <wp:positionH relativeFrom="page">
                  <wp:posOffset>812800</wp:posOffset>
                </wp:positionH>
                <wp:positionV relativeFrom="paragraph">
                  <wp:posOffset>194310</wp:posOffset>
                </wp:positionV>
                <wp:extent cx="1828800" cy="8890"/>
                <wp:effectExtent l="0" t="0" r="0" b="0"/>
                <wp:wrapTopAndBottom/>
                <wp:docPr id="111" name="docshape7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7D2444" id="docshape705" o:spid="_x0000_s1026" alt="&quot;&quot;" style="position:absolute;margin-left:64pt;margin-top:15.3pt;width:2in;height:.7pt;z-index:-1517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" fillcolor="black" stroked="f">
                <w10:wrap type="topAndBottom" anchorx="page"/>
              </v:rect>
            </w:pict>
          </mc:Fallback>
        </mc:AlternateContent>
      </w:r>
    </w:p>
    <w:p w14:paraId="3D238F44" w14:textId="77777777" w:rsidR="00BD462C" w:rsidRDefault="00033D0F">
      <w:pPr>
        <w:spacing w:before="107"/>
        <w:ind w:left="135"/>
        <w:rPr>
          <w:sz w:val="18"/>
        </w:rPr>
      </w:pPr>
      <w:bookmarkStart w:id="1915" w:name="_bookmark1652"/>
      <w:bookmarkEnd w:id="1915"/>
      <w:r>
        <w:rPr>
          <w:position w:val="5"/>
          <w:sz w:val="12"/>
        </w:rPr>
        <w:t>1433</w:t>
      </w:r>
      <w:r>
        <w:rPr>
          <w:spacing w:val="12"/>
          <w:position w:val="5"/>
          <w:sz w:val="12"/>
        </w:rPr>
        <w:t xml:space="preserve"> </w:t>
      </w:r>
      <w:r>
        <w:rPr>
          <w:sz w:val="18"/>
        </w:rPr>
        <w:t>Australia's</w:t>
      </w:r>
      <w:r>
        <w:rPr>
          <w:spacing w:val="-7"/>
          <w:sz w:val="18"/>
        </w:rPr>
        <w:t xml:space="preserve"> </w:t>
      </w:r>
      <w:r>
        <w:rPr>
          <w:sz w:val="18"/>
        </w:rPr>
        <w:t>first</w:t>
      </w:r>
      <w:r>
        <w:rPr>
          <w:spacing w:val="-5"/>
          <w:sz w:val="18"/>
        </w:rPr>
        <w:t xml:space="preserve"> </w:t>
      </w:r>
      <w:r>
        <w:rPr>
          <w:sz w:val="18"/>
        </w:rPr>
        <w:t>written</w:t>
      </w:r>
      <w:r>
        <w:rPr>
          <w:spacing w:val="-3"/>
          <w:sz w:val="18"/>
        </w:rPr>
        <w:t xml:space="preserve"> </w:t>
      </w:r>
      <w:r>
        <w:rPr>
          <w:sz w:val="18"/>
        </w:rPr>
        <w:t>submission, paras.</w:t>
      </w:r>
      <w:r>
        <w:rPr>
          <w:spacing w:val="-5"/>
          <w:sz w:val="18"/>
        </w:rPr>
        <w:t xml:space="preserve"> </w:t>
      </w:r>
      <w:r>
        <w:rPr>
          <w:sz w:val="18"/>
        </w:rPr>
        <w:t>1092-</w:t>
      </w:r>
      <w:r>
        <w:rPr>
          <w:spacing w:val="-2"/>
          <w:sz w:val="18"/>
        </w:rPr>
        <w:t>1104.</w:t>
      </w:r>
    </w:p>
    <w:p w14:paraId="183BF6A7" w14:textId="77777777" w:rsidR="00BD462C" w:rsidRDefault="00033D0F">
      <w:pPr>
        <w:spacing w:before="1"/>
        <w:ind w:left="135"/>
        <w:rPr>
          <w:sz w:val="18"/>
        </w:rPr>
      </w:pPr>
      <w:bookmarkStart w:id="1916" w:name="_bookmark1653"/>
      <w:bookmarkEnd w:id="1916"/>
      <w:r>
        <w:rPr>
          <w:position w:val="5"/>
          <w:sz w:val="12"/>
        </w:rPr>
        <w:t>1434</w:t>
      </w:r>
      <w:r>
        <w:rPr>
          <w:spacing w:val="12"/>
          <w:position w:val="5"/>
          <w:sz w:val="12"/>
        </w:rPr>
        <w:t xml:space="preserve"> </w:t>
      </w:r>
      <w:r>
        <w:rPr>
          <w:sz w:val="18"/>
        </w:rPr>
        <w:t>Australia's</w:t>
      </w:r>
      <w:r>
        <w:rPr>
          <w:spacing w:val="-6"/>
          <w:sz w:val="18"/>
        </w:rPr>
        <w:t xml:space="preserve"> </w:t>
      </w:r>
      <w:r>
        <w:rPr>
          <w:sz w:val="18"/>
        </w:rPr>
        <w:t>first</w:t>
      </w:r>
      <w:r>
        <w:rPr>
          <w:spacing w:val="-5"/>
          <w:sz w:val="18"/>
        </w:rPr>
        <w:t xml:space="preserve"> </w:t>
      </w:r>
      <w:r>
        <w:rPr>
          <w:sz w:val="18"/>
        </w:rPr>
        <w:t>written</w:t>
      </w:r>
      <w:r>
        <w:rPr>
          <w:spacing w:val="-2"/>
          <w:sz w:val="18"/>
        </w:rPr>
        <w:t xml:space="preserve"> </w:t>
      </w:r>
      <w:r>
        <w:rPr>
          <w:sz w:val="18"/>
        </w:rPr>
        <w:t>submission, para.</w:t>
      </w:r>
      <w:r>
        <w:rPr>
          <w:spacing w:val="-5"/>
          <w:sz w:val="18"/>
        </w:rPr>
        <w:t xml:space="preserve"> </w:t>
      </w:r>
      <w:r>
        <w:rPr>
          <w:spacing w:val="-2"/>
          <w:sz w:val="18"/>
        </w:rPr>
        <w:t>1096.</w:t>
      </w:r>
    </w:p>
    <w:p w14:paraId="4F721B11" w14:textId="77777777" w:rsidR="00BD462C" w:rsidRDefault="00033D0F">
      <w:pPr>
        <w:spacing w:before="1"/>
        <w:ind w:left="135"/>
        <w:rPr>
          <w:sz w:val="18"/>
        </w:rPr>
      </w:pPr>
      <w:bookmarkStart w:id="1917" w:name="_bookmark1654"/>
      <w:bookmarkEnd w:id="1917"/>
      <w:r>
        <w:rPr>
          <w:position w:val="5"/>
          <w:sz w:val="12"/>
        </w:rPr>
        <w:t>1435</w:t>
      </w:r>
      <w:r>
        <w:rPr>
          <w:spacing w:val="13"/>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 xml:space="preserve">para. </w:t>
      </w:r>
      <w:r>
        <w:rPr>
          <w:spacing w:val="-2"/>
          <w:sz w:val="18"/>
        </w:rPr>
        <w:t>2616.</w:t>
      </w:r>
    </w:p>
    <w:p w14:paraId="67853011" w14:textId="77777777" w:rsidR="00BD462C" w:rsidRDefault="00033D0F">
      <w:pPr>
        <w:spacing w:before="1"/>
        <w:ind w:left="135"/>
        <w:rPr>
          <w:sz w:val="18"/>
        </w:rPr>
      </w:pPr>
      <w:bookmarkStart w:id="1918" w:name="_bookmark1655"/>
      <w:bookmarkEnd w:id="1918"/>
      <w:r>
        <w:rPr>
          <w:position w:val="5"/>
          <w:sz w:val="12"/>
        </w:rPr>
        <w:t>1436</w:t>
      </w:r>
      <w:r>
        <w:rPr>
          <w:spacing w:val="13"/>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paras.</w:t>
      </w:r>
      <w:r>
        <w:rPr>
          <w:spacing w:val="-4"/>
          <w:sz w:val="18"/>
        </w:rPr>
        <w:t xml:space="preserve"> </w:t>
      </w:r>
      <w:r>
        <w:rPr>
          <w:sz w:val="18"/>
        </w:rPr>
        <w:t>2619,</w:t>
      </w:r>
      <w:r>
        <w:rPr>
          <w:spacing w:val="-4"/>
          <w:sz w:val="18"/>
        </w:rPr>
        <w:t xml:space="preserve"> </w:t>
      </w:r>
      <w:r>
        <w:rPr>
          <w:spacing w:val="-2"/>
          <w:sz w:val="18"/>
        </w:rPr>
        <w:t>2621.</w:t>
      </w:r>
    </w:p>
    <w:p w14:paraId="7B91F4A8" w14:textId="77777777" w:rsidR="00BD462C" w:rsidRDefault="00033D0F">
      <w:pPr>
        <w:spacing w:before="1"/>
        <w:ind w:left="135"/>
        <w:rPr>
          <w:sz w:val="18"/>
        </w:rPr>
      </w:pPr>
      <w:bookmarkStart w:id="1919" w:name="_bookmark1656"/>
      <w:bookmarkEnd w:id="1919"/>
      <w:r>
        <w:rPr>
          <w:position w:val="5"/>
          <w:sz w:val="12"/>
        </w:rPr>
        <w:t>1437</w:t>
      </w:r>
      <w:r>
        <w:rPr>
          <w:spacing w:val="12"/>
          <w:position w:val="5"/>
          <w:sz w:val="12"/>
        </w:rPr>
        <w:t xml:space="preserve"> </w:t>
      </w:r>
      <w:r>
        <w:rPr>
          <w:sz w:val="18"/>
        </w:rPr>
        <w:t>Australia's</w:t>
      </w:r>
      <w:r>
        <w:rPr>
          <w:spacing w:val="-6"/>
          <w:sz w:val="18"/>
        </w:rPr>
        <w:t xml:space="preserve"> </w:t>
      </w:r>
      <w:r>
        <w:rPr>
          <w:sz w:val="18"/>
        </w:rPr>
        <w:t>first</w:t>
      </w:r>
      <w:r>
        <w:rPr>
          <w:spacing w:val="-5"/>
          <w:sz w:val="18"/>
        </w:rPr>
        <w:t xml:space="preserve"> </w:t>
      </w:r>
      <w:r>
        <w:rPr>
          <w:sz w:val="18"/>
        </w:rPr>
        <w:t>written</w:t>
      </w:r>
      <w:r>
        <w:rPr>
          <w:spacing w:val="-2"/>
          <w:sz w:val="18"/>
        </w:rPr>
        <w:t xml:space="preserve"> </w:t>
      </w:r>
      <w:r>
        <w:rPr>
          <w:sz w:val="18"/>
        </w:rPr>
        <w:t>submission, para.</w:t>
      </w:r>
      <w:r>
        <w:rPr>
          <w:spacing w:val="-5"/>
          <w:sz w:val="18"/>
        </w:rPr>
        <w:t xml:space="preserve"> </w:t>
      </w:r>
      <w:r>
        <w:rPr>
          <w:spacing w:val="-2"/>
          <w:sz w:val="18"/>
        </w:rPr>
        <w:t>1096.</w:t>
      </w:r>
    </w:p>
    <w:p w14:paraId="2963D43B" w14:textId="77777777" w:rsidR="00BD462C" w:rsidRDefault="00BD462C">
      <w:pPr>
        <w:rPr>
          <w:sz w:val="18"/>
        </w:rPr>
        <w:sectPr w:rsidR="00BD462C">
          <w:pgSz w:w="11910" w:h="16840"/>
          <w:pgMar w:top="860" w:right="500" w:bottom="780" w:left="1280" w:header="566" w:footer="590" w:gutter="0"/>
          <w:cols w:space="720"/>
        </w:sectPr>
      </w:pPr>
    </w:p>
    <w:p w14:paraId="75D1B75E"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09748C7C"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573E23EC"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05F4FB64" w14:textId="77777777" w:rsidR="00BD462C" w:rsidRDefault="00033D0F">
      <w:pPr>
        <w:pStyle w:val="ListParagraph"/>
        <w:numPr>
          <w:ilvl w:val="1"/>
          <w:numId w:val="9"/>
        </w:numPr>
        <w:tabs>
          <w:tab w:val="left" w:pos="4388"/>
          <w:tab w:val="left" w:pos="4389"/>
        </w:tabs>
        <w:spacing w:before="102"/>
        <w:rPr>
          <w:i/>
          <w:sz w:val="24"/>
        </w:rPr>
      </w:pPr>
      <w:bookmarkStart w:id="1920" w:name="ii._Casella_Wines_and_Swan_Vintage"/>
      <w:bookmarkEnd w:id="1920"/>
      <w:r>
        <w:rPr>
          <w:i/>
          <w:sz w:val="24"/>
        </w:rPr>
        <w:t>Casella Wines</w:t>
      </w:r>
      <w:r>
        <w:rPr>
          <w:i/>
          <w:spacing w:val="-2"/>
          <w:sz w:val="24"/>
        </w:rPr>
        <w:t xml:space="preserve"> </w:t>
      </w:r>
      <w:r>
        <w:rPr>
          <w:i/>
          <w:sz w:val="24"/>
        </w:rPr>
        <w:t>and</w:t>
      </w:r>
      <w:r>
        <w:rPr>
          <w:i/>
          <w:spacing w:val="-4"/>
          <w:sz w:val="24"/>
        </w:rPr>
        <w:t xml:space="preserve"> </w:t>
      </w:r>
      <w:r>
        <w:rPr>
          <w:i/>
          <w:sz w:val="24"/>
        </w:rPr>
        <w:t>Swan</w:t>
      </w:r>
      <w:r>
        <w:rPr>
          <w:i/>
          <w:spacing w:val="1"/>
          <w:sz w:val="24"/>
        </w:rPr>
        <w:t xml:space="preserve"> </w:t>
      </w:r>
      <w:r>
        <w:rPr>
          <w:i/>
          <w:spacing w:val="-2"/>
          <w:sz w:val="24"/>
        </w:rPr>
        <w:t>Vintage</w:t>
      </w:r>
    </w:p>
    <w:p w14:paraId="225CD8F6" w14:textId="77777777" w:rsidR="00BD462C" w:rsidRDefault="00BD462C">
      <w:pPr>
        <w:pStyle w:val="BodyText"/>
        <w:spacing w:before="7"/>
        <w:rPr>
          <w:i/>
          <w:sz w:val="20"/>
        </w:rPr>
      </w:pPr>
    </w:p>
    <w:p w14:paraId="5EFC2098" w14:textId="38EFD173" w:rsidR="00BD462C" w:rsidRDefault="00D443C8">
      <w:pPr>
        <w:pStyle w:val="BodyText"/>
        <w:spacing w:before="56" w:line="360" w:lineRule="auto"/>
        <w:ind w:left="135" w:right="912"/>
        <w:jc w:val="both"/>
      </w:pPr>
      <w:r>
        <w:rPr>
          <w:noProof/>
        </w:rPr>
        <w:t>990.</w:t>
      </w:r>
      <w:r w:rsidR="00033D0F">
        <w:rPr>
          <w:rFonts w:ascii="Times New Roman"/>
          <w:spacing w:val="80"/>
          <w:position w:val="1"/>
          <w:sz w:val="20"/>
        </w:rPr>
        <w:t xml:space="preserve"> </w:t>
      </w:r>
      <w:r w:rsidR="00033D0F">
        <w:rPr>
          <w:position w:val="1"/>
        </w:rPr>
        <w:t>In relation to Casella Wines, China reproduces the same parts of its Final</w:t>
      </w:r>
      <w:r w:rsidR="00033D0F">
        <w:rPr>
          <w:spacing w:val="80"/>
          <w:position w:val="1"/>
        </w:rPr>
        <w:t xml:space="preserve"> </w:t>
      </w:r>
      <w:r w:rsidR="00033D0F">
        <w:t>Determination that Australia argues are insufficient.</w:t>
      </w:r>
      <w:hyperlink w:anchor="_bookmark1657" w:history="1">
        <w:r w:rsidR="00033D0F">
          <w:rPr>
            <w:vertAlign w:val="superscript"/>
          </w:rPr>
          <w:t>1438</w:t>
        </w:r>
      </w:hyperlink>
      <w:r w:rsidR="00033D0F">
        <w:t xml:space="preserve"> Specifically, in relation to the disclosure</w:t>
      </w:r>
      <w:r w:rsidR="00033D0F">
        <w:rPr>
          <w:spacing w:val="-3"/>
        </w:rPr>
        <w:t xml:space="preserve"> </w:t>
      </w:r>
      <w:r w:rsidR="00033D0F">
        <w:t>of</w:t>
      </w:r>
      <w:r w:rsidR="00033D0F">
        <w:rPr>
          <w:spacing w:val="-5"/>
        </w:rPr>
        <w:t xml:space="preserve"> </w:t>
      </w:r>
      <w:r w:rsidR="00033D0F">
        <w:t>data</w:t>
      </w:r>
      <w:r w:rsidR="00033D0F">
        <w:rPr>
          <w:spacing w:val="-4"/>
        </w:rPr>
        <w:t xml:space="preserve"> </w:t>
      </w:r>
      <w:r w:rsidR="00033D0F">
        <w:t>MOFCOM</w:t>
      </w:r>
      <w:r w:rsidR="00033D0F">
        <w:rPr>
          <w:spacing w:val="-3"/>
        </w:rPr>
        <w:t xml:space="preserve"> </w:t>
      </w:r>
      <w:r w:rsidR="00033D0F">
        <w:t>relied</w:t>
      </w:r>
      <w:r w:rsidR="00033D0F">
        <w:rPr>
          <w:spacing w:val="-5"/>
        </w:rPr>
        <w:t xml:space="preserve"> </w:t>
      </w:r>
      <w:r w:rsidR="00033D0F">
        <w:t>upon</w:t>
      </w:r>
      <w:r w:rsidR="00033D0F">
        <w:rPr>
          <w:spacing w:val="-5"/>
        </w:rPr>
        <w:t xml:space="preserve"> </w:t>
      </w:r>
      <w:r w:rsidR="00033D0F">
        <w:t>for</w:t>
      </w:r>
      <w:r w:rsidR="00033D0F">
        <w:rPr>
          <w:spacing w:val="-1"/>
        </w:rPr>
        <w:t xml:space="preserve"> </w:t>
      </w:r>
      <w:r w:rsidR="00033D0F">
        <w:t>calculating</w:t>
      </w:r>
      <w:r w:rsidR="00033D0F">
        <w:rPr>
          <w:spacing w:val="-2"/>
        </w:rPr>
        <w:t xml:space="preserve"> </w:t>
      </w:r>
      <w:r w:rsidR="00033D0F">
        <w:t>Casella</w:t>
      </w:r>
      <w:r w:rsidR="00033D0F">
        <w:rPr>
          <w:spacing w:val="-4"/>
        </w:rPr>
        <w:t xml:space="preserve"> </w:t>
      </w:r>
      <w:r w:rsidR="00033D0F">
        <w:t>Wines</w:t>
      </w:r>
      <w:r w:rsidR="00033D0F">
        <w:rPr>
          <w:spacing w:val="-2"/>
        </w:rPr>
        <w:t xml:space="preserve"> </w:t>
      </w:r>
      <w:r w:rsidR="00033D0F">
        <w:t>dumping</w:t>
      </w:r>
      <w:r w:rsidR="00033D0F">
        <w:rPr>
          <w:spacing w:val="-2"/>
        </w:rPr>
        <w:t xml:space="preserve"> </w:t>
      </w:r>
      <w:r w:rsidR="00033D0F">
        <w:t>margin,</w:t>
      </w:r>
      <w:r w:rsidR="00033D0F">
        <w:rPr>
          <w:spacing w:val="-6"/>
        </w:rPr>
        <w:t xml:space="preserve"> </w:t>
      </w:r>
      <w:r w:rsidR="00033D0F">
        <w:t xml:space="preserve">China </w:t>
      </w:r>
      <w:r w:rsidR="00033D0F">
        <w:rPr>
          <w:spacing w:val="-2"/>
        </w:rPr>
        <w:t>states:</w:t>
      </w:r>
    </w:p>
    <w:p w14:paraId="097B4F26" w14:textId="77777777" w:rsidR="00BD462C" w:rsidRDefault="00033D0F">
      <w:pPr>
        <w:spacing w:before="157" w:line="276" w:lineRule="auto"/>
        <w:ind w:left="985" w:right="911"/>
        <w:jc w:val="both"/>
      </w:pPr>
      <w:r>
        <w:t>As</w:t>
      </w:r>
      <w:r>
        <w:rPr>
          <w:spacing w:val="-8"/>
        </w:rPr>
        <w:t xml:space="preserve"> </w:t>
      </w:r>
      <w:r>
        <w:t>explained</w:t>
      </w:r>
      <w:r>
        <w:rPr>
          <w:spacing w:val="-9"/>
        </w:rPr>
        <w:t xml:space="preserve"> </w:t>
      </w:r>
      <w:r>
        <w:t>previously,</w:t>
      </w:r>
      <w:r>
        <w:rPr>
          <w:spacing w:val="-5"/>
        </w:rPr>
        <w:t xml:space="preserve"> </w:t>
      </w:r>
      <w:r>
        <w:rPr>
          <w:u w:val="single"/>
        </w:rPr>
        <w:t>for</w:t>
      </w:r>
      <w:r>
        <w:rPr>
          <w:spacing w:val="-8"/>
          <w:u w:val="single"/>
        </w:rPr>
        <w:t xml:space="preserve"> </w:t>
      </w:r>
      <w:r>
        <w:rPr>
          <w:u w:val="single"/>
        </w:rPr>
        <w:t>Casella</w:t>
      </w:r>
      <w:r>
        <w:rPr>
          <w:spacing w:val="-8"/>
          <w:u w:val="single"/>
        </w:rPr>
        <w:t xml:space="preserve"> </w:t>
      </w:r>
      <w:r>
        <w:rPr>
          <w:u w:val="single"/>
        </w:rPr>
        <w:t>Wines,</w:t>
      </w:r>
      <w:r>
        <w:rPr>
          <w:spacing w:val="-5"/>
          <w:u w:val="single"/>
        </w:rPr>
        <w:t xml:space="preserve"> </w:t>
      </w:r>
      <w:r>
        <w:rPr>
          <w:u w:val="single"/>
        </w:rPr>
        <w:t>the</w:t>
      </w:r>
      <w:r>
        <w:rPr>
          <w:spacing w:val="-7"/>
          <w:u w:val="single"/>
        </w:rPr>
        <w:t xml:space="preserve"> </w:t>
      </w:r>
      <w:r>
        <w:rPr>
          <w:u w:val="single"/>
        </w:rPr>
        <w:t>data</w:t>
      </w:r>
      <w:r>
        <w:rPr>
          <w:spacing w:val="-8"/>
          <w:u w:val="single"/>
        </w:rPr>
        <w:t xml:space="preserve"> </w:t>
      </w:r>
      <w:r>
        <w:rPr>
          <w:u w:val="single"/>
        </w:rPr>
        <w:t>of</w:t>
      </w:r>
      <w:r>
        <w:rPr>
          <w:spacing w:val="-8"/>
          <w:u w:val="single"/>
        </w:rPr>
        <w:t xml:space="preserve"> </w:t>
      </w:r>
      <w:r>
        <w:rPr>
          <w:u w:val="single"/>
        </w:rPr>
        <w:t>Treasury</w:t>
      </w:r>
      <w:r>
        <w:rPr>
          <w:spacing w:val="-7"/>
          <w:u w:val="single"/>
        </w:rPr>
        <w:t xml:space="preserve"> </w:t>
      </w:r>
      <w:r>
        <w:rPr>
          <w:u w:val="single"/>
        </w:rPr>
        <w:t>Wines</w:t>
      </w:r>
      <w:r>
        <w:rPr>
          <w:spacing w:val="-8"/>
          <w:u w:val="single"/>
        </w:rPr>
        <w:t xml:space="preserve"> </w:t>
      </w:r>
      <w:r>
        <w:rPr>
          <w:u w:val="single"/>
        </w:rPr>
        <w:t>was</w:t>
      </w:r>
      <w:r>
        <w:rPr>
          <w:spacing w:val="-8"/>
          <w:u w:val="single"/>
        </w:rPr>
        <w:t xml:space="preserve"> </w:t>
      </w:r>
      <w:r>
        <w:rPr>
          <w:u w:val="single"/>
        </w:rPr>
        <w:t>used</w:t>
      </w:r>
      <w:r>
        <w:t>.</w:t>
      </w:r>
      <w:r>
        <w:rPr>
          <w:spacing w:val="-6"/>
        </w:rPr>
        <w:t xml:space="preserve"> </w:t>
      </w:r>
      <w:r>
        <w:t>Thus,</w:t>
      </w:r>
      <w:r>
        <w:rPr>
          <w:spacing w:val="-5"/>
        </w:rPr>
        <w:t xml:space="preserve"> </w:t>
      </w:r>
      <w:r>
        <w:t>at</w:t>
      </w:r>
      <w:r>
        <w:rPr>
          <w:spacing w:val="-10"/>
        </w:rPr>
        <w:t xml:space="preserve"> </w:t>
      </w:r>
      <w:r>
        <w:t>the outset, it</w:t>
      </w:r>
      <w:r>
        <w:rPr>
          <w:spacing w:val="-4"/>
        </w:rPr>
        <w:t xml:space="preserve"> </w:t>
      </w:r>
      <w:r>
        <w:t>is obvious</w:t>
      </w:r>
      <w:r>
        <w:rPr>
          <w:spacing w:val="-2"/>
        </w:rPr>
        <w:t xml:space="preserve"> </w:t>
      </w:r>
      <w:r>
        <w:t xml:space="preserve">that </w:t>
      </w:r>
      <w:r>
        <w:rPr>
          <w:u w:val="single"/>
        </w:rPr>
        <w:t>the</w:t>
      </w:r>
      <w:r>
        <w:rPr>
          <w:spacing w:val="-2"/>
          <w:u w:val="single"/>
        </w:rPr>
        <w:t xml:space="preserve"> </w:t>
      </w:r>
      <w:r>
        <w:rPr>
          <w:u w:val="single"/>
        </w:rPr>
        <w:t>"product types, trade links</w:t>
      </w:r>
      <w:r>
        <w:rPr>
          <w:spacing w:val="-2"/>
          <w:u w:val="single"/>
        </w:rPr>
        <w:t xml:space="preserve"> </w:t>
      </w:r>
      <w:r>
        <w:rPr>
          <w:u w:val="single"/>
        </w:rPr>
        <w:t>and other</w:t>
      </w:r>
      <w:r>
        <w:rPr>
          <w:spacing w:val="-2"/>
          <w:u w:val="single"/>
        </w:rPr>
        <w:t xml:space="preserve"> </w:t>
      </w:r>
      <w:r>
        <w:rPr>
          <w:u w:val="single"/>
        </w:rPr>
        <w:t>influencing</w:t>
      </w:r>
      <w:r>
        <w:rPr>
          <w:spacing w:val="-1"/>
          <w:u w:val="single"/>
        </w:rPr>
        <w:t xml:space="preserve"> </w:t>
      </w:r>
      <w:r>
        <w:rPr>
          <w:u w:val="single"/>
        </w:rPr>
        <w:t>factors"</w:t>
      </w:r>
      <w:r>
        <w:rPr>
          <w:spacing w:val="-4"/>
          <w:u w:val="single"/>
        </w:rPr>
        <w:t xml:space="preserve"> </w:t>
      </w:r>
      <w:r>
        <w:rPr>
          <w:u w:val="single"/>
        </w:rPr>
        <w:t>(all of</w:t>
      </w:r>
      <w:r>
        <w:t xml:space="preserve"> </w:t>
      </w:r>
      <w:r>
        <w:rPr>
          <w:u w:val="single"/>
        </w:rPr>
        <w:t>which</w:t>
      </w:r>
      <w:r>
        <w:rPr>
          <w:spacing w:val="-8"/>
          <w:u w:val="single"/>
        </w:rPr>
        <w:t xml:space="preserve"> </w:t>
      </w:r>
      <w:r>
        <w:rPr>
          <w:u w:val="single"/>
        </w:rPr>
        <w:t>are</w:t>
      </w:r>
      <w:r>
        <w:rPr>
          <w:spacing w:val="-6"/>
          <w:u w:val="single"/>
        </w:rPr>
        <w:t xml:space="preserve"> </w:t>
      </w:r>
      <w:r>
        <w:rPr>
          <w:u w:val="single"/>
        </w:rPr>
        <w:t>reflected</w:t>
      </w:r>
      <w:r>
        <w:rPr>
          <w:spacing w:val="-3"/>
          <w:u w:val="single"/>
        </w:rPr>
        <w:t xml:space="preserve"> </w:t>
      </w:r>
      <w:r>
        <w:rPr>
          <w:u w:val="single"/>
        </w:rPr>
        <w:t>in</w:t>
      </w:r>
      <w:r>
        <w:rPr>
          <w:spacing w:val="-8"/>
          <w:u w:val="single"/>
        </w:rPr>
        <w:t xml:space="preserve"> </w:t>
      </w:r>
      <w:r>
        <w:rPr>
          <w:u w:val="single"/>
        </w:rPr>
        <w:t>the</w:t>
      </w:r>
      <w:r>
        <w:rPr>
          <w:spacing w:val="-2"/>
          <w:u w:val="single"/>
        </w:rPr>
        <w:t xml:space="preserve"> </w:t>
      </w:r>
      <w:r>
        <w:rPr>
          <w:u w:val="single"/>
        </w:rPr>
        <w:t>PCNs),</w:t>
      </w:r>
      <w:r>
        <w:rPr>
          <w:spacing w:val="-4"/>
          <w:u w:val="single"/>
        </w:rPr>
        <w:t xml:space="preserve"> </w:t>
      </w:r>
      <w:r>
        <w:rPr>
          <w:u w:val="single"/>
        </w:rPr>
        <w:t>that</w:t>
      </w:r>
      <w:r>
        <w:rPr>
          <w:spacing w:val="-9"/>
          <w:u w:val="single"/>
        </w:rPr>
        <w:t xml:space="preserve"> </w:t>
      </w:r>
      <w:r>
        <w:rPr>
          <w:u w:val="single"/>
        </w:rPr>
        <w:t>are</w:t>
      </w:r>
      <w:r>
        <w:rPr>
          <w:spacing w:val="-2"/>
          <w:u w:val="single"/>
        </w:rPr>
        <w:t xml:space="preserve"> </w:t>
      </w:r>
      <w:r>
        <w:rPr>
          <w:u w:val="single"/>
        </w:rPr>
        <w:t>being</w:t>
      </w:r>
      <w:r>
        <w:rPr>
          <w:spacing w:val="-5"/>
          <w:u w:val="single"/>
        </w:rPr>
        <w:t xml:space="preserve"> </w:t>
      </w:r>
      <w:r>
        <w:rPr>
          <w:u w:val="single"/>
        </w:rPr>
        <w:t>taken</w:t>
      </w:r>
      <w:r>
        <w:rPr>
          <w:spacing w:val="-3"/>
          <w:u w:val="single"/>
        </w:rPr>
        <w:t xml:space="preserve"> </w:t>
      </w:r>
      <w:r>
        <w:rPr>
          <w:u w:val="single"/>
        </w:rPr>
        <w:t>into</w:t>
      </w:r>
      <w:r>
        <w:rPr>
          <w:spacing w:val="-3"/>
          <w:u w:val="single"/>
        </w:rPr>
        <w:t xml:space="preserve"> </w:t>
      </w:r>
      <w:r>
        <w:rPr>
          <w:u w:val="single"/>
        </w:rPr>
        <w:t>consideration</w:t>
      </w:r>
      <w:r>
        <w:rPr>
          <w:spacing w:val="-8"/>
          <w:u w:val="single"/>
        </w:rPr>
        <w:t xml:space="preserve"> </w:t>
      </w:r>
      <w:r>
        <w:rPr>
          <w:u w:val="single"/>
        </w:rPr>
        <w:t>are</w:t>
      </w:r>
      <w:r>
        <w:rPr>
          <w:spacing w:val="-2"/>
          <w:u w:val="single"/>
        </w:rPr>
        <w:t xml:space="preserve"> </w:t>
      </w:r>
      <w:r>
        <w:rPr>
          <w:u w:val="single"/>
        </w:rPr>
        <w:t>those</w:t>
      </w:r>
      <w:r>
        <w:rPr>
          <w:spacing w:val="-2"/>
          <w:u w:val="single"/>
        </w:rPr>
        <w:t xml:space="preserve"> </w:t>
      </w:r>
      <w:r>
        <w:rPr>
          <w:u w:val="single"/>
        </w:rPr>
        <w:t>of</w:t>
      </w:r>
      <w:r>
        <w:rPr>
          <w:spacing w:val="-2"/>
          <w:u w:val="single"/>
        </w:rPr>
        <w:t xml:space="preserve"> </w:t>
      </w:r>
      <w:r>
        <w:rPr>
          <w:u w:val="single"/>
        </w:rPr>
        <w:t>Casella</w:t>
      </w:r>
      <w:r>
        <w:t xml:space="preserve"> </w:t>
      </w:r>
      <w:r>
        <w:rPr>
          <w:u w:val="single"/>
        </w:rPr>
        <w:t>Wines on the one hand and Treasury Wines on the other</w:t>
      </w:r>
      <w:r>
        <w:t xml:space="preserve">. Indeed, the extent, </w:t>
      </w:r>
      <w:proofErr w:type="gramStart"/>
      <w:r>
        <w:t>nature</w:t>
      </w:r>
      <w:proofErr w:type="gramEnd"/>
      <w:r>
        <w:t xml:space="preserve"> and form</w:t>
      </w:r>
      <w:r>
        <w:rPr>
          <w:spacing w:val="-1"/>
        </w:rPr>
        <w:t xml:space="preserve"> </w:t>
      </w:r>
      <w:r>
        <w:t>of</w:t>
      </w:r>
      <w:r>
        <w:rPr>
          <w:spacing w:val="-3"/>
        </w:rPr>
        <w:t xml:space="preserve"> </w:t>
      </w:r>
      <w:r>
        <w:t>the</w:t>
      </w:r>
      <w:r>
        <w:rPr>
          <w:spacing w:val="-2"/>
        </w:rPr>
        <w:t xml:space="preserve"> </w:t>
      </w:r>
      <w:r>
        <w:t>evaluation</w:t>
      </w:r>
      <w:r>
        <w:rPr>
          <w:spacing w:val="-3"/>
        </w:rPr>
        <w:t xml:space="preserve"> </w:t>
      </w:r>
      <w:r>
        <w:t>that</w:t>
      </w:r>
      <w:r>
        <w:rPr>
          <w:spacing w:val="-4"/>
        </w:rPr>
        <w:t xml:space="preserve"> </w:t>
      </w:r>
      <w:r>
        <w:t>an</w:t>
      </w:r>
      <w:r>
        <w:rPr>
          <w:spacing w:val="-3"/>
        </w:rPr>
        <w:t xml:space="preserve"> </w:t>
      </w:r>
      <w:r>
        <w:t>investigating</w:t>
      </w:r>
      <w:r>
        <w:rPr>
          <w:spacing w:val="-1"/>
        </w:rPr>
        <w:t xml:space="preserve"> </w:t>
      </w:r>
      <w:r>
        <w:t>authority</w:t>
      </w:r>
      <w:r>
        <w:rPr>
          <w:spacing w:val="-1"/>
        </w:rPr>
        <w:t xml:space="preserve"> </w:t>
      </w:r>
      <w:r>
        <w:t>must</w:t>
      </w:r>
      <w:r>
        <w:rPr>
          <w:spacing w:val="-4"/>
        </w:rPr>
        <w:t xml:space="preserve"> </w:t>
      </w:r>
      <w:r>
        <w:t>conduct</w:t>
      </w:r>
      <w:r>
        <w:rPr>
          <w:spacing w:val="-4"/>
        </w:rPr>
        <w:t xml:space="preserve"> </w:t>
      </w:r>
      <w:r>
        <w:t>in</w:t>
      </w:r>
      <w:r>
        <w:rPr>
          <w:spacing w:val="-3"/>
        </w:rPr>
        <w:t xml:space="preserve"> </w:t>
      </w:r>
      <w:r>
        <w:t>this</w:t>
      </w:r>
      <w:r>
        <w:rPr>
          <w:spacing w:val="-2"/>
        </w:rPr>
        <w:t xml:space="preserve"> </w:t>
      </w:r>
      <w:r>
        <w:t>regard</w:t>
      </w:r>
      <w:r>
        <w:rPr>
          <w:spacing w:val="-3"/>
        </w:rPr>
        <w:t xml:space="preserve"> </w:t>
      </w:r>
      <w:r>
        <w:t>(as</w:t>
      </w:r>
      <w:r>
        <w:rPr>
          <w:spacing w:val="-2"/>
        </w:rPr>
        <w:t xml:space="preserve"> </w:t>
      </w:r>
      <w:r>
        <w:t>well as the</w:t>
      </w:r>
      <w:r>
        <w:rPr>
          <w:spacing w:val="-3"/>
        </w:rPr>
        <w:t xml:space="preserve"> </w:t>
      </w:r>
      <w:r>
        <w:t>"explanation</w:t>
      </w:r>
      <w:r>
        <w:rPr>
          <w:spacing w:val="-4"/>
        </w:rPr>
        <w:t xml:space="preserve"> </w:t>
      </w:r>
      <w:r>
        <w:t>and</w:t>
      </w:r>
      <w:r>
        <w:rPr>
          <w:spacing w:val="-4"/>
        </w:rPr>
        <w:t xml:space="preserve"> </w:t>
      </w:r>
      <w:r>
        <w:t>analysis"</w:t>
      </w:r>
      <w:r>
        <w:rPr>
          <w:spacing w:val="-5"/>
        </w:rPr>
        <w:t xml:space="preserve"> </w:t>
      </w:r>
      <w:r>
        <w:t>that</w:t>
      </w:r>
      <w:r>
        <w:rPr>
          <w:spacing w:val="-5"/>
        </w:rPr>
        <w:t xml:space="preserve"> </w:t>
      </w:r>
      <w:r>
        <w:t>the</w:t>
      </w:r>
      <w:r>
        <w:rPr>
          <w:spacing w:val="-3"/>
        </w:rPr>
        <w:t xml:space="preserve"> </w:t>
      </w:r>
      <w:r>
        <w:t>authority</w:t>
      </w:r>
      <w:r>
        <w:rPr>
          <w:spacing w:val="-3"/>
        </w:rPr>
        <w:t xml:space="preserve"> </w:t>
      </w:r>
      <w:r>
        <w:t>must provide)</w:t>
      </w:r>
      <w:r>
        <w:rPr>
          <w:spacing w:val="-3"/>
        </w:rPr>
        <w:t xml:space="preserve"> </w:t>
      </w:r>
      <w:r>
        <w:t>is</w:t>
      </w:r>
      <w:r>
        <w:rPr>
          <w:spacing w:val="-3"/>
        </w:rPr>
        <w:t xml:space="preserve"> </w:t>
      </w:r>
      <w:r>
        <w:t>dependent</w:t>
      </w:r>
      <w:r>
        <w:rPr>
          <w:spacing w:val="-5"/>
        </w:rPr>
        <w:t xml:space="preserve"> </w:t>
      </w:r>
      <w:r>
        <w:t>on</w:t>
      </w:r>
      <w:r>
        <w:rPr>
          <w:spacing w:val="-4"/>
        </w:rPr>
        <w:t xml:space="preserve"> </w:t>
      </w:r>
      <w:r>
        <w:t>the</w:t>
      </w:r>
      <w:r>
        <w:rPr>
          <w:spacing w:val="-3"/>
        </w:rPr>
        <w:t xml:space="preserve"> </w:t>
      </w:r>
      <w:r>
        <w:t>"nature</w:t>
      </w:r>
    </w:p>
    <w:p w14:paraId="5A9815CE" w14:textId="77777777" w:rsidR="00BD462C" w:rsidRDefault="00033D0F">
      <w:pPr>
        <w:spacing w:line="276" w:lineRule="auto"/>
        <w:ind w:left="985" w:right="912" w:hanging="1"/>
        <w:jc w:val="both"/>
      </w:pPr>
      <w:r>
        <w:t>…</w:t>
      </w:r>
      <w:r>
        <w:rPr>
          <w:spacing w:val="-3"/>
        </w:rPr>
        <w:t xml:space="preserve"> </w:t>
      </w:r>
      <w:r>
        <w:t>and</w:t>
      </w:r>
      <w:r>
        <w:rPr>
          <w:spacing w:val="-5"/>
        </w:rPr>
        <w:t xml:space="preserve"> </w:t>
      </w:r>
      <w:r>
        <w:t>amount</w:t>
      </w:r>
      <w:r>
        <w:rPr>
          <w:spacing w:val="-6"/>
        </w:rPr>
        <w:t xml:space="preserve"> </w:t>
      </w:r>
      <w:r>
        <w:t>of</w:t>
      </w:r>
      <w:r>
        <w:rPr>
          <w:spacing w:val="-4"/>
        </w:rPr>
        <w:t xml:space="preserve"> </w:t>
      </w:r>
      <w:r>
        <w:t>evidence</w:t>
      </w:r>
      <w:r>
        <w:rPr>
          <w:spacing w:val="-4"/>
        </w:rPr>
        <w:t xml:space="preserve"> </w:t>
      </w:r>
      <w:r>
        <w:t>on</w:t>
      </w:r>
      <w:r>
        <w:rPr>
          <w:spacing w:val="-5"/>
        </w:rPr>
        <w:t xml:space="preserve"> </w:t>
      </w:r>
      <w:r>
        <w:t>record".</w:t>
      </w:r>
      <w:r>
        <w:rPr>
          <w:spacing w:val="-2"/>
        </w:rPr>
        <w:t xml:space="preserve"> </w:t>
      </w:r>
      <w:r>
        <w:rPr>
          <w:u w:val="single"/>
        </w:rPr>
        <w:t>Given</w:t>
      </w:r>
      <w:r>
        <w:rPr>
          <w:spacing w:val="-5"/>
          <w:u w:val="single"/>
        </w:rPr>
        <w:t xml:space="preserve"> </w:t>
      </w:r>
      <w:r>
        <w:rPr>
          <w:u w:val="single"/>
        </w:rPr>
        <w:t>that</w:t>
      </w:r>
      <w:r>
        <w:rPr>
          <w:spacing w:val="-6"/>
          <w:u w:val="single"/>
        </w:rPr>
        <w:t xml:space="preserve"> </w:t>
      </w:r>
      <w:r>
        <w:rPr>
          <w:u w:val="single"/>
        </w:rPr>
        <w:t>MOFCOM</w:t>
      </w:r>
      <w:r>
        <w:rPr>
          <w:spacing w:val="-6"/>
          <w:u w:val="single"/>
        </w:rPr>
        <w:t xml:space="preserve"> </w:t>
      </w:r>
      <w:r>
        <w:rPr>
          <w:u w:val="single"/>
        </w:rPr>
        <w:t>used</w:t>
      </w:r>
      <w:r>
        <w:rPr>
          <w:spacing w:val="-5"/>
          <w:u w:val="single"/>
        </w:rPr>
        <w:t xml:space="preserve"> </w:t>
      </w:r>
      <w:r>
        <w:rPr>
          <w:u w:val="single"/>
        </w:rPr>
        <w:t>information</w:t>
      </w:r>
      <w:r>
        <w:rPr>
          <w:spacing w:val="-5"/>
          <w:u w:val="single"/>
        </w:rPr>
        <w:t xml:space="preserve"> </w:t>
      </w:r>
      <w:r>
        <w:rPr>
          <w:u w:val="single"/>
        </w:rPr>
        <w:t>from</w:t>
      </w:r>
      <w:r>
        <w:rPr>
          <w:spacing w:val="-8"/>
          <w:u w:val="single"/>
        </w:rPr>
        <w:t xml:space="preserve"> </w:t>
      </w:r>
      <w:r>
        <w:rPr>
          <w:u w:val="single"/>
        </w:rPr>
        <w:t>only</w:t>
      </w:r>
      <w:r>
        <w:rPr>
          <w:spacing w:val="-3"/>
          <w:u w:val="single"/>
        </w:rPr>
        <w:t xml:space="preserve"> </w:t>
      </w:r>
      <w:r>
        <w:rPr>
          <w:u w:val="single"/>
        </w:rPr>
        <w:t>one</w:t>
      </w:r>
      <w:r>
        <w:t xml:space="preserve"> </w:t>
      </w:r>
      <w:r>
        <w:rPr>
          <w:u w:val="single"/>
        </w:rPr>
        <w:t>company</w:t>
      </w:r>
      <w:r>
        <w:rPr>
          <w:spacing w:val="-10"/>
          <w:u w:val="single"/>
        </w:rPr>
        <w:t xml:space="preserve"> </w:t>
      </w:r>
      <w:r>
        <w:rPr>
          <w:u w:val="single"/>
        </w:rPr>
        <w:t>(Treasury</w:t>
      </w:r>
      <w:r>
        <w:rPr>
          <w:spacing w:val="-9"/>
          <w:u w:val="single"/>
        </w:rPr>
        <w:t xml:space="preserve"> </w:t>
      </w:r>
      <w:r>
        <w:rPr>
          <w:u w:val="single"/>
        </w:rPr>
        <w:t>Wines)</w:t>
      </w:r>
      <w:r>
        <w:t>,</w:t>
      </w:r>
      <w:r>
        <w:rPr>
          <w:spacing w:val="-7"/>
        </w:rPr>
        <w:t xml:space="preserve"> </w:t>
      </w:r>
      <w:r>
        <w:t>the</w:t>
      </w:r>
      <w:r>
        <w:rPr>
          <w:spacing w:val="-13"/>
        </w:rPr>
        <w:t xml:space="preserve"> </w:t>
      </w:r>
      <w:r>
        <w:t>level</w:t>
      </w:r>
      <w:r>
        <w:rPr>
          <w:spacing w:val="-7"/>
        </w:rPr>
        <w:t xml:space="preserve"> </w:t>
      </w:r>
      <w:r>
        <w:t>of</w:t>
      </w:r>
      <w:r>
        <w:rPr>
          <w:spacing w:val="-10"/>
        </w:rPr>
        <w:t xml:space="preserve"> </w:t>
      </w:r>
      <w:r>
        <w:t>specification</w:t>
      </w:r>
      <w:r>
        <w:rPr>
          <w:spacing w:val="-11"/>
        </w:rPr>
        <w:t xml:space="preserve"> </w:t>
      </w:r>
      <w:r>
        <w:t>(i.e.,</w:t>
      </w:r>
      <w:r>
        <w:rPr>
          <w:spacing w:val="-7"/>
        </w:rPr>
        <w:t xml:space="preserve"> </w:t>
      </w:r>
      <w:r>
        <w:t>detail)</w:t>
      </w:r>
      <w:r>
        <w:rPr>
          <w:spacing w:val="-10"/>
        </w:rPr>
        <w:t xml:space="preserve"> </w:t>
      </w:r>
      <w:r>
        <w:t>that</w:t>
      </w:r>
      <w:r>
        <w:rPr>
          <w:spacing w:val="-12"/>
        </w:rPr>
        <w:t xml:space="preserve"> </w:t>
      </w:r>
      <w:r>
        <w:t>MOFCOM</w:t>
      </w:r>
      <w:r>
        <w:rPr>
          <w:spacing w:val="-12"/>
        </w:rPr>
        <w:t xml:space="preserve"> </w:t>
      </w:r>
      <w:r>
        <w:t>was</w:t>
      </w:r>
      <w:r>
        <w:rPr>
          <w:spacing w:val="-10"/>
        </w:rPr>
        <w:t xml:space="preserve"> </w:t>
      </w:r>
      <w:r>
        <w:t>required to provide in its Final Determination was concomitantly limited.</w:t>
      </w:r>
      <w:hyperlink w:anchor="_bookmark1658" w:history="1">
        <w:r>
          <w:rPr>
            <w:vertAlign w:val="superscript"/>
          </w:rPr>
          <w:t>1439</w:t>
        </w:r>
      </w:hyperlink>
    </w:p>
    <w:p w14:paraId="17897819" w14:textId="77777777" w:rsidR="00BD462C" w:rsidRDefault="00BD462C">
      <w:pPr>
        <w:pStyle w:val="BodyText"/>
        <w:spacing w:before="6"/>
        <w:rPr>
          <w:sz w:val="15"/>
        </w:rPr>
      </w:pPr>
    </w:p>
    <w:p w14:paraId="0FD11F04" w14:textId="360B3C86" w:rsidR="00BD462C" w:rsidRDefault="00D443C8">
      <w:pPr>
        <w:pStyle w:val="BodyText"/>
        <w:spacing w:before="56" w:line="360" w:lineRule="auto"/>
        <w:ind w:left="136" w:right="916"/>
        <w:jc w:val="both"/>
      </w:pPr>
      <w:r>
        <w:rPr>
          <w:noProof/>
        </w:rPr>
        <w:t>991.</w:t>
      </w:r>
      <w:r w:rsidR="00033D0F">
        <w:rPr>
          <w:rFonts w:ascii="Times New Roman"/>
          <w:spacing w:val="40"/>
          <w:position w:val="1"/>
          <w:sz w:val="20"/>
        </w:rPr>
        <w:t xml:space="preserve"> </w:t>
      </w:r>
      <w:r w:rsidR="00033D0F">
        <w:rPr>
          <w:position w:val="1"/>
        </w:rPr>
        <w:t>However, MOFCOM did not disclose any of the underlined non-confidential</w:t>
      </w:r>
      <w:r w:rsidR="00033D0F">
        <w:rPr>
          <w:spacing w:val="80"/>
          <w:position w:val="1"/>
        </w:rPr>
        <w:t xml:space="preserve"> </w:t>
      </w:r>
      <w:r w:rsidR="00033D0F">
        <w:t>information</w:t>
      </w:r>
      <w:r w:rsidR="00033D0F">
        <w:rPr>
          <w:spacing w:val="-13"/>
        </w:rPr>
        <w:t xml:space="preserve"> </w:t>
      </w:r>
      <w:r w:rsidR="00033D0F">
        <w:t>in</w:t>
      </w:r>
      <w:r w:rsidR="00033D0F">
        <w:rPr>
          <w:spacing w:val="-13"/>
        </w:rPr>
        <w:t xml:space="preserve"> </w:t>
      </w:r>
      <w:r w:rsidR="00033D0F">
        <w:t>its</w:t>
      </w:r>
      <w:r w:rsidR="00033D0F">
        <w:rPr>
          <w:spacing w:val="-9"/>
        </w:rPr>
        <w:t xml:space="preserve"> </w:t>
      </w:r>
      <w:r w:rsidR="00033D0F">
        <w:t>Final</w:t>
      </w:r>
      <w:r w:rsidR="00033D0F">
        <w:rPr>
          <w:spacing w:val="-9"/>
        </w:rPr>
        <w:t xml:space="preserve"> </w:t>
      </w:r>
      <w:r w:rsidR="00033D0F">
        <w:t>Determination</w:t>
      </w:r>
      <w:r w:rsidR="00033D0F">
        <w:rPr>
          <w:spacing w:val="-13"/>
        </w:rPr>
        <w:t xml:space="preserve"> </w:t>
      </w:r>
      <w:r w:rsidR="00033D0F">
        <w:t>even</w:t>
      </w:r>
      <w:r w:rsidR="00033D0F">
        <w:rPr>
          <w:spacing w:val="-13"/>
        </w:rPr>
        <w:t xml:space="preserve"> </w:t>
      </w:r>
      <w:r w:rsidR="00033D0F">
        <w:t>though</w:t>
      </w:r>
      <w:r w:rsidR="00033D0F">
        <w:rPr>
          <w:spacing w:val="-8"/>
        </w:rPr>
        <w:t xml:space="preserve"> </w:t>
      </w:r>
      <w:r w:rsidR="00033D0F">
        <w:t>it</w:t>
      </w:r>
      <w:r w:rsidR="00033D0F">
        <w:rPr>
          <w:spacing w:val="-10"/>
        </w:rPr>
        <w:t xml:space="preserve"> </w:t>
      </w:r>
      <w:r w:rsidR="00033D0F">
        <w:t>was</w:t>
      </w:r>
      <w:r w:rsidR="00033D0F">
        <w:rPr>
          <w:spacing w:val="-9"/>
        </w:rPr>
        <w:t xml:space="preserve"> </w:t>
      </w:r>
      <w:r w:rsidR="00033D0F">
        <w:t>material</w:t>
      </w:r>
      <w:r w:rsidR="00033D0F">
        <w:rPr>
          <w:spacing w:val="-9"/>
        </w:rPr>
        <w:t xml:space="preserve"> </w:t>
      </w:r>
      <w:r w:rsidR="00033D0F">
        <w:t>to</w:t>
      </w:r>
      <w:r w:rsidR="00033D0F">
        <w:rPr>
          <w:spacing w:val="-13"/>
        </w:rPr>
        <w:t xml:space="preserve"> </w:t>
      </w:r>
      <w:r w:rsidR="00033D0F">
        <w:t>the</w:t>
      </w:r>
      <w:r w:rsidR="00033D0F">
        <w:rPr>
          <w:spacing w:val="-11"/>
        </w:rPr>
        <w:t xml:space="preserve"> </w:t>
      </w:r>
      <w:r w:rsidR="00033D0F">
        <w:t>determination</w:t>
      </w:r>
      <w:r w:rsidR="00033D0F">
        <w:rPr>
          <w:spacing w:val="-8"/>
        </w:rPr>
        <w:t xml:space="preserve"> </w:t>
      </w:r>
      <w:r w:rsidR="00033D0F">
        <w:t>of</w:t>
      </w:r>
      <w:r w:rsidR="00033D0F">
        <w:rPr>
          <w:spacing w:val="-13"/>
        </w:rPr>
        <w:t xml:space="preserve"> </w:t>
      </w:r>
      <w:r w:rsidR="00033D0F">
        <w:t>the normal value and calculation of the dumping margin of Casella Wines. Indeed, earlier in its submission, China stated that MOFCOM could not release information that would identify Treasury Wines.</w:t>
      </w:r>
      <w:hyperlink w:anchor="_bookmark1659" w:history="1">
        <w:r w:rsidR="00033D0F">
          <w:rPr>
            <w:vertAlign w:val="superscript"/>
          </w:rPr>
          <w:t>1440</w:t>
        </w:r>
      </w:hyperlink>
      <w:r w:rsidR="00033D0F">
        <w:t xml:space="preserve"> However, in the context of Articles 12.2 and 12.2.2, China argues that MOFCOM</w:t>
      </w:r>
      <w:r w:rsidR="00033D0F">
        <w:rPr>
          <w:spacing w:val="-3"/>
        </w:rPr>
        <w:t xml:space="preserve"> </w:t>
      </w:r>
      <w:r w:rsidR="00033D0F">
        <w:t>disclosed</w:t>
      </w:r>
      <w:r w:rsidR="00033D0F">
        <w:rPr>
          <w:spacing w:val="-5"/>
        </w:rPr>
        <w:t xml:space="preserve"> </w:t>
      </w:r>
      <w:r w:rsidR="00033D0F">
        <w:t>enough</w:t>
      </w:r>
      <w:r w:rsidR="00033D0F">
        <w:rPr>
          <w:spacing w:val="-5"/>
        </w:rPr>
        <w:t xml:space="preserve"> </w:t>
      </w:r>
      <w:r w:rsidR="00033D0F">
        <w:t>information</w:t>
      </w:r>
      <w:r w:rsidR="00033D0F">
        <w:rPr>
          <w:spacing w:val="-5"/>
        </w:rPr>
        <w:t xml:space="preserve"> </w:t>
      </w:r>
      <w:r w:rsidR="00033D0F">
        <w:t>for</w:t>
      </w:r>
      <w:r w:rsidR="00033D0F">
        <w:rPr>
          <w:spacing w:val="-6"/>
        </w:rPr>
        <w:t xml:space="preserve"> </w:t>
      </w:r>
      <w:r w:rsidR="00033D0F">
        <w:t>it</w:t>
      </w:r>
      <w:r w:rsidR="00033D0F">
        <w:rPr>
          <w:spacing w:val="-3"/>
        </w:rPr>
        <w:t xml:space="preserve"> </w:t>
      </w:r>
      <w:r w:rsidR="00033D0F">
        <w:t>to</w:t>
      </w:r>
      <w:r w:rsidR="00033D0F">
        <w:rPr>
          <w:spacing w:val="-6"/>
        </w:rPr>
        <w:t xml:space="preserve"> </w:t>
      </w:r>
      <w:r w:rsidR="00033D0F">
        <w:t>be</w:t>
      </w:r>
      <w:r w:rsidR="00033D0F">
        <w:rPr>
          <w:spacing w:val="-4"/>
        </w:rPr>
        <w:t xml:space="preserve"> </w:t>
      </w:r>
      <w:r w:rsidR="00033D0F">
        <w:t>clear</w:t>
      </w:r>
      <w:r w:rsidR="00033D0F">
        <w:rPr>
          <w:spacing w:val="-6"/>
        </w:rPr>
        <w:t xml:space="preserve"> </w:t>
      </w:r>
      <w:r w:rsidR="00033D0F">
        <w:t>that</w:t>
      </w:r>
      <w:r w:rsidR="00033D0F">
        <w:rPr>
          <w:spacing w:val="-3"/>
        </w:rPr>
        <w:t xml:space="preserve"> </w:t>
      </w:r>
      <w:r w:rsidR="00033D0F">
        <w:t>Casella</w:t>
      </w:r>
      <w:r w:rsidR="00033D0F">
        <w:rPr>
          <w:spacing w:val="-8"/>
        </w:rPr>
        <w:t xml:space="preserve"> </w:t>
      </w:r>
      <w:r w:rsidR="00033D0F">
        <w:t>Wines'</w:t>
      </w:r>
      <w:r w:rsidR="00033D0F">
        <w:rPr>
          <w:spacing w:val="-9"/>
        </w:rPr>
        <w:t xml:space="preserve"> </w:t>
      </w:r>
      <w:r w:rsidR="00033D0F">
        <w:t>information</w:t>
      </w:r>
      <w:r w:rsidR="00033D0F">
        <w:rPr>
          <w:spacing w:val="-5"/>
        </w:rPr>
        <w:t xml:space="preserve"> </w:t>
      </w:r>
      <w:r w:rsidR="00033D0F">
        <w:t>was based on Treasury Wines' data. China cannot take both positions simultaneously.</w:t>
      </w:r>
    </w:p>
    <w:p w14:paraId="649F9E50" w14:textId="77777777" w:rsidR="00BD462C" w:rsidRDefault="00BD462C">
      <w:pPr>
        <w:pStyle w:val="BodyText"/>
        <w:spacing w:before="5"/>
        <w:rPr>
          <w:sz w:val="8"/>
        </w:rPr>
      </w:pPr>
    </w:p>
    <w:p w14:paraId="5A89564D" w14:textId="2F2D6B6B" w:rsidR="00BD462C" w:rsidRDefault="00D443C8">
      <w:pPr>
        <w:pStyle w:val="BodyText"/>
        <w:spacing w:before="56" w:line="360" w:lineRule="auto"/>
        <w:ind w:left="135" w:right="912"/>
        <w:jc w:val="both"/>
      </w:pPr>
      <w:r>
        <w:rPr>
          <w:noProof/>
        </w:rPr>
        <w:t>992.</w:t>
      </w:r>
      <w:r w:rsidR="00033D0F">
        <w:rPr>
          <w:rFonts w:ascii="Times New Roman" w:hAnsi="Times New Roman"/>
          <w:spacing w:val="40"/>
          <w:position w:val="1"/>
          <w:sz w:val="20"/>
        </w:rPr>
        <w:t xml:space="preserve">  </w:t>
      </w:r>
      <w:r w:rsidR="00033D0F">
        <w:rPr>
          <w:position w:val="1"/>
        </w:rPr>
        <w:t xml:space="preserve">Similarly, for Swan Vintage, Australia maintains that MOFCOM provided no details in </w:t>
      </w:r>
      <w:r w:rsidR="00033D0F">
        <w:t>the Final Determination relating to the comparative analysis it conducted of the information from</w:t>
      </w:r>
      <w:r w:rsidR="00033D0F">
        <w:rPr>
          <w:spacing w:val="-14"/>
        </w:rPr>
        <w:t xml:space="preserve"> </w:t>
      </w:r>
      <w:r w:rsidR="00033D0F">
        <w:t>the</w:t>
      </w:r>
      <w:r w:rsidR="00033D0F">
        <w:rPr>
          <w:spacing w:val="-14"/>
        </w:rPr>
        <w:t xml:space="preserve"> </w:t>
      </w:r>
      <w:r w:rsidR="00033D0F">
        <w:t>investigation</w:t>
      </w:r>
      <w:r w:rsidR="00033D0F">
        <w:rPr>
          <w:spacing w:val="-13"/>
        </w:rPr>
        <w:t xml:space="preserve"> </w:t>
      </w:r>
      <w:r w:rsidR="00033D0F">
        <w:t>used</w:t>
      </w:r>
      <w:r w:rsidR="00033D0F">
        <w:rPr>
          <w:spacing w:val="-14"/>
        </w:rPr>
        <w:t xml:space="preserve"> </w:t>
      </w:r>
      <w:r w:rsidR="00033D0F">
        <w:t>to</w:t>
      </w:r>
      <w:r w:rsidR="00033D0F">
        <w:rPr>
          <w:spacing w:val="-13"/>
        </w:rPr>
        <w:t xml:space="preserve"> </w:t>
      </w:r>
      <w:r w:rsidR="00033D0F">
        <w:t>determine</w:t>
      </w:r>
      <w:r w:rsidR="00033D0F">
        <w:rPr>
          <w:spacing w:val="-14"/>
        </w:rPr>
        <w:t xml:space="preserve"> </w:t>
      </w:r>
      <w:r w:rsidR="00033D0F">
        <w:t>the</w:t>
      </w:r>
      <w:r w:rsidR="00033D0F">
        <w:rPr>
          <w:spacing w:val="-13"/>
        </w:rPr>
        <w:t xml:space="preserve"> </w:t>
      </w:r>
      <w:r w:rsidR="00033D0F">
        <w:t>dumping</w:t>
      </w:r>
      <w:r w:rsidR="00033D0F">
        <w:rPr>
          <w:spacing w:val="-14"/>
        </w:rPr>
        <w:t xml:space="preserve"> </w:t>
      </w:r>
      <w:r w:rsidR="00033D0F">
        <w:t>margin</w:t>
      </w:r>
      <w:r w:rsidR="00033D0F">
        <w:rPr>
          <w:spacing w:val="-14"/>
        </w:rPr>
        <w:t xml:space="preserve"> </w:t>
      </w:r>
      <w:r w:rsidR="00033D0F">
        <w:t>for</w:t>
      </w:r>
      <w:r w:rsidR="00033D0F">
        <w:rPr>
          <w:spacing w:val="-13"/>
        </w:rPr>
        <w:t xml:space="preserve"> </w:t>
      </w:r>
      <w:r w:rsidR="00033D0F">
        <w:t>Swan</w:t>
      </w:r>
      <w:r w:rsidR="00033D0F">
        <w:rPr>
          <w:spacing w:val="-14"/>
        </w:rPr>
        <w:t xml:space="preserve"> </w:t>
      </w:r>
      <w:r w:rsidR="00033D0F">
        <w:t>Vintage.</w:t>
      </w:r>
      <w:r w:rsidR="00033D0F">
        <w:rPr>
          <w:spacing w:val="-13"/>
        </w:rPr>
        <w:t xml:space="preserve"> </w:t>
      </w:r>
      <w:r w:rsidR="00033D0F">
        <w:t>In</w:t>
      </w:r>
      <w:r w:rsidR="00033D0F">
        <w:rPr>
          <w:spacing w:val="-14"/>
        </w:rPr>
        <w:t xml:space="preserve"> </w:t>
      </w:r>
      <w:r w:rsidR="00033D0F">
        <w:t>this</w:t>
      </w:r>
      <w:r w:rsidR="00033D0F">
        <w:rPr>
          <w:spacing w:val="-13"/>
        </w:rPr>
        <w:t xml:space="preserve"> </w:t>
      </w:r>
      <w:r w:rsidR="00033D0F">
        <w:t>regard, China</w:t>
      </w:r>
      <w:r w:rsidR="00033D0F">
        <w:rPr>
          <w:spacing w:val="-11"/>
        </w:rPr>
        <w:t xml:space="preserve"> </w:t>
      </w:r>
      <w:r w:rsidR="00033D0F">
        <w:t>requests</w:t>
      </w:r>
      <w:r w:rsidR="00033D0F">
        <w:rPr>
          <w:spacing w:val="-9"/>
        </w:rPr>
        <w:t xml:space="preserve"> </w:t>
      </w:r>
      <w:r w:rsidR="00033D0F">
        <w:t>that</w:t>
      </w:r>
      <w:r w:rsidR="00033D0F">
        <w:rPr>
          <w:spacing w:val="-10"/>
        </w:rPr>
        <w:t xml:space="preserve"> </w:t>
      </w:r>
      <w:r w:rsidR="00033D0F">
        <w:t>the</w:t>
      </w:r>
      <w:r w:rsidR="00033D0F">
        <w:rPr>
          <w:spacing w:val="-6"/>
        </w:rPr>
        <w:t xml:space="preserve"> </w:t>
      </w:r>
      <w:r w:rsidR="00033D0F">
        <w:t>Panel</w:t>
      </w:r>
      <w:r w:rsidR="00033D0F">
        <w:rPr>
          <w:spacing w:val="-9"/>
        </w:rPr>
        <w:t xml:space="preserve"> </w:t>
      </w:r>
      <w:r w:rsidR="00033D0F">
        <w:t>rely</w:t>
      </w:r>
      <w:r w:rsidR="00033D0F">
        <w:rPr>
          <w:spacing w:val="-10"/>
        </w:rPr>
        <w:t xml:space="preserve"> </w:t>
      </w:r>
      <w:r w:rsidR="00033D0F">
        <w:t>on</w:t>
      </w:r>
      <w:r w:rsidR="00033D0F">
        <w:rPr>
          <w:spacing w:val="-13"/>
        </w:rPr>
        <w:t xml:space="preserve"> </w:t>
      </w:r>
      <w:r w:rsidR="00033D0F">
        <w:t>the</w:t>
      </w:r>
      <w:r w:rsidR="00033D0F">
        <w:rPr>
          <w:spacing w:val="-11"/>
        </w:rPr>
        <w:t xml:space="preserve"> </w:t>
      </w:r>
      <w:r w:rsidR="00033D0F">
        <w:t>approach</w:t>
      </w:r>
      <w:r w:rsidR="00033D0F">
        <w:rPr>
          <w:spacing w:val="-7"/>
        </w:rPr>
        <w:t xml:space="preserve"> </w:t>
      </w:r>
      <w:r w:rsidR="00033D0F">
        <w:t>adopted</w:t>
      </w:r>
      <w:r w:rsidR="00033D0F">
        <w:rPr>
          <w:spacing w:val="-8"/>
        </w:rPr>
        <w:t xml:space="preserve"> </w:t>
      </w:r>
      <w:r w:rsidR="00033D0F">
        <w:t>by</w:t>
      </w:r>
      <w:r w:rsidR="00033D0F">
        <w:rPr>
          <w:spacing w:val="-10"/>
        </w:rPr>
        <w:t xml:space="preserve"> </w:t>
      </w:r>
      <w:r w:rsidR="00033D0F">
        <w:t>the</w:t>
      </w:r>
      <w:r w:rsidR="00033D0F">
        <w:rPr>
          <w:spacing w:val="-6"/>
        </w:rPr>
        <w:t xml:space="preserve"> </w:t>
      </w:r>
      <w:r w:rsidR="00033D0F">
        <w:t>panel</w:t>
      </w:r>
      <w:r w:rsidR="00033D0F">
        <w:rPr>
          <w:spacing w:val="-9"/>
        </w:rPr>
        <w:t xml:space="preserve"> </w:t>
      </w:r>
      <w:r w:rsidR="00033D0F">
        <w:t>in</w:t>
      </w:r>
      <w:r w:rsidR="00033D0F">
        <w:rPr>
          <w:spacing w:val="-8"/>
        </w:rPr>
        <w:t xml:space="preserve"> </w:t>
      </w:r>
      <w:r w:rsidR="00033D0F">
        <w:rPr>
          <w:i/>
        </w:rPr>
        <w:t>China</w:t>
      </w:r>
      <w:r w:rsidR="00033D0F">
        <w:rPr>
          <w:i/>
          <w:spacing w:val="-10"/>
        </w:rPr>
        <w:t xml:space="preserve"> </w:t>
      </w:r>
      <w:r w:rsidR="00033D0F">
        <w:rPr>
          <w:i/>
        </w:rPr>
        <w:t>–</w:t>
      </w:r>
      <w:r w:rsidR="00033D0F">
        <w:rPr>
          <w:i/>
          <w:spacing w:val="-11"/>
        </w:rPr>
        <w:t xml:space="preserve"> </w:t>
      </w:r>
      <w:r w:rsidR="00033D0F">
        <w:rPr>
          <w:i/>
        </w:rPr>
        <w:t>Autos</w:t>
      </w:r>
      <w:r w:rsidR="00033D0F">
        <w:rPr>
          <w:i/>
          <w:spacing w:val="-4"/>
        </w:rPr>
        <w:t xml:space="preserve"> </w:t>
      </w:r>
      <w:r w:rsidR="00033D0F">
        <w:rPr>
          <w:i/>
        </w:rPr>
        <w:t xml:space="preserve">(US) </w:t>
      </w:r>
      <w:r w:rsidR="00033D0F">
        <w:t>for the proposition that the level of detail disclosed in this regard was "appropriate".</w:t>
      </w:r>
      <w:hyperlink w:anchor="_bookmark1660" w:history="1">
        <w:r w:rsidR="00033D0F">
          <w:rPr>
            <w:vertAlign w:val="superscript"/>
          </w:rPr>
          <w:t>1441</w:t>
        </w:r>
      </w:hyperlink>
      <w:r w:rsidR="00033D0F">
        <w:t xml:space="preserve"> However, Australia submits that the panel report cited by China is apposite in the context of the matter before this panel. In that dispute, the panel's reasoning related to the "other exporters"</w:t>
      </w:r>
      <w:r w:rsidR="00033D0F">
        <w:rPr>
          <w:spacing w:val="68"/>
        </w:rPr>
        <w:t xml:space="preserve"> </w:t>
      </w:r>
      <w:r w:rsidR="00033D0F">
        <w:t>(including</w:t>
      </w:r>
      <w:r w:rsidR="00033D0F">
        <w:rPr>
          <w:spacing w:val="70"/>
        </w:rPr>
        <w:t xml:space="preserve"> </w:t>
      </w:r>
      <w:r w:rsidR="00033D0F">
        <w:t>unknown</w:t>
      </w:r>
      <w:r w:rsidR="00033D0F">
        <w:rPr>
          <w:spacing w:val="66"/>
        </w:rPr>
        <w:t xml:space="preserve"> </w:t>
      </w:r>
      <w:r w:rsidR="00033D0F">
        <w:t>exporters)</w:t>
      </w:r>
      <w:r w:rsidR="00033D0F">
        <w:rPr>
          <w:spacing w:val="67"/>
        </w:rPr>
        <w:t xml:space="preserve"> </w:t>
      </w:r>
      <w:r w:rsidR="00033D0F">
        <w:t>category</w:t>
      </w:r>
      <w:r w:rsidR="00033D0F">
        <w:rPr>
          <w:spacing w:val="70"/>
        </w:rPr>
        <w:t xml:space="preserve"> </w:t>
      </w:r>
      <w:r w:rsidR="00033D0F">
        <w:t>of</w:t>
      </w:r>
      <w:r w:rsidR="00033D0F">
        <w:rPr>
          <w:spacing w:val="67"/>
        </w:rPr>
        <w:t xml:space="preserve"> </w:t>
      </w:r>
      <w:r w:rsidR="00033D0F">
        <w:t>interested</w:t>
      </w:r>
      <w:r w:rsidR="00033D0F">
        <w:rPr>
          <w:spacing w:val="66"/>
        </w:rPr>
        <w:t xml:space="preserve"> </w:t>
      </w:r>
      <w:r w:rsidR="00033D0F">
        <w:t>parties,</w:t>
      </w:r>
      <w:r w:rsidR="00033D0F">
        <w:rPr>
          <w:spacing w:val="70"/>
        </w:rPr>
        <w:t xml:space="preserve"> </w:t>
      </w:r>
      <w:r w:rsidR="00033D0F">
        <w:t>who</w:t>
      </w:r>
      <w:r w:rsidR="00033D0F">
        <w:rPr>
          <w:spacing w:val="66"/>
        </w:rPr>
        <w:t xml:space="preserve"> </w:t>
      </w:r>
      <w:r w:rsidR="00033D0F">
        <w:t>had</w:t>
      </w:r>
      <w:r w:rsidR="00033D0F">
        <w:rPr>
          <w:spacing w:val="66"/>
        </w:rPr>
        <w:t xml:space="preserve"> </w:t>
      </w:r>
      <w:r w:rsidR="00033D0F">
        <w:t>not</w:t>
      </w:r>
    </w:p>
    <w:p w14:paraId="61C0AFBF" w14:textId="77777777" w:rsidR="00BD462C" w:rsidRDefault="00BD462C">
      <w:pPr>
        <w:pStyle w:val="BodyText"/>
        <w:rPr>
          <w:sz w:val="20"/>
        </w:rPr>
      </w:pPr>
    </w:p>
    <w:p w14:paraId="3823222E" w14:textId="29C9E28D" w:rsidR="00BD462C" w:rsidRDefault="006E6DEA">
      <w:pPr>
        <w:pStyle w:val="BodyText"/>
        <w:spacing w:before="4"/>
        <w:rPr>
          <w:sz w:val="12"/>
        </w:rPr>
      </w:pPr>
      <w:r>
        <w:rPr>
          <w:noProof/>
        </w:rPr>
        <mc:AlternateContent>
          <mc:Choice Requires="wps">
            <w:drawing>
              <wp:anchor distT="0" distB="0" distL="0" distR="0" simplePos="0" relativeHeight="488137216" behindDoc="1" locked="0" layoutInCell="1" allowOverlap="1" wp14:anchorId="410502A1" wp14:editId="7842B84C">
                <wp:simplePos x="0" y="0"/>
                <wp:positionH relativeFrom="page">
                  <wp:posOffset>812800</wp:posOffset>
                </wp:positionH>
                <wp:positionV relativeFrom="paragraph">
                  <wp:posOffset>97155</wp:posOffset>
                </wp:positionV>
                <wp:extent cx="1828800" cy="8890"/>
                <wp:effectExtent l="0" t="0" r="0" b="0"/>
                <wp:wrapTopAndBottom/>
                <wp:docPr id="109" name="docshape7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A8C45D" id="docshape705" o:spid="_x0000_s1026" alt="&quot;&quot;" style="position:absolute;margin-left:64pt;margin-top:7.65pt;width:2in;height:.7pt;z-index:-1517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" fillcolor="black" stroked="f">
                <w10:wrap type="topAndBottom" anchorx="page"/>
              </v:rect>
            </w:pict>
          </mc:Fallback>
        </mc:AlternateContent>
      </w:r>
    </w:p>
    <w:p w14:paraId="36E318DA" w14:textId="77777777" w:rsidR="00BD462C" w:rsidRDefault="00033D0F">
      <w:pPr>
        <w:spacing w:before="112"/>
        <w:ind w:left="135"/>
        <w:rPr>
          <w:sz w:val="18"/>
        </w:rPr>
      </w:pPr>
      <w:bookmarkStart w:id="1921" w:name="_bookmark1657"/>
      <w:bookmarkEnd w:id="1921"/>
      <w:r>
        <w:rPr>
          <w:position w:val="5"/>
          <w:sz w:val="12"/>
        </w:rPr>
        <w:t>1438</w:t>
      </w:r>
      <w:r>
        <w:rPr>
          <w:spacing w:val="12"/>
          <w:position w:val="5"/>
          <w:sz w:val="12"/>
        </w:rPr>
        <w:t xml:space="preserve"> </w:t>
      </w:r>
      <w:r>
        <w:rPr>
          <w:sz w:val="18"/>
        </w:rPr>
        <w:t>Australia's</w:t>
      </w:r>
      <w:r>
        <w:rPr>
          <w:spacing w:val="-6"/>
          <w:sz w:val="18"/>
        </w:rPr>
        <w:t xml:space="preserve"> </w:t>
      </w:r>
      <w:r>
        <w:rPr>
          <w:sz w:val="18"/>
        </w:rPr>
        <w:t>first</w:t>
      </w:r>
      <w:r>
        <w:rPr>
          <w:spacing w:val="-5"/>
          <w:sz w:val="18"/>
        </w:rPr>
        <w:t xml:space="preserve"> </w:t>
      </w:r>
      <w:r>
        <w:rPr>
          <w:sz w:val="18"/>
        </w:rPr>
        <w:t>written</w:t>
      </w:r>
      <w:r>
        <w:rPr>
          <w:spacing w:val="-2"/>
          <w:sz w:val="18"/>
        </w:rPr>
        <w:t xml:space="preserve"> </w:t>
      </w:r>
      <w:r>
        <w:rPr>
          <w:sz w:val="18"/>
        </w:rPr>
        <w:t>submission, para.</w:t>
      </w:r>
      <w:r>
        <w:rPr>
          <w:spacing w:val="-5"/>
          <w:sz w:val="18"/>
        </w:rPr>
        <w:t xml:space="preserve"> </w:t>
      </w:r>
      <w:r>
        <w:rPr>
          <w:spacing w:val="-2"/>
          <w:sz w:val="18"/>
        </w:rPr>
        <w:t>1099.</w:t>
      </w:r>
    </w:p>
    <w:p w14:paraId="413D2A61" w14:textId="77777777" w:rsidR="00BD462C" w:rsidRDefault="00033D0F">
      <w:pPr>
        <w:spacing w:before="1"/>
        <w:ind w:left="135"/>
        <w:rPr>
          <w:sz w:val="18"/>
        </w:rPr>
      </w:pPr>
      <w:bookmarkStart w:id="1922" w:name="_bookmark1658"/>
      <w:bookmarkEnd w:id="1922"/>
      <w:r>
        <w:rPr>
          <w:position w:val="5"/>
          <w:sz w:val="12"/>
        </w:rPr>
        <w:t>1439</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para.</w:t>
      </w:r>
      <w:r>
        <w:rPr>
          <w:spacing w:val="1"/>
          <w:sz w:val="18"/>
        </w:rPr>
        <w:t xml:space="preserve"> </w:t>
      </w:r>
      <w:r>
        <w:rPr>
          <w:sz w:val="18"/>
        </w:rPr>
        <w:t>2623.</w:t>
      </w:r>
      <w:r>
        <w:rPr>
          <w:spacing w:val="-5"/>
          <w:sz w:val="18"/>
        </w:rPr>
        <w:t xml:space="preserve"> </w:t>
      </w:r>
      <w:r>
        <w:rPr>
          <w:sz w:val="18"/>
        </w:rPr>
        <w:t>(underlining</w:t>
      </w:r>
      <w:r>
        <w:rPr>
          <w:spacing w:val="-6"/>
          <w:sz w:val="18"/>
        </w:rPr>
        <w:t xml:space="preserve"> </w:t>
      </w:r>
      <w:r>
        <w:rPr>
          <w:sz w:val="18"/>
        </w:rPr>
        <w:t>added,</w:t>
      </w:r>
      <w:r>
        <w:rPr>
          <w:spacing w:val="-4"/>
          <w:sz w:val="18"/>
        </w:rPr>
        <w:t xml:space="preserve"> </w:t>
      </w:r>
      <w:r>
        <w:rPr>
          <w:sz w:val="18"/>
        </w:rPr>
        <w:t>footnotes</w:t>
      </w:r>
      <w:r>
        <w:rPr>
          <w:spacing w:val="-5"/>
          <w:sz w:val="18"/>
        </w:rPr>
        <w:t xml:space="preserve"> </w:t>
      </w:r>
      <w:r>
        <w:rPr>
          <w:spacing w:val="-2"/>
          <w:sz w:val="18"/>
        </w:rPr>
        <w:t>omitted).</w:t>
      </w:r>
    </w:p>
    <w:p w14:paraId="628F9424" w14:textId="77777777" w:rsidR="00BD462C" w:rsidRDefault="00033D0F">
      <w:pPr>
        <w:spacing w:before="1"/>
        <w:ind w:left="135"/>
        <w:rPr>
          <w:sz w:val="18"/>
        </w:rPr>
      </w:pPr>
      <w:bookmarkStart w:id="1923" w:name="_bookmark1659"/>
      <w:bookmarkEnd w:id="1923"/>
      <w:r>
        <w:rPr>
          <w:position w:val="5"/>
          <w:sz w:val="12"/>
        </w:rPr>
        <w:t>1440</w:t>
      </w:r>
      <w:r>
        <w:rPr>
          <w:spacing w:val="14"/>
          <w:position w:val="5"/>
          <w:sz w:val="12"/>
        </w:rPr>
        <w:t xml:space="preserve"> </w:t>
      </w:r>
      <w:r>
        <w:rPr>
          <w:sz w:val="18"/>
        </w:rPr>
        <w:t>See</w:t>
      </w:r>
      <w:r>
        <w:rPr>
          <w:spacing w:val="-3"/>
          <w:sz w:val="18"/>
        </w:rPr>
        <w:t xml:space="preserve"> </w:t>
      </w:r>
      <w:proofErr w:type="gramStart"/>
      <w:r>
        <w:rPr>
          <w:sz w:val="18"/>
        </w:rPr>
        <w:t>e.g.</w:t>
      </w:r>
      <w:proofErr w:type="gramEnd"/>
      <w:r>
        <w:rPr>
          <w:spacing w:val="-3"/>
          <w:sz w:val="18"/>
        </w:rPr>
        <w:t xml:space="preserve"> </w:t>
      </w:r>
      <w:r>
        <w:rPr>
          <w:sz w:val="18"/>
        </w:rPr>
        <w:t>China's</w:t>
      </w:r>
      <w:r>
        <w:rPr>
          <w:spacing w:val="-4"/>
          <w:sz w:val="18"/>
        </w:rPr>
        <w:t xml:space="preserve"> </w:t>
      </w:r>
      <w:r>
        <w:rPr>
          <w:sz w:val="18"/>
        </w:rPr>
        <w:t>first</w:t>
      </w:r>
      <w:r>
        <w:rPr>
          <w:spacing w:val="-3"/>
          <w:sz w:val="18"/>
        </w:rPr>
        <w:t xml:space="preserve"> </w:t>
      </w:r>
      <w:r>
        <w:rPr>
          <w:sz w:val="18"/>
        </w:rPr>
        <w:t>written</w:t>
      </w:r>
      <w:r>
        <w:rPr>
          <w:spacing w:val="-5"/>
          <w:sz w:val="18"/>
        </w:rPr>
        <w:t xml:space="preserve"> </w:t>
      </w:r>
      <w:r>
        <w:rPr>
          <w:sz w:val="18"/>
        </w:rPr>
        <w:t>submission,</w:t>
      </w:r>
      <w:r>
        <w:rPr>
          <w:spacing w:val="-2"/>
          <w:sz w:val="18"/>
        </w:rPr>
        <w:t xml:space="preserve"> </w:t>
      </w:r>
      <w:r>
        <w:rPr>
          <w:sz w:val="18"/>
        </w:rPr>
        <w:t>para.</w:t>
      </w:r>
      <w:r>
        <w:rPr>
          <w:spacing w:val="-2"/>
          <w:sz w:val="18"/>
        </w:rPr>
        <w:t xml:space="preserve"> 2463.</w:t>
      </w:r>
    </w:p>
    <w:p w14:paraId="39331F2A" w14:textId="77777777" w:rsidR="00BD462C" w:rsidRDefault="00033D0F">
      <w:pPr>
        <w:spacing w:before="1"/>
        <w:ind w:left="135"/>
        <w:rPr>
          <w:sz w:val="18"/>
        </w:rPr>
      </w:pPr>
      <w:bookmarkStart w:id="1924" w:name="_bookmark1660"/>
      <w:bookmarkEnd w:id="1924"/>
      <w:r>
        <w:rPr>
          <w:position w:val="5"/>
          <w:sz w:val="12"/>
        </w:rPr>
        <w:t>1441</w:t>
      </w:r>
      <w:r>
        <w:rPr>
          <w:spacing w:val="13"/>
          <w:position w:val="5"/>
          <w:sz w:val="12"/>
        </w:rPr>
        <w:t xml:space="preserve"> </w:t>
      </w:r>
      <w:r>
        <w:rPr>
          <w:sz w:val="18"/>
        </w:rPr>
        <w:t>China's</w:t>
      </w:r>
      <w:r>
        <w:rPr>
          <w:spacing w:val="-5"/>
          <w:sz w:val="18"/>
        </w:rPr>
        <w:t xml:space="preserve"> </w:t>
      </w:r>
      <w:r>
        <w:rPr>
          <w:sz w:val="18"/>
        </w:rPr>
        <w:t>first</w:t>
      </w:r>
      <w:r>
        <w:rPr>
          <w:spacing w:val="-4"/>
          <w:sz w:val="18"/>
        </w:rPr>
        <w:t xml:space="preserve"> </w:t>
      </w:r>
      <w:r>
        <w:rPr>
          <w:sz w:val="18"/>
        </w:rPr>
        <w:t>written</w:t>
      </w:r>
      <w:r>
        <w:rPr>
          <w:spacing w:val="-6"/>
          <w:sz w:val="18"/>
        </w:rPr>
        <w:t xml:space="preserve"> </w:t>
      </w:r>
      <w:r>
        <w:rPr>
          <w:sz w:val="18"/>
        </w:rPr>
        <w:t>submission,</w:t>
      </w:r>
      <w:r>
        <w:rPr>
          <w:spacing w:val="2"/>
          <w:sz w:val="18"/>
        </w:rPr>
        <w:t xml:space="preserve"> </w:t>
      </w:r>
      <w:r>
        <w:rPr>
          <w:sz w:val="18"/>
        </w:rPr>
        <w:t>para. 2624.</w:t>
      </w:r>
      <w:r>
        <w:rPr>
          <w:spacing w:val="-3"/>
          <w:sz w:val="18"/>
        </w:rPr>
        <w:t xml:space="preserve"> </w:t>
      </w:r>
      <w:r>
        <w:rPr>
          <w:sz w:val="18"/>
        </w:rPr>
        <w:t>(referring</w:t>
      </w:r>
      <w:r>
        <w:rPr>
          <w:spacing w:val="-5"/>
          <w:sz w:val="18"/>
        </w:rPr>
        <w:t xml:space="preserve"> </w:t>
      </w:r>
      <w:r>
        <w:rPr>
          <w:sz w:val="18"/>
        </w:rPr>
        <w:t>to</w:t>
      </w:r>
      <w:r>
        <w:rPr>
          <w:spacing w:val="-11"/>
          <w:sz w:val="18"/>
        </w:rPr>
        <w:t xml:space="preserve"> </w:t>
      </w:r>
      <w:r>
        <w:rPr>
          <w:sz w:val="18"/>
        </w:rPr>
        <w:t>Panel</w:t>
      </w:r>
      <w:r>
        <w:rPr>
          <w:spacing w:val="-4"/>
          <w:sz w:val="18"/>
        </w:rPr>
        <w:t xml:space="preserve"> </w:t>
      </w:r>
      <w:r>
        <w:rPr>
          <w:sz w:val="18"/>
        </w:rPr>
        <w:t>Report,</w:t>
      </w:r>
      <w:r>
        <w:rPr>
          <w:spacing w:val="1"/>
          <w:sz w:val="18"/>
        </w:rPr>
        <w:t xml:space="preserve"> </w:t>
      </w:r>
      <w:r>
        <w:rPr>
          <w:i/>
          <w:sz w:val="18"/>
        </w:rPr>
        <w:t>China</w:t>
      </w:r>
      <w:r>
        <w:rPr>
          <w:i/>
          <w:spacing w:val="-4"/>
          <w:sz w:val="18"/>
        </w:rPr>
        <w:t xml:space="preserve"> </w:t>
      </w:r>
      <w:r>
        <w:rPr>
          <w:i/>
          <w:sz w:val="18"/>
        </w:rPr>
        <w:t>–</w:t>
      </w:r>
      <w:r>
        <w:rPr>
          <w:i/>
          <w:spacing w:val="-5"/>
          <w:sz w:val="18"/>
        </w:rPr>
        <w:t xml:space="preserve"> </w:t>
      </w:r>
      <w:r>
        <w:rPr>
          <w:i/>
          <w:sz w:val="18"/>
        </w:rPr>
        <w:t>Autos</w:t>
      </w:r>
      <w:r>
        <w:rPr>
          <w:i/>
          <w:spacing w:val="-5"/>
          <w:sz w:val="18"/>
        </w:rPr>
        <w:t xml:space="preserve"> </w:t>
      </w:r>
      <w:r>
        <w:rPr>
          <w:i/>
          <w:sz w:val="18"/>
        </w:rPr>
        <w:t>(US),</w:t>
      </w:r>
      <w:r>
        <w:rPr>
          <w:i/>
          <w:spacing w:val="-3"/>
          <w:sz w:val="18"/>
        </w:rPr>
        <w:t xml:space="preserve"> </w:t>
      </w:r>
      <w:r>
        <w:rPr>
          <w:sz w:val="18"/>
        </w:rPr>
        <w:t>para.</w:t>
      </w:r>
      <w:r>
        <w:rPr>
          <w:spacing w:val="1"/>
          <w:sz w:val="18"/>
        </w:rPr>
        <w:t xml:space="preserve"> </w:t>
      </w:r>
      <w:r>
        <w:rPr>
          <w:spacing w:val="-2"/>
          <w:sz w:val="18"/>
        </w:rPr>
        <w:t>7.155)</w:t>
      </w:r>
    </w:p>
    <w:p w14:paraId="793F7249" w14:textId="77777777" w:rsidR="00BD462C" w:rsidRDefault="00BD462C">
      <w:pPr>
        <w:rPr>
          <w:sz w:val="18"/>
        </w:rPr>
        <w:sectPr w:rsidR="00BD462C">
          <w:pgSz w:w="11910" w:h="16840"/>
          <w:pgMar w:top="860" w:right="500" w:bottom="780" w:left="1280" w:header="566" w:footer="590" w:gutter="0"/>
          <w:cols w:space="720"/>
        </w:sectPr>
      </w:pPr>
    </w:p>
    <w:p w14:paraId="1210472B"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1586FEC9"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76E92767"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69999812" w14:textId="77777777" w:rsidR="00BD462C" w:rsidRDefault="00033D0F">
      <w:pPr>
        <w:pStyle w:val="BodyText"/>
        <w:spacing w:before="102" w:line="360" w:lineRule="auto"/>
        <w:ind w:left="135" w:right="914"/>
        <w:jc w:val="both"/>
      </w:pPr>
      <w:r>
        <w:t>provided</w:t>
      </w:r>
      <w:r>
        <w:rPr>
          <w:spacing w:val="-1"/>
        </w:rPr>
        <w:t xml:space="preserve"> </w:t>
      </w:r>
      <w:r>
        <w:t>any information</w:t>
      </w:r>
      <w:r>
        <w:rPr>
          <w:spacing w:val="-1"/>
        </w:rPr>
        <w:t xml:space="preserve"> </w:t>
      </w:r>
      <w:r>
        <w:t>in</w:t>
      </w:r>
      <w:r>
        <w:rPr>
          <w:spacing w:val="-1"/>
        </w:rPr>
        <w:t xml:space="preserve"> </w:t>
      </w:r>
      <w:r>
        <w:t>the course of the investigation.</w:t>
      </w:r>
      <w:hyperlink w:anchor="_bookmark1661" w:history="1">
        <w:r>
          <w:rPr>
            <w:vertAlign w:val="superscript"/>
          </w:rPr>
          <w:t>1442</w:t>
        </w:r>
      </w:hyperlink>
      <w:r>
        <w:t xml:space="preserve"> In</w:t>
      </w:r>
      <w:r>
        <w:rPr>
          <w:spacing w:val="-1"/>
        </w:rPr>
        <w:t xml:space="preserve"> </w:t>
      </w:r>
      <w:r>
        <w:t>contrast,</w:t>
      </w:r>
      <w:r>
        <w:rPr>
          <w:spacing w:val="-1"/>
        </w:rPr>
        <w:t xml:space="preserve"> </w:t>
      </w:r>
      <w:r>
        <w:t>the panel did</w:t>
      </w:r>
      <w:r>
        <w:rPr>
          <w:spacing w:val="-1"/>
        </w:rPr>
        <w:t xml:space="preserve"> </w:t>
      </w:r>
      <w:r>
        <w:t>not apply this line or argumentation to sampled companies that had provided detailed submissions to the investigating authority. As Swan Vintage was a sampled company that provided</w:t>
      </w:r>
      <w:r>
        <w:rPr>
          <w:spacing w:val="-7"/>
        </w:rPr>
        <w:t xml:space="preserve"> </w:t>
      </w:r>
      <w:r>
        <w:t>detailed</w:t>
      </w:r>
      <w:r>
        <w:rPr>
          <w:spacing w:val="-7"/>
        </w:rPr>
        <w:t xml:space="preserve"> </w:t>
      </w:r>
      <w:r>
        <w:t>information</w:t>
      </w:r>
      <w:r>
        <w:rPr>
          <w:spacing w:val="-7"/>
        </w:rPr>
        <w:t xml:space="preserve"> </w:t>
      </w:r>
      <w:r>
        <w:t>to</w:t>
      </w:r>
      <w:r>
        <w:rPr>
          <w:spacing w:val="-3"/>
        </w:rPr>
        <w:t xml:space="preserve"> </w:t>
      </w:r>
      <w:r>
        <w:t>MOFCOM,</w:t>
      </w:r>
      <w:r>
        <w:rPr>
          <w:spacing w:val="-3"/>
        </w:rPr>
        <w:t xml:space="preserve"> </w:t>
      </w:r>
      <w:r>
        <w:t>it</w:t>
      </w:r>
      <w:r>
        <w:rPr>
          <w:spacing w:val="-5"/>
        </w:rPr>
        <w:t xml:space="preserve"> </w:t>
      </w:r>
      <w:r>
        <w:t>should</w:t>
      </w:r>
      <w:r>
        <w:rPr>
          <w:spacing w:val="-7"/>
        </w:rPr>
        <w:t xml:space="preserve"> </w:t>
      </w:r>
      <w:r>
        <w:t>have</w:t>
      </w:r>
      <w:r>
        <w:rPr>
          <w:spacing w:val="-5"/>
        </w:rPr>
        <w:t xml:space="preserve"> </w:t>
      </w:r>
      <w:r>
        <w:t>been</w:t>
      </w:r>
      <w:r>
        <w:rPr>
          <w:spacing w:val="-2"/>
        </w:rPr>
        <w:t xml:space="preserve"> </w:t>
      </w:r>
      <w:r>
        <w:t>provided</w:t>
      </w:r>
      <w:r>
        <w:rPr>
          <w:spacing w:val="-7"/>
        </w:rPr>
        <w:t xml:space="preserve"> </w:t>
      </w:r>
      <w:r>
        <w:t>with</w:t>
      </w:r>
      <w:r>
        <w:rPr>
          <w:spacing w:val="-7"/>
        </w:rPr>
        <w:t xml:space="preserve"> </w:t>
      </w:r>
      <w:r>
        <w:t>a</w:t>
      </w:r>
      <w:r>
        <w:rPr>
          <w:spacing w:val="-1"/>
        </w:rPr>
        <w:t xml:space="preserve"> </w:t>
      </w:r>
      <w:r>
        <w:t>greater</w:t>
      </w:r>
      <w:r>
        <w:rPr>
          <w:spacing w:val="-8"/>
        </w:rPr>
        <w:t xml:space="preserve"> </w:t>
      </w:r>
      <w:r>
        <w:t>level of detail regarding MOFCOM's decision to resort to facts available and how MOFCOM used those facts to determine Swan Vintage's dumping margin. The lack of detail provided by MOFCOM in this regard completely deprived Swan Vintage of the ability to understand how MOFCOM determined its dumping margin.</w:t>
      </w:r>
    </w:p>
    <w:p w14:paraId="446BDBE8" w14:textId="77777777" w:rsidR="00BD462C" w:rsidRDefault="00033D0F">
      <w:pPr>
        <w:pStyle w:val="ListParagraph"/>
        <w:numPr>
          <w:ilvl w:val="0"/>
          <w:numId w:val="9"/>
        </w:numPr>
        <w:tabs>
          <w:tab w:val="left" w:pos="3539"/>
          <w:tab w:val="left" w:pos="3540"/>
        </w:tabs>
        <w:spacing w:before="157"/>
        <w:ind w:hanging="851"/>
        <w:jc w:val="both"/>
        <w:rPr>
          <w:sz w:val="24"/>
        </w:rPr>
      </w:pPr>
      <w:bookmarkStart w:id="1925" w:name="(c)_Fair_comparison"/>
      <w:bookmarkEnd w:id="1925"/>
      <w:r>
        <w:rPr>
          <w:sz w:val="24"/>
          <w:u w:val="single"/>
        </w:rPr>
        <w:t>Fair</w:t>
      </w:r>
      <w:r>
        <w:rPr>
          <w:spacing w:val="-2"/>
          <w:sz w:val="24"/>
          <w:u w:val="single"/>
        </w:rPr>
        <w:t xml:space="preserve"> comparison</w:t>
      </w:r>
    </w:p>
    <w:p w14:paraId="78E0264C" w14:textId="77777777" w:rsidR="00BD462C" w:rsidRDefault="00BD462C">
      <w:pPr>
        <w:pStyle w:val="BodyText"/>
        <w:spacing w:before="11"/>
        <w:rPr>
          <w:sz w:val="20"/>
        </w:rPr>
      </w:pPr>
    </w:p>
    <w:p w14:paraId="4A2A3BB4" w14:textId="2E120FF3" w:rsidR="00BD462C" w:rsidRDefault="00D443C8">
      <w:pPr>
        <w:pStyle w:val="BodyText"/>
        <w:spacing w:before="56" w:line="357" w:lineRule="auto"/>
        <w:ind w:left="135" w:right="914"/>
        <w:jc w:val="both"/>
      </w:pPr>
      <w:r>
        <w:rPr>
          <w:noProof/>
        </w:rPr>
        <w:t>993.</w:t>
      </w:r>
      <w:r w:rsidR="00033D0F">
        <w:rPr>
          <w:rFonts w:ascii="Times New Roman"/>
          <w:spacing w:val="80"/>
          <w:position w:val="1"/>
          <w:sz w:val="20"/>
        </w:rPr>
        <w:t xml:space="preserve"> </w:t>
      </w:r>
      <w:r w:rsidR="00033D0F">
        <w:rPr>
          <w:position w:val="1"/>
        </w:rPr>
        <w:t xml:space="preserve">Australia has established that MOFCOM failed to make available all relevant </w:t>
      </w:r>
      <w:r w:rsidR="00033D0F">
        <w:t>information relating to the comparability of prices and adjustments for the purposes of ensuring a fair comparison pursuant to Article 2.4.</w:t>
      </w:r>
      <w:hyperlink w:anchor="_bookmark1662" w:history="1">
        <w:r w:rsidR="00033D0F">
          <w:rPr>
            <w:vertAlign w:val="superscript"/>
          </w:rPr>
          <w:t>1443</w:t>
        </w:r>
      </w:hyperlink>
    </w:p>
    <w:p w14:paraId="5141393D" w14:textId="77777777" w:rsidR="00BD462C" w:rsidRDefault="00BD462C">
      <w:pPr>
        <w:pStyle w:val="BodyText"/>
        <w:spacing w:before="3"/>
        <w:rPr>
          <w:sz w:val="9"/>
        </w:rPr>
      </w:pPr>
    </w:p>
    <w:p w14:paraId="4E3DB2A0" w14:textId="26F1AF95" w:rsidR="00BD462C" w:rsidRDefault="00D443C8">
      <w:pPr>
        <w:pStyle w:val="BodyText"/>
        <w:spacing w:before="56" w:line="360" w:lineRule="auto"/>
        <w:ind w:left="135" w:right="910"/>
        <w:jc w:val="both"/>
      </w:pPr>
      <w:r>
        <w:rPr>
          <w:noProof/>
        </w:rPr>
        <w:t>994.</w:t>
      </w:r>
      <w:r w:rsidR="00033D0F">
        <w:rPr>
          <w:rFonts w:ascii="Times New Roman"/>
          <w:spacing w:val="80"/>
          <w:position w:val="1"/>
          <w:sz w:val="20"/>
        </w:rPr>
        <w:t xml:space="preserve"> </w:t>
      </w:r>
      <w:r w:rsidR="00033D0F">
        <w:rPr>
          <w:position w:val="1"/>
        </w:rPr>
        <w:t xml:space="preserve">China asserts that it is "untrue" that MOFCOM failed to provide "the 'formula or </w:t>
      </w:r>
      <w:r w:rsidR="00033D0F">
        <w:t>methodology underlying its calculations' with respect to price comparability and ensuring a fair comparison".</w:t>
      </w:r>
      <w:hyperlink w:anchor="_bookmark1663" w:history="1">
        <w:r w:rsidR="00033D0F">
          <w:rPr>
            <w:vertAlign w:val="superscript"/>
          </w:rPr>
          <w:t>1444</w:t>
        </w:r>
      </w:hyperlink>
      <w:r w:rsidR="00033D0F">
        <w:t xml:space="preserve"> However, the only support that China provides for this proposition is a quote of the same portion of the Final Determination that Australia has demonstrated was insufficient.</w:t>
      </w:r>
      <w:hyperlink w:anchor="_bookmark1664" w:history="1">
        <w:r w:rsidR="00033D0F">
          <w:rPr>
            <w:vertAlign w:val="superscript"/>
          </w:rPr>
          <w:t>1445</w:t>
        </w:r>
      </w:hyperlink>
      <w:r w:rsidR="00033D0F">
        <w:t xml:space="preserve"> The section from the Final Determination that China reproduces is not a sufficient disclosure of the formula or methodology underlying MOFCOM's calculations with respect</w:t>
      </w:r>
      <w:r w:rsidR="00033D0F">
        <w:rPr>
          <w:spacing w:val="-6"/>
        </w:rPr>
        <w:t xml:space="preserve"> </w:t>
      </w:r>
      <w:r w:rsidR="00033D0F">
        <w:t>to</w:t>
      </w:r>
      <w:r w:rsidR="00033D0F">
        <w:rPr>
          <w:spacing w:val="-9"/>
        </w:rPr>
        <w:t xml:space="preserve"> </w:t>
      </w:r>
      <w:r w:rsidR="00033D0F">
        <w:t>price</w:t>
      </w:r>
      <w:r w:rsidR="00033D0F">
        <w:rPr>
          <w:spacing w:val="-6"/>
        </w:rPr>
        <w:t xml:space="preserve"> </w:t>
      </w:r>
      <w:r w:rsidR="00033D0F">
        <w:t>comparability</w:t>
      </w:r>
      <w:r w:rsidR="00033D0F">
        <w:rPr>
          <w:spacing w:val="-5"/>
        </w:rPr>
        <w:t xml:space="preserve"> </w:t>
      </w:r>
      <w:r w:rsidR="00033D0F">
        <w:t>and</w:t>
      </w:r>
      <w:r w:rsidR="00033D0F">
        <w:rPr>
          <w:spacing w:val="-8"/>
        </w:rPr>
        <w:t xml:space="preserve"> </w:t>
      </w:r>
      <w:r w:rsidR="00033D0F">
        <w:t>for</w:t>
      </w:r>
      <w:r w:rsidR="00033D0F">
        <w:rPr>
          <w:spacing w:val="-9"/>
        </w:rPr>
        <w:t xml:space="preserve"> </w:t>
      </w:r>
      <w:r w:rsidR="00033D0F">
        <w:t>the</w:t>
      </w:r>
      <w:r w:rsidR="00033D0F">
        <w:rPr>
          <w:spacing w:val="-2"/>
        </w:rPr>
        <w:t xml:space="preserve"> </w:t>
      </w:r>
      <w:r w:rsidR="00033D0F">
        <w:t>purposes</w:t>
      </w:r>
      <w:r w:rsidR="00033D0F">
        <w:rPr>
          <w:spacing w:val="-5"/>
        </w:rPr>
        <w:t xml:space="preserve"> </w:t>
      </w:r>
      <w:r w:rsidR="00033D0F">
        <w:t>of</w:t>
      </w:r>
      <w:r w:rsidR="00033D0F">
        <w:rPr>
          <w:spacing w:val="-8"/>
        </w:rPr>
        <w:t xml:space="preserve"> </w:t>
      </w:r>
      <w:r w:rsidR="00033D0F">
        <w:t>ensuring</w:t>
      </w:r>
      <w:r w:rsidR="00033D0F">
        <w:rPr>
          <w:spacing w:val="-5"/>
        </w:rPr>
        <w:t xml:space="preserve"> </w:t>
      </w:r>
      <w:r w:rsidR="00033D0F">
        <w:t>a</w:t>
      </w:r>
      <w:r w:rsidR="00033D0F">
        <w:rPr>
          <w:spacing w:val="-2"/>
        </w:rPr>
        <w:t xml:space="preserve"> </w:t>
      </w:r>
      <w:r w:rsidR="00033D0F">
        <w:t>fair</w:t>
      </w:r>
      <w:r w:rsidR="00033D0F">
        <w:rPr>
          <w:spacing w:val="-9"/>
        </w:rPr>
        <w:t xml:space="preserve"> </w:t>
      </w:r>
      <w:r w:rsidR="00033D0F">
        <w:t>comparison.</w:t>
      </w:r>
      <w:r w:rsidR="00033D0F">
        <w:rPr>
          <w:spacing w:val="-5"/>
        </w:rPr>
        <w:t xml:space="preserve"> </w:t>
      </w:r>
      <w:r w:rsidR="00033D0F">
        <w:t>Rather,</w:t>
      </w:r>
      <w:r w:rsidR="00033D0F">
        <w:rPr>
          <w:spacing w:val="-4"/>
        </w:rPr>
        <w:t xml:space="preserve"> </w:t>
      </w:r>
      <w:r w:rsidR="00033D0F">
        <w:t>it</w:t>
      </w:r>
      <w:r w:rsidR="00033D0F">
        <w:rPr>
          <w:spacing w:val="-6"/>
        </w:rPr>
        <w:t xml:space="preserve"> </w:t>
      </w:r>
      <w:r w:rsidR="00033D0F">
        <w:t>is simply a replication of the requirement under Article 2.4, with the mere mention that the export price and normal values were "weighted averages". An unbiased and objective investigating authority could not have considered this to be a sufficient account of the methodology relied on when conducting a fair comparison required to meet the standard under Articles 12.2 and 12.2.2.</w:t>
      </w:r>
    </w:p>
    <w:p w14:paraId="2FFA7952" w14:textId="77777777" w:rsidR="00BD462C" w:rsidRDefault="00BD462C">
      <w:pPr>
        <w:pStyle w:val="BodyText"/>
        <w:rPr>
          <w:sz w:val="20"/>
        </w:rPr>
      </w:pPr>
    </w:p>
    <w:p w14:paraId="370D066C" w14:textId="77777777" w:rsidR="00BD462C" w:rsidRDefault="00BD462C">
      <w:pPr>
        <w:pStyle w:val="BodyText"/>
        <w:rPr>
          <w:sz w:val="20"/>
        </w:rPr>
      </w:pPr>
    </w:p>
    <w:p w14:paraId="09BC2997" w14:textId="77777777" w:rsidR="00BD462C" w:rsidRDefault="00BD462C">
      <w:pPr>
        <w:pStyle w:val="BodyText"/>
        <w:rPr>
          <w:sz w:val="20"/>
        </w:rPr>
      </w:pPr>
    </w:p>
    <w:p w14:paraId="12943CDB" w14:textId="77777777" w:rsidR="00BD462C" w:rsidRDefault="00BD462C">
      <w:pPr>
        <w:pStyle w:val="BodyText"/>
        <w:rPr>
          <w:sz w:val="20"/>
        </w:rPr>
      </w:pPr>
    </w:p>
    <w:p w14:paraId="5BEF5D79" w14:textId="77777777" w:rsidR="00BD462C" w:rsidRDefault="00BD462C">
      <w:pPr>
        <w:pStyle w:val="BodyText"/>
        <w:rPr>
          <w:sz w:val="20"/>
        </w:rPr>
      </w:pPr>
    </w:p>
    <w:p w14:paraId="08E1C27A" w14:textId="48824372" w:rsidR="00BD462C" w:rsidRDefault="00D600FD">
      <w:pPr>
        <w:pStyle w:val="BodyText"/>
        <w:rPr>
          <w:sz w:val="20"/>
        </w:rPr>
      </w:pPr>
      <w:r>
        <w:rPr>
          <w:noProof/>
        </w:rPr>
        <mc:AlternateContent>
          <mc:Choice Requires="wps">
            <w:drawing>
              <wp:anchor distT="0" distB="0" distL="0" distR="0" simplePos="0" relativeHeight="488174080" behindDoc="1" locked="0" layoutInCell="1" allowOverlap="1" wp14:anchorId="1DBC5B53" wp14:editId="486249C6">
                <wp:simplePos x="0" y="0"/>
                <wp:positionH relativeFrom="page">
                  <wp:posOffset>812800</wp:posOffset>
                </wp:positionH>
                <wp:positionV relativeFrom="paragraph">
                  <wp:posOffset>276860</wp:posOffset>
                </wp:positionV>
                <wp:extent cx="1828800" cy="8890"/>
                <wp:effectExtent l="0" t="0" r="0" b="0"/>
                <wp:wrapTopAndBottom/>
                <wp:docPr id="149" name="docshape7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957DBB" id="docshape705" o:spid="_x0000_s1026" alt="&quot;&quot;" style="position:absolute;margin-left:64pt;margin-top:21.8pt;width:2in;height:.7pt;z-index:-1514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" fillcolor="black" stroked="f">
                <w10:wrap type="topAndBottom" anchorx="page"/>
              </v:rect>
            </w:pict>
          </mc:Fallback>
        </mc:AlternateContent>
      </w:r>
    </w:p>
    <w:p w14:paraId="57EE7BCA" w14:textId="5D52B1F7" w:rsidR="00BD462C" w:rsidRDefault="00BD462C">
      <w:pPr>
        <w:pStyle w:val="BodyText"/>
        <w:spacing w:before="8"/>
        <w:rPr>
          <w:sz w:val="15"/>
        </w:rPr>
      </w:pPr>
    </w:p>
    <w:p w14:paraId="730FDA6F" w14:textId="77777777" w:rsidR="00BD462C" w:rsidRDefault="00033D0F">
      <w:pPr>
        <w:spacing w:before="112"/>
        <w:ind w:left="135"/>
        <w:rPr>
          <w:sz w:val="18"/>
        </w:rPr>
      </w:pPr>
      <w:bookmarkStart w:id="1926" w:name="_bookmark1661"/>
      <w:bookmarkEnd w:id="1926"/>
      <w:r>
        <w:rPr>
          <w:position w:val="5"/>
          <w:sz w:val="12"/>
        </w:rPr>
        <w:t>1442</w:t>
      </w:r>
      <w:r>
        <w:rPr>
          <w:spacing w:val="14"/>
          <w:position w:val="5"/>
          <w:sz w:val="12"/>
        </w:rPr>
        <w:t xml:space="preserve"> </w:t>
      </w:r>
      <w:r>
        <w:rPr>
          <w:sz w:val="18"/>
        </w:rPr>
        <w:t>Panel</w:t>
      </w:r>
      <w:r>
        <w:rPr>
          <w:spacing w:val="-4"/>
          <w:sz w:val="18"/>
        </w:rPr>
        <w:t xml:space="preserve"> </w:t>
      </w:r>
      <w:r>
        <w:rPr>
          <w:sz w:val="18"/>
        </w:rPr>
        <w:t>Report,</w:t>
      </w:r>
      <w:r>
        <w:rPr>
          <w:spacing w:val="-2"/>
          <w:sz w:val="18"/>
        </w:rPr>
        <w:t xml:space="preserve"> </w:t>
      </w:r>
      <w:r>
        <w:rPr>
          <w:i/>
          <w:sz w:val="18"/>
        </w:rPr>
        <w:t>China</w:t>
      </w:r>
      <w:r>
        <w:rPr>
          <w:i/>
          <w:spacing w:val="-3"/>
          <w:sz w:val="18"/>
        </w:rPr>
        <w:t xml:space="preserve"> </w:t>
      </w:r>
      <w:r>
        <w:rPr>
          <w:i/>
          <w:sz w:val="18"/>
        </w:rPr>
        <w:t>–</w:t>
      </w:r>
      <w:r>
        <w:rPr>
          <w:i/>
          <w:spacing w:val="-1"/>
          <w:sz w:val="18"/>
        </w:rPr>
        <w:t xml:space="preserve"> </w:t>
      </w:r>
      <w:r>
        <w:rPr>
          <w:i/>
          <w:sz w:val="18"/>
        </w:rPr>
        <w:t>Autos</w:t>
      </w:r>
      <w:r>
        <w:rPr>
          <w:i/>
          <w:spacing w:val="-4"/>
          <w:sz w:val="18"/>
        </w:rPr>
        <w:t xml:space="preserve"> </w:t>
      </w:r>
      <w:r>
        <w:rPr>
          <w:i/>
          <w:sz w:val="18"/>
        </w:rPr>
        <w:t>(US)</w:t>
      </w:r>
      <w:r>
        <w:rPr>
          <w:sz w:val="18"/>
        </w:rPr>
        <w:t>,</w:t>
      </w:r>
      <w:r>
        <w:rPr>
          <w:spacing w:val="-3"/>
          <w:sz w:val="18"/>
        </w:rPr>
        <w:t xml:space="preserve"> </w:t>
      </w:r>
      <w:r>
        <w:rPr>
          <w:sz w:val="18"/>
        </w:rPr>
        <w:t>para.</w:t>
      </w:r>
      <w:r>
        <w:rPr>
          <w:spacing w:val="1"/>
          <w:sz w:val="18"/>
        </w:rPr>
        <w:t xml:space="preserve"> </w:t>
      </w:r>
      <w:r>
        <w:rPr>
          <w:spacing w:val="-2"/>
          <w:sz w:val="18"/>
        </w:rPr>
        <w:t>7.154.</w:t>
      </w:r>
    </w:p>
    <w:p w14:paraId="423BBD4D" w14:textId="77777777" w:rsidR="00BD462C" w:rsidRDefault="00033D0F">
      <w:pPr>
        <w:spacing w:before="1"/>
        <w:ind w:left="135"/>
        <w:rPr>
          <w:sz w:val="18"/>
        </w:rPr>
      </w:pPr>
      <w:bookmarkStart w:id="1927" w:name="_bookmark1662"/>
      <w:bookmarkEnd w:id="1927"/>
      <w:r>
        <w:rPr>
          <w:position w:val="5"/>
          <w:sz w:val="12"/>
        </w:rPr>
        <w:t>1443</w:t>
      </w:r>
      <w:r>
        <w:rPr>
          <w:spacing w:val="11"/>
          <w:position w:val="5"/>
          <w:sz w:val="12"/>
        </w:rPr>
        <w:t xml:space="preserve"> </w:t>
      </w:r>
      <w:r>
        <w:rPr>
          <w:sz w:val="18"/>
        </w:rPr>
        <w:t>Australia's</w:t>
      </w:r>
      <w:r>
        <w:rPr>
          <w:spacing w:val="-7"/>
          <w:sz w:val="18"/>
        </w:rPr>
        <w:t xml:space="preserve"> </w:t>
      </w:r>
      <w:r>
        <w:rPr>
          <w:sz w:val="18"/>
        </w:rPr>
        <w:t>first</w:t>
      </w:r>
      <w:r>
        <w:rPr>
          <w:spacing w:val="-6"/>
          <w:sz w:val="18"/>
        </w:rPr>
        <w:t xml:space="preserve"> </w:t>
      </w:r>
      <w:r>
        <w:rPr>
          <w:sz w:val="18"/>
        </w:rPr>
        <w:t>written</w:t>
      </w:r>
      <w:r>
        <w:rPr>
          <w:spacing w:val="-4"/>
          <w:sz w:val="18"/>
        </w:rPr>
        <w:t xml:space="preserve"> </w:t>
      </w:r>
      <w:r>
        <w:rPr>
          <w:sz w:val="18"/>
        </w:rPr>
        <w:t>submission,</w:t>
      </w:r>
      <w:r>
        <w:rPr>
          <w:spacing w:val="-1"/>
          <w:sz w:val="18"/>
        </w:rPr>
        <w:t xml:space="preserve"> </w:t>
      </w:r>
      <w:r>
        <w:rPr>
          <w:sz w:val="18"/>
        </w:rPr>
        <w:t>paras.</w:t>
      </w:r>
      <w:r>
        <w:rPr>
          <w:spacing w:val="-6"/>
          <w:sz w:val="18"/>
        </w:rPr>
        <w:t xml:space="preserve"> </w:t>
      </w:r>
      <w:r>
        <w:rPr>
          <w:sz w:val="18"/>
        </w:rPr>
        <w:t>1105-1112.</w:t>
      </w:r>
      <w:r>
        <w:rPr>
          <w:spacing w:val="-2"/>
          <w:sz w:val="18"/>
        </w:rPr>
        <w:t xml:space="preserve"> </w:t>
      </w:r>
      <w:r>
        <w:rPr>
          <w:sz w:val="18"/>
        </w:rPr>
        <w:t>See</w:t>
      </w:r>
      <w:r>
        <w:rPr>
          <w:spacing w:val="-3"/>
          <w:sz w:val="18"/>
        </w:rPr>
        <w:t xml:space="preserve"> </w:t>
      </w:r>
      <w:r>
        <w:rPr>
          <w:sz w:val="18"/>
        </w:rPr>
        <w:t>also</w:t>
      </w:r>
      <w:r>
        <w:rPr>
          <w:spacing w:val="-8"/>
          <w:sz w:val="18"/>
        </w:rPr>
        <w:t xml:space="preserve"> </w:t>
      </w:r>
      <w:r>
        <w:rPr>
          <w:sz w:val="18"/>
        </w:rPr>
        <w:t>paras.</w:t>
      </w:r>
      <w:r>
        <w:rPr>
          <w:spacing w:val="-2"/>
          <w:sz w:val="18"/>
        </w:rPr>
        <w:t xml:space="preserve"> </w:t>
      </w:r>
      <w:hyperlink w:anchor="_bookmark167" w:history="1">
        <w:r>
          <w:rPr>
            <w:sz w:val="18"/>
          </w:rPr>
          <w:t>91</w:t>
        </w:r>
      </w:hyperlink>
      <w:hyperlink w:anchor="_bookmark174" w:history="1">
        <w:r>
          <w:rPr>
            <w:sz w:val="18"/>
          </w:rPr>
          <w:t>-</w:t>
        </w:r>
        <w:r>
          <w:rPr>
            <w:spacing w:val="-5"/>
            <w:sz w:val="18"/>
          </w:rPr>
          <w:t>95.</w:t>
        </w:r>
      </w:hyperlink>
    </w:p>
    <w:p w14:paraId="08D9F8E2" w14:textId="77777777" w:rsidR="00BD462C" w:rsidRDefault="00033D0F">
      <w:pPr>
        <w:spacing w:before="1"/>
        <w:ind w:left="135"/>
        <w:rPr>
          <w:sz w:val="18"/>
        </w:rPr>
      </w:pPr>
      <w:bookmarkStart w:id="1928" w:name="_bookmark1663"/>
      <w:bookmarkEnd w:id="1928"/>
      <w:r>
        <w:rPr>
          <w:position w:val="5"/>
          <w:sz w:val="12"/>
        </w:rPr>
        <w:t>1444</w:t>
      </w:r>
      <w:r>
        <w:rPr>
          <w:spacing w:val="13"/>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 xml:space="preserve">para. </w:t>
      </w:r>
      <w:r>
        <w:rPr>
          <w:spacing w:val="-2"/>
          <w:sz w:val="18"/>
        </w:rPr>
        <w:t>2638.</w:t>
      </w:r>
    </w:p>
    <w:p w14:paraId="2D2DBBA3" w14:textId="77777777" w:rsidR="00BD462C" w:rsidRDefault="00033D0F">
      <w:pPr>
        <w:spacing w:before="1"/>
        <w:ind w:left="135"/>
        <w:rPr>
          <w:sz w:val="18"/>
        </w:rPr>
      </w:pPr>
      <w:bookmarkStart w:id="1929" w:name="_bookmark1664"/>
      <w:bookmarkEnd w:id="1929"/>
      <w:r>
        <w:rPr>
          <w:position w:val="5"/>
          <w:sz w:val="12"/>
        </w:rPr>
        <w:t>1445</w:t>
      </w:r>
      <w:r>
        <w:rPr>
          <w:spacing w:val="13"/>
          <w:position w:val="5"/>
          <w:sz w:val="12"/>
        </w:rPr>
        <w:t xml:space="preserve"> </w:t>
      </w:r>
      <w:r>
        <w:rPr>
          <w:sz w:val="18"/>
        </w:rPr>
        <w:t>China's</w:t>
      </w:r>
      <w:r>
        <w:rPr>
          <w:spacing w:val="-5"/>
          <w:sz w:val="18"/>
        </w:rPr>
        <w:t xml:space="preserve"> </w:t>
      </w:r>
      <w:r>
        <w:rPr>
          <w:sz w:val="18"/>
        </w:rPr>
        <w:t>first</w:t>
      </w:r>
      <w:r>
        <w:rPr>
          <w:spacing w:val="-4"/>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para</w:t>
      </w:r>
      <w:r>
        <w:rPr>
          <w:spacing w:val="-7"/>
          <w:sz w:val="18"/>
        </w:rPr>
        <w:t xml:space="preserve"> </w:t>
      </w:r>
      <w:r>
        <w:rPr>
          <w:sz w:val="18"/>
        </w:rPr>
        <w:t>2638.</w:t>
      </w:r>
      <w:r>
        <w:rPr>
          <w:spacing w:val="-4"/>
          <w:sz w:val="18"/>
        </w:rPr>
        <w:t xml:space="preserve"> </w:t>
      </w:r>
      <w:r>
        <w:rPr>
          <w:sz w:val="18"/>
        </w:rPr>
        <w:t>See</w:t>
      </w:r>
      <w:r>
        <w:rPr>
          <w:spacing w:val="-5"/>
          <w:sz w:val="18"/>
        </w:rPr>
        <w:t xml:space="preserve"> </w:t>
      </w:r>
      <w:r>
        <w:rPr>
          <w:sz w:val="18"/>
        </w:rPr>
        <w:t>also</w:t>
      </w:r>
      <w:r>
        <w:rPr>
          <w:spacing w:val="-6"/>
          <w:sz w:val="18"/>
        </w:rPr>
        <w:t xml:space="preserve"> </w:t>
      </w:r>
      <w:r>
        <w:rPr>
          <w:sz w:val="18"/>
        </w:rPr>
        <w:t>Australia's</w:t>
      </w:r>
      <w:r>
        <w:rPr>
          <w:spacing w:val="-5"/>
          <w:sz w:val="18"/>
        </w:rPr>
        <w:t xml:space="preserve"> </w:t>
      </w:r>
      <w:r>
        <w:rPr>
          <w:sz w:val="18"/>
        </w:rPr>
        <w:t>first written</w:t>
      </w:r>
      <w:r>
        <w:rPr>
          <w:spacing w:val="-6"/>
          <w:sz w:val="18"/>
        </w:rPr>
        <w:t xml:space="preserve"> </w:t>
      </w:r>
      <w:r>
        <w:rPr>
          <w:sz w:val="18"/>
        </w:rPr>
        <w:t>submission,</w:t>
      </w:r>
      <w:r>
        <w:rPr>
          <w:spacing w:val="-4"/>
          <w:sz w:val="18"/>
        </w:rPr>
        <w:t xml:space="preserve"> </w:t>
      </w:r>
      <w:r>
        <w:rPr>
          <w:sz w:val="18"/>
        </w:rPr>
        <w:t>para.</w:t>
      </w:r>
      <w:r>
        <w:rPr>
          <w:spacing w:val="1"/>
          <w:sz w:val="18"/>
        </w:rPr>
        <w:t xml:space="preserve"> </w:t>
      </w:r>
      <w:r>
        <w:rPr>
          <w:spacing w:val="-2"/>
          <w:sz w:val="18"/>
        </w:rPr>
        <w:t>1110.</w:t>
      </w:r>
    </w:p>
    <w:p w14:paraId="4E842545" w14:textId="77777777" w:rsidR="00BD462C" w:rsidRDefault="00BD462C">
      <w:pPr>
        <w:rPr>
          <w:sz w:val="18"/>
        </w:rPr>
        <w:sectPr w:rsidR="00BD462C">
          <w:pgSz w:w="11910" w:h="16840"/>
          <w:pgMar w:top="860" w:right="500" w:bottom="780" w:left="1280" w:header="566" w:footer="590" w:gutter="0"/>
          <w:cols w:space="720"/>
        </w:sectPr>
      </w:pPr>
    </w:p>
    <w:p w14:paraId="3E96A5BA"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3460AC5C"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7BC10C73"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38079F79" w14:textId="77777777" w:rsidR="00BD462C" w:rsidRDefault="00033D0F">
      <w:pPr>
        <w:pStyle w:val="ListParagraph"/>
        <w:numPr>
          <w:ilvl w:val="1"/>
          <w:numId w:val="9"/>
        </w:numPr>
        <w:tabs>
          <w:tab w:val="left" w:pos="4388"/>
          <w:tab w:val="left" w:pos="4389"/>
        </w:tabs>
        <w:spacing w:before="102"/>
        <w:rPr>
          <w:i/>
          <w:sz w:val="24"/>
        </w:rPr>
      </w:pPr>
      <w:bookmarkStart w:id="1930" w:name="i._Treasury_Wines"/>
      <w:bookmarkEnd w:id="1930"/>
      <w:r>
        <w:rPr>
          <w:i/>
          <w:sz w:val="24"/>
        </w:rPr>
        <w:t>Treasury</w:t>
      </w:r>
      <w:r>
        <w:rPr>
          <w:i/>
          <w:spacing w:val="-11"/>
          <w:sz w:val="24"/>
        </w:rPr>
        <w:t xml:space="preserve"> </w:t>
      </w:r>
      <w:r>
        <w:rPr>
          <w:i/>
          <w:spacing w:val="-4"/>
          <w:sz w:val="24"/>
        </w:rPr>
        <w:t>Wines</w:t>
      </w:r>
    </w:p>
    <w:p w14:paraId="177DBD00" w14:textId="77777777" w:rsidR="00BD462C" w:rsidRDefault="00BD462C">
      <w:pPr>
        <w:pStyle w:val="BodyText"/>
        <w:spacing w:before="7"/>
        <w:rPr>
          <w:i/>
          <w:sz w:val="20"/>
        </w:rPr>
      </w:pPr>
    </w:p>
    <w:p w14:paraId="4DC86CE2" w14:textId="3CEC405C" w:rsidR="00BD462C" w:rsidRDefault="00D443C8">
      <w:pPr>
        <w:pStyle w:val="BodyText"/>
        <w:spacing w:before="56" w:line="360" w:lineRule="auto"/>
        <w:ind w:left="135" w:right="916"/>
        <w:jc w:val="both"/>
      </w:pPr>
      <w:r>
        <w:rPr>
          <w:noProof/>
        </w:rPr>
        <w:t>995.</w:t>
      </w:r>
      <w:r w:rsidR="00033D0F">
        <w:rPr>
          <w:rFonts w:ascii="Times New Roman"/>
          <w:spacing w:val="80"/>
          <w:w w:val="150"/>
          <w:position w:val="1"/>
          <w:sz w:val="20"/>
        </w:rPr>
        <w:t xml:space="preserve"> </w:t>
      </w:r>
      <w:r w:rsidR="00033D0F">
        <w:rPr>
          <w:position w:val="1"/>
        </w:rPr>
        <w:t xml:space="preserve">In its first written submission, China alleges that, with respect to the comparison of </w:t>
      </w:r>
      <w:r w:rsidR="00033D0F">
        <w:t>Treasury Wines' normal value and export price, Australia's arguments concerning relevant information</w:t>
      </w:r>
      <w:r w:rsidR="00033D0F">
        <w:rPr>
          <w:spacing w:val="-4"/>
        </w:rPr>
        <w:t xml:space="preserve"> </w:t>
      </w:r>
      <w:r w:rsidR="00033D0F">
        <w:t>on adjustments</w:t>
      </w:r>
      <w:r w:rsidR="00033D0F">
        <w:rPr>
          <w:spacing w:val="-1"/>
        </w:rPr>
        <w:t xml:space="preserve"> </w:t>
      </w:r>
      <w:r w:rsidR="00033D0F">
        <w:t>"seems</w:t>
      </w:r>
      <w:r w:rsidR="00033D0F">
        <w:rPr>
          <w:spacing w:val="-1"/>
        </w:rPr>
        <w:t xml:space="preserve"> </w:t>
      </w:r>
      <w:r w:rsidR="00033D0F">
        <w:t>to</w:t>
      </w:r>
      <w:r w:rsidR="00033D0F">
        <w:rPr>
          <w:spacing w:val="-5"/>
        </w:rPr>
        <w:t xml:space="preserve"> </w:t>
      </w:r>
      <w:r w:rsidR="00033D0F">
        <w:t>be</w:t>
      </w:r>
      <w:r w:rsidR="00033D0F">
        <w:rPr>
          <w:spacing w:val="-3"/>
        </w:rPr>
        <w:t xml:space="preserve"> </w:t>
      </w:r>
      <w:r w:rsidR="00033D0F">
        <w:t>substantive</w:t>
      </w:r>
      <w:r w:rsidR="00033D0F">
        <w:rPr>
          <w:spacing w:val="-2"/>
        </w:rPr>
        <w:t xml:space="preserve"> </w:t>
      </w:r>
      <w:r w:rsidR="00033D0F">
        <w:t>than</w:t>
      </w:r>
      <w:r w:rsidR="00033D0F">
        <w:rPr>
          <w:spacing w:val="-4"/>
        </w:rPr>
        <w:t xml:space="preserve"> </w:t>
      </w:r>
      <w:r w:rsidR="00033D0F">
        <w:t>procedural".</w:t>
      </w:r>
      <w:hyperlink w:anchor="_bookmark1665" w:history="1">
        <w:r w:rsidR="00033D0F">
          <w:rPr>
            <w:vertAlign w:val="superscript"/>
          </w:rPr>
          <w:t>1446</w:t>
        </w:r>
      </w:hyperlink>
      <w:r w:rsidR="00033D0F">
        <w:rPr>
          <w:spacing w:val="-2"/>
        </w:rPr>
        <w:t xml:space="preserve"> </w:t>
      </w:r>
      <w:r w:rsidR="00033D0F">
        <w:t>In</w:t>
      </w:r>
      <w:r w:rsidR="00033D0F">
        <w:rPr>
          <w:spacing w:val="-4"/>
        </w:rPr>
        <w:t xml:space="preserve"> </w:t>
      </w:r>
      <w:r w:rsidR="00033D0F">
        <w:t>support of</w:t>
      </w:r>
      <w:r w:rsidR="00033D0F">
        <w:rPr>
          <w:spacing w:val="-4"/>
        </w:rPr>
        <w:t xml:space="preserve"> </w:t>
      </w:r>
      <w:r w:rsidR="00033D0F">
        <w:t>this allegation, China selectively quotes from Australia's first written submission, replacing relevant text with an ellipsis as follows:</w:t>
      </w:r>
    </w:p>
    <w:p w14:paraId="1D0609AC" w14:textId="77777777" w:rsidR="00BD462C" w:rsidRDefault="00033D0F">
      <w:pPr>
        <w:spacing w:before="160" w:line="276" w:lineRule="auto"/>
        <w:ind w:left="985" w:right="917"/>
        <w:jc w:val="both"/>
      </w:pPr>
      <w:r>
        <w:t>It</w:t>
      </w:r>
      <w:r>
        <w:rPr>
          <w:spacing w:val="-13"/>
        </w:rPr>
        <w:t xml:space="preserve"> </w:t>
      </w:r>
      <w:r>
        <w:t>is</w:t>
      </w:r>
      <w:r>
        <w:rPr>
          <w:spacing w:val="-12"/>
        </w:rPr>
        <w:t xml:space="preserve"> </w:t>
      </w:r>
      <w:r>
        <w:t>clear</w:t>
      </w:r>
      <w:r>
        <w:rPr>
          <w:spacing w:val="-13"/>
        </w:rPr>
        <w:t xml:space="preserve"> </w:t>
      </w:r>
      <w:r>
        <w:t>that</w:t>
      </w:r>
      <w:r>
        <w:rPr>
          <w:spacing w:val="-12"/>
        </w:rPr>
        <w:t xml:space="preserve"> </w:t>
      </w:r>
      <w:r>
        <w:t>Australia's</w:t>
      </w:r>
      <w:r>
        <w:rPr>
          <w:spacing w:val="-13"/>
        </w:rPr>
        <w:t xml:space="preserve"> </w:t>
      </w:r>
      <w:r>
        <w:t>issue</w:t>
      </w:r>
      <w:r>
        <w:rPr>
          <w:spacing w:val="-12"/>
        </w:rPr>
        <w:t xml:space="preserve"> </w:t>
      </w:r>
      <w:r>
        <w:t>is</w:t>
      </w:r>
      <w:r>
        <w:rPr>
          <w:spacing w:val="-13"/>
        </w:rPr>
        <w:t xml:space="preserve"> </w:t>
      </w:r>
      <w:r>
        <w:t>that</w:t>
      </w:r>
      <w:r>
        <w:rPr>
          <w:spacing w:val="-9"/>
        </w:rPr>
        <w:t xml:space="preserve"> </w:t>
      </w:r>
      <w:r>
        <w:t>MOFCOM</w:t>
      </w:r>
      <w:r>
        <w:rPr>
          <w:spacing w:val="-8"/>
        </w:rPr>
        <w:t xml:space="preserve"> </w:t>
      </w:r>
      <w:r>
        <w:t>"rejected</w:t>
      </w:r>
      <w:r>
        <w:rPr>
          <w:spacing w:val="-13"/>
        </w:rPr>
        <w:t xml:space="preserve"> </w:t>
      </w:r>
      <w:r>
        <w:t>[the]</w:t>
      </w:r>
      <w:r>
        <w:rPr>
          <w:spacing w:val="-12"/>
        </w:rPr>
        <w:t xml:space="preserve"> </w:t>
      </w:r>
      <w:r>
        <w:t>several</w:t>
      </w:r>
      <w:r>
        <w:rPr>
          <w:spacing w:val="-10"/>
        </w:rPr>
        <w:t xml:space="preserve"> </w:t>
      </w:r>
      <w:r>
        <w:t>adjustments</w:t>
      </w:r>
      <w:r>
        <w:rPr>
          <w:spacing w:val="-13"/>
        </w:rPr>
        <w:t xml:space="preserve"> </w:t>
      </w:r>
      <w:r>
        <w:t>proposed by Treasury Wines … notwithstanding Treasury Wines' meaningful engagement [with MOFCOM]". Thus, Australia is essentially arguing that MOFCOM should have accepted the adjustments proposed by Treasury Wines.</w:t>
      </w:r>
      <w:hyperlink w:anchor="_bookmark1666" w:history="1">
        <w:r>
          <w:rPr>
            <w:vertAlign w:val="superscript"/>
          </w:rPr>
          <w:t>1447</w:t>
        </w:r>
      </w:hyperlink>
    </w:p>
    <w:p w14:paraId="0BADD0B9" w14:textId="77777777" w:rsidR="00BD462C" w:rsidRDefault="00BD462C">
      <w:pPr>
        <w:pStyle w:val="BodyText"/>
        <w:spacing w:before="3"/>
        <w:rPr>
          <w:sz w:val="15"/>
        </w:rPr>
      </w:pPr>
    </w:p>
    <w:p w14:paraId="262CF664" w14:textId="515B0D39" w:rsidR="00BD462C" w:rsidRDefault="00D443C8">
      <w:pPr>
        <w:pStyle w:val="BodyText"/>
        <w:spacing w:before="56" w:line="360" w:lineRule="auto"/>
        <w:ind w:left="135" w:right="915"/>
        <w:jc w:val="both"/>
      </w:pPr>
      <w:r>
        <w:rPr>
          <w:noProof/>
        </w:rPr>
        <w:t>996.</w:t>
      </w:r>
      <w:r w:rsidR="00033D0F">
        <w:rPr>
          <w:rFonts w:ascii="Times New Roman" w:hAnsi="Times New Roman"/>
          <w:spacing w:val="80"/>
          <w:w w:val="150"/>
          <w:position w:val="1"/>
          <w:sz w:val="20"/>
        </w:rPr>
        <w:t xml:space="preserve"> </w:t>
      </w:r>
      <w:r w:rsidR="00033D0F">
        <w:rPr>
          <w:position w:val="1"/>
        </w:rPr>
        <w:t xml:space="preserve">However, the text that China omits indicates that Australia's argument is about the </w:t>
      </w:r>
      <w:r w:rsidR="00033D0F">
        <w:t>failure</w:t>
      </w:r>
      <w:r w:rsidR="00033D0F">
        <w:rPr>
          <w:spacing w:val="-12"/>
        </w:rPr>
        <w:t xml:space="preserve"> </w:t>
      </w:r>
      <w:r w:rsidR="00033D0F">
        <w:t>to</w:t>
      </w:r>
      <w:r w:rsidR="00033D0F">
        <w:rPr>
          <w:spacing w:val="-14"/>
        </w:rPr>
        <w:t xml:space="preserve"> </w:t>
      </w:r>
      <w:r w:rsidR="00033D0F">
        <w:t>provide</w:t>
      </w:r>
      <w:r w:rsidR="00033D0F">
        <w:rPr>
          <w:spacing w:val="-11"/>
        </w:rPr>
        <w:t xml:space="preserve"> </w:t>
      </w:r>
      <w:r w:rsidR="00033D0F">
        <w:t>sufficient</w:t>
      </w:r>
      <w:r w:rsidR="00033D0F">
        <w:rPr>
          <w:spacing w:val="-11"/>
        </w:rPr>
        <w:t xml:space="preserve"> </w:t>
      </w:r>
      <w:r w:rsidR="00033D0F">
        <w:t>explanations</w:t>
      </w:r>
      <w:r w:rsidR="00033D0F">
        <w:rPr>
          <w:spacing w:val="-10"/>
        </w:rPr>
        <w:t xml:space="preserve"> </w:t>
      </w:r>
      <w:r w:rsidR="00033D0F">
        <w:t>—</w:t>
      </w:r>
      <w:r w:rsidR="00033D0F">
        <w:rPr>
          <w:spacing w:val="-8"/>
        </w:rPr>
        <w:t xml:space="preserve"> </w:t>
      </w:r>
      <w:r w:rsidR="00033D0F">
        <w:t>that</w:t>
      </w:r>
      <w:r w:rsidR="00033D0F">
        <w:rPr>
          <w:spacing w:val="-11"/>
        </w:rPr>
        <w:t xml:space="preserve"> </w:t>
      </w:r>
      <w:r w:rsidR="00033D0F">
        <w:t>is,</w:t>
      </w:r>
      <w:r w:rsidR="00033D0F">
        <w:rPr>
          <w:spacing w:val="-14"/>
        </w:rPr>
        <w:t xml:space="preserve"> </w:t>
      </w:r>
      <w:r w:rsidR="00033D0F">
        <w:t>a</w:t>
      </w:r>
      <w:r w:rsidR="00033D0F">
        <w:rPr>
          <w:spacing w:val="-6"/>
        </w:rPr>
        <w:t xml:space="preserve"> </w:t>
      </w:r>
      <w:r w:rsidR="00033D0F">
        <w:t>reasoned</w:t>
      </w:r>
      <w:r w:rsidR="00033D0F">
        <w:rPr>
          <w:spacing w:val="-9"/>
        </w:rPr>
        <w:t xml:space="preserve"> </w:t>
      </w:r>
      <w:r w:rsidR="00033D0F">
        <w:t>account</w:t>
      </w:r>
      <w:r w:rsidR="00033D0F">
        <w:rPr>
          <w:spacing w:val="-11"/>
        </w:rPr>
        <w:t xml:space="preserve"> </w:t>
      </w:r>
      <w:r w:rsidR="00033D0F">
        <w:t>of</w:t>
      </w:r>
      <w:r w:rsidR="00033D0F">
        <w:rPr>
          <w:spacing w:val="-14"/>
        </w:rPr>
        <w:t xml:space="preserve"> </w:t>
      </w:r>
      <w:r w:rsidR="00033D0F">
        <w:t>the</w:t>
      </w:r>
      <w:r w:rsidR="00033D0F">
        <w:rPr>
          <w:spacing w:val="-6"/>
        </w:rPr>
        <w:t xml:space="preserve"> </w:t>
      </w:r>
      <w:r w:rsidR="00033D0F">
        <w:t>factual</w:t>
      </w:r>
      <w:r w:rsidR="00033D0F">
        <w:rPr>
          <w:spacing w:val="-10"/>
        </w:rPr>
        <w:t xml:space="preserve"> </w:t>
      </w:r>
      <w:r w:rsidR="00033D0F">
        <w:t>and</w:t>
      </w:r>
      <w:r w:rsidR="00033D0F">
        <w:rPr>
          <w:spacing w:val="-8"/>
        </w:rPr>
        <w:t xml:space="preserve"> </w:t>
      </w:r>
      <w:r w:rsidR="00033D0F">
        <w:t>legal bases — for rejecting certain adjustments that Treasury Wines requested and further supported</w:t>
      </w:r>
      <w:r w:rsidR="00033D0F">
        <w:rPr>
          <w:spacing w:val="-14"/>
        </w:rPr>
        <w:t xml:space="preserve"> </w:t>
      </w:r>
      <w:r w:rsidR="00033D0F">
        <w:t>with</w:t>
      </w:r>
      <w:r w:rsidR="00033D0F">
        <w:rPr>
          <w:spacing w:val="-14"/>
        </w:rPr>
        <w:t xml:space="preserve"> </w:t>
      </w:r>
      <w:r w:rsidR="00033D0F">
        <w:t>submissions</w:t>
      </w:r>
      <w:r w:rsidR="00033D0F">
        <w:rPr>
          <w:spacing w:val="-13"/>
        </w:rPr>
        <w:t xml:space="preserve"> </w:t>
      </w:r>
      <w:r w:rsidR="00033D0F">
        <w:t>to</w:t>
      </w:r>
      <w:r w:rsidR="00033D0F">
        <w:rPr>
          <w:spacing w:val="-14"/>
        </w:rPr>
        <w:t xml:space="preserve"> </w:t>
      </w:r>
      <w:r w:rsidR="00033D0F">
        <w:t>MOFCOM</w:t>
      </w:r>
      <w:r w:rsidR="00033D0F">
        <w:rPr>
          <w:spacing w:val="-13"/>
        </w:rPr>
        <w:t xml:space="preserve"> </w:t>
      </w:r>
      <w:r w:rsidR="00033D0F">
        <w:t>prior</w:t>
      </w:r>
      <w:r w:rsidR="00033D0F">
        <w:rPr>
          <w:spacing w:val="-14"/>
        </w:rPr>
        <w:t xml:space="preserve"> </w:t>
      </w:r>
      <w:r w:rsidR="00033D0F">
        <w:t>to</w:t>
      </w:r>
      <w:r w:rsidR="00033D0F">
        <w:rPr>
          <w:spacing w:val="-13"/>
        </w:rPr>
        <w:t xml:space="preserve"> </w:t>
      </w:r>
      <w:r w:rsidR="00033D0F">
        <w:t>the</w:t>
      </w:r>
      <w:r w:rsidR="00033D0F">
        <w:rPr>
          <w:spacing w:val="-14"/>
        </w:rPr>
        <w:t xml:space="preserve"> </w:t>
      </w:r>
      <w:r w:rsidR="00033D0F">
        <w:t>Final</w:t>
      </w:r>
      <w:r w:rsidR="00033D0F">
        <w:rPr>
          <w:spacing w:val="-14"/>
        </w:rPr>
        <w:t xml:space="preserve"> </w:t>
      </w:r>
      <w:r w:rsidR="00033D0F">
        <w:t>Determination.</w:t>
      </w:r>
      <w:r w:rsidR="00033D0F">
        <w:rPr>
          <w:spacing w:val="-13"/>
        </w:rPr>
        <w:t xml:space="preserve"> </w:t>
      </w:r>
      <w:r w:rsidR="00033D0F">
        <w:t>For</w:t>
      </w:r>
      <w:r w:rsidR="00033D0F">
        <w:rPr>
          <w:spacing w:val="-14"/>
        </w:rPr>
        <w:t xml:space="preserve"> </w:t>
      </w:r>
      <w:r w:rsidR="00033D0F">
        <w:t>the</w:t>
      </w:r>
      <w:r w:rsidR="00033D0F">
        <w:rPr>
          <w:spacing w:val="-13"/>
        </w:rPr>
        <w:t xml:space="preserve"> </w:t>
      </w:r>
      <w:r w:rsidR="00033D0F">
        <w:t>Panel's</w:t>
      </w:r>
      <w:r w:rsidR="00033D0F">
        <w:rPr>
          <w:spacing w:val="-14"/>
        </w:rPr>
        <w:t xml:space="preserve"> </w:t>
      </w:r>
      <w:r w:rsidR="00033D0F">
        <w:t>ease of reference, the full passage in Australia's first written submission provides as follows:</w:t>
      </w:r>
    </w:p>
    <w:p w14:paraId="25F5221D" w14:textId="77777777" w:rsidR="00BD462C" w:rsidRDefault="00033D0F">
      <w:pPr>
        <w:spacing w:before="155" w:line="276" w:lineRule="auto"/>
        <w:ind w:left="985" w:right="915"/>
        <w:jc w:val="both"/>
      </w:pPr>
      <w:r>
        <w:t>MOFCOM rejected several adjustments proposed by Treasury Wines without providing sufficient</w:t>
      </w:r>
      <w:r>
        <w:rPr>
          <w:spacing w:val="-1"/>
        </w:rPr>
        <w:t xml:space="preserve"> </w:t>
      </w:r>
      <w:r>
        <w:t>explanations. Instead, MOFCOM</w:t>
      </w:r>
      <w:r>
        <w:rPr>
          <w:spacing w:val="-1"/>
        </w:rPr>
        <w:t xml:space="preserve"> </w:t>
      </w:r>
      <w:r>
        <w:t>simply repeated verbatim its criticisms of certain adjustments from the Preliminary Determination and the Final Disclosure, notwithstanding Treasury Wines' meaningful engagement on those criticisms via its comments to MOFCOM prior to the Final Determination.</w:t>
      </w:r>
      <w:hyperlink w:anchor="_bookmark1667" w:history="1">
        <w:r>
          <w:rPr>
            <w:vertAlign w:val="superscript"/>
          </w:rPr>
          <w:t>1448</w:t>
        </w:r>
      </w:hyperlink>
    </w:p>
    <w:p w14:paraId="482A6676" w14:textId="77777777" w:rsidR="00BD462C" w:rsidRDefault="00BD462C">
      <w:pPr>
        <w:pStyle w:val="BodyText"/>
        <w:spacing w:before="7"/>
        <w:rPr>
          <w:sz w:val="15"/>
        </w:rPr>
      </w:pPr>
    </w:p>
    <w:p w14:paraId="1DA991FD" w14:textId="44D443F1" w:rsidR="00BD462C" w:rsidRDefault="00D443C8">
      <w:pPr>
        <w:pStyle w:val="BodyText"/>
        <w:spacing w:before="56" w:line="357" w:lineRule="auto"/>
        <w:ind w:left="135" w:right="913"/>
        <w:jc w:val="both"/>
      </w:pPr>
      <w:r>
        <w:rPr>
          <w:noProof/>
        </w:rPr>
        <w:t>997.</w:t>
      </w:r>
      <w:r w:rsidR="00033D0F">
        <w:rPr>
          <w:rFonts w:ascii="Times New Roman"/>
          <w:spacing w:val="80"/>
          <w:position w:val="1"/>
          <w:sz w:val="20"/>
        </w:rPr>
        <w:t xml:space="preserve"> </w:t>
      </w:r>
      <w:r w:rsidR="00033D0F">
        <w:rPr>
          <w:position w:val="1"/>
        </w:rPr>
        <w:t xml:space="preserve">Article 12.2.2 requires that the Final Determination shall contain the information </w:t>
      </w:r>
      <w:r w:rsidR="00033D0F">
        <w:t>described in Article 12.2.1, which includes "a full explanation of the reasons for the methodology used in the establishment and comparison of the export price and the normal value</w:t>
      </w:r>
      <w:r w:rsidR="00033D0F">
        <w:rPr>
          <w:spacing w:val="-9"/>
        </w:rPr>
        <w:t xml:space="preserve"> </w:t>
      </w:r>
      <w:r w:rsidR="00033D0F">
        <w:t>under</w:t>
      </w:r>
      <w:r w:rsidR="00033D0F">
        <w:rPr>
          <w:spacing w:val="-11"/>
        </w:rPr>
        <w:t xml:space="preserve"> </w:t>
      </w:r>
      <w:r w:rsidR="00033D0F">
        <w:t>Article</w:t>
      </w:r>
      <w:r w:rsidR="00033D0F">
        <w:rPr>
          <w:spacing w:val="-9"/>
        </w:rPr>
        <w:t xml:space="preserve"> </w:t>
      </w:r>
      <w:r w:rsidR="00033D0F">
        <w:t>2".</w:t>
      </w:r>
      <w:r w:rsidR="00033D0F">
        <w:rPr>
          <w:spacing w:val="-12"/>
        </w:rPr>
        <w:t xml:space="preserve"> </w:t>
      </w:r>
      <w:r w:rsidR="00033D0F">
        <w:t>In</w:t>
      </w:r>
      <w:r w:rsidR="00033D0F">
        <w:rPr>
          <w:spacing w:val="-11"/>
        </w:rPr>
        <w:t xml:space="preserve"> </w:t>
      </w:r>
      <w:r w:rsidR="00033D0F">
        <w:t>Australia's</w:t>
      </w:r>
      <w:r w:rsidR="00033D0F">
        <w:rPr>
          <w:spacing w:val="-11"/>
        </w:rPr>
        <w:t xml:space="preserve"> </w:t>
      </w:r>
      <w:r w:rsidR="00033D0F">
        <w:t>view,</w:t>
      </w:r>
      <w:r w:rsidR="00033D0F">
        <w:rPr>
          <w:spacing w:val="-11"/>
        </w:rPr>
        <w:t xml:space="preserve"> </w:t>
      </w:r>
      <w:r w:rsidR="00033D0F">
        <w:t>this</w:t>
      </w:r>
      <w:r w:rsidR="00033D0F">
        <w:rPr>
          <w:spacing w:val="-8"/>
        </w:rPr>
        <w:t xml:space="preserve"> </w:t>
      </w:r>
      <w:r w:rsidR="00033D0F">
        <w:t>"full</w:t>
      </w:r>
      <w:r w:rsidR="00033D0F">
        <w:rPr>
          <w:spacing w:val="-11"/>
        </w:rPr>
        <w:t xml:space="preserve"> </w:t>
      </w:r>
      <w:r w:rsidR="00033D0F">
        <w:t>explanation"</w:t>
      </w:r>
      <w:r w:rsidR="00033D0F">
        <w:rPr>
          <w:spacing w:val="-10"/>
        </w:rPr>
        <w:t xml:space="preserve"> </w:t>
      </w:r>
      <w:r w:rsidR="00033D0F">
        <w:t>includes</w:t>
      </w:r>
      <w:r w:rsidR="00033D0F">
        <w:rPr>
          <w:spacing w:val="-8"/>
        </w:rPr>
        <w:t xml:space="preserve"> </w:t>
      </w:r>
      <w:r w:rsidR="00033D0F">
        <w:t>relevant</w:t>
      </w:r>
      <w:r w:rsidR="00033D0F">
        <w:rPr>
          <w:spacing w:val="-9"/>
        </w:rPr>
        <w:t xml:space="preserve"> </w:t>
      </w:r>
      <w:r w:rsidR="00033D0F">
        <w:t>information on</w:t>
      </w:r>
      <w:r w:rsidR="00033D0F">
        <w:rPr>
          <w:spacing w:val="-9"/>
        </w:rPr>
        <w:t xml:space="preserve"> </w:t>
      </w:r>
      <w:r w:rsidR="00033D0F">
        <w:t>the</w:t>
      </w:r>
      <w:r w:rsidR="00033D0F">
        <w:rPr>
          <w:spacing w:val="-2"/>
        </w:rPr>
        <w:t xml:space="preserve"> </w:t>
      </w:r>
      <w:r w:rsidR="00033D0F">
        <w:t>adjustments</w:t>
      </w:r>
      <w:r w:rsidR="00033D0F">
        <w:rPr>
          <w:spacing w:val="-6"/>
        </w:rPr>
        <w:t xml:space="preserve"> </w:t>
      </w:r>
      <w:r w:rsidR="00033D0F">
        <w:t>that</w:t>
      </w:r>
      <w:r w:rsidR="00033D0F">
        <w:rPr>
          <w:spacing w:val="-7"/>
        </w:rPr>
        <w:t xml:space="preserve"> </w:t>
      </w:r>
      <w:r w:rsidR="00033D0F">
        <w:t>MOFCOM</w:t>
      </w:r>
      <w:r w:rsidR="00033D0F">
        <w:rPr>
          <w:spacing w:val="-7"/>
        </w:rPr>
        <w:t xml:space="preserve"> </w:t>
      </w:r>
      <w:r w:rsidR="00033D0F">
        <w:t>chose</w:t>
      </w:r>
      <w:r w:rsidR="00033D0F">
        <w:rPr>
          <w:spacing w:val="-7"/>
        </w:rPr>
        <w:t xml:space="preserve"> </w:t>
      </w:r>
      <w:r w:rsidR="00033D0F">
        <w:t>to</w:t>
      </w:r>
      <w:r w:rsidR="00033D0F">
        <w:rPr>
          <w:spacing w:val="-5"/>
        </w:rPr>
        <w:t xml:space="preserve"> </w:t>
      </w:r>
      <w:r w:rsidR="00033D0F">
        <w:t>apply</w:t>
      </w:r>
      <w:r w:rsidR="00033D0F">
        <w:rPr>
          <w:spacing w:val="-1"/>
        </w:rPr>
        <w:t xml:space="preserve"> </w:t>
      </w:r>
      <w:r w:rsidR="00033D0F">
        <w:t>and</w:t>
      </w:r>
      <w:r w:rsidR="00033D0F">
        <w:rPr>
          <w:spacing w:val="-9"/>
        </w:rPr>
        <w:t xml:space="preserve"> </w:t>
      </w:r>
      <w:r w:rsidR="00033D0F">
        <w:t>chose</w:t>
      </w:r>
      <w:r w:rsidR="00033D0F">
        <w:rPr>
          <w:spacing w:val="-7"/>
        </w:rPr>
        <w:t xml:space="preserve"> </w:t>
      </w:r>
      <w:r w:rsidR="00033D0F">
        <w:t>not</w:t>
      </w:r>
      <w:r w:rsidR="00033D0F">
        <w:rPr>
          <w:spacing w:val="-2"/>
        </w:rPr>
        <w:t xml:space="preserve"> </w:t>
      </w:r>
      <w:r w:rsidR="00033D0F">
        <w:t>to</w:t>
      </w:r>
      <w:r w:rsidR="00033D0F">
        <w:rPr>
          <w:spacing w:val="-10"/>
        </w:rPr>
        <w:t xml:space="preserve"> </w:t>
      </w:r>
      <w:r w:rsidR="00033D0F">
        <w:t>apply,</w:t>
      </w:r>
      <w:r w:rsidR="00033D0F">
        <w:rPr>
          <w:spacing w:val="-5"/>
        </w:rPr>
        <w:t xml:space="preserve"> </w:t>
      </w:r>
      <w:r w:rsidR="00033D0F">
        <w:t>and</w:t>
      </w:r>
      <w:r w:rsidR="00033D0F">
        <w:rPr>
          <w:spacing w:val="-9"/>
        </w:rPr>
        <w:t xml:space="preserve"> </w:t>
      </w:r>
      <w:r w:rsidR="00033D0F">
        <w:t>the</w:t>
      </w:r>
      <w:r w:rsidR="00033D0F">
        <w:rPr>
          <w:spacing w:val="-3"/>
        </w:rPr>
        <w:t xml:space="preserve"> </w:t>
      </w:r>
      <w:r w:rsidR="00033D0F">
        <w:t>reasons</w:t>
      </w:r>
      <w:r w:rsidR="00033D0F">
        <w:rPr>
          <w:spacing w:val="-6"/>
        </w:rPr>
        <w:t xml:space="preserve"> </w:t>
      </w:r>
      <w:r w:rsidR="00033D0F">
        <w:t>for this process for the purposes of the comparison required under Article 2.4.</w:t>
      </w:r>
    </w:p>
    <w:p w14:paraId="0D525794" w14:textId="77777777" w:rsidR="00BD462C" w:rsidRDefault="00BD462C">
      <w:pPr>
        <w:pStyle w:val="BodyText"/>
        <w:rPr>
          <w:sz w:val="20"/>
        </w:rPr>
      </w:pPr>
    </w:p>
    <w:p w14:paraId="2AF672E0" w14:textId="77777777" w:rsidR="00BD462C" w:rsidRDefault="00BD462C">
      <w:pPr>
        <w:pStyle w:val="BodyText"/>
        <w:rPr>
          <w:sz w:val="20"/>
        </w:rPr>
      </w:pPr>
    </w:p>
    <w:p w14:paraId="4BA1D85C" w14:textId="77777777" w:rsidR="00BD462C" w:rsidRDefault="00BD462C">
      <w:pPr>
        <w:pStyle w:val="BodyText"/>
        <w:rPr>
          <w:sz w:val="20"/>
        </w:rPr>
      </w:pPr>
    </w:p>
    <w:p w14:paraId="1AF62B39" w14:textId="77777777" w:rsidR="00BD462C" w:rsidRDefault="00BD462C">
      <w:pPr>
        <w:pStyle w:val="BodyText"/>
        <w:rPr>
          <w:sz w:val="20"/>
        </w:rPr>
      </w:pPr>
    </w:p>
    <w:p w14:paraId="70E4EF76" w14:textId="77777777" w:rsidR="00BD462C" w:rsidRDefault="00BD462C">
      <w:pPr>
        <w:pStyle w:val="BodyText"/>
        <w:rPr>
          <w:sz w:val="20"/>
        </w:rPr>
      </w:pPr>
    </w:p>
    <w:p w14:paraId="19C38631" w14:textId="77777777" w:rsidR="00BD462C" w:rsidRDefault="00BD462C">
      <w:pPr>
        <w:pStyle w:val="BodyText"/>
        <w:rPr>
          <w:sz w:val="20"/>
        </w:rPr>
      </w:pPr>
    </w:p>
    <w:p w14:paraId="7CFFD73F" w14:textId="32D77711" w:rsidR="00BD462C" w:rsidRDefault="006E6DEA">
      <w:pPr>
        <w:pStyle w:val="BodyText"/>
        <w:rPr>
          <w:sz w:val="20"/>
        </w:rPr>
      </w:pPr>
      <w:r>
        <w:rPr>
          <w:noProof/>
        </w:rPr>
        <mc:AlternateContent>
          <mc:Choice Requires="wps">
            <w:drawing>
              <wp:anchor distT="0" distB="0" distL="0" distR="0" simplePos="0" relativeHeight="488133120" behindDoc="1" locked="0" layoutInCell="1" allowOverlap="1" wp14:anchorId="0EFFA657" wp14:editId="009CFEF2">
                <wp:simplePos x="0" y="0"/>
                <wp:positionH relativeFrom="page">
                  <wp:posOffset>812800</wp:posOffset>
                </wp:positionH>
                <wp:positionV relativeFrom="paragraph">
                  <wp:posOffset>156845</wp:posOffset>
                </wp:positionV>
                <wp:extent cx="1828800" cy="8890"/>
                <wp:effectExtent l="0" t="0" r="0" b="0"/>
                <wp:wrapTopAndBottom/>
                <wp:docPr id="105" name="docshape7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EF9DED" id="docshape705" o:spid="_x0000_s1026" alt="&quot;&quot;" style="position:absolute;margin-left:64pt;margin-top:12.35pt;width:2in;height:.7pt;z-index:-1518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" fillcolor="black" stroked="f">
                <w10:wrap type="topAndBottom" anchorx="page"/>
              </v:rect>
            </w:pict>
          </mc:Fallback>
        </mc:AlternateContent>
      </w:r>
    </w:p>
    <w:p w14:paraId="7DF176BB" w14:textId="77777777" w:rsidR="00BD462C" w:rsidRDefault="00033D0F">
      <w:pPr>
        <w:spacing w:before="112"/>
        <w:ind w:left="135" w:right="6258"/>
        <w:rPr>
          <w:sz w:val="18"/>
        </w:rPr>
      </w:pPr>
      <w:bookmarkStart w:id="1931" w:name="_bookmark1665"/>
      <w:bookmarkEnd w:id="1931"/>
      <w:r>
        <w:rPr>
          <w:position w:val="5"/>
          <w:sz w:val="12"/>
        </w:rPr>
        <w:t>1446</w:t>
      </w:r>
      <w:r>
        <w:rPr>
          <w:spacing w:val="40"/>
          <w:position w:val="5"/>
          <w:sz w:val="12"/>
        </w:rPr>
        <w:t xml:space="preserve"> </w:t>
      </w:r>
      <w:r>
        <w:rPr>
          <w:sz w:val="18"/>
        </w:rPr>
        <w:t xml:space="preserve">China's first written submission, para. 2626. </w:t>
      </w:r>
      <w:bookmarkStart w:id="1932" w:name="_bookmark1666"/>
      <w:bookmarkEnd w:id="1932"/>
      <w:r>
        <w:rPr>
          <w:position w:val="5"/>
          <w:sz w:val="12"/>
        </w:rPr>
        <w:t>1447</w:t>
      </w:r>
      <w:r>
        <w:rPr>
          <w:spacing w:val="40"/>
          <w:position w:val="5"/>
          <w:sz w:val="12"/>
        </w:rPr>
        <w:t xml:space="preserve"> </w:t>
      </w:r>
      <w:r>
        <w:rPr>
          <w:sz w:val="18"/>
        </w:rPr>
        <w:t xml:space="preserve">China's first written submission, para. 2627. </w:t>
      </w:r>
      <w:bookmarkStart w:id="1933" w:name="_bookmark1667"/>
      <w:bookmarkEnd w:id="1933"/>
      <w:r>
        <w:rPr>
          <w:position w:val="5"/>
          <w:sz w:val="12"/>
        </w:rPr>
        <w:t>1448</w:t>
      </w:r>
      <w:r>
        <w:rPr>
          <w:spacing w:val="12"/>
          <w:position w:val="5"/>
          <w:sz w:val="12"/>
        </w:rPr>
        <w:t xml:space="preserve"> </w:t>
      </w:r>
      <w:r>
        <w:rPr>
          <w:sz w:val="18"/>
        </w:rPr>
        <w:t>Australia's</w:t>
      </w:r>
      <w:r>
        <w:rPr>
          <w:spacing w:val="-7"/>
          <w:sz w:val="18"/>
        </w:rPr>
        <w:t xml:space="preserve"> </w:t>
      </w:r>
      <w:r>
        <w:rPr>
          <w:sz w:val="18"/>
        </w:rPr>
        <w:t>first</w:t>
      </w:r>
      <w:r>
        <w:rPr>
          <w:spacing w:val="-6"/>
          <w:sz w:val="18"/>
        </w:rPr>
        <w:t xml:space="preserve"> </w:t>
      </w:r>
      <w:r>
        <w:rPr>
          <w:sz w:val="18"/>
        </w:rPr>
        <w:t>written</w:t>
      </w:r>
      <w:r>
        <w:rPr>
          <w:spacing w:val="-3"/>
          <w:sz w:val="18"/>
        </w:rPr>
        <w:t xml:space="preserve"> </w:t>
      </w:r>
      <w:r>
        <w:rPr>
          <w:sz w:val="18"/>
        </w:rPr>
        <w:t>submission,</w:t>
      </w:r>
      <w:r>
        <w:rPr>
          <w:spacing w:val="-1"/>
          <w:sz w:val="18"/>
        </w:rPr>
        <w:t xml:space="preserve"> </w:t>
      </w:r>
      <w:r>
        <w:rPr>
          <w:sz w:val="18"/>
        </w:rPr>
        <w:t>para.</w:t>
      </w:r>
      <w:r>
        <w:rPr>
          <w:spacing w:val="-6"/>
          <w:sz w:val="18"/>
        </w:rPr>
        <w:t xml:space="preserve"> </w:t>
      </w:r>
      <w:r>
        <w:rPr>
          <w:sz w:val="18"/>
        </w:rPr>
        <w:t>1106.</w:t>
      </w:r>
    </w:p>
    <w:p w14:paraId="3364E509" w14:textId="77777777" w:rsidR="00BD462C" w:rsidRDefault="00BD462C">
      <w:pPr>
        <w:rPr>
          <w:sz w:val="18"/>
        </w:rPr>
        <w:sectPr w:rsidR="00BD462C">
          <w:pgSz w:w="11910" w:h="16840"/>
          <w:pgMar w:top="860" w:right="500" w:bottom="780" w:left="1280" w:header="566" w:footer="590" w:gutter="0"/>
          <w:cols w:space="720"/>
        </w:sectPr>
      </w:pPr>
    </w:p>
    <w:p w14:paraId="40B362E9"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3CE659EA"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6C14349B"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5E330CE7" w14:textId="77777777" w:rsidR="00BD462C" w:rsidRDefault="00033D0F">
      <w:pPr>
        <w:pStyle w:val="ListParagraph"/>
        <w:numPr>
          <w:ilvl w:val="1"/>
          <w:numId w:val="9"/>
        </w:numPr>
        <w:tabs>
          <w:tab w:val="left" w:pos="4388"/>
          <w:tab w:val="left" w:pos="4389"/>
        </w:tabs>
        <w:spacing w:before="102"/>
        <w:rPr>
          <w:i/>
          <w:sz w:val="24"/>
        </w:rPr>
      </w:pPr>
      <w:bookmarkStart w:id="1934" w:name="ii._Casella_Wines,_Swan_Vintage,_and_All"/>
      <w:bookmarkEnd w:id="1934"/>
      <w:r>
        <w:rPr>
          <w:i/>
          <w:sz w:val="24"/>
        </w:rPr>
        <w:t>Casella</w:t>
      </w:r>
      <w:r>
        <w:rPr>
          <w:i/>
          <w:spacing w:val="-2"/>
          <w:sz w:val="24"/>
        </w:rPr>
        <w:t xml:space="preserve"> </w:t>
      </w:r>
      <w:r>
        <w:rPr>
          <w:i/>
          <w:sz w:val="24"/>
        </w:rPr>
        <w:t>Wines,</w:t>
      </w:r>
      <w:r>
        <w:rPr>
          <w:i/>
          <w:spacing w:val="-5"/>
          <w:sz w:val="24"/>
        </w:rPr>
        <w:t xml:space="preserve"> </w:t>
      </w:r>
      <w:r>
        <w:rPr>
          <w:i/>
          <w:sz w:val="24"/>
        </w:rPr>
        <w:t>Swan</w:t>
      </w:r>
      <w:r>
        <w:rPr>
          <w:i/>
          <w:spacing w:val="-2"/>
          <w:sz w:val="24"/>
        </w:rPr>
        <w:t xml:space="preserve"> </w:t>
      </w:r>
      <w:r>
        <w:rPr>
          <w:i/>
          <w:sz w:val="24"/>
        </w:rPr>
        <w:t>Vintage, and</w:t>
      </w:r>
      <w:r>
        <w:rPr>
          <w:i/>
          <w:spacing w:val="-2"/>
          <w:sz w:val="24"/>
        </w:rPr>
        <w:t xml:space="preserve"> </w:t>
      </w:r>
      <w:r>
        <w:rPr>
          <w:i/>
          <w:sz w:val="24"/>
        </w:rPr>
        <w:t xml:space="preserve">All </w:t>
      </w:r>
      <w:r>
        <w:rPr>
          <w:i/>
          <w:spacing w:val="-2"/>
          <w:sz w:val="24"/>
        </w:rPr>
        <w:t>Others</w:t>
      </w:r>
    </w:p>
    <w:p w14:paraId="6782D7A7" w14:textId="77777777" w:rsidR="00BD462C" w:rsidRDefault="00BD462C">
      <w:pPr>
        <w:pStyle w:val="BodyText"/>
        <w:spacing w:before="7"/>
        <w:rPr>
          <w:i/>
          <w:sz w:val="20"/>
        </w:rPr>
      </w:pPr>
    </w:p>
    <w:p w14:paraId="2198046D" w14:textId="10296574" w:rsidR="00BD462C" w:rsidRDefault="00D443C8">
      <w:pPr>
        <w:pStyle w:val="BodyText"/>
        <w:spacing w:before="56" w:line="360" w:lineRule="auto"/>
        <w:ind w:left="135" w:right="913"/>
        <w:jc w:val="both"/>
      </w:pPr>
      <w:r>
        <w:rPr>
          <w:noProof/>
        </w:rPr>
        <w:t>998.</w:t>
      </w:r>
      <w:r w:rsidR="00033D0F">
        <w:rPr>
          <w:rFonts w:ascii="Times New Roman"/>
          <w:spacing w:val="80"/>
          <w:position w:val="1"/>
          <w:sz w:val="20"/>
        </w:rPr>
        <w:t xml:space="preserve"> </w:t>
      </w:r>
      <w:r w:rsidR="00033D0F">
        <w:rPr>
          <w:position w:val="1"/>
        </w:rPr>
        <w:t>China also misconstrues Australia's arguments concerning MOFCOM's failure to</w:t>
      </w:r>
      <w:r w:rsidR="00033D0F">
        <w:rPr>
          <w:spacing w:val="40"/>
          <w:position w:val="1"/>
        </w:rPr>
        <w:t xml:space="preserve"> </w:t>
      </w:r>
      <w:r w:rsidR="00033D0F">
        <w:t>provide a full explanation of its methodology with respect to relevant information on the adjustments to the export price for Casella Wines and Swan Vintage. Australia's argument is that MOFCOM failed to provide all relevant information regarding the nature or quantum of the adjustments that it accepted (i.e., an indicative range),</w:t>
      </w:r>
      <w:hyperlink w:anchor="_bookmark1668" w:history="1">
        <w:r w:rsidR="00033D0F">
          <w:rPr>
            <w:vertAlign w:val="superscript"/>
          </w:rPr>
          <w:t>1449</w:t>
        </w:r>
      </w:hyperlink>
      <w:r w:rsidR="00033D0F">
        <w:t xml:space="preserve"> not that the quantum itself should have been disclosed to Casella Wines and Swan Vintage. Information relating to the nature or quantum of adjustments was material information considered</w:t>
      </w:r>
      <w:r w:rsidR="00033D0F">
        <w:rPr>
          <w:spacing w:val="-1"/>
        </w:rPr>
        <w:t xml:space="preserve"> </w:t>
      </w:r>
      <w:r w:rsidR="00033D0F">
        <w:t>by the investigating authority in order to determine the dumping margin of the sampled companies. Non- confidential</w:t>
      </w:r>
      <w:r w:rsidR="00033D0F">
        <w:rPr>
          <w:spacing w:val="-6"/>
        </w:rPr>
        <w:t xml:space="preserve"> </w:t>
      </w:r>
      <w:r w:rsidR="00033D0F">
        <w:t>information</w:t>
      </w:r>
      <w:r w:rsidR="00033D0F">
        <w:rPr>
          <w:spacing w:val="-10"/>
        </w:rPr>
        <w:t xml:space="preserve"> </w:t>
      </w:r>
      <w:r w:rsidR="00033D0F">
        <w:t>relating</w:t>
      </w:r>
      <w:r w:rsidR="00033D0F">
        <w:rPr>
          <w:spacing w:val="-11"/>
        </w:rPr>
        <w:t xml:space="preserve"> </w:t>
      </w:r>
      <w:r w:rsidR="00033D0F">
        <w:t>to</w:t>
      </w:r>
      <w:r w:rsidR="00033D0F">
        <w:rPr>
          <w:spacing w:val="-11"/>
        </w:rPr>
        <w:t xml:space="preserve"> </w:t>
      </w:r>
      <w:r w:rsidR="00033D0F">
        <w:t>the</w:t>
      </w:r>
      <w:r w:rsidR="00033D0F">
        <w:rPr>
          <w:spacing w:val="-8"/>
        </w:rPr>
        <w:t xml:space="preserve"> </w:t>
      </w:r>
      <w:r w:rsidR="00033D0F">
        <w:t>quantum</w:t>
      </w:r>
      <w:r w:rsidR="00033D0F">
        <w:rPr>
          <w:spacing w:val="-9"/>
        </w:rPr>
        <w:t xml:space="preserve"> </w:t>
      </w:r>
      <w:r w:rsidR="00033D0F">
        <w:t>of</w:t>
      </w:r>
      <w:r w:rsidR="00033D0F">
        <w:rPr>
          <w:spacing w:val="-10"/>
        </w:rPr>
        <w:t xml:space="preserve"> </w:t>
      </w:r>
      <w:r w:rsidR="00033D0F">
        <w:t>adjustments,</w:t>
      </w:r>
      <w:r w:rsidR="00033D0F">
        <w:rPr>
          <w:spacing w:val="-11"/>
        </w:rPr>
        <w:t xml:space="preserve"> </w:t>
      </w:r>
      <w:r w:rsidR="00033D0F">
        <w:t>such</w:t>
      </w:r>
      <w:r w:rsidR="00033D0F">
        <w:rPr>
          <w:spacing w:val="-10"/>
        </w:rPr>
        <w:t xml:space="preserve"> </w:t>
      </w:r>
      <w:r w:rsidR="00033D0F">
        <w:t>as</w:t>
      </w:r>
      <w:r w:rsidR="00033D0F">
        <w:rPr>
          <w:spacing w:val="-7"/>
        </w:rPr>
        <w:t xml:space="preserve"> </w:t>
      </w:r>
      <w:r w:rsidR="00033D0F">
        <w:t>the</w:t>
      </w:r>
      <w:r w:rsidR="00033D0F">
        <w:rPr>
          <w:spacing w:val="-13"/>
        </w:rPr>
        <w:t xml:space="preserve"> </w:t>
      </w:r>
      <w:r w:rsidR="00033D0F">
        <w:t>indicative</w:t>
      </w:r>
      <w:r w:rsidR="00033D0F">
        <w:rPr>
          <w:spacing w:val="-8"/>
        </w:rPr>
        <w:t xml:space="preserve"> </w:t>
      </w:r>
      <w:r w:rsidR="00033D0F">
        <w:t>range, would</w:t>
      </w:r>
      <w:r w:rsidR="00033D0F">
        <w:rPr>
          <w:spacing w:val="-1"/>
        </w:rPr>
        <w:t xml:space="preserve"> </w:t>
      </w:r>
      <w:r w:rsidR="00033D0F">
        <w:t>have permitted</w:t>
      </w:r>
      <w:r w:rsidR="00033D0F">
        <w:rPr>
          <w:spacing w:val="-5"/>
        </w:rPr>
        <w:t xml:space="preserve"> </w:t>
      </w:r>
      <w:r w:rsidR="00033D0F">
        <w:t>interested</w:t>
      </w:r>
      <w:r w:rsidR="00033D0F">
        <w:rPr>
          <w:spacing w:val="-1"/>
        </w:rPr>
        <w:t xml:space="preserve"> </w:t>
      </w:r>
      <w:r w:rsidR="00033D0F">
        <w:t>parties to</w:t>
      </w:r>
      <w:r w:rsidR="00033D0F">
        <w:rPr>
          <w:spacing w:val="-1"/>
        </w:rPr>
        <w:t xml:space="preserve"> </w:t>
      </w:r>
      <w:r w:rsidR="00033D0F">
        <w:t>have</w:t>
      </w:r>
      <w:r w:rsidR="00033D0F">
        <w:rPr>
          <w:spacing w:val="-3"/>
        </w:rPr>
        <w:t xml:space="preserve"> </w:t>
      </w:r>
      <w:r w:rsidR="00033D0F">
        <w:t>a reasonable understanding of what factors MOFCOM considered when determining the adjustments.</w:t>
      </w:r>
    </w:p>
    <w:p w14:paraId="5FEE8C82" w14:textId="77777777" w:rsidR="00BD462C" w:rsidRDefault="00BD462C">
      <w:pPr>
        <w:pStyle w:val="BodyText"/>
        <w:spacing w:before="9"/>
        <w:rPr>
          <w:sz w:val="8"/>
        </w:rPr>
      </w:pPr>
    </w:p>
    <w:p w14:paraId="5D9138EE" w14:textId="1E534900" w:rsidR="00BD462C" w:rsidRDefault="00D443C8">
      <w:pPr>
        <w:pStyle w:val="BodyText"/>
        <w:spacing w:before="56" w:line="360" w:lineRule="auto"/>
        <w:ind w:left="136" w:right="911"/>
        <w:jc w:val="both"/>
      </w:pPr>
      <w:r>
        <w:rPr>
          <w:noProof/>
        </w:rPr>
        <w:t>999.</w:t>
      </w:r>
      <w:r w:rsidR="00033D0F">
        <w:rPr>
          <w:rFonts w:ascii="Times New Roman" w:hAnsi="Times New Roman"/>
          <w:spacing w:val="80"/>
          <w:position w:val="1"/>
          <w:sz w:val="20"/>
        </w:rPr>
        <w:t xml:space="preserve">  </w:t>
      </w:r>
      <w:r w:rsidR="00033D0F">
        <w:rPr>
          <w:position w:val="1"/>
        </w:rPr>
        <w:t xml:space="preserve">China alleges that "the case of </w:t>
      </w:r>
      <w:r w:rsidR="00033D0F">
        <w:rPr>
          <w:i/>
          <w:position w:val="1"/>
        </w:rPr>
        <w:t xml:space="preserve">EU – Footwear (China) </w:t>
      </w:r>
      <w:r w:rsidR="00033D0F">
        <w:rPr>
          <w:position w:val="1"/>
        </w:rPr>
        <w:t xml:space="preserve">stands for the proposition that </w:t>
      </w:r>
      <w:r w:rsidR="00033D0F">
        <w:t>the 'precise level' (i.e. quantum)</w:t>
      </w:r>
      <w:r w:rsidR="00033D0F">
        <w:rPr>
          <w:spacing w:val="-1"/>
        </w:rPr>
        <w:t xml:space="preserve"> </w:t>
      </w:r>
      <w:r w:rsidR="00033D0F">
        <w:t>of</w:t>
      </w:r>
      <w:r w:rsidR="00033D0F">
        <w:rPr>
          <w:spacing w:val="-1"/>
        </w:rPr>
        <w:t xml:space="preserve"> </w:t>
      </w:r>
      <w:r w:rsidR="00033D0F">
        <w:t>adjustments made by an</w:t>
      </w:r>
      <w:r w:rsidR="00033D0F">
        <w:rPr>
          <w:spacing w:val="-2"/>
        </w:rPr>
        <w:t xml:space="preserve"> </w:t>
      </w:r>
      <w:r w:rsidR="00033D0F">
        <w:t>investigating authority need</w:t>
      </w:r>
      <w:r w:rsidR="00033D0F">
        <w:rPr>
          <w:spacing w:val="-2"/>
        </w:rPr>
        <w:t xml:space="preserve"> </w:t>
      </w:r>
      <w:r w:rsidR="00033D0F">
        <w:t>not be</w:t>
      </w:r>
      <w:r w:rsidR="00033D0F">
        <w:rPr>
          <w:spacing w:val="-7"/>
        </w:rPr>
        <w:t xml:space="preserve"> </w:t>
      </w:r>
      <w:r w:rsidR="00033D0F">
        <w:t>disclosed"</w:t>
      </w:r>
      <w:r w:rsidR="00033D0F">
        <w:rPr>
          <w:spacing w:val="-8"/>
        </w:rPr>
        <w:t xml:space="preserve"> </w:t>
      </w:r>
      <w:r w:rsidR="00033D0F">
        <w:t>under</w:t>
      </w:r>
      <w:r w:rsidR="00033D0F">
        <w:rPr>
          <w:spacing w:val="-10"/>
        </w:rPr>
        <w:t xml:space="preserve"> </w:t>
      </w:r>
      <w:r w:rsidR="00033D0F">
        <w:t>Articles</w:t>
      </w:r>
      <w:r w:rsidR="00033D0F">
        <w:rPr>
          <w:spacing w:val="-6"/>
        </w:rPr>
        <w:t xml:space="preserve"> </w:t>
      </w:r>
      <w:r w:rsidR="00033D0F">
        <w:t>12.2</w:t>
      </w:r>
      <w:r w:rsidR="00033D0F">
        <w:rPr>
          <w:spacing w:val="-9"/>
        </w:rPr>
        <w:t xml:space="preserve"> </w:t>
      </w:r>
      <w:r w:rsidR="00033D0F">
        <w:t>and</w:t>
      </w:r>
      <w:r w:rsidR="00033D0F">
        <w:rPr>
          <w:spacing w:val="-4"/>
        </w:rPr>
        <w:t xml:space="preserve"> </w:t>
      </w:r>
      <w:r w:rsidR="00033D0F">
        <w:t>12.2.2.</w:t>
      </w:r>
      <w:hyperlink w:anchor="_bookmark1669" w:history="1">
        <w:r w:rsidR="00033D0F">
          <w:rPr>
            <w:vertAlign w:val="superscript"/>
          </w:rPr>
          <w:t>1450</w:t>
        </w:r>
      </w:hyperlink>
      <w:r w:rsidR="00033D0F">
        <w:rPr>
          <w:spacing w:val="-6"/>
        </w:rPr>
        <w:t xml:space="preserve"> </w:t>
      </w:r>
      <w:r w:rsidR="00033D0F">
        <w:t>However,</w:t>
      </w:r>
      <w:r w:rsidR="00033D0F">
        <w:rPr>
          <w:spacing w:val="-5"/>
        </w:rPr>
        <w:t xml:space="preserve"> </w:t>
      </w:r>
      <w:r w:rsidR="00033D0F">
        <w:t>Australia</w:t>
      </w:r>
      <w:r w:rsidR="00033D0F">
        <w:rPr>
          <w:spacing w:val="-8"/>
        </w:rPr>
        <w:t xml:space="preserve"> </w:t>
      </w:r>
      <w:r w:rsidR="00033D0F">
        <w:t>disagrees</w:t>
      </w:r>
      <w:r w:rsidR="00033D0F">
        <w:rPr>
          <w:spacing w:val="-6"/>
        </w:rPr>
        <w:t xml:space="preserve"> </w:t>
      </w:r>
      <w:r w:rsidR="00033D0F">
        <w:t>that</w:t>
      </w:r>
      <w:r w:rsidR="00033D0F">
        <w:rPr>
          <w:spacing w:val="-7"/>
        </w:rPr>
        <w:t xml:space="preserve"> </w:t>
      </w:r>
      <w:r w:rsidR="00033D0F">
        <w:t>the</w:t>
      </w:r>
      <w:r w:rsidR="00033D0F">
        <w:rPr>
          <w:spacing w:val="-7"/>
        </w:rPr>
        <w:t xml:space="preserve"> </w:t>
      </w:r>
      <w:r w:rsidR="00033D0F">
        <w:t>panel's reasoning</w:t>
      </w:r>
      <w:r w:rsidR="00033D0F">
        <w:rPr>
          <w:spacing w:val="-4"/>
        </w:rPr>
        <w:t xml:space="preserve"> </w:t>
      </w:r>
      <w:r w:rsidR="00033D0F">
        <w:t>reflects</w:t>
      </w:r>
      <w:r w:rsidR="00033D0F">
        <w:rPr>
          <w:spacing w:val="-4"/>
        </w:rPr>
        <w:t xml:space="preserve"> </w:t>
      </w:r>
      <w:r w:rsidR="00033D0F">
        <w:t>this</w:t>
      </w:r>
      <w:r w:rsidR="00033D0F">
        <w:rPr>
          <w:spacing w:val="-4"/>
        </w:rPr>
        <w:t xml:space="preserve"> </w:t>
      </w:r>
      <w:r w:rsidR="00033D0F">
        <w:t>proposition</w:t>
      </w:r>
      <w:r w:rsidR="00033D0F">
        <w:rPr>
          <w:spacing w:val="-6"/>
        </w:rPr>
        <w:t xml:space="preserve"> </w:t>
      </w:r>
      <w:r w:rsidR="00033D0F">
        <w:t>as</w:t>
      </w:r>
      <w:r w:rsidR="00033D0F">
        <w:rPr>
          <w:spacing w:val="-8"/>
        </w:rPr>
        <w:t xml:space="preserve"> </w:t>
      </w:r>
      <w:r w:rsidR="00033D0F">
        <w:t>a</w:t>
      </w:r>
      <w:r w:rsidR="00033D0F">
        <w:rPr>
          <w:spacing w:val="-5"/>
        </w:rPr>
        <w:t xml:space="preserve"> </w:t>
      </w:r>
      <w:r w:rsidR="00033D0F">
        <w:t>general</w:t>
      </w:r>
      <w:r w:rsidR="00033D0F">
        <w:rPr>
          <w:spacing w:val="-3"/>
        </w:rPr>
        <w:t xml:space="preserve"> </w:t>
      </w:r>
      <w:r w:rsidR="00033D0F">
        <w:t>rule.</w:t>
      </w:r>
      <w:r w:rsidR="00033D0F">
        <w:rPr>
          <w:spacing w:val="-4"/>
        </w:rPr>
        <w:t xml:space="preserve"> </w:t>
      </w:r>
      <w:r w:rsidR="00033D0F">
        <w:t>Rather,</w:t>
      </w:r>
      <w:r w:rsidR="00033D0F">
        <w:rPr>
          <w:spacing w:val="-3"/>
        </w:rPr>
        <w:t xml:space="preserve"> </w:t>
      </w:r>
      <w:r w:rsidR="00033D0F">
        <w:t>the</w:t>
      </w:r>
      <w:r w:rsidR="00033D0F">
        <w:rPr>
          <w:spacing w:val="-4"/>
        </w:rPr>
        <w:t xml:space="preserve"> </w:t>
      </w:r>
      <w:r w:rsidR="00033D0F">
        <w:t>panel</w:t>
      </w:r>
      <w:r w:rsidR="00033D0F">
        <w:rPr>
          <w:spacing w:val="-3"/>
        </w:rPr>
        <w:t xml:space="preserve"> </w:t>
      </w:r>
      <w:r w:rsidR="00033D0F">
        <w:t>considered</w:t>
      </w:r>
      <w:r w:rsidR="00033D0F">
        <w:rPr>
          <w:spacing w:val="-6"/>
        </w:rPr>
        <w:t xml:space="preserve"> </w:t>
      </w:r>
      <w:r w:rsidR="00033D0F">
        <w:t>in</w:t>
      </w:r>
      <w:r w:rsidR="00033D0F">
        <w:rPr>
          <w:spacing w:val="-6"/>
        </w:rPr>
        <w:t xml:space="preserve"> </w:t>
      </w:r>
      <w:r w:rsidR="00033D0F">
        <w:t>that</w:t>
      </w:r>
      <w:r w:rsidR="00033D0F">
        <w:rPr>
          <w:spacing w:val="-4"/>
        </w:rPr>
        <w:t xml:space="preserve"> </w:t>
      </w:r>
      <w:r w:rsidR="00033D0F">
        <w:t>case that</w:t>
      </w:r>
      <w:r w:rsidR="00033D0F">
        <w:rPr>
          <w:spacing w:val="-3"/>
        </w:rPr>
        <w:t xml:space="preserve"> </w:t>
      </w:r>
      <w:r w:rsidR="00033D0F">
        <w:t>China</w:t>
      </w:r>
      <w:r w:rsidR="00033D0F">
        <w:rPr>
          <w:spacing w:val="-4"/>
        </w:rPr>
        <w:t xml:space="preserve"> </w:t>
      </w:r>
      <w:r w:rsidR="00033D0F">
        <w:t>did</w:t>
      </w:r>
      <w:r w:rsidR="00033D0F">
        <w:rPr>
          <w:spacing w:val="-5"/>
        </w:rPr>
        <w:t xml:space="preserve"> </w:t>
      </w:r>
      <w:r w:rsidR="00033D0F">
        <w:t>not</w:t>
      </w:r>
      <w:r w:rsidR="00033D0F">
        <w:rPr>
          <w:spacing w:val="-3"/>
        </w:rPr>
        <w:t xml:space="preserve"> </w:t>
      </w:r>
      <w:r w:rsidR="00033D0F">
        <w:t>demonstrate</w:t>
      </w:r>
      <w:r w:rsidR="00033D0F">
        <w:rPr>
          <w:spacing w:val="-8"/>
        </w:rPr>
        <w:t xml:space="preserve"> </w:t>
      </w:r>
      <w:r w:rsidR="00033D0F">
        <w:t>that</w:t>
      </w:r>
      <w:r w:rsidR="00033D0F">
        <w:rPr>
          <w:spacing w:val="-3"/>
        </w:rPr>
        <w:t xml:space="preserve"> </w:t>
      </w:r>
      <w:r w:rsidR="00033D0F">
        <w:t>the</w:t>
      </w:r>
      <w:r w:rsidR="00033D0F">
        <w:rPr>
          <w:spacing w:val="-4"/>
        </w:rPr>
        <w:t xml:space="preserve"> </w:t>
      </w:r>
      <w:r w:rsidR="00033D0F">
        <w:t>precise</w:t>
      </w:r>
      <w:r w:rsidR="00033D0F">
        <w:rPr>
          <w:spacing w:val="-8"/>
        </w:rPr>
        <w:t xml:space="preserve"> </w:t>
      </w:r>
      <w:r w:rsidR="00033D0F">
        <w:t>level</w:t>
      </w:r>
      <w:r w:rsidR="00033D0F">
        <w:rPr>
          <w:spacing w:val="-2"/>
        </w:rPr>
        <w:t xml:space="preserve"> </w:t>
      </w:r>
      <w:r w:rsidR="00033D0F">
        <w:t>of</w:t>
      </w:r>
      <w:r w:rsidR="00033D0F">
        <w:rPr>
          <w:spacing w:val="-5"/>
        </w:rPr>
        <w:t xml:space="preserve"> </w:t>
      </w:r>
      <w:r w:rsidR="00033D0F">
        <w:t>the</w:t>
      </w:r>
      <w:r w:rsidR="00033D0F">
        <w:rPr>
          <w:spacing w:val="-4"/>
        </w:rPr>
        <w:t xml:space="preserve"> </w:t>
      </w:r>
      <w:r w:rsidR="00033D0F">
        <w:t>adjustment</w:t>
      </w:r>
      <w:r w:rsidR="00033D0F">
        <w:rPr>
          <w:spacing w:val="-3"/>
        </w:rPr>
        <w:t xml:space="preserve"> </w:t>
      </w:r>
      <w:r w:rsidR="00033D0F">
        <w:t>was</w:t>
      </w:r>
      <w:r w:rsidR="00033D0F">
        <w:rPr>
          <w:spacing w:val="-3"/>
        </w:rPr>
        <w:t xml:space="preserve"> </w:t>
      </w:r>
      <w:r w:rsidR="00033D0F">
        <w:t>considered</w:t>
      </w:r>
      <w:r w:rsidR="00033D0F">
        <w:rPr>
          <w:spacing w:val="-5"/>
        </w:rPr>
        <w:t xml:space="preserve"> </w:t>
      </w:r>
      <w:r w:rsidR="00033D0F">
        <w:t>to</w:t>
      </w:r>
      <w:r w:rsidR="00033D0F">
        <w:rPr>
          <w:spacing w:val="-6"/>
        </w:rPr>
        <w:t xml:space="preserve"> </w:t>
      </w:r>
      <w:r w:rsidR="00033D0F">
        <w:t>be material by the investigating authority.</w:t>
      </w:r>
      <w:hyperlink w:anchor="_bookmark1670" w:history="1">
        <w:r w:rsidR="00033D0F">
          <w:rPr>
            <w:vertAlign w:val="superscript"/>
          </w:rPr>
          <w:t>1451</w:t>
        </w:r>
      </w:hyperlink>
      <w:r w:rsidR="00033D0F">
        <w:t xml:space="preserve"> In the circumstances of the current dispute, Australia submits that the quantum of adjustments was clearly material to the investigating authority's</w:t>
      </w:r>
      <w:r w:rsidR="00033D0F">
        <w:rPr>
          <w:spacing w:val="-5"/>
        </w:rPr>
        <w:t xml:space="preserve"> </w:t>
      </w:r>
      <w:r w:rsidR="00033D0F">
        <w:t>determinations</w:t>
      </w:r>
      <w:r w:rsidR="00033D0F">
        <w:rPr>
          <w:spacing w:val="-5"/>
        </w:rPr>
        <w:t xml:space="preserve"> </w:t>
      </w:r>
      <w:r w:rsidR="00033D0F">
        <w:t>with</w:t>
      </w:r>
      <w:r w:rsidR="00033D0F">
        <w:rPr>
          <w:spacing w:val="-8"/>
        </w:rPr>
        <w:t xml:space="preserve"> </w:t>
      </w:r>
      <w:r w:rsidR="00033D0F">
        <w:t>respect</w:t>
      </w:r>
      <w:r w:rsidR="00033D0F">
        <w:rPr>
          <w:spacing w:val="-6"/>
        </w:rPr>
        <w:t xml:space="preserve"> </w:t>
      </w:r>
      <w:r w:rsidR="00033D0F">
        <w:t>to</w:t>
      </w:r>
      <w:r w:rsidR="00033D0F">
        <w:rPr>
          <w:spacing w:val="-9"/>
        </w:rPr>
        <w:t xml:space="preserve"> </w:t>
      </w:r>
      <w:r w:rsidR="00033D0F">
        <w:t>Casella</w:t>
      </w:r>
      <w:r w:rsidR="00033D0F">
        <w:rPr>
          <w:spacing w:val="-7"/>
        </w:rPr>
        <w:t xml:space="preserve"> </w:t>
      </w:r>
      <w:r w:rsidR="00033D0F">
        <w:t>Wines</w:t>
      </w:r>
      <w:r w:rsidR="00033D0F">
        <w:rPr>
          <w:spacing w:val="-5"/>
        </w:rPr>
        <w:t xml:space="preserve"> </w:t>
      </w:r>
      <w:r w:rsidR="00033D0F">
        <w:t>and</w:t>
      </w:r>
      <w:r w:rsidR="00033D0F">
        <w:rPr>
          <w:spacing w:val="-8"/>
        </w:rPr>
        <w:t xml:space="preserve"> </w:t>
      </w:r>
      <w:r w:rsidR="00033D0F">
        <w:t>Swan</w:t>
      </w:r>
      <w:r w:rsidR="00033D0F">
        <w:rPr>
          <w:spacing w:val="-8"/>
        </w:rPr>
        <w:t xml:space="preserve"> </w:t>
      </w:r>
      <w:r w:rsidR="00033D0F">
        <w:t>Vintage</w:t>
      </w:r>
      <w:r w:rsidR="00033D0F">
        <w:rPr>
          <w:spacing w:val="-6"/>
        </w:rPr>
        <w:t xml:space="preserve"> </w:t>
      </w:r>
      <w:r w:rsidR="00033D0F">
        <w:t>as</w:t>
      </w:r>
      <w:r w:rsidR="00033D0F">
        <w:rPr>
          <w:spacing w:val="-5"/>
        </w:rPr>
        <w:t xml:space="preserve"> </w:t>
      </w:r>
      <w:r w:rsidR="00033D0F">
        <w:t>for</w:t>
      </w:r>
      <w:r w:rsidR="00033D0F">
        <w:rPr>
          <w:spacing w:val="-4"/>
        </w:rPr>
        <w:t xml:space="preserve"> </w:t>
      </w:r>
      <w:r w:rsidR="00033D0F">
        <w:t>the</w:t>
      </w:r>
      <w:r w:rsidR="00033D0F">
        <w:rPr>
          <w:spacing w:val="-2"/>
        </w:rPr>
        <w:t xml:space="preserve"> </w:t>
      </w:r>
      <w:r w:rsidR="00033D0F">
        <w:t>reasons outlined above.</w:t>
      </w:r>
    </w:p>
    <w:p w14:paraId="2741FD45" w14:textId="77777777" w:rsidR="00BD462C" w:rsidRDefault="00BD462C">
      <w:pPr>
        <w:pStyle w:val="BodyText"/>
        <w:spacing w:before="5"/>
        <w:rPr>
          <w:sz w:val="8"/>
        </w:rPr>
      </w:pPr>
    </w:p>
    <w:p w14:paraId="299E0EBE" w14:textId="369DC64D" w:rsidR="00BD462C" w:rsidRDefault="00D443C8">
      <w:pPr>
        <w:pStyle w:val="BodyText"/>
        <w:spacing w:before="56" w:line="360" w:lineRule="auto"/>
        <w:ind w:left="135" w:right="915" w:firstLine="9"/>
        <w:jc w:val="both"/>
      </w:pPr>
      <w:r>
        <w:rPr>
          <w:noProof/>
        </w:rPr>
        <w:t>1000.</w:t>
      </w:r>
      <w:r w:rsidR="00033D0F">
        <w:rPr>
          <w:rFonts w:ascii="Times New Roman" w:hAnsi="Times New Roman"/>
          <w:spacing w:val="80"/>
          <w:w w:val="150"/>
          <w:position w:val="1"/>
          <w:sz w:val="20"/>
        </w:rPr>
        <w:t xml:space="preserve"> </w:t>
      </w:r>
      <w:r w:rsidR="00033D0F">
        <w:rPr>
          <w:position w:val="1"/>
        </w:rPr>
        <w:t>With</w:t>
      </w:r>
      <w:r w:rsidR="00033D0F">
        <w:rPr>
          <w:spacing w:val="-5"/>
          <w:position w:val="1"/>
        </w:rPr>
        <w:t xml:space="preserve"> </w:t>
      </w:r>
      <w:r w:rsidR="00033D0F">
        <w:rPr>
          <w:position w:val="1"/>
        </w:rPr>
        <w:t>respect</w:t>
      </w:r>
      <w:r w:rsidR="00033D0F">
        <w:rPr>
          <w:spacing w:val="-8"/>
          <w:position w:val="1"/>
        </w:rPr>
        <w:t xml:space="preserve"> </w:t>
      </w:r>
      <w:r w:rsidR="00033D0F">
        <w:rPr>
          <w:position w:val="1"/>
        </w:rPr>
        <w:t>to</w:t>
      </w:r>
      <w:r w:rsidR="00033D0F">
        <w:rPr>
          <w:spacing w:val="-6"/>
          <w:position w:val="1"/>
        </w:rPr>
        <w:t xml:space="preserve"> </w:t>
      </w:r>
      <w:r w:rsidR="00033D0F">
        <w:rPr>
          <w:position w:val="1"/>
        </w:rPr>
        <w:t>the</w:t>
      </w:r>
      <w:r w:rsidR="00033D0F">
        <w:rPr>
          <w:spacing w:val="-3"/>
          <w:position w:val="1"/>
        </w:rPr>
        <w:t xml:space="preserve"> </w:t>
      </w:r>
      <w:r w:rsidR="00033D0F">
        <w:rPr>
          <w:position w:val="1"/>
        </w:rPr>
        <w:t>"All</w:t>
      </w:r>
      <w:r w:rsidR="00033D0F">
        <w:rPr>
          <w:spacing w:val="-1"/>
          <w:position w:val="1"/>
        </w:rPr>
        <w:t xml:space="preserve"> </w:t>
      </w:r>
      <w:r w:rsidR="00033D0F">
        <w:rPr>
          <w:position w:val="1"/>
        </w:rPr>
        <w:t>Others"</w:t>
      </w:r>
      <w:r w:rsidR="00033D0F">
        <w:rPr>
          <w:spacing w:val="-4"/>
          <w:position w:val="1"/>
        </w:rPr>
        <w:t xml:space="preserve"> </w:t>
      </w:r>
      <w:r w:rsidR="00033D0F">
        <w:rPr>
          <w:position w:val="1"/>
        </w:rPr>
        <w:t>category</w:t>
      </w:r>
      <w:r w:rsidR="00033D0F">
        <w:rPr>
          <w:spacing w:val="-2"/>
          <w:position w:val="1"/>
        </w:rPr>
        <w:t xml:space="preserve"> </w:t>
      </w:r>
      <w:r w:rsidR="00033D0F">
        <w:rPr>
          <w:position w:val="1"/>
        </w:rPr>
        <w:t>of</w:t>
      </w:r>
      <w:r w:rsidR="00033D0F">
        <w:rPr>
          <w:spacing w:val="-5"/>
          <w:position w:val="1"/>
        </w:rPr>
        <w:t xml:space="preserve"> </w:t>
      </w:r>
      <w:r w:rsidR="00033D0F">
        <w:rPr>
          <w:position w:val="1"/>
        </w:rPr>
        <w:t>Australian</w:t>
      </w:r>
      <w:r w:rsidR="00033D0F">
        <w:rPr>
          <w:spacing w:val="-5"/>
          <w:position w:val="1"/>
        </w:rPr>
        <w:t xml:space="preserve"> </w:t>
      </w:r>
      <w:r w:rsidR="00033D0F">
        <w:rPr>
          <w:position w:val="1"/>
        </w:rPr>
        <w:t>exporters,</w:t>
      </w:r>
      <w:r w:rsidR="00033D0F">
        <w:rPr>
          <w:spacing w:val="-6"/>
          <w:position w:val="1"/>
        </w:rPr>
        <w:t xml:space="preserve"> </w:t>
      </w:r>
      <w:r w:rsidR="00033D0F">
        <w:rPr>
          <w:position w:val="1"/>
        </w:rPr>
        <w:t>China</w:t>
      </w:r>
      <w:r w:rsidR="00033D0F">
        <w:rPr>
          <w:spacing w:val="-4"/>
          <w:position w:val="1"/>
        </w:rPr>
        <w:t xml:space="preserve"> </w:t>
      </w:r>
      <w:r w:rsidR="00033D0F">
        <w:rPr>
          <w:position w:val="1"/>
        </w:rPr>
        <w:t>simply</w:t>
      </w:r>
      <w:r w:rsidR="00033D0F">
        <w:rPr>
          <w:spacing w:val="-2"/>
          <w:position w:val="1"/>
        </w:rPr>
        <w:t xml:space="preserve"> </w:t>
      </w:r>
      <w:r w:rsidR="00033D0F">
        <w:rPr>
          <w:position w:val="1"/>
        </w:rPr>
        <w:t xml:space="preserve">quotes </w:t>
      </w:r>
      <w:r w:rsidR="00033D0F">
        <w:t>a passage from MOFCOM's Final Determination and states that "[t]</w:t>
      </w:r>
      <w:proofErr w:type="spellStart"/>
      <w:r w:rsidR="00033D0F">
        <w:t>hus</w:t>
      </w:r>
      <w:proofErr w:type="spellEnd"/>
      <w:r w:rsidR="00033D0F">
        <w:t>, the basis of fair comparison</w:t>
      </w:r>
      <w:r w:rsidR="00033D0F">
        <w:rPr>
          <w:spacing w:val="-14"/>
        </w:rPr>
        <w:t xml:space="preserve"> </w:t>
      </w:r>
      <w:r w:rsidR="00033D0F">
        <w:t>for</w:t>
      </w:r>
      <w:r w:rsidR="00033D0F">
        <w:rPr>
          <w:spacing w:val="-10"/>
        </w:rPr>
        <w:t xml:space="preserve"> </w:t>
      </w:r>
      <w:r w:rsidR="00033D0F">
        <w:t>the</w:t>
      </w:r>
      <w:r w:rsidR="00033D0F">
        <w:rPr>
          <w:spacing w:val="-12"/>
        </w:rPr>
        <w:t xml:space="preserve"> </w:t>
      </w:r>
      <w:r w:rsidR="00033D0F">
        <w:t>'All</w:t>
      </w:r>
      <w:r w:rsidR="00033D0F">
        <w:rPr>
          <w:spacing w:val="-10"/>
        </w:rPr>
        <w:t xml:space="preserve"> </w:t>
      </w:r>
      <w:r w:rsidR="00033D0F">
        <w:t>Others'</w:t>
      </w:r>
      <w:r w:rsidR="00033D0F">
        <w:rPr>
          <w:spacing w:val="-13"/>
        </w:rPr>
        <w:t xml:space="preserve"> </w:t>
      </w:r>
      <w:r w:rsidR="00033D0F">
        <w:t>categories</w:t>
      </w:r>
      <w:r w:rsidR="00033D0F">
        <w:rPr>
          <w:spacing w:val="-10"/>
        </w:rPr>
        <w:t xml:space="preserve"> </w:t>
      </w:r>
      <w:r w:rsidR="00033D0F">
        <w:t>of</w:t>
      </w:r>
      <w:r w:rsidR="00033D0F">
        <w:rPr>
          <w:spacing w:val="-9"/>
        </w:rPr>
        <w:t xml:space="preserve"> </w:t>
      </w:r>
      <w:r w:rsidR="00033D0F">
        <w:t>companies</w:t>
      </w:r>
      <w:r w:rsidR="00033D0F">
        <w:rPr>
          <w:spacing w:val="-10"/>
        </w:rPr>
        <w:t xml:space="preserve"> </w:t>
      </w:r>
      <w:r w:rsidR="00033D0F">
        <w:t>is</w:t>
      </w:r>
      <w:r w:rsidR="00033D0F">
        <w:rPr>
          <w:spacing w:val="-11"/>
        </w:rPr>
        <w:t xml:space="preserve"> </w:t>
      </w:r>
      <w:r w:rsidR="00033D0F">
        <w:t>[…]</w:t>
      </w:r>
      <w:r w:rsidR="00033D0F">
        <w:rPr>
          <w:spacing w:val="-14"/>
        </w:rPr>
        <w:t xml:space="preserve"> </w:t>
      </w:r>
      <w:r w:rsidR="00033D0F">
        <w:t>clear".</w:t>
      </w:r>
      <w:r w:rsidR="00033D0F">
        <w:rPr>
          <w:spacing w:val="-1"/>
        </w:rPr>
        <w:t xml:space="preserve"> </w:t>
      </w:r>
      <w:hyperlink w:anchor="_bookmark1671" w:history="1">
        <w:r w:rsidR="00033D0F">
          <w:rPr>
            <w:vertAlign w:val="superscript"/>
          </w:rPr>
          <w:t>1452</w:t>
        </w:r>
      </w:hyperlink>
      <w:r w:rsidR="00033D0F">
        <w:rPr>
          <w:spacing w:val="-11"/>
        </w:rPr>
        <w:t xml:space="preserve"> </w:t>
      </w:r>
      <w:r w:rsidR="00033D0F">
        <w:t>However,</w:t>
      </w:r>
      <w:r w:rsidR="00033D0F">
        <w:rPr>
          <w:spacing w:val="-10"/>
        </w:rPr>
        <w:t xml:space="preserve"> </w:t>
      </w:r>
      <w:r w:rsidR="00033D0F">
        <w:t>the</w:t>
      </w:r>
      <w:r w:rsidR="00033D0F">
        <w:rPr>
          <w:spacing w:val="-12"/>
        </w:rPr>
        <w:t xml:space="preserve"> </w:t>
      </w:r>
      <w:r w:rsidR="00033D0F">
        <w:t>quoted passage</w:t>
      </w:r>
      <w:r w:rsidR="00033D0F">
        <w:rPr>
          <w:spacing w:val="-2"/>
        </w:rPr>
        <w:t xml:space="preserve"> </w:t>
      </w:r>
      <w:r w:rsidR="00033D0F">
        <w:t>is</w:t>
      </w:r>
      <w:r w:rsidR="00033D0F">
        <w:rPr>
          <w:spacing w:val="-1"/>
        </w:rPr>
        <w:t xml:space="preserve"> </w:t>
      </w:r>
      <w:r w:rsidR="00033D0F">
        <w:t>silent as</w:t>
      </w:r>
      <w:r w:rsidR="00033D0F">
        <w:rPr>
          <w:spacing w:val="-1"/>
        </w:rPr>
        <w:t xml:space="preserve"> </w:t>
      </w:r>
      <w:r w:rsidR="00033D0F">
        <w:t xml:space="preserve">to how MOFCOM conducted the comparison of normal value with export price for this group of exporters, let alone how MOFCOM ensured that it was a fair </w:t>
      </w:r>
      <w:r w:rsidR="00033D0F">
        <w:rPr>
          <w:spacing w:val="-2"/>
        </w:rPr>
        <w:t>comparison.</w:t>
      </w:r>
    </w:p>
    <w:p w14:paraId="2FA85E39" w14:textId="31631CD9" w:rsidR="00BD462C" w:rsidRDefault="006E6DEA">
      <w:pPr>
        <w:pStyle w:val="BodyText"/>
        <w:spacing w:before="8"/>
        <w:rPr>
          <w:sz w:val="27"/>
        </w:rPr>
      </w:pPr>
      <w:r>
        <w:rPr>
          <w:noProof/>
        </w:rPr>
        <mc:AlternateContent>
          <mc:Choice Requires="wps">
            <w:drawing>
              <wp:anchor distT="0" distB="0" distL="0" distR="0" simplePos="0" relativeHeight="488131072" behindDoc="1" locked="0" layoutInCell="1" allowOverlap="1" wp14:anchorId="425684C1" wp14:editId="0C2FBB61">
                <wp:simplePos x="0" y="0"/>
                <wp:positionH relativeFrom="page">
                  <wp:posOffset>812800</wp:posOffset>
                </wp:positionH>
                <wp:positionV relativeFrom="paragraph">
                  <wp:posOffset>215900</wp:posOffset>
                </wp:positionV>
                <wp:extent cx="1828800" cy="8890"/>
                <wp:effectExtent l="0" t="0" r="0" b="0"/>
                <wp:wrapTopAndBottom/>
                <wp:docPr id="103" name="docshape7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A6505F" id="docshape705" o:spid="_x0000_s1026" alt="&quot;&quot;" style="position:absolute;margin-left:64pt;margin-top:17pt;width:2in;height:.7pt;z-index:-1518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" fillcolor="black" stroked="f">
                <w10:wrap type="topAndBottom" anchorx="page"/>
              </v:rect>
            </w:pict>
          </mc:Fallback>
        </mc:AlternateContent>
      </w:r>
    </w:p>
    <w:p w14:paraId="69338A52" w14:textId="77777777" w:rsidR="00BD462C" w:rsidRDefault="00033D0F">
      <w:pPr>
        <w:spacing w:before="112"/>
        <w:ind w:left="135"/>
        <w:rPr>
          <w:sz w:val="18"/>
        </w:rPr>
      </w:pPr>
      <w:bookmarkStart w:id="1935" w:name="_bookmark1668"/>
      <w:bookmarkEnd w:id="1935"/>
      <w:r>
        <w:rPr>
          <w:position w:val="5"/>
          <w:sz w:val="12"/>
        </w:rPr>
        <w:t>1449</w:t>
      </w:r>
      <w:r>
        <w:rPr>
          <w:spacing w:val="12"/>
          <w:position w:val="5"/>
          <w:sz w:val="12"/>
        </w:rPr>
        <w:t xml:space="preserve"> </w:t>
      </w:r>
      <w:r>
        <w:rPr>
          <w:sz w:val="18"/>
        </w:rPr>
        <w:t>Australia's</w:t>
      </w:r>
      <w:r>
        <w:rPr>
          <w:spacing w:val="-6"/>
          <w:sz w:val="18"/>
        </w:rPr>
        <w:t xml:space="preserve"> </w:t>
      </w:r>
      <w:r>
        <w:rPr>
          <w:sz w:val="18"/>
        </w:rPr>
        <w:t>first</w:t>
      </w:r>
      <w:r>
        <w:rPr>
          <w:spacing w:val="-5"/>
          <w:sz w:val="18"/>
        </w:rPr>
        <w:t xml:space="preserve"> </w:t>
      </w:r>
      <w:r>
        <w:rPr>
          <w:sz w:val="18"/>
        </w:rPr>
        <w:t>written</w:t>
      </w:r>
      <w:r>
        <w:rPr>
          <w:spacing w:val="-2"/>
          <w:sz w:val="18"/>
        </w:rPr>
        <w:t xml:space="preserve"> </w:t>
      </w:r>
      <w:r>
        <w:rPr>
          <w:sz w:val="18"/>
        </w:rPr>
        <w:t>submission, para.</w:t>
      </w:r>
      <w:r>
        <w:rPr>
          <w:spacing w:val="-5"/>
          <w:sz w:val="18"/>
        </w:rPr>
        <w:t xml:space="preserve"> </w:t>
      </w:r>
      <w:r>
        <w:rPr>
          <w:spacing w:val="-2"/>
          <w:sz w:val="18"/>
        </w:rPr>
        <w:t>1107.</w:t>
      </w:r>
    </w:p>
    <w:p w14:paraId="794E4EEB" w14:textId="77777777" w:rsidR="00BD462C" w:rsidRDefault="00033D0F">
      <w:pPr>
        <w:spacing w:before="1"/>
        <w:ind w:left="135"/>
        <w:rPr>
          <w:sz w:val="18"/>
        </w:rPr>
      </w:pPr>
      <w:bookmarkStart w:id="1936" w:name="_bookmark1669"/>
      <w:bookmarkEnd w:id="1936"/>
      <w:r>
        <w:rPr>
          <w:position w:val="5"/>
          <w:sz w:val="12"/>
        </w:rPr>
        <w:t>1450</w:t>
      </w:r>
      <w:r>
        <w:rPr>
          <w:spacing w:val="13"/>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 xml:space="preserve">para. </w:t>
      </w:r>
      <w:r>
        <w:rPr>
          <w:spacing w:val="-2"/>
          <w:sz w:val="18"/>
        </w:rPr>
        <w:t>2633.</w:t>
      </w:r>
    </w:p>
    <w:p w14:paraId="4C367320" w14:textId="77777777" w:rsidR="00BD462C" w:rsidRDefault="00033D0F">
      <w:pPr>
        <w:spacing w:before="1"/>
        <w:ind w:left="135"/>
        <w:rPr>
          <w:sz w:val="18"/>
        </w:rPr>
      </w:pPr>
      <w:bookmarkStart w:id="1937" w:name="_bookmark1670"/>
      <w:bookmarkEnd w:id="1937"/>
      <w:r>
        <w:rPr>
          <w:position w:val="5"/>
          <w:sz w:val="12"/>
        </w:rPr>
        <w:t>1451</w:t>
      </w:r>
      <w:r>
        <w:rPr>
          <w:spacing w:val="16"/>
          <w:position w:val="5"/>
          <w:sz w:val="12"/>
        </w:rPr>
        <w:t xml:space="preserve"> </w:t>
      </w:r>
      <w:r>
        <w:rPr>
          <w:sz w:val="18"/>
        </w:rPr>
        <w:t>Panel</w:t>
      </w:r>
      <w:r>
        <w:rPr>
          <w:spacing w:val="-2"/>
          <w:sz w:val="18"/>
        </w:rPr>
        <w:t xml:space="preserve"> </w:t>
      </w:r>
      <w:r>
        <w:rPr>
          <w:sz w:val="18"/>
        </w:rPr>
        <w:t>Report,</w:t>
      </w:r>
      <w:r>
        <w:rPr>
          <w:spacing w:val="-6"/>
          <w:sz w:val="18"/>
        </w:rPr>
        <w:t xml:space="preserve"> </w:t>
      </w:r>
      <w:r>
        <w:rPr>
          <w:i/>
          <w:sz w:val="18"/>
        </w:rPr>
        <w:t>EU</w:t>
      </w:r>
      <w:r>
        <w:rPr>
          <w:i/>
          <w:spacing w:val="-1"/>
          <w:sz w:val="18"/>
        </w:rPr>
        <w:t xml:space="preserve"> </w:t>
      </w:r>
      <w:r>
        <w:rPr>
          <w:i/>
          <w:sz w:val="18"/>
        </w:rPr>
        <w:t>–</w:t>
      </w:r>
      <w:r>
        <w:rPr>
          <w:i/>
          <w:spacing w:val="-3"/>
          <w:sz w:val="18"/>
        </w:rPr>
        <w:t xml:space="preserve"> </w:t>
      </w:r>
      <w:r>
        <w:rPr>
          <w:i/>
          <w:sz w:val="18"/>
        </w:rPr>
        <w:t>Footwear</w:t>
      </w:r>
      <w:r>
        <w:rPr>
          <w:i/>
          <w:spacing w:val="-4"/>
          <w:sz w:val="18"/>
        </w:rPr>
        <w:t xml:space="preserve"> </w:t>
      </w:r>
      <w:r>
        <w:rPr>
          <w:i/>
          <w:sz w:val="18"/>
        </w:rPr>
        <w:t>(China)</w:t>
      </w:r>
      <w:r>
        <w:rPr>
          <w:sz w:val="18"/>
        </w:rPr>
        <w:t>,</w:t>
      </w:r>
      <w:r>
        <w:rPr>
          <w:spacing w:val="-1"/>
          <w:sz w:val="18"/>
        </w:rPr>
        <w:t xml:space="preserve"> </w:t>
      </w:r>
      <w:r>
        <w:rPr>
          <w:sz w:val="18"/>
        </w:rPr>
        <w:t>para.</w:t>
      </w:r>
      <w:r>
        <w:rPr>
          <w:spacing w:val="-2"/>
          <w:sz w:val="18"/>
        </w:rPr>
        <w:t xml:space="preserve"> 7.870.</w:t>
      </w:r>
    </w:p>
    <w:p w14:paraId="5FEB5FE0" w14:textId="77777777" w:rsidR="00BD462C" w:rsidRDefault="00033D0F">
      <w:pPr>
        <w:spacing w:before="1"/>
        <w:ind w:left="135"/>
        <w:rPr>
          <w:sz w:val="18"/>
        </w:rPr>
      </w:pPr>
      <w:bookmarkStart w:id="1938" w:name="_bookmark1671"/>
      <w:bookmarkEnd w:id="1938"/>
      <w:r>
        <w:rPr>
          <w:position w:val="5"/>
          <w:sz w:val="12"/>
        </w:rPr>
        <w:t>1452</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paras.</w:t>
      </w:r>
      <w:r>
        <w:rPr>
          <w:spacing w:val="-5"/>
          <w:sz w:val="18"/>
        </w:rPr>
        <w:t xml:space="preserve"> </w:t>
      </w:r>
      <w:r>
        <w:rPr>
          <w:sz w:val="18"/>
        </w:rPr>
        <w:t>2635-</w:t>
      </w:r>
      <w:r>
        <w:rPr>
          <w:spacing w:val="-2"/>
          <w:sz w:val="18"/>
        </w:rPr>
        <w:t>2636.</w:t>
      </w:r>
    </w:p>
    <w:p w14:paraId="63C9F8A1" w14:textId="77777777" w:rsidR="00BD462C" w:rsidRDefault="00BD462C">
      <w:pPr>
        <w:rPr>
          <w:sz w:val="18"/>
        </w:rPr>
        <w:sectPr w:rsidR="00BD462C">
          <w:pgSz w:w="11910" w:h="16840"/>
          <w:pgMar w:top="860" w:right="500" w:bottom="780" w:left="1280" w:header="566" w:footer="590" w:gutter="0"/>
          <w:cols w:space="720"/>
        </w:sectPr>
      </w:pPr>
    </w:p>
    <w:p w14:paraId="565413AD"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7283AFDB"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40FE66DC"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7ABCDAF6" w14:textId="4C6F0174" w:rsidR="00BD462C" w:rsidRDefault="000F4E56">
      <w:pPr>
        <w:pStyle w:val="BodyText"/>
        <w:spacing w:before="107" w:line="360" w:lineRule="auto"/>
        <w:ind w:left="135" w:right="911" w:firstLine="9"/>
        <w:jc w:val="both"/>
      </w:pPr>
      <w:r>
        <w:rPr>
          <w:noProof/>
        </w:rPr>
        <w:t>1001.</w:t>
      </w:r>
      <w:r w:rsidR="00033D0F">
        <w:rPr>
          <w:rFonts w:ascii="Times New Roman"/>
          <w:spacing w:val="40"/>
          <w:position w:val="1"/>
          <w:sz w:val="20"/>
        </w:rPr>
        <w:t xml:space="preserve"> </w:t>
      </w:r>
      <w:r w:rsidR="00033D0F">
        <w:rPr>
          <w:position w:val="1"/>
        </w:rPr>
        <w:t xml:space="preserve">MOFCOM was obliged to provide all information on the facts, law and reasons to </w:t>
      </w:r>
      <w:r w:rsidR="00033D0F">
        <w:t>provide sufficient disclosures to allow interested parties to discern and understand the investigating</w:t>
      </w:r>
      <w:r w:rsidR="00033D0F">
        <w:rPr>
          <w:spacing w:val="-1"/>
        </w:rPr>
        <w:t xml:space="preserve"> </w:t>
      </w:r>
      <w:r w:rsidR="00033D0F">
        <w:t>authority's</w:t>
      </w:r>
      <w:r w:rsidR="00033D0F">
        <w:rPr>
          <w:spacing w:val="-1"/>
        </w:rPr>
        <w:t xml:space="preserve"> </w:t>
      </w:r>
      <w:r w:rsidR="00033D0F">
        <w:t>decision.</w:t>
      </w:r>
      <w:hyperlink w:anchor="_bookmark1672" w:history="1">
        <w:r w:rsidR="00033D0F">
          <w:rPr>
            <w:vertAlign w:val="superscript"/>
          </w:rPr>
          <w:t>1453</w:t>
        </w:r>
      </w:hyperlink>
      <w:r w:rsidR="00033D0F">
        <w:rPr>
          <w:spacing w:val="-2"/>
        </w:rPr>
        <w:t xml:space="preserve"> </w:t>
      </w:r>
      <w:r w:rsidR="00033D0F">
        <w:t>MOFCOM's</w:t>
      </w:r>
      <w:r w:rsidR="00033D0F">
        <w:rPr>
          <w:spacing w:val="-1"/>
        </w:rPr>
        <w:t xml:space="preserve"> </w:t>
      </w:r>
      <w:r w:rsidR="00033D0F">
        <w:t>description</w:t>
      </w:r>
      <w:r w:rsidR="00033D0F">
        <w:rPr>
          <w:spacing w:val="-4"/>
        </w:rPr>
        <w:t xml:space="preserve"> </w:t>
      </w:r>
      <w:r w:rsidR="00033D0F">
        <w:t>of</w:t>
      </w:r>
      <w:r w:rsidR="00033D0F">
        <w:rPr>
          <w:spacing w:val="-4"/>
        </w:rPr>
        <w:t xml:space="preserve"> </w:t>
      </w:r>
      <w:r w:rsidR="00033D0F">
        <w:t>its</w:t>
      </w:r>
      <w:r w:rsidR="00033D0F">
        <w:rPr>
          <w:spacing w:val="-1"/>
        </w:rPr>
        <w:t xml:space="preserve"> </w:t>
      </w:r>
      <w:r w:rsidR="00033D0F">
        <w:t>methodology</w:t>
      </w:r>
      <w:r w:rsidR="00033D0F">
        <w:rPr>
          <w:spacing w:val="-1"/>
        </w:rPr>
        <w:t xml:space="preserve"> </w:t>
      </w:r>
      <w:r w:rsidR="00033D0F">
        <w:t>with</w:t>
      </w:r>
      <w:r w:rsidR="00033D0F">
        <w:rPr>
          <w:spacing w:val="-4"/>
        </w:rPr>
        <w:t xml:space="preserve"> </w:t>
      </w:r>
      <w:r w:rsidR="00033D0F">
        <w:t>respect to the "All Others" group was unclear and lacked any reasoned account or meaningful explanation. MOFCOM</w:t>
      </w:r>
      <w:r w:rsidR="00033D0F">
        <w:rPr>
          <w:spacing w:val="-1"/>
        </w:rPr>
        <w:t xml:space="preserve"> </w:t>
      </w:r>
      <w:r w:rsidR="00033D0F">
        <w:t>simply stated</w:t>
      </w:r>
      <w:r w:rsidR="00033D0F">
        <w:rPr>
          <w:spacing w:val="-3"/>
        </w:rPr>
        <w:t xml:space="preserve"> </w:t>
      </w:r>
      <w:r w:rsidR="00033D0F">
        <w:t>that</w:t>
      </w:r>
      <w:r w:rsidR="00033D0F">
        <w:rPr>
          <w:spacing w:val="-1"/>
        </w:rPr>
        <w:t xml:space="preserve"> </w:t>
      </w:r>
      <w:r w:rsidR="00033D0F">
        <w:t>it</w:t>
      </w:r>
      <w:r w:rsidR="00033D0F">
        <w:rPr>
          <w:spacing w:val="-1"/>
        </w:rPr>
        <w:t xml:space="preserve"> </w:t>
      </w:r>
      <w:r w:rsidR="00033D0F">
        <w:t>"determined</w:t>
      </w:r>
      <w:r w:rsidR="00033D0F">
        <w:rPr>
          <w:spacing w:val="-3"/>
        </w:rPr>
        <w:t xml:space="preserve"> </w:t>
      </w:r>
      <w:r w:rsidR="00033D0F">
        <w:t>the dumping margin</w:t>
      </w:r>
      <w:r w:rsidR="00033D0F">
        <w:rPr>
          <w:spacing w:val="-3"/>
        </w:rPr>
        <w:t xml:space="preserve"> </w:t>
      </w:r>
      <w:r w:rsidR="00033D0F">
        <w:t>on the basis of the known facts and best information available" and that it "believed that the information provided</w:t>
      </w:r>
      <w:r w:rsidR="00033D0F">
        <w:rPr>
          <w:spacing w:val="-4"/>
        </w:rPr>
        <w:t xml:space="preserve"> </w:t>
      </w:r>
      <w:r w:rsidR="00033D0F">
        <w:t>by the</w:t>
      </w:r>
      <w:r w:rsidR="00033D0F">
        <w:rPr>
          <w:spacing w:val="-3"/>
        </w:rPr>
        <w:t xml:space="preserve"> </w:t>
      </w:r>
      <w:r w:rsidR="00033D0F">
        <w:t>[sampled] respondents</w:t>
      </w:r>
      <w:r w:rsidR="00033D0F">
        <w:rPr>
          <w:spacing w:val="-1"/>
        </w:rPr>
        <w:t xml:space="preserve"> </w:t>
      </w:r>
      <w:r w:rsidR="00033D0F">
        <w:t>could accurately</w:t>
      </w:r>
      <w:r w:rsidR="00033D0F">
        <w:rPr>
          <w:spacing w:val="-1"/>
        </w:rPr>
        <w:t xml:space="preserve"> </w:t>
      </w:r>
      <w:r w:rsidR="00033D0F">
        <w:t>and</w:t>
      </w:r>
      <w:r w:rsidR="00033D0F">
        <w:rPr>
          <w:spacing w:val="-4"/>
        </w:rPr>
        <w:t xml:space="preserve"> </w:t>
      </w:r>
      <w:r w:rsidR="00033D0F">
        <w:t>reasonably</w:t>
      </w:r>
      <w:r w:rsidR="00033D0F">
        <w:rPr>
          <w:spacing w:val="-1"/>
        </w:rPr>
        <w:t xml:space="preserve"> </w:t>
      </w:r>
      <w:r w:rsidR="00033D0F">
        <w:t>reflect</w:t>
      </w:r>
      <w:r w:rsidR="00033D0F">
        <w:rPr>
          <w:spacing w:val="-2"/>
        </w:rPr>
        <w:t xml:space="preserve"> </w:t>
      </w:r>
      <w:r w:rsidR="00033D0F">
        <w:t>the</w:t>
      </w:r>
      <w:r w:rsidR="00033D0F">
        <w:rPr>
          <w:spacing w:val="-3"/>
        </w:rPr>
        <w:t xml:space="preserve"> </w:t>
      </w:r>
      <w:r w:rsidR="00033D0F">
        <w:t>export</w:t>
      </w:r>
      <w:r w:rsidR="00033D0F">
        <w:rPr>
          <w:spacing w:val="-2"/>
        </w:rPr>
        <w:t xml:space="preserve"> </w:t>
      </w:r>
      <w:r w:rsidR="00033D0F">
        <w:t>of product</w:t>
      </w:r>
      <w:r w:rsidR="00033D0F">
        <w:rPr>
          <w:spacing w:val="-11"/>
        </w:rPr>
        <w:t xml:space="preserve"> </w:t>
      </w:r>
      <w:r w:rsidR="00033D0F">
        <w:t>under</w:t>
      </w:r>
      <w:r w:rsidR="00033D0F">
        <w:rPr>
          <w:spacing w:val="-14"/>
        </w:rPr>
        <w:t xml:space="preserve"> </w:t>
      </w:r>
      <w:r w:rsidR="00033D0F">
        <w:t>investigation</w:t>
      </w:r>
      <w:r w:rsidR="00033D0F">
        <w:rPr>
          <w:spacing w:val="-13"/>
        </w:rPr>
        <w:t xml:space="preserve"> </w:t>
      </w:r>
      <w:r w:rsidR="00033D0F">
        <w:t>by</w:t>
      </w:r>
      <w:r w:rsidR="00033D0F">
        <w:rPr>
          <w:spacing w:val="-10"/>
        </w:rPr>
        <w:t xml:space="preserve"> </w:t>
      </w:r>
      <w:r w:rsidR="00033D0F">
        <w:t>other</w:t>
      </w:r>
      <w:r w:rsidR="00033D0F">
        <w:rPr>
          <w:spacing w:val="-14"/>
        </w:rPr>
        <w:t xml:space="preserve"> </w:t>
      </w:r>
      <w:r w:rsidR="00033D0F">
        <w:t>Australian</w:t>
      </w:r>
      <w:r w:rsidR="00033D0F">
        <w:rPr>
          <w:spacing w:val="-13"/>
        </w:rPr>
        <w:t xml:space="preserve"> </w:t>
      </w:r>
      <w:r w:rsidR="00033D0F">
        <w:t>companies</w:t>
      </w:r>
      <w:r w:rsidR="00033D0F">
        <w:rPr>
          <w:spacing w:val="-9"/>
        </w:rPr>
        <w:t xml:space="preserve"> </w:t>
      </w:r>
      <w:r w:rsidR="00033D0F">
        <w:t>to</w:t>
      </w:r>
      <w:r w:rsidR="00033D0F">
        <w:rPr>
          <w:spacing w:val="-13"/>
        </w:rPr>
        <w:t xml:space="preserve"> </w:t>
      </w:r>
      <w:r w:rsidR="00033D0F">
        <w:t>China".</w:t>
      </w:r>
      <w:hyperlink w:anchor="_bookmark1673" w:history="1">
        <w:r w:rsidR="00033D0F">
          <w:rPr>
            <w:vertAlign w:val="superscript"/>
          </w:rPr>
          <w:t>1454</w:t>
        </w:r>
      </w:hyperlink>
      <w:r w:rsidR="00033D0F">
        <w:rPr>
          <w:spacing w:val="-10"/>
        </w:rPr>
        <w:t xml:space="preserve"> </w:t>
      </w:r>
      <w:r w:rsidR="00033D0F">
        <w:t>It</w:t>
      </w:r>
      <w:r w:rsidR="00033D0F">
        <w:rPr>
          <w:spacing w:val="-10"/>
        </w:rPr>
        <w:t xml:space="preserve"> </w:t>
      </w:r>
      <w:r w:rsidR="00033D0F">
        <w:t>included</w:t>
      </w:r>
      <w:r w:rsidR="00033D0F">
        <w:rPr>
          <w:spacing w:val="-13"/>
        </w:rPr>
        <w:t xml:space="preserve"> </w:t>
      </w:r>
      <w:r w:rsidR="00033D0F">
        <w:t>no</w:t>
      </w:r>
      <w:r w:rsidR="00033D0F">
        <w:rPr>
          <w:spacing w:val="-13"/>
        </w:rPr>
        <w:t xml:space="preserve"> </w:t>
      </w:r>
      <w:r w:rsidR="00033D0F">
        <w:t>details on</w:t>
      </w:r>
      <w:r w:rsidR="00033D0F">
        <w:rPr>
          <w:spacing w:val="-9"/>
        </w:rPr>
        <w:t xml:space="preserve"> </w:t>
      </w:r>
      <w:r w:rsidR="00033D0F">
        <w:t>how</w:t>
      </w:r>
      <w:r w:rsidR="00033D0F">
        <w:rPr>
          <w:spacing w:val="-7"/>
        </w:rPr>
        <w:t xml:space="preserve"> </w:t>
      </w:r>
      <w:r w:rsidR="00033D0F">
        <w:t>the</w:t>
      </w:r>
      <w:r w:rsidR="00033D0F">
        <w:rPr>
          <w:spacing w:val="-7"/>
        </w:rPr>
        <w:t xml:space="preserve"> </w:t>
      </w:r>
      <w:r w:rsidR="00033D0F">
        <w:t>margin</w:t>
      </w:r>
      <w:r w:rsidR="00033D0F">
        <w:rPr>
          <w:spacing w:val="-9"/>
        </w:rPr>
        <w:t xml:space="preserve"> </w:t>
      </w:r>
      <w:r w:rsidR="00033D0F">
        <w:t>of</w:t>
      </w:r>
      <w:r w:rsidR="00033D0F">
        <w:rPr>
          <w:spacing w:val="-4"/>
        </w:rPr>
        <w:t xml:space="preserve"> </w:t>
      </w:r>
      <w:r w:rsidR="00033D0F">
        <w:t>dumping</w:t>
      </w:r>
      <w:r w:rsidR="00033D0F">
        <w:rPr>
          <w:spacing w:val="-6"/>
        </w:rPr>
        <w:t xml:space="preserve"> </w:t>
      </w:r>
      <w:r w:rsidR="00033D0F">
        <w:t>was</w:t>
      </w:r>
      <w:r w:rsidR="00033D0F">
        <w:rPr>
          <w:spacing w:val="-6"/>
        </w:rPr>
        <w:t xml:space="preserve"> </w:t>
      </w:r>
      <w:r w:rsidR="00033D0F">
        <w:t>determined,</w:t>
      </w:r>
      <w:r w:rsidR="00033D0F">
        <w:rPr>
          <w:spacing w:val="-5"/>
        </w:rPr>
        <w:t xml:space="preserve"> </w:t>
      </w:r>
      <w:r w:rsidR="00033D0F">
        <w:t>let</w:t>
      </w:r>
      <w:r w:rsidR="00033D0F">
        <w:rPr>
          <w:spacing w:val="-7"/>
        </w:rPr>
        <w:t xml:space="preserve"> </w:t>
      </w:r>
      <w:r w:rsidR="00033D0F">
        <w:t>alone</w:t>
      </w:r>
      <w:r w:rsidR="00033D0F">
        <w:rPr>
          <w:spacing w:val="-7"/>
        </w:rPr>
        <w:t xml:space="preserve"> </w:t>
      </w:r>
      <w:r w:rsidR="00033D0F">
        <w:t>a</w:t>
      </w:r>
      <w:r w:rsidR="00033D0F">
        <w:rPr>
          <w:spacing w:val="-8"/>
        </w:rPr>
        <w:t xml:space="preserve"> </w:t>
      </w:r>
      <w:r w:rsidR="00033D0F">
        <w:t>full</w:t>
      </w:r>
      <w:r w:rsidR="00033D0F">
        <w:rPr>
          <w:spacing w:val="-5"/>
        </w:rPr>
        <w:t xml:space="preserve"> </w:t>
      </w:r>
      <w:r w:rsidR="00033D0F">
        <w:t>explanation</w:t>
      </w:r>
      <w:r w:rsidR="00033D0F">
        <w:rPr>
          <w:spacing w:val="-9"/>
        </w:rPr>
        <w:t xml:space="preserve"> </w:t>
      </w:r>
      <w:r w:rsidR="00033D0F">
        <w:t>of</w:t>
      </w:r>
      <w:r w:rsidR="00033D0F">
        <w:rPr>
          <w:spacing w:val="-9"/>
        </w:rPr>
        <w:t xml:space="preserve"> </w:t>
      </w:r>
      <w:r w:rsidR="00033D0F">
        <w:t>the</w:t>
      </w:r>
      <w:r w:rsidR="00033D0F">
        <w:rPr>
          <w:spacing w:val="-3"/>
        </w:rPr>
        <w:t xml:space="preserve"> </w:t>
      </w:r>
      <w:r w:rsidR="00033D0F">
        <w:t>reasons</w:t>
      </w:r>
      <w:r w:rsidR="00033D0F">
        <w:rPr>
          <w:spacing w:val="-6"/>
        </w:rPr>
        <w:t xml:space="preserve"> </w:t>
      </w:r>
      <w:r w:rsidR="00033D0F">
        <w:t>for the methodology used in the establishment and comparison of the export price and the normal value.</w:t>
      </w:r>
      <w:r w:rsidR="00033D0F">
        <w:rPr>
          <w:spacing w:val="-1"/>
        </w:rPr>
        <w:t xml:space="preserve"> </w:t>
      </w:r>
      <w:r w:rsidR="00033D0F">
        <w:t>MOFCOM</w:t>
      </w:r>
      <w:r w:rsidR="00033D0F">
        <w:rPr>
          <w:spacing w:val="-2"/>
        </w:rPr>
        <w:t xml:space="preserve"> </w:t>
      </w:r>
      <w:r w:rsidR="00033D0F">
        <w:t>could</w:t>
      </w:r>
      <w:r w:rsidR="00033D0F">
        <w:rPr>
          <w:spacing w:val="-4"/>
        </w:rPr>
        <w:t xml:space="preserve"> </w:t>
      </w:r>
      <w:r w:rsidR="00033D0F">
        <w:t>have, and</w:t>
      </w:r>
      <w:r w:rsidR="00033D0F">
        <w:rPr>
          <w:spacing w:val="-4"/>
        </w:rPr>
        <w:t xml:space="preserve"> </w:t>
      </w:r>
      <w:r w:rsidR="00033D0F">
        <w:t>was</w:t>
      </w:r>
      <w:r w:rsidR="00033D0F">
        <w:rPr>
          <w:spacing w:val="-1"/>
        </w:rPr>
        <w:t xml:space="preserve"> </w:t>
      </w:r>
      <w:r w:rsidR="00033D0F">
        <w:t>required</w:t>
      </w:r>
      <w:r w:rsidR="00033D0F">
        <w:rPr>
          <w:spacing w:val="-4"/>
        </w:rPr>
        <w:t xml:space="preserve"> </w:t>
      </w:r>
      <w:r w:rsidR="00033D0F">
        <w:t>to, provide</w:t>
      </w:r>
      <w:r w:rsidR="00033D0F">
        <w:rPr>
          <w:spacing w:val="-3"/>
        </w:rPr>
        <w:t xml:space="preserve"> </w:t>
      </w:r>
      <w:r w:rsidR="00033D0F">
        <w:t>a</w:t>
      </w:r>
      <w:r w:rsidR="00033D0F">
        <w:rPr>
          <w:spacing w:val="-3"/>
        </w:rPr>
        <w:t xml:space="preserve"> </w:t>
      </w:r>
      <w:r w:rsidR="00033D0F">
        <w:t>reasoned account, based on</w:t>
      </w:r>
      <w:r w:rsidR="00033D0F">
        <w:rPr>
          <w:spacing w:val="-10"/>
        </w:rPr>
        <w:t xml:space="preserve"> </w:t>
      </w:r>
      <w:r w:rsidR="00033D0F">
        <w:t>relevant</w:t>
      </w:r>
      <w:r w:rsidR="00033D0F">
        <w:rPr>
          <w:spacing w:val="-11"/>
        </w:rPr>
        <w:t xml:space="preserve"> </w:t>
      </w:r>
      <w:r w:rsidR="00033D0F">
        <w:t>non-confidential</w:t>
      </w:r>
      <w:r w:rsidR="00033D0F">
        <w:rPr>
          <w:spacing w:val="-10"/>
        </w:rPr>
        <w:t xml:space="preserve"> </w:t>
      </w:r>
      <w:r w:rsidR="00033D0F">
        <w:t>information,</w:t>
      </w:r>
      <w:r w:rsidR="00033D0F">
        <w:rPr>
          <w:spacing w:val="-10"/>
        </w:rPr>
        <w:t xml:space="preserve"> </w:t>
      </w:r>
      <w:r w:rsidR="00033D0F">
        <w:t>of</w:t>
      </w:r>
      <w:r w:rsidR="00033D0F">
        <w:rPr>
          <w:spacing w:val="-10"/>
        </w:rPr>
        <w:t xml:space="preserve"> </w:t>
      </w:r>
      <w:r w:rsidR="00033D0F">
        <w:t>the</w:t>
      </w:r>
      <w:r w:rsidR="00033D0F">
        <w:rPr>
          <w:spacing w:val="-8"/>
        </w:rPr>
        <w:t xml:space="preserve"> </w:t>
      </w:r>
      <w:r w:rsidR="00033D0F">
        <w:t>process</w:t>
      </w:r>
      <w:r w:rsidR="00033D0F">
        <w:rPr>
          <w:spacing w:val="-10"/>
        </w:rPr>
        <w:t xml:space="preserve"> </w:t>
      </w:r>
      <w:r w:rsidR="00033D0F">
        <w:t>that</w:t>
      </w:r>
      <w:r w:rsidR="00033D0F">
        <w:rPr>
          <w:spacing w:val="-11"/>
        </w:rPr>
        <w:t xml:space="preserve"> </w:t>
      </w:r>
      <w:r w:rsidR="00033D0F">
        <w:t>it</w:t>
      </w:r>
      <w:r w:rsidR="00033D0F">
        <w:rPr>
          <w:spacing w:val="-11"/>
        </w:rPr>
        <w:t xml:space="preserve"> </w:t>
      </w:r>
      <w:r w:rsidR="00033D0F">
        <w:t>used,</w:t>
      </w:r>
      <w:r w:rsidR="00033D0F">
        <w:rPr>
          <w:spacing w:val="-10"/>
        </w:rPr>
        <w:t xml:space="preserve"> </w:t>
      </w:r>
      <w:r w:rsidR="00033D0F">
        <w:t>including</w:t>
      </w:r>
      <w:r w:rsidR="00033D0F">
        <w:rPr>
          <w:spacing w:val="-10"/>
        </w:rPr>
        <w:t xml:space="preserve"> </w:t>
      </w:r>
      <w:r w:rsidR="00033D0F">
        <w:t>to</w:t>
      </w:r>
      <w:r w:rsidR="00033D0F">
        <w:rPr>
          <w:spacing w:val="-14"/>
        </w:rPr>
        <w:t xml:space="preserve"> </w:t>
      </w:r>
      <w:r w:rsidR="00033D0F">
        <w:t>ensure</w:t>
      </w:r>
      <w:r w:rsidR="00033D0F">
        <w:rPr>
          <w:spacing w:val="-12"/>
        </w:rPr>
        <w:t xml:space="preserve"> </w:t>
      </w:r>
      <w:r w:rsidR="00033D0F">
        <w:t>a</w:t>
      </w:r>
      <w:r w:rsidR="00033D0F">
        <w:rPr>
          <w:spacing w:val="-9"/>
        </w:rPr>
        <w:t xml:space="preserve"> </w:t>
      </w:r>
      <w:r w:rsidR="00033D0F">
        <w:t>fair comparison, but it failed to do so.</w:t>
      </w:r>
    </w:p>
    <w:p w14:paraId="3A2915CA" w14:textId="77777777" w:rsidR="00BD462C" w:rsidRDefault="00BD462C">
      <w:pPr>
        <w:pStyle w:val="BodyText"/>
        <w:spacing w:before="4"/>
        <w:rPr>
          <w:sz w:val="8"/>
        </w:rPr>
      </w:pPr>
    </w:p>
    <w:p w14:paraId="5535BB20" w14:textId="62270029" w:rsidR="00BD462C" w:rsidRDefault="000F4E56">
      <w:pPr>
        <w:pStyle w:val="BodyText"/>
        <w:spacing w:before="56" w:line="360" w:lineRule="auto"/>
        <w:ind w:left="135" w:right="913" w:firstLine="9"/>
        <w:jc w:val="both"/>
      </w:pPr>
      <w:r>
        <w:rPr>
          <w:noProof/>
        </w:rPr>
        <w:t>1002.</w:t>
      </w:r>
      <w:r w:rsidR="00033D0F">
        <w:rPr>
          <w:rFonts w:ascii="Times New Roman"/>
          <w:spacing w:val="80"/>
          <w:position w:val="1"/>
          <w:sz w:val="20"/>
        </w:rPr>
        <w:t xml:space="preserve"> </w:t>
      </w:r>
      <w:r w:rsidR="00033D0F">
        <w:rPr>
          <w:position w:val="1"/>
        </w:rPr>
        <w:t>Further,</w:t>
      </w:r>
      <w:r w:rsidR="00033D0F">
        <w:rPr>
          <w:spacing w:val="-2"/>
          <w:position w:val="1"/>
        </w:rPr>
        <w:t xml:space="preserve"> </w:t>
      </w:r>
      <w:r w:rsidR="00033D0F">
        <w:rPr>
          <w:position w:val="1"/>
        </w:rPr>
        <w:t>as</w:t>
      </w:r>
      <w:r w:rsidR="00033D0F">
        <w:rPr>
          <w:spacing w:val="-2"/>
          <w:position w:val="1"/>
        </w:rPr>
        <w:t xml:space="preserve"> </w:t>
      </w:r>
      <w:r w:rsidR="00033D0F">
        <w:rPr>
          <w:position w:val="1"/>
        </w:rPr>
        <w:t>explained</w:t>
      </w:r>
      <w:r w:rsidR="00033D0F">
        <w:rPr>
          <w:spacing w:val="-5"/>
          <w:position w:val="1"/>
        </w:rPr>
        <w:t xml:space="preserve"> </w:t>
      </w:r>
      <w:r w:rsidR="00033D0F">
        <w:rPr>
          <w:position w:val="1"/>
        </w:rPr>
        <w:t>in</w:t>
      </w:r>
      <w:r w:rsidR="00033D0F">
        <w:rPr>
          <w:spacing w:val="-5"/>
          <w:position w:val="1"/>
        </w:rPr>
        <w:t xml:space="preserve"> </w:t>
      </w:r>
      <w:r w:rsidR="00033D0F">
        <w:rPr>
          <w:position w:val="1"/>
        </w:rPr>
        <w:t>Australia's</w:t>
      </w:r>
      <w:r w:rsidR="00033D0F">
        <w:rPr>
          <w:spacing w:val="-2"/>
          <w:position w:val="1"/>
        </w:rPr>
        <w:t xml:space="preserve"> </w:t>
      </w:r>
      <w:r w:rsidR="00033D0F">
        <w:rPr>
          <w:position w:val="1"/>
        </w:rPr>
        <w:t>first</w:t>
      </w:r>
      <w:r w:rsidR="00033D0F">
        <w:rPr>
          <w:spacing w:val="-8"/>
          <w:position w:val="1"/>
        </w:rPr>
        <w:t xml:space="preserve"> </w:t>
      </w:r>
      <w:r w:rsidR="00033D0F">
        <w:rPr>
          <w:position w:val="1"/>
        </w:rPr>
        <w:t>written</w:t>
      </w:r>
      <w:r w:rsidR="00033D0F">
        <w:rPr>
          <w:spacing w:val="-10"/>
          <w:position w:val="1"/>
        </w:rPr>
        <w:t xml:space="preserve"> </w:t>
      </w:r>
      <w:r w:rsidR="00033D0F">
        <w:rPr>
          <w:position w:val="1"/>
        </w:rPr>
        <w:t>submission,</w:t>
      </w:r>
      <w:r w:rsidR="00033D0F">
        <w:rPr>
          <w:spacing w:val="-1"/>
          <w:position w:val="1"/>
        </w:rPr>
        <w:t xml:space="preserve"> </w:t>
      </w:r>
      <w:r w:rsidR="00033D0F">
        <w:rPr>
          <w:position w:val="1"/>
        </w:rPr>
        <w:t>MOFCOM</w:t>
      </w:r>
      <w:r w:rsidR="00033D0F">
        <w:rPr>
          <w:spacing w:val="-8"/>
          <w:position w:val="1"/>
        </w:rPr>
        <w:t xml:space="preserve"> </w:t>
      </w:r>
      <w:r w:rsidR="00033D0F">
        <w:rPr>
          <w:position w:val="1"/>
        </w:rPr>
        <w:t>simply</w:t>
      </w:r>
      <w:r w:rsidR="00033D0F">
        <w:rPr>
          <w:spacing w:val="-2"/>
          <w:position w:val="1"/>
        </w:rPr>
        <w:t xml:space="preserve"> </w:t>
      </w:r>
      <w:r w:rsidR="00033D0F">
        <w:rPr>
          <w:position w:val="1"/>
        </w:rPr>
        <w:t xml:space="preserve">declared </w:t>
      </w:r>
      <w:r w:rsidR="00033D0F">
        <w:t>that it had "compared the normal value and export price at the ex-factory level in a fair and reasonable manner".</w:t>
      </w:r>
      <w:hyperlink w:anchor="_bookmark1674" w:history="1">
        <w:r w:rsidR="00033D0F">
          <w:rPr>
            <w:vertAlign w:val="superscript"/>
          </w:rPr>
          <w:t>1455</w:t>
        </w:r>
      </w:hyperlink>
      <w:r w:rsidR="00033D0F">
        <w:t xml:space="preserve"> In Australia's view, the inclusion of the phrase "at the ex-factory level" is insufficient, on its own, to provide a reasoned account of the factual basis of the comparability of prices for the purposes of a "full explanation of the reasons for the methodology used in the establishment and comparison of the export price and the normal value", the standard established under Article 12.2.1(iii) of the </w:t>
      </w:r>
      <w:proofErr w:type="spellStart"/>
      <w:r w:rsidR="00033D0F">
        <w:t>Anti Dumping</w:t>
      </w:r>
      <w:proofErr w:type="spellEnd"/>
      <w:r w:rsidR="00033D0F">
        <w:t xml:space="preserve"> Agreement.</w:t>
      </w:r>
    </w:p>
    <w:p w14:paraId="0958A52D" w14:textId="77777777" w:rsidR="00BD462C" w:rsidRDefault="00033D0F">
      <w:pPr>
        <w:pStyle w:val="ListParagraph"/>
        <w:numPr>
          <w:ilvl w:val="0"/>
          <w:numId w:val="9"/>
        </w:numPr>
        <w:tabs>
          <w:tab w:val="left" w:pos="3539"/>
          <w:tab w:val="left" w:pos="3540"/>
        </w:tabs>
        <w:spacing w:before="154" w:line="362" w:lineRule="auto"/>
        <w:ind w:right="926"/>
        <w:jc w:val="both"/>
        <w:rPr>
          <w:sz w:val="24"/>
        </w:rPr>
      </w:pPr>
      <w:bookmarkStart w:id="1939" w:name="(d)_Calculation_of_dumping_margins_and_t"/>
      <w:bookmarkEnd w:id="1939"/>
      <w:r>
        <w:rPr>
          <w:sz w:val="24"/>
          <w:u w:val="single"/>
        </w:rPr>
        <w:t>Calculation of dumping margins and the reasons for the</w:t>
      </w:r>
      <w:r>
        <w:rPr>
          <w:sz w:val="24"/>
        </w:rPr>
        <w:t xml:space="preserve"> </w:t>
      </w:r>
      <w:r>
        <w:rPr>
          <w:sz w:val="24"/>
          <w:u w:val="single"/>
        </w:rPr>
        <w:t>calculation methodology used</w:t>
      </w:r>
    </w:p>
    <w:p w14:paraId="28C56E10" w14:textId="77777777" w:rsidR="00BD462C" w:rsidRDefault="00BD462C">
      <w:pPr>
        <w:pStyle w:val="BodyText"/>
        <w:spacing w:before="8"/>
        <w:rPr>
          <w:sz w:val="8"/>
        </w:rPr>
      </w:pPr>
    </w:p>
    <w:p w14:paraId="391C36ED" w14:textId="42E62E37" w:rsidR="00BD462C" w:rsidRDefault="000F4E56">
      <w:pPr>
        <w:pStyle w:val="BodyText"/>
        <w:spacing w:before="56" w:line="357" w:lineRule="auto"/>
        <w:ind w:left="135" w:right="915" w:firstLine="9"/>
        <w:jc w:val="both"/>
      </w:pPr>
      <w:r>
        <w:rPr>
          <w:noProof/>
        </w:rPr>
        <w:t>1003.</w:t>
      </w:r>
      <w:r w:rsidR="00033D0F">
        <w:rPr>
          <w:rFonts w:ascii="Times New Roman"/>
          <w:spacing w:val="80"/>
          <w:position w:val="1"/>
          <w:sz w:val="20"/>
        </w:rPr>
        <w:t xml:space="preserve"> </w:t>
      </w:r>
      <w:r w:rsidR="00033D0F">
        <w:rPr>
          <w:position w:val="1"/>
        </w:rPr>
        <w:t>The</w:t>
      </w:r>
      <w:r w:rsidR="00033D0F">
        <w:rPr>
          <w:spacing w:val="-7"/>
          <w:position w:val="1"/>
        </w:rPr>
        <w:t xml:space="preserve"> </w:t>
      </w:r>
      <w:r w:rsidR="00033D0F">
        <w:rPr>
          <w:position w:val="1"/>
        </w:rPr>
        <w:t>same</w:t>
      </w:r>
      <w:r w:rsidR="00033D0F">
        <w:rPr>
          <w:spacing w:val="-7"/>
          <w:position w:val="1"/>
        </w:rPr>
        <w:t xml:space="preserve"> </w:t>
      </w:r>
      <w:r w:rsidR="00033D0F">
        <w:rPr>
          <w:position w:val="1"/>
        </w:rPr>
        <w:t>failings</w:t>
      </w:r>
      <w:r w:rsidR="00033D0F">
        <w:rPr>
          <w:spacing w:val="-6"/>
          <w:position w:val="1"/>
        </w:rPr>
        <w:t xml:space="preserve"> </w:t>
      </w:r>
      <w:r w:rsidR="00033D0F">
        <w:rPr>
          <w:position w:val="1"/>
        </w:rPr>
        <w:t>concerning</w:t>
      </w:r>
      <w:r w:rsidR="00033D0F">
        <w:rPr>
          <w:spacing w:val="-6"/>
          <w:position w:val="1"/>
        </w:rPr>
        <w:t xml:space="preserve"> </w:t>
      </w:r>
      <w:r w:rsidR="00033D0F">
        <w:rPr>
          <w:position w:val="1"/>
        </w:rPr>
        <w:t>MOFCOM's</w:t>
      </w:r>
      <w:r w:rsidR="00033D0F">
        <w:rPr>
          <w:spacing w:val="-6"/>
          <w:position w:val="1"/>
        </w:rPr>
        <w:t xml:space="preserve"> </w:t>
      </w:r>
      <w:r w:rsidR="00033D0F">
        <w:rPr>
          <w:position w:val="1"/>
        </w:rPr>
        <w:t>failure</w:t>
      </w:r>
      <w:r w:rsidR="00033D0F">
        <w:rPr>
          <w:spacing w:val="-7"/>
          <w:position w:val="1"/>
        </w:rPr>
        <w:t xml:space="preserve"> </w:t>
      </w:r>
      <w:r w:rsidR="00033D0F">
        <w:rPr>
          <w:position w:val="1"/>
        </w:rPr>
        <w:t>to</w:t>
      </w:r>
      <w:r w:rsidR="00033D0F">
        <w:rPr>
          <w:spacing w:val="-10"/>
          <w:position w:val="1"/>
        </w:rPr>
        <w:t xml:space="preserve"> </w:t>
      </w:r>
      <w:r w:rsidR="00033D0F">
        <w:rPr>
          <w:position w:val="1"/>
        </w:rPr>
        <w:t>disclose</w:t>
      </w:r>
      <w:r w:rsidR="00033D0F">
        <w:rPr>
          <w:spacing w:val="-7"/>
          <w:position w:val="1"/>
        </w:rPr>
        <w:t xml:space="preserve"> </w:t>
      </w:r>
      <w:r w:rsidR="00033D0F">
        <w:rPr>
          <w:position w:val="1"/>
        </w:rPr>
        <w:t>information</w:t>
      </w:r>
      <w:r w:rsidR="00033D0F">
        <w:rPr>
          <w:spacing w:val="-9"/>
          <w:position w:val="1"/>
        </w:rPr>
        <w:t xml:space="preserve"> </w:t>
      </w:r>
      <w:r w:rsidR="00033D0F">
        <w:rPr>
          <w:position w:val="1"/>
        </w:rPr>
        <w:t>relating</w:t>
      </w:r>
      <w:r w:rsidR="00033D0F">
        <w:rPr>
          <w:spacing w:val="-6"/>
          <w:position w:val="1"/>
        </w:rPr>
        <w:t xml:space="preserve"> </w:t>
      </w:r>
      <w:r w:rsidR="00033D0F">
        <w:rPr>
          <w:position w:val="1"/>
        </w:rPr>
        <w:t>to</w:t>
      </w:r>
      <w:r w:rsidR="00033D0F">
        <w:rPr>
          <w:spacing w:val="-9"/>
          <w:position w:val="1"/>
        </w:rPr>
        <w:t xml:space="preserve"> </w:t>
      </w:r>
      <w:r w:rsidR="00033D0F">
        <w:rPr>
          <w:position w:val="1"/>
        </w:rPr>
        <w:t xml:space="preserve">the </w:t>
      </w:r>
      <w:r w:rsidR="00033D0F">
        <w:t>comparability</w:t>
      </w:r>
      <w:r w:rsidR="00033D0F">
        <w:rPr>
          <w:spacing w:val="-1"/>
        </w:rPr>
        <w:t xml:space="preserve"> </w:t>
      </w:r>
      <w:r w:rsidR="00033D0F">
        <w:t>of prices</w:t>
      </w:r>
      <w:r w:rsidR="00033D0F">
        <w:rPr>
          <w:spacing w:val="-1"/>
        </w:rPr>
        <w:t xml:space="preserve"> </w:t>
      </w:r>
      <w:r w:rsidR="00033D0F">
        <w:t>for the purposes</w:t>
      </w:r>
      <w:r w:rsidR="00033D0F">
        <w:rPr>
          <w:spacing w:val="-1"/>
        </w:rPr>
        <w:t xml:space="preserve"> </w:t>
      </w:r>
      <w:r w:rsidR="00033D0F">
        <w:t>of ensuring</w:t>
      </w:r>
      <w:r w:rsidR="00033D0F">
        <w:rPr>
          <w:spacing w:val="-1"/>
        </w:rPr>
        <w:t xml:space="preserve"> </w:t>
      </w:r>
      <w:r w:rsidR="00033D0F">
        <w:t>a fair</w:t>
      </w:r>
      <w:r w:rsidR="00033D0F">
        <w:rPr>
          <w:spacing w:val="-5"/>
        </w:rPr>
        <w:t xml:space="preserve"> </w:t>
      </w:r>
      <w:r w:rsidR="00033D0F">
        <w:t>comparison pursuant</w:t>
      </w:r>
      <w:r w:rsidR="00033D0F">
        <w:rPr>
          <w:spacing w:val="-2"/>
        </w:rPr>
        <w:t xml:space="preserve"> </w:t>
      </w:r>
      <w:r w:rsidR="00033D0F">
        <w:t>to Article</w:t>
      </w:r>
      <w:r w:rsidR="00033D0F">
        <w:rPr>
          <w:spacing w:val="-2"/>
        </w:rPr>
        <w:t xml:space="preserve"> </w:t>
      </w:r>
      <w:r w:rsidR="00033D0F">
        <w:t>2.4 also apply in respect of MOFCOM's failure to disclose the reasons and calculation methodology used to determine the dumping margins.</w:t>
      </w:r>
    </w:p>
    <w:p w14:paraId="0A73F725" w14:textId="77777777" w:rsidR="00BD462C" w:rsidRDefault="00BD462C">
      <w:pPr>
        <w:pStyle w:val="BodyText"/>
        <w:rPr>
          <w:sz w:val="20"/>
        </w:rPr>
      </w:pPr>
    </w:p>
    <w:p w14:paraId="1DDD0023" w14:textId="77777777" w:rsidR="00BD462C" w:rsidRDefault="00BD462C">
      <w:pPr>
        <w:pStyle w:val="BodyText"/>
        <w:rPr>
          <w:sz w:val="20"/>
        </w:rPr>
      </w:pPr>
    </w:p>
    <w:p w14:paraId="425B134F" w14:textId="77777777" w:rsidR="00BD462C" w:rsidRDefault="00BD462C">
      <w:pPr>
        <w:pStyle w:val="BodyText"/>
        <w:rPr>
          <w:sz w:val="20"/>
        </w:rPr>
      </w:pPr>
    </w:p>
    <w:p w14:paraId="3B009A50" w14:textId="685F20D4" w:rsidR="00BD462C" w:rsidRDefault="006E6DEA">
      <w:pPr>
        <w:pStyle w:val="BodyText"/>
        <w:spacing w:before="6"/>
        <w:rPr>
          <w:sz w:val="22"/>
        </w:rPr>
      </w:pPr>
      <w:r>
        <w:rPr>
          <w:noProof/>
        </w:rPr>
        <mc:AlternateContent>
          <mc:Choice Requires="wps">
            <w:drawing>
              <wp:anchor distT="0" distB="0" distL="0" distR="0" simplePos="0" relativeHeight="488129024" behindDoc="1" locked="0" layoutInCell="1" allowOverlap="1" wp14:anchorId="247B430D" wp14:editId="27C821FD">
                <wp:simplePos x="0" y="0"/>
                <wp:positionH relativeFrom="page">
                  <wp:posOffset>812800</wp:posOffset>
                </wp:positionH>
                <wp:positionV relativeFrom="paragraph">
                  <wp:posOffset>177800</wp:posOffset>
                </wp:positionV>
                <wp:extent cx="1828800" cy="8890"/>
                <wp:effectExtent l="0" t="0" r="0" b="0"/>
                <wp:wrapTopAndBottom/>
                <wp:docPr id="101" name="docshape7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CC5A55" id="docshape705" o:spid="_x0000_s1026" alt="&quot;&quot;" style="position:absolute;margin-left:64pt;margin-top:14pt;width:2in;height:.7pt;z-index:-1518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" fillcolor="black" stroked="f">
                <w10:wrap type="topAndBottom" anchorx="page"/>
              </v:rect>
            </w:pict>
          </mc:Fallback>
        </mc:AlternateContent>
      </w:r>
    </w:p>
    <w:p w14:paraId="212CB606" w14:textId="77777777" w:rsidR="00BD462C" w:rsidRDefault="00033D0F">
      <w:pPr>
        <w:spacing w:before="112"/>
        <w:ind w:left="135"/>
        <w:rPr>
          <w:sz w:val="18"/>
        </w:rPr>
      </w:pPr>
      <w:bookmarkStart w:id="1940" w:name="_bookmark1672"/>
      <w:bookmarkEnd w:id="1940"/>
      <w:r>
        <w:rPr>
          <w:position w:val="5"/>
          <w:sz w:val="12"/>
        </w:rPr>
        <w:t>1453</w:t>
      </w:r>
      <w:r>
        <w:rPr>
          <w:spacing w:val="16"/>
          <w:position w:val="5"/>
          <w:sz w:val="12"/>
        </w:rPr>
        <w:t xml:space="preserve"> </w:t>
      </w:r>
      <w:r>
        <w:rPr>
          <w:sz w:val="18"/>
        </w:rPr>
        <w:t>Panel</w:t>
      </w:r>
      <w:r>
        <w:rPr>
          <w:spacing w:val="-2"/>
          <w:sz w:val="18"/>
        </w:rPr>
        <w:t xml:space="preserve"> </w:t>
      </w:r>
      <w:r>
        <w:rPr>
          <w:sz w:val="18"/>
        </w:rPr>
        <w:t>Report,</w:t>
      </w:r>
      <w:r>
        <w:rPr>
          <w:spacing w:val="-6"/>
          <w:sz w:val="18"/>
        </w:rPr>
        <w:t xml:space="preserve"> </w:t>
      </w:r>
      <w:r>
        <w:rPr>
          <w:i/>
          <w:sz w:val="18"/>
        </w:rPr>
        <w:t>EU</w:t>
      </w:r>
      <w:r>
        <w:rPr>
          <w:i/>
          <w:spacing w:val="-1"/>
          <w:sz w:val="18"/>
        </w:rPr>
        <w:t xml:space="preserve"> </w:t>
      </w:r>
      <w:r>
        <w:rPr>
          <w:i/>
          <w:sz w:val="18"/>
        </w:rPr>
        <w:t>–</w:t>
      </w:r>
      <w:r>
        <w:rPr>
          <w:i/>
          <w:spacing w:val="-3"/>
          <w:sz w:val="18"/>
        </w:rPr>
        <w:t xml:space="preserve"> </w:t>
      </w:r>
      <w:r>
        <w:rPr>
          <w:i/>
          <w:sz w:val="18"/>
        </w:rPr>
        <w:t>Footwear</w:t>
      </w:r>
      <w:r>
        <w:rPr>
          <w:i/>
          <w:spacing w:val="-4"/>
          <w:sz w:val="18"/>
        </w:rPr>
        <w:t xml:space="preserve"> </w:t>
      </w:r>
      <w:r>
        <w:rPr>
          <w:i/>
          <w:sz w:val="18"/>
        </w:rPr>
        <w:t>(China)</w:t>
      </w:r>
      <w:r>
        <w:rPr>
          <w:sz w:val="18"/>
        </w:rPr>
        <w:t>,</w:t>
      </w:r>
      <w:r>
        <w:rPr>
          <w:spacing w:val="-1"/>
          <w:sz w:val="18"/>
        </w:rPr>
        <w:t xml:space="preserve"> </w:t>
      </w:r>
      <w:r>
        <w:rPr>
          <w:sz w:val="18"/>
        </w:rPr>
        <w:t>para.</w:t>
      </w:r>
      <w:r>
        <w:rPr>
          <w:spacing w:val="-2"/>
          <w:sz w:val="18"/>
        </w:rPr>
        <w:t xml:space="preserve"> 7.844.</w:t>
      </w:r>
    </w:p>
    <w:p w14:paraId="4B4FB82E" w14:textId="77777777" w:rsidR="00BD462C" w:rsidRDefault="00033D0F">
      <w:pPr>
        <w:spacing w:before="1"/>
        <w:ind w:left="135"/>
        <w:rPr>
          <w:sz w:val="18"/>
        </w:rPr>
      </w:pPr>
      <w:bookmarkStart w:id="1941" w:name="_bookmark1673"/>
      <w:bookmarkEnd w:id="1941"/>
      <w:r>
        <w:rPr>
          <w:position w:val="5"/>
          <w:sz w:val="12"/>
        </w:rPr>
        <w:t>1454</w:t>
      </w:r>
      <w:r>
        <w:rPr>
          <w:spacing w:val="11"/>
          <w:position w:val="5"/>
          <w:sz w:val="12"/>
        </w:rPr>
        <w:t xml:space="preserve"> </w:t>
      </w:r>
      <w:r>
        <w:rPr>
          <w:sz w:val="18"/>
        </w:rPr>
        <w:t>Anti-Dumping</w:t>
      </w:r>
      <w:r>
        <w:rPr>
          <w:spacing w:val="-7"/>
          <w:sz w:val="18"/>
        </w:rPr>
        <w:t xml:space="preserve"> </w:t>
      </w:r>
      <w:r>
        <w:rPr>
          <w:sz w:val="18"/>
        </w:rPr>
        <w:t>Final</w:t>
      </w:r>
      <w:r>
        <w:rPr>
          <w:spacing w:val="-3"/>
          <w:sz w:val="18"/>
        </w:rPr>
        <w:t xml:space="preserve"> </w:t>
      </w:r>
      <w:r>
        <w:rPr>
          <w:sz w:val="18"/>
        </w:rPr>
        <w:t>Determination</w:t>
      </w:r>
      <w:r>
        <w:rPr>
          <w:spacing w:val="-8"/>
          <w:sz w:val="18"/>
        </w:rPr>
        <w:t xml:space="preserve"> </w:t>
      </w:r>
      <w:r>
        <w:rPr>
          <w:sz w:val="18"/>
        </w:rPr>
        <w:t>(Exhibit</w:t>
      </w:r>
      <w:r>
        <w:rPr>
          <w:spacing w:val="-2"/>
          <w:sz w:val="18"/>
        </w:rPr>
        <w:t xml:space="preserve"> </w:t>
      </w:r>
      <w:r>
        <w:rPr>
          <w:sz w:val="18"/>
        </w:rPr>
        <w:t>AUS-2),</w:t>
      </w:r>
      <w:r>
        <w:rPr>
          <w:spacing w:val="-6"/>
          <w:sz w:val="18"/>
        </w:rPr>
        <w:t xml:space="preserve"> </w:t>
      </w:r>
      <w:r>
        <w:rPr>
          <w:sz w:val="18"/>
        </w:rPr>
        <w:t>pp.</w:t>
      </w:r>
      <w:r>
        <w:rPr>
          <w:spacing w:val="-1"/>
          <w:sz w:val="18"/>
        </w:rPr>
        <w:t xml:space="preserve"> </w:t>
      </w:r>
      <w:r>
        <w:rPr>
          <w:sz w:val="18"/>
        </w:rPr>
        <w:t>98-</w:t>
      </w:r>
      <w:r>
        <w:rPr>
          <w:spacing w:val="-5"/>
          <w:sz w:val="18"/>
        </w:rPr>
        <w:t>99.</w:t>
      </w:r>
    </w:p>
    <w:p w14:paraId="4C5998CC" w14:textId="77777777" w:rsidR="00BD462C" w:rsidRDefault="00033D0F">
      <w:pPr>
        <w:spacing w:before="1"/>
        <w:ind w:left="135"/>
        <w:rPr>
          <w:sz w:val="18"/>
        </w:rPr>
      </w:pPr>
      <w:bookmarkStart w:id="1942" w:name="_bookmark1674"/>
      <w:bookmarkEnd w:id="1942"/>
      <w:r>
        <w:rPr>
          <w:position w:val="5"/>
          <w:sz w:val="12"/>
        </w:rPr>
        <w:t>1455</w:t>
      </w:r>
      <w:r>
        <w:rPr>
          <w:spacing w:val="12"/>
          <w:position w:val="5"/>
          <w:sz w:val="12"/>
        </w:rPr>
        <w:t xml:space="preserve"> </w:t>
      </w:r>
      <w:r>
        <w:rPr>
          <w:sz w:val="18"/>
        </w:rPr>
        <w:t>Australia's</w:t>
      </w:r>
      <w:r>
        <w:rPr>
          <w:spacing w:val="-6"/>
          <w:sz w:val="18"/>
        </w:rPr>
        <w:t xml:space="preserve"> </w:t>
      </w:r>
      <w:r>
        <w:rPr>
          <w:sz w:val="18"/>
        </w:rPr>
        <w:t>first</w:t>
      </w:r>
      <w:r>
        <w:rPr>
          <w:spacing w:val="-5"/>
          <w:sz w:val="18"/>
        </w:rPr>
        <w:t xml:space="preserve"> </w:t>
      </w:r>
      <w:r>
        <w:rPr>
          <w:sz w:val="18"/>
        </w:rPr>
        <w:t>written</w:t>
      </w:r>
      <w:r>
        <w:rPr>
          <w:spacing w:val="-2"/>
          <w:sz w:val="18"/>
        </w:rPr>
        <w:t xml:space="preserve"> </w:t>
      </w:r>
      <w:r>
        <w:rPr>
          <w:sz w:val="18"/>
        </w:rPr>
        <w:t>submission, para.</w:t>
      </w:r>
      <w:r>
        <w:rPr>
          <w:spacing w:val="-5"/>
          <w:sz w:val="18"/>
        </w:rPr>
        <w:t xml:space="preserve"> </w:t>
      </w:r>
      <w:r>
        <w:rPr>
          <w:spacing w:val="-2"/>
          <w:sz w:val="18"/>
        </w:rPr>
        <w:t>1110.</w:t>
      </w:r>
    </w:p>
    <w:p w14:paraId="2447AD04" w14:textId="77777777" w:rsidR="00BD462C" w:rsidRDefault="00BD462C">
      <w:pPr>
        <w:rPr>
          <w:sz w:val="18"/>
        </w:rPr>
        <w:sectPr w:rsidR="00BD462C">
          <w:pgSz w:w="11910" w:h="16840"/>
          <w:pgMar w:top="860" w:right="500" w:bottom="780" w:left="1280" w:header="566" w:footer="590" w:gutter="0"/>
          <w:cols w:space="720"/>
        </w:sectPr>
      </w:pPr>
    </w:p>
    <w:p w14:paraId="6CC5434C"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66B3BA6F"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18043009"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73B37879" w14:textId="46689557" w:rsidR="00BD462C" w:rsidRDefault="000F4E56">
      <w:pPr>
        <w:pStyle w:val="BodyText"/>
        <w:spacing w:before="107" w:line="360" w:lineRule="auto"/>
        <w:ind w:left="135" w:right="906" w:firstLine="9"/>
        <w:jc w:val="both"/>
      </w:pPr>
      <w:r>
        <w:rPr>
          <w:noProof/>
        </w:rPr>
        <w:t>1004.</w:t>
      </w:r>
      <w:r w:rsidR="00033D0F">
        <w:rPr>
          <w:rFonts w:ascii="Times New Roman" w:hAnsi="Times New Roman"/>
          <w:spacing w:val="80"/>
          <w:w w:val="150"/>
          <w:position w:val="1"/>
          <w:sz w:val="20"/>
        </w:rPr>
        <w:t xml:space="preserve"> </w:t>
      </w:r>
      <w:r w:rsidR="00033D0F">
        <w:rPr>
          <w:position w:val="1"/>
        </w:rPr>
        <w:t>First,</w:t>
      </w:r>
      <w:r w:rsidR="00033D0F">
        <w:rPr>
          <w:spacing w:val="-10"/>
          <w:position w:val="1"/>
        </w:rPr>
        <w:t xml:space="preserve"> </w:t>
      </w:r>
      <w:r w:rsidR="00033D0F">
        <w:rPr>
          <w:position w:val="1"/>
        </w:rPr>
        <w:t>China's</w:t>
      </w:r>
      <w:r w:rsidR="00033D0F">
        <w:rPr>
          <w:spacing w:val="-10"/>
          <w:position w:val="1"/>
        </w:rPr>
        <w:t xml:space="preserve"> </w:t>
      </w:r>
      <w:r w:rsidR="00033D0F">
        <w:rPr>
          <w:position w:val="1"/>
        </w:rPr>
        <w:t>reliance</w:t>
      </w:r>
      <w:r w:rsidR="00033D0F">
        <w:rPr>
          <w:spacing w:val="-12"/>
          <w:position w:val="1"/>
        </w:rPr>
        <w:t xml:space="preserve"> </w:t>
      </w:r>
      <w:r w:rsidR="00033D0F">
        <w:rPr>
          <w:position w:val="1"/>
        </w:rPr>
        <w:t>on</w:t>
      </w:r>
      <w:r w:rsidR="00033D0F">
        <w:rPr>
          <w:spacing w:val="-14"/>
          <w:position w:val="1"/>
        </w:rPr>
        <w:t xml:space="preserve"> </w:t>
      </w:r>
      <w:r w:rsidR="00033D0F">
        <w:rPr>
          <w:position w:val="1"/>
        </w:rPr>
        <w:t>the</w:t>
      </w:r>
      <w:r w:rsidR="00033D0F">
        <w:rPr>
          <w:spacing w:val="-12"/>
          <w:position w:val="1"/>
        </w:rPr>
        <w:t xml:space="preserve"> </w:t>
      </w:r>
      <w:r w:rsidR="00033D0F">
        <w:rPr>
          <w:position w:val="1"/>
        </w:rPr>
        <w:t>panel</w:t>
      </w:r>
      <w:r w:rsidR="00033D0F">
        <w:rPr>
          <w:spacing w:val="-10"/>
          <w:position w:val="1"/>
        </w:rPr>
        <w:t xml:space="preserve"> </w:t>
      </w:r>
      <w:r w:rsidR="00033D0F">
        <w:rPr>
          <w:position w:val="1"/>
        </w:rPr>
        <w:t>report</w:t>
      </w:r>
      <w:r w:rsidR="00033D0F">
        <w:rPr>
          <w:spacing w:val="-6"/>
          <w:position w:val="1"/>
        </w:rPr>
        <w:t xml:space="preserve"> </w:t>
      </w:r>
      <w:r w:rsidR="00033D0F">
        <w:rPr>
          <w:position w:val="1"/>
        </w:rPr>
        <w:t>of</w:t>
      </w:r>
      <w:r w:rsidR="00033D0F">
        <w:rPr>
          <w:spacing w:val="-14"/>
          <w:position w:val="1"/>
        </w:rPr>
        <w:t xml:space="preserve"> </w:t>
      </w:r>
      <w:r w:rsidR="00033D0F">
        <w:rPr>
          <w:i/>
          <w:position w:val="1"/>
        </w:rPr>
        <w:t>EC</w:t>
      </w:r>
      <w:r w:rsidR="00033D0F">
        <w:rPr>
          <w:i/>
          <w:spacing w:val="-13"/>
          <w:position w:val="1"/>
        </w:rPr>
        <w:t xml:space="preserve"> </w:t>
      </w:r>
      <w:r w:rsidR="00033D0F">
        <w:rPr>
          <w:i/>
          <w:position w:val="1"/>
        </w:rPr>
        <w:t>–</w:t>
      </w:r>
      <w:r w:rsidR="00033D0F">
        <w:rPr>
          <w:i/>
          <w:spacing w:val="-12"/>
          <w:position w:val="1"/>
        </w:rPr>
        <w:t xml:space="preserve"> </w:t>
      </w:r>
      <w:r w:rsidR="00033D0F">
        <w:rPr>
          <w:i/>
          <w:position w:val="1"/>
        </w:rPr>
        <w:t>Bed</w:t>
      </w:r>
      <w:r w:rsidR="00033D0F">
        <w:rPr>
          <w:i/>
          <w:spacing w:val="-11"/>
          <w:position w:val="1"/>
        </w:rPr>
        <w:t xml:space="preserve"> </w:t>
      </w:r>
      <w:r w:rsidR="00033D0F">
        <w:rPr>
          <w:i/>
          <w:position w:val="1"/>
        </w:rPr>
        <w:t>Linen</w:t>
      </w:r>
      <w:r w:rsidR="00033D0F">
        <w:rPr>
          <w:i/>
          <w:spacing w:val="-14"/>
          <w:position w:val="1"/>
        </w:rPr>
        <w:t xml:space="preserve"> </w:t>
      </w:r>
      <w:r w:rsidR="00033D0F">
        <w:rPr>
          <w:position w:val="1"/>
        </w:rPr>
        <w:t>in</w:t>
      </w:r>
      <w:r w:rsidR="00033D0F">
        <w:rPr>
          <w:spacing w:val="-14"/>
          <w:position w:val="1"/>
        </w:rPr>
        <w:t xml:space="preserve"> </w:t>
      </w:r>
      <w:r w:rsidR="00033D0F">
        <w:rPr>
          <w:position w:val="1"/>
        </w:rPr>
        <w:t>support</w:t>
      </w:r>
      <w:r w:rsidR="00033D0F">
        <w:rPr>
          <w:spacing w:val="-10"/>
          <w:position w:val="1"/>
        </w:rPr>
        <w:t xml:space="preserve"> </w:t>
      </w:r>
      <w:r w:rsidR="00033D0F">
        <w:rPr>
          <w:position w:val="1"/>
        </w:rPr>
        <w:t>of</w:t>
      </w:r>
      <w:r w:rsidR="00033D0F">
        <w:rPr>
          <w:spacing w:val="-9"/>
          <w:position w:val="1"/>
        </w:rPr>
        <w:t xml:space="preserve"> </w:t>
      </w:r>
      <w:r w:rsidR="00033D0F">
        <w:rPr>
          <w:position w:val="1"/>
        </w:rPr>
        <w:t>its</w:t>
      </w:r>
      <w:r w:rsidR="00033D0F">
        <w:rPr>
          <w:spacing w:val="-10"/>
          <w:position w:val="1"/>
        </w:rPr>
        <w:t xml:space="preserve"> </w:t>
      </w:r>
      <w:r w:rsidR="00033D0F">
        <w:rPr>
          <w:position w:val="1"/>
        </w:rPr>
        <w:t xml:space="preserve">proposition </w:t>
      </w:r>
      <w:r w:rsidR="00033D0F">
        <w:t>that disclosure of such methodology was not required</w:t>
      </w:r>
      <w:r w:rsidR="00033D0F">
        <w:rPr>
          <w:spacing w:val="-14"/>
        </w:rPr>
        <w:t xml:space="preserve"> </w:t>
      </w:r>
      <w:r w:rsidR="00033D0F">
        <w:t>is misplaced.</w:t>
      </w:r>
      <w:hyperlink w:anchor="_bookmark1675" w:history="1">
        <w:r w:rsidR="00033D0F">
          <w:rPr>
            <w:vertAlign w:val="superscript"/>
          </w:rPr>
          <w:t>1456</w:t>
        </w:r>
      </w:hyperlink>
      <w:r w:rsidR="00033D0F">
        <w:t xml:space="preserve"> As set out above, it is clear from the text of Article 12.2.1(iii) itself that information relating to the methodology selected and used in the comparison of export price and normal values is required under Articles 12.2 and 12.2.2.</w:t>
      </w:r>
      <w:hyperlink w:anchor="_bookmark1676" w:history="1">
        <w:r w:rsidR="00033D0F">
          <w:rPr>
            <w:vertAlign w:val="superscript"/>
          </w:rPr>
          <w:t>1457</w:t>
        </w:r>
      </w:hyperlink>
      <w:r w:rsidR="00033D0F">
        <w:t xml:space="preserve"> Second, China argues that no additional detail was required in disclosing the methodology other than stating that MOFCOM did a comparative analysis of prices by "</w:t>
      </w:r>
      <w:proofErr w:type="spellStart"/>
      <w:r w:rsidR="00033D0F">
        <w:t>compar</w:t>
      </w:r>
      <w:proofErr w:type="spellEnd"/>
      <w:r w:rsidR="00033D0F">
        <w:t>[</w:t>
      </w:r>
      <w:proofErr w:type="spellStart"/>
      <w:r w:rsidR="00033D0F">
        <w:t>ing</w:t>
      </w:r>
      <w:proofErr w:type="spellEnd"/>
      <w:r w:rsidR="00033D0F">
        <w:t>]</w:t>
      </w:r>
      <w:r w:rsidR="00033D0F">
        <w:rPr>
          <w:spacing w:val="-4"/>
        </w:rPr>
        <w:t xml:space="preserve"> </w:t>
      </w:r>
      <w:r w:rsidR="00033D0F">
        <w:t>the</w:t>
      </w:r>
      <w:r w:rsidR="00033D0F">
        <w:rPr>
          <w:spacing w:val="-2"/>
        </w:rPr>
        <w:t xml:space="preserve"> </w:t>
      </w:r>
      <w:r w:rsidR="00033D0F">
        <w:t>weighted</w:t>
      </w:r>
      <w:r w:rsidR="00033D0F">
        <w:rPr>
          <w:spacing w:val="-3"/>
        </w:rPr>
        <w:t xml:space="preserve"> </w:t>
      </w:r>
      <w:r w:rsidR="00033D0F">
        <w:t>average</w:t>
      </w:r>
      <w:r w:rsidR="00033D0F">
        <w:rPr>
          <w:spacing w:val="-1"/>
        </w:rPr>
        <w:t xml:space="preserve"> </w:t>
      </w:r>
      <w:r w:rsidR="00033D0F">
        <w:t>normal value</w:t>
      </w:r>
      <w:r w:rsidR="00033D0F">
        <w:rPr>
          <w:spacing w:val="-2"/>
        </w:rPr>
        <w:t xml:space="preserve"> </w:t>
      </w:r>
      <w:r w:rsidR="00033D0F">
        <w:t>with</w:t>
      </w:r>
      <w:r w:rsidR="00033D0F">
        <w:rPr>
          <w:spacing w:val="-3"/>
        </w:rPr>
        <w:t xml:space="preserve"> </w:t>
      </w:r>
      <w:r w:rsidR="00033D0F">
        <w:t>the</w:t>
      </w:r>
      <w:r w:rsidR="00033D0F">
        <w:rPr>
          <w:spacing w:val="-2"/>
        </w:rPr>
        <w:t xml:space="preserve"> </w:t>
      </w:r>
      <w:r w:rsidR="00033D0F">
        <w:t>weighted</w:t>
      </w:r>
      <w:r w:rsidR="00033D0F">
        <w:rPr>
          <w:spacing w:val="-3"/>
        </w:rPr>
        <w:t xml:space="preserve"> </w:t>
      </w:r>
      <w:r w:rsidR="00033D0F">
        <w:t>average</w:t>
      </w:r>
      <w:r w:rsidR="00033D0F">
        <w:rPr>
          <w:spacing w:val="-1"/>
        </w:rPr>
        <w:t xml:space="preserve"> </w:t>
      </w:r>
      <w:r w:rsidR="00033D0F">
        <w:t>export price".</w:t>
      </w:r>
      <w:hyperlink w:anchor="_bookmark1677" w:history="1">
        <w:r w:rsidR="00033D0F">
          <w:rPr>
            <w:vertAlign w:val="superscript"/>
          </w:rPr>
          <w:t>1458</w:t>
        </w:r>
      </w:hyperlink>
      <w:r w:rsidR="00033D0F">
        <w:t xml:space="preserve"> However, as set out above, this is simply a reiteration of the requirement under Article 2.4</w:t>
      </w:r>
      <w:hyperlink w:anchor="_bookmark1678" w:history="1">
        <w:r w:rsidR="00033D0F">
          <w:rPr>
            <w:vertAlign w:val="superscript"/>
          </w:rPr>
          <w:t>1459</w:t>
        </w:r>
      </w:hyperlink>
      <w:r w:rsidR="00033D0F">
        <w:t xml:space="preserve"> and does not provide all information relating to fact and law and reasons MOFCOM found material when considering the methodology it applied in the establishment and comparison of the export price and the normal value.</w:t>
      </w:r>
      <w:hyperlink w:anchor="_bookmark1679" w:history="1">
        <w:r w:rsidR="00033D0F">
          <w:rPr>
            <w:vertAlign w:val="superscript"/>
          </w:rPr>
          <w:t>1460</w:t>
        </w:r>
      </w:hyperlink>
    </w:p>
    <w:p w14:paraId="4721A46E" w14:textId="77777777" w:rsidR="00BD462C" w:rsidRDefault="00033D0F">
      <w:pPr>
        <w:pStyle w:val="ListParagraph"/>
        <w:numPr>
          <w:ilvl w:val="1"/>
          <w:numId w:val="9"/>
        </w:numPr>
        <w:tabs>
          <w:tab w:val="left" w:pos="4388"/>
          <w:tab w:val="left" w:pos="4389"/>
        </w:tabs>
        <w:spacing w:before="153"/>
        <w:jc w:val="both"/>
        <w:rPr>
          <w:i/>
          <w:sz w:val="24"/>
        </w:rPr>
      </w:pPr>
      <w:bookmarkStart w:id="1943" w:name="i._All_Others_and_other_named_Australian"/>
      <w:bookmarkEnd w:id="1943"/>
      <w:r>
        <w:rPr>
          <w:i/>
          <w:sz w:val="24"/>
        </w:rPr>
        <w:t>All Others</w:t>
      </w:r>
      <w:r>
        <w:rPr>
          <w:i/>
          <w:spacing w:val="-4"/>
          <w:sz w:val="24"/>
        </w:rPr>
        <w:t xml:space="preserve"> </w:t>
      </w:r>
      <w:r>
        <w:rPr>
          <w:i/>
          <w:sz w:val="24"/>
        </w:rPr>
        <w:t>and</w:t>
      </w:r>
      <w:r>
        <w:rPr>
          <w:i/>
          <w:spacing w:val="-2"/>
          <w:sz w:val="24"/>
        </w:rPr>
        <w:t xml:space="preserve"> </w:t>
      </w:r>
      <w:r>
        <w:rPr>
          <w:i/>
          <w:sz w:val="24"/>
        </w:rPr>
        <w:t>other</w:t>
      </w:r>
      <w:r>
        <w:rPr>
          <w:i/>
          <w:spacing w:val="-3"/>
          <w:sz w:val="24"/>
        </w:rPr>
        <w:t xml:space="preserve"> </w:t>
      </w:r>
      <w:r>
        <w:rPr>
          <w:i/>
          <w:sz w:val="24"/>
        </w:rPr>
        <w:t>named</w:t>
      </w:r>
      <w:r>
        <w:rPr>
          <w:i/>
          <w:spacing w:val="-2"/>
          <w:sz w:val="24"/>
        </w:rPr>
        <w:t xml:space="preserve"> </w:t>
      </w:r>
      <w:r>
        <w:rPr>
          <w:i/>
          <w:sz w:val="24"/>
        </w:rPr>
        <w:t>Australian</w:t>
      </w:r>
      <w:r>
        <w:rPr>
          <w:i/>
          <w:spacing w:val="-1"/>
          <w:sz w:val="24"/>
        </w:rPr>
        <w:t xml:space="preserve"> </w:t>
      </w:r>
      <w:r>
        <w:rPr>
          <w:i/>
          <w:spacing w:val="-2"/>
          <w:sz w:val="24"/>
        </w:rPr>
        <w:t>exporters</w:t>
      </w:r>
    </w:p>
    <w:p w14:paraId="70ADEE25" w14:textId="77777777" w:rsidR="00BD462C" w:rsidRDefault="00BD462C">
      <w:pPr>
        <w:pStyle w:val="BodyText"/>
        <w:spacing w:before="12"/>
        <w:rPr>
          <w:i/>
          <w:sz w:val="20"/>
        </w:rPr>
      </w:pPr>
    </w:p>
    <w:p w14:paraId="5B95E7A4" w14:textId="60817FA6" w:rsidR="00BD462C" w:rsidRDefault="000F4E56">
      <w:pPr>
        <w:pStyle w:val="BodyText"/>
        <w:spacing w:before="56" w:line="360" w:lineRule="auto"/>
        <w:ind w:left="135" w:right="910" w:firstLine="9"/>
        <w:jc w:val="both"/>
      </w:pPr>
      <w:r>
        <w:rPr>
          <w:noProof/>
        </w:rPr>
        <w:t>1005.</w:t>
      </w:r>
      <w:r w:rsidR="00033D0F">
        <w:rPr>
          <w:rFonts w:ascii="Times New Roman" w:hAnsi="Times New Roman"/>
          <w:spacing w:val="80"/>
          <w:position w:val="1"/>
          <w:sz w:val="20"/>
        </w:rPr>
        <w:t xml:space="preserve"> </w:t>
      </w:r>
      <w:r w:rsidR="00033D0F">
        <w:rPr>
          <w:position w:val="1"/>
        </w:rPr>
        <w:t xml:space="preserve">Further, with regard to the "All Others" group of exporters, Australia maintains that </w:t>
      </w:r>
      <w:r w:rsidR="00033D0F">
        <w:t>the excerpt from the Final Determination reproduced by China in its first written submission</w:t>
      </w:r>
      <w:hyperlink w:anchor="_bookmark1680" w:history="1">
        <w:r w:rsidR="00033D0F">
          <w:rPr>
            <w:vertAlign w:val="superscript"/>
          </w:rPr>
          <w:t>1461</w:t>
        </w:r>
      </w:hyperlink>
      <w:r w:rsidR="00033D0F">
        <w:rPr>
          <w:spacing w:val="-3"/>
        </w:rPr>
        <w:t xml:space="preserve"> </w:t>
      </w:r>
      <w:r w:rsidR="00033D0F">
        <w:t>does</w:t>
      </w:r>
      <w:r w:rsidR="00033D0F">
        <w:rPr>
          <w:spacing w:val="-2"/>
        </w:rPr>
        <w:t xml:space="preserve"> </w:t>
      </w:r>
      <w:r w:rsidR="00033D0F">
        <w:t>not</w:t>
      </w:r>
      <w:r w:rsidR="00033D0F">
        <w:rPr>
          <w:spacing w:val="-3"/>
        </w:rPr>
        <w:t xml:space="preserve"> </w:t>
      </w:r>
      <w:r w:rsidR="00033D0F">
        <w:t>provide</w:t>
      </w:r>
      <w:r w:rsidR="00033D0F">
        <w:rPr>
          <w:spacing w:val="-4"/>
        </w:rPr>
        <w:t xml:space="preserve"> </w:t>
      </w:r>
      <w:r w:rsidR="00033D0F">
        <w:t>any</w:t>
      </w:r>
      <w:r w:rsidR="00033D0F">
        <w:rPr>
          <w:spacing w:val="-2"/>
        </w:rPr>
        <w:t xml:space="preserve"> </w:t>
      </w:r>
      <w:r w:rsidR="00033D0F">
        <w:t>detail</w:t>
      </w:r>
      <w:r w:rsidR="00033D0F">
        <w:rPr>
          <w:spacing w:val="-1"/>
        </w:rPr>
        <w:t xml:space="preserve"> </w:t>
      </w:r>
      <w:r w:rsidR="00033D0F">
        <w:t>about</w:t>
      </w:r>
      <w:r w:rsidR="00033D0F">
        <w:rPr>
          <w:spacing w:val="-3"/>
        </w:rPr>
        <w:t xml:space="preserve"> </w:t>
      </w:r>
      <w:r w:rsidR="00033D0F">
        <w:t>the</w:t>
      </w:r>
      <w:r w:rsidR="00033D0F">
        <w:rPr>
          <w:spacing w:val="-8"/>
        </w:rPr>
        <w:t xml:space="preserve"> </w:t>
      </w:r>
      <w:r w:rsidR="00033D0F">
        <w:t>facts</w:t>
      </w:r>
      <w:r w:rsidR="00033D0F">
        <w:rPr>
          <w:spacing w:val="-2"/>
        </w:rPr>
        <w:t xml:space="preserve"> </w:t>
      </w:r>
      <w:r w:rsidR="00033D0F">
        <w:t>that</w:t>
      </w:r>
      <w:r w:rsidR="00033D0F">
        <w:rPr>
          <w:spacing w:val="-3"/>
        </w:rPr>
        <w:t xml:space="preserve"> </w:t>
      </w:r>
      <w:r w:rsidR="00033D0F">
        <w:t>MOFCOM</w:t>
      </w:r>
      <w:r w:rsidR="00033D0F">
        <w:rPr>
          <w:spacing w:val="-2"/>
        </w:rPr>
        <w:t xml:space="preserve"> </w:t>
      </w:r>
      <w:r w:rsidR="00033D0F">
        <w:t>selected</w:t>
      </w:r>
      <w:r w:rsidR="00033D0F">
        <w:rPr>
          <w:spacing w:val="-10"/>
        </w:rPr>
        <w:t xml:space="preserve"> </w:t>
      </w:r>
      <w:r w:rsidR="00033D0F">
        <w:t>in</w:t>
      </w:r>
      <w:r w:rsidR="00033D0F">
        <w:rPr>
          <w:spacing w:val="-5"/>
        </w:rPr>
        <w:t xml:space="preserve"> </w:t>
      </w:r>
      <w:r w:rsidR="00033D0F">
        <w:t>order</w:t>
      </w:r>
      <w:r w:rsidR="00033D0F">
        <w:rPr>
          <w:spacing w:val="-6"/>
        </w:rPr>
        <w:t xml:space="preserve"> </w:t>
      </w:r>
      <w:r w:rsidR="00033D0F">
        <w:t>to calculate the extremely high margin.</w:t>
      </w:r>
      <w:hyperlink w:anchor="_bookmark1681" w:history="1">
        <w:r w:rsidR="00033D0F">
          <w:rPr>
            <w:vertAlign w:val="superscript"/>
          </w:rPr>
          <w:t>1462</w:t>
        </w:r>
      </w:hyperlink>
      <w:r w:rsidR="00033D0F">
        <w:t xml:space="preserve"> Moreover, China now reveals that the weights that were used when calculating the dumping margin for the "other named Australian Exporters” were based on export volume. This is critical information that was essential for interested parties to understand how their dumping margins were calculated. However, it was not disclosed in MOFCOM's Final Determination. It was impossible for the interested parties to even speculate on the basis of MOFCOM's calculations, as the rates that were set appear to be entirely unrelated to the rates fixed for the sampled companies. This information would have</w:t>
      </w:r>
      <w:r w:rsidR="00033D0F">
        <w:rPr>
          <w:spacing w:val="-14"/>
        </w:rPr>
        <w:t xml:space="preserve"> </w:t>
      </w:r>
      <w:r w:rsidR="00033D0F">
        <w:t>been</w:t>
      </w:r>
      <w:r w:rsidR="00033D0F">
        <w:rPr>
          <w:spacing w:val="-14"/>
        </w:rPr>
        <w:t xml:space="preserve"> </w:t>
      </w:r>
      <w:r w:rsidR="00033D0F">
        <w:t>material</w:t>
      </w:r>
      <w:r w:rsidR="00033D0F">
        <w:rPr>
          <w:spacing w:val="-13"/>
        </w:rPr>
        <w:t xml:space="preserve"> </w:t>
      </w:r>
      <w:r w:rsidR="00033D0F">
        <w:t>to</w:t>
      </w:r>
      <w:r w:rsidR="00033D0F">
        <w:rPr>
          <w:spacing w:val="-14"/>
        </w:rPr>
        <w:t xml:space="preserve"> </w:t>
      </w:r>
      <w:r w:rsidR="00033D0F">
        <w:t>MOFCOM's</w:t>
      </w:r>
      <w:r w:rsidR="00033D0F">
        <w:rPr>
          <w:spacing w:val="-13"/>
        </w:rPr>
        <w:t xml:space="preserve"> </w:t>
      </w:r>
      <w:r w:rsidR="00033D0F">
        <w:t>determination</w:t>
      </w:r>
      <w:r w:rsidR="00033D0F">
        <w:rPr>
          <w:spacing w:val="-14"/>
        </w:rPr>
        <w:t xml:space="preserve"> </w:t>
      </w:r>
      <w:r w:rsidR="00033D0F">
        <w:t>of</w:t>
      </w:r>
      <w:r w:rsidR="00033D0F">
        <w:rPr>
          <w:spacing w:val="-13"/>
        </w:rPr>
        <w:t xml:space="preserve"> </w:t>
      </w:r>
      <w:r w:rsidR="00033D0F">
        <w:t>the</w:t>
      </w:r>
      <w:r w:rsidR="00033D0F">
        <w:rPr>
          <w:spacing w:val="-14"/>
        </w:rPr>
        <w:t xml:space="preserve"> </w:t>
      </w:r>
      <w:r w:rsidR="00033D0F">
        <w:t>margin</w:t>
      </w:r>
      <w:r w:rsidR="00033D0F">
        <w:rPr>
          <w:spacing w:val="-14"/>
        </w:rPr>
        <w:t xml:space="preserve"> </w:t>
      </w:r>
      <w:r w:rsidR="00033D0F">
        <w:t>of</w:t>
      </w:r>
      <w:r w:rsidR="00033D0F">
        <w:rPr>
          <w:spacing w:val="-13"/>
        </w:rPr>
        <w:t xml:space="preserve"> </w:t>
      </w:r>
      <w:r w:rsidR="00033D0F">
        <w:t>dumping</w:t>
      </w:r>
      <w:r w:rsidR="00033D0F">
        <w:rPr>
          <w:spacing w:val="-14"/>
        </w:rPr>
        <w:t xml:space="preserve"> </w:t>
      </w:r>
      <w:r w:rsidR="00033D0F">
        <w:t>for</w:t>
      </w:r>
      <w:r w:rsidR="00033D0F">
        <w:rPr>
          <w:spacing w:val="-13"/>
        </w:rPr>
        <w:t xml:space="preserve"> </w:t>
      </w:r>
      <w:r w:rsidR="00033D0F">
        <w:t>the</w:t>
      </w:r>
      <w:r w:rsidR="00033D0F">
        <w:rPr>
          <w:spacing w:val="-14"/>
        </w:rPr>
        <w:t xml:space="preserve"> </w:t>
      </w:r>
      <w:r w:rsidR="00033D0F">
        <w:t>"All</w:t>
      </w:r>
      <w:r w:rsidR="00033D0F">
        <w:rPr>
          <w:spacing w:val="-13"/>
        </w:rPr>
        <w:t xml:space="preserve"> </w:t>
      </w:r>
      <w:r w:rsidR="00033D0F">
        <w:t>Others" category and, as such, should have been disclosed in the Final Determination.</w:t>
      </w:r>
    </w:p>
    <w:p w14:paraId="20E4757E" w14:textId="77777777" w:rsidR="00BD462C" w:rsidRDefault="00BD462C">
      <w:pPr>
        <w:pStyle w:val="BodyText"/>
        <w:rPr>
          <w:sz w:val="20"/>
        </w:rPr>
      </w:pPr>
    </w:p>
    <w:p w14:paraId="777C205D" w14:textId="77777777" w:rsidR="00BD462C" w:rsidRDefault="00BD462C">
      <w:pPr>
        <w:pStyle w:val="BodyText"/>
        <w:rPr>
          <w:sz w:val="20"/>
        </w:rPr>
      </w:pPr>
    </w:p>
    <w:p w14:paraId="6FF27576" w14:textId="5D1378EE" w:rsidR="00BD462C" w:rsidRDefault="006E6DEA">
      <w:pPr>
        <w:pStyle w:val="BodyText"/>
        <w:spacing w:before="7"/>
        <w:rPr>
          <w:sz w:val="18"/>
        </w:rPr>
      </w:pPr>
      <w:r>
        <w:rPr>
          <w:noProof/>
        </w:rPr>
        <mc:AlternateContent>
          <mc:Choice Requires="wps">
            <w:drawing>
              <wp:anchor distT="0" distB="0" distL="0" distR="0" simplePos="0" relativeHeight="488126976" behindDoc="1" locked="0" layoutInCell="1" allowOverlap="1" wp14:anchorId="4F131EB2" wp14:editId="2B8D8382">
                <wp:simplePos x="0" y="0"/>
                <wp:positionH relativeFrom="page">
                  <wp:posOffset>812800</wp:posOffset>
                </wp:positionH>
                <wp:positionV relativeFrom="paragraph">
                  <wp:posOffset>144145</wp:posOffset>
                </wp:positionV>
                <wp:extent cx="1828800" cy="8890"/>
                <wp:effectExtent l="0" t="0" r="0" b="0"/>
                <wp:wrapTopAndBottom/>
                <wp:docPr id="99" name="docshape7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C2DA6F" id="docshape705" o:spid="_x0000_s1026" alt="&quot;&quot;" style="position:absolute;margin-left:64pt;margin-top:11.35pt;width:2in;height:.7pt;z-index:-1518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" fillcolor="black" stroked="f">
                <w10:wrap type="topAndBottom" anchorx="page"/>
              </v:rect>
            </w:pict>
          </mc:Fallback>
        </mc:AlternateContent>
      </w:r>
    </w:p>
    <w:p w14:paraId="43911C70" w14:textId="77777777" w:rsidR="00BD462C" w:rsidRDefault="00033D0F">
      <w:pPr>
        <w:spacing w:before="112"/>
        <w:ind w:left="135"/>
        <w:rPr>
          <w:sz w:val="18"/>
        </w:rPr>
      </w:pPr>
      <w:bookmarkStart w:id="1944" w:name="_bookmark1675"/>
      <w:bookmarkEnd w:id="1944"/>
      <w:r>
        <w:rPr>
          <w:position w:val="5"/>
          <w:sz w:val="12"/>
        </w:rPr>
        <w:t>1456</w:t>
      </w:r>
      <w:r>
        <w:rPr>
          <w:spacing w:val="13"/>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 xml:space="preserve">para. </w:t>
      </w:r>
      <w:r>
        <w:rPr>
          <w:spacing w:val="-2"/>
          <w:sz w:val="18"/>
        </w:rPr>
        <w:t>2643.</w:t>
      </w:r>
    </w:p>
    <w:p w14:paraId="30FCD62C" w14:textId="77777777" w:rsidR="00BD462C" w:rsidRDefault="00033D0F">
      <w:pPr>
        <w:spacing w:before="1"/>
        <w:ind w:left="135"/>
        <w:rPr>
          <w:sz w:val="18"/>
        </w:rPr>
      </w:pPr>
      <w:bookmarkStart w:id="1945" w:name="_bookmark1676"/>
      <w:bookmarkEnd w:id="1945"/>
      <w:r>
        <w:rPr>
          <w:position w:val="5"/>
          <w:sz w:val="12"/>
        </w:rPr>
        <w:t>1457</w:t>
      </w:r>
      <w:r>
        <w:rPr>
          <w:spacing w:val="16"/>
          <w:position w:val="5"/>
          <w:sz w:val="12"/>
        </w:rPr>
        <w:t xml:space="preserve"> </w:t>
      </w:r>
      <w:r>
        <w:rPr>
          <w:sz w:val="18"/>
        </w:rPr>
        <w:t>See</w:t>
      </w:r>
      <w:r>
        <w:rPr>
          <w:spacing w:val="-2"/>
          <w:sz w:val="18"/>
        </w:rPr>
        <w:t xml:space="preserve"> </w:t>
      </w:r>
      <w:r>
        <w:rPr>
          <w:sz w:val="18"/>
        </w:rPr>
        <w:t>above, para.</w:t>
      </w:r>
      <w:r>
        <w:rPr>
          <w:spacing w:val="-6"/>
          <w:sz w:val="18"/>
        </w:rPr>
        <w:t xml:space="preserve"> </w:t>
      </w:r>
      <w:hyperlink w:anchor="_bookmark1626" w:history="1">
        <w:r>
          <w:rPr>
            <w:spacing w:val="-2"/>
            <w:sz w:val="18"/>
          </w:rPr>
          <w:t>VII.I.2(b).</w:t>
        </w:r>
      </w:hyperlink>
    </w:p>
    <w:p w14:paraId="6EB11585" w14:textId="77777777" w:rsidR="00BD462C" w:rsidRDefault="00033D0F">
      <w:pPr>
        <w:spacing w:before="1"/>
        <w:ind w:left="135"/>
        <w:rPr>
          <w:sz w:val="18"/>
        </w:rPr>
      </w:pPr>
      <w:bookmarkStart w:id="1946" w:name="_bookmark1677"/>
      <w:bookmarkEnd w:id="1946"/>
      <w:r>
        <w:rPr>
          <w:position w:val="5"/>
          <w:sz w:val="12"/>
        </w:rPr>
        <w:t>1458</w:t>
      </w:r>
      <w:r>
        <w:rPr>
          <w:spacing w:val="13"/>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 xml:space="preserve">para. </w:t>
      </w:r>
      <w:r>
        <w:rPr>
          <w:spacing w:val="-2"/>
          <w:sz w:val="18"/>
        </w:rPr>
        <w:t>2643.</w:t>
      </w:r>
    </w:p>
    <w:p w14:paraId="1A9390B8" w14:textId="77777777" w:rsidR="00BD462C" w:rsidRDefault="00033D0F">
      <w:pPr>
        <w:spacing w:before="2" w:line="237" w:lineRule="auto"/>
        <w:ind w:left="136" w:right="905" w:hanging="1"/>
        <w:jc w:val="both"/>
        <w:rPr>
          <w:sz w:val="18"/>
        </w:rPr>
      </w:pPr>
      <w:bookmarkStart w:id="1947" w:name="_bookmark1678"/>
      <w:bookmarkEnd w:id="1947"/>
      <w:r>
        <w:rPr>
          <w:position w:val="5"/>
          <w:sz w:val="12"/>
        </w:rPr>
        <w:t>1459</w:t>
      </w:r>
      <w:r>
        <w:rPr>
          <w:spacing w:val="30"/>
          <w:position w:val="5"/>
          <w:sz w:val="12"/>
        </w:rPr>
        <w:t xml:space="preserve"> </w:t>
      </w:r>
      <w:r>
        <w:rPr>
          <w:sz w:val="18"/>
        </w:rPr>
        <w:t>In relevant part, Article 2.4 of the Anti-Dumping Agreement states: "A fair comparison shall be made between export price</w:t>
      </w:r>
      <w:r>
        <w:rPr>
          <w:spacing w:val="-3"/>
          <w:sz w:val="18"/>
        </w:rPr>
        <w:t xml:space="preserve"> </w:t>
      </w:r>
      <w:r>
        <w:rPr>
          <w:sz w:val="18"/>
        </w:rPr>
        <w:t>and</w:t>
      </w:r>
      <w:r>
        <w:rPr>
          <w:spacing w:val="-4"/>
          <w:sz w:val="18"/>
        </w:rPr>
        <w:t xml:space="preserve"> </w:t>
      </w:r>
      <w:r>
        <w:rPr>
          <w:sz w:val="18"/>
        </w:rPr>
        <w:t>the</w:t>
      </w:r>
      <w:r>
        <w:rPr>
          <w:spacing w:val="-3"/>
          <w:sz w:val="18"/>
        </w:rPr>
        <w:t xml:space="preserve"> </w:t>
      </w:r>
      <w:r>
        <w:rPr>
          <w:sz w:val="18"/>
        </w:rPr>
        <w:t>normal</w:t>
      </w:r>
      <w:r>
        <w:rPr>
          <w:spacing w:val="-2"/>
          <w:sz w:val="18"/>
        </w:rPr>
        <w:t xml:space="preserve"> </w:t>
      </w:r>
      <w:r>
        <w:rPr>
          <w:sz w:val="18"/>
        </w:rPr>
        <w:t>value.</w:t>
      </w:r>
      <w:r>
        <w:rPr>
          <w:spacing w:val="-7"/>
          <w:sz w:val="18"/>
        </w:rPr>
        <w:t xml:space="preserve"> </w:t>
      </w:r>
      <w:r>
        <w:rPr>
          <w:sz w:val="18"/>
        </w:rPr>
        <w:t>This</w:t>
      </w:r>
      <w:r>
        <w:rPr>
          <w:spacing w:val="-3"/>
          <w:sz w:val="18"/>
        </w:rPr>
        <w:t xml:space="preserve"> </w:t>
      </w:r>
      <w:r>
        <w:rPr>
          <w:sz w:val="18"/>
        </w:rPr>
        <w:t>comparison</w:t>
      </w:r>
      <w:r>
        <w:rPr>
          <w:spacing w:val="-4"/>
          <w:sz w:val="18"/>
        </w:rPr>
        <w:t xml:space="preserve"> </w:t>
      </w:r>
      <w:r>
        <w:rPr>
          <w:sz w:val="18"/>
        </w:rPr>
        <w:t>shall</w:t>
      </w:r>
      <w:r>
        <w:rPr>
          <w:spacing w:val="-7"/>
          <w:sz w:val="18"/>
        </w:rPr>
        <w:t xml:space="preserve"> </w:t>
      </w:r>
      <w:r>
        <w:rPr>
          <w:sz w:val="18"/>
        </w:rPr>
        <w:t>be</w:t>
      </w:r>
      <w:r>
        <w:rPr>
          <w:spacing w:val="-3"/>
          <w:sz w:val="18"/>
        </w:rPr>
        <w:t xml:space="preserve"> </w:t>
      </w:r>
      <w:r>
        <w:rPr>
          <w:sz w:val="18"/>
        </w:rPr>
        <w:t>made</w:t>
      </w:r>
      <w:r>
        <w:rPr>
          <w:spacing w:val="-3"/>
          <w:sz w:val="18"/>
        </w:rPr>
        <w:t xml:space="preserve"> </w:t>
      </w:r>
      <w:r>
        <w:rPr>
          <w:sz w:val="18"/>
        </w:rPr>
        <w:t>at</w:t>
      </w:r>
      <w:r>
        <w:rPr>
          <w:spacing w:val="-2"/>
          <w:sz w:val="18"/>
        </w:rPr>
        <w:t xml:space="preserve"> </w:t>
      </w:r>
      <w:r>
        <w:rPr>
          <w:sz w:val="18"/>
        </w:rPr>
        <w:t>the</w:t>
      </w:r>
      <w:r>
        <w:rPr>
          <w:spacing w:val="-3"/>
          <w:sz w:val="18"/>
        </w:rPr>
        <w:t xml:space="preserve"> </w:t>
      </w:r>
      <w:r>
        <w:rPr>
          <w:sz w:val="18"/>
        </w:rPr>
        <w:t>same</w:t>
      </w:r>
      <w:r>
        <w:rPr>
          <w:spacing w:val="-3"/>
          <w:sz w:val="18"/>
        </w:rPr>
        <w:t xml:space="preserve"> </w:t>
      </w:r>
      <w:r>
        <w:rPr>
          <w:sz w:val="18"/>
        </w:rPr>
        <w:t>level</w:t>
      </w:r>
      <w:r>
        <w:rPr>
          <w:spacing w:val="-3"/>
          <w:sz w:val="18"/>
        </w:rPr>
        <w:t xml:space="preserve"> </w:t>
      </w:r>
      <w:r>
        <w:rPr>
          <w:sz w:val="18"/>
        </w:rPr>
        <w:t>of</w:t>
      </w:r>
      <w:r>
        <w:rPr>
          <w:spacing w:val="-2"/>
          <w:sz w:val="18"/>
        </w:rPr>
        <w:t xml:space="preserve"> </w:t>
      </w:r>
      <w:r>
        <w:rPr>
          <w:sz w:val="18"/>
        </w:rPr>
        <w:t>trade,</w:t>
      </w:r>
      <w:r>
        <w:rPr>
          <w:spacing w:val="-6"/>
          <w:sz w:val="18"/>
        </w:rPr>
        <w:t xml:space="preserve"> </w:t>
      </w:r>
      <w:r>
        <w:rPr>
          <w:sz w:val="18"/>
        </w:rPr>
        <w:t>normally</w:t>
      </w:r>
      <w:r>
        <w:rPr>
          <w:spacing w:val="-5"/>
          <w:sz w:val="18"/>
        </w:rPr>
        <w:t xml:space="preserve"> </w:t>
      </w:r>
      <w:r>
        <w:rPr>
          <w:sz w:val="18"/>
        </w:rPr>
        <w:t>at</w:t>
      </w:r>
      <w:r>
        <w:rPr>
          <w:spacing w:val="-2"/>
          <w:sz w:val="18"/>
        </w:rPr>
        <w:t xml:space="preserve"> </w:t>
      </w:r>
      <w:r>
        <w:rPr>
          <w:sz w:val="18"/>
        </w:rPr>
        <w:t>the</w:t>
      </w:r>
      <w:r>
        <w:rPr>
          <w:spacing w:val="-3"/>
          <w:sz w:val="18"/>
        </w:rPr>
        <w:t xml:space="preserve"> </w:t>
      </w:r>
      <w:r>
        <w:rPr>
          <w:sz w:val="18"/>
        </w:rPr>
        <w:t>ex-factory</w:t>
      </w:r>
      <w:r>
        <w:rPr>
          <w:spacing w:val="-5"/>
          <w:sz w:val="18"/>
        </w:rPr>
        <w:t xml:space="preserve"> </w:t>
      </w:r>
      <w:r>
        <w:rPr>
          <w:sz w:val="18"/>
        </w:rPr>
        <w:t>level,</w:t>
      </w:r>
      <w:r>
        <w:rPr>
          <w:spacing w:val="-1"/>
          <w:sz w:val="18"/>
        </w:rPr>
        <w:t xml:space="preserve"> </w:t>
      </w:r>
      <w:r>
        <w:rPr>
          <w:sz w:val="18"/>
        </w:rPr>
        <w:t>and</w:t>
      </w:r>
      <w:r>
        <w:rPr>
          <w:spacing w:val="-4"/>
          <w:sz w:val="18"/>
        </w:rPr>
        <w:t xml:space="preserve"> </w:t>
      </w:r>
      <w:r>
        <w:rPr>
          <w:sz w:val="18"/>
        </w:rPr>
        <w:t>in respect of sales made as at nearly as possible the same time."</w:t>
      </w:r>
    </w:p>
    <w:p w14:paraId="2A23B0FF" w14:textId="77777777" w:rsidR="00BD462C" w:rsidRDefault="00033D0F">
      <w:pPr>
        <w:spacing w:before="4"/>
        <w:ind w:left="135"/>
        <w:rPr>
          <w:sz w:val="18"/>
        </w:rPr>
      </w:pPr>
      <w:bookmarkStart w:id="1948" w:name="_bookmark1679"/>
      <w:bookmarkEnd w:id="1948"/>
      <w:r>
        <w:rPr>
          <w:position w:val="5"/>
          <w:sz w:val="12"/>
        </w:rPr>
        <w:t>1460</w:t>
      </w:r>
      <w:r>
        <w:rPr>
          <w:spacing w:val="14"/>
          <w:position w:val="5"/>
          <w:sz w:val="12"/>
        </w:rPr>
        <w:t xml:space="preserve"> </w:t>
      </w:r>
      <w:r>
        <w:rPr>
          <w:sz w:val="18"/>
        </w:rPr>
        <w:t>This</w:t>
      </w:r>
      <w:r>
        <w:rPr>
          <w:spacing w:val="-5"/>
          <w:sz w:val="18"/>
        </w:rPr>
        <w:t xml:space="preserve"> </w:t>
      </w:r>
      <w:r>
        <w:rPr>
          <w:sz w:val="18"/>
        </w:rPr>
        <w:t>is</w:t>
      </w:r>
      <w:r>
        <w:rPr>
          <w:spacing w:val="-4"/>
          <w:sz w:val="18"/>
        </w:rPr>
        <w:t xml:space="preserve"> </w:t>
      </w:r>
      <w:r>
        <w:rPr>
          <w:sz w:val="18"/>
        </w:rPr>
        <w:t>the</w:t>
      </w:r>
      <w:r>
        <w:rPr>
          <w:spacing w:val="-5"/>
          <w:sz w:val="18"/>
        </w:rPr>
        <w:t xml:space="preserve"> </w:t>
      </w:r>
      <w:r>
        <w:rPr>
          <w:sz w:val="18"/>
        </w:rPr>
        <w:t>required</w:t>
      </w:r>
      <w:r>
        <w:rPr>
          <w:spacing w:val="-1"/>
          <w:sz w:val="18"/>
        </w:rPr>
        <w:t xml:space="preserve"> </w:t>
      </w:r>
      <w:r>
        <w:rPr>
          <w:sz w:val="18"/>
        </w:rPr>
        <w:t>standard as per</w:t>
      </w:r>
      <w:r>
        <w:rPr>
          <w:spacing w:val="-7"/>
          <w:sz w:val="18"/>
        </w:rPr>
        <w:t xml:space="preserve"> </w:t>
      </w:r>
      <w:r>
        <w:rPr>
          <w:sz w:val="18"/>
        </w:rPr>
        <w:t>Article</w:t>
      </w:r>
      <w:r>
        <w:rPr>
          <w:spacing w:val="-4"/>
          <w:sz w:val="18"/>
        </w:rPr>
        <w:t xml:space="preserve"> </w:t>
      </w:r>
      <w:r>
        <w:rPr>
          <w:sz w:val="18"/>
        </w:rPr>
        <w:t>12.2.1(iii)</w:t>
      </w:r>
      <w:r>
        <w:rPr>
          <w:spacing w:val="-3"/>
          <w:sz w:val="18"/>
        </w:rPr>
        <w:t xml:space="preserve"> </w:t>
      </w:r>
      <w:r>
        <w:rPr>
          <w:sz w:val="18"/>
        </w:rPr>
        <w:t>of</w:t>
      </w:r>
      <w:r>
        <w:rPr>
          <w:spacing w:val="-3"/>
          <w:sz w:val="18"/>
        </w:rPr>
        <w:t xml:space="preserve"> </w:t>
      </w:r>
      <w:r>
        <w:rPr>
          <w:sz w:val="18"/>
        </w:rPr>
        <w:t>the</w:t>
      </w:r>
      <w:r>
        <w:rPr>
          <w:spacing w:val="-5"/>
          <w:sz w:val="18"/>
        </w:rPr>
        <w:t xml:space="preserve"> </w:t>
      </w:r>
      <w:r>
        <w:rPr>
          <w:sz w:val="18"/>
        </w:rPr>
        <w:t>Anti-Dumping</w:t>
      </w:r>
      <w:r>
        <w:rPr>
          <w:spacing w:val="-4"/>
          <w:sz w:val="18"/>
        </w:rPr>
        <w:t xml:space="preserve"> </w:t>
      </w:r>
      <w:r>
        <w:rPr>
          <w:spacing w:val="-2"/>
          <w:sz w:val="18"/>
        </w:rPr>
        <w:t>Agreement.</w:t>
      </w:r>
    </w:p>
    <w:p w14:paraId="3649EB6C" w14:textId="77777777" w:rsidR="00BD462C" w:rsidRDefault="00033D0F">
      <w:pPr>
        <w:spacing w:before="1"/>
        <w:ind w:left="135"/>
        <w:rPr>
          <w:sz w:val="18"/>
        </w:rPr>
      </w:pPr>
      <w:bookmarkStart w:id="1949" w:name="_bookmark1680"/>
      <w:bookmarkEnd w:id="1949"/>
      <w:r>
        <w:rPr>
          <w:position w:val="5"/>
          <w:sz w:val="12"/>
        </w:rPr>
        <w:t>1461</w:t>
      </w:r>
      <w:r>
        <w:rPr>
          <w:spacing w:val="13"/>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 xml:space="preserve">para. </w:t>
      </w:r>
      <w:r>
        <w:rPr>
          <w:spacing w:val="-2"/>
          <w:sz w:val="18"/>
        </w:rPr>
        <w:t>2644.</w:t>
      </w:r>
    </w:p>
    <w:p w14:paraId="4CD95E55" w14:textId="77777777" w:rsidR="00BD462C" w:rsidRDefault="00033D0F">
      <w:pPr>
        <w:spacing w:before="1"/>
        <w:ind w:left="135"/>
        <w:rPr>
          <w:sz w:val="18"/>
        </w:rPr>
      </w:pPr>
      <w:bookmarkStart w:id="1950" w:name="_bookmark1681"/>
      <w:bookmarkEnd w:id="1950"/>
      <w:r>
        <w:rPr>
          <w:position w:val="5"/>
          <w:sz w:val="12"/>
        </w:rPr>
        <w:t>1462</w:t>
      </w:r>
      <w:r>
        <w:rPr>
          <w:spacing w:val="12"/>
          <w:position w:val="5"/>
          <w:sz w:val="12"/>
        </w:rPr>
        <w:t xml:space="preserve"> </w:t>
      </w:r>
      <w:r>
        <w:rPr>
          <w:sz w:val="18"/>
        </w:rPr>
        <w:t>Australia's</w:t>
      </w:r>
      <w:r>
        <w:rPr>
          <w:spacing w:val="-6"/>
          <w:sz w:val="18"/>
        </w:rPr>
        <w:t xml:space="preserve"> </w:t>
      </w:r>
      <w:r>
        <w:rPr>
          <w:sz w:val="18"/>
        </w:rPr>
        <w:t>first</w:t>
      </w:r>
      <w:r>
        <w:rPr>
          <w:spacing w:val="-5"/>
          <w:sz w:val="18"/>
        </w:rPr>
        <w:t xml:space="preserve"> </w:t>
      </w:r>
      <w:r>
        <w:rPr>
          <w:sz w:val="18"/>
        </w:rPr>
        <w:t>written</w:t>
      </w:r>
      <w:r>
        <w:rPr>
          <w:spacing w:val="-2"/>
          <w:sz w:val="18"/>
        </w:rPr>
        <w:t xml:space="preserve"> </w:t>
      </w:r>
      <w:r>
        <w:rPr>
          <w:sz w:val="18"/>
        </w:rPr>
        <w:t>submission, para.</w:t>
      </w:r>
      <w:r>
        <w:rPr>
          <w:spacing w:val="-5"/>
          <w:sz w:val="18"/>
        </w:rPr>
        <w:t xml:space="preserve"> </w:t>
      </w:r>
      <w:r>
        <w:rPr>
          <w:spacing w:val="-2"/>
          <w:sz w:val="18"/>
        </w:rPr>
        <w:t>1118.</w:t>
      </w:r>
    </w:p>
    <w:p w14:paraId="4A04C363" w14:textId="77777777" w:rsidR="00BD462C" w:rsidRDefault="00BD462C">
      <w:pPr>
        <w:rPr>
          <w:sz w:val="18"/>
        </w:rPr>
        <w:sectPr w:rsidR="00BD462C">
          <w:pgSz w:w="11910" w:h="16840"/>
          <w:pgMar w:top="860" w:right="500" w:bottom="780" w:left="1280" w:header="566" w:footer="590" w:gutter="0"/>
          <w:cols w:space="720"/>
        </w:sectPr>
      </w:pPr>
    </w:p>
    <w:p w14:paraId="33C88502"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2EA3619D"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4CE48D3D"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770B48C1" w14:textId="17348BFF" w:rsidR="00BD462C" w:rsidRDefault="0035521D">
      <w:pPr>
        <w:pStyle w:val="BodyText"/>
        <w:spacing w:before="107" w:line="360" w:lineRule="auto"/>
        <w:ind w:left="135" w:right="912" w:firstLine="9"/>
        <w:jc w:val="both"/>
      </w:pPr>
      <w:r>
        <w:rPr>
          <w:noProof/>
        </w:rPr>
        <w:t>1006.</w:t>
      </w:r>
      <w:r w:rsidR="00033D0F">
        <w:rPr>
          <w:rFonts w:ascii="Times New Roman"/>
          <w:spacing w:val="40"/>
          <w:position w:val="1"/>
          <w:sz w:val="20"/>
        </w:rPr>
        <w:t xml:space="preserve"> </w:t>
      </w:r>
      <w:r w:rsidR="00033D0F">
        <w:rPr>
          <w:position w:val="1"/>
        </w:rPr>
        <w:t xml:space="preserve">In this context, China attempts to misrepresent the nature of Australia's arguments </w:t>
      </w:r>
      <w:r w:rsidR="00033D0F">
        <w:t>regarding the use of adverse facts relating to the "All Others" group of exporters.</w:t>
      </w:r>
      <w:hyperlink w:anchor="_bookmark1682" w:history="1">
        <w:r w:rsidR="00033D0F">
          <w:rPr>
            <w:vertAlign w:val="superscript"/>
          </w:rPr>
          <w:t>1463</w:t>
        </w:r>
      </w:hyperlink>
      <w:r w:rsidR="00033D0F">
        <w:t xml:space="preserve"> Australia's</w:t>
      </w:r>
      <w:r w:rsidR="00033D0F">
        <w:rPr>
          <w:spacing w:val="-10"/>
        </w:rPr>
        <w:t xml:space="preserve"> </w:t>
      </w:r>
      <w:r w:rsidR="00033D0F">
        <w:t>submissions</w:t>
      </w:r>
      <w:r w:rsidR="00033D0F">
        <w:rPr>
          <w:spacing w:val="-9"/>
        </w:rPr>
        <w:t xml:space="preserve"> </w:t>
      </w:r>
      <w:r w:rsidR="00033D0F">
        <w:t>make</w:t>
      </w:r>
      <w:r w:rsidR="00033D0F">
        <w:rPr>
          <w:spacing w:val="-11"/>
        </w:rPr>
        <w:t xml:space="preserve"> </w:t>
      </w:r>
      <w:r w:rsidR="00033D0F">
        <w:t>clear</w:t>
      </w:r>
      <w:r w:rsidR="00033D0F">
        <w:rPr>
          <w:spacing w:val="-14"/>
        </w:rPr>
        <w:t xml:space="preserve"> </w:t>
      </w:r>
      <w:r w:rsidR="00033D0F">
        <w:t>that</w:t>
      </w:r>
      <w:r w:rsidR="00033D0F">
        <w:rPr>
          <w:spacing w:val="-10"/>
        </w:rPr>
        <w:t xml:space="preserve"> </w:t>
      </w:r>
      <w:r w:rsidR="00033D0F">
        <w:t>the</w:t>
      </w:r>
      <w:r w:rsidR="00033D0F">
        <w:rPr>
          <w:spacing w:val="-11"/>
        </w:rPr>
        <w:t xml:space="preserve"> </w:t>
      </w:r>
      <w:r w:rsidR="00033D0F">
        <w:t>issue</w:t>
      </w:r>
      <w:r w:rsidR="00033D0F">
        <w:rPr>
          <w:spacing w:val="-11"/>
        </w:rPr>
        <w:t xml:space="preserve"> </w:t>
      </w:r>
      <w:r w:rsidR="00033D0F">
        <w:t>claimed</w:t>
      </w:r>
      <w:r w:rsidR="00033D0F">
        <w:rPr>
          <w:spacing w:val="-13"/>
        </w:rPr>
        <w:t xml:space="preserve"> </w:t>
      </w:r>
      <w:r w:rsidR="00033D0F">
        <w:t>under</w:t>
      </w:r>
      <w:r w:rsidR="00033D0F">
        <w:rPr>
          <w:spacing w:val="-14"/>
        </w:rPr>
        <w:t xml:space="preserve"> </w:t>
      </w:r>
      <w:r w:rsidR="00033D0F">
        <w:t>Articles</w:t>
      </w:r>
      <w:r w:rsidR="00033D0F">
        <w:rPr>
          <w:spacing w:val="-9"/>
        </w:rPr>
        <w:t xml:space="preserve"> </w:t>
      </w:r>
      <w:r w:rsidR="00033D0F">
        <w:t>12.2</w:t>
      </w:r>
      <w:r w:rsidR="00033D0F">
        <w:rPr>
          <w:spacing w:val="-13"/>
        </w:rPr>
        <w:t xml:space="preserve"> </w:t>
      </w:r>
      <w:r w:rsidR="00033D0F">
        <w:t>and</w:t>
      </w:r>
      <w:r w:rsidR="00033D0F">
        <w:rPr>
          <w:spacing w:val="-13"/>
        </w:rPr>
        <w:t xml:space="preserve"> </w:t>
      </w:r>
      <w:r w:rsidR="00033D0F">
        <w:t>12.2.2</w:t>
      </w:r>
      <w:r w:rsidR="00033D0F">
        <w:rPr>
          <w:spacing w:val="-13"/>
        </w:rPr>
        <w:t xml:space="preserve"> </w:t>
      </w:r>
      <w:r w:rsidR="00033D0F">
        <w:t>is</w:t>
      </w:r>
      <w:r w:rsidR="00033D0F">
        <w:rPr>
          <w:spacing w:val="-9"/>
        </w:rPr>
        <w:t xml:space="preserve"> </w:t>
      </w:r>
      <w:r w:rsidR="00033D0F">
        <w:t>that MOFCOM did not disclose the reasons underpinning the decision to use "adverse facts" for the</w:t>
      </w:r>
      <w:r w:rsidR="00033D0F">
        <w:rPr>
          <w:spacing w:val="-12"/>
        </w:rPr>
        <w:t xml:space="preserve"> </w:t>
      </w:r>
      <w:r w:rsidR="00033D0F">
        <w:t>"All</w:t>
      </w:r>
      <w:r w:rsidR="00033D0F">
        <w:rPr>
          <w:spacing w:val="-10"/>
        </w:rPr>
        <w:t xml:space="preserve"> </w:t>
      </w:r>
      <w:r w:rsidR="00033D0F">
        <w:t>Others"</w:t>
      </w:r>
      <w:r w:rsidR="00033D0F">
        <w:rPr>
          <w:spacing w:val="-13"/>
        </w:rPr>
        <w:t xml:space="preserve"> </w:t>
      </w:r>
      <w:r w:rsidR="00033D0F">
        <w:t>group</w:t>
      </w:r>
      <w:r w:rsidR="00033D0F">
        <w:rPr>
          <w:spacing w:val="-14"/>
        </w:rPr>
        <w:t xml:space="preserve"> </w:t>
      </w:r>
      <w:r w:rsidR="00033D0F">
        <w:t>of</w:t>
      </w:r>
      <w:r w:rsidR="00033D0F">
        <w:rPr>
          <w:spacing w:val="-13"/>
        </w:rPr>
        <w:t xml:space="preserve"> </w:t>
      </w:r>
      <w:r w:rsidR="00033D0F">
        <w:t>exporters.</w:t>
      </w:r>
      <w:hyperlink w:anchor="_bookmark1683" w:history="1">
        <w:r w:rsidR="00033D0F">
          <w:rPr>
            <w:vertAlign w:val="superscript"/>
          </w:rPr>
          <w:t>1464</w:t>
        </w:r>
      </w:hyperlink>
      <w:r w:rsidR="00033D0F">
        <w:rPr>
          <w:spacing w:val="-11"/>
        </w:rPr>
        <w:t xml:space="preserve"> </w:t>
      </w:r>
      <w:r w:rsidR="00033D0F">
        <w:t>Notably,</w:t>
      </w:r>
      <w:r w:rsidR="00033D0F">
        <w:rPr>
          <w:spacing w:val="-10"/>
        </w:rPr>
        <w:t xml:space="preserve"> </w:t>
      </w:r>
      <w:r w:rsidR="00033D0F">
        <w:t>in</w:t>
      </w:r>
      <w:r w:rsidR="00033D0F">
        <w:rPr>
          <w:spacing w:val="-14"/>
        </w:rPr>
        <w:t xml:space="preserve"> </w:t>
      </w:r>
      <w:r w:rsidR="00033D0F">
        <w:t>response</w:t>
      </w:r>
      <w:r w:rsidR="00033D0F">
        <w:rPr>
          <w:spacing w:val="-11"/>
        </w:rPr>
        <w:t xml:space="preserve"> </w:t>
      </w:r>
      <w:r w:rsidR="00033D0F">
        <w:t>to</w:t>
      </w:r>
      <w:r w:rsidR="00033D0F">
        <w:rPr>
          <w:spacing w:val="-14"/>
        </w:rPr>
        <w:t xml:space="preserve"> </w:t>
      </w:r>
      <w:r w:rsidR="00033D0F">
        <w:t>this</w:t>
      </w:r>
      <w:r w:rsidR="00033D0F">
        <w:rPr>
          <w:spacing w:val="-9"/>
        </w:rPr>
        <w:t xml:space="preserve"> </w:t>
      </w:r>
      <w:r w:rsidR="00033D0F">
        <w:t>claim</w:t>
      </w:r>
      <w:r w:rsidR="00033D0F">
        <w:rPr>
          <w:spacing w:val="-12"/>
        </w:rPr>
        <w:t xml:space="preserve"> </w:t>
      </w:r>
      <w:r w:rsidR="00033D0F">
        <w:t>China</w:t>
      </w:r>
      <w:r w:rsidR="00033D0F">
        <w:rPr>
          <w:spacing w:val="-12"/>
        </w:rPr>
        <w:t xml:space="preserve"> </w:t>
      </w:r>
      <w:r w:rsidR="00033D0F">
        <w:t>has</w:t>
      </w:r>
      <w:r w:rsidR="00033D0F">
        <w:rPr>
          <w:spacing w:val="-10"/>
        </w:rPr>
        <w:t xml:space="preserve"> </w:t>
      </w:r>
      <w:r w:rsidR="00033D0F">
        <w:t>not</w:t>
      </w:r>
      <w:r w:rsidR="00033D0F">
        <w:rPr>
          <w:spacing w:val="-11"/>
        </w:rPr>
        <w:t xml:space="preserve"> </w:t>
      </w:r>
      <w:r w:rsidR="00033D0F">
        <w:t>denied that MOFCOM did in fact apply adverse facts to calculate the dumping margin for the "All Others" group.</w:t>
      </w:r>
      <w:hyperlink w:anchor="_bookmark1684" w:history="1">
        <w:r w:rsidR="00033D0F">
          <w:rPr>
            <w:vertAlign w:val="superscript"/>
          </w:rPr>
          <w:t>1465</w:t>
        </w:r>
      </w:hyperlink>
    </w:p>
    <w:p w14:paraId="06F30E07" w14:textId="77777777" w:rsidR="00BD462C" w:rsidRDefault="00033D0F">
      <w:pPr>
        <w:pStyle w:val="ListParagraph"/>
        <w:numPr>
          <w:ilvl w:val="0"/>
          <w:numId w:val="9"/>
        </w:numPr>
        <w:tabs>
          <w:tab w:val="left" w:pos="3539"/>
          <w:tab w:val="left" w:pos="3540"/>
        </w:tabs>
        <w:spacing w:before="154"/>
        <w:ind w:hanging="851"/>
        <w:jc w:val="both"/>
        <w:rPr>
          <w:sz w:val="24"/>
        </w:rPr>
      </w:pPr>
      <w:bookmarkStart w:id="1951" w:name="(e)_Determination_of_injury_and_causatio"/>
      <w:bookmarkEnd w:id="1951"/>
      <w:r>
        <w:rPr>
          <w:sz w:val="24"/>
          <w:u w:val="single"/>
        </w:rPr>
        <w:t>Determination</w:t>
      </w:r>
      <w:r>
        <w:rPr>
          <w:spacing w:val="-6"/>
          <w:sz w:val="24"/>
          <w:u w:val="single"/>
        </w:rPr>
        <w:t xml:space="preserve"> </w:t>
      </w:r>
      <w:r>
        <w:rPr>
          <w:sz w:val="24"/>
          <w:u w:val="single"/>
        </w:rPr>
        <w:t>of</w:t>
      </w:r>
      <w:r>
        <w:rPr>
          <w:spacing w:val="-5"/>
          <w:sz w:val="24"/>
          <w:u w:val="single"/>
        </w:rPr>
        <w:t xml:space="preserve"> </w:t>
      </w:r>
      <w:r>
        <w:rPr>
          <w:sz w:val="24"/>
          <w:u w:val="single"/>
        </w:rPr>
        <w:t>injury</w:t>
      </w:r>
      <w:r>
        <w:rPr>
          <w:spacing w:val="-2"/>
          <w:sz w:val="24"/>
          <w:u w:val="single"/>
        </w:rPr>
        <w:t xml:space="preserve"> </w:t>
      </w:r>
      <w:r>
        <w:rPr>
          <w:sz w:val="24"/>
          <w:u w:val="single"/>
        </w:rPr>
        <w:t>and</w:t>
      </w:r>
      <w:r>
        <w:rPr>
          <w:spacing w:val="-1"/>
          <w:sz w:val="24"/>
          <w:u w:val="single"/>
        </w:rPr>
        <w:t xml:space="preserve"> </w:t>
      </w:r>
      <w:r>
        <w:rPr>
          <w:spacing w:val="-2"/>
          <w:sz w:val="24"/>
          <w:u w:val="single"/>
        </w:rPr>
        <w:t>causation</w:t>
      </w:r>
    </w:p>
    <w:p w14:paraId="356DC409" w14:textId="77777777" w:rsidR="00BD462C" w:rsidRDefault="00BD462C">
      <w:pPr>
        <w:pStyle w:val="BodyText"/>
        <w:spacing w:before="12"/>
        <w:rPr>
          <w:sz w:val="20"/>
        </w:rPr>
      </w:pPr>
    </w:p>
    <w:p w14:paraId="4F066E87" w14:textId="0E24FC35" w:rsidR="00BD462C" w:rsidRDefault="0035521D">
      <w:pPr>
        <w:pStyle w:val="BodyText"/>
        <w:spacing w:before="56" w:line="357" w:lineRule="auto"/>
        <w:ind w:left="136" w:right="911" w:firstLine="9"/>
        <w:jc w:val="both"/>
      </w:pPr>
      <w:r>
        <w:rPr>
          <w:noProof/>
        </w:rPr>
        <w:t>1007.</w:t>
      </w:r>
      <w:r w:rsidR="00033D0F">
        <w:rPr>
          <w:rFonts w:ascii="Times New Roman"/>
          <w:spacing w:val="80"/>
          <w:position w:val="1"/>
          <w:sz w:val="20"/>
        </w:rPr>
        <w:t xml:space="preserve"> </w:t>
      </w:r>
      <w:r w:rsidR="00033D0F">
        <w:rPr>
          <w:position w:val="1"/>
        </w:rPr>
        <w:t>The</w:t>
      </w:r>
      <w:r w:rsidR="00033D0F">
        <w:rPr>
          <w:spacing w:val="-8"/>
          <w:position w:val="1"/>
        </w:rPr>
        <w:t xml:space="preserve"> </w:t>
      </w:r>
      <w:r w:rsidR="00033D0F">
        <w:rPr>
          <w:position w:val="1"/>
        </w:rPr>
        <w:t>facts</w:t>
      </w:r>
      <w:r w:rsidR="00033D0F">
        <w:rPr>
          <w:spacing w:val="-7"/>
          <w:position w:val="1"/>
        </w:rPr>
        <w:t xml:space="preserve"> </w:t>
      </w:r>
      <w:r w:rsidR="00033D0F">
        <w:rPr>
          <w:position w:val="1"/>
        </w:rPr>
        <w:t>and</w:t>
      </w:r>
      <w:r w:rsidR="00033D0F">
        <w:rPr>
          <w:spacing w:val="-5"/>
          <w:position w:val="1"/>
        </w:rPr>
        <w:t xml:space="preserve"> </w:t>
      </w:r>
      <w:r w:rsidR="00033D0F">
        <w:rPr>
          <w:position w:val="1"/>
        </w:rPr>
        <w:t>reasoning</w:t>
      </w:r>
      <w:r w:rsidR="00033D0F">
        <w:rPr>
          <w:spacing w:val="-7"/>
          <w:position w:val="1"/>
        </w:rPr>
        <w:t xml:space="preserve"> </w:t>
      </w:r>
      <w:r w:rsidR="00033D0F">
        <w:rPr>
          <w:position w:val="1"/>
        </w:rPr>
        <w:t>absent</w:t>
      </w:r>
      <w:r w:rsidR="00033D0F">
        <w:rPr>
          <w:spacing w:val="-8"/>
          <w:position w:val="1"/>
        </w:rPr>
        <w:t xml:space="preserve"> </w:t>
      </w:r>
      <w:r w:rsidR="00033D0F">
        <w:rPr>
          <w:position w:val="1"/>
        </w:rPr>
        <w:t>from</w:t>
      </w:r>
      <w:r w:rsidR="00033D0F">
        <w:rPr>
          <w:spacing w:val="-8"/>
          <w:position w:val="1"/>
        </w:rPr>
        <w:t xml:space="preserve"> </w:t>
      </w:r>
      <w:r w:rsidR="00033D0F">
        <w:rPr>
          <w:position w:val="1"/>
        </w:rPr>
        <w:t>the</w:t>
      </w:r>
      <w:r w:rsidR="00033D0F">
        <w:rPr>
          <w:spacing w:val="-8"/>
          <w:position w:val="1"/>
        </w:rPr>
        <w:t xml:space="preserve"> </w:t>
      </w:r>
      <w:r w:rsidR="00033D0F">
        <w:rPr>
          <w:position w:val="1"/>
        </w:rPr>
        <w:t>Final</w:t>
      </w:r>
      <w:r w:rsidR="00033D0F">
        <w:rPr>
          <w:spacing w:val="-6"/>
          <w:position w:val="1"/>
        </w:rPr>
        <w:t xml:space="preserve"> </w:t>
      </w:r>
      <w:r w:rsidR="00033D0F">
        <w:rPr>
          <w:position w:val="1"/>
        </w:rPr>
        <w:t>Determination</w:t>
      </w:r>
      <w:r w:rsidR="00033D0F">
        <w:rPr>
          <w:spacing w:val="-10"/>
          <w:position w:val="1"/>
        </w:rPr>
        <w:t xml:space="preserve"> </w:t>
      </w:r>
      <w:r w:rsidR="00033D0F">
        <w:rPr>
          <w:position w:val="1"/>
        </w:rPr>
        <w:t>in</w:t>
      </w:r>
      <w:r w:rsidR="00033D0F">
        <w:rPr>
          <w:spacing w:val="-10"/>
          <w:position w:val="1"/>
        </w:rPr>
        <w:t xml:space="preserve"> </w:t>
      </w:r>
      <w:r w:rsidR="00033D0F">
        <w:rPr>
          <w:position w:val="1"/>
        </w:rPr>
        <w:t>relation</w:t>
      </w:r>
      <w:r w:rsidR="00033D0F">
        <w:rPr>
          <w:spacing w:val="-10"/>
          <w:position w:val="1"/>
        </w:rPr>
        <w:t xml:space="preserve"> </w:t>
      </w:r>
      <w:r w:rsidR="00033D0F">
        <w:rPr>
          <w:position w:val="1"/>
        </w:rPr>
        <w:t>to</w:t>
      </w:r>
      <w:r w:rsidR="00033D0F">
        <w:rPr>
          <w:spacing w:val="-11"/>
          <w:position w:val="1"/>
        </w:rPr>
        <w:t xml:space="preserve"> </w:t>
      </w:r>
      <w:r w:rsidR="00033D0F">
        <w:rPr>
          <w:position w:val="1"/>
        </w:rPr>
        <w:t xml:space="preserve">MOFCOM's </w:t>
      </w:r>
      <w:r w:rsidR="00033D0F">
        <w:t>evaluation</w:t>
      </w:r>
      <w:r w:rsidR="00033D0F">
        <w:rPr>
          <w:spacing w:val="-5"/>
        </w:rPr>
        <w:t xml:space="preserve"> </w:t>
      </w:r>
      <w:r w:rsidR="00033D0F">
        <w:t>of</w:t>
      </w:r>
      <w:r w:rsidR="00033D0F">
        <w:rPr>
          <w:spacing w:val="-5"/>
        </w:rPr>
        <w:t xml:space="preserve"> </w:t>
      </w:r>
      <w:r w:rsidR="00033D0F">
        <w:t>the</w:t>
      </w:r>
      <w:r w:rsidR="00033D0F">
        <w:rPr>
          <w:spacing w:val="-4"/>
        </w:rPr>
        <w:t xml:space="preserve"> </w:t>
      </w:r>
      <w:r w:rsidR="00033D0F">
        <w:t>injury</w:t>
      </w:r>
      <w:r w:rsidR="00033D0F">
        <w:rPr>
          <w:spacing w:val="-2"/>
        </w:rPr>
        <w:t xml:space="preserve"> </w:t>
      </w:r>
      <w:r w:rsidR="00033D0F">
        <w:t>factors,</w:t>
      </w:r>
      <w:r w:rsidR="00033D0F">
        <w:rPr>
          <w:spacing w:val="-1"/>
        </w:rPr>
        <w:t xml:space="preserve"> </w:t>
      </w:r>
      <w:r w:rsidR="00033D0F">
        <w:t>in</w:t>
      </w:r>
      <w:r w:rsidR="00033D0F">
        <w:rPr>
          <w:spacing w:val="-5"/>
        </w:rPr>
        <w:t xml:space="preserve"> </w:t>
      </w:r>
      <w:r w:rsidR="00033D0F">
        <w:t>breach</w:t>
      </w:r>
      <w:r w:rsidR="00033D0F">
        <w:rPr>
          <w:spacing w:val="-5"/>
        </w:rPr>
        <w:t xml:space="preserve"> </w:t>
      </w:r>
      <w:r w:rsidR="00033D0F">
        <w:t>of</w:t>
      </w:r>
      <w:r w:rsidR="00033D0F">
        <w:rPr>
          <w:spacing w:val="-5"/>
        </w:rPr>
        <w:t xml:space="preserve"> </w:t>
      </w:r>
      <w:r w:rsidR="00033D0F">
        <w:t>Articles</w:t>
      </w:r>
      <w:r w:rsidR="00033D0F">
        <w:rPr>
          <w:spacing w:val="-2"/>
        </w:rPr>
        <w:t xml:space="preserve"> </w:t>
      </w:r>
      <w:r w:rsidR="00033D0F">
        <w:t>12.2</w:t>
      </w:r>
      <w:r w:rsidR="00033D0F">
        <w:rPr>
          <w:spacing w:val="-6"/>
        </w:rPr>
        <w:t xml:space="preserve"> </w:t>
      </w:r>
      <w:r w:rsidR="00033D0F">
        <w:t>and</w:t>
      </w:r>
      <w:r w:rsidR="00033D0F">
        <w:rPr>
          <w:spacing w:val="-5"/>
        </w:rPr>
        <w:t xml:space="preserve"> </w:t>
      </w:r>
      <w:r w:rsidR="00033D0F">
        <w:t>12.2.2,</w:t>
      </w:r>
      <w:r w:rsidR="00033D0F">
        <w:rPr>
          <w:spacing w:val="-1"/>
        </w:rPr>
        <w:t xml:space="preserve"> </w:t>
      </w:r>
      <w:r w:rsidR="00033D0F">
        <w:t>are</w:t>
      </w:r>
      <w:r w:rsidR="00033D0F">
        <w:rPr>
          <w:spacing w:val="-3"/>
        </w:rPr>
        <w:t xml:space="preserve"> </w:t>
      </w:r>
      <w:r w:rsidR="00033D0F">
        <w:t>set</w:t>
      </w:r>
      <w:r w:rsidR="00033D0F">
        <w:rPr>
          <w:spacing w:val="-3"/>
        </w:rPr>
        <w:t xml:space="preserve"> </w:t>
      </w:r>
      <w:r w:rsidR="00033D0F">
        <w:t>out</w:t>
      </w:r>
      <w:r w:rsidR="00033D0F">
        <w:rPr>
          <w:spacing w:val="-3"/>
        </w:rPr>
        <w:t xml:space="preserve"> </w:t>
      </w:r>
      <w:r w:rsidR="00033D0F">
        <w:t>in</w:t>
      </w:r>
      <w:r w:rsidR="00033D0F">
        <w:rPr>
          <w:spacing w:val="-5"/>
        </w:rPr>
        <w:t xml:space="preserve"> </w:t>
      </w:r>
      <w:r w:rsidR="00033D0F">
        <w:t>Australia's first</w:t>
      </w:r>
      <w:r w:rsidR="00033D0F">
        <w:rPr>
          <w:spacing w:val="-14"/>
        </w:rPr>
        <w:t xml:space="preserve"> </w:t>
      </w:r>
      <w:r w:rsidR="00033D0F">
        <w:t>written</w:t>
      </w:r>
      <w:r w:rsidR="00033D0F">
        <w:rPr>
          <w:spacing w:val="-14"/>
        </w:rPr>
        <w:t xml:space="preserve"> </w:t>
      </w:r>
      <w:r w:rsidR="00033D0F">
        <w:t>submission.</w:t>
      </w:r>
      <w:hyperlink w:anchor="_bookmark1685" w:history="1">
        <w:r w:rsidR="00033D0F">
          <w:rPr>
            <w:vertAlign w:val="superscript"/>
          </w:rPr>
          <w:t>1466</w:t>
        </w:r>
      </w:hyperlink>
      <w:r w:rsidR="00033D0F">
        <w:rPr>
          <w:spacing w:val="-13"/>
        </w:rPr>
        <w:t xml:space="preserve"> </w:t>
      </w:r>
      <w:r w:rsidR="00033D0F">
        <w:t>China</w:t>
      </w:r>
      <w:r w:rsidR="00033D0F">
        <w:rPr>
          <w:spacing w:val="-14"/>
        </w:rPr>
        <w:t xml:space="preserve"> </w:t>
      </w:r>
      <w:r w:rsidR="00033D0F">
        <w:t>has</w:t>
      </w:r>
      <w:r w:rsidR="00033D0F">
        <w:rPr>
          <w:spacing w:val="-12"/>
        </w:rPr>
        <w:t xml:space="preserve"> </w:t>
      </w:r>
      <w:r w:rsidR="00033D0F">
        <w:t>failed</w:t>
      </w:r>
      <w:r w:rsidR="00033D0F">
        <w:rPr>
          <w:spacing w:val="-13"/>
        </w:rPr>
        <w:t xml:space="preserve"> </w:t>
      </w:r>
      <w:r w:rsidR="00033D0F">
        <w:t>to</w:t>
      </w:r>
      <w:r w:rsidR="00033D0F">
        <w:rPr>
          <w:spacing w:val="-14"/>
        </w:rPr>
        <w:t xml:space="preserve"> </w:t>
      </w:r>
      <w:r w:rsidR="00033D0F">
        <w:t>rebut</w:t>
      </w:r>
      <w:r w:rsidR="00033D0F">
        <w:rPr>
          <w:spacing w:val="-11"/>
        </w:rPr>
        <w:t xml:space="preserve"> </w:t>
      </w:r>
      <w:r w:rsidR="00033D0F">
        <w:t>Australia's</w:t>
      </w:r>
      <w:r w:rsidR="00033D0F">
        <w:rPr>
          <w:spacing w:val="-11"/>
        </w:rPr>
        <w:t xml:space="preserve"> </w:t>
      </w:r>
      <w:r w:rsidR="00033D0F">
        <w:rPr>
          <w:i/>
        </w:rPr>
        <w:t>prima</w:t>
      </w:r>
      <w:r w:rsidR="00033D0F">
        <w:rPr>
          <w:i/>
          <w:spacing w:val="-12"/>
        </w:rPr>
        <w:t xml:space="preserve"> </w:t>
      </w:r>
      <w:r w:rsidR="00033D0F">
        <w:rPr>
          <w:i/>
        </w:rPr>
        <w:t>facie</w:t>
      </w:r>
      <w:r w:rsidR="00033D0F">
        <w:rPr>
          <w:i/>
          <w:spacing w:val="-12"/>
        </w:rPr>
        <w:t xml:space="preserve"> </w:t>
      </w:r>
      <w:r w:rsidR="00033D0F">
        <w:t>case</w:t>
      </w:r>
      <w:r w:rsidR="00033D0F">
        <w:rPr>
          <w:spacing w:val="-16"/>
        </w:rPr>
        <w:t xml:space="preserve"> </w:t>
      </w:r>
      <w:r w:rsidR="00033D0F">
        <w:t>in</w:t>
      </w:r>
      <w:r w:rsidR="00033D0F">
        <w:rPr>
          <w:spacing w:val="-14"/>
        </w:rPr>
        <w:t xml:space="preserve"> </w:t>
      </w:r>
      <w:r w:rsidR="00033D0F">
        <w:t>this</w:t>
      </w:r>
      <w:r w:rsidR="00033D0F">
        <w:rPr>
          <w:spacing w:val="-14"/>
        </w:rPr>
        <w:t xml:space="preserve"> </w:t>
      </w:r>
      <w:r w:rsidR="00033D0F">
        <w:t>regard.</w:t>
      </w:r>
    </w:p>
    <w:p w14:paraId="44CB020A" w14:textId="77777777" w:rsidR="00BD462C" w:rsidRDefault="00BD462C">
      <w:pPr>
        <w:pStyle w:val="BodyText"/>
        <w:spacing w:before="3"/>
        <w:rPr>
          <w:sz w:val="9"/>
        </w:rPr>
      </w:pPr>
    </w:p>
    <w:p w14:paraId="3B1A2109" w14:textId="73DF9B1D" w:rsidR="00BD462C" w:rsidRDefault="0035521D">
      <w:pPr>
        <w:pStyle w:val="BodyText"/>
        <w:spacing w:before="56" w:line="360" w:lineRule="auto"/>
        <w:ind w:left="136" w:right="912" w:firstLine="9"/>
        <w:jc w:val="both"/>
      </w:pPr>
      <w:r>
        <w:rPr>
          <w:noProof/>
        </w:rPr>
        <w:t>1008.</w:t>
      </w:r>
      <w:r w:rsidR="00033D0F">
        <w:rPr>
          <w:rFonts w:ascii="Times New Roman"/>
          <w:spacing w:val="40"/>
          <w:position w:val="1"/>
          <w:sz w:val="20"/>
        </w:rPr>
        <w:t xml:space="preserve"> </w:t>
      </w:r>
      <w:r w:rsidR="00033D0F">
        <w:rPr>
          <w:position w:val="1"/>
        </w:rPr>
        <w:t xml:space="preserve">In relation to several of Australia's injury arguments China contends that the errors </w:t>
      </w:r>
      <w:r w:rsidR="00033D0F">
        <w:t>identified by Australia should have more properly been made under so-called "substantive" provisions related to MOFCOM's assessment and determination of injury and causation. Specifically, China's contention appears to relate to the following of Australia's arguments under Articles 12.2 and 12.2.2:</w:t>
      </w:r>
    </w:p>
    <w:p w14:paraId="74722338" w14:textId="77777777" w:rsidR="00BD462C" w:rsidRDefault="00033D0F">
      <w:pPr>
        <w:pStyle w:val="ListParagraph"/>
        <w:numPr>
          <w:ilvl w:val="0"/>
          <w:numId w:val="8"/>
        </w:numPr>
        <w:tabs>
          <w:tab w:val="left" w:pos="1836"/>
        </w:tabs>
        <w:spacing w:before="152" w:line="360" w:lineRule="auto"/>
        <w:ind w:right="915"/>
        <w:jc w:val="both"/>
        <w:rPr>
          <w:sz w:val="24"/>
        </w:rPr>
      </w:pPr>
      <w:r>
        <w:rPr>
          <w:sz w:val="24"/>
        </w:rPr>
        <w:t>that MOFCOM only provided a summary of the prices of the domestic like products and concluded that "the sale price of domestic like products showed an upward trend";</w:t>
      </w:r>
      <w:hyperlink w:anchor="_bookmark1686" w:history="1">
        <w:r>
          <w:rPr>
            <w:sz w:val="24"/>
            <w:vertAlign w:val="superscript"/>
          </w:rPr>
          <w:t>1467</w:t>
        </w:r>
      </w:hyperlink>
    </w:p>
    <w:p w14:paraId="59BE0A16" w14:textId="77777777" w:rsidR="00BD462C" w:rsidRDefault="00033D0F">
      <w:pPr>
        <w:pStyle w:val="ListParagraph"/>
        <w:numPr>
          <w:ilvl w:val="0"/>
          <w:numId w:val="8"/>
        </w:numPr>
        <w:tabs>
          <w:tab w:val="left" w:pos="1836"/>
        </w:tabs>
        <w:spacing w:before="118" w:line="360" w:lineRule="auto"/>
        <w:ind w:right="917"/>
        <w:jc w:val="both"/>
        <w:rPr>
          <w:sz w:val="24"/>
        </w:rPr>
      </w:pPr>
      <w:r>
        <w:rPr>
          <w:sz w:val="24"/>
        </w:rPr>
        <w:t>that MOFCOM failed</w:t>
      </w:r>
      <w:r>
        <w:rPr>
          <w:spacing w:val="-2"/>
          <w:sz w:val="24"/>
        </w:rPr>
        <w:t xml:space="preserve"> </w:t>
      </w:r>
      <w:r>
        <w:rPr>
          <w:sz w:val="24"/>
        </w:rPr>
        <w:t>to</w:t>
      </w:r>
      <w:r>
        <w:rPr>
          <w:spacing w:val="-2"/>
          <w:sz w:val="24"/>
        </w:rPr>
        <w:t xml:space="preserve"> </w:t>
      </w:r>
      <w:r>
        <w:rPr>
          <w:sz w:val="24"/>
        </w:rPr>
        <w:t>properly account for</w:t>
      </w:r>
      <w:r>
        <w:rPr>
          <w:spacing w:val="-2"/>
          <w:sz w:val="24"/>
        </w:rPr>
        <w:t xml:space="preserve"> </w:t>
      </w:r>
      <w:r>
        <w:rPr>
          <w:sz w:val="24"/>
        </w:rPr>
        <w:t>the reasons that supported</w:t>
      </w:r>
      <w:r>
        <w:rPr>
          <w:spacing w:val="-2"/>
          <w:sz w:val="24"/>
        </w:rPr>
        <w:t xml:space="preserve"> </w:t>
      </w:r>
      <w:r>
        <w:rPr>
          <w:sz w:val="24"/>
        </w:rPr>
        <w:t>its conclusion that there was a causal connection between Australian imports and injury;</w:t>
      </w:r>
      <w:hyperlink w:anchor="_bookmark1687" w:history="1">
        <w:r>
          <w:rPr>
            <w:sz w:val="24"/>
            <w:vertAlign w:val="superscript"/>
          </w:rPr>
          <w:t>1468</w:t>
        </w:r>
      </w:hyperlink>
      <w:r>
        <w:rPr>
          <w:sz w:val="24"/>
        </w:rPr>
        <w:t xml:space="preserve"> and</w:t>
      </w:r>
    </w:p>
    <w:p w14:paraId="6A95D9D0" w14:textId="77777777" w:rsidR="00BD462C" w:rsidRDefault="00033D0F">
      <w:pPr>
        <w:pStyle w:val="ListParagraph"/>
        <w:numPr>
          <w:ilvl w:val="0"/>
          <w:numId w:val="8"/>
        </w:numPr>
        <w:tabs>
          <w:tab w:val="left" w:pos="1836"/>
        </w:tabs>
        <w:spacing w:before="117" w:line="360" w:lineRule="auto"/>
        <w:ind w:right="916"/>
        <w:jc w:val="both"/>
        <w:rPr>
          <w:sz w:val="24"/>
        </w:rPr>
      </w:pPr>
      <w:r>
        <w:rPr>
          <w:sz w:val="24"/>
        </w:rPr>
        <w:t>that MOFCOM failed to address reasonable alternative explanations for domestic industry dynamics that had been raised by interested parties.</w:t>
      </w:r>
      <w:hyperlink w:anchor="_bookmark1688" w:history="1">
        <w:r>
          <w:rPr>
            <w:sz w:val="24"/>
            <w:vertAlign w:val="superscript"/>
          </w:rPr>
          <w:t>1469</w:t>
        </w:r>
      </w:hyperlink>
    </w:p>
    <w:p w14:paraId="11D1E904" w14:textId="77777777" w:rsidR="00BD462C" w:rsidRDefault="00BD462C">
      <w:pPr>
        <w:pStyle w:val="BodyText"/>
        <w:rPr>
          <w:sz w:val="20"/>
        </w:rPr>
      </w:pPr>
    </w:p>
    <w:p w14:paraId="3CE4F9DF" w14:textId="753DE760" w:rsidR="00BD462C" w:rsidRDefault="006E6DEA">
      <w:pPr>
        <w:pStyle w:val="BodyText"/>
        <w:spacing w:before="7"/>
        <w:rPr>
          <w:sz w:val="26"/>
        </w:rPr>
      </w:pPr>
      <w:r>
        <w:rPr>
          <w:noProof/>
        </w:rPr>
        <mc:AlternateContent>
          <mc:Choice Requires="wps">
            <w:drawing>
              <wp:anchor distT="0" distB="0" distL="0" distR="0" simplePos="0" relativeHeight="488124928" behindDoc="1" locked="0" layoutInCell="1" allowOverlap="1" wp14:anchorId="62E2367A" wp14:editId="1B50C6C1">
                <wp:simplePos x="0" y="0"/>
                <wp:positionH relativeFrom="page">
                  <wp:posOffset>812800</wp:posOffset>
                </wp:positionH>
                <wp:positionV relativeFrom="paragraph">
                  <wp:posOffset>207645</wp:posOffset>
                </wp:positionV>
                <wp:extent cx="1828800" cy="8890"/>
                <wp:effectExtent l="0" t="0" r="0" b="0"/>
                <wp:wrapTopAndBottom/>
                <wp:docPr id="97" name="docshape7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C5FB18" id="docshape705" o:spid="_x0000_s1026" alt="&quot;&quot;" style="position:absolute;margin-left:64pt;margin-top:16.35pt;width:2in;height:.7pt;z-index:-1519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" fillcolor="black" stroked="f">
                <w10:wrap type="topAndBottom" anchorx="page"/>
              </v:rect>
            </w:pict>
          </mc:Fallback>
        </mc:AlternateContent>
      </w:r>
    </w:p>
    <w:p w14:paraId="3752BB6D" w14:textId="77777777" w:rsidR="00BD462C" w:rsidRDefault="00033D0F">
      <w:pPr>
        <w:spacing w:before="113" w:line="237" w:lineRule="auto"/>
        <w:ind w:left="135" w:right="6258"/>
        <w:rPr>
          <w:sz w:val="18"/>
        </w:rPr>
      </w:pPr>
      <w:bookmarkStart w:id="1952" w:name="_bookmark1682"/>
      <w:bookmarkEnd w:id="1952"/>
      <w:r>
        <w:rPr>
          <w:position w:val="5"/>
          <w:sz w:val="12"/>
        </w:rPr>
        <w:t>1463</w:t>
      </w:r>
      <w:r>
        <w:rPr>
          <w:spacing w:val="40"/>
          <w:position w:val="5"/>
          <w:sz w:val="12"/>
        </w:rPr>
        <w:t xml:space="preserve"> </w:t>
      </w:r>
      <w:r>
        <w:rPr>
          <w:sz w:val="18"/>
        </w:rPr>
        <w:t xml:space="preserve">China's first written submission, para. 2646. </w:t>
      </w:r>
      <w:bookmarkStart w:id="1953" w:name="_bookmark1683"/>
      <w:bookmarkEnd w:id="1953"/>
      <w:r>
        <w:rPr>
          <w:position w:val="5"/>
          <w:sz w:val="12"/>
        </w:rPr>
        <w:t>1464</w:t>
      </w:r>
      <w:r>
        <w:rPr>
          <w:spacing w:val="12"/>
          <w:position w:val="5"/>
          <w:sz w:val="12"/>
        </w:rPr>
        <w:t xml:space="preserve"> </w:t>
      </w:r>
      <w:r>
        <w:rPr>
          <w:sz w:val="18"/>
        </w:rPr>
        <w:t>Australia's</w:t>
      </w:r>
      <w:r>
        <w:rPr>
          <w:spacing w:val="-7"/>
          <w:sz w:val="18"/>
        </w:rPr>
        <w:t xml:space="preserve"> </w:t>
      </w:r>
      <w:r>
        <w:rPr>
          <w:sz w:val="18"/>
        </w:rPr>
        <w:t>first</w:t>
      </w:r>
      <w:r>
        <w:rPr>
          <w:spacing w:val="-6"/>
          <w:sz w:val="18"/>
        </w:rPr>
        <w:t xml:space="preserve"> </w:t>
      </w:r>
      <w:r>
        <w:rPr>
          <w:sz w:val="18"/>
        </w:rPr>
        <w:t>written</w:t>
      </w:r>
      <w:r>
        <w:rPr>
          <w:spacing w:val="-3"/>
          <w:sz w:val="18"/>
        </w:rPr>
        <w:t xml:space="preserve"> </w:t>
      </w:r>
      <w:r>
        <w:rPr>
          <w:sz w:val="18"/>
        </w:rPr>
        <w:t>submission,</w:t>
      </w:r>
      <w:r>
        <w:rPr>
          <w:spacing w:val="-1"/>
          <w:sz w:val="18"/>
        </w:rPr>
        <w:t xml:space="preserve"> </w:t>
      </w:r>
      <w:r>
        <w:rPr>
          <w:sz w:val="18"/>
        </w:rPr>
        <w:t>para.</w:t>
      </w:r>
      <w:r>
        <w:rPr>
          <w:spacing w:val="-6"/>
          <w:sz w:val="18"/>
        </w:rPr>
        <w:t xml:space="preserve"> </w:t>
      </w:r>
      <w:r>
        <w:rPr>
          <w:sz w:val="18"/>
        </w:rPr>
        <w:t xml:space="preserve">1118. </w:t>
      </w:r>
      <w:bookmarkStart w:id="1954" w:name="_bookmark1684"/>
      <w:bookmarkEnd w:id="1954"/>
      <w:r>
        <w:rPr>
          <w:position w:val="5"/>
          <w:sz w:val="12"/>
        </w:rPr>
        <w:t>1465</w:t>
      </w:r>
      <w:r>
        <w:rPr>
          <w:spacing w:val="40"/>
          <w:position w:val="5"/>
          <w:sz w:val="12"/>
        </w:rPr>
        <w:t xml:space="preserve"> </w:t>
      </w:r>
      <w:r>
        <w:rPr>
          <w:sz w:val="18"/>
        </w:rPr>
        <w:t>China's first written submission, para. 2646.</w:t>
      </w:r>
    </w:p>
    <w:p w14:paraId="7BED0F26" w14:textId="77777777" w:rsidR="00BD462C" w:rsidRDefault="00033D0F">
      <w:pPr>
        <w:spacing w:before="4"/>
        <w:ind w:left="135"/>
        <w:rPr>
          <w:sz w:val="18"/>
        </w:rPr>
      </w:pPr>
      <w:bookmarkStart w:id="1955" w:name="_bookmark1685"/>
      <w:bookmarkEnd w:id="1955"/>
      <w:r>
        <w:rPr>
          <w:position w:val="5"/>
          <w:sz w:val="12"/>
        </w:rPr>
        <w:t>1466</w:t>
      </w:r>
      <w:r>
        <w:rPr>
          <w:spacing w:val="13"/>
          <w:position w:val="5"/>
          <w:sz w:val="12"/>
        </w:rPr>
        <w:t xml:space="preserve"> </w:t>
      </w:r>
      <w:r>
        <w:rPr>
          <w:sz w:val="18"/>
        </w:rPr>
        <w:t>Australia's</w:t>
      </w:r>
      <w:r>
        <w:rPr>
          <w:spacing w:val="-5"/>
          <w:sz w:val="18"/>
        </w:rPr>
        <w:t xml:space="preserve"> </w:t>
      </w:r>
      <w:r>
        <w:rPr>
          <w:sz w:val="18"/>
        </w:rPr>
        <w:t>first</w:t>
      </w:r>
      <w:r>
        <w:rPr>
          <w:spacing w:val="-4"/>
          <w:sz w:val="18"/>
        </w:rPr>
        <w:t xml:space="preserve"> </w:t>
      </w:r>
      <w:r>
        <w:rPr>
          <w:sz w:val="18"/>
        </w:rPr>
        <w:t>written</w:t>
      </w:r>
      <w:r>
        <w:rPr>
          <w:spacing w:val="-2"/>
          <w:sz w:val="18"/>
        </w:rPr>
        <w:t xml:space="preserve"> </w:t>
      </w:r>
      <w:r>
        <w:rPr>
          <w:sz w:val="18"/>
        </w:rPr>
        <w:t>submission,</w:t>
      </w:r>
      <w:r>
        <w:rPr>
          <w:spacing w:val="2"/>
          <w:sz w:val="18"/>
        </w:rPr>
        <w:t xml:space="preserve"> </w:t>
      </w:r>
      <w:r>
        <w:rPr>
          <w:sz w:val="18"/>
        </w:rPr>
        <w:t>paras.</w:t>
      </w:r>
      <w:r>
        <w:rPr>
          <w:spacing w:val="-5"/>
          <w:sz w:val="18"/>
        </w:rPr>
        <w:t xml:space="preserve"> </w:t>
      </w:r>
      <w:r>
        <w:rPr>
          <w:sz w:val="18"/>
        </w:rPr>
        <w:t>1076</w:t>
      </w:r>
      <w:r>
        <w:rPr>
          <w:spacing w:val="-7"/>
          <w:sz w:val="18"/>
        </w:rPr>
        <w:t xml:space="preserve"> </w:t>
      </w:r>
      <w:r>
        <w:rPr>
          <w:sz w:val="18"/>
        </w:rPr>
        <w:t>–</w:t>
      </w:r>
      <w:r>
        <w:rPr>
          <w:spacing w:val="-1"/>
          <w:sz w:val="18"/>
        </w:rPr>
        <w:t xml:space="preserve"> </w:t>
      </w:r>
      <w:r>
        <w:rPr>
          <w:spacing w:val="-2"/>
          <w:sz w:val="18"/>
        </w:rPr>
        <w:t>1129.</w:t>
      </w:r>
    </w:p>
    <w:p w14:paraId="506B1ABE" w14:textId="77777777" w:rsidR="00BD462C" w:rsidRDefault="00033D0F">
      <w:pPr>
        <w:spacing w:before="1"/>
        <w:ind w:left="135"/>
        <w:rPr>
          <w:sz w:val="18"/>
        </w:rPr>
      </w:pPr>
      <w:bookmarkStart w:id="1956" w:name="_bookmark1686"/>
      <w:bookmarkEnd w:id="1956"/>
      <w:r>
        <w:rPr>
          <w:position w:val="5"/>
          <w:sz w:val="12"/>
        </w:rPr>
        <w:t>1467</w:t>
      </w:r>
      <w:r>
        <w:rPr>
          <w:spacing w:val="12"/>
          <w:position w:val="5"/>
          <w:sz w:val="12"/>
        </w:rPr>
        <w:t xml:space="preserve"> </w:t>
      </w:r>
      <w:r>
        <w:rPr>
          <w:sz w:val="18"/>
        </w:rPr>
        <w:t>Australia's</w:t>
      </w:r>
      <w:r>
        <w:rPr>
          <w:spacing w:val="-6"/>
          <w:sz w:val="18"/>
        </w:rPr>
        <w:t xml:space="preserve"> </w:t>
      </w:r>
      <w:r>
        <w:rPr>
          <w:sz w:val="18"/>
        </w:rPr>
        <w:t>first</w:t>
      </w:r>
      <w:r>
        <w:rPr>
          <w:spacing w:val="-6"/>
          <w:sz w:val="18"/>
        </w:rPr>
        <w:t xml:space="preserve"> </w:t>
      </w:r>
      <w:r>
        <w:rPr>
          <w:sz w:val="18"/>
        </w:rPr>
        <w:t>written</w:t>
      </w:r>
      <w:r>
        <w:rPr>
          <w:spacing w:val="-2"/>
          <w:sz w:val="18"/>
        </w:rPr>
        <w:t xml:space="preserve"> </w:t>
      </w:r>
      <w:r>
        <w:rPr>
          <w:sz w:val="18"/>
        </w:rPr>
        <w:t>submission, para</w:t>
      </w:r>
      <w:r>
        <w:rPr>
          <w:spacing w:val="-3"/>
          <w:sz w:val="18"/>
        </w:rPr>
        <w:t xml:space="preserve"> </w:t>
      </w:r>
      <w:r>
        <w:rPr>
          <w:sz w:val="18"/>
        </w:rPr>
        <w:t>1122;</w:t>
      </w:r>
      <w:r>
        <w:rPr>
          <w:spacing w:val="-8"/>
          <w:sz w:val="18"/>
        </w:rPr>
        <w:t xml:space="preserve"> </w:t>
      </w:r>
      <w:r>
        <w:rPr>
          <w:sz w:val="18"/>
        </w:rPr>
        <w:t>China's</w:t>
      </w:r>
      <w:r>
        <w:rPr>
          <w:spacing w:val="-6"/>
          <w:sz w:val="18"/>
        </w:rPr>
        <w:t xml:space="preserve"> </w:t>
      </w:r>
      <w:r>
        <w:rPr>
          <w:sz w:val="18"/>
        </w:rPr>
        <w:t>first</w:t>
      </w:r>
      <w:r>
        <w:rPr>
          <w:spacing w:val="-6"/>
          <w:sz w:val="18"/>
        </w:rPr>
        <w:t xml:space="preserve"> </w:t>
      </w:r>
      <w:r>
        <w:rPr>
          <w:sz w:val="18"/>
        </w:rPr>
        <w:t>written</w:t>
      </w:r>
      <w:r>
        <w:rPr>
          <w:spacing w:val="-7"/>
          <w:sz w:val="18"/>
        </w:rPr>
        <w:t xml:space="preserve"> </w:t>
      </w:r>
      <w:r>
        <w:rPr>
          <w:sz w:val="18"/>
        </w:rPr>
        <w:t>submission,</w:t>
      </w:r>
      <w:r>
        <w:rPr>
          <w:spacing w:val="-4"/>
          <w:sz w:val="18"/>
        </w:rPr>
        <w:t xml:space="preserve"> </w:t>
      </w:r>
      <w:r>
        <w:rPr>
          <w:sz w:val="18"/>
        </w:rPr>
        <w:t>paras.</w:t>
      </w:r>
      <w:r>
        <w:rPr>
          <w:spacing w:val="-1"/>
          <w:sz w:val="18"/>
        </w:rPr>
        <w:t xml:space="preserve"> </w:t>
      </w:r>
      <w:r>
        <w:rPr>
          <w:sz w:val="18"/>
        </w:rPr>
        <w:t>2655-</w:t>
      </w:r>
      <w:r>
        <w:rPr>
          <w:spacing w:val="-2"/>
          <w:sz w:val="18"/>
        </w:rPr>
        <w:t>2556.</w:t>
      </w:r>
    </w:p>
    <w:p w14:paraId="37EDC144" w14:textId="77777777" w:rsidR="00BD462C" w:rsidRDefault="00033D0F">
      <w:pPr>
        <w:spacing w:before="1"/>
        <w:ind w:left="135"/>
        <w:rPr>
          <w:sz w:val="18"/>
        </w:rPr>
      </w:pPr>
      <w:bookmarkStart w:id="1957" w:name="_bookmark1687"/>
      <w:bookmarkEnd w:id="1957"/>
      <w:r>
        <w:rPr>
          <w:position w:val="5"/>
          <w:sz w:val="12"/>
        </w:rPr>
        <w:t>1468</w:t>
      </w:r>
      <w:r>
        <w:rPr>
          <w:spacing w:val="12"/>
          <w:position w:val="5"/>
          <w:sz w:val="12"/>
        </w:rPr>
        <w:t xml:space="preserve"> </w:t>
      </w:r>
      <w:r>
        <w:rPr>
          <w:sz w:val="18"/>
        </w:rPr>
        <w:t>Australia's</w:t>
      </w:r>
      <w:r>
        <w:rPr>
          <w:spacing w:val="-7"/>
          <w:sz w:val="18"/>
        </w:rPr>
        <w:t xml:space="preserve"> </w:t>
      </w:r>
      <w:r>
        <w:rPr>
          <w:sz w:val="18"/>
        </w:rPr>
        <w:t>first</w:t>
      </w:r>
      <w:r>
        <w:rPr>
          <w:spacing w:val="-5"/>
          <w:sz w:val="18"/>
        </w:rPr>
        <w:t xml:space="preserve"> </w:t>
      </w:r>
      <w:r>
        <w:rPr>
          <w:sz w:val="18"/>
        </w:rPr>
        <w:t>written</w:t>
      </w:r>
      <w:r>
        <w:rPr>
          <w:spacing w:val="-3"/>
          <w:sz w:val="18"/>
        </w:rPr>
        <w:t xml:space="preserve"> </w:t>
      </w:r>
      <w:r>
        <w:rPr>
          <w:sz w:val="18"/>
        </w:rPr>
        <w:t>submission, paras.</w:t>
      </w:r>
      <w:r>
        <w:rPr>
          <w:spacing w:val="-5"/>
          <w:sz w:val="18"/>
        </w:rPr>
        <w:t xml:space="preserve"> </w:t>
      </w:r>
      <w:r>
        <w:rPr>
          <w:sz w:val="18"/>
        </w:rPr>
        <w:t>1124-1125;</w:t>
      </w:r>
      <w:r>
        <w:rPr>
          <w:spacing w:val="-9"/>
          <w:sz w:val="18"/>
        </w:rPr>
        <w:t xml:space="preserve"> </w:t>
      </w:r>
      <w:r>
        <w:rPr>
          <w:sz w:val="18"/>
        </w:rPr>
        <w:t>China's</w:t>
      </w:r>
      <w:r>
        <w:rPr>
          <w:spacing w:val="-6"/>
          <w:sz w:val="18"/>
        </w:rPr>
        <w:t xml:space="preserve"> </w:t>
      </w:r>
      <w:r>
        <w:rPr>
          <w:sz w:val="18"/>
        </w:rPr>
        <w:t>first</w:t>
      </w:r>
      <w:r>
        <w:rPr>
          <w:spacing w:val="-10"/>
          <w:sz w:val="18"/>
        </w:rPr>
        <w:t xml:space="preserve"> </w:t>
      </w:r>
      <w:r>
        <w:rPr>
          <w:sz w:val="18"/>
        </w:rPr>
        <w:t>written</w:t>
      </w:r>
      <w:r>
        <w:rPr>
          <w:spacing w:val="-7"/>
          <w:sz w:val="18"/>
        </w:rPr>
        <w:t xml:space="preserve"> </w:t>
      </w:r>
      <w:r>
        <w:rPr>
          <w:sz w:val="18"/>
        </w:rPr>
        <w:t>submission,</w:t>
      </w:r>
      <w:r>
        <w:rPr>
          <w:spacing w:val="-4"/>
          <w:sz w:val="18"/>
        </w:rPr>
        <w:t xml:space="preserve"> </w:t>
      </w:r>
      <w:r>
        <w:rPr>
          <w:sz w:val="18"/>
        </w:rPr>
        <w:t>paras.</w:t>
      </w:r>
      <w:r>
        <w:rPr>
          <w:spacing w:val="-1"/>
          <w:sz w:val="18"/>
        </w:rPr>
        <w:t xml:space="preserve"> </w:t>
      </w:r>
      <w:r>
        <w:rPr>
          <w:sz w:val="18"/>
        </w:rPr>
        <w:t>2658-</w:t>
      </w:r>
      <w:r>
        <w:rPr>
          <w:spacing w:val="-2"/>
          <w:sz w:val="18"/>
        </w:rPr>
        <w:t>2659.</w:t>
      </w:r>
    </w:p>
    <w:p w14:paraId="371C2A2A" w14:textId="77777777" w:rsidR="00BD462C" w:rsidRDefault="00033D0F">
      <w:pPr>
        <w:spacing w:before="1"/>
        <w:ind w:left="135"/>
        <w:rPr>
          <w:sz w:val="18"/>
        </w:rPr>
      </w:pPr>
      <w:bookmarkStart w:id="1958" w:name="_bookmark1688"/>
      <w:bookmarkEnd w:id="1958"/>
      <w:r>
        <w:rPr>
          <w:position w:val="5"/>
          <w:sz w:val="12"/>
        </w:rPr>
        <w:t>1469</w:t>
      </w:r>
      <w:r>
        <w:rPr>
          <w:spacing w:val="12"/>
          <w:position w:val="5"/>
          <w:sz w:val="12"/>
        </w:rPr>
        <w:t xml:space="preserve"> </w:t>
      </w:r>
      <w:r>
        <w:rPr>
          <w:sz w:val="18"/>
        </w:rPr>
        <w:t>Australia's</w:t>
      </w:r>
      <w:r>
        <w:rPr>
          <w:spacing w:val="-5"/>
          <w:sz w:val="18"/>
        </w:rPr>
        <w:t xml:space="preserve"> </w:t>
      </w:r>
      <w:r>
        <w:rPr>
          <w:sz w:val="18"/>
        </w:rPr>
        <w:t>first</w:t>
      </w:r>
      <w:r>
        <w:rPr>
          <w:spacing w:val="-5"/>
          <w:sz w:val="18"/>
        </w:rPr>
        <w:t xml:space="preserve"> </w:t>
      </w:r>
      <w:r>
        <w:rPr>
          <w:sz w:val="18"/>
        </w:rPr>
        <w:t>written</w:t>
      </w:r>
      <w:r>
        <w:rPr>
          <w:spacing w:val="-2"/>
          <w:sz w:val="18"/>
        </w:rPr>
        <w:t xml:space="preserve"> </w:t>
      </w:r>
      <w:r>
        <w:rPr>
          <w:sz w:val="18"/>
        </w:rPr>
        <w:t>submission,</w:t>
      </w:r>
      <w:r>
        <w:rPr>
          <w:spacing w:val="1"/>
          <w:sz w:val="18"/>
        </w:rPr>
        <w:t xml:space="preserve"> </w:t>
      </w:r>
      <w:r>
        <w:rPr>
          <w:sz w:val="18"/>
        </w:rPr>
        <w:t>para</w:t>
      </w:r>
      <w:r>
        <w:rPr>
          <w:spacing w:val="-3"/>
          <w:sz w:val="18"/>
        </w:rPr>
        <w:t xml:space="preserve"> </w:t>
      </w:r>
      <w:r>
        <w:rPr>
          <w:sz w:val="18"/>
        </w:rPr>
        <w:t>1127;</w:t>
      </w:r>
      <w:r>
        <w:rPr>
          <w:spacing w:val="-8"/>
          <w:sz w:val="18"/>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7"/>
          <w:sz w:val="18"/>
        </w:rPr>
        <w:t xml:space="preserve"> </w:t>
      </w:r>
      <w:r>
        <w:rPr>
          <w:sz w:val="18"/>
        </w:rPr>
        <w:t>submission,</w:t>
      </w:r>
      <w:r>
        <w:rPr>
          <w:spacing w:val="-4"/>
          <w:sz w:val="18"/>
        </w:rPr>
        <w:t xml:space="preserve"> </w:t>
      </w:r>
      <w:r>
        <w:rPr>
          <w:sz w:val="18"/>
        </w:rPr>
        <w:t xml:space="preserve">para. </w:t>
      </w:r>
      <w:r>
        <w:rPr>
          <w:spacing w:val="-2"/>
          <w:sz w:val="18"/>
        </w:rPr>
        <w:t>2662.</w:t>
      </w:r>
    </w:p>
    <w:p w14:paraId="4E8A6CA4" w14:textId="77777777" w:rsidR="00BD462C" w:rsidRDefault="00BD462C">
      <w:pPr>
        <w:rPr>
          <w:sz w:val="18"/>
        </w:rPr>
        <w:sectPr w:rsidR="00BD462C">
          <w:pgSz w:w="11910" w:h="16840"/>
          <w:pgMar w:top="860" w:right="500" w:bottom="780" w:left="1280" w:header="566" w:footer="590" w:gutter="0"/>
          <w:cols w:space="720"/>
        </w:sectPr>
      </w:pPr>
    </w:p>
    <w:p w14:paraId="2F76B22F" w14:textId="77777777" w:rsidR="00BD462C" w:rsidRDefault="00033D0F">
      <w:pPr>
        <w:tabs>
          <w:tab w:val="left" w:pos="6087"/>
        </w:tabs>
        <w:spacing w:before="1"/>
        <w:ind w:left="135"/>
        <w:jc w:val="both"/>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779E9069" w14:textId="77777777" w:rsidR="00BD462C" w:rsidRDefault="00033D0F">
      <w:pPr>
        <w:spacing w:before="1"/>
        <w:ind w:left="135"/>
        <w:jc w:val="both"/>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1916F619" w14:textId="77777777" w:rsidR="00BD462C" w:rsidRDefault="00033D0F">
      <w:pPr>
        <w:tabs>
          <w:tab w:val="left" w:pos="7652"/>
        </w:tabs>
        <w:ind w:left="135"/>
        <w:jc w:val="both"/>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20EBCA91" w14:textId="306A7F23" w:rsidR="00BD462C" w:rsidRDefault="0035521D">
      <w:pPr>
        <w:pStyle w:val="BodyText"/>
        <w:spacing w:before="107" w:line="360" w:lineRule="auto"/>
        <w:ind w:left="135" w:right="916" w:firstLine="9"/>
        <w:jc w:val="both"/>
      </w:pPr>
      <w:r>
        <w:rPr>
          <w:noProof/>
        </w:rPr>
        <w:t>1009.</w:t>
      </w:r>
      <w:r w:rsidR="00033D0F">
        <w:rPr>
          <w:rFonts w:ascii="Times New Roman"/>
          <w:spacing w:val="40"/>
          <w:position w:val="1"/>
          <w:sz w:val="20"/>
        </w:rPr>
        <w:t xml:space="preserve"> </w:t>
      </w:r>
      <w:r w:rsidR="00033D0F">
        <w:rPr>
          <w:position w:val="1"/>
        </w:rPr>
        <w:t xml:space="preserve">In raising these arguments, Australia understands China's position to be that this </w:t>
      </w:r>
      <w:r w:rsidR="00033D0F">
        <w:t>information was not required to be disclosed under Articles 12.2 and 12.2.2, because MOFCOM</w:t>
      </w:r>
      <w:r w:rsidR="00033D0F">
        <w:rPr>
          <w:spacing w:val="-1"/>
        </w:rPr>
        <w:t xml:space="preserve"> </w:t>
      </w:r>
      <w:r w:rsidR="00033D0F">
        <w:t>did</w:t>
      </w:r>
      <w:r w:rsidR="00033D0F">
        <w:rPr>
          <w:spacing w:val="-3"/>
        </w:rPr>
        <w:t xml:space="preserve"> </w:t>
      </w:r>
      <w:r w:rsidR="00033D0F">
        <w:t>not</w:t>
      </w:r>
      <w:r w:rsidR="00033D0F">
        <w:rPr>
          <w:spacing w:val="-1"/>
        </w:rPr>
        <w:t xml:space="preserve"> </w:t>
      </w:r>
      <w:r w:rsidR="00033D0F">
        <w:t>in</w:t>
      </w:r>
      <w:r w:rsidR="00033D0F">
        <w:rPr>
          <w:spacing w:val="-3"/>
        </w:rPr>
        <w:t xml:space="preserve"> </w:t>
      </w:r>
      <w:r w:rsidR="00033D0F">
        <w:t>fact undertake</w:t>
      </w:r>
      <w:r w:rsidR="00033D0F">
        <w:rPr>
          <w:spacing w:val="-1"/>
        </w:rPr>
        <w:t xml:space="preserve"> </w:t>
      </w:r>
      <w:r w:rsidR="00033D0F">
        <w:t>the</w:t>
      </w:r>
      <w:r w:rsidR="00033D0F">
        <w:rPr>
          <w:spacing w:val="-2"/>
        </w:rPr>
        <w:t xml:space="preserve"> </w:t>
      </w:r>
      <w:r w:rsidR="00033D0F">
        <w:t>underlying</w:t>
      </w:r>
      <w:r w:rsidR="00033D0F">
        <w:rPr>
          <w:spacing w:val="-5"/>
        </w:rPr>
        <w:t xml:space="preserve"> </w:t>
      </w:r>
      <w:r w:rsidR="00033D0F">
        <w:t>action</w:t>
      </w:r>
      <w:r w:rsidR="00033D0F">
        <w:rPr>
          <w:spacing w:val="-3"/>
        </w:rPr>
        <w:t xml:space="preserve"> </w:t>
      </w:r>
      <w:r w:rsidR="00033D0F">
        <w:t>or</w:t>
      </w:r>
      <w:r w:rsidR="00033D0F">
        <w:rPr>
          <w:spacing w:val="-4"/>
        </w:rPr>
        <w:t xml:space="preserve"> </w:t>
      </w:r>
      <w:r w:rsidR="00033D0F">
        <w:t>analysis. In</w:t>
      </w:r>
      <w:r w:rsidR="00033D0F">
        <w:rPr>
          <w:spacing w:val="-3"/>
        </w:rPr>
        <w:t xml:space="preserve"> </w:t>
      </w:r>
      <w:r w:rsidR="00033D0F">
        <w:t>other</w:t>
      </w:r>
      <w:r w:rsidR="00033D0F">
        <w:rPr>
          <w:spacing w:val="-4"/>
        </w:rPr>
        <w:t xml:space="preserve"> </w:t>
      </w:r>
      <w:r w:rsidR="00033D0F">
        <w:t>words, China</w:t>
      </w:r>
      <w:r w:rsidR="00033D0F">
        <w:rPr>
          <w:spacing w:val="-2"/>
        </w:rPr>
        <w:t xml:space="preserve"> </w:t>
      </w:r>
      <w:r w:rsidR="00033D0F">
        <w:t>is indicating to</w:t>
      </w:r>
      <w:r w:rsidR="00033D0F">
        <w:rPr>
          <w:spacing w:val="-4"/>
        </w:rPr>
        <w:t xml:space="preserve"> </w:t>
      </w:r>
      <w:r w:rsidR="00033D0F">
        <w:t>Australia</w:t>
      </w:r>
      <w:r w:rsidR="00033D0F">
        <w:rPr>
          <w:spacing w:val="-2"/>
        </w:rPr>
        <w:t xml:space="preserve"> </w:t>
      </w:r>
      <w:r w:rsidR="00033D0F">
        <w:t>that</w:t>
      </w:r>
      <w:r w:rsidR="00033D0F">
        <w:rPr>
          <w:spacing w:val="-1"/>
        </w:rPr>
        <w:t xml:space="preserve"> </w:t>
      </w:r>
      <w:r w:rsidR="00033D0F">
        <w:t>there</w:t>
      </w:r>
      <w:r w:rsidR="00033D0F">
        <w:rPr>
          <w:spacing w:val="-1"/>
        </w:rPr>
        <w:t xml:space="preserve"> </w:t>
      </w:r>
      <w:r w:rsidR="00033D0F">
        <w:t>was no</w:t>
      </w:r>
      <w:r w:rsidR="00033D0F">
        <w:rPr>
          <w:spacing w:val="-4"/>
        </w:rPr>
        <w:t xml:space="preserve"> </w:t>
      </w:r>
      <w:r w:rsidR="00033D0F">
        <w:t>information</w:t>
      </w:r>
      <w:r w:rsidR="00033D0F">
        <w:rPr>
          <w:spacing w:val="-3"/>
        </w:rPr>
        <w:t xml:space="preserve"> </w:t>
      </w:r>
      <w:r w:rsidR="00033D0F">
        <w:t>to disclose</w:t>
      </w:r>
      <w:r w:rsidR="00033D0F">
        <w:rPr>
          <w:spacing w:val="-1"/>
        </w:rPr>
        <w:t xml:space="preserve"> </w:t>
      </w:r>
      <w:r w:rsidR="00033D0F">
        <w:t>on</w:t>
      </w:r>
      <w:r w:rsidR="00033D0F">
        <w:rPr>
          <w:spacing w:val="-3"/>
        </w:rPr>
        <w:t xml:space="preserve"> </w:t>
      </w:r>
      <w:r w:rsidR="00033D0F">
        <w:t>these</w:t>
      </w:r>
      <w:r w:rsidR="00033D0F">
        <w:rPr>
          <w:spacing w:val="-1"/>
        </w:rPr>
        <w:t xml:space="preserve"> </w:t>
      </w:r>
      <w:r w:rsidR="00033D0F">
        <w:t>issues. If</w:t>
      </w:r>
      <w:r w:rsidR="00033D0F">
        <w:rPr>
          <w:spacing w:val="-3"/>
        </w:rPr>
        <w:t xml:space="preserve"> </w:t>
      </w:r>
      <w:r w:rsidR="00033D0F">
        <w:t>it</w:t>
      </w:r>
      <w:r w:rsidR="00033D0F">
        <w:rPr>
          <w:spacing w:val="-1"/>
        </w:rPr>
        <w:t xml:space="preserve"> </w:t>
      </w:r>
      <w:r w:rsidR="00033D0F">
        <w:t>is in</w:t>
      </w:r>
      <w:r w:rsidR="00033D0F">
        <w:rPr>
          <w:spacing w:val="-3"/>
        </w:rPr>
        <w:t xml:space="preserve"> </w:t>
      </w:r>
      <w:r w:rsidR="00033D0F">
        <w:t>fact true that MOFCOM did not consider these elements in sufficient detail during the investigation,</w:t>
      </w:r>
      <w:r w:rsidR="00033D0F">
        <w:rPr>
          <w:spacing w:val="-2"/>
        </w:rPr>
        <w:t xml:space="preserve"> </w:t>
      </w:r>
      <w:r w:rsidR="00033D0F">
        <w:t>then</w:t>
      </w:r>
      <w:r w:rsidR="00033D0F">
        <w:rPr>
          <w:spacing w:val="-5"/>
        </w:rPr>
        <w:t xml:space="preserve"> </w:t>
      </w:r>
      <w:r w:rsidR="00033D0F">
        <w:t>Australia</w:t>
      </w:r>
      <w:r w:rsidR="00033D0F">
        <w:rPr>
          <w:spacing w:val="-4"/>
        </w:rPr>
        <w:t xml:space="preserve"> </w:t>
      </w:r>
      <w:r w:rsidR="00033D0F">
        <w:t>acknowledges</w:t>
      </w:r>
      <w:r w:rsidR="00033D0F">
        <w:rPr>
          <w:spacing w:val="-2"/>
        </w:rPr>
        <w:t xml:space="preserve"> </w:t>
      </w:r>
      <w:r w:rsidR="00033D0F">
        <w:t>that</w:t>
      </w:r>
      <w:r w:rsidR="00033D0F">
        <w:rPr>
          <w:spacing w:val="-3"/>
        </w:rPr>
        <w:t xml:space="preserve"> </w:t>
      </w:r>
      <w:r w:rsidR="00033D0F">
        <w:t>this</w:t>
      </w:r>
      <w:r w:rsidR="00033D0F">
        <w:rPr>
          <w:spacing w:val="-2"/>
        </w:rPr>
        <w:t xml:space="preserve"> </w:t>
      </w:r>
      <w:r w:rsidR="00033D0F">
        <w:t>information</w:t>
      </w:r>
      <w:r w:rsidR="00033D0F">
        <w:rPr>
          <w:spacing w:val="-5"/>
        </w:rPr>
        <w:t xml:space="preserve"> </w:t>
      </w:r>
      <w:r w:rsidR="00033D0F">
        <w:t>need</w:t>
      </w:r>
      <w:r w:rsidR="00033D0F">
        <w:rPr>
          <w:spacing w:val="-5"/>
        </w:rPr>
        <w:t xml:space="preserve"> </w:t>
      </w:r>
      <w:r w:rsidR="00033D0F">
        <w:t>not be</w:t>
      </w:r>
      <w:r w:rsidR="00033D0F">
        <w:rPr>
          <w:spacing w:val="-4"/>
        </w:rPr>
        <w:t xml:space="preserve"> </w:t>
      </w:r>
      <w:r w:rsidR="00033D0F">
        <w:t>disclosed</w:t>
      </w:r>
      <w:r w:rsidR="00033D0F">
        <w:rPr>
          <w:spacing w:val="-5"/>
        </w:rPr>
        <w:t xml:space="preserve"> </w:t>
      </w:r>
      <w:r w:rsidR="00033D0F">
        <w:t>under Articles 12.2 and 12.2.2.</w:t>
      </w:r>
    </w:p>
    <w:p w14:paraId="10C6D9F8" w14:textId="77777777" w:rsidR="00BD462C" w:rsidRDefault="00BD462C">
      <w:pPr>
        <w:pStyle w:val="BodyText"/>
        <w:spacing w:before="5"/>
        <w:rPr>
          <w:sz w:val="8"/>
        </w:rPr>
      </w:pPr>
    </w:p>
    <w:p w14:paraId="37A4C8E6" w14:textId="462AE1A5" w:rsidR="00BD462C" w:rsidRDefault="0035521D">
      <w:pPr>
        <w:pStyle w:val="BodyText"/>
        <w:spacing w:before="56" w:line="360" w:lineRule="auto"/>
        <w:ind w:left="135" w:right="912" w:firstLine="9"/>
        <w:jc w:val="both"/>
      </w:pPr>
      <w:r>
        <w:rPr>
          <w:noProof/>
        </w:rPr>
        <w:t>1010.</w:t>
      </w:r>
      <w:r w:rsidR="00033D0F">
        <w:rPr>
          <w:rFonts w:ascii="Times New Roman"/>
          <w:spacing w:val="80"/>
          <w:position w:val="1"/>
          <w:sz w:val="20"/>
        </w:rPr>
        <w:t xml:space="preserve"> </w:t>
      </w:r>
      <w:r w:rsidR="00033D0F">
        <w:rPr>
          <w:position w:val="1"/>
        </w:rPr>
        <w:t xml:space="preserve">China now submits in this context that MOFCOM had recourse to facts available for </w:t>
      </w:r>
      <w:r w:rsidR="00033D0F">
        <w:t>the purposes of its price calculation for subject imports and domestic like prices under</w:t>
      </w:r>
      <w:r w:rsidR="00033D0F">
        <w:rPr>
          <w:spacing w:val="40"/>
        </w:rPr>
        <w:t xml:space="preserve"> </w:t>
      </w:r>
      <w:r w:rsidR="00033D0F">
        <w:t>Article</w:t>
      </w:r>
      <w:r w:rsidR="00033D0F">
        <w:rPr>
          <w:spacing w:val="40"/>
        </w:rPr>
        <w:t xml:space="preserve"> </w:t>
      </w:r>
      <w:r w:rsidR="00033D0F">
        <w:t>3.2.</w:t>
      </w:r>
      <w:hyperlink w:anchor="_bookmark1689" w:history="1">
        <w:r w:rsidR="00033D0F">
          <w:rPr>
            <w:vertAlign w:val="superscript"/>
          </w:rPr>
          <w:t>1470</w:t>
        </w:r>
      </w:hyperlink>
      <w:r w:rsidR="00033D0F">
        <w:t xml:space="preserve"> While Australia does not accept this assertion,</w:t>
      </w:r>
      <w:hyperlink w:anchor="_bookmark1690" w:history="1">
        <w:r w:rsidR="00033D0F">
          <w:rPr>
            <w:vertAlign w:val="superscript"/>
          </w:rPr>
          <w:t>1471</w:t>
        </w:r>
      </w:hyperlink>
      <w:r w:rsidR="00033D0F">
        <w:t xml:space="preserve"> if this in fact was the case, MOFCOM's failure to disclose this decision at any point throughout the investigation, in particular</w:t>
      </w:r>
      <w:r w:rsidR="00033D0F">
        <w:rPr>
          <w:spacing w:val="-1"/>
        </w:rPr>
        <w:t xml:space="preserve"> </w:t>
      </w:r>
      <w:r w:rsidR="00033D0F">
        <w:t>in</w:t>
      </w:r>
      <w:r w:rsidR="00033D0F">
        <w:rPr>
          <w:spacing w:val="-1"/>
        </w:rPr>
        <w:t xml:space="preserve"> </w:t>
      </w:r>
      <w:r w:rsidR="00033D0F">
        <w:t>the Final Determination,</w:t>
      </w:r>
      <w:r w:rsidR="00033D0F">
        <w:rPr>
          <w:spacing w:val="-2"/>
        </w:rPr>
        <w:t xml:space="preserve"> </w:t>
      </w:r>
      <w:r w:rsidR="00033D0F">
        <w:t>would</w:t>
      </w:r>
      <w:r w:rsidR="00033D0F">
        <w:rPr>
          <w:spacing w:val="-1"/>
        </w:rPr>
        <w:t xml:space="preserve"> </w:t>
      </w:r>
      <w:r w:rsidR="00033D0F">
        <w:t>have</w:t>
      </w:r>
      <w:r w:rsidR="00033D0F">
        <w:rPr>
          <w:spacing w:val="-3"/>
        </w:rPr>
        <w:t xml:space="preserve"> </w:t>
      </w:r>
      <w:r w:rsidR="00033D0F">
        <w:t>been</w:t>
      </w:r>
      <w:r w:rsidR="00033D0F">
        <w:rPr>
          <w:spacing w:val="-1"/>
        </w:rPr>
        <w:t xml:space="preserve"> </w:t>
      </w:r>
      <w:r w:rsidR="00033D0F">
        <w:t>a clear</w:t>
      </w:r>
      <w:r w:rsidR="00033D0F">
        <w:rPr>
          <w:spacing w:val="-1"/>
        </w:rPr>
        <w:t xml:space="preserve"> </w:t>
      </w:r>
      <w:r w:rsidR="00033D0F">
        <w:t>breach</w:t>
      </w:r>
      <w:r w:rsidR="00033D0F">
        <w:rPr>
          <w:spacing w:val="-1"/>
        </w:rPr>
        <w:t xml:space="preserve"> </w:t>
      </w:r>
      <w:r w:rsidR="00033D0F">
        <w:t>of the requirements of Articles 12.2 and 12.2.2.</w:t>
      </w:r>
    </w:p>
    <w:p w14:paraId="47BBF62C" w14:textId="77777777" w:rsidR="00BD462C" w:rsidRDefault="00BD462C">
      <w:pPr>
        <w:pStyle w:val="BodyText"/>
        <w:spacing w:before="3"/>
        <w:rPr>
          <w:sz w:val="8"/>
        </w:rPr>
      </w:pPr>
    </w:p>
    <w:p w14:paraId="10DFCEED" w14:textId="173213A0" w:rsidR="00BD462C" w:rsidRDefault="0035521D">
      <w:pPr>
        <w:pStyle w:val="BodyText"/>
        <w:spacing w:before="56" w:line="360" w:lineRule="auto"/>
        <w:ind w:left="135" w:right="908" w:firstLine="9"/>
        <w:jc w:val="both"/>
      </w:pPr>
      <w:r>
        <w:rPr>
          <w:noProof/>
        </w:rPr>
        <w:t>1011.</w:t>
      </w:r>
      <w:r w:rsidR="00033D0F">
        <w:rPr>
          <w:rFonts w:ascii="Times New Roman"/>
          <w:spacing w:val="80"/>
          <w:position w:val="1"/>
          <w:sz w:val="20"/>
        </w:rPr>
        <w:t xml:space="preserve"> </w:t>
      </w:r>
      <w:r w:rsidR="00033D0F">
        <w:rPr>
          <w:position w:val="1"/>
        </w:rPr>
        <w:t>In</w:t>
      </w:r>
      <w:r w:rsidR="00033D0F">
        <w:rPr>
          <w:spacing w:val="-5"/>
          <w:position w:val="1"/>
        </w:rPr>
        <w:t xml:space="preserve"> </w:t>
      </w:r>
      <w:r w:rsidR="00033D0F">
        <w:rPr>
          <w:position w:val="1"/>
        </w:rPr>
        <w:t>relation</w:t>
      </w:r>
      <w:r w:rsidR="00033D0F">
        <w:rPr>
          <w:spacing w:val="-5"/>
          <w:position w:val="1"/>
        </w:rPr>
        <w:t xml:space="preserve"> </w:t>
      </w:r>
      <w:r w:rsidR="00033D0F">
        <w:rPr>
          <w:position w:val="1"/>
        </w:rPr>
        <w:t>to</w:t>
      </w:r>
      <w:r w:rsidR="00033D0F">
        <w:rPr>
          <w:spacing w:val="-6"/>
          <w:position w:val="1"/>
        </w:rPr>
        <w:t xml:space="preserve"> </w:t>
      </w:r>
      <w:r w:rsidR="00033D0F">
        <w:rPr>
          <w:position w:val="1"/>
        </w:rPr>
        <w:t>China's</w:t>
      </w:r>
      <w:r w:rsidR="00033D0F">
        <w:rPr>
          <w:spacing w:val="-2"/>
          <w:position w:val="1"/>
        </w:rPr>
        <w:t xml:space="preserve"> </w:t>
      </w:r>
      <w:r w:rsidR="00033D0F">
        <w:rPr>
          <w:position w:val="1"/>
        </w:rPr>
        <w:t>rebuttal</w:t>
      </w:r>
      <w:r w:rsidR="00033D0F">
        <w:rPr>
          <w:spacing w:val="-6"/>
          <w:position w:val="1"/>
        </w:rPr>
        <w:t xml:space="preserve"> </w:t>
      </w:r>
      <w:r w:rsidR="00033D0F">
        <w:rPr>
          <w:position w:val="1"/>
        </w:rPr>
        <w:t>to</w:t>
      </w:r>
      <w:r w:rsidR="00033D0F">
        <w:rPr>
          <w:spacing w:val="-6"/>
          <w:position w:val="1"/>
        </w:rPr>
        <w:t xml:space="preserve"> </w:t>
      </w:r>
      <w:r w:rsidR="00033D0F">
        <w:rPr>
          <w:position w:val="1"/>
        </w:rPr>
        <w:t>Australia's</w:t>
      </w:r>
      <w:r w:rsidR="00033D0F">
        <w:rPr>
          <w:spacing w:val="-2"/>
          <w:position w:val="1"/>
        </w:rPr>
        <w:t xml:space="preserve"> </w:t>
      </w:r>
      <w:r w:rsidR="00033D0F">
        <w:rPr>
          <w:position w:val="1"/>
        </w:rPr>
        <w:t>claims</w:t>
      </w:r>
      <w:r w:rsidR="00033D0F">
        <w:rPr>
          <w:spacing w:val="-7"/>
          <w:position w:val="1"/>
        </w:rPr>
        <w:t xml:space="preserve"> </w:t>
      </w:r>
      <w:r w:rsidR="00033D0F">
        <w:rPr>
          <w:position w:val="1"/>
        </w:rPr>
        <w:t>addressing</w:t>
      </w:r>
      <w:r w:rsidR="00033D0F">
        <w:rPr>
          <w:spacing w:val="-2"/>
          <w:position w:val="1"/>
        </w:rPr>
        <w:t xml:space="preserve"> </w:t>
      </w:r>
      <w:r w:rsidR="00033D0F">
        <w:rPr>
          <w:position w:val="1"/>
        </w:rPr>
        <w:t>MOFCOM's</w:t>
      </w:r>
      <w:r w:rsidR="00033D0F">
        <w:rPr>
          <w:spacing w:val="-2"/>
          <w:position w:val="1"/>
        </w:rPr>
        <w:t xml:space="preserve"> </w:t>
      </w:r>
      <w:r w:rsidR="00033D0F">
        <w:rPr>
          <w:position w:val="1"/>
        </w:rPr>
        <w:t>price</w:t>
      </w:r>
      <w:r w:rsidR="00033D0F">
        <w:rPr>
          <w:spacing w:val="-3"/>
          <w:position w:val="1"/>
        </w:rPr>
        <w:t xml:space="preserve"> </w:t>
      </w:r>
      <w:r w:rsidR="00033D0F">
        <w:rPr>
          <w:position w:val="1"/>
        </w:rPr>
        <w:t xml:space="preserve">effects </w:t>
      </w:r>
      <w:r w:rsidR="00033D0F">
        <w:t>analysis,</w:t>
      </w:r>
      <w:hyperlink w:anchor="_bookmark1691" w:history="1">
        <w:r w:rsidR="00033D0F">
          <w:rPr>
            <w:vertAlign w:val="superscript"/>
          </w:rPr>
          <w:t>1472</w:t>
        </w:r>
      </w:hyperlink>
      <w:r w:rsidR="00033D0F">
        <w:rPr>
          <w:spacing w:val="-4"/>
        </w:rPr>
        <w:t xml:space="preserve"> </w:t>
      </w:r>
      <w:r w:rsidR="00033D0F">
        <w:t>reasonable</w:t>
      </w:r>
      <w:r w:rsidR="00033D0F">
        <w:rPr>
          <w:spacing w:val="-6"/>
        </w:rPr>
        <w:t xml:space="preserve"> </w:t>
      </w:r>
      <w:r w:rsidR="00033D0F">
        <w:t>alternative</w:t>
      </w:r>
      <w:r w:rsidR="00033D0F">
        <w:rPr>
          <w:spacing w:val="-6"/>
        </w:rPr>
        <w:t xml:space="preserve"> </w:t>
      </w:r>
      <w:r w:rsidR="00033D0F">
        <w:t>explanations,</w:t>
      </w:r>
      <w:hyperlink w:anchor="_bookmark1692" w:history="1">
        <w:r w:rsidR="00033D0F">
          <w:rPr>
            <w:vertAlign w:val="superscript"/>
          </w:rPr>
          <w:t>1473</w:t>
        </w:r>
      </w:hyperlink>
      <w:r w:rsidR="00033D0F">
        <w:rPr>
          <w:spacing w:val="-4"/>
        </w:rPr>
        <w:t xml:space="preserve"> </w:t>
      </w:r>
      <w:r w:rsidR="00033D0F">
        <w:t>and</w:t>
      </w:r>
      <w:r w:rsidR="00033D0F">
        <w:rPr>
          <w:spacing w:val="-8"/>
        </w:rPr>
        <w:t xml:space="preserve"> </w:t>
      </w:r>
      <w:r w:rsidR="00033D0F">
        <w:t>non-subject</w:t>
      </w:r>
      <w:r w:rsidR="00033D0F">
        <w:rPr>
          <w:spacing w:val="-6"/>
        </w:rPr>
        <w:t xml:space="preserve"> </w:t>
      </w:r>
      <w:r w:rsidR="00033D0F">
        <w:t>imports,</w:t>
      </w:r>
      <w:hyperlink w:anchor="_bookmark1693" w:history="1">
        <w:r w:rsidR="00033D0F">
          <w:rPr>
            <w:vertAlign w:val="superscript"/>
          </w:rPr>
          <w:t>1474</w:t>
        </w:r>
      </w:hyperlink>
      <w:r w:rsidR="00033D0F">
        <w:rPr>
          <w:spacing w:val="-4"/>
        </w:rPr>
        <w:t xml:space="preserve"> </w:t>
      </w:r>
      <w:r w:rsidR="00033D0F">
        <w:t>there</w:t>
      </w:r>
      <w:r w:rsidR="00033D0F">
        <w:rPr>
          <w:spacing w:val="-6"/>
        </w:rPr>
        <w:t xml:space="preserve"> </w:t>
      </w:r>
      <w:r w:rsidR="00033D0F">
        <w:t>was</w:t>
      </w:r>
      <w:r w:rsidR="00033D0F">
        <w:rPr>
          <w:spacing w:val="-4"/>
        </w:rPr>
        <w:t xml:space="preserve"> </w:t>
      </w:r>
      <w:r w:rsidR="00033D0F">
        <w:t>a striking dichotomy in the position taken by China in its response to Australia's claims under Article 12 and the detail contained in its submissions on Article 3. China argues that MOFCOM's Final Determination was complete and contained all the relevant information to satisfy</w:t>
      </w:r>
      <w:r w:rsidR="00033D0F">
        <w:rPr>
          <w:spacing w:val="-12"/>
        </w:rPr>
        <w:t xml:space="preserve"> </w:t>
      </w:r>
      <w:r w:rsidR="00033D0F">
        <w:t>its</w:t>
      </w:r>
      <w:r w:rsidR="00033D0F">
        <w:rPr>
          <w:spacing w:val="-11"/>
        </w:rPr>
        <w:t xml:space="preserve"> </w:t>
      </w:r>
      <w:r w:rsidR="00033D0F">
        <w:t>requirements</w:t>
      </w:r>
      <w:r w:rsidR="00033D0F">
        <w:rPr>
          <w:spacing w:val="-11"/>
        </w:rPr>
        <w:t xml:space="preserve"> </w:t>
      </w:r>
      <w:r w:rsidR="00033D0F">
        <w:t>under</w:t>
      </w:r>
      <w:r w:rsidR="00033D0F">
        <w:rPr>
          <w:spacing w:val="-11"/>
        </w:rPr>
        <w:t xml:space="preserve"> </w:t>
      </w:r>
      <w:r w:rsidR="00033D0F">
        <w:t>Articles</w:t>
      </w:r>
      <w:r w:rsidR="00033D0F">
        <w:rPr>
          <w:spacing w:val="-11"/>
        </w:rPr>
        <w:t xml:space="preserve"> </w:t>
      </w:r>
      <w:r w:rsidR="00033D0F">
        <w:t>12.2</w:t>
      </w:r>
      <w:r w:rsidR="00033D0F">
        <w:rPr>
          <w:spacing w:val="-14"/>
        </w:rPr>
        <w:t xml:space="preserve"> </w:t>
      </w:r>
      <w:r w:rsidR="00033D0F">
        <w:t>and</w:t>
      </w:r>
      <w:r w:rsidR="00033D0F">
        <w:rPr>
          <w:spacing w:val="-9"/>
        </w:rPr>
        <w:t xml:space="preserve"> </w:t>
      </w:r>
      <w:r w:rsidR="00033D0F">
        <w:t>12.2.2.</w:t>
      </w:r>
      <w:r w:rsidR="00033D0F">
        <w:rPr>
          <w:spacing w:val="-12"/>
        </w:rPr>
        <w:t xml:space="preserve"> </w:t>
      </w:r>
      <w:r w:rsidR="00033D0F">
        <w:t>However,</w:t>
      </w:r>
      <w:r w:rsidR="00033D0F">
        <w:rPr>
          <w:spacing w:val="-11"/>
        </w:rPr>
        <w:t xml:space="preserve"> </w:t>
      </w:r>
      <w:r w:rsidR="00033D0F">
        <w:t>on</w:t>
      </w:r>
      <w:r w:rsidR="00033D0F">
        <w:rPr>
          <w:spacing w:val="-14"/>
        </w:rPr>
        <w:t xml:space="preserve"> </w:t>
      </w:r>
      <w:r w:rsidR="00033D0F">
        <w:t>the</w:t>
      </w:r>
      <w:r w:rsidR="00033D0F">
        <w:rPr>
          <w:spacing w:val="-7"/>
        </w:rPr>
        <w:t xml:space="preserve"> </w:t>
      </w:r>
      <w:r w:rsidR="00033D0F">
        <w:t>other</w:t>
      </w:r>
      <w:r w:rsidR="00033D0F">
        <w:rPr>
          <w:spacing w:val="-11"/>
        </w:rPr>
        <w:t xml:space="preserve"> </w:t>
      </w:r>
      <w:r w:rsidR="00033D0F">
        <w:t>hand,</w:t>
      </w:r>
      <w:r w:rsidR="00033D0F">
        <w:rPr>
          <w:spacing w:val="-11"/>
        </w:rPr>
        <w:t xml:space="preserve"> </w:t>
      </w:r>
      <w:r w:rsidR="00033D0F">
        <w:t>China</w:t>
      </w:r>
      <w:r w:rsidR="00033D0F">
        <w:rPr>
          <w:spacing w:val="-13"/>
        </w:rPr>
        <w:t xml:space="preserve"> </w:t>
      </w:r>
      <w:r w:rsidR="00033D0F">
        <w:t>has also provided nearly 400 pages of additional explanations in its first written submission and responses to the Panel's questions in order to explain to the Panel (and Australia) how MOFCOM conducted its injury analysis.</w:t>
      </w:r>
      <w:hyperlink w:anchor="_bookmark1694" w:history="1">
        <w:r w:rsidR="00033D0F">
          <w:rPr>
            <w:vertAlign w:val="superscript"/>
          </w:rPr>
          <w:t>1475</w:t>
        </w:r>
      </w:hyperlink>
      <w:r w:rsidR="00033D0F">
        <w:t xml:space="preserve"> As set out above,</w:t>
      </w:r>
      <w:hyperlink w:anchor="_bookmark1695" w:history="1">
        <w:r w:rsidR="00033D0F">
          <w:rPr>
            <w:vertAlign w:val="superscript"/>
          </w:rPr>
          <w:t>1476</w:t>
        </w:r>
      </w:hyperlink>
      <w:r w:rsidR="00033D0F">
        <w:t xml:space="preserve"> China's first written submission contains extensive and detailed descriptions of the assessment that MOFCOM allegedly carried out when assessing the explanatory force that subject imports were said to have</w:t>
      </w:r>
      <w:r w:rsidR="00033D0F">
        <w:rPr>
          <w:spacing w:val="40"/>
        </w:rPr>
        <w:t xml:space="preserve"> </w:t>
      </w:r>
      <w:r w:rsidR="00033D0F">
        <w:t>for</w:t>
      </w:r>
      <w:r w:rsidR="00033D0F">
        <w:rPr>
          <w:spacing w:val="40"/>
        </w:rPr>
        <w:t xml:space="preserve"> </w:t>
      </w:r>
      <w:r w:rsidR="00033D0F">
        <w:t>the</w:t>
      </w:r>
      <w:r w:rsidR="00033D0F">
        <w:rPr>
          <w:spacing w:val="40"/>
        </w:rPr>
        <w:t xml:space="preserve"> </w:t>
      </w:r>
      <w:r w:rsidR="00033D0F">
        <w:t>suppression</w:t>
      </w:r>
      <w:r w:rsidR="00033D0F">
        <w:rPr>
          <w:spacing w:val="40"/>
        </w:rPr>
        <w:t xml:space="preserve"> </w:t>
      </w:r>
      <w:r w:rsidR="00033D0F">
        <w:t>of</w:t>
      </w:r>
      <w:r w:rsidR="00033D0F">
        <w:rPr>
          <w:spacing w:val="40"/>
        </w:rPr>
        <w:t xml:space="preserve"> </w:t>
      </w:r>
      <w:r w:rsidR="00033D0F">
        <w:t>domestic</w:t>
      </w:r>
      <w:r w:rsidR="00033D0F">
        <w:rPr>
          <w:spacing w:val="40"/>
        </w:rPr>
        <w:t xml:space="preserve"> </w:t>
      </w:r>
      <w:r w:rsidR="00033D0F">
        <w:t>prices.</w:t>
      </w:r>
      <w:hyperlink w:anchor="_bookmark1696" w:history="1">
        <w:r w:rsidR="00033D0F">
          <w:rPr>
            <w:vertAlign w:val="superscript"/>
          </w:rPr>
          <w:t>1477</w:t>
        </w:r>
      </w:hyperlink>
      <w:r w:rsidR="00033D0F">
        <w:rPr>
          <w:spacing w:val="40"/>
        </w:rPr>
        <w:t xml:space="preserve"> </w:t>
      </w:r>
      <w:r w:rsidR="00033D0F">
        <w:t>Australia's</w:t>
      </w:r>
      <w:r w:rsidR="00033D0F">
        <w:rPr>
          <w:spacing w:val="40"/>
        </w:rPr>
        <w:t xml:space="preserve"> </w:t>
      </w:r>
      <w:r w:rsidR="00033D0F">
        <w:t>primary</w:t>
      </w:r>
      <w:r w:rsidR="00033D0F">
        <w:rPr>
          <w:spacing w:val="40"/>
        </w:rPr>
        <w:t xml:space="preserve"> </w:t>
      </w:r>
      <w:r w:rsidR="00033D0F">
        <w:t>position</w:t>
      </w:r>
      <w:r w:rsidR="00033D0F">
        <w:rPr>
          <w:spacing w:val="40"/>
        </w:rPr>
        <w:t xml:space="preserve"> </w:t>
      </w:r>
      <w:r w:rsidR="00033D0F">
        <w:t>is</w:t>
      </w:r>
      <w:r w:rsidR="00033D0F">
        <w:rPr>
          <w:spacing w:val="40"/>
        </w:rPr>
        <w:t xml:space="preserve"> </w:t>
      </w:r>
      <w:r w:rsidR="00033D0F">
        <w:t>that</w:t>
      </w:r>
      <w:r w:rsidR="00033D0F">
        <w:rPr>
          <w:spacing w:val="40"/>
        </w:rPr>
        <w:t xml:space="preserve"> </w:t>
      </w:r>
      <w:r w:rsidR="00033D0F">
        <w:t>this</w:t>
      </w:r>
    </w:p>
    <w:p w14:paraId="751224E0" w14:textId="1403494C" w:rsidR="00BD462C" w:rsidRDefault="006E6DEA">
      <w:pPr>
        <w:pStyle w:val="BodyText"/>
        <w:rPr>
          <w:sz w:val="20"/>
        </w:rPr>
      </w:pPr>
      <w:r>
        <w:rPr>
          <w:noProof/>
        </w:rPr>
        <mc:AlternateContent>
          <mc:Choice Requires="wps">
            <w:drawing>
              <wp:anchor distT="0" distB="0" distL="0" distR="0" simplePos="0" relativeHeight="488135168" behindDoc="1" locked="0" layoutInCell="1" allowOverlap="1" wp14:anchorId="677D45A3" wp14:editId="5D1FB1BD">
                <wp:simplePos x="0" y="0"/>
                <wp:positionH relativeFrom="page">
                  <wp:posOffset>812800</wp:posOffset>
                </wp:positionH>
                <wp:positionV relativeFrom="paragraph">
                  <wp:posOffset>319405</wp:posOffset>
                </wp:positionV>
                <wp:extent cx="1828800" cy="8890"/>
                <wp:effectExtent l="0" t="0" r="0" b="0"/>
                <wp:wrapTopAndBottom/>
                <wp:docPr id="107" name="docshape7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E2595F" id="docshape705" o:spid="_x0000_s1026" alt="&quot;&quot;" style="position:absolute;margin-left:64pt;margin-top:25.15pt;width:2in;height:.7pt;z-index:-1518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" fillcolor="black" stroked="f">
                <w10:wrap type="topAndBottom" anchorx="page"/>
              </v:rect>
            </w:pict>
          </mc:Fallback>
        </mc:AlternateContent>
      </w:r>
    </w:p>
    <w:p w14:paraId="541D89DA" w14:textId="3E38618E" w:rsidR="00BD462C" w:rsidRDefault="00BD462C">
      <w:pPr>
        <w:pStyle w:val="BodyText"/>
        <w:spacing w:before="11"/>
        <w:rPr>
          <w:sz w:val="20"/>
        </w:rPr>
      </w:pPr>
    </w:p>
    <w:p w14:paraId="0C3E605E" w14:textId="77777777" w:rsidR="00BD462C" w:rsidRDefault="00033D0F">
      <w:pPr>
        <w:spacing w:before="112"/>
        <w:ind w:left="135"/>
        <w:jc w:val="both"/>
        <w:rPr>
          <w:sz w:val="18"/>
        </w:rPr>
      </w:pPr>
      <w:bookmarkStart w:id="1959" w:name="_bookmark1689"/>
      <w:bookmarkEnd w:id="1959"/>
      <w:r>
        <w:rPr>
          <w:position w:val="5"/>
          <w:sz w:val="12"/>
        </w:rPr>
        <w:t>1470</w:t>
      </w:r>
      <w:r>
        <w:rPr>
          <w:spacing w:val="13"/>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paras.</w:t>
      </w:r>
      <w:r>
        <w:rPr>
          <w:spacing w:val="-4"/>
          <w:sz w:val="18"/>
        </w:rPr>
        <w:t xml:space="preserve"> </w:t>
      </w:r>
      <w:r>
        <w:rPr>
          <w:sz w:val="18"/>
        </w:rPr>
        <w:t>1089-</w:t>
      </w:r>
      <w:r>
        <w:rPr>
          <w:spacing w:val="-5"/>
          <w:sz w:val="18"/>
        </w:rPr>
        <w:t xml:space="preserve"> </w:t>
      </w:r>
      <w:r>
        <w:rPr>
          <w:spacing w:val="-2"/>
          <w:sz w:val="18"/>
        </w:rPr>
        <w:t>1092.</w:t>
      </w:r>
    </w:p>
    <w:p w14:paraId="5003A667" w14:textId="77777777" w:rsidR="00BD462C" w:rsidRDefault="00033D0F">
      <w:pPr>
        <w:spacing w:before="1"/>
        <w:ind w:left="135"/>
        <w:jc w:val="both"/>
        <w:rPr>
          <w:sz w:val="18"/>
        </w:rPr>
      </w:pPr>
      <w:bookmarkStart w:id="1960" w:name="_bookmark1690"/>
      <w:bookmarkEnd w:id="1960"/>
      <w:r>
        <w:rPr>
          <w:position w:val="5"/>
          <w:sz w:val="12"/>
        </w:rPr>
        <w:t>1471</w:t>
      </w:r>
      <w:r>
        <w:rPr>
          <w:spacing w:val="14"/>
          <w:position w:val="5"/>
          <w:sz w:val="12"/>
        </w:rPr>
        <w:t xml:space="preserve"> </w:t>
      </w:r>
      <w:r>
        <w:rPr>
          <w:sz w:val="18"/>
        </w:rPr>
        <w:t>See</w:t>
      </w:r>
      <w:r>
        <w:rPr>
          <w:spacing w:val="-3"/>
          <w:sz w:val="18"/>
        </w:rPr>
        <w:t xml:space="preserve"> </w:t>
      </w:r>
      <w:r>
        <w:rPr>
          <w:sz w:val="18"/>
        </w:rPr>
        <w:t>generally</w:t>
      </w:r>
      <w:r>
        <w:rPr>
          <w:spacing w:val="-1"/>
          <w:sz w:val="18"/>
        </w:rPr>
        <w:t xml:space="preserve"> </w:t>
      </w:r>
      <w:r>
        <w:rPr>
          <w:sz w:val="18"/>
        </w:rPr>
        <w:t>above,</w:t>
      </w:r>
      <w:r>
        <w:rPr>
          <w:spacing w:val="-2"/>
          <w:sz w:val="18"/>
        </w:rPr>
        <w:t xml:space="preserve"> </w:t>
      </w:r>
      <w:r>
        <w:rPr>
          <w:sz w:val="18"/>
        </w:rPr>
        <w:t>section</w:t>
      </w:r>
      <w:r>
        <w:rPr>
          <w:spacing w:val="-10"/>
          <w:sz w:val="18"/>
        </w:rPr>
        <w:t xml:space="preserve"> </w:t>
      </w:r>
      <w:hyperlink w:anchor="_bookmark717" w:history="1">
        <w:r>
          <w:rPr>
            <w:spacing w:val="-4"/>
            <w:sz w:val="18"/>
          </w:rPr>
          <w:t>V.B.</w:t>
        </w:r>
      </w:hyperlink>
    </w:p>
    <w:p w14:paraId="3713965C" w14:textId="77777777" w:rsidR="00BD462C" w:rsidRDefault="00033D0F">
      <w:pPr>
        <w:spacing w:before="2" w:line="237" w:lineRule="auto"/>
        <w:ind w:left="135" w:right="3018"/>
        <w:jc w:val="both"/>
        <w:rPr>
          <w:sz w:val="18"/>
        </w:rPr>
      </w:pPr>
      <w:bookmarkStart w:id="1961" w:name="_bookmark1691"/>
      <w:bookmarkEnd w:id="1961"/>
      <w:r>
        <w:rPr>
          <w:position w:val="5"/>
          <w:sz w:val="12"/>
        </w:rPr>
        <w:t>1472</w:t>
      </w:r>
      <w:r>
        <w:rPr>
          <w:spacing w:val="13"/>
          <w:position w:val="5"/>
          <w:sz w:val="12"/>
        </w:rPr>
        <w:t xml:space="preserve"> </w:t>
      </w:r>
      <w:r>
        <w:rPr>
          <w:sz w:val="18"/>
        </w:rPr>
        <w:t>Australia's</w:t>
      </w:r>
      <w:r>
        <w:rPr>
          <w:spacing w:val="-5"/>
          <w:sz w:val="18"/>
        </w:rPr>
        <w:t xml:space="preserve"> </w:t>
      </w:r>
      <w:r>
        <w:rPr>
          <w:sz w:val="18"/>
        </w:rPr>
        <w:t>first</w:t>
      </w:r>
      <w:r>
        <w:rPr>
          <w:spacing w:val="-4"/>
          <w:sz w:val="18"/>
        </w:rPr>
        <w:t xml:space="preserve"> </w:t>
      </w:r>
      <w:r>
        <w:rPr>
          <w:sz w:val="18"/>
        </w:rPr>
        <w:t>written</w:t>
      </w:r>
      <w:r>
        <w:rPr>
          <w:spacing w:val="-2"/>
          <w:sz w:val="18"/>
        </w:rPr>
        <w:t xml:space="preserve"> </w:t>
      </w:r>
      <w:r>
        <w:rPr>
          <w:sz w:val="18"/>
        </w:rPr>
        <w:t>submission, para.</w:t>
      </w:r>
      <w:r>
        <w:rPr>
          <w:spacing w:val="-4"/>
          <w:sz w:val="18"/>
        </w:rPr>
        <w:t xml:space="preserve"> </w:t>
      </w:r>
      <w:r>
        <w:rPr>
          <w:sz w:val="18"/>
        </w:rPr>
        <w:t>1124;</w:t>
      </w:r>
      <w:r>
        <w:rPr>
          <w:spacing w:val="-2"/>
          <w:sz w:val="18"/>
        </w:rPr>
        <w:t xml:space="preserve"> </w:t>
      </w:r>
      <w:r>
        <w:rPr>
          <w:sz w:val="18"/>
        </w:rPr>
        <w:t>China's</w:t>
      </w:r>
      <w:r>
        <w:rPr>
          <w:spacing w:val="-5"/>
          <w:sz w:val="18"/>
        </w:rPr>
        <w:t xml:space="preserve"> </w:t>
      </w:r>
      <w:r>
        <w:rPr>
          <w:sz w:val="18"/>
        </w:rPr>
        <w:t>first</w:t>
      </w:r>
      <w:r>
        <w:rPr>
          <w:spacing w:val="-4"/>
          <w:sz w:val="18"/>
        </w:rPr>
        <w:t xml:space="preserve"> </w:t>
      </w:r>
      <w:r>
        <w:rPr>
          <w:sz w:val="18"/>
        </w:rPr>
        <w:t>written</w:t>
      </w:r>
      <w:r>
        <w:rPr>
          <w:spacing w:val="-2"/>
          <w:sz w:val="18"/>
        </w:rPr>
        <w:t xml:space="preserve"> </w:t>
      </w:r>
      <w:r>
        <w:rPr>
          <w:sz w:val="18"/>
        </w:rPr>
        <w:t>submission,</w:t>
      </w:r>
      <w:r>
        <w:rPr>
          <w:spacing w:val="-3"/>
          <w:sz w:val="18"/>
        </w:rPr>
        <w:t xml:space="preserve"> </w:t>
      </w:r>
      <w:r>
        <w:rPr>
          <w:sz w:val="18"/>
        </w:rPr>
        <w:t xml:space="preserve">para. 2658. </w:t>
      </w:r>
      <w:bookmarkStart w:id="1962" w:name="_bookmark1692"/>
      <w:bookmarkEnd w:id="1962"/>
      <w:r>
        <w:rPr>
          <w:position w:val="5"/>
          <w:sz w:val="12"/>
        </w:rPr>
        <w:t>1473</w:t>
      </w:r>
      <w:r>
        <w:rPr>
          <w:spacing w:val="13"/>
          <w:position w:val="5"/>
          <w:sz w:val="12"/>
        </w:rPr>
        <w:t xml:space="preserve"> </w:t>
      </w:r>
      <w:r>
        <w:rPr>
          <w:sz w:val="18"/>
        </w:rPr>
        <w:t>Australia's</w:t>
      </w:r>
      <w:r>
        <w:rPr>
          <w:spacing w:val="-5"/>
          <w:sz w:val="18"/>
        </w:rPr>
        <w:t xml:space="preserve"> </w:t>
      </w:r>
      <w:r>
        <w:rPr>
          <w:sz w:val="18"/>
        </w:rPr>
        <w:t>first</w:t>
      </w:r>
      <w:r>
        <w:rPr>
          <w:spacing w:val="-4"/>
          <w:sz w:val="18"/>
        </w:rPr>
        <w:t xml:space="preserve"> </w:t>
      </w:r>
      <w:r>
        <w:rPr>
          <w:sz w:val="18"/>
        </w:rPr>
        <w:t>written</w:t>
      </w:r>
      <w:r>
        <w:rPr>
          <w:spacing w:val="-2"/>
          <w:sz w:val="18"/>
        </w:rPr>
        <w:t xml:space="preserve"> </w:t>
      </w:r>
      <w:r>
        <w:rPr>
          <w:sz w:val="18"/>
        </w:rPr>
        <w:t>submission, para.</w:t>
      </w:r>
      <w:r>
        <w:rPr>
          <w:spacing w:val="-4"/>
          <w:sz w:val="18"/>
        </w:rPr>
        <w:t xml:space="preserve"> </w:t>
      </w:r>
      <w:r>
        <w:rPr>
          <w:sz w:val="18"/>
        </w:rPr>
        <w:t>1127;</w:t>
      </w:r>
      <w:r>
        <w:rPr>
          <w:spacing w:val="-2"/>
          <w:sz w:val="18"/>
        </w:rPr>
        <w:t xml:space="preserve"> </w:t>
      </w:r>
      <w:r>
        <w:rPr>
          <w:sz w:val="18"/>
        </w:rPr>
        <w:t>China's</w:t>
      </w:r>
      <w:r>
        <w:rPr>
          <w:spacing w:val="-5"/>
          <w:sz w:val="18"/>
        </w:rPr>
        <w:t xml:space="preserve"> </w:t>
      </w:r>
      <w:r>
        <w:rPr>
          <w:sz w:val="18"/>
        </w:rPr>
        <w:t>first</w:t>
      </w:r>
      <w:r>
        <w:rPr>
          <w:spacing w:val="-4"/>
          <w:sz w:val="18"/>
        </w:rPr>
        <w:t xml:space="preserve"> </w:t>
      </w:r>
      <w:r>
        <w:rPr>
          <w:sz w:val="18"/>
        </w:rPr>
        <w:t>written</w:t>
      </w:r>
      <w:r>
        <w:rPr>
          <w:spacing w:val="-2"/>
          <w:sz w:val="18"/>
        </w:rPr>
        <w:t xml:space="preserve"> </w:t>
      </w:r>
      <w:r>
        <w:rPr>
          <w:sz w:val="18"/>
        </w:rPr>
        <w:t>submission,</w:t>
      </w:r>
      <w:r>
        <w:rPr>
          <w:spacing w:val="-3"/>
          <w:sz w:val="18"/>
        </w:rPr>
        <w:t xml:space="preserve"> </w:t>
      </w:r>
      <w:r>
        <w:rPr>
          <w:sz w:val="18"/>
        </w:rPr>
        <w:t xml:space="preserve">para. 2660. </w:t>
      </w:r>
      <w:bookmarkStart w:id="1963" w:name="_bookmark1693"/>
      <w:bookmarkEnd w:id="1963"/>
      <w:r>
        <w:rPr>
          <w:position w:val="5"/>
          <w:sz w:val="12"/>
        </w:rPr>
        <w:t>1474</w:t>
      </w:r>
      <w:r>
        <w:rPr>
          <w:spacing w:val="13"/>
          <w:position w:val="5"/>
          <w:sz w:val="12"/>
        </w:rPr>
        <w:t xml:space="preserve"> </w:t>
      </w:r>
      <w:r>
        <w:rPr>
          <w:sz w:val="18"/>
        </w:rPr>
        <w:t>Australia's</w:t>
      </w:r>
      <w:r>
        <w:rPr>
          <w:spacing w:val="-5"/>
          <w:sz w:val="18"/>
        </w:rPr>
        <w:t xml:space="preserve"> </w:t>
      </w:r>
      <w:r>
        <w:rPr>
          <w:sz w:val="18"/>
        </w:rPr>
        <w:t>first</w:t>
      </w:r>
      <w:r>
        <w:rPr>
          <w:spacing w:val="-4"/>
          <w:sz w:val="18"/>
        </w:rPr>
        <w:t xml:space="preserve"> </w:t>
      </w:r>
      <w:r>
        <w:rPr>
          <w:sz w:val="18"/>
        </w:rPr>
        <w:t>written</w:t>
      </w:r>
      <w:r>
        <w:rPr>
          <w:spacing w:val="-2"/>
          <w:sz w:val="18"/>
        </w:rPr>
        <w:t xml:space="preserve"> </w:t>
      </w:r>
      <w:r>
        <w:rPr>
          <w:sz w:val="18"/>
        </w:rPr>
        <w:t>submission, para.</w:t>
      </w:r>
      <w:r>
        <w:rPr>
          <w:spacing w:val="-4"/>
          <w:sz w:val="18"/>
        </w:rPr>
        <w:t xml:space="preserve"> </w:t>
      </w:r>
      <w:r>
        <w:rPr>
          <w:sz w:val="18"/>
        </w:rPr>
        <w:t>1128;</w:t>
      </w:r>
      <w:r>
        <w:rPr>
          <w:spacing w:val="-2"/>
          <w:sz w:val="18"/>
        </w:rPr>
        <w:t xml:space="preserve"> </w:t>
      </w:r>
      <w:r>
        <w:rPr>
          <w:sz w:val="18"/>
        </w:rPr>
        <w:t>China's</w:t>
      </w:r>
      <w:r>
        <w:rPr>
          <w:spacing w:val="-5"/>
          <w:sz w:val="18"/>
        </w:rPr>
        <w:t xml:space="preserve"> </w:t>
      </w:r>
      <w:r>
        <w:rPr>
          <w:sz w:val="18"/>
        </w:rPr>
        <w:t>first</w:t>
      </w:r>
      <w:r>
        <w:rPr>
          <w:spacing w:val="-4"/>
          <w:sz w:val="18"/>
        </w:rPr>
        <w:t xml:space="preserve"> </w:t>
      </w:r>
      <w:r>
        <w:rPr>
          <w:sz w:val="18"/>
        </w:rPr>
        <w:t>written</w:t>
      </w:r>
      <w:r>
        <w:rPr>
          <w:spacing w:val="-2"/>
          <w:sz w:val="18"/>
        </w:rPr>
        <w:t xml:space="preserve"> </w:t>
      </w:r>
      <w:r>
        <w:rPr>
          <w:sz w:val="18"/>
        </w:rPr>
        <w:t>submission,</w:t>
      </w:r>
      <w:r>
        <w:rPr>
          <w:spacing w:val="-3"/>
          <w:sz w:val="18"/>
        </w:rPr>
        <w:t xml:space="preserve"> </w:t>
      </w:r>
      <w:r>
        <w:rPr>
          <w:sz w:val="18"/>
        </w:rPr>
        <w:t>para. 2663.</w:t>
      </w:r>
    </w:p>
    <w:p w14:paraId="057C1234" w14:textId="77777777" w:rsidR="00BD462C" w:rsidRDefault="00033D0F">
      <w:pPr>
        <w:spacing w:before="4"/>
        <w:ind w:left="135"/>
        <w:rPr>
          <w:sz w:val="18"/>
        </w:rPr>
      </w:pPr>
      <w:bookmarkStart w:id="1964" w:name="_bookmark1694"/>
      <w:bookmarkEnd w:id="1964"/>
      <w:r>
        <w:rPr>
          <w:position w:val="5"/>
          <w:sz w:val="12"/>
        </w:rPr>
        <w:t>1475</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pp.</w:t>
      </w:r>
      <w:r>
        <w:rPr>
          <w:spacing w:val="-5"/>
          <w:sz w:val="18"/>
        </w:rPr>
        <w:t xml:space="preserve"> </w:t>
      </w:r>
      <w:r>
        <w:rPr>
          <w:sz w:val="18"/>
        </w:rPr>
        <w:t>265-543;</w:t>
      </w:r>
      <w:r>
        <w:rPr>
          <w:spacing w:val="-7"/>
          <w:sz w:val="18"/>
        </w:rPr>
        <w:t xml:space="preserve"> </w:t>
      </w:r>
      <w:r>
        <w:rPr>
          <w:sz w:val="18"/>
        </w:rPr>
        <w:t>China's</w:t>
      </w:r>
      <w:r>
        <w:rPr>
          <w:spacing w:val="-1"/>
          <w:sz w:val="18"/>
        </w:rPr>
        <w:t xml:space="preserve"> </w:t>
      </w:r>
      <w:r>
        <w:rPr>
          <w:sz w:val="18"/>
        </w:rPr>
        <w:t>response</w:t>
      </w:r>
      <w:r>
        <w:rPr>
          <w:spacing w:val="-6"/>
          <w:sz w:val="18"/>
        </w:rPr>
        <w:t xml:space="preserve"> </w:t>
      </w:r>
      <w:r>
        <w:rPr>
          <w:sz w:val="18"/>
        </w:rPr>
        <w:t>to</w:t>
      </w:r>
      <w:r>
        <w:rPr>
          <w:spacing w:val="-7"/>
          <w:sz w:val="18"/>
        </w:rPr>
        <w:t xml:space="preserve"> </w:t>
      </w:r>
      <w:r>
        <w:rPr>
          <w:sz w:val="18"/>
        </w:rPr>
        <w:t>Panel</w:t>
      </w:r>
      <w:r>
        <w:rPr>
          <w:spacing w:val="-5"/>
          <w:sz w:val="18"/>
        </w:rPr>
        <w:t xml:space="preserve"> </w:t>
      </w:r>
      <w:r>
        <w:rPr>
          <w:sz w:val="18"/>
        </w:rPr>
        <w:t>questions,</w:t>
      </w:r>
      <w:r>
        <w:rPr>
          <w:spacing w:val="1"/>
          <w:sz w:val="18"/>
        </w:rPr>
        <w:t xml:space="preserve"> </w:t>
      </w:r>
      <w:r>
        <w:rPr>
          <w:sz w:val="18"/>
        </w:rPr>
        <w:t>Section</w:t>
      </w:r>
      <w:r>
        <w:rPr>
          <w:spacing w:val="-6"/>
          <w:sz w:val="18"/>
        </w:rPr>
        <w:t xml:space="preserve"> </w:t>
      </w:r>
      <w:r>
        <w:rPr>
          <w:sz w:val="18"/>
        </w:rPr>
        <w:t>III,</w:t>
      </w:r>
      <w:r>
        <w:rPr>
          <w:spacing w:val="-4"/>
          <w:sz w:val="18"/>
        </w:rPr>
        <w:t xml:space="preserve"> </w:t>
      </w:r>
      <w:r>
        <w:rPr>
          <w:sz w:val="18"/>
        </w:rPr>
        <w:t>pp.</w:t>
      </w:r>
      <w:r>
        <w:rPr>
          <w:spacing w:val="-1"/>
          <w:sz w:val="18"/>
        </w:rPr>
        <w:t xml:space="preserve"> </w:t>
      </w:r>
      <w:r>
        <w:rPr>
          <w:sz w:val="18"/>
        </w:rPr>
        <w:t>27-</w:t>
      </w:r>
      <w:r>
        <w:rPr>
          <w:spacing w:val="-4"/>
          <w:sz w:val="18"/>
        </w:rPr>
        <w:t>125.</w:t>
      </w:r>
    </w:p>
    <w:p w14:paraId="03D31303" w14:textId="77777777" w:rsidR="00BD462C" w:rsidRDefault="00033D0F">
      <w:pPr>
        <w:spacing w:before="1"/>
        <w:ind w:left="135"/>
        <w:rPr>
          <w:sz w:val="18"/>
        </w:rPr>
      </w:pPr>
      <w:bookmarkStart w:id="1965" w:name="_bookmark1695"/>
      <w:bookmarkEnd w:id="1965"/>
      <w:r>
        <w:rPr>
          <w:position w:val="5"/>
          <w:sz w:val="12"/>
        </w:rPr>
        <w:t>1476</w:t>
      </w:r>
      <w:r>
        <w:rPr>
          <w:spacing w:val="15"/>
          <w:position w:val="5"/>
          <w:sz w:val="12"/>
        </w:rPr>
        <w:t xml:space="preserve"> </w:t>
      </w:r>
      <w:r>
        <w:rPr>
          <w:sz w:val="18"/>
        </w:rPr>
        <w:t>See</w:t>
      </w:r>
      <w:r>
        <w:rPr>
          <w:spacing w:val="-3"/>
          <w:sz w:val="18"/>
        </w:rPr>
        <w:t xml:space="preserve"> </w:t>
      </w:r>
      <w:r>
        <w:rPr>
          <w:sz w:val="18"/>
        </w:rPr>
        <w:t>above,</w:t>
      </w:r>
      <w:r>
        <w:rPr>
          <w:spacing w:val="-1"/>
          <w:sz w:val="18"/>
        </w:rPr>
        <w:t xml:space="preserve"> </w:t>
      </w:r>
      <w:r>
        <w:rPr>
          <w:sz w:val="18"/>
        </w:rPr>
        <w:t>section</w:t>
      </w:r>
      <w:r>
        <w:rPr>
          <w:spacing w:val="-5"/>
          <w:sz w:val="18"/>
        </w:rPr>
        <w:t xml:space="preserve"> </w:t>
      </w:r>
      <w:hyperlink w:anchor="_bookmark824" w:history="1">
        <w:r>
          <w:rPr>
            <w:spacing w:val="-2"/>
            <w:sz w:val="18"/>
          </w:rPr>
          <w:t>V.B.4(a).</w:t>
        </w:r>
      </w:hyperlink>
    </w:p>
    <w:p w14:paraId="538CFD75" w14:textId="77777777" w:rsidR="00BD462C" w:rsidRDefault="00033D0F">
      <w:pPr>
        <w:spacing w:before="1"/>
        <w:ind w:left="135"/>
        <w:rPr>
          <w:sz w:val="18"/>
        </w:rPr>
      </w:pPr>
      <w:bookmarkStart w:id="1966" w:name="_bookmark1696"/>
      <w:bookmarkEnd w:id="1966"/>
      <w:r>
        <w:rPr>
          <w:position w:val="5"/>
          <w:sz w:val="12"/>
        </w:rPr>
        <w:t>1477</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paras.</w:t>
      </w:r>
      <w:r>
        <w:rPr>
          <w:spacing w:val="-5"/>
          <w:sz w:val="18"/>
        </w:rPr>
        <w:t xml:space="preserve"> </w:t>
      </w:r>
      <w:r>
        <w:rPr>
          <w:sz w:val="18"/>
        </w:rPr>
        <w:t>1321-</w:t>
      </w:r>
      <w:r>
        <w:rPr>
          <w:spacing w:val="-2"/>
          <w:sz w:val="18"/>
        </w:rPr>
        <w:t>1344.</w:t>
      </w:r>
    </w:p>
    <w:p w14:paraId="62E44127" w14:textId="77777777" w:rsidR="00BD462C" w:rsidRDefault="00BD462C">
      <w:pPr>
        <w:rPr>
          <w:sz w:val="18"/>
        </w:rPr>
        <w:sectPr w:rsidR="00BD462C">
          <w:pgSz w:w="11910" w:h="16840"/>
          <w:pgMar w:top="860" w:right="500" w:bottom="780" w:left="1280" w:header="566" w:footer="590" w:gutter="0"/>
          <w:cols w:space="720"/>
        </w:sectPr>
      </w:pPr>
    </w:p>
    <w:p w14:paraId="69A4523A" w14:textId="77777777" w:rsidR="00BD462C" w:rsidRDefault="00033D0F">
      <w:pPr>
        <w:tabs>
          <w:tab w:val="left" w:pos="6087"/>
        </w:tabs>
        <w:spacing w:before="1"/>
        <w:ind w:left="135"/>
        <w:jc w:val="both"/>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5FF36BD6" w14:textId="77777777" w:rsidR="00BD462C" w:rsidRDefault="00033D0F">
      <w:pPr>
        <w:spacing w:before="1"/>
        <w:ind w:left="135"/>
        <w:jc w:val="both"/>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187CD8BF" w14:textId="77777777" w:rsidR="00BD462C" w:rsidRDefault="00033D0F">
      <w:pPr>
        <w:tabs>
          <w:tab w:val="left" w:pos="7652"/>
        </w:tabs>
        <w:ind w:left="135"/>
        <w:jc w:val="both"/>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0893CF5D" w14:textId="77777777" w:rsidR="00BD462C" w:rsidRDefault="00033D0F">
      <w:pPr>
        <w:pStyle w:val="BodyText"/>
        <w:spacing w:before="102" w:line="360" w:lineRule="auto"/>
        <w:ind w:left="136" w:right="914"/>
        <w:jc w:val="both"/>
      </w:pPr>
      <w:r>
        <w:t>content</w:t>
      </w:r>
      <w:r>
        <w:rPr>
          <w:spacing w:val="-14"/>
        </w:rPr>
        <w:t xml:space="preserve"> </w:t>
      </w:r>
      <w:r>
        <w:t>consists</w:t>
      </w:r>
      <w:r>
        <w:rPr>
          <w:spacing w:val="-14"/>
        </w:rPr>
        <w:t xml:space="preserve"> </w:t>
      </w:r>
      <w:r>
        <w:t>entirely</w:t>
      </w:r>
      <w:r>
        <w:rPr>
          <w:spacing w:val="-13"/>
        </w:rPr>
        <w:t xml:space="preserve"> </w:t>
      </w:r>
      <w:r>
        <w:t>of</w:t>
      </w:r>
      <w:r>
        <w:rPr>
          <w:spacing w:val="-14"/>
        </w:rPr>
        <w:t xml:space="preserve"> </w:t>
      </w:r>
      <w:r>
        <w:rPr>
          <w:i/>
        </w:rPr>
        <w:t>ex</w:t>
      </w:r>
      <w:r>
        <w:rPr>
          <w:i/>
          <w:spacing w:val="-13"/>
        </w:rPr>
        <w:t xml:space="preserve"> </w:t>
      </w:r>
      <w:r>
        <w:rPr>
          <w:i/>
        </w:rPr>
        <w:t>post</w:t>
      </w:r>
      <w:r>
        <w:rPr>
          <w:i/>
          <w:spacing w:val="-14"/>
        </w:rPr>
        <w:t xml:space="preserve"> </w:t>
      </w:r>
      <w:r>
        <w:rPr>
          <w:i/>
        </w:rPr>
        <w:t>facto</w:t>
      </w:r>
      <w:r>
        <w:rPr>
          <w:i/>
          <w:spacing w:val="-12"/>
        </w:rPr>
        <w:t xml:space="preserve"> </w:t>
      </w:r>
      <w:proofErr w:type="spellStart"/>
      <w:r>
        <w:t>rationalisations</w:t>
      </w:r>
      <w:proofErr w:type="spellEnd"/>
      <w:r>
        <w:rPr>
          <w:spacing w:val="-12"/>
        </w:rPr>
        <w:t xml:space="preserve"> </w:t>
      </w:r>
      <w:r>
        <w:t>and</w:t>
      </w:r>
      <w:r>
        <w:rPr>
          <w:spacing w:val="-14"/>
        </w:rPr>
        <w:t xml:space="preserve"> </w:t>
      </w:r>
      <w:r>
        <w:t>should</w:t>
      </w:r>
      <w:r>
        <w:rPr>
          <w:spacing w:val="-14"/>
        </w:rPr>
        <w:t xml:space="preserve"> </w:t>
      </w:r>
      <w:r>
        <w:t>be</w:t>
      </w:r>
      <w:r>
        <w:rPr>
          <w:spacing w:val="-13"/>
        </w:rPr>
        <w:t xml:space="preserve"> </w:t>
      </w:r>
      <w:r>
        <w:t>disregarded.</w:t>
      </w:r>
      <w:r>
        <w:rPr>
          <w:spacing w:val="-13"/>
        </w:rPr>
        <w:t xml:space="preserve"> </w:t>
      </w:r>
      <w:r>
        <w:t>However, in</w:t>
      </w:r>
      <w:r>
        <w:rPr>
          <w:spacing w:val="-5"/>
        </w:rPr>
        <w:t xml:space="preserve"> </w:t>
      </w:r>
      <w:r>
        <w:t>the</w:t>
      </w:r>
      <w:r>
        <w:rPr>
          <w:spacing w:val="-4"/>
        </w:rPr>
        <w:t xml:space="preserve"> </w:t>
      </w:r>
      <w:r>
        <w:t>event</w:t>
      </w:r>
      <w:r>
        <w:rPr>
          <w:spacing w:val="-3"/>
        </w:rPr>
        <w:t xml:space="preserve"> </w:t>
      </w:r>
      <w:r>
        <w:t>that</w:t>
      </w:r>
      <w:r>
        <w:rPr>
          <w:spacing w:val="-2"/>
        </w:rPr>
        <w:t xml:space="preserve"> </w:t>
      </w:r>
      <w:r>
        <w:t>the</w:t>
      </w:r>
      <w:r>
        <w:rPr>
          <w:spacing w:val="-3"/>
        </w:rPr>
        <w:t xml:space="preserve"> </w:t>
      </w:r>
      <w:r>
        <w:t>Panel</w:t>
      </w:r>
      <w:r>
        <w:rPr>
          <w:spacing w:val="-1"/>
        </w:rPr>
        <w:t xml:space="preserve"> </w:t>
      </w:r>
      <w:r>
        <w:t>accepts</w:t>
      </w:r>
      <w:r>
        <w:rPr>
          <w:spacing w:val="-2"/>
        </w:rPr>
        <w:t xml:space="preserve"> </w:t>
      </w:r>
      <w:r>
        <w:t>that</w:t>
      </w:r>
      <w:r>
        <w:rPr>
          <w:spacing w:val="-3"/>
        </w:rPr>
        <w:t xml:space="preserve"> </w:t>
      </w:r>
      <w:r>
        <w:t>MOFCOM</w:t>
      </w:r>
      <w:r>
        <w:rPr>
          <w:spacing w:val="-8"/>
        </w:rPr>
        <w:t xml:space="preserve"> </w:t>
      </w:r>
      <w:r>
        <w:t>did</w:t>
      </w:r>
      <w:r>
        <w:rPr>
          <w:spacing w:val="-5"/>
        </w:rPr>
        <w:t xml:space="preserve"> </w:t>
      </w:r>
      <w:r>
        <w:t>in</w:t>
      </w:r>
      <w:r>
        <w:rPr>
          <w:spacing w:val="-5"/>
        </w:rPr>
        <w:t xml:space="preserve"> </w:t>
      </w:r>
      <w:r>
        <w:t>fact</w:t>
      </w:r>
      <w:r>
        <w:rPr>
          <w:spacing w:val="-3"/>
        </w:rPr>
        <w:t xml:space="preserve"> </w:t>
      </w:r>
      <w:r>
        <w:t>engage</w:t>
      </w:r>
      <w:r>
        <w:rPr>
          <w:spacing w:val="-3"/>
        </w:rPr>
        <w:t xml:space="preserve"> </w:t>
      </w:r>
      <w:r>
        <w:t>in</w:t>
      </w:r>
      <w:r>
        <w:rPr>
          <w:spacing w:val="-5"/>
        </w:rPr>
        <w:t xml:space="preserve"> </w:t>
      </w:r>
      <w:r>
        <w:t>the</w:t>
      </w:r>
      <w:r>
        <w:rPr>
          <w:spacing w:val="-4"/>
        </w:rPr>
        <w:t xml:space="preserve"> </w:t>
      </w:r>
      <w:r>
        <w:t>analysis</w:t>
      </w:r>
      <w:r>
        <w:rPr>
          <w:spacing w:val="-2"/>
        </w:rPr>
        <w:t xml:space="preserve"> </w:t>
      </w:r>
      <w:r>
        <w:t>described by China, MOFCOM should have included these details in the Final Determination.</w:t>
      </w:r>
    </w:p>
    <w:p w14:paraId="2986CA33" w14:textId="77777777" w:rsidR="00BD462C" w:rsidRDefault="00BD462C">
      <w:pPr>
        <w:pStyle w:val="BodyText"/>
        <w:spacing w:before="11"/>
        <w:rPr>
          <w:sz w:val="8"/>
        </w:rPr>
      </w:pPr>
    </w:p>
    <w:p w14:paraId="3307CED6" w14:textId="797E7623" w:rsidR="00BD462C" w:rsidRDefault="0035521D">
      <w:pPr>
        <w:pStyle w:val="BodyText"/>
        <w:spacing w:before="56" w:line="360" w:lineRule="auto"/>
        <w:ind w:left="135" w:right="911" w:firstLine="9"/>
        <w:jc w:val="both"/>
      </w:pPr>
      <w:r>
        <w:rPr>
          <w:noProof/>
        </w:rPr>
        <w:t>1012.</w:t>
      </w:r>
      <w:r w:rsidR="00033D0F">
        <w:rPr>
          <w:rFonts w:ascii="Times New Roman" w:hAnsi="Times New Roman"/>
          <w:spacing w:val="40"/>
          <w:position w:val="1"/>
          <w:sz w:val="20"/>
        </w:rPr>
        <w:t xml:space="preserve"> </w:t>
      </w:r>
      <w:r w:rsidR="00033D0F">
        <w:rPr>
          <w:position w:val="1"/>
        </w:rPr>
        <w:t xml:space="preserve">In addition to these points, Australia would like to note the following. First, China </w:t>
      </w:r>
      <w:r w:rsidR="00033D0F">
        <w:t>argues that MOFCOM's use of CIF figures from China's General Administration of Customs as its starting point, before it "further considered exchange rates, tariff rates and imported customs clearance costs […] [and] adjusted the imported price of the product under investigation accordingly"</w:t>
      </w:r>
      <w:hyperlink w:anchor="_bookmark1699" w:history="1">
        <w:r w:rsidR="00033D0F">
          <w:rPr>
            <w:vertAlign w:val="superscript"/>
          </w:rPr>
          <w:t>1478</w:t>
        </w:r>
      </w:hyperlink>
      <w:r w:rsidR="00033D0F">
        <w:t xml:space="preserve"> is a disclosure of its "methodology".</w:t>
      </w:r>
      <w:hyperlink w:anchor="_bookmark1700" w:history="1">
        <w:r w:rsidR="00033D0F">
          <w:rPr>
            <w:vertAlign w:val="superscript"/>
          </w:rPr>
          <w:t>1479</w:t>
        </w:r>
      </w:hyperlink>
      <w:r w:rsidR="00033D0F">
        <w:t xml:space="preserve"> This argument is misguided. Neither this explanation nor the longer paragraph in the Final Determination reproduced by China</w:t>
      </w:r>
      <w:hyperlink w:anchor="_bookmark1701" w:history="1">
        <w:r w:rsidR="00033D0F">
          <w:rPr>
            <w:vertAlign w:val="superscript"/>
          </w:rPr>
          <w:t>1480</w:t>
        </w:r>
      </w:hyperlink>
      <w:r w:rsidR="00033D0F">
        <w:t xml:space="preserve"> provide a level of detail regarding the methodology MOFCOM undertook that would allow for the reasons for concluding that injury was caused to the domestic industry to be discerned and understood.</w:t>
      </w:r>
      <w:hyperlink w:anchor="_bookmark1702" w:history="1">
        <w:r w:rsidR="00033D0F">
          <w:rPr>
            <w:vertAlign w:val="superscript"/>
          </w:rPr>
          <w:t>1481</w:t>
        </w:r>
      </w:hyperlink>
    </w:p>
    <w:p w14:paraId="4D96A615" w14:textId="77777777" w:rsidR="00BD462C" w:rsidRDefault="00BD462C">
      <w:pPr>
        <w:pStyle w:val="BodyText"/>
        <w:spacing w:before="5"/>
        <w:rPr>
          <w:sz w:val="8"/>
        </w:rPr>
      </w:pPr>
    </w:p>
    <w:p w14:paraId="276E5244" w14:textId="10CD711D" w:rsidR="00BD462C" w:rsidRDefault="0035521D">
      <w:pPr>
        <w:pStyle w:val="BodyText"/>
        <w:spacing w:before="56" w:line="360" w:lineRule="auto"/>
        <w:ind w:left="135" w:right="914" w:firstLine="9"/>
        <w:jc w:val="both"/>
      </w:pPr>
      <w:r>
        <w:rPr>
          <w:noProof/>
        </w:rPr>
        <w:t>1013.</w:t>
      </w:r>
      <w:r w:rsidR="00033D0F">
        <w:rPr>
          <w:rFonts w:ascii="Times New Roman"/>
          <w:spacing w:val="80"/>
          <w:position w:val="1"/>
          <w:sz w:val="20"/>
        </w:rPr>
        <w:t xml:space="preserve"> </w:t>
      </w:r>
      <w:r w:rsidR="00033D0F">
        <w:rPr>
          <w:position w:val="1"/>
        </w:rPr>
        <w:t xml:space="preserve">Second, Australia would like to clarify its arguments relating to non-subject imports, </w:t>
      </w:r>
      <w:r w:rsidR="00033D0F">
        <w:t>which</w:t>
      </w:r>
      <w:r w:rsidR="00033D0F">
        <w:rPr>
          <w:spacing w:val="-5"/>
        </w:rPr>
        <w:t xml:space="preserve"> </w:t>
      </w:r>
      <w:r w:rsidR="00033D0F">
        <w:t>China</w:t>
      </w:r>
      <w:r w:rsidR="00033D0F">
        <w:rPr>
          <w:spacing w:val="-4"/>
        </w:rPr>
        <w:t xml:space="preserve"> </w:t>
      </w:r>
      <w:r w:rsidR="00033D0F">
        <w:t>expresses</w:t>
      </w:r>
      <w:r w:rsidR="00033D0F">
        <w:rPr>
          <w:spacing w:val="-2"/>
        </w:rPr>
        <w:t xml:space="preserve"> </w:t>
      </w:r>
      <w:r w:rsidR="00033D0F">
        <w:t>"confusion"</w:t>
      </w:r>
      <w:r w:rsidR="00033D0F">
        <w:rPr>
          <w:spacing w:val="-4"/>
        </w:rPr>
        <w:t xml:space="preserve"> </w:t>
      </w:r>
      <w:r w:rsidR="00033D0F">
        <w:t>over.</w:t>
      </w:r>
      <w:r w:rsidR="00033D0F">
        <w:rPr>
          <w:spacing w:val="-2"/>
        </w:rPr>
        <w:t xml:space="preserve"> </w:t>
      </w:r>
      <w:r w:rsidR="00033D0F">
        <w:t>Australia's</w:t>
      </w:r>
      <w:r w:rsidR="00033D0F">
        <w:rPr>
          <w:spacing w:val="-2"/>
        </w:rPr>
        <w:t xml:space="preserve"> </w:t>
      </w:r>
      <w:r w:rsidR="00033D0F">
        <w:t>argument</w:t>
      </w:r>
      <w:r w:rsidR="00033D0F">
        <w:rPr>
          <w:spacing w:val="-2"/>
        </w:rPr>
        <w:t xml:space="preserve"> </w:t>
      </w:r>
      <w:r w:rsidR="00033D0F">
        <w:t>relates</w:t>
      </w:r>
      <w:r w:rsidR="00033D0F">
        <w:rPr>
          <w:spacing w:val="-2"/>
        </w:rPr>
        <w:t xml:space="preserve"> </w:t>
      </w:r>
      <w:r w:rsidR="00033D0F">
        <w:t>to</w:t>
      </w:r>
      <w:r w:rsidR="00033D0F">
        <w:rPr>
          <w:spacing w:val="-6"/>
        </w:rPr>
        <w:t xml:space="preserve"> </w:t>
      </w:r>
      <w:r w:rsidR="00033D0F">
        <w:t>the</w:t>
      </w:r>
      <w:r w:rsidR="00033D0F">
        <w:rPr>
          <w:spacing w:val="-3"/>
        </w:rPr>
        <w:t xml:space="preserve"> </w:t>
      </w:r>
      <w:r w:rsidR="00033D0F">
        <w:t>impact</w:t>
      </w:r>
      <w:r w:rsidR="00033D0F">
        <w:rPr>
          <w:spacing w:val="-3"/>
        </w:rPr>
        <w:t xml:space="preserve"> </w:t>
      </w:r>
      <w:r w:rsidR="00033D0F">
        <w:t>that</w:t>
      </w:r>
      <w:r w:rsidR="00033D0F">
        <w:rPr>
          <w:spacing w:val="-3"/>
        </w:rPr>
        <w:t xml:space="preserve"> </w:t>
      </w:r>
      <w:r w:rsidR="00033D0F">
        <w:t xml:space="preserve">non- subject imports may have had on the domestic prices. </w:t>
      </w:r>
      <w:hyperlink w:anchor="_bookmark1703" w:history="1">
        <w:r w:rsidR="00033D0F">
          <w:rPr>
            <w:vertAlign w:val="superscript"/>
          </w:rPr>
          <w:t>1482</w:t>
        </w:r>
      </w:hyperlink>
      <w:r w:rsidR="00033D0F">
        <w:t xml:space="preserve"> </w:t>
      </w:r>
      <w:proofErr w:type="gramStart"/>
      <w:r w:rsidR="00033D0F">
        <w:t>Non-subject</w:t>
      </w:r>
      <w:proofErr w:type="gramEnd"/>
      <w:r w:rsidR="00033D0F">
        <w:t xml:space="preserve"> imports can be classified in the same groupings as subject imports and, as such, domestic prices need to be adjusted</w:t>
      </w:r>
      <w:r w:rsidR="00033D0F">
        <w:rPr>
          <w:spacing w:val="-6"/>
        </w:rPr>
        <w:t xml:space="preserve"> </w:t>
      </w:r>
      <w:r w:rsidR="00033D0F">
        <w:t>accordingly.</w:t>
      </w:r>
      <w:r w:rsidR="00033D0F">
        <w:rPr>
          <w:spacing w:val="-3"/>
        </w:rPr>
        <w:t xml:space="preserve"> </w:t>
      </w:r>
      <w:r w:rsidR="00033D0F">
        <w:t>MOFCOM</w:t>
      </w:r>
      <w:r w:rsidR="00033D0F">
        <w:rPr>
          <w:spacing w:val="-4"/>
        </w:rPr>
        <w:t xml:space="preserve"> </w:t>
      </w:r>
      <w:r w:rsidR="00033D0F">
        <w:t>needed</w:t>
      </w:r>
      <w:r w:rsidR="00033D0F">
        <w:rPr>
          <w:spacing w:val="-6"/>
        </w:rPr>
        <w:t xml:space="preserve"> </w:t>
      </w:r>
      <w:r w:rsidR="00033D0F">
        <w:t>to</w:t>
      </w:r>
      <w:r w:rsidR="00033D0F">
        <w:rPr>
          <w:spacing w:val="-7"/>
        </w:rPr>
        <w:t xml:space="preserve"> </w:t>
      </w:r>
      <w:r w:rsidR="00033D0F">
        <w:t>disclose</w:t>
      </w:r>
      <w:r w:rsidR="00033D0F">
        <w:rPr>
          <w:spacing w:val="-4"/>
        </w:rPr>
        <w:t xml:space="preserve"> </w:t>
      </w:r>
      <w:r w:rsidR="00033D0F">
        <w:t>the</w:t>
      </w:r>
      <w:r w:rsidR="00033D0F">
        <w:rPr>
          <w:spacing w:val="-5"/>
        </w:rPr>
        <w:t xml:space="preserve"> </w:t>
      </w:r>
      <w:r w:rsidR="00033D0F">
        <w:t>methodology</w:t>
      </w:r>
      <w:r w:rsidR="00033D0F">
        <w:rPr>
          <w:spacing w:val="-3"/>
        </w:rPr>
        <w:t xml:space="preserve"> </w:t>
      </w:r>
      <w:r w:rsidR="00033D0F">
        <w:t>it</w:t>
      </w:r>
      <w:r w:rsidR="00033D0F">
        <w:rPr>
          <w:spacing w:val="-4"/>
        </w:rPr>
        <w:t xml:space="preserve"> </w:t>
      </w:r>
      <w:r w:rsidR="00033D0F">
        <w:t>applied</w:t>
      </w:r>
      <w:r w:rsidR="00033D0F">
        <w:rPr>
          <w:spacing w:val="-6"/>
        </w:rPr>
        <w:t xml:space="preserve"> </w:t>
      </w:r>
      <w:r w:rsidR="00033D0F">
        <w:t>in</w:t>
      </w:r>
      <w:r w:rsidR="00033D0F">
        <w:rPr>
          <w:spacing w:val="-6"/>
        </w:rPr>
        <w:t xml:space="preserve"> </w:t>
      </w:r>
      <w:r w:rsidR="00033D0F">
        <w:t>considering these necessary adjustments to domestic prices caused by non-subject imports.</w:t>
      </w:r>
    </w:p>
    <w:p w14:paraId="4E56BDFD" w14:textId="77777777" w:rsidR="00BD462C" w:rsidRDefault="00033D0F">
      <w:pPr>
        <w:pStyle w:val="Heading3"/>
        <w:numPr>
          <w:ilvl w:val="0"/>
          <w:numId w:val="7"/>
        </w:numPr>
        <w:tabs>
          <w:tab w:val="left" w:pos="2689"/>
          <w:tab w:val="left" w:pos="2690"/>
        </w:tabs>
        <w:spacing w:before="157"/>
        <w:ind w:hanging="851"/>
      </w:pPr>
      <w:bookmarkStart w:id="1967" w:name="4._Conclusion"/>
      <w:bookmarkStart w:id="1968" w:name="_bookmark1697"/>
      <w:bookmarkEnd w:id="1967"/>
      <w:bookmarkEnd w:id="1968"/>
      <w:r>
        <w:rPr>
          <w:spacing w:val="-2"/>
        </w:rPr>
        <w:t>Conclusion</w:t>
      </w:r>
    </w:p>
    <w:p w14:paraId="70C37118" w14:textId="77777777" w:rsidR="00BD462C" w:rsidRDefault="00BD462C">
      <w:pPr>
        <w:pStyle w:val="BodyText"/>
        <w:spacing w:before="7"/>
        <w:rPr>
          <w:b/>
          <w:sz w:val="20"/>
        </w:rPr>
      </w:pPr>
    </w:p>
    <w:p w14:paraId="14D68BED" w14:textId="69A27093" w:rsidR="00BD462C" w:rsidRDefault="0035521D">
      <w:pPr>
        <w:pStyle w:val="BodyText"/>
        <w:spacing w:before="56" w:line="357" w:lineRule="auto"/>
        <w:ind w:left="135" w:right="910" w:firstLine="9"/>
      </w:pPr>
      <w:r>
        <w:rPr>
          <w:noProof/>
        </w:rPr>
        <w:t>1014.</w:t>
      </w:r>
      <w:r w:rsidR="00033D0F">
        <w:rPr>
          <w:rFonts w:ascii="Times New Roman"/>
          <w:spacing w:val="80"/>
          <w:position w:val="1"/>
          <w:sz w:val="20"/>
        </w:rPr>
        <w:t xml:space="preserve">  </w:t>
      </w:r>
      <w:r w:rsidR="00033D0F">
        <w:rPr>
          <w:position w:val="1"/>
        </w:rPr>
        <w:t xml:space="preserve">China has failed to rebut Australia's </w:t>
      </w:r>
      <w:r w:rsidR="00033D0F">
        <w:rPr>
          <w:i/>
          <w:position w:val="1"/>
        </w:rPr>
        <w:t xml:space="preserve">prima facie </w:t>
      </w:r>
      <w:r w:rsidR="00033D0F">
        <w:rPr>
          <w:position w:val="1"/>
        </w:rPr>
        <w:t xml:space="preserve">case. For the reasons set out above </w:t>
      </w:r>
      <w:r w:rsidR="00033D0F">
        <w:t>and</w:t>
      </w:r>
      <w:r w:rsidR="00033D0F">
        <w:rPr>
          <w:spacing w:val="14"/>
        </w:rPr>
        <w:t xml:space="preserve"> </w:t>
      </w:r>
      <w:r w:rsidR="00033D0F">
        <w:t>in</w:t>
      </w:r>
      <w:r w:rsidR="00033D0F">
        <w:rPr>
          <w:spacing w:val="14"/>
        </w:rPr>
        <w:t xml:space="preserve"> </w:t>
      </w:r>
      <w:r w:rsidR="00033D0F">
        <w:t>Australia's</w:t>
      </w:r>
      <w:r w:rsidR="00033D0F">
        <w:rPr>
          <w:spacing w:val="17"/>
        </w:rPr>
        <w:t xml:space="preserve"> </w:t>
      </w:r>
      <w:r w:rsidR="00033D0F">
        <w:t>first</w:t>
      </w:r>
      <w:r w:rsidR="00033D0F">
        <w:rPr>
          <w:spacing w:val="16"/>
        </w:rPr>
        <w:t xml:space="preserve"> </w:t>
      </w:r>
      <w:r w:rsidR="00033D0F">
        <w:t>written</w:t>
      </w:r>
      <w:r w:rsidR="00033D0F">
        <w:rPr>
          <w:spacing w:val="15"/>
        </w:rPr>
        <w:t xml:space="preserve"> </w:t>
      </w:r>
      <w:r w:rsidR="00033D0F">
        <w:t>submission,</w:t>
      </w:r>
      <w:r w:rsidR="00033D0F">
        <w:rPr>
          <w:spacing w:val="13"/>
        </w:rPr>
        <w:t xml:space="preserve"> </w:t>
      </w:r>
      <w:r w:rsidR="00033D0F">
        <w:t>China</w:t>
      </w:r>
      <w:r w:rsidR="00033D0F">
        <w:rPr>
          <w:spacing w:val="11"/>
        </w:rPr>
        <w:t xml:space="preserve"> </w:t>
      </w:r>
      <w:r w:rsidR="00033D0F">
        <w:t>acted</w:t>
      </w:r>
      <w:r w:rsidR="00033D0F">
        <w:rPr>
          <w:spacing w:val="15"/>
        </w:rPr>
        <w:t xml:space="preserve"> </w:t>
      </w:r>
      <w:r w:rsidR="00033D0F">
        <w:t>inconsistently</w:t>
      </w:r>
      <w:r w:rsidR="00033D0F">
        <w:rPr>
          <w:spacing w:val="17"/>
        </w:rPr>
        <w:t xml:space="preserve"> </w:t>
      </w:r>
      <w:r w:rsidR="00033D0F">
        <w:t>with</w:t>
      </w:r>
      <w:r w:rsidR="00033D0F">
        <w:rPr>
          <w:spacing w:val="14"/>
        </w:rPr>
        <w:t xml:space="preserve"> </w:t>
      </w:r>
      <w:r w:rsidR="00033D0F">
        <w:t>Articles</w:t>
      </w:r>
      <w:r w:rsidR="00033D0F">
        <w:rPr>
          <w:spacing w:val="17"/>
        </w:rPr>
        <w:t xml:space="preserve"> </w:t>
      </w:r>
      <w:r w:rsidR="00033D0F">
        <w:t>12.2</w:t>
      </w:r>
      <w:r w:rsidR="00033D0F">
        <w:rPr>
          <w:spacing w:val="15"/>
        </w:rPr>
        <w:t xml:space="preserve"> </w:t>
      </w:r>
      <w:r w:rsidR="00033D0F">
        <w:rPr>
          <w:spacing w:val="-5"/>
        </w:rPr>
        <w:t>and</w:t>
      </w:r>
    </w:p>
    <w:p w14:paraId="05C2AD49" w14:textId="77777777" w:rsidR="00BD462C" w:rsidRDefault="00033D0F">
      <w:pPr>
        <w:pStyle w:val="BodyText"/>
        <w:spacing w:before="6"/>
        <w:ind w:left="136"/>
      </w:pPr>
      <w:r>
        <w:t>12.2.2</w:t>
      </w:r>
      <w:r>
        <w:rPr>
          <w:spacing w:val="-6"/>
        </w:rPr>
        <w:t xml:space="preserve"> </w:t>
      </w:r>
      <w:r>
        <w:t>of</w:t>
      </w:r>
      <w:r>
        <w:rPr>
          <w:spacing w:val="-4"/>
        </w:rPr>
        <w:t xml:space="preserve"> </w:t>
      </w:r>
      <w:r>
        <w:t>the</w:t>
      </w:r>
      <w:r>
        <w:rPr>
          <w:spacing w:val="-3"/>
        </w:rPr>
        <w:t xml:space="preserve"> </w:t>
      </w:r>
      <w:r>
        <w:t>Anti-Dumping</w:t>
      </w:r>
      <w:r>
        <w:rPr>
          <w:spacing w:val="-1"/>
        </w:rPr>
        <w:t xml:space="preserve"> </w:t>
      </w:r>
      <w:r>
        <w:rPr>
          <w:spacing w:val="-2"/>
        </w:rPr>
        <w:t>Agreement.</w:t>
      </w:r>
    </w:p>
    <w:p w14:paraId="187E871D" w14:textId="77777777" w:rsidR="00BD462C" w:rsidRDefault="00BD462C">
      <w:pPr>
        <w:pStyle w:val="BodyText"/>
        <w:spacing w:before="9"/>
      </w:pPr>
    </w:p>
    <w:p w14:paraId="491222D9" w14:textId="77777777" w:rsidR="00BD462C" w:rsidRDefault="00033D0F" w:rsidP="00DA02D9">
      <w:pPr>
        <w:pStyle w:val="Heading1"/>
        <w:numPr>
          <w:ilvl w:val="0"/>
          <w:numId w:val="72"/>
        </w:numPr>
        <w:tabs>
          <w:tab w:val="left" w:pos="985"/>
          <w:tab w:val="left" w:pos="986"/>
        </w:tabs>
        <w:spacing w:before="0"/>
        <w:ind w:hanging="851"/>
      </w:pPr>
      <w:bookmarkStart w:id="1969" w:name="VIII._Summary_of_requested_findings"/>
      <w:bookmarkStart w:id="1970" w:name="_bookmark1698"/>
      <w:bookmarkEnd w:id="1969"/>
      <w:bookmarkEnd w:id="1970"/>
      <w:r>
        <w:t>SUMMARY</w:t>
      </w:r>
      <w:r>
        <w:rPr>
          <w:spacing w:val="-8"/>
        </w:rPr>
        <w:t xml:space="preserve"> </w:t>
      </w:r>
      <w:r>
        <w:t>OF</w:t>
      </w:r>
      <w:r>
        <w:rPr>
          <w:spacing w:val="-11"/>
        </w:rPr>
        <w:t xml:space="preserve"> </w:t>
      </w:r>
      <w:r>
        <w:t>REQUESTED</w:t>
      </w:r>
      <w:r>
        <w:rPr>
          <w:spacing w:val="-9"/>
        </w:rPr>
        <w:t xml:space="preserve"> </w:t>
      </w:r>
      <w:r>
        <w:rPr>
          <w:spacing w:val="-2"/>
        </w:rPr>
        <w:t>FINDINGS</w:t>
      </w:r>
    </w:p>
    <w:p w14:paraId="57CFCB54" w14:textId="77777777" w:rsidR="00BD462C" w:rsidRDefault="00BD462C">
      <w:pPr>
        <w:pStyle w:val="BodyText"/>
        <w:spacing w:before="2"/>
        <w:rPr>
          <w:b/>
          <w:sz w:val="23"/>
        </w:rPr>
      </w:pPr>
    </w:p>
    <w:p w14:paraId="59B82FF4" w14:textId="5ED538C2" w:rsidR="00BD462C" w:rsidRDefault="00F03EFC">
      <w:pPr>
        <w:pStyle w:val="BodyText"/>
        <w:spacing w:before="56" w:line="355" w:lineRule="auto"/>
        <w:ind w:left="135" w:right="923" w:firstLine="9"/>
      </w:pPr>
      <w:r>
        <w:rPr>
          <w:noProof/>
        </w:rPr>
        <w:t>1015.</w:t>
      </w:r>
      <w:r w:rsidR="00033D0F">
        <w:rPr>
          <w:rFonts w:ascii="Times New Roman"/>
          <w:spacing w:val="80"/>
          <w:position w:val="1"/>
          <w:sz w:val="20"/>
        </w:rPr>
        <w:t xml:space="preserve">  </w:t>
      </w:r>
      <w:r w:rsidR="00033D0F">
        <w:rPr>
          <w:position w:val="1"/>
        </w:rPr>
        <w:t>For</w:t>
      </w:r>
      <w:r w:rsidR="00033D0F">
        <w:rPr>
          <w:spacing w:val="40"/>
          <w:position w:val="1"/>
        </w:rPr>
        <w:t xml:space="preserve"> </w:t>
      </w:r>
      <w:r w:rsidR="00033D0F">
        <w:rPr>
          <w:position w:val="1"/>
        </w:rPr>
        <w:t>the</w:t>
      </w:r>
      <w:r w:rsidR="00033D0F">
        <w:rPr>
          <w:spacing w:val="65"/>
          <w:position w:val="1"/>
        </w:rPr>
        <w:t xml:space="preserve"> </w:t>
      </w:r>
      <w:r w:rsidR="00033D0F">
        <w:rPr>
          <w:position w:val="1"/>
        </w:rPr>
        <w:t>reasons</w:t>
      </w:r>
      <w:r w:rsidR="00033D0F">
        <w:rPr>
          <w:spacing w:val="62"/>
          <w:position w:val="1"/>
        </w:rPr>
        <w:t xml:space="preserve"> </w:t>
      </w:r>
      <w:r w:rsidR="00033D0F">
        <w:rPr>
          <w:position w:val="1"/>
        </w:rPr>
        <w:t>set</w:t>
      </w:r>
      <w:r w:rsidR="00033D0F">
        <w:rPr>
          <w:spacing w:val="40"/>
          <w:position w:val="1"/>
        </w:rPr>
        <w:t xml:space="preserve"> </w:t>
      </w:r>
      <w:r w:rsidR="00033D0F">
        <w:rPr>
          <w:position w:val="1"/>
        </w:rPr>
        <w:t>out</w:t>
      </w:r>
      <w:r w:rsidR="00033D0F">
        <w:rPr>
          <w:spacing w:val="40"/>
          <w:position w:val="1"/>
        </w:rPr>
        <w:t xml:space="preserve"> </w:t>
      </w:r>
      <w:r w:rsidR="00033D0F">
        <w:rPr>
          <w:position w:val="1"/>
        </w:rPr>
        <w:t>above,</w:t>
      </w:r>
      <w:r w:rsidR="00033D0F">
        <w:rPr>
          <w:spacing w:val="63"/>
          <w:position w:val="1"/>
        </w:rPr>
        <w:t xml:space="preserve"> </w:t>
      </w:r>
      <w:r w:rsidR="00033D0F">
        <w:rPr>
          <w:position w:val="1"/>
        </w:rPr>
        <w:t>and</w:t>
      </w:r>
      <w:r w:rsidR="00033D0F">
        <w:rPr>
          <w:spacing w:val="40"/>
          <w:position w:val="1"/>
        </w:rPr>
        <w:t xml:space="preserve"> </w:t>
      </w:r>
      <w:r w:rsidR="00033D0F">
        <w:rPr>
          <w:position w:val="1"/>
        </w:rPr>
        <w:t>in</w:t>
      </w:r>
      <w:r w:rsidR="00033D0F">
        <w:rPr>
          <w:spacing w:val="40"/>
          <w:position w:val="1"/>
        </w:rPr>
        <w:t xml:space="preserve"> </w:t>
      </w:r>
      <w:r w:rsidR="00033D0F">
        <w:rPr>
          <w:position w:val="1"/>
        </w:rPr>
        <w:t>Australia's</w:t>
      </w:r>
      <w:r w:rsidR="00033D0F">
        <w:rPr>
          <w:spacing w:val="62"/>
          <w:position w:val="1"/>
        </w:rPr>
        <w:t xml:space="preserve"> </w:t>
      </w:r>
      <w:r w:rsidR="00033D0F">
        <w:rPr>
          <w:position w:val="1"/>
        </w:rPr>
        <w:t>first</w:t>
      </w:r>
      <w:r w:rsidR="00033D0F">
        <w:rPr>
          <w:spacing w:val="40"/>
          <w:position w:val="1"/>
        </w:rPr>
        <w:t xml:space="preserve"> </w:t>
      </w:r>
      <w:r w:rsidR="00033D0F">
        <w:rPr>
          <w:position w:val="1"/>
        </w:rPr>
        <w:t>written</w:t>
      </w:r>
      <w:r w:rsidR="00033D0F">
        <w:rPr>
          <w:spacing w:val="40"/>
          <w:position w:val="1"/>
        </w:rPr>
        <w:t xml:space="preserve"> </w:t>
      </w:r>
      <w:r w:rsidR="00033D0F">
        <w:rPr>
          <w:position w:val="1"/>
        </w:rPr>
        <w:t>submission</w:t>
      </w:r>
      <w:r w:rsidR="00033D0F">
        <w:rPr>
          <w:spacing w:val="40"/>
          <w:position w:val="1"/>
        </w:rPr>
        <w:t xml:space="preserve"> </w:t>
      </w:r>
      <w:r w:rsidR="00033D0F">
        <w:rPr>
          <w:position w:val="1"/>
        </w:rPr>
        <w:t>and</w:t>
      </w:r>
      <w:r w:rsidR="00033D0F">
        <w:rPr>
          <w:spacing w:val="40"/>
          <w:position w:val="1"/>
        </w:rPr>
        <w:t xml:space="preserve"> </w:t>
      </w:r>
      <w:r w:rsidR="00033D0F">
        <w:t>responses</w:t>
      </w:r>
      <w:r w:rsidR="00033D0F">
        <w:rPr>
          <w:spacing w:val="-8"/>
        </w:rPr>
        <w:t xml:space="preserve"> </w:t>
      </w:r>
      <w:r w:rsidR="00033D0F">
        <w:t>to</w:t>
      </w:r>
      <w:r w:rsidR="00033D0F">
        <w:rPr>
          <w:spacing w:val="-11"/>
        </w:rPr>
        <w:t xml:space="preserve"> </w:t>
      </w:r>
      <w:r w:rsidR="00033D0F">
        <w:t>questions</w:t>
      </w:r>
      <w:r w:rsidR="00033D0F">
        <w:rPr>
          <w:spacing w:val="-8"/>
        </w:rPr>
        <w:t xml:space="preserve"> </w:t>
      </w:r>
      <w:r w:rsidR="00033D0F">
        <w:t>from</w:t>
      </w:r>
      <w:r w:rsidR="00033D0F">
        <w:rPr>
          <w:spacing w:val="-8"/>
        </w:rPr>
        <w:t xml:space="preserve"> </w:t>
      </w:r>
      <w:r w:rsidR="00033D0F">
        <w:t>the</w:t>
      </w:r>
      <w:r w:rsidR="00033D0F">
        <w:rPr>
          <w:spacing w:val="-9"/>
        </w:rPr>
        <w:t xml:space="preserve"> </w:t>
      </w:r>
      <w:r w:rsidR="00033D0F">
        <w:t>Panel,</w:t>
      </w:r>
      <w:r w:rsidR="00033D0F">
        <w:rPr>
          <w:spacing w:val="-7"/>
        </w:rPr>
        <w:t xml:space="preserve"> </w:t>
      </w:r>
      <w:r w:rsidR="00033D0F">
        <w:t>Australia</w:t>
      </w:r>
      <w:r w:rsidR="00033D0F">
        <w:rPr>
          <w:spacing w:val="-9"/>
        </w:rPr>
        <w:t xml:space="preserve"> </w:t>
      </w:r>
      <w:r w:rsidR="00033D0F">
        <w:t>respectfully</w:t>
      </w:r>
      <w:r w:rsidR="00033D0F">
        <w:rPr>
          <w:spacing w:val="-8"/>
        </w:rPr>
        <w:t xml:space="preserve"> </w:t>
      </w:r>
      <w:r w:rsidR="00033D0F">
        <w:t>requests</w:t>
      </w:r>
      <w:r w:rsidR="00033D0F">
        <w:rPr>
          <w:spacing w:val="-8"/>
        </w:rPr>
        <w:t xml:space="preserve"> </w:t>
      </w:r>
      <w:r w:rsidR="00033D0F">
        <w:t>that</w:t>
      </w:r>
      <w:r w:rsidR="00033D0F">
        <w:rPr>
          <w:spacing w:val="-8"/>
        </w:rPr>
        <w:t xml:space="preserve"> </w:t>
      </w:r>
      <w:r w:rsidR="00033D0F">
        <w:t>the</w:t>
      </w:r>
      <w:r w:rsidR="00033D0F">
        <w:rPr>
          <w:spacing w:val="-9"/>
        </w:rPr>
        <w:t xml:space="preserve"> </w:t>
      </w:r>
      <w:r w:rsidR="00033D0F">
        <w:t>Panel</w:t>
      </w:r>
      <w:r w:rsidR="00033D0F">
        <w:rPr>
          <w:spacing w:val="-7"/>
        </w:rPr>
        <w:t xml:space="preserve"> </w:t>
      </w:r>
      <w:r w:rsidR="00033D0F">
        <w:t>find</w:t>
      </w:r>
      <w:r w:rsidR="00033D0F">
        <w:rPr>
          <w:spacing w:val="-10"/>
        </w:rPr>
        <w:t xml:space="preserve"> </w:t>
      </w:r>
      <w:r w:rsidR="00033D0F">
        <w:rPr>
          <w:spacing w:val="-4"/>
        </w:rPr>
        <w:t>that</w:t>
      </w:r>
    </w:p>
    <w:p w14:paraId="0A1486B3" w14:textId="4C429A0A" w:rsidR="00BD462C" w:rsidRDefault="006E6DEA">
      <w:pPr>
        <w:pStyle w:val="BodyText"/>
        <w:rPr>
          <w:sz w:val="20"/>
        </w:rPr>
      </w:pPr>
      <w:r>
        <w:rPr>
          <w:noProof/>
        </w:rPr>
        <mc:AlternateContent>
          <mc:Choice Requires="wps">
            <w:drawing>
              <wp:anchor distT="0" distB="0" distL="0" distR="0" simplePos="0" relativeHeight="488122880" behindDoc="1" locked="0" layoutInCell="1" allowOverlap="1" wp14:anchorId="472B03C3" wp14:editId="321C4913">
                <wp:simplePos x="0" y="0"/>
                <wp:positionH relativeFrom="page">
                  <wp:posOffset>812800</wp:posOffset>
                </wp:positionH>
                <wp:positionV relativeFrom="paragraph">
                  <wp:posOffset>293370</wp:posOffset>
                </wp:positionV>
                <wp:extent cx="1828800" cy="8890"/>
                <wp:effectExtent l="0" t="0" r="0" b="0"/>
                <wp:wrapTopAndBottom/>
                <wp:docPr id="95" name="docshape7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62996D" id="docshape705" o:spid="_x0000_s1026" alt="&quot;&quot;" style="position:absolute;margin-left:64pt;margin-top:23.1pt;width:2in;height:.7pt;z-index:-15193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" fillcolor="black" stroked="f">
                <w10:wrap type="topAndBottom" anchorx="page"/>
              </v:rect>
            </w:pict>
          </mc:Fallback>
        </mc:AlternateContent>
      </w:r>
    </w:p>
    <w:p w14:paraId="50803973" w14:textId="08CD6FB1" w:rsidR="00BD462C" w:rsidRDefault="00BD462C">
      <w:pPr>
        <w:pStyle w:val="BodyText"/>
        <w:spacing w:before="5"/>
        <w:rPr>
          <w:sz w:val="17"/>
        </w:rPr>
      </w:pPr>
    </w:p>
    <w:p w14:paraId="6228C1FF" w14:textId="77777777" w:rsidR="00BD462C" w:rsidRDefault="00033D0F">
      <w:pPr>
        <w:spacing w:before="107"/>
        <w:ind w:left="135"/>
        <w:rPr>
          <w:sz w:val="18"/>
        </w:rPr>
      </w:pPr>
      <w:bookmarkStart w:id="1971" w:name="_bookmark1699"/>
      <w:bookmarkEnd w:id="1971"/>
      <w:r>
        <w:rPr>
          <w:position w:val="5"/>
          <w:sz w:val="12"/>
        </w:rPr>
        <w:t>1478</w:t>
      </w:r>
      <w:r>
        <w:rPr>
          <w:spacing w:val="12"/>
          <w:position w:val="5"/>
          <w:sz w:val="12"/>
        </w:rPr>
        <w:t xml:space="preserve"> </w:t>
      </w:r>
      <w:r>
        <w:rPr>
          <w:sz w:val="18"/>
        </w:rPr>
        <w:t>Anti-Dumping</w:t>
      </w:r>
      <w:r>
        <w:rPr>
          <w:spacing w:val="-7"/>
          <w:sz w:val="18"/>
        </w:rPr>
        <w:t xml:space="preserve"> </w:t>
      </w:r>
      <w:r>
        <w:rPr>
          <w:sz w:val="18"/>
        </w:rPr>
        <w:t>Final</w:t>
      </w:r>
      <w:r>
        <w:rPr>
          <w:spacing w:val="-2"/>
          <w:sz w:val="18"/>
        </w:rPr>
        <w:t xml:space="preserve"> </w:t>
      </w:r>
      <w:r>
        <w:rPr>
          <w:sz w:val="18"/>
        </w:rPr>
        <w:t>Determination,</w:t>
      </w:r>
      <w:r>
        <w:rPr>
          <w:spacing w:val="-4"/>
          <w:sz w:val="18"/>
        </w:rPr>
        <w:t xml:space="preserve"> </w:t>
      </w:r>
      <w:r>
        <w:rPr>
          <w:sz w:val="18"/>
        </w:rPr>
        <w:t>(Exhibit</w:t>
      </w:r>
      <w:r>
        <w:rPr>
          <w:spacing w:val="-6"/>
          <w:sz w:val="18"/>
        </w:rPr>
        <w:t xml:space="preserve"> </w:t>
      </w:r>
      <w:r>
        <w:rPr>
          <w:sz w:val="18"/>
        </w:rPr>
        <w:t>AUS-2), p.</w:t>
      </w:r>
      <w:r>
        <w:rPr>
          <w:spacing w:val="-5"/>
          <w:sz w:val="18"/>
        </w:rPr>
        <w:t xml:space="preserve"> </w:t>
      </w:r>
      <w:r>
        <w:rPr>
          <w:spacing w:val="-4"/>
          <w:sz w:val="18"/>
        </w:rPr>
        <w:t>113.</w:t>
      </w:r>
    </w:p>
    <w:p w14:paraId="50A74FF1" w14:textId="77777777" w:rsidR="00BD462C" w:rsidRDefault="00033D0F">
      <w:pPr>
        <w:spacing w:before="1"/>
        <w:ind w:left="135"/>
        <w:rPr>
          <w:sz w:val="18"/>
        </w:rPr>
      </w:pPr>
      <w:bookmarkStart w:id="1972" w:name="_bookmark1700"/>
      <w:bookmarkEnd w:id="1972"/>
      <w:r>
        <w:rPr>
          <w:position w:val="5"/>
          <w:sz w:val="12"/>
        </w:rPr>
        <w:t>1479</w:t>
      </w:r>
      <w:r>
        <w:rPr>
          <w:spacing w:val="13"/>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 xml:space="preserve">para. </w:t>
      </w:r>
      <w:r>
        <w:rPr>
          <w:spacing w:val="-2"/>
          <w:sz w:val="18"/>
        </w:rPr>
        <w:t>2653.</w:t>
      </w:r>
    </w:p>
    <w:p w14:paraId="3DB2B781" w14:textId="77777777" w:rsidR="00BD462C" w:rsidRDefault="00033D0F">
      <w:pPr>
        <w:spacing w:before="1"/>
        <w:ind w:left="135"/>
        <w:rPr>
          <w:sz w:val="18"/>
        </w:rPr>
      </w:pPr>
      <w:bookmarkStart w:id="1973" w:name="_bookmark1701"/>
      <w:bookmarkEnd w:id="1973"/>
      <w:r>
        <w:rPr>
          <w:position w:val="5"/>
          <w:sz w:val="12"/>
        </w:rPr>
        <w:t>1480</w:t>
      </w:r>
      <w:r>
        <w:rPr>
          <w:spacing w:val="13"/>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 xml:space="preserve">para. </w:t>
      </w:r>
      <w:r>
        <w:rPr>
          <w:spacing w:val="-2"/>
          <w:sz w:val="18"/>
        </w:rPr>
        <w:t>2653.</w:t>
      </w:r>
    </w:p>
    <w:p w14:paraId="0C36995F" w14:textId="77777777" w:rsidR="00BD462C" w:rsidRDefault="00033D0F">
      <w:pPr>
        <w:spacing w:before="1"/>
        <w:ind w:left="135"/>
        <w:rPr>
          <w:sz w:val="18"/>
        </w:rPr>
      </w:pPr>
      <w:bookmarkStart w:id="1974" w:name="_bookmark1702"/>
      <w:bookmarkEnd w:id="1974"/>
      <w:r>
        <w:rPr>
          <w:position w:val="5"/>
          <w:sz w:val="12"/>
        </w:rPr>
        <w:t>1481</w:t>
      </w:r>
      <w:r>
        <w:rPr>
          <w:spacing w:val="16"/>
          <w:position w:val="5"/>
          <w:sz w:val="12"/>
        </w:rPr>
        <w:t xml:space="preserve"> </w:t>
      </w:r>
      <w:r>
        <w:rPr>
          <w:sz w:val="18"/>
        </w:rPr>
        <w:t>Panel</w:t>
      </w:r>
      <w:r>
        <w:rPr>
          <w:spacing w:val="-2"/>
          <w:sz w:val="18"/>
        </w:rPr>
        <w:t xml:space="preserve"> </w:t>
      </w:r>
      <w:r>
        <w:rPr>
          <w:sz w:val="18"/>
        </w:rPr>
        <w:t>Report,</w:t>
      </w:r>
      <w:r>
        <w:rPr>
          <w:spacing w:val="-6"/>
          <w:sz w:val="18"/>
        </w:rPr>
        <w:t xml:space="preserve"> </w:t>
      </w:r>
      <w:r>
        <w:rPr>
          <w:i/>
          <w:sz w:val="18"/>
        </w:rPr>
        <w:t>EU</w:t>
      </w:r>
      <w:r>
        <w:rPr>
          <w:i/>
          <w:spacing w:val="-1"/>
          <w:sz w:val="18"/>
        </w:rPr>
        <w:t xml:space="preserve"> </w:t>
      </w:r>
      <w:r>
        <w:rPr>
          <w:i/>
          <w:sz w:val="18"/>
        </w:rPr>
        <w:t>–</w:t>
      </w:r>
      <w:r>
        <w:rPr>
          <w:i/>
          <w:spacing w:val="-3"/>
          <w:sz w:val="18"/>
        </w:rPr>
        <w:t xml:space="preserve"> </w:t>
      </w:r>
      <w:r>
        <w:rPr>
          <w:i/>
          <w:sz w:val="18"/>
        </w:rPr>
        <w:t>Footwear</w:t>
      </w:r>
      <w:r>
        <w:rPr>
          <w:i/>
          <w:spacing w:val="-4"/>
          <w:sz w:val="18"/>
        </w:rPr>
        <w:t xml:space="preserve"> </w:t>
      </w:r>
      <w:r>
        <w:rPr>
          <w:i/>
          <w:sz w:val="18"/>
        </w:rPr>
        <w:t>(China),</w:t>
      </w:r>
      <w:r>
        <w:rPr>
          <w:i/>
          <w:spacing w:val="-1"/>
          <w:sz w:val="18"/>
        </w:rPr>
        <w:t xml:space="preserve"> </w:t>
      </w:r>
      <w:r>
        <w:rPr>
          <w:sz w:val="18"/>
        </w:rPr>
        <w:t>para.</w:t>
      </w:r>
      <w:r>
        <w:rPr>
          <w:spacing w:val="-2"/>
          <w:sz w:val="18"/>
        </w:rPr>
        <w:t xml:space="preserve"> 7.844.</w:t>
      </w:r>
    </w:p>
    <w:p w14:paraId="25A68C42" w14:textId="77777777" w:rsidR="00BD462C" w:rsidRDefault="00033D0F">
      <w:pPr>
        <w:spacing w:before="1"/>
        <w:ind w:left="135"/>
        <w:rPr>
          <w:sz w:val="18"/>
        </w:rPr>
      </w:pPr>
      <w:bookmarkStart w:id="1975" w:name="_bookmark1703"/>
      <w:bookmarkEnd w:id="1975"/>
      <w:r>
        <w:rPr>
          <w:position w:val="5"/>
          <w:sz w:val="12"/>
        </w:rPr>
        <w:t>1482</w:t>
      </w:r>
      <w:r>
        <w:rPr>
          <w:spacing w:val="11"/>
          <w:position w:val="5"/>
          <w:sz w:val="12"/>
        </w:rPr>
        <w:t xml:space="preserve"> </w:t>
      </w:r>
      <w:r>
        <w:rPr>
          <w:sz w:val="18"/>
        </w:rPr>
        <w:t>Australia's</w:t>
      </w:r>
      <w:r>
        <w:rPr>
          <w:spacing w:val="-6"/>
          <w:sz w:val="18"/>
        </w:rPr>
        <w:t xml:space="preserve"> </w:t>
      </w:r>
      <w:r>
        <w:rPr>
          <w:sz w:val="18"/>
        </w:rPr>
        <w:t>first</w:t>
      </w:r>
      <w:r>
        <w:rPr>
          <w:spacing w:val="-5"/>
          <w:sz w:val="18"/>
        </w:rPr>
        <w:t xml:space="preserve"> </w:t>
      </w:r>
      <w:r>
        <w:rPr>
          <w:sz w:val="18"/>
        </w:rPr>
        <w:t>written</w:t>
      </w:r>
      <w:r>
        <w:rPr>
          <w:spacing w:val="-3"/>
          <w:sz w:val="18"/>
        </w:rPr>
        <w:t xml:space="preserve"> </w:t>
      </w:r>
      <w:r>
        <w:rPr>
          <w:sz w:val="18"/>
        </w:rPr>
        <w:t>submission,</w:t>
      </w:r>
      <w:r>
        <w:rPr>
          <w:spacing w:val="-1"/>
          <w:sz w:val="18"/>
        </w:rPr>
        <w:t xml:space="preserve"> </w:t>
      </w:r>
      <w:r>
        <w:rPr>
          <w:sz w:val="18"/>
        </w:rPr>
        <w:t>para.</w:t>
      </w:r>
      <w:r>
        <w:rPr>
          <w:spacing w:val="-5"/>
          <w:sz w:val="18"/>
        </w:rPr>
        <w:t xml:space="preserve"> </w:t>
      </w:r>
      <w:r>
        <w:rPr>
          <w:sz w:val="18"/>
        </w:rPr>
        <w:t>1123;</w:t>
      </w:r>
      <w:r>
        <w:rPr>
          <w:spacing w:val="-4"/>
          <w:sz w:val="18"/>
        </w:rPr>
        <w:t xml:space="preserve"> </w:t>
      </w:r>
      <w:r>
        <w:rPr>
          <w:sz w:val="18"/>
        </w:rPr>
        <w:t>China's</w:t>
      </w:r>
      <w:r>
        <w:rPr>
          <w:spacing w:val="-6"/>
          <w:sz w:val="18"/>
        </w:rPr>
        <w:t xml:space="preserve"> </w:t>
      </w:r>
      <w:r>
        <w:rPr>
          <w:sz w:val="18"/>
        </w:rPr>
        <w:t>first</w:t>
      </w:r>
      <w:r>
        <w:rPr>
          <w:spacing w:val="-6"/>
          <w:sz w:val="18"/>
        </w:rPr>
        <w:t xml:space="preserve"> </w:t>
      </w:r>
      <w:r>
        <w:rPr>
          <w:sz w:val="18"/>
        </w:rPr>
        <w:t>written</w:t>
      </w:r>
      <w:r>
        <w:rPr>
          <w:spacing w:val="-3"/>
          <w:sz w:val="18"/>
        </w:rPr>
        <w:t xml:space="preserve"> </w:t>
      </w:r>
      <w:r>
        <w:rPr>
          <w:sz w:val="18"/>
        </w:rPr>
        <w:t>submission,</w:t>
      </w:r>
      <w:r>
        <w:rPr>
          <w:spacing w:val="-4"/>
          <w:sz w:val="18"/>
        </w:rPr>
        <w:t xml:space="preserve"> </w:t>
      </w:r>
      <w:r>
        <w:rPr>
          <w:sz w:val="18"/>
        </w:rPr>
        <w:t>para.</w:t>
      </w:r>
      <w:r>
        <w:rPr>
          <w:spacing w:val="-1"/>
          <w:sz w:val="18"/>
        </w:rPr>
        <w:t xml:space="preserve"> </w:t>
      </w:r>
      <w:r>
        <w:rPr>
          <w:spacing w:val="-2"/>
          <w:sz w:val="18"/>
        </w:rPr>
        <w:t>2657.</w:t>
      </w:r>
    </w:p>
    <w:p w14:paraId="015F830B" w14:textId="77777777" w:rsidR="00BD462C" w:rsidRDefault="00BD462C">
      <w:pPr>
        <w:rPr>
          <w:sz w:val="18"/>
        </w:rPr>
        <w:sectPr w:rsidR="00BD462C">
          <w:pgSz w:w="11910" w:h="16840"/>
          <w:pgMar w:top="860" w:right="500" w:bottom="780" w:left="1280" w:header="566" w:footer="590" w:gutter="0"/>
          <w:cols w:space="720"/>
        </w:sectPr>
      </w:pPr>
    </w:p>
    <w:p w14:paraId="4832DFEA"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62C4E036"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35DA5282"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139C055E" w14:textId="77777777" w:rsidR="00BD462C" w:rsidRDefault="00033D0F">
      <w:pPr>
        <w:pStyle w:val="BodyText"/>
        <w:spacing w:before="102" w:line="357" w:lineRule="auto"/>
        <w:ind w:left="135" w:right="923"/>
      </w:pPr>
      <w:r>
        <w:t>China's measures, as set out above, are inconsistent with China's obligations under the Anti- Dumping Agreement and the GATT 1994, as set out below:</w:t>
      </w:r>
    </w:p>
    <w:p w14:paraId="6386AD34" w14:textId="77777777" w:rsidR="00BD462C" w:rsidRDefault="00033D0F">
      <w:pPr>
        <w:pStyle w:val="ListParagraph"/>
        <w:numPr>
          <w:ilvl w:val="0"/>
          <w:numId w:val="6"/>
        </w:numPr>
        <w:tabs>
          <w:tab w:val="left" w:pos="1835"/>
          <w:tab w:val="left" w:pos="1836"/>
        </w:tabs>
        <w:spacing w:before="161"/>
        <w:ind w:hanging="851"/>
        <w:rPr>
          <w:sz w:val="24"/>
        </w:rPr>
      </w:pPr>
      <w:r>
        <w:rPr>
          <w:sz w:val="24"/>
        </w:rPr>
        <w:t>Articles</w:t>
      </w:r>
      <w:r>
        <w:rPr>
          <w:spacing w:val="-2"/>
          <w:sz w:val="24"/>
        </w:rPr>
        <w:t xml:space="preserve"> </w:t>
      </w:r>
      <w:r>
        <w:rPr>
          <w:sz w:val="24"/>
        </w:rPr>
        <w:t>1,</w:t>
      </w:r>
      <w:r>
        <w:rPr>
          <w:spacing w:val="-2"/>
          <w:sz w:val="24"/>
        </w:rPr>
        <w:t xml:space="preserve"> </w:t>
      </w:r>
      <w:r>
        <w:rPr>
          <w:sz w:val="24"/>
        </w:rPr>
        <w:t>2.1,</w:t>
      </w:r>
      <w:r>
        <w:rPr>
          <w:spacing w:val="-3"/>
          <w:sz w:val="24"/>
        </w:rPr>
        <w:t xml:space="preserve"> </w:t>
      </w:r>
      <w:r>
        <w:rPr>
          <w:sz w:val="24"/>
        </w:rPr>
        <w:t>2.2,</w:t>
      </w:r>
      <w:r>
        <w:rPr>
          <w:spacing w:val="-3"/>
          <w:sz w:val="24"/>
        </w:rPr>
        <w:t xml:space="preserve"> </w:t>
      </w:r>
      <w:r>
        <w:rPr>
          <w:sz w:val="24"/>
        </w:rPr>
        <w:t>2.2.1,</w:t>
      </w:r>
      <w:r>
        <w:rPr>
          <w:spacing w:val="-3"/>
          <w:sz w:val="24"/>
        </w:rPr>
        <w:t xml:space="preserve"> </w:t>
      </w:r>
      <w:r>
        <w:rPr>
          <w:sz w:val="24"/>
        </w:rPr>
        <w:t>2.2.1.1,</w:t>
      </w:r>
      <w:r>
        <w:rPr>
          <w:spacing w:val="-3"/>
          <w:sz w:val="24"/>
        </w:rPr>
        <w:t xml:space="preserve"> </w:t>
      </w:r>
      <w:r>
        <w:rPr>
          <w:sz w:val="24"/>
        </w:rPr>
        <w:t>2.4,</w:t>
      </w:r>
      <w:r>
        <w:rPr>
          <w:spacing w:val="-2"/>
          <w:sz w:val="24"/>
        </w:rPr>
        <w:t xml:space="preserve"> </w:t>
      </w:r>
      <w:r>
        <w:rPr>
          <w:sz w:val="24"/>
        </w:rPr>
        <w:t>3.1,</w:t>
      </w:r>
      <w:r>
        <w:rPr>
          <w:spacing w:val="-2"/>
          <w:sz w:val="24"/>
        </w:rPr>
        <w:t xml:space="preserve"> </w:t>
      </w:r>
      <w:r>
        <w:rPr>
          <w:sz w:val="24"/>
        </w:rPr>
        <w:t>3.2,</w:t>
      </w:r>
      <w:r>
        <w:rPr>
          <w:spacing w:val="-3"/>
          <w:sz w:val="24"/>
        </w:rPr>
        <w:t xml:space="preserve"> </w:t>
      </w:r>
      <w:r>
        <w:rPr>
          <w:sz w:val="24"/>
        </w:rPr>
        <w:t>3.4,</w:t>
      </w:r>
      <w:r>
        <w:rPr>
          <w:spacing w:val="-3"/>
          <w:sz w:val="24"/>
        </w:rPr>
        <w:t xml:space="preserve"> </w:t>
      </w:r>
      <w:r>
        <w:rPr>
          <w:sz w:val="24"/>
        </w:rPr>
        <w:t>3.5,</w:t>
      </w:r>
      <w:r>
        <w:rPr>
          <w:spacing w:val="-3"/>
          <w:sz w:val="24"/>
        </w:rPr>
        <w:t xml:space="preserve"> </w:t>
      </w:r>
      <w:r>
        <w:rPr>
          <w:sz w:val="24"/>
        </w:rPr>
        <w:t>4.1,</w:t>
      </w:r>
      <w:r>
        <w:rPr>
          <w:spacing w:val="-3"/>
          <w:sz w:val="24"/>
        </w:rPr>
        <w:t xml:space="preserve"> </w:t>
      </w:r>
      <w:r>
        <w:rPr>
          <w:sz w:val="24"/>
        </w:rPr>
        <w:t>5.1,</w:t>
      </w:r>
      <w:r>
        <w:rPr>
          <w:spacing w:val="-3"/>
          <w:sz w:val="24"/>
        </w:rPr>
        <w:t xml:space="preserve"> </w:t>
      </w:r>
      <w:r>
        <w:rPr>
          <w:sz w:val="24"/>
        </w:rPr>
        <w:t>5.2,</w:t>
      </w:r>
      <w:r>
        <w:rPr>
          <w:spacing w:val="-3"/>
          <w:sz w:val="24"/>
        </w:rPr>
        <w:t xml:space="preserve"> </w:t>
      </w:r>
      <w:r>
        <w:rPr>
          <w:sz w:val="24"/>
        </w:rPr>
        <w:t>5.3,</w:t>
      </w:r>
      <w:r>
        <w:rPr>
          <w:spacing w:val="-2"/>
          <w:sz w:val="24"/>
        </w:rPr>
        <w:t xml:space="preserve"> </w:t>
      </w:r>
      <w:r>
        <w:rPr>
          <w:spacing w:val="-4"/>
          <w:sz w:val="24"/>
        </w:rPr>
        <w:t>5.4,</w:t>
      </w:r>
    </w:p>
    <w:p w14:paraId="40AF9DB9" w14:textId="77777777" w:rsidR="00BD462C" w:rsidRDefault="00033D0F">
      <w:pPr>
        <w:pStyle w:val="BodyText"/>
        <w:spacing w:before="149"/>
        <w:ind w:left="1839"/>
      </w:pPr>
      <w:r>
        <w:t>5.8,</w:t>
      </w:r>
      <w:r>
        <w:rPr>
          <w:spacing w:val="-14"/>
        </w:rPr>
        <w:t xml:space="preserve"> </w:t>
      </w:r>
      <w:r>
        <w:t>6.1,</w:t>
      </w:r>
      <w:r>
        <w:rPr>
          <w:spacing w:val="-12"/>
        </w:rPr>
        <w:t xml:space="preserve"> </w:t>
      </w:r>
      <w:r>
        <w:t>6.1.1,</w:t>
      </w:r>
      <w:r>
        <w:rPr>
          <w:spacing w:val="-8"/>
        </w:rPr>
        <w:t xml:space="preserve"> </w:t>
      </w:r>
      <w:r>
        <w:t>6.1.2,</w:t>
      </w:r>
      <w:r>
        <w:rPr>
          <w:spacing w:val="-11"/>
        </w:rPr>
        <w:t xml:space="preserve"> </w:t>
      </w:r>
      <w:r>
        <w:t>6.2,</w:t>
      </w:r>
      <w:r>
        <w:rPr>
          <w:spacing w:val="-7"/>
        </w:rPr>
        <w:t xml:space="preserve"> </w:t>
      </w:r>
      <w:r>
        <w:t>6.4,</w:t>
      </w:r>
      <w:r>
        <w:rPr>
          <w:spacing w:val="-11"/>
        </w:rPr>
        <w:t xml:space="preserve"> </w:t>
      </w:r>
      <w:r>
        <w:t>6.5,</w:t>
      </w:r>
      <w:r>
        <w:rPr>
          <w:spacing w:val="-7"/>
        </w:rPr>
        <w:t xml:space="preserve"> </w:t>
      </w:r>
      <w:r>
        <w:t>6.5.1,</w:t>
      </w:r>
      <w:r>
        <w:rPr>
          <w:spacing w:val="-11"/>
        </w:rPr>
        <w:t xml:space="preserve"> </w:t>
      </w:r>
      <w:r>
        <w:t>6.6,</w:t>
      </w:r>
      <w:r>
        <w:rPr>
          <w:spacing w:val="-7"/>
        </w:rPr>
        <w:t xml:space="preserve"> </w:t>
      </w:r>
      <w:r>
        <w:t>6.8</w:t>
      </w:r>
      <w:r>
        <w:rPr>
          <w:spacing w:val="-14"/>
        </w:rPr>
        <w:t xml:space="preserve"> </w:t>
      </w:r>
      <w:r>
        <w:t>and</w:t>
      </w:r>
      <w:r>
        <w:rPr>
          <w:spacing w:val="-13"/>
        </w:rPr>
        <w:t xml:space="preserve"> </w:t>
      </w:r>
      <w:r>
        <w:t>paragraphs</w:t>
      </w:r>
      <w:r>
        <w:rPr>
          <w:spacing w:val="-8"/>
        </w:rPr>
        <w:t xml:space="preserve"> </w:t>
      </w:r>
      <w:r>
        <w:t>1,</w:t>
      </w:r>
      <w:r>
        <w:rPr>
          <w:spacing w:val="-11"/>
        </w:rPr>
        <w:t xml:space="preserve"> </w:t>
      </w:r>
      <w:r>
        <w:t>3,</w:t>
      </w:r>
      <w:r>
        <w:rPr>
          <w:spacing w:val="-7"/>
        </w:rPr>
        <w:t xml:space="preserve"> </w:t>
      </w:r>
      <w:r>
        <w:t>5,</w:t>
      </w:r>
      <w:r>
        <w:rPr>
          <w:spacing w:val="-11"/>
        </w:rPr>
        <w:t xml:space="preserve"> </w:t>
      </w:r>
      <w:r>
        <w:t>6</w:t>
      </w:r>
      <w:r>
        <w:rPr>
          <w:spacing w:val="-10"/>
        </w:rPr>
        <w:t xml:space="preserve"> </w:t>
      </w:r>
      <w:r>
        <w:rPr>
          <w:spacing w:val="-5"/>
        </w:rPr>
        <w:t>and</w:t>
      </w:r>
    </w:p>
    <w:p w14:paraId="2C42A963" w14:textId="77777777" w:rsidR="00BD462C" w:rsidRDefault="00033D0F">
      <w:pPr>
        <w:pStyle w:val="BodyText"/>
        <w:spacing w:before="148"/>
        <w:ind w:left="1839"/>
      </w:pPr>
      <w:r>
        <w:t>7</w:t>
      </w:r>
      <w:r>
        <w:rPr>
          <w:spacing w:val="3"/>
        </w:rPr>
        <w:t xml:space="preserve"> </w:t>
      </w:r>
      <w:r>
        <w:t>of</w:t>
      </w:r>
      <w:r>
        <w:rPr>
          <w:spacing w:val="3"/>
        </w:rPr>
        <w:t xml:space="preserve"> </w:t>
      </w:r>
      <w:r>
        <w:t>Annex</w:t>
      </w:r>
      <w:r>
        <w:rPr>
          <w:spacing w:val="5"/>
        </w:rPr>
        <w:t xml:space="preserve"> </w:t>
      </w:r>
      <w:r>
        <w:t>II,</w:t>
      </w:r>
      <w:r>
        <w:rPr>
          <w:spacing w:val="7"/>
        </w:rPr>
        <w:t xml:space="preserve"> </w:t>
      </w:r>
      <w:r>
        <w:t>6.9,</w:t>
      </w:r>
      <w:r>
        <w:rPr>
          <w:spacing w:val="2"/>
        </w:rPr>
        <w:t xml:space="preserve"> </w:t>
      </w:r>
      <w:r>
        <w:t>6.10,</w:t>
      </w:r>
      <w:r>
        <w:rPr>
          <w:spacing w:val="7"/>
        </w:rPr>
        <w:t xml:space="preserve"> </w:t>
      </w:r>
      <w:r>
        <w:t>9.1,</w:t>
      </w:r>
      <w:r>
        <w:rPr>
          <w:spacing w:val="7"/>
        </w:rPr>
        <w:t xml:space="preserve"> </w:t>
      </w:r>
      <w:r>
        <w:t>9.2,</w:t>
      </w:r>
      <w:r>
        <w:rPr>
          <w:spacing w:val="7"/>
        </w:rPr>
        <w:t xml:space="preserve"> </w:t>
      </w:r>
      <w:r>
        <w:t>9.3,</w:t>
      </w:r>
      <w:r>
        <w:rPr>
          <w:spacing w:val="7"/>
        </w:rPr>
        <w:t xml:space="preserve"> </w:t>
      </w:r>
      <w:r>
        <w:t>12.1.1(iv),</w:t>
      </w:r>
      <w:r>
        <w:rPr>
          <w:spacing w:val="2"/>
        </w:rPr>
        <w:t xml:space="preserve"> </w:t>
      </w:r>
      <w:r>
        <w:t>12.2,</w:t>
      </w:r>
      <w:r>
        <w:rPr>
          <w:spacing w:val="6"/>
        </w:rPr>
        <w:t xml:space="preserve"> </w:t>
      </w:r>
      <w:r>
        <w:t>12.2.2</w:t>
      </w:r>
      <w:r>
        <w:rPr>
          <w:spacing w:val="3"/>
        </w:rPr>
        <w:t xml:space="preserve"> </w:t>
      </w:r>
      <w:r>
        <w:t>and</w:t>
      </w:r>
      <w:r>
        <w:rPr>
          <w:spacing w:val="3"/>
        </w:rPr>
        <w:t xml:space="preserve"> </w:t>
      </w:r>
      <w:r>
        <w:t>18.1</w:t>
      </w:r>
      <w:r>
        <w:rPr>
          <w:spacing w:val="3"/>
        </w:rPr>
        <w:t xml:space="preserve"> </w:t>
      </w:r>
      <w:r>
        <w:t>of</w:t>
      </w:r>
      <w:r>
        <w:rPr>
          <w:spacing w:val="4"/>
        </w:rPr>
        <w:t xml:space="preserve"> </w:t>
      </w:r>
      <w:r>
        <w:rPr>
          <w:spacing w:val="-5"/>
        </w:rPr>
        <w:t>the</w:t>
      </w:r>
    </w:p>
    <w:p w14:paraId="1468F304" w14:textId="77777777" w:rsidR="00BD462C" w:rsidRDefault="00033D0F">
      <w:pPr>
        <w:pStyle w:val="BodyText"/>
        <w:spacing w:before="144"/>
        <w:ind w:left="1839"/>
      </w:pPr>
      <w:r>
        <w:t>Anti-Dumping</w:t>
      </w:r>
      <w:r>
        <w:rPr>
          <w:spacing w:val="-4"/>
        </w:rPr>
        <w:t xml:space="preserve"> </w:t>
      </w:r>
      <w:r>
        <w:t>Agreement;</w:t>
      </w:r>
      <w:r>
        <w:rPr>
          <w:spacing w:val="-6"/>
        </w:rPr>
        <w:t xml:space="preserve"> </w:t>
      </w:r>
      <w:r>
        <w:rPr>
          <w:spacing w:val="-5"/>
        </w:rPr>
        <w:t>and</w:t>
      </w:r>
    </w:p>
    <w:p w14:paraId="193F8ED6" w14:textId="77777777" w:rsidR="00BD462C" w:rsidRDefault="00BD462C">
      <w:pPr>
        <w:pStyle w:val="BodyText"/>
        <w:spacing w:before="9"/>
        <w:rPr>
          <w:sz w:val="21"/>
        </w:rPr>
      </w:pPr>
    </w:p>
    <w:p w14:paraId="36576BEE" w14:textId="77777777" w:rsidR="00BD462C" w:rsidRDefault="00033D0F">
      <w:pPr>
        <w:pStyle w:val="ListParagraph"/>
        <w:numPr>
          <w:ilvl w:val="0"/>
          <w:numId w:val="6"/>
        </w:numPr>
        <w:tabs>
          <w:tab w:val="left" w:pos="1835"/>
          <w:tab w:val="left" w:pos="1836"/>
        </w:tabs>
        <w:spacing w:before="0"/>
        <w:ind w:hanging="851"/>
        <w:rPr>
          <w:sz w:val="24"/>
        </w:rPr>
      </w:pPr>
      <w:r>
        <w:rPr>
          <w:sz w:val="24"/>
        </w:rPr>
        <w:t>Article</w:t>
      </w:r>
      <w:r>
        <w:rPr>
          <w:spacing w:val="-3"/>
          <w:sz w:val="24"/>
        </w:rPr>
        <w:t xml:space="preserve"> </w:t>
      </w:r>
      <w:r>
        <w:rPr>
          <w:sz w:val="24"/>
        </w:rPr>
        <w:t>VI:2</w:t>
      </w:r>
      <w:r>
        <w:rPr>
          <w:spacing w:val="-4"/>
          <w:sz w:val="24"/>
        </w:rPr>
        <w:t xml:space="preserve"> </w:t>
      </w:r>
      <w:r>
        <w:rPr>
          <w:sz w:val="24"/>
        </w:rPr>
        <w:t>of</w:t>
      </w:r>
      <w:r>
        <w:rPr>
          <w:spacing w:val="-3"/>
          <w:sz w:val="24"/>
        </w:rPr>
        <w:t xml:space="preserve"> </w:t>
      </w:r>
      <w:r>
        <w:rPr>
          <w:sz w:val="24"/>
        </w:rPr>
        <w:t>the</w:t>
      </w:r>
      <w:r>
        <w:rPr>
          <w:spacing w:val="-1"/>
          <w:sz w:val="24"/>
        </w:rPr>
        <w:t xml:space="preserve"> </w:t>
      </w:r>
      <w:r>
        <w:rPr>
          <w:sz w:val="24"/>
        </w:rPr>
        <w:t>GATT</w:t>
      </w:r>
      <w:r>
        <w:rPr>
          <w:spacing w:val="-4"/>
          <w:sz w:val="24"/>
        </w:rPr>
        <w:t xml:space="preserve"> </w:t>
      </w:r>
      <w:r>
        <w:rPr>
          <w:spacing w:val="-2"/>
          <w:sz w:val="24"/>
        </w:rPr>
        <w:t>1994.</w:t>
      </w:r>
    </w:p>
    <w:p w14:paraId="52D4482D" w14:textId="77777777" w:rsidR="00BD462C" w:rsidRDefault="00BD462C">
      <w:pPr>
        <w:pStyle w:val="BodyText"/>
        <w:spacing w:before="10"/>
        <w:rPr>
          <w:sz w:val="17"/>
        </w:rPr>
      </w:pPr>
    </w:p>
    <w:p w14:paraId="34E1C176" w14:textId="4030D267" w:rsidR="00BD462C" w:rsidRDefault="00F03EFC">
      <w:pPr>
        <w:pStyle w:val="BodyText"/>
        <w:spacing w:before="56" w:line="357" w:lineRule="auto"/>
        <w:ind w:left="136" w:right="914" w:firstLine="9"/>
        <w:jc w:val="both"/>
      </w:pPr>
      <w:r>
        <w:rPr>
          <w:noProof/>
        </w:rPr>
        <w:t>1016.</w:t>
      </w:r>
      <w:r w:rsidR="00033D0F">
        <w:rPr>
          <w:rFonts w:ascii="Times New Roman"/>
          <w:spacing w:val="80"/>
          <w:position w:val="1"/>
          <w:sz w:val="20"/>
        </w:rPr>
        <w:t xml:space="preserve"> </w:t>
      </w:r>
      <w:r w:rsidR="00033D0F">
        <w:rPr>
          <w:position w:val="1"/>
        </w:rPr>
        <w:t>Australia further requests, pursuant to Article</w:t>
      </w:r>
      <w:r w:rsidR="00033D0F">
        <w:rPr>
          <w:spacing w:val="-1"/>
          <w:position w:val="1"/>
        </w:rPr>
        <w:t xml:space="preserve"> </w:t>
      </w:r>
      <w:r w:rsidR="00033D0F">
        <w:rPr>
          <w:position w:val="1"/>
        </w:rPr>
        <w:t xml:space="preserve">19.1 of the DSU, that the Panel </w:t>
      </w:r>
      <w:r w:rsidR="00033D0F">
        <w:t>recommend to the DSB that it request China to bring its measures into conformity with its obligations under the Anti-Dumping Agreement and the GATT 1994.</w:t>
      </w:r>
    </w:p>
    <w:p w14:paraId="53C7A0E9" w14:textId="77777777" w:rsidR="00BD462C" w:rsidRDefault="00BD462C">
      <w:pPr>
        <w:spacing w:line="357" w:lineRule="auto"/>
        <w:jc w:val="both"/>
        <w:sectPr w:rsidR="00BD462C">
          <w:pgSz w:w="11910" w:h="16840"/>
          <w:pgMar w:top="860" w:right="500" w:bottom="780" w:left="1280" w:header="566" w:footer="590" w:gutter="0"/>
          <w:cols w:space="720"/>
        </w:sectPr>
      </w:pPr>
    </w:p>
    <w:p w14:paraId="2C74EAB4" w14:textId="77777777" w:rsidR="00BD462C" w:rsidRDefault="00033D0F">
      <w:pPr>
        <w:pStyle w:val="Heading3"/>
        <w:tabs>
          <w:tab w:val="left" w:pos="1551"/>
        </w:tabs>
        <w:spacing w:before="39"/>
        <w:ind w:left="135" w:firstLine="0"/>
        <w:jc w:val="left"/>
      </w:pPr>
      <w:bookmarkStart w:id="1976" w:name="ANNEX_A_Terms_of_reference"/>
      <w:bookmarkStart w:id="1977" w:name="_bookmark1704"/>
      <w:bookmarkEnd w:id="1976"/>
      <w:bookmarkEnd w:id="1977"/>
      <w:r>
        <w:lastRenderedPageBreak/>
        <w:t>ANNEX</w:t>
      </w:r>
      <w:r>
        <w:rPr>
          <w:spacing w:val="-4"/>
        </w:rPr>
        <w:t xml:space="preserve"> </w:t>
      </w:r>
      <w:r>
        <w:rPr>
          <w:spacing w:val="-10"/>
        </w:rPr>
        <w:t>A</w:t>
      </w:r>
      <w:r>
        <w:tab/>
        <w:t>Terms</w:t>
      </w:r>
      <w:r>
        <w:rPr>
          <w:spacing w:val="-1"/>
        </w:rPr>
        <w:t xml:space="preserve"> </w:t>
      </w:r>
      <w:r>
        <w:t xml:space="preserve">of </w:t>
      </w:r>
      <w:r>
        <w:rPr>
          <w:spacing w:val="-2"/>
        </w:rPr>
        <w:t>reference</w:t>
      </w:r>
    </w:p>
    <w:p w14:paraId="1C5CCFFD" w14:textId="77777777" w:rsidR="00BD462C" w:rsidRDefault="00BD462C">
      <w:pPr>
        <w:pStyle w:val="BodyText"/>
        <w:spacing w:before="11"/>
        <w:rPr>
          <w:b/>
          <w:sz w:val="20"/>
        </w:rPr>
      </w:pPr>
    </w:p>
    <w:p w14:paraId="2FA3D329" w14:textId="2227F19B" w:rsidR="00BD462C" w:rsidRDefault="00F03EFC">
      <w:pPr>
        <w:pStyle w:val="BodyText"/>
        <w:spacing w:before="56" w:line="357" w:lineRule="auto"/>
        <w:ind w:left="135" w:right="917" w:firstLine="9"/>
        <w:jc w:val="both"/>
      </w:pPr>
      <w:r>
        <w:rPr>
          <w:noProof/>
        </w:rPr>
        <w:t>1.</w:t>
      </w:r>
      <w:r w:rsidR="00033D0F">
        <w:rPr>
          <w:rFonts w:ascii="Times New Roman"/>
          <w:spacing w:val="80"/>
          <w:position w:val="1"/>
          <w:sz w:val="20"/>
        </w:rPr>
        <w:t xml:space="preserve"> </w:t>
      </w:r>
      <w:r w:rsidR="00033D0F">
        <w:rPr>
          <w:position w:val="1"/>
        </w:rPr>
        <w:t xml:space="preserve">China's attempts to delimit the Panel's terms of reference are without merit. This </w:t>
      </w:r>
      <w:r w:rsidR="00033D0F">
        <w:t>annexure addresses each of China's specific objections. For ease of reference, this annex is structured following the same outline as Australia's second written submission.</w:t>
      </w:r>
    </w:p>
    <w:p w14:paraId="3AE892DA" w14:textId="77777777" w:rsidR="00BD462C" w:rsidRDefault="00033D0F">
      <w:pPr>
        <w:pStyle w:val="ListParagraph"/>
        <w:numPr>
          <w:ilvl w:val="1"/>
          <w:numId w:val="5"/>
        </w:numPr>
        <w:tabs>
          <w:tab w:val="left" w:pos="985"/>
          <w:tab w:val="left" w:pos="986"/>
        </w:tabs>
        <w:spacing w:before="165"/>
        <w:ind w:hanging="851"/>
        <w:rPr>
          <w:b/>
          <w:sz w:val="19"/>
        </w:rPr>
      </w:pPr>
      <w:bookmarkStart w:id="1978" w:name="A.1_Dumping_determination"/>
      <w:bookmarkEnd w:id="1978"/>
      <w:r>
        <w:rPr>
          <w:b/>
          <w:sz w:val="24"/>
        </w:rPr>
        <w:t>D</w:t>
      </w:r>
      <w:r>
        <w:rPr>
          <w:b/>
          <w:sz w:val="19"/>
        </w:rPr>
        <w:t>UMPING</w:t>
      </w:r>
      <w:r>
        <w:rPr>
          <w:b/>
          <w:spacing w:val="1"/>
          <w:sz w:val="19"/>
        </w:rPr>
        <w:t xml:space="preserve"> </w:t>
      </w:r>
      <w:r>
        <w:rPr>
          <w:b/>
          <w:spacing w:val="-2"/>
          <w:sz w:val="19"/>
        </w:rPr>
        <w:t>DETERMINATION</w:t>
      </w:r>
    </w:p>
    <w:p w14:paraId="07568F90" w14:textId="77777777" w:rsidR="00BD462C" w:rsidRDefault="00BD462C">
      <w:pPr>
        <w:pStyle w:val="BodyText"/>
        <w:spacing w:before="2"/>
        <w:rPr>
          <w:b/>
          <w:sz w:val="25"/>
        </w:rPr>
      </w:pPr>
    </w:p>
    <w:p w14:paraId="1ECE3D0A" w14:textId="77777777" w:rsidR="00BD462C" w:rsidRDefault="00033D0F">
      <w:pPr>
        <w:pStyle w:val="Heading3"/>
        <w:numPr>
          <w:ilvl w:val="2"/>
          <w:numId w:val="5"/>
        </w:numPr>
        <w:tabs>
          <w:tab w:val="left" w:pos="1835"/>
          <w:tab w:val="left" w:pos="1836"/>
        </w:tabs>
        <w:spacing w:before="0" w:line="362" w:lineRule="auto"/>
        <w:ind w:right="917"/>
      </w:pPr>
      <w:bookmarkStart w:id="1979" w:name="A.1.1_Australia's_claims_pursuant_to_Art"/>
      <w:bookmarkEnd w:id="1979"/>
      <w:r>
        <w:t>Australia's</w:t>
      </w:r>
      <w:r>
        <w:rPr>
          <w:spacing w:val="40"/>
        </w:rPr>
        <w:t xml:space="preserve"> </w:t>
      </w:r>
      <w:r>
        <w:t>claims</w:t>
      </w:r>
      <w:r>
        <w:rPr>
          <w:spacing w:val="40"/>
        </w:rPr>
        <w:t xml:space="preserve"> </w:t>
      </w:r>
      <w:r>
        <w:t>pursuant</w:t>
      </w:r>
      <w:r>
        <w:rPr>
          <w:spacing w:val="40"/>
        </w:rPr>
        <w:t xml:space="preserve"> </w:t>
      </w:r>
      <w:r>
        <w:t>to</w:t>
      </w:r>
      <w:r>
        <w:rPr>
          <w:spacing w:val="40"/>
        </w:rPr>
        <w:t xml:space="preserve"> </w:t>
      </w:r>
      <w:r>
        <w:t>Article</w:t>
      </w:r>
      <w:r>
        <w:rPr>
          <w:spacing w:val="40"/>
        </w:rPr>
        <w:t xml:space="preserve"> </w:t>
      </w:r>
      <w:r>
        <w:t>6.8</w:t>
      </w:r>
      <w:r>
        <w:rPr>
          <w:spacing w:val="40"/>
        </w:rPr>
        <w:t xml:space="preserve"> </w:t>
      </w:r>
      <w:r>
        <w:t>and</w:t>
      </w:r>
      <w:r>
        <w:rPr>
          <w:spacing w:val="40"/>
        </w:rPr>
        <w:t xml:space="preserve"> </w:t>
      </w:r>
      <w:r>
        <w:t>Annex</w:t>
      </w:r>
      <w:r>
        <w:rPr>
          <w:spacing w:val="40"/>
        </w:rPr>
        <w:t xml:space="preserve"> </w:t>
      </w:r>
      <w:r>
        <w:t>II</w:t>
      </w:r>
      <w:r>
        <w:rPr>
          <w:spacing w:val="40"/>
        </w:rPr>
        <w:t xml:space="preserve"> </w:t>
      </w:r>
      <w:r>
        <w:t>are</w:t>
      </w:r>
      <w:r>
        <w:rPr>
          <w:spacing w:val="40"/>
        </w:rPr>
        <w:t xml:space="preserve"> </w:t>
      </w:r>
      <w:r>
        <w:t>within</w:t>
      </w:r>
      <w:r>
        <w:rPr>
          <w:spacing w:val="40"/>
        </w:rPr>
        <w:t xml:space="preserve"> </w:t>
      </w:r>
      <w:r>
        <w:t>the Panel's terms of reference.</w:t>
      </w:r>
    </w:p>
    <w:p w14:paraId="6908652C" w14:textId="3648A66C" w:rsidR="00BD462C" w:rsidRDefault="00F03EFC">
      <w:pPr>
        <w:pStyle w:val="BodyText"/>
        <w:spacing w:before="161" w:line="355" w:lineRule="auto"/>
        <w:ind w:left="136" w:right="911"/>
        <w:jc w:val="both"/>
      </w:pPr>
      <w:r>
        <w:rPr>
          <w:noProof/>
        </w:rPr>
        <w:t>2.</w:t>
      </w:r>
      <w:r w:rsidR="00033D0F">
        <w:rPr>
          <w:rFonts w:ascii="Times New Roman"/>
          <w:spacing w:val="80"/>
          <w:position w:val="1"/>
          <w:sz w:val="20"/>
        </w:rPr>
        <w:t xml:space="preserve">   </w:t>
      </w:r>
      <w:r w:rsidR="00033D0F">
        <w:rPr>
          <w:position w:val="1"/>
        </w:rPr>
        <w:t>China's</w:t>
      </w:r>
      <w:r w:rsidR="00033D0F">
        <w:rPr>
          <w:spacing w:val="40"/>
          <w:position w:val="1"/>
        </w:rPr>
        <w:t xml:space="preserve"> </w:t>
      </w:r>
      <w:r w:rsidR="00033D0F">
        <w:rPr>
          <w:position w:val="1"/>
        </w:rPr>
        <w:t>first</w:t>
      </w:r>
      <w:r w:rsidR="00033D0F">
        <w:rPr>
          <w:spacing w:val="40"/>
          <w:position w:val="1"/>
        </w:rPr>
        <w:t xml:space="preserve"> </w:t>
      </w:r>
      <w:r w:rsidR="00033D0F">
        <w:rPr>
          <w:position w:val="1"/>
        </w:rPr>
        <w:t>written</w:t>
      </w:r>
      <w:r w:rsidR="00033D0F">
        <w:rPr>
          <w:spacing w:val="40"/>
          <w:position w:val="1"/>
        </w:rPr>
        <w:t xml:space="preserve"> </w:t>
      </w:r>
      <w:r w:rsidR="00033D0F">
        <w:rPr>
          <w:position w:val="1"/>
        </w:rPr>
        <w:t>submission</w:t>
      </w:r>
      <w:r w:rsidR="00033D0F">
        <w:rPr>
          <w:spacing w:val="40"/>
          <w:position w:val="1"/>
        </w:rPr>
        <w:t xml:space="preserve"> </w:t>
      </w:r>
      <w:r w:rsidR="00033D0F">
        <w:rPr>
          <w:position w:val="1"/>
        </w:rPr>
        <w:t>repeats</w:t>
      </w:r>
      <w:r w:rsidR="00033D0F">
        <w:rPr>
          <w:spacing w:val="40"/>
          <w:position w:val="1"/>
        </w:rPr>
        <w:t xml:space="preserve"> </w:t>
      </w:r>
      <w:r w:rsidR="00033D0F">
        <w:rPr>
          <w:position w:val="1"/>
        </w:rPr>
        <w:t>the</w:t>
      </w:r>
      <w:r w:rsidR="00033D0F">
        <w:rPr>
          <w:spacing w:val="40"/>
          <w:position w:val="1"/>
        </w:rPr>
        <w:t xml:space="preserve"> </w:t>
      </w:r>
      <w:r w:rsidR="00033D0F">
        <w:rPr>
          <w:position w:val="1"/>
        </w:rPr>
        <w:t>allegations</w:t>
      </w:r>
      <w:r w:rsidR="00033D0F">
        <w:rPr>
          <w:spacing w:val="40"/>
          <w:position w:val="1"/>
        </w:rPr>
        <w:t xml:space="preserve"> </w:t>
      </w:r>
      <w:r w:rsidR="00033D0F">
        <w:rPr>
          <w:position w:val="1"/>
        </w:rPr>
        <w:t>it</w:t>
      </w:r>
      <w:r w:rsidR="00033D0F">
        <w:rPr>
          <w:spacing w:val="40"/>
          <w:position w:val="1"/>
        </w:rPr>
        <w:t xml:space="preserve"> </w:t>
      </w:r>
      <w:r w:rsidR="00033D0F">
        <w:rPr>
          <w:position w:val="1"/>
        </w:rPr>
        <w:t>makes</w:t>
      </w:r>
      <w:r w:rsidR="00033D0F">
        <w:rPr>
          <w:spacing w:val="40"/>
          <w:position w:val="1"/>
        </w:rPr>
        <w:t xml:space="preserve"> </w:t>
      </w:r>
      <w:r w:rsidR="00033D0F">
        <w:rPr>
          <w:position w:val="1"/>
        </w:rPr>
        <w:t>in</w:t>
      </w:r>
      <w:r w:rsidR="00033D0F">
        <w:rPr>
          <w:spacing w:val="40"/>
          <w:position w:val="1"/>
        </w:rPr>
        <w:t xml:space="preserve"> </w:t>
      </w:r>
      <w:r w:rsidR="00033D0F">
        <w:rPr>
          <w:position w:val="1"/>
        </w:rPr>
        <w:t>its</w:t>
      </w:r>
      <w:r w:rsidR="00033D0F">
        <w:rPr>
          <w:spacing w:val="40"/>
          <w:position w:val="1"/>
        </w:rPr>
        <w:t xml:space="preserve"> </w:t>
      </w:r>
      <w:r w:rsidR="00033D0F">
        <w:rPr>
          <w:position w:val="1"/>
        </w:rPr>
        <w:t>PRR.</w:t>
      </w:r>
      <w:hyperlink w:anchor="_bookmark1705" w:history="1">
        <w:r w:rsidR="00033D0F">
          <w:rPr>
            <w:position w:val="1"/>
            <w:vertAlign w:val="superscript"/>
          </w:rPr>
          <w:t>1483</w:t>
        </w:r>
      </w:hyperlink>
      <w:r w:rsidR="00033D0F">
        <w:rPr>
          <w:position w:val="1"/>
        </w:rPr>
        <w:t xml:space="preserve"> </w:t>
      </w:r>
      <w:r w:rsidR="00033D0F">
        <w:t>Australia</w:t>
      </w:r>
      <w:r w:rsidR="00033D0F">
        <w:rPr>
          <w:spacing w:val="-14"/>
        </w:rPr>
        <w:t xml:space="preserve"> </w:t>
      </w:r>
      <w:r w:rsidR="00033D0F">
        <w:t>has</w:t>
      </w:r>
      <w:r w:rsidR="00033D0F">
        <w:rPr>
          <w:spacing w:val="-14"/>
        </w:rPr>
        <w:t xml:space="preserve"> </w:t>
      </w:r>
      <w:r w:rsidR="00033D0F">
        <w:t>provided</w:t>
      </w:r>
      <w:r w:rsidR="00033D0F">
        <w:rPr>
          <w:spacing w:val="-13"/>
        </w:rPr>
        <w:t xml:space="preserve"> </w:t>
      </w:r>
      <w:r w:rsidR="00033D0F">
        <w:t>detailed</w:t>
      </w:r>
      <w:r w:rsidR="00033D0F">
        <w:rPr>
          <w:spacing w:val="-14"/>
        </w:rPr>
        <w:t xml:space="preserve"> </w:t>
      </w:r>
      <w:r w:rsidR="00033D0F">
        <w:t>responses</w:t>
      </w:r>
      <w:r w:rsidR="00033D0F">
        <w:rPr>
          <w:spacing w:val="-13"/>
        </w:rPr>
        <w:t xml:space="preserve"> </w:t>
      </w:r>
      <w:r w:rsidR="00033D0F">
        <w:t>to</w:t>
      </w:r>
      <w:r w:rsidR="00033D0F">
        <w:rPr>
          <w:spacing w:val="-14"/>
        </w:rPr>
        <w:t xml:space="preserve"> </w:t>
      </w:r>
      <w:r w:rsidR="00033D0F">
        <w:t>these</w:t>
      </w:r>
      <w:r w:rsidR="00033D0F">
        <w:rPr>
          <w:spacing w:val="-13"/>
        </w:rPr>
        <w:t xml:space="preserve"> </w:t>
      </w:r>
      <w:r w:rsidR="00033D0F">
        <w:t>allegations</w:t>
      </w:r>
      <w:r w:rsidR="00033D0F">
        <w:rPr>
          <w:spacing w:val="-14"/>
        </w:rPr>
        <w:t xml:space="preserve"> </w:t>
      </w:r>
      <w:r w:rsidR="00033D0F">
        <w:t>and</w:t>
      </w:r>
      <w:r w:rsidR="00033D0F">
        <w:rPr>
          <w:spacing w:val="-14"/>
        </w:rPr>
        <w:t xml:space="preserve"> </w:t>
      </w:r>
      <w:r w:rsidR="00033D0F">
        <w:t>demonstrated</w:t>
      </w:r>
      <w:r w:rsidR="00033D0F">
        <w:rPr>
          <w:spacing w:val="-13"/>
        </w:rPr>
        <w:t xml:space="preserve"> </w:t>
      </w:r>
      <w:r w:rsidR="00033D0F">
        <w:t>that</w:t>
      </w:r>
      <w:r w:rsidR="00033D0F">
        <w:rPr>
          <w:spacing w:val="-14"/>
        </w:rPr>
        <w:t xml:space="preserve"> </w:t>
      </w:r>
      <w:r w:rsidR="00033D0F">
        <w:t>its</w:t>
      </w:r>
      <w:r w:rsidR="00033D0F">
        <w:rPr>
          <w:spacing w:val="-13"/>
        </w:rPr>
        <w:t xml:space="preserve"> </w:t>
      </w:r>
      <w:r w:rsidR="00033D0F">
        <w:t>claim was</w:t>
      </w:r>
      <w:r w:rsidR="00033D0F">
        <w:rPr>
          <w:spacing w:val="-6"/>
        </w:rPr>
        <w:t xml:space="preserve"> </w:t>
      </w:r>
      <w:r w:rsidR="00033D0F">
        <w:t>sufficiently</w:t>
      </w:r>
      <w:r w:rsidR="00033D0F">
        <w:rPr>
          <w:spacing w:val="-6"/>
        </w:rPr>
        <w:t xml:space="preserve"> </w:t>
      </w:r>
      <w:r w:rsidR="00033D0F">
        <w:t>clear</w:t>
      </w:r>
      <w:r w:rsidR="00033D0F">
        <w:rPr>
          <w:spacing w:val="-10"/>
        </w:rPr>
        <w:t xml:space="preserve"> </w:t>
      </w:r>
      <w:r w:rsidR="00033D0F">
        <w:t>on</w:t>
      </w:r>
      <w:r w:rsidR="00033D0F">
        <w:rPr>
          <w:spacing w:val="-9"/>
        </w:rPr>
        <w:t xml:space="preserve"> </w:t>
      </w:r>
      <w:r w:rsidR="00033D0F">
        <w:t>the</w:t>
      </w:r>
      <w:r w:rsidR="00033D0F">
        <w:rPr>
          <w:spacing w:val="-3"/>
        </w:rPr>
        <w:t xml:space="preserve"> </w:t>
      </w:r>
      <w:r w:rsidR="00033D0F">
        <w:t>face</w:t>
      </w:r>
      <w:r w:rsidR="00033D0F">
        <w:rPr>
          <w:spacing w:val="-7"/>
        </w:rPr>
        <w:t xml:space="preserve"> </w:t>
      </w:r>
      <w:r w:rsidR="00033D0F">
        <w:t>of</w:t>
      </w:r>
      <w:r w:rsidR="00033D0F">
        <w:rPr>
          <w:spacing w:val="-9"/>
        </w:rPr>
        <w:t xml:space="preserve"> </w:t>
      </w:r>
      <w:r w:rsidR="00033D0F">
        <w:t>the</w:t>
      </w:r>
      <w:r w:rsidR="00033D0F">
        <w:rPr>
          <w:spacing w:val="-3"/>
        </w:rPr>
        <w:t xml:space="preserve"> </w:t>
      </w:r>
      <w:r w:rsidR="00033D0F">
        <w:t>panel</w:t>
      </w:r>
      <w:r w:rsidR="00033D0F">
        <w:rPr>
          <w:spacing w:val="-5"/>
        </w:rPr>
        <w:t xml:space="preserve"> </w:t>
      </w:r>
      <w:r w:rsidR="00033D0F">
        <w:t>request,</w:t>
      </w:r>
      <w:r w:rsidR="00033D0F">
        <w:rPr>
          <w:spacing w:val="-5"/>
        </w:rPr>
        <w:t xml:space="preserve"> </w:t>
      </w:r>
      <w:r w:rsidR="00033D0F">
        <w:t>considering</w:t>
      </w:r>
      <w:r w:rsidR="00033D0F">
        <w:rPr>
          <w:spacing w:val="-6"/>
        </w:rPr>
        <w:t xml:space="preserve"> </w:t>
      </w:r>
      <w:r w:rsidR="00033D0F">
        <w:t>the</w:t>
      </w:r>
      <w:r w:rsidR="00033D0F">
        <w:rPr>
          <w:spacing w:val="-7"/>
        </w:rPr>
        <w:t xml:space="preserve"> </w:t>
      </w:r>
      <w:r w:rsidR="00033D0F">
        <w:t>nature</w:t>
      </w:r>
      <w:r w:rsidR="00033D0F">
        <w:rPr>
          <w:spacing w:val="-7"/>
        </w:rPr>
        <w:t xml:space="preserve"> </w:t>
      </w:r>
      <w:r w:rsidR="00033D0F">
        <w:t>of</w:t>
      </w:r>
      <w:r w:rsidR="00033D0F">
        <w:rPr>
          <w:spacing w:val="-4"/>
        </w:rPr>
        <w:t xml:space="preserve"> </w:t>
      </w:r>
      <w:r w:rsidR="00033D0F">
        <w:t>the</w:t>
      </w:r>
      <w:r w:rsidR="00033D0F">
        <w:rPr>
          <w:spacing w:val="-7"/>
        </w:rPr>
        <w:t xml:space="preserve"> </w:t>
      </w:r>
      <w:r w:rsidR="00033D0F">
        <w:t>provision and measure at issue.</w:t>
      </w:r>
      <w:hyperlink w:anchor="_bookmark1706" w:history="1">
        <w:r w:rsidR="00033D0F">
          <w:rPr>
            <w:vertAlign w:val="superscript"/>
          </w:rPr>
          <w:t>1484</w:t>
        </w:r>
      </w:hyperlink>
      <w:r w:rsidR="00033D0F">
        <w:t xml:space="preserve"> Australia stands on these submissions.</w:t>
      </w:r>
    </w:p>
    <w:p w14:paraId="021E4033" w14:textId="77777777" w:rsidR="00BD462C" w:rsidRDefault="00BD462C">
      <w:pPr>
        <w:pStyle w:val="BodyText"/>
        <w:spacing w:before="5"/>
        <w:rPr>
          <w:sz w:val="9"/>
        </w:rPr>
      </w:pPr>
    </w:p>
    <w:p w14:paraId="5D9197A1" w14:textId="57186638" w:rsidR="00BD462C" w:rsidRDefault="00F03EFC">
      <w:pPr>
        <w:pStyle w:val="BodyText"/>
        <w:spacing w:before="56" w:line="360" w:lineRule="auto"/>
        <w:ind w:left="135" w:right="911"/>
        <w:jc w:val="both"/>
      </w:pPr>
      <w:r>
        <w:rPr>
          <w:noProof/>
        </w:rPr>
        <w:t>3.</w:t>
      </w:r>
      <w:r w:rsidR="00033D0F">
        <w:rPr>
          <w:rFonts w:ascii="Times New Roman"/>
          <w:spacing w:val="80"/>
          <w:position w:val="1"/>
          <w:sz w:val="20"/>
        </w:rPr>
        <w:t xml:space="preserve">   </w:t>
      </w:r>
      <w:r w:rsidR="00033D0F">
        <w:rPr>
          <w:position w:val="1"/>
        </w:rPr>
        <w:t>In its first written submission, China raises a new objection to Australia's claim</w:t>
      </w:r>
      <w:r w:rsidR="00033D0F">
        <w:rPr>
          <w:spacing w:val="40"/>
          <w:position w:val="1"/>
        </w:rPr>
        <w:t xml:space="preserve"> </w:t>
      </w:r>
      <w:r w:rsidR="00033D0F">
        <w:t>pursuant to Article 6.8 and Annex II: China alleges that Australia should have elaborated on each instance of recourse to facts available that it alleged to be inconsistent with Article 6.8 and Annex II.</w:t>
      </w:r>
      <w:hyperlink w:anchor="_bookmark1707" w:history="1">
        <w:r w:rsidR="00033D0F">
          <w:rPr>
            <w:vertAlign w:val="superscript"/>
          </w:rPr>
          <w:t>1485</w:t>
        </w:r>
      </w:hyperlink>
      <w:r w:rsidR="00033D0F">
        <w:t xml:space="preserve"> Australia makes two points in response.</w:t>
      </w:r>
    </w:p>
    <w:p w14:paraId="3572D0AF" w14:textId="77777777" w:rsidR="00BD462C" w:rsidRDefault="00BD462C">
      <w:pPr>
        <w:pStyle w:val="BodyText"/>
        <w:spacing w:before="8"/>
        <w:rPr>
          <w:sz w:val="8"/>
        </w:rPr>
      </w:pPr>
    </w:p>
    <w:p w14:paraId="10BCA836" w14:textId="51ED91EB" w:rsidR="00BD462C" w:rsidRDefault="00F03EFC">
      <w:pPr>
        <w:pStyle w:val="BodyText"/>
        <w:spacing w:before="56" w:line="360" w:lineRule="auto"/>
        <w:ind w:left="135" w:right="911" w:hanging="5"/>
        <w:jc w:val="both"/>
      </w:pPr>
      <w:r>
        <w:rPr>
          <w:noProof/>
        </w:rPr>
        <w:t>4.</w:t>
      </w:r>
      <w:r w:rsidR="00033D0F">
        <w:rPr>
          <w:rFonts w:ascii="Times New Roman"/>
          <w:spacing w:val="80"/>
          <w:position w:val="1"/>
          <w:sz w:val="20"/>
        </w:rPr>
        <w:t xml:space="preserve">    </w:t>
      </w:r>
      <w:r w:rsidR="00033D0F">
        <w:rPr>
          <w:position w:val="1"/>
        </w:rPr>
        <w:t>Australia first observes that, under paragraph 1 of Annex II, certain issues could not</w:t>
      </w:r>
      <w:r w:rsidR="00033D0F">
        <w:rPr>
          <w:spacing w:val="40"/>
          <w:position w:val="1"/>
        </w:rPr>
        <w:t xml:space="preserve"> </w:t>
      </w:r>
      <w:r w:rsidR="00033D0F">
        <w:t>be articulated in the level of detail that China demands prior to receiving its submissions. As Japan notes, this "occurs because paragraph 1 of Annex II is a claim regarding transparency and a complainant may not have sufficient information at hand when initially framing its claim".</w:t>
      </w:r>
      <w:hyperlink w:anchor="_bookmark1708" w:history="1">
        <w:r w:rsidR="00033D0F">
          <w:rPr>
            <w:vertAlign w:val="superscript"/>
          </w:rPr>
          <w:t>1486</w:t>
        </w:r>
      </w:hyperlink>
      <w:r w:rsidR="00033D0F">
        <w:t xml:space="preserve"> Not only is China's demand impossible to meet, but this information asymmetry also demonstrates that the arguments in support of such a claim will reasonably and necessarily develop over the course of the dispute.</w:t>
      </w:r>
    </w:p>
    <w:p w14:paraId="308DE2E7" w14:textId="77777777" w:rsidR="00BD462C" w:rsidRDefault="00BD462C">
      <w:pPr>
        <w:pStyle w:val="BodyText"/>
        <w:spacing w:before="6"/>
        <w:rPr>
          <w:sz w:val="8"/>
        </w:rPr>
      </w:pPr>
    </w:p>
    <w:p w14:paraId="4E46961A" w14:textId="77402BEF" w:rsidR="00BD462C" w:rsidRDefault="006E6DEA">
      <w:pPr>
        <w:pStyle w:val="BodyText"/>
        <w:spacing w:before="56" w:line="360" w:lineRule="auto"/>
        <w:ind w:left="135" w:right="910"/>
        <w:jc w:val="both"/>
      </w:pPr>
      <w:r>
        <w:rPr>
          <w:noProof/>
        </w:rPr>
        <mc:AlternateContent>
          <mc:Choice Requires="wps">
            <w:drawing>
              <wp:anchor distT="0" distB="0" distL="0" distR="0" simplePos="0" relativeHeight="488120832" behindDoc="1" locked="0" layoutInCell="1" allowOverlap="1" wp14:anchorId="3EA3FA2D" wp14:editId="77AB9582">
                <wp:simplePos x="0" y="0"/>
                <wp:positionH relativeFrom="page">
                  <wp:posOffset>812800</wp:posOffset>
                </wp:positionH>
                <wp:positionV relativeFrom="paragraph">
                  <wp:posOffset>1282065</wp:posOffset>
                </wp:positionV>
                <wp:extent cx="1828800" cy="8890"/>
                <wp:effectExtent l="0" t="0" r="0" b="0"/>
                <wp:wrapTopAndBottom/>
                <wp:docPr id="93" name="docshape7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94E9F2" id="docshape705" o:spid="_x0000_s1026" alt="&quot;&quot;" style="position:absolute;margin-left:64pt;margin-top:100.95pt;width:2in;height:.7pt;z-index:-15195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" fillcolor="black" stroked="f">
                <w10:wrap type="topAndBottom" anchorx="page"/>
              </v:rect>
            </w:pict>
          </mc:Fallback>
        </mc:AlternateContent>
      </w:r>
      <w:r w:rsidR="00F03EFC">
        <w:rPr>
          <w:noProof/>
        </w:rPr>
        <w:t>5.</w:t>
      </w:r>
      <w:r w:rsidR="00033D0F">
        <w:rPr>
          <w:rFonts w:ascii="Times New Roman"/>
          <w:spacing w:val="80"/>
          <w:w w:val="150"/>
          <w:position w:val="1"/>
          <w:sz w:val="20"/>
        </w:rPr>
        <w:t xml:space="preserve">  </w:t>
      </w:r>
      <w:r w:rsidR="00033D0F">
        <w:rPr>
          <w:position w:val="1"/>
        </w:rPr>
        <w:t>Secondly,</w:t>
      </w:r>
      <w:r w:rsidR="00033D0F">
        <w:rPr>
          <w:spacing w:val="-5"/>
          <w:position w:val="1"/>
        </w:rPr>
        <w:t xml:space="preserve"> </w:t>
      </w:r>
      <w:r w:rsidR="00033D0F">
        <w:rPr>
          <w:position w:val="1"/>
        </w:rPr>
        <w:t>as</w:t>
      </w:r>
      <w:r w:rsidR="00033D0F">
        <w:rPr>
          <w:spacing w:val="-6"/>
          <w:position w:val="1"/>
        </w:rPr>
        <w:t xml:space="preserve"> </w:t>
      </w:r>
      <w:r w:rsidR="00033D0F">
        <w:rPr>
          <w:position w:val="1"/>
        </w:rPr>
        <w:t>detailed</w:t>
      </w:r>
      <w:r w:rsidR="00033D0F">
        <w:rPr>
          <w:spacing w:val="-9"/>
          <w:position w:val="1"/>
        </w:rPr>
        <w:t xml:space="preserve"> </w:t>
      </w:r>
      <w:r w:rsidR="00033D0F">
        <w:rPr>
          <w:position w:val="1"/>
        </w:rPr>
        <w:t>above,</w:t>
      </w:r>
      <w:r w:rsidR="00033D0F">
        <w:rPr>
          <w:spacing w:val="-5"/>
          <w:position w:val="1"/>
        </w:rPr>
        <w:t xml:space="preserve"> </w:t>
      </w:r>
      <w:r w:rsidR="00033D0F">
        <w:rPr>
          <w:position w:val="1"/>
        </w:rPr>
        <w:t>Australia's</w:t>
      </w:r>
      <w:r w:rsidR="00033D0F">
        <w:rPr>
          <w:spacing w:val="-6"/>
          <w:position w:val="1"/>
        </w:rPr>
        <w:t xml:space="preserve"> </w:t>
      </w:r>
      <w:r w:rsidR="00033D0F">
        <w:rPr>
          <w:position w:val="1"/>
        </w:rPr>
        <w:t>allegations</w:t>
      </w:r>
      <w:r w:rsidR="00033D0F">
        <w:rPr>
          <w:spacing w:val="-10"/>
          <w:position w:val="1"/>
        </w:rPr>
        <w:t xml:space="preserve"> </w:t>
      </w:r>
      <w:r w:rsidR="00033D0F">
        <w:rPr>
          <w:position w:val="1"/>
        </w:rPr>
        <w:t>with</w:t>
      </w:r>
      <w:r w:rsidR="00033D0F">
        <w:rPr>
          <w:spacing w:val="-9"/>
          <w:position w:val="1"/>
        </w:rPr>
        <w:t xml:space="preserve"> </w:t>
      </w:r>
      <w:r w:rsidR="00033D0F">
        <w:rPr>
          <w:position w:val="1"/>
        </w:rPr>
        <w:t>respect</w:t>
      </w:r>
      <w:r w:rsidR="00033D0F">
        <w:rPr>
          <w:spacing w:val="-7"/>
          <w:position w:val="1"/>
        </w:rPr>
        <w:t xml:space="preserve"> </w:t>
      </w:r>
      <w:r w:rsidR="00033D0F">
        <w:rPr>
          <w:position w:val="1"/>
        </w:rPr>
        <w:t>to</w:t>
      </w:r>
      <w:r w:rsidR="00033D0F">
        <w:rPr>
          <w:spacing w:val="-10"/>
          <w:position w:val="1"/>
        </w:rPr>
        <w:t xml:space="preserve"> </w:t>
      </w:r>
      <w:r w:rsidR="00033D0F">
        <w:rPr>
          <w:position w:val="1"/>
        </w:rPr>
        <w:t>these</w:t>
      </w:r>
      <w:r w:rsidR="00033D0F">
        <w:rPr>
          <w:spacing w:val="-7"/>
          <w:position w:val="1"/>
        </w:rPr>
        <w:t xml:space="preserve"> </w:t>
      </w:r>
      <w:r w:rsidR="00033D0F">
        <w:rPr>
          <w:position w:val="1"/>
        </w:rPr>
        <w:t>instances</w:t>
      </w:r>
      <w:r w:rsidR="00033D0F">
        <w:rPr>
          <w:spacing w:val="-5"/>
          <w:position w:val="1"/>
        </w:rPr>
        <w:t xml:space="preserve"> </w:t>
      </w:r>
      <w:r w:rsidR="00033D0F">
        <w:rPr>
          <w:position w:val="1"/>
        </w:rPr>
        <w:t xml:space="preserve">of </w:t>
      </w:r>
      <w:r w:rsidR="00033D0F">
        <w:t>inconsistency are properly considered</w:t>
      </w:r>
      <w:r w:rsidR="00033D0F">
        <w:rPr>
          <w:spacing w:val="-1"/>
        </w:rPr>
        <w:t xml:space="preserve"> </w:t>
      </w:r>
      <w:r w:rsidR="00033D0F">
        <w:t>arguments,</w:t>
      </w:r>
      <w:r w:rsidR="00033D0F">
        <w:rPr>
          <w:spacing w:val="-1"/>
        </w:rPr>
        <w:t xml:space="preserve"> </w:t>
      </w:r>
      <w:r w:rsidR="00033D0F">
        <w:t>not claims.</w:t>
      </w:r>
      <w:hyperlink w:anchor="_bookmark1709" w:history="1">
        <w:r w:rsidR="00033D0F">
          <w:rPr>
            <w:vertAlign w:val="superscript"/>
          </w:rPr>
          <w:t>1487</w:t>
        </w:r>
      </w:hyperlink>
      <w:r w:rsidR="00033D0F">
        <w:t xml:space="preserve"> China's assertion</w:t>
      </w:r>
      <w:r w:rsidR="00033D0F">
        <w:rPr>
          <w:spacing w:val="-1"/>
        </w:rPr>
        <w:t xml:space="preserve"> </w:t>
      </w:r>
      <w:r w:rsidR="00033D0F">
        <w:t>otherwise demonstrates its misinterpretation of the standard under Article 6.2 of the DSU. China's incorrect interpretation of an obligation to explain "how or why" a measure is infringed in a</w:t>
      </w:r>
    </w:p>
    <w:p w14:paraId="04F949A7" w14:textId="15430521" w:rsidR="00BD462C" w:rsidRDefault="00BD462C">
      <w:pPr>
        <w:pStyle w:val="BodyText"/>
        <w:spacing w:before="8"/>
        <w:rPr>
          <w:sz w:val="16"/>
        </w:rPr>
      </w:pPr>
    </w:p>
    <w:p w14:paraId="6A8B35DA" w14:textId="77777777" w:rsidR="00BD462C" w:rsidRDefault="00033D0F">
      <w:pPr>
        <w:spacing w:before="107"/>
        <w:ind w:left="135"/>
        <w:rPr>
          <w:sz w:val="18"/>
        </w:rPr>
      </w:pPr>
      <w:bookmarkStart w:id="1980" w:name="_bookmark1705"/>
      <w:bookmarkEnd w:id="1980"/>
      <w:r>
        <w:rPr>
          <w:position w:val="5"/>
          <w:sz w:val="12"/>
        </w:rPr>
        <w:t>1483</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paras.</w:t>
      </w:r>
      <w:r>
        <w:rPr>
          <w:spacing w:val="-5"/>
          <w:sz w:val="18"/>
        </w:rPr>
        <w:t xml:space="preserve"> </w:t>
      </w:r>
      <w:r>
        <w:rPr>
          <w:sz w:val="18"/>
        </w:rPr>
        <w:t>45,</w:t>
      </w:r>
      <w:r>
        <w:rPr>
          <w:spacing w:val="-4"/>
          <w:sz w:val="18"/>
        </w:rPr>
        <w:t xml:space="preserve"> </w:t>
      </w:r>
      <w:r>
        <w:rPr>
          <w:sz w:val="18"/>
        </w:rPr>
        <w:t>101-107,</w:t>
      </w:r>
      <w:r>
        <w:rPr>
          <w:spacing w:val="-4"/>
          <w:sz w:val="18"/>
        </w:rPr>
        <w:t xml:space="preserve"> </w:t>
      </w:r>
      <w:r>
        <w:rPr>
          <w:sz w:val="18"/>
        </w:rPr>
        <w:t>and</w:t>
      </w:r>
      <w:r>
        <w:rPr>
          <w:spacing w:val="-6"/>
          <w:sz w:val="18"/>
        </w:rPr>
        <w:t xml:space="preserve"> </w:t>
      </w:r>
      <w:r>
        <w:rPr>
          <w:sz w:val="18"/>
        </w:rPr>
        <w:t>131;</w:t>
      </w:r>
      <w:r>
        <w:rPr>
          <w:spacing w:val="-3"/>
          <w:sz w:val="18"/>
        </w:rPr>
        <w:t xml:space="preserve"> </w:t>
      </w:r>
      <w:r>
        <w:rPr>
          <w:sz w:val="18"/>
        </w:rPr>
        <w:t>China's</w:t>
      </w:r>
      <w:r>
        <w:rPr>
          <w:spacing w:val="-1"/>
          <w:sz w:val="18"/>
        </w:rPr>
        <w:t xml:space="preserve"> </w:t>
      </w:r>
      <w:r>
        <w:rPr>
          <w:sz w:val="18"/>
        </w:rPr>
        <w:t>PRR,</w:t>
      </w:r>
      <w:r>
        <w:rPr>
          <w:spacing w:val="-4"/>
          <w:sz w:val="18"/>
        </w:rPr>
        <w:t xml:space="preserve"> </w:t>
      </w:r>
      <w:r>
        <w:rPr>
          <w:sz w:val="18"/>
        </w:rPr>
        <w:t xml:space="preserve">para. </w:t>
      </w:r>
      <w:r>
        <w:rPr>
          <w:spacing w:val="-5"/>
          <w:sz w:val="18"/>
        </w:rPr>
        <w:t>48.</w:t>
      </w:r>
    </w:p>
    <w:p w14:paraId="799DD025" w14:textId="77777777" w:rsidR="00BD462C" w:rsidRDefault="00033D0F">
      <w:pPr>
        <w:spacing w:before="1"/>
        <w:ind w:left="135"/>
        <w:rPr>
          <w:sz w:val="18"/>
        </w:rPr>
      </w:pPr>
      <w:bookmarkStart w:id="1981" w:name="_bookmark1706"/>
      <w:bookmarkEnd w:id="1981"/>
      <w:r>
        <w:rPr>
          <w:position w:val="5"/>
          <w:sz w:val="12"/>
        </w:rPr>
        <w:t>1484</w:t>
      </w:r>
      <w:r>
        <w:rPr>
          <w:spacing w:val="13"/>
          <w:position w:val="5"/>
          <w:sz w:val="12"/>
        </w:rPr>
        <w:t xml:space="preserve"> </w:t>
      </w:r>
      <w:r>
        <w:rPr>
          <w:sz w:val="18"/>
        </w:rPr>
        <w:t>Australia's response</w:t>
      </w:r>
      <w:r>
        <w:rPr>
          <w:spacing w:val="-4"/>
          <w:sz w:val="18"/>
        </w:rPr>
        <w:t xml:space="preserve"> </w:t>
      </w:r>
      <w:r>
        <w:rPr>
          <w:sz w:val="18"/>
        </w:rPr>
        <w:t>to</w:t>
      </w:r>
      <w:r>
        <w:rPr>
          <w:spacing w:val="-1"/>
          <w:sz w:val="18"/>
        </w:rPr>
        <w:t xml:space="preserve"> </w:t>
      </w:r>
      <w:r>
        <w:rPr>
          <w:sz w:val="18"/>
        </w:rPr>
        <w:t>China's</w:t>
      </w:r>
      <w:r>
        <w:rPr>
          <w:spacing w:val="-5"/>
          <w:sz w:val="18"/>
        </w:rPr>
        <w:t xml:space="preserve"> </w:t>
      </w:r>
      <w:r>
        <w:rPr>
          <w:sz w:val="18"/>
        </w:rPr>
        <w:t>PRR,</w:t>
      </w:r>
      <w:r>
        <w:rPr>
          <w:spacing w:val="-3"/>
          <w:sz w:val="18"/>
        </w:rPr>
        <w:t xml:space="preserve"> </w:t>
      </w:r>
      <w:r>
        <w:rPr>
          <w:sz w:val="18"/>
        </w:rPr>
        <w:t>paras.</w:t>
      </w:r>
      <w:r>
        <w:rPr>
          <w:spacing w:val="-4"/>
          <w:sz w:val="18"/>
        </w:rPr>
        <w:t xml:space="preserve"> </w:t>
      </w:r>
      <w:r>
        <w:rPr>
          <w:sz w:val="18"/>
        </w:rPr>
        <w:t>127-142;</w:t>
      </w:r>
      <w:r>
        <w:rPr>
          <w:spacing w:val="-7"/>
          <w:sz w:val="18"/>
        </w:rPr>
        <w:t xml:space="preserve"> </w:t>
      </w:r>
      <w:r>
        <w:rPr>
          <w:sz w:val="18"/>
        </w:rPr>
        <w:t>see</w:t>
      </w:r>
      <w:r>
        <w:rPr>
          <w:spacing w:val="-1"/>
          <w:sz w:val="18"/>
        </w:rPr>
        <w:t xml:space="preserve"> </w:t>
      </w:r>
      <w:r>
        <w:rPr>
          <w:sz w:val="18"/>
        </w:rPr>
        <w:t>above</w:t>
      </w:r>
      <w:r>
        <w:rPr>
          <w:spacing w:val="-4"/>
          <w:sz w:val="18"/>
        </w:rPr>
        <w:t xml:space="preserve"> </w:t>
      </w:r>
      <w:r>
        <w:rPr>
          <w:sz w:val="18"/>
        </w:rPr>
        <w:t>section</w:t>
      </w:r>
      <w:r>
        <w:rPr>
          <w:spacing w:val="-6"/>
          <w:sz w:val="18"/>
        </w:rPr>
        <w:t xml:space="preserve"> </w:t>
      </w:r>
      <w:hyperlink w:anchor="_bookmark8" w:history="1">
        <w:r>
          <w:rPr>
            <w:spacing w:val="-2"/>
            <w:sz w:val="18"/>
          </w:rPr>
          <w:t>II.A.1(a).</w:t>
        </w:r>
      </w:hyperlink>
    </w:p>
    <w:p w14:paraId="3647277C" w14:textId="77777777" w:rsidR="00BD462C" w:rsidRDefault="00033D0F">
      <w:pPr>
        <w:spacing w:before="1"/>
        <w:ind w:left="135"/>
        <w:rPr>
          <w:sz w:val="18"/>
        </w:rPr>
      </w:pPr>
      <w:bookmarkStart w:id="1982" w:name="_bookmark1707"/>
      <w:bookmarkEnd w:id="1982"/>
      <w:r>
        <w:rPr>
          <w:position w:val="5"/>
          <w:sz w:val="12"/>
        </w:rPr>
        <w:t>1485</w:t>
      </w:r>
      <w:r>
        <w:rPr>
          <w:spacing w:val="13"/>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w:t>
      </w:r>
      <w:r>
        <w:rPr>
          <w:spacing w:val="-6"/>
          <w:sz w:val="18"/>
        </w:rPr>
        <w:t xml:space="preserve"> </w:t>
      </w:r>
      <w:r>
        <w:rPr>
          <w:sz w:val="18"/>
        </w:rPr>
        <w:t>paras.</w:t>
      </w:r>
      <w:r>
        <w:rPr>
          <w:spacing w:val="1"/>
          <w:sz w:val="18"/>
        </w:rPr>
        <w:t xml:space="preserve"> </w:t>
      </w:r>
      <w:r>
        <w:rPr>
          <w:sz w:val="18"/>
        </w:rPr>
        <w:t>101,</w:t>
      </w:r>
      <w:r>
        <w:rPr>
          <w:spacing w:val="1"/>
          <w:sz w:val="18"/>
        </w:rPr>
        <w:t xml:space="preserve"> </w:t>
      </w:r>
      <w:r>
        <w:rPr>
          <w:sz w:val="18"/>
        </w:rPr>
        <w:t>131;</w:t>
      </w:r>
      <w:r>
        <w:rPr>
          <w:spacing w:val="-7"/>
          <w:sz w:val="18"/>
        </w:rPr>
        <w:t xml:space="preserve"> </w:t>
      </w:r>
      <w:r>
        <w:rPr>
          <w:sz w:val="18"/>
        </w:rPr>
        <w:t>see</w:t>
      </w:r>
      <w:r>
        <w:rPr>
          <w:spacing w:val="-1"/>
          <w:sz w:val="18"/>
        </w:rPr>
        <w:t xml:space="preserve"> </w:t>
      </w:r>
      <w:r>
        <w:rPr>
          <w:sz w:val="18"/>
        </w:rPr>
        <w:t>above</w:t>
      </w:r>
      <w:r>
        <w:rPr>
          <w:spacing w:val="-6"/>
          <w:sz w:val="18"/>
        </w:rPr>
        <w:t xml:space="preserve"> </w:t>
      </w:r>
      <w:r>
        <w:rPr>
          <w:sz w:val="18"/>
        </w:rPr>
        <w:t>section</w:t>
      </w:r>
      <w:r>
        <w:rPr>
          <w:spacing w:val="-6"/>
          <w:sz w:val="18"/>
        </w:rPr>
        <w:t xml:space="preserve"> </w:t>
      </w:r>
      <w:hyperlink w:anchor="_bookmark38" w:history="1">
        <w:r>
          <w:rPr>
            <w:spacing w:val="-5"/>
            <w:sz w:val="18"/>
          </w:rPr>
          <w:t>24.</w:t>
        </w:r>
      </w:hyperlink>
    </w:p>
    <w:p w14:paraId="62C28641" w14:textId="77777777" w:rsidR="00BD462C" w:rsidRDefault="00033D0F">
      <w:pPr>
        <w:spacing w:before="1"/>
        <w:ind w:left="135"/>
        <w:rPr>
          <w:sz w:val="18"/>
        </w:rPr>
      </w:pPr>
      <w:bookmarkStart w:id="1983" w:name="_bookmark1708"/>
      <w:bookmarkEnd w:id="1983"/>
      <w:r>
        <w:rPr>
          <w:position w:val="5"/>
          <w:sz w:val="12"/>
        </w:rPr>
        <w:t>1486</w:t>
      </w:r>
      <w:r>
        <w:rPr>
          <w:spacing w:val="15"/>
          <w:position w:val="5"/>
          <w:sz w:val="12"/>
        </w:rPr>
        <w:t xml:space="preserve"> </w:t>
      </w:r>
      <w:r>
        <w:rPr>
          <w:sz w:val="18"/>
        </w:rPr>
        <w:t>Japan's</w:t>
      </w:r>
      <w:r>
        <w:rPr>
          <w:spacing w:val="-4"/>
          <w:sz w:val="18"/>
        </w:rPr>
        <w:t xml:space="preserve"> </w:t>
      </w:r>
      <w:r>
        <w:rPr>
          <w:sz w:val="18"/>
        </w:rPr>
        <w:t>response</w:t>
      </w:r>
      <w:r>
        <w:rPr>
          <w:spacing w:val="-3"/>
          <w:sz w:val="18"/>
        </w:rPr>
        <w:t xml:space="preserve"> </w:t>
      </w:r>
      <w:r>
        <w:rPr>
          <w:sz w:val="18"/>
        </w:rPr>
        <w:t>to</w:t>
      </w:r>
      <w:r>
        <w:rPr>
          <w:spacing w:val="-5"/>
          <w:sz w:val="18"/>
        </w:rPr>
        <w:t xml:space="preserve"> </w:t>
      </w:r>
      <w:r>
        <w:rPr>
          <w:sz w:val="18"/>
        </w:rPr>
        <w:t>Panel</w:t>
      </w:r>
      <w:r>
        <w:rPr>
          <w:spacing w:val="-2"/>
          <w:sz w:val="18"/>
        </w:rPr>
        <w:t xml:space="preserve"> </w:t>
      </w:r>
      <w:r>
        <w:rPr>
          <w:sz w:val="18"/>
        </w:rPr>
        <w:t>question</w:t>
      </w:r>
      <w:r>
        <w:rPr>
          <w:spacing w:val="-5"/>
          <w:sz w:val="18"/>
        </w:rPr>
        <w:t xml:space="preserve"> </w:t>
      </w:r>
      <w:r>
        <w:rPr>
          <w:sz w:val="18"/>
        </w:rPr>
        <w:t>No.</w:t>
      </w:r>
      <w:r>
        <w:rPr>
          <w:spacing w:val="3"/>
          <w:sz w:val="18"/>
        </w:rPr>
        <w:t xml:space="preserve"> </w:t>
      </w:r>
      <w:r>
        <w:rPr>
          <w:sz w:val="18"/>
        </w:rPr>
        <w:t>1</w:t>
      </w:r>
      <w:r>
        <w:rPr>
          <w:spacing w:val="-6"/>
          <w:sz w:val="18"/>
        </w:rPr>
        <w:t xml:space="preserve"> </w:t>
      </w:r>
      <w:r>
        <w:rPr>
          <w:sz w:val="18"/>
        </w:rPr>
        <w:t>following</w:t>
      </w:r>
      <w:r>
        <w:rPr>
          <w:spacing w:val="-3"/>
          <w:sz w:val="18"/>
        </w:rPr>
        <w:t xml:space="preserve"> </w:t>
      </w:r>
      <w:r>
        <w:rPr>
          <w:sz w:val="18"/>
        </w:rPr>
        <w:t>the</w:t>
      </w:r>
      <w:r>
        <w:rPr>
          <w:spacing w:val="-4"/>
          <w:sz w:val="18"/>
        </w:rPr>
        <w:t xml:space="preserve"> </w:t>
      </w:r>
      <w:r>
        <w:rPr>
          <w:sz w:val="18"/>
        </w:rPr>
        <w:t>third-party</w:t>
      </w:r>
      <w:r>
        <w:rPr>
          <w:spacing w:val="-10"/>
          <w:sz w:val="18"/>
        </w:rPr>
        <w:t xml:space="preserve"> </w:t>
      </w:r>
      <w:r>
        <w:rPr>
          <w:sz w:val="18"/>
        </w:rPr>
        <w:t>session</w:t>
      </w:r>
      <w:r>
        <w:rPr>
          <w:spacing w:val="-4"/>
          <w:sz w:val="18"/>
        </w:rPr>
        <w:t xml:space="preserve"> </w:t>
      </w:r>
      <w:r>
        <w:rPr>
          <w:sz w:val="18"/>
        </w:rPr>
        <w:t>with</w:t>
      </w:r>
      <w:r>
        <w:rPr>
          <w:spacing w:val="-5"/>
          <w:sz w:val="18"/>
        </w:rPr>
        <w:t xml:space="preserve"> </w:t>
      </w:r>
      <w:r>
        <w:rPr>
          <w:sz w:val="18"/>
        </w:rPr>
        <w:t>the</w:t>
      </w:r>
      <w:r>
        <w:rPr>
          <w:spacing w:val="-3"/>
          <w:sz w:val="18"/>
        </w:rPr>
        <w:t xml:space="preserve"> </w:t>
      </w:r>
      <w:r>
        <w:rPr>
          <w:sz w:val="18"/>
        </w:rPr>
        <w:t>Panel,</w:t>
      </w:r>
      <w:r>
        <w:rPr>
          <w:spacing w:val="3"/>
          <w:sz w:val="18"/>
        </w:rPr>
        <w:t xml:space="preserve"> </w:t>
      </w:r>
      <w:r>
        <w:rPr>
          <w:sz w:val="18"/>
        </w:rPr>
        <w:t>para.</w:t>
      </w:r>
      <w:r>
        <w:rPr>
          <w:spacing w:val="-3"/>
          <w:sz w:val="18"/>
        </w:rPr>
        <w:t xml:space="preserve"> </w:t>
      </w:r>
      <w:r>
        <w:rPr>
          <w:spacing w:val="-5"/>
          <w:sz w:val="18"/>
        </w:rPr>
        <w:t>10.</w:t>
      </w:r>
    </w:p>
    <w:p w14:paraId="5BA54D05" w14:textId="77777777" w:rsidR="00BD462C" w:rsidRDefault="00033D0F">
      <w:pPr>
        <w:spacing w:before="1"/>
        <w:ind w:left="135"/>
        <w:rPr>
          <w:sz w:val="18"/>
        </w:rPr>
      </w:pPr>
      <w:bookmarkStart w:id="1984" w:name="_bookmark1709"/>
      <w:bookmarkEnd w:id="1984"/>
      <w:r>
        <w:rPr>
          <w:position w:val="5"/>
          <w:sz w:val="12"/>
        </w:rPr>
        <w:t>1487</w:t>
      </w:r>
      <w:r>
        <w:rPr>
          <w:spacing w:val="16"/>
          <w:position w:val="5"/>
          <w:sz w:val="12"/>
        </w:rPr>
        <w:t xml:space="preserve"> </w:t>
      </w:r>
      <w:r>
        <w:rPr>
          <w:sz w:val="18"/>
        </w:rPr>
        <w:t>See</w:t>
      </w:r>
      <w:r>
        <w:rPr>
          <w:spacing w:val="-2"/>
          <w:sz w:val="18"/>
        </w:rPr>
        <w:t xml:space="preserve"> </w:t>
      </w:r>
      <w:r>
        <w:rPr>
          <w:sz w:val="18"/>
        </w:rPr>
        <w:t>above, para.</w:t>
      </w:r>
      <w:r>
        <w:rPr>
          <w:spacing w:val="-1"/>
          <w:sz w:val="18"/>
        </w:rPr>
        <w:t xml:space="preserve"> </w:t>
      </w:r>
      <w:hyperlink w:anchor="_bookmark38" w:history="1">
        <w:r>
          <w:rPr>
            <w:spacing w:val="-5"/>
            <w:sz w:val="18"/>
          </w:rPr>
          <w:t>24.</w:t>
        </w:r>
      </w:hyperlink>
    </w:p>
    <w:p w14:paraId="6F8897BF" w14:textId="77777777" w:rsidR="00BD462C" w:rsidRDefault="00BD462C">
      <w:pPr>
        <w:rPr>
          <w:sz w:val="18"/>
        </w:rPr>
        <w:sectPr w:rsidR="00BD462C">
          <w:headerReference w:type="default" r:id="rId29"/>
          <w:footerReference w:type="default" r:id="rId30"/>
          <w:pgSz w:w="11910" w:h="16840"/>
          <w:pgMar w:top="1360" w:right="500" w:bottom="280" w:left="1280" w:header="0" w:footer="0" w:gutter="0"/>
          <w:cols w:space="720"/>
        </w:sectPr>
      </w:pPr>
    </w:p>
    <w:p w14:paraId="66327FE8"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3A61DB7F"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572E6669"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2A1BAABB" w14:textId="77777777" w:rsidR="00BD462C" w:rsidRDefault="00033D0F">
      <w:pPr>
        <w:pStyle w:val="BodyText"/>
        <w:spacing w:before="2" w:line="360" w:lineRule="auto"/>
        <w:ind w:left="135" w:right="913"/>
        <w:jc w:val="both"/>
      </w:pPr>
      <w:r>
        <w:t xml:space="preserve">panel request goes beyond the brief summary of the legal basis of the complaint that is required under Article 6.2. China's interpretation improperly expands that obligation to include </w:t>
      </w:r>
      <w:r>
        <w:rPr>
          <w:i/>
        </w:rPr>
        <w:t>arguments</w:t>
      </w:r>
      <w:r>
        <w:t>.</w:t>
      </w:r>
      <w:hyperlink w:anchor="_bookmark1710" w:history="1">
        <w:r>
          <w:rPr>
            <w:vertAlign w:val="superscript"/>
          </w:rPr>
          <w:t>1488</w:t>
        </w:r>
      </w:hyperlink>
      <w:r>
        <w:t xml:space="preserve"> China is therefore incorrect to suggest that Australia should have set out</w:t>
      </w:r>
      <w:r>
        <w:rPr>
          <w:spacing w:val="-2"/>
        </w:rPr>
        <w:t xml:space="preserve"> </w:t>
      </w:r>
      <w:r>
        <w:t>in</w:t>
      </w:r>
      <w:r>
        <w:rPr>
          <w:spacing w:val="-4"/>
        </w:rPr>
        <w:t xml:space="preserve"> </w:t>
      </w:r>
      <w:r>
        <w:t>detail each</w:t>
      </w:r>
      <w:r>
        <w:rPr>
          <w:spacing w:val="-4"/>
        </w:rPr>
        <w:t xml:space="preserve"> </w:t>
      </w:r>
      <w:r>
        <w:t>"instance"</w:t>
      </w:r>
      <w:r>
        <w:rPr>
          <w:spacing w:val="-3"/>
        </w:rPr>
        <w:t xml:space="preserve"> </w:t>
      </w:r>
      <w:r>
        <w:t>where</w:t>
      </w:r>
      <w:r>
        <w:rPr>
          <w:spacing w:val="-2"/>
        </w:rPr>
        <w:t xml:space="preserve"> </w:t>
      </w:r>
      <w:r>
        <w:t>Australia</w:t>
      </w:r>
      <w:r>
        <w:rPr>
          <w:spacing w:val="-3"/>
        </w:rPr>
        <w:t xml:space="preserve"> </w:t>
      </w:r>
      <w:r>
        <w:t>challenges</w:t>
      </w:r>
      <w:r>
        <w:rPr>
          <w:spacing w:val="-1"/>
        </w:rPr>
        <w:t xml:space="preserve"> </w:t>
      </w:r>
      <w:r>
        <w:t>MOFCOM's</w:t>
      </w:r>
      <w:r>
        <w:rPr>
          <w:spacing w:val="-1"/>
        </w:rPr>
        <w:t xml:space="preserve"> </w:t>
      </w:r>
      <w:r>
        <w:t>use</w:t>
      </w:r>
      <w:r>
        <w:rPr>
          <w:spacing w:val="-2"/>
        </w:rPr>
        <w:t xml:space="preserve"> </w:t>
      </w:r>
      <w:r>
        <w:t>of</w:t>
      </w:r>
      <w:r>
        <w:rPr>
          <w:spacing w:val="-4"/>
        </w:rPr>
        <w:t xml:space="preserve"> </w:t>
      </w:r>
      <w:r>
        <w:t>facts</w:t>
      </w:r>
      <w:r>
        <w:rPr>
          <w:spacing w:val="-1"/>
        </w:rPr>
        <w:t xml:space="preserve"> </w:t>
      </w:r>
      <w:r>
        <w:t>available.</w:t>
      </w:r>
      <w:hyperlink w:anchor="_bookmark1711" w:history="1">
        <w:r>
          <w:rPr>
            <w:vertAlign w:val="superscript"/>
          </w:rPr>
          <w:t>1489</w:t>
        </w:r>
      </w:hyperlink>
    </w:p>
    <w:p w14:paraId="02718095" w14:textId="77777777" w:rsidR="00BD462C" w:rsidRDefault="00BD462C">
      <w:pPr>
        <w:pStyle w:val="BodyText"/>
        <w:rPr>
          <w:sz w:val="9"/>
        </w:rPr>
      </w:pPr>
    </w:p>
    <w:p w14:paraId="575E93E4" w14:textId="79CA30F2" w:rsidR="00BD462C" w:rsidRDefault="00F03EFC">
      <w:pPr>
        <w:pStyle w:val="BodyText"/>
        <w:spacing w:before="56" w:line="357" w:lineRule="auto"/>
        <w:ind w:left="135" w:right="917"/>
        <w:jc w:val="both"/>
      </w:pPr>
      <w:r>
        <w:rPr>
          <w:noProof/>
        </w:rPr>
        <w:t>6.</w:t>
      </w:r>
      <w:r w:rsidR="00033D0F">
        <w:rPr>
          <w:rFonts w:ascii="Times New Roman"/>
          <w:spacing w:val="80"/>
          <w:w w:val="150"/>
          <w:position w:val="1"/>
          <w:sz w:val="20"/>
        </w:rPr>
        <w:t xml:space="preserve">  </w:t>
      </w:r>
      <w:r w:rsidR="00033D0F">
        <w:rPr>
          <w:position w:val="1"/>
        </w:rPr>
        <w:t>Finally, China</w:t>
      </w:r>
      <w:r w:rsidR="00033D0F">
        <w:rPr>
          <w:spacing w:val="-2"/>
          <w:position w:val="1"/>
        </w:rPr>
        <w:t xml:space="preserve"> </w:t>
      </w:r>
      <w:r w:rsidR="00033D0F">
        <w:rPr>
          <w:position w:val="1"/>
        </w:rPr>
        <w:t>asserts that</w:t>
      </w:r>
      <w:r w:rsidR="00033D0F">
        <w:rPr>
          <w:spacing w:val="-1"/>
          <w:position w:val="1"/>
        </w:rPr>
        <w:t xml:space="preserve"> </w:t>
      </w:r>
      <w:r w:rsidR="00033D0F">
        <w:rPr>
          <w:position w:val="1"/>
        </w:rPr>
        <w:t>Australia's panel request</w:t>
      </w:r>
      <w:r w:rsidR="00033D0F">
        <w:rPr>
          <w:spacing w:val="-1"/>
          <w:position w:val="1"/>
        </w:rPr>
        <w:t xml:space="preserve"> </w:t>
      </w:r>
      <w:r w:rsidR="00033D0F">
        <w:rPr>
          <w:position w:val="1"/>
        </w:rPr>
        <w:t>did</w:t>
      </w:r>
      <w:r w:rsidR="00033D0F">
        <w:rPr>
          <w:spacing w:val="-3"/>
          <w:position w:val="1"/>
        </w:rPr>
        <w:t xml:space="preserve"> </w:t>
      </w:r>
      <w:r w:rsidR="00033D0F">
        <w:rPr>
          <w:position w:val="1"/>
        </w:rPr>
        <w:t>not</w:t>
      </w:r>
      <w:r w:rsidR="00033D0F">
        <w:rPr>
          <w:spacing w:val="-1"/>
          <w:position w:val="1"/>
        </w:rPr>
        <w:t xml:space="preserve"> </w:t>
      </w:r>
      <w:r w:rsidR="00033D0F">
        <w:rPr>
          <w:position w:val="1"/>
        </w:rPr>
        <w:t>sufficiently clarify that</w:t>
      </w:r>
      <w:r w:rsidR="00033D0F">
        <w:rPr>
          <w:spacing w:val="-1"/>
          <w:position w:val="1"/>
        </w:rPr>
        <w:t xml:space="preserve"> </w:t>
      </w:r>
      <w:r w:rsidR="00033D0F">
        <w:rPr>
          <w:position w:val="1"/>
        </w:rPr>
        <w:t xml:space="preserve">all </w:t>
      </w:r>
      <w:r w:rsidR="00033D0F">
        <w:t>instances of resort to facts available were at issue.</w:t>
      </w:r>
      <w:hyperlink w:anchor="_bookmark1712" w:history="1">
        <w:r w:rsidR="00033D0F">
          <w:rPr>
            <w:vertAlign w:val="superscript"/>
          </w:rPr>
          <w:t>1490</w:t>
        </w:r>
      </w:hyperlink>
      <w:r w:rsidR="00033D0F">
        <w:t xml:space="preserve"> Australia has responded to this allegation</w:t>
      </w:r>
      <w:r w:rsidR="00033D0F">
        <w:rPr>
          <w:spacing w:val="-4"/>
        </w:rPr>
        <w:t xml:space="preserve"> </w:t>
      </w:r>
      <w:r w:rsidR="00033D0F">
        <w:t>in</w:t>
      </w:r>
      <w:r w:rsidR="00033D0F">
        <w:rPr>
          <w:spacing w:val="-4"/>
        </w:rPr>
        <w:t xml:space="preserve"> </w:t>
      </w:r>
      <w:r w:rsidR="00033D0F">
        <w:t>detail, demonstrating</w:t>
      </w:r>
      <w:r w:rsidR="00033D0F">
        <w:rPr>
          <w:spacing w:val="-1"/>
        </w:rPr>
        <w:t xml:space="preserve"> </w:t>
      </w:r>
      <w:r w:rsidR="00033D0F">
        <w:t>both</w:t>
      </w:r>
      <w:r w:rsidR="00033D0F">
        <w:rPr>
          <w:spacing w:val="-4"/>
        </w:rPr>
        <w:t xml:space="preserve"> </w:t>
      </w:r>
      <w:r w:rsidR="00033D0F">
        <w:t>that</w:t>
      </w:r>
      <w:r w:rsidR="00033D0F">
        <w:rPr>
          <w:spacing w:val="-2"/>
        </w:rPr>
        <w:t xml:space="preserve"> </w:t>
      </w:r>
      <w:r w:rsidR="00033D0F">
        <w:t>its</w:t>
      </w:r>
      <w:r w:rsidR="00033D0F">
        <w:rPr>
          <w:spacing w:val="-1"/>
        </w:rPr>
        <w:t xml:space="preserve"> </w:t>
      </w:r>
      <w:r w:rsidR="00033D0F">
        <w:t>claim</w:t>
      </w:r>
      <w:r w:rsidR="00033D0F">
        <w:rPr>
          <w:spacing w:val="-3"/>
        </w:rPr>
        <w:t xml:space="preserve"> </w:t>
      </w:r>
      <w:r w:rsidR="00033D0F">
        <w:t>is</w:t>
      </w:r>
      <w:r w:rsidR="00033D0F">
        <w:rPr>
          <w:spacing w:val="-1"/>
        </w:rPr>
        <w:t xml:space="preserve"> </w:t>
      </w:r>
      <w:r w:rsidR="00033D0F">
        <w:t>clear</w:t>
      </w:r>
      <w:r w:rsidR="00033D0F">
        <w:rPr>
          <w:spacing w:val="-5"/>
        </w:rPr>
        <w:t xml:space="preserve"> </w:t>
      </w:r>
      <w:r w:rsidR="00033D0F">
        <w:t>on</w:t>
      </w:r>
      <w:r w:rsidR="00033D0F">
        <w:rPr>
          <w:spacing w:val="-4"/>
        </w:rPr>
        <w:t xml:space="preserve"> </w:t>
      </w:r>
      <w:r w:rsidR="00033D0F">
        <w:t>the</w:t>
      </w:r>
      <w:r w:rsidR="00033D0F">
        <w:rPr>
          <w:spacing w:val="-3"/>
        </w:rPr>
        <w:t xml:space="preserve"> </w:t>
      </w:r>
      <w:r w:rsidR="00033D0F">
        <w:t>text</w:t>
      </w:r>
      <w:r w:rsidR="00033D0F">
        <w:rPr>
          <w:spacing w:val="-2"/>
        </w:rPr>
        <w:t xml:space="preserve"> </w:t>
      </w:r>
      <w:r w:rsidR="00033D0F">
        <w:t>of the</w:t>
      </w:r>
      <w:r w:rsidR="00033D0F">
        <w:rPr>
          <w:spacing w:val="-3"/>
        </w:rPr>
        <w:t xml:space="preserve"> </w:t>
      </w:r>
      <w:r w:rsidR="00033D0F">
        <w:t>panel request and that such instances do not need to be identified in a panel request.</w:t>
      </w:r>
      <w:hyperlink w:anchor="_bookmark1713" w:history="1">
        <w:r w:rsidR="00033D0F">
          <w:rPr>
            <w:vertAlign w:val="superscript"/>
          </w:rPr>
          <w:t>1491</w:t>
        </w:r>
      </w:hyperlink>
    </w:p>
    <w:p w14:paraId="625C81C6" w14:textId="77777777" w:rsidR="00BD462C" w:rsidRDefault="00033D0F">
      <w:pPr>
        <w:pStyle w:val="Heading3"/>
        <w:numPr>
          <w:ilvl w:val="2"/>
          <w:numId w:val="5"/>
        </w:numPr>
        <w:tabs>
          <w:tab w:val="left" w:pos="1836"/>
        </w:tabs>
        <w:spacing w:before="165" w:line="362" w:lineRule="auto"/>
        <w:ind w:right="913"/>
      </w:pPr>
      <w:bookmarkStart w:id="1985" w:name="A.1.2_Australia's_claim_pursuant_to_Arti"/>
      <w:bookmarkEnd w:id="1985"/>
      <w:r>
        <w:t xml:space="preserve">Australia's claim pursuant to Article 2.1 is within the Panel's terms of </w:t>
      </w:r>
      <w:r>
        <w:rPr>
          <w:spacing w:val="-2"/>
        </w:rPr>
        <w:t>reference.</w:t>
      </w:r>
    </w:p>
    <w:p w14:paraId="11EB61A6" w14:textId="77777777" w:rsidR="00BD462C" w:rsidRDefault="00BD462C">
      <w:pPr>
        <w:pStyle w:val="BodyText"/>
        <w:spacing w:before="7"/>
        <w:rPr>
          <w:b/>
          <w:sz w:val="8"/>
        </w:rPr>
      </w:pPr>
    </w:p>
    <w:p w14:paraId="0E0DD32E" w14:textId="10DDC1B2" w:rsidR="00BD462C" w:rsidRDefault="00F03EFC">
      <w:pPr>
        <w:pStyle w:val="BodyText"/>
        <w:spacing w:before="57" w:line="355" w:lineRule="auto"/>
        <w:ind w:left="135" w:right="923"/>
      </w:pPr>
      <w:r>
        <w:rPr>
          <w:noProof/>
        </w:rPr>
        <w:t>7.</w:t>
      </w:r>
      <w:r w:rsidR="00033D0F">
        <w:rPr>
          <w:rFonts w:ascii="Times New Roman"/>
          <w:spacing w:val="80"/>
          <w:w w:val="150"/>
          <w:position w:val="1"/>
          <w:sz w:val="20"/>
        </w:rPr>
        <w:t xml:space="preserve">    </w:t>
      </w:r>
      <w:r w:rsidR="00033D0F">
        <w:rPr>
          <w:position w:val="1"/>
        </w:rPr>
        <w:t>Article 2.1 is a definitional provision that informs</w:t>
      </w:r>
      <w:r w:rsidR="00033D0F">
        <w:rPr>
          <w:spacing w:val="14"/>
          <w:position w:val="1"/>
        </w:rPr>
        <w:t xml:space="preserve"> </w:t>
      </w:r>
      <w:r w:rsidR="00033D0F">
        <w:rPr>
          <w:position w:val="1"/>
        </w:rPr>
        <w:t xml:space="preserve">compliance with all elements of a </w:t>
      </w:r>
      <w:r w:rsidR="00033D0F">
        <w:t>dumping determination.</w:t>
      </w:r>
      <w:hyperlink w:anchor="_bookmark1714" w:history="1">
        <w:r w:rsidR="00033D0F">
          <w:rPr>
            <w:vertAlign w:val="superscript"/>
          </w:rPr>
          <w:t>1492</w:t>
        </w:r>
      </w:hyperlink>
    </w:p>
    <w:p w14:paraId="436B5631" w14:textId="77777777" w:rsidR="00BD462C" w:rsidRDefault="00BD462C">
      <w:pPr>
        <w:pStyle w:val="BodyText"/>
        <w:spacing w:before="3"/>
        <w:rPr>
          <w:sz w:val="9"/>
        </w:rPr>
      </w:pPr>
    </w:p>
    <w:p w14:paraId="07D65E69" w14:textId="29968C13" w:rsidR="00BD462C" w:rsidRDefault="00F03EFC">
      <w:pPr>
        <w:pStyle w:val="BodyText"/>
        <w:spacing w:before="56" w:line="360" w:lineRule="auto"/>
        <w:ind w:left="136" w:right="915"/>
        <w:jc w:val="both"/>
      </w:pPr>
      <w:r>
        <w:rPr>
          <w:noProof/>
        </w:rPr>
        <w:t>8.</w:t>
      </w:r>
      <w:r w:rsidR="00033D0F">
        <w:rPr>
          <w:rFonts w:ascii="Times New Roman" w:hAnsi="Times New Roman"/>
          <w:spacing w:val="80"/>
          <w:position w:val="1"/>
          <w:sz w:val="20"/>
        </w:rPr>
        <w:t xml:space="preserve">   </w:t>
      </w:r>
      <w:r w:rsidR="00033D0F">
        <w:rPr>
          <w:position w:val="1"/>
        </w:rPr>
        <w:t xml:space="preserve">Despite its fundamental cornerstone role in the Anti-Dumping Agreement, China </w:t>
      </w:r>
      <w:r w:rsidR="00033D0F">
        <w:t>asserts</w:t>
      </w:r>
      <w:r w:rsidR="00033D0F">
        <w:rPr>
          <w:spacing w:val="-14"/>
        </w:rPr>
        <w:t xml:space="preserve"> </w:t>
      </w:r>
      <w:r w:rsidR="00033D0F">
        <w:t>in</w:t>
      </w:r>
      <w:r w:rsidR="00033D0F">
        <w:rPr>
          <w:spacing w:val="-14"/>
        </w:rPr>
        <w:t xml:space="preserve"> </w:t>
      </w:r>
      <w:r w:rsidR="00033D0F">
        <w:t>its</w:t>
      </w:r>
      <w:r w:rsidR="00033D0F">
        <w:rPr>
          <w:spacing w:val="-9"/>
        </w:rPr>
        <w:t xml:space="preserve"> </w:t>
      </w:r>
      <w:r w:rsidR="00033D0F">
        <w:t>first</w:t>
      </w:r>
      <w:r w:rsidR="00033D0F">
        <w:rPr>
          <w:spacing w:val="-10"/>
        </w:rPr>
        <w:t xml:space="preserve"> </w:t>
      </w:r>
      <w:r w:rsidR="00033D0F">
        <w:t>written</w:t>
      </w:r>
      <w:r w:rsidR="00033D0F">
        <w:rPr>
          <w:spacing w:val="-13"/>
        </w:rPr>
        <w:t xml:space="preserve"> </w:t>
      </w:r>
      <w:r w:rsidR="00033D0F">
        <w:t>submission</w:t>
      </w:r>
      <w:r w:rsidR="00033D0F">
        <w:rPr>
          <w:spacing w:val="-13"/>
        </w:rPr>
        <w:t xml:space="preserve"> </w:t>
      </w:r>
      <w:r w:rsidR="00033D0F">
        <w:t>that</w:t>
      </w:r>
      <w:r w:rsidR="00033D0F">
        <w:rPr>
          <w:spacing w:val="-10"/>
        </w:rPr>
        <w:t xml:space="preserve"> </w:t>
      </w:r>
      <w:r w:rsidR="00033D0F">
        <w:t>the</w:t>
      </w:r>
      <w:r w:rsidR="00033D0F">
        <w:rPr>
          <w:spacing w:val="-11"/>
        </w:rPr>
        <w:t xml:space="preserve"> </w:t>
      </w:r>
      <w:r w:rsidR="00033D0F">
        <w:t>Panel</w:t>
      </w:r>
      <w:r w:rsidR="00033D0F">
        <w:rPr>
          <w:spacing w:val="-14"/>
        </w:rPr>
        <w:t xml:space="preserve"> </w:t>
      </w:r>
      <w:r w:rsidR="00033D0F">
        <w:t>should</w:t>
      </w:r>
      <w:r w:rsidR="00033D0F">
        <w:rPr>
          <w:spacing w:val="-13"/>
        </w:rPr>
        <w:t xml:space="preserve"> </w:t>
      </w:r>
      <w:r w:rsidR="00033D0F">
        <w:t>strike</w:t>
      </w:r>
      <w:r w:rsidR="00033D0F">
        <w:rPr>
          <w:spacing w:val="-11"/>
        </w:rPr>
        <w:t xml:space="preserve"> </w:t>
      </w:r>
      <w:r w:rsidR="00033D0F">
        <w:t>all</w:t>
      </w:r>
      <w:r w:rsidR="00033D0F">
        <w:rPr>
          <w:spacing w:val="-9"/>
        </w:rPr>
        <w:t xml:space="preserve"> </w:t>
      </w:r>
      <w:r w:rsidR="00033D0F">
        <w:t>"references"</w:t>
      </w:r>
      <w:r w:rsidR="00033D0F">
        <w:rPr>
          <w:spacing w:val="-12"/>
        </w:rPr>
        <w:t xml:space="preserve"> </w:t>
      </w:r>
      <w:r w:rsidR="00033D0F">
        <w:t>to</w:t>
      </w:r>
      <w:r w:rsidR="00033D0F">
        <w:rPr>
          <w:spacing w:val="-13"/>
        </w:rPr>
        <w:t xml:space="preserve"> </w:t>
      </w:r>
      <w:r w:rsidR="00033D0F">
        <w:t>this</w:t>
      </w:r>
      <w:r w:rsidR="00033D0F">
        <w:rPr>
          <w:spacing w:val="-9"/>
        </w:rPr>
        <w:t xml:space="preserve"> </w:t>
      </w:r>
      <w:r w:rsidR="00033D0F">
        <w:t>Article from its analysis merely because it does not impose an independent obligation.</w:t>
      </w:r>
      <w:hyperlink w:anchor="_bookmark1715" w:history="1">
        <w:r w:rsidR="00033D0F">
          <w:rPr>
            <w:vertAlign w:val="superscript"/>
          </w:rPr>
          <w:t>1493</w:t>
        </w:r>
      </w:hyperlink>
      <w:r w:rsidR="00033D0F">
        <w:t xml:space="preserve"> This approach is nonsensical – it would eliminate the definition of the matter in dispute.</w:t>
      </w:r>
    </w:p>
    <w:p w14:paraId="45F095FF" w14:textId="77777777" w:rsidR="00BD462C" w:rsidRDefault="00033D0F">
      <w:pPr>
        <w:pStyle w:val="Heading3"/>
        <w:numPr>
          <w:ilvl w:val="2"/>
          <w:numId w:val="5"/>
        </w:numPr>
        <w:tabs>
          <w:tab w:val="left" w:pos="1836"/>
        </w:tabs>
        <w:spacing w:before="158" w:line="357" w:lineRule="auto"/>
        <w:ind w:right="913"/>
      </w:pPr>
      <w:bookmarkStart w:id="1986" w:name="A.1.3_Australia's_claim_pursuant_to_Arti"/>
      <w:bookmarkEnd w:id="1986"/>
      <w:r>
        <w:t xml:space="preserve">Australia's claim pursuant to Article 2.4 is within the Panel's terms of </w:t>
      </w:r>
      <w:r>
        <w:rPr>
          <w:spacing w:val="-2"/>
        </w:rPr>
        <w:t>reference.</w:t>
      </w:r>
    </w:p>
    <w:p w14:paraId="39B725CA" w14:textId="77777777" w:rsidR="00BD462C" w:rsidRDefault="00BD462C">
      <w:pPr>
        <w:pStyle w:val="BodyText"/>
        <w:spacing w:before="2"/>
        <w:rPr>
          <w:b/>
          <w:sz w:val="9"/>
        </w:rPr>
      </w:pPr>
    </w:p>
    <w:p w14:paraId="42317B2B" w14:textId="1DD762AE" w:rsidR="00BD462C" w:rsidRDefault="00F03EFC">
      <w:pPr>
        <w:pStyle w:val="BodyText"/>
        <w:spacing w:before="56" w:line="360" w:lineRule="auto"/>
        <w:ind w:left="135" w:right="914"/>
        <w:jc w:val="both"/>
      </w:pPr>
      <w:r>
        <w:rPr>
          <w:noProof/>
        </w:rPr>
        <w:t>9.</w:t>
      </w:r>
      <w:r w:rsidR="00033D0F">
        <w:rPr>
          <w:rFonts w:ascii="Times New Roman"/>
          <w:spacing w:val="80"/>
          <w:w w:val="150"/>
          <w:position w:val="1"/>
          <w:sz w:val="20"/>
        </w:rPr>
        <w:t xml:space="preserve">    </w:t>
      </w:r>
      <w:r w:rsidR="00033D0F">
        <w:rPr>
          <w:position w:val="1"/>
        </w:rPr>
        <w:t>Contrary to</w:t>
      </w:r>
      <w:r w:rsidR="00033D0F">
        <w:rPr>
          <w:spacing w:val="-1"/>
          <w:position w:val="1"/>
        </w:rPr>
        <w:t xml:space="preserve"> </w:t>
      </w:r>
      <w:r w:rsidR="00033D0F">
        <w:rPr>
          <w:position w:val="1"/>
        </w:rPr>
        <w:t>China's assertions otherwise, Australia has demonstrated</w:t>
      </w:r>
      <w:r w:rsidR="00033D0F">
        <w:rPr>
          <w:spacing w:val="-1"/>
          <w:position w:val="1"/>
        </w:rPr>
        <w:t xml:space="preserve"> </w:t>
      </w:r>
      <w:r w:rsidR="00033D0F">
        <w:rPr>
          <w:position w:val="1"/>
        </w:rPr>
        <w:t xml:space="preserve">that this claim </w:t>
      </w:r>
      <w:r w:rsidR="00033D0F">
        <w:t>is</w:t>
      </w:r>
      <w:r w:rsidR="00033D0F">
        <w:rPr>
          <w:spacing w:val="-9"/>
        </w:rPr>
        <w:t xml:space="preserve"> </w:t>
      </w:r>
      <w:r w:rsidR="00033D0F">
        <w:t>clear</w:t>
      </w:r>
      <w:r w:rsidR="00033D0F">
        <w:rPr>
          <w:spacing w:val="-14"/>
        </w:rPr>
        <w:t xml:space="preserve"> </w:t>
      </w:r>
      <w:r w:rsidR="00033D0F">
        <w:t>on</w:t>
      </w:r>
      <w:r w:rsidR="00033D0F">
        <w:rPr>
          <w:spacing w:val="-7"/>
        </w:rPr>
        <w:t xml:space="preserve"> </w:t>
      </w:r>
      <w:r w:rsidR="00033D0F">
        <w:t>the</w:t>
      </w:r>
      <w:r w:rsidR="00033D0F">
        <w:rPr>
          <w:spacing w:val="-11"/>
        </w:rPr>
        <w:t xml:space="preserve"> </w:t>
      </w:r>
      <w:r w:rsidR="00033D0F">
        <w:t>face</w:t>
      </w:r>
      <w:r w:rsidR="00033D0F">
        <w:rPr>
          <w:spacing w:val="-11"/>
        </w:rPr>
        <w:t xml:space="preserve"> </w:t>
      </w:r>
      <w:r w:rsidR="00033D0F">
        <w:t>of</w:t>
      </w:r>
      <w:r w:rsidR="00033D0F">
        <w:rPr>
          <w:spacing w:val="-13"/>
        </w:rPr>
        <w:t xml:space="preserve"> </w:t>
      </w:r>
      <w:r w:rsidR="00033D0F">
        <w:t>the</w:t>
      </w:r>
      <w:r w:rsidR="00033D0F">
        <w:rPr>
          <w:spacing w:val="-6"/>
        </w:rPr>
        <w:t xml:space="preserve"> </w:t>
      </w:r>
      <w:r w:rsidR="00033D0F">
        <w:t>panel</w:t>
      </w:r>
      <w:r w:rsidR="00033D0F">
        <w:rPr>
          <w:spacing w:val="-4"/>
        </w:rPr>
        <w:t xml:space="preserve"> </w:t>
      </w:r>
      <w:r w:rsidR="00033D0F">
        <w:t>request.</w:t>
      </w:r>
      <w:hyperlink w:anchor="_bookmark1716" w:history="1">
        <w:r w:rsidR="00033D0F">
          <w:rPr>
            <w:vertAlign w:val="superscript"/>
          </w:rPr>
          <w:t>1494</w:t>
        </w:r>
      </w:hyperlink>
      <w:r w:rsidR="00033D0F">
        <w:rPr>
          <w:spacing w:val="-10"/>
        </w:rPr>
        <w:t xml:space="preserve"> </w:t>
      </w:r>
      <w:r w:rsidR="00033D0F">
        <w:t>It</w:t>
      </w:r>
      <w:r w:rsidR="00033D0F">
        <w:rPr>
          <w:spacing w:val="-10"/>
        </w:rPr>
        <w:t xml:space="preserve"> </w:t>
      </w:r>
      <w:r w:rsidR="00033D0F">
        <w:t>stands</w:t>
      </w:r>
      <w:r w:rsidR="00033D0F">
        <w:rPr>
          <w:spacing w:val="-9"/>
        </w:rPr>
        <w:t xml:space="preserve"> </w:t>
      </w:r>
      <w:r w:rsidR="00033D0F">
        <w:t>on</w:t>
      </w:r>
      <w:r w:rsidR="00033D0F">
        <w:rPr>
          <w:spacing w:val="-13"/>
        </w:rPr>
        <w:t xml:space="preserve"> </w:t>
      </w:r>
      <w:r w:rsidR="00033D0F">
        <w:t>those</w:t>
      </w:r>
      <w:r w:rsidR="00033D0F">
        <w:rPr>
          <w:spacing w:val="-11"/>
        </w:rPr>
        <w:t xml:space="preserve"> </w:t>
      </w:r>
      <w:r w:rsidR="00033D0F">
        <w:t>submissions,</w:t>
      </w:r>
      <w:r w:rsidR="00033D0F">
        <w:rPr>
          <w:spacing w:val="-9"/>
        </w:rPr>
        <w:t xml:space="preserve"> </w:t>
      </w:r>
      <w:r w:rsidR="00033D0F">
        <w:t>particularly</w:t>
      </w:r>
      <w:r w:rsidR="00033D0F">
        <w:rPr>
          <w:spacing w:val="-10"/>
        </w:rPr>
        <w:t xml:space="preserve"> </w:t>
      </w:r>
      <w:r w:rsidR="00033D0F">
        <w:t>noting that</w:t>
      </w:r>
      <w:r w:rsidR="00033D0F">
        <w:rPr>
          <w:spacing w:val="-7"/>
        </w:rPr>
        <w:t xml:space="preserve"> </w:t>
      </w:r>
      <w:r w:rsidR="00033D0F">
        <w:t>Article</w:t>
      </w:r>
      <w:r w:rsidR="00033D0F">
        <w:rPr>
          <w:spacing w:val="-7"/>
        </w:rPr>
        <w:t xml:space="preserve"> </w:t>
      </w:r>
      <w:r w:rsidR="00033D0F">
        <w:t>2.4</w:t>
      </w:r>
      <w:r w:rsidR="00033D0F">
        <w:rPr>
          <w:spacing w:val="-9"/>
        </w:rPr>
        <w:t xml:space="preserve"> </w:t>
      </w:r>
      <w:r w:rsidR="00033D0F">
        <w:t>does</w:t>
      </w:r>
      <w:r w:rsidR="00033D0F">
        <w:rPr>
          <w:spacing w:val="-6"/>
        </w:rPr>
        <w:t xml:space="preserve"> </w:t>
      </w:r>
      <w:r w:rsidR="00033D0F">
        <w:t>not</w:t>
      </w:r>
      <w:r w:rsidR="00033D0F">
        <w:rPr>
          <w:spacing w:val="-7"/>
        </w:rPr>
        <w:t xml:space="preserve"> </w:t>
      </w:r>
      <w:r w:rsidR="00033D0F">
        <w:t>fall</w:t>
      </w:r>
      <w:r w:rsidR="00033D0F">
        <w:rPr>
          <w:spacing w:val="-5"/>
        </w:rPr>
        <w:t xml:space="preserve"> </w:t>
      </w:r>
      <w:r w:rsidR="00033D0F">
        <w:t>within</w:t>
      </w:r>
      <w:r w:rsidR="00033D0F">
        <w:rPr>
          <w:spacing w:val="-9"/>
        </w:rPr>
        <w:t xml:space="preserve"> </w:t>
      </w:r>
      <w:r w:rsidR="00033D0F">
        <w:t>a</w:t>
      </w:r>
      <w:r w:rsidR="00033D0F">
        <w:rPr>
          <w:spacing w:val="-8"/>
        </w:rPr>
        <w:t xml:space="preserve"> </w:t>
      </w:r>
      <w:r w:rsidR="00033D0F">
        <w:t>"special</w:t>
      </w:r>
      <w:r w:rsidR="00033D0F">
        <w:rPr>
          <w:spacing w:val="-5"/>
        </w:rPr>
        <w:t xml:space="preserve"> </w:t>
      </w:r>
      <w:r w:rsidR="00033D0F">
        <w:t>class</w:t>
      </w:r>
      <w:r w:rsidR="00033D0F">
        <w:rPr>
          <w:spacing w:val="-10"/>
        </w:rPr>
        <w:t xml:space="preserve"> </w:t>
      </w:r>
      <w:r w:rsidR="00033D0F">
        <w:t>of</w:t>
      </w:r>
      <w:r w:rsidR="00033D0F">
        <w:rPr>
          <w:spacing w:val="-4"/>
        </w:rPr>
        <w:t xml:space="preserve"> </w:t>
      </w:r>
      <w:r w:rsidR="00033D0F">
        <w:t>obligations",</w:t>
      </w:r>
      <w:r w:rsidR="00033D0F">
        <w:rPr>
          <w:spacing w:val="-5"/>
        </w:rPr>
        <w:t xml:space="preserve"> </w:t>
      </w:r>
      <w:r w:rsidR="00033D0F">
        <w:t>but</w:t>
      </w:r>
      <w:r w:rsidR="00033D0F">
        <w:rPr>
          <w:spacing w:val="-7"/>
        </w:rPr>
        <w:t xml:space="preserve"> </w:t>
      </w:r>
      <w:r w:rsidR="00033D0F">
        <w:t>requires</w:t>
      </w:r>
      <w:r w:rsidR="00033D0F">
        <w:rPr>
          <w:spacing w:val="-6"/>
        </w:rPr>
        <w:t xml:space="preserve"> </w:t>
      </w:r>
      <w:r w:rsidR="00033D0F">
        <w:t>a</w:t>
      </w:r>
      <w:r w:rsidR="00033D0F">
        <w:rPr>
          <w:spacing w:val="-3"/>
        </w:rPr>
        <w:t xml:space="preserve"> </w:t>
      </w:r>
      <w:r w:rsidR="00033D0F">
        <w:t xml:space="preserve">case-by-case </w:t>
      </w:r>
      <w:r w:rsidR="00033D0F">
        <w:rPr>
          <w:spacing w:val="-2"/>
        </w:rPr>
        <w:t>analysis.</w:t>
      </w:r>
      <w:hyperlink w:anchor="_bookmark1717" w:history="1">
        <w:r w:rsidR="00033D0F">
          <w:rPr>
            <w:spacing w:val="-2"/>
            <w:vertAlign w:val="superscript"/>
          </w:rPr>
          <w:t>1495</w:t>
        </w:r>
      </w:hyperlink>
    </w:p>
    <w:p w14:paraId="7F4EF0B7" w14:textId="77777777" w:rsidR="00BD462C" w:rsidRDefault="00BD462C">
      <w:pPr>
        <w:pStyle w:val="BodyText"/>
        <w:rPr>
          <w:sz w:val="20"/>
        </w:rPr>
      </w:pPr>
    </w:p>
    <w:p w14:paraId="1275A35B" w14:textId="77777777" w:rsidR="00BD462C" w:rsidRDefault="00BD462C">
      <w:pPr>
        <w:pStyle w:val="BodyText"/>
        <w:rPr>
          <w:sz w:val="20"/>
        </w:rPr>
      </w:pPr>
    </w:p>
    <w:p w14:paraId="46088BBC" w14:textId="14B749A5" w:rsidR="00BD462C" w:rsidRDefault="006E6DEA">
      <w:pPr>
        <w:pStyle w:val="BodyText"/>
        <w:rPr>
          <w:sz w:val="20"/>
        </w:rPr>
      </w:pPr>
      <w:r>
        <w:rPr>
          <w:noProof/>
        </w:rPr>
        <mc:AlternateContent>
          <mc:Choice Requires="wps">
            <w:drawing>
              <wp:anchor distT="0" distB="0" distL="0" distR="0" simplePos="0" relativeHeight="488116736" behindDoc="1" locked="0" layoutInCell="1" allowOverlap="1" wp14:anchorId="793A7149" wp14:editId="5690F138">
                <wp:simplePos x="0" y="0"/>
                <wp:positionH relativeFrom="page">
                  <wp:posOffset>812800</wp:posOffset>
                </wp:positionH>
                <wp:positionV relativeFrom="paragraph">
                  <wp:posOffset>361315</wp:posOffset>
                </wp:positionV>
                <wp:extent cx="1828800" cy="8890"/>
                <wp:effectExtent l="0" t="0" r="0" b="0"/>
                <wp:wrapTopAndBottom/>
                <wp:docPr id="89" name="docshape7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046A4" id="docshape705" o:spid="_x0000_s1026" alt="&quot;&quot;" style="position:absolute;margin-left:64pt;margin-top:28.45pt;width:2in;height:.7pt;z-index:-15199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" fillcolor="black" stroked="f">
                <w10:wrap type="topAndBottom" anchorx="page"/>
              </v:rect>
            </w:pict>
          </mc:Fallback>
        </mc:AlternateContent>
      </w:r>
    </w:p>
    <w:p w14:paraId="50E5958B" w14:textId="6FE08E12" w:rsidR="00BD462C" w:rsidRDefault="00BD462C">
      <w:pPr>
        <w:pStyle w:val="BodyText"/>
        <w:spacing w:before="4"/>
        <w:rPr>
          <w:sz w:val="26"/>
        </w:rPr>
      </w:pPr>
    </w:p>
    <w:p w14:paraId="12A6E511" w14:textId="77777777" w:rsidR="00BD462C" w:rsidRDefault="00033D0F">
      <w:pPr>
        <w:spacing w:before="112"/>
        <w:ind w:left="135"/>
        <w:rPr>
          <w:sz w:val="18"/>
        </w:rPr>
      </w:pPr>
      <w:bookmarkStart w:id="1987" w:name="_bookmark1710"/>
      <w:bookmarkEnd w:id="1987"/>
      <w:r>
        <w:rPr>
          <w:position w:val="5"/>
          <w:sz w:val="12"/>
        </w:rPr>
        <w:t>1488</w:t>
      </w:r>
      <w:r>
        <w:rPr>
          <w:spacing w:val="14"/>
          <w:position w:val="5"/>
          <w:sz w:val="12"/>
        </w:rPr>
        <w:t xml:space="preserve"> </w:t>
      </w:r>
      <w:r>
        <w:rPr>
          <w:sz w:val="18"/>
        </w:rPr>
        <w:t>See</w:t>
      </w:r>
      <w:r>
        <w:rPr>
          <w:spacing w:val="-4"/>
          <w:sz w:val="18"/>
        </w:rPr>
        <w:t xml:space="preserve"> </w:t>
      </w:r>
      <w:r>
        <w:rPr>
          <w:sz w:val="18"/>
        </w:rPr>
        <w:t>above,</w:t>
      </w:r>
      <w:r>
        <w:rPr>
          <w:spacing w:val="-3"/>
          <w:sz w:val="18"/>
        </w:rPr>
        <w:t xml:space="preserve"> </w:t>
      </w:r>
      <w:r>
        <w:rPr>
          <w:sz w:val="18"/>
        </w:rPr>
        <w:t>section</w:t>
      </w:r>
      <w:r>
        <w:rPr>
          <w:spacing w:val="-5"/>
          <w:sz w:val="18"/>
        </w:rPr>
        <w:t xml:space="preserve"> </w:t>
      </w:r>
      <w:hyperlink w:anchor="_bookmark20" w:history="1">
        <w:r>
          <w:rPr>
            <w:sz w:val="18"/>
          </w:rPr>
          <w:t>II.A.1(b)</w:t>
        </w:r>
      </w:hyperlink>
      <w:r>
        <w:rPr>
          <w:spacing w:val="-2"/>
          <w:sz w:val="18"/>
        </w:rPr>
        <w:t xml:space="preserve"> </w:t>
      </w:r>
      <w:r>
        <w:rPr>
          <w:sz w:val="18"/>
        </w:rPr>
        <w:t>and</w:t>
      </w:r>
      <w:r>
        <w:rPr>
          <w:spacing w:val="-1"/>
          <w:sz w:val="18"/>
        </w:rPr>
        <w:t xml:space="preserve"> </w:t>
      </w:r>
      <w:r>
        <w:rPr>
          <w:sz w:val="18"/>
        </w:rPr>
        <w:t>section</w:t>
      </w:r>
      <w:r>
        <w:rPr>
          <w:spacing w:val="-5"/>
          <w:sz w:val="18"/>
        </w:rPr>
        <w:t xml:space="preserve"> </w:t>
      </w:r>
      <w:hyperlink w:anchor="_bookmark38" w:history="1">
        <w:r>
          <w:rPr>
            <w:spacing w:val="-5"/>
            <w:sz w:val="18"/>
          </w:rPr>
          <w:t>24.</w:t>
        </w:r>
      </w:hyperlink>
    </w:p>
    <w:p w14:paraId="27AE8269" w14:textId="77777777" w:rsidR="00BD462C" w:rsidRDefault="00033D0F">
      <w:pPr>
        <w:spacing w:before="1"/>
        <w:ind w:left="135"/>
        <w:rPr>
          <w:sz w:val="18"/>
        </w:rPr>
      </w:pPr>
      <w:bookmarkStart w:id="1988" w:name="_bookmark1711"/>
      <w:bookmarkEnd w:id="1988"/>
      <w:r>
        <w:rPr>
          <w:position w:val="5"/>
          <w:sz w:val="12"/>
        </w:rPr>
        <w:t>1489</w:t>
      </w:r>
      <w:r>
        <w:rPr>
          <w:spacing w:val="13"/>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 xml:space="preserve">para. </w:t>
      </w:r>
      <w:r>
        <w:rPr>
          <w:spacing w:val="-4"/>
          <w:sz w:val="18"/>
        </w:rPr>
        <w:t>131.</w:t>
      </w:r>
    </w:p>
    <w:p w14:paraId="6CCDC9B0" w14:textId="77777777" w:rsidR="00BD462C" w:rsidRDefault="00033D0F">
      <w:pPr>
        <w:spacing w:before="1"/>
        <w:ind w:left="136" w:right="923" w:hanging="1"/>
        <w:rPr>
          <w:sz w:val="18"/>
        </w:rPr>
      </w:pPr>
      <w:bookmarkStart w:id="1989" w:name="_bookmark1712"/>
      <w:bookmarkEnd w:id="1989"/>
      <w:r>
        <w:rPr>
          <w:position w:val="5"/>
          <w:sz w:val="12"/>
        </w:rPr>
        <w:t>1490</w:t>
      </w:r>
      <w:r>
        <w:rPr>
          <w:spacing w:val="30"/>
          <w:position w:val="5"/>
          <w:sz w:val="12"/>
        </w:rPr>
        <w:t xml:space="preserve"> </w:t>
      </w:r>
      <w:r>
        <w:rPr>
          <w:sz w:val="18"/>
        </w:rPr>
        <w:t>China's first written submission, paras. 101-107, 131; Request for establishment of a panel by Australia, WT/DS602/2 (Australia's panel request), para. (ix).</w:t>
      </w:r>
    </w:p>
    <w:p w14:paraId="2DBF5315" w14:textId="77777777" w:rsidR="00BD462C" w:rsidRDefault="00033D0F">
      <w:pPr>
        <w:spacing w:line="217" w:lineRule="exact"/>
        <w:ind w:left="135"/>
        <w:rPr>
          <w:sz w:val="18"/>
        </w:rPr>
      </w:pPr>
      <w:bookmarkStart w:id="1990" w:name="_bookmark1713"/>
      <w:bookmarkEnd w:id="1990"/>
      <w:r>
        <w:rPr>
          <w:position w:val="5"/>
          <w:sz w:val="12"/>
        </w:rPr>
        <w:t>1491</w:t>
      </w:r>
      <w:r>
        <w:rPr>
          <w:spacing w:val="13"/>
          <w:position w:val="5"/>
          <w:sz w:val="12"/>
        </w:rPr>
        <w:t xml:space="preserve"> </w:t>
      </w:r>
      <w:r>
        <w:rPr>
          <w:sz w:val="18"/>
        </w:rPr>
        <w:t>Australia's response</w:t>
      </w:r>
      <w:r>
        <w:rPr>
          <w:spacing w:val="-6"/>
          <w:sz w:val="18"/>
        </w:rPr>
        <w:t xml:space="preserve"> </w:t>
      </w:r>
      <w:r>
        <w:rPr>
          <w:sz w:val="18"/>
        </w:rPr>
        <w:t>to</w:t>
      </w:r>
      <w:r>
        <w:rPr>
          <w:spacing w:val="-1"/>
          <w:sz w:val="18"/>
        </w:rPr>
        <w:t xml:space="preserve"> </w:t>
      </w:r>
      <w:r>
        <w:rPr>
          <w:sz w:val="18"/>
        </w:rPr>
        <w:t>China's</w:t>
      </w:r>
      <w:r>
        <w:rPr>
          <w:spacing w:val="-5"/>
          <w:sz w:val="18"/>
        </w:rPr>
        <w:t xml:space="preserve"> </w:t>
      </w:r>
      <w:r>
        <w:rPr>
          <w:sz w:val="18"/>
        </w:rPr>
        <w:t>PRR,</w:t>
      </w:r>
      <w:r>
        <w:rPr>
          <w:spacing w:val="-3"/>
          <w:sz w:val="18"/>
        </w:rPr>
        <w:t xml:space="preserve"> </w:t>
      </w:r>
      <w:r>
        <w:rPr>
          <w:sz w:val="18"/>
        </w:rPr>
        <w:t>paras.</w:t>
      </w:r>
      <w:r>
        <w:rPr>
          <w:spacing w:val="-4"/>
          <w:sz w:val="18"/>
        </w:rPr>
        <w:t xml:space="preserve"> </w:t>
      </w:r>
      <w:r>
        <w:rPr>
          <w:sz w:val="18"/>
        </w:rPr>
        <w:t>154-</w:t>
      </w:r>
      <w:r>
        <w:rPr>
          <w:spacing w:val="-4"/>
          <w:sz w:val="18"/>
        </w:rPr>
        <w:t>136.</w:t>
      </w:r>
    </w:p>
    <w:p w14:paraId="1FE32712" w14:textId="77777777" w:rsidR="00BD462C" w:rsidRDefault="00033D0F">
      <w:pPr>
        <w:spacing w:before="1"/>
        <w:ind w:left="135"/>
        <w:rPr>
          <w:sz w:val="18"/>
        </w:rPr>
      </w:pPr>
      <w:bookmarkStart w:id="1991" w:name="_bookmark1714"/>
      <w:bookmarkEnd w:id="1991"/>
      <w:r>
        <w:rPr>
          <w:position w:val="5"/>
          <w:sz w:val="12"/>
        </w:rPr>
        <w:t>1492</w:t>
      </w:r>
      <w:r>
        <w:rPr>
          <w:spacing w:val="14"/>
          <w:position w:val="5"/>
          <w:sz w:val="12"/>
        </w:rPr>
        <w:t xml:space="preserve"> </w:t>
      </w:r>
      <w:r>
        <w:rPr>
          <w:sz w:val="18"/>
        </w:rPr>
        <w:t>See</w:t>
      </w:r>
      <w:r>
        <w:rPr>
          <w:spacing w:val="-3"/>
          <w:sz w:val="18"/>
        </w:rPr>
        <w:t xml:space="preserve"> </w:t>
      </w:r>
      <w:r>
        <w:rPr>
          <w:sz w:val="18"/>
        </w:rPr>
        <w:t>Appellate</w:t>
      </w:r>
      <w:r>
        <w:rPr>
          <w:spacing w:val="-9"/>
          <w:sz w:val="18"/>
        </w:rPr>
        <w:t xml:space="preserve"> </w:t>
      </w:r>
      <w:r>
        <w:rPr>
          <w:sz w:val="18"/>
        </w:rPr>
        <w:t>Body</w:t>
      </w:r>
      <w:r>
        <w:rPr>
          <w:spacing w:val="-6"/>
          <w:sz w:val="18"/>
        </w:rPr>
        <w:t xml:space="preserve"> </w:t>
      </w:r>
      <w:r>
        <w:rPr>
          <w:sz w:val="18"/>
        </w:rPr>
        <w:t>Report,</w:t>
      </w:r>
      <w:r>
        <w:rPr>
          <w:spacing w:val="-1"/>
          <w:sz w:val="18"/>
        </w:rPr>
        <w:t xml:space="preserve"> </w:t>
      </w:r>
      <w:r>
        <w:rPr>
          <w:i/>
          <w:sz w:val="18"/>
        </w:rPr>
        <w:t>US</w:t>
      </w:r>
      <w:r>
        <w:rPr>
          <w:i/>
          <w:spacing w:val="-1"/>
          <w:sz w:val="18"/>
        </w:rPr>
        <w:t xml:space="preserve"> </w:t>
      </w:r>
      <w:r>
        <w:rPr>
          <w:i/>
          <w:sz w:val="18"/>
        </w:rPr>
        <w:t>–</w:t>
      </w:r>
      <w:r>
        <w:rPr>
          <w:i/>
          <w:spacing w:val="-4"/>
          <w:sz w:val="18"/>
        </w:rPr>
        <w:t xml:space="preserve"> </w:t>
      </w:r>
      <w:r>
        <w:rPr>
          <w:i/>
          <w:sz w:val="18"/>
        </w:rPr>
        <w:t>Zeroing</w:t>
      </w:r>
      <w:r>
        <w:rPr>
          <w:i/>
          <w:spacing w:val="-3"/>
          <w:sz w:val="18"/>
        </w:rPr>
        <w:t xml:space="preserve"> </w:t>
      </w:r>
      <w:r>
        <w:rPr>
          <w:i/>
          <w:sz w:val="18"/>
        </w:rPr>
        <w:t>(Japan)</w:t>
      </w:r>
      <w:r>
        <w:rPr>
          <w:sz w:val="18"/>
        </w:rPr>
        <w:t>,</w:t>
      </w:r>
      <w:r>
        <w:rPr>
          <w:spacing w:val="3"/>
          <w:sz w:val="18"/>
        </w:rPr>
        <w:t xml:space="preserve"> </w:t>
      </w:r>
      <w:r>
        <w:rPr>
          <w:sz w:val="18"/>
        </w:rPr>
        <w:t>para.</w:t>
      </w:r>
      <w:r>
        <w:rPr>
          <w:spacing w:val="-3"/>
          <w:sz w:val="18"/>
        </w:rPr>
        <w:t xml:space="preserve"> </w:t>
      </w:r>
      <w:r>
        <w:rPr>
          <w:spacing w:val="-4"/>
          <w:sz w:val="18"/>
        </w:rPr>
        <w:t>140.</w:t>
      </w:r>
    </w:p>
    <w:p w14:paraId="685E9A3B" w14:textId="77777777" w:rsidR="00BD462C" w:rsidRDefault="00033D0F">
      <w:pPr>
        <w:spacing w:before="1"/>
        <w:ind w:left="135"/>
        <w:rPr>
          <w:sz w:val="18"/>
        </w:rPr>
      </w:pPr>
      <w:bookmarkStart w:id="1992" w:name="_bookmark1715"/>
      <w:bookmarkEnd w:id="1992"/>
      <w:r>
        <w:rPr>
          <w:position w:val="5"/>
          <w:sz w:val="12"/>
        </w:rPr>
        <w:t>1493</w:t>
      </w:r>
      <w:r>
        <w:rPr>
          <w:spacing w:val="13"/>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 xml:space="preserve">para. </w:t>
      </w:r>
      <w:r>
        <w:rPr>
          <w:spacing w:val="-4"/>
          <w:sz w:val="18"/>
        </w:rPr>
        <w:t>704.</w:t>
      </w:r>
    </w:p>
    <w:p w14:paraId="104FA839" w14:textId="77777777" w:rsidR="00BD462C" w:rsidRDefault="00033D0F">
      <w:pPr>
        <w:spacing w:before="1"/>
        <w:ind w:left="135"/>
        <w:rPr>
          <w:sz w:val="18"/>
        </w:rPr>
      </w:pPr>
      <w:bookmarkStart w:id="1993" w:name="_bookmark1716"/>
      <w:bookmarkEnd w:id="1993"/>
      <w:r>
        <w:rPr>
          <w:position w:val="5"/>
          <w:sz w:val="12"/>
        </w:rPr>
        <w:t>1494</w:t>
      </w:r>
      <w:r>
        <w:rPr>
          <w:spacing w:val="12"/>
          <w:position w:val="5"/>
          <w:sz w:val="12"/>
        </w:rPr>
        <w:t xml:space="preserve"> </w:t>
      </w:r>
      <w:r>
        <w:rPr>
          <w:sz w:val="18"/>
        </w:rPr>
        <w:t>Australia's</w:t>
      </w:r>
      <w:r>
        <w:rPr>
          <w:spacing w:val="-1"/>
          <w:sz w:val="18"/>
        </w:rPr>
        <w:t xml:space="preserve"> </w:t>
      </w:r>
      <w:r>
        <w:rPr>
          <w:sz w:val="18"/>
        </w:rPr>
        <w:t>response</w:t>
      </w:r>
      <w:r>
        <w:rPr>
          <w:spacing w:val="-6"/>
          <w:sz w:val="18"/>
        </w:rPr>
        <w:t xml:space="preserve"> </w:t>
      </w:r>
      <w:r>
        <w:rPr>
          <w:sz w:val="18"/>
        </w:rPr>
        <w:t>to</w:t>
      </w:r>
      <w:r>
        <w:rPr>
          <w:spacing w:val="-2"/>
          <w:sz w:val="18"/>
        </w:rPr>
        <w:t xml:space="preserve"> </w:t>
      </w:r>
      <w:r>
        <w:rPr>
          <w:sz w:val="18"/>
        </w:rPr>
        <w:t>China's</w:t>
      </w:r>
      <w:r>
        <w:rPr>
          <w:spacing w:val="-5"/>
          <w:sz w:val="18"/>
        </w:rPr>
        <w:t xml:space="preserve"> </w:t>
      </w:r>
      <w:r>
        <w:rPr>
          <w:sz w:val="18"/>
        </w:rPr>
        <w:t>PRR,</w:t>
      </w:r>
      <w:r>
        <w:rPr>
          <w:spacing w:val="-4"/>
          <w:sz w:val="18"/>
        </w:rPr>
        <w:t xml:space="preserve"> </w:t>
      </w:r>
      <w:r>
        <w:rPr>
          <w:sz w:val="18"/>
        </w:rPr>
        <w:t>paras.</w:t>
      </w:r>
      <w:r>
        <w:rPr>
          <w:spacing w:val="-5"/>
          <w:sz w:val="18"/>
        </w:rPr>
        <w:t xml:space="preserve"> </w:t>
      </w:r>
      <w:r>
        <w:rPr>
          <w:sz w:val="18"/>
        </w:rPr>
        <w:t>164-179;</w:t>
      </w:r>
      <w:r>
        <w:rPr>
          <w:spacing w:val="-8"/>
          <w:sz w:val="18"/>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7"/>
          <w:sz w:val="18"/>
        </w:rPr>
        <w:t xml:space="preserve"> </w:t>
      </w:r>
      <w:r>
        <w:rPr>
          <w:sz w:val="18"/>
        </w:rPr>
        <w:t>submission,</w:t>
      </w:r>
      <w:r>
        <w:rPr>
          <w:spacing w:val="-4"/>
          <w:sz w:val="18"/>
        </w:rPr>
        <w:t xml:space="preserve"> </w:t>
      </w:r>
      <w:r>
        <w:rPr>
          <w:sz w:val="18"/>
        </w:rPr>
        <w:t>paras. 85,</w:t>
      </w:r>
      <w:r>
        <w:rPr>
          <w:spacing w:val="1"/>
          <w:sz w:val="18"/>
        </w:rPr>
        <w:t xml:space="preserve"> </w:t>
      </w:r>
      <w:r>
        <w:rPr>
          <w:spacing w:val="-4"/>
          <w:sz w:val="18"/>
        </w:rPr>
        <w:t>133.</w:t>
      </w:r>
    </w:p>
    <w:p w14:paraId="5AF53D91" w14:textId="77777777" w:rsidR="00BD462C" w:rsidRDefault="00033D0F">
      <w:pPr>
        <w:spacing w:before="1"/>
        <w:ind w:left="135"/>
        <w:rPr>
          <w:sz w:val="18"/>
        </w:rPr>
      </w:pPr>
      <w:bookmarkStart w:id="1994" w:name="_bookmark1717"/>
      <w:bookmarkEnd w:id="1994"/>
      <w:r>
        <w:rPr>
          <w:position w:val="5"/>
          <w:sz w:val="12"/>
        </w:rPr>
        <w:t>1495</w:t>
      </w:r>
      <w:r>
        <w:rPr>
          <w:spacing w:val="14"/>
          <w:position w:val="5"/>
          <w:sz w:val="12"/>
        </w:rPr>
        <w:t xml:space="preserve"> </w:t>
      </w:r>
      <w:r>
        <w:rPr>
          <w:sz w:val="18"/>
        </w:rPr>
        <w:t>See</w:t>
      </w:r>
      <w:r>
        <w:rPr>
          <w:spacing w:val="-5"/>
          <w:sz w:val="18"/>
        </w:rPr>
        <w:t xml:space="preserve"> </w:t>
      </w:r>
      <w:r>
        <w:rPr>
          <w:sz w:val="18"/>
        </w:rPr>
        <w:t>above,</w:t>
      </w:r>
      <w:r>
        <w:rPr>
          <w:spacing w:val="-2"/>
          <w:sz w:val="18"/>
        </w:rPr>
        <w:t xml:space="preserve"> </w:t>
      </w:r>
      <w:r>
        <w:rPr>
          <w:sz w:val="18"/>
        </w:rPr>
        <w:t>paras.</w:t>
      </w:r>
      <w:r>
        <w:rPr>
          <w:spacing w:val="1"/>
          <w:sz w:val="18"/>
        </w:rPr>
        <w:t xml:space="preserve"> </w:t>
      </w:r>
      <w:hyperlink w:anchor="_bookmark9" w:history="1">
        <w:r>
          <w:rPr>
            <w:sz w:val="18"/>
          </w:rPr>
          <w:t>11</w:t>
        </w:r>
      </w:hyperlink>
      <w:hyperlink w:anchor="_bookmark10" w:history="1">
        <w:r>
          <w:rPr>
            <w:sz w:val="18"/>
          </w:rPr>
          <w:t>-</w:t>
        </w:r>
        <w:r>
          <w:rPr>
            <w:spacing w:val="-5"/>
            <w:sz w:val="18"/>
          </w:rPr>
          <w:t>13.</w:t>
        </w:r>
      </w:hyperlink>
    </w:p>
    <w:p w14:paraId="0D47B99F" w14:textId="77777777" w:rsidR="00BD462C" w:rsidRDefault="00BD462C">
      <w:pPr>
        <w:rPr>
          <w:sz w:val="18"/>
        </w:rPr>
        <w:sectPr w:rsidR="00BD462C">
          <w:headerReference w:type="default" r:id="rId31"/>
          <w:footerReference w:type="default" r:id="rId32"/>
          <w:pgSz w:w="11910" w:h="16840"/>
          <w:pgMar w:top="860" w:right="500" w:bottom="780" w:left="1280" w:header="566" w:footer="590" w:gutter="0"/>
          <w:pgNumType w:start="2"/>
          <w:cols w:space="720"/>
        </w:sectPr>
      </w:pPr>
    </w:p>
    <w:p w14:paraId="13A8C95A"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4D414B33"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5CEEC4A2"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4EFA6446" w14:textId="20F03170" w:rsidR="00BD462C" w:rsidRDefault="00F03EFC">
      <w:pPr>
        <w:pStyle w:val="BodyText"/>
        <w:spacing w:before="6" w:line="360" w:lineRule="auto"/>
        <w:ind w:left="135" w:right="916" w:firstLine="9"/>
        <w:jc w:val="both"/>
      </w:pPr>
      <w:r>
        <w:rPr>
          <w:noProof/>
        </w:rPr>
        <w:t>10.</w:t>
      </w:r>
      <w:r w:rsidR="00033D0F">
        <w:rPr>
          <w:rFonts w:ascii="Times New Roman"/>
          <w:spacing w:val="80"/>
          <w:w w:val="150"/>
          <w:position w:val="1"/>
          <w:sz w:val="20"/>
        </w:rPr>
        <w:t xml:space="preserve">  </w:t>
      </w:r>
      <w:r w:rsidR="00033D0F">
        <w:rPr>
          <w:position w:val="1"/>
        </w:rPr>
        <w:t>In</w:t>
      </w:r>
      <w:r w:rsidR="00033D0F">
        <w:rPr>
          <w:spacing w:val="-14"/>
          <w:position w:val="1"/>
        </w:rPr>
        <w:t xml:space="preserve"> </w:t>
      </w:r>
      <w:r w:rsidR="00033D0F">
        <w:rPr>
          <w:position w:val="1"/>
        </w:rPr>
        <w:t>particular,</w:t>
      </w:r>
      <w:r w:rsidR="00033D0F">
        <w:rPr>
          <w:spacing w:val="-10"/>
          <w:position w:val="1"/>
        </w:rPr>
        <w:t xml:space="preserve"> </w:t>
      </w:r>
      <w:r w:rsidR="00033D0F">
        <w:rPr>
          <w:position w:val="1"/>
        </w:rPr>
        <w:t>China</w:t>
      </w:r>
      <w:r w:rsidR="00033D0F">
        <w:rPr>
          <w:spacing w:val="-14"/>
          <w:position w:val="1"/>
        </w:rPr>
        <w:t xml:space="preserve"> </w:t>
      </w:r>
      <w:r w:rsidR="00033D0F">
        <w:rPr>
          <w:position w:val="1"/>
        </w:rPr>
        <w:t>is</w:t>
      </w:r>
      <w:r w:rsidR="00033D0F">
        <w:rPr>
          <w:spacing w:val="-14"/>
          <w:position w:val="1"/>
        </w:rPr>
        <w:t xml:space="preserve"> </w:t>
      </w:r>
      <w:r w:rsidR="00033D0F">
        <w:rPr>
          <w:position w:val="1"/>
        </w:rPr>
        <w:t>incorrect</w:t>
      </w:r>
      <w:r w:rsidR="00033D0F">
        <w:rPr>
          <w:spacing w:val="-10"/>
          <w:position w:val="1"/>
        </w:rPr>
        <w:t xml:space="preserve"> </w:t>
      </w:r>
      <w:r w:rsidR="00033D0F">
        <w:rPr>
          <w:position w:val="1"/>
        </w:rPr>
        <w:t>to</w:t>
      </w:r>
      <w:r w:rsidR="00033D0F">
        <w:rPr>
          <w:spacing w:val="-14"/>
          <w:position w:val="1"/>
        </w:rPr>
        <w:t xml:space="preserve"> </w:t>
      </w:r>
      <w:r w:rsidR="00033D0F">
        <w:rPr>
          <w:position w:val="1"/>
        </w:rPr>
        <w:t>imply</w:t>
      </w:r>
      <w:r w:rsidR="00033D0F">
        <w:rPr>
          <w:spacing w:val="-14"/>
          <w:position w:val="1"/>
        </w:rPr>
        <w:t xml:space="preserve"> </w:t>
      </w:r>
      <w:r w:rsidR="00033D0F">
        <w:rPr>
          <w:position w:val="1"/>
        </w:rPr>
        <w:t>that</w:t>
      </w:r>
      <w:r w:rsidR="00033D0F">
        <w:rPr>
          <w:spacing w:val="-10"/>
          <w:position w:val="1"/>
        </w:rPr>
        <w:t xml:space="preserve"> </w:t>
      </w:r>
      <w:r w:rsidR="00033D0F">
        <w:rPr>
          <w:position w:val="1"/>
        </w:rPr>
        <w:t>Australia</w:t>
      </w:r>
      <w:r w:rsidR="00033D0F">
        <w:rPr>
          <w:spacing w:val="-14"/>
          <w:position w:val="1"/>
        </w:rPr>
        <w:t xml:space="preserve"> </w:t>
      </w:r>
      <w:r w:rsidR="00033D0F">
        <w:rPr>
          <w:position w:val="1"/>
        </w:rPr>
        <w:t>was</w:t>
      </w:r>
      <w:r w:rsidR="00033D0F">
        <w:rPr>
          <w:spacing w:val="-10"/>
          <w:position w:val="1"/>
        </w:rPr>
        <w:t xml:space="preserve"> </w:t>
      </w:r>
      <w:r w:rsidR="00033D0F">
        <w:rPr>
          <w:position w:val="1"/>
        </w:rPr>
        <w:t>obligated</w:t>
      </w:r>
      <w:r w:rsidR="00033D0F">
        <w:rPr>
          <w:spacing w:val="-14"/>
          <w:position w:val="1"/>
        </w:rPr>
        <w:t xml:space="preserve"> </w:t>
      </w:r>
      <w:r w:rsidR="00033D0F">
        <w:rPr>
          <w:position w:val="1"/>
        </w:rPr>
        <w:t>to</w:t>
      </w:r>
      <w:r w:rsidR="00033D0F">
        <w:rPr>
          <w:spacing w:val="-14"/>
          <w:position w:val="1"/>
        </w:rPr>
        <w:t xml:space="preserve"> </w:t>
      </w:r>
      <w:r w:rsidR="00033D0F">
        <w:rPr>
          <w:position w:val="1"/>
        </w:rPr>
        <w:t>provide</w:t>
      </w:r>
      <w:r w:rsidR="00033D0F">
        <w:rPr>
          <w:spacing w:val="-11"/>
          <w:position w:val="1"/>
        </w:rPr>
        <w:t xml:space="preserve"> </w:t>
      </w:r>
      <w:r w:rsidR="00033D0F">
        <w:rPr>
          <w:position w:val="1"/>
        </w:rPr>
        <w:t xml:space="preserve">details </w:t>
      </w:r>
      <w:r w:rsidR="00033D0F">
        <w:t>about the factors that MOFCOM should have considered.</w:t>
      </w:r>
      <w:hyperlink w:anchor="_bookmark1719" w:history="1">
        <w:r w:rsidR="00033D0F">
          <w:rPr>
            <w:vertAlign w:val="superscript"/>
          </w:rPr>
          <w:t>1496</w:t>
        </w:r>
      </w:hyperlink>
      <w:r w:rsidR="00033D0F">
        <w:t xml:space="preserve"> Specific factors are not "obligations" themselves; these aspects do not need to be identified in a panel request, as they are properly considered arguments rather than claims.</w:t>
      </w:r>
      <w:hyperlink w:anchor="_bookmark1720" w:history="1">
        <w:r w:rsidR="00033D0F">
          <w:rPr>
            <w:vertAlign w:val="superscript"/>
          </w:rPr>
          <w:t>1497</w:t>
        </w:r>
      </w:hyperlink>
    </w:p>
    <w:p w14:paraId="76E5C112" w14:textId="77777777" w:rsidR="00BD462C" w:rsidRDefault="00033D0F">
      <w:pPr>
        <w:pStyle w:val="Heading3"/>
        <w:numPr>
          <w:ilvl w:val="2"/>
          <w:numId w:val="5"/>
        </w:numPr>
        <w:tabs>
          <w:tab w:val="left" w:pos="1836"/>
        </w:tabs>
        <w:spacing w:before="158" w:line="357" w:lineRule="auto"/>
        <w:ind w:right="918"/>
      </w:pPr>
      <w:bookmarkStart w:id="1995" w:name="A.1.4_Australia's_claim_pursuant_to_Arti"/>
      <w:bookmarkEnd w:id="1995"/>
      <w:r>
        <w:t xml:space="preserve">Australia's claim pursuant to Article 2.3 was within the Panel's terms of </w:t>
      </w:r>
      <w:r>
        <w:rPr>
          <w:spacing w:val="-2"/>
        </w:rPr>
        <w:t>reference.</w:t>
      </w:r>
    </w:p>
    <w:p w14:paraId="672CC21A" w14:textId="77777777" w:rsidR="00BD462C" w:rsidRDefault="00BD462C">
      <w:pPr>
        <w:pStyle w:val="BodyText"/>
        <w:spacing w:before="2"/>
        <w:rPr>
          <w:b/>
          <w:sz w:val="9"/>
        </w:rPr>
      </w:pPr>
    </w:p>
    <w:p w14:paraId="3B1F554F" w14:textId="2F021695" w:rsidR="00BD462C" w:rsidRDefault="00F03EFC">
      <w:pPr>
        <w:pStyle w:val="BodyText"/>
        <w:spacing w:before="56" w:line="357" w:lineRule="auto"/>
        <w:ind w:left="135" w:right="913" w:firstLine="9"/>
        <w:jc w:val="both"/>
      </w:pPr>
      <w:r>
        <w:rPr>
          <w:noProof/>
        </w:rPr>
        <w:t>11.</w:t>
      </w:r>
      <w:r w:rsidR="00033D0F">
        <w:rPr>
          <w:rFonts w:ascii="Times New Roman"/>
          <w:spacing w:val="80"/>
          <w:w w:val="150"/>
          <w:position w:val="1"/>
          <w:sz w:val="20"/>
        </w:rPr>
        <w:t xml:space="preserve">   </w:t>
      </w:r>
      <w:r w:rsidR="00033D0F">
        <w:rPr>
          <w:position w:val="1"/>
        </w:rPr>
        <w:t>Australia</w:t>
      </w:r>
      <w:r w:rsidR="00033D0F">
        <w:rPr>
          <w:spacing w:val="-3"/>
          <w:position w:val="1"/>
        </w:rPr>
        <w:t xml:space="preserve"> </w:t>
      </w:r>
      <w:r w:rsidR="00033D0F">
        <w:rPr>
          <w:position w:val="1"/>
        </w:rPr>
        <w:t xml:space="preserve">is no longer pursuing a claim under Article 2.3. It became clear to Australia </w:t>
      </w:r>
      <w:r w:rsidR="00033D0F">
        <w:t xml:space="preserve">as the dispute progressed that MOFCOM had not </w:t>
      </w:r>
      <w:proofErr w:type="spellStart"/>
      <w:r w:rsidR="00033D0F">
        <w:t>utilised</w:t>
      </w:r>
      <w:proofErr w:type="spellEnd"/>
      <w:r w:rsidR="00033D0F">
        <w:t xml:space="preserve"> the constructed export price calculation described under Article 2.3.</w:t>
      </w:r>
    </w:p>
    <w:p w14:paraId="3C1886D3" w14:textId="77777777" w:rsidR="00BD462C" w:rsidRDefault="00BD462C">
      <w:pPr>
        <w:pStyle w:val="BodyText"/>
        <w:spacing w:before="3"/>
        <w:rPr>
          <w:sz w:val="9"/>
        </w:rPr>
      </w:pPr>
    </w:p>
    <w:p w14:paraId="13F91F4D" w14:textId="7F0719EE" w:rsidR="00BD462C" w:rsidRDefault="00F03EFC">
      <w:pPr>
        <w:pStyle w:val="BodyText"/>
        <w:spacing w:before="56" w:line="357" w:lineRule="auto"/>
        <w:ind w:left="136" w:right="923" w:firstLine="9"/>
      </w:pPr>
      <w:r>
        <w:rPr>
          <w:noProof/>
        </w:rPr>
        <w:t>12.</w:t>
      </w:r>
      <w:r w:rsidR="00033D0F">
        <w:rPr>
          <w:rFonts w:ascii="Times New Roman"/>
          <w:spacing w:val="80"/>
          <w:position w:val="1"/>
          <w:sz w:val="20"/>
        </w:rPr>
        <w:t xml:space="preserve">    </w:t>
      </w:r>
      <w:r w:rsidR="00033D0F">
        <w:rPr>
          <w:position w:val="1"/>
        </w:rPr>
        <w:t>Australia</w:t>
      </w:r>
      <w:r w:rsidR="00033D0F">
        <w:rPr>
          <w:spacing w:val="21"/>
          <w:position w:val="1"/>
        </w:rPr>
        <w:t xml:space="preserve"> </w:t>
      </w:r>
      <w:r w:rsidR="00033D0F">
        <w:rPr>
          <w:position w:val="1"/>
        </w:rPr>
        <w:t>has</w:t>
      </w:r>
      <w:r w:rsidR="00033D0F">
        <w:rPr>
          <w:spacing w:val="23"/>
          <w:position w:val="1"/>
        </w:rPr>
        <w:t xml:space="preserve"> </w:t>
      </w:r>
      <w:r w:rsidR="00033D0F">
        <w:rPr>
          <w:position w:val="1"/>
        </w:rPr>
        <w:t>set</w:t>
      </w:r>
      <w:r w:rsidR="00033D0F">
        <w:rPr>
          <w:spacing w:val="22"/>
          <w:position w:val="1"/>
        </w:rPr>
        <w:t xml:space="preserve"> </w:t>
      </w:r>
      <w:r w:rsidR="00033D0F">
        <w:rPr>
          <w:position w:val="1"/>
        </w:rPr>
        <w:t>out</w:t>
      </w:r>
      <w:r w:rsidR="00033D0F">
        <w:rPr>
          <w:spacing w:val="22"/>
          <w:position w:val="1"/>
        </w:rPr>
        <w:t xml:space="preserve"> </w:t>
      </w:r>
      <w:r w:rsidR="00033D0F">
        <w:rPr>
          <w:position w:val="1"/>
        </w:rPr>
        <w:t>its</w:t>
      </w:r>
      <w:r w:rsidR="00033D0F">
        <w:rPr>
          <w:spacing w:val="23"/>
          <w:position w:val="1"/>
        </w:rPr>
        <w:t xml:space="preserve"> </w:t>
      </w:r>
      <w:r w:rsidR="00033D0F">
        <w:rPr>
          <w:position w:val="1"/>
        </w:rPr>
        <w:t>reply</w:t>
      </w:r>
      <w:r w:rsidR="00033D0F">
        <w:rPr>
          <w:spacing w:val="23"/>
          <w:position w:val="1"/>
        </w:rPr>
        <w:t xml:space="preserve"> </w:t>
      </w:r>
      <w:r w:rsidR="00033D0F">
        <w:rPr>
          <w:position w:val="1"/>
        </w:rPr>
        <w:t>to</w:t>
      </w:r>
      <w:r w:rsidR="00033D0F">
        <w:rPr>
          <w:spacing w:val="19"/>
          <w:position w:val="1"/>
        </w:rPr>
        <w:t xml:space="preserve"> </w:t>
      </w:r>
      <w:r w:rsidR="00033D0F">
        <w:rPr>
          <w:position w:val="1"/>
        </w:rPr>
        <w:t>China's</w:t>
      </w:r>
      <w:r w:rsidR="00033D0F">
        <w:rPr>
          <w:spacing w:val="23"/>
          <w:position w:val="1"/>
        </w:rPr>
        <w:t xml:space="preserve"> </w:t>
      </w:r>
      <w:r w:rsidR="00033D0F">
        <w:rPr>
          <w:position w:val="1"/>
        </w:rPr>
        <w:t>allegations</w:t>
      </w:r>
      <w:r w:rsidR="00033D0F">
        <w:rPr>
          <w:spacing w:val="23"/>
          <w:position w:val="1"/>
        </w:rPr>
        <w:t xml:space="preserve"> </w:t>
      </w:r>
      <w:r w:rsidR="00033D0F">
        <w:rPr>
          <w:position w:val="1"/>
        </w:rPr>
        <w:t>in</w:t>
      </w:r>
      <w:r w:rsidR="00033D0F">
        <w:rPr>
          <w:spacing w:val="20"/>
          <w:position w:val="1"/>
        </w:rPr>
        <w:t xml:space="preserve"> </w:t>
      </w:r>
      <w:r w:rsidR="00033D0F">
        <w:rPr>
          <w:position w:val="1"/>
        </w:rPr>
        <w:t>response</w:t>
      </w:r>
      <w:r w:rsidR="00033D0F">
        <w:rPr>
          <w:spacing w:val="22"/>
          <w:position w:val="1"/>
        </w:rPr>
        <w:t xml:space="preserve"> </w:t>
      </w:r>
      <w:r w:rsidR="00033D0F">
        <w:rPr>
          <w:position w:val="1"/>
        </w:rPr>
        <w:t>to</w:t>
      </w:r>
      <w:r w:rsidR="00033D0F">
        <w:rPr>
          <w:spacing w:val="19"/>
          <w:position w:val="1"/>
        </w:rPr>
        <w:t xml:space="preserve"> </w:t>
      </w:r>
      <w:r w:rsidR="00033D0F">
        <w:rPr>
          <w:position w:val="1"/>
        </w:rPr>
        <w:t>the</w:t>
      </w:r>
      <w:r w:rsidR="00033D0F">
        <w:rPr>
          <w:spacing w:val="21"/>
          <w:position w:val="1"/>
        </w:rPr>
        <w:t xml:space="preserve"> </w:t>
      </w:r>
      <w:r w:rsidR="00033D0F">
        <w:rPr>
          <w:position w:val="1"/>
        </w:rPr>
        <w:t>PRR</w:t>
      </w:r>
      <w:r w:rsidR="00033D0F">
        <w:rPr>
          <w:spacing w:val="25"/>
          <w:position w:val="1"/>
        </w:rPr>
        <w:t xml:space="preserve"> </w:t>
      </w:r>
      <w:r w:rsidR="00033D0F">
        <w:rPr>
          <w:position w:val="1"/>
        </w:rPr>
        <w:t>and</w:t>
      </w:r>
      <w:r w:rsidR="00033D0F">
        <w:rPr>
          <w:spacing w:val="20"/>
          <w:position w:val="1"/>
        </w:rPr>
        <w:t xml:space="preserve"> </w:t>
      </w:r>
      <w:r w:rsidR="00033D0F">
        <w:rPr>
          <w:position w:val="1"/>
        </w:rPr>
        <w:t xml:space="preserve">it </w:t>
      </w:r>
      <w:r w:rsidR="00033D0F">
        <w:t>stands on those submissions.</w:t>
      </w:r>
      <w:hyperlink w:anchor="_bookmark1721" w:history="1">
        <w:r w:rsidR="00033D0F">
          <w:rPr>
            <w:vertAlign w:val="superscript"/>
          </w:rPr>
          <w:t>1498</w:t>
        </w:r>
      </w:hyperlink>
    </w:p>
    <w:p w14:paraId="57328DDC" w14:textId="77777777" w:rsidR="00BD462C" w:rsidRDefault="00033D0F">
      <w:pPr>
        <w:pStyle w:val="ListParagraph"/>
        <w:numPr>
          <w:ilvl w:val="1"/>
          <w:numId w:val="5"/>
        </w:numPr>
        <w:tabs>
          <w:tab w:val="left" w:pos="985"/>
          <w:tab w:val="left" w:pos="986"/>
        </w:tabs>
        <w:spacing w:before="159"/>
        <w:ind w:hanging="851"/>
        <w:rPr>
          <w:b/>
          <w:sz w:val="19"/>
        </w:rPr>
      </w:pPr>
      <w:bookmarkStart w:id="1996" w:name="A.2_Definition_of_domestic_industry"/>
      <w:bookmarkEnd w:id="1996"/>
      <w:r>
        <w:rPr>
          <w:b/>
          <w:sz w:val="24"/>
        </w:rPr>
        <w:t>D</w:t>
      </w:r>
      <w:r>
        <w:rPr>
          <w:b/>
          <w:sz w:val="19"/>
        </w:rPr>
        <w:t>EFINITION</w:t>
      </w:r>
      <w:r>
        <w:rPr>
          <w:b/>
          <w:spacing w:val="-4"/>
          <w:sz w:val="19"/>
        </w:rPr>
        <w:t xml:space="preserve"> </w:t>
      </w:r>
      <w:r>
        <w:rPr>
          <w:b/>
          <w:sz w:val="19"/>
        </w:rPr>
        <w:t>OF</w:t>
      </w:r>
      <w:r>
        <w:rPr>
          <w:b/>
          <w:spacing w:val="-3"/>
          <w:sz w:val="19"/>
        </w:rPr>
        <w:t xml:space="preserve"> </w:t>
      </w:r>
      <w:r>
        <w:rPr>
          <w:b/>
          <w:sz w:val="19"/>
        </w:rPr>
        <w:t>DOMESTIC</w:t>
      </w:r>
      <w:r>
        <w:rPr>
          <w:b/>
          <w:spacing w:val="-2"/>
          <w:sz w:val="19"/>
        </w:rPr>
        <w:t xml:space="preserve"> INDUSTRY</w:t>
      </w:r>
    </w:p>
    <w:p w14:paraId="4979164D" w14:textId="77777777" w:rsidR="00BD462C" w:rsidRDefault="00BD462C">
      <w:pPr>
        <w:pStyle w:val="BodyText"/>
        <w:spacing w:before="2"/>
        <w:rPr>
          <w:b/>
          <w:sz w:val="25"/>
        </w:rPr>
      </w:pPr>
    </w:p>
    <w:p w14:paraId="45595898" w14:textId="77777777" w:rsidR="00BD462C" w:rsidRDefault="00033D0F">
      <w:pPr>
        <w:pStyle w:val="Heading3"/>
        <w:numPr>
          <w:ilvl w:val="2"/>
          <w:numId w:val="5"/>
        </w:numPr>
        <w:tabs>
          <w:tab w:val="left" w:pos="1835"/>
          <w:tab w:val="left" w:pos="1836"/>
        </w:tabs>
        <w:spacing w:before="0" w:line="362" w:lineRule="auto"/>
        <w:ind w:right="914"/>
      </w:pPr>
      <w:bookmarkStart w:id="1997" w:name="A.2.1_Australia's_claim_pursuant_to_Arti"/>
      <w:bookmarkStart w:id="1998" w:name="_bookmark1718"/>
      <w:bookmarkEnd w:id="1997"/>
      <w:bookmarkEnd w:id="1998"/>
      <w:r>
        <w:t>Australia's</w:t>
      </w:r>
      <w:r>
        <w:rPr>
          <w:spacing w:val="40"/>
        </w:rPr>
        <w:t xml:space="preserve"> </w:t>
      </w:r>
      <w:r>
        <w:t>claim</w:t>
      </w:r>
      <w:r>
        <w:rPr>
          <w:spacing w:val="40"/>
        </w:rPr>
        <w:t xml:space="preserve"> </w:t>
      </w:r>
      <w:r>
        <w:t>pursuant</w:t>
      </w:r>
      <w:r>
        <w:rPr>
          <w:spacing w:val="40"/>
        </w:rPr>
        <w:t xml:space="preserve"> </w:t>
      </w:r>
      <w:r>
        <w:t>to</w:t>
      </w:r>
      <w:r>
        <w:rPr>
          <w:spacing w:val="40"/>
        </w:rPr>
        <w:t xml:space="preserve"> </w:t>
      </w:r>
      <w:r>
        <w:t>Article</w:t>
      </w:r>
      <w:r>
        <w:rPr>
          <w:spacing w:val="40"/>
        </w:rPr>
        <w:t xml:space="preserve"> </w:t>
      </w:r>
      <w:r>
        <w:t>4.1</w:t>
      </w:r>
      <w:r>
        <w:rPr>
          <w:spacing w:val="40"/>
        </w:rPr>
        <w:t xml:space="preserve"> </w:t>
      </w:r>
      <w:r>
        <w:t>is</w:t>
      </w:r>
      <w:r>
        <w:rPr>
          <w:spacing w:val="40"/>
        </w:rPr>
        <w:t xml:space="preserve"> </w:t>
      </w:r>
      <w:r>
        <w:t>within</w:t>
      </w:r>
      <w:r>
        <w:rPr>
          <w:spacing w:val="40"/>
        </w:rPr>
        <w:t xml:space="preserve"> </w:t>
      </w:r>
      <w:r>
        <w:t>the</w:t>
      </w:r>
      <w:r>
        <w:rPr>
          <w:spacing w:val="40"/>
        </w:rPr>
        <w:t xml:space="preserve"> </w:t>
      </w:r>
      <w:r>
        <w:t>Panel's</w:t>
      </w:r>
      <w:r>
        <w:rPr>
          <w:spacing w:val="40"/>
        </w:rPr>
        <w:t xml:space="preserve"> </w:t>
      </w:r>
      <w:r>
        <w:t>terms</w:t>
      </w:r>
      <w:r>
        <w:rPr>
          <w:spacing w:val="40"/>
        </w:rPr>
        <w:t xml:space="preserve"> </w:t>
      </w:r>
      <w:r>
        <w:t xml:space="preserve">of </w:t>
      </w:r>
      <w:r>
        <w:rPr>
          <w:spacing w:val="-2"/>
        </w:rPr>
        <w:t>reference.</w:t>
      </w:r>
    </w:p>
    <w:p w14:paraId="0FA8AA25" w14:textId="77777777" w:rsidR="00BD462C" w:rsidRDefault="00BD462C">
      <w:pPr>
        <w:pStyle w:val="BodyText"/>
        <w:spacing w:before="8"/>
        <w:rPr>
          <w:b/>
          <w:sz w:val="8"/>
        </w:rPr>
      </w:pPr>
    </w:p>
    <w:p w14:paraId="549408A2" w14:textId="09267988" w:rsidR="00BD462C" w:rsidRDefault="00F03EFC">
      <w:pPr>
        <w:pStyle w:val="BodyText"/>
        <w:spacing w:before="56" w:line="360" w:lineRule="auto"/>
        <w:ind w:left="135" w:right="912" w:firstLine="9"/>
        <w:jc w:val="both"/>
      </w:pPr>
      <w:r>
        <w:rPr>
          <w:noProof/>
        </w:rPr>
        <w:t>13.</w:t>
      </w:r>
      <w:r w:rsidR="00033D0F">
        <w:rPr>
          <w:rFonts w:ascii="Times New Roman"/>
          <w:spacing w:val="80"/>
          <w:w w:val="150"/>
          <w:position w:val="1"/>
          <w:sz w:val="20"/>
        </w:rPr>
        <w:t xml:space="preserve">  </w:t>
      </w:r>
      <w:r w:rsidR="00033D0F">
        <w:rPr>
          <w:position w:val="1"/>
        </w:rPr>
        <w:t xml:space="preserve">In its first written submission, China raises a new objection to Australia's claim </w:t>
      </w:r>
      <w:r w:rsidR="00033D0F">
        <w:t>pursuant to Article 4.1.</w:t>
      </w:r>
      <w:hyperlink w:anchor="_bookmark1722" w:history="1">
        <w:r w:rsidR="00033D0F">
          <w:rPr>
            <w:vertAlign w:val="superscript"/>
          </w:rPr>
          <w:t>1499</w:t>
        </w:r>
      </w:hyperlink>
      <w:r w:rsidR="00033D0F">
        <w:t xml:space="preserve"> To the best of Australia's understanding, China alleges that Australia's</w:t>
      </w:r>
      <w:r w:rsidR="00033D0F">
        <w:rPr>
          <w:spacing w:val="-14"/>
        </w:rPr>
        <w:t xml:space="preserve"> </w:t>
      </w:r>
      <w:r w:rsidR="00033D0F">
        <w:t>panel</w:t>
      </w:r>
      <w:r w:rsidR="00033D0F">
        <w:rPr>
          <w:spacing w:val="-14"/>
        </w:rPr>
        <w:t xml:space="preserve"> </w:t>
      </w:r>
      <w:r w:rsidR="00033D0F">
        <w:t>request</w:t>
      </w:r>
      <w:r w:rsidR="00033D0F">
        <w:rPr>
          <w:spacing w:val="-13"/>
        </w:rPr>
        <w:t xml:space="preserve"> </w:t>
      </w:r>
      <w:r w:rsidR="00033D0F">
        <w:t>was</w:t>
      </w:r>
      <w:r w:rsidR="00033D0F">
        <w:rPr>
          <w:spacing w:val="-14"/>
        </w:rPr>
        <w:t xml:space="preserve"> </w:t>
      </w:r>
      <w:r w:rsidR="00033D0F">
        <w:t>insufficiently</w:t>
      </w:r>
      <w:r w:rsidR="00033D0F">
        <w:rPr>
          <w:spacing w:val="-13"/>
        </w:rPr>
        <w:t xml:space="preserve"> </w:t>
      </w:r>
      <w:r w:rsidR="00033D0F">
        <w:t>clear</w:t>
      </w:r>
      <w:r w:rsidR="00033D0F">
        <w:rPr>
          <w:spacing w:val="-14"/>
        </w:rPr>
        <w:t xml:space="preserve"> </w:t>
      </w:r>
      <w:r w:rsidR="00033D0F">
        <w:t>as</w:t>
      </w:r>
      <w:r w:rsidR="00033D0F">
        <w:rPr>
          <w:spacing w:val="-13"/>
        </w:rPr>
        <w:t xml:space="preserve"> </w:t>
      </w:r>
      <w:r w:rsidR="00033D0F">
        <w:t>it</w:t>
      </w:r>
      <w:r w:rsidR="00033D0F">
        <w:rPr>
          <w:spacing w:val="-14"/>
        </w:rPr>
        <w:t xml:space="preserve"> </w:t>
      </w:r>
      <w:r w:rsidR="00033D0F">
        <w:t>used</w:t>
      </w:r>
      <w:r w:rsidR="00033D0F">
        <w:rPr>
          <w:spacing w:val="-14"/>
        </w:rPr>
        <w:t xml:space="preserve"> </w:t>
      </w:r>
      <w:r w:rsidR="00033D0F">
        <w:t>the</w:t>
      </w:r>
      <w:r w:rsidR="00033D0F">
        <w:rPr>
          <w:spacing w:val="-13"/>
        </w:rPr>
        <w:t xml:space="preserve"> </w:t>
      </w:r>
      <w:r w:rsidR="00033D0F">
        <w:t>term</w:t>
      </w:r>
      <w:r w:rsidR="00033D0F">
        <w:rPr>
          <w:spacing w:val="-14"/>
        </w:rPr>
        <w:t xml:space="preserve"> </w:t>
      </w:r>
      <w:r w:rsidR="00033D0F">
        <w:t>"</w:t>
      </w:r>
      <w:r w:rsidR="00033D0F">
        <w:rPr>
          <w:i/>
        </w:rPr>
        <w:t>inter</w:t>
      </w:r>
      <w:r w:rsidR="00033D0F">
        <w:rPr>
          <w:i/>
          <w:spacing w:val="-13"/>
        </w:rPr>
        <w:t xml:space="preserve"> </w:t>
      </w:r>
      <w:r w:rsidR="00033D0F">
        <w:rPr>
          <w:i/>
        </w:rPr>
        <w:t>alia</w:t>
      </w:r>
      <w:r w:rsidR="00033D0F">
        <w:t>",</w:t>
      </w:r>
      <w:r w:rsidR="00033D0F">
        <w:rPr>
          <w:spacing w:val="-14"/>
        </w:rPr>
        <w:t xml:space="preserve"> </w:t>
      </w:r>
      <w:r w:rsidR="00033D0F">
        <w:t>and,</w:t>
      </w:r>
      <w:r w:rsidR="00033D0F">
        <w:rPr>
          <w:spacing w:val="-13"/>
        </w:rPr>
        <w:t xml:space="preserve"> </w:t>
      </w:r>
      <w:r w:rsidR="00033D0F">
        <w:t>therefore, that</w:t>
      </w:r>
      <w:r w:rsidR="00033D0F">
        <w:rPr>
          <w:spacing w:val="-7"/>
        </w:rPr>
        <w:t xml:space="preserve"> </w:t>
      </w:r>
      <w:r w:rsidR="00033D0F">
        <w:t>Australia</w:t>
      </w:r>
      <w:r w:rsidR="00033D0F">
        <w:rPr>
          <w:spacing w:val="-8"/>
        </w:rPr>
        <w:t xml:space="preserve"> </w:t>
      </w:r>
      <w:r w:rsidR="00033D0F">
        <w:t>can</w:t>
      </w:r>
      <w:r w:rsidR="00033D0F">
        <w:rPr>
          <w:spacing w:val="-9"/>
        </w:rPr>
        <w:t xml:space="preserve"> </w:t>
      </w:r>
      <w:r w:rsidR="00033D0F">
        <w:t>only</w:t>
      </w:r>
      <w:r w:rsidR="00033D0F">
        <w:rPr>
          <w:spacing w:val="-6"/>
        </w:rPr>
        <w:t xml:space="preserve"> </w:t>
      </w:r>
      <w:r w:rsidR="00033D0F">
        <w:t>adduce</w:t>
      </w:r>
      <w:r w:rsidR="00033D0F">
        <w:rPr>
          <w:spacing w:val="-7"/>
        </w:rPr>
        <w:t xml:space="preserve"> </w:t>
      </w:r>
      <w:r w:rsidR="00033D0F">
        <w:t>arguments</w:t>
      </w:r>
      <w:r w:rsidR="00033D0F">
        <w:rPr>
          <w:spacing w:val="-6"/>
        </w:rPr>
        <w:t xml:space="preserve"> </w:t>
      </w:r>
      <w:r w:rsidR="00033D0F">
        <w:t>relevant</w:t>
      </w:r>
      <w:r w:rsidR="00033D0F">
        <w:rPr>
          <w:spacing w:val="-11"/>
        </w:rPr>
        <w:t xml:space="preserve"> </w:t>
      </w:r>
      <w:r w:rsidR="00033D0F">
        <w:t>to</w:t>
      </w:r>
      <w:r w:rsidR="00033D0F">
        <w:rPr>
          <w:spacing w:val="-10"/>
        </w:rPr>
        <w:t xml:space="preserve"> </w:t>
      </w:r>
      <w:r w:rsidR="00033D0F">
        <w:t>"failing</w:t>
      </w:r>
      <w:r w:rsidR="00033D0F">
        <w:rPr>
          <w:spacing w:val="-10"/>
        </w:rPr>
        <w:t xml:space="preserve"> </w:t>
      </w:r>
      <w:r w:rsidR="00033D0F">
        <w:t>to</w:t>
      </w:r>
      <w:r w:rsidR="00033D0F">
        <w:rPr>
          <w:spacing w:val="-10"/>
        </w:rPr>
        <w:t xml:space="preserve"> </w:t>
      </w:r>
      <w:r w:rsidR="00033D0F">
        <w:t>establish</w:t>
      </w:r>
      <w:r w:rsidR="00033D0F">
        <w:rPr>
          <w:spacing w:val="-9"/>
        </w:rPr>
        <w:t xml:space="preserve"> </w:t>
      </w:r>
      <w:r w:rsidR="00033D0F">
        <w:t>the</w:t>
      </w:r>
      <w:r w:rsidR="00033D0F">
        <w:rPr>
          <w:spacing w:val="-7"/>
        </w:rPr>
        <w:t xml:space="preserve"> </w:t>
      </w:r>
      <w:r w:rsidR="00033D0F">
        <w:t>quantitative</w:t>
      </w:r>
      <w:r w:rsidR="00033D0F">
        <w:rPr>
          <w:spacing w:val="-7"/>
        </w:rPr>
        <w:t xml:space="preserve"> </w:t>
      </w:r>
      <w:r w:rsidR="00033D0F">
        <w:t>and qualitative elements of a major proportion of the total domestic production of the like products".</w:t>
      </w:r>
      <w:hyperlink w:anchor="_bookmark1723" w:history="1">
        <w:r w:rsidR="00033D0F">
          <w:rPr>
            <w:vertAlign w:val="superscript"/>
          </w:rPr>
          <w:t>1500</w:t>
        </w:r>
      </w:hyperlink>
      <w:r w:rsidR="00033D0F">
        <w:t xml:space="preserve"> This objection further demonstrates that China misunderstands what is required to provide a brief summary of the legal basis of the complaint that is sufficient to present the problem clearly.</w:t>
      </w:r>
    </w:p>
    <w:p w14:paraId="4E1C1BB9" w14:textId="77777777" w:rsidR="00BD462C" w:rsidRDefault="00BD462C">
      <w:pPr>
        <w:pStyle w:val="BodyText"/>
        <w:spacing w:before="7"/>
        <w:rPr>
          <w:sz w:val="8"/>
        </w:rPr>
      </w:pPr>
    </w:p>
    <w:p w14:paraId="27605F20" w14:textId="3E9FC034" w:rsidR="00BD462C" w:rsidRDefault="00F03EFC">
      <w:pPr>
        <w:pStyle w:val="BodyText"/>
        <w:spacing w:before="56" w:line="355" w:lineRule="auto"/>
        <w:ind w:left="135" w:right="923" w:firstLine="9"/>
      </w:pPr>
      <w:r>
        <w:rPr>
          <w:noProof/>
        </w:rPr>
        <w:t>14.</w:t>
      </w:r>
      <w:r w:rsidR="00033D0F">
        <w:rPr>
          <w:rFonts w:ascii="Times New Roman" w:hAnsi="Times New Roman"/>
          <w:spacing w:val="80"/>
          <w:w w:val="150"/>
          <w:position w:val="1"/>
          <w:sz w:val="20"/>
        </w:rPr>
        <w:t xml:space="preserve">   </w:t>
      </w:r>
      <w:r w:rsidR="00033D0F">
        <w:rPr>
          <w:position w:val="1"/>
        </w:rPr>
        <w:t>The</w:t>
      </w:r>
      <w:r w:rsidR="00033D0F">
        <w:rPr>
          <w:spacing w:val="21"/>
          <w:position w:val="1"/>
        </w:rPr>
        <w:t xml:space="preserve"> </w:t>
      </w:r>
      <w:r w:rsidR="00033D0F">
        <w:rPr>
          <w:position w:val="1"/>
        </w:rPr>
        <w:t>Appellate</w:t>
      </w:r>
      <w:r w:rsidR="00033D0F">
        <w:rPr>
          <w:spacing w:val="22"/>
          <w:position w:val="1"/>
        </w:rPr>
        <w:t xml:space="preserve"> </w:t>
      </w:r>
      <w:r w:rsidR="00033D0F">
        <w:rPr>
          <w:position w:val="1"/>
        </w:rPr>
        <w:t>Body</w:t>
      </w:r>
      <w:r w:rsidR="00033D0F">
        <w:rPr>
          <w:spacing w:val="23"/>
          <w:position w:val="1"/>
        </w:rPr>
        <w:t xml:space="preserve"> </w:t>
      </w:r>
      <w:r w:rsidR="00033D0F">
        <w:rPr>
          <w:position w:val="1"/>
        </w:rPr>
        <w:t>in</w:t>
      </w:r>
      <w:r w:rsidR="00033D0F">
        <w:rPr>
          <w:spacing w:val="20"/>
          <w:position w:val="1"/>
        </w:rPr>
        <w:t xml:space="preserve"> </w:t>
      </w:r>
      <w:r w:rsidR="00033D0F">
        <w:rPr>
          <w:i/>
          <w:position w:val="1"/>
        </w:rPr>
        <w:t>Korea</w:t>
      </w:r>
      <w:r w:rsidR="00033D0F">
        <w:rPr>
          <w:i/>
          <w:spacing w:val="23"/>
          <w:position w:val="1"/>
        </w:rPr>
        <w:t xml:space="preserve"> </w:t>
      </w:r>
      <w:r w:rsidR="00033D0F">
        <w:rPr>
          <w:i/>
          <w:position w:val="1"/>
        </w:rPr>
        <w:t>–</w:t>
      </w:r>
      <w:r w:rsidR="00033D0F">
        <w:rPr>
          <w:i/>
          <w:spacing w:val="26"/>
          <w:position w:val="1"/>
        </w:rPr>
        <w:t xml:space="preserve"> </w:t>
      </w:r>
      <w:r w:rsidR="00033D0F">
        <w:rPr>
          <w:i/>
          <w:position w:val="1"/>
        </w:rPr>
        <w:t>Pneumatic</w:t>
      </w:r>
      <w:r w:rsidR="00033D0F">
        <w:rPr>
          <w:i/>
          <w:spacing w:val="22"/>
          <w:position w:val="1"/>
        </w:rPr>
        <w:t xml:space="preserve"> </w:t>
      </w:r>
      <w:r w:rsidR="00033D0F">
        <w:rPr>
          <w:i/>
          <w:position w:val="1"/>
        </w:rPr>
        <w:t>Valves</w:t>
      </w:r>
      <w:r w:rsidR="00033D0F">
        <w:rPr>
          <w:i/>
          <w:spacing w:val="19"/>
          <w:position w:val="1"/>
        </w:rPr>
        <w:t xml:space="preserve"> </w:t>
      </w:r>
      <w:r w:rsidR="00033D0F">
        <w:rPr>
          <w:position w:val="1"/>
        </w:rPr>
        <w:t>directly</w:t>
      </w:r>
      <w:r w:rsidR="00033D0F">
        <w:rPr>
          <w:spacing w:val="23"/>
          <w:position w:val="1"/>
        </w:rPr>
        <w:t xml:space="preserve"> </w:t>
      </w:r>
      <w:r w:rsidR="00033D0F">
        <w:rPr>
          <w:position w:val="1"/>
        </w:rPr>
        <w:t>overruled</w:t>
      </w:r>
      <w:r w:rsidR="00033D0F">
        <w:rPr>
          <w:spacing w:val="25"/>
          <w:position w:val="1"/>
        </w:rPr>
        <w:t xml:space="preserve"> </w:t>
      </w:r>
      <w:r w:rsidR="00033D0F">
        <w:rPr>
          <w:position w:val="1"/>
        </w:rPr>
        <w:t>the</w:t>
      </w:r>
      <w:r w:rsidR="00033D0F">
        <w:rPr>
          <w:spacing w:val="21"/>
          <w:position w:val="1"/>
        </w:rPr>
        <w:t xml:space="preserve"> </w:t>
      </w:r>
      <w:r w:rsidR="00033D0F">
        <w:rPr>
          <w:position w:val="1"/>
        </w:rPr>
        <w:t xml:space="preserve">objections </w:t>
      </w:r>
      <w:r w:rsidR="00033D0F">
        <w:t>that</w:t>
      </w:r>
      <w:r w:rsidR="00033D0F">
        <w:rPr>
          <w:spacing w:val="-2"/>
        </w:rPr>
        <w:t xml:space="preserve"> </w:t>
      </w:r>
      <w:r w:rsidR="00033D0F">
        <w:t>China</w:t>
      </w:r>
      <w:r w:rsidR="00033D0F">
        <w:rPr>
          <w:spacing w:val="-2"/>
        </w:rPr>
        <w:t xml:space="preserve"> </w:t>
      </w:r>
      <w:r w:rsidR="00033D0F">
        <w:t>now</w:t>
      </w:r>
      <w:r w:rsidR="00033D0F">
        <w:rPr>
          <w:spacing w:val="3"/>
        </w:rPr>
        <w:t xml:space="preserve"> </w:t>
      </w:r>
      <w:r w:rsidR="00033D0F">
        <w:t>makes.</w:t>
      </w:r>
      <w:hyperlink w:anchor="_bookmark1724" w:history="1">
        <w:r w:rsidR="00033D0F">
          <w:rPr>
            <w:vertAlign w:val="superscript"/>
          </w:rPr>
          <w:t>1501</w:t>
        </w:r>
      </w:hyperlink>
      <w:r w:rsidR="00033D0F">
        <w:rPr>
          <w:spacing w:val="-1"/>
        </w:rPr>
        <w:t xml:space="preserve"> </w:t>
      </w:r>
      <w:r w:rsidR="00033D0F">
        <w:t>In</w:t>
      </w:r>
      <w:r w:rsidR="00033D0F">
        <w:rPr>
          <w:spacing w:val="1"/>
        </w:rPr>
        <w:t xml:space="preserve"> </w:t>
      </w:r>
      <w:r w:rsidR="00033D0F">
        <w:t>that</w:t>
      </w:r>
      <w:r w:rsidR="00033D0F">
        <w:rPr>
          <w:spacing w:val="-1"/>
        </w:rPr>
        <w:t xml:space="preserve"> </w:t>
      </w:r>
      <w:r w:rsidR="00033D0F">
        <w:t>dispute,</w:t>
      </w:r>
      <w:r w:rsidR="00033D0F">
        <w:rPr>
          <w:spacing w:val="1"/>
        </w:rPr>
        <w:t xml:space="preserve"> </w:t>
      </w:r>
      <w:r w:rsidR="00033D0F">
        <w:t>the</w:t>
      </w:r>
      <w:r w:rsidR="00033D0F">
        <w:rPr>
          <w:spacing w:val="-3"/>
        </w:rPr>
        <w:t xml:space="preserve"> </w:t>
      </w:r>
      <w:r w:rsidR="00033D0F">
        <w:t>Appellate</w:t>
      </w:r>
      <w:r w:rsidR="00033D0F">
        <w:rPr>
          <w:spacing w:val="-1"/>
        </w:rPr>
        <w:t xml:space="preserve"> </w:t>
      </w:r>
      <w:r w:rsidR="00033D0F">
        <w:t>Body</w:t>
      </w:r>
      <w:r w:rsidR="00033D0F">
        <w:rPr>
          <w:spacing w:val="3"/>
        </w:rPr>
        <w:t xml:space="preserve"> </w:t>
      </w:r>
      <w:r w:rsidR="00033D0F">
        <w:t>held</w:t>
      </w:r>
      <w:r w:rsidR="00033D0F">
        <w:rPr>
          <w:spacing w:val="-3"/>
        </w:rPr>
        <w:t xml:space="preserve"> </w:t>
      </w:r>
      <w:r w:rsidR="00033D0F">
        <w:t>that</w:t>
      </w:r>
      <w:r w:rsidR="00033D0F">
        <w:rPr>
          <w:spacing w:val="-1"/>
        </w:rPr>
        <w:t xml:space="preserve"> </w:t>
      </w:r>
      <w:r w:rsidR="00033D0F">
        <w:t>it</w:t>
      </w:r>
      <w:r w:rsidR="00033D0F">
        <w:rPr>
          <w:spacing w:val="-2"/>
        </w:rPr>
        <w:t xml:space="preserve"> </w:t>
      </w:r>
      <w:r w:rsidR="00033D0F">
        <w:t>was sufficient</w:t>
      </w:r>
      <w:r w:rsidR="00033D0F">
        <w:rPr>
          <w:spacing w:val="-2"/>
        </w:rPr>
        <w:t xml:space="preserve"> </w:t>
      </w:r>
      <w:r w:rsidR="00033D0F">
        <w:t>for</w:t>
      </w:r>
      <w:r w:rsidR="00033D0F">
        <w:rPr>
          <w:spacing w:val="1"/>
        </w:rPr>
        <w:t xml:space="preserve"> </w:t>
      </w:r>
      <w:r w:rsidR="00033D0F">
        <w:rPr>
          <w:spacing w:val="-10"/>
        </w:rPr>
        <w:t>a</w:t>
      </w:r>
    </w:p>
    <w:p w14:paraId="372E1D13" w14:textId="330C1E81" w:rsidR="00BD462C" w:rsidRDefault="006E6DEA">
      <w:pPr>
        <w:pStyle w:val="BodyText"/>
        <w:rPr>
          <w:sz w:val="20"/>
        </w:rPr>
      </w:pPr>
      <w:r>
        <w:rPr>
          <w:noProof/>
        </w:rPr>
        <mc:AlternateContent>
          <mc:Choice Requires="wps">
            <w:drawing>
              <wp:anchor distT="0" distB="0" distL="0" distR="0" simplePos="0" relativeHeight="488114688" behindDoc="1" locked="0" layoutInCell="1" allowOverlap="1" wp14:anchorId="492C8E54" wp14:editId="72FB1C58">
                <wp:simplePos x="0" y="0"/>
                <wp:positionH relativeFrom="page">
                  <wp:posOffset>812800</wp:posOffset>
                </wp:positionH>
                <wp:positionV relativeFrom="paragraph">
                  <wp:posOffset>297815</wp:posOffset>
                </wp:positionV>
                <wp:extent cx="1828800" cy="8890"/>
                <wp:effectExtent l="0" t="0" r="0" b="0"/>
                <wp:wrapTopAndBottom/>
                <wp:docPr id="87" name="docshape7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A50CDB" id="docshape705" o:spid="_x0000_s1026" alt="&quot;&quot;" style="position:absolute;margin-left:64pt;margin-top:23.45pt;width:2in;height:.7pt;z-index:-15201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" fillcolor="black" stroked="f">
                <w10:wrap type="topAndBottom" anchorx="page"/>
              </v:rect>
            </w:pict>
          </mc:Fallback>
        </mc:AlternateContent>
      </w:r>
    </w:p>
    <w:p w14:paraId="7F1E428E" w14:textId="488F0DAA" w:rsidR="00BD462C" w:rsidRDefault="00BD462C">
      <w:pPr>
        <w:pStyle w:val="BodyText"/>
        <w:spacing w:before="2"/>
        <w:rPr>
          <w:sz w:val="18"/>
        </w:rPr>
      </w:pPr>
    </w:p>
    <w:p w14:paraId="46EC4DED" w14:textId="77777777" w:rsidR="00BD462C" w:rsidRDefault="00033D0F">
      <w:pPr>
        <w:spacing w:before="112"/>
        <w:ind w:left="135"/>
        <w:rPr>
          <w:sz w:val="18"/>
        </w:rPr>
      </w:pPr>
      <w:bookmarkStart w:id="1999" w:name="_bookmark1719"/>
      <w:bookmarkEnd w:id="1999"/>
      <w:r>
        <w:rPr>
          <w:position w:val="5"/>
          <w:sz w:val="12"/>
        </w:rPr>
        <w:t>1496</w:t>
      </w:r>
      <w:r>
        <w:rPr>
          <w:spacing w:val="13"/>
          <w:position w:val="5"/>
          <w:sz w:val="12"/>
        </w:rPr>
        <w:t xml:space="preserve"> </w:t>
      </w:r>
      <w:r>
        <w:rPr>
          <w:sz w:val="18"/>
        </w:rPr>
        <w:t>China's</w:t>
      </w:r>
      <w:r>
        <w:rPr>
          <w:spacing w:val="-5"/>
          <w:sz w:val="18"/>
        </w:rPr>
        <w:t xml:space="preserve"> </w:t>
      </w:r>
      <w:r>
        <w:rPr>
          <w:sz w:val="18"/>
        </w:rPr>
        <w:t>first</w:t>
      </w:r>
      <w:r>
        <w:rPr>
          <w:spacing w:val="-4"/>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paras.</w:t>
      </w:r>
      <w:r>
        <w:rPr>
          <w:spacing w:val="-4"/>
          <w:sz w:val="18"/>
        </w:rPr>
        <w:t xml:space="preserve"> </w:t>
      </w:r>
      <w:r>
        <w:rPr>
          <w:sz w:val="18"/>
        </w:rPr>
        <w:t>85,</w:t>
      </w:r>
      <w:r>
        <w:rPr>
          <w:spacing w:val="-3"/>
          <w:sz w:val="18"/>
        </w:rPr>
        <w:t xml:space="preserve"> </w:t>
      </w:r>
      <w:r>
        <w:rPr>
          <w:sz w:val="18"/>
        </w:rPr>
        <w:t>133;</w:t>
      </w:r>
      <w:r>
        <w:rPr>
          <w:spacing w:val="-7"/>
          <w:sz w:val="18"/>
        </w:rPr>
        <w:t xml:space="preserve"> </w:t>
      </w:r>
      <w:r>
        <w:rPr>
          <w:sz w:val="18"/>
        </w:rPr>
        <w:t>see</w:t>
      </w:r>
      <w:r>
        <w:rPr>
          <w:spacing w:val="-5"/>
          <w:sz w:val="18"/>
        </w:rPr>
        <w:t xml:space="preserve"> </w:t>
      </w:r>
      <w:r>
        <w:rPr>
          <w:sz w:val="18"/>
        </w:rPr>
        <w:t>Australia's</w:t>
      </w:r>
      <w:r>
        <w:rPr>
          <w:spacing w:val="-6"/>
          <w:sz w:val="18"/>
        </w:rPr>
        <w:t xml:space="preserve"> </w:t>
      </w:r>
      <w:r>
        <w:rPr>
          <w:sz w:val="18"/>
        </w:rPr>
        <w:t>panel request,</w:t>
      </w:r>
      <w:r>
        <w:rPr>
          <w:spacing w:val="-3"/>
          <w:sz w:val="18"/>
        </w:rPr>
        <w:t xml:space="preserve"> </w:t>
      </w:r>
      <w:r>
        <w:rPr>
          <w:sz w:val="18"/>
        </w:rPr>
        <w:t>para.</w:t>
      </w:r>
      <w:r>
        <w:rPr>
          <w:spacing w:val="-4"/>
          <w:sz w:val="18"/>
        </w:rPr>
        <w:t xml:space="preserve"> </w:t>
      </w:r>
      <w:r>
        <w:rPr>
          <w:spacing w:val="-2"/>
          <w:sz w:val="18"/>
        </w:rPr>
        <w:t>(xiv).</w:t>
      </w:r>
    </w:p>
    <w:p w14:paraId="72765F2D" w14:textId="77777777" w:rsidR="00BD462C" w:rsidRDefault="00033D0F">
      <w:pPr>
        <w:spacing w:before="1" w:line="218" w:lineRule="exact"/>
        <w:ind w:left="135"/>
        <w:rPr>
          <w:sz w:val="18"/>
        </w:rPr>
      </w:pPr>
      <w:bookmarkStart w:id="2000" w:name="_bookmark1720"/>
      <w:bookmarkEnd w:id="2000"/>
      <w:r>
        <w:rPr>
          <w:position w:val="5"/>
          <w:sz w:val="12"/>
        </w:rPr>
        <w:t>1497</w:t>
      </w:r>
      <w:r>
        <w:rPr>
          <w:spacing w:val="14"/>
          <w:position w:val="5"/>
          <w:sz w:val="12"/>
        </w:rPr>
        <w:t xml:space="preserve"> </w:t>
      </w:r>
      <w:r>
        <w:rPr>
          <w:sz w:val="18"/>
        </w:rPr>
        <w:t>See</w:t>
      </w:r>
      <w:r>
        <w:rPr>
          <w:spacing w:val="-5"/>
          <w:sz w:val="18"/>
        </w:rPr>
        <w:t xml:space="preserve"> </w:t>
      </w:r>
      <w:r>
        <w:rPr>
          <w:sz w:val="18"/>
        </w:rPr>
        <w:t>above,</w:t>
      </w:r>
      <w:r>
        <w:rPr>
          <w:spacing w:val="-2"/>
          <w:sz w:val="18"/>
        </w:rPr>
        <w:t xml:space="preserve"> </w:t>
      </w:r>
      <w:r>
        <w:rPr>
          <w:sz w:val="18"/>
        </w:rPr>
        <w:t>paras.</w:t>
      </w:r>
      <w:r>
        <w:rPr>
          <w:spacing w:val="1"/>
          <w:sz w:val="18"/>
        </w:rPr>
        <w:t xml:space="preserve"> </w:t>
      </w:r>
      <w:hyperlink w:anchor="_bookmark40" w:history="1">
        <w:r>
          <w:rPr>
            <w:sz w:val="18"/>
          </w:rPr>
          <w:t>25</w:t>
        </w:r>
      </w:hyperlink>
      <w:hyperlink w:anchor="_bookmark51" w:history="1">
        <w:r>
          <w:rPr>
            <w:sz w:val="18"/>
          </w:rPr>
          <w:t>-</w:t>
        </w:r>
        <w:r>
          <w:rPr>
            <w:spacing w:val="-5"/>
            <w:sz w:val="18"/>
          </w:rPr>
          <w:t>27.</w:t>
        </w:r>
      </w:hyperlink>
    </w:p>
    <w:p w14:paraId="422E38A2" w14:textId="77777777" w:rsidR="00BD462C" w:rsidRDefault="00033D0F">
      <w:pPr>
        <w:spacing w:line="218" w:lineRule="exact"/>
        <w:ind w:left="135"/>
        <w:rPr>
          <w:sz w:val="18"/>
        </w:rPr>
      </w:pPr>
      <w:bookmarkStart w:id="2001" w:name="_bookmark1721"/>
      <w:bookmarkEnd w:id="2001"/>
      <w:r>
        <w:rPr>
          <w:position w:val="5"/>
          <w:sz w:val="12"/>
        </w:rPr>
        <w:t>1498</w:t>
      </w:r>
      <w:r>
        <w:rPr>
          <w:spacing w:val="13"/>
          <w:position w:val="5"/>
          <w:sz w:val="12"/>
        </w:rPr>
        <w:t xml:space="preserve"> </w:t>
      </w:r>
      <w:r>
        <w:rPr>
          <w:sz w:val="18"/>
        </w:rPr>
        <w:t>Australia's response</w:t>
      </w:r>
      <w:r>
        <w:rPr>
          <w:spacing w:val="-6"/>
          <w:sz w:val="18"/>
        </w:rPr>
        <w:t xml:space="preserve"> </w:t>
      </w:r>
      <w:r>
        <w:rPr>
          <w:sz w:val="18"/>
        </w:rPr>
        <w:t>to</w:t>
      </w:r>
      <w:r>
        <w:rPr>
          <w:spacing w:val="-1"/>
          <w:sz w:val="18"/>
        </w:rPr>
        <w:t xml:space="preserve"> </w:t>
      </w:r>
      <w:r>
        <w:rPr>
          <w:sz w:val="18"/>
        </w:rPr>
        <w:t>China's</w:t>
      </w:r>
      <w:r>
        <w:rPr>
          <w:spacing w:val="-5"/>
          <w:sz w:val="18"/>
        </w:rPr>
        <w:t xml:space="preserve"> </w:t>
      </w:r>
      <w:r>
        <w:rPr>
          <w:sz w:val="18"/>
        </w:rPr>
        <w:t>PRR,</w:t>
      </w:r>
      <w:r>
        <w:rPr>
          <w:spacing w:val="-3"/>
          <w:sz w:val="18"/>
        </w:rPr>
        <w:t xml:space="preserve"> </w:t>
      </w:r>
      <w:r>
        <w:rPr>
          <w:sz w:val="18"/>
        </w:rPr>
        <w:t>paras.</w:t>
      </w:r>
      <w:r>
        <w:rPr>
          <w:spacing w:val="-4"/>
          <w:sz w:val="18"/>
        </w:rPr>
        <w:t xml:space="preserve"> </w:t>
      </w:r>
      <w:r>
        <w:rPr>
          <w:sz w:val="18"/>
        </w:rPr>
        <w:t>155-</w:t>
      </w:r>
      <w:r>
        <w:rPr>
          <w:spacing w:val="-4"/>
          <w:sz w:val="18"/>
        </w:rPr>
        <w:t>163.</w:t>
      </w:r>
    </w:p>
    <w:p w14:paraId="023F7F4A" w14:textId="77777777" w:rsidR="00BD462C" w:rsidRDefault="00033D0F">
      <w:pPr>
        <w:spacing w:before="1"/>
        <w:ind w:left="135" w:right="923"/>
        <w:rPr>
          <w:sz w:val="18"/>
        </w:rPr>
      </w:pPr>
      <w:bookmarkStart w:id="2002" w:name="_bookmark1722"/>
      <w:bookmarkEnd w:id="2002"/>
      <w:r>
        <w:rPr>
          <w:position w:val="5"/>
          <w:sz w:val="12"/>
        </w:rPr>
        <w:t>1499</w:t>
      </w:r>
      <w:r>
        <w:rPr>
          <w:spacing w:val="26"/>
          <w:position w:val="5"/>
          <w:sz w:val="12"/>
        </w:rPr>
        <w:t xml:space="preserve"> </w:t>
      </w:r>
      <w:r>
        <w:rPr>
          <w:sz w:val="18"/>
        </w:rPr>
        <w:t>China's first written submission, paras. 897-898; Australia's panel request, para. (i). For clarity, China did not raise any such objection in its PRR.</w:t>
      </w:r>
    </w:p>
    <w:p w14:paraId="5902E497" w14:textId="77777777" w:rsidR="00BD462C" w:rsidRDefault="00033D0F">
      <w:pPr>
        <w:spacing w:before="2"/>
        <w:ind w:left="135"/>
        <w:rPr>
          <w:sz w:val="18"/>
        </w:rPr>
      </w:pPr>
      <w:bookmarkStart w:id="2003" w:name="_bookmark1723"/>
      <w:bookmarkEnd w:id="2003"/>
      <w:r>
        <w:rPr>
          <w:position w:val="5"/>
          <w:sz w:val="12"/>
        </w:rPr>
        <w:t>1500</w:t>
      </w:r>
      <w:r>
        <w:rPr>
          <w:spacing w:val="13"/>
          <w:position w:val="5"/>
          <w:sz w:val="12"/>
        </w:rPr>
        <w:t xml:space="preserve"> </w:t>
      </w:r>
      <w:r>
        <w:rPr>
          <w:sz w:val="18"/>
        </w:rPr>
        <w:t>China's</w:t>
      </w:r>
      <w:r>
        <w:rPr>
          <w:spacing w:val="-6"/>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paras.</w:t>
      </w:r>
      <w:r>
        <w:rPr>
          <w:spacing w:val="-5"/>
          <w:sz w:val="18"/>
        </w:rPr>
        <w:t xml:space="preserve"> </w:t>
      </w:r>
      <w:r>
        <w:rPr>
          <w:sz w:val="18"/>
        </w:rPr>
        <w:t>897-</w:t>
      </w:r>
      <w:r>
        <w:rPr>
          <w:spacing w:val="-4"/>
          <w:sz w:val="18"/>
        </w:rPr>
        <w:t>898.</w:t>
      </w:r>
    </w:p>
    <w:p w14:paraId="5F08633A" w14:textId="77777777" w:rsidR="00BD462C" w:rsidRDefault="00033D0F">
      <w:pPr>
        <w:spacing w:before="1"/>
        <w:ind w:left="135"/>
        <w:rPr>
          <w:sz w:val="18"/>
        </w:rPr>
      </w:pPr>
      <w:bookmarkStart w:id="2004" w:name="_bookmark1724"/>
      <w:bookmarkEnd w:id="2004"/>
      <w:r>
        <w:rPr>
          <w:position w:val="5"/>
          <w:sz w:val="12"/>
        </w:rPr>
        <w:t>1501</w:t>
      </w:r>
      <w:r>
        <w:rPr>
          <w:spacing w:val="14"/>
          <w:position w:val="5"/>
          <w:sz w:val="12"/>
        </w:rPr>
        <w:t xml:space="preserve"> </w:t>
      </w:r>
      <w:r>
        <w:rPr>
          <w:sz w:val="18"/>
        </w:rPr>
        <w:t>Appellate</w:t>
      </w:r>
      <w:r>
        <w:rPr>
          <w:spacing w:val="-9"/>
          <w:sz w:val="18"/>
        </w:rPr>
        <w:t xml:space="preserve"> </w:t>
      </w:r>
      <w:r>
        <w:rPr>
          <w:sz w:val="18"/>
        </w:rPr>
        <w:t>Body</w:t>
      </w:r>
      <w:r>
        <w:rPr>
          <w:spacing w:val="-6"/>
          <w:sz w:val="18"/>
        </w:rPr>
        <w:t xml:space="preserve"> </w:t>
      </w:r>
      <w:r>
        <w:rPr>
          <w:sz w:val="18"/>
        </w:rPr>
        <w:t>Report,</w:t>
      </w:r>
      <w:r>
        <w:rPr>
          <w:spacing w:val="-3"/>
          <w:sz w:val="18"/>
        </w:rPr>
        <w:t xml:space="preserve"> </w:t>
      </w:r>
      <w:r>
        <w:rPr>
          <w:i/>
          <w:sz w:val="18"/>
        </w:rPr>
        <w:t>Korea</w:t>
      </w:r>
      <w:r>
        <w:rPr>
          <w:i/>
          <w:spacing w:val="-3"/>
          <w:sz w:val="18"/>
        </w:rPr>
        <w:t xml:space="preserve"> </w:t>
      </w:r>
      <w:r>
        <w:rPr>
          <w:i/>
          <w:sz w:val="18"/>
        </w:rPr>
        <w:t>–</w:t>
      </w:r>
      <w:r>
        <w:rPr>
          <w:i/>
          <w:spacing w:val="-4"/>
          <w:sz w:val="18"/>
        </w:rPr>
        <w:t xml:space="preserve"> </w:t>
      </w:r>
      <w:r>
        <w:rPr>
          <w:i/>
          <w:sz w:val="18"/>
        </w:rPr>
        <w:t>Pneumatic</w:t>
      </w:r>
      <w:r>
        <w:rPr>
          <w:i/>
          <w:spacing w:val="-4"/>
          <w:sz w:val="18"/>
        </w:rPr>
        <w:t xml:space="preserve"> </w:t>
      </w:r>
      <w:r>
        <w:rPr>
          <w:i/>
          <w:sz w:val="18"/>
        </w:rPr>
        <w:t>Valves</w:t>
      </w:r>
      <w:r>
        <w:rPr>
          <w:i/>
          <w:spacing w:val="-5"/>
          <w:sz w:val="18"/>
        </w:rPr>
        <w:t xml:space="preserve"> </w:t>
      </w:r>
      <w:r>
        <w:rPr>
          <w:i/>
          <w:sz w:val="18"/>
        </w:rPr>
        <w:t>(Japan)</w:t>
      </w:r>
      <w:r>
        <w:rPr>
          <w:sz w:val="18"/>
        </w:rPr>
        <w:t>,</w:t>
      </w:r>
      <w:r>
        <w:rPr>
          <w:spacing w:val="-2"/>
          <w:sz w:val="18"/>
        </w:rPr>
        <w:t xml:space="preserve"> </w:t>
      </w:r>
      <w:r>
        <w:rPr>
          <w:sz w:val="18"/>
        </w:rPr>
        <w:t>paras.</w:t>
      </w:r>
      <w:r>
        <w:rPr>
          <w:spacing w:val="1"/>
          <w:sz w:val="18"/>
        </w:rPr>
        <w:t xml:space="preserve"> </w:t>
      </w:r>
      <w:r>
        <w:rPr>
          <w:sz w:val="18"/>
        </w:rPr>
        <w:t>5.19-</w:t>
      </w:r>
      <w:r>
        <w:rPr>
          <w:spacing w:val="-2"/>
          <w:sz w:val="18"/>
        </w:rPr>
        <w:t>5.35.</w:t>
      </w:r>
    </w:p>
    <w:p w14:paraId="5FD387E7" w14:textId="77777777" w:rsidR="00BD462C" w:rsidRDefault="00BD462C">
      <w:pPr>
        <w:rPr>
          <w:sz w:val="18"/>
        </w:rPr>
        <w:sectPr w:rsidR="00BD462C">
          <w:pgSz w:w="11910" w:h="16840"/>
          <w:pgMar w:top="860" w:right="500" w:bottom="780" w:left="1280" w:header="566" w:footer="590" w:gutter="0"/>
          <w:cols w:space="720"/>
        </w:sectPr>
      </w:pPr>
    </w:p>
    <w:p w14:paraId="51118EF8"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29A6A912"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79B0DD5E"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11296A71" w14:textId="77777777" w:rsidR="00BD462C" w:rsidRDefault="00033D0F">
      <w:pPr>
        <w:pStyle w:val="BodyText"/>
        <w:spacing w:before="2" w:line="360" w:lineRule="auto"/>
        <w:ind w:left="135" w:right="910"/>
        <w:jc w:val="both"/>
      </w:pPr>
      <w:r>
        <w:t>complainant to identify that it was concerned with the manner in which the investigating authorities</w:t>
      </w:r>
      <w:r>
        <w:rPr>
          <w:spacing w:val="-7"/>
        </w:rPr>
        <w:t xml:space="preserve"> </w:t>
      </w:r>
      <w:r>
        <w:t>had</w:t>
      </w:r>
      <w:r>
        <w:rPr>
          <w:spacing w:val="-10"/>
        </w:rPr>
        <w:t xml:space="preserve"> </w:t>
      </w:r>
      <w:r>
        <w:t>defined</w:t>
      </w:r>
      <w:r>
        <w:rPr>
          <w:spacing w:val="-10"/>
        </w:rPr>
        <w:t xml:space="preserve"> </w:t>
      </w:r>
      <w:r>
        <w:t>"the</w:t>
      </w:r>
      <w:r>
        <w:rPr>
          <w:spacing w:val="-8"/>
        </w:rPr>
        <w:t xml:space="preserve"> </w:t>
      </w:r>
      <w:r>
        <w:t>domestic</w:t>
      </w:r>
      <w:r>
        <w:rPr>
          <w:spacing w:val="-9"/>
        </w:rPr>
        <w:t xml:space="preserve"> </w:t>
      </w:r>
      <w:r>
        <w:t>industry</w:t>
      </w:r>
      <w:r>
        <w:rPr>
          <w:spacing w:val="-7"/>
        </w:rPr>
        <w:t xml:space="preserve"> </w:t>
      </w:r>
      <w:r>
        <w:t>producing</w:t>
      </w:r>
      <w:r>
        <w:rPr>
          <w:spacing w:val="-7"/>
        </w:rPr>
        <w:t xml:space="preserve"> </w:t>
      </w:r>
      <w:r>
        <w:t>the</w:t>
      </w:r>
      <w:r>
        <w:rPr>
          <w:spacing w:val="-8"/>
        </w:rPr>
        <w:t xml:space="preserve"> </w:t>
      </w:r>
      <w:r>
        <w:t>like</w:t>
      </w:r>
      <w:r>
        <w:rPr>
          <w:spacing w:val="-8"/>
        </w:rPr>
        <w:t xml:space="preserve"> </w:t>
      </w:r>
      <w:r>
        <w:t>product";</w:t>
      </w:r>
      <w:r>
        <w:rPr>
          <w:spacing w:val="-11"/>
        </w:rPr>
        <w:t xml:space="preserve"> </w:t>
      </w:r>
      <w:r>
        <w:t>further</w:t>
      </w:r>
      <w:r>
        <w:rPr>
          <w:spacing w:val="-11"/>
        </w:rPr>
        <w:t xml:space="preserve"> </w:t>
      </w:r>
      <w:r>
        <w:t>detail</w:t>
      </w:r>
      <w:r>
        <w:rPr>
          <w:spacing w:val="-6"/>
        </w:rPr>
        <w:t xml:space="preserve"> </w:t>
      </w:r>
      <w:r>
        <w:t>was not required.</w:t>
      </w:r>
      <w:hyperlink w:anchor="_bookmark1725" w:history="1">
        <w:r>
          <w:rPr>
            <w:vertAlign w:val="superscript"/>
          </w:rPr>
          <w:t>1502</w:t>
        </w:r>
      </w:hyperlink>
      <w:r>
        <w:t xml:space="preserve"> The well-delineated nature of the obligation meant that "identification of [Articles 3.1 and 4.1] in the narrative of the panel request would seem to plainly connect the measure at issue with the provisions of the covered agreement alleged to have been breached, as required by Article 6.2 of the DSU".</w:t>
      </w:r>
      <w:hyperlink w:anchor="_bookmark1726" w:history="1">
        <w:r>
          <w:rPr>
            <w:vertAlign w:val="superscript"/>
          </w:rPr>
          <w:t>1503</w:t>
        </w:r>
      </w:hyperlink>
      <w:r>
        <w:t xml:space="preserve"> Australia framed its panel request in a manner</w:t>
      </w:r>
      <w:r>
        <w:rPr>
          <w:spacing w:val="-14"/>
        </w:rPr>
        <w:t xml:space="preserve"> </w:t>
      </w:r>
      <w:r>
        <w:t>similar</w:t>
      </w:r>
      <w:r>
        <w:rPr>
          <w:spacing w:val="-14"/>
        </w:rPr>
        <w:t xml:space="preserve"> </w:t>
      </w:r>
      <w:r>
        <w:t>to</w:t>
      </w:r>
      <w:r>
        <w:rPr>
          <w:spacing w:val="-13"/>
        </w:rPr>
        <w:t xml:space="preserve"> </w:t>
      </w:r>
      <w:r>
        <w:t>Japan</w:t>
      </w:r>
      <w:r>
        <w:rPr>
          <w:spacing w:val="-14"/>
        </w:rPr>
        <w:t xml:space="preserve"> </w:t>
      </w:r>
      <w:r>
        <w:t>in</w:t>
      </w:r>
      <w:r>
        <w:rPr>
          <w:spacing w:val="-13"/>
        </w:rPr>
        <w:t xml:space="preserve"> </w:t>
      </w:r>
      <w:r>
        <w:rPr>
          <w:i/>
        </w:rPr>
        <w:t>Korea</w:t>
      </w:r>
      <w:r>
        <w:rPr>
          <w:i/>
          <w:spacing w:val="-14"/>
        </w:rPr>
        <w:t xml:space="preserve"> </w:t>
      </w:r>
      <w:r>
        <w:rPr>
          <w:i/>
        </w:rPr>
        <w:t>–</w:t>
      </w:r>
      <w:r>
        <w:rPr>
          <w:i/>
          <w:spacing w:val="-13"/>
        </w:rPr>
        <w:t xml:space="preserve"> </w:t>
      </w:r>
      <w:r>
        <w:rPr>
          <w:i/>
        </w:rPr>
        <w:t>Pneumatic</w:t>
      </w:r>
      <w:r>
        <w:rPr>
          <w:i/>
          <w:spacing w:val="-14"/>
        </w:rPr>
        <w:t xml:space="preserve"> </w:t>
      </w:r>
      <w:r>
        <w:rPr>
          <w:i/>
        </w:rPr>
        <w:t>Valves</w:t>
      </w:r>
      <w:r>
        <w:t>,</w:t>
      </w:r>
      <w:r>
        <w:rPr>
          <w:spacing w:val="-14"/>
        </w:rPr>
        <w:t xml:space="preserve"> </w:t>
      </w:r>
      <w:r>
        <w:t>identifying</w:t>
      </w:r>
      <w:r>
        <w:rPr>
          <w:spacing w:val="-10"/>
        </w:rPr>
        <w:t xml:space="preserve"> </w:t>
      </w:r>
      <w:r>
        <w:t>the</w:t>
      </w:r>
      <w:r>
        <w:rPr>
          <w:spacing w:val="-12"/>
        </w:rPr>
        <w:t xml:space="preserve"> </w:t>
      </w:r>
      <w:r>
        <w:t>well-delineated</w:t>
      </w:r>
      <w:r>
        <w:rPr>
          <w:spacing w:val="-14"/>
        </w:rPr>
        <w:t xml:space="preserve"> </w:t>
      </w:r>
      <w:r>
        <w:t>provision at issue, and clearly stating that "China erred in its interpretation and application of the definition of 'domestic industry'".</w:t>
      </w:r>
      <w:hyperlink w:anchor="_bookmark1727" w:history="1">
        <w:r>
          <w:rPr>
            <w:vertAlign w:val="superscript"/>
          </w:rPr>
          <w:t>1504</w:t>
        </w:r>
      </w:hyperlink>
      <w:r>
        <w:t xml:space="preserve"> As in that dispute, this makes clear that Australia is concerned with the portion of the dumping determination that concerned the definition of domestic industry and its inconsistency with Article 4.1.</w:t>
      </w:r>
      <w:hyperlink w:anchor="_bookmark1728" w:history="1">
        <w:r>
          <w:rPr>
            <w:vertAlign w:val="superscript"/>
          </w:rPr>
          <w:t>1505</w:t>
        </w:r>
      </w:hyperlink>
      <w:r>
        <w:t xml:space="preserve"> Moreover, the term "</w:t>
      </w:r>
      <w:r>
        <w:rPr>
          <w:i/>
        </w:rPr>
        <w:t>inter alia</w:t>
      </w:r>
      <w:r>
        <w:t>" signposts</w:t>
      </w:r>
      <w:r>
        <w:rPr>
          <w:spacing w:val="-2"/>
        </w:rPr>
        <w:t xml:space="preserve"> </w:t>
      </w:r>
      <w:r>
        <w:t>an</w:t>
      </w:r>
      <w:r>
        <w:rPr>
          <w:spacing w:val="-5"/>
        </w:rPr>
        <w:t xml:space="preserve"> </w:t>
      </w:r>
      <w:r>
        <w:t>intention</w:t>
      </w:r>
      <w:r>
        <w:rPr>
          <w:spacing w:val="-5"/>
        </w:rPr>
        <w:t xml:space="preserve"> </w:t>
      </w:r>
      <w:r>
        <w:t>to</w:t>
      </w:r>
      <w:r>
        <w:rPr>
          <w:spacing w:val="-6"/>
        </w:rPr>
        <w:t xml:space="preserve"> </w:t>
      </w:r>
      <w:r>
        <w:t>present</w:t>
      </w:r>
      <w:r>
        <w:rPr>
          <w:spacing w:val="-3"/>
        </w:rPr>
        <w:t xml:space="preserve"> </w:t>
      </w:r>
      <w:r>
        <w:t>additional</w:t>
      </w:r>
      <w:r>
        <w:rPr>
          <w:spacing w:val="-1"/>
        </w:rPr>
        <w:t xml:space="preserve"> </w:t>
      </w:r>
      <w:r>
        <w:t>arguments</w:t>
      </w:r>
      <w:r>
        <w:rPr>
          <w:spacing w:val="-2"/>
        </w:rPr>
        <w:t xml:space="preserve"> </w:t>
      </w:r>
      <w:r>
        <w:t>in</w:t>
      </w:r>
      <w:r>
        <w:rPr>
          <w:spacing w:val="-5"/>
        </w:rPr>
        <w:t xml:space="preserve"> </w:t>
      </w:r>
      <w:r>
        <w:t>support</w:t>
      </w:r>
      <w:r>
        <w:rPr>
          <w:spacing w:val="-3"/>
        </w:rPr>
        <w:t xml:space="preserve"> </w:t>
      </w:r>
      <w:r>
        <w:t>of</w:t>
      </w:r>
      <w:r>
        <w:rPr>
          <w:spacing w:val="-5"/>
        </w:rPr>
        <w:t xml:space="preserve"> </w:t>
      </w:r>
      <w:r>
        <w:t>this</w:t>
      </w:r>
      <w:r>
        <w:rPr>
          <w:spacing w:val="-2"/>
        </w:rPr>
        <w:t xml:space="preserve"> </w:t>
      </w:r>
      <w:r>
        <w:t>allegation.</w:t>
      </w:r>
      <w:hyperlink w:anchor="_bookmark1729" w:history="1">
        <w:r>
          <w:rPr>
            <w:vertAlign w:val="superscript"/>
          </w:rPr>
          <w:t>1506</w:t>
        </w:r>
      </w:hyperlink>
      <w:r>
        <w:rPr>
          <w:spacing w:val="-3"/>
        </w:rPr>
        <w:t xml:space="preserve"> </w:t>
      </w:r>
      <w:r>
        <w:t>China is therefore incorrect to state that Australia has adduced a "new claim".</w:t>
      </w:r>
    </w:p>
    <w:p w14:paraId="7CE53E4C" w14:textId="77777777" w:rsidR="00BD462C" w:rsidRDefault="00033D0F">
      <w:pPr>
        <w:pStyle w:val="ListParagraph"/>
        <w:numPr>
          <w:ilvl w:val="1"/>
          <w:numId w:val="5"/>
        </w:numPr>
        <w:tabs>
          <w:tab w:val="left" w:pos="985"/>
          <w:tab w:val="left" w:pos="986"/>
        </w:tabs>
        <w:spacing w:before="162"/>
        <w:ind w:hanging="851"/>
        <w:rPr>
          <w:b/>
          <w:sz w:val="19"/>
        </w:rPr>
      </w:pPr>
      <w:bookmarkStart w:id="2005" w:name="A.3_injury_and_causation"/>
      <w:bookmarkEnd w:id="2005"/>
      <w:r>
        <w:rPr>
          <w:b/>
          <w:sz w:val="19"/>
        </w:rPr>
        <w:t>INJURY AND</w:t>
      </w:r>
      <w:r>
        <w:rPr>
          <w:b/>
          <w:spacing w:val="-2"/>
          <w:sz w:val="19"/>
        </w:rPr>
        <w:t xml:space="preserve"> CAUSATION</w:t>
      </w:r>
    </w:p>
    <w:p w14:paraId="0193F43B" w14:textId="77777777" w:rsidR="00BD462C" w:rsidRDefault="00BD462C">
      <w:pPr>
        <w:pStyle w:val="BodyText"/>
        <w:spacing w:before="9"/>
        <w:rPr>
          <w:b/>
        </w:rPr>
      </w:pPr>
    </w:p>
    <w:p w14:paraId="240D3069" w14:textId="77777777" w:rsidR="00BD462C" w:rsidRDefault="00033D0F">
      <w:pPr>
        <w:pStyle w:val="Heading3"/>
        <w:numPr>
          <w:ilvl w:val="2"/>
          <w:numId w:val="5"/>
        </w:numPr>
        <w:tabs>
          <w:tab w:val="left" w:pos="1835"/>
          <w:tab w:val="left" w:pos="1836"/>
        </w:tabs>
        <w:spacing w:before="0" w:line="362" w:lineRule="auto"/>
        <w:ind w:right="918"/>
      </w:pPr>
      <w:bookmarkStart w:id="2006" w:name="A.3.1_Australia's_claims_pursuant_to_Art"/>
      <w:bookmarkEnd w:id="2006"/>
      <w:r>
        <w:t>Australia's claims pursuant to Articles 3.1 and 3.2 are within the Panel's</w:t>
      </w:r>
      <w:r>
        <w:rPr>
          <w:spacing w:val="40"/>
        </w:rPr>
        <w:t xml:space="preserve"> </w:t>
      </w:r>
      <w:r>
        <w:t>terms of reference.</w:t>
      </w:r>
    </w:p>
    <w:p w14:paraId="2906EFBC" w14:textId="77777777" w:rsidR="00BD462C" w:rsidRDefault="00BD462C">
      <w:pPr>
        <w:pStyle w:val="BodyText"/>
        <w:spacing w:before="8"/>
        <w:rPr>
          <w:b/>
          <w:sz w:val="8"/>
        </w:rPr>
      </w:pPr>
    </w:p>
    <w:p w14:paraId="0A27B822" w14:textId="67DA72F0" w:rsidR="00BD462C" w:rsidRDefault="00F03EFC">
      <w:pPr>
        <w:pStyle w:val="BodyText"/>
        <w:spacing w:before="56" w:line="360" w:lineRule="auto"/>
        <w:ind w:left="135" w:right="915" w:firstLine="9"/>
        <w:jc w:val="both"/>
      </w:pPr>
      <w:r>
        <w:rPr>
          <w:noProof/>
        </w:rPr>
        <w:t>15.</w:t>
      </w:r>
      <w:r w:rsidR="00033D0F">
        <w:rPr>
          <w:rFonts w:ascii="Times New Roman"/>
          <w:spacing w:val="80"/>
          <w:position w:val="1"/>
          <w:sz w:val="20"/>
        </w:rPr>
        <w:t xml:space="preserve">  </w:t>
      </w:r>
      <w:r w:rsidR="00033D0F">
        <w:rPr>
          <w:position w:val="1"/>
        </w:rPr>
        <w:t xml:space="preserve">In its first written submission, China raises three new jurisdictional and alternative </w:t>
      </w:r>
      <w:r w:rsidR="00033D0F">
        <w:t>'threshold'</w:t>
      </w:r>
      <w:r w:rsidR="00033D0F">
        <w:rPr>
          <w:spacing w:val="-4"/>
        </w:rPr>
        <w:t xml:space="preserve"> </w:t>
      </w:r>
      <w:r w:rsidR="00033D0F">
        <w:t>objections</w:t>
      </w:r>
      <w:r w:rsidR="00033D0F">
        <w:rPr>
          <w:spacing w:val="-2"/>
        </w:rPr>
        <w:t xml:space="preserve"> </w:t>
      </w:r>
      <w:r w:rsidR="00033D0F">
        <w:t>to</w:t>
      </w:r>
      <w:r w:rsidR="00033D0F">
        <w:rPr>
          <w:spacing w:val="-6"/>
        </w:rPr>
        <w:t xml:space="preserve"> </w:t>
      </w:r>
      <w:r w:rsidR="00033D0F">
        <w:t>Australia's</w:t>
      </w:r>
      <w:r w:rsidR="00033D0F">
        <w:rPr>
          <w:spacing w:val="-2"/>
        </w:rPr>
        <w:t xml:space="preserve"> </w:t>
      </w:r>
      <w:r w:rsidR="00033D0F">
        <w:t>claim</w:t>
      </w:r>
      <w:r w:rsidR="00033D0F">
        <w:rPr>
          <w:spacing w:val="-4"/>
        </w:rPr>
        <w:t xml:space="preserve"> </w:t>
      </w:r>
      <w:r w:rsidR="00033D0F">
        <w:t>pursuant</w:t>
      </w:r>
      <w:r w:rsidR="00033D0F">
        <w:rPr>
          <w:spacing w:val="-3"/>
        </w:rPr>
        <w:t xml:space="preserve"> </w:t>
      </w:r>
      <w:r w:rsidR="00033D0F">
        <w:t>to</w:t>
      </w:r>
      <w:r w:rsidR="00033D0F">
        <w:rPr>
          <w:spacing w:val="-6"/>
        </w:rPr>
        <w:t xml:space="preserve"> </w:t>
      </w:r>
      <w:r w:rsidR="00033D0F">
        <w:t>Articles</w:t>
      </w:r>
      <w:r w:rsidR="00033D0F">
        <w:rPr>
          <w:spacing w:val="-2"/>
        </w:rPr>
        <w:t xml:space="preserve"> </w:t>
      </w:r>
      <w:r w:rsidR="00033D0F">
        <w:t>3.1</w:t>
      </w:r>
      <w:r w:rsidR="00033D0F">
        <w:rPr>
          <w:spacing w:val="-6"/>
        </w:rPr>
        <w:t xml:space="preserve"> </w:t>
      </w:r>
      <w:r w:rsidR="00033D0F">
        <w:t>and</w:t>
      </w:r>
      <w:r w:rsidR="00033D0F">
        <w:rPr>
          <w:spacing w:val="-5"/>
        </w:rPr>
        <w:t xml:space="preserve"> </w:t>
      </w:r>
      <w:r w:rsidR="00033D0F">
        <w:t>3.2.</w:t>
      </w:r>
      <w:r w:rsidR="00033D0F">
        <w:rPr>
          <w:spacing w:val="-2"/>
        </w:rPr>
        <w:t xml:space="preserve"> </w:t>
      </w:r>
      <w:r w:rsidR="00033D0F">
        <w:t>It</w:t>
      </w:r>
      <w:r w:rsidR="00033D0F">
        <w:rPr>
          <w:spacing w:val="-3"/>
        </w:rPr>
        <w:t xml:space="preserve"> </w:t>
      </w:r>
      <w:r w:rsidR="00033D0F">
        <w:t>alleges</w:t>
      </w:r>
      <w:r w:rsidR="00033D0F">
        <w:rPr>
          <w:spacing w:val="-2"/>
        </w:rPr>
        <w:t xml:space="preserve"> </w:t>
      </w:r>
      <w:r w:rsidR="00033D0F">
        <w:t>this</w:t>
      </w:r>
      <w:r w:rsidR="00033D0F">
        <w:rPr>
          <w:spacing w:val="-2"/>
        </w:rPr>
        <w:t xml:space="preserve"> </w:t>
      </w:r>
      <w:r w:rsidR="00033D0F">
        <w:t>claim was</w:t>
      </w:r>
      <w:r w:rsidR="00033D0F">
        <w:rPr>
          <w:spacing w:val="-9"/>
        </w:rPr>
        <w:t xml:space="preserve"> </w:t>
      </w:r>
      <w:r w:rsidR="00033D0F">
        <w:t>either:</w:t>
      </w:r>
      <w:r w:rsidR="00033D0F">
        <w:rPr>
          <w:spacing w:val="-13"/>
        </w:rPr>
        <w:t xml:space="preserve"> </w:t>
      </w:r>
      <w:r w:rsidR="00033D0F">
        <w:t>(i)</w:t>
      </w:r>
      <w:r w:rsidR="00033D0F">
        <w:rPr>
          <w:spacing w:val="-12"/>
        </w:rPr>
        <w:t xml:space="preserve"> </w:t>
      </w:r>
      <w:r w:rsidR="00033D0F">
        <w:t>insufficiently</w:t>
      </w:r>
      <w:r w:rsidR="00033D0F">
        <w:rPr>
          <w:spacing w:val="-10"/>
        </w:rPr>
        <w:t xml:space="preserve"> </w:t>
      </w:r>
      <w:r w:rsidR="00033D0F">
        <w:t>clear;</w:t>
      </w:r>
      <w:r w:rsidR="00033D0F">
        <w:rPr>
          <w:spacing w:val="-13"/>
        </w:rPr>
        <w:t xml:space="preserve"> </w:t>
      </w:r>
      <w:r w:rsidR="00033D0F">
        <w:t>(ii)</w:t>
      </w:r>
      <w:r w:rsidR="00033D0F">
        <w:rPr>
          <w:spacing w:val="-12"/>
        </w:rPr>
        <w:t xml:space="preserve"> </w:t>
      </w:r>
      <w:r w:rsidR="00033D0F">
        <w:t>not</w:t>
      </w:r>
      <w:r w:rsidR="00033D0F">
        <w:rPr>
          <w:spacing w:val="-10"/>
        </w:rPr>
        <w:t xml:space="preserve"> </w:t>
      </w:r>
      <w:r w:rsidR="00033D0F">
        <w:t>mentioned</w:t>
      </w:r>
      <w:r w:rsidR="00033D0F">
        <w:rPr>
          <w:spacing w:val="-13"/>
        </w:rPr>
        <w:t xml:space="preserve"> </w:t>
      </w:r>
      <w:r w:rsidR="00033D0F">
        <w:t>in</w:t>
      </w:r>
      <w:r w:rsidR="00033D0F">
        <w:rPr>
          <w:spacing w:val="-13"/>
        </w:rPr>
        <w:t xml:space="preserve"> </w:t>
      </w:r>
      <w:r w:rsidR="00033D0F">
        <w:t>Australia's</w:t>
      </w:r>
      <w:r w:rsidR="00033D0F">
        <w:rPr>
          <w:spacing w:val="-9"/>
        </w:rPr>
        <w:t xml:space="preserve"> </w:t>
      </w:r>
      <w:r w:rsidR="00033D0F">
        <w:t>panel</w:t>
      </w:r>
      <w:r w:rsidR="00033D0F">
        <w:rPr>
          <w:spacing w:val="-9"/>
        </w:rPr>
        <w:t xml:space="preserve"> </w:t>
      </w:r>
      <w:r w:rsidR="00033D0F">
        <w:t>request;</w:t>
      </w:r>
      <w:r w:rsidR="00033D0F">
        <w:rPr>
          <w:spacing w:val="-9"/>
        </w:rPr>
        <w:t xml:space="preserve"> </w:t>
      </w:r>
      <w:r w:rsidR="00033D0F">
        <w:t>or</w:t>
      </w:r>
      <w:r w:rsidR="00033D0F">
        <w:rPr>
          <w:spacing w:val="-9"/>
        </w:rPr>
        <w:t xml:space="preserve"> </w:t>
      </w:r>
      <w:r w:rsidR="00033D0F">
        <w:t>(iii)</w:t>
      </w:r>
      <w:r w:rsidR="00033D0F">
        <w:rPr>
          <w:spacing w:val="-12"/>
        </w:rPr>
        <w:t xml:space="preserve"> </w:t>
      </w:r>
      <w:r w:rsidR="00033D0F">
        <w:t>did</w:t>
      </w:r>
      <w:r w:rsidR="00033D0F">
        <w:rPr>
          <w:spacing w:val="-13"/>
        </w:rPr>
        <w:t xml:space="preserve"> </w:t>
      </w:r>
      <w:r w:rsidR="00033D0F">
        <w:t>not reasonably evolve from Australia's panel request. China is incorrect on all three counts.</w:t>
      </w:r>
    </w:p>
    <w:p w14:paraId="30CFAE5B" w14:textId="77777777" w:rsidR="00BD462C" w:rsidRDefault="00BD462C">
      <w:pPr>
        <w:pStyle w:val="BodyText"/>
        <w:spacing w:before="3"/>
        <w:rPr>
          <w:sz w:val="8"/>
        </w:rPr>
      </w:pPr>
    </w:p>
    <w:p w14:paraId="2A60AB85" w14:textId="675D7054" w:rsidR="00BD462C" w:rsidRDefault="00F03EFC">
      <w:pPr>
        <w:pStyle w:val="BodyText"/>
        <w:spacing w:before="56" w:line="360" w:lineRule="auto"/>
        <w:ind w:left="135" w:right="913" w:firstLine="9"/>
        <w:jc w:val="both"/>
      </w:pPr>
      <w:r>
        <w:rPr>
          <w:noProof/>
        </w:rPr>
        <w:t>16.</w:t>
      </w:r>
      <w:r w:rsidR="00033D0F">
        <w:rPr>
          <w:rFonts w:ascii="Times New Roman"/>
          <w:spacing w:val="80"/>
          <w:position w:val="1"/>
          <w:sz w:val="20"/>
        </w:rPr>
        <w:t xml:space="preserve">   </w:t>
      </w:r>
      <w:r w:rsidR="00033D0F">
        <w:rPr>
          <w:position w:val="1"/>
        </w:rPr>
        <w:t>First, China's</w:t>
      </w:r>
      <w:r w:rsidR="00033D0F">
        <w:rPr>
          <w:spacing w:val="-1"/>
          <w:position w:val="1"/>
        </w:rPr>
        <w:t xml:space="preserve"> </w:t>
      </w:r>
      <w:r w:rsidR="00033D0F">
        <w:rPr>
          <w:position w:val="1"/>
        </w:rPr>
        <w:t>accusation</w:t>
      </w:r>
      <w:r w:rsidR="00033D0F">
        <w:rPr>
          <w:spacing w:val="-4"/>
          <w:position w:val="1"/>
        </w:rPr>
        <w:t xml:space="preserve"> </w:t>
      </w:r>
      <w:r w:rsidR="00033D0F">
        <w:rPr>
          <w:position w:val="1"/>
        </w:rPr>
        <w:t>that</w:t>
      </w:r>
      <w:r w:rsidR="00033D0F">
        <w:rPr>
          <w:spacing w:val="-2"/>
          <w:position w:val="1"/>
        </w:rPr>
        <w:t xml:space="preserve"> </w:t>
      </w:r>
      <w:r w:rsidR="00033D0F">
        <w:rPr>
          <w:position w:val="1"/>
        </w:rPr>
        <w:t>Australia's</w:t>
      </w:r>
      <w:r w:rsidR="00033D0F">
        <w:rPr>
          <w:spacing w:val="-1"/>
          <w:position w:val="1"/>
        </w:rPr>
        <w:t xml:space="preserve"> </w:t>
      </w:r>
      <w:r w:rsidR="00033D0F">
        <w:rPr>
          <w:position w:val="1"/>
        </w:rPr>
        <w:t>claim</w:t>
      </w:r>
      <w:r w:rsidR="00033D0F">
        <w:rPr>
          <w:spacing w:val="-3"/>
          <w:position w:val="1"/>
        </w:rPr>
        <w:t xml:space="preserve"> </w:t>
      </w:r>
      <w:r w:rsidR="00033D0F">
        <w:rPr>
          <w:position w:val="1"/>
        </w:rPr>
        <w:t>was</w:t>
      </w:r>
      <w:r w:rsidR="00033D0F">
        <w:rPr>
          <w:spacing w:val="-6"/>
          <w:position w:val="1"/>
        </w:rPr>
        <w:t xml:space="preserve"> </w:t>
      </w:r>
      <w:r w:rsidR="00033D0F">
        <w:rPr>
          <w:position w:val="1"/>
        </w:rPr>
        <w:t>"unclear" is</w:t>
      </w:r>
      <w:r w:rsidR="00033D0F">
        <w:rPr>
          <w:spacing w:val="-1"/>
          <w:position w:val="1"/>
        </w:rPr>
        <w:t xml:space="preserve"> </w:t>
      </w:r>
      <w:r w:rsidR="00033D0F">
        <w:rPr>
          <w:position w:val="1"/>
        </w:rPr>
        <w:t>nonsensical.</w:t>
      </w:r>
      <w:r w:rsidR="00033D0F">
        <w:rPr>
          <w:spacing w:val="-1"/>
          <w:position w:val="1"/>
        </w:rPr>
        <w:t xml:space="preserve"> </w:t>
      </w:r>
      <w:r w:rsidR="00033D0F">
        <w:rPr>
          <w:position w:val="1"/>
        </w:rPr>
        <w:t xml:space="preserve">Australia </w:t>
      </w:r>
      <w:r w:rsidR="00033D0F">
        <w:t>has</w:t>
      </w:r>
      <w:r w:rsidR="00033D0F">
        <w:rPr>
          <w:spacing w:val="-10"/>
        </w:rPr>
        <w:t xml:space="preserve"> </w:t>
      </w:r>
      <w:r w:rsidR="00033D0F">
        <w:t>articulated</w:t>
      </w:r>
      <w:r w:rsidR="00033D0F">
        <w:rPr>
          <w:spacing w:val="-14"/>
        </w:rPr>
        <w:t xml:space="preserve"> </w:t>
      </w:r>
      <w:r w:rsidR="00033D0F">
        <w:t>each</w:t>
      </w:r>
      <w:r w:rsidR="00033D0F">
        <w:rPr>
          <w:spacing w:val="-14"/>
        </w:rPr>
        <w:t xml:space="preserve"> </w:t>
      </w:r>
      <w:r w:rsidR="00033D0F">
        <w:t>reason</w:t>
      </w:r>
      <w:r w:rsidR="00033D0F">
        <w:rPr>
          <w:spacing w:val="-8"/>
        </w:rPr>
        <w:t xml:space="preserve"> </w:t>
      </w:r>
      <w:r w:rsidR="00033D0F">
        <w:t>why</w:t>
      </w:r>
      <w:r w:rsidR="00033D0F">
        <w:rPr>
          <w:spacing w:val="-11"/>
        </w:rPr>
        <w:t xml:space="preserve"> </w:t>
      </w:r>
      <w:r w:rsidR="00033D0F">
        <w:t>its</w:t>
      </w:r>
      <w:r w:rsidR="00033D0F">
        <w:rPr>
          <w:spacing w:val="-10"/>
        </w:rPr>
        <w:t xml:space="preserve"> </w:t>
      </w:r>
      <w:r w:rsidR="00033D0F">
        <w:t>allegation</w:t>
      </w:r>
      <w:r w:rsidR="00033D0F">
        <w:rPr>
          <w:spacing w:val="-14"/>
        </w:rPr>
        <w:t xml:space="preserve"> </w:t>
      </w:r>
      <w:r w:rsidR="00033D0F">
        <w:t>of</w:t>
      </w:r>
      <w:r w:rsidR="00033D0F">
        <w:rPr>
          <w:spacing w:val="-14"/>
        </w:rPr>
        <w:t xml:space="preserve"> </w:t>
      </w:r>
      <w:r w:rsidR="00033D0F">
        <w:t>inconsistency</w:t>
      </w:r>
      <w:r w:rsidR="00033D0F">
        <w:rPr>
          <w:spacing w:val="-10"/>
        </w:rPr>
        <w:t xml:space="preserve"> </w:t>
      </w:r>
      <w:r w:rsidR="00033D0F">
        <w:t>with</w:t>
      </w:r>
      <w:r w:rsidR="00033D0F">
        <w:rPr>
          <w:spacing w:val="-14"/>
        </w:rPr>
        <w:t xml:space="preserve"> </w:t>
      </w:r>
      <w:r w:rsidR="00033D0F">
        <w:t>the</w:t>
      </w:r>
      <w:r w:rsidR="00033D0F">
        <w:rPr>
          <w:spacing w:val="-12"/>
        </w:rPr>
        <w:t xml:space="preserve"> </w:t>
      </w:r>
      <w:r w:rsidR="00033D0F">
        <w:t>overarching</w:t>
      </w:r>
      <w:r w:rsidR="00033D0F">
        <w:rPr>
          <w:spacing w:val="-6"/>
        </w:rPr>
        <w:t xml:space="preserve"> </w:t>
      </w:r>
      <w:r w:rsidR="00033D0F">
        <w:t>obligation in Article 3.1 and the requirements of Articles 3.1 and 3.2 were clear on the face of the record.</w:t>
      </w:r>
      <w:hyperlink w:anchor="_bookmark1730" w:history="1">
        <w:r w:rsidR="00033D0F">
          <w:rPr>
            <w:vertAlign w:val="superscript"/>
          </w:rPr>
          <w:t>1507</w:t>
        </w:r>
      </w:hyperlink>
      <w:r w:rsidR="00033D0F">
        <w:t xml:space="preserve"> Australia stands on those submissions.</w:t>
      </w:r>
    </w:p>
    <w:p w14:paraId="59A0CFF7" w14:textId="77777777" w:rsidR="00BD462C" w:rsidRDefault="00BD462C">
      <w:pPr>
        <w:pStyle w:val="BodyText"/>
        <w:rPr>
          <w:sz w:val="20"/>
        </w:rPr>
      </w:pPr>
    </w:p>
    <w:p w14:paraId="0957133C" w14:textId="77777777" w:rsidR="00BD462C" w:rsidRDefault="00BD462C">
      <w:pPr>
        <w:pStyle w:val="BodyText"/>
        <w:rPr>
          <w:sz w:val="20"/>
        </w:rPr>
      </w:pPr>
    </w:p>
    <w:p w14:paraId="6C898E28" w14:textId="02F6BA5E" w:rsidR="00BD462C" w:rsidRDefault="00E14314">
      <w:pPr>
        <w:pStyle w:val="BodyText"/>
        <w:rPr>
          <w:sz w:val="20"/>
        </w:rPr>
      </w:pPr>
      <w:r>
        <w:rPr>
          <w:noProof/>
        </w:rPr>
        <mc:AlternateContent>
          <mc:Choice Requires="wps">
            <w:drawing>
              <wp:anchor distT="0" distB="0" distL="0" distR="0" simplePos="0" relativeHeight="488108544" behindDoc="1" locked="0" layoutInCell="1" allowOverlap="1" wp14:anchorId="2EE18BCD" wp14:editId="4E584C30">
                <wp:simplePos x="0" y="0"/>
                <wp:positionH relativeFrom="page">
                  <wp:posOffset>812800</wp:posOffset>
                </wp:positionH>
                <wp:positionV relativeFrom="paragraph">
                  <wp:posOffset>289560</wp:posOffset>
                </wp:positionV>
                <wp:extent cx="1828800" cy="8890"/>
                <wp:effectExtent l="0" t="0" r="0" b="0"/>
                <wp:wrapTopAndBottom/>
                <wp:docPr id="81" name="docshape7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77F516" id="docshape705" o:spid="_x0000_s1026" alt="&quot;&quot;" style="position:absolute;margin-left:64pt;margin-top:22.8pt;width:2in;height:.7pt;z-index:-15207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" fillcolor="black" stroked="f">
                <w10:wrap type="topAndBottom" anchorx="page"/>
              </v:rect>
            </w:pict>
          </mc:Fallback>
        </mc:AlternateContent>
      </w:r>
    </w:p>
    <w:p w14:paraId="741F788F" w14:textId="4E8943B1" w:rsidR="00BD462C" w:rsidRDefault="00BD462C">
      <w:pPr>
        <w:pStyle w:val="BodyText"/>
        <w:spacing w:before="11"/>
        <w:rPr>
          <w:sz w:val="16"/>
        </w:rPr>
      </w:pPr>
    </w:p>
    <w:p w14:paraId="7660F2AB" w14:textId="77777777" w:rsidR="00BD462C" w:rsidRDefault="00033D0F">
      <w:pPr>
        <w:spacing w:before="112"/>
        <w:ind w:left="135"/>
        <w:rPr>
          <w:sz w:val="18"/>
        </w:rPr>
      </w:pPr>
      <w:bookmarkStart w:id="2007" w:name="_bookmark1725"/>
      <w:bookmarkEnd w:id="2007"/>
      <w:r>
        <w:rPr>
          <w:position w:val="5"/>
          <w:sz w:val="12"/>
        </w:rPr>
        <w:t>1502</w:t>
      </w:r>
      <w:r>
        <w:rPr>
          <w:spacing w:val="14"/>
          <w:position w:val="5"/>
          <w:sz w:val="12"/>
        </w:rPr>
        <w:t xml:space="preserve"> </w:t>
      </w:r>
      <w:r>
        <w:rPr>
          <w:sz w:val="18"/>
        </w:rPr>
        <w:t>See</w:t>
      </w:r>
      <w:r>
        <w:rPr>
          <w:spacing w:val="-5"/>
          <w:sz w:val="18"/>
        </w:rPr>
        <w:t xml:space="preserve"> </w:t>
      </w:r>
      <w:r>
        <w:rPr>
          <w:sz w:val="18"/>
        </w:rPr>
        <w:t>particularly</w:t>
      </w:r>
      <w:r>
        <w:rPr>
          <w:spacing w:val="-6"/>
          <w:sz w:val="18"/>
        </w:rPr>
        <w:t xml:space="preserve"> </w:t>
      </w:r>
      <w:r>
        <w:rPr>
          <w:sz w:val="18"/>
        </w:rPr>
        <w:t>Appellate</w:t>
      </w:r>
      <w:r>
        <w:rPr>
          <w:spacing w:val="-4"/>
          <w:sz w:val="18"/>
        </w:rPr>
        <w:t xml:space="preserve"> </w:t>
      </w:r>
      <w:r>
        <w:rPr>
          <w:sz w:val="18"/>
        </w:rPr>
        <w:t>Body</w:t>
      </w:r>
      <w:r>
        <w:rPr>
          <w:spacing w:val="-7"/>
          <w:sz w:val="18"/>
        </w:rPr>
        <w:t xml:space="preserve"> </w:t>
      </w:r>
      <w:r>
        <w:rPr>
          <w:sz w:val="18"/>
        </w:rPr>
        <w:t>Report,</w:t>
      </w:r>
      <w:r>
        <w:rPr>
          <w:spacing w:val="-2"/>
          <w:sz w:val="18"/>
        </w:rPr>
        <w:t xml:space="preserve"> </w:t>
      </w:r>
      <w:r>
        <w:rPr>
          <w:i/>
          <w:sz w:val="18"/>
        </w:rPr>
        <w:t>Korea</w:t>
      </w:r>
      <w:r>
        <w:rPr>
          <w:i/>
          <w:spacing w:val="-4"/>
          <w:sz w:val="18"/>
        </w:rPr>
        <w:t xml:space="preserve"> </w:t>
      </w:r>
      <w:r>
        <w:rPr>
          <w:i/>
          <w:sz w:val="18"/>
        </w:rPr>
        <w:t>–</w:t>
      </w:r>
      <w:r>
        <w:rPr>
          <w:i/>
          <w:spacing w:val="-4"/>
          <w:sz w:val="18"/>
        </w:rPr>
        <w:t xml:space="preserve"> </w:t>
      </w:r>
      <w:r>
        <w:rPr>
          <w:i/>
          <w:sz w:val="18"/>
        </w:rPr>
        <w:t>Pneumatic</w:t>
      </w:r>
      <w:r>
        <w:rPr>
          <w:i/>
          <w:spacing w:val="-5"/>
          <w:sz w:val="18"/>
        </w:rPr>
        <w:t xml:space="preserve"> </w:t>
      </w:r>
      <w:r>
        <w:rPr>
          <w:i/>
          <w:sz w:val="18"/>
        </w:rPr>
        <w:t>Valves</w:t>
      </w:r>
      <w:r>
        <w:rPr>
          <w:i/>
          <w:spacing w:val="-4"/>
          <w:sz w:val="18"/>
        </w:rPr>
        <w:t xml:space="preserve"> </w:t>
      </w:r>
      <w:r>
        <w:rPr>
          <w:i/>
          <w:sz w:val="18"/>
        </w:rPr>
        <w:t>(Japan)</w:t>
      </w:r>
      <w:r>
        <w:rPr>
          <w:sz w:val="18"/>
        </w:rPr>
        <w:t>,</w:t>
      </w:r>
      <w:r>
        <w:rPr>
          <w:spacing w:val="-3"/>
          <w:sz w:val="18"/>
        </w:rPr>
        <w:t xml:space="preserve"> </w:t>
      </w:r>
      <w:r>
        <w:rPr>
          <w:sz w:val="18"/>
        </w:rPr>
        <w:t>paras.</w:t>
      </w:r>
      <w:r>
        <w:rPr>
          <w:spacing w:val="2"/>
          <w:sz w:val="18"/>
        </w:rPr>
        <w:t xml:space="preserve"> </w:t>
      </w:r>
      <w:r>
        <w:rPr>
          <w:sz w:val="18"/>
        </w:rPr>
        <w:t>5.26</w:t>
      </w:r>
      <w:r>
        <w:rPr>
          <w:spacing w:val="-2"/>
          <w:sz w:val="18"/>
        </w:rPr>
        <w:t xml:space="preserve"> </w:t>
      </w:r>
      <w:r>
        <w:rPr>
          <w:sz w:val="18"/>
        </w:rPr>
        <w:t>and</w:t>
      </w:r>
      <w:r>
        <w:rPr>
          <w:spacing w:val="-1"/>
          <w:sz w:val="18"/>
        </w:rPr>
        <w:t xml:space="preserve"> </w:t>
      </w:r>
      <w:r>
        <w:rPr>
          <w:spacing w:val="-2"/>
          <w:sz w:val="18"/>
        </w:rPr>
        <w:t>5.34.</w:t>
      </w:r>
    </w:p>
    <w:p w14:paraId="004A798B" w14:textId="77777777" w:rsidR="00BD462C" w:rsidRDefault="00033D0F">
      <w:pPr>
        <w:spacing w:before="1" w:line="218" w:lineRule="exact"/>
        <w:ind w:left="135"/>
        <w:rPr>
          <w:sz w:val="18"/>
        </w:rPr>
      </w:pPr>
      <w:bookmarkStart w:id="2008" w:name="_bookmark1726"/>
      <w:bookmarkEnd w:id="2008"/>
      <w:r>
        <w:rPr>
          <w:position w:val="5"/>
          <w:sz w:val="12"/>
        </w:rPr>
        <w:t>1503</w:t>
      </w:r>
      <w:r>
        <w:rPr>
          <w:spacing w:val="14"/>
          <w:position w:val="5"/>
          <w:sz w:val="12"/>
        </w:rPr>
        <w:t xml:space="preserve"> </w:t>
      </w:r>
      <w:r>
        <w:rPr>
          <w:sz w:val="18"/>
        </w:rPr>
        <w:t>Appellate</w:t>
      </w:r>
      <w:r>
        <w:rPr>
          <w:spacing w:val="-9"/>
          <w:sz w:val="18"/>
        </w:rPr>
        <w:t xml:space="preserve"> </w:t>
      </w:r>
      <w:r>
        <w:rPr>
          <w:sz w:val="18"/>
        </w:rPr>
        <w:t>Body</w:t>
      </w:r>
      <w:r>
        <w:rPr>
          <w:spacing w:val="-6"/>
          <w:sz w:val="18"/>
        </w:rPr>
        <w:t xml:space="preserve"> </w:t>
      </w:r>
      <w:r>
        <w:rPr>
          <w:sz w:val="18"/>
        </w:rPr>
        <w:t>Report,</w:t>
      </w:r>
      <w:r>
        <w:rPr>
          <w:spacing w:val="-2"/>
          <w:sz w:val="18"/>
        </w:rPr>
        <w:t xml:space="preserve"> </w:t>
      </w:r>
      <w:r>
        <w:rPr>
          <w:i/>
          <w:sz w:val="18"/>
        </w:rPr>
        <w:t>Korea</w:t>
      </w:r>
      <w:r>
        <w:rPr>
          <w:i/>
          <w:spacing w:val="-3"/>
          <w:sz w:val="18"/>
        </w:rPr>
        <w:t xml:space="preserve"> </w:t>
      </w:r>
      <w:r>
        <w:rPr>
          <w:i/>
          <w:sz w:val="18"/>
        </w:rPr>
        <w:t>–</w:t>
      </w:r>
      <w:r>
        <w:rPr>
          <w:i/>
          <w:spacing w:val="-4"/>
          <w:sz w:val="18"/>
        </w:rPr>
        <w:t xml:space="preserve"> </w:t>
      </w:r>
      <w:r>
        <w:rPr>
          <w:i/>
          <w:sz w:val="18"/>
        </w:rPr>
        <w:t>Pneumatic</w:t>
      </w:r>
      <w:r>
        <w:rPr>
          <w:i/>
          <w:spacing w:val="-4"/>
          <w:sz w:val="18"/>
        </w:rPr>
        <w:t xml:space="preserve"> </w:t>
      </w:r>
      <w:r>
        <w:rPr>
          <w:i/>
          <w:sz w:val="18"/>
        </w:rPr>
        <w:t>Valves</w:t>
      </w:r>
      <w:r>
        <w:rPr>
          <w:i/>
          <w:spacing w:val="-4"/>
          <w:sz w:val="18"/>
        </w:rPr>
        <w:t xml:space="preserve"> </w:t>
      </w:r>
      <w:r>
        <w:rPr>
          <w:i/>
          <w:sz w:val="18"/>
        </w:rPr>
        <w:t>(Japan)</w:t>
      </w:r>
      <w:r>
        <w:rPr>
          <w:sz w:val="18"/>
        </w:rPr>
        <w:t>,</w:t>
      </w:r>
      <w:r>
        <w:rPr>
          <w:spacing w:val="-3"/>
          <w:sz w:val="18"/>
        </w:rPr>
        <w:t xml:space="preserve"> </w:t>
      </w:r>
      <w:r>
        <w:rPr>
          <w:sz w:val="18"/>
        </w:rPr>
        <w:t>paras.</w:t>
      </w:r>
      <w:r>
        <w:rPr>
          <w:spacing w:val="2"/>
          <w:sz w:val="18"/>
        </w:rPr>
        <w:t xml:space="preserve"> </w:t>
      </w:r>
      <w:r>
        <w:rPr>
          <w:sz w:val="18"/>
        </w:rPr>
        <w:t>5.27</w:t>
      </w:r>
      <w:r>
        <w:rPr>
          <w:spacing w:val="-1"/>
          <w:sz w:val="18"/>
        </w:rPr>
        <w:t xml:space="preserve"> </w:t>
      </w:r>
      <w:r>
        <w:rPr>
          <w:sz w:val="18"/>
        </w:rPr>
        <w:t xml:space="preserve">and </w:t>
      </w:r>
      <w:r>
        <w:rPr>
          <w:spacing w:val="-2"/>
          <w:sz w:val="18"/>
        </w:rPr>
        <w:t>5.34.</w:t>
      </w:r>
    </w:p>
    <w:p w14:paraId="442580DE" w14:textId="77777777" w:rsidR="00BD462C" w:rsidRDefault="00033D0F">
      <w:pPr>
        <w:spacing w:line="218" w:lineRule="exact"/>
        <w:ind w:left="135"/>
        <w:rPr>
          <w:sz w:val="18"/>
        </w:rPr>
      </w:pPr>
      <w:bookmarkStart w:id="2009" w:name="_bookmark1727"/>
      <w:bookmarkEnd w:id="2009"/>
      <w:r>
        <w:rPr>
          <w:position w:val="5"/>
          <w:sz w:val="12"/>
        </w:rPr>
        <w:t>1504</w:t>
      </w:r>
      <w:r>
        <w:rPr>
          <w:spacing w:val="13"/>
          <w:position w:val="5"/>
          <w:sz w:val="12"/>
        </w:rPr>
        <w:t xml:space="preserve"> </w:t>
      </w:r>
      <w:r>
        <w:rPr>
          <w:sz w:val="18"/>
        </w:rPr>
        <w:t>Australia's</w:t>
      </w:r>
      <w:r>
        <w:rPr>
          <w:spacing w:val="-5"/>
          <w:sz w:val="18"/>
        </w:rPr>
        <w:t xml:space="preserve"> </w:t>
      </w:r>
      <w:r>
        <w:rPr>
          <w:sz w:val="18"/>
        </w:rPr>
        <w:t>panel</w:t>
      </w:r>
      <w:r>
        <w:rPr>
          <w:spacing w:val="-1"/>
          <w:sz w:val="18"/>
        </w:rPr>
        <w:t xml:space="preserve"> </w:t>
      </w:r>
      <w:r>
        <w:rPr>
          <w:sz w:val="18"/>
        </w:rPr>
        <w:t>request,</w:t>
      </w:r>
      <w:r>
        <w:rPr>
          <w:spacing w:val="-3"/>
          <w:sz w:val="18"/>
        </w:rPr>
        <w:t xml:space="preserve"> </w:t>
      </w:r>
      <w:r>
        <w:rPr>
          <w:sz w:val="18"/>
        </w:rPr>
        <w:t>para.</w:t>
      </w:r>
      <w:r>
        <w:rPr>
          <w:spacing w:val="-4"/>
          <w:sz w:val="18"/>
        </w:rPr>
        <w:t xml:space="preserve"> (i).</w:t>
      </w:r>
    </w:p>
    <w:p w14:paraId="6DCDA767" w14:textId="77777777" w:rsidR="00BD462C" w:rsidRDefault="00033D0F">
      <w:pPr>
        <w:spacing w:before="1"/>
        <w:ind w:left="135"/>
        <w:rPr>
          <w:sz w:val="18"/>
        </w:rPr>
      </w:pPr>
      <w:bookmarkStart w:id="2010" w:name="_bookmark1728"/>
      <w:bookmarkEnd w:id="2010"/>
      <w:r>
        <w:rPr>
          <w:position w:val="5"/>
          <w:sz w:val="12"/>
        </w:rPr>
        <w:t>1505</w:t>
      </w:r>
      <w:r>
        <w:rPr>
          <w:spacing w:val="14"/>
          <w:position w:val="5"/>
          <w:sz w:val="12"/>
        </w:rPr>
        <w:t xml:space="preserve"> </w:t>
      </w:r>
      <w:r>
        <w:rPr>
          <w:sz w:val="18"/>
        </w:rPr>
        <w:t>Australia's response</w:t>
      </w:r>
      <w:r>
        <w:rPr>
          <w:spacing w:val="-5"/>
          <w:sz w:val="18"/>
        </w:rPr>
        <w:t xml:space="preserve"> </w:t>
      </w:r>
      <w:r>
        <w:rPr>
          <w:sz w:val="18"/>
        </w:rPr>
        <w:t>to</w:t>
      </w:r>
      <w:r>
        <w:rPr>
          <w:spacing w:val="-1"/>
          <w:sz w:val="18"/>
        </w:rPr>
        <w:t xml:space="preserve"> </w:t>
      </w:r>
      <w:r>
        <w:rPr>
          <w:sz w:val="18"/>
        </w:rPr>
        <w:t>China's</w:t>
      </w:r>
      <w:r>
        <w:rPr>
          <w:spacing w:val="-5"/>
          <w:sz w:val="18"/>
        </w:rPr>
        <w:t xml:space="preserve"> </w:t>
      </w:r>
      <w:r>
        <w:rPr>
          <w:sz w:val="18"/>
        </w:rPr>
        <w:t>PRR,</w:t>
      </w:r>
      <w:r>
        <w:rPr>
          <w:spacing w:val="-2"/>
          <w:sz w:val="18"/>
        </w:rPr>
        <w:t xml:space="preserve"> </w:t>
      </w:r>
      <w:r>
        <w:rPr>
          <w:sz w:val="18"/>
        </w:rPr>
        <w:t>paras.</w:t>
      </w:r>
      <w:r>
        <w:rPr>
          <w:spacing w:val="-4"/>
          <w:sz w:val="18"/>
        </w:rPr>
        <w:t xml:space="preserve"> </w:t>
      </w:r>
      <w:r>
        <w:rPr>
          <w:sz w:val="18"/>
        </w:rPr>
        <w:t>11-13</w:t>
      </w:r>
      <w:r>
        <w:rPr>
          <w:spacing w:val="-6"/>
          <w:sz w:val="18"/>
        </w:rPr>
        <w:t xml:space="preserve"> </w:t>
      </w:r>
      <w:r>
        <w:rPr>
          <w:sz w:val="18"/>
        </w:rPr>
        <w:t>and</w:t>
      </w:r>
      <w:r>
        <w:rPr>
          <w:spacing w:val="-6"/>
          <w:sz w:val="18"/>
        </w:rPr>
        <w:t xml:space="preserve"> </w:t>
      </w:r>
      <w:r>
        <w:rPr>
          <w:sz w:val="18"/>
        </w:rPr>
        <w:t>footnotes</w:t>
      </w:r>
      <w:r>
        <w:rPr>
          <w:spacing w:val="-5"/>
          <w:sz w:val="18"/>
        </w:rPr>
        <w:t xml:space="preserve"> </w:t>
      </w:r>
      <w:r>
        <w:rPr>
          <w:spacing w:val="-2"/>
          <w:sz w:val="18"/>
        </w:rPr>
        <w:t>thereto.</w:t>
      </w:r>
    </w:p>
    <w:p w14:paraId="059C1215" w14:textId="77777777" w:rsidR="00BD462C" w:rsidRDefault="00033D0F">
      <w:pPr>
        <w:spacing w:before="1"/>
        <w:ind w:left="135"/>
        <w:rPr>
          <w:sz w:val="18"/>
        </w:rPr>
      </w:pPr>
      <w:bookmarkStart w:id="2011" w:name="_bookmark1729"/>
      <w:bookmarkEnd w:id="2011"/>
      <w:r>
        <w:rPr>
          <w:position w:val="5"/>
          <w:sz w:val="12"/>
        </w:rPr>
        <w:t>1506</w:t>
      </w:r>
      <w:r>
        <w:rPr>
          <w:spacing w:val="16"/>
          <w:position w:val="5"/>
          <w:sz w:val="12"/>
        </w:rPr>
        <w:t xml:space="preserve"> </w:t>
      </w:r>
      <w:r>
        <w:rPr>
          <w:sz w:val="18"/>
        </w:rPr>
        <w:t>See</w:t>
      </w:r>
      <w:r>
        <w:rPr>
          <w:spacing w:val="-2"/>
          <w:sz w:val="18"/>
        </w:rPr>
        <w:t xml:space="preserve"> </w:t>
      </w:r>
      <w:r>
        <w:rPr>
          <w:sz w:val="18"/>
        </w:rPr>
        <w:t>above, para.</w:t>
      </w:r>
      <w:r>
        <w:rPr>
          <w:spacing w:val="-1"/>
          <w:sz w:val="18"/>
        </w:rPr>
        <w:t xml:space="preserve"> </w:t>
      </w:r>
      <w:hyperlink w:anchor="_bookmark66" w:history="1">
        <w:r>
          <w:rPr>
            <w:spacing w:val="-5"/>
            <w:sz w:val="18"/>
          </w:rPr>
          <w:t>35.</w:t>
        </w:r>
      </w:hyperlink>
    </w:p>
    <w:p w14:paraId="4F6E6640" w14:textId="77777777" w:rsidR="00BD462C" w:rsidRDefault="00033D0F">
      <w:pPr>
        <w:spacing w:before="1"/>
        <w:ind w:left="135" w:right="908"/>
        <w:rPr>
          <w:sz w:val="18"/>
        </w:rPr>
      </w:pPr>
      <w:bookmarkStart w:id="2012" w:name="_bookmark1730"/>
      <w:bookmarkEnd w:id="2012"/>
      <w:r>
        <w:rPr>
          <w:position w:val="5"/>
          <w:sz w:val="12"/>
        </w:rPr>
        <w:t>1507</w:t>
      </w:r>
      <w:r>
        <w:rPr>
          <w:spacing w:val="25"/>
          <w:position w:val="5"/>
          <w:sz w:val="12"/>
        </w:rPr>
        <w:t xml:space="preserve"> </w:t>
      </w:r>
      <w:r>
        <w:rPr>
          <w:sz w:val="18"/>
        </w:rPr>
        <w:t>Australia's response to China's PRR, paras. 198-202 and footnotes thereto; China's first written submission, paras. 943, 959-977; Australia's panel request, paras. (xix) and (xviii).</w:t>
      </w:r>
    </w:p>
    <w:p w14:paraId="59558F0C" w14:textId="77777777" w:rsidR="00BD462C" w:rsidRDefault="00BD462C">
      <w:pPr>
        <w:rPr>
          <w:sz w:val="18"/>
        </w:rPr>
        <w:sectPr w:rsidR="00BD462C">
          <w:pgSz w:w="11910" w:h="16840"/>
          <w:pgMar w:top="860" w:right="500" w:bottom="780" w:left="1280" w:header="566" w:footer="590" w:gutter="0"/>
          <w:cols w:space="720"/>
        </w:sectPr>
      </w:pPr>
    </w:p>
    <w:p w14:paraId="425DAB7B"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1E886BA5"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72966A3C"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0F768313" w14:textId="306D5D45" w:rsidR="00BD462C" w:rsidRDefault="00F03EFC">
      <w:pPr>
        <w:pStyle w:val="BodyText"/>
        <w:spacing w:before="6" w:line="360" w:lineRule="auto"/>
        <w:ind w:left="135" w:right="911" w:firstLine="9"/>
        <w:jc w:val="both"/>
      </w:pPr>
      <w:r>
        <w:rPr>
          <w:noProof/>
        </w:rPr>
        <w:t>17.</w:t>
      </w:r>
      <w:r w:rsidR="00033D0F">
        <w:rPr>
          <w:rFonts w:ascii="Times New Roman"/>
          <w:spacing w:val="80"/>
          <w:position w:val="1"/>
          <w:sz w:val="20"/>
        </w:rPr>
        <w:t xml:space="preserve">  </w:t>
      </w:r>
      <w:r w:rsidR="00033D0F">
        <w:rPr>
          <w:position w:val="1"/>
        </w:rPr>
        <w:t xml:space="preserve">Second, China's contention that Australia's first written submission advances an </w:t>
      </w:r>
      <w:r w:rsidR="00033D0F">
        <w:t>"entirely new claim" is grounded in a fundamental misunderstanding of the difference between a claim and an argument.</w:t>
      </w:r>
      <w:hyperlink w:anchor="_bookmark1732" w:history="1">
        <w:r w:rsidR="00033D0F">
          <w:rPr>
            <w:vertAlign w:val="superscript"/>
          </w:rPr>
          <w:t>1508</w:t>
        </w:r>
      </w:hyperlink>
      <w:r w:rsidR="00033D0F">
        <w:t xml:space="preserve"> In its first written submission, China declares that Australia is barred from making arguments addressing MOFCOM's failure to: (i) determine that price suppression was 'significant';</w:t>
      </w:r>
      <w:hyperlink w:anchor="_bookmark1733" w:history="1">
        <w:r w:rsidR="00033D0F">
          <w:rPr>
            <w:vertAlign w:val="superscript"/>
          </w:rPr>
          <w:t>1509</w:t>
        </w:r>
      </w:hyperlink>
      <w:r w:rsidR="00033D0F">
        <w:t xml:space="preserve"> (ii) take into account the different conditions of sale</w:t>
      </w:r>
      <w:r w:rsidR="00033D0F">
        <w:rPr>
          <w:spacing w:val="-5"/>
        </w:rPr>
        <w:t xml:space="preserve"> </w:t>
      </w:r>
      <w:r w:rsidR="00033D0F">
        <w:t>of</w:t>
      </w:r>
      <w:r w:rsidR="00033D0F">
        <w:rPr>
          <w:spacing w:val="-7"/>
        </w:rPr>
        <w:t xml:space="preserve"> </w:t>
      </w:r>
      <w:r w:rsidR="00033D0F">
        <w:t>the</w:t>
      </w:r>
      <w:r w:rsidR="00033D0F">
        <w:rPr>
          <w:spacing w:val="-5"/>
        </w:rPr>
        <w:t xml:space="preserve"> </w:t>
      </w:r>
      <w:r w:rsidR="00033D0F">
        <w:t>dumped</w:t>
      </w:r>
      <w:r w:rsidR="00033D0F">
        <w:rPr>
          <w:spacing w:val="-7"/>
        </w:rPr>
        <w:t xml:space="preserve"> </w:t>
      </w:r>
      <w:r w:rsidR="00033D0F">
        <w:t>imports</w:t>
      </w:r>
      <w:r w:rsidR="00033D0F">
        <w:rPr>
          <w:spacing w:val="-4"/>
        </w:rPr>
        <w:t xml:space="preserve"> </w:t>
      </w:r>
      <w:r w:rsidR="00033D0F">
        <w:t>and</w:t>
      </w:r>
      <w:r w:rsidR="00033D0F">
        <w:rPr>
          <w:spacing w:val="-2"/>
        </w:rPr>
        <w:t xml:space="preserve"> </w:t>
      </w:r>
      <w:r w:rsidR="00033D0F">
        <w:t>the</w:t>
      </w:r>
      <w:r w:rsidR="00033D0F">
        <w:rPr>
          <w:spacing w:val="-5"/>
        </w:rPr>
        <w:t xml:space="preserve"> </w:t>
      </w:r>
      <w:r w:rsidR="00033D0F">
        <w:t>domestic</w:t>
      </w:r>
      <w:r w:rsidR="00033D0F">
        <w:rPr>
          <w:spacing w:val="-6"/>
        </w:rPr>
        <w:t xml:space="preserve"> </w:t>
      </w:r>
      <w:r w:rsidR="00033D0F">
        <w:t>like</w:t>
      </w:r>
      <w:r w:rsidR="00033D0F">
        <w:rPr>
          <w:spacing w:val="-5"/>
        </w:rPr>
        <w:t xml:space="preserve"> </w:t>
      </w:r>
      <w:r w:rsidR="00033D0F">
        <w:t>products;</w:t>
      </w:r>
      <w:hyperlink w:anchor="_bookmark1734" w:history="1">
        <w:r w:rsidR="00033D0F">
          <w:rPr>
            <w:vertAlign w:val="superscript"/>
          </w:rPr>
          <w:t>1510</w:t>
        </w:r>
      </w:hyperlink>
      <w:r w:rsidR="00033D0F">
        <w:rPr>
          <w:spacing w:val="-4"/>
        </w:rPr>
        <w:t xml:space="preserve"> </w:t>
      </w:r>
      <w:r w:rsidR="00033D0F">
        <w:t>and</w:t>
      </w:r>
      <w:r w:rsidR="00033D0F">
        <w:rPr>
          <w:spacing w:val="-7"/>
        </w:rPr>
        <w:t xml:space="preserve"> </w:t>
      </w:r>
      <w:r w:rsidR="00033D0F">
        <w:t>(iii)</w:t>
      </w:r>
      <w:r w:rsidR="00033D0F">
        <w:rPr>
          <w:spacing w:val="-7"/>
        </w:rPr>
        <w:t xml:space="preserve"> </w:t>
      </w:r>
      <w:r w:rsidR="00033D0F">
        <w:t>disclose</w:t>
      </w:r>
      <w:r w:rsidR="00033D0F">
        <w:rPr>
          <w:spacing w:val="-5"/>
        </w:rPr>
        <w:t xml:space="preserve"> </w:t>
      </w:r>
      <w:r w:rsidR="00033D0F">
        <w:t>data</w:t>
      </w:r>
      <w:r w:rsidR="00033D0F">
        <w:rPr>
          <w:spacing w:val="-6"/>
        </w:rPr>
        <w:t xml:space="preserve"> </w:t>
      </w:r>
      <w:r w:rsidR="00033D0F">
        <w:t>sets</w:t>
      </w:r>
      <w:r w:rsidR="00033D0F">
        <w:rPr>
          <w:spacing w:val="-4"/>
        </w:rPr>
        <w:t xml:space="preserve"> </w:t>
      </w:r>
      <w:r w:rsidR="00033D0F">
        <w:t>and the</w:t>
      </w:r>
      <w:r w:rsidR="00033D0F">
        <w:rPr>
          <w:spacing w:val="-14"/>
        </w:rPr>
        <w:t xml:space="preserve"> </w:t>
      </w:r>
      <w:r w:rsidR="00033D0F">
        <w:t>methodologies,</w:t>
      </w:r>
      <w:r w:rsidR="00033D0F">
        <w:rPr>
          <w:spacing w:val="-14"/>
        </w:rPr>
        <w:t xml:space="preserve"> </w:t>
      </w:r>
      <w:r w:rsidR="00033D0F">
        <w:t>exclusions,</w:t>
      </w:r>
      <w:r w:rsidR="00033D0F">
        <w:rPr>
          <w:spacing w:val="-13"/>
        </w:rPr>
        <w:t xml:space="preserve"> </w:t>
      </w:r>
      <w:r w:rsidR="00033D0F">
        <w:t>constructions,</w:t>
      </w:r>
      <w:r w:rsidR="00033D0F">
        <w:rPr>
          <w:spacing w:val="-14"/>
        </w:rPr>
        <w:t xml:space="preserve"> </w:t>
      </w:r>
      <w:r w:rsidR="00033D0F">
        <w:t>adjustments</w:t>
      </w:r>
      <w:r w:rsidR="00033D0F">
        <w:rPr>
          <w:spacing w:val="-13"/>
        </w:rPr>
        <w:t xml:space="preserve"> </w:t>
      </w:r>
      <w:r w:rsidR="00033D0F">
        <w:t>and/or</w:t>
      </w:r>
      <w:r w:rsidR="00033D0F">
        <w:rPr>
          <w:spacing w:val="-14"/>
        </w:rPr>
        <w:t xml:space="preserve"> </w:t>
      </w:r>
      <w:r w:rsidR="00033D0F">
        <w:t>calculations</w:t>
      </w:r>
      <w:r w:rsidR="00033D0F">
        <w:rPr>
          <w:spacing w:val="-13"/>
        </w:rPr>
        <w:t xml:space="preserve"> </w:t>
      </w:r>
      <w:r w:rsidR="00033D0F">
        <w:t>on</w:t>
      </w:r>
      <w:r w:rsidR="00033D0F">
        <w:rPr>
          <w:spacing w:val="-14"/>
        </w:rPr>
        <w:t xml:space="preserve"> </w:t>
      </w:r>
      <w:r w:rsidR="00033D0F">
        <w:t>which</w:t>
      </w:r>
      <w:r w:rsidR="00033D0F">
        <w:rPr>
          <w:spacing w:val="-14"/>
        </w:rPr>
        <w:t xml:space="preserve"> </w:t>
      </w:r>
      <w:r w:rsidR="00033D0F">
        <w:t>those sets relied,</w:t>
      </w:r>
      <w:hyperlink w:anchor="_bookmark1735" w:history="1">
        <w:r w:rsidR="00033D0F">
          <w:rPr>
            <w:vertAlign w:val="superscript"/>
          </w:rPr>
          <w:t>1511</w:t>
        </w:r>
      </w:hyperlink>
      <w:r w:rsidR="00033D0F">
        <w:t xml:space="preserve"> because Australia did not list these specific elements in its panel request.</w:t>
      </w:r>
    </w:p>
    <w:p w14:paraId="508F2C5E" w14:textId="77777777" w:rsidR="00BD462C" w:rsidRDefault="00BD462C">
      <w:pPr>
        <w:pStyle w:val="BodyText"/>
        <w:spacing w:before="7"/>
        <w:rPr>
          <w:sz w:val="8"/>
        </w:rPr>
      </w:pPr>
    </w:p>
    <w:p w14:paraId="1FA60265" w14:textId="1B7379BE" w:rsidR="00BD462C" w:rsidRDefault="00F03EFC">
      <w:pPr>
        <w:pStyle w:val="BodyText"/>
        <w:spacing w:before="56" w:line="360" w:lineRule="auto"/>
        <w:ind w:left="135" w:right="909" w:firstLine="9"/>
        <w:jc w:val="both"/>
      </w:pPr>
      <w:r>
        <w:rPr>
          <w:noProof/>
        </w:rPr>
        <w:t>18.</w:t>
      </w:r>
      <w:r w:rsidR="00033D0F">
        <w:rPr>
          <w:rFonts w:ascii="Times New Roman"/>
          <w:spacing w:val="505"/>
          <w:position w:val="1"/>
          <w:sz w:val="20"/>
        </w:rPr>
        <w:t xml:space="preserve"> </w:t>
      </w:r>
      <w:bookmarkStart w:id="2013" w:name="_bookmark1731"/>
      <w:bookmarkEnd w:id="2013"/>
      <w:r w:rsidR="00033D0F">
        <w:rPr>
          <w:position w:val="1"/>
        </w:rPr>
        <w:t xml:space="preserve">China identified all three arguments as claims. This is incorrect. Australia's claim is </w:t>
      </w:r>
      <w:r w:rsidR="00033D0F">
        <w:t xml:space="preserve">that China acted inconsistently with Articles 3.1 and 3.2 of the Anti-Dumping Agreement because, </w:t>
      </w:r>
      <w:r w:rsidR="00033D0F">
        <w:rPr>
          <w:i/>
        </w:rPr>
        <w:t>inter alia</w:t>
      </w:r>
      <w:r w:rsidR="00033D0F">
        <w:t>, MOFCOM's "consideration of the effect of the subject imports on the prices of like</w:t>
      </w:r>
      <w:r w:rsidR="00033D0F">
        <w:rPr>
          <w:spacing w:val="-1"/>
        </w:rPr>
        <w:t xml:space="preserve"> </w:t>
      </w:r>
      <w:r w:rsidR="00033D0F">
        <w:t>products in</w:t>
      </w:r>
      <w:r w:rsidR="00033D0F">
        <w:rPr>
          <w:spacing w:val="-3"/>
        </w:rPr>
        <w:t xml:space="preserve"> </w:t>
      </w:r>
      <w:r w:rsidR="00033D0F">
        <w:t>the domestic</w:t>
      </w:r>
      <w:r w:rsidR="00033D0F">
        <w:rPr>
          <w:spacing w:val="-3"/>
        </w:rPr>
        <w:t xml:space="preserve"> </w:t>
      </w:r>
      <w:r w:rsidR="00033D0F">
        <w:t>market:</w:t>
      </w:r>
      <w:r w:rsidR="00033D0F">
        <w:rPr>
          <w:spacing w:val="-4"/>
        </w:rPr>
        <w:t xml:space="preserve"> </w:t>
      </w:r>
      <w:r w:rsidR="00033D0F">
        <w:t>(a) did not involve</w:t>
      </w:r>
      <w:r w:rsidR="00033D0F">
        <w:rPr>
          <w:spacing w:val="-1"/>
        </w:rPr>
        <w:t xml:space="preserve"> </w:t>
      </w:r>
      <w:r w:rsidR="00033D0F">
        <w:t>an</w:t>
      </w:r>
      <w:r w:rsidR="00033D0F">
        <w:rPr>
          <w:spacing w:val="-3"/>
        </w:rPr>
        <w:t xml:space="preserve"> </w:t>
      </w:r>
      <w:r w:rsidR="00033D0F">
        <w:t>objective</w:t>
      </w:r>
      <w:r w:rsidR="00033D0F">
        <w:rPr>
          <w:spacing w:val="-1"/>
        </w:rPr>
        <w:t xml:space="preserve"> </w:t>
      </w:r>
      <w:r w:rsidR="00033D0F">
        <w:t>analysis based on positive evidence; (b) did not consider whether there had been significant price undercutting or price depression; and (c) did not properly consider whether the effect of subject imports was to prevent price increases, which otherwise would have occurred, to a significant degree".</w:t>
      </w:r>
      <w:hyperlink w:anchor="_bookmark1736" w:history="1">
        <w:r w:rsidR="00033D0F">
          <w:rPr>
            <w:vertAlign w:val="superscript"/>
          </w:rPr>
          <w:t>1512</w:t>
        </w:r>
      </w:hyperlink>
      <w:r w:rsidR="00033D0F">
        <w:t xml:space="preserve"> Australia's claim, as articulated in the panel request, even went on to explain further detail that was additional to the minimum required under Article 6.2.</w:t>
      </w:r>
      <w:hyperlink w:anchor="_bookmark1737" w:history="1">
        <w:r w:rsidR="00033D0F">
          <w:rPr>
            <w:vertAlign w:val="superscript"/>
          </w:rPr>
          <w:t>1513</w:t>
        </w:r>
      </w:hyperlink>
      <w:r w:rsidR="00033D0F">
        <w:t xml:space="preserve"> The arguments presented in Australia's first written submission to which China objects are not new claims. They are supporting arguments that substantiate and demonstrate Australia's claim</w:t>
      </w:r>
      <w:r w:rsidR="00033D0F">
        <w:rPr>
          <w:spacing w:val="-6"/>
        </w:rPr>
        <w:t xml:space="preserve"> </w:t>
      </w:r>
      <w:r w:rsidR="00033D0F">
        <w:t>that</w:t>
      </w:r>
      <w:r w:rsidR="00033D0F">
        <w:rPr>
          <w:spacing w:val="-6"/>
        </w:rPr>
        <w:t xml:space="preserve"> </w:t>
      </w:r>
      <w:r w:rsidR="00033D0F">
        <w:t>China's</w:t>
      </w:r>
      <w:r w:rsidR="00033D0F">
        <w:rPr>
          <w:spacing w:val="-5"/>
        </w:rPr>
        <w:t xml:space="preserve"> </w:t>
      </w:r>
      <w:r w:rsidR="00033D0F">
        <w:t>anti-dumping</w:t>
      </w:r>
      <w:r w:rsidR="00033D0F">
        <w:rPr>
          <w:spacing w:val="-5"/>
        </w:rPr>
        <w:t xml:space="preserve"> </w:t>
      </w:r>
      <w:r w:rsidR="00033D0F">
        <w:t>measure</w:t>
      </w:r>
      <w:r w:rsidR="00033D0F">
        <w:rPr>
          <w:spacing w:val="-6"/>
        </w:rPr>
        <w:t xml:space="preserve"> </w:t>
      </w:r>
      <w:r w:rsidR="00033D0F">
        <w:t>is</w:t>
      </w:r>
      <w:r w:rsidR="00033D0F">
        <w:rPr>
          <w:spacing w:val="-5"/>
        </w:rPr>
        <w:t xml:space="preserve"> </w:t>
      </w:r>
      <w:r w:rsidR="00033D0F">
        <w:t>inconsistent</w:t>
      </w:r>
      <w:r w:rsidR="00033D0F">
        <w:rPr>
          <w:spacing w:val="-6"/>
        </w:rPr>
        <w:t xml:space="preserve"> </w:t>
      </w:r>
      <w:r w:rsidR="00033D0F">
        <w:t>with</w:t>
      </w:r>
      <w:r w:rsidR="00033D0F">
        <w:rPr>
          <w:spacing w:val="-8"/>
        </w:rPr>
        <w:t xml:space="preserve"> </w:t>
      </w:r>
      <w:r w:rsidR="00033D0F">
        <w:t>Articles</w:t>
      </w:r>
      <w:r w:rsidR="00033D0F">
        <w:rPr>
          <w:spacing w:val="-5"/>
        </w:rPr>
        <w:t xml:space="preserve"> </w:t>
      </w:r>
      <w:r w:rsidR="00033D0F">
        <w:t>3.1</w:t>
      </w:r>
      <w:r w:rsidR="00033D0F">
        <w:rPr>
          <w:spacing w:val="-8"/>
        </w:rPr>
        <w:t xml:space="preserve"> </w:t>
      </w:r>
      <w:r w:rsidR="00033D0F">
        <w:t>and</w:t>
      </w:r>
      <w:r w:rsidR="00033D0F">
        <w:rPr>
          <w:spacing w:val="-3"/>
        </w:rPr>
        <w:t xml:space="preserve"> </w:t>
      </w:r>
      <w:r w:rsidR="00033D0F">
        <w:t>3.2.</w:t>
      </w:r>
      <w:r w:rsidR="00033D0F">
        <w:rPr>
          <w:spacing w:val="-4"/>
        </w:rPr>
        <w:t xml:space="preserve"> </w:t>
      </w:r>
      <w:r w:rsidR="00033D0F">
        <w:t>As</w:t>
      </w:r>
      <w:r w:rsidR="00033D0F">
        <w:rPr>
          <w:spacing w:val="-4"/>
        </w:rPr>
        <w:t xml:space="preserve"> </w:t>
      </w:r>
      <w:r w:rsidR="00033D0F">
        <w:t>Australia has</w:t>
      </w:r>
      <w:r w:rsidR="00033D0F">
        <w:rPr>
          <w:spacing w:val="-6"/>
        </w:rPr>
        <w:t xml:space="preserve"> </w:t>
      </w:r>
      <w:r w:rsidR="00033D0F">
        <w:t>set</w:t>
      </w:r>
      <w:r w:rsidR="00033D0F">
        <w:rPr>
          <w:spacing w:val="-7"/>
        </w:rPr>
        <w:t xml:space="preserve"> </w:t>
      </w:r>
      <w:r w:rsidR="00033D0F">
        <w:t>out,</w:t>
      </w:r>
      <w:r w:rsidR="00033D0F">
        <w:rPr>
          <w:spacing w:val="-5"/>
        </w:rPr>
        <w:t xml:space="preserve"> </w:t>
      </w:r>
      <w:r w:rsidR="00033D0F">
        <w:t>the</w:t>
      </w:r>
      <w:r w:rsidR="00033D0F">
        <w:rPr>
          <w:spacing w:val="-7"/>
        </w:rPr>
        <w:t xml:space="preserve"> </w:t>
      </w:r>
      <w:r w:rsidR="00033D0F">
        <w:t>"factors"</w:t>
      </w:r>
      <w:r w:rsidR="00033D0F">
        <w:rPr>
          <w:spacing w:val="-8"/>
        </w:rPr>
        <w:t xml:space="preserve"> </w:t>
      </w:r>
      <w:r w:rsidR="00033D0F">
        <w:t>or</w:t>
      </w:r>
      <w:r w:rsidR="00033D0F">
        <w:rPr>
          <w:spacing w:val="-5"/>
        </w:rPr>
        <w:t xml:space="preserve"> </w:t>
      </w:r>
      <w:r w:rsidR="00033D0F">
        <w:t>"aspects"</w:t>
      </w:r>
      <w:r w:rsidR="00033D0F">
        <w:rPr>
          <w:spacing w:val="-8"/>
        </w:rPr>
        <w:t xml:space="preserve"> </w:t>
      </w:r>
      <w:r w:rsidR="00033D0F">
        <w:t>of</w:t>
      </w:r>
      <w:r w:rsidR="00033D0F">
        <w:rPr>
          <w:spacing w:val="-9"/>
        </w:rPr>
        <w:t xml:space="preserve"> </w:t>
      </w:r>
      <w:r w:rsidR="00033D0F">
        <w:t>a</w:t>
      </w:r>
      <w:r w:rsidR="00033D0F">
        <w:rPr>
          <w:spacing w:val="-3"/>
        </w:rPr>
        <w:t xml:space="preserve"> </w:t>
      </w:r>
      <w:r w:rsidR="00033D0F">
        <w:t>claim</w:t>
      </w:r>
      <w:r w:rsidR="00033D0F">
        <w:rPr>
          <w:spacing w:val="-7"/>
        </w:rPr>
        <w:t xml:space="preserve"> </w:t>
      </w:r>
      <w:r w:rsidR="00033D0F">
        <w:t>are</w:t>
      </w:r>
      <w:r w:rsidR="00033D0F">
        <w:rPr>
          <w:spacing w:val="-7"/>
        </w:rPr>
        <w:t xml:space="preserve"> </w:t>
      </w:r>
      <w:r w:rsidR="00033D0F">
        <w:t>properly</w:t>
      </w:r>
      <w:r w:rsidR="00033D0F">
        <w:rPr>
          <w:spacing w:val="-6"/>
        </w:rPr>
        <w:t xml:space="preserve"> </w:t>
      </w:r>
      <w:r w:rsidR="00033D0F">
        <w:t>considered</w:t>
      </w:r>
      <w:r w:rsidR="00033D0F">
        <w:rPr>
          <w:spacing w:val="-9"/>
        </w:rPr>
        <w:t xml:space="preserve"> </w:t>
      </w:r>
      <w:r w:rsidR="00033D0F">
        <w:t>to</w:t>
      </w:r>
      <w:r w:rsidR="00033D0F">
        <w:rPr>
          <w:spacing w:val="-5"/>
        </w:rPr>
        <w:t xml:space="preserve"> </w:t>
      </w:r>
      <w:r w:rsidR="00033D0F">
        <w:t>be</w:t>
      </w:r>
      <w:r w:rsidR="00033D0F">
        <w:rPr>
          <w:spacing w:val="-7"/>
        </w:rPr>
        <w:t xml:space="preserve"> </w:t>
      </w:r>
      <w:r w:rsidR="00033D0F">
        <w:rPr>
          <w:i/>
        </w:rPr>
        <w:t>arguments</w:t>
      </w:r>
      <w:r w:rsidR="00033D0F">
        <w:rPr>
          <w:i/>
          <w:spacing w:val="-8"/>
        </w:rPr>
        <w:t xml:space="preserve"> </w:t>
      </w:r>
      <w:r w:rsidR="00033D0F">
        <w:t>and do not need to be described in a panel request.</w:t>
      </w:r>
      <w:hyperlink w:anchor="_bookmark1738" w:history="1">
        <w:r w:rsidR="00033D0F">
          <w:rPr>
            <w:vertAlign w:val="superscript"/>
          </w:rPr>
          <w:t>1514</w:t>
        </w:r>
      </w:hyperlink>
      <w:r w:rsidR="00033D0F">
        <w:t xml:space="preserve"> Australia's claim in its panel request did set</w:t>
      </w:r>
      <w:r w:rsidR="00033D0F">
        <w:rPr>
          <w:spacing w:val="40"/>
        </w:rPr>
        <w:t xml:space="preserve"> </w:t>
      </w:r>
      <w:r w:rsidR="00033D0F">
        <w:t>out</w:t>
      </w:r>
      <w:r w:rsidR="00033D0F">
        <w:rPr>
          <w:spacing w:val="40"/>
        </w:rPr>
        <w:t xml:space="preserve"> </w:t>
      </w:r>
      <w:r w:rsidR="00033D0F">
        <w:t>extra</w:t>
      </w:r>
      <w:r w:rsidR="00033D0F">
        <w:rPr>
          <w:spacing w:val="40"/>
        </w:rPr>
        <w:t xml:space="preserve"> </w:t>
      </w:r>
      <w:r w:rsidR="00033D0F">
        <w:t>detail</w:t>
      </w:r>
      <w:r w:rsidR="00033D0F">
        <w:rPr>
          <w:spacing w:val="40"/>
        </w:rPr>
        <w:t xml:space="preserve"> </w:t>
      </w:r>
      <w:r w:rsidR="00033D0F">
        <w:t>of</w:t>
      </w:r>
      <w:r w:rsidR="00033D0F">
        <w:rPr>
          <w:spacing w:val="40"/>
        </w:rPr>
        <w:t xml:space="preserve"> </w:t>
      </w:r>
      <w:r w:rsidR="00033D0F">
        <w:t>its</w:t>
      </w:r>
      <w:r w:rsidR="00033D0F">
        <w:rPr>
          <w:spacing w:val="40"/>
        </w:rPr>
        <w:t xml:space="preserve"> </w:t>
      </w:r>
      <w:r w:rsidR="00033D0F">
        <w:t>arguments,</w:t>
      </w:r>
      <w:r w:rsidR="00033D0F">
        <w:rPr>
          <w:spacing w:val="40"/>
        </w:rPr>
        <w:t xml:space="preserve"> </w:t>
      </w:r>
      <w:r w:rsidR="00033D0F">
        <w:t>but</w:t>
      </w:r>
      <w:r w:rsidR="00033D0F">
        <w:rPr>
          <w:spacing w:val="40"/>
        </w:rPr>
        <w:t xml:space="preserve"> </w:t>
      </w:r>
      <w:r w:rsidR="00033D0F">
        <w:t>this</w:t>
      </w:r>
      <w:r w:rsidR="00033D0F">
        <w:rPr>
          <w:spacing w:val="40"/>
        </w:rPr>
        <w:t xml:space="preserve"> </w:t>
      </w:r>
      <w:r w:rsidR="00033D0F">
        <w:t>does</w:t>
      </w:r>
      <w:r w:rsidR="00033D0F">
        <w:rPr>
          <w:spacing w:val="40"/>
        </w:rPr>
        <w:t xml:space="preserve"> </w:t>
      </w:r>
      <w:r w:rsidR="00033D0F">
        <w:t>not</w:t>
      </w:r>
      <w:r w:rsidR="00033D0F">
        <w:rPr>
          <w:spacing w:val="40"/>
        </w:rPr>
        <w:t xml:space="preserve"> </w:t>
      </w:r>
      <w:r w:rsidR="00033D0F">
        <w:t>demonstrate</w:t>
      </w:r>
      <w:r w:rsidR="00033D0F">
        <w:rPr>
          <w:spacing w:val="40"/>
        </w:rPr>
        <w:t xml:space="preserve"> </w:t>
      </w:r>
      <w:r w:rsidR="00033D0F">
        <w:t>that</w:t>
      </w:r>
      <w:r w:rsidR="00033D0F">
        <w:rPr>
          <w:spacing w:val="40"/>
        </w:rPr>
        <w:t xml:space="preserve"> </w:t>
      </w:r>
      <w:r w:rsidR="00033D0F">
        <w:t>each</w:t>
      </w:r>
      <w:r w:rsidR="00033D0F">
        <w:rPr>
          <w:spacing w:val="40"/>
        </w:rPr>
        <w:t xml:space="preserve"> </w:t>
      </w:r>
      <w:r w:rsidR="00033D0F">
        <w:t>of</w:t>
      </w:r>
      <w:r w:rsidR="00033D0F">
        <w:rPr>
          <w:spacing w:val="40"/>
        </w:rPr>
        <w:t xml:space="preserve"> </w:t>
      </w:r>
      <w:r w:rsidR="00033D0F">
        <w:t>those</w:t>
      </w:r>
    </w:p>
    <w:p w14:paraId="3EB693EA" w14:textId="77777777" w:rsidR="00BD462C" w:rsidRDefault="00BD462C">
      <w:pPr>
        <w:pStyle w:val="BodyText"/>
        <w:rPr>
          <w:sz w:val="20"/>
        </w:rPr>
      </w:pPr>
    </w:p>
    <w:p w14:paraId="7D554CD3" w14:textId="5489C470" w:rsidR="00BD462C" w:rsidRDefault="00E14314">
      <w:pPr>
        <w:pStyle w:val="BodyText"/>
        <w:rPr>
          <w:sz w:val="20"/>
        </w:rPr>
      </w:pPr>
      <w:r>
        <w:rPr>
          <w:noProof/>
        </w:rPr>
        <mc:AlternateContent>
          <mc:Choice Requires="wps">
            <w:drawing>
              <wp:anchor distT="0" distB="0" distL="0" distR="0" simplePos="0" relativeHeight="488104448" behindDoc="1" locked="0" layoutInCell="1" allowOverlap="1" wp14:anchorId="2A0F4358" wp14:editId="4441D76D">
                <wp:simplePos x="0" y="0"/>
                <wp:positionH relativeFrom="page">
                  <wp:posOffset>812800</wp:posOffset>
                </wp:positionH>
                <wp:positionV relativeFrom="paragraph">
                  <wp:posOffset>327660</wp:posOffset>
                </wp:positionV>
                <wp:extent cx="1828800" cy="8890"/>
                <wp:effectExtent l="0" t="0" r="0" b="0"/>
                <wp:wrapTopAndBottom/>
                <wp:docPr id="77" name="docshape7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3BA9E3" id="docshape705" o:spid="_x0000_s1026" alt="&quot;&quot;" style="position:absolute;margin-left:64pt;margin-top:25.8pt;width:2in;height:.7pt;z-index:-15212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" fillcolor="black" stroked="f">
                <w10:wrap type="topAndBottom" anchorx="page"/>
              </v:rect>
            </w:pict>
          </mc:Fallback>
        </mc:AlternateContent>
      </w:r>
    </w:p>
    <w:p w14:paraId="4C712C2B" w14:textId="7F0A9883" w:rsidR="00BD462C" w:rsidRDefault="00BD462C">
      <w:pPr>
        <w:pStyle w:val="BodyText"/>
        <w:spacing w:before="11"/>
        <w:rPr>
          <w:sz w:val="21"/>
        </w:rPr>
      </w:pPr>
    </w:p>
    <w:p w14:paraId="2CB84EA8" w14:textId="77777777" w:rsidR="00BD462C" w:rsidRDefault="00033D0F">
      <w:pPr>
        <w:spacing w:before="112"/>
        <w:ind w:left="135"/>
        <w:rPr>
          <w:sz w:val="18"/>
        </w:rPr>
      </w:pPr>
      <w:bookmarkStart w:id="2014" w:name="_bookmark1732"/>
      <w:bookmarkEnd w:id="2014"/>
      <w:r>
        <w:rPr>
          <w:position w:val="5"/>
          <w:sz w:val="12"/>
        </w:rPr>
        <w:t>1508</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para. 961;</w:t>
      </w:r>
      <w:r>
        <w:rPr>
          <w:spacing w:val="-8"/>
          <w:sz w:val="18"/>
        </w:rPr>
        <w:t xml:space="preserve"> </w:t>
      </w:r>
      <w:r>
        <w:rPr>
          <w:sz w:val="18"/>
        </w:rPr>
        <w:t>see</w:t>
      </w:r>
      <w:r>
        <w:rPr>
          <w:spacing w:val="-2"/>
          <w:sz w:val="18"/>
        </w:rPr>
        <w:t xml:space="preserve"> </w:t>
      </w:r>
      <w:r>
        <w:rPr>
          <w:sz w:val="18"/>
        </w:rPr>
        <w:t>above,</w:t>
      </w:r>
      <w:r>
        <w:rPr>
          <w:spacing w:val="-4"/>
          <w:sz w:val="18"/>
        </w:rPr>
        <w:t xml:space="preserve"> </w:t>
      </w:r>
      <w:r>
        <w:rPr>
          <w:sz w:val="18"/>
        </w:rPr>
        <w:t>section</w:t>
      </w:r>
      <w:r>
        <w:rPr>
          <w:spacing w:val="-2"/>
          <w:sz w:val="18"/>
        </w:rPr>
        <w:t xml:space="preserve"> </w:t>
      </w:r>
      <w:hyperlink w:anchor="_bookmark38" w:history="1">
        <w:r>
          <w:rPr>
            <w:spacing w:val="-5"/>
            <w:sz w:val="18"/>
          </w:rPr>
          <w:t>24.</w:t>
        </w:r>
      </w:hyperlink>
    </w:p>
    <w:p w14:paraId="35AE3F20" w14:textId="77777777" w:rsidR="00BD462C" w:rsidRDefault="00033D0F">
      <w:pPr>
        <w:spacing w:before="1"/>
        <w:ind w:left="135"/>
        <w:rPr>
          <w:sz w:val="18"/>
        </w:rPr>
      </w:pPr>
      <w:bookmarkStart w:id="2015" w:name="_bookmark1733"/>
      <w:bookmarkEnd w:id="2015"/>
      <w:r>
        <w:rPr>
          <w:position w:val="5"/>
          <w:sz w:val="12"/>
        </w:rPr>
        <w:t>1509</w:t>
      </w:r>
      <w:r>
        <w:rPr>
          <w:spacing w:val="13"/>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para.</w:t>
      </w:r>
      <w:r>
        <w:rPr>
          <w:spacing w:val="1"/>
          <w:sz w:val="18"/>
        </w:rPr>
        <w:t xml:space="preserve"> </w:t>
      </w:r>
      <w:r>
        <w:rPr>
          <w:spacing w:val="-4"/>
          <w:sz w:val="18"/>
        </w:rPr>
        <w:t>938.</w:t>
      </w:r>
    </w:p>
    <w:p w14:paraId="78B87C06" w14:textId="77777777" w:rsidR="00BD462C" w:rsidRDefault="00033D0F">
      <w:pPr>
        <w:spacing w:before="1" w:line="218" w:lineRule="exact"/>
        <w:ind w:left="135"/>
        <w:rPr>
          <w:sz w:val="18"/>
        </w:rPr>
      </w:pPr>
      <w:bookmarkStart w:id="2016" w:name="_bookmark1734"/>
      <w:bookmarkEnd w:id="2016"/>
      <w:r>
        <w:rPr>
          <w:position w:val="5"/>
          <w:sz w:val="12"/>
        </w:rPr>
        <w:t>1510</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paras.</w:t>
      </w:r>
      <w:r>
        <w:rPr>
          <w:spacing w:val="-4"/>
          <w:sz w:val="18"/>
        </w:rPr>
        <w:t xml:space="preserve"> </w:t>
      </w:r>
      <w:r>
        <w:rPr>
          <w:sz w:val="18"/>
        </w:rPr>
        <w:t>943,</w:t>
      </w:r>
      <w:r>
        <w:rPr>
          <w:spacing w:val="-4"/>
          <w:sz w:val="18"/>
        </w:rPr>
        <w:t xml:space="preserve"> </w:t>
      </w:r>
      <w:r>
        <w:rPr>
          <w:sz w:val="18"/>
        </w:rPr>
        <w:t>1268-</w:t>
      </w:r>
      <w:r>
        <w:rPr>
          <w:spacing w:val="-2"/>
          <w:sz w:val="18"/>
        </w:rPr>
        <w:t>1270.</w:t>
      </w:r>
    </w:p>
    <w:p w14:paraId="587AE45F" w14:textId="77777777" w:rsidR="00BD462C" w:rsidRDefault="00033D0F">
      <w:pPr>
        <w:spacing w:line="218" w:lineRule="exact"/>
        <w:ind w:left="135"/>
        <w:rPr>
          <w:sz w:val="18"/>
        </w:rPr>
      </w:pPr>
      <w:bookmarkStart w:id="2017" w:name="_bookmark1735"/>
      <w:bookmarkEnd w:id="2017"/>
      <w:r>
        <w:rPr>
          <w:position w:val="5"/>
          <w:sz w:val="12"/>
        </w:rPr>
        <w:t>1511</w:t>
      </w:r>
      <w:r>
        <w:rPr>
          <w:spacing w:val="13"/>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paras.</w:t>
      </w:r>
      <w:r>
        <w:rPr>
          <w:spacing w:val="-4"/>
          <w:sz w:val="18"/>
        </w:rPr>
        <w:t xml:space="preserve"> </w:t>
      </w:r>
      <w:r>
        <w:rPr>
          <w:sz w:val="18"/>
        </w:rPr>
        <w:t>943,</w:t>
      </w:r>
      <w:r>
        <w:rPr>
          <w:spacing w:val="-3"/>
          <w:sz w:val="18"/>
        </w:rPr>
        <w:t xml:space="preserve"> </w:t>
      </w:r>
      <w:r>
        <w:rPr>
          <w:sz w:val="18"/>
        </w:rPr>
        <w:t>959-</w:t>
      </w:r>
      <w:r>
        <w:rPr>
          <w:spacing w:val="-4"/>
          <w:sz w:val="18"/>
        </w:rPr>
        <w:t>977.</w:t>
      </w:r>
    </w:p>
    <w:p w14:paraId="7D97E374" w14:textId="77777777" w:rsidR="00BD462C" w:rsidRDefault="00033D0F">
      <w:pPr>
        <w:spacing w:before="1"/>
        <w:ind w:left="135"/>
        <w:rPr>
          <w:sz w:val="18"/>
        </w:rPr>
      </w:pPr>
      <w:bookmarkStart w:id="2018" w:name="_bookmark1736"/>
      <w:bookmarkEnd w:id="2018"/>
      <w:r>
        <w:rPr>
          <w:position w:val="5"/>
          <w:sz w:val="12"/>
        </w:rPr>
        <w:t>1512</w:t>
      </w:r>
      <w:r>
        <w:rPr>
          <w:spacing w:val="15"/>
          <w:position w:val="5"/>
          <w:sz w:val="12"/>
        </w:rPr>
        <w:t xml:space="preserve"> </w:t>
      </w:r>
      <w:r>
        <w:rPr>
          <w:sz w:val="18"/>
        </w:rPr>
        <w:t>Australia's</w:t>
      </w:r>
      <w:r>
        <w:rPr>
          <w:spacing w:val="-4"/>
          <w:sz w:val="18"/>
        </w:rPr>
        <w:t xml:space="preserve"> </w:t>
      </w:r>
      <w:r>
        <w:rPr>
          <w:sz w:val="18"/>
        </w:rPr>
        <w:t>panel</w:t>
      </w:r>
      <w:r>
        <w:rPr>
          <w:spacing w:val="1"/>
          <w:sz w:val="18"/>
        </w:rPr>
        <w:t xml:space="preserve"> </w:t>
      </w:r>
      <w:r>
        <w:rPr>
          <w:sz w:val="18"/>
        </w:rPr>
        <w:t>request,</w:t>
      </w:r>
      <w:r>
        <w:rPr>
          <w:spacing w:val="-2"/>
          <w:sz w:val="18"/>
        </w:rPr>
        <w:t xml:space="preserve"> </w:t>
      </w:r>
      <w:r>
        <w:rPr>
          <w:sz w:val="18"/>
        </w:rPr>
        <w:t>para.</w:t>
      </w:r>
      <w:r>
        <w:rPr>
          <w:spacing w:val="-3"/>
          <w:sz w:val="18"/>
        </w:rPr>
        <w:t xml:space="preserve"> </w:t>
      </w:r>
      <w:r>
        <w:rPr>
          <w:sz w:val="18"/>
        </w:rPr>
        <w:t>(xix);</w:t>
      </w:r>
      <w:r>
        <w:rPr>
          <w:spacing w:val="-5"/>
          <w:sz w:val="18"/>
        </w:rPr>
        <w:t xml:space="preserve"> </w:t>
      </w:r>
      <w:r>
        <w:rPr>
          <w:sz w:val="18"/>
        </w:rPr>
        <w:t>see</w:t>
      </w:r>
      <w:r>
        <w:rPr>
          <w:spacing w:val="-4"/>
          <w:sz w:val="18"/>
        </w:rPr>
        <w:t xml:space="preserve"> </w:t>
      </w:r>
      <w:r>
        <w:rPr>
          <w:sz w:val="18"/>
        </w:rPr>
        <w:t>also</w:t>
      </w:r>
      <w:r>
        <w:rPr>
          <w:spacing w:val="-5"/>
          <w:sz w:val="18"/>
        </w:rPr>
        <w:t xml:space="preserve"> </w:t>
      </w:r>
      <w:r>
        <w:rPr>
          <w:sz w:val="18"/>
        </w:rPr>
        <w:t>para.</w:t>
      </w:r>
      <w:r>
        <w:rPr>
          <w:spacing w:val="-2"/>
          <w:sz w:val="18"/>
        </w:rPr>
        <w:t xml:space="preserve"> (xviii).</w:t>
      </w:r>
    </w:p>
    <w:p w14:paraId="46FDDC44" w14:textId="77777777" w:rsidR="00BD462C" w:rsidRDefault="00033D0F">
      <w:pPr>
        <w:spacing w:before="1"/>
        <w:ind w:left="135" w:right="909"/>
        <w:jc w:val="both"/>
        <w:rPr>
          <w:sz w:val="18"/>
        </w:rPr>
      </w:pPr>
      <w:bookmarkStart w:id="2019" w:name="_bookmark1737"/>
      <w:bookmarkEnd w:id="2019"/>
      <w:r>
        <w:rPr>
          <w:position w:val="5"/>
          <w:sz w:val="12"/>
        </w:rPr>
        <w:t>1513</w:t>
      </w:r>
      <w:r>
        <w:rPr>
          <w:spacing w:val="35"/>
          <w:position w:val="5"/>
          <w:sz w:val="12"/>
        </w:rPr>
        <w:t xml:space="preserve"> </w:t>
      </w:r>
      <w:r>
        <w:rPr>
          <w:sz w:val="18"/>
        </w:rPr>
        <w:t>Australia's Panel Request, claim no. xix. ("In this regard, China has, inter alia: (i) failed to give reasons and adequate explanations of the methodology used for calculating prices for subject imports, non-subject imports and domestic like products; (ii) failed to consider all the positive evidence available on the record relating to price undercutting and price depression; (iii) failed to conduct a counterfactual analysis in the context of making a price suppression finding; and (iv) compared</w:t>
      </w:r>
      <w:r>
        <w:rPr>
          <w:spacing w:val="-4"/>
          <w:sz w:val="18"/>
        </w:rPr>
        <w:t xml:space="preserve"> </w:t>
      </w:r>
      <w:r>
        <w:rPr>
          <w:sz w:val="18"/>
        </w:rPr>
        <w:t>volumes</w:t>
      </w:r>
      <w:r>
        <w:rPr>
          <w:spacing w:val="-3"/>
          <w:sz w:val="18"/>
        </w:rPr>
        <w:t xml:space="preserve"> </w:t>
      </w:r>
      <w:r>
        <w:rPr>
          <w:sz w:val="18"/>
        </w:rPr>
        <w:t>and</w:t>
      </w:r>
      <w:r>
        <w:rPr>
          <w:spacing w:val="-4"/>
          <w:sz w:val="18"/>
        </w:rPr>
        <w:t xml:space="preserve"> </w:t>
      </w:r>
      <w:r>
        <w:rPr>
          <w:sz w:val="18"/>
        </w:rPr>
        <w:t>prices</w:t>
      </w:r>
      <w:r>
        <w:rPr>
          <w:spacing w:val="-3"/>
          <w:sz w:val="18"/>
        </w:rPr>
        <w:t xml:space="preserve"> </w:t>
      </w:r>
      <w:r>
        <w:rPr>
          <w:sz w:val="18"/>
        </w:rPr>
        <w:t>of</w:t>
      </w:r>
      <w:r>
        <w:rPr>
          <w:spacing w:val="-2"/>
          <w:sz w:val="18"/>
        </w:rPr>
        <w:t xml:space="preserve"> </w:t>
      </w:r>
      <w:r>
        <w:rPr>
          <w:sz w:val="18"/>
        </w:rPr>
        <w:t>subject</w:t>
      </w:r>
      <w:r>
        <w:rPr>
          <w:spacing w:val="-2"/>
          <w:sz w:val="18"/>
        </w:rPr>
        <w:t xml:space="preserve"> </w:t>
      </w:r>
      <w:r>
        <w:rPr>
          <w:sz w:val="18"/>
        </w:rPr>
        <w:t>imports</w:t>
      </w:r>
      <w:r>
        <w:rPr>
          <w:spacing w:val="-8"/>
          <w:sz w:val="18"/>
        </w:rPr>
        <w:t xml:space="preserve"> </w:t>
      </w:r>
      <w:r>
        <w:rPr>
          <w:sz w:val="18"/>
        </w:rPr>
        <w:t>to</w:t>
      </w:r>
      <w:r>
        <w:rPr>
          <w:spacing w:val="-4"/>
          <w:sz w:val="18"/>
        </w:rPr>
        <w:t xml:space="preserve"> </w:t>
      </w:r>
      <w:r>
        <w:rPr>
          <w:sz w:val="18"/>
        </w:rPr>
        <w:t>domestic</w:t>
      </w:r>
      <w:r>
        <w:rPr>
          <w:spacing w:val="-4"/>
          <w:sz w:val="18"/>
        </w:rPr>
        <w:t xml:space="preserve"> </w:t>
      </w:r>
      <w:r>
        <w:rPr>
          <w:sz w:val="18"/>
        </w:rPr>
        <w:t>like</w:t>
      </w:r>
      <w:r>
        <w:rPr>
          <w:spacing w:val="-3"/>
          <w:sz w:val="18"/>
        </w:rPr>
        <w:t xml:space="preserve"> </w:t>
      </w:r>
      <w:r>
        <w:rPr>
          <w:sz w:val="18"/>
        </w:rPr>
        <w:t>product</w:t>
      </w:r>
      <w:r>
        <w:rPr>
          <w:spacing w:val="-7"/>
          <w:sz w:val="18"/>
        </w:rPr>
        <w:t xml:space="preserve"> </w:t>
      </w:r>
      <w:r>
        <w:rPr>
          <w:sz w:val="18"/>
        </w:rPr>
        <w:t>that</w:t>
      </w:r>
      <w:r>
        <w:rPr>
          <w:spacing w:val="-2"/>
          <w:sz w:val="18"/>
        </w:rPr>
        <w:t xml:space="preserve"> </w:t>
      </w:r>
      <w:r>
        <w:rPr>
          <w:sz w:val="18"/>
        </w:rPr>
        <w:t>are</w:t>
      </w:r>
      <w:r>
        <w:rPr>
          <w:spacing w:val="-3"/>
          <w:sz w:val="18"/>
        </w:rPr>
        <w:t xml:space="preserve"> </w:t>
      </w:r>
      <w:r>
        <w:rPr>
          <w:sz w:val="18"/>
        </w:rPr>
        <w:t>not</w:t>
      </w:r>
      <w:r>
        <w:rPr>
          <w:spacing w:val="-2"/>
          <w:sz w:val="18"/>
        </w:rPr>
        <w:t xml:space="preserve"> </w:t>
      </w:r>
      <w:r>
        <w:rPr>
          <w:sz w:val="18"/>
        </w:rPr>
        <w:t>comparable</w:t>
      </w:r>
      <w:r>
        <w:rPr>
          <w:spacing w:val="-3"/>
          <w:sz w:val="18"/>
        </w:rPr>
        <w:t xml:space="preserve"> </w:t>
      </w:r>
      <w:r>
        <w:rPr>
          <w:sz w:val="18"/>
        </w:rPr>
        <w:t>and</w:t>
      </w:r>
      <w:r>
        <w:rPr>
          <w:spacing w:val="-8"/>
          <w:sz w:val="18"/>
        </w:rPr>
        <w:t xml:space="preserve"> </w:t>
      </w:r>
      <w:r>
        <w:rPr>
          <w:sz w:val="18"/>
        </w:rPr>
        <w:t>failed</w:t>
      </w:r>
      <w:r>
        <w:rPr>
          <w:spacing w:val="-4"/>
          <w:sz w:val="18"/>
        </w:rPr>
        <w:t xml:space="preserve"> </w:t>
      </w:r>
      <w:r>
        <w:rPr>
          <w:sz w:val="18"/>
        </w:rPr>
        <w:t>to</w:t>
      </w:r>
      <w:r>
        <w:rPr>
          <w:spacing w:val="-4"/>
          <w:sz w:val="18"/>
        </w:rPr>
        <w:t xml:space="preserve"> </w:t>
      </w:r>
      <w:r>
        <w:rPr>
          <w:sz w:val="18"/>
        </w:rPr>
        <w:t>ensure</w:t>
      </w:r>
      <w:r>
        <w:rPr>
          <w:spacing w:val="-3"/>
          <w:sz w:val="18"/>
        </w:rPr>
        <w:t xml:space="preserve"> </w:t>
      </w:r>
      <w:r>
        <w:rPr>
          <w:sz w:val="18"/>
        </w:rPr>
        <w:t>price comparability in its analysis of price effects").</w:t>
      </w:r>
    </w:p>
    <w:p w14:paraId="13F7F1C0" w14:textId="77777777" w:rsidR="00BD462C" w:rsidRDefault="00033D0F">
      <w:pPr>
        <w:spacing w:before="1"/>
        <w:ind w:left="135"/>
        <w:jc w:val="both"/>
        <w:rPr>
          <w:sz w:val="18"/>
        </w:rPr>
      </w:pPr>
      <w:bookmarkStart w:id="2020" w:name="_bookmark1738"/>
      <w:bookmarkEnd w:id="2020"/>
      <w:r>
        <w:rPr>
          <w:position w:val="5"/>
          <w:sz w:val="12"/>
        </w:rPr>
        <w:t>1514</w:t>
      </w:r>
      <w:r>
        <w:rPr>
          <w:spacing w:val="15"/>
          <w:position w:val="5"/>
          <w:sz w:val="12"/>
        </w:rPr>
        <w:t xml:space="preserve"> </w:t>
      </w:r>
      <w:r>
        <w:rPr>
          <w:sz w:val="18"/>
        </w:rPr>
        <w:t>See</w:t>
      </w:r>
      <w:r>
        <w:rPr>
          <w:spacing w:val="-4"/>
          <w:sz w:val="18"/>
        </w:rPr>
        <w:t xml:space="preserve"> </w:t>
      </w:r>
      <w:r>
        <w:rPr>
          <w:sz w:val="18"/>
        </w:rPr>
        <w:t>above,</w:t>
      </w:r>
      <w:r>
        <w:rPr>
          <w:spacing w:val="-2"/>
          <w:sz w:val="18"/>
        </w:rPr>
        <w:t xml:space="preserve"> </w:t>
      </w:r>
      <w:r>
        <w:rPr>
          <w:sz w:val="18"/>
        </w:rPr>
        <w:t>sections</w:t>
      </w:r>
      <w:r>
        <w:rPr>
          <w:spacing w:val="-4"/>
          <w:sz w:val="18"/>
        </w:rPr>
        <w:t xml:space="preserve"> </w:t>
      </w:r>
      <w:hyperlink w:anchor="_bookmark20" w:history="1">
        <w:r>
          <w:rPr>
            <w:sz w:val="18"/>
          </w:rPr>
          <w:t>II.A.1(b),</w:t>
        </w:r>
      </w:hyperlink>
      <w:r>
        <w:rPr>
          <w:spacing w:val="-2"/>
          <w:sz w:val="18"/>
        </w:rPr>
        <w:t xml:space="preserve"> </w:t>
      </w:r>
      <w:hyperlink w:anchor="_bookmark38" w:history="1">
        <w:r>
          <w:rPr>
            <w:spacing w:val="-5"/>
            <w:sz w:val="18"/>
          </w:rPr>
          <w:t>24.</w:t>
        </w:r>
      </w:hyperlink>
    </w:p>
    <w:p w14:paraId="2A020C72" w14:textId="77777777" w:rsidR="00BD462C" w:rsidRDefault="00BD462C">
      <w:pPr>
        <w:jc w:val="both"/>
        <w:rPr>
          <w:sz w:val="18"/>
        </w:rPr>
        <w:sectPr w:rsidR="00BD462C">
          <w:pgSz w:w="11910" w:h="16840"/>
          <w:pgMar w:top="860" w:right="500" w:bottom="780" w:left="1280" w:header="566" w:footer="590" w:gutter="0"/>
          <w:cols w:space="720"/>
        </w:sectPr>
      </w:pPr>
    </w:p>
    <w:p w14:paraId="2BA44602"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581E9756"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28A0AB90"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36E28DAD" w14:textId="77777777" w:rsidR="00BD462C" w:rsidRDefault="00033D0F">
      <w:pPr>
        <w:pStyle w:val="BodyText"/>
        <w:spacing w:before="2" w:line="360" w:lineRule="auto"/>
        <w:ind w:left="136" w:right="912"/>
        <w:jc w:val="both"/>
      </w:pPr>
      <w:r>
        <w:t>arguments was a claim.</w:t>
      </w:r>
      <w:hyperlink w:anchor="_bookmark1740" w:history="1">
        <w:r>
          <w:rPr>
            <w:vertAlign w:val="superscript"/>
          </w:rPr>
          <w:t>1515</w:t>
        </w:r>
      </w:hyperlink>
      <w:r>
        <w:t xml:space="preserve"> In fact, the elements that China alleges to be missing – including all specific factors affecting price comparability for price effects analysis, all price and other non-price factors affecting domestic prices, and conditions of sale – are not claims, they are arguments.</w:t>
      </w:r>
      <w:hyperlink w:anchor="_bookmark1741" w:history="1">
        <w:r>
          <w:rPr>
            <w:vertAlign w:val="superscript"/>
          </w:rPr>
          <w:t>1516</w:t>
        </w:r>
      </w:hyperlink>
      <w:r>
        <w:t xml:space="preserve"> Australia sets out these arguments to demonstrate its allegation that MOFCOM</w:t>
      </w:r>
      <w:r>
        <w:rPr>
          <w:spacing w:val="-3"/>
        </w:rPr>
        <w:t xml:space="preserve"> </w:t>
      </w:r>
      <w:r>
        <w:t>failed</w:t>
      </w:r>
      <w:r>
        <w:rPr>
          <w:spacing w:val="-3"/>
        </w:rPr>
        <w:t xml:space="preserve"> </w:t>
      </w:r>
      <w:r>
        <w:t>to</w:t>
      </w:r>
      <w:r>
        <w:rPr>
          <w:spacing w:val="-4"/>
        </w:rPr>
        <w:t xml:space="preserve"> </w:t>
      </w:r>
      <w:r>
        <w:t>determine</w:t>
      </w:r>
      <w:r>
        <w:rPr>
          <w:spacing w:val="3"/>
        </w:rPr>
        <w:t xml:space="preserve"> </w:t>
      </w:r>
      <w:r>
        <w:t>injury in</w:t>
      </w:r>
      <w:r>
        <w:rPr>
          <w:spacing w:val="2"/>
        </w:rPr>
        <w:t xml:space="preserve"> </w:t>
      </w:r>
      <w:r>
        <w:t>accordance</w:t>
      </w:r>
      <w:r>
        <w:rPr>
          <w:spacing w:val="-1"/>
        </w:rPr>
        <w:t xml:space="preserve"> </w:t>
      </w:r>
      <w:r>
        <w:t>with</w:t>
      </w:r>
      <w:r>
        <w:rPr>
          <w:spacing w:val="-3"/>
        </w:rPr>
        <w:t xml:space="preserve"> </w:t>
      </w:r>
      <w:r>
        <w:t>the</w:t>
      </w:r>
      <w:r>
        <w:rPr>
          <w:spacing w:val="-1"/>
        </w:rPr>
        <w:t xml:space="preserve"> </w:t>
      </w:r>
      <w:r>
        <w:t>specific</w:t>
      </w:r>
      <w:r>
        <w:rPr>
          <w:spacing w:val="2"/>
        </w:rPr>
        <w:t xml:space="preserve"> </w:t>
      </w:r>
      <w:r>
        <w:t>provisions listed,</w:t>
      </w:r>
      <w:r>
        <w:rPr>
          <w:spacing w:val="1"/>
        </w:rPr>
        <w:t xml:space="preserve"> </w:t>
      </w:r>
      <w:r>
        <w:rPr>
          <w:spacing w:val="-2"/>
        </w:rPr>
        <w:t>Articles</w:t>
      </w:r>
    </w:p>
    <w:p w14:paraId="2C6201F0" w14:textId="77777777" w:rsidR="00BD462C" w:rsidRDefault="00033D0F">
      <w:pPr>
        <w:pStyle w:val="BodyText"/>
        <w:spacing w:before="1" w:line="357" w:lineRule="auto"/>
        <w:ind w:left="136" w:right="918"/>
        <w:jc w:val="both"/>
      </w:pPr>
      <w:r>
        <w:t>3.1</w:t>
      </w:r>
      <w:r>
        <w:rPr>
          <w:spacing w:val="-5"/>
        </w:rPr>
        <w:t xml:space="preserve"> </w:t>
      </w:r>
      <w:r>
        <w:t>and 3.2. Each of China's</w:t>
      </w:r>
      <w:r>
        <w:rPr>
          <w:spacing w:val="-1"/>
        </w:rPr>
        <w:t xml:space="preserve"> </w:t>
      </w:r>
      <w:r>
        <w:t>"new</w:t>
      </w:r>
      <w:r>
        <w:rPr>
          <w:spacing w:val="-2"/>
        </w:rPr>
        <w:t xml:space="preserve"> </w:t>
      </w:r>
      <w:r>
        <w:t>claims"</w:t>
      </w:r>
      <w:r>
        <w:rPr>
          <w:spacing w:val="-3"/>
        </w:rPr>
        <w:t xml:space="preserve"> </w:t>
      </w:r>
      <w:r>
        <w:t>is</w:t>
      </w:r>
      <w:r>
        <w:rPr>
          <w:spacing w:val="-1"/>
        </w:rPr>
        <w:t xml:space="preserve"> </w:t>
      </w:r>
      <w:r>
        <w:t>simply</w:t>
      </w:r>
      <w:r>
        <w:rPr>
          <w:spacing w:val="-6"/>
        </w:rPr>
        <w:t xml:space="preserve"> </w:t>
      </w:r>
      <w:r>
        <w:t>an</w:t>
      </w:r>
      <w:r>
        <w:rPr>
          <w:spacing w:val="-4"/>
        </w:rPr>
        <w:t xml:space="preserve"> </w:t>
      </w:r>
      <w:r>
        <w:t>argument</w:t>
      </w:r>
      <w:r>
        <w:rPr>
          <w:spacing w:val="-2"/>
        </w:rPr>
        <w:t xml:space="preserve"> </w:t>
      </w:r>
      <w:r>
        <w:t>supporting</w:t>
      </w:r>
      <w:r>
        <w:rPr>
          <w:spacing w:val="-1"/>
        </w:rPr>
        <w:t xml:space="preserve"> </w:t>
      </w:r>
      <w:r>
        <w:t>or demonstrating Australia's claim that China acted inconsistently with Article 3.2.</w:t>
      </w:r>
      <w:hyperlink w:anchor="_bookmark1742" w:history="1">
        <w:r>
          <w:rPr>
            <w:vertAlign w:val="superscript"/>
          </w:rPr>
          <w:t>1517</w:t>
        </w:r>
      </w:hyperlink>
    </w:p>
    <w:p w14:paraId="46F110BB" w14:textId="77777777" w:rsidR="00BD462C" w:rsidRDefault="00BD462C">
      <w:pPr>
        <w:pStyle w:val="BodyText"/>
        <w:spacing w:before="2"/>
        <w:rPr>
          <w:sz w:val="9"/>
        </w:rPr>
      </w:pPr>
    </w:p>
    <w:p w14:paraId="291BA6C8" w14:textId="54C35CA6" w:rsidR="00BD462C" w:rsidRDefault="00F03EFC">
      <w:pPr>
        <w:pStyle w:val="BodyText"/>
        <w:spacing w:before="56" w:line="360" w:lineRule="auto"/>
        <w:ind w:left="135" w:right="911" w:firstLine="9"/>
        <w:jc w:val="both"/>
      </w:pPr>
      <w:r>
        <w:rPr>
          <w:noProof/>
        </w:rPr>
        <w:t>19.</w:t>
      </w:r>
      <w:r w:rsidR="00033D0F">
        <w:rPr>
          <w:rFonts w:ascii="Times New Roman" w:hAnsi="Times New Roman"/>
          <w:spacing w:val="500"/>
          <w:position w:val="1"/>
          <w:sz w:val="20"/>
        </w:rPr>
        <w:t xml:space="preserve"> </w:t>
      </w:r>
      <w:bookmarkStart w:id="2021" w:name="_bookmark1739"/>
      <w:bookmarkEnd w:id="2021"/>
      <w:r w:rsidR="00033D0F">
        <w:rPr>
          <w:position w:val="1"/>
        </w:rPr>
        <w:t xml:space="preserve">China's misunderstanding of the standard pursuant to Article 6.2 of the DSU is </w:t>
      </w:r>
      <w:r w:rsidR="00033D0F">
        <w:t>similarly evident in its allegation that Australia makes a "new claim" that MOFCOM failed to disclose</w:t>
      </w:r>
      <w:r w:rsidR="00033D0F">
        <w:rPr>
          <w:spacing w:val="-14"/>
        </w:rPr>
        <w:t xml:space="preserve"> </w:t>
      </w:r>
      <w:r w:rsidR="00033D0F">
        <w:t>price</w:t>
      </w:r>
      <w:r w:rsidR="00033D0F">
        <w:rPr>
          <w:spacing w:val="-13"/>
        </w:rPr>
        <w:t xml:space="preserve"> </w:t>
      </w:r>
      <w:r w:rsidR="00033D0F">
        <w:t>data</w:t>
      </w:r>
      <w:r w:rsidR="00033D0F">
        <w:rPr>
          <w:spacing w:val="-14"/>
        </w:rPr>
        <w:t xml:space="preserve"> </w:t>
      </w:r>
      <w:r w:rsidR="00033D0F">
        <w:t>set</w:t>
      </w:r>
      <w:r w:rsidR="00033D0F">
        <w:rPr>
          <w:spacing w:val="-11"/>
        </w:rPr>
        <w:t xml:space="preserve"> </w:t>
      </w:r>
      <w:r w:rsidR="00033D0F">
        <w:t>and</w:t>
      </w:r>
      <w:r w:rsidR="00033D0F">
        <w:rPr>
          <w:spacing w:val="-14"/>
        </w:rPr>
        <w:t xml:space="preserve"> </w:t>
      </w:r>
      <w:r w:rsidR="00033D0F">
        <w:t>methodology.</w:t>
      </w:r>
      <w:hyperlink w:anchor="_bookmark1743" w:history="1">
        <w:r w:rsidR="00033D0F">
          <w:rPr>
            <w:vertAlign w:val="superscript"/>
          </w:rPr>
          <w:t>1518</w:t>
        </w:r>
      </w:hyperlink>
      <w:r w:rsidR="00033D0F">
        <w:rPr>
          <w:spacing w:val="-11"/>
        </w:rPr>
        <w:t xml:space="preserve"> </w:t>
      </w:r>
      <w:r w:rsidR="00033D0F">
        <w:t>This</w:t>
      </w:r>
      <w:r w:rsidR="00033D0F">
        <w:rPr>
          <w:spacing w:val="-11"/>
        </w:rPr>
        <w:t xml:space="preserve"> </w:t>
      </w:r>
      <w:r w:rsidR="00033D0F">
        <w:t>allegation</w:t>
      </w:r>
      <w:r w:rsidR="00033D0F">
        <w:rPr>
          <w:spacing w:val="-14"/>
        </w:rPr>
        <w:t xml:space="preserve"> </w:t>
      </w:r>
      <w:r w:rsidR="00033D0F">
        <w:t>is</w:t>
      </w:r>
      <w:r w:rsidR="00033D0F">
        <w:rPr>
          <w:spacing w:val="-10"/>
        </w:rPr>
        <w:t xml:space="preserve"> </w:t>
      </w:r>
      <w:r w:rsidR="00033D0F">
        <w:t>the</w:t>
      </w:r>
      <w:r w:rsidR="00033D0F">
        <w:rPr>
          <w:spacing w:val="-12"/>
        </w:rPr>
        <w:t xml:space="preserve"> </w:t>
      </w:r>
      <w:r w:rsidR="00033D0F">
        <w:t>result</w:t>
      </w:r>
      <w:r w:rsidR="00033D0F">
        <w:rPr>
          <w:spacing w:val="-11"/>
        </w:rPr>
        <w:t xml:space="preserve"> </w:t>
      </w:r>
      <w:r w:rsidR="00033D0F">
        <w:t>of</w:t>
      </w:r>
      <w:r w:rsidR="00033D0F">
        <w:rPr>
          <w:spacing w:val="-14"/>
        </w:rPr>
        <w:t xml:space="preserve"> </w:t>
      </w:r>
      <w:r w:rsidR="00033D0F">
        <w:t>three</w:t>
      </w:r>
      <w:r w:rsidR="00033D0F">
        <w:rPr>
          <w:spacing w:val="-12"/>
        </w:rPr>
        <w:t xml:space="preserve"> </w:t>
      </w:r>
      <w:r w:rsidR="00033D0F">
        <w:t>errors.</w:t>
      </w:r>
      <w:r w:rsidR="00033D0F">
        <w:rPr>
          <w:spacing w:val="-11"/>
        </w:rPr>
        <w:t xml:space="preserve"> </w:t>
      </w:r>
      <w:r w:rsidR="00033D0F">
        <w:t xml:space="preserve">Firstly, China incorrectly </w:t>
      </w:r>
      <w:proofErr w:type="spellStart"/>
      <w:r w:rsidR="00033D0F">
        <w:t>characterises</w:t>
      </w:r>
      <w:proofErr w:type="spellEnd"/>
      <w:r w:rsidR="00033D0F">
        <w:t xml:space="preserve"> Australia's argument as relating to procedural disclosure obligations; Australia's argument is that MOFCOM's failure to provide adequate reasons and explanations meant that its price effects analysis did not comply with China's Article 3.1 obligations.</w:t>
      </w:r>
      <w:hyperlink w:anchor="_bookmark1744" w:history="1">
        <w:r w:rsidR="00033D0F">
          <w:rPr>
            <w:vertAlign w:val="superscript"/>
          </w:rPr>
          <w:t>1519</w:t>
        </w:r>
      </w:hyperlink>
      <w:r w:rsidR="00033D0F">
        <w:t xml:space="preserve"> Secondly, failure "to give reasons and adequate explanations of the methodology used for calculating prices for subject imports"</w:t>
      </w:r>
      <w:hyperlink w:anchor="_bookmark1745" w:history="1">
        <w:r w:rsidR="00033D0F">
          <w:rPr>
            <w:vertAlign w:val="superscript"/>
          </w:rPr>
          <w:t>1520</w:t>
        </w:r>
      </w:hyperlink>
      <w:r w:rsidR="00033D0F">
        <w:t xml:space="preserve"> is an </w:t>
      </w:r>
      <w:r w:rsidR="00033D0F">
        <w:rPr>
          <w:i/>
        </w:rPr>
        <w:t xml:space="preserve">argument </w:t>
      </w:r>
      <w:r w:rsidR="00033D0F">
        <w:t>made in support</w:t>
      </w:r>
      <w:r w:rsidR="00033D0F">
        <w:rPr>
          <w:spacing w:val="-14"/>
        </w:rPr>
        <w:t xml:space="preserve"> </w:t>
      </w:r>
      <w:r w:rsidR="00033D0F">
        <w:t>of</w:t>
      </w:r>
      <w:r w:rsidR="00033D0F">
        <w:rPr>
          <w:spacing w:val="-14"/>
        </w:rPr>
        <w:t xml:space="preserve"> </w:t>
      </w:r>
      <w:r w:rsidR="00033D0F">
        <w:t>Australia's</w:t>
      </w:r>
      <w:r w:rsidR="00033D0F">
        <w:rPr>
          <w:spacing w:val="-13"/>
        </w:rPr>
        <w:t xml:space="preserve"> </w:t>
      </w:r>
      <w:r w:rsidR="00033D0F">
        <w:t>claim:</w:t>
      </w:r>
      <w:r w:rsidR="00033D0F">
        <w:rPr>
          <w:spacing w:val="-14"/>
        </w:rPr>
        <w:t xml:space="preserve"> </w:t>
      </w:r>
      <w:r w:rsidR="00033D0F">
        <w:t>Australia</w:t>
      </w:r>
      <w:r w:rsidR="00033D0F">
        <w:rPr>
          <w:spacing w:val="-13"/>
        </w:rPr>
        <w:t xml:space="preserve"> </w:t>
      </w:r>
      <w:r w:rsidR="00033D0F">
        <w:t>argues</w:t>
      </w:r>
      <w:r w:rsidR="00033D0F">
        <w:rPr>
          <w:spacing w:val="-13"/>
        </w:rPr>
        <w:t xml:space="preserve"> </w:t>
      </w:r>
      <w:r w:rsidR="00033D0F">
        <w:t>that</w:t>
      </w:r>
      <w:r w:rsidR="00033D0F">
        <w:rPr>
          <w:spacing w:val="-12"/>
        </w:rPr>
        <w:t xml:space="preserve"> </w:t>
      </w:r>
      <w:r w:rsidR="00033D0F">
        <w:t>this</w:t>
      </w:r>
      <w:r w:rsidR="00033D0F">
        <w:rPr>
          <w:spacing w:val="-12"/>
        </w:rPr>
        <w:t xml:space="preserve"> </w:t>
      </w:r>
      <w:r w:rsidR="00033D0F">
        <w:t>violation</w:t>
      </w:r>
      <w:r w:rsidR="00033D0F">
        <w:rPr>
          <w:spacing w:val="-14"/>
        </w:rPr>
        <w:t xml:space="preserve"> </w:t>
      </w:r>
      <w:r w:rsidR="00033D0F">
        <w:t>arises</w:t>
      </w:r>
      <w:r w:rsidR="00033D0F">
        <w:rPr>
          <w:spacing w:val="-11"/>
        </w:rPr>
        <w:t xml:space="preserve"> </w:t>
      </w:r>
      <w:r w:rsidR="00033D0F">
        <w:t>because</w:t>
      </w:r>
      <w:r w:rsidR="00033D0F">
        <w:rPr>
          <w:spacing w:val="-14"/>
        </w:rPr>
        <w:t xml:space="preserve"> </w:t>
      </w:r>
      <w:r w:rsidR="00033D0F">
        <w:t>MOFCOM</w:t>
      </w:r>
      <w:r w:rsidR="00033D0F">
        <w:rPr>
          <w:spacing w:val="-12"/>
        </w:rPr>
        <w:t xml:space="preserve"> </w:t>
      </w:r>
      <w:r w:rsidR="00033D0F">
        <w:t>failed to disclose data sets or provide an explanation of how those data sets were used.</w:t>
      </w:r>
      <w:hyperlink w:anchor="_bookmark1746" w:history="1">
        <w:r w:rsidR="00033D0F">
          <w:rPr>
            <w:vertAlign w:val="superscript"/>
          </w:rPr>
          <w:t>1521</w:t>
        </w:r>
      </w:hyperlink>
      <w:r w:rsidR="00033D0F">
        <w:t xml:space="preserve"> Third, China willfully ignores the similarities between the language of Australia's panel request and the language found to be acceptable in </w:t>
      </w:r>
      <w:r w:rsidR="00033D0F">
        <w:rPr>
          <w:i/>
        </w:rPr>
        <w:t>Korea –</w:t>
      </w:r>
      <w:r w:rsidR="00033D0F">
        <w:rPr>
          <w:i/>
          <w:spacing w:val="-2"/>
        </w:rPr>
        <w:t xml:space="preserve"> </w:t>
      </w:r>
      <w:r w:rsidR="00033D0F">
        <w:rPr>
          <w:i/>
        </w:rPr>
        <w:t>Pneumatic</w:t>
      </w:r>
      <w:r w:rsidR="00033D0F">
        <w:rPr>
          <w:i/>
          <w:spacing w:val="-2"/>
        </w:rPr>
        <w:t xml:space="preserve"> </w:t>
      </w:r>
      <w:r w:rsidR="00033D0F">
        <w:rPr>
          <w:i/>
        </w:rPr>
        <w:t>Valves (Japan)</w:t>
      </w:r>
      <w:r w:rsidR="00033D0F">
        <w:t>. As</w:t>
      </w:r>
      <w:r w:rsidR="00033D0F">
        <w:rPr>
          <w:spacing w:val="-1"/>
        </w:rPr>
        <w:t xml:space="preserve"> </w:t>
      </w:r>
      <w:r w:rsidR="00033D0F">
        <w:t>in that dispute, Australia</w:t>
      </w:r>
      <w:r w:rsidR="00033D0F">
        <w:rPr>
          <w:spacing w:val="-12"/>
        </w:rPr>
        <w:t xml:space="preserve"> </w:t>
      </w:r>
      <w:r w:rsidR="00033D0F">
        <w:t>has</w:t>
      </w:r>
      <w:r w:rsidR="00033D0F">
        <w:rPr>
          <w:spacing w:val="-14"/>
        </w:rPr>
        <w:t xml:space="preserve"> </w:t>
      </w:r>
      <w:r w:rsidR="00033D0F">
        <w:t>identified</w:t>
      </w:r>
      <w:r w:rsidR="00033D0F">
        <w:rPr>
          <w:spacing w:val="-13"/>
        </w:rPr>
        <w:t xml:space="preserve"> </w:t>
      </w:r>
      <w:r w:rsidR="00033D0F">
        <w:t>Articles</w:t>
      </w:r>
      <w:r w:rsidR="00033D0F">
        <w:rPr>
          <w:spacing w:val="-10"/>
        </w:rPr>
        <w:t xml:space="preserve"> </w:t>
      </w:r>
      <w:r w:rsidR="00033D0F">
        <w:t>3.1</w:t>
      </w:r>
      <w:r w:rsidR="00033D0F">
        <w:rPr>
          <w:spacing w:val="-14"/>
        </w:rPr>
        <w:t xml:space="preserve"> </w:t>
      </w:r>
      <w:r w:rsidR="00033D0F">
        <w:t>and</w:t>
      </w:r>
      <w:r w:rsidR="00033D0F">
        <w:rPr>
          <w:spacing w:val="-13"/>
        </w:rPr>
        <w:t xml:space="preserve"> </w:t>
      </w:r>
      <w:r w:rsidR="00033D0F">
        <w:t>3.2</w:t>
      </w:r>
      <w:r w:rsidR="00033D0F">
        <w:rPr>
          <w:spacing w:val="-14"/>
        </w:rPr>
        <w:t xml:space="preserve"> </w:t>
      </w:r>
      <w:r w:rsidR="00033D0F">
        <w:t>as</w:t>
      </w:r>
      <w:r w:rsidR="00033D0F">
        <w:rPr>
          <w:spacing w:val="-9"/>
        </w:rPr>
        <w:t xml:space="preserve"> </w:t>
      </w:r>
      <w:r w:rsidR="00033D0F">
        <w:t>the</w:t>
      </w:r>
      <w:r w:rsidR="00033D0F">
        <w:rPr>
          <w:spacing w:val="-12"/>
        </w:rPr>
        <w:t xml:space="preserve"> </w:t>
      </w:r>
      <w:r w:rsidR="00033D0F">
        <w:t>provisions</w:t>
      </w:r>
      <w:r w:rsidR="00033D0F">
        <w:rPr>
          <w:spacing w:val="-10"/>
        </w:rPr>
        <w:t xml:space="preserve"> </w:t>
      </w:r>
      <w:r w:rsidR="00033D0F">
        <w:t>at</w:t>
      </w:r>
      <w:r w:rsidR="00033D0F">
        <w:rPr>
          <w:spacing w:val="-11"/>
        </w:rPr>
        <w:t xml:space="preserve"> </w:t>
      </w:r>
      <w:r w:rsidR="00033D0F">
        <w:t>issue</w:t>
      </w:r>
      <w:r w:rsidR="00033D0F">
        <w:rPr>
          <w:spacing w:val="-12"/>
        </w:rPr>
        <w:t xml:space="preserve"> </w:t>
      </w:r>
      <w:r w:rsidR="00033D0F">
        <w:t>and</w:t>
      </w:r>
      <w:r w:rsidR="00033D0F">
        <w:rPr>
          <w:spacing w:val="-14"/>
        </w:rPr>
        <w:t xml:space="preserve"> </w:t>
      </w:r>
      <w:r w:rsidR="00033D0F">
        <w:t>identified</w:t>
      </w:r>
      <w:r w:rsidR="00033D0F">
        <w:rPr>
          <w:spacing w:val="-13"/>
        </w:rPr>
        <w:t xml:space="preserve"> </w:t>
      </w:r>
      <w:r w:rsidR="00033D0F">
        <w:t>the</w:t>
      </w:r>
      <w:r w:rsidR="00033D0F">
        <w:rPr>
          <w:spacing w:val="-12"/>
        </w:rPr>
        <w:t xml:space="preserve"> </w:t>
      </w:r>
      <w:r w:rsidR="00033D0F">
        <w:t>portion of the investigation at issue.</w:t>
      </w:r>
      <w:hyperlink w:anchor="_bookmark1747" w:history="1">
        <w:r w:rsidR="00033D0F">
          <w:rPr>
            <w:vertAlign w:val="superscript"/>
          </w:rPr>
          <w:t>1522</w:t>
        </w:r>
      </w:hyperlink>
      <w:r w:rsidR="00033D0F">
        <w:t xml:space="preserve"> In both disputes, there is a plain connection between the challenged measure and the obligation in question.</w:t>
      </w:r>
      <w:hyperlink w:anchor="_bookmark1748" w:history="1">
        <w:r w:rsidR="00033D0F">
          <w:rPr>
            <w:vertAlign w:val="superscript"/>
          </w:rPr>
          <w:t>1523</w:t>
        </w:r>
      </w:hyperlink>
    </w:p>
    <w:p w14:paraId="24DA201F" w14:textId="7FA29EB5" w:rsidR="00BD462C" w:rsidRDefault="00E14314">
      <w:pPr>
        <w:pStyle w:val="BodyText"/>
        <w:rPr>
          <w:sz w:val="20"/>
        </w:rPr>
      </w:pPr>
      <w:r>
        <w:rPr>
          <w:noProof/>
        </w:rPr>
        <mc:AlternateContent>
          <mc:Choice Requires="wps">
            <w:drawing>
              <wp:anchor distT="0" distB="0" distL="0" distR="0" simplePos="0" relativeHeight="488102400" behindDoc="1" locked="0" layoutInCell="1" allowOverlap="1" wp14:anchorId="0349673C" wp14:editId="1CAF8549">
                <wp:simplePos x="0" y="0"/>
                <wp:positionH relativeFrom="page">
                  <wp:posOffset>812800</wp:posOffset>
                </wp:positionH>
                <wp:positionV relativeFrom="paragraph">
                  <wp:posOffset>344805</wp:posOffset>
                </wp:positionV>
                <wp:extent cx="1828800" cy="8890"/>
                <wp:effectExtent l="0" t="0" r="0" b="0"/>
                <wp:wrapTopAndBottom/>
                <wp:docPr id="75" name="docshape7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D27BBD" id="docshape705" o:spid="_x0000_s1026" alt="&quot;&quot;" style="position:absolute;margin-left:64pt;margin-top:27.15pt;width:2in;height:.7pt;z-index:-15214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" fillcolor="black" stroked="f">
                <w10:wrap type="topAndBottom" anchorx="page"/>
              </v:rect>
            </w:pict>
          </mc:Fallback>
        </mc:AlternateContent>
      </w:r>
    </w:p>
    <w:p w14:paraId="5F0F1A74" w14:textId="1FAB09C5" w:rsidR="00BD462C" w:rsidRDefault="00BD462C">
      <w:pPr>
        <w:pStyle w:val="BodyText"/>
        <w:spacing w:before="2"/>
      </w:pPr>
    </w:p>
    <w:p w14:paraId="6176C222" w14:textId="77777777" w:rsidR="00BD462C" w:rsidRDefault="00033D0F">
      <w:pPr>
        <w:spacing w:before="112" w:line="218" w:lineRule="exact"/>
        <w:ind w:left="135"/>
        <w:rPr>
          <w:sz w:val="18"/>
        </w:rPr>
      </w:pPr>
      <w:bookmarkStart w:id="2022" w:name="_bookmark1740"/>
      <w:bookmarkEnd w:id="2022"/>
      <w:r>
        <w:rPr>
          <w:position w:val="5"/>
          <w:sz w:val="12"/>
        </w:rPr>
        <w:t>1515</w:t>
      </w:r>
      <w:r>
        <w:rPr>
          <w:spacing w:val="13"/>
          <w:position w:val="5"/>
          <w:sz w:val="12"/>
        </w:rPr>
        <w:t xml:space="preserve"> </w:t>
      </w:r>
      <w:r>
        <w:rPr>
          <w:sz w:val="18"/>
        </w:rPr>
        <w:t>See</w:t>
      </w:r>
      <w:r>
        <w:rPr>
          <w:spacing w:val="-4"/>
          <w:sz w:val="18"/>
        </w:rPr>
        <w:t xml:space="preserve"> </w:t>
      </w:r>
      <w:r>
        <w:rPr>
          <w:sz w:val="18"/>
        </w:rPr>
        <w:t>Australia's</w:t>
      </w:r>
      <w:r>
        <w:rPr>
          <w:spacing w:val="-5"/>
          <w:sz w:val="18"/>
        </w:rPr>
        <w:t xml:space="preserve"> </w:t>
      </w:r>
      <w:r>
        <w:rPr>
          <w:sz w:val="18"/>
        </w:rPr>
        <w:t>panel request,</w:t>
      </w:r>
      <w:r>
        <w:rPr>
          <w:spacing w:val="-3"/>
          <w:sz w:val="18"/>
        </w:rPr>
        <w:t xml:space="preserve"> </w:t>
      </w:r>
      <w:r>
        <w:rPr>
          <w:sz w:val="18"/>
        </w:rPr>
        <w:t>para.</w:t>
      </w:r>
      <w:r>
        <w:rPr>
          <w:spacing w:val="-3"/>
          <w:sz w:val="18"/>
        </w:rPr>
        <w:t xml:space="preserve"> </w:t>
      </w:r>
      <w:r>
        <w:rPr>
          <w:spacing w:val="-2"/>
          <w:sz w:val="18"/>
        </w:rPr>
        <w:t>(xix).</w:t>
      </w:r>
    </w:p>
    <w:p w14:paraId="24028512" w14:textId="77777777" w:rsidR="00BD462C" w:rsidRDefault="00033D0F">
      <w:pPr>
        <w:ind w:left="135" w:right="923"/>
        <w:rPr>
          <w:sz w:val="18"/>
        </w:rPr>
      </w:pPr>
      <w:bookmarkStart w:id="2023" w:name="_bookmark1741"/>
      <w:bookmarkEnd w:id="2023"/>
      <w:r>
        <w:rPr>
          <w:position w:val="5"/>
          <w:sz w:val="12"/>
        </w:rPr>
        <w:t>1516</w:t>
      </w:r>
      <w:r>
        <w:rPr>
          <w:spacing w:val="26"/>
          <w:position w:val="5"/>
          <w:sz w:val="12"/>
        </w:rPr>
        <w:t xml:space="preserve"> </w:t>
      </w:r>
      <w:r>
        <w:rPr>
          <w:sz w:val="18"/>
        </w:rPr>
        <w:t>China repeats similar misplaced allegations throughout its submission. See China's first written submission paras. 942- 943, 961-974; cite paras. 1086, 1097, 1266-1270, 1273, 1532-1548, 1678, 1692-1712.</w:t>
      </w:r>
    </w:p>
    <w:p w14:paraId="0FB7BA8A" w14:textId="77777777" w:rsidR="00BD462C" w:rsidRDefault="00033D0F">
      <w:pPr>
        <w:ind w:left="135"/>
        <w:rPr>
          <w:sz w:val="18"/>
        </w:rPr>
      </w:pPr>
      <w:bookmarkStart w:id="2024" w:name="_bookmark1742"/>
      <w:bookmarkEnd w:id="2024"/>
      <w:r>
        <w:rPr>
          <w:position w:val="5"/>
          <w:sz w:val="12"/>
        </w:rPr>
        <w:t>1517</w:t>
      </w:r>
      <w:r>
        <w:rPr>
          <w:spacing w:val="13"/>
          <w:position w:val="5"/>
          <w:sz w:val="12"/>
        </w:rPr>
        <w:t xml:space="preserve"> </w:t>
      </w:r>
      <w:r>
        <w:rPr>
          <w:sz w:val="18"/>
        </w:rPr>
        <w:t>Australia's</w:t>
      </w:r>
      <w:r>
        <w:rPr>
          <w:spacing w:val="-5"/>
          <w:sz w:val="18"/>
        </w:rPr>
        <w:t xml:space="preserve"> </w:t>
      </w:r>
      <w:r>
        <w:rPr>
          <w:sz w:val="18"/>
        </w:rPr>
        <w:t>panel</w:t>
      </w:r>
      <w:r>
        <w:rPr>
          <w:spacing w:val="-1"/>
          <w:sz w:val="18"/>
        </w:rPr>
        <w:t xml:space="preserve"> </w:t>
      </w:r>
      <w:r>
        <w:rPr>
          <w:sz w:val="18"/>
        </w:rPr>
        <w:t>request,</w:t>
      </w:r>
      <w:r>
        <w:rPr>
          <w:spacing w:val="-3"/>
          <w:sz w:val="18"/>
        </w:rPr>
        <w:t xml:space="preserve"> </w:t>
      </w:r>
      <w:r>
        <w:rPr>
          <w:sz w:val="18"/>
        </w:rPr>
        <w:t>para.</w:t>
      </w:r>
      <w:r>
        <w:rPr>
          <w:spacing w:val="-4"/>
          <w:sz w:val="18"/>
        </w:rPr>
        <w:t xml:space="preserve"> </w:t>
      </w:r>
      <w:r>
        <w:rPr>
          <w:sz w:val="18"/>
        </w:rPr>
        <w:t>(xix);</w:t>
      </w:r>
      <w:r>
        <w:rPr>
          <w:spacing w:val="-7"/>
          <w:sz w:val="18"/>
        </w:rPr>
        <w:t xml:space="preserve"> </w:t>
      </w:r>
      <w:r>
        <w:rPr>
          <w:sz w:val="18"/>
        </w:rPr>
        <w:t>see</w:t>
      </w:r>
      <w:r>
        <w:rPr>
          <w:spacing w:val="-6"/>
          <w:sz w:val="18"/>
        </w:rPr>
        <w:t xml:space="preserve"> </w:t>
      </w:r>
      <w:r>
        <w:rPr>
          <w:sz w:val="18"/>
        </w:rPr>
        <w:t>China's</w:t>
      </w:r>
      <w:r>
        <w:rPr>
          <w:spacing w:val="-5"/>
          <w:sz w:val="18"/>
        </w:rPr>
        <w:t xml:space="preserve"> </w:t>
      </w:r>
      <w:r>
        <w:rPr>
          <w:sz w:val="18"/>
        </w:rPr>
        <w:t>first</w:t>
      </w:r>
      <w:r>
        <w:rPr>
          <w:spacing w:val="-4"/>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para.</w:t>
      </w:r>
      <w:r>
        <w:rPr>
          <w:spacing w:val="-4"/>
          <w:sz w:val="18"/>
        </w:rPr>
        <w:t xml:space="preserve"> 943.</w:t>
      </w:r>
    </w:p>
    <w:p w14:paraId="167C000D" w14:textId="77777777" w:rsidR="00BD462C" w:rsidRDefault="00033D0F">
      <w:pPr>
        <w:spacing w:before="1"/>
        <w:ind w:left="135"/>
        <w:rPr>
          <w:sz w:val="18"/>
        </w:rPr>
      </w:pPr>
      <w:bookmarkStart w:id="2025" w:name="_bookmark1743"/>
      <w:bookmarkEnd w:id="2025"/>
      <w:r>
        <w:rPr>
          <w:position w:val="5"/>
          <w:sz w:val="12"/>
        </w:rPr>
        <w:t>1518</w:t>
      </w:r>
      <w:r>
        <w:rPr>
          <w:spacing w:val="12"/>
          <w:position w:val="5"/>
          <w:sz w:val="12"/>
        </w:rPr>
        <w:t xml:space="preserve"> </w:t>
      </w:r>
      <w:r>
        <w:rPr>
          <w:sz w:val="18"/>
        </w:rPr>
        <w:t>China's</w:t>
      </w:r>
      <w:r>
        <w:rPr>
          <w:spacing w:val="-7"/>
          <w:sz w:val="18"/>
        </w:rPr>
        <w:t xml:space="preserve"> </w:t>
      </w:r>
      <w:r>
        <w:rPr>
          <w:sz w:val="18"/>
        </w:rPr>
        <w:t>first</w:t>
      </w:r>
      <w:r>
        <w:rPr>
          <w:spacing w:val="-5"/>
          <w:sz w:val="18"/>
        </w:rPr>
        <w:t xml:space="preserve"> </w:t>
      </w:r>
      <w:r>
        <w:rPr>
          <w:sz w:val="18"/>
        </w:rPr>
        <w:t>written</w:t>
      </w:r>
      <w:r>
        <w:rPr>
          <w:spacing w:val="-7"/>
          <w:sz w:val="18"/>
        </w:rPr>
        <w:t xml:space="preserve"> </w:t>
      </w:r>
      <w:r>
        <w:rPr>
          <w:sz w:val="18"/>
        </w:rPr>
        <w:t>submission, paras.</w:t>
      </w:r>
      <w:r>
        <w:rPr>
          <w:spacing w:val="-6"/>
          <w:sz w:val="18"/>
        </w:rPr>
        <w:t xml:space="preserve"> </w:t>
      </w:r>
      <w:r>
        <w:rPr>
          <w:sz w:val="18"/>
        </w:rPr>
        <w:t>943,</w:t>
      </w:r>
      <w:r>
        <w:rPr>
          <w:spacing w:val="-4"/>
          <w:sz w:val="18"/>
        </w:rPr>
        <w:t xml:space="preserve"> </w:t>
      </w:r>
      <w:r>
        <w:rPr>
          <w:sz w:val="18"/>
        </w:rPr>
        <w:t>961-964,</w:t>
      </w:r>
      <w:r>
        <w:rPr>
          <w:spacing w:val="-5"/>
          <w:sz w:val="18"/>
        </w:rPr>
        <w:t xml:space="preserve"> </w:t>
      </w:r>
      <w:r>
        <w:rPr>
          <w:sz w:val="18"/>
        </w:rPr>
        <w:t xml:space="preserve">969-971, </w:t>
      </w:r>
      <w:r>
        <w:rPr>
          <w:spacing w:val="-4"/>
          <w:sz w:val="18"/>
        </w:rPr>
        <w:t>974.</w:t>
      </w:r>
    </w:p>
    <w:p w14:paraId="2E1AA3E1" w14:textId="77777777" w:rsidR="00BD462C" w:rsidRDefault="00033D0F">
      <w:pPr>
        <w:spacing w:before="1" w:line="218" w:lineRule="exact"/>
        <w:ind w:left="135"/>
        <w:rPr>
          <w:sz w:val="18"/>
        </w:rPr>
      </w:pPr>
      <w:bookmarkStart w:id="2026" w:name="_bookmark1744"/>
      <w:bookmarkEnd w:id="2026"/>
      <w:r>
        <w:rPr>
          <w:position w:val="5"/>
          <w:sz w:val="12"/>
        </w:rPr>
        <w:t>1519</w:t>
      </w:r>
      <w:r>
        <w:rPr>
          <w:spacing w:val="12"/>
          <w:position w:val="5"/>
          <w:sz w:val="12"/>
        </w:rPr>
        <w:t xml:space="preserve"> </w:t>
      </w:r>
      <w:r>
        <w:rPr>
          <w:sz w:val="18"/>
        </w:rPr>
        <w:t>See</w:t>
      </w:r>
      <w:r>
        <w:rPr>
          <w:spacing w:val="-5"/>
          <w:sz w:val="18"/>
        </w:rPr>
        <w:t xml:space="preserve"> </w:t>
      </w:r>
      <w:r>
        <w:rPr>
          <w:sz w:val="18"/>
        </w:rPr>
        <w:t>China's</w:t>
      </w:r>
      <w:r>
        <w:rPr>
          <w:spacing w:val="-6"/>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 para. 959-</w:t>
      </w:r>
      <w:r>
        <w:rPr>
          <w:spacing w:val="-4"/>
          <w:sz w:val="18"/>
        </w:rPr>
        <w:t>964.</w:t>
      </w:r>
    </w:p>
    <w:p w14:paraId="4F0DA835" w14:textId="77777777" w:rsidR="00BD462C" w:rsidRDefault="00033D0F">
      <w:pPr>
        <w:spacing w:line="218" w:lineRule="exact"/>
        <w:ind w:left="135"/>
        <w:rPr>
          <w:sz w:val="18"/>
        </w:rPr>
      </w:pPr>
      <w:bookmarkStart w:id="2027" w:name="_bookmark1745"/>
      <w:bookmarkEnd w:id="2027"/>
      <w:r>
        <w:rPr>
          <w:position w:val="5"/>
          <w:sz w:val="12"/>
        </w:rPr>
        <w:t>1520</w:t>
      </w:r>
      <w:r>
        <w:rPr>
          <w:spacing w:val="13"/>
          <w:position w:val="5"/>
          <w:sz w:val="12"/>
        </w:rPr>
        <w:t xml:space="preserve"> </w:t>
      </w:r>
      <w:r>
        <w:rPr>
          <w:sz w:val="18"/>
        </w:rPr>
        <w:t>Australia's</w:t>
      </w:r>
      <w:r>
        <w:rPr>
          <w:spacing w:val="-5"/>
          <w:sz w:val="18"/>
        </w:rPr>
        <w:t xml:space="preserve"> </w:t>
      </w:r>
      <w:r>
        <w:rPr>
          <w:sz w:val="18"/>
        </w:rPr>
        <w:t>panel</w:t>
      </w:r>
      <w:r>
        <w:rPr>
          <w:spacing w:val="-1"/>
          <w:sz w:val="18"/>
        </w:rPr>
        <w:t xml:space="preserve"> </w:t>
      </w:r>
      <w:r>
        <w:rPr>
          <w:sz w:val="18"/>
        </w:rPr>
        <w:t>request,</w:t>
      </w:r>
      <w:r>
        <w:rPr>
          <w:spacing w:val="-3"/>
          <w:sz w:val="18"/>
        </w:rPr>
        <w:t xml:space="preserve"> </w:t>
      </w:r>
      <w:r>
        <w:rPr>
          <w:sz w:val="18"/>
        </w:rPr>
        <w:t>para.</w:t>
      </w:r>
      <w:r>
        <w:rPr>
          <w:spacing w:val="-4"/>
          <w:sz w:val="18"/>
        </w:rPr>
        <w:t xml:space="preserve"> </w:t>
      </w:r>
      <w:r>
        <w:rPr>
          <w:spacing w:val="-2"/>
          <w:sz w:val="18"/>
        </w:rPr>
        <w:t>(xix).</w:t>
      </w:r>
    </w:p>
    <w:p w14:paraId="59FADF4E" w14:textId="77777777" w:rsidR="00BD462C" w:rsidRDefault="00033D0F">
      <w:pPr>
        <w:spacing w:before="1"/>
        <w:ind w:left="135"/>
        <w:rPr>
          <w:sz w:val="18"/>
        </w:rPr>
      </w:pPr>
      <w:bookmarkStart w:id="2028" w:name="_bookmark1746"/>
      <w:bookmarkEnd w:id="2028"/>
      <w:r>
        <w:rPr>
          <w:position w:val="5"/>
          <w:sz w:val="12"/>
        </w:rPr>
        <w:t>1521</w:t>
      </w:r>
      <w:r>
        <w:rPr>
          <w:spacing w:val="15"/>
          <w:position w:val="5"/>
          <w:sz w:val="12"/>
        </w:rPr>
        <w:t xml:space="preserve"> </w:t>
      </w:r>
      <w:r>
        <w:rPr>
          <w:sz w:val="18"/>
        </w:rPr>
        <w:t>See</w:t>
      </w:r>
      <w:r>
        <w:rPr>
          <w:spacing w:val="-3"/>
          <w:sz w:val="18"/>
        </w:rPr>
        <w:t xml:space="preserve"> </w:t>
      </w:r>
      <w:r>
        <w:rPr>
          <w:sz w:val="18"/>
        </w:rPr>
        <w:t>above,</w:t>
      </w:r>
      <w:r>
        <w:rPr>
          <w:spacing w:val="-1"/>
          <w:sz w:val="18"/>
        </w:rPr>
        <w:t xml:space="preserve"> </w:t>
      </w:r>
      <w:r>
        <w:rPr>
          <w:sz w:val="18"/>
        </w:rPr>
        <w:t xml:space="preserve">section </w:t>
      </w:r>
      <w:hyperlink w:anchor="_bookmark38" w:history="1">
        <w:r>
          <w:rPr>
            <w:spacing w:val="-5"/>
            <w:sz w:val="18"/>
          </w:rPr>
          <w:t>24.</w:t>
        </w:r>
      </w:hyperlink>
    </w:p>
    <w:p w14:paraId="08559C50" w14:textId="77777777" w:rsidR="00BD462C" w:rsidRDefault="00033D0F">
      <w:pPr>
        <w:spacing w:before="1"/>
        <w:ind w:left="135" w:right="906"/>
        <w:jc w:val="both"/>
        <w:rPr>
          <w:sz w:val="18"/>
        </w:rPr>
      </w:pPr>
      <w:bookmarkStart w:id="2029" w:name="_bookmark1747"/>
      <w:bookmarkEnd w:id="2029"/>
      <w:r>
        <w:rPr>
          <w:position w:val="5"/>
          <w:sz w:val="12"/>
        </w:rPr>
        <w:t>1522</w:t>
      </w:r>
      <w:r>
        <w:rPr>
          <w:spacing w:val="27"/>
          <w:position w:val="5"/>
          <w:sz w:val="12"/>
        </w:rPr>
        <w:t xml:space="preserve"> </w:t>
      </w:r>
      <w:r>
        <w:rPr>
          <w:sz w:val="18"/>
        </w:rPr>
        <w:t xml:space="preserve">Appellate Body Report, </w:t>
      </w:r>
      <w:r>
        <w:rPr>
          <w:i/>
          <w:sz w:val="18"/>
        </w:rPr>
        <w:t>Korea – Pneumatic Valves (Japan)</w:t>
      </w:r>
      <w:r>
        <w:rPr>
          <w:sz w:val="18"/>
        </w:rPr>
        <w:t>, paras. 5.65, 5.71 and 5.78: "Korea's analysis of a significant increase of</w:t>
      </w:r>
      <w:r>
        <w:rPr>
          <w:spacing w:val="-1"/>
          <w:sz w:val="18"/>
        </w:rPr>
        <w:t xml:space="preserve"> </w:t>
      </w:r>
      <w:r>
        <w:rPr>
          <w:sz w:val="18"/>
        </w:rPr>
        <w:t>the</w:t>
      </w:r>
      <w:r>
        <w:rPr>
          <w:spacing w:val="-2"/>
          <w:sz w:val="18"/>
        </w:rPr>
        <w:t xml:space="preserve"> </w:t>
      </w:r>
      <w:r>
        <w:rPr>
          <w:sz w:val="18"/>
        </w:rPr>
        <w:t>imports</w:t>
      </w:r>
      <w:r>
        <w:rPr>
          <w:spacing w:val="-2"/>
          <w:sz w:val="18"/>
        </w:rPr>
        <w:t xml:space="preserve"> </w:t>
      </w:r>
      <w:r>
        <w:rPr>
          <w:sz w:val="18"/>
        </w:rPr>
        <w:t>under investigation"; c.f.</w:t>
      </w:r>
      <w:r>
        <w:rPr>
          <w:spacing w:val="-1"/>
          <w:sz w:val="18"/>
        </w:rPr>
        <w:t xml:space="preserve"> </w:t>
      </w:r>
      <w:r>
        <w:rPr>
          <w:sz w:val="18"/>
        </w:rPr>
        <w:t>Australia's</w:t>
      </w:r>
      <w:r>
        <w:rPr>
          <w:spacing w:val="-2"/>
          <w:sz w:val="18"/>
        </w:rPr>
        <w:t xml:space="preserve"> </w:t>
      </w:r>
      <w:r>
        <w:rPr>
          <w:sz w:val="18"/>
        </w:rPr>
        <w:t>panel request, para.</w:t>
      </w:r>
      <w:r>
        <w:rPr>
          <w:spacing w:val="-1"/>
          <w:sz w:val="18"/>
        </w:rPr>
        <w:t xml:space="preserve"> </w:t>
      </w:r>
      <w:r>
        <w:rPr>
          <w:sz w:val="18"/>
        </w:rPr>
        <w:t>(xix):</w:t>
      </w:r>
      <w:r>
        <w:rPr>
          <w:spacing w:val="-4"/>
          <w:sz w:val="18"/>
        </w:rPr>
        <w:t xml:space="preserve"> </w:t>
      </w:r>
      <w:r>
        <w:rPr>
          <w:sz w:val="18"/>
        </w:rPr>
        <w:t>"China's consideration</w:t>
      </w:r>
      <w:r>
        <w:rPr>
          <w:spacing w:val="-3"/>
          <w:sz w:val="18"/>
        </w:rPr>
        <w:t xml:space="preserve"> </w:t>
      </w:r>
      <w:r>
        <w:rPr>
          <w:sz w:val="18"/>
        </w:rPr>
        <w:t>of</w:t>
      </w:r>
      <w:r>
        <w:rPr>
          <w:spacing w:val="-1"/>
          <w:sz w:val="18"/>
        </w:rPr>
        <w:t xml:space="preserve"> </w:t>
      </w:r>
      <w:r>
        <w:rPr>
          <w:sz w:val="18"/>
        </w:rPr>
        <w:t>the effect</w:t>
      </w:r>
      <w:r>
        <w:rPr>
          <w:spacing w:val="-1"/>
          <w:sz w:val="18"/>
        </w:rPr>
        <w:t xml:space="preserve"> </w:t>
      </w:r>
      <w:r>
        <w:rPr>
          <w:sz w:val="18"/>
        </w:rPr>
        <w:t>of the</w:t>
      </w:r>
      <w:r>
        <w:rPr>
          <w:spacing w:val="-2"/>
          <w:sz w:val="18"/>
        </w:rPr>
        <w:t xml:space="preserve"> </w:t>
      </w:r>
      <w:r>
        <w:rPr>
          <w:sz w:val="18"/>
        </w:rPr>
        <w:t>subject</w:t>
      </w:r>
      <w:r>
        <w:rPr>
          <w:spacing w:val="-1"/>
          <w:sz w:val="18"/>
        </w:rPr>
        <w:t xml:space="preserve"> </w:t>
      </w:r>
      <w:r>
        <w:rPr>
          <w:sz w:val="18"/>
        </w:rPr>
        <w:t>imports</w:t>
      </w:r>
      <w:r>
        <w:rPr>
          <w:spacing w:val="-7"/>
          <w:sz w:val="18"/>
        </w:rPr>
        <w:t xml:space="preserve"> </w:t>
      </w:r>
      <w:r>
        <w:rPr>
          <w:sz w:val="18"/>
        </w:rPr>
        <w:t>on</w:t>
      </w:r>
      <w:r>
        <w:rPr>
          <w:spacing w:val="-3"/>
          <w:sz w:val="18"/>
        </w:rPr>
        <w:t xml:space="preserve"> </w:t>
      </w:r>
      <w:r>
        <w:rPr>
          <w:sz w:val="18"/>
        </w:rPr>
        <w:t>the</w:t>
      </w:r>
      <w:r>
        <w:rPr>
          <w:spacing w:val="-2"/>
          <w:sz w:val="18"/>
        </w:rPr>
        <w:t xml:space="preserve"> </w:t>
      </w:r>
      <w:r>
        <w:rPr>
          <w:sz w:val="18"/>
        </w:rPr>
        <w:t>prices</w:t>
      </w:r>
      <w:r>
        <w:rPr>
          <w:spacing w:val="-2"/>
          <w:sz w:val="18"/>
        </w:rPr>
        <w:t xml:space="preserve"> </w:t>
      </w:r>
      <w:r>
        <w:rPr>
          <w:sz w:val="18"/>
        </w:rPr>
        <w:t>of</w:t>
      </w:r>
      <w:r>
        <w:rPr>
          <w:spacing w:val="-1"/>
          <w:sz w:val="18"/>
        </w:rPr>
        <w:t xml:space="preserve"> </w:t>
      </w:r>
      <w:r>
        <w:rPr>
          <w:sz w:val="18"/>
        </w:rPr>
        <w:t>like</w:t>
      </w:r>
      <w:r>
        <w:rPr>
          <w:spacing w:val="-2"/>
          <w:sz w:val="18"/>
        </w:rPr>
        <w:t xml:space="preserve"> </w:t>
      </w:r>
      <w:r>
        <w:rPr>
          <w:sz w:val="18"/>
        </w:rPr>
        <w:t>products</w:t>
      </w:r>
      <w:r>
        <w:rPr>
          <w:spacing w:val="-2"/>
          <w:sz w:val="18"/>
        </w:rPr>
        <w:t xml:space="preserve"> </w:t>
      </w:r>
      <w:r>
        <w:rPr>
          <w:sz w:val="18"/>
        </w:rPr>
        <w:t>in</w:t>
      </w:r>
      <w:r>
        <w:rPr>
          <w:spacing w:val="-7"/>
          <w:sz w:val="18"/>
        </w:rPr>
        <w:t xml:space="preserve"> </w:t>
      </w:r>
      <w:r>
        <w:rPr>
          <w:sz w:val="18"/>
        </w:rPr>
        <w:t>the</w:t>
      </w:r>
      <w:r>
        <w:rPr>
          <w:spacing w:val="-7"/>
          <w:sz w:val="18"/>
        </w:rPr>
        <w:t xml:space="preserve"> </w:t>
      </w:r>
      <w:r>
        <w:rPr>
          <w:sz w:val="18"/>
        </w:rPr>
        <w:t>domestic</w:t>
      </w:r>
      <w:r>
        <w:rPr>
          <w:spacing w:val="-8"/>
          <w:sz w:val="18"/>
        </w:rPr>
        <w:t xml:space="preserve"> </w:t>
      </w:r>
      <w:r>
        <w:rPr>
          <w:sz w:val="18"/>
        </w:rPr>
        <w:t>market".</w:t>
      </w:r>
      <w:r>
        <w:rPr>
          <w:spacing w:val="-6"/>
          <w:sz w:val="18"/>
        </w:rPr>
        <w:t xml:space="preserve"> </w:t>
      </w:r>
      <w:r>
        <w:rPr>
          <w:sz w:val="18"/>
        </w:rPr>
        <w:t>In</w:t>
      </w:r>
      <w:r>
        <w:rPr>
          <w:spacing w:val="-3"/>
          <w:sz w:val="18"/>
        </w:rPr>
        <w:t xml:space="preserve"> </w:t>
      </w:r>
      <w:r>
        <w:rPr>
          <w:sz w:val="18"/>
        </w:rPr>
        <w:t>full, Australia's</w:t>
      </w:r>
      <w:r>
        <w:rPr>
          <w:spacing w:val="-2"/>
          <w:sz w:val="18"/>
        </w:rPr>
        <w:t xml:space="preserve"> </w:t>
      </w:r>
      <w:r>
        <w:rPr>
          <w:sz w:val="18"/>
        </w:rPr>
        <w:t>claim</w:t>
      </w:r>
      <w:r>
        <w:rPr>
          <w:spacing w:val="-9"/>
          <w:sz w:val="18"/>
        </w:rPr>
        <w:t xml:space="preserve"> </w:t>
      </w:r>
      <w:r>
        <w:rPr>
          <w:sz w:val="18"/>
        </w:rPr>
        <w:t>identifies</w:t>
      </w:r>
      <w:r>
        <w:rPr>
          <w:spacing w:val="-2"/>
          <w:sz w:val="18"/>
        </w:rPr>
        <w:t xml:space="preserve"> </w:t>
      </w:r>
      <w:r>
        <w:rPr>
          <w:sz w:val="18"/>
        </w:rPr>
        <w:t>that</w:t>
      </w:r>
      <w:r>
        <w:rPr>
          <w:spacing w:val="-6"/>
          <w:sz w:val="18"/>
        </w:rPr>
        <w:t xml:space="preserve"> </w:t>
      </w:r>
      <w:r>
        <w:rPr>
          <w:sz w:val="18"/>
        </w:rPr>
        <w:t>MOFCOM's consideration of price effects failed to comply with the Art 3.1 and 3.2 obligation because it "compared volumes and prices of</w:t>
      </w:r>
      <w:r>
        <w:rPr>
          <w:spacing w:val="-1"/>
          <w:sz w:val="18"/>
        </w:rPr>
        <w:t xml:space="preserve"> </w:t>
      </w:r>
      <w:r>
        <w:rPr>
          <w:sz w:val="18"/>
        </w:rPr>
        <w:t>subject</w:t>
      </w:r>
      <w:r>
        <w:rPr>
          <w:spacing w:val="-1"/>
          <w:sz w:val="18"/>
        </w:rPr>
        <w:t xml:space="preserve"> </w:t>
      </w:r>
      <w:r>
        <w:rPr>
          <w:sz w:val="18"/>
        </w:rPr>
        <w:t>imports</w:t>
      </w:r>
      <w:r>
        <w:rPr>
          <w:spacing w:val="-7"/>
          <w:sz w:val="18"/>
        </w:rPr>
        <w:t xml:space="preserve"> </w:t>
      </w:r>
      <w:r>
        <w:rPr>
          <w:sz w:val="18"/>
        </w:rPr>
        <w:t>to</w:t>
      </w:r>
      <w:r>
        <w:rPr>
          <w:spacing w:val="-3"/>
          <w:sz w:val="18"/>
        </w:rPr>
        <w:t xml:space="preserve"> </w:t>
      </w:r>
      <w:r>
        <w:rPr>
          <w:sz w:val="18"/>
        </w:rPr>
        <w:t>domestic</w:t>
      </w:r>
      <w:r>
        <w:rPr>
          <w:spacing w:val="-8"/>
          <w:sz w:val="18"/>
        </w:rPr>
        <w:t xml:space="preserve"> </w:t>
      </w:r>
      <w:r>
        <w:rPr>
          <w:sz w:val="18"/>
        </w:rPr>
        <w:t>like</w:t>
      </w:r>
      <w:r>
        <w:rPr>
          <w:spacing w:val="-7"/>
          <w:sz w:val="18"/>
        </w:rPr>
        <w:t xml:space="preserve"> </w:t>
      </w:r>
      <w:r>
        <w:rPr>
          <w:sz w:val="18"/>
        </w:rPr>
        <w:t>product</w:t>
      </w:r>
      <w:r>
        <w:rPr>
          <w:spacing w:val="-6"/>
          <w:sz w:val="18"/>
        </w:rPr>
        <w:t xml:space="preserve"> </w:t>
      </w:r>
      <w:r>
        <w:rPr>
          <w:sz w:val="18"/>
        </w:rPr>
        <w:t>that</w:t>
      </w:r>
      <w:r>
        <w:rPr>
          <w:spacing w:val="-1"/>
          <w:sz w:val="18"/>
        </w:rPr>
        <w:t xml:space="preserve"> </w:t>
      </w:r>
      <w:r>
        <w:rPr>
          <w:sz w:val="18"/>
        </w:rPr>
        <w:t>are</w:t>
      </w:r>
      <w:r>
        <w:rPr>
          <w:spacing w:val="-2"/>
          <w:sz w:val="18"/>
        </w:rPr>
        <w:t xml:space="preserve"> </w:t>
      </w:r>
      <w:r>
        <w:rPr>
          <w:sz w:val="18"/>
        </w:rPr>
        <w:t>not</w:t>
      </w:r>
      <w:r>
        <w:rPr>
          <w:spacing w:val="-1"/>
          <w:sz w:val="18"/>
        </w:rPr>
        <w:t xml:space="preserve"> </w:t>
      </w:r>
      <w:r>
        <w:rPr>
          <w:sz w:val="18"/>
        </w:rPr>
        <w:t>comparable and</w:t>
      </w:r>
      <w:r>
        <w:rPr>
          <w:spacing w:val="-7"/>
          <w:sz w:val="18"/>
        </w:rPr>
        <w:t xml:space="preserve"> </w:t>
      </w:r>
      <w:r>
        <w:rPr>
          <w:sz w:val="18"/>
        </w:rPr>
        <w:t>failed</w:t>
      </w:r>
      <w:r>
        <w:rPr>
          <w:spacing w:val="-3"/>
          <w:sz w:val="18"/>
        </w:rPr>
        <w:t xml:space="preserve"> </w:t>
      </w:r>
      <w:r>
        <w:rPr>
          <w:sz w:val="18"/>
        </w:rPr>
        <w:t>to</w:t>
      </w:r>
      <w:r>
        <w:rPr>
          <w:spacing w:val="-3"/>
          <w:sz w:val="18"/>
        </w:rPr>
        <w:t xml:space="preserve"> </w:t>
      </w:r>
      <w:r>
        <w:rPr>
          <w:sz w:val="18"/>
        </w:rPr>
        <w:t>ensure</w:t>
      </w:r>
      <w:r>
        <w:rPr>
          <w:spacing w:val="-7"/>
          <w:sz w:val="18"/>
        </w:rPr>
        <w:t xml:space="preserve"> </w:t>
      </w:r>
      <w:r>
        <w:rPr>
          <w:sz w:val="18"/>
        </w:rPr>
        <w:t>price</w:t>
      </w:r>
      <w:r>
        <w:rPr>
          <w:spacing w:val="-7"/>
          <w:sz w:val="18"/>
        </w:rPr>
        <w:t xml:space="preserve"> </w:t>
      </w:r>
      <w:r>
        <w:rPr>
          <w:sz w:val="18"/>
        </w:rPr>
        <w:t>comparability</w:t>
      </w:r>
      <w:r>
        <w:rPr>
          <w:spacing w:val="-9"/>
          <w:sz w:val="18"/>
        </w:rPr>
        <w:t xml:space="preserve"> </w:t>
      </w:r>
      <w:r>
        <w:rPr>
          <w:sz w:val="18"/>
        </w:rPr>
        <w:t>in</w:t>
      </w:r>
      <w:r>
        <w:rPr>
          <w:spacing w:val="-3"/>
          <w:sz w:val="18"/>
        </w:rPr>
        <w:t xml:space="preserve"> </w:t>
      </w:r>
      <w:r>
        <w:rPr>
          <w:sz w:val="18"/>
        </w:rPr>
        <w:t>its</w:t>
      </w:r>
      <w:r>
        <w:rPr>
          <w:spacing w:val="-2"/>
          <w:sz w:val="18"/>
        </w:rPr>
        <w:t xml:space="preserve"> </w:t>
      </w:r>
      <w:r>
        <w:rPr>
          <w:sz w:val="18"/>
        </w:rPr>
        <w:t>analysis</w:t>
      </w:r>
      <w:r>
        <w:rPr>
          <w:spacing w:val="-2"/>
          <w:sz w:val="18"/>
        </w:rPr>
        <w:t xml:space="preserve"> </w:t>
      </w:r>
      <w:r>
        <w:rPr>
          <w:sz w:val="18"/>
        </w:rPr>
        <w:t>of price effects": Australia's panel request, para. (xix).</w:t>
      </w:r>
    </w:p>
    <w:p w14:paraId="575A6EE5" w14:textId="77777777" w:rsidR="00BD462C" w:rsidRDefault="00033D0F">
      <w:pPr>
        <w:spacing w:before="2"/>
        <w:ind w:left="135"/>
        <w:jc w:val="both"/>
        <w:rPr>
          <w:sz w:val="18"/>
        </w:rPr>
      </w:pPr>
      <w:bookmarkStart w:id="2030" w:name="_bookmark1748"/>
      <w:bookmarkEnd w:id="2030"/>
      <w:r>
        <w:rPr>
          <w:position w:val="5"/>
          <w:sz w:val="12"/>
        </w:rPr>
        <w:t>1523</w:t>
      </w:r>
      <w:r>
        <w:rPr>
          <w:spacing w:val="14"/>
          <w:position w:val="5"/>
          <w:sz w:val="12"/>
        </w:rPr>
        <w:t xml:space="preserve"> </w:t>
      </w:r>
      <w:r>
        <w:rPr>
          <w:sz w:val="18"/>
        </w:rPr>
        <w:t>See</w:t>
      </w:r>
      <w:r>
        <w:rPr>
          <w:spacing w:val="-4"/>
          <w:sz w:val="18"/>
        </w:rPr>
        <w:t xml:space="preserve"> </w:t>
      </w:r>
      <w:r>
        <w:rPr>
          <w:sz w:val="18"/>
        </w:rPr>
        <w:t>Appellate</w:t>
      </w:r>
      <w:r>
        <w:rPr>
          <w:spacing w:val="-9"/>
          <w:sz w:val="18"/>
        </w:rPr>
        <w:t xml:space="preserve"> </w:t>
      </w:r>
      <w:r>
        <w:rPr>
          <w:sz w:val="18"/>
        </w:rPr>
        <w:t>Body</w:t>
      </w:r>
      <w:r>
        <w:rPr>
          <w:spacing w:val="-6"/>
          <w:sz w:val="18"/>
        </w:rPr>
        <w:t xml:space="preserve"> </w:t>
      </w:r>
      <w:r>
        <w:rPr>
          <w:sz w:val="18"/>
        </w:rPr>
        <w:t>Report,</w:t>
      </w:r>
      <w:r>
        <w:rPr>
          <w:spacing w:val="-2"/>
          <w:sz w:val="18"/>
        </w:rPr>
        <w:t xml:space="preserve"> </w:t>
      </w:r>
      <w:r>
        <w:rPr>
          <w:i/>
          <w:sz w:val="18"/>
        </w:rPr>
        <w:t>Korea</w:t>
      </w:r>
      <w:r>
        <w:rPr>
          <w:i/>
          <w:spacing w:val="-2"/>
          <w:sz w:val="18"/>
        </w:rPr>
        <w:t xml:space="preserve"> </w:t>
      </w:r>
      <w:r>
        <w:rPr>
          <w:i/>
          <w:sz w:val="18"/>
        </w:rPr>
        <w:t>–</w:t>
      </w:r>
      <w:r>
        <w:rPr>
          <w:i/>
          <w:spacing w:val="-4"/>
          <w:sz w:val="18"/>
        </w:rPr>
        <w:t xml:space="preserve"> </w:t>
      </w:r>
      <w:r>
        <w:rPr>
          <w:i/>
          <w:sz w:val="18"/>
        </w:rPr>
        <w:t>Pneumatic</w:t>
      </w:r>
      <w:r>
        <w:rPr>
          <w:i/>
          <w:spacing w:val="-4"/>
          <w:sz w:val="18"/>
        </w:rPr>
        <w:t xml:space="preserve"> </w:t>
      </w:r>
      <w:r>
        <w:rPr>
          <w:i/>
          <w:sz w:val="18"/>
        </w:rPr>
        <w:t>Valves</w:t>
      </w:r>
      <w:r>
        <w:rPr>
          <w:i/>
          <w:spacing w:val="-4"/>
          <w:sz w:val="18"/>
        </w:rPr>
        <w:t xml:space="preserve"> </w:t>
      </w:r>
      <w:r>
        <w:rPr>
          <w:i/>
          <w:sz w:val="18"/>
        </w:rPr>
        <w:t>(Japan)</w:t>
      </w:r>
      <w:r>
        <w:rPr>
          <w:sz w:val="18"/>
        </w:rPr>
        <w:t>,</w:t>
      </w:r>
      <w:r>
        <w:rPr>
          <w:spacing w:val="-2"/>
          <w:sz w:val="18"/>
        </w:rPr>
        <w:t xml:space="preserve"> </w:t>
      </w:r>
      <w:r>
        <w:rPr>
          <w:sz w:val="18"/>
        </w:rPr>
        <w:t>paras.5.89-</w:t>
      </w:r>
      <w:r>
        <w:rPr>
          <w:spacing w:val="-2"/>
          <w:sz w:val="18"/>
        </w:rPr>
        <w:t>5.91.</w:t>
      </w:r>
    </w:p>
    <w:p w14:paraId="435D2C1F" w14:textId="77777777" w:rsidR="00BD462C" w:rsidRDefault="00BD462C">
      <w:pPr>
        <w:jc w:val="both"/>
        <w:rPr>
          <w:sz w:val="18"/>
        </w:rPr>
        <w:sectPr w:rsidR="00BD462C">
          <w:pgSz w:w="11910" w:h="16840"/>
          <w:pgMar w:top="860" w:right="500" w:bottom="780" w:left="1280" w:header="566" w:footer="590" w:gutter="0"/>
          <w:cols w:space="720"/>
        </w:sectPr>
      </w:pPr>
    </w:p>
    <w:p w14:paraId="68726E70"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09039BFA"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6A837EC3" w14:textId="77777777" w:rsidR="00BD462C" w:rsidRDefault="00033D0F">
      <w:pPr>
        <w:tabs>
          <w:tab w:val="left" w:pos="7652"/>
        </w:tabs>
        <w:ind w:left="135"/>
        <w:rPr>
          <w:sz w:val="20"/>
        </w:rPr>
      </w:pPr>
      <w:bookmarkStart w:id="2031" w:name="A.3.2_Australia's_claims_pursuant_to_Art"/>
      <w:bookmarkStart w:id="2032" w:name="_bookmark1749"/>
      <w:bookmarkEnd w:id="2031"/>
      <w:bookmarkEnd w:id="2032"/>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51A300D7" w14:textId="77777777" w:rsidR="00BD462C" w:rsidRDefault="00033D0F">
      <w:pPr>
        <w:pStyle w:val="Heading3"/>
        <w:numPr>
          <w:ilvl w:val="2"/>
          <w:numId w:val="5"/>
        </w:numPr>
        <w:tabs>
          <w:tab w:val="left" w:pos="1835"/>
          <w:tab w:val="left" w:pos="1836"/>
        </w:tabs>
        <w:spacing w:before="2" w:line="362" w:lineRule="auto"/>
        <w:ind w:right="918"/>
      </w:pPr>
      <w:r>
        <w:t>Australia's claims pursuant to Articles 3.1 and 3.4 are within the Panel's</w:t>
      </w:r>
      <w:r>
        <w:rPr>
          <w:spacing w:val="40"/>
        </w:rPr>
        <w:t xml:space="preserve"> </w:t>
      </w:r>
      <w:r>
        <w:t>terms of reference.</w:t>
      </w:r>
    </w:p>
    <w:p w14:paraId="75641790" w14:textId="77777777" w:rsidR="00BD462C" w:rsidRDefault="00BD462C">
      <w:pPr>
        <w:pStyle w:val="BodyText"/>
        <w:spacing w:before="7"/>
        <w:rPr>
          <w:b/>
          <w:sz w:val="8"/>
        </w:rPr>
      </w:pPr>
    </w:p>
    <w:p w14:paraId="1BE8D8E4" w14:textId="3D7A894B" w:rsidR="00BD462C" w:rsidRDefault="00F03EFC">
      <w:pPr>
        <w:pStyle w:val="BodyText"/>
        <w:spacing w:before="56" w:line="357" w:lineRule="auto"/>
        <w:ind w:left="136" w:right="918"/>
        <w:jc w:val="both"/>
      </w:pPr>
      <w:r>
        <w:rPr>
          <w:noProof/>
        </w:rPr>
        <w:t>20.</w:t>
      </w:r>
      <w:r w:rsidR="00033D0F">
        <w:rPr>
          <w:rFonts w:ascii="Times New Roman"/>
          <w:spacing w:val="80"/>
          <w:w w:val="150"/>
          <w:position w:val="1"/>
          <w:sz w:val="20"/>
        </w:rPr>
        <w:t xml:space="preserve">  </w:t>
      </w:r>
      <w:r w:rsidR="00033D0F">
        <w:rPr>
          <w:position w:val="1"/>
        </w:rPr>
        <w:t>China's</w:t>
      </w:r>
      <w:r w:rsidR="00033D0F">
        <w:rPr>
          <w:spacing w:val="40"/>
          <w:position w:val="1"/>
        </w:rPr>
        <w:t xml:space="preserve"> </w:t>
      </w:r>
      <w:r w:rsidR="00033D0F">
        <w:rPr>
          <w:position w:val="1"/>
        </w:rPr>
        <w:t>accusation</w:t>
      </w:r>
      <w:r w:rsidR="00033D0F">
        <w:rPr>
          <w:spacing w:val="40"/>
          <w:position w:val="1"/>
        </w:rPr>
        <w:t xml:space="preserve"> </w:t>
      </w:r>
      <w:r w:rsidR="00033D0F">
        <w:rPr>
          <w:position w:val="1"/>
        </w:rPr>
        <w:t>that</w:t>
      </w:r>
      <w:r w:rsidR="00033D0F">
        <w:rPr>
          <w:spacing w:val="40"/>
          <w:position w:val="1"/>
        </w:rPr>
        <w:t xml:space="preserve"> </w:t>
      </w:r>
      <w:r w:rsidR="00033D0F">
        <w:rPr>
          <w:position w:val="1"/>
        </w:rPr>
        <w:t>Australia's</w:t>
      </w:r>
      <w:r w:rsidR="00033D0F">
        <w:rPr>
          <w:spacing w:val="40"/>
          <w:position w:val="1"/>
        </w:rPr>
        <w:t xml:space="preserve"> </w:t>
      </w:r>
      <w:r w:rsidR="00033D0F">
        <w:rPr>
          <w:position w:val="1"/>
        </w:rPr>
        <w:t>claim</w:t>
      </w:r>
      <w:r w:rsidR="00033D0F">
        <w:rPr>
          <w:spacing w:val="40"/>
          <w:position w:val="1"/>
        </w:rPr>
        <w:t xml:space="preserve"> </w:t>
      </w:r>
      <w:r w:rsidR="00033D0F">
        <w:rPr>
          <w:position w:val="1"/>
        </w:rPr>
        <w:t>pursuant</w:t>
      </w:r>
      <w:r w:rsidR="00033D0F">
        <w:rPr>
          <w:spacing w:val="40"/>
          <w:position w:val="1"/>
        </w:rPr>
        <w:t xml:space="preserve"> </w:t>
      </w:r>
      <w:r w:rsidR="00033D0F">
        <w:rPr>
          <w:position w:val="1"/>
        </w:rPr>
        <w:t>to</w:t>
      </w:r>
      <w:r w:rsidR="00033D0F">
        <w:rPr>
          <w:spacing w:val="40"/>
          <w:position w:val="1"/>
        </w:rPr>
        <w:t xml:space="preserve"> </w:t>
      </w:r>
      <w:r w:rsidR="00033D0F">
        <w:rPr>
          <w:position w:val="1"/>
        </w:rPr>
        <w:t>Articles</w:t>
      </w:r>
      <w:r w:rsidR="00033D0F">
        <w:rPr>
          <w:spacing w:val="40"/>
          <w:position w:val="1"/>
        </w:rPr>
        <w:t xml:space="preserve"> </w:t>
      </w:r>
      <w:r w:rsidR="00033D0F">
        <w:rPr>
          <w:position w:val="1"/>
        </w:rPr>
        <w:t>3.1</w:t>
      </w:r>
      <w:r w:rsidR="00033D0F">
        <w:rPr>
          <w:spacing w:val="40"/>
          <w:position w:val="1"/>
        </w:rPr>
        <w:t xml:space="preserve"> </w:t>
      </w:r>
      <w:r w:rsidR="00033D0F">
        <w:rPr>
          <w:position w:val="1"/>
        </w:rPr>
        <w:t>and</w:t>
      </w:r>
      <w:r w:rsidR="00033D0F">
        <w:rPr>
          <w:spacing w:val="40"/>
          <w:position w:val="1"/>
        </w:rPr>
        <w:t xml:space="preserve"> </w:t>
      </w:r>
      <w:r w:rsidR="00033D0F">
        <w:rPr>
          <w:position w:val="1"/>
        </w:rPr>
        <w:t>3.4</w:t>
      </w:r>
      <w:r w:rsidR="00033D0F">
        <w:rPr>
          <w:spacing w:val="40"/>
          <w:position w:val="1"/>
        </w:rPr>
        <w:t xml:space="preserve"> </w:t>
      </w:r>
      <w:r w:rsidR="00033D0F">
        <w:rPr>
          <w:position w:val="1"/>
        </w:rPr>
        <w:t xml:space="preserve">was </w:t>
      </w:r>
      <w:r w:rsidR="00033D0F">
        <w:t>"unclear"</w:t>
      </w:r>
      <w:r w:rsidR="00033D0F">
        <w:rPr>
          <w:spacing w:val="-10"/>
        </w:rPr>
        <w:t xml:space="preserve"> </w:t>
      </w:r>
      <w:r w:rsidR="00033D0F">
        <w:t>is</w:t>
      </w:r>
      <w:r w:rsidR="00033D0F">
        <w:rPr>
          <w:spacing w:val="-8"/>
        </w:rPr>
        <w:t xml:space="preserve"> </w:t>
      </w:r>
      <w:r w:rsidR="00033D0F">
        <w:t>groundless.</w:t>
      </w:r>
      <w:r w:rsidR="00033D0F">
        <w:rPr>
          <w:spacing w:val="-8"/>
        </w:rPr>
        <w:t xml:space="preserve"> </w:t>
      </w:r>
      <w:r w:rsidR="00033D0F">
        <w:t>Australia</w:t>
      </w:r>
      <w:r w:rsidR="00033D0F">
        <w:rPr>
          <w:spacing w:val="-9"/>
        </w:rPr>
        <w:t xml:space="preserve"> </w:t>
      </w:r>
      <w:r w:rsidR="00033D0F">
        <w:t>has</w:t>
      </w:r>
      <w:r w:rsidR="00033D0F">
        <w:rPr>
          <w:spacing w:val="-8"/>
        </w:rPr>
        <w:t xml:space="preserve"> </w:t>
      </w:r>
      <w:r w:rsidR="00033D0F">
        <w:t>made</w:t>
      </w:r>
      <w:r w:rsidR="00033D0F">
        <w:rPr>
          <w:spacing w:val="-9"/>
        </w:rPr>
        <w:t xml:space="preserve"> </w:t>
      </w:r>
      <w:r w:rsidR="00033D0F">
        <w:t>detailed</w:t>
      </w:r>
      <w:r w:rsidR="00033D0F">
        <w:rPr>
          <w:spacing w:val="-11"/>
        </w:rPr>
        <w:t xml:space="preserve"> </w:t>
      </w:r>
      <w:r w:rsidR="00033D0F">
        <w:t>submissions</w:t>
      </w:r>
      <w:r w:rsidR="00033D0F">
        <w:rPr>
          <w:spacing w:val="-8"/>
        </w:rPr>
        <w:t xml:space="preserve"> </w:t>
      </w:r>
      <w:r w:rsidR="00033D0F">
        <w:t>demonstrating</w:t>
      </w:r>
      <w:r w:rsidR="00033D0F">
        <w:rPr>
          <w:spacing w:val="-8"/>
        </w:rPr>
        <w:t xml:space="preserve"> </w:t>
      </w:r>
      <w:r w:rsidR="00033D0F">
        <w:t>that</w:t>
      </w:r>
      <w:r w:rsidR="00033D0F">
        <w:rPr>
          <w:spacing w:val="-9"/>
        </w:rPr>
        <w:t xml:space="preserve"> </w:t>
      </w:r>
      <w:r w:rsidR="00033D0F">
        <w:t>its</w:t>
      </w:r>
      <w:r w:rsidR="00033D0F">
        <w:rPr>
          <w:spacing w:val="-8"/>
        </w:rPr>
        <w:t xml:space="preserve"> </w:t>
      </w:r>
      <w:r w:rsidR="00033D0F">
        <w:t>panel request</w:t>
      </w:r>
      <w:r w:rsidR="00033D0F">
        <w:rPr>
          <w:spacing w:val="-8"/>
        </w:rPr>
        <w:t xml:space="preserve"> </w:t>
      </w:r>
      <w:r w:rsidR="00033D0F">
        <w:t>set</w:t>
      </w:r>
      <w:r w:rsidR="00033D0F">
        <w:rPr>
          <w:spacing w:val="-8"/>
        </w:rPr>
        <w:t xml:space="preserve"> </w:t>
      </w:r>
      <w:r w:rsidR="00033D0F">
        <w:t>out</w:t>
      </w:r>
      <w:r w:rsidR="00033D0F">
        <w:rPr>
          <w:spacing w:val="-8"/>
        </w:rPr>
        <w:t xml:space="preserve"> </w:t>
      </w:r>
      <w:r w:rsidR="00033D0F">
        <w:t>its</w:t>
      </w:r>
      <w:r w:rsidR="00033D0F">
        <w:rPr>
          <w:spacing w:val="-7"/>
        </w:rPr>
        <w:t xml:space="preserve"> </w:t>
      </w:r>
      <w:r w:rsidR="00033D0F">
        <w:t>claims</w:t>
      </w:r>
      <w:r w:rsidR="00033D0F">
        <w:rPr>
          <w:spacing w:val="-7"/>
        </w:rPr>
        <w:t xml:space="preserve"> </w:t>
      </w:r>
      <w:r w:rsidR="00033D0F">
        <w:t>pursuant</w:t>
      </w:r>
      <w:r w:rsidR="00033D0F">
        <w:rPr>
          <w:spacing w:val="-8"/>
        </w:rPr>
        <w:t xml:space="preserve"> </w:t>
      </w:r>
      <w:r w:rsidR="00033D0F">
        <w:t>to</w:t>
      </w:r>
      <w:r w:rsidR="00033D0F">
        <w:rPr>
          <w:spacing w:val="-10"/>
        </w:rPr>
        <w:t xml:space="preserve"> </w:t>
      </w:r>
      <w:r w:rsidR="00033D0F">
        <w:t>Articles</w:t>
      </w:r>
      <w:r w:rsidR="00033D0F">
        <w:rPr>
          <w:spacing w:val="-7"/>
        </w:rPr>
        <w:t xml:space="preserve"> </w:t>
      </w:r>
      <w:r w:rsidR="00033D0F">
        <w:t>3.1</w:t>
      </w:r>
      <w:r w:rsidR="00033D0F">
        <w:rPr>
          <w:spacing w:val="-10"/>
        </w:rPr>
        <w:t xml:space="preserve"> </w:t>
      </w:r>
      <w:r w:rsidR="00033D0F">
        <w:t>and</w:t>
      </w:r>
      <w:r w:rsidR="00033D0F">
        <w:rPr>
          <w:spacing w:val="-10"/>
        </w:rPr>
        <w:t xml:space="preserve"> </w:t>
      </w:r>
      <w:r w:rsidR="00033D0F">
        <w:t>3.4</w:t>
      </w:r>
      <w:r w:rsidR="00033D0F">
        <w:rPr>
          <w:spacing w:val="-10"/>
        </w:rPr>
        <w:t xml:space="preserve"> </w:t>
      </w:r>
      <w:r w:rsidR="00033D0F">
        <w:t>in</w:t>
      </w:r>
      <w:r w:rsidR="00033D0F">
        <w:rPr>
          <w:spacing w:val="-10"/>
        </w:rPr>
        <w:t xml:space="preserve"> </w:t>
      </w:r>
      <w:r w:rsidR="00033D0F">
        <w:t>a</w:t>
      </w:r>
      <w:r w:rsidR="00033D0F">
        <w:rPr>
          <w:spacing w:val="-9"/>
        </w:rPr>
        <w:t xml:space="preserve"> </w:t>
      </w:r>
      <w:r w:rsidR="00033D0F">
        <w:t>manner</w:t>
      </w:r>
      <w:r w:rsidR="00033D0F">
        <w:rPr>
          <w:spacing w:val="-10"/>
        </w:rPr>
        <w:t xml:space="preserve"> </w:t>
      </w:r>
      <w:r w:rsidR="00033D0F">
        <w:t>sufficient</w:t>
      </w:r>
      <w:r w:rsidR="00033D0F">
        <w:rPr>
          <w:spacing w:val="-8"/>
        </w:rPr>
        <w:t xml:space="preserve"> </w:t>
      </w:r>
      <w:r w:rsidR="00033D0F">
        <w:t>to</w:t>
      </w:r>
      <w:r w:rsidR="00033D0F">
        <w:rPr>
          <w:spacing w:val="-10"/>
        </w:rPr>
        <w:t xml:space="preserve"> </w:t>
      </w:r>
      <w:r w:rsidR="00033D0F">
        <w:t>present</w:t>
      </w:r>
      <w:r w:rsidR="00033D0F">
        <w:rPr>
          <w:spacing w:val="-8"/>
        </w:rPr>
        <w:t xml:space="preserve"> </w:t>
      </w:r>
      <w:r w:rsidR="00033D0F">
        <w:t>the problem clearly.</w:t>
      </w:r>
      <w:hyperlink w:anchor="_bookmark1750" w:history="1">
        <w:r w:rsidR="00033D0F">
          <w:rPr>
            <w:vertAlign w:val="superscript"/>
          </w:rPr>
          <w:t>1524</w:t>
        </w:r>
      </w:hyperlink>
      <w:r w:rsidR="00033D0F">
        <w:t xml:space="preserve"> Australia stands on those submissions.</w:t>
      </w:r>
    </w:p>
    <w:p w14:paraId="4ED553C1" w14:textId="77777777" w:rsidR="00BD462C" w:rsidRDefault="00BD462C">
      <w:pPr>
        <w:pStyle w:val="BodyText"/>
        <w:spacing w:before="3"/>
        <w:rPr>
          <w:sz w:val="9"/>
        </w:rPr>
      </w:pPr>
    </w:p>
    <w:p w14:paraId="68FB0467" w14:textId="572C8832" w:rsidR="00BD462C" w:rsidRDefault="00F03EFC">
      <w:pPr>
        <w:pStyle w:val="BodyText"/>
        <w:spacing w:before="56" w:line="360" w:lineRule="auto"/>
        <w:ind w:left="135" w:right="915"/>
        <w:jc w:val="both"/>
      </w:pPr>
      <w:r>
        <w:rPr>
          <w:noProof/>
        </w:rPr>
        <w:t>21.</w:t>
      </w:r>
      <w:r w:rsidR="00033D0F">
        <w:rPr>
          <w:rFonts w:ascii="Times New Roman"/>
          <w:spacing w:val="80"/>
          <w:position w:val="1"/>
          <w:sz w:val="20"/>
        </w:rPr>
        <w:t xml:space="preserve">  </w:t>
      </w:r>
      <w:r w:rsidR="00033D0F">
        <w:rPr>
          <w:position w:val="1"/>
        </w:rPr>
        <w:t xml:space="preserve">In its first written submission, China declares that Australia is barred from making </w:t>
      </w:r>
      <w:r w:rsidR="00033D0F">
        <w:t>arguments addressing MOFCOM's failure to consider other factors affecting domestic prices and domestic industry because it did not list specific factors in its panel request.</w:t>
      </w:r>
      <w:hyperlink w:anchor="_bookmark1751" w:history="1">
        <w:r w:rsidR="00033D0F">
          <w:rPr>
            <w:vertAlign w:val="superscript"/>
          </w:rPr>
          <w:t>1525</w:t>
        </w:r>
      </w:hyperlink>
      <w:r w:rsidR="00033D0F">
        <w:t xml:space="preserve"> China argues that this detail was necessary either (i) to make the claim clear, or (ii) because each factor is a claim. China is incorrect on both accounts.</w:t>
      </w:r>
    </w:p>
    <w:p w14:paraId="00E4D5D6" w14:textId="77777777" w:rsidR="00BD462C" w:rsidRDefault="00BD462C">
      <w:pPr>
        <w:pStyle w:val="BodyText"/>
        <w:spacing w:before="6"/>
        <w:rPr>
          <w:sz w:val="8"/>
        </w:rPr>
      </w:pPr>
    </w:p>
    <w:p w14:paraId="65EC343A" w14:textId="3914F849" w:rsidR="00BD462C" w:rsidRDefault="00F03EFC">
      <w:pPr>
        <w:pStyle w:val="BodyText"/>
        <w:spacing w:before="56" w:line="360" w:lineRule="auto"/>
        <w:ind w:left="135" w:right="912"/>
        <w:jc w:val="both"/>
      </w:pPr>
      <w:r>
        <w:rPr>
          <w:noProof/>
        </w:rPr>
        <w:t>22.</w:t>
      </w:r>
      <w:r w:rsidR="00033D0F">
        <w:rPr>
          <w:rFonts w:ascii="Times New Roman" w:hAnsi="Times New Roman"/>
          <w:spacing w:val="80"/>
          <w:position w:val="1"/>
          <w:sz w:val="20"/>
        </w:rPr>
        <w:t xml:space="preserve">  </w:t>
      </w:r>
      <w:r w:rsidR="00033D0F">
        <w:rPr>
          <w:position w:val="1"/>
        </w:rPr>
        <w:t>Contrary</w:t>
      </w:r>
      <w:r w:rsidR="00033D0F">
        <w:rPr>
          <w:spacing w:val="-7"/>
          <w:position w:val="1"/>
        </w:rPr>
        <w:t xml:space="preserve"> </w:t>
      </w:r>
      <w:r w:rsidR="00033D0F">
        <w:rPr>
          <w:position w:val="1"/>
        </w:rPr>
        <w:t>to</w:t>
      </w:r>
      <w:r w:rsidR="00033D0F">
        <w:rPr>
          <w:spacing w:val="-11"/>
          <w:position w:val="1"/>
        </w:rPr>
        <w:t xml:space="preserve"> </w:t>
      </w:r>
      <w:r w:rsidR="00033D0F">
        <w:rPr>
          <w:position w:val="1"/>
        </w:rPr>
        <w:t>China's</w:t>
      </w:r>
      <w:r w:rsidR="00033D0F">
        <w:rPr>
          <w:spacing w:val="-7"/>
          <w:position w:val="1"/>
        </w:rPr>
        <w:t xml:space="preserve"> </w:t>
      </w:r>
      <w:r w:rsidR="00033D0F">
        <w:rPr>
          <w:position w:val="1"/>
        </w:rPr>
        <w:t>continued</w:t>
      </w:r>
      <w:r w:rsidR="00033D0F">
        <w:rPr>
          <w:spacing w:val="-10"/>
          <w:position w:val="1"/>
        </w:rPr>
        <w:t xml:space="preserve"> </w:t>
      </w:r>
      <w:r w:rsidR="00033D0F">
        <w:rPr>
          <w:position w:val="1"/>
        </w:rPr>
        <w:t>assertions</w:t>
      </w:r>
      <w:r w:rsidR="00033D0F">
        <w:rPr>
          <w:spacing w:val="-7"/>
          <w:position w:val="1"/>
        </w:rPr>
        <w:t xml:space="preserve"> </w:t>
      </w:r>
      <w:r w:rsidR="00033D0F">
        <w:rPr>
          <w:position w:val="1"/>
        </w:rPr>
        <w:t>otherwise,</w:t>
      </w:r>
      <w:r w:rsidR="00033D0F">
        <w:rPr>
          <w:spacing w:val="-6"/>
          <w:position w:val="1"/>
        </w:rPr>
        <w:t xml:space="preserve"> </w:t>
      </w:r>
      <w:r w:rsidR="00033D0F">
        <w:rPr>
          <w:position w:val="1"/>
        </w:rPr>
        <w:t>a</w:t>
      </w:r>
      <w:r w:rsidR="00033D0F">
        <w:rPr>
          <w:spacing w:val="-9"/>
          <w:position w:val="1"/>
        </w:rPr>
        <w:t xml:space="preserve"> </w:t>
      </w:r>
      <w:r w:rsidR="00033D0F">
        <w:rPr>
          <w:position w:val="1"/>
        </w:rPr>
        <w:t>panel</w:t>
      </w:r>
      <w:r w:rsidR="00033D0F">
        <w:rPr>
          <w:spacing w:val="-6"/>
          <w:position w:val="1"/>
        </w:rPr>
        <w:t xml:space="preserve"> </w:t>
      </w:r>
      <w:r w:rsidR="00033D0F">
        <w:rPr>
          <w:position w:val="1"/>
        </w:rPr>
        <w:t>request</w:t>
      </w:r>
      <w:r w:rsidR="00033D0F">
        <w:rPr>
          <w:spacing w:val="-8"/>
          <w:position w:val="1"/>
        </w:rPr>
        <w:t xml:space="preserve"> </w:t>
      </w:r>
      <w:r w:rsidR="00033D0F">
        <w:rPr>
          <w:position w:val="1"/>
        </w:rPr>
        <w:t>does</w:t>
      </w:r>
      <w:r w:rsidR="00033D0F">
        <w:rPr>
          <w:spacing w:val="-7"/>
          <w:position w:val="1"/>
        </w:rPr>
        <w:t xml:space="preserve"> </w:t>
      </w:r>
      <w:r w:rsidR="00033D0F">
        <w:rPr>
          <w:position w:val="1"/>
        </w:rPr>
        <w:t>not</w:t>
      </w:r>
      <w:r w:rsidR="00033D0F">
        <w:rPr>
          <w:spacing w:val="-8"/>
          <w:position w:val="1"/>
        </w:rPr>
        <w:t xml:space="preserve"> </w:t>
      </w:r>
      <w:r w:rsidR="00033D0F">
        <w:rPr>
          <w:position w:val="1"/>
        </w:rPr>
        <w:t>have</w:t>
      </w:r>
      <w:r w:rsidR="00033D0F">
        <w:rPr>
          <w:spacing w:val="-13"/>
          <w:position w:val="1"/>
        </w:rPr>
        <w:t xml:space="preserve"> </w:t>
      </w:r>
      <w:r w:rsidR="00033D0F">
        <w:rPr>
          <w:position w:val="1"/>
        </w:rPr>
        <w:t xml:space="preserve">to </w:t>
      </w:r>
      <w:r w:rsidR="00033D0F">
        <w:t xml:space="preserve">include each factor or element of a claim because these elements are properly considered </w:t>
      </w:r>
      <w:r w:rsidR="00033D0F">
        <w:rPr>
          <w:i/>
        </w:rPr>
        <w:t>arguments</w:t>
      </w:r>
      <w:r w:rsidR="00033D0F">
        <w:t>.</w:t>
      </w:r>
      <w:hyperlink w:anchor="_bookmark1752" w:history="1">
        <w:r w:rsidR="00033D0F">
          <w:rPr>
            <w:vertAlign w:val="superscript"/>
          </w:rPr>
          <w:t>1526</w:t>
        </w:r>
      </w:hyperlink>
      <w:r w:rsidR="00033D0F">
        <w:t xml:space="preserve"> The Appellate Body has held that this can also include failure to consider a particular factor or to meet a specific element.</w:t>
      </w:r>
      <w:hyperlink w:anchor="_bookmark1753" w:history="1">
        <w:r w:rsidR="00033D0F">
          <w:rPr>
            <w:vertAlign w:val="superscript"/>
          </w:rPr>
          <w:t>1527</w:t>
        </w:r>
      </w:hyperlink>
      <w:r w:rsidR="00033D0F">
        <w:t xml:space="preserve"> Australia's claim is that China acted inconsistently with Articles 3.1 and 3.4, as MOFCOM failed to objectively examine, based on positive evidence, the volume of subject imports, effect of subject imports on the domestic market, and impact of this on domestic producers. In this regard, Australia's panel request is drafted similarly to Japan's claim under Article 3.4 in </w:t>
      </w:r>
      <w:r w:rsidR="00033D0F">
        <w:rPr>
          <w:i/>
        </w:rPr>
        <w:t>Korea – Pneumatic Valves (Japan).</w:t>
      </w:r>
      <w:hyperlink w:anchor="_bookmark1754" w:history="1">
        <w:r w:rsidR="00033D0F">
          <w:rPr>
            <w:vertAlign w:val="superscript"/>
          </w:rPr>
          <w:t>1528</w:t>
        </w:r>
      </w:hyperlink>
      <w:r w:rsidR="00033D0F">
        <w:t xml:space="preserve"> China's</w:t>
      </w:r>
      <w:r w:rsidR="00033D0F">
        <w:rPr>
          <w:spacing w:val="-14"/>
        </w:rPr>
        <w:t xml:space="preserve"> </w:t>
      </w:r>
      <w:r w:rsidR="00033D0F">
        <w:t>allegation</w:t>
      </w:r>
      <w:r w:rsidR="00033D0F">
        <w:rPr>
          <w:spacing w:val="-14"/>
        </w:rPr>
        <w:t xml:space="preserve"> </w:t>
      </w:r>
      <w:r w:rsidR="00033D0F">
        <w:t>that</w:t>
      </w:r>
      <w:r w:rsidR="00033D0F">
        <w:rPr>
          <w:spacing w:val="-13"/>
        </w:rPr>
        <w:t xml:space="preserve"> </w:t>
      </w:r>
      <w:r w:rsidR="00033D0F">
        <w:t>Australia</w:t>
      </w:r>
      <w:r w:rsidR="00033D0F">
        <w:rPr>
          <w:spacing w:val="-14"/>
        </w:rPr>
        <w:t xml:space="preserve"> </w:t>
      </w:r>
      <w:r w:rsidR="00033D0F">
        <w:t>was</w:t>
      </w:r>
      <w:r w:rsidR="00033D0F">
        <w:rPr>
          <w:spacing w:val="-13"/>
        </w:rPr>
        <w:t xml:space="preserve"> </w:t>
      </w:r>
      <w:r w:rsidR="00033D0F">
        <w:t>required</w:t>
      </w:r>
      <w:r w:rsidR="00033D0F">
        <w:rPr>
          <w:spacing w:val="-14"/>
        </w:rPr>
        <w:t xml:space="preserve"> </w:t>
      </w:r>
      <w:r w:rsidR="00033D0F">
        <w:t>to</w:t>
      </w:r>
      <w:r w:rsidR="00033D0F">
        <w:rPr>
          <w:spacing w:val="-13"/>
        </w:rPr>
        <w:t xml:space="preserve"> </w:t>
      </w:r>
      <w:r w:rsidR="00033D0F">
        <w:t>"claim"</w:t>
      </w:r>
      <w:r w:rsidR="00033D0F">
        <w:rPr>
          <w:spacing w:val="-14"/>
        </w:rPr>
        <w:t xml:space="preserve"> </w:t>
      </w:r>
      <w:r w:rsidR="00033D0F">
        <w:t>a</w:t>
      </w:r>
      <w:r w:rsidR="00033D0F">
        <w:rPr>
          <w:spacing w:val="-14"/>
        </w:rPr>
        <w:t xml:space="preserve"> </w:t>
      </w:r>
      <w:r w:rsidR="00033D0F">
        <w:t>failure</w:t>
      </w:r>
      <w:r w:rsidR="00033D0F">
        <w:rPr>
          <w:spacing w:val="-13"/>
        </w:rPr>
        <w:t xml:space="preserve"> </w:t>
      </w:r>
      <w:r w:rsidR="00033D0F">
        <w:t>to</w:t>
      </w:r>
      <w:r w:rsidR="00033D0F">
        <w:rPr>
          <w:spacing w:val="-14"/>
        </w:rPr>
        <w:t xml:space="preserve"> </w:t>
      </w:r>
      <w:r w:rsidR="00033D0F">
        <w:t>consider</w:t>
      </w:r>
      <w:r w:rsidR="00033D0F">
        <w:rPr>
          <w:spacing w:val="-13"/>
        </w:rPr>
        <w:t xml:space="preserve"> </w:t>
      </w:r>
      <w:r w:rsidR="00033D0F">
        <w:t>a</w:t>
      </w:r>
      <w:r w:rsidR="00033D0F">
        <w:rPr>
          <w:spacing w:val="-14"/>
        </w:rPr>
        <w:t xml:space="preserve"> </w:t>
      </w:r>
      <w:r w:rsidR="00033D0F">
        <w:t>particular</w:t>
      </w:r>
      <w:r w:rsidR="00033D0F">
        <w:rPr>
          <w:spacing w:val="-13"/>
        </w:rPr>
        <w:t xml:space="preserve"> </w:t>
      </w:r>
      <w:r w:rsidR="00033D0F">
        <w:t>factor affecting domestic price, such as market supply and demand, or cost of raw materials, is misplaced. These factors are arguments that demonstrate Australia's claim that MOFCOM's examination of the impact of the subject imports on the domestic industry was inconsistent with Articles 3.1 and 3.4.</w:t>
      </w:r>
    </w:p>
    <w:p w14:paraId="319C8BD6" w14:textId="77777777" w:rsidR="00BD462C" w:rsidRDefault="00BD462C">
      <w:pPr>
        <w:pStyle w:val="BodyText"/>
        <w:rPr>
          <w:sz w:val="20"/>
        </w:rPr>
      </w:pPr>
    </w:p>
    <w:p w14:paraId="5DAD4BDC" w14:textId="77777777" w:rsidR="00BD462C" w:rsidRDefault="00BD462C">
      <w:pPr>
        <w:pStyle w:val="BodyText"/>
        <w:rPr>
          <w:sz w:val="20"/>
        </w:rPr>
      </w:pPr>
    </w:p>
    <w:p w14:paraId="5C441CD3" w14:textId="77777777" w:rsidR="00BD462C" w:rsidRDefault="00BD462C">
      <w:pPr>
        <w:pStyle w:val="BodyText"/>
        <w:rPr>
          <w:sz w:val="20"/>
        </w:rPr>
      </w:pPr>
    </w:p>
    <w:p w14:paraId="3C12A5B1" w14:textId="66F341C0" w:rsidR="00BD462C" w:rsidRDefault="00E14314">
      <w:pPr>
        <w:pStyle w:val="BodyText"/>
        <w:spacing w:before="10"/>
        <w:rPr>
          <w:sz w:val="29"/>
        </w:rPr>
      </w:pPr>
      <w:r>
        <w:rPr>
          <w:noProof/>
        </w:rPr>
        <mc:AlternateContent>
          <mc:Choice Requires="wps">
            <w:drawing>
              <wp:anchor distT="0" distB="0" distL="0" distR="0" simplePos="0" relativeHeight="488098304" behindDoc="1" locked="0" layoutInCell="1" allowOverlap="1" wp14:anchorId="1D2E4270" wp14:editId="12B77471">
                <wp:simplePos x="0" y="0"/>
                <wp:positionH relativeFrom="page">
                  <wp:posOffset>812800</wp:posOffset>
                </wp:positionH>
                <wp:positionV relativeFrom="paragraph">
                  <wp:posOffset>233045</wp:posOffset>
                </wp:positionV>
                <wp:extent cx="1828800" cy="8890"/>
                <wp:effectExtent l="0" t="0" r="0" b="0"/>
                <wp:wrapTopAndBottom/>
                <wp:docPr id="71" name="docshape7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E868CD" id="docshape705" o:spid="_x0000_s1026" alt="&quot;&quot;" style="position:absolute;margin-left:64pt;margin-top:18.35pt;width:2in;height:.7pt;z-index:-15218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" fillcolor="black" stroked="f">
                <w10:wrap type="topAndBottom" anchorx="page"/>
              </v:rect>
            </w:pict>
          </mc:Fallback>
        </mc:AlternateContent>
      </w:r>
    </w:p>
    <w:p w14:paraId="326B4561" w14:textId="77777777" w:rsidR="00BD462C" w:rsidRDefault="00033D0F">
      <w:pPr>
        <w:spacing w:before="112"/>
        <w:ind w:left="135"/>
        <w:rPr>
          <w:sz w:val="18"/>
        </w:rPr>
      </w:pPr>
      <w:bookmarkStart w:id="2033" w:name="_bookmark1750"/>
      <w:bookmarkEnd w:id="2033"/>
      <w:r>
        <w:rPr>
          <w:position w:val="5"/>
          <w:sz w:val="12"/>
        </w:rPr>
        <w:t>1524</w:t>
      </w:r>
      <w:r>
        <w:rPr>
          <w:spacing w:val="12"/>
          <w:position w:val="5"/>
          <w:sz w:val="12"/>
        </w:rPr>
        <w:t xml:space="preserve"> </w:t>
      </w:r>
      <w:r>
        <w:rPr>
          <w:sz w:val="18"/>
        </w:rPr>
        <w:t>Australia's</w:t>
      </w:r>
      <w:r>
        <w:rPr>
          <w:spacing w:val="-1"/>
          <w:sz w:val="18"/>
        </w:rPr>
        <w:t xml:space="preserve"> </w:t>
      </w:r>
      <w:r>
        <w:rPr>
          <w:sz w:val="18"/>
        </w:rPr>
        <w:t>response</w:t>
      </w:r>
      <w:r>
        <w:rPr>
          <w:spacing w:val="-6"/>
          <w:sz w:val="18"/>
        </w:rPr>
        <w:t xml:space="preserve"> </w:t>
      </w:r>
      <w:r>
        <w:rPr>
          <w:sz w:val="18"/>
        </w:rPr>
        <w:t>to</w:t>
      </w:r>
      <w:r>
        <w:rPr>
          <w:spacing w:val="-2"/>
          <w:sz w:val="18"/>
        </w:rPr>
        <w:t xml:space="preserve"> </w:t>
      </w:r>
      <w:r>
        <w:rPr>
          <w:sz w:val="18"/>
        </w:rPr>
        <w:t>China's</w:t>
      </w:r>
      <w:r>
        <w:rPr>
          <w:spacing w:val="-6"/>
          <w:sz w:val="18"/>
        </w:rPr>
        <w:t xml:space="preserve"> </w:t>
      </w:r>
      <w:r>
        <w:rPr>
          <w:sz w:val="18"/>
        </w:rPr>
        <w:t>PRR,</w:t>
      </w:r>
      <w:r>
        <w:rPr>
          <w:spacing w:val="-4"/>
          <w:sz w:val="18"/>
        </w:rPr>
        <w:t xml:space="preserve"> </w:t>
      </w:r>
      <w:r>
        <w:rPr>
          <w:sz w:val="18"/>
        </w:rPr>
        <w:t>paras.</w:t>
      </w:r>
      <w:r>
        <w:rPr>
          <w:spacing w:val="-5"/>
          <w:sz w:val="18"/>
        </w:rPr>
        <w:t xml:space="preserve"> </w:t>
      </w:r>
      <w:r>
        <w:rPr>
          <w:sz w:val="18"/>
        </w:rPr>
        <w:t>202,</w:t>
      </w:r>
      <w:r>
        <w:rPr>
          <w:spacing w:val="-4"/>
          <w:sz w:val="18"/>
        </w:rPr>
        <w:t xml:space="preserve"> </w:t>
      </w:r>
      <w:r>
        <w:rPr>
          <w:sz w:val="18"/>
        </w:rPr>
        <w:t>204-211;</w:t>
      </w:r>
      <w:r>
        <w:rPr>
          <w:spacing w:val="-8"/>
          <w:sz w:val="18"/>
        </w:rPr>
        <w:t xml:space="preserve"> </w:t>
      </w:r>
      <w:r>
        <w:rPr>
          <w:sz w:val="18"/>
        </w:rPr>
        <w:t>China's</w:t>
      </w:r>
      <w:r>
        <w:rPr>
          <w:spacing w:val="-5"/>
          <w:sz w:val="18"/>
        </w:rPr>
        <w:t xml:space="preserve"> </w:t>
      </w:r>
      <w:r>
        <w:rPr>
          <w:sz w:val="18"/>
        </w:rPr>
        <w:t>first</w:t>
      </w:r>
      <w:r>
        <w:rPr>
          <w:spacing w:val="-2"/>
          <w:sz w:val="18"/>
        </w:rPr>
        <w:t xml:space="preserve"> </w:t>
      </w:r>
      <w:r>
        <w:rPr>
          <w:sz w:val="18"/>
        </w:rPr>
        <w:t>written</w:t>
      </w:r>
      <w:r>
        <w:rPr>
          <w:spacing w:val="-6"/>
          <w:sz w:val="18"/>
        </w:rPr>
        <w:t xml:space="preserve"> </w:t>
      </w:r>
      <w:r>
        <w:rPr>
          <w:sz w:val="18"/>
        </w:rPr>
        <w:t>submission,</w:t>
      </w:r>
      <w:r>
        <w:rPr>
          <w:spacing w:val="-5"/>
          <w:sz w:val="18"/>
        </w:rPr>
        <w:t xml:space="preserve"> </w:t>
      </w:r>
      <w:r>
        <w:rPr>
          <w:sz w:val="18"/>
        </w:rPr>
        <w:t>para. 1499-</w:t>
      </w:r>
      <w:r>
        <w:rPr>
          <w:spacing w:val="-2"/>
          <w:sz w:val="18"/>
        </w:rPr>
        <w:t>1500.</w:t>
      </w:r>
    </w:p>
    <w:p w14:paraId="5851580E" w14:textId="77777777" w:rsidR="00BD462C" w:rsidRDefault="00033D0F">
      <w:pPr>
        <w:spacing w:before="1" w:line="218" w:lineRule="exact"/>
        <w:ind w:left="135"/>
        <w:rPr>
          <w:sz w:val="18"/>
        </w:rPr>
      </w:pPr>
      <w:bookmarkStart w:id="2034" w:name="_bookmark1751"/>
      <w:bookmarkEnd w:id="2034"/>
      <w:r>
        <w:rPr>
          <w:position w:val="5"/>
          <w:sz w:val="12"/>
        </w:rPr>
        <w:t>1525</w:t>
      </w:r>
      <w:r>
        <w:rPr>
          <w:spacing w:val="11"/>
          <w:position w:val="5"/>
          <w:sz w:val="12"/>
        </w:rPr>
        <w:t xml:space="preserve"> </w:t>
      </w:r>
      <w:r>
        <w:rPr>
          <w:sz w:val="18"/>
        </w:rPr>
        <w:t>China's</w:t>
      </w:r>
      <w:r>
        <w:rPr>
          <w:spacing w:val="-6"/>
          <w:sz w:val="18"/>
        </w:rPr>
        <w:t xml:space="preserve"> </w:t>
      </w:r>
      <w:r>
        <w:rPr>
          <w:sz w:val="18"/>
        </w:rPr>
        <w:t>first</w:t>
      </w:r>
      <w:r>
        <w:rPr>
          <w:spacing w:val="-5"/>
          <w:sz w:val="18"/>
        </w:rPr>
        <w:t xml:space="preserve"> </w:t>
      </w:r>
      <w:r>
        <w:rPr>
          <w:sz w:val="18"/>
        </w:rPr>
        <w:t>written</w:t>
      </w:r>
      <w:r>
        <w:rPr>
          <w:spacing w:val="-8"/>
          <w:sz w:val="18"/>
        </w:rPr>
        <w:t xml:space="preserve"> </w:t>
      </w:r>
      <w:r>
        <w:rPr>
          <w:sz w:val="18"/>
        </w:rPr>
        <w:t>submission, paras.</w:t>
      </w:r>
      <w:r>
        <w:rPr>
          <w:spacing w:val="-5"/>
          <w:sz w:val="18"/>
        </w:rPr>
        <w:t xml:space="preserve"> </w:t>
      </w:r>
      <w:r>
        <w:rPr>
          <w:sz w:val="18"/>
        </w:rPr>
        <w:t>943;</w:t>
      </w:r>
      <w:r>
        <w:rPr>
          <w:spacing w:val="-4"/>
          <w:sz w:val="18"/>
        </w:rPr>
        <w:t xml:space="preserve"> </w:t>
      </w:r>
      <w:r>
        <w:rPr>
          <w:sz w:val="18"/>
        </w:rPr>
        <w:t>1531-1537;</w:t>
      </w:r>
      <w:r>
        <w:rPr>
          <w:spacing w:val="-8"/>
          <w:sz w:val="18"/>
        </w:rPr>
        <w:t xml:space="preserve"> </w:t>
      </w:r>
      <w:r>
        <w:rPr>
          <w:sz w:val="18"/>
        </w:rPr>
        <w:t>see</w:t>
      </w:r>
      <w:r>
        <w:rPr>
          <w:spacing w:val="-7"/>
          <w:sz w:val="18"/>
        </w:rPr>
        <w:t xml:space="preserve"> </w:t>
      </w:r>
      <w:r>
        <w:rPr>
          <w:sz w:val="18"/>
        </w:rPr>
        <w:t>also</w:t>
      </w:r>
      <w:r>
        <w:rPr>
          <w:spacing w:val="-7"/>
          <w:sz w:val="18"/>
        </w:rPr>
        <w:t xml:space="preserve"> </w:t>
      </w:r>
      <w:r>
        <w:rPr>
          <w:sz w:val="18"/>
        </w:rPr>
        <w:t>paras.</w:t>
      </w:r>
      <w:r>
        <w:rPr>
          <w:spacing w:val="-1"/>
          <w:sz w:val="18"/>
        </w:rPr>
        <w:t xml:space="preserve"> </w:t>
      </w:r>
      <w:r>
        <w:rPr>
          <w:sz w:val="18"/>
        </w:rPr>
        <w:t>1451-1453;</w:t>
      </w:r>
      <w:r>
        <w:rPr>
          <w:spacing w:val="-4"/>
          <w:sz w:val="18"/>
        </w:rPr>
        <w:t xml:space="preserve"> </w:t>
      </w:r>
      <w:r>
        <w:rPr>
          <w:sz w:val="18"/>
        </w:rPr>
        <w:t>1590-</w:t>
      </w:r>
      <w:r>
        <w:rPr>
          <w:spacing w:val="-2"/>
          <w:sz w:val="18"/>
        </w:rPr>
        <w:t>1599.</w:t>
      </w:r>
    </w:p>
    <w:p w14:paraId="43ABE54E" w14:textId="77777777" w:rsidR="00BD462C" w:rsidRDefault="00033D0F">
      <w:pPr>
        <w:spacing w:line="218" w:lineRule="exact"/>
        <w:ind w:left="135"/>
        <w:rPr>
          <w:sz w:val="18"/>
        </w:rPr>
      </w:pPr>
      <w:bookmarkStart w:id="2035" w:name="_bookmark1752"/>
      <w:bookmarkEnd w:id="2035"/>
      <w:r>
        <w:rPr>
          <w:position w:val="5"/>
          <w:sz w:val="12"/>
        </w:rPr>
        <w:t>1526</w:t>
      </w:r>
      <w:r>
        <w:rPr>
          <w:spacing w:val="13"/>
          <w:position w:val="5"/>
          <w:sz w:val="12"/>
        </w:rPr>
        <w:t xml:space="preserve"> </w:t>
      </w:r>
      <w:r>
        <w:rPr>
          <w:sz w:val="18"/>
        </w:rPr>
        <w:t>See</w:t>
      </w:r>
      <w:r>
        <w:rPr>
          <w:spacing w:val="-5"/>
          <w:sz w:val="18"/>
        </w:rPr>
        <w:t xml:space="preserve"> </w:t>
      </w:r>
      <w:r>
        <w:rPr>
          <w:sz w:val="18"/>
        </w:rPr>
        <w:t>above,</w:t>
      </w:r>
      <w:r>
        <w:rPr>
          <w:spacing w:val="-3"/>
          <w:sz w:val="18"/>
        </w:rPr>
        <w:t xml:space="preserve"> </w:t>
      </w:r>
      <w:r>
        <w:rPr>
          <w:sz w:val="18"/>
        </w:rPr>
        <w:t>section</w:t>
      </w:r>
      <w:r>
        <w:rPr>
          <w:spacing w:val="-1"/>
          <w:sz w:val="18"/>
        </w:rPr>
        <w:t xml:space="preserve"> </w:t>
      </w:r>
      <w:hyperlink w:anchor="_bookmark38" w:history="1">
        <w:r>
          <w:rPr>
            <w:sz w:val="18"/>
          </w:rPr>
          <w:t>24</w:t>
        </w:r>
      </w:hyperlink>
      <w:r>
        <w:rPr>
          <w:sz w:val="18"/>
        </w:rPr>
        <w:t>;</w:t>
      </w:r>
      <w:r>
        <w:rPr>
          <w:spacing w:val="-7"/>
          <w:sz w:val="18"/>
        </w:rPr>
        <w:t xml:space="preserve"> </w:t>
      </w:r>
      <w:r>
        <w:rPr>
          <w:sz w:val="18"/>
        </w:rPr>
        <w:t>see</w:t>
      </w:r>
      <w:r>
        <w:rPr>
          <w:spacing w:val="-5"/>
          <w:sz w:val="18"/>
        </w:rPr>
        <w:t xml:space="preserve"> </w:t>
      </w:r>
      <w:r>
        <w:rPr>
          <w:sz w:val="18"/>
        </w:rPr>
        <w:t>Australia's response</w:t>
      </w:r>
      <w:r>
        <w:rPr>
          <w:spacing w:val="-5"/>
          <w:sz w:val="18"/>
        </w:rPr>
        <w:t xml:space="preserve"> </w:t>
      </w:r>
      <w:r>
        <w:rPr>
          <w:sz w:val="18"/>
        </w:rPr>
        <w:t>to</w:t>
      </w:r>
      <w:r>
        <w:rPr>
          <w:spacing w:val="-6"/>
          <w:sz w:val="18"/>
        </w:rPr>
        <w:t xml:space="preserve"> </w:t>
      </w:r>
      <w:r>
        <w:rPr>
          <w:sz w:val="18"/>
        </w:rPr>
        <w:t>China's</w:t>
      </w:r>
      <w:r>
        <w:rPr>
          <w:spacing w:val="-4"/>
          <w:sz w:val="18"/>
        </w:rPr>
        <w:t xml:space="preserve"> </w:t>
      </w:r>
      <w:r>
        <w:rPr>
          <w:sz w:val="18"/>
        </w:rPr>
        <w:t>PRR,</w:t>
      </w:r>
      <w:r>
        <w:rPr>
          <w:spacing w:val="-3"/>
          <w:sz w:val="18"/>
        </w:rPr>
        <w:t xml:space="preserve"> </w:t>
      </w:r>
      <w:r>
        <w:rPr>
          <w:sz w:val="18"/>
        </w:rPr>
        <w:t>para. 20,</w:t>
      </w:r>
      <w:r>
        <w:rPr>
          <w:spacing w:val="2"/>
          <w:sz w:val="18"/>
        </w:rPr>
        <w:t xml:space="preserve"> </w:t>
      </w:r>
      <w:r>
        <w:rPr>
          <w:sz w:val="18"/>
        </w:rPr>
        <w:t>81-82</w:t>
      </w:r>
      <w:r>
        <w:rPr>
          <w:spacing w:val="-2"/>
          <w:sz w:val="18"/>
        </w:rPr>
        <w:t xml:space="preserve"> </w:t>
      </w:r>
      <w:r>
        <w:rPr>
          <w:sz w:val="18"/>
        </w:rPr>
        <w:t>and</w:t>
      </w:r>
      <w:r>
        <w:rPr>
          <w:spacing w:val="-2"/>
          <w:sz w:val="18"/>
        </w:rPr>
        <w:t xml:space="preserve"> </w:t>
      </w:r>
      <w:r>
        <w:rPr>
          <w:spacing w:val="-4"/>
          <w:sz w:val="18"/>
        </w:rPr>
        <w:t>210.</w:t>
      </w:r>
    </w:p>
    <w:p w14:paraId="3488C178" w14:textId="77777777" w:rsidR="00BD462C" w:rsidRDefault="00033D0F">
      <w:pPr>
        <w:spacing w:before="1"/>
        <w:ind w:left="135"/>
        <w:rPr>
          <w:sz w:val="18"/>
        </w:rPr>
      </w:pPr>
      <w:bookmarkStart w:id="2036" w:name="_bookmark1753"/>
      <w:bookmarkEnd w:id="2036"/>
      <w:r>
        <w:rPr>
          <w:position w:val="5"/>
          <w:sz w:val="12"/>
        </w:rPr>
        <w:t>1527</w:t>
      </w:r>
      <w:r>
        <w:rPr>
          <w:spacing w:val="15"/>
          <w:position w:val="5"/>
          <w:sz w:val="12"/>
        </w:rPr>
        <w:t xml:space="preserve"> </w:t>
      </w:r>
      <w:r>
        <w:rPr>
          <w:sz w:val="18"/>
        </w:rPr>
        <w:t>See</w:t>
      </w:r>
      <w:r>
        <w:rPr>
          <w:spacing w:val="-4"/>
          <w:sz w:val="18"/>
        </w:rPr>
        <w:t xml:space="preserve"> </w:t>
      </w:r>
      <w:r>
        <w:rPr>
          <w:sz w:val="18"/>
        </w:rPr>
        <w:t>above,</w:t>
      </w:r>
      <w:r>
        <w:rPr>
          <w:spacing w:val="-1"/>
          <w:sz w:val="18"/>
        </w:rPr>
        <w:t xml:space="preserve"> </w:t>
      </w:r>
      <w:r>
        <w:rPr>
          <w:sz w:val="18"/>
        </w:rPr>
        <w:t>para.</w:t>
      </w:r>
      <w:r>
        <w:rPr>
          <w:spacing w:val="-3"/>
          <w:sz w:val="18"/>
        </w:rPr>
        <w:t xml:space="preserve"> </w:t>
      </w:r>
      <w:hyperlink w:anchor="_bookmark1731" w:history="1">
        <w:r>
          <w:rPr>
            <w:sz w:val="18"/>
          </w:rPr>
          <w:t>18</w:t>
        </w:r>
      </w:hyperlink>
      <w:hyperlink w:anchor="_bookmark1739" w:history="1">
        <w:r>
          <w:rPr>
            <w:sz w:val="18"/>
          </w:rPr>
          <w:t>-</w:t>
        </w:r>
        <w:r>
          <w:rPr>
            <w:spacing w:val="-5"/>
            <w:sz w:val="18"/>
          </w:rPr>
          <w:t>19.</w:t>
        </w:r>
      </w:hyperlink>
    </w:p>
    <w:p w14:paraId="7D72F427" w14:textId="77777777" w:rsidR="00BD462C" w:rsidRDefault="00033D0F">
      <w:pPr>
        <w:spacing w:before="1"/>
        <w:ind w:left="136" w:right="912" w:hanging="1"/>
        <w:rPr>
          <w:sz w:val="18"/>
        </w:rPr>
      </w:pPr>
      <w:bookmarkStart w:id="2037" w:name="_bookmark1754"/>
      <w:bookmarkEnd w:id="2037"/>
      <w:r>
        <w:rPr>
          <w:position w:val="5"/>
          <w:sz w:val="12"/>
        </w:rPr>
        <w:t>1528</w:t>
      </w:r>
      <w:r>
        <w:rPr>
          <w:spacing w:val="17"/>
          <w:position w:val="5"/>
          <w:sz w:val="12"/>
        </w:rPr>
        <w:t xml:space="preserve"> </w:t>
      </w:r>
      <w:r>
        <w:rPr>
          <w:sz w:val="18"/>
        </w:rPr>
        <w:t>In</w:t>
      </w:r>
      <w:r>
        <w:rPr>
          <w:spacing w:val="-3"/>
          <w:sz w:val="18"/>
        </w:rPr>
        <w:t xml:space="preserve"> </w:t>
      </w:r>
      <w:r>
        <w:rPr>
          <w:i/>
          <w:sz w:val="18"/>
        </w:rPr>
        <w:t>Korea</w:t>
      </w:r>
      <w:r>
        <w:rPr>
          <w:i/>
          <w:spacing w:val="-1"/>
          <w:sz w:val="18"/>
        </w:rPr>
        <w:t xml:space="preserve"> </w:t>
      </w:r>
      <w:r>
        <w:rPr>
          <w:i/>
          <w:sz w:val="18"/>
        </w:rPr>
        <w:t>–</w:t>
      </w:r>
      <w:r>
        <w:rPr>
          <w:i/>
          <w:spacing w:val="-7"/>
          <w:sz w:val="18"/>
        </w:rPr>
        <w:t xml:space="preserve"> </w:t>
      </w:r>
      <w:r>
        <w:rPr>
          <w:i/>
          <w:sz w:val="18"/>
        </w:rPr>
        <w:t>Pneumatic</w:t>
      </w:r>
      <w:r>
        <w:rPr>
          <w:i/>
          <w:spacing w:val="-2"/>
          <w:sz w:val="18"/>
        </w:rPr>
        <w:t xml:space="preserve"> </w:t>
      </w:r>
      <w:r>
        <w:rPr>
          <w:i/>
          <w:sz w:val="18"/>
        </w:rPr>
        <w:t>Valves</w:t>
      </w:r>
      <w:r>
        <w:rPr>
          <w:i/>
          <w:spacing w:val="-2"/>
          <w:sz w:val="18"/>
        </w:rPr>
        <w:t xml:space="preserve"> </w:t>
      </w:r>
      <w:r>
        <w:rPr>
          <w:i/>
          <w:sz w:val="18"/>
        </w:rPr>
        <w:t>(Japan),</w:t>
      </w:r>
      <w:r>
        <w:rPr>
          <w:i/>
          <w:spacing w:val="-5"/>
          <w:sz w:val="18"/>
        </w:rPr>
        <w:t xml:space="preserve"> </w:t>
      </w:r>
      <w:r>
        <w:rPr>
          <w:sz w:val="18"/>
        </w:rPr>
        <w:t>the</w:t>
      </w:r>
      <w:r>
        <w:rPr>
          <w:spacing w:val="-2"/>
          <w:sz w:val="18"/>
        </w:rPr>
        <w:t xml:space="preserve"> </w:t>
      </w:r>
      <w:r>
        <w:rPr>
          <w:sz w:val="18"/>
        </w:rPr>
        <w:t>panel</w:t>
      </w:r>
      <w:r>
        <w:rPr>
          <w:spacing w:val="-1"/>
          <w:sz w:val="18"/>
        </w:rPr>
        <w:t xml:space="preserve"> </w:t>
      </w:r>
      <w:r>
        <w:rPr>
          <w:sz w:val="18"/>
        </w:rPr>
        <w:t>concluded</w:t>
      </w:r>
      <w:r>
        <w:rPr>
          <w:spacing w:val="-7"/>
          <w:sz w:val="18"/>
        </w:rPr>
        <w:t xml:space="preserve"> </w:t>
      </w:r>
      <w:r>
        <w:rPr>
          <w:sz w:val="18"/>
        </w:rPr>
        <w:t>that</w:t>
      </w:r>
      <w:r>
        <w:rPr>
          <w:spacing w:val="-1"/>
          <w:sz w:val="18"/>
        </w:rPr>
        <w:t xml:space="preserve"> </w:t>
      </w:r>
      <w:r>
        <w:rPr>
          <w:sz w:val="18"/>
        </w:rPr>
        <w:t>arguments relating</w:t>
      </w:r>
      <w:r>
        <w:rPr>
          <w:spacing w:val="-2"/>
          <w:sz w:val="18"/>
        </w:rPr>
        <w:t xml:space="preserve"> </w:t>
      </w:r>
      <w:r>
        <w:rPr>
          <w:sz w:val="18"/>
        </w:rPr>
        <w:t>to</w:t>
      </w:r>
      <w:r>
        <w:rPr>
          <w:spacing w:val="-3"/>
          <w:sz w:val="18"/>
        </w:rPr>
        <w:t xml:space="preserve"> </w:t>
      </w:r>
      <w:r>
        <w:rPr>
          <w:sz w:val="18"/>
        </w:rPr>
        <w:t>specific</w:t>
      </w:r>
      <w:r>
        <w:rPr>
          <w:spacing w:val="-3"/>
          <w:sz w:val="18"/>
        </w:rPr>
        <w:t xml:space="preserve"> </w:t>
      </w:r>
      <w:r>
        <w:rPr>
          <w:sz w:val="18"/>
        </w:rPr>
        <w:t>Art 3.4</w:t>
      </w:r>
      <w:r>
        <w:rPr>
          <w:spacing w:val="-4"/>
          <w:sz w:val="18"/>
        </w:rPr>
        <w:t xml:space="preserve"> </w:t>
      </w:r>
      <w:r>
        <w:rPr>
          <w:sz w:val="18"/>
        </w:rPr>
        <w:t>factors</w:t>
      </w:r>
      <w:r>
        <w:rPr>
          <w:spacing w:val="-2"/>
          <w:sz w:val="18"/>
        </w:rPr>
        <w:t xml:space="preserve"> </w:t>
      </w:r>
      <w:r>
        <w:rPr>
          <w:sz w:val="18"/>
        </w:rPr>
        <w:t>that</w:t>
      </w:r>
      <w:r>
        <w:rPr>
          <w:spacing w:val="-1"/>
          <w:sz w:val="18"/>
        </w:rPr>
        <w:t xml:space="preserve"> </w:t>
      </w:r>
      <w:r>
        <w:rPr>
          <w:sz w:val="18"/>
        </w:rPr>
        <w:t>had</w:t>
      </w:r>
      <w:r>
        <w:rPr>
          <w:spacing w:val="-3"/>
          <w:sz w:val="18"/>
        </w:rPr>
        <w:t xml:space="preserve"> </w:t>
      </w:r>
      <w:r>
        <w:rPr>
          <w:sz w:val="18"/>
        </w:rPr>
        <w:t>not been</w:t>
      </w:r>
      <w:r>
        <w:rPr>
          <w:spacing w:val="5"/>
          <w:sz w:val="18"/>
        </w:rPr>
        <w:t xml:space="preserve"> </w:t>
      </w:r>
      <w:r>
        <w:rPr>
          <w:sz w:val="18"/>
        </w:rPr>
        <w:t>evaluated</w:t>
      </w:r>
      <w:r>
        <w:rPr>
          <w:spacing w:val="5"/>
          <w:sz w:val="18"/>
        </w:rPr>
        <w:t xml:space="preserve"> </w:t>
      </w:r>
      <w:r>
        <w:rPr>
          <w:sz w:val="18"/>
        </w:rPr>
        <w:t>were</w:t>
      </w:r>
      <w:r>
        <w:rPr>
          <w:spacing w:val="10"/>
          <w:sz w:val="18"/>
        </w:rPr>
        <w:t xml:space="preserve"> </w:t>
      </w:r>
      <w:r>
        <w:rPr>
          <w:sz w:val="18"/>
        </w:rPr>
        <w:t>within</w:t>
      </w:r>
      <w:r>
        <w:rPr>
          <w:spacing w:val="10"/>
          <w:sz w:val="18"/>
        </w:rPr>
        <w:t xml:space="preserve"> </w:t>
      </w:r>
      <w:r>
        <w:rPr>
          <w:sz w:val="18"/>
        </w:rPr>
        <w:t>the</w:t>
      </w:r>
      <w:r>
        <w:rPr>
          <w:spacing w:val="10"/>
          <w:sz w:val="18"/>
        </w:rPr>
        <w:t xml:space="preserve"> </w:t>
      </w:r>
      <w:r>
        <w:rPr>
          <w:sz w:val="18"/>
        </w:rPr>
        <w:t>panel's</w:t>
      </w:r>
      <w:r>
        <w:rPr>
          <w:spacing w:val="5"/>
          <w:sz w:val="18"/>
        </w:rPr>
        <w:t xml:space="preserve"> </w:t>
      </w:r>
      <w:r>
        <w:rPr>
          <w:sz w:val="18"/>
        </w:rPr>
        <w:t>terms</w:t>
      </w:r>
      <w:r>
        <w:rPr>
          <w:spacing w:val="6"/>
          <w:sz w:val="18"/>
        </w:rPr>
        <w:t xml:space="preserve"> </w:t>
      </w:r>
      <w:r>
        <w:rPr>
          <w:sz w:val="18"/>
        </w:rPr>
        <w:t>of</w:t>
      </w:r>
      <w:r>
        <w:rPr>
          <w:spacing w:val="12"/>
          <w:sz w:val="18"/>
        </w:rPr>
        <w:t xml:space="preserve"> </w:t>
      </w:r>
      <w:r>
        <w:rPr>
          <w:sz w:val="18"/>
        </w:rPr>
        <w:t>reference,</w:t>
      </w:r>
      <w:r>
        <w:rPr>
          <w:spacing w:val="12"/>
          <w:sz w:val="18"/>
        </w:rPr>
        <w:t xml:space="preserve"> </w:t>
      </w:r>
      <w:r>
        <w:rPr>
          <w:sz w:val="18"/>
        </w:rPr>
        <w:t>despite</w:t>
      </w:r>
      <w:r>
        <w:rPr>
          <w:spacing w:val="10"/>
          <w:sz w:val="18"/>
        </w:rPr>
        <w:t xml:space="preserve"> </w:t>
      </w:r>
      <w:r>
        <w:rPr>
          <w:sz w:val="18"/>
        </w:rPr>
        <w:t>not</w:t>
      </w:r>
      <w:r>
        <w:rPr>
          <w:spacing w:val="11"/>
          <w:sz w:val="18"/>
        </w:rPr>
        <w:t xml:space="preserve"> </w:t>
      </w:r>
      <w:r>
        <w:rPr>
          <w:sz w:val="18"/>
        </w:rPr>
        <w:t>being</w:t>
      </w:r>
      <w:r>
        <w:rPr>
          <w:spacing w:val="5"/>
          <w:sz w:val="18"/>
        </w:rPr>
        <w:t xml:space="preserve"> </w:t>
      </w:r>
      <w:r>
        <w:rPr>
          <w:sz w:val="18"/>
        </w:rPr>
        <w:t>expressly</w:t>
      </w:r>
      <w:r>
        <w:rPr>
          <w:spacing w:val="9"/>
          <w:sz w:val="18"/>
        </w:rPr>
        <w:t xml:space="preserve"> </w:t>
      </w:r>
      <w:r>
        <w:rPr>
          <w:sz w:val="18"/>
        </w:rPr>
        <w:t>listed</w:t>
      </w:r>
      <w:r>
        <w:rPr>
          <w:spacing w:val="10"/>
          <w:sz w:val="18"/>
        </w:rPr>
        <w:t xml:space="preserve"> </w:t>
      </w:r>
      <w:r>
        <w:rPr>
          <w:sz w:val="18"/>
        </w:rPr>
        <w:t>in</w:t>
      </w:r>
      <w:r>
        <w:rPr>
          <w:spacing w:val="10"/>
          <w:sz w:val="18"/>
        </w:rPr>
        <w:t xml:space="preserve"> </w:t>
      </w:r>
      <w:r>
        <w:rPr>
          <w:sz w:val="18"/>
        </w:rPr>
        <w:t>the</w:t>
      </w:r>
      <w:r>
        <w:rPr>
          <w:spacing w:val="10"/>
          <w:sz w:val="18"/>
        </w:rPr>
        <w:t xml:space="preserve"> </w:t>
      </w:r>
      <w:r>
        <w:rPr>
          <w:sz w:val="18"/>
        </w:rPr>
        <w:t>panel</w:t>
      </w:r>
      <w:r>
        <w:rPr>
          <w:spacing w:val="11"/>
          <w:sz w:val="18"/>
        </w:rPr>
        <w:t xml:space="preserve"> </w:t>
      </w:r>
      <w:r>
        <w:rPr>
          <w:sz w:val="18"/>
        </w:rPr>
        <w:t>report</w:t>
      </w:r>
      <w:r>
        <w:rPr>
          <w:spacing w:val="11"/>
          <w:sz w:val="18"/>
        </w:rPr>
        <w:t xml:space="preserve"> </w:t>
      </w:r>
      <w:r>
        <w:rPr>
          <w:sz w:val="18"/>
        </w:rPr>
        <w:t>at</w:t>
      </w:r>
      <w:r>
        <w:rPr>
          <w:spacing w:val="6"/>
          <w:sz w:val="18"/>
        </w:rPr>
        <w:t xml:space="preserve"> </w:t>
      </w:r>
      <w:r>
        <w:rPr>
          <w:spacing w:val="-2"/>
          <w:sz w:val="18"/>
        </w:rPr>
        <w:t>para.</w:t>
      </w:r>
    </w:p>
    <w:p w14:paraId="3E0D7B06" w14:textId="77777777" w:rsidR="00BD462C" w:rsidRDefault="00033D0F">
      <w:pPr>
        <w:spacing w:before="2"/>
        <w:ind w:left="136"/>
        <w:rPr>
          <w:sz w:val="18"/>
        </w:rPr>
      </w:pPr>
      <w:r>
        <w:rPr>
          <w:sz w:val="18"/>
        </w:rPr>
        <w:t>7.175.</w:t>
      </w:r>
      <w:r>
        <w:rPr>
          <w:spacing w:val="-4"/>
          <w:sz w:val="18"/>
        </w:rPr>
        <w:t xml:space="preserve"> </w:t>
      </w:r>
      <w:r>
        <w:rPr>
          <w:sz w:val="18"/>
        </w:rPr>
        <w:t>The</w:t>
      </w:r>
      <w:r>
        <w:rPr>
          <w:spacing w:val="-4"/>
          <w:sz w:val="18"/>
        </w:rPr>
        <w:t xml:space="preserve"> </w:t>
      </w:r>
      <w:r>
        <w:rPr>
          <w:sz w:val="18"/>
        </w:rPr>
        <w:t>Appellate</w:t>
      </w:r>
      <w:r>
        <w:rPr>
          <w:spacing w:val="-4"/>
          <w:sz w:val="18"/>
        </w:rPr>
        <w:t xml:space="preserve"> </w:t>
      </w:r>
      <w:r>
        <w:rPr>
          <w:sz w:val="18"/>
        </w:rPr>
        <w:t>Body</w:t>
      </w:r>
      <w:r>
        <w:rPr>
          <w:spacing w:val="-6"/>
          <w:sz w:val="18"/>
        </w:rPr>
        <w:t xml:space="preserve"> </w:t>
      </w:r>
      <w:r>
        <w:rPr>
          <w:sz w:val="18"/>
        </w:rPr>
        <w:t>confirmed</w:t>
      </w:r>
      <w:r>
        <w:rPr>
          <w:spacing w:val="-6"/>
          <w:sz w:val="18"/>
        </w:rPr>
        <w:t xml:space="preserve"> </w:t>
      </w:r>
      <w:r>
        <w:rPr>
          <w:sz w:val="18"/>
        </w:rPr>
        <w:t>this</w:t>
      </w:r>
      <w:r>
        <w:rPr>
          <w:spacing w:val="-4"/>
          <w:sz w:val="18"/>
        </w:rPr>
        <w:t xml:space="preserve"> </w:t>
      </w:r>
      <w:r>
        <w:rPr>
          <w:sz w:val="18"/>
        </w:rPr>
        <w:t>finding at</w:t>
      </w:r>
      <w:r>
        <w:rPr>
          <w:spacing w:val="-4"/>
          <w:sz w:val="18"/>
        </w:rPr>
        <w:t xml:space="preserve"> </w:t>
      </w:r>
      <w:r>
        <w:rPr>
          <w:sz w:val="18"/>
        </w:rPr>
        <w:t>para.</w:t>
      </w:r>
      <w:r>
        <w:rPr>
          <w:spacing w:val="-3"/>
          <w:sz w:val="18"/>
        </w:rPr>
        <w:t xml:space="preserve"> </w:t>
      </w:r>
      <w:r>
        <w:rPr>
          <w:sz w:val="18"/>
        </w:rPr>
        <w:t>5.108</w:t>
      </w:r>
      <w:r>
        <w:rPr>
          <w:spacing w:val="-6"/>
          <w:sz w:val="18"/>
        </w:rPr>
        <w:t xml:space="preserve"> </w:t>
      </w:r>
      <w:r>
        <w:rPr>
          <w:sz w:val="18"/>
        </w:rPr>
        <w:t>of</w:t>
      </w:r>
      <w:r>
        <w:rPr>
          <w:spacing w:val="-3"/>
          <w:sz w:val="18"/>
        </w:rPr>
        <w:t xml:space="preserve"> </w:t>
      </w:r>
      <w:r>
        <w:rPr>
          <w:sz w:val="18"/>
        </w:rPr>
        <w:t>the</w:t>
      </w:r>
      <w:r>
        <w:rPr>
          <w:spacing w:val="-1"/>
          <w:sz w:val="18"/>
        </w:rPr>
        <w:t xml:space="preserve"> </w:t>
      </w:r>
      <w:r>
        <w:rPr>
          <w:sz w:val="18"/>
        </w:rPr>
        <w:t>Appellate</w:t>
      </w:r>
      <w:r>
        <w:rPr>
          <w:spacing w:val="-4"/>
          <w:sz w:val="18"/>
        </w:rPr>
        <w:t xml:space="preserve"> </w:t>
      </w:r>
      <w:r>
        <w:rPr>
          <w:sz w:val="18"/>
        </w:rPr>
        <w:t>Body</w:t>
      </w:r>
      <w:r>
        <w:rPr>
          <w:spacing w:val="-6"/>
          <w:sz w:val="18"/>
        </w:rPr>
        <w:t xml:space="preserve"> </w:t>
      </w:r>
      <w:r>
        <w:rPr>
          <w:spacing w:val="-2"/>
          <w:sz w:val="18"/>
        </w:rPr>
        <w:t>Report.</w:t>
      </w:r>
    </w:p>
    <w:p w14:paraId="26355C97" w14:textId="77777777" w:rsidR="00BD462C" w:rsidRDefault="00BD462C">
      <w:pPr>
        <w:rPr>
          <w:sz w:val="18"/>
        </w:rPr>
        <w:sectPr w:rsidR="00BD462C">
          <w:pgSz w:w="11910" w:h="16840"/>
          <w:pgMar w:top="860" w:right="500" w:bottom="780" w:left="1280" w:header="566" w:footer="590" w:gutter="0"/>
          <w:cols w:space="720"/>
        </w:sectPr>
      </w:pPr>
    </w:p>
    <w:p w14:paraId="682DC44D"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3ED0A7B2"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65BE3CD1" w14:textId="77777777" w:rsidR="00BD462C" w:rsidRDefault="00033D0F">
      <w:pPr>
        <w:tabs>
          <w:tab w:val="left" w:pos="7652"/>
        </w:tabs>
        <w:ind w:left="135"/>
        <w:rPr>
          <w:sz w:val="20"/>
        </w:rPr>
      </w:pPr>
      <w:bookmarkStart w:id="2038" w:name="A.3.3_Australia's_claims_pursuant_to_Art"/>
      <w:bookmarkStart w:id="2039" w:name="_bookmark1755"/>
      <w:bookmarkEnd w:id="2038"/>
      <w:bookmarkEnd w:id="2039"/>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4E300002" w14:textId="77777777" w:rsidR="00BD462C" w:rsidRDefault="00033D0F">
      <w:pPr>
        <w:pStyle w:val="Heading3"/>
        <w:numPr>
          <w:ilvl w:val="2"/>
          <w:numId w:val="5"/>
        </w:numPr>
        <w:tabs>
          <w:tab w:val="left" w:pos="1835"/>
          <w:tab w:val="left" w:pos="1836"/>
        </w:tabs>
        <w:spacing w:before="2" w:line="362" w:lineRule="auto"/>
        <w:ind w:right="918"/>
      </w:pPr>
      <w:r>
        <w:t>Australia's claims pursuant to Articles 3.1 and 3.5 are within the Panel's</w:t>
      </w:r>
      <w:r>
        <w:rPr>
          <w:spacing w:val="40"/>
        </w:rPr>
        <w:t xml:space="preserve"> </w:t>
      </w:r>
      <w:r>
        <w:t>terms of reference.</w:t>
      </w:r>
    </w:p>
    <w:p w14:paraId="227D1DA7" w14:textId="6F70A596" w:rsidR="00BD462C" w:rsidRDefault="00F03EFC">
      <w:pPr>
        <w:pStyle w:val="BodyText"/>
        <w:spacing w:before="161" w:line="352" w:lineRule="auto"/>
        <w:ind w:left="135" w:right="916"/>
        <w:jc w:val="both"/>
      </w:pPr>
      <w:r>
        <w:rPr>
          <w:noProof/>
        </w:rPr>
        <w:t>23.</w:t>
      </w:r>
      <w:r w:rsidR="00033D0F">
        <w:rPr>
          <w:rFonts w:ascii="Times New Roman"/>
          <w:spacing w:val="80"/>
          <w:position w:val="1"/>
          <w:sz w:val="20"/>
        </w:rPr>
        <w:t xml:space="preserve">   </w:t>
      </w:r>
      <w:r w:rsidR="00033D0F">
        <w:rPr>
          <w:position w:val="1"/>
        </w:rPr>
        <w:t>Contrary to China's assertion,</w:t>
      </w:r>
      <w:hyperlink w:anchor="_bookmark1756" w:history="1">
        <w:r w:rsidR="00033D0F">
          <w:rPr>
            <w:position w:val="1"/>
            <w:vertAlign w:val="superscript"/>
          </w:rPr>
          <w:t>1529</w:t>
        </w:r>
      </w:hyperlink>
      <w:r w:rsidR="00033D0F">
        <w:rPr>
          <w:position w:val="1"/>
        </w:rPr>
        <w:t xml:space="preserve"> Australia's claim pursuant to Articles 3.1 and 3.5</w:t>
      </w:r>
      <w:r w:rsidR="00033D0F">
        <w:rPr>
          <w:spacing w:val="80"/>
          <w:position w:val="1"/>
        </w:rPr>
        <w:t xml:space="preserve"> </w:t>
      </w:r>
      <w:r w:rsidR="00033D0F">
        <w:t>was clear on the face of the panel request. Australia has made detailed submissions demonstrating this and it stands on those submissions.</w:t>
      </w:r>
      <w:hyperlink w:anchor="_bookmark1757" w:history="1">
        <w:r w:rsidR="00033D0F">
          <w:rPr>
            <w:vertAlign w:val="superscript"/>
          </w:rPr>
          <w:t>1530</w:t>
        </w:r>
      </w:hyperlink>
    </w:p>
    <w:p w14:paraId="34E749BD" w14:textId="77777777" w:rsidR="00BD462C" w:rsidRDefault="00BD462C">
      <w:pPr>
        <w:pStyle w:val="BodyText"/>
        <w:spacing w:before="10"/>
        <w:rPr>
          <w:sz w:val="9"/>
        </w:rPr>
      </w:pPr>
    </w:p>
    <w:p w14:paraId="2804A8BC" w14:textId="047251BE" w:rsidR="00BD462C" w:rsidRDefault="00F03EFC">
      <w:pPr>
        <w:pStyle w:val="BodyText"/>
        <w:spacing w:before="56" w:line="357" w:lineRule="auto"/>
        <w:ind w:left="135" w:right="916"/>
        <w:jc w:val="both"/>
      </w:pPr>
      <w:r>
        <w:rPr>
          <w:noProof/>
        </w:rPr>
        <w:t>24.</w:t>
      </w:r>
      <w:r w:rsidR="00033D0F">
        <w:rPr>
          <w:rFonts w:ascii="Times New Roman"/>
          <w:spacing w:val="80"/>
          <w:position w:val="1"/>
          <w:sz w:val="20"/>
        </w:rPr>
        <w:t xml:space="preserve">  </w:t>
      </w:r>
      <w:r w:rsidR="00033D0F">
        <w:rPr>
          <w:position w:val="1"/>
        </w:rPr>
        <w:t xml:space="preserve">China's expanded efforts to claim otherwise are without merit. In its first written </w:t>
      </w:r>
      <w:r w:rsidR="00033D0F">
        <w:t>submission, China declares that Australia is barred from making arguments addressing MOFCOM's failure to: (i) establish substitutability;</w:t>
      </w:r>
      <w:hyperlink w:anchor="_bookmark1758" w:history="1">
        <w:r w:rsidR="00033D0F">
          <w:rPr>
            <w:vertAlign w:val="superscript"/>
          </w:rPr>
          <w:t>1531</w:t>
        </w:r>
      </w:hyperlink>
      <w:r w:rsidR="00033D0F">
        <w:t xml:space="preserve"> (ii) properly compare market share of domestic</w:t>
      </w:r>
      <w:r w:rsidR="00033D0F">
        <w:rPr>
          <w:spacing w:val="-14"/>
        </w:rPr>
        <w:t xml:space="preserve"> </w:t>
      </w:r>
      <w:r w:rsidR="00033D0F">
        <w:t>like</w:t>
      </w:r>
      <w:r w:rsidR="00033D0F">
        <w:rPr>
          <w:spacing w:val="-14"/>
        </w:rPr>
        <w:t xml:space="preserve"> </w:t>
      </w:r>
      <w:r w:rsidR="00033D0F">
        <w:t>products</w:t>
      </w:r>
      <w:r w:rsidR="00033D0F">
        <w:rPr>
          <w:spacing w:val="-10"/>
        </w:rPr>
        <w:t xml:space="preserve"> </w:t>
      </w:r>
      <w:r w:rsidR="00033D0F">
        <w:t>and</w:t>
      </w:r>
      <w:r w:rsidR="00033D0F">
        <w:rPr>
          <w:spacing w:val="-14"/>
        </w:rPr>
        <w:t xml:space="preserve"> </w:t>
      </w:r>
      <w:r w:rsidR="00033D0F">
        <w:t>subject</w:t>
      </w:r>
      <w:r w:rsidR="00033D0F">
        <w:rPr>
          <w:spacing w:val="-11"/>
        </w:rPr>
        <w:t xml:space="preserve"> </w:t>
      </w:r>
      <w:r w:rsidR="00033D0F">
        <w:t>imports;</w:t>
      </w:r>
      <w:hyperlink w:anchor="_bookmark1759" w:history="1">
        <w:r w:rsidR="00033D0F">
          <w:rPr>
            <w:vertAlign w:val="superscript"/>
          </w:rPr>
          <w:t>1532</w:t>
        </w:r>
      </w:hyperlink>
      <w:r w:rsidR="00033D0F">
        <w:rPr>
          <w:spacing w:val="-12"/>
        </w:rPr>
        <w:t xml:space="preserve"> </w:t>
      </w:r>
      <w:r w:rsidR="00033D0F">
        <w:t>and</w:t>
      </w:r>
      <w:r w:rsidR="00033D0F">
        <w:rPr>
          <w:spacing w:val="-14"/>
        </w:rPr>
        <w:t xml:space="preserve"> </w:t>
      </w:r>
      <w:r w:rsidR="00033D0F">
        <w:t>(iii)</w:t>
      </w:r>
      <w:r w:rsidR="00033D0F">
        <w:rPr>
          <w:spacing w:val="-13"/>
        </w:rPr>
        <w:t xml:space="preserve"> </w:t>
      </w:r>
      <w:r w:rsidR="00033D0F">
        <w:t>account</w:t>
      </w:r>
      <w:r w:rsidR="00033D0F">
        <w:rPr>
          <w:spacing w:val="-12"/>
        </w:rPr>
        <w:t xml:space="preserve"> </w:t>
      </w:r>
      <w:r w:rsidR="00033D0F">
        <w:t>for</w:t>
      </w:r>
      <w:r w:rsidR="00033D0F">
        <w:rPr>
          <w:spacing w:val="-14"/>
        </w:rPr>
        <w:t xml:space="preserve"> </w:t>
      </w:r>
      <w:r w:rsidR="00033D0F">
        <w:t>exchange</w:t>
      </w:r>
      <w:r w:rsidR="00033D0F">
        <w:rPr>
          <w:spacing w:val="-12"/>
        </w:rPr>
        <w:t xml:space="preserve"> </w:t>
      </w:r>
      <w:r w:rsidR="00033D0F">
        <w:t>rate</w:t>
      </w:r>
      <w:r w:rsidR="00033D0F">
        <w:rPr>
          <w:spacing w:val="-13"/>
        </w:rPr>
        <w:t xml:space="preserve"> </w:t>
      </w:r>
      <w:r w:rsidR="00033D0F">
        <w:t>fluctuations and non-price factors impacting domestic consumer decisions in its non-attribution analysis,</w:t>
      </w:r>
      <w:hyperlink w:anchor="_bookmark1760" w:history="1">
        <w:r w:rsidR="00033D0F">
          <w:rPr>
            <w:vertAlign w:val="superscript"/>
          </w:rPr>
          <w:t>1533</w:t>
        </w:r>
      </w:hyperlink>
      <w:r w:rsidR="00033D0F">
        <w:t xml:space="preserve"> because it did not list these specific factors in its panel request.</w:t>
      </w:r>
    </w:p>
    <w:p w14:paraId="55C9FC4D" w14:textId="4BF4DBE8" w:rsidR="00BD462C" w:rsidRDefault="005930FF">
      <w:pPr>
        <w:pStyle w:val="BodyText"/>
        <w:spacing w:before="175" w:line="357" w:lineRule="auto"/>
        <w:ind w:left="136" w:right="908"/>
        <w:jc w:val="both"/>
      </w:pPr>
      <w:r>
        <w:rPr>
          <w:noProof/>
        </w:rPr>
        <w:t>25.</w:t>
      </w:r>
      <w:r w:rsidR="00033D0F">
        <w:rPr>
          <w:rFonts w:ascii="Times New Roman"/>
          <w:spacing w:val="80"/>
          <w:position w:val="1"/>
          <w:sz w:val="20"/>
        </w:rPr>
        <w:t xml:space="preserve">   </w:t>
      </w:r>
      <w:r w:rsidR="00033D0F">
        <w:rPr>
          <w:position w:val="1"/>
        </w:rPr>
        <w:t>China identified all three arguments as claims.</w:t>
      </w:r>
      <w:hyperlink w:anchor="_bookmark1761" w:history="1">
        <w:r w:rsidR="00033D0F">
          <w:rPr>
            <w:position w:val="1"/>
            <w:vertAlign w:val="superscript"/>
          </w:rPr>
          <w:t>1534</w:t>
        </w:r>
      </w:hyperlink>
      <w:r w:rsidR="00033D0F">
        <w:rPr>
          <w:position w:val="1"/>
        </w:rPr>
        <w:t xml:space="preserve"> They are not: Australia's claim is </w:t>
      </w:r>
      <w:r w:rsidR="00033D0F">
        <w:t>that</w:t>
      </w:r>
      <w:r w:rsidR="00033D0F">
        <w:rPr>
          <w:spacing w:val="-14"/>
        </w:rPr>
        <w:t xml:space="preserve"> </w:t>
      </w:r>
      <w:r w:rsidR="00033D0F">
        <w:t>China</w:t>
      </w:r>
      <w:r w:rsidR="00033D0F">
        <w:rPr>
          <w:spacing w:val="-14"/>
        </w:rPr>
        <w:t xml:space="preserve"> </w:t>
      </w:r>
      <w:r w:rsidR="00033D0F">
        <w:t>acted</w:t>
      </w:r>
      <w:r w:rsidR="00033D0F">
        <w:rPr>
          <w:spacing w:val="-13"/>
        </w:rPr>
        <w:t xml:space="preserve"> </w:t>
      </w:r>
      <w:r w:rsidR="00033D0F">
        <w:t>inconsistently</w:t>
      </w:r>
      <w:r w:rsidR="00033D0F">
        <w:rPr>
          <w:spacing w:val="-14"/>
        </w:rPr>
        <w:t xml:space="preserve"> </w:t>
      </w:r>
      <w:r w:rsidR="00033D0F">
        <w:t>with</w:t>
      </w:r>
      <w:r w:rsidR="00033D0F">
        <w:rPr>
          <w:spacing w:val="-13"/>
        </w:rPr>
        <w:t xml:space="preserve"> </w:t>
      </w:r>
      <w:r w:rsidR="00033D0F">
        <w:t>Articles</w:t>
      </w:r>
      <w:r w:rsidR="00033D0F">
        <w:rPr>
          <w:spacing w:val="-12"/>
        </w:rPr>
        <w:t xml:space="preserve"> </w:t>
      </w:r>
      <w:r w:rsidR="00033D0F">
        <w:t>3.1</w:t>
      </w:r>
      <w:r w:rsidR="00033D0F">
        <w:rPr>
          <w:spacing w:val="-13"/>
        </w:rPr>
        <w:t xml:space="preserve"> </w:t>
      </w:r>
      <w:r w:rsidR="00033D0F">
        <w:t>and</w:t>
      </w:r>
      <w:r w:rsidR="00033D0F">
        <w:rPr>
          <w:spacing w:val="-14"/>
        </w:rPr>
        <w:t xml:space="preserve"> </w:t>
      </w:r>
      <w:r w:rsidR="00033D0F">
        <w:t>3.5</w:t>
      </w:r>
      <w:r w:rsidR="00033D0F">
        <w:rPr>
          <w:spacing w:val="-14"/>
        </w:rPr>
        <w:t xml:space="preserve"> </w:t>
      </w:r>
      <w:r w:rsidR="00033D0F">
        <w:t>because</w:t>
      </w:r>
      <w:r w:rsidR="00033D0F">
        <w:rPr>
          <w:spacing w:val="-12"/>
        </w:rPr>
        <w:t xml:space="preserve"> </w:t>
      </w:r>
      <w:r w:rsidR="00033D0F">
        <w:t>MOFCOM</w:t>
      </w:r>
      <w:r w:rsidR="00033D0F">
        <w:rPr>
          <w:spacing w:val="-12"/>
        </w:rPr>
        <w:t xml:space="preserve"> </w:t>
      </w:r>
      <w:r w:rsidR="00033D0F">
        <w:t>failed</w:t>
      </w:r>
      <w:r w:rsidR="00033D0F">
        <w:rPr>
          <w:spacing w:val="-14"/>
        </w:rPr>
        <w:t xml:space="preserve"> </w:t>
      </w:r>
      <w:r w:rsidR="00033D0F">
        <w:t xml:space="preserve">demonstrate that the allegedly dumped imports of bottled wine from Australia caused injury to the domestic industry. The "new claims" that China identifies are, in fact, the component arguments that demonstrate Australia's claim that China's anti-dumping measure is inconsistent with Articles 3.1 and 3.5. These elements are properly </w:t>
      </w:r>
      <w:proofErr w:type="spellStart"/>
      <w:r w:rsidR="00033D0F">
        <w:t>characterised</w:t>
      </w:r>
      <w:proofErr w:type="spellEnd"/>
      <w:r w:rsidR="00033D0F">
        <w:t xml:space="preserve"> as arguments or evidence, and their specific reference is not required in a panel request.</w:t>
      </w:r>
    </w:p>
    <w:p w14:paraId="40E1052B" w14:textId="77777777" w:rsidR="00BD462C" w:rsidRDefault="00BD462C">
      <w:pPr>
        <w:pStyle w:val="BodyText"/>
        <w:spacing w:before="3"/>
        <w:rPr>
          <w:sz w:val="9"/>
        </w:rPr>
      </w:pPr>
    </w:p>
    <w:p w14:paraId="13900B61" w14:textId="3E51352B" w:rsidR="00BD462C" w:rsidRDefault="005930FF">
      <w:pPr>
        <w:pStyle w:val="BodyText"/>
        <w:spacing w:before="56" w:line="360" w:lineRule="auto"/>
        <w:ind w:left="135" w:right="908"/>
        <w:jc w:val="both"/>
      </w:pPr>
      <w:r>
        <w:rPr>
          <w:noProof/>
        </w:rPr>
        <w:t>26.</w:t>
      </w:r>
      <w:r w:rsidR="00033D0F">
        <w:rPr>
          <w:rFonts w:ascii="Times New Roman"/>
          <w:spacing w:val="80"/>
          <w:w w:val="150"/>
          <w:position w:val="1"/>
          <w:sz w:val="20"/>
        </w:rPr>
        <w:t xml:space="preserve"> </w:t>
      </w:r>
      <w:r w:rsidR="00033D0F">
        <w:rPr>
          <w:position w:val="1"/>
        </w:rPr>
        <w:t xml:space="preserve">Moreover, China asserts that MOFCOM did not need to conduct an "objective </w:t>
      </w:r>
      <w:r w:rsidR="00033D0F">
        <w:t>examination" in relation to other known factors that it did not actually consider.</w:t>
      </w:r>
      <w:hyperlink w:anchor="_bookmark1762" w:history="1">
        <w:r w:rsidR="00033D0F">
          <w:rPr>
            <w:vertAlign w:val="superscript"/>
          </w:rPr>
          <w:t>1535</w:t>
        </w:r>
      </w:hyperlink>
      <w:r w:rsidR="00033D0F">
        <w:t xml:space="preserve"> In Australia's</w:t>
      </w:r>
      <w:r w:rsidR="00033D0F">
        <w:rPr>
          <w:spacing w:val="-1"/>
        </w:rPr>
        <w:t xml:space="preserve"> </w:t>
      </w:r>
      <w:r w:rsidR="00033D0F">
        <w:t>view, this</w:t>
      </w:r>
      <w:r w:rsidR="00033D0F">
        <w:rPr>
          <w:spacing w:val="-6"/>
        </w:rPr>
        <w:t xml:space="preserve"> </w:t>
      </w:r>
      <w:r w:rsidR="00033D0F">
        <w:t>is</w:t>
      </w:r>
      <w:r w:rsidR="00033D0F">
        <w:rPr>
          <w:spacing w:val="-1"/>
        </w:rPr>
        <w:t xml:space="preserve"> </w:t>
      </w:r>
      <w:r w:rsidR="00033D0F">
        <w:t>a</w:t>
      </w:r>
      <w:r w:rsidR="00033D0F">
        <w:rPr>
          <w:spacing w:val="-3"/>
        </w:rPr>
        <w:t xml:space="preserve"> </w:t>
      </w:r>
      <w:r w:rsidR="00033D0F">
        <w:t>circular</w:t>
      </w:r>
      <w:r w:rsidR="00033D0F">
        <w:rPr>
          <w:spacing w:val="-5"/>
        </w:rPr>
        <w:t xml:space="preserve"> </w:t>
      </w:r>
      <w:r w:rsidR="00033D0F">
        <w:t>argument</w:t>
      </w:r>
      <w:r w:rsidR="00033D0F">
        <w:rPr>
          <w:spacing w:val="-2"/>
        </w:rPr>
        <w:t xml:space="preserve"> </w:t>
      </w:r>
      <w:r w:rsidR="00033D0F">
        <w:t>that</w:t>
      </w:r>
      <w:r w:rsidR="00033D0F">
        <w:rPr>
          <w:spacing w:val="-2"/>
        </w:rPr>
        <w:t xml:space="preserve"> </w:t>
      </w:r>
      <w:r w:rsidR="00033D0F">
        <w:t>does</w:t>
      </w:r>
      <w:r w:rsidR="00033D0F">
        <w:rPr>
          <w:spacing w:val="-1"/>
        </w:rPr>
        <w:t xml:space="preserve"> </w:t>
      </w:r>
      <w:r w:rsidR="00033D0F">
        <w:t>not</w:t>
      </w:r>
      <w:r w:rsidR="00033D0F">
        <w:rPr>
          <w:spacing w:val="-2"/>
        </w:rPr>
        <w:t xml:space="preserve"> </w:t>
      </w:r>
      <w:r w:rsidR="00033D0F">
        <w:t>make</w:t>
      </w:r>
      <w:r w:rsidR="00033D0F">
        <w:rPr>
          <w:spacing w:val="-2"/>
        </w:rPr>
        <w:t xml:space="preserve"> </w:t>
      </w:r>
      <w:r w:rsidR="00033D0F">
        <w:t>sense</w:t>
      </w:r>
      <w:r w:rsidR="00033D0F">
        <w:rPr>
          <w:spacing w:val="-2"/>
        </w:rPr>
        <w:t xml:space="preserve"> </w:t>
      </w:r>
      <w:r w:rsidR="00033D0F">
        <w:t>and</w:t>
      </w:r>
      <w:r w:rsidR="00033D0F">
        <w:rPr>
          <w:spacing w:val="-4"/>
        </w:rPr>
        <w:t xml:space="preserve"> </w:t>
      </w:r>
      <w:r w:rsidR="00033D0F">
        <w:t>fails</w:t>
      </w:r>
      <w:r w:rsidR="00033D0F">
        <w:rPr>
          <w:spacing w:val="-1"/>
        </w:rPr>
        <w:t xml:space="preserve"> </w:t>
      </w:r>
      <w:r w:rsidR="00033D0F">
        <w:t>to</w:t>
      </w:r>
      <w:r w:rsidR="00033D0F">
        <w:rPr>
          <w:spacing w:val="-5"/>
        </w:rPr>
        <w:t xml:space="preserve"> </w:t>
      </w:r>
      <w:r w:rsidR="00033D0F">
        <w:t>engage</w:t>
      </w:r>
      <w:r w:rsidR="00033D0F">
        <w:rPr>
          <w:spacing w:val="-2"/>
        </w:rPr>
        <w:t xml:space="preserve"> </w:t>
      </w:r>
      <w:r w:rsidR="00033D0F">
        <w:t>with Australia's arguments on their merits. China misunderstands the Article 3.1 obligation to conduct an objective examination. This obligation captures circumstances where an investigating</w:t>
      </w:r>
      <w:r w:rsidR="00033D0F">
        <w:rPr>
          <w:spacing w:val="-1"/>
        </w:rPr>
        <w:t xml:space="preserve"> </w:t>
      </w:r>
      <w:r w:rsidR="00033D0F">
        <w:t>authority</w:t>
      </w:r>
      <w:r w:rsidR="00033D0F">
        <w:rPr>
          <w:spacing w:val="-1"/>
        </w:rPr>
        <w:t xml:space="preserve"> </w:t>
      </w:r>
      <w:r w:rsidR="00033D0F">
        <w:t>ignores, or</w:t>
      </w:r>
      <w:r w:rsidR="00033D0F">
        <w:rPr>
          <w:spacing w:val="-5"/>
        </w:rPr>
        <w:t xml:space="preserve"> </w:t>
      </w:r>
      <w:r w:rsidR="00033D0F">
        <w:t>failed</w:t>
      </w:r>
      <w:r w:rsidR="00033D0F">
        <w:rPr>
          <w:spacing w:val="-4"/>
        </w:rPr>
        <w:t xml:space="preserve"> </w:t>
      </w:r>
      <w:r w:rsidR="00033D0F">
        <w:t>to</w:t>
      </w:r>
      <w:r w:rsidR="00033D0F">
        <w:rPr>
          <w:spacing w:val="-5"/>
        </w:rPr>
        <w:t xml:space="preserve"> </w:t>
      </w:r>
      <w:r w:rsidR="00033D0F">
        <w:t>evaluate, relevant</w:t>
      </w:r>
      <w:r w:rsidR="00033D0F">
        <w:rPr>
          <w:spacing w:val="-2"/>
        </w:rPr>
        <w:t xml:space="preserve"> </w:t>
      </w:r>
      <w:r w:rsidR="00033D0F">
        <w:t>evidence.</w:t>
      </w:r>
      <w:hyperlink w:anchor="_bookmark1763" w:history="1">
        <w:r w:rsidR="00033D0F">
          <w:rPr>
            <w:vertAlign w:val="superscript"/>
          </w:rPr>
          <w:t>1536</w:t>
        </w:r>
      </w:hyperlink>
      <w:r w:rsidR="00033D0F">
        <w:rPr>
          <w:spacing w:val="-2"/>
        </w:rPr>
        <w:t xml:space="preserve"> </w:t>
      </w:r>
      <w:r w:rsidR="00033D0F">
        <w:t>Australia</w:t>
      </w:r>
      <w:r w:rsidR="00033D0F">
        <w:rPr>
          <w:spacing w:val="-3"/>
        </w:rPr>
        <w:t xml:space="preserve"> </w:t>
      </w:r>
      <w:r w:rsidR="00033D0F">
        <w:t>noted</w:t>
      </w:r>
      <w:r w:rsidR="00033D0F">
        <w:rPr>
          <w:spacing w:val="-4"/>
        </w:rPr>
        <w:t xml:space="preserve"> </w:t>
      </w:r>
      <w:r w:rsidR="00033D0F">
        <w:t>in</w:t>
      </w:r>
    </w:p>
    <w:p w14:paraId="18114A07" w14:textId="77777777" w:rsidR="00BD462C" w:rsidRDefault="00BD462C">
      <w:pPr>
        <w:pStyle w:val="BodyText"/>
        <w:rPr>
          <w:sz w:val="20"/>
        </w:rPr>
      </w:pPr>
    </w:p>
    <w:p w14:paraId="6A51B473" w14:textId="467D5C64" w:rsidR="00BD462C" w:rsidRDefault="00E14314">
      <w:pPr>
        <w:pStyle w:val="BodyText"/>
        <w:spacing w:before="8"/>
        <w:rPr>
          <w:sz w:val="20"/>
        </w:rPr>
      </w:pPr>
      <w:r>
        <w:rPr>
          <w:noProof/>
        </w:rPr>
        <mc:AlternateContent>
          <mc:Choice Requires="wps">
            <w:drawing>
              <wp:anchor distT="0" distB="0" distL="0" distR="0" simplePos="0" relativeHeight="488096256" behindDoc="1" locked="0" layoutInCell="1" allowOverlap="1" wp14:anchorId="524E3820" wp14:editId="1DCC0EA0">
                <wp:simplePos x="0" y="0"/>
                <wp:positionH relativeFrom="page">
                  <wp:posOffset>812800</wp:posOffset>
                </wp:positionH>
                <wp:positionV relativeFrom="paragraph">
                  <wp:posOffset>160655</wp:posOffset>
                </wp:positionV>
                <wp:extent cx="1828800" cy="8890"/>
                <wp:effectExtent l="0" t="0" r="0" b="0"/>
                <wp:wrapTopAndBottom/>
                <wp:docPr id="70" name="docshape7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90DDBA" id="docshape705" o:spid="_x0000_s1026" alt="&quot;&quot;" style="position:absolute;margin-left:64pt;margin-top:12.65pt;width:2in;height:.7pt;z-index:-15220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" fillcolor="black" stroked="f">
                <w10:wrap type="topAndBottom" anchorx="page"/>
              </v:rect>
            </w:pict>
          </mc:Fallback>
        </mc:AlternateContent>
      </w:r>
    </w:p>
    <w:p w14:paraId="5B848BAC" w14:textId="77777777" w:rsidR="00BD462C" w:rsidRDefault="00033D0F">
      <w:pPr>
        <w:spacing w:before="112"/>
        <w:ind w:left="135"/>
        <w:rPr>
          <w:sz w:val="18"/>
        </w:rPr>
      </w:pPr>
      <w:bookmarkStart w:id="2040" w:name="_bookmark1756"/>
      <w:bookmarkEnd w:id="2040"/>
      <w:r>
        <w:rPr>
          <w:position w:val="5"/>
          <w:sz w:val="12"/>
        </w:rPr>
        <w:t>1529</w:t>
      </w:r>
      <w:r>
        <w:rPr>
          <w:spacing w:val="11"/>
          <w:position w:val="5"/>
          <w:sz w:val="12"/>
        </w:rPr>
        <w:t xml:space="preserve"> </w:t>
      </w:r>
      <w:r>
        <w:rPr>
          <w:sz w:val="18"/>
        </w:rPr>
        <w:t>China's</w:t>
      </w:r>
      <w:r>
        <w:rPr>
          <w:spacing w:val="-6"/>
          <w:sz w:val="18"/>
        </w:rPr>
        <w:t xml:space="preserve"> </w:t>
      </w:r>
      <w:r>
        <w:rPr>
          <w:sz w:val="18"/>
        </w:rPr>
        <w:t>first</w:t>
      </w:r>
      <w:r>
        <w:rPr>
          <w:spacing w:val="-6"/>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paras.</w:t>
      </w:r>
      <w:r>
        <w:rPr>
          <w:spacing w:val="-5"/>
          <w:sz w:val="18"/>
        </w:rPr>
        <w:t xml:space="preserve"> </w:t>
      </w:r>
      <w:r>
        <w:rPr>
          <w:sz w:val="18"/>
        </w:rPr>
        <w:t>118,</w:t>
      </w:r>
      <w:r>
        <w:rPr>
          <w:spacing w:val="-5"/>
          <w:sz w:val="18"/>
        </w:rPr>
        <w:t xml:space="preserve"> </w:t>
      </w:r>
      <w:r>
        <w:rPr>
          <w:sz w:val="18"/>
        </w:rPr>
        <w:t>1678, 1680-</w:t>
      </w:r>
      <w:r>
        <w:rPr>
          <w:spacing w:val="-4"/>
          <w:sz w:val="18"/>
        </w:rPr>
        <w:t>1685.</w:t>
      </w:r>
    </w:p>
    <w:p w14:paraId="06EF34E8" w14:textId="77777777" w:rsidR="00BD462C" w:rsidRDefault="00033D0F">
      <w:pPr>
        <w:spacing w:before="1"/>
        <w:ind w:left="135"/>
        <w:rPr>
          <w:sz w:val="18"/>
        </w:rPr>
      </w:pPr>
      <w:bookmarkStart w:id="2041" w:name="_bookmark1757"/>
      <w:bookmarkEnd w:id="2041"/>
      <w:r>
        <w:rPr>
          <w:position w:val="5"/>
          <w:sz w:val="12"/>
        </w:rPr>
        <w:t>1530</w:t>
      </w:r>
      <w:r>
        <w:rPr>
          <w:spacing w:val="12"/>
          <w:position w:val="5"/>
          <w:sz w:val="12"/>
        </w:rPr>
        <w:t xml:space="preserve"> </w:t>
      </w:r>
      <w:r>
        <w:rPr>
          <w:sz w:val="18"/>
        </w:rPr>
        <w:t>Australia's</w:t>
      </w:r>
      <w:r>
        <w:rPr>
          <w:spacing w:val="-1"/>
          <w:sz w:val="18"/>
        </w:rPr>
        <w:t xml:space="preserve"> </w:t>
      </w:r>
      <w:r>
        <w:rPr>
          <w:sz w:val="18"/>
        </w:rPr>
        <w:t>response</w:t>
      </w:r>
      <w:r>
        <w:rPr>
          <w:spacing w:val="-6"/>
          <w:sz w:val="18"/>
        </w:rPr>
        <w:t xml:space="preserve"> </w:t>
      </w:r>
      <w:r>
        <w:rPr>
          <w:sz w:val="18"/>
        </w:rPr>
        <w:t>to</w:t>
      </w:r>
      <w:r>
        <w:rPr>
          <w:spacing w:val="-3"/>
          <w:sz w:val="18"/>
        </w:rPr>
        <w:t xml:space="preserve"> </w:t>
      </w:r>
      <w:r>
        <w:rPr>
          <w:sz w:val="18"/>
        </w:rPr>
        <w:t>China's</w:t>
      </w:r>
      <w:r>
        <w:rPr>
          <w:spacing w:val="-6"/>
          <w:sz w:val="18"/>
        </w:rPr>
        <w:t xml:space="preserve"> </w:t>
      </w:r>
      <w:r>
        <w:rPr>
          <w:sz w:val="18"/>
        </w:rPr>
        <w:t>PRR,</w:t>
      </w:r>
      <w:r>
        <w:rPr>
          <w:spacing w:val="-4"/>
          <w:sz w:val="18"/>
        </w:rPr>
        <w:t xml:space="preserve"> </w:t>
      </w:r>
      <w:r>
        <w:rPr>
          <w:sz w:val="18"/>
        </w:rPr>
        <w:t>paras.</w:t>
      </w:r>
      <w:r>
        <w:rPr>
          <w:spacing w:val="-5"/>
          <w:sz w:val="18"/>
        </w:rPr>
        <w:t xml:space="preserve"> </w:t>
      </w:r>
      <w:r>
        <w:rPr>
          <w:sz w:val="18"/>
        </w:rPr>
        <w:t>212-220;</w:t>
      </w:r>
      <w:r>
        <w:rPr>
          <w:spacing w:val="-8"/>
          <w:sz w:val="18"/>
        </w:rPr>
        <w:t xml:space="preserve"> </w:t>
      </w:r>
      <w:r>
        <w:rPr>
          <w:sz w:val="18"/>
        </w:rPr>
        <w:t>see</w:t>
      </w:r>
      <w:r>
        <w:rPr>
          <w:spacing w:val="-2"/>
          <w:sz w:val="18"/>
        </w:rPr>
        <w:t xml:space="preserve"> </w:t>
      </w:r>
      <w:r>
        <w:rPr>
          <w:sz w:val="18"/>
        </w:rPr>
        <w:t>above,</w:t>
      </w:r>
      <w:r>
        <w:rPr>
          <w:spacing w:val="-4"/>
          <w:sz w:val="18"/>
        </w:rPr>
        <w:t xml:space="preserve"> </w:t>
      </w:r>
      <w:r>
        <w:rPr>
          <w:sz w:val="18"/>
        </w:rPr>
        <w:t>paras.</w:t>
      </w:r>
      <w:r>
        <w:rPr>
          <w:spacing w:val="-1"/>
          <w:sz w:val="18"/>
        </w:rPr>
        <w:t xml:space="preserve"> </w:t>
      </w:r>
      <w:hyperlink w:anchor="_bookmark81" w:history="1">
        <w:r>
          <w:rPr>
            <w:sz w:val="18"/>
          </w:rPr>
          <w:t>42</w:t>
        </w:r>
      </w:hyperlink>
      <w:hyperlink w:anchor="_bookmark82" w:history="1">
        <w:r>
          <w:rPr>
            <w:sz w:val="18"/>
          </w:rPr>
          <w:t>-</w:t>
        </w:r>
        <w:r>
          <w:rPr>
            <w:spacing w:val="-5"/>
            <w:sz w:val="18"/>
          </w:rPr>
          <w:t>43.</w:t>
        </w:r>
      </w:hyperlink>
    </w:p>
    <w:p w14:paraId="21CD5F95" w14:textId="77777777" w:rsidR="00BD462C" w:rsidRDefault="00033D0F">
      <w:pPr>
        <w:spacing w:before="1"/>
        <w:ind w:left="135"/>
        <w:rPr>
          <w:sz w:val="18"/>
        </w:rPr>
      </w:pPr>
      <w:bookmarkStart w:id="2042" w:name="_bookmark1758"/>
      <w:bookmarkEnd w:id="2042"/>
      <w:r>
        <w:rPr>
          <w:position w:val="5"/>
          <w:sz w:val="12"/>
        </w:rPr>
        <w:t>1531</w:t>
      </w:r>
      <w:r>
        <w:rPr>
          <w:spacing w:val="12"/>
          <w:position w:val="5"/>
          <w:sz w:val="12"/>
        </w:rPr>
        <w:t xml:space="preserve"> </w:t>
      </w:r>
      <w:r>
        <w:rPr>
          <w:sz w:val="18"/>
        </w:rPr>
        <w:t>China's</w:t>
      </w:r>
      <w:r>
        <w:rPr>
          <w:spacing w:val="-7"/>
          <w:sz w:val="18"/>
        </w:rPr>
        <w:t xml:space="preserve"> </w:t>
      </w:r>
      <w:r>
        <w:rPr>
          <w:sz w:val="18"/>
        </w:rPr>
        <w:t>first</w:t>
      </w:r>
      <w:r>
        <w:rPr>
          <w:spacing w:val="-5"/>
          <w:sz w:val="18"/>
        </w:rPr>
        <w:t xml:space="preserve"> </w:t>
      </w:r>
      <w:r>
        <w:rPr>
          <w:sz w:val="18"/>
        </w:rPr>
        <w:t>written</w:t>
      </w:r>
      <w:r>
        <w:rPr>
          <w:spacing w:val="-7"/>
          <w:sz w:val="18"/>
        </w:rPr>
        <w:t xml:space="preserve"> </w:t>
      </w:r>
      <w:r>
        <w:rPr>
          <w:sz w:val="18"/>
        </w:rPr>
        <w:t>submission</w:t>
      </w:r>
      <w:r>
        <w:rPr>
          <w:spacing w:val="-7"/>
          <w:sz w:val="18"/>
        </w:rPr>
        <w:t xml:space="preserve"> </w:t>
      </w:r>
      <w:r>
        <w:rPr>
          <w:sz w:val="18"/>
        </w:rPr>
        <w:t>paras.</w:t>
      </w:r>
      <w:r>
        <w:rPr>
          <w:spacing w:val="-1"/>
          <w:sz w:val="18"/>
        </w:rPr>
        <w:t xml:space="preserve"> </w:t>
      </w:r>
      <w:r>
        <w:rPr>
          <w:sz w:val="18"/>
        </w:rPr>
        <w:t>1678, 1680-</w:t>
      </w:r>
      <w:r>
        <w:rPr>
          <w:spacing w:val="-2"/>
          <w:sz w:val="18"/>
        </w:rPr>
        <w:t>1685.</w:t>
      </w:r>
    </w:p>
    <w:p w14:paraId="5ED88C8D" w14:textId="77777777" w:rsidR="00BD462C" w:rsidRDefault="00033D0F">
      <w:pPr>
        <w:spacing w:before="2" w:line="237" w:lineRule="auto"/>
        <w:ind w:left="135" w:right="2561"/>
        <w:jc w:val="both"/>
        <w:rPr>
          <w:sz w:val="18"/>
        </w:rPr>
      </w:pPr>
      <w:bookmarkStart w:id="2043" w:name="_bookmark1759"/>
      <w:bookmarkEnd w:id="2043"/>
      <w:r>
        <w:rPr>
          <w:position w:val="5"/>
          <w:sz w:val="12"/>
        </w:rPr>
        <w:t>1532</w:t>
      </w:r>
      <w:r>
        <w:rPr>
          <w:spacing w:val="15"/>
          <w:position w:val="5"/>
          <w:sz w:val="12"/>
        </w:rPr>
        <w:t xml:space="preserve"> </w:t>
      </w:r>
      <w:r>
        <w:rPr>
          <w:sz w:val="18"/>
        </w:rPr>
        <w:t>China's</w:t>
      </w:r>
      <w:r>
        <w:rPr>
          <w:spacing w:val="-4"/>
          <w:sz w:val="18"/>
        </w:rPr>
        <w:t xml:space="preserve"> </w:t>
      </w:r>
      <w:r>
        <w:rPr>
          <w:sz w:val="18"/>
        </w:rPr>
        <w:t>first</w:t>
      </w:r>
      <w:r>
        <w:rPr>
          <w:spacing w:val="-3"/>
          <w:sz w:val="18"/>
        </w:rPr>
        <w:t xml:space="preserve"> </w:t>
      </w:r>
      <w:r>
        <w:rPr>
          <w:sz w:val="18"/>
        </w:rPr>
        <w:t>written</w:t>
      </w:r>
      <w:r>
        <w:rPr>
          <w:spacing w:val="-5"/>
          <w:sz w:val="18"/>
        </w:rPr>
        <w:t xml:space="preserve"> </w:t>
      </w:r>
      <w:r>
        <w:rPr>
          <w:sz w:val="18"/>
        </w:rPr>
        <w:t>submission, paras.</w:t>
      </w:r>
      <w:r>
        <w:rPr>
          <w:spacing w:val="-3"/>
          <w:sz w:val="18"/>
        </w:rPr>
        <w:t xml:space="preserve"> </w:t>
      </w:r>
      <w:r>
        <w:rPr>
          <w:sz w:val="18"/>
        </w:rPr>
        <w:t>1678,</w:t>
      </w:r>
      <w:r>
        <w:rPr>
          <w:spacing w:val="-2"/>
          <w:sz w:val="18"/>
        </w:rPr>
        <w:t xml:space="preserve"> </w:t>
      </w:r>
      <w:r>
        <w:rPr>
          <w:sz w:val="18"/>
        </w:rPr>
        <w:t>1686-1691;</w:t>
      </w:r>
      <w:r>
        <w:rPr>
          <w:spacing w:val="-6"/>
          <w:sz w:val="18"/>
        </w:rPr>
        <w:t xml:space="preserve"> </w:t>
      </w:r>
      <w:r>
        <w:rPr>
          <w:sz w:val="18"/>
        </w:rPr>
        <w:t>see</w:t>
      </w:r>
      <w:r>
        <w:rPr>
          <w:spacing w:val="-4"/>
          <w:sz w:val="18"/>
        </w:rPr>
        <w:t xml:space="preserve"> </w:t>
      </w:r>
      <w:r>
        <w:rPr>
          <w:sz w:val="18"/>
        </w:rPr>
        <w:t>Australia's</w:t>
      </w:r>
      <w:r>
        <w:rPr>
          <w:spacing w:val="-4"/>
          <w:sz w:val="18"/>
        </w:rPr>
        <w:t xml:space="preserve"> </w:t>
      </w:r>
      <w:r>
        <w:rPr>
          <w:sz w:val="18"/>
        </w:rPr>
        <w:t>panel request,</w:t>
      </w:r>
      <w:r>
        <w:rPr>
          <w:spacing w:val="-2"/>
          <w:sz w:val="18"/>
        </w:rPr>
        <w:t xml:space="preserve"> </w:t>
      </w:r>
      <w:r>
        <w:rPr>
          <w:sz w:val="18"/>
        </w:rPr>
        <w:t>para.</w:t>
      </w:r>
      <w:r>
        <w:rPr>
          <w:spacing w:val="-8"/>
          <w:sz w:val="18"/>
        </w:rPr>
        <w:t xml:space="preserve"> </w:t>
      </w:r>
      <w:r>
        <w:rPr>
          <w:sz w:val="18"/>
        </w:rPr>
        <w:t xml:space="preserve">(xxi). </w:t>
      </w:r>
      <w:bookmarkStart w:id="2044" w:name="_bookmark1760"/>
      <w:bookmarkEnd w:id="2044"/>
      <w:r>
        <w:rPr>
          <w:position w:val="5"/>
          <w:sz w:val="12"/>
        </w:rPr>
        <w:t>1533</w:t>
      </w:r>
      <w:r>
        <w:rPr>
          <w:spacing w:val="15"/>
          <w:position w:val="5"/>
          <w:sz w:val="12"/>
        </w:rPr>
        <w:t xml:space="preserve"> </w:t>
      </w:r>
      <w:r>
        <w:rPr>
          <w:sz w:val="18"/>
        </w:rPr>
        <w:t>China's</w:t>
      </w:r>
      <w:r>
        <w:rPr>
          <w:spacing w:val="-4"/>
          <w:sz w:val="18"/>
        </w:rPr>
        <w:t xml:space="preserve"> </w:t>
      </w:r>
      <w:r>
        <w:rPr>
          <w:sz w:val="18"/>
        </w:rPr>
        <w:t>first</w:t>
      </w:r>
      <w:r>
        <w:rPr>
          <w:spacing w:val="-3"/>
          <w:sz w:val="18"/>
        </w:rPr>
        <w:t xml:space="preserve"> </w:t>
      </w:r>
      <w:r>
        <w:rPr>
          <w:sz w:val="18"/>
        </w:rPr>
        <w:t>written</w:t>
      </w:r>
      <w:r>
        <w:rPr>
          <w:spacing w:val="-5"/>
          <w:sz w:val="18"/>
        </w:rPr>
        <w:t xml:space="preserve"> </w:t>
      </w:r>
      <w:r>
        <w:rPr>
          <w:sz w:val="18"/>
        </w:rPr>
        <w:t>submission, paras.</w:t>
      </w:r>
      <w:r>
        <w:rPr>
          <w:spacing w:val="-3"/>
          <w:sz w:val="18"/>
        </w:rPr>
        <w:t xml:space="preserve"> </w:t>
      </w:r>
      <w:r>
        <w:rPr>
          <w:sz w:val="18"/>
        </w:rPr>
        <w:t>1678,</w:t>
      </w:r>
      <w:r>
        <w:rPr>
          <w:spacing w:val="-2"/>
          <w:sz w:val="18"/>
        </w:rPr>
        <w:t xml:space="preserve"> </w:t>
      </w:r>
      <w:r>
        <w:rPr>
          <w:sz w:val="18"/>
        </w:rPr>
        <w:t>1692-1712;</w:t>
      </w:r>
      <w:r>
        <w:rPr>
          <w:spacing w:val="-6"/>
          <w:sz w:val="18"/>
        </w:rPr>
        <w:t xml:space="preserve"> </w:t>
      </w:r>
      <w:r>
        <w:rPr>
          <w:sz w:val="18"/>
        </w:rPr>
        <w:t>see</w:t>
      </w:r>
      <w:r>
        <w:rPr>
          <w:spacing w:val="-4"/>
          <w:sz w:val="18"/>
        </w:rPr>
        <w:t xml:space="preserve"> </w:t>
      </w:r>
      <w:r>
        <w:rPr>
          <w:sz w:val="18"/>
        </w:rPr>
        <w:t>Australia's</w:t>
      </w:r>
      <w:r>
        <w:rPr>
          <w:spacing w:val="-4"/>
          <w:sz w:val="18"/>
        </w:rPr>
        <w:t xml:space="preserve"> </w:t>
      </w:r>
      <w:r>
        <w:rPr>
          <w:sz w:val="18"/>
        </w:rPr>
        <w:t>panel request,</w:t>
      </w:r>
      <w:r>
        <w:rPr>
          <w:spacing w:val="-2"/>
          <w:sz w:val="18"/>
        </w:rPr>
        <w:t xml:space="preserve"> </w:t>
      </w:r>
      <w:r>
        <w:rPr>
          <w:sz w:val="18"/>
        </w:rPr>
        <w:t>para.</w:t>
      </w:r>
      <w:r>
        <w:rPr>
          <w:spacing w:val="-8"/>
          <w:sz w:val="18"/>
        </w:rPr>
        <w:t xml:space="preserve"> </w:t>
      </w:r>
      <w:r>
        <w:rPr>
          <w:sz w:val="18"/>
        </w:rPr>
        <w:t xml:space="preserve">(xxi). </w:t>
      </w:r>
      <w:bookmarkStart w:id="2045" w:name="_bookmark1761"/>
      <w:bookmarkEnd w:id="2045"/>
      <w:r>
        <w:rPr>
          <w:position w:val="5"/>
          <w:sz w:val="12"/>
        </w:rPr>
        <w:t>1534</w:t>
      </w:r>
      <w:r>
        <w:rPr>
          <w:spacing w:val="29"/>
          <w:position w:val="5"/>
          <w:sz w:val="12"/>
        </w:rPr>
        <w:t xml:space="preserve"> </w:t>
      </w:r>
      <w:r>
        <w:rPr>
          <w:sz w:val="18"/>
        </w:rPr>
        <w:t xml:space="preserve">China makes similar errors elsewhere. See above, sections </w:t>
      </w:r>
      <w:hyperlink w:anchor="_bookmark20" w:history="1">
        <w:r>
          <w:rPr>
            <w:sz w:val="18"/>
          </w:rPr>
          <w:t>II.A.1(b)</w:t>
        </w:r>
      </w:hyperlink>
      <w:r>
        <w:rPr>
          <w:sz w:val="18"/>
        </w:rPr>
        <w:t xml:space="preserve"> and </w:t>
      </w:r>
      <w:hyperlink w:anchor="_bookmark38" w:history="1">
        <w:r>
          <w:rPr>
            <w:sz w:val="18"/>
          </w:rPr>
          <w:t>24.</w:t>
        </w:r>
      </w:hyperlink>
    </w:p>
    <w:p w14:paraId="3494EA9E" w14:textId="77777777" w:rsidR="00BD462C" w:rsidRDefault="00033D0F">
      <w:pPr>
        <w:spacing w:before="4"/>
        <w:ind w:left="135"/>
        <w:jc w:val="both"/>
        <w:rPr>
          <w:sz w:val="18"/>
        </w:rPr>
      </w:pPr>
      <w:bookmarkStart w:id="2046" w:name="_bookmark1762"/>
      <w:bookmarkEnd w:id="2046"/>
      <w:r>
        <w:rPr>
          <w:position w:val="5"/>
          <w:sz w:val="12"/>
        </w:rPr>
        <w:t>1535</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paras.</w:t>
      </w:r>
      <w:r>
        <w:rPr>
          <w:spacing w:val="-5"/>
          <w:sz w:val="18"/>
        </w:rPr>
        <w:t xml:space="preserve"> </w:t>
      </w:r>
      <w:r>
        <w:rPr>
          <w:sz w:val="18"/>
        </w:rPr>
        <w:t>1698-</w:t>
      </w:r>
      <w:r>
        <w:rPr>
          <w:spacing w:val="-2"/>
          <w:sz w:val="18"/>
        </w:rPr>
        <w:t>1702.</w:t>
      </w:r>
    </w:p>
    <w:p w14:paraId="4FF990BB" w14:textId="77777777" w:rsidR="00BD462C" w:rsidRDefault="00033D0F">
      <w:pPr>
        <w:spacing w:before="1"/>
        <w:ind w:left="136" w:right="905" w:hanging="1"/>
        <w:jc w:val="both"/>
        <w:rPr>
          <w:sz w:val="18"/>
        </w:rPr>
      </w:pPr>
      <w:bookmarkStart w:id="2047" w:name="_bookmark1763"/>
      <w:bookmarkEnd w:id="2047"/>
      <w:r>
        <w:rPr>
          <w:position w:val="5"/>
          <w:sz w:val="12"/>
        </w:rPr>
        <w:t>1536</w:t>
      </w:r>
      <w:r>
        <w:rPr>
          <w:spacing w:val="17"/>
          <w:position w:val="5"/>
          <w:sz w:val="12"/>
        </w:rPr>
        <w:t xml:space="preserve"> </w:t>
      </w:r>
      <w:r>
        <w:rPr>
          <w:sz w:val="18"/>
        </w:rPr>
        <w:t>See</w:t>
      </w:r>
      <w:r>
        <w:rPr>
          <w:spacing w:val="-2"/>
          <w:sz w:val="18"/>
        </w:rPr>
        <w:t xml:space="preserve"> </w:t>
      </w:r>
      <w:r>
        <w:rPr>
          <w:sz w:val="18"/>
        </w:rPr>
        <w:t>Australia's</w:t>
      </w:r>
      <w:r>
        <w:rPr>
          <w:spacing w:val="-2"/>
          <w:sz w:val="18"/>
        </w:rPr>
        <w:t xml:space="preserve"> </w:t>
      </w:r>
      <w:r>
        <w:rPr>
          <w:sz w:val="18"/>
        </w:rPr>
        <w:t>first</w:t>
      </w:r>
      <w:r>
        <w:rPr>
          <w:spacing w:val="-1"/>
          <w:sz w:val="18"/>
        </w:rPr>
        <w:t xml:space="preserve"> </w:t>
      </w:r>
      <w:r>
        <w:rPr>
          <w:sz w:val="18"/>
        </w:rPr>
        <w:t>written</w:t>
      </w:r>
      <w:r>
        <w:rPr>
          <w:spacing w:val="-3"/>
          <w:sz w:val="18"/>
        </w:rPr>
        <w:t xml:space="preserve"> </w:t>
      </w:r>
      <w:r>
        <w:rPr>
          <w:sz w:val="18"/>
        </w:rPr>
        <w:t>submission, paras.</w:t>
      </w:r>
      <w:r>
        <w:rPr>
          <w:spacing w:val="-1"/>
          <w:sz w:val="18"/>
        </w:rPr>
        <w:t xml:space="preserve"> </w:t>
      </w:r>
      <w:r>
        <w:rPr>
          <w:sz w:val="18"/>
        </w:rPr>
        <w:t>548</w:t>
      </w:r>
      <w:r>
        <w:rPr>
          <w:spacing w:val="-4"/>
          <w:sz w:val="18"/>
        </w:rPr>
        <w:t xml:space="preserve"> </w:t>
      </w:r>
      <w:r>
        <w:rPr>
          <w:sz w:val="18"/>
        </w:rPr>
        <w:t>and</w:t>
      </w:r>
      <w:r>
        <w:rPr>
          <w:spacing w:val="-7"/>
          <w:sz w:val="18"/>
        </w:rPr>
        <w:t xml:space="preserve"> </w:t>
      </w:r>
      <w:r>
        <w:rPr>
          <w:sz w:val="18"/>
        </w:rPr>
        <w:t>footnotes</w:t>
      </w:r>
      <w:r>
        <w:rPr>
          <w:spacing w:val="-2"/>
          <w:sz w:val="18"/>
        </w:rPr>
        <w:t xml:space="preserve"> </w:t>
      </w:r>
      <w:r>
        <w:rPr>
          <w:sz w:val="18"/>
        </w:rPr>
        <w:t>thereto, 564</w:t>
      </w:r>
      <w:r>
        <w:rPr>
          <w:spacing w:val="-4"/>
          <w:sz w:val="18"/>
        </w:rPr>
        <w:t xml:space="preserve"> </w:t>
      </w:r>
      <w:r>
        <w:rPr>
          <w:sz w:val="18"/>
        </w:rPr>
        <w:t>and</w:t>
      </w:r>
      <w:r>
        <w:rPr>
          <w:spacing w:val="-3"/>
          <w:sz w:val="18"/>
        </w:rPr>
        <w:t xml:space="preserve"> </w:t>
      </w:r>
      <w:r>
        <w:rPr>
          <w:sz w:val="18"/>
        </w:rPr>
        <w:t>footnotes</w:t>
      </w:r>
      <w:r>
        <w:rPr>
          <w:spacing w:val="-2"/>
          <w:sz w:val="18"/>
        </w:rPr>
        <w:t xml:space="preserve"> </w:t>
      </w:r>
      <w:r>
        <w:rPr>
          <w:sz w:val="18"/>
        </w:rPr>
        <w:t>thereto, see</w:t>
      </w:r>
      <w:r>
        <w:rPr>
          <w:spacing w:val="-2"/>
          <w:sz w:val="18"/>
        </w:rPr>
        <w:t xml:space="preserve"> </w:t>
      </w:r>
      <w:r>
        <w:rPr>
          <w:sz w:val="18"/>
        </w:rPr>
        <w:t>particularly</w:t>
      </w:r>
      <w:r>
        <w:rPr>
          <w:spacing w:val="-4"/>
          <w:sz w:val="18"/>
        </w:rPr>
        <w:t xml:space="preserve"> </w:t>
      </w:r>
      <w:r>
        <w:rPr>
          <w:sz w:val="18"/>
        </w:rPr>
        <w:t xml:space="preserve">fn. 639 (citing Appellate Body Reports, </w:t>
      </w:r>
      <w:r>
        <w:rPr>
          <w:i/>
          <w:sz w:val="18"/>
        </w:rPr>
        <w:t>China – GOES</w:t>
      </w:r>
      <w:r>
        <w:rPr>
          <w:sz w:val="18"/>
        </w:rPr>
        <w:t xml:space="preserve">, para. 200; </w:t>
      </w:r>
      <w:r>
        <w:rPr>
          <w:i/>
          <w:sz w:val="18"/>
        </w:rPr>
        <w:t xml:space="preserve">Korea – Pneumatic Valves (Japan), </w:t>
      </w:r>
      <w:r>
        <w:rPr>
          <w:sz w:val="18"/>
        </w:rPr>
        <w:t>para. 5.234).</w:t>
      </w:r>
    </w:p>
    <w:p w14:paraId="34322DE7" w14:textId="77777777" w:rsidR="00BD462C" w:rsidRDefault="00BD462C">
      <w:pPr>
        <w:jc w:val="both"/>
        <w:rPr>
          <w:sz w:val="18"/>
        </w:rPr>
        <w:sectPr w:rsidR="00BD462C">
          <w:pgSz w:w="11910" w:h="16840"/>
          <w:pgMar w:top="860" w:right="500" w:bottom="780" w:left="1280" w:header="566" w:footer="590" w:gutter="0"/>
          <w:cols w:space="720"/>
        </w:sectPr>
      </w:pPr>
    </w:p>
    <w:p w14:paraId="0417B3D7"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1C5AE612"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66390565"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3490F11F" w14:textId="77777777" w:rsidR="00BD462C" w:rsidRDefault="00033D0F">
      <w:pPr>
        <w:pStyle w:val="BodyText"/>
        <w:spacing w:before="2" w:line="360" w:lineRule="auto"/>
        <w:ind w:left="135" w:right="916"/>
        <w:jc w:val="both"/>
      </w:pPr>
      <w:r>
        <w:t>its panel request that MOFCOM violated Articles 3.1 and 3.5 in part as it did not "objectively examine</w:t>
      </w:r>
      <w:r>
        <w:rPr>
          <w:spacing w:val="-4"/>
        </w:rPr>
        <w:t xml:space="preserve"> </w:t>
      </w:r>
      <w:r>
        <w:t>other</w:t>
      </w:r>
      <w:r>
        <w:rPr>
          <w:spacing w:val="-6"/>
        </w:rPr>
        <w:t xml:space="preserve"> </w:t>
      </w:r>
      <w:r>
        <w:t>known</w:t>
      </w:r>
      <w:r>
        <w:rPr>
          <w:spacing w:val="-5"/>
        </w:rPr>
        <w:t xml:space="preserve"> </w:t>
      </w:r>
      <w:r>
        <w:t>factors</w:t>
      </w:r>
      <w:r>
        <w:rPr>
          <w:spacing w:val="-2"/>
        </w:rPr>
        <w:t xml:space="preserve"> </w:t>
      </w:r>
      <w:r>
        <w:t>that</w:t>
      </w:r>
      <w:r>
        <w:rPr>
          <w:spacing w:val="-3"/>
        </w:rPr>
        <w:t xml:space="preserve"> </w:t>
      </w:r>
      <w:r>
        <w:t>injured</w:t>
      </w:r>
      <w:r>
        <w:rPr>
          <w:spacing w:val="-5"/>
        </w:rPr>
        <w:t xml:space="preserve"> </w:t>
      </w:r>
      <w:r>
        <w:t>the</w:t>
      </w:r>
      <w:r>
        <w:rPr>
          <w:spacing w:val="-4"/>
        </w:rPr>
        <w:t xml:space="preserve"> </w:t>
      </w:r>
      <w:r>
        <w:t>domestic</w:t>
      </w:r>
      <w:r>
        <w:rPr>
          <w:spacing w:val="-9"/>
        </w:rPr>
        <w:t xml:space="preserve"> </w:t>
      </w:r>
      <w:r>
        <w:t>industry".</w:t>
      </w:r>
      <w:hyperlink w:anchor="_bookmark1766" w:history="1">
        <w:r>
          <w:rPr>
            <w:vertAlign w:val="superscript"/>
          </w:rPr>
          <w:t>1537</w:t>
        </w:r>
      </w:hyperlink>
      <w:r>
        <w:rPr>
          <w:spacing w:val="-3"/>
        </w:rPr>
        <w:t xml:space="preserve"> </w:t>
      </w:r>
      <w:r>
        <w:t>In</w:t>
      </w:r>
      <w:r>
        <w:rPr>
          <w:spacing w:val="-5"/>
        </w:rPr>
        <w:t xml:space="preserve"> </w:t>
      </w:r>
      <w:r>
        <w:t>support</w:t>
      </w:r>
      <w:r>
        <w:rPr>
          <w:spacing w:val="-3"/>
        </w:rPr>
        <w:t xml:space="preserve"> </w:t>
      </w:r>
      <w:r>
        <w:t>of</w:t>
      </w:r>
      <w:r>
        <w:rPr>
          <w:spacing w:val="-5"/>
        </w:rPr>
        <w:t xml:space="preserve"> </w:t>
      </w:r>
      <w:r>
        <w:t>this</w:t>
      </w:r>
      <w:r>
        <w:rPr>
          <w:spacing w:val="-2"/>
        </w:rPr>
        <w:t xml:space="preserve"> </w:t>
      </w:r>
      <w:r>
        <w:t>claim, Australia argues that MOFCOM failed</w:t>
      </w:r>
      <w:r>
        <w:rPr>
          <w:spacing w:val="-1"/>
        </w:rPr>
        <w:t xml:space="preserve"> </w:t>
      </w:r>
      <w:r>
        <w:t>to</w:t>
      </w:r>
      <w:r>
        <w:rPr>
          <w:spacing w:val="-1"/>
        </w:rPr>
        <w:t xml:space="preserve"> </w:t>
      </w:r>
      <w:r>
        <w:t>examine consumer</w:t>
      </w:r>
      <w:r>
        <w:rPr>
          <w:spacing w:val="-1"/>
        </w:rPr>
        <w:t xml:space="preserve"> </w:t>
      </w:r>
      <w:r>
        <w:t>preferences as a non-attribution factor. A failure to</w:t>
      </w:r>
      <w:r>
        <w:rPr>
          <w:spacing w:val="-1"/>
        </w:rPr>
        <w:t xml:space="preserve"> </w:t>
      </w:r>
      <w:r>
        <w:t>examine a particular</w:t>
      </w:r>
      <w:r>
        <w:rPr>
          <w:spacing w:val="-1"/>
        </w:rPr>
        <w:t xml:space="preserve"> </w:t>
      </w:r>
      <w:r>
        <w:t>factor is also</w:t>
      </w:r>
      <w:r>
        <w:rPr>
          <w:spacing w:val="-1"/>
        </w:rPr>
        <w:t xml:space="preserve"> </w:t>
      </w:r>
      <w:r>
        <w:t>a failure to</w:t>
      </w:r>
      <w:r>
        <w:rPr>
          <w:spacing w:val="-1"/>
        </w:rPr>
        <w:t xml:space="preserve"> </w:t>
      </w:r>
      <w:r>
        <w:t>consider</w:t>
      </w:r>
      <w:r>
        <w:rPr>
          <w:spacing w:val="-1"/>
        </w:rPr>
        <w:t xml:space="preserve"> </w:t>
      </w:r>
      <w:r>
        <w:t>factors objectively.</w:t>
      </w:r>
    </w:p>
    <w:p w14:paraId="377F0EA6" w14:textId="77777777" w:rsidR="00BD462C" w:rsidRDefault="00033D0F">
      <w:pPr>
        <w:pStyle w:val="ListParagraph"/>
        <w:numPr>
          <w:ilvl w:val="1"/>
          <w:numId w:val="5"/>
        </w:numPr>
        <w:tabs>
          <w:tab w:val="left" w:pos="985"/>
          <w:tab w:val="left" w:pos="986"/>
        </w:tabs>
        <w:spacing w:before="162"/>
        <w:ind w:hanging="851"/>
        <w:rPr>
          <w:b/>
          <w:sz w:val="19"/>
        </w:rPr>
      </w:pPr>
      <w:bookmarkStart w:id="2048" w:name="A.4_initiation"/>
      <w:bookmarkStart w:id="2049" w:name="_bookmark1764"/>
      <w:bookmarkEnd w:id="2048"/>
      <w:bookmarkEnd w:id="2049"/>
      <w:r>
        <w:rPr>
          <w:b/>
          <w:spacing w:val="-2"/>
          <w:sz w:val="19"/>
        </w:rPr>
        <w:t>INITIATION</w:t>
      </w:r>
    </w:p>
    <w:p w14:paraId="2061CEB9" w14:textId="77777777" w:rsidR="00BD462C" w:rsidRDefault="00BD462C">
      <w:pPr>
        <w:pStyle w:val="BodyText"/>
        <w:spacing w:before="1"/>
        <w:rPr>
          <w:b/>
          <w:sz w:val="25"/>
        </w:rPr>
      </w:pPr>
    </w:p>
    <w:p w14:paraId="63444F92" w14:textId="77777777" w:rsidR="00BD462C" w:rsidRDefault="00033D0F">
      <w:pPr>
        <w:pStyle w:val="Heading3"/>
        <w:numPr>
          <w:ilvl w:val="2"/>
          <w:numId w:val="5"/>
        </w:numPr>
        <w:tabs>
          <w:tab w:val="left" w:pos="1835"/>
          <w:tab w:val="left" w:pos="1836"/>
        </w:tabs>
        <w:spacing w:before="1" w:line="357" w:lineRule="auto"/>
        <w:ind w:right="917"/>
      </w:pPr>
      <w:bookmarkStart w:id="2050" w:name="A.4.1_Australia's_claims_pursuant_to_Art"/>
      <w:bookmarkStart w:id="2051" w:name="_bookmark1765"/>
      <w:bookmarkEnd w:id="2050"/>
      <w:bookmarkEnd w:id="2051"/>
      <w:r>
        <w:t>Australia's claims pursuant to Articles 5.2, 5.2(iii), 5.2(iv), 5.3 and 5.8 are within the Panel's terms of reference.</w:t>
      </w:r>
    </w:p>
    <w:p w14:paraId="4EAD6F00" w14:textId="77777777" w:rsidR="00BD462C" w:rsidRDefault="00BD462C">
      <w:pPr>
        <w:pStyle w:val="BodyText"/>
        <w:spacing w:before="2"/>
        <w:rPr>
          <w:b/>
          <w:sz w:val="9"/>
        </w:rPr>
      </w:pPr>
    </w:p>
    <w:p w14:paraId="6E884078" w14:textId="39FC7516" w:rsidR="00BD462C" w:rsidRDefault="005930FF">
      <w:pPr>
        <w:pStyle w:val="BodyText"/>
        <w:spacing w:before="56" w:line="360" w:lineRule="auto"/>
        <w:ind w:left="135" w:right="913"/>
        <w:jc w:val="both"/>
      </w:pPr>
      <w:r>
        <w:rPr>
          <w:noProof/>
        </w:rPr>
        <w:t>27.</w:t>
      </w:r>
      <w:r w:rsidR="00033D0F">
        <w:rPr>
          <w:rFonts w:ascii="Times New Roman"/>
          <w:spacing w:val="80"/>
          <w:position w:val="1"/>
          <w:sz w:val="20"/>
        </w:rPr>
        <w:t xml:space="preserve">   </w:t>
      </w:r>
      <w:r w:rsidR="00033D0F">
        <w:rPr>
          <w:position w:val="1"/>
        </w:rPr>
        <w:t xml:space="preserve">Australia's panel request set out the claims pursuant Articles 5.2, 5.2(iii), 5.2(iv), 5.3 </w:t>
      </w:r>
      <w:r w:rsidR="00033D0F">
        <w:t>and 5.8 in a manner sufficient to present the problem clearly and plainly link the measure at issue to the alleged inconsistency. Australia has set out detailed submissions establishing this,</w:t>
      </w:r>
      <w:hyperlink w:anchor="_bookmark1767" w:history="1">
        <w:r w:rsidR="00033D0F">
          <w:rPr>
            <w:vertAlign w:val="superscript"/>
          </w:rPr>
          <w:t>1538</w:t>
        </w:r>
      </w:hyperlink>
      <w:r w:rsidR="00033D0F">
        <w:t xml:space="preserve"> and it stands on those submissions.</w:t>
      </w:r>
    </w:p>
    <w:p w14:paraId="7C1E23E4" w14:textId="77777777" w:rsidR="00BD462C" w:rsidRDefault="00BD462C">
      <w:pPr>
        <w:pStyle w:val="BodyText"/>
        <w:spacing w:before="4"/>
        <w:rPr>
          <w:sz w:val="8"/>
        </w:rPr>
      </w:pPr>
    </w:p>
    <w:p w14:paraId="2B53DC0A" w14:textId="3456A5C8" w:rsidR="00BD462C" w:rsidRDefault="005930FF">
      <w:pPr>
        <w:pStyle w:val="BodyText"/>
        <w:spacing w:before="56" w:line="360" w:lineRule="auto"/>
        <w:ind w:left="135" w:right="912"/>
        <w:jc w:val="both"/>
      </w:pPr>
      <w:r>
        <w:rPr>
          <w:noProof/>
        </w:rPr>
        <w:t>28.</w:t>
      </w:r>
      <w:r w:rsidR="00033D0F">
        <w:rPr>
          <w:rFonts w:ascii="Times New Roman"/>
          <w:spacing w:val="80"/>
          <w:w w:val="150"/>
          <w:position w:val="1"/>
          <w:sz w:val="20"/>
        </w:rPr>
        <w:t xml:space="preserve">  </w:t>
      </w:r>
      <w:r w:rsidR="00033D0F">
        <w:rPr>
          <w:position w:val="1"/>
        </w:rPr>
        <w:t>However,</w:t>
      </w:r>
      <w:r w:rsidR="00033D0F">
        <w:rPr>
          <w:spacing w:val="-10"/>
          <w:position w:val="1"/>
        </w:rPr>
        <w:t xml:space="preserve"> </w:t>
      </w:r>
      <w:r w:rsidR="00033D0F">
        <w:rPr>
          <w:position w:val="1"/>
        </w:rPr>
        <w:t>China</w:t>
      </w:r>
      <w:r w:rsidR="00033D0F">
        <w:rPr>
          <w:spacing w:val="-12"/>
          <w:position w:val="1"/>
        </w:rPr>
        <w:t xml:space="preserve"> </w:t>
      </w:r>
      <w:r w:rsidR="00033D0F">
        <w:rPr>
          <w:position w:val="1"/>
        </w:rPr>
        <w:t>continues</w:t>
      </w:r>
      <w:r w:rsidR="00033D0F">
        <w:rPr>
          <w:spacing w:val="-10"/>
          <w:position w:val="1"/>
        </w:rPr>
        <w:t xml:space="preserve"> </w:t>
      </w:r>
      <w:r w:rsidR="00033D0F">
        <w:rPr>
          <w:position w:val="1"/>
        </w:rPr>
        <w:t>to</w:t>
      </w:r>
      <w:r w:rsidR="00033D0F">
        <w:rPr>
          <w:spacing w:val="-14"/>
          <w:position w:val="1"/>
        </w:rPr>
        <w:t xml:space="preserve"> </w:t>
      </w:r>
      <w:r w:rsidR="00033D0F">
        <w:rPr>
          <w:position w:val="1"/>
        </w:rPr>
        <w:t>assert</w:t>
      </w:r>
      <w:r w:rsidR="00033D0F">
        <w:rPr>
          <w:spacing w:val="-11"/>
          <w:position w:val="1"/>
        </w:rPr>
        <w:t xml:space="preserve"> </w:t>
      </w:r>
      <w:r w:rsidR="00033D0F">
        <w:rPr>
          <w:position w:val="1"/>
        </w:rPr>
        <w:t>that</w:t>
      </w:r>
      <w:r w:rsidR="00033D0F">
        <w:rPr>
          <w:spacing w:val="-11"/>
          <w:position w:val="1"/>
        </w:rPr>
        <w:t xml:space="preserve"> </w:t>
      </w:r>
      <w:r w:rsidR="00033D0F">
        <w:rPr>
          <w:position w:val="1"/>
        </w:rPr>
        <w:t>Australia</w:t>
      </w:r>
      <w:r w:rsidR="00033D0F">
        <w:rPr>
          <w:spacing w:val="-14"/>
          <w:position w:val="1"/>
        </w:rPr>
        <w:t xml:space="preserve"> </w:t>
      </w:r>
      <w:r w:rsidR="00033D0F">
        <w:rPr>
          <w:position w:val="1"/>
        </w:rPr>
        <w:t>must</w:t>
      </w:r>
      <w:r w:rsidR="00033D0F">
        <w:rPr>
          <w:spacing w:val="-11"/>
          <w:position w:val="1"/>
        </w:rPr>
        <w:t xml:space="preserve"> </w:t>
      </w:r>
      <w:r w:rsidR="00033D0F">
        <w:rPr>
          <w:position w:val="1"/>
        </w:rPr>
        <w:t>bring</w:t>
      </w:r>
      <w:r w:rsidR="00033D0F">
        <w:rPr>
          <w:spacing w:val="-10"/>
          <w:position w:val="1"/>
        </w:rPr>
        <w:t xml:space="preserve"> </w:t>
      </w:r>
      <w:r w:rsidR="00033D0F">
        <w:rPr>
          <w:position w:val="1"/>
        </w:rPr>
        <w:t>forward</w:t>
      </w:r>
      <w:r w:rsidR="00033D0F">
        <w:rPr>
          <w:spacing w:val="-9"/>
          <w:position w:val="1"/>
        </w:rPr>
        <w:t xml:space="preserve"> </w:t>
      </w:r>
      <w:r w:rsidR="00033D0F">
        <w:rPr>
          <w:position w:val="1"/>
        </w:rPr>
        <w:t>each</w:t>
      </w:r>
      <w:r w:rsidR="00033D0F">
        <w:rPr>
          <w:spacing w:val="-14"/>
          <w:position w:val="1"/>
        </w:rPr>
        <w:t xml:space="preserve"> </w:t>
      </w:r>
      <w:r w:rsidR="00033D0F">
        <w:rPr>
          <w:position w:val="1"/>
        </w:rPr>
        <w:t>factor</w:t>
      </w:r>
      <w:r w:rsidR="00033D0F">
        <w:rPr>
          <w:spacing w:val="-14"/>
          <w:position w:val="1"/>
        </w:rPr>
        <w:t xml:space="preserve"> </w:t>
      </w:r>
      <w:r w:rsidR="00033D0F">
        <w:rPr>
          <w:position w:val="1"/>
        </w:rPr>
        <w:t xml:space="preserve">and </w:t>
      </w:r>
      <w:r w:rsidR="00033D0F">
        <w:t>element</w:t>
      </w:r>
      <w:r w:rsidR="00033D0F">
        <w:rPr>
          <w:spacing w:val="-7"/>
        </w:rPr>
        <w:t xml:space="preserve"> </w:t>
      </w:r>
      <w:r w:rsidR="00033D0F">
        <w:t>that</w:t>
      </w:r>
      <w:r w:rsidR="00033D0F">
        <w:rPr>
          <w:spacing w:val="-7"/>
        </w:rPr>
        <w:t xml:space="preserve"> </w:t>
      </w:r>
      <w:r w:rsidR="00033D0F">
        <w:t>it</w:t>
      </w:r>
      <w:r w:rsidR="00033D0F">
        <w:rPr>
          <w:spacing w:val="-7"/>
        </w:rPr>
        <w:t xml:space="preserve"> </w:t>
      </w:r>
      <w:r w:rsidR="00033D0F">
        <w:t>alleges</w:t>
      </w:r>
      <w:r w:rsidR="00033D0F">
        <w:rPr>
          <w:spacing w:val="-6"/>
        </w:rPr>
        <w:t xml:space="preserve"> </w:t>
      </w:r>
      <w:r w:rsidR="00033D0F">
        <w:t>was</w:t>
      </w:r>
      <w:r w:rsidR="00033D0F">
        <w:rPr>
          <w:spacing w:val="-6"/>
        </w:rPr>
        <w:t xml:space="preserve"> </w:t>
      </w:r>
      <w:r w:rsidR="00033D0F">
        <w:t>missing</w:t>
      </w:r>
      <w:r w:rsidR="00033D0F">
        <w:rPr>
          <w:spacing w:val="-6"/>
        </w:rPr>
        <w:t xml:space="preserve"> </w:t>
      </w:r>
      <w:r w:rsidR="00033D0F">
        <w:t>from</w:t>
      </w:r>
      <w:r w:rsidR="00033D0F">
        <w:rPr>
          <w:spacing w:val="-7"/>
        </w:rPr>
        <w:t xml:space="preserve"> </w:t>
      </w:r>
      <w:r w:rsidR="00033D0F">
        <w:t>CADA's</w:t>
      </w:r>
      <w:r w:rsidR="00033D0F">
        <w:rPr>
          <w:spacing w:val="-6"/>
        </w:rPr>
        <w:t xml:space="preserve"> </w:t>
      </w:r>
      <w:r w:rsidR="00033D0F">
        <w:t>application.</w:t>
      </w:r>
      <w:r w:rsidR="00033D0F">
        <w:rPr>
          <w:spacing w:val="-6"/>
        </w:rPr>
        <w:t xml:space="preserve"> </w:t>
      </w:r>
      <w:r w:rsidR="00033D0F">
        <w:t>It</w:t>
      </w:r>
      <w:r w:rsidR="00033D0F">
        <w:rPr>
          <w:spacing w:val="-7"/>
        </w:rPr>
        <w:t xml:space="preserve"> </w:t>
      </w:r>
      <w:r w:rsidR="00033D0F">
        <w:t>argues</w:t>
      </w:r>
      <w:r w:rsidR="00033D0F">
        <w:rPr>
          <w:spacing w:val="-6"/>
        </w:rPr>
        <w:t xml:space="preserve"> </w:t>
      </w:r>
      <w:r w:rsidR="00033D0F">
        <w:t>that</w:t>
      </w:r>
      <w:r w:rsidR="00033D0F">
        <w:rPr>
          <w:spacing w:val="-7"/>
        </w:rPr>
        <w:t xml:space="preserve"> </w:t>
      </w:r>
      <w:r w:rsidR="00033D0F">
        <w:t>this</w:t>
      </w:r>
      <w:r w:rsidR="00033D0F">
        <w:rPr>
          <w:spacing w:val="-6"/>
        </w:rPr>
        <w:t xml:space="preserve"> </w:t>
      </w:r>
      <w:r w:rsidR="00033D0F">
        <w:t>is</w:t>
      </w:r>
      <w:r w:rsidR="00033D0F">
        <w:rPr>
          <w:spacing w:val="-6"/>
        </w:rPr>
        <w:t xml:space="preserve"> </w:t>
      </w:r>
      <w:r w:rsidR="00033D0F">
        <w:t>necessary</w:t>
      </w:r>
      <w:r w:rsidR="00033D0F">
        <w:rPr>
          <w:spacing w:val="-6"/>
        </w:rPr>
        <w:t xml:space="preserve"> </w:t>
      </w:r>
      <w:r w:rsidR="00033D0F">
        <w:t>to demonstrate 'how and why' the inconsistency occurred. This is incorrect, and further demonstrates China's fundamental misunderstanding of the standard required under Article</w:t>
      </w:r>
    </w:p>
    <w:p w14:paraId="4B2D2900" w14:textId="77777777" w:rsidR="00BD462C" w:rsidRDefault="00033D0F">
      <w:pPr>
        <w:pStyle w:val="BodyText"/>
        <w:spacing w:line="292" w:lineRule="exact"/>
        <w:ind w:left="135"/>
        <w:jc w:val="both"/>
      </w:pPr>
      <w:r>
        <w:t>6.2</w:t>
      </w:r>
      <w:r>
        <w:rPr>
          <w:spacing w:val="-6"/>
        </w:rPr>
        <w:t xml:space="preserve"> </w:t>
      </w:r>
      <w:r>
        <w:t>of</w:t>
      </w:r>
      <w:r>
        <w:rPr>
          <w:spacing w:val="1"/>
        </w:rPr>
        <w:t xml:space="preserve"> </w:t>
      </w:r>
      <w:r>
        <w:t>the</w:t>
      </w:r>
      <w:r>
        <w:rPr>
          <w:spacing w:val="-2"/>
        </w:rPr>
        <w:t xml:space="preserve"> DSU.</w:t>
      </w:r>
      <w:hyperlink w:anchor="_bookmark1768" w:history="1">
        <w:r>
          <w:rPr>
            <w:spacing w:val="-2"/>
            <w:vertAlign w:val="superscript"/>
          </w:rPr>
          <w:t>1539</w:t>
        </w:r>
      </w:hyperlink>
    </w:p>
    <w:p w14:paraId="1E8AB5C6" w14:textId="77777777" w:rsidR="00BD462C" w:rsidRDefault="00BD462C">
      <w:pPr>
        <w:pStyle w:val="BodyText"/>
        <w:spacing w:before="11"/>
        <w:rPr>
          <w:sz w:val="20"/>
        </w:rPr>
      </w:pPr>
    </w:p>
    <w:p w14:paraId="4A6C3F6D" w14:textId="2488B1AE" w:rsidR="00BD462C" w:rsidRDefault="005930FF">
      <w:pPr>
        <w:pStyle w:val="BodyText"/>
        <w:spacing w:before="56" w:line="360" w:lineRule="auto"/>
        <w:ind w:left="135" w:right="914"/>
        <w:jc w:val="both"/>
      </w:pPr>
      <w:r>
        <w:rPr>
          <w:noProof/>
        </w:rPr>
        <w:t>29.</w:t>
      </w:r>
      <w:r w:rsidR="00033D0F">
        <w:rPr>
          <w:rFonts w:ascii="Times New Roman" w:hAnsi="Times New Roman"/>
          <w:spacing w:val="80"/>
          <w:w w:val="150"/>
          <w:position w:val="1"/>
          <w:sz w:val="20"/>
        </w:rPr>
        <w:t xml:space="preserve">  </w:t>
      </w:r>
      <w:r w:rsidR="00033D0F">
        <w:rPr>
          <w:position w:val="1"/>
        </w:rPr>
        <w:t>The</w:t>
      </w:r>
      <w:r w:rsidR="00033D0F">
        <w:rPr>
          <w:spacing w:val="-7"/>
          <w:position w:val="1"/>
        </w:rPr>
        <w:t xml:space="preserve"> </w:t>
      </w:r>
      <w:r w:rsidR="00033D0F">
        <w:rPr>
          <w:position w:val="1"/>
        </w:rPr>
        <w:t>"elements"</w:t>
      </w:r>
      <w:r w:rsidR="00033D0F">
        <w:rPr>
          <w:spacing w:val="-8"/>
          <w:position w:val="1"/>
        </w:rPr>
        <w:t xml:space="preserve"> </w:t>
      </w:r>
      <w:r w:rsidR="00033D0F">
        <w:rPr>
          <w:position w:val="1"/>
        </w:rPr>
        <w:t>to</w:t>
      </w:r>
      <w:r w:rsidR="00033D0F">
        <w:rPr>
          <w:spacing w:val="-5"/>
          <w:position w:val="1"/>
        </w:rPr>
        <w:t xml:space="preserve"> </w:t>
      </w:r>
      <w:r w:rsidR="00033D0F">
        <w:rPr>
          <w:position w:val="1"/>
        </w:rPr>
        <w:t>which</w:t>
      </w:r>
      <w:r w:rsidR="00033D0F">
        <w:rPr>
          <w:spacing w:val="-9"/>
          <w:position w:val="1"/>
        </w:rPr>
        <w:t xml:space="preserve"> </w:t>
      </w:r>
      <w:r w:rsidR="00033D0F">
        <w:rPr>
          <w:position w:val="1"/>
        </w:rPr>
        <w:t>China</w:t>
      </w:r>
      <w:r w:rsidR="00033D0F">
        <w:rPr>
          <w:spacing w:val="-3"/>
          <w:position w:val="1"/>
        </w:rPr>
        <w:t xml:space="preserve"> </w:t>
      </w:r>
      <w:r w:rsidR="00033D0F">
        <w:rPr>
          <w:position w:val="1"/>
        </w:rPr>
        <w:t>refers</w:t>
      </w:r>
      <w:r w:rsidR="00033D0F">
        <w:rPr>
          <w:spacing w:val="-6"/>
          <w:position w:val="1"/>
        </w:rPr>
        <w:t xml:space="preserve"> </w:t>
      </w:r>
      <w:r w:rsidR="00033D0F">
        <w:rPr>
          <w:position w:val="1"/>
        </w:rPr>
        <w:t>are</w:t>
      </w:r>
      <w:r w:rsidR="00033D0F">
        <w:rPr>
          <w:spacing w:val="-2"/>
          <w:position w:val="1"/>
        </w:rPr>
        <w:t xml:space="preserve"> </w:t>
      </w:r>
      <w:r w:rsidR="00033D0F">
        <w:rPr>
          <w:position w:val="1"/>
        </w:rPr>
        <w:t>precisely</w:t>
      </w:r>
      <w:r w:rsidR="00033D0F">
        <w:rPr>
          <w:spacing w:val="-6"/>
          <w:position w:val="1"/>
        </w:rPr>
        <w:t xml:space="preserve"> </w:t>
      </w:r>
      <w:r w:rsidR="00033D0F">
        <w:rPr>
          <w:position w:val="1"/>
        </w:rPr>
        <w:t>that</w:t>
      </w:r>
      <w:r w:rsidR="00033D0F">
        <w:rPr>
          <w:spacing w:val="-7"/>
          <w:position w:val="1"/>
        </w:rPr>
        <w:t xml:space="preserve"> </w:t>
      </w:r>
      <w:r w:rsidR="00033D0F">
        <w:rPr>
          <w:position w:val="1"/>
        </w:rPr>
        <w:t>–</w:t>
      </w:r>
      <w:r w:rsidR="00033D0F">
        <w:rPr>
          <w:spacing w:val="-2"/>
          <w:position w:val="1"/>
        </w:rPr>
        <w:t xml:space="preserve"> </w:t>
      </w:r>
      <w:r w:rsidR="00033D0F">
        <w:rPr>
          <w:position w:val="1"/>
        </w:rPr>
        <w:t>arguments</w:t>
      </w:r>
      <w:r w:rsidR="00033D0F">
        <w:rPr>
          <w:spacing w:val="-6"/>
          <w:position w:val="1"/>
        </w:rPr>
        <w:t xml:space="preserve"> </w:t>
      </w:r>
      <w:r w:rsidR="00033D0F">
        <w:rPr>
          <w:position w:val="1"/>
        </w:rPr>
        <w:t>and</w:t>
      </w:r>
      <w:r w:rsidR="00033D0F">
        <w:rPr>
          <w:spacing w:val="-4"/>
          <w:position w:val="1"/>
        </w:rPr>
        <w:t xml:space="preserve"> </w:t>
      </w:r>
      <w:r w:rsidR="00033D0F">
        <w:rPr>
          <w:position w:val="1"/>
        </w:rPr>
        <w:t>evidence</w:t>
      </w:r>
      <w:r w:rsidR="00033D0F">
        <w:rPr>
          <w:spacing w:val="-7"/>
          <w:position w:val="1"/>
        </w:rPr>
        <w:t xml:space="preserve"> </w:t>
      </w:r>
      <w:r w:rsidR="00033D0F">
        <w:rPr>
          <w:position w:val="1"/>
        </w:rPr>
        <w:t xml:space="preserve">in </w:t>
      </w:r>
      <w:r w:rsidR="00033D0F">
        <w:t>support</w:t>
      </w:r>
      <w:r w:rsidR="00033D0F">
        <w:rPr>
          <w:spacing w:val="-9"/>
        </w:rPr>
        <w:t xml:space="preserve"> </w:t>
      </w:r>
      <w:r w:rsidR="00033D0F">
        <w:t>of</w:t>
      </w:r>
      <w:r w:rsidR="00033D0F">
        <w:rPr>
          <w:spacing w:val="-10"/>
        </w:rPr>
        <w:t xml:space="preserve"> </w:t>
      </w:r>
      <w:r w:rsidR="00033D0F">
        <w:t>the</w:t>
      </w:r>
      <w:r w:rsidR="00033D0F">
        <w:rPr>
          <w:spacing w:val="-13"/>
        </w:rPr>
        <w:t xml:space="preserve"> </w:t>
      </w:r>
      <w:r w:rsidR="00033D0F">
        <w:t>claim.</w:t>
      </w:r>
      <w:r w:rsidR="00033D0F">
        <w:rPr>
          <w:spacing w:val="-12"/>
        </w:rPr>
        <w:t xml:space="preserve"> </w:t>
      </w:r>
      <w:r w:rsidR="00033D0F">
        <w:t>The</w:t>
      </w:r>
      <w:r w:rsidR="00033D0F">
        <w:rPr>
          <w:spacing w:val="-13"/>
        </w:rPr>
        <w:t xml:space="preserve"> </w:t>
      </w:r>
      <w:r w:rsidR="00033D0F">
        <w:t>claim,</w:t>
      </w:r>
      <w:r w:rsidR="00033D0F">
        <w:rPr>
          <w:spacing w:val="-11"/>
        </w:rPr>
        <w:t xml:space="preserve"> </w:t>
      </w:r>
      <w:r w:rsidR="00033D0F">
        <w:t>on</w:t>
      </w:r>
      <w:r w:rsidR="00033D0F">
        <w:rPr>
          <w:spacing w:val="-14"/>
        </w:rPr>
        <w:t xml:space="preserve"> </w:t>
      </w:r>
      <w:r w:rsidR="00033D0F">
        <w:t>the</w:t>
      </w:r>
      <w:r w:rsidR="00033D0F">
        <w:rPr>
          <w:spacing w:val="-7"/>
        </w:rPr>
        <w:t xml:space="preserve"> </w:t>
      </w:r>
      <w:r w:rsidR="00033D0F">
        <w:t>other</w:t>
      </w:r>
      <w:r w:rsidR="00033D0F">
        <w:rPr>
          <w:spacing w:val="-11"/>
        </w:rPr>
        <w:t xml:space="preserve"> </w:t>
      </w:r>
      <w:r w:rsidR="00033D0F">
        <w:t>hand,</w:t>
      </w:r>
      <w:r w:rsidR="00033D0F">
        <w:rPr>
          <w:spacing w:val="-6"/>
        </w:rPr>
        <w:t xml:space="preserve"> </w:t>
      </w:r>
      <w:r w:rsidR="00033D0F">
        <w:t>consists</w:t>
      </w:r>
      <w:r w:rsidR="00033D0F">
        <w:rPr>
          <w:spacing w:val="-11"/>
        </w:rPr>
        <w:t xml:space="preserve"> </w:t>
      </w:r>
      <w:r w:rsidR="00033D0F">
        <w:t>of</w:t>
      </w:r>
      <w:r w:rsidR="00033D0F">
        <w:rPr>
          <w:spacing w:val="-14"/>
        </w:rPr>
        <w:t xml:space="preserve"> </w:t>
      </w:r>
      <w:r w:rsidR="00033D0F">
        <w:t>identifying</w:t>
      </w:r>
      <w:r w:rsidR="00033D0F">
        <w:rPr>
          <w:spacing w:val="-10"/>
        </w:rPr>
        <w:t xml:space="preserve"> </w:t>
      </w:r>
      <w:r w:rsidR="00033D0F">
        <w:t>the</w:t>
      </w:r>
      <w:r w:rsidR="00033D0F">
        <w:rPr>
          <w:spacing w:val="-13"/>
        </w:rPr>
        <w:t xml:space="preserve"> </w:t>
      </w:r>
      <w:r w:rsidR="00033D0F">
        <w:t>specific</w:t>
      </w:r>
      <w:r w:rsidR="00033D0F">
        <w:rPr>
          <w:spacing w:val="-14"/>
        </w:rPr>
        <w:t xml:space="preserve"> </w:t>
      </w:r>
      <w:r w:rsidR="00033D0F">
        <w:t>measure at issue and</w:t>
      </w:r>
      <w:r w:rsidR="00033D0F">
        <w:rPr>
          <w:spacing w:val="-1"/>
        </w:rPr>
        <w:t xml:space="preserve"> </w:t>
      </w:r>
      <w:r w:rsidR="00033D0F">
        <w:t>providing a brief summary of the legal basis of the complaint in</w:t>
      </w:r>
      <w:r w:rsidR="00033D0F">
        <w:rPr>
          <w:spacing w:val="-1"/>
        </w:rPr>
        <w:t xml:space="preserve"> </w:t>
      </w:r>
      <w:r w:rsidR="00033D0F">
        <w:t>a manner</w:t>
      </w:r>
      <w:r w:rsidR="00033D0F">
        <w:rPr>
          <w:spacing w:val="-1"/>
        </w:rPr>
        <w:t xml:space="preserve"> </w:t>
      </w:r>
      <w:r w:rsidR="00033D0F">
        <w:t>that is sufficient to</w:t>
      </w:r>
      <w:r w:rsidR="00033D0F">
        <w:rPr>
          <w:spacing w:val="-3"/>
        </w:rPr>
        <w:t xml:space="preserve"> </w:t>
      </w:r>
      <w:r w:rsidR="00033D0F">
        <w:t>present the</w:t>
      </w:r>
      <w:r w:rsidR="00033D0F">
        <w:rPr>
          <w:spacing w:val="-1"/>
        </w:rPr>
        <w:t xml:space="preserve"> </w:t>
      </w:r>
      <w:r w:rsidR="00033D0F">
        <w:t>problem clearly.</w:t>
      </w:r>
      <w:hyperlink w:anchor="_bookmark1769" w:history="1">
        <w:r w:rsidR="00033D0F">
          <w:rPr>
            <w:vertAlign w:val="superscript"/>
          </w:rPr>
          <w:t>1540</w:t>
        </w:r>
      </w:hyperlink>
      <w:r w:rsidR="00033D0F">
        <w:t xml:space="preserve"> An allegation</w:t>
      </w:r>
      <w:r w:rsidR="00033D0F">
        <w:rPr>
          <w:spacing w:val="-2"/>
        </w:rPr>
        <w:t xml:space="preserve"> </w:t>
      </w:r>
      <w:r w:rsidR="00033D0F">
        <w:t>that MOFCOM failed</w:t>
      </w:r>
      <w:r w:rsidR="00033D0F">
        <w:rPr>
          <w:spacing w:val="-2"/>
        </w:rPr>
        <w:t xml:space="preserve"> </w:t>
      </w:r>
      <w:r w:rsidR="00033D0F">
        <w:t>to consider a particular factor does not constitute an independent claim of violation, but rather an argument in support of the claim that a violation occurred. It addresses an aspect of how MOFCOM initiated and conducted the investigation in a manner that was inconsistent with the</w:t>
      </w:r>
      <w:r w:rsidR="00033D0F">
        <w:rPr>
          <w:spacing w:val="-5"/>
        </w:rPr>
        <w:t xml:space="preserve"> </w:t>
      </w:r>
      <w:r w:rsidR="00033D0F">
        <w:t>overarching</w:t>
      </w:r>
      <w:r w:rsidR="00033D0F">
        <w:rPr>
          <w:spacing w:val="-3"/>
        </w:rPr>
        <w:t xml:space="preserve"> </w:t>
      </w:r>
      <w:r w:rsidR="00033D0F">
        <w:t>obligation</w:t>
      </w:r>
      <w:r w:rsidR="00033D0F">
        <w:rPr>
          <w:spacing w:val="-6"/>
        </w:rPr>
        <w:t xml:space="preserve"> </w:t>
      </w:r>
      <w:r w:rsidR="00033D0F">
        <w:t>to</w:t>
      </w:r>
      <w:r w:rsidR="00033D0F">
        <w:rPr>
          <w:spacing w:val="-7"/>
        </w:rPr>
        <w:t xml:space="preserve"> </w:t>
      </w:r>
      <w:r w:rsidR="00033D0F">
        <w:t>ensure</w:t>
      </w:r>
      <w:r w:rsidR="00033D0F">
        <w:rPr>
          <w:spacing w:val="-4"/>
        </w:rPr>
        <w:t xml:space="preserve"> </w:t>
      </w:r>
      <w:r w:rsidR="00033D0F">
        <w:t>that</w:t>
      </w:r>
      <w:r w:rsidR="00033D0F">
        <w:rPr>
          <w:spacing w:val="-4"/>
        </w:rPr>
        <w:t xml:space="preserve"> </w:t>
      </w:r>
      <w:r w:rsidR="00033D0F">
        <w:t>an</w:t>
      </w:r>
      <w:r w:rsidR="00033D0F">
        <w:rPr>
          <w:spacing w:val="-6"/>
        </w:rPr>
        <w:t xml:space="preserve"> </w:t>
      </w:r>
      <w:r w:rsidR="00033D0F">
        <w:t>application</w:t>
      </w:r>
      <w:r w:rsidR="00033D0F">
        <w:rPr>
          <w:spacing w:val="-6"/>
        </w:rPr>
        <w:t xml:space="preserve"> </w:t>
      </w:r>
      <w:r w:rsidR="00033D0F">
        <w:t>contains</w:t>
      </w:r>
      <w:r w:rsidR="00033D0F">
        <w:rPr>
          <w:spacing w:val="-3"/>
        </w:rPr>
        <w:t xml:space="preserve"> </w:t>
      </w:r>
      <w:r w:rsidR="00033D0F">
        <w:t>evidence</w:t>
      </w:r>
      <w:r w:rsidR="00033D0F">
        <w:rPr>
          <w:spacing w:val="-4"/>
        </w:rPr>
        <w:t xml:space="preserve"> </w:t>
      </w:r>
      <w:r w:rsidR="00033D0F">
        <w:t>of</w:t>
      </w:r>
      <w:r w:rsidR="00033D0F">
        <w:rPr>
          <w:spacing w:val="-6"/>
        </w:rPr>
        <w:t xml:space="preserve"> </w:t>
      </w:r>
      <w:r w:rsidR="00033D0F">
        <w:t>dumping,</w:t>
      </w:r>
      <w:r w:rsidR="00033D0F">
        <w:rPr>
          <w:spacing w:val="-3"/>
        </w:rPr>
        <w:t xml:space="preserve"> </w:t>
      </w:r>
      <w:proofErr w:type="gramStart"/>
      <w:r w:rsidR="00033D0F">
        <w:t>injury</w:t>
      </w:r>
      <w:proofErr w:type="gramEnd"/>
      <w:r w:rsidR="00033D0F">
        <w:t xml:space="preserve"> and causation. Such aspects are properly considered arguments.</w:t>
      </w:r>
    </w:p>
    <w:p w14:paraId="35CA11EA" w14:textId="77777777" w:rsidR="00BD462C" w:rsidRDefault="00BD462C">
      <w:pPr>
        <w:pStyle w:val="BodyText"/>
        <w:rPr>
          <w:sz w:val="20"/>
        </w:rPr>
      </w:pPr>
    </w:p>
    <w:p w14:paraId="241E0544" w14:textId="77777777" w:rsidR="00BD462C" w:rsidRDefault="00BD462C">
      <w:pPr>
        <w:pStyle w:val="BodyText"/>
        <w:rPr>
          <w:sz w:val="20"/>
        </w:rPr>
      </w:pPr>
    </w:p>
    <w:p w14:paraId="2EBCD194" w14:textId="77777777" w:rsidR="00BD462C" w:rsidRDefault="00BD462C">
      <w:pPr>
        <w:pStyle w:val="BodyText"/>
        <w:rPr>
          <w:sz w:val="20"/>
        </w:rPr>
      </w:pPr>
    </w:p>
    <w:p w14:paraId="1CC0E65F" w14:textId="118B0E48" w:rsidR="00BD462C" w:rsidRDefault="009A6330">
      <w:pPr>
        <w:pStyle w:val="BodyText"/>
        <w:spacing w:before="3"/>
        <w:rPr>
          <w:sz w:val="21"/>
        </w:rPr>
      </w:pPr>
      <w:r>
        <w:rPr>
          <w:noProof/>
        </w:rPr>
        <mc:AlternateContent>
          <mc:Choice Requires="wps">
            <w:drawing>
              <wp:anchor distT="0" distB="0" distL="0" distR="0" simplePos="0" relativeHeight="488010240" behindDoc="1" locked="0" layoutInCell="1" allowOverlap="1" wp14:anchorId="1EAF9A27" wp14:editId="51B99445">
                <wp:simplePos x="0" y="0"/>
                <wp:positionH relativeFrom="page">
                  <wp:posOffset>812800</wp:posOffset>
                </wp:positionH>
                <wp:positionV relativeFrom="paragraph">
                  <wp:posOffset>168910</wp:posOffset>
                </wp:positionV>
                <wp:extent cx="1828800" cy="8890"/>
                <wp:effectExtent l="0" t="0" r="0" b="0"/>
                <wp:wrapTopAndBottom/>
                <wp:docPr id="1424" name="docshape7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84B668" id="docshape712" o:spid="_x0000_s1026" alt="&quot;&quot;" style="position:absolute;margin-left:64pt;margin-top:13.3pt;width:2in;height:.7pt;z-index:-15306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" fillcolor="black" stroked="f">
                <w10:wrap type="topAndBottom" anchorx="page"/>
              </v:rect>
            </w:pict>
          </mc:Fallback>
        </mc:AlternateContent>
      </w:r>
    </w:p>
    <w:p w14:paraId="2F52888E" w14:textId="77777777" w:rsidR="00BD462C" w:rsidRDefault="00033D0F">
      <w:pPr>
        <w:spacing w:before="112"/>
        <w:ind w:left="135"/>
        <w:rPr>
          <w:sz w:val="18"/>
        </w:rPr>
      </w:pPr>
      <w:bookmarkStart w:id="2052" w:name="_bookmark1766"/>
      <w:bookmarkEnd w:id="2052"/>
      <w:r>
        <w:rPr>
          <w:position w:val="5"/>
          <w:sz w:val="12"/>
        </w:rPr>
        <w:t>1537</w:t>
      </w:r>
      <w:r>
        <w:rPr>
          <w:spacing w:val="13"/>
          <w:position w:val="5"/>
          <w:sz w:val="12"/>
        </w:rPr>
        <w:t xml:space="preserve"> </w:t>
      </w:r>
      <w:r>
        <w:rPr>
          <w:sz w:val="18"/>
        </w:rPr>
        <w:t>Australia's</w:t>
      </w:r>
      <w:r>
        <w:rPr>
          <w:spacing w:val="-5"/>
          <w:sz w:val="18"/>
        </w:rPr>
        <w:t xml:space="preserve"> </w:t>
      </w:r>
      <w:r>
        <w:rPr>
          <w:sz w:val="18"/>
        </w:rPr>
        <w:t>panel</w:t>
      </w:r>
      <w:r>
        <w:rPr>
          <w:spacing w:val="-1"/>
          <w:sz w:val="18"/>
        </w:rPr>
        <w:t xml:space="preserve"> </w:t>
      </w:r>
      <w:r>
        <w:rPr>
          <w:sz w:val="18"/>
        </w:rPr>
        <w:t>request,</w:t>
      </w:r>
      <w:r>
        <w:rPr>
          <w:spacing w:val="-3"/>
          <w:sz w:val="18"/>
        </w:rPr>
        <w:t xml:space="preserve"> </w:t>
      </w:r>
      <w:r>
        <w:rPr>
          <w:sz w:val="18"/>
        </w:rPr>
        <w:t>para.</w:t>
      </w:r>
      <w:r>
        <w:rPr>
          <w:spacing w:val="-4"/>
          <w:sz w:val="18"/>
        </w:rPr>
        <w:t xml:space="preserve"> </w:t>
      </w:r>
      <w:r>
        <w:rPr>
          <w:spacing w:val="-2"/>
          <w:sz w:val="18"/>
        </w:rPr>
        <w:t>(xxi).</w:t>
      </w:r>
    </w:p>
    <w:p w14:paraId="0C4D725A" w14:textId="77777777" w:rsidR="00BD462C" w:rsidRDefault="00033D0F">
      <w:pPr>
        <w:spacing w:before="1"/>
        <w:ind w:left="135"/>
        <w:rPr>
          <w:sz w:val="18"/>
        </w:rPr>
      </w:pPr>
      <w:bookmarkStart w:id="2053" w:name="_bookmark1767"/>
      <w:bookmarkEnd w:id="2053"/>
      <w:r>
        <w:rPr>
          <w:position w:val="5"/>
          <w:sz w:val="12"/>
        </w:rPr>
        <w:t>1538</w:t>
      </w:r>
      <w:r>
        <w:rPr>
          <w:spacing w:val="13"/>
          <w:position w:val="5"/>
          <w:sz w:val="12"/>
        </w:rPr>
        <w:t xml:space="preserve"> </w:t>
      </w:r>
      <w:r>
        <w:rPr>
          <w:sz w:val="18"/>
        </w:rPr>
        <w:t>Australia's response</w:t>
      </w:r>
      <w:r>
        <w:rPr>
          <w:spacing w:val="-5"/>
          <w:sz w:val="18"/>
        </w:rPr>
        <w:t xml:space="preserve"> </w:t>
      </w:r>
      <w:r>
        <w:rPr>
          <w:sz w:val="18"/>
        </w:rPr>
        <w:t>to</w:t>
      </w:r>
      <w:r>
        <w:rPr>
          <w:spacing w:val="-1"/>
          <w:sz w:val="18"/>
        </w:rPr>
        <w:t xml:space="preserve"> </w:t>
      </w:r>
      <w:r>
        <w:rPr>
          <w:sz w:val="18"/>
        </w:rPr>
        <w:t>China's</w:t>
      </w:r>
      <w:r>
        <w:rPr>
          <w:spacing w:val="-5"/>
          <w:sz w:val="18"/>
        </w:rPr>
        <w:t xml:space="preserve"> </w:t>
      </w:r>
      <w:r>
        <w:rPr>
          <w:sz w:val="18"/>
        </w:rPr>
        <w:t>PRR,</w:t>
      </w:r>
      <w:r>
        <w:rPr>
          <w:spacing w:val="-3"/>
          <w:sz w:val="18"/>
        </w:rPr>
        <w:t xml:space="preserve"> </w:t>
      </w:r>
      <w:r>
        <w:rPr>
          <w:sz w:val="18"/>
        </w:rPr>
        <w:t>paras.</w:t>
      </w:r>
      <w:r>
        <w:rPr>
          <w:spacing w:val="-4"/>
          <w:sz w:val="18"/>
        </w:rPr>
        <w:t xml:space="preserve"> </w:t>
      </w:r>
      <w:r>
        <w:rPr>
          <w:sz w:val="18"/>
        </w:rPr>
        <w:t>63-</w:t>
      </w:r>
      <w:r>
        <w:rPr>
          <w:spacing w:val="-5"/>
          <w:sz w:val="18"/>
        </w:rPr>
        <w:t>88.</w:t>
      </w:r>
    </w:p>
    <w:p w14:paraId="1228941B" w14:textId="77777777" w:rsidR="00BD462C" w:rsidRDefault="00033D0F">
      <w:pPr>
        <w:spacing w:before="1"/>
        <w:ind w:left="135"/>
        <w:rPr>
          <w:sz w:val="18"/>
        </w:rPr>
      </w:pPr>
      <w:bookmarkStart w:id="2054" w:name="_bookmark1768"/>
      <w:bookmarkEnd w:id="2054"/>
      <w:r>
        <w:rPr>
          <w:position w:val="5"/>
          <w:sz w:val="12"/>
        </w:rPr>
        <w:t>1539</w:t>
      </w:r>
      <w:r>
        <w:rPr>
          <w:spacing w:val="15"/>
          <w:position w:val="5"/>
          <w:sz w:val="12"/>
        </w:rPr>
        <w:t xml:space="preserve"> </w:t>
      </w:r>
      <w:r>
        <w:rPr>
          <w:sz w:val="18"/>
        </w:rPr>
        <w:t>See</w:t>
      </w:r>
      <w:r>
        <w:rPr>
          <w:spacing w:val="-3"/>
          <w:sz w:val="18"/>
        </w:rPr>
        <w:t xml:space="preserve"> </w:t>
      </w:r>
      <w:r>
        <w:rPr>
          <w:sz w:val="18"/>
        </w:rPr>
        <w:t>above,</w:t>
      </w:r>
      <w:r>
        <w:rPr>
          <w:spacing w:val="-1"/>
          <w:sz w:val="18"/>
        </w:rPr>
        <w:t xml:space="preserve"> </w:t>
      </w:r>
      <w:r>
        <w:rPr>
          <w:sz w:val="18"/>
        </w:rPr>
        <w:t>section</w:t>
      </w:r>
      <w:r>
        <w:rPr>
          <w:spacing w:val="-5"/>
          <w:sz w:val="18"/>
        </w:rPr>
        <w:t xml:space="preserve"> </w:t>
      </w:r>
      <w:hyperlink w:anchor="_bookmark20" w:history="1">
        <w:r>
          <w:rPr>
            <w:spacing w:val="-2"/>
            <w:sz w:val="18"/>
          </w:rPr>
          <w:t>II.A.1(b).</w:t>
        </w:r>
      </w:hyperlink>
    </w:p>
    <w:p w14:paraId="39C68622" w14:textId="77777777" w:rsidR="00BD462C" w:rsidRDefault="00033D0F">
      <w:pPr>
        <w:spacing w:before="1"/>
        <w:ind w:left="135"/>
        <w:rPr>
          <w:sz w:val="18"/>
        </w:rPr>
      </w:pPr>
      <w:bookmarkStart w:id="2055" w:name="_bookmark1769"/>
      <w:bookmarkEnd w:id="2055"/>
      <w:r>
        <w:rPr>
          <w:position w:val="5"/>
          <w:sz w:val="12"/>
        </w:rPr>
        <w:t>1540</w:t>
      </w:r>
      <w:r>
        <w:rPr>
          <w:spacing w:val="14"/>
          <w:position w:val="5"/>
          <w:sz w:val="12"/>
        </w:rPr>
        <w:t xml:space="preserve"> </w:t>
      </w:r>
      <w:r>
        <w:rPr>
          <w:sz w:val="18"/>
        </w:rPr>
        <w:t>See</w:t>
      </w:r>
      <w:r>
        <w:rPr>
          <w:spacing w:val="-4"/>
          <w:sz w:val="18"/>
        </w:rPr>
        <w:t xml:space="preserve"> </w:t>
      </w:r>
      <w:r>
        <w:rPr>
          <w:sz w:val="18"/>
        </w:rPr>
        <w:t>above,</w:t>
      </w:r>
      <w:r>
        <w:rPr>
          <w:spacing w:val="-2"/>
          <w:sz w:val="18"/>
        </w:rPr>
        <w:t xml:space="preserve"> </w:t>
      </w:r>
      <w:r>
        <w:rPr>
          <w:sz w:val="18"/>
        </w:rPr>
        <w:t>sections</w:t>
      </w:r>
      <w:r>
        <w:rPr>
          <w:spacing w:val="-4"/>
          <w:sz w:val="18"/>
        </w:rPr>
        <w:t xml:space="preserve"> </w:t>
      </w:r>
      <w:hyperlink w:anchor="_bookmark20" w:history="1">
        <w:r>
          <w:rPr>
            <w:sz w:val="18"/>
          </w:rPr>
          <w:t>II.A.1(b);</w:t>
        </w:r>
      </w:hyperlink>
      <w:r>
        <w:rPr>
          <w:spacing w:val="-6"/>
          <w:sz w:val="18"/>
        </w:rPr>
        <w:t xml:space="preserve"> </w:t>
      </w:r>
      <w:hyperlink w:anchor="_bookmark39" w:history="1">
        <w:r>
          <w:rPr>
            <w:spacing w:val="-2"/>
            <w:sz w:val="18"/>
          </w:rPr>
          <w:t>II.A.1(c)i.</w:t>
        </w:r>
      </w:hyperlink>
    </w:p>
    <w:p w14:paraId="10149448" w14:textId="77777777" w:rsidR="00BD462C" w:rsidRDefault="00BD462C">
      <w:pPr>
        <w:rPr>
          <w:sz w:val="18"/>
        </w:rPr>
        <w:sectPr w:rsidR="00BD462C">
          <w:pgSz w:w="11910" w:h="16840"/>
          <w:pgMar w:top="860" w:right="500" w:bottom="780" w:left="1280" w:header="566" w:footer="590" w:gutter="0"/>
          <w:cols w:space="720"/>
        </w:sectPr>
      </w:pPr>
    </w:p>
    <w:p w14:paraId="00893E0A"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2C1DBBBC"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0BB7D452"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26591589" w14:textId="4504FF54" w:rsidR="00BD462C" w:rsidRDefault="005930FF">
      <w:pPr>
        <w:pStyle w:val="BodyText"/>
        <w:spacing w:before="6" w:line="360" w:lineRule="auto"/>
        <w:ind w:left="135" w:right="913"/>
        <w:jc w:val="both"/>
      </w:pPr>
      <w:r>
        <w:rPr>
          <w:noProof/>
        </w:rPr>
        <w:t>30.</w:t>
      </w:r>
      <w:r w:rsidR="00033D0F">
        <w:rPr>
          <w:rFonts w:ascii="Times New Roman"/>
          <w:spacing w:val="80"/>
          <w:position w:val="1"/>
          <w:sz w:val="20"/>
        </w:rPr>
        <w:t xml:space="preserve">   </w:t>
      </w:r>
      <w:r w:rsidR="00033D0F">
        <w:rPr>
          <w:position w:val="1"/>
        </w:rPr>
        <w:t>Furthermore, Australia reiterates</w:t>
      </w:r>
      <w:r w:rsidR="00033D0F">
        <w:rPr>
          <w:spacing w:val="-2"/>
          <w:position w:val="1"/>
        </w:rPr>
        <w:t xml:space="preserve"> </w:t>
      </w:r>
      <w:r w:rsidR="00033D0F">
        <w:rPr>
          <w:position w:val="1"/>
        </w:rPr>
        <w:t>that China's assertion</w:t>
      </w:r>
      <w:r w:rsidR="00033D0F">
        <w:rPr>
          <w:spacing w:val="-1"/>
          <w:position w:val="1"/>
        </w:rPr>
        <w:t xml:space="preserve"> </w:t>
      </w:r>
      <w:r w:rsidR="00033D0F">
        <w:rPr>
          <w:position w:val="1"/>
        </w:rPr>
        <w:t>that it could</w:t>
      </w:r>
      <w:r w:rsidR="00033D0F">
        <w:rPr>
          <w:spacing w:val="-1"/>
          <w:position w:val="1"/>
        </w:rPr>
        <w:t xml:space="preserve"> </w:t>
      </w:r>
      <w:r w:rsidR="00033D0F">
        <w:rPr>
          <w:position w:val="1"/>
        </w:rPr>
        <w:t xml:space="preserve">not understand </w:t>
      </w:r>
      <w:r w:rsidR="00033D0F">
        <w:t>the nature of Australia's claim from the panel request is without merit. In particular, China's allegation that Australia was not clear whether it challenged the obligation to reject an application pre-initiation or the obligation to terminate an obligation post-initiation is groundless.</w:t>
      </w:r>
      <w:hyperlink w:anchor="_bookmark1770" w:history="1">
        <w:r w:rsidR="00033D0F">
          <w:rPr>
            <w:vertAlign w:val="superscript"/>
          </w:rPr>
          <w:t>1541</w:t>
        </w:r>
      </w:hyperlink>
      <w:r w:rsidR="00033D0F">
        <w:rPr>
          <w:spacing w:val="-8"/>
        </w:rPr>
        <w:t xml:space="preserve"> </w:t>
      </w:r>
      <w:r w:rsidR="00033D0F">
        <w:t>It</w:t>
      </w:r>
      <w:r w:rsidR="00033D0F">
        <w:rPr>
          <w:spacing w:val="-9"/>
        </w:rPr>
        <w:t xml:space="preserve"> </w:t>
      </w:r>
      <w:r w:rsidR="00033D0F">
        <w:t>is</w:t>
      </w:r>
      <w:r w:rsidR="00033D0F">
        <w:rPr>
          <w:spacing w:val="-8"/>
        </w:rPr>
        <w:t xml:space="preserve"> </w:t>
      </w:r>
      <w:r w:rsidR="00033D0F">
        <w:t>clear</w:t>
      </w:r>
      <w:r w:rsidR="00033D0F">
        <w:rPr>
          <w:spacing w:val="-12"/>
        </w:rPr>
        <w:t xml:space="preserve"> </w:t>
      </w:r>
      <w:r w:rsidR="00033D0F">
        <w:t>from</w:t>
      </w:r>
      <w:r w:rsidR="00033D0F">
        <w:rPr>
          <w:spacing w:val="-9"/>
        </w:rPr>
        <w:t xml:space="preserve"> </w:t>
      </w:r>
      <w:r w:rsidR="00033D0F">
        <w:t>the</w:t>
      </w:r>
      <w:r w:rsidR="00033D0F">
        <w:rPr>
          <w:spacing w:val="-9"/>
        </w:rPr>
        <w:t xml:space="preserve"> </w:t>
      </w:r>
      <w:r w:rsidR="00033D0F">
        <w:t>text</w:t>
      </w:r>
      <w:r w:rsidR="00033D0F">
        <w:rPr>
          <w:spacing w:val="-9"/>
        </w:rPr>
        <w:t xml:space="preserve"> </w:t>
      </w:r>
      <w:r w:rsidR="00033D0F">
        <w:t>of</w:t>
      </w:r>
      <w:r w:rsidR="00033D0F">
        <w:rPr>
          <w:spacing w:val="-11"/>
        </w:rPr>
        <w:t xml:space="preserve"> </w:t>
      </w:r>
      <w:r w:rsidR="00033D0F">
        <w:t>Australia's</w:t>
      </w:r>
      <w:r w:rsidR="00033D0F">
        <w:rPr>
          <w:spacing w:val="-8"/>
        </w:rPr>
        <w:t xml:space="preserve"> </w:t>
      </w:r>
      <w:r w:rsidR="00033D0F">
        <w:t>panel</w:t>
      </w:r>
      <w:r w:rsidR="00033D0F">
        <w:rPr>
          <w:spacing w:val="-7"/>
        </w:rPr>
        <w:t xml:space="preserve"> </w:t>
      </w:r>
      <w:r w:rsidR="00033D0F">
        <w:t>request</w:t>
      </w:r>
      <w:r w:rsidR="00033D0F">
        <w:rPr>
          <w:spacing w:val="-9"/>
        </w:rPr>
        <w:t xml:space="preserve"> </w:t>
      </w:r>
      <w:r w:rsidR="00033D0F">
        <w:t>that</w:t>
      </w:r>
      <w:r w:rsidR="00033D0F">
        <w:rPr>
          <w:spacing w:val="-9"/>
        </w:rPr>
        <w:t xml:space="preserve"> </w:t>
      </w:r>
      <w:r w:rsidR="00033D0F">
        <w:t>Australia</w:t>
      </w:r>
      <w:r w:rsidR="00033D0F">
        <w:rPr>
          <w:spacing w:val="-10"/>
        </w:rPr>
        <w:t xml:space="preserve"> </w:t>
      </w:r>
      <w:r w:rsidR="00033D0F">
        <w:t>was</w:t>
      </w:r>
      <w:r w:rsidR="00033D0F">
        <w:rPr>
          <w:spacing w:val="-12"/>
        </w:rPr>
        <w:t xml:space="preserve"> </w:t>
      </w:r>
      <w:r w:rsidR="00033D0F">
        <w:t>referring to both.</w:t>
      </w:r>
      <w:hyperlink w:anchor="_bookmark1771" w:history="1">
        <w:r w:rsidR="00033D0F">
          <w:rPr>
            <w:vertAlign w:val="superscript"/>
          </w:rPr>
          <w:t>1542</w:t>
        </w:r>
      </w:hyperlink>
      <w:r w:rsidR="00033D0F">
        <w:t xml:space="preserve"> In addition to the extensive responses in Australia's response to the PRR,</w:t>
      </w:r>
      <w:hyperlink w:anchor="_bookmark1772" w:history="1">
        <w:r w:rsidR="00033D0F">
          <w:rPr>
            <w:vertAlign w:val="superscript"/>
          </w:rPr>
          <w:t>1543</w:t>
        </w:r>
      </w:hyperlink>
      <w:r w:rsidR="00033D0F">
        <w:t xml:space="preserve"> Australia corrects China's understanding of the term "or". While China asserts that "or" can only have a disjunctive meaning,</w:t>
      </w:r>
      <w:hyperlink w:anchor="_bookmark1773" w:history="1">
        <w:r w:rsidR="00033D0F">
          <w:rPr>
            <w:vertAlign w:val="superscript"/>
          </w:rPr>
          <w:t>1544</w:t>
        </w:r>
      </w:hyperlink>
      <w:r w:rsidR="00033D0F">
        <w:t xml:space="preserve"> this is not correct: it regularly has a </w:t>
      </w:r>
      <w:r w:rsidR="00033D0F">
        <w:rPr>
          <w:i/>
        </w:rPr>
        <w:t xml:space="preserve">conjunctive </w:t>
      </w:r>
      <w:r w:rsidR="00033D0F">
        <w:t>meaning.</w:t>
      </w:r>
      <w:hyperlink w:anchor="_bookmark1774" w:history="1">
        <w:r w:rsidR="00033D0F">
          <w:rPr>
            <w:vertAlign w:val="superscript"/>
          </w:rPr>
          <w:t>1545</w:t>
        </w:r>
      </w:hyperlink>
      <w:r w:rsidR="00033D0F">
        <w:t xml:space="preserve"> Australia's panel request clearly conveys the latter meaning, referring to both MOFCOM's failure to reject </w:t>
      </w:r>
      <w:r w:rsidR="00033D0F">
        <w:rPr>
          <w:i/>
        </w:rPr>
        <w:t xml:space="preserve">and </w:t>
      </w:r>
      <w:r w:rsidR="00033D0F">
        <w:t>failure to terminate. The context demonstrates this. As a practical matter, if the investigating authority rejects the application, then it will never have an investigation to terminate.</w:t>
      </w:r>
    </w:p>
    <w:p w14:paraId="429BEC64" w14:textId="55759C15" w:rsidR="00BD462C" w:rsidRDefault="005930FF">
      <w:pPr>
        <w:pStyle w:val="BodyText"/>
        <w:spacing w:before="160" w:line="357" w:lineRule="auto"/>
        <w:ind w:left="135" w:right="915"/>
        <w:jc w:val="both"/>
      </w:pPr>
      <w:r>
        <w:rPr>
          <w:noProof/>
        </w:rPr>
        <w:t>31.</w:t>
      </w:r>
      <w:r w:rsidR="00033D0F">
        <w:rPr>
          <w:rFonts w:ascii="Times New Roman"/>
          <w:spacing w:val="40"/>
          <w:position w:val="1"/>
          <w:sz w:val="20"/>
        </w:rPr>
        <w:t xml:space="preserve">  </w:t>
      </w:r>
      <w:r w:rsidR="00033D0F">
        <w:rPr>
          <w:position w:val="1"/>
        </w:rPr>
        <w:t>Furthermore, as already argued in detail,</w:t>
      </w:r>
      <w:hyperlink w:anchor="_bookmark1775" w:history="1">
        <w:r w:rsidR="00033D0F">
          <w:rPr>
            <w:position w:val="1"/>
            <w:vertAlign w:val="superscript"/>
          </w:rPr>
          <w:t>1546</w:t>
        </w:r>
      </w:hyperlink>
      <w:r w:rsidR="00033D0F">
        <w:rPr>
          <w:position w:val="1"/>
        </w:rPr>
        <w:t xml:space="preserve"> the narrative of the claim reflects </w:t>
      </w:r>
      <w:r w:rsidR="00033D0F">
        <w:t>MOFCOM's chain of errors concerning initiation:</w:t>
      </w:r>
      <w:r w:rsidR="00033D0F">
        <w:rPr>
          <w:spacing w:val="-1"/>
        </w:rPr>
        <w:t xml:space="preserve"> </w:t>
      </w:r>
      <w:r w:rsidR="00033D0F">
        <w:t>first, a failure to</w:t>
      </w:r>
      <w:r w:rsidR="00033D0F">
        <w:rPr>
          <w:spacing w:val="-1"/>
        </w:rPr>
        <w:t xml:space="preserve"> </w:t>
      </w:r>
      <w:r w:rsidR="00033D0F">
        <w:t>correctly initiate,</w:t>
      </w:r>
      <w:r w:rsidR="00033D0F">
        <w:rPr>
          <w:spacing w:val="-1"/>
        </w:rPr>
        <w:t xml:space="preserve"> </w:t>
      </w:r>
      <w:r w:rsidR="00033D0F">
        <w:t>second, a failure to terminate promptly based on insufficient evidence. The citations and language provide China with an unambiguous summary of Australia's allegation sufficient to clearly understand the nature of the claim.</w:t>
      </w:r>
      <w:hyperlink w:anchor="_bookmark1776" w:history="1">
        <w:r w:rsidR="00033D0F">
          <w:rPr>
            <w:vertAlign w:val="superscript"/>
          </w:rPr>
          <w:t>1547</w:t>
        </w:r>
      </w:hyperlink>
    </w:p>
    <w:p w14:paraId="72C8A2B0" w14:textId="77777777" w:rsidR="00BD462C" w:rsidRDefault="00BD462C">
      <w:pPr>
        <w:pStyle w:val="BodyText"/>
        <w:rPr>
          <w:sz w:val="20"/>
        </w:rPr>
      </w:pPr>
    </w:p>
    <w:p w14:paraId="161620BE" w14:textId="77777777" w:rsidR="00BD462C" w:rsidRDefault="00BD462C">
      <w:pPr>
        <w:pStyle w:val="BodyText"/>
        <w:rPr>
          <w:sz w:val="20"/>
        </w:rPr>
      </w:pPr>
    </w:p>
    <w:p w14:paraId="69F2D497" w14:textId="77777777" w:rsidR="00BD462C" w:rsidRDefault="00BD462C">
      <w:pPr>
        <w:pStyle w:val="BodyText"/>
        <w:rPr>
          <w:sz w:val="20"/>
        </w:rPr>
      </w:pPr>
    </w:p>
    <w:p w14:paraId="23D28E35" w14:textId="6DF2C5E8" w:rsidR="00BD462C" w:rsidRDefault="009A6330">
      <w:pPr>
        <w:pStyle w:val="BodyText"/>
        <w:spacing w:before="7"/>
        <w:rPr>
          <w:sz w:val="20"/>
        </w:rPr>
      </w:pPr>
      <w:r>
        <w:rPr>
          <w:noProof/>
        </w:rPr>
        <mc:AlternateContent>
          <mc:Choice Requires="wps">
            <w:drawing>
              <wp:anchor distT="0" distB="0" distL="0" distR="0" simplePos="0" relativeHeight="488012288" behindDoc="1" locked="0" layoutInCell="1" allowOverlap="1" wp14:anchorId="159F5004" wp14:editId="1BCD7150">
                <wp:simplePos x="0" y="0"/>
                <wp:positionH relativeFrom="page">
                  <wp:posOffset>812800</wp:posOffset>
                </wp:positionH>
                <wp:positionV relativeFrom="paragraph">
                  <wp:posOffset>154940</wp:posOffset>
                </wp:positionV>
                <wp:extent cx="1828800" cy="8890"/>
                <wp:effectExtent l="0" t="0" r="0" b="0"/>
                <wp:wrapTopAndBottom/>
                <wp:docPr id="1426" name="docshape7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7EC6DD" id="docshape712" o:spid="_x0000_s1026" alt="&quot;&quot;" style="position:absolute;margin-left:64pt;margin-top:12.2pt;width:2in;height:.7pt;z-index:-15304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" fillcolor="black" stroked="f">
                <w10:wrap type="topAndBottom" anchorx="page"/>
              </v:rect>
            </w:pict>
          </mc:Fallback>
        </mc:AlternateContent>
      </w:r>
    </w:p>
    <w:p w14:paraId="5FA64990" w14:textId="77777777" w:rsidR="00BD462C" w:rsidRDefault="00033D0F">
      <w:pPr>
        <w:spacing w:before="107"/>
        <w:ind w:left="135"/>
        <w:jc w:val="both"/>
        <w:rPr>
          <w:sz w:val="18"/>
        </w:rPr>
      </w:pPr>
      <w:bookmarkStart w:id="2056" w:name="_bookmark1770"/>
      <w:bookmarkEnd w:id="2056"/>
      <w:r>
        <w:rPr>
          <w:position w:val="5"/>
          <w:sz w:val="12"/>
        </w:rPr>
        <w:t>1541</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 paras.</w:t>
      </w:r>
      <w:r>
        <w:rPr>
          <w:spacing w:val="-4"/>
          <w:sz w:val="18"/>
        </w:rPr>
        <w:t xml:space="preserve"> </w:t>
      </w:r>
      <w:r>
        <w:rPr>
          <w:sz w:val="18"/>
        </w:rPr>
        <w:t>119-123;</w:t>
      </w:r>
      <w:r>
        <w:rPr>
          <w:spacing w:val="-8"/>
          <w:sz w:val="18"/>
        </w:rPr>
        <w:t xml:space="preserve"> </w:t>
      </w:r>
      <w:r>
        <w:rPr>
          <w:sz w:val="18"/>
        </w:rPr>
        <w:t>Australia's</w:t>
      </w:r>
      <w:r>
        <w:rPr>
          <w:spacing w:val="-5"/>
          <w:sz w:val="18"/>
        </w:rPr>
        <w:t xml:space="preserve"> </w:t>
      </w:r>
      <w:r>
        <w:rPr>
          <w:sz w:val="18"/>
        </w:rPr>
        <w:t>panel</w:t>
      </w:r>
      <w:r>
        <w:rPr>
          <w:spacing w:val="-1"/>
          <w:sz w:val="18"/>
        </w:rPr>
        <w:t xml:space="preserve"> </w:t>
      </w:r>
      <w:r>
        <w:rPr>
          <w:sz w:val="18"/>
        </w:rPr>
        <w:t>request,</w:t>
      </w:r>
      <w:r>
        <w:rPr>
          <w:spacing w:val="-4"/>
          <w:sz w:val="18"/>
        </w:rPr>
        <w:t xml:space="preserve"> </w:t>
      </w:r>
      <w:r>
        <w:rPr>
          <w:sz w:val="18"/>
        </w:rPr>
        <w:t>para.</w:t>
      </w:r>
      <w:r>
        <w:rPr>
          <w:spacing w:val="-5"/>
          <w:sz w:val="18"/>
        </w:rPr>
        <w:t xml:space="preserve"> </w:t>
      </w:r>
      <w:r>
        <w:rPr>
          <w:spacing w:val="-2"/>
          <w:sz w:val="18"/>
        </w:rPr>
        <w:t>(iii).</w:t>
      </w:r>
    </w:p>
    <w:p w14:paraId="09611001" w14:textId="77777777" w:rsidR="00BD462C" w:rsidRDefault="00033D0F">
      <w:pPr>
        <w:spacing w:before="1"/>
        <w:ind w:left="135" w:right="907"/>
        <w:jc w:val="both"/>
        <w:rPr>
          <w:sz w:val="18"/>
        </w:rPr>
      </w:pPr>
      <w:bookmarkStart w:id="2057" w:name="_bookmark1771"/>
      <w:bookmarkEnd w:id="2057"/>
      <w:r>
        <w:rPr>
          <w:position w:val="5"/>
          <w:sz w:val="12"/>
        </w:rPr>
        <w:t>1542</w:t>
      </w:r>
      <w:r>
        <w:rPr>
          <w:spacing w:val="20"/>
          <w:position w:val="5"/>
          <w:sz w:val="12"/>
        </w:rPr>
        <w:t xml:space="preserve"> </w:t>
      </w:r>
      <w:r>
        <w:rPr>
          <w:sz w:val="18"/>
        </w:rPr>
        <w:t>Australia's Panel</w:t>
      </w:r>
      <w:r>
        <w:rPr>
          <w:spacing w:val="-2"/>
          <w:sz w:val="18"/>
        </w:rPr>
        <w:t xml:space="preserve"> </w:t>
      </w:r>
      <w:r>
        <w:rPr>
          <w:sz w:val="18"/>
        </w:rPr>
        <w:t>Request, para. 4(iii)</w:t>
      </w:r>
      <w:r>
        <w:rPr>
          <w:spacing w:val="-1"/>
          <w:sz w:val="18"/>
        </w:rPr>
        <w:t xml:space="preserve"> </w:t>
      </w:r>
      <w:r>
        <w:rPr>
          <w:sz w:val="18"/>
        </w:rPr>
        <w:t xml:space="preserve">("Articles 5.2, 5.2(iii), 5.2(iv), 5.3 and 5.8 of the Anti-Dumping Agreement because, </w:t>
      </w:r>
      <w:r>
        <w:rPr>
          <w:i/>
          <w:sz w:val="18"/>
        </w:rPr>
        <w:t>inter alia</w:t>
      </w:r>
      <w:r>
        <w:rPr>
          <w:sz w:val="18"/>
        </w:rPr>
        <w:t>, China initiated an investigation on the basis of an application</w:t>
      </w:r>
      <w:r>
        <w:rPr>
          <w:spacing w:val="-3"/>
          <w:sz w:val="18"/>
        </w:rPr>
        <w:t xml:space="preserve"> </w:t>
      </w:r>
      <w:r>
        <w:rPr>
          <w:sz w:val="18"/>
        </w:rPr>
        <w:t>without sufficient</w:t>
      </w:r>
      <w:r>
        <w:rPr>
          <w:spacing w:val="-1"/>
          <w:sz w:val="18"/>
        </w:rPr>
        <w:t xml:space="preserve"> </w:t>
      </w:r>
      <w:r>
        <w:rPr>
          <w:sz w:val="18"/>
        </w:rPr>
        <w:t>evidence, China</w:t>
      </w:r>
      <w:r>
        <w:rPr>
          <w:spacing w:val="-4"/>
          <w:sz w:val="18"/>
        </w:rPr>
        <w:t xml:space="preserve"> </w:t>
      </w:r>
      <w:r>
        <w:rPr>
          <w:sz w:val="18"/>
        </w:rPr>
        <w:t>failed</w:t>
      </w:r>
      <w:r>
        <w:rPr>
          <w:spacing w:val="-3"/>
          <w:sz w:val="18"/>
        </w:rPr>
        <w:t xml:space="preserve"> </w:t>
      </w:r>
      <w:r>
        <w:rPr>
          <w:sz w:val="18"/>
        </w:rPr>
        <w:t>to examine or review the accuracy and adequacy of the evidence provided in the application, and China failed to reject the application or terminate promptly the investigation given the lack of sufficient evidence")</w:t>
      </w:r>
    </w:p>
    <w:p w14:paraId="6BAF9F0C" w14:textId="77777777" w:rsidR="00BD462C" w:rsidRDefault="00033D0F">
      <w:pPr>
        <w:spacing w:line="219" w:lineRule="exact"/>
        <w:ind w:left="135"/>
        <w:jc w:val="both"/>
        <w:rPr>
          <w:sz w:val="18"/>
        </w:rPr>
      </w:pPr>
      <w:bookmarkStart w:id="2058" w:name="_bookmark1772"/>
      <w:bookmarkEnd w:id="2058"/>
      <w:r>
        <w:rPr>
          <w:position w:val="5"/>
          <w:sz w:val="12"/>
        </w:rPr>
        <w:t>1543</w:t>
      </w:r>
      <w:r>
        <w:rPr>
          <w:spacing w:val="13"/>
          <w:position w:val="5"/>
          <w:sz w:val="12"/>
        </w:rPr>
        <w:t xml:space="preserve"> </w:t>
      </w:r>
      <w:r>
        <w:rPr>
          <w:sz w:val="18"/>
        </w:rPr>
        <w:t>Australia's response</w:t>
      </w:r>
      <w:r>
        <w:rPr>
          <w:spacing w:val="-5"/>
          <w:sz w:val="18"/>
        </w:rPr>
        <w:t xml:space="preserve"> </w:t>
      </w:r>
      <w:r>
        <w:rPr>
          <w:sz w:val="18"/>
        </w:rPr>
        <w:t>to</w:t>
      </w:r>
      <w:r>
        <w:rPr>
          <w:spacing w:val="-1"/>
          <w:sz w:val="18"/>
        </w:rPr>
        <w:t xml:space="preserve"> </w:t>
      </w:r>
      <w:r>
        <w:rPr>
          <w:sz w:val="18"/>
        </w:rPr>
        <w:t>China's</w:t>
      </w:r>
      <w:r>
        <w:rPr>
          <w:spacing w:val="-5"/>
          <w:sz w:val="18"/>
        </w:rPr>
        <w:t xml:space="preserve"> </w:t>
      </w:r>
      <w:r>
        <w:rPr>
          <w:sz w:val="18"/>
        </w:rPr>
        <w:t>PRR,</w:t>
      </w:r>
      <w:r>
        <w:rPr>
          <w:spacing w:val="-3"/>
          <w:sz w:val="18"/>
        </w:rPr>
        <w:t xml:space="preserve"> </w:t>
      </w:r>
      <w:r>
        <w:rPr>
          <w:sz w:val="18"/>
        </w:rPr>
        <w:t>paras.</w:t>
      </w:r>
      <w:r>
        <w:rPr>
          <w:spacing w:val="-4"/>
          <w:sz w:val="18"/>
        </w:rPr>
        <w:t xml:space="preserve"> </w:t>
      </w:r>
      <w:r>
        <w:rPr>
          <w:sz w:val="18"/>
        </w:rPr>
        <w:t>84-</w:t>
      </w:r>
      <w:r>
        <w:rPr>
          <w:spacing w:val="-5"/>
          <w:sz w:val="18"/>
        </w:rPr>
        <w:t>87.</w:t>
      </w:r>
    </w:p>
    <w:p w14:paraId="4B758166" w14:textId="77777777" w:rsidR="00BD462C" w:rsidRDefault="00033D0F">
      <w:pPr>
        <w:spacing w:before="1"/>
        <w:ind w:left="135"/>
        <w:jc w:val="both"/>
        <w:rPr>
          <w:sz w:val="18"/>
        </w:rPr>
      </w:pPr>
      <w:bookmarkStart w:id="2059" w:name="_bookmark1773"/>
      <w:bookmarkEnd w:id="2059"/>
      <w:r>
        <w:rPr>
          <w:position w:val="5"/>
          <w:sz w:val="12"/>
        </w:rPr>
        <w:t>1544</w:t>
      </w:r>
      <w:r>
        <w:rPr>
          <w:spacing w:val="13"/>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 xml:space="preserve">para. </w:t>
      </w:r>
      <w:r>
        <w:rPr>
          <w:spacing w:val="-4"/>
          <w:sz w:val="18"/>
        </w:rPr>
        <w:t>122.</w:t>
      </w:r>
    </w:p>
    <w:p w14:paraId="75F21193" w14:textId="77777777" w:rsidR="00BD462C" w:rsidRDefault="00033D0F">
      <w:pPr>
        <w:spacing w:before="1"/>
        <w:ind w:left="135" w:right="905"/>
        <w:jc w:val="both"/>
        <w:rPr>
          <w:sz w:val="18"/>
        </w:rPr>
      </w:pPr>
      <w:bookmarkStart w:id="2060" w:name="_bookmark1774"/>
      <w:bookmarkEnd w:id="2060"/>
      <w:r>
        <w:rPr>
          <w:position w:val="5"/>
          <w:sz w:val="12"/>
        </w:rPr>
        <w:t>1545</w:t>
      </w:r>
      <w:r>
        <w:rPr>
          <w:spacing w:val="22"/>
          <w:position w:val="5"/>
          <w:sz w:val="12"/>
        </w:rPr>
        <w:t xml:space="preserve"> </w:t>
      </w:r>
      <w:r>
        <w:rPr>
          <w:sz w:val="18"/>
        </w:rPr>
        <w:t>Past reports</w:t>
      </w:r>
      <w:r>
        <w:rPr>
          <w:spacing w:val="-2"/>
          <w:sz w:val="18"/>
        </w:rPr>
        <w:t xml:space="preserve"> </w:t>
      </w:r>
      <w:r>
        <w:rPr>
          <w:sz w:val="18"/>
        </w:rPr>
        <w:t>have highlighted that the word "or" may have different meanings in different contexts. For instance, in the context of Article 2.1 of the Agreement on Safeguards, the Appellate Body observed:</w:t>
      </w:r>
    </w:p>
    <w:p w14:paraId="62992757" w14:textId="77777777" w:rsidR="00BD462C" w:rsidRDefault="00BD462C">
      <w:pPr>
        <w:pStyle w:val="BodyText"/>
        <w:spacing w:before="11"/>
        <w:rPr>
          <w:sz w:val="17"/>
        </w:rPr>
      </w:pPr>
    </w:p>
    <w:p w14:paraId="28872706" w14:textId="77777777" w:rsidR="00BD462C" w:rsidRDefault="00033D0F">
      <w:pPr>
        <w:ind w:left="985" w:right="912" w:hanging="1"/>
        <w:jc w:val="both"/>
        <w:rPr>
          <w:sz w:val="18"/>
        </w:rPr>
      </w:pPr>
      <w:r>
        <w:rPr>
          <w:sz w:val="18"/>
        </w:rPr>
        <w:t>"</w:t>
      </w:r>
      <w:r>
        <w:rPr>
          <w:i/>
          <w:sz w:val="18"/>
        </w:rPr>
        <w:t>The New Shorter Oxford English Dictionary</w:t>
      </w:r>
      <w:r>
        <w:rPr>
          <w:i/>
          <w:spacing w:val="-4"/>
          <w:sz w:val="18"/>
        </w:rPr>
        <w:t xml:space="preserve"> </w:t>
      </w:r>
      <w:r>
        <w:rPr>
          <w:sz w:val="18"/>
        </w:rPr>
        <w:t>provides several definitions of the word "or". The dictionary definitions accommodate both usages.</w:t>
      </w:r>
      <w:r>
        <w:rPr>
          <w:spacing w:val="-1"/>
          <w:sz w:val="18"/>
        </w:rPr>
        <w:t xml:space="preserve"> </w:t>
      </w:r>
      <w:r>
        <w:rPr>
          <w:i/>
          <w:sz w:val="18"/>
        </w:rPr>
        <w:t>The</w:t>
      </w:r>
      <w:r>
        <w:rPr>
          <w:i/>
          <w:spacing w:val="-5"/>
          <w:sz w:val="18"/>
        </w:rPr>
        <w:t xml:space="preserve"> </w:t>
      </w:r>
      <w:r>
        <w:rPr>
          <w:i/>
          <w:sz w:val="18"/>
        </w:rPr>
        <w:t>New Shorter</w:t>
      </w:r>
      <w:r>
        <w:rPr>
          <w:i/>
          <w:spacing w:val="-4"/>
          <w:sz w:val="18"/>
        </w:rPr>
        <w:t xml:space="preserve"> </w:t>
      </w:r>
      <w:r>
        <w:rPr>
          <w:i/>
          <w:sz w:val="18"/>
        </w:rPr>
        <w:t xml:space="preserve">Oxford English Dictionary </w:t>
      </w:r>
      <w:r>
        <w:rPr>
          <w:sz w:val="18"/>
        </w:rPr>
        <w:t xml:space="preserve">recognizes that the word "or" can have an inclusive meaning as well as an exclusive meaning". (Appellate Body Report, </w:t>
      </w:r>
      <w:r>
        <w:rPr>
          <w:i/>
          <w:sz w:val="18"/>
        </w:rPr>
        <w:t>US – Line Pipe</w:t>
      </w:r>
      <w:r>
        <w:rPr>
          <w:sz w:val="18"/>
        </w:rPr>
        <w:t xml:space="preserve">, para. </w:t>
      </w:r>
      <w:r>
        <w:rPr>
          <w:spacing w:val="-2"/>
          <w:sz w:val="18"/>
        </w:rPr>
        <w:t>163).</w:t>
      </w:r>
    </w:p>
    <w:p w14:paraId="63F0D2AA" w14:textId="77777777" w:rsidR="00BD462C" w:rsidRDefault="00BD462C">
      <w:pPr>
        <w:pStyle w:val="BodyText"/>
        <w:rPr>
          <w:sz w:val="18"/>
        </w:rPr>
      </w:pPr>
    </w:p>
    <w:p w14:paraId="28CEBA85" w14:textId="77777777" w:rsidR="00BD462C" w:rsidRDefault="00033D0F">
      <w:pPr>
        <w:spacing w:before="1"/>
        <w:ind w:left="136"/>
        <w:jc w:val="both"/>
        <w:rPr>
          <w:sz w:val="18"/>
        </w:rPr>
      </w:pPr>
      <w:r>
        <w:rPr>
          <w:sz w:val="18"/>
        </w:rPr>
        <w:t>With</w:t>
      </w:r>
      <w:r>
        <w:rPr>
          <w:spacing w:val="-6"/>
          <w:sz w:val="18"/>
        </w:rPr>
        <w:t xml:space="preserve"> </w:t>
      </w:r>
      <w:r>
        <w:rPr>
          <w:sz w:val="18"/>
        </w:rPr>
        <w:t>specific reference</w:t>
      </w:r>
      <w:r>
        <w:rPr>
          <w:spacing w:val="-4"/>
          <w:sz w:val="18"/>
        </w:rPr>
        <w:t xml:space="preserve"> </w:t>
      </w:r>
      <w:r>
        <w:rPr>
          <w:sz w:val="18"/>
        </w:rPr>
        <w:t>to</w:t>
      </w:r>
      <w:r>
        <w:rPr>
          <w:spacing w:val="-5"/>
          <w:sz w:val="18"/>
        </w:rPr>
        <w:t xml:space="preserve"> </w:t>
      </w:r>
      <w:r>
        <w:rPr>
          <w:sz w:val="18"/>
        </w:rPr>
        <w:t>the</w:t>
      </w:r>
      <w:r>
        <w:rPr>
          <w:spacing w:val="-4"/>
          <w:sz w:val="18"/>
        </w:rPr>
        <w:t xml:space="preserve"> </w:t>
      </w:r>
      <w:r>
        <w:rPr>
          <w:sz w:val="18"/>
        </w:rPr>
        <w:t>Anti-Dumping Agreement,</w:t>
      </w:r>
      <w:r>
        <w:rPr>
          <w:spacing w:val="-2"/>
          <w:sz w:val="18"/>
        </w:rPr>
        <w:t xml:space="preserve"> </w:t>
      </w:r>
      <w:r>
        <w:rPr>
          <w:sz w:val="18"/>
        </w:rPr>
        <w:t>the</w:t>
      </w:r>
      <w:r>
        <w:rPr>
          <w:spacing w:val="-4"/>
          <w:sz w:val="18"/>
        </w:rPr>
        <w:t xml:space="preserve"> </w:t>
      </w:r>
      <w:r>
        <w:rPr>
          <w:sz w:val="18"/>
        </w:rPr>
        <w:t>panel</w:t>
      </w:r>
      <w:r>
        <w:rPr>
          <w:spacing w:val="-3"/>
          <w:sz w:val="18"/>
        </w:rPr>
        <w:t xml:space="preserve"> </w:t>
      </w:r>
      <w:r>
        <w:rPr>
          <w:sz w:val="18"/>
        </w:rPr>
        <w:t>in</w:t>
      </w:r>
      <w:r>
        <w:rPr>
          <w:spacing w:val="-4"/>
          <w:sz w:val="18"/>
        </w:rPr>
        <w:t xml:space="preserve"> </w:t>
      </w:r>
      <w:r>
        <w:rPr>
          <w:i/>
          <w:sz w:val="18"/>
        </w:rPr>
        <w:t>EC</w:t>
      </w:r>
      <w:r>
        <w:rPr>
          <w:i/>
          <w:spacing w:val="-4"/>
          <w:sz w:val="18"/>
        </w:rPr>
        <w:t xml:space="preserve"> </w:t>
      </w:r>
      <w:r>
        <w:rPr>
          <w:i/>
          <w:sz w:val="18"/>
        </w:rPr>
        <w:t>–</w:t>
      </w:r>
      <w:r>
        <w:rPr>
          <w:i/>
          <w:spacing w:val="-4"/>
          <w:sz w:val="18"/>
        </w:rPr>
        <w:t xml:space="preserve"> </w:t>
      </w:r>
      <w:r>
        <w:rPr>
          <w:i/>
          <w:sz w:val="18"/>
        </w:rPr>
        <w:t>Salmon</w:t>
      </w:r>
      <w:r>
        <w:rPr>
          <w:i/>
          <w:spacing w:val="-3"/>
          <w:sz w:val="18"/>
        </w:rPr>
        <w:t xml:space="preserve"> </w:t>
      </w:r>
      <w:r>
        <w:rPr>
          <w:i/>
          <w:sz w:val="18"/>
        </w:rPr>
        <w:t>(Norway)</w:t>
      </w:r>
      <w:r>
        <w:rPr>
          <w:i/>
          <w:spacing w:val="-2"/>
          <w:sz w:val="18"/>
        </w:rPr>
        <w:t xml:space="preserve"> </w:t>
      </w:r>
      <w:r>
        <w:rPr>
          <w:spacing w:val="-2"/>
          <w:sz w:val="18"/>
        </w:rPr>
        <w:t>indicated:</w:t>
      </w:r>
    </w:p>
    <w:p w14:paraId="1DD65656" w14:textId="77777777" w:rsidR="00BD462C" w:rsidRDefault="00BD462C">
      <w:pPr>
        <w:pStyle w:val="BodyText"/>
        <w:spacing w:before="3"/>
        <w:rPr>
          <w:sz w:val="18"/>
        </w:rPr>
      </w:pPr>
    </w:p>
    <w:p w14:paraId="42BAE8CD" w14:textId="77777777" w:rsidR="00BD462C" w:rsidRDefault="00033D0F">
      <w:pPr>
        <w:spacing w:before="1" w:line="237" w:lineRule="auto"/>
        <w:ind w:left="986" w:right="914" w:hanging="1"/>
        <w:jc w:val="both"/>
        <w:rPr>
          <w:sz w:val="18"/>
        </w:rPr>
      </w:pPr>
      <w:r>
        <w:rPr>
          <w:sz w:val="18"/>
        </w:rPr>
        <w:t>Because</w:t>
      </w:r>
      <w:r>
        <w:rPr>
          <w:spacing w:val="-3"/>
          <w:sz w:val="18"/>
        </w:rPr>
        <w:t xml:space="preserve"> </w:t>
      </w:r>
      <w:r>
        <w:rPr>
          <w:sz w:val="18"/>
        </w:rPr>
        <w:t>of</w:t>
      </w:r>
      <w:r>
        <w:rPr>
          <w:spacing w:val="-7"/>
          <w:sz w:val="18"/>
        </w:rPr>
        <w:t xml:space="preserve"> </w:t>
      </w:r>
      <w:r>
        <w:rPr>
          <w:sz w:val="18"/>
        </w:rPr>
        <w:t>the</w:t>
      </w:r>
      <w:r>
        <w:rPr>
          <w:spacing w:val="-8"/>
          <w:sz w:val="18"/>
        </w:rPr>
        <w:t xml:space="preserve"> </w:t>
      </w:r>
      <w:r>
        <w:rPr>
          <w:sz w:val="18"/>
        </w:rPr>
        <w:t>nature</w:t>
      </w:r>
      <w:r>
        <w:rPr>
          <w:spacing w:val="-3"/>
          <w:sz w:val="18"/>
        </w:rPr>
        <w:t xml:space="preserve"> </w:t>
      </w:r>
      <w:r>
        <w:rPr>
          <w:sz w:val="18"/>
        </w:rPr>
        <w:t>of</w:t>
      </w:r>
      <w:r>
        <w:rPr>
          <w:spacing w:val="-2"/>
          <w:sz w:val="18"/>
        </w:rPr>
        <w:t xml:space="preserve"> </w:t>
      </w:r>
      <w:r>
        <w:rPr>
          <w:sz w:val="18"/>
        </w:rPr>
        <w:t>the</w:t>
      </w:r>
      <w:r>
        <w:rPr>
          <w:spacing w:val="-8"/>
          <w:sz w:val="18"/>
        </w:rPr>
        <w:t xml:space="preserve"> </w:t>
      </w:r>
      <w:r>
        <w:rPr>
          <w:sz w:val="18"/>
        </w:rPr>
        <w:t>functions</w:t>
      </w:r>
      <w:r>
        <w:rPr>
          <w:spacing w:val="-3"/>
          <w:sz w:val="18"/>
        </w:rPr>
        <w:t xml:space="preserve"> </w:t>
      </w:r>
      <w:r>
        <w:rPr>
          <w:sz w:val="18"/>
        </w:rPr>
        <w:t>of</w:t>
      </w:r>
      <w:r>
        <w:rPr>
          <w:spacing w:val="-7"/>
          <w:sz w:val="18"/>
        </w:rPr>
        <w:t xml:space="preserve"> </w:t>
      </w:r>
      <w:r>
        <w:rPr>
          <w:sz w:val="18"/>
        </w:rPr>
        <w:t>the</w:t>
      </w:r>
      <w:r>
        <w:rPr>
          <w:spacing w:val="-8"/>
          <w:sz w:val="18"/>
        </w:rPr>
        <w:t xml:space="preserve"> </w:t>
      </w:r>
      <w:r>
        <w:rPr>
          <w:sz w:val="18"/>
        </w:rPr>
        <w:t>word</w:t>
      </w:r>
      <w:r>
        <w:rPr>
          <w:spacing w:val="-4"/>
          <w:sz w:val="18"/>
        </w:rPr>
        <w:t xml:space="preserve"> </w:t>
      </w:r>
      <w:r>
        <w:rPr>
          <w:sz w:val="18"/>
        </w:rPr>
        <w:t>"or",</w:t>
      </w:r>
      <w:r>
        <w:rPr>
          <w:spacing w:val="-6"/>
          <w:sz w:val="18"/>
        </w:rPr>
        <w:t xml:space="preserve"> </w:t>
      </w:r>
      <w:r>
        <w:rPr>
          <w:sz w:val="18"/>
        </w:rPr>
        <w:t>its</w:t>
      </w:r>
      <w:r>
        <w:rPr>
          <w:spacing w:val="-3"/>
          <w:sz w:val="18"/>
        </w:rPr>
        <w:t xml:space="preserve"> </w:t>
      </w:r>
      <w:r>
        <w:rPr>
          <w:sz w:val="18"/>
        </w:rPr>
        <w:t>meaning</w:t>
      </w:r>
      <w:r>
        <w:rPr>
          <w:spacing w:val="-3"/>
          <w:sz w:val="18"/>
        </w:rPr>
        <w:t xml:space="preserve"> </w:t>
      </w:r>
      <w:r>
        <w:rPr>
          <w:sz w:val="18"/>
        </w:rPr>
        <w:t>in</w:t>
      </w:r>
      <w:r>
        <w:rPr>
          <w:spacing w:val="-9"/>
          <w:sz w:val="18"/>
        </w:rPr>
        <w:t xml:space="preserve"> </w:t>
      </w:r>
      <w:r>
        <w:rPr>
          <w:sz w:val="18"/>
        </w:rPr>
        <w:t>different</w:t>
      </w:r>
      <w:r>
        <w:rPr>
          <w:spacing w:val="-2"/>
          <w:sz w:val="18"/>
        </w:rPr>
        <w:t xml:space="preserve"> </w:t>
      </w:r>
      <w:r>
        <w:rPr>
          <w:sz w:val="18"/>
        </w:rPr>
        <w:t>provisions</w:t>
      </w:r>
      <w:r>
        <w:rPr>
          <w:spacing w:val="-8"/>
          <w:sz w:val="18"/>
        </w:rPr>
        <w:t xml:space="preserve"> </w:t>
      </w:r>
      <w:r>
        <w:rPr>
          <w:sz w:val="18"/>
        </w:rPr>
        <w:t>of</w:t>
      </w:r>
      <w:r>
        <w:rPr>
          <w:spacing w:val="-7"/>
          <w:sz w:val="18"/>
        </w:rPr>
        <w:t xml:space="preserve"> </w:t>
      </w:r>
      <w:r>
        <w:rPr>
          <w:sz w:val="18"/>
        </w:rPr>
        <w:t>the</w:t>
      </w:r>
      <w:r>
        <w:rPr>
          <w:spacing w:val="-8"/>
          <w:sz w:val="18"/>
        </w:rPr>
        <w:t xml:space="preserve"> </w:t>
      </w:r>
      <w:r>
        <w:rPr>
          <w:sz w:val="18"/>
        </w:rPr>
        <w:t xml:space="preserve">[Anti-Dumping] Agreement will very much depend upon the obligations at issue and the specific context in which it appears. (Panel Report, </w:t>
      </w:r>
      <w:r>
        <w:rPr>
          <w:i/>
          <w:sz w:val="18"/>
        </w:rPr>
        <w:t>EC – Salmon (Norway)</w:t>
      </w:r>
      <w:r>
        <w:rPr>
          <w:sz w:val="18"/>
        </w:rPr>
        <w:t>, para. 7.171).</w:t>
      </w:r>
    </w:p>
    <w:p w14:paraId="1781C5DC" w14:textId="77777777" w:rsidR="00BD462C" w:rsidRDefault="00BD462C">
      <w:pPr>
        <w:pStyle w:val="BodyText"/>
        <w:spacing w:before="3"/>
        <w:rPr>
          <w:sz w:val="18"/>
        </w:rPr>
      </w:pPr>
    </w:p>
    <w:p w14:paraId="6890440A" w14:textId="77777777" w:rsidR="00BD462C" w:rsidRDefault="00033D0F">
      <w:pPr>
        <w:ind w:left="135"/>
        <w:jc w:val="both"/>
        <w:rPr>
          <w:sz w:val="18"/>
        </w:rPr>
      </w:pPr>
      <w:bookmarkStart w:id="2061" w:name="_bookmark1775"/>
      <w:bookmarkEnd w:id="2061"/>
      <w:r>
        <w:rPr>
          <w:position w:val="5"/>
          <w:sz w:val="12"/>
        </w:rPr>
        <w:t>1546</w:t>
      </w:r>
      <w:r>
        <w:rPr>
          <w:spacing w:val="13"/>
          <w:position w:val="5"/>
          <w:sz w:val="12"/>
        </w:rPr>
        <w:t xml:space="preserve"> </w:t>
      </w:r>
      <w:r>
        <w:rPr>
          <w:sz w:val="18"/>
        </w:rPr>
        <w:t>Australia's response</w:t>
      </w:r>
      <w:r>
        <w:rPr>
          <w:spacing w:val="-5"/>
          <w:sz w:val="18"/>
        </w:rPr>
        <w:t xml:space="preserve"> </w:t>
      </w:r>
      <w:r>
        <w:rPr>
          <w:sz w:val="18"/>
        </w:rPr>
        <w:t>to</w:t>
      </w:r>
      <w:r>
        <w:rPr>
          <w:spacing w:val="-2"/>
          <w:sz w:val="18"/>
        </w:rPr>
        <w:t xml:space="preserve"> </w:t>
      </w:r>
      <w:r>
        <w:rPr>
          <w:sz w:val="18"/>
        </w:rPr>
        <w:t>China's</w:t>
      </w:r>
      <w:r>
        <w:rPr>
          <w:spacing w:val="-5"/>
          <w:sz w:val="18"/>
        </w:rPr>
        <w:t xml:space="preserve"> </w:t>
      </w:r>
      <w:r>
        <w:rPr>
          <w:sz w:val="18"/>
        </w:rPr>
        <w:t>PRR,</w:t>
      </w:r>
      <w:r>
        <w:rPr>
          <w:spacing w:val="-3"/>
          <w:sz w:val="18"/>
        </w:rPr>
        <w:t xml:space="preserve"> </w:t>
      </w:r>
      <w:r>
        <w:rPr>
          <w:sz w:val="18"/>
        </w:rPr>
        <w:t>para.</w:t>
      </w:r>
      <w:r>
        <w:rPr>
          <w:spacing w:val="1"/>
          <w:sz w:val="18"/>
        </w:rPr>
        <w:t xml:space="preserve"> </w:t>
      </w:r>
      <w:r>
        <w:rPr>
          <w:spacing w:val="-5"/>
          <w:sz w:val="18"/>
        </w:rPr>
        <w:t>87.</w:t>
      </w:r>
    </w:p>
    <w:p w14:paraId="018F198A" w14:textId="77777777" w:rsidR="00BD462C" w:rsidRDefault="00033D0F">
      <w:pPr>
        <w:spacing w:before="1"/>
        <w:ind w:left="135"/>
        <w:jc w:val="both"/>
        <w:rPr>
          <w:sz w:val="18"/>
        </w:rPr>
      </w:pPr>
      <w:bookmarkStart w:id="2062" w:name="_bookmark1776"/>
      <w:bookmarkEnd w:id="2062"/>
      <w:r>
        <w:rPr>
          <w:position w:val="5"/>
          <w:sz w:val="12"/>
        </w:rPr>
        <w:t>1547</w:t>
      </w:r>
      <w:r>
        <w:rPr>
          <w:spacing w:val="14"/>
          <w:position w:val="5"/>
          <w:sz w:val="12"/>
        </w:rPr>
        <w:t xml:space="preserve"> </w:t>
      </w:r>
      <w:r>
        <w:rPr>
          <w:sz w:val="18"/>
        </w:rPr>
        <w:t>See</w:t>
      </w:r>
      <w:r>
        <w:rPr>
          <w:spacing w:val="-4"/>
          <w:sz w:val="18"/>
        </w:rPr>
        <w:t xml:space="preserve"> </w:t>
      </w:r>
      <w:r>
        <w:rPr>
          <w:sz w:val="18"/>
        </w:rPr>
        <w:t>also Australia's</w:t>
      </w:r>
      <w:r>
        <w:rPr>
          <w:spacing w:val="-4"/>
          <w:sz w:val="18"/>
        </w:rPr>
        <w:t xml:space="preserve"> </w:t>
      </w:r>
      <w:r>
        <w:rPr>
          <w:sz w:val="18"/>
        </w:rPr>
        <w:t>response</w:t>
      </w:r>
      <w:r>
        <w:rPr>
          <w:spacing w:val="-4"/>
          <w:sz w:val="18"/>
        </w:rPr>
        <w:t xml:space="preserve"> </w:t>
      </w:r>
      <w:r>
        <w:rPr>
          <w:sz w:val="18"/>
        </w:rPr>
        <w:t>to</w:t>
      </w:r>
      <w:r>
        <w:rPr>
          <w:spacing w:val="-5"/>
          <w:sz w:val="18"/>
        </w:rPr>
        <w:t xml:space="preserve"> </w:t>
      </w:r>
      <w:r>
        <w:rPr>
          <w:sz w:val="18"/>
        </w:rPr>
        <w:t>China's</w:t>
      </w:r>
      <w:r>
        <w:rPr>
          <w:spacing w:val="-4"/>
          <w:sz w:val="18"/>
        </w:rPr>
        <w:t xml:space="preserve"> </w:t>
      </w:r>
      <w:r>
        <w:rPr>
          <w:sz w:val="18"/>
        </w:rPr>
        <w:t>PRR,</w:t>
      </w:r>
      <w:r>
        <w:rPr>
          <w:spacing w:val="-2"/>
          <w:sz w:val="18"/>
        </w:rPr>
        <w:t xml:space="preserve"> </w:t>
      </w:r>
      <w:r>
        <w:rPr>
          <w:sz w:val="18"/>
        </w:rPr>
        <w:t>para.</w:t>
      </w:r>
      <w:r>
        <w:rPr>
          <w:spacing w:val="-3"/>
          <w:sz w:val="18"/>
        </w:rPr>
        <w:t xml:space="preserve"> </w:t>
      </w:r>
      <w:r>
        <w:rPr>
          <w:spacing w:val="-5"/>
          <w:sz w:val="18"/>
        </w:rPr>
        <w:t>80.</w:t>
      </w:r>
    </w:p>
    <w:p w14:paraId="69D377CE" w14:textId="77777777" w:rsidR="00BD462C" w:rsidRDefault="00BD462C">
      <w:pPr>
        <w:jc w:val="both"/>
        <w:rPr>
          <w:sz w:val="18"/>
        </w:rPr>
        <w:sectPr w:rsidR="00BD462C">
          <w:pgSz w:w="11910" w:h="16840"/>
          <w:pgMar w:top="860" w:right="500" w:bottom="780" w:left="1280" w:header="566" w:footer="590" w:gutter="0"/>
          <w:cols w:space="720"/>
        </w:sectPr>
      </w:pPr>
    </w:p>
    <w:p w14:paraId="70A80E46"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7A388312"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65093C41" w14:textId="77777777" w:rsidR="00BD462C" w:rsidRDefault="00033D0F">
      <w:pPr>
        <w:tabs>
          <w:tab w:val="left" w:pos="7652"/>
        </w:tabs>
        <w:ind w:left="135"/>
        <w:rPr>
          <w:sz w:val="20"/>
        </w:rPr>
      </w:pPr>
      <w:bookmarkStart w:id="2063" w:name="A.4.2_Australia's_claim_pursuant_to_Arti"/>
      <w:bookmarkEnd w:id="2063"/>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2E59670D" w14:textId="77777777" w:rsidR="00BD462C" w:rsidRDefault="00033D0F">
      <w:pPr>
        <w:pStyle w:val="Heading3"/>
        <w:numPr>
          <w:ilvl w:val="2"/>
          <w:numId w:val="5"/>
        </w:numPr>
        <w:tabs>
          <w:tab w:val="left" w:pos="1835"/>
          <w:tab w:val="left" w:pos="1836"/>
        </w:tabs>
        <w:spacing w:before="2" w:line="362" w:lineRule="auto"/>
        <w:ind w:right="913"/>
      </w:pPr>
      <w:r>
        <w:t>Australia's</w:t>
      </w:r>
      <w:r>
        <w:rPr>
          <w:spacing w:val="40"/>
        </w:rPr>
        <w:t xml:space="preserve"> </w:t>
      </w:r>
      <w:r>
        <w:t>claim</w:t>
      </w:r>
      <w:r>
        <w:rPr>
          <w:spacing w:val="40"/>
        </w:rPr>
        <w:t xml:space="preserve"> </w:t>
      </w:r>
      <w:r>
        <w:t>pursuant</w:t>
      </w:r>
      <w:r>
        <w:rPr>
          <w:spacing w:val="40"/>
        </w:rPr>
        <w:t xml:space="preserve"> </w:t>
      </w:r>
      <w:r>
        <w:t>to</w:t>
      </w:r>
      <w:r>
        <w:rPr>
          <w:spacing w:val="40"/>
        </w:rPr>
        <w:t xml:space="preserve"> </w:t>
      </w:r>
      <w:r>
        <w:t>Article</w:t>
      </w:r>
      <w:r>
        <w:rPr>
          <w:spacing w:val="40"/>
        </w:rPr>
        <w:t xml:space="preserve"> </w:t>
      </w:r>
      <w:r>
        <w:t>5.2</w:t>
      </w:r>
      <w:r>
        <w:rPr>
          <w:spacing w:val="40"/>
        </w:rPr>
        <w:t xml:space="preserve"> </w:t>
      </w:r>
      <w:r>
        <w:t>is</w:t>
      </w:r>
      <w:r>
        <w:rPr>
          <w:spacing w:val="40"/>
        </w:rPr>
        <w:t xml:space="preserve"> </w:t>
      </w:r>
      <w:r>
        <w:t>within</w:t>
      </w:r>
      <w:r>
        <w:rPr>
          <w:spacing w:val="40"/>
        </w:rPr>
        <w:t xml:space="preserve"> </w:t>
      </w:r>
      <w:r>
        <w:t>the</w:t>
      </w:r>
      <w:r>
        <w:rPr>
          <w:spacing w:val="40"/>
        </w:rPr>
        <w:t xml:space="preserve"> </w:t>
      </w:r>
      <w:r>
        <w:t>Panel's</w:t>
      </w:r>
      <w:r>
        <w:rPr>
          <w:spacing w:val="40"/>
        </w:rPr>
        <w:t xml:space="preserve"> </w:t>
      </w:r>
      <w:r>
        <w:t>terms</w:t>
      </w:r>
      <w:r>
        <w:rPr>
          <w:spacing w:val="40"/>
        </w:rPr>
        <w:t xml:space="preserve"> </w:t>
      </w:r>
      <w:r>
        <w:t xml:space="preserve">of </w:t>
      </w:r>
      <w:r>
        <w:rPr>
          <w:spacing w:val="-2"/>
        </w:rPr>
        <w:t>reference.</w:t>
      </w:r>
    </w:p>
    <w:p w14:paraId="36D3249B" w14:textId="77777777" w:rsidR="00BD462C" w:rsidRDefault="00BD462C">
      <w:pPr>
        <w:pStyle w:val="BodyText"/>
        <w:spacing w:before="7"/>
        <w:rPr>
          <w:b/>
          <w:sz w:val="8"/>
        </w:rPr>
      </w:pPr>
    </w:p>
    <w:p w14:paraId="5D3021B4" w14:textId="17D283F4" w:rsidR="00BD462C" w:rsidRDefault="005930FF">
      <w:pPr>
        <w:pStyle w:val="BodyText"/>
        <w:spacing w:before="56" w:line="355" w:lineRule="auto"/>
        <w:ind w:left="135" w:right="913"/>
        <w:jc w:val="both"/>
      </w:pPr>
      <w:r>
        <w:rPr>
          <w:noProof/>
        </w:rPr>
        <w:t>32.</w:t>
      </w:r>
      <w:r w:rsidR="00033D0F">
        <w:rPr>
          <w:rFonts w:ascii="Times New Roman"/>
          <w:spacing w:val="80"/>
          <w:w w:val="150"/>
          <w:position w:val="1"/>
          <w:sz w:val="20"/>
        </w:rPr>
        <w:t xml:space="preserve">  </w:t>
      </w:r>
      <w:r w:rsidR="00033D0F">
        <w:rPr>
          <w:position w:val="1"/>
        </w:rPr>
        <w:t>Article</w:t>
      </w:r>
      <w:r w:rsidR="00033D0F">
        <w:rPr>
          <w:spacing w:val="-12"/>
          <w:position w:val="1"/>
        </w:rPr>
        <w:t xml:space="preserve"> </w:t>
      </w:r>
      <w:r w:rsidR="00033D0F">
        <w:rPr>
          <w:position w:val="1"/>
        </w:rPr>
        <w:t>5.2</w:t>
      </w:r>
      <w:r w:rsidR="00033D0F">
        <w:rPr>
          <w:spacing w:val="-14"/>
          <w:position w:val="1"/>
        </w:rPr>
        <w:t xml:space="preserve"> </w:t>
      </w:r>
      <w:r w:rsidR="00033D0F">
        <w:rPr>
          <w:position w:val="1"/>
        </w:rPr>
        <w:t>informs</w:t>
      </w:r>
      <w:r w:rsidR="00033D0F">
        <w:rPr>
          <w:spacing w:val="-10"/>
          <w:position w:val="1"/>
        </w:rPr>
        <w:t xml:space="preserve"> </w:t>
      </w:r>
      <w:r w:rsidR="00033D0F">
        <w:rPr>
          <w:position w:val="1"/>
        </w:rPr>
        <w:t>compliance</w:t>
      </w:r>
      <w:r w:rsidR="00033D0F">
        <w:rPr>
          <w:spacing w:val="-12"/>
          <w:position w:val="1"/>
        </w:rPr>
        <w:t xml:space="preserve"> </w:t>
      </w:r>
      <w:r w:rsidR="00033D0F">
        <w:rPr>
          <w:position w:val="1"/>
        </w:rPr>
        <w:t>with,</w:t>
      </w:r>
      <w:r w:rsidR="00033D0F">
        <w:rPr>
          <w:spacing w:val="-10"/>
          <w:position w:val="1"/>
        </w:rPr>
        <w:t xml:space="preserve"> </w:t>
      </w:r>
      <w:r w:rsidR="00033D0F">
        <w:rPr>
          <w:position w:val="1"/>
        </w:rPr>
        <w:t>and</w:t>
      </w:r>
      <w:r w:rsidR="00033D0F">
        <w:rPr>
          <w:spacing w:val="-14"/>
          <w:position w:val="1"/>
        </w:rPr>
        <w:t xml:space="preserve"> </w:t>
      </w:r>
      <w:r w:rsidR="00033D0F">
        <w:rPr>
          <w:position w:val="1"/>
        </w:rPr>
        <w:t>creates</w:t>
      </w:r>
      <w:r w:rsidR="00033D0F">
        <w:rPr>
          <w:spacing w:val="-10"/>
          <w:position w:val="1"/>
        </w:rPr>
        <w:t xml:space="preserve"> </w:t>
      </w:r>
      <w:r w:rsidR="00033D0F">
        <w:rPr>
          <w:position w:val="1"/>
        </w:rPr>
        <w:t>prerequisites</w:t>
      </w:r>
      <w:r w:rsidR="00033D0F">
        <w:rPr>
          <w:spacing w:val="-10"/>
          <w:position w:val="1"/>
        </w:rPr>
        <w:t xml:space="preserve"> </w:t>
      </w:r>
      <w:r w:rsidR="00033D0F">
        <w:rPr>
          <w:position w:val="1"/>
        </w:rPr>
        <w:t>to,</w:t>
      </w:r>
      <w:r w:rsidR="00033D0F">
        <w:rPr>
          <w:spacing w:val="-10"/>
          <w:position w:val="1"/>
        </w:rPr>
        <w:t xml:space="preserve"> </w:t>
      </w:r>
      <w:r w:rsidR="00033D0F">
        <w:rPr>
          <w:position w:val="1"/>
        </w:rPr>
        <w:t>Articles</w:t>
      </w:r>
      <w:r w:rsidR="00033D0F">
        <w:rPr>
          <w:spacing w:val="-10"/>
          <w:position w:val="1"/>
        </w:rPr>
        <w:t xml:space="preserve"> </w:t>
      </w:r>
      <w:r w:rsidR="00033D0F">
        <w:rPr>
          <w:position w:val="1"/>
        </w:rPr>
        <w:t>5.3</w:t>
      </w:r>
      <w:r w:rsidR="00033D0F">
        <w:rPr>
          <w:spacing w:val="-14"/>
          <w:position w:val="1"/>
        </w:rPr>
        <w:t xml:space="preserve"> </w:t>
      </w:r>
      <w:r w:rsidR="00033D0F">
        <w:rPr>
          <w:position w:val="1"/>
        </w:rPr>
        <w:t>and</w:t>
      </w:r>
      <w:r w:rsidR="00033D0F">
        <w:rPr>
          <w:spacing w:val="-14"/>
          <w:position w:val="1"/>
        </w:rPr>
        <w:t xml:space="preserve"> </w:t>
      </w:r>
      <w:r w:rsidR="00033D0F">
        <w:rPr>
          <w:position w:val="1"/>
        </w:rPr>
        <w:t xml:space="preserve">5.8. </w:t>
      </w:r>
      <w:r w:rsidR="00033D0F">
        <w:t>These</w:t>
      </w:r>
      <w:r w:rsidR="00033D0F">
        <w:rPr>
          <w:spacing w:val="-16"/>
        </w:rPr>
        <w:t xml:space="preserve"> </w:t>
      </w:r>
      <w:r w:rsidR="00033D0F">
        <w:t>provisions</w:t>
      </w:r>
      <w:r w:rsidR="00033D0F">
        <w:rPr>
          <w:spacing w:val="-14"/>
        </w:rPr>
        <w:t xml:space="preserve"> </w:t>
      </w:r>
      <w:r w:rsidR="00033D0F">
        <w:t>must</w:t>
      </w:r>
      <w:r w:rsidR="00033D0F">
        <w:rPr>
          <w:spacing w:val="-15"/>
        </w:rPr>
        <w:t xml:space="preserve"> </w:t>
      </w:r>
      <w:r w:rsidR="00033D0F">
        <w:t>be</w:t>
      </w:r>
      <w:r w:rsidR="00033D0F">
        <w:rPr>
          <w:spacing w:val="-16"/>
        </w:rPr>
        <w:t xml:space="preserve"> </w:t>
      </w:r>
      <w:r w:rsidR="00033D0F">
        <w:t>read</w:t>
      </w:r>
      <w:r w:rsidR="00033D0F">
        <w:rPr>
          <w:spacing w:val="-13"/>
        </w:rPr>
        <w:t xml:space="preserve"> </w:t>
      </w:r>
      <w:r w:rsidR="00033D0F">
        <w:t>together;</w:t>
      </w:r>
      <w:r w:rsidR="00033D0F">
        <w:rPr>
          <w:spacing w:val="-13"/>
        </w:rPr>
        <w:t xml:space="preserve"> </w:t>
      </w:r>
      <w:r w:rsidR="00033D0F">
        <w:t>it</w:t>
      </w:r>
      <w:r w:rsidR="00033D0F">
        <w:rPr>
          <w:spacing w:val="-15"/>
        </w:rPr>
        <w:t xml:space="preserve"> </w:t>
      </w:r>
      <w:r w:rsidR="00033D0F">
        <w:t>is</w:t>
      </w:r>
      <w:r w:rsidR="00033D0F">
        <w:rPr>
          <w:spacing w:val="-14"/>
        </w:rPr>
        <w:t xml:space="preserve"> </w:t>
      </w:r>
      <w:r w:rsidR="00033D0F">
        <w:t>impossible</w:t>
      </w:r>
      <w:r w:rsidR="00033D0F">
        <w:rPr>
          <w:spacing w:val="-16"/>
        </w:rPr>
        <w:t xml:space="preserve"> </w:t>
      </w:r>
      <w:r w:rsidR="00033D0F">
        <w:t>to</w:t>
      </w:r>
      <w:r w:rsidR="00033D0F">
        <w:rPr>
          <w:spacing w:val="-18"/>
        </w:rPr>
        <w:t xml:space="preserve"> </w:t>
      </w:r>
      <w:r w:rsidR="00033D0F">
        <w:t>strike</w:t>
      </w:r>
      <w:r w:rsidR="00033D0F">
        <w:rPr>
          <w:spacing w:val="-16"/>
        </w:rPr>
        <w:t xml:space="preserve"> </w:t>
      </w:r>
      <w:r w:rsidR="00033D0F">
        <w:t>a</w:t>
      </w:r>
      <w:r w:rsidR="00033D0F">
        <w:rPr>
          <w:spacing w:val="-16"/>
        </w:rPr>
        <w:t xml:space="preserve"> </w:t>
      </w:r>
      <w:r w:rsidR="00033D0F">
        <w:t>particular</w:t>
      </w:r>
      <w:r w:rsidR="00033D0F">
        <w:rPr>
          <w:spacing w:val="-18"/>
        </w:rPr>
        <w:t xml:space="preserve"> </w:t>
      </w:r>
      <w:r w:rsidR="00033D0F">
        <w:t>element</w:t>
      </w:r>
      <w:r w:rsidR="00033D0F">
        <w:rPr>
          <w:spacing w:val="-15"/>
        </w:rPr>
        <w:t xml:space="preserve"> </w:t>
      </w:r>
      <w:r w:rsidR="00033D0F">
        <w:t>of</w:t>
      </w:r>
      <w:r w:rsidR="00033D0F">
        <w:rPr>
          <w:spacing w:val="-13"/>
        </w:rPr>
        <w:t xml:space="preserve"> </w:t>
      </w:r>
      <w:r w:rsidR="00033D0F">
        <w:t>Article</w:t>
      </w:r>
    </w:p>
    <w:p w14:paraId="1A89D69A" w14:textId="77777777" w:rsidR="00BD462C" w:rsidRDefault="00033D0F">
      <w:pPr>
        <w:pStyle w:val="BodyText"/>
        <w:spacing w:before="7" w:line="360" w:lineRule="auto"/>
        <w:ind w:left="135" w:right="916"/>
        <w:jc w:val="both"/>
      </w:pPr>
      <w:r>
        <w:t>5 from the dispute without compromising the corresponding analysis under these obligations.</w:t>
      </w:r>
      <w:hyperlink w:anchor="_bookmark1777" w:history="1">
        <w:r>
          <w:rPr>
            <w:vertAlign w:val="superscript"/>
          </w:rPr>
          <w:t>1548</w:t>
        </w:r>
      </w:hyperlink>
      <w:r>
        <w:rPr>
          <w:spacing w:val="-3"/>
        </w:rPr>
        <w:t xml:space="preserve"> </w:t>
      </w:r>
      <w:r>
        <w:t>China's</w:t>
      </w:r>
      <w:r>
        <w:rPr>
          <w:spacing w:val="-2"/>
        </w:rPr>
        <w:t xml:space="preserve"> </w:t>
      </w:r>
      <w:r>
        <w:t>assertion</w:t>
      </w:r>
      <w:r>
        <w:rPr>
          <w:spacing w:val="-5"/>
        </w:rPr>
        <w:t xml:space="preserve"> </w:t>
      </w:r>
      <w:r>
        <w:t>that</w:t>
      </w:r>
      <w:r>
        <w:rPr>
          <w:spacing w:val="-8"/>
        </w:rPr>
        <w:t xml:space="preserve"> </w:t>
      </w:r>
      <w:r>
        <w:t>a</w:t>
      </w:r>
      <w:r>
        <w:rPr>
          <w:spacing w:val="-4"/>
        </w:rPr>
        <w:t xml:space="preserve"> </w:t>
      </w:r>
      <w:r>
        <w:t>panel</w:t>
      </w:r>
      <w:r>
        <w:rPr>
          <w:spacing w:val="-6"/>
        </w:rPr>
        <w:t xml:space="preserve"> </w:t>
      </w:r>
      <w:r>
        <w:t>should</w:t>
      </w:r>
      <w:r>
        <w:rPr>
          <w:spacing w:val="-5"/>
        </w:rPr>
        <w:t xml:space="preserve"> </w:t>
      </w:r>
      <w:r>
        <w:t>strike</w:t>
      </w:r>
      <w:r>
        <w:rPr>
          <w:spacing w:val="-3"/>
        </w:rPr>
        <w:t xml:space="preserve"> </w:t>
      </w:r>
      <w:r>
        <w:t>Article</w:t>
      </w:r>
      <w:r>
        <w:rPr>
          <w:spacing w:val="-3"/>
        </w:rPr>
        <w:t xml:space="preserve"> </w:t>
      </w:r>
      <w:r>
        <w:t>5.2</w:t>
      </w:r>
      <w:r>
        <w:rPr>
          <w:spacing w:val="-6"/>
        </w:rPr>
        <w:t xml:space="preserve"> </w:t>
      </w:r>
      <w:r>
        <w:t>from</w:t>
      </w:r>
      <w:r>
        <w:rPr>
          <w:spacing w:val="-4"/>
        </w:rPr>
        <w:t xml:space="preserve"> </w:t>
      </w:r>
      <w:r>
        <w:t>its</w:t>
      </w:r>
      <w:r>
        <w:rPr>
          <w:spacing w:val="-7"/>
        </w:rPr>
        <w:t xml:space="preserve"> </w:t>
      </w:r>
      <w:r>
        <w:t>analysis</w:t>
      </w:r>
      <w:r>
        <w:rPr>
          <w:spacing w:val="-2"/>
        </w:rPr>
        <w:t xml:space="preserve"> </w:t>
      </w:r>
      <w:r>
        <w:t>merely because it does not impose an independent obligation is therefore without merit.</w:t>
      </w:r>
    </w:p>
    <w:p w14:paraId="34FA8E1D" w14:textId="77777777" w:rsidR="00BD462C" w:rsidRDefault="00033D0F">
      <w:pPr>
        <w:pStyle w:val="Heading3"/>
        <w:numPr>
          <w:ilvl w:val="2"/>
          <w:numId w:val="5"/>
        </w:numPr>
        <w:tabs>
          <w:tab w:val="left" w:pos="1836"/>
        </w:tabs>
        <w:spacing w:before="160" w:line="357" w:lineRule="auto"/>
        <w:ind w:right="917"/>
      </w:pPr>
      <w:bookmarkStart w:id="2064" w:name="A.4.3_Australia's_claims_pursuant_to_Art"/>
      <w:bookmarkEnd w:id="2064"/>
      <w:r>
        <w:t>Australia's claims pursuant to Articles 5.1, 5.2(i) and 5.4 are within the Panel's terms of reference.</w:t>
      </w:r>
    </w:p>
    <w:p w14:paraId="0B2AC2E8" w14:textId="77777777" w:rsidR="00BD462C" w:rsidRDefault="00BD462C">
      <w:pPr>
        <w:pStyle w:val="BodyText"/>
        <w:spacing w:before="2"/>
        <w:rPr>
          <w:b/>
          <w:sz w:val="9"/>
        </w:rPr>
      </w:pPr>
    </w:p>
    <w:p w14:paraId="028405FE" w14:textId="5F355990" w:rsidR="00BD462C" w:rsidRDefault="005930FF">
      <w:pPr>
        <w:pStyle w:val="BodyText"/>
        <w:spacing w:before="56" w:line="357" w:lineRule="auto"/>
        <w:ind w:left="135" w:right="923"/>
      </w:pPr>
      <w:r>
        <w:rPr>
          <w:noProof/>
        </w:rPr>
        <w:t>33.</w:t>
      </w:r>
      <w:r w:rsidR="00033D0F">
        <w:rPr>
          <w:rFonts w:ascii="Times New Roman"/>
          <w:spacing w:val="80"/>
          <w:w w:val="150"/>
          <w:position w:val="1"/>
          <w:sz w:val="20"/>
        </w:rPr>
        <w:t xml:space="preserve">   </w:t>
      </w:r>
      <w:r w:rsidR="00033D0F">
        <w:rPr>
          <w:position w:val="1"/>
        </w:rPr>
        <w:t xml:space="preserve">China advances two jurisdictional or 'threshold' arguments in relation to Australia's </w:t>
      </w:r>
      <w:r w:rsidR="00033D0F">
        <w:t>claims pursuant to Articles 5.1, 5.2(i) and 5.4.</w:t>
      </w:r>
    </w:p>
    <w:p w14:paraId="1DE68E3C" w14:textId="77777777" w:rsidR="00BD462C" w:rsidRDefault="00BD462C">
      <w:pPr>
        <w:pStyle w:val="BodyText"/>
        <w:spacing w:before="10"/>
        <w:rPr>
          <w:sz w:val="8"/>
        </w:rPr>
      </w:pPr>
    </w:p>
    <w:p w14:paraId="30EB46AD" w14:textId="32C94B75" w:rsidR="00BD462C" w:rsidRDefault="005930FF">
      <w:pPr>
        <w:pStyle w:val="BodyText"/>
        <w:spacing w:before="56" w:line="360" w:lineRule="auto"/>
        <w:ind w:left="135" w:right="913"/>
        <w:jc w:val="both"/>
      </w:pPr>
      <w:r>
        <w:rPr>
          <w:noProof/>
        </w:rPr>
        <w:t>34.</w:t>
      </w:r>
      <w:r w:rsidR="00033D0F">
        <w:rPr>
          <w:rFonts w:ascii="Times New Roman"/>
          <w:spacing w:val="80"/>
          <w:position w:val="1"/>
          <w:sz w:val="20"/>
        </w:rPr>
        <w:t xml:space="preserve">   </w:t>
      </w:r>
      <w:r w:rsidR="00033D0F">
        <w:rPr>
          <w:position w:val="1"/>
        </w:rPr>
        <w:t xml:space="preserve">The first is a repetition of its PRR position that these claims are not sufficiently clear </w:t>
      </w:r>
      <w:r w:rsidR="00033D0F">
        <w:t>and paraphrase the text of the Anti-Dumping Agreement.</w:t>
      </w:r>
      <w:hyperlink w:anchor="_bookmark1778" w:history="1">
        <w:r w:rsidR="00033D0F">
          <w:rPr>
            <w:vertAlign w:val="superscript"/>
          </w:rPr>
          <w:t>1549</w:t>
        </w:r>
      </w:hyperlink>
      <w:r w:rsidR="00033D0F">
        <w:t xml:space="preserve"> Australia has advanced a detailed response to this allegation and stands on these submissions.</w:t>
      </w:r>
      <w:hyperlink w:anchor="_bookmark1779" w:history="1">
        <w:r w:rsidR="00033D0F">
          <w:rPr>
            <w:vertAlign w:val="superscript"/>
          </w:rPr>
          <w:t>1550</w:t>
        </w:r>
      </w:hyperlink>
    </w:p>
    <w:p w14:paraId="4D033223" w14:textId="77777777" w:rsidR="00BD462C" w:rsidRDefault="00BD462C">
      <w:pPr>
        <w:pStyle w:val="BodyText"/>
        <w:spacing w:before="7"/>
        <w:rPr>
          <w:sz w:val="8"/>
        </w:rPr>
      </w:pPr>
    </w:p>
    <w:p w14:paraId="0EA75A02" w14:textId="6B85C079" w:rsidR="00BD462C" w:rsidRDefault="005930FF">
      <w:pPr>
        <w:pStyle w:val="BodyText"/>
        <w:spacing w:before="56" w:line="360" w:lineRule="auto"/>
        <w:ind w:left="135" w:right="914"/>
        <w:jc w:val="both"/>
      </w:pPr>
      <w:r>
        <w:rPr>
          <w:noProof/>
        </w:rPr>
        <w:t>35.</w:t>
      </w:r>
      <w:r w:rsidR="00033D0F">
        <w:rPr>
          <w:rFonts w:ascii="Times New Roman"/>
          <w:spacing w:val="80"/>
          <w:w w:val="150"/>
          <w:position w:val="1"/>
          <w:sz w:val="20"/>
        </w:rPr>
        <w:t xml:space="preserve">  </w:t>
      </w:r>
      <w:r w:rsidR="00033D0F">
        <w:rPr>
          <w:position w:val="1"/>
        </w:rPr>
        <w:t xml:space="preserve">Secondly, China's asserts that Australia's claim has impermissibly changed from its </w:t>
      </w:r>
      <w:r w:rsidR="00033D0F">
        <w:t>panel</w:t>
      </w:r>
      <w:r w:rsidR="00033D0F">
        <w:rPr>
          <w:spacing w:val="-7"/>
        </w:rPr>
        <w:t xml:space="preserve"> </w:t>
      </w:r>
      <w:r w:rsidR="00033D0F">
        <w:t>request,</w:t>
      </w:r>
      <w:r w:rsidR="00033D0F">
        <w:rPr>
          <w:spacing w:val="-7"/>
        </w:rPr>
        <w:t xml:space="preserve"> </w:t>
      </w:r>
      <w:r w:rsidR="00033D0F">
        <w:t>and</w:t>
      </w:r>
      <w:r w:rsidR="00033D0F">
        <w:rPr>
          <w:spacing w:val="-11"/>
        </w:rPr>
        <w:t xml:space="preserve"> </w:t>
      </w:r>
      <w:r w:rsidR="00033D0F">
        <w:t>claims</w:t>
      </w:r>
      <w:r w:rsidR="00033D0F">
        <w:rPr>
          <w:spacing w:val="-8"/>
        </w:rPr>
        <w:t xml:space="preserve"> </w:t>
      </w:r>
      <w:r w:rsidR="00033D0F">
        <w:t>that</w:t>
      </w:r>
      <w:r w:rsidR="00033D0F">
        <w:rPr>
          <w:spacing w:val="-9"/>
        </w:rPr>
        <w:t xml:space="preserve"> </w:t>
      </w:r>
      <w:r w:rsidR="00033D0F">
        <w:t>Australia</w:t>
      </w:r>
      <w:r w:rsidR="00033D0F">
        <w:rPr>
          <w:spacing w:val="-10"/>
        </w:rPr>
        <w:t xml:space="preserve"> </w:t>
      </w:r>
      <w:r w:rsidR="00033D0F">
        <w:t>consequently</w:t>
      </w:r>
      <w:r w:rsidR="00033D0F">
        <w:rPr>
          <w:spacing w:val="-8"/>
        </w:rPr>
        <w:t xml:space="preserve"> </w:t>
      </w:r>
      <w:r w:rsidR="00033D0F">
        <w:t>cannot</w:t>
      </w:r>
      <w:r w:rsidR="00033D0F">
        <w:rPr>
          <w:spacing w:val="-9"/>
        </w:rPr>
        <w:t xml:space="preserve"> </w:t>
      </w:r>
      <w:r w:rsidR="00033D0F">
        <w:t>adduce</w:t>
      </w:r>
      <w:r w:rsidR="00033D0F">
        <w:rPr>
          <w:spacing w:val="-9"/>
        </w:rPr>
        <w:t xml:space="preserve"> </w:t>
      </w:r>
      <w:r w:rsidR="00033D0F">
        <w:t>any</w:t>
      </w:r>
      <w:r w:rsidR="00033D0F">
        <w:rPr>
          <w:spacing w:val="-8"/>
        </w:rPr>
        <w:t xml:space="preserve"> </w:t>
      </w:r>
      <w:r w:rsidR="00033D0F">
        <w:t>argument</w:t>
      </w:r>
      <w:r w:rsidR="00033D0F">
        <w:rPr>
          <w:spacing w:val="-9"/>
        </w:rPr>
        <w:t xml:space="preserve"> </w:t>
      </w:r>
      <w:r w:rsidR="00033D0F">
        <w:t>that</w:t>
      </w:r>
      <w:r w:rsidR="00033D0F">
        <w:rPr>
          <w:spacing w:val="-9"/>
        </w:rPr>
        <w:t xml:space="preserve"> </w:t>
      </w:r>
      <w:r w:rsidR="00033D0F">
        <w:t>it</w:t>
      </w:r>
      <w:r w:rsidR="00033D0F">
        <w:rPr>
          <w:spacing w:val="-9"/>
        </w:rPr>
        <w:t xml:space="preserve"> </w:t>
      </w:r>
      <w:r w:rsidR="00033D0F">
        <w:t>did not include in its panel request including its claim under Article 5.2(i).</w:t>
      </w:r>
      <w:hyperlink w:anchor="_bookmark1780" w:history="1">
        <w:r w:rsidR="00033D0F">
          <w:rPr>
            <w:vertAlign w:val="superscript"/>
          </w:rPr>
          <w:t>1551</w:t>
        </w:r>
      </w:hyperlink>
    </w:p>
    <w:p w14:paraId="4534CAC7" w14:textId="77777777" w:rsidR="00BD462C" w:rsidRDefault="00BD462C">
      <w:pPr>
        <w:pStyle w:val="BodyText"/>
        <w:spacing w:before="6"/>
        <w:rPr>
          <w:sz w:val="8"/>
        </w:rPr>
      </w:pPr>
    </w:p>
    <w:p w14:paraId="15541C26" w14:textId="1FA7066A" w:rsidR="00BD462C" w:rsidRDefault="005930FF">
      <w:pPr>
        <w:pStyle w:val="BodyText"/>
        <w:spacing w:before="56" w:line="360" w:lineRule="auto"/>
        <w:ind w:left="135" w:right="913"/>
        <w:jc w:val="both"/>
      </w:pPr>
      <w:r>
        <w:rPr>
          <w:noProof/>
        </w:rPr>
        <w:t>36.</w:t>
      </w:r>
      <w:r w:rsidR="00033D0F">
        <w:rPr>
          <w:rFonts w:ascii="Times New Roman"/>
          <w:spacing w:val="80"/>
          <w:w w:val="150"/>
          <w:position w:val="1"/>
          <w:sz w:val="20"/>
        </w:rPr>
        <w:t xml:space="preserve">  </w:t>
      </w:r>
      <w:r w:rsidR="00033D0F">
        <w:rPr>
          <w:position w:val="1"/>
        </w:rPr>
        <w:t>Australia</w:t>
      </w:r>
      <w:r w:rsidR="00033D0F">
        <w:rPr>
          <w:spacing w:val="-8"/>
          <w:position w:val="1"/>
        </w:rPr>
        <w:t xml:space="preserve"> </w:t>
      </w:r>
      <w:r w:rsidR="00033D0F">
        <w:rPr>
          <w:position w:val="1"/>
        </w:rPr>
        <w:t>disagrees.</w:t>
      </w:r>
      <w:r w:rsidR="00033D0F">
        <w:rPr>
          <w:spacing w:val="-6"/>
          <w:position w:val="1"/>
        </w:rPr>
        <w:t xml:space="preserve"> </w:t>
      </w:r>
      <w:r w:rsidR="00033D0F">
        <w:rPr>
          <w:position w:val="1"/>
        </w:rPr>
        <w:t>First,</w:t>
      </w:r>
      <w:r w:rsidR="00033D0F">
        <w:rPr>
          <w:spacing w:val="-5"/>
          <w:position w:val="1"/>
        </w:rPr>
        <w:t xml:space="preserve"> </w:t>
      </w:r>
      <w:r w:rsidR="00033D0F">
        <w:rPr>
          <w:position w:val="1"/>
        </w:rPr>
        <w:t>China's</w:t>
      </w:r>
      <w:r w:rsidR="00033D0F">
        <w:rPr>
          <w:spacing w:val="-6"/>
          <w:position w:val="1"/>
        </w:rPr>
        <w:t xml:space="preserve"> </w:t>
      </w:r>
      <w:r w:rsidR="00033D0F">
        <w:rPr>
          <w:position w:val="1"/>
        </w:rPr>
        <w:t>position</w:t>
      </w:r>
      <w:r w:rsidR="00033D0F">
        <w:rPr>
          <w:spacing w:val="-9"/>
          <w:position w:val="1"/>
        </w:rPr>
        <w:t xml:space="preserve"> </w:t>
      </w:r>
      <w:r w:rsidR="00033D0F">
        <w:rPr>
          <w:position w:val="1"/>
        </w:rPr>
        <w:t>is</w:t>
      </w:r>
      <w:r w:rsidR="00033D0F">
        <w:rPr>
          <w:spacing w:val="-6"/>
          <w:position w:val="1"/>
        </w:rPr>
        <w:t xml:space="preserve"> </w:t>
      </w:r>
      <w:r w:rsidR="00033D0F">
        <w:rPr>
          <w:position w:val="1"/>
        </w:rPr>
        <w:t>predicated</w:t>
      </w:r>
      <w:r w:rsidR="00033D0F">
        <w:rPr>
          <w:spacing w:val="-9"/>
          <w:position w:val="1"/>
        </w:rPr>
        <w:t xml:space="preserve"> </w:t>
      </w:r>
      <w:r w:rsidR="00033D0F">
        <w:rPr>
          <w:position w:val="1"/>
        </w:rPr>
        <w:t>on</w:t>
      </w:r>
      <w:r w:rsidR="00033D0F">
        <w:rPr>
          <w:spacing w:val="-9"/>
          <w:position w:val="1"/>
        </w:rPr>
        <w:t xml:space="preserve"> </w:t>
      </w:r>
      <w:r w:rsidR="00033D0F">
        <w:rPr>
          <w:position w:val="1"/>
        </w:rPr>
        <w:t>a</w:t>
      </w:r>
      <w:r w:rsidR="00033D0F">
        <w:rPr>
          <w:spacing w:val="-3"/>
          <w:position w:val="1"/>
        </w:rPr>
        <w:t xml:space="preserve"> </w:t>
      </w:r>
      <w:r w:rsidR="00033D0F">
        <w:rPr>
          <w:position w:val="1"/>
        </w:rPr>
        <w:t>misunderstanding</w:t>
      </w:r>
      <w:r w:rsidR="00033D0F">
        <w:rPr>
          <w:spacing w:val="-6"/>
          <w:position w:val="1"/>
        </w:rPr>
        <w:t xml:space="preserve"> </w:t>
      </w:r>
      <w:r w:rsidR="00033D0F">
        <w:rPr>
          <w:position w:val="1"/>
        </w:rPr>
        <w:t>of</w:t>
      </w:r>
      <w:r w:rsidR="00033D0F">
        <w:rPr>
          <w:spacing w:val="-4"/>
          <w:position w:val="1"/>
        </w:rPr>
        <w:t xml:space="preserve"> </w:t>
      </w:r>
      <w:r w:rsidR="00033D0F">
        <w:rPr>
          <w:position w:val="1"/>
        </w:rPr>
        <w:t xml:space="preserve">the </w:t>
      </w:r>
      <w:r w:rsidR="00033D0F">
        <w:t>term 'legal basis', as detailed above.</w:t>
      </w:r>
      <w:hyperlink w:anchor="_bookmark1781" w:history="1">
        <w:r w:rsidR="00033D0F">
          <w:rPr>
            <w:vertAlign w:val="superscript"/>
          </w:rPr>
          <w:t>1552</w:t>
        </w:r>
      </w:hyperlink>
      <w:r w:rsidR="00033D0F">
        <w:t xml:space="preserve"> Australia reiterates that the "legal basis" is the WTO provision</w:t>
      </w:r>
      <w:r w:rsidR="00033D0F">
        <w:rPr>
          <w:spacing w:val="-13"/>
        </w:rPr>
        <w:t xml:space="preserve"> </w:t>
      </w:r>
      <w:r w:rsidR="00033D0F">
        <w:t>or</w:t>
      </w:r>
      <w:r w:rsidR="00033D0F">
        <w:rPr>
          <w:spacing w:val="-9"/>
        </w:rPr>
        <w:t xml:space="preserve"> </w:t>
      </w:r>
      <w:r w:rsidR="00033D0F">
        <w:t>obligation</w:t>
      </w:r>
      <w:r w:rsidR="00033D0F">
        <w:rPr>
          <w:spacing w:val="-13"/>
        </w:rPr>
        <w:t xml:space="preserve"> </w:t>
      </w:r>
      <w:r w:rsidR="00033D0F">
        <w:t>that</w:t>
      </w:r>
      <w:r w:rsidR="00033D0F">
        <w:rPr>
          <w:spacing w:val="-10"/>
        </w:rPr>
        <w:t xml:space="preserve"> </w:t>
      </w:r>
      <w:r w:rsidR="00033D0F">
        <w:t>is</w:t>
      </w:r>
      <w:r w:rsidR="00033D0F">
        <w:rPr>
          <w:spacing w:val="-9"/>
        </w:rPr>
        <w:t xml:space="preserve"> </w:t>
      </w:r>
      <w:r w:rsidR="00033D0F">
        <w:t>alleged</w:t>
      </w:r>
      <w:r w:rsidR="00033D0F">
        <w:rPr>
          <w:spacing w:val="-13"/>
        </w:rPr>
        <w:t xml:space="preserve"> </w:t>
      </w:r>
      <w:r w:rsidR="00033D0F">
        <w:t>to</w:t>
      </w:r>
      <w:r w:rsidR="00033D0F">
        <w:rPr>
          <w:spacing w:val="-13"/>
        </w:rPr>
        <w:t xml:space="preserve"> </w:t>
      </w:r>
      <w:r w:rsidR="00033D0F">
        <w:t>be</w:t>
      </w:r>
      <w:r w:rsidR="00033D0F">
        <w:rPr>
          <w:spacing w:val="-11"/>
        </w:rPr>
        <w:t xml:space="preserve"> </w:t>
      </w:r>
      <w:r w:rsidR="00033D0F">
        <w:t>infringed</w:t>
      </w:r>
      <w:r w:rsidR="00033D0F">
        <w:rPr>
          <w:spacing w:val="-13"/>
        </w:rPr>
        <w:t xml:space="preserve"> </w:t>
      </w:r>
      <w:r w:rsidR="00033D0F">
        <w:t>by</w:t>
      </w:r>
      <w:r w:rsidR="00033D0F">
        <w:rPr>
          <w:spacing w:val="-10"/>
        </w:rPr>
        <w:t xml:space="preserve"> </w:t>
      </w:r>
      <w:r w:rsidR="00033D0F">
        <w:t>the</w:t>
      </w:r>
      <w:r w:rsidR="00033D0F">
        <w:rPr>
          <w:spacing w:val="-6"/>
        </w:rPr>
        <w:t xml:space="preserve"> </w:t>
      </w:r>
      <w:r w:rsidR="00033D0F">
        <w:t>measure</w:t>
      </w:r>
      <w:r w:rsidR="00033D0F">
        <w:rPr>
          <w:spacing w:val="-11"/>
        </w:rPr>
        <w:t xml:space="preserve"> </w:t>
      </w:r>
      <w:r w:rsidR="00033D0F">
        <w:t>at</w:t>
      </w:r>
      <w:r w:rsidR="00033D0F">
        <w:rPr>
          <w:spacing w:val="-10"/>
        </w:rPr>
        <w:t xml:space="preserve"> </w:t>
      </w:r>
      <w:r w:rsidR="00033D0F">
        <w:t>issue.</w:t>
      </w:r>
      <w:r w:rsidR="00033D0F">
        <w:rPr>
          <w:spacing w:val="-10"/>
        </w:rPr>
        <w:t xml:space="preserve"> </w:t>
      </w:r>
      <w:r w:rsidR="00033D0F">
        <w:t>Australia</w:t>
      </w:r>
      <w:r w:rsidR="00033D0F">
        <w:rPr>
          <w:spacing w:val="-11"/>
        </w:rPr>
        <w:t xml:space="preserve"> </w:t>
      </w:r>
      <w:r w:rsidR="00033D0F">
        <w:t>set</w:t>
      </w:r>
      <w:r w:rsidR="00033D0F">
        <w:rPr>
          <w:spacing w:val="-10"/>
        </w:rPr>
        <w:t xml:space="preserve"> </w:t>
      </w:r>
      <w:r w:rsidR="00033D0F">
        <w:t>this out in its panel request,</w:t>
      </w:r>
      <w:hyperlink w:anchor="_bookmark1782" w:history="1">
        <w:r w:rsidR="00033D0F">
          <w:rPr>
            <w:vertAlign w:val="superscript"/>
          </w:rPr>
          <w:t>1553</w:t>
        </w:r>
      </w:hyperlink>
      <w:r w:rsidR="00033D0F">
        <w:t xml:space="preserve"> providing a brief summary of the legal basis of its complaint that was sufficient to present the problem clearly.</w:t>
      </w:r>
    </w:p>
    <w:p w14:paraId="56C887D7" w14:textId="77777777" w:rsidR="00BD462C" w:rsidRDefault="00BD462C">
      <w:pPr>
        <w:pStyle w:val="BodyText"/>
        <w:spacing w:before="11"/>
        <w:rPr>
          <w:sz w:val="8"/>
        </w:rPr>
      </w:pPr>
    </w:p>
    <w:p w14:paraId="6610191F" w14:textId="67AAF6D7" w:rsidR="00BD462C" w:rsidRDefault="005930FF">
      <w:pPr>
        <w:pStyle w:val="BodyText"/>
        <w:spacing w:before="56" w:line="357" w:lineRule="auto"/>
        <w:ind w:left="135" w:right="919"/>
        <w:jc w:val="both"/>
      </w:pPr>
      <w:r>
        <w:rPr>
          <w:noProof/>
        </w:rPr>
        <w:t>37.</w:t>
      </w:r>
      <w:r w:rsidR="00033D0F">
        <w:rPr>
          <w:rFonts w:ascii="Times New Roman"/>
          <w:spacing w:val="80"/>
          <w:position w:val="1"/>
          <w:sz w:val="20"/>
        </w:rPr>
        <w:t xml:space="preserve">  </w:t>
      </w:r>
      <w:r w:rsidR="00033D0F">
        <w:rPr>
          <w:position w:val="1"/>
        </w:rPr>
        <w:t xml:space="preserve">Moreover, the nature of Australia's claim was clear from the narrative of the panel </w:t>
      </w:r>
      <w:r w:rsidR="00033D0F">
        <w:t>request, the character of the provision itself and the measure at issue. In light of the nature of</w:t>
      </w:r>
      <w:r w:rsidR="00033D0F">
        <w:rPr>
          <w:spacing w:val="28"/>
        </w:rPr>
        <w:t xml:space="preserve"> </w:t>
      </w:r>
      <w:r w:rsidR="00033D0F">
        <w:t>the</w:t>
      </w:r>
      <w:r w:rsidR="00033D0F">
        <w:rPr>
          <w:spacing w:val="30"/>
        </w:rPr>
        <w:t xml:space="preserve"> </w:t>
      </w:r>
      <w:r w:rsidR="00033D0F">
        <w:t>measure</w:t>
      </w:r>
      <w:r w:rsidR="00033D0F">
        <w:rPr>
          <w:spacing w:val="30"/>
        </w:rPr>
        <w:t xml:space="preserve"> </w:t>
      </w:r>
      <w:r w:rsidR="00033D0F">
        <w:t>at</w:t>
      </w:r>
      <w:r w:rsidR="00033D0F">
        <w:rPr>
          <w:spacing w:val="31"/>
        </w:rPr>
        <w:t xml:space="preserve"> </w:t>
      </w:r>
      <w:r w:rsidR="00033D0F">
        <w:t>issue,</w:t>
      </w:r>
      <w:r w:rsidR="00033D0F">
        <w:rPr>
          <w:spacing w:val="27"/>
        </w:rPr>
        <w:t xml:space="preserve"> </w:t>
      </w:r>
      <w:r w:rsidR="00033D0F">
        <w:t>including</w:t>
      </w:r>
      <w:r w:rsidR="00033D0F">
        <w:rPr>
          <w:spacing w:val="31"/>
        </w:rPr>
        <w:t xml:space="preserve"> </w:t>
      </w:r>
      <w:r w:rsidR="00033D0F">
        <w:t>the</w:t>
      </w:r>
      <w:r w:rsidR="00033D0F">
        <w:rPr>
          <w:spacing w:val="30"/>
        </w:rPr>
        <w:t xml:space="preserve"> </w:t>
      </w:r>
      <w:r w:rsidR="00033D0F">
        <w:t>fact</w:t>
      </w:r>
      <w:r w:rsidR="00033D0F">
        <w:rPr>
          <w:spacing w:val="31"/>
        </w:rPr>
        <w:t xml:space="preserve"> </w:t>
      </w:r>
      <w:r w:rsidR="00033D0F">
        <w:t>that</w:t>
      </w:r>
      <w:r w:rsidR="00033D0F">
        <w:rPr>
          <w:spacing w:val="26"/>
        </w:rPr>
        <w:t xml:space="preserve"> </w:t>
      </w:r>
      <w:r w:rsidR="00033D0F">
        <w:t>the</w:t>
      </w:r>
      <w:r w:rsidR="00033D0F">
        <w:rPr>
          <w:spacing w:val="30"/>
        </w:rPr>
        <w:t xml:space="preserve"> </w:t>
      </w:r>
      <w:r w:rsidR="00033D0F">
        <w:t>application</w:t>
      </w:r>
      <w:r w:rsidR="00033D0F">
        <w:rPr>
          <w:spacing w:val="28"/>
        </w:rPr>
        <w:t xml:space="preserve"> </w:t>
      </w:r>
      <w:r w:rsidR="00033D0F">
        <w:t>was</w:t>
      </w:r>
      <w:r w:rsidR="00033D0F">
        <w:rPr>
          <w:spacing w:val="32"/>
        </w:rPr>
        <w:t xml:space="preserve"> </w:t>
      </w:r>
      <w:r w:rsidR="00033D0F">
        <w:t>purportedly</w:t>
      </w:r>
      <w:r w:rsidR="00033D0F">
        <w:rPr>
          <w:spacing w:val="31"/>
        </w:rPr>
        <w:t xml:space="preserve"> </w:t>
      </w:r>
      <w:r w:rsidR="00033D0F">
        <w:t>made</w:t>
      </w:r>
      <w:r w:rsidR="00033D0F">
        <w:rPr>
          <w:spacing w:val="30"/>
        </w:rPr>
        <w:t xml:space="preserve"> </w:t>
      </w:r>
      <w:r w:rsidR="00033D0F">
        <w:t>on</w:t>
      </w:r>
    </w:p>
    <w:p w14:paraId="12A0A82F" w14:textId="66FF70A7" w:rsidR="00BD462C" w:rsidRDefault="009A6330">
      <w:pPr>
        <w:pStyle w:val="BodyText"/>
        <w:rPr>
          <w:sz w:val="20"/>
        </w:rPr>
      </w:pPr>
      <w:r>
        <w:rPr>
          <w:noProof/>
        </w:rPr>
        <mc:AlternateContent>
          <mc:Choice Requires="wps">
            <w:drawing>
              <wp:anchor distT="0" distB="0" distL="0" distR="0" simplePos="0" relativeHeight="488014336" behindDoc="1" locked="0" layoutInCell="1" allowOverlap="1" wp14:anchorId="70919DC4" wp14:editId="4B126D82">
                <wp:simplePos x="0" y="0"/>
                <wp:positionH relativeFrom="page">
                  <wp:posOffset>812800</wp:posOffset>
                </wp:positionH>
                <wp:positionV relativeFrom="paragraph">
                  <wp:posOffset>161339</wp:posOffset>
                </wp:positionV>
                <wp:extent cx="1828800" cy="8890"/>
                <wp:effectExtent l="0" t="0" r="0" b="0"/>
                <wp:wrapTopAndBottom/>
                <wp:docPr id="1428" name="docshape7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89A91E" id="docshape712" o:spid="_x0000_s1026" alt="&quot;&quot;" style="position:absolute;margin-left:64pt;margin-top:12.7pt;width:2in;height:.7pt;z-index:-15302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" fillcolor="black" stroked="f">
                <w10:wrap type="topAndBottom" anchorx="page"/>
              </v:rect>
            </w:pict>
          </mc:Fallback>
        </mc:AlternateContent>
      </w:r>
    </w:p>
    <w:p w14:paraId="3860D875" w14:textId="77777777" w:rsidR="00BD462C" w:rsidRDefault="00033D0F">
      <w:pPr>
        <w:spacing w:before="112" w:line="218" w:lineRule="exact"/>
        <w:ind w:left="135"/>
        <w:rPr>
          <w:sz w:val="18"/>
        </w:rPr>
      </w:pPr>
      <w:bookmarkStart w:id="2065" w:name="_bookmark1777"/>
      <w:bookmarkEnd w:id="2065"/>
      <w:r>
        <w:rPr>
          <w:position w:val="5"/>
          <w:sz w:val="12"/>
        </w:rPr>
        <w:t>1548</w:t>
      </w:r>
      <w:r>
        <w:rPr>
          <w:spacing w:val="13"/>
          <w:position w:val="5"/>
          <w:sz w:val="12"/>
        </w:rPr>
        <w:t xml:space="preserve"> </w:t>
      </w:r>
      <w:r>
        <w:rPr>
          <w:sz w:val="18"/>
        </w:rPr>
        <w:t>China's</w:t>
      </w:r>
      <w:r>
        <w:rPr>
          <w:spacing w:val="-6"/>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para. 87;</w:t>
      </w:r>
      <w:r>
        <w:rPr>
          <w:spacing w:val="-8"/>
          <w:sz w:val="18"/>
        </w:rPr>
        <w:t xml:space="preserve"> </w:t>
      </w:r>
      <w:r>
        <w:rPr>
          <w:sz w:val="18"/>
        </w:rPr>
        <w:t>Australia's</w:t>
      </w:r>
      <w:r>
        <w:rPr>
          <w:spacing w:val="-5"/>
          <w:sz w:val="18"/>
        </w:rPr>
        <w:t xml:space="preserve"> </w:t>
      </w:r>
      <w:r>
        <w:rPr>
          <w:sz w:val="18"/>
        </w:rPr>
        <w:t>response</w:t>
      </w:r>
      <w:r>
        <w:rPr>
          <w:spacing w:val="-6"/>
          <w:sz w:val="18"/>
        </w:rPr>
        <w:t xml:space="preserve"> </w:t>
      </w:r>
      <w:r>
        <w:rPr>
          <w:sz w:val="18"/>
        </w:rPr>
        <w:t>to</w:t>
      </w:r>
      <w:r>
        <w:rPr>
          <w:spacing w:val="-6"/>
          <w:sz w:val="18"/>
        </w:rPr>
        <w:t xml:space="preserve"> </w:t>
      </w:r>
      <w:r>
        <w:rPr>
          <w:sz w:val="18"/>
        </w:rPr>
        <w:t>China's</w:t>
      </w:r>
      <w:r>
        <w:rPr>
          <w:spacing w:val="-5"/>
          <w:sz w:val="18"/>
        </w:rPr>
        <w:t xml:space="preserve"> </w:t>
      </w:r>
      <w:r>
        <w:rPr>
          <w:sz w:val="18"/>
        </w:rPr>
        <w:t>PRR,</w:t>
      </w:r>
      <w:r>
        <w:rPr>
          <w:spacing w:val="-4"/>
          <w:sz w:val="18"/>
        </w:rPr>
        <w:t xml:space="preserve"> </w:t>
      </w:r>
      <w:r>
        <w:rPr>
          <w:sz w:val="18"/>
        </w:rPr>
        <w:t xml:space="preserve">para. </w:t>
      </w:r>
      <w:r>
        <w:rPr>
          <w:spacing w:val="-5"/>
          <w:sz w:val="18"/>
        </w:rPr>
        <w:t>71.</w:t>
      </w:r>
    </w:p>
    <w:p w14:paraId="765CE1FC" w14:textId="77777777" w:rsidR="00BD462C" w:rsidRDefault="00033D0F">
      <w:pPr>
        <w:spacing w:line="218" w:lineRule="exact"/>
        <w:ind w:left="135"/>
        <w:rPr>
          <w:sz w:val="18"/>
        </w:rPr>
      </w:pPr>
      <w:bookmarkStart w:id="2066" w:name="_bookmark1778"/>
      <w:bookmarkEnd w:id="2066"/>
      <w:r>
        <w:rPr>
          <w:position w:val="5"/>
          <w:sz w:val="12"/>
        </w:rPr>
        <w:t>1549</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para.</w:t>
      </w:r>
      <w:r>
        <w:rPr>
          <w:spacing w:val="-1"/>
          <w:sz w:val="18"/>
        </w:rPr>
        <w:t xml:space="preserve"> </w:t>
      </w:r>
      <w:r>
        <w:rPr>
          <w:sz w:val="18"/>
        </w:rPr>
        <w:t>118;</w:t>
      </w:r>
      <w:r>
        <w:rPr>
          <w:spacing w:val="-7"/>
          <w:sz w:val="18"/>
        </w:rPr>
        <w:t xml:space="preserve"> </w:t>
      </w:r>
      <w:r>
        <w:rPr>
          <w:sz w:val="18"/>
        </w:rPr>
        <w:t>see</w:t>
      </w:r>
      <w:r>
        <w:rPr>
          <w:spacing w:val="-6"/>
          <w:sz w:val="18"/>
        </w:rPr>
        <w:t xml:space="preserve"> </w:t>
      </w:r>
      <w:r>
        <w:rPr>
          <w:sz w:val="18"/>
        </w:rPr>
        <w:t>Australia's</w:t>
      </w:r>
      <w:r>
        <w:rPr>
          <w:spacing w:val="-6"/>
          <w:sz w:val="18"/>
        </w:rPr>
        <w:t xml:space="preserve"> </w:t>
      </w:r>
      <w:r>
        <w:rPr>
          <w:sz w:val="18"/>
        </w:rPr>
        <w:t>panel</w:t>
      </w:r>
      <w:r>
        <w:rPr>
          <w:spacing w:val="-1"/>
          <w:sz w:val="18"/>
        </w:rPr>
        <w:t xml:space="preserve"> </w:t>
      </w:r>
      <w:r>
        <w:rPr>
          <w:sz w:val="18"/>
        </w:rPr>
        <w:t>request,</w:t>
      </w:r>
      <w:r>
        <w:rPr>
          <w:spacing w:val="-4"/>
          <w:sz w:val="18"/>
        </w:rPr>
        <w:t xml:space="preserve"> </w:t>
      </w:r>
      <w:r>
        <w:rPr>
          <w:sz w:val="18"/>
        </w:rPr>
        <w:t>para.</w:t>
      </w:r>
      <w:r>
        <w:rPr>
          <w:spacing w:val="-4"/>
          <w:sz w:val="18"/>
        </w:rPr>
        <w:t xml:space="preserve"> </w:t>
      </w:r>
      <w:r>
        <w:rPr>
          <w:spacing w:val="-2"/>
          <w:sz w:val="18"/>
        </w:rPr>
        <w:t>(ii).</w:t>
      </w:r>
    </w:p>
    <w:p w14:paraId="64566673" w14:textId="77777777" w:rsidR="00BD462C" w:rsidRDefault="00033D0F">
      <w:pPr>
        <w:spacing w:before="1"/>
        <w:ind w:left="135"/>
        <w:rPr>
          <w:sz w:val="18"/>
        </w:rPr>
      </w:pPr>
      <w:bookmarkStart w:id="2067" w:name="_bookmark1779"/>
      <w:bookmarkEnd w:id="2067"/>
      <w:r>
        <w:rPr>
          <w:position w:val="5"/>
          <w:sz w:val="12"/>
        </w:rPr>
        <w:t>1550</w:t>
      </w:r>
      <w:r>
        <w:rPr>
          <w:spacing w:val="13"/>
          <w:position w:val="5"/>
          <w:sz w:val="12"/>
        </w:rPr>
        <w:t xml:space="preserve"> </w:t>
      </w:r>
      <w:r>
        <w:rPr>
          <w:sz w:val="18"/>
        </w:rPr>
        <w:t>Australia's response</w:t>
      </w:r>
      <w:r>
        <w:rPr>
          <w:spacing w:val="-5"/>
          <w:sz w:val="18"/>
        </w:rPr>
        <w:t xml:space="preserve"> </w:t>
      </w:r>
      <w:r>
        <w:rPr>
          <w:sz w:val="18"/>
        </w:rPr>
        <w:t>to</w:t>
      </w:r>
      <w:r>
        <w:rPr>
          <w:spacing w:val="-1"/>
          <w:sz w:val="18"/>
        </w:rPr>
        <w:t xml:space="preserve"> </w:t>
      </w:r>
      <w:r>
        <w:rPr>
          <w:sz w:val="18"/>
        </w:rPr>
        <w:t>China's</w:t>
      </w:r>
      <w:r>
        <w:rPr>
          <w:spacing w:val="-5"/>
          <w:sz w:val="18"/>
        </w:rPr>
        <w:t xml:space="preserve"> </w:t>
      </w:r>
      <w:r>
        <w:rPr>
          <w:sz w:val="18"/>
        </w:rPr>
        <w:t>PRR,</w:t>
      </w:r>
      <w:r>
        <w:rPr>
          <w:spacing w:val="-3"/>
          <w:sz w:val="18"/>
        </w:rPr>
        <w:t xml:space="preserve"> </w:t>
      </w:r>
      <w:r>
        <w:rPr>
          <w:sz w:val="18"/>
        </w:rPr>
        <w:t>paras.</w:t>
      </w:r>
      <w:r>
        <w:rPr>
          <w:spacing w:val="-4"/>
          <w:sz w:val="18"/>
        </w:rPr>
        <w:t xml:space="preserve"> </w:t>
      </w:r>
      <w:r>
        <w:rPr>
          <w:sz w:val="18"/>
        </w:rPr>
        <w:t>42-</w:t>
      </w:r>
      <w:r>
        <w:rPr>
          <w:spacing w:val="-5"/>
          <w:sz w:val="18"/>
        </w:rPr>
        <w:t>62.</w:t>
      </w:r>
    </w:p>
    <w:p w14:paraId="61A524D0" w14:textId="77777777" w:rsidR="00BD462C" w:rsidRDefault="00033D0F">
      <w:pPr>
        <w:spacing w:before="1"/>
        <w:ind w:left="135"/>
        <w:rPr>
          <w:sz w:val="18"/>
        </w:rPr>
      </w:pPr>
      <w:bookmarkStart w:id="2068" w:name="_bookmark1780"/>
      <w:bookmarkEnd w:id="2068"/>
      <w:r>
        <w:rPr>
          <w:position w:val="5"/>
          <w:sz w:val="12"/>
        </w:rPr>
        <w:t>1551</w:t>
      </w:r>
      <w:r>
        <w:rPr>
          <w:spacing w:val="12"/>
          <w:position w:val="5"/>
          <w:sz w:val="12"/>
        </w:rPr>
        <w:t xml:space="preserve"> </w:t>
      </w:r>
      <w:r>
        <w:rPr>
          <w:sz w:val="18"/>
        </w:rPr>
        <w:t>China's</w:t>
      </w:r>
      <w:r>
        <w:rPr>
          <w:spacing w:val="-6"/>
          <w:sz w:val="18"/>
        </w:rPr>
        <w:t xml:space="preserve"> </w:t>
      </w:r>
      <w:r>
        <w:rPr>
          <w:sz w:val="18"/>
        </w:rPr>
        <w:t>first</w:t>
      </w:r>
      <w:r>
        <w:rPr>
          <w:spacing w:val="-5"/>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paras.</w:t>
      </w:r>
      <w:r>
        <w:rPr>
          <w:spacing w:val="-5"/>
          <w:sz w:val="18"/>
        </w:rPr>
        <w:t xml:space="preserve"> </w:t>
      </w:r>
      <w:r>
        <w:rPr>
          <w:sz w:val="18"/>
        </w:rPr>
        <w:t>2035-2041;</w:t>
      </w:r>
      <w:r>
        <w:rPr>
          <w:spacing w:val="-8"/>
          <w:sz w:val="18"/>
        </w:rPr>
        <w:t xml:space="preserve"> </w:t>
      </w:r>
      <w:r>
        <w:rPr>
          <w:sz w:val="18"/>
        </w:rPr>
        <w:t>see</w:t>
      </w:r>
      <w:r>
        <w:rPr>
          <w:spacing w:val="-6"/>
          <w:sz w:val="18"/>
        </w:rPr>
        <w:t xml:space="preserve"> </w:t>
      </w:r>
      <w:r>
        <w:rPr>
          <w:sz w:val="18"/>
        </w:rPr>
        <w:t>Australia's</w:t>
      </w:r>
      <w:r>
        <w:rPr>
          <w:spacing w:val="-6"/>
          <w:sz w:val="18"/>
        </w:rPr>
        <w:t xml:space="preserve"> </w:t>
      </w:r>
      <w:r>
        <w:rPr>
          <w:sz w:val="18"/>
        </w:rPr>
        <w:t>panel</w:t>
      </w:r>
      <w:r>
        <w:rPr>
          <w:spacing w:val="-5"/>
          <w:sz w:val="18"/>
        </w:rPr>
        <w:t xml:space="preserve"> </w:t>
      </w:r>
      <w:r>
        <w:rPr>
          <w:sz w:val="18"/>
        </w:rPr>
        <w:t>request, para.</w:t>
      </w:r>
      <w:r>
        <w:rPr>
          <w:spacing w:val="-5"/>
          <w:sz w:val="18"/>
        </w:rPr>
        <w:t xml:space="preserve"> </w:t>
      </w:r>
      <w:r>
        <w:rPr>
          <w:spacing w:val="-2"/>
          <w:sz w:val="18"/>
        </w:rPr>
        <w:t>(ii).</w:t>
      </w:r>
    </w:p>
    <w:p w14:paraId="17823401" w14:textId="77777777" w:rsidR="00BD462C" w:rsidRDefault="00033D0F">
      <w:pPr>
        <w:spacing w:before="1"/>
        <w:ind w:left="135"/>
        <w:rPr>
          <w:sz w:val="18"/>
        </w:rPr>
      </w:pPr>
      <w:bookmarkStart w:id="2069" w:name="_bookmark1781"/>
      <w:bookmarkEnd w:id="2069"/>
      <w:r>
        <w:rPr>
          <w:position w:val="5"/>
          <w:sz w:val="12"/>
        </w:rPr>
        <w:t>1552</w:t>
      </w:r>
      <w:r>
        <w:rPr>
          <w:spacing w:val="14"/>
          <w:position w:val="5"/>
          <w:sz w:val="12"/>
        </w:rPr>
        <w:t xml:space="preserve"> </w:t>
      </w:r>
      <w:r>
        <w:rPr>
          <w:sz w:val="18"/>
        </w:rPr>
        <w:t>See</w:t>
      </w:r>
      <w:r>
        <w:rPr>
          <w:spacing w:val="-5"/>
          <w:sz w:val="18"/>
        </w:rPr>
        <w:t xml:space="preserve"> </w:t>
      </w:r>
      <w:r>
        <w:rPr>
          <w:sz w:val="18"/>
        </w:rPr>
        <w:t>above,</w:t>
      </w:r>
      <w:r>
        <w:rPr>
          <w:spacing w:val="-2"/>
          <w:sz w:val="18"/>
        </w:rPr>
        <w:t xml:space="preserve"> </w:t>
      </w:r>
      <w:r>
        <w:rPr>
          <w:sz w:val="18"/>
        </w:rPr>
        <w:t>paras.</w:t>
      </w:r>
      <w:r>
        <w:rPr>
          <w:spacing w:val="1"/>
          <w:sz w:val="18"/>
        </w:rPr>
        <w:t xml:space="preserve"> </w:t>
      </w:r>
      <w:hyperlink w:anchor="_bookmark40" w:history="1">
        <w:r>
          <w:rPr>
            <w:sz w:val="18"/>
          </w:rPr>
          <w:t>25</w:t>
        </w:r>
      </w:hyperlink>
      <w:hyperlink w:anchor="_bookmark50" w:history="1">
        <w:r>
          <w:rPr>
            <w:sz w:val="18"/>
          </w:rPr>
          <w:t>-</w:t>
        </w:r>
        <w:r>
          <w:rPr>
            <w:spacing w:val="-5"/>
            <w:sz w:val="18"/>
          </w:rPr>
          <w:t>26.</w:t>
        </w:r>
      </w:hyperlink>
    </w:p>
    <w:p w14:paraId="7911C82D" w14:textId="77777777" w:rsidR="00BD462C" w:rsidRDefault="00033D0F">
      <w:pPr>
        <w:spacing w:before="1"/>
        <w:ind w:left="135"/>
        <w:rPr>
          <w:sz w:val="18"/>
        </w:rPr>
      </w:pPr>
      <w:bookmarkStart w:id="2070" w:name="_bookmark1782"/>
      <w:bookmarkEnd w:id="2070"/>
      <w:r>
        <w:rPr>
          <w:position w:val="5"/>
          <w:sz w:val="12"/>
        </w:rPr>
        <w:t>1553</w:t>
      </w:r>
      <w:r>
        <w:rPr>
          <w:spacing w:val="13"/>
          <w:position w:val="5"/>
          <w:sz w:val="12"/>
        </w:rPr>
        <w:t xml:space="preserve"> </w:t>
      </w:r>
      <w:r>
        <w:rPr>
          <w:sz w:val="18"/>
        </w:rPr>
        <w:t>Australia's</w:t>
      </w:r>
      <w:r>
        <w:rPr>
          <w:spacing w:val="-4"/>
          <w:sz w:val="18"/>
        </w:rPr>
        <w:t xml:space="preserve"> </w:t>
      </w:r>
      <w:r>
        <w:rPr>
          <w:sz w:val="18"/>
        </w:rPr>
        <w:t>panel request,</w:t>
      </w:r>
      <w:r>
        <w:rPr>
          <w:spacing w:val="-3"/>
          <w:sz w:val="18"/>
        </w:rPr>
        <w:t xml:space="preserve"> </w:t>
      </w:r>
      <w:r>
        <w:rPr>
          <w:sz w:val="18"/>
        </w:rPr>
        <w:t>para.</w:t>
      </w:r>
      <w:r>
        <w:rPr>
          <w:spacing w:val="-4"/>
          <w:sz w:val="18"/>
        </w:rPr>
        <w:t xml:space="preserve"> </w:t>
      </w:r>
      <w:r>
        <w:rPr>
          <w:spacing w:val="-2"/>
          <w:sz w:val="18"/>
        </w:rPr>
        <w:t>(ii).</w:t>
      </w:r>
    </w:p>
    <w:p w14:paraId="3A3960EE" w14:textId="77777777" w:rsidR="00BD462C" w:rsidRDefault="00BD462C">
      <w:pPr>
        <w:rPr>
          <w:sz w:val="18"/>
        </w:rPr>
        <w:sectPr w:rsidR="00BD462C">
          <w:pgSz w:w="11910" w:h="16840"/>
          <w:pgMar w:top="860" w:right="500" w:bottom="780" w:left="1280" w:header="566" w:footer="590" w:gutter="0"/>
          <w:cols w:space="720"/>
        </w:sectPr>
      </w:pPr>
    </w:p>
    <w:p w14:paraId="46486A98"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632E24C8"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7C45E525"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2074AA24" w14:textId="77777777" w:rsidR="00BD462C" w:rsidRDefault="00033D0F">
      <w:pPr>
        <w:pStyle w:val="BodyText"/>
        <w:spacing w:before="2" w:line="360" w:lineRule="auto"/>
        <w:ind w:left="135" w:right="909"/>
        <w:jc w:val="both"/>
        <w:rPr>
          <w:sz w:val="13"/>
        </w:rPr>
      </w:pPr>
      <w:r>
        <w:t>behalf of the domestic industry, Article 5.2(i) contains the clear, straightforward, and compulsory</w:t>
      </w:r>
      <w:r>
        <w:rPr>
          <w:spacing w:val="-7"/>
        </w:rPr>
        <w:t xml:space="preserve"> </w:t>
      </w:r>
      <w:r>
        <w:t>requirement</w:t>
      </w:r>
      <w:r>
        <w:rPr>
          <w:spacing w:val="-8"/>
        </w:rPr>
        <w:t xml:space="preserve"> </w:t>
      </w:r>
      <w:r>
        <w:t>to</w:t>
      </w:r>
      <w:r>
        <w:rPr>
          <w:spacing w:val="-11"/>
        </w:rPr>
        <w:t xml:space="preserve"> </w:t>
      </w:r>
      <w:r>
        <w:t>list</w:t>
      </w:r>
      <w:r>
        <w:rPr>
          <w:spacing w:val="-8"/>
        </w:rPr>
        <w:t xml:space="preserve"> </w:t>
      </w:r>
      <w:r>
        <w:t>all</w:t>
      </w:r>
      <w:r>
        <w:rPr>
          <w:spacing w:val="-11"/>
        </w:rPr>
        <w:t xml:space="preserve"> </w:t>
      </w:r>
      <w:r>
        <w:t>known</w:t>
      </w:r>
      <w:r>
        <w:rPr>
          <w:spacing w:val="-10"/>
        </w:rPr>
        <w:t xml:space="preserve"> </w:t>
      </w:r>
      <w:r>
        <w:t>domestic</w:t>
      </w:r>
      <w:r>
        <w:rPr>
          <w:spacing w:val="-9"/>
        </w:rPr>
        <w:t xml:space="preserve"> </w:t>
      </w:r>
      <w:r>
        <w:t>producers.</w:t>
      </w:r>
      <w:r>
        <w:rPr>
          <w:spacing w:val="-7"/>
        </w:rPr>
        <w:t xml:space="preserve"> </w:t>
      </w:r>
      <w:r>
        <w:t>Australia</w:t>
      </w:r>
      <w:r>
        <w:rPr>
          <w:spacing w:val="-9"/>
        </w:rPr>
        <w:t xml:space="preserve"> </w:t>
      </w:r>
      <w:r>
        <w:t>cited</w:t>
      </w:r>
      <w:r>
        <w:rPr>
          <w:spacing w:val="-10"/>
        </w:rPr>
        <w:t xml:space="preserve"> </w:t>
      </w:r>
      <w:r>
        <w:t>this</w:t>
      </w:r>
      <w:r>
        <w:rPr>
          <w:spacing w:val="-7"/>
        </w:rPr>
        <w:t xml:space="preserve"> </w:t>
      </w:r>
      <w:r>
        <w:t>provision</w:t>
      </w:r>
      <w:r>
        <w:rPr>
          <w:spacing w:val="-10"/>
        </w:rPr>
        <w:t xml:space="preserve"> </w:t>
      </w:r>
      <w:r>
        <w:t>as part of a clear narrative in which it alleged that MOFCOM had failed to require the applicant to demonstrate that it did in fact act on behalf of the domestic industry.</w:t>
      </w:r>
      <w:hyperlink w:anchor="_bookmark1783" w:history="1">
        <w:r>
          <w:rPr>
            <w:vertAlign w:val="superscript"/>
          </w:rPr>
          <w:t>1554</w:t>
        </w:r>
      </w:hyperlink>
      <w:r>
        <w:t xml:space="preserve"> Australia's claim is clear, and it is unreasonable for China to claim that it was not aware of the nature of the case against it.</w:t>
      </w:r>
      <w:hyperlink w:anchor="_bookmark1784" w:history="1">
        <w:r>
          <w:rPr>
            <w:vertAlign w:val="superscript"/>
          </w:rPr>
          <w:t>1555</w:t>
        </w:r>
      </w:hyperlink>
      <w:r>
        <w:t xml:space="preserve"> Australia provided a brief summary of the legal basis of its complaint that was sufficient to present the problem clearly.</w:t>
      </w:r>
      <w:hyperlink w:anchor="_bookmark1785" w:history="1">
        <w:r>
          <w:rPr>
            <w:vertAlign w:val="superscript"/>
          </w:rPr>
          <w:t>1556</w:t>
        </w:r>
      </w:hyperlink>
      <w:r>
        <w:t xml:space="preserve"> The arguments Australia brings to support this claim of inconsistency with Article 5.2(i) have therefore reasonably developed from Australia's panel request.</w:t>
      </w:r>
      <w:hyperlink w:anchor="_bookmark1786" w:history="1">
        <w:r>
          <w:rPr>
            <w:position w:val="7"/>
            <w:sz w:val="13"/>
          </w:rPr>
          <w:t>1557</w:t>
        </w:r>
      </w:hyperlink>
    </w:p>
    <w:p w14:paraId="36AFD78F" w14:textId="77777777" w:rsidR="00BD462C" w:rsidRDefault="00033D0F">
      <w:pPr>
        <w:pStyle w:val="ListParagraph"/>
        <w:numPr>
          <w:ilvl w:val="1"/>
          <w:numId w:val="5"/>
        </w:numPr>
        <w:tabs>
          <w:tab w:val="left" w:pos="985"/>
          <w:tab w:val="left" w:pos="986"/>
        </w:tabs>
        <w:spacing w:before="158"/>
        <w:ind w:hanging="851"/>
        <w:rPr>
          <w:b/>
          <w:sz w:val="19"/>
        </w:rPr>
      </w:pPr>
      <w:bookmarkStart w:id="2071" w:name="A.5_Conduct_and_transparency"/>
      <w:bookmarkEnd w:id="2071"/>
      <w:r>
        <w:rPr>
          <w:b/>
          <w:sz w:val="24"/>
        </w:rPr>
        <w:t>C</w:t>
      </w:r>
      <w:r>
        <w:rPr>
          <w:b/>
          <w:sz w:val="19"/>
        </w:rPr>
        <w:t>ONDUCT</w:t>
      </w:r>
      <w:r>
        <w:rPr>
          <w:b/>
          <w:spacing w:val="2"/>
          <w:sz w:val="19"/>
        </w:rPr>
        <w:t xml:space="preserve"> </w:t>
      </w:r>
      <w:r>
        <w:rPr>
          <w:b/>
          <w:sz w:val="19"/>
        </w:rPr>
        <w:t>AND</w:t>
      </w:r>
      <w:r>
        <w:rPr>
          <w:b/>
          <w:spacing w:val="-5"/>
          <w:sz w:val="19"/>
        </w:rPr>
        <w:t xml:space="preserve"> </w:t>
      </w:r>
      <w:r>
        <w:rPr>
          <w:b/>
          <w:spacing w:val="-2"/>
          <w:sz w:val="19"/>
        </w:rPr>
        <w:t>TRANSPARENCY</w:t>
      </w:r>
    </w:p>
    <w:p w14:paraId="12ED506F" w14:textId="77777777" w:rsidR="00BD462C" w:rsidRDefault="00BD462C">
      <w:pPr>
        <w:pStyle w:val="BodyText"/>
        <w:spacing w:before="2"/>
        <w:rPr>
          <w:b/>
          <w:sz w:val="25"/>
        </w:rPr>
      </w:pPr>
    </w:p>
    <w:p w14:paraId="353370BE" w14:textId="77777777" w:rsidR="00BD462C" w:rsidRDefault="00033D0F">
      <w:pPr>
        <w:pStyle w:val="Heading3"/>
        <w:numPr>
          <w:ilvl w:val="2"/>
          <w:numId w:val="5"/>
        </w:numPr>
        <w:tabs>
          <w:tab w:val="left" w:pos="1835"/>
          <w:tab w:val="left" w:pos="1836"/>
        </w:tabs>
        <w:spacing w:before="0" w:line="362" w:lineRule="auto"/>
        <w:ind w:right="913"/>
      </w:pPr>
      <w:bookmarkStart w:id="2072" w:name="A.5.1_Australia's_claim_pursuant_to_Arti"/>
      <w:bookmarkEnd w:id="2072"/>
      <w:r>
        <w:t>Australia's</w:t>
      </w:r>
      <w:r>
        <w:rPr>
          <w:spacing w:val="40"/>
        </w:rPr>
        <w:t xml:space="preserve"> </w:t>
      </w:r>
      <w:r>
        <w:t>claim</w:t>
      </w:r>
      <w:r>
        <w:rPr>
          <w:spacing w:val="40"/>
        </w:rPr>
        <w:t xml:space="preserve"> </w:t>
      </w:r>
      <w:r>
        <w:t>pursuant</w:t>
      </w:r>
      <w:r>
        <w:rPr>
          <w:spacing w:val="40"/>
        </w:rPr>
        <w:t xml:space="preserve"> </w:t>
      </w:r>
      <w:r>
        <w:t>to</w:t>
      </w:r>
      <w:r>
        <w:rPr>
          <w:spacing w:val="40"/>
        </w:rPr>
        <w:t xml:space="preserve"> </w:t>
      </w:r>
      <w:r>
        <w:t>Article</w:t>
      </w:r>
      <w:r>
        <w:rPr>
          <w:spacing w:val="40"/>
        </w:rPr>
        <w:t xml:space="preserve"> </w:t>
      </w:r>
      <w:r>
        <w:t>6.1</w:t>
      </w:r>
      <w:r>
        <w:rPr>
          <w:spacing w:val="40"/>
        </w:rPr>
        <w:t xml:space="preserve"> </w:t>
      </w:r>
      <w:r>
        <w:t>is</w:t>
      </w:r>
      <w:r>
        <w:rPr>
          <w:spacing w:val="40"/>
        </w:rPr>
        <w:t xml:space="preserve"> </w:t>
      </w:r>
      <w:r>
        <w:t>within</w:t>
      </w:r>
      <w:r>
        <w:rPr>
          <w:spacing w:val="40"/>
        </w:rPr>
        <w:t xml:space="preserve"> </w:t>
      </w:r>
      <w:r>
        <w:t>the</w:t>
      </w:r>
      <w:r>
        <w:rPr>
          <w:spacing w:val="40"/>
        </w:rPr>
        <w:t xml:space="preserve"> </w:t>
      </w:r>
      <w:r>
        <w:t>Panel's</w:t>
      </w:r>
      <w:r>
        <w:rPr>
          <w:spacing w:val="40"/>
        </w:rPr>
        <w:t xml:space="preserve"> </w:t>
      </w:r>
      <w:r>
        <w:t>terms</w:t>
      </w:r>
      <w:r>
        <w:rPr>
          <w:spacing w:val="40"/>
        </w:rPr>
        <w:t xml:space="preserve"> </w:t>
      </w:r>
      <w:r>
        <w:t xml:space="preserve">of </w:t>
      </w:r>
      <w:r>
        <w:rPr>
          <w:spacing w:val="-2"/>
        </w:rPr>
        <w:t>reference.</w:t>
      </w:r>
    </w:p>
    <w:p w14:paraId="1178E844" w14:textId="77777777" w:rsidR="00BD462C" w:rsidRDefault="00BD462C">
      <w:pPr>
        <w:pStyle w:val="BodyText"/>
        <w:spacing w:before="7"/>
        <w:rPr>
          <w:b/>
          <w:sz w:val="8"/>
        </w:rPr>
      </w:pPr>
    </w:p>
    <w:p w14:paraId="667337DE" w14:textId="62B6B33C" w:rsidR="00BD462C" w:rsidRDefault="005930FF">
      <w:pPr>
        <w:pStyle w:val="BodyText"/>
        <w:spacing w:before="57" w:line="357" w:lineRule="auto"/>
        <w:ind w:left="135" w:right="913"/>
        <w:jc w:val="both"/>
      </w:pPr>
      <w:r>
        <w:rPr>
          <w:noProof/>
        </w:rPr>
        <w:t>38.</w:t>
      </w:r>
      <w:r w:rsidR="00033D0F">
        <w:rPr>
          <w:rFonts w:ascii="Times New Roman"/>
          <w:spacing w:val="80"/>
          <w:position w:val="1"/>
          <w:sz w:val="20"/>
        </w:rPr>
        <w:t xml:space="preserve">  </w:t>
      </w:r>
      <w:r w:rsidR="00033D0F">
        <w:rPr>
          <w:position w:val="1"/>
        </w:rPr>
        <w:t xml:space="preserve">As submitted in its detailed response to the PRR, Australia maintains that its panel </w:t>
      </w:r>
      <w:r w:rsidR="00033D0F">
        <w:t>request identified its claims pursuant to Article 6.1 in a manner sufficient to present the problem</w:t>
      </w:r>
      <w:r w:rsidR="00033D0F">
        <w:rPr>
          <w:spacing w:val="-14"/>
        </w:rPr>
        <w:t xml:space="preserve"> </w:t>
      </w:r>
      <w:r w:rsidR="00033D0F">
        <w:t>clearly.</w:t>
      </w:r>
      <w:r w:rsidR="00033D0F">
        <w:rPr>
          <w:spacing w:val="-11"/>
        </w:rPr>
        <w:t xml:space="preserve"> </w:t>
      </w:r>
      <w:r w:rsidR="00033D0F">
        <w:t>In</w:t>
      </w:r>
      <w:r w:rsidR="00033D0F">
        <w:rPr>
          <w:spacing w:val="-14"/>
        </w:rPr>
        <w:t xml:space="preserve"> </w:t>
      </w:r>
      <w:r w:rsidR="00033D0F">
        <w:t>particular,</w:t>
      </w:r>
      <w:r w:rsidR="00033D0F">
        <w:rPr>
          <w:spacing w:val="-10"/>
        </w:rPr>
        <w:t xml:space="preserve"> </w:t>
      </w:r>
      <w:r w:rsidR="00033D0F">
        <w:t>Australia</w:t>
      </w:r>
      <w:r w:rsidR="00033D0F">
        <w:rPr>
          <w:spacing w:val="-12"/>
        </w:rPr>
        <w:t xml:space="preserve"> </w:t>
      </w:r>
      <w:r w:rsidR="00033D0F">
        <w:t>reiterates</w:t>
      </w:r>
      <w:r w:rsidR="00033D0F">
        <w:rPr>
          <w:spacing w:val="-10"/>
        </w:rPr>
        <w:t xml:space="preserve"> </w:t>
      </w:r>
      <w:r w:rsidR="00033D0F">
        <w:t>that</w:t>
      </w:r>
      <w:r w:rsidR="00033D0F">
        <w:rPr>
          <w:spacing w:val="-11"/>
        </w:rPr>
        <w:t xml:space="preserve"> </w:t>
      </w:r>
      <w:r w:rsidR="00033D0F">
        <w:t>Article</w:t>
      </w:r>
      <w:r w:rsidR="00033D0F">
        <w:rPr>
          <w:spacing w:val="-12"/>
        </w:rPr>
        <w:t xml:space="preserve"> </w:t>
      </w:r>
      <w:r w:rsidR="00033D0F">
        <w:t>6.1</w:t>
      </w:r>
      <w:r w:rsidR="00033D0F">
        <w:rPr>
          <w:spacing w:val="-14"/>
        </w:rPr>
        <w:t xml:space="preserve"> </w:t>
      </w:r>
      <w:r w:rsidR="00033D0F">
        <w:t>is</w:t>
      </w:r>
      <w:r w:rsidR="00033D0F">
        <w:rPr>
          <w:spacing w:val="-10"/>
        </w:rPr>
        <w:t xml:space="preserve"> </w:t>
      </w:r>
      <w:r w:rsidR="00033D0F">
        <w:t>a</w:t>
      </w:r>
      <w:r w:rsidR="00033D0F">
        <w:rPr>
          <w:spacing w:val="-12"/>
        </w:rPr>
        <w:t xml:space="preserve"> </w:t>
      </w:r>
      <w:r w:rsidR="00033D0F">
        <w:t>clear</w:t>
      </w:r>
      <w:r w:rsidR="00033D0F">
        <w:rPr>
          <w:spacing w:val="-14"/>
        </w:rPr>
        <w:t xml:space="preserve"> </w:t>
      </w:r>
      <w:r w:rsidR="00033D0F">
        <w:t>and</w:t>
      </w:r>
      <w:r w:rsidR="00033D0F">
        <w:rPr>
          <w:spacing w:val="-14"/>
        </w:rPr>
        <w:t xml:space="preserve"> </w:t>
      </w:r>
      <w:r w:rsidR="00033D0F">
        <w:t>well-delineated provision.</w:t>
      </w:r>
      <w:hyperlink w:anchor="_bookmark1787" w:history="1">
        <w:r w:rsidR="00033D0F">
          <w:rPr>
            <w:vertAlign w:val="superscript"/>
          </w:rPr>
          <w:t>1558</w:t>
        </w:r>
      </w:hyperlink>
      <w:r w:rsidR="00033D0F">
        <w:t xml:space="preserve"> Australia's panel request sets out the clear claim that that the anti-dumping measure at issue was inconsistent with Article 6.1 because, </w:t>
      </w:r>
      <w:r w:rsidR="00033D0F">
        <w:rPr>
          <w:i/>
        </w:rPr>
        <w:t>inter alia</w:t>
      </w:r>
      <w:r w:rsidR="00033D0F">
        <w:t>, "China did not provide all</w:t>
      </w:r>
      <w:r w:rsidR="00033D0F">
        <w:rPr>
          <w:spacing w:val="-12"/>
        </w:rPr>
        <w:t xml:space="preserve"> </w:t>
      </w:r>
      <w:r w:rsidR="00033D0F">
        <w:t>interested</w:t>
      </w:r>
      <w:r w:rsidR="00033D0F">
        <w:rPr>
          <w:spacing w:val="-14"/>
        </w:rPr>
        <w:t xml:space="preserve"> </w:t>
      </w:r>
      <w:r w:rsidR="00033D0F">
        <w:t>parties</w:t>
      </w:r>
      <w:r w:rsidR="00033D0F">
        <w:rPr>
          <w:spacing w:val="-9"/>
        </w:rPr>
        <w:t xml:space="preserve"> </w:t>
      </w:r>
      <w:r w:rsidR="00033D0F">
        <w:t>ample</w:t>
      </w:r>
      <w:r w:rsidR="00033D0F">
        <w:rPr>
          <w:spacing w:val="-12"/>
        </w:rPr>
        <w:t xml:space="preserve"> </w:t>
      </w:r>
      <w:r w:rsidR="00033D0F">
        <w:t>opportunity</w:t>
      </w:r>
      <w:r w:rsidR="00033D0F">
        <w:rPr>
          <w:spacing w:val="-10"/>
        </w:rPr>
        <w:t xml:space="preserve"> </w:t>
      </w:r>
      <w:r w:rsidR="00033D0F">
        <w:t>to</w:t>
      </w:r>
      <w:r w:rsidR="00033D0F">
        <w:rPr>
          <w:spacing w:val="-14"/>
        </w:rPr>
        <w:t xml:space="preserve"> </w:t>
      </w:r>
      <w:r w:rsidR="00033D0F">
        <w:t>present</w:t>
      </w:r>
      <w:r w:rsidR="00033D0F">
        <w:rPr>
          <w:spacing w:val="-10"/>
        </w:rPr>
        <w:t xml:space="preserve"> </w:t>
      </w:r>
      <w:r w:rsidR="00033D0F">
        <w:t>all</w:t>
      </w:r>
      <w:r w:rsidR="00033D0F">
        <w:rPr>
          <w:spacing w:val="-10"/>
        </w:rPr>
        <w:t xml:space="preserve"> </w:t>
      </w:r>
      <w:r w:rsidR="00033D0F">
        <w:t>relevant</w:t>
      </w:r>
      <w:r w:rsidR="00033D0F">
        <w:rPr>
          <w:spacing w:val="-10"/>
        </w:rPr>
        <w:t xml:space="preserve"> </w:t>
      </w:r>
      <w:r w:rsidR="00033D0F">
        <w:t>information</w:t>
      </w:r>
      <w:r w:rsidR="00033D0F">
        <w:rPr>
          <w:spacing w:val="-14"/>
        </w:rPr>
        <w:t xml:space="preserve"> </w:t>
      </w:r>
      <w:r w:rsidR="00033D0F">
        <w:t>and</w:t>
      </w:r>
      <w:r w:rsidR="00033D0F">
        <w:rPr>
          <w:spacing w:val="-8"/>
        </w:rPr>
        <w:t xml:space="preserve"> </w:t>
      </w:r>
      <w:r w:rsidR="00033D0F">
        <w:rPr>
          <w:spacing w:val="-2"/>
        </w:rPr>
        <w:t>evidence".</w:t>
      </w:r>
      <w:hyperlink w:anchor="_bookmark1788" w:history="1">
        <w:r w:rsidR="00033D0F">
          <w:rPr>
            <w:spacing w:val="-2"/>
            <w:vertAlign w:val="superscript"/>
          </w:rPr>
          <w:t>1559</w:t>
        </w:r>
      </w:hyperlink>
    </w:p>
    <w:p w14:paraId="6D331E35" w14:textId="77777777" w:rsidR="00BD462C" w:rsidRDefault="00BD462C">
      <w:pPr>
        <w:pStyle w:val="BodyText"/>
        <w:spacing w:before="8"/>
        <w:rPr>
          <w:sz w:val="9"/>
        </w:rPr>
      </w:pPr>
    </w:p>
    <w:p w14:paraId="5D1AB9EF" w14:textId="1FA46243" w:rsidR="00BD462C" w:rsidRDefault="005930FF">
      <w:pPr>
        <w:pStyle w:val="BodyText"/>
        <w:spacing w:before="56" w:line="357" w:lineRule="auto"/>
        <w:ind w:left="135" w:right="923"/>
      </w:pPr>
      <w:r>
        <w:rPr>
          <w:noProof/>
        </w:rPr>
        <w:t>39.</w:t>
      </w:r>
      <w:r w:rsidR="00033D0F">
        <w:rPr>
          <w:rFonts w:ascii="Times New Roman"/>
          <w:spacing w:val="80"/>
          <w:w w:val="150"/>
          <w:position w:val="1"/>
          <w:sz w:val="20"/>
        </w:rPr>
        <w:t xml:space="preserve">   </w:t>
      </w:r>
      <w:r w:rsidR="00033D0F">
        <w:rPr>
          <w:position w:val="1"/>
        </w:rPr>
        <w:t>Australia</w:t>
      </w:r>
      <w:r w:rsidR="00033D0F">
        <w:rPr>
          <w:spacing w:val="59"/>
          <w:position w:val="1"/>
        </w:rPr>
        <w:t xml:space="preserve"> </w:t>
      </w:r>
      <w:r w:rsidR="00033D0F">
        <w:rPr>
          <w:position w:val="1"/>
        </w:rPr>
        <w:t>clarifies</w:t>
      </w:r>
      <w:r w:rsidR="00033D0F">
        <w:rPr>
          <w:spacing w:val="61"/>
          <w:position w:val="1"/>
        </w:rPr>
        <w:t xml:space="preserve"> </w:t>
      </w:r>
      <w:r w:rsidR="00033D0F">
        <w:rPr>
          <w:position w:val="1"/>
        </w:rPr>
        <w:t>that</w:t>
      </w:r>
      <w:r w:rsidR="00033D0F">
        <w:rPr>
          <w:spacing w:val="60"/>
          <w:position w:val="1"/>
        </w:rPr>
        <w:t xml:space="preserve"> </w:t>
      </w:r>
      <w:r w:rsidR="00033D0F">
        <w:rPr>
          <w:position w:val="1"/>
        </w:rPr>
        <w:t>it</w:t>
      </w:r>
      <w:r w:rsidR="00033D0F">
        <w:rPr>
          <w:spacing w:val="60"/>
          <w:position w:val="1"/>
        </w:rPr>
        <w:t xml:space="preserve"> </w:t>
      </w:r>
      <w:r w:rsidR="00033D0F">
        <w:rPr>
          <w:position w:val="1"/>
        </w:rPr>
        <w:t>has</w:t>
      </w:r>
      <w:r w:rsidR="00033D0F">
        <w:rPr>
          <w:spacing w:val="61"/>
          <w:position w:val="1"/>
        </w:rPr>
        <w:t xml:space="preserve"> </w:t>
      </w:r>
      <w:r w:rsidR="00033D0F">
        <w:rPr>
          <w:position w:val="1"/>
        </w:rPr>
        <w:t>in</w:t>
      </w:r>
      <w:r w:rsidR="00033D0F">
        <w:rPr>
          <w:spacing w:val="40"/>
          <w:position w:val="1"/>
        </w:rPr>
        <w:t xml:space="preserve"> </w:t>
      </w:r>
      <w:r w:rsidR="00033D0F">
        <w:rPr>
          <w:position w:val="1"/>
        </w:rPr>
        <w:t>no</w:t>
      </w:r>
      <w:r w:rsidR="00033D0F">
        <w:rPr>
          <w:spacing w:val="40"/>
          <w:position w:val="1"/>
        </w:rPr>
        <w:t xml:space="preserve"> </w:t>
      </w:r>
      <w:r w:rsidR="00033D0F">
        <w:rPr>
          <w:position w:val="1"/>
        </w:rPr>
        <w:t>way</w:t>
      </w:r>
      <w:r w:rsidR="00033D0F">
        <w:rPr>
          <w:spacing w:val="61"/>
          <w:position w:val="1"/>
        </w:rPr>
        <w:t xml:space="preserve"> </w:t>
      </w:r>
      <w:r w:rsidR="00033D0F">
        <w:rPr>
          <w:position w:val="1"/>
        </w:rPr>
        <w:t>abandoned</w:t>
      </w:r>
      <w:r w:rsidR="00033D0F">
        <w:rPr>
          <w:spacing w:val="40"/>
          <w:position w:val="1"/>
        </w:rPr>
        <w:t xml:space="preserve"> </w:t>
      </w:r>
      <w:r w:rsidR="00033D0F">
        <w:rPr>
          <w:position w:val="1"/>
        </w:rPr>
        <w:t>the</w:t>
      </w:r>
      <w:r w:rsidR="00033D0F">
        <w:rPr>
          <w:spacing w:val="64"/>
          <w:position w:val="1"/>
        </w:rPr>
        <w:t xml:space="preserve"> </w:t>
      </w:r>
      <w:r w:rsidR="00033D0F">
        <w:rPr>
          <w:position w:val="1"/>
        </w:rPr>
        <w:t>allegation</w:t>
      </w:r>
      <w:r w:rsidR="00033D0F">
        <w:rPr>
          <w:spacing w:val="40"/>
          <w:position w:val="1"/>
        </w:rPr>
        <w:t xml:space="preserve"> </w:t>
      </w:r>
      <w:r w:rsidR="00033D0F">
        <w:rPr>
          <w:position w:val="1"/>
        </w:rPr>
        <w:t>that</w:t>
      </w:r>
      <w:r w:rsidR="00033D0F">
        <w:rPr>
          <w:spacing w:val="60"/>
          <w:position w:val="1"/>
        </w:rPr>
        <w:t xml:space="preserve"> </w:t>
      </w:r>
      <w:r w:rsidR="00033D0F">
        <w:rPr>
          <w:position w:val="1"/>
        </w:rPr>
        <w:t xml:space="preserve">China's </w:t>
      </w:r>
      <w:r w:rsidR="00033D0F">
        <w:t>measures are inconsistent with Article 6.1.</w:t>
      </w:r>
      <w:hyperlink w:anchor="_bookmark1789" w:history="1">
        <w:r w:rsidR="00033D0F">
          <w:rPr>
            <w:vertAlign w:val="superscript"/>
          </w:rPr>
          <w:t>1560</w:t>
        </w:r>
      </w:hyperlink>
    </w:p>
    <w:p w14:paraId="655BE834" w14:textId="77777777" w:rsidR="00BD462C" w:rsidRDefault="00BD462C">
      <w:pPr>
        <w:pStyle w:val="BodyText"/>
        <w:rPr>
          <w:sz w:val="20"/>
        </w:rPr>
      </w:pPr>
    </w:p>
    <w:p w14:paraId="11E7FFB1" w14:textId="77777777" w:rsidR="00BD462C" w:rsidRDefault="00BD462C">
      <w:pPr>
        <w:pStyle w:val="BodyText"/>
        <w:rPr>
          <w:sz w:val="20"/>
        </w:rPr>
      </w:pPr>
    </w:p>
    <w:p w14:paraId="0C48D2E4" w14:textId="77777777" w:rsidR="00BD462C" w:rsidRDefault="00BD462C">
      <w:pPr>
        <w:pStyle w:val="BodyText"/>
        <w:rPr>
          <w:sz w:val="20"/>
        </w:rPr>
      </w:pPr>
    </w:p>
    <w:p w14:paraId="60CF2109" w14:textId="77777777" w:rsidR="00BD462C" w:rsidRDefault="00BD462C">
      <w:pPr>
        <w:pStyle w:val="BodyText"/>
        <w:rPr>
          <w:sz w:val="20"/>
        </w:rPr>
      </w:pPr>
    </w:p>
    <w:p w14:paraId="0533368E" w14:textId="77777777" w:rsidR="00BD462C" w:rsidRDefault="00BD462C">
      <w:pPr>
        <w:pStyle w:val="BodyText"/>
        <w:rPr>
          <w:sz w:val="20"/>
        </w:rPr>
      </w:pPr>
    </w:p>
    <w:p w14:paraId="18C0A8B9" w14:textId="77777777" w:rsidR="00BD462C" w:rsidRDefault="00BD462C">
      <w:pPr>
        <w:pStyle w:val="BodyText"/>
        <w:rPr>
          <w:sz w:val="20"/>
        </w:rPr>
      </w:pPr>
    </w:p>
    <w:p w14:paraId="32159175" w14:textId="7E75F7A5" w:rsidR="00BD462C" w:rsidRDefault="00E14314">
      <w:pPr>
        <w:pStyle w:val="BodyText"/>
        <w:rPr>
          <w:sz w:val="20"/>
        </w:rPr>
      </w:pPr>
      <w:r>
        <w:rPr>
          <w:noProof/>
        </w:rPr>
        <mc:AlternateContent>
          <mc:Choice Requires="wps">
            <w:drawing>
              <wp:anchor distT="0" distB="0" distL="0" distR="0" simplePos="0" relativeHeight="488094208" behindDoc="1" locked="0" layoutInCell="1" allowOverlap="1" wp14:anchorId="5720E7D3" wp14:editId="0EAA6018">
                <wp:simplePos x="0" y="0"/>
                <wp:positionH relativeFrom="page">
                  <wp:posOffset>812800</wp:posOffset>
                </wp:positionH>
                <wp:positionV relativeFrom="paragraph">
                  <wp:posOffset>370205</wp:posOffset>
                </wp:positionV>
                <wp:extent cx="1828800" cy="8890"/>
                <wp:effectExtent l="0" t="0" r="0" b="0"/>
                <wp:wrapTopAndBottom/>
                <wp:docPr id="69" name="docshape7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DA6ABD" id="docshape705" o:spid="_x0000_s1026" alt="&quot;&quot;" style="position:absolute;margin-left:64pt;margin-top:29.15pt;width:2in;height:.7pt;z-index:-15222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" fillcolor="black" stroked="f">
                <w10:wrap type="topAndBottom" anchorx="page"/>
              </v:rect>
            </w:pict>
          </mc:Fallback>
        </mc:AlternateContent>
      </w:r>
    </w:p>
    <w:p w14:paraId="0079FD97" w14:textId="1216598B" w:rsidR="00BD462C" w:rsidRDefault="00BD462C">
      <w:pPr>
        <w:pStyle w:val="BodyText"/>
        <w:spacing w:before="5"/>
        <w:rPr>
          <w:sz w:val="27"/>
        </w:rPr>
      </w:pPr>
    </w:p>
    <w:p w14:paraId="6302334A" w14:textId="77777777" w:rsidR="00BD462C" w:rsidRDefault="00033D0F">
      <w:pPr>
        <w:spacing w:before="112"/>
        <w:ind w:left="136" w:right="914" w:hanging="1"/>
        <w:jc w:val="both"/>
        <w:rPr>
          <w:sz w:val="18"/>
        </w:rPr>
      </w:pPr>
      <w:bookmarkStart w:id="2073" w:name="_bookmark1783"/>
      <w:bookmarkEnd w:id="2073"/>
      <w:r>
        <w:rPr>
          <w:position w:val="5"/>
          <w:sz w:val="12"/>
        </w:rPr>
        <w:t>1554</w:t>
      </w:r>
      <w:r>
        <w:rPr>
          <w:spacing w:val="5"/>
          <w:position w:val="5"/>
          <w:sz w:val="12"/>
        </w:rPr>
        <w:t xml:space="preserve"> </w:t>
      </w:r>
      <w:r>
        <w:rPr>
          <w:sz w:val="18"/>
        </w:rPr>
        <w:t>In</w:t>
      </w:r>
      <w:r>
        <w:rPr>
          <w:spacing w:val="-8"/>
          <w:sz w:val="18"/>
        </w:rPr>
        <w:t xml:space="preserve"> </w:t>
      </w:r>
      <w:r>
        <w:rPr>
          <w:sz w:val="18"/>
        </w:rPr>
        <w:t>this</w:t>
      </w:r>
      <w:r>
        <w:rPr>
          <w:spacing w:val="-4"/>
          <w:sz w:val="18"/>
        </w:rPr>
        <w:t xml:space="preserve"> </w:t>
      </w:r>
      <w:r>
        <w:rPr>
          <w:sz w:val="18"/>
        </w:rPr>
        <w:t>respect,</w:t>
      </w:r>
      <w:r>
        <w:rPr>
          <w:spacing w:val="-7"/>
          <w:sz w:val="18"/>
        </w:rPr>
        <w:t xml:space="preserve"> </w:t>
      </w:r>
      <w:r>
        <w:rPr>
          <w:sz w:val="18"/>
        </w:rPr>
        <w:t>Articles</w:t>
      </w:r>
      <w:r>
        <w:rPr>
          <w:spacing w:val="-9"/>
          <w:sz w:val="18"/>
        </w:rPr>
        <w:t xml:space="preserve"> </w:t>
      </w:r>
      <w:r>
        <w:rPr>
          <w:sz w:val="18"/>
        </w:rPr>
        <w:t>5.1,</w:t>
      </w:r>
      <w:r>
        <w:rPr>
          <w:spacing w:val="-2"/>
          <w:sz w:val="18"/>
        </w:rPr>
        <w:t xml:space="preserve"> </w:t>
      </w:r>
      <w:r>
        <w:rPr>
          <w:sz w:val="18"/>
        </w:rPr>
        <w:t>5.2(i)</w:t>
      </w:r>
      <w:r>
        <w:rPr>
          <w:spacing w:val="-3"/>
          <w:sz w:val="18"/>
        </w:rPr>
        <w:t xml:space="preserve"> </w:t>
      </w:r>
      <w:r>
        <w:rPr>
          <w:sz w:val="18"/>
        </w:rPr>
        <w:t>and</w:t>
      </w:r>
      <w:r>
        <w:rPr>
          <w:spacing w:val="-10"/>
          <w:sz w:val="18"/>
        </w:rPr>
        <w:t xml:space="preserve"> </w:t>
      </w:r>
      <w:r>
        <w:rPr>
          <w:sz w:val="18"/>
        </w:rPr>
        <w:t>5.4</w:t>
      </w:r>
      <w:r>
        <w:rPr>
          <w:spacing w:val="-11"/>
          <w:sz w:val="18"/>
        </w:rPr>
        <w:t xml:space="preserve"> </w:t>
      </w:r>
      <w:r>
        <w:rPr>
          <w:sz w:val="18"/>
        </w:rPr>
        <w:t>are</w:t>
      </w:r>
      <w:r>
        <w:rPr>
          <w:spacing w:val="-8"/>
          <w:sz w:val="18"/>
        </w:rPr>
        <w:t xml:space="preserve"> </w:t>
      </w:r>
      <w:r>
        <w:rPr>
          <w:sz w:val="18"/>
        </w:rPr>
        <w:t>interrelated</w:t>
      </w:r>
      <w:r>
        <w:rPr>
          <w:spacing w:val="-10"/>
          <w:sz w:val="18"/>
        </w:rPr>
        <w:t xml:space="preserve"> </w:t>
      </w:r>
      <w:r>
        <w:rPr>
          <w:sz w:val="18"/>
        </w:rPr>
        <w:t>in</w:t>
      </w:r>
      <w:r>
        <w:rPr>
          <w:spacing w:val="-10"/>
          <w:sz w:val="18"/>
        </w:rPr>
        <w:t xml:space="preserve"> </w:t>
      </w:r>
      <w:r>
        <w:rPr>
          <w:sz w:val="18"/>
        </w:rPr>
        <w:t>that</w:t>
      </w:r>
      <w:r>
        <w:rPr>
          <w:spacing w:val="-8"/>
          <w:sz w:val="18"/>
        </w:rPr>
        <w:t xml:space="preserve"> </w:t>
      </w:r>
      <w:r>
        <w:rPr>
          <w:sz w:val="18"/>
        </w:rPr>
        <w:t>they</w:t>
      </w:r>
      <w:r>
        <w:rPr>
          <w:spacing w:val="-6"/>
          <w:sz w:val="18"/>
        </w:rPr>
        <w:t xml:space="preserve"> </w:t>
      </w:r>
      <w:r>
        <w:rPr>
          <w:sz w:val="18"/>
        </w:rPr>
        <w:t>concern</w:t>
      </w:r>
      <w:r>
        <w:rPr>
          <w:spacing w:val="-11"/>
          <w:sz w:val="18"/>
        </w:rPr>
        <w:t xml:space="preserve"> </w:t>
      </w:r>
      <w:r>
        <w:rPr>
          <w:sz w:val="18"/>
        </w:rPr>
        <w:t>the</w:t>
      </w:r>
      <w:r>
        <w:rPr>
          <w:spacing w:val="-8"/>
          <w:sz w:val="18"/>
        </w:rPr>
        <w:t xml:space="preserve"> </w:t>
      </w:r>
      <w:r>
        <w:rPr>
          <w:sz w:val="18"/>
        </w:rPr>
        <w:t>same</w:t>
      </w:r>
      <w:r>
        <w:rPr>
          <w:spacing w:val="-4"/>
          <w:sz w:val="18"/>
        </w:rPr>
        <w:t xml:space="preserve"> </w:t>
      </w:r>
      <w:r>
        <w:rPr>
          <w:sz w:val="18"/>
        </w:rPr>
        <w:t>conduct,</w:t>
      </w:r>
      <w:r>
        <w:rPr>
          <w:spacing w:val="-7"/>
          <w:sz w:val="18"/>
        </w:rPr>
        <w:t xml:space="preserve"> </w:t>
      </w:r>
      <w:r>
        <w:rPr>
          <w:sz w:val="18"/>
        </w:rPr>
        <w:t>timing,</w:t>
      </w:r>
      <w:r>
        <w:rPr>
          <w:spacing w:val="-7"/>
          <w:sz w:val="18"/>
        </w:rPr>
        <w:t xml:space="preserve"> </w:t>
      </w:r>
      <w:r>
        <w:rPr>
          <w:sz w:val="18"/>
        </w:rPr>
        <w:t>and</w:t>
      </w:r>
      <w:r>
        <w:rPr>
          <w:spacing w:val="-11"/>
          <w:sz w:val="18"/>
        </w:rPr>
        <w:t xml:space="preserve"> </w:t>
      </w:r>
      <w:r>
        <w:rPr>
          <w:sz w:val="18"/>
        </w:rPr>
        <w:t>logical</w:t>
      </w:r>
      <w:r>
        <w:rPr>
          <w:spacing w:val="-7"/>
          <w:sz w:val="18"/>
        </w:rPr>
        <w:t xml:space="preserve"> </w:t>
      </w:r>
      <w:r>
        <w:rPr>
          <w:sz w:val="18"/>
        </w:rPr>
        <w:t>basis. China's</w:t>
      </w:r>
      <w:r>
        <w:rPr>
          <w:spacing w:val="-4"/>
          <w:sz w:val="18"/>
        </w:rPr>
        <w:t xml:space="preserve"> </w:t>
      </w:r>
      <w:r>
        <w:rPr>
          <w:sz w:val="18"/>
        </w:rPr>
        <w:t>assertion</w:t>
      </w:r>
      <w:r>
        <w:rPr>
          <w:spacing w:val="-8"/>
          <w:sz w:val="18"/>
        </w:rPr>
        <w:t xml:space="preserve"> </w:t>
      </w:r>
      <w:r>
        <w:rPr>
          <w:sz w:val="18"/>
        </w:rPr>
        <w:t>that "one</w:t>
      </w:r>
      <w:r>
        <w:rPr>
          <w:spacing w:val="-4"/>
          <w:sz w:val="18"/>
        </w:rPr>
        <w:t xml:space="preserve"> </w:t>
      </w:r>
      <w:r>
        <w:rPr>
          <w:sz w:val="18"/>
        </w:rPr>
        <w:t>could</w:t>
      </w:r>
      <w:r>
        <w:rPr>
          <w:spacing w:val="-4"/>
          <w:sz w:val="18"/>
        </w:rPr>
        <w:t xml:space="preserve"> </w:t>
      </w:r>
      <w:r>
        <w:rPr>
          <w:sz w:val="18"/>
        </w:rPr>
        <w:t>argue</w:t>
      </w:r>
      <w:r>
        <w:rPr>
          <w:spacing w:val="-4"/>
          <w:sz w:val="18"/>
        </w:rPr>
        <w:t xml:space="preserve"> </w:t>
      </w:r>
      <w:r>
        <w:rPr>
          <w:sz w:val="18"/>
        </w:rPr>
        <w:t>in</w:t>
      </w:r>
      <w:r>
        <w:rPr>
          <w:spacing w:val="-8"/>
          <w:sz w:val="18"/>
        </w:rPr>
        <w:t xml:space="preserve"> </w:t>
      </w:r>
      <w:r>
        <w:rPr>
          <w:sz w:val="18"/>
        </w:rPr>
        <w:t>the</w:t>
      </w:r>
      <w:r>
        <w:rPr>
          <w:spacing w:val="-4"/>
          <w:sz w:val="18"/>
        </w:rPr>
        <w:t xml:space="preserve"> </w:t>
      </w:r>
      <w:r>
        <w:rPr>
          <w:sz w:val="18"/>
        </w:rPr>
        <w:t>extreme</w:t>
      </w:r>
      <w:r>
        <w:rPr>
          <w:spacing w:val="-8"/>
          <w:sz w:val="18"/>
        </w:rPr>
        <w:t xml:space="preserve"> </w:t>
      </w:r>
      <w:r>
        <w:rPr>
          <w:sz w:val="18"/>
        </w:rPr>
        <w:t>that</w:t>
      </w:r>
      <w:r>
        <w:rPr>
          <w:spacing w:val="-3"/>
          <w:sz w:val="18"/>
        </w:rPr>
        <w:t xml:space="preserve"> </w:t>
      </w:r>
      <w:r>
        <w:rPr>
          <w:sz w:val="18"/>
        </w:rPr>
        <w:t>the</w:t>
      </w:r>
      <w:r>
        <w:rPr>
          <w:spacing w:val="-4"/>
          <w:sz w:val="18"/>
        </w:rPr>
        <w:t xml:space="preserve"> </w:t>
      </w:r>
      <w:r>
        <w:rPr>
          <w:i/>
          <w:sz w:val="18"/>
        </w:rPr>
        <w:t>entire</w:t>
      </w:r>
      <w:r>
        <w:rPr>
          <w:i/>
          <w:spacing w:val="-1"/>
          <w:sz w:val="18"/>
        </w:rPr>
        <w:t xml:space="preserve"> </w:t>
      </w:r>
      <w:r>
        <w:rPr>
          <w:sz w:val="18"/>
        </w:rPr>
        <w:t>Anti-Dumping</w:t>
      </w:r>
      <w:r>
        <w:rPr>
          <w:spacing w:val="-4"/>
          <w:sz w:val="18"/>
        </w:rPr>
        <w:t xml:space="preserve"> </w:t>
      </w:r>
      <w:r>
        <w:rPr>
          <w:sz w:val="18"/>
        </w:rPr>
        <w:t>Agreement</w:t>
      </w:r>
      <w:r>
        <w:rPr>
          <w:spacing w:val="-3"/>
          <w:sz w:val="18"/>
        </w:rPr>
        <w:t xml:space="preserve"> </w:t>
      </w:r>
      <w:r>
        <w:rPr>
          <w:sz w:val="18"/>
        </w:rPr>
        <w:t>is</w:t>
      </w:r>
      <w:r>
        <w:rPr>
          <w:spacing w:val="-4"/>
          <w:sz w:val="18"/>
        </w:rPr>
        <w:t xml:space="preserve"> </w:t>
      </w:r>
      <w:r>
        <w:rPr>
          <w:sz w:val="18"/>
        </w:rPr>
        <w:t>'interrelated'"</w:t>
      </w:r>
      <w:r>
        <w:rPr>
          <w:spacing w:val="-5"/>
          <w:sz w:val="18"/>
        </w:rPr>
        <w:t xml:space="preserve"> </w:t>
      </w:r>
      <w:r>
        <w:rPr>
          <w:sz w:val="18"/>
        </w:rPr>
        <w:t>ignores</w:t>
      </w:r>
      <w:r>
        <w:rPr>
          <w:spacing w:val="-8"/>
          <w:sz w:val="18"/>
        </w:rPr>
        <w:t xml:space="preserve"> </w:t>
      </w:r>
      <w:r>
        <w:rPr>
          <w:sz w:val="18"/>
        </w:rPr>
        <w:t>this clear</w:t>
      </w:r>
      <w:r>
        <w:rPr>
          <w:spacing w:val="-11"/>
          <w:sz w:val="18"/>
        </w:rPr>
        <w:t xml:space="preserve"> </w:t>
      </w:r>
      <w:r>
        <w:rPr>
          <w:sz w:val="18"/>
        </w:rPr>
        <w:t>narrative</w:t>
      </w:r>
      <w:r>
        <w:rPr>
          <w:spacing w:val="-10"/>
          <w:sz w:val="18"/>
        </w:rPr>
        <w:t xml:space="preserve"> </w:t>
      </w:r>
      <w:r>
        <w:rPr>
          <w:sz w:val="18"/>
        </w:rPr>
        <w:t>and</w:t>
      </w:r>
      <w:r>
        <w:rPr>
          <w:spacing w:val="-10"/>
          <w:sz w:val="18"/>
        </w:rPr>
        <w:t xml:space="preserve"> </w:t>
      </w:r>
      <w:r>
        <w:rPr>
          <w:sz w:val="18"/>
        </w:rPr>
        <w:t>context</w:t>
      </w:r>
      <w:r>
        <w:rPr>
          <w:spacing w:val="-10"/>
          <w:sz w:val="18"/>
        </w:rPr>
        <w:t xml:space="preserve"> </w:t>
      </w:r>
      <w:r>
        <w:rPr>
          <w:sz w:val="18"/>
        </w:rPr>
        <w:t>and</w:t>
      </w:r>
      <w:r>
        <w:rPr>
          <w:spacing w:val="-10"/>
          <w:sz w:val="18"/>
        </w:rPr>
        <w:t xml:space="preserve"> </w:t>
      </w:r>
      <w:r>
        <w:rPr>
          <w:sz w:val="18"/>
        </w:rPr>
        <w:t>is</w:t>
      </w:r>
      <w:r>
        <w:rPr>
          <w:spacing w:val="-11"/>
          <w:sz w:val="18"/>
        </w:rPr>
        <w:t xml:space="preserve"> </w:t>
      </w:r>
      <w:r>
        <w:rPr>
          <w:sz w:val="18"/>
        </w:rPr>
        <w:t>blustery,</w:t>
      </w:r>
      <w:r>
        <w:rPr>
          <w:spacing w:val="-10"/>
          <w:sz w:val="18"/>
        </w:rPr>
        <w:t xml:space="preserve"> </w:t>
      </w:r>
      <w:proofErr w:type="gramStart"/>
      <w:r>
        <w:rPr>
          <w:sz w:val="18"/>
        </w:rPr>
        <w:t>hyperbolic</w:t>
      </w:r>
      <w:proofErr w:type="gramEnd"/>
      <w:r>
        <w:rPr>
          <w:spacing w:val="-10"/>
          <w:sz w:val="18"/>
        </w:rPr>
        <w:t xml:space="preserve"> </w:t>
      </w:r>
      <w:r>
        <w:rPr>
          <w:sz w:val="18"/>
        </w:rPr>
        <w:t>and</w:t>
      </w:r>
      <w:r>
        <w:rPr>
          <w:spacing w:val="-10"/>
          <w:sz w:val="18"/>
        </w:rPr>
        <w:t xml:space="preserve"> </w:t>
      </w:r>
      <w:r>
        <w:rPr>
          <w:sz w:val="18"/>
        </w:rPr>
        <w:t>deliberately</w:t>
      </w:r>
      <w:r>
        <w:rPr>
          <w:spacing w:val="-10"/>
          <w:sz w:val="18"/>
        </w:rPr>
        <w:t xml:space="preserve"> </w:t>
      </w:r>
      <w:r>
        <w:rPr>
          <w:sz w:val="18"/>
        </w:rPr>
        <w:t>contrarian</w:t>
      </w:r>
      <w:r>
        <w:rPr>
          <w:spacing w:val="-10"/>
          <w:sz w:val="18"/>
        </w:rPr>
        <w:t xml:space="preserve"> </w:t>
      </w:r>
      <w:r>
        <w:rPr>
          <w:sz w:val="18"/>
        </w:rPr>
        <w:t>at</w:t>
      </w:r>
      <w:r>
        <w:rPr>
          <w:spacing w:val="-11"/>
          <w:sz w:val="18"/>
        </w:rPr>
        <w:t xml:space="preserve"> </w:t>
      </w:r>
      <w:r>
        <w:rPr>
          <w:sz w:val="18"/>
        </w:rPr>
        <w:t>best.</w:t>
      </w:r>
      <w:r>
        <w:rPr>
          <w:spacing w:val="-10"/>
          <w:sz w:val="18"/>
        </w:rPr>
        <w:t xml:space="preserve"> </w:t>
      </w:r>
      <w:r>
        <w:rPr>
          <w:sz w:val="18"/>
        </w:rPr>
        <w:t>See</w:t>
      </w:r>
      <w:r>
        <w:rPr>
          <w:spacing w:val="-10"/>
          <w:sz w:val="18"/>
        </w:rPr>
        <w:t xml:space="preserve"> </w:t>
      </w:r>
      <w:r>
        <w:rPr>
          <w:sz w:val="18"/>
        </w:rPr>
        <w:t>China's</w:t>
      </w:r>
      <w:r>
        <w:rPr>
          <w:spacing w:val="-10"/>
          <w:sz w:val="18"/>
        </w:rPr>
        <w:t xml:space="preserve"> </w:t>
      </w:r>
      <w:r>
        <w:rPr>
          <w:sz w:val="18"/>
        </w:rPr>
        <w:t>first</w:t>
      </w:r>
      <w:r>
        <w:rPr>
          <w:spacing w:val="-10"/>
          <w:sz w:val="18"/>
        </w:rPr>
        <w:t xml:space="preserve"> </w:t>
      </w:r>
      <w:r>
        <w:rPr>
          <w:sz w:val="18"/>
        </w:rPr>
        <w:t>written</w:t>
      </w:r>
      <w:r>
        <w:rPr>
          <w:spacing w:val="-10"/>
          <w:sz w:val="18"/>
        </w:rPr>
        <w:t xml:space="preserve"> </w:t>
      </w:r>
      <w:r>
        <w:rPr>
          <w:sz w:val="18"/>
        </w:rPr>
        <w:t>submission, para. 109; Australia's response to China's PRR, para. 58.</w:t>
      </w:r>
    </w:p>
    <w:p w14:paraId="667688E1" w14:textId="77777777" w:rsidR="00BD462C" w:rsidRDefault="00033D0F">
      <w:pPr>
        <w:spacing w:before="1" w:line="237" w:lineRule="auto"/>
        <w:ind w:left="135" w:right="6264"/>
        <w:rPr>
          <w:sz w:val="18"/>
        </w:rPr>
      </w:pPr>
      <w:bookmarkStart w:id="2074" w:name="_bookmark1784"/>
      <w:bookmarkEnd w:id="2074"/>
      <w:r>
        <w:rPr>
          <w:position w:val="5"/>
          <w:sz w:val="12"/>
        </w:rPr>
        <w:t>1555</w:t>
      </w:r>
      <w:r>
        <w:rPr>
          <w:spacing w:val="13"/>
          <w:position w:val="5"/>
          <w:sz w:val="12"/>
        </w:rPr>
        <w:t xml:space="preserve"> </w:t>
      </w:r>
      <w:r>
        <w:rPr>
          <w:sz w:val="18"/>
        </w:rPr>
        <w:t>C.f.</w:t>
      </w:r>
      <w:r>
        <w:rPr>
          <w:spacing w:val="-5"/>
          <w:sz w:val="18"/>
        </w:rPr>
        <w:t xml:space="preserve"> </w:t>
      </w:r>
      <w:r>
        <w:rPr>
          <w:sz w:val="18"/>
        </w:rPr>
        <w:t>China's</w:t>
      </w:r>
      <w:r>
        <w:rPr>
          <w:spacing w:val="-6"/>
          <w:sz w:val="18"/>
        </w:rPr>
        <w:t xml:space="preserve"> </w:t>
      </w:r>
      <w:r>
        <w:rPr>
          <w:sz w:val="18"/>
        </w:rPr>
        <w:t>first</w:t>
      </w:r>
      <w:r>
        <w:rPr>
          <w:spacing w:val="-5"/>
          <w:sz w:val="18"/>
        </w:rPr>
        <w:t xml:space="preserve"> </w:t>
      </w:r>
      <w:r>
        <w:rPr>
          <w:sz w:val="18"/>
        </w:rPr>
        <w:t>written</w:t>
      </w:r>
      <w:r>
        <w:rPr>
          <w:spacing w:val="-2"/>
          <w:sz w:val="18"/>
        </w:rPr>
        <w:t xml:space="preserve"> </w:t>
      </w:r>
      <w:r>
        <w:rPr>
          <w:sz w:val="18"/>
        </w:rPr>
        <w:t>submission,</w:t>
      </w:r>
      <w:r>
        <w:rPr>
          <w:spacing w:val="-4"/>
          <w:sz w:val="18"/>
        </w:rPr>
        <w:t xml:space="preserve"> </w:t>
      </w:r>
      <w:r>
        <w:rPr>
          <w:sz w:val="18"/>
        </w:rPr>
        <w:t>para.</w:t>
      </w:r>
      <w:r>
        <w:rPr>
          <w:spacing w:val="-5"/>
          <w:sz w:val="18"/>
        </w:rPr>
        <w:t xml:space="preserve"> </w:t>
      </w:r>
      <w:r>
        <w:rPr>
          <w:sz w:val="18"/>
        </w:rPr>
        <w:t xml:space="preserve">118. </w:t>
      </w:r>
      <w:bookmarkStart w:id="2075" w:name="_bookmark1785"/>
      <w:bookmarkEnd w:id="2075"/>
      <w:r>
        <w:rPr>
          <w:position w:val="5"/>
          <w:sz w:val="12"/>
        </w:rPr>
        <w:t>1556</w:t>
      </w:r>
      <w:r>
        <w:rPr>
          <w:spacing w:val="28"/>
          <w:position w:val="5"/>
          <w:sz w:val="12"/>
        </w:rPr>
        <w:t xml:space="preserve"> </w:t>
      </w:r>
      <w:r>
        <w:rPr>
          <w:sz w:val="18"/>
        </w:rPr>
        <w:t xml:space="preserve">Australia's response to China's PRR, para. 80. </w:t>
      </w:r>
      <w:bookmarkStart w:id="2076" w:name="_bookmark1786"/>
      <w:bookmarkEnd w:id="2076"/>
      <w:r>
        <w:rPr>
          <w:position w:val="5"/>
          <w:sz w:val="12"/>
        </w:rPr>
        <w:t>1557</w:t>
      </w:r>
      <w:r>
        <w:rPr>
          <w:spacing w:val="40"/>
          <w:position w:val="5"/>
          <w:sz w:val="12"/>
        </w:rPr>
        <w:t xml:space="preserve"> </w:t>
      </w:r>
      <w:r>
        <w:rPr>
          <w:sz w:val="18"/>
        </w:rPr>
        <w:t>China's first written submission, para. 120.</w:t>
      </w:r>
    </w:p>
    <w:p w14:paraId="6C6E13BA" w14:textId="77777777" w:rsidR="00BD462C" w:rsidRDefault="00033D0F">
      <w:pPr>
        <w:spacing w:before="3"/>
        <w:ind w:left="135"/>
        <w:rPr>
          <w:sz w:val="18"/>
        </w:rPr>
      </w:pPr>
      <w:bookmarkStart w:id="2077" w:name="_bookmark1787"/>
      <w:bookmarkEnd w:id="2077"/>
      <w:r>
        <w:rPr>
          <w:position w:val="5"/>
          <w:sz w:val="12"/>
        </w:rPr>
        <w:t>1558</w:t>
      </w:r>
      <w:r>
        <w:rPr>
          <w:spacing w:val="13"/>
          <w:position w:val="5"/>
          <w:sz w:val="12"/>
        </w:rPr>
        <w:t xml:space="preserve"> </w:t>
      </w:r>
      <w:r>
        <w:rPr>
          <w:sz w:val="18"/>
        </w:rPr>
        <w:t>C.f.</w:t>
      </w:r>
      <w:r>
        <w:rPr>
          <w:spacing w:val="-4"/>
          <w:sz w:val="18"/>
        </w:rPr>
        <w:t xml:space="preserve"> </w:t>
      </w:r>
      <w:r>
        <w:rPr>
          <w:sz w:val="18"/>
        </w:rPr>
        <w:t>China's</w:t>
      </w:r>
      <w:r>
        <w:rPr>
          <w:spacing w:val="-5"/>
          <w:sz w:val="18"/>
        </w:rPr>
        <w:t xml:space="preserve"> </w:t>
      </w:r>
      <w:r>
        <w:rPr>
          <w:sz w:val="18"/>
        </w:rPr>
        <w:t>first</w:t>
      </w:r>
      <w:r>
        <w:rPr>
          <w:spacing w:val="-4"/>
          <w:sz w:val="18"/>
        </w:rPr>
        <w:t xml:space="preserve"> </w:t>
      </w:r>
      <w:r>
        <w:rPr>
          <w:sz w:val="18"/>
        </w:rPr>
        <w:t>written</w:t>
      </w:r>
      <w:r>
        <w:rPr>
          <w:spacing w:val="-2"/>
          <w:sz w:val="18"/>
        </w:rPr>
        <w:t xml:space="preserve"> </w:t>
      </w:r>
      <w:r>
        <w:rPr>
          <w:sz w:val="18"/>
        </w:rPr>
        <w:t>submission,</w:t>
      </w:r>
      <w:r>
        <w:rPr>
          <w:spacing w:val="-3"/>
          <w:sz w:val="18"/>
        </w:rPr>
        <w:t xml:space="preserve"> </w:t>
      </w:r>
      <w:r>
        <w:rPr>
          <w:sz w:val="18"/>
        </w:rPr>
        <w:t>para.</w:t>
      </w:r>
      <w:r>
        <w:rPr>
          <w:spacing w:val="-4"/>
          <w:sz w:val="18"/>
        </w:rPr>
        <w:t xml:space="preserve"> 125.</w:t>
      </w:r>
    </w:p>
    <w:p w14:paraId="55F7A74D" w14:textId="77777777" w:rsidR="00BD462C" w:rsidRDefault="00033D0F">
      <w:pPr>
        <w:spacing w:before="1"/>
        <w:ind w:left="135"/>
        <w:rPr>
          <w:sz w:val="18"/>
        </w:rPr>
      </w:pPr>
      <w:bookmarkStart w:id="2078" w:name="_bookmark1788"/>
      <w:bookmarkEnd w:id="2078"/>
      <w:r>
        <w:rPr>
          <w:position w:val="5"/>
          <w:sz w:val="12"/>
        </w:rPr>
        <w:t>1559</w:t>
      </w:r>
      <w:r>
        <w:rPr>
          <w:spacing w:val="12"/>
          <w:position w:val="5"/>
          <w:sz w:val="12"/>
        </w:rPr>
        <w:t xml:space="preserve"> </w:t>
      </w:r>
      <w:r>
        <w:rPr>
          <w:sz w:val="18"/>
        </w:rPr>
        <w:t>Australia's</w:t>
      </w:r>
      <w:r>
        <w:rPr>
          <w:spacing w:val="-2"/>
          <w:sz w:val="18"/>
        </w:rPr>
        <w:t xml:space="preserve"> </w:t>
      </w:r>
      <w:r>
        <w:rPr>
          <w:sz w:val="18"/>
        </w:rPr>
        <w:t>response</w:t>
      </w:r>
      <w:r>
        <w:rPr>
          <w:spacing w:val="-7"/>
          <w:sz w:val="18"/>
        </w:rPr>
        <w:t xml:space="preserve"> </w:t>
      </w:r>
      <w:r>
        <w:rPr>
          <w:sz w:val="18"/>
        </w:rPr>
        <w:t>to</w:t>
      </w:r>
      <w:r>
        <w:rPr>
          <w:spacing w:val="-2"/>
          <w:sz w:val="18"/>
        </w:rPr>
        <w:t xml:space="preserve"> </w:t>
      </w:r>
      <w:r>
        <w:rPr>
          <w:sz w:val="18"/>
        </w:rPr>
        <w:t>China's</w:t>
      </w:r>
      <w:r>
        <w:rPr>
          <w:spacing w:val="-7"/>
          <w:sz w:val="18"/>
        </w:rPr>
        <w:t xml:space="preserve"> </w:t>
      </w:r>
      <w:r>
        <w:rPr>
          <w:sz w:val="18"/>
        </w:rPr>
        <w:t>PRR,</w:t>
      </w:r>
      <w:r>
        <w:rPr>
          <w:spacing w:val="-4"/>
          <w:sz w:val="18"/>
        </w:rPr>
        <w:t xml:space="preserve"> </w:t>
      </w:r>
      <w:r>
        <w:rPr>
          <w:sz w:val="18"/>
        </w:rPr>
        <w:t>paras.</w:t>
      </w:r>
      <w:r>
        <w:rPr>
          <w:spacing w:val="-6"/>
          <w:sz w:val="18"/>
        </w:rPr>
        <w:t xml:space="preserve"> </w:t>
      </w:r>
      <w:r>
        <w:rPr>
          <w:sz w:val="18"/>
        </w:rPr>
        <w:t>89-101, 266-268;</w:t>
      </w:r>
      <w:r>
        <w:rPr>
          <w:spacing w:val="-3"/>
          <w:sz w:val="18"/>
        </w:rPr>
        <w:t xml:space="preserve"> </w:t>
      </w:r>
      <w:r>
        <w:rPr>
          <w:sz w:val="18"/>
        </w:rPr>
        <w:t>c.f.</w:t>
      </w:r>
      <w:r>
        <w:rPr>
          <w:spacing w:val="-6"/>
          <w:sz w:val="18"/>
        </w:rPr>
        <w:t xml:space="preserve"> </w:t>
      </w:r>
      <w:r>
        <w:rPr>
          <w:sz w:val="18"/>
        </w:rPr>
        <w:t>China's</w:t>
      </w:r>
      <w:r>
        <w:rPr>
          <w:spacing w:val="-6"/>
          <w:sz w:val="18"/>
        </w:rPr>
        <w:t xml:space="preserve"> </w:t>
      </w:r>
      <w:r>
        <w:rPr>
          <w:sz w:val="18"/>
        </w:rPr>
        <w:t>first</w:t>
      </w:r>
      <w:r>
        <w:rPr>
          <w:spacing w:val="-6"/>
          <w:sz w:val="18"/>
        </w:rPr>
        <w:t xml:space="preserve"> </w:t>
      </w:r>
      <w:r>
        <w:rPr>
          <w:sz w:val="18"/>
        </w:rPr>
        <w:t>written</w:t>
      </w:r>
      <w:r>
        <w:rPr>
          <w:spacing w:val="-2"/>
          <w:sz w:val="18"/>
        </w:rPr>
        <w:t xml:space="preserve"> </w:t>
      </w:r>
      <w:r>
        <w:rPr>
          <w:sz w:val="18"/>
        </w:rPr>
        <w:t>submission,</w:t>
      </w:r>
      <w:r>
        <w:rPr>
          <w:spacing w:val="-5"/>
          <w:sz w:val="18"/>
        </w:rPr>
        <w:t xml:space="preserve"> </w:t>
      </w:r>
      <w:r>
        <w:rPr>
          <w:sz w:val="18"/>
        </w:rPr>
        <w:t>para.</w:t>
      </w:r>
      <w:r>
        <w:rPr>
          <w:spacing w:val="-5"/>
          <w:sz w:val="18"/>
        </w:rPr>
        <w:t xml:space="preserve"> </w:t>
      </w:r>
      <w:r>
        <w:rPr>
          <w:spacing w:val="-4"/>
          <w:sz w:val="18"/>
        </w:rPr>
        <w:t>125.</w:t>
      </w:r>
    </w:p>
    <w:p w14:paraId="18DA21FF" w14:textId="77777777" w:rsidR="00BD462C" w:rsidRDefault="00033D0F">
      <w:pPr>
        <w:spacing w:before="1"/>
        <w:ind w:left="135"/>
        <w:rPr>
          <w:sz w:val="18"/>
        </w:rPr>
      </w:pPr>
      <w:bookmarkStart w:id="2079" w:name="_bookmark1789"/>
      <w:bookmarkEnd w:id="2079"/>
      <w:r>
        <w:rPr>
          <w:position w:val="5"/>
          <w:sz w:val="12"/>
        </w:rPr>
        <w:t>1560</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paras.</w:t>
      </w:r>
      <w:r>
        <w:rPr>
          <w:spacing w:val="-5"/>
          <w:sz w:val="18"/>
        </w:rPr>
        <w:t xml:space="preserve"> </w:t>
      </w:r>
      <w:r>
        <w:rPr>
          <w:sz w:val="18"/>
        </w:rPr>
        <w:t>2350-</w:t>
      </w:r>
      <w:r>
        <w:rPr>
          <w:spacing w:val="-2"/>
          <w:sz w:val="18"/>
        </w:rPr>
        <w:t>2352.</w:t>
      </w:r>
    </w:p>
    <w:p w14:paraId="0356F222" w14:textId="77777777" w:rsidR="00BD462C" w:rsidRDefault="00BD462C">
      <w:pPr>
        <w:rPr>
          <w:sz w:val="18"/>
        </w:rPr>
        <w:sectPr w:rsidR="00BD462C">
          <w:pgSz w:w="11910" w:h="16840"/>
          <w:pgMar w:top="860" w:right="500" w:bottom="780" w:left="1280" w:header="566" w:footer="590" w:gutter="0"/>
          <w:cols w:space="720"/>
        </w:sectPr>
      </w:pPr>
    </w:p>
    <w:p w14:paraId="3993A232"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6FC23991"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092774FA" w14:textId="77777777" w:rsidR="00BD462C" w:rsidRDefault="00033D0F">
      <w:pPr>
        <w:tabs>
          <w:tab w:val="left" w:pos="7652"/>
        </w:tabs>
        <w:ind w:left="135"/>
        <w:rPr>
          <w:sz w:val="20"/>
        </w:rPr>
      </w:pPr>
      <w:bookmarkStart w:id="2080" w:name="A.5.2_Australia's_claims_pursuant_to_Art"/>
      <w:bookmarkStart w:id="2081" w:name="_bookmark1790"/>
      <w:bookmarkEnd w:id="2080"/>
      <w:bookmarkEnd w:id="2081"/>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49BF53B1" w14:textId="77777777" w:rsidR="00BD462C" w:rsidRDefault="00033D0F">
      <w:pPr>
        <w:pStyle w:val="Heading3"/>
        <w:numPr>
          <w:ilvl w:val="2"/>
          <w:numId w:val="5"/>
        </w:numPr>
        <w:tabs>
          <w:tab w:val="left" w:pos="1835"/>
          <w:tab w:val="left" w:pos="1836"/>
        </w:tabs>
        <w:spacing w:before="2" w:line="362" w:lineRule="auto"/>
        <w:ind w:right="918"/>
      </w:pPr>
      <w:r>
        <w:t>Australia's claims pursuant to Articles 6.1 and 6.2 are within the Panel's</w:t>
      </w:r>
      <w:r>
        <w:rPr>
          <w:spacing w:val="40"/>
        </w:rPr>
        <w:t xml:space="preserve"> </w:t>
      </w:r>
      <w:r>
        <w:t>terms of reference.</w:t>
      </w:r>
    </w:p>
    <w:p w14:paraId="4BFA81F8" w14:textId="77777777" w:rsidR="00BD462C" w:rsidRDefault="00BD462C">
      <w:pPr>
        <w:pStyle w:val="BodyText"/>
        <w:spacing w:before="7"/>
        <w:rPr>
          <w:b/>
          <w:sz w:val="8"/>
        </w:rPr>
      </w:pPr>
    </w:p>
    <w:p w14:paraId="6458EAAC" w14:textId="1E5C0917" w:rsidR="00BD462C" w:rsidRDefault="005930FF">
      <w:pPr>
        <w:pStyle w:val="BodyText"/>
        <w:spacing w:before="56" w:line="360" w:lineRule="auto"/>
        <w:ind w:left="135" w:right="915" w:hanging="5"/>
        <w:jc w:val="both"/>
      </w:pPr>
      <w:r>
        <w:rPr>
          <w:noProof/>
        </w:rPr>
        <w:t>40.</w:t>
      </w:r>
      <w:r w:rsidR="00033D0F">
        <w:rPr>
          <w:rFonts w:ascii="Times New Roman"/>
          <w:spacing w:val="80"/>
          <w:position w:val="1"/>
          <w:sz w:val="20"/>
        </w:rPr>
        <w:t xml:space="preserve">  </w:t>
      </w:r>
      <w:r w:rsidR="00033D0F">
        <w:rPr>
          <w:position w:val="1"/>
        </w:rPr>
        <w:t>Regarding Australia's claims pursuant to Articles 6.1 and 6.2, China alleges</w:t>
      </w:r>
      <w:r w:rsidR="00033D0F">
        <w:rPr>
          <w:spacing w:val="-1"/>
          <w:position w:val="1"/>
        </w:rPr>
        <w:t xml:space="preserve"> </w:t>
      </w:r>
      <w:r w:rsidR="00033D0F">
        <w:rPr>
          <w:position w:val="1"/>
        </w:rPr>
        <w:t xml:space="preserve">in its first </w:t>
      </w:r>
      <w:r w:rsidR="00033D0F">
        <w:t>written submission that Australia's panel request was either: (i) unclear; (ii) insufficiently detailed, in</w:t>
      </w:r>
      <w:r w:rsidR="00033D0F">
        <w:rPr>
          <w:spacing w:val="-1"/>
        </w:rPr>
        <w:t xml:space="preserve"> </w:t>
      </w:r>
      <w:r w:rsidR="00033D0F">
        <w:t>that</w:t>
      </w:r>
      <w:r w:rsidR="00033D0F">
        <w:rPr>
          <w:spacing w:val="-3"/>
        </w:rPr>
        <w:t xml:space="preserve"> </w:t>
      </w:r>
      <w:r w:rsidR="00033D0F">
        <w:t>it did</w:t>
      </w:r>
      <w:r w:rsidR="00033D0F">
        <w:rPr>
          <w:spacing w:val="-1"/>
        </w:rPr>
        <w:t xml:space="preserve"> </w:t>
      </w:r>
      <w:r w:rsidR="00033D0F">
        <w:t>not specify instances of infringement;</w:t>
      </w:r>
      <w:r w:rsidR="00033D0F">
        <w:rPr>
          <w:spacing w:val="-1"/>
        </w:rPr>
        <w:t xml:space="preserve"> </w:t>
      </w:r>
      <w:r w:rsidR="00033D0F">
        <w:t>or</w:t>
      </w:r>
      <w:r w:rsidR="00033D0F">
        <w:rPr>
          <w:spacing w:val="-1"/>
        </w:rPr>
        <w:t xml:space="preserve"> </w:t>
      </w:r>
      <w:r w:rsidR="00033D0F">
        <w:t>(iii) part of a "special class" of obligations</w:t>
      </w:r>
      <w:r w:rsidR="00033D0F">
        <w:rPr>
          <w:spacing w:val="-6"/>
        </w:rPr>
        <w:t xml:space="preserve"> </w:t>
      </w:r>
      <w:r w:rsidR="00033D0F">
        <w:t>requiring</w:t>
      </w:r>
      <w:r w:rsidR="00033D0F">
        <w:rPr>
          <w:spacing w:val="-6"/>
        </w:rPr>
        <w:t xml:space="preserve"> </w:t>
      </w:r>
      <w:r w:rsidR="00033D0F">
        <w:t>significantly</w:t>
      </w:r>
      <w:r w:rsidR="00033D0F">
        <w:rPr>
          <w:spacing w:val="-6"/>
        </w:rPr>
        <w:t xml:space="preserve"> </w:t>
      </w:r>
      <w:r w:rsidR="00033D0F">
        <w:t>more</w:t>
      </w:r>
      <w:r w:rsidR="00033D0F">
        <w:rPr>
          <w:spacing w:val="-7"/>
        </w:rPr>
        <w:t xml:space="preserve"> </w:t>
      </w:r>
      <w:r w:rsidR="00033D0F">
        <w:t>detail</w:t>
      </w:r>
      <w:r w:rsidR="00033D0F">
        <w:rPr>
          <w:spacing w:val="-5"/>
        </w:rPr>
        <w:t xml:space="preserve"> </w:t>
      </w:r>
      <w:r w:rsidR="00033D0F">
        <w:t>than</w:t>
      </w:r>
      <w:r w:rsidR="00033D0F">
        <w:rPr>
          <w:spacing w:val="-9"/>
        </w:rPr>
        <w:t xml:space="preserve"> </w:t>
      </w:r>
      <w:r w:rsidR="00033D0F">
        <w:t>would</w:t>
      </w:r>
      <w:r w:rsidR="00033D0F">
        <w:rPr>
          <w:spacing w:val="-9"/>
        </w:rPr>
        <w:t xml:space="preserve"> </w:t>
      </w:r>
      <w:r w:rsidR="00033D0F">
        <w:t>otherwise</w:t>
      </w:r>
      <w:r w:rsidR="00033D0F">
        <w:rPr>
          <w:spacing w:val="-7"/>
        </w:rPr>
        <w:t xml:space="preserve"> </w:t>
      </w:r>
      <w:r w:rsidR="00033D0F">
        <w:t>be</w:t>
      </w:r>
      <w:r w:rsidR="00033D0F">
        <w:rPr>
          <w:spacing w:val="-7"/>
        </w:rPr>
        <w:t xml:space="preserve"> </w:t>
      </w:r>
      <w:r w:rsidR="00033D0F">
        <w:t>necessary.</w:t>
      </w:r>
      <w:hyperlink w:anchor="_bookmark1791" w:history="1">
        <w:r w:rsidR="00033D0F">
          <w:rPr>
            <w:vertAlign w:val="superscript"/>
          </w:rPr>
          <w:t>1561</w:t>
        </w:r>
      </w:hyperlink>
      <w:r w:rsidR="00033D0F">
        <w:rPr>
          <w:spacing w:val="-6"/>
        </w:rPr>
        <w:t xml:space="preserve"> </w:t>
      </w:r>
      <w:r w:rsidR="00033D0F">
        <w:t>China</w:t>
      </w:r>
      <w:r w:rsidR="00033D0F">
        <w:rPr>
          <w:spacing w:val="-8"/>
        </w:rPr>
        <w:t xml:space="preserve"> </w:t>
      </w:r>
      <w:r w:rsidR="00033D0F">
        <w:t>is incorrect on all three accounts.</w:t>
      </w:r>
    </w:p>
    <w:p w14:paraId="422FB1AF" w14:textId="77777777" w:rsidR="00BD462C" w:rsidRDefault="00BD462C">
      <w:pPr>
        <w:pStyle w:val="BodyText"/>
        <w:spacing w:before="6"/>
        <w:rPr>
          <w:sz w:val="8"/>
        </w:rPr>
      </w:pPr>
    </w:p>
    <w:p w14:paraId="3AC06150" w14:textId="49B71486" w:rsidR="00BD462C" w:rsidRDefault="005930FF">
      <w:pPr>
        <w:pStyle w:val="BodyText"/>
        <w:spacing w:before="56" w:line="360" w:lineRule="auto"/>
        <w:ind w:left="136" w:right="910" w:hanging="5"/>
        <w:jc w:val="both"/>
      </w:pPr>
      <w:r>
        <w:rPr>
          <w:noProof/>
        </w:rPr>
        <w:t>41.</w:t>
      </w:r>
      <w:r w:rsidR="00033D0F">
        <w:rPr>
          <w:rFonts w:ascii="Times New Roman"/>
          <w:spacing w:val="80"/>
          <w:w w:val="150"/>
          <w:position w:val="1"/>
          <w:sz w:val="20"/>
        </w:rPr>
        <w:t xml:space="preserve">   </w:t>
      </w:r>
      <w:r w:rsidR="00033D0F">
        <w:rPr>
          <w:position w:val="1"/>
        </w:rPr>
        <w:t>With</w:t>
      </w:r>
      <w:r w:rsidR="00033D0F">
        <w:rPr>
          <w:spacing w:val="-9"/>
          <w:position w:val="1"/>
        </w:rPr>
        <w:t xml:space="preserve"> </w:t>
      </w:r>
      <w:r w:rsidR="00033D0F">
        <w:rPr>
          <w:position w:val="1"/>
        </w:rPr>
        <w:t>regards</w:t>
      </w:r>
      <w:r w:rsidR="00033D0F">
        <w:rPr>
          <w:spacing w:val="-6"/>
          <w:position w:val="1"/>
        </w:rPr>
        <w:t xml:space="preserve"> </w:t>
      </w:r>
      <w:r w:rsidR="00033D0F">
        <w:rPr>
          <w:position w:val="1"/>
        </w:rPr>
        <w:t>to</w:t>
      </w:r>
      <w:r w:rsidR="00033D0F">
        <w:rPr>
          <w:spacing w:val="-10"/>
          <w:position w:val="1"/>
        </w:rPr>
        <w:t xml:space="preserve"> </w:t>
      </w:r>
      <w:r w:rsidR="00033D0F">
        <w:rPr>
          <w:position w:val="1"/>
        </w:rPr>
        <w:t>objection</w:t>
      </w:r>
      <w:r w:rsidR="00033D0F">
        <w:rPr>
          <w:spacing w:val="-9"/>
          <w:position w:val="1"/>
        </w:rPr>
        <w:t xml:space="preserve"> </w:t>
      </w:r>
      <w:r w:rsidR="00033D0F">
        <w:rPr>
          <w:position w:val="1"/>
        </w:rPr>
        <w:t>(i),</w:t>
      </w:r>
      <w:r w:rsidR="00033D0F">
        <w:rPr>
          <w:spacing w:val="-5"/>
          <w:position w:val="1"/>
        </w:rPr>
        <w:t xml:space="preserve"> </w:t>
      </w:r>
      <w:r w:rsidR="00033D0F">
        <w:rPr>
          <w:position w:val="1"/>
        </w:rPr>
        <w:t>Australia</w:t>
      </w:r>
      <w:r w:rsidR="00033D0F">
        <w:rPr>
          <w:spacing w:val="-8"/>
          <w:position w:val="1"/>
        </w:rPr>
        <w:t xml:space="preserve"> </w:t>
      </w:r>
      <w:r w:rsidR="00033D0F">
        <w:rPr>
          <w:position w:val="1"/>
        </w:rPr>
        <w:t>has</w:t>
      </w:r>
      <w:r w:rsidR="00033D0F">
        <w:rPr>
          <w:spacing w:val="-6"/>
          <w:position w:val="1"/>
        </w:rPr>
        <w:t xml:space="preserve"> </w:t>
      </w:r>
      <w:r w:rsidR="00033D0F">
        <w:rPr>
          <w:position w:val="1"/>
        </w:rPr>
        <w:t>made</w:t>
      </w:r>
      <w:r w:rsidR="00033D0F">
        <w:rPr>
          <w:spacing w:val="-7"/>
          <w:position w:val="1"/>
        </w:rPr>
        <w:t xml:space="preserve"> </w:t>
      </w:r>
      <w:r w:rsidR="00033D0F">
        <w:rPr>
          <w:position w:val="1"/>
        </w:rPr>
        <w:t>detailed</w:t>
      </w:r>
      <w:r w:rsidR="00033D0F">
        <w:rPr>
          <w:spacing w:val="-9"/>
          <w:position w:val="1"/>
        </w:rPr>
        <w:t xml:space="preserve"> </w:t>
      </w:r>
      <w:r w:rsidR="00033D0F">
        <w:rPr>
          <w:position w:val="1"/>
        </w:rPr>
        <w:t>submissions</w:t>
      </w:r>
      <w:r w:rsidR="00033D0F">
        <w:rPr>
          <w:spacing w:val="-6"/>
          <w:position w:val="1"/>
        </w:rPr>
        <w:t xml:space="preserve"> </w:t>
      </w:r>
      <w:r w:rsidR="00033D0F">
        <w:rPr>
          <w:position w:val="1"/>
        </w:rPr>
        <w:t>in</w:t>
      </w:r>
      <w:r w:rsidR="00033D0F">
        <w:rPr>
          <w:spacing w:val="-9"/>
          <w:position w:val="1"/>
        </w:rPr>
        <w:t xml:space="preserve"> </w:t>
      </w:r>
      <w:r w:rsidR="00033D0F">
        <w:rPr>
          <w:position w:val="1"/>
        </w:rPr>
        <w:t>its</w:t>
      </w:r>
      <w:r w:rsidR="00033D0F">
        <w:rPr>
          <w:spacing w:val="-6"/>
          <w:position w:val="1"/>
        </w:rPr>
        <w:t xml:space="preserve"> </w:t>
      </w:r>
      <w:r w:rsidR="00033D0F">
        <w:rPr>
          <w:position w:val="1"/>
        </w:rPr>
        <w:t xml:space="preserve">response </w:t>
      </w:r>
      <w:r w:rsidR="00033D0F">
        <w:t>to the PRR and it stands on those submissions.</w:t>
      </w:r>
      <w:hyperlink w:anchor="_bookmark1792" w:history="1">
        <w:r w:rsidR="00033D0F">
          <w:rPr>
            <w:vertAlign w:val="superscript"/>
          </w:rPr>
          <w:t>1562</w:t>
        </w:r>
      </w:hyperlink>
      <w:r w:rsidR="00033D0F">
        <w:t xml:space="preserve"> Furthermore, irrespective of whether Article 6.2 contains multiple obligations or requires greater detail to present the problem clearly, Australia identified the obligation at issue by specifying the relevant text of the first sentence of Article 6.2 in its panel request.</w:t>
      </w:r>
      <w:hyperlink w:anchor="_bookmark1793" w:history="1">
        <w:r w:rsidR="00033D0F">
          <w:rPr>
            <w:vertAlign w:val="superscript"/>
          </w:rPr>
          <w:t>1563</w:t>
        </w:r>
      </w:hyperlink>
      <w:r w:rsidR="00033D0F">
        <w:t xml:space="preserve"> As Australia's case concerns only this first sentence,</w:t>
      </w:r>
      <w:r w:rsidR="00033D0F">
        <w:rPr>
          <w:spacing w:val="-14"/>
        </w:rPr>
        <w:t xml:space="preserve"> </w:t>
      </w:r>
      <w:r w:rsidR="00033D0F">
        <w:t>and</w:t>
      </w:r>
      <w:r w:rsidR="00033D0F">
        <w:rPr>
          <w:spacing w:val="-14"/>
        </w:rPr>
        <w:t xml:space="preserve"> </w:t>
      </w:r>
      <w:r w:rsidR="00033D0F">
        <w:t>it</w:t>
      </w:r>
      <w:r w:rsidR="00033D0F">
        <w:rPr>
          <w:spacing w:val="-13"/>
        </w:rPr>
        <w:t xml:space="preserve"> </w:t>
      </w:r>
      <w:r w:rsidR="00033D0F">
        <w:t>included</w:t>
      </w:r>
      <w:r w:rsidR="00033D0F">
        <w:rPr>
          <w:spacing w:val="-14"/>
        </w:rPr>
        <w:t xml:space="preserve"> </w:t>
      </w:r>
      <w:r w:rsidR="00033D0F">
        <w:t>this</w:t>
      </w:r>
      <w:r w:rsidR="00033D0F">
        <w:rPr>
          <w:spacing w:val="-12"/>
        </w:rPr>
        <w:t xml:space="preserve"> </w:t>
      </w:r>
      <w:r w:rsidR="00033D0F">
        <w:t>precise</w:t>
      </w:r>
      <w:r w:rsidR="00033D0F">
        <w:rPr>
          <w:spacing w:val="-12"/>
        </w:rPr>
        <w:t xml:space="preserve"> </w:t>
      </w:r>
      <w:r w:rsidR="00033D0F">
        <w:t>language</w:t>
      </w:r>
      <w:r w:rsidR="00033D0F">
        <w:rPr>
          <w:spacing w:val="-13"/>
        </w:rPr>
        <w:t xml:space="preserve"> </w:t>
      </w:r>
      <w:r w:rsidR="00033D0F">
        <w:t>in</w:t>
      </w:r>
      <w:r w:rsidR="00033D0F">
        <w:rPr>
          <w:spacing w:val="-14"/>
        </w:rPr>
        <w:t xml:space="preserve"> </w:t>
      </w:r>
      <w:r w:rsidR="00033D0F">
        <w:t>its</w:t>
      </w:r>
      <w:r w:rsidR="00033D0F">
        <w:rPr>
          <w:spacing w:val="-10"/>
        </w:rPr>
        <w:t xml:space="preserve"> </w:t>
      </w:r>
      <w:r w:rsidR="00033D0F">
        <w:t>panel</w:t>
      </w:r>
      <w:r w:rsidR="00033D0F">
        <w:rPr>
          <w:spacing w:val="-11"/>
        </w:rPr>
        <w:t xml:space="preserve"> </w:t>
      </w:r>
      <w:r w:rsidR="00033D0F">
        <w:t>request,</w:t>
      </w:r>
      <w:r w:rsidR="00033D0F">
        <w:rPr>
          <w:spacing w:val="-11"/>
        </w:rPr>
        <w:t xml:space="preserve"> </w:t>
      </w:r>
      <w:r w:rsidR="00033D0F">
        <w:t>China</w:t>
      </w:r>
      <w:r w:rsidR="00033D0F">
        <w:rPr>
          <w:spacing w:val="-13"/>
        </w:rPr>
        <w:t xml:space="preserve"> </w:t>
      </w:r>
      <w:r w:rsidR="00033D0F">
        <w:t>was</w:t>
      </w:r>
      <w:r w:rsidR="00033D0F">
        <w:rPr>
          <w:spacing w:val="-11"/>
        </w:rPr>
        <w:t xml:space="preserve"> </w:t>
      </w:r>
      <w:r w:rsidR="00033D0F">
        <w:t>clearly</w:t>
      </w:r>
      <w:r w:rsidR="00033D0F">
        <w:rPr>
          <w:spacing w:val="-12"/>
        </w:rPr>
        <w:t xml:space="preserve"> </w:t>
      </w:r>
      <w:r w:rsidR="00033D0F">
        <w:t>on</w:t>
      </w:r>
      <w:r w:rsidR="00033D0F">
        <w:rPr>
          <w:spacing w:val="-14"/>
        </w:rPr>
        <w:t xml:space="preserve"> </w:t>
      </w:r>
      <w:r w:rsidR="00033D0F">
        <w:t>notice as to the legal basis of Australia's complaint.</w:t>
      </w:r>
    </w:p>
    <w:p w14:paraId="016212A2" w14:textId="77777777" w:rsidR="00BD462C" w:rsidRDefault="00BD462C">
      <w:pPr>
        <w:pStyle w:val="BodyText"/>
        <w:spacing w:before="5"/>
        <w:rPr>
          <w:sz w:val="8"/>
        </w:rPr>
      </w:pPr>
    </w:p>
    <w:p w14:paraId="2A7178CA" w14:textId="29FED5BB" w:rsidR="00BD462C" w:rsidRDefault="005930FF">
      <w:pPr>
        <w:pStyle w:val="BodyText"/>
        <w:spacing w:before="56" w:line="360" w:lineRule="auto"/>
        <w:ind w:left="136" w:right="915" w:hanging="5"/>
        <w:jc w:val="both"/>
      </w:pPr>
      <w:r>
        <w:rPr>
          <w:noProof/>
        </w:rPr>
        <w:t>42.</w:t>
      </w:r>
      <w:r w:rsidR="00033D0F">
        <w:rPr>
          <w:rFonts w:ascii="Times New Roman"/>
          <w:spacing w:val="80"/>
          <w:position w:val="1"/>
          <w:sz w:val="20"/>
        </w:rPr>
        <w:t xml:space="preserve">  </w:t>
      </w:r>
      <w:r w:rsidR="00033D0F">
        <w:rPr>
          <w:position w:val="1"/>
        </w:rPr>
        <w:t xml:space="preserve">With regards to objection (ii), China's objection reveals its misunderstanding of the </w:t>
      </w:r>
      <w:r w:rsidR="00033D0F">
        <w:t>appropriate standard</w:t>
      </w:r>
      <w:r w:rsidR="00033D0F">
        <w:rPr>
          <w:spacing w:val="-2"/>
        </w:rPr>
        <w:t xml:space="preserve"> </w:t>
      </w:r>
      <w:r w:rsidR="00033D0F">
        <w:t>under</w:t>
      </w:r>
      <w:r w:rsidR="00033D0F">
        <w:rPr>
          <w:spacing w:val="-2"/>
        </w:rPr>
        <w:t xml:space="preserve"> </w:t>
      </w:r>
      <w:r w:rsidR="00033D0F">
        <w:t>Article 6.2</w:t>
      </w:r>
      <w:r w:rsidR="00033D0F">
        <w:rPr>
          <w:spacing w:val="-2"/>
        </w:rPr>
        <w:t xml:space="preserve"> </w:t>
      </w:r>
      <w:r w:rsidR="00033D0F">
        <w:t>of</w:t>
      </w:r>
      <w:r w:rsidR="00033D0F">
        <w:rPr>
          <w:spacing w:val="-1"/>
        </w:rPr>
        <w:t xml:space="preserve"> </w:t>
      </w:r>
      <w:r w:rsidR="00033D0F">
        <w:t>the DSU</w:t>
      </w:r>
      <w:r w:rsidR="00033D0F">
        <w:rPr>
          <w:spacing w:val="-1"/>
        </w:rPr>
        <w:t xml:space="preserve"> </w:t>
      </w:r>
      <w:r w:rsidR="00033D0F">
        <w:t>as the detail</w:t>
      </w:r>
      <w:r w:rsidR="00033D0F">
        <w:rPr>
          <w:spacing w:val="-2"/>
        </w:rPr>
        <w:t xml:space="preserve"> </w:t>
      </w:r>
      <w:r w:rsidR="00033D0F">
        <w:t xml:space="preserve">that China demands does not concern Australia's claim but rather its </w:t>
      </w:r>
      <w:r w:rsidR="00033D0F">
        <w:rPr>
          <w:i/>
        </w:rPr>
        <w:t>arguments</w:t>
      </w:r>
      <w:r w:rsidR="00033D0F">
        <w:t>. Aside from the fact that Australia's panel request made clear that more than one extension request was at issue,</w:t>
      </w:r>
      <w:hyperlink w:anchor="_bookmark1794" w:history="1">
        <w:r w:rsidR="00033D0F">
          <w:rPr>
            <w:vertAlign w:val="superscript"/>
          </w:rPr>
          <w:t>1564</w:t>
        </w:r>
      </w:hyperlink>
      <w:r w:rsidR="00033D0F">
        <w:t xml:space="preserve"> each time that MOFCOM failed</w:t>
      </w:r>
      <w:r w:rsidR="00033D0F">
        <w:rPr>
          <w:spacing w:val="-1"/>
        </w:rPr>
        <w:t xml:space="preserve"> </w:t>
      </w:r>
      <w:r w:rsidR="00033D0F">
        <w:t>to</w:t>
      </w:r>
      <w:r w:rsidR="00033D0F">
        <w:rPr>
          <w:spacing w:val="-1"/>
        </w:rPr>
        <w:t xml:space="preserve"> </w:t>
      </w:r>
      <w:r w:rsidR="00033D0F">
        <w:t>consider</w:t>
      </w:r>
      <w:r w:rsidR="00033D0F">
        <w:rPr>
          <w:spacing w:val="-1"/>
        </w:rPr>
        <w:t xml:space="preserve"> </w:t>
      </w:r>
      <w:r w:rsidR="00033D0F">
        <w:t>an</w:t>
      </w:r>
      <w:r w:rsidR="00033D0F">
        <w:rPr>
          <w:spacing w:val="-1"/>
        </w:rPr>
        <w:t xml:space="preserve"> </w:t>
      </w:r>
      <w:r w:rsidR="00033D0F">
        <w:t>extension</w:t>
      </w:r>
      <w:r w:rsidR="00033D0F">
        <w:rPr>
          <w:spacing w:val="-1"/>
        </w:rPr>
        <w:t xml:space="preserve"> </w:t>
      </w:r>
      <w:r w:rsidR="00033D0F">
        <w:t>request</w:t>
      </w:r>
      <w:r w:rsidR="00033D0F">
        <w:rPr>
          <w:spacing w:val="-3"/>
        </w:rPr>
        <w:t xml:space="preserve"> </w:t>
      </w:r>
      <w:r w:rsidR="00033D0F">
        <w:t>was an</w:t>
      </w:r>
      <w:r w:rsidR="00033D0F">
        <w:rPr>
          <w:spacing w:val="-1"/>
        </w:rPr>
        <w:t xml:space="preserve"> </w:t>
      </w:r>
      <w:r w:rsidR="00033D0F">
        <w:rPr>
          <w:i/>
        </w:rPr>
        <w:t xml:space="preserve">instance </w:t>
      </w:r>
      <w:r w:rsidR="00033D0F">
        <w:t>of infringement of Articles</w:t>
      </w:r>
    </w:p>
    <w:p w14:paraId="5E33B01A" w14:textId="77777777" w:rsidR="00BD462C" w:rsidRDefault="00033D0F">
      <w:pPr>
        <w:pStyle w:val="BodyText"/>
        <w:spacing w:line="360" w:lineRule="auto"/>
        <w:ind w:left="135" w:right="916"/>
        <w:jc w:val="both"/>
      </w:pPr>
      <w:r>
        <w:t>6.1.1 and 6.2. Australia sets out these occurrences to demonstrate its claim of inconsistency with the obligations under of Articles 6.1.1 and 6.2.</w:t>
      </w:r>
      <w:hyperlink w:anchor="_bookmark1795" w:history="1">
        <w:r>
          <w:rPr>
            <w:vertAlign w:val="superscript"/>
          </w:rPr>
          <w:t>1565</w:t>
        </w:r>
      </w:hyperlink>
      <w:r>
        <w:t xml:space="preserve"> These instances are properly </w:t>
      </w:r>
      <w:proofErr w:type="spellStart"/>
      <w:r>
        <w:t>characterised</w:t>
      </w:r>
      <w:proofErr w:type="spellEnd"/>
      <w:r>
        <w:rPr>
          <w:spacing w:val="-3"/>
        </w:rPr>
        <w:t xml:space="preserve"> </w:t>
      </w:r>
      <w:r>
        <w:t>as</w:t>
      </w:r>
      <w:r>
        <w:rPr>
          <w:spacing w:val="4"/>
        </w:rPr>
        <w:t xml:space="preserve"> </w:t>
      </w:r>
      <w:r>
        <w:t>arguments,</w:t>
      </w:r>
      <w:r>
        <w:rPr>
          <w:spacing w:val="3"/>
        </w:rPr>
        <w:t xml:space="preserve"> </w:t>
      </w:r>
      <w:r>
        <w:t>and</w:t>
      </w:r>
      <w:r>
        <w:rPr>
          <w:spacing w:val="5"/>
        </w:rPr>
        <w:t xml:space="preserve"> </w:t>
      </w:r>
      <w:r>
        <w:t>need</w:t>
      </w:r>
      <w:r>
        <w:rPr>
          <w:spacing w:val="4"/>
        </w:rPr>
        <w:t xml:space="preserve"> </w:t>
      </w:r>
      <w:r>
        <w:t>not</w:t>
      </w:r>
      <w:r>
        <w:rPr>
          <w:spacing w:val="3"/>
        </w:rPr>
        <w:t xml:space="preserve"> </w:t>
      </w:r>
      <w:r>
        <w:t>be</w:t>
      </w:r>
      <w:r>
        <w:rPr>
          <w:spacing w:val="6"/>
        </w:rPr>
        <w:t xml:space="preserve"> </w:t>
      </w:r>
      <w:r>
        <w:t>included in</w:t>
      </w:r>
      <w:r>
        <w:rPr>
          <w:spacing w:val="5"/>
        </w:rPr>
        <w:t xml:space="preserve"> </w:t>
      </w:r>
      <w:r>
        <w:t>a</w:t>
      </w:r>
      <w:r>
        <w:rPr>
          <w:spacing w:val="6"/>
        </w:rPr>
        <w:t xml:space="preserve"> </w:t>
      </w:r>
      <w:r>
        <w:t>panel</w:t>
      </w:r>
      <w:r>
        <w:rPr>
          <w:spacing w:val="4"/>
        </w:rPr>
        <w:t xml:space="preserve"> </w:t>
      </w:r>
      <w:r>
        <w:t>request</w:t>
      </w:r>
      <w:r>
        <w:rPr>
          <w:spacing w:val="2"/>
        </w:rPr>
        <w:t xml:space="preserve"> </w:t>
      </w:r>
      <w:r>
        <w:t>pursuant</w:t>
      </w:r>
      <w:r>
        <w:rPr>
          <w:spacing w:val="3"/>
        </w:rPr>
        <w:t xml:space="preserve"> </w:t>
      </w:r>
      <w:r>
        <w:t>to</w:t>
      </w:r>
      <w:r>
        <w:rPr>
          <w:spacing w:val="5"/>
        </w:rPr>
        <w:t xml:space="preserve"> </w:t>
      </w:r>
      <w:r>
        <w:rPr>
          <w:spacing w:val="-2"/>
        </w:rPr>
        <w:t>Article</w:t>
      </w:r>
    </w:p>
    <w:p w14:paraId="7FF7CF2A" w14:textId="77777777" w:rsidR="00BD462C" w:rsidRDefault="00033D0F">
      <w:pPr>
        <w:pStyle w:val="BodyText"/>
        <w:spacing w:line="290" w:lineRule="exact"/>
        <w:ind w:left="136"/>
        <w:jc w:val="both"/>
      </w:pPr>
      <w:r>
        <w:t>6.2 of</w:t>
      </w:r>
      <w:r>
        <w:rPr>
          <w:spacing w:val="1"/>
        </w:rPr>
        <w:t xml:space="preserve"> </w:t>
      </w:r>
      <w:r>
        <w:t>the</w:t>
      </w:r>
      <w:r>
        <w:rPr>
          <w:spacing w:val="2"/>
        </w:rPr>
        <w:t xml:space="preserve"> </w:t>
      </w:r>
      <w:r>
        <w:t>DSU.</w:t>
      </w:r>
      <w:hyperlink w:anchor="_bookmark1796" w:history="1">
        <w:r>
          <w:rPr>
            <w:vertAlign w:val="superscript"/>
          </w:rPr>
          <w:t>1566</w:t>
        </w:r>
      </w:hyperlink>
      <w:r>
        <w:rPr>
          <w:spacing w:val="3"/>
        </w:rPr>
        <w:t xml:space="preserve"> </w:t>
      </w:r>
      <w:r>
        <w:t>It</w:t>
      </w:r>
      <w:r>
        <w:rPr>
          <w:spacing w:val="3"/>
        </w:rPr>
        <w:t xml:space="preserve"> </w:t>
      </w:r>
      <w:r>
        <w:t>is</w:t>
      </w:r>
      <w:r>
        <w:rPr>
          <w:spacing w:val="4"/>
        </w:rPr>
        <w:t xml:space="preserve"> </w:t>
      </w:r>
      <w:r>
        <w:t>China's</w:t>
      </w:r>
      <w:r>
        <w:rPr>
          <w:spacing w:val="4"/>
        </w:rPr>
        <w:t xml:space="preserve"> </w:t>
      </w:r>
      <w:r>
        <w:t>flawed understanding</w:t>
      </w:r>
      <w:r>
        <w:rPr>
          <w:spacing w:val="4"/>
        </w:rPr>
        <w:t xml:space="preserve"> </w:t>
      </w:r>
      <w:r>
        <w:t>of</w:t>
      </w:r>
      <w:r>
        <w:rPr>
          <w:spacing w:val="1"/>
        </w:rPr>
        <w:t xml:space="preserve"> </w:t>
      </w:r>
      <w:r>
        <w:t>a</w:t>
      </w:r>
      <w:r>
        <w:rPr>
          <w:spacing w:val="2"/>
        </w:rPr>
        <w:t xml:space="preserve"> </w:t>
      </w:r>
      <w:r>
        <w:t>"how</w:t>
      </w:r>
      <w:r>
        <w:rPr>
          <w:spacing w:val="8"/>
        </w:rPr>
        <w:t xml:space="preserve"> </w:t>
      </w:r>
      <w:r>
        <w:t>or why"</w:t>
      </w:r>
      <w:r>
        <w:rPr>
          <w:spacing w:val="2"/>
        </w:rPr>
        <w:t xml:space="preserve"> </w:t>
      </w:r>
      <w:r>
        <w:t>obligation that</w:t>
      </w:r>
      <w:r>
        <w:rPr>
          <w:spacing w:val="3"/>
        </w:rPr>
        <w:t xml:space="preserve"> </w:t>
      </w:r>
      <w:r>
        <w:rPr>
          <w:spacing w:val="-2"/>
        </w:rPr>
        <w:t>leads</w:t>
      </w:r>
    </w:p>
    <w:p w14:paraId="60D36E33" w14:textId="77777777" w:rsidR="00BD462C" w:rsidRDefault="00BD462C">
      <w:pPr>
        <w:pStyle w:val="BodyText"/>
        <w:rPr>
          <w:sz w:val="20"/>
        </w:rPr>
      </w:pPr>
    </w:p>
    <w:p w14:paraId="2A3782C1" w14:textId="77777777" w:rsidR="00BD462C" w:rsidRDefault="00BD462C">
      <w:pPr>
        <w:pStyle w:val="BodyText"/>
        <w:rPr>
          <w:sz w:val="20"/>
        </w:rPr>
      </w:pPr>
    </w:p>
    <w:p w14:paraId="2E9FF2FE" w14:textId="799187BE" w:rsidR="00BD462C" w:rsidRDefault="00E14314">
      <w:pPr>
        <w:pStyle w:val="BodyText"/>
        <w:rPr>
          <w:sz w:val="26"/>
        </w:rPr>
      </w:pPr>
      <w:r>
        <w:rPr>
          <w:noProof/>
        </w:rPr>
        <mc:AlternateContent>
          <mc:Choice Requires="wps">
            <w:drawing>
              <wp:anchor distT="0" distB="0" distL="0" distR="0" simplePos="0" relativeHeight="488092160" behindDoc="1" locked="0" layoutInCell="1" allowOverlap="1" wp14:anchorId="5F117F21" wp14:editId="3D46FF9D">
                <wp:simplePos x="0" y="0"/>
                <wp:positionH relativeFrom="page">
                  <wp:posOffset>812800</wp:posOffset>
                </wp:positionH>
                <wp:positionV relativeFrom="paragraph">
                  <wp:posOffset>202565</wp:posOffset>
                </wp:positionV>
                <wp:extent cx="1828800" cy="8890"/>
                <wp:effectExtent l="0" t="0" r="0" b="0"/>
                <wp:wrapTopAndBottom/>
                <wp:docPr id="68" name="docshape7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8E9DEE" id="docshape705" o:spid="_x0000_s1026" alt="&quot;&quot;" style="position:absolute;margin-left:64pt;margin-top:15.95pt;width:2in;height:.7pt;z-index:-15224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" fillcolor="black" stroked="f">
                <w10:wrap type="topAndBottom" anchorx="page"/>
              </v:rect>
            </w:pict>
          </mc:Fallback>
        </mc:AlternateContent>
      </w:r>
    </w:p>
    <w:p w14:paraId="4939BBB0" w14:textId="77777777" w:rsidR="00BD462C" w:rsidRDefault="00033D0F">
      <w:pPr>
        <w:spacing w:before="112"/>
        <w:ind w:left="135"/>
        <w:rPr>
          <w:sz w:val="18"/>
        </w:rPr>
      </w:pPr>
      <w:bookmarkStart w:id="2082" w:name="_bookmark1791"/>
      <w:bookmarkEnd w:id="2082"/>
      <w:r>
        <w:rPr>
          <w:position w:val="5"/>
          <w:sz w:val="12"/>
        </w:rPr>
        <w:t>1561</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paras.</w:t>
      </w:r>
      <w:r>
        <w:rPr>
          <w:spacing w:val="-5"/>
          <w:sz w:val="18"/>
        </w:rPr>
        <w:t xml:space="preserve"> </w:t>
      </w:r>
      <w:r>
        <w:rPr>
          <w:sz w:val="18"/>
        </w:rPr>
        <w:t>85,</w:t>
      </w:r>
      <w:r>
        <w:rPr>
          <w:spacing w:val="-4"/>
          <w:sz w:val="18"/>
        </w:rPr>
        <w:t xml:space="preserve"> </w:t>
      </w:r>
      <w:r>
        <w:rPr>
          <w:sz w:val="18"/>
        </w:rPr>
        <w:t>125-126,</w:t>
      </w:r>
      <w:r>
        <w:rPr>
          <w:spacing w:val="-4"/>
          <w:sz w:val="18"/>
        </w:rPr>
        <w:t xml:space="preserve"> </w:t>
      </w:r>
      <w:r>
        <w:rPr>
          <w:sz w:val="18"/>
        </w:rPr>
        <w:t>see</w:t>
      </w:r>
      <w:r>
        <w:rPr>
          <w:spacing w:val="-2"/>
          <w:sz w:val="18"/>
        </w:rPr>
        <w:t xml:space="preserve"> </w:t>
      </w:r>
      <w:r>
        <w:rPr>
          <w:sz w:val="18"/>
        </w:rPr>
        <w:t>also</w:t>
      </w:r>
      <w:r>
        <w:rPr>
          <w:spacing w:val="-6"/>
          <w:sz w:val="18"/>
        </w:rPr>
        <w:t xml:space="preserve"> </w:t>
      </w:r>
      <w:r>
        <w:rPr>
          <w:sz w:val="18"/>
        </w:rPr>
        <w:t>para.</w:t>
      </w:r>
      <w:r>
        <w:rPr>
          <w:spacing w:val="-5"/>
          <w:sz w:val="18"/>
        </w:rPr>
        <w:t xml:space="preserve"> </w:t>
      </w:r>
      <w:r>
        <w:rPr>
          <w:spacing w:val="-2"/>
          <w:sz w:val="18"/>
        </w:rPr>
        <w:t>2351.</w:t>
      </w:r>
    </w:p>
    <w:p w14:paraId="46E2185E" w14:textId="77777777" w:rsidR="00BD462C" w:rsidRDefault="00033D0F">
      <w:pPr>
        <w:spacing w:before="1" w:line="218" w:lineRule="exact"/>
        <w:ind w:left="135"/>
        <w:rPr>
          <w:sz w:val="18"/>
        </w:rPr>
      </w:pPr>
      <w:bookmarkStart w:id="2083" w:name="_bookmark1792"/>
      <w:bookmarkEnd w:id="2083"/>
      <w:r>
        <w:rPr>
          <w:position w:val="5"/>
          <w:sz w:val="12"/>
        </w:rPr>
        <w:t>1562</w:t>
      </w:r>
      <w:r>
        <w:rPr>
          <w:spacing w:val="13"/>
          <w:position w:val="5"/>
          <w:sz w:val="12"/>
        </w:rPr>
        <w:t xml:space="preserve"> </w:t>
      </w:r>
      <w:r>
        <w:rPr>
          <w:sz w:val="18"/>
        </w:rPr>
        <w:t>Australia's response</w:t>
      </w:r>
      <w:r>
        <w:rPr>
          <w:spacing w:val="-5"/>
          <w:sz w:val="18"/>
        </w:rPr>
        <w:t xml:space="preserve"> </w:t>
      </w:r>
      <w:r>
        <w:rPr>
          <w:sz w:val="18"/>
        </w:rPr>
        <w:t>to</w:t>
      </w:r>
      <w:r>
        <w:rPr>
          <w:spacing w:val="-1"/>
          <w:sz w:val="18"/>
        </w:rPr>
        <w:t xml:space="preserve"> </w:t>
      </w:r>
      <w:r>
        <w:rPr>
          <w:sz w:val="18"/>
        </w:rPr>
        <w:t>China's</w:t>
      </w:r>
      <w:r>
        <w:rPr>
          <w:spacing w:val="-5"/>
          <w:sz w:val="18"/>
        </w:rPr>
        <w:t xml:space="preserve"> </w:t>
      </w:r>
      <w:r>
        <w:rPr>
          <w:sz w:val="18"/>
        </w:rPr>
        <w:t>PRR,</w:t>
      </w:r>
      <w:r>
        <w:rPr>
          <w:spacing w:val="-3"/>
          <w:sz w:val="18"/>
        </w:rPr>
        <w:t xml:space="preserve"> </w:t>
      </w:r>
      <w:r>
        <w:rPr>
          <w:sz w:val="18"/>
        </w:rPr>
        <w:t>paras.</w:t>
      </w:r>
      <w:r>
        <w:rPr>
          <w:spacing w:val="-4"/>
          <w:sz w:val="18"/>
        </w:rPr>
        <w:t xml:space="preserve"> </w:t>
      </w:r>
      <w:r>
        <w:rPr>
          <w:sz w:val="18"/>
        </w:rPr>
        <w:t>89-94;</w:t>
      </w:r>
      <w:r>
        <w:rPr>
          <w:spacing w:val="-7"/>
          <w:sz w:val="18"/>
        </w:rPr>
        <w:t xml:space="preserve"> </w:t>
      </w:r>
      <w:r>
        <w:rPr>
          <w:sz w:val="18"/>
        </w:rPr>
        <w:t>98-</w:t>
      </w:r>
      <w:r>
        <w:rPr>
          <w:spacing w:val="-4"/>
          <w:sz w:val="18"/>
        </w:rPr>
        <w:t>101.</w:t>
      </w:r>
    </w:p>
    <w:p w14:paraId="6ACDA849" w14:textId="77777777" w:rsidR="00BD462C" w:rsidRDefault="00033D0F">
      <w:pPr>
        <w:ind w:left="135" w:right="923"/>
        <w:rPr>
          <w:sz w:val="18"/>
        </w:rPr>
      </w:pPr>
      <w:bookmarkStart w:id="2084" w:name="_bookmark1793"/>
      <w:bookmarkEnd w:id="2084"/>
      <w:r>
        <w:rPr>
          <w:position w:val="5"/>
          <w:sz w:val="12"/>
        </w:rPr>
        <w:t>1563</w:t>
      </w:r>
      <w:r>
        <w:rPr>
          <w:spacing w:val="40"/>
          <w:position w:val="5"/>
          <w:sz w:val="12"/>
        </w:rPr>
        <w:t xml:space="preserve"> </w:t>
      </w:r>
      <w:r>
        <w:rPr>
          <w:sz w:val="18"/>
        </w:rPr>
        <w:t>China</w:t>
      </w:r>
      <w:r>
        <w:rPr>
          <w:spacing w:val="20"/>
          <w:sz w:val="18"/>
        </w:rPr>
        <w:t xml:space="preserve"> </w:t>
      </w:r>
      <w:r>
        <w:rPr>
          <w:sz w:val="18"/>
        </w:rPr>
        <w:t>"failed</w:t>
      </w:r>
      <w:r>
        <w:rPr>
          <w:spacing w:val="21"/>
          <w:sz w:val="18"/>
        </w:rPr>
        <w:t xml:space="preserve"> </w:t>
      </w:r>
      <w:r>
        <w:rPr>
          <w:sz w:val="18"/>
        </w:rPr>
        <w:t>to</w:t>
      </w:r>
      <w:r>
        <w:rPr>
          <w:spacing w:val="16"/>
          <w:sz w:val="18"/>
        </w:rPr>
        <w:t xml:space="preserve"> </w:t>
      </w:r>
      <w:r>
        <w:rPr>
          <w:sz w:val="18"/>
        </w:rPr>
        <w:t>provide</w:t>
      </w:r>
      <w:r>
        <w:rPr>
          <w:spacing w:val="21"/>
          <w:sz w:val="18"/>
        </w:rPr>
        <w:t xml:space="preserve"> </w:t>
      </w:r>
      <w:r>
        <w:rPr>
          <w:sz w:val="18"/>
        </w:rPr>
        <w:t>all</w:t>
      </w:r>
      <w:r>
        <w:rPr>
          <w:spacing w:val="22"/>
          <w:sz w:val="18"/>
        </w:rPr>
        <w:t xml:space="preserve"> </w:t>
      </w:r>
      <w:r>
        <w:rPr>
          <w:sz w:val="18"/>
        </w:rPr>
        <w:t>interested</w:t>
      </w:r>
      <w:r>
        <w:rPr>
          <w:spacing w:val="21"/>
          <w:sz w:val="18"/>
        </w:rPr>
        <w:t xml:space="preserve"> </w:t>
      </w:r>
      <w:r>
        <w:rPr>
          <w:sz w:val="18"/>
        </w:rPr>
        <w:t>parties</w:t>
      </w:r>
      <w:r>
        <w:rPr>
          <w:spacing w:val="21"/>
          <w:sz w:val="18"/>
        </w:rPr>
        <w:t xml:space="preserve"> </w:t>
      </w:r>
      <w:r>
        <w:rPr>
          <w:sz w:val="18"/>
        </w:rPr>
        <w:t>a full</w:t>
      </w:r>
      <w:r>
        <w:rPr>
          <w:spacing w:val="22"/>
          <w:sz w:val="18"/>
        </w:rPr>
        <w:t xml:space="preserve"> </w:t>
      </w:r>
      <w:r>
        <w:rPr>
          <w:sz w:val="18"/>
        </w:rPr>
        <w:t>opportunity</w:t>
      </w:r>
      <w:r>
        <w:rPr>
          <w:spacing w:val="20"/>
          <w:sz w:val="18"/>
        </w:rPr>
        <w:t xml:space="preserve"> </w:t>
      </w:r>
      <w:r>
        <w:rPr>
          <w:sz w:val="18"/>
        </w:rPr>
        <w:t>for</w:t>
      </w:r>
      <w:r>
        <w:rPr>
          <w:spacing w:val="19"/>
          <w:sz w:val="18"/>
        </w:rPr>
        <w:t xml:space="preserve"> </w:t>
      </w:r>
      <w:r>
        <w:rPr>
          <w:sz w:val="18"/>
        </w:rPr>
        <w:t>the</w:t>
      </w:r>
      <w:r>
        <w:rPr>
          <w:spacing w:val="21"/>
          <w:sz w:val="18"/>
        </w:rPr>
        <w:t xml:space="preserve"> </w:t>
      </w:r>
      <w:proofErr w:type="spellStart"/>
      <w:r>
        <w:rPr>
          <w:sz w:val="18"/>
        </w:rPr>
        <w:t>defence</w:t>
      </w:r>
      <w:proofErr w:type="spellEnd"/>
      <w:r>
        <w:rPr>
          <w:spacing w:val="21"/>
          <w:sz w:val="18"/>
        </w:rPr>
        <w:t xml:space="preserve"> </w:t>
      </w:r>
      <w:r>
        <w:rPr>
          <w:sz w:val="18"/>
        </w:rPr>
        <w:t>of</w:t>
      </w:r>
      <w:r>
        <w:rPr>
          <w:spacing w:val="18"/>
          <w:sz w:val="18"/>
        </w:rPr>
        <w:t xml:space="preserve"> </w:t>
      </w:r>
      <w:r>
        <w:rPr>
          <w:sz w:val="18"/>
        </w:rPr>
        <w:t>their</w:t>
      </w:r>
      <w:r>
        <w:rPr>
          <w:spacing w:val="19"/>
          <w:sz w:val="18"/>
        </w:rPr>
        <w:t xml:space="preserve"> </w:t>
      </w:r>
      <w:r>
        <w:rPr>
          <w:sz w:val="18"/>
        </w:rPr>
        <w:t>interests":</w:t>
      </w:r>
      <w:r>
        <w:rPr>
          <w:spacing w:val="20"/>
          <w:sz w:val="18"/>
        </w:rPr>
        <w:t xml:space="preserve"> </w:t>
      </w:r>
      <w:r>
        <w:rPr>
          <w:sz w:val="18"/>
        </w:rPr>
        <w:t>Australia's</w:t>
      </w:r>
      <w:r>
        <w:rPr>
          <w:spacing w:val="21"/>
          <w:sz w:val="18"/>
        </w:rPr>
        <w:t xml:space="preserve"> </w:t>
      </w:r>
      <w:r>
        <w:rPr>
          <w:sz w:val="18"/>
        </w:rPr>
        <w:t>panel request, para(iv).</w:t>
      </w:r>
    </w:p>
    <w:p w14:paraId="6EBDE610" w14:textId="77777777" w:rsidR="00BD462C" w:rsidRDefault="00033D0F">
      <w:pPr>
        <w:ind w:left="135" w:right="905"/>
        <w:jc w:val="both"/>
        <w:rPr>
          <w:sz w:val="18"/>
        </w:rPr>
      </w:pPr>
      <w:bookmarkStart w:id="2085" w:name="_bookmark1794"/>
      <w:bookmarkEnd w:id="2085"/>
      <w:r>
        <w:rPr>
          <w:position w:val="5"/>
          <w:sz w:val="12"/>
        </w:rPr>
        <w:t>1564</w:t>
      </w:r>
      <w:r>
        <w:rPr>
          <w:spacing w:val="36"/>
          <w:position w:val="5"/>
          <w:sz w:val="12"/>
        </w:rPr>
        <w:t xml:space="preserve"> </w:t>
      </w:r>
      <w:r>
        <w:rPr>
          <w:sz w:val="18"/>
        </w:rPr>
        <w:t>Australia's response to China's PRR, paras. 92-95. For clarity, Australia notes that Treasury Wines and Casella Wines requested extensions to complete the anti-dumping questionnaire. Swan Vintage requested an extension for the supplementary questionnaire. As the parties agree the Article 6.1.1 concerns extension requests for the anti-dumping questionnaire and not the supplementary questionnaire, Australia</w:t>
      </w:r>
      <w:r>
        <w:rPr>
          <w:spacing w:val="-4"/>
          <w:sz w:val="18"/>
        </w:rPr>
        <w:t xml:space="preserve"> </w:t>
      </w:r>
      <w:r>
        <w:rPr>
          <w:sz w:val="18"/>
        </w:rPr>
        <w:t>correctly states</w:t>
      </w:r>
      <w:r>
        <w:rPr>
          <w:spacing w:val="-2"/>
          <w:sz w:val="18"/>
        </w:rPr>
        <w:t xml:space="preserve"> </w:t>
      </w:r>
      <w:r>
        <w:rPr>
          <w:sz w:val="18"/>
        </w:rPr>
        <w:t>that</w:t>
      </w:r>
      <w:r>
        <w:rPr>
          <w:spacing w:val="-1"/>
          <w:sz w:val="18"/>
        </w:rPr>
        <w:t xml:space="preserve"> </w:t>
      </w:r>
      <w:r>
        <w:rPr>
          <w:sz w:val="18"/>
        </w:rPr>
        <w:t>two extension requests are at issue:</w:t>
      </w:r>
    </w:p>
    <w:p w14:paraId="062FE33C" w14:textId="77777777" w:rsidR="00BD462C" w:rsidRDefault="00033D0F">
      <w:pPr>
        <w:spacing w:line="219" w:lineRule="exact"/>
        <w:ind w:left="135"/>
        <w:jc w:val="both"/>
        <w:rPr>
          <w:sz w:val="18"/>
        </w:rPr>
      </w:pPr>
      <w:proofErr w:type="spellStart"/>
      <w:r>
        <w:rPr>
          <w:sz w:val="18"/>
        </w:rPr>
        <w:t>c.f</w:t>
      </w:r>
      <w:proofErr w:type="spellEnd"/>
      <w:r>
        <w:rPr>
          <w:spacing w:val="-5"/>
          <w:sz w:val="18"/>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2"/>
          <w:sz w:val="18"/>
        </w:rPr>
        <w:t xml:space="preserve"> </w:t>
      </w:r>
      <w:r>
        <w:rPr>
          <w:sz w:val="18"/>
        </w:rPr>
        <w:t>submission,</w:t>
      </w:r>
      <w:r>
        <w:rPr>
          <w:spacing w:val="-4"/>
          <w:sz w:val="18"/>
        </w:rPr>
        <w:t xml:space="preserve"> </w:t>
      </w:r>
      <w:r>
        <w:rPr>
          <w:sz w:val="18"/>
        </w:rPr>
        <w:t>para.</w:t>
      </w:r>
      <w:r>
        <w:rPr>
          <w:spacing w:val="-5"/>
          <w:sz w:val="18"/>
        </w:rPr>
        <w:t xml:space="preserve"> </w:t>
      </w:r>
      <w:r>
        <w:rPr>
          <w:spacing w:val="-4"/>
          <w:sz w:val="18"/>
        </w:rPr>
        <w:t>124.</w:t>
      </w:r>
    </w:p>
    <w:p w14:paraId="762D2C2A" w14:textId="77777777" w:rsidR="00BD462C" w:rsidRDefault="00033D0F">
      <w:pPr>
        <w:spacing w:before="1"/>
        <w:ind w:left="135"/>
        <w:jc w:val="both"/>
        <w:rPr>
          <w:sz w:val="18"/>
        </w:rPr>
      </w:pPr>
      <w:bookmarkStart w:id="2086" w:name="_bookmark1795"/>
      <w:bookmarkEnd w:id="2086"/>
      <w:r>
        <w:rPr>
          <w:position w:val="5"/>
          <w:sz w:val="12"/>
        </w:rPr>
        <w:t>1565</w:t>
      </w:r>
      <w:r>
        <w:rPr>
          <w:spacing w:val="14"/>
          <w:position w:val="5"/>
          <w:sz w:val="12"/>
        </w:rPr>
        <w:t xml:space="preserve"> </w:t>
      </w:r>
      <w:r>
        <w:rPr>
          <w:sz w:val="18"/>
        </w:rPr>
        <w:t>See</w:t>
      </w:r>
      <w:r>
        <w:rPr>
          <w:spacing w:val="-5"/>
          <w:sz w:val="18"/>
        </w:rPr>
        <w:t xml:space="preserve"> </w:t>
      </w:r>
      <w:r>
        <w:rPr>
          <w:sz w:val="18"/>
        </w:rPr>
        <w:t>above,</w:t>
      </w:r>
      <w:r>
        <w:rPr>
          <w:spacing w:val="-2"/>
          <w:sz w:val="18"/>
        </w:rPr>
        <w:t xml:space="preserve"> </w:t>
      </w:r>
      <w:r>
        <w:rPr>
          <w:sz w:val="18"/>
        </w:rPr>
        <w:t>paras.</w:t>
      </w:r>
      <w:r>
        <w:rPr>
          <w:spacing w:val="1"/>
          <w:sz w:val="18"/>
        </w:rPr>
        <w:t xml:space="preserve"> </w:t>
      </w:r>
      <w:hyperlink w:anchor="_bookmark40" w:history="1">
        <w:r>
          <w:rPr>
            <w:sz w:val="18"/>
          </w:rPr>
          <w:t>25</w:t>
        </w:r>
      </w:hyperlink>
      <w:hyperlink w:anchor="_bookmark51" w:history="1">
        <w:r>
          <w:rPr>
            <w:sz w:val="18"/>
          </w:rPr>
          <w:t>-</w:t>
        </w:r>
        <w:r>
          <w:rPr>
            <w:spacing w:val="-5"/>
            <w:sz w:val="18"/>
          </w:rPr>
          <w:t>27.</w:t>
        </w:r>
      </w:hyperlink>
    </w:p>
    <w:p w14:paraId="3E045061" w14:textId="77777777" w:rsidR="00BD462C" w:rsidRDefault="00033D0F">
      <w:pPr>
        <w:spacing w:before="1"/>
        <w:ind w:left="135"/>
        <w:jc w:val="both"/>
        <w:rPr>
          <w:sz w:val="18"/>
        </w:rPr>
      </w:pPr>
      <w:bookmarkStart w:id="2087" w:name="_bookmark1796"/>
      <w:bookmarkEnd w:id="2087"/>
      <w:r>
        <w:rPr>
          <w:position w:val="5"/>
          <w:sz w:val="12"/>
        </w:rPr>
        <w:t>1566</w:t>
      </w:r>
      <w:r>
        <w:rPr>
          <w:spacing w:val="14"/>
          <w:position w:val="5"/>
          <w:sz w:val="12"/>
        </w:rPr>
        <w:t xml:space="preserve"> </w:t>
      </w:r>
      <w:r>
        <w:rPr>
          <w:sz w:val="18"/>
        </w:rPr>
        <w:t>See</w:t>
      </w:r>
      <w:r>
        <w:rPr>
          <w:spacing w:val="-5"/>
          <w:sz w:val="18"/>
        </w:rPr>
        <w:t xml:space="preserve"> </w:t>
      </w:r>
      <w:r>
        <w:rPr>
          <w:sz w:val="18"/>
        </w:rPr>
        <w:t>above,</w:t>
      </w:r>
      <w:r>
        <w:rPr>
          <w:spacing w:val="-2"/>
          <w:sz w:val="18"/>
        </w:rPr>
        <w:t xml:space="preserve"> </w:t>
      </w:r>
      <w:r>
        <w:rPr>
          <w:sz w:val="18"/>
        </w:rPr>
        <w:t>paras.</w:t>
      </w:r>
      <w:r>
        <w:rPr>
          <w:spacing w:val="1"/>
          <w:sz w:val="18"/>
        </w:rPr>
        <w:t xml:space="preserve"> </w:t>
      </w:r>
      <w:hyperlink w:anchor="_bookmark40" w:history="1">
        <w:r>
          <w:rPr>
            <w:sz w:val="18"/>
          </w:rPr>
          <w:t>25</w:t>
        </w:r>
      </w:hyperlink>
      <w:hyperlink w:anchor="_bookmark51" w:history="1">
        <w:r>
          <w:rPr>
            <w:sz w:val="18"/>
          </w:rPr>
          <w:t>-</w:t>
        </w:r>
        <w:r>
          <w:rPr>
            <w:spacing w:val="-5"/>
            <w:sz w:val="18"/>
          </w:rPr>
          <w:t>27.</w:t>
        </w:r>
      </w:hyperlink>
    </w:p>
    <w:p w14:paraId="468C5C4D" w14:textId="77777777" w:rsidR="00BD462C" w:rsidRDefault="00BD462C">
      <w:pPr>
        <w:jc w:val="both"/>
        <w:rPr>
          <w:sz w:val="18"/>
        </w:rPr>
        <w:sectPr w:rsidR="00BD462C">
          <w:pgSz w:w="11910" w:h="16840"/>
          <w:pgMar w:top="860" w:right="500" w:bottom="780" w:left="1280" w:header="566" w:footer="590" w:gutter="0"/>
          <w:cols w:space="720"/>
        </w:sectPr>
      </w:pPr>
    </w:p>
    <w:p w14:paraId="11BDBF41"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375EECD1"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4FAFDD59"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28CB8DDA" w14:textId="77777777" w:rsidR="00BD462C" w:rsidRDefault="00033D0F">
      <w:pPr>
        <w:pStyle w:val="BodyText"/>
        <w:spacing w:before="2" w:line="362" w:lineRule="auto"/>
        <w:ind w:left="136" w:right="910"/>
      </w:pPr>
      <w:r>
        <w:t>it</w:t>
      </w:r>
      <w:r>
        <w:rPr>
          <w:spacing w:val="-14"/>
        </w:rPr>
        <w:t xml:space="preserve"> </w:t>
      </w:r>
      <w:r>
        <w:t>to</w:t>
      </w:r>
      <w:r>
        <w:rPr>
          <w:spacing w:val="-14"/>
        </w:rPr>
        <w:t xml:space="preserve"> </w:t>
      </w:r>
      <w:r>
        <w:t>demand</w:t>
      </w:r>
      <w:r>
        <w:rPr>
          <w:spacing w:val="-13"/>
        </w:rPr>
        <w:t xml:space="preserve"> </w:t>
      </w:r>
      <w:r>
        <w:t>Australia's</w:t>
      </w:r>
      <w:r>
        <w:rPr>
          <w:spacing w:val="-13"/>
        </w:rPr>
        <w:t xml:space="preserve"> </w:t>
      </w:r>
      <w:r>
        <w:t>arguments,</w:t>
      </w:r>
      <w:r>
        <w:rPr>
          <w:spacing w:val="-10"/>
        </w:rPr>
        <w:t xml:space="preserve"> </w:t>
      </w:r>
      <w:r>
        <w:t>evidence,</w:t>
      </w:r>
      <w:r>
        <w:rPr>
          <w:spacing w:val="-11"/>
        </w:rPr>
        <w:t xml:space="preserve"> </w:t>
      </w:r>
      <w:r>
        <w:t>and</w:t>
      </w:r>
      <w:r>
        <w:rPr>
          <w:spacing w:val="-18"/>
        </w:rPr>
        <w:t xml:space="preserve"> </w:t>
      </w:r>
      <w:r>
        <w:t>instances</w:t>
      </w:r>
      <w:r>
        <w:rPr>
          <w:spacing w:val="-11"/>
        </w:rPr>
        <w:t xml:space="preserve"> </w:t>
      </w:r>
      <w:r>
        <w:t>of</w:t>
      </w:r>
      <w:r>
        <w:rPr>
          <w:spacing w:val="-14"/>
        </w:rPr>
        <w:t xml:space="preserve"> </w:t>
      </w:r>
      <w:r>
        <w:t>allegation</w:t>
      </w:r>
      <w:r>
        <w:rPr>
          <w:spacing w:val="-14"/>
        </w:rPr>
        <w:t xml:space="preserve"> </w:t>
      </w:r>
      <w:r>
        <w:t>–</w:t>
      </w:r>
      <w:r>
        <w:rPr>
          <w:spacing w:val="-11"/>
        </w:rPr>
        <w:t xml:space="preserve"> </w:t>
      </w:r>
      <w:r>
        <w:t>its</w:t>
      </w:r>
      <w:r>
        <w:rPr>
          <w:spacing w:val="-14"/>
        </w:rPr>
        <w:t xml:space="preserve"> </w:t>
      </w:r>
      <w:r>
        <w:rPr>
          <w:i/>
        </w:rPr>
        <w:t>prima</w:t>
      </w:r>
      <w:r>
        <w:rPr>
          <w:i/>
          <w:spacing w:val="-12"/>
        </w:rPr>
        <w:t xml:space="preserve"> </w:t>
      </w:r>
      <w:r>
        <w:rPr>
          <w:i/>
        </w:rPr>
        <w:t>facie</w:t>
      </w:r>
      <w:r>
        <w:rPr>
          <w:i/>
          <w:spacing w:val="-13"/>
        </w:rPr>
        <w:t xml:space="preserve"> </w:t>
      </w:r>
      <w:r>
        <w:t>case – in its panel request, rather than its written submissions.</w:t>
      </w:r>
    </w:p>
    <w:p w14:paraId="240DBAF7" w14:textId="77777777" w:rsidR="00BD462C" w:rsidRDefault="00BD462C">
      <w:pPr>
        <w:pStyle w:val="BodyText"/>
        <w:spacing w:before="7"/>
        <w:rPr>
          <w:sz w:val="8"/>
        </w:rPr>
      </w:pPr>
    </w:p>
    <w:p w14:paraId="3DCA563F" w14:textId="7DECB103" w:rsidR="00BD462C" w:rsidRDefault="005930FF">
      <w:pPr>
        <w:pStyle w:val="BodyText"/>
        <w:spacing w:before="56" w:line="360" w:lineRule="auto"/>
        <w:ind w:left="135" w:right="909" w:hanging="5"/>
        <w:jc w:val="both"/>
      </w:pPr>
      <w:r>
        <w:rPr>
          <w:noProof/>
        </w:rPr>
        <w:t>43.</w:t>
      </w:r>
      <w:r w:rsidR="00033D0F">
        <w:rPr>
          <w:rFonts w:ascii="Times New Roman"/>
          <w:spacing w:val="80"/>
          <w:w w:val="150"/>
          <w:position w:val="1"/>
          <w:sz w:val="20"/>
        </w:rPr>
        <w:t xml:space="preserve">  </w:t>
      </w:r>
      <w:r w:rsidR="00033D0F">
        <w:rPr>
          <w:position w:val="1"/>
        </w:rPr>
        <w:t>With</w:t>
      </w:r>
      <w:r w:rsidR="00033D0F">
        <w:rPr>
          <w:spacing w:val="-8"/>
          <w:position w:val="1"/>
        </w:rPr>
        <w:t xml:space="preserve"> </w:t>
      </w:r>
      <w:r w:rsidR="00033D0F">
        <w:rPr>
          <w:position w:val="1"/>
        </w:rPr>
        <w:t>regards</w:t>
      </w:r>
      <w:r w:rsidR="00033D0F">
        <w:rPr>
          <w:spacing w:val="-4"/>
          <w:position w:val="1"/>
        </w:rPr>
        <w:t xml:space="preserve"> </w:t>
      </w:r>
      <w:r w:rsidR="00033D0F">
        <w:rPr>
          <w:position w:val="1"/>
        </w:rPr>
        <w:t>to</w:t>
      </w:r>
      <w:r w:rsidR="00033D0F">
        <w:rPr>
          <w:spacing w:val="-9"/>
          <w:position w:val="1"/>
        </w:rPr>
        <w:t xml:space="preserve"> </w:t>
      </w:r>
      <w:r w:rsidR="00033D0F">
        <w:rPr>
          <w:position w:val="1"/>
        </w:rPr>
        <w:t>objection</w:t>
      </w:r>
      <w:r w:rsidR="00033D0F">
        <w:rPr>
          <w:spacing w:val="-8"/>
          <w:position w:val="1"/>
        </w:rPr>
        <w:t xml:space="preserve"> </w:t>
      </w:r>
      <w:r w:rsidR="00033D0F">
        <w:rPr>
          <w:position w:val="1"/>
        </w:rPr>
        <w:t>(iii),</w:t>
      </w:r>
      <w:r w:rsidR="00033D0F">
        <w:rPr>
          <w:spacing w:val="-3"/>
          <w:position w:val="1"/>
        </w:rPr>
        <w:t xml:space="preserve"> </w:t>
      </w:r>
      <w:r w:rsidR="00033D0F">
        <w:rPr>
          <w:position w:val="1"/>
        </w:rPr>
        <w:t>Australia</w:t>
      </w:r>
      <w:r w:rsidR="00033D0F">
        <w:rPr>
          <w:spacing w:val="-6"/>
          <w:position w:val="1"/>
        </w:rPr>
        <w:t xml:space="preserve"> </w:t>
      </w:r>
      <w:r w:rsidR="00033D0F">
        <w:rPr>
          <w:position w:val="1"/>
        </w:rPr>
        <w:t>disputes</w:t>
      </w:r>
      <w:r w:rsidR="00033D0F">
        <w:rPr>
          <w:spacing w:val="-4"/>
          <w:position w:val="1"/>
        </w:rPr>
        <w:t xml:space="preserve"> </w:t>
      </w:r>
      <w:r w:rsidR="00033D0F">
        <w:rPr>
          <w:position w:val="1"/>
        </w:rPr>
        <w:t>that</w:t>
      </w:r>
      <w:r w:rsidR="00033D0F">
        <w:rPr>
          <w:spacing w:val="-5"/>
          <w:position w:val="1"/>
        </w:rPr>
        <w:t xml:space="preserve"> </w:t>
      </w:r>
      <w:r w:rsidR="00033D0F">
        <w:rPr>
          <w:position w:val="1"/>
        </w:rPr>
        <w:t>Article</w:t>
      </w:r>
      <w:r w:rsidR="00033D0F">
        <w:rPr>
          <w:spacing w:val="-5"/>
          <w:position w:val="1"/>
        </w:rPr>
        <w:t xml:space="preserve"> </w:t>
      </w:r>
      <w:r w:rsidR="00033D0F">
        <w:rPr>
          <w:position w:val="1"/>
        </w:rPr>
        <w:t>6.2</w:t>
      </w:r>
      <w:r w:rsidR="00033D0F">
        <w:rPr>
          <w:spacing w:val="-8"/>
          <w:position w:val="1"/>
        </w:rPr>
        <w:t xml:space="preserve"> </w:t>
      </w:r>
      <w:r w:rsidR="00033D0F">
        <w:rPr>
          <w:position w:val="1"/>
        </w:rPr>
        <w:t>is</w:t>
      </w:r>
      <w:r w:rsidR="00033D0F">
        <w:rPr>
          <w:spacing w:val="-4"/>
          <w:position w:val="1"/>
        </w:rPr>
        <w:t xml:space="preserve"> </w:t>
      </w:r>
      <w:r w:rsidR="00033D0F">
        <w:rPr>
          <w:position w:val="1"/>
        </w:rPr>
        <w:t>part</w:t>
      </w:r>
      <w:r w:rsidR="00033D0F">
        <w:rPr>
          <w:spacing w:val="-5"/>
          <w:position w:val="1"/>
        </w:rPr>
        <w:t xml:space="preserve"> </w:t>
      </w:r>
      <w:r w:rsidR="00033D0F">
        <w:rPr>
          <w:position w:val="1"/>
        </w:rPr>
        <w:t>of</w:t>
      </w:r>
      <w:r w:rsidR="00033D0F">
        <w:rPr>
          <w:spacing w:val="-8"/>
          <w:position w:val="1"/>
        </w:rPr>
        <w:t xml:space="preserve"> </w:t>
      </w:r>
      <w:r w:rsidR="00033D0F">
        <w:rPr>
          <w:position w:val="1"/>
        </w:rPr>
        <w:t>a</w:t>
      </w:r>
      <w:r w:rsidR="00033D0F">
        <w:rPr>
          <w:spacing w:val="-1"/>
          <w:position w:val="1"/>
        </w:rPr>
        <w:t xml:space="preserve"> </w:t>
      </w:r>
      <w:r w:rsidR="00033D0F">
        <w:rPr>
          <w:position w:val="1"/>
        </w:rPr>
        <w:t>"class"</w:t>
      </w:r>
      <w:r w:rsidR="00033D0F">
        <w:rPr>
          <w:spacing w:val="-6"/>
          <w:position w:val="1"/>
        </w:rPr>
        <w:t xml:space="preserve"> </w:t>
      </w:r>
      <w:r w:rsidR="00033D0F">
        <w:rPr>
          <w:position w:val="1"/>
        </w:rPr>
        <w:t xml:space="preserve">of </w:t>
      </w:r>
      <w:r w:rsidR="00033D0F">
        <w:t>claims</w:t>
      </w:r>
      <w:r w:rsidR="00033D0F">
        <w:rPr>
          <w:spacing w:val="-9"/>
        </w:rPr>
        <w:t xml:space="preserve"> </w:t>
      </w:r>
      <w:r w:rsidR="00033D0F">
        <w:t>requiring</w:t>
      </w:r>
      <w:r w:rsidR="00033D0F">
        <w:rPr>
          <w:spacing w:val="-9"/>
        </w:rPr>
        <w:t xml:space="preserve"> </w:t>
      </w:r>
      <w:r w:rsidR="00033D0F">
        <w:t>"greater</w:t>
      </w:r>
      <w:r w:rsidR="00033D0F">
        <w:rPr>
          <w:spacing w:val="-14"/>
        </w:rPr>
        <w:t xml:space="preserve"> </w:t>
      </w:r>
      <w:r w:rsidR="00033D0F">
        <w:t>than</w:t>
      </w:r>
      <w:r w:rsidR="00033D0F">
        <w:rPr>
          <w:spacing w:val="-12"/>
        </w:rPr>
        <w:t xml:space="preserve"> </w:t>
      </w:r>
      <w:r w:rsidR="00033D0F">
        <w:t>usual</w:t>
      </w:r>
      <w:r w:rsidR="00033D0F">
        <w:rPr>
          <w:spacing w:val="-9"/>
        </w:rPr>
        <w:t xml:space="preserve"> </w:t>
      </w:r>
      <w:r w:rsidR="00033D0F">
        <w:t>level</w:t>
      </w:r>
      <w:r w:rsidR="00033D0F">
        <w:rPr>
          <w:spacing w:val="-9"/>
        </w:rPr>
        <w:t xml:space="preserve"> </w:t>
      </w:r>
      <w:r w:rsidR="00033D0F">
        <w:t>of</w:t>
      </w:r>
      <w:r w:rsidR="00033D0F">
        <w:rPr>
          <w:spacing w:val="-13"/>
        </w:rPr>
        <w:t xml:space="preserve"> </w:t>
      </w:r>
      <w:r w:rsidR="00033D0F">
        <w:t>specification</w:t>
      </w:r>
      <w:r w:rsidR="00033D0F">
        <w:rPr>
          <w:spacing w:val="-13"/>
        </w:rPr>
        <w:t xml:space="preserve"> </w:t>
      </w:r>
      <w:r w:rsidR="00033D0F">
        <w:t>and</w:t>
      </w:r>
      <w:r w:rsidR="00033D0F">
        <w:rPr>
          <w:spacing w:val="-13"/>
        </w:rPr>
        <w:t xml:space="preserve"> </w:t>
      </w:r>
      <w:r w:rsidR="00033D0F">
        <w:t>clarity".</w:t>
      </w:r>
      <w:hyperlink w:anchor="_bookmark1797" w:history="1">
        <w:r w:rsidR="00033D0F">
          <w:rPr>
            <w:vertAlign w:val="superscript"/>
          </w:rPr>
          <w:t>1567</w:t>
        </w:r>
      </w:hyperlink>
      <w:r w:rsidR="00033D0F">
        <w:rPr>
          <w:spacing w:val="-10"/>
        </w:rPr>
        <w:t xml:space="preserve"> </w:t>
      </w:r>
      <w:r w:rsidR="00033D0F">
        <w:t>Australia</w:t>
      </w:r>
      <w:r w:rsidR="00033D0F">
        <w:rPr>
          <w:spacing w:val="-11"/>
        </w:rPr>
        <w:t xml:space="preserve"> </w:t>
      </w:r>
      <w:r w:rsidR="00033D0F">
        <w:t>agrees</w:t>
      </w:r>
      <w:r w:rsidR="00033D0F">
        <w:rPr>
          <w:spacing w:val="-9"/>
        </w:rPr>
        <w:t xml:space="preserve"> </w:t>
      </w:r>
      <w:r w:rsidR="00033D0F">
        <w:t>that whether</w:t>
      </w:r>
      <w:r w:rsidR="00033D0F">
        <w:rPr>
          <w:spacing w:val="-10"/>
        </w:rPr>
        <w:t xml:space="preserve"> </w:t>
      </w:r>
      <w:r w:rsidR="00033D0F">
        <w:t>a</w:t>
      </w:r>
      <w:r w:rsidR="00033D0F">
        <w:rPr>
          <w:spacing w:val="-8"/>
        </w:rPr>
        <w:t xml:space="preserve"> </w:t>
      </w:r>
      <w:r w:rsidR="00033D0F">
        <w:t>claim</w:t>
      </w:r>
      <w:r w:rsidR="00033D0F">
        <w:rPr>
          <w:spacing w:val="-7"/>
        </w:rPr>
        <w:t xml:space="preserve"> </w:t>
      </w:r>
      <w:r w:rsidR="00033D0F">
        <w:t>is</w:t>
      </w:r>
      <w:r w:rsidR="00033D0F">
        <w:rPr>
          <w:spacing w:val="-6"/>
        </w:rPr>
        <w:t xml:space="preserve"> </w:t>
      </w:r>
      <w:r w:rsidR="00033D0F">
        <w:t>identified</w:t>
      </w:r>
      <w:r w:rsidR="00033D0F">
        <w:rPr>
          <w:spacing w:val="-9"/>
        </w:rPr>
        <w:t xml:space="preserve"> </w:t>
      </w:r>
      <w:r w:rsidR="00033D0F">
        <w:t>in</w:t>
      </w:r>
      <w:r w:rsidR="00033D0F">
        <w:rPr>
          <w:spacing w:val="-9"/>
        </w:rPr>
        <w:t xml:space="preserve"> </w:t>
      </w:r>
      <w:r w:rsidR="00033D0F">
        <w:t>a</w:t>
      </w:r>
      <w:r w:rsidR="00033D0F">
        <w:rPr>
          <w:spacing w:val="-8"/>
        </w:rPr>
        <w:t xml:space="preserve"> </w:t>
      </w:r>
      <w:r w:rsidR="00033D0F">
        <w:t>manner</w:t>
      </w:r>
      <w:r w:rsidR="00033D0F">
        <w:rPr>
          <w:spacing w:val="-10"/>
        </w:rPr>
        <w:t xml:space="preserve"> </w:t>
      </w:r>
      <w:r w:rsidR="00033D0F">
        <w:t>sufficient</w:t>
      </w:r>
      <w:r w:rsidR="00033D0F">
        <w:rPr>
          <w:spacing w:val="-11"/>
        </w:rPr>
        <w:t xml:space="preserve"> </w:t>
      </w:r>
      <w:r w:rsidR="00033D0F">
        <w:t>to</w:t>
      </w:r>
      <w:r w:rsidR="00033D0F">
        <w:rPr>
          <w:spacing w:val="-10"/>
        </w:rPr>
        <w:t xml:space="preserve"> </w:t>
      </w:r>
      <w:r w:rsidR="00033D0F">
        <w:t>present</w:t>
      </w:r>
      <w:r w:rsidR="00033D0F">
        <w:rPr>
          <w:spacing w:val="-7"/>
        </w:rPr>
        <w:t xml:space="preserve"> </w:t>
      </w:r>
      <w:r w:rsidR="00033D0F">
        <w:t>the</w:t>
      </w:r>
      <w:r w:rsidR="00033D0F">
        <w:rPr>
          <w:spacing w:val="-7"/>
        </w:rPr>
        <w:t xml:space="preserve"> </w:t>
      </w:r>
      <w:r w:rsidR="00033D0F">
        <w:t>problem</w:t>
      </w:r>
      <w:r w:rsidR="00033D0F">
        <w:rPr>
          <w:spacing w:val="-7"/>
        </w:rPr>
        <w:t xml:space="preserve"> </w:t>
      </w:r>
      <w:r w:rsidR="00033D0F">
        <w:t>clearly</w:t>
      </w:r>
      <w:r w:rsidR="00033D0F">
        <w:rPr>
          <w:spacing w:val="-6"/>
        </w:rPr>
        <w:t xml:space="preserve"> </w:t>
      </w:r>
      <w:r w:rsidR="00033D0F">
        <w:t>depends</w:t>
      </w:r>
      <w:r w:rsidR="00033D0F">
        <w:rPr>
          <w:spacing w:val="-6"/>
        </w:rPr>
        <w:t xml:space="preserve"> </w:t>
      </w:r>
      <w:r w:rsidR="00033D0F">
        <w:t>on the nature of the provision and measure at issue.</w:t>
      </w:r>
      <w:hyperlink w:anchor="_bookmark1798" w:history="1">
        <w:r w:rsidR="00033D0F">
          <w:rPr>
            <w:vertAlign w:val="superscript"/>
          </w:rPr>
          <w:t>1568</w:t>
        </w:r>
      </w:hyperlink>
      <w:r w:rsidR="00033D0F">
        <w:t xml:space="preserve"> However, this is a contextual analysis that must take into account the specific parameters of the dispute at hand.</w:t>
      </w:r>
      <w:hyperlink w:anchor="_bookmark1799" w:history="1">
        <w:r w:rsidR="00033D0F">
          <w:rPr>
            <w:vertAlign w:val="superscript"/>
          </w:rPr>
          <w:t>1569</w:t>
        </w:r>
      </w:hyperlink>
      <w:r w:rsidR="00033D0F">
        <w:t xml:space="preserve"> These contextual factors demonstrate that, in this case, the identification of the provision was sufficient to plainly connect the imposition of dumping measures to the allegation that MOFCOM failed to provide all interested parties full opportunity for the </w:t>
      </w:r>
      <w:proofErr w:type="spellStart"/>
      <w:r w:rsidR="00033D0F">
        <w:t>defence</w:t>
      </w:r>
      <w:proofErr w:type="spellEnd"/>
      <w:r w:rsidR="00033D0F">
        <w:t xml:space="preserve"> of their interests.</w:t>
      </w:r>
      <w:r w:rsidR="00033D0F">
        <w:rPr>
          <w:spacing w:val="-13"/>
        </w:rPr>
        <w:t xml:space="preserve"> </w:t>
      </w:r>
      <w:r w:rsidR="00033D0F">
        <w:t>The</w:t>
      </w:r>
      <w:r w:rsidR="00033D0F">
        <w:rPr>
          <w:spacing w:val="-12"/>
        </w:rPr>
        <w:t xml:space="preserve"> </w:t>
      </w:r>
      <w:r w:rsidR="00033D0F">
        <w:t>narrative</w:t>
      </w:r>
      <w:r w:rsidR="00033D0F">
        <w:rPr>
          <w:spacing w:val="-13"/>
        </w:rPr>
        <w:t xml:space="preserve"> </w:t>
      </w:r>
      <w:r w:rsidR="00033D0F">
        <w:t>of</w:t>
      </w:r>
      <w:r w:rsidR="00033D0F">
        <w:rPr>
          <w:spacing w:val="-14"/>
        </w:rPr>
        <w:t xml:space="preserve"> </w:t>
      </w:r>
      <w:r w:rsidR="00033D0F">
        <w:t>Australia's</w:t>
      </w:r>
      <w:r w:rsidR="00033D0F">
        <w:rPr>
          <w:spacing w:val="-10"/>
        </w:rPr>
        <w:t xml:space="preserve"> </w:t>
      </w:r>
      <w:r w:rsidR="00033D0F">
        <w:t>panel</w:t>
      </w:r>
      <w:r w:rsidR="00033D0F">
        <w:rPr>
          <w:spacing w:val="-11"/>
        </w:rPr>
        <w:t xml:space="preserve"> </w:t>
      </w:r>
      <w:r w:rsidR="00033D0F">
        <w:t>request</w:t>
      </w:r>
      <w:r w:rsidR="00033D0F">
        <w:rPr>
          <w:spacing w:val="-12"/>
        </w:rPr>
        <w:t xml:space="preserve"> </w:t>
      </w:r>
      <w:r w:rsidR="00033D0F">
        <w:t>provided</w:t>
      </w:r>
      <w:r w:rsidR="00033D0F">
        <w:rPr>
          <w:spacing w:val="-14"/>
        </w:rPr>
        <w:t xml:space="preserve"> </w:t>
      </w:r>
      <w:r w:rsidR="00033D0F">
        <w:t>multiple</w:t>
      </w:r>
      <w:r w:rsidR="00033D0F">
        <w:rPr>
          <w:spacing w:val="-12"/>
        </w:rPr>
        <w:t xml:space="preserve"> </w:t>
      </w:r>
      <w:r w:rsidR="00033D0F">
        <w:t>examples</w:t>
      </w:r>
      <w:r w:rsidR="00033D0F">
        <w:rPr>
          <w:spacing w:val="-11"/>
        </w:rPr>
        <w:t xml:space="preserve"> </w:t>
      </w:r>
      <w:r w:rsidR="00033D0F">
        <w:t>of</w:t>
      </w:r>
      <w:r w:rsidR="00033D0F">
        <w:rPr>
          <w:spacing w:val="-14"/>
        </w:rPr>
        <w:t xml:space="preserve"> </w:t>
      </w:r>
      <w:r w:rsidR="00033D0F">
        <w:t>MOFCOM's failures to account for the due process protections of interested parties,</w:t>
      </w:r>
      <w:hyperlink w:anchor="_bookmark1800" w:history="1">
        <w:r w:rsidR="00033D0F">
          <w:rPr>
            <w:vertAlign w:val="superscript"/>
          </w:rPr>
          <w:t>1570</w:t>
        </w:r>
      </w:hyperlink>
      <w:r w:rsidR="00033D0F">
        <w:t xml:space="preserve"> and expressly </w:t>
      </w:r>
      <w:proofErr w:type="spellStart"/>
      <w:r w:rsidR="00033D0F">
        <w:t>utilised</w:t>
      </w:r>
      <w:proofErr w:type="spellEnd"/>
      <w:r w:rsidR="00033D0F">
        <w:t xml:space="preserve"> the language of the first sentence of the Article.</w:t>
      </w:r>
      <w:hyperlink w:anchor="_bookmark1801" w:history="1">
        <w:r w:rsidR="00033D0F">
          <w:rPr>
            <w:vertAlign w:val="superscript"/>
          </w:rPr>
          <w:t>1571</w:t>
        </w:r>
      </w:hyperlink>
    </w:p>
    <w:p w14:paraId="165B716D" w14:textId="77777777" w:rsidR="00BD462C" w:rsidRDefault="00BD462C">
      <w:pPr>
        <w:pStyle w:val="BodyText"/>
        <w:spacing w:before="4"/>
        <w:rPr>
          <w:sz w:val="8"/>
        </w:rPr>
      </w:pPr>
    </w:p>
    <w:p w14:paraId="4D1B2176" w14:textId="63C1D517" w:rsidR="00BD462C" w:rsidRDefault="005930FF">
      <w:pPr>
        <w:pStyle w:val="BodyText"/>
        <w:spacing w:before="56" w:line="360" w:lineRule="auto"/>
        <w:ind w:left="136" w:right="912" w:hanging="5"/>
        <w:jc w:val="both"/>
      </w:pPr>
      <w:r>
        <w:rPr>
          <w:noProof/>
        </w:rPr>
        <w:t>44.</w:t>
      </w:r>
      <w:r w:rsidR="00033D0F">
        <w:rPr>
          <w:rFonts w:ascii="Times New Roman"/>
          <w:spacing w:val="80"/>
          <w:w w:val="150"/>
          <w:position w:val="1"/>
          <w:sz w:val="20"/>
        </w:rPr>
        <w:t xml:space="preserve">  </w:t>
      </w:r>
      <w:r w:rsidR="00033D0F">
        <w:rPr>
          <w:position w:val="1"/>
        </w:rPr>
        <w:t>In</w:t>
      </w:r>
      <w:r w:rsidR="00033D0F">
        <w:rPr>
          <w:spacing w:val="-9"/>
          <w:position w:val="1"/>
        </w:rPr>
        <w:t xml:space="preserve"> </w:t>
      </w:r>
      <w:r w:rsidR="00033D0F">
        <w:rPr>
          <w:position w:val="1"/>
        </w:rPr>
        <w:t>this</w:t>
      </w:r>
      <w:r w:rsidR="00033D0F">
        <w:rPr>
          <w:spacing w:val="-6"/>
          <w:position w:val="1"/>
        </w:rPr>
        <w:t xml:space="preserve"> </w:t>
      </w:r>
      <w:r w:rsidR="00033D0F">
        <w:rPr>
          <w:position w:val="1"/>
        </w:rPr>
        <w:t>context,</w:t>
      </w:r>
      <w:r w:rsidR="00033D0F">
        <w:rPr>
          <w:spacing w:val="-5"/>
          <w:position w:val="1"/>
        </w:rPr>
        <w:t xml:space="preserve"> </w:t>
      </w:r>
      <w:r w:rsidR="00033D0F">
        <w:rPr>
          <w:position w:val="1"/>
        </w:rPr>
        <w:t>China</w:t>
      </w:r>
      <w:r w:rsidR="00033D0F">
        <w:rPr>
          <w:spacing w:val="-8"/>
          <w:position w:val="1"/>
        </w:rPr>
        <w:t xml:space="preserve"> </w:t>
      </w:r>
      <w:r w:rsidR="00033D0F">
        <w:rPr>
          <w:position w:val="1"/>
        </w:rPr>
        <w:t>is</w:t>
      </w:r>
      <w:r w:rsidR="00033D0F">
        <w:rPr>
          <w:spacing w:val="-10"/>
          <w:position w:val="1"/>
        </w:rPr>
        <w:t xml:space="preserve"> </w:t>
      </w:r>
      <w:r w:rsidR="00033D0F">
        <w:rPr>
          <w:position w:val="1"/>
        </w:rPr>
        <w:t>incorrect</w:t>
      </w:r>
      <w:r w:rsidR="00033D0F">
        <w:rPr>
          <w:spacing w:val="-7"/>
          <w:position w:val="1"/>
        </w:rPr>
        <w:t xml:space="preserve"> </w:t>
      </w:r>
      <w:r w:rsidR="00033D0F">
        <w:rPr>
          <w:position w:val="1"/>
        </w:rPr>
        <w:t>to</w:t>
      </w:r>
      <w:r w:rsidR="00033D0F">
        <w:rPr>
          <w:spacing w:val="-9"/>
          <w:position w:val="1"/>
        </w:rPr>
        <w:t xml:space="preserve"> </w:t>
      </w:r>
      <w:r w:rsidR="00033D0F">
        <w:rPr>
          <w:position w:val="1"/>
        </w:rPr>
        <w:t>suggest</w:t>
      </w:r>
      <w:r w:rsidR="00033D0F">
        <w:rPr>
          <w:spacing w:val="-11"/>
          <w:position w:val="1"/>
        </w:rPr>
        <w:t xml:space="preserve"> </w:t>
      </w:r>
      <w:r w:rsidR="00033D0F">
        <w:rPr>
          <w:position w:val="1"/>
        </w:rPr>
        <w:t>that</w:t>
      </w:r>
      <w:r w:rsidR="00033D0F">
        <w:rPr>
          <w:spacing w:val="-7"/>
          <w:position w:val="1"/>
        </w:rPr>
        <w:t xml:space="preserve"> </w:t>
      </w:r>
      <w:r w:rsidR="00033D0F">
        <w:rPr>
          <w:position w:val="1"/>
        </w:rPr>
        <w:t>Australia</w:t>
      </w:r>
      <w:r w:rsidR="00033D0F">
        <w:rPr>
          <w:spacing w:val="-8"/>
          <w:position w:val="1"/>
        </w:rPr>
        <w:t xml:space="preserve"> </w:t>
      </w:r>
      <w:r w:rsidR="00033D0F">
        <w:rPr>
          <w:position w:val="1"/>
        </w:rPr>
        <w:t>was</w:t>
      </w:r>
      <w:r w:rsidR="00033D0F">
        <w:rPr>
          <w:spacing w:val="-6"/>
          <w:position w:val="1"/>
        </w:rPr>
        <w:t xml:space="preserve"> </w:t>
      </w:r>
      <w:r w:rsidR="00033D0F">
        <w:rPr>
          <w:position w:val="1"/>
        </w:rPr>
        <w:t>obligated</w:t>
      </w:r>
      <w:r w:rsidR="00033D0F">
        <w:rPr>
          <w:spacing w:val="-9"/>
          <w:position w:val="1"/>
        </w:rPr>
        <w:t xml:space="preserve"> </w:t>
      </w:r>
      <w:r w:rsidR="00033D0F">
        <w:rPr>
          <w:position w:val="1"/>
        </w:rPr>
        <w:t>to</w:t>
      </w:r>
      <w:r w:rsidR="00033D0F">
        <w:rPr>
          <w:spacing w:val="-9"/>
          <w:position w:val="1"/>
        </w:rPr>
        <w:t xml:space="preserve"> </w:t>
      </w:r>
      <w:r w:rsidR="00033D0F">
        <w:rPr>
          <w:position w:val="1"/>
        </w:rPr>
        <w:t>set</w:t>
      </w:r>
      <w:r w:rsidR="00033D0F">
        <w:rPr>
          <w:spacing w:val="-7"/>
          <w:position w:val="1"/>
        </w:rPr>
        <w:t xml:space="preserve"> </w:t>
      </w:r>
      <w:r w:rsidR="00033D0F">
        <w:rPr>
          <w:position w:val="1"/>
        </w:rPr>
        <w:t>out</w:t>
      </w:r>
      <w:r w:rsidR="00033D0F">
        <w:rPr>
          <w:spacing w:val="-7"/>
          <w:position w:val="1"/>
        </w:rPr>
        <w:t xml:space="preserve"> </w:t>
      </w:r>
      <w:r w:rsidR="00033D0F">
        <w:rPr>
          <w:position w:val="1"/>
        </w:rPr>
        <w:t xml:space="preserve">an </w:t>
      </w:r>
      <w:r w:rsidR="00033D0F">
        <w:t>independent</w:t>
      </w:r>
      <w:r w:rsidR="00033D0F">
        <w:rPr>
          <w:spacing w:val="-1"/>
        </w:rPr>
        <w:t xml:space="preserve"> </w:t>
      </w:r>
      <w:r w:rsidR="00033D0F">
        <w:t>ground of violation</w:t>
      </w:r>
      <w:r w:rsidR="00033D0F">
        <w:rPr>
          <w:spacing w:val="-3"/>
        </w:rPr>
        <w:t xml:space="preserve"> </w:t>
      </w:r>
      <w:r w:rsidR="00033D0F">
        <w:t>of Article</w:t>
      </w:r>
      <w:r w:rsidR="00033D0F">
        <w:rPr>
          <w:spacing w:val="-1"/>
        </w:rPr>
        <w:t xml:space="preserve"> </w:t>
      </w:r>
      <w:r w:rsidR="00033D0F">
        <w:t>6.2</w:t>
      </w:r>
      <w:r w:rsidR="00033D0F">
        <w:rPr>
          <w:spacing w:val="-4"/>
        </w:rPr>
        <w:t xml:space="preserve"> </w:t>
      </w:r>
      <w:r w:rsidR="00033D0F">
        <w:t>in its panel report.</w:t>
      </w:r>
      <w:hyperlink w:anchor="_bookmark1802" w:history="1">
        <w:r w:rsidR="00033D0F">
          <w:rPr>
            <w:vertAlign w:val="superscript"/>
          </w:rPr>
          <w:t>1572</w:t>
        </w:r>
      </w:hyperlink>
      <w:r w:rsidR="00033D0F">
        <w:rPr>
          <w:spacing w:val="-1"/>
        </w:rPr>
        <w:t xml:space="preserve"> </w:t>
      </w:r>
      <w:r w:rsidR="00033D0F">
        <w:t>Australia</w:t>
      </w:r>
      <w:r w:rsidR="00033D0F">
        <w:rPr>
          <w:spacing w:val="-2"/>
        </w:rPr>
        <w:t xml:space="preserve"> </w:t>
      </w:r>
      <w:r w:rsidR="00033D0F">
        <w:t>is not required to</w:t>
      </w:r>
      <w:r w:rsidR="00033D0F">
        <w:rPr>
          <w:spacing w:val="-2"/>
        </w:rPr>
        <w:t xml:space="preserve"> </w:t>
      </w:r>
      <w:r w:rsidR="00033D0F">
        <w:t>substantiate its claims in</w:t>
      </w:r>
      <w:r w:rsidR="00033D0F">
        <w:rPr>
          <w:spacing w:val="-6"/>
        </w:rPr>
        <w:t xml:space="preserve"> </w:t>
      </w:r>
      <w:r w:rsidR="00033D0F">
        <w:t>its panel request.</w:t>
      </w:r>
      <w:r w:rsidR="00033D0F">
        <w:rPr>
          <w:spacing w:val="-3"/>
        </w:rPr>
        <w:t xml:space="preserve"> </w:t>
      </w:r>
      <w:r w:rsidR="00033D0F">
        <w:t>Examples,</w:t>
      </w:r>
      <w:r w:rsidR="00033D0F">
        <w:rPr>
          <w:spacing w:val="-2"/>
        </w:rPr>
        <w:t xml:space="preserve"> </w:t>
      </w:r>
      <w:r w:rsidR="00033D0F">
        <w:t>instances and</w:t>
      </w:r>
      <w:r w:rsidR="00033D0F">
        <w:rPr>
          <w:spacing w:val="-2"/>
        </w:rPr>
        <w:t xml:space="preserve"> </w:t>
      </w:r>
      <w:r w:rsidR="00033D0F">
        <w:t xml:space="preserve">supporting arguments to establish a </w:t>
      </w:r>
      <w:r w:rsidR="00033D0F">
        <w:rPr>
          <w:i/>
        </w:rPr>
        <w:t xml:space="preserve">prima facie </w:t>
      </w:r>
      <w:r w:rsidR="00033D0F">
        <w:t xml:space="preserve">case of the inconsistency are alleged in Australia's written </w:t>
      </w:r>
      <w:r w:rsidR="00033D0F">
        <w:rPr>
          <w:spacing w:val="-2"/>
        </w:rPr>
        <w:t>submissions.</w:t>
      </w:r>
    </w:p>
    <w:p w14:paraId="24DF94EB" w14:textId="77777777" w:rsidR="00BD462C" w:rsidRDefault="00033D0F">
      <w:pPr>
        <w:pStyle w:val="Heading3"/>
        <w:numPr>
          <w:ilvl w:val="2"/>
          <w:numId w:val="5"/>
        </w:numPr>
        <w:tabs>
          <w:tab w:val="left" w:pos="1836"/>
        </w:tabs>
        <w:spacing w:before="156" w:line="362" w:lineRule="auto"/>
        <w:ind w:right="913"/>
      </w:pPr>
      <w:bookmarkStart w:id="2088" w:name="A.5.3_Australia's_claim_pursuant_to_Arti"/>
      <w:bookmarkEnd w:id="2088"/>
      <w:r>
        <w:t xml:space="preserve">Australia's claim pursuant to Article 6.5 is within the Panel's terms of </w:t>
      </w:r>
      <w:r>
        <w:rPr>
          <w:spacing w:val="-2"/>
        </w:rPr>
        <w:t>reference.</w:t>
      </w:r>
    </w:p>
    <w:p w14:paraId="3060C82D" w14:textId="77777777" w:rsidR="00BD462C" w:rsidRDefault="00BD462C">
      <w:pPr>
        <w:pStyle w:val="BodyText"/>
        <w:spacing w:before="2"/>
        <w:rPr>
          <w:b/>
          <w:sz w:val="8"/>
        </w:rPr>
      </w:pPr>
    </w:p>
    <w:p w14:paraId="0BEC20CC" w14:textId="01DCAF50" w:rsidR="00BD462C" w:rsidRDefault="005930FF">
      <w:pPr>
        <w:pStyle w:val="BodyText"/>
        <w:spacing w:before="56" w:line="357" w:lineRule="auto"/>
        <w:ind w:left="135" w:right="923" w:hanging="5"/>
      </w:pPr>
      <w:r>
        <w:rPr>
          <w:noProof/>
        </w:rPr>
        <w:t>45.</w:t>
      </w:r>
      <w:r w:rsidR="00033D0F">
        <w:rPr>
          <w:rFonts w:ascii="Times New Roman"/>
          <w:spacing w:val="80"/>
          <w:w w:val="150"/>
          <w:position w:val="1"/>
          <w:sz w:val="20"/>
        </w:rPr>
        <w:t xml:space="preserve">   </w:t>
      </w:r>
      <w:r w:rsidR="00033D0F">
        <w:rPr>
          <w:position w:val="1"/>
        </w:rPr>
        <w:t>In</w:t>
      </w:r>
      <w:r w:rsidR="00033D0F">
        <w:rPr>
          <w:spacing w:val="40"/>
          <w:position w:val="1"/>
        </w:rPr>
        <w:t xml:space="preserve"> </w:t>
      </w:r>
      <w:r w:rsidR="00033D0F">
        <w:rPr>
          <w:position w:val="1"/>
        </w:rPr>
        <w:t>its</w:t>
      </w:r>
      <w:r w:rsidR="00033D0F">
        <w:rPr>
          <w:spacing w:val="40"/>
          <w:position w:val="1"/>
        </w:rPr>
        <w:t xml:space="preserve"> </w:t>
      </w:r>
      <w:r w:rsidR="00033D0F">
        <w:rPr>
          <w:position w:val="1"/>
        </w:rPr>
        <w:t>first</w:t>
      </w:r>
      <w:r w:rsidR="00033D0F">
        <w:rPr>
          <w:spacing w:val="40"/>
          <w:position w:val="1"/>
        </w:rPr>
        <w:t xml:space="preserve"> </w:t>
      </w:r>
      <w:r w:rsidR="00033D0F">
        <w:rPr>
          <w:position w:val="1"/>
        </w:rPr>
        <w:t>written</w:t>
      </w:r>
      <w:r w:rsidR="00033D0F">
        <w:rPr>
          <w:spacing w:val="40"/>
          <w:position w:val="1"/>
        </w:rPr>
        <w:t xml:space="preserve"> </w:t>
      </w:r>
      <w:r w:rsidR="00033D0F">
        <w:rPr>
          <w:position w:val="1"/>
        </w:rPr>
        <w:t>submission,</w:t>
      </w:r>
      <w:r w:rsidR="00033D0F">
        <w:rPr>
          <w:spacing w:val="40"/>
          <w:position w:val="1"/>
        </w:rPr>
        <w:t xml:space="preserve"> </w:t>
      </w:r>
      <w:r w:rsidR="00033D0F">
        <w:rPr>
          <w:position w:val="1"/>
        </w:rPr>
        <w:t>China</w:t>
      </w:r>
      <w:r w:rsidR="00033D0F">
        <w:rPr>
          <w:spacing w:val="40"/>
          <w:position w:val="1"/>
        </w:rPr>
        <w:t xml:space="preserve"> </w:t>
      </w:r>
      <w:r w:rsidR="00033D0F">
        <w:rPr>
          <w:position w:val="1"/>
        </w:rPr>
        <w:t>makes</w:t>
      </w:r>
      <w:r w:rsidR="00033D0F">
        <w:rPr>
          <w:spacing w:val="40"/>
          <w:position w:val="1"/>
        </w:rPr>
        <w:t xml:space="preserve"> </w:t>
      </w:r>
      <w:r w:rsidR="00033D0F">
        <w:rPr>
          <w:position w:val="1"/>
        </w:rPr>
        <w:t>three</w:t>
      </w:r>
      <w:r w:rsidR="00033D0F">
        <w:rPr>
          <w:spacing w:val="40"/>
          <w:position w:val="1"/>
        </w:rPr>
        <w:t xml:space="preserve"> </w:t>
      </w:r>
      <w:r w:rsidR="00033D0F">
        <w:rPr>
          <w:position w:val="1"/>
        </w:rPr>
        <w:t>new</w:t>
      </w:r>
      <w:r w:rsidR="00033D0F">
        <w:rPr>
          <w:spacing w:val="40"/>
          <w:position w:val="1"/>
        </w:rPr>
        <w:t xml:space="preserve"> </w:t>
      </w:r>
      <w:r w:rsidR="00033D0F">
        <w:rPr>
          <w:position w:val="1"/>
        </w:rPr>
        <w:t>'threshold'</w:t>
      </w:r>
      <w:r w:rsidR="00033D0F">
        <w:rPr>
          <w:spacing w:val="40"/>
          <w:position w:val="1"/>
        </w:rPr>
        <w:t xml:space="preserve"> </w:t>
      </w:r>
      <w:r w:rsidR="00033D0F">
        <w:rPr>
          <w:position w:val="1"/>
        </w:rPr>
        <w:t>objections</w:t>
      </w:r>
      <w:r w:rsidR="00033D0F">
        <w:rPr>
          <w:spacing w:val="40"/>
          <w:position w:val="1"/>
        </w:rPr>
        <w:t xml:space="preserve"> </w:t>
      </w:r>
      <w:r w:rsidR="00033D0F">
        <w:rPr>
          <w:position w:val="1"/>
        </w:rPr>
        <w:t xml:space="preserve">to </w:t>
      </w:r>
      <w:r w:rsidR="00033D0F">
        <w:t>Australia's claim pursuant to Article 6.5.</w:t>
      </w:r>
      <w:hyperlink w:anchor="_bookmark1803" w:history="1">
        <w:r w:rsidR="00033D0F">
          <w:rPr>
            <w:vertAlign w:val="superscript"/>
          </w:rPr>
          <w:t>1573</w:t>
        </w:r>
      </w:hyperlink>
    </w:p>
    <w:p w14:paraId="7CB2D94B" w14:textId="77777777" w:rsidR="00BD462C" w:rsidRDefault="00BD462C">
      <w:pPr>
        <w:pStyle w:val="BodyText"/>
        <w:rPr>
          <w:sz w:val="20"/>
        </w:rPr>
      </w:pPr>
    </w:p>
    <w:p w14:paraId="7447125F" w14:textId="77777777" w:rsidR="00BD462C" w:rsidRDefault="00BD462C">
      <w:pPr>
        <w:pStyle w:val="BodyText"/>
        <w:rPr>
          <w:sz w:val="20"/>
        </w:rPr>
      </w:pPr>
    </w:p>
    <w:p w14:paraId="6598B7BA" w14:textId="77777777" w:rsidR="00BD462C" w:rsidRDefault="00BD462C">
      <w:pPr>
        <w:pStyle w:val="BodyText"/>
        <w:rPr>
          <w:sz w:val="20"/>
        </w:rPr>
      </w:pPr>
    </w:p>
    <w:p w14:paraId="2ECD4618" w14:textId="77777777" w:rsidR="00BD462C" w:rsidRDefault="00BD462C">
      <w:pPr>
        <w:pStyle w:val="BodyText"/>
        <w:rPr>
          <w:sz w:val="20"/>
        </w:rPr>
      </w:pPr>
    </w:p>
    <w:p w14:paraId="1406D34C" w14:textId="77777777" w:rsidR="00BD462C" w:rsidRDefault="00BD462C">
      <w:pPr>
        <w:pStyle w:val="BodyText"/>
        <w:rPr>
          <w:sz w:val="20"/>
        </w:rPr>
      </w:pPr>
    </w:p>
    <w:p w14:paraId="64E4D683" w14:textId="77777777" w:rsidR="00BD462C" w:rsidRDefault="00BD462C">
      <w:pPr>
        <w:pStyle w:val="BodyText"/>
        <w:rPr>
          <w:sz w:val="20"/>
        </w:rPr>
      </w:pPr>
    </w:p>
    <w:p w14:paraId="3A063981" w14:textId="13D3FB73" w:rsidR="00BD462C" w:rsidRDefault="00E14314">
      <w:pPr>
        <w:pStyle w:val="BodyText"/>
        <w:spacing w:before="4"/>
        <w:rPr>
          <w:sz w:val="29"/>
        </w:rPr>
      </w:pPr>
      <w:r>
        <w:rPr>
          <w:noProof/>
        </w:rPr>
        <mc:AlternateContent>
          <mc:Choice Requires="wps">
            <w:drawing>
              <wp:anchor distT="0" distB="0" distL="0" distR="0" simplePos="0" relativeHeight="488090112" behindDoc="1" locked="0" layoutInCell="1" allowOverlap="1" wp14:anchorId="46622525" wp14:editId="3E37E963">
                <wp:simplePos x="0" y="0"/>
                <wp:positionH relativeFrom="page">
                  <wp:posOffset>812800</wp:posOffset>
                </wp:positionH>
                <wp:positionV relativeFrom="paragraph">
                  <wp:posOffset>227965</wp:posOffset>
                </wp:positionV>
                <wp:extent cx="1828800" cy="8890"/>
                <wp:effectExtent l="0" t="0" r="0" b="0"/>
                <wp:wrapTopAndBottom/>
                <wp:docPr id="67" name="docshape7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4DBEE6" id="docshape705" o:spid="_x0000_s1026" alt="&quot;&quot;" style="position:absolute;margin-left:64pt;margin-top:17.95pt;width:2in;height:.7pt;z-index:-15226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" fillcolor="black" stroked="f">
                <w10:wrap type="topAndBottom" anchorx="page"/>
              </v:rect>
            </w:pict>
          </mc:Fallback>
        </mc:AlternateContent>
      </w:r>
    </w:p>
    <w:p w14:paraId="1BD8E282" w14:textId="77777777" w:rsidR="00BD462C" w:rsidRDefault="00033D0F">
      <w:pPr>
        <w:spacing w:before="112"/>
        <w:ind w:left="135"/>
        <w:rPr>
          <w:sz w:val="18"/>
        </w:rPr>
      </w:pPr>
      <w:bookmarkStart w:id="2089" w:name="_bookmark1797"/>
      <w:bookmarkEnd w:id="2089"/>
      <w:r>
        <w:rPr>
          <w:position w:val="5"/>
          <w:sz w:val="12"/>
        </w:rPr>
        <w:t>1567</w:t>
      </w:r>
      <w:r>
        <w:rPr>
          <w:spacing w:val="13"/>
          <w:position w:val="5"/>
          <w:sz w:val="12"/>
        </w:rPr>
        <w:t xml:space="preserve"> </w:t>
      </w:r>
      <w:r>
        <w:rPr>
          <w:sz w:val="18"/>
        </w:rPr>
        <w:t>China's</w:t>
      </w:r>
      <w:r>
        <w:rPr>
          <w:spacing w:val="-5"/>
          <w:sz w:val="18"/>
        </w:rPr>
        <w:t xml:space="preserve"> </w:t>
      </w:r>
      <w:r>
        <w:rPr>
          <w:sz w:val="18"/>
        </w:rPr>
        <w:t>first</w:t>
      </w:r>
      <w:r>
        <w:rPr>
          <w:spacing w:val="-4"/>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paras.</w:t>
      </w:r>
      <w:r>
        <w:rPr>
          <w:spacing w:val="-4"/>
          <w:sz w:val="18"/>
        </w:rPr>
        <w:t xml:space="preserve"> </w:t>
      </w:r>
      <w:r>
        <w:rPr>
          <w:sz w:val="18"/>
        </w:rPr>
        <w:t>85,</w:t>
      </w:r>
      <w:r>
        <w:rPr>
          <w:spacing w:val="-3"/>
          <w:sz w:val="18"/>
        </w:rPr>
        <w:t xml:space="preserve"> </w:t>
      </w:r>
      <w:r>
        <w:rPr>
          <w:sz w:val="18"/>
        </w:rPr>
        <w:t>124-</w:t>
      </w:r>
      <w:r>
        <w:rPr>
          <w:spacing w:val="-4"/>
          <w:sz w:val="18"/>
        </w:rPr>
        <w:t>126.</w:t>
      </w:r>
    </w:p>
    <w:p w14:paraId="6A764421" w14:textId="77777777" w:rsidR="00BD462C" w:rsidRDefault="00033D0F">
      <w:pPr>
        <w:spacing w:before="1" w:line="218" w:lineRule="exact"/>
        <w:ind w:left="135"/>
        <w:rPr>
          <w:sz w:val="18"/>
        </w:rPr>
      </w:pPr>
      <w:bookmarkStart w:id="2090" w:name="_bookmark1798"/>
      <w:bookmarkEnd w:id="2090"/>
      <w:r>
        <w:rPr>
          <w:position w:val="5"/>
          <w:sz w:val="12"/>
        </w:rPr>
        <w:t>1568</w:t>
      </w:r>
      <w:r>
        <w:rPr>
          <w:spacing w:val="16"/>
          <w:position w:val="5"/>
          <w:sz w:val="12"/>
        </w:rPr>
        <w:t xml:space="preserve"> </w:t>
      </w:r>
      <w:r>
        <w:rPr>
          <w:sz w:val="18"/>
        </w:rPr>
        <w:t>See</w:t>
      </w:r>
      <w:r>
        <w:rPr>
          <w:spacing w:val="-2"/>
          <w:sz w:val="18"/>
        </w:rPr>
        <w:t xml:space="preserve"> </w:t>
      </w:r>
      <w:r>
        <w:rPr>
          <w:sz w:val="18"/>
        </w:rPr>
        <w:t>above, para.</w:t>
      </w:r>
      <w:r>
        <w:rPr>
          <w:spacing w:val="-1"/>
          <w:sz w:val="18"/>
        </w:rPr>
        <w:t xml:space="preserve"> </w:t>
      </w:r>
      <w:r>
        <w:rPr>
          <w:spacing w:val="-5"/>
          <w:sz w:val="18"/>
        </w:rPr>
        <w:t>14.</w:t>
      </w:r>
    </w:p>
    <w:p w14:paraId="56209AF3" w14:textId="77777777" w:rsidR="00BD462C" w:rsidRDefault="00033D0F">
      <w:pPr>
        <w:spacing w:line="218" w:lineRule="exact"/>
        <w:ind w:left="135"/>
        <w:rPr>
          <w:sz w:val="18"/>
        </w:rPr>
      </w:pPr>
      <w:bookmarkStart w:id="2091" w:name="_bookmark1799"/>
      <w:bookmarkEnd w:id="2091"/>
      <w:r>
        <w:rPr>
          <w:position w:val="5"/>
          <w:sz w:val="12"/>
        </w:rPr>
        <w:t>1569</w:t>
      </w:r>
      <w:r>
        <w:rPr>
          <w:spacing w:val="16"/>
          <w:position w:val="5"/>
          <w:sz w:val="12"/>
        </w:rPr>
        <w:t xml:space="preserve"> </w:t>
      </w:r>
      <w:r>
        <w:rPr>
          <w:sz w:val="18"/>
        </w:rPr>
        <w:t>See</w:t>
      </w:r>
      <w:r>
        <w:rPr>
          <w:spacing w:val="-2"/>
          <w:sz w:val="18"/>
        </w:rPr>
        <w:t xml:space="preserve"> </w:t>
      </w:r>
      <w:r>
        <w:rPr>
          <w:sz w:val="18"/>
        </w:rPr>
        <w:t>above, para.</w:t>
      </w:r>
      <w:r>
        <w:rPr>
          <w:spacing w:val="-1"/>
          <w:sz w:val="18"/>
        </w:rPr>
        <w:t xml:space="preserve"> </w:t>
      </w:r>
      <w:r>
        <w:rPr>
          <w:spacing w:val="-5"/>
          <w:sz w:val="18"/>
        </w:rPr>
        <w:t>14.</w:t>
      </w:r>
    </w:p>
    <w:p w14:paraId="3BE54ADF" w14:textId="77777777" w:rsidR="00BD462C" w:rsidRDefault="00033D0F">
      <w:pPr>
        <w:spacing w:before="1"/>
        <w:ind w:left="135"/>
        <w:rPr>
          <w:sz w:val="18"/>
        </w:rPr>
      </w:pPr>
      <w:bookmarkStart w:id="2092" w:name="_bookmark1800"/>
      <w:bookmarkEnd w:id="2092"/>
      <w:r>
        <w:rPr>
          <w:position w:val="5"/>
          <w:sz w:val="12"/>
        </w:rPr>
        <w:t>1570</w:t>
      </w:r>
      <w:r>
        <w:rPr>
          <w:spacing w:val="14"/>
          <w:position w:val="5"/>
          <w:sz w:val="12"/>
        </w:rPr>
        <w:t xml:space="preserve"> </w:t>
      </w:r>
      <w:r>
        <w:rPr>
          <w:sz w:val="18"/>
        </w:rPr>
        <w:t>Australia's</w:t>
      </w:r>
      <w:r>
        <w:rPr>
          <w:spacing w:val="-4"/>
          <w:sz w:val="18"/>
        </w:rPr>
        <w:t xml:space="preserve"> </w:t>
      </w:r>
      <w:r>
        <w:rPr>
          <w:sz w:val="18"/>
        </w:rPr>
        <w:t>panel</w:t>
      </w:r>
      <w:r>
        <w:rPr>
          <w:spacing w:val="1"/>
          <w:sz w:val="18"/>
        </w:rPr>
        <w:t xml:space="preserve"> </w:t>
      </w:r>
      <w:r>
        <w:rPr>
          <w:sz w:val="18"/>
        </w:rPr>
        <w:t>request</w:t>
      </w:r>
      <w:r>
        <w:rPr>
          <w:spacing w:val="-3"/>
          <w:sz w:val="18"/>
        </w:rPr>
        <w:t xml:space="preserve"> </w:t>
      </w:r>
      <w:r>
        <w:rPr>
          <w:sz w:val="18"/>
        </w:rPr>
        <w:t>paras.</w:t>
      </w:r>
      <w:r>
        <w:rPr>
          <w:spacing w:val="-4"/>
          <w:sz w:val="18"/>
        </w:rPr>
        <w:t xml:space="preserve"> </w:t>
      </w:r>
      <w:r>
        <w:rPr>
          <w:sz w:val="18"/>
        </w:rPr>
        <w:t>(iv);</w:t>
      </w:r>
      <w:r>
        <w:rPr>
          <w:spacing w:val="-6"/>
          <w:sz w:val="18"/>
        </w:rPr>
        <w:t xml:space="preserve"> </w:t>
      </w:r>
      <w:r>
        <w:rPr>
          <w:sz w:val="18"/>
        </w:rPr>
        <w:t>(v);</w:t>
      </w:r>
      <w:r>
        <w:rPr>
          <w:spacing w:val="-6"/>
          <w:sz w:val="18"/>
        </w:rPr>
        <w:t xml:space="preserve"> </w:t>
      </w:r>
      <w:r>
        <w:rPr>
          <w:spacing w:val="-2"/>
          <w:sz w:val="18"/>
        </w:rPr>
        <w:t>(viii).</w:t>
      </w:r>
    </w:p>
    <w:p w14:paraId="66762ABF" w14:textId="77777777" w:rsidR="00BD462C" w:rsidRDefault="00033D0F">
      <w:pPr>
        <w:spacing w:before="1"/>
        <w:ind w:left="135"/>
        <w:rPr>
          <w:sz w:val="18"/>
        </w:rPr>
      </w:pPr>
      <w:bookmarkStart w:id="2093" w:name="_bookmark1801"/>
      <w:bookmarkEnd w:id="2093"/>
      <w:r>
        <w:rPr>
          <w:position w:val="5"/>
          <w:sz w:val="12"/>
        </w:rPr>
        <w:t>1571</w:t>
      </w:r>
      <w:r>
        <w:rPr>
          <w:spacing w:val="14"/>
          <w:position w:val="5"/>
          <w:sz w:val="12"/>
        </w:rPr>
        <w:t xml:space="preserve"> </w:t>
      </w:r>
      <w:r>
        <w:rPr>
          <w:sz w:val="18"/>
        </w:rPr>
        <w:t>See</w:t>
      </w:r>
      <w:r>
        <w:rPr>
          <w:spacing w:val="-5"/>
          <w:sz w:val="18"/>
        </w:rPr>
        <w:t xml:space="preserve"> </w:t>
      </w:r>
      <w:r>
        <w:rPr>
          <w:sz w:val="18"/>
        </w:rPr>
        <w:t>Australia's</w:t>
      </w:r>
      <w:r>
        <w:rPr>
          <w:spacing w:val="1"/>
          <w:sz w:val="18"/>
        </w:rPr>
        <w:t xml:space="preserve"> </w:t>
      </w:r>
      <w:r>
        <w:rPr>
          <w:sz w:val="18"/>
        </w:rPr>
        <w:t>response</w:t>
      </w:r>
      <w:r>
        <w:rPr>
          <w:spacing w:val="-5"/>
          <w:sz w:val="18"/>
        </w:rPr>
        <w:t xml:space="preserve"> </w:t>
      </w:r>
      <w:r>
        <w:rPr>
          <w:sz w:val="18"/>
        </w:rPr>
        <w:t>to China's</w:t>
      </w:r>
      <w:r>
        <w:rPr>
          <w:spacing w:val="-4"/>
          <w:sz w:val="18"/>
        </w:rPr>
        <w:t xml:space="preserve"> </w:t>
      </w:r>
      <w:r>
        <w:rPr>
          <w:sz w:val="18"/>
        </w:rPr>
        <w:t>PRR,</w:t>
      </w:r>
      <w:r>
        <w:rPr>
          <w:spacing w:val="-3"/>
          <w:sz w:val="18"/>
        </w:rPr>
        <w:t xml:space="preserve"> </w:t>
      </w:r>
      <w:r>
        <w:rPr>
          <w:sz w:val="18"/>
        </w:rPr>
        <w:t>paras.</w:t>
      </w:r>
      <w:r>
        <w:rPr>
          <w:spacing w:val="-3"/>
          <w:sz w:val="18"/>
        </w:rPr>
        <w:t xml:space="preserve"> </w:t>
      </w:r>
      <w:r>
        <w:rPr>
          <w:sz w:val="18"/>
        </w:rPr>
        <w:t>80,</w:t>
      </w:r>
      <w:r>
        <w:rPr>
          <w:spacing w:val="-3"/>
          <w:sz w:val="18"/>
        </w:rPr>
        <w:t xml:space="preserve"> </w:t>
      </w:r>
      <w:r>
        <w:rPr>
          <w:sz w:val="18"/>
        </w:rPr>
        <w:t>98-99</w:t>
      </w:r>
      <w:r>
        <w:rPr>
          <w:spacing w:val="-6"/>
          <w:sz w:val="18"/>
        </w:rPr>
        <w:t xml:space="preserve"> </w:t>
      </w:r>
      <w:r>
        <w:rPr>
          <w:sz w:val="18"/>
        </w:rPr>
        <w:t>and</w:t>
      </w:r>
      <w:r>
        <w:rPr>
          <w:spacing w:val="-5"/>
          <w:sz w:val="18"/>
        </w:rPr>
        <w:t xml:space="preserve"> </w:t>
      </w:r>
      <w:r>
        <w:rPr>
          <w:sz w:val="18"/>
        </w:rPr>
        <w:t>footnotes</w:t>
      </w:r>
      <w:r>
        <w:rPr>
          <w:spacing w:val="-5"/>
          <w:sz w:val="18"/>
        </w:rPr>
        <w:t xml:space="preserve"> </w:t>
      </w:r>
      <w:r>
        <w:rPr>
          <w:spacing w:val="-2"/>
          <w:sz w:val="18"/>
        </w:rPr>
        <w:t>thereto.</w:t>
      </w:r>
    </w:p>
    <w:p w14:paraId="5E52C424" w14:textId="77777777" w:rsidR="00BD462C" w:rsidRDefault="00033D0F">
      <w:pPr>
        <w:spacing w:before="1"/>
        <w:ind w:left="135"/>
        <w:rPr>
          <w:sz w:val="18"/>
        </w:rPr>
      </w:pPr>
      <w:bookmarkStart w:id="2094" w:name="_bookmark1802"/>
      <w:bookmarkEnd w:id="2094"/>
      <w:r>
        <w:rPr>
          <w:position w:val="5"/>
          <w:sz w:val="12"/>
        </w:rPr>
        <w:t>1572</w:t>
      </w:r>
      <w:r>
        <w:rPr>
          <w:spacing w:val="13"/>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paras.</w:t>
      </w:r>
      <w:r>
        <w:rPr>
          <w:spacing w:val="-5"/>
          <w:sz w:val="18"/>
        </w:rPr>
        <w:t xml:space="preserve"> </w:t>
      </w:r>
      <w:r>
        <w:rPr>
          <w:spacing w:val="-4"/>
          <w:sz w:val="18"/>
        </w:rPr>
        <w:t>126.</w:t>
      </w:r>
    </w:p>
    <w:p w14:paraId="283B825B" w14:textId="77777777" w:rsidR="00BD462C" w:rsidRDefault="00033D0F">
      <w:pPr>
        <w:spacing w:before="1"/>
        <w:ind w:left="135"/>
        <w:rPr>
          <w:sz w:val="18"/>
        </w:rPr>
      </w:pPr>
      <w:bookmarkStart w:id="2095" w:name="_bookmark1803"/>
      <w:bookmarkEnd w:id="2095"/>
      <w:r>
        <w:rPr>
          <w:position w:val="5"/>
          <w:sz w:val="12"/>
        </w:rPr>
        <w:t>1573</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paras.</w:t>
      </w:r>
      <w:r>
        <w:rPr>
          <w:spacing w:val="-5"/>
          <w:sz w:val="18"/>
        </w:rPr>
        <w:t xml:space="preserve"> </w:t>
      </w:r>
      <w:r>
        <w:rPr>
          <w:sz w:val="18"/>
        </w:rPr>
        <w:t>127,</w:t>
      </w:r>
      <w:r>
        <w:rPr>
          <w:spacing w:val="-4"/>
          <w:sz w:val="18"/>
        </w:rPr>
        <w:t xml:space="preserve"> </w:t>
      </w:r>
      <w:r>
        <w:rPr>
          <w:sz w:val="18"/>
        </w:rPr>
        <w:t>2221-</w:t>
      </w:r>
      <w:r>
        <w:rPr>
          <w:spacing w:val="-2"/>
          <w:sz w:val="18"/>
        </w:rPr>
        <w:t>2242.</w:t>
      </w:r>
    </w:p>
    <w:p w14:paraId="0E049868" w14:textId="77777777" w:rsidR="00BD462C" w:rsidRDefault="00BD462C">
      <w:pPr>
        <w:rPr>
          <w:sz w:val="18"/>
        </w:rPr>
        <w:sectPr w:rsidR="00BD462C">
          <w:pgSz w:w="11910" w:h="16840"/>
          <w:pgMar w:top="860" w:right="500" w:bottom="780" w:left="1280" w:header="566" w:footer="590" w:gutter="0"/>
          <w:cols w:space="720"/>
        </w:sectPr>
      </w:pPr>
    </w:p>
    <w:p w14:paraId="61577BDC"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74379BF5"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1466FB92"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4DCDC35D" w14:textId="15792941" w:rsidR="00BD462C" w:rsidRDefault="005930FF">
      <w:pPr>
        <w:pStyle w:val="BodyText"/>
        <w:spacing w:before="6" w:line="357" w:lineRule="auto"/>
        <w:ind w:left="135" w:right="911" w:hanging="5"/>
        <w:jc w:val="both"/>
      </w:pPr>
      <w:r>
        <w:rPr>
          <w:noProof/>
        </w:rPr>
        <w:t>46.</w:t>
      </w:r>
      <w:r w:rsidR="00033D0F">
        <w:rPr>
          <w:rFonts w:ascii="Times New Roman"/>
          <w:spacing w:val="80"/>
          <w:w w:val="150"/>
          <w:position w:val="1"/>
          <w:sz w:val="20"/>
        </w:rPr>
        <w:t xml:space="preserve">  </w:t>
      </w:r>
      <w:r w:rsidR="00033D0F">
        <w:rPr>
          <w:position w:val="1"/>
        </w:rPr>
        <w:t>First,</w:t>
      </w:r>
      <w:r w:rsidR="00033D0F">
        <w:rPr>
          <w:spacing w:val="-4"/>
          <w:position w:val="1"/>
        </w:rPr>
        <w:t xml:space="preserve"> </w:t>
      </w:r>
      <w:r w:rsidR="00033D0F">
        <w:rPr>
          <w:position w:val="1"/>
        </w:rPr>
        <w:t>China</w:t>
      </w:r>
      <w:r w:rsidR="00033D0F">
        <w:rPr>
          <w:spacing w:val="-7"/>
          <w:position w:val="1"/>
        </w:rPr>
        <w:t xml:space="preserve"> </w:t>
      </w:r>
      <w:r w:rsidR="00033D0F">
        <w:rPr>
          <w:position w:val="1"/>
        </w:rPr>
        <w:t>alleges</w:t>
      </w:r>
      <w:r w:rsidR="00033D0F">
        <w:rPr>
          <w:spacing w:val="-5"/>
          <w:position w:val="1"/>
        </w:rPr>
        <w:t xml:space="preserve"> </w:t>
      </w:r>
      <w:r w:rsidR="00033D0F">
        <w:rPr>
          <w:position w:val="1"/>
        </w:rPr>
        <w:t>that</w:t>
      </w:r>
      <w:r w:rsidR="00033D0F">
        <w:rPr>
          <w:spacing w:val="-6"/>
          <w:position w:val="1"/>
        </w:rPr>
        <w:t xml:space="preserve"> </w:t>
      </w:r>
      <w:r w:rsidR="00033D0F">
        <w:rPr>
          <w:position w:val="1"/>
        </w:rPr>
        <w:t>Australia</w:t>
      </w:r>
      <w:r w:rsidR="00033D0F">
        <w:rPr>
          <w:spacing w:val="-7"/>
          <w:position w:val="1"/>
        </w:rPr>
        <w:t xml:space="preserve"> </w:t>
      </w:r>
      <w:r w:rsidR="00033D0F">
        <w:rPr>
          <w:position w:val="1"/>
        </w:rPr>
        <w:t>did</w:t>
      </w:r>
      <w:r w:rsidR="00033D0F">
        <w:rPr>
          <w:spacing w:val="-8"/>
          <w:position w:val="1"/>
        </w:rPr>
        <w:t xml:space="preserve"> </w:t>
      </w:r>
      <w:r w:rsidR="00033D0F">
        <w:rPr>
          <w:position w:val="1"/>
        </w:rPr>
        <w:t>not</w:t>
      </w:r>
      <w:r w:rsidR="00033D0F">
        <w:rPr>
          <w:spacing w:val="-6"/>
          <w:position w:val="1"/>
        </w:rPr>
        <w:t xml:space="preserve"> </w:t>
      </w:r>
      <w:r w:rsidR="00033D0F">
        <w:rPr>
          <w:position w:val="1"/>
        </w:rPr>
        <w:t>make</w:t>
      </w:r>
      <w:r w:rsidR="00033D0F">
        <w:rPr>
          <w:spacing w:val="-6"/>
          <w:position w:val="1"/>
        </w:rPr>
        <w:t xml:space="preserve"> </w:t>
      </w:r>
      <w:r w:rsidR="00033D0F">
        <w:rPr>
          <w:position w:val="1"/>
        </w:rPr>
        <w:t>this</w:t>
      </w:r>
      <w:r w:rsidR="00033D0F">
        <w:rPr>
          <w:spacing w:val="-5"/>
          <w:position w:val="1"/>
        </w:rPr>
        <w:t xml:space="preserve"> </w:t>
      </w:r>
      <w:r w:rsidR="00033D0F">
        <w:rPr>
          <w:position w:val="1"/>
        </w:rPr>
        <w:t>claim</w:t>
      </w:r>
      <w:r w:rsidR="00033D0F">
        <w:rPr>
          <w:spacing w:val="-6"/>
          <w:position w:val="1"/>
        </w:rPr>
        <w:t xml:space="preserve"> </w:t>
      </w:r>
      <w:r w:rsidR="00033D0F">
        <w:rPr>
          <w:position w:val="1"/>
        </w:rPr>
        <w:t>sufficiently</w:t>
      </w:r>
      <w:r w:rsidR="00033D0F">
        <w:rPr>
          <w:spacing w:val="-5"/>
          <w:position w:val="1"/>
        </w:rPr>
        <w:t xml:space="preserve"> </w:t>
      </w:r>
      <w:r w:rsidR="00033D0F">
        <w:rPr>
          <w:position w:val="1"/>
        </w:rPr>
        <w:t>clear</w:t>
      </w:r>
      <w:r w:rsidR="00033D0F">
        <w:rPr>
          <w:spacing w:val="-9"/>
          <w:position w:val="1"/>
        </w:rPr>
        <w:t xml:space="preserve"> </w:t>
      </w:r>
      <w:r w:rsidR="00033D0F">
        <w:rPr>
          <w:position w:val="1"/>
        </w:rPr>
        <w:t>in</w:t>
      </w:r>
      <w:r w:rsidR="00033D0F">
        <w:rPr>
          <w:spacing w:val="-8"/>
          <w:position w:val="1"/>
        </w:rPr>
        <w:t xml:space="preserve"> </w:t>
      </w:r>
      <w:r w:rsidR="00033D0F">
        <w:rPr>
          <w:position w:val="1"/>
        </w:rPr>
        <w:t>its</w:t>
      </w:r>
      <w:r w:rsidR="00033D0F">
        <w:rPr>
          <w:spacing w:val="-5"/>
          <w:position w:val="1"/>
        </w:rPr>
        <w:t xml:space="preserve"> </w:t>
      </w:r>
      <w:r w:rsidR="00033D0F">
        <w:rPr>
          <w:position w:val="1"/>
        </w:rPr>
        <w:t xml:space="preserve">panel </w:t>
      </w:r>
      <w:r w:rsidR="00033D0F">
        <w:t>request.</w:t>
      </w:r>
      <w:hyperlink w:anchor="_bookmark1804" w:history="1">
        <w:r w:rsidR="00033D0F">
          <w:rPr>
            <w:vertAlign w:val="superscript"/>
          </w:rPr>
          <w:t>1574</w:t>
        </w:r>
      </w:hyperlink>
      <w:r w:rsidR="00033D0F">
        <w:t xml:space="preserve"> It argues that Australia never sufficiently identified its concerns with granting confidentiality</w:t>
      </w:r>
      <w:r w:rsidR="00033D0F">
        <w:rPr>
          <w:spacing w:val="-8"/>
        </w:rPr>
        <w:t xml:space="preserve"> </w:t>
      </w:r>
      <w:r w:rsidR="00033D0F">
        <w:rPr>
          <w:i/>
        </w:rPr>
        <w:t>per</w:t>
      </w:r>
      <w:r w:rsidR="00033D0F">
        <w:rPr>
          <w:i/>
          <w:spacing w:val="-10"/>
        </w:rPr>
        <w:t xml:space="preserve"> </w:t>
      </w:r>
      <w:r w:rsidR="00033D0F">
        <w:rPr>
          <w:i/>
        </w:rPr>
        <w:t>se</w:t>
      </w:r>
      <w:r w:rsidR="00033D0F">
        <w:t>,</w:t>
      </w:r>
      <w:r w:rsidR="00033D0F">
        <w:rPr>
          <w:spacing w:val="-7"/>
        </w:rPr>
        <w:t xml:space="preserve"> </w:t>
      </w:r>
      <w:r w:rsidR="00033D0F">
        <w:t>as</w:t>
      </w:r>
      <w:r w:rsidR="00033D0F">
        <w:rPr>
          <w:spacing w:val="-12"/>
        </w:rPr>
        <w:t xml:space="preserve"> </w:t>
      </w:r>
      <w:r w:rsidR="00033D0F">
        <w:t>its</w:t>
      </w:r>
      <w:r w:rsidR="00033D0F">
        <w:rPr>
          <w:spacing w:val="-8"/>
        </w:rPr>
        <w:t xml:space="preserve"> </w:t>
      </w:r>
      <w:r w:rsidR="00033D0F">
        <w:t>panel</w:t>
      </w:r>
      <w:r w:rsidR="00033D0F">
        <w:rPr>
          <w:spacing w:val="-7"/>
        </w:rPr>
        <w:t xml:space="preserve"> </w:t>
      </w:r>
      <w:r w:rsidR="00033D0F">
        <w:t>request</w:t>
      </w:r>
      <w:r w:rsidR="00033D0F">
        <w:rPr>
          <w:spacing w:val="-9"/>
        </w:rPr>
        <w:t xml:space="preserve"> </w:t>
      </w:r>
      <w:r w:rsidR="00033D0F">
        <w:t>specifically</w:t>
      </w:r>
      <w:r w:rsidR="00033D0F">
        <w:rPr>
          <w:spacing w:val="-8"/>
        </w:rPr>
        <w:t xml:space="preserve"> </w:t>
      </w:r>
      <w:r w:rsidR="00033D0F">
        <w:t>referred</w:t>
      </w:r>
      <w:r w:rsidR="00033D0F">
        <w:rPr>
          <w:spacing w:val="-11"/>
        </w:rPr>
        <w:t xml:space="preserve"> </w:t>
      </w:r>
      <w:r w:rsidR="00033D0F">
        <w:t>to</w:t>
      </w:r>
      <w:r w:rsidR="00033D0F">
        <w:rPr>
          <w:spacing w:val="-12"/>
        </w:rPr>
        <w:t xml:space="preserve"> </w:t>
      </w:r>
      <w:r w:rsidR="00033D0F">
        <w:t>non-confidential</w:t>
      </w:r>
      <w:r w:rsidR="00033D0F">
        <w:rPr>
          <w:spacing w:val="-7"/>
        </w:rPr>
        <w:t xml:space="preserve"> </w:t>
      </w:r>
      <w:r w:rsidR="00033D0F">
        <w:t>summaries.</w:t>
      </w:r>
    </w:p>
    <w:p w14:paraId="69CCB0E2" w14:textId="77777777" w:rsidR="00BD462C" w:rsidRDefault="00BD462C">
      <w:pPr>
        <w:pStyle w:val="BodyText"/>
        <w:spacing w:before="3"/>
        <w:rPr>
          <w:sz w:val="9"/>
        </w:rPr>
      </w:pPr>
    </w:p>
    <w:p w14:paraId="6CAAAFBB" w14:textId="7AE78009" w:rsidR="00BD462C" w:rsidRDefault="005930FF">
      <w:pPr>
        <w:pStyle w:val="BodyText"/>
        <w:spacing w:before="56" w:line="360" w:lineRule="auto"/>
        <w:ind w:left="135" w:right="912" w:hanging="5"/>
        <w:jc w:val="both"/>
      </w:pPr>
      <w:r>
        <w:rPr>
          <w:noProof/>
        </w:rPr>
        <w:t>47.</w:t>
      </w:r>
      <w:r w:rsidR="00033D0F">
        <w:rPr>
          <w:rFonts w:ascii="Times New Roman"/>
          <w:spacing w:val="80"/>
          <w:position w:val="1"/>
          <w:sz w:val="20"/>
        </w:rPr>
        <w:t xml:space="preserve">  </w:t>
      </w:r>
      <w:r w:rsidR="00033D0F">
        <w:rPr>
          <w:position w:val="1"/>
        </w:rPr>
        <w:t>Australia</w:t>
      </w:r>
      <w:r w:rsidR="00033D0F">
        <w:rPr>
          <w:spacing w:val="40"/>
          <w:position w:val="1"/>
        </w:rPr>
        <w:t xml:space="preserve"> </w:t>
      </w:r>
      <w:r w:rsidR="00033D0F">
        <w:rPr>
          <w:position w:val="1"/>
        </w:rPr>
        <w:t>reiterates</w:t>
      </w:r>
      <w:r w:rsidR="00033D0F">
        <w:rPr>
          <w:spacing w:val="40"/>
          <w:position w:val="1"/>
        </w:rPr>
        <w:t xml:space="preserve"> </w:t>
      </w:r>
      <w:r w:rsidR="00033D0F">
        <w:rPr>
          <w:position w:val="1"/>
        </w:rPr>
        <w:t>its</w:t>
      </w:r>
      <w:r w:rsidR="00033D0F">
        <w:rPr>
          <w:spacing w:val="40"/>
          <w:position w:val="1"/>
        </w:rPr>
        <w:t xml:space="preserve"> </w:t>
      </w:r>
      <w:r w:rsidR="00033D0F">
        <w:rPr>
          <w:position w:val="1"/>
        </w:rPr>
        <w:t>agreement</w:t>
      </w:r>
      <w:r w:rsidR="00033D0F">
        <w:rPr>
          <w:spacing w:val="40"/>
          <w:position w:val="1"/>
        </w:rPr>
        <w:t xml:space="preserve"> </w:t>
      </w:r>
      <w:r w:rsidR="00033D0F">
        <w:rPr>
          <w:position w:val="1"/>
        </w:rPr>
        <w:t>with</w:t>
      </w:r>
      <w:r w:rsidR="00033D0F">
        <w:rPr>
          <w:spacing w:val="40"/>
          <w:position w:val="1"/>
        </w:rPr>
        <w:t xml:space="preserve"> </w:t>
      </w:r>
      <w:r w:rsidR="00033D0F">
        <w:rPr>
          <w:position w:val="1"/>
        </w:rPr>
        <w:t>the</w:t>
      </w:r>
      <w:r w:rsidR="00033D0F">
        <w:rPr>
          <w:spacing w:val="40"/>
          <w:position w:val="1"/>
        </w:rPr>
        <w:t xml:space="preserve"> </w:t>
      </w:r>
      <w:r w:rsidR="00033D0F">
        <w:rPr>
          <w:position w:val="1"/>
        </w:rPr>
        <w:t>Appellate</w:t>
      </w:r>
      <w:r w:rsidR="00033D0F">
        <w:rPr>
          <w:spacing w:val="40"/>
          <w:position w:val="1"/>
        </w:rPr>
        <w:t xml:space="preserve"> </w:t>
      </w:r>
      <w:r w:rsidR="00033D0F">
        <w:rPr>
          <w:position w:val="1"/>
        </w:rPr>
        <w:t>Body</w:t>
      </w:r>
      <w:r w:rsidR="00033D0F">
        <w:rPr>
          <w:spacing w:val="40"/>
          <w:position w:val="1"/>
        </w:rPr>
        <w:t xml:space="preserve"> </w:t>
      </w:r>
      <w:r w:rsidR="00033D0F">
        <w:rPr>
          <w:position w:val="1"/>
        </w:rPr>
        <w:t>that</w:t>
      </w:r>
      <w:r w:rsidR="00033D0F">
        <w:rPr>
          <w:spacing w:val="40"/>
          <w:position w:val="1"/>
        </w:rPr>
        <w:t xml:space="preserve"> </w:t>
      </w:r>
      <w:r w:rsidR="00033D0F">
        <w:rPr>
          <w:position w:val="1"/>
        </w:rPr>
        <w:t>Article</w:t>
      </w:r>
      <w:r w:rsidR="00033D0F">
        <w:rPr>
          <w:spacing w:val="40"/>
          <w:position w:val="1"/>
        </w:rPr>
        <w:t xml:space="preserve"> </w:t>
      </w:r>
      <w:r w:rsidR="00033D0F">
        <w:rPr>
          <w:position w:val="1"/>
        </w:rPr>
        <w:t xml:space="preserve">6.5 </w:t>
      </w:r>
      <w:r w:rsidR="00033D0F">
        <w:t xml:space="preserve">"establishes a clear and well-delineated obligation, such that </w:t>
      </w:r>
      <w:r w:rsidR="00033D0F">
        <w:rPr>
          <w:i/>
        </w:rPr>
        <w:t>referencing this provision in a panel request, and connecting it to the specific portion of the measure at issue</w:t>
      </w:r>
      <w:r w:rsidR="00033D0F">
        <w:t>, suffices to comply with the requirements of Article 6.2 of the DSU".</w:t>
      </w:r>
      <w:hyperlink w:anchor="_bookmark1805" w:history="1">
        <w:r w:rsidR="00033D0F">
          <w:rPr>
            <w:vertAlign w:val="superscript"/>
          </w:rPr>
          <w:t>1575</w:t>
        </w:r>
      </w:hyperlink>
      <w:r w:rsidR="00033D0F">
        <w:t xml:space="preserve"> Australia has responded to this allegation in detail in its response to the PRR, and it stands on those submissions.</w:t>
      </w:r>
      <w:hyperlink w:anchor="_bookmark1806" w:history="1">
        <w:r w:rsidR="00033D0F">
          <w:rPr>
            <w:vertAlign w:val="superscript"/>
          </w:rPr>
          <w:t>1576</w:t>
        </w:r>
      </w:hyperlink>
      <w:r w:rsidR="00033D0F">
        <w:t xml:space="preserve"> At no point was China unaware of the legal basis of Australia's claim, and Australia's panel request provided</w:t>
      </w:r>
      <w:r w:rsidR="00033D0F">
        <w:rPr>
          <w:spacing w:val="-4"/>
        </w:rPr>
        <w:t xml:space="preserve"> </w:t>
      </w:r>
      <w:r w:rsidR="00033D0F">
        <w:t>a brief</w:t>
      </w:r>
      <w:r w:rsidR="00033D0F">
        <w:rPr>
          <w:spacing w:val="-4"/>
        </w:rPr>
        <w:t xml:space="preserve"> </w:t>
      </w:r>
      <w:r w:rsidR="00033D0F">
        <w:t>summary of the</w:t>
      </w:r>
      <w:r w:rsidR="00033D0F">
        <w:rPr>
          <w:spacing w:val="-3"/>
        </w:rPr>
        <w:t xml:space="preserve"> </w:t>
      </w:r>
      <w:r w:rsidR="00033D0F">
        <w:t>legal basis for</w:t>
      </w:r>
      <w:r w:rsidR="00033D0F">
        <w:rPr>
          <w:spacing w:val="-5"/>
        </w:rPr>
        <w:t xml:space="preserve"> </w:t>
      </w:r>
      <w:r w:rsidR="00033D0F">
        <w:t>its</w:t>
      </w:r>
      <w:r w:rsidR="00033D0F">
        <w:rPr>
          <w:spacing w:val="-1"/>
        </w:rPr>
        <w:t xml:space="preserve"> </w:t>
      </w:r>
      <w:r w:rsidR="00033D0F">
        <w:t>complaint</w:t>
      </w:r>
      <w:r w:rsidR="00033D0F">
        <w:rPr>
          <w:spacing w:val="-2"/>
        </w:rPr>
        <w:t xml:space="preserve"> </w:t>
      </w:r>
      <w:r w:rsidR="00033D0F">
        <w:t>pursuant</w:t>
      </w:r>
      <w:r w:rsidR="00033D0F">
        <w:rPr>
          <w:spacing w:val="-2"/>
        </w:rPr>
        <w:t xml:space="preserve"> </w:t>
      </w:r>
      <w:r w:rsidR="00033D0F">
        <w:t>Article</w:t>
      </w:r>
      <w:r w:rsidR="00033D0F">
        <w:rPr>
          <w:spacing w:val="-2"/>
        </w:rPr>
        <w:t xml:space="preserve"> </w:t>
      </w:r>
      <w:r w:rsidR="00033D0F">
        <w:t>6.5</w:t>
      </w:r>
      <w:r w:rsidR="00033D0F">
        <w:rPr>
          <w:spacing w:val="-5"/>
        </w:rPr>
        <w:t xml:space="preserve"> </w:t>
      </w:r>
      <w:r w:rsidR="00033D0F">
        <w:t>in</w:t>
      </w:r>
      <w:r w:rsidR="00033D0F">
        <w:rPr>
          <w:spacing w:val="-4"/>
        </w:rPr>
        <w:t xml:space="preserve"> </w:t>
      </w:r>
      <w:r w:rsidR="00033D0F">
        <w:t>a manner sufficient to present the problem clearly.</w:t>
      </w:r>
      <w:hyperlink w:anchor="_bookmark1807" w:history="1">
        <w:r w:rsidR="00033D0F">
          <w:rPr>
            <w:vertAlign w:val="superscript"/>
          </w:rPr>
          <w:t>1577</w:t>
        </w:r>
      </w:hyperlink>
    </w:p>
    <w:p w14:paraId="6B248CC5" w14:textId="77777777" w:rsidR="00BD462C" w:rsidRDefault="00BD462C">
      <w:pPr>
        <w:pStyle w:val="BodyText"/>
        <w:spacing w:before="7"/>
        <w:rPr>
          <w:sz w:val="8"/>
        </w:rPr>
      </w:pPr>
    </w:p>
    <w:p w14:paraId="74395ADF" w14:textId="7231F222" w:rsidR="00BD462C" w:rsidRDefault="005930FF">
      <w:pPr>
        <w:pStyle w:val="BodyText"/>
        <w:spacing w:before="56" w:line="360" w:lineRule="auto"/>
        <w:ind w:left="135" w:right="913" w:hanging="5"/>
        <w:jc w:val="both"/>
      </w:pPr>
      <w:r>
        <w:rPr>
          <w:noProof/>
        </w:rPr>
        <w:t>48.</w:t>
      </w:r>
      <w:r w:rsidR="00033D0F">
        <w:rPr>
          <w:rFonts w:ascii="Times New Roman"/>
          <w:spacing w:val="80"/>
          <w:w w:val="150"/>
          <w:position w:val="1"/>
          <w:sz w:val="20"/>
        </w:rPr>
        <w:t xml:space="preserve">  </w:t>
      </w:r>
      <w:r w:rsidR="00033D0F">
        <w:rPr>
          <w:position w:val="1"/>
        </w:rPr>
        <w:t>Australia's</w:t>
      </w:r>
      <w:r w:rsidR="00033D0F">
        <w:rPr>
          <w:spacing w:val="-6"/>
          <w:position w:val="1"/>
        </w:rPr>
        <w:t xml:space="preserve"> </w:t>
      </w:r>
      <w:r w:rsidR="00033D0F">
        <w:rPr>
          <w:position w:val="1"/>
        </w:rPr>
        <w:t>claim</w:t>
      </w:r>
      <w:r w:rsidR="00033D0F">
        <w:rPr>
          <w:spacing w:val="-7"/>
          <w:position w:val="1"/>
        </w:rPr>
        <w:t xml:space="preserve"> </w:t>
      </w:r>
      <w:r w:rsidR="00033D0F">
        <w:rPr>
          <w:position w:val="1"/>
        </w:rPr>
        <w:t>under</w:t>
      </w:r>
      <w:r w:rsidR="00033D0F">
        <w:rPr>
          <w:spacing w:val="-10"/>
          <w:position w:val="1"/>
        </w:rPr>
        <w:t xml:space="preserve"> </w:t>
      </w:r>
      <w:r w:rsidR="00033D0F">
        <w:rPr>
          <w:position w:val="1"/>
        </w:rPr>
        <w:t>Article</w:t>
      </w:r>
      <w:r w:rsidR="00033D0F">
        <w:rPr>
          <w:spacing w:val="-7"/>
          <w:position w:val="1"/>
        </w:rPr>
        <w:t xml:space="preserve"> </w:t>
      </w:r>
      <w:r w:rsidR="00033D0F">
        <w:rPr>
          <w:position w:val="1"/>
        </w:rPr>
        <w:t>6.5</w:t>
      </w:r>
      <w:r w:rsidR="00033D0F">
        <w:rPr>
          <w:spacing w:val="-9"/>
          <w:position w:val="1"/>
        </w:rPr>
        <w:t xml:space="preserve"> </w:t>
      </w:r>
      <w:r w:rsidR="00033D0F">
        <w:rPr>
          <w:position w:val="1"/>
        </w:rPr>
        <w:t>was</w:t>
      </w:r>
      <w:r w:rsidR="00033D0F">
        <w:rPr>
          <w:spacing w:val="-6"/>
          <w:position w:val="1"/>
        </w:rPr>
        <w:t xml:space="preserve"> </w:t>
      </w:r>
      <w:r w:rsidR="00033D0F">
        <w:rPr>
          <w:position w:val="1"/>
        </w:rPr>
        <w:t>clear</w:t>
      </w:r>
      <w:r w:rsidR="00033D0F">
        <w:rPr>
          <w:spacing w:val="-10"/>
          <w:position w:val="1"/>
        </w:rPr>
        <w:t xml:space="preserve"> </w:t>
      </w:r>
      <w:r w:rsidR="00033D0F">
        <w:rPr>
          <w:position w:val="1"/>
        </w:rPr>
        <w:t>from</w:t>
      </w:r>
      <w:r w:rsidR="00033D0F">
        <w:rPr>
          <w:spacing w:val="-7"/>
          <w:position w:val="1"/>
        </w:rPr>
        <w:t xml:space="preserve"> </w:t>
      </w:r>
      <w:r w:rsidR="00033D0F">
        <w:rPr>
          <w:position w:val="1"/>
        </w:rPr>
        <w:t>the</w:t>
      </w:r>
      <w:r w:rsidR="00033D0F">
        <w:rPr>
          <w:spacing w:val="-7"/>
          <w:position w:val="1"/>
        </w:rPr>
        <w:t xml:space="preserve"> </w:t>
      </w:r>
      <w:r w:rsidR="00033D0F">
        <w:rPr>
          <w:position w:val="1"/>
        </w:rPr>
        <w:t>text</w:t>
      </w:r>
      <w:r w:rsidR="00033D0F">
        <w:rPr>
          <w:spacing w:val="-7"/>
          <w:position w:val="1"/>
        </w:rPr>
        <w:t xml:space="preserve"> </w:t>
      </w:r>
      <w:r w:rsidR="00033D0F">
        <w:rPr>
          <w:position w:val="1"/>
        </w:rPr>
        <w:t>of</w:t>
      </w:r>
      <w:r w:rsidR="00033D0F">
        <w:rPr>
          <w:spacing w:val="-9"/>
          <w:position w:val="1"/>
        </w:rPr>
        <w:t xml:space="preserve"> </w:t>
      </w:r>
      <w:r w:rsidR="00033D0F">
        <w:rPr>
          <w:position w:val="1"/>
        </w:rPr>
        <w:t>the</w:t>
      </w:r>
      <w:r w:rsidR="00033D0F">
        <w:rPr>
          <w:spacing w:val="-7"/>
          <w:position w:val="1"/>
        </w:rPr>
        <w:t xml:space="preserve"> </w:t>
      </w:r>
      <w:r w:rsidR="00033D0F">
        <w:rPr>
          <w:position w:val="1"/>
        </w:rPr>
        <w:t>panel</w:t>
      </w:r>
      <w:r w:rsidR="00033D0F">
        <w:rPr>
          <w:spacing w:val="-5"/>
          <w:position w:val="1"/>
        </w:rPr>
        <w:t xml:space="preserve"> </w:t>
      </w:r>
      <w:r w:rsidR="00033D0F">
        <w:rPr>
          <w:position w:val="1"/>
        </w:rPr>
        <w:t>request,</w:t>
      </w:r>
      <w:r w:rsidR="00033D0F">
        <w:rPr>
          <w:spacing w:val="-5"/>
          <w:position w:val="1"/>
        </w:rPr>
        <w:t xml:space="preserve"> </w:t>
      </w:r>
      <w:r w:rsidR="00033D0F">
        <w:rPr>
          <w:position w:val="1"/>
        </w:rPr>
        <w:t xml:space="preserve">which </w:t>
      </w:r>
      <w:r w:rsidR="00033D0F">
        <w:t>expressly alleged that the anti-dumping measure at issue was inconsistent with Article 6.5. Australia also articulated allegations regarding MOFCOM's failure to furnish adequate non- confidential</w:t>
      </w:r>
      <w:r w:rsidR="00033D0F">
        <w:rPr>
          <w:spacing w:val="-10"/>
        </w:rPr>
        <w:t xml:space="preserve"> </w:t>
      </w:r>
      <w:r w:rsidR="00033D0F">
        <w:t>summaries,</w:t>
      </w:r>
      <w:r w:rsidR="00033D0F">
        <w:rPr>
          <w:spacing w:val="-9"/>
        </w:rPr>
        <w:t xml:space="preserve"> </w:t>
      </w:r>
      <w:r w:rsidR="00033D0F">
        <w:t>as</w:t>
      </w:r>
      <w:r w:rsidR="00033D0F">
        <w:rPr>
          <w:spacing w:val="-9"/>
        </w:rPr>
        <w:t xml:space="preserve"> </w:t>
      </w:r>
      <w:r w:rsidR="00033D0F">
        <w:t>required</w:t>
      </w:r>
      <w:r w:rsidR="00033D0F">
        <w:rPr>
          <w:spacing w:val="-13"/>
        </w:rPr>
        <w:t xml:space="preserve"> </w:t>
      </w:r>
      <w:r w:rsidR="00033D0F">
        <w:t>under</w:t>
      </w:r>
      <w:r w:rsidR="00033D0F">
        <w:rPr>
          <w:spacing w:val="-14"/>
        </w:rPr>
        <w:t xml:space="preserve"> </w:t>
      </w:r>
      <w:r w:rsidR="00033D0F">
        <w:t>Article</w:t>
      </w:r>
      <w:r w:rsidR="00033D0F">
        <w:rPr>
          <w:spacing w:val="-11"/>
        </w:rPr>
        <w:t xml:space="preserve"> </w:t>
      </w:r>
      <w:r w:rsidR="00033D0F">
        <w:t>6.5.1.</w:t>
      </w:r>
      <w:hyperlink w:anchor="_bookmark1808" w:history="1">
        <w:r w:rsidR="00033D0F">
          <w:rPr>
            <w:vertAlign w:val="superscript"/>
          </w:rPr>
          <w:t>1578</w:t>
        </w:r>
      </w:hyperlink>
      <w:r w:rsidR="00033D0F">
        <w:rPr>
          <w:spacing w:val="-10"/>
        </w:rPr>
        <w:t xml:space="preserve"> </w:t>
      </w:r>
      <w:r w:rsidR="00033D0F">
        <w:t>Article</w:t>
      </w:r>
      <w:r w:rsidR="00033D0F">
        <w:rPr>
          <w:spacing w:val="-11"/>
        </w:rPr>
        <w:t xml:space="preserve"> </w:t>
      </w:r>
      <w:r w:rsidR="00033D0F">
        <w:t>6.5</w:t>
      </w:r>
      <w:r w:rsidR="00033D0F">
        <w:rPr>
          <w:spacing w:val="-13"/>
        </w:rPr>
        <w:t xml:space="preserve"> </w:t>
      </w:r>
      <w:r w:rsidR="00033D0F">
        <w:t>concerns</w:t>
      </w:r>
      <w:r w:rsidR="00033D0F">
        <w:rPr>
          <w:spacing w:val="-9"/>
        </w:rPr>
        <w:t xml:space="preserve"> </w:t>
      </w:r>
      <w:r w:rsidR="00033D0F">
        <w:t>the</w:t>
      </w:r>
      <w:r w:rsidR="00033D0F">
        <w:rPr>
          <w:spacing w:val="-11"/>
        </w:rPr>
        <w:t xml:space="preserve"> </w:t>
      </w:r>
      <w:r w:rsidR="00033D0F">
        <w:t>treatment of information as confidential. Article 6.5.1 ensures that a non-confidential summary is supplied "in sufficient detail to permit a reasonable understanding of the substance of the information" that is treated as confidential. Where an investigating authority improperly grants</w:t>
      </w:r>
      <w:r w:rsidR="00033D0F">
        <w:rPr>
          <w:spacing w:val="-5"/>
        </w:rPr>
        <w:t xml:space="preserve"> </w:t>
      </w:r>
      <w:r w:rsidR="00033D0F">
        <w:t>confidential</w:t>
      </w:r>
      <w:r w:rsidR="00033D0F">
        <w:rPr>
          <w:spacing w:val="-4"/>
        </w:rPr>
        <w:t xml:space="preserve"> </w:t>
      </w:r>
      <w:r w:rsidR="00033D0F">
        <w:t>treatment</w:t>
      </w:r>
      <w:r w:rsidR="00033D0F">
        <w:rPr>
          <w:spacing w:val="-6"/>
        </w:rPr>
        <w:t xml:space="preserve"> </w:t>
      </w:r>
      <w:r w:rsidR="00033D0F">
        <w:t>to</w:t>
      </w:r>
      <w:r w:rsidR="00033D0F">
        <w:rPr>
          <w:spacing w:val="-9"/>
        </w:rPr>
        <w:t xml:space="preserve"> </w:t>
      </w:r>
      <w:r w:rsidR="00033D0F">
        <w:t>information</w:t>
      </w:r>
      <w:r w:rsidR="00033D0F">
        <w:rPr>
          <w:spacing w:val="-8"/>
        </w:rPr>
        <w:t xml:space="preserve"> </w:t>
      </w:r>
      <w:r w:rsidR="00033D0F">
        <w:t>in</w:t>
      </w:r>
      <w:r w:rsidR="00033D0F">
        <w:rPr>
          <w:spacing w:val="-3"/>
        </w:rPr>
        <w:t xml:space="preserve"> </w:t>
      </w:r>
      <w:r w:rsidR="00033D0F">
        <w:t>breach</w:t>
      </w:r>
      <w:r w:rsidR="00033D0F">
        <w:rPr>
          <w:spacing w:val="-8"/>
        </w:rPr>
        <w:t xml:space="preserve"> </w:t>
      </w:r>
      <w:r w:rsidR="00033D0F">
        <w:t>of</w:t>
      </w:r>
      <w:r w:rsidR="00033D0F">
        <w:rPr>
          <w:spacing w:val="-3"/>
        </w:rPr>
        <w:t xml:space="preserve"> </w:t>
      </w:r>
      <w:r w:rsidR="00033D0F">
        <w:t>Article</w:t>
      </w:r>
      <w:r w:rsidR="00033D0F">
        <w:rPr>
          <w:spacing w:val="-6"/>
        </w:rPr>
        <w:t xml:space="preserve"> </w:t>
      </w:r>
      <w:r w:rsidR="00033D0F">
        <w:t>6.5</w:t>
      </w:r>
      <w:r w:rsidR="00033D0F">
        <w:rPr>
          <w:spacing w:val="-4"/>
        </w:rPr>
        <w:t xml:space="preserve"> </w:t>
      </w:r>
      <w:r w:rsidR="00033D0F">
        <w:t>(e.g.,</w:t>
      </w:r>
      <w:r w:rsidR="00033D0F">
        <w:rPr>
          <w:spacing w:val="-4"/>
        </w:rPr>
        <w:t xml:space="preserve"> </w:t>
      </w:r>
      <w:r w:rsidR="00033D0F">
        <w:t>by</w:t>
      </w:r>
      <w:r w:rsidR="00033D0F">
        <w:rPr>
          <w:spacing w:val="-5"/>
        </w:rPr>
        <w:t xml:space="preserve"> </w:t>
      </w:r>
      <w:r w:rsidR="00033D0F">
        <w:t>failing</w:t>
      </w:r>
      <w:r w:rsidR="00033D0F">
        <w:rPr>
          <w:spacing w:val="-5"/>
        </w:rPr>
        <w:t xml:space="preserve"> </w:t>
      </w:r>
      <w:r w:rsidR="00033D0F">
        <w:t>to</w:t>
      </w:r>
      <w:r w:rsidR="00033D0F">
        <w:rPr>
          <w:spacing w:val="-9"/>
        </w:rPr>
        <w:t xml:space="preserve"> </w:t>
      </w:r>
      <w:r w:rsidR="00033D0F">
        <w:t>require or to objectively assess a showing of good cause) and/or fails to require an adequate non- confidential summary in breach of Article 6.5.1, there may follow a breach of Article 6.4.</w:t>
      </w:r>
      <w:hyperlink w:anchor="_bookmark1809" w:history="1">
        <w:r w:rsidR="00033D0F">
          <w:rPr>
            <w:vertAlign w:val="superscript"/>
          </w:rPr>
          <w:t>1579</w:t>
        </w:r>
      </w:hyperlink>
      <w:r w:rsidR="00033D0F">
        <w:t xml:space="preserve"> In</w:t>
      </w:r>
      <w:r w:rsidR="00033D0F">
        <w:rPr>
          <w:spacing w:val="-5"/>
        </w:rPr>
        <w:t xml:space="preserve"> </w:t>
      </w:r>
      <w:r w:rsidR="00033D0F">
        <w:t>this</w:t>
      </w:r>
      <w:r w:rsidR="00033D0F">
        <w:rPr>
          <w:spacing w:val="-2"/>
        </w:rPr>
        <w:t xml:space="preserve"> </w:t>
      </w:r>
      <w:r w:rsidR="00033D0F">
        <w:t>context,</w:t>
      </w:r>
      <w:r w:rsidR="00033D0F">
        <w:rPr>
          <w:spacing w:val="-1"/>
        </w:rPr>
        <w:t xml:space="preserve"> </w:t>
      </w:r>
      <w:r w:rsidR="00033D0F">
        <w:t>the</w:t>
      </w:r>
      <w:r w:rsidR="00033D0F">
        <w:rPr>
          <w:spacing w:val="-4"/>
        </w:rPr>
        <w:t xml:space="preserve"> </w:t>
      </w:r>
      <w:r w:rsidR="00033D0F">
        <w:t>text</w:t>
      </w:r>
      <w:r w:rsidR="00033D0F">
        <w:rPr>
          <w:spacing w:val="-3"/>
        </w:rPr>
        <w:t xml:space="preserve"> </w:t>
      </w:r>
      <w:r w:rsidR="00033D0F">
        <w:t>of</w:t>
      </w:r>
      <w:r w:rsidR="00033D0F">
        <w:rPr>
          <w:spacing w:val="-5"/>
        </w:rPr>
        <w:t xml:space="preserve"> </w:t>
      </w:r>
      <w:r w:rsidR="00033D0F">
        <w:t>the</w:t>
      </w:r>
      <w:r w:rsidR="00033D0F">
        <w:rPr>
          <w:spacing w:val="-4"/>
        </w:rPr>
        <w:t xml:space="preserve"> </w:t>
      </w:r>
      <w:r w:rsidR="00033D0F">
        <w:t>claims</w:t>
      </w:r>
      <w:r w:rsidR="00033D0F">
        <w:rPr>
          <w:spacing w:val="-2"/>
        </w:rPr>
        <w:t xml:space="preserve"> </w:t>
      </w:r>
      <w:r w:rsidR="00033D0F">
        <w:t>in</w:t>
      </w:r>
      <w:r w:rsidR="00033D0F">
        <w:rPr>
          <w:spacing w:val="-5"/>
        </w:rPr>
        <w:t xml:space="preserve"> </w:t>
      </w:r>
      <w:r w:rsidR="00033D0F">
        <w:t>Australia's</w:t>
      </w:r>
      <w:r w:rsidR="00033D0F">
        <w:rPr>
          <w:spacing w:val="-7"/>
        </w:rPr>
        <w:t xml:space="preserve"> </w:t>
      </w:r>
      <w:r w:rsidR="00033D0F">
        <w:t>panel</w:t>
      </w:r>
      <w:r w:rsidR="00033D0F">
        <w:rPr>
          <w:spacing w:val="-1"/>
        </w:rPr>
        <w:t xml:space="preserve"> </w:t>
      </w:r>
      <w:r w:rsidR="00033D0F">
        <w:t>request</w:t>
      </w:r>
      <w:r w:rsidR="00033D0F">
        <w:rPr>
          <w:spacing w:val="-3"/>
        </w:rPr>
        <w:t xml:space="preserve"> </w:t>
      </w:r>
      <w:r w:rsidR="00033D0F">
        <w:t>provided</w:t>
      </w:r>
      <w:r w:rsidR="00033D0F">
        <w:rPr>
          <w:spacing w:val="-5"/>
        </w:rPr>
        <w:t xml:space="preserve"> </w:t>
      </w:r>
      <w:r w:rsidR="00033D0F">
        <w:t>brief</w:t>
      </w:r>
      <w:r w:rsidR="00033D0F">
        <w:rPr>
          <w:spacing w:val="-5"/>
        </w:rPr>
        <w:t xml:space="preserve"> </w:t>
      </w:r>
      <w:r w:rsidR="00033D0F">
        <w:t>summaries</w:t>
      </w:r>
      <w:r w:rsidR="00033D0F">
        <w:rPr>
          <w:spacing w:val="-2"/>
        </w:rPr>
        <w:t xml:space="preserve"> </w:t>
      </w:r>
      <w:r w:rsidR="00033D0F">
        <w:t>of the legal bases for the complaints that were sufficient to present the problem clearly, taking</w:t>
      </w:r>
    </w:p>
    <w:p w14:paraId="57602036" w14:textId="77777777" w:rsidR="00BD462C" w:rsidRDefault="00BD462C">
      <w:pPr>
        <w:pStyle w:val="BodyText"/>
        <w:rPr>
          <w:sz w:val="20"/>
        </w:rPr>
      </w:pPr>
    </w:p>
    <w:p w14:paraId="1DC0938E" w14:textId="77777777" w:rsidR="00BD462C" w:rsidRDefault="00BD462C">
      <w:pPr>
        <w:pStyle w:val="BodyText"/>
        <w:rPr>
          <w:sz w:val="20"/>
        </w:rPr>
      </w:pPr>
    </w:p>
    <w:p w14:paraId="7FE9838D" w14:textId="77777777" w:rsidR="00BD462C" w:rsidRDefault="00BD462C">
      <w:pPr>
        <w:pStyle w:val="BodyText"/>
        <w:rPr>
          <w:sz w:val="20"/>
        </w:rPr>
      </w:pPr>
    </w:p>
    <w:p w14:paraId="3C68B7AD" w14:textId="0D15364B" w:rsidR="00BD462C" w:rsidRDefault="00E14314">
      <w:pPr>
        <w:pStyle w:val="BodyText"/>
        <w:rPr>
          <w:sz w:val="25"/>
        </w:rPr>
      </w:pPr>
      <w:r>
        <w:rPr>
          <w:noProof/>
        </w:rPr>
        <mc:AlternateContent>
          <mc:Choice Requires="wps">
            <w:drawing>
              <wp:anchor distT="0" distB="0" distL="0" distR="0" simplePos="0" relativeHeight="488088064" behindDoc="1" locked="0" layoutInCell="1" allowOverlap="1" wp14:anchorId="01D0A282" wp14:editId="3BF6FEBD">
                <wp:simplePos x="0" y="0"/>
                <wp:positionH relativeFrom="page">
                  <wp:posOffset>812800</wp:posOffset>
                </wp:positionH>
                <wp:positionV relativeFrom="paragraph">
                  <wp:posOffset>194310</wp:posOffset>
                </wp:positionV>
                <wp:extent cx="1828800" cy="8890"/>
                <wp:effectExtent l="0" t="0" r="0" b="0"/>
                <wp:wrapTopAndBottom/>
                <wp:docPr id="66" name="docshape7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809E48" id="docshape705" o:spid="_x0000_s1026" alt="&quot;&quot;" style="position:absolute;margin-left:64pt;margin-top:15.3pt;width:2in;height:.7pt;z-index:-15228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" fillcolor="black" stroked="f">
                <w10:wrap type="topAndBottom" anchorx="page"/>
              </v:rect>
            </w:pict>
          </mc:Fallback>
        </mc:AlternateContent>
      </w:r>
    </w:p>
    <w:p w14:paraId="185B40A4" w14:textId="77777777" w:rsidR="00BD462C" w:rsidRDefault="00033D0F">
      <w:pPr>
        <w:spacing w:before="112" w:line="218" w:lineRule="exact"/>
        <w:ind w:left="135"/>
        <w:rPr>
          <w:sz w:val="18"/>
        </w:rPr>
      </w:pPr>
      <w:bookmarkStart w:id="2096" w:name="_bookmark1804"/>
      <w:bookmarkEnd w:id="2096"/>
      <w:r>
        <w:rPr>
          <w:position w:val="5"/>
          <w:sz w:val="12"/>
        </w:rPr>
        <w:t>1574</w:t>
      </w:r>
      <w:r>
        <w:rPr>
          <w:spacing w:val="13"/>
          <w:position w:val="5"/>
          <w:sz w:val="12"/>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6"/>
          <w:sz w:val="18"/>
        </w:rPr>
        <w:t xml:space="preserve"> </w:t>
      </w:r>
      <w:r>
        <w:rPr>
          <w:sz w:val="18"/>
        </w:rPr>
        <w:t>submission,</w:t>
      </w:r>
      <w:r>
        <w:rPr>
          <w:spacing w:val="1"/>
          <w:sz w:val="18"/>
        </w:rPr>
        <w:t xml:space="preserve"> </w:t>
      </w:r>
      <w:r>
        <w:rPr>
          <w:sz w:val="18"/>
        </w:rPr>
        <w:t>paras.</w:t>
      </w:r>
      <w:r>
        <w:rPr>
          <w:spacing w:val="-5"/>
          <w:sz w:val="18"/>
        </w:rPr>
        <w:t xml:space="preserve"> </w:t>
      </w:r>
      <w:r>
        <w:rPr>
          <w:sz w:val="18"/>
        </w:rPr>
        <w:t>127-</w:t>
      </w:r>
      <w:r>
        <w:rPr>
          <w:spacing w:val="-4"/>
          <w:sz w:val="18"/>
        </w:rPr>
        <w:t>130.</w:t>
      </w:r>
    </w:p>
    <w:p w14:paraId="7FCB906B" w14:textId="77777777" w:rsidR="00BD462C" w:rsidRDefault="00033D0F">
      <w:pPr>
        <w:spacing w:line="218" w:lineRule="exact"/>
        <w:ind w:left="135"/>
        <w:rPr>
          <w:sz w:val="18"/>
        </w:rPr>
      </w:pPr>
      <w:bookmarkStart w:id="2097" w:name="_bookmark1805"/>
      <w:bookmarkEnd w:id="2097"/>
      <w:r>
        <w:rPr>
          <w:position w:val="5"/>
          <w:sz w:val="12"/>
        </w:rPr>
        <w:t>1575</w:t>
      </w:r>
      <w:r>
        <w:rPr>
          <w:spacing w:val="13"/>
          <w:position w:val="5"/>
          <w:sz w:val="12"/>
        </w:rPr>
        <w:t xml:space="preserve"> </w:t>
      </w:r>
      <w:r>
        <w:rPr>
          <w:sz w:val="18"/>
        </w:rPr>
        <w:t>Appellate</w:t>
      </w:r>
      <w:r>
        <w:rPr>
          <w:spacing w:val="-9"/>
          <w:sz w:val="18"/>
        </w:rPr>
        <w:t xml:space="preserve"> </w:t>
      </w:r>
      <w:r>
        <w:rPr>
          <w:sz w:val="18"/>
        </w:rPr>
        <w:t>Body</w:t>
      </w:r>
      <w:r>
        <w:rPr>
          <w:spacing w:val="-7"/>
          <w:sz w:val="18"/>
        </w:rPr>
        <w:t xml:space="preserve"> </w:t>
      </w:r>
      <w:r>
        <w:rPr>
          <w:sz w:val="18"/>
        </w:rPr>
        <w:t>Report,</w:t>
      </w:r>
      <w:r>
        <w:rPr>
          <w:spacing w:val="-3"/>
          <w:sz w:val="18"/>
        </w:rPr>
        <w:t xml:space="preserve"> </w:t>
      </w:r>
      <w:r>
        <w:rPr>
          <w:i/>
          <w:sz w:val="18"/>
        </w:rPr>
        <w:t>Korea</w:t>
      </w:r>
      <w:r>
        <w:rPr>
          <w:i/>
          <w:spacing w:val="-4"/>
          <w:sz w:val="18"/>
        </w:rPr>
        <w:t xml:space="preserve"> </w:t>
      </w:r>
      <w:r>
        <w:rPr>
          <w:i/>
          <w:sz w:val="18"/>
        </w:rPr>
        <w:t>–</w:t>
      </w:r>
      <w:r>
        <w:rPr>
          <w:i/>
          <w:spacing w:val="-4"/>
          <w:sz w:val="18"/>
        </w:rPr>
        <w:t xml:space="preserve"> </w:t>
      </w:r>
      <w:r>
        <w:rPr>
          <w:i/>
          <w:sz w:val="18"/>
        </w:rPr>
        <w:t>Pneumatic</w:t>
      </w:r>
      <w:r>
        <w:rPr>
          <w:i/>
          <w:spacing w:val="-5"/>
          <w:sz w:val="18"/>
        </w:rPr>
        <w:t xml:space="preserve"> </w:t>
      </w:r>
      <w:r>
        <w:rPr>
          <w:i/>
          <w:sz w:val="18"/>
        </w:rPr>
        <w:t>Valves</w:t>
      </w:r>
      <w:r>
        <w:rPr>
          <w:i/>
          <w:spacing w:val="-5"/>
          <w:sz w:val="18"/>
        </w:rPr>
        <w:t xml:space="preserve"> </w:t>
      </w:r>
      <w:r>
        <w:rPr>
          <w:i/>
          <w:sz w:val="18"/>
        </w:rPr>
        <w:t>(Japan)</w:t>
      </w:r>
      <w:r>
        <w:rPr>
          <w:sz w:val="18"/>
        </w:rPr>
        <w:t>,</w:t>
      </w:r>
      <w:r>
        <w:rPr>
          <w:spacing w:val="-3"/>
          <w:sz w:val="18"/>
        </w:rPr>
        <w:t xml:space="preserve"> </w:t>
      </w:r>
      <w:r>
        <w:rPr>
          <w:sz w:val="18"/>
        </w:rPr>
        <w:t>para.</w:t>
      </w:r>
      <w:r>
        <w:rPr>
          <w:spacing w:val="1"/>
          <w:sz w:val="18"/>
        </w:rPr>
        <w:t xml:space="preserve"> </w:t>
      </w:r>
      <w:r>
        <w:rPr>
          <w:sz w:val="18"/>
        </w:rPr>
        <w:t>5.380.</w:t>
      </w:r>
      <w:r>
        <w:rPr>
          <w:spacing w:val="-4"/>
          <w:sz w:val="18"/>
        </w:rPr>
        <w:t xml:space="preserve"> </w:t>
      </w:r>
      <w:r>
        <w:rPr>
          <w:sz w:val="18"/>
        </w:rPr>
        <w:t>(</w:t>
      </w:r>
      <w:proofErr w:type="gramStart"/>
      <w:r>
        <w:rPr>
          <w:sz w:val="18"/>
        </w:rPr>
        <w:t>emphasis</w:t>
      </w:r>
      <w:proofErr w:type="gramEnd"/>
      <w:r>
        <w:rPr>
          <w:sz w:val="18"/>
        </w:rPr>
        <w:t xml:space="preserve"> </w:t>
      </w:r>
      <w:r>
        <w:rPr>
          <w:spacing w:val="-2"/>
          <w:sz w:val="18"/>
        </w:rPr>
        <w:t>added)</w:t>
      </w:r>
    </w:p>
    <w:p w14:paraId="3F704598" w14:textId="77777777" w:rsidR="00BD462C" w:rsidRDefault="00033D0F">
      <w:pPr>
        <w:spacing w:before="1"/>
        <w:ind w:left="135"/>
        <w:rPr>
          <w:sz w:val="18"/>
        </w:rPr>
      </w:pPr>
      <w:bookmarkStart w:id="2098" w:name="_bookmark1806"/>
      <w:bookmarkEnd w:id="2098"/>
      <w:r>
        <w:rPr>
          <w:position w:val="5"/>
          <w:sz w:val="12"/>
        </w:rPr>
        <w:t>1576</w:t>
      </w:r>
      <w:r>
        <w:rPr>
          <w:spacing w:val="13"/>
          <w:position w:val="5"/>
          <w:sz w:val="12"/>
        </w:rPr>
        <w:t xml:space="preserve"> </w:t>
      </w:r>
      <w:r>
        <w:rPr>
          <w:sz w:val="18"/>
        </w:rPr>
        <w:t>Australia's</w:t>
      </w:r>
      <w:r>
        <w:rPr>
          <w:spacing w:val="-1"/>
          <w:sz w:val="18"/>
        </w:rPr>
        <w:t xml:space="preserve"> </w:t>
      </w:r>
      <w:r>
        <w:rPr>
          <w:sz w:val="18"/>
        </w:rPr>
        <w:t>response</w:t>
      </w:r>
      <w:r>
        <w:rPr>
          <w:spacing w:val="-5"/>
          <w:sz w:val="18"/>
        </w:rPr>
        <w:t xml:space="preserve"> </w:t>
      </w:r>
      <w:r>
        <w:rPr>
          <w:sz w:val="18"/>
        </w:rPr>
        <w:t>to</w:t>
      </w:r>
      <w:r>
        <w:rPr>
          <w:spacing w:val="-2"/>
          <w:sz w:val="18"/>
        </w:rPr>
        <w:t xml:space="preserve"> </w:t>
      </w:r>
      <w:r>
        <w:rPr>
          <w:sz w:val="18"/>
        </w:rPr>
        <w:t>China's</w:t>
      </w:r>
      <w:r>
        <w:rPr>
          <w:spacing w:val="-5"/>
          <w:sz w:val="18"/>
        </w:rPr>
        <w:t xml:space="preserve"> </w:t>
      </w:r>
      <w:r>
        <w:rPr>
          <w:sz w:val="18"/>
        </w:rPr>
        <w:t>PRR,</w:t>
      </w:r>
      <w:r>
        <w:rPr>
          <w:spacing w:val="-3"/>
          <w:sz w:val="18"/>
        </w:rPr>
        <w:t xml:space="preserve"> </w:t>
      </w:r>
      <w:r>
        <w:rPr>
          <w:sz w:val="18"/>
        </w:rPr>
        <w:t>paras.</w:t>
      </w:r>
      <w:r>
        <w:rPr>
          <w:spacing w:val="-5"/>
          <w:sz w:val="18"/>
        </w:rPr>
        <w:t xml:space="preserve"> </w:t>
      </w:r>
      <w:r>
        <w:rPr>
          <w:sz w:val="18"/>
        </w:rPr>
        <w:t>102-107;</w:t>
      </w:r>
      <w:r>
        <w:rPr>
          <w:spacing w:val="-7"/>
          <w:sz w:val="18"/>
        </w:rPr>
        <w:t xml:space="preserve"> </w:t>
      </w:r>
      <w:r>
        <w:rPr>
          <w:sz w:val="18"/>
        </w:rPr>
        <w:t>111-</w:t>
      </w:r>
      <w:r>
        <w:rPr>
          <w:spacing w:val="-4"/>
          <w:sz w:val="18"/>
        </w:rPr>
        <w:t>124.</w:t>
      </w:r>
    </w:p>
    <w:p w14:paraId="512AA146" w14:textId="77777777" w:rsidR="00BD462C" w:rsidRDefault="00033D0F">
      <w:pPr>
        <w:spacing w:before="2" w:line="237" w:lineRule="auto"/>
        <w:ind w:left="135" w:right="903"/>
        <w:jc w:val="both"/>
        <w:rPr>
          <w:sz w:val="18"/>
        </w:rPr>
      </w:pPr>
      <w:bookmarkStart w:id="2099" w:name="_bookmark1807"/>
      <w:bookmarkEnd w:id="2099"/>
      <w:r>
        <w:rPr>
          <w:position w:val="5"/>
          <w:sz w:val="12"/>
        </w:rPr>
        <w:t>1577</w:t>
      </w:r>
      <w:r>
        <w:rPr>
          <w:spacing w:val="40"/>
          <w:position w:val="5"/>
          <w:sz w:val="12"/>
        </w:rPr>
        <w:t xml:space="preserve"> </w:t>
      </w:r>
      <w:r>
        <w:rPr>
          <w:sz w:val="18"/>
        </w:rPr>
        <w:t xml:space="preserve">Appellate Body Report, </w:t>
      </w:r>
      <w:r>
        <w:rPr>
          <w:i/>
          <w:sz w:val="18"/>
        </w:rPr>
        <w:t>Korean – Pneumatic Valves</w:t>
      </w:r>
      <w:r>
        <w:rPr>
          <w:sz w:val="18"/>
        </w:rPr>
        <w:t>, para. 5.384 ("Article 6.5 establishes a clear and well-delineated obligation</w:t>
      </w:r>
      <w:r>
        <w:rPr>
          <w:spacing w:val="-3"/>
          <w:sz w:val="18"/>
        </w:rPr>
        <w:t xml:space="preserve"> </w:t>
      </w:r>
      <w:r>
        <w:rPr>
          <w:sz w:val="18"/>
        </w:rPr>
        <w:t>for investigating</w:t>
      </w:r>
      <w:r>
        <w:rPr>
          <w:spacing w:val="-2"/>
          <w:sz w:val="18"/>
        </w:rPr>
        <w:t xml:space="preserve"> </w:t>
      </w:r>
      <w:r>
        <w:rPr>
          <w:sz w:val="18"/>
        </w:rPr>
        <w:t>authorities</w:t>
      </w:r>
      <w:r>
        <w:rPr>
          <w:spacing w:val="-2"/>
          <w:sz w:val="18"/>
        </w:rPr>
        <w:t xml:space="preserve"> </w:t>
      </w:r>
      <w:r>
        <w:rPr>
          <w:sz w:val="18"/>
        </w:rPr>
        <w:t>to</w:t>
      </w:r>
      <w:r>
        <w:rPr>
          <w:spacing w:val="-3"/>
          <w:sz w:val="18"/>
        </w:rPr>
        <w:t xml:space="preserve"> </w:t>
      </w:r>
      <w:r>
        <w:rPr>
          <w:sz w:val="18"/>
        </w:rPr>
        <w:t>treat</w:t>
      </w:r>
      <w:r>
        <w:rPr>
          <w:spacing w:val="-1"/>
          <w:sz w:val="18"/>
        </w:rPr>
        <w:t xml:space="preserve"> </w:t>
      </w:r>
      <w:r>
        <w:rPr>
          <w:sz w:val="18"/>
        </w:rPr>
        <w:t>information</w:t>
      </w:r>
      <w:r>
        <w:rPr>
          <w:spacing w:val="-3"/>
          <w:sz w:val="18"/>
        </w:rPr>
        <w:t xml:space="preserve"> </w:t>
      </w:r>
      <w:r>
        <w:rPr>
          <w:sz w:val="18"/>
        </w:rPr>
        <w:t>submitted</w:t>
      </w:r>
      <w:r>
        <w:rPr>
          <w:spacing w:val="-3"/>
          <w:sz w:val="18"/>
        </w:rPr>
        <w:t xml:space="preserve"> </w:t>
      </w:r>
      <w:r>
        <w:rPr>
          <w:sz w:val="18"/>
        </w:rPr>
        <w:t>by</w:t>
      </w:r>
      <w:r>
        <w:rPr>
          <w:spacing w:val="-4"/>
          <w:sz w:val="18"/>
        </w:rPr>
        <w:t xml:space="preserve"> </w:t>
      </w:r>
      <w:r>
        <w:rPr>
          <w:sz w:val="18"/>
        </w:rPr>
        <w:t>parties</w:t>
      </w:r>
      <w:r>
        <w:rPr>
          <w:spacing w:val="-2"/>
          <w:sz w:val="18"/>
        </w:rPr>
        <w:t xml:space="preserve"> </w:t>
      </w:r>
      <w:r>
        <w:rPr>
          <w:sz w:val="18"/>
        </w:rPr>
        <w:t>to</w:t>
      </w:r>
      <w:r>
        <w:rPr>
          <w:spacing w:val="-3"/>
          <w:sz w:val="18"/>
        </w:rPr>
        <w:t xml:space="preserve"> </w:t>
      </w:r>
      <w:r>
        <w:rPr>
          <w:sz w:val="18"/>
        </w:rPr>
        <w:t>an</w:t>
      </w:r>
      <w:r>
        <w:rPr>
          <w:spacing w:val="-3"/>
          <w:sz w:val="18"/>
        </w:rPr>
        <w:t xml:space="preserve"> </w:t>
      </w:r>
      <w:r>
        <w:rPr>
          <w:sz w:val="18"/>
        </w:rPr>
        <w:t>investigation</w:t>
      </w:r>
      <w:r>
        <w:rPr>
          <w:spacing w:val="-3"/>
          <w:sz w:val="18"/>
        </w:rPr>
        <w:t xml:space="preserve"> </w:t>
      </w:r>
      <w:r>
        <w:rPr>
          <w:sz w:val="18"/>
        </w:rPr>
        <w:t>as</w:t>
      </w:r>
      <w:r>
        <w:rPr>
          <w:spacing w:val="-2"/>
          <w:sz w:val="18"/>
        </w:rPr>
        <w:t xml:space="preserve"> </w:t>
      </w:r>
      <w:r>
        <w:rPr>
          <w:sz w:val="18"/>
        </w:rPr>
        <w:t>confidential</w:t>
      </w:r>
      <w:r>
        <w:rPr>
          <w:spacing w:val="-1"/>
          <w:sz w:val="18"/>
        </w:rPr>
        <w:t xml:space="preserve"> </w:t>
      </w:r>
      <w:r>
        <w:rPr>
          <w:sz w:val="18"/>
        </w:rPr>
        <w:t>if</w:t>
      </w:r>
      <w:r>
        <w:rPr>
          <w:spacing w:val="-1"/>
          <w:sz w:val="18"/>
        </w:rPr>
        <w:t xml:space="preserve"> </w:t>
      </w:r>
      <w:r>
        <w:rPr>
          <w:sz w:val="18"/>
        </w:rPr>
        <w:t>it</w:t>
      </w:r>
      <w:r>
        <w:rPr>
          <w:spacing w:val="-2"/>
          <w:sz w:val="18"/>
        </w:rPr>
        <w:t xml:space="preserve"> </w:t>
      </w:r>
      <w:r>
        <w:rPr>
          <w:sz w:val="18"/>
        </w:rPr>
        <w:t>is</w:t>
      </w:r>
      <w:r>
        <w:rPr>
          <w:spacing w:val="-2"/>
          <w:sz w:val="18"/>
        </w:rPr>
        <w:t xml:space="preserve"> </w:t>
      </w:r>
      <w:r>
        <w:rPr>
          <w:sz w:val="18"/>
        </w:rPr>
        <w:t>"by nature" confidential or "provided on a confidential basis", and "upon good cause shown".)</w:t>
      </w:r>
    </w:p>
    <w:p w14:paraId="6B79D816" w14:textId="77777777" w:rsidR="00BD462C" w:rsidRDefault="00033D0F">
      <w:pPr>
        <w:spacing w:before="4"/>
        <w:ind w:left="135"/>
        <w:jc w:val="both"/>
        <w:rPr>
          <w:sz w:val="18"/>
        </w:rPr>
      </w:pPr>
      <w:bookmarkStart w:id="2100" w:name="_bookmark1808"/>
      <w:bookmarkEnd w:id="2100"/>
      <w:r>
        <w:rPr>
          <w:position w:val="5"/>
          <w:sz w:val="12"/>
        </w:rPr>
        <w:t>1578</w:t>
      </w:r>
      <w:r>
        <w:rPr>
          <w:spacing w:val="13"/>
          <w:position w:val="5"/>
          <w:sz w:val="12"/>
        </w:rPr>
        <w:t xml:space="preserve"> </w:t>
      </w:r>
      <w:r>
        <w:rPr>
          <w:sz w:val="18"/>
        </w:rPr>
        <w:t>Australia's</w:t>
      </w:r>
      <w:r>
        <w:rPr>
          <w:spacing w:val="-5"/>
          <w:sz w:val="18"/>
        </w:rPr>
        <w:t xml:space="preserve"> </w:t>
      </w:r>
      <w:r>
        <w:rPr>
          <w:sz w:val="18"/>
        </w:rPr>
        <w:t>panel</w:t>
      </w:r>
      <w:r>
        <w:rPr>
          <w:spacing w:val="-1"/>
          <w:sz w:val="18"/>
        </w:rPr>
        <w:t xml:space="preserve"> </w:t>
      </w:r>
      <w:r>
        <w:rPr>
          <w:sz w:val="18"/>
        </w:rPr>
        <w:t>request,</w:t>
      </w:r>
      <w:r>
        <w:rPr>
          <w:spacing w:val="-3"/>
          <w:sz w:val="18"/>
        </w:rPr>
        <w:t xml:space="preserve"> </w:t>
      </w:r>
      <w:r>
        <w:rPr>
          <w:sz w:val="18"/>
        </w:rPr>
        <w:t>para.</w:t>
      </w:r>
      <w:r>
        <w:rPr>
          <w:spacing w:val="-4"/>
          <w:sz w:val="18"/>
        </w:rPr>
        <w:t xml:space="preserve"> (vi).</w:t>
      </w:r>
    </w:p>
    <w:p w14:paraId="3C63C625" w14:textId="77777777" w:rsidR="00BD462C" w:rsidRDefault="00033D0F">
      <w:pPr>
        <w:spacing w:before="1"/>
        <w:ind w:left="136" w:right="910" w:hanging="1"/>
        <w:jc w:val="both"/>
        <w:rPr>
          <w:sz w:val="18"/>
        </w:rPr>
      </w:pPr>
      <w:bookmarkStart w:id="2101" w:name="_bookmark1809"/>
      <w:bookmarkEnd w:id="2101"/>
      <w:r>
        <w:rPr>
          <w:position w:val="5"/>
          <w:sz w:val="12"/>
        </w:rPr>
        <w:t>1579</w:t>
      </w:r>
      <w:r>
        <w:rPr>
          <w:spacing w:val="22"/>
          <w:position w:val="5"/>
          <w:sz w:val="12"/>
        </w:rPr>
        <w:t xml:space="preserve"> </w:t>
      </w:r>
      <w:r>
        <w:rPr>
          <w:sz w:val="18"/>
        </w:rPr>
        <w:t xml:space="preserve">Appellate Body Report, </w:t>
      </w:r>
      <w:r>
        <w:rPr>
          <w:i/>
          <w:sz w:val="18"/>
        </w:rPr>
        <w:t>EC - Fasteners (China)</w:t>
      </w:r>
      <w:r>
        <w:rPr>
          <w:i/>
          <w:spacing w:val="-1"/>
          <w:sz w:val="18"/>
        </w:rPr>
        <w:t xml:space="preserve"> </w:t>
      </w:r>
      <w:r>
        <w:rPr>
          <w:i/>
          <w:sz w:val="18"/>
        </w:rPr>
        <w:t>(Article 21.5 China)</w:t>
      </w:r>
      <w:r>
        <w:rPr>
          <w:sz w:val="18"/>
        </w:rPr>
        <w:t xml:space="preserve">, at paras. 5.101-5.102 ("there would be no legal basis for </w:t>
      </w:r>
      <w:proofErr w:type="gramStart"/>
      <w:r>
        <w:rPr>
          <w:sz w:val="18"/>
        </w:rPr>
        <w:t>according</w:t>
      </w:r>
      <w:proofErr w:type="gramEnd"/>
      <w:r>
        <w:rPr>
          <w:sz w:val="18"/>
        </w:rPr>
        <w:t xml:space="preserve"> confidential treatment to that information, and such information would, for the purposes of Article 6.4, be considered as information 'that is not confidential as defined in paragraph 5'").</w:t>
      </w:r>
    </w:p>
    <w:p w14:paraId="5AB5408C" w14:textId="77777777" w:rsidR="00BD462C" w:rsidRDefault="00BD462C">
      <w:pPr>
        <w:jc w:val="both"/>
        <w:rPr>
          <w:sz w:val="18"/>
        </w:rPr>
        <w:sectPr w:rsidR="00BD462C">
          <w:pgSz w:w="11910" w:h="16840"/>
          <w:pgMar w:top="860" w:right="500" w:bottom="780" w:left="1280" w:header="566" w:footer="590" w:gutter="0"/>
          <w:cols w:space="720"/>
        </w:sectPr>
      </w:pPr>
    </w:p>
    <w:p w14:paraId="767A2328"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46A3AFBD"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1099C965"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76CFD219" w14:textId="77777777" w:rsidR="00BD462C" w:rsidRDefault="00033D0F">
      <w:pPr>
        <w:pStyle w:val="BodyText"/>
        <w:spacing w:before="2" w:line="362" w:lineRule="auto"/>
        <w:ind w:left="136" w:right="923"/>
      </w:pPr>
      <w:r>
        <w:t>into</w:t>
      </w:r>
      <w:r>
        <w:rPr>
          <w:spacing w:val="-18"/>
        </w:rPr>
        <w:t xml:space="preserve"> </w:t>
      </w:r>
      <w:r>
        <w:t>account</w:t>
      </w:r>
      <w:r>
        <w:rPr>
          <w:spacing w:val="-14"/>
        </w:rPr>
        <w:t xml:space="preserve"> </w:t>
      </w:r>
      <w:r>
        <w:t>the</w:t>
      </w:r>
      <w:r>
        <w:rPr>
          <w:spacing w:val="-16"/>
        </w:rPr>
        <w:t xml:space="preserve"> </w:t>
      </w:r>
      <w:r>
        <w:t>natures</w:t>
      </w:r>
      <w:r>
        <w:rPr>
          <w:spacing w:val="-14"/>
        </w:rPr>
        <w:t xml:space="preserve"> </w:t>
      </w:r>
      <w:r>
        <w:t>of</w:t>
      </w:r>
      <w:r>
        <w:rPr>
          <w:spacing w:val="-14"/>
        </w:rPr>
        <w:t xml:space="preserve"> </w:t>
      </w:r>
      <w:r>
        <w:t>the</w:t>
      </w:r>
      <w:r>
        <w:rPr>
          <w:spacing w:val="-16"/>
        </w:rPr>
        <w:t xml:space="preserve"> </w:t>
      </w:r>
      <w:r>
        <w:t>provisions</w:t>
      </w:r>
      <w:r>
        <w:rPr>
          <w:spacing w:val="-14"/>
        </w:rPr>
        <w:t xml:space="preserve"> </w:t>
      </w:r>
      <w:r>
        <w:t>that</w:t>
      </w:r>
      <w:r>
        <w:rPr>
          <w:spacing w:val="-15"/>
        </w:rPr>
        <w:t xml:space="preserve"> </w:t>
      </w:r>
      <w:r>
        <w:t>Australia</w:t>
      </w:r>
      <w:r>
        <w:rPr>
          <w:spacing w:val="-16"/>
        </w:rPr>
        <w:t xml:space="preserve"> </w:t>
      </w:r>
      <w:r>
        <w:t>alleged</w:t>
      </w:r>
      <w:r>
        <w:rPr>
          <w:spacing w:val="-18"/>
        </w:rPr>
        <w:t xml:space="preserve"> </w:t>
      </w:r>
      <w:r>
        <w:t>to</w:t>
      </w:r>
      <w:r>
        <w:rPr>
          <w:spacing w:val="-18"/>
        </w:rPr>
        <w:t xml:space="preserve"> </w:t>
      </w:r>
      <w:r>
        <w:t>be</w:t>
      </w:r>
      <w:r>
        <w:rPr>
          <w:spacing w:val="-16"/>
        </w:rPr>
        <w:t xml:space="preserve"> </w:t>
      </w:r>
      <w:r>
        <w:t>infringed,</w:t>
      </w:r>
      <w:r>
        <w:rPr>
          <w:spacing w:val="-14"/>
        </w:rPr>
        <w:t xml:space="preserve"> </w:t>
      </w:r>
      <w:r>
        <w:t>and</w:t>
      </w:r>
      <w:r>
        <w:rPr>
          <w:spacing w:val="-18"/>
        </w:rPr>
        <w:t xml:space="preserve"> </w:t>
      </w:r>
      <w:r>
        <w:t>the</w:t>
      </w:r>
      <w:r>
        <w:rPr>
          <w:spacing w:val="-13"/>
        </w:rPr>
        <w:t xml:space="preserve"> </w:t>
      </w:r>
      <w:r>
        <w:t>nature of the anti-dumping measure at issue.</w:t>
      </w:r>
    </w:p>
    <w:p w14:paraId="1DBC01F2" w14:textId="77777777" w:rsidR="00BD462C" w:rsidRDefault="00BD462C">
      <w:pPr>
        <w:pStyle w:val="BodyText"/>
        <w:spacing w:before="7"/>
        <w:rPr>
          <w:sz w:val="8"/>
        </w:rPr>
      </w:pPr>
    </w:p>
    <w:p w14:paraId="50A353F1" w14:textId="180428DD" w:rsidR="00BD462C" w:rsidRDefault="005930FF">
      <w:pPr>
        <w:pStyle w:val="BodyText"/>
        <w:spacing w:before="56"/>
        <w:ind w:left="131"/>
        <w:jc w:val="both"/>
      </w:pPr>
      <w:r>
        <w:rPr>
          <w:noProof/>
        </w:rPr>
        <w:t>49.</w:t>
      </w:r>
      <w:r w:rsidR="00033D0F">
        <w:rPr>
          <w:rFonts w:ascii="Times New Roman"/>
          <w:spacing w:val="80"/>
          <w:w w:val="150"/>
          <w:position w:val="1"/>
          <w:sz w:val="20"/>
        </w:rPr>
        <w:t xml:space="preserve">   </w:t>
      </w:r>
      <w:r w:rsidR="00033D0F">
        <w:rPr>
          <w:position w:val="1"/>
        </w:rPr>
        <w:t>Alternatively, China alleges that Australia's confidentiality claims pursuant to Article</w:t>
      </w:r>
    </w:p>
    <w:p w14:paraId="24D812C7" w14:textId="77777777" w:rsidR="00BD462C" w:rsidRDefault="00033D0F">
      <w:pPr>
        <w:pStyle w:val="BodyText"/>
        <w:spacing w:before="140" w:line="360" w:lineRule="auto"/>
        <w:ind w:left="136" w:right="910"/>
        <w:jc w:val="both"/>
      </w:pPr>
      <w:r>
        <w:t>6.5 are "new" in Australia's first written submission.</w:t>
      </w:r>
      <w:hyperlink w:anchor="_bookmark1810" w:history="1">
        <w:r>
          <w:rPr>
            <w:vertAlign w:val="superscript"/>
          </w:rPr>
          <w:t>1580</w:t>
        </w:r>
      </w:hyperlink>
      <w:r>
        <w:t xml:space="preserve"> China asserts pre-emptively that Australia cannot argue that its claim pursuant to Article 6.5 reasonably evolved from the specific allegations set out in relation to Article 6.5.1, as the provisions are too different.</w:t>
      </w:r>
    </w:p>
    <w:p w14:paraId="1055280C" w14:textId="2C567683" w:rsidR="00BD462C" w:rsidRDefault="005930FF">
      <w:pPr>
        <w:pStyle w:val="BodyText"/>
        <w:spacing w:before="164" w:line="360" w:lineRule="auto"/>
        <w:ind w:left="135" w:right="911"/>
        <w:jc w:val="both"/>
      </w:pPr>
      <w:r>
        <w:rPr>
          <w:noProof/>
        </w:rPr>
        <w:t>50.</w:t>
      </w:r>
      <w:r w:rsidR="00033D0F">
        <w:rPr>
          <w:rFonts w:ascii="Times New Roman" w:hAnsi="Times New Roman"/>
          <w:spacing w:val="80"/>
          <w:position w:val="1"/>
          <w:sz w:val="20"/>
        </w:rPr>
        <w:t xml:space="preserve">  </w:t>
      </w:r>
      <w:r w:rsidR="00033D0F">
        <w:rPr>
          <w:position w:val="1"/>
        </w:rPr>
        <w:t>Australia agrees that these provisions are distinct,</w:t>
      </w:r>
      <w:hyperlink w:anchor="_bookmark1811" w:history="1">
        <w:r w:rsidR="00033D0F">
          <w:rPr>
            <w:position w:val="1"/>
            <w:vertAlign w:val="superscript"/>
          </w:rPr>
          <w:t>1581</w:t>
        </w:r>
      </w:hyperlink>
      <w:r w:rsidR="00033D0F">
        <w:rPr>
          <w:position w:val="1"/>
        </w:rPr>
        <w:t xml:space="preserve"> and for this reason Australia </w:t>
      </w:r>
      <w:r w:rsidR="00033D0F">
        <w:t>expressly</w:t>
      </w:r>
      <w:r w:rsidR="00033D0F">
        <w:rPr>
          <w:spacing w:val="-9"/>
        </w:rPr>
        <w:t xml:space="preserve"> </w:t>
      </w:r>
      <w:r w:rsidR="00033D0F">
        <w:t>identified</w:t>
      </w:r>
      <w:r w:rsidR="00033D0F">
        <w:rPr>
          <w:spacing w:val="-13"/>
        </w:rPr>
        <w:t xml:space="preserve"> </w:t>
      </w:r>
      <w:r w:rsidR="00033D0F">
        <w:t>both</w:t>
      </w:r>
      <w:r w:rsidR="00033D0F">
        <w:rPr>
          <w:spacing w:val="-13"/>
        </w:rPr>
        <w:t xml:space="preserve"> </w:t>
      </w:r>
      <w:r w:rsidR="00033D0F">
        <w:t>Article</w:t>
      </w:r>
      <w:r w:rsidR="00033D0F">
        <w:rPr>
          <w:spacing w:val="-10"/>
        </w:rPr>
        <w:t xml:space="preserve"> </w:t>
      </w:r>
      <w:r w:rsidR="00033D0F">
        <w:t>6.5</w:t>
      </w:r>
      <w:r w:rsidR="00033D0F">
        <w:rPr>
          <w:spacing w:val="-7"/>
        </w:rPr>
        <w:t xml:space="preserve"> </w:t>
      </w:r>
      <w:r w:rsidR="00033D0F">
        <w:t>and</w:t>
      </w:r>
      <w:r w:rsidR="00033D0F">
        <w:rPr>
          <w:spacing w:val="-7"/>
        </w:rPr>
        <w:t xml:space="preserve"> </w:t>
      </w:r>
      <w:r w:rsidR="00033D0F">
        <w:t>Article</w:t>
      </w:r>
      <w:r w:rsidR="00033D0F">
        <w:rPr>
          <w:spacing w:val="-10"/>
        </w:rPr>
        <w:t xml:space="preserve"> </w:t>
      </w:r>
      <w:r w:rsidR="00033D0F">
        <w:t>6.5.1</w:t>
      </w:r>
      <w:r w:rsidR="00033D0F">
        <w:rPr>
          <w:spacing w:val="-13"/>
        </w:rPr>
        <w:t xml:space="preserve"> </w:t>
      </w:r>
      <w:r w:rsidR="00033D0F">
        <w:t>in</w:t>
      </w:r>
      <w:r w:rsidR="00033D0F">
        <w:rPr>
          <w:spacing w:val="-13"/>
        </w:rPr>
        <w:t xml:space="preserve"> </w:t>
      </w:r>
      <w:r w:rsidR="00033D0F">
        <w:t>its</w:t>
      </w:r>
      <w:r w:rsidR="00033D0F">
        <w:rPr>
          <w:spacing w:val="-8"/>
        </w:rPr>
        <w:t xml:space="preserve"> </w:t>
      </w:r>
      <w:r w:rsidR="00033D0F">
        <w:t>panel</w:t>
      </w:r>
      <w:r w:rsidR="00033D0F">
        <w:rPr>
          <w:spacing w:val="-3"/>
        </w:rPr>
        <w:t xml:space="preserve"> </w:t>
      </w:r>
      <w:r w:rsidR="00033D0F">
        <w:t>request.</w:t>
      </w:r>
      <w:hyperlink w:anchor="_bookmark1812" w:history="1">
        <w:r w:rsidR="00033D0F">
          <w:rPr>
            <w:vertAlign w:val="superscript"/>
          </w:rPr>
          <w:t>1582</w:t>
        </w:r>
      </w:hyperlink>
      <w:r w:rsidR="00033D0F">
        <w:rPr>
          <w:spacing w:val="-9"/>
        </w:rPr>
        <w:t xml:space="preserve"> </w:t>
      </w:r>
      <w:r w:rsidR="00033D0F">
        <w:t>It</w:t>
      </w:r>
      <w:r w:rsidR="00033D0F">
        <w:rPr>
          <w:spacing w:val="-9"/>
        </w:rPr>
        <w:t xml:space="preserve"> </w:t>
      </w:r>
      <w:r w:rsidR="00033D0F">
        <w:t>does</w:t>
      </w:r>
      <w:r w:rsidR="00033D0F">
        <w:rPr>
          <w:spacing w:val="-4"/>
        </w:rPr>
        <w:t xml:space="preserve"> </w:t>
      </w:r>
      <w:r w:rsidR="00033D0F">
        <w:t>not</w:t>
      </w:r>
      <w:r w:rsidR="00033D0F">
        <w:rPr>
          <w:spacing w:val="-5"/>
        </w:rPr>
        <w:t xml:space="preserve"> </w:t>
      </w:r>
      <w:r w:rsidR="00033D0F">
        <w:t>follow from this distinction that Australia's panel request did not include an allegation of inconsistency with respect to Article 6.5. It appears to Australia that China is again arguing that</w:t>
      </w:r>
      <w:r w:rsidR="00033D0F">
        <w:rPr>
          <w:spacing w:val="-7"/>
        </w:rPr>
        <w:t xml:space="preserve"> </w:t>
      </w:r>
      <w:r w:rsidR="00033D0F">
        <w:t>Australia</w:t>
      </w:r>
      <w:r w:rsidR="00033D0F">
        <w:rPr>
          <w:spacing w:val="-8"/>
        </w:rPr>
        <w:t xml:space="preserve"> </w:t>
      </w:r>
      <w:r w:rsidR="00033D0F">
        <w:t>should</w:t>
      </w:r>
      <w:r w:rsidR="00033D0F">
        <w:rPr>
          <w:spacing w:val="-9"/>
        </w:rPr>
        <w:t xml:space="preserve"> </w:t>
      </w:r>
      <w:r w:rsidR="00033D0F">
        <w:t>have</w:t>
      </w:r>
      <w:r w:rsidR="00033D0F">
        <w:rPr>
          <w:spacing w:val="-7"/>
        </w:rPr>
        <w:t xml:space="preserve"> </w:t>
      </w:r>
      <w:r w:rsidR="00033D0F">
        <w:t>articulated</w:t>
      </w:r>
      <w:r w:rsidR="00033D0F">
        <w:rPr>
          <w:spacing w:val="-9"/>
        </w:rPr>
        <w:t xml:space="preserve"> </w:t>
      </w:r>
      <w:r w:rsidR="00033D0F">
        <w:t>not</w:t>
      </w:r>
      <w:r w:rsidR="00033D0F">
        <w:rPr>
          <w:spacing w:val="-7"/>
        </w:rPr>
        <w:t xml:space="preserve"> </w:t>
      </w:r>
      <w:r w:rsidR="00033D0F">
        <w:t>only</w:t>
      </w:r>
      <w:r w:rsidR="00033D0F">
        <w:rPr>
          <w:spacing w:val="-6"/>
        </w:rPr>
        <w:t xml:space="preserve"> </w:t>
      </w:r>
      <w:r w:rsidR="00033D0F">
        <w:t>its</w:t>
      </w:r>
      <w:r w:rsidR="00033D0F">
        <w:rPr>
          <w:spacing w:val="-10"/>
        </w:rPr>
        <w:t xml:space="preserve"> </w:t>
      </w:r>
      <w:r w:rsidR="00033D0F">
        <w:rPr>
          <w:i/>
        </w:rPr>
        <w:t>claims</w:t>
      </w:r>
      <w:r w:rsidR="00033D0F">
        <w:rPr>
          <w:i/>
          <w:spacing w:val="-10"/>
        </w:rPr>
        <w:t xml:space="preserve"> </w:t>
      </w:r>
      <w:r w:rsidR="00033D0F">
        <w:t>–</w:t>
      </w:r>
      <w:r w:rsidR="00033D0F">
        <w:rPr>
          <w:spacing w:val="-7"/>
        </w:rPr>
        <w:t xml:space="preserve"> </w:t>
      </w:r>
      <w:r w:rsidR="00033D0F">
        <w:t>which,</w:t>
      </w:r>
      <w:r w:rsidR="00033D0F">
        <w:rPr>
          <w:spacing w:val="-5"/>
        </w:rPr>
        <w:t xml:space="preserve"> </w:t>
      </w:r>
      <w:r w:rsidR="00033D0F">
        <w:t>as</w:t>
      </w:r>
      <w:r w:rsidR="00033D0F">
        <w:rPr>
          <w:spacing w:val="-6"/>
        </w:rPr>
        <w:t xml:space="preserve"> </w:t>
      </w:r>
      <w:r w:rsidR="00033D0F">
        <w:t>Australia</w:t>
      </w:r>
      <w:r w:rsidR="00033D0F">
        <w:rPr>
          <w:spacing w:val="-8"/>
        </w:rPr>
        <w:t xml:space="preserve"> </w:t>
      </w:r>
      <w:r w:rsidR="00033D0F">
        <w:t>has</w:t>
      </w:r>
      <w:r w:rsidR="00033D0F">
        <w:rPr>
          <w:spacing w:val="-6"/>
        </w:rPr>
        <w:t xml:space="preserve"> </w:t>
      </w:r>
      <w:r w:rsidR="00033D0F">
        <w:t>established, it</w:t>
      </w:r>
      <w:r w:rsidR="00033D0F">
        <w:rPr>
          <w:spacing w:val="-2"/>
        </w:rPr>
        <w:t xml:space="preserve"> </w:t>
      </w:r>
      <w:r w:rsidR="00033D0F">
        <w:t>clearly</w:t>
      </w:r>
      <w:r w:rsidR="00033D0F">
        <w:rPr>
          <w:spacing w:val="-1"/>
        </w:rPr>
        <w:t xml:space="preserve"> </w:t>
      </w:r>
      <w:r w:rsidR="00033D0F">
        <w:t>presented</w:t>
      </w:r>
      <w:r w:rsidR="00033D0F">
        <w:rPr>
          <w:spacing w:val="-5"/>
        </w:rPr>
        <w:t xml:space="preserve"> </w:t>
      </w:r>
      <w:r w:rsidR="00033D0F">
        <w:t>–</w:t>
      </w:r>
      <w:r w:rsidR="00033D0F">
        <w:rPr>
          <w:spacing w:val="-2"/>
        </w:rPr>
        <w:t xml:space="preserve"> </w:t>
      </w:r>
      <w:r w:rsidR="00033D0F">
        <w:t>but</w:t>
      </w:r>
      <w:r w:rsidR="00033D0F">
        <w:rPr>
          <w:spacing w:val="-2"/>
        </w:rPr>
        <w:t xml:space="preserve"> </w:t>
      </w:r>
      <w:r w:rsidR="00033D0F">
        <w:t>also</w:t>
      </w:r>
      <w:r w:rsidR="00033D0F">
        <w:rPr>
          <w:spacing w:val="-5"/>
        </w:rPr>
        <w:t xml:space="preserve"> </w:t>
      </w:r>
      <w:r w:rsidR="00033D0F">
        <w:t>its</w:t>
      </w:r>
      <w:r w:rsidR="00033D0F">
        <w:rPr>
          <w:spacing w:val="-1"/>
        </w:rPr>
        <w:t xml:space="preserve"> </w:t>
      </w:r>
      <w:r w:rsidR="00033D0F">
        <w:t>arguments</w:t>
      </w:r>
      <w:r w:rsidR="00033D0F">
        <w:rPr>
          <w:spacing w:val="-1"/>
        </w:rPr>
        <w:t xml:space="preserve"> </w:t>
      </w:r>
      <w:r w:rsidR="00033D0F">
        <w:t>and</w:t>
      </w:r>
      <w:r w:rsidR="00033D0F">
        <w:rPr>
          <w:spacing w:val="-4"/>
        </w:rPr>
        <w:t xml:space="preserve"> </w:t>
      </w:r>
      <w:r w:rsidR="00033D0F">
        <w:t>evidence</w:t>
      </w:r>
      <w:r w:rsidR="00033D0F">
        <w:rPr>
          <w:spacing w:val="-2"/>
        </w:rPr>
        <w:t xml:space="preserve"> </w:t>
      </w:r>
      <w:r w:rsidR="00033D0F">
        <w:t>in</w:t>
      </w:r>
      <w:r w:rsidR="00033D0F">
        <w:rPr>
          <w:spacing w:val="-4"/>
        </w:rPr>
        <w:t xml:space="preserve"> </w:t>
      </w:r>
      <w:r w:rsidR="00033D0F">
        <w:t>support</w:t>
      </w:r>
      <w:r w:rsidR="00033D0F">
        <w:rPr>
          <w:spacing w:val="-2"/>
        </w:rPr>
        <w:t xml:space="preserve"> </w:t>
      </w:r>
      <w:r w:rsidR="00033D0F">
        <w:t>of</w:t>
      </w:r>
      <w:r w:rsidR="00033D0F">
        <w:rPr>
          <w:spacing w:val="-4"/>
        </w:rPr>
        <w:t xml:space="preserve"> </w:t>
      </w:r>
      <w:r w:rsidR="00033D0F">
        <w:t>each allegation</w:t>
      </w:r>
      <w:r w:rsidR="00033D0F">
        <w:rPr>
          <w:spacing w:val="-4"/>
        </w:rPr>
        <w:t xml:space="preserve"> </w:t>
      </w:r>
      <w:r w:rsidR="00033D0F">
        <w:t>that</w:t>
      </w:r>
      <w:r w:rsidR="00033D0F">
        <w:rPr>
          <w:spacing w:val="-2"/>
        </w:rPr>
        <w:t xml:space="preserve"> </w:t>
      </w:r>
      <w:r w:rsidR="00033D0F">
        <w:t>a particular provision was infringed. This reflects China's misunderstanding of the correct standard under Article 6.2 of the DSU.</w:t>
      </w:r>
      <w:hyperlink w:anchor="_bookmark1813" w:history="1">
        <w:r w:rsidR="00033D0F">
          <w:rPr>
            <w:vertAlign w:val="superscript"/>
          </w:rPr>
          <w:t>1583</w:t>
        </w:r>
      </w:hyperlink>
      <w:r w:rsidR="00033D0F">
        <w:t xml:space="preserve"> Australia further observes that it has set forth its allegations of inconsistency with Article 6.5 in its submissions, articulating the instances at issue in the investigation record and the arguments demonstrating inconsistency. China has had full rights of response and every opportunity to defend its interests in relation to this </w:t>
      </w:r>
      <w:r w:rsidR="00033D0F">
        <w:rPr>
          <w:spacing w:val="-2"/>
        </w:rPr>
        <w:t>claim.</w:t>
      </w:r>
      <w:hyperlink w:anchor="_bookmark1814" w:history="1">
        <w:r w:rsidR="00033D0F">
          <w:rPr>
            <w:spacing w:val="-2"/>
            <w:vertAlign w:val="superscript"/>
          </w:rPr>
          <w:t>1584</w:t>
        </w:r>
      </w:hyperlink>
    </w:p>
    <w:p w14:paraId="2DEE2057" w14:textId="429248A6" w:rsidR="00BD462C" w:rsidRDefault="006667A0">
      <w:pPr>
        <w:pStyle w:val="BodyText"/>
        <w:spacing w:before="150" w:line="360" w:lineRule="auto"/>
        <w:ind w:left="135" w:right="913"/>
        <w:jc w:val="both"/>
      </w:pPr>
      <w:r>
        <w:rPr>
          <w:noProof/>
        </w:rPr>
        <w:t>51.</w:t>
      </w:r>
      <w:r w:rsidR="00033D0F">
        <w:rPr>
          <w:rFonts w:ascii="Times New Roman"/>
          <w:spacing w:val="80"/>
          <w:position w:val="1"/>
          <w:sz w:val="20"/>
        </w:rPr>
        <w:t xml:space="preserve">  </w:t>
      </w:r>
      <w:r w:rsidR="00033D0F">
        <w:rPr>
          <w:position w:val="1"/>
        </w:rPr>
        <w:t xml:space="preserve">Moreover, Australia agrees with Canada and the United Kingdom that Article 6.5 </w:t>
      </w:r>
      <w:r w:rsidR="00033D0F">
        <w:t>contains</w:t>
      </w:r>
      <w:r w:rsidR="00033D0F">
        <w:rPr>
          <w:spacing w:val="-13"/>
        </w:rPr>
        <w:t xml:space="preserve"> </w:t>
      </w:r>
      <w:r w:rsidR="00033D0F">
        <w:t>a</w:t>
      </w:r>
      <w:r w:rsidR="00033D0F">
        <w:rPr>
          <w:spacing w:val="-12"/>
        </w:rPr>
        <w:t xml:space="preserve"> </w:t>
      </w:r>
      <w:r w:rsidR="00033D0F">
        <w:t>singular</w:t>
      </w:r>
      <w:r w:rsidR="00033D0F">
        <w:rPr>
          <w:spacing w:val="-14"/>
        </w:rPr>
        <w:t xml:space="preserve"> </w:t>
      </w:r>
      <w:r w:rsidR="00033D0F">
        <w:t>obligation.</w:t>
      </w:r>
      <w:hyperlink w:anchor="_bookmark1815" w:history="1">
        <w:r w:rsidR="00033D0F">
          <w:rPr>
            <w:vertAlign w:val="superscript"/>
          </w:rPr>
          <w:t>1585</w:t>
        </w:r>
      </w:hyperlink>
      <w:r w:rsidR="00033D0F">
        <w:rPr>
          <w:spacing w:val="-11"/>
        </w:rPr>
        <w:t xml:space="preserve"> </w:t>
      </w:r>
      <w:r w:rsidR="00033D0F">
        <w:t>The</w:t>
      </w:r>
      <w:r w:rsidR="00033D0F">
        <w:rPr>
          <w:spacing w:val="-12"/>
        </w:rPr>
        <w:t xml:space="preserve"> </w:t>
      </w:r>
      <w:r w:rsidR="00033D0F">
        <w:t>singular</w:t>
      </w:r>
      <w:r w:rsidR="00033D0F">
        <w:rPr>
          <w:spacing w:val="-14"/>
        </w:rPr>
        <w:t xml:space="preserve"> </w:t>
      </w:r>
      <w:r w:rsidR="00033D0F">
        <w:t>obligation</w:t>
      </w:r>
      <w:r w:rsidR="00033D0F">
        <w:rPr>
          <w:spacing w:val="-14"/>
        </w:rPr>
        <w:t xml:space="preserve"> </w:t>
      </w:r>
      <w:r w:rsidR="00033D0F">
        <w:t>comes</w:t>
      </w:r>
      <w:r w:rsidR="00033D0F">
        <w:rPr>
          <w:spacing w:val="-9"/>
        </w:rPr>
        <w:t xml:space="preserve"> </w:t>
      </w:r>
      <w:r w:rsidR="00033D0F">
        <w:t>from</w:t>
      </w:r>
      <w:r w:rsidR="00033D0F">
        <w:rPr>
          <w:spacing w:val="-12"/>
        </w:rPr>
        <w:t xml:space="preserve"> </w:t>
      </w:r>
      <w:r w:rsidR="00033D0F">
        <w:t>the</w:t>
      </w:r>
      <w:r w:rsidR="00033D0F">
        <w:rPr>
          <w:spacing w:val="-7"/>
        </w:rPr>
        <w:t xml:space="preserve"> </w:t>
      </w:r>
      <w:r w:rsidR="00033D0F">
        <w:t>first</w:t>
      </w:r>
      <w:r w:rsidR="00033D0F">
        <w:rPr>
          <w:spacing w:val="-11"/>
        </w:rPr>
        <w:t xml:space="preserve"> </w:t>
      </w:r>
      <w:r w:rsidR="00033D0F">
        <w:t>sentence,</w:t>
      </w:r>
      <w:r w:rsidR="00033D0F">
        <w:rPr>
          <w:spacing w:val="-10"/>
        </w:rPr>
        <w:t xml:space="preserve"> </w:t>
      </w:r>
      <w:r w:rsidR="00033D0F">
        <w:t>which imposes</w:t>
      </w:r>
      <w:r w:rsidR="00033D0F">
        <w:rPr>
          <w:spacing w:val="-9"/>
        </w:rPr>
        <w:t xml:space="preserve"> </w:t>
      </w:r>
      <w:r w:rsidR="00033D0F">
        <w:t>a</w:t>
      </w:r>
      <w:r w:rsidR="00033D0F">
        <w:rPr>
          <w:spacing w:val="-9"/>
        </w:rPr>
        <w:t xml:space="preserve"> </w:t>
      </w:r>
      <w:r w:rsidR="00033D0F">
        <w:t>requirement</w:t>
      </w:r>
      <w:r w:rsidR="00033D0F">
        <w:rPr>
          <w:spacing w:val="-8"/>
        </w:rPr>
        <w:t xml:space="preserve"> </w:t>
      </w:r>
      <w:r w:rsidR="00033D0F">
        <w:t>to</w:t>
      </w:r>
      <w:r w:rsidR="00033D0F">
        <w:rPr>
          <w:spacing w:val="-14"/>
        </w:rPr>
        <w:t xml:space="preserve"> </w:t>
      </w:r>
      <w:r w:rsidR="00033D0F">
        <w:t>treat</w:t>
      </w:r>
      <w:r w:rsidR="00033D0F">
        <w:rPr>
          <w:spacing w:val="-8"/>
        </w:rPr>
        <w:t xml:space="preserve"> </w:t>
      </w:r>
      <w:r w:rsidR="00033D0F">
        <w:t>a</w:t>
      </w:r>
      <w:r w:rsidR="00033D0F">
        <w:rPr>
          <w:spacing w:val="-9"/>
        </w:rPr>
        <w:t xml:space="preserve"> </w:t>
      </w:r>
      <w:r w:rsidR="00033D0F">
        <w:t>party's</w:t>
      </w:r>
      <w:r w:rsidR="00033D0F">
        <w:rPr>
          <w:spacing w:val="-11"/>
        </w:rPr>
        <w:t xml:space="preserve"> </w:t>
      </w:r>
      <w:r w:rsidR="00033D0F">
        <w:t>confidential</w:t>
      </w:r>
      <w:r w:rsidR="00033D0F">
        <w:rPr>
          <w:spacing w:val="-11"/>
        </w:rPr>
        <w:t xml:space="preserve"> </w:t>
      </w:r>
      <w:r w:rsidR="00033D0F">
        <w:t>information</w:t>
      </w:r>
      <w:r w:rsidR="00033D0F">
        <w:rPr>
          <w:spacing w:val="-10"/>
        </w:rPr>
        <w:t xml:space="preserve"> </w:t>
      </w:r>
      <w:r w:rsidR="00033D0F">
        <w:t>"as</w:t>
      </w:r>
      <w:r w:rsidR="00033D0F">
        <w:rPr>
          <w:spacing w:val="-7"/>
        </w:rPr>
        <w:t xml:space="preserve"> </w:t>
      </w:r>
      <w:r w:rsidR="00033D0F">
        <w:t>such".</w:t>
      </w:r>
      <w:r w:rsidR="00033D0F">
        <w:rPr>
          <w:spacing w:val="-7"/>
        </w:rPr>
        <w:t xml:space="preserve"> </w:t>
      </w:r>
      <w:r w:rsidR="00033D0F">
        <w:t>If</w:t>
      </w:r>
      <w:r w:rsidR="00033D0F">
        <w:rPr>
          <w:spacing w:val="-10"/>
        </w:rPr>
        <w:t xml:space="preserve"> </w:t>
      </w:r>
      <w:r w:rsidR="00033D0F">
        <w:t>an</w:t>
      </w:r>
      <w:r w:rsidR="00033D0F">
        <w:rPr>
          <w:spacing w:val="-14"/>
        </w:rPr>
        <w:t xml:space="preserve"> </w:t>
      </w:r>
      <w:r w:rsidR="00033D0F">
        <w:t>investigating authority</w:t>
      </w:r>
      <w:r w:rsidR="00033D0F">
        <w:rPr>
          <w:spacing w:val="-6"/>
        </w:rPr>
        <w:t xml:space="preserve"> </w:t>
      </w:r>
      <w:r w:rsidR="00033D0F">
        <w:t>were</w:t>
      </w:r>
      <w:r w:rsidR="00033D0F">
        <w:rPr>
          <w:spacing w:val="-7"/>
        </w:rPr>
        <w:t xml:space="preserve"> </w:t>
      </w:r>
      <w:r w:rsidR="00033D0F">
        <w:t>to</w:t>
      </w:r>
      <w:r w:rsidR="00033D0F">
        <w:rPr>
          <w:spacing w:val="-10"/>
        </w:rPr>
        <w:t xml:space="preserve"> </w:t>
      </w:r>
      <w:r w:rsidR="00033D0F">
        <w:t>breach</w:t>
      </w:r>
      <w:r w:rsidR="00033D0F">
        <w:rPr>
          <w:spacing w:val="-9"/>
        </w:rPr>
        <w:t xml:space="preserve"> </w:t>
      </w:r>
      <w:r w:rsidR="00033D0F">
        <w:t>the</w:t>
      </w:r>
      <w:r w:rsidR="00033D0F">
        <w:rPr>
          <w:spacing w:val="-7"/>
        </w:rPr>
        <w:t xml:space="preserve"> </w:t>
      </w:r>
      <w:r w:rsidR="00033D0F">
        <w:t>second</w:t>
      </w:r>
      <w:r w:rsidR="00033D0F">
        <w:rPr>
          <w:spacing w:val="-9"/>
        </w:rPr>
        <w:t xml:space="preserve"> </w:t>
      </w:r>
      <w:r w:rsidR="00033D0F">
        <w:t>sentence</w:t>
      </w:r>
      <w:r w:rsidR="00033D0F">
        <w:rPr>
          <w:spacing w:val="-2"/>
        </w:rPr>
        <w:t xml:space="preserve"> </w:t>
      </w:r>
      <w:r w:rsidR="00033D0F">
        <w:t>of</w:t>
      </w:r>
      <w:r w:rsidR="00033D0F">
        <w:rPr>
          <w:spacing w:val="-4"/>
        </w:rPr>
        <w:t xml:space="preserve"> </w:t>
      </w:r>
      <w:r w:rsidR="00033D0F">
        <w:t>Article</w:t>
      </w:r>
      <w:r w:rsidR="00033D0F">
        <w:rPr>
          <w:spacing w:val="-7"/>
        </w:rPr>
        <w:t xml:space="preserve"> </w:t>
      </w:r>
      <w:r w:rsidR="00033D0F">
        <w:t>6.5</w:t>
      </w:r>
      <w:r w:rsidR="00033D0F">
        <w:rPr>
          <w:spacing w:val="-9"/>
        </w:rPr>
        <w:t xml:space="preserve"> </w:t>
      </w:r>
      <w:r w:rsidR="00033D0F">
        <w:t>by</w:t>
      </w:r>
      <w:r w:rsidR="00033D0F">
        <w:rPr>
          <w:spacing w:val="-6"/>
        </w:rPr>
        <w:t xml:space="preserve"> </w:t>
      </w:r>
      <w:r w:rsidR="00033D0F">
        <w:t>disclosing</w:t>
      </w:r>
      <w:r w:rsidR="00033D0F">
        <w:rPr>
          <w:spacing w:val="-6"/>
        </w:rPr>
        <w:t xml:space="preserve"> </w:t>
      </w:r>
      <w:r w:rsidR="00033D0F">
        <w:t>information</w:t>
      </w:r>
      <w:r w:rsidR="00033D0F">
        <w:rPr>
          <w:spacing w:val="-9"/>
        </w:rPr>
        <w:t xml:space="preserve"> </w:t>
      </w:r>
      <w:r w:rsidR="00033D0F">
        <w:t>without</w:t>
      </w:r>
    </w:p>
    <w:p w14:paraId="235B6420" w14:textId="54E66DCA" w:rsidR="00BD462C" w:rsidRDefault="00E14314">
      <w:pPr>
        <w:pStyle w:val="BodyText"/>
        <w:rPr>
          <w:sz w:val="20"/>
        </w:rPr>
      </w:pPr>
      <w:r>
        <w:rPr>
          <w:noProof/>
        </w:rPr>
        <mc:AlternateContent>
          <mc:Choice Requires="wps">
            <w:drawing>
              <wp:anchor distT="0" distB="0" distL="0" distR="0" simplePos="0" relativeHeight="488086016" behindDoc="1" locked="0" layoutInCell="1" allowOverlap="1" wp14:anchorId="06CE9C35" wp14:editId="270EC629">
                <wp:simplePos x="0" y="0"/>
                <wp:positionH relativeFrom="page">
                  <wp:posOffset>812800</wp:posOffset>
                </wp:positionH>
                <wp:positionV relativeFrom="paragraph">
                  <wp:posOffset>281305</wp:posOffset>
                </wp:positionV>
                <wp:extent cx="1828800" cy="8890"/>
                <wp:effectExtent l="0" t="0" r="0" b="0"/>
                <wp:wrapTopAndBottom/>
                <wp:docPr id="65" name="docshape7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7FCED2" id="docshape705" o:spid="_x0000_s1026" alt="&quot;&quot;" style="position:absolute;margin-left:64pt;margin-top:22.15pt;width:2in;height:.7pt;z-index:-15230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" fillcolor="black" stroked="f">
                <w10:wrap type="topAndBottom" anchorx="page"/>
              </v:rect>
            </w:pict>
          </mc:Fallback>
        </mc:AlternateContent>
      </w:r>
    </w:p>
    <w:p w14:paraId="041CF426" w14:textId="08DB01F3" w:rsidR="00BD462C" w:rsidRDefault="00BD462C">
      <w:pPr>
        <w:pStyle w:val="BodyText"/>
        <w:rPr>
          <w:sz w:val="16"/>
        </w:rPr>
      </w:pPr>
    </w:p>
    <w:p w14:paraId="65CF0515" w14:textId="77777777" w:rsidR="00BD462C" w:rsidRDefault="00033D0F">
      <w:pPr>
        <w:spacing w:before="107"/>
        <w:ind w:left="135"/>
        <w:jc w:val="both"/>
        <w:rPr>
          <w:sz w:val="18"/>
        </w:rPr>
      </w:pPr>
      <w:bookmarkStart w:id="2102" w:name="_bookmark1810"/>
      <w:bookmarkEnd w:id="2102"/>
      <w:r>
        <w:rPr>
          <w:position w:val="5"/>
          <w:sz w:val="12"/>
        </w:rPr>
        <w:t>1580</w:t>
      </w:r>
      <w:r>
        <w:rPr>
          <w:spacing w:val="12"/>
          <w:position w:val="5"/>
          <w:sz w:val="12"/>
        </w:rPr>
        <w:t xml:space="preserve"> </w:t>
      </w:r>
      <w:r>
        <w:rPr>
          <w:sz w:val="18"/>
        </w:rPr>
        <w:t>China's</w:t>
      </w:r>
      <w:r>
        <w:rPr>
          <w:spacing w:val="-5"/>
          <w:sz w:val="18"/>
        </w:rPr>
        <w:t xml:space="preserve"> </w:t>
      </w:r>
      <w:r>
        <w:rPr>
          <w:sz w:val="18"/>
        </w:rPr>
        <w:t>first</w:t>
      </w:r>
      <w:r>
        <w:rPr>
          <w:spacing w:val="-5"/>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paras.</w:t>
      </w:r>
      <w:r>
        <w:rPr>
          <w:spacing w:val="-5"/>
          <w:sz w:val="18"/>
        </w:rPr>
        <w:t xml:space="preserve"> </w:t>
      </w:r>
      <w:r>
        <w:rPr>
          <w:sz w:val="18"/>
        </w:rPr>
        <w:t>2221-</w:t>
      </w:r>
      <w:r>
        <w:rPr>
          <w:spacing w:val="-2"/>
          <w:sz w:val="18"/>
        </w:rPr>
        <w:t>2270.</w:t>
      </w:r>
    </w:p>
    <w:p w14:paraId="5202E812" w14:textId="77777777" w:rsidR="00BD462C" w:rsidRDefault="00033D0F">
      <w:pPr>
        <w:spacing w:before="1"/>
        <w:ind w:left="135"/>
        <w:jc w:val="both"/>
        <w:rPr>
          <w:sz w:val="18"/>
        </w:rPr>
      </w:pPr>
      <w:bookmarkStart w:id="2103" w:name="_bookmark1811"/>
      <w:bookmarkEnd w:id="2103"/>
      <w:r>
        <w:rPr>
          <w:position w:val="5"/>
          <w:sz w:val="12"/>
        </w:rPr>
        <w:t>1581</w:t>
      </w:r>
      <w:r>
        <w:rPr>
          <w:spacing w:val="15"/>
          <w:position w:val="5"/>
          <w:sz w:val="12"/>
        </w:rPr>
        <w:t xml:space="preserve"> </w:t>
      </w:r>
      <w:r>
        <w:rPr>
          <w:sz w:val="18"/>
        </w:rPr>
        <w:t>Appellate</w:t>
      </w:r>
      <w:r>
        <w:rPr>
          <w:spacing w:val="-8"/>
          <w:sz w:val="18"/>
        </w:rPr>
        <w:t xml:space="preserve"> </w:t>
      </w:r>
      <w:r>
        <w:rPr>
          <w:sz w:val="18"/>
        </w:rPr>
        <w:t>Body</w:t>
      </w:r>
      <w:r>
        <w:rPr>
          <w:spacing w:val="-6"/>
          <w:sz w:val="18"/>
        </w:rPr>
        <w:t xml:space="preserve"> </w:t>
      </w:r>
      <w:r>
        <w:rPr>
          <w:sz w:val="18"/>
        </w:rPr>
        <w:t>Report,</w:t>
      </w:r>
      <w:r>
        <w:rPr>
          <w:spacing w:val="-1"/>
          <w:sz w:val="18"/>
        </w:rPr>
        <w:t xml:space="preserve"> </w:t>
      </w:r>
      <w:r>
        <w:rPr>
          <w:i/>
          <w:sz w:val="18"/>
        </w:rPr>
        <w:t>China</w:t>
      </w:r>
      <w:r>
        <w:rPr>
          <w:i/>
          <w:spacing w:val="2"/>
          <w:sz w:val="18"/>
        </w:rPr>
        <w:t xml:space="preserve"> </w:t>
      </w:r>
      <w:r>
        <w:rPr>
          <w:i/>
          <w:sz w:val="18"/>
        </w:rPr>
        <w:t>–</w:t>
      </w:r>
      <w:r>
        <w:rPr>
          <w:i/>
          <w:spacing w:val="-8"/>
          <w:sz w:val="18"/>
        </w:rPr>
        <w:t xml:space="preserve"> </w:t>
      </w:r>
      <w:r>
        <w:rPr>
          <w:i/>
          <w:sz w:val="18"/>
        </w:rPr>
        <w:t>HP-SSST</w:t>
      </w:r>
      <w:r>
        <w:rPr>
          <w:sz w:val="18"/>
        </w:rPr>
        <w:t>,</w:t>
      </w:r>
      <w:r>
        <w:rPr>
          <w:spacing w:val="-2"/>
          <w:sz w:val="18"/>
        </w:rPr>
        <w:t xml:space="preserve"> </w:t>
      </w:r>
      <w:r>
        <w:rPr>
          <w:sz w:val="18"/>
        </w:rPr>
        <w:t>para.</w:t>
      </w:r>
      <w:r>
        <w:rPr>
          <w:spacing w:val="3"/>
          <w:sz w:val="18"/>
        </w:rPr>
        <w:t xml:space="preserve"> </w:t>
      </w:r>
      <w:r>
        <w:rPr>
          <w:spacing w:val="-2"/>
          <w:sz w:val="18"/>
        </w:rPr>
        <w:t>5.105.</w:t>
      </w:r>
    </w:p>
    <w:p w14:paraId="548DD487" w14:textId="77777777" w:rsidR="00BD462C" w:rsidRDefault="00033D0F">
      <w:pPr>
        <w:spacing w:before="1"/>
        <w:ind w:left="136" w:right="907" w:hanging="1"/>
        <w:jc w:val="both"/>
        <w:rPr>
          <w:sz w:val="18"/>
        </w:rPr>
      </w:pPr>
      <w:bookmarkStart w:id="2104" w:name="_bookmark1812"/>
      <w:bookmarkEnd w:id="2104"/>
      <w:r>
        <w:rPr>
          <w:position w:val="5"/>
          <w:sz w:val="12"/>
        </w:rPr>
        <w:t>1582</w:t>
      </w:r>
      <w:r>
        <w:rPr>
          <w:spacing w:val="11"/>
          <w:position w:val="5"/>
          <w:sz w:val="12"/>
        </w:rPr>
        <w:t xml:space="preserve"> </w:t>
      </w:r>
      <w:r>
        <w:rPr>
          <w:sz w:val="18"/>
        </w:rPr>
        <w:t>Australia</w:t>
      </w:r>
      <w:r>
        <w:rPr>
          <w:spacing w:val="-10"/>
          <w:sz w:val="18"/>
        </w:rPr>
        <w:t xml:space="preserve"> </w:t>
      </w:r>
      <w:r>
        <w:rPr>
          <w:sz w:val="18"/>
        </w:rPr>
        <w:t>considers</w:t>
      </w:r>
      <w:r>
        <w:rPr>
          <w:spacing w:val="-3"/>
          <w:sz w:val="18"/>
        </w:rPr>
        <w:t xml:space="preserve"> </w:t>
      </w:r>
      <w:r>
        <w:rPr>
          <w:sz w:val="18"/>
        </w:rPr>
        <w:t>that</w:t>
      </w:r>
      <w:r>
        <w:rPr>
          <w:spacing w:val="-2"/>
          <w:sz w:val="18"/>
        </w:rPr>
        <w:t xml:space="preserve"> </w:t>
      </w:r>
      <w:r>
        <w:rPr>
          <w:sz w:val="18"/>
        </w:rPr>
        <w:t>China's</w:t>
      </w:r>
      <w:r>
        <w:rPr>
          <w:spacing w:val="-3"/>
          <w:sz w:val="18"/>
        </w:rPr>
        <w:t xml:space="preserve"> </w:t>
      </w:r>
      <w:r>
        <w:rPr>
          <w:sz w:val="18"/>
        </w:rPr>
        <w:t>assertion</w:t>
      </w:r>
      <w:r>
        <w:rPr>
          <w:spacing w:val="-4"/>
          <w:sz w:val="18"/>
        </w:rPr>
        <w:t xml:space="preserve"> </w:t>
      </w:r>
      <w:r>
        <w:rPr>
          <w:sz w:val="18"/>
        </w:rPr>
        <w:t>that</w:t>
      </w:r>
      <w:r>
        <w:rPr>
          <w:spacing w:val="-2"/>
          <w:sz w:val="18"/>
        </w:rPr>
        <w:t xml:space="preserve"> </w:t>
      </w:r>
      <w:r>
        <w:rPr>
          <w:sz w:val="18"/>
        </w:rPr>
        <w:t>only</w:t>
      </w:r>
      <w:r>
        <w:rPr>
          <w:spacing w:val="-5"/>
          <w:sz w:val="18"/>
        </w:rPr>
        <w:t xml:space="preserve"> </w:t>
      </w:r>
      <w:r>
        <w:rPr>
          <w:sz w:val="18"/>
        </w:rPr>
        <w:t>Article</w:t>
      </w:r>
      <w:r>
        <w:rPr>
          <w:spacing w:val="-3"/>
          <w:sz w:val="18"/>
        </w:rPr>
        <w:t xml:space="preserve"> </w:t>
      </w:r>
      <w:r>
        <w:rPr>
          <w:sz w:val="18"/>
        </w:rPr>
        <w:t>6.5</w:t>
      </w:r>
      <w:r>
        <w:rPr>
          <w:spacing w:val="-5"/>
          <w:sz w:val="18"/>
        </w:rPr>
        <w:t xml:space="preserve"> </w:t>
      </w:r>
      <w:r>
        <w:rPr>
          <w:sz w:val="18"/>
        </w:rPr>
        <w:t>imposes</w:t>
      </w:r>
      <w:r>
        <w:rPr>
          <w:spacing w:val="-3"/>
          <w:sz w:val="18"/>
        </w:rPr>
        <w:t xml:space="preserve"> </w:t>
      </w:r>
      <w:r>
        <w:rPr>
          <w:sz w:val="18"/>
        </w:rPr>
        <w:t>an</w:t>
      </w:r>
      <w:r>
        <w:rPr>
          <w:spacing w:val="-8"/>
          <w:sz w:val="18"/>
        </w:rPr>
        <w:t xml:space="preserve"> </w:t>
      </w:r>
      <w:r>
        <w:rPr>
          <w:sz w:val="18"/>
        </w:rPr>
        <w:t>obligation</w:t>
      </w:r>
      <w:r>
        <w:rPr>
          <w:spacing w:val="-4"/>
          <w:sz w:val="18"/>
        </w:rPr>
        <w:t xml:space="preserve"> </w:t>
      </w:r>
      <w:r>
        <w:rPr>
          <w:sz w:val="18"/>
        </w:rPr>
        <w:t>on</w:t>
      </w:r>
      <w:r>
        <w:rPr>
          <w:spacing w:val="-8"/>
          <w:sz w:val="18"/>
        </w:rPr>
        <w:t xml:space="preserve"> </w:t>
      </w:r>
      <w:r>
        <w:rPr>
          <w:sz w:val="18"/>
        </w:rPr>
        <w:t>investigating</w:t>
      </w:r>
      <w:r>
        <w:rPr>
          <w:spacing w:val="-3"/>
          <w:sz w:val="18"/>
        </w:rPr>
        <w:t xml:space="preserve"> </w:t>
      </w:r>
      <w:r>
        <w:rPr>
          <w:sz w:val="18"/>
        </w:rPr>
        <w:t>authorities</w:t>
      </w:r>
      <w:r>
        <w:rPr>
          <w:spacing w:val="-3"/>
          <w:sz w:val="18"/>
        </w:rPr>
        <w:t xml:space="preserve"> </w:t>
      </w:r>
      <w:r>
        <w:rPr>
          <w:sz w:val="18"/>
        </w:rPr>
        <w:t>is</w:t>
      </w:r>
      <w:r>
        <w:rPr>
          <w:spacing w:val="-3"/>
          <w:sz w:val="18"/>
        </w:rPr>
        <w:t xml:space="preserve"> </w:t>
      </w:r>
      <w:r>
        <w:rPr>
          <w:sz w:val="18"/>
        </w:rPr>
        <w:t>plainly wrong. The first</w:t>
      </w:r>
      <w:r>
        <w:rPr>
          <w:spacing w:val="-1"/>
          <w:sz w:val="18"/>
        </w:rPr>
        <w:t xml:space="preserve"> </w:t>
      </w:r>
      <w:r>
        <w:rPr>
          <w:sz w:val="18"/>
        </w:rPr>
        <w:t>sentence of</w:t>
      </w:r>
      <w:r>
        <w:rPr>
          <w:spacing w:val="-1"/>
          <w:sz w:val="18"/>
        </w:rPr>
        <w:t xml:space="preserve"> </w:t>
      </w:r>
      <w:r>
        <w:rPr>
          <w:sz w:val="18"/>
        </w:rPr>
        <w:t>Article 6.5.1 states that "[t]he</w:t>
      </w:r>
      <w:r>
        <w:rPr>
          <w:spacing w:val="-2"/>
          <w:sz w:val="18"/>
        </w:rPr>
        <w:t xml:space="preserve"> </w:t>
      </w:r>
      <w:r>
        <w:rPr>
          <w:i/>
          <w:sz w:val="18"/>
        </w:rPr>
        <w:t>authorities</w:t>
      </w:r>
      <w:r>
        <w:rPr>
          <w:i/>
          <w:spacing w:val="-2"/>
          <w:sz w:val="18"/>
        </w:rPr>
        <w:t xml:space="preserve"> </w:t>
      </w:r>
      <w:r>
        <w:rPr>
          <w:sz w:val="18"/>
        </w:rPr>
        <w:t xml:space="preserve">shall require interested parties providing confidential information to furnish non-confidential summaries thereof" (emphasis added). The imperative form "shall require" refers directly to the authorities and, therefore, places responsibility for compliance with them; it is not the party's obligation to ensure compliance with this requirement. Furthermore, China's proposed distinction between "actual information" and "summaries" is not straightforward, as any summaries necessarily convey elements of the "actual information". Australia therefore agrees with the conclusion that the Articles are </w:t>
      </w:r>
      <w:proofErr w:type="gramStart"/>
      <w:r>
        <w:rPr>
          <w:sz w:val="18"/>
        </w:rPr>
        <w:t>distinct, but</w:t>
      </w:r>
      <w:proofErr w:type="gramEnd"/>
      <w:r>
        <w:rPr>
          <w:sz w:val="18"/>
        </w:rPr>
        <w:t xml:space="preserve"> does not agree with China's justifications for this </w:t>
      </w:r>
      <w:r>
        <w:rPr>
          <w:spacing w:val="-2"/>
          <w:sz w:val="18"/>
        </w:rPr>
        <w:t>conclusion.</w:t>
      </w:r>
    </w:p>
    <w:p w14:paraId="601F1EA6" w14:textId="77777777" w:rsidR="00BD462C" w:rsidRDefault="00033D0F">
      <w:pPr>
        <w:spacing w:line="219" w:lineRule="exact"/>
        <w:ind w:left="135"/>
        <w:jc w:val="both"/>
        <w:rPr>
          <w:sz w:val="18"/>
        </w:rPr>
      </w:pPr>
      <w:bookmarkStart w:id="2105" w:name="_bookmark1813"/>
      <w:bookmarkEnd w:id="2105"/>
      <w:r>
        <w:rPr>
          <w:position w:val="5"/>
          <w:sz w:val="12"/>
        </w:rPr>
        <w:t>1583</w:t>
      </w:r>
      <w:r>
        <w:rPr>
          <w:spacing w:val="12"/>
          <w:position w:val="5"/>
          <w:sz w:val="12"/>
        </w:rPr>
        <w:t xml:space="preserve"> </w:t>
      </w:r>
      <w:r>
        <w:rPr>
          <w:sz w:val="18"/>
        </w:rPr>
        <w:t>See</w:t>
      </w:r>
      <w:r>
        <w:rPr>
          <w:spacing w:val="-6"/>
          <w:sz w:val="18"/>
        </w:rPr>
        <w:t xml:space="preserve"> </w:t>
      </w:r>
      <w:r>
        <w:rPr>
          <w:sz w:val="18"/>
        </w:rPr>
        <w:t>above,</w:t>
      </w:r>
      <w:r>
        <w:rPr>
          <w:spacing w:val="-5"/>
          <w:sz w:val="18"/>
        </w:rPr>
        <w:t xml:space="preserve"> </w:t>
      </w:r>
      <w:r>
        <w:rPr>
          <w:sz w:val="18"/>
        </w:rPr>
        <w:t xml:space="preserve">paras. </w:t>
      </w:r>
      <w:hyperlink w:anchor="_bookmark40" w:history="1">
        <w:r>
          <w:rPr>
            <w:sz w:val="18"/>
          </w:rPr>
          <w:t>25</w:t>
        </w:r>
      </w:hyperlink>
      <w:hyperlink w:anchor="_bookmark51" w:history="1">
        <w:r>
          <w:rPr>
            <w:sz w:val="18"/>
          </w:rPr>
          <w:t>-27.</w:t>
        </w:r>
      </w:hyperlink>
      <w:r>
        <w:rPr>
          <w:spacing w:val="-6"/>
          <w:sz w:val="18"/>
        </w:rPr>
        <w:t xml:space="preserve"> </w:t>
      </w:r>
      <w:r>
        <w:rPr>
          <w:sz w:val="18"/>
        </w:rPr>
        <w:t>See</w:t>
      </w:r>
      <w:r>
        <w:rPr>
          <w:spacing w:val="-6"/>
          <w:sz w:val="18"/>
        </w:rPr>
        <w:t xml:space="preserve"> </w:t>
      </w:r>
      <w:r>
        <w:rPr>
          <w:sz w:val="18"/>
        </w:rPr>
        <w:t>China's</w:t>
      </w:r>
      <w:r>
        <w:rPr>
          <w:spacing w:val="-6"/>
          <w:sz w:val="18"/>
        </w:rPr>
        <w:t xml:space="preserve"> </w:t>
      </w:r>
      <w:r>
        <w:rPr>
          <w:sz w:val="18"/>
        </w:rPr>
        <w:t>first</w:t>
      </w:r>
      <w:r>
        <w:rPr>
          <w:spacing w:val="-5"/>
          <w:sz w:val="18"/>
        </w:rPr>
        <w:t xml:space="preserve"> </w:t>
      </w:r>
      <w:r>
        <w:rPr>
          <w:sz w:val="18"/>
        </w:rPr>
        <w:t>written</w:t>
      </w:r>
      <w:r>
        <w:rPr>
          <w:spacing w:val="-7"/>
          <w:sz w:val="18"/>
        </w:rPr>
        <w:t xml:space="preserve"> </w:t>
      </w:r>
      <w:r>
        <w:rPr>
          <w:sz w:val="18"/>
        </w:rPr>
        <w:t>submission,</w:t>
      </w:r>
      <w:r>
        <w:rPr>
          <w:spacing w:val="-4"/>
          <w:sz w:val="18"/>
        </w:rPr>
        <w:t xml:space="preserve"> </w:t>
      </w:r>
      <w:r>
        <w:rPr>
          <w:sz w:val="18"/>
        </w:rPr>
        <w:t>paras.</w:t>
      </w:r>
      <w:r>
        <w:rPr>
          <w:spacing w:val="-1"/>
          <w:sz w:val="18"/>
        </w:rPr>
        <w:t xml:space="preserve"> </w:t>
      </w:r>
      <w:r>
        <w:rPr>
          <w:sz w:val="18"/>
        </w:rPr>
        <w:t>2221-2270;</w:t>
      </w:r>
      <w:r>
        <w:rPr>
          <w:spacing w:val="-8"/>
          <w:sz w:val="18"/>
        </w:rPr>
        <w:t xml:space="preserve"> </w:t>
      </w:r>
      <w:r>
        <w:rPr>
          <w:sz w:val="18"/>
        </w:rPr>
        <w:t>Australia's</w:t>
      </w:r>
      <w:r>
        <w:rPr>
          <w:spacing w:val="-2"/>
          <w:sz w:val="18"/>
        </w:rPr>
        <w:t xml:space="preserve"> </w:t>
      </w:r>
      <w:r>
        <w:rPr>
          <w:sz w:val="18"/>
        </w:rPr>
        <w:t>panel</w:t>
      </w:r>
      <w:r>
        <w:rPr>
          <w:spacing w:val="-1"/>
          <w:sz w:val="18"/>
        </w:rPr>
        <w:t xml:space="preserve"> </w:t>
      </w:r>
      <w:r>
        <w:rPr>
          <w:sz w:val="18"/>
        </w:rPr>
        <w:t>request,</w:t>
      </w:r>
      <w:r>
        <w:rPr>
          <w:spacing w:val="-5"/>
          <w:sz w:val="18"/>
        </w:rPr>
        <w:t xml:space="preserve"> </w:t>
      </w:r>
      <w:r>
        <w:rPr>
          <w:sz w:val="18"/>
        </w:rPr>
        <w:t>para.</w:t>
      </w:r>
      <w:r>
        <w:rPr>
          <w:spacing w:val="-5"/>
          <w:sz w:val="18"/>
        </w:rPr>
        <w:t xml:space="preserve"> </w:t>
      </w:r>
      <w:r>
        <w:rPr>
          <w:spacing w:val="-2"/>
          <w:sz w:val="18"/>
        </w:rPr>
        <w:t>(vi).</w:t>
      </w:r>
    </w:p>
    <w:p w14:paraId="24E7BDD1" w14:textId="77777777" w:rsidR="00BD462C" w:rsidRDefault="00033D0F">
      <w:pPr>
        <w:spacing w:before="1"/>
        <w:ind w:left="135"/>
        <w:jc w:val="both"/>
        <w:rPr>
          <w:sz w:val="18"/>
        </w:rPr>
      </w:pPr>
      <w:bookmarkStart w:id="2106" w:name="_bookmark1814"/>
      <w:bookmarkEnd w:id="2106"/>
      <w:r>
        <w:rPr>
          <w:position w:val="5"/>
          <w:sz w:val="12"/>
        </w:rPr>
        <w:t>1584</w:t>
      </w:r>
      <w:r>
        <w:rPr>
          <w:spacing w:val="14"/>
          <w:position w:val="5"/>
          <w:sz w:val="12"/>
        </w:rPr>
        <w:t xml:space="preserve"> </w:t>
      </w:r>
      <w:r>
        <w:rPr>
          <w:sz w:val="18"/>
        </w:rPr>
        <w:t>Australia's response</w:t>
      </w:r>
      <w:r>
        <w:rPr>
          <w:spacing w:val="-4"/>
          <w:sz w:val="18"/>
        </w:rPr>
        <w:t xml:space="preserve"> </w:t>
      </w:r>
      <w:r>
        <w:rPr>
          <w:sz w:val="18"/>
        </w:rPr>
        <w:t>to</w:t>
      </w:r>
      <w:r>
        <w:rPr>
          <w:spacing w:val="-5"/>
          <w:sz w:val="18"/>
        </w:rPr>
        <w:t xml:space="preserve"> </w:t>
      </w:r>
      <w:r>
        <w:rPr>
          <w:sz w:val="18"/>
        </w:rPr>
        <w:t>Panel</w:t>
      </w:r>
      <w:r>
        <w:rPr>
          <w:spacing w:val="-4"/>
          <w:sz w:val="18"/>
        </w:rPr>
        <w:t xml:space="preserve"> </w:t>
      </w:r>
      <w:r>
        <w:rPr>
          <w:sz w:val="18"/>
        </w:rPr>
        <w:t>question</w:t>
      </w:r>
      <w:r>
        <w:rPr>
          <w:spacing w:val="-5"/>
          <w:sz w:val="18"/>
        </w:rPr>
        <w:t xml:space="preserve"> </w:t>
      </w:r>
      <w:r>
        <w:rPr>
          <w:sz w:val="18"/>
        </w:rPr>
        <w:t>No.</w:t>
      </w:r>
      <w:r>
        <w:rPr>
          <w:spacing w:val="-3"/>
          <w:sz w:val="18"/>
        </w:rPr>
        <w:t xml:space="preserve"> </w:t>
      </w:r>
      <w:r>
        <w:rPr>
          <w:sz w:val="18"/>
        </w:rPr>
        <w:t>55</w:t>
      </w:r>
      <w:r>
        <w:rPr>
          <w:spacing w:val="-2"/>
          <w:sz w:val="18"/>
        </w:rPr>
        <w:t xml:space="preserve"> </w:t>
      </w:r>
      <w:r>
        <w:rPr>
          <w:sz w:val="18"/>
        </w:rPr>
        <w:t>and</w:t>
      </w:r>
      <w:r>
        <w:rPr>
          <w:spacing w:val="-5"/>
          <w:sz w:val="18"/>
        </w:rPr>
        <w:t xml:space="preserve"> </w:t>
      </w:r>
      <w:r>
        <w:rPr>
          <w:sz w:val="18"/>
        </w:rPr>
        <w:t>Attachment</w:t>
      </w:r>
      <w:r>
        <w:rPr>
          <w:spacing w:val="-4"/>
          <w:sz w:val="18"/>
        </w:rPr>
        <w:t xml:space="preserve"> </w:t>
      </w:r>
      <w:r>
        <w:rPr>
          <w:sz w:val="18"/>
        </w:rPr>
        <w:t>A</w:t>
      </w:r>
      <w:r>
        <w:rPr>
          <w:spacing w:val="-6"/>
          <w:sz w:val="18"/>
        </w:rPr>
        <w:t xml:space="preserve"> </w:t>
      </w:r>
      <w:r>
        <w:rPr>
          <w:sz w:val="18"/>
        </w:rPr>
        <w:t>(Instances</w:t>
      </w:r>
      <w:r>
        <w:rPr>
          <w:spacing w:val="-4"/>
          <w:sz w:val="18"/>
        </w:rPr>
        <w:t xml:space="preserve"> </w:t>
      </w:r>
      <w:r>
        <w:rPr>
          <w:sz w:val="18"/>
        </w:rPr>
        <w:t>of</w:t>
      </w:r>
      <w:r>
        <w:rPr>
          <w:spacing w:val="1"/>
          <w:sz w:val="18"/>
        </w:rPr>
        <w:t xml:space="preserve"> </w:t>
      </w:r>
      <w:r>
        <w:rPr>
          <w:sz w:val="18"/>
        </w:rPr>
        <w:t>Article</w:t>
      </w:r>
      <w:r>
        <w:rPr>
          <w:spacing w:val="-4"/>
          <w:sz w:val="18"/>
        </w:rPr>
        <w:t xml:space="preserve"> </w:t>
      </w:r>
      <w:r>
        <w:rPr>
          <w:sz w:val="18"/>
        </w:rPr>
        <w:t>6.5.1</w:t>
      </w:r>
      <w:r>
        <w:rPr>
          <w:spacing w:val="-6"/>
          <w:sz w:val="18"/>
        </w:rPr>
        <w:t xml:space="preserve"> </w:t>
      </w:r>
      <w:r>
        <w:rPr>
          <w:spacing w:val="-2"/>
          <w:sz w:val="18"/>
        </w:rPr>
        <w:t>Breaches).</w:t>
      </w:r>
    </w:p>
    <w:p w14:paraId="6969C9E6" w14:textId="77777777" w:rsidR="00BD462C" w:rsidRDefault="00033D0F">
      <w:pPr>
        <w:spacing w:before="1"/>
        <w:ind w:left="136" w:right="911" w:hanging="1"/>
        <w:jc w:val="both"/>
        <w:rPr>
          <w:sz w:val="18"/>
        </w:rPr>
      </w:pPr>
      <w:bookmarkStart w:id="2107" w:name="_bookmark1815"/>
      <w:bookmarkEnd w:id="2107"/>
      <w:r>
        <w:rPr>
          <w:position w:val="5"/>
          <w:sz w:val="12"/>
        </w:rPr>
        <w:t>1585</w:t>
      </w:r>
      <w:r>
        <w:rPr>
          <w:spacing w:val="12"/>
          <w:position w:val="5"/>
          <w:sz w:val="12"/>
        </w:rPr>
        <w:t xml:space="preserve"> </w:t>
      </w:r>
      <w:r>
        <w:rPr>
          <w:sz w:val="18"/>
        </w:rPr>
        <w:t>Canada's</w:t>
      </w:r>
      <w:r>
        <w:rPr>
          <w:spacing w:val="-2"/>
          <w:sz w:val="18"/>
        </w:rPr>
        <w:t xml:space="preserve"> </w:t>
      </w:r>
      <w:r>
        <w:rPr>
          <w:sz w:val="18"/>
        </w:rPr>
        <w:t>response</w:t>
      </w:r>
      <w:r>
        <w:rPr>
          <w:spacing w:val="-7"/>
          <w:sz w:val="18"/>
        </w:rPr>
        <w:t xml:space="preserve"> </w:t>
      </w:r>
      <w:r>
        <w:rPr>
          <w:sz w:val="18"/>
        </w:rPr>
        <w:t>to</w:t>
      </w:r>
      <w:r>
        <w:rPr>
          <w:spacing w:val="-8"/>
          <w:sz w:val="18"/>
        </w:rPr>
        <w:t xml:space="preserve"> </w:t>
      </w:r>
      <w:r>
        <w:rPr>
          <w:sz w:val="18"/>
        </w:rPr>
        <w:t>Panel</w:t>
      </w:r>
      <w:r>
        <w:rPr>
          <w:spacing w:val="-6"/>
          <w:sz w:val="18"/>
        </w:rPr>
        <w:t xml:space="preserve"> </w:t>
      </w:r>
      <w:r>
        <w:rPr>
          <w:sz w:val="18"/>
        </w:rPr>
        <w:t>question</w:t>
      </w:r>
      <w:r>
        <w:rPr>
          <w:spacing w:val="-8"/>
          <w:sz w:val="18"/>
        </w:rPr>
        <w:t xml:space="preserve"> </w:t>
      </w:r>
      <w:r>
        <w:rPr>
          <w:sz w:val="18"/>
        </w:rPr>
        <w:t>No.</w:t>
      </w:r>
      <w:r>
        <w:rPr>
          <w:spacing w:val="-1"/>
          <w:sz w:val="18"/>
        </w:rPr>
        <w:t xml:space="preserve"> </w:t>
      </w:r>
      <w:r>
        <w:rPr>
          <w:sz w:val="18"/>
        </w:rPr>
        <w:t>2</w:t>
      </w:r>
      <w:r>
        <w:rPr>
          <w:spacing w:val="-9"/>
          <w:sz w:val="18"/>
        </w:rPr>
        <w:t xml:space="preserve"> </w:t>
      </w:r>
      <w:r>
        <w:rPr>
          <w:sz w:val="18"/>
        </w:rPr>
        <w:t>following</w:t>
      </w:r>
      <w:r>
        <w:rPr>
          <w:spacing w:val="-7"/>
          <w:sz w:val="18"/>
        </w:rPr>
        <w:t xml:space="preserve"> </w:t>
      </w:r>
      <w:r>
        <w:rPr>
          <w:sz w:val="18"/>
        </w:rPr>
        <w:t>the</w:t>
      </w:r>
      <w:r>
        <w:rPr>
          <w:spacing w:val="-2"/>
          <w:sz w:val="18"/>
        </w:rPr>
        <w:t xml:space="preserve"> </w:t>
      </w:r>
      <w:r>
        <w:rPr>
          <w:sz w:val="18"/>
        </w:rPr>
        <w:t>third-party</w:t>
      </w:r>
      <w:r>
        <w:rPr>
          <w:spacing w:val="-4"/>
          <w:sz w:val="18"/>
        </w:rPr>
        <w:t xml:space="preserve"> </w:t>
      </w:r>
      <w:r>
        <w:rPr>
          <w:sz w:val="18"/>
        </w:rPr>
        <w:t>session,</w:t>
      </w:r>
      <w:r>
        <w:rPr>
          <w:spacing w:val="-5"/>
          <w:sz w:val="18"/>
        </w:rPr>
        <w:t xml:space="preserve"> </w:t>
      </w:r>
      <w:r>
        <w:rPr>
          <w:sz w:val="18"/>
        </w:rPr>
        <w:t>para.</w:t>
      </w:r>
      <w:r>
        <w:rPr>
          <w:spacing w:val="-1"/>
          <w:sz w:val="18"/>
        </w:rPr>
        <w:t xml:space="preserve"> </w:t>
      </w:r>
      <w:r>
        <w:rPr>
          <w:sz w:val="18"/>
        </w:rPr>
        <w:t>4;</w:t>
      </w:r>
      <w:r>
        <w:rPr>
          <w:spacing w:val="-8"/>
          <w:sz w:val="18"/>
        </w:rPr>
        <w:t xml:space="preserve"> </w:t>
      </w:r>
      <w:r>
        <w:rPr>
          <w:sz w:val="18"/>
        </w:rPr>
        <w:t>United</w:t>
      </w:r>
      <w:r>
        <w:rPr>
          <w:spacing w:val="-7"/>
          <w:sz w:val="18"/>
        </w:rPr>
        <w:t xml:space="preserve"> </w:t>
      </w:r>
      <w:r>
        <w:rPr>
          <w:sz w:val="18"/>
        </w:rPr>
        <w:t>Kingdom's</w:t>
      </w:r>
      <w:r>
        <w:rPr>
          <w:spacing w:val="-2"/>
          <w:sz w:val="18"/>
        </w:rPr>
        <w:t xml:space="preserve"> </w:t>
      </w:r>
      <w:r>
        <w:rPr>
          <w:sz w:val="18"/>
        </w:rPr>
        <w:t>response</w:t>
      </w:r>
      <w:r>
        <w:rPr>
          <w:spacing w:val="-7"/>
          <w:sz w:val="18"/>
        </w:rPr>
        <w:t xml:space="preserve"> </w:t>
      </w:r>
      <w:r>
        <w:rPr>
          <w:sz w:val="18"/>
        </w:rPr>
        <w:t>to</w:t>
      </w:r>
      <w:r>
        <w:rPr>
          <w:spacing w:val="-8"/>
          <w:sz w:val="18"/>
        </w:rPr>
        <w:t xml:space="preserve"> </w:t>
      </w:r>
      <w:r>
        <w:rPr>
          <w:sz w:val="18"/>
        </w:rPr>
        <w:t xml:space="preserve">Panel question No 2 following the third-party session, para. 7; see also Appellate Body Report, </w:t>
      </w:r>
      <w:r>
        <w:rPr>
          <w:i/>
          <w:sz w:val="18"/>
        </w:rPr>
        <w:t>EC – Fasteners (China)</w:t>
      </w:r>
      <w:r>
        <w:rPr>
          <w:sz w:val="18"/>
        </w:rPr>
        <w:t>, para. 530.</w:t>
      </w:r>
    </w:p>
    <w:p w14:paraId="1A7367A1" w14:textId="77777777" w:rsidR="00BD462C" w:rsidRDefault="00BD462C">
      <w:pPr>
        <w:jc w:val="both"/>
        <w:rPr>
          <w:sz w:val="18"/>
        </w:rPr>
        <w:sectPr w:rsidR="00BD462C">
          <w:pgSz w:w="11910" w:h="16840"/>
          <w:pgMar w:top="860" w:right="500" w:bottom="780" w:left="1280" w:header="566" w:footer="590" w:gutter="0"/>
          <w:cols w:space="720"/>
        </w:sectPr>
      </w:pPr>
    </w:p>
    <w:p w14:paraId="585B549E"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42CA1607"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5DBBE235"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0BE1F907" w14:textId="77777777" w:rsidR="00BD462C" w:rsidRDefault="00033D0F">
      <w:pPr>
        <w:pStyle w:val="BodyText"/>
        <w:spacing w:before="2" w:line="360" w:lineRule="auto"/>
        <w:ind w:left="135" w:right="913"/>
        <w:jc w:val="both"/>
      </w:pPr>
      <w:r>
        <w:t>the concerned party's consent, this is necessarily a breach of the obligation to treat that party's confidential information "as such". Australia therefore submits that the second sentence of Article 6.5 elaborates how an investigating authority must comply with the overarching obligation in the first</w:t>
      </w:r>
      <w:r>
        <w:rPr>
          <w:spacing w:val="-2"/>
        </w:rPr>
        <w:t xml:space="preserve"> </w:t>
      </w:r>
      <w:r>
        <w:t>sentence. As a singular obligation,</w:t>
      </w:r>
      <w:r>
        <w:rPr>
          <w:spacing w:val="-1"/>
        </w:rPr>
        <w:t xml:space="preserve"> </w:t>
      </w:r>
      <w:r>
        <w:t>it</w:t>
      </w:r>
      <w:r>
        <w:rPr>
          <w:spacing w:val="-2"/>
        </w:rPr>
        <w:t xml:space="preserve"> </w:t>
      </w:r>
      <w:r>
        <w:t>is</w:t>
      </w:r>
      <w:r>
        <w:rPr>
          <w:spacing w:val="-1"/>
        </w:rPr>
        <w:t xml:space="preserve"> </w:t>
      </w:r>
      <w:r>
        <w:t>sufficient</w:t>
      </w:r>
      <w:r>
        <w:rPr>
          <w:spacing w:val="-2"/>
        </w:rPr>
        <w:t xml:space="preserve"> </w:t>
      </w:r>
      <w:r>
        <w:t>to identify Article 6.5 in the panel request in order to present the problem clearly and place China on notice as to the legal basis of Australia's claim.</w:t>
      </w:r>
      <w:hyperlink w:anchor="_bookmark1817" w:history="1">
        <w:r>
          <w:rPr>
            <w:vertAlign w:val="superscript"/>
          </w:rPr>
          <w:t>1586</w:t>
        </w:r>
      </w:hyperlink>
    </w:p>
    <w:p w14:paraId="771B38FD" w14:textId="77777777" w:rsidR="00BD462C" w:rsidRDefault="00BD462C">
      <w:pPr>
        <w:pStyle w:val="BodyText"/>
        <w:rPr>
          <w:sz w:val="9"/>
        </w:rPr>
      </w:pPr>
    </w:p>
    <w:p w14:paraId="6A662BA2" w14:textId="3992CA6A" w:rsidR="00BD462C" w:rsidRDefault="006667A0">
      <w:pPr>
        <w:pStyle w:val="BodyText"/>
        <w:spacing w:before="56" w:line="360" w:lineRule="auto"/>
        <w:ind w:left="135" w:right="913"/>
        <w:jc w:val="both"/>
      </w:pPr>
      <w:r>
        <w:rPr>
          <w:noProof/>
        </w:rPr>
        <w:t>52.</w:t>
      </w:r>
      <w:r w:rsidR="00033D0F">
        <w:rPr>
          <w:rFonts w:ascii="Times New Roman"/>
          <w:spacing w:val="80"/>
          <w:w w:val="150"/>
          <w:position w:val="1"/>
          <w:sz w:val="20"/>
        </w:rPr>
        <w:t xml:space="preserve">  </w:t>
      </w:r>
      <w:r w:rsidR="00033D0F">
        <w:rPr>
          <w:position w:val="1"/>
        </w:rPr>
        <w:t>Even</w:t>
      </w:r>
      <w:r w:rsidR="00033D0F">
        <w:rPr>
          <w:spacing w:val="-14"/>
          <w:position w:val="1"/>
        </w:rPr>
        <w:t xml:space="preserve"> </w:t>
      </w:r>
      <w:r w:rsidR="00033D0F">
        <w:rPr>
          <w:position w:val="1"/>
        </w:rPr>
        <w:t>if,</w:t>
      </w:r>
      <w:r w:rsidR="00033D0F">
        <w:rPr>
          <w:spacing w:val="-14"/>
          <w:position w:val="1"/>
        </w:rPr>
        <w:t xml:space="preserve"> </w:t>
      </w:r>
      <w:r w:rsidR="00033D0F">
        <w:rPr>
          <w:i/>
          <w:position w:val="1"/>
        </w:rPr>
        <w:t>arguendo</w:t>
      </w:r>
      <w:r w:rsidR="00033D0F">
        <w:rPr>
          <w:position w:val="1"/>
        </w:rPr>
        <w:t>,</w:t>
      </w:r>
      <w:r w:rsidR="00033D0F">
        <w:rPr>
          <w:spacing w:val="-13"/>
          <w:position w:val="1"/>
        </w:rPr>
        <w:t xml:space="preserve"> </w:t>
      </w:r>
      <w:r w:rsidR="00033D0F">
        <w:rPr>
          <w:position w:val="1"/>
        </w:rPr>
        <w:t>Article</w:t>
      </w:r>
      <w:r w:rsidR="00033D0F">
        <w:rPr>
          <w:spacing w:val="-14"/>
          <w:position w:val="1"/>
        </w:rPr>
        <w:t xml:space="preserve"> </w:t>
      </w:r>
      <w:r w:rsidR="00033D0F">
        <w:rPr>
          <w:position w:val="1"/>
        </w:rPr>
        <w:t>6.5</w:t>
      </w:r>
      <w:r w:rsidR="00033D0F">
        <w:rPr>
          <w:spacing w:val="-13"/>
          <w:position w:val="1"/>
        </w:rPr>
        <w:t xml:space="preserve"> </w:t>
      </w:r>
      <w:r w:rsidR="00033D0F">
        <w:rPr>
          <w:position w:val="1"/>
        </w:rPr>
        <w:t>contained</w:t>
      </w:r>
      <w:r w:rsidR="00033D0F">
        <w:rPr>
          <w:spacing w:val="-14"/>
          <w:position w:val="1"/>
        </w:rPr>
        <w:t xml:space="preserve"> </w:t>
      </w:r>
      <w:r w:rsidR="00033D0F">
        <w:rPr>
          <w:position w:val="1"/>
        </w:rPr>
        <w:t>multiple</w:t>
      </w:r>
      <w:r w:rsidR="00033D0F">
        <w:rPr>
          <w:spacing w:val="-13"/>
          <w:position w:val="1"/>
        </w:rPr>
        <w:t xml:space="preserve"> </w:t>
      </w:r>
      <w:r w:rsidR="00033D0F">
        <w:rPr>
          <w:position w:val="1"/>
        </w:rPr>
        <w:t>obligations,</w:t>
      </w:r>
      <w:r w:rsidR="00033D0F">
        <w:rPr>
          <w:spacing w:val="-14"/>
          <w:position w:val="1"/>
        </w:rPr>
        <w:t xml:space="preserve"> </w:t>
      </w:r>
      <w:r w:rsidR="00033D0F">
        <w:rPr>
          <w:position w:val="1"/>
        </w:rPr>
        <w:t>Australia's</w:t>
      </w:r>
      <w:r w:rsidR="00033D0F">
        <w:rPr>
          <w:spacing w:val="-14"/>
          <w:position w:val="1"/>
        </w:rPr>
        <w:t xml:space="preserve"> </w:t>
      </w:r>
      <w:r w:rsidR="00033D0F">
        <w:rPr>
          <w:position w:val="1"/>
        </w:rPr>
        <w:t>claim</w:t>
      </w:r>
      <w:r w:rsidR="00033D0F">
        <w:rPr>
          <w:spacing w:val="-13"/>
          <w:position w:val="1"/>
        </w:rPr>
        <w:t xml:space="preserve"> </w:t>
      </w:r>
      <w:r w:rsidR="00033D0F">
        <w:rPr>
          <w:position w:val="1"/>
        </w:rPr>
        <w:t>was</w:t>
      </w:r>
      <w:r w:rsidR="00033D0F">
        <w:rPr>
          <w:spacing w:val="-14"/>
          <w:position w:val="1"/>
        </w:rPr>
        <w:t xml:space="preserve"> </w:t>
      </w:r>
      <w:r w:rsidR="00033D0F">
        <w:rPr>
          <w:position w:val="1"/>
        </w:rPr>
        <w:t xml:space="preserve">still </w:t>
      </w:r>
      <w:r w:rsidR="00033D0F">
        <w:t>clear on the face of the panel request. As set out above, the only reasonable understanding of Australia's Article 6.5 claim based on the text of the panel request was that it related to improper treatment of information as confidential as opposed to improper disclosure of confidential information. China was at all times aware of the nature of Australia's claim.</w:t>
      </w:r>
    </w:p>
    <w:p w14:paraId="6CA4CB14" w14:textId="77777777" w:rsidR="00BD462C" w:rsidRDefault="00033D0F">
      <w:pPr>
        <w:pStyle w:val="Heading3"/>
        <w:numPr>
          <w:ilvl w:val="2"/>
          <w:numId w:val="5"/>
        </w:numPr>
        <w:tabs>
          <w:tab w:val="left" w:pos="1836"/>
        </w:tabs>
        <w:spacing w:before="155" w:line="357" w:lineRule="auto"/>
        <w:ind w:right="913"/>
      </w:pPr>
      <w:bookmarkStart w:id="2108" w:name="A.5.4_Australia's_claim_pursuant_to_Arti"/>
      <w:bookmarkStart w:id="2109" w:name="_bookmark1816"/>
      <w:bookmarkEnd w:id="2108"/>
      <w:bookmarkEnd w:id="2109"/>
      <w:r>
        <w:t xml:space="preserve">Australia's claim pursuant to Article 6.9 is within the Panel's terms of </w:t>
      </w:r>
      <w:r>
        <w:rPr>
          <w:spacing w:val="-2"/>
        </w:rPr>
        <w:t>reference.</w:t>
      </w:r>
    </w:p>
    <w:p w14:paraId="090FA752" w14:textId="77777777" w:rsidR="00BD462C" w:rsidRDefault="00BD462C">
      <w:pPr>
        <w:pStyle w:val="BodyText"/>
        <w:spacing w:before="2"/>
        <w:rPr>
          <w:b/>
          <w:sz w:val="9"/>
        </w:rPr>
      </w:pPr>
    </w:p>
    <w:p w14:paraId="38929B61" w14:textId="79DCCA53" w:rsidR="00BD462C" w:rsidRDefault="006667A0">
      <w:pPr>
        <w:pStyle w:val="BodyText"/>
        <w:spacing w:before="56" w:line="357" w:lineRule="auto"/>
        <w:ind w:left="136" w:right="910"/>
      </w:pPr>
      <w:r>
        <w:rPr>
          <w:noProof/>
        </w:rPr>
        <w:t>53.</w:t>
      </w:r>
      <w:r w:rsidR="00033D0F">
        <w:rPr>
          <w:rFonts w:ascii="Times New Roman"/>
          <w:spacing w:val="80"/>
          <w:w w:val="150"/>
          <w:position w:val="1"/>
          <w:sz w:val="20"/>
        </w:rPr>
        <w:t xml:space="preserve">   </w:t>
      </w:r>
      <w:r w:rsidR="00033D0F">
        <w:rPr>
          <w:position w:val="1"/>
        </w:rPr>
        <w:t xml:space="preserve">Australia has explained in detail that its claim pursuant to Article 6.9 is clear on the </w:t>
      </w:r>
      <w:r w:rsidR="00033D0F">
        <w:t>face of the panel request.</w:t>
      </w:r>
      <w:hyperlink w:anchor="_bookmark1818" w:history="1">
        <w:r w:rsidR="00033D0F">
          <w:rPr>
            <w:vertAlign w:val="superscript"/>
          </w:rPr>
          <w:t>1587</w:t>
        </w:r>
      </w:hyperlink>
      <w:r w:rsidR="00033D0F">
        <w:t xml:space="preserve"> It stands on those submissions.</w:t>
      </w:r>
    </w:p>
    <w:p w14:paraId="6B5FA09E" w14:textId="77777777" w:rsidR="00BD462C" w:rsidRDefault="00BD462C">
      <w:pPr>
        <w:pStyle w:val="BodyText"/>
        <w:spacing w:before="3"/>
        <w:rPr>
          <w:sz w:val="9"/>
        </w:rPr>
      </w:pPr>
    </w:p>
    <w:p w14:paraId="4EA1B912" w14:textId="1428593C" w:rsidR="00BD462C" w:rsidRDefault="006667A0">
      <w:pPr>
        <w:pStyle w:val="BodyText"/>
        <w:spacing w:before="56" w:line="360" w:lineRule="auto"/>
        <w:ind w:left="136" w:right="912"/>
        <w:jc w:val="both"/>
      </w:pPr>
      <w:r>
        <w:rPr>
          <w:noProof/>
        </w:rPr>
        <w:t>54.</w:t>
      </w:r>
      <w:r w:rsidR="00033D0F">
        <w:rPr>
          <w:rFonts w:ascii="Times New Roman" w:hAnsi="Times New Roman"/>
          <w:spacing w:val="80"/>
          <w:position w:val="1"/>
          <w:sz w:val="20"/>
        </w:rPr>
        <w:t xml:space="preserve">  </w:t>
      </w:r>
      <w:r w:rsidR="00033D0F">
        <w:rPr>
          <w:position w:val="1"/>
        </w:rPr>
        <w:t xml:space="preserve">However, China further alleges that Australia's first written submission includes two </w:t>
      </w:r>
      <w:r w:rsidR="00033D0F">
        <w:t>claims that were not in its panel request. It considers that Australia cannot bring arguments regarding "the proportion of production accounted for by the participating domestic producers"</w:t>
      </w:r>
      <w:hyperlink w:anchor="_bookmark1819" w:history="1">
        <w:r w:rsidR="00033D0F">
          <w:rPr>
            <w:vertAlign w:val="superscript"/>
          </w:rPr>
          <w:t>1588</w:t>
        </w:r>
      </w:hyperlink>
      <w:r w:rsidR="00033D0F">
        <w:rPr>
          <w:spacing w:val="-9"/>
        </w:rPr>
        <w:t xml:space="preserve"> </w:t>
      </w:r>
      <w:r w:rsidR="00033D0F">
        <w:t>and</w:t>
      </w:r>
      <w:r w:rsidR="00033D0F">
        <w:rPr>
          <w:spacing w:val="-13"/>
        </w:rPr>
        <w:t xml:space="preserve"> </w:t>
      </w:r>
      <w:r w:rsidR="00033D0F">
        <w:t>“differences</w:t>
      </w:r>
      <w:r w:rsidR="00033D0F">
        <w:rPr>
          <w:spacing w:val="-8"/>
        </w:rPr>
        <w:t xml:space="preserve"> </w:t>
      </w:r>
      <w:r w:rsidR="00033D0F">
        <w:t>in</w:t>
      </w:r>
      <w:r w:rsidR="00033D0F">
        <w:rPr>
          <w:spacing w:val="-13"/>
        </w:rPr>
        <w:t xml:space="preserve"> </w:t>
      </w:r>
      <w:r w:rsidR="00033D0F">
        <w:t>price</w:t>
      </w:r>
      <w:r w:rsidR="00033D0F">
        <w:rPr>
          <w:spacing w:val="-11"/>
        </w:rPr>
        <w:t xml:space="preserve"> </w:t>
      </w:r>
      <w:r w:rsidR="00033D0F">
        <w:t>comparability".</w:t>
      </w:r>
      <w:hyperlink w:anchor="_bookmark1820" w:history="1">
        <w:r w:rsidR="00033D0F">
          <w:rPr>
            <w:vertAlign w:val="superscript"/>
          </w:rPr>
          <w:t>1589</w:t>
        </w:r>
      </w:hyperlink>
      <w:r w:rsidR="00033D0F">
        <w:rPr>
          <w:spacing w:val="-9"/>
        </w:rPr>
        <w:t xml:space="preserve"> </w:t>
      </w:r>
      <w:r w:rsidR="00033D0F">
        <w:t>This</w:t>
      </w:r>
      <w:r w:rsidR="00033D0F">
        <w:rPr>
          <w:spacing w:val="-8"/>
        </w:rPr>
        <w:t xml:space="preserve"> </w:t>
      </w:r>
      <w:r w:rsidR="00033D0F">
        <w:t>objection</w:t>
      </w:r>
      <w:r w:rsidR="00033D0F">
        <w:rPr>
          <w:spacing w:val="-13"/>
        </w:rPr>
        <w:t xml:space="preserve"> </w:t>
      </w:r>
      <w:r w:rsidR="00033D0F">
        <w:t>again</w:t>
      </w:r>
      <w:r w:rsidR="00033D0F">
        <w:rPr>
          <w:spacing w:val="-13"/>
        </w:rPr>
        <w:t xml:space="preserve"> </w:t>
      </w:r>
      <w:r w:rsidR="00033D0F">
        <w:t>demonstrates China's misinterpretation of the standard under Article 6.2 of the DSU, in that, by falsely inserting</w:t>
      </w:r>
      <w:r w:rsidR="00033D0F">
        <w:rPr>
          <w:spacing w:val="-1"/>
        </w:rPr>
        <w:t xml:space="preserve"> </w:t>
      </w:r>
      <w:r w:rsidR="00033D0F">
        <w:t>an</w:t>
      </w:r>
      <w:r w:rsidR="00033D0F">
        <w:rPr>
          <w:spacing w:val="-4"/>
        </w:rPr>
        <w:t xml:space="preserve"> </w:t>
      </w:r>
      <w:r w:rsidR="00033D0F">
        <w:t>obligation</w:t>
      </w:r>
      <w:r w:rsidR="00033D0F">
        <w:rPr>
          <w:spacing w:val="-4"/>
        </w:rPr>
        <w:t xml:space="preserve"> </w:t>
      </w:r>
      <w:r w:rsidR="00033D0F">
        <w:t>to</w:t>
      </w:r>
      <w:r w:rsidR="00033D0F">
        <w:rPr>
          <w:spacing w:val="-5"/>
        </w:rPr>
        <w:t xml:space="preserve"> </w:t>
      </w:r>
      <w:r w:rsidR="00033D0F">
        <w:t>explain</w:t>
      </w:r>
      <w:r w:rsidR="00033D0F">
        <w:rPr>
          <w:spacing w:val="-4"/>
        </w:rPr>
        <w:t xml:space="preserve"> </w:t>
      </w:r>
      <w:r w:rsidR="00033D0F">
        <w:t>"how or why"</w:t>
      </w:r>
      <w:r w:rsidR="00033D0F">
        <w:rPr>
          <w:spacing w:val="-3"/>
        </w:rPr>
        <w:t xml:space="preserve"> </w:t>
      </w:r>
      <w:r w:rsidR="00033D0F">
        <w:t>a measure</w:t>
      </w:r>
      <w:r w:rsidR="00033D0F">
        <w:rPr>
          <w:spacing w:val="-2"/>
        </w:rPr>
        <w:t xml:space="preserve"> </w:t>
      </w:r>
      <w:r w:rsidR="00033D0F">
        <w:t>is</w:t>
      </w:r>
      <w:r w:rsidR="00033D0F">
        <w:rPr>
          <w:spacing w:val="-1"/>
        </w:rPr>
        <w:t xml:space="preserve"> </w:t>
      </w:r>
      <w:r w:rsidR="00033D0F">
        <w:t>infringed,</w:t>
      </w:r>
      <w:r w:rsidR="00033D0F">
        <w:rPr>
          <w:spacing w:val="-1"/>
        </w:rPr>
        <w:t xml:space="preserve"> </w:t>
      </w:r>
      <w:r w:rsidR="00033D0F">
        <w:t>it</w:t>
      </w:r>
      <w:r w:rsidR="00033D0F">
        <w:rPr>
          <w:spacing w:val="-2"/>
        </w:rPr>
        <w:t xml:space="preserve"> </w:t>
      </w:r>
      <w:r w:rsidR="00033D0F">
        <w:t>improperly</w:t>
      </w:r>
      <w:r w:rsidR="00033D0F">
        <w:rPr>
          <w:spacing w:val="-1"/>
        </w:rPr>
        <w:t xml:space="preserve"> </w:t>
      </w:r>
      <w:r w:rsidR="00033D0F">
        <w:t xml:space="preserve">expands that obligation to include </w:t>
      </w:r>
      <w:r w:rsidR="00033D0F">
        <w:rPr>
          <w:i/>
        </w:rPr>
        <w:t>arguments</w:t>
      </w:r>
      <w:r w:rsidR="00033D0F">
        <w:t>.</w:t>
      </w:r>
      <w:hyperlink w:anchor="_bookmark1821" w:history="1">
        <w:r w:rsidR="00033D0F">
          <w:rPr>
            <w:vertAlign w:val="superscript"/>
          </w:rPr>
          <w:t>1590</w:t>
        </w:r>
      </w:hyperlink>
    </w:p>
    <w:p w14:paraId="2D45C221" w14:textId="77777777" w:rsidR="00BD462C" w:rsidRDefault="00BD462C">
      <w:pPr>
        <w:pStyle w:val="BodyText"/>
        <w:spacing w:before="5"/>
        <w:rPr>
          <w:sz w:val="8"/>
        </w:rPr>
      </w:pPr>
    </w:p>
    <w:p w14:paraId="6835369D" w14:textId="7CE86A0B" w:rsidR="00BD462C" w:rsidRDefault="006667A0">
      <w:pPr>
        <w:pStyle w:val="BodyText"/>
        <w:spacing w:before="56" w:line="357" w:lineRule="auto"/>
        <w:ind w:left="135" w:right="918"/>
        <w:jc w:val="both"/>
      </w:pPr>
      <w:r>
        <w:rPr>
          <w:noProof/>
        </w:rPr>
        <w:t>55.</w:t>
      </w:r>
      <w:r w:rsidR="00033D0F">
        <w:rPr>
          <w:rFonts w:ascii="Times New Roman"/>
          <w:spacing w:val="80"/>
          <w:position w:val="1"/>
          <w:sz w:val="20"/>
        </w:rPr>
        <w:t xml:space="preserve">  </w:t>
      </w:r>
      <w:r w:rsidR="00033D0F">
        <w:rPr>
          <w:position w:val="1"/>
        </w:rPr>
        <w:t xml:space="preserve">In this instance, Australia's claim is that China failed to comply with its obligation to </w:t>
      </w:r>
      <w:r w:rsidR="00033D0F">
        <w:t>disclose "the essential facts under consideration which formed the basis for the determinations",</w:t>
      </w:r>
      <w:r w:rsidR="00033D0F">
        <w:rPr>
          <w:spacing w:val="-1"/>
        </w:rPr>
        <w:t xml:space="preserve"> </w:t>
      </w:r>
      <w:r w:rsidR="00033D0F">
        <w:t>including "all relevant information</w:t>
      </w:r>
      <w:r w:rsidR="00033D0F">
        <w:rPr>
          <w:spacing w:val="-1"/>
        </w:rPr>
        <w:t xml:space="preserve"> </w:t>
      </w:r>
      <w:r w:rsidR="00033D0F">
        <w:t>on</w:t>
      </w:r>
      <w:r w:rsidR="00033D0F">
        <w:rPr>
          <w:spacing w:val="-1"/>
        </w:rPr>
        <w:t xml:space="preserve"> </w:t>
      </w:r>
      <w:r w:rsidR="00033D0F">
        <w:t>the matters of fact, law and</w:t>
      </w:r>
      <w:r w:rsidR="00033D0F">
        <w:rPr>
          <w:spacing w:val="-1"/>
        </w:rPr>
        <w:t xml:space="preserve"> </w:t>
      </w:r>
      <w:r w:rsidR="00033D0F">
        <w:t>reasons"</w:t>
      </w:r>
    </w:p>
    <w:p w14:paraId="5C7D21F0" w14:textId="77777777" w:rsidR="00BD462C" w:rsidRDefault="00BD462C">
      <w:pPr>
        <w:pStyle w:val="BodyText"/>
        <w:rPr>
          <w:sz w:val="20"/>
        </w:rPr>
      </w:pPr>
    </w:p>
    <w:p w14:paraId="478BEC86" w14:textId="77777777" w:rsidR="00BD462C" w:rsidRDefault="00BD462C">
      <w:pPr>
        <w:pStyle w:val="BodyText"/>
        <w:rPr>
          <w:sz w:val="20"/>
        </w:rPr>
      </w:pPr>
    </w:p>
    <w:p w14:paraId="5DFD9F94" w14:textId="5AD9DE48" w:rsidR="00BD462C" w:rsidRDefault="00E14314">
      <w:pPr>
        <w:pStyle w:val="BodyText"/>
        <w:spacing w:before="5"/>
      </w:pPr>
      <w:r>
        <w:rPr>
          <w:noProof/>
        </w:rPr>
        <mc:AlternateContent>
          <mc:Choice Requires="wps">
            <w:drawing>
              <wp:anchor distT="0" distB="0" distL="0" distR="0" simplePos="0" relativeHeight="488083968" behindDoc="1" locked="0" layoutInCell="1" allowOverlap="1" wp14:anchorId="73315827" wp14:editId="470FD4DE">
                <wp:simplePos x="0" y="0"/>
                <wp:positionH relativeFrom="page">
                  <wp:posOffset>812800</wp:posOffset>
                </wp:positionH>
                <wp:positionV relativeFrom="paragraph">
                  <wp:posOffset>189865</wp:posOffset>
                </wp:positionV>
                <wp:extent cx="1828800" cy="8890"/>
                <wp:effectExtent l="0" t="0" r="0" b="0"/>
                <wp:wrapTopAndBottom/>
                <wp:docPr id="61" name="docshape7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F29D5A" id="docshape705" o:spid="_x0000_s1026" alt="&quot;&quot;" style="position:absolute;margin-left:64pt;margin-top:14.95pt;width:2in;height:.7pt;z-index:-15232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" fillcolor="black" stroked="f">
                <w10:wrap type="topAndBottom" anchorx="page"/>
              </v:rect>
            </w:pict>
          </mc:Fallback>
        </mc:AlternateContent>
      </w:r>
    </w:p>
    <w:p w14:paraId="65DFD4DE" w14:textId="77777777" w:rsidR="00BD462C" w:rsidRDefault="00033D0F">
      <w:pPr>
        <w:spacing w:before="107"/>
        <w:ind w:left="135"/>
        <w:rPr>
          <w:sz w:val="18"/>
        </w:rPr>
      </w:pPr>
      <w:bookmarkStart w:id="2110" w:name="_bookmark1817"/>
      <w:bookmarkEnd w:id="2110"/>
      <w:r>
        <w:rPr>
          <w:position w:val="5"/>
          <w:sz w:val="12"/>
        </w:rPr>
        <w:t>1586</w:t>
      </w:r>
      <w:r>
        <w:rPr>
          <w:spacing w:val="16"/>
          <w:position w:val="5"/>
          <w:sz w:val="12"/>
        </w:rPr>
        <w:t xml:space="preserve"> </w:t>
      </w:r>
      <w:r>
        <w:rPr>
          <w:sz w:val="18"/>
        </w:rPr>
        <w:t>See</w:t>
      </w:r>
      <w:r>
        <w:rPr>
          <w:spacing w:val="-2"/>
          <w:sz w:val="18"/>
        </w:rPr>
        <w:t xml:space="preserve"> </w:t>
      </w:r>
      <w:r>
        <w:rPr>
          <w:sz w:val="18"/>
        </w:rPr>
        <w:t>above, para.</w:t>
      </w:r>
      <w:r>
        <w:rPr>
          <w:spacing w:val="-1"/>
          <w:sz w:val="18"/>
        </w:rPr>
        <w:t xml:space="preserve"> </w:t>
      </w:r>
      <w:hyperlink w:anchor="_bookmark10" w:history="1">
        <w:r>
          <w:rPr>
            <w:spacing w:val="-5"/>
            <w:sz w:val="18"/>
          </w:rPr>
          <w:t>13.</w:t>
        </w:r>
      </w:hyperlink>
    </w:p>
    <w:p w14:paraId="56F63C43" w14:textId="77777777" w:rsidR="00BD462C" w:rsidRDefault="00033D0F">
      <w:pPr>
        <w:spacing w:before="1"/>
        <w:ind w:left="135"/>
        <w:rPr>
          <w:sz w:val="18"/>
        </w:rPr>
      </w:pPr>
      <w:bookmarkStart w:id="2111" w:name="_bookmark1818"/>
      <w:bookmarkEnd w:id="2111"/>
      <w:r>
        <w:rPr>
          <w:position w:val="5"/>
          <w:sz w:val="12"/>
        </w:rPr>
        <w:t>1587</w:t>
      </w:r>
      <w:r>
        <w:rPr>
          <w:spacing w:val="13"/>
          <w:position w:val="5"/>
          <w:sz w:val="12"/>
        </w:rPr>
        <w:t xml:space="preserve"> </w:t>
      </w:r>
      <w:r>
        <w:rPr>
          <w:sz w:val="18"/>
        </w:rPr>
        <w:t>Australia's response</w:t>
      </w:r>
      <w:r>
        <w:rPr>
          <w:spacing w:val="-6"/>
          <w:sz w:val="18"/>
        </w:rPr>
        <w:t xml:space="preserve"> </w:t>
      </w:r>
      <w:r>
        <w:rPr>
          <w:sz w:val="18"/>
        </w:rPr>
        <w:t>to</w:t>
      </w:r>
      <w:r>
        <w:rPr>
          <w:spacing w:val="-1"/>
          <w:sz w:val="18"/>
        </w:rPr>
        <w:t xml:space="preserve"> </w:t>
      </w:r>
      <w:r>
        <w:rPr>
          <w:sz w:val="18"/>
        </w:rPr>
        <w:t>China's</w:t>
      </w:r>
      <w:r>
        <w:rPr>
          <w:spacing w:val="-5"/>
          <w:sz w:val="18"/>
        </w:rPr>
        <w:t xml:space="preserve"> </w:t>
      </w:r>
      <w:r>
        <w:rPr>
          <w:sz w:val="18"/>
        </w:rPr>
        <w:t>PRR,</w:t>
      </w:r>
      <w:r>
        <w:rPr>
          <w:spacing w:val="-3"/>
          <w:sz w:val="18"/>
        </w:rPr>
        <w:t xml:space="preserve"> </w:t>
      </w:r>
      <w:r>
        <w:rPr>
          <w:sz w:val="18"/>
        </w:rPr>
        <w:t>paras.</w:t>
      </w:r>
      <w:r>
        <w:rPr>
          <w:spacing w:val="-4"/>
          <w:sz w:val="18"/>
        </w:rPr>
        <w:t xml:space="preserve"> </w:t>
      </w:r>
      <w:r>
        <w:rPr>
          <w:sz w:val="18"/>
        </w:rPr>
        <w:t>269-</w:t>
      </w:r>
      <w:r>
        <w:rPr>
          <w:spacing w:val="-4"/>
          <w:sz w:val="18"/>
        </w:rPr>
        <w:t>273.</w:t>
      </w:r>
    </w:p>
    <w:p w14:paraId="3F72BA98" w14:textId="77777777" w:rsidR="00BD462C" w:rsidRDefault="00033D0F">
      <w:pPr>
        <w:spacing w:before="1"/>
        <w:ind w:left="135"/>
        <w:rPr>
          <w:sz w:val="18"/>
        </w:rPr>
      </w:pPr>
      <w:bookmarkStart w:id="2112" w:name="_bookmark1819"/>
      <w:bookmarkEnd w:id="2112"/>
      <w:r>
        <w:rPr>
          <w:position w:val="5"/>
          <w:sz w:val="12"/>
        </w:rPr>
        <w:t>1588</w:t>
      </w:r>
      <w:r>
        <w:rPr>
          <w:spacing w:val="12"/>
          <w:position w:val="5"/>
          <w:sz w:val="12"/>
        </w:rPr>
        <w:t xml:space="preserve"> </w:t>
      </w:r>
      <w:r>
        <w:rPr>
          <w:sz w:val="18"/>
        </w:rPr>
        <w:t>China's</w:t>
      </w:r>
      <w:r>
        <w:rPr>
          <w:spacing w:val="-1"/>
          <w:sz w:val="18"/>
        </w:rPr>
        <w:t xml:space="preserve"> </w:t>
      </w:r>
      <w:r>
        <w:rPr>
          <w:sz w:val="18"/>
        </w:rPr>
        <w:t>First</w:t>
      </w:r>
      <w:r>
        <w:rPr>
          <w:spacing w:val="-5"/>
          <w:sz w:val="18"/>
        </w:rPr>
        <w:t xml:space="preserve"> </w:t>
      </w:r>
      <w:r>
        <w:rPr>
          <w:sz w:val="18"/>
        </w:rPr>
        <w:t>Written</w:t>
      </w:r>
      <w:r>
        <w:rPr>
          <w:spacing w:val="-7"/>
          <w:sz w:val="18"/>
        </w:rPr>
        <w:t xml:space="preserve"> </w:t>
      </w:r>
      <w:r>
        <w:rPr>
          <w:sz w:val="18"/>
        </w:rPr>
        <w:t>Submission, paras.</w:t>
      </w:r>
      <w:r>
        <w:rPr>
          <w:spacing w:val="-5"/>
          <w:sz w:val="18"/>
        </w:rPr>
        <w:t xml:space="preserve"> </w:t>
      </w:r>
      <w:r>
        <w:rPr>
          <w:sz w:val="18"/>
        </w:rPr>
        <w:t>2499-</w:t>
      </w:r>
      <w:r>
        <w:rPr>
          <w:spacing w:val="-2"/>
          <w:sz w:val="18"/>
        </w:rPr>
        <w:t>2505.</w:t>
      </w:r>
    </w:p>
    <w:p w14:paraId="2F6D3468" w14:textId="77777777" w:rsidR="00BD462C" w:rsidRDefault="00033D0F">
      <w:pPr>
        <w:spacing w:before="1"/>
        <w:ind w:left="135"/>
        <w:rPr>
          <w:sz w:val="18"/>
        </w:rPr>
      </w:pPr>
      <w:bookmarkStart w:id="2113" w:name="_bookmark1820"/>
      <w:bookmarkEnd w:id="2113"/>
      <w:r>
        <w:rPr>
          <w:position w:val="5"/>
          <w:sz w:val="12"/>
        </w:rPr>
        <w:t>1589</w:t>
      </w:r>
      <w:r>
        <w:rPr>
          <w:spacing w:val="12"/>
          <w:position w:val="5"/>
          <w:sz w:val="12"/>
        </w:rPr>
        <w:t xml:space="preserve"> </w:t>
      </w:r>
      <w:r>
        <w:rPr>
          <w:sz w:val="18"/>
        </w:rPr>
        <w:t>China's</w:t>
      </w:r>
      <w:r>
        <w:rPr>
          <w:spacing w:val="-6"/>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 paras.</w:t>
      </w:r>
      <w:r>
        <w:rPr>
          <w:spacing w:val="-5"/>
          <w:sz w:val="18"/>
        </w:rPr>
        <w:t xml:space="preserve"> </w:t>
      </w:r>
      <w:r>
        <w:rPr>
          <w:sz w:val="18"/>
        </w:rPr>
        <w:t>2506-2508;</w:t>
      </w:r>
      <w:r>
        <w:rPr>
          <w:spacing w:val="-7"/>
          <w:sz w:val="18"/>
        </w:rPr>
        <w:t xml:space="preserve"> </w:t>
      </w:r>
      <w:r>
        <w:rPr>
          <w:sz w:val="18"/>
        </w:rPr>
        <w:t>Australia's</w:t>
      </w:r>
      <w:r>
        <w:rPr>
          <w:spacing w:val="-6"/>
          <w:sz w:val="18"/>
        </w:rPr>
        <w:t xml:space="preserve"> </w:t>
      </w:r>
      <w:r>
        <w:rPr>
          <w:sz w:val="18"/>
        </w:rPr>
        <w:t>panel</w:t>
      </w:r>
      <w:r>
        <w:rPr>
          <w:spacing w:val="-1"/>
          <w:sz w:val="18"/>
        </w:rPr>
        <w:t xml:space="preserve"> </w:t>
      </w:r>
      <w:r>
        <w:rPr>
          <w:sz w:val="18"/>
        </w:rPr>
        <w:t>request,</w:t>
      </w:r>
      <w:r>
        <w:rPr>
          <w:spacing w:val="-4"/>
          <w:sz w:val="18"/>
        </w:rPr>
        <w:t xml:space="preserve"> </w:t>
      </w:r>
      <w:r>
        <w:rPr>
          <w:sz w:val="18"/>
        </w:rPr>
        <w:t>para.</w:t>
      </w:r>
      <w:r>
        <w:rPr>
          <w:spacing w:val="-5"/>
          <w:sz w:val="18"/>
        </w:rPr>
        <w:t xml:space="preserve"> </w:t>
      </w:r>
      <w:r>
        <w:rPr>
          <w:spacing w:val="-2"/>
          <w:sz w:val="18"/>
        </w:rPr>
        <w:t>(viii).</w:t>
      </w:r>
    </w:p>
    <w:p w14:paraId="0B8055CC" w14:textId="77777777" w:rsidR="00BD462C" w:rsidRDefault="00033D0F">
      <w:pPr>
        <w:spacing w:before="1"/>
        <w:ind w:left="135"/>
        <w:rPr>
          <w:sz w:val="18"/>
        </w:rPr>
      </w:pPr>
      <w:bookmarkStart w:id="2114" w:name="_bookmark1821"/>
      <w:bookmarkEnd w:id="2114"/>
      <w:r>
        <w:rPr>
          <w:position w:val="5"/>
          <w:sz w:val="12"/>
        </w:rPr>
        <w:t>1590</w:t>
      </w:r>
      <w:r>
        <w:rPr>
          <w:spacing w:val="15"/>
          <w:position w:val="5"/>
          <w:sz w:val="12"/>
        </w:rPr>
        <w:t xml:space="preserve"> </w:t>
      </w:r>
      <w:r>
        <w:rPr>
          <w:sz w:val="18"/>
        </w:rPr>
        <w:t>See</w:t>
      </w:r>
      <w:r>
        <w:rPr>
          <w:spacing w:val="-3"/>
          <w:sz w:val="18"/>
        </w:rPr>
        <w:t xml:space="preserve"> </w:t>
      </w:r>
      <w:r>
        <w:rPr>
          <w:sz w:val="18"/>
        </w:rPr>
        <w:t>above,</w:t>
      </w:r>
      <w:r>
        <w:rPr>
          <w:spacing w:val="-1"/>
          <w:sz w:val="18"/>
        </w:rPr>
        <w:t xml:space="preserve"> </w:t>
      </w:r>
      <w:r>
        <w:rPr>
          <w:sz w:val="18"/>
        </w:rPr>
        <w:t>section</w:t>
      </w:r>
      <w:r>
        <w:rPr>
          <w:spacing w:val="-5"/>
          <w:sz w:val="18"/>
        </w:rPr>
        <w:t xml:space="preserve"> </w:t>
      </w:r>
      <w:hyperlink w:anchor="_bookmark20" w:history="1">
        <w:r>
          <w:rPr>
            <w:spacing w:val="-2"/>
            <w:sz w:val="18"/>
          </w:rPr>
          <w:t>II.A.1(b).</w:t>
        </w:r>
      </w:hyperlink>
    </w:p>
    <w:p w14:paraId="556828AF" w14:textId="77777777" w:rsidR="00BD462C" w:rsidRDefault="00BD462C">
      <w:pPr>
        <w:rPr>
          <w:sz w:val="18"/>
        </w:rPr>
        <w:sectPr w:rsidR="00BD462C">
          <w:pgSz w:w="11910" w:h="16840"/>
          <w:pgMar w:top="860" w:right="500" w:bottom="780" w:left="1280" w:header="566" w:footer="590" w:gutter="0"/>
          <w:cols w:space="720"/>
        </w:sectPr>
      </w:pPr>
    </w:p>
    <w:p w14:paraId="17ED968C"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10B52B97"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1155F236"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2939B77E" w14:textId="77777777" w:rsidR="00BD462C" w:rsidRDefault="00033D0F">
      <w:pPr>
        <w:pStyle w:val="BodyText"/>
        <w:spacing w:before="2" w:line="360" w:lineRule="auto"/>
        <w:ind w:left="135" w:right="911"/>
        <w:jc w:val="both"/>
      </w:pPr>
      <w:r>
        <w:t>pursuant to Article 6.9.</w:t>
      </w:r>
      <w:hyperlink w:anchor="_bookmark1823" w:history="1">
        <w:r>
          <w:rPr>
            <w:vertAlign w:val="superscript"/>
          </w:rPr>
          <w:t>1591</w:t>
        </w:r>
      </w:hyperlink>
      <w:r>
        <w:t xml:space="preserve"> Australia has not changed this claim between the panel request and</w:t>
      </w:r>
      <w:r>
        <w:rPr>
          <w:spacing w:val="-5"/>
        </w:rPr>
        <w:t xml:space="preserve"> </w:t>
      </w:r>
      <w:r>
        <w:t>first</w:t>
      </w:r>
      <w:r>
        <w:rPr>
          <w:spacing w:val="-3"/>
        </w:rPr>
        <w:t xml:space="preserve"> </w:t>
      </w:r>
      <w:r>
        <w:t>written</w:t>
      </w:r>
      <w:r>
        <w:rPr>
          <w:spacing w:val="-5"/>
        </w:rPr>
        <w:t xml:space="preserve"> </w:t>
      </w:r>
      <w:r>
        <w:t>submission.</w:t>
      </w:r>
      <w:r>
        <w:rPr>
          <w:spacing w:val="-2"/>
        </w:rPr>
        <w:t xml:space="preserve"> </w:t>
      </w:r>
      <w:r>
        <w:t>It</w:t>
      </w:r>
      <w:r>
        <w:rPr>
          <w:spacing w:val="-3"/>
        </w:rPr>
        <w:t xml:space="preserve"> </w:t>
      </w:r>
      <w:r>
        <w:t>has,</w:t>
      </w:r>
      <w:r>
        <w:rPr>
          <w:spacing w:val="-1"/>
        </w:rPr>
        <w:t xml:space="preserve"> </w:t>
      </w:r>
      <w:r>
        <w:t>however,</w:t>
      </w:r>
      <w:r>
        <w:rPr>
          <w:spacing w:val="-1"/>
        </w:rPr>
        <w:t xml:space="preserve"> </w:t>
      </w:r>
      <w:r>
        <w:t>adduced</w:t>
      </w:r>
      <w:r>
        <w:rPr>
          <w:spacing w:val="-5"/>
        </w:rPr>
        <w:t xml:space="preserve"> </w:t>
      </w:r>
      <w:r>
        <w:rPr>
          <w:i/>
        </w:rPr>
        <w:t>arguments</w:t>
      </w:r>
      <w:r>
        <w:rPr>
          <w:i/>
          <w:spacing w:val="-5"/>
        </w:rPr>
        <w:t xml:space="preserve"> </w:t>
      </w:r>
      <w:r>
        <w:t>–</w:t>
      </w:r>
      <w:r>
        <w:rPr>
          <w:spacing w:val="-3"/>
        </w:rPr>
        <w:t xml:space="preserve"> </w:t>
      </w:r>
      <w:r>
        <w:t>including</w:t>
      </w:r>
      <w:r>
        <w:rPr>
          <w:spacing w:val="-2"/>
        </w:rPr>
        <w:t xml:space="preserve"> </w:t>
      </w:r>
      <w:r>
        <w:t>arguments</w:t>
      </w:r>
      <w:r>
        <w:rPr>
          <w:spacing w:val="-2"/>
        </w:rPr>
        <w:t xml:space="preserve"> </w:t>
      </w:r>
      <w:r>
        <w:t>that demonstrate MOFCOM's failure to disclose certain essential facts. It was entitled to do so.</w:t>
      </w:r>
    </w:p>
    <w:p w14:paraId="26412741" w14:textId="77777777" w:rsidR="00BD462C" w:rsidRDefault="00BD462C">
      <w:pPr>
        <w:pStyle w:val="BodyText"/>
        <w:spacing w:before="10"/>
        <w:rPr>
          <w:sz w:val="8"/>
        </w:rPr>
      </w:pPr>
    </w:p>
    <w:p w14:paraId="2C8BB138" w14:textId="7B2B810C" w:rsidR="00BD462C" w:rsidRDefault="006667A0">
      <w:pPr>
        <w:pStyle w:val="BodyText"/>
        <w:spacing w:before="56" w:line="360" w:lineRule="auto"/>
        <w:ind w:left="135" w:right="915"/>
        <w:jc w:val="both"/>
      </w:pPr>
      <w:r>
        <w:rPr>
          <w:noProof/>
        </w:rPr>
        <w:t>56.</w:t>
      </w:r>
      <w:r w:rsidR="00033D0F">
        <w:rPr>
          <w:rFonts w:ascii="Times New Roman"/>
          <w:spacing w:val="80"/>
          <w:position w:val="1"/>
          <w:sz w:val="20"/>
        </w:rPr>
        <w:t xml:space="preserve">  </w:t>
      </w:r>
      <w:r w:rsidR="00033D0F">
        <w:rPr>
          <w:position w:val="1"/>
        </w:rPr>
        <w:t xml:space="preserve">Australia's panel request listed the several categories of information that MOFCOM </w:t>
      </w:r>
      <w:r w:rsidR="00033D0F">
        <w:t>should have disclosed to</w:t>
      </w:r>
      <w:r w:rsidR="00033D0F">
        <w:rPr>
          <w:spacing w:val="-5"/>
        </w:rPr>
        <w:t xml:space="preserve"> </w:t>
      </w:r>
      <w:r w:rsidR="00033D0F">
        <w:t>interested parties in order to assist China to understand further the nature of the case against it.</w:t>
      </w:r>
      <w:hyperlink w:anchor="_bookmark1824" w:history="1">
        <w:r w:rsidR="00033D0F">
          <w:rPr>
            <w:vertAlign w:val="superscript"/>
          </w:rPr>
          <w:t>1592</w:t>
        </w:r>
      </w:hyperlink>
      <w:r w:rsidR="00033D0F">
        <w:t xml:space="preserve"> China now attempts to turn those listed examples against Australia by alleging they are each "claims" in their own right. This is incorrect, they are instances of MOFCOM's failure to disclose essential facts that demonstrate China's noncompliance with Article 6.9 and as such are properly considered </w:t>
      </w:r>
      <w:r w:rsidR="00033D0F">
        <w:rPr>
          <w:i/>
        </w:rPr>
        <w:t>arguments</w:t>
      </w:r>
      <w:r w:rsidR="00033D0F">
        <w:t>.</w:t>
      </w:r>
    </w:p>
    <w:p w14:paraId="061A8B90" w14:textId="77777777" w:rsidR="00BD462C" w:rsidRDefault="00BD462C">
      <w:pPr>
        <w:pStyle w:val="BodyText"/>
        <w:spacing w:before="8"/>
        <w:rPr>
          <w:sz w:val="8"/>
        </w:rPr>
      </w:pPr>
    </w:p>
    <w:p w14:paraId="4368BB19" w14:textId="6C2FEC3B" w:rsidR="00BD462C" w:rsidRDefault="006667A0">
      <w:pPr>
        <w:pStyle w:val="BodyText"/>
        <w:spacing w:before="56" w:line="357" w:lineRule="auto"/>
        <w:ind w:left="136" w:right="913"/>
        <w:jc w:val="both"/>
      </w:pPr>
      <w:r>
        <w:rPr>
          <w:noProof/>
        </w:rPr>
        <w:t>57.</w:t>
      </w:r>
      <w:r w:rsidR="00033D0F">
        <w:rPr>
          <w:rFonts w:ascii="Times New Roman"/>
          <w:spacing w:val="80"/>
          <w:position w:val="1"/>
          <w:sz w:val="20"/>
        </w:rPr>
        <w:t xml:space="preserve">  </w:t>
      </w:r>
      <w:r w:rsidR="00033D0F">
        <w:rPr>
          <w:position w:val="1"/>
        </w:rPr>
        <w:t>Furthermore, Australia qualified this list with the term "</w:t>
      </w:r>
      <w:r w:rsidR="00033D0F">
        <w:rPr>
          <w:i/>
          <w:position w:val="1"/>
        </w:rPr>
        <w:t>inter alia</w:t>
      </w:r>
      <w:r w:rsidR="00033D0F">
        <w:rPr>
          <w:position w:val="1"/>
        </w:rPr>
        <w:t xml:space="preserve">" to demonstrate </w:t>
      </w:r>
      <w:r w:rsidR="00033D0F">
        <w:t>Australia's intention</w:t>
      </w:r>
      <w:r w:rsidR="00033D0F">
        <w:rPr>
          <w:spacing w:val="-1"/>
        </w:rPr>
        <w:t xml:space="preserve"> </w:t>
      </w:r>
      <w:r w:rsidR="00033D0F">
        <w:t>to</w:t>
      </w:r>
      <w:r w:rsidR="00033D0F">
        <w:rPr>
          <w:spacing w:val="-1"/>
        </w:rPr>
        <w:t xml:space="preserve"> </w:t>
      </w:r>
      <w:r w:rsidR="00033D0F">
        <w:t>expand</w:t>
      </w:r>
      <w:r w:rsidR="00033D0F">
        <w:rPr>
          <w:spacing w:val="-1"/>
        </w:rPr>
        <w:t xml:space="preserve"> </w:t>
      </w:r>
      <w:r w:rsidR="00033D0F">
        <w:t>on</w:t>
      </w:r>
      <w:r w:rsidR="00033D0F">
        <w:rPr>
          <w:spacing w:val="-1"/>
        </w:rPr>
        <w:t xml:space="preserve"> </w:t>
      </w:r>
      <w:r w:rsidR="00033D0F">
        <w:t>details of these</w:t>
      </w:r>
      <w:r w:rsidR="00033D0F">
        <w:rPr>
          <w:spacing w:val="-3"/>
        </w:rPr>
        <w:t xml:space="preserve"> </w:t>
      </w:r>
      <w:r w:rsidR="00033D0F">
        <w:t>arguments. It has done so, and</w:t>
      </w:r>
      <w:r w:rsidR="00033D0F">
        <w:rPr>
          <w:spacing w:val="-1"/>
        </w:rPr>
        <w:t xml:space="preserve"> </w:t>
      </w:r>
      <w:r w:rsidR="00033D0F">
        <w:t>reasonably allowed its arguments to develop over the course of the dispute</w:t>
      </w:r>
    </w:p>
    <w:p w14:paraId="23DE993B" w14:textId="77777777" w:rsidR="00BD462C" w:rsidRDefault="00BD462C">
      <w:pPr>
        <w:pStyle w:val="BodyText"/>
        <w:spacing w:before="3"/>
        <w:rPr>
          <w:sz w:val="9"/>
        </w:rPr>
      </w:pPr>
    </w:p>
    <w:p w14:paraId="2DA93C89" w14:textId="0CF62950" w:rsidR="00BD462C" w:rsidRDefault="006667A0">
      <w:pPr>
        <w:pStyle w:val="BodyText"/>
        <w:spacing w:before="56" w:line="360" w:lineRule="auto"/>
        <w:ind w:left="135" w:right="913"/>
        <w:jc w:val="both"/>
      </w:pPr>
      <w:r>
        <w:rPr>
          <w:noProof/>
        </w:rPr>
        <w:t>5</w:t>
      </w:r>
      <w:r w:rsidR="003C3F6C">
        <w:rPr>
          <w:noProof/>
        </w:rPr>
        <w:t>8.</w:t>
      </w:r>
      <w:r w:rsidR="00033D0F">
        <w:rPr>
          <w:rFonts w:ascii="Times New Roman"/>
          <w:spacing w:val="80"/>
          <w:position w:val="1"/>
          <w:sz w:val="20"/>
        </w:rPr>
        <w:t xml:space="preserve">  </w:t>
      </w:r>
      <w:r w:rsidR="00033D0F">
        <w:rPr>
          <w:position w:val="1"/>
        </w:rPr>
        <w:t>China</w:t>
      </w:r>
      <w:r w:rsidR="00033D0F">
        <w:rPr>
          <w:spacing w:val="-2"/>
          <w:position w:val="1"/>
        </w:rPr>
        <w:t xml:space="preserve"> </w:t>
      </w:r>
      <w:r w:rsidR="00033D0F">
        <w:rPr>
          <w:position w:val="1"/>
        </w:rPr>
        <w:t>argues that</w:t>
      </w:r>
      <w:r w:rsidR="00033D0F">
        <w:rPr>
          <w:spacing w:val="-1"/>
          <w:position w:val="1"/>
        </w:rPr>
        <w:t xml:space="preserve"> </w:t>
      </w:r>
      <w:r w:rsidR="00033D0F">
        <w:rPr>
          <w:position w:val="1"/>
        </w:rPr>
        <w:t>Australia</w:t>
      </w:r>
      <w:r w:rsidR="00033D0F">
        <w:rPr>
          <w:spacing w:val="-2"/>
          <w:position w:val="1"/>
        </w:rPr>
        <w:t xml:space="preserve"> </w:t>
      </w:r>
      <w:r w:rsidR="00033D0F">
        <w:rPr>
          <w:position w:val="1"/>
        </w:rPr>
        <w:t>has conflated</w:t>
      </w:r>
      <w:r w:rsidR="00033D0F">
        <w:rPr>
          <w:spacing w:val="-3"/>
          <w:position w:val="1"/>
        </w:rPr>
        <w:t xml:space="preserve"> </w:t>
      </w:r>
      <w:r w:rsidR="00033D0F">
        <w:rPr>
          <w:position w:val="1"/>
        </w:rPr>
        <w:t>the obligations in</w:t>
      </w:r>
      <w:r w:rsidR="00033D0F">
        <w:rPr>
          <w:spacing w:val="-3"/>
          <w:position w:val="1"/>
        </w:rPr>
        <w:t xml:space="preserve"> </w:t>
      </w:r>
      <w:r w:rsidR="00033D0F">
        <w:rPr>
          <w:position w:val="1"/>
        </w:rPr>
        <w:t>Articles 6.9</w:t>
      </w:r>
      <w:r w:rsidR="00033D0F">
        <w:rPr>
          <w:spacing w:val="-4"/>
          <w:position w:val="1"/>
        </w:rPr>
        <w:t xml:space="preserve"> </w:t>
      </w:r>
      <w:r w:rsidR="00033D0F">
        <w:rPr>
          <w:position w:val="1"/>
        </w:rPr>
        <w:t xml:space="preserve">and 12.2.2 in </w:t>
      </w:r>
      <w:r w:rsidR="00033D0F">
        <w:t>respect of Australia's panel request in an attempt to expand the scope of its legal challenge.</w:t>
      </w:r>
      <w:hyperlink w:anchor="_bookmark1825" w:history="1">
        <w:r w:rsidR="00033D0F">
          <w:rPr>
            <w:vertAlign w:val="superscript"/>
          </w:rPr>
          <w:t>1593</w:t>
        </w:r>
      </w:hyperlink>
      <w:r w:rsidR="00033D0F">
        <w:rPr>
          <w:spacing w:val="-1"/>
        </w:rPr>
        <w:t xml:space="preserve"> </w:t>
      </w:r>
      <w:r w:rsidR="00033D0F">
        <w:t>Australia has dealt with these issues separately.</w:t>
      </w:r>
      <w:hyperlink w:anchor="_bookmark1826" w:history="1">
        <w:r w:rsidR="00033D0F">
          <w:rPr>
            <w:vertAlign w:val="superscript"/>
          </w:rPr>
          <w:t>1594</w:t>
        </w:r>
      </w:hyperlink>
      <w:r w:rsidR="00033D0F">
        <w:rPr>
          <w:spacing w:val="-1"/>
        </w:rPr>
        <w:t xml:space="preserve"> </w:t>
      </w:r>
      <w:r w:rsidR="00033D0F">
        <w:t xml:space="preserve">Contrary to China's allegations, Australia </w:t>
      </w:r>
      <w:proofErr w:type="spellStart"/>
      <w:r w:rsidR="00033D0F">
        <w:t>recognises</w:t>
      </w:r>
      <w:proofErr w:type="spellEnd"/>
      <w:r w:rsidR="00033D0F">
        <w:t xml:space="preserve"> that Article 6.9 applies only to the disclosure of "essential facts" and made this clear at claim (viii) of Australia's panel request.</w:t>
      </w:r>
      <w:hyperlink w:anchor="_bookmark1827" w:history="1">
        <w:r w:rsidR="00033D0F">
          <w:rPr>
            <w:vertAlign w:val="superscript"/>
          </w:rPr>
          <w:t>1595</w:t>
        </w:r>
      </w:hyperlink>
    </w:p>
    <w:p w14:paraId="50840DEA" w14:textId="77777777" w:rsidR="00BD462C" w:rsidRDefault="00033D0F">
      <w:pPr>
        <w:pStyle w:val="Heading3"/>
        <w:numPr>
          <w:ilvl w:val="2"/>
          <w:numId w:val="5"/>
        </w:numPr>
        <w:tabs>
          <w:tab w:val="left" w:pos="1836"/>
        </w:tabs>
        <w:spacing w:before="155" w:line="357" w:lineRule="auto"/>
        <w:ind w:right="917"/>
      </w:pPr>
      <w:bookmarkStart w:id="2115" w:name="A.5.5_Australia's_claims_pursuant_to_Art"/>
      <w:bookmarkStart w:id="2116" w:name="_bookmark1822"/>
      <w:bookmarkEnd w:id="2115"/>
      <w:bookmarkEnd w:id="2116"/>
      <w:r>
        <w:t>Australia's claims pursuant to Articles 12.2 and 12.2.2 are within the Panel's terms of reference.</w:t>
      </w:r>
    </w:p>
    <w:p w14:paraId="7516A20C" w14:textId="77777777" w:rsidR="00BD462C" w:rsidRDefault="00BD462C">
      <w:pPr>
        <w:pStyle w:val="BodyText"/>
        <w:spacing w:before="3"/>
        <w:rPr>
          <w:b/>
          <w:sz w:val="9"/>
        </w:rPr>
      </w:pPr>
    </w:p>
    <w:p w14:paraId="0053909D" w14:textId="7A91504E" w:rsidR="00BD462C" w:rsidRDefault="003C3F6C">
      <w:pPr>
        <w:pStyle w:val="BodyText"/>
        <w:spacing w:before="56" w:line="357" w:lineRule="auto"/>
        <w:ind w:left="135" w:right="912"/>
        <w:jc w:val="both"/>
      </w:pPr>
      <w:r>
        <w:rPr>
          <w:noProof/>
        </w:rPr>
        <w:t>59.</w:t>
      </w:r>
      <w:r w:rsidR="00033D0F">
        <w:rPr>
          <w:rFonts w:ascii="Times New Roman"/>
          <w:spacing w:val="80"/>
          <w:w w:val="150"/>
          <w:position w:val="1"/>
          <w:sz w:val="20"/>
        </w:rPr>
        <w:t xml:space="preserve">   </w:t>
      </w:r>
      <w:r w:rsidR="00033D0F">
        <w:rPr>
          <w:position w:val="1"/>
        </w:rPr>
        <w:t>China alleges that Australia cannot adduce arguments regarding MOFCOM's failure</w:t>
      </w:r>
      <w:r w:rsidR="00033D0F">
        <w:rPr>
          <w:spacing w:val="40"/>
          <w:position w:val="1"/>
        </w:rPr>
        <w:t xml:space="preserve"> </w:t>
      </w:r>
      <w:r w:rsidR="00033D0F">
        <w:t>to disclose facts pertaining to "proportion of domestic production" and "differences in price comparability".</w:t>
      </w:r>
      <w:hyperlink w:anchor="_bookmark1828" w:history="1">
        <w:r w:rsidR="00033D0F">
          <w:rPr>
            <w:vertAlign w:val="superscript"/>
          </w:rPr>
          <w:t>1596</w:t>
        </w:r>
      </w:hyperlink>
      <w:r w:rsidR="00033D0F">
        <w:rPr>
          <w:spacing w:val="40"/>
        </w:rPr>
        <w:t xml:space="preserve"> </w:t>
      </w:r>
      <w:r w:rsidR="00033D0F">
        <w:t>It</w:t>
      </w:r>
      <w:r w:rsidR="00033D0F">
        <w:rPr>
          <w:spacing w:val="40"/>
        </w:rPr>
        <w:t xml:space="preserve"> </w:t>
      </w:r>
      <w:r w:rsidR="00033D0F">
        <w:t>alleges</w:t>
      </w:r>
      <w:r w:rsidR="00033D0F">
        <w:rPr>
          <w:spacing w:val="40"/>
        </w:rPr>
        <w:t xml:space="preserve"> </w:t>
      </w:r>
      <w:r w:rsidR="00033D0F">
        <w:t>that</w:t>
      </w:r>
      <w:r w:rsidR="00033D0F">
        <w:rPr>
          <w:spacing w:val="40"/>
        </w:rPr>
        <w:t xml:space="preserve"> </w:t>
      </w:r>
      <w:r w:rsidR="00033D0F">
        <w:t>these</w:t>
      </w:r>
      <w:r w:rsidR="00033D0F">
        <w:rPr>
          <w:spacing w:val="40"/>
        </w:rPr>
        <w:t xml:space="preserve"> </w:t>
      </w:r>
      <w:r w:rsidR="00033D0F">
        <w:t>concerns</w:t>
      </w:r>
      <w:r w:rsidR="00033D0F">
        <w:rPr>
          <w:spacing w:val="40"/>
        </w:rPr>
        <w:t xml:space="preserve"> </w:t>
      </w:r>
      <w:r w:rsidR="00033D0F">
        <w:t>were</w:t>
      </w:r>
      <w:r w:rsidR="00033D0F">
        <w:rPr>
          <w:spacing w:val="40"/>
        </w:rPr>
        <w:t xml:space="preserve"> </w:t>
      </w:r>
      <w:r w:rsidR="00033D0F">
        <w:t>not</w:t>
      </w:r>
      <w:r w:rsidR="00033D0F">
        <w:rPr>
          <w:spacing w:val="40"/>
        </w:rPr>
        <w:t xml:space="preserve"> </w:t>
      </w:r>
      <w:r w:rsidR="00033D0F">
        <w:t>specified</w:t>
      </w:r>
      <w:r w:rsidR="00033D0F">
        <w:rPr>
          <w:spacing w:val="40"/>
        </w:rPr>
        <w:t xml:space="preserve"> </w:t>
      </w:r>
      <w:r w:rsidR="00033D0F">
        <w:t>in</w:t>
      </w:r>
      <w:r w:rsidR="00033D0F">
        <w:rPr>
          <w:spacing w:val="40"/>
        </w:rPr>
        <w:t xml:space="preserve"> </w:t>
      </w:r>
      <w:r w:rsidR="00033D0F">
        <w:t>Australia's</w:t>
      </w:r>
      <w:r w:rsidR="00033D0F">
        <w:rPr>
          <w:spacing w:val="40"/>
        </w:rPr>
        <w:t xml:space="preserve"> </w:t>
      </w:r>
      <w:r w:rsidR="00033D0F">
        <w:t>panel</w:t>
      </w:r>
    </w:p>
    <w:p w14:paraId="20DF7A07" w14:textId="5A6A3818" w:rsidR="00BD462C" w:rsidRDefault="00E14314">
      <w:pPr>
        <w:pStyle w:val="BodyText"/>
        <w:rPr>
          <w:sz w:val="18"/>
        </w:rPr>
      </w:pPr>
      <w:r>
        <w:rPr>
          <w:noProof/>
        </w:rPr>
        <mc:AlternateContent>
          <mc:Choice Requires="wps">
            <w:drawing>
              <wp:anchor distT="0" distB="0" distL="0" distR="0" simplePos="0" relativeHeight="488081920" behindDoc="1" locked="0" layoutInCell="1" allowOverlap="1" wp14:anchorId="37F6E801" wp14:editId="162F4ECD">
                <wp:simplePos x="0" y="0"/>
                <wp:positionH relativeFrom="page">
                  <wp:posOffset>812800</wp:posOffset>
                </wp:positionH>
                <wp:positionV relativeFrom="paragraph">
                  <wp:posOffset>139700</wp:posOffset>
                </wp:positionV>
                <wp:extent cx="1828800" cy="8890"/>
                <wp:effectExtent l="0" t="0" r="0" b="0"/>
                <wp:wrapTopAndBottom/>
                <wp:docPr id="59" name="docshape7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8E9896" id="docshape705" o:spid="_x0000_s1026" alt="&quot;&quot;" style="position:absolute;margin-left:64pt;margin-top:11pt;width:2in;height:.7pt;z-index:-15234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" fillcolor="black" stroked="f">
                <w10:wrap type="topAndBottom" anchorx="page"/>
              </v:rect>
            </w:pict>
          </mc:Fallback>
        </mc:AlternateContent>
      </w:r>
    </w:p>
    <w:p w14:paraId="385931B7" w14:textId="77777777" w:rsidR="00BD462C" w:rsidRDefault="00033D0F">
      <w:pPr>
        <w:spacing w:before="112"/>
        <w:ind w:left="135" w:right="909"/>
        <w:jc w:val="both"/>
        <w:rPr>
          <w:sz w:val="18"/>
        </w:rPr>
      </w:pPr>
      <w:bookmarkStart w:id="2117" w:name="_bookmark1823"/>
      <w:bookmarkEnd w:id="2117"/>
      <w:r>
        <w:rPr>
          <w:position w:val="5"/>
          <w:sz w:val="12"/>
        </w:rPr>
        <w:t>1591</w:t>
      </w:r>
      <w:r>
        <w:rPr>
          <w:spacing w:val="17"/>
          <w:position w:val="5"/>
          <w:sz w:val="12"/>
        </w:rPr>
        <w:t xml:space="preserve"> </w:t>
      </w:r>
      <w:r>
        <w:rPr>
          <w:sz w:val="18"/>
        </w:rPr>
        <w:t>Australia's</w:t>
      </w:r>
      <w:r>
        <w:rPr>
          <w:spacing w:val="-2"/>
          <w:sz w:val="18"/>
        </w:rPr>
        <w:t xml:space="preserve"> </w:t>
      </w:r>
      <w:r>
        <w:rPr>
          <w:sz w:val="18"/>
        </w:rPr>
        <w:t>claim</w:t>
      </w:r>
      <w:r>
        <w:rPr>
          <w:spacing w:val="-4"/>
          <w:sz w:val="18"/>
        </w:rPr>
        <w:t xml:space="preserve"> </w:t>
      </w:r>
      <w:r>
        <w:rPr>
          <w:sz w:val="18"/>
        </w:rPr>
        <w:t>of</w:t>
      </w:r>
      <w:r>
        <w:rPr>
          <w:spacing w:val="-1"/>
          <w:sz w:val="18"/>
        </w:rPr>
        <w:t xml:space="preserve"> </w:t>
      </w:r>
      <w:r>
        <w:rPr>
          <w:sz w:val="18"/>
        </w:rPr>
        <w:t>inconsistency</w:t>
      </w:r>
      <w:r>
        <w:rPr>
          <w:spacing w:val="-8"/>
          <w:sz w:val="18"/>
        </w:rPr>
        <w:t xml:space="preserve"> </w:t>
      </w:r>
      <w:r>
        <w:rPr>
          <w:i/>
          <w:sz w:val="18"/>
        </w:rPr>
        <w:t>directly</w:t>
      </w:r>
      <w:r>
        <w:rPr>
          <w:i/>
          <w:spacing w:val="-3"/>
          <w:sz w:val="18"/>
        </w:rPr>
        <w:t xml:space="preserve"> </w:t>
      </w:r>
      <w:r>
        <w:rPr>
          <w:sz w:val="18"/>
        </w:rPr>
        <w:t>referred</w:t>
      </w:r>
      <w:r>
        <w:rPr>
          <w:spacing w:val="-3"/>
          <w:sz w:val="18"/>
        </w:rPr>
        <w:t xml:space="preserve"> </w:t>
      </w:r>
      <w:r>
        <w:rPr>
          <w:sz w:val="18"/>
        </w:rPr>
        <w:t>to</w:t>
      </w:r>
      <w:r>
        <w:rPr>
          <w:spacing w:val="-3"/>
          <w:sz w:val="18"/>
        </w:rPr>
        <w:t xml:space="preserve"> </w:t>
      </w:r>
      <w:r>
        <w:rPr>
          <w:sz w:val="18"/>
        </w:rPr>
        <w:t>the</w:t>
      </w:r>
      <w:r>
        <w:rPr>
          <w:spacing w:val="-2"/>
          <w:sz w:val="18"/>
        </w:rPr>
        <w:t xml:space="preserve"> </w:t>
      </w:r>
      <w:r>
        <w:rPr>
          <w:sz w:val="18"/>
        </w:rPr>
        <w:t>essential</w:t>
      </w:r>
      <w:r>
        <w:rPr>
          <w:spacing w:val="-6"/>
          <w:sz w:val="18"/>
        </w:rPr>
        <w:t xml:space="preserve"> </w:t>
      </w:r>
      <w:r>
        <w:rPr>
          <w:sz w:val="18"/>
        </w:rPr>
        <w:t>facts under</w:t>
      </w:r>
      <w:r>
        <w:rPr>
          <w:spacing w:val="-4"/>
          <w:sz w:val="18"/>
        </w:rPr>
        <w:t xml:space="preserve"> </w:t>
      </w:r>
      <w:r>
        <w:rPr>
          <w:sz w:val="18"/>
        </w:rPr>
        <w:t>consideration, stating</w:t>
      </w:r>
      <w:r>
        <w:rPr>
          <w:spacing w:val="-2"/>
          <w:sz w:val="18"/>
        </w:rPr>
        <w:t xml:space="preserve"> </w:t>
      </w:r>
      <w:r>
        <w:rPr>
          <w:sz w:val="18"/>
        </w:rPr>
        <w:t>that</w:t>
      </w:r>
      <w:r>
        <w:rPr>
          <w:spacing w:val="-1"/>
          <w:sz w:val="18"/>
        </w:rPr>
        <w:t xml:space="preserve"> </w:t>
      </w:r>
      <w:r>
        <w:rPr>
          <w:sz w:val="18"/>
        </w:rPr>
        <w:t>"China</w:t>
      </w:r>
      <w:r>
        <w:rPr>
          <w:spacing w:val="-4"/>
          <w:sz w:val="18"/>
        </w:rPr>
        <w:t xml:space="preserve"> </w:t>
      </w:r>
      <w:r>
        <w:rPr>
          <w:sz w:val="18"/>
        </w:rPr>
        <w:t>failed</w:t>
      </w:r>
      <w:r>
        <w:rPr>
          <w:spacing w:val="-3"/>
          <w:sz w:val="18"/>
        </w:rPr>
        <w:t xml:space="preserve"> </w:t>
      </w:r>
      <w:r>
        <w:rPr>
          <w:sz w:val="18"/>
        </w:rPr>
        <w:t>to disclose</w:t>
      </w:r>
      <w:r>
        <w:rPr>
          <w:spacing w:val="-3"/>
          <w:sz w:val="18"/>
        </w:rPr>
        <w:t xml:space="preserve"> </w:t>
      </w:r>
      <w:r>
        <w:rPr>
          <w:sz w:val="18"/>
        </w:rPr>
        <w:t>to</w:t>
      </w:r>
      <w:r>
        <w:rPr>
          <w:spacing w:val="-4"/>
          <w:sz w:val="18"/>
        </w:rPr>
        <w:t xml:space="preserve"> </w:t>
      </w:r>
      <w:r>
        <w:rPr>
          <w:sz w:val="18"/>
        </w:rPr>
        <w:t>the interested parties, before</w:t>
      </w:r>
      <w:r>
        <w:rPr>
          <w:spacing w:val="-3"/>
          <w:sz w:val="18"/>
        </w:rPr>
        <w:t xml:space="preserve"> </w:t>
      </w:r>
      <w:r>
        <w:rPr>
          <w:sz w:val="18"/>
        </w:rPr>
        <w:t>the final determinations</w:t>
      </w:r>
      <w:r>
        <w:rPr>
          <w:spacing w:val="-3"/>
          <w:sz w:val="18"/>
        </w:rPr>
        <w:t xml:space="preserve"> </w:t>
      </w:r>
      <w:r>
        <w:rPr>
          <w:sz w:val="18"/>
        </w:rPr>
        <w:t>were made,</w:t>
      </w:r>
      <w:r>
        <w:rPr>
          <w:spacing w:val="-1"/>
          <w:sz w:val="18"/>
        </w:rPr>
        <w:t xml:space="preserve"> </w:t>
      </w:r>
      <w:r>
        <w:rPr>
          <w:sz w:val="18"/>
        </w:rPr>
        <w:t>the essential facts</w:t>
      </w:r>
      <w:r>
        <w:rPr>
          <w:spacing w:val="-3"/>
          <w:sz w:val="18"/>
        </w:rPr>
        <w:t xml:space="preserve"> </w:t>
      </w:r>
      <w:r>
        <w:rPr>
          <w:sz w:val="18"/>
        </w:rPr>
        <w:t>under consideration</w:t>
      </w:r>
      <w:r>
        <w:rPr>
          <w:spacing w:val="-4"/>
          <w:sz w:val="18"/>
        </w:rPr>
        <w:t xml:space="preserve"> </w:t>
      </w:r>
      <w:r>
        <w:rPr>
          <w:sz w:val="18"/>
        </w:rPr>
        <w:t>which formed the basis for the determinations, and because it failed to do so in sufficient time for the parties to defend their interests…": Australia's panel request, para. (viii). Any claim made pursuant to Article 6.9, therefore, necessarily refers to a disclosure of essential facts. The same is true Australia's claim pursuant to Articles 12.2 and 12.2.2.</w:t>
      </w:r>
    </w:p>
    <w:p w14:paraId="50D5132B" w14:textId="77777777" w:rsidR="00BD462C" w:rsidRDefault="00033D0F">
      <w:pPr>
        <w:spacing w:line="215" w:lineRule="exact"/>
        <w:ind w:left="135"/>
        <w:jc w:val="both"/>
        <w:rPr>
          <w:sz w:val="18"/>
        </w:rPr>
      </w:pPr>
      <w:bookmarkStart w:id="2118" w:name="_bookmark1824"/>
      <w:bookmarkEnd w:id="2118"/>
      <w:r>
        <w:rPr>
          <w:position w:val="5"/>
          <w:sz w:val="12"/>
        </w:rPr>
        <w:t>1592</w:t>
      </w:r>
      <w:r>
        <w:rPr>
          <w:spacing w:val="13"/>
          <w:position w:val="5"/>
          <w:sz w:val="12"/>
        </w:rPr>
        <w:t xml:space="preserve"> </w:t>
      </w:r>
      <w:r>
        <w:rPr>
          <w:sz w:val="18"/>
        </w:rPr>
        <w:t>Australia's</w:t>
      </w:r>
      <w:r>
        <w:rPr>
          <w:spacing w:val="-5"/>
          <w:sz w:val="18"/>
        </w:rPr>
        <w:t xml:space="preserve"> </w:t>
      </w:r>
      <w:r>
        <w:rPr>
          <w:sz w:val="18"/>
        </w:rPr>
        <w:t>panel</w:t>
      </w:r>
      <w:r>
        <w:rPr>
          <w:spacing w:val="-1"/>
          <w:sz w:val="18"/>
        </w:rPr>
        <w:t xml:space="preserve"> </w:t>
      </w:r>
      <w:r>
        <w:rPr>
          <w:sz w:val="18"/>
        </w:rPr>
        <w:t>request,</w:t>
      </w:r>
      <w:r>
        <w:rPr>
          <w:spacing w:val="-3"/>
          <w:sz w:val="18"/>
        </w:rPr>
        <w:t xml:space="preserve"> </w:t>
      </w:r>
      <w:r>
        <w:rPr>
          <w:sz w:val="18"/>
        </w:rPr>
        <w:t>para.</w:t>
      </w:r>
      <w:r>
        <w:rPr>
          <w:spacing w:val="-4"/>
          <w:sz w:val="18"/>
        </w:rPr>
        <w:t xml:space="preserve"> </w:t>
      </w:r>
      <w:r>
        <w:rPr>
          <w:spacing w:val="-2"/>
          <w:sz w:val="18"/>
        </w:rPr>
        <w:t>(viii).</w:t>
      </w:r>
    </w:p>
    <w:p w14:paraId="194D42B9" w14:textId="77777777" w:rsidR="00BD462C" w:rsidRDefault="00033D0F">
      <w:pPr>
        <w:spacing w:before="2"/>
        <w:ind w:left="135"/>
        <w:jc w:val="both"/>
        <w:rPr>
          <w:rFonts w:ascii="Segoe UI"/>
          <w:sz w:val="18"/>
        </w:rPr>
      </w:pPr>
      <w:bookmarkStart w:id="2119" w:name="_bookmark1825"/>
      <w:bookmarkEnd w:id="2119"/>
      <w:r>
        <w:rPr>
          <w:position w:val="5"/>
          <w:sz w:val="12"/>
        </w:rPr>
        <w:t>1593</w:t>
      </w:r>
      <w:r>
        <w:rPr>
          <w:spacing w:val="15"/>
          <w:position w:val="5"/>
          <w:sz w:val="12"/>
        </w:rPr>
        <w:t xml:space="preserve"> </w:t>
      </w:r>
      <w:r>
        <w:rPr>
          <w:rFonts w:ascii="Segoe UI"/>
          <w:color w:val="232323"/>
          <w:sz w:val="18"/>
        </w:rPr>
        <w:t>China's</w:t>
      </w:r>
      <w:r>
        <w:rPr>
          <w:rFonts w:ascii="Segoe UI"/>
          <w:color w:val="232323"/>
          <w:spacing w:val="-4"/>
          <w:sz w:val="18"/>
        </w:rPr>
        <w:t xml:space="preserve"> </w:t>
      </w:r>
      <w:r>
        <w:rPr>
          <w:rFonts w:ascii="Segoe UI"/>
          <w:color w:val="232323"/>
          <w:sz w:val="18"/>
        </w:rPr>
        <w:t>first</w:t>
      </w:r>
      <w:r>
        <w:rPr>
          <w:rFonts w:ascii="Segoe UI"/>
          <w:color w:val="232323"/>
          <w:spacing w:val="-7"/>
          <w:sz w:val="18"/>
        </w:rPr>
        <w:t xml:space="preserve"> </w:t>
      </w:r>
      <w:r>
        <w:rPr>
          <w:rFonts w:ascii="Segoe UI"/>
          <w:color w:val="232323"/>
          <w:sz w:val="18"/>
        </w:rPr>
        <w:t>written</w:t>
      </w:r>
      <w:r>
        <w:rPr>
          <w:rFonts w:ascii="Segoe UI"/>
          <w:color w:val="232323"/>
          <w:spacing w:val="-1"/>
          <w:sz w:val="18"/>
        </w:rPr>
        <w:t xml:space="preserve"> </w:t>
      </w:r>
      <w:r>
        <w:rPr>
          <w:rFonts w:ascii="Segoe UI"/>
          <w:color w:val="232323"/>
          <w:sz w:val="18"/>
        </w:rPr>
        <w:t>submission,</w:t>
      </w:r>
      <w:r>
        <w:rPr>
          <w:rFonts w:ascii="Segoe UI"/>
          <w:color w:val="232323"/>
          <w:spacing w:val="-5"/>
          <w:sz w:val="18"/>
        </w:rPr>
        <w:t xml:space="preserve"> </w:t>
      </w:r>
      <w:r>
        <w:rPr>
          <w:rFonts w:ascii="Segoe UI"/>
          <w:color w:val="232323"/>
          <w:sz w:val="18"/>
        </w:rPr>
        <w:t>paras.</w:t>
      </w:r>
      <w:r>
        <w:rPr>
          <w:rFonts w:ascii="Segoe UI"/>
          <w:color w:val="232323"/>
          <w:spacing w:val="-5"/>
          <w:sz w:val="18"/>
        </w:rPr>
        <w:t xml:space="preserve"> </w:t>
      </w:r>
      <w:r>
        <w:rPr>
          <w:rFonts w:ascii="Segoe UI"/>
          <w:color w:val="232323"/>
          <w:sz w:val="18"/>
        </w:rPr>
        <w:t>2375 and</w:t>
      </w:r>
      <w:r>
        <w:rPr>
          <w:rFonts w:ascii="Segoe UI"/>
          <w:color w:val="232323"/>
          <w:spacing w:val="-10"/>
          <w:sz w:val="18"/>
        </w:rPr>
        <w:t xml:space="preserve"> </w:t>
      </w:r>
      <w:r>
        <w:rPr>
          <w:rFonts w:ascii="Segoe UI"/>
          <w:color w:val="232323"/>
          <w:sz w:val="18"/>
        </w:rPr>
        <w:t>2517-</w:t>
      </w:r>
      <w:r>
        <w:rPr>
          <w:rFonts w:ascii="Segoe UI"/>
          <w:color w:val="232323"/>
          <w:spacing w:val="-4"/>
          <w:sz w:val="18"/>
        </w:rPr>
        <w:t>2519.</w:t>
      </w:r>
    </w:p>
    <w:p w14:paraId="44056E7A" w14:textId="77777777" w:rsidR="00BD462C" w:rsidRDefault="00033D0F">
      <w:pPr>
        <w:spacing w:before="5"/>
        <w:ind w:left="135"/>
        <w:jc w:val="both"/>
        <w:rPr>
          <w:rFonts w:ascii="Segoe UI"/>
          <w:sz w:val="18"/>
        </w:rPr>
      </w:pPr>
      <w:bookmarkStart w:id="2120" w:name="_bookmark1826"/>
      <w:bookmarkEnd w:id="2120"/>
      <w:r>
        <w:rPr>
          <w:position w:val="5"/>
          <w:sz w:val="12"/>
        </w:rPr>
        <w:t>1594</w:t>
      </w:r>
      <w:r>
        <w:rPr>
          <w:spacing w:val="15"/>
          <w:position w:val="5"/>
          <w:sz w:val="12"/>
        </w:rPr>
        <w:t xml:space="preserve"> </w:t>
      </w:r>
      <w:r>
        <w:rPr>
          <w:rFonts w:ascii="Segoe UI"/>
          <w:color w:val="232323"/>
          <w:sz w:val="18"/>
        </w:rPr>
        <w:t>Australia's</w:t>
      </w:r>
      <w:r>
        <w:rPr>
          <w:rFonts w:ascii="Segoe UI"/>
          <w:color w:val="232323"/>
          <w:spacing w:val="-4"/>
          <w:sz w:val="18"/>
        </w:rPr>
        <w:t xml:space="preserve"> </w:t>
      </w:r>
      <w:r>
        <w:rPr>
          <w:rFonts w:ascii="Segoe UI"/>
          <w:color w:val="232323"/>
          <w:sz w:val="18"/>
        </w:rPr>
        <w:t>response</w:t>
      </w:r>
      <w:r>
        <w:rPr>
          <w:rFonts w:ascii="Segoe UI"/>
          <w:color w:val="232323"/>
          <w:spacing w:val="-3"/>
          <w:sz w:val="18"/>
        </w:rPr>
        <w:t xml:space="preserve"> </w:t>
      </w:r>
      <w:r>
        <w:rPr>
          <w:rFonts w:ascii="Segoe UI"/>
          <w:color w:val="232323"/>
          <w:sz w:val="18"/>
        </w:rPr>
        <w:t>to</w:t>
      </w:r>
      <w:r>
        <w:rPr>
          <w:rFonts w:ascii="Segoe UI"/>
          <w:color w:val="232323"/>
          <w:spacing w:val="-10"/>
          <w:sz w:val="18"/>
        </w:rPr>
        <w:t xml:space="preserve"> </w:t>
      </w:r>
      <w:r>
        <w:rPr>
          <w:rFonts w:ascii="Segoe UI"/>
          <w:color w:val="232323"/>
          <w:sz w:val="18"/>
        </w:rPr>
        <w:t>China's</w:t>
      </w:r>
      <w:r>
        <w:rPr>
          <w:rFonts w:ascii="Segoe UI"/>
          <w:color w:val="232323"/>
          <w:spacing w:val="-3"/>
          <w:sz w:val="18"/>
        </w:rPr>
        <w:t xml:space="preserve"> </w:t>
      </w:r>
      <w:r>
        <w:rPr>
          <w:rFonts w:ascii="Segoe UI"/>
          <w:color w:val="232323"/>
          <w:sz w:val="18"/>
        </w:rPr>
        <w:t>PRR,</w:t>
      </w:r>
      <w:r>
        <w:rPr>
          <w:rFonts w:ascii="Segoe UI"/>
          <w:color w:val="232323"/>
          <w:spacing w:val="-5"/>
          <w:sz w:val="18"/>
        </w:rPr>
        <w:t xml:space="preserve"> </w:t>
      </w:r>
      <w:r>
        <w:rPr>
          <w:rFonts w:ascii="Segoe UI"/>
          <w:color w:val="232323"/>
          <w:sz w:val="18"/>
        </w:rPr>
        <w:t>paras.</w:t>
      </w:r>
      <w:r>
        <w:rPr>
          <w:rFonts w:ascii="Segoe UI"/>
          <w:color w:val="232323"/>
          <w:spacing w:val="-5"/>
          <w:sz w:val="18"/>
        </w:rPr>
        <w:t xml:space="preserve"> </w:t>
      </w:r>
      <w:r>
        <w:rPr>
          <w:rFonts w:ascii="Segoe UI"/>
          <w:color w:val="232323"/>
          <w:sz w:val="18"/>
        </w:rPr>
        <w:t>274-</w:t>
      </w:r>
      <w:r>
        <w:rPr>
          <w:rFonts w:ascii="Segoe UI"/>
          <w:color w:val="232323"/>
          <w:spacing w:val="-4"/>
          <w:sz w:val="18"/>
        </w:rPr>
        <w:t>281.</w:t>
      </w:r>
    </w:p>
    <w:p w14:paraId="1F6C0BCC" w14:textId="77777777" w:rsidR="00BD462C" w:rsidRDefault="00033D0F">
      <w:pPr>
        <w:spacing w:before="1" w:line="242" w:lineRule="auto"/>
        <w:ind w:left="136" w:right="907" w:hanging="1"/>
        <w:jc w:val="both"/>
        <w:rPr>
          <w:rFonts w:ascii="Segoe UI"/>
          <w:sz w:val="18"/>
        </w:rPr>
      </w:pPr>
      <w:bookmarkStart w:id="2121" w:name="_bookmark1827"/>
      <w:bookmarkEnd w:id="2121"/>
      <w:r>
        <w:rPr>
          <w:position w:val="5"/>
          <w:sz w:val="12"/>
        </w:rPr>
        <w:t>1595</w:t>
      </w:r>
      <w:r>
        <w:rPr>
          <w:spacing w:val="13"/>
          <w:position w:val="5"/>
          <w:sz w:val="12"/>
        </w:rPr>
        <w:t xml:space="preserve"> </w:t>
      </w:r>
      <w:r>
        <w:rPr>
          <w:rFonts w:ascii="Segoe UI"/>
          <w:color w:val="232323"/>
          <w:sz w:val="18"/>
        </w:rPr>
        <w:t>Australia's</w:t>
      </w:r>
      <w:r>
        <w:rPr>
          <w:rFonts w:ascii="Segoe UI"/>
          <w:color w:val="232323"/>
          <w:spacing w:val="-6"/>
          <w:sz w:val="18"/>
        </w:rPr>
        <w:t xml:space="preserve"> </w:t>
      </w:r>
      <w:r>
        <w:rPr>
          <w:rFonts w:ascii="Segoe UI"/>
          <w:color w:val="232323"/>
          <w:sz w:val="18"/>
        </w:rPr>
        <w:t>panel</w:t>
      </w:r>
      <w:r>
        <w:rPr>
          <w:rFonts w:ascii="Segoe UI"/>
          <w:color w:val="232323"/>
          <w:spacing w:val="-7"/>
          <w:sz w:val="18"/>
        </w:rPr>
        <w:t xml:space="preserve"> </w:t>
      </w:r>
      <w:r>
        <w:rPr>
          <w:rFonts w:ascii="Segoe UI"/>
          <w:color w:val="232323"/>
          <w:sz w:val="18"/>
        </w:rPr>
        <w:t>request</w:t>
      </w:r>
      <w:r>
        <w:rPr>
          <w:rFonts w:ascii="Segoe UI"/>
          <w:color w:val="232323"/>
          <w:spacing w:val="-4"/>
          <w:sz w:val="18"/>
        </w:rPr>
        <w:t xml:space="preserve"> </w:t>
      </w:r>
      <w:r>
        <w:rPr>
          <w:rFonts w:ascii="Segoe UI"/>
          <w:color w:val="232323"/>
          <w:sz w:val="18"/>
        </w:rPr>
        <w:t>para.</w:t>
      </w:r>
      <w:r>
        <w:rPr>
          <w:rFonts w:ascii="Segoe UI"/>
          <w:color w:val="232323"/>
          <w:spacing w:val="-7"/>
          <w:sz w:val="18"/>
        </w:rPr>
        <w:t xml:space="preserve"> </w:t>
      </w:r>
      <w:r>
        <w:rPr>
          <w:rFonts w:ascii="Segoe UI"/>
          <w:color w:val="232323"/>
          <w:sz w:val="18"/>
        </w:rPr>
        <w:t>(viii)</w:t>
      </w:r>
      <w:r>
        <w:rPr>
          <w:rFonts w:ascii="Segoe UI"/>
          <w:color w:val="232323"/>
          <w:spacing w:val="-2"/>
          <w:sz w:val="18"/>
        </w:rPr>
        <w:t xml:space="preserve"> </w:t>
      </w:r>
      <w:r>
        <w:rPr>
          <w:rFonts w:ascii="Segoe UI"/>
          <w:color w:val="232323"/>
          <w:sz w:val="18"/>
        </w:rPr>
        <w:t>("Article</w:t>
      </w:r>
      <w:r>
        <w:rPr>
          <w:rFonts w:ascii="Segoe UI"/>
          <w:color w:val="232323"/>
          <w:spacing w:val="-4"/>
          <w:sz w:val="18"/>
        </w:rPr>
        <w:t xml:space="preserve"> </w:t>
      </w:r>
      <w:r>
        <w:rPr>
          <w:rFonts w:ascii="Segoe UI"/>
          <w:color w:val="232323"/>
          <w:sz w:val="18"/>
        </w:rPr>
        <w:t>6.9</w:t>
      </w:r>
      <w:r>
        <w:rPr>
          <w:rFonts w:ascii="Segoe UI"/>
          <w:color w:val="232323"/>
          <w:spacing w:val="-2"/>
          <w:sz w:val="18"/>
        </w:rPr>
        <w:t xml:space="preserve"> </w:t>
      </w:r>
      <w:r>
        <w:rPr>
          <w:rFonts w:ascii="Segoe UI"/>
          <w:color w:val="232323"/>
          <w:sz w:val="18"/>
        </w:rPr>
        <w:t>of</w:t>
      </w:r>
      <w:r>
        <w:rPr>
          <w:rFonts w:ascii="Segoe UI"/>
          <w:color w:val="232323"/>
          <w:spacing w:val="-4"/>
          <w:sz w:val="18"/>
        </w:rPr>
        <w:t xml:space="preserve"> </w:t>
      </w:r>
      <w:r>
        <w:rPr>
          <w:rFonts w:ascii="Segoe UI"/>
          <w:color w:val="232323"/>
          <w:sz w:val="18"/>
        </w:rPr>
        <w:t>the</w:t>
      </w:r>
      <w:r>
        <w:rPr>
          <w:rFonts w:ascii="Segoe UI"/>
          <w:color w:val="232323"/>
          <w:spacing w:val="-4"/>
          <w:sz w:val="18"/>
        </w:rPr>
        <w:t xml:space="preserve"> </w:t>
      </w:r>
      <w:r>
        <w:rPr>
          <w:rFonts w:ascii="Segoe UI"/>
          <w:color w:val="232323"/>
          <w:sz w:val="18"/>
        </w:rPr>
        <w:t>Anti-Dumping</w:t>
      </w:r>
      <w:r>
        <w:rPr>
          <w:rFonts w:ascii="Segoe UI"/>
          <w:color w:val="232323"/>
          <w:spacing w:val="-12"/>
          <w:sz w:val="18"/>
        </w:rPr>
        <w:t xml:space="preserve"> </w:t>
      </w:r>
      <w:r>
        <w:rPr>
          <w:rFonts w:ascii="Segoe UI"/>
          <w:color w:val="232323"/>
          <w:sz w:val="18"/>
        </w:rPr>
        <w:t>Agreement</w:t>
      </w:r>
      <w:r>
        <w:rPr>
          <w:rFonts w:ascii="Segoe UI"/>
          <w:color w:val="232323"/>
          <w:spacing w:val="-4"/>
          <w:sz w:val="18"/>
        </w:rPr>
        <w:t xml:space="preserve"> </w:t>
      </w:r>
      <w:r>
        <w:rPr>
          <w:rFonts w:ascii="Segoe UI"/>
          <w:color w:val="232323"/>
          <w:sz w:val="18"/>
        </w:rPr>
        <w:t>because,</w:t>
      </w:r>
      <w:r>
        <w:rPr>
          <w:rFonts w:ascii="Segoe UI"/>
          <w:color w:val="232323"/>
          <w:spacing w:val="-7"/>
          <w:sz w:val="18"/>
        </w:rPr>
        <w:t xml:space="preserve"> </w:t>
      </w:r>
      <w:r>
        <w:rPr>
          <w:rFonts w:ascii="Segoe UI"/>
          <w:color w:val="232323"/>
          <w:sz w:val="18"/>
        </w:rPr>
        <w:t>inter</w:t>
      </w:r>
      <w:r>
        <w:rPr>
          <w:rFonts w:ascii="Segoe UI"/>
          <w:color w:val="232323"/>
          <w:spacing w:val="-7"/>
          <w:sz w:val="18"/>
        </w:rPr>
        <w:t xml:space="preserve"> </w:t>
      </w:r>
      <w:r>
        <w:rPr>
          <w:rFonts w:ascii="Segoe UI"/>
          <w:color w:val="232323"/>
          <w:sz w:val="18"/>
        </w:rPr>
        <w:t>alia,</w:t>
      </w:r>
      <w:r>
        <w:rPr>
          <w:rFonts w:ascii="Segoe UI"/>
          <w:color w:val="232323"/>
          <w:spacing w:val="-7"/>
          <w:sz w:val="18"/>
        </w:rPr>
        <w:t xml:space="preserve"> </w:t>
      </w:r>
      <w:r>
        <w:rPr>
          <w:rFonts w:ascii="Segoe UI"/>
          <w:color w:val="232323"/>
          <w:sz w:val="18"/>
        </w:rPr>
        <w:t>China</w:t>
      </w:r>
      <w:r>
        <w:rPr>
          <w:rFonts w:ascii="Segoe UI"/>
          <w:color w:val="232323"/>
          <w:spacing w:val="-7"/>
          <w:sz w:val="18"/>
        </w:rPr>
        <w:t xml:space="preserve"> </w:t>
      </w:r>
      <w:r>
        <w:rPr>
          <w:rFonts w:ascii="Segoe UI"/>
          <w:color w:val="232323"/>
          <w:sz w:val="18"/>
        </w:rPr>
        <w:t>failed to disclose to the interested parties, before the final determinations were made, the essential facts under consideration</w:t>
      </w:r>
      <w:r>
        <w:rPr>
          <w:rFonts w:ascii="Segoe UI"/>
          <w:color w:val="232323"/>
          <w:spacing w:val="-4"/>
          <w:sz w:val="18"/>
        </w:rPr>
        <w:t xml:space="preserve"> </w:t>
      </w:r>
      <w:r>
        <w:rPr>
          <w:rFonts w:ascii="Segoe UI"/>
          <w:color w:val="232323"/>
          <w:sz w:val="18"/>
        </w:rPr>
        <w:t>which</w:t>
      </w:r>
      <w:r>
        <w:rPr>
          <w:rFonts w:ascii="Segoe UI"/>
          <w:color w:val="232323"/>
          <w:spacing w:val="-4"/>
          <w:sz w:val="18"/>
        </w:rPr>
        <w:t xml:space="preserve"> </w:t>
      </w:r>
      <w:r>
        <w:rPr>
          <w:rFonts w:ascii="Segoe UI"/>
          <w:color w:val="232323"/>
          <w:sz w:val="18"/>
        </w:rPr>
        <w:t>formed</w:t>
      </w:r>
      <w:r>
        <w:rPr>
          <w:rFonts w:ascii="Segoe UI"/>
          <w:color w:val="232323"/>
          <w:spacing w:val="-8"/>
          <w:sz w:val="18"/>
        </w:rPr>
        <w:t xml:space="preserve"> </w:t>
      </w:r>
      <w:r>
        <w:rPr>
          <w:rFonts w:ascii="Segoe UI"/>
          <w:color w:val="232323"/>
          <w:sz w:val="18"/>
        </w:rPr>
        <w:t>the</w:t>
      </w:r>
      <w:r>
        <w:rPr>
          <w:rFonts w:ascii="Segoe UI"/>
          <w:color w:val="232323"/>
          <w:spacing w:val="-6"/>
          <w:sz w:val="18"/>
        </w:rPr>
        <w:t xml:space="preserve"> </w:t>
      </w:r>
      <w:r>
        <w:rPr>
          <w:rFonts w:ascii="Segoe UI"/>
          <w:color w:val="232323"/>
          <w:sz w:val="18"/>
        </w:rPr>
        <w:t>basis</w:t>
      </w:r>
      <w:r>
        <w:rPr>
          <w:rFonts w:ascii="Segoe UI"/>
          <w:color w:val="232323"/>
          <w:spacing w:val="-7"/>
          <w:sz w:val="18"/>
        </w:rPr>
        <w:t xml:space="preserve"> </w:t>
      </w:r>
      <w:r>
        <w:rPr>
          <w:rFonts w:ascii="Segoe UI"/>
          <w:color w:val="232323"/>
          <w:sz w:val="18"/>
        </w:rPr>
        <w:t>for</w:t>
      </w:r>
      <w:r>
        <w:rPr>
          <w:rFonts w:ascii="Segoe UI"/>
          <w:color w:val="232323"/>
          <w:spacing w:val="-8"/>
          <w:sz w:val="18"/>
        </w:rPr>
        <w:t xml:space="preserve"> </w:t>
      </w:r>
      <w:r>
        <w:rPr>
          <w:rFonts w:ascii="Segoe UI"/>
          <w:color w:val="232323"/>
          <w:sz w:val="18"/>
        </w:rPr>
        <w:t>the</w:t>
      </w:r>
      <w:r>
        <w:rPr>
          <w:rFonts w:ascii="Segoe UI"/>
          <w:color w:val="232323"/>
          <w:spacing w:val="-6"/>
          <w:sz w:val="18"/>
        </w:rPr>
        <w:t xml:space="preserve"> </w:t>
      </w:r>
      <w:r>
        <w:rPr>
          <w:rFonts w:ascii="Segoe UI"/>
          <w:color w:val="232323"/>
          <w:sz w:val="18"/>
        </w:rPr>
        <w:t>determinations,</w:t>
      </w:r>
      <w:r>
        <w:rPr>
          <w:rFonts w:ascii="Segoe UI"/>
          <w:color w:val="232323"/>
          <w:spacing w:val="-13"/>
          <w:sz w:val="18"/>
        </w:rPr>
        <w:t xml:space="preserve"> </w:t>
      </w:r>
      <w:r>
        <w:rPr>
          <w:rFonts w:ascii="Segoe UI"/>
          <w:color w:val="232323"/>
          <w:sz w:val="18"/>
        </w:rPr>
        <w:t>and</w:t>
      </w:r>
      <w:r>
        <w:rPr>
          <w:rFonts w:ascii="Segoe UI"/>
          <w:color w:val="232323"/>
          <w:spacing w:val="-7"/>
          <w:sz w:val="18"/>
        </w:rPr>
        <w:t xml:space="preserve"> </w:t>
      </w:r>
      <w:r>
        <w:rPr>
          <w:rFonts w:ascii="Segoe UI"/>
          <w:color w:val="232323"/>
          <w:sz w:val="18"/>
        </w:rPr>
        <w:t>because</w:t>
      </w:r>
      <w:r>
        <w:rPr>
          <w:rFonts w:ascii="Segoe UI"/>
          <w:color w:val="232323"/>
          <w:spacing w:val="-6"/>
          <w:sz w:val="18"/>
        </w:rPr>
        <w:t xml:space="preserve"> </w:t>
      </w:r>
      <w:r>
        <w:rPr>
          <w:rFonts w:ascii="Segoe UI"/>
          <w:color w:val="232323"/>
          <w:sz w:val="18"/>
        </w:rPr>
        <w:t>it</w:t>
      </w:r>
      <w:r>
        <w:rPr>
          <w:rFonts w:ascii="Segoe UI"/>
          <w:color w:val="232323"/>
          <w:spacing w:val="-6"/>
          <w:sz w:val="18"/>
        </w:rPr>
        <w:t xml:space="preserve"> </w:t>
      </w:r>
      <w:r>
        <w:rPr>
          <w:rFonts w:ascii="Segoe UI"/>
          <w:color w:val="232323"/>
          <w:sz w:val="18"/>
        </w:rPr>
        <w:t>failed</w:t>
      </w:r>
      <w:r>
        <w:rPr>
          <w:rFonts w:ascii="Segoe UI"/>
          <w:color w:val="232323"/>
          <w:spacing w:val="-8"/>
          <w:sz w:val="18"/>
        </w:rPr>
        <w:t xml:space="preserve"> </w:t>
      </w:r>
      <w:r>
        <w:rPr>
          <w:rFonts w:ascii="Segoe UI"/>
          <w:color w:val="232323"/>
          <w:sz w:val="18"/>
        </w:rPr>
        <w:t>to</w:t>
      </w:r>
      <w:r>
        <w:rPr>
          <w:rFonts w:ascii="Segoe UI"/>
          <w:color w:val="232323"/>
          <w:spacing w:val="-8"/>
          <w:sz w:val="18"/>
        </w:rPr>
        <w:t xml:space="preserve"> </w:t>
      </w:r>
      <w:r>
        <w:rPr>
          <w:rFonts w:ascii="Segoe UI"/>
          <w:color w:val="232323"/>
          <w:sz w:val="18"/>
        </w:rPr>
        <w:t>do</w:t>
      </w:r>
      <w:r>
        <w:rPr>
          <w:rFonts w:ascii="Segoe UI"/>
          <w:color w:val="232323"/>
          <w:spacing w:val="-8"/>
          <w:sz w:val="18"/>
        </w:rPr>
        <w:t xml:space="preserve"> </w:t>
      </w:r>
      <w:r>
        <w:rPr>
          <w:rFonts w:ascii="Segoe UI"/>
          <w:color w:val="232323"/>
          <w:sz w:val="18"/>
        </w:rPr>
        <w:t>so</w:t>
      </w:r>
      <w:r>
        <w:rPr>
          <w:rFonts w:ascii="Segoe UI"/>
          <w:color w:val="232323"/>
          <w:spacing w:val="-8"/>
          <w:sz w:val="18"/>
        </w:rPr>
        <w:t xml:space="preserve"> </w:t>
      </w:r>
      <w:r>
        <w:rPr>
          <w:rFonts w:ascii="Segoe UI"/>
          <w:color w:val="232323"/>
          <w:sz w:val="18"/>
        </w:rPr>
        <w:t>in</w:t>
      </w:r>
      <w:r>
        <w:rPr>
          <w:rFonts w:ascii="Segoe UI"/>
          <w:color w:val="232323"/>
          <w:spacing w:val="-4"/>
          <w:sz w:val="18"/>
        </w:rPr>
        <w:t xml:space="preserve"> </w:t>
      </w:r>
      <w:r>
        <w:rPr>
          <w:rFonts w:ascii="Segoe UI"/>
          <w:color w:val="232323"/>
          <w:sz w:val="18"/>
        </w:rPr>
        <w:t>sufficient</w:t>
      </w:r>
      <w:r>
        <w:rPr>
          <w:rFonts w:ascii="Segoe UI"/>
          <w:color w:val="232323"/>
          <w:spacing w:val="-6"/>
          <w:sz w:val="18"/>
        </w:rPr>
        <w:t xml:space="preserve"> </w:t>
      </w:r>
      <w:r>
        <w:rPr>
          <w:rFonts w:ascii="Segoe UI"/>
          <w:color w:val="232323"/>
          <w:sz w:val="18"/>
        </w:rPr>
        <w:t>time</w:t>
      </w:r>
      <w:r>
        <w:rPr>
          <w:rFonts w:ascii="Segoe UI"/>
          <w:color w:val="232323"/>
          <w:spacing w:val="-6"/>
          <w:sz w:val="18"/>
        </w:rPr>
        <w:t xml:space="preserve"> </w:t>
      </w:r>
      <w:r>
        <w:rPr>
          <w:rFonts w:ascii="Segoe UI"/>
          <w:color w:val="232323"/>
          <w:sz w:val="18"/>
        </w:rPr>
        <w:t>for</w:t>
      </w:r>
      <w:r>
        <w:rPr>
          <w:rFonts w:ascii="Segoe UI"/>
          <w:color w:val="232323"/>
          <w:spacing w:val="-8"/>
          <w:sz w:val="18"/>
        </w:rPr>
        <w:t xml:space="preserve"> </w:t>
      </w:r>
      <w:r>
        <w:rPr>
          <w:rFonts w:ascii="Segoe UI"/>
          <w:color w:val="232323"/>
          <w:sz w:val="18"/>
        </w:rPr>
        <w:t>the parties to defend their interests").</w:t>
      </w:r>
    </w:p>
    <w:p w14:paraId="0F0D63E9" w14:textId="77777777" w:rsidR="00BD462C" w:rsidRDefault="00033D0F">
      <w:pPr>
        <w:spacing w:line="216" w:lineRule="exact"/>
        <w:ind w:left="135"/>
        <w:jc w:val="both"/>
        <w:rPr>
          <w:sz w:val="18"/>
        </w:rPr>
      </w:pPr>
      <w:bookmarkStart w:id="2122" w:name="_bookmark1828"/>
      <w:bookmarkEnd w:id="2122"/>
      <w:r>
        <w:rPr>
          <w:position w:val="5"/>
          <w:sz w:val="12"/>
        </w:rPr>
        <w:t>1596</w:t>
      </w:r>
      <w:r>
        <w:rPr>
          <w:spacing w:val="12"/>
          <w:position w:val="5"/>
          <w:sz w:val="12"/>
        </w:rPr>
        <w:t xml:space="preserve"> </w:t>
      </w:r>
      <w:r>
        <w:rPr>
          <w:sz w:val="18"/>
        </w:rPr>
        <w:t>China's</w:t>
      </w:r>
      <w:r>
        <w:rPr>
          <w:spacing w:val="-6"/>
          <w:sz w:val="18"/>
        </w:rPr>
        <w:t xml:space="preserve"> </w:t>
      </w:r>
      <w:r>
        <w:rPr>
          <w:sz w:val="18"/>
        </w:rPr>
        <w:t>first</w:t>
      </w:r>
      <w:r>
        <w:rPr>
          <w:spacing w:val="-5"/>
          <w:sz w:val="18"/>
        </w:rPr>
        <w:t xml:space="preserve"> </w:t>
      </w:r>
      <w:r>
        <w:rPr>
          <w:sz w:val="18"/>
        </w:rPr>
        <w:t>written</w:t>
      </w:r>
      <w:r>
        <w:rPr>
          <w:spacing w:val="-6"/>
          <w:sz w:val="18"/>
        </w:rPr>
        <w:t xml:space="preserve"> </w:t>
      </w:r>
      <w:r>
        <w:rPr>
          <w:sz w:val="18"/>
        </w:rPr>
        <w:t>submission, paras.</w:t>
      </w:r>
      <w:r>
        <w:rPr>
          <w:spacing w:val="-5"/>
          <w:sz w:val="18"/>
        </w:rPr>
        <w:t xml:space="preserve"> </w:t>
      </w:r>
      <w:r>
        <w:rPr>
          <w:sz w:val="18"/>
        </w:rPr>
        <w:t>2585-2594;</w:t>
      </w:r>
      <w:r>
        <w:rPr>
          <w:spacing w:val="-7"/>
          <w:sz w:val="18"/>
        </w:rPr>
        <w:t xml:space="preserve"> </w:t>
      </w:r>
      <w:r>
        <w:rPr>
          <w:sz w:val="18"/>
        </w:rPr>
        <w:t>Australia's</w:t>
      </w:r>
      <w:r>
        <w:rPr>
          <w:spacing w:val="-6"/>
          <w:sz w:val="18"/>
        </w:rPr>
        <w:t xml:space="preserve"> </w:t>
      </w:r>
      <w:r>
        <w:rPr>
          <w:sz w:val="18"/>
        </w:rPr>
        <w:t>panel</w:t>
      </w:r>
      <w:r>
        <w:rPr>
          <w:spacing w:val="-1"/>
          <w:sz w:val="18"/>
        </w:rPr>
        <w:t xml:space="preserve"> </w:t>
      </w:r>
      <w:r>
        <w:rPr>
          <w:sz w:val="18"/>
        </w:rPr>
        <w:t>request,</w:t>
      </w:r>
      <w:r>
        <w:rPr>
          <w:spacing w:val="-4"/>
          <w:sz w:val="18"/>
        </w:rPr>
        <w:t xml:space="preserve"> </w:t>
      </w:r>
      <w:r>
        <w:rPr>
          <w:sz w:val="18"/>
        </w:rPr>
        <w:t>para.</w:t>
      </w:r>
      <w:r>
        <w:rPr>
          <w:spacing w:val="-5"/>
          <w:sz w:val="18"/>
        </w:rPr>
        <w:t xml:space="preserve"> </w:t>
      </w:r>
      <w:r>
        <w:rPr>
          <w:spacing w:val="-2"/>
          <w:sz w:val="18"/>
        </w:rPr>
        <w:t>(xxiv).</w:t>
      </w:r>
    </w:p>
    <w:p w14:paraId="0FBE8A1C" w14:textId="77777777" w:rsidR="00BD462C" w:rsidRDefault="00BD462C">
      <w:pPr>
        <w:spacing w:line="216" w:lineRule="exact"/>
        <w:jc w:val="both"/>
        <w:rPr>
          <w:sz w:val="18"/>
        </w:rPr>
        <w:sectPr w:rsidR="00BD462C">
          <w:pgSz w:w="11910" w:h="16840"/>
          <w:pgMar w:top="860" w:right="500" w:bottom="780" w:left="1280" w:header="566" w:footer="590" w:gutter="0"/>
          <w:cols w:space="720"/>
        </w:sectPr>
      </w:pPr>
    </w:p>
    <w:p w14:paraId="1BC50AF2"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7141B749"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01214F67"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75EFDAD6" w14:textId="77777777" w:rsidR="00BD462C" w:rsidRDefault="00033D0F">
      <w:pPr>
        <w:pStyle w:val="BodyText"/>
        <w:spacing w:before="2" w:line="360" w:lineRule="auto"/>
        <w:ind w:left="136" w:right="912"/>
        <w:jc w:val="both"/>
      </w:pPr>
      <w:r>
        <w:t>request, and therefore cannot be raised in its submissions. This is functionally identical to China's</w:t>
      </w:r>
      <w:r>
        <w:rPr>
          <w:spacing w:val="-10"/>
        </w:rPr>
        <w:t xml:space="preserve"> </w:t>
      </w:r>
      <w:r>
        <w:t>assertions</w:t>
      </w:r>
      <w:r>
        <w:rPr>
          <w:spacing w:val="-10"/>
        </w:rPr>
        <w:t xml:space="preserve"> </w:t>
      </w:r>
      <w:r>
        <w:t>concerning</w:t>
      </w:r>
      <w:r>
        <w:rPr>
          <w:spacing w:val="-10"/>
        </w:rPr>
        <w:t xml:space="preserve"> </w:t>
      </w:r>
      <w:r>
        <w:t>Article</w:t>
      </w:r>
      <w:r>
        <w:rPr>
          <w:spacing w:val="-12"/>
        </w:rPr>
        <w:t xml:space="preserve"> </w:t>
      </w:r>
      <w:r>
        <w:t>6.9,</w:t>
      </w:r>
      <w:r>
        <w:rPr>
          <w:spacing w:val="-10"/>
        </w:rPr>
        <w:t xml:space="preserve"> </w:t>
      </w:r>
      <w:r>
        <w:t>to</w:t>
      </w:r>
      <w:r>
        <w:rPr>
          <w:spacing w:val="-14"/>
        </w:rPr>
        <w:t xml:space="preserve"> </w:t>
      </w:r>
      <w:r>
        <w:t>which</w:t>
      </w:r>
      <w:r>
        <w:rPr>
          <w:spacing w:val="-3"/>
        </w:rPr>
        <w:t xml:space="preserve"> </w:t>
      </w:r>
      <w:r>
        <w:t>Australia</w:t>
      </w:r>
      <w:r>
        <w:rPr>
          <w:spacing w:val="-12"/>
        </w:rPr>
        <w:t xml:space="preserve"> </w:t>
      </w:r>
      <w:r>
        <w:t>has</w:t>
      </w:r>
      <w:r>
        <w:rPr>
          <w:spacing w:val="-10"/>
        </w:rPr>
        <w:t xml:space="preserve"> </w:t>
      </w:r>
      <w:r>
        <w:t>responded</w:t>
      </w:r>
      <w:r>
        <w:rPr>
          <w:spacing w:val="-14"/>
        </w:rPr>
        <w:t xml:space="preserve"> </w:t>
      </w:r>
      <w:r>
        <w:t>in</w:t>
      </w:r>
      <w:r>
        <w:rPr>
          <w:spacing w:val="-8"/>
        </w:rPr>
        <w:t xml:space="preserve"> </w:t>
      </w:r>
      <w:r>
        <w:t>detail</w:t>
      </w:r>
      <w:r>
        <w:rPr>
          <w:spacing w:val="-10"/>
        </w:rPr>
        <w:t xml:space="preserve"> </w:t>
      </w:r>
      <w:r>
        <w:t>above.</w:t>
      </w:r>
      <w:hyperlink w:anchor="_bookmark1830" w:history="1">
        <w:r>
          <w:rPr>
            <w:vertAlign w:val="superscript"/>
          </w:rPr>
          <w:t>1597</w:t>
        </w:r>
      </w:hyperlink>
      <w:r>
        <w:t xml:space="preserve"> Australia refers the Panel to its response to those assertions, in particular noting that China has again </w:t>
      </w:r>
      <w:proofErr w:type="spellStart"/>
      <w:r>
        <w:t>miscategorised</w:t>
      </w:r>
      <w:proofErr w:type="spellEnd"/>
      <w:r>
        <w:t xml:space="preserve"> an argument as a claim and that these arguments have reasonably developed from Australia's claim of inconsistency with Articles 12.2 and 12.2.2.</w:t>
      </w:r>
    </w:p>
    <w:p w14:paraId="0DAB3B55" w14:textId="77777777" w:rsidR="00BD462C" w:rsidRDefault="00033D0F">
      <w:pPr>
        <w:pStyle w:val="Heading3"/>
        <w:numPr>
          <w:ilvl w:val="2"/>
          <w:numId w:val="5"/>
        </w:numPr>
        <w:tabs>
          <w:tab w:val="left" w:pos="1836"/>
        </w:tabs>
        <w:spacing w:before="159" w:line="362" w:lineRule="auto"/>
        <w:ind w:right="919"/>
      </w:pPr>
      <w:bookmarkStart w:id="2123" w:name="A.5.6_Australia's_claim_pursuant_to_Arti"/>
      <w:bookmarkEnd w:id="2123"/>
      <w:r>
        <w:t xml:space="preserve">Australia's claim pursuant to Article 6.13 was within the Panel's terms of </w:t>
      </w:r>
      <w:r>
        <w:rPr>
          <w:spacing w:val="-2"/>
        </w:rPr>
        <w:t>reference.</w:t>
      </w:r>
    </w:p>
    <w:p w14:paraId="7D0FE6FE" w14:textId="00F9A966" w:rsidR="00BD462C" w:rsidRDefault="003C3F6C">
      <w:pPr>
        <w:pStyle w:val="BodyText"/>
        <w:spacing w:before="161" w:line="352" w:lineRule="auto"/>
        <w:ind w:left="136" w:right="910"/>
        <w:jc w:val="both"/>
      </w:pPr>
      <w:r>
        <w:rPr>
          <w:noProof/>
        </w:rPr>
        <w:t>60.</w:t>
      </w:r>
      <w:r w:rsidR="00033D0F">
        <w:rPr>
          <w:rFonts w:ascii="Times New Roman"/>
          <w:spacing w:val="80"/>
          <w:position w:val="1"/>
          <w:sz w:val="20"/>
        </w:rPr>
        <w:t xml:space="preserve">  </w:t>
      </w:r>
      <w:r w:rsidR="00033D0F">
        <w:rPr>
          <w:position w:val="1"/>
        </w:rPr>
        <w:t>Australia is no longer pursuing a violation of Article 6.13.</w:t>
      </w:r>
      <w:hyperlink w:anchor="_bookmark1831" w:history="1">
        <w:r w:rsidR="00033D0F">
          <w:rPr>
            <w:position w:val="1"/>
            <w:vertAlign w:val="superscript"/>
          </w:rPr>
          <w:t>1598</w:t>
        </w:r>
      </w:hyperlink>
      <w:r w:rsidR="00033D0F">
        <w:rPr>
          <w:position w:val="1"/>
        </w:rPr>
        <w:t xml:space="preserve"> Australia made this </w:t>
      </w:r>
      <w:r w:rsidR="00033D0F">
        <w:t>decision because it assessed that the conduct at issue contravened both Article 6.13 and Article 6.8. Therefore, Australia presses only its claim pursuant to Article 6.8.</w:t>
      </w:r>
    </w:p>
    <w:p w14:paraId="661DAA8A" w14:textId="77777777" w:rsidR="00BD462C" w:rsidRDefault="00BD462C">
      <w:pPr>
        <w:pStyle w:val="BodyText"/>
        <w:spacing w:before="11"/>
        <w:rPr>
          <w:sz w:val="9"/>
        </w:rPr>
      </w:pPr>
    </w:p>
    <w:p w14:paraId="1B244B2C" w14:textId="4141CB5F" w:rsidR="00BD462C" w:rsidRDefault="003C3F6C">
      <w:pPr>
        <w:pStyle w:val="BodyText"/>
        <w:spacing w:before="56" w:line="360" w:lineRule="auto"/>
        <w:ind w:left="135" w:right="916"/>
        <w:jc w:val="both"/>
      </w:pPr>
      <w:r>
        <w:rPr>
          <w:noProof/>
        </w:rPr>
        <w:t>61.</w:t>
      </w:r>
      <w:r w:rsidR="00033D0F">
        <w:rPr>
          <w:rFonts w:ascii="Times New Roman"/>
          <w:spacing w:val="80"/>
          <w:position w:val="1"/>
          <w:sz w:val="20"/>
        </w:rPr>
        <w:t xml:space="preserve">  </w:t>
      </w:r>
      <w:r w:rsidR="00033D0F">
        <w:rPr>
          <w:position w:val="1"/>
        </w:rPr>
        <w:t xml:space="preserve">Nevertheless, Australia stands on its previous submissions that its claim pursuant to </w:t>
      </w:r>
      <w:r w:rsidR="00033D0F">
        <w:t>Article 6.13 was clear on the face of the panel request, noting particularly that details about which</w:t>
      </w:r>
      <w:r w:rsidR="00033D0F">
        <w:rPr>
          <w:spacing w:val="-14"/>
        </w:rPr>
        <w:t xml:space="preserve"> </w:t>
      </w:r>
      <w:r w:rsidR="00033D0F">
        <w:t>kind</w:t>
      </w:r>
      <w:r w:rsidR="00033D0F">
        <w:rPr>
          <w:spacing w:val="-14"/>
        </w:rPr>
        <w:t xml:space="preserve"> </w:t>
      </w:r>
      <w:r w:rsidR="00033D0F">
        <w:t>of</w:t>
      </w:r>
      <w:r w:rsidR="00033D0F">
        <w:rPr>
          <w:spacing w:val="-13"/>
        </w:rPr>
        <w:t xml:space="preserve"> </w:t>
      </w:r>
      <w:r w:rsidR="00033D0F">
        <w:t>difficulties</w:t>
      </w:r>
      <w:r w:rsidR="00033D0F">
        <w:rPr>
          <w:spacing w:val="-13"/>
        </w:rPr>
        <w:t xml:space="preserve"> </w:t>
      </w:r>
      <w:r w:rsidR="00033D0F">
        <w:t>and</w:t>
      </w:r>
      <w:r w:rsidR="00033D0F">
        <w:rPr>
          <w:spacing w:val="-14"/>
        </w:rPr>
        <w:t xml:space="preserve"> </w:t>
      </w:r>
      <w:r w:rsidR="00033D0F">
        <w:t>which</w:t>
      </w:r>
      <w:r w:rsidR="00033D0F">
        <w:rPr>
          <w:spacing w:val="-13"/>
        </w:rPr>
        <w:t xml:space="preserve"> </w:t>
      </w:r>
      <w:r w:rsidR="00033D0F">
        <w:t>kinds</w:t>
      </w:r>
      <w:r w:rsidR="00033D0F">
        <w:rPr>
          <w:spacing w:val="-11"/>
        </w:rPr>
        <w:t xml:space="preserve"> </w:t>
      </w:r>
      <w:r w:rsidR="00033D0F">
        <w:t>of</w:t>
      </w:r>
      <w:r w:rsidR="00033D0F">
        <w:rPr>
          <w:spacing w:val="-14"/>
        </w:rPr>
        <w:t xml:space="preserve"> </w:t>
      </w:r>
      <w:r w:rsidR="00033D0F">
        <w:t>assistance</w:t>
      </w:r>
      <w:r w:rsidR="00033D0F">
        <w:rPr>
          <w:spacing w:val="-12"/>
        </w:rPr>
        <w:t xml:space="preserve"> </w:t>
      </w:r>
      <w:r w:rsidR="00033D0F">
        <w:t>do</w:t>
      </w:r>
      <w:r w:rsidR="00033D0F">
        <w:rPr>
          <w:spacing w:val="-11"/>
        </w:rPr>
        <w:t xml:space="preserve"> </w:t>
      </w:r>
      <w:r w:rsidR="00033D0F">
        <w:t>not</w:t>
      </w:r>
      <w:r w:rsidR="00033D0F">
        <w:rPr>
          <w:spacing w:val="-12"/>
        </w:rPr>
        <w:t xml:space="preserve"> </w:t>
      </w:r>
      <w:r w:rsidR="00033D0F">
        <w:t>constitute</w:t>
      </w:r>
      <w:r w:rsidR="00033D0F">
        <w:rPr>
          <w:spacing w:val="-13"/>
        </w:rPr>
        <w:t xml:space="preserve"> </w:t>
      </w:r>
      <w:r w:rsidR="00033D0F">
        <w:t>claims,</w:t>
      </w:r>
      <w:r w:rsidR="00033D0F">
        <w:rPr>
          <w:spacing w:val="-11"/>
        </w:rPr>
        <w:t xml:space="preserve"> </w:t>
      </w:r>
      <w:r w:rsidR="00033D0F">
        <w:t>only</w:t>
      </w:r>
      <w:r w:rsidR="00033D0F">
        <w:rPr>
          <w:spacing w:val="-12"/>
        </w:rPr>
        <w:t xml:space="preserve"> </w:t>
      </w:r>
      <w:r w:rsidR="00033D0F">
        <w:t>examples or</w:t>
      </w:r>
      <w:r w:rsidR="00033D0F">
        <w:rPr>
          <w:spacing w:val="-5"/>
        </w:rPr>
        <w:t xml:space="preserve"> </w:t>
      </w:r>
      <w:r w:rsidR="00033D0F">
        <w:t>instances</w:t>
      </w:r>
      <w:r w:rsidR="00033D0F">
        <w:rPr>
          <w:spacing w:val="-6"/>
        </w:rPr>
        <w:t xml:space="preserve"> </w:t>
      </w:r>
      <w:r w:rsidR="00033D0F">
        <w:t>of</w:t>
      </w:r>
      <w:r w:rsidR="00033D0F">
        <w:rPr>
          <w:spacing w:val="-4"/>
        </w:rPr>
        <w:t xml:space="preserve"> </w:t>
      </w:r>
      <w:r w:rsidR="00033D0F">
        <w:t>inconsistency</w:t>
      </w:r>
      <w:r w:rsidR="00033D0F">
        <w:rPr>
          <w:spacing w:val="-6"/>
        </w:rPr>
        <w:t xml:space="preserve"> </w:t>
      </w:r>
      <w:r w:rsidR="00033D0F">
        <w:t>and</w:t>
      </w:r>
      <w:r w:rsidR="00033D0F">
        <w:rPr>
          <w:spacing w:val="-9"/>
        </w:rPr>
        <w:t xml:space="preserve"> </w:t>
      </w:r>
      <w:r w:rsidR="00033D0F">
        <w:t>are</w:t>
      </w:r>
      <w:r w:rsidR="00033D0F">
        <w:rPr>
          <w:spacing w:val="-7"/>
        </w:rPr>
        <w:t xml:space="preserve"> </w:t>
      </w:r>
      <w:r w:rsidR="00033D0F">
        <w:t>thus</w:t>
      </w:r>
      <w:r w:rsidR="00033D0F">
        <w:rPr>
          <w:spacing w:val="-6"/>
        </w:rPr>
        <w:t xml:space="preserve"> </w:t>
      </w:r>
      <w:r w:rsidR="00033D0F">
        <w:t>properly</w:t>
      </w:r>
      <w:r w:rsidR="00033D0F">
        <w:rPr>
          <w:spacing w:val="-6"/>
        </w:rPr>
        <w:t xml:space="preserve"> </w:t>
      </w:r>
      <w:r w:rsidR="00033D0F">
        <w:t>considered</w:t>
      </w:r>
      <w:r w:rsidR="00033D0F">
        <w:rPr>
          <w:spacing w:val="-4"/>
        </w:rPr>
        <w:t xml:space="preserve"> </w:t>
      </w:r>
      <w:r w:rsidR="00033D0F">
        <w:t>arguments</w:t>
      </w:r>
      <w:r w:rsidR="00033D0F">
        <w:rPr>
          <w:spacing w:val="-4"/>
        </w:rPr>
        <w:t xml:space="preserve"> </w:t>
      </w:r>
      <w:r w:rsidR="00033D0F">
        <w:t>and</w:t>
      </w:r>
      <w:r w:rsidR="00033D0F">
        <w:rPr>
          <w:spacing w:val="-9"/>
        </w:rPr>
        <w:t xml:space="preserve"> </w:t>
      </w:r>
      <w:r w:rsidR="00033D0F">
        <w:t>do</w:t>
      </w:r>
      <w:r w:rsidR="00033D0F">
        <w:rPr>
          <w:spacing w:val="-5"/>
        </w:rPr>
        <w:t xml:space="preserve"> </w:t>
      </w:r>
      <w:r w:rsidR="00033D0F">
        <w:t>not</w:t>
      </w:r>
      <w:r w:rsidR="00033D0F">
        <w:rPr>
          <w:spacing w:val="-7"/>
        </w:rPr>
        <w:t xml:space="preserve"> </w:t>
      </w:r>
      <w:r w:rsidR="00033D0F">
        <w:t>need</w:t>
      </w:r>
      <w:r w:rsidR="00033D0F">
        <w:rPr>
          <w:spacing w:val="-4"/>
        </w:rPr>
        <w:t xml:space="preserve"> </w:t>
      </w:r>
      <w:r w:rsidR="00033D0F">
        <w:t>to be included in a panel request pursuant to Article 6.2 of the DSU.</w:t>
      </w:r>
      <w:hyperlink w:anchor="_bookmark1832" w:history="1">
        <w:r w:rsidR="00033D0F">
          <w:rPr>
            <w:vertAlign w:val="superscript"/>
          </w:rPr>
          <w:t>1599</w:t>
        </w:r>
      </w:hyperlink>
    </w:p>
    <w:p w14:paraId="5A64A50F" w14:textId="77777777" w:rsidR="00BD462C" w:rsidRDefault="00BD462C">
      <w:pPr>
        <w:pStyle w:val="BodyText"/>
        <w:rPr>
          <w:sz w:val="26"/>
        </w:rPr>
      </w:pPr>
    </w:p>
    <w:p w14:paraId="621D14A0" w14:textId="77777777" w:rsidR="00BD462C" w:rsidRDefault="00BD462C">
      <w:pPr>
        <w:pStyle w:val="BodyText"/>
        <w:spacing w:before="10"/>
        <w:rPr>
          <w:sz w:val="35"/>
        </w:rPr>
      </w:pPr>
    </w:p>
    <w:p w14:paraId="10AD38B6" w14:textId="77777777" w:rsidR="00BD462C" w:rsidRDefault="00033D0F">
      <w:pPr>
        <w:pStyle w:val="Heading3"/>
        <w:tabs>
          <w:tab w:val="left" w:pos="1551"/>
        </w:tabs>
        <w:spacing w:before="0" w:line="357" w:lineRule="auto"/>
        <w:ind w:left="1551" w:right="916" w:hanging="1416"/>
        <w:jc w:val="left"/>
      </w:pPr>
      <w:bookmarkStart w:id="2124" w:name="ANNEX_B_Itemised_responses_to_the_table_"/>
      <w:bookmarkStart w:id="2125" w:name="_bookmark1829"/>
      <w:bookmarkEnd w:id="2124"/>
      <w:bookmarkEnd w:id="2125"/>
      <w:r>
        <w:t>ANNEX B</w:t>
      </w:r>
      <w:r>
        <w:tab/>
      </w:r>
      <w:proofErr w:type="spellStart"/>
      <w:r>
        <w:t>Itemised</w:t>
      </w:r>
      <w:proofErr w:type="spellEnd"/>
      <w:r>
        <w:t xml:space="preserve"> responses to the table China provided at</w:t>
      </w:r>
      <w:r>
        <w:rPr>
          <w:spacing w:val="-1"/>
        </w:rPr>
        <w:t xml:space="preserve"> </w:t>
      </w:r>
      <w:r>
        <w:t>paragraph 2455</w:t>
      </w:r>
      <w:r>
        <w:rPr>
          <w:spacing w:val="-1"/>
        </w:rPr>
        <w:t xml:space="preserve"> </w:t>
      </w:r>
      <w:r>
        <w:t>of its first written submission</w:t>
      </w:r>
    </w:p>
    <w:p w14:paraId="606557E3" w14:textId="77777777" w:rsidR="00BD462C" w:rsidRDefault="00BD462C">
      <w:pPr>
        <w:pStyle w:val="BodyText"/>
        <w:spacing w:before="3"/>
        <w:rPr>
          <w:b/>
          <w:sz w:val="9"/>
        </w:rPr>
      </w:pPr>
    </w:p>
    <w:p w14:paraId="2AE97B07" w14:textId="3EAA8944" w:rsidR="00BD462C" w:rsidRDefault="00033D0F" w:rsidP="00DA02D9">
      <w:pPr>
        <w:pStyle w:val="BodyText"/>
        <w:numPr>
          <w:ilvl w:val="0"/>
          <w:numId w:val="73"/>
        </w:numPr>
        <w:spacing w:before="56" w:line="360" w:lineRule="auto"/>
        <w:ind w:right="917"/>
        <w:jc w:val="both"/>
      </w:pPr>
      <w:r>
        <w:rPr>
          <w:position w:val="1"/>
        </w:rPr>
        <w:t xml:space="preserve">For context, China has extracted parts of sentences in its table at paragraph 2455 of </w:t>
      </w:r>
      <w:r>
        <w:t>its</w:t>
      </w:r>
      <w:r>
        <w:rPr>
          <w:spacing w:val="-6"/>
        </w:rPr>
        <w:t xml:space="preserve"> </w:t>
      </w:r>
      <w:r>
        <w:t>first</w:t>
      </w:r>
      <w:r>
        <w:rPr>
          <w:spacing w:val="-7"/>
        </w:rPr>
        <w:t xml:space="preserve"> </w:t>
      </w:r>
      <w:r>
        <w:t>written</w:t>
      </w:r>
      <w:r>
        <w:rPr>
          <w:spacing w:val="-9"/>
        </w:rPr>
        <w:t xml:space="preserve"> </w:t>
      </w:r>
      <w:r>
        <w:t>submission</w:t>
      </w:r>
      <w:r>
        <w:rPr>
          <w:spacing w:val="-9"/>
        </w:rPr>
        <w:t xml:space="preserve"> </w:t>
      </w:r>
      <w:r>
        <w:t>to</w:t>
      </w:r>
      <w:r>
        <w:rPr>
          <w:spacing w:val="-10"/>
        </w:rPr>
        <w:t xml:space="preserve"> </w:t>
      </w:r>
      <w:r>
        <w:t>base</w:t>
      </w:r>
      <w:r>
        <w:rPr>
          <w:spacing w:val="-7"/>
        </w:rPr>
        <w:t xml:space="preserve"> </w:t>
      </w:r>
      <w:r>
        <w:t>its</w:t>
      </w:r>
      <w:r>
        <w:rPr>
          <w:spacing w:val="-6"/>
        </w:rPr>
        <w:t xml:space="preserve"> </w:t>
      </w:r>
      <w:r>
        <w:t>arguments</w:t>
      </w:r>
      <w:r>
        <w:rPr>
          <w:spacing w:val="-6"/>
        </w:rPr>
        <w:t xml:space="preserve"> </w:t>
      </w:r>
      <w:r>
        <w:t>on.</w:t>
      </w:r>
      <w:r>
        <w:rPr>
          <w:spacing w:val="-6"/>
        </w:rPr>
        <w:t xml:space="preserve"> </w:t>
      </w:r>
      <w:r>
        <w:t>Australia</w:t>
      </w:r>
      <w:r>
        <w:rPr>
          <w:spacing w:val="-7"/>
        </w:rPr>
        <w:t xml:space="preserve"> </w:t>
      </w:r>
      <w:r>
        <w:t>submits</w:t>
      </w:r>
      <w:r>
        <w:rPr>
          <w:spacing w:val="-6"/>
        </w:rPr>
        <w:t xml:space="preserve"> </w:t>
      </w:r>
      <w:r>
        <w:t>that</w:t>
      </w:r>
      <w:r>
        <w:rPr>
          <w:spacing w:val="-11"/>
        </w:rPr>
        <w:t xml:space="preserve"> </w:t>
      </w:r>
      <w:r>
        <w:t>when</w:t>
      </w:r>
      <w:r>
        <w:rPr>
          <w:spacing w:val="-9"/>
        </w:rPr>
        <w:t xml:space="preserve"> </w:t>
      </w:r>
      <w:r>
        <w:t>read</w:t>
      </w:r>
      <w:r>
        <w:rPr>
          <w:spacing w:val="-9"/>
        </w:rPr>
        <w:t xml:space="preserve"> </w:t>
      </w:r>
      <w:r>
        <w:t>in</w:t>
      </w:r>
      <w:r>
        <w:rPr>
          <w:spacing w:val="-9"/>
        </w:rPr>
        <w:t xml:space="preserve"> </w:t>
      </w:r>
      <w:r>
        <w:t>their full</w:t>
      </w:r>
      <w:r>
        <w:rPr>
          <w:spacing w:val="-4"/>
        </w:rPr>
        <w:t xml:space="preserve"> </w:t>
      </w:r>
      <w:r>
        <w:t>context,</w:t>
      </w:r>
      <w:r>
        <w:rPr>
          <w:spacing w:val="-4"/>
        </w:rPr>
        <w:t xml:space="preserve"> </w:t>
      </w:r>
      <w:r>
        <w:t>it</w:t>
      </w:r>
      <w:r>
        <w:rPr>
          <w:spacing w:val="-6"/>
        </w:rPr>
        <w:t xml:space="preserve"> </w:t>
      </w:r>
      <w:r>
        <w:t>is</w:t>
      </w:r>
      <w:r>
        <w:rPr>
          <w:spacing w:val="-5"/>
        </w:rPr>
        <w:t xml:space="preserve"> </w:t>
      </w:r>
      <w:r>
        <w:t>clear</w:t>
      </w:r>
      <w:r>
        <w:rPr>
          <w:spacing w:val="-9"/>
        </w:rPr>
        <w:t xml:space="preserve"> </w:t>
      </w:r>
      <w:r>
        <w:t>that</w:t>
      </w:r>
      <w:r>
        <w:rPr>
          <w:spacing w:val="-6"/>
        </w:rPr>
        <w:t xml:space="preserve"> </w:t>
      </w:r>
      <w:r>
        <w:t>Australia's</w:t>
      </w:r>
      <w:r>
        <w:rPr>
          <w:spacing w:val="-5"/>
        </w:rPr>
        <w:t xml:space="preserve"> </w:t>
      </w:r>
      <w:r>
        <w:t>arguments</w:t>
      </w:r>
      <w:r>
        <w:rPr>
          <w:spacing w:val="-5"/>
        </w:rPr>
        <w:t xml:space="preserve"> </w:t>
      </w:r>
      <w:r>
        <w:t>fall</w:t>
      </w:r>
      <w:r>
        <w:rPr>
          <w:spacing w:val="-4"/>
        </w:rPr>
        <w:t xml:space="preserve"> </w:t>
      </w:r>
      <w:r>
        <w:t>within</w:t>
      </w:r>
      <w:r>
        <w:rPr>
          <w:spacing w:val="-8"/>
        </w:rPr>
        <w:t xml:space="preserve"> </w:t>
      </w:r>
      <w:r>
        <w:t>the</w:t>
      </w:r>
      <w:r>
        <w:rPr>
          <w:spacing w:val="-6"/>
        </w:rPr>
        <w:t xml:space="preserve"> </w:t>
      </w:r>
      <w:r>
        <w:t>scope</w:t>
      </w:r>
      <w:r>
        <w:rPr>
          <w:spacing w:val="-1"/>
        </w:rPr>
        <w:t xml:space="preserve"> </w:t>
      </w:r>
      <w:r>
        <w:t>of</w:t>
      </w:r>
      <w:r>
        <w:rPr>
          <w:spacing w:val="-3"/>
        </w:rPr>
        <w:t xml:space="preserve"> </w:t>
      </w:r>
      <w:r>
        <w:t>Article</w:t>
      </w:r>
      <w:r>
        <w:rPr>
          <w:spacing w:val="-6"/>
        </w:rPr>
        <w:t xml:space="preserve"> </w:t>
      </w:r>
      <w:r>
        <w:t>6.4. To</w:t>
      </w:r>
      <w:r>
        <w:rPr>
          <w:spacing w:val="-4"/>
        </w:rPr>
        <w:t xml:space="preserve"> </w:t>
      </w:r>
      <w:r>
        <w:t>aid</w:t>
      </w:r>
      <w:r>
        <w:rPr>
          <w:spacing w:val="-8"/>
        </w:rPr>
        <w:t xml:space="preserve"> </w:t>
      </w:r>
      <w:r>
        <w:t>the Panel,</w:t>
      </w:r>
      <w:r>
        <w:rPr>
          <w:spacing w:val="-10"/>
        </w:rPr>
        <w:t xml:space="preserve"> </w:t>
      </w:r>
      <w:r>
        <w:t>Australia</w:t>
      </w:r>
      <w:r>
        <w:rPr>
          <w:spacing w:val="-12"/>
        </w:rPr>
        <w:t xml:space="preserve"> </w:t>
      </w:r>
      <w:r>
        <w:t>as</w:t>
      </w:r>
      <w:r>
        <w:rPr>
          <w:spacing w:val="-10"/>
        </w:rPr>
        <w:t xml:space="preserve"> </w:t>
      </w:r>
      <w:r>
        <w:t>extracted</w:t>
      </w:r>
      <w:r>
        <w:rPr>
          <w:spacing w:val="-14"/>
        </w:rPr>
        <w:t xml:space="preserve"> </w:t>
      </w:r>
      <w:r>
        <w:t>the</w:t>
      </w:r>
      <w:r>
        <w:rPr>
          <w:spacing w:val="-6"/>
        </w:rPr>
        <w:t xml:space="preserve"> </w:t>
      </w:r>
      <w:r>
        <w:t>full</w:t>
      </w:r>
      <w:r>
        <w:rPr>
          <w:spacing w:val="-10"/>
        </w:rPr>
        <w:t xml:space="preserve"> </w:t>
      </w:r>
      <w:r>
        <w:t>paragraphs</w:t>
      </w:r>
      <w:r>
        <w:rPr>
          <w:spacing w:val="-10"/>
        </w:rPr>
        <w:t xml:space="preserve"> </w:t>
      </w:r>
      <w:r>
        <w:t>of</w:t>
      </w:r>
      <w:r>
        <w:rPr>
          <w:spacing w:val="-9"/>
        </w:rPr>
        <w:t xml:space="preserve"> </w:t>
      </w:r>
      <w:r>
        <w:t>Australia's</w:t>
      </w:r>
      <w:r>
        <w:rPr>
          <w:spacing w:val="-10"/>
        </w:rPr>
        <w:t xml:space="preserve"> </w:t>
      </w:r>
      <w:r>
        <w:t>first</w:t>
      </w:r>
      <w:r>
        <w:rPr>
          <w:spacing w:val="-11"/>
        </w:rPr>
        <w:t xml:space="preserve"> </w:t>
      </w:r>
      <w:r>
        <w:t>written</w:t>
      </w:r>
      <w:r>
        <w:rPr>
          <w:spacing w:val="-14"/>
        </w:rPr>
        <w:t xml:space="preserve"> </w:t>
      </w:r>
      <w:r>
        <w:t>submission</w:t>
      </w:r>
      <w:r>
        <w:rPr>
          <w:spacing w:val="-13"/>
        </w:rPr>
        <w:t xml:space="preserve"> </w:t>
      </w:r>
      <w:r>
        <w:t>that</w:t>
      </w:r>
      <w:r>
        <w:rPr>
          <w:spacing w:val="-11"/>
        </w:rPr>
        <w:t xml:space="preserve"> </w:t>
      </w:r>
      <w:r>
        <w:t>the excerpts</w:t>
      </w:r>
      <w:r>
        <w:rPr>
          <w:spacing w:val="-1"/>
        </w:rPr>
        <w:t xml:space="preserve"> </w:t>
      </w:r>
      <w:r>
        <w:t>in</w:t>
      </w:r>
      <w:r>
        <w:rPr>
          <w:spacing w:val="-4"/>
        </w:rPr>
        <w:t xml:space="preserve"> </w:t>
      </w:r>
      <w:r>
        <w:t>the</w:t>
      </w:r>
      <w:r>
        <w:rPr>
          <w:spacing w:val="-3"/>
        </w:rPr>
        <w:t xml:space="preserve"> </w:t>
      </w:r>
      <w:r>
        <w:t>China's</w:t>
      </w:r>
      <w:r>
        <w:rPr>
          <w:spacing w:val="-1"/>
        </w:rPr>
        <w:t xml:space="preserve"> </w:t>
      </w:r>
      <w:r>
        <w:t>table</w:t>
      </w:r>
      <w:r>
        <w:rPr>
          <w:spacing w:val="-2"/>
        </w:rPr>
        <w:t xml:space="preserve"> </w:t>
      </w:r>
      <w:r>
        <w:t>are pulled</w:t>
      </w:r>
      <w:r>
        <w:rPr>
          <w:spacing w:val="-4"/>
        </w:rPr>
        <w:t xml:space="preserve"> </w:t>
      </w:r>
      <w:r>
        <w:t>from.</w:t>
      </w:r>
      <w:r>
        <w:rPr>
          <w:spacing w:val="-1"/>
        </w:rPr>
        <w:t xml:space="preserve"> </w:t>
      </w:r>
      <w:r>
        <w:t>The underlined</w:t>
      </w:r>
      <w:r>
        <w:rPr>
          <w:spacing w:val="-4"/>
        </w:rPr>
        <w:t xml:space="preserve"> </w:t>
      </w:r>
      <w:r>
        <w:t>proportion of each paragraph</w:t>
      </w:r>
      <w:r>
        <w:rPr>
          <w:spacing w:val="-4"/>
        </w:rPr>
        <w:t xml:space="preserve"> </w:t>
      </w:r>
      <w:r>
        <w:t>is the text extracted by China in its table.</w:t>
      </w:r>
    </w:p>
    <w:p w14:paraId="5A219408" w14:textId="77777777" w:rsidR="00BD462C" w:rsidRDefault="00BD462C">
      <w:pPr>
        <w:pStyle w:val="BodyText"/>
        <w:rPr>
          <w:sz w:val="20"/>
        </w:rPr>
      </w:pPr>
    </w:p>
    <w:p w14:paraId="5538E49A" w14:textId="77777777" w:rsidR="00BD462C" w:rsidRDefault="00BD462C">
      <w:pPr>
        <w:pStyle w:val="BodyText"/>
        <w:rPr>
          <w:sz w:val="20"/>
        </w:rPr>
      </w:pPr>
    </w:p>
    <w:p w14:paraId="02A6BECB" w14:textId="77777777" w:rsidR="00BD462C" w:rsidRDefault="00BD462C">
      <w:pPr>
        <w:pStyle w:val="BodyText"/>
        <w:rPr>
          <w:sz w:val="20"/>
        </w:rPr>
      </w:pPr>
    </w:p>
    <w:p w14:paraId="51F212DD" w14:textId="77777777" w:rsidR="00BD462C" w:rsidRDefault="00BD462C">
      <w:pPr>
        <w:pStyle w:val="BodyText"/>
        <w:rPr>
          <w:sz w:val="20"/>
        </w:rPr>
      </w:pPr>
    </w:p>
    <w:p w14:paraId="4ECA8D11" w14:textId="77777777" w:rsidR="00BD462C" w:rsidRDefault="00BD462C">
      <w:pPr>
        <w:pStyle w:val="BodyText"/>
        <w:rPr>
          <w:sz w:val="20"/>
        </w:rPr>
      </w:pPr>
    </w:p>
    <w:p w14:paraId="4B929B6B" w14:textId="50D36B15" w:rsidR="00BD462C" w:rsidRDefault="00E14314">
      <w:pPr>
        <w:pStyle w:val="BodyText"/>
        <w:spacing w:before="5"/>
        <w:rPr>
          <w:sz w:val="22"/>
        </w:rPr>
      </w:pPr>
      <w:r>
        <w:rPr>
          <w:noProof/>
        </w:rPr>
        <mc:AlternateContent>
          <mc:Choice Requires="wps">
            <w:drawing>
              <wp:anchor distT="0" distB="0" distL="0" distR="0" simplePos="0" relativeHeight="488079872" behindDoc="1" locked="0" layoutInCell="1" allowOverlap="1" wp14:anchorId="59BFEC8E" wp14:editId="32E2DAF4">
                <wp:simplePos x="0" y="0"/>
                <wp:positionH relativeFrom="page">
                  <wp:posOffset>812800</wp:posOffset>
                </wp:positionH>
                <wp:positionV relativeFrom="paragraph">
                  <wp:posOffset>177800</wp:posOffset>
                </wp:positionV>
                <wp:extent cx="1828800" cy="8890"/>
                <wp:effectExtent l="0" t="0" r="0" b="0"/>
                <wp:wrapTopAndBottom/>
                <wp:docPr id="57" name="docshape7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C37CC3" id="docshape705" o:spid="_x0000_s1026" alt="&quot;&quot;" style="position:absolute;margin-left:64pt;margin-top:14pt;width:2in;height:.7pt;z-index:-15236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" fillcolor="black" stroked="f">
                <w10:wrap type="topAndBottom" anchorx="page"/>
              </v:rect>
            </w:pict>
          </mc:Fallback>
        </mc:AlternateContent>
      </w:r>
    </w:p>
    <w:p w14:paraId="52613455" w14:textId="77777777" w:rsidR="00BD462C" w:rsidRDefault="00033D0F">
      <w:pPr>
        <w:spacing w:before="112"/>
        <w:ind w:left="135"/>
        <w:rPr>
          <w:sz w:val="18"/>
        </w:rPr>
      </w:pPr>
      <w:bookmarkStart w:id="2126" w:name="_bookmark1830"/>
      <w:bookmarkEnd w:id="2126"/>
      <w:r>
        <w:rPr>
          <w:position w:val="5"/>
          <w:sz w:val="12"/>
        </w:rPr>
        <w:t>1597</w:t>
      </w:r>
      <w:r>
        <w:rPr>
          <w:spacing w:val="14"/>
          <w:position w:val="5"/>
          <w:sz w:val="12"/>
        </w:rPr>
        <w:t xml:space="preserve"> </w:t>
      </w:r>
      <w:r>
        <w:rPr>
          <w:sz w:val="18"/>
        </w:rPr>
        <w:t>See</w:t>
      </w:r>
      <w:r>
        <w:rPr>
          <w:spacing w:val="-5"/>
          <w:sz w:val="18"/>
        </w:rPr>
        <w:t xml:space="preserve"> </w:t>
      </w:r>
      <w:r>
        <w:rPr>
          <w:sz w:val="18"/>
        </w:rPr>
        <w:t>above,</w:t>
      </w:r>
      <w:r>
        <w:rPr>
          <w:spacing w:val="-2"/>
          <w:sz w:val="18"/>
        </w:rPr>
        <w:t xml:space="preserve"> </w:t>
      </w:r>
      <w:r>
        <w:rPr>
          <w:sz w:val="18"/>
        </w:rPr>
        <w:t>section</w:t>
      </w:r>
      <w:r>
        <w:rPr>
          <w:spacing w:val="-6"/>
          <w:sz w:val="18"/>
        </w:rPr>
        <w:t xml:space="preserve"> </w:t>
      </w:r>
      <w:hyperlink w:anchor="_bookmark1816" w:history="1">
        <w:r>
          <w:rPr>
            <w:sz w:val="18"/>
          </w:rPr>
          <w:t>A.5.4;</w:t>
        </w:r>
      </w:hyperlink>
      <w:r>
        <w:rPr>
          <w:spacing w:val="-6"/>
          <w:sz w:val="18"/>
        </w:rPr>
        <w:t xml:space="preserve"> </w:t>
      </w:r>
      <w:r>
        <w:rPr>
          <w:sz w:val="18"/>
        </w:rPr>
        <w:t>see</w:t>
      </w:r>
      <w:r>
        <w:rPr>
          <w:spacing w:val="-5"/>
          <w:sz w:val="18"/>
        </w:rPr>
        <w:t xml:space="preserve"> </w:t>
      </w:r>
      <w:r>
        <w:rPr>
          <w:sz w:val="18"/>
        </w:rPr>
        <w:t>also</w:t>
      </w:r>
      <w:r>
        <w:rPr>
          <w:spacing w:val="-5"/>
          <w:sz w:val="18"/>
        </w:rPr>
        <w:t xml:space="preserve"> </w:t>
      </w:r>
      <w:r>
        <w:rPr>
          <w:sz w:val="18"/>
        </w:rPr>
        <w:t>Australia's response</w:t>
      </w:r>
      <w:r>
        <w:rPr>
          <w:spacing w:val="-4"/>
          <w:sz w:val="18"/>
        </w:rPr>
        <w:t xml:space="preserve"> </w:t>
      </w:r>
      <w:r>
        <w:rPr>
          <w:sz w:val="18"/>
        </w:rPr>
        <w:t>to</w:t>
      </w:r>
      <w:r>
        <w:rPr>
          <w:spacing w:val="-6"/>
          <w:sz w:val="18"/>
        </w:rPr>
        <w:t xml:space="preserve"> </w:t>
      </w:r>
      <w:r>
        <w:rPr>
          <w:sz w:val="18"/>
        </w:rPr>
        <w:t>China's</w:t>
      </w:r>
      <w:r>
        <w:rPr>
          <w:spacing w:val="-4"/>
          <w:sz w:val="18"/>
        </w:rPr>
        <w:t xml:space="preserve"> </w:t>
      </w:r>
      <w:r>
        <w:rPr>
          <w:sz w:val="18"/>
        </w:rPr>
        <w:t>PRR,</w:t>
      </w:r>
      <w:r>
        <w:rPr>
          <w:spacing w:val="-3"/>
          <w:sz w:val="18"/>
        </w:rPr>
        <w:t xml:space="preserve"> </w:t>
      </w:r>
      <w:r>
        <w:rPr>
          <w:sz w:val="18"/>
        </w:rPr>
        <w:t>paras.</w:t>
      </w:r>
      <w:r>
        <w:rPr>
          <w:spacing w:val="1"/>
          <w:sz w:val="18"/>
        </w:rPr>
        <w:t xml:space="preserve"> </w:t>
      </w:r>
      <w:r>
        <w:rPr>
          <w:sz w:val="18"/>
        </w:rPr>
        <w:t>275-</w:t>
      </w:r>
      <w:r>
        <w:rPr>
          <w:spacing w:val="-4"/>
          <w:sz w:val="18"/>
        </w:rPr>
        <w:t>281.</w:t>
      </w:r>
    </w:p>
    <w:p w14:paraId="76218042" w14:textId="77777777" w:rsidR="00BD462C" w:rsidRDefault="00033D0F">
      <w:pPr>
        <w:spacing w:before="1"/>
        <w:ind w:left="135"/>
        <w:rPr>
          <w:sz w:val="18"/>
        </w:rPr>
      </w:pPr>
      <w:bookmarkStart w:id="2127" w:name="_bookmark1831"/>
      <w:bookmarkEnd w:id="2127"/>
      <w:r>
        <w:rPr>
          <w:position w:val="5"/>
          <w:sz w:val="12"/>
        </w:rPr>
        <w:t>1598</w:t>
      </w:r>
      <w:r>
        <w:rPr>
          <w:spacing w:val="12"/>
          <w:position w:val="5"/>
          <w:sz w:val="12"/>
        </w:rPr>
        <w:t xml:space="preserve"> </w:t>
      </w:r>
      <w:r>
        <w:rPr>
          <w:sz w:val="18"/>
        </w:rPr>
        <w:t>See</w:t>
      </w:r>
      <w:r>
        <w:rPr>
          <w:spacing w:val="-5"/>
          <w:sz w:val="18"/>
        </w:rPr>
        <w:t xml:space="preserve"> </w:t>
      </w:r>
      <w:r>
        <w:rPr>
          <w:sz w:val="18"/>
        </w:rPr>
        <w:t>China's</w:t>
      </w:r>
      <w:r>
        <w:rPr>
          <w:spacing w:val="-6"/>
          <w:sz w:val="18"/>
        </w:rPr>
        <w:t xml:space="preserve"> </w:t>
      </w:r>
      <w:r>
        <w:rPr>
          <w:sz w:val="18"/>
        </w:rPr>
        <w:t>first</w:t>
      </w:r>
      <w:r>
        <w:rPr>
          <w:spacing w:val="-4"/>
          <w:sz w:val="18"/>
        </w:rPr>
        <w:t xml:space="preserve"> </w:t>
      </w:r>
      <w:r>
        <w:rPr>
          <w:sz w:val="18"/>
        </w:rPr>
        <w:t>written</w:t>
      </w:r>
      <w:r>
        <w:rPr>
          <w:spacing w:val="-7"/>
          <w:sz w:val="18"/>
        </w:rPr>
        <w:t xml:space="preserve"> </w:t>
      </w:r>
      <w:r>
        <w:rPr>
          <w:sz w:val="18"/>
        </w:rPr>
        <w:t>submission,</w:t>
      </w:r>
      <w:r>
        <w:rPr>
          <w:spacing w:val="1"/>
          <w:sz w:val="18"/>
        </w:rPr>
        <w:t xml:space="preserve"> </w:t>
      </w:r>
      <w:r>
        <w:rPr>
          <w:sz w:val="18"/>
        </w:rPr>
        <w:t>para. 132;</w:t>
      </w:r>
      <w:r>
        <w:rPr>
          <w:spacing w:val="-8"/>
          <w:sz w:val="18"/>
        </w:rPr>
        <w:t xml:space="preserve"> </w:t>
      </w:r>
      <w:r>
        <w:rPr>
          <w:sz w:val="18"/>
        </w:rPr>
        <w:t>Australia's</w:t>
      </w:r>
      <w:r>
        <w:rPr>
          <w:spacing w:val="-5"/>
          <w:sz w:val="18"/>
        </w:rPr>
        <w:t xml:space="preserve"> </w:t>
      </w:r>
      <w:r>
        <w:rPr>
          <w:sz w:val="18"/>
        </w:rPr>
        <w:t>panel</w:t>
      </w:r>
      <w:r>
        <w:rPr>
          <w:spacing w:val="-5"/>
          <w:sz w:val="18"/>
        </w:rPr>
        <w:t xml:space="preserve"> </w:t>
      </w:r>
      <w:r>
        <w:rPr>
          <w:sz w:val="18"/>
        </w:rPr>
        <w:t>request,</w:t>
      </w:r>
      <w:r>
        <w:rPr>
          <w:spacing w:val="-4"/>
          <w:sz w:val="18"/>
        </w:rPr>
        <w:t xml:space="preserve"> </w:t>
      </w:r>
      <w:r>
        <w:rPr>
          <w:sz w:val="18"/>
        </w:rPr>
        <w:t>para.</w:t>
      </w:r>
      <w:r>
        <w:rPr>
          <w:spacing w:val="-4"/>
          <w:sz w:val="18"/>
        </w:rPr>
        <w:t xml:space="preserve"> (x).</w:t>
      </w:r>
    </w:p>
    <w:p w14:paraId="7E426CF1" w14:textId="77777777" w:rsidR="00BD462C" w:rsidRDefault="00033D0F">
      <w:pPr>
        <w:spacing w:before="1"/>
        <w:ind w:left="135"/>
        <w:rPr>
          <w:sz w:val="18"/>
        </w:rPr>
      </w:pPr>
      <w:bookmarkStart w:id="2128" w:name="_bookmark1832"/>
      <w:bookmarkEnd w:id="2128"/>
      <w:r>
        <w:rPr>
          <w:position w:val="5"/>
          <w:sz w:val="12"/>
        </w:rPr>
        <w:t>1599</w:t>
      </w:r>
      <w:r>
        <w:rPr>
          <w:spacing w:val="13"/>
          <w:position w:val="5"/>
          <w:sz w:val="12"/>
        </w:rPr>
        <w:t xml:space="preserve"> </w:t>
      </w:r>
      <w:r>
        <w:rPr>
          <w:sz w:val="18"/>
        </w:rPr>
        <w:t>See</w:t>
      </w:r>
      <w:r>
        <w:rPr>
          <w:spacing w:val="-6"/>
          <w:sz w:val="18"/>
        </w:rPr>
        <w:t xml:space="preserve"> </w:t>
      </w:r>
      <w:r>
        <w:rPr>
          <w:sz w:val="18"/>
        </w:rPr>
        <w:t>above,</w:t>
      </w:r>
      <w:r>
        <w:rPr>
          <w:spacing w:val="-3"/>
          <w:sz w:val="18"/>
        </w:rPr>
        <w:t xml:space="preserve"> </w:t>
      </w:r>
      <w:r>
        <w:rPr>
          <w:sz w:val="18"/>
        </w:rPr>
        <w:t>section</w:t>
      </w:r>
      <w:r>
        <w:rPr>
          <w:spacing w:val="-7"/>
          <w:sz w:val="18"/>
        </w:rPr>
        <w:t xml:space="preserve"> </w:t>
      </w:r>
      <w:hyperlink w:anchor="_bookmark39" w:history="1">
        <w:r>
          <w:rPr>
            <w:sz w:val="18"/>
          </w:rPr>
          <w:t>II.A.1(c)i;</w:t>
        </w:r>
      </w:hyperlink>
      <w:r>
        <w:rPr>
          <w:spacing w:val="-2"/>
          <w:sz w:val="18"/>
        </w:rPr>
        <w:t xml:space="preserve"> </w:t>
      </w:r>
      <w:r>
        <w:rPr>
          <w:sz w:val="18"/>
        </w:rPr>
        <w:t>Australia's</w:t>
      </w:r>
      <w:r>
        <w:rPr>
          <w:spacing w:val="-6"/>
          <w:sz w:val="18"/>
        </w:rPr>
        <w:t xml:space="preserve"> </w:t>
      </w:r>
      <w:r>
        <w:rPr>
          <w:sz w:val="18"/>
        </w:rPr>
        <w:t>response</w:t>
      </w:r>
      <w:r>
        <w:rPr>
          <w:spacing w:val="-5"/>
          <w:sz w:val="18"/>
        </w:rPr>
        <w:t xml:space="preserve"> </w:t>
      </w:r>
      <w:r>
        <w:rPr>
          <w:sz w:val="18"/>
        </w:rPr>
        <w:t>to</w:t>
      </w:r>
      <w:r>
        <w:rPr>
          <w:spacing w:val="-6"/>
          <w:sz w:val="18"/>
        </w:rPr>
        <w:t xml:space="preserve"> </w:t>
      </w:r>
      <w:r>
        <w:rPr>
          <w:sz w:val="18"/>
        </w:rPr>
        <w:t>China's</w:t>
      </w:r>
      <w:r>
        <w:rPr>
          <w:spacing w:val="-6"/>
          <w:sz w:val="18"/>
        </w:rPr>
        <w:t xml:space="preserve"> </w:t>
      </w:r>
      <w:r>
        <w:rPr>
          <w:sz w:val="18"/>
        </w:rPr>
        <w:t>PRR,</w:t>
      </w:r>
      <w:r>
        <w:rPr>
          <w:spacing w:val="-3"/>
          <w:sz w:val="18"/>
        </w:rPr>
        <w:t xml:space="preserve"> </w:t>
      </w:r>
      <w:r>
        <w:rPr>
          <w:sz w:val="18"/>
        </w:rPr>
        <w:t>paras. 145-</w:t>
      </w:r>
      <w:r>
        <w:rPr>
          <w:spacing w:val="-4"/>
          <w:sz w:val="18"/>
        </w:rPr>
        <w:t>154.</w:t>
      </w:r>
    </w:p>
    <w:p w14:paraId="555A5B40" w14:textId="77777777" w:rsidR="00BD462C" w:rsidRDefault="00BD462C">
      <w:pPr>
        <w:rPr>
          <w:sz w:val="18"/>
        </w:rPr>
        <w:sectPr w:rsidR="00BD462C">
          <w:pgSz w:w="11910" w:h="16840"/>
          <w:pgMar w:top="860" w:right="500" w:bottom="780" w:left="1280" w:header="566" w:footer="590" w:gutter="0"/>
          <w:cols w:space="720"/>
        </w:sectPr>
      </w:pPr>
    </w:p>
    <w:p w14:paraId="066B9047"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678AA817"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4D5F7251" w14:textId="77777777" w:rsidR="00BD462C" w:rsidRDefault="00033D0F">
      <w:pPr>
        <w:tabs>
          <w:tab w:val="left" w:pos="7652"/>
        </w:tabs>
        <w:ind w:left="135"/>
        <w:rPr>
          <w:sz w:val="20"/>
        </w:rPr>
      </w:pPr>
      <w:bookmarkStart w:id="2129" w:name="B.1_Item_1_and_2"/>
      <w:bookmarkEnd w:id="2129"/>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61B15FD8" w14:textId="77777777" w:rsidR="00BD462C" w:rsidRDefault="00033D0F">
      <w:pPr>
        <w:pStyle w:val="Heading3"/>
        <w:numPr>
          <w:ilvl w:val="1"/>
          <w:numId w:val="4"/>
        </w:numPr>
        <w:tabs>
          <w:tab w:val="left" w:pos="985"/>
          <w:tab w:val="left" w:pos="986"/>
        </w:tabs>
        <w:spacing w:before="2"/>
        <w:ind w:hanging="851"/>
      </w:pPr>
      <w:r>
        <w:rPr>
          <w:smallCaps/>
        </w:rPr>
        <w:t>Item</w:t>
      </w:r>
      <w:r>
        <w:rPr>
          <w:smallCaps/>
          <w:spacing w:val="1"/>
        </w:rPr>
        <w:t xml:space="preserve"> </w:t>
      </w:r>
      <w:r>
        <w:rPr>
          <w:smallCaps/>
        </w:rPr>
        <w:t>1</w:t>
      </w:r>
      <w:r>
        <w:rPr>
          <w:smallCaps/>
          <w:spacing w:val="-13"/>
        </w:rPr>
        <w:t xml:space="preserve"> </w:t>
      </w:r>
      <w:r>
        <w:rPr>
          <w:smallCaps/>
        </w:rPr>
        <w:t>and</w:t>
      </w:r>
      <w:r>
        <w:rPr>
          <w:smallCaps/>
          <w:spacing w:val="1"/>
        </w:rPr>
        <w:t xml:space="preserve"> </w:t>
      </w:r>
      <w:r>
        <w:rPr>
          <w:smallCaps/>
          <w:spacing w:val="-10"/>
        </w:rPr>
        <w:t>2</w:t>
      </w:r>
    </w:p>
    <w:p w14:paraId="6CB6DA2D" w14:textId="77777777" w:rsidR="00BD462C" w:rsidRDefault="00BD462C">
      <w:pPr>
        <w:pStyle w:val="BodyText"/>
        <w:spacing w:before="1"/>
        <w:rPr>
          <w:b/>
          <w:sz w:val="25"/>
        </w:rPr>
      </w:pPr>
    </w:p>
    <w:p w14:paraId="3DDCE217" w14:textId="77777777" w:rsidR="00BD462C" w:rsidRDefault="00033D0F">
      <w:pPr>
        <w:spacing w:line="276" w:lineRule="auto"/>
        <w:ind w:left="985" w:right="912"/>
        <w:jc w:val="both"/>
      </w:pPr>
      <w:r>
        <w:t>MOFCOM explained that it relied upon information in the form of "statistics from authoritative</w:t>
      </w:r>
      <w:r>
        <w:rPr>
          <w:spacing w:val="-8"/>
        </w:rPr>
        <w:t xml:space="preserve"> </w:t>
      </w:r>
      <w:r>
        <w:t>domestic</w:t>
      </w:r>
      <w:r>
        <w:rPr>
          <w:spacing w:val="-11"/>
        </w:rPr>
        <w:t xml:space="preserve"> </w:t>
      </w:r>
      <w:r>
        <w:t>organizations"</w:t>
      </w:r>
      <w:r>
        <w:rPr>
          <w:spacing w:val="-7"/>
        </w:rPr>
        <w:t xml:space="preserve"> </w:t>
      </w:r>
      <w:r>
        <w:t>to</w:t>
      </w:r>
      <w:r>
        <w:rPr>
          <w:spacing w:val="-6"/>
        </w:rPr>
        <w:t xml:space="preserve"> </w:t>
      </w:r>
      <w:r>
        <w:t>calculate</w:t>
      </w:r>
      <w:r>
        <w:rPr>
          <w:spacing w:val="-8"/>
        </w:rPr>
        <w:t xml:space="preserve"> </w:t>
      </w:r>
      <w:r>
        <w:t>the production</w:t>
      </w:r>
      <w:r>
        <w:rPr>
          <w:spacing w:val="-6"/>
        </w:rPr>
        <w:t xml:space="preserve"> </w:t>
      </w:r>
      <w:r>
        <w:t>of</w:t>
      </w:r>
      <w:r>
        <w:rPr>
          <w:spacing w:val="-5"/>
        </w:rPr>
        <w:t xml:space="preserve"> </w:t>
      </w:r>
      <w:r>
        <w:t>the</w:t>
      </w:r>
      <w:r>
        <w:rPr>
          <w:spacing w:val="-8"/>
        </w:rPr>
        <w:t xml:space="preserve"> </w:t>
      </w:r>
      <w:r>
        <w:t>domestic</w:t>
      </w:r>
      <w:r>
        <w:rPr>
          <w:spacing w:val="-7"/>
        </w:rPr>
        <w:t xml:space="preserve"> </w:t>
      </w:r>
      <w:r>
        <w:t>producers for</w:t>
      </w:r>
      <w:r>
        <w:rPr>
          <w:spacing w:val="-7"/>
        </w:rPr>
        <w:t xml:space="preserve"> </w:t>
      </w:r>
      <w:r>
        <w:t>the</w:t>
      </w:r>
      <w:r>
        <w:rPr>
          <w:spacing w:val="-6"/>
        </w:rPr>
        <w:t xml:space="preserve"> </w:t>
      </w:r>
      <w:r>
        <w:t>purposes</w:t>
      </w:r>
      <w:r>
        <w:rPr>
          <w:spacing w:val="-7"/>
        </w:rPr>
        <w:t xml:space="preserve"> </w:t>
      </w:r>
      <w:r>
        <w:t>of</w:t>
      </w:r>
      <w:r>
        <w:rPr>
          <w:spacing w:val="-7"/>
        </w:rPr>
        <w:t xml:space="preserve"> </w:t>
      </w:r>
      <w:r>
        <w:t>identifying</w:t>
      </w:r>
      <w:r>
        <w:rPr>
          <w:spacing w:val="-5"/>
        </w:rPr>
        <w:t xml:space="preserve"> </w:t>
      </w:r>
      <w:r>
        <w:t>the</w:t>
      </w:r>
      <w:r>
        <w:rPr>
          <w:spacing w:val="-6"/>
        </w:rPr>
        <w:t xml:space="preserve"> </w:t>
      </w:r>
      <w:r>
        <w:t>"domestic</w:t>
      </w:r>
      <w:r>
        <w:rPr>
          <w:spacing w:val="-9"/>
        </w:rPr>
        <w:t xml:space="preserve"> </w:t>
      </w:r>
      <w:r>
        <w:t>industry" within</w:t>
      </w:r>
      <w:r>
        <w:rPr>
          <w:spacing w:val="-8"/>
        </w:rPr>
        <w:t xml:space="preserve"> </w:t>
      </w:r>
      <w:r>
        <w:t>the</w:t>
      </w:r>
      <w:r>
        <w:rPr>
          <w:spacing w:val="-6"/>
        </w:rPr>
        <w:t xml:space="preserve"> </w:t>
      </w:r>
      <w:r>
        <w:t>meaning</w:t>
      </w:r>
      <w:r>
        <w:rPr>
          <w:spacing w:val="-5"/>
        </w:rPr>
        <w:t xml:space="preserve"> </w:t>
      </w:r>
      <w:r>
        <w:t>of</w:t>
      </w:r>
      <w:r>
        <w:rPr>
          <w:spacing w:val="-7"/>
        </w:rPr>
        <w:t xml:space="preserve"> </w:t>
      </w:r>
      <w:r>
        <w:t>Article</w:t>
      </w:r>
      <w:r>
        <w:rPr>
          <w:spacing w:val="-6"/>
        </w:rPr>
        <w:t xml:space="preserve"> </w:t>
      </w:r>
      <w:r>
        <w:t>4</w:t>
      </w:r>
      <w:r>
        <w:rPr>
          <w:spacing w:val="-8"/>
        </w:rPr>
        <w:t xml:space="preserve"> </w:t>
      </w:r>
      <w:r>
        <w:t>of</w:t>
      </w:r>
      <w:r>
        <w:rPr>
          <w:spacing w:val="-7"/>
        </w:rPr>
        <w:t xml:space="preserve"> </w:t>
      </w:r>
      <w:r>
        <w:t>the Anti-Dumping</w:t>
      </w:r>
      <w:r>
        <w:rPr>
          <w:spacing w:val="-1"/>
        </w:rPr>
        <w:t xml:space="preserve"> </w:t>
      </w:r>
      <w:r>
        <w:t>Agreement. The</w:t>
      </w:r>
      <w:r>
        <w:rPr>
          <w:spacing w:val="-2"/>
        </w:rPr>
        <w:t xml:space="preserve"> </w:t>
      </w:r>
      <w:r>
        <w:t>only</w:t>
      </w:r>
      <w:r>
        <w:rPr>
          <w:spacing w:val="-1"/>
        </w:rPr>
        <w:t xml:space="preserve"> </w:t>
      </w:r>
      <w:r>
        <w:t>description</w:t>
      </w:r>
      <w:r>
        <w:rPr>
          <w:spacing w:val="-3"/>
        </w:rPr>
        <w:t xml:space="preserve"> </w:t>
      </w:r>
      <w:r>
        <w:t>given</w:t>
      </w:r>
      <w:r>
        <w:rPr>
          <w:spacing w:val="-8"/>
        </w:rPr>
        <w:t xml:space="preserve"> </w:t>
      </w:r>
      <w:r>
        <w:t>of</w:t>
      </w:r>
      <w:r>
        <w:rPr>
          <w:spacing w:val="-3"/>
        </w:rPr>
        <w:t xml:space="preserve"> </w:t>
      </w:r>
      <w:r>
        <w:t>the</w:t>
      </w:r>
      <w:r>
        <w:rPr>
          <w:spacing w:val="-2"/>
        </w:rPr>
        <w:t xml:space="preserve"> </w:t>
      </w:r>
      <w:r>
        <w:t>statistics</w:t>
      </w:r>
      <w:r>
        <w:rPr>
          <w:spacing w:val="-2"/>
        </w:rPr>
        <w:t xml:space="preserve"> </w:t>
      </w:r>
      <w:r>
        <w:t>were</w:t>
      </w:r>
      <w:r>
        <w:rPr>
          <w:spacing w:val="-2"/>
        </w:rPr>
        <w:t xml:space="preserve"> </w:t>
      </w:r>
      <w:r>
        <w:t>that they</w:t>
      </w:r>
      <w:r>
        <w:rPr>
          <w:spacing w:val="-1"/>
        </w:rPr>
        <w:t xml:space="preserve"> </w:t>
      </w:r>
      <w:r>
        <w:t>related to "the area of wine grapes, output per acre, wine yield, output and loss of finished wines made from imported wines, and the production proportion of different wines".</w:t>
      </w:r>
      <w:r>
        <w:rPr>
          <w:u w:val="single"/>
        </w:rPr>
        <w:t xml:space="preserve"> MOFCOM</w:t>
      </w:r>
      <w:r>
        <w:t xml:space="preserve"> </w:t>
      </w:r>
      <w:r>
        <w:rPr>
          <w:u w:val="single"/>
        </w:rPr>
        <w:t>did</w:t>
      </w:r>
      <w:r>
        <w:rPr>
          <w:spacing w:val="-10"/>
          <w:u w:val="single"/>
        </w:rPr>
        <w:t xml:space="preserve"> </w:t>
      </w:r>
      <w:r>
        <w:rPr>
          <w:u w:val="single"/>
        </w:rPr>
        <w:t>not</w:t>
      </w:r>
      <w:r>
        <w:rPr>
          <w:spacing w:val="-11"/>
          <w:u w:val="single"/>
        </w:rPr>
        <w:t xml:space="preserve"> </w:t>
      </w:r>
      <w:r>
        <w:rPr>
          <w:u w:val="single"/>
        </w:rPr>
        <w:t>disclose</w:t>
      </w:r>
      <w:r>
        <w:rPr>
          <w:spacing w:val="-8"/>
          <w:u w:val="single"/>
        </w:rPr>
        <w:t xml:space="preserve"> </w:t>
      </w:r>
      <w:r>
        <w:rPr>
          <w:u w:val="single"/>
        </w:rPr>
        <w:t>to</w:t>
      </w:r>
      <w:r>
        <w:rPr>
          <w:spacing w:val="-10"/>
          <w:u w:val="single"/>
        </w:rPr>
        <w:t xml:space="preserve"> </w:t>
      </w:r>
      <w:r>
        <w:rPr>
          <w:u w:val="single"/>
        </w:rPr>
        <w:t>the</w:t>
      </w:r>
      <w:r>
        <w:rPr>
          <w:spacing w:val="-8"/>
          <w:u w:val="single"/>
        </w:rPr>
        <w:t xml:space="preserve"> </w:t>
      </w:r>
      <w:r>
        <w:rPr>
          <w:u w:val="single"/>
        </w:rPr>
        <w:t>interested</w:t>
      </w:r>
      <w:r>
        <w:rPr>
          <w:spacing w:val="-10"/>
          <w:u w:val="single"/>
        </w:rPr>
        <w:t xml:space="preserve"> </w:t>
      </w:r>
      <w:r>
        <w:rPr>
          <w:u w:val="single"/>
        </w:rPr>
        <w:t>parties</w:t>
      </w:r>
      <w:r>
        <w:rPr>
          <w:spacing w:val="-9"/>
          <w:u w:val="single"/>
        </w:rPr>
        <w:t xml:space="preserve"> </w:t>
      </w:r>
      <w:r>
        <w:rPr>
          <w:u w:val="single"/>
        </w:rPr>
        <w:t>what</w:t>
      </w:r>
      <w:r>
        <w:rPr>
          <w:spacing w:val="-11"/>
          <w:u w:val="single"/>
        </w:rPr>
        <w:t xml:space="preserve"> </w:t>
      </w:r>
      <w:r>
        <w:rPr>
          <w:u w:val="single"/>
        </w:rPr>
        <w:t>these</w:t>
      </w:r>
      <w:r>
        <w:rPr>
          <w:spacing w:val="-8"/>
          <w:u w:val="single"/>
        </w:rPr>
        <w:t xml:space="preserve"> </w:t>
      </w:r>
      <w:r>
        <w:rPr>
          <w:u w:val="single"/>
        </w:rPr>
        <w:t>statistics</w:t>
      </w:r>
      <w:r>
        <w:rPr>
          <w:spacing w:val="-9"/>
          <w:u w:val="single"/>
        </w:rPr>
        <w:t xml:space="preserve"> </w:t>
      </w:r>
      <w:r>
        <w:rPr>
          <w:u w:val="single"/>
        </w:rPr>
        <w:t>showed,</w:t>
      </w:r>
      <w:r>
        <w:rPr>
          <w:spacing w:val="-6"/>
          <w:u w:val="single"/>
        </w:rPr>
        <w:t xml:space="preserve"> </w:t>
      </w:r>
      <w:r>
        <w:rPr>
          <w:u w:val="single"/>
        </w:rPr>
        <w:t>the</w:t>
      </w:r>
      <w:r>
        <w:rPr>
          <w:spacing w:val="-8"/>
          <w:u w:val="single"/>
        </w:rPr>
        <w:t xml:space="preserve"> </w:t>
      </w:r>
      <w:r>
        <w:rPr>
          <w:u w:val="single"/>
        </w:rPr>
        <w:t>calculations</w:t>
      </w:r>
      <w:r>
        <w:rPr>
          <w:spacing w:val="-9"/>
          <w:u w:val="single"/>
        </w:rPr>
        <w:t xml:space="preserve"> </w:t>
      </w:r>
      <w:r>
        <w:rPr>
          <w:u w:val="single"/>
        </w:rPr>
        <w:t>made</w:t>
      </w:r>
      <w:r>
        <w:t xml:space="preserve"> </w:t>
      </w:r>
      <w:r>
        <w:rPr>
          <w:u w:val="single"/>
        </w:rPr>
        <w:t>on</w:t>
      </w:r>
      <w:r>
        <w:rPr>
          <w:spacing w:val="-4"/>
          <w:u w:val="single"/>
        </w:rPr>
        <w:t xml:space="preserve"> </w:t>
      </w:r>
      <w:r>
        <w:rPr>
          <w:u w:val="single"/>
        </w:rPr>
        <w:t>the basis</w:t>
      </w:r>
      <w:r>
        <w:rPr>
          <w:spacing w:val="-3"/>
          <w:u w:val="single"/>
        </w:rPr>
        <w:t xml:space="preserve"> </w:t>
      </w:r>
      <w:r>
        <w:rPr>
          <w:u w:val="single"/>
        </w:rPr>
        <w:t>of</w:t>
      </w:r>
      <w:r>
        <w:rPr>
          <w:spacing w:val="-4"/>
          <w:u w:val="single"/>
        </w:rPr>
        <w:t xml:space="preserve"> </w:t>
      </w:r>
      <w:r>
        <w:rPr>
          <w:u w:val="single"/>
        </w:rPr>
        <w:t>these statistics,</w:t>
      </w:r>
      <w:r>
        <w:rPr>
          <w:spacing w:val="-1"/>
          <w:u w:val="single"/>
        </w:rPr>
        <w:t xml:space="preserve"> </w:t>
      </w:r>
      <w:r>
        <w:rPr>
          <w:u w:val="single"/>
        </w:rPr>
        <w:t>including</w:t>
      </w:r>
      <w:r>
        <w:rPr>
          <w:spacing w:val="-2"/>
          <w:u w:val="single"/>
        </w:rPr>
        <w:t xml:space="preserve"> </w:t>
      </w:r>
      <w:r>
        <w:rPr>
          <w:u w:val="single"/>
        </w:rPr>
        <w:t>all</w:t>
      </w:r>
      <w:r>
        <w:rPr>
          <w:spacing w:val="-1"/>
          <w:u w:val="single"/>
        </w:rPr>
        <w:t xml:space="preserve"> </w:t>
      </w:r>
      <w:r>
        <w:rPr>
          <w:u w:val="single"/>
        </w:rPr>
        <w:t>assumptions</w:t>
      </w:r>
      <w:r>
        <w:rPr>
          <w:spacing w:val="-3"/>
          <w:u w:val="single"/>
        </w:rPr>
        <w:t xml:space="preserve"> </w:t>
      </w:r>
      <w:r>
        <w:rPr>
          <w:u w:val="single"/>
        </w:rPr>
        <w:t>used</w:t>
      </w:r>
      <w:r>
        <w:rPr>
          <w:spacing w:val="-4"/>
          <w:u w:val="single"/>
        </w:rPr>
        <w:t xml:space="preserve"> </w:t>
      </w:r>
      <w:r>
        <w:rPr>
          <w:u w:val="single"/>
        </w:rPr>
        <w:t>in</w:t>
      </w:r>
      <w:r>
        <w:rPr>
          <w:spacing w:val="-4"/>
          <w:u w:val="single"/>
        </w:rPr>
        <w:t xml:space="preserve"> </w:t>
      </w:r>
      <w:r>
        <w:rPr>
          <w:u w:val="single"/>
        </w:rPr>
        <w:t>the calculations</w:t>
      </w:r>
      <w:r>
        <w:t>,</w:t>
      </w:r>
      <w:r>
        <w:rPr>
          <w:spacing w:val="-1"/>
        </w:rPr>
        <w:t xml:space="preserve"> </w:t>
      </w:r>
      <w:r>
        <w:t>who</w:t>
      </w:r>
      <w:r>
        <w:rPr>
          <w:spacing w:val="-5"/>
        </w:rPr>
        <w:t xml:space="preserve"> </w:t>
      </w:r>
      <w:r>
        <w:t xml:space="preserve">these "domestic organizations" were that provided the statistics, why these </w:t>
      </w:r>
      <w:proofErr w:type="spellStart"/>
      <w:r>
        <w:t>organisations</w:t>
      </w:r>
      <w:proofErr w:type="spellEnd"/>
      <w:r>
        <w:t xml:space="preserve"> were considered "authoritative", and how these statistics were confirmed to reflect the total domestic production of the like products.</w:t>
      </w:r>
      <w:hyperlink w:anchor="_bookmark1833" w:history="1">
        <w:r>
          <w:rPr>
            <w:vertAlign w:val="superscript"/>
          </w:rPr>
          <w:t>1600</w:t>
        </w:r>
      </w:hyperlink>
    </w:p>
    <w:p w14:paraId="5DDA5C01" w14:textId="77777777" w:rsidR="00BD462C" w:rsidRDefault="00BD462C">
      <w:pPr>
        <w:pStyle w:val="BodyText"/>
        <w:spacing w:before="9"/>
        <w:rPr>
          <w:sz w:val="19"/>
        </w:rPr>
      </w:pPr>
    </w:p>
    <w:p w14:paraId="1D086F6D" w14:textId="77777777" w:rsidR="00BD462C" w:rsidRDefault="00033D0F">
      <w:pPr>
        <w:pStyle w:val="ListParagraph"/>
        <w:numPr>
          <w:ilvl w:val="1"/>
          <w:numId w:val="4"/>
        </w:numPr>
        <w:tabs>
          <w:tab w:val="left" w:pos="985"/>
          <w:tab w:val="left" w:pos="986"/>
        </w:tabs>
        <w:spacing w:before="1"/>
        <w:ind w:hanging="851"/>
        <w:rPr>
          <w:b/>
          <w:sz w:val="24"/>
        </w:rPr>
      </w:pPr>
      <w:bookmarkStart w:id="2130" w:name="B.2_Item_3"/>
      <w:bookmarkEnd w:id="2130"/>
      <w:r>
        <w:rPr>
          <w:b/>
          <w:sz w:val="24"/>
        </w:rPr>
        <w:t>I</w:t>
      </w:r>
      <w:r>
        <w:rPr>
          <w:b/>
          <w:sz w:val="19"/>
        </w:rPr>
        <w:t>TEM</w:t>
      </w:r>
      <w:r>
        <w:rPr>
          <w:b/>
          <w:spacing w:val="3"/>
          <w:sz w:val="19"/>
        </w:rPr>
        <w:t xml:space="preserve"> </w:t>
      </w:r>
      <w:r>
        <w:rPr>
          <w:b/>
          <w:spacing w:val="-10"/>
          <w:sz w:val="24"/>
        </w:rPr>
        <w:t>3</w:t>
      </w:r>
    </w:p>
    <w:p w14:paraId="67A77300" w14:textId="77777777" w:rsidR="00BD462C" w:rsidRDefault="00BD462C">
      <w:pPr>
        <w:pStyle w:val="BodyText"/>
        <w:spacing w:before="1"/>
        <w:rPr>
          <w:b/>
          <w:sz w:val="25"/>
        </w:rPr>
      </w:pPr>
    </w:p>
    <w:p w14:paraId="1DF3AF01" w14:textId="77777777" w:rsidR="00BD462C" w:rsidRDefault="00033D0F">
      <w:pPr>
        <w:spacing w:line="276" w:lineRule="auto"/>
        <w:ind w:left="985" w:right="915"/>
        <w:jc w:val="both"/>
      </w:pPr>
      <w:r>
        <w:t>Australia recalls that MOFCOM relied upon facts available to determine the weighted average</w:t>
      </w:r>
      <w:r>
        <w:rPr>
          <w:spacing w:val="-6"/>
        </w:rPr>
        <w:t xml:space="preserve"> </w:t>
      </w:r>
      <w:r>
        <w:t>price</w:t>
      </w:r>
      <w:r>
        <w:rPr>
          <w:spacing w:val="-6"/>
        </w:rPr>
        <w:t xml:space="preserve"> </w:t>
      </w:r>
      <w:r>
        <w:t>of</w:t>
      </w:r>
      <w:r>
        <w:rPr>
          <w:spacing w:val="-7"/>
        </w:rPr>
        <w:t xml:space="preserve"> </w:t>
      </w:r>
      <w:r>
        <w:t>domestic</w:t>
      </w:r>
      <w:r>
        <w:rPr>
          <w:spacing w:val="-9"/>
        </w:rPr>
        <w:t xml:space="preserve"> </w:t>
      </w:r>
      <w:r>
        <w:t>sales</w:t>
      </w:r>
      <w:r>
        <w:rPr>
          <w:spacing w:val="-7"/>
        </w:rPr>
        <w:t xml:space="preserve"> </w:t>
      </w:r>
      <w:r>
        <w:t>for</w:t>
      </w:r>
      <w:r>
        <w:rPr>
          <w:spacing w:val="-7"/>
        </w:rPr>
        <w:t xml:space="preserve"> </w:t>
      </w:r>
      <w:r>
        <w:t>Casella</w:t>
      </w:r>
      <w:r>
        <w:rPr>
          <w:spacing w:val="-7"/>
        </w:rPr>
        <w:t xml:space="preserve"> </w:t>
      </w:r>
      <w:r>
        <w:t>Wines</w:t>
      </w:r>
      <w:r>
        <w:rPr>
          <w:spacing w:val="-7"/>
        </w:rPr>
        <w:t xml:space="preserve"> </w:t>
      </w:r>
      <w:r>
        <w:t>and</w:t>
      </w:r>
      <w:r>
        <w:rPr>
          <w:spacing w:val="-8"/>
        </w:rPr>
        <w:t xml:space="preserve"> </w:t>
      </w:r>
      <w:r>
        <w:t>Swan</w:t>
      </w:r>
      <w:r>
        <w:rPr>
          <w:spacing w:val="-8"/>
        </w:rPr>
        <w:t xml:space="preserve"> </w:t>
      </w:r>
      <w:r>
        <w:t>Vintage.</w:t>
      </w:r>
      <w:r>
        <w:rPr>
          <w:spacing w:val="-6"/>
        </w:rPr>
        <w:t xml:space="preserve"> </w:t>
      </w:r>
      <w:r>
        <w:t>MOFCOM</w:t>
      </w:r>
      <w:r>
        <w:rPr>
          <w:spacing w:val="-9"/>
        </w:rPr>
        <w:t xml:space="preserve"> </w:t>
      </w:r>
      <w:r>
        <w:t>identified</w:t>
      </w:r>
      <w:r>
        <w:rPr>
          <w:spacing w:val="-8"/>
        </w:rPr>
        <w:t xml:space="preserve"> </w:t>
      </w:r>
      <w:r>
        <w:t>the best information available that it relied upon included the "weighted average price of the domestic</w:t>
      </w:r>
      <w:r>
        <w:rPr>
          <w:spacing w:val="-10"/>
        </w:rPr>
        <w:t xml:space="preserve"> </w:t>
      </w:r>
      <w:r>
        <w:t>sales</w:t>
      </w:r>
      <w:r>
        <w:rPr>
          <w:spacing w:val="-8"/>
        </w:rPr>
        <w:t xml:space="preserve"> </w:t>
      </w:r>
      <w:r>
        <w:t>of</w:t>
      </w:r>
      <w:r>
        <w:rPr>
          <w:spacing w:val="-8"/>
        </w:rPr>
        <w:t xml:space="preserve"> </w:t>
      </w:r>
      <w:r>
        <w:rPr>
          <w:i/>
        </w:rPr>
        <w:t>other</w:t>
      </w:r>
      <w:r>
        <w:rPr>
          <w:i/>
          <w:spacing w:val="-12"/>
        </w:rPr>
        <w:t xml:space="preserve"> </w:t>
      </w:r>
      <w:r>
        <w:rPr>
          <w:i/>
        </w:rPr>
        <w:t>respondents</w:t>
      </w:r>
      <w:r>
        <w:t>"</w:t>
      </w:r>
      <w:r>
        <w:rPr>
          <w:spacing w:val="-10"/>
        </w:rPr>
        <w:t xml:space="preserve"> </w:t>
      </w:r>
      <w:r>
        <w:t>(emphasis</w:t>
      </w:r>
      <w:r>
        <w:rPr>
          <w:spacing w:val="-8"/>
        </w:rPr>
        <w:t xml:space="preserve"> </w:t>
      </w:r>
      <w:r>
        <w:t>original</w:t>
      </w:r>
      <w:proofErr w:type="gramStart"/>
      <w:r>
        <w:t>),</w:t>
      </w:r>
      <w:r>
        <w:rPr>
          <w:spacing w:val="-5"/>
        </w:rPr>
        <w:t xml:space="preserve"> </w:t>
      </w:r>
      <w:r>
        <w:t>but</w:t>
      </w:r>
      <w:proofErr w:type="gramEnd"/>
      <w:r>
        <w:rPr>
          <w:spacing w:val="-10"/>
        </w:rPr>
        <w:t xml:space="preserve"> </w:t>
      </w:r>
      <w:r>
        <w:t>did</w:t>
      </w:r>
      <w:r>
        <w:rPr>
          <w:spacing w:val="-9"/>
        </w:rPr>
        <w:t xml:space="preserve"> </w:t>
      </w:r>
      <w:r>
        <w:t>not</w:t>
      </w:r>
      <w:r>
        <w:rPr>
          <w:spacing w:val="-10"/>
        </w:rPr>
        <w:t xml:space="preserve"> </w:t>
      </w:r>
      <w:r>
        <w:t>identify</w:t>
      </w:r>
      <w:r>
        <w:rPr>
          <w:spacing w:val="-8"/>
        </w:rPr>
        <w:t xml:space="preserve"> </w:t>
      </w:r>
      <w:r>
        <w:t>who</w:t>
      </w:r>
      <w:r>
        <w:rPr>
          <w:spacing w:val="-9"/>
        </w:rPr>
        <w:t xml:space="preserve"> </w:t>
      </w:r>
      <w:r>
        <w:t>the</w:t>
      </w:r>
      <w:r>
        <w:rPr>
          <w:spacing w:val="-7"/>
        </w:rPr>
        <w:t xml:space="preserve"> </w:t>
      </w:r>
      <w:r>
        <w:t>"other respondents"</w:t>
      </w:r>
      <w:r>
        <w:rPr>
          <w:spacing w:val="-6"/>
        </w:rPr>
        <w:t xml:space="preserve"> </w:t>
      </w:r>
      <w:r>
        <w:t>were.</w:t>
      </w:r>
      <w:r>
        <w:rPr>
          <w:spacing w:val="-2"/>
        </w:rPr>
        <w:t xml:space="preserve"> </w:t>
      </w:r>
      <w:r>
        <w:t>MOFCOM</w:t>
      </w:r>
      <w:r>
        <w:rPr>
          <w:spacing w:val="-6"/>
        </w:rPr>
        <w:t xml:space="preserve"> </w:t>
      </w:r>
      <w:r>
        <w:t>should</w:t>
      </w:r>
      <w:r>
        <w:rPr>
          <w:spacing w:val="-5"/>
        </w:rPr>
        <w:t xml:space="preserve"> </w:t>
      </w:r>
      <w:r>
        <w:t>have</w:t>
      </w:r>
      <w:r>
        <w:rPr>
          <w:spacing w:val="-4"/>
        </w:rPr>
        <w:t xml:space="preserve"> </w:t>
      </w:r>
      <w:r>
        <w:t>identified</w:t>
      </w:r>
      <w:r>
        <w:rPr>
          <w:spacing w:val="-5"/>
        </w:rPr>
        <w:t xml:space="preserve"> </w:t>
      </w:r>
      <w:r>
        <w:t>whether</w:t>
      </w:r>
      <w:r>
        <w:rPr>
          <w:spacing w:val="-4"/>
        </w:rPr>
        <w:t xml:space="preserve"> </w:t>
      </w:r>
      <w:r>
        <w:t>"other</w:t>
      </w:r>
      <w:r>
        <w:rPr>
          <w:spacing w:val="-4"/>
        </w:rPr>
        <w:t xml:space="preserve"> </w:t>
      </w:r>
      <w:r>
        <w:t>respondents"</w:t>
      </w:r>
      <w:r>
        <w:rPr>
          <w:spacing w:val="-6"/>
        </w:rPr>
        <w:t xml:space="preserve"> </w:t>
      </w:r>
      <w:r>
        <w:t>referred to</w:t>
      </w:r>
      <w:r>
        <w:rPr>
          <w:spacing w:val="-1"/>
        </w:rPr>
        <w:t xml:space="preserve"> </w:t>
      </w:r>
      <w:r>
        <w:t>the other sampled companies, the companies that</w:t>
      </w:r>
      <w:r>
        <w:rPr>
          <w:spacing w:val="-1"/>
        </w:rPr>
        <w:t xml:space="preserve"> </w:t>
      </w:r>
      <w:r>
        <w:t>were not</w:t>
      </w:r>
      <w:r>
        <w:rPr>
          <w:spacing w:val="-1"/>
        </w:rPr>
        <w:t xml:space="preserve"> </w:t>
      </w:r>
      <w:r>
        <w:t>sampled but</w:t>
      </w:r>
      <w:r>
        <w:rPr>
          <w:spacing w:val="-1"/>
        </w:rPr>
        <w:t xml:space="preserve"> </w:t>
      </w:r>
      <w:r>
        <w:t>cooperative, or both.</w:t>
      </w:r>
      <w:r>
        <w:rPr>
          <w:spacing w:val="-2"/>
        </w:rPr>
        <w:t xml:space="preserve"> </w:t>
      </w:r>
      <w:r>
        <w:rPr>
          <w:u w:val="single"/>
        </w:rPr>
        <w:t>This</w:t>
      </w:r>
      <w:r>
        <w:rPr>
          <w:spacing w:val="-4"/>
          <w:u w:val="single"/>
        </w:rPr>
        <w:t xml:space="preserve"> </w:t>
      </w:r>
      <w:r>
        <w:rPr>
          <w:u w:val="single"/>
        </w:rPr>
        <w:t>lack</w:t>
      </w:r>
      <w:r>
        <w:rPr>
          <w:spacing w:val="-4"/>
          <w:u w:val="single"/>
        </w:rPr>
        <w:t xml:space="preserve"> </w:t>
      </w:r>
      <w:r>
        <w:rPr>
          <w:u w:val="single"/>
        </w:rPr>
        <w:t>of</w:t>
      </w:r>
      <w:r>
        <w:rPr>
          <w:spacing w:val="-5"/>
          <w:u w:val="single"/>
        </w:rPr>
        <w:t xml:space="preserve"> </w:t>
      </w:r>
      <w:r>
        <w:rPr>
          <w:u w:val="single"/>
        </w:rPr>
        <w:t>non-confidential</w:t>
      </w:r>
      <w:r>
        <w:rPr>
          <w:spacing w:val="-2"/>
          <w:u w:val="single"/>
        </w:rPr>
        <w:t xml:space="preserve"> </w:t>
      </w:r>
      <w:r>
        <w:rPr>
          <w:u w:val="single"/>
        </w:rPr>
        <w:t>information,</w:t>
      </w:r>
      <w:r>
        <w:rPr>
          <w:spacing w:val="-2"/>
          <w:u w:val="single"/>
        </w:rPr>
        <w:t xml:space="preserve"> </w:t>
      </w:r>
      <w:r>
        <w:rPr>
          <w:u w:val="single"/>
        </w:rPr>
        <w:t>particularly</w:t>
      </w:r>
      <w:r>
        <w:rPr>
          <w:spacing w:val="-8"/>
          <w:u w:val="single"/>
        </w:rPr>
        <w:t xml:space="preserve"> </w:t>
      </w:r>
      <w:r>
        <w:rPr>
          <w:u w:val="single"/>
        </w:rPr>
        <w:t>in</w:t>
      </w:r>
      <w:r>
        <w:rPr>
          <w:spacing w:val="-5"/>
          <w:u w:val="single"/>
        </w:rPr>
        <w:t xml:space="preserve"> </w:t>
      </w:r>
      <w:r>
        <w:rPr>
          <w:u w:val="single"/>
        </w:rPr>
        <w:t>relation</w:t>
      </w:r>
      <w:r>
        <w:rPr>
          <w:spacing w:val="-5"/>
          <w:u w:val="single"/>
        </w:rPr>
        <w:t xml:space="preserve"> </w:t>
      </w:r>
      <w:r>
        <w:rPr>
          <w:u w:val="single"/>
        </w:rPr>
        <w:t>to</w:t>
      </w:r>
      <w:r>
        <w:rPr>
          <w:spacing w:val="-6"/>
          <w:u w:val="single"/>
        </w:rPr>
        <w:t xml:space="preserve"> </w:t>
      </w:r>
      <w:r>
        <w:rPr>
          <w:u w:val="single"/>
        </w:rPr>
        <w:t>MOFCOM's</w:t>
      </w:r>
      <w:r>
        <w:rPr>
          <w:spacing w:val="-4"/>
          <w:u w:val="single"/>
        </w:rPr>
        <w:t xml:space="preserve"> </w:t>
      </w:r>
      <w:r>
        <w:rPr>
          <w:u w:val="single"/>
        </w:rPr>
        <w:t>chosen</w:t>
      </w:r>
      <w:r>
        <w:t xml:space="preserve"> </w:t>
      </w:r>
      <w:r>
        <w:rPr>
          <w:u w:val="single"/>
        </w:rPr>
        <w:t>methodology, made it impossible for the sampled companies to comment on the normal</w:t>
      </w:r>
      <w:r>
        <w:t xml:space="preserve"> </w:t>
      </w:r>
      <w:r>
        <w:rPr>
          <w:u w:val="single"/>
        </w:rPr>
        <w:t>value calculations and therefore defend their interests.</w:t>
      </w:r>
      <w:hyperlink w:anchor="_bookmark1834" w:history="1">
        <w:r>
          <w:rPr>
            <w:vertAlign w:val="superscript"/>
          </w:rPr>
          <w:t>1601</w:t>
        </w:r>
      </w:hyperlink>
    </w:p>
    <w:p w14:paraId="288D7156" w14:textId="77777777" w:rsidR="00BD462C" w:rsidRDefault="00BD462C">
      <w:pPr>
        <w:pStyle w:val="BodyText"/>
        <w:spacing w:before="5"/>
        <w:rPr>
          <w:sz w:val="15"/>
        </w:rPr>
      </w:pPr>
    </w:p>
    <w:p w14:paraId="5541BE04" w14:textId="77777777" w:rsidR="00BD462C" w:rsidRDefault="00033D0F">
      <w:pPr>
        <w:pStyle w:val="ListParagraph"/>
        <w:numPr>
          <w:ilvl w:val="1"/>
          <w:numId w:val="4"/>
        </w:numPr>
        <w:tabs>
          <w:tab w:val="left" w:pos="985"/>
          <w:tab w:val="left" w:pos="986"/>
        </w:tabs>
        <w:spacing w:before="52"/>
        <w:ind w:hanging="851"/>
        <w:rPr>
          <w:b/>
          <w:sz w:val="24"/>
        </w:rPr>
      </w:pPr>
      <w:bookmarkStart w:id="2131" w:name="B.3_Item_4,_5,_6_and_7"/>
      <w:bookmarkEnd w:id="2131"/>
      <w:r>
        <w:rPr>
          <w:b/>
          <w:sz w:val="24"/>
        </w:rPr>
        <w:t>I</w:t>
      </w:r>
      <w:r>
        <w:rPr>
          <w:b/>
          <w:sz w:val="19"/>
        </w:rPr>
        <w:t>TEM</w:t>
      </w:r>
      <w:r>
        <w:rPr>
          <w:b/>
          <w:spacing w:val="-1"/>
          <w:sz w:val="19"/>
        </w:rPr>
        <w:t xml:space="preserve"> </w:t>
      </w:r>
      <w:r>
        <w:rPr>
          <w:b/>
          <w:sz w:val="24"/>
        </w:rPr>
        <w:t>4,</w:t>
      </w:r>
      <w:r>
        <w:rPr>
          <w:b/>
          <w:spacing w:val="-11"/>
          <w:sz w:val="24"/>
        </w:rPr>
        <w:t xml:space="preserve"> </w:t>
      </w:r>
      <w:r>
        <w:rPr>
          <w:b/>
          <w:sz w:val="24"/>
        </w:rPr>
        <w:t>5,</w:t>
      </w:r>
      <w:r>
        <w:rPr>
          <w:b/>
          <w:spacing w:val="-11"/>
          <w:sz w:val="24"/>
        </w:rPr>
        <w:t xml:space="preserve"> </w:t>
      </w:r>
      <w:r>
        <w:rPr>
          <w:b/>
          <w:sz w:val="24"/>
        </w:rPr>
        <w:t>6</w:t>
      </w:r>
      <w:r>
        <w:rPr>
          <w:b/>
          <w:spacing w:val="-13"/>
          <w:sz w:val="24"/>
        </w:rPr>
        <w:t xml:space="preserve"> </w:t>
      </w:r>
      <w:r>
        <w:rPr>
          <w:b/>
          <w:sz w:val="19"/>
        </w:rPr>
        <w:t>AND</w:t>
      </w:r>
      <w:r>
        <w:rPr>
          <w:b/>
          <w:spacing w:val="-1"/>
          <w:sz w:val="19"/>
        </w:rPr>
        <w:t xml:space="preserve"> </w:t>
      </w:r>
      <w:r>
        <w:rPr>
          <w:b/>
          <w:spacing w:val="-10"/>
          <w:sz w:val="24"/>
        </w:rPr>
        <w:t>7</w:t>
      </w:r>
    </w:p>
    <w:p w14:paraId="56238E1F" w14:textId="77777777" w:rsidR="00BD462C" w:rsidRDefault="00BD462C">
      <w:pPr>
        <w:pStyle w:val="BodyText"/>
        <w:spacing w:before="2"/>
        <w:rPr>
          <w:b/>
          <w:sz w:val="25"/>
        </w:rPr>
      </w:pPr>
    </w:p>
    <w:p w14:paraId="2D101FF8" w14:textId="77777777" w:rsidR="00BD462C" w:rsidRDefault="00033D0F">
      <w:pPr>
        <w:spacing w:line="273" w:lineRule="auto"/>
        <w:ind w:left="985"/>
      </w:pPr>
      <w:r>
        <w:t>MOFCOM</w:t>
      </w:r>
      <w:r>
        <w:rPr>
          <w:spacing w:val="29"/>
        </w:rPr>
        <w:t xml:space="preserve"> </w:t>
      </w:r>
      <w:r>
        <w:t>did</w:t>
      </w:r>
      <w:r>
        <w:rPr>
          <w:spacing w:val="35"/>
        </w:rPr>
        <w:t xml:space="preserve"> </w:t>
      </w:r>
      <w:r>
        <w:t>not</w:t>
      </w:r>
      <w:r>
        <w:rPr>
          <w:spacing w:val="33"/>
        </w:rPr>
        <w:t xml:space="preserve"> </w:t>
      </w:r>
      <w:r>
        <w:t>provide</w:t>
      </w:r>
      <w:r>
        <w:rPr>
          <w:spacing w:val="36"/>
        </w:rPr>
        <w:t xml:space="preserve"> </w:t>
      </w:r>
      <w:r>
        <w:t>to</w:t>
      </w:r>
      <w:r>
        <w:rPr>
          <w:spacing w:val="34"/>
        </w:rPr>
        <w:t xml:space="preserve"> </w:t>
      </w:r>
      <w:r>
        <w:t>the</w:t>
      </w:r>
      <w:r>
        <w:rPr>
          <w:spacing w:val="36"/>
        </w:rPr>
        <w:t xml:space="preserve"> </w:t>
      </w:r>
      <w:r>
        <w:t>interested</w:t>
      </w:r>
      <w:r>
        <w:rPr>
          <w:spacing w:val="30"/>
        </w:rPr>
        <w:t xml:space="preserve"> </w:t>
      </w:r>
      <w:r>
        <w:t>parties</w:t>
      </w:r>
      <w:r>
        <w:rPr>
          <w:spacing w:val="35"/>
        </w:rPr>
        <w:t xml:space="preserve"> </w:t>
      </w:r>
      <w:r>
        <w:t>the</w:t>
      </w:r>
      <w:r>
        <w:rPr>
          <w:spacing w:val="31"/>
        </w:rPr>
        <w:t xml:space="preserve"> </w:t>
      </w:r>
      <w:r>
        <w:t>information</w:t>
      </w:r>
      <w:r>
        <w:rPr>
          <w:spacing w:val="30"/>
        </w:rPr>
        <w:t xml:space="preserve"> </w:t>
      </w:r>
      <w:r>
        <w:t>it</w:t>
      </w:r>
      <w:r>
        <w:rPr>
          <w:spacing w:val="33"/>
        </w:rPr>
        <w:t xml:space="preserve"> </w:t>
      </w:r>
      <w:r>
        <w:t>factored</w:t>
      </w:r>
      <w:r>
        <w:rPr>
          <w:spacing w:val="30"/>
        </w:rPr>
        <w:t xml:space="preserve"> </w:t>
      </w:r>
      <w:r>
        <w:t>into</w:t>
      </w:r>
      <w:r>
        <w:rPr>
          <w:spacing w:val="34"/>
        </w:rPr>
        <w:t xml:space="preserve"> </w:t>
      </w:r>
      <w:r>
        <w:t>this comparative analysis. It did not explain:</w:t>
      </w:r>
    </w:p>
    <w:p w14:paraId="5EA7255D" w14:textId="77777777" w:rsidR="00BD462C" w:rsidRDefault="00BD462C">
      <w:pPr>
        <w:pStyle w:val="BodyText"/>
        <w:spacing w:before="10"/>
        <w:rPr>
          <w:sz w:val="19"/>
        </w:rPr>
      </w:pPr>
    </w:p>
    <w:p w14:paraId="4D514A6F" w14:textId="77777777" w:rsidR="00BD462C" w:rsidRDefault="00033D0F">
      <w:pPr>
        <w:pStyle w:val="ListParagraph"/>
        <w:numPr>
          <w:ilvl w:val="2"/>
          <w:numId w:val="4"/>
        </w:numPr>
        <w:tabs>
          <w:tab w:val="left" w:pos="1269"/>
        </w:tabs>
        <w:spacing w:before="0" w:line="278" w:lineRule="auto"/>
        <w:ind w:right="918" w:firstLine="0"/>
        <w:jc w:val="both"/>
      </w:pPr>
      <w:r>
        <w:t>what</w:t>
      </w:r>
      <w:r>
        <w:rPr>
          <w:spacing w:val="-5"/>
        </w:rPr>
        <w:t xml:space="preserve"> </w:t>
      </w:r>
      <w:r>
        <w:t>"information</w:t>
      </w:r>
      <w:r>
        <w:rPr>
          <w:spacing w:val="-9"/>
        </w:rPr>
        <w:t xml:space="preserve"> </w:t>
      </w:r>
      <w:r>
        <w:t>from</w:t>
      </w:r>
      <w:r>
        <w:rPr>
          <w:spacing w:val="-2"/>
        </w:rPr>
        <w:t xml:space="preserve"> </w:t>
      </w:r>
      <w:r>
        <w:t>the</w:t>
      </w:r>
      <w:r>
        <w:rPr>
          <w:spacing w:val="-7"/>
        </w:rPr>
        <w:t xml:space="preserve"> </w:t>
      </w:r>
      <w:r>
        <w:t>investigation"</w:t>
      </w:r>
      <w:r>
        <w:rPr>
          <w:spacing w:val="-10"/>
        </w:rPr>
        <w:t xml:space="preserve"> </w:t>
      </w:r>
      <w:r>
        <w:t>was</w:t>
      </w:r>
      <w:r>
        <w:rPr>
          <w:spacing w:val="-8"/>
        </w:rPr>
        <w:t xml:space="preserve"> </w:t>
      </w:r>
      <w:r>
        <w:t>subject</w:t>
      </w:r>
      <w:r>
        <w:rPr>
          <w:spacing w:val="-5"/>
        </w:rPr>
        <w:t xml:space="preserve"> </w:t>
      </w:r>
      <w:r>
        <w:t>to</w:t>
      </w:r>
      <w:r>
        <w:rPr>
          <w:spacing w:val="-4"/>
        </w:rPr>
        <w:t xml:space="preserve"> </w:t>
      </w:r>
      <w:r>
        <w:t>the</w:t>
      </w:r>
      <w:r>
        <w:rPr>
          <w:spacing w:val="-3"/>
        </w:rPr>
        <w:t xml:space="preserve"> </w:t>
      </w:r>
      <w:r>
        <w:t>"comparative</w:t>
      </w:r>
      <w:r>
        <w:rPr>
          <w:spacing w:val="-7"/>
        </w:rPr>
        <w:t xml:space="preserve"> </w:t>
      </w:r>
      <w:r>
        <w:t>analysis",</w:t>
      </w:r>
      <w:r>
        <w:rPr>
          <w:spacing w:val="-5"/>
        </w:rPr>
        <w:t xml:space="preserve"> </w:t>
      </w:r>
      <w:r>
        <w:t xml:space="preserve">nor what the "comparative analysis" </w:t>
      </w:r>
      <w:proofErr w:type="gramStart"/>
      <w:r>
        <w:t>involved;</w:t>
      </w:r>
      <w:proofErr w:type="gramEnd"/>
    </w:p>
    <w:p w14:paraId="42A16282" w14:textId="77777777" w:rsidR="00BD462C" w:rsidRDefault="00BD462C">
      <w:pPr>
        <w:pStyle w:val="BodyText"/>
        <w:spacing w:before="4"/>
        <w:rPr>
          <w:sz w:val="19"/>
        </w:rPr>
      </w:pPr>
    </w:p>
    <w:p w14:paraId="444CFB6E" w14:textId="77777777" w:rsidR="00BD462C" w:rsidRDefault="00033D0F">
      <w:pPr>
        <w:pStyle w:val="ListParagraph"/>
        <w:numPr>
          <w:ilvl w:val="2"/>
          <w:numId w:val="4"/>
        </w:numPr>
        <w:tabs>
          <w:tab w:val="left" w:pos="1279"/>
        </w:tabs>
        <w:spacing w:before="0" w:line="273" w:lineRule="auto"/>
        <w:ind w:right="922" w:firstLine="0"/>
        <w:jc w:val="both"/>
      </w:pPr>
      <w:r>
        <w:t>which</w:t>
      </w:r>
      <w:r>
        <w:rPr>
          <w:spacing w:val="-9"/>
        </w:rPr>
        <w:t xml:space="preserve"> </w:t>
      </w:r>
      <w:r>
        <w:t>"physical</w:t>
      </w:r>
      <w:r>
        <w:rPr>
          <w:spacing w:val="-6"/>
        </w:rPr>
        <w:t xml:space="preserve"> </w:t>
      </w:r>
      <w:r>
        <w:t>properties</w:t>
      </w:r>
      <w:r>
        <w:rPr>
          <w:spacing w:val="-8"/>
        </w:rPr>
        <w:t xml:space="preserve"> </w:t>
      </w:r>
      <w:r>
        <w:t>of</w:t>
      </w:r>
      <w:r>
        <w:rPr>
          <w:spacing w:val="-3"/>
        </w:rPr>
        <w:t xml:space="preserve"> </w:t>
      </w:r>
      <w:r>
        <w:t>the</w:t>
      </w:r>
      <w:r>
        <w:rPr>
          <w:spacing w:val="-7"/>
        </w:rPr>
        <w:t xml:space="preserve"> </w:t>
      </w:r>
      <w:r>
        <w:t>product</w:t>
      </w:r>
      <w:r>
        <w:rPr>
          <w:spacing w:val="-5"/>
        </w:rPr>
        <w:t xml:space="preserve"> </w:t>
      </w:r>
      <w:r>
        <w:t>under</w:t>
      </w:r>
      <w:r>
        <w:rPr>
          <w:spacing w:val="-8"/>
        </w:rPr>
        <w:t xml:space="preserve"> </w:t>
      </w:r>
      <w:r>
        <w:t>investigation"</w:t>
      </w:r>
      <w:r>
        <w:rPr>
          <w:spacing w:val="-10"/>
        </w:rPr>
        <w:t xml:space="preserve"> </w:t>
      </w:r>
      <w:r>
        <w:t>it</w:t>
      </w:r>
      <w:r>
        <w:rPr>
          <w:spacing w:val="-10"/>
        </w:rPr>
        <w:t xml:space="preserve"> </w:t>
      </w:r>
      <w:r>
        <w:t>took</w:t>
      </w:r>
      <w:r>
        <w:rPr>
          <w:spacing w:val="-3"/>
        </w:rPr>
        <w:t xml:space="preserve"> </w:t>
      </w:r>
      <w:r>
        <w:t>into</w:t>
      </w:r>
      <w:r>
        <w:rPr>
          <w:spacing w:val="-9"/>
        </w:rPr>
        <w:t xml:space="preserve"> </w:t>
      </w:r>
      <w:r>
        <w:t>account,</w:t>
      </w:r>
      <w:r>
        <w:rPr>
          <w:spacing w:val="-5"/>
        </w:rPr>
        <w:t xml:space="preserve"> </w:t>
      </w:r>
      <w:r>
        <w:t>or</w:t>
      </w:r>
      <w:r>
        <w:rPr>
          <w:spacing w:val="-8"/>
        </w:rPr>
        <w:t xml:space="preserve"> </w:t>
      </w:r>
      <w:r>
        <w:t xml:space="preserve">for what purpose it took them into </w:t>
      </w:r>
      <w:proofErr w:type="gramStart"/>
      <w:r>
        <w:t>account;</w:t>
      </w:r>
      <w:proofErr w:type="gramEnd"/>
    </w:p>
    <w:p w14:paraId="58567B82" w14:textId="77777777" w:rsidR="00BD462C" w:rsidRDefault="00BD462C">
      <w:pPr>
        <w:pStyle w:val="BodyText"/>
        <w:spacing w:before="2"/>
        <w:rPr>
          <w:sz w:val="20"/>
        </w:rPr>
      </w:pPr>
    </w:p>
    <w:p w14:paraId="08CD0E2F" w14:textId="77777777" w:rsidR="00BD462C" w:rsidRDefault="00033D0F">
      <w:pPr>
        <w:pStyle w:val="ListParagraph"/>
        <w:numPr>
          <w:ilvl w:val="2"/>
          <w:numId w:val="4"/>
        </w:numPr>
        <w:tabs>
          <w:tab w:val="left" w:pos="1322"/>
        </w:tabs>
        <w:spacing w:before="1" w:line="273" w:lineRule="auto"/>
        <w:ind w:right="916" w:firstLine="0"/>
        <w:jc w:val="both"/>
      </w:pPr>
      <w:r>
        <w:t xml:space="preserve">which "costs differences in different product types" it took into account, what it determined those differences were, which data it relied upon to identify the differences or for what purpose it took them into </w:t>
      </w:r>
      <w:proofErr w:type="gramStart"/>
      <w:r>
        <w:t>account;</w:t>
      </w:r>
      <w:proofErr w:type="gramEnd"/>
    </w:p>
    <w:p w14:paraId="3DA5E064" w14:textId="77777777" w:rsidR="00BD462C" w:rsidRDefault="00BD462C">
      <w:pPr>
        <w:pStyle w:val="BodyText"/>
        <w:rPr>
          <w:sz w:val="20"/>
        </w:rPr>
      </w:pPr>
    </w:p>
    <w:p w14:paraId="1F9E2277" w14:textId="77777777" w:rsidR="00BD462C" w:rsidRDefault="00BD462C">
      <w:pPr>
        <w:pStyle w:val="BodyText"/>
        <w:rPr>
          <w:sz w:val="20"/>
        </w:rPr>
      </w:pPr>
    </w:p>
    <w:p w14:paraId="109CE34F" w14:textId="77777777" w:rsidR="00BD462C" w:rsidRDefault="00BD462C">
      <w:pPr>
        <w:pStyle w:val="BodyText"/>
        <w:rPr>
          <w:sz w:val="20"/>
        </w:rPr>
      </w:pPr>
    </w:p>
    <w:p w14:paraId="6DC90A63" w14:textId="77777777" w:rsidR="00BD462C" w:rsidRDefault="00BD462C">
      <w:pPr>
        <w:pStyle w:val="BodyText"/>
        <w:rPr>
          <w:sz w:val="20"/>
        </w:rPr>
      </w:pPr>
    </w:p>
    <w:p w14:paraId="54A07D1D" w14:textId="3625A630" w:rsidR="00BD462C" w:rsidRDefault="00E14314">
      <w:pPr>
        <w:pStyle w:val="BodyText"/>
        <w:spacing w:before="8"/>
      </w:pPr>
      <w:r>
        <w:rPr>
          <w:noProof/>
        </w:rPr>
        <mc:AlternateContent>
          <mc:Choice Requires="wps">
            <w:drawing>
              <wp:anchor distT="0" distB="0" distL="0" distR="0" simplePos="0" relativeHeight="488077824" behindDoc="1" locked="0" layoutInCell="1" allowOverlap="1" wp14:anchorId="5D655335" wp14:editId="1335F4F1">
                <wp:simplePos x="0" y="0"/>
                <wp:positionH relativeFrom="page">
                  <wp:posOffset>812800</wp:posOffset>
                </wp:positionH>
                <wp:positionV relativeFrom="paragraph">
                  <wp:posOffset>194310</wp:posOffset>
                </wp:positionV>
                <wp:extent cx="1828800" cy="8890"/>
                <wp:effectExtent l="0" t="0" r="0" b="0"/>
                <wp:wrapTopAndBottom/>
                <wp:docPr id="55" name="docshape7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72AC65" id="docshape705" o:spid="_x0000_s1026" alt="&quot;&quot;" style="position:absolute;margin-left:64pt;margin-top:15.3pt;width:2in;height:.7pt;z-index:-15238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" fillcolor="black" stroked="f">
                <w10:wrap type="topAndBottom" anchorx="page"/>
              </v:rect>
            </w:pict>
          </mc:Fallback>
        </mc:AlternateContent>
      </w:r>
    </w:p>
    <w:p w14:paraId="2BEC92D5" w14:textId="77777777" w:rsidR="00BD462C" w:rsidRDefault="00033D0F">
      <w:pPr>
        <w:spacing w:before="112"/>
        <w:ind w:left="135"/>
        <w:rPr>
          <w:sz w:val="18"/>
        </w:rPr>
      </w:pPr>
      <w:bookmarkStart w:id="2132" w:name="_bookmark1833"/>
      <w:bookmarkEnd w:id="2132"/>
      <w:r>
        <w:rPr>
          <w:position w:val="5"/>
          <w:sz w:val="12"/>
        </w:rPr>
        <w:t>1600</w:t>
      </w:r>
      <w:r>
        <w:rPr>
          <w:spacing w:val="12"/>
          <w:position w:val="5"/>
          <w:sz w:val="12"/>
        </w:rPr>
        <w:t xml:space="preserve"> </w:t>
      </w:r>
      <w:r>
        <w:rPr>
          <w:sz w:val="18"/>
        </w:rPr>
        <w:t>Australia's</w:t>
      </w:r>
      <w:r>
        <w:rPr>
          <w:spacing w:val="-5"/>
          <w:sz w:val="18"/>
        </w:rPr>
        <w:t xml:space="preserve"> </w:t>
      </w:r>
      <w:r>
        <w:rPr>
          <w:sz w:val="18"/>
        </w:rPr>
        <w:t>first</w:t>
      </w:r>
      <w:r>
        <w:rPr>
          <w:spacing w:val="-5"/>
          <w:sz w:val="18"/>
        </w:rPr>
        <w:t xml:space="preserve"> </w:t>
      </w:r>
      <w:r>
        <w:rPr>
          <w:sz w:val="18"/>
        </w:rPr>
        <w:t>written</w:t>
      </w:r>
      <w:r>
        <w:rPr>
          <w:spacing w:val="-2"/>
          <w:sz w:val="18"/>
        </w:rPr>
        <w:t xml:space="preserve"> </w:t>
      </w:r>
      <w:r>
        <w:rPr>
          <w:sz w:val="18"/>
        </w:rPr>
        <w:t>submission, para.</w:t>
      </w:r>
      <w:r>
        <w:rPr>
          <w:spacing w:val="-5"/>
          <w:sz w:val="18"/>
        </w:rPr>
        <w:t xml:space="preserve"> </w:t>
      </w:r>
      <w:r>
        <w:rPr>
          <w:sz w:val="18"/>
        </w:rPr>
        <w:t>974</w:t>
      </w:r>
      <w:r>
        <w:rPr>
          <w:spacing w:val="-7"/>
          <w:sz w:val="18"/>
        </w:rPr>
        <w:t xml:space="preserve"> </w:t>
      </w:r>
      <w:r>
        <w:rPr>
          <w:sz w:val="18"/>
        </w:rPr>
        <w:t>(footnotes</w:t>
      </w:r>
      <w:r>
        <w:rPr>
          <w:spacing w:val="-6"/>
          <w:sz w:val="18"/>
        </w:rPr>
        <w:t xml:space="preserve"> </w:t>
      </w:r>
      <w:r>
        <w:rPr>
          <w:spacing w:val="-2"/>
          <w:sz w:val="18"/>
        </w:rPr>
        <w:t>omitted).</w:t>
      </w:r>
    </w:p>
    <w:p w14:paraId="2DC9D24B" w14:textId="77777777" w:rsidR="00BD462C" w:rsidRDefault="00033D0F">
      <w:pPr>
        <w:spacing w:before="1"/>
        <w:ind w:left="135"/>
        <w:rPr>
          <w:sz w:val="18"/>
        </w:rPr>
      </w:pPr>
      <w:bookmarkStart w:id="2133" w:name="_bookmark1834"/>
      <w:bookmarkEnd w:id="2133"/>
      <w:r>
        <w:rPr>
          <w:position w:val="5"/>
          <w:sz w:val="12"/>
        </w:rPr>
        <w:t>1601</w:t>
      </w:r>
      <w:r>
        <w:rPr>
          <w:spacing w:val="12"/>
          <w:position w:val="5"/>
          <w:sz w:val="12"/>
        </w:rPr>
        <w:t xml:space="preserve"> </w:t>
      </w:r>
      <w:r>
        <w:rPr>
          <w:sz w:val="18"/>
        </w:rPr>
        <w:t>Australia's</w:t>
      </w:r>
      <w:r>
        <w:rPr>
          <w:spacing w:val="-5"/>
          <w:sz w:val="18"/>
        </w:rPr>
        <w:t xml:space="preserve"> </w:t>
      </w:r>
      <w:r>
        <w:rPr>
          <w:sz w:val="18"/>
        </w:rPr>
        <w:t>first</w:t>
      </w:r>
      <w:r>
        <w:rPr>
          <w:spacing w:val="-5"/>
          <w:sz w:val="18"/>
        </w:rPr>
        <w:t xml:space="preserve"> </w:t>
      </w:r>
      <w:r>
        <w:rPr>
          <w:sz w:val="18"/>
        </w:rPr>
        <w:t>written</w:t>
      </w:r>
      <w:r>
        <w:rPr>
          <w:spacing w:val="-2"/>
          <w:sz w:val="18"/>
        </w:rPr>
        <w:t xml:space="preserve"> </w:t>
      </w:r>
      <w:r>
        <w:rPr>
          <w:sz w:val="18"/>
        </w:rPr>
        <w:t>submission,</w:t>
      </w:r>
      <w:r>
        <w:rPr>
          <w:spacing w:val="1"/>
          <w:sz w:val="18"/>
        </w:rPr>
        <w:t xml:space="preserve"> </w:t>
      </w:r>
      <w:r>
        <w:rPr>
          <w:sz w:val="18"/>
        </w:rPr>
        <w:t>para.</w:t>
      </w:r>
      <w:r>
        <w:rPr>
          <w:spacing w:val="-5"/>
          <w:sz w:val="18"/>
        </w:rPr>
        <w:t xml:space="preserve"> </w:t>
      </w:r>
      <w:r>
        <w:rPr>
          <w:sz w:val="18"/>
        </w:rPr>
        <w:t>977</w:t>
      </w:r>
      <w:r>
        <w:rPr>
          <w:spacing w:val="-7"/>
          <w:sz w:val="18"/>
        </w:rPr>
        <w:t xml:space="preserve"> </w:t>
      </w:r>
      <w:r>
        <w:rPr>
          <w:sz w:val="18"/>
        </w:rPr>
        <w:t>(footnotes</w:t>
      </w:r>
      <w:r>
        <w:rPr>
          <w:spacing w:val="-6"/>
          <w:sz w:val="18"/>
        </w:rPr>
        <w:t xml:space="preserve"> </w:t>
      </w:r>
      <w:r>
        <w:rPr>
          <w:spacing w:val="-2"/>
          <w:sz w:val="18"/>
        </w:rPr>
        <w:t>omitted).</w:t>
      </w:r>
    </w:p>
    <w:p w14:paraId="329543B7" w14:textId="77777777" w:rsidR="00BD462C" w:rsidRDefault="00BD462C">
      <w:pPr>
        <w:rPr>
          <w:sz w:val="18"/>
        </w:rPr>
        <w:sectPr w:rsidR="00BD462C">
          <w:pgSz w:w="11910" w:h="16840"/>
          <w:pgMar w:top="860" w:right="500" w:bottom="780" w:left="1280" w:header="566" w:footer="590" w:gutter="0"/>
          <w:cols w:space="720"/>
        </w:sectPr>
      </w:pPr>
    </w:p>
    <w:p w14:paraId="23538D5D"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5762E002"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0738818D"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1DCEA304" w14:textId="77777777" w:rsidR="00BD462C" w:rsidRDefault="00033D0F">
      <w:pPr>
        <w:pStyle w:val="ListParagraph"/>
        <w:numPr>
          <w:ilvl w:val="2"/>
          <w:numId w:val="4"/>
        </w:numPr>
        <w:tabs>
          <w:tab w:val="left" w:pos="1303"/>
        </w:tabs>
        <w:spacing w:before="1" w:line="276" w:lineRule="auto"/>
        <w:ind w:right="917" w:firstLine="0"/>
        <w:jc w:val="both"/>
      </w:pPr>
      <w:r>
        <w:t xml:space="preserve">which "trade links" it </w:t>
      </w:r>
      <w:proofErr w:type="gramStart"/>
      <w:r>
        <w:t>took into account</w:t>
      </w:r>
      <w:proofErr w:type="gramEnd"/>
      <w:r>
        <w:t>, why it was considering "trade links", the data from which the "trade links" were determined or the purpose for which it took them into account; and</w:t>
      </w:r>
    </w:p>
    <w:p w14:paraId="1B508B0D" w14:textId="77777777" w:rsidR="00BD462C" w:rsidRDefault="00BD462C">
      <w:pPr>
        <w:pStyle w:val="BodyText"/>
        <w:spacing w:before="8"/>
        <w:rPr>
          <w:sz w:val="19"/>
        </w:rPr>
      </w:pPr>
    </w:p>
    <w:p w14:paraId="7BF326D8" w14:textId="77777777" w:rsidR="00BD462C" w:rsidRDefault="00033D0F">
      <w:pPr>
        <w:pStyle w:val="ListParagraph"/>
        <w:numPr>
          <w:ilvl w:val="2"/>
          <w:numId w:val="4"/>
        </w:numPr>
        <w:tabs>
          <w:tab w:val="left" w:pos="1303"/>
        </w:tabs>
        <w:spacing w:before="0" w:line="276" w:lineRule="auto"/>
        <w:ind w:right="916" w:firstLine="0"/>
        <w:jc w:val="both"/>
      </w:pPr>
      <w:r>
        <w:t xml:space="preserve">what the "other influencing factors" were that it had regard to, why it selected those factors, which data it drew upon to assess these unknown factors, how it they were taken into account and weighed against each, or the purpose for which it took them into </w:t>
      </w:r>
      <w:r>
        <w:rPr>
          <w:spacing w:val="-2"/>
        </w:rPr>
        <w:t>account.</w:t>
      </w:r>
      <w:hyperlink w:anchor="_bookmark1835" w:history="1">
        <w:r>
          <w:rPr>
            <w:spacing w:val="-2"/>
            <w:vertAlign w:val="superscript"/>
          </w:rPr>
          <w:t>1602</w:t>
        </w:r>
      </w:hyperlink>
    </w:p>
    <w:p w14:paraId="3A26245B" w14:textId="77777777" w:rsidR="00BD462C" w:rsidRDefault="00BD462C">
      <w:pPr>
        <w:pStyle w:val="BodyText"/>
        <w:spacing w:before="7"/>
        <w:rPr>
          <w:sz w:val="19"/>
        </w:rPr>
      </w:pPr>
    </w:p>
    <w:p w14:paraId="644D8282" w14:textId="77777777" w:rsidR="00BD462C" w:rsidRDefault="00033D0F">
      <w:pPr>
        <w:pStyle w:val="ListParagraph"/>
        <w:numPr>
          <w:ilvl w:val="1"/>
          <w:numId w:val="4"/>
        </w:numPr>
        <w:tabs>
          <w:tab w:val="left" w:pos="985"/>
          <w:tab w:val="left" w:pos="986"/>
        </w:tabs>
        <w:spacing w:before="0"/>
        <w:ind w:hanging="851"/>
        <w:rPr>
          <w:b/>
          <w:sz w:val="24"/>
        </w:rPr>
      </w:pPr>
      <w:bookmarkStart w:id="2134" w:name="B.4_Item_8"/>
      <w:bookmarkEnd w:id="2134"/>
      <w:r>
        <w:rPr>
          <w:b/>
          <w:sz w:val="24"/>
        </w:rPr>
        <w:t>I</w:t>
      </w:r>
      <w:r>
        <w:rPr>
          <w:b/>
          <w:sz w:val="19"/>
        </w:rPr>
        <w:t>TEM</w:t>
      </w:r>
      <w:r>
        <w:rPr>
          <w:b/>
          <w:spacing w:val="3"/>
          <w:sz w:val="19"/>
        </w:rPr>
        <w:t xml:space="preserve"> </w:t>
      </w:r>
      <w:r>
        <w:rPr>
          <w:b/>
          <w:spacing w:val="-10"/>
          <w:sz w:val="24"/>
        </w:rPr>
        <w:t>8</w:t>
      </w:r>
    </w:p>
    <w:p w14:paraId="0C94B210" w14:textId="77777777" w:rsidR="00BD462C" w:rsidRDefault="00BD462C">
      <w:pPr>
        <w:pStyle w:val="BodyText"/>
        <w:spacing w:before="1"/>
        <w:rPr>
          <w:b/>
          <w:sz w:val="25"/>
        </w:rPr>
      </w:pPr>
    </w:p>
    <w:p w14:paraId="3F7FB474" w14:textId="77777777" w:rsidR="00BD462C" w:rsidRDefault="00033D0F">
      <w:pPr>
        <w:spacing w:before="1" w:line="276" w:lineRule="auto"/>
        <w:ind w:left="985" w:right="915"/>
        <w:jc w:val="both"/>
      </w:pPr>
      <w:r>
        <w:t>In</w:t>
      </w:r>
      <w:r>
        <w:rPr>
          <w:spacing w:val="-5"/>
        </w:rPr>
        <w:t xml:space="preserve"> </w:t>
      </w:r>
      <w:r>
        <w:t>the</w:t>
      </w:r>
      <w:r>
        <w:rPr>
          <w:spacing w:val="-4"/>
        </w:rPr>
        <w:t xml:space="preserve"> </w:t>
      </w:r>
      <w:r>
        <w:t>Final</w:t>
      </w:r>
      <w:r>
        <w:rPr>
          <w:spacing w:val="-2"/>
        </w:rPr>
        <w:t xml:space="preserve"> </w:t>
      </w:r>
      <w:r>
        <w:t>Determination,</w:t>
      </w:r>
      <w:r>
        <w:rPr>
          <w:spacing w:val="-2"/>
        </w:rPr>
        <w:t xml:space="preserve"> </w:t>
      </w:r>
      <w:r>
        <w:t>MOFCOM</w:t>
      </w:r>
      <w:r>
        <w:rPr>
          <w:spacing w:val="-6"/>
        </w:rPr>
        <w:t xml:space="preserve"> </w:t>
      </w:r>
      <w:r>
        <w:t>provided</w:t>
      </w:r>
      <w:r>
        <w:rPr>
          <w:spacing w:val="-5"/>
        </w:rPr>
        <w:t xml:space="preserve"> </w:t>
      </w:r>
      <w:r>
        <w:t>that</w:t>
      </w:r>
      <w:r>
        <w:rPr>
          <w:spacing w:val="-6"/>
        </w:rPr>
        <w:t xml:space="preserve"> </w:t>
      </w:r>
      <w:r>
        <w:t>it</w:t>
      </w:r>
      <w:r>
        <w:rPr>
          <w:spacing w:val="-6"/>
        </w:rPr>
        <w:t xml:space="preserve"> </w:t>
      </w:r>
      <w:r>
        <w:t>"reviewed</w:t>
      </w:r>
      <w:r>
        <w:rPr>
          <w:spacing w:val="-5"/>
        </w:rPr>
        <w:t xml:space="preserve"> </w:t>
      </w:r>
      <w:r>
        <w:t>the</w:t>
      </w:r>
      <w:r>
        <w:rPr>
          <w:spacing w:val="-4"/>
        </w:rPr>
        <w:t xml:space="preserve"> </w:t>
      </w:r>
      <w:r>
        <w:t>adjustment</w:t>
      </w:r>
      <w:r>
        <w:rPr>
          <w:spacing w:val="-6"/>
        </w:rPr>
        <w:t xml:space="preserve"> </w:t>
      </w:r>
      <w:r>
        <w:t xml:space="preserve">items…that affected the price comparability one-by-one" for each sampled company. It also found that "…on the basis of considering various comparable factors affecting price, the Investigating Authority compared the normal value and export price at the ex-factory level in a fair and reasonable manner". </w:t>
      </w:r>
      <w:r>
        <w:rPr>
          <w:u w:val="single"/>
        </w:rPr>
        <w:t>While MOFCOM</w:t>
      </w:r>
      <w:r>
        <w:rPr>
          <w:spacing w:val="-1"/>
          <w:u w:val="single"/>
        </w:rPr>
        <w:t xml:space="preserve"> </w:t>
      </w:r>
      <w:r>
        <w:rPr>
          <w:u w:val="single"/>
        </w:rPr>
        <w:t>provided some</w:t>
      </w:r>
      <w:r>
        <w:rPr>
          <w:spacing w:val="-4"/>
          <w:u w:val="single"/>
        </w:rPr>
        <w:t xml:space="preserve"> </w:t>
      </w:r>
      <w:r>
        <w:rPr>
          <w:u w:val="single"/>
        </w:rPr>
        <w:t>limited information concerning which</w:t>
      </w:r>
      <w:r>
        <w:t xml:space="preserve"> </w:t>
      </w:r>
      <w:r>
        <w:rPr>
          <w:u w:val="single"/>
        </w:rPr>
        <w:t>adjustments it accepted and rejected for the sampled companies, it failed to provide</w:t>
      </w:r>
      <w:r>
        <w:t xml:space="preserve"> </w:t>
      </w:r>
      <w:r>
        <w:rPr>
          <w:u w:val="single"/>
        </w:rPr>
        <w:t>interested parties the remaining non-confidential information that was relevant to the</w:t>
      </w:r>
      <w:r>
        <w:t xml:space="preserve"> </w:t>
      </w:r>
      <w:r>
        <w:rPr>
          <w:u w:val="single"/>
        </w:rPr>
        <w:t>conduct of a fair comparison.</w:t>
      </w:r>
      <w:hyperlink w:anchor="_bookmark1836" w:history="1">
        <w:r>
          <w:rPr>
            <w:vertAlign w:val="superscript"/>
          </w:rPr>
          <w:t>1603</w:t>
        </w:r>
      </w:hyperlink>
    </w:p>
    <w:p w14:paraId="213A992A" w14:textId="77777777" w:rsidR="00BD462C" w:rsidRDefault="00BD462C">
      <w:pPr>
        <w:pStyle w:val="BodyText"/>
        <w:spacing w:before="6"/>
        <w:rPr>
          <w:sz w:val="15"/>
        </w:rPr>
      </w:pPr>
    </w:p>
    <w:p w14:paraId="60129D9F" w14:textId="77777777" w:rsidR="00BD462C" w:rsidRDefault="00033D0F">
      <w:pPr>
        <w:pStyle w:val="ListParagraph"/>
        <w:numPr>
          <w:ilvl w:val="1"/>
          <w:numId w:val="4"/>
        </w:numPr>
        <w:tabs>
          <w:tab w:val="left" w:pos="985"/>
          <w:tab w:val="left" w:pos="986"/>
        </w:tabs>
        <w:spacing w:before="52"/>
        <w:ind w:hanging="851"/>
        <w:rPr>
          <w:b/>
          <w:sz w:val="24"/>
        </w:rPr>
      </w:pPr>
      <w:bookmarkStart w:id="2135" w:name="B.5_Item_9"/>
      <w:bookmarkEnd w:id="2135"/>
      <w:r>
        <w:rPr>
          <w:b/>
          <w:sz w:val="24"/>
        </w:rPr>
        <w:t>I</w:t>
      </w:r>
      <w:r>
        <w:rPr>
          <w:b/>
          <w:sz w:val="19"/>
        </w:rPr>
        <w:t>TEM</w:t>
      </w:r>
      <w:r>
        <w:rPr>
          <w:b/>
          <w:spacing w:val="3"/>
          <w:sz w:val="19"/>
        </w:rPr>
        <w:t xml:space="preserve"> </w:t>
      </w:r>
      <w:r>
        <w:rPr>
          <w:b/>
          <w:spacing w:val="-10"/>
          <w:sz w:val="24"/>
        </w:rPr>
        <w:t>9</w:t>
      </w:r>
    </w:p>
    <w:p w14:paraId="4535D3E6" w14:textId="77777777" w:rsidR="00BD462C" w:rsidRDefault="00BD462C">
      <w:pPr>
        <w:pStyle w:val="BodyText"/>
        <w:spacing w:before="1"/>
        <w:rPr>
          <w:b/>
          <w:sz w:val="25"/>
        </w:rPr>
      </w:pPr>
    </w:p>
    <w:p w14:paraId="3D0EF10D" w14:textId="77777777" w:rsidR="00BD462C" w:rsidRDefault="00033D0F">
      <w:pPr>
        <w:spacing w:before="1" w:line="276" w:lineRule="auto"/>
        <w:ind w:left="985" w:right="912"/>
        <w:jc w:val="both"/>
      </w:pPr>
      <w:r>
        <w:t>For example, for Casella Wines, MOFCOM only provided that it "decided to accept adjustment</w:t>
      </w:r>
      <w:r>
        <w:rPr>
          <w:spacing w:val="-10"/>
        </w:rPr>
        <w:t xml:space="preserve"> </w:t>
      </w:r>
      <w:r>
        <w:t>items</w:t>
      </w:r>
      <w:r>
        <w:rPr>
          <w:spacing w:val="-8"/>
        </w:rPr>
        <w:t xml:space="preserve"> </w:t>
      </w:r>
      <w:r>
        <w:t>such</w:t>
      </w:r>
      <w:r>
        <w:rPr>
          <w:spacing w:val="-9"/>
        </w:rPr>
        <w:t xml:space="preserve"> </w:t>
      </w:r>
      <w:r>
        <w:t>as</w:t>
      </w:r>
      <w:r>
        <w:rPr>
          <w:spacing w:val="-8"/>
        </w:rPr>
        <w:t xml:space="preserve"> </w:t>
      </w:r>
      <w:r>
        <w:t>invoice,</w:t>
      </w:r>
      <w:r>
        <w:rPr>
          <w:spacing w:val="-5"/>
        </w:rPr>
        <w:t xml:space="preserve"> </w:t>
      </w:r>
      <w:r>
        <w:t>discount,</w:t>
      </w:r>
      <w:r>
        <w:rPr>
          <w:spacing w:val="-5"/>
        </w:rPr>
        <w:t xml:space="preserve"> </w:t>
      </w:r>
      <w:r>
        <w:t>rebate,</w:t>
      </w:r>
      <w:r>
        <w:rPr>
          <w:spacing w:val="-5"/>
        </w:rPr>
        <w:t xml:space="preserve"> </w:t>
      </w:r>
      <w:r>
        <w:t>credit</w:t>
      </w:r>
      <w:r>
        <w:rPr>
          <w:spacing w:val="-10"/>
        </w:rPr>
        <w:t xml:space="preserve"> </w:t>
      </w:r>
      <w:r>
        <w:t>fee,</w:t>
      </w:r>
      <w:r>
        <w:rPr>
          <w:spacing w:val="-5"/>
        </w:rPr>
        <w:t xml:space="preserve"> </w:t>
      </w:r>
      <w:r>
        <w:t>and</w:t>
      </w:r>
      <w:r>
        <w:rPr>
          <w:spacing w:val="-9"/>
        </w:rPr>
        <w:t xml:space="preserve"> </w:t>
      </w:r>
      <w:r>
        <w:t>inland</w:t>
      </w:r>
      <w:r>
        <w:rPr>
          <w:spacing w:val="-9"/>
        </w:rPr>
        <w:t xml:space="preserve"> </w:t>
      </w:r>
      <w:r>
        <w:t>freight".</w:t>
      </w:r>
      <w:r>
        <w:rPr>
          <w:spacing w:val="-6"/>
        </w:rPr>
        <w:t xml:space="preserve"> </w:t>
      </w:r>
      <w:r>
        <w:t>The</w:t>
      </w:r>
      <w:r>
        <w:rPr>
          <w:spacing w:val="-7"/>
        </w:rPr>
        <w:t xml:space="preserve"> </w:t>
      </w:r>
      <w:r>
        <w:t>use</w:t>
      </w:r>
      <w:r>
        <w:rPr>
          <w:spacing w:val="-7"/>
        </w:rPr>
        <w:t xml:space="preserve"> </w:t>
      </w:r>
      <w:r>
        <w:t>of "such</w:t>
      </w:r>
      <w:r>
        <w:rPr>
          <w:spacing w:val="-9"/>
        </w:rPr>
        <w:t xml:space="preserve"> </w:t>
      </w:r>
      <w:r>
        <w:t>as"</w:t>
      </w:r>
      <w:r>
        <w:rPr>
          <w:spacing w:val="-10"/>
        </w:rPr>
        <w:t xml:space="preserve"> </w:t>
      </w:r>
      <w:r>
        <w:t>indicates</w:t>
      </w:r>
      <w:r>
        <w:rPr>
          <w:spacing w:val="-8"/>
        </w:rPr>
        <w:t xml:space="preserve"> </w:t>
      </w:r>
      <w:r>
        <w:t>that</w:t>
      </w:r>
      <w:r>
        <w:rPr>
          <w:spacing w:val="-10"/>
        </w:rPr>
        <w:t xml:space="preserve"> </w:t>
      </w:r>
      <w:r>
        <w:t>this</w:t>
      </w:r>
      <w:r>
        <w:rPr>
          <w:spacing w:val="-8"/>
        </w:rPr>
        <w:t xml:space="preserve"> </w:t>
      </w:r>
      <w:r>
        <w:t>list</w:t>
      </w:r>
      <w:r>
        <w:rPr>
          <w:spacing w:val="-10"/>
        </w:rPr>
        <w:t xml:space="preserve"> </w:t>
      </w:r>
      <w:r>
        <w:t>might</w:t>
      </w:r>
      <w:r>
        <w:rPr>
          <w:spacing w:val="-10"/>
        </w:rPr>
        <w:t xml:space="preserve"> </w:t>
      </w:r>
      <w:r>
        <w:t>be</w:t>
      </w:r>
      <w:r>
        <w:rPr>
          <w:spacing w:val="-12"/>
        </w:rPr>
        <w:t xml:space="preserve"> </w:t>
      </w:r>
      <w:r>
        <w:t>incomplete</w:t>
      </w:r>
      <w:r>
        <w:rPr>
          <w:spacing w:val="-7"/>
        </w:rPr>
        <w:t xml:space="preserve"> </w:t>
      </w:r>
      <w:r>
        <w:t>and</w:t>
      </w:r>
      <w:r>
        <w:rPr>
          <w:spacing w:val="-9"/>
        </w:rPr>
        <w:t xml:space="preserve"> </w:t>
      </w:r>
      <w:r>
        <w:t>not</w:t>
      </w:r>
      <w:r>
        <w:rPr>
          <w:spacing w:val="-10"/>
        </w:rPr>
        <w:t xml:space="preserve"> </w:t>
      </w:r>
      <w:r>
        <w:t>a</w:t>
      </w:r>
      <w:r>
        <w:rPr>
          <w:spacing w:val="-8"/>
        </w:rPr>
        <w:t xml:space="preserve"> </w:t>
      </w:r>
      <w:r>
        <w:t>conclusive</w:t>
      </w:r>
      <w:r>
        <w:rPr>
          <w:spacing w:val="-7"/>
        </w:rPr>
        <w:t xml:space="preserve"> </w:t>
      </w:r>
      <w:r>
        <w:t>list</w:t>
      </w:r>
      <w:r>
        <w:rPr>
          <w:spacing w:val="-10"/>
        </w:rPr>
        <w:t xml:space="preserve"> </w:t>
      </w:r>
      <w:r>
        <w:t>of</w:t>
      </w:r>
      <w:r>
        <w:rPr>
          <w:spacing w:val="-8"/>
        </w:rPr>
        <w:t xml:space="preserve"> </w:t>
      </w:r>
      <w:r>
        <w:t>all</w:t>
      </w:r>
      <w:r>
        <w:rPr>
          <w:spacing w:val="-6"/>
        </w:rPr>
        <w:t xml:space="preserve"> </w:t>
      </w:r>
      <w:r>
        <w:t>requested adjustments. Similarly, for Swan Vintage, MOFCOM only proposed to accept export price adjustments</w:t>
      </w:r>
      <w:r>
        <w:rPr>
          <w:spacing w:val="-4"/>
        </w:rPr>
        <w:t xml:space="preserve"> </w:t>
      </w:r>
      <w:r>
        <w:t>"such</w:t>
      </w:r>
      <w:r>
        <w:rPr>
          <w:spacing w:val="-5"/>
        </w:rPr>
        <w:t xml:space="preserve"> </w:t>
      </w:r>
      <w:r>
        <w:t>as</w:t>
      </w:r>
      <w:r>
        <w:rPr>
          <w:spacing w:val="-4"/>
        </w:rPr>
        <w:t xml:space="preserve"> </w:t>
      </w:r>
      <w:r>
        <w:t>pre-sale</w:t>
      </w:r>
      <w:r>
        <w:rPr>
          <w:spacing w:val="-4"/>
        </w:rPr>
        <w:t xml:space="preserve"> </w:t>
      </w:r>
      <w:r>
        <w:t>warehousing</w:t>
      </w:r>
      <w:r>
        <w:rPr>
          <w:spacing w:val="-3"/>
        </w:rPr>
        <w:t xml:space="preserve"> </w:t>
      </w:r>
      <w:r>
        <w:t>costs,</w:t>
      </w:r>
      <w:r>
        <w:rPr>
          <w:spacing w:val="-2"/>
        </w:rPr>
        <w:t xml:space="preserve"> </w:t>
      </w:r>
      <w:r>
        <w:t>inland</w:t>
      </w:r>
      <w:r>
        <w:rPr>
          <w:spacing w:val="-5"/>
        </w:rPr>
        <w:t xml:space="preserve"> </w:t>
      </w:r>
      <w:r>
        <w:t>freight</w:t>
      </w:r>
      <w:r>
        <w:rPr>
          <w:spacing w:val="-6"/>
        </w:rPr>
        <w:t xml:space="preserve"> </w:t>
      </w:r>
      <w:r>
        <w:t>(from</w:t>
      </w:r>
      <w:r>
        <w:rPr>
          <w:spacing w:val="-3"/>
        </w:rPr>
        <w:t xml:space="preserve"> </w:t>
      </w:r>
      <w:r>
        <w:t>factory/warehouse</w:t>
      </w:r>
      <w:r>
        <w:rPr>
          <w:spacing w:val="-4"/>
        </w:rPr>
        <w:t xml:space="preserve"> </w:t>
      </w:r>
      <w:r>
        <w:t xml:space="preserve">to port of export), international transport costs, international transport insurance premiums, and port load-unload charges". In both examples, there is no clear indication of whether MOFCOM considered all the price adjustments requested, and in the case of Swan Vintage, what the requested adjustments were. </w:t>
      </w:r>
      <w:r>
        <w:rPr>
          <w:u w:val="single"/>
        </w:rPr>
        <w:t>MOFCOM also failed to explain how these</w:t>
      </w:r>
      <w:r>
        <w:t xml:space="preserve"> </w:t>
      </w:r>
      <w:r>
        <w:rPr>
          <w:u w:val="single"/>
        </w:rPr>
        <w:t xml:space="preserve">adjustments were </w:t>
      </w:r>
      <w:proofErr w:type="gramStart"/>
      <w:r>
        <w:rPr>
          <w:u w:val="single"/>
        </w:rPr>
        <w:t>taken into account</w:t>
      </w:r>
      <w:proofErr w:type="gramEnd"/>
      <w:r>
        <w:rPr>
          <w:u w:val="single"/>
        </w:rPr>
        <w:t xml:space="preserve"> when it calculated constructed normal value through</w:t>
      </w:r>
      <w:r>
        <w:t xml:space="preserve"> </w:t>
      </w:r>
      <w:r>
        <w:rPr>
          <w:u w:val="single"/>
        </w:rPr>
        <w:t>the weighted average domestic sales of "other respondents</w:t>
      </w:r>
      <w:r>
        <w:t>".</w:t>
      </w:r>
      <w:hyperlink w:anchor="_bookmark1837" w:history="1">
        <w:r>
          <w:rPr>
            <w:vertAlign w:val="superscript"/>
          </w:rPr>
          <w:t>1604</w:t>
        </w:r>
      </w:hyperlink>
    </w:p>
    <w:p w14:paraId="0142590B" w14:textId="77777777" w:rsidR="00BD462C" w:rsidRDefault="00BD462C">
      <w:pPr>
        <w:pStyle w:val="BodyText"/>
        <w:spacing w:before="6"/>
        <w:rPr>
          <w:sz w:val="15"/>
        </w:rPr>
      </w:pPr>
    </w:p>
    <w:p w14:paraId="695E9BE3" w14:textId="77777777" w:rsidR="00BD462C" w:rsidRDefault="00033D0F">
      <w:pPr>
        <w:pStyle w:val="ListParagraph"/>
        <w:numPr>
          <w:ilvl w:val="1"/>
          <w:numId w:val="4"/>
        </w:numPr>
        <w:tabs>
          <w:tab w:val="left" w:pos="985"/>
          <w:tab w:val="left" w:pos="986"/>
        </w:tabs>
        <w:spacing w:before="52"/>
        <w:ind w:hanging="851"/>
        <w:rPr>
          <w:b/>
          <w:sz w:val="24"/>
        </w:rPr>
      </w:pPr>
      <w:bookmarkStart w:id="2136" w:name="B.6_Item_10"/>
      <w:bookmarkEnd w:id="2136"/>
      <w:r>
        <w:rPr>
          <w:b/>
          <w:sz w:val="24"/>
        </w:rPr>
        <w:t>I</w:t>
      </w:r>
      <w:r>
        <w:rPr>
          <w:b/>
          <w:sz w:val="19"/>
        </w:rPr>
        <w:t>TEM</w:t>
      </w:r>
      <w:r>
        <w:rPr>
          <w:b/>
          <w:spacing w:val="3"/>
          <w:sz w:val="19"/>
        </w:rPr>
        <w:t xml:space="preserve"> </w:t>
      </w:r>
      <w:r>
        <w:rPr>
          <w:b/>
          <w:spacing w:val="-5"/>
          <w:sz w:val="24"/>
        </w:rPr>
        <w:t>10</w:t>
      </w:r>
    </w:p>
    <w:p w14:paraId="6D8F49B3" w14:textId="77777777" w:rsidR="00BD462C" w:rsidRDefault="00BD462C">
      <w:pPr>
        <w:pStyle w:val="BodyText"/>
        <w:spacing w:before="1"/>
        <w:rPr>
          <w:b/>
          <w:sz w:val="25"/>
        </w:rPr>
      </w:pPr>
    </w:p>
    <w:p w14:paraId="2D0B5575" w14:textId="77777777" w:rsidR="00BD462C" w:rsidRDefault="00033D0F">
      <w:pPr>
        <w:spacing w:before="1" w:line="276" w:lineRule="auto"/>
        <w:ind w:left="985" w:right="912"/>
        <w:jc w:val="both"/>
      </w:pPr>
      <w:r>
        <w:t>MOFCOM</w:t>
      </w:r>
      <w:r>
        <w:rPr>
          <w:spacing w:val="-1"/>
        </w:rPr>
        <w:t xml:space="preserve"> </w:t>
      </w:r>
      <w:r>
        <w:t>did not</w:t>
      </w:r>
      <w:r>
        <w:rPr>
          <w:spacing w:val="-1"/>
        </w:rPr>
        <w:t xml:space="preserve"> </w:t>
      </w:r>
      <w:r>
        <w:t>provide the non-confidential information that</w:t>
      </w:r>
      <w:r>
        <w:rPr>
          <w:spacing w:val="-1"/>
        </w:rPr>
        <w:t xml:space="preserve"> </w:t>
      </w:r>
      <w:r>
        <w:t>was relevant</w:t>
      </w:r>
      <w:r>
        <w:rPr>
          <w:spacing w:val="-1"/>
        </w:rPr>
        <w:t xml:space="preserve"> </w:t>
      </w:r>
      <w:r>
        <w:t>to</w:t>
      </w:r>
      <w:r>
        <w:rPr>
          <w:spacing w:val="-1"/>
        </w:rPr>
        <w:t xml:space="preserve"> </w:t>
      </w:r>
      <w:r>
        <w:t>its decision to</w:t>
      </w:r>
      <w:r>
        <w:rPr>
          <w:spacing w:val="-13"/>
        </w:rPr>
        <w:t xml:space="preserve"> </w:t>
      </w:r>
      <w:r>
        <w:t>reject</w:t>
      </w:r>
      <w:r>
        <w:rPr>
          <w:spacing w:val="-12"/>
        </w:rPr>
        <w:t xml:space="preserve"> </w:t>
      </w:r>
      <w:r>
        <w:t>or</w:t>
      </w:r>
      <w:r>
        <w:rPr>
          <w:spacing w:val="-13"/>
        </w:rPr>
        <w:t xml:space="preserve"> </w:t>
      </w:r>
      <w:r>
        <w:t>accept</w:t>
      </w:r>
      <w:r>
        <w:rPr>
          <w:spacing w:val="-12"/>
        </w:rPr>
        <w:t xml:space="preserve"> </w:t>
      </w:r>
      <w:r>
        <w:t>the</w:t>
      </w:r>
      <w:r>
        <w:rPr>
          <w:spacing w:val="-13"/>
        </w:rPr>
        <w:t xml:space="preserve"> </w:t>
      </w:r>
      <w:r>
        <w:t>requested</w:t>
      </w:r>
      <w:r>
        <w:rPr>
          <w:spacing w:val="-12"/>
        </w:rPr>
        <w:t xml:space="preserve"> </w:t>
      </w:r>
      <w:r>
        <w:t>adjustments.</w:t>
      </w:r>
      <w:r>
        <w:rPr>
          <w:spacing w:val="-13"/>
        </w:rPr>
        <w:t xml:space="preserve"> </w:t>
      </w:r>
      <w:r>
        <w:t>Consistent</w:t>
      </w:r>
      <w:r>
        <w:rPr>
          <w:spacing w:val="-12"/>
        </w:rPr>
        <w:t xml:space="preserve"> </w:t>
      </w:r>
      <w:r>
        <w:t>with</w:t>
      </w:r>
      <w:r>
        <w:rPr>
          <w:spacing w:val="-12"/>
        </w:rPr>
        <w:t xml:space="preserve"> </w:t>
      </w:r>
      <w:r>
        <w:t>Australia's</w:t>
      </w:r>
      <w:r>
        <w:rPr>
          <w:spacing w:val="-13"/>
        </w:rPr>
        <w:t xml:space="preserve"> </w:t>
      </w:r>
      <w:r>
        <w:t>earlier</w:t>
      </w:r>
      <w:r>
        <w:rPr>
          <w:spacing w:val="-12"/>
        </w:rPr>
        <w:t xml:space="preserve"> </w:t>
      </w:r>
      <w:r>
        <w:t>submissions on</w:t>
      </w:r>
      <w:r>
        <w:rPr>
          <w:spacing w:val="-10"/>
        </w:rPr>
        <w:t xml:space="preserve"> </w:t>
      </w:r>
      <w:r>
        <w:t>the</w:t>
      </w:r>
      <w:r>
        <w:rPr>
          <w:spacing w:val="-8"/>
        </w:rPr>
        <w:t xml:space="preserve"> </w:t>
      </w:r>
      <w:r>
        <w:t>deficiencies</w:t>
      </w:r>
      <w:r>
        <w:rPr>
          <w:spacing w:val="-9"/>
        </w:rPr>
        <w:t xml:space="preserve"> </w:t>
      </w:r>
      <w:r>
        <w:t>of</w:t>
      </w:r>
      <w:r>
        <w:rPr>
          <w:spacing w:val="-9"/>
        </w:rPr>
        <w:t xml:space="preserve"> </w:t>
      </w:r>
      <w:r>
        <w:t>Treasury</w:t>
      </w:r>
      <w:r>
        <w:rPr>
          <w:spacing w:val="-8"/>
        </w:rPr>
        <w:t xml:space="preserve"> </w:t>
      </w:r>
      <w:r>
        <w:t>Wines'</w:t>
      </w:r>
      <w:r>
        <w:rPr>
          <w:spacing w:val="-10"/>
        </w:rPr>
        <w:t xml:space="preserve"> </w:t>
      </w:r>
      <w:r>
        <w:t>requested</w:t>
      </w:r>
      <w:r>
        <w:rPr>
          <w:spacing w:val="-10"/>
        </w:rPr>
        <w:t xml:space="preserve"> </w:t>
      </w:r>
      <w:r>
        <w:t>adjustments</w:t>
      </w:r>
      <w:r>
        <w:rPr>
          <w:spacing w:val="-9"/>
        </w:rPr>
        <w:t xml:space="preserve"> </w:t>
      </w:r>
      <w:r>
        <w:t>to</w:t>
      </w:r>
      <w:r>
        <w:rPr>
          <w:spacing w:val="-10"/>
        </w:rPr>
        <w:t xml:space="preserve"> </w:t>
      </w:r>
      <w:r>
        <w:t>normal</w:t>
      </w:r>
      <w:r>
        <w:rPr>
          <w:spacing w:val="-7"/>
        </w:rPr>
        <w:t xml:space="preserve"> </w:t>
      </w:r>
      <w:r>
        <w:t>value,</w:t>
      </w:r>
      <w:r>
        <w:rPr>
          <w:spacing w:val="-6"/>
        </w:rPr>
        <w:t xml:space="preserve"> </w:t>
      </w:r>
      <w:r>
        <w:rPr>
          <w:u w:val="single"/>
        </w:rPr>
        <w:t>MOFCOM</w:t>
      </w:r>
      <w:r>
        <w:rPr>
          <w:spacing w:val="-11"/>
          <w:u w:val="single"/>
        </w:rPr>
        <w:t xml:space="preserve"> </w:t>
      </w:r>
      <w:r>
        <w:rPr>
          <w:u w:val="single"/>
        </w:rPr>
        <w:t>did</w:t>
      </w:r>
      <w:r>
        <w:t xml:space="preserve"> </w:t>
      </w:r>
      <w:r>
        <w:rPr>
          <w:u w:val="single"/>
        </w:rPr>
        <w:t>not provide all non-confidential information concerning its decision to reject the requested</w:t>
      </w:r>
      <w:r>
        <w:t xml:space="preserve"> </w:t>
      </w:r>
      <w:r>
        <w:rPr>
          <w:u w:val="single"/>
        </w:rPr>
        <w:t>adjustments</w:t>
      </w:r>
      <w:r>
        <w:rPr>
          <w:spacing w:val="-10"/>
          <w:u w:val="single"/>
        </w:rPr>
        <w:t xml:space="preserve"> </w:t>
      </w:r>
      <w:r>
        <w:rPr>
          <w:u w:val="single"/>
        </w:rPr>
        <w:t>of</w:t>
      </w:r>
      <w:r>
        <w:rPr>
          <w:spacing w:val="-9"/>
          <w:u w:val="single"/>
        </w:rPr>
        <w:t xml:space="preserve"> </w:t>
      </w:r>
      <w:r>
        <w:rPr>
          <w:u w:val="single"/>
        </w:rPr>
        <w:t>discounts,</w:t>
      </w:r>
      <w:r>
        <w:rPr>
          <w:spacing w:val="-6"/>
          <w:u w:val="single"/>
        </w:rPr>
        <w:t xml:space="preserve"> </w:t>
      </w:r>
      <w:proofErr w:type="gramStart"/>
      <w:r>
        <w:rPr>
          <w:u w:val="single"/>
        </w:rPr>
        <w:t>rebates</w:t>
      </w:r>
      <w:proofErr w:type="gramEnd"/>
      <w:r>
        <w:rPr>
          <w:spacing w:val="-9"/>
          <w:u w:val="single"/>
        </w:rPr>
        <w:t xml:space="preserve"> </w:t>
      </w:r>
      <w:r>
        <w:rPr>
          <w:u w:val="single"/>
        </w:rPr>
        <w:t>and</w:t>
      </w:r>
      <w:r>
        <w:rPr>
          <w:spacing w:val="-10"/>
          <w:u w:val="single"/>
        </w:rPr>
        <w:t xml:space="preserve"> </w:t>
      </w:r>
      <w:r>
        <w:rPr>
          <w:u w:val="single"/>
        </w:rPr>
        <w:t>advertising</w:t>
      </w:r>
      <w:r>
        <w:rPr>
          <w:spacing w:val="-7"/>
          <w:u w:val="single"/>
        </w:rPr>
        <w:t xml:space="preserve"> </w:t>
      </w:r>
      <w:r>
        <w:rPr>
          <w:u w:val="single"/>
        </w:rPr>
        <w:t>costs</w:t>
      </w:r>
      <w:r>
        <w:rPr>
          <w:spacing w:val="-9"/>
          <w:u w:val="single"/>
        </w:rPr>
        <w:t xml:space="preserve"> </w:t>
      </w:r>
      <w:r>
        <w:rPr>
          <w:u w:val="single"/>
        </w:rPr>
        <w:t>for</w:t>
      </w:r>
      <w:r>
        <w:rPr>
          <w:spacing w:val="-9"/>
          <w:u w:val="single"/>
        </w:rPr>
        <w:t xml:space="preserve"> </w:t>
      </w:r>
      <w:r>
        <w:rPr>
          <w:u w:val="single"/>
        </w:rPr>
        <w:t>Treasury</w:t>
      </w:r>
      <w:r>
        <w:rPr>
          <w:spacing w:val="-8"/>
          <w:u w:val="single"/>
        </w:rPr>
        <w:t xml:space="preserve"> </w:t>
      </w:r>
      <w:r>
        <w:rPr>
          <w:u w:val="single"/>
        </w:rPr>
        <w:t>Wines</w:t>
      </w:r>
      <w:r>
        <w:t>.</w:t>
      </w:r>
      <w:r>
        <w:rPr>
          <w:spacing w:val="-7"/>
        </w:rPr>
        <w:t xml:space="preserve"> </w:t>
      </w:r>
      <w:r>
        <w:t>This</w:t>
      </w:r>
      <w:r>
        <w:rPr>
          <w:spacing w:val="-13"/>
        </w:rPr>
        <w:t xml:space="preserve"> </w:t>
      </w:r>
      <w:r>
        <w:t>includes</w:t>
      </w:r>
      <w:r>
        <w:rPr>
          <w:spacing w:val="-9"/>
        </w:rPr>
        <w:t xml:space="preserve"> </w:t>
      </w:r>
      <w:r>
        <w:t>the information</w:t>
      </w:r>
      <w:r>
        <w:rPr>
          <w:spacing w:val="20"/>
        </w:rPr>
        <w:t xml:space="preserve"> </w:t>
      </w:r>
      <w:r>
        <w:t>that</w:t>
      </w:r>
      <w:r>
        <w:rPr>
          <w:spacing w:val="19"/>
        </w:rPr>
        <w:t xml:space="preserve"> </w:t>
      </w:r>
      <w:r>
        <w:t>MOFCOM</w:t>
      </w:r>
      <w:r>
        <w:rPr>
          <w:spacing w:val="19"/>
        </w:rPr>
        <w:t xml:space="preserve"> </w:t>
      </w:r>
      <w:r>
        <w:t>used</w:t>
      </w:r>
      <w:r>
        <w:rPr>
          <w:spacing w:val="20"/>
        </w:rPr>
        <w:t xml:space="preserve"> </w:t>
      </w:r>
      <w:r>
        <w:t>to</w:t>
      </w:r>
      <w:r>
        <w:rPr>
          <w:spacing w:val="20"/>
        </w:rPr>
        <w:t xml:space="preserve"> </w:t>
      </w:r>
      <w:r>
        <w:t>reach</w:t>
      </w:r>
      <w:r>
        <w:rPr>
          <w:spacing w:val="20"/>
        </w:rPr>
        <w:t xml:space="preserve"> </w:t>
      </w:r>
      <w:r>
        <w:t>its</w:t>
      </w:r>
      <w:r>
        <w:rPr>
          <w:spacing w:val="21"/>
        </w:rPr>
        <w:t xml:space="preserve"> </w:t>
      </w:r>
      <w:r>
        <w:t>conclusions</w:t>
      </w:r>
      <w:r>
        <w:rPr>
          <w:spacing w:val="21"/>
        </w:rPr>
        <w:t xml:space="preserve"> </w:t>
      </w:r>
      <w:r>
        <w:t>that:</w:t>
      </w:r>
      <w:r>
        <w:rPr>
          <w:spacing w:val="19"/>
        </w:rPr>
        <w:t xml:space="preserve"> </w:t>
      </w:r>
      <w:r>
        <w:t>(i)</w:t>
      </w:r>
      <w:r>
        <w:rPr>
          <w:spacing w:val="21"/>
        </w:rPr>
        <w:t xml:space="preserve"> </w:t>
      </w:r>
      <w:r>
        <w:t>there</w:t>
      </w:r>
      <w:r>
        <w:rPr>
          <w:spacing w:val="21"/>
        </w:rPr>
        <w:t xml:space="preserve"> </w:t>
      </w:r>
      <w:r>
        <w:t>was</w:t>
      </w:r>
      <w:r>
        <w:rPr>
          <w:spacing w:val="21"/>
        </w:rPr>
        <w:t xml:space="preserve"> </w:t>
      </w:r>
      <w:r>
        <w:t>"no</w:t>
      </w:r>
      <w:r>
        <w:rPr>
          <w:spacing w:val="20"/>
        </w:rPr>
        <w:t xml:space="preserve"> </w:t>
      </w:r>
      <w:r>
        <w:t>sufficient</w:t>
      </w:r>
    </w:p>
    <w:p w14:paraId="26DA460B" w14:textId="6C84DC03" w:rsidR="00BD462C" w:rsidRDefault="00D70C7D">
      <w:pPr>
        <w:pStyle w:val="BodyText"/>
        <w:spacing w:before="8"/>
        <w:rPr>
          <w:sz w:val="29"/>
        </w:rPr>
      </w:pPr>
      <w:r>
        <w:rPr>
          <w:noProof/>
        </w:rPr>
        <mc:AlternateContent>
          <mc:Choice Requires="wps">
            <w:drawing>
              <wp:anchor distT="0" distB="0" distL="0" distR="0" simplePos="0" relativeHeight="487913984" behindDoc="1" locked="0" layoutInCell="1" allowOverlap="1" wp14:anchorId="4525471D" wp14:editId="28B18C10">
                <wp:simplePos x="0" y="0"/>
                <wp:positionH relativeFrom="page">
                  <wp:posOffset>899160</wp:posOffset>
                </wp:positionH>
                <wp:positionV relativeFrom="paragraph">
                  <wp:posOffset>245745</wp:posOffset>
                </wp:positionV>
                <wp:extent cx="1828800" cy="8890"/>
                <wp:effectExtent l="0" t="0" r="0" b="0"/>
                <wp:wrapTopAndBottom/>
                <wp:docPr id="46" name="docshape7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ABDF14" id="docshape705" o:spid="_x0000_s1026" alt="&quot;&quot;" style="position:absolute;margin-left:70.8pt;margin-top:19.35pt;width:2in;height:.7pt;z-index:-1540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" fillcolor="black" stroked="f">
                <w10:wrap type="topAndBottom" anchorx="page"/>
              </v:rect>
            </w:pict>
          </mc:Fallback>
        </mc:AlternateContent>
      </w:r>
    </w:p>
    <w:p w14:paraId="1EBDD3FD" w14:textId="77777777" w:rsidR="00BD462C" w:rsidRDefault="00033D0F">
      <w:pPr>
        <w:spacing w:before="112"/>
        <w:ind w:left="135"/>
        <w:rPr>
          <w:sz w:val="18"/>
        </w:rPr>
      </w:pPr>
      <w:bookmarkStart w:id="2137" w:name="_bookmark1835"/>
      <w:bookmarkEnd w:id="2137"/>
      <w:r>
        <w:rPr>
          <w:position w:val="5"/>
          <w:sz w:val="12"/>
        </w:rPr>
        <w:t>1602</w:t>
      </w:r>
      <w:r>
        <w:rPr>
          <w:spacing w:val="12"/>
          <w:position w:val="5"/>
          <w:sz w:val="12"/>
        </w:rPr>
        <w:t xml:space="preserve"> </w:t>
      </w:r>
      <w:r>
        <w:rPr>
          <w:sz w:val="18"/>
        </w:rPr>
        <w:t>Australia's</w:t>
      </w:r>
      <w:r>
        <w:rPr>
          <w:spacing w:val="-6"/>
          <w:sz w:val="18"/>
        </w:rPr>
        <w:t xml:space="preserve"> </w:t>
      </w:r>
      <w:r>
        <w:rPr>
          <w:sz w:val="18"/>
        </w:rPr>
        <w:t>first</w:t>
      </w:r>
      <w:r>
        <w:rPr>
          <w:spacing w:val="-5"/>
          <w:sz w:val="18"/>
        </w:rPr>
        <w:t xml:space="preserve"> </w:t>
      </w:r>
      <w:r>
        <w:rPr>
          <w:sz w:val="18"/>
        </w:rPr>
        <w:t>written</w:t>
      </w:r>
      <w:r>
        <w:rPr>
          <w:spacing w:val="-2"/>
          <w:sz w:val="18"/>
        </w:rPr>
        <w:t xml:space="preserve"> </w:t>
      </w:r>
      <w:r>
        <w:rPr>
          <w:sz w:val="18"/>
        </w:rPr>
        <w:t>submission, para.</w:t>
      </w:r>
      <w:r>
        <w:rPr>
          <w:spacing w:val="-5"/>
          <w:sz w:val="18"/>
        </w:rPr>
        <w:t xml:space="preserve"> </w:t>
      </w:r>
      <w:r>
        <w:rPr>
          <w:spacing w:val="-4"/>
          <w:sz w:val="18"/>
        </w:rPr>
        <w:t>980.</w:t>
      </w:r>
    </w:p>
    <w:p w14:paraId="737A4907" w14:textId="77777777" w:rsidR="00BD462C" w:rsidRDefault="00033D0F">
      <w:pPr>
        <w:spacing w:before="1"/>
        <w:ind w:left="135"/>
        <w:rPr>
          <w:sz w:val="18"/>
        </w:rPr>
      </w:pPr>
      <w:bookmarkStart w:id="2138" w:name="_bookmark1836"/>
      <w:bookmarkEnd w:id="2138"/>
      <w:r>
        <w:rPr>
          <w:position w:val="5"/>
          <w:sz w:val="12"/>
        </w:rPr>
        <w:t>1603</w:t>
      </w:r>
      <w:r>
        <w:rPr>
          <w:spacing w:val="12"/>
          <w:position w:val="5"/>
          <w:sz w:val="12"/>
        </w:rPr>
        <w:t xml:space="preserve"> </w:t>
      </w:r>
      <w:r>
        <w:rPr>
          <w:sz w:val="18"/>
        </w:rPr>
        <w:t>Australia's</w:t>
      </w:r>
      <w:r>
        <w:rPr>
          <w:spacing w:val="-5"/>
          <w:sz w:val="18"/>
        </w:rPr>
        <w:t xml:space="preserve"> </w:t>
      </w:r>
      <w:r>
        <w:rPr>
          <w:sz w:val="18"/>
        </w:rPr>
        <w:t>first</w:t>
      </w:r>
      <w:r>
        <w:rPr>
          <w:spacing w:val="-5"/>
          <w:sz w:val="18"/>
        </w:rPr>
        <w:t xml:space="preserve"> </w:t>
      </w:r>
      <w:r>
        <w:rPr>
          <w:sz w:val="18"/>
        </w:rPr>
        <w:t>written</w:t>
      </w:r>
      <w:r>
        <w:rPr>
          <w:spacing w:val="-2"/>
          <w:sz w:val="18"/>
        </w:rPr>
        <w:t xml:space="preserve"> </w:t>
      </w:r>
      <w:r>
        <w:rPr>
          <w:sz w:val="18"/>
        </w:rPr>
        <w:t>submission, para.</w:t>
      </w:r>
      <w:r>
        <w:rPr>
          <w:spacing w:val="-5"/>
          <w:sz w:val="18"/>
        </w:rPr>
        <w:t xml:space="preserve"> </w:t>
      </w:r>
      <w:r>
        <w:rPr>
          <w:sz w:val="18"/>
        </w:rPr>
        <w:t>984</w:t>
      </w:r>
      <w:r>
        <w:rPr>
          <w:spacing w:val="-7"/>
          <w:sz w:val="18"/>
        </w:rPr>
        <w:t xml:space="preserve"> </w:t>
      </w:r>
      <w:r>
        <w:rPr>
          <w:sz w:val="18"/>
        </w:rPr>
        <w:t>(footnotes</w:t>
      </w:r>
      <w:r>
        <w:rPr>
          <w:spacing w:val="-6"/>
          <w:sz w:val="18"/>
        </w:rPr>
        <w:t xml:space="preserve"> </w:t>
      </w:r>
      <w:r>
        <w:rPr>
          <w:spacing w:val="-2"/>
          <w:sz w:val="18"/>
        </w:rPr>
        <w:t>omitted).</w:t>
      </w:r>
    </w:p>
    <w:p w14:paraId="3550939F" w14:textId="77777777" w:rsidR="00BD462C" w:rsidRDefault="00033D0F">
      <w:pPr>
        <w:spacing w:before="1"/>
        <w:ind w:left="135"/>
        <w:rPr>
          <w:sz w:val="18"/>
        </w:rPr>
      </w:pPr>
      <w:bookmarkStart w:id="2139" w:name="_bookmark1837"/>
      <w:bookmarkEnd w:id="2139"/>
      <w:r>
        <w:rPr>
          <w:position w:val="5"/>
          <w:sz w:val="12"/>
        </w:rPr>
        <w:t>1604</w:t>
      </w:r>
      <w:r>
        <w:rPr>
          <w:spacing w:val="12"/>
          <w:position w:val="5"/>
          <w:sz w:val="12"/>
        </w:rPr>
        <w:t xml:space="preserve"> </w:t>
      </w:r>
      <w:r>
        <w:rPr>
          <w:sz w:val="18"/>
        </w:rPr>
        <w:t>Australia's</w:t>
      </w:r>
      <w:r>
        <w:rPr>
          <w:spacing w:val="-5"/>
          <w:sz w:val="18"/>
        </w:rPr>
        <w:t xml:space="preserve"> </w:t>
      </w:r>
      <w:r>
        <w:rPr>
          <w:sz w:val="18"/>
        </w:rPr>
        <w:t>first</w:t>
      </w:r>
      <w:r>
        <w:rPr>
          <w:spacing w:val="-5"/>
          <w:sz w:val="18"/>
        </w:rPr>
        <w:t xml:space="preserve"> </w:t>
      </w:r>
      <w:r>
        <w:rPr>
          <w:sz w:val="18"/>
        </w:rPr>
        <w:t>written</w:t>
      </w:r>
      <w:r>
        <w:rPr>
          <w:spacing w:val="-2"/>
          <w:sz w:val="18"/>
        </w:rPr>
        <w:t xml:space="preserve"> </w:t>
      </w:r>
      <w:r>
        <w:rPr>
          <w:sz w:val="18"/>
        </w:rPr>
        <w:t>submission, para.</w:t>
      </w:r>
      <w:r>
        <w:rPr>
          <w:spacing w:val="-5"/>
          <w:sz w:val="18"/>
        </w:rPr>
        <w:t xml:space="preserve"> </w:t>
      </w:r>
      <w:r>
        <w:rPr>
          <w:sz w:val="18"/>
        </w:rPr>
        <w:t>986</w:t>
      </w:r>
      <w:r>
        <w:rPr>
          <w:spacing w:val="-7"/>
          <w:sz w:val="18"/>
        </w:rPr>
        <w:t xml:space="preserve"> </w:t>
      </w:r>
      <w:r>
        <w:rPr>
          <w:sz w:val="18"/>
        </w:rPr>
        <w:t>(footnotes</w:t>
      </w:r>
      <w:r>
        <w:rPr>
          <w:spacing w:val="-6"/>
          <w:sz w:val="18"/>
        </w:rPr>
        <w:t xml:space="preserve"> </w:t>
      </w:r>
      <w:r>
        <w:rPr>
          <w:spacing w:val="-2"/>
          <w:sz w:val="18"/>
        </w:rPr>
        <w:t>omitted).</w:t>
      </w:r>
    </w:p>
    <w:p w14:paraId="6F3BFAD3" w14:textId="77777777" w:rsidR="00BD462C" w:rsidRDefault="00BD462C">
      <w:pPr>
        <w:rPr>
          <w:sz w:val="18"/>
        </w:rPr>
        <w:sectPr w:rsidR="00BD462C">
          <w:pgSz w:w="11910" w:h="16840"/>
          <w:pgMar w:top="860" w:right="500" w:bottom="780" w:left="1280" w:header="566" w:footer="590" w:gutter="0"/>
          <w:cols w:space="720"/>
        </w:sectPr>
      </w:pPr>
    </w:p>
    <w:p w14:paraId="6B12561A"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397E218D"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36D9ECAC"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61596324" w14:textId="77777777" w:rsidR="00BD462C" w:rsidRDefault="00033D0F">
      <w:pPr>
        <w:spacing w:before="1" w:line="276" w:lineRule="auto"/>
        <w:ind w:left="985" w:right="917"/>
        <w:jc w:val="both"/>
      </w:pPr>
      <w:r>
        <w:t>evidence", (ii) Treasury Wines "did not elaborate the discount standards and bases and the methods for determining the discounts", and (iii) it "did not explain the method of determining</w:t>
      </w:r>
      <w:r>
        <w:rPr>
          <w:spacing w:val="-5"/>
        </w:rPr>
        <w:t xml:space="preserve"> </w:t>
      </w:r>
      <w:r>
        <w:t>advertising</w:t>
      </w:r>
      <w:r>
        <w:rPr>
          <w:spacing w:val="-5"/>
        </w:rPr>
        <w:t xml:space="preserve"> </w:t>
      </w:r>
      <w:r>
        <w:t>fees"</w:t>
      </w:r>
      <w:r>
        <w:rPr>
          <w:spacing w:val="-9"/>
        </w:rPr>
        <w:t xml:space="preserve"> </w:t>
      </w:r>
      <w:r>
        <w:t>or</w:t>
      </w:r>
      <w:r>
        <w:rPr>
          <w:spacing w:val="-7"/>
        </w:rPr>
        <w:t xml:space="preserve"> </w:t>
      </w:r>
      <w:r>
        <w:t>indicate</w:t>
      </w:r>
      <w:r>
        <w:rPr>
          <w:spacing w:val="-2"/>
        </w:rPr>
        <w:t xml:space="preserve"> </w:t>
      </w:r>
      <w:r>
        <w:t>"whether</w:t>
      </w:r>
      <w:r>
        <w:rPr>
          <w:spacing w:val="-7"/>
        </w:rPr>
        <w:t xml:space="preserve"> </w:t>
      </w:r>
      <w:r>
        <w:t>relevant</w:t>
      </w:r>
      <w:r>
        <w:rPr>
          <w:spacing w:val="-9"/>
        </w:rPr>
        <w:t xml:space="preserve"> </w:t>
      </w:r>
      <w:r>
        <w:t>fees</w:t>
      </w:r>
      <w:r>
        <w:rPr>
          <w:spacing w:val="-7"/>
        </w:rPr>
        <w:t xml:space="preserve"> </w:t>
      </w:r>
      <w:r>
        <w:t>were</w:t>
      </w:r>
      <w:r>
        <w:rPr>
          <w:spacing w:val="-6"/>
        </w:rPr>
        <w:t xml:space="preserve"> </w:t>
      </w:r>
      <w:r>
        <w:t>directly</w:t>
      </w:r>
      <w:r>
        <w:rPr>
          <w:spacing w:val="-6"/>
        </w:rPr>
        <w:t xml:space="preserve"> </w:t>
      </w:r>
      <w:r>
        <w:t>related</w:t>
      </w:r>
      <w:r>
        <w:rPr>
          <w:spacing w:val="-3"/>
        </w:rPr>
        <w:t xml:space="preserve"> </w:t>
      </w:r>
      <w:r>
        <w:t>to</w:t>
      </w:r>
      <w:r>
        <w:rPr>
          <w:spacing w:val="-3"/>
        </w:rPr>
        <w:t xml:space="preserve"> </w:t>
      </w:r>
      <w:r>
        <w:t xml:space="preserve">the sales". It is clear that MOFCOM only provided general reasons which is insufficient for the interested parties to understand the basis upon which MOFCOM rejected or accepted the adjustments. As a consequence, the interested parties were unable to understand MOFCOM's approach to adjustments to prepare presentations in </w:t>
      </w:r>
      <w:proofErr w:type="spellStart"/>
      <w:r>
        <w:t>defence</w:t>
      </w:r>
      <w:proofErr w:type="spellEnd"/>
      <w:r>
        <w:t xml:space="preserve"> of their </w:t>
      </w:r>
      <w:r>
        <w:rPr>
          <w:spacing w:val="-2"/>
        </w:rPr>
        <w:t>interests.</w:t>
      </w:r>
      <w:hyperlink w:anchor="_bookmark1838" w:history="1">
        <w:r>
          <w:rPr>
            <w:spacing w:val="-2"/>
            <w:vertAlign w:val="superscript"/>
          </w:rPr>
          <w:t>1605</w:t>
        </w:r>
      </w:hyperlink>
    </w:p>
    <w:p w14:paraId="3D3D420E" w14:textId="77777777" w:rsidR="00BD462C" w:rsidRDefault="00BD462C">
      <w:pPr>
        <w:pStyle w:val="BodyText"/>
        <w:spacing w:before="10"/>
        <w:rPr>
          <w:sz w:val="19"/>
        </w:rPr>
      </w:pPr>
    </w:p>
    <w:p w14:paraId="721BF517" w14:textId="77777777" w:rsidR="00BD462C" w:rsidRDefault="00033D0F">
      <w:pPr>
        <w:pStyle w:val="ListParagraph"/>
        <w:numPr>
          <w:ilvl w:val="1"/>
          <w:numId w:val="4"/>
        </w:numPr>
        <w:tabs>
          <w:tab w:val="left" w:pos="985"/>
          <w:tab w:val="left" w:pos="986"/>
        </w:tabs>
        <w:spacing w:before="0"/>
        <w:ind w:hanging="851"/>
        <w:rPr>
          <w:b/>
          <w:sz w:val="24"/>
        </w:rPr>
      </w:pPr>
      <w:bookmarkStart w:id="2140" w:name="B.7_Item_11"/>
      <w:bookmarkEnd w:id="2140"/>
      <w:r>
        <w:rPr>
          <w:b/>
          <w:sz w:val="24"/>
        </w:rPr>
        <w:t>I</w:t>
      </w:r>
      <w:r>
        <w:rPr>
          <w:b/>
          <w:sz w:val="19"/>
        </w:rPr>
        <w:t>TEM</w:t>
      </w:r>
      <w:r>
        <w:rPr>
          <w:b/>
          <w:spacing w:val="3"/>
          <w:sz w:val="19"/>
        </w:rPr>
        <w:t xml:space="preserve"> </w:t>
      </w:r>
      <w:r>
        <w:rPr>
          <w:b/>
          <w:spacing w:val="-5"/>
          <w:sz w:val="24"/>
        </w:rPr>
        <w:t>11</w:t>
      </w:r>
    </w:p>
    <w:p w14:paraId="359663AD" w14:textId="77777777" w:rsidR="00BD462C" w:rsidRDefault="00BD462C">
      <w:pPr>
        <w:pStyle w:val="BodyText"/>
        <w:spacing w:before="1"/>
        <w:rPr>
          <w:b/>
          <w:sz w:val="25"/>
        </w:rPr>
      </w:pPr>
    </w:p>
    <w:p w14:paraId="657AA21C" w14:textId="77777777" w:rsidR="00BD462C" w:rsidRDefault="00033D0F">
      <w:pPr>
        <w:spacing w:before="1" w:line="276" w:lineRule="auto"/>
        <w:ind w:left="985" w:right="915"/>
        <w:jc w:val="both"/>
      </w:pPr>
      <w:r>
        <w:t>There is no basis for suggesting that the information set out above relating to price adjustments was confidential in its entirety. Further, it is clear that the information was in fact</w:t>
      </w:r>
      <w:r>
        <w:rPr>
          <w:spacing w:val="-10"/>
        </w:rPr>
        <w:t xml:space="preserve"> </w:t>
      </w:r>
      <w:r>
        <w:t>used</w:t>
      </w:r>
      <w:r>
        <w:rPr>
          <w:spacing w:val="-4"/>
        </w:rPr>
        <w:t xml:space="preserve"> </w:t>
      </w:r>
      <w:r>
        <w:t>by</w:t>
      </w:r>
      <w:r>
        <w:rPr>
          <w:spacing w:val="-7"/>
        </w:rPr>
        <w:t xml:space="preserve"> </w:t>
      </w:r>
      <w:r>
        <w:t>MOFCOM,</w:t>
      </w:r>
      <w:r>
        <w:rPr>
          <w:spacing w:val="-5"/>
        </w:rPr>
        <w:t xml:space="preserve"> </w:t>
      </w:r>
      <w:r>
        <w:t>as</w:t>
      </w:r>
      <w:r>
        <w:rPr>
          <w:spacing w:val="-3"/>
        </w:rPr>
        <w:t xml:space="preserve"> </w:t>
      </w:r>
      <w:r>
        <w:t>it</w:t>
      </w:r>
      <w:r>
        <w:rPr>
          <w:spacing w:val="-10"/>
        </w:rPr>
        <w:t xml:space="preserve"> </w:t>
      </w:r>
      <w:r>
        <w:t>influenced</w:t>
      </w:r>
      <w:r>
        <w:rPr>
          <w:spacing w:val="-9"/>
        </w:rPr>
        <w:t xml:space="preserve"> </w:t>
      </w:r>
      <w:r>
        <w:t>which</w:t>
      </w:r>
      <w:r>
        <w:rPr>
          <w:spacing w:val="-9"/>
        </w:rPr>
        <w:t xml:space="preserve"> </w:t>
      </w:r>
      <w:r>
        <w:t>adjustments</w:t>
      </w:r>
      <w:r>
        <w:rPr>
          <w:spacing w:val="-8"/>
        </w:rPr>
        <w:t xml:space="preserve"> </w:t>
      </w:r>
      <w:r>
        <w:t>were</w:t>
      </w:r>
      <w:r>
        <w:rPr>
          <w:spacing w:val="-7"/>
        </w:rPr>
        <w:t xml:space="preserve"> </w:t>
      </w:r>
      <w:r>
        <w:t>accepted</w:t>
      </w:r>
      <w:r>
        <w:rPr>
          <w:spacing w:val="-9"/>
        </w:rPr>
        <w:t xml:space="preserve"> </w:t>
      </w:r>
      <w:r>
        <w:t>or</w:t>
      </w:r>
      <w:r>
        <w:rPr>
          <w:spacing w:val="-3"/>
        </w:rPr>
        <w:t xml:space="preserve"> </w:t>
      </w:r>
      <w:r>
        <w:t>rejected</w:t>
      </w:r>
      <w:r>
        <w:rPr>
          <w:spacing w:val="-9"/>
        </w:rPr>
        <w:t xml:space="preserve"> </w:t>
      </w:r>
      <w:r>
        <w:t>for</w:t>
      </w:r>
      <w:r>
        <w:rPr>
          <w:spacing w:val="-3"/>
        </w:rPr>
        <w:t xml:space="preserve"> </w:t>
      </w:r>
      <w:r>
        <w:t>the purposes of a fair comparison of normal value and export price. The information relating to price adjustments was therefore highly relevant for the interested parties, as it directly related</w:t>
      </w:r>
      <w:r>
        <w:rPr>
          <w:spacing w:val="-13"/>
        </w:rPr>
        <w:t xml:space="preserve"> </w:t>
      </w:r>
      <w:r>
        <w:t>to</w:t>
      </w:r>
      <w:r>
        <w:rPr>
          <w:spacing w:val="-12"/>
        </w:rPr>
        <w:t xml:space="preserve"> </w:t>
      </w:r>
      <w:r>
        <w:t>their</w:t>
      </w:r>
      <w:r>
        <w:rPr>
          <w:spacing w:val="-13"/>
        </w:rPr>
        <w:t xml:space="preserve"> </w:t>
      </w:r>
      <w:r>
        <w:t>ability</w:t>
      </w:r>
      <w:r>
        <w:rPr>
          <w:spacing w:val="-12"/>
        </w:rPr>
        <w:t xml:space="preserve"> </w:t>
      </w:r>
      <w:r>
        <w:t>to</w:t>
      </w:r>
      <w:r>
        <w:rPr>
          <w:spacing w:val="-13"/>
        </w:rPr>
        <w:t xml:space="preserve"> </w:t>
      </w:r>
      <w:r>
        <w:t>challenge</w:t>
      </w:r>
      <w:r>
        <w:rPr>
          <w:spacing w:val="-11"/>
        </w:rPr>
        <w:t xml:space="preserve"> </w:t>
      </w:r>
      <w:r>
        <w:t>or</w:t>
      </w:r>
      <w:r>
        <w:rPr>
          <w:spacing w:val="-12"/>
        </w:rPr>
        <w:t xml:space="preserve"> </w:t>
      </w:r>
      <w:r>
        <w:t>otherwise</w:t>
      </w:r>
      <w:r>
        <w:rPr>
          <w:spacing w:val="-11"/>
        </w:rPr>
        <w:t xml:space="preserve"> </w:t>
      </w:r>
      <w:r>
        <w:t>critique</w:t>
      </w:r>
      <w:r>
        <w:rPr>
          <w:spacing w:val="-11"/>
        </w:rPr>
        <w:t xml:space="preserve"> </w:t>
      </w:r>
      <w:r>
        <w:t>MOFCOM's</w:t>
      </w:r>
      <w:r>
        <w:rPr>
          <w:spacing w:val="-7"/>
        </w:rPr>
        <w:t xml:space="preserve"> </w:t>
      </w:r>
      <w:r>
        <w:t>chosen</w:t>
      </w:r>
      <w:r>
        <w:rPr>
          <w:spacing w:val="-8"/>
        </w:rPr>
        <w:t xml:space="preserve"> </w:t>
      </w:r>
      <w:r>
        <w:t>methodology</w:t>
      </w:r>
      <w:r>
        <w:rPr>
          <w:spacing w:val="-11"/>
        </w:rPr>
        <w:t xml:space="preserve"> </w:t>
      </w:r>
      <w:r>
        <w:t xml:space="preserve">for calculating the dumping margin. </w:t>
      </w:r>
      <w:r>
        <w:rPr>
          <w:u w:val="single"/>
        </w:rPr>
        <w:t>MOFCOM's failure to provide all non-confidential</w:t>
      </w:r>
      <w:r>
        <w:t xml:space="preserve"> </w:t>
      </w:r>
      <w:r>
        <w:rPr>
          <w:u w:val="single"/>
        </w:rPr>
        <w:t>information in relation to adjustments and methodology has therefore deprived the</w:t>
      </w:r>
      <w:r>
        <w:t xml:space="preserve"> </w:t>
      </w:r>
      <w:r>
        <w:rPr>
          <w:u w:val="single"/>
        </w:rPr>
        <w:t>interested parties of the opportunity to prepare presentations on the basis of this</w:t>
      </w:r>
      <w:r>
        <w:t xml:space="preserve"> </w:t>
      </w:r>
      <w:r>
        <w:rPr>
          <w:u w:val="single"/>
        </w:rPr>
        <w:t>information and to defend themselves.</w:t>
      </w:r>
      <w:hyperlink w:anchor="_bookmark1839" w:history="1">
        <w:r>
          <w:rPr>
            <w:vertAlign w:val="superscript"/>
          </w:rPr>
          <w:t>1606</w:t>
        </w:r>
      </w:hyperlink>
    </w:p>
    <w:p w14:paraId="2CAA0A34" w14:textId="77777777" w:rsidR="00BD462C" w:rsidRDefault="00BD462C">
      <w:pPr>
        <w:pStyle w:val="BodyText"/>
        <w:spacing w:before="3"/>
        <w:rPr>
          <w:sz w:val="15"/>
        </w:rPr>
      </w:pPr>
    </w:p>
    <w:p w14:paraId="1256344D" w14:textId="77777777" w:rsidR="00BD462C" w:rsidRDefault="00033D0F">
      <w:pPr>
        <w:pStyle w:val="ListParagraph"/>
        <w:numPr>
          <w:ilvl w:val="1"/>
          <w:numId w:val="4"/>
        </w:numPr>
        <w:tabs>
          <w:tab w:val="left" w:pos="985"/>
          <w:tab w:val="left" w:pos="986"/>
        </w:tabs>
        <w:spacing w:before="52"/>
        <w:ind w:hanging="851"/>
        <w:rPr>
          <w:b/>
          <w:sz w:val="24"/>
        </w:rPr>
      </w:pPr>
      <w:bookmarkStart w:id="2141" w:name="B.8_Items_12"/>
      <w:bookmarkEnd w:id="2141"/>
      <w:r>
        <w:rPr>
          <w:b/>
          <w:sz w:val="24"/>
        </w:rPr>
        <w:t>I</w:t>
      </w:r>
      <w:r>
        <w:rPr>
          <w:b/>
          <w:sz w:val="19"/>
        </w:rPr>
        <w:t>TEMS</w:t>
      </w:r>
      <w:r>
        <w:rPr>
          <w:b/>
          <w:spacing w:val="-1"/>
          <w:sz w:val="19"/>
        </w:rPr>
        <w:t xml:space="preserve"> </w:t>
      </w:r>
      <w:r>
        <w:rPr>
          <w:b/>
          <w:spacing w:val="-5"/>
          <w:sz w:val="24"/>
        </w:rPr>
        <w:t>12</w:t>
      </w:r>
    </w:p>
    <w:p w14:paraId="1021256C" w14:textId="77777777" w:rsidR="00BD462C" w:rsidRDefault="00BD462C">
      <w:pPr>
        <w:pStyle w:val="BodyText"/>
        <w:spacing w:before="1"/>
        <w:rPr>
          <w:b/>
          <w:sz w:val="25"/>
        </w:rPr>
      </w:pPr>
    </w:p>
    <w:p w14:paraId="62A56398" w14:textId="77777777" w:rsidR="00BD462C" w:rsidRDefault="00033D0F">
      <w:pPr>
        <w:spacing w:line="276" w:lineRule="auto"/>
        <w:ind w:left="985" w:right="913"/>
        <w:jc w:val="both"/>
      </w:pPr>
      <w:r>
        <w:t>In the Final Determination, MOFCOM noted that: "on the basis of considering various comparable factors affecting price, the Investigating Authority compared the normal value and export price at the ex-factory level in a fair and reasonable manner".</w:t>
      </w:r>
      <w:r>
        <w:rPr>
          <w:spacing w:val="-13"/>
        </w:rPr>
        <w:t xml:space="preserve"> </w:t>
      </w:r>
      <w:r>
        <w:t xml:space="preserve">MOFCOM did not provide the non-confidential data, calculations, </w:t>
      </w:r>
      <w:proofErr w:type="gramStart"/>
      <w:r>
        <w:t>formula</w:t>
      </w:r>
      <w:proofErr w:type="gramEnd"/>
      <w:r>
        <w:t xml:space="preserve"> or its methodology. </w:t>
      </w:r>
      <w:r>
        <w:rPr>
          <w:u w:val="single"/>
        </w:rPr>
        <w:t>MOFCOM also</w:t>
      </w:r>
      <w:r>
        <w:t xml:space="preserve"> </w:t>
      </w:r>
      <w:r>
        <w:rPr>
          <w:u w:val="single"/>
        </w:rPr>
        <w:t>did not inform the interested parties what the "various comparable factors affecting price"</w:t>
      </w:r>
      <w:r>
        <w:t xml:space="preserve"> </w:t>
      </w:r>
      <w:r>
        <w:rPr>
          <w:u w:val="single"/>
        </w:rPr>
        <w:t>referenced in the Final Determination were, nor did it sufficiently explain how the</w:t>
      </w:r>
      <w:r>
        <w:t xml:space="preserve"> </w:t>
      </w:r>
      <w:r>
        <w:rPr>
          <w:u w:val="single"/>
        </w:rPr>
        <w:t>comparison was made in a "fair and reasonable" manner.</w:t>
      </w:r>
      <w:hyperlink w:anchor="_bookmark1840" w:history="1">
        <w:r>
          <w:rPr>
            <w:vertAlign w:val="superscript"/>
          </w:rPr>
          <w:t>1607</w:t>
        </w:r>
      </w:hyperlink>
    </w:p>
    <w:p w14:paraId="7DEAA35E" w14:textId="77777777" w:rsidR="00BD462C" w:rsidRDefault="00BD462C">
      <w:pPr>
        <w:pStyle w:val="BodyText"/>
        <w:spacing w:before="4"/>
        <w:rPr>
          <w:sz w:val="15"/>
        </w:rPr>
      </w:pPr>
    </w:p>
    <w:p w14:paraId="2D8A5598" w14:textId="77777777" w:rsidR="00BD462C" w:rsidRDefault="00033D0F">
      <w:pPr>
        <w:pStyle w:val="ListParagraph"/>
        <w:numPr>
          <w:ilvl w:val="1"/>
          <w:numId w:val="4"/>
        </w:numPr>
        <w:tabs>
          <w:tab w:val="left" w:pos="985"/>
          <w:tab w:val="left" w:pos="986"/>
        </w:tabs>
        <w:spacing w:before="52"/>
        <w:ind w:hanging="851"/>
        <w:rPr>
          <w:b/>
          <w:sz w:val="24"/>
        </w:rPr>
      </w:pPr>
      <w:bookmarkStart w:id="2142" w:name="B.9_Item_13"/>
      <w:bookmarkEnd w:id="2142"/>
      <w:r>
        <w:rPr>
          <w:b/>
          <w:sz w:val="24"/>
        </w:rPr>
        <w:t>I</w:t>
      </w:r>
      <w:r>
        <w:rPr>
          <w:b/>
          <w:sz w:val="19"/>
        </w:rPr>
        <w:t>TEM</w:t>
      </w:r>
      <w:r>
        <w:rPr>
          <w:b/>
          <w:spacing w:val="3"/>
          <w:sz w:val="19"/>
        </w:rPr>
        <w:t xml:space="preserve"> </w:t>
      </w:r>
      <w:r>
        <w:rPr>
          <w:b/>
          <w:spacing w:val="-5"/>
          <w:sz w:val="24"/>
        </w:rPr>
        <w:t>13</w:t>
      </w:r>
    </w:p>
    <w:p w14:paraId="2F027938" w14:textId="77777777" w:rsidR="00BD462C" w:rsidRDefault="00BD462C">
      <w:pPr>
        <w:pStyle w:val="BodyText"/>
        <w:spacing w:before="1"/>
        <w:rPr>
          <w:b/>
          <w:sz w:val="25"/>
        </w:rPr>
      </w:pPr>
    </w:p>
    <w:p w14:paraId="0CF11A63" w14:textId="77777777" w:rsidR="00BD462C" w:rsidRDefault="00033D0F">
      <w:pPr>
        <w:spacing w:line="276" w:lineRule="auto"/>
        <w:ind w:left="985" w:right="912"/>
        <w:jc w:val="both"/>
      </w:pPr>
      <w:r>
        <w:rPr>
          <w:u w:val="single"/>
        </w:rPr>
        <w:t>MOFCOM failed to provide to interested parties any indication of how it accounted for</w:t>
      </w:r>
      <w:r>
        <w:t xml:space="preserve"> </w:t>
      </w:r>
      <w:r>
        <w:rPr>
          <w:u w:val="single"/>
        </w:rPr>
        <w:t>differences</w:t>
      </w:r>
      <w:r>
        <w:rPr>
          <w:spacing w:val="-13"/>
          <w:u w:val="single"/>
        </w:rPr>
        <w:t xml:space="preserve"> </w:t>
      </w:r>
      <w:r>
        <w:rPr>
          <w:u w:val="single"/>
        </w:rPr>
        <w:t>in</w:t>
      </w:r>
      <w:r>
        <w:rPr>
          <w:spacing w:val="-12"/>
          <w:u w:val="single"/>
        </w:rPr>
        <w:t xml:space="preserve"> </w:t>
      </w:r>
      <w:r>
        <w:rPr>
          <w:u w:val="single"/>
        </w:rPr>
        <w:t>comparability</w:t>
      </w:r>
      <w:r>
        <w:rPr>
          <w:spacing w:val="-13"/>
          <w:u w:val="single"/>
        </w:rPr>
        <w:t xml:space="preserve"> </w:t>
      </w:r>
      <w:r>
        <w:rPr>
          <w:u w:val="single"/>
        </w:rPr>
        <w:t>for</w:t>
      </w:r>
      <w:r>
        <w:rPr>
          <w:spacing w:val="-11"/>
          <w:u w:val="single"/>
        </w:rPr>
        <w:t xml:space="preserve"> </w:t>
      </w:r>
      <w:r>
        <w:rPr>
          <w:u w:val="single"/>
        </w:rPr>
        <w:t>wine</w:t>
      </w:r>
      <w:r>
        <w:rPr>
          <w:spacing w:val="-11"/>
          <w:u w:val="single"/>
        </w:rPr>
        <w:t xml:space="preserve"> </w:t>
      </w:r>
      <w:r>
        <w:rPr>
          <w:u w:val="single"/>
        </w:rPr>
        <w:t>of</w:t>
      </w:r>
      <w:r>
        <w:rPr>
          <w:spacing w:val="-12"/>
          <w:u w:val="single"/>
        </w:rPr>
        <w:t xml:space="preserve"> </w:t>
      </w:r>
      <w:r>
        <w:rPr>
          <w:u w:val="single"/>
        </w:rPr>
        <w:t>different</w:t>
      </w:r>
      <w:r>
        <w:rPr>
          <w:spacing w:val="-13"/>
          <w:u w:val="single"/>
        </w:rPr>
        <w:t xml:space="preserve"> </w:t>
      </w:r>
      <w:r>
        <w:rPr>
          <w:u w:val="single"/>
        </w:rPr>
        <w:t>qualities</w:t>
      </w:r>
      <w:r>
        <w:t>.</w:t>
      </w:r>
      <w:r>
        <w:rPr>
          <w:spacing w:val="-10"/>
        </w:rPr>
        <w:t xml:space="preserve"> </w:t>
      </w:r>
      <w:r>
        <w:t>The</w:t>
      </w:r>
      <w:r>
        <w:rPr>
          <w:spacing w:val="-11"/>
        </w:rPr>
        <w:t xml:space="preserve"> </w:t>
      </w:r>
      <w:r>
        <w:t>Australian</w:t>
      </w:r>
      <w:r>
        <w:rPr>
          <w:spacing w:val="-13"/>
        </w:rPr>
        <w:t xml:space="preserve"> </w:t>
      </w:r>
      <w:r>
        <w:t>wine</w:t>
      </w:r>
      <w:r>
        <w:rPr>
          <w:spacing w:val="-11"/>
        </w:rPr>
        <w:t xml:space="preserve"> </w:t>
      </w:r>
      <w:r>
        <w:t>exporters</w:t>
      </w:r>
      <w:r>
        <w:rPr>
          <w:spacing w:val="-12"/>
        </w:rPr>
        <w:t xml:space="preserve"> </w:t>
      </w:r>
      <w:r>
        <w:t>and producers</w:t>
      </w:r>
      <w:r>
        <w:rPr>
          <w:spacing w:val="-3"/>
        </w:rPr>
        <w:t xml:space="preserve"> </w:t>
      </w:r>
      <w:r>
        <w:t>exported</w:t>
      </w:r>
      <w:r>
        <w:rPr>
          <w:spacing w:val="-4"/>
        </w:rPr>
        <w:t xml:space="preserve"> </w:t>
      </w:r>
      <w:r>
        <w:t>and sold</w:t>
      </w:r>
      <w:r>
        <w:rPr>
          <w:spacing w:val="-4"/>
        </w:rPr>
        <w:t xml:space="preserve"> </w:t>
      </w:r>
      <w:r>
        <w:t>domestically</w:t>
      </w:r>
      <w:r>
        <w:rPr>
          <w:spacing w:val="-2"/>
        </w:rPr>
        <w:t xml:space="preserve"> </w:t>
      </w:r>
      <w:r>
        <w:t>a</w:t>
      </w:r>
      <w:r>
        <w:rPr>
          <w:spacing w:val="-3"/>
        </w:rPr>
        <w:t xml:space="preserve"> </w:t>
      </w:r>
      <w:r>
        <w:t>range</w:t>
      </w:r>
      <w:r>
        <w:rPr>
          <w:spacing w:val="-3"/>
        </w:rPr>
        <w:t xml:space="preserve"> </w:t>
      </w:r>
      <w:r>
        <w:t>of</w:t>
      </w:r>
      <w:r>
        <w:rPr>
          <w:spacing w:val="-3"/>
        </w:rPr>
        <w:t xml:space="preserve"> </w:t>
      </w:r>
      <w:r>
        <w:t>wine</w:t>
      </w:r>
      <w:r>
        <w:rPr>
          <w:spacing w:val="-3"/>
        </w:rPr>
        <w:t xml:space="preserve"> </w:t>
      </w:r>
      <w:r>
        <w:t>during</w:t>
      </w:r>
      <w:r>
        <w:rPr>
          <w:spacing w:val="-2"/>
        </w:rPr>
        <w:t xml:space="preserve"> </w:t>
      </w:r>
      <w:r>
        <w:t>the</w:t>
      </w:r>
      <w:r>
        <w:rPr>
          <w:spacing w:val="-3"/>
        </w:rPr>
        <w:t xml:space="preserve"> </w:t>
      </w:r>
      <w:r>
        <w:t>period</w:t>
      </w:r>
      <w:r>
        <w:rPr>
          <w:spacing w:val="-4"/>
        </w:rPr>
        <w:t xml:space="preserve"> </w:t>
      </w:r>
      <w:r>
        <w:t>of</w:t>
      </w:r>
      <w:r>
        <w:rPr>
          <w:spacing w:val="-3"/>
        </w:rPr>
        <w:t xml:space="preserve"> </w:t>
      </w:r>
      <w:r>
        <w:t>investigation that covered</w:t>
      </w:r>
      <w:r>
        <w:rPr>
          <w:spacing w:val="-3"/>
        </w:rPr>
        <w:t xml:space="preserve"> </w:t>
      </w:r>
      <w:r>
        <w:t>different price</w:t>
      </w:r>
      <w:r>
        <w:rPr>
          <w:spacing w:val="-2"/>
        </w:rPr>
        <w:t xml:space="preserve"> </w:t>
      </w:r>
      <w:r>
        <w:t>points. Accordingly, MOFCOM</w:t>
      </w:r>
      <w:r>
        <w:rPr>
          <w:spacing w:val="-4"/>
        </w:rPr>
        <w:t xml:space="preserve"> </w:t>
      </w:r>
      <w:r>
        <w:t>was obligated</w:t>
      </w:r>
      <w:r>
        <w:rPr>
          <w:spacing w:val="-3"/>
        </w:rPr>
        <w:t xml:space="preserve"> </w:t>
      </w:r>
      <w:r>
        <w:t>to provide</w:t>
      </w:r>
      <w:r>
        <w:rPr>
          <w:spacing w:val="-2"/>
        </w:rPr>
        <w:t xml:space="preserve"> </w:t>
      </w:r>
      <w:r>
        <w:t xml:space="preserve">all non- confidential information that was relevant to how it accounted for different high, middle, and low-quality wines when conducting a fair comparison. It failed to do so. </w:t>
      </w:r>
      <w:r>
        <w:rPr>
          <w:u w:val="single"/>
        </w:rPr>
        <w:t>MOFCOM also</w:t>
      </w:r>
    </w:p>
    <w:p w14:paraId="188DEE8E" w14:textId="77777777" w:rsidR="00BD462C" w:rsidRDefault="00BD462C">
      <w:pPr>
        <w:pStyle w:val="BodyText"/>
        <w:rPr>
          <w:sz w:val="20"/>
        </w:rPr>
      </w:pPr>
    </w:p>
    <w:p w14:paraId="180585F8" w14:textId="77777777" w:rsidR="00BD462C" w:rsidRDefault="00BD462C">
      <w:pPr>
        <w:pStyle w:val="BodyText"/>
        <w:rPr>
          <w:sz w:val="20"/>
        </w:rPr>
      </w:pPr>
    </w:p>
    <w:p w14:paraId="26F14067" w14:textId="77777777" w:rsidR="00BD462C" w:rsidRDefault="00BD462C">
      <w:pPr>
        <w:pStyle w:val="BodyText"/>
        <w:rPr>
          <w:sz w:val="20"/>
        </w:rPr>
      </w:pPr>
    </w:p>
    <w:p w14:paraId="104089EF" w14:textId="078B0F06" w:rsidR="00BD462C" w:rsidRDefault="009A6330">
      <w:pPr>
        <w:pStyle w:val="BodyText"/>
        <w:spacing w:before="12"/>
        <w:rPr>
          <w:sz w:val="14"/>
        </w:rPr>
      </w:pPr>
      <w:r>
        <w:rPr>
          <w:noProof/>
        </w:rPr>
        <mc:AlternateContent>
          <mc:Choice Requires="wps">
            <w:drawing>
              <wp:anchor distT="0" distB="0" distL="0" distR="0" simplePos="0" relativeHeight="488008192" behindDoc="1" locked="0" layoutInCell="1" allowOverlap="1" wp14:anchorId="7CCC19EA" wp14:editId="75CBF595">
                <wp:simplePos x="0" y="0"/>
                <wp:positionH relativeFrom="page">
                  <wp:posOffset>812800</wp:posOffset>
                </wp:positionH>
                <wp:positionV relativeFrom="paragraph">
                  <wp:posOffset>119429</wp:posOffset>
                </wp:positionV>
                <wp:extent cx="1828800" cy="8890"/>
                <wp:effectExtent l="0" t="0" r="0" b="0"/>
                <wp:wrapTopAndBottom/>
                <wp:docPr id="1422" name="docshape7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34CEF2" id="docshape712" o:spid="_x0000_s1026" alt="&quot;&quot;" style="position:absolute;margin-left:64pt;margin-top:9.4pt;width:2in;height:.7pt;z-index:-15308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" fillcolor="black" stroked="f">
                <w10:wrap type="topAndBottom" anchorx="page"/>
              </v:rect>
            </w:pict>
          </mc:Fallback>
        </mc:AlternateContent>
      </w:r>
    </w:p>
    <w:p w14:paraId="16F8597D" w14:textId="77777777" w:rsidR="00BD462C" w:rsidRDefault="00033D0F">
      <w:pPr>
        <w:spacing w:before="112"/>
        <w:ind w:left="135"/>
        <w:rPr>
          <w:sz w:val="18"/>
        </w:rPr>
      </w:pPr>
      <w:bookmarkStart w:id="2143" w:name="_bookmark1838"/>
      <w:bookmarkEnd w:id="2143"/>
      <w:r>
        <w:rPr>
          <w:position w:val="5"/>
          <w:sz w:val="12"/>
        </w:rPr>
        <w:t>1605</w:t>
      </w:r>
      <w:r>
        <w:rPr>
          <w:spacing w:val="12"/>
          <w:position w:val="5"/>
          <w:sz w:val="12"/>
        </w:rPr>
        <w:t xml:space="preserve"> </w:t>
      </w:r>
      <w:r>
        <w:rPr>
          <w:sz w:val="18"/>
        </w:rPr>
        <w:t>Australia's</w:t>
      </w:r>
      <w:r>
        <w:rPr>
          <w:spacing w:val="-5"/>
          <w:sz w:val="18"/>
        </w:rPr>
        <w:t xml:space="preserve"> </w:t>
      </w:r>
      <w:r>
        <w:rPr>
          <w:sz w:val="18"/>
        </w:rPr>
        <w:t>first</w:t>
      </w:r>
      <w:r>
        <w:rPr>
          <w:spacing w:val="-5"/>
          <w:sz w:val="18"/>
        </w:rPr>
        <w:t xml:space="preserve"> </w:t>
      </w:r>
      <w:r>
        <w:rPr>
          <w:sz w:val="18"/>
        </w:rPr>
        <w:t>written</w:t>
      </w:r>
      <w:r>
        <w:rPr>
          <w:spacing w:val="-2"/>
          <w:sz w:val="18"/>
        </w:rPr>
        <w:t xml:space="preserve"> </w:t>
      </w:r>
      <w:r>
        <w:rPr>
          <w:sz w:val="18"/>
        </w:rPr>
        <w:t>submission, para.</w:t>
      </w:r>
      <w:r>
        <w:rPr>
          <w:spacing w:val="-5"/>
          <w:sz w:val="18"/>
        </w:rPr>
        <w:t xml:space="preserve"> </w:t>
      </w:r>
      <w:r>
        <w:rPr>
          <w:sz w:val="18"/>
        </w:rPr>
        <w:t>987</w:t>
      </w:r>
      <w:r>
        <w:rPr>
          <w:spacing w:val="-7"/>
          <w:sz w:val="18"/>
        </w:rPr>
        <w:t xml:space="preserve"> </w:t>
      </w:r>
      <w:r>
        <w:rPr>
          <w:sz w:val="18"/>
        </w:rPr>
        <w:t>(footnotes</w:t>
      </w:r>
      <w:r>
        <w:rPr>
          <w:spacing w:val="-6"/>
          <w:sz w:val="18"/>
        </w:rPr>
        <w:t xml:space="preserve"> </w:t>
      </w:r>
      <w:r>
        <w:rPr>
          <w:spacing w:val="-2"/>
          <w:sz w:val="18"/>
        </w:rPr>
        <w:t>omitted).</w:t>
      </w:r>
    </w:p>
    <w:p w14:paraId="508DC4B6" w14:textId="77777777" w:rsidR="00BD462C" w:rsidRDefault="00033D0F">
      <w:pPr>
        <w:spacing w:before="1"/>
        <w:ind w:left="135"/>
        <w:rPr>
          <w:sz w:val="18"/>
        </w:rPr>
      </w:pPr>
      <w:bookmarkStart w:id="2144" w:name="_bookmark1839"/>
      <w:bookmarkEnd w:id="2144"/>
      <w:r>
        <w:rPr>
          <w:position w:val="5"/>
          <w:sz w:val="12"/>
        </w:rPr>
        <w:t>1606</w:t>
      </w:r>
      <w:r>
        <w:rPr>
          <w:spacing w:val="12"/>
          <w:position w:val="5"/>
          <w:sz w:val="12"/>
        </w:rPr>
        <w:t xml:space="preserve"> </w:t>
      </w:r>
      <w:r>
        <w:rPr>
          <w:sz w:val="18"/>
        </w:rPr>
        <w:t>Australia's</w:t>
      </w:r>
      <w:r>
        <w:rPr>
          <w:spacing w:val="-6"/>
          <w:sz w:val="18"/>
        </w:rPr>
        <w:t xml:space="preserve"> </w:t>
      </w:r>
      <w:r>
        <w:rPr>
          <w:sz w:val="18"/>
        </w:rPr>
        <w:t>first</w:t>
      </w:r>
      <w:r>
        <w:rPr>
          <w:spacing w:val="-5"/>
          <w:sz w:val="18"/>
        </w:rPr>
        <w:t xml:space="preserve"> </w:t>
      </w:r>
      <w:r>
        <w:rPr>
          <w:sz w:val="18"/>
        </w:rPr>
        <w:t>written</w:t>
      </w:r>
      <w:r>
        <w:rPr>
          <w:spacing w:val="-2"/>
          <w:sz w:val="18"/>
        </w:rPr>
        <w:t xml:space="preserve"> </w:t>
      </w:r>
      <w:r>
        <w:rPr>
          <w:sz w:val="18"/>
        </w:rPr>
        <w:t>submission, para.</w:t>
      </w:r>
      <w:r>
        <w:rPr>
          <w:spacing w:val="-5"/>
          <w:sz w:val="18"/>
        </w:rPr>
        <w:t xml:space="preserve"> </w:t>
      </w:r>
      <w:r>
        <w:rPr>
          <w:spacing w:val="-4"/>
          <w:sz w:val="18"/>
        </w:rPr>
        <w:t>988.</w:t>
      </w:r>
    </w:p>
    <w:p w14:paraId="69C04BB6" w14:textId="77777777" w:rsidR="00BD462C" w:rsidRDefault="00033D0F">
      <w:pPr>
        <w:spacing w:before="1"/>
        <w:ind w:left="135"/>
        <w:rPr>
          <w:sz w:val="18"/>
        </w:rPr>
      </w:pPr>
      <w:bookmarkStart w:id="2145" w:name="_bookmark1840"/>
      <w:bookmarkEnd w:id="2145"/>
      <w:r>
        <w:rPr>
          <w:position w:val="5"/>
          <w:sz w:val="12"/>
        </w:rPr>
        <w:t>1607</w:t>
      </w:r>
      <w:r>
        <w:rPr>
          <w:spacing w:val="12"/>
          <w:position w:val="5"/>
          <w:sz w:val="12"/>
        </w:rPr>
        <w:t xml:space="preserve"> </w:t>
      </w:r>
      <w:r>
        <w:rPr>
          <w:sz w:val="18"/>
        </w:rPr>
        <w:t>Australia's</w:t>
      </w:r>
      <w:r>
        <w:rPr>
          <w:spacing w:val="-5"/>
          <w:sz w:val="18"/>
        </w:rPr>
        <w:t xml:space="preserve"> </w:t>
      </w:r>
      <w:r>
        <w:rPr>
          <w:sz w:val="18"/>
        </w:rPr>
        <w:t>first</w:t>
      </w:r>
      <w:r>
        <w:rPr>
          <w:spacing w:val="-5"/>
          <w:sz w:val="18"/>
        </w:rPr>
        <w:t xml:space="preserve"> </w:t>
      </w:r>
      <w:r>
        <w:rPr>
          <w:sz w:val="18"/>
        </w:rPr>
        <w:t>written</w:t>
      </w:r>
      <w:r>
        <w:rPr>
          <w:spacing w:val="-2"/>
          <w:sz w:val="18"/>
        </w:rPr>
        <w:t xml:space="preserve"> </w:t>
      </w:r>
      <w:r>
        <w:rPr>
          <w:sz w:val="18"/>
        </w:rPr>
        <w:t>submission, para.</w:t>
      </w:r>
      <w:r>
        <w:rPr>
          <w:spacing w:val="-5"/>
          <w:sz w:val="18"/>
        </w:rPr>
        <w:t xml:space="preserve"> </w:t>
      </w:r>
      <w:r>
        <w:rPr>
          <w:sz w:val="18"/>
        </w:rPr>
        <w:t>990</w:t>
      </w:r>
      <w:r>
        <w:rPr>
          <w:spacing w:val="-7"/>
          <w:sz w:val="18"/>
        </w:rPr>
        <w:t xml:space="preserve"> </w:t>
      </w:r>
      <w:r>
        <w:rPr>
          <w:sz w:val="18"/>
        </w:rPr>
        <w:t>(footnotes</w:t>
      </w:r>
      <w:r>
        <w:rPr>
          <w:spacing w:val="-6"/>
          <w:sz w:val="18"/>
        </w:rPr>
        <w:t xml:space="preserve"> </w:t>
      </w:r>
      <w:r>
        <w:rPr>
          <w:spacing w:val="-2"/>
          <w:sz w:val="18"/>
        </w:rPr>
        <w:t>omitted).</w:t>
      </w:r>
    </w:p>
    <w:p w14:paraId="11257DE8" w14:textId="77777777" w:rsidR="00BD462C" w:rsidRDefault="00BD462C">
      <w:pPr>
        <w:rPr>
          <w:sz w:val="18"/>
        </w:rPr>
        <w:sectPr w:rsidR="00BD462C">
          <w:headerReference w:type="default" r:id="rId33"/>
          <w:footerReference w:type="default" r:id="rId34"/>
          <w:pgSz w:w="11910" w:h="16840"/>
          <w:pgMar w:top="860" w:right="500" w:bottom="780" w:left="1280" w:header="566" w:footer="590" w:gutter="0"/>
          <w:cols w:space="720"/>
        </w:sectPr>
      </w:pPr>
    </w:p>
    <w:p w14:paraId="665BD943"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6CAAD114"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7023E220"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2BA6DB30" w14:textId="77777777" w:rsidR="00BD462C" w:rsidRDefault="00033D0F">
      <w:pPr>
        <w:spacing w:before="1" w:line="273" w:lineRule="auto"/>
        <w:ind w:left="985" w:right="923"/>
      </w:pPr>
      <w:r>
        <w:rPr>
          <w:u w:val="single"/>
        </w:rPr>
        <w:t>failed</w:t>
      </w:r>
      <w:r>
        <w:rPr>
          <w:spacing w:val="-10"/>
          <w:u w:val="single"/>
        </w:rPr>
        <w:t xml:space="preserve"> </w:t>
      </w:r>
      <w:r>
        <w:rPr>
          <w:u w:val="single"/>
        </w:rPr>
        <w:t>to</w:t>
      </w:r>
      <w:r>
        <w:rPr>
          <w:spacing w:val="-10"/>
          <w:u w:val="single"/>
        </w:rPr>
        <w:t xml:space="preserve"> </w:t>
      </w:r>
      <w:r>
        <w:rPr>
          <w:u w:val="single"/>
        </w:rPr>
        <w:t>provide</w:t>
      </w:r>
      <w:r>
        <w:rPr>
          <w:spacing w:val="-8"/>
          <w:u w:val="single"/>
        </w:rPr>
        <w:t xml:space="preserve"> </w:t>
      </w:r>
      <w:r>
        <w:rPr>
          <w:u w:val="single"/>
        </w:rPr>
        <w:t>any</w:t>
      </w:r>
      <w:r>
        <w:rPr>
          <w:spacing w:val="-8"/>
          <w:u w:val="single"/>
        </w:rPr>
        <w:t xml:space="preserve"> </w:t>
      </w:r>
      <w:r>
        <w:rPr>
          <w:u w:val="single"/>
        </w:rPr>
        <w:t>information</w:t>
      </w:r>
      <w:r>
        <w:rPr>
          <w:spacing w:val="-10"/>
          <w:u w:val="single"/>
        </w:rPr>
        <w:t xml:space="preserve"> </w:t>
      </w:r>
      <w:r>
        <w:rPr>
          <w:u w:val="single"/>
        </w:rPr>
        <w:t>on</w:t>
      </w:r>
      <w:r>
        <w:rPr>
          <w:spacing w:val="-10"/>
          <w:u w:val="single"/>
        </w:rPr>
        <w:t xml:space="preserve"> </w:t>
      </w:r>
      <w:r>
        <w:rPr>
          <w:u w:val="single"/>
        </w:rPr>
        <w:t>its</w:t>
      </w:r>
      <w:r>
        <w:rPr>
          <w:spacing w:val="-9"/>
          <w:u w:val="single"/>
        </w:rPr>
        <w:t xml:space="preserve"> </w:t>
      </w:r>
      <w:r>
        <w:rPr>
          <w:u w:val="single"/>
        </w:rPr>
        <w:t>consideration</w:t>
      </w:r>
      <w:r>
        <w:rPr>
          <w:spacing w:val="-10"/>
          <w:u w:val="single"/>
        </w:rPr>
        <w:t xml:space="preserve"> </w:t>
      </w:r>
      <w:r>
        <w:rPr>
          <w:u w:val="single"/>
        </w:rPr>
        <w:t>of</w:t>
      </w:r>
      <w:r>
        <w:rPr>
          <w:spacing w:val="-9"/>
          <w:u w:val="single"/>
        </w:rPr>
        <w:t xml:space="preserve"> </w:t>
      </w:r>
      <w:r>
        <w:rPr>
          <w:u w:val="single"/>
        </w:rPr>
        <w:t>the</w:t>
      </w:r>
      <w:r>
        <w:rPr>
          <w:spacing w:val="-8"/>
          <w:u w:val="single"/>
        </w:rPr>
        <w:t xml:space="preserve"> </w:t>
      </w:r>
      <w:r>
        <w:rPr>
          <w:u w:val="single"/>
        </w:rPr>
        <w:t>time</w:t>
      </w:r>
      <w:r>
        <w:rPr>
          <w:spacing w:val="-8"/>
          <w:u w:val="single"/>
        </w:rPr>
        <w:t xml:space="preserve"> </w:t>
      </w:r>
      <w:r>
        <w:rPr>
          <w:u w:val="single"/>
        </w:rPr>
        <w:t>of</w:t>
      </w:r>
      <w:r>
        <w:rPr>
          <w:spacing w:val="-9"/>
          <w:u w:val="single"/>
        </w:rPr>
        <w:t xml:space="preserve"> </w:t>
      </w:r>
      <w:r>
        <w:rPr>
          <w:u w:val="single"/>
        </w:rPr>
        <w:t>sales</w:t>
      </w:r>
      <w:r>
        <w:rPr>
          <w:spacing w:val="-13"/>
          <w:u w:val="single"/>
        </w:rPr>
        <w:t xml:space="preserve"> </w:t>
      </w:r>
      <w:r>
        <w:rPr>
          <w:u w:val="single"/>
        </w:rPr>
        <w:t>when</w:t>
      </w:r>
      <w:r>
        <w:rPr>
          <w:spacing w:val="-9"/>
          <w:u w:val="single"/>
        </w:rPr>
        <w:t xml:space="preserve"> </w:t>
      </w:r>
      <w:r>
        <w:rPr>
          <w:u w:val="single"/>
        </w:rPr>
        <w:t>ensuring</w:t>
      </w:r>
      <w:r>
        <w:rPr>
          <w:spacing w:val="-7"/>
          <w:u w:val="single"/>
        </w:rPr>
        <w:t xml:space="preserve"> </w:t>
      </w:r>
      <w:r>
        <w:rPr>
          <w:u w:val="single"/>
        </w:rPr>
        <w:t>that</w:t>
      </w:r>
      <w:r>
        <w:t xml:space="preserve"> </w:t>
      </w:r>
      <w:r>
        <w:rPr>
          <w:u w:val="single"/>
        </w:rPr>
        <w:t>the sales were made "at nearly as possible the same time" pursuant to Article 2.4.</w:t>
      </w:r>
      <w:hyperlink w:anchor="_bookmark1841" w:history="1">
        <w:r>
          <w:rPr>
            <w:vertAlign w:val="superscript"/>
          </w:rPr>
          <w:t>1608</w:t>
        </w:r>
      </w:hyperlink>
    </w:p>
    <w:p w14:paraId="3B339A21" w14:textId="77777777" w:rsidR="00BD462C" w:rsidRDefault="00BD462C">
      <w:pPr>
        <w:pStyle w:val="BodyText"/>
        <w:rPr>
          <w:sz w:val="16"/>
        </w:rPr>
      </w:pPr>
    </w:p>
    <w:p w14:paraId="45ACA7B9" w14:textId="77777777" w:rsidR="00BD462C" w:rsidRDefault="00033D0F">
      <w:pPr>
        <w:pStyle w:val="ListParagraph"/>
        <w:numPr>
          <w:ilvl w:val="1"/>
          <w:numId w:val="4"/>
        </w:numPr>
        <w:tabs>
          <w:tab w:val="left" w:pos="985"/>
          <w:tab w:val="left" w:pos="986"/>
        </w:tabs>
        <w:spacing w:before="52"/>
        <w:ind w:hanging="851"/>
        <w:rPr>
          <w:b/>
          <w:sz w:val="24"/>
        </w:rPr>
      </w:pPr>
      <w:bookmarkStart w:id="2146" w:name="B.10_Item_14"/>
      <w:bookmarkEnd w:id="2146"/>
      <w:r>
        <w:rPr>
          <w:b/>
          <w:sz w:val="24"/>
        </w:rPr>
        <w:t>I</w:t>
      </w:r>
      <w:r>
        <w:rPr>
          <w:b/>
          <w:sz w:val="19"/>
        </w:rPr>
        <w:t>TEM</w:t>
      </w:r>
      <w:r>
        <w:rPr>
          <w:b/>
          <w:spacing w:val="3"/>
          <w:sz w:val="19"/>
        </w:rPr>
        <w:t xml:space="preserve"> </w:t>
      </w:r>
      <w:r>
        <w:rPr>
          <w:b/>
          <w:spacing w:val="-5"/>
          <w:sz w:val="24"/>
        </w:rPr>
        <w:t>14</w:t>
      </w:r>
    </w:p>
    <w:p w14:paraId="0BAB45D8" w14:textId="77777777" w:rsidR="00BD462C" w:rsidRDefault="00BD462C">
      <w:pPr>
        <w:pStyle w:val="BodyText"/>
        <w:spacing w:before="2"/>
        <w:rPr>
          <w:b/>
          <w:sz w:val="25"/>
        </w:rPr>
      </w:pPr>
    </w:p>
    <w:p w14:paraId="44A31695" w14:textId="77777777" w:rsidR="00BD462C" w:rsidRDefault="00033D0F">
      <w:pPr>
        <w:spacing w:line="276" w:lineRule="auto"/>
        <w:ind w:left="985" w:right="912"/>
        <w:jc w:val="both"/>
      </w:pPr>
      <w:r>
        <w:rPr>
          <w:u w:val="single"/>
        </w:rPr>
        <w:t>MOFCOM failed to provide the interested parties with all non-confidential information in</w:t>
      </w:r>
      <w:r>
        <w:t xml:space="preserve"> </w:t>
      </w:r>
      <w:r>
        <w:rPr>
          <w:u w:val="single"/>
        </w:rPr>
        <w:t>relation to the calculation of dumping margins, including (i) information that supported</w:t>
      </w:r>
      <w:r>
        <w:t xml:space="preserve"> </w:t>
      </w:r>
      <w:r>
        <w:rPr>
          <w:u w:val="single"/>
        </w:rPr>
        <w:t>MOFCOM's</w:t>
      </w:r>
      <w:r>
        <w:rPr>
          <w:spacing w:val="-13"/>
          <w:u w:val="single"/>
        </w:rPr>
        <w:t xml:space="preserve"> </w:t>
      </w:r>
      <w:r>
        <w:rPr>
          <w:u w:val="single"/>
        </w:rPr>
        <w:t>method</w:t>
      </w:r>
      <w:r>
        <w:rPr>
          <w:spacing w:val="-8"/>
          <w:u w:val="single"/>
        </w:rPr>
        <w:t xml:space="preserve"> </w:t>
      </w:r>
      <w:r>
        <w:rPr>
          <w:u w:val="single"/>
        </w:rPr>
        <w:t>in</w:t>
      </w:r>
      <w:r>
        <w:rPr>
          <w:spacing w:val="-8"/>
          <w:u w:val="single"/>
        </w:rPr>
        <w:t xml:space="preserve"> </w:t>
      </w:r>
      <w:r>
        <w:rPr>
          <w:u w:val="single"/>
        </w:rPr>
        <w:t>calculating</w:t>
      </w:r>
      <w:r>
        <w:rPr>
          <w:spacing w:val="-10"/>
          <w:u w:val="single"/>
        </w:rPr>
        <w:t xml:space="preserve"> </w:t>
      </w:r>
      <w:r>
        <w:rPr>
          <w:u w:val="single"/>
        </w:rPr>
        <w:t>the</w:t>
      </w:r>
      <w:r>
        <w:rPr>
          <w:spacing w:val="-6"/>
          <w:u w:val="single"/>
        </w:rPr>
        <w:t xml:space="preserve"> </w:t>
      </w:r>
      <w:r>
        <w:rPr>
          <w:u w:val="single"/>
        </w:rPr>
        <w:t>dumping</w:t>
      </w:r>
      <w:r>
        <w:rPr>
          <w:spacing w:val="-10"/>
          <w:u w:val="single"/>
        </w:rPr>
        <w:t xml:space="preserve"> </w:t>
      </w:r>
      <w:r>
        <w:rPr>
          <w:u w:val="single"/>
        </w:rPr>
        <w:t>margin,</w:t>
      </w:r>
      <w:r>
        <w:rPr>
          <w:spacing w:val="-13"/>
          <w:u w:val="single"/>
        </w:rPr>
        <w:t xml:space="preserve"> </w:t>
      </w:r>
      <w:r>
        <w:rPr>
          <w:u w:val="single"/>
        </w:rPr>
        <w:t>and</w:t>
      </w:r>
      <w:r>
        <w:rPr>
          <w:spacing w:val="-8"/>
          <w:u w:val="single"/>
        </w:rPr>
        <w:t xml:space="preserve"> </w:t>
      </w:r>
      <w:r>
        <w:rPr>
          <w:u w:val="single"/>
        </w:rPr>
        <w:t>(ii)</w:t>
      </w:r>
      <w:r>
        <w:rPr>
          <w:spacing w:val="-12"/>
          <w:u w:val="single"/>
        </w:rPr>
        <w:t xml:space="preserve"> </w:t>
      </w:r>
      <w:r>
        <w:rPr>
          <w:u w:val="single"/>
        </w:rPr>
        <w:t>information</w:t>
      </w:r>
      <w:r>
        <w:rPr>
          <w:spacing w:val="-13"/>
          <w:u w:val="single"/>
        </w:rPr>
        <w:t xml:space="preserve"> </w:t>
      </w:r>
      <w:r>
        <w:rPr>
          <w:u w:val="single"/>
        </w:rPr>
        <w:t>that</w:t>
      </w:r>
      <w:r>
        <w:rPr>
          <w:spacing w:val="-9"/>
          <w:u w:val="single"/>
        </w:rPr>
        <w:t xml:space="preserve"> </w:t>
      </w:r>
      <w:r>
        <w:rPr>
          <w:u w:val="single"/>
        </w:rPr>
        <w:t>was</w:t>
      </w:r>
      <w:r>
        <w:rPr>
          <w:spacing w:val="-12"/>
          <w:u w:val="single"/>
        </w:rPr>
        <w:t xml:space="preserve"> </w:t>
      </w:r>
      <w:r>
        <w:rPr>
          <w:u w:val="single"/>
        </w:rPr>
        <w:t>relevant</w:t>
      </w:r>
      <w:r>
        <w:t xml:space="preserve"> </w:t>
      </w:r>
      <w:r>
        <w:rPr>
          <w:u w:val="single"/>
        </w:rPr>
        <w:t>to its recourse to facts available to calculate the dumping margin for "All Others".</w:t>
      </w:r>
      <w:r>
        <w:t xml:space="preserve"> Although interested parties expressly advised MOFCOM that they lacked this information, they were ignored by MOFCOM.</w:t>
      </w:r>
      <w:hyperlink w:anchor="_bookmark1842" w:history="1">
        <w:r>
          <w:rPr>
            <w:vertAlign w:val="superscript"/>
          </w:rPr>
          <w:t>1609</w:t>
        </w:r>
      </w:hyperlink>
    </w:p>
    <w:p w14:paraId="3FA624ED" w14:textId="77777777" w:rsidR="00BD462C" w:rsidRDefault="00BD462C">
      <w:pPr>
        <w:pStyle w:val="BodyText"/>
        <w:spacing w:before="8"/>
        <w:rPr>
          <w:sz w:val="19"/>
        </w:rPr>
      </w:pPr>
    </w:p>
    <w:p w14:paraId="63E366EC" w14:textId="77777777" w:rsidR="00BD462C" w:rsidRDefault="00033D0F">
      <w:pPr>
        <w:pStyle w:val="ListParagraph"/>
        <w:numPr>
          <w:ilvl w:val="1"/>
          <w:numId w:val="4"/>
        </w:numPr>
        <w:tabs>
          <w:tab w:val="left" w:pos="985"/>
          <w:tab w:val="left" w:pos="986"/>
        </w:tabs>
        <w:spacing w:before="0"/>
        <w:ind w:hanging="851"/>
        <w:rPr>
          <w:b/>
          <w:sz w:val="24"/>
        </w:rPr>
      </w:pPr>
      <w:bookmarkStart w:id="2147" w:name="B.11_Item_15"/>
      <w:bookmarkEnd w:id="2147"/>
      <w:r>
        <w:rPr>
          <w:b/>
          <w:sz w:val="24"/>
        </w:rPr>
        <w:t>I</w:t>
      </w:r>
      <w:r>
        <w:rPr>
          <w:b/>
          <w:sz w:val="19"/>
        </w:rPr>
        <w:t>TEM</w:t>
      </w:r>
      <w:r>
        <w:rPr>
          <w:b/>
          <w:spacing w:val="3"/>
          <w:sz w:val="19"/>
        </w:rPr>
        <w:t xml:space="preserve"> </w:t>
      </w:r>
      <w:r>
        <w:rPr>
          <w:b/>
          <w:spacing w:val="-5"/>
          <w:sz w:val="24"/>
        </w:rPr>
        <w:t>15</w:t>
      </w:r>
    </w:p>
    <w:p w14:paraId="25F048DF" w14:textId="77777777" w:rsidR="00BD462C" w:rsidRDefault="00BD462C">
      <w:pPr>
        <w:pStyle w:val="BodyText"/>
        <w:spacing w:before="1"/>
        <w:rPr>
          <w:b/>
          <w:sz w:val="25"/>
        </w:rPr>
      </w:pPr>
    </w:p>
    <w:p w14:paraId="0E286463" w14:textId="77777777" w:rsidR="00BD462C" w:rsidRDefault="00033D0F">
      <w:pPr>
        <w:spacing w:before="1" w:line="276" w:lineRule="auto"/>
        <w:ind w:left="985" w:right="913"/>
        <w:jc w:val="both"/>
      </w:pPr>
      <w:r>
        <w:rPr>
          <w:u w:val="single"/>
        </w:rPr>
        <w:t>The Final Determination provides limited information on how MOFCOM calculated the</w:t>
      </w:r>
      <w:r>
        <w:t xml:space="preserve"> </w:t>
      </w:r>
      <w:r>
        <w:rPr>
          <w:u w:val="single"/>
        </w:rPr>
        <w:t>margins of dumping for the other named Australian exporters</w:t>
      </w:r>
      <w:r>
        <w:t>. It provides that "[i]n calculating</w:t>
      </w:r>
      <w:r>
        <w:rPr>
          <w:spacing w:val="-7"/>
        </w:rPr>
        <w:t xml:space="preserve"> </w:t>
      </w:r>
      <w:r>
        <w:t>the</w:t>
      </w:r>
      <w:r>
        <w:rPr>
          <w:spacing w:val="-8"/>
        </w:rPr>
        <w:t xml:space="preserve"> </w:t>
      </w:r>
      <w:r>
        <w:t>dumping</w:t>
      </w:r>
      <w:r>
        <w:rPr>
          <w:spacing w:val="-7"/>
        </w:rPr>
        <w:t xml:space="preserve"> </w:t>
      </w:r>
      <w:r>
        <w:t>margin,</w:t>
      </w:r>
      <w:r>
        <w:rPr>
          <w:spacing w:val="-6"/>
        </w:rPr>
        <w:t xml:space="preserve"> </w:t>
      </w:r>
      <w:r>
        <w:t>the</w:t>
      </w:r>
      <w:r>
        <w:rPr>
          <w:spacing w:val="-8"/>
        </w:rPr>
        <w:t xml:space="preserve"> </w:t>
      </w:r>
      <w:r>
        <w:t>Investigating</w:t>
      </w:r>
      <w:r>
        <w:rPr>
          <w:spacing w:val="-12"/>
        </w:rPr>
        <w:t xml:space="preserve"> </w:t>
      </w:r>
      <w:r>
        <w:t>Authority</w:t>
      </w:r>
      <w:r>
        <w:rPr>
          <w:spacing w:val="-8"/>
        </w:rPr>
        <w:t xml:space="preserve"> </w:t>
      </w:r>
      <w:r>
        <w:t>compared</w:t>
      </w:r>
      <w:r>
        <w:rPr>
          <w:spacing w:val="-10"/>
        </w:rPr>
        <w:t xml:space="preserve"> </w:t>
      </w:r>
      <w:r>
        <w:t>the</w:t>
      </w:r>
      <w:r>
        <w:rPr>
          <w:spacing w:val="-8"/>
        </w:rPr>
        <w:t xml:space="preserve"> </w:t>
      </w:r>
      <w:r>
        <w:t>weighted</w:t>
      </w:r>
      <w:r>
        <w:rPr>
          <w:spacing w:val="-10"/>
        </w:rPr>
        <w:t xml:space="preserve"> </w:t>
      </w:r>
      <w:r>
        <w:t>average normal value with the weighted average export price to obtain the dumping margin". MOFCOM did not provide the information, figures or calculations for the weighted average normal value</w:t>
      </w:r>
      <w:r>
        <w:rPr>
          <w:spacing w:val="-2"/>
        </w:rPr>
        <w:t xml:space="preserve"> </w:t>
      </w:r>
      <w:r>
        <w:t>and</w:t>
      </w:r>
      <w:r>
        <w:rPr>
          <w:spacing w:val="-3"/>
        </w:rPr>
        <w:t xml:space="preserve"> </w:t>
      </w:r>
      <w:r>
        <w:t>the weighted</w:t>
      </w:r>
      <w:r>
        <w:rPr>
          <w:spacing w:val="-3"/>
        </w:rPr>
        <w:t xml:space="preserve"> </w:t>
      </w:r>
      <w:r>
        <w:t>average</w:t>
      </w:r>
      <w:r>
        <w:rPr>
          <w:spacing w:val="-2"/>
        </w:rPr>
        <w:t xml:space="preserve"> </w:t>
      </w:r>
      <w:r>
        <w:t>export</w:t>
      </w:r>
      <w:r>
        <w:rPr>
          <w:spacing w:val="-4"/>
        </w:rPr>
        <w:t xml:space="preserve"> </w:t>
      </w:r>
      <w:r>
        <w:t>price. Accordingly, the</w:t>
      </w:r>
      <w:r>
        <w:rPr>
          <w:spacing w:val="-2"/>
        </w:rPr>
        <w:t xml:space="preserve"> </w:t>
      </w:r>
      <w:r>
        <w:t>interested</w:t>
      </w:r>
      <w:r>
        <w:rPr>
          <w:spacing w:val="-3"/>
        </w:rPr>
        <w:t xml:space="preserve"> </w:t>
      </w:r>
      <w:r>
        <w:t>parties</w:t>
      </w:r>
      <w:r>
        <w:rPr>
          <w:spacing w:val="-2"/>
        </w:rPr>
        <w:t xml:space="preserve"> </w:t>
      </w:r>
      <w:r>
        <w:t>did not receive the necessary non-confidential information to understand or make submissions on the final dumping margins.</w:t>
      </w:r>
      <w:hyperlink w:anchor="_bookmark1843" w:history="1">
        <w:r>
          <w:rPr>
            <w:vertAlign w:val="superscript"/>
          </w:rPr>
          <w:t>1610</w:t>
        </w:r>
      </w:hyperlink>
    </w:p>
    <w:p w14:paraId="3E9FE77B" w14:textId="77777777" w:rsidR="00BD462C" w:rsidRDefault="00BD462C">
      <w:pPr>
        <w:pStyle w:val="BodyText"/>
        <w:spacing w:before="4"/>
        <w:rPr>
          <w:sz w:val="19"/>
        </w:rPr>
      </w:pPr>
    </w:p>
    <w:p w14:paraId="17803865" w14:textId="77777777" w:rsidR="00BD462C" w:rsidRDefault="00033D0F">
      <w:pPr>
        <w:pStyle w:val="ListParagraph"/>
        <w:numPr>
          <w:ilvl w:val="1"/>
          <w:numId w:val="4"/>
        </w:numPr>
        <w:tabs>
          <w:tab w:val="left" w:pos="985"/>
          <w:tab w:val="left" w:pos="986"/>
        </w:tabs>
        <w:spacing w:before="0"/>
        <w:ind w:hanging="851"/>
        <w:rPr>
          <w:b/>
          <w:sz w:val="24"/>
        </w:rPr>
      </w:pPr>
      <w:bookmarkStart w:id="2148" w:name="B.12_Item_16"/>
      <w:bookmarkEnd w:id="2148"/>
      <w:r>
        <w:rPr>
          <w:b/>
          <w:sz w:val="24"/>
        </w:rPr>
        <w:t>I</w:t>
      </w:r>
      <w:r>
        <w:rPr>
          <w:b/>
          <w:sz w:val="19"/>
        </w:rPr>
        <w:t>TEM</w:t>
      </w:r>
      <w:r>
        <w:rPr>
          <w:b/>
          <w:spacing w:val="3"/>
          <w:sz w:val="19"/>
        </w:rPr>
        <w:t xml:space="preserve"> </w:t>
      </w:r>
      <w:r>
        <w:rPr>
          <w:b/>
          <w:spacing w:val="-5"/>
          <w:sz w:val="24"/>
        </w:rPr>
        <w:t>16</w:t>
      </w:r>
    </w:p>
    <w:p w14:paraId="2D0044F2" w14:textId="77777777" w:rsidR="00BD462C" w:rsidRDefault="00BD462C">
      <w:pPr>
        <w:pStyle w:val="BodyText"/>
        <w:spacing w:before="2"/>
        <w:rPr>
          <w:b/>
          <w:sz w:val="25"/>
        </w:rPr>
      </w:pPr>
    </w:p>
    <w:p w14:paraId="7E61D1F9" w14:textId="77777777" w:rsidR="00BD462C" w:rsidRDefault="00033D0F">
      <w:pPr>
        <w:spacing w:line="276" w:lineRule="auto"/>
        <w:ind w:left="985" w:right="914"/>
        <w:jc w:val="both"/>
      </w:pPr>
      <w:r>
        <w:t>MOFCOM was required to provide all non-confidential information connected to the economic</w:t>
      </w:r>
      <w:r>
        <w:rPr>
          <w:spacing w:val="-9"/>
        </w:rPr>
        <w:t xml:space="preserve"> </w:t>
      </w:r>
      <w:r>
        <w:t>factors</w:t>
      </w:r>
      <w:r>
        <w:rPr>
          <w:spacing w:val="-2"/>
        </w:rPr>
        <w:t xml:space="preserve"> </w:t>
      </w:r>
      <w:r>
        <w:t>listed</w:t>
      </w:r>
      <w:r>
        <w:rPr>
          <w:spacing w:val="-8"/>
        </w:rPr>
        <w:t xml:space="preserve"> </w:t>
      </w:r>
      <w:r>
        <w:t>in</w:t>
      </w:r>
      <w:r>
        <w:rPr>
          <w:spacing w:val="-8"/>
        </w:rPr>
        <w:t xml:space="preserve"> </w:t>
      </w:r>
      <w:r>
        <w:t>Article</w:t>
      </w:r>
      <w:r>
        <w:rPr>
          <w:spacing w:val="-7"/>
        </w:rPr>
        <w:t xml:space="preserve"> </w:t>
      </w:r>
      <w:r>
        <w:t>3.4.</w:t>
      </w:r>
      <w:r>
        <w:rPr>
          <w:spacing w:val="-5"/>
        </w:rPr>
        <w:t xml:space="preserve"> </w:t>
      </w:r>
      <w:r>
        <w:t>When</w:t>
      </w:r>
      <w:r>
        <w:rPr>
          <w:spacing w:val="-8"/>
        </w:rPr>
        <w:t xml:space="preserve"> </w:t>
      </w:r>
      <w:r>
        <w:t>read</w:t>
      </w:r>
      <w:r>
        <w:rPr>
          <w:spacing w:val="-8"/>
        </w:rPr>
        <w:t xml:space="preserve"> </w:t>
      </w:r>
      <w:r>
        <w:t>with</w:t>
      </w:r>
      <w:r>
        <w:rPr>
          <w:spacing w:val="-8"/>
        </w:rPr>
        <w:t xml:space="preserve"> </w:t>
      </w:r>
      <w:r>
        <w:t>Article</w:t>
      </w:r>
      <w:r>
        <w:rPr>
          <w:spacing w:val="-7"/>
        </w:rPr>
        <w:t xml:space="preserve"> </w:t>
      </w:r>
      <w:r>
        <w:t>3.1,</w:t>
      </w:r>
      <w:r>
        <w:rPr>
          <w:spacing w:val="-4"/>
        </w:rPr>
        <w:t xml:space="preserve"> </w:t>
      </w:r>
      <w:r>
        <w:t>this</w:t>
      </w:r>
      <w:r>
        <w:rPr>
          <w:spacing w:val="-7"/>
        </w:rPr>
        <w:t xml:space="preserve"> </w:t>
      </w:r>
      <w:r>
        <w:t>obligation</w:t>
      </w:r>
      <w:r>
        <w:rPr>
          <w:spacing w:val="-8"/>
        </w:rPr>
        <w:t xml:space="preserve"> </w:t>
      </w:r>
      <w:r>
        <w:t>necessitates "positive evidence" with "wide-ranging information concerning the relevant economic factors</w:t>
      </w:r>
      <w:r>
        <w:rPr>
          <w:spacing w:val="-13"/>
        </w:rPr>
        <w:t xml:space="preserve"> </w:t>
      </w:r>
      <w:r>
        <w:t>in</w:t>
      </w:r>
      <w:r>
        <w:rPr>
          <w:spacing w:val="-12"/>
        </w:rPr>
        <w:t xml:space="preserve"> </w:t>
      </w:r>
      <w:r>
        <w:t>order</w:t>
      </w:r>
      <w:r>
        <w:rPr>
          <w:spacing w:val="-13"/>
        </w:rPr>
        <w:t xml:space="preserve"> </w:t>
      </w:r>
      <w:r>
        <w:t>to</w:t>
      </w:r>
      <w:r>
        <w:rPr>
          <w:spacing w:val="-10"/>
        </w:rPr>
        <w:t xml:space="preserve"> </w:t>
      </w:r>
      <w:r>
        <w:t>ensure</w:t>
      </w:r>
      <w:r>
        <w:rPr>
          <w:spacing w:val="-12"/>
        </w:rPr>
        <w:t xml:space="preserve"> </w:t>
      </w:r>
      <w:r>
        <w:t>the</w:t>
      </w:r>
      <w:r>
        <w:rPr>
          <w:spacing w:val="-8"/>
        </w:rPr>
        <w:t xml:space="preserve"> </w:t>
      </w:r>
      <w:r>
        <w:t>accuracy</w:t>
      </w:r>
      <w:r>
        <w:rPr>
          <w:spacing w:val="-12"/>
        </w:rPr>
        <w:t xml:space="preserve"> </w:t>
      </w:r>
      <w:r>
        <w:t>of</w:t>
      </w:r>
      <w:r>
        <w:rPr>
          <w:spacing w:val="-9"/>
        </w:rPr>
        <w:t xml:space="preserve"> </w:t>
      </w:r>
      <w:r>
        <w:t>the</w:t>
      </w:r>
      <w:r>
        <w:rPr>
          <w:spacing w:val="-12"/>
        </w:rPr>
        <w:t xml:space="preserve"> </w:t>
      </w:r>
      <w:r>
        <w:t>investigation</w:t>
      </w:r>
      <w:r>
        <w:rPr>
          <w:spacing w:val="-13"/>
        </w:rPr>
        <w:t xml:space="preserve"> </w:t>
      </w:r>
      <w:r>
        <w:t>concerning</w:t>
      </w:r>
      <w:r>
        <w:rPr>
          <w:spacing w:val="-11"/>
        </w:rPr>
        <w:t xml:space="preserve"> </w:t>
      </w:r>
      <w:r>
        <w:t>the</w:t>
      </w:r>
      <w:r>
        <w:rPr>
          <w:spacing w:val="-12"/>
        </w:rPr>
        <w:t xml:space="preserve"> </w:t>
      </w:r>
      <w:r>
        <w:t>relevant</w:t>
      </w:r>
      <w:r>
        <w:rPr>
          <w:spacing w:val="-13"/>
        </w:rPr>
        <w:t xml:space="preserve"> </w:t>
      </w:r>
      <w:r>
        <w:t>economic factors".</w:t>
      </w:r>
      <w:r>
        <w:rPr>
          <w:spacing w:val="-1"/>
        </w:rPr>
        <w:t xml:space="preserve"> </w:t>
      </w:r>
      <w:r>
        <w:t>MOFCOM</w:t>
      </w:r>
      <w:r>
        <w:rPr>
          <w:spacing w:val="-5"/>
        </w:rPr>
        <w:t xml:space="preserve"> </w:t>
      </w:r>
      <w:r>
        <w:t>considered</w:t>
      </w:r>
      <w:r>
        <w:rPr>
          <w:spacing w:val="-4"/>
        </w:rPr>
        <w:t xml:space="preserve"> </w:t>
      </w:r>
      <w:r>
        <w:t>16</w:t>
      </w:r>
      <w:r>
        <w:rPr>
          <w:spacing w:val="-5"/>
        </w:rPr>
        <w:t xml:space="preserve"> </w:t>
      </w:r>
      <w:r>
        <w:t>factors to</w:t>
      </w:r>
      <w:r>
        <w:rPr>
          <w:spacing w:val="-5"/>
        </w:rPr>
        <w:t xml:space="preserve"> </w:t>
      </w:r>
      <w:r>
        <w:t>assess the</w:t>
      </w:r>
      <w:r>
        <w:rPr>
          <w:spacing w:val="-3"/>
        </w:rPr>
        <w:t xml:space="preserve"> </w:t>
      </w:r>
      <w:r>
        <w:t>impact</w:t>
      </w:r>
      <w:r>
        <w:rPr>
          <w:spacing w:val="-5"/>
        </w:rPr>
        <w:t xml:space="preserve"> </w:t>
      </w:r>
      <w:r>
        <w:t>of the</w:t>
      </w:r>
      <w:r>
        <w:rPr>
          <w:spacing w:val="-3"/>
        </w:rPr>
        <w:t xml:space="preserve"> </w:t>
      </w:r>
      <w:r>
        <w:t>"dumped"</w:t>
      </w:r>
      <w:r>
        <w:rPr>
          <w:spacing w:val="-5"/>
        </w:rPr>
        <w:t xml:space="preserve"> </w:t>
      </w:r>
      <w:r>
        <w:t>products on domestic</w:t>
      </w:r>
      <w:r>
        <w:rPr>
          <w:spacing w:val="-1"/>
        </w:rPr>
        <w:t xml:space="preserve"> </w:t>
      </w:r>
      <w:r>
        <w:t xml:space="preserve">industry. For the factors it did consider, MOFCOM's consideration merely consists of a conclusive statement coupled with data of an unknown origin. There was no disclosure to the interested parties of the sources for this data, which deprived the parties of the opportunities to make submissions on the accuracy and relevance of that information. </w:t>
      </w:r>
      <w:r>
        <w:rPr>
          <w:u w:val="single"/>
        </w:rPr>
        <w:t>The</w:t>
      </w:r>
      <w:r>
        <w:t xml:space="preserve"> </w:t>
      </w:r>
      <w:r>
        <w:rPr>
          <w:u w:val="single"/>
        </w:rPr>
        <w:t>mere statement of conclusions omits any information concerning the objective analysis</w:t>
      </w:r>
      <w:r>
        <w:t xml:space="preserve"> </w:t>
      </w:r>
      <w:r>
        <w:rPr>
          <w:u w:val="single"/>
        </w:rPr>
        <w:t>MOFCOM allegedly engaged on each index.</w:t>
      </w:r>
      <w:r>
        <w:t xml:space="preserve"> It also falls far short of the "wide-ranging information" threshold established in WTO jurisprudence.</w:t>
      </w:r>
      <w:hyperlink w:anchor="_bookmark1844" w:history="1">
        <w:r>
          <w:rPr>
            <w:vertAlign w:val="superscript"/>
          </w:rPr>
          <w:t>1611</w:t>
        </w:r>
      </w:hyperlink>
    </w:p>
    <w:p w14:paraId="09C14A67" w14:textId="77777777" w:rsidR="00BD462C" w:rsidRDefault="00BD462C">
      <w:pPr>
        <w:pStyle w:val="BodyText"/>
        <w:spacing w:before="8"/>
        <w:rPr>
          <w:sz w:val="19"/>
        </w:rPr>
      </w:pPr>
    </w:p>
    <w:p w14:paraId="574FF828" w14:textId="77777777" w:rsidR="00BD462C" w:rsidRDefault="00033D0F">
      <w:pPr>
        <w:pStyle w:val="ListParagraph"/>
        <w:numPr>
          <w:ilvl w:val="1"/>
          <w:numId w:val="4"/>
        </w:numPr>
        <w:tabs>
          <w:tab w:val="left" w:pos="985"/>
          <w:tab w:val="left" w:pos="986"/>
        </w:tabs>
        <w:spacing w:before="0"/>
        <w:ind w:hanging="851"/>
        <w:rPr>
          <w:b/>
          <w:sz w:val="24"/>
        </w:rPr>
      </w:pPr>
      <w:bookmarkStart w:id="2149" w:name="B.13_Item_17"/>
      <w:bookmarkEnd w:id="2149"/>
      <w:r>
        <w:rPr>
          <w:b/>
          <w:sz w:val="24"/>
        </w:rPr>
        <w:t>I</w:t>
      </w:r>
      <w:r>
        <w:rPr>
          <w:b/>
          <w:sz w:val="19"/>
        </w:rPr>
        <w:t>TEM</w:t>
      </w:r>
      <w:r>
        <w:rPr>
          <w:b/>
          <w:spacing w:val="3"/>
          <w:sz w:val="19"/>
        </w:rPr>
        <w:t xml:space="preserve"> </w:t>
      </w:r>
      <w:r>
        <w:rPr>
          <w:b/>
          <w:spacing w:val="-5"/>
          <w:sz w:val="24"/>
        </w:rPr>
        <w:t>17</w:t>
      </w:r>
    </w:p>
    <w:p w14:paraId="31EFECDA" w14:textId="77777777" w:rsidR="00BD462C" w:rsidRDefault="00BD462C">
      <w:pPr>
        <w:pStyle w:val="BodyText"/>
        <w:spacing w:before="1"/>
        <w:rPr>
          <w:b/>
          <w:sz w:val="25"/>
        </w:rPr>
      </w:pPr>
    </w:p>
    <w:p w14:paraId="5C5E2443" w14:textId="77777777" w:rsidR="00BD462C" w:rsidRDefault="00033D0F">
      <w:pPr>
        <w:spacing w:line="278" w:lineRule="auto"/>
        <w:ind w:left="985" w:right="915"/>
        <w:jc w:val="both"/>
      </w:pPr>
      <w:r>
        <w:t>In</w:t>
      </w:r>
      <w:r>
        <w:rPr>
          <w:spacing w:val="-13"/>
        </w:rPr>
        <w:t xml:space="preserve"> </w:t>
      </w:r>
      <w:r>
        <w:t>relation</w:t>
      </w:r>
      <w:r>
        <w:rPr>
          <w:spacing w:val="-12"/>
        </w:rPr>
        <w:t xml:space="preserve"> </w:t>
      </w:r>
      <w:r>
        <w:t>to</w:t>
      </w:r>
      <w:r>
        <w:rPr>
          <w:spacing w:val="-13"/>
        </w:rPr>
        <w:t xml:space="preserve"> </w:t>
      </w:r>
      <w:r>
        <w:t>the</w:t>
      </w:r>
      <w:r>
        <w:rPr>
          <w:spacing w:val="-12"/>
        </w:rPr>
        <w:t xml:space="preserve"> </w:t>
      </w:r>
      <w:r>
        <w:t>calculation</w:t>
      </w:r>
      <w:r>
        <w:rPr>
          <w:spacing w:val="-13"/>
        </w:rPr>
        <w:t xml:space="preserve"> </w:t>
      </w:r>
      <w:r>
        <w:t>of</w:t>
      </w:r>
      <w:r>
        <w:rPr>
          <w:spacing w:val="-12"/>
        </w:rPr>
        <w:t xml:space="preserve"> </w:t>
      </w:r>
      <w:r>
        <w:t>the</w:t>
      </w:r>
      <w:r>
        <w:rPr>
          <w:spacing w:val="-13"/>
        </w:rPr>
        <w:t xml:space="preserve"> </w:t>
      </w:r>
      <w:r>
        <w:t>average</w:t>
      </w:r>
      <w:r>
        <w:rPr>
          <w:spacing w:val="-12"/>
        </w:rPr>
        <w:t xml:space="preserve"> </w:t>
      </w:r>
      <w:r>
        <w:t>import</w:t>
      </w:r>
      <w:r>
        <w:rPr>
          <w:spacing w:val="-12"/>
        </w:rPr>
        <w:t xml:space="preserve"> </w:t>
      </w:r>
      <w:r>
        <w:t>price</w:t>
      </w:r>
      <w:r>
        <w:rPr>
          <w:spacing w:val="-13"/>
        </w:rPr>
        <w:t xml:space="preserve"> </w:t>
      </w:r>
      <w:r>
        <w:t>for</w:t>
      </w:r>
      <w:r>
        <w:rPr>
          <w:spacing w:val="-12"/>
        </w:rPr>
        <w:t xml:space="preserve"> </w:t>
      </w:r>
      <w:r>
        <w:t>Australian</w:t>
      </w:r>
      <w:r>
        <w:rPr>
          <w:spacing w:val="-13"/>
        </w:rPr>
        <w:t xml:space="preserve"> </w:t>
      </w:r>
      <w:r>
        <w:t>wine,</w:t>
      </w:r>
      <w:r>
        <w:rPr>
          <w:spacing w:val="-11"/>
        </w:rPr>
        <w:t xml:space="preserve"> </w:t>
      </w:r>
      <w:r>
        <w:t>as</w:t>
      </w:r>
      <w:r>
        <w:rPr>
          <w:spacing w:val="-13"/>
        </w:rPr>
        <w:t xml:space="preserve"> </w:t>
      </w:r>
      <w:r>
        <w:t>set</w:t>
      </w:r>
      <w:r>
        <w:rPr>
          <w:spacing w:val="-12"/>
        </w:rPr>
        <w:t xml:space="preserve"> </w:t>
      </w:r>
      <w:r>
        <w:t>out</w:t>
      </w:r>
      <w:r>
        <w:rPr>
          <w:spacing w:val="-12"/>
        </w:rPr>
        <w:t xml:space="preserve"> </w:t>
      </w:r>
      <w:r>
        <w:t xml:space="preserve">above, </w:t>
      </w:r>
      <w:r>
        <w:rPr>
          <w:u w:val="single"/>
        </w:rPr>
        <w:t>MOFCOM</w:t>
      </w:r>
      <w:r>
        <w:rPr>
          <w:spacing w:val="-5"/>
          <w:u w:val="single"/>
        </w:rPr>
        <w:t xml:space="preserve"> </w:t>
      </w:r>
      <w:r>
        <w:rPr>
          <w:u w:val="single"/>
        </w:rPr>
        <w:t>failed</w:t>
      </w:r>
      <w:r>
        <w:rPr>
          <w:spacing w:val="-4"/>
          <w:u w:val="single"/>
        </w:rPr>
        <w:t xml:space="preserve"> </w:t>
      </w:r>
      <w:r>
        <w:rPr>
          <w:u w:val="single"/>
        </w:rPr>
        <w:t>to</w:t>
      </w:r>
      <w:r>
        <w:rPr>
          <w:spacing w:val="-5"/>
          <w:u w:val="single"/>
        </w:rPr>
        <w:t xml:space="preserve"> </w:t>
      </w:r>
      <w:r>
        <w:rPr>
          <w:u w:val="single"/>
        </w:rPr>
        <w:t>provide</w:t>
      </w:r>
      <w:r>
        <w:rPr>
          <w:spacing w:val="-3"/>
          <w:u w:val="single"/>
        </w:rPr>
        <w:t xml:space="preserve"> </w:t>
      </w:r>
      <w:r>
        <w:rPr>
          <w:u w:val="single"/>
        </w:rPr>
        <w:t>all</w:t>
      </w:r>
      <w:r>
        <w:rPr>
          <w:spacing w:val="-2"/>
          <w:u w:val="single"/>
        </w:rPr>
        <w:t xml:space="preserve"> </w:t>
      </w:r>
      <w:r>
        <w:rPr>
          <w:u w:val="single"/>
        </w:rPr>
        <w:t>non-confidential</w:t>
      </w:r>
      <w:r>
        <w:rPr>
          <w:spacing w:val="-2"/>
          <w:u w:val="single"/>
        </w:rPr>
        <w:t xml:space="preserve"> </w:t>
      </w:r>
      <w:r>
        <w:rPr>
          <w:u w:val="single"/>
        </w:rPr>
        <w:t>information</w:t>
      </w:r>
      <w:r>
        <w:rPr>
          <w:spacing w:val="-4"/>
          <w:u w:val="single"/>
        </w:rPr>
        <w:t xml:space="preserve"> </w:t>
      </w:r>
      <w:r>
        <w:rPr>
          <w:u w:val="single"/>
        </w:rPr>
        <w:t>concerning:</w:t>
      </w:r>
      <w:r>
        <w:rPr>
          <w:spacing w:val="-5"/>
          <w:u w:val="single"/>
        </w:rPr>
        <w:t xml:space="preserve"> </w:t>
      </w:r>
      <w:r>
        <w:rPr>
          <w:u w:val="single"/>
        </w:rPr>
        <w:t>(i)</w:t>
      </w:r>
      <w:r>
        <w:rPr>
          <w:spacing w:val="-3"/>
          <w:u w:val="single"/>
        </w:rPr>
        <w:t xml:space="preserve"> </w:t>
      </w:r>
      <w:r>
        <w:rPr>
          <w:u w:val="single"/>
        </w:rPr>
        <w:t>the</w:t>
      </w:r>
      <w:r>
        <w:rPr>
          <w:spacing w:val="-3"/>
          <w:u w:val="single"/>
        </w:rPr>
        <w:t xml:space="preserve"> </w:t>
      </w:r>
      <w:r>
        <w:rPr>
          <w:u w:val="single"/>
        </w:rPr>
        <w:t>methodology</w:t>
      </w:r>
    </w:p>
    <w:p w14:paraId="22A1F99B" w14:textId="0FADE29B" w:rsidR="00BD462C" w:rsidRDefault="009A6330">
      <w:pPr>
        <w:pStyle w:val="BodyText"/>
        <w:spacing w:before="11"/>
        <w:rPr>
          <w:sz w:val="12"/>
        </w:rPr>
      </w:pPr>
      <w:r>
        <w:rPr>
          <w:noProof/>
        </w:rPr>
        <mc:AlternateContent>
          <mc:Choice Requires="wps">
            <w:drawing>
              <wp:anchor distT="0" distB="0" distL="0" distR="0" simplePos="0" relativeHeight="487961088" behindDoc="1" locked="0" layoutInCell="1" allowOverlap="1" wp14:anchorId="1CDB0564" wp14:editId="71743F2E">
                <wp:simplePos x="0" y="0"/>
                <wp:positionH relativeFrom="page">
                  <wp:posOffset>812800</wp:posOffset>
                </wp:positionH>
                <wp:positionV relativeFrom="paragraph">
                  <wp:posOffset>105459</wp:posOffset>
                </wp:positionV>
                <wp:extent cx="1828800" cy="8890"/>
                <wp:effectExtent l="0" t="0" r="0" b="0"/>
                <wp:wrapTopAndBottom/>
                <wp:docPr id="29" name="docshape7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591F1D" id="docshape712" o:spid="_x0000_s1026" alt="&quot;&quot;" style="position:absolute;margin-left:64pt;margin-top:8.3pt;width:2in;height:.7pt;z-index:-15355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" fillcolor="black" stroked="f">
                <w10:wrap type="topAndBottom" anchorx="page"/>
              </v:rect>
            </w:pict>
          </mc:Fallback>
        </mc:AlternateContent>
      </w:r>
    </w:p>
    <w:p w14:paraId="3AF16BED" w14:textId="77777777" w:rsidR="00BD462C" w:rsidRDefault="00033D0F">
      <w:pPr>
        <w:spacing w:before="112"/>
        <w:ind w:left="135"/>
        <w:jc w:val="both"/>
        <w:rPr>
          <w:sz w:val="18"/>
        </w:rPr>
      </w:pPr>
      <w:bookmarkStart w:id="2150" w:name="_bookmark1841"/>
      <w:bookmarkEnd w:id="2150"/>
      <w:r>
        <w:rPr>
          <w:position w:val="5"/>
          <w:sz w:val="12"/>
        </w:rPr>
        <w:t>1608</w:t>
      </w:r>
      <w:r>
        <w:rPr>
          <w:spacing w:val="12"/>
          <w:position w:val="5"/>
          <w:sz w:val="12"/>
        </w:rPr>
        <w:t xml:space="preserve"> </w:t>
      </w:r>
      <w:r>
        <w:rPr>
          <w:sz w:val="18"/>
        </w:rPr>
        <w:t>Australia's</w:t>
      </w:r>
      <w:r>
        <w:rPr>
          <w:spacing w:val="-6"/>
          <w:sz w:val="18"/>
        </w:rPr>
        <w:t xml:space="preserve"> </w:t>
      </w:r>
      <w:r>
        <w:rPr>
          <w:sz w:val="18"/>
        </w:rPr>
        <w:t>first</w:t>
      </w:r>
      <w:r>
        <w:rPr>
          <w:spacing w:val="-5"/>
          <w:sz w:val="18"/>
        </w:rPr>
        <w:t xml:space="preserve"> </w:t>
      </w:r>
      <w:r>
        <w:rPr>
          <w:sz w:val="18"/>
        </w:rPr>
        <w:t>written</w:t>
      </w:r>
      <w:r>
        <w:rPr>
          <w:spacing w:val="-2"/>
          <w:sz w:val="18"/>
        </w:rPr>
        <w:t xml:space="preserve"> </w:t>
      </w:r>
      <w:r>
        <w:rPr>
          <w:sz w:val="18"/>
        </w:rPr>
        <w:t>submission, para.</w:t>
      </w:r>
      <w:r>
        <w:rPr>
          <w:spacing w:val="-5"/>
          <w:sz w:val="18"/>
        </w:rPr>
        <w:t xml:space="preserve"> </w:t>
      </w:r>
      <w:r>
        <w:rPr>
          <w:spacing w:val="-4"/>
          <w:sz w:val="18"/>
        </w:rPr>
        <w:t>991.</w:t>
      </w:r>
    </w:p>
    <w:p w14:paraId="5AC63AEA" w14:textId="77777777" w:rsidR="00BD462C" w:rsidRDefault="00033D0F">
      <w:pPr>
        <w:spacing w:before="1"/>
        <w:ind w:left="135" w:right="4861"/>
        <w:jc w:val="both"/>
        <w:rPr>
          <w:sz w:val="18"/>
        </w:rPr>
      </w:pPr>
      <w:bookmarkStart w:id="2151" w:name="_bookmark1842"/>
      <w:bookmarkEnd w:id="2151"/>
      <w:r>
        <w:rPr>
          <w:position w:val="5"/>
          <w:sz w:val="12"/>
        </w:rPr>
        <w:t>1609</w:t>
      </w:r>
      <w:r>
        <w:rPr>
          <w:spacing w:val="13"/>
          <w:position w:val="5"/>
          <w:sz w:val="12"/>
        </w:rPr>
        <w:t xml:space="preserve"> </w:t>
      </w:r>
      <w:r>
        <w:rPr>
          <w:sz w:val="18"/>
        </w:rPr>
        <w:t>Australia's</w:t>
      </w:r>
      <w:r>
        <w:rPr>
          <w:spacing w:val="-5"/>
          <w:sz w:val="18"/>
        </w:rPr>
        <w:t xml:space="preserve"> </w:t>
      </w:r>
      <w:r>
        <w:rPr>
          <w:sz w:val="18"/>
        </w:rPr>
        <w:t>first</w:t>
      </w:r>
      <w:r>
        <w:rPr>
          <w:spacing w:val="-4"/>
          <w:sz w:val="18"/>
        </w:rPr>
        <w:t xml:space="preserve"> </w:t>
      </w:r>
      <w:r>
        <w:rPr>
          <w:sz w:val="18"/>
        </w:rPr>
        <w:t>written</w:t>
      </w:r>
      <w:r>
        <w:rPr>
          <w:spacing w:val="-2"/>
          <w:sz w:val="18"/>
        </w:rPr>
        <w:t xml:space="preserve"> </w:t>
      </w:r>
      <w:r>
        <w:rPr>
          <w:sz w:val="18"/>
        </w:rPr>
        <w:t>submission, para.</w:t>
      </w:r>
      <w:r>
        <w:rPr>
          <w:spacing w:val="-4"/>
          <w:sz w:val="18"/>
        </w:rPr>
        <w:t xml:space="preserve"> </w:t>
      </w:r>
      <w:r>
        <w:rPr>
          <w:sz w:val="18"/>
        </w:rPr>
        <w:t>993</w:t>
      </w:r>
      <w:r>
        <w:rPr>
          <w:spacing w:val="-7"/>
          <w:sz w:val="18"/>
        </w:rPr>
        <w:t xml:space="preserve"> </w:t>
      </w:r>
      <w:r>
        <w:rPr>
          <w:sz w:val="18"/>
        </w:rPr>
        <w:t>(footnotes</w:t>
      </w:r>
      <w:r>
        <w:rPr>
          <w:spacing w:val="-5"/>
          <w:sz w:val="18"/>
        </w:rPr>
        <w:t xml:space="preserve"> </w:t>
      </w:r>
      <w:r>
        <w:rPr>
          <w:sz w:val="18"/>
        </w:rPr>
        <w:t xml:space="preserve">omitted). </w:t>
      </w:r>
      <w:bookmarkStart w:id="2152" w:name="_bookmark1843"/>
      <w:bookmarkEnd w:id="2152"/>
      <w:r>
        <w:rPr>
          <w:position w:val="5"/>
          <w:sz w:val="12"/>
        </w:rPr>
        <w:t>1610</w:t>
      </w:r>
      <w:r>
        <w:rPr>
          <w:spacing w:val="13"/>
          <w:position w:val="5"/>
          <w:sz w:val="12"/>
        </w:rPr>
        <w:t xml:space="preserve"> </w:t>
      </w:r>
      <w:r>
        <w:rPr>
          <w:sz w:val="18"/>
        </w:rPr>
        <w:t>Australia's</w:t>
      </w:r>
      <w:r>
        <w:rPr>
          <w:spacing w:val="-5"/>
          <w:sz w:val="18"/>
        </w:rPr>
        <w:t xml:space="preserve"> </w:t>
      </w:r>
      <w:r>
        <w:rPr>
          <w:sz w:val="18"/>
        </w:rPr>
        <w:t>first</w:t>
      </w:r>
      <w:r>
        <w:rPr>
          <w:spacing w:val="-4"/>
          <w:sz w:val="18"/>
        </w:rPr>
        <w:t xml:space="preserve"> </w:t>
      </w:r>
      <w:r>
        <w:rPr>
          <w:sz w:val="18"/>
        </w:rPr>
        <w:t>written</w:t>
      </w:r>
      <w:r>
        <w:rPr>
          <w:spacing w:val="-2"/>
          <w:sz w:val="18"/>
        </w:rPr>
        <w:t xml:space="preserve"> </w:t>
      </w:r>
      <w:r>
        <w:rPr>
          <w:sz w:val="18"/>
        </w:rPr>
        <w:t>submission, para.</w:t>
      </w:r>
      <w:r>
        <w:rPr>
          <w:spacing w:val="-4"/>
          <w:sz w:val="18"/>
        </w:rPr>
        <w:t xml:space="preserve"> </w:t>
      </w:r>
      <w:r>
        <w:rPr>
          <w:sz w:val="18"/>
        </w:rPr>
        <w:t>994</w:t>
      </w:r>
      <w:r>
        <w:rPr>
          <w:spacing w:val="-7"/>
          <w:sz w:val="18"/>
        </w:rPr>
        <w:t xml:space="preserve"> </w:t>
      </w:r>
      <w:r>
        <w:rPr>
          <w:sz w:val="18"/>
        </w:rPr>
        <w:t>(footnotes</w:t>
      </w:r>
      <w:r>
        <w:rPr>
          <w:spacing w:val="-5"/>
          <w:sz w:val="18"/>
        </w:rPr>
        <w:t xml:space="preserve"> </w:t>
      </w:r>
      <w:r>
        <w:rPr>
          <w:sz w:val="18"/>
        </w:rPr>
        <w:t xml:space="preserve">omitted). </w:t>
      </w:r>
      <w:bookmarkStart w:id="2153" w:name="_bookmark1844"/>
      <w:bookmarkEnd w:id="2153"/>
      <w:r>
        <w:rPr>
          <w:position w:val="5"/>
          <w:sz w:val="12"/>
        </w:rPr>
        <w:t>1611</w:t>
      </w:r>
      <w:r>
        <w:rPr>
          <w:spacing w:val="12"/>
          <w:position w:val="5"/>
          <w:sz w:val="12"/>
        </w:rPr>
        <w:t xml:space="preserve"> </w:t>
      </w:r>
      <w:r>
        <w:rPr>
          <w:sz w:val="18"/>
        </w:rPr>
        <w:t>Australia's</w:t>
      </w:r>
      <w:r>
        <w:rPr>
          <w:spacing w:val="-5"/>
          <w:sz w:val="18"/>
        </w:rPr>
        <w:t xml:space="preserve"> </w:t>
      </w:r>
      <w:r>
        <w:rPr>
          <w:sz w:val="18"/>
        </w:rPr>
        <w:t>first</w:t>
      </w:r>
      <w:r>
        <w:rPr>
          <w:spacing w:val="-5"/>
          <w:sz w:val="18"/>
        </w:rPr>
        <w:t xml:space="preserve"> </w:t>
      </w:r>
      <w:r>
        <w:rPr>
          <w:sz w:val="18"/>
        </w:rPr>
        <w:t>written</w:t>
      </w:r>
      <w:r>
        <w:rPr>
          <w:spacing w:val="-2"/>
          <w:sz w:val="18"/>
        </w:rPr>
        <w:t xml:space="preserve"> </w:t>
      </w:r>
      <w:r>
        <w:rPr>
          <w:sz w:val="18"/>
        </w:rPr>
        <w:t>submission, para.</w:t>
      </w:r>
      <w:r>
        <w:rPr>
          <w:spacing w:val="-5"/>
          <w:sz w:val="18"/>
        </w:rPr>
        <w:t xml:space="preserve"> </w:t>
      </w:r>
      <w:r>
        <w:rPr>
          <w:sz w:val="18"/>
        </w:rPr>
        <w:t>999</w:t>
      </w:r>
      <w:r>
        <w:rPr>
          <w:spacing w:val="-7"/>
          <w:sz w:val="18"/>
        </w:rPr>
        <w:t xml:space="preserve"> </w:t>
      </w:r>
      <w:r>
        <w:rPr>
          <w:sz w:val="18"/>
        </w:rPr>
        <w:t>(footnotes</w:t>
      </w:r>
      <w:r>
        <w:rPr>
          <w:spacing w:val="-6"/>
          <w:sz w:val="18"/>
        </w:rPr>
        <w:t xml:space="preserve"> </w:t>
      </w:r>
      <w:r>
        <w:rPr>
          <w:spacing w:val="-2"/>
          <w:sz w:val="18"/>
        </w:rPr>
        <w:t>omitted).</w:t>
      </w:r>
    </w:p>
    <w:p w14:paraId="01CEF85B" w14:textId="77777777" w:rsidR="00BD462C" w:rsidRDefault="00BD462C">
      <w:pPr>
        <w:jc w:val="both"/>
        <w:rPr>
          <w:sz w:val="18"/>
        </w:rPr>
        <w:sectPr w:rsidR="00BD462C">
          <w:pgSz w:w="11910" w:h="16840"/>
          <w:pgMar w:top="860" w:right="500" w:bottom="780" w:left="1280" w:header="566" w:footer="590" w:gutter="0"/>
          <w:cols w:space="720"/>
        </w:sectPr>
      </w:pPr>
    </w:p>
    <w:p w14:paraId="7C1A6A43"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1C6B76D1"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61B9FEAC"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376C0904" w14:textId="77777777" w:rsidR="00BD462C" w:rsidRDefault="00033D0F">
      <w:pPr>
        <w:spacing w:before="1" w:line="276" w:lineRule="auto"/>
        <w:ind w:left="985" w:right="912"/>
        <w:jc w:val="both"/>
      </w:pPr>
      <w:r>
        <w:rPr>
          <w:u w:val="single"/>
        </w:rPr>
        <w:t>it</w:t>
      </w:r>
      <w:r>
        <w:rPr>
          <w:spacing w:val="-13"/>
          <w:u w:val="single"/>
        </w:rPr>
        <w:t xml:space="preserve"> </w:t>
      </w:r>
      <w:r>
        <w:rPr>
          <w:u w:val="single"/>
        </w:rPr>
        <w:t>adopted</w:t>
      </w:r>
      <w:r>
        <w:rPr>
          <w:spacing w:val="-12"/>
          <w:u w:val="single"/>
        </w:rPr>
        <w:t xml:space="preserve"> </w:t>
      </w:r>
      <w:r>
        <w:rPr>
          <w:u w:val="single"/>
        </w:rPr>
        <w:t>to</w:t>
      </w:r>
      <w:r>
        <w:rPr>
          <w:spacing w:val="-13"/>
          <w:u w:val="single"/>
        </w:rPr>
        <w:t xml:space="preserve"> </w:t>
      </w:r>
      <w:r>
        <w:rPr>
          <w:u w:val="single"/>
        </w:rPr>
        <w:t>calculate</w:t>
      </w:r>
      <w:r>
        <w:rPr>
          <w:spacing w:val="-12"/>
          <w:u w:val="single"/>
        </w:rPr>
        <w:t xml:space="preserve"> </w:t>
      </w:r>
      <w:r>
        <w:rPr>
          <w:u w:val="single"/>
        </w:rPr>
        <w:t>the</w:t>
      </w:r>
      <w:r>
        <w:rPr>
          <w:spacing w:val="-13"/>
          <w:u w:val="single"/>
        </w:rPr>
        <w:t xml:space="preserve"> </w:t>
      </w:r>
      <w:r>
        <w:rPr>
          <w:u w:val="single"/>
        </w:rPr>
        <w:t>average</w:t>
      </w:r>
      <w:r>
        <w:rPr>
          <w:spacing w:val="-12"/>
          <w:u w:val="single"/>
        </w:rPr>
        <w:t xml:space="preserve"> </w:t>
      </w:r>
      <w:r>
        <w:rPr>
          <w:u w:val="single"/>
        </w:rPr>
        <w:t>import</w:t>
      </w:r>
      <w:r>
        <w:rPr>
          <w:spacing w:val="-13"/>
          <w:u w:val="single"/>
        </w:rPr>
        <w:t xml:space="preserve"> </w:t>
      </w:r>
      <w:r>
        <w:rPr>
          <w:u w:val="single"/>
        </w:rPr>
        <w:t>price;</w:t>
      </w:r>
      <w:r>
        <w:rPr>
          <w:spacing w:val="-12"/>
          <w:u w:val="single"/>
        </w:rPr>
        <w:t xml:space="preserve"> </w:t>
      </w:r>
      <w:r>
        <w:rPr>
          <w:u w:val="single"/>
        </w:rPr>
        <w:t>(ii)</w:t>
      </w:r>
      <w:r>
        <w:rPr>
          <w:spacing w:val="-12"/>
          <w:u w:val="single"/>
        </w:rPr>
        <w:t xml:space="preserve"> </w:t>
      </w:r>
      <w:r>
        <w:rPr>
          <w:u w:val="single"/>
        </w:rPr>
        <w:t>the</w:t>
      </w:r>
      <w:r>
        <w:rPr>
          <w:spacing w:val="-13"/>
          <w:u w:val="single"/>
        </w:rPr>
        <w:t xml:space="preserve"> </w:t>
      </w:r>
      <w:r>
        <w:rPr>
          <w:u w:val="single"/>
        </w:rPr>
        <w:t>value</w:t>
      </w:r>
      <w:r>
        <w:rPr>
          <w:spacing w:val="-12"/>
          <w:u w:val="single"/>
        </w:rPr>
        <w:t xml:space="preserve"> </w:t>
      </w:r>
      <w:r>
        <w:rPr>
          <w:u w:val="single"/>
        </w:rPr>
        <w:t>of</w:t>
      </w:r>
      <w:r>
        <w:rPr>
          <w:spacing w:val="-13"/>
          <w:u w:val="single"/>
        </w:rPr>
        <w:t xml:space="preserve"> </w:t>
      </w:r>
      <w:r>
        <w:rPr>
          <w:u w:val="single"/>
        </w:rPr>
        <w:t>adjustments</w:t>
      </w:r>
      <w:r>
        <w:rPr>
          <w:spacing w:val="-12"/>
          <w:u w:val="single"/>
        </w:rPr>
        <w:t xml:space="preserve"> </w:t>
      </w:r>
      <w:r>
        <w:rPr>
          <w:u w:val="single"/>
        </w:rPr>
        <w:t>it</w:t>
      </w:r>
      <w:r>
        <w:rPr>
          <w:spacing w:val="-13"/>
          <w:u w:val="single"/>
        </w:rPr>
        <w:t xml:space="preserve"> </w:t>
      </w:r>
      <w:r>
        <w:rPr>
          <w:u w:val="single"/>
        </w:rPr>
        <w:t>applied</w:t>
      </w:r>
      <w:r>
        <w:rPr>
          <w:spacing w:val="-12"/>
          <w:u w:val="single"/>
        </w:rPr>
        <w:t xml:space="preserve"> </w:t>
      </w:r>
      <w:r>
        <w:rPr>
          <w:u w:val="single"/>
        </w:rPr>
        <w:t>during</w:t>
      </w:r>
      <w:r>
        <w:t xml:space="preserve"> </w:t>
      </w:r>
      <w:r>
        <w:rPr>
          <w:u w:val="single"/>
        </w:rPr>
        <w:t>the calculation process; and (iii) the CIF price data, exchange rate, tariff rate and customs</w:t>
      </w:r>
      <w:r>
        <w:t xml:space="preserve"> </w:t>
      </w:r>
      <w:r>
        <w:rPr>
          <w:u w:val="single"/>
        </w:rPr>
        <w:t>clearance costs it relied upon</w:t>
      </w:r>
      <w:r>
        <w:t>. In the Final Determination, MOFCOM stated that the import price for subject imports was "[b]</w:t>
      </w:r>
      <w:proofErr w:type="spellStart"/>
      <w:r>
        <w:t>ased</w:t>
      </w:r>
      <w:proofErr w:type="spellEnd"/>
      <w:r>
        <w:t xml:space="preserve"> on the CIF price of the dumped imported product provided by China Customs", with adjustments applied for exchange rates, tariff rates and customs</w:t>
      </w:r>
      <w:r>
        <w:rPr>
          <w:spacing w:val="-4"/>
        </w:rPr>
        <w:t xml:space="preserve"> </w:t>
      </w:r>
      <w:r>
        <w:t>clearance</w:t>
      </w:r>
      <w:r>
        <w:rPr>
          <w:spacing w:val="-4"/>
        </w:rPr>
        <w:t xml:space="preserve"> </w:t>
      </w:r>
      <w:r>
        <w:t>costs.</w:t>
      </w:r>
      <w:r>
        <w:rPr>
          <w:spacing w:val="-2"/>
        </w:rPr>
        <w:t xml:space="preserve"> </w:t>
      </w:r>
      <w:r>
        <w:t>MOFCOM</w:t>
      </w:r>
      <w:r>
        <w:rPr>
          <w:spacing w:val="-1"/>
        </w:rPr>
        <w:t xml:space="preserve"> </w:t>
      </w:r>
      <w:r>
        <w:t>then</w:t>
      </w:r>
      <w:r>
        <w:rPr>
          <w:spacing w:val="-5"/>
        </w:rPr>
        <w:t xml:space="preserve"> </w:t>
      </w:r>
      <w:r>
        <w:t>provided</w:t>
      </w:r>
      <w:r>
        <w:rPr>
          <w:spacing w:val="-5"/>
        </w:rPr>
        <w:t xml:space="preserve"> </w:t>
      </w:r>
      <w:r>
        <w:t>yearly</w:t>
      </w:r>
      <w:r>
        <w:rPr>
          <w:spacing w:val="-3"/>
        </w:rPr>
        <w:t xml:space="preserve"> </w:t>
      </w:r>
      <w:r>
        <w:t>average</w:t>
      </w:r>
      <w:r>
        <w:rPr>
          <w:spacing w:val="-4"/>
        </w:rPr>
        <w:t xml:space="preserve"> </w:t>
      </w:r>
      <w:r>
        <w:t>unit</w:t>
      </w:r>
      <w:r>
        <w:rPr>
          <w:spacing w:val="-6"/>
        </w:rPr>
        <w:t xml:space="preserve"> </w:t>
      </w:r>
      <w:r>
        <w:t>values</w:t>
      </w:r>
      <w:r>
        <w:rPr>
          <w:spacing w:val="-4"/>
        </w:rPr>
        <w:t xml:space="preserve"> </w:t>
      </w:r>
      <w:r>
        <w:t>that</w:t>
      </w:r>
      <w:r>
        <w:rPr>
          <w:spacing w:val="-6"/>
        </w:rPr>
        <w:t xml:space="preserve"> </w:t>
      </w:r>
      <w:r>
        <w:t>it</w:t>
      </w:r>
      <w:r>
        <w:rPr>
          <w:spacing w:val="-6"/>
        </w:rPr>
        <w:t xml:space="preserve"> </w:t>
      </w:r>
      <w:r>
        <w:t xml:space="preserve">asserted were the import price for Australian wine. These average prices clearly resulted from some form of calculation. </w:t>
      </w:r>
      <w:r>
        <w:rPr>
          <w:u w:val="single"/>
        </w:rPr>
        <w:t>MOFCOM did not provide information about the pre-adjustment CIF</w:t>
      </w:r>
      <w:r>
        <w:t xml:space="preserve"> </w:t>
      </w:r>
      <w:r>
        <w:rPr>
          <w:u w:val="single"/>
        </w:rPr>
        <w:t>price</w:t>
      </w:r>
      <w:r>
        <w:rPr>
          <w:spacing w:val="-10"/>
          <w:u w:val="single"/>
        </w:rPr>
        <w:t xml:space="preserve"> </w:t>
      </w:r>
      <w:r>
        <w:rPr>
          <w:u w:val="single"/>
        </w:rPr>
        <w:t>used</w:t>
      </w:r>
      <w:r>
        <w:rPr>
          <w:spacing w:val="-4"/>
          <w:u w:val="single"/>
        </w:rPr>
        <w:t xml:space="preserve"> </w:t>
      </w:r>
      <w:r>
        <w:rPr>
          <w:u w:val="single"/>
        </w:rPr>
        <w:t>as</w:t>
      </w:r>
      <w:r>
        <w:rPr>
          <w:spacing w:val="-3"/>
          <w:u w:val="single"/>
        </w:rPr>
        <w:t xml:space="preserve"> </w:t>
      </w:r>
      <w:r>
        <w:rPr>
          <w:u w:val="single"/>
        </w:rPr>
        <w:t>the</w:t>
      </w:r>
      <w:r>
        <w:rPr>
          <w:spacing w:val="-3"/>
          <w:u w:val="single"/>
        </w:rPr>
        <w:t xml:space="preserve"> </w:t>
      </w:r>
      <w:r>
        <w:rPr>
          <w:u w:val="single"/>
        </w:rPr>
        <w:t>base</w:t>
      </w:r>
      <w:r>
        <w:rPr>
          <w:spacing w:val="-3"/>
          <w:u w:val="single"/>
        </w:rPr>
        <w:t xml:space="preserve"> </w:t>
      </w:r>
      <w:r>
        <w:rPr>
          <w:u w:val="single"/>
        </w:rPr>
        <w:t>for</w:t>
      </w:r>
      <w:r>
        <w:rPr>
          <w:spacing w:val="-3"/>
          <w:u w:val="single"/>
        </w:rPr>
        <w:t xml:space="preserve"> </w:t>
      </w:r>
      <w:r>
        <w:rPr>
          <w:u w:val="single"/>
        </w:rPr>
        <w:t>its</w:t>
      </w:r>
      <w:r>
        <w:rPr>
          <w:spacing w:val="-3"/>
          <w:u w:val="single"/>
        </w:rPr>
        <w:t xml:space="preserve"> </w:t>
      </w:r>
      <w:r>
        <w:rPr>
          <w:u w:val="single"/>
        </w:rPr>
        <w:t>calculation</w:t>
      </w:r>
      <w:r>
        <w:rPr>
          <w:spacing w:val="-4"/>
          <w:u w:val="single"/>
        </w:rPr>
        <w:t xml:space="preserve"> </w:t>
      </w:r>
      <w:r>
        <w:rPr>
          <w:u w:val="single"/>
        </w:rPr>
        <w:t>or</w:t>
      </w:r>
      <w:r>
        <w:rPr>
          <w:spacing w:val="-3"/>
          <w:u w:val="single"/>
        </w:rPr>
        <w:t xml:space="preserve"> </w:t>
      </w:r>
      <w:r>
        <w:rPr>
          <w:u w:val="single"/>
        </w:rPr>
        <w:t>the</w:t>
      </w:r>
      <w:r>
        <w:rPr>
          <w:spacing w:val="-3"/>
          <w:u w:val="single"/>
        </w:rPr>
        <w:t xml:space="preserve"> </w:t>
      </w:r>
      <w:r>
        <w:rPr>
          <w:u w:val="single"/>
        </w:rPr>
        <w:t>adjustment</w:t>
      </w:r>
      <w:r>
        <w:rPr>
          <w:spacing w:val="-5"/>
          <w:u w:val="single"/>
        </w:rPr>
        <w:t xml:space="preserve"> </w:t>
      </w:r>
      <w:r>
        <w:rPr>
          <w:u w:val="single"/>
        </w:rPr>
        <w:t>figures</w:t>
      </w:r>
      <w:r>
        <w:rPr>
          <w:spacing w:val="-3"/>
          <w:u w:val="single"/>
        </w:rPr>
        <w:t xml:space="preserve"> </w:t>
      </w:r>
      <w:r>
        <w:rPr>
          <w:u w:val="single"/>
        </w:rPr>
        <w:t>it</w:t>
      </w:r>
      <w:r>
        <w:rPr>
          <w:spacing w:val="-5"/>
          <w:u w:val="single"/>
        </w:rPr>
        <w:t xml:space="preserve"> </w:t>
      </w:r>
      <w:r>
        <w:rPr>
          <w:u w:val="single"/>
        </w:rPr>
        <w:t>applied</w:t>
      </w:r>
      <w:r>
        <w:t>.</w:t>
      </w:r>
      <w:r>
        <w:rPr>
          <w:spacing w:val="-13"/>
        </w:rPr>
        <w:t xml:space="preserve"> </w:t>
      </w:r>
      <w:r>
        <w:t>No</w:t>
      </w:r>
      <w:r>
        <w:rPr>
          <w:spacing w:val="-4"/>
        </w:rPr>
        <w:t xml:space="preserve"> </w:t>
      </w:r>
      <w:r>
        <w:t>information was</w:t>
      </w:r>
      <w:r>
        <w:rPr>
          <w:spacing w:val="-8"/>
        </w:rPr>
        <w:t xml:space="preserve"> </w:t>
      </w:r>
      <w:r>
        <w:t>provided</w:t>
      </w:r>
      <w:r>
        <w:rPr>
          <w:spacing w:val="-9"/>
        </w:rPr>
        <w:t xml:space="preserve"> </w:t>
      </w:r>
      <w:r>
        <w:t>about</w:t>
      </w:r>
      <w:r>
        <w:rPr>
          <w:spacing w:val="-5"/>
        </w:rPr>
        <w:t xml:space="preserve"> </w:t>
      </w:r>
      <w:r>
        <w:t>adjustments</w:t>
      </w:r>
      <w:r>
        <w:rPr>
          <w:spacing w:val="-3"/>
        </w:rPr>
        <w:t xml:space="preserve"> </w:t>
      </w:r>
      <w:r>
        <w:t>that</w:t>
      </w:r>
      <w:r>
        <w:rPr>
          <w:spacing w:val="-5"/>
        </w:rPr>
        <w:t xml:space="preserve"> </w:t>
      </w:r>
      <w:r>
        <w:t>are</w:t>
      </w:r>
      <w:r>
        <w:rPr>
          <w:spacing w:val="-7"/>
        </w:rPr>
        <w:t xml:space="preserve"> </w:t>
      </w:r>
      <w:r>
        <w:t>by</w:t>
      </w:r>
      <w:r>
        <w:rPr>
          <w:spacing w:val="-2"/>
        </w:rPr>
        <w:t xml:space="preserve"> </w:t>
      </w:r>
      <w:r>
        <w:t>their</w:t>
      </w:r>
      <w:r>
        <w:rPr>
          <w:spacing w:val="-8"/>
        </w:rPr>
        <w:t xml:space="preserve"> </w:t>
      </w:r>
      <w:r>
        <w:t>nature</w:t>
      </w:r>
      <w:r>
        <w:rPr>
          <w:spacing w:val="-7"/>
        </w:rPr>
        <w:t xml:space="preserve"> </w:t>
      </w:r>
      <w:r>
        <w:t>non-confidential,</w:t>
      </w:r>
      <w:r>
        <w:rPr>
          <w:spacing w:val="-5"/>
        </w:rPr>
        <w:t xml:space="preserve"> </w:t>
      </w:r>
      <w:r>
        <w:t>such</w:t>
      </w:r>
      <w:r>
        <w:rPr>
          <w:spacing w:val="-9"/>
        </w:rPr>
        <w:t xml:space="preserve"> </w:t>
      </w:r>
      <w:r>
        <w:t>as</w:t>
      </w:r>
      <w:r>
        <w:rPr>
          <w:spacing w:val="-3"/>
        </w:rPr>
        <w:t xml:space="preserve"> </w:t>
      </w:r>
      <w:r>
        <w:t>exchange rates,</w:t>
      </w:r>
      <w:r>
        <w:rPr>
          <w:spacing w:val="-6"/>
        </w:rPr>
        <w:t xml:space="preserve"> </w:t>
      </w:r>
      <w:r>
        <w:t>tariff</w:t>
      </w:r>
      <w:r>
        <w:rPr>
          <w:spacing w:val="-9"/>
        </w:rPr>
        <w:t xml:space="preserve"> </w:t>
      </w:r>
      <w:r>
        <w:t>rates,</w:t>
      </w:r>
      <w:r>
        <w:rPr>
          <w:spacing w:val="-6"/>
        </w:rPr>
        <w:t xml:space="preserve"> </w:t>
      </w:r>
      <w:r>
        <w:t>customs</w:t>
      </w:r>
      <w:r>
        <w:rPr>
          <w:spacing w:val="-9"/>
        </w:rPr>
        <w:t xml:space="preserve"> </w:t>
      </w:r>
      <w:r>
        <w:t>clearance</w:t>
      </w:r>
      <w:r>
        <w:rPr>
          <w:spacing w:val="-8"/>
        </w:rPr>
        <w:t xml:space="preserve"> </w:t>
      </w:r>
      <w:r>
        <w:t>costs</w:t>
      </w:r>
      <w:r>
        <w:rPr>
          <w:spacing w:val="-9"/>
        </w:rPr>
        <w:t xml:space="preserve"> </w:t>
      </w:r>
      <w:r>
        <w:t>and</w:t>
      </w:r>
      <w:r>
        <w:rPr>
          <w:spacing w:val="-10"/>
        </w:rPr>
        <w:t xml:space="preserve"> </w:t>
      </w:r>
      <w:r>
        <w:t>the</w:t>
      </w:r>
      <w:r>
        <w:rPr>
          <w:spacing w:val="-8"/>
        </w:rPr>
        <w:t xml:space="preserve"> </w:t>
      </w:r>
      <w:r>
        <w:t>monthly</w:t>
      </w:r>
      <w:r>
        <w:rPr>
          <w:spacing w:val="-8"/>
        </w:rPr>
        <w:t xml:space="preserve"> </w:t>
      </w:r>
      <w:r>
        <w:t>average</w:t>
      </w:r>
      <w:r>
        <w:rPr>
          <w:spacing w:val="-8"/>
        </w:rPr>
        <w:t xml:space="preserve"> </w:t>
      </w:r>
      <w:r>
        <w:t>exchange</w:t>
      </w:r>
      <w:r>
        <w:rPr>
          <w:spacing w:val="-8"/>
        </w:rPr>
        <w:t xml:space="preserve"> </w:t>
      </w:r>
      <w:r>
        <w:t>rate</w:t>
      </w:r>
      <w:r>
        <w:rPr>
          <w:spacing w:val="-8"/>
        </w:rPr>
        <w:t xml:space="preserve"> </w:t>
      </w:r>
      <w:r>
        <w:t>published by the People's Bank of China. The failure to provide this non-confidential information prevented</w:t>
      </w:r>
      <w:r>
        <w:rPr>
          <w:spacing w:val="-8"/>
        </w:rPr>
        <w:t xml:space="preserve"> </w:t>
      </w:r>
      <w:r>
        <w:t>interested</w:t>
      </w:r>
      <w:r>
        <w:rPr>
          <w:spacing w:val="-8"/>
        </w:rPr>
        <w:t xml:space="preserve"> </w:t>
      </w:r>
      <w:r>
        <w:t>parties</w:t>
      </w:r>
      <w:r>
        <w:rPr>
          <w:spacing w:val="-7"/>
        </w:rPr>
        <w:t xml:space="preserve"> </w:t>
      </w:r>
      <w:r>
        <w:t>from</w:t>
      </w:r>
      <w:r>
        <w:rPr>
          <w:spacing w:val="-6"/>
        </w:rPr>
        <w:t xml:space="preserve"> </w:t>
      </w:r>
      <w:r>
        <w:t>being</w:t>
      </w:r>
      <w:r>
        <w:rPr>
          <w:spacing w:val="-5"/>
        </w:rPr>
        <w:t xml:space="preserve"> </w:t>
      </w:r>
      <w:r>
        <w:t>able</w:t>
      </w:r>
      <w:r>
        <w:rPr>
          <w:spacing w:val="-6"/>
        </w:rPr>
        <w:t xml:space="preserve"> </w:t>
      </w:r>
      <w:r>
        <w:t>to</w:t>
      </w:r>
      <w:r>
        <w:rPr>
          <w:spacing w:val="-3"/>
        </w:rPr>
        <w:t xml:space="preserve"> </w:t>
      </w:r>
      <w:r>
        <w:t>understand</w:t>
      </w:r>
      <w:r>
        <w:rPr>
          <w:spacing w:val="-8"/>
        </w:rPr>
        <w:t xml:space="preserve"> </w:t>
      </w:r>
      <w:r>
        <w:t>and</w:t>
      </w:r>
      <w:r>
        <w:rPr>
          <w:spacing w:val="-3"/>
        </w:rPr>
        <w:t xml:space="preserve"> </w:t>
      </w:r>
      <w:r>
        <w:t>prepare</w:t>
      </w:r>
      <w:r>
        <w:rPr>
          <w:spacing w:val="-2"/>
        </w:rPr>
        <w:t xml:space="preserve"> </w:t>
      </w:r>
      <w:r>
        <w:t>submissions</w:t>
      </w:r>
      <w:r>
        <w:rPr>
          <w:spacing w:val="-7"/>
        </w:rPr>
        <w:t xml:space="preserve"> </w:t>
      </w:r>
      <w:r>
        <w:t>on</w:t>
      </w:r>
      <w:r>
        <w:rPr>
          <w:spacing w:val="-3"/>
        </w:rPr>
        <w:t xml:space="preserve"> </w:t>
      </w:r>
      <w:r>
        <w:t>the calculation of CIF price and the final import price.</w:t>
      </w:r>
      <w:hyperlink w:anchor="_bookmark1845" w:history="1">
        <w:r>
          <w:rPr>
            <w:vertAlign w:val="superscript"/>
          </w:rPr>
          <w:t>1612</w:t>
        </w:r>
      </w:hyperlink>
    </w:p>
    <w:p w14:paraId="46A2B3F2" w14:textId="77777777" w:rsidR="00BD462C" w:rsidRDefault="00BD462C">
      <w:pPr>
        <w:pStyle w:val="BodyText"/>
        <w:spacing w:before="10"/>
        <w:rPr>
          <w:sz w:val="19"/>
        </w:rPr>
      </w:pPr>
    </w:p>
    <w:p w14:paraId="6ADE2E6B" w14:textId="77777777" w:rsidR="00BD462C" w:rsidRDefault="00033D0F">
      <w:pPr>
        <w:pStyle w:val="ListParagraph"/>
        <w:numPr>
          <w:ilvl w:val="1"/>
          <w:numId w:val="4"/>
        </w:numPr>
        <w:tabs>
          <w:tab w:val="left" w:pos="985"/>
          <w:tab w:val="left" w:pos="986"/>
        </w:tabs>
        <w:spacing w:before="0"/>
        <w:ind w:hanging="851"/>
        <w:rPr>
          <w:b/>
          <w:sz w:val="24"/>
        </w:rPr>
      </w:pPr>
      <w:bookmarkStart w:id="2154" w:name="B.14_Item_18"/>
      <w:bookmarkEnd w:id="2154"/>
      <w:r>
        <w:rPr>
          <w:b/>
          <w:sz w:val="24"/>
        </w:rPr>
        <w:t>I</w:t>
      </w:r>
      <w:r>
        <w:rPr>
          <w:b/>
          <w:sz w:val="19"/>
        </w:rPr>
        <w:t>TEM</w:t>
      </w:r>
      <w:r>
        <w:rPr>
          <w:b/>
          <w:spacing w:val="3"/>
          <w:sz w:val="19"/>
        </w:rPr>
        <w:t xml:space="preserve"> </w:t>
      </w:r>
      <w:r>
        <w:rPr>
          <w:b/>
          <w:spacing w:val="-5"/>
          <w:sz w:val="24"/>
        </w:rPr>
        <w:t>18</w:t>
      </w:r>
    </w:p>
    <w:p w14:paraId="68A7A11A" w14:textId="77777777" w:rsidR="00BD462C" w:rsidRDefault="00BD462C">
      <w:pPr>
        <w:pStyle w:val="BodyText"/>
        <w:spacing w:before="1"/>
        <w:rPr>
          <w:b/>
          <w:sz w:val="25"/>
        </w:rPr>
      </w:pPr>
    </w:p>
    <w:p w14:paraId="01DC4162" w14:textId="77777777" w:rsidR="00BD462C" w:rsidRDefault="00033D0F">
      <w:pPr>
        <w:spacing w:line="276" w:lineRule="auto"/>
        <w:ind w:left="985" w:right="912"/>
        <w:jc w:val="both"/>
      </w:pPr>
      <w:r>
        <w:t>MOFCOM failed to provide all non-confidential information regarding its calculation of the average</w:t>
      </w:r>
      <w:r>
        <w:rPr>
          <w:spacing w:val="-8"/>
        </w:rPr>
        <w:t xml:space="preserve"> </w:t>
      </w:r>
      <w:r>
        <w:t>unit</w:t>
      </w:r>
      <w:r>
        <w:rPr>
          <w:spacing w:val="-11"/>
        </w:rPr>
        <w:t xml:space="preserve"> </w:t>
      </w:r>
      <w:r>
        <w:t>price</w:t>
      </w:r>
      <w:r>
        <w:rPr>
          <w:spacing w:val="-8"/>
        </w:rPr>
        <w:t xml:space="preserve"> </w:t>
      </w:r>
      <w:r>
        <w:t>of</w:t>
      </w:r>
      <w:r>
        <w:rPr>
          <w:spacing w:val="-9"/>
        </w:rPr>
        <w:t xml:space="preserve"> </w:t>
      </w:r>
      <w:r>
        <w:t>domestic</w:t>
      </w:r>
      <w:r>
        <w:rPr>
          <w:spacing w:val="-11"/>
        </w:rPr>
        <w:t xml:space="preserve"> </w:t>
      </w:r>
      <w:r>
        <w:t>like</w:t>
      </w:r>
      <w:r>
        <w:rPr>
          <w:spacing w:val="-8"/>
        </w:rPr>
        <w:t xml:space="preserve"> </w:t>
      </w:r>
      <w:r>
        <w:t>products.</w:t>
      </w:r>
      <w:r>
        <w:rPr>
          <w:spacing w:val="-7"/>
        </w:rPr>
        <w:t xml:space="preserve"> </w:t>
      </w:r>
      <w:r>
        <w:t>In</w:t>
      </w:r>
      <w:r>
        <w:rPr>
          <w:spacing w:val="-10"/>
        </w:rPr>
        <w:t xml:space="preserve"> </w:t>
      </w:r>
      <w:r>
        <w:t>its</w:t>
      </w:r>
      <w:r>
        <w:rPr>
          <w:spacing w:val="-9"/>
        </w:rPr>
        <w:t xml:space="preserve"> </w:t>
      </w:r>
      <w:r>
        <w:t>Final</w:t>
      </w:r>
      <w:r>
        <w:rPr>
          <w:spacing w:val="-12"/>
        </w:rPr>
        <w:t xml:space="preserve"> </w:t>
      </w:r>
      <w:r>
        <w:t>Determination,</w:t>
      </w:r>
      <w:r>
        <w:rPr>
          <w:spacing w:val="-6"/>
        </w:rPr>
        <w:t xml:space="preserve"> </w:t>
      </w:r>
      <w:r>
        <w:t>MOFCOM</w:t>
      </w:r>
      <w:r>
        <w:rPr>
          <w:spacing w:val="-11"/>
        </w:rPr>
        <w:t xml:space="preserve"> </w:t>
      </w:r>
      <w:r>
        <w:t>stated</w:t>
      </w:r>
      <w:r>
        <w:rPr>
          <w:spacing w:val="-10"/>
        </w:rPr>
        <w:t xml:space="preserve"> </w:t>
      </w:r>
      <w:r>
        <w:t>that "[b]y summarizing the responses to the Questionnaire for Domestic Producers, the Investigating</w:t>
      </w:r>
      <w:r>
        <w:rPr>
          <w:spacing w:val="-6"/>
        </w:rPr>
        <w:t xml:space="preserve"> </w:t>
      </w:r>
      <w:r>
        <w:t>Authority</w:t>
      </w:r>
      <w:r>
        <w:rPr>
          <w:spacing w:val="-7"/>
        </w:rPr>
        <w:t xml:space="preserve"> </w:t>
      </w:r>
      <w:r>
        <w:t>took</w:t>
      </w:r>
      <w:r>
        <w:rPr>
          <w:spacing w:val="-8"/>
        </w:rPr>
        <w:t xml:space="preserve"> </w:t>
      </w:r>
      <w:r>
        <w:t>the</w:t>
      </w:r>
      <w:r>
        <w:rPr>
          <w:spacing w:val="-7"/>
        </w:rPr>
        <w:t xml:space="preserve"> </w:t>
      </w:r>
      <w:r>
        <w:t>weighted</w:t>
      </w:r>
      <w:r>
        <w:rPr>
          <w:spacing w:val="-9"/>
        </w:rPr>
        <w:t xml:space="preserve"> </w:t>
      </w:r>
      <w:r>
        <w:t>average</w:t>
      </w:r>
      <w:r>
        <w:rPr>
          <w:spacing w:val="-7"/>
        </w:rPr>
        <w:t xml:space="preserve"> </w:t>
      </w:r>
      <w:r>
        <w:t>price</w:t>
      </w:r>
      <w:r>
        <w:rPr>
          <w:spacing w:val="-7"/>
        </w:rPr>
        <w:t xml:space="preserve"> </w:t>
      </w:r>
      <w:r>
        <w:t>of</w:t>
      </w:r>
      <w:r>
        <w:rPr>
          <w:spacing w:val="-8"/>
        </w:rPr>
        <w:t xml:space="preserve"> </w:t>
      </w:r>
      <w:r>
        <w:t>the</w:t>
      </w:r>
      <w:r>
        <w:rPr>
          <w:spacing w:val="-7"/>
        </w:rPr>
        <w:t xml:space="preserve"> </w:t>
      </w:r>
      <w:r>
        <w:t>factory</w:t>
      </w:r>
      <w:r>
        <w:rPr>
          <w:spacing w:val="-7"/>
        </w:rPr>
        <w:t xml:space="preserve"> </w:t>
      </w:r>
      <w:r>
        <w:t>prices</w:t>
      </w:r>
      <w:r>
        <w:rPr>
          <w:spacing w:val="-8"/>
        </w:rPr>
        <w:t xml:space="preserve"> </w:t>
      </w:r>
      <w:r>
        <w:t>of</w:t>
      </w:r>
      <w:r>
        <w:rPr>
          <w:spacing w:val="-8"/>
        </w:rPr>
        <w:t xml:space="preserve"> </w:t>
      </w:r>
      <w:r>
        <w:t>domestic</w:t>
      </w:r>
      <w:r>
        <w:rPr>
          <w:spacing w:val="-10"/>
        </w:rPr>
        <w:t xml:space="preserve"> </w:t>
      </w:r>
      <w:r>
        <w:t xml:space="preserve">like products as the price of these products". </w:t>
      </w:r>
      <w:r>
        <w:rPr>
          <w:u w:val="single"/>
        </w:rPr>
        <w:t>MOFCOM did not disclose the non-confidential</w:t>
      </w:r>
      <w:r>
        <w:t xml:space="preserve"> </w:t>
      </w:r>
      <w:r>
        <w:rPr>
          <w:u w:val="single"/>
        </w:rPr>
        <w:t>information</w:t>
      </w:r>
      <w:r>
        <w:rPr>
          <w:spacing w:val="-9"/>
          <w:u w:val="single"/>
        </w:rPr>
        <w:t xml:space="preserve"> </w:t>
      </w:r>
      <w:r>
        <w:rPr>
          <w:u w:val="single"/>
        </w:rPr>
        <w:t>relating</w:t>
      </w:r>
      <w:r>
        <w:rPr>
          <w:spacing w:val="-6"/>
          <w:u w:val="single"/>
        </w:rPr>
        <w:t xml:space="preserve"> </w:t>
      </w:r>
      <w:r>
        <w:rPr>
          <w:u w:val="single"/>
        </w:rPr>
        <w:t>to:</w:t>
      </w:r>
      <w:r>
        <w:rPr>
          <w:spacing w:val="-9"/>
          <w:u w:val="single"/>
        </w:rPr>
        <w:t xml:space="preserve"> </w:t>
      </w:r>
      <w:r>
        <w:rPr>
          <w:u w:val="single"/>
        </w:rPr>
        <w:t>(i)</w:t>
      </w:r>
      <w:r>
        <w:rPr>
          <w:spacing w:val="-8"/>
          <w:u w:val="single"/>
        </w:rPr>
        <w:t xml:space="preserve"> </w:t>
      </w:r>
      <w:r>
        <w:rPr>
          <w:u w:val="single"/>
        </w:rPr>
        <w:t>price</w:t>
      </w:r>
      <w:r>
        <w:rPr>
          <w:spacing w:val="-7"/>
          <w:u w:val="single"/>
        </w:rPr>
        <w:t xml:space="preserve"> </w:t>
      </w:r>
      <w:r>
        <w:rPr>
          <w:u w:val="single"/>
        </w:rPr>
        <w:t>data</w:t>
      </w:r>
      <w:r>
        <w:rPr>
          <w:spacing w:val="-8"/>
          <w:u w:val="single"/>
        </w:rPr>
        <w:t xml:space="preserve"> </w:t>
      </w:r>
      <w:r>
        <w:rPr>
          <w:u w:val="single"/>
        </w:rPr>
        <w:t>provided</w:t>
      </w:r>
      <w:r>
        <w:rPr>
          <w:spacing w:val="-9"/>
          <w:u w:val="single"/>
        </w:rPr>
        <w:t xml:space="preserve"> </w:t>
      </w:r>
      <w:r>
        <w:rPr>
          <w:u w:val="single"/>
        </w:rPr>
        <w:t>by</w:t>
      </w:r>
      <w:r>
        <w:rPr>
          <w:spacing w:val="-7"/>
          <w:u w:val="single"/>
        </w:rPr>
        <w:t xml:space="preserve"> </w:t>
      </w:r>
      <w:r>
        <w:rPr>
          <w:u w:val="single"/>
        </w:rPr>
        <w:t>the</w:t>
      </w:r>
      <w:r>
        <w:rPr>
          <w:spacing w:val="-7"/>
          <w:u w:val="single"/>
        </w:rPr>
        <w:t xml:space="preserve"> </w:t>
      </w:r>
      <w:r>
        <w:rPr>
          <w:u w:val="single"/>
        </w:rPr>
        <w:t>Chinese</w:t>
      </w:r>
      <w:r>
        <w:rPr>
          <w:spacing w:val="-7"/>
          <w:u w:val="single"/>
        </w:rPr>
        <w:t xml:space="preserve"> </w:t>
      </w:r>
      <w:r>
        <w:rPr>
          <w:u w:val="single"/>
        </w:rPr>
        <w:t>domestic</w:t>
      </w:r>
      <w:r>
        <w:rPr>
          <w:spacing w:val="-10"/>
          <w:u w:val="single"/>
        </w:rPr>
        <w:t xml:space="preserve"> </w:t>
      </w:r>
      <w:r>
        <w:rPr>
          <w:u w:val="single"/>
        </w:rPr>
        <w:t>industry</w:t>
      </w:r>
      <w:r>
        <w:rPr>
          <w:spacing w:val="-7"/>
          <w:u w:val="single"/>
        </w:rPr>
        <w:t xml:space="preserve"> </w:t>
      </w:r>
      <w:r>
        <w:rPr>
          <w:u w:val="single"/>
        </w:rPr>
        <w:t>that</w:t>
      </w:r>
      <w:r>
        <w:rPr>
          <w:spacing w:val="-10"/>
          <w:u w:val="single"/>
        </w:rPr>
        <w:t xml:space="preserve"> </w:t>
      </w:r>
      <w:r>
        <w:rPr>
          <w:u w:val="single"/>
        </w:rPr>
        <w:t>it</w:t>
      </w:r>
      <w:r>
        <w:rPr>
          <w:spacing w:val="-10"/>
          <w:u w:val="single"/>
        </w:rPr>
        <w:t xml:space="preserve"> </w:t>
      </w:r>
      <w:r>
        <w:rPr>
          <w:u w:val="single"/>
        </w:rPr>
        <w:t>relied</w:t>
      </w:r>
      <w:r>
        <w:t xml:space="preserve"> </w:t>
      </w:r>
      <w:r>
        <w:rPr>
          <w:u w:val="single"/>
        </w:rPr>
        <w:t>upon;</w:t>
      </w:r>
      <w:r>
        <w:rPr>
          <w:spacing w:val="-6"/>
          <w:u w:val="single"/>
        </w:rPr>
        <w:t xml:space="preserve"> </w:t>
      </w:r>
      <w:r>
        <w:rPr>
          <w:u w:val="single"/>
        </w:rPr>
        <w:t>(ii)</w:t>
      </w:r>
      <w:r>
        <w:rPr>
          <w:spacing w:val="-4"/>
          <w:u w:val="single"/>
        </w:rPr>
        <w:t xml:space="preserve"> </w:t>
      </w:r>
      <w:r>
        <w:rPr>
          <w:u w:val="single"/>
        </w:rPr>
        <w:t>the</w:t>
      </w:r>
      <w:r>
        <w:rPr>
          <w:spacing w:val="-4"/>
          <w:u w:val="single"/>
        </w:rPr>
        <w:t xml:space="preserve"> </w:t>
      </w:r>
      <w:proofErr w:type="spellStart"/>
      <w:r>
        <w:rPr>
          <w:u w:val="single"/>
        </w:rPr>
        <w:t>summarising</w:t>
      </w:r>
      <w:proofErr w:type="spellEnd"/>
      <w:r>
        <w:rPr>
          <w:spacing w:val="-3"/>
          <w:u w:val="single"/>
        </w:rPr>
        <w:t xml:space="preserve"> </w:t>
      </w:r>
      <w:r>
        <w:rPr>
          <w:u w:val="single"/>
        </w:rPr>
        <w:t>process</w:t>
      </w:r>
      <w:r>
        <w:rPr>
          <w:spacing w:val="-4"/>
          <w:u w:val="single"/>
        </w:rPr>
        <w:t xml:space="preserve"> </w:t>
      </w:r>
      <w:r>
        <w:rPr>
          <w:u w:val="single"/>
        </w:rPr>
        <w:t>that</w:t>
      </w:r>
      <w:r>
        <w:rPr>
          <w:spacing w:val="-6"/>
          <w:u w:val="single"/>
        </w:rPr>
        <w:t xml:space="preserve"> </w:t>
      </w:r>
      <w:r>
        <w:rPr>
          <w:u w:val="single"/>
        </w:rPr>
        <w:t>it</w:t>
      </w:r>
      <w:r>
        <w:rPr>
          <w:spacing w:val="-6"/>
          <w:u w:val="single"/>
        </w:rPr>
        <w:t xml:space="preserve"> </w:t>
      </w:r>
      <w:r>
        <w:rPr>
          <w:u w:val="single"/>
        </w:rPr>
        <w:t>undertook;</w:t>
      </w:r>
      <w:r>
        <w:rPr>
          <w:spacing w:val="-6"/>
          <w:u w:val="single"/>
        </w:rPr>
        <w:t xml:space="preserve"> </w:t>
      </w:r>
      <w:r>
        <w:rPr>
          <w:u w:val="single"/>
        </w:rPr>
        <w:t>(iii)</w:t>
      </w:r>
      <w:r>
        <w:rPr>
          <w:spacing w:val="-4"/>
          <w:u w:val="single"/>
        </w:rPr>
        <w:t xml:space="preserve"> </w:t>
      </w:r>
      <w:r>
        <w:rPr>
          <w:u w:val="single"/>
        </w:rPr>
        <w:t>the</w:t>
      </w:r>
      <w:r>
        <w:rPr>
          <w:spacing w:val="-4"/>
          <w:u w:val="single"/>
        </w:rPr>
        <w:t xml:space="preserve"> </w:t>
      </w:r>
      <w:r>
        <w:rPr>
          <w:u w:val="single"/>
        </w:rPr>
        <w:t>weighting</w:t>
      </w:r>
      <w:r>
        <w:rPr>
          <w:spacing w:val="-3"/>
          <w:u w:val="single"/>
        </w:rPr>
        <w:t xml:space="preserve"> </w:t>
      </w:r>
      <w:r>
        <w:rPr>
          <w:u w:val="single"/>
        </w:rPr>
        <w:t>that</w:t>
      </w:r>
      <w:r>
        <w:rPr>
          <w:spacing w:val="-6"/>
          <w:u w:val="single"/>
        </w:rPr>
        <w:t xml:space="preserve"> </w:t>
      </w:r>
      <w:r>
        <w:rPr>
          <w:u w:val="single"/>
        </w:rPr>
        <w:t>was</w:t>
      </w:r>
      <w:r>
        <w:rPr>
          <w:spacing w:val="-4"/>
          <w:u w:val="single"/>
        </w:rPr>
        <w:t xml:space="preserve"> </w:t>
      </w:r>
      <w:r>
        <w:rPr>
          <w:u w:val="single"/>
        </w:rPr>
        <w:t>applied</w:t>
      </w:r>
      <w:r>
        <w:rPr>
          <w:spacing w:val="-5"/>
          <w:u w:val="single"/>
        </w:rPr>
        <w:t xml:space="preserve"> </w:t>
      </w:r>
      <w:r>
        <w:rPr>
          <w:u w:val="single"/>
        </w:rPr>
        <w:t>and</w:t>
      </w:r>
      <w:r>
        <w:t xml:space="preserve"> </w:t>
      </w:r>
      <w:r>
        <w:rPr>
          <w:u w:val="single"/>
        </w:rPr>
        <w:t>why</w:t>
      </w:r>
      <w:r>
        <w:rPr>
          <w:spacing w:val="-2"/>
          <w:u w:val="single"/>
        </w:rPr>
        <w:t xml:space="preserve"> </w:t>
      </w:r>
      <w:r>
        <w:rPr>
          <w:u w:val="single"/>
        </w:rPr>
        <w:t>it</w:t>
      </w:r>
      <w:r>
        <w:rPr>
          <w:spacing w:val="-5"/>
          <w:u w:val="single"/>
        </w:rPr>
        <w:t xml:space="preserve"> </w:t>
      </w:r>
      <w:r>
        <w:rPr>
          <w:u w:val="single"/>
        </w:rPr>
        <w:t>was</w:t>
      </w:r>
      <w:r>
        <w:rPr>
          <w:spacing w:val="-3"/>
          <w:u w:val="single"/>
        </w:rPr>
        <w:t xml:space="preserve"> </w:t>
      </w:r>
      <w:r>
        <w:rPr>
          <w:u w:val="single"/>
        </w:rPr>
        <w:t>required;</w:t>
      </w:r>
      <w:r>
        <w:rPr>
          <w:spacing w:val="-5"/>
          <w:u w:val="single"/>
        </w:rPr>
        <w:t xml:space="preserve"> </w:t>
      </w:r>
      <w:r>
        <w:rPr>
          <w:u w:val="single"/>
        </w:rPr>
        <w:t>or</w:t>
      </w:r>
      <w:r>
        <w:rPr>
          <w:spacing w:val="-3"/>
          <w:u w:val="single"/>
        </w:rPr>
        <w:t xml:space="preserve"> </w:t>
      </w:r>
      <w:r>
        <w:rPr>
          <w:u w:val="single"/>
        </w:rPr>
        <w:t>(iv)</w:t>
      </w:r>
      <w:r>
        <w:rPr>
          <w:spacing w:val="-3"/>
          <w:u w:val="single"/>
        </w:rPr>
        <w:t xml:space="preserve"> </w:t>
      </w:r>
      <w:r>
        <w:rPr>
          <w:u w:val="single"/>
        </w:rPr>
        <w:t>the</w:t>
      </w:r>
      <w:r>
        <w:rPr>
          <w:spacing w:val="-3"/>
          <w:u w:val="single"/>
        </w:rPr>
        <w:t xml:space="preserve"> </w:t>
      </w:r>
      <w:r>
        <w:rPr>
          <w:u w:val="single"/>
        </w:rPr>
        <w:t>adjustments</w:t>
      </w:r>
      <w:r>
        <w:rPr>
          <w:spacing w:val="-3"/>
          <w:u w:val="single"/>
        </w:rPr>
        <w:t xml:space="preserve"> </w:t>
      </w:r>
      <w:r>
        <w:rPr>
          <w:u w:val="single"/>
        </w:rPr>
        <w:t>it</w:t>
      </w:r>
      <w:r>
        <w:rPr>
          <w:spacing w:val="-5"/>
          <w:u w:val="single"/>
        </w:rPr>
        <w:t xml:space="preserve"> </w:t>
      </w:r>
      <w:r>
        <w:rPr>
          <w:u w:val="single"/>
        </w:rPr>
        <w:t>applied,</w:t>
      </w:r>
      <w:r>
        <w:rPr>
          <w:spacing w:val="-6"/>
          <w:u w:val="single"/>
        </w:rPr>
        <w:t xml:space="preserve"> </w:t>
      </w:r>
      <w:r>
        <w:rPr>
          <w:u w:val="single"/>
        </w:rPr>
        <w:t>if</w:t>
      </w:r>
      <w:r>
        <w:rPr>
          <w:spacing w:val="-4"/>
          <w:u w:val="single"/>
        </w:rPr>
        <w:t xml:space="preserve"> </w:t>
      </w:r>
      <w:r>
        <w:rPr>
          <w:u w:val="single"/>
        </w:rPr>
        <w:t>any.</w:t>
      </w:r>
      <w:r>
        <w:t xml:space="preserve"> The</w:t>
      </w:r>
      <w:r>
        <w:rPr>
          <w:spacing w:val="-3"/>
        </w:rPr>
        <w:t xml:space="preserve"> </w:t>
      </w:r>
      <w:r>
        <w:t>lack</w:t>
      </w:r>
      <w:r>
        <w:rPr>
          <w:spacing w:val="-3"/>
        </w:rPr>
        <w:t xml:space="preserve"> </w:t>
      </w:r>
      <w:r>
        <w:t>of</w:t>
      </w:r>
      <w:r>
        <w:rPr>
          <w:spacing w:val="-4"/>
        </w:rPr>
        <w:t xml:space="preserve"> </w:t>
      </w:r>
      <w:r>
        <w:t>all</w:t>
      </w:r>
      <w:r>
        <w:rPr>
          <w:spacing w:val="-1"/>
        </w:rPr>
        <w:t xml:space="preserve"> </w:t>
      </w:r>
      <w:r>
        <w:t>non-confidential information prevented the interested parties from preparing presentations on the price of domestic like products.</w:t>
      </w:r>
      <w:hyperlink w:anchor="_bookmark1846" w:history="1">
        <w:r>
          <w:rPr>
            <w:vertAlign w:val="superscript"/>
          </w:rPr>
          <w:t>1613</w:t>
        </w:r>
      </w:hyperlink>
    </w:p>
    <w:p w14:paraId="79C50565" w14:textId="77777777" w:rsidR="00BD462C" w:rsidRDefault="00BD462C">
      <w:pPr>
        <w:pStyle w:val="BodyText"/>
        <w:spacing w:before="6"/>
        <w:rPr>
          <w:sz w:val="19"/>
        </w:rPr>
      </w:pPr>
    </w:p>
    <w:p w14:paraId="166CE7C3" w14:textId="77777777" w:rsidR="00BD462C" w:rsidRDefault="00033D0F">
      <w:pPr>
        <w:pStyle w:val="ListParagraph"/>
        <w:numPr>
          <w:ilvl w:val="1"/>
          <w:numId w:val="4"/>
        </w:numPr>
        <w:tabs>
          <w:tab w:val="left" w:pos="985"/>
          <w:tab w:val="left" w:pos="986"/>
        </w:tabs>
        <w:spacing w:before="1"/>
        <w:ind w:hanging="851"/>
        <w:rPr>
          <w:b/>
          <w:sz w:val="24"/>
        </w:rPr>
      </w:pPr>
      <w:bookmarkStart w:id="2155" w:name="B.15_Item_19"/>
      <w:bookmarkEnd w:id="2155"/>
      <w:r>
        <w:rPr>
          <w:b/>
          <w:sz w:val="24"/>
        </w:rPr>
        <w:t>I</w:t>
      </w:r>
      <w:r>
        <w:rPr>
          <w:b/>
          <w:sz w:val="19"/>
        </w:rPr>
        <w:t>TEM</w:t>
      </w:r>
      <w:r>
        <w:rPr>
          <w:b/>
          <w:spacing w:val="3"/>
          <w:sz w:val="19"/>
        </w:rPr>
        <w:t xml:space="preserve"> </w:t>
      </w:r>
      <w:r>
        <w:rPr>
          <w:b/>
          <w:spacing w:val="-5"/>
          <w:sz w:val="24"/>
        </w:rPr>
        <w:t>19</w:t>
      </w:r>
    </w:p>
    <w:p w14:paraId="6B03D5D1" w14:textId="77777777" w:rsidR="00BD462C" w:rsidRDefault="00BD462C">
      <w:pPr>
        <w:pStyle w:val="BodyText"/>
        <w:spacing w:before="1"/>
        <w:rPr>
          <w:b/>
          <w:sz w:val="25"/>
        </w:rPr>
      </w:pPr>
    </w:p>
    <w:p w14:paraId="0D2E92B0" w14:textId="77777777" w:rsidR="00BD462C" w:rsidRDefault="00033D0F">
      <w:pPr>
        <w:spacing w:line="276" w:lineRule="auto"/>
        <w:ind w:left="985" w:right="913"/>
        <w:jc w:val="both"/>
      </w:pPr>
      <w:r>
        <w:t>Further,</w:t>
      </w:r>
      <w:r>
        <w:rPr>
          <w:spacing w:val="-6"/>
        </w:rPr>
        <w:t xml:space="preserve"> </w:t>
      </w:r>
      <w:r>
        <w:t>MOFCOM</w:t>
      </w:r>
      <w:r>
        <w:rPr>
          <w:spacing w:val="-10"/>
        </w:rPr>
        <w:t xml:space="preserve"> </w:t>
      </w:r>
      <w:r>
        <w:t>failed</w:t>
      </w:r>
      <w:r>
        <w:rPr>
          <w:spacing w:val="-9"/>
        </w:rPr>
        <w:t xml:space="preserve"> </w:t>
      </w:r>
      <w:r>
        <w:t>to</w:t>
      </w:r>
      <w:r>
        <w:rPr>
          <w:spacing w:val="-5"/>
        </w:rPr>
        <w:t xml:space="preserve"> </w:t>
      </w:r>
      <w:r>
        <w:t>provide</w:t>
      </w:r>
      <w:r>
        <w:rPr>
          <w:spacing w:val="-7"/>
        </w:rPr>
        <w:t xml:space="preserve"> </w:t>
      </w:r>
      <w:r>
        <w:t>all</w:t>
      </w:r>
      <w:r>
        <w:rPr>
          <w:spacing w:val="-6"/>
        </w:rPr>
        <w:t xml:space="preserve"> </w:t>
      </w:r>
      <w:r>
        <w:t>non-confidential</w:t>
      </w:r>
      <w:r>
        <w:rPr>
          <w:spacing w:val="-6"/>
        </w:rPr>
        <w:t xml:space="preserve"> </w:t>
      </w:r>
      <w:r>
        <w:t>information</w:t>
      </w:r>
      <w:r>
        <w:rPr>
          <w:spacing w:val="-9"/>
        </w:rPr>
        <w:t xml:space="preserve"> </w:t>
      </w:r>
      <w:r>
        <w:t>regarding</w:t>
      </w:r>
      <w:r>
        <w:rPr>
          <w:spacing w:val="-6"/>
        </w:rPr>
        <w:t xml:space="preserve"> </w:t>
      </w:r>
      <w:r>
        <w:t>its</w:t>
      </w:r>
      <w:r>
        <w:rPr>
          <w:spacing w:val="-8"/>
        </w:rPr>
        <w:t xml:space="preserve"> </w:t>
      </w:r>
      <w:r>
        <w:t>calculation of the yearly average import price of non-subject imports. In the Final Determination, MOFCOM</w:t>
      </w:r>
      <w:r>
        <w:rPr>
          <w:spacing w:val="-5"/>
        </w:rPr>
        <w:t xml:space="preserve"> </w:t>
      </w:r>
      <w:r>
        <w:t>only</w:t>
      </w:r>
      <w:r>
        <w:rPr>
          <w:spacing w:val="-2"/>
        </w:rPr>
        <w:t xml:space="preserve"> </w:t>
      </w:r>
      <w:r>
        <w:t>provides</w:t>
      </w:r>
      <w:r>
        <w:rPr>
          <w:spacing w:val="-3"/>
        </w:rPr>
        <w:t xml:space="preserve"> </w:t>
      </w:r>
      <w:r>
        <w:t>the</w:t>
      </w:r>
      <w:r>
        <w:rPr>
          <w:spacing w:val="-3"/>
        </w:rPr>
        <w:t xml:space="preserve"> </w:t>
      </w:r>
      <w:r>
        <w:t>average</w:t>
      </w:r>
      <w:r>
        <w:rPr>
          <w:spacing w:val="-3"/>
        </w:rPr>
        <w:t xml:space="preserve"> </w:t>
      </w:r>
      <w:r>
        <w:t>import</w:t>
      </w:r>
      <w:r>
        <w:rPr>
          <w:spacing w:val="-5"/>
        </w:rPr>
        <w:t xml:space="preserve"> </w:t>
      </w:r>
      <w:r>
        <w:t>price</w:t>
      </w:r>
      <w:r>
        <w:rPr>
          <w:spacing w:val="-3"/>
        </w:rPr>
        <w:t xml:space="preserve"> </w:t>
      </w:r>
      <w:r>
        <w:t>for</w:t>
      </w:r>
      <w:r>
        <w:rPr>
          <w:spacing w:val="-3"/>
        </w:rPr>
        <w:t xml:space="preserve"> </w:t>
      </w:r>
      <w:r>
        <w:t>non-subject</w:t>
      </w:r>
      <w:r>
        <w:rPr>
          <w:spacing w:val="-5"/>
        </w:rPr>
        <w:t xml:space="preserve"> </w:t>
      </w:r>
      <w:r>
        <w:t>imports</w:t>
      </w:r>
      <w:r>
        <w:rPr>
          <w:spacing w:val="-3"/>
        </w:rPr>
        <w:t xml:space="preserve"> </w:t>
      </w:r>
      <w:r>
        <w:t>for two</w:t>
      </w:r>
      <w:r>
        <w:rPr>
          <w:spacing w:val="-5"/>
        </w:rPr>
        <w:t xml:space="preserve"> </w:t>
      </w:r>
      <w:r>
        <w:t>of the</w:t>
      </w:r>
      <w:r>
        <w:rPr>
          <w:spacing w:val="-3"/>
        </w:rPr>
        <w:t xml:space="preserve"> </w:t>
      </w:r>
      <w:r>
        <w:t xml:space="preserve">five years in the Injury POI, 2015 and 2019. </w:t>
      </w:r>
      <w:r>
        <w:rPr>
          <w:u w:val="single"/>
        </w:rPr>
        <w:t>MOFCOM did not provide all non-confidential</w:t>
      </w:r>
      <w:r>
        <w:t xml:space="preserve"> </w:t>
      </w:r>
      <w:r>
        <w:rPr>
          <w:u w:val="single"/>
        </w:rPr>
        <w:t>information regarding: (i) the methodology</w:t>
      </w:r>
      <w:r>
        <w:rPr>
          <w:spacing w:val="-2"/>
          <w:u w:val="single"/>
        </w:rPr>
        <w:t xml:space="preserve"> </w:t>
      </w:r>
      <w:r>
        <w:rPr>
          <w:u w:val="single"/>
        </w:rPr>
        <w:t>it adopted to calculate the average import price</w:t>
      </w:r>
      <w:r>
        <w:t xml:space="preserve"> </w:t>
      </w:r>
      <w:r>
        <w:rPr>
          <w:u w:val="single"/>
        </w:rPr>
        <w:t>for</w:t>
      </w:r>
      <w:r>
        <w:rPr>
          <w:spacing w:val="-7"/>
          <w:u w:val="single"/>
        </w:rPr>
        <w:t xml:space="preserve"> </w:t>
      </w:r>
      <w:r>
        <w:rPr>
          <w:u w:val="single"/>
        </w:rPr>
        <w:t>non-subject</w:t>
      </w:r>
      <w:r>
        <w:rPr>
          <w:spacing w:val="-4"/>
          <w:u w:val="single"/>
        </w:rPr>
        <w:t xml:space="preserve"> </w:t>
      </w:r>
      <w:r>
        <w:rPr>
          <w:u w:val="single"/>
        </w:rPr>
        <w:t>imports;</w:t>
      </w:r>
      <w:r>
        <w:rPr>
          <w:spacing w:val="-8"/>
          <w:u w:val="single"/>
        </w:rPr>
        <w:t xml:space="preserve"> </w:t>
      </w:r>
      <w:r>
        <w:rPr>
          <w:u w:val="single"/>
        </w:rPr>
        <w:t>(ii)</w:t>
      </w:r>
      <w:r>
        <w:rPr>
          <w:spacing w:val="-7"/>
          <w:u w:val="single"/>
        </w:rPr>
        <w:t xml:space="preserve"> </w:t>
      </w:r>
      <w:r>
        <w:rPr>
          <w:u w:val="single"/>
        </w:rPr>
        <w:t>the</w:t>
      </w:r>
      <w:r>
        <w:rPr>
          <w:spacing w:val="-6"/>
          <w:u w:val="single"/>
        </w:rPr>
        <w:t xml:space="preserve"> </w:t>
      </w:r>
      <w:r>
        <w:rPr>
          <w:u w:val="single"/>
        </w:rPr>
        <w:t>value</w:t>
      </w:r>
      <w:r>
        <w:rPr>
          <w:spacing w:val="-6"/>
          <w:u w:val="single"/>
        </w:rPr>
        <w:t xml:space="preserve"> </w:t>
      </w:r>
      <w:r>
        <w:rPr>
          <w:u w:val="single"/>
        </w:rPr>
        <w:t>of</w:t>
      </w:r>
      <w:r>
        <w:rPr>
          <w:spacing w:val="-7"/>
          <w:u w:val="single"/>
        </w:rPr>
        <w:t xml:space="preserve"> </w:t>
      </w:r>
      <w:r>
        <w:rPr>
          <w:u w:val="single"/>
        </w:rPr>
        <w:t>adjustments</w:t>
      </w:r>
      <w:r>
        <w:rPr>
          <w:spacing w:val="-7"/>
          <w:u w:val="single"/>
        </w:rPr>
        <w:t xml:space="preserve"> </w:t>
      </w:r>
      <w:r>
        <w:rPr>
          <w:u w:val="single"/>
        </w:rPr>
        <w:t>(if</w:t>
      </w:r>
      <w:r>
        <w:rPr>
          <w:spacing w:val="-7"/>
          <w:u w:val="single"/>
        </w:rPr>
        <w:t xml:space="preserve"> </w:t>
      </w:r>
      <w:r>
        <w:rPr>
          <w:u w:val="single"/>
        </w:rPr>
        <w:t>any)</w:t>
      </w:r>
      <w:r>
        <w:rPr>
          <w:spacing w:val="-7"/>
          <w:u w:val="single"/>
        </w:rPr>
        <w:t xml:space="preserve"> </w:t>
      </w:r>
      <w:r>
        <w:rPr>
          <w:u w:val="single"/>
        </w:rPr>
        <w:t>that</w:t>
      </w:r>
      <w:r>
        <w:rPr>
          <w:spacing w:val="-9"/>
          <w:u w:val="single"/>
        </w:rPr>
        <w:t xml:space="preserve"> </w:t>
      </w:r>
      <w:r>
        <w:rPr>
          <w:u w:val="single"/>
        </w:rPr>
        <w:t>were</w:t>
      </w:r>
      <w:r>
        <w:rPr>
          <w:spacing w:val="-6"/>
          <w:u w:val="single"/>
        </w:rPr>
        <w:t xml:space="preserve"> </w:t>
      </w:r>
      <w:r>
        <w:rPr>
          <w:u w:val="single"/>
        </w:rPr>
        <w:t>applied;</w:t>
      </w:r>
      <w:r>
        <w:rPr>
          <w:spacing w:val="-8"/>
          <w:u w:val="single"/>
        </w:rPr>
        <w:t xml:space="preserve"> </w:t>
      </w:r>
      <w:r>
        <w:rPr>
          <w:u w:val="single"/>
        </w:rPr>
        <w:t>(iii)</w:t>
      </w:r>
      <w:r>
        <w:rPr>
          <w:spacing w:val="-7"/>
          <w:u w:val="single"/>
        </w:rPr>
        <w:t xml:space="preserve"> </w:t>
      </w:r>
      <w:r>
        <w:rPr>
          <w:u w:val="single"/>
        </w:rPr>
        <w:t>that</w:t>
      </w:r>
      <w:r>
        <w:rPr>
          <w:spacing w:val="-9"/>
          <w:u w:val="single"/>
        </w:rPr>
        <w:t xml:space="preserve"> </w:t>
      </w:r>
      <w:r>
        <w:rPr>
          <w:u w:val="single"/>
        </w:rPr>
        <w:t>data</w:t>
      </w:r>
      <w:r>
        <w:t xml:space="preserve"> </w:t>
      </w:r>
      <w:r>
        <w:rPr>
          <w:u w:val="single"/>
        </w:rPr>
        <w:t>that it relied upon; or (iv) the average yearly import prices for the years of 2016, 2017 and</w:t>
      </w:r>
      <w:r>
        <w:t xml:space="preserve"> </w:t>
      </w:r>
      <w:r>
        <w:rPr>
          <w:u w:val="single"/>
        </w:rPr>
        <w:t>2018.</w:t>
      </w:r>
      <w:r>
        <w:t xml:space="preserve"> Additionally, MOFCOM provided the Australian import price and domestic prices in RMB/kl, but then provided the prices of non-subject imports in USD/kl. MOFCOM should have</w:t>
      </w:r>
      <w:r>
        <w:rPr>
          <w:spacing w:val="-7"/>
        </w:rPr>
        <w:t xml:space="preserve"> </w:t>
      </w:r>
      <w:r>
        <w:t>provided</w:t>
      </w:r>
      <w:r>
        <w:rPr>
          <w:spacing w:val="-9"/>
        </w:rPr>
        <w:t xml:space="preserve"> </w:t>
      </w:r>
      <w:r>
        <w:t>the</w:t>
      </w:r>
      <w:r>
        <w:rPr>
          <w:spacing w:val="-7"/>
        </w:rPr>
        <w:t xml:space="preserve"> </w:t>
      </w:r>
      <w:r>
        <w:t>non-subject</w:t>
      </w:r>
      <w:r>
        <w:rPr>
          <w:spacing w:val="-5"/>
        </w:rPr>
        <w:t xml:space="preserve"> </w:t>
      </w:r>
      <w:r>
        <w:t>import</w:t>
      </w:r>
      <w:r>
        <w:rPr>
          <w:spacing w:val="-10"/>
        </w:rPr>
        <w:t xml:space="preserve"> </w:t>
      </w:r>
      <w:r>
        <w:t>prices</w:t>
      </w:r>
      <w:r>
        <w:rPr>
          <w:spacing w:val="-8"/>
        </w:rPr>
        <w:t xml:space="preserve"> </w:t>
      </w:r>
      <w:r>
        <w:t>in</w:t>
      </w:r>
      <w:r>
        <w:rPr>
          <w:spacing w:val="-9"/>
        </w:rPr>
        <w:t xml:space="preserve"> </w:t>
      </w:r>
      <w:r>
        <w:t>RMB/kl</w:t>
      </w:r>
      <w:r>
        <w:rPr>
          <w:spacing w:val="-6"/>
        </w:rPr>
        <w:t xml:space="preserve"> </w:t>
      </w:r>
      <w:r>
        <w:t>to</w:t>
      </w:r>
      <w:r>
        <w:rPr>
          <w:spacing w:val="-9"/>
        </w:rPr>
        <w:t xml:space="preserve"> </w:t>
      </w:r>
      <w:r>
        <w:t>enable</w:t>
      </w:r>
      <w:r>
        <w:rPr>
          <w:spacing w:val="-7"/>
        </w:rPr>
        <w:t xml:space="preserve"> </w:t>
      </w:r>
      <w:r>
        <w:t>proper</w:t>
      </w:r>
      <w:r>
        <w:rPr>
          <w:spacing w:val="-3"/>
        </w:rPr>
        <w:t xml:space="preserve"> </w:t>
      </w:r>
      <w:r>
        <w:t>comparison.</w:t>
      </w:r>
      <w:r>
        <w:rPr>
          <w:spacing w:val="-6"/>
        </w:rPr>
        <w:t xml:space="preserve"> </w:t>
      </w:r>
      <w:r>
        <w:t>Failure</w:t>
      </w:r>
    </w:p>
    <w:p w14:paraId="4EBE22CF" w14:textId="77777777" w:rsidR="00BD462C" w:rsidRDefault="00BD462C">
      <w:pPr>
        <w:pStyle w:val="BodyText"/>
        <w:rPr>
          <w:sz w:val="20"/>
        </w:rPr>
      </w:pPr>
    </w:p>
    <w:p w14:paraId="6F4A33DE" w14:textId="77777777" w:rsidR="00BD462C" w:rsidRDefault="00BD462C">
      <w:pPr>
        <w:pStyle w:val="BodyText"/>
        <w:rPr>
          <w:sz w:val="20"/>
        </w:rPr>
      </w:pPr>
    </w:p>
    <w:p w14:paraId="0CB4AF3B" w14:textId="77777777" w:rsidR="00BD462C" w:rsidRDefault="00BD462C">
      <w:pPr>
        <w:pStyle w:val="BodyText"/>
        <w:rPr>
          <w:sz w:val="20"/>
        </w:rPr>
      </w:pPr>
    </w:p>
    <w:p w14:paraId="0AB32D59" w14:textId="4AAC6C6E" w:rsidR="00BD462C" w:rsidRDefault="00BD462C">
      <w:pPr>
        <w:pStyle w:val="BodyText"/>
        <w:spacing w:before="10"/>
        <w:rPr>
          <w:sz w:val="25"/>
        </w:rPr>
      </w:pPr>
      <w:bookmarkStart w:id="2156" w:name="_bookmark1845"/>
      <w:bookmarkEnd w:id="2156"/>
    </w:p>
    <w:p w14:paraId="16DF6AAE" w14:textId="53C887C2" w:rsidR="00BD462C" w:rsidRDefault="009A6330">
      <w:pPr>
        <w:spacing w:before="112"/>
        <w:ind w:left="135"/>
        <w:rPr>
          <w:sz w:val="18"/>
        </w:rPr>
      </w:pPr>
      <w:r>
        <w:rPr>
          <w:noProof/>
        </w:rPr>
        <mc:AlternateContent>
          <mc:Choice Requires="wps">
            <w:drawing>
              <wp:anchor distT="0" distB="0" distL="0" distR="0" simplePos="0" relativeHeight="487959040" behindDoc="1" locked="0" layoutInCell="1" allowOverlap="1" wp14:anchorId="1343EEB7" wp14:editId="79EC7653">
                <wp:simplePos x="0" y="0"/>
                <wp:positionH relativeFrom="page">
                  <wp:posOffset>812800</wp:posOffset>
                </wp:positionH>
                <wp:positionV relativeFrom="paragraph">
                  <wp:posOffset>17194</wp:posOffset>
                </wp:positionV>
                <wp:extent cx="1828800" cy="8890"/>
                <wp:effectExtent l="0" t="0" r="0" b="0"/>
                <wp:wrapTopAndBottom/>
                <wp:docPr id="27" name="docshape7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7DC25F" id="docshape712" o:spid="_x0000_s1026" alt="&quot;&quot;" style="position:absolute;margin-left:64pt;margin-top:1.35pt;width:2in;height:.7pt;z-index:-15357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" fillcolor="black" stroked="f">
                <w10:wrap type="topAndBottom" anchorx="page"/>
              </v:rect>
            </w:pict>
          </mc:Fallback>
        </mc:AlternateContent>
      </w:r>
      <w:r w:rsidR="00033D0F">
        <w:rPr>
          <w:position w:val="5"/>
          <w:sz w:val="12"/>
        </w:rPr>
        <w:t>1612</w:t>
      </w:r>
      <w:r w:rsidR="00033D0F">
        <w:rPr>
          <w:spacing w:val="12"/>
          <w:position w:val="5"/>
          <w:sz w:val="12"/>
        </w:rPr>
        <w:t xml:space="preserve"> </w:t>
      </w:r>
      <w:r w:rsidR="00033D0F">
        <w:rPr>
          <w:sz w:val="18"/>
        </w:rPr>
        <w:t>Australia's</w:t>
      </w:r>
      <w:r w:rsidR="00033D0F">
        <w:rPr>
          <w:spacing w:val="-6"/>
          <w:sz w:val="18"/>
        </w:rPr>
        <w:t xml:space="preserve"> </w:t>
      </w:r>
      <w:r w:rsidR="00033D0F">
        <w:rPr>
          <w:sz w:val="18"/>
        </w:rPr>
        <w:t>first</w:t>
      </w:r>
      <w:r w:rsidR="00033D0F">
        <w:rPr>
          <w:spacing w:val="-5"/>
          <w:sz w:val="18"/>
        </w:rPr>
        <w:t xml:space="preserve"> </w:t>
      </w:r>
      <w:r w:rsidR="00033D0F">
        <w:rPr>
          <w:sz w:val="18"/>
        </w:rPr>
        <w:t>written</w:t>
      </w:r>
      <w:r w:rsidR="00033D0F">
        <w:rPr>
          <w:spacing w:val="-2"/>
          <w:sz w:val="18"/>
        </w:rPr>
        <w:t xml:space="preserve"> </w:t>
      </w:r>
      <w:r w:rsidR="00033D0F">
        <w:rPr>
          <w:sz w:val="18"/>
        </w:rPr>
        <w:t>submission,</w:t>
      </w:r>
      <w:r w:rsidR="00033D0F">
        <w:rPr>
          <w:spacing w:val="1"/>
          <w:sz w:val="18"/>
        </w:rPr>
        <w:t xml:space="preserve"> </w:t>
      </w:r>
      <w:r w:rsidR="00033D0F">
        <w:rPr>
          <w:sz w:val="18"/>
        </w:rPr>
        <w:t>para.</w:t>
      </w:r>
      <w:r w:rsidR="00033D0F">
        <w:rPr>
          <w:spacing w:val="-5"/>
          <w:sz w:val="18"/>
        </w:rPr>
        <w:t xml:space="preserve"> </w:t>
      </w:r>
      <w:r w:rsidR="00033D0F">
        <w:rPr>
          <w:sz w:val="18"/>
        </w:rPr>
        <w:t>1000</w:t>
      </w:r>
      <w:r w:rsidR="00033D0F">
        <w:rPr>
          <w:spacing w:val="-8"/>
          <w:sz w:val="18"/>
        </w:rPr>
        <w:t xml:space="preserve"> </w:t>
      </w:r>
      <w:r w:rsidR="00033D0F">
        <w:rPr>
          <w:sz w:val="18"/>
        </w:rPr>
        <w:t>(footnotes</w:t>
      </w:r>
      <w:r w:rsidR="00033D0F">
        <w:rPr>
          <w:spacing w:val="-6"/>
          <w:sz w:val="18"/>
        </w:rPr>
        <w:t xml:space="preserve"> </w:t>
      </w:r>
      <w:r w:rsidR="00033D0F">
        <w:rPr>
          <w:spacing w:val="-2"/>
          <w:sz w:val="18"/>
        </w:rPr>
        <w:t>omitted).</w:t>
      </w:r>
    </w:p>
    <w:p w14:paraId="140C434B" w14:textId="77777777" w:rsidR="00BD462C" w:rsidRDefault="00033D0F">
      <w:pPr>
        <w:spacing w:before="1"/>
        <w:ind w:left="135"/>
        <w:rPr>
          <w:sz w:val="18"/>
        </w:rPr>
      </w:pPr>
      <w:bookmarkStart w:id="2157" w:name="_bookmark1846"/>
      <w:bookmarkEnd w:id="2157"/>
      <w:r>
        <w:rPr>
          <w:position w:val="5"/>
          <w:sz w:val="12"/>
        </w:rPr>
        <w:t>1613</w:t>
      </w:r>
      <w:r>
        <w:rPr>
          <w:spacing w:val="12"/>
          <w:position w:val="5"/>
          <w:sz w:val="12"/>
        </w:rPr>
        <w:t xml:space="preserve"> </w:t>
      </w:r>
      <w:r>
        <w:rPr>
          <w:sz w:val="18"/>
        </w:rPr>
        <w:t>Australia's</w:t>
      </w:r>
      <w:r>
        <w:rPr>
          <w:spacing w:val="-6"/>
          <w:sz w:val="18"/>
        </w:rPr>
        <w:t xml:space="preserve"> </w:t>
      </w:r>
      <w:r>
        <w:rPr>
          <w:sz w:val="18"/>
        </w:rPr>
        <w:t>first</w:t>
      </w:r>
      <w:r>
        <w:rPr>
          <w:spacing w:val="-5"/>
          <w:sz w:val="18"/>
        </w:rPr>
        <w:t xml:space="preserve"> </w:t>
      </w:r>
      <w:r>
        <w:rPr>
          <w:sz w:val="18"/>
        </w:rPr>
        <w:t>written</w:t>
      </w:r>
      <w:r>
        <w:rPr>
          <w:spacing w:val="-2"/>
          <w:sz w:val="18"/>
        </w:rPr>
        <w:t xml:space="preserve"> </w:t>
      </w:r>
      <w:r>
        <w:rPr>
          <w:sz w:val="18"/>
        </w:rPr>
        <w:t>submission,</w:t>
      </w:r>
      <w:r>
        <w:rPr>
          <w:spacing w:val="1"/>
          <w:sz w:val="18"/>
        </w:rPr>
        <w:t xml:space="preserve"> </w:t>
      </w:r>
      <w:r>
        <w:rPr>
          <w:sz w:val="18"/>
        </w:rPr>
        <w:t>para.</w:t>
      </w:r>
      <w:r>
        <w:rPr>
          <w:spacing w:val="-5"/>
          <w:sz w:val="18"/>
        </w:rPr>
        <w:t xml:space="preserve"> </w:t>
      </w:r>
      <w:r>
        <w:rPr>
          <w:sz w:val="18"/>
        </w:rPr>
        <w:t>1001</w:t>
      </w:r>
      <w:r>
        <w:rPr>
          <w:spacing w:val="-8"/>
          <w:sz w:val="18"/>
        </w:rPr>
        <w:t xml:space="preserve"> </w:t>
      </w:r>
      <w:r>
        <w:rPr>
          <w:sz w:val="18"/>
        </w:rPr>
        <w:t>(footnotes</w:t>
      </w:r>
      <w:r>
        <w:rPr>
          <w:spacing w:val="-6"/>
          <w:sz w:val="18"/>
        </w:rPr>
        <w:t xml:space="preserve"> </w:t>
      </w:r>
      <w:r>
        <w:rPr>
          <w:spacing w:val="-2"/>
          <w:sz w:val="18"/>
        </w:rPr>
        <w:t>omitted).</w:t>
      </w:r>
    </w:p>
    <w:p w14:paraId="357E62EC" w14:textId="77777777" w:rsidR="00BD462C" w:rsidRDefault="00BD462C">
      <w:pPr>
        <w:rPr>
          <w:sz w:val="18"/>
        </w:rPr>
        <w:sectPr w:rsidR="00BD462C">
          <w:pgSz w:w="11910" w:h="16840"/>
          <w:pgMar w:top="860" w:right="500" w:bottom="780" w:left="1280" w:header="566" w:footer="590" w:gutter="0"/>
          <w:cols w:space="720"/>
        </w:sectPr>
      </w:pPr>
    </w:p>
    <w:p w14:paraId="4CA5C6EF" w14:textId="77777777" w:rsidR="00BD462C" w:rsidRDefault="00033D0F">
      <w:pPr>
        <w:tabs>
          <w:tab w:val="left" w:pos="6087"/>
        </w:tabs>
        <w:spacing w:before="1"/>
        <w:ind w:left="135"/>
        <w:rPr>
          <w:sz w:val="20"/>
        </w:rPr>
      </w:pPr>
      <w:r>
        <w:rPr>
          <w:i/>
          <w:sz w:val="20"/>
        </w:rPr>
        <w:lastRenderedPageBreak/>
        <w:t>China</w:t>
      </w:r>
      <w:r>
        <w:rPr>
          <w:i/>
          <w:spacing w:val="-9"/>
          <w:sz w:val="20"/>
        </w:rPr>
        <w:t xml:space="preserve"> </w:t>
      </w:r>
      <w:r>
        <w:rPr>
          <w:i/>
          <w:sz w:val="20"/>
        </w:rPr>
        <w:t>–</w:t>
      </w:r>
      <w:r>
        <w:rPr>
          <w:i/>
          <w:spacing w:val="-10"/>
          <w:sz w:val="20"/>
        </w:rPr>
        <w:t xml:space="preserve"> </w:t>
      </w:r>
      <w:r>
        <w:rPr>
          <w:i/>
          <w:sz w:val="20"/>
        </w:rPr>
        <w:t>Anti-Dumping</w:t>
      </w:r>
      <w:r>
        <w:rPr>
          <w:i/>
          <w:spacing w:val="-8"/>
          <w:sz w:val="20"/>
        </w:rPr>
        <w:t xml:space="preserve"> </w:t>
      </w:r>
      <w:r>
        <w:rPr>
          <w:i/>
          <w:sz w:val="20"/>
        </w:rPr>
        <w:t>and</w:t>
      </w:r>
      <w:r>
        <w:rPr>
          <w:i/>
          <w:spacing w:val="-5"/>
          <w:sz w:val="20"/>
        </w:rPr>
        <w:t xml:space="preserve"> </w:t>
      </w:r>
      <w:r>
        <w:rPr>
          <w:i/>
          <w:sz w:val="20"/>
        </w:rPr>
        <w:t>Countervailing</w:t>
      </w:r>
      <w:r>
        <w:rPr>
          <w:i/>
          <w:spacing w:val="-9"/>
          <w:sz w:val="20"/>
        </w:rPr>
        <w:t xml:space="preserve"> </w:t>
      </w:r>
      <w:r>
        <w:rPr>
          <w:i/>
          <w:sz w:val="20"/>
        </w:rPr>
        <w:t>Duty</w:t>
      </w:r>
      <w:r>
        <w:rPr>
          <w:i/>
          <w:spacing w:val="-8"/>
          <w:sz w:val="20"/>
        </w:rPr>
        <w:t xml:space="preserve"> </w:t>
      </w:r>
      <w:r>
        <w:rPr>
          <w:i/>
          <w:spacing w:val="-2"/>
          <w:sz w:val="20"/>
        </w:rPr>
        <w:t>Measures</w:t>
      </w:r>
      <w:r>
        <w:rPr>
          <w:i/>
          <w:sz w:val="20"/>
        </w:rPr>
        <w:tab/>
      </w:r>
      <w:r>
        <w:rPr>
          <w:sz w:val="20"/>
        </w:rPr>
        <w:t>Australia's</w:t>
      </w:r>
      <w:r>
        <w:rPr>
          <w:spacing w:val="-11"/>
          <w:sz w:val="20"/>
        </w:rPr>
        <w:t xml:space="preserve"> </w:t>
      </w:r>
      <w:r>
        <w:rPr>
          <w:sz w:val="20"/>
        </w:rPr>
        <w:t>Second</w:t>
      </w:r>
      <w:r>
        <w:rPr>
          <w:spacing w:val="-10"/>
          <w:sz w:val="20"/>
        </w:rPr>
        <w:t xml:space="preserve"> </w:t>
      </w:r>
      <w:r>
        <w:rPr>
          <w:sz w:val="20"/>
        </w:rPr>
        <w:t>Written</w:t>
      </w:r>
      <w:r>
        <w:rPr>
          <w:spacing w:val="-10"/>
          <w:sz w:val="20"/>
        </w:rPr>
        <w:t xml:space="preserve"> </w:t>
      </w:r>
      <w:r>
        <w:rPr>
          <w:spacing w:val="-2"/>
          <w:sz w:val="20"/>
        </w:rPr>
        <w:t>Submission</w:t>
      </w:r>
    </w:p>
    <w:p w14:paraId="0ECD9871" w14:textId="77777777" w:rsidR="00BD462C" w:rsidRDefault="00033D0F">
      <w:pPr>
        <w:spacing w:before="1"/>
        <w:ind w:left="135"/>
        <w:rPr>
          <w:i/>
          <w:sz w:val="20"/>
        </w:rPr>
      </w:pPr>
      <w:r>
        <w:rPr>
          <w:i/>
          <w:sz w:val="20"/>
        </w:rPr>
        <w:t>On</w:t>
      </w:r>
      <w:r>
        <w:rPr>
          <w:i/>
          <w:spacing w:val="-2"/>
          <w:sz w:val="20"/>
        </w:rPr>
        <w:t xml:space="preserve"> </w:t>
      </w:r>
      <w:r>
        <w:rPr>
          <w:i/>
          <w:sz w:val="20"/>
        </w:rPr>
        <w:t>Wine</w:t>
      </w:r>
      <w:r>
        <w:rPr>
          <w:i/>
          <w:spacing w:val="-4"/>
          <w:sz w:val="20"/>
        </w:rPr>
        <w:t xml:space="preserve"> </w:t>
      </w:r>
      <w:r>
        <w:rPr>
          <w:i/>
          <w:sz w:val="20"/>
        </w:rPr>
        <w:t>from</w:t>
      </w:r>
      <w:r>
        <w:rPr>
          <w:i/>
          <w:spacing w:val="-4"/>
          <w:sz w:val="20"/>
        </w:rPr>
        <w:t xml:space="preserve"> </w:t>
      </w:r>
      <w:r>
        <w:rPr>
          <w:i/>
          <w:spacing w:val="-2"/>
          <w:sz w:val="20"/>
        </w:rPr>
        <w:t>Australia</w:t>
      </w:r>
    </w:p>
    <w:p w14:paraId="005DE3D2" w14:textId="77777777" w:rsidR="00BD462C" w:rsidRDefault="00033D0F">
      <w:pPr>
        <w:tabs>
          <w:tab w:val="left" w:pos="7652"/>
        </w:tabs>
        <w:ind w:left="135"/>
        <w:rPr>
          <w:sz w:val="20"/>
        </w:rPr>
      </w:pPr>
      <w:r>
        <w:rPr>
          <w:spacing w:val="-2"/>
          <w:sz w:val="20"/>
        </w:rPr>
        <w:t>(DS602)</w:t>
      </w:r>
      <w:r>
        <w:rPr>
          <w:sz w:val="20"/>
        </w:rPr>
        <w:tab/>
        <w:t>28</w:t>
      </w:r>
      <w:r>
        <w:rPr>
          <w:spacing w:val="-8"/>
          <w:sz w:val="20"/>
        </w:rPr>
        <w:t xml:space="preserve"> </w:t>
      </w:r>
      <w:r>
        <w:rPr>
          <w:sz w:val="20"/>
        </w:rPr>
        <w:t>November</w:t>
      </w:r>
      <w:r>
        <w:rPr>
          <w:spacing w:val="-2"/>
          <w:sz w:val="20"/>
        </w:rPr>
        <w:t xml:space="preserve"> </w:t>
      </w:r>
      <w:r>
        <w:rPr>
          <w:spacing w:val="-4"/>
          <w:sz w:val="20"/>
        </w:rPr>
        <w:t>2022</w:t>
      </w:r>
    </w:p>
    <w:p w14:paraId="2CF9AEAE" w14:textId="77777777" w:rsidR="00BD462C" w:rsidRDefault="00033D0F">
      <w:pPr>
        <w:spacing w:before="1" w:line="273" w:lineRule="auto"/>
        <w:ind w:left="985" w:right="923"/>
      </w:pPr>
      <w:r>
        <w:t>to</w:t>
      </w:r>
      <w:r>
        <w:rPr>
          <w:spacing w:val="-5"/>
        </w:rPr>
        <w:t xml:space="preserve"> </w:t>
      </w:r>
      <w:r>
        <w:t>provide</w:t>
      </w:r>
      <w:r>
        <w:rPr>
          <w:spacing w:val="-3"/>
        </w:rPr>
        <w:t xml:space="preserve"> </w:t>
      </w:r>
      <w:r>
        <w:t>the</w:t>
      </w:r>
      <w:r>
        <w:rPr>
          <w:spacing w:val="-3"/>
        </w:rPr>
        <w:t xml:space="preserve"> </w:t>
      </w:r>
      <w:r>
        <w:t>foregoing</w:t>
      </w:r>
      <w:r>
        <w:rPr>
          <w:spacing w:val="-2"/>
        </w:rPr>
        <w:t xml:space="preserve"> </w:t>
      </w:r>
      <w:r>
        <w:t>on</w:t>
      </w:r>
      <w:r>
        <w:rPr>
          <w:spacing w:val="-4"/>
        </w:rPr>
        <w:t xml:space="preserve"> </w:t>
      </w:r>
      <w:r>
        <w:t>non-subject</w:t>
      </w:r>
      <w:r>
        <w:rPr>
          <w:spacing w:val="-5"/>
        </w:rPr>
        <w:t xml:space="preserve"> </w:t>
      </w:r>
      <w:r>
        <w:t>import</w:t>
      </w:r>
      <w:r>
        <w:rPr>
          <w:spacing w:val="-5"/>
        </w:rPr>
        <w:t xml:space="preserve"> </w:t>
      </w:r>
      <w:r>
        <w:t>prices undermined</w:t>
      </w:r>
      <w:r>
        <w:rPr>
          <w:spacing w:val="-4"/>
        </w:rPr>
        <w:t xml:space="preserve"> </w:t>
      </w:r>
      <w:r>
        <w:t>the</w:t>
      </w:r>
      <w:r>
        <w:rPr>
          <w:spacing w:val="-3"/>
        </w:rPr>
        <w:t xml:space="preserve"> </w:t>
      </w:r>
      <w:r>
        <w:t>due</w:t>
      </w:r>
      <w:r>
        <w:rPr>
          <w:spacing w:val="-3"/>
        </w:rPr>
        <w:t xml:space="preserve"> </w:t>
      </w:r>
      <w:r>
        <w:t>process</w:t>
      </w:r>
      <w:r>
        <w:rPr>
          <w:spacing w:val="-3"/>
        </w:rPr>
        <w:t xml:space="preserve"> </w:t>
      </w:r>
      <w:r>
        <w:t>rights</w:t>
      </w:r>
      <w:r>
        <w:rPr>
          <w:spacing w:val="-3"/>
        </w:rPr>
        <w:t xml:space="preserve"> </w:t>
      </w:r>
      <w:r>
        <w:t>of the interested parties.</w:t>
      </w:r>
      <w:hyperlink w:anchor="_bookmark1847" w:history="1">
        <w:r>
          <w:rPr>
            <w:vertAlign w:val="superscript"/>
          </w:rPr>
          <w:t>1614</w:t>
        </w:r>
      </w:hyperlink>
    </w:p>
    <w:p w14:paraId="01AF1651" w14:textId="77777777" w:rsidR="00BD462C" w:rsidRDefault="00BD462C">
      <w:pPr>
        <w:pStyle w:val="BodyText"/>
        <w:rPr>
          <w:sz w:val="20"/>
        </w:rPr>
      </w:pPr>
    </w:p>
    <w:p w14:paraId="34F7DFC4" w14:textId="77777777" w:rsidR="00BD462C" w:rsidRDefault="00BD462C">
      <w:pPr>
        <w:pStyle w:val="BodyText"/>
        <w:rPr>
          <w:sz w:val="20"/>
        </w:rPr>
      </w:pPr>
    </w:p>
    <w:p w14:paraId="245040D8" w14:textId="77777777" w:rsidR="00BD462C" w:rsidRDefault="00BD462C">
      <w:pPr>
        <w:pStyle w:val="BodyText"/>
        <w:rPr>
          <w:sz w:val="20"/>
        </w:rPr>
      </w:pPr>
    </w:p>
    <w:p w14:paraId="35D45265" w14:textId="77777777" w:rsidR="00BD462C" w:rsidRDefault="00BD462C">
      <w:pPr>
        <w:pStyle w:val="BodyText"/>
        <w:rPr>
          <w:sz w:val="20"/>
        </w:rPr>
      </w:pPr>
    </w:p>
    <w:p w14:paraId="2D69C1D0" w14:textId="77777777" w:rsidR="00BD462C" w:rsidRDefault="00BD462C">
      <w:pPr>
        <w:pStyle w:val="BodyText"/>
        <w:rPr>
          <w:sz w:val="20"/>
        </w:rPr>
      </w:pPr>
    </w:p>
    <w:p w14:paraId="4D3D093A" w14:textId="77777777" w:rsidR="00BD462C" w:rsidRDefault="00BD462C">
      <w:pPr>
        <w:pStyle w:val="BodyText"/>
        <w:rPr>
          <w:sz w:val="20"/>
        </w:rPr>
      </w:pPr>
    </w:p>
    <w:p w14:paraId="3997C68B" w14:textId="77777777" w:rsidR="00BD462C" w:rsidRDefault="00BD462C">
      <w:pPr>
        <w:pStyle w:val="BodyText"/>
        <w:rPr>
          <w:sz w:val="20"/>
        </w:rPr>
      </w:pPr>
    </w:p>
    <w:p w14:paraId="0EA89F7C" w14:textId="77777777" w:rsidR="00BD462C" w:rsidRDefault="00BD462C">
      <w:pPr>
        <w:pStyle w:val="BodyText"/>
        <w:rPr>
          <w:sz w:val="20"/>
        </w:rPr>
      </w:pPr>
    </w:p>
    <w:p w14:paraId="75FB1B7B" w14:textId="77777777" w:rsidR="00BD462C" w:rsidRDefault="00BD462C">
      <w:pPr>
        <w:pStyle w:val="BodyText"/>
        <w:rPr>
          <w:sz w:val="20"/>
        </w:rPr>
      </w:pPr>
    </w:p>
    <w:p w14:paraId="3D5A29CE" w14:textId="77777777" w:rsidR="00BD462C" w:rsidRDefault="00BD462C">
      <w:pPr>
        <w:pStyle w:val="BodyText"/>
        <w:rPr>
          <w:sz w:val="20"/>
        </w:rPr>
      </w:pPr>
    </w:p>
    <w:p w14:paraId="4702A1DF" w14:textId="77777777" w:rsidR="00BD462C" w:rsidRDefault="00BD462C">
      <w:pPr>
        <w:pStyle w:val="BodyText"/>
        <w:rPr>
          <w:sz w:val="20"/>
        </w:rPr>
      </w:pPr>
    </w:p>
    <w:p w14:paraId="4B08C047" w14:textId="77777777" w:rsidR="00BD462C" w:rsidRDefault="00BD462C">
      <w:pPr>
        <w:pStyle w:val="BodyText"/>
        <w:rPr>
          <w:sz w:val="20"/>
        </w:rPr>
      </w:pPr>
    </w:p>
    <w:p w14:paraId="29C53C96" w14:textId="77777777" w:rsidR="00BD462C" w:rsidRDefault="00BD462C">
      <w:pPr>
        <w:pStyle w:val="BodyText"/>
        <w:rPr>
          <w:sz w:val="20"/>
        </w:rPr>
      </w:pPr>
    </w:p>
    <w:p w14:paraId="0EB20356" w14:textId="77777777" w:rsidR="00BD462C" w:rsidRDefault="00BD462C">
      <w:pPr>
        <w:pStyle w:val="BodyText"/>
        <w:rPr>
          <w:sz w:val="20"/>
        </w:rPr>
      </w:pPr>
    </w:p>
    <w:p w14:paraId="5E36C099" w14:textId="77777777" w:rsidR="00BD462C" w:rsidRDefault="00BD462C">
      <w:pPr>
        <w:pStyle w:val="BodyText"/>
        <w:rPr>
          <w:sz w:val="20"/>
        </w:rPr>
      </w:pPr>
    </w:p>
    <w:p w14:paraId="75879CEC" w14:textId="77777777" w:rsidR="00BD462C" w:rsidRDefault="00BD462C">
      <w:pPr>
        <w:pStyle w:val="BodyText"/>
        <w:rPr>
          <w:sz w:val="20"/>
        </w:rPr>
      </w:pPr>
    </w:p>
    <w:p w14:paraId="6E9C06CA" w14:textId="77777777" w:rsidR="00BD462C" w:rsidRDefault="00BD462C">
      <w:pPr>
        <w:pStyle w:val="BodyText"/>
        <w:rPr>
          <w:sz w:val="20"/>
        </w:rPr>
      </w:pPr>
    </w:p>
    <w:p w14:paraId="72BD535D" w14:textId="77777777" w:rsidR="00BD462C" w:rsidRDefault="00BD462C">
      <w:pPr>
        <w:pStyle w:val="BodyText"/>
        <w:rPr>
          <w:sz w:val="20"/>
        </w:rPr>
      </w:pPr>
    </w:p>
    <w:p w14:paraId="64340AD9" w14:textId="77777777" w:rsidR="00BD462C" w:rsidRDefault="00BD462C">
      <w:pPr>
        <w:pStyle w:val="BodyText"/>
        <w:rPr>
          <w:sz w:val="20"/>
        </w:rPr>
      </w:pPr>
    </w:p>
    <w:p w14:paraId="3B910E9C" w14:textId="77777777" w:rsidR="00BD462C" w:rsidRDefault="00BD462C">
      <w:pPr>
        <w:pStyle w:val="BodyText"/>
        <w:rPr>
          <w:sz w:val="20"/>
        </w:rPr>
      </w:pPr>
    </w:p>
    <w:p w14:paraId="46EA401A" w14:textId="77777777" w:rsidR="00BD462C" w:rsidRDefault="00BD462C">
      <w:pPr>
        <w:pStyle w:val="BodyText"/>
        <w:rPr>
          <w:sz w:val="20"/>
        </w:rPr>
      </w:pPr>
    </w:p>
    <w:p w14:paraId="23A9FF96" w14:textId="77777777" w:rsidR="00BD462C" w:rsidRDefault="00BD462C">
      <w:pPr>
        <w:pStyle w:val="BodyText"/>
        <w:rPr>
          <w:sz w:val="20"/>
        </w:rPr>
      </w:pPr>
    </w:p>
    <w:p w14:paraId="4BBEE4AC" w14:textId="77777777" w:rsidR="00BD462C" w:rsidRDefault="00BD462C">
      <w:pPr>
        <w:pStyle w:val="BodyText"/>
        <w:rPr>
          <w:sz w:val="20"/>
        </w:rPr>
      </w:pPr>
    </w:p>
    <w:p w14:paraId="755789C0" w14:textId="77777777" w:rsidR="00BD462C" w:rsidRDefault="00BD462C">
      <w:pPr>
        <w:pStyle w:val="BodyText"/>
        <w:rPr>
          <w:sz w:val="20"/>
        </w:rPr>
      </w:pPr>
    </w:p>
    <w:p w14:paraId="3A4C80D6" w14:textId="77777777" w:rsidR="00BD462C" w:rsidRDefault="00BD462C">
      <w:pPr>
        <w:pStyle w:val="BodyText"/>
        <w:rPr>
          <w:sz w:val="20"/>
        </w:rPr>
      </w:pPr>
    </w:p>
    <w:p w14:paraId="23F775C6" w14:textId="77777777" w:rsidR="00BD462C" w:rsidRDefault="00BD462C">
      <w:pPr>
        <w:pStyle w:val="BodyText"/>
        <w:rPr>
          <w:sz w:val="20"/>
        </w:rPr>
      </w:pPr>
    </w:p>
    <w:p w14:paraId="676DF336" w14:textId="77777777" w:rsidR="00BD462C" w:rsidRDefault="00BD462C">
      <w:pPr>
        <w:pStyle w:val="BodyText"/>
        <w:rPr>
          <w:sz w:val="20"/>
        </w:rPr>
      </w:pPr>
    </w:p>
    <w:p w14:paraId="001846FF" w14:textId="77777777" w:rsidR="00BD462C" w:rsidRDefault="00BD462C">
      <w:pPr>
        <w:pStyle w:val="BodyText"/>
        <w:rPr>
          <w:sz w:val="20"/>
        </w:rPr>
      </w:pPr>
    </w:p>
    <w:p w14:paraId="3E685916" w14:textId="77777777" w:rsidR="00BD462C" w:rsidRDefault="00BD462C">
      <w:pPr>
        <w:pStyle w:val="BodyText"/>
        <w:rPr>
          <w:sz w:val="20"/>
        </w:rPr>
      </w:pPr>
    </w:p>
    <w:p w14:paraId="442E8087" w14:textId="77777777" w:rsidR="00BD462C" w:rsidRDefault="00BD462C">
      <w:pPr>
        <w:pStyle w:val="BodyText"/>
        <w:rPr>
          <w:sz w:val="20"/>
        </w:rPr>
      </w:pPr>
    </w:p>
    <w:p w14:paraId="470592DC" w14:textId="77777777" w:rsidR="00BD462C" w:rsidRDefault="00BD462C">
      <w:pPr>
        <w:pStyle w:val="BodyText"/>
        <w:rPr>
          <w:sz w:val="20"/>
        </w:rPr>
      </w:pPr>
    </w:p>
    <w:p w14:paraId="3BDFD744" w14:textId="77777777" w:rsidR="00BD462C" w:rsidRDefault="00BD462C">
      <w:pPr>
        <w:pStyle w:val="BodyText"/>
        <w:rPr>
          <w:sz w:val="20"/>
        </w:rPr>
      </w:pPr>
    </w:p>
    <w:p w14:paraId="15522146" w14:textId="77777777" w:rsidR="00BD462C" w:rsidRDefault="00BD462C">
      <w:pPr>
        <w:pStyle w:val="BodyText"/>
        <w:rPr>
          <w:sz w:val="20"/>
        </w:rPr>
      </w:pPr>
    </w:p>
    <w:p w14:paraId="0AD33E8B" w14:textId="77777777" w:rsidR="00BD462C" w:rsidRDefault="00BD462C">
      <w:pPr>
        <w:pStyle w:val="BodyText"/>
        <w:rPr>
          <w:sz w:val="20"/>
        </w:rPr>
      </w:pPr>
    </w:p>
    <w:p w14:paraId="6513123E" w14:textId="77777777" w:rsidR="00BD462C" w:rsidRDefault="00BD462C">
      <w:pPr>
        <w:pStyle w:val="BodyText"/>
        <w:rPr>
          <w:sz w:val="20"/>
        </w:rPr>
      </w:pPr>
    </w:p>
    <w:p w14:paraId="27AFB3C2" w14:textId="77777777" w:rsidR="00BD462C" w:rsidRDefault="00BD462C">
      <w:pPr>
        <w:pStyle w:val="BodyText"/>
        <w:rPr>
          <w:sz w:val="20"/>
        </w:rPr>
      </w:pPr>
    </w:p>
    <w:p w14:paraId="1A8FEE26" w14:textId="77777777" w:rsidR="00BD462C" w:rsidRDefault="00BD462C">
      <w:pPr>
        <w:pStyle w:val="BodyText"/>
        <w:rPr>
          <w:sz w:val="20"/>
        </w:rPr>
      </w:pPr>
    </w:p>
    <w:p w14:paraId="1EAFE506" w14:textId="77777777" w:rsidR="00BD462C" w:rsidRDefault="00BD462C">
      <w:pPr>
        <w:pStyle w:val="BodyText"/>
        <w:rPr>
          <w:sz w:val="20"/>
        </w:rPr>
      </w:pPr>
    </w:p>
    <w:p w14:paraId="5CF1DA04" w14:textId="77777777" w:rsidR="00BD462C" w:rsidRDefault="00BD462C">
      <w:pPr>
        <w:pStyle w:val="BodyText"/>
        <w:rPr>
          <w:sz w:val="20"/>
        </w:rPr>
      </w:pPr>
    </w:p>
    <w:p w14:paraId="4545A631" w14:textId="77777777" w:rsidR="00BD462C" w:rsidRDefault="00BD462C">
      <w:pPr>
        <w:pStyle w:val="BodyText"/>
        <w:rPr>
          <w:sz w:val="20"/>
        </w:rPr>
      </w:pPr>
    </w:p>
    <w:p w14:paraId="1C057E5E" w14:textId="77777777" w:rsidR="00BD462C" w:rsidRDefault="00BD462C">
      <w:pPr>
        <w:pStyle w:val="BodyText"/>
        <w:rPr>
          <w:sz w:val="20"/>
        </w:rPr>
      </w:pPr>
    </w:p>
    <w:p w14:paraId="19CDAA73" w14:textId="77777777" w:rsidR="00BD462C" w:rsidRDefault="00BD462C">
      <w:pPr>
        <w:pStyle w:val="BodyText"/>
        <w:rPr>
          <w:sz w:val="20"/>
        </w:rPr>
      </w:pPr>
    </w:p>
    <w:p w14:paraId="0210D081" w14:textId="77777777" w:rsidR="00BD462C" w:rsidRDefault="00BD462C">
      <w:pPr>
        <w:pStyle w:val="BodyText"/>
        <w:rPr>
          <w:sz w:val="20"/>
        </w:rPr>
      </w:pPr>
    </w:p>
    <w:p w14:paraId="5A1B865B" w14:textId="77777777" w:rsidR="00BD462C" w:rsidRDefault="00BD462C">
      <w:pPr>
        <w:pStyle w:val="BodyText"/>
        <w:rPr>
          <w:sz w:val="20"/>
        </w:rPr>
      </w:pPr>
    </w:p>
    <w:p w14:paraId="6CFE3251" w14:textId="77777777" w:rsidR="00BD462C" w:rsidRDefault="00BD462C">
      <w:pPr>
        <w:pStyle w:val="BodyText"/>
        <w:rPr>
          <w:sz w:val="20"/>
        </w:rPr>
      </w:pPr>
    </w:p>
    <w:p w14:paraId="6EDD356C" w14:textId="77777777" w:rsidR="00BD462C" w:rsidRDefault="00BD462C">
      <w:pPr>
        <w:pStyle w:val="BodyText"/>
        <w:rPr>
          <w:sz w:val="20"/>
        </w:rPr>
      </w:pPr>
    </w:p>
    <w:p w14:paraId="375774EF" w14:textId="77777777" w:rsidR="00BD462C" w:rsidRDefault="00BD462C">
      <w:pPr>
        <w:pStyle w:val="BodyText"/>
        <w:rPr>
          <w:sz w:val="20"/>
        </w:rPr>
      </w:pPr>
    </w:p>
    <w:p w14:paraId="312DC2AD" w14:textId="77777777" w:rsidR="00BD462C" w:rsidRDefault="00BD462C">
      <w:pPr>
        <w:pStyle w:val="BodyText"/>
        <w:rPr>
          <w:sz w:val="20"/>
        </w:rPr>
      </w:pPr>
    </w:p>
    <w:p w14:paraId="4392361F" w14:textId="77777777" w:rsidR="00BD462C" w:rsidRDefault="00BD462C">
      <w:pPr>
        <w:pStyle w:val="BodyText"/>
        <w:rPr>
          <w:sz w:val="20"/>
        </w:rPr>
      </w:pPr>
    </w:p>
    <w:p w14:paraId="5B3323D8" w14:textId="77777777" w:rsidR="00BD462C" w:rsidRDefault="00BD462C">
      <w:pPr>
        <w:pStyle w:val="BodyText"/>
        <w:rPr>
          <w:sz w:val="20"/>
        </w:rPr>
      </w:pPr>
    </w:p>
    <w:p w14:paraId="53F2F47A" w14:textId="77777777" w:rsidR="00BD462C" w:rsidRDefault="00BD462C">
      <w:pPr>
        <w:pStyle w:val="BodyText"/>
        <w:rPr>
          <w:sz w:val="20"/>
        </w:rPr>
      </w:pPr>
    </w:p>
    <w:p w14:paraId="2A99D273" w14:textId="77777777" w:rsidR="00BD462C" w:rsidRDefault="00BD462C">
      <w:pPr>
        <w:pStyle w:val="BodyText"/>
        <w:rPr>
          <w:sz w:val="20"/>
        </w:rPr>
      </w:pPr>
    </w:p>
    <w:p w14:paraId="6A2B4F5B" w14:textId="067C10CE" w:rsidR="00BD462C" w:rsidRDefault="00D70C7D">
      <w:pPr>
        <w:pStyle w:val="BodyText"/>
        <w:spacing w:before="6"/>
        <w:rPr>
          <w:sz w:val="11"/>
        </w:rPr>
      </w:pPr>
      <w:r>
        <w:rPr>
          <w:noProof/>
        </w:rPr>
        <mc:AlternateContent>
          <mc:Choice Requires="wps">
            <w:drawing>
              <wp:anchor distT="0" distB="0" distL="0" distR="0" simplePos="0" relativeHeight="487916032" behindDoc="1" locked="0" layoutInCell="1" allowOverlap="1" wp14:anchorId="66F47287" wp14:editId="2C53C29A">
                <wp:simplePos x="0" y="0"/>
                <wp:positionH relativeFrom="page">
                  <wp:posOffset>899160</wp:posOffset>
                </wp:positionH>
                <wp:positionV relativeFrom="paragraph">
                  <wp:posOffset>104775</wp:posOffset>
                </wp:positionV>
                <wp:extent cx="1828800" cy="8890"/>
                <wp:effectExtent l="0" t="0" r="0" b="0"/>
                <wp:wrapTopAndBottom/>
                <wp:docPr id="38" name="docshap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012354" id="docshape" o:spid="_x0000_s1026" alt="&quot;&quot;" style="position:absolute;margin-left:70.8pt;margin-top:8.25pt;width:2in;height:.7pt;z-index:-1540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" fillcolor="black" stroked="f">
                <w10:wrap type="topAndBottom" anchorx="page"/>
              </v:rect>
            </w:pict>
          </mc:Fallback>
        </mc:AlternateContent>
      </w:r>
    </w:p>
    <w:p w14:paraId="1A903E23" w14:textId="1E5D7411" w:rsidR="00BD462C" w:rsidRDefault="00033D0F">
      <w:pPr>
        <w:spacing w:before="112"/>
        <w:ind w:left="135"/>
        <w:rPr>
          <w:sz w:val="18"/>
        </w:rPr>
      </w:pPr>
      <w:bookmarkStart w:id="2158" w:name="_bookmark1847"/>
      <w:bookmarkEnd w:id="2158"/>
      <w:r>
        <w:rPr>
          <w:position w:val="5"/>
          <w:sz w:val="12"/>
        </w:rPr>
        <w:t>1614</w:t>
      </w:r>
      <w:r>
        <w:rPr>
          <w:spacing w:val="12"/>
          <w:position w:val="5"/>
          <w:sz w:val="12"/>
        </w:rPr>
        <w:t xml:space="preserve"> </w:t>
      </w:r>
      <w:r>
        <w:rPr>
          <w:sz w:val="18"/>
        </w:rPr>
        <w:t>Australia's</w:t>
      </w:r>
      <w:r>
        <w:rPr>
          <w:spacing w:val="-6"/>
          <w:sz w:val="18"/>
        </w:rPr>
        <w:t xml:space="preserve"> </w:t>
      </w:r>
      <w:r>
        <w:rPr>
          <w:sz w:val="18"/>
        </w:rPr>
        <w:t>first</w:t>
      </w:r>
      <w:r>
        <w:rPr>
          <w:spacing w:val="-5"/>
          <w:sz w:val="18"/>
        </w:rPr>
        <w:t xml:space="preserve"> </w:t>
      </w:r>
      <w:r>
        <w:rPr>
          <w:sz w:val="18"/>
        </w:rPr>
        <w:t>written</w:t>
      </w:r>
      <w:r>
        <w:rPr>
          <w:spacing w:val="-2"/>
          <w:sz w:val="18"/>
        </w:rPr>
        <w:t xml:space="preserve"> </w:t>
      </w:r>
      <w:r>
        <w:rPr>
          <w:sz w:val="18"/>
        </w:rPr>
        <w:t>submission,</w:t>
      </w:r>
      <w:r>
        <w:rPr>
          <w:spacing w:val="-1"/>
          <w:sz w:val="18"/>
        </w:rPr>
        <w:t xml:space="preserve"> </w:t>
      </w:r>
      <w:r>
        <w:rPr>
          <w:sz w:val="18"/>
        </w:rPr>
        <w:t>para.</w:t>
      </w:r>
      <w:r>
        <w:rPr>
          <w:spacing w:val="-5"/>
          <w:sz w:val="18"/>
        </w:rPr>
        <w:t xml:space="preserve"> </w:t>
      </w:r>
      <w:r>
        <w:rPr>
          <w:sz w:val="18"/>
        </w:rPr>
        <w:t>1002</w:t>
      </w:r>
      <w:r>
        <w:rPr>
          <w:spacing w:val="-8"/>
          <w:sz w:val="18"/>
        </w:rPr>
        <w:t xml:space="preserve"> </w:t>
      </w:r>
      <w:r>
        <w:rPr>
          <w:sz w:val="18"/>
        </w:rPr>
        <w:t>(footnotes</w:t>
      </w:r>
      <w:r>
        <w:rPr>
          <w:spacing w:val="-6"/>
          <w:sz w:val="18"/>
        </w:rPr>
        <w:t xml:space="preserve"> </w:t>
      </w:r>
      <w:r>
        <w:rPr>
          <w:spacing w:val="-2"/>
          <w:sz w:val="18"/>
        </w:rPr>
        <w:t>omitted).</w:t>
      </w:r>
      <w:bookmarkEnd w:id="0"/>
    </w:p>
    <w:sectPr w:rsidR="00BD462C">
      <w:pgSz w:w="11910" w:h="16840"/>
      <w:pgMar w:top="860" w:right="500" w:bottom="780" w:left="1280" w:header="566" w:footer="59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8EE560" w14:textId="77777777" w:rsidR="002D011F" w:rsidRDefault="002D011F">
      <w:r>
        <w:separator/>
      </w:r>
    </w:p>
  </w:endnote>
  <w:endnote w:type="continuationSeparator" w:id="0">
    <w:p w14:paraId="2E73DD6B" w14:textId="77777777" w:rsidR="002D011F" w:rsidRDefault="002D01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6014804"/>
      <w:docPartObj>
        <w:docPartGallery w:val="Page Numbers (Bottom of Page)"/>
        <w:docPartUnique/>
      </w:docPartObj>
    </w:sdtPr>
    <w:sdtEndPr>
      <w:rPr>
        <w:noProof/>
      </w:rPr>
    </w:sdtEndPr>
    <w:sdtContent>
      <w:p w14:paraId="65EFD383" w14:textId="5A5069C3" w:rsidR="00E14314" w:rsidRDefault="00E1431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760089F" w14:textId="77777777" w:rsidR="00E14314" w:rsidRDefault="00E143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2698182"/>
      <w:docPartObj>
        <w:docPartGallery w:val="Page Numbers (Bottom of Page)"/>
        <w:docPartUnique/>
      </w:docPartObj>
    </w:sdtPr>
    <w:sdtEndPr>
      <w:rPr>
        <w:noProof/>
      </w:rPr>
    </w:sdtEndPr>
    <w:sdtContent>
      <w:p w14:paraId="075A8D1B" w14:textId="4E9B94A2" w:rsidR="008676A2" w:rsidRDefault="008676A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D1DF8F2" w14:textId="02FD4CC1" w:rsidR="00BD462C" w:rsidRDefault="00BD462C">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94F86" w14:textId="475AF6BD" w:rsidR="00BD462C" w:rsidRDefault="00BD462C">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3B7B2" w14:textId="0A1B6EE4" w:rsidR="00BD462C" w:rsidRDefault="00BD462C">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3E5DA" w14:textId="47CF156F" w:rsidR="00BD462C" w:rsidRDefault="00BD462C">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F2C65" w14:textId="77777777" w:rsidR="00BD462C" w:rsidRDefault="00BD462C">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82207" w14:textId="4A763A17" w:rsidR="00BD462C" w:rsidRDefault="00BD462C">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A23C9" w14:textId="48FB28CB" w:rsidR="00BD462C" w:rsidRDefault="00BD462C">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D552FC" w14:textId="77777777" w:rsidR="002D011F" w:rsidRDefault="002D011F">
      <w:r>
        <w:separator/>
      </w:r>
    </w:p>
  </w:footnote>
  <w:footnote w:type="continuationSeparator" w:id="0">
    <w:p w14:paraId="25537200" w14:textId="77777777" w:rsidR="002D011F" w:rsidRDefault="002D01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330B6" w14:textId="77777777" w:rsidR="007B768E" w:rsidRDefault="007B768E" w:rsidP="007B768E">
    <w:pPr>
      <w:pBdr>
        <w:top w:val="single" w:sz="4" w:space="1" w:color="auto"/>
        <w:left w:val="single" w:sz="4" w:space="4" w:color="auto"/>
        <w:bottom w:val="single" w:sz="4" w:space="1" w:color="auto"/>
        <w:right w:val="single" w:sz="4" w:space="4" w:color="auto"/>
      </w:pBdr>
      <w:spacing w:line="225" w:lineRule="exact"/>
      <w:ind w:left="20"/>
      <w:jc w:val="center"/>
      <w:rPr>
        <w:sz w:val="20"/>
      </w:rPr>
    </w:pPr>
    <w:r>
      <w:rPr>
        <w:spacing w:val="-2"/>
        <w:sz w:val="20"/>
      </w:rPr>
      <w:t>Business</w:t>
    </w:r>
    <w:r>
      <w:rPr>
        <w:spacing w:val="10"/>
        <w:sz w:val="20"/>
      </w:rPr>
      <w:t xml:space="preserve"> </w:t>
    </w:r>
    <w:r>
      <w:rPr>
        <w:spacing w:val="-2"/>
        <w:sz w:val="20"/>
      </w:rPr>
      <w:t>Confidential</w:t>
    </w:r>
    <w:r>
      <w:rPr>
        <w:spacing w:val="10"/>
        <w:sz w:val="20"/>
      </w:rPr>
      <w:t xml:space="preserve"> </w:t>
    </w:r>
    <w:r>
      <w:rPr>
        <w:spacing w:val="-2"/>
        <w:sz w:val="20"/>
      </w:rPr>
      <w:t>Information</w:t>
    </w:r>
    <w:r>
      <w:rPr>
        <w:spacing w:val="7"/>
        <w:sz w:val="20"/>
      </w:rPr>
      <w:t xml:space="preserve"> </w:t>
    </w:r>
    <w:r>
      <w:rPr>
        <w:spacing w:val="-2"/>
        <w:sz w:val="20"/>
      </w:rPr>
      <w:t>Redacted</w:t>
    </w:r>
  </w:p>
  <w:p w14:paraId="2E6FCE46" w14:textId="63D80CE2" w:rsidR="00BD462C" w:rsidRDefault="00BD462C" w:rsidP="007B768E">
    <w:pPr>
      <w:pStyle w:val="BodyText"/>
      <w:spacing w:line="14" w:lineRule="auto"/>
      <w:jc w:val="center"/>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FDC81" w14:textId="77777777" w:rsidR="00D90CE6" w:rsidRDefault="00D90CE6" w:rsidP="00D90CE6">
    <w:pPr>
      <w:pBdr>
        <w:top w:val="single" w:sz="4" w:space="1" w:color="auto"/>
        <w:left w:val="single" w:sz="4" w:space="4" w:color="auto"/>
        <w:bottom w:val="single" w:sz="4" w:space="1" w:color="auto"/>
        <w:right w:val="single" w:sz="4" w:space="4" w:color="auto"/>
      </w:pBdr>
      <w:spacing w:line="225" w:lineRule="exact"/>
      <w:ind w:left="20"/>
      <w:jc w:val="center"/>
      <w:rPr>
        <w:sz w:val="20"/>
      </w:rPr>
    </w:pPr>
    <w:r>
      <w:rPr>
        <w:spacing w:val="-2"/>
        <w:sz w:val="20"/>
      </w:rPr>
      <w:t>Business</w:t>
    </w:r>
    <w:r>
      <w:rPr>
        <w:spacing w:val="10"/>
        <w:sz w:val="20"/>
      </w:rPr>
      <w:t xml:space="preserve"> </w:t>
    </w:r>
    <w:r>
      <w:rPr>
        <w:spacing w:val="-2"/>
        <w:sz w:val="20"/>
      </w:rPr>
      <w:t>Confidential</w:t>
    </w:r>
    <w:r>
      <w:rPr>
        <w:spacing w:val="10"/>
        <w:sz w:val="20"/>
      </w:rPr>
      <w:t xml:space="preserve"> </w:t>
    </w:r>
    <w:r>
      <w:rPr>
        <w:spacing w:val="-2"/>
        <w:sz w:val="20"/>
      </w:rPr>
      <w:t>Information</w:t>
    </w:r>
    <w:r>
      <w:rPr>
        <w:spacing w:val="7"/>
        <w:sz w:val="20"/>
      </w:rPr>
      <w:t xml:space="preserve"> </w:t>
    </w:r>
    <w:r>
      <w:rPr>
        <w:spacing w:val="-2"/>
        <w:sz w:val="20"/>
      </w:rPr>
      <w:t>Redacted</w:t>
    </w:r>
  </w:p>
  <w:p w14:paraId="491D53BC" w14:textId="5A20245D" w:rsidR="00BD462C" w:rsidRDefault="00BD462C">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E7B3F" w14:textId="77777777" w:rsidR="004D720A" w:rsidRDefault="004D720A" w:rsidP="004D720A">
    <w:pPr>
      <w:pBdr>
        <w:top w:val="single" w:sz="4" w:space="1" w:color="auto"/>
        <w:left w:val="single" w:sz="4" w:space="4" w:color="auto"/>
        <w:bottom w:val="single" w:sz="4" w:space="1" w:color="auto"/>
        <w:right w:val="single" w:sz="4" w:space="4" w:color="auto"/>
      </w:pBdr>
      <w:spacing w:line="225" w:lineRule="exact"/>
      <w:ind w:left="20"/>
      <w:jc w:val="center"/>
      <w:rPr>
        <w:sz w:val="20"/>
      </w:rPr>
    </w:pPr>
    <w:r>
      <w:rPr>
        <w:spacing w:val="-2"/>
        <w:sz w:val="20"/>
      </w:rPr>
      <w:t>Business</w:t>
    </w:r>
    <w:r>
      <w:rPr>
        <w:spacing w:val="10"/>
        <w:sz w:val="20"/>
      </w:rPr>
      <w:t xml:space="preserve"> </w:t>
    </w:r>
    <w:r>
      <w:rPr>
        <w:spacing w:val="-2"/>
        <w:sz w:val="20"/>
      </w:rPr>
      <w:t>Confidential</w:t>
    </w:r>
    <w:r>
      <w:rPr>
        <w:spacing w:val="10"/>
        <w:sz w:val="20"/>
      </w:rPr>
      <w:t xml:space="preserve"> </w:t>
    </w:r>
    <w:r>
      <w:rPr>
        <w:spacing w:val="-2"/>
        <w:sz w:val="20"/>
      </w:rPr>
      <w:t>Information</w:t>
    </w:r>
    <w:r>
      <w:rPr>
        <w:spacing w:val="7"/>
        <w:sz w:val="20"/>
      </w:rPr>
      <w:t xml:space="preserve"> </w:t>
    </w:r>
    <w:r>
      <w:rPr>
        <w:spacing w:val="-2"/>
        <w:sz w:val="20"/>
      </w:rPr>
      <w:t>Redacted</w:t>
    </w:r>
  </w:p>
  <w:p w14:paraId="0E931DD7" w14:textId="4A4C5A3C" w:rsidR="00BD462C" w:rsidRDefault="00BD462C">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D213B" w14:textId="77777777" w:rsidR="007D270C" w:rsidRDefault="007D270C" w:rsidP="007D270C">
    <w:pPr>
      <w:pBdr>
        <w:top w:val="single" w:sz="4" w:space="1" w:color="auto"/>
        <w:left w:val="single" w:sz="4" w:space="4" w:color="auto"/>
        <w:bottom w:val="single" w:sz="4" w:space="1" w:color="auto"/>
        <w:right w:val="single" w:sz="4" w:space="4" w:color="auto"/>
      </w:pBdr>
      <w:spacing w:line="225" w:lineRule="exact"/>
      <w:ind w:left="20"/>
      <w:jc w:val="center"/>
      <w:rPr>
        <w:sz w:val="20"/>
      </w:rPr>
    </w:pPr>
    <w:r>
      <w:rPr>
        <w:spacing w:val="-2"/>
        <w:sz w:val="20"/>
      </w:rPr>
      <w:t>Business</w:t>
    </w:r>
    <w:r>
      <w:rPr>
        <w:spacing w:val="10"/>
        <w:sz w:val="20"/>
      </w:rPr>
      <w:t xml:space="preserve"> </w:t>
    </w:r>
    <w:r>
      <w:rPr>
        <w:spacing w:val="-2"/>
        <w:sz w:val="20"/>
      </w:rPr>
      <w:t>Confidential</w:t>
    </w:r>
    <w:r>
      <w:rPr>
        <w:spacing w:val="10"/>
        <w:sz w:val="20"/>
      </w:rPr>
      <w:t xml:space="preserve"> </w:t>
    </w:r>
    <w:r>
      <w:rPr>
        <w:spacing w:val="-2"/>
        <w:sz w:val="20"/>
      </w:rPr>
      <w:t>Information</w:t>
    </w:r>
    <w:r>
      <w:rPr>
        <w:spacing w:val="7"/>
        <w:sz w:val="20"/>
      </w:rPr>
      <w:t xml:space="preserve"> </w:t>
    </w:r>
    <w:r>
      <w:rPr>
        <w:spacing w:val="-2"/>
        <w:sz w:val="20"/>
      </w:rPr>
      <w:t>Redacted</w:t>
    </w:r>
  </w:p>
  <w:p w14:paraId="226AC6E6" w14:textId="0EA82B2D" w:rsidR="00BD462C" w:rsidRDefault="00BD462C" w:rsidP="007D270C">
    <w:pPr>
      <w:pStyle w:val="BodyText"/>
      <w:spacing w:line="14" w:lineRule="auto"/>
      <w:jc w:val="center"/>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8099C" w14:textId="77777777" w:rsidR="00BD462C" w:rsidRDefault="00BD462C">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D7B53" w14:textId="77777777" w:rsidR="00D600FD" w:rsidRDefault="00D600FD" w:rsidP="00D600FD">
    <w:pPr>
      <w:pBdr>
        <w:top w:val="single" w:sz="4" w:space="1" w:color="auto"/>
        <w:left w:val="single" w:sz="4" w:space="4" w:color="auto"/>
        <w:bottom w:val="single" w:sz="4" w:space="1" w:color="auto"/>
        <w:right w:val="single" w:sz="4" w:space="4" w:color="auto"/>
      </w:pBdr>
      <w:spacing w:line="225" w:lineRule="exact"/>
      <w:ind w:left="20"/>
      <w:jc w:val="center"/>
      <w:rPr>
        <w:sz w:val="20"/>
      </w:rPr>
    </w:pPr>
    <w:r>
      <w:rPr>
        <w:spacing w:val="-2"/>
        <w:sz w:val="20"/>
      </w:rPr>
      <w:t>Business</w:t>
    </w:r>
    <w:r>
      <w:rPr>
        <w:spacing w:val="10"/>
        <w:sz w:val="20"/>
      </w:rPr>
      <w:t xml:space="preserve"> </w:t>
    </w:r>
    <w:r>
      <w:rPr>
        <w:spacing w:val="-2"/>
        <w:sz w:val="20"/>
      </w:rPr>
      <w:t>Confidential</w:t>
    </w:r>
    <w:r>
      <w:rPr>
        <w:spacing w:val="10"/>
        <w:sz w:val="20"/>
      </w:rPr>
      <w:t xml:space="preserve"> </w:t>
    </w:r>
    <w:r>
      <w:rPr>
        <w:spacing w:val="-2"/>
        <w:sz w:val="20"/>
      </w:rPr>
      <w:t>Information</w:t>
    </w:r>
    <w:r>
      <w:rPr>
        <w:spacing w:val="7"/>
        <w:sz w:val="20"/>
      </w:rPr>
      <w:t xml:space="preserve"> </w:t>
    </w:r>
    <w:r>
      <w:rPr>
        <w:spacing w:val="-2"/>
        <w:sz w:val="20"/>
      </w:rPr>
      <w:t>Redacted</w:t>
    </w:r>
  </w:p>
  <w:p w14:paraId="5A97811E" w14:textId="4331FEEC" w:rsidR="00BD462C" w:rsidRDefault="00BD462C">
    <w:pPr>
      <w:pStyle w:val="BodyText"/>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2AD35" w14:textId="77777777" w:rsidR="0084302F" w:rsidRDefault="0084302F" w:rsidP="0084302F">
    <w:pPr>
      <w:pBdr>
        <w:top w:val="single" w:sz="4" w:space="1" w:color="auto"/>
        <w:left w:val="single" w:sz="4" w:space="4" w:color="auto"/>
        <w:bottom w:val="single" w:sz="4" w:space="1" w:color="auto"/>
        <w:right w:val="single" w:sz="4" w:space="4" w:color="auto"/>
      </w:pBdr>
      <w:spacing w:line="225" w:lineRule="exact"/>
      <w:ind w:left="20"/>
      <w:jc w:val="center"/>
      <w:rPr>
        <w:sz w:val="20"/>
      </w:rPr>
    </w:pPr>
    <w:r>
      <w:rPr>
        <w:spacing w:val="-2"/>
        <w:sz w:val="20"/>
      </w:rPr>
      <w:t>Business</w:t>
    </w:r>
    <w:r>
      <w:rPr>
        <w:spacing w:val="10"/>
        <w:sz w:val="20"/>
      </w:rPr>
      <w:t xml:space="preserve"> </w:t>
    </w:r>
    <w:r>
      <w:rPr>
        <w:spacing w:val="-2"/>
        <w:sz w:val="20"/>
      </w:rPr>
      <w:t>Confidential</w:t>
    </w:r>
    <w:r>
      <w:rPr>
        <w:spacing w:val="10"/>
        <w:sz w:val="20"/>
      </w:rPr>
      <w:t xml:space="preserve"> </w:t>
    </w:r>
    <w:r>
      <w:rPr>
        <w:spacing w:val="-2"/>
        <w:sz w:val="20"/>
      </w:rPr>
      <w:t>Information</w:t>
    </w:r>
    <w:r>
      <w:rPr>
        <w:spacing w:val="7"/>
        <w:sz w:val="20"/>
      </w:rPr>
      <w:t xml:space="preserve"> </w:t>
    </w:r>
    <w:r>
      <w:rPr>
        <w:spacing w:val="-2"/>
        <w:sz w:val="20"/>
      </w:rPr>
      <w:t>Redacted</w:t>
    </w:r>
  </w:p>
  <w:p w14:paraId="7997831C" w14:textId="6EB415BC" w:rsidR="00BD462C" w:rsidRDefault="00BD462C">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30F76"/>
    <w:multiLevelType w:val="hybridMultilevel"/>
    <w:tmpl w:val="BD842C0A"/>
    <w:lvl w:ilvl="0" w:tplc="CE0640A6">
      <w:start w:val="1"/>
      <w:numFmt w:val="decimal"/>
      <w:lvlText w:val="%1."/>
      <w:lvlJc w:val="left"/>
      <w:pPr>
        <w:ind w:left="2689" w:hanging="850"/>
      </w:pPr>
      <w:rPr>
        <w:rFonts w:ascii="Calibri" w:eastAsia="Calibri" w:hAnsi="Calibri" w:cs="Calibri" w:hint="default"/>
        <w:b/>
        <w:bCs/>
        <w:i w:val="0"/>
        <w:iCs w:val="0"/>
        <w:spacing w:val="-2"/>
        <w:w w:val="100"/>
        <w:sz w:val="24"/>
        <w:szCs w:val="24"/>
        <w:lang w:val="en-US" w:eastAsia="en-US" w:bidi="ar-SA"/>
      </w:rPr>
    </w:lvl>
    <w:lvl w:ilvl="1" w:tplc="74C6507E">
      <w:numFmt w:val="bullet"/>
      <w:lvlText w:val="•"/>
      <w:lvlJc w:val="left"/>
      <w:pPr>
        <w:ind w:left="3424" w:hanging="850"/>
      </w:pPr>
      <w:rPr>
        <w:rFonts w:hint="default"/>
        <w:lang w:val="en-US" w:eastAsia="en-US" w:bidi="ar-SA"/>
      </w:rPr>
    </w:lvl>
    <w:lvl w:ilvl="2" w:tplc="7DB65608">
      <w:numFmt w:val="bullet"/>
      <w:lvlText w:val="•"/>
      <w:lvlJc w:val="left"/>
      <w:pPr>
        <w:ind w:left="4168" w:hanging="850"/>
      </w:pPr>
      <w:rPr>
        <w:rFonts w:hint="default"/>
        <w:lang w:val="en-US" w:eastAsia="en-US" w:bidi="ar-SA"/>
      </w:rPr>
    </w:lvl>
    <w:lvl w:ilvl="3" w:tplc="C8B8E2A4">
      <w:numFmt w:val="bullet"/>
      <w:lvlText w:val="•"/>
      <w:lvlJc w:val="left"/>
      <w:pPr>
        <w:ind w:left="4913" w:hanging="850"/>
      </w:pPr>
      <w:rPr>
        <w:rFonts w:hint="default"/>
        <w:lang w:val="en-US" w:eastAsia="en-US" w:bidi="ar-SA"/>
      </w:rPr>
    </w:lvl>
    <w:lvl w:ilvl="4" w:tplc="31329150">
      <w:numFmt w:val="bullet"/>
      <w:lvlText w:val="•"/>
      <w:lvlJc w:val="left"/>
      <w:pPr>
        <w:ind w:left="5657" w:hanging="850"/>
      </w:pPr>
      <w:rPr>
        <w:rFonts w:hint="default"/>
        <w:lang w:val="en-US" w:eastAsia="en-US" w:bidi="ar-SA"/>
      </w:rPr>
    </w:lvl>
    <w:lvl w:ilvl="5" w:tplc="43FED0FA">
      <w:numFmt w:val="bullet"/>
      <w:lvlText w:val="•"/>
      <w:lvlJc w:val="left"/>
      <w:pPr>
        <w:ind w:left="6402" w:hanging="850"/>
      </w:pPr>
      <w:rPr>
        <w:rFonts w:hint="default"/>
        <w:lang w:val="en-US" w:eastAsia="en-US" w:bidi="ar-SA"/>
      </w:rPr>
    </w:lvl>
    <w:lvl w:ilvl="6" w:tplc="C7AE0AA2">
      <w:numFmt w:val="bullet"/>
      <w:lvlText w:val="•"/>
      <w:lvlJc w:val="left"/>
      <w:pPr>
        <w:ind w:left="7146" w:hanging="850"/>
      </w:pPr>
      <w:rPr>
        <w:rFonts w:hint="default"/>
        <w:lang w:val="en-US" w:eastAsia="en-US" w:bidi="ar-SA"/>
      </w:rPr>
    </w:lvl>
    <w:lvl w:ilvl="7" w:tplc="3F6EC978">
      <w:numFmt w:val="bullet"/>
      <w:lvlText w:val="•"/>
      <w:lvlJc w:val="left"/>
      <w:pPr>
        <w:ind w:left="7890" w:hanging="850"/>
      </w:pPr>
      <w:rPr>
        <w:rFonts w:hint="default"/>
        <w:lang w:val="en-US" w:eastAsia="en-US" w:bidi="ar-SA"/>
      </w:rPr>
    </w:lvl>
    <w:lvl w:ilvl="8" w:tplc="8ACC5CD8">
      <w:numFmt w:val="bullet"/>
      <w:lvlText w:val="•"/>
      <w:lvlJc w:val="left"/>
      <w:pPr>
        <w:ind w:left="8635" w:hanging="850"/>
      </w:pPr>
      <w:rPr>
        <w:rFonts w:hint="default"/>
        <w:lang w:val="en-US" w:eastAsia="en-US" w:bidi="ar-SA"/>
      </w:rPr>
    </w:lvl>
  </w:abstractNum>
  <w:abstractNum w:abstractNumId="1" w15:restartNumberingAfterBreak="0">
    <w:nsid w:val="01183025"/>
    <w:multiLevelType w:val="hybridMultilevel"/>
    <w:tmpl w:val="8298A9D2"/>
    <w:lvl w:ilvl="0" w:tplc="734E1382">
      <w:start w:val="1"/>
      <w:numFmt w:val="lowerRoman"/>
      <w:lvlText w:val="(%1)"/>
      <w:lvlJc w:val="left"/>
      <w:pPr>
        <w:ind w:left="136" w:hanging="212"/>
      </w:pPr>
      <w:rPr>
        <w:rFonts w:ascii="Calibri" w:eastAsia="Calibri" w:hAnsi="Calibri" w:cs="Calibri" w:hint="default"/>
        <w:b w:val="0"/>
        <w:bCs w:val="0"/>
        <w:i w:val="0"/>
        <w:iCs w:val="0"/>
        <w:spacing w:val="-4"/>
        <w:w w:val="101"/>
        <w:sz w:val="18"/>
        <w:szCs w:val="18"/>
        <w:lang w:val="en-US" w:eastAsia="en-US" w:bidi="ar-SA"/>
      </w:rPr>
    </w:lvl>
    <w:lvl w:ilvl="1" w:tplc="A39E78DC">
      <w:numFmt w:val="bullet"/>
      <w:lvlText w:val="•"/>
      <w:lvlJc w:val="left"/>
      <w:pPr>
        <w:ind w:left="1138" w:hanging="212"/>
      </w:pPr>
      <w:rPr>
        <w:rFonts w:hint="default"/>
        <w:lang w:val="en-US" w:eastAsia="en-US" w:bidi="ar-SA"/>
      </w:rPr>
    </w:lvl>
    <w:lvl w:ilvl="2" w:tplc="16B811D4">
      <w:numFmt w:val="bullet"/>
      <w:lvlText w:val="•"/>
      <w:lvlJc w:val="left"/>
      <w:pPr>
        <w:ind w:left="2136" w:hanging="212"/>
      </w:pPr>
      <w:rPr>
        <w:rFonts w:hint="default"/>
        <w:lang w:val="en-US" w:eastAsia="en-US" w:bidi="ar-SA"/>
      </w:rPr>
    </w:lvl>
    <w:lvl w:ilvl="3" w:tplc="4E4C1CE2">
      <w:numFmt w:val="bullet"/>
      <w:lvlText w:val="•"/>
      <w:lvlJc w:val="left"/>
      <w:pPr>
        <w:ind w:left="3135" w:hanging="212"/>
      </w:pPr>
      <w:rPr>
        <w:rFonts w:hint="default"/>
        <w:lang w:val="en-US" w:eastAsia="en-US" w:bidi="ar-SA"/>
      </w:rPr>
    </w:lvl>
    <w:lvl w:ilvl="4" w:tplc="7C3C7DD8">
      <w:numFmt w:val="bullet"/>
      <w:lvlText w:val="•"/>
      <w:lvlJc w:val="left"/>
      <w:pPr>
        <w:ind w:left="4133" w:hanging="212"/>
      </w:pPr>
      <w:rPr>
        <w:rFonts w:hint="default"/>
        <w:lang w:val="en-US" w:eastAsia="en-US" w:bidi="ar-SA"/>
      </w:rPr>
    </w:lvl>
    <w:lvl w:ilvl="5" w:tplc="277C0990">
      <w:numFmt w:val="bullet"/>
      <w:lvlText w:val="•"/>
      <w:lvlJc w:val="left"/>
      <w:pPr>
        <w:ind w:left="5132" w:hanging="212"/>
      </w:pPr>
      <w:rPr>
        <w:rFonts w:hint="default"/>
        <w:lang w:val="en-US" w:eastAsia="en-US" w:bidi="ar-SA"/>
      </w:rPr>
    </w:lvl>
    <w:lvl w:ilvl="6" w:tplc="4F90BC6C">
      <w:numFmt w:val="bullet"/>
      <w:lvlText w:val="•"/>
      <w:lvlJc w:val="left"/>
      <w:pPr>
        <w:ind w:left="6130" w:hanging="212"/>
      </w:pPr>
      <w:rPr>
        <w:rFonts w:hint="default"/>
        <w:lang w:val="en-US" w:eastAsia="en-US" w:bidi="ar-SA"/>
      </w:rPr>
    </w:lvl>
    <w:lvl w:ilvl="7" w:tplc="1E7E24A0">
      <w:numFmt w:val="bullet"/>
      <w:lvlText w:val="•"/>
      <w:lvlJc w:val="left"/>
      <w:pPr>
        <w:ind w:left="7128" w:hanging="212"/>
      </w:pPr>
      <w:rPr>
        <w:rFonts w:hint="default"/>
        <w:lang w:val="en-US" w:eastAsia="en-US" w:bidi="ar-SA"/>
      </w:rPr>
    </w:lvl>
    <w:lvl w:ilvl="8" w:tplc="5824B7DA">
      <w:numFmt w:val="bullet"/>
      <w:lvlText w:val="•"/>
      <w:lvlJc w:val="left"/>
      <w:pPr>
        <w:ind w:left="8127" w:hanging="212"/>
      </w:pPr>
      <w:rPr>
        <w:rFonts w:hint="default"/>
        <w:lang w:val="en-US" w:eastAsia="en-US" w:bidi="ar-SA"/>
      </w:rPr>
    </w:lvl>
  </w:abstractNum>
  <w:abstractNum w:abstractNumId="2" w15:restartNumberingAfterBreak="0">
    <w:nsid w:val="05152CA8"/>
    <w:multiLevelType w:val="hybridMultilevel"/>
    <w:tmpl w:val="B0C04054"/>
    <w:lvl w:ilvl="0" w:tplc="2C9825E6">
      <w:start w:val="1"/>
      <w:numFmt w:val="decimal"/>
      <w:lvlText w:val="%1."/>
      <w:lvlJc w:val="left"/>
      <w:pPr>
        <w:ind w:left="2689" w:hanging="850"/>
      </w:pPr>
      <w:rPr>
        <w:rFonts w:ascii="Calibri" w:eastAsia="Calibri" w:hAnsi="Calibri" w:cs="Calibri" w:hint="default"/>
        <w:b/>
        <w:bCs/>
        <w:i w:val="0"/>
        <w:iCs w:val="0"/>
        <w:spacing w:val="-2"/>
        <w:w w:val="100"/>
        <w:sz w:val="24"/>
        <w:szCs w:val="24"/>
        <w:lang w:val="en-US" w:eastAsia="en-US" w:bidi="ar-SA"/>
      </w:rPr>
    </w:lvl>
    <w:lvl w:ilvl="1" w:tplc="73E6B154">
      <w:start w:val="1"/>
      <w:numFmt w:val="lowerLetter"/>
      <w:lvlText w:val="(%2)"/>
      <w:lvlJc w:val="left"/>
      <w:pPr>
        <w:ind w:left="2972" w:hanging="1138"/>
        <w:jc w:val="right"/>
      </w:pPr>
      <w:rPr>
        <w:rFonts w:ascii="Calibri" w:eastAsia="Calibri" w:hAnsi="Calibri" w:cs="Calibri" w:hint="default"/>
        <w:b w:val="0"/>
        <w:bCs w:val="0"/>
        <w:i w:val="0"/>
        <w:iCs w:val="0"/>
        <w:spacing w:val="-1"/>
        <w:w w:val="100"/>
        <w:sz w:val="24"/>
        <w:szCs w:val="24"/>
        <w:u w:val="single" w:color="000000"/>
        <w:lang w:val="en-US" w:eastAsia="en-US" w:bidi="ar-SA"/>
      </w:rPr>
    </w:lvl>
    <w:lvl w:ilvl="2" w:tplc="993298EA">
      <w:numFmt w:val="bullet"/>
      <w:lvlText w:val="•"/>
      <w:lvlJc w:val="left"/>
      <w:pPr>
        <w:ind w:left="3773" w:hanging="1138"/>
      </w:pPr>
      <w:rPr>
        <w:rFonts w:hint="default"/>
        <w:lang w:val="en-US" w:eastAsia="en-US" w:bidi="ar-SA"/>
      </w:rPr>
    </w:lvl>
    <w:lvl w:ilvl="3" w:tplc="BDD4E1D8">
      <w:numFmt w:val="bullet"/>
      <w:lvlText w:val="•"/>
      <w:lvlJc w:val="left"/>
      <w:pPr>
        <w:ind w:left="4567" w:hanging="1138"/>
      </w:pPr>
      <w:rPr>
        <w:rFonts w:hint="default"/>
        <w:lang w:val="en-US" w:eastAsia="en-US" w:bidi="ar-SA"/>
      </w:rPr>
    </w:lvl>
    <w:lvl w:ilvl="4" w:tplc="AC62C9B8">
      <w:numFmt w:val="bullet"/>
      <w:lvlText w:val="•"/>
      <w:lvlJc w:val="left"/>
      <w:pPr>
        <w:ind w:left="5361" w:hanging="1138"/>
      </w:pPr>
      <w:rPr>
        <w:rFonts w:hint="default"/>
        <w:lang w:val="en-US" w:eastAsia="en-US" w:bidi="ar-SA"/>
      </w:rPr>
    </w:lvl>
    <w:lvl w:ilvl="5" w:tplc="31F4DD7E">
      <w:numFmt w:val="bullet"/>
      <w:lvlText w:val="•"/>
      <w:lvlJc w:val="left"/>
      <w:pPr>
        <w:ind w:left="6155" w:hanging="1138"/>
      </w:pPr>
      <w:rPr>
        <w:rFonts w:hint="default"/>
        <w:lang w:val="en-US" w:eastAsia="en-US" w:bidi="ar-SA"/>
      </w:rPr>
    </w:lvl>
    <w:lvl w:ilvl="6" w:tplc="DC961DCA">
      <w:numFmt w:val="bullet"/>
      <w:lvlText w:val="•"/>
      <w:lvlJc w:val="left"/>
      <w:pPr>
        <w:ind w:left="6948" w:hanging="1138"/>
      </w:pPr>
      <w:rPr>
        <w:rFonts w:hint="default"/>
        <w:lang w:val="en-US" w:eastAsia="en-US" w:bidi="ar-SA"/>
      </w:rPr>
    </w:lvl>
    <w:lvl w:ilvl="7" w:tplc="26AC1BDE">
      <w:numFmt w:val="bullet"/>
      <w:lvlText w:val="•"/>
      <w:lvlJc w:val="left"/>
      <w:pPr>
        <w:ind w:left="7742" w:hanging="1138"/>
      </w:pPr>
      <w:rPr>
        <w:rFonts w:hint="default"/>
        <w:lang w:val="en-US" w:eastAsia="en-US" w:bidi="ar-SA"/>
      </w:rPr>
    </w:lvl>
    <w:lvl w:ilvl="8" w:tplc="62FA8D1E">
      <w:numFmt w:val="bullet"/>
      <w:lvlText w:val="•"/>
      <w:lvlJc w:val="left"/>
      <w:pPr>
        <w:ind w:left="8536" w:hanging="1138"/>
      </w:pPr>
      <w:rPr>
        <w:rFonts w:hint="default"/>
        <w:lang w:val="en-US" w:eastAsia="en-US" w:bidi="ar-SA"/>
      </w:rPr>
    </w:lvl>
  </w:abstractNum>
  <w:abstractNum w:abstractNumId="3" w15:restartNumberingAfterBreak="0">
    <w:nsid w:val="05425E42"/>
    <w:multiLevelType w:val="hybridMultilevel"/>
    <w:tmpl w:val="AE323B84"/>
    <w:lvl w:ilvl="0" w:tplc="C19895D0">
      <w:start w:val="1"/>
      <w:numFmt w:val="decimal"/>
      <w:lvlText w:val="%1."/>
      <w:lvlJc w:val="left"/>
      <w:pPr>
        <w:ind w:left="2689" w:hanging="572"/>
        <w:jc w:val="right"/>
      </w:pPr>
      <w:rPr>
        <w:rFonts w:ascii="Calibri" w:eastAsia="Calibri" w:hAnsi="Calibri" w:cs="Calibri" w:hint="default"/>
        <w:b/>
        <w:bCs/>
        <w:i w:val="0"/>
        <w:iCs w:val="0"/>
        <w:spacing w:val="-2"/>
        <w:w w:val="100"/>
        <w:sz w:val="24"/>
        <w:szCs w:val="24"/>
        <w:lang w:val="en-US" w:eastAsia="en-US" w:bidi="ar-SA"/>
      </w:rPr>
    </w:lvl>
    <w:lvl w:ilvl="1" w:tplc="B978DF48">
      <w:start w:val="1"/>
      <w:numFmt w:val="lowerLetter"/>
      <w:lvlText w:val="(%2)"/>
      <w:lvlJc w:val="left"/>
      <w:pPr>
        <w:ind w:left="3539" w:hanging="850"/>
      </w:pPr>
      <w:rPr>
        <w:rFonts w:ascii="Calibri" w:eastAsia="Calibri" w:hAnsi="Calibri" w:cs="Calibri" w:hint="default"/>
        <w:b w:val="0"/>
        <w:bCs w:val="0"/>
        <w:i w:val="0"/>
        <w:iCs w:val="0"/>
        <w:spacing w:val="-1"/>
        <w:w w:val="100"/>
        <w:sz w:val="24"/>
        <w:szCs w:val="24"/>
        <w:u w:val="single" w:color="000000"/>
        <w:lang w:val="en-US" w:eastAsia="en-US" w:bidi="ar-SA"/>
      </w:rPr>
    </w:lvl>
    <w:lvl w:ilvl="2" w:tplc="83386AB8">
      <w:numFmt w:val="bullet"/>
      <w:lvlText w:val="•"/>
      <w:lvlJc w:val="left"/>
      <w:pPr>
        <w:ind w:left="4271" w:hanging="850"/>
      </w:pPr>
      <w:rPr>
        <w:rFonts w:hint="default"/>
        <w:lang w:val="en-US" w:eastAsia="en-US" w:bidi="ar-SA"/>
      </w:rPr>
    </w:lvl>
    <w:lvl w:ilvl="3" w:tplc="7AAC8976">
      <w:numFmt w:val="bullet"/>
      <w:lvlText w:val="•"/>
      <w:lvlJc w:val="left"/>
      <w:pPr>
        <w:ind w:left="5003" w:hanging="850"/>
      </w:pPr>
      <w:rPr>
        <w:rFonts w:hint="default"/>
        <w:lang w:val="en-US" w:eastAsia="en-US" w:bidi="ar-SA"/>
      </w:rPr>
    </w:lvl>
    <w:lvl w:ilvl="4" w:tplc="0E506FE4">
      <w:numFmt w:val="bullet"/>
      <w:lvlText w:val="•"/>
      <w:lvlJc w:val="left"/>
      <w:pPr>
        <w:ind w:left="5734" w:hanging="850"/>
      </w:pPr>
      <w:rPr>
        <w:rFonts w:hint="default"/>
        <w:lang w:val="en-US" w:eastAsia="en-US" w:bidi="ar-SA"/>
      </w:rPr>
    </w:lvl>
    <w:lvl w:ilvl="5" w:tplc="FB7C599C">
      <w:numFmt w:val="bullet"/>
      <w:lvlText w:val="•"/>
      <w:lvlJc w:val="left"/>
      <w:pPr>
        <w:ind w:left="6466" w:hanging="850"/>
      </w:pPr>
      <w:rPr>
        <w:rFonts w:hint="default"/>
        <w:lang w:val="en-US" w:eastAsia="en-US" w:bidi="ar-SA"/>
      </w:rPr>
    </w:lvl>
    <w:lvl w:ilvl="6" w:tplc="216C732C">
      <w:numFmt w:val="bullet"/>
      <w:lvlText w:val="•"/>
      <w:lvlJc w:val="left"/>
      <w:pPr>
        <w:ind w:left="7197" w:hanging="850"/>
      </w:pPr>
      <w:rPr>
        <w:rFonts w:hint="default"/>
        <w:lang w:val="en-US" w:eastAsia="en-US" w:bidi="ar-SA"/>
      </w:rPr>
    </w:lvl>
    <w:lvl w:ilvl="7" w:tplc="E77E5858">
      <w:numFmt w:val="bullet"/>
      <w:lvlText w:val="•"/>
      <w:lvlJc w:val="left"/>
      <w:pPr>
        <w:ind w:left="7929" w:hanging="850"/>
      </w:pPr>
      <w:rPr>
        <w:rFonts w:hint="default"/>
        <w:lang w:val="en-US" w:eastAsia="en-US" w:bidi="ar-SA"/>
      </w:rPr>
    </w:lvl>
    <w:lvl w:ilvl="8" w:tplc="A276238E">
      <w:numFmt w:val="bullet"/>
      <w:lvlText w:val="•"/>
      <w:lvlJc w:val="left"/>
      <w:pPr>
        <w:ind w:left="8660" w:hanging="850"/>
      </w:pPr>
      <w:rPr>
        <w:rFonts w:hint="default"/>
        <w:lang w:val="en-US" w:eastAsia="en-US" w:bidi="ar-SA"/>
      </w:rPr>
    </w:lvl>
  </w:abstractNum>
  <w:abstractNum w:abstractNumId="4" w15:restartNumberingAfterBreak="0">
    <w:nsid w:val="074340B2"/>
    <w:multiLevelType w:val="hybridMultilevel"/>
    <w:tmpl w:val="571AF588"/>
    <w:lvl w:ilvl="0" w:tplc="F1DE7B14">
      <w:start w:val="1"/>
      <w:numFmt w:val="decimal"/>
      <w:lvlText w:val="%1."/>
      <w:lvlJc w:val="left"/>
      <w:pPr>
        <w:ind w:left="2545" w:hanging="850"/>
      </w:pPr>
      <w:rPr>
        <w:rFonts w:ascii="Calibri" w:eastAsia="Calibri" w:hAnsi="Calibri" w:cs="Calibri" w:hint="default"/>
        <w:b/>
        <w:bCs/>
        <w:i w:val="0"/>
        <w:iCs w:val="0"/>
        <w:spacing w:val="-2"/>
        <w:w w:val="100"/>
        <w:sz w:val="24"/>
        <w:szCs w:val="24"/>
        <w:lang w:val="en-US" w:eastAsia="en-US" w:bidi="ar-SA"/>
      </w:rPr>
    </w:lvl>
    <w:lvl w:ilvl="1" w:tplc="378C8046">
      <w:start w:val="1"/>
      <w:numFmt w:val="lowerLetter"/>
      <w:lvlText w:val="(%2)"/>
      <w:lvlJc w:val="left"/>
      <w:pPr>
        <w:ind w:left="3539" w:hanging="850"/>
      </w:pPr>
      <w:rPr>
        <w:rFonts w:ascii="Calibri" w:eastAsia="Calibri" w:hAnsi="Calibri" w:cs="Calibri" w:hint="default"/>
        <w:b w:val="0"/>
        <w:bCs w:val="0"/>
        <w:i w:val="0"/>
        <w:iCs w:val="0"/>
        <w:spacing w:val="-1"/>
        <w:w w:val="100"/>
        <w:sz w:val="24"/>
        <w:szCs w:val="24"/>
        <w:u w:val="single" w:color="000000"/>
        <w:lang w:val="en-US" w:eastAsia="en-US" w:bidi="ar-SA"/>
      </w:rPr>
    </w:lvl>
    <w:lvl w:ilvl="2" w:tplc="839EED2A">
      <w:numFmt w:val="bullet"/>
      <w:lvlText w:val="•"/>
      <w:lvlJc w:val="left"/>
      <w:pPr>
        <w:ind w:left="4271" w:hanging="850"/>
      </w:pPr>
      <w:rPr>
        <w:rFonts w:hint="default"/>
        <w:lang w:val="en-US" w:eastAsia="en-US" w:bidi="ar-SA"/>
      </w:rPr>
    </w:lvl>
    <w:lvl w:ilvl="3" w:tplc="1584DB34">
      <w:numFmt w:val="bullet"/>
      <w:lvlText w:val="•"/>
      <w:lvlJc w:val="left"/>
      <w:pPr>
        <w:ind w:left="5003" w:hanging="850"/>
      </w:pPr>
      <w:rPr>
        <w:rFonts w:hint="default"/>
        <w:lang w:val="en-US" w:eastAsia="en-US" w:bidi="ar-SA"/>
      </w:rPr>
    </w:lvl>
    <w:lvl w:ilvl="4" w:tplc="E9BC6016">
      <w:numFmt w:val="bullet"/>
      <w:lvlText w:val="•"/>
      <w:lvlJc w:val="left"/>
      <w:pPr>
        <w:ind w:left="5734" w:hanging="850"/>
      </w:pPr>
      <w:rPr>
        <w:rFonts w:hint="default"/>
        <w:lang w:val="en-US" w:eastAsia="en-US" w:bidi="ar-SA"/>
      </w:rPr>
    </w:lvl>
    <w:lvl w:ilvl="5" w:tplc="9A7C2462">
      <w:numFmt w:val="bullet"/>
      <w:lvlText w:val="•"/>
      <w:lvlJc w:val="left"/>
      <w:pPr>
        <w:ind w:left="6466" w:hanging="850"/>
      </w:pPr>
      <w:rPr>
        <w:rFonts w:hint="default"/>
        <w:lang w:val="en-US" w:eastAsia="en-US" w:bidi="ar-SA"/>
      </w:rPr>
    </w:lvl>
    <w:lvl w:ilvl="6" w:tplc="4ABC99C4">
      <w:numFmt w:val="bullet"/>
      <w:lvlText w:val="•"/>
      <w:lvlJc w:val="left"/>
      <w:pPr>
        <w:ind w:left="7197" w:hanging="850"/>
      </w:pPr>
      <w:rPr>
        <w:rFonts w:hint="default"/>
        <w:lang w:val="en-US" w:eastAsia="en-US" w:bidi="ar-SA"/>
      </w:rPr>
    </w:lvl>
    <w:lvl w:ilvl="7" w:tplc="9728897A">
      <w:numFmt w:val="bullet"/>
      <w:lvlText w:val="•"/>
      <w:lvlJc w:val="left"/>
      <w:pPr>
        <w:ind w:left="7929" w:hanging="850"/>
      </w:pPr>
      <w:rPr>
        <w:rFonts w:hint="default"/>
        <w:lang w:val="en-US" w:eastAsia="en-US" w:bidi="ar-SA"/>
      </w:rPr>
    </w:lvl>
    <w:lvl w:ilvl="8" w:tplc="9634DF16">
      <w:numFmt w:val="bullet"/>
      <w:lvlText w:val="•"/>
      <w:lvlJc w:val="left"/>
      <w:pPr>
        <w:ind w:left="8660" w:hanging="850"/>
      </w:pPr>
      <w:rPr>
        <w:rFonts w:hint="default"/>
        <w:lang w:val="en-US" w:eastAsia="en-US" w:bidi="ar-SA"/>
      </w:rPr>
    </w:lvl>
  </w:abstractNum>
  <w:abstractNum w:abstractNumId="5" w15:restartNumberingAfterBreak="0">
    <w:nsid w:val="089E3D2E"/>
    <w:multiLevelType w:val="hybridMultilevel"/>
    <w:tmpl w:val="8CAC1328"/>
    <w:lvl w:ilvl="0" w:tplc="616CC926">
      <w:numFmt w:val="bullet"/>
      <w:lvlText w:val=""/>
      <w:lvlJc w:val="left"/>
      <w:pPr>
        <w:ind w:left="1840" w:hanging="850"/>
      </w:pPr>
      <w:rPr>
        <w:rFonts w:ascii="Symbol" w:eastAsia="Symbol" w:hAnsi="Symbol" w:cs="Symbol" w:hint="default"/>
        <w:b w:val="0"/>
        <w:bCs w:val="0"/>
        <w:i w:val="0"/>
        <w:iCs w:val="0"/>
        <w:w w:val="100"/>
        <w:sz w:val="24"/>
        <w:szCs w:val="24"/>
        <w:lang w:val="en-US" w:eastAsia="en-US" w:bidi="ar-SA"/>
      </w:rPr>
    </w:lvl>
    <w:lvl w:ilvl="1" w:tplc="50868AE4">
      <w:numFmt w:val="bullet"/>
      <w:lvlText w:val="•"/>
      <w:lvlJc w:val="left"/>
      <w:pPr>
        <w:ind w:left="2668" w:hanging="850"/>
      </w:pPr>
      <w:rPr>
        <w:rFonts w:hint="default"/>
        <w:lang w:val="en-US" w:eastAsia="en-US" w:bidi="ar-SA"/>
      </w:rPr>
    </w:lvl>
    <w:lvl w:ilvl="2" w:tplc="CED2CF4C">
      <w:numFmt w:val="bullet"/>
      <w:lvlText w:val="•"/>
      <w:lvlJc w:val="left"/>
      <w:pPr>
        <w:ind w:left="3496" w:hanging="850"/>
      </w:pPr>
      <w:rPr>
        <w:rFonts w:hint="default"/>
        <w:lang w:val="en-US" w:eastAsia="en-US" w:bidi="ar-SA"/>
      </w:rPr>
    </w:lvl>
    <w:lvl w:ilvl="3" w:tplc="18387E42">
      <w:numFmt w:val="bullet"/>
      <w:lvlText w:val="•"/>
      <w:lvlJc w:val="left"/>
      <w:pPr>
        <w:ind w:left="4325" w:hanging="850"/>
      </w:pPr>
      <w:rPr>
        <w:rFonts w:hint="default"/>
        <w:lang w:val="en-US" w:eastAsia="en-US" w:bidi="ar-SA"/>
      </w:rPr>
    </w:lvl>
    <w:lvl w:ilvl="4" w:tplc="2D5EDE34">
      <w:numFmt w:val="bullet"/>
      <w:lvlText w:val="•"/>
      <w:lvlJc w:val="left"/>
      <w:pPr>
        <w:ind w:left="5153" w:hanging="850"/>
      </w:pPr>
      <w:rPr>
        <w:rFonts w:hint="default"/>
        <w:lang w:val="en-US" w:eastAsia="en-US" w:bidi="ar-SA"/>
      </w:rPr>
    </w:lvl>
    <w:lvl w:ilvl="5" w:tplc="EEB664CC">
      <w:numFmt w:val="bullet"/>
      <w:lvlText w:val="•"/>
      <w:lvlJc w:val="left"/>
      <w:pPr>
        <w:ind w:left="5982" w:hanging="850"/>
      </w:pPr>
      <w:rPr>
        <w:rFonts w:hint="default"/>
        <w:lang w:val="en-US" w:eastAsia="en-US" w:bidi="ar-SA"/>
      </w:rPr>
    </w:lvl>
    <w:lvl w:ilvl="6" w:tplc="6AC20F88">
      <w:numFmt w:val="bullet"/>
      <w:lvlText w:val="•"/>
      <w:lvlJc w:val="left"/>
      <w:pPr>
        <w:ind w:left="6810" w:hanging="850"/>
      </w:pPr>
      <w:rPr>
        <w:rFonts w:hint="default"/>
        <w:lang w:val="en-US" w:eastAsia="en-US" w:bidi="ar-SA"/>
      </w:rPr>
    </w:lvl>
    <w:lvl w:ilvl="7" w:tplc="4FEA4A08">
      <w:numFmt w:val="bullet"/>
      <w:lvlText w:val="•"/>
      <w:lvlJc w:val="left"/>
      <w:pPr>
        <w:ind w:left="7638" w:hanging="850"/>
      </w:pPr>
      <w:rPr>
        <w:rFonts w:hint="default"/>
        <w:lang w:val="en-US" w:eastAsia="en-US" w:bidi="ar-SA"/>
      </w:rPr>
    </w:lvl>
    <w:lvl w:ilvl="8" w:tplc="8A1CBB14">
      <w:numFmt w:val="bullet"/>
      <w:lvlText w:val="•"/>
      <w:lvlJc w:val="left"/>
      <w:pPr>
        <w:ind w:left="8467" w:hanging="850"/>
      </w:pPr>
      <w:rPr>
        <w:rFonts w:hint="default"/>
        <w:lang w:val="en-US" w:eastAsia="en-US" w:bidi="ar-SA"/>
      </w:rPr>
    </w:lvl>
  </w:abstractNum>
  <w:abstractNum w:abstractNumId="6" w15:restartNumberingAfterBreak="0">
    <w:nsid w:val="092A4DB0"/>
    <w:multiLevelType w:val="hybridMultilevel"/>
    <w:tmpl w:val="36B418D4"/>
    <w:lvl w:ilvl="0" w:tplc="F1807C94">
      <w:start w:val="1"/>
      <w:numFmt w:val="lowerLetter"/>
      <w:lvlText w:val="(%1)"/>
      <w:lvlJc w:val="left"/>
      <w:pPr>
        <w:ind w:left="3539" w:hanging="850"/>
      </w:pPr>
      <w:rPr>
        <w:rFonts w:ascii="Calibri" w:eastAsia="Calibri" w:hAnsi="Calibri" w:cs="Calibri" w:hint="default"/>
        <w:b w:val="0"/>
        <w:bCs w:val="0"/>
        <w:i w:val="0"/>
        <w:iCs w:val="0"/>
        <w:spacing w:val="-1"/>
        <w:w w:val="100"/>
        <w:sz w:val="24"/>
        <w:szCs w:val="24"/>
        <w:u w:val="single" w:color="000000"/>
        <w:lang w:val="en-US" w:eastAsia="en-US" w:bidi="ar-SA"/>
      </w:rPr>
    </w:lvl>
    <w:lvl w:ilvl="1" w:tplc="B5F88EF4">
      <w:numFmt w:val="bullet"/>
      <w:lvlText w:val="•"/>
      <w:lvlJc w:val="left"/>
      <w:pPr>
        <w:ind w:left="4198" w:hanging="850"/>
      </w:pPr>
      <w:rPr>
        <w:rFonts w:hint="default"/>
        <w:lang w:val="en-US" w:eastAsia="en-US" w:bidi="ar-SA"/>
      </w:rPr>
    </w:lvl>
    <w:lvl w:ilvl="2" w:tplc="992CCC32">
      <w:numFmt w:val="bullet"/>
      <w:lvlText w:val="•"/>
      <w:lvlJc w:val="left"/>
      <w:pPr>
        <w:ind w:left="4856" w:hanging="850"/>
      </w:pPr>
      <w:rPr>
        <w:rFonts w:hint="default"/>
        <w:lang w:val="en-US" w:eastAsia="en-US" w:bidi="ar-SA"/>
      </w:rPr>
    </w:lvl>
    <w:lvl w:ilvl="3" w:tplc="3D8CA5CA">
      <w:numFmt w:val="bullet"/>
      <w:lvlText w:val="•"/>
      <w:lvlJc w:val="left"/>
      <w:pPr>
        <w:ind w:left="5515" w:hanging="850"/>
      </w:pPr>
      <w:rPr>
        <w:rFonts w:hint="default"/>
        <w:lang w:val="en-US" w:eastAsia="en-US" w:bidi="ar-SA"/>
      </w:rPr>
    </w:lvl>
    <w:lvl w:ilvl="4" w:tplc="C75A5890">
      <w:numFmt w:val="bullet"/>
      <w:lvlText w:val="•"/>
      <w:lvlJc w:val="left"/>
      <w:pPr>
        <w:ind w:left="6173" w:hanging="850"/>
      </w:pPr>
      <w:rPr>
        <w:rFonts w:hint="default"/>
        <w:lang w:val="en-US" w:eastAsia="en-US" w:bidi="ar-SA"/>
      </w:rPr>
    </w:lvl>
    <w:lvl w:ilvl="5" w:tplc="FD705E6C">
      <w:numFmt w:val="bullet"/>
      <w:lvlText w:val="•"/>
      <w:lvlJc w:val="left"/>
      <w:pPr>
        <w:ind w:left="6832" w:hanging="850"/>
      </w:pPr>
      <w:rPr>
        <w:rFonts w:hint="default"/>
        <w:lang w:val="en-US" w:eastAsia="en-US" w:bidi="ar-SA"/>
      </w:rPr>
    </w:lvl>
    <w:lvl w:ilvl="6" w:tplc="DBD87EBE">
      <w:numFmt w:val="bullet"/>
      <w:lvlText w:val="•"/>
      <w:lvlJc w:val="left"/>
      <w:pPr>
        <w:ind w:left="7490" w:hanging="850"/>
      </w:pPr>
      <w:rPr>
        <w:rFonts w:hint="default"/>
        <w:lang w:val="en-US" w:eastAsia="en-US" w:bidi="ar-SA"/>
      </w:rPr>
    </w:lvl>
    <w:lvl w:ilvl="7" w:tplc="A94C5AB8">
      <w:numFmt w:val="bullet"/>
      <w:lvlText w:val="•"/>
      <w:lvlJc w:val="left"/>
      <w:pPr>
        <w:ind w:left="8148" w:hanging="850"/>
      </w:pPr>
      <w:rPr>
        <w:rFonts w:hint="default"/>
        <w:lang w:val="en-US" w:eastAsia="en-US" w:bidi="ar-SA"/>
      </w:rPr>
    </w:lvl>
    <w:lvl w:ilvl="8" w:tplc="E23843BA">
      <w:numFmt w:val="bullet"/>
      <w:lvlText w:val="•"/>
      <w:lvlJc w:val="left"/>
      <w:pPr>
        <w:ind w:left="8807" w:hanging="850"/>
      </w:pPr>
      <w:rPr>
        <w:rFonts w:hint="default"/>
        <w:lang w:val="en-US" w:eastAsia="en-US" w:bidi="ar-SA"/>
      </w:rPr>
    </w:lvl>
  </w:abstractNum>
  <w:abstractNum w:abstractNumId="7" w15:restartNumberingAfterBreak="0">
    <w:nsid w:val="0A2611A6"/>
    <w:multiLevelType w:val="hybridMultilevel"/>
    <w:tmpl w:val="8C32F772"/>
    <w:lvl w:ilvl="0" w:tplc="FFFFFFFF">
      <w:start w:val="366"/>
      <w:numFmt w:val="decimal"/>
      <w:lvlText w:val="%1."/>
      <w:lvlJc w:val="left"/>
      <w:pPr>
        <w:ind w:left="780" w:hanging="4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BC006C8"/>
    <w:multiLevelType w:val="hybridMultilevel"/>
    <w:tmpl w:val="955200FE"/>
    <w:lvl w:ilvl="0" w:tplc="872C3422">
      <w:numFmt w:val="bullet"/>
      <w:lvlText w:val=""/>
      <w:lvlJc w:val="left"/>
      <w:pPr>
        <w:ind w:left="1705" w:hanging="360"/>
      </w:pPr>
      <w:rPr>
        <w:rFonts w:ascii="Symbol" w:eastAsia="Symbol" w:hAnsi="Symbol" w:cs="Symbol" w:hint="default"/>
        <w:b w:val="0"/>
        <w:bCs w:val="0"/>
        <w:i w:val="0"/>
        <w:iCs w:val="0"/>
        <w:w w:val="100"/>
        <w:sz w:val="24"/>
        <w:szCs w:val="24"/>
        <w:lang w:val="en-US" w:eastAsia="en-US" w:bidi="ar-SA"/>
      </w:rPr>
    </w:lvl>
    <w:lvl w:ilvl="1" w:tplc="48485B70">
      <w:start w:val="1"/>
      <w:numFmt w:val="lowerLetter"/>
      <w:lvlText w:val="(%2)"/>
      <w:lvlJc w:val="left"/>
      <w:pPr>
        <w:ind w:left="3539" w:hanging="850"/>
      </w:pPr>
      <w:rPr>
        <w:rFonts w:ascii="Calibri" w:eastAsia="Calibri" w:hAnsi="Calibri" w:cs="Calibri" w:hint="default"/>
        <w:b w:val="0"/>
        <w:bCs w:val="0"/>
        <w:i w:val="0"/>
        <w:iCs w:val="0"/>
        <w:spacing w:val="-1"/>
        <w:w w:val="100"/>
        <w:sz w:val="24"/>
        <w:szCs w:val="24"/>
        <w:u w:val="single" w:color="000000"/>
        <w:lang w:val="en-US" w:eastAsia="en-US" w:bidi="ar-SA"/>
      </w:rPr>
    </w:lvl>
    <w:lvl w:ilvl="2" w:tplc="49ACB318">
      <w:numFmt w:val="bullet"/>
      <w:lvlText w:val="•"/>
      <w:lvlJc w:val="left"/>
      <w:pPr>
        <w:ind w:left="4271" w:hanging="850"/>
      </w:pPr>
      <w:rPr>
        <w:rFonts w:hint="default"/>
        <w:lang w:val="en-US" w:eastAsia="en-US" w:bidi="ar-SA"/>
      </w:rPr>
    </w:lvl>
    <w:lvl w:ilvl="3" w:tplc="35545708">
      <w:numFmt w:val="bullet"/>
      <w:lvlText w:val="•"/>
      <w:lvlJc w:val="left"/>
      <w:pPr>
        <w:ind w:left="5003" w:hanging="850"/>
      </w:pPr>
      <w:rPr>
        <w:rFonts w:hint="default"/>
        <w:lang w:val="en-US" w:eastAsia="en-US" w:bidi="ar-SA"/>
      </w:rPr>
    </w:lvl>
    <w:lvl w:ilvl="4" w:tplc="4A7A9802">
      <w:numFmt w:val="bullet"/>
      <w:lvlText w:val="•"/>
      <w:lvlJc w:val="left"/>
      <w:pPr>
        <w:ind w:left="5734" w:hanging="850"/>
      </w:pPr>
      <w:rPr>
        <w:rFonts w:hint="default"/>
        <w:lang w:val="en-US" w:eastAsia="en-US" w:bidi="ar-SA"/>
      </w:rPr>
    </w:lvl>
    <w:lvl w:ilvl="5" w:tplc="FEB03C48">
      <w:numFmt w:val="bullet"/>
      <w:lvlText w:val="•"/>
      <w:lvlJc w:val="left"/>
      <w:pPr>
        <w:ind w:left="6466" w:hanging="850"/>
      </w:pPr>
      <w:rPr>
        <w:rFonts w:hint="default"/>
        <w:lang w:val="en-US" w:eastAsia="en-US" w:bidi="ar-SA"/>
      </w:rPr>
    </w:lvl>
    <w:lvl w:ilvl="6" w:tplc="28825632">
      <w:numFmt w:val="bullet"/>
      <w:lvlText w:val="•"/>
      <w:lvlJc w:val="left"/>
      <w:pPr>
        <w:ind w:left="7197" w:hanging="850"/>
      </w:pPr>
      <w:rPr>
        <w:rFonts w:hint="default"/>
        <w:lang w:val="en-US" w:eastAsia="en-US" w:bidi="ar-SA"/>
      </w:rPr>
    </w:lvl>
    <w:lvl w:ilvl="7" w:tplc="3822D582">
      <w:numFmt w:val="bullet"/>
      <w:lvlText w:val="•"/>
      <w:lvlJc w:val="left"/>
      <w:pPr>
        <w:ind w:left="7929" w:hanging="850"/>
      </w:pPr>
      <w:rPr>
        <w:rFonts w:hint="default"/>
        <w:lang w:val="en-US" w:eastAsia="en-US" w:bidi="ar-SA"/>
      </w:rPr>
    </w:lvl>
    <w:lvl w:ilvl="8" w:tplc="708C168C">
      <w:numFmt w:val="bullet"/>
      <w:lvlText w:val="•"/>
      <w:lvlJc w:val="left"/>
      <w:pPr>
        <w:ind w:left="8660" w:hanging="850"/>
      </w:pPr>
      <w:rPr>
        <w:rFonts w:hint="default"/>
        <w:lang w:val="en-US" w:eastAsia="en-US" w:bidi="ar-SA"/>
      </w:rPr>
    </w:lvl>
  </w:abstractNum>
  <w:abstractNum w:abstractNumId="9" w15:restartNumberingAfterBreak="0">
    <w:nsid w:val="0C26406B"/>
    <w:multiLevelType w:val="hybridMultilevel"/>
    <w:tmpl w:val="0FB60F3E"/>
    <w:lvl w:ilvl="0" w:tplc="03DA3336">
      <w:numFmt w:val="bullet"/>
      <w:lvlText w:val=""/>
      <w:lvlJc w:val="left"/>
      <w:pPr>
        <w:ind w:left="1840" w:hanging="850"/>
      </w:pPr>
      <w:rPr>
        <w:rFonts w:ascii="Symbol" w:eastAsia="Symbol" w:hAnsi="Symbol" w:cs="Symbol" w:hint="default"/>
        <w:b w:val="0"/>
        <w:bCs w:val="0"/>
        <w:i w:val="0"/>
        <w:iCs w:val="0"/>
        <w:w w:val="100"/>
        <w:sz w:val="24"/>
        <w:szCs w:val="24"/>
        <w:lang w:val="en-US" w:eastAsia="en-US" w:bidi="ar-SA"/>
      </w:rPr>
    </w:lvl>
    <w:lvl w:ilvl="1" w:tplc="1966B79C">
      <w:numFmt w:val="bullet"/>
      <w:lvlText w:val="•"/>
      <w:lvlJc w:val="left"/>
      <w:pPr>
        <w:ind w:left="2668" w:hanging="850"/>
      </w:pPr>
      <w:rPr>
        <w:rFonts w:hint="default"/>
        <w:lang w:val="en-US" w:eastAsia="en-US" w:bidi="ar-SA"/>
      </w:rPr>
    </w:lvl>
    <w:lvl w:ilvl="2" w:tplc="59243856">
      <w:numFmt w:val="bullet"/>
      <w:lvlText w:val="•"/>
      <w:lvlJc w:val="left"/>
      <w:pPr>
        <w:ind w:left="3496" w:hanging="850"/>
      </w:pPr>
      <w:rPr>
        <w:rFonts w:hint="default"/>
        <w:lang w:val="en-US" w:eastAsia="en-US" w:bidi="ar-SA"/>
      </w:rPr>
    </w:lvl>
    <w:lvl w:ilvl="3" w:tplc="C95C7E82">
      <w:numFmt w:val="bullet"/>
      <w:lvlText w:val="•"/>
      <w:lvlJc w:val="left"/>
      <w:pPr>
        <w:ind w:left="4325" w:hanging="850"/>
      </w:pPr>
      <w:rPr>
        <w:rFonts w:hint="default"/>
        <w:lang w:val="en-US" w:eastAsia="en-US" w:bidi="ar-SA"/>
      </w:rPr>
    </w:lvl>
    <w:lvl w:ilvl="4" w:tplc="AB88EFDA">
      <w:numFmt w:val="bullet"/>
      <w:lvlText w:val="•"/>
      <w:lvlJc w:val="left"/>
      <w:pPr>
        <w:ind w:left="5153" w:hanging="850"/>
      </w:pPr>
      <w:rPr>
        <w:rFonts w:hint="default"/>
        <w:lang w:val="en-US" w:eastAsia="en-US" w:bidi="ar-SA"/>
      </w:rPr>
    </w:lvl>
    <w:lvl w:ilvl="5" w:tplc="42004C72">
      <w:numFmt w:val="bullet"/>
      <w:lvlText w:val="•"/>
      <w:lvlJc w:val="left"/>
      <w:pPr>
        <w:ind w:left="5982" w:hanging="850"/>
      </w:pPr>
      <w:rPr>
        <w:rFonts w:hint="default"/>
        <w:lang w:val="en-US" w:eastAsia="en-US" w:bidi="ar-SA"/>
      </w:rPr>
    </w:lvl>
    <w:lvl w:ilvl="6" w:tplc="4730830E">
      <w:numFmt w:val="bullet"/>
      <w:lvlText w:val="•"/>
      <w:lvlJc w:val="left"/>
      <w:pPr>
        <w:ind w:left="6810" w:hanging="850"/>
      </w:pPr>
      <w:rPr>
        <w:rFonts w:hint="default"/>
        <w:lang w:val="en-US" w:eastAsia="en-US" w:bidi="ar-SA"/>
      </w:rPr>
    </w:lvl>
    <w:lvl w:ilvl="7" w:tplc="50AADB76">
      <w:numFmt w:val="bullet"/>
      <w:lvlText w:val="•"/>
      <w:lvlJc w:val="left"/>
      <w:pPr>
        <w:ind w:left="7638" w:hanging="850"/>
      </w:pPr>
      <w:rPr>
        <w:rFonts w:hint="default"/>
        <w:lang w:val="en-US" w:eastAsia="en-US" w:bidi="ar-SA"/>
      </w:rPr>
    </w:lvl>
    <w:lvl w:ilvl="8" w:tplc="D5E8CC02">
      <w:numFmt w:val="bullet"/>
      <w:lvlText w:val="•"/>
      <w:lvlJc w:val="left"/>
      <w:pPr>
        <w:ind w:left="8467" w:hanging="850"/>
      </w:pPr>
      <w:rPr>
        <w:rFonts w:hint="default"/>
        <w:lang w:val="en-US" w:eastAsia="en-US" w:bidi="ar-SA"/>
      </w:rPr>
    </w:lvl>
  </w:abstractNum>
  <w:abstractNum w:abstractNumId="10" w15:restartNumberingAfterBreak="0">
    <w:nsid w:val="0D1F2387"/>
    <w:multiLevelType w:val="hybridMultilevel"/>
    <w:tmpl w:val="5A5CD506"/>
    <w:lvl w:ilvl="0" w:tplc="02AA952C">
      <w:numFmt w:val="bullet"/>
      <w:lvlText w:val=""/>
      <w:lvlJc w:val="left"/>
      <w:pPr>
        <w:ind w:left="1840" w:hanging="850"/>
      </w:pPr>
      <w:rPr>
        <w:rFonts w:ascii="Symbol" w:eastAsia="Symbol" w:hAnsi="Symbol" w:cs="Symbol" w:hint="default"/>
        <w:b w:val="0"/>
        <w:bCs w:val="0"/>
        <w:i w:val="0"/>
        <w:iCs w:val="0"/>
        <w:w w:val="100"/>
        <w:sz w:val="24"/>
        <w:szCs w:val="24"/>
        <w:lang w:val="en-US" w:eastAsia="en-US" w:bidi="ar-SA"/>
      </w:rPr>
    </w:lvl>
    <w:lvl w:ilvl="1" w:tplc="265AD362">
      <w:numFmt w:val="bullet"/>
      <w:lvlText w:val="•"/>
      <w:lvlJc w:val="left"/>
      <w:pPr>
        <w:ind w:left="2668" w:hanging="850"/>
      </w:pPr>
      <w:rPr>
        <w:rFonts w:hint="default"/>
        <w:lang w:val="en-US" w:eastAsia="en-US" w:bidi="ar-SA"/>
      </w:rPr>
    </w:lvl>
    <w:lvl w:ilvl="2" w:tplc="CE981724">
      <w:numFmt w:val="bullet"/>
      <w:lvlText w:val="•"/>
      <w:lvlJc w:val="left"/>
      <w:pPr>
        <w:ind w:left="3496" w:hanging="850"/>
      </w:pPr>
      <w:rPr>
        <w:rFonts w:hint="default"/>
        <w:lang w:val="en-US" w:eastAsia="en-US" w:bidi="ar-SA"/>
      </w:rPr>
    </w:lvl>
    <w:lvl w:ilvl="3" w:tplc="3C9462CA">
      <w:numFmt w:val="bullet"/>
      <w:lvlText w:val="•"/>
      <w:lvlJc w:val="left"/>
      <w:pPr>
        <w:ind w:left="4325" w:hanging="850"/>
      </w:pPr>
      <w:rPr>
        <w:rFonts w:hint="default"/>
        <w:lang w:val="en-US" w:eastAsia="en-US" w:bidi="ar-SA"/>
      </w:rPr>
    </w:lvl>
    <w:lvl w:ilvl="4" w:tplc="6D96B0A6">
      <w:numFmt w:val="bullet"/>
      <w:lvlText w:val="•"/>
      <w:lvlJc w:val="left"/>
      <w:pPr>
        <w:ind w:left="5153" w:hanging="850"/>
      </w:pPr>
      <w:rPr>
        <w:rFonts w:hint="default"/>
        <w:lang w:val="en-US" w:eastAsia="en-US" w:bidi="ar-SA"/>
      </w:rPr>
    </w:lvl>
    <w:lvl w:ilvl="5" w:tplc="82B6ECDC">
      <w:numFmt w:val="bullet"/>
      <w:lvlText w:val="•"/>
      <w:lvlJc w:val="left"/>
      <w:pPr>
        <w:ind w:left="5982" w:hanging="850"/>
      </w:pPr>
      <w:rPr>
        <w:rFonts w:hint="default"/>
        <w:lang w:val="en-US" w:eastAsia="en-US" w:bidi="ar-SA"/>
      </w:rPr>
    </w:lvl>
    <w:lvl w:ilvl="6" w:tplc="45DC99FA">
      <w:numFmt w:val="bullet"/>
      <w:lvlText w:val="•"/>
      <w:lvlJc w:val="left"/>
      <w:pPr>
        <w:ind w:left="6810" w:hanging="850"/>
      </w:pPr>
      <w:rPr>
        <w:rFonts w:hint="default"/>
        <w:lang w:val="en-US" w:eastAsia="en-US" w:bidi="ar-SA"/>
      </w:rPr>
    </w:lvl>
    <w:lvl w:ilvl="7" w:tplc="AAC6015E">
      <w:numFmt w:val="bullet"/>
      <w:lvlText w:val="•"/>
      <w:lvlJc w:val="left"/>
      <w:pPr>
        <w:ind w:left="7638" w:hanging="850"/>
      </w:pPr>
      <w:rPr>
        <w:rFonts w:hint="default"/>
        <w:lang w:val="en-US" w:eastAsia="en-US" w:bidi="ar-SA"/>
      </w:rPr>
    </w:lvl>
    <w:lvl w:ilvl="8" w:tplc="D3D4EA24">
      <w:numFmt w:val="bullet"/>
      <w:lvlText w:val="•"/>
      <w:lvlJc w:val="left"/>
      <w:pPr>
        <w:ind w:left="8467" w:hanging="850"/>
      </w:pPr>
      <w:rPr>
        <w:rFonts w:hint="default"/>
        <w:lang w:val="en-US" w:eastAsia="en-US" w:bidi="ar-SA"/>
      </w:rPr>
    </w:lvl>
  </w:abstractNum>
  <w:abstractNum w:abstractNumId="11" w15:restartNumberingAfterBreak="0">
    <w:nsid w:val="0DD8402B"/>
    <w:multiLevelType w:val="hybridMultilevel"/>
    <w:tmpl w:val="F0EAF4EE"/>
    <w:lvl w:ilvl="0" w:tplc="128E38B6">
      <w:start w:val="1"/>
      <w:numFmt w:val="lowerRoman"/>
      <w:lvlText w:val="(%1)"/>
      <w:lvlJc w:val="left"/>
      <w:pPr>
        <w:ind w:left="438" w:hanging="303"/>
      </w:pPr>
      <w:rPr>
        <w:rFonts w:ascii="Calibri" w:eastAsia="Calibri" w:hAnsi="Calibri" w:cs="Calibri" w:hint="default"/>
        <w:b w:val="0"/>
        <w:bCs w:val="0"/>
        <w:i w:val="0"/>
        <w:iCs w:val="0"/>
        <w:spacing w:val="-1"/>
        <w:w w:val="100"/>
        <w:sz w:val="24"/>
        <w:szCs w:val="24"/>
        <w:lang w:val="en-US" w:eastAsia="en-US" w:bidi="ar-SA"/>
      </w:rPr>
    </w:lvl>
    <w:lvl w:ilvl="1" w:tplc="246C87C2">
      <w:start w:val="1"/>
      <w:numFmt w:val="decimal"/>
      <w:lvlText w:val="%2."/>
      <w:lvlJc w:val="left"/>
      <w:pPr>
        <w:ind w:left="2689" w:hanging="850"/>
      </w:pPr>
      <w:rPr>
        <w:rFonts w:ascii="Calibri" w:eastAsia="Calibri" w:hAnsi="Calibri" w:cs="Calibri" w:hint="default"/>
        <w:b/>
        <w:bCs/>
        <w:i w:val="0"/>
        <w:iCs w:val="0"/>
        <w:spacing w:val="-2"/>
        <w:w w:val="100"/>
        <w:sz w:val="24"/>
        <w:szCs w:val="24"/>
        <w:lang w:val="en-US" w:eastAsia="en-US" w:bidi="ar-SA"/>
      </w:rPr>
    </w:lvl>
    <w:lvl w:ilvl="2" w:tplc="9470F9BE">
      <w:start w:val="1"/>
      <w:numFmt w:val="lowerLetter"/>
      <w:lvlText w:val="(%3)"/>
      <w:lvlJc w:val="left"/>
      <w:pPr>
        <w:ind w:left="3539" w:hanging="850"/>
      </w:pPr>
      <w:rPr>
        <w:rFonts w:ascii="Calibri" w:eastAsia="Calibri" w:hAnsi="Calibri" w:cs="Calibri" w:hint="default"/>
        <w:b w:val="0"/>
        <w:bCs w:val="0"/>
        <w:i w:val="0"/>
        <w:iCs w:val="0"/>
        <w:spacing w:val="-1"/>
        <w:w w:val="100"/>
        <w:sz w:val="24"/>
        <w:szCs w:val="24"/>
        <w:u w:val="single" w:color="000000"/>
        <w:lang w:val="en-US" w:eastAsia="en-US" w:bidi="ar-SA"/>
      </w:rPr>
    </w:lvl>
    <w:lvl w:ilvl="3" w:tplc="9A2617CC">
      <w:start w:val="1"/>
      <w:numFmt w:val="lowerRoman"/>
      <w:lvlText w:val="%4."/>
      <w:lvlJc w:val="left"/>
      <w:pPr>
        <w:ind w:left="4388" w:hanging="850"/>
      </w:pPr>
      <w:rPr>
        <w:rFonts w:ascii="Calibri" w:eastAsia="Calibri" w:hAnsi="Calibri" w:cs="Calibri" w:hint="default"/>
        <w:b w:val="0"/>
        <w:bCs w:val="0"/>
        <w:i/>
        <w:iCs/>
        <w:spacing w:val="0"/>
        <w:w w:val="100"/>
        <w:sz w:val="24"/>
        <w:szCs w:val="24"/>
        <w:lang w:val="en-US" w:eastAsia="en-US" w:bidi="ar-SA"/>
      </w:rPr>
    </w:lvl>
    <w:lvl w:ilvl="4" w:tplc="5B960D0E">
      <w:numFmt w:val="bullet"/>
      <w:lvlText w:val="•"/>
      <w:lvlJc w:val="left"/>
      <w:pPr>
        <w:ind w:left="5200" w:hanging="850"/>
      </w:pPr>
      <w:rPr>
        <w:rFonts w:hint="default"/>
        <w:lang w:val="en-US" w:eastAsia="en-US" w:bidi="ar-SA"/>
      </w:rPr>
    </w:lvl>
    <w:lvl w:ilvl="5" w:tplc="3EE42B1A">
      <w:numFmt w:val="bullet"/>
      <w:lvlText w:val="•"/>
      <w:lvlJc w:val="left"/>
      <w:pPr>
        <w:ind w:left="6021" w:hanging="850"/>
      </w:pPr>
      <w:rPr>
        <w:rFonts w:hint="default"/>
        <w:lang w:val="en-US" w:eastAsia="en-US" w:bidi="ar-SA"/>
      </w:rPr>
    </w:lvl>
    <w:lvl w:ilvl="6" w:tplc="09F4221A">
      <w:numFmt w:val="bullet"/>
      <w:lvlText w:val="•"/>
      <w:lvlJc w:val="left"/>
      <w:pPr>
        <w:ind w:left="6841" w:hanging="850"/>
      </w:pPr>
      <w:rPr>
        <w:rFonts w:hint="default"/>
        <w:lang w:val="en-US" w:eastAsia="en-US" w:bidi="ar-SA"/>
      </w:rPr>
    </w:lvl>
    <w:lvl w:ilvl="7" w:tplc="864EC928">
      <w:numFmt w:val="bullet"/>
      <w:lvlText w:val="•"/>
      <w:lvlJc w:val="left"/>
      <w:pPr>
        <w:ind w:left="7662" w:hanging="850"/>
      </w:pPr>
      <w:rPr>
        <w:rFonts w:hint="default"/>
        <w:lang w:val="en-US" w:eastAsia="en-US" w:bidi="ar-SA"/>
      </w:rPr>
    </w:lvl>
    <w:lvl w:ilvl="8" w:tplc="8990CCA8">
      <w:numFmt w:val="bullet"/>
      <w:lvlText w:val="•"/>
      <w:lvlJc w:val="left"/>
      <w:pPr>
        <w:ind w:left="8482" w:hanging="850"/>
      </w:pPr>
      <w:rPr>
        <w:rFonts w:hint="default"/>
        <w:lang w:val="en-US" w:eastAsia="en-US" w:bidi="ar-SA"/>
      </w:rPr>
    </w:lvl>
  </w:abstractNum>
  <w:abstractNum w:abstractNumId="12" w15:restartNumberingAfterBreak="0">
    <w:nsid w:val="0F8920BF"/>
    <w:multiLevelType w:val="hybridMultilevel"/>
    <w:tmpl w:val="EC5E6892"/>
    <w:lvl w:ilvl="0" w:tplc="1E88AEAA">
      <w:start w:val="1"/>
      <w:numFmt w:val="lowerLetter"/>
      <w:lvlText w:val="(%1)"/>
      <w:lvlJc w:val="left"/>
      <w:pPr>
        <w:ind w:left="3539" w:hanging="850"/>
      </w:pPr>
      <w:rPr>
        <w:rFonts w:ascii="Calibri" w:eastAsia="Calibri" w:hAnsi="Calibri" w:cs="Calibri" w:hint="default"/>
        <w:b w:val="0"/>
        <w:bCs w:val="0"/>
        <w:i w:val="0"/>
        <w:iCs w:val="0"/>
        <w:spacing w:val="-1"/>
        <w:w w:val="100"/>
        <w:sz w:val="24"/>
        <w:szCs w:val="24"/>
        <w:u w:val="single" w:color="000000"/>
        <w:lang w:val="en-US" w:eastAsia="en-US" w:bidi="ar-SA"/>
      </w:rPr>
    </w:lvl>
    <w:lvl w:ilvl="1" w:tplc="5B505F8E">
      <w:numFmt w:val="bullet"/>
      <w:lvlText w:val="•"/>
      <w:lvlJc w:val="left"/>
      <w:pPr>
        <w:ind w:left="4198" w:hanging="850"/>
      </w:pPr>
      <w:rPr>
        <w:rFonts w:hint="default"/>
        <w:lang w:val="en-US" w:eastAsia="en-US" w:bidi="ar-SA"/>
      </w:rPr>
    </w:lvl>
    <w:lvl w:ilvl="2" w:tplc="40FA4118">
      <w:numFmt w:val="bullet"/>
      <w:lvlText w:val="•"/>
      <w:lvlJc w:val="left"/>
      <w:pPr>
        <w:ind w:left="4856" w:hanging="850"/>
      </w:pPr>
      <w:rPr>
        <w:rFonts w:hint="default"/>
        <w:lang w:val="en-US" w:eastAsia="en-US" w:bidi="ar-SA"/>
      </w:rPr>
    </w:lvl>
    <w:lvl w:ilvl="3" w:tplc="A5A66C2A">
      <w:numFmt w:val="bullet"/>
      <w:lvlText w:val="•"/>
      <w:lvlJc w:val="left"/>
      <w:pPr>
        <w:ind w:left="5515" w:hanging="850"/>
      </w:pPr>
      <w:rPr>
        <w:rFonts w:hint="default"/>
        <w:lang w:val="en-US" w:eastAsia="en-US" w:bidi="ar-SA"/>
      </w:rPr>
    </w:lvl>
    <w:lvl w:ilvl="4" w:tplc="E5EE6AD2">
      <w:numFmt w:val="bullet"/>
      <w:lvlText w:val="•"/>
      <w:lvlJc w:val="left"/>
      <w:pPr>
        <w:ind w:left="6173" w:hanging="850"/>
      </w:pPr>
      <w:rPr>
        <w:rFonts w:hint="default"/>
        <w:lang w:val="en-US" w:eastAsia="en-US" w:bidi="ar-SA"/>
      </w:rPr>
    </w:lvl>
    <w:lvl w:ilvl="5" w:tplc="9124AD0C">
      <w:numFmt w:val="bullet"/>
      <w:lvlText w:val="•"/>
      <w:lvlJc w:val="left"/>
      <w:pPr>
        <w:ind w:left="6832" w:hanging="850"/>
      </w:pPr>
      <w:rPr>
        <w:rFonts w:hint="default"/>
        <w:lang w:val="en-US" w:eastAsia="en-US" w:bidi="ar-SA"/>
      </w:rPr>
    </w:lvl>
    <w:lvl w:ilvl="6" w:tplc="31363FCC">
      <w:numFmt w:val="bullet"/>
      <w:lvlText w:val="•"/>
      <w:lvlJc w:val="left"/>
      <w:pPr>
        <w:ind w:left="7490" w:hanging="850"/>
      </w:pPr>
      <w:rPr>
        <w:rFonts w:hint="default"/>
        <w:lang w:val="en-US" w:eastAsia="en-US" w:bidi="ar-SA"/>
      </w:rPr>
    </w:lvl>
    <w:lvl w:ilvl="7" w:tplc="D1E2514C">
      <w:numFmt w:val="bullet"/>
      <w:lvlText w:val="•"/>
      <w:lvlJc w:val="left"/>
      <w:pPr>
        <w:ind w:left="8148" w:hanging="850"/>
      </w:pPr>
      <w:rPr>
        <w:rFonts w:hint="default"/>
        <w:lang w:val="en-US" w:eastAsia="en-US" w:bidi="ar-SA"/>
      </w:rPr>
    </w:lvl>
    <w:lvl w:ilvl="8" w:tplc="5DBAFB8A">
      <w:numFmt w:val="bullet"/>
      <w:lvlText w:val="•"/>
      <w:lvlJc w:val="left"/>
      <w:pPr>
        <w:ind w:left="8807" w:hanging="850"/>
      </w:pPr>
      <w:rPr>
        <w:rFonts w:hint="default"/>
        <w:lang w:val="en-US" w:eastAsia="en-US" w:bidi="ar-SA"/>
      </w:rPr>
    </w:lvl>
  </w:abstractNum>
  <w:abstractNum w:abstractNumId="13" w15:restartNumberingAfterBreak="0">
    <w:nsid w:val="1170243B"/>
    <w:multiLevelType w:val="hybridMultilevel"/>
    <w:tmpl w:val="4538CF8C"/>
    <w:lvl w:ilvl="0" w:tplc="E156508E">
      <w:start w:val="20"/>
      <w:numFmt w:val="upperLetter"/>
      <w:lvlText w:val="[%1]"/>
      <w:lvlJc w:val="left"/>
      <w:pPr>
        <w:ind w:left="985" w:hanging="242"/>
      </w:pPr>
      <w:rPr>
        <w:rFonts w:ascii="Calibri" w:eastAsia="Calibri" w:hAnsi="Calibri" w:cs="Calibri" w:hint="default"/>
        <w:b w:val="0"/>
        <w:bCs w:val="0"/>
        <w:i w:val="0"/>
        <w:iCs w:val="0"/>
        <w:spacing w:val="-2"/>
        <w:w w:val="100"/>
        <w:sz w:val="20"/>
        <w:szCs w:val="20"/>
        <w:lang w:val="en-US" w:eastAsia="en-US" w:bidi="ar-SA"/>
      </w:rPr>
    </w:lvl>
    <w:lvl w:ilvl="1" w:tplc="CE2E7A4E">
      <w:start w:val="1"/>
      <w:numFmt w:val="lowerLetter"/>
      <w:lvlText w:val="%2."/>
      <w:lvlJc w:val="left"/>
      <w:pPr>
        <w:ind w:left="2199" w:hanging="360"/>
      </w:pPr>
      <w:rPr>
        <w:rFonts w:ascii="Calibri" w:eastAsia="Calibri" w:hAnsi="Calibri" w:cs="Calibri" w:hint="default"/>
        <w:b w:val="0"/>
        <w:bCs w:val="0"/>
        <w:i w:val="0"/>
        <w:iCs w:val="0"/>
        <w:spacing w:val="-1"/>
        <w:w w:val="100"/>
        <w:sz w:val="22"/>
        <w:szCs w:val="22"/>
        <w:lang w:val="en-US" w:eastAsia="en-US" w:bidi="ar-SA"/>
      </w:rPr>
    </w:lvl>
    <w:lvl w:ilvl="2" w:tplc="7FAA39F6">
      <w:numFmt w:val="bullet"/>
      <w:lvlText w:val="•"/>
      <w:lvlJc w:val="left"/>
      <w:pPr>
        <w:ind w:left="3080" w:hanging="360"/>
      </w:pPr>
      <w:rPr>
        <w:rFonts w:hint="default"/>
        <w:lang w:val="en-US" w:eastAsia="en-US" w:bidi="ar-SA"/>
      </w:rPr>
    </w:lvl>
    <w:lvl w:ilvl="3" w:tplc="F9E2F5D4">
      <w:numFmt w:val="bullet"/>
      <w:lvlText w:val="•"/>
      <w:lvlJc w:val="left"/>
      <w:pPr>
        <w:ind w:left="3960" w:hanging="360"/>
      </w:pPr>
      <w:rPr>
        <w:rFonts w:hint="default"/>
        <w:lang w:val="en-US" w:eastAsia="en-US" w:bidi="ar-SA"/>
      </w:rPr>
    </w:lvl>
    <w:lvl w:ilvl="4" w:tplc="5BECE39A">
      <w:numFmt w:val="bullet"/>
      <w:lvlText w:val="•"/>
      <w:lvlJc w:val="left"/>
      <w:pPr>
        <w:ind w:left="4841" w:hanging="360"/>
      </w:pPr>
      <w:rPr>
        <w:rFonts w:hint="default"/>
        <w:lang w:val="en-US" w:eastAsia="en-US" w:bidi="ar-SA"/>
      </w:rPr>
    </w:lvl>
    <w:lvl w:ilvl="5" w:tplc="4942EF6E">
      <w:numFmt w:val="bullet"/>
      <w:lvlText w:val="•"/>
      <w:lvlJc w:val="left"/>
      <w:pPr>
        <w:ind w:left="5721" w:hanging="360"/>
      </w:pPr>
      <w:rPr>
        <w:rFonts w:hint="default"/>
        <w:lang w:val="en-US" w:eastAsia="en-US" w:bidi="ar-SA"/>
      </w:rPr>
    </w:lvl>
    <w:lvl w:ilvl="6" w:tplc="07AC9F96">
      <w:numFmt w:val="bullet"/>
      <w:lvlText w:val="•"/>
      <w:lvlJc w:val="left"/>
      <w:pPr>
        <w:ind w:left="6602" w:hanging="360"/>
      </w:pPr>
      <w:rPr>
        <w:rFonts w:hint="default"/>
        <w:lang w:val="en-US" w:eastAsia="en-US" w:bidi="ar-SA"/>
      </w:rPr>
    </w:lvl>
    <w:lvl w:ilvl="7" w:tplc="C0FAE8C4">
      <w:numFmt w:val="bullet"/>
      <w:lvlText w:val="•"/>
      <w:lvlJc w:val="left"/>
      <w:pPr>
        <w:ind w:left="7482" w:hanging="360"/>
      </w:pPr>
      <w:rPr>
        <w:rFonts w:hint="default"/>
        <w:lang w:val="en-US" w:eastAsia="en-US" w:bidi="ar-SA"/>
      </w:rPr>
    </w:lvl>
    <w:lvl w:ilvl="8" w:tplc="4DF28DF4">
      <w:numFmt w:val="bullet"/>
      <w:lvlText w:val="•"/>
      <w:lvlJc w:val="left"/>
      <w:pPr>
        <w:ind w:left="8363" w:hanging="360"/>
      </w:pPr>
      <w:rPr>
        <w:rFonts w:hint="default"/>
        <w:lang w:val="en-US" w:eastAsia="en-US" w:bidi="ar-SA"/>
      </w:rPr>
    </w:lvl>
  </w:abstractNum>
  <w:abstractNum w:abstractNumId="14" w15:restartNumberingAfterBreak="0">
    <w:nsid w:val="17997B98"/>
    <w:multiLevelType w:val="hybridMultilevel"/>
    <w:tmpl w:val="6FBE44EE"/>
    <w:lvl w:ilvl="0" w:tplc="CA34CFF0">
      <w:start w:val="1"/>
      <w:numFmt w:val="decimal"/>
      <w:lvlText w:val="%1."/>
      <w:lvlJc w:val="left"/>
      <w:pPr>
        <w:ind w:left="2689" w:hanging="850"/>
      </w:pPr>
      <w:rPr>
        <w:rFonts w:ascii="Calibri" w:eastAsia="Calibri" w:hAnsi="Calibri" w:cs="Calibri" w:hint="default"/>
        <w:b/>
        <w:bCs/>
        <w:i w:val="0"/>
        <w:iCs w:val="0"/>
        <w:spacing w:val="-2"/>
        <w:w w:val="100"/>
        <w:sz w:val="24"/>
        <w:szCs w:val="24"/>
        <w:lang w:val="en-US" w:eastAsia="en-US" w:bidi="ar-SA"/>
      </w:rPr>
    </w:lvl>
    <w:lvl w:ilvl="1" w:tplc="B4EA1AB0">
      <w:numFmt w:val="bullet"/>
      <w:lvlText w:val="•"/>
      <w:lvlJc w:val="left"/>
      <w:pPr>
        <w:ind w:left="3424" w:hanging="850"/>
      </w:pPr>
      <w:rPr>
        <w:rFonts w:hint="default"/>
        <w:lang w:val="en-US" w:eastAsia="en-US" w:bidi="ar-SA"/>
      </w:rPr>
    </w:lvl>
    <w:lvl w:ilvl="2" w:tplc="2E2231C6">
      <w:numFmt w:val="bullet"/>
      <w:lvlText w:val="•"/>
      <w:lvlJc w:val="left"/>
      <w:pPr>
        <w:ind w:left="4168" w:hanging="850"/>
      </w:pPr>
      <w:rPr>
        <w:rFonts w:hint="default"/>
        <w:lang w:val="en-US" w:eastAsia="en-US" w:bidi="ar-SA"/>
      </w:rPr>
    </w:lvl>
    <w:lvl w:ilvl="3" w:tplc="E9BA0ABC">
      <w:numFmt w:val="bullet"/>
      <w:lvlText w:val="•"/>
      <w:lvlJc w:val="left"/>
      <w:pPr>
        <w:ind w:left="4913" w:hanging="850"/>
      </w:pPr>
      <w:rPr>
        <w:rFonts w:hint="default"/>
        <w:lang w:val="en-US" w:eastAsia="en-US" w:bidi="ar-SA"/>
      </w:rPr>
    </w:lvl>
    <w:lvl w:ilvl="4" w:tplc="1A30E2F8">
      <w:numFmt w:val="bullet"/>
      <w:lvlText w:val="•"/>
      <w:lvlJc w:val="left"/>
      <w:pPr>
        <w:ind w:left="5657" w:hanging="850"/>
      </w:pPr>
      <w:rPr>
        <w:rFonts w:hint="default"/>
        <w:lang w:val="en-US" w:eastAsia="en-US" w:bidi="ar-SA"/>
      </w:rPr>
    </w:lvl>
    <w:lvl w:ilvl="5" w:tplc="CE8ECBA6">
      <w:numFmt w:val="bullet"/>
      <w:lvlText w:val="•"/>
      <w:lvlJc w:val="left"/>
      <w:pPr>
        <w:ind w:left="6402" w:hanging="850"/>
      </w:pPr>
      <w:rPr>
        <w:rFonts w:hint="default"/>
        <w:lang w:val="en-US" w:eastAsia="en-US" w:bidi="ar-SA"/>
      </w:rPr>
    </w:lvl>
    <w:lvl w:ilvl="6" w:tplc="17EE4B8A">
      <w:numFmt w:val="bullet"/>
      <w:lvlText w:val="•"/>
      <w:lvlJc w:val="left"/>
      <w:pPr>
        <w:ind w:left="7146" w:hanging="850"/>
      </w:pPr>
      <w:rPr>
        <w:rFonts w:hint="default"/>
        <w:lang w:val="en-US" w:eastAsia="en-US" w:bidi="ar-SA"/>
      </w:rPr>
    </w:lvl>
    <w:lvl w:ilvl="7" w:tplc="5EF0A864">
      <w:numFmt w:val="bullet"/>
      <w:lvlText w:val="•"/>
      <w:lvlJc w:val="left"/>
      <w:pPr>
        <w:ind w:left="7890" w:hanging="850"/>
      </w:pPr>
      <w:rPr>
        <w:rFonts w:hint="default"/>
        <w:lang w:val="en-US" w:eastAsia="en-US" w:bidi="ar-SA"/>
      </w:rPr>
    </w:lvl>
    <w:lvl w:ilvl="8" w:tplc="7548E2D4">
      <w:numFmt w:val="bullet"/>
      <w:lvlText w:val="•"/>
      <w:lvlJc w:val="left"/>
      <w:pPr>
        <w:ind w:left="8635" w:hanging="850"/>
      </w:pPr>
      <w:rPr>
        <w:rFonts w:hint="default"/>
        <w:lang w:val="en-US" w:eastAsia="en-US" w:bidi="ar-SA"/>
      </w:rPr>
    </w:lvl>
  </w:abstractNum>
  <w:abstractNum w:abstractNumId="15" w15:restartNumberingAfterBreak="0">
    <w:nsid w:val="18A22BEE"/>
    <w:multiLevelType w:val="hybridMultilevel"/>
    <w:tmpl w:val="22382562"/>
    <w:lvl w:ilvl="0" w:tplc="9F74D556">
      <w:start w:val="1"/>
      <w:numFmt w:val="lowerRoman"/>
      <w:lvlText w:val="%1."/>
      <w:lvlJc w:val="left"/>
      <w:pPr>
        <w:ind w:left="4388" w:hanging="850"/>
      </w:pPr>
      <w:rPr>
        <w:rFonts w:ascii="Calibri" w:eastAsia="Calibri" w:hAnsi="Calibri" w:cs="Calibri" w:hint="default"/>
        <w:b w:val="0"/>
        <w:bCs w:val="0"/>
        <w:i/>
        <w:iCs/>
        <w:spacing w:val="0"/>
        <w:w w:val="100"/>
        <w:sz w:val="24"/>
        <w:szCs w:val="24"/>
        <w:lang w:val="en-US" w:eastAsia="en-US" w:bidi="ar-SA"/>
      </w:rPr>
    </w:lvl>
    <w:lvl w:ilvl="1" w:tplc="DBFC0072">
      <w:numFmt w:val="bullet"/>
      <w:lvlText w:val="•"/>
      <w:lvlJc w:val="left"/>
      <w:pPr>
        <w:ind w:left="4954" w:hanging="850"/>
      </w:pPr>
      <w:rPr>
        <w:rFonts w:hint="default"/>
        <w:lang w:val="en-US" w:eastAsia="en-US" w:bidi="ar-SA"/>
      </w:rPr>
    </w:lvl>
    <w:lvl w:ilvl="2" w:tplc="4F9ED85E">
      <w:numFmt w:val="bullet"/>
      <w:lvlText w:val="•"/>
      <w:lvlJc w:val="left"/>
      <w:pPr>
        <w:ind w:left="5528" w:hanging="850"/>
      </w:pPr>
      <w:rPr>
        <w:rFonts w:hint="default"/>
        <w:lang w:val="en-US" w:eastAsia="en-US" w:bidi="ar-SA"/>
      </w:rPr>
    </w:lvl>
    <w:lvl w:ilvl="3" w:tplc="22E2984C">
      <w:numFmt w:val="bullet"/>
      <w:lvlText w:val="•"/>
      <w:lvlJc w:val="left"/>
      <w:pPr>
        <w:ind w:left="6103" w:hanging="850"/>
      </w:pPr>
      <w:rPr>
        <w:rFonts w:hint="default"/>
        <w:lang w:val="en-US" w:eastAsia="en-US" w:bidi="ar-SA"/>
      </w:rPr>
    </w:lvl>
    <w:lvl w:ilvl="4" w:tplc="06425CA2">
      <w:numFmt w:val="bullet"/>
      <w:lvlText w:val="•"/>
      <w:lvlJc w:val="left"/>
      <w:pPr>
        <w:ind w:left="6677" w:hanging="850"/>
      </w:pPr>
      <w:rPr>
        <w:rFonts w:hint="default"/>
        <w:lang w:val="en-US" w:eastAsia="en-US" w:bidi="ar-SA"/>
      </w:rPr>
    </w:lvl>
    <w:lvl w:ilvl="5" w:tplc="4762E22C">
      <w:numFmt w:val="bullet"/>
      <w:lvlText w:val="•"/>
      <w:lvlJc w:val="left"/>
      <w:pPr>
        <w:ind w:left="7252" w:hanging="850"/>
      </w:pPr>
      <w:rPr>
        <w:rFonts w:hint="default"/>
        <w:lang w:val="en-US" w:eastAsia="en-US" w:bidi="ar-SA"/>
      </w:rPr>
    </w:lvl>
    <w:lvl w:ilvl="6" w:tplc="5060ED34">
      <w:numFmt w:val="bullet"/>
      <w:lvlText w:val="•"/>
      <w:lvlJc w:val="left"/>
      <w:pPr>
        <w:ind w:left="7826" w:hanging="850"/>
      </w:pPr>
      <w:rPr>
        <w:rFonts w:hint="default"/>
        <w:lang w:val="en-US" w:eastAsia="en-US" w:bidi="ar-SA"/>
      </w:rPr>
    </w:lvl>
    <w:lvl w:ilvl="7" w:tplc="8E5A9F56">
      <w:numFmt w:val="bullet"/>
      <w:lvlText w:val="•"/>
      <w:lvlJc w:val="left"/>
      <w:pPr>
        <w:ind w:left="8400" w:hanging="850"/>
      </w:pPr>
      <w:rPr>
        <w:rFonts w:hint="default"/>
        <w:lang w:val="en-US" w:eastAsia="en-US" w:bidi="ar-SA"/>
      </w:rPr>
    </w:lvl>
    <w:lvl w:ilvl="8" w:tplc="548AB976">
      <w:numFmt w:val="bullet"/>
      <w:lvlText w:val="•"/>
      <w:lvlJc w:val="left"/>
      <w:pPr>
        <w:ind w:left="8975" w:hanging="850"/>
      </w:pPr>
      <w:rPr>
        <w:rFonts w:hint="default"/>
        <w:lang w:val="en-US" w:eastAsia="en-US" w:bidi="ar-SA"/>
      </w:rPr>
    </w:lvl>
  </w:abstractNum>
  <w:abstractNum w:abstractNumId="16" w15:restartNumberingAfterBreak="0">
    <w:nsid w:val="1BB92FB8"/>
    <w:multiLevelType w:val="hybridMultilevel"/>
    <w:tmpl w:val="C9DC9DE6"/>
    <w:lvl w:ilvl="0" w:tplc="7186C0F2">
      <w:start w:val="117"/>
      <w:numFmt w:val="decimal"/>
      <w:lvlText w:val="%1."/>
      <w:lvlJc w:val="left"/>
      <w:pPr>
        <w:ind w:left="780" w:hanging="420"/>
      </w:pPr>
      <w:rPr>
        <w:rFonts w:hint="default"/>
        <w:b w:val="0"/>
        <w:bCs/>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C115E51"/>
    <w:multiLevelType w:val="hybridMultilevel"/>
    <w:tmpl w:val="24F652FE"/>
    <w:lvl w:ilvl="0" w:tplc="50949C08">
      <w:start w:val="1"/>
      <w:numFmt w:val="decimal"/>
      <w:lvlText w:val="%1."/>
      <w:lvlJc w:val="left"/>
      <w:pPr>
        <w:ind w:left="2689" w:hanging="850"/>
      </w:pPr>
      <w:rPr>
        <w:rFonts w:ascii="Calibri" w:eastAsia="Calibri" w:hAnsi="Calibri" w:cs="Calibri" w:hint="default"/>
        <w:b/>
        <w:bCs/>
        <w:i w:val="0"/>
        <w:iCs w:val="0"/>
        <w:spacing w:val="-2"/>
        <w:w w:val="100"/>
        <w:sz w:val="24"/>
        <w:szCs w:val="24"/>
        <w:lang w:val="en-US" w:eastAsia="en-US" w:bidi="ar-SA"/>
      </w:rPr>
    </w:lvl>
    <w:lvl w:ilvl="1" w:tplc="86865FC0">
      <w:start w:val="1"/>
      <w:numFmt w:val="lowerLetter"/>
      <w:lvlText w:val="(%2)"/>
      <w:lvlJc w:val="left"/>
      <w:pPr>
        <w:ind w:left="3539" w:hanging="850"/>
      </w:pPr>
      <w:rPr>
        <w:rFonts w:ascii="Calibri" w:eastAsia="Calibri" w:hAnsi="Calibri" w:cs="Calibri" w:hint="default"/>
        <w:b w:val="0"/>
        <w:bCs w:val="0"/>
        <w:i w:val="0"/>
        <w:iCs w:val="0"/>
        <w:spacing w:val="-1"/>
        <w:w w:val="100"/>
        <w:sz w:val="24"/>
        <w:szCs w:val="24"/>
        <w:u w:val="single" w:color="000000"/>
        <w:lang w:val="en-US" w:eastAsia="en-US" w:bidi="ar-SA"/>
      </w:rPr>
    </w:lvl>
    <w:lvl w:ilvl="2" w:tplc="E53A69FE">
      <w:start w:val="1"/>
      <w:numFmt w:val="lowerRoman"/>
      <w:lvlText w:val="%3."/>
      <w:lvlJc w:val="left"/>
      <w:pPr>
        <w:ind w:left="4388" w:hanging="850"/>
      </w:pPr>
      <w:rPr>
        <w:rFonts w:ascii="Calibri" w:eastAsia="Calibri" w:hAnsi="Calibri" w:cs="Calibri" w:hint="default"/>
        <w:b w:val="0"/>
        <w:bCs w:val="0"/>
        <w:i/>
        <w:iCs/>
        <w:spacing w:val="0"/>
        <w:w w:val="100"/>
        <w:sz w:val="24"/>
        <w:szCs w:val="24"/>
        <w:lang w:val="en-US" w:eastAsia="en-US" w:bidi="ar-SA"/>
      </w:rPr>
    </w:lvl>
    <w:lvl w:ilvl="3" w:tplc="AB043808">
      <w:numFmt w:val="bullet"/>
      <w:lvlText w:val="•"/>
      <w:lvlJc w:val="left"/>
      <w:pPr>
        <w:ind w:left="5098" w:hanging="850"/>
      </w:pPr>
      <w:rPr>
        <w:rFonts w:hint="default"/>
        <w:lang w:val="en-US" w:eastAsia="en-US" w:bidi="ar-SA"/>
      </w:rPr>
    </w:lvl>
    <w:lvl w:ilvl="4" w:tplc="0DE2F548">
      <w:numFmt w:val="bullet"/>
      <w:lvlText w:val="•"/>
      <w:lvlJc w:val="left"/>
      <w:pPr>
        <w:ind w:left="5816" w:hanging="850"/>
      </w:pPr>
      <w:rPr>
        <w:rFonts w:hint="default"/>
        <w:lang w:val="en-US" w:eastAsia="en-US" w:bidi="ar-SA"/>
      </w:rPr>
    </w:lvl>
    <w:lvl w:ilvl="5" w:tplc="812A983E">
      <w:numFmt w:val="bullet"/>
      <w:lvlText w:val="•"/>
      <w:lvlJc w:val="left"/>
      <w:pPr>
        <w:ind w:left="6534" w:hanging="850"/>
      </w:pPr>
      <w:rPr>
        <w:rFonts w:hint="default"/>
        <w:lang w:val="en-US" w:eastAsia="en-US" w:bidi="ar-SA"/>
      </w:rPr>
    </w:lvl>
    <w:lvl w:ilvl="6" w:tplc="F732D372">
      <w:numFmt w:val="bullet"/>
      <w:lvlText w:val="•"/>
      <w:lvlJc w:val="left"/>
      <w:pPr>
        <w:ind w:left="7252" w:hanging="850"/>
      </w:pPr>
      <w:rPr>
        <w:rFonts w:hint="default"/>
        <w:lang w:val="en-US" w:eastAsia="en-US" w:bidi="ar-SA"/>
      </w:rPr>
    </w:lvl>
    <w:lvl w:ilvl="7" w:tplc="64A485D8">
      <w:numFmt w:val="bullet"/>
      <w:lvlText w:val="•"/>
      <w:lvlJc w:val="left"/>
      <w:pPr>
        <w:ind w:left="7970" w:hanging="850"/>
      </w:pPr>
      <w:rPr>
        <w:rFonts w:hint="default"/>
        <w:lang w:val="en-US" w:eastAsia="en-US" w:bidi="ar-SA"/>
      </w:rPr>
    </w:lvl>
    <w:lvl w:ilvl="8" w:tplc="401848CE">
      <w:numFmt w:val="bullet"/>
      <w:lvlText w:val="•"/>
      <w:lvlJc w:val="left"/>
      <w:pPr>
        <w:ind w:left="8688" w:hanging="850"/>
      </w:pPr>
      <w:rPr>
        <w:rFonts w:hint="default"/>
        <w:lang w:val="en-US" w:eastAsia="en-US" w:bidi="ar-SA"/>
      </w:rPr>
    </w:lvl>
  </w:abstractNum>
  <w:abstractNum w:abstractNumId="18" w15:restartNumberingAfterBreak="0">
    <w:nsid w:val="1F1474F8"/>
    <w:multiLevelType w:val="hybridMultilevel"/>
    <w:tmpl w:val="5F304408"/>
    <w:lvl w:ilvl="0" w:tplc="6B981B20">
      <w:start w:val="1"/>
      <w:numFmt w:val="decimal"/>
      <w:lvlText w:val="%1."/>
      <w:lvlJc w:val="left"/>
      <w:pPr>
        <w:ind w:left="2689" w:hanging="850"/>
        <w:jc w:val="right"/>
      </w:pPr>
      <w:rPr>
        <w:rFonts w:ascii="Calibri" w:eastAsia="Calibri" w:hAnsi="Calibri" w:cs="Calibri" w:hint="default"/>
        <w:b/>
        <w:bCs/>
        <w:i w:val="0"/>
        <w:iCs w:val="0"/>
        <w:spacing w:val="-2"/>
        <w:w w:val="100"/>
        <w:sz w:val="24"/>
        <w:szCs w:val="24"/>
        <w:lang w:val="en-US" w:eastAsia="en-US" w:bidi="ar-SA"/>
      </w:rPr>
    </w:lvl>
    <w:lvl w:ilvl="1" w:tplc="E6D2C980">
      <w:numFmt w:val="bullet"/>
      <w:lvlText w:val="•"/>
      <w:lvlJc w:val="left"/>
      <w:pPr>
        <w:ind w:left="3424" w:hanging="850"/>
      </w:pPr>
      <w:rPr>
        <w:rFonts w:hint="default"/>
        <w:lang w:val="en-US" w:eastAsia="en-US" w:bidi="ar-SA"/>
      </w:rPr>
    </w:lvl>
    <w:lvl w:ilvl="2" w:tplc="B262CCF4">
      <w:numFmt w:val="bullet"/>
      <w:lvlText w:val="•"/>
      <w:lvlJc w:val="left"/>
      <w:pPr>
        <w:ind w:left="4168" w:hanging="850"/>
      </w:pPr>
      <w:rPr>
        <w:rFonts w:hint="default"/>
        <w:lang w:val="en-US" w:eastAsia="en-US" w:bidi="ar-SA"/>
      </w:rPr>
    </w:lvl>
    <w:lvl w:ilvl="3" w:tplc="38186178">
      <w:numFmt w:val="bullet"/>
      <w:lvlText w:val="•"/>
      <w:lvlJc w:val="left"/>
      <w:pPr>
        <w:ind w:left="4913" w:hanging="850"/>
      </w:pPr>
      <w:rPr>
        <w:rFonts w:hint="default"/>
        <w:lang w:val="en-US" w:eastAsia="en-US" w:bidi="ar-SA"/>
      </w:rPr>
    </w:lvl>
    <w:lvl w:ilvl="4" w:tplc="ABA8C102">
      <w:numFmt w:val="bullet"/>
      <w:lvlText w:val="•"/>
      <w:lvlJc w:val="left"/>
      <w:pPr>
        <w:ind w:left="5657" w:hanging="850"/>
      </w:pPr>
      <w:rPr>
        <w:rFonts w:hint="default"/>
        <w:lang w:val="en-US" w:eastAsia="en-US" w:bidi="ar-SA"/>
      </w:rPr>
    </w:lvl>
    <w:lvl w:ilvl="5" w:tplc="ED12701A">
      <w:numFmt w:val="bullet"/>
      <w:lvlText w:val="•"/>
      <w:lvlJc w:val="left"/>
      <w:pPr>
        <w:ind w:left="6402" w:hanging="850"/>
      </w:pPr>
      <w:rPr>
        <w:rFonts w:hint="default"/>
        <w:lang w:val="en-US" w:eastAsia="en-US" w:bidi="ar-SA"/>
      </w:rPr>
    </w:lvl>
    <w:lvl w:ilvl="6" w:tplc="02305448">
      <w:numFmt w:val="bullet"/>
      <w:lvlText w:val="•"/>
      <w:lvlJc w:val="left"/>
      <w:pPr>
        <w:ind w:left="7146" w:hanging="850"/>
      </w:pPr>
      <w:rPr>
        <w:rFonts w:hint="default"/>
        <w:lang w:val="en-US" w:eastAsia="en-US" w:bidi="ar-SA"/>
      </w:rPr>
    </w:lvl>
    <w:lvl w:ilvl="7" w:tplc="C63C8E60">
      <w:numFmt w:val="bullet"/>
      <w:lvlText w:val="•"/>
      <w:lvlJc w:val="left"/>
      <w:pPr>
        <w:ind w:left="7890" w:hanging="850"/>
      </w:pPr>
      <w:rPr>
        <w:rFonts w:hint="default"/>
        <w:lang w:val="en-US" w:eastAsia="en-US" w:bidi="ar-SA"/>
      </w:rPr>
    </w:lvl>
    <w:lvl w:ilvl="8" w:tplc="76DC6B02">
      <w:numFmt w:val="bullet"/>
      <w:lvlText w:val="•"/>
      <w:lvlJc w:val="left"/>
      <w:pPr>
        <w:ind w:left="8635" w:hanging="850"/>
      </w:pPr>
      <w:rPr>
        <w:rFonts w:hint="default"/>
        <w:lang w:val="en-US" w:eastAsia="en-US" w:bidi="ar-SA"/>
      </w:rPr>
    </w:lvl>
  </w:abstractNum>
  <w:abstractNum w:abstractNumId="19" w15:restartNumberingAfterBreak="0">
    <w:nsid w:val="21DA722B"/>
    <w:multiLevelType w:val="hybridMultilevel"/>
    <w:tmpl w:val="AE323B84"/>
    <w:lvl w:ilvl="0" w:tplc="FFFFFFFF">
      <w:start w:val="1"/>
      <w:numFmt w:val="decimal"/>
      <w:lvlText w:val="%1."/>
      <w:lvlJc w:val="left"/>
      <w:pPr>
        <w:ind w:left="2689" w:hanging="572"/>
        <w:jc w:val="right"/>
      </w:pPr>
      <w:rPr>
        <w:rFonts w:ascii="Calibri" w:eastAsia="Calibri" w:hAnsi="Calibri" w:cs="Calibri" w:hint="default"/>
        <w:b/>
        <w:bCs/>
        <w:i w:val="0"/>
        <w:iCs w:val="0"/>
        <w:spacing w:val="-2"/>
        <w:w w:val="100"/>
        <w:sz w:val="24"/>
        <w:szCs w:val="24"/>
        <w:lang w:val="en-US" w:eastAsia="en-US" w:bidi="ar-SA"/>
      </w:rPr>
    </w:lvl>
    <w:lvl w:ilvl="1" w:tplc="FFFFFFFF">
      <w:start w:val="1"/>
      <w:numFmt w:val="lowerLetter"/>
      <w:lvlText w:val="(%2)"/>
      <w:lvlJc w:val="left"/>
      <w:pPr>
        <w:ind w:left="3539" w:hanging="850"/>
      </w:pPr>
      <w:rPr>
        <w:rFonts w:ascii="Calibri" w:eastAsia="Calibri" w:hAnsi="Calibri" w:cs="Calibri" w:hint="default"/>
        <w:b w:val="0"/>
        <w:bCs w:val="0"/>
        <w:i w:val="0"/>
        <w:iCs w:val="0"/>
        <w:spacing w:val="-1"/>
        <w:w w:val="100"/>
        <w:sz w:val="24"/>
        <w:szCs w:val="24"/>
        <w:u w:val="single" w:color="000000"/>
        <w:lang w:val="en-US" w:eastAsia="en-US" w:bidi="ar-SA"/>
      </w:rPr>
    </w:lvl>
    <w:lvl w:ilvl="2" w:tplc="FFFFFFFF">
      <w:numFmt w:val="bullet"/>
      <w:lvlText w:val="•"/>
      <w:lvlJc w:val="left"/>
      <w:pPr>
        <w:ind w:left="4271" w:hanging="850"/>
      </w:pPr>
      <w:rPr>
        <w:rFonts w:hint="default"/>
        <w:lang w:val="en-US" w:eastAsia="en-US" w:bidi="ar-SA"/>
      </w:rPr>
    </w:lvl>
    <w:lvl w:ilvl="3" w:tplc="FFFFFFFF">
      <w:numFmt w:val="bullet"/>
      <w:lvlText w:val="•"/>
      <w:lvlJc w:val="left"/>
      <w:pPr>
        <w:ind w:left="5003" w:hanging="850"/>
      </w:pPr>
      <w:rPr>
        <w:rFonts w:hint="default"/>
        <w:lang w:val="en-US" w:eastAsia="en-US" w:bidi="ar-SA"/>
      </w:rPr>
    </w:lvl>
    <w:lvl w:ilvl="4" w:tplc="FFFFFFFF">
      <w:numFmt w:val="bullet"/>
      <w:lvlText w:val="•"/>
      <w:lvlJc w:val="left"/>
      <w:pPr>
        <w:ind w:left="5734" w:hanging="850"/>
      </w:pPr>
      <w:rPr>
        <w:rFonts w:hint="default"/>
        <w:lang w:val="en-US" w:eastAsia="en-US" w:bidi="ar-SA"/>
      </w:rPr>
    </w:lvl>
    <w:lvl w:ilvl="5" w:tplc="FFFFFFFF">
      <w:numFmt w:val="bullet"/>
      <w:lvlText w:val="•"/>
      <w:lvlJc w:val="left"/>
      <w:pPr>
        <w:ind w:left="6466" w:hanging="850"/>
      </w:pPr>
      <w:rPr>
        <w:rFonts w:hint="default"/>
        <w:lang w:val="en-US" w:eastAsia="en-US" w:bidi="ar-SA"/>
      </w:rPr>
    </w:lvl>
    <w:lvl w:ilvl="6" w:tplc="FFFFFFFF">
      <w:numFmt w:val="bullet"/>
      <w:lvlText w:val="•"/>
      <w:lvlJc w:val="left"/>
      <w:pPr>
        <w:ind w:left="7197" w:hanging="850"/>
      </w:pPr>
      <w:rPr>
        <w:rFonts w:hint="default"/>
        <w:lang w:val="en-US" w:eastAsia="en-US" w:bidi="ar-SA"/>
      </w:rPr>
    </w:lvl>
    <w:lvl w:ilvl="7" w:tplc="FFFFFFFF">
      <w:numFmt w:val="bullet"/>
      <w:lvlText w:val="•"/>
      <w:lvlJc w:val="left"/>
      <w:pPr>
        <w:ind w:left="7929" w:hanging="850"/>
      </w:pPr>
      <w:rPr>
        <w:rFonts w:hint="default"/>
        <w:lang w:val="en-US" w:eastAsia="en-US" w:bidi="ar-SA"/>
      </w:rPr>
    </w:lvl>
    <w:lvl w:ilvl="8" w:tplc="FFFFFFFF">
      <w:numFmt w:val="bullet"/>
      <w:lvlText w:val="•"/>
      <w:lvlJc w:val="left"/>
      <w:pPr>
        <w:ind w:left="8660" w:hanging="850"/>
      </w:pPr>
      <w:rPr>
        <w:rFonts w:hint="default"/>
        <w:lang w:val="en-US" w:eastAsia="en-US" w:bidi="ar-SA"/>
      </w:rPr>
    </w:lvl>
  </w:abstractNum>
  <w:abstractNum w:abstractNumId="20" w15:restartNumberingAfterBreak="0">
    <w:nsid w:val="228A2D9C"/>
    <w:multiLevelType w:val="hybridMultilevel"/>
    <w:tmpl w:val="EF2046F0"/>
    <w:lvl w:ilvl="0" w:tplc="F2D8DA10">
      <w:start w:val="1"/>
      <w:numFmt w:val="lowerRoman"/>
      <w:lvlText w:val="%1."/>
      <w:lvlJc w:val="left"/>
      <w:pPr>
        <w:ind w:left="4388" w:hanging="850"/>
      </w:pPr>
      <w:rPr>
        <w:rFonts w:ascii="Calibri" w:eastAsia="Calibri" w:hAnsi="Calibri" w:cs="Calibri" w:hint="default"/>
        <w:b w:val="0"/>
        <w:bCs w:val="0"/>
        <w:i/>
        <w:iCs/>
        <w:spacing w:val="0"/>
        <w:w w:val="100"/>
        <w:sz w:val="24"/>
        <w:szCs w:val="24"/>
        <w:lang w:val="en-US" w:eastAsia="en-US" w:bidi="ar-SA"/>
      </w:rPr>
    </w:lvl>
    <w:lvl w:ilvl="1" w:tplc="3392DD14">
      <w:numFmt w:val="bullet"/>
      <w:lvlText w:val="•"/>
      <w:lvlJc w:val="left"/>
      <w:pPr>
        <w:ind w:left="4954" w:hanging="850"/>
      </w:pPr>
      <w:rPr>
        <w:rFonts w:hint="default"/>
        <w:lang w:val="en-US" w:eastAsia="en-US" w:bidi="ar-SA"/>
      </w:rPr>
    </w:lvl>
    <w:lvl w:ilvl="2" w:tplc="CEA06172">
      <w:numFmt w:val="bullet"/>
      <w:lvlText w:val="•"/>
      <w:lvlJc w:val="left"/>
      <w:pPr>
        <w:ind w:left="5528" w:hanging="850"/>
      </w:pPr>
      <w:rPr>
        <w:rFonts w:hint="default"/>
        <w:lang w:val="en-US" w:eastAsia="en-US" w:bidi="ar-SA"/>
      </w:rPr>
    </w:lvl>
    <w:lvl w:ilvl="3" w:tplc="D8060F40">
      <w:numFmt w:val="bullet"/>
      <w:lvlText w:val="•"/>
      <w:lvlJc w:val="left"/>
      <w:pPr>
        <w:ind w:left="6103" w:hanging="850"/>
      </w:pPr>
      <w:rPr>
        <w:rFonts w:hint="default"/>
        <w:lang w:val="en-US" w:eastAsia="en-US" w:bidi="ar-SA"/>
      </w:rPr>
    </w:lvl>
    <w:lvl w:ilvl="4" w:tplc="68086EB4">
      <w:numFmt w:val="bullet"/>
      <w:lvlText w:val="•"/>
      <w:lvlJc w:val="left"/>
      <w:pPr>
        <w:ind w:left="6677" w:hanging="850"/>
      </w:pPr>
      <w:rPr>
        <w:rFonts w:hint="default"/>
        <w:lang w:val="en-US" w:eastAsia="en-US" w:bidi="ar-SA"/>
      </w:rPr>
    </w:lvl>
    <w:lvl w:ilvl="5" w:tplc="56F439B0">
      <w:numFmt w:val="bullet"/>
      <w:lvlText w:val="•"/>
      <w:lvlJc w:val="left"/>
      <w:pPr>
        <w:ind w:left="7252" w:hanging="850"/>
      </w:pPr>
      <w:rPr>
        <w:rFonts w:hint="default"/>
        <w:lang w:val="en-US" w:eastAsia="en-US" w:bidi="ar-SA"/>
      </w:rPr>
    </w:lvl>
    <w:lvl w:ilvl="6" w:tplc="7C8EB428">
      <w:numFmt w:val="bullet"/>
      <w:lvlText w:val="•"/>
      <w:lvlJc w:val="left"/>
      <w:pPr>
        <w:ind w:left="7826" w:hanging="850"/>
      </w:pPr>
      <w:rPr>
        <w:rFonts w:hint="default"/>
        <w:lang w:val="en-US" w:eastAsia="en-US" w:bidi="ar-SA"/>
      </w:rPr>
    </w:lvl>
    <w:lvl w:ilvl="7" w:tplc="0F7A08BC">
      <w:numFmt w:val="bullet"/>
      <w:lvlText w:val="•"/>
      <w:lvlJc w:val="left"/>
      <w:pPr>
        <w:ind w:left="8400" w:hanging="850"/>
      </w:pPr>
      <w:rPr>
        <w:rFonts w:hint="default"/>
        <w:lang w:val="en-US" w:eastAsia="en-US" w:bidi="ar-SA"/>
      </w:rPr>
    </w:lvl>
    <w:lvl w:ilvl="8" w:tplc="5D6669F0">
      <w:numFmt w:val="bullet"/>
      <w:lvlText w:val="•"/>
      <w:lvlJc w:val="left"/>
      <w:pPr>
        <w:ind w:left="8975" w:hanging="850"/>
      </w:pPr>
      <w:rPr>
        <w:rFonts w:hint="default"/>
        <w:lang w:val="en-US" w:eastAsia="en-US" w:bidi="ar-SA"/>
      </w:rPr>
    </w:lvl>
  </w:abstractNum>
  <w:abstractNum w:abstractNumId="21" w15:restartNumberingAfterBreak="0">
    <w:nsid w:val="23B34F4F"/>
    <w:multiLevelType w:val="hybridMultilevel"/>
    <w:tmpl w:val="AB08C606"/>
    <w:lvl w:ilvl="0" w:tplc="61E862CA">
      <w:start w:val="1"/>
      <w:numFmt w:val="decimal"/>
      <w:lvlText w:val="%1."/>
      <w:lvlJc w:val="left"/>
      <w:pPr>
        <w:ind w:left="2689" w:hanging="850"/>
        <w:jc w:val="right"/>
      </w:pPr>
      <w:rPr>
        <w:rFonts w:hint="default"/>
        <w:spacing w:val="-2"/>
        <w:w w:val="100"/>
        <w:lang w:val="en-US" w:eastAsia="en-US" w:bidi="ar-SA"/>
      </w:rPr>
    </w:lvl>
    <w:lvl w:ilvl="1" w:tplc="58729804">
      <w:start w:val="1"/>
      <w:numFmt w:val="lowerLetter"/>
      <w:lvlText w:val="(%2)"/>
      <w:lvlJc w:val="left"/>
      <w:pPr>
        <w:ind w:left="3539" w:hanging="850"/>
      </w:pPr>
      <w:rPr>
        <w:rFonts w:ascii="Calibri" w:eastAsia="Calibri" w:hAnsi="Calibri" w:cs="Calibri" w:hint="default"/>
        <w:b w:val="0"/>
        <w:bCs w:val="0"/>
        <w:i w:val="0"/>
        <w:iCs w:val="0"/>
        <w:spacing w:val="-1"/>
        <w:w w:val="100"/>
        <w:sz w:val="24"/>
        <w:szCs w:val="24"/>
        <w:u w:val="single" w:color="000000"/>
        <w:lang w:val="en-US" w:eastAsia="en-US" w:bidi="ar-SA"/>
      </w:rPr>
    </w:lvl>
    <w:lvl w:ilvl="2" w:tplc="50E60844">
      <w:numFmt w:val="bullet"/>
      <w:lvlText w:val="•"/>
      <w:lvlJc w:val="left"/>
      <w:pPr>
        <w:ind w:left="4271" w:hanging="850"/>
      </w:pPr>
      <w:rPr>
        <w:rFonts w:hint="default"/>
        <w:lang w:val="en-US" w:eastAsia="en-US" w:bidi="ar-SA"/>
      </w:rPr>
    </w:lvl>
    <w:lvl w:ilvl="3" w:tplc="8B70D398">
      <w:numFmt w:val="bullet"/>
      <w:lvlText w:val="•"/>
      <w:lvlJc w:val="left"/>
      <w:pPr>
        <w:ind w:left="5003" w:hanging="850"/>
      </w:pPr>
      <w:rPr>
        <w:rFonts w:hint="default"/>
        <w:lang w:val="en-US" w:eastAsia="en-US" w:bidi="ar-SA"/>
      </w:rPr>
    </w:lvl>
    <w:lvl w:ilvl="4" w:tplc="161698CC">
      <w:numFmt w:val="bullet"/>
      <w:lvlText w:val="•"/>
      <w:lvlJc w:val="left"/>
      <w:pPr>
        <w:ind w:left="5734" w:hanging="850"/>
      </w:pPr>
      <w:rPr>
        <w:rFonts w:hint="default"/>
        <w:lang w:val="en-US" w:eastAsia="en-US" w:bidi="ar-SA"/>
      </w:rPr>
    </w:lvl>
    <w:lvl w:ilvl="5" w:tplc="559EFBAE">
      <w:numFmt w:val="bullet"/>
      <w:lvlText w:val="•"/>
      <w:lvlJc w:val="left"/>
      <w:pPr>
        <w:ind w:left="6466" w:hanging="850"/>
      </w:pPr>
      <w:rPr>
        <w:rFonts w:hint="default"/>
        <w:lang w:val="en-US" w:eastAsia="en-US" w:bidi="ar-SA"/>
      </w:rPr>
    </w:lvl>
    <w:lvl w:ilvl="6" w:tplc="EE805734">
      <w:numFmt w:val="bullet"/>
      <w:lvlText w:val="•"/>
      <w:lvlJc w:val="left"/>
      <w:pPr>
        <w:ind w:left="7197" w:hanging="850"/>
      </w:pPr>
      <w:rPr>
        <w:rFonts w:hint="default"/>
        <w:lang w:val="en-US" w:eastAsia="en-US" w:bidi="ar-SA"/>
      </w:rPr>
    </w:lvl>
    <w:lvl w:ilvl="7" w:tplc="BEBEFCA0">
      <w:numFmt w:val="bullet"/>
      <w:lvlText w:val="•"/>
      <w:lvlJc w:val="left"/>
      <w:pPr>
        <w:ind w:left="7929" w:hanging="850"/>
      </w:pPr>
      <w:rPr>
        <w:rFonts w:hint="default"/>
        <w:lang w:val="en-US" w:eastAsia="en-US" w:bidi="ar-SA"/>
      </w:rPr>
    </w:lvl>
    <w:lvl w:ilvl="8" w:tplc="1E3644F0">
      <w:numFmt w:val="bullet"/>
      <w:lvlText w:val="•"/>
      <w:lvlJc w:val="left"/>
      <w:pPr>
        <w:ind w:left="8660" w:hanging="850"/>
      </w:pPr>
      <w:rPr>
        <w:rFonts w:hint="default"/>
        <w:lang w:val="en-US" w:eastAsia="en-US" w:bidi="ar-SA"/>
      </w:rPr>
    </w:lvl>
  </w:abstractNum>
  <w:abstractNum w:abstractNumId="22" w15:restartNumberingAfterBreak="0">
    <w:nsid w:val="25835B30"/>
    <w:multiLevelType w:val="hybridMultilevel"/>
    <w:tmpl w:val="03866480"/>
    <w:lvl w:ilvl="0" w:tplc="0EDEDF72">
      <w:start w:val="1"/>
      <w:numFmt w:val="lowerLetter"/>
      <w:lvlText w:val="(%1)"/>
      <w:lvlJc w:val="left"/>
      <w:pPr>
        <w:ind w:left="3539" w:hanging="850"/>
      </w:pPr>
      <w:rPr>
        <w:rFonts w:hint="default"/>
        <w:spacing w:val="-1"/>
        <w:w w:val="100"/>
        <w:u w:val="single" w:color="000000"/>
        <w:lang w:val="en-US" w:eastAsia="en-US" w:bidi="ar-SA"/>
      </w:rPr>
    </w:lvl>
    <w:lvl w:ilvl="1" w:tplc="A43636D0">
      <w:start w:val="1"/>
      <w:numFmt w:val="lowerRoman"/>
      <w:lvlText w:val="%2."/>
      <w:lvlJc w:val="left"/>
      <w:pPr>
        <w:ind w:left="4388" w:hanging="850"/>
      </w:pPr>
      <w:rPr>
        <w:rFonts w:ascii="Calibri" w:eastAsia="Calibri" w:hAnsi="Calibri" w:cs="Calibri" w:hint="default"/>
        <w:b w:val="0"/>
        <w:bCs w:val="0"/>
        <w:i/>
        <w:iCs/>
        <w:spacing w:val="0"/>
        <w:w w:val="100"/>
        <w:sz w:val="24"/>
        <w:szCs w:val="24"/>
        <w:lang w:val="en-US" w:eastAsia="en-US" w:bidi="ar-SA"/>
      </w:rPr>
    </w:lvl>
    <w:lvl w:ilvl="2" w:tplc="39AE3922">
      <w:numFmt w:val="bullet"/>
      <w:lvlText w:val="•"/>
      <w:lvlJc w:val="left"/>
      <w:pPr>
        <w:ind w:left="5018" w:hanging="850"/>
      </w:pPr>
      <w:rPr>
        <w:rFonts w:hint="default"/>
        <w:lang w:val="en-US" w:eastAsia="en-US" w:bidi="ar-SA"/>
      </w:rPr>
    </w:lvl>
    <w:lvl w:ilvl="3" w:tplc="371CBDF2">
      <w:numFmt w:val="bullet"/>
      <w:lvlText w:val="•"/>
      <w:lvlJc w:val="left"/>
      <w:pPr>
        <w:ind w:left="5656" w:hanging="850"/>
      </w:pPr>
      <w:rPr>
        <w:rFonts w:hint="default"/>
        <w:lang w:val="en-US" w:eastAsia="en-US" w:bidi="ar-SA"/>
      </w:rPr>
    </w:lvl>
    <w:lvl w:ilvl="4" w:tplc="A2E6EE04">
      <w:numFmt w:val="bullet"/>
      <w:lvlText w:val="•"/>
      <w:lvlJc w:val="left"/>
      <w:pPr>
        <w:ind w:left="6294" w:hanging="850"/>
      </w:pPr>
      <w:rPr>
        <w:rFonts w:hint="default"/>
        <w:lang w:val="en-US" w:eastAsia="en-US" w:bidi="ar-SA"/>
      </w:rPr>
    </w:lvl>
    <w:lvl w:ilvl="5" w:tplc="C1AA1FBC">
      <w:numFmt w:val="bullet"/>
      <w:lvlText w:val="•"/>
      <w:lvlJc w:val="left"/>
      <w:pPr>
        <w:ind w:left="6932" w:hanging="850"/>
      </w:pPr>
      <w:rPr>
        <w:rFonts w:hint="default"/>
        <w:lang w:val="en-US" w:eastAsia="en-US" w:bidi="ar-SA"/>
      </w:rPr>
    </w:lvl>
    <w:lvl w:ilvl="6" w:tplc="C8D412EE">
      <w:numFmt w:val="bullet"/>
      <w:lvlText w:val="•"/>
      <w:lvlJc w:val="left"/>
      <w:pPr>
        <w:ind w:left="7571" w:hanging="850"/>
      </w:pPr>
      <w:rPr>
        <w:rFonts w:hint="default"/>
        <w:lang w:val="en-US" w:eastAsia="en-US" w:bidi="ar-SA"/>
      </w:rPr>
    </w:lvl>
    <w:lvl w:ilvl="7" w:tplc="842ADC4C">
      <w:numFmt w:val="bullet"/>
      <w:lvlText w:val="•"/>
      <w:lvlJc w:val="left"/>
      <w:pPr>
        <w:ind w:left="8209" w:hanging="850"/>
      </w:pPr>
      <w:rPr>
        <w:rFonts w:hint="default"/>
        <w:lang w:val="en-US" w:eastAsia="en-US" w:bidi="ar-SA"/>
      </w:rPr>
    </w:lvl>
    <w:lvl w:ilvl="8" w:tplc="FF563BE2">
      <w:numFmt w:val="bullet"/>
      <w:lvlText w:val="•"/>
      <w:lvlJc w:val="left"/>
      <w:pPr>
        <w:ind w:left="8847" w:hanging="850"/>
      </w:pPr>
      <w:rPr>
        <w:rFonts w:hint="default"/>
        <w:lang w:val="en-US" w:eastAsia="en-US" w:bidi="ar-SA"/>
      </w:rPr>
    </w:lvl>
  </w:abstractNum>
  <w:abstractNum w:abstractNumId="23" w15:restartNumberingAfterBreak="0">
    <w:nsid w:val="258A522B"/>
    <w:multiLevelType w:val="hybridMultilevel"/>
    <w:tmpl w:val="22AA4C04"/>
    <w:lvl w:ilvl="0" w:tplc="B692A424">
      <w:numFmt w:val="bullet"/>
      <w:lvlText w:val=""/>
      <w:lvlJc w:val="left"/>
      <w:pPr>
        <w:ind w:left="1840" w:hanging="850"/>
      </w:pPr>
      <w:rPr>
        <w:rFonts w:ascii="Symbol" w:eastAsia="Symbol" w:hAnsi="Symbol" w:cs="Symbol" w:hint="default"/>
        <w:b w:val="0"/>
        <w:bCs w:val="0"/>
        <w:i w:val="0"/>
        <w:iCs w:val="0"/>
        <w:w w:val="100"/>
        <w:sz w:val="24"/>
        <w:szCs w:val="24"/>
        <w:lang w:val="en-US" w:eastAsia="en-US" w:bidi="ar-SA"/>
      </w:rPr>
    </w:lvl>
    <w:lvl w:ilvl="1" w:tplc="7AA6B318">
      <w:numFmt w:val="bullet"/>
      <w:lvlText w:val="•"/>
      <w:lvlJc w:val="left"/>
      <w:pPr>
        <w:ind w:left="2668" w:hanging="850"/>
      </w:pPr>
      <w:rPr>
        <w:rFonts w:hint="default"/>
        <w:lang w:val="en-US" w:eastAsia="en-US" w:bidi="ar-SA"/>
      </w:rPr>
    </w:lvl>
    <w:lvl w:ilvl="2" w:tplc="4484CD78">
      <w:numFmt w:val="bullet"/>
      <w:lvlText w:val="•"/>
      <w:lvlJc w:val="left"/>
      <w:pPr>
        <w:ind w:left="3496" w:hanging="850"/>
      </w:pPr>
      <w:rPr>
        <w:rFonts w:hint="default"/>
        <w:lang w:val="en-US" w:eastAsia="en-US" w:bidi="ar-SA"/>
      </w:rPr>
    </w:lvl>
    <w:lvl w:ilvl="3" w:tplc="3072E880">
      <w:numFmt w:val="bullet"/>
      <w:lvlText w:val="•"/>
      <w:lvlJc w:val="left"/>
      <w:pPr>
        <w:ind w:left="4325" w:hanging="850"/>
      </w:pPr>
      <w:rPr>
        <w:rFonts w:hint="default"/>
        <w:lang w:val="en-US" w:eastAsia="en-US" w:bidi="ar-SA"/>
      </w:rPr>
    </w:lvl>
    <w:lvl w:ilvl="4" w:tplc="2DF20694">
      <w:numFmt w:val="bullet"/>
      <w:lvlText w:val="•"/>
      <w:lvlJc w:val="left"/>
      <w:pPr>
        <w:ind w:left="5153" w:hanging="850"/>
      </w:pPr>
      <w:rPr>
        <w:rFonts w:hint="default"/>
        <w:lang w:val="en-US" w:eastAsia="en-US" w:bidi="ar-SA"/>
      </w:rPr>
    </w:lvl>
    <w:lvl w:ilvl="5" w:tplc="CB5AF816">
      <w:numFmt w:val="bullet"/>
      <w:lvlText w:val="•"/>
      <w:lvlJc w:val="left"/>
      <w:pPr>
        <w:ind w:left="5982" w:hanging="850"/>
      </w:pPr>
      <w:rPr>
        <w:rFonts w:hint="default"/>
        <w:lang w:val="en-US" w:eastAsia="en-US" w:bidi="ar-SA"/>
      </w:rPr>
    </w:lvl>
    <w:lvl w:ilvl="6" w:tplc="012691B0">
      <w:numFmt w:val="bullet"/>
      <w:lvlText w:val="•"/>
      <w:lvlJc w:val="left"/>
      <w:pPr>
        <w:ind w:left="6810" w:hanging="850"/>
      </w:pPr>
      <w:rPr>
        <w:rFonts w:hint="default"/>
        <w:lang w:val="en-US" w:eastAsia="en-US" w:bidi="ar-SA"/>
      </w:rPr>
    </w:lvl>
    <w:lvl w:ilvl="7" w:tplc="A55C2F5C">
      <w:numFmt w:val="bullet"/>
      <w:lvlText w:val="•"/>
      <w:lvlJc w:val="left"/>
      <w:pPr>
        <w:ind w:left="7638" w:hanging="850"/>
      </w:pPr>
      <w:rPr>
        <w:rFonts w:hint="default"/>
        <w:lang w:val="en-US" w:eastAsia="en-US" w:bidi="ar-SA"/>
      </w:rPr>
    </w:lvl>
    <w:lvl w:ilvl="8" w:tplc="499C3432">
      <w:numFmt w:val="bullet"/>
      <w:lvlText w:val="•"/>
      <w:lvlJc w:val="left"/>
      <w:pPr>
        <w:ind w:left="8467" w:hanging="850"/>
      </w:pPr>
      <w:rPr>
        <w:rFonts w:hint="default"/>
        <w:lang w:val="en-US" w:eastAsia="en-US" w:bidi="ar-SA"/>
      </w:rPr>
    </w:lvl>
  </w:abstractNum>
  <w:abstractNum w:abstractNumId="24" w15:restartNumberingAfterBreak="0">
    <w:nsid w:val="268D39F9"/>
    <w:multiLevelType w:val="hybridMultilevel"/>
    <w:tmpl w:val="74C41BDC"/>
    <w:lvl w:ilvl="0" w:tplc="4BDE129C">
      <w:numFmt w:val="bullet"/>
      <w:lvlText w:val=""/>
      <w:lvlJc w:val="left"/>
      <w:pPr>
        <w:ind w:left="1835" w:hanging="850"/>
      </w:pPr>
      <w:rPr>
        <w:rFonts w:ascii="Symbol" w:eastAsia="Symbol" w:hAnsi="Symbol" w:cs="Symbol" w:hint="default"/>
        <w:b w:val="0"/>
        <w:bCs w:val="0"/>
        <w:i w:val="0"/>
        <w:iCs w:val="0"/>
        <w:w w:val="100"/>
        <w:sz w:val="24"/>
        <w:szCs w:val="24"/>
        <w:lang w:val="en-US" w:eastAsia="en-US" w:bidi="ar-SA"/>
      </w:rPr>
    </w:lvl>
    <w:lvl w:ilvl="1" w:tplc="33824942">
      <w:numFmt w:val="bullet"/>
      <w:lvlText w:val="•"/>
      <w:lvlJc w:val="left"/>
      <w:pPr>
        <w:ind w:left="2668" w:hanging="850"/>
      </w:pPr>
      <w:rPr>
        <w:rFonts w:hint="default"/>
        <w:lang w:val="en-US" w:eastAsia="en-US" w:bidi="ar-SA"/>
      </w:rPr>
    </w:lvl>
    <w:lvl w:ilvl="2" w:tplc="BF50DBA6">
      <w:numFmt w:val="bullet"/>
      <w:lvlText w:val="•"/>
      <w:lvlJc w:val="left"/>
      <w:pPr>
        <w:ind w:left="3496" w:hanging="850"/>
      </w:pPr>
      <w:rPr>
        <w:rFonts w:hint="default"/>
        <w:lang w:val="en-US" w:eastAsia="en-US" w:bidi="ar-SA"/>
      </w:rPr>
    </w:lvl>
    <w:lvl w:ilvl="3" w:tplc="16066CE8">
      <w:numFmt w:val="bullet"/>
      <w:lvlText w:val="•"/>
      <w:lvlJc w:val="left"/>
      <w:pPr>
        <w:ind w:left="4325" w:hanging="850"/>
      </w:pPr>
      <w:rPr>
        <w:rFonts w:hint="default"/>
        <w:lang w:val="en-US" w:eastAsia="en-US" w:bidi="ar-SA"/>
      </w:rPr>
    </w:lvl>
    <w:lvl w:ilvl="4" w:tplc="8F287388">
      <w:numFmt w:val="bullet"/>
      <w:lvlText w:val="•"/>
      <w:lvlJc w:val="left"/>
      <w:pPr>
        <w:ind w:left="5153" w:hanging="850"/>
      </w:pPr>
      <w:rPr>
        <w:rFonts w:hint="default"/>
        <w:lang w:val="en-US" w:eastAsia="en-US" w:bidi="ar-SA"/>
      </w:rPr>
    </w:lvl>
    <w:lvl w:ilvl="5" w:tplc="885EF780">
      <w:numFmt w:val="bullet"/>
      <w:lvlText w:val="•"/>
      <w:lvlJc w:val="left"/>
      <w:pPr>
        <w:ind w:left="5982" w:hanging="850"/>
      </w:pPr>
      <w:rPr>
        <w:rFonts w:hint="default"/>
        <w:lang w:val="en-US" w:eastAsia="en-US" w:bidi="ar-SA"/>
      </w:rPr>
    </w:lvl>
    <w:lvl w:ilvl="6" w:tplc="7360C85A">
      <w:numFmt w:val="bullet"/>
      <w:lvlText w:val="•"/>
      <w:lvlJc w:val="left"/>
      <w:pPr>
        <w:ind w:left="6810" w:hanging="850"/>
      </w:pPr>
      <w:rPr>
        <w:rFonts w:hint="default"/>
        <w:lang w:val="en-US" w:eastAsia="en-US" w:bidi="ar-SA"/>
      </w:rPr>
    </w:lvl>
    <w:lvl w:ilvl="7" w:tplc="AAC83EB4">
      <w:numFmt w:val="bullet"/>
      <w:lvlText w:val="•"/>
      <w:lvlJc w:val="left"/>
      <w:pPr>
        <w:ind w:left="7638" w:hanging="850"/>
      </w:pPr>
      <w:rPr>
        <w:rFonts w:hint="default"/>
        <w:lang w:val="en-US" w:eastAsia="en-US" w:bidi="ar-SA"/>
      </w:rPr>
    </w:lvl>
    <w:lvl w:ilvl="8" w:tplc="14F42E0A">
      <w:numFmt w:val="bullet"/>
      <w:lvlText w:val="•"/>
      <w:lvlJc w:val="left"/>
      <w:pPr>
        <w:ind w:left="8467" w:hanging="850"/>
      </w:pPr>
      <w:rPr>
        <w:rFonts w:hint="default"/>
        <w:lang w:val="en-US" w:eastAsia="en-US" w:bidi="ar-SA"/>
      </w:rPr>
    </w:lvl>
  </w:abstractNum>
  <w:abstractNum w:abstractNumId="25" w15:restartNumberingAfterBreak="0">
    <w:nsid w:val="294F730D"/>
    <w:multiLevelType w:val="hybridMultilevel"/>
    <w:tmpl w:val="FAFE7404"/>
    <w:lvl w:ilvl="0" w:tplc="3A86B084">
      <w:start w:val="1"/>
      <w:numFmt w:val="decimal"/>
      <w:lvlText w:val="%1."/>
      <w:lvlJc w:val="left"/>
      <w:pPr>
        <w:ind w:left="2689" w:hanging="850"/>
      </w:pPr>
      <w:rPr>
        <w:rFonts w:ascii="Calibri" w:eastAsia="Calibri" w:hAnsi="Calibri" w:cs="Calibri" w:hint="default"/>
        <w:b/>
        <w:bCs/>
        <w:i w:val="0"/>
        <w:iCs w:val="0"/>
        <w:spacing w:val="-2"/>
        <w:w w:val="100"/>
        <w:sz w:val="24"/>
        <w:szCs w:val="24"/>
        <w:lang w:val="en-US" w:eastAsia="en-US" w:bidi="ar-SA"/>
      </w:rPr>
    </w:lvl>
    <w:lvl w:ilvl="1" w:tplc="50D6BB68">
      <w:numFmt w:val="bullet"/>
      <w:lvlText w:val="•"/>
      <w:lvlJc w:val="left"/>
      <w:pPr>
        <w:ind w:left="3424" w:hanging="850"/>
      </w:pPr>
      <w:rPr>
        <w:rFonts w:hint="default"/>
        <w:lang w:val="en-US" w:eastAsia="en-US" w:bidi="ar-SA"/>
      </w:rPr>
    </w:lvl>
    <w:lvl w:ilvl="2" w:tplc="1236F964">
      <w:numFmt w:val="bullet"/>
      <w:lvlText w:val="•"/>
      <w:lvlJc w:val="left"/>
      <w:pPr>
        <w:ind w:left="4168" w:hanging="850"/>
      </w:pPr>
      <w:rPr>
        <w:rFonts w:hint="default"/>
        <w:lang w:val="en-US" w:eastAsia="en-US" w:bidi="ar-SA"/>
      </w:rPr>
    </w:lvl>
    <w:lvl w:ilvl="3" w:tplc="284AEBF0">
      <w:numFmt w:val="bullet"/>
      <w:lvlText w:val="•"/>
      <w:lvlJc w:val="left"/>
      <w:pPr>
        <w:ind w:left="4913" w:hanging="850"/>
      </w:pPr>
      <w:rPr>
        <w:rFonts w:hint="default"/>
        <w:lang w:val="en-US" w:eastAsia="en-US" w:bidi="ar-SA"/>
      </w:rPr>
    </w:lvl>
    <w:lvl w:ilvl="4" w:tplc="EE7A7548">
      <w:numFmt w:val="bullet"/>
      <w:lvlText w:val="•"/>
      <w:lvlJc w:val="left"/>
      <w:pPr>
        <w:ind w:left="5657" w:hanging="850"/>
      </w:pPr>
      <w:rPr>
        <w:rFonts w:hint="default"/>
        <w:lang w:val="en-US" w:eastAsia="en-US" w:bidi="ar-SA"/>
      </w:rPr>
    </w:lvl>
    <w:lvl w:ilvl="5" w:tplc="E37002C6">
      <w:numFmt w:val="bullet"/>
      <w:lvlText w:val="•"/>
      <w:lvlJc w:val="left"/>
      <w:pPr>
        <w:ind w:left="6402" w:hanging="850"/>
      </w:pPr>
      <w:rPr>
        <w:rFonts w:hint="default"/>
        <w:lang w:val="en-US" w:eastAsia="en-US" w:bidi="ar-SA"/>
      </w:rPr>
    </w:lvl>
    <w:lvl w:ilvl="6" w:tplc="B7826A60">
      <w:numFmt w:val="bullet"/>
      <w:lvlText w:val="•"/>
      <w:lvlJc w:val="left"/>
      <w:pPr>
        <w:ind w:left="7146" w:hanging="850"/>
      </w:pPr>
      <w:rPr>
        <w:rFonts w:hint="default"/>
        <w:lang w:val="en-US" w:eastAsia="en-US" w:bidi="ar-SA"/>
      </w:rPr>
    </w:lvl>
    <w:lvl w:ilvl="7" w:tplc="5F5E137A">
      <w:numFmt w:val="bullet"/>
      <w:lvlText w:val="•"/>
      <w:lvlJc w:val="left"/>
      <w:pPr>
        <w:ind w:left="7890" w:hanging="850"/>
      </w:pPr>
      <w:rPr>
        <w:rFonts w:hint="default"/>
        <w:lang w:val="en-US" w:eastAsia="en-US" w:bidi="ar-SA"/>
      </w:rPr>
    </w:lvl>
    <w:lvl w:ilvl="8" w:tplc="7F8206E0">
      <w:numFmt w:val="bullet"/>
      <w:lvlText w:val="•"/>
      <w:lvlJc w:val="left"/>
      <w:pPr>
        <w:ind w:left="8635" w:hanging="850"/>
      </w:pPr>
      <w:rPr>
        <w:rFonts w:hint="default"/>
        <w:lang w:val="en-US" w:eastAsia="en-US" w:bidi="ar-SA"/>
      </w:rPr>
    </w:lvl>
  </w:abstractNum>
  <w:abstractNum w:abstractNumId="26" w15:restartNumberingAfterBreak="0">
    <w:nsid w:val="29C4717F"/>
    <w:multiLevelType w:val="hybridMultilevel"/>
    <w:tmpl w:val="D0BE9096"/>
    <w:lvl w:ilvl="0" w:tplc="638E95F0">
      <w:numFmt w:val="bullet"/>
      <w:lvlText w:val=""/>
      <w:lvlJc w:val="left"/>
      <w:pPr>
        <w:ind w:left="1840" w:hanging="850"/>
      </w:pPr>
      <w:rPr>
        <w:rFonts w:ascii="Symbol" w:eastAsia="Symbol" w:hAnsi="Symbol" w:cs="Symbol" w:hint="default"/>
        <w:b w:val="0"/>
        <w:bCs w:val="0"/>
        <w:i w:val="0"/>
        <w:iCs w:val="0"/>
        <w:w w:val="100"/>
        <w:sz w:val="24"/>
        <w:szCs w:val="24"/>
        <w:lang w:val="en-US" w:eastAsia="en-US" w:bidi="ar-SA"/>
      </w:rPr>
    </w:lvl>
    <w:lvl w:ilvl="1" w:tplc="B290D5EA">
      <w:numFmt w:val="bullet"/>
      <w:lvlText w:val="•"/>
      <w:lvlJc w:val="left"/>
      <w:pPr>
        <w:ind w:left="2668" w:hanging="850"/>
      </w:pPr>
      <w:rPr>
        <w:rFonts w:hint="default"/>
        <w:lang w:val="en-US" w:eastAsia="en-US" w:bidi="ar-SA"/>
      </w:rPr>
    </w:lvl>
    <w:lvl w:ilvl="2" w:tplc="2646C2FA">
      <w:numFmt w:val="bullet"/>
      <w:lvlText w:val="•"/>
      <w:lvlJc w:val="left"/>
      <w:pPr>
        <w:ind w:left="3496" w:hanging="850"/>
      </w:pPr>
      <w:rPr>
        <w:rFonts w:hint="default"/>
        <w:lang w:val="en-US" w:eastAsia="en-US" w:bidi="ar-SA"/>
      </w:rPr>
    </w:lvl>
    <w:lvl w:ilvl="3" w:tplc="8082790A">
      <w:numFmt w:val="bullet"/>
      <w:lvlText w:val="•"/>
      <w:lvlJc w:val="left"/>
      <w:pPr>
        <w:ind w:left="4325" w:hanging="850"/>
      </w:pPr>
      <w:rPr>
        <w:rFonts w:hint="default"/>
        <w:lang w:val="en-US" w:eastAsia="en-US" w:bidi="ar-SA"/>
      </w:rPr>
    </w:lvl>
    <w:lvl w:ilvl="4" w:tplc="DB8C27D0">
      <w:numFmt w:val="bullet"/>
      <w:lvlText w:val="•"/>
      <w:lvlJc w:val="left"/>
      <w:pPr>
        <w:ind w:left="5153" w:hanging="850"/>
      </w:pPr>
      <w:rPr>
        <w:rFonts w:hint="default"/>
        <w:lang w:val="en-US" w:eastAsia="en-US" w:bidi="ar-SA"/>
      </w:rPr>
    </w:lvl>
    <w:lvl w:ilvl="5" w:tplc="BD365F74">
      <w:numFmt w:val="bullet"/>
      <w:lvlText w:val="•"/>
      <w:lvlJc w:val="left"/>
      <w:pPr>
        <w:ind w:left="5982" w:hanging="850"/>
      </w:pPr>
      <w:rPr>
        <w:rFonts w:hint="default"/>
        <w:lang w:val="en-US" w:eastAsia="en-US" w:bidi="ar-SA"/>
      </w:rPr>
    </w:lvl>
    <w:lvl w:ilvl="6" w:tplc="61F699A2">
      <w:numFmt w:val="bullet"/>
      <w:lvlText w:val="•"/>
      <w:lvlJc w:val="left"/>
      <w:pPr>
        <w:ind w:left="6810" w:hanging="850"/>
      </w:pPr>
      <w:rPr>
        <w:rFonts w:hint="default"/>
        <w:lang w:val="en-US" w:eastAsia="en-US" w:bidi="ar-SA"/>
      </w:rPr>
    </w:lvl>
    <w:lvl w:ilvl="7" w:tplc="5F3ACE28">
      <w:numFmt w:val="bullet"/>
      <w:lvlText w:val="•"/>
      <w:lvlJc w:val="left"/>
      <w:pPr>
        <w:ind w:left="7638" w:hanging="850"/>
      </w:pPr>
      <w:rPr>
        <w:rFonts w:hint="default"/>
        <w:lang w:val="en-US" w:eastAsia="en-US" w:bidi="ar-SA"/>
      </w:rPr>
    </w:lvl>
    <w:lvl w:ilvl="8" w:tplc="5AB8ACAA">
      <w:numFmt w:val="bullet"/>
      <w:lvlText w:val="•"/>
      <w:lvlJc w:val="left"/>
      <w:pPr>
        <w:ind w:left="8467" w:hanging="850"/>
      </w:pPr>
      <w:rPr>
        <w:rFonts w:hint="default"/>
        <w:lang w:val="en-US" w:eastAsia="en-US" w:bidi="ar-SA"/>
      </w:rPr>
    </w:lvl>
  </w:abstractNum>
  <w:abstractNum w:abstractNumId="27" w15:restartNumberingAfterBreak="0">
    <w:nsid w:val="2C782837"/>
    <w:multiLevelType w:val="hybridMultilevel"/>
    <w:tmpl w:val="E6A6F84C"/>
    <w:lvl w:ilvl="0" w:tplc="39142A10">
      <w:start w:val="2"/>
      <w:numFmt w:val="lowerLetter"/>
      <w:lvlText w:val="(%1)"/>
      <w:lvlJc w:val="left"/>
      <w:pPr>
        <w:ind w:left="3539" w:hanging="850"/>
      </w:pPr>
      <w:rPr>
        <w:rFonts w:ascii="Calibri" w:eastAsia="Calibri" w:hAnsi="Calibri" w:cs="Calibri" w:hint="default"/>
        <w:b w:val="0"/>
        <w:bCs w:val="0"/>
        <w:i w:val="0"/>
        <w:iCs w:val="0"/>
        <w:spacing w:val="-2"/>
        <w:w w:val="100"/>
        <w:sz w:val="24"/>
        <w:szCs w:val="24"/>
        <w:u w:val="single" w:color="000000"/>
        <w:lang w:val="en-US" w:eastAsia="en-US" w:bidi="ar-SA"/>
      </w:rPr>
    </w:lvl>
    <w:lvl w:ilvl="1" w:tplc="F97A893E">
      <w:start w:val="1"/>
      <w:numFmt w:val="lowerRoman"/>
      <w:lvlText w:val="%2."/>
      <w:lvlJc w:val="left"/>
      <w:pPr>
        <w:ind w:left="4388" w:hanging="850"/>
      </w:pPr>
      <w:rPr>
        <w:rFonts w:ascii="Calibri" w:eastAsia="Calibri" w:hAnsi="Calibri" w:cs="Calibri" w:hint="default"/>
        <w:b w:val="0"/>
        <w:bCs w:val="0"/>
        <w:i/>
        <w:iCs/>
        <w:spacing w:val="0"/>
        <w:w w:val="100"/>
        <w:sz w:val="24"/>
        <w:szCs w:val="24"/>
        <w:lang w:val="en-US" w:eastAsia="en-US" w:bidi="ar-SA"/>
      </w:rPr>
    </w:lvl>
    <w:lvl w:ilvl="2" w:tplc="7048FC4E">
      <w:numFmt w:val="bullet"/>
      <w:lvlText w:val="•"/>
      <w:lvlJc w:val="left"/>
      <w:pPr>
        <w:ind w:left="5018" w:hanging="850"/>
      </w:pPr>
      <w:rPr>
        <w:rFonts w:hint="default"/>
        <w:lang w:val="en-US" w:eastAsia="en-US" w:bidi="ar-SA"/>
      </w:rPr>
    </w:lvl>
    <w:lvl w:ilvl="3" w:tplc="CFD83E56">
      <w:numFmt w:val="bullet"/>
      <w:lvlText w:val="•"/>
      <w:lvlJc w:val="left"/>
      <w:pPr>
        <w:ind w:left="5656" w:hanging="850"/>
      </w:pPr>
      <w:rPr>
        <w:rFonts w:hint="default"/>
        <w:lang w:val="en-US" w:eastAsia="en-US" w:bidi="ar-SA"/>
      </w:rPr>
    </w:lvl>
    <w:lvl w:ilvl="4" w:tplc="E790FB06">
      <w:numFmt w:val="bullet"/>
      <w:lvlText w:val="•"/>
      <w:lvlJc w:val="left"/>
      <w:pPr>
        <w:ind w:left="6294" w:hanging="850"/>
      </w:pPr>
      <w:rPr>
        <w:rFonts w:hint="default"/>
        <w:lang w:val="en-US" w:eastAsia="en-US" w:bidi="ar-SA"/>
      </w:rPr>
    </w:lvl>
    <w:lvl w:ilvl="5" w:tplc="9D740C5C">
      <w:numFmt w:val="bullet"/>
      <w:lvlText w:val="•"/>
      <w:lvlJc w:val="left"/>
      <w:pPr>
        <w:ind w:left="6932" w:hanging="850"/>
      </w:pPr>
      <w:rPr>
        <w:rFonts w:hint="default"/>
        <w:lang w:val="en-US" w:eastAsia="en-US" w:bidi="ar-SA"/>
      </w:rPr>
    </w:lvl>
    <w:lvl w:ilvl="6" w:tplc="A33A74B4">
      <w:numFmt w:val="bullet"/>
      <w:lvlText w:val="•"/>
      <w:lvlJc w:val="left"/>
      <w:pPr>
        <w:ind w:left="7571" w:hanging="850"/>
      </w:pPr>
      <w:rPr>
        <w:rFonts w:hint="default"/>
        <w:lang w:val="en-US" w:eastAsia="en-US" w:bidi="ar-SA"/>
      </w:rPr>
    </w:lvl>
    <w:lvl w:ilvl="7" w:tplc="BB88DE98">
      <w:numFmt w:val="bullet"/>
      <w:lvlText w:val="•"/>
      <w:lvlJc w:val="left"/>
      <w:pPr>
        <w:ind w:left="8209" w:hanging="850"/>
      </w:pPr>
      <w:rPr>
        <w:rFonts w:hint="default"/>
        <w:lang w:val="en-US" w:eastAsia="en-US" w:bidi="ar-SA"/>
      </w:rPr>
    </w:lvl>
    <w:lvl w:ilvl="8" w:tplc="FD94D1FA">
      <w:numFmt w:val="bullet"/>
      <w:lvlText w:val="•"/>
      <w:lvlJc w:val="left"/>
      <w:pPr>
        <w:ind w:left="8847" w:hanging="850"/>
      </w:pPr>
      <w:rPr>
        <w:rFonts w:hint="default"/>
        <w:lang w:val="en-US" w:eastAsia="en-US" w:bidi="ar-SA"/>
      </w:rPr>
    </w:lvl>
  </w:abstractNum>
  <w:abstractNum w:abstractNumId="28" w15:restartNumberingAfterBreak="0">
    <w:nsid w:val="2D071BBB"/>
    <w:multiLevelType w:val="hybridMultilevel"/>
    <w:tmpl w:val="3C82C3A4"/>
    <w:lvl w:ilvl="0" w:tplc="1CB2345E">
      <w:start w:val="1"/>
      <w:numFmt w:val="decimal"/>
      <w:lvlText w:val="%1."/>
      <w:lvlJc w:val="left"/>
      <w:pPr>
        <w:ind w:left="2689" w:hanging="850"/>
      </w:pPr>
      <w:rPr>
        <w:rFonts w:ascii="Calibri" w:eastAsia="Calibri" w:hAnsi="Calibri" w:cs="Calibri" w:hint="default"/>
        <w:b/>
        <w:bCs/>
        <w:i w:val="0"/>
        <w:iCs w:val="0"/>
        <w:spacing w:val="-2"/>
        <w:w w:val="100"/>
        <w:sz w:val="24"/>
        <w:szCs w:val="24"/>
        <w:lang w:val="en-US" w:eastAsia="en-US" w:bidi="ar-SA"/>
      </w:rPr>
    </w:lvl>
    <w:lvl w:ilvl="1" w:tplc="8220831C">
      <w:start w:val="1"/>
      <w:numFmt w:val="lowerLetter"/>
      <w:lvlText w:val="(%2)"/>
      <w:lvlJc w:val="left"/>
      <w:pPr>
        <w:ind w:left="3539" w:hanging="850"/>
      </w:pPr>
      <w:rPr>
        <w:rFonts w:ascii="Calibri" w:eastAsia="Calibri" w:hAnsi="Calibri" w:cs="Calibri" w:hint="default"/>
        <w:b w:val="0"/>
        <w:bCs w:val="0"/>
        <w:i w:val="0"/>
        <w:iCs w:val="0"/>
        <w:spacing w:val="-1"/>
        <w:w w:val="100"/>
        <w:sz w:val="24"/>
        <w:szCs w:val="24"/>
        <w:u w:val="single" w:color="000000"/>
        <w:lang w:val="en-US" w:eastAsia="en-US" w:bidi="ar-SA"/>
      </w:rPr>
    </w:lvl>
    <w:lvl w:ilvl="2" w:tplc="51D48B84">
      <w:start w:val="1"/>
      <w:numFmt w:val="lowerRoman"/>
      <w:lvlText w:val="%3."/>
      <w:lvlJc w:val="left"/>
      <w:pPr>
        <w:ind w:left="4388" w:hanging="850"/>
      </w:pPr>
      <w:rPr>
        <w:rFonts w:ascii="Calibri" w:eastAsia="Calibri" w:hAnsi="Calibri" w:cs="Calibri" w:hint="default"/>
        <w:b w:val="0"/>
        <w:bCs w:val="0"/>
        <w:i/>
        <w:iCs/>
        <w:spacing w:val="0"/>
        <w:w w:val="100"/>
        <w:sz w:val="24"/>
        <w:szCs w:val="24"/>
        <w:lang w:val="en-US" w:eastAsia="en-US" w:bidi="ar-SA"/>
      </w:rPr>
    </w:lvl>
    <w:lvl w:ilvl="3" w:tplc="EE20E7AE">
      <w:numFmt w:val="bullet"/>
      <w:lvlText w:val="•"/>
      <w:lvlJc w:val="left"/>
      <w:pPr>
        <w:ind w:left="5098" w:hanging="850"/>
      </w:pPr>
      <w:rPr>
        <w:rFonts w:hint="default"/>
        <w:lang w:val="en-US" w:eastAsia="en-US" w:bidi="ar-SA"/>
      </w:rPr>
    </w:lvl>
    <w:lvl w:ilvl="4" w:tplc="BBA439A8">
      <w:numFmt w:val="bullet"/>
      <w:lvlText w:val="•"/>
      <w:lvlJc w:val="left"/>
      <w:pPr>
        <w:ind w:left="5816" w:hanging="850"/>
      </w:pPr>
      <w:rPr>
        <w:rFonts w:hint="default"/>
        <w:lang w:val="en-US" w:eastAsia="en-US" w:bidi="ar-SA"/>
      </w:rPr>
    </w:lvl>
    <w:lvl w:ilvl="5" w:tplc="4018228E">
      <w:numFmt w:val="bullet"/>
      <w:lvlText w:val="•"/>
      <w:lvlJc w:val="left"/>
      <w:pPr>
        <w:ind w:left="6534" w:hanging="850"/>
      </w:pPr>
      <w:rPr>
        <w:rFonts w:hint="default"/>
        <w:lang w:val="en-US" w:eastAsia="en-US" w:bidi="ar-SA"/>
      </w:rPr>
    </w:lvl>
    <w:lvl w:ilvl="6" w:tplc="F0D4BF68">
      <w:numFmt w:val="bullet"/>
      <w:lvlText w:val="•"/>
      <w:lvlJc w:val="left"/>
      <w:pPr>
        <w:ind w:left="7252" w:hanging="850"/>
      </w:pPr>
      <w:rPr>
        <w:rFonts w:hint="default"/>
        <w:lang w:val="en-US" w:eastAsia="en-US" w:bidi="ar-SA"/>
      </w:rPr>
    </w:lvl>
    <w:lvl w:ilvl="7" w:tplc="9A346C56">
      <w:numFmt w:val="bullet"/>
      <w:lvlText w:val="•"/>
      <w:lvlJc w:val="left"/>
      <w:pPr>
        <w:ind w:left="7970" w:hanging="850"/>
      </w:pPr>
      <w:rPr>
        <w:rFonts w:hint="default"/>
        <w:lang w:val="en-US" w:eastAsia="en-US" w:bidi="ar-SA"/>
      </w:rPr>
    </w:lvl>
    <w:lvl w:ilvl="8" w:tplc="994472C2">
      <w:numFmt w:val="bullet"/>
      <w:lvlText w:val="•"/>
      <w:lvlJc w:val="left"/>
      <w:pPr>
        <w:ind w:left="8688" w:hanging="850"/>
      </w:pPr>
      <w:rPr>
        <w:rFonts w:hint="default"/>
        <w:lang w:val="en-US" w:eastAsia="en-US" w:bidi="ar-SA"/>
      </w:rPr>
    </w:lvl>
  </w:abstractNum>
  <w:abstractNum w:abstractNumId="29" w15:restartNumberingAfterBreak="0">
    <w:nsid w:val="324B15E5"/>
    <w:multiLevelType w:val="hybridMultilevel"/>
    <w:tmpl w:val="70C6D37A"/>
    <w:lvl w:ilvl="0" w:tplc="A3CA1A9E">
      <w:numFmt w:val="bullet"/>
      <w:lvlText w:val=""/>
      <w:lvlJc w:val="left"/>
      <w:pPr>
        <w:ind w:left="1840" w:hanging="850"/>
      </w:pPr>
      <w:rPr>
        <w:rFonts w:ascii="Symbol" w:eastAsia="Symbol" w:hAnsi="Symbol" w:cs="Symbol" w:hint="default"/>
        <w:b w:val="0"/>
        <w:bCs w:val="0"/>
        <w:i w:val="0"/>
        <w:iCs w:val="0"/>
        <w:w w:val="100"/>
        <w:sz w:val="24"/>
        <w:szCs w:val="24"/>
        <w:lang w:val="en-US" w:eastAsia="en-US" w:bidi="ar-SA"/>
      </w:rPr>
    </w:lvl>
    <w:lvl w:ilvl="1" w:tplc="62A0F292">
      <w:start w:val="1"/>
      <w:numFmt w:val="lowerLetter"/>
      <w:lvlText w:val="(%2)"/>
      <w:lvlJc w:val="left"/>
      <w:pPr>
        <w:ind w:left="3539" w:hanging="850"/>
      </w:pPr>
      <w:rPr>
        <w:rFonts w:ascii="Calibri" w:eastAsia="Calibri" w:hAnsi="Calibri" w:cs="Calibri" w:hint="default"/>
        <w:b w:val="0"/>
        <w:bCs w:val="0"/>
        <w:i w:val="0"/>
        <w:iCs w:val="0"/>
        <w:spacing w:val="-1"/>
        <w:w w:val="100"/>
        <w:sz w:val="24"/>
        <w:szCs w:val="24"/>
        <w:u w:val="single" w:color="000000"/>
        <w:lang w:val="en-US" w:eastAsia="en-US" w:bidi="ar-SA"/>
      </w:rPr>
    </w:lvl>
    <w:lvl w:ilvl="2" w:tplc="8056097A">
      <w:numFmt w:val="bullet"/>
      <w:lvlText w:val="•"/>
      <w:lvlJc w:val="left"/>
      <w:pPr>
        <w:ind w:left="4271" w:hanging="850"/>
      </w:pPr>
      <w:rPr>
        <w:rFonts w:hint="default"/>
        <w:lang w:val="en-US" w:eastAsia="en-US" w:bidi="ar-SA"/>
      </w:rPr>
    </w:lvl>
    <w:lvl w:ilvl="3" w:tplc="EC82B856">
      <w:numFmt w:val="bullet"/>
      <w:lvlText w:val="•"/>
      <w:lvlJc w:val="left"/>
      <w:pPr>
        <w:ind w:left="5003" w:hanging="850"/>
      </w:pPr>
      <w:rPr>
        <w:rFonts w:hint="default"/>
        <w:lang w:val="en-US" w:eastAsia="en-US" w:bidi="ar-SA"/>
      </w:rPr>
    </w:lvl>
    <w:lvl w:ilvl="4" w:tplc="413626FA">
      <w:numFmt w:val="bullet"/>
      <w:lvlText w:val="•"/>
      <w:lvlJc w:val="left"/>
      <w:pPr>
        <w:ind w:left="5734" w:hanging="850"/>
      </w:pPr>
      <w:rPr>
        <w:rFonts w:hint="default"/>
        <w:lang w:val="en-US" w:eastAsia="en-US" w:bidi="ar-SA"/>
      </w:rPr>
    </w:lvl>
    <w:lvl w:ilvl="5" w:tplc="86FAB070">
      <w:numFmt w:val="bullet"/>
      <w:lvlText w:val="•"/>
      <w:lvlJc w:val="left"/>
      <w:pPr>
        <w:ind w:left="6466" w:hanging="850"/>
      </w:pPr>
      <w:rPr>
        <w:rFonts w:hint="default"/>
        <w:lang w:val="en-US" w:eastAsia="en-US" w:bidi="ar-SA"/>
      </w:rPr>
    </w:lvl>
    <w:lvl w:ilvl="6" w:tplc="39D860F2">
      <w:numFmt w:val="bullet"/>
      <w:lvlText w:val="•"/>
      <w:lvlJc w:val="left"/>
      <w:pPr>
        <w:ind w:left="7197" w:hanging="850"/>
      </w:pPr>
      <w:rPr>
        <w:rFonts w:hint="default"/>
        <w:lang w:val="en-US" w:eastAsia="en-US" w:bidi="ar-SA"/>
      </w:rPr>
    </w:lvl>
    <w:lvl w:ilvl="7" w:tplc="8FB6C3C0">
      <w:numFmt w:val="bullet"/>
      <w:lvlText w:val="•"/>
      <w:lvlJc w:val="left"/>
      <w:pPr>
        <w:ind w:left="7929" w:hanging="850"/>
      </w:pPr>
      <w:rPr>
        <w:rFonts w:hint="default"/>
        <w:lang w:val="en-US" w:eastAsia="en-US" w:bidi="ar-SA"/>
      </w:rPr>
    </w:lvl>
    <w:lvl w:ilvl="8" w:tplc="1B62CE8A">
      <w:numFmt w:val="bullet"/>
      <w:lvlText w:val="•"/>
      <w:lvlJc w:val="left"/>
      <w:pPr>
        <w:ind w:left="8660" w:hanging="850"/>
      </w:pPr>
      <w:rPr>
        <w:rFonts w:hint="default"/>
        <w:lang w:val="en-US" w:eastAsia="en-US" w:bidi="ar-SA"/>
      </w:rPr>
    </w:lvl>
  </w:abstractNum>
  <w:abstractNum w:abstractNumId="30" w15:restartNumberingAfterBreak="0">
    <w:nsid w:val="35320BC1"/>
    <w:multiLevelType w:val="hybridMultilevel"/>
    <w:tmpl w:val="2E920834"/>
    <w:lvl w:ilvl="0" w:tplc="2BDE335C">
      <w:numFmt w:val="bullet"/>
      <w:lvlText w:val=""/>
      <w:lvlJc w:val="left"/>
      <w:pPr>
        <w:ind w:left="1835" w:hanging="850"/>
      </w:pPr>
      <w:rPr>
        <w:rFonts w:ascii="Symbol" w:eastAsia="Symbol" w:hAnsi="Symbol" w:cs="Symbol" w:hint="default"/>
        <w:b w:val="0"/>
        <w:bCs w:val="0"/>
        <w:i w:val="0"/>
        <w:iCs w:val="0"/>
        <w:w w:val="100"/>
        <w:sz w:val="24"/>
        <w:szCs w:val="24"/>
        <w:lang w:val="en-US" w:eastAsia="en-US" w:bidi="ar-SA"/>
      </w:rPr>
    </w:lvl>
    <w:lvl w:ilvl="1" w:tplc="CAEEC9AE">
      <w:numFmt w:val="bullet"/>
      <w:lvlText w:val="•"/>
      <w:lvlJc w:val="left"/>
      <w:pPr>
        <w:ind w:left="2668" w:hanging="850"/>
      </w:pPr>
      <w:rPr>
        <w:rFonts w:hint="default"/>
        <w:lang w:val="en-US" w:eastAsia="en-US" w:bidi="ar-SA"/>
      </w:rPr>
    </w:lvl>
    <w:lvl w:ilvl="2" w:tplc="92125280">
      <w:numFmt w:val="bullet"/>
      <w:lvlText w:val="•"/>
      <w:lvlJc w:val="left"/>
      <w:pPr>
        <w:ind w:left="3496" w:hanging="850"/>
      </w:pPr>
      <w:rPr>
        <w:rFonts w:hint="default"/>
        <w:lang w:val="en-US" w:eastAsia="en-US" w:bidi="ar-SA"/>
      </w:rPr>
    </w:lvl>
    <w:lvl w:ilvl="3" w:tplc="69FA36C6">
      <w:numFmt w:val="bullet"/>
      <w:lvlText w:val="•"/>
      <w:lvlJc w:val="left"/>
      <w:pPr>
        <w:ind w:left="4325" w:hanging="850"/>
      </w:pPr>
      <w:rPr>
        <w:rFonts w:hint="default"/>
        <w:lang w:val="en-US" w:eastAsia="en-US" w:bidi="ar-SA"/>
      </w:rPr>
    </w:lvl>
    <w:lvl w:ilvl="4" w:tplc="9F14350A">
      <w:numFmt w:val="bullet"/>
      <w:lvlText w:val="•"/>
      <w:lvlJc w:val="left"/>
      <w:pPr>
        <w:ind w:left="5153" w:hanging="850"/>
      </w:pPr>
      <w:rPr>
        <w:rFonts w:hint="default"/>
        <w:lang w:val="en-US" w:eastAsia="en-US" w:bidi="ar-SA"/>
      </w:rPr>
    </w:lvl>
    <w:lvl w:ilvl="5" w:tplc="1E723C40">
      <w:numFmt w:val="bullet"/>
      <w:lvlText w:val="•"/>
      <w:lvlJc w:val="left"/>
      <w:pPr>
        <w:ind w:left="5982" w:hanging="850"/>
      </w:pPr>
      <w:rPr>
        <w:rFonts w:hint="default"/>
        <w:lang w:val="en-US" w:eastAsia="en-US" w:bidi="ar-SA"/>
      </w:rPr>
    </w:lvl>
    <w:lvl w:ilvl="6" w:tplc="AD760278">
      <w:numFmt w:val="bullet"/>
      <w:lvlText w:val="•"/>
      <w:lvlJc w:val="left"/>
      <w:pPr>
        <w:ind w:left="6810" w:hanging="850"/>
      </w:pPr>
      <w:rPr>
        <w:rFonts w:hint="default"/>
        <w:lang w:val="en-US" w:eastAsia="en-US" w:bidi="ar-SA"/>
      </w:rPr>
    </w:lvl>
    <w:lvl w:ilvl="7" w:tplc="FDB6E624">
      <w:numFmt w:val="bullet"/>
      <w:lvlText w:val="•"/>
      <w:lvlJc w:val="left"/>
      <w:pPr>
        <w:ind w:left="7638" w:hanging="850"/>
      </w:pPr>
      <w:rPr>
        <w:rFonts w:hint="default"/>
        <w:lang w:val="en-US" w:eastAsia="en-US" w:bidi="ar-SA"/>
      </w:rPr>
    </w:lvl>
    <w:lvl w:ilvl="8" w:tplc="84A8A1FA">
      <w:numFmt w:val="bullet"/>
      <w:lvlText w:val="•"/>
      <w:lvlJc w:val="left"/>
      <w:pPr>
        <w:ind w:left="8467" w:hanging="850"/>
      </w:pPr>
      <w:rPr>
        <w:rFonts w:hint="default"/>
        <w:lang w:val="en-US" w:eastAsia="en-US" w:bidi="ar-SA"/>
      </w:rPr>
    </w:lvl>
  </w:abstractNum>
  <w:abstractNum w:abstractNumId="31" w15:restartNumberingAfterBreak="0">
    <w:nsid w:val="38624493"/>
    <w:multiLevelType w:val="multilevel"/>
    <w:tmpl w:val="06BCC414"/>
    <w:lvl w:ilvl="0">
      <w:start w:val="2"/>
      <w:numFmt w:val="upperLetter"/>
      <w:lvlText w:val="%1"/>
      <w:lvlJc w:val="left"/>
      <w:pPr>
        <w:ind w:left="985" w:hanging="850"/>
      </w:pPr>
      <w:rPr>
        <w:rFonts w:hint="default"/>
        <w:lang w:val="en-US" w:eastAsia="en-US" w:bidi="ar-SA"/>
      </w:rPr>
    </w:lvl>
    <w:lvl w:ilvl="1">
      <w:start w:val="1"/>
      <w:numFmt w:val="decimal"/>
      <w:lvlText w:val="%1.%2"/>
      <w:lvlJc w:val="left"/>
      <w:pPr>
        <w:ind w:left="985" w:hanging="850"/>
      </w:pPr>
      <w:rPr>
        <w:rFonts w:ascii="Calibri" w:eastAsia="Calibri" w:hAnsi="Calibri" w:cs="Calibri" w:hint="default"/>
        <w:b/>
        <w:bCs/>
        <w:i w:val="0"/>
        <w:iCs w:val="0"/>
        <w:spacing w:val="-2"/>
        <w:w w:val="100"/>
        <w:sz w:val="24"/>
        <w:szCs w:val="24"/>
        <w:lang w:val="en-US" w:eastAsia="en-US" w:bidi="ar-SA"/>
      </w:rPr>
    </w:lvl>
    <w:lvl w:ilvl="2">
      <w:start w:val="1"/>
      <w:numFmt w:val="lowerLetter"/>
      <w:lvlText w:val="(%3)"/>
      <w:lvlJc w:val="left"/>
      <w:pPr>
        <w:ind w:left="985" w:hanging="284"/>
      </w:pPr>
      <w:rPr>
        <w:rFonts w:ascii="Calibri" w:eastAsia="Calibri" w:hAnsi="Calibri" w:cs="Calibri" w:hint="default"/>
        <w:b w:val="0"/>
        <w:bCs w:val="0"/>
        <w:i w:val="0"/>
        <w:iCs w:val="0"/>
        <w:spacing w:val="-1"/>
        <w:w w:val="100"/>
        <w:sz w:val="22"/>
        <w:szCs w:val="22"/>
        <w:lang w:val="en-US" w:eastAsia="en-US" w:bidi="ar-SA"/>
      </w:rPr>
    </w:lvl>
    <w:lvl w:ilvl="3">
      <w:numFmt w:val="bullet"/>
      <w:lvlText w:val="•"/>
      <w:lvlJc w:val="left"/>
      <w:pPr>
        <w:ind w:left="3723" w:hanging="284"/>
      </w:pPr>
      <w:rPr>
        <w:rFonts w:hint="default"/>
        <w:lang w:val="en-US" w:eastAsia="en-US" w:bidi="ar-SA"/>
      </w:rPr>
    </w:lvl>
    <w:lvl w:ilvl="4">
      <w:numFmt w:val="bullet"/>
      <w:lvlText w:val="•"/>
      <w:lvlJc w:val="left"/>
      <w:pPr>
        <w:ind w:left="4637" w:hanging="284"/>
      </w:pPr>
      <w:rPr>
        <w:rFonts w:hint="default"/>
        <w:lang w:val="en-US" w:eastAsia="en-US" w:bidi="ar-SA"/>
      </w:rPr>
    </w:lvl>
    <w:lvl w:ilvl="5">
      <w:numFmt w:val="bullet"/>
      <w:lvlText w:val="•"/>
      <w:lvlJc w:val="left"/>
      <w:pPr>
        <w:ind w:left="5552" w:hanging="284"/>
      </w:pPr>
      <w:rPr>
        <w:rFonts w:hint="default"/>
        <w:lang w:val="en-US" w:eastAsia="en-US" w:bidi="ar-SA"/>
      </w:rPr>
    </w:lvl>
    <w:lvl w:ilvl="6">
      <w:numFmt w:val="bullet"/>
      <w:lvlText w:val="•"/>
      <w:lvlJc w:val="left"/>
      <w:pPr>
        <w:ind w:left="6466" w:hanging="284"/>
      </w:pPr>
      <w:rPr>
        <w:rFonts w:hint="default"/>
        <w:lang w:val="en-US" w:eastAsia="en-US" w:bidi="ar-SA"/>
      </w:rPr>
    </w:lvl>
    <w:lvl w:ilvl="7">
      <w:numFmt w:val="bullet"/>
      <w:lvlText w:val="•"/>
      <w:lvlJc w:val="left"/>
      <w:pPr>
        <w:ind w:left="7380" w:hanging="284"/>
      </w:pPr>
      <w:rPr>
        <w:rFonts w:hint="default"/>
        <w:lang w:val="en-US" w:eastAsia="en-US" w:bidi="ar-SA"/>
      </w:rPr>
    </w:lvl>
    <w:lvl w:ilvl="8">
      <w:numFmt w:val="bullet"/>
      <w:lvlText w:val="•"/>
      <w:lvlJc w:val="left"/>
      <w:pPr>
        <w:ind w:left="8295" w:hanging="284"/>
      </w:pPr>
      <w:rPr>
        <w:rFonts w:hint="default"/>
        <w:lang w:val="en-US" w:eastAsia="en-US" w:bidi="ar-SA"/>
      </w:rPr>
    </w:lvl>
  </w:abstractNum>
  <w:abstractNum w:abstractNumId="32" w15:restartNumberingAfterBreak="0">
    <w:nsid w:val="392467B1"/>
    <w:multiLevelType w:val="hybridMultilevel"/>
    <w:tmpl w:val="95CC40B2"/>
    <w:lvl w:ilvl="0" w:tplc="5CE6652E">
      <w:numFmt w:val="bullet"/>
      <w:lvlText w:val=""/>
      <w:lvlJc w:val="left"/>
      <w:pPr>
        <w:ind w:left="1840" w:hanging="850"/>
      </w:pPr>
      <w:rPr>
        <w:rFonts w:ascii="Symbol" w:eastAsia="Symbol" w:hAnsi="Symbol" w:cs="Symbol" w:hint="default"/>
        <w:b w:val="0"/>
        <w:bCs w:val="0"/>
        <w:i w:val="0"/>
        <w:iCs w:val="0"/>
        <w:w w:val="100"/>
        <w:sz w:val="24"/>
        <w:szCs w:val="24"/>
        <w:lang w:val="en-US" w:eastAsia="en-US" w:bidi="ar-SA"/>
      </w:rPr>
    </w:lvl>
    <w:lvl w:ilvl="1" w:tplc="2E386990">
      <w:numFmt w:val="bullet"/>
      <w:lvlText w:val="•"/>
      <w:lvlJc w:val="left"/>
      <w:pPr>
        <w:ind w:left="2668" w:hanging="850"/>
      </w:pPr>
      <w:rPr>
        <w:rFonts w:hint="default"/>
        <w:lang w:val="en-US" w:eastAsia="en-US" w:bidi="ar-SA"/>
      </w:rPr>
    </w:lvl>
    <w:lvl w:ilvl="2" w:tplc="221CD72C">
      <w:numFmt w:val="bullet"/>
      <w:lvlText w:val="•"/>
      <w:lvlJc w:val="left"/>
      <w:pPr>
        <w:ind w:left="3496" w:hanging="850"/>
      </w:pPr>
      <w:rPr>
        <w:rFonts w:hint="default"/>
        <w:lang w:val="en-US" w:eastAsia="en-US" w:bidi="ar-SA"/>
      </w:rPr>
    </w:lvl>
    <w:lvl w:ilvl="3" w:tplc="42008C2C">
      <w:numFmt w:val="bullet"/>
      <w:lvlText w:val="•"/>
      <w:lvlJc w:val="left"/>
      <w:pPr>
        <w:ind w:left="4325" w:hanging="850"/>
      </w:pPr>
      <w:rPr>
        <w:rFonts w:hint="default"/>
        <w:lang w:val="en-US" w:eastAsia="en-US" w:bidi="ar-SA"/>
      </w:rPr>
    </w:lvl>
    <w:lvl w:ilvl="4" w:tplc="E2CA1A64">
      <w:numFmt w:val="bullet"/>
      <w:lvlText w:val="•"/>
      <w:lvlJc w:val="left"/>
      <w:pPr>
        <w:ind w:left="5153" w:hanging="850"/>
      </w:pPr>
      <w:rPr>
        <w:rFonts w:hint="default"/>
        <w:lang w:val="en-US" w:eastAsia="en-US" w:bidi="ar-SA"/>
      </w:rPr>
    </w:lvl>
    <w:lvl w:ilvl="5" w:tplc="B59CD214">
      <w:numFmt w:val="bullet"/>
      <w:lvlText w:val="•"/>
      <w:lvlJc w:val="left"/>
      <w:pPr>
        <w:ind w:left="5982" w:hanging="850"/>
      </w:pPr>
      <w:rPr>
        <w:rFonts w:hint="default"/>
        <w:lang w:val="en-US" w:eastAsia="en-US" w:bidi="ar-SA"/>
      </w:rPr>
    </w:lvl>
    <w:lvl w:ilvl="6" w:tplc="C43CECC2">
      <w:numFmt w:val="bullet"/>
      <w:lvlText w:val="•"/>
      <w:lvlJc w:val="left"/>
      <w:pPr>
        <w:ind w:left="6810" w:hanging="850"/>
      </w:pPr>
      <w:rPr>
        <w:rFonts w:hint="default"/>
        <w:lang w:val="en-US" w:eastAsia="en-US" w:bidi="ar-SA"/>
      </w:rPr>
    </w:lvl>
    <w:lvl w:ilvl="7" w:tplc="62945204">
      <w:numFmt w:val="bullet"/>
      <w:lvlText w:val="•"/>
      <w:lvlJc w:val="left"/>
      <w:pPr>
        <w:ind w:left="7638" w:hanging="850"/>
      </w:pPr>
      <w:rPr>
        <w:rFonts w:hint="default"/>
        <w:lang w:val="en-US" w:eastAsia="en-US" w:bidi="ar-SA"/>
      </w:rPr>
    </w:lvl>
    <w:lvl w:ilvl="8" w:tplc="C352C840">
      <w:numFmt w:val="bullet"/>
      <w:lvlText w:val="•"/>
      <w:lvlJc w:val="left"/>
      <w:pPr>
        <w:ind w:left="8467" w:hanging="850"/>
      </w:pPr>
      <w:rPr>
        <w:rFonts w:hint="default"/>
        <w:lang w:val="en-US" w:eastAsia="en-US" w:bidi="ar-SA"/>
      </w:rPr>
    </w:lvl>
  </w:abstractNum>
  <w:abstractNum w:abstractNumId="33" w15:restartNumberingAfterBreak="0">
    <w:nsid w:val="39483C01"/>
    <w:multiLevelType w:val="hybridMultilevel"/>
    <w:tmpl w:val="50A40702"/>
    <w:lvl w:ilvl="0" w:tplc="129E962C">
      <w:numFmt w:val="bullet"/>
      <w:lvlText w:val=""/>
      <w:lvlJc w:val="left"/>
      <w:pPr>
        <w:ind w:left="1835" w:hanging="855"/>
      </w:pPr>
      <w:rPr>
        <w:rFonts w:ascii="Symbol" w:eastAsia="Symbol" w:hAnsi="Symbol" w:cs="Symbol" w:hint="default"/>
        <w:b w:val="0"/>
        <w:bCs w:val="0"/>
        <w:i w:val="0"/>
        <w:iCs w:val="0"/>
        <w:w w:val="100"/>
        <w:sz w:val="24"/>
        <w:szCs w:val="24"/>
        <w:lang w:val="en-US" w:eastAsia="en-US" w:bidi="ar-SA"/>
      </w:rPr>
    </w:lvl>
    <w:lvl w:ilvl="1" w:tplc="C20CE9FA">
      <w:numFmt w:val="bullet"/>
      <w:lvlText w:val="•"/>
      <w:lvlJc w:val="left"/>
      <w:pPr>
        <w:ind w:left="2668" w:hanging="855"/>
      </w:pPr>
      <w:rPr>
        <w:rFonts w:hint="default"/>
        <w:lang w:val="en-US" w:eastAsia="en-US" w:bidi="ar-SA"/>
      </w:rPr>
    </w:lvl>
    <w:lvl w:ilvl="2" w:tplc="9C68AC6C">
      <w:numFmt w:val="bullet"/>
      <w:lvlText w:val="•"/>
      <w:lvlJc w:val="left"/>
      <w:pPr>
        <w:ind w:left="3496" w:hanging="855"/>
      </w:pPr>
      <w:rPr>
        <w:rFonts w:hint="default"/>
        <w:lang w:val="en-US" w:eastAsia="en-US" w:bidi="ar-SA"/>
      </w:rPr>
    </w:lvl>
    <w:lvl w:ilvl="3" w:tplc="3AD4490A">
      <w:numFmt w:val="bullet"/>
      <w:lvlText w:val="•"/>
      <w:lvlJc w:val="left"/>
      <w:pPr>
        <w:ind w:left="4325" w:hanging="855"/>
      </w:pPr>
      <w:rPr>
        <w:rFonts w:hint="default"/>
        <w:lang w:val="en-US" w:eastAsia="en-US" w:bidi="ar-SA"/>
      </w:rPr>
    </w:lvl>
    <w:lvl w:ilvl="4" w:tplc="9026AF5E">
      <w:numFmt w:val="bullet"/>
      <w:lvlText w:val="•"/>
      <w:lvlJc w:val="left"/>
      <w:pPr>
        <w:ind w:left="5153" w:hanging="855"/>
      </w:pPr>
      <w:rPr>
        <w:rFonts w:hint="default"/>
        <w:lang w:val="en-US" w:eastAsia="en-US" w:bidi="ar-SA"/>
      </w:rPr>
    </w:lvl>
    <w:lvl w:ilvl="5" w:tplc="51D6F556">
      <w:numFmt w:val="bullet"/>
      <w:lvlText w:val="•"/>
      <w:lvlJc w:val="left"/>
      <w:pPr>
        <w:ind w:left="5982" w:hanging="855"/>
      </w:pPr>
      <w:rPr>
        <w:rFonts w:hint="default"/>
        <w:lang w:val="en-US" w:eastAsia="en-US" w:bidi="ar-SA"/>
      </w:rPr>
    </w:lvl>
    <w:lvl w:ilvl="6" w:tplc="96223E82">
      <w:numFmt w:val="bullet"/>
      <w:lvlText w:val="•"/>
      <w:lvlJc w:val="left"/>
      <w:pPr>
        <w:ind w:left="6810" w:hanging="855"/>
      </w:pPr>
      <w:rPr>
        <w:rFonts w:hint="default"/>
        <w:lang w:val="en-US" w:eastAsia="en-US" w:bidi="ar-SA"/>
      </w:rPr>
    </w:lvl>
    <w:lvl w:ilvl="7" w:tplc="86107308">
      <w:numFmt w:val="bullet"/>
      <w:lvlText w:val="•"/>
      <w:lvlJc w:val="left"/>
      <w:pPr>
        <w:ind w:left="7638" w:hanging="855"/>
      </w:pPr>
      <w:rPr>
        <w:rFonts w:hint="default"/>
        <w:lang w:val="en-US" w:eastAsia="en-US" w:bidi="ar-SA"/>
      </w:rPr>
    </w:lvl>
    <w:lvl w:ilvl="8" w:tplc="8E861FF0">
      <w:numFmt w:val="bullet"/>
      <w:lvlText w:val="•"/>
      <w:lvlJc w:val="left"/>
      <w:pPr>
        <w:ind w:left="8467" w:hanging="855"/>
      </w:pPr>
      <w:rPr>
        <w:rFonts w:hint="default"/>
        <w:lang w:val="en-US" w:eastAsia="en-US" w:bidi="ar-SA"/>
      </w:rPr>
    </w:lvl>
  </w:abstractNum>
  <w:abstractNum w:abstractNumId="34" w15:restartNumberingAfterBreak="0">
    <w:nsid w:val="3A260823"/>
    <w:multiLevelType w:val="hybridMultilevel"/>
    <w:tmpl w:val="9A52CA9E"/>
    <w:lvl w:ilvl="0" w:tplc="B0041C9A">
      <w:numFmt w:val="bullet"/>
      <w:lvlText w:val=""/>
      <w:lvlJc w:val="left"/>
      <w:pPr>
        <w:ind w:left="1840" w:hanging="1829"/>
      </w:pPr>
      <w:rPr>
        <w:rFonts w:ascii="Symbol" w:eastAsia="Symbol" w:hAnsi="Symbol" w:cs="Symbol" w:hint="default"/>
        <w:b w:val="0"/>
        <w:bCs w:val="0"/>
        <w:i w:val="0"/>
        <w:iCs w:val="0"/>
        <w:w w:val="100"/>
        <w:sz w:val="24"/>
        <w:szCs w:val="24"/>
        <w:lang w:val="en-US" w:eastAsia="en-US" w:bidi="ar-SA"/>
      </w:rPr>
    </w:lvl>
    <w:lvl w:ilvl="1" w:tplc="A03468BE">
      <w:numFmt w:val="bullet"/>
      <w:lvlText w:val="•"/>
      <w:lvlJc w:val="left"/>
      <w:pPr>
        <w:ind w:left="2668" w:hanging="1829"/>
      </w:pPr>
      <w:rPr>
        <w:rFonts w:hint="default"/>
        <w:lang w:val="en-US" w:eastAsia="en-US" w:bidi="ar-SA"/>
      </w:rPr>
    </w:lvl>
    <w:lvl w:ilvl="2" w:tplc="9FA27C38">
      <w:numFmt w:val="bullet"/>
      <w:lvlText w:val="•"/>
      <w:lvlJc w:val="left"/>
      <w:pPr>
        <w:ind w:left="3496" w:hanging="1829"/>
      </w:pPr>
      <w:rPr>
        <w:rFonts w:hint="default"/>
        <w:lang w:val="en-US" w:eastAsia="en-US" w:bidi="ar-SA"/>
      </w:rPr>
    </w:lvl>
    <w:lvl w:ilvl="3" w:tplc="DDC8E450">
      <w:numFmt w:val="bullet"/>
      <w:lvlText w:val="•"/>
      <w:lvlJc w:val="left"/>
      <w:pPr>
        <w:ind w:left="4325" w:hanging="1829"/>
      </w:pPr>
      <w:rPr>
        <w:rFonts w:hint="default"/>
        <w:lang w:val="en-US" w:eastAsia="en-US" w:bidi="ar-SA"/>
      </w:rPr>
    </w:lvl>
    <w:lvl w:ilvl="4" w:tplc="7618D618">
      <w:numFmt w:val="bullet"/>
      <w:lvlText w:val="•"/>
      <w:lvlJc w:val="left"/>
      <w:pPr>
        <w:ind w:left="5153" w:hanging="1829"/>
      </w:pPr>
      <w:rPr>
        <w:rFonts w:hint="default"/>
        <w:lang w:val="en-US" w:eastAsia="en-US" w:bidi="ar-SA"/>
      </w:rPr>
    </w:lvl>
    <w:lvl w:ilvl="5" w:tplc="EECA62B0">
      <w:numFmt w:val="bullet"/>
      <w:lvlText w:val="•"/>
      <w:lvlJc w:val="left"/>
      <w:pPr>
        <w:ind w:left="5982" w:hanging="1829"/>
      </w:pPr>
      <w:rPr>
        <w:rFonts w:hint="default"/>
        <w:lang w:val="en-US" w:eastAsia="en-US" w:bidi="ar-SA"/>
      </w:rPr>
    </w:lvl>
    <w:lvl w:ilvl="6" w:tplc="8CE817BC">
      <w:numFmt w:val="bullet"/>
      <w:lvlText w:val="•"/>
      <w:lvlJc w:val="left"/>
      <w:pPr>
        <w:ind w:left="6810" w:hanging="1829"/>
      </w:pPr>
      <w:rPr>
        <w:rFonts w:hint="default"/>
        <w:lang w:val="en-US" w:eastAsia="en-US" w:bidi="ar-SA"/>
      </w:rPr>
    </w:lvl>
    <w:lvl w:ilvl="7" w:tplc="F5E28986">
      <w:numFmt w:val="bullet"/>
      <w:lvlText w:val="•"/>
      <w:lvlJc w:val="left"/>
      <w:pPr>
        <w:ind w:left="7638" w:hanging="1829"/>
      </w:pPr>
      <w:rPr>
        <w:rFonts w:hint="default"/>
        <w:lang w:val="en-US" w:eastAsia="en-US" w:bidi="ar-SA"/>
      </w:rPr>
    </w:lvl>
    <w:lvl w:ilvl="8" w:tplc="7382BD60">
      <w:numFmt w:val="bullet"/>
      <w:lvlText w:val="•"/>
      <w:lvlJc w:val="left"/>
      <w:pPr>
        <w:ind w:left="8467" w:hanging="1829"/>
      </w:pPr>
      <w:rPr>
        <w:rFonts w:hint="default"/>
        <w:lang w:val="en-US" w:eastAsia="en-US" w:bidi="ar-SA"/>
      </w:rPr>
    </w:lvl>
  </w:abstractNum>
  <w:abstractNum w:abstractNumId="35" w15:restartNumberingAfterBreak="0">
    <w:nsid w:val="3DB04A51"/>
    <w:multiLevelType w:val="hybridMultilevel"/>
    <w:tmpl w:val="A7D89296"/>
    <w:lvl w:ilvl="0" w:tplc="1B68E844">
      <w:numFmt w:val="bullet"/>
      <w:lvlText w:val=""/>
      <w:lvlJc w:val="left"/>
      <w:pPr>
        <w:ind w:left="1840" w:hanging="850"/>
      </w:pPr>
      <w:rPr>
        <w:rFonts w:ascii="Symbol" w:eastAsia="Symbol" w:hAnsi="Symbol" w:cs="Symbol" w:hint="default"/>
        <w:b w:val="0"/>
        <w:bCs w:val="0"/>
        <w:i w:val="0"/>
        <w:iCs w:val="0"/>
        <w:w w:val="100"/>
        <w:sz w:val="24"/>
        <w:szCs w:val="24"/>
        <w:lang w:val="en-US" w:eastAsia="en-US" w:bidi="ar-SA"/>
      </w:rPr>
    </w:lvl>
    <w:lvl w:ilvl="1" w:tplc="F8AEE50E">
      <w:start w:val="1"/>
      <w:numFmt w:val="lowerLetter"/>
      <w:lvlText w:val="(%2)"/>
      <w:lvlJc w:val="left"/>
      <w:pPr>
        <w:ind w:left="3539" w:hanging="850"/>
      </w:pPr>
      <w:rPr>
        <w:rFonts w:ascii="Calibri" w:eastAsia="Calibri" w:hAnsi="Calibri" w:cs="Calibri" w:hint="default"/>
        <w:b w:val="0"/>
        <w:bCs w:val="0"/>
        <w:i w:val="0"/>
        <w:iCs w:val="0"/>
        <w:spacing w:val="-1"/>
        <w:w w:val="100"/>
        <w:sz w:val="24"/>
        <w:szCs w:val="24"/>
        <w:u w:val="single" w:color="000000"/>
        <w:lang w:val="en-US" w:eastAsia="en-US" w:bidi="ar-SA"/>
      </w:rPr>
    </w:lvl>
    <w:lvl w:ilvl="2" w:tplc="CDDCEC96">
      <w:numFmt w:val="bullet"/>
      <w:lvlText w:val="•"/>
      <w:lvlJc w:val="left"/>
      <w:pPr>
        <w:ind w:left="4271" w:hanging="850"/>
      </w:pPr>
      <w:rPr>
        <w:rFonts w:hint="default"/>
        <w:lang w:val="en-US" w:eastAsia="en-US" w:bidi="ar-SA"/>
      </w:rPr>
    </w:lvl>
    <w:lvl w:ilvl="3" w:tplc="C8DC5E30">
      <w:numFmt w:val="bullet"/>
      <w:lvlText w:val="•"/>
      <w:lvlJc w:val="left"/>
      <w:pPr>
        <w:ind w:left="5003" w:hanging="850"/>
      </w:pPr>
      <w:rPr>
        <w:rFonts w:hint="default"/>
        <w:lang w:val="en-US" w:eastAsia="en-US" w:bidi="ar-SA"/>
      </w:rPr>
    </w:lvl>
    <w:lvl w:ilvl="4" w:tplc="C0FC0CBE">
      <w:numFmt w:val="bullet"/>
      <w:lvlText w:val="•"/>
      <w:lvlJc w:val="left"/>
      <w:pPr>
        <w:ind w:left="5734" w:hanging="850"/>
      </w:pPr>
      <w:rPr>
        <w:rFonts w:hint="default"/>
        <w:lang w:val="en-US" w:eastAsia="en-US" w:bidi="ar-SA"/>
      </w:rPr>
    </w:lvl>
    <w:lvl w:ilvl="5" w:tplc="400434E6">
      <w:numFmt w:val="bullet"/>
      <w:lvlText w:val="•"/>
      <w:lvlJc w:val="left"/>
      <w:pPr>
        <w:ind w:left="6466" w:hanging="850"/>
      </w:pPr>
      <w:rPr>
        <w:rFonts w:hint="default"/>
        <w:lang w:val="en-US" w:eastAsia="en-US" w:bidi="ar-SA"/>
      </w:rPr>
    </w:lvl>
    <w:lvl w:ilvl="6" w:tplc="EA988D96">
      <w:numFmt w:val="bullet"/>
      <w:lvlText w:val="•"/>
      <w:lvlJc w:val="left"/>
      <w:pPr>
        <w:ind w:left="7197" w:hanging="850"/>
      </w:pPr>
      <w:rPr>
        <w:rFonts w:hint="default"/>
        <w:lang w:val="en-US" w:eastAsia="en-US" w:bidi="ar-SA"/>
      </w:rPr>
    </w:lvl>
    <w:lvl w:ilvl="7" w:tplc="277C4A3C">
      <w:numFmt w:val="bullet"/>
      <w:lvlText w:val="•"/>
      <w:lvlJc w:val="left"/>
      <w:pPr>
        <w:ind w:left="7929" w:hanging="850"/>
      </w:pPr>
      <w:rPr>
        <w:rFonts w:hint="default"/>
        <w:lang w:val="en-US" w:eastAsia="en-US" w:bidi="ar-SA"/>
      </w:rPr>
    </w:lvl>
    <w:lvl w:ilvl="8" w:tplc="6D12D908">
      <w:numFmt w:val="bullet"/>
      <w:lvlText w:val="•"/>
      <w:lvlJc w:val="left"/>
      <w:pPr>
        <w:ind w:left="8660" w:hanging="850"/>
      </w:pPr>
      <w:rPr>
        <w:rFonts w:hint="default"/>
        <w:lang w:val="en-US" w:eastAsia="en-US" w:bidi="ar-SA"/>
      </w:rPr>
    </w:lvl>
  </w:abstractNum>
  <w:abstractNum w:abstractNumId="36" w15:restartNumberingAfterBreak="0">
    <w:nsid w:val="3E5222D1"/>
    <w:multiLevelType w:val="hybridMultilevel"/>
    <w:tmpl w:val="A6C0B690"/>
    <w:lvl w:ilvl="0" w:tplc="2A40382A">
      <w:numFmt w:val="bullet"/>
      <w:lvlText w:val=""/>
      <w:lvlJc w:val="left"/>
      <w:pPr>
        <w:ind w:left="1840" w:hanging="850"/>
      </w:pPr>
      <w:rPr>
        <w:rFonts w:ascii="Symbol" w:eastAsia="Symbol" w:hAnsi="Symbol" w:cs="Symbol" w:hint="default"/>
        <w:b w:val="0"/>
        <w:bCs w:val="0"/>
        <w:i w:val="0"/>
        <w:iCs w:val="0"/>
        <w:w w:val="100"/>
        <w:sz w:val="24"/>
        <w:szCs w:val="24"/>
        <w:lang w:val="en-US" w:eastAsia="en-US" w:bidi="ar-SA"/>
      </w:rPr>
    </w:lvl>
    <w:lvl w:ilvl="1" w:tplc="FE582376">
      <w:numFmt w:val="bullet"/>
      <w:lvlText w:val="•"/>
      <w:lvlJc w:val="left"/>
      <w:pPr>
        <w:ind w:left="2668" w:hanging="850"/>
      </w:pPr>
      <w:rPr>
        <w:rFonts w:hint="default"/>
        <w:lang w:val="en-US" w:eastAsia="en-US" w:bidi="ar-SA"/>
      </w:rPr>
    </w:lvl>
    <w:lvl w:ilvl="2" w:tplc="C7546C34">
      <w:numFmt w:val="bullet"/>
      <w:lvlText w:val="•"/>
      <w:lvlJc w:val="left"/>
      <w:pPr>
        <w:ind w:left="3496" w:hanging="850"/>
      </w:pPr>
      <w:rPr>
        <w:rFonts w:hint="default"/>
        <w:lang w:val="en-US" w:eastAsia="en-US" w:bidi="ar-SA"/>
      </w:rPr>
    </w:lvl>
    <w:lvl w:ilvl="3" w:tplc="5E707BCA">
      <w:numFmt w:val="bullet"/>
      <w:lvlText w:val="•"/>
      <w:lvlJc w:val="left"/>
      <w:pPr>
        <w:ind w:left="4325" w:hanging="850"/>
      </w:pPr>
      <w:rPr>
        <w:rFonts w:hint="default"/>
        <w:lang w:val="en-US" w:eastAsia="en-US" w:bidi="ar-SA"/>
      </w:rPr>
    </w:lvl>
    <w:lvl w:ilvl="4" w:tplc="97669BA8">
      <w:numFmt w:val="bullet"/>
      <w:lvlText w:val="•"/>
      <w:lvlJc w:val="left"/>
      <w:pPr>
        <w:ind w:left="5153" w:hanging="850"/>
      </w:pPr>
      <w:rPr>
        <w:rFonts w:hint="default"/>
        <w:lang w:val="en-US" w:eastAsia="en-US" w:bidi="ar-SA"/>
      </w:rPr>
    </w:lvl>
    <w:lvl w:ilvl="5" w:tplc="282C6FFE">
      <w:numFmt w:val="bullet"/>
      <w:lvlText w:val="•"/>
      <w:lvlJc w:val="left"/>
      <w:pPr>
        <w:ind w:left="5982" w:hanging="850"/>
      </w:pPr>
      <w:rPr>
        <w:rFonts w:hint="default"/>
        <w:lang w:val="en-US" w:eastAsia="en-US" w:bidi="ar-SA"/>
      </w:rPr>
    </w:lvl>
    <w:lvl w:ilvl="6" w:tplc="F6B872B4">
      <w:numFmt w:val="bullet"/>
      <w:lvlText w:val="•"/>
      <w:lvlJc w:val="left"/>
      <w:pPr>
        <w:ind w:left="6810" w:hanging="850"/>
      </w:pPr>
      <w:rPr>
        <w:rFonts w:hint="default"/>
        <w:lang w:val="en-US" w:eastAsia="en-US" w:bidi="ar-SA"/>
      </w:rPr>
    </w:lvl>
    <w:lvl w:ilvl="7" w:tplc="D076C39E">
      <w:numFmt w:val="bullet"/>
      <w:lvlText w:val="•"/>
      <w:lvlJc w:val="left"/>
      <w:pPr>
        <w:ind w:left="7638" w:hanging="850"/>
      </w:pPr>
      <w:rPr>
        <w:rFonts w:hint="default"/>
        <w:lang w:val="en-US" w:eastAsia="en-US" w:bidi="ar-SA"/>
      </w:rPr>
    </w:lvl>
    <w:lvl w:ilvl="8" w:tplc="19AA11BE">
      <w:numFmt w:val="bullet"/>
      <w:lvlText w:val="•"/>
      <w:lvlJc w:val="left"/>
      <w:pPr>
        <w:ind w:left="8467" w:hanging="850"/>
      </w:pPr>
      <w:rPr>
        <w:rFonts w:hint="default"/>
        <w:lang w:val="en-US" w:eastAsia="en-US" w:bidi="ar-SA"/>
      </w:rPr>
    </w:lvl>
  </w:abstractNum>
  <w:abstractNum w:abstractNumId="37" w15:restartNumberingAfterBreak="0">
    <w:nsid w:val="3E7A05D0"/>
    <w:multiLevelType w:val="hybridMultilevel"/>
    <w:tmpl w:val="FA4A6ED8"/>
    <w:lvl w:ilvl="0" w:tplc="F3466E3E">
      <w:start w:val="272"/>
      <w:numFmt w:val="decimal"/>
      <w:lvlText w:val="%1."/>
      <w:lvlJc w:val="left"/>
      <w:pPr>
        <w:ind w:left="780" w:hanging="420"/>
      </w:pPr>
      <w:rPr>
        <w:rFonts w:hint="default"/>
        <w:sz w:val="24"/>
        <w:szCs w:val="24"/>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3F1D082D"/>
    <w:multiLevelType w:val="hybridMultilevel"/>
    <w:tmpl w:val="A692A252"/>
    <w:lvl w:ilvl="0" w:tplc="A8D441DA">
      <w:start w:val="1"/>
      <w:numFmt w:val="decimal"/>
      <w:lvlText w:val="%1."/>
      <w:lvlJc w:val="left"/>
      <w:pPr>
        <w:ind w:left="2689" w:hanging="850"/>
      </w:pPr>
      <w:rPr>
        <w:rFonts w:ascii="Calibri" w:eastAsia="Calibri" w:hAnsi="Calibri" w:cs="Calibri" w:hint="default"/>
        <w:b/>
        <w:bCs/>
        <w:i w:val="0"/>
        <w:iCs w:val="0"/>
        <w:spacing w:val="-2"/>
        <w:w w:val="100"/>
        <w:sz w:val="24"/>
        <w:szCs w:val="24"/>
        <w:lang w:val="en-US" w:eastAsia="en-US" w:bidi="ar-SA"/>
      </w:rPr>
    </w:lvl>
    <w:lvl w:ilvl="1" w:tplc="ADDAF7B6">
      <w:start w:val="1"/>
      <w:numFmt w:val="lowerLetter"/>
      <w:lvlText w:val="(%2)"/>
      <w:lvlJc w:val="left"/>
      <w:pPr>
        <w:ind w:left="3539" w:hanging="850"/>
      </w:pPr>
      <w:rPr>
        <w:rFonts w:ascii="Calibri" w:eastAsia="Calibri" w:hAnsi="Calibri" w:cs="Calibri" w:hint="default"/>
        <w:b w:val="0"/>
        <w:bCs w:val="0"/>
        <w:i w:val="0"/>
        <w:iCs w:val="0"/>
        <w:spacing w:val="-1"/>
        <w:w w:val="100"/>
        <w:sz w:val="24"/>
        <w:szCs w:val="24"/>
        <w:u w:val="single" w:color="000000"/>
        <w:lang w:val="en-US" w:eastAsia="en-US" w:bidi="ar-SA"/>
      </w:rPr>
    </w:lvl>
    <w:lvl w:ilvl="2" w:tplc="BB60EED2">
      <w:numFmt w:val="bullet"/>
      <w:lvlText w:val="•"/>
      <w:lvlJc w:val="left"/>
      <w:pPr>
        <w:ind w:left="4271" w:hanging="850"/>
      </w:pPr>
      <w:rPr>
        <w:rFonts w:hint="default"/>
        <w:lang w:val="en-US" w:eastAsia="en-US" w:bidi="ar-SA"/>
      </w:rPr>
    </w:lvl>
    <w:lvl w:ilvl="3" w:tplc="A9AE03A0">
      <w:numFmt w:val="bullet"/>
      <w:lvlText w:val="•"/>
      <w:lvlJc w:val="left"/>
      <w:pPr>
        <w:ind w:left="5003" w:hanging="850"/>
      </w:pPr>
      <w:rPr>
        <w:rFonts w:hint="default"/>
        <w:lang w:val="en-US" w:eastAsia="en-US" w:bidi="ar-SA"/>
      </w:rPr>
    </w:lvl>
    <w:lvl w:ilvl="4" w:tplc="7644796A">
      <w:numFmt w:val="bullet"/>
      <w:lvlText w:val="•"/>
      <w:lvlJc w:val="left"/>
      <w:pPr>
        <w:ind w:left="5734" w:hanging="850"/>
      </w:pPr>
      <w:rPr>
        <w:rFonts w:hint="default"/>
        <w:lang w:val="en-US" w:eastAsia="en-US" w:bidi="ar-SA"/>
      </w:rPr>
    </w:lvl>
    <w:lvl w:ilvl="5" w:tplc="4DC8807C">
      <w:numFmt w:val="bullet"/>
      <w:lvlText w:val="•"/>
      <w:lvlJc w:val="left"/>
      <w:pPr>
        <w:ind w:left="6466" w:hanging="850"/>
      </w:pPr>
      <w:rPr>
        <w:rFonts w:hint="default"/>
        <w:lang w:val="en-US" w:eastAsia="en-US" w:bidi="ar-SA"/>
      </w:rPr>
    </w:lvl>
    <w:lvl w:ilvl="6" w:tplc="AE36C744">
      <w:numFmt w:val="bullet"/>
      <w:lvlText w:val="•"/>
      <w:lvlJc w:val="left"/>
      <w:pPr>
        <w:ind w:left="7197" w:hanging="850"/>
      </w:pPr>
      <w:rPr>
        <w:rFonts w:hint="default"/>
        <w:lang w:val="en-US" w:eastAsia="en-US" w:bidi="ar-SA"/>
      </w:rPr>
    </w:lvl>
    <w:lvl w:ilvl="7" w:tplc="0F9A03CE">
      <w:numFmt w:val="bullet"/>
      <w:lvlText w:val="•"/>
      <w:lvlJc w:val="left"/>
      <w:pPr>
        <w:ind w:left="7929" w:hanging="850"/>
      </w:pPr>
      <w:rPr>
        <w:rFonts w:hint="default"/>
        <w:lang w:val="en-US" w:eastAsia="en-US" w:bidi="ar-SA"/>
      </w:rPr>
    </w:lvl>
    <w:lvl w:ilvl="8" w:tplc="3CEA6114">
      <w:numFmt w:val="bullet"/>
      <w:lvlText w:val="•"/>
      <w:lvlJc w:val="left"/>
      <w:pPr>
        <w:ind w:left="8660" w:hanging="850"/>
      </w:pPr>
      <w:rPr>
        <w:rFonts w:hint="default"/>
        <w:lang w:val="en-US" w:eastAsia="en-US" w:bidi="ar-SA"/>
      </w:rPr>
    </w:lvl>
  </w:abstractNum>
  <w:abstractNum w:abstractNumId="39" w15:restartNumberingAfterBreak="0">
    <w:nsid w:val="3F2822DF"/>
    <w:multiLevelType w:val="hybridMultilevel"/>
    <w:tmpl w:val="D772ED4E"/>
    <w:lvl w:ilvl="0" w:tplc="71542C68">
      <w:start w:val="1"/>
      <w:numFmt w:val="upperRoman"/>
      <w:lvlText w:val="%1."/>
      <w:lvlJc w:val="left"/>
      <w:pPr>
        <w:ind w:left="985" w:hanging="850"/>
      </w:pPr>
      <w:rPr>
        <w:rFonts w:ascii="Calibri" w:eastAsia="Calibri" w:hAnsi="Calibri" w:cs="Calibri" w:hint="default"/>
        <w:b/>
        <w:bCs/>
        <w:i w:val="0"/>
        <w:iCs w:val="0"/>
        <w:spacing w:val="-2"/>
        <w:w w:val="100"/>
        <w:sz w:val="24"/>
        <w:szCs w:val="24"/>
        <w:lang w:val="en-US" w:eastAsia="en-US" w:bidi="ar-SA"/>
      </w:rPr>
    </w:lvl>
    <w:lvl w:ilvl="1" w:tplc="FCE43D54">
      <w:start w:val="1"/>
      <w:numFmt w:val="upperLetter"/>
      <w:lvlText w:val="%2."/>
      <w:lvlJc w:val="left"/>
      <w:pPr>
        <w:ind w:left="1412" w:hanging="850"/>
      </w:pPr>
      <w:rPr>
        <w:rFonts w:ascii="Calibri" w:eastAsia="Calibri" w:hAnsi="Calibri" w:cs="Calibri" w:hint="default"/>
        <w:b/>
        <w:bCs/>
        <w:i w:val="0"/>
        <w:iCs w:val="0"/>
        <w:spacing w:val="-2"/>
        <w:w w:val="100"/>
        <w:sz w:val="24"/>
        <w:szCs w:val="24"/>
        <w:lang w:val="en-US" w:eastAsia="en-US" w:bidi="ar-SA"/>
      </w:rPr>
    </w:lvl>
    <w:lvl w:ilvl="2" w:tplc="1FE4B2D6">
      <w:start w:val="1"/>
      <w:numFmt w:val="decimal"/>
      <w:lvlText w:val="%3."/>
      <w:lvlJc w:val="left"/>
      <w:pPr>
        <w:ind w:left="1835" w:hanging="850"/>
      </w:pPr>
      <w:rPr>
        <w:rFonts w:ascii="Calibri" w:eastAsia="Calibri" w:hAnsi="Calibri" w:cs="Calibri" w:hint="default"/>
        <w:b/>
        <w:bCs/>
        <w:i w:val="0"/>
        <w:iCs w:val="0"/>
        <w:spacing w:val="-2"/>
        <w:w w:val="100"/>
        <w:sz w:val="24"/>
        <w:szCs w:val="24"/>
        <w:lang w:val="en-US" w:eastAsia="en-US" w:bidi="ar-SA"/>
      </w:rPr>
    </w:lvl>
    <w:lvl w:ilvl="3" w:tplc="4B5A53A0">
      <w:numFmt w:val="bullet"/>
      <w:lvlText w:val="•"/>
      <w:lvlJc w:val="left"/>
      <w:pPr>
        <w:ind w:left="2875" w:hanging="850"/>
      </w:pPr>
      <w:rPr>
        <w:rFonts w:hint="default"/>
        <w:lang w:val="en-US" w:eastAsia="en-US" w:bidi="ar-SA"/>
      </w:rPr>
    </w:lvl>
    <w:lvl w:ilvl="4" w:tplc="8BAE201C">
      <w:numFmt w:val="bullet"/>
      <w:lvlText w:val="•"/>
      <w:lvlJc w:val="left"/>
      <w:pPr>
        <w:ind w:left="3911" w:hanging="850"/>
      </w:pPr>
      <w:rPr>
        <w:rFonts w:hint="default"/>
        <w:lang w:val="en-US" w:eastAsia="en-US" w:bidi="ar-SA"/>
      </w:rPr>
    </w:lvl>
    <w:lvl w:ilvl="5" w:tplc="593A5D44">
      <w:numFmt w:val="bullet"/>
      <w:lvlText w:val="•"/>
      <w:lvlJc w:val="left"/>
      <w:pPr>
        <w:ind w:left="4946" w:hanging="850"/>
      </w:pPr>
      <w:rPr>
        <w:rFonts w:hint="default"/>
        <w:lang w:val="en-US" w:eastAsia="en-US" w:bidi="ar-SA"/>
      </w:rPr>
    </w:lvl>
    <w:lvl w:ilvl="6" w:tplc="5E3690B2">
      <w:numFmt w:val="bullet"/>
      <w:lvlText w:val="•"/>
      <w:lvlJc w:val="left"/>
      <w:pPr>
        <w:ind w:left="5982" w:hanging="850"/>
      </w:pPr>
      <w:rPr>
        <w:rFonts w:hint="default"/>
        <w:lang w:val="en-US" w:eastAsia="en-US" w:bidi="ar-SA"/>
      </w:rPr>
    </w:lvl>
    <w:lvl w:ilvl="7" w:tplc="700AD094">
      <w:numFmt w:val="bullet"/>
      <w:lvlText w:val="•"/>
      <w:lvlJc w:val="left"/>
      <w:pPr>
        <w:ind w:left="7017" w:hanging="850"/>
      </w:pPr>
      <w:rPr>
        <w:rFonts w:hint="default"/>
        <w:lang w:val="en-US" w:eastAsia="en-US" w:bidi="ar-SA"/>
      </w:rPr>
    </w:lvl>
    <w:lvl w:ilvl="8" w:tplc="52141E8E">
      <w:numFmt w:val="bullet"/>
      <w:lvlText w:val="•"/>
      <w:lvlJc w:val="left"/>
      <w:pPr>
        <w:ind w:left="8053" w:hanging="850"/>
      </w:pPr>
      <w:rPr>
        <w:rFonts w:hint="default"/>
        <w:lang w:val="en-US" w:eastAsia="en-US" w:bidi="ar-SA"/>
      </w:rPr>
    </w:lvl>
  </w:abstractNum>
  <w:abstractNum w:abstractNumId="40" w15:restartNumberingAfterBreak="0">
    <w:nsid w:val="417E43D8"/>
    <w:multiLevelType w:val="hybridMultilevel"/>
    <w:tmpl w:val="F398C894"/>
    <w:lvl w:ilvl="0" w:tplc="65A251F0">
      <w:start w:val="1"/>
      <w:numFmt w:val="decimal"/>
      <w:lvlText w:val="%1."/>
      <w:lvlJc w:val="left"/>
      <w:pPr>
        <w:ind w:left="2689" w:hanging="855"/>
        <w:jc w:val="right"/>
      </w:pPr>
      <w:rPr>
        <w:rFonts w:ascii="Calibri" w:eastAsia="Calibri" w:hAnsi="Calibri" w:cs="Calibri" w:hint="default"/>
        <w:b/>
        <w:bCs/>
        <w:i w:val="0"/>
        <w:iCs w:val="0"/>
        <w:spacing w:val="-2"/>
        <w:w w:val="100"/>
        <w:sz w:val="24"/>
        <w:szCs w:val="24"/>
        <w:lang w:val="en-US" w:eastAsia="en-US" w:bidi="ar-SA"/>
      </w:rPr>
    </w:lvl>
    <w:lvl w:ilvl="1" w:tplc="DCCE7862">
      <w:start w:val="1"/>
      <w:numFmt w:val="lowerLetter"/>
      <w:lvlText w:val="(%2)"/>
      <w:lvlJc w:val="left"/>
      <w:pPr>
        <w:ind w:left="3539" w:hanging="850"/>
      </w:pPr>
      <w:rPr>
        <w:rFonts w:ascii="Calibri" w:eastAsia="Calibri" w:hAnsi="Calibri" w:cs="Calibri" w:hint="default"/>
        <w:b w:val="0"/>
        <w:bCs w:val="0"/>
        <w:i w:val="0"/>
        <w:iCs w:val="0"/>
        <w:spacing w:val="-1"/>
        <w:w w:val="100"/>
        <w:sz w:val="24"/>
        <w:szCs w:val="24"/>
        <w:u w:val="single" w:color="000000"/>
        <w:lang w:val="en-US" w:eastAsia="en-US" w:bidi="ar-SA"/>
      </w:rPr>
    </w:lvl>
    <w:lvl w:ilvl="2" w:tplc="E18EC0EA">
      <w:numFmt w:val="bullet"/>
      <w:lvlText w:val="•"/>
      <w:lvlJc w:val="left"/>
      <w:pPr>
        <w:ind w:left="4271" w:hanging="850"/>
      </w:pPr>
      <w:rPr>
        <w:rFonts w:hint="default"/>
        <w:lang w:val="en-US" w:eastAsia="en-US" w:bidi="ar-SA"/>
      </w:rPr>
    </w:lvl>
    <w:lvl w:ilvl="3" w:tplc="8578D4CE">
      <w:numFmt w:val="bullet"/>
      <w:lvlText w:val="•"/>
      <w:lvlJc w:val="left"/>
      <w:pPr>
        <w:ind w:left="5003" w:hanging="850"/>
      </w:pPr>
      <w:rPr>
        <w:rFonts w:hint="default"/>
        <w:lang w:val="en-US" w:eastAsia="en-US" w:bidi="ar-SA"/>
      </w:rPr>
    </w:lvl>
    <w:lvl w:ilvl="4" w:tplc="66FE8F88">
      <w:numFmt w:val="bullet"/>
      <w:lvlText w:val="•"/>
      <w:lvlJc w:val="left"/>
      <w:pPr>
        <w:ind w:left="5734" w:hanging="850"/>
      </w:pPr>
      <w:rPr>
        <w:rFonts w:hint="default"/>
        <w:lang w:val="en-US" w:eastAsia="en-US" w:bidi="ar-SA"/>
      </w:rPr>
    </w:lvl>
    <w:lvl w:ilvl="5" w:tplc="DFE03094">
      <w:numFmt w:val="bullet"/>
      <w:lvlText w:val="•"/>
      <w:lvlJc w:val="left"/>
      <w:pPr>
        <w:ind w:left="6466" w:hanging="850"/>
      </w:pPr>
      <w:rPr>
        <w:rFonts w:hint="default"/>
        <w:lang w:val="en-US" w:eastAsia="en-US" w:bidi="ar-SA"/>
      </w:rPr>
    </w:lvl>
    <w:lvl w:ilvl="6" w:tplc="EFE01358">
      <w:numFmt w:val="bullet"/>
      <w:lvlText w:val="•"/>
      <w:lvlJc w:val="left"/>
      <w:pPr>
        <w:ind w:left="7197" w:hanging="850"/>
      </w:pPr>
      <w:rPr>
        <w:rFonts w:hint="default"/>
        <w:lang w:val="en-US" w:eastAsia="en-US" w:bidi="ar-SA"/>
      </w:rPr>
    </w:lvl>
    <w:lvl w:ilvl="7" w:tplc="82D21AB2">
      <w:numFmt w:val="bullet"/>
      <w:lvlText w:val="•"/>
      <w:lvlJc w:val="left"/>
      <w:pPr>
        <w:ind w:left="7929" w:hanging="850"/>
      </w:pPr>
      <w:rPr>
        <w:rFonts w:hint="default"/>
        <w:lang w:val="en-US" w:eastAsia="en-US" w:bidi="ar-SA"/>
      </w:rPr>
    </w:lvl>
    <w:lvl w:ilvl="8" w:tplc="855A73E0">
      <w:numFmt w:val="bullet"/>
      <w:lvlText w:val="•"/>
      <w:lvlJc w:val="left"/>
      <w:pPr>
        <w:ind w:left="8660" w:hanging="850"/>
      </w:pPr>
      <w:rPr>
        <w:rFonts w:hint="default"/>
        <w:lang w:val="en-US" w:eastAsia="en-US" w:bidi="ar-SA"/>
      </w:rPr>
    </w:lvl>
  </w:abstractNum>
  <w:abstractNum w:abstractNumId="41" w15:restartNumberingAfterBreak="0">
    <w:nsid w:val="44EB29B6"/>
    <w:multiLevelType w:val="hybridMultilevel"/>
    <w:tmpl w:val="E12609A6"/>
    <w:lvl w:ilvl="0" w:tplc="9A08CDAC">
      <w:numFmt w:val="bullet"/>
      <w:lvlText w:val=""/>
      <w:lvlJc w:val="left"/>
      <w:pPr>
        <w:ind w:left="1840" w:hanging="850"/>
      </w:pPr>
      <w:rPr>
        <w:rFonts w:ascii="Symbol" w:eastAsia="Symbol" w:hAnsi="Symbol" w:cs="Symbol" w:hint="default"/>
        <w:b w:val="0"/>
        <w:bCs w:val="0"/>
        <w:i w:val="0"/>
        <w:iCs w:val="0"/>
        <w:w w:val="100"/>
        <w:sz w:val="24"/>
        <w:szCs w:val="24"/>
        <w:lang w:val="en-US" w:eastAsia="en-US" w:bidi="ar-SA"/>
      </w:rPr>
    </w:lvl>
    <w:lvl w:ilvl="1" w:tplc="BED6CCF0">
      <w:numFmt w:val="bullet"/>
      <w:lvlText w:val="•"/>
      <w:lvlJc w:val="left"/>
      <w:pPr>
        <w:ind w:left="2668" w:hanging="850"/>
      </w:pPr>
      <w:rPr>
        <w:rFonts w:hint="default"/>
        <w:lang w:val="en-US" w:eastAsia="en-US" w:bidi="ar-SA"/>
      </w:rPr>
    </w:lvl>
    <w:lvl w:ilvl="2" w:tplc="9B800B90">
      <w:numFmt w:val="bullet"/>
      <w:lvlText w:val="•"/>
      <w:lvlJc w:val="left"/>
      <w:pPr>
        <w:ind w:left="3496" w:hanging="850"/>
      </w:pPr>
      <w:rPr>
        <w:rFonts w:hint="default"/>
        <w:lang w:val="en-US" w:eastAsia="en-US" w:bidi="ar-SA"/>
      </w:rPr>
    </w:lvl>
    <w:lvl w:ilvl="3" w:tplc="15024E7C">
      <w:numFmt w:val="bullet"/>
      <w:lvlText w:val="•"/>
      <w:lvlJc w:val="left"/>
      <w:pPr>
        <w:ind w:left="4325" w:hanging="850"/>
      </w:pPr>
      <w:rPr>
        <w:rFonts w:hint="default"/>
        <w:lang w:val="en-US" w:eastAsia="en-US" w:bidi="ar-SA"/>
      </w:rPr>
    </w:lvl>
    <w:lvl w:ilvl="4" w:tplc="54BE779C">
      <w:numFmt w:val="bullet"/>
      <w:lvlText w:val="•"/>
      <w:lvlJc w:val="left"/>
      <w:pPr>
        <w:ind w:left="5153" w:hanging="850"/>
      </w:pPr>
      <w:rPr>
        <w:rFonts w:hint="default"/>
        <w:lang w:val="en-US" w:eastAsia="en-US" w:bidi="ar-SA"/>
      </w:rPr>
    </w:lvl>
    <w:lvl w:ilvl="5" w:tplc="2618D796">
      <w:numFmt w:val="bullet"/>
      <w:lvlText w:val="•"/>
      <w:lvlJc w:val="left"/>
      <w:pPr>
        <w:ind w:left="5982" w:hanging="850"/>
      </w:pPr>
      <w:rPr>
        <w:rFonts w:hint="default"/>
        <w:lang w:val="en-US" w:eastAsia="en-US" w:bidi="ar-SA"/>
      </w:rPr>
    </w:lvl>
    <w:lvl w:ilvl="6" w:tplc="0E986366">
      <w:numFmt w:val="bullet"/>
      <w:lvlText w:val="•"/>
      <w:lvlJc w:val="left"/>
      <w:pPr>
        <w:ind w:left="6810" w:hanging="850"/>
      </w:pPr>
      <w:rPr>
        <w:rFonts w:hint="default"/>
        <w:lang w:val="en-US" w:eastAsia="en-US" w:bidi="ar-SA"/>
      </w:rPr>
    </w:lvl>
    <w:lvl w:ilvl="7" w:tplc="AA006AC2">
      <w:numFmt w:val="bullet"/>
      <w:lvlText w:val="•"/>
      <w:lvlJc w:val="left"/>
      <w:pPr>
        <w:ind w:left="7638" w:hanging="850"/>
      </w:pPr>
      <w:rPr>
        <w:rFonts w:hint="default"/>
        <w:lang w:val="en-US" w:eastAsia="en-US" w:bidi="ar-SA"/>
      </w:rPr>
    </w:lvl>
    <w:lvl w:ilvl="8" w:tplc="ED601B4A">
      <w:numFmt w:val="bullet"/>
      <w:lvlText w:val="•"/>
      <w:lvlJc w:val="left"/>
      <w:pPr>
        <w:ind w:left="8467" w:hanging="850"/>
      </w:pPr>
      <w:rPr>
        <w:rFonts w:hint="default"/>
        <w:lang w:val="en-US" w:eastAsia="en-US" w:bidi="ar-SA"/>
      </w:rPr>
    </w:lvl>
  </w:abstractNum>
  <w:abstractNum w:abstractNumId="42" w15:restartNumberingAfterBreak="0">
    <w:nsid w:val="46102402"/>
    <w:multiLevelType w:val="hybridMultilevel"/>
    <w:tmpl w:val="50EA8662"/>
    <w:lvl w:ilvl="0" w:tplc="FFFFFFFF">
      <w:start w:val="272"/>
      <w:numFmt w:val="decimal"/>
      <w:lvlText w:val="%1."/>
      <w:lvlJc w:val="left"/>
      <w:pPr>
        <w:ind w:left="780" w:hanging="42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46211660"/>
    <w:multiLevelType w:val="hybridMultilevel"/>
    <w:tmpl w:val="1D6E4E6A"/>
    <w:lvl w:ilvl="0" w:tplc="A94C386A">
      <w:numFmt w:val="bullet"/>
      <w:lvlText w:val=""/>
      <w:lvlJc w:val="left"/>
      <w:pPr>
        <w:ind w:left="1840" w:hanging="850"/>
      </w:pPr>
      <w:rPr>
        <w:rFonts w:ascii="Symbol" w:eastAsia="Symbol" w:hAnsi="Symbol" w:cs="Symbol" w:hint="default"/>
        <w:b w:val="0"/>
        <w:bCs w:val="0"/>
        <w:i w:val="0"/>
        <w:iCs w:val="0"/>
        <w:w w:val="100"/>
        <w:sz w:val="24"/>
        <w:szCs w:val="24"/>
        <w:lang w:val="en-US" w:eastAsia="en-US" w:bidi="ar-SA"/>
      </w:rPr>
    </w:lvl>
    <w:lvl w:ilvl="1" w:tplc="BE50926A">
      <w:numFmt w:val="bullet"/>
      <w:lvlText w:val="–"/>
      <w:lvlJc w:val="left"/>
      <w:pPr>
        <w:ind w:left="2689" w:hanging="855"/>
      </w:pPr>
      <w:rPr>
        <w:rFonts w:ascii="Calibri" w:eastAsia="Calibri" w:hAnsi="Calibri" w:cs="Calibri" w:hint="default"/>
        <w:b w:val="0"/>
        <w:bCs w:val="0"/>
        <w:i w:val="0"/>
        <w:iCs w:val="0"/>
        <w:w w:val="100"/>
        <w:sz w:val="24"/>
        <w:szCs w:val="24"/>
        <w:lang w:val="en-US" w:eastAsia="en-US" w:bidi="ar-SA"/>
      </w:rPr>
    </w:lvl>
    <w:lvl w:ilvl="2" w:tplc="6DD64C40">
      <w:numFmt w:val="bullet"/>
      <w:lvlText w:val="•"/>
      <w:lvlJc w:val="left"/>
      <w:pPr>
        <w:ind w:left="3507" w:hanging="855"/>
      </w:pPr>
      <w:rPr>
        <w:rFonts w:hint="default"/>
        <w:lang w:val="en-US" w:eastAsia="en-US" w:bidi="ar-SA"/>
      </w:rPr>
    </w:lvl>
    <w:lvl w:ilvl="3" w:tplc="8CDAFD02">
      <w:numFmt w:val="bullet"/>
      <w:lvlText w:val="•"/>
      <w:lvlJc w:val="left"/>
      <w:pPr>
        <w:ind w:left="4334" w:hanging="855"/>
      </w:pPr>
      <w:rPr>
        <w:rFonts w:hint="default"/>
        <w:lang w:val="en-US" w:eastAsia="en-US" w:bidi="ar-SA"/>
      </w:rPr>
    </w:lvl>
    <w:lvl w:ilvl="4" w:tplc="FC307016">
      <w:numFmt w:val="bullet"/>
      <w:lvlText w:val="•"/>
      <w:lvlJc w:val="left"/>
      <w:pPr>
        <w:ind w:left="5161" w:hanging="855"/>
      </w:pPr>
      <w:rPr>
        <w:rFonts w:hint="default"/>
        <w:lang w:val="en-US" w:eastAsia="en-US" w:bidi="ar-SA"/>
      </w:rPr>
    </w:lvl>
    <w:lvl w:ilvl="5" w:tplc="91921C36">
      <w:numFmt w:val="bullet"/>
      <w:lvlText w:val="•"/>
      <w:lvlJc w:val="left"/>
      <w:pPr>
        <w:ind w:left="5988" w:hanging="855"/>
      </w:pPr>
      <w:rPr>
        <w:rFonts w:hint="default"/>
        <w:lang w:val="en-US" w:eastAsia="en-US" w:bidi="ar-SA"/>
      </w:rPr>
    </w:lvl>
    <w:lvl w:ilvl="6" w:tplc="8C5AC274">
      <w:numFmt w:val="bullet"/>
      <w:lvlText w:val="•"/>
      <w:lvlJc w:val="left"/>
      <w:pPr>
        <w:ind w:left="6815" w:hanging="855"/>
      </w:pPr>
      <w:rPr>
        <w:rFonts w:hint="default"/>
        <w:lang w:val="en-US" w:eastAsia="en-US" w:bidi="ar-SA"/>
      </w:rPr>
    </w:lvl>
    <w:lvl w:ilvl="7" w:tplc="94CE13FC">
      <w:numFmt w:val="bullet"/>
      <w:lvlText w:val="•"/>
      <w:lvlJc w:val="left"/>
      <w:pPr>
        <w:ind w:left="7642" w:hanging="855"/>
      </w:pPr>
      <w:rPr>
        <w:rFonts w:hint="default"/>
        <w:lang w:val="en-US" w:eastAsia="en-US" w:bidi="ar-SA"/>
      </w:rPr>
    </w:lvl>
    <w:lvl w:ilvl="8" w:tplc="2996E42E">
      <w:numFmt w:val="bullet"/>
      <w:lvlText w:val="•"/>
      <w:lvlJc w:val="left"/>
      <w:pPr>
        <w:ind w:left="8469" w:hanging="855"/>
      </w:pPr>
      <w:rPr>
        <w:rFonts w:hint="default"/>
        <w:lang w:val="en-US" w:eastAsia="en-US" w:bidi="ar-SA"/>
      </w:rPr>
    </w:lvl>
  </w:abstractNum>
  <w:abstractNum w:abstractNumId="44" w15:restartNumberingAfterBreak="0">
    <w:nsid w:val="474D0A49"/>
    <w:multiLevelType w:val="hybridMultilevel"/>
    <w:tmpl w:val="6D22387E"/>
    <w:lvl w:ilvl="0" w:tplc="CBBED19A">
      <w:start w:val="1"/>
      <w:numFmt w:val="decimal"/>
      <w:lvlText w:val="%1."/>
      <w:lvlJc w:val="left"/>
      <w:pPr>
        <w:ind w:left="2689" w:hanging="850"/>
      </w:pPr>
      <w:rPr>
        <w:rFonts w:ascii="Calibri" w:eastAsia="Calibri" w:hAnsi="Calibri" w:cs="Calibri" w:hint="default"/>
        <w:b/>
        <w:bCs/>
        <w:i w:val="0"/>
        <w:iCs w:val="0"/>
        <w:spacing w:val="-2"/>
        <w:w w:val="100"/>
        <w:sz w:val="24"/>
        <w:szCs w:val="24"/>
        <w:lang w:val="en-US" w:eastAsia="en-US" w:bidi="ar-SA"/>
      </w:rPr>
    </w:lvl>
    <w:lvl w:ilvl="1" w:tplc="ABBCD8D0">
      <w:start w:val="1"/>
      <w:numFmt w:val="lowerLetter"/>
      <w:lvlText w:val="(%2)"/>
      <w:lvlJc w:val="left"/>
      <w:pPr>
        <w:ind w:left="3539" w:hanging="850"/>
      </w:pPr>
      <w:rPr>
        <w:rFonts w:ascii="Calibri" w:eastAsia="Calibri" w:hAnsi="Calibri" w:cs="Calibri" w:hint="default"/>
        <w:b w:val="0"/>
        <w:bCs w:val="0"/>
        <w:i w:val="0"/>
        <w:iCs w:val="0"/>
        <w:spacing w:val="-1"/>
        <w:w w:val="100"/>
        <w:sz w:val="24"/>
        <w:szCs w:val="24"/>
        <w:u w:val="single" w:color="000000"/>
        <w:lang w:val="en-US" w:eastAsia="en-US" w:bidi="ar-SA"/>
      </w:rPr>
    </w:lvl>
    <w:lvl w:ilvl="2" w:tplc="2AA0A28E">
      <w:start w:val="1"/>
      <w:numFmt w:val="lowerRoman"/>
      <w:lvlText w:val="%3."/>
      <w:lvlJc w:val="left"/>
      <w:pPr>
        <w:ind w:left="4388" w:hanging="850"/>
      </w:pPr>
      <w:rPr>
        <w:rFonts w:ascii="Calibri" w:eastAsia="Calibri" w:hAnsi="Calibri" w:cs="Calibri" w:hint="default"/>
        <w:b w:val="0"/>
        <w:bCs w:val="0"/>
        <w:i/>
        <w:iCs/>
        <w:spacing w:val="0"/>
        <w:w w:val="100"/>
        <w:sz w:val="24"/>
        <w:szCs w:val="24"/>
        <w:lang w:val="en-US" w:eastAsia="en-US" w:bidi="ar-SA"/>
      </w:rPr>
    </w:lvl>
    <w:lvl w:ilvl="3" w:tplc="8A74042E">
      <w:numFmt w:val="bullet"/>
      <w:lvlText w:val="•"/>
      <w:lvlJc w:val="left"/>
      <w:pPr>
        <w:ind w:left="5098" w:hanging="850"/>
      </w:pPr>
      <w:rPr>
        <w:rFonts w:hint="default"/>
        <w:lang w:val="en-US" w:eastAsia="en-US" w:bidi="ar-SA"/>
      </w:rPr>
    </w:lvl>
    <w:lvl w:ilvl="4" w:tplc="B98A6C3C">
      <w:numFmt w:val="bullet"/>
      <w:lvlText w:val="•"/>
      <w:lvlJc w:val="left"/>
      <w:pPr>
        <w:ind w:left="5816" w:hanging="850"/>
      </w:pPr>
      <w:rPr>
        <w:rFonts w:hint="default"/>
        <w:lang w:val="en-US" w:eastAsia="en-US" w:bidi="ar-SA"/>
      </w:rPr>
    </w:lvl>
    <w:lvl w:ilvl="5" w:tplc="C84A7A78">
      <w:numFmt w:val="bullet"/>
      <w:lvlText w:val="•"/>
      <w:lvlJc w:val="left"/>
      <w:pPr>
        <w:ind w:left="6534" w:hanging="850"/>
      </w:pPr>
      <w:rPr>
        <w:rFonts w:hint="default"/>
        <w:lang w:val="en-US" w:eastAsia="en-US" w:bidi="ar-SA"/>
      </w:rPr>
    </w:lvl>
    <w:lvl w:ilvl="6" w:tplc="CC7EA680">
      <w:numFmt w:val="bullet"/>
      <w:lvlText w:val="•"/>
      <w:lvlJc w:val="left"/>
      <w:pPr>
        <w:ind w:left="7252" w:hanging="850"/>
      </w:pPr>
      <w:rPr>
        <w:rFonts w:hint="default"/>
        <w:lang w:val="en-US" w:eastAsia="en-US" w:bidi="ar-SA"/>
      </w:rPr>
    </w:lvl>
    <w:lvl w:ilvl="7" w:tplc="0F6CF2EA">
      <w:numFmt w:val="bullet"/>
      <w:lvlText w:val="•"/>
      <w:lvlJc w:val="left"/>
      <w:pPr>
        <w:ind w:left="7970" w:hanging="850"/>
      </w:pPr>
      <w:rPr>
        <w:rFonts w:hint="default"/>
        <w:lang w:val="en-US" w:eastAsia="en-US" w:bidi="ar-SA"/>
      </w:rPr>
    </w:lvl>
    <w:lvl w:ilvl="8" w:tplc="8E48E740">
      <w:numFmt w:val="bullet"/>
      <w:lvlText w:val="•"/>
      <w:lvlJc w:val="left"/>
      <w:pPr>
        <w:ind w:left="8688" w:hanging="850"/>
      </w:pPr>
      <w:rPr>
        <w:rFonts w:hint="default"/>
        <w:lang w:val="en-US" w:eastAsia="en-US" w:bidi="ar-SA"/>
      </w:rPr>
    </w:lvl>
  </w:abstractNum>
  <w:abstractNum w:abstractNumId="45" w15:restartNumberingAfterBreak="0">
    <w:nsid w:val="4C760B38"/>
    <w:multiLevelType w:val="hybridMultilevel"/>
    <w:tmpl w:val="03BE0D40"/>
    <w:lvl w:ilvl="0" w:tplc="ACDCF96E">
      <w:numFmt w:val="bullet"/>
      <w:lvlText w:val=""/>
      <w:lvlJc w:val="left"/>
      <w:pPr>
        <w:ind w:left="1840" w:hanging="850"/>
      </w:pPr>
      <w:rPr>
        <w:rFonts w:ascii="Symbol" w:eastAsia="Symbol" w:hAnsi="Symbol" w:cs="Symbol" w:hint="default"/>
        <w:b w:val="0"/>
        <w:bCs w:val="0"/>
        <w:i w:val="0"/>
        <w:iCs w:val="0"/>
        <w:w w:val="100"/>
        <w:sz w:val="24"/>
        <w:szCs w:val="24"/>
        <w:lang w:val="en-US" w:eastAsia="en-US" w:bidi="ar-SA"/>
      </w:rPr>
    </w:lvl>
    <w:lvl w:ilvl="1" w:tplc="B5C84816">
      <w:numFmt w:val="bullet"/>
      <w:lvlText w:val="•"/>
      <w:lvlJc w:val="left"/>
      <w:pPr>
        <w:ind w:left="2668" w:hanging="850"/>
      </w:pPr>
      <w:rPr>
        <w:rFonts w:hint="default"/>
        <w:lang w:val="en-US" w:eastAsia="en-US" w:bidi="ar-SA"/>
      </w:rPr>
    </w:lvl>
    <w:lvl w:ilvl="2" w:tplc="EEA6E9CE">
      <w:numFmt w:val="bullet"/>
      <w:lvlText w:val="•"/>
      <w:lvlJc w:val="left"/>
      <w:pPr>
        <w:ind w:left="3496" w:hanging="850"/>
      </w:pPr>
      <w:rPr>
        <w:rFonts w:hint="default"/>
        <w:lang w:val="en-US" w:eastAsia="en-US" w:bidi="ar-SA"/>
      </w:rPr>
    </w:lvl>
    <w:lvl w:ilvl="3" w:tplc="4254DB66">
      <w:numFmt w:val="bullet"/>
      <w:lvlText w:val="•"/>
      <w:lvlJc w:val="left"/>
      <w:pPr>
        <w:ind w:left="4325" w:hanging="850"/>
      </w:pPr>
      <w:rPr>
        <w:rFonts w:hint="default"/>
        <w:lang w:val="en-US" w:eastAsia="en-US" w:bidi="ar-SA"/>
      </w:rPr>
    </w:lvl>
    <w:lvl w:ilvl="4" w:tplc="6BB22A2E">
      <w:numFmt w:val="bullet"/>
      <w:lvlText w:val="•"/>
      <w:lvlJc w:val="left"/>
      <w:pPr>
        <w:ind w:left="5153" w:hanging="850"/>
      </w:pPr>
      <w:rPr>
        <w:rFonts w:hint="default"/>
        <w:lang w:val="en-US" w:eastAsia="en-US" w:bidi="ar-SA"/>
      </w:rPr>
    </w:lvl>
    <w:lvl w:ilvl="5" w:tplc="86D2BB8C">
      <w:numFmt w:val="bullet"/>
      <w:lvlText w:val="•"/>
      <w:lvlJc w:val="left"/>
      <w:pPr>
        <w:ind w:left="5982" w:hanging="850"/>
      </w:pPr>
      <w:rPr>
        <w:rFonts w:hint="default"/>
        <w:lang w:val="en-US" w:eastAsia="en-US" w:bidi="ar-SA"/>
      </w:rPr>
    </w:lvl>
    <w:lvl w:ilvl="6" w:tplc="6692571E">
      <w:numFmt w:val="bullet"/>
      <w:lvlText w:val="•"/>
      <w:lvlJc w:val="left"/>
      <w:pPr>
        <w:ind w:left="6810" w:hanging="850"/>
      </w:pPr>
      <w:rPr>
        <w:rFonts w:hint="default"/>
        <w:lang w:val="en-US" w:eastAsia="en-US" w:bidi="ar-SA"/>
      </w:rPr>
    </w:lvl>
    <w:lvl w:ilvl="7" w:tplc="8EBE928E">
      <w:numFmt w:val="bullet"/>
      <w:lvlText w:val="•"/>
      <w:lvlJc w:val="left"/>
      <w:pPr>
        <w:ind w:left="7638" w:hanging="850"/>
      </w:pPr>
      <w:rPr>
        <w:rFonts w:hint="default"/>
        <w:lang w:val="en-US" w:eastAsia="en-US" w:bidi="ar-SA"/>
      </w:rPr>
    </w:lvl>
    <w:lvl w:ilvl="8" w:tplc="D6841BF2">
      <w:numFmt w:val="bullet"/>
      <w:lvlText w:val="•"/>
      <w:lvlJc w:val="left"/>
      <w:pPr>
        <w:ind w:left="8467" w:hanging="850"/>
      </w:pPr>
      <w:rPr>
        <w:rFonts w:hint="default"/>
        <w:lang w:val="en-US" w:eastAsia="en-US" w:bidi="ar-SA"/>
      </w:rPr>
    </w:lvl>
  </w:abstractNum>
  <w:abstractNum w:abstractNumId="46" w15:restartNumberingAfterBreak="0">
    <w:nsid w:val="4C866B82"/>
    <w:multiLevelType w:val="hybridMultilevel"/>
    <w:tmpl w:val="59AA2C7A"/>
    <w:lvl w:ilvl="0" w:tplc="D012D1EC">
      <w:numFmt w:val="bullet"/>
      <w:lvlText w:val=""/>
      <w:lvlJc w:val="left"/>
      <w:pPr>
        <w:ind w:left="1705" w:hanging="361"/>
      </w:pPr>
      <w:rPr>
        <w:rFonts w:ascii="Symbol" w:eastAsia="Symbol" w:hAnsi="Symbol" w:cs="Symbol" w:hint="default"/>
        <w:b w:val="0"/>
        <w:bCs w:val="0"/>
        <w:i w:val="0"/>
        <w:iCs w:val="0"/>
        <w:w w:val="100"/>
        <w:sz w:val="22"/>
        <w:szCs w:val="22"/>
        <w:lang w:val="en-US" w:eastAsia="en-US" w:bidi="ar-SA"/>
      </w:rPr>
    </w:lvl>
    <w:lvl w:ilvl="1" w:tplc="D87E138E">
      <w:numFmt w:val="bullet"/>
      <w:lvlText w:val="•"/>
      <w:lvlJc w:val="left"/>
      <w:pPr>
        <w:ind w:left="2542" w:hanging="361"/>
      </w:pPr>
      <w:rPr>
        <w:rFonts w:hint="default"/>
        <w:lang w:val="en-US" w:eastAsia="en-US" w:bidi="ar-SA"/>
      </w:rPr>
    </w:lvl>
    <w:lvl w:ilvl="2" w:tplc="802A421A">
      <w:numFmt w:val="bullet"/>
      <w:lvlText w:val="•"/>
      <w:lvlJc w:val="left"/>
      <w:pPr>
        <w:ind w:left="3384" w:hanging="361"/>
      </w:pPr>
      <w:rPr>
        <w:rFonts w:hint="default"/>
        <w:lang w:val="en-US" w:eastAsia="en-US" w:bidi="ar-SA"/>
      </w:rPr>
    </w:lvl>
    <w:lvl w:ilvl="3" w:tplc="554A52DC">
      <w:numFmt w:val="bullet"/>
      <w:lvlText w:val="•"/>
      <w:lvlJc w:val="left"/>
      <w:pPr>
        <w:ind w:left="4227" w:hanging="361"/>
      </w:pPr>
      <w:rPr>
        <w:rFonts w:hint="default"/>
        <w:lang w:val="en-US" w:eastAsia="en-US" w:bidi="ar-SA"/>
      </w:rPr>
    </w:lvl>
    <w:lvl w:ilvl="4" w:tplc="4F4A1910">
      <w:numFmt w:val="bullet"/>
      <w:lvlText w:val="•"/>
      <w:lvlJc w:val="left"/>
      <w:pPr>
        <w:ind w:left="5069" w:hanging="361"/>
      </w:pPr>
      <w:rPr>
        <w:rFonts w:hint="default"/>
        <w:lang w:val="en-US" w:eastAsia="en-US" w:bidi="ar-SA"/>
      </w:rPr>
    </w:lvl>
    <w:lvl w:ilvl="5" w:tplc="BECC196E">
      <w:numFmt w:val="bullet"/>
      <w:lvlText w:val="•"/>
      <w:lvlJc w:val="left"/>
      <w:pPr>
        <w:ind w:left="5912" w:hanging="361"/>
      </w:pPr>
      <w:rPr>
        <w:rFonts w:hint="default"/>
        <w:lang w:val="en-US" w:eastAsia="en-US" w:bidi="ar-SA"/>
      </w:rPr>
    </w:lvl>
    <w:lvl w:ilvl="6" w:tplc="19B0E448">
      <w:numFmt w:val="bullet"/>
      <w:lvlText w:val="•"/>
      <w:lvlJc w:val="left"/>
      <w:pPr>
        <w:ind w:left="6754" w:hanging="361"/>
      </w:pPr>
      <w:rPr>
        <w:rFonts w:hint="default"/>
        <w:lang w:val="en-US" w:eastAsia="en-US" w:bidi="ar-SA"/>
      </w:rPr>
    </w:lvl>
    <w:lvl w:ilvl="7" w:tplc="3036FB36">
      <w:numFmt w:val="bullet"/>
      <w:lvlText w:val="•"/>
      <w:lvlJc w:val="left"/>
      <w:pPr>
        <w:ind w:left="7596" w:hanging="361"/>
      </w:pPr>
      <w:rPr>
        <w:rFonts w:hint="default"/>
        <w:lang w:val="en-US" w:eastAsia="en-US" w:bidi="ar-SA"/>
      </w:rPr>
    </w:lvl>
    <w:lvl w:ilvl="8" w:tplc="CA940368">
      <w:numFmt w:val="bullet"/>
      <w:lvlText w:val="•"/>
      <w:lvlJc w:val="left"/>
      <w:pPr>
        <w:ind w:left="8439" w:hanging="361"/>
      </w:pPr>
      <w:rPr>
        <w:rFonts w:hint="default"/>
        <w:lang w:val="en-US" w:eastAsia="en-US" w:bidi="ar-SA"/>
      </w:rPr>
    </w:lvl>
  </w:abstractNum>
  <w:abstractNum w:abstractNumId="47" w15:restartNumberingAfterBreak="0">
    <w:nsid w:val="4CD95C09"/>
    <w:multiLevelType w:val="multilevel"/>
    <w:tmpl w:val="27C4D384"/>
    <w:lvl w:ilvl="0">
      <w:start w:val="1"/>
      <w:numFmt w:val="upperLetter"/>
      <w:lvlText w:val="%1"/>
      <w:lvlJc w:val="left"/>
      <w:pPr>
        <w:ind w:left="985" w:hanging="850"/>
      </w:pPr>
      <w:rPr>
        <w:rFonts w:hint="default"/>
        <w:lang w:val="en-US" w:eastAsia="en-US" w:bidi="ar-SA"/>
      </w:rPr>
    </w:lvl>
    <w:lvl w:ilvl="1">
      <w:start w:val="1"/>
      <w:numFmt w:val="decimal"/>
      <w:lvlText w:val="%1.%2"/>
      <w:lvlJc w:val="left"/>
      <w:pPr>
        <w:ind w:left="985" w:hanging="850"/>
      </w:pPr>
      <w:rPr>
        <w:rFonts w:ascii="Calibri" w:eastAsia="Calibri" w:hAnsi="Calibri" w:cs="Calibri" w:hint="default"/>
        <w:b/>
        <w:bCs/>
        <w:i w:val="0"/>
        <w:iCs w:val="0"/>
        <w:spacing w:val="-2"/>
        <w:w w:val="100"/>
        <w:sz w:val="24"/>
        <w:szCs w:val="24"/>
        <w:lang w:val="en-US" w:eastAsia="en-US" w:bidi="ar-SA"/>
      </w:rPr>
    </w:lvl>
    <w:lvl w:ilvl="2">
      <w:start w:val="1"/>
      <w:numFmt w:val="decimal"/>
      <w:lvlText w:val="%1.%2.%3"/>
      <w:lvlJc w:val="left"/>
      <w:pPr>
        <w:ind w:left="1835" w:hanging="850"/>
      </w:pPr>
      <w:rPr>
        <w:rFonts w:ascii="Calibri" w:eastAsia="Calibri" w:hAnsi="Calibri" w:cs="Calibri" w:hint="default"/>
        <w:b/>
        <w:bCs/>
        <w:i w:val="0"/>
        <w:iCs w:val="0"/>
        <w:spacing w:val="-2"/>
        <w:w w:val="100"/>
        <w:sz w:val="24"/>
        <w:szCs w:val="24"/>
        <w:lang w:val="en-US" w:eastAsia="en-US" w:bidi="ar-SA"/>
      </w:rPr>
    </w:lvl>
    <w:lvl w:ilvl="3">
      <w:numFmt w:val="bullet"/>
      <w:lvlText w:val="•"/>
      <w:lvlJc w:val="left"/>
      <w:pPr>
        <w:ind w:left="3680" w:hanging="850"/>
      </w:pPr>
      <w:rPr>
        <w:rFonts w:hint="default"/>
        <w:lang w:val="en-US" w:eastAsia="en-US" w:bidi="ar-SA"/>
      </w:rPr>
    </w:lvl>
    <w:lvl w:ilvl="4">
      <w:numFmt w:val="bullet"/>
      <w:lvlText w:val="•"/>
      <w:lvlJc w:val="left"/>
      <w:pPr>
        <w:ind w:left="4601" w:hanging="850"/>
      </w:pPr>
      <w:rPr>
        <w:rFonts w:hint="default"/>
        <w:lang w:val="en-US" w:eastAsia="en-US" w:bidi="ar-SA"/>
      </w:rPr>
    </w:lvl>
    <w:lvl w:ilvl="5">
      <w:numFmt w:val="bullet"/>
      <w:lvlText w:val="•"/>
      <w:lvlJc w:val="left"/>
      <w:pPr>
        <w:ind w:left="5521" w:hanging="850"/>
      </w:pPr>
      <w:rPr>
        <w:rFonts w:hint="default"/>
        <w:lang w:val="en-US" w:eastAsia="en-US" w:bidi="ar-SA"/>
      </w:rPr>
    </w:lvl>
    <w:lvl w:ilvl="6">
      <w:numFmt w:val="bullet"/>
      <w:lvlText w:val="•"/>
      <w:lvlJc w:val="left"/>
      <w:pPr>
        <w:ind w:left="6442" w:hanging="850"/>
      </w:pPr>
      <w:rPr>
        <w:rFonts w:hint="default"/>
        <w:lang w:val="en-US" w:eastAsia="en-US" w:bidi="ar-SA"/>
      </w:rPr>
    </w:lvl>
    <w:lvl w:ilvl="7">
      <w:numFmt w:val="bullet"/>
      <w:lvlText w:val="•"/>
      <w:lvlJc w:val="left"/>
      <w:pPr>
        <w:ind w:left="7362" w:hanging="850"/>
      </w:pPr>
      <w:rPr>
        <w:rFonts w:hint="default"/>
        <w:lang w:val="en-US" w:eastAsia="en-US" w:bidi="ar-SA"/>
      </w:rPr>
    </w:lvl>
    <w:lvl w:ilvl="8">
      <w:numFmt w:val="bullet"/>
      <w:lvlText w:val="•"/>
      <w:lvlJc w:val="left"/>
      <w:pPr>
        <w:ind w:left="8283" w:hanging="850"/>
      </w:pPr>
      <w:rPr>
        <w:rFonts w:hint="default"/>
        <w:lang w:val="en-US" w:eastAsia="en-US" w:bidi="ar-SA"/>
      </w:rPr>
    </w:lvl>
  </w:abstractNum>
  <w:abstractNum w:abstractNumId="48" w15:restartNumberingAfterBreak="0">
    <w:nsid w:val="4D2B3570"/>
    <w:multiLevelType w:val="hybridMultilevel"/>
    <w:tmpl w:val="8E4463F4"/>
    <w:lvl w:ilvl="0" w:tplc="1FD6B81A">
      <w:start w:val="1"/>
      <w:numFmt w:val="decimal"/>
      <w:lvlText w:val="%1."/>
      <w:lvlJc w:val="left"/>
      <w:pPr>
        <w:ind w:left="2689" w:hanging="850"/>
      </w:pPr>
      <w:rPr>
        <w:rFonts w:ascii="Calibri" w:eastAsia="Calibri" w:hAnsi="Calibri" w:cs="Calibri" w:hint="default"/>
        <w:b/>
        <w:bCs/>
        <w:i w:val="0"/>
        <w:iCs w:val="0"/>
        <w:spacing w:val="-2"/>
        <w:w w:val="100"/>
        <w:sz w:val="24"/>
        <w:szCs w:val="24"/>
        <w:lang w:val="en-US" w:eastAsia="en-US" w:bidi="ar-SA"/>
      </w:rPr>
    </w:lvl>
    <w:lvl w:ilvl="1" w:tplc="49A846DE">
      <w:start w:val="1"/>
      <w:numFmt w:val="lowerLetter"/>
      <w:lvlText w:val="(%2)"/>
      <w:lvlJc w:val="left"/>
      <w:pPr>
        <w:ind w:left="3539" w:hanging="850"/>
      </w:pPr>
      <w:rPr>
        <w:rFonts w:ascii="Calibri" w:eastAsia="Calibri" w:hAnsi="Calibri" w:cs="Calibri" w:hint="default"/>
        <w:b w:val="0"/>
        <w:bCs w:val="0"/>
        <w:i w:val="0"/>
        <w:iCs w:val="0"/>
        <w:spacing w:val="-1"/>
        <w:w w:val="100"/>
        <w:sz w:val="24"/>
        <w:szCs w:val="24"/>
        <w:u w:val="single" w:color="000000"/>
        <w:lang w:val="en-US" w:eastAsia="en-US" w:bidi="ar-SA"/>
      </w:rPr>
    </w:lvl>
    <w:lvl w:ilvl="2" w:tplc="0A3AAAF6">
      <w:numFmt w:val="bullet"/>
      <w:lvlText w:val="•"/>
      <w:lvlJc w:val="left"/>
      <w:pPr>
        <w:ind w:left="4271" w:hanging="850"/>
      </w:pPr>
      <w:rPr>
        <w:rFonts w:hint="default"/>
        <w:lang w:val="en-US" w:eastAsia="en-US" w:bidi="ar-SA"/>
      </w:rPr>
    </w:lvl>
    <w:lvl w:ilvl="3" w:tplc="4F469BB2">
      <w:numFmt w:val="bullet"/>
      <w:lvlText w:val="•"/>
      <w:lvlJc w:val="left"/>
      <w:pPr>
        <w:ind w:left="5003" w:hanging="850"/>
      </w:pPr>
      <w:rPr>
        <w:rFonts w:hint="default"/>
        <w:lang w:val="en-US" w:eastAsia="en-US" w:bidi="ar-SA"/>
      </w:rPr>
    </w:lvl>
    <w:lvl w:ilvl="4" w:tplc="6F0CBBF4">
      <w:numFmt w:val="bullet"/>
      <w:lvlText w:val="•"/>
      <w:lvlJc w:val="left"/>
      <w:pPr>
        <w:ind w:left="5734" w:hanging="850"/>
      </w:pPr>
      <w:rPr>
        <w:rFonts w:hint="default"/>
        <w:lang w:val="en-US" w:eastAsia="en-US" w:bidi="ar-SA"/>
      </w:rPr>
    </w:lvl>
    <w:lvl w:ilvl="5" w:tplc="3A12251A">
      <w:numFmt w:val="bullet"/>
      <w:lvlText w:val="•"/>
      <w:lvlJc w:val="left"/>
      <w:pPr>
        <w:ind w:left="6466" w:hanging="850"/>
      </w:pPr>
      <w:rPr>
        <w:rFonts w:hint="default"/>
        <w:lang w:val="en-US" w:eastAsia="en-US" w:bidi="ar-SA"/>
      </w:rPr>
    </w:lvl>
    <w:lvl w:ilvl="6" w:tplc="BC6A9E42">
      <w:numFmt w:val="bullet"/>
      <w:lvlText w:val="•"/>
      <w:lvlJc w:val="left"/>
      <w:pPr>
        <w:ind w:left="7197" w:hanging="850"/>
      </w:pPr>
      <w:rPr>
        <w:rFonts w:hint="default"/>
        <w:lang w:val="en-US" w:eastAsia="en-US" w:bidi="ar-SA"/>
      </w:rPr>
    </w:lvl>
    <w:lvl w:ilvl="7" w:tplc="BAF838AA">
      <w:numFmt w:val="bullet"/>
      <w:lvlText w:val="•"/>
      <w:lvlJc w:val="left"/>
      <w:pPr>
        <w:ind w:left="7929" w:hanging="850"/>
      </w:pPr>
      <w:rPr>
        <w:rFonts w:hint="default"/>
        <w:lang w:val="en-US" w:eastAsia="en-US" w:bidi="ar-SA"/>
      </w:rPr>
    </w:lvl>
    <w:lvl w:ilvl="8" w:tplc="490E2DD4">
      <w:numFmt w:val="bullet"/>
      <w:lvlText w:val="•"/>
      <w:lvlJc w:val="left"/>
      <w:pPr>
        <w:ind w:left="8660" w:hanging="850"/>
      </w:pPr>
      <w:rPr>
        <w:rFonts w:hint="default"/>
        <w:lang w:val="en-US" w:eastAsia="en-US" w:bidi="ar-SA"/>
      </w:rPr>
    </w:lvl>
  </w:abstractNum>
  <w:abstractNum w:abstractNumId="49" w15:restartNumberingAfterBreak="0">
    <w:nsid w:val="4ED2131C"/>
    <w:multiLevelType w:val="hybridMultilevel"/>
    <w:tmpl w:val="B5D40366"/>
    <w:lvl w:ilvl="0" w:tplc="AB4E5484">
      <w:numFmt w:val="bullet"/>
      <w:lvlText w:val=""/>
      <w:lvlJc w:val="left"/>
      <w:pPr>
        <w:ind w:left="1840" w:hanging="850"/>
      </w:pPr>
      <w:rPr>
        <w:rFonts w:ascii="Symbol" w:eastAsia="Symbol" w:hAnsi="Symbol" w:cs="Symbol" w:hint="default"/>
        <w:b w:val="0"/>
        <w:bCs w:val="0"/>
        <w:i w:val="0"/>
        <w:iCs w:val="0"/>
        <w:w w:val="100"/>
        <w:sz w:val="24"/>
        <w:szCs w:val="24"/>
        <w:lang w:val="en-US" w:eastAsia="en-US" w:bidi="ar-SA"/>
      </w:rPr>
    </w:lvl>
    <w:lvl w:ilvl="1" w:tplc="AD5E64D4">
      <w:numFmt w:val="bullet"/>
      <w:lvlText w:val="•"/>
      <w:lvlJc w:val="left"/>
      <w:pPr>
        <w:ind w:left="2668" w:hanging="850"/>
      </w:pPr>
      <w:rPr>
        <w:rFonts w:hint="default"/>
        <w:lang w:val="en-US" w:eastAsia="en-US" w:bidi="ar-SA"/>
      </w:rPr>
    </w:lvl>
    <w:lvl w:ilvl="2" w:tplc="802EDCBA">
      <w:numFmt w:val="bullet"/>
      <w:lvlText w:val="•"/>
      <w:lvlJc w:val="left"/>
      <w:pPr>
        <w:ind w:left="3496" w:hanging="850"/>
      </w:pPr>
      <w:rPr>
        <w:rFonts w:hint="default"/>
        <w:lang w:val="en-US" w:eastAsia="en-US" w:bidi="ar-SA"/>
      </w:rPr>
    </w:lvl>
    <w:lvl w:ilvl="3" w:tplc="4EBAB13E">
      <w:numFmt w:val="bullet"/>
      <w:lvlText w:val="•"/>
      <w:lvlJc w:val="left"/>
      <w:pPr>
        <w:ind w:left="4325" w:hanging="850"/>
      </w:pPr>
      <w:rPr>
        <w:rFonts w:hint="default"/>
        <w:lang w:val="en-US" w:eastAsia="en-US" w:bidi="ar-SA"/>
      </w:rPr>
    </w:lvl>
    <w:lvl w:ilvl="4" w:tplc="3B6646C6">
      <w:numFmt w:val="bullet"/>
      <w:lvlText w:val="•"/>
      <w:lvlJc w:val="left"/>
      <w:pPr>
        <w:ind w:left="5153" w:hanging="850"/>
      </w:pPr>
      <w:rPr>
        <w:rFonts w:hint="default"/>
        <w:lang w:val="en-US" w:eastAsia="en-US" w:bidi="ar-SA"/>
      </w:rPr>
    </w:lvl>
    <w:lvl w:ilvl="5" w:tplc="65D4F1BC">
      <w:numFmt w:val="bullet"/>
      <w:lvlText w:val="•"/>
      <w:lvlJc w:val="left"/>
      <w:pPr>
        <w:ind w:left="5982" w:hanging="850"/>
      </w:pPr>
      <w:rPr>
        <w:rFonts w:hint="default"/>
        <w:lang w:val="en-US" w:eastAsia="en-US" w:bidi="ar-SA"/>
      </w:rPr>
    </w:lvl>
    <w:lvl w:ilvl="6" w:tplc="80C0EED4">
      <w:numFmt w:val="bullet"/>
      <w:lvlText w:val="•"/>
      <w:lvlJc w:val="left"/>
      <w:pPr>
        <w:ind w:left="6810" w:hanging="850"/>
      </w:pPr>
      <w:rPr>
        <w:rFonts w:hint="default"/>
        <w:lang w:val="en-US" w:eastAsia="en-US" w:bidi="ar-SA"/>
      </w:rPr>
    </w:lvl>
    <w:lvl w:ilvl="7" w:tplc="BE86BC0E">
      <w:numFmt w:val="bullet"/>
      <w:lvlText w:val="•"/>
      <w:lvlJc w:val="left"/>
      <w:pPr>
        <w:ind w:left="7638" w:hanging="850"/>
      </w:pPr>
      <w:rPr>
        <w:rFonts w:hint="default"/>
        <w:lang w:val="en-US" w:eastAsia="en-US" w:bidi="ar-SA"/>
      </w:rPr>
    </w:lvl>
    <w:lvl w:ilvl="8" w:tplc="1AD001B4">
      <w:numFmt w:val="bullet"/>
      <w:lvlText w:val="•"/>
      <w:lvlJc w:val="left"/>
      <w:pPr>
        <w:ind w:left="8467" w:hanging="850"/>
      </w:pPr>
      <w:rPr>
        <w:rFonts w:hint="default"/>
        <w:lang w:val="en-US" w:eastAsia="en-US" w:bidi="ar-SA"/>
      </w:rPr>
    </w:lvl>
  </w:abstractNum>
  <w:abstractNum w:abstractNumId="50" w15:restartNumberingAfterBreak="0">
    <w:nsid w:val="51E87F19"/>
    <w:multiLevelType w:val="hybridMultilevel"/>
    <w:tmpl w:val="746A85DC"/>
    <w:lvl w:ilvl="0" w:tplc="E11A367A">
      <w:numFmt w:val="bullet"/>
      <w:lvlText w:val=""/>
      <w:lvlJc w:val="left"/>
      <w:pPr>
        <w:ind w:left="1840" w:hanging="850"/>
      </w:pPr>
      <w:rPr>
        <w:rFonts w:ascii="Symbol" w:eastAsia="Symbol" w:hAnsi="Symbol" w:cs="Symbol" w:hint="default"/>
        <w:b w:val="0"/>
        <w:bCs w:val="0"/>
        <w:i w:val="0"/>
        <w:iCs w:val="0"/>
        <w:w w:val="100"/>
        <w:sz w:val="24"/>
        <w:szCs w:val="24"/>
        <w:lang w:val="en-US" w:eastAsia="en-US" w:bidi="ar-SA"/>
      </w:rPr>
    </w:lvl>
    <w:lvl w:ilvl="1" w:tplc="54641370">
      <w:numFmt w:val="bullet"/>
      <w:lvlText w:val="•"/>
      <w:lvlJc w:val="left"/>
      <w:pPr>
        <w:ind w:left="2668" w:hanging="850"/>
      </w:pPr>
      <w:rPr>
        <w:rFonts w:hint="default"/>
        <w:lang w:val="en-US" w:eastAsia="en-US" w:bidi="ar-SA"/>
      </w:rPr>
    </w:lvl>
    <w:lvl w:ilvl="2" w:tplc="0B64517A">
      <w:numFmt w:val="bullet"/>
      <w:lvlText w:val="•"/>
      <w:lvlJc w:val="left"/>
      <w:pPr>
        <w:ind w:left="3496" w:hanging="850"/>
      </w:pPr>
      <w:rPr>
        <w:rFonts w:hint="default"/>
        <w:lang w:val="en-US" w:eastAsia="en-US" w:bidi="ar-SA"/>
      </w:rPr>
    </w:lvl>
    <w:lvl w:ilvl="3" w:tplc="0C2407FC">
      <w:numFmt w:val="bullet"/>
      <w:lvlText w:val="•"/>
      <w:lvlJc w:val="left"/>
      <w:pPr>
        <w:ind w:left="4325" w:hanging="850"/>
      </w:pPr>
      <w:rPr>
        <w:rFonts w:hint="default"/>
        <w:lang w:val="en-US" w:eastAsia="en-US" w:bidi="ar-SA"/>
      </w:rPr>
    </w:lvl>
    <w:lvl w:ilvl="4" w:tplc="991649E4">
      <w:numFmt w:val="bullet"/>
      <w:lvlText w:val="•"/>
      <w:lvlJc w:val="left"/>
      <w:pPr>
        <w:ind w:left="5153" w:hanging="850"/>
      </w:pPr>
      <w:rPr>
        <w:rFonts w:hint="default"/>
        <w:lang w:val="en-US" w:eastAsia="en-US" w:bidi="ar-SA"/>
      </w:rPr>
    </w:lvl>
    <w:lvl w:ilvl="5" w:tplc="0D8CF762">
      <w:numFmt w:val="bullet"/>
      <w:lvlText w:val="•"/>
      <w:lvlJc w:val="left"/>
      <w:pPr>
        <w:ind w:left="5982" w:hanging="850"/>
      </w:pPr>
      <w:rPr>
        <w:rFonts w:hint="default"/>
        <w:lang w:val="en-US" w:eastAsia="en-US" w:bidi="ar-SA"/>
      </w:rPr>
    </w:lvl>
    <w:lvl w:ilvl="6" w:tplc="29EA707A">
      <w:numFmt w:val="bullet"/>
      <w:lvlText w:val="•"/>
      <w:lvlJc w:val="left"/>
      <w:pPr>
        <w:ind w:left="6810" w:hanging="850"/>
      </w:pPr>
      <w:rPr>
        <w:rFonts w:hint="default"/>
        <w:lang w:val="en-US" w:eastAsia="en-US" w:bidi="ar-SA"/>
      </w:rPr>
    </w:lvl>
    <w:lvl w:ilvl="7" w:tplc="8822E90E">
      <w:numFmt w:val="bullet"/>
      <w:lvlText w:val="•"/>
      <w:lvlJc w:val="left"/>
      <w:pPr>
        <w:ind w:left="7638" w:hanging="850"/>
      </w:pPr>
      <w:rPr>
        <w:rFonts w:hint="default"/>
        <w:lang w:val="en-US" w:eastAsia="en-US" w:bidi="ar-SA"/>
      </w:rPr>
    </w:lvl>
    <w:lvl w:ilvl="8" w:tplc="7A12A09E">
      <w:numFmt w:val="bullet"/>
      <w:lvlText w:val="•"/>
      <w:lvlJc w:val="left"/>
      <w:pPr>
        <w:ind w:left="8467" w:hanging="850"/>
      </w:pPr>
      <w:rPr>
        <w:rFonts w:hint="default"/>
        <w:lang w:val="en-US" w:eastAsia="en-US" w:bidi="ar-SA"/>
      </w:rPr>
    </w:lvl>
  </w:abstractNum>
  <w:abstractNum w:abstractNumId="51" w15:restartNumberingAfterBreak="0">
    <w:nsid w:val="52026D41"/>
    <w:multiLevelType w:val="hybridMultilevel"/>
    <w:tmpl w:val="39F0F822"/>
    <w:lvl w:ilvl="0" w:tplc="D892FB84">
      <w:numFmt w:val="bullet"/>
      <w:lvlText w:val=""/>
      <w:lvlJc w:val="left"/>
      <w:pPr>
        <w:ind w:left="1840" w:hanging="850"/>
      </w:pPr>
      <w:rPr>
        <w:rFonts w:ascii="Symbol" w:eastAsia="Symbol" w:hAnsi="Symbol" w:cs="Symbol" w:hint="default"/>
        <w:b w:val="0"/>
        <w:bCs w:val="0"/>
        <w:i w:val="0"/>
        <w:iCs w:val="0"/>
        <w:w w:val="100"/>
        <w:sz w:val="24"/>
        <w:szCs w:val="24"/>
        <w:lang w:val="en-US" w:eastAsia="en-US" w:bidi="ar-SA"/>
      </w:rPr>
    </w:lvl>
    <w:lvl w:ilvl="1" w:tplc="9B3CD964">
      <w:numFmt w:val="bullet"/>
      <w:lvlText w:val="•"/>
      <w:lvlJc w:val="left"/>
      <w:pPr>
        <w:ind w:left="2668" w:hanging="850"/>
      </w:pPr>
      <w:rPr>
        <w:rFonts w:hint="default"/>
        <w:lang w:val="en-US" w:eastAsia="en-US" w:bidi="ar-SA"/>
      </w:rPr>
    </w:lvl>
    <w:lvl w:ilvl="2" w:tplc="7716EBA6">
      <w:numFmt w:val="bullet"/>
      <w:lvlText w:val="•"/>
      <w:lvlJc w:val="left"/>
      <w:pPr>
        <w:ind w:left="3496" w:hanging="850"/>
      </w:pPr>
      <w:rPr>
        <w:rFonts w:hint="default"/>
        <w:lang w:val="en-US" w:eastAsia="en-US" w:bidi="ar-SA"/>
      </w:rPr>
    </w:lvl>
    <w:lvl w:ilvl="3" w:tplc="D6868CE2">
      <w:numFmt w:val="bullet"/>
      <w:lvlText w:val="•"/>
      <w:lvlJc w:val="left"/>
      <w:pPr>
        <w:ind w:left="4325" w:hanging="850"/>
      </w:pPr>
      <w:rPr>
        <w:rFonts w:hint="default"/>
        <w:lang w:val="en-US" w:eastAsia="en-US" w:bidi="ar-SA"/>
      </w:rPr>
    </w:lvl>
    <w:lvl w:ilvl="4" w:tplc="36B2DAB6">
      <w:numFmt w:val="bullet"/>
      <w:lvlText w:val="•"/>
      <w:lvlJc w:val="left"/>
      <w:pPr>
        <w:ind w:left="5153" w:hanging="850"/>
      </w:pPr>
      <w:rPr>
        <w:rFonts w:hint="default"/>
        <w:lang w:val="en-US" w:eastAsia="en-US" w:bidi="ar-SA"/>
      </w:rPr>
    </w:lvl>
    <w:lvl w:ilvl="5" w:tplc="1C347078">
      <w:numFmt w:val="bullet"/>
      <w:lvlText w:val="•"/>
      <w:lvlJc w:val="left"/>
      <w:pPr>
        <w:ind w:left="5982" w:hanging="850"/>
      </w:pPr>
      <w:rPr>
        <w:rFonts w:hint="default"/>
        <w:lang w:val="en-US" w:eastAsia="en-US" w:bidi="ar-SA"/>
      </w:rPr>
    </w:lvl>
    <w:lvl w:ilvl="6" w:tplc="1DC69846">
      <w:numFmt w:val="bullet"/>
      <w:lvlText w:val="•"/>
      <w:lvlJc w:val="left"/>
      <w:pPr>
        <w:ind w:left="6810" w:hanging="850"/>
      </w:pPr>
      <w:rPr>
        <w:rFonts w:hint="default"/>
        <w:lang w:val="en-US" w:eastAsia="en-US" w:bidi="ar-SA"/>
      </w:rPr>
    </w:lvl>
    <w:lvl w:ilvl="7" w:tplc="3D50AB80">
      <w:numFmt w:val="bullet"/>
      <w:lvlText w:val="•"/>
      <w:lvlJc w:val="left"/>
      <w:pPr>
        <w:ind w:left="7638" w:hanging="850"/>
      </w:pPr>
      <w:rPr>
        <w:rFonts w:hint="default"/>
        <w:lang w:val="en-US" w:eastAsia="en-US" w:bidi="ar-SA"/>
      </w:rPr>
    </w:lvl>
    <w:lvl w:ilvl="8" w:tplc="E2462D7A">
      <w:numFmt w:val="bullet"/>
      <w:lvlText w:val="•"/>
      <w:lvlJc w:val="left"/>
      <w:pPr>
        <w:ind w:left="8467" w:hanging="850"/>
      </w:pPr>
      <w:rPr>
        <w:rFonts w:hint="default"/>
        <w:lang w:val="en-US" w:eastAsia="en-US" w:bidi="ar-SA"/>
      </w:rPr>
    </w:lvl>
  </w:abstractNum>
  <w:abstractNum w:abstractNumId="52" w15:restartNumberingAfterBreak="0">
    <w:nsid w:val="52E73349"/>
    <w:multiLevelType w:val="hybridMultilevel"/>
    <w:tmpl w:val="5DF888F6"/>
    <w:lvl w:ilvl="0" w:tplc="C3DA16F6">
      <w:start w:val="4"/>
      <w:numFmt w:val="decimal"/>
      <w:lvlText w:val="%1."/>
      <w:lvlJc w:val="left"/>
      <w:pPr>
        <w:ind w:left="2689" w:hanging="850"/>
      </w:pPr>
      <w:rPr>
        <w:rFonts w:ascii="Calibri" w:eastAsia="Calibri" w:hAnsi="Calibri" w:cs="Calibri" w:hint="default"/>
        <w:b/>
        <w:bCs/>
        <w:i w:val="0"/>
        <w:iCs w:val="0"/>
        <w:spacing w:val="-2"/>
        <w:w w:val="100"/>
        <w:sz w:val="24"/>
        <w:szCs w:val="24"/>
        <w:lang w:val="en-US" w:eastAsia="en-US" w:bidi="ar-SA"/>
      </w:rPr>
    </w:lvl>
    <w:lvl w:ilvl="1" w:tplc="258CCA4C">
      <w:numFmt w:val="bullet"/>
      <w:lvlText w:val="•"/>
      <w:lvlJc w:val="left"/>
      <w:pPr>
        <w:ind w:left="3424" w:hanging="850"/>
      </w:pPr>
      <w:rPr>
        <w:rFonts w:hint="default"/>
        <w:lang w:val="en-US" w:eastAsia="en-US" w:bidi="ar-SA"/>
      </w:rPr>
    </w:lvl>
    <w:lvl w:ilvl="2" w:tplc="83AE3F76">
      <w:numFmt w:val="bullet"/>
      <w:lvlText w:val="•"/>
      <w:lvlJc w:val="left"/>
      <w:pPr>
        <w:ind w:left="4168" w:hanging="850"/>
      </w:pPr>
      <w:rPr>
        <w:rFonts w:hint="default"/>
        <w:lang w:val="en-US" w:eastAsia="en-US" w:bidi="ar-SA"/>
      </w:rPr>
    </w:lvl>
    <w:lvl w:ilvl="3" w:tplc="0B16CA6E">
      <w:numFmt w:val="bullet"/>
      <w:lvlText w:val="•"/>
      <w:lvlJc w:val="left"/>
      <w:pPr>
        <w:ind w:left="4913" w:hanging="850"/>
      </w:pPr>
      <w:rPr>
        <w:rFonts w:hint="default"/>
        <w:lang w:val="en-US" w:eastAsia="en-US" w:bidi="ar-SA"/>
      </w:rPr>
    </w:lvl>
    <w:lvl w:ilvl="4" w:tplc="78BC41C0">
      <w:numFmt w:val="bullet"/>
      <w:lvlText w:val="•"/>
      <w:lvlJc w:val="left"/>
      <w:pPr>
        <w:ind w:left="5657" w:hanging="850"/>
      </w:pPr>
      <w:rPr>
        <w:rFonts w:hint="default"/>
        <w:lang w:val="en-US" w:eastAsia="en-US" w:bidi="ar-SA"/>
      </w:rPr>
    </w:lvl>
    <w:lvl w:ilvl="5" w:tplc="E24402EC">
      <w:numFmt w:val="bullet"/>
      <w:lvlText w:val="•"/>
      <w:lvlJc w:val="left"/>
      <w:pPr>
        <w:ind w:left="6402" w:hanging="850"/>
      </w:pPr>
      <w:rPr>
        <w:rFonts w:hint="default"/>
        <w:lang w:val="en-US" w:eastAsia="en-US" w:bidi="ar-SA"/>
      </w:rPr>
    </w:lvl>
    <w:lvl w:ilvl="6" w:tplc="6B340664">
      <w:numFmt w:val="bullet"/>
      <w:lvlText w:val="•"/>
      <w:lvlJc w:val="left"/>
      <w:pPr>
        <w:ind w:left="7146" w:hanging="850"/>
      </w:pPr>
      <w:rPr>
        <w:rFonts w:hint="default"/>
        <w:lang w:val="en-US" w:eastAsia="en-US" w:bidi="ar-SA"/>
      </w:rPr>
    </w:lvl>
    <w:lvl w:ilvl="7" w:tplc="72467302">
      <w:numFmt w:val="bullet"/>
      <w:lvlText w:val="•"/>
      <w:lvlJc w:val="left"/>
      <w:pPr>
        <w:ind w:left="7890" w:hanging="850"/>
      </w:pPr>
      <w:rPr>
        <w:rFonts w:hint="default"/>
        <w:lang w:val="en-US" w:eastAsia="en-US" w:bidi="ar-SA"/>
      </w:rPr>
    </w:lvl>
    <w:lvl w:ilvl="8" w:tplc="7B0E363C">
      <w:numFmt w:val="bullet"/>
      <w:lvlText w:val="•"/>
      <w:lvlJc w:val="left"/>
      <w:pPr>
        <w:ind w:left="8635" w:hanging="850"/>
      </w:pPr>
      <w:rPr>
        <w:rFonts w:hint="default"/>
        <w:lang w:val="en-US" w:eastAsia="en-US" w:bidi="ar-SA"/>
      </w:rPr>
    </w:lvl>
  </w:abstractNum>
  <w:abstractNum w:abstractNumId="53" w15:restartNumberingAfterBreak="0">
    <w:nsid w:val="52ED1E45"/>
    <w:multiLevelType w:val="hybridMultilevel"/>
    <w:tmpl w:val="D92C0A96"/>
    <w:lvl w:ilvl="0" w:tplc="83084F9A">
      <w:start w:val="366"/>
      <w:numFmt w:val="decimal"/>
      <w:lvlText w:val="%1."/>
      <w:lvlJc w:val="left"/>
      <w:pPr>
        <w:ind w:left="780" w:hanging="420"/>
      </w:pPr>
      <w:rPr>
        <w:rFonts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563A3905"/>
    <w:multiLevelType w:val="hybridMultilevel"/>
    <w:tmpl w:val="7048D6B2"/>
    <w:lvl w:ilvl="0" w:tplc="09369BA4">
      <w:start w:val="1"/>
      <w:numFmt w:val="decimal"/>
      <w:lvlText w:val="%1."/>
      <w:lvlJc w:val="left"/>
      <w:pPr>
        <w:ind w:left="2689" w:hanging="850"/>
      </w:pPr>
      <w:rPr>
        <w:rFonts w:ascii="Calibri" w:eastAsia="Calibri" w:hAnsi="Calibri" w:cs="Calibri" w:hint="default"/>
        <w:b/>
        <w:bCs/>
        <w:i w:val="0"/>
        <w:iCs w:val="0"/>
        <w:spacing w:val="-2"/>
        <w:w w:val="100"/>
        <w:sz w:val="24"/>
        <w:szCs w:val="24"/>
        <w:lang w:val="en-US" w:eastAsia="en-US" w:bidi="ar-SA"/>
      </w:rPr>
    </w:lvl>
    <w:lvl w:ilvl="1" w:tplc="61FEED00">
      <w:start w:val="1"/>
      <w:numFmt w:val="lowerLetter"/>
      <w:lvlText w:val="(%2)"/>
      <w:lvlJc w:val="left"/>
      <w:pPr>
        <w:ind w:left="3539" w:hanging="850"/>
      </w:pPr>
      <w:rPr>
        <w:rFonts w:ascii="Calibri" w:eastAsia="Calibri" w:hAnsi="Calibri" w:cs="Calibri" w:hint="default"/>
        <w:b w:val="0"/>
        <w:bCs w:val="0"/>
        <w:i w:val="0"/>
        <w:iCs w:val="0"/>
        <w:spacing w:val="-1"/>
        <w:w w:val="100"/>
        <w:sz w:val="24"/>
        <w:szCs w:val="24"/>
        <w:u w:val="single" w:color="000000"/>
        <w:lang w:val="en-US" w:eastAsia="en-US" w:bidi="ar-SA"/>
      </w:rPr>
    </w:lvl>
    <w:lvl w:ilvl="2" w:tplc="CB809EF0">
      <w:numFmt w:val="bullet"/>
      <w:lvlText w:val="•"/>
      <w:lvlJc w:val="left"/>
      <w:pPr>
        <w:ind w:left="4271" w:hanging="850"/>
      </w:pPr>
      <w:rPr>
        <w:rFonts w:hint="default"/>
        <w:lang w:val="en-US" w:eastAsia="en-US" w:bidi="ar-SA"/>
      </w:rPr>
    </w:lvl>
    <w:lvl w:ilvl="3" w:tplc="C8364CBC">
      <w:numFmt w:val="bullet"/>
      <w:lvlText w:val="•"/>
      <w:lvlJc w:val="left"/>
      <w:pPr>
        <w:ind w:left="5003" w:hanging="850"/>
      </w:pPr>
      <w:rPr>
        <w:rFonts w:hint="default"/>
        <w:lang w:val="en-US" w:eastAsia="en-US" w:bidi="ar-SA"/>
      </w:rPr>
    </w:lvl>
    <w:lvl w:ilvl="4" w:tplc="1C2C24D6">
      <w:numFmt w:val="bullet"/>
      <w:lvlText w:val="•"/>
      <w:lvlJc w:val="left"/>
      <w:pPr>
        <w:ind w:left="5734" w:hanging="850"/>
      </w:pPr>
      <w:rPr>
        <w:rFonts w:hint="default"/>
        <w:lang w:val="en-US" w:eastAsia="en-US" w:bidi="ar-SA"/>
      </w:rPr>
    </w:lvl>
    <w:lvl w:ilvl="5" w:tplc="6FA21E4C">
      <w:numFmt w:val="bullet"/>
      <w:lvlText w:val="•"/>
      <w:lvlJc w:val="left"/>
      <w:pPr>
        <w:ind w:left="6466" w:hanging="850"/>
      </w:pPr>
      <w:rPr>
        <w:rFonts w:hint="default"/>
        <w:lang w:val="en-US" w:eastAsia="en-US" w:bidi="ar-SA"/>
      </w:rPr>
    </w:lvl>
    <w:lvl w:ilvl="6" w:tplc="CEAA1062">
      <w:numFmt w:val="bullet"/>
      <w:lvlText w:val="•"/>
      <w:lvlJc w:val="left"/>
      <w:pPr>
        <w:ind w:left="7197" w:hanging="850"/>
      </w:pPr>
      <w:rPr>
        <w:rFonts w:hint="default"/>
        <w:lang w:val="en-US" w:eastAsia="en-US" w:bidi="ar-SA"/>
      </w:rPr>
    </w:lvl>
    <w:lvl w:ilvl="7" w:tplc="D938CACE">
      <w:numFmt w:val="bullet"/>
      <w:lvlText w:val="•"/>
      <w:lvlJc w:val="left"/>
      <w:pPr>
        <w:ind w:left="7929" w:hanging="850"/>
      </w:pPr>
      <w:rPr>
        <w:rFonts w:hint="default"/>
        <w:lang w:val="en-US" w:eastAsia="en-US" w:bidi="ar-SA"/>
      </w:rPr>
    </w:lvl>
    <w:lvl w:ilvl="8" w:tplc="B4EA059C">
      <w:numFmt w:val="bullet"/>
      <w:lvlText w:val="•"/>
      <w:lvlJc w:val="left"/>
      <w:pPr>
        <w:ind w:left="8660" w:hanging="850"/>
      </w:pPr>
      <w:rPr>
        <w:rFonts w:hint="default"/>
        <w:lang w:val="en-US" w:eastAsia="en-US" w:bidi="ar-SA"/>
      </w:rPr>
    </w:lvl>
  </w:abstractNum>
  <w:abstractNum w:abstractNumId="55" w15:restartNumberingAfterBreak="0">
    <w:nsid w:val="57633413"/>
    <w:multiLevelType w:val="hybridMultilevel"/>
    <w:tmpl w:val="AE5E00EE"/>
    <w:lvl w:ilvl="0" w:tplc="FFFFFFFF">
      <w:start w:val="272"/>
      <w:numFmt w:val="decimal"/>
      <w:lvlText w:val="%1."/>
      <w:lvlJc w:val="left"/>
      <w:pPr>
        <w:ind w:left="780" w:hanging="42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57A17340"/>
    <w:multiLevelType w:val="hybridMultilevel"/>
    <w:tmpl w:val="3A36B122"/>
    <w:lvl w:ilvl="0" w:tplc="1306091A">
      <w:numFmt w:val="bullet"/>
      <w:lvlText w:val=""/>
      <w:lvlJc w:val="left"/>
      <w:pPr>
        <w:ind w:left="1835" w:hanging="850"/>
      </w:pPr>
      <w:rPr>
        <w:rFonts w:ascii="Symbol" w:eastAsia="Symbol" w:hAnsi="Symbol" w:cs="Symbol" w:hint="default"/>
        <w:b w:val="0"/>
        <w:bCs w:val="0"/>
        <w:i w:val="0"/>
        <w:iCs w:val="0"/>
        <w:w w:val="100"/>
        <w:sz w:val="24"/>
        <w:szCs w:val="24"/>
        <w:lang w:val="en-US" w:eastAsia="en-US" w:bidi="ar-SA"/>
      </w:rPr>
    </w:lvl>
    <w:lvl w:ilvl="1" w:tplc="86CA93D0">
      <w:numFmt w:val="bullet"/>
      <w:lvlText w:val="•"/>
      <w:lvlJc w:val="left"/>
      <w:pPr>
        <w:ind w:left="2668" w:hanging="850"/>
      </w:pPr>
      <w:rPr>
        <w:rFonts w:hint="default"/>
        <w:lang w:val="en-US" w:eastAsia="en-US" w:bidi="ar-SA"/>
      </w:rPr>
    </w:lvl>
    <w:lvl w:ilvl="2" w:tplc="F69AF74C">
      <w:numFmt w:val="bullet"/>
      <w:lvlText w:val="•"/>
      <w:lvlJc w:val="left"/>
      <w:pPr>
        <w:ind w:left="3496" w:hanging="850"/>
      </w:pPr>
      <w:rPr>
        <w:rFonts w:hint="default"/>
        <w:lang w:val="en-US" w:eastAsia="en-US" w:bidi="ar-SA"/>
      </w:rPr>
    </w:lvl>
    <w:lvl w:ilvl="3" w:tplc="E2D45BAA">
      <w:numFmt w:val="bullet"/>
      <w:lvlText w:val="•"/>
      <w:lvlJc w:val="left"/>
      <w:pPr>
        <w:ind w:left="4325" w:hanging="850"/>
      </w:pPr>
      <w:rPr>
        <w:rFonts w:hint="default"/>
        <w:lang w:val="en-US" w:eastAsia="en-US" w:bidi="ar-SA"/>
      </w:rPr>
    </w:lvl>
    <w:lvl w:ilvl="4" w:tplc="0762836A">
      <w:numFmt w:val="bullet"/>
      <w:lvlText w:val="•"/>
      <w:lvlJc w:val="left"/>
      <w:pPr>
        <w:ind w:left="5153" w:hanging="850"/>
      </w:pPr>
      <w:rPr>
        <w:rFonts w:hint="default"/>
        <w:lang w:val="en-US" w:eastAsia="en-US" w:bidi="ar-SA"/>
      </w:rPr>
    </w:lvl>
    <w:lvl w:ilvl="5" w:tplc="119AB278">
      <w:numFmt w:val="bullet"/>
      <w:lvlText w:val="•"/>
      <w:lvlJc w:val="left"/>
      <w:pPr>
        <w:ind w:left="5982" w:hanging="850"/>
      </w:pPr>
      <w:rPr>
        <w:rFonts w:hint="default"/>
        <w:lang w:val="en-US" w:eastAsia="en-US" w:bidi="ar-SA"/>
      </w:rPr>
    </w:lvl>
    <w:lvl w:ilvl="6" w:tplc="448C41B0">
      <w:numFmt w:val="bullet"/>
      <w:lvlText w:val="•"/>
      <w:lvlJc w:val="left"/>
      <w:pPr>
        <w:ind w:left="6810" w:hanging="850"/>
      </w:pPr>
      <w:rPr>
        <w:rFonts w:hint="default"/>
        <w:lang w:val="en-US" w:eastAsia="en-US" w:bidi="ar-SA"/>
      </w:rPr>
    </w:lvl>
    <w:lvl w:ilvl="7" w:tplc="7B70E8EA">
      <w:numFmt w:val="bullet"/>
      <w:lvlText w:val="•"/>
      <w:lvlJc w:val="left"/>
      <w:pPr>
        <w:ind w:left="7638" w:hanging="850"/>
      </w:pPr>
      <w:rPr>
        <w:rFonts w:hint="default"/>
        <w:lang w:val="en-US" w:eastAsia="en-US" w:bidi="ar-SA"/>
      </w:rPr>
    </w:lvl>
    <w:lvl w:ilvl="8" w:tplc="EDC8BCCA">
      <w:numFmt w:val="bullet"/>
      <w:lvlText w:val="•"/>
      <w:lvlJc w:val="left"/>
      <w:pPr>
        <w:ind w:left="8467" w:hanging="850"/>
      </w:pPr>
      <w:rPr>
        <w:rFonts w:hint="default"/>
        <w:lang w:val="en-US" w:eastAsia="en-US" w:bidi="ar-SA"/>
      </w:rPr>
    </w:lvl>
  </w:abstractNum>
  <w:abstractNum w:abstractNumId="57" w15:restartNumberingAfterBreak="0">
    <w:nsid w:val="583364E0"/>
    <w:multiLevelType w:val="hybridMultilevel"/>
    <w:tmpl w:val="3E5C9F6A"/>
    <w:lvl w:ilvl="0" w:tplc="0D0A72C0">
      <w:numFmt w:val="bullet"/>
      <w:lvlText w:val=""/>
      <w:lvlJc w:val="left"/>
      <w:pPr>
        <w:ind w:left="1835" w:hanging="850"/>
      </w:pPr>
      <w:rPr>
        <w:rFonts w:ascii="Symbol" w:eastAsia="Symbol" w:hAnsi="Symbol" w:cs="Symbol" w:hint="default"/>
        <w:b w:val="0"/>
        <w:bCs w:val="0"/>
        <w:i w:val="0"/>
        <w:iCs w:val="0"/>
        <w:w w:val="100"/>
        <w:sz w:val="24"/>
        <w:szCs w:val="24"/>
        <w:lang w:val="en-US" w:eastAsia="en-US" w:bidi="ar-SA"/>
      </w:rPr>
    </w:lvl>
    <w:lvl w:ilvl="1" w:tplc="C7AA6E00">
      <w:numFmt w:val="bullet"/>
      <w:lvlText w:val="•"/>
      <w:lvlJc w:val="left"/>
      <w:pPr>
        <w:ind w:left="2668" w:hanging="850"/>
      </w:pPr>
      <w:rPr>
        <w:rFonts w:hint="default"/>
        <w:lang w:val="en-US" w:eastAsia="en-US" w:bidi="ar-SA"/>
      </w:rPr>
    </w:lvl>
    <w:lvl w:ilvl="2" w:tplc="4D9267AA">
      <w:numFmt w:val="bullet"/>
      <w:lvlText w:val="•"/>
      <w:lvlJc w:val="left"/>
      <w:pPr>
        <w:ind w:left="3496" w:hanging="850"/>
      </w:pPr>
      <w:rPr>
        <w:rFonts w:hint="default"/>
        <w:lang w:val="en-US" w:eastAsia="en-US" w:bidi="ar-SA"/>
      </w:rPr>
    </w:lvl>
    <w:lvl w:ilvl="3" w:tplc="6FA0D9F2">
      <w:numFmt w:val="bullet"/>
      <w:lvlText w:val="•"/>
      <w:lvlJc w:val="left"/>
      <w:pPr>
        <w:ind w:left="4325" w:hanging="850"/>
      </w:pPr>
      <w:rPr>
        <w:rFonts w:hint="default"/>
        <w:lang w:val="en-US" w:eastAsia="en-US" w:bidi="ar-SA"/>
      </w:rPr>
    </w:lvl>
    <w:lvl w:ilvl="4" w:tplc="9ACCFC30">
      <w:numFmt w:val="bullet"/>
      <w:lvlText w:val="•"/>
      <w:lvlJc w:val="left"/>
      <w:pPr>
        <w:ind w:left="5153" w:hanging="850"/>
      </w:pPr>
      <w:rPr>
        <w:rFonts w:hint="default"/>
        <w:lang w:val="en-US" w:eastAsia="en-US" w:bidi="ar-SA"/>
      </w:rPr>
    </w:lvl>
    <w:lvl w:ilvl="5" w:tplc="47E6AD2E">
      <w:numFmt w:val="bullet"/>
      <w:lvlText w:val="•"/>
      <w:lvlJc w:val="left"/>
      <w:pPr>
        <w:ind w:left="5982" w:hanging="850"/>
      </w:pPr>
      <w:rPr>
        <w:rFonts w:hint="default"/>
        <w:lang w:val="en-US" w:eastAsia="en-US" w:bidi="ar-SA"/>
      </w:rPr>
    </w:lvl>
    <w:lvl w:ilvl="6" w:tplc="2E12E66C">
      <w:numFmt w:val="bullet"/>
      <w:lvlText w:val="•"/>
      <w:lvlJc w:val="left"/>
      <w:pPr>
        <w:ind w:left="6810" w:hanging="850"/>
      </w:pPr>
      <w:rPr>
        <w:rFonts w:hint="default"/>
        <w:lang w:val="en-US" w:eastAsia="en-US" w:bidi="ar-SA"/>
      </w:rPr>
    </w:lvl>
    <w:lvl w:ilvl="7" w:tplc="5CE41CF8">
      <w:numFmt w:val="bullet"/>
      <w:lvlText w:val="•"/>
      <w:lvlJc w:val="left"/>
      <w:pPr>
        <w:ind w:left="7638" w:hanging="850"/>
      </w:pPr>
      <w:rPr>
        <w:rFonts w:hint="default"/>
        <w:lang w:val="en-US" w:eastAsia="en-US" w:bidi="ar-SA"/>
      </w:rPr>
    </w:lvl>
    <w:lvl w:ilvl="8" w:tplc="C6D8F372">
      <w:numFmt w:val="bullet"/>
      <w:lvlText w:val="•"/>
      <w:lvlJc w:val="left"/>
      <w:pPr>
        <w:ind w:left="8467" w:hanging="850"/>
      </w:pPr>
      <w:rPr>
        <w:rFonts w:hint="default"/>
        <w:lang w:val="en-US" w:eastAsia="en-US" w:bidi="ar-SA"/>
      </w:rPr>
    </w:lvl>
  </w:abstractNum>
  <w:abstractNum w:abstractNumId="58" w15:restartNumberingAfterBreak="0">
    <w:nsid w:val="585F71BE"/>
    <w:multiLevelType w:val="hybridMultilevel"/>
    <w:tmpl w:val="AED25454"/>
    <w:lvl w:ilvl="0" w:tplc="93BAF2FA">
      <w:numFmt w:val="bullet"/>
      <w:lvlText w:val=""/>
      <w:lvlJc w:val="left"/>
      <w:pPr>
        <w:ind w:left="1840" w:hanging="850"/>
      </w:pPr>
      <w:rPr>
        <w:rFonts w:ascii="Symbol" w:eastAsia="Symbol" w:hAnsi="Symbol" w:cs="Symbol" w:hint="default"/>
        <w:b w:val="0"/>
        <w:bCs w:val="0"/>
        <w:i w:val="0"/>
        <w:iCs w:val="0"/>
        <w:w w:val="100"/>
        <w:sz w:val="24"/>
        <w:szCs w:val="24"/>
        <w:lang w:val="en-US" w:eastAsia="en-US" w:bidi="ar-SA"/>
      </w:rPr>
    </w:lvl>
    <w:lvl w:ilvl="1" w:tplc="1F382DF8">
      <w:numFmt w:val="bullet"/>
      <w:lvlText w:val="•"/>
      <w:lvlJc w:val="left"/>
      <w:pPr>
        <w:ind w:left="2668" w:hanging="850"/>
      </w:pPr>
      <w:rPr>
        <w:rFonts w:hint="default"/>
        <w:lang w:val="en-US" w:eastAsia="en-US" w:bidi="ar-SA"/>
      </w:rPr>
    </w:lvl>
    <w:lvl w:ilvl="2" w:tplc="0302A2EE">
      <w:numFmt w:val="bullet"/>
      <w:lvlText w:val="•"/>
      <w:lvlJc w:val="left"/>
      <w:pPr>
        <w:ind w:left="3496" w:hanging="850"/>
      </w:pPr>
      <w:rPr>
        <w:rFonts w:hint="default"/>
        <w:lang w:val="en-US" w:eastAsia="en-US" w:bidi="ar-SA"/>
      </w:rPr>
    </w:lvl>
    <w:lvl w:ilvl="3" w:tplc="FA2E44D2">
      <w:numFmt w:val="bullet"/>
      <w:lvlText w:val="•"/>
      <w:lvlJc w:val="left"/>
      <w:pPr>
        <w:ind w:left="4325" w:hanging="850"/>
      </w:pPr>
      <w:rPr>
        <w:rFonts w:hint="default"/>
        <w:lang w:val="en-US" w:eastAsia="en-US" w:bidi="ar-SA"/>
      </w:rPr>
    </w:lvl>
    <w:lvl w:ilvl="4" w:tplc="7754621C">
      <w:numFmt w:val="bullet"/>
      <w:lvlText w:val="•"/>
      <w:lvlJc w:val="left"/>
      <w:pPr>
        <w:ind w:left="5153" w:hanging="850"/>
      </w:pPr>
      <w:rPr>
        <w:rFonts w:hint="default"/>
        <w:lang w:val="en-US" w:eastAsia="en-US" w:bidi="ar-SA"/>
      </w:rPr>
    </w:lvl>
    <w:lvl w:ilvl="5" w:tplc="21B46BF0">
      <w:numFmt w:val="bullet"/>
      <w:lvlText w:val="•"/>
      <w:lvlJc w:val="left"/>
      <w:pPr>
        <w:ind w:left="5982" w:hanging="850"/>
      </w:pPr>
      <w:rPr>
        <w:rFonts w:hint="default"/>
        <w:lang w:val="en-US" w:eastAsia="en-US" w:bidi="ar-SA"/>
      </w:rPr>
    </w:lvl>
    <w:lvl w:ilvl="6" w:tplc="46520A9E">
      <w:numFmt w:val="bullet"/>
      <w:lvlText w:val="•"/>
      <w:lvlJc w:val="left"/>
      <w:pPr>
        <w:ind w:left="6810" w:hanging="850"/>
      </w:pPr>
      <w:rPr>
        <w:rFonts w:hint="default"/>
        <w:lang w:val="en-US" w:eastAsia="en-US" w:bidi="ar-SA"/>
      </w:rPr>
    </w:lvl>
    <w:lvl w:ilvl="7" w:tplc="9A7885FE">
      <w:numFmt w:val="bullet"/>
      <w:lvlText w:val="•"/>
      <w:lvlJc w:val="left"/>
      <w:pPr>
        <w:ind w:left="7638" w:hanging="850"/>
      </w:pPr>
      <w:rPr>
        <w:rFonts w:hint="default"/>
        <w:lang w:val="en-US" w:eastAsia="en-US" w:bidi="ar-SA"/>
      </w:rPr>
    </w:lvl>
    <w:lvl w:ilvl="8" w:tplc="C3E0129A">
      <w:numFmt w:val="bullet"/>
      <w:lvlText w:val="•"/>
      <w:lvlJc w:val="left"/>
      <w:pPr>
        <w:ind w:left="8467" w:hanging="850"/>
      </w:pPr>
      <w:rPr>
        <w:rFonts w:hint="default"/>
        <w:lang w:val="en-US" w:eastAsia="en-US" w:bidi="ar-SA"/>
      </w:rPr>
    </w:lvl>
  </w:abstractNum>
  <w:abstractNum w:abstractNumId="59" w15:restartNumberingAfterBreak="0">
    <w:nsid w:val="586C7ACE"/>
    <w:multiLevelType w:val="hybridMultilevel"/>
    <w:tmpl w:val="EB4AF38A"/>
    <w:lvl w:ilvl="0" w:tplc="BA3059E8">
      <w:numFmt w:val="bullet"/>
      <w:lvlText w:val=""/>
      <w:lvlJc w:val="left"/>
      <w:pPr>
        <w:ind w:left="1840" w:hanging="850"/>
      </w:pPr>
      <w:rPr>
        <w:rFonts w:ascii="Symbol" w:eastAsia="Symbol" w:hAnsi="Symbol" w:cs="Symbol" w:hint="default"/>
        <w:b w:val="0"/>
        <w:bCs w:val="0"/>
        <w:i w:val="0"/>
        <w:iCs w:val="0"/>
        <w:w w:val="100"/>
        <w:sz w:val="24"/>
        <w:szCs w:val="24"/>
        <w:lang w:val="en-US" w:eastAsia="en-US" w:bidi="ar-SA"/>
      </w:rPr>
    </w:lvl>
    <w:lvl w:ilvl="1" w:tplc="96F4992C">
      <w:numFmt w:val="bullet"/>
      <w:lvlText w:val="•"/>
      <w:lvlJc w:val="left"/>
      <w:pPr>
        <w:ind w:left="2668" w:hanging="850"/>
      </w:pPr>
      <w:rPr>
        <w:rFonts w:hint="default"/>
        <w:lang w:val="en-US" w:eastAsia="en-US" w:bidi="ar-SA"/>
      </w:rPr>
    </w:lvl>
    <w:lvl w:ilvl="2" w:tplc="9C448580">
      <w:numFmt w:val="bullet"/>
      <w:lvlText w:val="•"/>
      <w:lvlJc w:val="left"/>
      <w:pPr>
        <w:ind w:left="3496" w:hanging="850"/>
      </w:pPr>
      <w:rPr>
        <w:rFonts w:hint="default"/>
        <w:lang w:val="en-US" w:eastAsia="en-US" w:bidi="ar-SA"/>
      </w:rPr>
    </w:lvl>
    <w:lvl w:ilvl="3" w:tplc="09D696DE">
      <w:numFmt w:val="bullet"/>
      <w:lvlText w:val="•"/>
      <w:lvlJc w:val="left"/>
      <w:pPr>
        <w:ind w:left="4325" w:hanging="850"/>
      </w:pPr>
      <w:rPr>
        <w:rFonts w:hint="default"/>
        <w:lang w:val="en-US" w:eastAsia="en-US" w:bidi="ar-SA"/>
      </w:rPr>
    </w:lvl>
    <w:lvl w:ilvl="4" w:tplc="4BAA2BE6">
      <w:numFmt w:val="bullet"/>
      <w:lvlText w:val="•"/>
      <w:lvlJc w:val="left"/>
      <w:pPr>
        <w:ind w:left="5153" w:hanging="850"/>
      </w:pPr>
      <w:rPr>
        <w:rFonts w:hint="default"/>
        <w:lang w:val="en-US" w:eastAsia="en-US" w:bidi="ar-SA"/>
      </w:rPr>
    </w:lvl>
    <w:lvl w:ilvl="5" w:tplc="69880A22">
      <w:numFmt w:val="bullet"/>
      <w:lvlText w:val="•"/>
      <w:lvlJc w:val="left"/>
      <w:pPr>
        <w:ind w:left="5982" w:hanging="850"/>
      </w:pPr>
      <w:rPr>
        <w:rFonts w:hint="default"/>
        <w:lang w:val="en-US" w:eastAsia="en-US" w:bidi="ar-SA"/>
      </w:rPr>
    </w:lvl>
    <w:lvl w:ilvl="6" w:tplc="13F86014">
      <w:numFmt w:val="bullet"/>
      <w:lvlText w:val="•"/>
      <w:lvlJc w:val="left"/>
      <w:pPr>
        <w:ind w:left="6810" w:hanging="850"/>
      </w:pPr>
      <w:rPr>
        <w:rFonts w:hint="default"/>
        <w:lang w:val="en-US" w:eastAsia="en-US" w:bidi="ar-SA"/>
      </w:rPr>
    </w:lvl>
    <w:lvl w:ilvl="7" w:tplc="795AE696">
      <w:numFmt w:val="bullet"/>
      <w:lvlText w:val="•"/>
      <w:lvlJc w:val="left"/>
      <w:pPr>
        <w:ind w:left="7638" w:hanging="850"/>
      </w:pPr>
      <w:rPr>
        <w:rFonts w:hint="default"/>
        <w:lang w:val="en-US" w:eastAsia="en-US" w:bidi="ar-SA"/>
      </w:rPr>
    </w:lvl>
    <w:lvl w:ilvl="8" w:tplc="A15834EE">
      <w:numFmt w:val="bullet"/>
      <w:lvlText w:val="•"/>
      <w:lvlJc w:val="left"/>
      <w:pPr>
        <w:ind w:left="8467" w:hanging="850"/>
      </w:pPr>
      <w:rPr>
        <w:rFonts w:hint="default"/>
        <w:lang w:val="en-US" w:eastAsia="en-US" w:bidi="ar-SA"/>
      </w:rPr>
    </w:lvl>
  </w:abstractNum>
  <w:abstractNum w:abstractNumId="60" w15:restartNumberingAfterBreak="0">
    <w:nsid w:val="5D926AC9"/>
    <w:multiLevelType w:val="hybridMultilevel"/>
    <w:tmpl w:val="00C01D38"/>
    <w:lvl w:ilvl="0" w:tplc="488203C2">
      <w:numFmt w:val="bullet"/>
      <w:lvlText w:val=""/>
      <w:lvlJc w:val="left"/>
      <w:pPr>
        <w:ind w:left="1840" w:hanging="850"/>
      </w:pPr>
      <w:rPr>
        <w:rFonts w:ascii="Symbol" w:eastAsia="Symbol" w:hAnsi="Symbol" w:cs="Symbol" w:hint="default"/>
        <w:b w:val="0"/>
        <w:bCs w:val="0"/>
        <w:i w:val="0"/>
        <w:iCs w:val="0"/>
        <w:w w:val="100"/>
        <w:sz w:val="24"/>
        <w:szCs w:val="24"/>
        <w:lang w:val="en-US" w:eastAsia="en-US" w:bidi="ar-SA"/>
      </w:rPr>
    </w:lvl>
    <w:lvl w:ilvl="1" w:tplc="96A24998">
      <w:numFmt w:val="bullet"/>
      <w:lvlText w:val="•"/>
      <w:lvlJc w:val="left"/>
      <w:pPr>
        <w:ind w:left="2668" w:hanging="850"/>
      </w:pPr>
      <w:rPr>
        <w:rFonts w:hint="default"/>
        <w:lang w:val="en-US" w:eastAsia="en-US" w:bidi="ar-SA"/>
      </w:rPr>
    </w:lvl>
    <w:lvl w:ilvl="2" w:tplc="A90A815C">
      <w:numFmt w:val="bullet"/>
      <w:lvlText w:val="•"/>
      <w:lvlJc w:val="left"/>
      <w:pPr>
        <w:ind w:left="3496" w:hanging="850"/>
      </w:pPr>
      <w:rPr>
        <w:rFonts w:hint="default"/>
        <w:lang w:val="en-US" w:eastAsia="en-US" w:bidi="ar-SA"/>
      </w:rPr>
    </w:lvl>
    <w:lvl w:ilvl="3" w:tplc="47A61D22">
      <w:numFmt w:val="bullet"/>
      <w:lvlText w:val="•"/>
      <w:lvlJc w:val="left"/>
      <w:pPr>
        <w:ind w:left="4325" w:hanging="850"/>
      </w:pPr>
      <w:rPr>
        <w:rFonts w:hint="default"/>
        <w:lang w:val="en-US" w:eastAsia="en-US" w:bidi="ar-SA"/>
      </w:rPr>
    </w:lvl>
    <w:lvl w:ilvl="4" w:tplc="EE306CC6">
      <w:numFmt w:val="bullet"/>
      <w:lvlText w:val="•"/>
      <w:lvlJc w:val="left"/>
      <w:pPr>
        <w:ind w:left="5153" w:hanging="850"/>
      </w:pPr>
      <w:rPr>
        <w:rFonts w:hint="default"/>
        <w:lang w:val="en-US" w:eastAsia="en-US" w:bidi="ar-SA"/>
      </w:rPr>
    </w:lvl>
    <w:lvl w:ilvl="5" w:tplc="87146E8A">
      <w:numFmt w:val="bullet"/>
      <w:lvlText w:val="•"/>
      <w:lvlJc w:val="left"/>
      <w:pPr>
        <w:ind w:left="5982" w:hanging="850"/>
      </w:pPr>
      <w:rPr>
        <w:rFonts w:hint="default"/>
        <w:lang w:val="en-US" w:eastAsia="en-US" w:bidi="ar-SA"/>
      </w:rPr>
    </w:lvl>
    <w:lvl w:ilvl="6" w:tplc="2DF0D0E4">
      <w:numFmt w:val="bullet"/>
      <w:lvlText w:val="•"/>
      <w:lvlJc w:val="left"/>
      <w:pPr>
        <w:ind w:left="6810" w:hanging="850"/>
      </w:pPr>
      <w:rPr>
        <w:rFonts w:hint="default"/>
        <w:lang w:val="en-US" w:eastAsia="en-US" w:bidi="ar-SA"/>
      </w:rPr>
    </w:lvl>
    <w:lvl w:ilvl="7" w:tplc="6D4445BC">
      <w:numFmt w:val="bullet"/>
      <w:lvlText w:val="•"/>
      <w:lvlJc w:val="left"/>
      <w:pPr>
        <w:ind w:left="7638" w:hanging="850"/>
      </w:pPr>
      <w:rPr>
        <w:rFonts w:hint="default"/>
        <w:lang w:val="en-US" w:eastAsia="en-US" w:bidi="ar-SA"/>
      </w:rPr>
    </w:lvl>
    <w:lvl w:ilvl="8" w:tplc="9F728A3E">
      <w:numFmt w:val="bullet"/>
      <w:lvlText w:val="•"/>
      <w:lvlJc w:val="left"/>
      <w:pPr>
        <w:ind w:left="8467" w:hanging="850"/>
      </w:pPr>
      <w:rPr>
        <w:rFonts w:hint="default"/>
        <w:lang w:val="en-US" w:eastAsia="en-US" w:bidi="ar-SA"/>
      </w:rPr>
    </w:lvl>
  </w:abstractNum>
  <w:abstractNum w:abstractNumId="61" w15:restartNumberingAfterBreak="0">
    <w:nsid w:val="61AD6809"/>
    <w:multiLevelType w:val="hybridMultilevel"/>
    <w:tmpl w:val="F10E551A"/>
    <w:lvl w:ilvl="0" w:tplc="363C1206">
      <w:numFmt w:val="bullet"/>
      <w:lvlText w:val=""/>
      <w:lvlJc w:val="left"/>
      <w:pPr>
        <w:ind w:left="1840" w:hanging="850"/>
      </w:pPr>
      <w:rPr>
        <w:rFonts w:ascii="Symbol" w:eastAsia="Symbol" w:hAnsi="Symbol" w:cs="Symbol" w:hint="default"/>
        <w:b w:val="0"/>
        <w:bCs w:val="0"/>
        <w:i w:val="0"/>
        <w:iCs w:val="0"/>
        <w:w w:val="100"/>
        <w:sz w:val="24"/>
        <w:szCs w:val="24"/>
        <w:lang w:val="en-US" w:eastAsia="en-US" w:bidi="ar-SA"/>
      </w:rPr>
    </w:lvl>
    <w:lvl w:ilvl="1" w:tplc="D9BEEC80">
      <w:numFmt w:val="bullet"/>
      <w:lvlText w:val="•"/>
      <w:lvlJc w:val="left"/>
      <w:pPr>
        <w:ind w:left="2668" w:hanging="850"/>
      </w:pPr>
      <w:rPr>
        <w:rFonts w:hint="default"/>
        <w:lang w:val="en-US" w:eastAsia="en-US" w:bidi="ar-SA"/>
      </w:rPr>
    </w:lvl>
    <w:lvl w:ilvl="2" w:tplc="77929DAC">
      <w:numFmt w:val="bullet"/>
      <w:lvlText w:val="•"/>
      <w:lvlJc w:val="left"/>
      <w:pPr>
        <w:ind w:left="3496" w:hanging="850"/>
      </w:pPr>
      <w:rPr>
        <w:rFonts w:hint="default"/>
        <w:lang w:val="en-US" w:eastAsia="en-US" w:bidi="ar-SA"/>
      </w:rPr>
    </w:lvl>
    <w:lvl w:ilvl="3" w:tplc="363CFF98">
      <w:numFmt w:val="bullet"/>
      <w:lvlText w:val="•"/>
      <w:lvlJc w:val="left"/>
      <w:pPr>
        <w:ind w:left="4325" w:hanging="850"/>
      </w:pPr>
      <w:rPr>
        <w:rFonts w:hint="default"/>
        <w:lang w:val="en-US" w:eastAsia="en-US" w:bidi="ar-SA"/>
      </w:rPr>
    </w:lvl>
    <w:lvl w:ilvl="4" w:tplc="0E90098E">
      <w:numFmt w:val="bullet"/>
      <w:lvlText w:val="•"/>
      <w:lvlJc w:val="left"/>
      <w:pPr>
        <w:ind w:left="5153" w:hanging="850"/>
      </w:pPr>
      <w:rPr>
        <w:rFonts w:hint="default"/>
        <w:lang w:val="en-US" w:eastAsia="en-US" w:bidi="ar-SA"/>
      </w:rPr>
    </w:lvl>
    <w:lvl w:ilvl="5" w:tplc="EC4CA8FA">
      <w:numFmt w:val="bullet"/>
      <w:lvlText w:val="•"/>
      <w:lvlJc w:val="left"/>
      <w:pPr>
        <w:ind w:left="5982" w:hanging="850"/>
      </w:pPr>
      <w:rPr>
        <w:rFonts w:hint="default"/>
        <w:lang w:val="en-US" w:eastAsia="en-US" w:bidi="ar-SA"/>
      </w:rPr>
    </w:lvl>
    <w:lvl w:ilvl="6" w:tplc="1208FB7A">
      <w:numFmt w:val="bullet"/>
      <w:lvlText w:val="•"/>
      <w:lvlJc w:val="left"/>
      <w:pPr>
        <w:ind w:left="6810" w:hanging="850"/>
      </w:pPr>
      <w:rPr>
        <w:rFonts w:hint="default"/>
        <w:lang w:val="en-US" w:eastAsia="en-US" w:bidi="ar-SA"/>
      </w:rPr>
    </w:lvl>
    <w:lvl w:ilvl="7" w:tplc="34727A0A">
      <w:numFmt w:val="bullet"/>
      <w:lvlText w:val="•"/>
      <w:lvlJc w:val="left"/>
      <w:pPr>
        <w:ind w:left="7638" w:hanging="850"/>
      </w:pPr>
      <w:rPr>
        <w:rFonts w:hint="default"/>
        <w:lang w:val="en-US" w:eastAsia="en-US" w:bidi="ar-SA"/>
      </w:rPr>
    </w:lvl>
    <w:lvl w:ilvl="8" w:tplc="590698C6">
      <w:numFmt w:val="bullet"/>
      <w:lvlText w:val="•"/>
      <w:lvlJc w:val="left"/>
      <w:pPr>
        <w:ind w:left="8467" w:hanging="850"/>
      </w:pPr>
      <w:rPr>
        <w:rFonts w:hint="default"/>
        <w:lang w:val="en-US" w:eastAsia="en-US" w:bidi="ar-SA"/>
      </w:rPr>
    </w:lvl>
  </w:abstractNum>
  <w:abstractNum w:abstractNumId="62" w15:restartNumberingAfterBreak="0">
    <w:nsid w:val="63527E9F"/>
    <w:multiLevelType w:val="hybridMultilevel"/>
    <w:tmpl w:val="E9D8C6D0"/>
    <w:lvl w:ilvl="0" w:tplc="94C24924">
      <w:start w:val="1"/>
      <w:numFmt w:val="lowerLetter"/>
      <w:lvlText w:val="(%1)"/>
      <w:lvlJc w:val="left"/>
      <w:pPr>
        <w:ind w:left="3539" w:hanging="850"/>
      </w:pPr>
      <w:rPr>
        <w:rFonts w:ascii="Calibri" w:eastAsia="Calibri" w:hAnsi="Calibri" w:cs="Calibri" w:hint="default"/>
        <w:b w:val="0"/>
        <w:bCs w:val="0"/>
        <w:i w:val="0"/>
        <w:iCs w:val="0"/>
        <w:spacing w:val="-1"/>
        <w:w w:val="100"/>
        <w:sz w:val="24"/>
        <w:szCs w:val="24"/>
        <w:u w:val="single" w:color="000000"/>
        <w:lang w:val="en-US" w:eastAsia="en-US" w:bidi="ar-SA"/>
      </w:rPr>
    </w:lvl>
    <w:lvl w:ilvl="1" w:tplc="7090C830">
      <w:numFmt w:val="bullet"/>
      <w:lvlText w:val="•"/>
      <w:lvlJc w:val="left"/>
      <w:pPr>
        <w:ind w:left="4198" w:hanging="850"/>
      </w:pPr>
      <w:rPr>
        <w:rFonts w:hint="default"/>
        <w:lang w:val="en-US" w:eastAsia="en-US" w:bidi="ar-SA"/>
      </w:rPr>
    </w:lvl>
    <w:lvl w:ilvl="2" w:tplc="76E81BD4">
      <w:numFmt w:val="bullet"/>
      <w:lvlText w:val="•"/>
      <w:lvlJc w:val="left"/>
      <w:pPr>
        <w:ind w:left="4856" w:hanging="850"/>
      </w:pPr>
      <w:rPr>
        <w:rFonts w:hint="default"/>
        <w:lang w:val="en-US" w:eastAsia="en-US" w:bidi="ar-SA"/>
      </w:rPr>
    </w:lvl>
    <w:lvl w:ilvl="3" w:tplc="ECC24CC4">
      <w:numFmt w:val="bullet"/>
      <w:lvlText w:val="•"/>
      <w:lvlJc w:val="left"/>
      <w:pPr>
        <w:ind w:left="5515" w:hanging="850"/>
      </w:pPr>
      <w:rPr>
        <w:rFonts w:hint="default"/>
        <w:lang w:val="en-US" w:eastAsia="en-US" w:bidi="ar-SA"/>
      </w:rPr>
    </w:lvl>
    <w:lvl w:ilvl="4" w:tplc="65247C20">
      <w:numFmt w:val="bullet"/>
      <w:lvlText w:val="•"/>
      <w:lvlJc w:val="left"/>
      <w:pPr>
        <w:ind w:left="6173" w:hanging="850"/>
      </w:pPr>
      <w:rPr>
        <w:rFonts w:hint="default"/>
        <w:lang w:val="en-US" w:eastAsia="en-US" w:bidi="ar-SA"/>
      </w:rPr>
    </w:lvl>
    <w:lvl w:ilvl="5" w:tplc="5EB0E11C">
      <w:numFmt w:val="bullet"/>
      <w:lvlText w:val="•"/>
      <w:lvlJc w:val="left"/>
      <w:pPr>
        <w:ind w:left="6832" w:hanging="850"/>
      </w:pPr>
      <w:rPr>
        <w:rFonts w:hint="default"/>
        <w:lang w:val="en-US" w:eastAsia="en-US" w:bidi="ar-SA"/>
      </w:rPr>
    </w:lvl>
    <w:lvl w:ilvl="6" w:tplc="9B5EE6B0">
      <w:numFmt w:val="bullet"/>
      <w:lvlText w:val="•"/>
      <w:lvlJc w:val="left"/>
      <w:pPr>
        <w:ind w:left="7490" w:hanging="850"/>
      </w:pPr>
      <w:rPr>
        <w:rFonts w:hint="default"/>
        <w:lang w:val="en-US" w:eastAsia="en-US" w:bidi="ar-SA"/>
      </w:rPr>
    </w:lvl>
    <w:lvl w:ilvl="7" w:tplc="ABE4C0D4">
      <w:numFmt w:val="bullet"/>
      <w:lvlText w:val="•"/>
      <w:lvlJc w:val="left"/>
      <w:pPr>
        <w:ind w:left="8148" w:hanging="850"/>
      </w:pPr>
      <w:rPr>
        <w:rFonts w:hint="default"/>
        <w:lang w:val="en-US" w:eastAsia="en-US" w:bidi="ar-SA"/>
      </w:rPr>
    </w:lvl>
    <w:lvl w:ilvl="8" w:tplc="03B0B790">
      <w:numFmt w:val="bullet"/>
      <w:lvlText w:val="•"/>
      <w:lvlJc w:val="left"/>
      <w:pPr>
        <w:ind w:left="8807" w:hanging="850"/>
      </w:pPr>
      <w:rPr>
        <w:rFonts w:hint="default"/>
        <w:lang w:val="en-US" w:eastAsia="en-US" w:bidi="ar-SA"/>
      </w:rPr>
    </w:lvl>
  </w:abstractNum>
  <w:abstractNum w:abstractNumId="63" w15:restartNumberingAfterBreak="0">
    <w:nsid w:val="64A721D3"/>
    <w:multiLevelType w:val="hybridMultilevel"/>
    <w:tmpl w:val="BA46828E"/>
    <w:lvl w:ilvl="0" w:tplc="24CAA546">
      <w:numFmt w:val="bullet"/>
      <w:lvlText w:val=""/>
      <w:lvlJc w:val="left"/>
      <w:pPr>
        <w:ind w:left="1840" w:hanging="850"/>
      </w:pPr>
      <w:rPr>
        <w:rFonts w:ascii="Symbol" w:eastAsia="Symbol" w:hAnsi="Symbol" w:cs="Symbol" w:hint="default"/>
        <w:b w:val="0"/>
        <w:bCs w:val="0"/>
        <w:i w:val="0"/>
        <w:iCs w:val="0"/>
        <w:w w:val="100"/>
        <w:sz w:val="24"/>
        <w:szCs w:val="24"/>
        <w:lang w:val="en-US" w:eastAsia="en-US" w:bidi="ar-SA"/>
      </w:rPr>
    </w:lvl>
    <w:lvl w:ilvl="1" w:tplc="1F2078D2">
      <w:numFmt w:val="bullet"/>
      <w:lvlText w:val="•"/>
      <w:lvlJc w:val="left"/>
      <w:pPr>
        <w:ind w:left="2668" w:hanging="850"/>
      </w:pPr>
      <w:rPr>
        <w:rFonts w:hint="default"/>
        <w:lang w:val="en-US" w:eastAsia="en-US" w:bidi="ar-SA"/>
      </w:rPr>
    </w:lvl>
    <w:lvl w:ilvl="2" w:tplc="89526EBC">
      <w:numFmt w:val="bullet"/>
      <w:lvlText w:val="•"/>
      <w:lvlJc w:val="left"/>
      <w:pPr>
        <w:ind w:left="3496" w:hanging="850"/>
      </w:pPr>
      <w:rPr>
        <w:rFonts w:hint="default"/>
        <w:lang w:val="en-US" w:eastAsia="en-US" w:bidi="ar-SA"/>
      </w:rPr>
    </w:lvl>
    <w:lvl w:ilvl="3" w:tplc="84182862">
      <w:numFmt w:val="bullet"/>
      <w:lvlText w:val="•"/>
      <w:lvlJc w:val="left"/>
      <w:pPr>
        <w:ind w:left="4325" w:hanging="850"/>
      </w:pPr>
      <w:rPr>
        <w:rFonts w:hint="default"/>
        <w:lang w:val="en-US" w:eastAsia="en-US" w:bidi="ar-SA"/>
      </w:rPr>
    </w:lvl>
    <w:lvl w:ilvl="4" w:tplc="C1080672">
      <w:numFmt w:val="bullet"/>
      <w:lvlText w:val="•"/>
      <w:lvlJc w:val="left"/>
      <w:pPr>
        <w:ind w:left="5153" w:hanging="850"/>
      </w:pPr>
      <w:rPr>
        <w:rFonts w:hint="default"/>
        <w:lang w:val="en-US" w:eastAsia="en-US" w:bidi="ar-SA"/>
      </w:rPr>
    </w:lvl>
    <w:lvl w:ilvl="5" w:tplc="8D440D8C">
      <w:numFmt w:val="bullet"/>
      <w:lvlText w:val="•"/>
      <w:lvlJc w:val="left"/>
      <w:pPr>
        <w:ind w:left="5982" w:hanging="850"/>
      </w:pPr>
      <w:rPr>
        <w:rFonts w:hint="default"/>
        <w:lang w:val="en-US" w:eastAsia="en-US" w:bidi="ar-SA"/>
      </w:rPr>
    </w:lvl>
    <w:lvl w:ilvl="6" w:tplc="164CE646">
      <w:numFmt w:val="bullet"/>
      <w:lvlText w:val="•"/>
      <w:lvlJc w:val="left"/>
      <w:pPr>
        <w:ind w:left="6810" w:hanging="850"/>
      </w:pPr>
      <w:rPr>
        <w:rFonts w:hint="default"/>
        <w:lang w:val="en-US" w:eastAsia="en-US" w:bidi="ar-SA"/>
      </w:rPr>
    </w:lvl>
    <w:lvl w:ilvl="7" w:tplc="8A30B90E">
      <w:numFmt w:val="bullet"/>
      <w:lvlText w:val="•"/>
      <w:lvlJc w:val="left"/>
      <w:pPr>
        <w:ind w:left="7638" w:hanging="850"/>
      </w:pPr>
      <w:rPr>
        <w:rFonts w:hint="default"/>
        <w:lang w:val="en-US" w:eastAsia="en-US" w:bidi="ar-SA"/>
      </w:rPr>
    </w:lvl>
    <w:lvl w:ilvl="8" w:tplc="03BA3F1A">
      <w:numFmt w:val="bullet"/>
      <w:lvlText w:val="•"/>
      <w:lvlJc w:val="left"/>
      <w:pPr>
        <w:ind w:left="8467" w:hanging="850"/>
      </w:pPr>
      <w:rPr>
        <w:rFonts w:hint="default"/>
        <w:lang w:val="en-US" w:eastAsia="en-US" w:bidi="ar-SA"/>
      </w:rPr>
    </w:lvl>
  </w:abstractNum>
  <w:abstractNum w:abstractNumId="64" w15:restartNumberingAfterBreak="0">
    <w:nsid w:val="662C6278"/>
    <w:multiLevelType w:val="hybridMultilevel"/>
    <w:tmpl w:val="3FB08DEE"/>
    <w:lvl w:ilvl="0" w:tplc="A55429A0">
      <w:start w:val="1"/>
      <w:numFmt w:val="decimal"/>
      <w:lvlText w:val="%1."/>
      <w:lvlJc w:val="left"/>
      <w:pPr>
        <w:ind w:left="504" w:hanging="360"/>
      </w:pPr>
      <w:rPr>
        <w:rFonts w:hint="default"/>
      </w:rPr>
    </w:lvl>
    <w:lvl w:ilvl="1" w:tplc="0C090019" w:tentative="1">
      <w:start w:val="1"/>
      <w:numFmt w:val="lowerLetter"/>
      <w:lvlText w:val="%2."/>
      <w:lvlJc w:val="left"/>
      <w:pPr>
        <w:ind w:left="1224" w:hanging="360"/>
      </w:pPr>
    </w:lvl>
    <w:lvl w:ilvl="2" w:tplc="0C09001B" w:tentative="1">
      <w:start w:val="1"/>
      <w:numFmt w:val="lowerRoman"/>
      <w:lvlText w:val="%3."/>
      <w:lvlJc w:val="right"/>
      <w:pPr>
        <w:ind w:left="1944" w:hanging="180"/>
      </w:pPr>
    </w:lvl>
    <w:lvl w:ilvl="3" w:tplc="0C09000F" w:tentative="1">
      <w:start w:val="1"/>
      <w:numFmt w:val="decimal"/>
      <w:lvlText w:val="%4."/>
      <w:lvlJc w:val="left"/>
      <w:pPr>
        <w:ind w:left="2664" w:hanging="360"/>
      </w:pPr>
    </w:lvl>
    <w:lvl w:ilvl="4" w:tplc="0C090019" w:tentative="1">
      <w:start w:val="1"/>
      <w:numFmt w:val="lowerLetter"/>
      <w:lvlText w:val="%5."/>
      <w:lvlJc w:val="left"/>
      <w:pPr>
        <w:ind w:left="3384" w:hanging="360"/>
      </w:pPr>
    </w:lvl>
    <w:lvl w:ilvl="5" w:tplc="0C09001B" w:tentative="1">
      <w:start w:val="1"/>
      <w:numFmt w:val="lowerRoman"/>
      <w:lvlText w:val="%6."/>
      <w:lvlJc w:val="right"/>
      <w:pPr>
        <w:ind w:left="4104" w:hanging="180"/>
      </w:pPr>
    </w:lvl>
    <w:lvl w:ilvl="6" w:tplc="0C09000F" w:tentative="1">
      <w:start w:val="1"/>
      <w:numFmt w:val="decimal"/>
      <w:lvlText w:val="%7."/>
      <w:lvlJc w:val="left"/>
      <w:pPr>
        <w:ind w:left="4824" w:hanging="360"/>
      </w:pPr>
    </w:lvl>
    <w:lvl w:ilvl="7" w:tplc="0C090019" w:tentative="1">
      <w:start w:val="1"/>
      <w:numFmt w:val="lowerLetter"/>
      <w:lvlText w:val="%8."/>
      <w:lvlJc w:val="left"/>
      <w:pPr>
        <w:ind w:left="5544" w:hanging="360"/>
      </w:pPr>
    </w:lvl>
    <w:lvl w:ilvl="8" w:tplc="0C09001B" w:tentative="1">
      <w:start w:val="1"/>
      <w:numFmt w:val="lowerRoman"/>
      <w:lvlText w:val="%9."/>
      <w:lvlJc w:val="right"/>
      <w:pPr>
        <w:ind w:left="6264" w:hanging="180"/>
      </w:pPr>
    </w:lvl>
  </w:abstractNum>
  <w:abstractNum w:abstractNumId="65" w15:restartNumberingAfterBreak="0">
    <w:nsid w:val="66910E9F"/>
    <w:multiLevelType w:val="hybridMultilevel"/>
    <w:tmpl w:val="3D3C7724"/>
    <w:lvl w:ilvl="0" w:tplc="04044A58">
      <w:numFmt w:val="bullet"/>
      <w:lvlText w:val=""/>
      <w:lvlJc w:val="left"/>
      <w:pPr>
        <w:ind w:left="1840" w:hanging="850"/>
      </w:pPr>
      <w:rPr>
        <w:rFonts w:ascii="Symbol" w:eastAsia="Symbol" w:hAnsi="Symbol" w:cs="Symbol" w:hint="default"/>
        <w:b w:val="0"/>
        <w:bCs w:val="0"/>
        <w:i w:val="0"/>
        <w:iCs w:val="0"/>
        <w:w w:val="100"/>
        <w:sz w:val="24"/>
        <w:szCs w:val="24"/>
        <w:lang w:val="en-US" w:eastAsia="en-US" w:bidi="ar-SA"/>
      </w:rPr>
    </w:lvl>
    <w:lvl w:ilvl="1" w:tplc="5EBE2894">
      <w:numFmt w:val="bullet"/>
      <w:lvlText w:val="•"/>
      <w:lvlJc w:val="left"/>
      <w:pPr>
        <w:ind w:left="2668" w:hanging="850"/>
      </w:pPr>
      <w:rPr>
        <w:rFonts w:hint="default"/>
        <w:lang w:val="en-US" w:eastAsia="en-US" w:bidi="ar-SA"/>
      </w:rPr>
    </w:lvl>
    <w:lvl w:ilvl="2" w:tplc="3794B18A">
      <w:numFmt w:val="bullet"/>
      <w:lvlText w:val="•"/>
      <w:lvlJc w:val="left"/>
      <w:pPr>
        <w:ind w:left="3496" w:hanging="850"/>
      </w:pPr>
      <w:rPr>
        <w:rFonts w:hint="default"/>
        <w:lang w:val="en-US" w:eastAsia="en-US" w:bidi="ar-SA"/>
      </w:rPr>
    </w:lvl>
    <w:lvl w:ilvl="3" w:tplc="7E842ED6">
      <w:numFmt w:val="bullet"/>
      <w:lvlText w:val="•"/>
      <w:lvlJc w:val="left"/>
      <w:pPr>
        <w:ind w:left="4325" w:hanging="850"/>
      </w:pPr>
      <w:rPr>
        <w:rFonts w:hint="default"/>
        <w:lang w:val="en-US" w:eastAsia="en-US" w:bidi="ar-SA"/>
      </w:rPr>
    </w:lvl>
    <w:lvl w:ilvl="4" w:tplc="14185C56">
      <w:numFmt w:val="bullet"/>
      <w:lvlText w:val="•"/>
      <w:lvlJc w:val="left"/>
      <w:pPr>
        <w:ind w:left="5153" w:hanging="850"/>
      </w:pPr>
      <w:rPr>
        <w:rFonts w:hint="default"/>
        <w:lang w:val="en-US" w:eastAsia="en-US" w:bidi="ar-SA"/>
      </w:rPr>
    </w:lvl>
    <w:lvl w:ilvl="5" w:tplc="BAFE3B56">
      <w:numFmt w:val="bullet"/>
      <w:lvlText w:val="•"/>
      <w:lvlJc w:val="left"/>
      <w:pPr>
        <w:ind w:left="5982" w:hanging="850"/>
      </w:pPr>
      <w:rPr>
        <w:rFonts w:hint="default"/>
        <w:lang w:val="en-US" w:eastAsia="en-US" w:bidi="ar-SA"/>
      </w:rPr>
    </w:lvl>
    <w:lvl w:ilvl="6" w:tplc="DCDCA27C">
      <w:numFmt w:val="bullet"/>
      <w:lvlText w:val="•"/>
      <w:lvlJc w:val="left"/>
      <w:pPr>
        <w:ind w:left="6810" w:hanging="850"/>
      </w:pPr>
      <w:rPr>
        <w:rFonts w:hint="default"/>
        <w:lang w:val="en-US" w:eastAsia="en-US" w:bidi="ar-SA"/>
      </w:rPr>
    </w:lvl>
    <w:lvl w:ilvl="7" w:tplc="1FF20156">
      <w:numFmt w:val="bullet"/>
      <w:lvlText w:val="•"/>
      <w:lvlJc w:val="left"/>
      <w:pPr>
        <w:ind w:left="7638" w:hanging="850"/>
      </w:pPr>
      <w:rPr>
        <w:rFonts w:hint="default"/>
        <w:lang w:val="en-US" w:eastAsia="en-US" w:bidi="ar-SA"/>
      </w:rPr>
    </w:lvl>
    <w:lvl w:ilvl="8" w:tplc="939C5DB2">
      <w:numFmt w:val="bullet"/>
      <w:lvlText w:val="•"/>
      <w:lvlJc w:val="left"/>
      <w:pPr>
        <w:ind w:left="8467" w:hanging="850"/>
      </w:pPr>
      <w:rPr>
        <w:rFonts w:hint="default"/>
        <w:lang w:val="en-US" w:eastAsia="en-US" w:bidi="ar-SA"/>
      </w:rPr>
    </w:lvl>
  </w:abstractNum>
  <w:abstractNum w:abstractNumId="66" w15:restartNumberingAfterBreak="0">
    <w:nsid w:val="67D409FE"/>
    <w:multiLevelType w:val="hybridMultilevel"/>
    <w:tmpl w:val="2166D05C"/>
    <w:lvl w:ilvl="0" w:tplc="F2D20014">
      <w:start w:val="1"/>
      <w:numFmt w:val="decimal"/>
      <w:lvlText w:val="%1."/>
      <w:lvlJc w:val="left"/>
      <w:pPr>
        <w:ind w:left="2545" w:hanging="850"/>
      </w:pPr>
      <w:rPr>
        <w:rFonts w:ascii="Calibri" w:eastAsia="Calibri" w:hAnsi="Calibri" w:cs="Calibri" w:hint="default"/>
        <w:b/>
        <w:bCs/>
        <w:i w:val="0"/>
        <w:iCs w:val="0"/>
        <w:spacing w:val="-2"/>
        <w:w w:val="100"/>
        <w:sz w:val="24"/>
        <w:szCs w:val="24"/>
        <w:lang w:val="en-US" w:eastAsia="en-US" w:bidi="ar-SA"/>
      </w:rPr>
    </w:lvl>
    <w:lvl w:ilvl="1" w:tplc="48EAD00A">
      <w:numFmt w:val="bullet"/>
      <w:lvlText w:val="•"/>
      <w:lvlJc w:val="left"/>
      <w:pPr>
        <w:ind w:left="3298" w:hanging="850"/>
      </w:pPr>
      <w:rPr>
        <w:rFonts w:hint="default"/>
        <w:lang w:val="en-US" w:eastAsia="en-US" w:bidi="ar-SA"/>
      </w:rPr>
    </w:lvl>
    <w:lvl w:ilvl="2" w:tplc="91D64D78">
      <w:numFmt w:val="bullet"/>
      <w:lvlText w:val="•"/>
      <w:lvlJc w:val="left"/>
      <w:pPr>
        <w:ind w:left="4056" w:hanging="850"/>
      </w:pPr>
      <w:rPr>
        <w:rFonts w:hint="default"/>
        <w:lang w:val="en-US" w:eastAsia="en-US" w:bidi="ar-SA"/>
      </w:rPr>
    </w:lvl>
    <w:lvl w:ilvl="3" w:tplc="604CE098">
      <w:numFmt w:val="bullet"/>
      <w:lvlText w:val="•"/>
      <w:lvlJc w:val="left"/>
      <w:pPr>
        <w:ind w:left="4815" w:hanging="850"/>
      </w:pPr>
      <w:rPr>
        <w:rFonts w:hint="default"/>
        <w:lang w:val="en-US" w:eastAsia="en-US" w:bidi="ar-SA"/>
      </w:rPr>
    </w:lvl>
    <w:lvl w:ilvl="4" w:tplc="A99C7988">
      <w:numFmt w:val="bullet"/>
      <w:lvlText w:val="•"/>
      <w:lvlJc w:val="left"/>
      <w:pPr>
        <w:ind w:left="5573" w:hanging="850"/>
      </w:pPr>
      <w:rPr>
        <w:rFonts w:hint="default"/>
        <w:lang w:val="en-US" w:eastAsia="en-US" w:bidi="ar-SA"/>
      </w:rPr>
    </w:lvl>
    <w:lvl w:ilvl="5" w:tplc="D49ACC32">
      <w:numFmt w:val="bullet"/>
      <w:lvlText w:val="•"/>
      <w:lvlJc w:val="left"/>
      <w:pPr>
        <w:ind w:left="6332" w:hanging="850"/>
      </w:pPr>
      <w:rPr>
        <w:rFonts w:hint="default"/>
        <w:lang w:val="en-US" w:eastAsia="en-US" w:bidi="ar-SA"/>
      </w:rPr>
    </w:lvl>
    <w:lvl w:ilvl="6" w:tplc="167CD3A4">
      <w:numFmt w:val="bullet"/>
      <w:lvlText w:val="•"/>
      <w:lvlJc w:val="left"/>
      <w:pPr>
        <w:ind w:left="7090" w:hanging="850"/>
      </w:pPr>
      <w:rPr>
        <w:rFonts w:hint="default"/>
        <w:lang w:val="en-US" w:eastAsia="en-US" w:bidi="ar-SA"/>
      </w:rPr>
    </w:lvl>
    <w:lvl w:ilvl="7" w:tplc="E432FB86">
      <w:numFmt w:val="bullet"/>
      <w:lvlText w:val="•"/>
      <w:lvlJc w:val="left"/>
      <w:pPr>
        <w:ind w:left="7848" w:hanging="850"/>
      </w:pPr>
      <w:rPr>
        <w:rFonts w:hint="default"/>
        <w:lang w:val="en-US" w:eastAsia="en-US" w:bidi="ar-SA"/>
      </w:rPr>
    </w:lvl>
    <w:lvl w:ilvl="8" w:tplc="F2DA40B8">
      <w:numFmt w:val="bullet"/>
      <w:lvlText w:val="•"/>
      <w:lvlJc w:val="left"/>
      <w:pPr>
        <w:ind w:left="8607" w:hanging="850"/>
      </w:pPr>
      <w:rPr>
        <w:rFonts w:hint="default"/>
        <w:lang w:val="en-US" w:eastAsia="en-US" w:bidi="ar-SA"/>
      </w:rPr>
    </w:lvl>
  </w:abstractNum>
  <w:abstractNum w:abstractNumId="67" w15:restartNumberingAfterBreak="0">
    <w:nsid w:val="68DD34F9"/>
    <w:multiLevelType w:val="hybridMultilevel"/>
    <w:tmpl w:val="BF629B5E"/>
    <w:lvl w:ilvl="0" w:tplc="F7A89CEA">
      <w:numFmt w:val="bullet"/>
      <w:lvlText w:val=""/>
      <w:lvlJc w:val="left"/>
      <w:pPr>
        <w:ind w:left="1835" w:hanging="850"/>
      </w:pPr>
      <w:rPr>
        <w:rFonts w:ascii="Symbol" w:eastAsia="Symbol" w:hAnsi="Symbol" w:cs="Symbol" w:hint="default"/>
        <w:b w:val="0"/>
        <w:bCs w:val="0"/>
        <w:i w:val="0"/>
        <w:iCs w:val="0"/>
        <w:w w:val="100"/>
        <w:sz w:val="24"/>
        <w:szCs w:val="24"/>
        <w:lang w:val="en-US" w:eastAsia="en-US" w:bidi="ar-SA"/>
      </w:rPr>
    </w:lvl>
    <w:lvl w:ilvl="1" w:tplc="27E85350">
      <w:numFmt w:val="bullet"/>
      <w:lvlText w:val="•"/>
      <w:lvlJc w:val="left"/>
      <w:pPr>
        <w:ind w:left="2668" w:hanging="850"/>
      </w:pPr>
      <w:rPr>
        <w:rFonts w:hint="default"/>
        <w:lang w:val="en-US" w:eastAsia="en-US" w:bidi="ar-SA"/>
      </w:rPr>
    </w:lvl>
    <w:lvl w:ilvl="2" w:tplc="97C867C0">
      <w:numFmt w:val="bullet"/>
      <w:lvlText w:val="•"/>
      <w:lvlJc w:val="left"/>
      <w:pPr>
        <w:ind w:left="3496" w:hanging="850"/>
      </w:pPr>
      <w:rPr>
        <w:rFonts w:hint="default"/>
        <w:lang w:val="en-US" w:eastAsia="en-US" w:bidi="ar-SA"/>
      </w:rPr>
    </w:lvl>
    <w:lvl w:ilvl="3" w:tplc="A6024CE8">
      <w:numFmt w:val="bullet"/>
      <w:lvlText w:val="•"/>
      <w:lvlJc w:val="left"/>
      <w:pPr>
        <w:ind w:left="4325" w:hanging="850"/>
      </w:pPr>
      <w:rPr>
        <w:rFonts w:hint="default"/>
        <w:lang w:val="en-US" w:eastAsia="en-US" w:bidi="ar-SA"/>
      </w:rPr>
    </w:lvl>
    <w:lvl w:ilvl="4" w:tplc="D98A29F8">
      <w:numFmt w:val="bullet"/>
      <w:lvlText w:val="•"/>
      <w:lvlJc w:val="left"/>
      <w:pPr>
        <w:ind w:left="5153" w:hanging="850"/>
      </w:pPr>
      <w:rPr>
        <w:rFonts w:hint="default"/>
        <w:lang w:val="en-US" w:eastAsia="en-US" w:bidi="ar-SA"/>
      </w:rPr>
    </w:lvl>
    <w:lvl w:ilvl="5" w:tplc="52527664">
      <w:numFmt w:val="bullet"/>
      <w:lvlText w:val="•"/>
      <w:lvlJc w:val="left"/>
      <w:pPr>
        <w:ind w:left="5982" w:hanging="850"/>
      </w:pPr>
      <w:rPr>
        <w:rFonts w:hint="default"/>
        <w:lang w:val="en-US" w:eastAsia="en-US" w:bidi="ar-SA"/>
      </w:rPr>
    </w:lvl>
    <w:lvl w:ilvl="6" w:tplc="7EDE8C3E">
      <w:numFmt w:val="bullet"/>
      <w:lvlText w:val="•"/>
      <w:lvlJc w:val="left"/>
      <w:pPr>
        <w:ind w:left="6810" w:hanging="850"/>
      </w:pPr>
      <w:rPr>
        <w:rFonts w:hint="default"/>
        <w:lang w:val="en-US" w:eastAsia="en-US" w:bidi="ar-SA"/>
      </w:rPr>
    </w:lvl>
    <w:lvl w:ilvl="7" w:tplc="CF4AFBEC">
      <w:numFmt w:val="bullet"/>
      <w:lvlText w:val="•"/>
      <w:lvlJc w:val="left"/>
      <w:pPr>
        <w:ind w:left="7638" w:hanging="850"/>
      </w:pPr>
      <w:rPr>
        <w:rFonts w:hint="default"/>
        <w:lang w:val="en-US" w:eastAsia="en-US" w:bidi="ar-SA"/>
      </w:rPr>
    </w:lvl>
    <w:lvl w:ilvl="8" w:tplc="2D963B36">
      <w:numFmt w:val="bullet"/>
      <w:lvlText w:val="•"/>
      <w:lvlJc w:val="left"/>
      <w:pPr>
        <w:ind w:left="8467" w:hanging="850"/>
      </w:pPr>
      <w:rPr>
        <w:rFonts w:hint="default"/>
        <w:lang w:val="en-US" w:eastAsia="en-US" w:bidi="ar-SA"/>
      </w:rPr>
    </w:lvl>
  </w:abstractNum>
  <w:abstractNum w:abstractNumId="68" w15:restartNumberingAfterBreak="0">
    <w:nsid w:val="6B0143E7"/>
    <w:multiLevelType w:val="hybridMultilevel"/>
    <w:tmpl w:val="63AC3A50"/>
    <w:lvl w:ilvl="0" w:tplc="76725EBA">
      <w:start w:val="1"/>
      <w:numFmt w:val="decimal"/>
      <w:lvlText w:val="%1."/>
      <w:lvlJc w:val="left"/>
      <w:pPr>
        <w:ind w:left="2689" w:hanging="850"/>
      </w:pPr>
      <w:rPr>
        <w:rFonts w:ascii="Calibri" w:eastAsia="Calibri" w:hAnsi="Calibri" w:cs="Calibri" w:hint="default"/>
        <w:b/>
        <w:bCs/>
        <w:i w:val="0"/>
        <w:iCs w:val="0"/>
        <w:spacing w:val="-2"/>
        <w:w w:val="100"/>
        <w:sz w:val="24"/>
        <w:szCs w:val="24"/>
        <w:lang w:val="en-US" w:eastAsia="en-US" w:bidi="ar-SA"/>
      </w:rPr>
    </w:lvl>
    <w:lvl w:ilvl="1" w:tplc="68BA3B46">
      <w:start w:val="1"/>
      <w:numFmt w:val="lowerLetter"/>
      <w:lvlText w:val="(%2)"/>
      <w:lvlJc w:val="left"/>
      <w:pPr>
        <w:ind w:left="3539" w:hanging="850"/>
      </w:pPr>
      <w:rPr>
        <w:rFonts w:ascii="Calibri" w:eastAsia="Calibri" w:hAnsi="Calibri" w:cs="Calibri" w:hint="default"/>
        <w:b w:val="0"/>
        <w:bCs w:val="0"/>
        <w:i w:val="0"/>
        <w:iCs w:val="0"/>
        <w:spacing w:val="-1"/>
        <w:w w:val="100"/>
        <w:sz w:val="24"/>
        <w:szCs w:val="24"/>
        <w:u w:val="single" w:color="000000"/>
        <w:lang w:val="en-US" w:eastAsia="en-US" w:bidi="ar-SA"/>
      </w:rPr>
    </w:lvl>
    <w:lvl w:ilvl="2" w:tplc="7DFED810">
      <w:numFmt w:val="bullet"/>
      <w:lvlText w:val="•"/>
      <w:lvlJc w:val="left"/>
      <w:pPr>
        <w:ind w:left="4271" w:hanging="850"/>
      </w:pPr>
      <w:rPr>
        <w:rFonts w:hint="default"/>
        <w:lang w:val="en-US" w:eastAsia="en-US" w:bidi="ar-SA"/>
      </w:rPr>
    </w:lvl>
    <w:lvl w:ilvl="3" w:tplc="97E26500">
      <w:numFmt w:val="bullet"/>
      <w:lvlText w:val="•"/>
      <w:lvlJc w:val="left"/>
      <w:pPr>
        <w:ind w:left="5003" w:hanging="850"/>
      </w:pPr>
      <w:rPr>
        <w:rFonts w:hint="default"/>
        <w:lang w:val="en-US" w:eastAsia="en-US" w:bidi="ar-SA"/>
      </w:rPr>
    </w:lvl>
    <w:lvl w:ilvl="4" w:tplc="09A6971C">
      <w:numFmt w:val="bullet"/>
      <w:lvlText w:val="•"/>
      <w:lvlJc w:val="left"/>
      <w:pPr>
        <w:ind w:left="5734" w:hanging="850"/>
      </w:pPr>
      <w:rPr>
        <w:rFonts w:hint="default"/>
        <w:lang w:val="en-US" w:eastAsia="en-US" w:bidi="ar-SA"/>
      </w:rPr>
    </w:lvl>
    <w:lvl w:ilvl="5" w:tplc="93523410">
      <w:numFmt w:val="bullet"/>
      <w:lvlText w:val="•"/>
      <w:lvlJc w:val="left"/>
      <w:pPr>
        <w:ind w:left="6466" w:hanging="850"/>
      </w:pPr>
      <w:rPr>
        <w:rFonts w:hint="default"/>
        <w:lang w:val="en-US" w:eastAsia="en-US" w:bidi="ar-SA"/>
      </w:rPr>
    </w:lvl>
    <w:lvl w:ilvl="6" w:tplc="8F8C676C">
      <w:numFmt w:val="bullet"/>
      <w:lvlText w:val="•"/>
      <w:lvlJc w:val="left"/>
      <w:pPr>
        <w:ind w:left="7197" w:hanging="850"/>
      </w:pPr>
      <w:rPr>
        <w:rFonts w:hint="default"/>
        <w:lang w:val="en-US" w:eastAsia="en-US" w:bidi="ar-SA"/>
      </w:rPr>
    </w:lvl>
    <w:lvl w:ilvl="7" w:tplc="1D548858">
      <w:numFmt w:val="bullet"/>
      <w:lvlText w:val="•"/>
      <w:lvlJc w:val="left"/>
      <w:pPr>
        <w:ind w:left="7929" w:hanging="850"/>
      </w:pPr>
      <w:rPr>
        <w:rFonts w:hint="default"/>
        <w:lang w:val="en-US" w:eastAsia="en-US" w:bidi="ar-SA"/>
      </w:rPr>
    </w:lvl>
    <w:lvl w:ilvl="8" w:tplc="27483C02">
      <w:numFmt w:val="bullet"/>
      <w:lvlText w:val="•"/>
      <w:lvlJc w:val="left"/>
      <w:pPr>
        <w:ind w:left="8660" w:hanging="850"/>
      </w:pPr>
      <w:rPr>
        <w:rFonts w:hint="default"/>
        <w:lang w:val="en-US" w:eastAsia="en-US" w:bidi="ar-SA"/>
      </w:rPr>
    </w:lvl>
  </w:abstractNum>
  <w:abstractNum w:abstractNumId="69" w15:restartNumberingAfterBreak="0">
    <w:nsid w:val="6DAC28FE"/>
    <w:multiLevelType w:val="hybridMultilevel"/>
    <w:tmpl w:val="B170A56A"/>
    <w:lvl w:ilvl="0" w:tplc="87B0DD22">
      <w:start w:val="1"/>
      <w:numFmt w:val="upperRoman"/>
      <w:lvlText w:val="%1."/>
      <w:lvlJc w:val="left"/>
      <w:pPr>
        <w:ind w:left="985" w:hanging="850"/>
      </w:pPr>
      <w:rPr>
        <w:rFonts w:ascii="Calibri" w:eastAsia="Calibri" w:hAnsi="Calibri" w:cs="Calibri" w:hint="default"/>
        <w:b/>
        <w:bCs/>
        <w:i w:val="0"/>
        <w:iCs w:val="0"/>
        <w:spacing w:val="0"/>
        <w:w w:val="99"/>
        <w:sz w:val="28"/>
        <w:szCs w:val="28"/>
        <w:lang w:val="en-US" w:eastAsia="en-US" w:bidi="ar-SA"/>
      </w:rPr>
    </w:lvl>
    <w:lvl w:ilvl="1" w:tplc="DC6224A6">
      <w:start w:val="1"/>
      <w:numFmt w:val="upperLetter"/>
      <w:lvlText w:val="%2."/>
      <w:lvlJc w:val="left"/>
      <w:pPr>
        <w:ind w:left="1839" w:hanging="855"/>
      </w:pPr>
      <w:rPr>
        <w:rFonts w:ascii="Calibri" w:eastAsia="Calibri" w:hAnsi="Calibri" w:cs="Calibri" w:hint="default"/>
        <w:b/>
        <w:bCs/>
        <w:i w:val="0"/>
        <w:iCs w:val="0"/>
        <w:spacing w:val="-1"/>
        <w:w w:val="99"/>
        <w:sz w:val="28"/>
        <w:szCs w:val="28"/>
        <w:lang w:val="en-US" w:eastAsia="en-US" w:bidi="ar-SA"/>
      </w:rPr>
    </w:lvl>
    <w:lvl w:ilvl="2" w:tplc="670CD588">
      <w:numFmt w:val="bullet"/>
      <w:lvlText w:val=""/>
      <w:lvlJc w:val="left"/>
      <w:pPr>
        <w:ind w:left="1835" w:hanging="850"/>
      </w:pPr>
      <w:rPr>
        <w:rFonts w:ascii="Symbol" w:eastAsia="Symbol" w:hAnsi="Symbol" w:cs="Symbol" w:hint="default"/>
        <w:b w:val="0"/>
        <w:bCs w:val="0"/>
        <w:i w:val="0"/>
        <w:iCs w:val="0"/>
        <w:w w:val="100"/>
        <w:sz w:val="24"/>
        <w:szCs w:val="24"/>
        <w:lang w:val="en-US" w:eastAsia="en-US" w:bidi="ar-SA"/>
      </w:rPr>
    </w:lvl>
    <w:lvl w:ilvl="3" w:tplc="72F230BA">
      <w:numFmt w:val="bullet"/>
      <w:lvlText w:val="•"/>
      <w:lvlJc w:val="left"/>
      <w:pPr>
        <w:ind w:left="2875" w:hanging="850"/>
      </w:pPr>
      <w:rPr>
        <w:rFonts w:hint="default"/>
        <w:lang w:val="en-US" w:eastAsia="en-US" w:bidi="ar-SA"/>
      </w:rPr>
    </w:lvl>
    <w:lvl w:ilvl="4" w:tplc="9FAAD138">
      <w:numFmt w:val="bullet"/>
      <w:lvlText w:val="•"/>
      <w:lvlJc w:val="left"/>
      <w:pPr>
        <w:ind w:left="3911" w:hanging="850"/>
      </w:pPr>
      <w:rPr>
        <w:rFonts w:hint="default"/>
        <w:lang w:val="en-US" w:eastAsia="en-US" w:bidi="ar-SA"/>
      </w:rPr>
    </w:lvl>
    <w:lvl w:ilvl="5" w:tplc="F8E2781E">
      <w:numFmt w:val="bullet"/>
      <w:lvlText w:val="•"/>
      <w:lvlJc w:val="left"/>
      <w:pPr>
        <w:ind w:left="4946" w:hanging="850"/>
      </w:pPr>
      <w:rPr>
        <w:rFonts w:hint="default"/>
        <w:lang w:val="en-US" w:eastAsia="en-US" w:bidi="ar-SA"/>
      </w:rPr>
    </w:lvl>
    <w:lvl w:ilvl="6" w:tplc="7958C418">
      <w:numFmt w:val="bullet"/>
      <w:lvlText w:val="•"/>
      <w:lvlJc w:val="left"/>
      <w:pPr>
        <w:ind w:left="5982" w:hanging="850"/>
      </w:pPr>
      <w:rPr>
        <w:rFonts w:hint="default"/>
        <w:lang w:val="en-US" w:eastAsia="en-US" w:bidi="ar-SA"/>
      </w:rPr>
    </w:lvl>
    <w:lvl w:ilvl="7" w:tplc="62C6DDC8">
      <w:numFmt w:val="bullet"/>
      <w:lvlText w:val="•"/>
      <w:lvlJc w:val="left"/>
      <w:pPr>
        <w:ind w:left="7017" w:hanging="850"/>
      </w:pPr>
      <w:rPr>
        <w:rFonts w:hint="default"/>
        <w:lang w:val="en-US" w:eastAsia="en-US" w:bidi="ar-SA"/>
      </w:rPr>
    </w:lvl>
    <w:lvl w:ilvl="8" w:tplc="D6D64E62">
      <w:numFmt w:val="bullet"/>
      <w:lvlText w:val="•"/>
      <w:lvlJc w:val="left"/>
      <w:pPr>
        <w:ind w:left="8053" w:hanging="850"/>
      </w:pPr>
      <w:rPr>
        <w:rFonts w:hint="default"/>
        <w:lang w:val="en-US" w:eastAsia="en-US" w:bidi="ar-SA"/>
      </w:rPr>
    </w:lvl>
  </w:abstractNum>
  <w:abstractNum w:abstractNumId="70" w15:restartNumberingAfterBreak="0">
    <w:nsid w:val="6E685094"/>
    <w:multiLevelType w:val="hybridMultilevel"/>
    <w:tmpl w:val="F462E1E4"/>
    <w:lvl w:ilvl="0" w:tplc="68BA18C0">
      <w:start w:val="1"/>
      <w:numFmt w:val="lowerLetter"/>
      <w:lvlText w:val="(%1)"/>
      <w:lvlJc w:val="left"/>
      <w:pPr>
        <w:ind w:left="3539" w:hanging="850"/>
      </w:pPr>
      <w:rPr>
        <w:rFonts w:ascii="Calibri" w:eastAsia="Calibri" w:hAnsi="Calibri" w:cs="Calibri" w:hint="default"/>
        <w:b w:val="0"/>
        <w:bCs w:val="0"/>
        <w:i w:val="0"/>
        <w:iCs w:val="0"/>
        <w:spacing w:val="-1"/>
        <w:w w:val="100"/>
        <w:sz w:val="24"/>
        <w:szCs w:val="24"/>
        <w:u w:val="single" w:color="000000"/>
        <w:lang w:val="en-US" w:eastAsia="en-US" w:bidi="ar-SA"/>
      </w:rPr>
    </w:lvl>
    <w:lvl w:ilvl="1" w:tplc="E24287DE">
      <w:start w:val="1"/>
      <w:numFmt w:val="lowerRoman"/>
      <w:lvlText w:val="%2."/>
      <w:lvlJc w:val="left"/>
      <w:pPr>
        <w:ind w:left="4388" w:hanging="850"/>
      </w:pPr>
      <w:rPr>
        <w:rFonts w:ascii="Calibri" w:eastAsia="Calibri" w:hAnsi="Calibri" w:cs="Calibri" w:hint="default"/>
        <w:b w:val="0"/>
        <w:bCs w:val="0"/>
        <w:i/>
        <w:iCs/>
        <w:spacing w:val="0"/>
        <w:w w:val="100"/>
        <w:sz w:val="24"/>
        <w:szCs w:val="24"/>
        <w:lang w:val="en-US" w:eastAsia="en-US" w:bidi="ar-SA"/>
      </w:rPr>
    </w:lvl>
    <w:lvl w:ilvl="2" w:tplc="F446AA28">
      <w:start w:val="1"/>
      <w:numFmt w:val="upperLetter"/>
      <w:lvlText w:val="(%3)"/>
      <w:lvlJc w:val="left"/>
      <w:pPr>
        <w:ind w:left="5238" w:hanging="850"/>
      </w:pPr>
      <w:rPr>
        <w:rFonts w:ascii="Calibri" w:eastAsia="Calibri" w:hAnsi="Calibri" w:cs="Calibri" w:hint="default"/>
        <w:b w:val="0"/>
        <w:bCs w:val="0"/>
        <w:i w:val="0"/>
        <w:iCs w:val="0"/>
        <w:spacing w:val="-1"/>
        <w:w w:val="100"/>
        <w:sz w:val="24"/>
        <w:szCs w:val="24"/>
        <w:lang w:val="en-US" w:eastAsia="en-US" w:bidi="ar-SA"/>
      </w:rPr>
    </w:lvl>
    <w:lvl w:ilvl="3" w:tplc="37B8E26A">
      <w:numFmt w:val="bullet"/>
      <w:lvlText w:val="•"/>
      <w:lvlJc w:val="left"/>
      <w:pPr>
        <w:ind w:left="5850" w:hanging="850"/>
      </w:pPr>
      <w:rPr>
        <w:rFonts w:hint="default"/>
        <w:lang w:val="en-US" w:eastAsia="en-US" w:bidi="ar-SA"/>
      </w:rPr>
    </w:lvl>
    <w:lvl w:ilvl="4" w:tplc="8BA01712">
      <w:numFmt w:val="bullet"/>
      <w:lvlText w:val="•"/>
      <w:lvlJc w:val="left"/>
      <w:pPr>
        <w:ind w:left="6461" w:hanging="850"/>
      </w:pPr>
      <w:rPr>
        <w:rFonts w:hint="default"/>
        <w:lang w:val="en-US" w:eastAsia="en-US" w:bidi="ar-SA"/>
      </w:rPr>
    </w:lvl>
    <w:lvl w:ilvl="5" w:tplc="6CCC2B20">
      <w:numFmt w:val="bullet"/>
      <w:lvlText w:val="•"/>
      <w:lvlJc w:val="left"/>
      <w:pPr>
        <w:ind w:left="7071" w:hanging="850"/>
      </w:pPr>
      <w:rPr>
        <w:rFonts w:hint="default"/>
        <w:lang w:val="en-US" w:eastAsia="en-US" w:bidi="ar-SA"/>
      </w:rPr>
    </w:lvl>
    <w:lvl w:ilvl="6" w:tplc="CC624A6E">
      <w:numFmt w:val="bullet"/>
      <w:lvlText w:val="•"/>
      <w:lvlJc w:val="left"/>
      <w:pPr>
        <w:ind w:left="7682" w:hanging="850"/>
      </w:pPr>
      <w:rPr>
        <w:rFonts w:hint="default"/>
        <w:lang w:val="en-US" w:eastAsia="en-US" w:bidi="ar-SA"/>
      </w:rPr>
    </w:lvl>
    <w:lvl w:ilvl="7" w:tplc="F32ECFB8">
      <w:numFmt w:val="bullet"/>
      <w:lvlText w:val="•"/>
      <w:lvlJc w:val="left"/>
      <w:pPr>
        <w:ind w:left="8292" w:hanging="850"/>
      </w:pPr>
      <w:rPr>
        <w:rFonts w:hint="default"/>
        <w:lang w:val="en-US" w:eastAsia="en-US" w:bidi="ar-SA"/>
      </w:rPr>
    </w:lvl>
    <w:lvl w:ilvl="8" w:tplc="4A62F1A0">
      <w:numFmt w:val="bullet"/>
      <w:lvlText w:val="•"/>
      <w:lvlJc w:val="left"/>
      <w:pPr>
        <w:ind w:left="8903" w:hanging="850"/>
      </w:pPr>
      <w:rPr>
        <w:rFonts w:hint="default"/>
        <w:lang w:val="en-US" w:eastAsia="en-US" w:bidi="ar-SA"/>
      </w:rPr>
    </w:lvl>
  </w:abstractNum>
  <w:abstractNum w:abstractNumId="71" w15:restartNumberingAfterBreak="0">
    <w:nsid w:val="7121615C"/>
    <w:multiLevelType w:val="hybridMultilevel"/>
    <w:tmpl w:val="CE4A770A"/>
    <w:lvl w:ilvl="0" w:tplc="6554B5AA">
      <w:start w:val="1"/>
      <w:numFmt w:val="decimal"/>
      <w:lvlText w:val="%1."/>
      <w:lvlJc w:val="left"/>
      <w:pPr>
        <w:ind w:left="360" w:hanging="360"/>
      </w:pPr>
      <w:rPr>
        <w:rFonts w:hint="default"/>
      </w:rPr>
    </w:lvl>
    <w:lvl w:ilvl="1" w:tplc="0C090019" w:tentative="1">
      <w:start w:val="1"/>
      <w:numFmt w:val="lowerLetter"/>
      <w:lvlText w:val="%2."/>
      <w:lvlJc w:val="left"/>
      <w:pPr>
        <w:ind w:left="1224" w:hanging="360"/>
      </w:pPr>
    </w:lvl>
    <w:lvl w:ilvl="2" w:tplc="0C09001B">
      <w:start w:val="1"/>
      <w:numFmt w:val="lowerRoman"/>
      <w:lvlText w:val="%3."/>
      <w:lvlJc w:val="right"/>
      <w:pPr>
        <w:ind w:left="1944" w:hanging="180"/>
      </w:pPr>
    </w:lvl>
    <w:lvl w:ilvl="3" w:tplc="0C09000F" w:tentative="1">
      <w:start w:val="1"/>
      <w:numFmt w:val="decimal"/>
      <w:lvlText w:val="%4."/>
      <w:lvlJc w:val="left"/>
      <w:pPr>
        <w:ind w:left="2664" w:hanging="360"/>
      </w:pPr>
    </w:lvl>
    <w:lvl w:ilvl="4" w:tplc="0C090019" w:tentative="1">
      <w:start w:val="1"/>
      <w:numFmt w:val="lowerLetter"/>
      <w:lvlText w:val="%5."/>
      <w:lvlJc w:val="left"/>
      <w:pPr>
        <w:ind w:left="3384" w:hanging="360"/>
      </w:pPr>
    </w:lvl>
    <w:lvl w:ilvl="5" w:tplc="0C09001B" w:tentative="1">
      <w:start w:val="1"/>
      <w:numFmt w:val="lowerRoman"/>
      <w:lvlText w:val="%6."/>
      <w:lvlJc w:val="right"/>
      <w:pPr>
        <w:ind w:left="4104" w:hanging="180"/>
      </w:pPr>
    </w:lvl>
    <w:lvl w:ilvl="6" w:tplc="0C09000F" w:tentative="1">
      <w:start w:val="1"/>
      <w:numFmt w:val="decimal"/>
      <w:lvlText w:val="%7."/>
      <w:lvlJc w:val="left"/>
      <w:pPr>
        <w:ind w:left="4824" w:hanging="360"/>
      </w:pPr>
    </w:lvl>
    <w:lvl w:ilvl="7" w:tplc="0C090019" w:tentative="1">
      <w:start w:val="1"/>
      <w:numFmt w:val="lowerLetter"/>
      <w:lvlText w:val="%8."/>
      <w:lvlJc w:val="left"/>
      <w:pPr>
        <w:ind w:left="5544" w:hanging="360"/>
      </w:pPr>
    </w:lvl>
    <w:lvl w:ilvl="8" w:tplc="0C09001B" w:tentative="1">
      <w:start w:val="1"/>
      <w:numFmt w:val="lowerRoman"/>
      <w:lvlText w:val="%9."/>
      <w:lvlJc w:val="right"/>
      <w:pPr>
        <w:ind w:left="6264" w:hanging="180"/>
      </w:pPr>
    </w:lvl>
  </w:abstractNum>
  <w:abstractNum w:abstractNumId="72" w15:restartNumberingAfterBreak="0">
    <w:nsid w:val="72E45BC7"/>
    <w:multiLevelType w:val="hybridMultilevel"/>
    <w:tmpl w:val="3C141382"/>
    <w:lvl w:ilvl="0" w:tplc="D354CBCA">
      <w:numFmt w:val="bullet"/>
      <w:lvlText w:val=""/>
      <w:lvlJc w:val="left"/>
      <w:pPr>
        <w:ind w:left="1840" w:hanging="850"/>
      </w:pPr>
      <w:rPr>
        <w:rFonts w:ascii="Symbol" w:eastAsia="Symbol" w:hAnsi="Symbol" w:cs="Symbol" w:hint="default"/>
        <w:b w:val="0"/>
        <w:bCs w:val="0"/>
        <w:i w:val="0"/>
        <w:iCs w:val="0"/>
        <w:w w:val="100"/>
        <w:sz w:val="24"/>
        <w:szCs w:val="24"/>
        <w:lang w:val="en-US" w:eastAsia="en-US" w:bidi="ar-SA"/>
      </w:rPr>
    </w:lvl>
    <w:lvl w:ilvl="1" w:tplc="BA0870CC">
      <w:numFmt w:val="bullet"/>
      <w:lvlText w:val="•"/>
      <w:lvlJc w:val="left"/>
      <w:pPr>
        <w:ind w:left="2668" w:hanging="850"/>
      </w:pPr>
      <w:rPr>
        <w:rFonts w:hint="default"/>
        <w:lang w:val="en-US" w:eastAsia="en-US" w:bidi="ar-SA"/>
      </w:rPr>
    </w:lvl>
    <w:lvl w:ilvl="2" w:tplc="BA7496E4">
      <w:numFmt w:val="bullet"/>
      <w:lvlText w:val="•"/>
      <w:lvlJc w:val="left"/>
      <w:pPr>
        <w:ind w:left="3496" w:hanging="850"/>
      </w:pPr>
      <w:rPr>
        <w:rFonts w:hint="default"/>
        <w:lang w:val="en-US" w:eastAsia="en-US" w:bidi="ar-SA"/>
      </w:rPr>
    </w:lvl>
    <w:lvl w:ilvl="3" w:tplc="14F8E5CE">
      <w:numFmt w:val="bullet"/>
      <w:lvlText w:val="•"/>
      <w:lvlJc w:val="left"/>
      <w:pPr>
        <w:ind w:left="4325" w:hanging="850"/>
      </w:pPr>
      <w:rPr>
        <w:rFonts w:hint="default"/>
        <w:lang w:val="en-US" w:eastAsia="en-US" w:bidi="ar-SA"/>
      </w:rPr>
    </w:lvl>
    <w:lvl w:ilvl="4" w:tplc="B36EFB80">
      <w:numFmt w:val="bullet"/>
      <w:lvlText w:val="•"/>
      <w:lvlJc w:val="left"/>
      <w:pPr>
        <w:ind w:left="5153" w:hanging="850"/>
      </w:pPr>
      <w:rPr>
        <w:rFonts w:hint="default"/>
        <w:lang w:val="en-US" w:eastAsia="en-US" w:bidi="ar-SA"/>
      </w:rPr>
    </w:lvl>
    <w:lvl w:ilvl="5" w:tplc="E3B4024C">
      <w:numFmt w:val="bullet"/>
      <w:lvlText w:val="•"/>
      <w:lvlJc w:val="left"/>
      <w:pPr>
        <w:ind w:left="5982" w:hanging="850"/>
      </w:pPr>
      <w:rPr>
        <w:rFonts w:hint="default"/>
        <w:lang w:val="en-US" w:eastAsia="en-US" w:bidi="ar-SA"/>
      </w:rPr>
    </w:lvl>
    <w:lvl w:ilvl="6" w:tplc="9084A078">
      <w:numFmt w:val="bullet"/>
      <w:lvlText w:val="•"/>
      <w:lvlJc w:val="left"/>
      <w:pPr>
        <w:ind w:left="6810" w:hanging="850"/>
      </w:pPr>
      <w:rPr>
        <w:rFonts w:hint="default"/>
        <w:lang w:val="en-US" w:eastAsia="en-US" w:bidi="ar-SA"/>
      </w:rPr>
    </w:lvl>
    <w:lvl w:ilvl="7" w:tplc="91EECBEE">
      <w:numFmt w:val="bullet"/>
      <w:lvlText w:val="•"/>
      <w:lvlJc w:val="left"/>
      <w:pPr>
        <w:ind w:left="7638" w:hanging="850"/>
      </w:pPr>
      <w:rPr>
        <w:rFonts w:hint="default"/>
        <w:lang w:val="en-US" w:eastAsia="en-US" w:bidi="ar-SA"/>
      </w:rPr>
    </w:lvl>
    <w:lvl w:ilvl="8" w:tplc="FBB851A2">
      <w:numFmt w:val="bullet"/>
      <w:lvlText w:val="•"/>
      <w:lvlJc w:val="left"/>
      <w:pPr>
        <w:ind w:left="8467" w:hanging="850"/>
      </w:pPr>
      <w:rPr>
        <w:rFonts w:hint="default"/>
        <w:lang w:val="en-US" w:eastAsia="en-US" w:bidi="ar-SA"/>
      </w:rPr>
    </w:lvl>
  </w:abstractNum>
  <w:abstractNum w:abstractNumId="73" w15:restartNumberingAfterBreak="0">
    <w:nsid w:val="749B1DD5"/>
    <w:multiLevelType w:val="hybridMultilevel"/>
    <w:tmpl w:val="50EA8662"/>
    <w:lvl w:ilvl="0" w:tplc="FFFFFFFF">
      <w:start w:val="272"/>
      <w:numFmt w:val="decimal"/>
      <w:lvlText w:val="%1."/>
      <w:lvlJc w:val="left"/>
      <w:pPr>
        <w:ind w:left="780" w:hanging="42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76951387"/>
    <w:multiLevelType w:val="hybridMultilevel"/>
    <w:tmpl w:val="C4EAE338"/>
    <w:lvl w:ilvl="0" w:tplc="67CC6782">
      <w:numFmt w:val="bullet"/>
      <w:lvlText w:val=""/>
      <w:lvlJc w:val="left"/>
      <w:pPr>
        <w:ind w:left="1835" w:hanging="567"/>
      </w:pPr>
      <w:rPr>
        <w:rFonts w:ascii="Symbol" w:eastAsia="Symbol" w:hAnsi="Symbol" w:cs="Symbol" w:hint="default"/>
        <w:b w:val="0"/>
        <w:bCs w:val="0"/>
        <w:i w:val="0"/>
        <w:iCs w:val="0"/>
        <w:w w:val="100"/>
        <w:sz w:val="24"/>
        <w:szCs w:val="24"/>
        <w:lang w:val="en-US" w:eastAsia="en-US" w:bidi="ar-SA"/>
      </w:rPr>
    </w:lvl>
    <w:lvl w:ilvl="1" w:tplc="56AA2678">
      <w:numFmt w:val="bullet"/>
      <w:lvlText w:val="•"/>
      <w:lvlJc w:val="left"/>
      <w:pPr>
        <w:ind w:left="2668" w:hanging="567"/>
      </w:pPr>
      <w:rPr>
        <w:rFonts w:hint="default"/>
        <w:lang w:val="en-US" w:eastAsia="en-US" w:bidi="ar-SA"/>
      </w:rPr>
    </w:lvl>
    <w:lvl w:ilvl="2" w:tplc="0F9AF232">
      <w:numFmt w:val="bullet"/>
      <w:lvlText w:val="•"/>
      <w:lvlJc w:val="left"/>
      <w:pPr>
        <w:ind w:left="3496" w:hanging="567"/>
      </w:pPr>
      <w:rPr>
        <w:rFonts w:hint="default"/>
        <w:lang w:val="en-US" w:eastAsia="en-US" w:bidi="ar-SA"/>
      </w:rPr>
    </w:lvl>
    <w:lvl w:ilvl="3" w:tplc="313A0962">
      <w:numFmt w:val="bullet"/>
      <w:lvlText w:val="•"/>
      <w:lvlJc w:val="left"/>
      <w:pPr>
        <w:ind w:left="4325" w:hanging="567"/>
      </w:pPr>
      <w:rPr>
        <w:rFonts w:hint="default"/>
        <w:lang w:val="en-US" w:eastAsia="en-US" w:bidi="ar-SA"/>
      </w:rPr>
    </w:lvl>
    <w:lvl w:ilvl="4" w:tplc="47529A88">
      <w:numFmt w:val="bullet"/>
      <w:lvlText w:val="•"/>
      <w:lvlJc w:val="left"/>
      <w:pPr>
        <w:ind w:left="5153" w:hanging="567"/>
      </w:pPr>
      <w:rPr>
        <w:rFonts w:hint="default"/>
        <w:lang w:val="en-US" w:eastAsia="en-US" w:bidi="ar-SA"/>
      </w:rPr>
    </w:lvl>
    <w:lvl w:ilvl="5" w:tplc="B97C4BE4">
      <w:numFmt w:val="bullet"/>
      <w:lvlText w:val="•"/>
      <w:lvlJc w:val="left"/>
      <w:pPr>
        <w:ind w:left="5982" w:hanging="567"/>
      </w:pPr>
      <w:rPr>
        <w:rFonts w:hint="default"/>
        <w:lang w:val="en-US" w:eastAsia="en-US" w:bidi="ar-SA"/>
      </w:rPr>
    </w:lvl>
    <w:lvl w:ilvl="6" w:tplc="C2329354">
      <w:numFmt w:val="bullet"/>
      <w:lvlText w:val="•"/>
      <w:lvlJc w:val="left"/>
      <w:pPr>
        <w:ind w:left="6810" w:hanging="567"/>
      </w:pPr>
      <w:rPr>
        <w:rFonts w:hint="default"/>
        <w:lang w:val="en-US" w:eastAsia="en-US" w:bidi="ar-SA"/>
      </w:rPr>
    </w:lvl>
    <w:lvl w:ilvl="7" w:tplc="6D12AF48">
      <w:numFmt w:val="bullet"/>
      <w:lvlText w:val="•"/>
      <w:lvlJc w:val="left"/>
      <w:pPr>
        <w:ind w:left="7638" w:hanging="567"/>
      </w:pPr>
      <w:rPr>
        <w:rFonts w:hint="default"/>
        <w:lang w:val="en-US" w:eastAsia="en-US" w:bidi="ar-SA"/>
      </w:rPr>
    </w:lvl>
    <w:lvl w:ilvl="8" w:tplc="DF52DA1E">
      <w:numFmt w:val="bullet"/>
      <w:lvlText w:val="•"/>
      <w:lvlJc w:val="left"/>
      <w:pPr>
        <w:ind w:left="8467" w:hanging="567"/>
      </w:pPr>
      <w:rPr>
        <w:rFonts w:hint="default"/>
        <w:lang w:val="en-US" w:eastAsia="en-US" w:bidi="ar-SA"/>
      </w:rPr>
    </w:lvl>
  </w:abstractNum>
  <w:abstractNum w:abstractNumId="75" w15:restartNumberingAfterBreak="0">
    <w:nsid w:val="7B2E66B3"/>
    <w:multiLevelType w:val="hybridMultilevel"/>
    <w:tmpl w:val="3A30C642"/>
    <w:lvl w:ilvl="0" w:tplc="4380EBB4">
      <w:start w:val="1"/>
      <w:numFmt w:val="decimal"/>
      <w:lvlText w:val="%1."/>
      <w:lvlJc w:val="left"/>
      <w:pPr>
        <w:ind w:left="2689" w:hanging="850"/>
      </w:pPr>
      <w:rPr>
        <w:rFonts w:ascii="Calibri" w:eastAsia="Calibri" w:hAnsi="Calibri" w:cs="Calibri" w:hint="default"/>
        <w:b/>
        <w:bCs/>
        <w:i w:val="0"/>
        <w:iCs w:val="0"/>
        <w:spacing w:val="-2"/>
        <w:w w:val="100"/>
        <w:sz w:val="24"/>
        <w:szCs w:val="24"/>
        <w:lang w:val="en-US" w:eastAsia="en-US" w:bidi="ar-SA"/>
      </w:rPr>
    </w:lvl>
    <w:lvl w:ilvl="1" w:tplc="F6D87400">
      <w:numFmt w:val="bullet"/>
      <w:lvlText w:val="•"/>
      <w:lvlJc w:val="left"/>
      <w:pPr>
        <w:ind w:left="3424" w:hanging="850"/>
      </w:pPr>
      <w:rPr>
        <w:rFonts w:hint="default"/>
        <w:lang w:val="en-US" w:eastAsia="en-US" w:bidi="ar-SA"/>
      </w:rPr>
    </w:lvl>
    <w:lvl w:ilvl="2" w:tplc="AD1C9BE6">
      <w:numFmt w:val="bullet"/>
      <w:lvlText w:val="•"/>
      <w:lvlJc w:val="left"/>
      <w:pPr>
        <w:ind w:left="4168" w:hanging="850"/>
      </w:pPr>
      <w:rPr>
        <w:rFonts w:hint="default"/>
        <w:lang w:val="en-US" w:eastAsia="en-US" w:bidi="ar-SA"/>
      </w:rPr>
    </w:lvl>
    <w:lvl w:ilvl="3" w:tplc="660E9C2E">
      <w:numFmt w:val="bullet"/>
      <w:lvlText w:val="•"/>
      <w:lvlJc w:val="left"/>
      <w:pPr>
        <w:ind w:left="4913" w:hanging="850"/>
      </w:pPr>
      <w:rPr>
        <w:rFonts w:hint="default"/>
        <w:lang w:val="en-US" w:eastAsia="en-US" w:bidi="ar-SA"/>
      </w:rPr>
    </w:lvl>
    <w:lvl w:ilvl="4" w:tplc="16D2F82A">
      <w:numFmt w:val="bullet"/>
      <w:lvlText w:val="•"/>
      <w:lvlJc w:val="left"/>
      <w:pPr>
        <w:ind w:left="5657" w:hanging="850"/>
      </w:pPr>
      <w:rPr>
        <w:rFonts w:hint="default"/>
        <w:lang w:val="en-US" w:eastAsia="en-US" w:bidi="ar-SA"/>
      </w:rPr>
    </w:lvl>
    <w:lvl w:ilvl="5" w:tplc="E5520550">
      <w:numFmt w:val="bullet"/>
      <w:lvlText w:val="•"/>
      <w:lvlJc w:val="left"/>
      <w:pPr>
        <w:ind w:left="6402" w:hanging="850"/>
      </w:pPr>
      <w:rPr>
        <w:rFonts w:hint="default"/>
        <w:lang w:val="en-US" w:eastAsia="en-US" w:bidi="ar-SA"/>
      </w:rPr>
    </w:lvl>
    <w:lvl w:ilvl="6" w:tplc="3314F23E">
      <w:numFmt w:val="bullet"/>
      <w:lvlText w:val="•"/>
      <w:lvlJc w:val="left"/>
      <w:pPr>
        <w:ind w:left="7146" w:hanging="850"/>
      </w:pPr>
      <w:rPr>
        <w:rFonts w:hint="default"/>
        <w:lang w:val="en-US" w:eastAsia="en-US" w:bidi="ar-SA"/>
      </w:rPr>
    </w:lvl>
    <w:lvl w:ilvl="7" w:tplc="E1749D6C">
      <w:numFmt w:val="bullet"/>
      <w:lvlText w:val="•"/>
      <w:lvlJc w:val="left"/>
      <w:pPr>
        <w:ind w:left="7890" w:hanging="850"/>
      </w:pPr>
      <w:rPr>
        <w:rFonts w:hint="default"/>
        <w:lang w:val="en-US" w:eastAsia="en-US" w:bidi="ar-SA"/>
      </w:rPr>
    </w:lvl>
    <w:lvl w:ilvl="8" w:tplc="A606AE88">
      <w:numFmt w:val="bullet"/>
      <w:lvlText w:val="•"/>
      <w:lvlJc w:val="left"/>
      <w:pPr>
        <w:ind w:left="8635" w:hanging="850"/>
      </w:pPr>
      <w:rPr>
        <w:rFonts w:hint="default"/>
        <w:lang w:val="en-US" w:eastAsia="en-US" w:bidi="ar-SA"/>
      </w:rPr>
    </w:lvl>
  </w:abstractNum>
  <w:abstractNum w:abstractNumId="76" w15:restartNumberingAfterBreak="0">
    <w:nsid w:val="7CEF377C"/>
    <w:multiLevelType w:val="hybridMultilevel"/>
    <w:tmpl w:val="42C4D024"/>
    <w:lvl w:ilvl="0" w:tplc="FFFFFFFF">
      <w:start w:val="1"/>
      <w:numFmt w:val="decimal"/>
      <w:lvlText w:val="%1."/>
      <w:lvlJc w:val="left"/>
      <w:pPr>
        <w:ind w:left="2689" w:hanging="850"/>
      </w:pPr>
      <w:rPr>
        <w:rFonts w:ascii="Calibri" w:eastAsia="Calibri" w:hAnsi="Calibri" w:cs="Calibri" w:hint="default"/>
        <w:b/>
        <w:bCs/>
        <w:i w:val="0"/>
        <w:iCs w:val="0"/>
        <w:spacing w:val="-2"/>
        <w:w w:val="100"/>
        <w:sz w:val="24"/>
        <w:szCs w:val="24"/>
        <w:lang w:val="en-US" w:eastAsia="en-US" w:bidi="ar-SA"/>
      </w:rPr>
    </w:lvl>
    <w:lvl w:ilvl="1" w:tplc="FFFFFFFF">
      <w:start w:val="1"/>
      <w:numFmt w:val="lowerLetter"/>
      <w:lvlText w:val="(%2)"/>
      <w:lvlJc w:val="left"/>
      <w:pPr>
        <w:ind w:left="3539" w:hanging="850"/>
      </w:pPr>
      <w:rPr>
        <w:rFonts w:ascii="Calibri" w:eastAsia="Calibri" w:hAnsi="Calibri" w:cs="Calibri" w:hint="default"/>
        <w:b w:val="0"/>
        <w:bCs w:val="0"/>
        <w:i w:val="0"/>
        <w:iCs w:val="0"/>
        <w:spacing w:val="-1"/>
        <w:w w:val="100"/>
        <w:sz w:val="24"/>
        <w:szCs w:val="24"/>
        <w:u w:val="single" w:color="000000"/>
        <w:lang w:val="en-US" w:eastAsia="en-US" w:bidi="ar-SA"/>
      </w:rPr>
    </w:lvl>
    <w:lvl w:ilvl="2" w:tplc="FFFFFFFF">
      <w:numFmt w:val="bullet"/>
      <w:lvlText w:val="•"/>
      <w:lvlJc w:val="left"/>
      <w:pPr>
        <w:ind w:left="4271" w:hanging="850"/>
      </w:pPr>
      <w:rPr>
        <w:rFonts w:hint="default"/>
        <w:lang w:val="en-US" w:eastAsia="en-US" w:bidi="ar-SA"/>
      </w:rPr>
    </w:lvl>
    <w:lvl w:ilvl="3" w:tplc="FFFFFFFF">
      <w:numFmt w:val="bullet"/>
      <w:lvlText w:val="•"/>
      <w:lvlJc w:val="left"/>
      <w:pPr>
        <w:ind w:left="5003" w:hanging="850"/>
      </w:pPr>
      <w:rPr>
        <w:rFonts w:hint="default"/>
        <w:lang w:val="en-US" w:eastAsia="en-US" w:bidi="ar-SA"/>
      </w:rPr>
    </w:lvl>
    <w:lvl w:ilvl="4" w:tplc="FFFFFFFF">
      <w:numFmt w:val="bullet"/>
      <w:lvlText w:val="•"/>
      <w:lvlJc w:val="left"/>
      <w:pPr>
        <w:ind w:left="5734" w:hanging="850"/>
      </w:pPr>
      <w:rPr>
        <w:rFonts w:hint="default"/>
        <w:lang w:val="en-US" w:eastAsia="en-US" w:bidi="ar-SA"/>
      </w:rPr>
    </w:lvl>
    <w:lvl w:ilvl="5" w:tplc="FFFFFFFF">
      <w:numFmt w:val="bullet"/>
      <w:lvlText w:val="•"/>
      <w:lvlJc w:val="left"/>
      <w:pPr>
        <w:ind w:left="6466" w:hanging="850"/>
      </w:pPr>
      <w:rPr>
        <w:rFonts w:hint="default"/>
        <w:lang w:val="en-US" w:eastAsia="en-US" w:bidi="ar-SA"/>
      </w:rPr>
    </w:lvl>
    <w:lvl w:ilvl="6" w:tplc="FFFFFFFF">
      <w:numFmt w:val="bullet"/>
      <w:lvlText w:val="•"/>
      <w:lvlJc w:val="left"/>
      <w:pPr>
        <w:ind w:left="7197" w:hanging="850"/>
      </w:pPr>
      <w:rPr>
        <w:rFonts w:hint="default"/>
        <w:lang w:val="en-US" w:eastAsia="en-US" w:bidi="ar-SA"/>
      </w:rPr>
    </w:lvl>
    <w:lvl w:ilvl="7" w:tplc="FFFFFFFF">
      <w:numFmt w:val="bullet"/>
      <w:lvlText w:val="•"/>
      <w:lvlJc w:val="left"/>
      <w:pPr>
        <w:ind w:left="7929" w:hanging="850"/>
      </w:pPr>
      <w:rPr>
        <w:rFonts w:hint="default"/>
        <w:lang w:val="en-US" w:eastAsia="en-US" w:bidi="ar-SA"/>
      </w:rPr>
    </w:lvl>
    <w:lvl w:ilvl="8" w:tplc="FFFFFFFF">
      <w:numFmt w:val="bullet"/>
      <w:lvlText w:val="•"/>
      <w:lvlJc w:val="left"/>
      <w:pPr>
        <w:ind w:left="8660" w:hanging="850"/>
      </w:pPr>
      <w:rPr>
        <w:rFonts w:hint="default"/>
        <w:lang w:val="en-US" w:eastAsia="en-US" w:bidi="ar-SA"/>
      </w:rPr>
    </w:lvl>
  </w:abstractNum>
  <w:abstractNum w:abstractNumId="77" w15:restartNumberingAfterBreak="0">
    <w:nsid w:val="7E1C3EBD"/>
    <w:multiLevelType w:val="hybridMultilevel"/>
    <w:tmpl w:val="42C4D024"/>
    <w:lvl w:ilvl="0" w:tplc="69DC8FD4">
      <w:start w:val="1"/>
      <w:numFmt w:val="decimal"/>
      <w:lvlText w:val="%1."/>
      <w:lvlJc w:val="left"/>
      <w:pPr>
        <w:ind w:left="2689" w:hanging="850"/>
      </w:pPr>
      <w:rPr>
        <w:rFonts w:ascii="Calibri" w:eastAsia="Calibri" w:hAnsi="Calibri" w:cs="Calibri" w:hint="default"/>
        <w:b/>
        <w:bCs/>
        <w:i w:val="0"/>
        <w:iCs w:val="0"/>
        <w:spacing w:val="-2"/>
        <w:w w:val="100"/>
        <w:sz w:val="24"/>
        <w:szCs w:val="24"/>
        <w:lang w:val="en-US" w:eastAsia="en-US" w:bidi="ar-SA"/>
      </w:rPr>
    </w:lvl>
    <w:lvl w:ilvl="1" w:tplc="547EFCC8">
      <w:start w:val="1"/>
      <w:numFmt w:val="lowerLetter"/>
      <w:lvlText w:val="(%2)"/>
      <w:lvlJc w:val="left"/>
      <w:pPr>
        <w:ind w:left="3539" w:hanging="850"/>
      </w:pPr>
      <w:rPr>
        <w:rFonts w:ascii="Calibri" w:eastAsia="Calibri" w:hAnsi="Calibri" w:cs="Calibri" w:hint="default"/>
        <w:b w:val="0"/>
        <w:bCs w:val="0"/>
        <w:i w:val="0"/>
        <w:iCs w:val="0"/>
        <w:spacing w:val="-1"/>
        <w:w w:val="100"/>
        <w:sz w:val="24"/>
        <w:szCs w:val="24"/>
        <w:u w:val="single" w:color="000000"/>
        <w:lang w:val="en-US" w:eastAsia="en-US" w:bidi="ar-SA"/>
      </w:rPr>
    </w:lvl>
    <w:lvl w:ilvl="2" w:tplc="2D14D4F4">
      <w:numFmt w:val="bullet"/>
      <w:lvlText w:val="•"/>
      <w:lvlJc w:val="left"/>
      <w:pPr>
        <w:ind w:left="4271" w:hanging="850"/>
      </w:pPr>
      <w:rPr>
        <w:rFonts w:hint="default"/>
        <w:lang w:val="en-US" w:eastAsia="en-US" w:bidi="ar-SA"/>
      </w:rPr>
    </w:lvl>
    <w:lvl w:ilvl="3" w:tplc="53BCCF78">
      <w:numFmt w:val="bullet"/>
      <w:lvlText w:val="•"/>
      <w:lvlJc w:val="left"/>
      <w:pPr>
        <w:ind w:left="5003" w:hanging="850"/>
      </w:pPr>
      <w:rPr>
        <w:rFonts w:hint="default"/>
        <w:lang w:val="en-US" w:eastAsia="en-US" w:bidi="ar-SA"/>
      </w:rPr>
    </w:lvl>
    <w:lvl w:ilvl="4" w:tplc="B7D4B2C6">
      <w:numFmt w:val="bullet"/>
      <w:lvlText w:val="•"/>
      <w:lvlJc w:val="left"/>
      <w:pPr>
        <w:ind w:left="5734" w:hanging="850"/>
      </w:pPr>
      <w:rPr>
        <w:rFonts w:hint="default"/>
        <w:lang w:val="en-US" w:eastAsia="en-US" w:bidi="ar-SA"/>
      </w:rPr>
    </w:lvl>
    <w:lvl w:ilvl="5" w:tplc="DD20B6F6">
      <w:numFmt w:val="bullet"/>
      <w:lvlText w:val="•"/>
      <w:lvlJc w:val="left"/>
      <w:pPr>
        <w:ind w:left="6466" w:hanging="850"/>
      </w:pPr>
      <w:rPr>
        <w:rFonts w:hint="default"/>
        <w:lang w:val="en-US" w:eastAsia="en-US" w:bidi="ar-SA"/>
      </w:rPr>
    </w:lvl>
    <w:lvl w:ilvl="6" w:tplc="8F3085F0">
      <w:numFmt w:val="bullet"/>
      <w:lvlText w:val="•"/>
      <w:lvlJc w:val="left"/>
      <w:pPr>
        <w:ind w:left="7197" w:hanging="850"/>
      </w:pPr>
      <w:rPr>
        <w:rFonts w:hint="default"/>
        <w:lang w:val="en-US" w:eastAsia="en-US" w:bidi="ar-SA"/>
      </w:rPr>
    </w:lvl>
    <w:lvl w:ilvl="7" w:tplc="D26CF78A">
      <w:numFmt w:val="bullet"/>
      <w:lvlText w:val="•"/>
      <w:lvlJc w:val="left"/>
      <w:pPr>
        <w:ind w:left="7929" w:hanging="850"/>
      </w:pPr>
      <w:rPr>
        <w:rFonts w:hint="default"/>
        <w:lang w:val="en-US" w:eastAsia="en-US" w:bidi="ar-SA"/>
      </w:rPr>
    </w:lvl>
    <w:lvl w:ilvl="8" w:tplc="EB907F7E">
      <w:numFmt w:val="bullet"/>
      <w:lvlText w:val="•"/>
      <w:lvlJc w:val="left"/>
      <w:pPr>
        <w:ind w:left="8660" w:hanging="850"/>
      </w:pPr>
      <w:rPr>
        <w:rFonts w:hint="default"/>
        <w:lang w:val="en-US" w:eastAsia="en-US" w:bidi="ar-SA"/>
      </w:rPr>
    </w:lvl>
  </w:abstractNum>
  <w:num w:numId="1" w16cid:durableId="589238919">
    <w:abstractNumId w:val="33"/>
  </w:num>
  <w:num w:numId="2" w16cid:durableId="1125808592">
    <w:abstractNumId w:val="60"/>
  </w:num>
  <w:num w:numId="3" w16cid:durableId="165244851">
    <w:abstractNumId w:val="77"/>
  </w:num>
  <w:num w:numId="4" w16cid:durableId="1114833052">
    <w:abstractNumId w:val="31"/>
  </w:num>
  <w:num w:numId="5" w16cid:durableId="1729574900">
    <w:abstractNumId w:val="47"/>
  </w:num>
  <w:num w:numId="6" w16cid:durableId="358317247">
    <w:abstractNumId w:val="24"/>
  </w:num>
  <w:num w:numId="7" w16cid:durableId="160001399">
    <w:abstractNumId w:val="52"/>
  </w:num>
  <w:num w:numId="8" w16cid:durableId="69161144">
    <w:abstractNumId w:val="74"/>
  </w:num>
  <w:num w:numId="9" w16cid:durableId="646976478">
    <w:abstractNumId w:val="27"/>
  </w:num>
  <w:num w:numId="10" w16cid:durableId="795874051">
    <w:abstractNumId w:val="6"/>
  </w:num>
  <w:num w:numId="11" w16cid:durableId="919142591">
    <w:abstractNumId w:val="63"/>
  </w:num>
  <w:num w:numId="12" w16cid:durableId="2130515276">
    <w:abstractNumId w:val="21"/>
  </w:num>
  <w:num w:numId="13" w16cid:durableId="456918134">
    <w:abstractNumId w:val="15"/>
  </w:num>
  <w:num w:numId="14" w16cid:durableId="464666083">
    <w:abstractNumId w:val="29"/>
  </w:num>
  <w:num w:numId="15" w16cid:durableId="679544428">
    <w:abstractNumId w:val="17"/>
  </w:num>
  <w:num w:numId="16" w16cid:durableId="1490516521">
    <w:abstractNumId w:val="46"/>
  </w:num>
  <w:num w:numId="17" w16cid:durableId="1591548076">
    <w:abstractNumId w:val="13"/>
  </w:num>
  <w:num w:numId="18" w16cid:durableId="135952147">
    <w:abstractNumId w:val="22"/>
  </w:num>
  <w:num w:numId="19" w16cid:durableId="2119904964">
    <w:abstractNumId w:val="56"/>
  </w:num>
  <w:num w:numId="20" w16cid:durableId="1045912875">
    <w:abstractNumId w:val="2"/>
  </w:num>
  <w:num w:numId="21" w16cid:durableId="1972204683">
    <w:abstractNumId w:val="18"/>
  </w:num>
  <w:num w:numId="22" w16cid:durableId="1269705129">
    <w:abstractNumId w:val="45"/>
  </w:num>
  <w:num w:numId="23" w16cid:durableId="1069618798">
    <w:abstractNumId w:val="32"/>
  </w:num>
  <w:num w:numId="24" w16cid:durableId="301465722">
    <w:abstractNumId w:val="61"/>
  </w:num>
  <w:num w:numId="25" w16cid:durableId="248588904">
    <w:abstractNumId w:val="40"/>
  </w:num>
  <w:num w:numId="26" w16cid:durableId="824391454">
    <w:abstractNumId w:val="67"/>
  </w:num>
  <w:num w:numId="27" w16cid:durableId="182062363">
    <w:abstractNumId w:val="66"/>
  </w:num>
  <w:num w:numId="28" w16cid:durableId="53748370">
    <w:abstractNumId w:val="26"/>
  </w:num>
  <w:num w:numId="29" w16cid:durableId="676276636">
    <w:abstractNumId w:val="51"/>
  </w:num>
  <w:num w:numId="30" w16cid:durableId="126358273">
    <w:abstractNumId w:val="4"/>
  </w:num>
  <w:num w:numId="31" w16cid:durableId="1877041221">
    <w:abstractNumId w:val="68"/>
  </w:num>
  <w:num w:numId="32" w16cid:durableId="1420524547">
    <w:abstractNumId w:val="54"/>
  </w:num>
  <w:num w:numId="33" w16cid:durableId="204415295">
    <w:abstractNumId w:val="44"/>
  </w:num>
  <w:num w:numId="34" w16cid:durableId="936520378">
    <w:abstractNumId w:val="3"/>
  </w:num>
  <w:num w:numId="35" w16cid:durableId="1954432072">
    <w:abstractNumId w:val="28"/>
  </w:num>
  <w:num w:numId="36" w16cid:durableId="1931112887">
    <w:abstractNumId w:val="75"/>
  </w:num>
  <w:num w:numId="37" w16cid:durableId="357007044">
    <w:abstractNumId w:val="0"/>
  </w:num>
  <w:num w:numId="38" w16cid:durableId="862672475">
    <w:abstractNumId w:val="25"/>
  </w:num>
  <w:num w:numId="39" w16cid:durableId="1330865794">
    <w:abstractNumId w:val="14"/>
  </w:num>
  <w:num w:numId="40" w16cid:durableId="608390803">
    <w:abstractNumId w:val="38"/>
  </w:num>
  <w:num w:numId="41" w16cid:durableId="1063796860">
    <w:abstractNumId w:val="48"/>
  </w:num>
  <w:num w:numId="42" w16cid:durableId="1637105425">
    <w:abstractNumId w:val="30"/>
  </w:num>
  <w:num w:numId="43" w16cid:durableId="358970412">
    <w:abstractNumId w:val="41"/>
  </w:num>
  <w:num w:numId="44" w16cid:durableId="2087680076">
    <w:abstractNumId w:val="20"/>
  </w:num>
  <w:num w:numId="45" w16cid:durableId="1457719613">
    <w:abstractNumId w:val="49"/>
  </w:num>
  <w:num w:numId="46" w16cid:durableId="790170532">
    <w:abstractNumId w:val="65"/>
  </w:num>
  <w:num w:numId="47" w16cid:durableId="1013724356">
    <w:abstractNumId w:val="1"/>
  </w:num>
  <w:num w:numId="48" w16cid:durableId="634219623">
    <w:abstractNumId w:val="58"/>
  </w:num>
  <w:num w:numId="49" w16cid:durableId="1528056626">
    <w:abstractNumId w:val="72"/>
  </w:num>
  <w:num w:numId="50" w16cid:durableId="1731688811">
    <w:abstractNumId w:val="10"/>
  </w:num>
  <w:num w:numId="51" w16cid:durableId="439033937">
    <w:abstractNumId w:val="12"/>
  </w:num>
  <w:num w:numId="52" w16cid:durableId="497425462">
    <w:abstractNumId w:val="43"/>
  </w:num>
  <w:num w:numId="53" w16cid:durableId="1667902320">
    <w:abstractNumId w:val="23"/>
  </w:num>
  <w:num w:numId="54" w16cid:durableId="2117824081">
    <w:abstractNumId w:val="59"/>
  </w:num>
  <w:num w:numId="55" w16cid:durableId="74475517">
    <w:abstractNumId w:val="70"/>
  </w:num>
  <w:num w:numId="56" w16cid:durableId="65617003">
    <w:abstractNumId w:val="8"/>
  </w:num>
  <w:num w:numId="57" w16cid:durableId="1479567553">
    <w:abstractNumId w:val="34"/>
  </w:num>
  <w:num w:numId="58" w16cid:durableId="2030641555">
    <w:abstractNumId w:val="62"/>
  </w:num>
  <w:num w:numId="59" w16cid:durableId="261962442">
    <w:abstractNumId w:val="50"/>
  </w:num>
  <w:num w:numId="60" w16cid:durableId="1105728199">
    <w:abstractNumId w:val="35"/>
  </w:num>
  <w:num w:numId="61" w16cid:durableId="833760918">
    <w:abstractNumId w:val="57"/>
  </w:num>
  <w:num w:numId="62" w16cid:durableId="1713076083">
    <w:abstractNumId w:val="5"/>
  </w:num>
  <w:num w:numId="63" w16cid:durableId="175778686">
    <w:abstractNumId w:val="36"/>
  </w:num>
  <w:num w:numId="64" w16cid:durableId="567613317">
    <w:abstractNumId w:val="9"/>
  </w:num>
  <w:num w:numId="65" w16cid:durableId="852494046">
    <w:abstractNumId w:val="11"/>
  </w:num>
  <w:num w:numId="66" w16cid:durableId="450445231">
    <w:abstractNumId w:val="69"/>
  </w:num>
  <w:num w:numId="67" w16cid:durableId="997151885">
    <w:abstractNumId w:val="39"/>
  </w:num>
  <w:num w:numId="68" w16cid:durableId="798765990">
    <w:abstractNumId w:val="71"/>
  </w:num>
  <w:num w:numId="69" w16cid:durableId="1571040097">
    <w:abstractNumId w:val="16"/>
  </w:num>
  <w:num w:numId="70" w16cid:durableId="1159422332">
    <w:abstractNumId w:val="76"/>
  </w:num>
  <w:num w:numId="71" w16cid:durableId="987516323">
    <w:abstractNumId w:val="37"/>
  </w:num>
  <w:num w:numId="72" w16cid:durableId="1842892241">
    <w:abstractNumId w:val="55"/>
  </w:num>
  <w:num w:numId="73" w16cid:durableId="1242258826">
    <w:abstractNumId w:val="64"/>
  </w:num>
  <w:num w:numId="74" w16cid:durableId="393889294">
    <w:abstractNumId w:val="42"/>
  </w:num>
  <w:num w:numId="75" w16cid:durableId="709301617">
    <w:abstractNumId w:val="73"/>
  </w:num>
  <w:num w:numId="76" w16cid:durableId="701979358">
    <w:abstractNumId w:val="19"/>
  </w:num>
  <w:num w:numId="77" w16cid:durableId="1724911333">
    <w:abstractNumId w:val="53"/>
  </w:num>
  <w:num w:numId="78" w16cid:durableId="860777591">
    <w:abstractNumId w:val="7"/>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462C"/>
    <w:rsid w:val="00033D0F"/>
    <w:rsid w:val="00063A8C"/>
    <w:rsid w:val="00087BDF"/>
    <w:rsid w:val="000923F6"/>
    <w:rsid w:val="000C0D6F"/>
    <w:rsid w:val="000F4E56"/>
    <w:rsid w:val="000F5FA7"/>
    <w:rsid w:val="001250D0"/>
    <w:rsid w:val="0014480F"/>
    <w:rsid w:val="001556A8"/>
    <w:rsid w:val="001818E0"/>
    <w:rsid w:val="00185AF5"/>
    <w:rsid w:val="001A3A02"/>
    <w:rsid w:val="001A3E52"/>
    <w:rsid w:val="00224967"/>
    <w:rsid w:val="0024201C"/>
    <w:rsid w:val="002670B3"/>
    <w:rsid w:val="002804B4"/>
    <w:rsid w:val="00283265"/>
    <w:rsid w:val="002C3E13"/>
    <w:rsid w:val="002D011F"/>
    <w:rsid w:val="002D7346"/>
    <w:rsid w:val="00335703"/>
    <w:rsid w:val="0035521D"/>
    <w:rsid w:val="003610FC"/>
    <w:rsid w:val="00387F6E"/>
    <w:rsid w:val="003A07AC"/>
    <w:rsid w:val="003B71EA"/>
    <w:rsid w:val="003C3F6C"/>
    <w:rsid w:val="003E596D"/>
    <w:rsid w:val="003F03CB"/>
    <w:rsid w:val="003F6264"/>
    <w:rsid w:val="0040152A"/>
    <w:rsid w:val="00407B63"/>
    <w:rsid w:val="004152F7"/>
    <w:rsid w:val="00451B5D"/>
    <w:rsid w:val="00493811"/>
    <w:rsid w:val="004A60C3"/>
    <w:rsid w:val="004D720A"/>
    <w:rsid w:val="00537546"/>
    <w:rsid w:val="005930FF"/>
    <w:rsid w:val="005A7D7A"/>
    <w:rsid w:val="005B60EE"/>
    <w:rsid w:val="005B7350"/>
    <w:rsid w:val="005F4A68"/>
    <w:rsid w:val="00602AD3"/>
    <w:rsid w:val="00616BCC"/>
    <w:rsid w:val="00637F11"/>
    <w:rsid w:val="00652F97"/>
    <w:rsid w:val="006667A0"/>
    <w:rsid w:val="00685377"/>
    <w:rsid w:val="006926F2"/>
    <w:rsid w:val="006A40B8"/>
    <w:rsid w:val="006A7CCF"/>
    <w:rsid w:val="006B49CE"/>
    <w:rsid w:val="006D6579"/>
    <w:rsid w:val="006E6DEA"/>
    <w:rsid w:val="00732032"/>
    <w:rsid w:val="00735BCE"/>
    <w:rsid w:val="00752F01"/>
    <w:rsid w:val="00760127"/>
    <w:rsid w:val="0076321F"/>
    <w:rsid w:val="0076345F"/>
    <w:rsid w:val="0076494A"/>
    <w:rsid w:val="00766622"/>
    <w:rsid w:val="007A6FB5"/>
    <w:rsid w:val="007B694A"/>
    <w:rsid w:val="007B768E"/>
    <w:rsid w:val="007D270C"/>
    <w:rsid w:val="007E218F"/>
    <w:rsid w:val="0081097F"/>
    <w:rsid w:val="0081169E"/>
    <w:rsid w:val="00814580"/>
    <w:rsid w:val="00831B37"/>
    <w:rsid w:val="0084302F"/>
    <w:rsid w:val="008676A2"/>
    <w:rsid w:val="008F172C"/>
    <w:rsid w:val="00925D9A"/>
    <w:rsid w:val="009263FF"/>
    <w:rsid w:val="00996BE4"/>
    <w:rsid w:val="009A12FA"/>
    <w:rsid w:val="009A6330"/>
    <w:rsid w:val="009B0E6F"/>
    <w:rsid w:val="009B7B7C"/>
    <w:rsid w:val="009F0669"/>
    <w:rsid w:val="009F4A58"/>
    <w:rsid w:val="00A014C4"/>
    <w:rsid w:val="00A16422"/>
    <w:rsid w:val="00A246C2"/>
    <w:rsid w:val="00A33D86"/>
    <w:rsid w:val="00A5381E"/>
    <w:rsid w:val="00A653FA"/>
    <w:rsid w:val="00A83285"/>
    <w:rsid w:val="00A869C9"/>
    <w:rsid w:val="00A9044D"/>
    <w:rsid w:val="00AA1FFD"/>
    <w:rsid w:val="00AC5C65"/>
    <w:rsid w:val="00AE61C7"/>
    <w:rsid w:val="00AF1D30"/>
    <w:rsid w:val="00AF5F66"/>
    <w:rsid w:val="00B316AF"/>
    <w:rsid w:val="00B472DD"/>
    <w:rsid w:val="00BA4B2E"/>
    <w:rsid w:val="00BB6E3A"/>
    <w:rsid w:val="00BD462C"/>
    <w:rsid w:val="00BF2951"/>
    <w:rsid w:val="00C37A4F"/>
    <w:rsid w:val="00C516C7"/>
    <w:rsid w:val="00C63D13"/>
    <w:rsid w:val="00C65BAF"/>
    <w:rsid w:val="00C8372C"/>
    <w:rsid w:val="00CA5625"/>
    <w:rsid w:val="00CE22EE"/>
    <w:rsid w:val="00CF659E"/>
    <w:rsid w:val="00D06FB7"/>
    <w:rsid w:val="00D34854"/>
    <w:rsid w:val="00D443C8"/>
    <w:rsid w:val="00D600FD"/>
    <w:rsid w:val="00D63B4E"/>
    <w:rsid w:val="00D70C7D"/>
    <w:rsid w:val="00D719C9"/>
    <w:rsid w:val="00D86B81"/>
    <w:rsid w:val="00D90CE6"/>
    <w:rsid w:val="00DA02D9"/>
    <w:rsid w:val="00E14314"/>
    <w:rsid w:val="00E3346F"/>
    <w:rsid w:val="00E4449D"/>
    <w:rsid w:val="00E576D1"/>
    <w:rsid w:val="00E90362"/>
    <w:rsid w:val="00EA4377"/>
    <w:rsid w:val="00F03EFC"/>
    <w:rsid w:val="00F439BE"/>
    <w:rsid w:val="00F51A65"/>
    <w:rsid w:val="00F94D59"/>
    <w:rsid w:val="00FC0508"/>
    <w:rsid w:val="00FC42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E74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103"/>
      <w:ind w:left="985" w:hanging="851"/>
      <w:outlineLvl w:val="0"/>
    </w:pPr>
    <w:rPr>
      <w:b/>
      <w:bCs/>
      <w:sz w:val="28"/>
      <w:szCs w:val="28"/>
    </w:rPr>
  </w:style>
  <w:style w:type="paragraph" w:styleId="Heading2">
    <w:name w:val="heading 2"/>
    <w:basedOn w:val="Normal"/>
    <w:uiPriority w:val="9"/>
    <w:unhideWhenUsed/>
    <w:qFormat/>
    <w:pPr>
      <w:ind w:left="899"/>
      <w:outlineLvl w:val="1"/>
    </w:pPr>
    <w:rPr>
      <w:b/>
      <w:bCs/>
      <w:sz w:val="28"/>
      <w:szCs w:val="28"/>
    </w:rPr>
  </w:style>
  <w:style w:type="paragraph" w:styleId="Heading3">
    <w:name w:val="heading 3"/>
    <w:basedOn w:val="Normal"/>
    <w:uiPriority w:val="9"/>
    <w:unhideWhenUsed/>
    <w:qFormat/>
    <w:pPr>
      <w:spacing w:before="102"/>
      <w:ind w:left="2689" w:hanging="850"/>
      <w:jc w:val="both"/>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82"/>
      <w:ind w:right="792"/>
      <w:jc w:val="center"/>
    </w:pPr>
    <w:rPr>
      <w:b/>
      <w:bCs/>
      <w:sz w:val="24"/>
      <w:szCs w:val="24"/>
    </w:rPr>
  </w:style>
  <w:style w:type="paragraph" w:styleId="TOC2">
    <w:name w:val="toc 2"/>
    <w:basedOn w:val="Normal"/>
    <w:uiPriority w:val="1"/>
    <w:qFormat/>
    <w:pPr>
      <w:spacing w:before="182"/>
      <w:ind w:left="985" w:hanging="851"/>
    </w:pPr>
    <w:rPr>
      <w:b/>
      <w:bCs/>
      <w:sz w:val="24"/>
      <w:szCs w:val="24"/>
    </w:rPr>
  </w:style>
  <w:style w:type="paragraph" w:styleId="TOC3">
    <w:name w:val="toc 3"/>
    <w:basedOn w:val="Normal"/>
    <w:uiPriority w:val="1"/>
    <w:qFormat/>
    <w:pPr>
      <w:spacing w:before="120"/>
      <w:ind w:left="135"/>
    </w:pPr>
    <w:rPr>
      <w:sz w:val="24"/>
      <w:szCs w:val="24"/>
    </w:rPr>
  </w:style>
  <w:style w:type="paragraph" w:styleId="TOC4">
    <w:name w:val="toc 4"/>
    <w:basedOn w:val="Normal"/>
    <w:uiPriority w:val="1"/>
    <w:qFormat/>
    <w:pPr>
      <w:ind w:left="135"/>
    </w:pPr>
    <w:rPr>
      <w:sz w:val="20"/>
      <w:szCs w:val="20"/>
    </w:rPr>
  </w:style>
  <w:style w:type="paragraph" w:styleId="TOC5">
    <w:name w:val="toc 5"/>
    <w:basedOn w:val="Normal"/>
    <w:uiPriority w:val="1"/>
    <w:qFormat/>
    <w:pPr>
      <w:spacing w:before="1"/>
      <w:ind w:left="135"/>
    </w:pPr>
    <w:rPr>
      <w:i/>
      <w:iCs/>
      <w:sz w:val="20"/>
      <w:szCs w:val="20"/>
    </w:rPr>
  </w:style>
  <w:style w:type="paragraph" w:styleId="TOC6">
    <w:name w:val="toc 6"/>
    <w:basedOn w:val="Normal"/>
    <w:uiPriority w:val="1"/>
    <w:qFormat/>
    <w:pPr>
      <w:spacing w:before="21"/>
      <w:ind w:left="135"/>
    </w:pPr>
    <w:rPr>
      <w:b/>
      <w:bCs/>
      <w:i/>
      <w:iCs/>
    </w:rPr>
  </w:style>
  <w:style w:type="paragraph" w:styleId="TOC7">
    <w:name w:val="toc 7"/>
    <w:basedOn w:val="Normal"/>
    <w:uiPriority w:val="1"/>
    <w:qFormat/>
    <w:pPr>
      <w:spacing w:before="120"/>
      <w:ind w:left="1412" w:hanging="850"/>
    </w:pPr>
    <w:rPr>
      <w:b/>
      <w:bCs/>
      <w:sz w:val="24"/>
      <w:szCs w:val="24"/>
    </w:rPr>
  </w:style>
  <w:style w:type="paragraph" w:styleId="TOC8">
    <w:name w:val="toc 8"/>
    <w:basedOn w:val="Normal"/>
    <w:uiPriority w:val="1"/>
    <w:qFormat/>
    <w:pPr>
      <w:spacing w:before="120"/>
      <w:ind w:left="1835" w:hanging="851"/>
    </w:pPr>
    <w:rPr>
      <w:b/>
      <w:bCs/>
      <w:sz w:val="24"/>
      <w:szCs w:val="24"/>
    </w:rPr>
  </w:style>
  <w:style w:type="paragraph" w:styleId="TOC9">
    <w:name w:val="toc 9"/>
    <w:basedOn w:val="Normal"/>
    <w:uiPriority w:val="1"/>
    <w:qFormat/>
    <w:pPr>
      <w:spacing w:before="120"/>
      <w:ind w:left="1835" w:hanging="851"/>
    </w:pPr>
    <w:rPr>
      <w:b/>
      <w:bCs/>
      <w:i/>
      <w:iCs/>
    </w:rPr>
  </w:style>
  <w:style w:type="paragraph" w:styleId="BodyText">
    <w:name w:val="Body Text"/>
    <w:basedOn w:val="Normal"/>
    <w:uiPriority w:val="1"/>
    <w:qFormat/>
    <w:rPr>
      <w:sz w:val="24"/>
      <w:szCs w:val="24"/>
    </w:rPr>
  </w:style>
  <w:style w:type="paragraph" w:styleId="Title">
    <w:name w:val="Title"/>
    <w:basedOn w:val="Normal"/>
    <w:uiPriority w:val="10"/>
    <w:qFormat/>
    <w:pPr>
      <w:ind w:left="878" w:right="1661"/>
      <w:jc w:val="center"/>
    </w:pPr>
    <w:rPr>
      <w:b/>
      <w:bCs/>
      <w:sz w:val="40"/>
      <w:szCs w:val="40"/>
    </w:rPr>
  </w:style>
  <w:style w:type="paragraph" w:styleId="ListParagraph">
    <w:name w:val="List Paragraph"/>
    <w:basedOn w:val="Normal"/>
    <w:uiPriority w:val="1"/>
    <w:qFormat/>
    <w:pPr>
      <w:spacing w:before="120"/>
      <w:ind w:left="3539" w:hanging="850"/>
    </w:pPr>
  </w:style>
  <w:style w:type="paragraph" w:customStyle="1" w:styleId="TableParagraph">
    <w:name w:val="Table Paragraph"/>
    <w:basedOn w:val="Normal"/>
    <w:uiPriority w:val="1"/>
    <w:qFormat/>
    <w:pPr>
      <w:ind w:left="110"/>
    </w:pPr>
  </w:style>
  <w:style w:type="table" w:styleId="TableGrid">
    <w:name w:val="Table Grid"/>
    <w:basedOn w:val="TableNormal"/>
    <w:uiPriority w:val="39"/>
    <w:rsid w:val="00BF29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70C7D"/>
    <w:rPr>
      <w:color w:val="0000FF" w:themeColor="hyperlink"/>
      <w:u w:val="single"/>
    </w:rPr>
  </w:style>
  <w:style w:type="paragraph" w:styleId="Header">
    <w:name w:val="header"/>
    <w:basedOn w:val="Normal"/>
    <w:link w:val="HeaderChar"/>
    <w:uiPriority w:val="99"/>
    <w:unhideWhenUsed/>
    <w:rsid w:val="007B768E"/>
    <w:pPr>
      <w:tabs>
        <w:tab w:val="center" w:pos="4513"/>
        <w:tab w:val="right" w:pos="9026"/>
      </w:tabs>
    </w:pPr>
  </w:style>
  <w:style w:type="character" w:customStyle="1" w:styleId="HeaderChar">
    <w:name w:val="Header Char"/>
    <w:basedOn w:val="DefaultParagraphFont"/>
    <w:link w:val="Header"/>
    <w:uiPriority w:val="99"/>
    <w:rsid w:val="007B768E"/>
    <w:rPr>
      <w:rFonts w:ascii="Calibri" w:eastAsia="Calibri" w:hAnsi="Calibri" w:cs="Calibri"/>
    </w:rPr>
  </w:style>
  <w:style w:type="paragraph" w:styleId="Footer">
    <w:name w:val="footer"/>
    <w:basedOn w:val="Normal"/>
    <w:link w:val="FooterChar"/>
    <w:uiPriority w:val="99"/>
    <w:unhideWhenUsed/>
    <w:rsid w:val="007B768E"/>
    <w:pPr>
      <w:tabs>
        <w:tab w:val="center" w:pos="4513"/>
        <w:tab w:val="right" w:pos="9026"/>
      </w:tabs>
    </w:pPr>
  </w:style>
  <w:style w:type="character" w:customStyle="1" w:styleId="FooterChar">
    <w:name w:val="Footer Char"/>
    <w:basedOn w:val="DefaultParagraphFont"/>
    <w:link w:val="Footer"/>
    <w:uiPriority w:val="99"/>
    <w:rsid w:val="007B768E"/>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oed.com/view/Entry/159068" TargetMode="External"/><Relationship Id="rId18" Type="http://schemas.openxmlformats.org/officeDocument/2006/relationships/hyperlink" Target="http://www.oed.com/view/Entry/73702"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www.oed.com/view/Entry/204286" TargetMode="External"/><Relationship Id="rId34"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hyperlink" Target="https://www.oed.com/view/Entry/66604" TargetMode="External"/><Relationship Id="rId17" Type="http://schemas.openxmlformats.org/officeDocument/2006/relationships/image" Target="media/image2.png"/><Relationship Id="rId25" Type="http://schemas.openxmlformats.org/officeDocument/2006/relationships/header" Target="header3.xml"/><Relationship Id="rId33"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http://www.oed.com/view/Entry/151981"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ed.com/view/Entry/193933" TargetMode="External"/><Relationship Id="rId24" Type="http://schemas.openxmlformats.org/officeDocument/2006/relationships/hyperlink" Target="http://www.oed.com/view/Entry/154066" TargetMode="External"/><Relationship Id="rId32"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yperlink" Target="https://www.wps.com/academy/excel-spreadsheet" TargetMode="External"/><Relationship Id="rId23" Type="http://schemas.openxmlformats.org/officeDocument/2006/relationships/footer" Target="footer3.xml"/><Relationship Id="rId28" Type="http://schemas.openxmlformats.org/officeDocument/2006/relationships/footer" Target="footer5.xml"/><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www.oed.com/view/Entry/194660" TargetMode="External"/><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wps.com/academy/excel-spreadsheet" TargetMode="External"/><Relationship Id="rId22" Type="http://schemas.openxmlformats.org/officeDocument/2006/relationships/header" Target="header2.xml"/><Relationship Id="rId27" Type="http://schemas.openxmlformats.org/officeDocument/2006/relationships/header" Target="header4.xml"/><Relationship Id="rId30" Type="http://schemas.openxmlformats.org/officeDocument/2006/relationships/footer" Target="footer6.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a:spPr>
      <a:bodyPr rot="0" vert="horz" wrap="square" lIns="91440" tIns="45720" rIns="91440" bIns="4572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C9164B-3466-4932-84C0-FB21C5F78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369</Pages>
  <Words>140897</Words>
  <Characters>794543</Characters>
  <Application>Microsoft Office Word</Application>
  <DocSecurity>0</DocSecurity>
  <Lines>15644</Lines>
  <Paragraphs>5254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CHINA – ANTI-DUMPING AND COUNTERVAILING DUTY MEASURES ON WINE FROM AUSTRALIA</dc:title>
  <dc:creator/>
  <cp:keywords>[SEC=OFFICIAL:Sensitive]</cp:keywords>
  <cp:lastModifiedBy/>
  <cp:revision>1</cp:revision>
  <dcterms:created xsi:type="dcterms:W3CDTF">2023-07-03T00:34:00Z</dcterms:created>
  <dcterms:modified xsi:type="dcterms:W3CDTF">2023-07-03T00:35:00Z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SecurityClassification">
    <vt:lpwstr>OFFICIAL:Sensitive</vt:lpwstr>
  </property>
  <property fmtid="{D5CDD505-2E9C-101B-9397-08002B2CF9AE}" pid="4" name="PMHMAC">
    <vt:lpwstr>v=2022.1;a=SHA256;h=49B5402F6FED74335549E872862C96FB99EB0B030537BF0B509F2DDA2A8BA51E</vt:lpwstr>
  </property>
  <property fmtid="{D5CDD505-2E9C-101B-9397-08002B2CF9AE}" pid="5" name="PM_Qualifier">
    <vt:lpwstr/>
  </property>
  <property fmtid="{D5CDD505-2E9C-101B-9397-08002B2CF9AE}" pid="6" name="PM_DisplayValueSecClassificationWithQualifier">
    <vt:lpwstr>OFFICIAL: Sensitive Legal privilege</vt:lpwstr>
  </property>
  <property fmtid="{D5CDD505-2E9C-101B-9397-08002B2CF9AE}" pid="7" name="PM_InsertionValue">
    <vt:lpwstr>OFFICIAL: Sensitive</vt:lpwstr>
  </property>
  <property fmtid="{D5CDD505-2E9C-101B-9397-08002B2CF9AE}" pid="8" name="PM_Originator_Hash_SHA1">
    <vt:lpwstr>260D391A355C0F7895D53005377AC1700003BFA9</vt:lpwstr>
  </property>
  <property fmtid="{D5CDD505-2E9C-101B-9397-08002B2CF9AE}" pid="9" name="PM_Originating_FileId">
    <vt:lpwstr>557800B408D14EEEAF83E30B6F31EFD2</vt:lpwstr>
  </property>
  <property fmtid="{D5CDD505-2E9C-101B-9397-08002B2CF9AE}" pid="10" name="PM_ProtectiveMarkingValue_Footer">
    <vt:lpwstr>Legal privilege_x000d_
OFFICIAL: Sensitive</vt:lpwstr>
  </property>
  <property fmtid="{D5CDD505-2E9C-101B-9397-08002B2CF9AE}" pid="11" name="PM_ProtectiveMarkingValue_Header">
    <vt:lpwstr>OFFICIAL: Sensitive_x000d_
Legal privilege</vt:lpwstr>
  </property>
  <property fmtid="{D5CDD505-2E9C-101B-9397-08002B2CF9AE}" pid="12" name="PM_OriginationTimeStamp">
    <vt:lpwstr>2023-06-28T02:10:11Z</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Legal-Privilege</vt:lpwstr>
  </property>
  <property fmtid="{D5CDD505-2E9C-101B-9397-08002B2CF9AE}" pid="18" name="PM_Display">
    <vt:lpwstr>OFFICIAL: Sensitive Legal privilege</vt:lpwstr>
  </property>
  <property fmtid="{D5CDD505-2E9C-101B-9397-08002B2CF9AE}" pid="19" name="PMUuid">
    <vt:lpwstr>v=2022.2;d=gov.au;g=9838020E-D8A2-5FB0-ACAD-24AFC21961EB</vt:lpwstr>
  </property>
  <property fmtid="{D5CDD505-2E9C-101B-9397-08002B2CF9AE}" pid="20" name="PM_Hash_Version">
    <vt:lpwstr>2022.1</vt:lpwstr>
  </property>
  <property fmtid="{D5CDD505-2E9C-101B-9397-08002B2CF9AE}" pid="21" name="PM_Hash_Salt_Prev">
    <vt:lpwstr>794D9D78B5723239B515A3D08F61CA6D</vt:lpwstr>
  </property>
  <property fmtid="{D5CDD505-2E9C-101B-9397-08002B2CF9AE}" pid="22" name="PM_Hash_Salt">
    <vt:lpwstr>0C96C7129E0ADBEE6F13CF5D7057E827</vt:lpwstr>
  </property>
  <property fmtid="{D5CDD505-2E9C-101B-9397-08002B2CF9AE}" pid="23" name="PM_Hash_SHA1">
    <vt:lpwstr>315AC2DCBC37A558AFA3D5D4E275F7DBB60CC90A</vt:lpwstr>
  </property>
  <property fmtid="{D5CDD505-2E9C-101B-9397-08002B2CF9AE}" pid="24" name="PM_OriginatorUserAccountName_SHA256">
    <vt:lpwstr>3F6D732A650B4EC715B623E0D837FB2B96AB69551124ACFE30889A7938FDE719</vt:lpwstr>
  </property>
  <property fmtid="{D5CDD505-2E9C-101B-9397-08002B2CF9AE}" pid="25" name="PM_OriginatorDomainName_SHA256">
    <vt:lpwstr>6F3591835F3B2A8A025B00B5BA6418010DA3A17C9C26EA9C049FFD28039489A2</vt:lpwstr>
  </property>
  <property fmtid="{D5CDD505-2E9C-101B-9397-08002B2CF9AE}" pid="26" name="PM_SecurityClassification_Prev">
    <vt:lpwstr>OFFICIAL:Sensitive</vt:lpwstr>
  </property>
  <property fmtid="{D5CDD505-2E9C-101B-9397-08002B2CF9AE}" pid="27" name="PM_Qualifier_Prev">
    <vt:lpwstr/>
  </property>
  <property fmtid="{D5CDD505-2E9C-101B-9397-08002B2CF9AE}" pid="28" name="PM_Caveats_Count">
    <vt:lpwstr>0</vt:lpwstr>
  </property>
</Properties>
</file>